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er2887.xml" ContentType="application/vnd.openxmlformats-officedocument.wordprocessingml.footer+xml"/>
  <Override PartName="/word/footer2890.xml" ContentType="application/vnd.openxmlformats-officedocument.wordprocessingml.footer+xml"/>
  <Override PartName="/word/footer2893.xml" ContentType="application/vnd.openxmlformats-officedocument.wordprocessingml.footer+xml"/>
  <Override PartName="/word/footer2896.xml" ContentType="application/vnd.openxmlformats-officedocument.wordprocessingml.footer+xml"/>
  <Override PartName="/word/footer2899.xml" ContentType="application/vnd.openxmlformats-officedocument.wordprocessingml.footer+xml"/>
  <Override PartName="/word/footer2902.xml" ContentType="application/vnd.openxmlformats-officedocument.wordprocessingml.footer+xml"/>
  <Override PartName="/word/footer2905.xml" ContentType="application/vnd.openxmlformats-officedocument.wordprocessingml.footer+xml"/>
  <Override PartName="/word/footer2908.xml" ContentType="application/vnd.openxmlformats-officedocument.wordprocessingml.footer+xml"/>
  <Override PartName="/word/footer2911.xml" ContentType="application/vnd.openxmlformats-officedocument.wordprocessingml.footer+xml"/>
  <Override PartName="/word/footer2914.xml" ContentType="application/vnd.openxmlformats-officedocument.wordprocessingml.footer+xml"/>
  <Override PartName="/word/footer2917.xml" ContentType="application/vnd.openxmlformats-officedocument.wordprocessingml.footer+xml"/>
  <Override PartName="/word/footer2920.xml" ContentType="application/vnd.openxmlformats-officedocument.wordprocessingml.footer+xml"/>
  <Override PartName="/word/footer2923.xml" ContentType="application/vnd.openxmlformats-officedocument.wordprocessingml.footer+xml"/>
  <Override PartName="/word/footer2926.xml" ContentType="application/vnd.openxmlformats-officedocument.wordprocessingml.footer+xml"/>
  <Override PartName="/word/footer2929.xml" ContentType="application/vnd.openxmlformats-officedocument.wordprocessingml.footer+xml"/>
  <Override PartName="/word/footer2932.xml" ContentType="application/vnd.openxmlformats-officedocument.wordprocessingml.footer+xml"/>
  <Override PartName="/word/footer2935.xml" ContentType="application/vnd.openxmlformats-officedocument.wordprocessingml.footer+xml"/>
  <Override PartName="/word/footer2938.xml" ContentType="application/vnd.openxmlformats-officedocument.wordprocessingml.footer+xml"/>
  <Override PartName="/word/footer2941.xml" ContentType="application/vnd.openxmlformats-officedocument.wordprocessingml.footer+xml"/>
  <Override PartName="/word/footer2944.xml" ContentType="application/vnd.openxmlformats-officedocument.wordprocessingml.footer+xml"/>
  <Override PartName="/word/footer2947.xml" ContentType="application/vnd.openxmlformats-officedocument.wordprocessingml.footer+xml"/>
  <Override PartName="/word/footer2950.xml" ContentType="application/vnd.openxmlformats-officedocument.wordprocessingml.footer+xml"/>
  <Override PartName="/word/footer2953.xml" ContentType="application/vnd.openxmlformats-officedocument.wordprocessingml.footer+xml"/>
  <Override PartName="/word/footer2956.xml" ContentType="application/vnd.openxmlformats-officedocument.wordprocessingml.footer+xml"/>
  <Override PartName="/word/footer2959.xml" ContentType="application/vnd.openxmlformats-officedocument.wordprocessingml.footer+xml"/>
  <Override PartName="/word/footer2962.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فهرستگان نسخه های خطی ایران فنخا جلد 6 حرف بش</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رموز واختصارات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آوانگاری و اختصارات</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بش</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 البشائر الالهية / کلام و اعتقادات / عربی</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 بشارات / کلام و اعتقادات / فارسی</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 بشارات / اخلاق / فارسی</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 بشارات الاشارات = شرح الاشارات / فلسفه / عربی</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 بشارات الأصول / اصول فقه / عربی</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 بشارات الأمة في مواليد الأئمة / كلام و اعتقادات / فارسی</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 بشارات الشيعة / کلام و اعتقادات / عربی</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 بشارات الشيعه (ترجمه) / كلام و اعتقادات / فارسی</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 البشارات الفقهية و دلائل الأحكام الفرعية / فقه، شعر / عربی</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 البشارات في شرح الاشارات / اصول فقه / عربی</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 بشارات کتب سابقه بر پیامبر اسلام (صلی الله علیه وآله وسلم)/ كلام و اعتقادات / فارسی</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 بشارت / بهائیت / فارسی</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 بشارة الباکین و انیس الذاکرین / تاریخ معصومین/ عربی</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 بشارة الشيعة / كلام و اعتقادات / عربی</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 بشارة الشيعة / كلام و اعتقادات / فارسی</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 بشارة الشيعة / تاریخ / فارسی</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 بشارة الشيعة و زجر النصاب / كلام و اعتقادات / عربی</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 بشارت ظهور / کلام و اعتقادات / فارسی</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 البشارة لطلاب الاستخارة / استخاره / عربی</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 البشارة لطلاب الاستخارة (ترجمه) / استخاره / فارسی</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 بشارة المذنبین / كلام و اعتقادات / فارسی</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 بشارة المذنبین / كلام و اعتقادات / فارسی</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 بشارة المصطفى في اثبات المهدی المرتجی / کلام و اعتقادات / عربی</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 بشارة المصطفى لشيعة المرتضی / حديث / عربی</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 بشارة المصطفى لشيعة المرتضى (منتخب) / حديث / عربی</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 بشارة المصطفى لشيعة المرتضى (منتخب) / حديث / عربی</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 بشارة المصطفى الشيعة المرتضى (منتخب) / حديث / عربی</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 بشارة المصطفى لشيعة المرتضى (منتخب) / حديث / عربی</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 بشارة المؤمنين / عرفان و تصوف / فارسی</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 بشارة المهتدين في تفسير الحمد لله رب العالمين / تفسير / فارسی</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 بشارت نامه / فارسی</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•بشارت نامه / عرفان و تصوف / فارسی</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 البشارة و النذارة في تعبير الرؤيا و المراقبة / خوابگزاری-عربی</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 بشارتيه / گوناگون / فارسی</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 بشر و بشاشت / قیافه شناسی - فارسی</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 بشرویه / جغرافیا، تاریخ ایران / فارسی</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 بشری اللبیب بذکر الحبیب / فضایل و مناقب / عربی</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 بشرى الوصول الى اسرار علم الأصول / اصول فقه / عربی</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 البشري في انشاء الصلوات الباهرة / دعا / عربی</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 بشیر و نذیر / دعا / عربی</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 بصائر الأمور / فلسفه / فارسی</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 بصائر الأوهام في سراير الارحام / طب / فارسی</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 بصائر الايمان في تفسير القرآن = درة الصفا في تفسیر ائمة الهدي / تفسير/ عربی</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 بصائر الدرجات / حديث / عربی</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 بصائر الدرجات (مختصر) = منتخب بصائر الدرجات / حديث / عربی</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 بصائر الدرجات (منتخب) / حديث / عربی</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 بصائر الدين في ترجمة شرح منازل السائرین / عرفان و تصوف / فارسی</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 بصائر ذوی التميز في الطائف القرآن العزيز / گوناگون / عربی</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 البصائر في اختصار تنقيح المناظر / فیزیک / عربی</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 البصائر في الوجوه و النظایر / تفسير / فارسی</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 بصائر الموحدین / تاریخ معصومین / عربی</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 البصائر النصيرية / منطق / عربی</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 البصائر و الذخائر = بصائر القدماء و سرائر الحكماء = بصائر القدماء و بشائر الحكماء / ادبیات عربی</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 بصائر یمینی = البصائر في الوجوه و النظایر / تفسير / فارسی</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 بصابص اليدين في شرح خصائص الحسين عليه السلام / تاریخ معصومین / فارسی</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 البصروية / صرف عربی</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 بصريه / صرف و نحو/ عربی</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•بصیرت نامه = عبرت نامه = نصرت نامه / سفرنامه/ فارسی</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 بصیرت نامه (ترجمه) / تاریخ / فارسی</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 بصیری = النحو / نحو /عربی</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 بضاعة الايمان = بضاعة السلطان / كلام و اعتقادات / فارسی</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 بضاعة التاجرین /فقه / فارسی</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 بضاعة الرابحة / كلام و اعتقادات / فارسی</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 بضاعة القاضي لاحتياجه اليه في المستقبل الماضي / متفرقه / عربی</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 بضاعة المبتدی = قرابادین رومی / طب / فارسی</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 البضاعة المزجاة / حديث / عربی</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 بضاعت المزجاة / فقه / فارسی</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 بضاعت مزجاة / تاریخ ایران / فارسی</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 بضاعة المزجاة / عربی</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 بضاعة المزجاة في تأويل الآيات / تفسير / فارسی</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 البضاعة المزجية في اثبات وجود الكلي الطبيعي / منطق / عربی</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 بطلان اختلاف النظرية و الضرورية باختلاف الأذهان العقلاء / فلسفه / عربی</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 بطلان تناهي الابعاد / فلسفه، عرفان و تصوف / عربی</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 بطلان تناهي الابعاد (ترجمه) / عرفان و تصوف / فارسی</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 بطلان الخط / فلسفه / عربی</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 بطلان طعن الأرمن على المجمع الخلکدونی المقدس و على تعليم القديس لاوس / کلام و اعتقادات، ادیان و مذاهب / عربی</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 بطلان القول بتأثير الكواكب / هیئت / عربی</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 بطلان کون المفهوم للواجب / فلسفه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 بطلان مذهب صوفیه / كلام و اعتقادات / فارسی</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•بطلان نكاح المتعة / فقه / عربی</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 بطون شانزده گانه / جفر / فارسی</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 البطيخ / طب / عربی</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 البطيخية (ارجوزة) / شعر / عربی</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 بطيخيه = شرح الدنيا مزرعة الآخرة / عرفان و تصوف / فارسی</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 بعث / كلام و اعتقادات، امامت / عربی</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 بعث و حشر حضرت فاطمه (علیها السلام) در قیامت / کلام و اعتقادات / فارسی</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 بعد آفتاب (جدول) / هیئت / فارسی</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 البعد في الاجسام (رسالة) / فلسفه / عربی</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 بعض آیات قرآن کریم (ترجمه) / کتاب آسمانی/ فارسی</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•بعض الحكماء اليونانين و المليين (مختصر) / تراجم / عربی</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 بعض الخطب الجليلة للايام الشريفة / گوناگون / عربی</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 بعض خواص آیات / علوم غریبه / فارسی</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 بعض خواص القران / علوم قرآن / فارسی</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 بعض الفوائد البهية المتعلقة بالبيوع الخيارية / فقه / عربی</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 بعض کلمات قرآن بترتيب سور (ترجمه) / تفسير / فارسی</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 بعد کواکب موافق زیج فرنگی (جدول) / هیئت / فارسی</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 بعض ما خلق الله في الانسان (منظومة في) طب وشعر / عربی</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 بعض المسائل الأصولية المهمة / اصول فقه / عربی</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 بعض المسائل الطبية / طب / فارسی</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 بعض المسائل العرفانية / عرفان و تصوف / عربی</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 بعضی از حالات نحوست آیات منافقین اهل</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•بعضی از عبارات طب / طب / فارسی</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 بغرانامه = ماجرای برنج و بغرا / ادبیات /فارسی</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 بغية الأبرار / فقه / فارسی</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 بغية الاریب فی اختصار التهذيب / رجال / عربی</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 بغية الاريب في وصال الحبيب / ادبیات/ عربی</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 بغية الالباء من معجم الأدباء / تراجم / عربی</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 بغية الباحث عن جمل الموارث / فقه , شعر / عربی</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 بغية الخاص و العام / فقه / عربی</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 بغية الخاص و العام (ترجمه) / فقه / فارسی</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 بغية الخبير في قانون طلب الاکسیر / کیمیا / عربی</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 بغية الرائد فيما تضمنه حديث أم زرع من الفوائد / شرح حديث / عربی</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 بغية الراغب في شرح مرشدة الطالب / حساب /عربی</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 بغية الراغبين = احكام كثير الشك / فقه / عربی</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 بغية الطالب / رجال / عربی</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 بغية الطالب في ایمان ابی طالب / كلام و اعتقادات / عربی</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 بغية الطالب في شرح المكاسب / فقه / عربی</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 بغية الطالب في معرفة الضمير المطلوب / هیئت / عربی</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 بغية الطالب في معرفة المفروض و الواجب / فقه / عربی</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 بغية الطالب في معرفة المفروض و الواجب (ترجمه) / فقه / فارسی</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 بغية الطالب في معرفة المفروض و الواجب (ترجمه) / فقه / فارسی</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 بغية الطالب في معرفة المفروض و الواجب (ترجمه) / فقه / فارسی</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•بغية الطالب في معرفة المفروض و الواجب (ترجمه) / فقه / فارسی</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 بغية الطالب فيمن رآی الامام الغائب = تذكرة الطالب فيمن رای الامام الغائب / تاریخ / فارسی</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 بغية الطالبين في تعليق القوانين / اصول فقه / عربی</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 بغية الطالبين في مناقب الخلفاء الراشدين (منتخب) / فضایل و مناقب /عربی</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 بغية الطالبين لبيان المشايخ المحققين = الوريقات / تراجم / عربی</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 بغية الطالبين لصحة طريقة المجتهدين / اصول فقه / عربی</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 بغية الطالبين و حجة المطببین / طب /عربی</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 بغية الطلاب في معرفة الأنساب / انساب / عربی</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 بغية الطلب في تاريخ حلب = زبدة الحلب من تاريخ حلب / تاریخ / عربی</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 بغية الطلب في تاريخ حلب (مختصر) / تاریخ عربی</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 بغية العلماء و الرواة = ذیل رفع الإصر عن قضاة</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•مصر / تراجم / عربی</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 بغية الفحول في شرح زبدة الاصول / اصول فقه / عربی</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 بغية الفلاحين و الاشجار المثمرة و الرياحين / کشاورزی -عربی</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 بغية القاری المجيد من طلاب القرآن المجيد / علوم قرآن-عربی</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 بغية القاصد في مشكلات القواعد / حساب /عربی</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 بغية المرتاح الى طلب الارباح / مواعظ / عربی</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 بغية المريد في الكشف عن أحوال الشيخ الشهيد / تراجم / عربی</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 بغية المريد و أنيس الفرید / انساب / عربی</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 بغية المستعجل / شعر، تاریخ / عربی</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 بغية المستفيد في أخبار مدينة زبيد / تاریخ / عربی</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 بغية المطالب على حاشية المكاسب / فقه / عربی</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 بغية الواعظ في الحكايات و المواعظ / آداب و سنن / عربی</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 بغية الوعاة في طبقات اللغويين و النحاة / رجال، تراجم / عربی</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 بقاء اجساد ائمه (علیهم السلام) در قبور (رساله) / متفرقه / عربی</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 بقاء جثة الأنبياء و الأئمة( عليهم السلام )في قبورهم / کلام و اعتقادات / عربی</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 بقاء الصور النوعية و فنائها (مقالة في) / فلسفه / فارسی</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 البقاء على تقليد الميت / اصول فقه / عربی</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 البقاء على تقليد الميت / فقه / عربی</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 البقاء على تقليد الميت / فقه / عربی</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•البقاء على تقليد الميت / فقه / عربی</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 البقاء على تقليد الميت / فقه / عربی</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 البقاء على تقليد الميت / فقه / عربی</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 بقاء المواليد / هیئت / فارسی</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 بقاء النفس / فلسفه / عربی</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 بقاء نفس / فلسفه / فارسی</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 بقاء نفس انسانی / فلسفه / فارسی</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 بقاء النفس بعد خراب البدن = بقاء النفس الإنسانية = بقاء النفس بعد فناء الجسد = بقاء النفس بعد بوار البدن / فلسفه / عربی</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•الناطقة من الانسان / فلسفه / عربی</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•بقای نفس عاقله = جدائی جان و تن = بقای نفس ناطقه / فلسفه / فارسی</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 بقية الأنساب من ذكر الأصحاب / تراجم / فارسی</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 بقية ديوان / شعر / عربی</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 بقية الله خير بعد الفناء في السير / عرفان و تصوف / عربی</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 بقية النقية / تراجم / فارسی</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 البقيع / تاریخ عربی</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•بقیه نقيه / شعر / فارسی</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 بكاء العالمين على مصاب الحسين عليه السلام / تاریخ / عربی</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 بكاء العين / تاریخ معصومین / فارسی</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 البكاء على الحسين (عليه السلام)/ مراثی / عربی</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 البلاء / شعر / فارسی</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 بلاء و ابتلا / تاریخ معصومین / فارسی</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 بلابل القلاقل / تفسير / فارسی</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 البلاعة / كيميا / عربی</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 بلاغت / بلاغت / فارسی</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 بلاغت / ادبیات فارسی</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 بلاغت / بلاغت / فارسی</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 بلاغت / معانی بیان / فارسی</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 بلاغت / بلاغت / فارسی</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 بلاغت / بلاغت / فارسی</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 البلاغة / بلاغت / عربی</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 البلاغة / بلاغت / فارسی</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 بلاغت (مختصر) / بلاغت</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 البلاغة (منظومه) / شعر، بلاغت / عربی</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 البلاغة و المنطق / چند دانشی / عربی</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•البلاغ المبین (ترجمه) / كلام و اعتقادات / فارسی</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 البلاغ و النهاية في التوحید / کلام و اعتقادات / عربی</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 بلبلستان / ادبیات / فارسی</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 بلبل الغرام الكاشف عن لسان الانسجام / شعر / عربی</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 بلبل نامه / شعر / فارسی</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 بلبل نامه / شعر / فارسی</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 بلبل و پروانه / شعر / فارسی</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 بلبلیه (رساله) / ادبیات / ترکی</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 بلخیه (رساله) / تراجم / فارسی</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 البلد الامین فی اصول الدین اکلام و اعتقادات، شعر عربی</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 البلد الامین و الدرع الحصين / دعا / عربی</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 البلد الامین (ترجمه) / دعا / فارسی</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 بلد الامین (ترجمه) / دعا / فارسی</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 البلدان (مختصر) / جغرافيا / عربی</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 بلغة أهل النظر في معنى الثقل و الاصغر / حديث أعربی</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 البلغة (ترجمه) / لغت / فارسی</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 بلغة الغواص في الأكوان الى معنى الاخلاص في معرفة الانسان / کلام و اعتقادات / عربی</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 البلغة في البلاغة (منظومة في) / بلاغت / عربی</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 البلغة المترجمة في اللغة / لغت / عربی، فارسی</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 بلغة المحتاج في مناسك الحاج / فقه / عربی</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 بلغة المحدثين / رجال / عربی</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 بلقیس و سلیمان / شعر، تاریخ پیامبران / فارسی</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 بلوغ الآداب في الطائف العتاب / ادبیات /عربی</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 بلوغ الامة للمحة الأئمة / رجال / عربی</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 بلوغ المآرب في قص الشوارب / حديث / عربی</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•بلوغ المراد من فضل سید العباد في تخميس بانت سعاد / شعر / عربی</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 بلوغ المرام / عربی</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 بلوغ المرام في تاريخ دولة مولانا الباشا بهرام / تاریخ /عربی</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 بلوغ المرام في معرفة اقسام العام / تقویم / عربی</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•بلوغ المرام من ادلة الأحكام / حديث / عربی</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 بلوغ المرام من سیرة ابن هشام / تاریخ پیامبر اکرم (صلی الله علیه وآله وسلم) - عربی</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•بلوغ و حریت / عرفان و تصوف / فارسی</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 بلوغ الوطر و محک النظر / علوم غریبه / عربی</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 بلوهر و بوداسف = یوز اسف و بلوهر / داستان / عربی</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 بلوهر و بوداسف = یوزاسف و بلوهر / داستان / فارسی</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•بلوهر و بوداسف = یوزاسف و بلوهر / داستان / فارسی</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 بلوهر و بوداسف = یوزاسف و بلوهر / داستان / فارسی</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•بلوهر و بوداسف = یوزاسف و بلوهر / داستان / فارسی</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 بناء الأفعال = التصريف صرف / عربی</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 بناء المقالة الفاطمية في نقض الرسالة العثمانية / كلام</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 البنات الصغيرة / متفرقه / عربی</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 البنات الكبيرة / متفرقه / عربی</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•بناهای غریبه قدیم / جغرافيا / فارسی</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 بنای عالی و دیدنی سرهنگ آباد اردستان = چهل ستون / تاریخ ایران / فارسی</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•بنای مکه و بیت المقدس / جغرافيا / فارسی</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 بنچاق معاملات و قبالات و نامه ها / اسناد / فارسی</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 بندهش آفرینش نامه = زند آگاهی / کلام و اعتقادات / فارسی</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 بندهشن / ادبیات / فارسی</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•بندهشن (بندی از) / ادبیات / فارسی</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 بندی از آقا محمد بیدآبادی / عرفان و تصوف / فارسی</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 بندی از ابوالعباس مستغفری / عربی</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 بندی از امام زین الدین ابی الحسن علی بن عبدالرحمن بن حیدر حلبی / کیمیا / عربی</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 بندی از خواجه طوسی به فارسی به روش اسماعیلی / کلام و اعتقادات / فارسی</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 بندی از سعدالدین کاشغری / شعر / فارسی</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 بندی برای محمد صادق / كلام و اعتقادات / فارسی</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 بندی در سهام / هیئت / فارسی</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 بندی در صحت مبایعه / فقه / عربی</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 بندی در صفت حل / کیمیا / فارسی</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 بندی در عدد ماهها و ... / عربی</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 بندی در عمل / كيميا / فارسی</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 بندی در معنی دلیل شرعی</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 بندی در مؤلفات شیخ حرعاملی</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 بندی منقول از صلوة بحار الانوار مجلسی / فقه / عربی</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 بندی منقول از طرائف سید بن طاووس و کتاب مطالب السؤل و عدد امامان ... با پاسخ آنها</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 بنگ و باده / شعر / ترکی</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 البنود = نبذة بنود / شعر / عربی</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 بنیان رفیع در احوال خواجه ربیع / تراجم / فارسی</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 البنيان المرصوص / اصول فقه / عربی</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 البنيان المرصوص / اصول فقه / عربی</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 البنيان المرصوص بالبراهين و النصوص / اصول فقه / عربی</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•بوادي اللطائف بوادي الطائف/ تاریخ /عربی</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 البوارق / عرفان و تصوف / فارسی</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 البوارق / اصول فقه / عربی</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 البوارق / تاریخ / عربی</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 البوارق / کیمیا / عربی</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 بوارق الالماع في الرد على من يحرم السماع بالكتاب و السنة و الاجماع / فقه / عربی</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 البوارق الحيدرية / كلام و اعتقادات / عربی</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 البوارق الخاطفة = رد الصواعق المحرقة / كلام و اعتقادات / عربی</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 البوارق في كشف معضلات الحقايق / اصول فقه / عربی</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 البوارق اللامعة الواردة على الصواعق المحرقة / کلام و اعتقادات / عربی</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 البوارق المحسنية / عربی</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 بوارق مشرقه در ترجمه الصواعق المحرقه / كلام و اعتقادات / فارسی</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 البوارق الملكوتية = الطلايع و البوارق / عرفان و تصوف / عربی</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البوارق الملكوتية في بيان الاسرار الجبروتية / كلام واعتقادات/عربی</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 بوارق موبقه / کلام و اعتقادات / فارسی</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•بوارق موبقه / كلام و اعتقادات / فارسی</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•البوارق النورية في اسرار الحقائق الظهورية / عرفان و تصوف / عربی</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•بواسیر و نواسير = نواصير اطب / فارسی</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•بواطن الآيات / اخلاق / فارسی</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•بودجه پست عثمانی (مختصر) / اقتصاد / فارسی</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•بودجه موقوفاتی آستان قدس رضوی / تاریخ / فارسی</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•بود و نبود همه چیز ... / عربی، فارسی</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•بورق الحكماء / کیمیا / عربی</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•بوستان حشمت = حشمتية / شعر / فارسی</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•بوستان خیال = مطالع طالع / تراجم / فارسی</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•بوستان خیال = خورشید نامه / داستان / فارسی</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•بوستان خیال / شعر / فارسی</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•بوستان خیال / شعر / فارسی</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•بوستان خیال / تاریخ / فارسی</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•بوستان سعدی / شعر / فارسی</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•بوستان سعدی (ترجمه) / شعر، ادبیات / ترکی</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•بوستان سعدی (منتخب) / شعر / فارسی</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•بوستان الصنايع = بساتين الخاقان / تراجم / فارسی</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•بوسه عذرا = کشف الاسرار و خسف الاشرار = بت رویین / داستان / فارسی</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•بو کالیسیس / متفرقه / عربی</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•البول / طب / عربی</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•البول / طب / عربی</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•البول / طب / عربی</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•بول و غائط (فصلی در شناختن) / طب / فارسی</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•بهاء التواریخ / تاریخ جهان / فارسی</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•بهائیت / بهائیت / فارسی</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•بهائیت / بهائیت / فارسی و عربی</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•بهائیت و عدد نوزده / بهائیت / فارسی</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•بهائیگری / تاریخ ایران / فارسی</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•بهار اغوان / شعر / فارسی</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•بهار بدخشان / تراجم / فارسی</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•بهار بی خزان = تذکره بهار بی خزان / تراجم / فارسی</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•بهار جاوید = جاوید بهار / شعر / فارسی</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•بهار دانش / داستان / فارسی</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•بهار دانش / داستان / فارسی</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•بهارستان / ادبیات فارسی</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•بهارستان / تاریخ / فارسی</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•بهارستان / متفرقه / فارسی</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•بهارستان / متفرقه / فارسی و عربی</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•بهارستان / تراجم / فارسی</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•بهارستان / ادبیات / فارسی</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•بهارستان / گوناگون / فارسی</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•بهارستان عرفان و تصوف / فارسی</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 بهارستان سخن / تراجم / فارسی</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•بهارستان علوم / چند دانشی / فارسی</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•بهار سخن / ادبیات فارسی</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•بهار عجم / لغت / فارسی</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•بهار معنی / نامه نگاری / فارسی</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•بهار نامه / ادبیات فارسی</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•بهار و خزان / شعر / فارسی</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•بهار و خزان / شعر، تاریخ معصومین / فارسی</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•بهار هجران / ادبیات فارسی</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•بهاریه / شعر / فارسی</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•بهاریه = خزان و بهار / شعر / فارسی</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•بهاریه / ادبیات / فارسی</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•بهاریه / شعر / فارسی</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•بهاریه = مسمط در مدح عباس افندی / شعر / فارسی</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•بهاریه / شعر / فارسی</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 بهاریه / شعر / فارسی</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 بهاگوترا (ترجمه) / كلام و اعتقادات / فارسی</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•بها گوت گیتا / ادیان و مذاهب / فارسی</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•البهجة / فقه، شعر / عربی</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•البهجة / منطق، شعر عربی</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•بهجة الاحباب / شعر / فارسی</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•بهجة الاحباب و سرور الأصحاب = بهجة القلوب / کلام و اعتقادات / فارسی</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•بهجة الادیب و مهجة الأريب / ادبیات عربی</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•بهجة الارواح / تاریخ معصومین / عربی</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•بهجة الارواح و فرحة الأشباح = بهجات الارواح و فرحات الاشباح / مواعظ / فارسی</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•بهجة الاسرار و معدن الأنوار / تراجم / عربی</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•بهجة الاسرار (ترجمه) / عرفان و تصوف / ترکی</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•بهجت افزا / داستان / فارسی</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•بهجة الالباب في علم الاسطرلاب / اسطرلاب /عربی</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•بهجة الأمان / دعا / فارسی</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•بهجة الانوار من حقيقة الاسرار / تفسير / عربی، فارسی</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•بهجة الاولياء / متفرقه / فارسی</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•البهجة البهية في اللغة التركية / لغت / عربی به ترکی</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•بهجة التواریخ / تاریخ جهان / فارسی</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•بهجة الجلساء في تعريف الخمسة أهل الكساء / فضائل و مناقب ,شعر / عربی</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•بهجة الجمال و محجة الكمال فيما يجب على الأئمة و العمال / اخلاق / عربی</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•بهجة الحدائق في شرح کلمات کلام الله الناطق / شرح حديث / عربی</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•بهجة الخاطر و نزهة الناظر / لغت عربی</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•بهجة الدارين في الامر بين الأمرين / فلسفه / عربی</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•البهجة الرائقة في شرح الزهرة البارقة / لغت / عربی</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•بهجة الراغب الى شرح بغية الطالب / فقه / عربی</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•بهجة الروح / اخلاق / فارسی</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•بهجت الروح و قوت الارواح = بهجة الأرواح / موسیقی / فارسی</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•تهران؛ ملک؛ شماره نسخه ۱۶۴۸۰</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 بهجة الروح (ترجمه) / موسیقی / انگلیسی</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•بهجة الرؤساء در علاج امراض النساء / طب / فارسی</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•بهجة السنية في شرح دعوه الجلجلوتيه / دعا / عربی</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•بهجة الشعراء / تراجم / فارسی</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•بهجة الشعراء = گلهای رنگارنگ / شعر / فارسی</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•بهجة الشيعة في نصرة الطريقة البهية / كلام و اعتقادات / عربی</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•بهجة الصفا / شرح حديث / عربی</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•بهجة الطالبين = شرح الكبرى في المنطق / منطق / فارسی</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•بهجة العالم / جغرافيا / فارسی</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•بهجة الفتاوی / فقه / ترکی</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 بهجة الفتاوی / فقه / عربی</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•البهجة في المنطق / فلسفه / عربی</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•بهجة القلوب / کیمیا / عربی</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•بهجت القلوب / فارسی</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•بهجة القلوب و سرور الفؤاد / فقه / فارسی</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•بهجة القلوب و قوت الارواح / موسیقی / فارسی</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•بهجة القمر في مدح خیر البشر / شعر / عربی</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•بهجة اللغات في تلخيص لهجة اللغات / لغت / ترکی و عربی</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 بهجة المباهج في تلخيص مباهج المهج في مناهج الحجج / تاریخ معصومین / فارسی</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 بهجة المحافل في السير و المعجزات و الشمائل / تاریخ پیامبر اکرم(صلی الله علیه وآله وسلم) / عربی</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 البهجة المرضية = منظومه في اصول فقه / شعر، اصول فقه / عربی</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 البهجة المرضية في شرح الألفية = شرح الفية ابن</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 البهجة المرضية في شرح الألفية = سیوطی(ترجمه) / نحو / فارسی</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 البهجة المرضية في شرح الألفية = سیوطی (ترجمه) / نحو / فارسی</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 بهجة المؤمنین / کلام و اعتقادات / فارسی</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 بهجة المؤمنین / تاریخ اسلام / فارسی</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 بهجة المهج في الصلوة على الحجج / دعا / عربی</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 بهجة المهج (منتخب) / دعا / عربی</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 بهجة الناظرين / حديث / عربی</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 بهجة الناظرين / امامت / فارسی و عربی</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 بهجة الناظرين و آيات المستدلين / کلام و اعتقادات / عربی</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 بهجت نامه / شعر / فارسی</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 بهجت نامه / شعر / فارسی کاشانی، اسدالله بن مهدي، ق۱۳ قمری</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 البهجة النظر في اثبات الوصية و الامامة للائمة الاثنی عشر / حديث / عربی</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 البهجة الوردية / فقه / عربی</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 البهجة الوفية في شرح الألفية / نحو عربی</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 البهجة الوفية لحجة المسائل الفقهيه / اصول فقه / عربی</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 بهداشت / طب / عربی</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 بهداشت / طب / فارسی</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 بهداشت / طب / فارسی</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•بهداشت / طب / فارسی</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 بهدينان سنجان فارسی / شعر، تاریخ ایران / فارسی</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 بهدین بهمن اسفندیار / فارسی</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 بهر النصاب / تاریخ / فارسی</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 بهرامشاهيه = صلاتيه = تحفة الملوک / عرفان و تصوف / فارسی</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 بهرام گور / داستان / فارسی</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•بهرام نامه / شعر / فارسی</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 بهرام نامه = بهرام و گلندام / شعر / فارسی</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 بهرام نامه / شعر / فارسی</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 بهرام و بهروز - باغ ارم / داستان / فارسی</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 بهرام و بهروز = باغ ارم / شعر / فارسی</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 بهرام و بهروز / داستان / فارسی</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 بهرام و بهروز / داستان / فارسی</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 بهرام و بهروز / داستان / فارسی</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 بهرام و بهروز / داستان / فارسی</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 بهرام و گلندام / شعر / فارسی</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 بهرام و گلندام / داستان / فارسی</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 بهرام و گلندام (قصه شاه) / داستان / فارسی</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 بهروز و بهزاد / شعر، داستان / ترکی</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 بهشت نامه = نقل جنت / کلام و اعتقادات، شعر / ترکی</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 بهشت و دوزخ / عرفان و تصوف / فارسی</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 بهشت و دوزخ این عالم است = تأديب الرجال / داستان / فارسی</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 بهشت و دوزخ و اسماء در کات آن / کلام و اعتقادات / فارسی</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 بهگوت پوران = سکنده بهگوت پوران = سری بهاگوت = سری بهگوت گیتا / داستان / فارسی</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 بهگوت پوران = سکنده بهگوت پوران = سری</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 بهمن ماه / فارسی</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 بهمن نامه = داستان بهمن پسر اسفند یار و کتایون</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 بهمن نامه / شعر، تاریخ هند / فارسی</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 بهمن نامه / كلام و اعتقادات / فارسی</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 بهمن و فرامرز / فارسی</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 بهمن و فرامز / شعر / کردی</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 البهيمة الموطوءة / فقه / عربی</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 بیاد خدا و روز جزا / كلام و اعتقادات / فارسی</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 بياض / ادبیات فارسی</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 بیاض / گوناگون / فارسی</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 بیاض / گوناگون / فارسی</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 بياض / گوناگون / فارسی</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 بياض / گوناگون / فارسی و عربی</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 بياض / گوناگون / فارسی</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 بیاض / فارسی</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 بیاض / متفرقه / فارسی</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 بياض / ادبیات / فارسی</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 بیاض / ادبیات فارسی</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 بياض / متفرقه / فارسی</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 بياض / دعا / فارسی</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 بیاض / دعا / فارسی</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 بياض / گوناگون / فارسی</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 بياض / متفرقه / فارسی و عربی</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 بياض = جنگ شیخ فضل الله / گوناگون / عربی</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 بياض / متفرقه / فارسی</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 بیاض / گوناگون / فارسی</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 بياض / گوناگون / فارسی</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 بياض / گوناگون/ ترکی</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 البياض = السفينة / گوناگون / عربی و فارسی</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 بیاض / دعا / عربی</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 بیاض / گوناگون / عربی</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•بیاض / گوناگون / عربی، فارسی</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 بیاض / گوناگون / فارسی</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 بياض / فارسی و ترکی</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 بياض ابراهیم / گوناگون / فارسی و عربی</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 بياض ابراهیمی = سفينة النجات / کلام و اعتقادات / عربی، فارسی</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 بياض ابراهیمی / متفرقه / فارسی</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 بياض الله ویردی = جنگ / شعر / فارسی</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 بیاض خطوط / فارسی</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 بیاض خوشبویی / ادبیات / فارسی</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 بیاض ریاض = ریاض طبع / ادبیات /فارسی</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 بیاض کلان / كلام و اعتقادات / عربی</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 بیاض منتخب مرثیه حایری (۱) / شعر / فارسی</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 بیاض منتخب مرثیه حایری (۲) / شعر / فارسی</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 بیاض منتخب مرثیه حایری (۳) / شعر / فارسی</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 بیاض منتخب مرثيه حاریری (۴) / شعر / فارسی</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 بیاض مصور / عکس</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 بیاض منشآت / ادبیات / فارسی</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 البياض و السواد من خصائص حكم العباد في نعت المريد و المراد / عرفان و تصوف / عربی</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 البيان / کیمیا / عربی</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 البيان / بهائیت / عربی</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 بیان / بهائیت / فارسی</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 البيان = بنیان البیان بهداية الرحمن / بلاغت عربی</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 بیان (رساله در علم) / ادبیات / فارسی</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 بیان (منظومه در) / معانی بیان، شعر / عربی</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 البيان / بلاغت / عربی</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 البيان / فقه / عربی</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 بیان آسیا ؟ / فارسی</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 بیان آنکه حاضر بودن به از غایب شدن (رساله در) / عرفان و تصوف / فارسی</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 بیان آنکه در قیامت انبیا نفسی نفسی گویند (رساله در) عرفان و تصوف / فارسی</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 بیان الآيات الناسخة / علوم قرآن / عربی</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 بیان ابنیه / اسناد / فارسی</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 البيانات / فلسفه / عربی</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 بیانات اهل شریعت / عرفان و تصوف / فارسی</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•بیانات شیبانی / مواعظ / فارسی</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 بیانات شیخ فضل الله درباره مشروطیت / حكومت و سیاست / فارسی</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 بیان الإجماع على منع الاجتماع على بدعة الغناء و السماع / فقه / عربی</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 بيان الاحسان لأهل العرفان /عرفان و تصوف / فارسی</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 بیان احوال و هابیان / تاریخ / فارسی</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 بیان الادیان / ادیان و مذاهب / فارسی</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 بيان الاسرار = شرح مصباح الشريعة /شرح حديث /فارسی</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 بيان الاسرار عرفان و تصوف / عربی</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 بیان اسرار الطالبين بتوفيق رب العالمين = بیان</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•بیان الأسرار للطالبين / عرفان و تصوف / عربی</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•بیان الأسفار الأربعة / عرفان و تصوف / عربی</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 بيان الأسفار الأربعة / عرفان و تصوف / عربی</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•بیان الاشكال فيما حکی عن المهدي من الأقوال / کلام و اعتقادات / عربی</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 بیان الاعتقاد في ما يكثر اليه احتیاج العباد / کلام و اعتقادات / عربی</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 بیان اعداد / علوم غریبه / فارسی</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 بیان اقسام القضية المحصورة / منطق / عربی</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 بیان الفاظ كفر و موهم خطر / کلام و اعتقادات / عربی</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 بیان الامر بين الأمرين على ما هو عليه في البين / کلام و اعتقادات / عربی</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 بیان الاوراد / دعا / فارسی</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 بیان الايمان / عرفان و تصوف / فارسی</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 بیان اینکه دلیل فرض است (رساله در) / عرفان تصوف / فارسی</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 بیان البديع / بلاغت / فارسی</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 البيان البديع في ابن بزیع / رجال / عربی</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•بیان بشارات کتب سابقه بر پیامبر اسلام (ص) / كلام و اعتقادات / فارسی</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•بیان بعضی حالات فرنگستان که نتیجه آن منجر به جنگ شد / تاریخ / فارسی</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 بیان البیان فی شرح الاستعارة / بلاغت / عربی</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•بیان التذكرة و تبيان التبصرة = شرح التذکرة النصيرية / هیئت / عربی</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•بیان التنزيل / عرفان و تصوف / فارسی</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 بيان التواريخ و الكبائس / تاریخ / فارسی و عربی</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•بیان ثقل اکبر و اصغر گوناگون / عربی</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 بیان الثوق في الجواهر الهيولائی / فلسفه / عربی</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 بیان الجعفرية / عربي</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 بیان حال الكافي (رسالة في) / حديث / عربی</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•بیان حديث الطينة (رسالة في) / كلام و اعتقادات / عربی</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•بیان حدیث «ان النظر الى الكعبة عبادة» / حديث / عربی</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 بیان حدیث «خلع نعلی موسی» / شرح حدیث / عربی</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 بیان حدیث منقول از صفی الدین اشرح حديث /فارسی</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 بیان حرکت نقاط از میزان / فارسی</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 بيان الحق عرفان و تصوف / عربی</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 بيان الحق / متفرقه / عربی</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•بيان الحق / کلام و اعتقادات / عربی</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 بيان الحق / كلام و اعتقادات / فارسی</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•بيان الحق / فارسی</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•بيان الحقايق / عرفان و تصوف / فارسی</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 بیان حقایق احوال المصطفى / عرفان و تصوف / فارسی</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 بيان الحق بضمان الصدق / فلسفه / عربی</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•بيان الحق في سيرة آية الله المطلق و کراماته / تراجم / فارسی</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•بيان الحق و الصدق المطلق / کلام و اعتقادات / فارسی</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 بيان الحق و تبیان الصدق / فقه / عربی</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 بيان الحق و لسان الصدق / منطق / عربی</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 بيان حقيقة التكليف و تبیان خصوصية من شرف بهذا التشريف / فلسفه / عربی</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 بیان خلود اهل جنة و النار / کلام و اعتقادات / عربی</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•بیان دزد / فارسی</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•بیان دعوی علی بن ابیطالب (علیه السلام) الامامة و ظهور المعجزة على يده / تاریخ معصومین / عربی</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•بیان ذکر ا عرفان و تصوف / فارسی</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 بيان الذكر / عرفان و تصوف / فارسی</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•بیان ذکر سلسله نعمت اللهی / انساب / فارسی</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 بیان زیارت عاشورا / دعا / فارسی</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 بیان سر الخلقة و كشف سر الخليقة / فلسفه / عربی</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•بیان السعادة في مقامات العبادة / تفسير / عربی</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 بیان السلوک / عرفان و تصوف / عربی</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 بیان السلوک / عرفان و تصوف / فارسی</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 بیان السلوك الطريقة الى الله تعالی / عرفان و تصوف / عربی</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 البيان الشافي في حل احاديث كتاب الكافي / عربی</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 البيان الشافي و الدر الصافي المنتزع من البرهان الكافي / فقه / عربی</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 بیان شهر وجود / ترکی</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•بیان الصناعات / علوم غریبه / فارسی</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 بیان الصناعات (منتخب) / كيميا / فارسی</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 بیان الصواب / کیمیا / عربی</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 بیان الصواب / تراجم / فارسی</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 بیان الطب طب / فارسی</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•بیان طوائف الذين اعتقدوا بان في المسيح طبيعة واحدة و اختلافهم بها / کلام و اعتقادات</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 بیان ظهور عناصر که بافلاک عروج می کنند (رساله در) / عرفان و تصوف / فارسی</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•بیان العلم / عرفان و تصوف / عربی</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 بیان علم الطريقة / عرفان و تصوف / عربی</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 البيان عن الفرق بين المعجزات و الكرامات و الحيل و الكهانة و السحر و النارنجات / متفرقه / عربی</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 بیان عوالم حس / عرفان و تصوف / عربی</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•بیان غراب / داستان / فارسی</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 البيان في أخبار صاحب الزمان / حديث / عربی</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 البيان في اسرار الطب للعيان طب / عربی</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 البیان فی اصول الفقه / اصول فقه / عربی</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 البيان في الفقه / فقه / عربی</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 البيان في بيان الروح و الابدان / فلسفه / عربی</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 البيان في بيان الروح و الايمان / كلام و اعتقادات / فارسی</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 البيان في شرح التبيان / کیمیا / عربی</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 البيان في عد آي القرآن (منتخب) / علوم قرآن / عربی</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 البيان في علم الرمل / رمل / عربی</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 البيان في نزول القرآن / تفسير / عربی</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•بیان قاعدة «اجمعت العصابة على تصحيح ما يصح عنهم» و تعیین اشخاصهم (رسالة في) / رجال / عربی</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•بیان الكسور / ریاضیات / عربی</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 بیان کشف الالفاظ = الاصطلاحات الأصولية و</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 بیان «كن في الدنيا كانک غریب» (رساله در) / عرفان و تصوف / فارسی</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•بیان کواکب ثوابت / ریاضیات / فارسی</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•بیان کیفیت رویه الله (رساله در) / كلام و اعتقادات / عربی</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 بيان لا اله الا الله / كلام و اعتقادات / فارسی</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 بیان لتوصل المطالب على طريق اللب و القشر /عربی</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 البيان لحقيقة الايمان / کلام و اعتقادات / عربی</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 بیان ما اخفاه صاحب المكتسب (فصل في) / كيميا / فارسی</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 بیان ما لم يثبت فيه حديث صحيح من الابواب / حديث / عربی</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 بیان محمود = بیان المحمود / تراجم / فارسی</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 بیان المختصر في شرح مختصر منتهى الوصول و الأمل في علم الأصول و الجدل / اصول فقه / عربی</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 بيان المدات / تجوید / عربی</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 بيان المذاهب / كلام و اعتقادات / عربی</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 بيان المذاهب / ادیان و مذاهب / عربی</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•بیان مراتب کمالات انسانی و بیان طريق التحصیل للكمالات / عرفان و تصوف / عربی</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•بیان مراد الاحسائي / كلام و اعتقادات / عربی</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 بیان مرض ناشی از خوردن گوشت خوک و جراحی نظامی / طب / فارسی</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 بيان المشكلات / قرائت / فارسی</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 بيان المشكلات على المبتدئين من جهة التجوید في القرآن المبین / تجوید / عربی</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 بیان مصقله قلب / عرفان و تصوف / ترکی</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 بيان المعراج الجسمانی / کلام و اعتقادات / عربی</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 بيان المقاصد من عقلية اتراب القصائد / علوم قرآن /</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 بیان مقدمتين مهملتي البيان استعملها ابلونیوس في اواخر المقالة الأولى من المخروطات / ریاضیات / عربی</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 بیان مکاشفاتی که در مزار روزبهان رخ داده (رساله در) / عرفان و تصوف / فارسی</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•بیان منهج البيان و الیقین / بهائیت / فارسی</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 بيان النجوم / هیئت / فارسی</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 بیان نظرات رمل / رمل / فارسی</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•بیان نظرهای عشق (رساله در) / عرفان و تصوف / فارسی</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 بیان نی / شعر / فارسی</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 بیان الواضح المشهود من فضايح النصارى و اليهود / کلام و اعتقادات / عربی</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 بيان الواقع = معادية / كلام و اعتقادات / فارسی</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 بیان واقع / ادبیات / فارسی</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 البيان و التبیان / کیمیا / عربی</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 البيان و التبیین / ادبیات عربی</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 البيان و التبيين = حل شکوک الرازی علی کتب جالینوس / طب / عربی</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 بیان و بدیع / معانی بیان / فارسی</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 بیان وجود / عرفان و تصوف / عربی</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 بیان و عیان / عرفان و تصوف / فارسی</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 بیانی در باره شیخ عبد الغفار عرفان و تصوف، تراجم /فارسی</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•بیانیه / فلسفه / فارسی</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 بیانیه ها و شب نامه سیاسی و جز آن / حكومت و سیاست / فارسی</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•بی بی فاطمه / داستان / فارسی</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 بی بی فاطمه / شعر، داستان / فارسی</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 بیت الاحزان / گوناگون / فارسی</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 بیت الاحزان / فارسی</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 بیت الاحزان في مصائب سادات الزمان الخمسة الطاهرة من ولد عدنان / تاریخ معصومین / فارسی</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 بیت الاحزان في مصائب سيدة النسوان / تاریخ معصومین / عربی</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 بيت الصديق / تاریخ / عربی</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 بیت المعمور / آداب و سنن / فارسی</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 بیج کنت بهاسکرا جارج (ترجمه) / ریاضیات / فارسی</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 بیخ چینی = چوب چینی / طب / فارسی</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•بیخ چینی = چوب چینی = فوائد چوب / طب / فارسی</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 بیخ چینی / طب / فارسی</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•بیخ چینی = چوب چینی طب / فارسی</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 بیخ چینی = چوب چینی / طب / فارسی</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 بیخ چینی = قهوه و چای /طب / فارسی</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 بیدل / مقتل / فارسی</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 البیزرة / حيوان شناسی / عربی</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 بیژن نامه / شعر و داستان / فارسی</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•بیژن نامه / شعر، داستان / فارسی</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 بیست باب / هیئت / فارسی</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 بیست باب = احوال ارض و سماء (رساله در) / هيأت / فارسی</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 بیست باب / هیئت / فارسی</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 بیست باب تقویم / تقویم / فارسی</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 بیست باب در اسطرلاب / ریاضیات، اسطرلاب / فارسی</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 بیست باب در اسطرلاب / اسطرلاب / فارسی</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 بیست باب در تقویم / تقویم / فارسی</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 بیست باب در معرفت اسطرلاب / اسطرلاب / فارسی</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•بیست باب منظوم / شعر، اسطرلاب / فارسی</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 بیست فصل / هیئت / فارسی</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 بیست کلمه / حكومت و سیاست / فارسی</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•بیست نامه و سند / اسناد / فارسی</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•بیست و پنج باب / هیئت / فارسی</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 بیست و چهار مجلس / متفرقه / فارسی</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•بیست و سه پند / مواعظ / فارسی</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•بیست و شش مسئله / كلام و اعتقادات / فارسی</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•بیست و نه کلمه = ترجمه منظوم کلمات قصار على(علیه السلام) / شعر، حديث / فارسی</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 بیست و هشت باب / حيوان شناسی / فارسی</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 بی سر نامه / شعر / فارسی</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 بيضاء الناظرين في تحقيق اصول فروع الدين / اصول فقه / عربی</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 البيضاء في حاشية الزهراء / نحو شعر / عربی</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 بيضاء للناظرين في تذكرة الواعظين و الذاکرین / گوناگون / فارسی</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•بيضة الاسلام = مختصر کنوز العبادات و الطاعات و رموز الواجبات و المهمات / عرفان و تصوف / عربی</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 بيضة البيضاء / كلام و اعتقادات / عربی</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•بيطارنامه / حيوان شناسی / فارسی</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•بیطار نامه / حيوان شناسی / فارسی</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•بيطاری اسب / حيوان شناسی / فارسی</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•البيطرة / حيوان شناسی / عربی</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•البيطرة / حيوان شناسی / عربی</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•بیطره / حيوان شناسی / فارسی</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•البيع / فقه / عربی</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•بيع / فقه / فارسی</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•البيع / فقه / عربی</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•البيع / فقه / عربی</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•البيع = شرح شرایع الاسلام / فقه / عربی</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 البيع / فقه / عربی</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 البيع = شرح شرایع الاسلام / فقه / عربی</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 البيع / فقه / عربی</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 البيع / فقه / عربی</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•بيع / فقه / عربی</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 البيع / فقه / عربی</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 البيع / فقه / عربی</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 البيع / فقه / عربی</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 البيع / فقه / عربی</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 البيع / فقه / عربی</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 البيع / فقه / عربی</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•بيع / فقه / فارسی</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 بی عاران پاریس (ترجمه) / داستان / فارسی</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 البيع بشرط الخيار / فقه / عربی</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 البيع بشرط الخيار / فقه / عربی</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 بيعة الافاخم = شرح عهدنامه مالک اشتر / شرح حديث / فارسی</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 بیعت نامه / عرفان و تصوف / فارسی</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 البيع الخياری / فقه / عربی</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 بیع شرطی پس از زمان خیار / فقه / فارسی</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 البيع الفضولی / فقه / عربی</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 البيع الفضولی / فقه / عربی</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 البيع الفضولی / فقه / عربی</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 البيع الفضولی / فقه / عربی</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 البيع الفضولی / فقه / عربی</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 البيع المعاطات / فقه / عربی</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 بیع نامه / اسناد / فارسی</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 بیع نامه فروش قریه برزدجرد قهپایه / اسناد / فارسی و عربی</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 بیع نامه معاملات روستای آشنا خور / اسناد / فارسی</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 البيع و الخيارات (التقریرات) / فقه / عربی</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 البيع و الخيارات / فقه / عربی</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 البيع و الرهن / فقه / عربی</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 البيع و القضاء / فقه / عربی</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 بيع الوقف/ فقه / عربی</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 بيع الوقف / اصول فقه / عربی</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 بيع الوقف / اصول فقه / عربی</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 البيقونية في مصطلح الحديث / شعر، درایه، حديث / عربی</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 بیمارنامه / علوم غریبه / فارسی</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•بیمارنامه / علوم غریبه / فارسی</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•بیمارنامه / متفرقه / فارسی</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•بیمارنامه دانیال نبی / طالع بینی / فارسی</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•بیمار و طبيب = مناظره بیمار و طبيب = قصيده بیمار و طبيب = مثنوی بیمار و طبيب = منظومه بیمار و</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•طبيب / شعر / فارسی</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 بیماری بدن / طب / فارسی</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 بیماری پوست / طب / فارسی</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 بیماری وبا / طب / فارسی</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 بیماریها و داروها / طب / فارسی</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•بیماریها و علاج آن / طب / فارسی</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•بیماریهای پرندگان / حيوان شناسی / فارسی</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•بیماریهای چشم و درمان آنها / طب / فارسی</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•بیماریهای سینه و شکم / طب / فارسی</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•بیماری های گوش و گلو و بینی / طب / فارسی</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•بیماریهای مفاصل و درمان آنها / طب / فارسی</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•بیم و امید / کلام و اعتقادات / فارسی</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•بین السیدین / فقه / عربی</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•بینش غرض آفرینش / كلام و اعتقادات / فارسی</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 بینوایان (ترجمه) / داستان / فارسی</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 بینوایان (ترجمه) / داستان / فارسی</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 البينة / کلام و اعتقادات / عربی</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•بينه / گوناگون / فارسی</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 بيوتات الشيعة / رجال / عربی</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 البيوتات العلوية / انساب / عربی</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 البيوع / فقه / عربی</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•بی وفائی دنیا = پند خسرو پرویز / شعر / فارسی</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 بیوگرافی اطباء و پزشکان اردستان / تراجم / فارسی</w:t>
        </w:r>
        <w:r>
          <w:tab/>
        </w:r>
        <w:r>
          <w:fldChar w:fldCharType="begin"/>
        </w:r>
        <w:r>
          <w:instrText xml:space="preserve">PAGEREF 742 \h</w:instrText>
        </w:r>
        <w:r>
          <w:fldChar w:fldCharType="end"/>
        </w:r>
      </w:hyperlink>
    </w:p>
    <w:p>
      <w:pPr>
        <w:tabs>
          <w:tab w:val="right" w:leader="dot" w:pos="9062"/>
        </w:tabs>
        <w:ind w:left="220"/>
      </w:pPr>
      <w:hyperlink w:anchor="_Toc743" w:history="1">
        <w:r>
          <w:rPr>
            <w:rFonts w:ascii="IRNazanin" w:hAnsi="IRNazanin" w:eastAsia="IRNazanin" w:cs="IRNazanin"/>
            <w:color w:val="111111"/>
            <w:sz w:val="22"/>
            <w:szCs w:val="22"/>
            <w:b w:val="0"/>
            <w:bCs w:val="0"/>
            <w:i w:val="0"/>
            <w:iCs w:val="0"/>
          </w:rPr>
          <w:t>پ</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 پاپریه در موجزی از اقوال نحویه بزبان پارسیه (رساله) / نحو / فارسی</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 پاتو بیولوژی / طب / فارسی</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 پاتولوژی = خمسه ناصری / طب / فارسی</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 پاتولوژی = العلل و الأمراض = کتاب امراض اطب / فارسی</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 پاتولوژی - علم الأمراض = علل الأمراض / طب / فارسی</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 پاتولوژی = پاطولوژی (ترجمه) / طب / فارسی</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 پاتولوژی / طب / عربی</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 پاتولوژی / طب / فارسی</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 پادزهر / طب / فارسی</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 پادزهر (رساله در بیان) / طب / فارسی</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 پادزهر / طب / فارسی</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 پادزهرنامه گزین / طب / فارسی</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 پادشاهان دهلی / تاریخ / فارسی</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 پادشاه مصر و پسر آهنگر / شعر / فارسی</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 پادشاه نامه = شاهجهان نامه / شعر، تاریخ هند / فارسی</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 پادشاه نامه / تاریخ / فارسی</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 پادشاه نامه / تاریخ / فارسی</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 پادشاه نامه / تاریخ / فارسی</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 پادشاه نامه لاهوری = شاه جهان نامه / تاریخ هند / فارسی</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 پادشاهی طغا تيمور بن سودای کاون بن بابا کاون / تاریخ / فارسی</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 پارسی نامه / دستور زبان فارسی</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•پاره ای از مسائل عارفان /عرفان و تصوف / فارسی</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 پاس انفاس / عرفان و تصوف / فارسی</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•پاسخ / نامه نگاری / عربی</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•پاسخ ابن سینا / پاسخ پرسش ها / عربی</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 پاسخ ابوالسعود چلبی / عرفان و تصوف / فارسی</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 پاسخ استفتاء / فقه / عربی</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•پاسخ امیر المومنین علی (علیه السلام) به این سوال: کیف دفعكم عن هذا المقام / حديث / عربی</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•پاسخ امین الدین تبریزی / پاسخ پرسش ها / عربی</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•پاسخ بدخواهان / فارسی</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•پاسخ بعضی اخبار مشكله / كلام و اعتقادات / عربی</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•پاسخ به پاسخ آقای جهاندار عضو حزب توده ایران / حكومت و سیاست / فارسی</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 پاسخ به پرسش شیخ شرف الدین قونوی / فلسفه / فارسی</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•پاسخ به پرسشهای کلامی / کلام و اعتقادات / فارسی</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 پاسخ به پرسشهای هراسکانی / فلسفه، اخلاق / فارسی</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•پاسخ به پزشکی / عرفان و تصوف / فارسی</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•پاسخ به جمعی از افاضل ابهر / فلسفه / فارسی</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 پاسخ به چند سؤال / کلام و اعتقادات / فارسی</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•پاسخ به حاکم لاهیجان / پاسخ پرسش ها</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 پاسخ به دو پرسش / پاسخ پرسش ها / فارسی</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 پاسخ به دوستی / پاسخ پرسشها</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•پاسخ به رساله فراموشخانه / تاریخ ایران، حکومت و سیاست / فارسی</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 پاسخ به سؤالات اهالی رشت / کلام و اعتقادات / فارسی</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•پاسخ به سؤالات عباسقلی میرزا / کلام و اعتقادات / فارسی</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•پاسخ به سؤال حاج آقا محمد قوانینی درباره مؤلف جامع الاحاديث / پاسخ پرسش ها</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•پاسخ به سؤالی از اسلامبول درباره طالع عقرب / پاسخ پرسش ها</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 پاسخ به سؤالی درباره عمل به فتاوای کتب فقهی / فقه / عربی</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•پاسخ به شبهات سلمان از سماء رحمن نازل / بهائیت / فارسی</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 پاسخ به شبهه ای درباره رد شمس / کلام و اعتقادات / فارسی</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•پاسخ به شبهه قائلين به وحدت وجود / فلسفه / عربی</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•پاسخ به شیخیه / كلام و اعتقادات / فارسی</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•پاسخ به عارف / فلسفه / عربی</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•پاسخ به کسرویان / كلام و اعتقادات / فارسی</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•پاسخ به محمد شفیع بن محمد مقیم کاشانی / فقه / فارسی</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•پاسخ به محمد قاسم خراسانی / فلسفه / فارسی</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 پاسخ به مسائل / پاسخ پرسش ها / فارسی</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 پاسخ به ملا جلال دوانی / نامه نگاری / فارسی</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 پاسخ به مهذب الدين / نامه نگاری / فارسی</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 پاسخ به نامه امیر خسرو دهلوی / نامه نگاری / فارسی</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•پاسخ به نامه حاج محمد علی بن آقا عبدالواحد یزدی امام جمعه / پاسخ پرسش ها / فارسی</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•پاسخ به نامه کاشانی / نامه نگاری / فارسی</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•پاسخ به هفت پرسش / پاسخ پرسش ها / فارسی</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•پاسخ به هفت سؤال / پاسخ پرسش ها / فارسی</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•پاسخ به یک ایرانی / فارسی</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•پاسخ به یک نامه / نامه نگاری / عربی، فارسی</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•پاسخ پرسش اهل مولتان = جواب پرسش اهل مولتان / کلام و اعتقادات / فارسی</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•بهادرخان / پاسخ پرسش ها / فارسی</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•پاسخ پرسش حاج ملاحسین بن ملاعلی یزدی / پاسخ پرسش ها / عربی</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•پاسخ پرسشهای ارومی / پاسخ پرسش ها / فارسی</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•پاسخ پرسشهای اصلان خان / پاسخ پرسش ها / فارسی</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•پاسخ پرسشهای اعتقادی = اجوبة الاسئله / پاسخ پرسش ها / فارسی</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 پاسخ پرسشهای اعتقادی / کلام و اعتقادات / فارسی</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 پاسخ پرسشهای اهل قفقاز / پاسخ پرسش ها / فارسی</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•پاسخ پرسشهای ترمذی / عرفان و تصوف، پاسخ پرسش ها</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 پاسخ پرسشهای حسین خان قونسول / پاسخ پرسش ها / فارسی</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 پاسخ پرسشهای شاه بخارا / پاسخ پرسش ها / فارسی</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 پاسخ پرسشهای عباد / عرفان و تصوف / عربی</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•پاسخ پرسشهای عرفانی / عرفان و تصوف / عربی</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•پاسخ پرسشهای محمد مهدی میرزا = غیبت / اخلاق، کلام و اعتقادات، پاسخ پرسش ها / فارسی</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•پاسخ پرسشهای ملا زین العابدین کرمانی / پاسخ پرسش ها / فارسی</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 پاسخ پرسشهای میرزا اسحاق خان / پاسخ پرسش ها / فارسی</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 پاسخ پرسشهای میرزا کریم / پاسخ پرسش ها / فارسی</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•پاسخ پرسشهای نذر على = ترجیح بلامرجح = الرسالة القمية = القمية = جواب المسائل القميه / پاسخ پرسش ها / فارسی</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 پاسخ پرسشی از توحید / پاسخ پرسش ها / فارسی</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 پاسخ پرسش یکی از بزرگان / پاسخ پرسش ها / فارسی</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 پاسخ پسکویچ به نایب السلطنه / اسناد / فارسی</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 پاسخ تهرانی به داماد / فقه / عربی</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•پاسخ تیره سخنان / کلام و اعتقادات / فارسی</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•پاسخ چند پرسش / پاسخ پرسش ها، عرفان و تصوف / فارسی</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 پاسخ چند پرسش / پاسخ پرسش ها، کلام و اعتقادات / فارسی</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 پاسخ چند مسأله / پاسخ پرسش ها / فارسی</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 پاسخ حاجی بکتاش ولی پرسش ها / فارسی</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•پاسخ حقیقت / فارسی</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 پاسخ درباره کسی که ادعای وکالت صاحب الزمان را می کند / پاسخ پرسشها، کلام و اعتقادات</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•پاسخ دوازده پرسش / پاسخ پرسش ها / فارسی</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•پاسخ دوانی به ترکه / معانی بیان / عربی</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 پاسخ دو سؤال / کلام و اعتقادات / عربی</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•پاسخ رساله دربندی / کلام و اعتقادات / فارسی</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 پاسخ رشتی / پاسخ پرسش ها / فارسی</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•پاسخ سلطان محمد به شاه عباس / اسناد / فارسی</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•پاسخ سنائی به سلطان سنجر = حکایت سلطان سنجر و حکیم سنائی / شعر / فارسی</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•پاسخ سؤالات / پاسخ پرسش ها / فارسی</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•پاسخ سؤال نظام الملكك / نامه نگاری / عربی</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•پاسخ سه پرسش / تفسير / عربی</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•پاسخ سه نامه / نامه نگاری / فارسی</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•پاسخ سید داماد در این مساله که زنا حق خداست یا خلق / كلام و اعتقادات / عربی</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•پاسخ سید محمد کاظم رشتی / پاسخ پرسش ها</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•پاسخ شاگردش / پاسخ پرسش ها</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 پاسخ شاه به پادشاه ترکستان / تاریخ ایران / فارسی</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•پاسخ شاه به محمودخان خواندگار روم / تاریخ ایران،</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•اسناد / فارسی</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 پاسخ شاه به محمودشاه افغان / تاریخ ایران، اسناد / فارسی</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•پاسخ شاه طهماسب به عبیدالله خان اوزبک / اسناد / فارسی</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•پاسخ شیخ محمود افندی / فقه / ترکی</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•پاسخ شیرازیان به پرسش کرمانیان / فلسفه / فارسی</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•پاسخ طوسی به پرسش شمس الاسلام / فلسفه / عربی</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•پاسخ طوسی به پرسش کیشی / فلسفه / فارسی و عربی</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 پاسخ طوسی درباره سخن حنین و ابن سینا درباره نضج و بول / طب / عربی</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 پاسخ طوسی درباره مزاج اندامها / طب / عربی</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 پاسخ عاملی به پرسش طوسی از خسروشاهی / فلسفه / عربی</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•پاسخ عبد المومن خان به شاه عباس / اسناد / فارسی</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•پاسخ عبد المؤمن خان به شاه عباس / اسناد / فارسی</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•پاسخ عبیدالله خان به شاه طهماسب / اسناد / فارسی</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•پاسخ عزل نامه / نامه نگاری / فارسی</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 پاسخ عزیز الدین به سیاوش / عرفان و تصوف / فارسی</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•پاسخ عضدالدين / كلام و اعتقادات / عربی</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•پاسخ عضدالدین به جاربردی / کلام و اعتقادات / عربی</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•پاسخ غزالی به پرسشهای پیروان سنت / پاسخ پرسش ها / فارسی</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 پاسخ غزالی به صدر الاسلام / نامه نگاری / فارسی</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 پاسخ فراهانی به فتحعلی شاه / تاریخ ایران / فارسی</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•پاسخ قاضی شرف الدین / نامه نگاری / فارسی</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 پاسخ قاضی محمود به شیخ علی نقی نامه نگاری افارسی</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•پاسخ قصيده بال مرصع / شعر / فارسی</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 پاسخ قصيده بال مرصع / شعر / فارسی</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 پاسخ قصيده بال مرصع / شعر / فارسی</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 پاسخ قصيده بال مرصع / شعر / فارسی</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 پاسخ قصيده بال مرصع / شعر / فارسی</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 پاسخ قصيده بال مرصع / شعر / فارسی</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 پاسخ قصيده بال مرصع / شعر / فارسی</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 پاسخ قصيده بال مرصع / ادبیات / فارسی</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•پاسخ قصيده بال مرصع / شعر / فارسی</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•پاسخ قنبر به سؤال / متفرقه / عربی، فارسی</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•پاسخ کامران بیک به شاه گیلان / اسناد / فارسی</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•پاسخ محمد صادقا به نامه میرزا علی بیک درباره جعل فلسفی / فلسفه / فارسی</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•پاسخ مصطفی علی شاه / نامه نگاری، شعر / فارسی</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•پاسخ مقابی / کلام و اعتقادات / عربی</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•پاسخ ملکشاه به عريضه خواجه نظام الملک نامه نگاری / فارسی</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•پاسخ مولانا عبدالله درباره وضو گرفتن با آب غصبی / فقه</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•پاسخ میرزا تقی کرمانی / نامه نگاری / فارسی</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•پاسخ میرزا زین العابدین طبيب / طب / عربی</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 پاسخ نامه / عرفان و تصوف / فارسی</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 پاسخ نامه / كلام و اعتقادات / فارسی</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 پاسخ نامه</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•پاسخ نامه امیر تیمور گورگان / تاریخ ایران اسناد / فارسی</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•پاسخ نامه باب / بهائیت / فارسی</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 پاسخ نامه شاه جهان از طرف شاه عباس /تاریخ ایران و اسناد / فارسی</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 پاسخ نامه شاه عباس به عبدالمؤمن خان / اسناد / فارسی</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 پاسخ نامه شیخ محمد بن نویسنده / عرفان و تصوف / عربی</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 پاسخ نامه عبد المؤمن خان / اسناد / فارسی</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•پاسخ نامه عبد المؤمن خان اوزبک / نامه نگاری، اسناد / فارسی</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 پاسخ نامه ملا عبدالخالق / نامه نگاری، کلام و اعتقادات</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•پاسخ نامه میرزا براری / نامه نگاری / فارسی</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•پاسخ نامه میرزا سید علی بروجردی / نامه نگاری، عرفان و تصوف / فارسی</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 پاسخ نامه نجاشی / نامه نگاری / عربی</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•پاسخ نامه والی بغداد به حضرت والا /نامه نگاری /فارسی</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 پاسخ نامه یزدی / پاسخ پرسش ها / فارسی</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•پاسخ وپرسش/ عرفان و تصوف / فارسی</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•پاسخ وپرسش/ عرفان و تصوف، پاسخ پرسش ها / فارسی</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 پاسخ و پرسش / گوناگون / فارسی</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 پاسخ و رد بر کسروی / کلام و اعتقادات / فارسی</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 پاسخ و گفتار سبزواری / فلسفه / عربی</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 پاسخهای سید کاظم رشتی (منتخب) / پاسخ پرسش ها / عربی</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 پاسخهای همدانی / پاسخ پرسش ها / فارسی</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 پاسخی از سلطان محمد پادشاه روم به شاه عباس / اسناد / فارسی</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 پاکتهای خالی سندهای امیر خان سردار / اسناد</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 پاکجویی کسروی / فارسی</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 پاکخویی / فارسی</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 پاک کردن رنگها / صنعت / عربی</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 پاکی / فقه / فارسی</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 پانزده صلح نامه و اجاره نامه و بیع نامه / اسناد / فارسی</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•پایان نامه دکتری /</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 پایداری روان پس از مرگ = حال نفوس بعد از فساد تنها / فلسفه / فارسی جزوی</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•پتیت بوفن/ حيوان شناسی / فارسی</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 پختن حلوا / آشپزی / فارسی</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 پختن حلوا / آشپزی / فارسی</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 پختن شیرینی = تهیه انواع مرباها و حلواها / آشپزی / فارسی</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 پختن طعام / آشپزی / فارسی</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 پدماوت (دیوان اشعار) / ادبیات / اردو</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•پدوماوت / شعر / پنجابی</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 پراکنده اولیاء / متفرقه / فارسی</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 پراکنده هایی در علم کیمیا و وصیت جلد کی /-</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 پرتو اندیشه / شعر / فارسی بقائی نائینی، جلال، ۱۲۸۷ شمسی</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•پرتو انوار / عرفان و تصوف / فارسی</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 پرتونامه / عرفان و تصوف / فارسی</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 پرچم / فارسی</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 پرده برانداخت و پردگی شناخت / عرفان و تصوف / فارسی</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•پرده حجاب / عرفان و تصوف / فارسی</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•پرستاری و خواهران پرستار / زبان فرانسه / فارسی</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 پرسش از خواجه نصیر / مواعظ / فارسی</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•پرسش از سعدی و پاسخ او / عرفان و تصوف / فارسی</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 پرسش امیر مرتضی از سید نعمة الله کرمانی و</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•پاسخ او /عرفان و تصوف / فارسی</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 پرسش بوذرجمهر از استادش / اخلاق / فارسی</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 پرسش زرتشت / شعر / فارسی</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 پرسش شیخ ابو علی / فقه / عربی</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 عرفان و تصوف / فارسی</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•پرسش کسری و پاسخ ارسطو / اخلاق / فارسی</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 پرسش مأمون از برادران بنی موسی درباره گردش کره زمین / ستاره شناسی / عربی</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•پرسش محمد ولی میرزا / پاسخ پرسش ها / فارسی</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 پرسش و پاسخ / پاسخ پرسش ها، اخلاق / فارسی</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 پرسش و پاسخ / فلسفه / فارسی</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 پرسش و پاسخ / فقه / فارسی</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 پرسش و پاسخ / پاسخ پرسش ها / فارسی</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 پرسش و پاسخ (سؤال و جواب) / فقه / فارسی</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•پرسش و پاسخ / فقه / عربی و فارسی</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•پرسش و پاسخ / فقه / فارسی</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 پرسش و پاسخ فارسی</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•پرسش و پاسخ/ کلام و اعتقادات / فارسی</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 پرسش و پاسخ / کلام و اعتقادات، پاسخ پرسش ها / فارسی</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 پرسش و پاسخ / گوناگون / عربی</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 پرسش و پاسخ / گوناگون / فارسی</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•پرسش و پاسخ انوشیروان عادل و حکیم ابوذرجمهر / اخلاق / فارسی</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 پرسش و پاسخ پادشاه روم و دختر قیصر با پادشاه روم / پاسخ پرسش ها / فارسی</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 پرسش و پاسخ (ترجمه پنج) / كلام و اعتقادات / فارسی</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 پرسش و پاسخ در توحید / عرفان و تصوف / عربی</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 پرسش و پاسخ فقهی / فقه / فارسی</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 پرسش و پاسخ میان مرد صاحبدل با چنگ / عرفان و تصوف / فارسی</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 پرسش و پاسخ نوشیروان و یونان / شعر، پاسخ پرسش ها / فارسی</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 پرسشها و اشکالات / اصول فقه / فارسی</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•پرسش و پاسخها / گوناگون / فارسی</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 پرسشهای امیر حسینی / عرفان و تصوف / فارسی</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 پرسشهای سلیمان و پاسخ بدو / اخلاق / فارسی</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 پرسشهایی در طریقه علیم اللهی / پاسخ پرسش ها / فارسی</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 پرسشی از فخر المحققين محمد حلی و پاسخ او</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 پر کار التام / رياضيات / عربی</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 پر کار القطوع (رسالة من) / رياضيات / عربی</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 پرگار = رساله در معرفت ساختن پرگار / ریاضیات / فارسی</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 پرگار متناسبه = طرز ساختن و موارد استعمال پرگار ریاضیات / فارسی</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 پرگار متناسبه / ریاضیات / فارسی</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 پرنسس دو کنتی (ترجمه) / داستان / فارسی</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•پروانچه به خواجه امیر بیک / اسناد / فارسی</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 پروانچه خواندگار روم که به عثمان پاشا به شیروان نوشته است / اسناد / ترکی</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•پروانچه شاهرخ پادشاه / اسناد / فارسی</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 پروانچه قاضی عبدالله خویی برای ملا محسن مذهب / نامه نگاری / فارسی</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 پروانچه کلیدداری آستانه رضوی برای امیر نظام الدین قاضی عبدالله / اسناد / فارسی</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 پروتکل سرخس / اسناد / فارسی</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•پروتکل شماره ۴/ اسناد / فارسی</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 پروتکل قانون نامه در باب حق تملک در ممالک عثمانی / قانون / فارسی</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•پرورده خيال / ادبیات / فارسی</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•پرورش دبیر و معلم در انگلستان و ایران / تعلیم و تربیت / انگلیسی</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•پرورش نطفه / طب / فارسی</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•پروگرام مدرسه مبارکه صنایع اصنعت / فارسی</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 پرهیز گاری از دیدگاه قرآن / اصول فقه / فارسی</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•پریخانه / ادبیات فارسی</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 پریشان = گلستان قاآنی / ادبیات فارسی</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•پریشان نامه / كلام و اعتقادات، شعر / فارسی و لری</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•پریشان نامه / شعر / ترکی</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 پریشان نامه / ادبیات / فارسی</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•پری نامه / طالع بینی - فارسی</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•پزشکنامه / طب، شعر / فارسی</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•پزشکی نامه (منتخب) / طب / فارسی</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 پزشکی و دعا / طب، دعا / فارسی</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•پزشکی و کیمیایی / کیمیا، طب / فارسی</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•پژواک ابتذال / متفرقه / فارسی</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•پژوهشی در امامزاده سهل بن علی / جغرافيا / فارسی</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•پس از بیست سال / تاریخ / فارسی</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 پطر کبیر / تاریخ / فارسی</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 پلتیک انگلیس / حكومت و سیاست / فارسی</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 پنج آهنگ / متفرقه / فارسی</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•پنجاتنترا / ادبیات</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 پنجاه باب سلطانی / اسطرلاب / فارسی</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•پنجاه خاصیت کیمیای سعادت / دعا / فارسی</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•پنجاه سال نفت ایران / تاریخ ایران / فارسی</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 پنجاه فرض / شعر / فارسی</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•پنجاه موعظه از تورات و انجیل / حديث / فارسی</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 پنجاه موقف / کلام و اعتقادات / فارسی</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 پنج بیت از ابوحنیفه / شعر / عربی</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•پنج تفضیح / كلام و اعتقادات / فارسی</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 پنج تقرير / فلسفه / فارسی</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 پنج تن (جدول) / متفرقه</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 پنج رقعه / ادبیات فارسی</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 پنج شأن / بهائیت / فارسی</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•پنج غزل در مدح فرخ خان حاکم کاشان / ادبيات / فارسی و عربی</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 پنج فصل = بحرانیه / طب / فارسی</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 پنج کشتی / شعر / فارسی</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•پنج گنج / شعر / فارسی</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•پنج گنج / صرف / فارسی</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 پنج گنج = خمسه / شعر / فارسی</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 پنج گنج = خمسه / شعر / فارسی</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 پنج گنج / شعر / فارسی</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•پنج گنج / شعر / فارسی</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 پنج گنج / گوناگون / فارسی</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•پنج گنج / كيميا / فارسی و اردو</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 پنج گنج / صرف / فارسی</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 پنج گنج (گزیده) / شعر / فارسی</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 پنج گنج (منتخب) / شعر / فارسی</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•پنج منزل عارفان/ عرفان و تصوف، شعر / فارسی</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 پنج نامه / اسناد / فارسی</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 پنجه آفتاب عالمتاب = پنجه خورشید / کلام و اعتقادات / فارسی</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•پند / اخلاق / فارسی</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•پند / شعر، اخلاق / فارسی</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 پند ارسطو و بزرگمهر به فرزند خود / اخلاق / فارسی</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 پندارها / فارسی</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 پند افلاطون به اسکندر / اخلاق / فارسی</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•پند بزرگمهر / اخلاق / فارسی</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 پند به فرزند / مواعظ، اخلاق / فارسی</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•پند پیامبر به امت / اخلاق / فارسی</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•پند عرفانی/ عرفان و تصوف / فارسی</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 پند فرزانه به فرزند / اخلاق / فارسی</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 پندنامه = صد پند = نصایح لقمان = اندرزنامه / اخلاق / فارسی</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 پندنامه / اخلاق / فارسی</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 پندنامه / اخلاق / فارسی</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 پندنامه = نصیحت نامه = نصایح خواجه عبدالله انصاری به خواجه نظام الملک طوسی / عرفان و تصوف، اخلاق / فارسی</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•پندنامه = نصایح = ولدنامه = پسر نامه / شعر / فارسی</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 پندنامه / اخلاق / فارسی</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•پندنامه / اخلاق / فارسی</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•پندنامه = نصیحت نامه / شعر / فارسی</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 پندنامه / شعر، اخلاق / ترکی، عربی و فارسی</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•و پندنامه / اخلاق / فارسی</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 پندنامه / اخلاق / فارسی</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•پندنامه / اخلاق / فارسی</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 پندنامه = مثنوی عرفانی / شعر، اخلاق / فارسی</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 پندنامه / شعر، اخلاق / فارسی</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 پندنامه / اخلاق / فارسی</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 پندنامه / شعر، اخلاق / فارسی</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 پندنامه / شعر، اخلاق / فارسی</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•پندنامه / اخلاق / عربی و فارسی</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 پندنامه / اخلاق / فارسی</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 پندنامه انوشیروان = راحة الانسان / شعر / فارسی</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 پندنامه انوشیروان / اخلاق / فارسی</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•پندنامه انوشیروان / اخلاق / فارسی</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•پندنامه به مهاذر فروخ برادر سلمان / اخلاق / عربی</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•پندنامه جهانگیری / عرفان و تصوف / فارسی</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•پندنامه غزالی برای شاه / اخلاق / فارسی</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•پند و اصول دین و عرفان / اخلاق / فارسی</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•پند و اندرز / اخلاق / فارسی</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 پند و اندرز / اخلاق / فارسی</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 پند و اندرز / مواعظ / فارسی</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 پند و دعا / بهائیت / عربی، فارسی</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•پند و موعظه = هدایت نامه / اخلاق / فارسی</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 پندهای اخلاقی = حکایات / اخلاق / فارسی</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 پندهای ارسطو = اندرزنامه ارسطو / اخلاق / فارسی</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 پندیات شاه عبد السلام / اخلاق / فارسی</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•پورنامه / عرفان و تصوف، اخلاق / فارسی</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 پوزش نامه = داروی پوزش / کلام و اعتقادات / فارسی</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•پوشیدن جامه / شعر / فارسی</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•پوشیدن لباس مذهب / فقه / فارسی</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 پول، ارز و اعتبارات / اقتصاد / فارسی</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 پولتیک ایران در عراقین / حكومت و سیاست / فارسی</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 پولتیک خسروان و فرماندهان و صنایع آنان در الشكرداری و کشور گیری / فنون نظامی، حکومت و سیاست / فارسی</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•پولتیک روس در ایران/ حکومت و سیاست / فارسی</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 پولتیک روس و انگلیس / حكومت و سیاست / فارسی</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•پولتیکهای دولتی / حکومت و سیاست / فارسی</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•پهلا حصه / کلام و اعتقادات / اردو</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•پیاده نظام / فنون نظامی / فارسی</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•پیاله های دوازده گانه فقرا / عرفان و تصوف / فارسی</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 پیامبران اولوا العزم / تاریخ پیامبران / عربی</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 پیامبران اولوالعزم / ادیان و مذاهب / فارسی</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•پیامبران و امامان / تاریخ معصومین، تاریخ پیامبران / عربی</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•پیامبر و امامان / تاریخ معصومین / فارسی</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•پیامبری و پیشوائی /عرفان و تصوف / فارسی</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•پیدا شدن حروف و خواص آن / هيئت / فارسی</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 پیدا کردن سهام از زایچه = سهام السعادة / هيئت / فارسی</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•پیدایش آمریکا / تاریخ جهان / فارسی</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•پیدایش پزشکی و تحقیق در الهام و لذت عقلی / طب / فارسی</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•پیدایش دیوان و برهمنان / داستان / فارسی</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•پیدایش موسیقی / موسیقی / فارسی</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•پیرامون ادبیات / ادبیات / فارسی</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 پیرامون اسلام / كلام و اعتقادات / فارسی</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•پیرامون اصلاحات / حكومت و سیاست / فارسی</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•پیرامون جانوران / حيوان شناسی / فارسی</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•پیرامون خرد / فارسی</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•پیرامون رمان / ادبیات فارسی</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 پیرامون روان / فارسی</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•پیرامون شعر و شاعری / ادبیات / فارسی</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•پیر مرتضی علی اردستانی / تراجم / فارسی</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•پیرنامه / عرفان و تصوف / فارسی</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 پیر و جوان = بهار و خزان = بهاریه / شعر / فارسی</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 پیر و جوان / شعر / فارسی</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•پیر و جوان / داستان / فارسی</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•پیروزی و مقاله نوروزی / ادبیات فارسی</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 پیزری اردستانی / تراجم / فارسی</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 پیشاهنگ صاحب الزمان / متفرقه / فارسی</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 پیشگویی / علوم غریبه / فارسی</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 پیشگویی / پیشگویی / فارسی</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•پیشگوئیهای شاه نعمت الله ولی / شعر، پیشگویی / فارسی</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 پیش نویس یک نامه از قرن ۱۱ / نامه نگاری / فارسی</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•پیشنهاد کمیسیون مطالعات نظام / حكومت و سیاست / فارسی</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•پیشوایان چهارگانه اهل سنت / تراجم / فارسی</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•پیشوای بزرگوار امام نهم (علیه السلام) / تاریخ / فارسی</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•پیشه وران در ایران باستان / تاریخ ایران / فارسی</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•پیشی چیز بر هست = وجود و ماهیت / منطق، فلسفه / فارسی</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•پیکره روسای مدرسه سیاسی و دانشکده حقوق دانشگاه تهران / عکس</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•پیل و پشه / شعر / فارسی</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•پیمان بازرگانی / اسناد / فارسی</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 پیوستن قمر در بروج اثنی عشریه / هیئت / فارسی</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 پیوستن مشتری به زحل / هیئت / فارسی</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 پیوستن وجود جسمانی به وجود روحانی / فلسفه / فارسی</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 پیوند / کشاورزی / فارسی</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 پیوند حروف با ستارگان / هيئت / فارسی</w:t>
        </w:r>
        <w:r>
          <w:tab/>
        </w:r>
        <w:r>
          <w:fldChar w:fldCharType="begin"/>
        </w:r>
        <w:r>
          <w:instrText xml:space="preserve">PAGEREF 1143 \h</w:instrText>
        </w:r>
        <w:r>
          <w:fldChar w:fldCharType="end"/>
        </w:r>
      </w:hyperlink>
    </w:p>
    <w:p>
      <w:pPr>
        <w:tabs>
          <w:tab w:val="right" w:leader="dot" w:pos="9062"/>
        </w:tabs>
        <w:ind w:left="220"/>
      </w:pPr>
      <w:hyperlink w:anchor="_Toc1144" w:history="1">
        <w:r>
          <w:rPr>
            <w:rFonts w:ascii="IRNazanin" w:hAnsi="IRNazanin" w:eastAsia="IRNazanin" w:cs="IRNazanin"/>
            <w:color w:val="111111"/>
            <w:sz w:val="22"/>
            <w:szCs w:val="22"/>
            <w:b w:val="0"/>
            <w:bCs w:val="0"/>
            <w:i w:val="0"/>
            <w:iCs w:val="0"/>
          </w:rPr>
          <w:t>ت</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•تئاتر</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•تئاتر / داستان / فارسی</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•تئاتر کاترین هوارد / داستان / فارسی</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•تئاتر کریم شیره / داستان / فارسی</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•تئاتر گفتگوی شیخ شریعت با میرزا خلیل الله / هنر / فارسی</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•تئودریخ / داستان / فارسی</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•التائات و اليائات و الواوات و الهمزات من الكلمات القرآنية / تجوید / عربی</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•التاء في قولنا «ذات القديم» / ادبیات عربی</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 تابلوی دعای جوشن کبیر / مرقعات / عربی</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•تابلوی نقاشی شاه عباس بزرگ / عکس</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 تابية الكاتب / ادبیات / فارسی</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 التاتارخانية = الفتاوی التاتارخانية = زاد المسافر / فقه / عربی</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 تأثر الاخیار / تاریخ معصومین / ترکی</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 التأثير / کیمیا / عربی</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 تأثیرات حروف جمل وقت حلول قمر به منازل (مقالی در) / دعا / فارسی</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•تاثیر الاسم الاعظم و تسخير الكواكب و الارواح و العلويات / علوم غریبه / عربی</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•تأثير الدعاء على ترتيب الكواكب / هیئت / عربی</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•التاج / اخلاق / عربی</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•تاج الاخبار و سراج الآثار / تاریخ جهان، تاریخ ایران / فارسی</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•تاج التراجم / تراجم / عربی</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 تاج التراجم في تفسير القرآن للأعاجم = تفسیر اسفراینی / تفسير / فارسی</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 تاج التواریخ = خواجه تاریخی = تاریخ خواجه / تاریخ / ترکی</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•تاج التواریخ = تاریخ عثمانی / تاریخ / ترکی</w:t>
        </w:r>
        <w:r>
          <w:tab/>
        </w:r>
        <w:r>
          <w:fldChar w:fldCharType="begin"/>
        </w:r>
        <w:r>
          <w:instrText xml:space="preserve">PAGEREF 1168 \h</w:instrText>
        </w:r>
        <w:r>
          <w:fldChar w:fldCharType="end"/>
        </w:r>
      </w:hyperlink>
    </w:p>
    <w:p>
      <w:pPr>
        <w:tabs>
          <w:tab w:val="right" w:leader="dot" w:pos="9062"/>
        </w:tabs>
        <w:ind w:left="440"/>
      </w:pPr>
      <w:hyperlink w:anchor="_Toc1169" w:history="1">
        <w:r>
          <w:rPr>
            <w:rFonts w:ascii="IRNazanin" w:hAnsi="IRNazanin" w:eastAsia="IRNazanin" w:cs="IRNazanin"/>
            <w:color w:val="111111"/>
            <w:sz w:val="22"/>
            <w:szCs w:val="22"/>
            <w:b w:val="0"/>
            <w:bCs w:val="0"/>
            <w:i w:val="0"/>
            <w:iCs w:val="0"/>
          </w:rPr>
          <w:t>• تاج الحكمة لاكمال النعمة / عرفان و تصوف / فارسی</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•تاج الدرة في شرح قصيدة البردة / ادبیات عربی</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•تاج دوازده ترک / عرفان و تصوف / فارسی</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•تاج الرؤس و عز النفوس / لغت / فارسی</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 تاجر و غلام / شعر / فارسی</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•تاج العروس الحاوی لتهذيب النفوس / اخلاق / عربی</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•تاج العروس و محلل الكعوب (ترجمه) / فقه / فارسی</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•تاج العقائد و معدن الفوائد / کلام و اعتقادات / عربی</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 تاج فرخی / شعر / فارسی</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 تاج القصائد / شعر / فارسی</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•تاج القصص = انیس المریدین و روضة المحبين تاریخ پیامبران / فارسی</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 تاج المآثر / تاریخ هند / فارسی</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 تاج المآثر (مختصر) / تاریخ اسلام / فارسی</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 تاج محل = احوال تاج بی بی بیگم ممتاز محل / تاریخ / فارسی</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•تاج المداخل / هیئت / عربی</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 تاج المدایح / تراجم / فارسی</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 تاج مرصع / كيميا / فارسی</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 تاج المصادر = تهذيب الأسماء = تاج الاسامی / لغت / عربی به فارسی</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•تاج المصادر / لغت / عربی به ترکی</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 تاج المناقب في فضائل الأئمة الاثني عشر / کلام و</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 تاج المواليد / تاریخ معصومین / عربی</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•تاجنامه / عرفان و تصوف / فارسی</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•تاج نامه پیامبر / علوم غریبه، اسطرلاب / فارسی</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•التاج و خلقة المولود / کیمیا / عربی</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•تاج و هاج تارک دادار / تاریخ پادشاهان . فارسی و عربی</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•تأجيج نيران الاحزان = جامع الاحزان = مؤجج الاحزان في وفات غریب خراسان / تاریخ معصومین / عربی</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•تاجیه / عرفان و تصوف / عربی</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•تاجیه / عرفان و تصوف / فارسی</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•تأخیر بیان الحاجة / اصول فقه / عربی</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 تأديب الأطفال / داستان / فارسی</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 تأديب البنات / تعلیم و تربیت / فارسی</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•تادیب زنان / متفرقه / فارسی</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•تأديب النساء / اخلاق / فارسی</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 تأديب النسوان / ادبیات فارسی</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 تأديب الولد العاق / مواعظ / عربی</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•التاريخ / تاریخ / عربی</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•تاریخ / تاریخ / عربی</w:t>
        </w:r>
        <w:r>
          <w:tab/>
        </w:r>
        <w:r>
          <w:fldChar w:fldCharType="begin"/>
        </w:r>
        <w:r>
          <w:instrText xml:space="preserve">PAGEREF 1205 \h</w:instrText>
        </w:r>
        <w:r>
          <w:fldChar w:fldCharType="end"/>
        </w:r>
      </w:hyperlink>
    </w:p>
    <w:p>
      <w:pPr>
        <w:tabs>
          <w:tab w:val="right" w:leader="dot" w:pos="9062"/>
        </w:tabs>
        <w:ind w:left="440"/>
      </w:pPr>
      <w:hyperlink w:anchor="_Toc1206" w:history="1">
        <w:r>
          <w:rPr>
            <w:rFonts w:ascii="IRNazanin" w:hAnsi="IRNazanin" w:eastAsia="IRNazanin" w:cs="IRNazanin"/>
            <w:color w:val="111111"/>
            <w:sz w:val="22"/>
            <w:szCs w:val="22"/>
            <w:b w:val="0"/>
            <w:bCs w:val="0"/>
            <w:i w:val="0"/>
            <w:iCs w:val="0"/>
          </w:rPr>
          <w:t>•تاریخ / تاریخ / عربی</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•تاریخ / تاریخ / عربی</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•تاریخ / تاریخ / فارسی</w:t>
        </w:r>
        <w:r>
          <w:tab/>
        </w:r>
        <w:r>
          <w:fldChar w:fldCharType="begin"/>
        </w:r>
        <w:r>
          <w:instrText xml:space="preserve">PAGEREF 1208 \h</w:instrText>
        </w:r>
        <w:r>
          <w:fldChar w:fldCharType="end"/>
        </w:r>
      </w:hyperlink>
    </w:p>
    <w:p>
      <w:pPr>
        <w:tabs>
          <w:tab w:val="right" w:leader="dot" w:pos="9062"/>
        </w:tabs>
        <w:ind w:left="440"/>
      </w:pPr>
      <w:hyperlink w:anchor="_Toc1209" w:history="1">
        <w:r>
          <w:rPr>
            <w:rFonts w:ascii="IRNazanin" w:hAnsi="IRNazanin" w:eastAsia="IRNazanin" w:cs="IRNazanin"/>
            <w:color w:val="111111"/>
            <w:sz w:val="22"/>
            <w:szCs w:val="22"/>
            <w:b w:val="0"/>
            <w:bCs w:val="0"/>
            <w:i w:val="0"/>
            <w:iCs w:val="0"/>
          </w:rPr>
          <w:t>• تاریخ آدورسوس پاگنوس / تاریخ عربی</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 تاریخ آستانه عراق / جغرافيا / فارسی</w:t>
        </w:r>
        <w:r>
          <w:tab/>
        </w:r>
        <w:r>
          <w:fldChar w:fldCharType="begin"/>
        </w:r>
        <w:r>
          <w:instrText xml:space="preserve">PAGEREF 1210 \h</w:instrText>
        </w:r>
        <w:r>
          <w:fldChar w:fldCharType="end"/>
        </w:r>
      </w:hyperlink>
    </w:p>
    <w:p>
      <w:pPr>
        <w:tabs>
          <w:tab w:val="right" w:leader="dot" w:pos="9062"/>
        </w:tabs>
        <w:ind w:left="440"/>
      </w:pPr>
      <w:hyperlink w:anchor="_Toc1211" w:history="1">
        <w:r>
          <w:rPr>
            <w:rFonts w:ascii="IRNazanin" w:hAnsi="IRNazanin" w:eastAsia="IRNazanin" w:cs="IRNazanin"/>
            <w:color w:val="111111"/>
            <w:sz w:val="22"/>
            <w:szCs w:val="22"/>
            <w:b w:val="0"/>
            <w:bCs w:val="0"/>
            <w:i w:val="0"/>
            <w:iCs w:val="0"/>
          </w:rPr>
          <w:t>•تاریخ آسیای وسطی (ترجمه) / تاریخ جهان / فارسی</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 تاریخ آل برامکه / تاریخ / فارسی</w:t>
        </w:r>
        <w:r>
          <w:tab/>
        </w:r>
        <w:r>
          <w:fldChar w:fldCharType="begin"/>
        </w:r>
        <w:r>
          <w:instrText xml:space="preserve">PAGEREF 1212 \h</w:instrText>
        </w:r>
        <w:r>
          <w:fldChar w:fldCharType="end"/>
        </w:r>
      </w:hyperlink>
    </w:p>
    <w:p>
      <w:pPr>
        <w:tabs>
          <w:tab w:val="right" w:leader="dot" w:pos="9062"/>
        </w:tabs>
        <w:ind w:left="440"/>
      </w:pPr>
      <w:hyperlink w:anchor="_Toc1213" w:history="1">
        <w:r>
          <w:rPr>
            <w:rFonts w:ascii="IRNazanin" w:hAnsi="IRNazanin" w:eastAsia="IRNazanin" w:cs="IRNazanin"/>
            <w:color w:val="111111"/>
            <w:sz w:val="22"/>
            <w:szCs w:val="22"/>
            <w:b w:val="0"/>
            <w:bCs w:val="0"/>
            <w:i w:val="0"/>
            <w:iCs w:val="0"/>
          </w:rPr>
          <w:t>• تاریخ آل سلجوق / تاریخ / ترکی</w:t>
        </w:r>
        <w:r>
          <w:tab/>
        </w:r>
        <w:r>
          <w:fldChar w:fldCharType="begin"/>
        </w:r>
        <w:r>
          <w:instrText xml:space="preserve">PAGEREF 1213 \h</w:instrText>
        </w:r>
        <w:r>
          <w:fldChar w:fldCharType="end"/>
        </w:r>
      </w:hyperlink>
    </w:p>
    <w:p>
      <w:pPr>
        <w:tabs>
          <w:tab w:val="right" w:leader="dot" w:pos="9062"/>
        </w:tabs>
        <w:ind w:left="440"/>
      </w:pPr>
      <w:hyperlink w:anchor="_Toc1214" w:history="1">
        <w:r>
          <w:rPr>
            <w:rFonts w:ascii="IRNazanin" w:hAnsi="IRNazanin" w:eastAsia="IRNazanin" w:cs="IRNazanin"/>
            <w:color w:val="111111"/>
            <w:sz w:val="22"/>
            <w:szCs w:val="22"/>
            <w:b w:val="0"/>
            <w:bCs w:val="0"/>
            <w:i w:val="0"/>
            <w:iCs w:val="0"/>
          </w:rPr>
          <w:t>• تاریخ آل سلجوق / تاریخ / فارسی</w:t>
        </w:r>
        <w:r>
          <w:tab/>
        </w:r>
        <w:r>
          <w:fldChar w:fldCharType="begin"/>
        </w:r>
        <w:r>
          <w:instrText xml:space="preserve">PAGEREF 1214 \h</w:instrText>
        </w:r>
        <w:r>
          <w:fldChar w:fldCharType="end"/>
        </w:r>
      </w:hyperlink>
    </w:p>
    <w:p>
      <w:pPr>
        <w:tabs>
          <w:tab w:val="right" w:leader="dot" w:pos="9062"/>
        </w:tabs>
        <w:ind w:left="440"/>
      </w:pPr>
      <w:hyperlink w:anchor="_Toc1215" w:history="1">
        <w:r>
          <w:rPr>
            <w:rFonts w:ascii="IRNazanin" w:hAnsi="IRNazanin" w:eastAsia="IRNazanin" w:cs="IRNazanin"/>
            <w:color w:val="111111"/>
            <w:sz w:val="22"/>
            <w:szCs w:val="22"/>
            <w:b w:val="0"/>
            <w:bCs w:val="0"/>
            <w:i w:val="0"/>
            <w:iCs w:val="0"/>
          </w:rPr>
          <w:t>• تاریخ آل سلجوق / تاریخ / فارسی</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•تاریخ آل عبا / تاریخ معصومین / فارسی</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•تاریخ آل عثمان / تاریخ / ترکی</w:t>
        </w:r>
        <w:r>
          <w:tab/>
        </w:r>
        <w:r>
          <w:fldChar w:fldCharType="begin"/>
        </w:r>
        <w:r>
          <w:instrText xml:space="preserve">PAGEREF 1217 \h</w:instrText>
        </w:r>
        <w:r>
          <w:fldChar w:fldCharType="end"/>
        </w:r>
      </w:hyperlink>
    </w:p>
    <w:p>
      <w:pPr>
        <w:tabs>
          <w:tab w:val="right" w:leader="dot" w:pos="9062"/>
        </w:tabs>
        <w:ind w:left="440"/>
      </w:pPr>
      <w:hyperlink w:anchor="_Toc1218" w:history="1">
        <w:r>
          <w:rPr>
            <w:rFonts w:ascii="IRNazanin" w:hAnsi="IRNazanin" w:eastAsia="IRNazanin" w:cs="IRNazanin"/>
            <w:color w:val="111111"/>
            <w:sz w:val="22"/>
            <w:szCs w:val="22"/>
            <w:b w:val="0"/>
            <w:bCs w:val="0"/>
            <w:i w:val="0"/>
            <w:iCs w:val="0"/>
          </w:rPr>
          <w:t>• تاریخ آل عثمان / تاریخ / فارسی</w:t>
        </w:r>
        <w:r>
          <w:tab/>
        </w:r>
        <w:r>
          <w:fldChar w:fldCharType="begin"/>
        </w:r>
        <w:r>
          <w:instrText xml:space="preserve">PAGEREF 1218 \h</w:instrText>
        </w:r>
        <w:r>
          <w:fldChar w:fldCharType="end"/>
        </w:r>
      </w:hyperlink>
    </w:p>
    <w:p>
      <w:pPr>
        <w:tabs>
          <w:tab w:val="right" w:leader="dot" w:pos="9062"/>
        </w:tabs>
        <w:ind w:left="440"/>
      </w:pPr>
      <w:hyperlink w:anchor="_Toc1219" w:history="1">
        <w:r>
          <w:rPr>
            <w:rFonts w:ascii="IRNazanin" w:hAnsi="IRNazanin" w:eastAsia="IRNazanin" w:cs="IRNazanin"/>
            <w:color w:val="111111"/>
            <w:sz w:val="22"/>
            <w:szCs w:val="22"/>
            <w:b w:val="0"/>
            <w:bCs w:val="0"/>
            <w:i w:val="0"/>
            <w:iCs w:val="0"/>
          </w:rPr>
          <w:t>• تاریخ آل عثمان = فتح نامه / تاریخ / فارسی</w:t>
        </w:r>
        <w:r>
          <w:tab/>
        </w:r>
        <w:r>
          <w:fldChar w:fldCharType="begin"/>
        </w:r>
        <w:r>
          <w:instrText xml:space="preserve">PAGEREF 1219 \h</w:instrText>
        </w:r>
        <w:r>
          <w:fldChar w:fldCharType="end"/>
        </w:r>
      </w:hyperlink>
    </w:p>
    <w:p>
      <w:pPr>
        <w:tabs>
          <w:tab w:val="right" w:leader="dot" w:pos="9062"/>
        </w:tabs>
        <w:ind w:left="440"/>
      </w:pPr>
      <w:hyperlink w:anchor="_Toc1220" w:history="1">
        <w:r>
          <w:rPr>
            <w:rFonts w:ascii="IRNazanin" w:hAnsi="IRNazanin" w:eastAsia="IRNazanin" w:cs="IRNazanin"/>
            <w:color w:val="111111"/>
            <w:sz w:val="22"/>
            <w:szCs w:val="22"/>
            <w:b w:val="0"/>
            <w:bCs w:val="0"/>
            <w:i w:val="0"/>
            <w:iCs w:val="0"/>
          </w:rPr>
          <w:t>•تاریخ آل عثمان / تاریخ / عربی</w:t>
        </w:r>
        <w:r>
          <w:tab/>
        </w:r>
        <w:r>
          <w:fldChar w:fldCharType="begin"/>
        </w:r>
        <w:r>
          <w:instrText xml:space="preserve">PAGEREF 1220 \h</w:instrText>
        </w:r>
        <w:r>
          <w:fldChar w:fldCharType="end"/>
        </w:r>
      </w:hyperlink>
    </w:p>
    <w:p>
      <w:pPr>
        <w:tabs>
          <w:tab w:val="right" w:leader="dot" w:pos="9062"/>
        </w:tabs>
        <w:ind w:left="440"/>
      </w:pPr>
      <w:hyperlink w:anchor="_Toc1221" w:history="1">
        <w:r>
          <w:rPr>
            <w:rFonts w:ascii="IRNazanin" w:hAnsi="IRNazanin" w:eastAsia="IRNazanin" w:cs="IRNazanin"/>
            <w:color w:val="111111"/>
            <w:sz w:val="22"/>
            <w:szCs w:val="22"/>
            <w:b w:val="0"/>
            <w:bCs w:val="0"/>
            <w:i w:val="0"/>
            <w:iCs w:val="0"/>
          </w:rPr>
          <w:t>•تاریخ آل محمد / تاریخ معصومین / فارسی</w:t>
        </w:r>
        <w:r>
          <w:tab/>
        </w:r>
        <w:r>
          <w:fldChar w:fldCharType="begin"/>
        </w:r>
        <w:r>
          <w:instrText xml:space="preserve">PAGEREF 1221 \h</w:instrText>
        </w:r>
        <w:r>
          <w:fldChar w:fldCharType="end"/>
        </w:r>
      </w:hyperlink>
    </w:p>
    <w:p>
      <w:pPr>
        <w:tabs>
          <w:tab w:val="right" w:leader="dot" w:pos="9062"/>
        </w:tabs>
        <w:ind w:left="440"/>
      </w:pPr>
      <w:hyperlink w:anchor="_Toc1222" w:history="1">
        <w:r>
          <w:rPr>
            <w:rFonts w:ascii="IRNazanin" w:hAnsi="IRNazanin" w:eastAsia="IRNazanin" w:cs="IRNazanin"/>
            <w:color w:val="111111"/>
            <w:sz w:val="22"/>
            <w:szCs w:val="22"/>
            <w:b w:val="0"/>
            <w:bCs w:val="0"/>
            <w:i w:val="0"/>
            <w:iCs w:val="0"/>
          </w:rPr>
          <w:t>•تاریخ آل مظفر / تاریخ ایران فارسی</w:t>
        </w:r>
        <w:r>
          <w:tab/>
        </w:r>
        <w:r>
          <w:fldChar w:fldCharType="begin"/>
        </w:r>
        <w:r>
          <w:instrText xml:space="preserve">PAGEREF 1222 \h</w:instrText>
        </w:r>
        <w:r>
          <w:fldChar w:fldCharType="end"/>
        </w:r>
      </w:hyperlink>
    </w:p>
    <w:p>
      <w:pPr>
        <w:tabs>
          <w:tab w:val="right" w:leader="dot" w:pos="9062"/>
        </w:tabs>
        <w:ind w:left="440"/>
      </w:pPr>
      <w:hyperlink w:anchor="_Toc1223" w:history="1">
        <w:r>
          <w:rPr>
            <w:rFonts w:ascii="IRNazanin" w:hAnsi="IRNazanin" w:eastAsia="IRNazanin" w:cs="IRNazanin"/>
            <w:color w:val="111111"/>
            <w:sz w:val="22"/>
            <w:szCs w:val="22"/>
            <w:b w:val="0"/>
            <w:bCs w:val="0"/>
            <w:i w:val="0"/>
            <w:iCs w:val="0"/>
          </w:rPr>
          <w:t>•تاریخ آل مظفر / تاریخ ایران / فارسی</w:t>
        </w:r>
        <w:r>
          <w:tab/>
        </w:r>
        <w:r>
          <w:fldChar w:fldCharType="begin"/>
        </w:r>
        <w:r>
          <w:instrText xml:space="preserve">PAGEREF 1223 \h</w:instrText>
        </w:r>
        <w:r>
          <w:fldChar w:fldCharType="end"/>
        </w:r>
      </w:hyperlink>
    </w:p>
    <w:p>
      <w:pPr>
        <w:tabs>
          <w:tab w:val="right" w:leader="dot" w:pos="9062"/>
        </w:tabs>
        <w:ind w:left="440"/>
      </w:pPr>
      <w:hyperlink w:anchor="_Toc1224" w:history="1">
        <w:r>
          <w:rPr>
            <w:rFonts w:ascii="IRNazanin" w:hAnsi="IRNazanin" w:eastAsia="IRNazanin" w:cs="IRNazanin"/>
            <w:color w:val="111111"/>
            <w:sz w:val="22"/>
            <w:szCs w:val="22"/>
            <w:b w:val="0"/>
            <w:bCs w:val="0"/>
            <w:i w:val="0"/>
            <w:iCs w:val="0"/>
          </w:rPr>
          <w:t>•تاریخ الائمة / تاریخ معصومین /عربی</w:t>
        </w:r>
        <w:r>
          <w:tab/>
        </w:r>
        <w:r>
          <w:fldChar w:fldCharType="begin"/>
        </w:r>
        <w:r>
          <w:instrText xml:space="preserve">PAGEREF 1224 \h</w:instrText>
        </w:r>
        <w:r>
          <w:fldChar w:fldCharType="end"/>
        </w:r>
      </w:hyperlink>
    </w:p>
    <w:p>
      <w:pPr>
        <w:tabs>
          <w:tab w:val="right" w:leader="dot" w:pos="9062"/>
        </w:tabs>
        <w:ind w:left="440"/>
      </w:pPr>
      <w:hyperlink w:anchor="_Toc1225" w:history="1">
        <w:r>
          <w:rPr>
            <w:rFonts w:ascii="IRNazanin" w:hAnsi="IRNazanin" w:eastAsia="IRNazanin" w:cs="IRNazanin"/>
            <w:color w:val="111111"/>
            <w:sz w:val="22"/>
            <w:szCs w:val="22"/>
            <w:b w:val="0"/>
            <w:bCs w:val="0"/>
            <w:i w:val="0"/>
            <w:iCs w:val="0"/>
          </w:rPr>
          <w:t>• تاریخ الائمة = حالات و کرامات چهارده معصوم / تاریخ معصومین / فارسی</w:t>
        </w:r>
        <w:r>
          <w:tab/>
        </w:r>
        <w:r>
          <w:fldChar w:fldCharType="begin"/>
        </w:r>
        <w:r>
          <w:instrText xml:space="preserve">PAGEREF 1225 \h</w:instrText>
        </w:r>
        <w:r>
          <w:fldChar w:fldCharType="end"/>
        </w:r>
      </w:hyperlink>
    </w:p>
    <w:p>
      <w:pPr>
        <w:tabs>
          <w:tab w:val="right" w:leader="dot" w:pos="9062"/>
        </w:tabs>
        <w:ind w:left="440"/>
      </w:pPr>
      <w:hyperlink w:anchor="_Toc1226" w:history="1">
        <w:r>
          <w:rPr>
            <w:rFonts w:ascii="IRNazanin" w:hAnsi="IRNazanin" w:eastAsia="IRNazanin" w:cs="IRNazanin"/>
            <w:color w:val="111111"/>
            <w:sz w:val="22"/>
            <w:szCs w:val="22"/>
            <w:b w:val="0"/>
            <w:bCs w:val="0"/>
            <w:i w:val="0"/>
            <w:iCs w:val="0"/>
          </w:rPr>
          <w:t>• تاریخ ائمه (عليه السلام) / تاریخ معصومین / عربی و فارسی</w:t>
        </w:r>
        <w:r>
          <w:tab/>
        </w:r>
        <w:r>
          <w:fldChar w:fldCharType="begin"/>
        </w:r>
        <w:r>
          <w:instrText xml:space="preserve">PAGEREF 1226 \h</w:instrText>
        </w:r>
        <w:r>
          <w:fldChar w:fldCharType="end"/>
        </w:r>
      </w:hyperlink>
    </w:p>
    <w:p>
      <w:pPr>
        <w:tabs>
          <w:tab w:val="right" w:leader="dot" w:pos="9062"/>
        </w:tabs>
        <w:ind w:left="440"/>
      </w:pPr>
      <w:hyperlink w:anchor="_Toc1227" w:history="1">
        <w:r>
          <w:rPr>
            <w:rFonts w:ascii="IRNazanin" w:hAnsi="IRNazanin" w:eastAsia="IRNazanin" w:cs="IRNazanin"/>
            <w:color w:val="111111"/>
            <w:sz w:val="22"/>
            <w:szCs w:val="22"/>
            <w:b w:val="0"/>
            <w:bCs w:val="0"/>
            <w:i w:val="0"/>
            <w:iCs w:val="0"/>
          </w:rPr>
          <w:t>• تاریخ ائمه(عليه السلام) / حدیث، تاریخ معصومین / عربی</w:t>
        </w:r>
        <w:r>
          <w:tab/>
        </w:r>
        <w:r>
          <w:fldChar w:fldCharType="begin"/>
        </w:r>
        <w:r>
          <w:instrText xml:space="preserve">PAGEREF 1227 \h</w:instrText>
        </w:r>
        <w:r>
          <w:fldChar w:fldCharType="end"/>
        </w:r>
      </w:hyperlink>
    </w:p>
    <w:p>
      <w:pPr>
        <w:tabs>
          <w:tab w:val="right" w:leader="dot" w:pos="9062"/>
        </w:tabs>
        <w:ind w:left="440"/>
      </w:pPr>
      <w:hyperlink w:anchor="_Toc1228" w:history="1">
        <w:r>
          <w:rPr>
            <w:rFonts w:ascii="IRNazanin" w:hAnsi="IRNazanin" w:eastAsia="IRNazanin" w:cs="IRNazanin"/>
            <w:color w:val="111111"/>
            <w:sz w:val="22"/>
            <w:szCs w:val="22"/>
            <w:b w:val="0"/>
            <w:bCs w:val="0"/>
            <w:i w:val="0"/>
            <w:iCs w:val="0"/>
          </w:rPr>
          <w:t>• تاریخ ائمه(عليه السلام) / تاریخ معصومین / فارسی</w:t>
        </w:r>
        <w:r>
          <w:tab/>
        </w:r>
        <w:r>
          <w:fldChar w:fldCharType="begin"/>
        </w:r>
        <w:r>
          <w:instrText xml:space="preserve">PAGEREF 1228 \h</w:instrText>
        </w:r>
        <w:r>
          <w:fldChar w:fldCharType="end"/>
        </w:r>
      </w:hyperlink>
    </w:p>
    <w:p>
      <w:pPr>
        <w:tabs>
          <w:tab w:val="right" w:leader="dot" w:pos="9062"/>
        </w:tabs>
        <w:ind w:left="440"/>
      </w:pPr>
      <w:hyperlink w:anchor="_Toc1229" w:history="1">
        <w:r>
          <w:rPr>
            <w:rFonts w:ascii="IRNazanin" w:hAnsi="IRNazanin" w:eastAsia="IRNazanin" w:cs="IRNazanin"/>
            <w:color w:val="111111"/>
            <w:sz w:val="22"/>
            <w:szCs w:val="22"/>
            <w:b w:val="0"/>
            <w:bCs w:val="0"/>
            <w:i w:val="0"/>
            <w:iCs w:val="0"/>
          </w:rPr>
          <w:t>• تاریخ الائمة عليهم السلام = المواليد و الوفيات للائمة المعصومین علیهم السلام / تاریخ پیامبر اکرم(صلی الله علیه وآله وسلم) / عربی</w:t>
        </w:r>
        <w:r>
          <w:tab/>
        </w:r>
        <w:r>
          <w:fldChar w:fldCharType="begin"/>
        </w:r>
        <w:r>
          <w:instrText xml:space="preserve">PAGEREF 1229 \h</w:instrText>
        </w:r>
        <w:r>
          <w:fldChar w:fldCharType="end"/>
        </w:r>
      </w:hyperlink>
    </w:p>
    <w:p>
      <w:pPr>
        <w:tabs>
          <w:tab w:val="right" w:leader="dot" w:pos="9062"/>
        </w:tabs>
        <w:ind w:left="440"/>
      </w:pPr>
      <w:hyperlink w:anchor="_Toc1230" w:history="1">
        <w:r>
          <w:rPr>
            <w:rFonts w:ascii="IRNazanin" w:hAnsi="IRNazanin" w:eastAsia="IRNazanin" w:cs="IRNazanin"/>
            <w:color w:val="111111"/>
            <w:sz w:val="22"/>
            <w:szCs w:val="22"/>
            <w:b w:val="0"/>
            <w:bCs w:val="0"/>
            <w:i w:val="0"/>
            <w:iCs w:val="0"/>
          </w:rPr>
          <w:t>• تاریخ ائمه معصومین / تاریخ معصومین / عربی</w:t>
        </w:r>
        <w:r>
          <w:tab/>
        </w:r>
        <w:r>
          <w:fldChar w:fldCharType="begin"/>
        </w:r>
        <w:r>
          <w:instrText xml:space="preserve">PAGEREF 1230 \h</w:instrText>
        </w:r>
        <w:r>
          <w:fldChar w:fldCharType="end"/>
        </w:r>
      </w:hyperlink>
    </w:p>
    <w:p>
      <w:pPr>
        <w:tabs>
          <w:tab w:val="right" w:leader="dot" w:pos="9062"/>
        </w:tabs>
        <w:ind w:left="440"/>
      </w:pPr>
      <w:hyperlink w:anchor="_Toc1231" w:history="1">
        <w:r>
          <w:rPr>
            <w:rFonts w:ascii="IRNazanin" w:hAnsi="IRNazanin" w:eastAsia="IRNazanin" w:cs="IRNazanin"/>
            <w:color w:val="111111"/>
            <w:sz w:val="22"/>
            <w:szCs w:val="22"/>
            <w:b w:val="0"/>
            <w:bCs w:val="0"/>
            <w:i w:val="0"/>
            <w:iCs w:val="0"/>
          </w:rPr>
          <w:t>• تاريخ الأئمة المعصومین علیهم السلام / تاریخ معصومین / عربی</w:t>
        </w:r>
        <w:r>
          <w:tab/>
        </w:r>
        <w:r>
          <w:fldChar w:fldCharType="begin"/>
        </w:r>
        <w:r>
          <w:instrText xml:space="preserve">PAGEREF 1231 \h</w:instrText>
        </w:r>
        <w:r>
          <w:fldChar w:fldCharType="end"/>
        </w:r>
      </w:hyperlink>
    </w:p>
    <w:p>
      <w:pPr>
        <w:tabs>
          <w:tab w:val="right" w:leader="dot" w:pos="9062"/>
        </w:tabs>
        <w:ind w:left="440"/>
      </w:pPr>
      <w:hyperlink w:anchor="_Toc1232" w:history="1">
        <w:r>
          <w:rPr>
            <w:rFonts w:ascii="IRNazanin" w:hAnsi="IRNazanin" w:eastAsia="IRNazanin" w:cs="IRNazanin"/>
            <w:color w:val="111111"/>
            <w:sz w:val="22"/>
            <w:szCs w:val="22"/>
            <w:b w:val="0"/>
            <w:bCs w:val="0"/>
            <w:i w:val="0"/>
            <w:iCs w:val="0"/>
          </w:rPr>
          <w:t>• تاریخ ابن خلکان / تاریخ / عربی</w:t>
        </w:r>
        <w:r>
          <w:tab/>
        </w:r>
        <w:r>
          <w:fldChar w:fldCharType="begin"/>
        </w:r>
        <w:r>
          <w:instrText xml:space="preserve">PAGEREF 1232 \h</w:instrText>
        </w:r>
        <w:r>
          <w:fldChar w:fldCharType="end"/>
        </w:r>
      </w:hyperlink>
    </w:p>
    <w:p>
      <w:pPr>
        <w:tabs>
          <w:tab w:val="right" w:leader="dot" w:pos="9062"/>
        </w:tabs>
        <w:ind w:left="440"/>
      </w:pPr>
      <w:hyperlink w:anchor="_Toc1233" w:history="1">
        <w:r>
          <w:rPr>
            <w:rFonts w:ascii="IRNazanin" w:hAnsi="IRNazanin" w:eastAsia="IRNazanin" w:cs="IRNazanin"/>
            <w:color w:val="111111"/>
            <w:sz w:val="22"/>
            <w:szCs w:val="22"/>
            <w:b w:val="0"/>
            <w:bCs w:val="0"/>
            <w:i w:val="0"/>
            <w:iCs w:val="0"/>
          </w:rPr>
          <w:t>•تاریخ ابن الفرات / تاریخ عربی</w:t>
        </w:r>
        <w:r>
          <w:tab/>
        </w:r>
        <w:r>
          <w:fldChar w:fldCharType="begin"/>
        </w:r>
        <w:r>
          <w:instrText xml:space="preserve">PAGEREF 1233 \h</w:instrText>
        </w:r>
        <w:r>
          <w:fldChar w:fldCharType="end"/>
        </w:r>
      </w:hyperlink>
    </w:p>
    <w:p>
      <w:pPr>
        <w:tabs>
          <w:tab w:val="right" w:leader="dot" w:pos="9062"/>
        </w:tabs>
        <w:ind w:left="440"/>
      </w:pPr>
      <w:hyperlink w:anchor="_Toc1234" w:history="1">
        <w:r>
          <w:rPr>
            <w:rFonts w:ascii="IRNazanin" w:hAnsi="IRNazanin" w:eastAsia="IRNazanin" w:cs="IRNazanin"/>
            <w:color w:val="111111"/>
            <w:sz w:val="22"/>
            <w:szCs w:val="22"/>
            <w:b w:val="0"/>
            <w:bCs w:val="0"/>
            <w:i w:val="0"/>
            <w:iCs w:val="0"/>
          </w:rPr>
          <w:t>•تاریخ ابوالخیر خانی / تاریخ جهان / فارسی</w:t>
        </w:r>
        <w:r>
          <w:tab/>
        </w:r>
        <w:r>
          <w:fldChar w:fldCharType="begin"/>
        </w:r>
        <w:r>
          <w:instrText xml:space="preserve">PAGEREF 1234 \h</w:instrText>
        </w:r>
        <w:r>
          <w:fldChar w:fldCharType="end"/>
        </w:r>
      </w:hyperlink>
    </w:p>
    <w:p>
      <w:pPr>
        <w:tabs>
          <w:tab w:val="right" w:leader="dot" w:pos="9062"/>
        </w:tabs>
        <w:ind w:left="440"/>
      </w:pPr>
      <w:hyperlink w:anchor="_Toc1235" w:history="1">
        <w:r>
          <w:rPr>
            <w:rFonts w:ascii="IRNazanin" w:hAnsi="IRNazanin" w:eastAsia="IRNazanin" w:cs="IRNazanin"/>
            <w:color w:val="111111"/>
            <w:sz w:val="22"/>
            <w:szCs w:val="22"/>
            <w:b w:val="0"/>
            <w:bCs w:val="0"/>
            <w:i w:val="0"/>
            <w:iCs w:val="0"/>
          </w:rPr>
          <w:t>• تاریخ ابوالخیر خانی / تاریخ / فارسی</w:t>
        </w:r>
        <w:r>
          <w:tab/>
        </w:r>
        <w:r>
          <w:fldChar w:fldCharType="begin"/>
        </w:r>
        <w:r>
          <w:instrText xml:space="preserve">PAGEREF 1235 \h</w:instrText>
        </w:r>
        <w:r>
          <w:fldChar w:fldCharType="end"/>
        </w:r>
      </w:hyperlink>
    </w:p>
    <w:p>
      <w:pPr>
        <w:tabs>
          <w:tab w:val="right" w:leader="dot" w:pos="9062"/>
        </w:tabs>
        <w:ind w:left="440"/>
      </w:pPr>
      <w:hyperlink w:anchor="_Toc1236" w:history="1">
        <w:r>
          <w:rPr>
            <w:rFonts w:ascii="IRNazanin" w:hAnsi="IRNazanin" w:eastAsia="IRNazanin" w:cs="IRNazanin"/>
            <w:color w:val="111111"/>
            <w:sz w:val="22"/>
            <w:szCs w:val="22"/>
            <w:b w:val="0"/>
            <w:bCs w:val="0"/>
            <w:i w:val="0"/>
            <w:iCs w:val="0"/>
          </w:rPr>
          <w:t>•تاریخ ابی مسلم مرغزى من شرح شرف الدین على التبيان / تاریخ عربی</w:t>
        </w:r>
        <w:r>
          <w:tab/>
        </w:r>
        <w:r>
          <w:fldChar w:fldCharType="begin"/>
        </w:r>
        <w:r>
          <w:instrText xml:space="preserve">PAGEREF 1236 \h</w:instrText>
        </w:r>
        <w:r>
          <w:fldChar w:fldCharType="end"/>
        </w:r>
      </w:hyperlink>
    </w:p>
    <w:p>
      <w:pPr>
        <w:tabs>
          <w:tab w:val="right" w:leader="dot" w:pos="9062"/>
        </w:tabs>
        <w:ind w:left="440"/>
      </w:pPr>
      <w:hyperlink w:anchor="_Toc1237" w:history="1">
        <w:r>
          <w:rPr>
            <w:rFonts w:ascii="IRNazanin" w:hAnsi="IRNazanin" w:eastAsia="IRNazanin" w:cs="IRNazanin"/>
            <w:color w:val="111111"/>
            <w:sz w:val="22"/>
            <w:szCs w:val="22"/>
            <w:b w:val="0"/>
            <w:bCs w:val="0"/>
            <w:i w:val="0"/>
            <w:iCs w:val="0"/>
          </w:rPr>
          <w:t>•تاریخ احمد شاه درانی / تاریخ ایران / فارسی</w:t>
        </w:r>
        <w:r>
          <w:tab/>
        </w:r>
        <w:r>
          <w:fldChar w:fldCharType="begin"/>
        </w:r>
        <w:r>
          <w:instrText xml:space="preserve">PAGEREF 1237 \h</w:instrText>
        </w:r>
        <w:r>
          <w:fldChar w:fldCharType="end"/>
        </w:r>
      </w:hyperlink>
    </w:p>
    <w:p>
      <w:pPr>
        <w:tabs>
          <w:tab w:val="right" w:leader="dot" w:pos="9062"/>
        </w:tabs>
        <w:ind w:left="440"/>
      </w:pPr>
      <w:hyperlink w:anchor="_Toc1238" w:history="1">
        <w:r>
          <w:rPr>
            <w:rFonts w:ascii="IRNazanin" w:hAnsi="IRNazanin" w:eastAsia="IRNazanin" w:cs="IRNazanin"/>
            <w:color w:val="111111"/>
            <w:sz w:val="22"/>
            <w:szCs w:val="22"/>
            <w:b w:val="0"/>
            <w:bCs w:val="0"/>
            <w:i w:val="0"/>
            <w:iCs w:val="0"/>
          </w:rPr>
          <w:t>• تاریخ احمد شاه درانی / تاریخ ایران / فارسی</w:t>
        </w:r>
        <w:r>
          <w:tab/>
        </w:r>
        <w:r>
          <w:fldChar w:fldCharType="begin"/>
        </w:r>
        <w:r>
          <w:instrText xml:space="preserve">PAGEREF 1238 \h</w:instrText>
        </w:r>
        <w:r>
          <w:fldChar w:fldCharType="end"/>
        </w:r>
      </w:hyperlink>
    </w:p>
    <w:p>
      <w:pPr>
        <w:tabs>
          <w:tab w:val="right" w:leader="dot" w:pos="9062"/>
        </w:tabs>
        <w:ind w:left="440"/>
      </w:pPr>
      <w:hyperlink w:anchor="_Toc1239" w:history="1">
        <w:r>
          <w:rPr>
            <w:rFonts w:ascii="IRNazanin" w:hAnsi="IRNazanin" w:eastAsia="IRNazanin" w:cs="IRNazanin"/>
            <w:color w:val="111111"/>
            <w:sz w:val="22"/>
            <w:szCs w:val="22"/>
            <w:b w:val="0"/>
            <w:bCs w:val="0"/>
            <w:i w:val="0"/>
            <w:iCs w:val="0"/>
          </w:rPr>
          <w:t>• تاریخ احوال ولیعهد نایب السلطنه / تاریخ / فارسی</w:t>
        </w:r>
        <w:r>
          <w:tab/>
        </w:r>
        <w:r>
          <w:fldChar w:fldCharType="begin"/>
        </w:r>
        <w:r>
          <w:instrText xml:space="preserve">PAGEREF 1239 \h</w:instrText>
        </w:r>
        <w:r>
          <w:fldChar w:fldCharType="end"/>
        </w:r>
      </w:hyperlink>
    </w:p>
    <w:p>
      <w:pPr>
        <w:tabs>
          <w:tab w:val="right" w:leader="dot" w:pos="9062"/>
        </w:tabs>
        <w:ind w:left="440"/>
      </w:pPr>
      <w:hyperlink w:anchor="_Toc1240" w:history="1">
        <w:r>
          <w:rPr>
            <w:rFonts w:ascii="IRNazanin" w:hAnsi="IRNazanin" w:eastAsia="IRNazanin" w:cs="IRNazanin"/>
            <w:color w:val="111111"/>
            <w:sz w:val="22"/>
            <w:szCs w:val="22"/>
            <w:b w:val="0"/>
            <w:bCs w:val="0"/>
            <w:i w:val="0"/>
            <w:iCs w:val="0"/>
          </w:rPr>
          <w:t>• تاریخ اخباری و اصولی / تاریخ / فارسی</w:t>
        </w:r>
        <w:r>
          <w:tab/>
        </w:r>
        <w:r>
          <w:fldChar w:fldCharType="begin"/>
        </w:r>
        <w:r>
          <w:instrText xml:space="preserve">PAGEREF 1240 \h</w:instrText>
        </w:r>
        <w:r>
          <w:fldChar w:fldCharType="end"/>
        </w:r>
      </w:hyperlink>
    </w:p>
    <w:p>
      <w:pPr>
        <w:tabs>
          <w:tab w:val="right" w:leader="dot" w:pos="9062"/>
        </w:tabs>
        <w:ind w:left="440"/>
      </w:pPr>
      <w:hyperlink w:anchor="_Toc1241" w:history="1">
        <w:r>
          <w:rPr>
            <w:rFonts w:ascii="IRNazanin" w:hAnsi="IRNazanin" w:eastAsia="IRNazanin" w:cs="IRNazanin"/>
            <w:color w:val="111111"/>
            <w:sz w:val="22"/>
            <w:szCs w:val="22"/>
            <w:b w:val="0"/>
            <w:bCs w:val="0"/>
            <w:i w:val="0"/>
            <w:iCs w:val="0"/>
          </w:rPr>
          <w:t>• تاریخ ادب عربی / ادبیات / فارسی</w:t>
        </w:r>
        <w:r>
          <w:tab/>
        </w:r>
        <w:r>
          <w:fldChar w:fldCharType="begin"/>
        </w:r>
        <w:r>
          <w:instrText xml:space="preserve">PAGEREF 1241 \h</w:instrText>
        </w:r>
        <w:r>
          <w:fldChar w:fldCharType="end"/>
        </w:r>
      </w:hyperlink>
    </w:p>
    <w:p>
      <w:pPr>
        <w:tabs>
          <w:tab w:val="right" w:leader="dot" w:pos="9062"/>
        </w:tabs>
        <w:ind w:left="440"/>
      </w:pPr>
      <w:hyperlink w:anchor="_Toc1242" w:history="1">
        <w:r>
          <w:rPr>
            <w:rFonts w:ascii="IRNazanin" w:hAnsi="IRNazanin" w:eastAsia="IRNazanin" w:cs="IRNazanin"/>
            <w:color w:val="111111"/>
            <w:sz w:val="22"/>
            <w:szCs w:val="22"/>
            <w:b w:val="0"/>
            <w:bCs w:val="0"/>
            <w:i w:val="0"/>
            <w:iCs w:val="0"/>
          </w:rPr>
          <w:t>•تاریخ ادبیات / ادبیات فارسی</w:t>
        </w:r>
        <w:r>
          <w:tab/>
        </w:r>
        <w:r>
          <w:fldChar w:fldCharType="begin"/>
        </w:r>
        <w:r>
          <w:instrText xml:space="preserve">PAGEREF 1242 \h</w:instrText>
        </w:r>
        <w:r>
          <w:fldChar w:fldCharType="end"/>
        </w:r>
      </w:hyperlink>
    </w:p>
    <w:p>
      <w:pPr>
        <w:tabs>
          <w:tab w:val="right" w:leader="dot" w:pos="9062"/>
        </w:tabs>
        <w:ind w:left="440"/>
      </w:pPr>
      <w:hyperlink w:anchor="_Toc1243" w:history="1">
        <w:r>
          <w:rPr>
            <w:rFonts w:ascii="IRNazanin" w:hAnsi="IRNazanin" w:eastAsia="IRNazanin" w:cs="IRNazanin"/>
            <w:color w:val="111111"/>
            <w:sz w:val="22"/>
            <w:szCs w:val="22"/>
            <w:b w:val="0"/>
            <w:bCs w:val="0"/>
            <w:i w:val="0"/>
            <w:iCs w:val="0"/>
          </w:rPr>
          <w:t>• تاریخ ادبیات / ادبیات / فارسی</w:t>
        </w:r>
        <w:r>
          <w:tab/>
        </w:r>
        <w:r>
          <w:fldChar w:fldCharType="begin"/>
        </w:r>
        <w:r>
          <w:instrText xml:space="preserve">PAGEREF 1243 \h</w:instrText>
        </w:r>
        <w:r>
          <w:fldChar w:fldCharType="end"/>
        </w:r>
      </w:hyperlink>
    </w:p>
    <w:p>
      <w:pPr>
        <w:tabs>
          <w:tab w:val="right" w:leader="dot" w:pos="9062"/>
        </w:tabs>
        <w:ind w:left="440"/>
      </w:pPr>
      <w:hyperlink w:anchor="_Toc1244" w:history="1">
        <w:r>
          <w:rPr>
            <w:rFonts w:ascii="IRNazanin" w:hAnsi="IRNazanin" w:eastAsia="IRNazanin" w:cs="IRNazanin"/>
            <w:color w:val="111111"/>
            <w:sz w:val="22"/>
            <w:szCs w:val="22"/>
            <w:b w:val="0"/>
            <w:bCs w:val="0"/>
            <w:i w:val="0"/>
            <w:iCs w:val="0"/>
          </w:rPr>
          <w:t>• تاریخ ادبیات ایران = تاریخ شعراء / تاریخ / فارسی</w:t>
        </w:r>
        <w:r>
          <w:tab/>
        </w:r>
        <w:r>
          <w:fldChar w:fldCharType="begin"/>
        </w:r>
        <w:r>
          <w:instrText xml:space="preserve">PAGEREF 1244 \h</w:instrText>
        </w:r>
        <w:r>
          <w:fldChar w:fldCharType="end"/>
        </w:r>
      </w:hyperlink>
    </w:p>
    <w:p>
      <w:pPr>
        <w:tabs>
          <w:tab w:val="right" w:leader="dot" w:pos="9062"/>
        </w:tabs>
        <w:ind w:left="440"/>
      </w:pPr>
      <w:hyperlink w:anchor="_Toc1245" w:history="1">
        <w:r>
          <w:rPr>
            <w:rFonts w:ascii="IRNazanin" w:hAnsi="IRNazanin" w:eastAsia="IRNazanin" w:cs="IRNazanin"/>
            <w:color w:val="111111"/>
            <w:sz w:val="22"/>
            <w:szCs w:val="22"/>
            <w:b w:val="0"/>
            <w:bCs w:val="0"/>
            <w:i w:val="0"/>
            <w:iCs w:val="0"/>
          </w:rPr>
          <w:t>• تاریخ ادبیات ایران / ادبیات فارسی</w:t>
        </w:r>
        <w:r>
          <w:tab/>
        </w:r>
        <w:r>
          <w:fldChar w:fldCharType="begin"/>
        </w:r>
        <w:r>
          <w:instrText xml:space="preserve">PAGEREF 1245 \h</w:instrText>
        </w:r>
        <w:r>
          <w:fldChar w:fldCharType="end"/>
        </w:r>
      </w:hyperlink>
    </w:p>
    <w:p>
      <w:pPr>
        <w:tabs>
          <w:tab w:val="right" w:leader="dot" w:pos="9062"/>
        </w:tabs>
        <w:ind w:left="440"/>
      </w:pPr>
      <w:hyperlink w:anchor="_Toc1246" w:history="1">
        <w:r>
          <w:rPr>
            <w:rFonts w:ascii="IRNazanin" w:hAnsi="IRNazanin" w:eastAsia="IRNazanin" w:cs="IRNazanin"/>
            <w:color w:val="111111"/>
            <w:sz w:val="22"/>
            <w:szCs w:val="22"/>
            <w:b w:val="0"/>
            <w:bCs w:val="0"/>
            <w:i w:val="0"/>
            <w:iCs w:val="0"/>
          </w:rPr>
          <w:t>• تاریخ ادبیات ایران / ادبیات فارسی</w:t>
        </w:r>
        <w:r>
          <w:tab/>
        </w:r>
        <w:r>
          <w:fldChar w:fldCharType="begin"/>
        </w:r>
        <w:r>
          <w:instrText xml:space="preserve">PAGEREF 1246 \h</w:instrText>
        </w:r>
        <w:r>
          <w:fldChar w:fldCharType="end"/>
        </w:r>
      </w:hyperlink>
    </w:p>
    <w:p>
      <w:pPr>
        <w:tabs>
          <w:tab w:val="right" w:leader="dot" w:pos="9062"/>
        </w:tabs>
        <w:ind w:left="440"/>
      </w:pPr>
      <w:hyperlink w:anchor="_Toc1247" w:history="1">
        <w:r>
          <w:rPr>
            <w:rFonts w:ascii="IRNazanin" w:hAnsi="IRNazanin" w:eastAsia="IRNazanin" w:cs="IRNazanin"/>
            <w:color w:val="111111"/>
            <w:sz w:val="22"/>
            <w:szCs w:val="22"/>
            <w:b w:val="0"/>
            <w:bCs w:val="0"/>
            <w:i w:val="0"/>
            <w:iCs w:val="0"/>
          </w:rPr>
          <w:t>• تاریخ ادبیات ایران / ادبیات / فارسی</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 تاریخ ادبیات ایران / ادبیات / فارسی</w:t>
        </w:r>
        <w:r>
          <w:tab/>
        </w:r>
        <w:r>
          <w:fldChar w:fldCharType="begin"/>
        </w:r>
        <w:r>
          <w:instrText xml:space="preserve">PAGEREF 1248 \h</w:instrText>
        </w:r>
        <w:r>
          <w:fldChar w:fldCharType="end"/>
        </w:r>
      </w:hyperlink>
    </w:p>
    <w:p>
      <w:pPr>
        <w:tabs>
          <w:tab w:val="right" w:leader="dot" w:pos="9062"/>
        </w:tabs>
        <w:ind w:left="440"/>
      </w:pPr>
      <w:hyperlink w:anchor="_Toc1249" w:history="1">
        <w:r>
          <w:rPr>
            <w:rFonts w:ascii="IRNazanin" w:hAnsi="IRNazanin" w:eastAsia="IRNazanin" w:cs="IRNazanin"/>
            <w:color w:val="111111"/>
            <w:sz w:val="22"/>
            <w:szCs w:val="22"/>
            <w:b w:val="0"/>
            <w:bCs w:val="0"/>
            <w:i w:val="0"/>
            <w:iCs w:val="0"/>
          </w:rPr>
          <w:t>•تاریخ ادبیات ایران برون (ترجمه) / تاریخ ایران / فارسی</w:t>
        </w:r>
        <w:r>
          <w:tab/>
        </w:r>
        <w:r>
          <w:fldChar w:fldCharType="begin"/>
        </w:r>
        <w:r>
          <w:instrText xml:space="preserve">PAGEREF 1249 \h</w:instrText>
        </w:r>
        <w:r>
          <w:fldChar w:fldCharType="end"/>
        </w:r>
      </w:hyperlink>
    </w:p>
    <w:p>
      <w:pPr>
        <w:tabs>
          <w:tab w:val="right" w:leader="dot" w:pos="9062"/>
        </w:tabs>
        <w:ind w:left="440"/>
      </w:pPr>
      <w:hyperlink w:anchor="_Toc1250" w:history="1">
        <w:r>
          <w:rPr>
            <w:rFonts w:ascii="IRNazanin" w:hAnsi="IRNazanin" w:eastAsia="IRNazanin" w:cs="IRNazanin"/>
            <w:color w:val="111111"/>
            <w:sz w:val="22"/>
            <w:szCs w:val="22"/>
            <w:b w:val="0"/>
            <w:bCs w:val="0"/>
            <w:i w:val="0"/>
            <w:iCs w:val="0"/>
          </w:rPr>
          <w:t>• تاریخ ادبیات زبان فارسی / ادبیات / فارسی</w:t>
        </w:r>
        <w:r>
          <w:tab/>
        </w:r>
        <w:r>
          <w:fldChar w:fldCharType="begin"/>
        </w:r>
        <w:r>
          <w:instrText xml:space="preserve">PAGEREF 1250 \h</w:instrText>
        </w:r>
        <w:r>
          <w:fldChar w:fldCharType="end"/>
        </w:r>
      </w:hyperlink>
    </w:p>
    <w:p>
      <w:pPr>
        <w:tabs>
          <w:tab w:val="right" w:leader="dot" w:pos="9062"/>
        </w:tabs>
        <w:ind w:left="440"/>
      </w:pPr>
      <w:hyperlink w:anchor="_Toc1251" w:history="1">
        <w:r>
          <w:rPr>
            <w:rFonts w:ascii="IRNazanin" w:hAnsi="IRNazanin" w:eastAsia="IRNazanin" w:cs="IRNazanin"/>
            <w:color w:val="111111"/>
            <w:sz w:val="22"/>
            <w:szCs w:val="22"/>
            <w:b w:val="0"/>
            <w:bCs w:val="0"/>
            <w:i w:val="0"/>
            <w:iCs w:val="0"/>
          </w:rPr>
          <w:t>• تاریخ ادبیات عرب / ادبیات / فارسی</w:t>
        </w:r>
        <w:r>
          <w:tab/>
        </w:r>
        <w:r>
          <w:fldChar w:fldCharType="begin"/>
        </w:r>
        <w:r>
          <w:instrText xml:space="preserve">PAGEREF 1251 \h</w:instrText>
        </w:r>
        <w:r>
          <w:fldChar w:fldCharType="end"/>
        </w:r>
      </w:hyperlink>
    </w:p>
    <w:p>
      <w:pPr>
        <w:tabs>
          <w:tab w:val="right" w:leader="dot" w:pos="9062"/>
        </w:tabs>
        <w:ind w:left="440"/>
      </w:pPr>
      <w:hyperlink w:anchor="_Toc1252" w:history="1">
        <w:r>
          <w:rPr>
            <w:rFonts w:ascii="IRNazanin" w:hAnsi="IRNazanin" w:eastAsia="IRNazanin" w:cs="IRNazanin"/>
            <w:color w:val="111111"/>
            <w:sz w:val="22"/>
            <w:szCs w:val="22"/>
            <w:b w:val="0"/>
            <w:bCs w:val="0"/>
            <w:i w:val="0"/>
            <w:iCs w:val="0"/>
          </w:rPr>
          <w:t>• تاریخ ادوار مشروطیت در ایران (مختصر) / تاریخ ایران / فارسی</w:t>
        </w:r>
        <w:r>
          <w:tab/>
        </w:r>
        <w:r>
          <w:fldChar w:fldCharType="begin"/>
        </w:r>
        <w:r>
          <w:instrText xml:space="preserve">PAGEREF 1252 \h</w:instrText>
        </w:r>
        <w:r>
          <w:fldChar w:fldCharType="end"/>
        </w:r>
      </w:hyperlink>
    </w:p>
    <w:p>
      <w:pPr>
        <w:tabs>
          <w:tab w:val="right" w:leader="dot" w:pos="9062"/>
        </w:tabs>
        <w:ind w:left="440"/>
      </w:pPr>
      <w:hyperlink w:anchor="_Toc1253" w:history="1">
        <w:r>
          <w:rPr>
            <w:rFonts w:ascii="IRNazanin" w:hAnsi="IRNazanin" w:eastAsia="IRNazanin" w:cs="IRNazanin"/>
            <w:color w:val="111111"/>
            <w:sz w:val="22"/>
            <w:szCs w:val="22"/>
            <w:b w:val="0"/>
            <w:bCs w:val="0"/>
            <w:i w:val="0"/>
            <w:iCs w:val="0"/>
          </w:rPr>
          <w:t>• تاریخ الاديان / ادیان و مذاهب / فارسی</w:t>
        </w:r>
        <w:r>
          <w:tab/>
        </w:r>
        <w:r>
          <w:fldChar w:fldCharType="begin"/>
        </w:r>
        <w:r>
          <w:instrText xml:space="preserve">PAGEREF 1253 \h</w:instrText>
        </w:r>
        <w:r>
          <w:fldChar w:fldCharType="end"/>
        </w:r>
      </w:hyperlink>
    </w:p>
    <w:p>
      <w:pPr>
        <w:tabs>
          <w:tab w:val="right" w:leader="dot" w:pos="9062"/>
        </w:tabs>
        <w:ind w:left="440"/>
      </w:pPr>
      <w:hyperlink w:anchor="_Toc1254" w:history="1">
        <w:r>
          <w:rPr>
            <w:rFonts w:ascii="IRNazanin" w:hAnsi="IRNazanin" w:eastAsia="IRNazanin" w:cs="IRNazanin"/>
            <w:color w:val="111111"/>
            <w:sz w:val="22"/>
            <w:szCs w:val="22"/>
            <w:b w:val="0"/>
            <w:bCs w:val="0"/>
            <w:i w:val="0"/>
            <w:iCs w:val="0"/>
          </w:rPr>
          <w:t>• تاریخ ادیان و مذاهب قبل و بعد از اسلام (رساله در) / تاریخ / فارسی</w:t>
        </w:r>
        <w:r>
          <w:tab/>
        </w:r>
        <w:r>
          <w:fldChar w:fldCharType="begin"/>
        </w:r>
        <w:r>
          <w:instrText xml:space="preserve">PAGEREF 1254 \h</w:instrText>
        </w:r>
        <w:r>
          <w:fldChar w:fldCharType="end"/>
        </w:r>
      </w:hyperlink>
    </w:p>
    <w:p>
      <w:pPr>
        <w:tabs>
          <w:tab w:val="right" w:leader="dot" w:pos="9062"/>
        </w:tabs>
        <w:ind w:left="440"/>
      </w:pPr>
      <w:hyperlink w:anchor="_Toc1255" w:history="1">
        <w:r>
          <w:rPr>
            <w:rFonts w:ascii="IRNazanin" w:hAnsi="IRNazanin" w:eastAsia="IRNazanin" w:cs="IRNazanin"/>
            <w:color w:val="111111"/>
            <w:sz w:val="22"/>
            <w:szCs w:val="22"/>
            <w:b w:val="0"/>
            <w:bCs w:val="0"/>
            <w:i w:val="0"/>
            <w:iCs w:val="0"/>
          </w:rPr>
          <w:t>•تاریخ اربل = نباهة البلد الخامل بمن ورده من الأماثل / تاریخ عربی</w:t>
        </w:r>
        <w:r>
          <w:tab/>
        </w:r>
        <w:r>
          <w:fldChar w:fldCharType="begin"/>
        </w:r>
        <w:r>
          <w:instrText xml:space="preserve">PAGEREF 1255 \h</w:instrText>
        </w:r>
        <w:r>
          <w:fldChar w:fldCharType="end"/>
        </w:r>
      </w:hyperlink>
    </w:p>
    <w:p>
      <w:pPr>
        <w:tabs>
          <w:tab w:val="right" w:leader="dot" w:pos="9062"/>
        </w:tabs>
        <w:ind w:left="440"/>
      </w:pPr>
      <w:hyperlink w:anchor="_Toc1256" w:history="1">
        <w:r>
          <w:rPr>
            <w:rFonts w:ascii="IRNazanin" w:hAnsi="IRNazanin" w:eastAsia="IRNazanin" w:cs="IRNazanin"/>
            <w:color w:val="111111"/>
            <w:sz w:val="22"/>
            <w:szCs w:val="22"/>
            <w:b w:val="0"/>
            <w:bCs w:val="0"/>
            <w:i w:val="0"/>
            <w:iCs w:val="0"/>
          </w:rPr>
          <w:t>• تاریخ اردستان / جغرافيا / فارسی</w:t>
        </w:r>
        <w:r>
          <w:tab/>
        </w:r>
        <w:r>
          <w:fldChar w:fldCharType="begin"/>
        </w:r>
        <w:r>
          <w:instrText xml:space="preserve">PAGEREF 1256 \h</w:instrText>
        </w:r>
        <w:r>
          <w:fldChar w:fldCharType="end"/>
        </w:r>
      </w:hyperlink>
    </w:p>
    <w:p>
      <w:pPr>
        <w:tabs>
          <w:tab w:val="right" w:leader="dot" w:pos="9062"/>
        </w:tabs>
        <w:ind w:left="440"/>
      </w:pPr>
      <w:hyperlink w:anchor="_Toc1257" w:history="1">
        <w:r>
          <w:rPr>
            <w:rFonts w:ascii="IRNazanin" w:hAnsi="IRNazanin" w:eastAsia="IRNazanin" w:cs="IRNazanin"/>
            <w:color w:val="111111"/>
            <w:sz w:val="22"/>
            <w:szCs w:val="22"/>
            <w:b w:val="0"/>
            <w:bCs w:val="0"/>
            <w:i w:val="0"/>
            <w:iCs w:val="0"/>
          </w:rPr>
          <w:t>• تاریخ اروپا / تاریخ / فارسی</w:t>
        </w:r>
        <w:r>
          <w:tab/>
        </w:r>
        <w:r>
          <w:fldChar w:fldCharType="begin"/>
        </w:r>
        <w:r>
          <w:instrText xml:space="preserve">PAGEREF 1257 \h</w:instrText>
        </w:r>
        <w:r>
          <w:fldChar w:fldCharType="end"/>
        </w:r>
      </w:hyperlink>
    </w:p>
    <w:p>
      <w:pPr>
        <w:tabs>
          <w:tab w:val="right" w:leader="dot" w:pos="9062"/>
        </w:tabs>
        <w:ind w:left="440"/>
      </w:pPr>
      <w:hyperlink w:anchor="_Toc1258" w:history="1">
        <w:r>
          <w:rPr>
            <w:rFonts w:ascii="IRNazanin" w:hAnsi="IRNazanin" w:eastAsia="IRNazanin" w:cs="IRNazanin"/>
            <w:color w:val="111111"/>
            <w:sz w:val="22"/>
            <w:szCs w:val="22"/>
            <w:b w:val="0"/>
            <w:bCs w:val="0"/>
            <w:i w:val="0"/>
            <w:iCs w:val="0"/>
          </w:rPr>
          <w:t>•تاریخ اروپا در قرن نوزدهم م. / تاریخ / فارسی</w:t>
        </w:r>
        <w:r>
          <w:tab/>
        </w:r>
        <w:r>
          <w:fldChar w:fldCharType="begin"/>
        </w:r>
        <w:r>
          <w:instrText xml:space="preserve">PAGEREF 1258 \h</w:instrText>
        </w:r>
        <w:r>
          <w:fldChar w:fldCharType="end"/>
        </w:r>
      </w:hyperlink>
    </w:p>
    <w:p>
      <w:pPr>
        <w:tabs>
          <w:tab w:val="right" w:leader="dot" w:pos="9062"/>
        </w:tabs>
        <w:ind w:left="440"/>
      </w:pPr>
      <w:hyperlink w:anchor="_Toc1259" w:history="1">
        <w:r>
          <w:rPr>
            <w:rFonts w:ascii="IRNazanin" w:hAnsi="IRNazanin" w:eastAsia="IRNazanin" w:cs="IRNazanin"/>
            <w:color w:val="111111"/>
            <w:sz w:val="22"/>
            <w:szCs w:val="22"/>
            <w:b w:val="0"/>
            <w:bCs w:val="0"/>
            <w:i w:val="0"/>
            <w:iCs w:val="0"/>
          </w:rPr>
          <w:t>• تاریخ اروپا و روسیه / تاریخ / فارسی</w:t>
        </w:r>
        <w:r>
          <w:tab/>
        </w:r>
        <w:r>
          <w:fldChar w:fldCharType="begin"/>
        </w:r>
        <w:r>
          <w:instrText xml:space="preserve">PAGEREF 1259 \h</w:instrText>
        </w:r>
        <w:r>
          <w:fldChar w:fldCharType="end"/>
        </w:r>
      </w:hyperlink>
    </w:p>
    <w:p>
      <w:pPr>
        <w:tabs>
          <w:tab w:val="right" w:leader="dot" w:pos="9062"/>
        </w:tabs>
        <w:ind w:left="440"/>
      </w:pPr>
      <w:hyperlink w:anchor="_Toc1260" w:history="1">
        <w:r>
          <w:rPr>
            <w:rFonts w:ascii="IRNazanin" w:hAnsi="IRNazanin" w:eastAsia="IRNazanin" w:cs="IRNazanin"/>
            <w:color w:val="111111"/>
            <w:sz w:val="22"/>
            <w:szCs w:val="22"/>
            <w:b w:val="0"/>
            <w:bCs w:val="0"/>
            <w:i w:val="0"/>
            <w:iCs w:val="0"/>
          </w:rPr>
          <w:t>• تاریخ اروپا و هندوستان / تاریخ جهان / فارسی</w:t>
        </w:r>
        <w:r>
          <w:tab/>
        </w:r>
        <w:r>
          <w:fldChar w:fldCharType="begin"/>
        </w:r>
        <w:r>
          <w:instrText xml:space="preserve">PAGEREF 1260 \h</w:instrText>
        </w:r>
        <w:r>
          <w:fldChar w:fldCharType="end"/>
        </w:r>
      </w:hyperlink>
    </w:p>
    <w:p>
      <w:pPr>
        <w:tabs>
          <w:tab w:val="right" w:leader="dot" w:pos="9062"/>
        </w:tabs>
        <w:ind w:left="440"/>
      </w:pPr>
      <w:hyperlink w:anchor="_Toc1261" w:history="1">
        <w:r>
          <w:rPr>
            <w:rFonts w:ascii="IRNazanin" w:hAnsi="IRNazanin" w:eastAsia="IRNazanin" w:cs="IRNazanin"/>
            <w:color w:val="111111"/>
            <w:sz w:val="22"/>
            <w:szCs w:val="22"/>
            <w:b w:val="0"/>
            <w:bCs w:val="0"/>
            <w:i w:val="0"/>
            <w:iCs w:val="0"/>
          </w:rPr>
          <w:t>• تاریخ اروپای حاضر / تاریخ / فارسی</w:t>
        </w:r>
        <w:r>
          <w:tab/>
        </w:r>
        <w:r>
          <w:fldChar w:fldCharType="begin"/>
        </w:r>
        <w:r>
          <w:instrText xml:space="preserve">PAGEREF 1261 \h</w:instrText>
        </w:r>
        <w:r>
          <w:fldChar w:fldCharType="end"/>
        </w:r>
      </w:hyperlink>
    </w:p>
    <w:p>
      <w:pPr>
        <w:tabs>
          <w:tab w:val="right" w:leader="dot" w:pos="9062"/>
        </w:tabs>
        <w:ind w:left="440"/>
      </w:pPr>
      <w:hyperlink w:anchor="_Toc1262" w:history="1">
        <w:r>
          <w:rPr>
            <w:rFonts w:ascii="IRNazanin" w:hAnsi="IRNazanin" w:eastAsia="IRNazanin" w:cs="IRNazanin"/>
            <w:color w:val="111111"/>
            <w:sz w:val="22"/>
            <w:szCs w:val="22"/>
            <w:b w:val="0"/>
            <w:bCs w:val="0"/>
            <w:i w:val="0"/>
            <w:iCs w:val="0"/>
          </w:rPr>
          <w:t>• تاریخ از آدم تا سال ۹۵۸ بطور سالشماری / تاریخ / فارسی</w:t>
        </w:r>
        <w:r>
          <w:tab/>
        </w:r>
        <w:r>
          <w:fldChar w:fldCharType="begin"/>
        </w:r>
        <w:r>
          <w:instrText xml:space="preserve">PAGEREF 1262 \h</w:instrText>
        </w:r>
        <w:r>
          <w:fldChar w:fldCharType="end"/>
        </w:r>
      </w:hyperlink>
    </w:p>
    <w:p>
      <w:pPr>
        <w:tabs>
          <w:tab w:val="right" w:leader="dot" w:pos="9062"/>
        </w:tabs>
        <w:ind w:left="440"/>
      </w:pPr>
      <w:hyperlink w:anchor="_Toc1263" w:history="1">
        <w:r>
          <w:rPr>
            <w:rFonts w:ascii="IRNazanin" w:hAnsi="IRNazanin" w:eastAsia="IRNazanin" w:cs="IRNazanin"/>
            <w:color w:val="111111"/>
            <w:sz w:val="22"/>
            <w:szCs w:val="22"/>
            <w:b w:val="0"/>
            <w:bCs w:val="0"/>
            <w:i w:val="0"/>
            <w:iCs w:val="0"/>
          </w:rPr>
          <w:t>•تاریخ ازمنه قديمه شرق و یونان و روم / تاریخ جهان / فارسی</w:t>
        </w:r>
        <w:r>
          <w:tab/>
        </w:r>
        <w:r>
          <w:fldChar w:fldCharType="begin"/>
        </w:r>
        <w:r>
          <w:instrText xml:space="preserve">PAGEREF 1263 \h</w:instrText>
        </w:r>
        <w:r>
          <w:fldChar w:fldCharType="end"/>
        </w:r>
      </w:hyperlink>
    </w:p>
    <w:p>
      <w:pPr>
        <w:tabs>
          <w:tab w:val="right" w:leader="dot" w:pos="9062"/>
        </w:tabs>
        <w:ind w:left="440"/>
      </w:pPr>
      <w:hyperlink w:anchor="_Toc1264" w:history="1">
        <w:r>
          <w:rPr>
            <w:rFonts w:ascii="IRNazanin" w:hAnsi="IRNazanin" w:eastAsia="IRNazanin" w:cs="IRNazanin"/>
            <w:color w:val="111111"/>
            <w:sz w:val="22"/>
            <w:szCs w:val="22"/>
            <w:b w:val="0"/>
            <w:bCs w:val="0"/>
            <w:i w:val="0"/>
            <w:iCs w:val="0"/>
          </w:rPr>
          <w:t>• تاریخ اسپانیا و پرتقال / تاریخ / فارسی</w:t>
        </w:r>
        <w:r>
          <w:tab/>
        </w:r>
        <w:r>
          <w:fldChar w:fldCharType="begin"/>
        </w:r>
        <w:r>
          <w:instrText xml:space="preserve">PAGEREF 1264 \h</w:instrText>
        </w:r>
        <w:r>
          <w:fldChar w:fldCharType="end"/>
        </w:r>
      </w:hyperlink>
    </w:p>
    <w:p>
      <w:pPr>
        <w:tabs>
          <w:tab w:val="right" w:leader="dot" w:pos="9062"/>
        </w:tabs>
        <w:ind w:left="440"/>
      </w:pPr>
      <w:hyperlink w:anchor="_Toc1265" w:history="1">
        <w:r>
          <w:rPr>
            <w:rFonts w:ascii="IRNazanin" w:hAnsi="IRNazanin" w:eastAsia="IRNazanin" w:cs="IRNazanin"/>
            <w:color w:val="111111"/>
            <w:sz w:val="22"/>
            <w:szCs w:val="22"/>
            <w:b w:val="0"/>
            <w:bCs w:val="0"/>
            <w:i w:val="0"/>
            <w:iCs w:val="0"/>
          </w:rPr>
          <w:t>• تاریخ استرالیا (ترجمه) / تاریخ / فارسی</w:t>
        </w:r>
        <w:r>
          <w:tab/>
        </w:r>
        <w:r>
          <w:fldChar w:fldCharType="begin"/>
        </w:r>
        <w:r>
          <w:instrText xml:space="preserve">PAGEREF 1265 \h</w:instrText>
        </w:r>
        <w:r>
          <w:fldChar w:fldCharType="end"/>
        </w:r>
      </w:hyperlink>
    </w:p>
    <w:p>
      <w:pPr>
        <w:tabs>
          <w:tab w:val="right" w:leader="dot" w:pos="9062"/>
        </w:tabs>
        <w:ind w:left="440"/>
      </w:pPr>
      <w:hyperlink w:anchor="_Toc1266" w:history="1">
        <w:r>
          <w:rPr>
            <w:rFonts w:ascii="IRNazanin" w:hAnsi="IRNazanin" w:eastAsia="IRNazanin" w:cs="IRNazanin"/>
            <w:color w:val="111111"/>
            <w:sz w:val="22"/>
            <w:szCs w:val="22"/>
            <w:b w:val="0"/>
            <w:bCs w:val="0"/>
            <w:i w:val="0"/>
            <w:iCs w:val="0"/>
          </w:rPr>
          <w:t>• تاریخ اسکندر / تاریخ ایران / فارسی</w:t>
        </w:r>
        <w:r>
          <w:tab/>
        </w:r>
        <w:r>
          <w:fldChar w:fldCharType="begin"/>
        </w:r>
        <w:r>
          <w:instrText xml:space="preserve">PAGEREF 1266 \h</w:instrText>
        </w:r>
        <w:r>
          <w:fldChar w:fldCharType="end"/>
        </w:r>
      </w:hyperlink>
    </w:p>
    <w:p>
      <w:pPr>
        <w:tabs>
          <w:tab w:val="right" w:leader="dot" w:pos="9062"/>
        </w:tabs>
        <w:ind w:left="440"/>
      </w:pPr>
      <w:hyperlink w:anchor="_Toc1267" w:history="1">
        <w:r>
          <w:rPr>
            <w:rFonts w:ascii="IRNazanin" w:hAnsi="IRNazanin" w:eastAsia="IRNazanin" w:cs="IRNazanin"/>
            <w:color w:val="111111"/>
            <w:sz w:val="22"/>
            <w:szCs w:val="22"/>
            <w:b w:val="0"/>
            <w:bCs w:val="0"/>
            <w:i w:val="0"/>
            <w:iCs w:val="0"/>
          </w:rPr>
          <w:t>•تاریخ اسکندر رومی (ترجمه) / تاریخ ایران / فارسی</w:t>
        </w:r>
        <w:r>
          <w:tab/>
        </w:r>
        <w:r>
          <w:fldChar w:fldCharType="begin"/>
        </w:r>
        <w:r>
          <w:instrText xml:space="preserve">PAGEREF 1267 \h</w:instrText>
        </w:r>
        <w:r>
          <w:fldChar w:fldCharType="end"/>
        </w:r>
      </w:hyperlink>
    </w:p>
    <w:p>
      <w:pPr>
        <w:tabs>
          <w:tab w:val="right" w:leader="dot" w:pos="9062"/>
        </w:tabs>
        <w:ind w:left="440"/>
      </w:pPr>
      <w:hyperlink w:anchor="_Toc1268" w:history="1">
        <w:r>
          <w:rPr>
            <w:rFonts w:ascii="IRNazanin" w:hAnsi="IRNazanin" w:eastAsia="IRNazanin" w:cs="IRNazanin"/>
            <w:color w:val="111111"/>
            <w:sz w:val="22"/>
            <w:szCs w:val="22"/>
            <w:b w:val="0"/>
            <w:bCs w:val="0"/>
            <w:i w:val="0"/>
            <w:iCs w:val="0"/>
          </w:rPr>
          <w:t>• تاریخ اسکندر مقدونی / تاریخ ایران / فارسی</w:t>
        </w:r>
        <w:r>
          <w:tab/>
        </w:r>
        <w:r>
          <w:fldChar w:fldCharType="begin"/>
        </w:r>
        <w:r>
          <w:instrText xml:space="preserve">PAGEREF 1268 \h</w:instrText>
        </w:r>
        <w:r>
          <w:fldChar w:fldCharType="end"/>
        </w:r>
      </w:hyperlink>
    </w:p>
    <w:p>
      <w:pPr>
        <w:tabs>
          <w:tab w:val="right" w:leader="dot" w:pos="9062"/>
        </w:tabs>
        <w:ind w:left="440"/>
      </w:pPr>
      <w:hyperlink w:anchor="_Toc1269" w:history="1">
        <w:r>
          <w:rPr>
            <w:rFonts w:ascii="IRNazanin" w:hAnsi="IRNazanin" w:eastAsia="IRNazanin" w:cs="IRNazanin"/>
            <w:color w:val="111111"/>
            <w:sz w:val="22"/>
            <w:szCs w:val="22"/>
            <w:b w:val="0"/>
            <w:bCs w:val="0"/>
            <w:i w:val="0"/>
            <w:iCs w:val="0"/>
          </w:rPr>
          <w:t>• تاریخ الاسلام / تاریخ / عربی</w:t>
        </w:r>
        <w:r>
          <w:tab/>
        </w:r>
        <w:r>
          <w:fldChar w:fldCharType="begin"/>
        </w:r>
        <w:r>
          <w:instrText xml:space="preserve">PAGEREF 1269 \h</w:instrText>
        </w:r>
        <w:r>
          <w:fldChar w:fldCharType="end"/>
        </w:r>
      </w:hyperlink>
    </w:p>
    <w:p>
      <w:pPr>
        <w:tabs>
          <w:tab w:val="right" w:leader="dot" w:pos="9062"/>
        </w:tabs>
        <w:ind w:left="440"/>
      </w:pPr>
      <w:hyperlink w:anchor="_Toc1270" w:history="1">
        <w:r>
          <w:rPr>
            <w:rFonts w:ascii="IRNazanin" w:hAnsi="IRNazanin" w:eastAsia="IRNazanin" w:cs="IRNazanin"/>
            <w:color w:val="111111"/>
            <w:sz w:val="22"/>
            <w:szCs w:val="22"/>
            <w:b w:val="0"/>
            <w:bCs w:val="0"/>
            <w:i w:val="0"/>
            <w:iCs w:val="0"/>
          </w:rPr>
          <w:t>• تاریخ اسلام / تاریخ اسلام / فارسی</w:t>
        </w:r>
        <w:r>
          <w:tab/>
        </w:r>
        <w:r>
          <w:fldChar w:fldCharType="begin"/>
        </w:r>
        <w:r>
          <w:instrText xml:space="preserve">PAGEREF 1270 \h</w:instrText>
        </w:r>
        <w:r>
          <w:fldChar w:fldCharType="end"/>
        </w:r>
      </w:hyperlink>
    </w:p>
    <w:p>
      <w:pPr>
        <w:tabs>
          <w:tab w:val="right" w:leader="dot" w:pos="9062"/>
        </w:tabs>
        <w:ind w:left="440"/>
      </w:pPr>
      <w:hyperlink w:anchor="_Toc1271" w:history="1">
        <w:r>
          <w:rPr>
            <w:rFonts w:ascii="IRNazanin" w:hAnsi="IRNazanin" w:eastAsia="IRNazanin" w:cs="IRNazanin"/>
            <w:color w:val="111111"/>
            <w:sz w:val="22"/>
            <w:szCs w:val="22"/>
            <w:b w:val="0"/>
            <w:bCs w:val="0"/>
            <w:i w:val="0"/>
            <w:iCs w:val="0"/>
          </w:rPr>
          <w:t>•تاریخ اسلام / تاریخ اسلام / فارسی</w:t>
        </w:r>
        <w:r>
          <w:tab/>
        </w:r>
        <w:r>
          <w:fldChar w:fldCharType="begin"/>
        </w:r>
        <w:r>
          <w:instrText xml:space="preserve">PAGEREF 1271 \h</w:instrText>
        </w:r>
        <w:r>
          <w:fldChar w:fldCharType="end"/>
        </w:r>
      </w:hyperlink>
    </w:p>
    <w:p>
      <w:pPr>
        <w:tabs>
          <w:tab w:val="right" w:leader="dot" w:pos="9062"/>
        </w:tabs>
        <w:ind w:left="440"/>
      </w:pPr>
      <w:hyperlink w:anchor="_Toc1272" w:history="1">
        <w:r>
          <w:rPr>
            <w:rFonts w:ascii="IRNazanin" w:hAnsi="IRNazanin" w:eastAsia="IRNazanin" w:cs="IRNazanin"/>
            <w:color w:val="111111"/>
            <w:sz w:val="22"/>
            <w:szCs w:val="22"/>
            <w:b w:val="0"/>
            <w:bCs w:val="0"/>
            <w:i w:val="0"/>
            <w:iCs w:val="0"/>
          </w:rPr>
          <w:t>• تاریخ اسلام / تاریخ / عربی</w:t>
        </w:r>
        <w:r>
          <w:tab/>
        </w:r>
        <w:r>
          <w:fldChar w:fldCharType="begin"/>
        </w:r>
        <w:r>
          <w:instrText xml:space="preserve">PAGEREF 1272 \h</w:instrText>
        </w:r>
        <w:r>
          <w:fldChar w:fldCharType="end"/>
        </w:r>
      </w:hyperlink>
    </w:p>
    <w:p>
      <w:pPr>
        <w:tabs>
          <w:tab w:val="right" w:leader="dot" w:pos="9062"/>
        </w:tabs>
        <w:ind w:left="440"/>
      </w:pPr>
      <w:hyperlink w:anchor="_Toc1273" w:history="1">
        <w:r>
          <w:rPr>
            <w:rFonts w:ascii="IRNazanin" w:hAnsi="IRNazanin" w:eastAsia="IRNazanin" w:cs="IRNazanin"/>
            <w:color w:val="111111"/>
            <w:sz w:val="22"/>
            <w:szCs w:val="22"/>
            <w:b w:val="0"/>
            <w:bCs w:val="0"/>
            <w:i w:val="0"/>
            <w:iCs w:val="0"/>
          </w:rPr>
          <w:t>•تاریخ اسلام / تاریخ اسلام / فارسی</w:t>
        </w:r>
        <w:r>
          <w:tab/>
        </w:r>
        <w:r>
          <w:fldChar w:fldCharType="begin"/>
        </w:r>
        <w:r>
          <w:instrText xml:space="preserve">PAGEREF 1273 \h</w:instrText>
        </w:r>
        <w:r>
          <w:fldChar w:fldCharType="end"/>
        </w:r>
      </w:hyperlink>
    </w:p>
    <w:p>
      <w:pPr>
        <w:tabs>
          <w:tab w:val="right" w:leader="dot" w:pos="9062"/>
        </w:tabs>
        <w:ind w:left="440"/>
      </w:pPr>
      <w:hyperlink w:anchor="_Toc1274" w:history="1">
        <w:r>
          <w:rPr>
            <w:rFonts w:ascii="IRNazanin" w:hAnsi="IRNazanin" w:eastAsia="IRNazanin" w:cs="IRNazanin"/>
            <w:color w:val="111111"/>
            <w:sz w:val="22"/>
            <w:szCs w:val="22"/>
            <w:b w:val="0"/>
            <w:bCs w:val="0"/>
            <w:i w:val="0"/>
            <w:iCs w:val="0"/>
          </w:rPr>
          <w:t>• تاریخ اسلام (مختصر) / تاریخ / فارسی</w:t>
        </w:r>
        <w:r>
          <w:tab/>
        </w:r>
        <w:r>
          <w:fldChar w:fldCharType="begin"/>
        </w:r>
        <w:r>
          <w:instrText xml:space="preserve">PAGEREF 1274 \h</w:instrText>
        </w:r>
        <w:r>
          <w:fldChar w:fldCharType="end"/>
        </w:r>
      </w:hyperlink>
    </w:p>
    <w:p>
      <w:pPr>
        <w:tabs>
          <w:tab w:val="right" w:leader="dot" w:pos="9062"/>
        </w:tabs>
        <w:ind w:left="440"/>
      </w:pPr>
      <w:hyperlink w:anchor="_Toc1275" w:history="1">
        <w:r>
          <w:rPr>
            <w:rFonts w:ascii="IRNazanin" w:hAnsi="IRNazanin" w:eastAsia="IRNazanin" w:cs="IRNazanin"/>
            <w:color w:val="111111"/>
            <w:sz w:val="22"/>
            <w:szCs w:val="22"/>
            <w:b w:val="0"/>
            <w:bCs w:val="0"/>
            <w:i w:val="0"/>
            <w:iCs w:val="0"/>
          </w:rPr>
          <w:t>• تاریخ اسلام (مختصر) / تاریخ / فارسی</w:t>
        </w:r>
        <w:r>
          <w:tab/>
        </w:r>
        <w:r>
          <w:fldChar w:fldCharType="begin"/>
        </w:r>
        <w:r>
          <w:instrText xml:space="preserve">PAGEREF 1275 \h</w:instrText>
        </w:r>
        <w:r>
          <w:fldChar w:fldCharType="end"/>
        </w:r>
      </w:hyperlink>
    </w:p>
    <w:p>
      <w:pPr>
        <w:tabs>
          <w:tab w:val="right" w:leader="dot" w:pos="9062"/>
        </w:tabs>
        <w:ind w:left="440"/>
      </w:pPr>
      <w:hyperlink w:anchor="_Toc1276" w:history="1">
        <w:r>
          <w:rPr>
            <w:rFonts w:ascii="IRNazanin" w:hAnsi="IRNazanin" w:eastAsia="IRNazanin" w:cs="IRNazanin"/>
            <w:color w:val="111111"/>
            <w:sz w:val="22"/>
            <w:szCs w:val="22"/>
            <w:b w:val="0"/>
            <w:bCs w:val="0"/>
            <w:i w:val="0"/>
            <w:iCs w:val="0"/>
          </w:rPr>
          <w:t>• تاریخ اسلام و ایران / تاریخ / فارسی</w:t>
        </w:r>
        <w:r>
          <w:tab/>
        </w:r>
        <w:r>
          <w:fldChar w:fldCharType="begin"/>
        </w:r>
        <w:r>
          <w:instrText xml:space="preserve">PAGEREF 1276 \h</w:instrText>
        </w:r>
        <w:r>
          <w:fldChar w:fldCharType="end"/>
        </w:r>
      </w:hyperlink>
    </w:p>
    <w:p>
      <w:pPr>
        <w:tabs>
          <w:tab w:val="right" w:leader="dot" w:pos="9062"/>
        </w:tabs>
        <w:ind w:left="440"/>
      </w:pPr>
      <w:hyperlink w:anchor="_Toc1277" w:history="1">
        <w:r>
          <w:rPr>
            <w:rFonts w:ascii="IRNazanin" w:hAnsi="IRNazanin" w:eastAsia="IRNazanin" w:cs="IRNazanin"/>
            <w:color w:val="111111"/>
            <w:sz w:val="22"/>
            <w:szCs w:val="22"/>
            <w:b w:val="0"/>
            <w:bCs w:val="0"/>
            <w:i w:val="0"/>
            <w:iCs w:val="0"/>
          </w:rPr>
          <w:t>• تاریخ الاسلام و طبقات مشاهير الأعلام = تاریخ الاسلام للذهبي = تاریخ ذهبی / تاریخ اسلام / عربی</w:t>
        </w:r>
        <w:r>
          <w:tab/>
        </w:r>
        <w:r>
          <w:fldChar w:fldCharType="begin"/>
        </w:r>
        <w:r>
          <w:instrText xml:space="preserve">PAGEREF 1277 \h</w:instrText>
        </w:r>
        <w:r>
          <w:fldChar w:fldCharType="end"/>
        </w:r>
      </w:hyperlink>
    </w:p>
    <w:p>
      <w:pPr>
        <w:tabs>
          <w:tab w:val="right" w:leader="dot" w:pos="9062"/>
        </w:tabs>
        <w:ind w:left="440"/>
      </w:pPr>
      <w:hyperlink w:anchor="_Toc1278" w:history="1">
        <w:r>
          <w:rPr>
            <w:rFonts w:ascii="IRNazanin" w:hAnsi="IRNazanin" w:eastAsia="IRNazanin" w:cs="IRNazanin"/>
            <w:color w:val="111111"/>
            <w:sz w:val="22"/>
            <w:szCs w:val="22"/>
            <w:b w:val="0"/>
            <w:bCs w:val="0"/>
            <w:i w:val="0"/>
            <w:iCs w:val="0"/>
          </w:rPr>
          <w:t>•تاریخ اشکانیان / تاریخ ایران / فارسی</w:t>
        </w:r>
        <w:r>
          <w:tab/>
        </w:r>
        <w:r>
          <w:fldChar w:fldCharType="begin"/>
        </w:r>
        <w:r>
          <w:instrText xml:space="preserve">PAGEREF 1278 \h</w:instrText>
        </w:r>
        <w:r>
          <w:fldChar w:fldCharType="end"/>
        </w:r>
      </w:hyperlink>
    </w:p>
    <w:p>
      <w:pPr>
        <w:tabs>
          <w:tab w:val="right" w:leader="dot" w:pos="9062"/>
        </w:tabs>
        <w:ind w:left="440"/>
      </w:pPr>
      <w:hyperlink w:anchor="_Toc1279" w:history="1">
        <w:r>
          <w:rPr>
            <w:rFonts w:ascii="IRNazanin" w:hAnsi="IRNazanin" w:eastAsia="IRNazanin" w:cs="IRNazanin"/>
            <w:color w:val="111111"/>
            <w:sz w:val="22"/>
            <w:szCs w:val="22"/>
            <w:b w:val="0"/>
            <w:bCs w:val="0"/>
            <w:i w:val="0"/>
            <w:iCs w:val="0"/>
          </w:rPr>
          <w:t>• تاریخ اصفهان = ترجمه محاسن اصفهان / تاریخ ایران / فارسی</w:t>
        </w:r>
        <w:r>
          <w:tab/>
        </w:r>
        <w:r>
          <w:fldChar w:fldCharType="begin"/>
        </w:r>
        <w:r>
          <w:instrText xml:space="preserve">PAGEREF 1279 \h</w:instrText>
        </w:r>
        <w:r>
          <w:fldChar w:fldCharType="end"/>
        </w:r>
      </w:hyperlink>
    </w:p>
    <w:p>
      <w:pPr>
        <w:tabs>
          <w:tab w:val="right" w:leader="dot" w:pos="9062"/>
        </w:tabs>
        <w:ind w:left="440"/>
      </w:pPr>
      <w:hyperlink w:anchor="_Toc1280" w:history="1">
        <w:r>
          <w:rPr>
            <w:rFonts w:ascii="IRNazanin" w:hAnsi="IRNazanin" w:eastAsia="IRNazanin" w:cs="IRNazanin"/>
            <w:color w:val="111111"/>
            <w:sz w:val="22"/>
            <w:szCs w:val="22"/>
            <w:b w:val="0"/>
            <w:bCs w:val="0"/>
            <w:i w:val="0"/>
            <w:iCs w:val="0"/>
          </w:rPr>
          <w:t>•تاریخ اصفهان / تاریخ ایران / فارسی</w:t>
        </w:r>
        <w:r>
          <w:tab/>
        </w:r>
        <w:r>
          <w:fldChar w:fldCharType="begin"/>
        </w:r>
        <w:r>
          <w:instrText xml:space="preserve">PAGEREF 1280 \h</w:instrText>
        </w:r>
        <w:r>
          <w:fldChar w:fldCharType="end"/>
        </w:r>
      </w:hyperlink>
    </w:p>
    <w:p>
      <w:pPr>
        <w:tabs>
          <w:tab w:val="right" w:leader="dot" w:pos="9062"/>
        </w:tabs>
        <w:ind w:left="440"/>
      </w:pPr>
      <w:hyperlink w:anchor="_Toc1281" w:history="1">
        <w:r>
          <w:rPr>
            <w:rFonts w:ascii="IRNazanin" w:hAnsi="IRNazanin" w:eastAsia="IRNazanin" w:cs="IRNazanin"/>
            <w:color w:val="111111"/>
            <w:sz w:val="22"/>
            <w:szCs w:val="22"/>
            <w:b w:val="0"/>
            <w:bCs w:val="0"/>
            <w:i w:val="0"/>
            <w:iCs w:val="0"/>
          </w:rPr>
          <w:t>• تاریخ اصفهان / تاریخ ایران / فارسی</w:t>
        </w:r>
        <w:r>
          <w:tab/>
        </w:r>
        <w:r>
          <w:fldChar w:fldCharType="begin"/>
        </w:r>
        <w:r>
          <w:instrText xml:space="preserve">PAGEREF 1281 \h</w:instrText>
        </w:r>
        <w:r>
          <w:fldChar w:fldCharType="end"/>
        </w:r>
      </w:hyperlink>
    </w:p>
    <w:p>
      <w:pPr>
        <w:tabs>
          <w:tab w:val="right" w:leader="dot" w:pos="9062"/>
        </w:tabs>
        <w:ind w:left="440"/>
      </w:pPr>
      <w:hyperlink w:anchor="_Toc1282" w:history="1">
        <w:r>
          <w:rPr>
            <w:rFonts w:ascii="IRNazanin" w:hAnsi="IRNazanin" w:eastAsia="IRNazanin" w:cs="IRNazanin"/>
            <w:color w:val="111111"/>
            <w:sz w:val="22"/>
            <w:szCs w:val="22"/>
            <w:b w:val="0"/>
            <w:bCs w:val="0"/>
            <w:i w:val="0"/>
            <w:iCs w:val="0"/>
          </w:rPr>
          <w:t>• تاریخ اصفهان / تاریخ ایران / فارسی</w:t>
        </w:r>
        <w:r>
          <w:tab/>
        </w:r>
        <w:r>
          <w:fldChar w:fldCharType="begin"/>
        </w:r>
        <w:r>
          <w:instrText xml:space="preserve">PAGEREF 1282 \h</w:instrText>
        </w:r>
        <w:r>
          <w:fldChar w:fldCharType="end"/>
        </w:r>
      </w:hyperlink>
    </w:p>
    <w:p>
      <w:pPr>
        <w:tabs>
          <w:tab w:val="right" w:leader="dot" w:pos="9062"/>
        </w:tabs>
        <w:ind w:left="440"/>
      </w:pPr>
      <w:hyperlink w:anchor="_Toc1283" w:history="1">
        <w:r>
          <w:rPr>
            <w:rFonts w:ascii="IRNazanin" w:hAnsi="IRNazanin" w:eastAsia="IRNazanin" w:cs="IRNazanin"/>
            <w:color w:val="111111"/>
            <w:sz w:val="22"/>
            <w:szCs w:val="22"/>
            <w:b w:val="0"/>
            <w:bCs w:val="0"/>
            <w:i w:val="0"/>
            <w:iCs w:val="0"/>
          </w:rPr>
          <w:t>• تاریخ اصفهان / تاریخ ایران / فارسی</w:t>
        </w:r>
        <w:r>
          <w:tab/>
        </w:r>
        <w:r>
          <w:fldChar w:fldCharType="begin"/>
        </w:r>
        <w:r>
          <w:instrText xml:space="preserve">PAGEREF 1283 \h</w:instrText>
        </w:r>
        <w:r>
          <w:fldChar w:fldCharType="end"/>
        </w:r>
      </w:hyperlink>
    </w:p>
    <w:p>
      <w:pPr>
        <w:tabs>
          <w:tab w:val="right" w:leader="dot" w:pos="9062"/>
        </w:tabs>
        <w:ind w:left="440"/>
      </w:pPr>
      <w:hyperlink w:anchor="_Toc1284" w:history="1">
        <w:r>
          <w:rPr>
            <w:rFonts w:ascii="IRNazanin" w:hAnsi="IRNazanin" w:eastAsia="IRNazanin" w:cs="IRNazanin"/>
            <w:color w:val="111111"/>
            <w:sz w:val="22"/>
            <w:szCs w:val="22"/>
            <w:b w:val="0"/>
            <w:bCs w:val="0"/>
            <w:i w:val="0"/>
            <w:iCs w:val="0"/>
          </w:rPr>
          <w:t>• تاريخ الاطباء / طب / عربي</w:t>
        </w:r>
        <w:r>
          <w:tab/>
        </w:r>
        <w:r>
          <w:fldChar w:fldCharType="begin"/>
        </w:r>
        <w:r>
          <w:instrText xml:space="preserve">PAGEREF 1284 \h</w:instrText>
        </w:r>
        <w:r>
          <w:fldChar w:fldCharType="end"/>
        </w:r>
      </w:hyperlink>
    </w:p>
    <w:p>
      <w:pPr>
        <w:tabs>
          <w:tab w:val="right" w:leader="dot" w:pos="9062"/>
        </w:tabs>
        <w:ind w:left="440"/>
      </w:pPr>
      <w:hyperlink w:anchor="_Toc1285" w:history="1">
        <w:r>
          <w:rPr>
            <w:rFonts w:ascii="IRNazanin" w:hAnsi="IRNazanin" w:eastAsia="IRNazanin" w:cs="IRNazanin"/>
            <w:color w:val="111111"/>
            <w:sz w:val="22"/>
            <w:szCs w:val="22"/>
            <w:b w:val="0"/>
            <w:bCs w:val="0"/>
            <w:i w:val="0"/>
            <w:iCs w:val="0"/>
          </w:rPr>
          <w:t>• تاریخ افغانستان / تاریخ ایران / فارسی</w:t>
        </w:r>
        <w:r>
          <w:tab/>
        </w:r>
        <w:r>
          <w:fldChar w:fldCharType="begin"/>
        </w:r>
        <w:r>
          <w:instrText xml:space="preserve">PAGEREF 1285 \h</w:instrText>
        </w:r>
        <w:r>
          <w:fldChar w:fldCharType="end"/>
        </w:r>
      </w:hyperlink>
    </w:p>
    <w:p>
      <w:pPr>
        <w:tabs>
          <w:tab w:val="right" w:leader="dot" w:pos="9062"/>
        </w:tabs>
        <w:ind w:left="440"/>
      </w:pPr>
      <w:hyperlink w:anchor="_Toc1286" w:history="1">
        <w:r>
          <w:rPr>
            <w:rFonts w:ascii="IRNazanin" w:hAnsi="IRNazanin" w:eastAsia="IRNazanin" w:cs="IRNazanin"/>
            <w:color w:val="111111"/>
            <w:sz w:val="22"/>
            <w:szCs w:val="22"/>
            <w:b w:val="0"/>
            <w:bCs w:val="0"/>
            <w:i w:val="0"/>
            <w:iCs w:val="0"/>
          </w:rPr>
          <w:t>• تاریخ افغانستان / تاریخ / فارسی</w:t>
        </w:r>
        <w:r>
          <w:tab/>
        </w:r>
        <w:r>
          <w:fldChar w:fldCharType="begin"/>
        </w:r>
        <w:r>
          <w:instrText xml:space="preserve">PAGEREF 1286 \h</w:instrText>
        </w:r>
        <w:r>
          <w:fldChar w:fldCharType="end"/>
        </w:r>
      </w:hyperlink>
    </w:p>
    <w:p>
      <w:pPr>
        <w:tabs>
          <w:tab w:val="right" w:leader="dot" w:pos="9062"/>
        </w:tabs>
        <w:ind w:left="440"/>
      </w:pPr>
      <w:hyperlink w:anchor="_Toc1287" w:history="1">
        <w:r>
          <w:rPr>
            <w:rFonts w:ascii="IRNazanin" w:hAnsi="IRNazanin" w:eastAsia="IRNazanin" w:cs="IRNazanin"/>
            <w:color w:val="111111"/>
            <w:sz w:val="22"/>
            <w:szCs w:val="22"/>
            <w:b w:val="0"/>
            <w:bCs w:val="0"/>
            <w:i w:val="0"/>
            <w:iCs w:val="0"/>
          </w:rPr>
          <w:t>•تاریخ افغانستان / تاریخ / فارسی</w:t>
        </w:r>
        <w:r>
          <w:tab/>
        </w:r>
        <w:r>
          <w:fldChar w:fldCharType="begin"/>
        </w:r>
        <w:r>
          <w:instrText xml:space="preserve">PAGEREF 1287 \h</w:instrText>
        </w:r>
        <w:r>
          <w:fldChar w:fldCharType="end"/>
        </w:r>
      </w:hyperlink>
    </w:p>
    <w:p>
      <w:pPr>
        <w:tabs>
          <w:tab w:val="right" w:leader="dot" w:pos="9062"/>
        </w:tabs>
        <w:ind w:left="440"/>
      </w:pPr>
      <w:hyperlink w:anchor="_Toc1288" w:history="1">
        <w:r>
          <w:rPr>
            <w:rFonts w:ascii="IRNazanin" w:hAnsi="IRNazanin" w:eastAsia="IRNazanin" w:cs="IRNazanin"/>
            <w:color w:val="111111"/>
            <w:sz w:val="22"/>
            <w:szCs w:val="22"/>
            <w:b w:val="0"/>
            <w:bCs w:val="0"/>
            <w:i w:val="0"/>
            <w:iCs w:val="0"/>
          </w:rPr>
          <w:t>• تاریخ اکبرشاه / تاریخ هند / فارسی</w:t>
        </w:r>
        <w:r>
          <w:tab/>
        </w:r>
        <w:r>
          <w:fldChar w:fldCharType="begin"/>
        </w:r>
        <w:r>
          <w:instrText xml:space="preserve">PAGEREF 1288 \h</w:instrText>
        </w:r>
        <w:r>
          <w:fldChar w:fldCharType="end"/>
        </w:r>
      </w:hyperlink>
    </w:p>
    <w:p>
      <w:pPr>
        <w:tabs>
          <w:tab w:val="right" w:leader="dot" w:pos="9062"/>
        </w:tabs>
        <w:ind w:left="440"/>
      </w:pPr>
      <w:hyperlink w:anchor="_Toc1289" w:history="1">
        <w:r>
          <w:rPr>
            <w:rFonts w:ascii="IRNazanin" w:hAnsi="IRNazanin" w:eastAsia="IRNazanin" w:cs="IRNazanin"/>
            <w:color w:val="111111"/>
            <w:sz w:val="22"/>
            <w:szCs w:val="22"/>
            <w:b w:val="0"/>
            <w:bCs w:val="0"/>
            <w:i w:val="0"/>
            <w:iCs w:val="0"/>
          </w:rPr>
          <w:t>•تاریخ اکبرشاه / تاریخ هند / فارسی</w:t>
        </w:r>
        <w:r>
          <w:tab/>
        </w:r>
        <w:r>
          <w:fldChar w:fldCharType="begin"/>
        </w:r>
        <w:r>
          <w:instrText xml:space="preserve">PAGEREF 1289 \h</w:instrText>
        </w:r>
        <w:r>
          <w:fldChar w:fldCharType="end"/>
        </w:r>
      </w:hyperlink>
    </w:p>
    <w:p>
      <w:pPr>
        <w:tabs>
          <w:tab w:val="right" w:leader="dot" w:pos="9062"/>
        </w:tabs>
        <w:ind w:left="440"/>
      </w:pPr>
      <w:hyperlink w:anchor="_Toc1290" w:history="1">
        <w:r>
          <w:rPr>
            <w:rFonts w:ascii="IRNazanin" w:hAnsi="IRNazanin" w:eastAsia="IRNazanin" w:cs="IRNazanin"/>
            <w:color w:val="111111"/>
            <w:sz w:val="22"/>
            <w:szCs w:val="22"/>
            <w:b w:val="0"/>
            <w:bCs w:val="0"/>
            <w:i w:val="0"/>
            <w:iCs w:val="0"/>
          </w:rPr>
          <w:t>•تاریخ اکبری = محمدت نامه ایزدی = اکبرنامه = تاریخ اکبر شاهی = آئین اکبری / تاریخ هند / فارسی</w:t>
        </w:r>
        <w:r>
          <w:tab/>
        </w:r>
        <w:r>
          <w:fldChar w:fldCharType="begin"/>
        </w:r>
        <w:r>
          <w:instrText xml:space="preserve">PAGEREF 1290 \h</w:instrText>
        </w:r>
        <w:r>
          <w:fldChar w:fldCharType="end"/>
        </w:r>
      </w:hyperlink>
    </w:p>
    <w:p>
      <w:pPr>
        <w:tabs>
          <w:tab w:val="right" w:leader="dot" w:pos="9062"/>
        </w:tabs>
        <w:ind w:left="440"/>
      </w:pPr>
      <w:hyperlink w:anchor="_Toc1291" w:history="1">
        <w:r>
          <w:rPr>
            <w:rFonts w:ascii="IRNazanin" w:hAnsi="IRNazanin" w:eastAsia="IRNazanin" w:cs="IRNazanin"/>
            <w:color w:val="111111"/>
            <w:sz w:val="22"/>
            <w:szCs w:val="22"/>
            <w:b w:val="0"/>
            <w:bCs w:val="0"/>
            <w:i w:val="0"/>
            <w:iCs w:val="0"/>
          </w:rPr>
          <w:t>• تاریخ اكتشاف آمریکا / تاریخ / فارسی</w:t>
        </w:r>
        <w:r>
          <w:tab/>
        </w:r>
        <w:r>
          <w:fldChar w:fldCharType="begin"/>
        </w:r>
        <w:r>
          <w:instrText xml:space="preserve">PAGEREF 1291 \h</w:instrText>
        </w:r>
        <w:r>
          <w:fldChar w:fldCharType="end"/>
        </w:r>
      </w:hyperlink>
    </w:p>
    <w:p>
      <w:pPr>
        <w:tabs>
          <w:tab w:val="right" w:leader="dot" w:pos="9062"/>
        </w:tabs>
        <w:ind w:left="440"/>
      </w:pPr>
      <w:hyperlink w:anchor="_Toc1292" w:history="1">
        <w:r>
          <w:rPr>
            <w:rFonts w:ascii="IRNazanin" w:hAnsi="IRNazanin" w:eastAsia="IRNazanin" w:cs="IRNazanin"/>
            <w:color w:val="111111"/>
            <w:sz w:val="22"/>
            <w:szCs w:val="22"/>
            <w:b w:val="0"/>
            <w:bCs w:val="0"/>
            <w:i w:val="0"/>
            <w:iCs w:val="0"/>
          </w:rPr>
          <w:t>•تاریخ اکتشافات / جغرافيا / فارسی</w:t>
        </w:r>
        <w:r>
          <w:tab/>
        </w:r>
        <w:r>
          <w:fldChar w:fldCharType="begin"/>
        </w:r>
        <w:r>
          <w:instrText xml:space="preserve">PAGEREF 1292 \h</w:instrText>
        </w:r>
        <w:r>
          <w:fldChar w:fldCharType="end"/>
        </w:r>
      </w:hyperlink>
    </w:p>
    <w:p>
      <w:pPr>
        <w:tabs>
          <w:tab w:val="right" w:leader="dot" w:pos="9062"/>
        </w:tabs>
        <w:ind w:left="440"/>
      </w:pPr>
      <w:hyperlink w:anchor="_Toc1293" w:history="1">
        <w:r>
          <w:rPr>
            <w:rFonts w:ascii="IRNazanin" w:hAnsi="IRNazanin" w:eastAsia="IRNazanin" w:cs="IRNazanin"/>
            <w:color w:val="111111"/>
            <w:sz w:val="22"/>
            <w:szCs w:val="22"/>
            <w:b w:val="0"/>
            <w:bCs w:val="0"/>
            <w:i w:val="0"/>
            <w:iCs w:val="0"/>
          </w:rPr>
          <w:t>• تاریخ اکراد / تاریخ ایران، تاریخ / فارسی</w:t>
        </w:r>
        <w:r>
          <w:tab/>
        </w:r>
        <w:r>
          <w:fldChar w:fldCharType="begin"/>
        </w:r>
        <w:r>
          <w:instrText xml:space="preserve">PAGEREF 1293 \h</w:instrText>
        </w:r>
        <w:r>
          <w:fldChar w:fldCharType="end"/>
        </w:r>
      </w:hyperlink>
    </w:p>
    <w:p>
      <w:pPr>
        <w:tabs>
          <w:tab w:val="right" w:leader="dot" w:pos="9062"/>
        </w:tabs>
        <w:ind w:left="440"/>
      </w:pPr>
      <w:hyperlink w:anchor="_Toc1294" w:history="1">
        <w:r>
          <w:rPr>
            <w:rFonts w:ascii="IRNazanin" w:hAnsi="IRNazanin" w:eastAsia="IRNazanin" w:cs="IRNazanin"/>
            <w:color w:val="111111"/>
            <w:sz w:val="22"/>
            <w:szCs w:val="22"/>
            <w:b w:val="0"/>
            <w:bCs w:val="0"/>
            <w:i w:val="0"/>
            <w:iCs w:val="0"/>
          </w:rPr>
          <w:t>•تاريخ الفي = تاریخ اکبری / تاریخ جهان / فارسی</w:t>
        </w:r>
        <w:r>
          <w:tab/>
        </w:r>
        <w:r>
          <w:fldChar w:fldCharType="begin"/>
        </w:r>
        <w:r>
          <w:instrText xml:space="preserve">PAGEREF 1294 \h</w:instrText>
        </w:r>
        <w:r>
          <w:fldChar w:fldCharType="end"/>
        </w:r>
      </w:hyperlink>
    </w:p>
    <w:p>
      <w:pPr>
        <w:tabs>
          <w:tab w:val="right" w:leader="dot" w:pos="9062"/>
        </w:tabs>
        <w:ind w:left="440"/>
      </w:pPr>
      <w:hyperlink w:anchor="_Toc1295" w:history="1">
        <w:r>
          <w:rPr>
            <w:rFonts w:ascii="IRNazanin" w:hAnsi="IRNazanin" w:eastAsia="IRNazanin" w:cs="IRNazanin"/>
            <w:color w:val="111111"/>
            <w:sz w:val="22"/>
            <w:szCs w:val="22"/>
            <w:b w:val="0"/>
            <w:bCs w:val="0"/>
            <w:i w:val="0"/>
            <w:iCs w:val="0"/>
          </w:rPr>
          <w:t>•تاريخ الكساندر اول امپراطور روس / تاریخ پادشاهان / فارسی</w:t>
        </w:r>
        <w:r>
          <w:tab/>
        </w:r>
        <w:r>
          <w:fldChar w:fldCharType="begin"/>
        </w:r>
        <w:r>
          <w:instrText xml:space="preserve">PAGEREF 1295 \h</w:instrText>
        </w:r>
        <w:r>
          <w:fldChar w:fldCharType="end"/>
        </w:r>
      </w:hyperlink>
    </w:p>
    <w:p>
      <w:pPr>
        <w:tabs>
          <w:tab w:val="right" w:leader="dot" w:pos="9062"/>
        </w:tabs>
        <w:ind w:left="440"/>
      </w:pPr>
      <w:hyperlink w:anchor="_Toc1296" w:history="1">
        <w:r>
          <w:rPr>
            <w:rFonts w:ascii="IRNazanin" w:hAnsi="IRNazanin" w:eastAsia="IRNazanin" w:cs="IRNazanin"/>
            <w:color w:val="111111"/>
            <w:sz w:val="22"/>
            <w:szCs w:val="22"/>
            <w:b w:val="0"/>
            <w:bCs w:val="0"/>
            <w:i w:val="0"/>
            <w:iCs w:val="0"/>
          </w:rPr>
          <w:t>•تاریخ امامان و شاهان و فیلسوفان / تاریخ عربی</w:t>
        </w:r>
        <w:r>
          <w:tab/>
        </w:r>
        <w:r>
          <w:fldChar w:fldCharType="begin"/>
        </w:r>
        <w:r>
          <w:instrText xml:space="preserve">PAGEREF 1296 \h</w:instrText>
        </w:r>
        <w:r>
          <w:fldChar w:fldCharType="end"/>
        </w:r>
      </w:hyperlink>
    </w:p>
    <w:p>
      <w:pPr>
        <w:tabs>
          <w:tab w:val="right" w:leader="dot" w:pos="9062"/>
        </w:tabs>
        <w:ind w:left="440"/>
      </w:pPr>
      <w:hyperlink w:anchor="_Toc1297" w:history="1">
        <w:r>
          <w:rPr>
            <w:rFonts w:ascii="IRNazanin" w:hAnsi="IRNazanin" w:eastAsia="IRNazanin" w:cs="IRNazanin"/>
            <w:color w:val="111111"/>
            <w:sz w:val="22"/>
            <w:szCs w:val="22"/>
            <w:b w:val="0"/>
            <w:bCs w:val="0"/>
            <w:i w:val="0"/>
            <w:iCs w:val="0"/>
          </w:rPr>
          <w:t>•تاریخ امام حسن مجتبی (علیه السلام) / تاریخ معصومین / فارسی</w:t>
        </w:r>
        <w:r>
          <w:tab/>
        </w:r>
        <w:r>
          <w:fldChar w:fldCharType="begin"/>
        </w:r>
        <w:r>
          <w:instrText xml:space="preserve">PAGEREF 1297 \h</w:instrText>
        </w:r>
        <w:r>
          <w:fldChar w:fldCharType="end"/>
        </w:r>
      </w:hyperlink>
    </w:p>
    <w:p>
      <w:pPr>
        <w:tabs>
          <w:tab w:val="right" w:leader="dot" w:pos="9062"/>
        </w:tabs>
        <w:ind w:left="440"/>
      </w:pPr>
      <w:hyperlink w:anchor="_Toc1298" w:history="1">
        <w:r>
          <w:rPr>
            <w:rFonts w:ascii="IRNazanin" w:hAnsi="IRNazanin" w:eastAsia="IRNazanin" w:cs="IRNazanin"/>
            <w:color w:val="111111"/>
            <w:sz w:val="22"/>
            <w:szCs w:val="22"/>
            <w:b w:val="0"/>
            <w:bCs w:val="0"/>
            <w:i w:val="0"/>
            <w:iCs w:val="0"/>
          </w:rPr>
          <w:t>• تاریخ امام حسین(عليه السلام)/ تاریخ معصومین / عربی</w:t>
        </w:r>
        <w:r>
          <w:tab/>
        </w:r>
        <w:r>
          <w:fldChar w:fldCharType="begin"/>
        </w:r>
        <w:r>
          <w:instrText xml:space="preserve">PAGEREF 1298 \h</w:instrText>
        </w:r>
        <w:r>
          <w:fldChar w:fldCharType="end"/>
        </w:r>
      </w:hyperlink>
    </w:p>
    <w:p>
      <w:pPr>
        <w:tabs>
          <w:tab w:val="right" w:leader="dot" w:pos="9062"/>
        </w:tabs>
        <w:ind w:left="440"/>
      </w:pPr>
      <w:hyperlink w:anchor="_Toc1299" w:history="1">
        <w:r>
          <w:rPr>
            <w:rFonts w:ascii="IRNazanin" w:hAnsi="IRNazanin" w:eastAsia="IRNazanin" w:cs="IRNazanin"/>
            <w:color w:val="111111"/>
            <w:sz w:val="22"/>
            <w:szCs w:val="22"/>
            <w:b w:val="0"/>
            <w:bCs w:val="0"/>
            <w:i w:val="0"/>
            <w:iCs w:val="0"/>
          </w:rPr>
          <w:t>• تاریخ امام رضا(عليه السلام) / تاریخ معصومین / فارسی</w:t>
        </w:r>
        <w:r>
          <w:tab/>
        </w:r>
        <w:r>
          <w:fldChar w:fldCharType="begin"/>
        </w:r>
        <w:r>
          <w:instrText xml:space="preserve">PAGEREF 1299 \h</w:instrText>
        </w:r>
        <w:r>
          <w:fldChar w:fldCharType="end"/>
        </w:r>
      </w:hyperlink>
    </w:p>
    <w:p>
      <w:pPr>
        <w:tabs>
          <w:tab w:val="right" w:leader="dot" w:pos="9062"/>
        </w:tabs>
        <w:ind w:left="440"/>
      </w:pPr>
      <w:hyperlink w:anchor="_Toc1300" w:history="1">
        <w:r>
          <w:rPr>
            <w:rFonts w:ascii="IRNazanin" w:hAnsi="IRNazanin" w:eastAsia="IRNazanin" w:cs="IRNazanin"/>
            <w:color w:val="111111"/>
            <w:sz w:val="22"/>
            <w:szCs w:val="22"/>
            <w:b w:val="0"/>
            <w:bCs w:val="0"/>
            <w:i w:val="0"/>
            <w:iCs w:val="0"/>
          </w:rPr>
          <w:t>•تاریخ امپراطوران آلمان و پاپهای رم / تاریخ / فارسی</w:t>
        </w:r>
        <w:r>
          <w:tab/>
        </w:r>
        <w:r>
          <w:fldChar w:fldCharType="begin"/>
        </w:r>
        <w:r>
          <w:instrText xml:space="preserve">PAGEREF 1300 \h</w:instrText>
        </w:r>
        <w:r>
          <w:fldChar w:fldCharType="end"/>
        </w:r>
      </w:hyperlink>
    </w:p>
    <w:p>
      <w:pPr>
        <w:tabs>
          <w:tab w:val="right" w:leader="dot" w:pos="9062"/>
        </w:tabs>
        <w:ind w:left="440"/>
      </w:pPr>
      <w:hyperlink w:anchor="_Toc1301" w:history="1">
        <w:r>
          <w:rPr>
            <w:rFonts w:ascii="IRNazanin" w:hAnsi="IRNazanin" w:eastAsia="IRNazanin" w:cs="IRNazanin"/>
            <w:color w:val="111111"/>
            <w:sz w:val="22"/>
            <w:szCs w:val="22"/>
            <w:b w:val="0"/>
            <w:bCs w:val="0"/>
            <w:i w:val="0"/>
            <w:iCs w:val="0"/>
          </w:rPr>
          <w:t>•تاریخ امپراطور نیکولا و وقایع سی سال سلطنت او / تاریخ / فارسی</w:t>
        </w:r>
        <w:r>
          <w:tab/>
        </w:r>
        <w:r>
          <w:fldChar w:fldCharType="begin"/>
        </w:r>
        <w:r>
          <w:instrText xml:space="preserve">PAGEREF 1301 \h</w:instrText>
        </w:r>
        <w:r>
          <w:fldChar w:fldCharType="end"/>
        </w:r>
      </w:hyperlink>
    </w:p>
    <w:p>
      <w:pPr>
        <w:tabs>
          <w:tab w:val="right" w:leader="dot" w:pos="9062"/>
        </w:tabs>
        <w:ind w:left="440"/>
      </w:pPr>
      <w:hyperlink w:anchor="_Toc1302" w:history="1">
        <w:r>
          <w:rPr>
            <w:rFonts w:ascii="IRNazanin" w:hAnsi="IRNazanin" w:eastAsia="IRNazanin" w:cs="IRNazanin"/>
            <w:color w:val="111111"/>
            <w:sz w:val="22"/>
            <w:szCs w:val="22"/>
            <w:b w:val="0"/>
            <w:bCs w:val="0"/>
            <w:i w:val="0"/>
            <w:iCs w:val="0"/>
          </w:rPr>
          <w:t>• تاریخ امیرالمؤمنین علی(عليه السلام) / تاریخ معصومین / فارسی</w:t>
        </w:r>
        <w:r>
          <w:tab/>
        </w:r>
        <w:r>
          <w:fldChar w:fldCharType="begin"/>
        </w:r>
        <w:r>
          <w:instrText xml:space="preserve">PAGEREF 1302 \h</w:instrText>
        </w:r>
        <w:r>
          <w:fldChar w:fldCharType="end"/>
        </w:r>
      </w:hyperlink>
    </w:p>
    <w:p>
      <w:pPr>
        <w:tabs>
          <w:tab w:val="right" w:leader="dot" w:pos="9062"/>
        </w:tabs>
        <w:ind w:left="440"/>
      </w:pPr>
      <w:hyperlink w:anchor="_Toc1303" w:history="1">
        <w:r>
          <w:rPr>
            <w:rFonts w:ascii="IRNazanin" w:hAnsi="IRNazanin" w:eastAsia="IRNazanin" w:cs="IRNazanin"/>
            <w:color w:val="111111"/>
            <w:sz w:val="22"/>
            <w:szCs w:val="22"/>
            <w:b w:val="0"/>
            <w:bCs w:val="0"/>
            <w:i w:val="0"/>
            <w:iCs w:val="0"/>
          </w:rPr>
          <w:t>• تاريخ الأمير يشبک الظاهری و رحلة من القاهرة الى آسيا الصغرى / تاریخ / عربی</w:t>
        </w:r>
        <w:r>
          <w:tab/>
        </w:r>
        <w:r>
          <w:fldChar w:fldCharType="begin"/>
        </w:r>
        <w:r>
          <w:instrText xml:space="preserve">PAGEREF 1303 \h</w:instrText>
        </w:r>
        <w:r>
          <w:fldChar w:fldCharType="end"/>
        </w:r>
      </w:hyperlink>
    </w:p>
    <w:p>
      <w:pPr>
        <w:tabs>
          <w:tab w:val="right" w:leader="dot" w:pos="9062"/>
        </w:tabs>
        <w:ind w:left="440"/>
      </w:pPr>
      <w:hyperlink w:anchor="_Toc1304" w:history="1">
        <w:r>
          <w:rPr>
            <w:rFonts w:ascii="IRNazanin" w:hAnsi="IRNazanin" w:eastAsia="IRNazanin" w:cs="IRNazanin"/>
            <w:color w:val="111111"/>
            <w:sz w:val="22"/>
            <w:szCs w:val="22"/>
            <w:b w:val="0"/>
            <w:bCs w:val="0"/>
            <w:i w:val="0"/>
            <w:iCs w:val="0"/>
          </w:rPr>
          <w:t>•تاریخ امین و مأمون / تاریخ / فارسی</w:t>
        </w:r>
        <w:r>
          <w:tab/>
        </w:r>
        <w:r>
          <w:fldChar w:fldCharType="begin"/>
        </w:r>
        <w:r>
          <w:instrText xml:space="preserve">PAGEREF 1304 \h</w:instrText>
        </w:r>
        <w:r>
          <w:fldChar w:fldCharType="end"/>
        </w:r>
      </w:hyperlink>
    </w:p>
    <w:p>
      <w:pPr>
        <w:tabs>
          <w:tab w:val="right" w:leader="dot" w:pos="9062"/>
        </w:tabs>
        <w:ind w:left="440"/>
      </w:pPr>
      <w:hyperlink w:anchor="_Toc1305" w:history="1">
        <w:r>
          <w:rPr>
            <w:rFonts w:ascii="IRNazanin" w:hAnsi="IRNazanin" w:eastAsia="IRNazanin" w:cs="IRNazanin"/>
            <w:color w:val="111111"/>
            <w:sz w:val="22"/>
            <w:szCs w:val="22"/>
            <w:b w:val="0"/>
            <w:bCs w:val="0"/>
            <w:i w:val="0"/>
            <w:iCs w:val="0"/>
          </w:rPr>
          <w:t>•تاريخ الأنبياء الأكابر و بیان أولي العزم منهم / تاریخ پیامبران / عربی</w:t>
        </w:r>
        <w:r>
          <w:tab/>
        </w:r>
        <w:r>
          <w:fldChar w:fldCharType="begin"/>
        </w:r>
        <w:r>
          <w:instrText xml:space="preserve">PAGEREF 1305 \h</w:instrText>
        </w:r>
        <w:r>
          <w:fldChar w:fldCharType="end"/>
        </w:r>
      </w:hyperlink>
    </w:p>
    <w:p>
      <w:pPr>
        <w:tabs>
          <w:tab w:val="right" w:leader="dot" w:pos="9062"/>
        </w:tabs>
        <w:ind w:left="440"/>
      </w:pPr>
      <w:hyperlink w:anchor="_Toc1306" w:history="1">
        <w:r>
          <w:rPr>
            <w:rFonts w:ascii="IRNazanin" w:hAnsi="IRNazanin" w:eastAsia="IRNazanin" w:cs="IRNazanin"/>
            <w:color w:val="111111"/>
            <w:sz w:val="22"/>
            <w:szCs w:val="22"/>
            <w:b w:val="0"/>
            <w:bCs w:val="0"/>
            <w:i w:val="0"/>
            <w:iCs w:val="0"/>
          </w:rPr>
          <w:t>•تاریخ انبیاء / تاریخ پیامبران / ترکی</w:t>
        </w:r>
        <w:r>
          <w:tab/>
        </w:r>
        <w:r>
          <w:fldChar w:fldCharType="begin"/>
        </w:r>
        <w:r>
          <w:instrText xml:space="preserve">PAGEREF 1306 \h</w:instrText>
        </w:r>
        <w:r>
          <w:fldChar w:fldCharType="end"/>
        </w:r>
      </w:hyperlink>
    </w:p>
    <w:p>
      <w:pPr>
        <w:tabs>
          <w:tab w:val="right" w:leader="dot" w:pos="9062"/>
        </w:tabs>
        <w:ind w:left="440"/>
      </w:pPr>
      <w:hyperlink w:anchor="_Toc1307" w:history="1">
        <w:r>
          <w:rPr>
            <w:rFonts w:ascii="IRNazanin" w:hAnsi="IRNazanin" w:eastAsia="IRNazanin" w:cs="IRNazanin"/>
            <w:color w:val="111111"/>
            <w:sz w:val="22"/>
            <w:szCs w:val="22"/>
            <w:b w:val="0"/>
            <w:bCs w:val="0"/>
            <w:i w:val="0"/>
            <w:iCs w:val="0"/>
          </w:rPr>
          <w:t>•تاریخ انبیاء / تاریخ پیامبران / فارسی</w:t>
        </w:r>
        <w:r>
          <w:tab/>
        </w:r>
        <w:r>
          <w:fldChar w:fldCharType="begin"/>
        </w:r>
        <w:r>
          <w:instrText xml:space="preserve">PAGEREF 1307 \h</w:instrText>
        </w:r>
        <w:r>
          <w:fldChar w:fldCharType="end"/>
        </w:r>
      </w:hyperlink>
    </w:p>
    <w:p>
      <w:pPr>
        <w:tabs>
          <w:tab w:val="right" w:leader="dot" w:pos="9062"/>
        </w:tabs>
        <w:ind w:left="440"/>
      </w:pPr>
      <w:hyperlink w:anchor="_Toc1308" w:history="1">
        <w:r>
          <w:rPr>
            <w:rFonts w:ascii="IRNazanin" w:hAnsi="IRNazanin" w:eastAsia="IRNazanin" w:cs="IRNazanin"/>
            <w:color w:val="111111"/>
            <w:sz w:val="22"/>
            <w:szCs w:val="22"/>
            <w:b w:val="0"/>
            <w:bCs w:val="0"/>
            <w:i w:val="0"/>
            <w:iCs w:val="0"/>
          </w:rPr>
          <w:t>•تاریخ انبیاء / تاریخ پیامبران / فارسی</w:t>
        </w:r>
        <w:r>
          <w:tab/>
        </w:r>
        <w:r>
          <w:fldChar w:fldCharType="begin"/>
        </w:r>
        <w:r>
          <w:instrText xml:space="preserve">PAGEREF 1308 \h</w:instrText>
        </w:r>
        <w:r>
          <w:fldChar w:fldCharType="end"/>
        </w:r>
      </w:hyperlink>
    </w:p>
    <w:p>
      <w:pPr>
        <w:tabs>
          <w:tab w:val="right" w:leader="dot" w:pos="9062"/>
        </w:tabs>
        <w:ind w:left="440"/>
      </w:pPr>
      <w:hyperlink w:anchor="_Toc1309" w:history="1">
        <w:r>
          <w:rPr>
            <w:rFonts w:ascii="IRNazanin" w:hAnsi="IRNazanin" w:eastAsia="IRNazanin" w:cs="IRNazanin"/>
            <w:color w:val="111111"/>
            <w:sz w:val="22"/>
            <w:szCs w:val="22"/>
            <w:b w:val="0"/>
            <w:bCs w:val="0"/>
            <w:i w:val="0"/>
            <w:iCs w:val="0"/>
          </w:rPr>
          <w:t>•تاریخ انبیاء / تاریخ / عربی</w:t>
        </w:r>
        <w:r>
          <w:tab/>
        </w:r>
        <w:r>
          <w:fldChar w:fldCharType="begin"/>
        </w:r>
        <w:r>
          <w:instrText xml:space="preserve">PAGEREF 1309 \h</w:instrText>
        </w:r>
        <w:r>
          <w:fldChar w:fldCharType="end"/>
        </w:r>
      </w:hyperlink>
    </w:p>
    <w:p>
      <w:pPr>
        <w:tabs>
          <w:tab w:val="right" w:leader="dot" w:pos="9062"/>
        </w:tabs>
        <w:ind w:left="440"/>
      </w:pPr>
      <w:hyperlink w:anchor="_Toc1310" w:history="1">
        <w:r>
          <w:rPr>
            <w:rFonts w:ascii="IRNazanin" w:hAnsi="IRNazanin" w:eastAsia="IRNazanin" w:cs="IRNazanin"/>
            <w:color w:val="111111"/>
            <w:sz w:val="22"/>
            <w:szCs w:val="22"/>
            <w:b w:val="0"/>
            <w:bCs w:val="0"/>
            <w:i w:val="0"/>
            <w:iCs w:val="0"/>
          </w:rPr>
          <w:t>• تاریخ انبیاء و ائمه / تاریخ معصومین / فارسی</w:t>
        </w:r>
        <w:r>
          <w:tab/>
        </w:r>
        <w:r>
          <w:fldChar w:fldCharType="begin"/>
        </w:r>
        <w:r>
          <w:instrText xml:space="preserve">PAGEREF 1310 \h</w:instrText>
        </w:r>
        <w:r>
          <w:fldChar w:fldCharType="end"/>
        </w:r>
      </w:hyperlink>
    </w:p>
    <w:p>
      <w:pPr>
        <w:tabs>
          <w:tab w:val="right" w:leader="dot" w:pos="9062"/>
        </w:tabs>
        <w:ind w:left="440"/>
      </w:pPr>
      <w:hyperlink w:anchor="_Toc1311" w:history="1">
        <w:r>
          <w:rPr>
            <w:rFonts w:ascii="IRNazanin" w:hAnsi="IRNazanin" w:eastAsia="IRNazanin" w:cs="IRNazanin"/>
            <w:color w:val="111111"/>
            <w:sz w:val="22"/>
            <w:szCs w:val="22"/>
            <w:b w:val="0"/>
            <w:bCs w:val="0"/>
            <w:i w:val="0"/>
            <w:iCs w:val="0"/>
          </w:rPr>
          <w:t>•تاریخ انبیاء و ائمه (عليه السلام) / تاریخ معصومین / فارسی</w:t>
        </w:r>
        <w:r>
          <w:tab/>
        </w:r>
        <w:r>
          <w:fldChar w:fldCharType="begin"/>
        </w:r>
        <w:r>
          <w:instrText xml:space="preserve">PAGEREF 1311 \h</w:instrText>
        </w:r>
        <w:r>
          <w:fldChar w:fldCharType="end"/>
        </w:r>
      </w:hyperlink>
    </w:p>
    <w:p>
      <w:pPr>
        <w:tabs>
          <w:tab w:val="right" w:leader="dot" w:pos="9062"/>
        </w:tabs>
        <w:ind w:left="440"/>
      </w:pPr>
      <w:hyperlink w:anchor="_Toc1312" w:history="1">
        <w:r>
          <w:rPr>
            <w:rFonts w:ascii="IRNazanin" w:hAnsi="IRNazanin" w:eastAsia="IRNazanin" w:cs="IRNazanin"/>
            <w:color w:val="111111"/>
            <w:sz w:val="22"/>
            <w:szCs w:val="22"/>
            <w:b w:val="0"/>
            <w:bCs w:val="0"/>
            <w:i w:val="0"/>
            <w:iCs w:val="0"/>
          </w:rPr>
          <w:t>• تاریخ انبیاء و سلاطین / تاریخ پیامبران، تاریخ پادشاهان / فارسی</w:t>
        </w:r>
        <w:r>
          <w:tab/>
        </w:r>
        <w:r>
          <w:fldChar w:fldCharType="begin"/>
        </w:r>
        <w:r>
          <w:instrText xml:space="preserve">PAGEREF 1312 \h</w:instrText>
        </w:r>
        <w:r>
          <w:fldChar w:fldCharType="end"/>
        </w:r>
      </w:hyperlink>
    </w:p>
    <w:p>
      <w:pPr>
        <w:tabs>
          <w:tab w:val="right" w:leader="dot" w:pos="9062"/>
        </w:tabs>
        <w:ind w:left="440"/>
      </w:pPr>
      <w:hyperlink w:anchor="_Toc1313" w:history="1">
        <w:r>
          <w:rPr>
            <w:rFonts w:ascii="IRNazanin" w:hAnsi="IRNazanin" w:eastAsia="IRNazanin" w:cs="IRNazanin"/>
            <w:color w:val="111111"/>
            <w:sz w:val="22"/>
            <w:szCs w:val="22"/>
            <w:b w:val="0"/>
            <w:bCs w:val="0"/>
            <w:i w:val="0"/>
            <w:iCs w:val="0"/>
          </w:rPr>
          <w:t>•تاریخ انتقادی / تاریخ ایران / فارسی</w:t>
        </w:r>
        <w:r>
          <w:tab/>
        </w:r>
        <w:r>
          <w:fldChar w:fldCharType="begin"/>
        </w:r>
        <w:r>
          <w:instrText xml:space="preserve">PAGEREF 1313 \h</w:instrText>
        </w:r>
        <w:r>
          <w:fldChar w:fldCharType="end"/>
        </w:r>
      </w:hyperlink>
    </w:p>
    <w:p>
      <w:pPr>
        <w:tabs>
          <w:tab w:val="right" w:leader="dot" w:pos="9062"/>
        </w:tabs>
        <w:ind w:left="440"/>
      </w:pPr>
      <w:hyperlink w:anchor="_Toc1314" w:history="1">
        <w:r>
          <w:rPr>
            <w:rFonts w:ascii="IRNazanin" w:hAnsi="IRNazanin" w:eastAsia="IRNazanin" w:cs="IRNazanin"/>
            <w:color w:val="111111"/>
            <w:sz w:val="22"/>
            <w:szCs w:val="22"/>
            <w:b w:val="0"/>
            <w:bCs w:val="0"/>
            <w:i w:val="0"/>
            <w:iCs w:val="0"/>
          </w:rPr>
          <w:t>•تاریخ انتقال شهور اولیای کرام / تراجم، تاریخ پیامبران / فارسی</w:t>
        </w:r>
        <w:r>
          <w:tab/>
        </w:r>
        <w:r>
          <w:fldChar w:fldCharType="begin"/>
        </w:r>
        <w:r>
          <w:instrText xml:space="preserve">PAGEREF 1314 \h</w:instrText>
        </w:r>
        <w:r>
          <w:fldChar w:fldCharType="end"/>
        </w:r>
      </w:hyperlink>
    </w:p>
    <w:p>
      <w:pPr>
        <w:tabs>
          <w:tab w:val="right" w:leader="dot" w:pos="9062"/>
        </w:tabs>
        <w:ind w:left="440"/>
      </w:pPr>
      <w:hyperlink w:anchor="_Toc1315" w:history="1">
        <w:r>
          <w:rPr>
            <w:rFonts w:ascii="IRNazanin" w:hAnsi="IRNazanin" w:eastAsia="IRNazanin" w:cs="IRNazanin"/>
            <w:color w:val="111111"/>
            <w:sz w:val="22"/>
            <w:szCs w:val="22"/>
            <w:b w:val="0"/>
            <w:bCs w:val="0"/>
            <w:i w:val="0"/>
            <w:iCs w:val="0"/>
          </w:rPr>
          <w:t>•تاریخ انطاکیه / تاریخ / عربی</w:t>
        </w:r>
        <w:r>
          <w:tab/>
        </w:r>
        <w:r>
          <w:fldChar w:fldCharType="begin"/>
        </w:r>
        <w:r>
          <w:instrText xml:space="preserve">PAGEREF 1315 \h</w:instrText>
        </w:r>
        <w:r>
          <w:fldChar w:fldCharType="end"/>
        </w:r>
      </w:hyperlink>
    </w:p>
    <w:p>
      <w:pPr>
        <w:tabs>
          <w:tab w:val="right" w:leader="dot" w:pos="9062"/>
        </w:tabs>
        <w:ind w:left="440"/>
      </w:pPr>
      <w:hyperlink w:anchor="_Toc1316" w:history="1">
        <w:r>
          <w:rPr>
            <w:rFonts w:ascii="IRNazanin" w:hAnsi="IRNazanin" w:eastAsia="IRNazanin" w:cs="IRNazanin"/>
            <w:color w:val="111111"/>
            <w:sz w:val="22"/>
            <w:szCs w:val="22"/>
            <w:b w:val="0"/>
            <w:bCs w:val="0"/>
            <w:i w:val="0"/>
            <w:iCs w:val="0"/>
          </w:rPr>
          <w:t>•تاریخ انقراض صفویه / تاریخ ایران / فارسی</w:t>
        </w:r>
        <w:r>
          <w:tab/>
        </w:r>
        <w:r>
          <w:fldChar w:fldCharType="begin"/>
        </w:r>
        <w:r>
          <w:instrText xml:space="preserve">PAGEREF 1316 \h</w:instrText>
        </w:r>
        <w:r>
          <w:fldChar w:fldCharType="end"/>
        </w:r>
      </w:hyperlink>
    </w:p>
    <w:p>
      <w:pPr>
        <w:tabs>
          <w:tab w:val="right" w:leader="dot" w:pos="9062"/>
        </w:tabs>
        <w:ind w:left="440"/>
      </w:pPr>
      <w:hyperlink w:anchor="_Toc1317" w:history="1">
        <w:r>
          <w:rPr>
            <w:rFonts w:ascii="IRNazanin" w:hAnsi="IRNazanin" w:eastAsia="IRNazanin" w:cs="IRNazanin"/>
            <w:color w:val="111111"/>
            <w:sz w:val="22"/>
            <w:szCs w:val="22"/>
            <w:b w:val="0"/>
            <w:bCs w:val="0"/>
            <w:i w:val="0"/>
            <w:iCs w:val="0"/>
          </w:rPr>
          <w:t>•تاریخ انقلاب ایران / تاریخ ایران / فارسی</w:t>
        </w:r>
        <w:r>
          <w:tab/>
        </w:r>
        <w:r>
          <w:fldChar w:fldCharType="begin"/>
        </w:r>
        <w:r>
          <w:instrText xml:space="preserve">PAGEREF 1317 \h</w:instrText>
        </w:r>
        <w:r>
          <w:fldChar w:fldCharType="end"/>
        </w:r>
      </w:hyperlink>
    </w:p>
    <w:p>
      <w:pPr>
        <w:tabs>
          <w:tab w:val="right" w:leader="dot" w:pos="9062"/>
        </w:tabs>
        <w:ind w:left="440"/>
      </w:pPr>
      <w:hyperlink w:anchor="_Toc1318" w:history="1">
        <w:r>
          <w:rPr>
            <w:rFonts w:ascii="IRNazanin" w:hAnsi="IRNazanin" w:eastAsia="IRNazanin" w:cs="IRNazanin"/>
            <w:color w:val="111111"/>
            <w:sz w:val="22"/>
            <w:szCs w:val="22"/>
            <w:b w:val="0"/>
            <w:bCs w:val="0"/>
            <w:i w:val="0"/>
            <w:iCs w:val="0"/>
          </w:rPr>
          <w:t>• تاریخ انقلاب تبریز / تاریخ ایران / فارسی</w:t>
        </w:r>
        <w:r>
          <w:tab/>
        </w:r>
        <w:r>
          <w:fldChar w:fldCharType="begin"/>
        </w:r>
        <w:r>
          <w:instrText xml:space="preserve">PAGEREF 1318 \h</w:instrText>
        </w:r>
        <w:r>
          <w:fldChar w:fldCharType="end"/>
        </w:r>
      </w:hyperlink>
    </w:p>
    <w:p>
      <w:pPr>
        <w:tabs>
          <w:tab w:val="right" w:leader="dot" w:pos="9062"/>
        </w:tabs>
        <w:ind w:left="440"/>
      </w:pPr>
      <w:hyperlink w:anchor="_Toc1319" w:history="1">
        <w:r>
          <w:rPr>
            <w:rFonts w:ascii="IRNazanin" w:hAnsi="IRNazanin" w:eastAsia="IRNazanin" w:cs="IRNazanin"/>
            <w:color w:val="111111"/>
            <w:sz w:val="22"/>
            <w:szCs w:val="22"/>
            <w:b w:val="0"/>
            <w:bCs w:val="0"/>
            <w:i w:val="0"/>
            <w:iCs w:val="0"/>
          </w:rPr>
          <w:t>•تاریخ انقلاب مشروطیت ایران / تاریخ ایران / فارسی</w:t>
        </w:r>
        <w:r>
          <w:tab/>
        </w:r>
        <w:r>
          <w:fldChar w:fldCharType="begin"/>
        </w:r>
        <w:r>
          <w:instrText xml:space="preserve">PAGEREF 1319 \h</w:instrText>
        </w:r>
        <w:r>
          <w:fldChar w:fldCharType="end"/>
        </w:r>
      </w:hyperlink>
    </w:p>
    <w:p>
      <w:pPr>
        <w:tabs>
          <w:tab w:val="right" w:leader="dot" w:pos="9062"/>
        </w:tabs>
        <w:ind w:left="440"/>
      </w:pPr>
      <w:hyperlink w:anchor="_Toc1320" w:history="1">
        <w:r>
          <w:rPr>
            <w:rFonts w:ascii="IRNazanin" w:hAnsi="IRNazanin" w:eastAsia="IRNazanin" w:cs="IRNazanin"/>
            <w:color w:val="111111"/>
            <w:sz w:val="22"/>
            <w:szCs w:val="22"/>
            <w:b w:val="0"/>
            <w:bCs w:val="0"/>
            <w:i w:val="0"/>
            <w:iCs w:val="0"/>
          </w:rPr>
          <w:t>•تاریخ انکشافات و اختراعات صنعت / فارسی</w:t>
        </w:r>
        <w:r>
          <w:tab/>
        </w:r>
        <w:r>
          <w:fldChar w:fldCharType="begin"/>
        </w:r>
        <w:r>
          <w:instrText xml:space="preserve">PAGEREF 1320 \h</w:instrText>
        </w:r>
        <w:r>
          <w:fldChar w:fldCharType="end"/>
        </w:r>
      </w:hyperlink>
    </w:p>
    <w:p>
      <w:pPr>
        <w:tabs>
          <w:tab w:val="right" w:leader="dot" w:pos="9062"/>
        </w:tabs>
        <w:ind w:left="440"/>
      </w:pPr>
      <w:hyperlink w:anchor="_Toc1321" w:history="1">
        <w:r>
          <w:rPr>
            <w:rFonts w:ascii="IRNazanin" w:hAnsi="IRNazanin" w:eastAsia="IRNazanin" w:cs="IRNazanin"/>
            <w:color w:val="111111"/>
            <w:sz w:val="22"/>
            <w:szCs w:val="22"/>
            <w:b w:val="0"/>
            <w:bCs w:val="0"/>
            <w:i w:val="0"/>
            <w:iCs w:val="0"/>
          </w:rPr>
          <w:t>•تاریخ انکشاف اوسترالی و معموریت آنجا / تاریخ / فارسی</w:t>
        </w:r>
        <w:r>
          <w:tab/>
        </w:r>
        <w:r>
          <w:fldChar w:fldCharType="begin"/>
        </w:r>
        <w:r>
          <w:instrText xml:space="preserve">PAGEREF 1321 \h</w:instrText>
        </w:r>
        <w:r>
          <w:fldChar w:fldCharType="end"/>
        </w:r>
      </w:hyperlink>
    </w:p>
    <w:p>
      <w:pPr>
        <w:tabs>
          <w:tab w:val="right" w:leader="dot" w:pos="9062"/>
        </w:tabs>
        <w:ind w:left="440"/>
      </w:pPr>
      <w:hyperlink w:anchor="_Toc1322" w:history="1">
        <w:r>
          <w:rPr>
            <w:rFonts w:ascii="IRNazanin" w:hAnsi="IRNazanin" w:eastAsia="IRNazanin" w:cs="IRNazanin"/>
            <w:color w:val="111111"/>
            <w:sz w:val="22"/>
            <w:szCs w:val="22"/>
            <w:b w:val="0"/>
            <w:bCs w:val="0"/>
            <w:i w:val="0"/>
            <w:iCs w:val="0"/>
          </w:rPr>
          <w:t>• تاریخ انکشاف کشاورزی / فرانسوی چای و مصرف آن در فرنگ</w:t>
        </w:r>
        <w:r>
          <w:tab/>
        </w:r>
        <w:r>
          <w:fldChar w:fldCharType="begin"/>
        </w:r>
        <w:r>
          <w:instrText xml:space="preserve">PAGEREF 1322 \h</w:instrText>
        </w:r>
        <w:r>
          <w:fldChar w:fldCharType="end"/>
        </w:r>
      </w:hyperlink>
    </w:p>
    <w:p>
      <w:pPr>
        <w:tabs>
          <w:tab w:val="right" w:leader="dot" w:pos="9062"/>
        </w:tabs>
        <w:ind w:left="440"/>
      </w:pPr>
      <w:hyperlink w:anchor="_Toc1323" w:history="1">
        <w:r>
          <w:rPr>
            <w:rFonts w:ascii="IRNazanin" w:hAnsi="IRNazanin" w:eastAsia="IRNazanin" w:cs="IRNazanin"/>
            <w:color w:val="111111"/>
            <w:sz w:val="22"/>
            <w:szCs w:val="22"/>
            <w:b w:val="0"/>
            <w:bCs w:val="0"/>
            <w:i w:val="0"/>
            <w:iCs w:val="0"/>
          </w:rPr>
          <w:t>•تاریخ انگلستان (ترجمه) / تاریخ / فارسی</w:t>
        </w:r>
        <w:r>
          <w:tab/>
        </w:r>
        <w:r>
          <w:fldChar w:fldCharType="begin"/>
        </w:r>
        <w:r>
          <w:instrText xml:space="preserve">PAGEREF 1323 \h</w:instrText>
        </w:r>
        <w:r>
          <w:fldChar w:fldCharType="end"/>
        </w:r>
      </w:hyperlink>
    </w:p>
    <w:p>
      <w:pPr>
        <w:tabs>
          <w:tab w:val="right" w:leader="dot" w:pos="9062"/>
        </w:tabs>
        <w:ind w:left="440"/>
      </w:pPr>
      <w:hyperlink w:anchor="_Toc1324" w:history="1">
        <w:r>
          <w:rPr>
            <w:rFonts w:ascii="IRNazanin" w:hAnsi="IRNazanin" w:eastAsia="IRNazanin" w:cs="IRNazanin"/>
            <w:color w:val="111111"/>
            <w:sz w:val="22"/>
            <w:szCs w:val="22"/>
            <w:b w:val="0"/>
            <w:bCs w:val="0"/>
            <w:i w:val="0"/>
            <w:iCs w:val="0"/>
          </w:rPr>
          <w:t>•تاریخ انگلیس (ترجمه) / تاریخ / فارسی</w:t>
        </w:r>
        <w:r>
          <w:tab/>
        </w:r>
        <w:r>
          <w:fldChar w:fldCharType="begin"/>
        </w:r>
        <w:r>
          <w:instrText xml:space="preserve">PAGEREF 1324 \h</w:instrText>
        </w:r>
        <w:r>
          <w:fldChar w:fldCharType="end"/>
        </w:r>
      </w:hyperlink>
    </w:p>
    <w:p>
      <w:pPr>
        <w:tabs>
          <w:tab w:val="right" w:leader="dot" w:pos="9062"/>
        </w:tabs>
        <w:ind w:left="440"/>
      </w:pPr>
      <w:hyperlink w:anchor="_Toc1325" w:history="1">
        <w:r>
          <w:rPr>
            <w:rFonts w:ascii="IRNazanin" w:hAnsi="IRNazanin" w:eastAsia="IRNazanin" w:cs="IRNazanin"/>
            <w:color w:val="111111"/>
            <w:sz w:val="22"/>
            <w:szCs w:val="22"/>
            <w:b w:val="0"/>
            <w:bCs w:val="0"/>
            <w:i w:val="0"/>
            <w:iCs w:val="0"/>
          </w:rPr>
          <w:t>•تاریخ اوده / تاریخ / فارسی و اردو</w:t>
        </w:r>
        <w:r>
          <w:tab/>
        </w:r>
        <w:r>
          <w:fldChar w:fldCharType="begin"/>
        </w:r>
        <w:r>
          <w:instrText xml:space="preserve">PAGEREF 1325 \h</w:instrText>
        </w:r>
        <w:r>
          <w:fldChar w:fldCharType="end"/>
        </w:r>
      </w:hyperlink>
    </w:p>
    <w:p>
      <w:pPr>
        <w:tabs>
          <w:tab w:val="right" w:leader="dot" w:pos="9062"/>
        </w:tabs>
        <w:ind w:left="440"/>
      </w:pPr>
      <w:hyperlink w:anchor="_Toc1326" w:history="1">
        <w:r>
          <w:rPr>
            <w:rFonts w:ascii="IRNazanin" w:hAnsi="IRNazanin" w:eastAsia="IRNazanin" w:cs="IRNazanin"/>
            <w:color w:val="111111"/>
            <w:sz w:val="22"/>
            <w:szCs w:val="22"/>
            <w:b w:val="0"/>
            <w:bCs w:val="0"/>
            <w:i w:val="0"/>
            <w:iCs w:val="0"/>
          </w:rPr>
          <w:t>•تاریخ اورنگ زیب / تاریخ هند / فارسی</w:t>
        </w:r>
        <w:r>
          <w:tab/>
        </w:r>
        <w:r>
          <w:fldChar w:fldCharType="begin"/>
        </w:r>
        <w:r>
          <w:instrText xml:space="preserve">PAGEREF 1326 \h</w:instrText>
        </w:r>
        <w:r>
          <w:fldChar w:fldCharType="end"/>
        </w:r>
      </w:hyperlink>
    </w:p>
    <w:p>
      <w:pPr>
        <w:tabs>
          <w:tab w:val="right" w:leader="dot" w:pos="9062"/>
        </w:tabs>
        <w:ind w:left="440"/>
      </w:pPr>
      <w:hyperlink w:anchor="_Toc1327" w:history="1">
        <w:r>
          <w:rPr>
            <w:rFonts w:ascii="IRNazanin" w:hAnsi="IRNazanin" w:eastAsia="IRNazanin" w:cs="IRNazanin"/>
            <w:color w:val="111111"/>
            <w:sz w:val="22"/>
            <w:szCs w:val="22"/>
            <w:b w:val="0"/>
            <w:bCs w:val="0"/>
            <w:i w:val="0"/>
            <w:iCs w:val="0"/>
          </w:rPr>
          <w:t>•تاریخ الاوصياء / اخلاق / فارسی</w:t>
        </w:r>
        <w:r>
          <w:tab/>
        </w:r>
        <w:r>
          <w:fldChar w:fldCharType="begin"/>
        </w:r>
        <w:r>
          <w:instrText xml:space="preserve">PAGEREF 1327 \h</w:instrText>
        </w:r>
        <w:r>
          <w:fldChar w:fldCharType="end"/>
        </w:r>
      </w:hyperlink>
    </w:p>
    <w:p>
      <w:pPr>
        <w:tabs>
          <w:tab w:val="right" w:leader="dot" w:pos="9062"/>
        </w:tabs>
        <w:ind w:left="440"/>
      </w:pPr>
      <w:hyperlink w:anchor="_Toc1328" w:history="1">
        <w:r>
          <w:rPr>
            <w:rFonts w:ascii="IRNazanin" w:hAnsi="IRNazanin" w:eastAsia="IRNazanin" w:cs="IRNazanin"/>
            <w:color w:val="111111"/>
            <w:sz w:val="22"/>
            <w:szCs w:val="22"/>
            <w:b w:val="0"/>
            <w:bCs w:val="0"/>
            <w:i w:val="0"/>
            <w:iCs w:val="0"/>
          </w:rPr>
          <w:t>•تاریخ اولجایتو / تاریخ / فارسی</w:t>
        </w:r>
        <w:r>
          <w:tab/>
        </w:r>
        <w:r>
          <w:fldChar w:fldCharType="begin"/>
        </w:r>
        <w:r>
          <w:instrText xml:space="preserve">PAGEREF 1328 \h</w:instrText>
        </w:r>
        <w:r>
          <w:fldChar w:fldCharType="end"/>
        </w:r>
      </w:hyperlink>
    </w:p>
    <w:p>
      <w:pPr>
        <w:tabs>
          <w:tab w:val="right" w:leader="dot" w:pos="9062"/>
        </w:tabs>
        <w:ind w:left="440"/>
      </w:pPr>
      <w:hyperlink w:anchor="_Toc1329" w:history="1">
        <w:r>
          <w:rPr>
            <w:rFonts w:ascii="IRNazanin" w:hAnsi="IRNazanin" w:eastAsia="IRNazanin" w:cs="IRNazanin"/>
            <w:color w:val="111111"/>
            <w:sz w:val="22"/>
            <w:szCs w:val="22"/>
            <w:b w:val="0"/>
            <w:bCs w:val="0"/>
            <w:i w:val="0"/>
            <w:iCs w:val="0"/>
          </w:rPr>
          <w:t>•تاريخ أهل بيت عليهم السلام / تاریخ معصومین / عربی</w:t>
        </w:r>
        <w:r>
          <w:tab/>
        </w:r>
        <w:r>
          <w:fldChar w:fldCharType="begin"/>
        </w:r>
        <w:r>
          <w:instrText xml:space="preserve">PAGEREF 1329 \h</w:instrText>
        </w:r>
        <w:r>
          <w:fldChar w:fldCharType="end"/>
        </w:r>
      </w:hyperlink>
    </w:p>
    <w:p>
      <w:pPr>
        <w:tabs>
          <w:tab w:val="right" w:leader="dot" w:pos="9062"/>
        </w:tabs>
        <w:ind w:left="440"/>
      </w:pPr>
      <w:hyperlink w:anchor="_Toc1330" w:history="1">
        <w:r>
          <w:rPr>
            <w:rFonts w:ascii="IRNazanin" w:hAnsi="IRNazanin" w:eastAsia="IRNazanin" w:cs="IRNazanin"/>
            <w:color w:val="111111"/>
            <w:sz w:val="22"/>
            <w:szCs w:val="22"/>
            <w:b w:val="0"/>
            <w:bCs w:val="0"/>
            <w:i w:val="0"/>
            <w:iCs w:val="0"/>
          </w:rPr>
          <w:t>•تاریخ ایران / تاریخ ایران / فارسی</w:t>
        </w:r>
        <w:r>
          <w:tab/>
        </w:r>
        <w:r>
          <w:fldChar w:fldCharType="begin"/>
        </w:r>
        <w:r>
          <w:instrText xml:space="preserve">PAGEREF 1330 \h</w:instrText>
        </w:r>
        <w:r>
          <w:fldChar w:fldCharType="end"/>
        </w:r>
      </w:hyperlink>
    </w:p>
    <w:p>
      <w:pPr>
        <w:tabs>
          <w:tab w:val="right" w:leader="dot" w:pos="9062"/>
        </w:tabs>
        <w:ind w:left="440"/>
      </w:pPr>
      <w:hyperlink w:anchor="_Toc1331" w:history="1">
        <w:r>
          <w:rPr>
            <w:rFonts w:ascii="IRNazanin" w:hAnsi="IRNazanin" w:eastAsia="IRNazanin" w:cs="IRNazanin"/>
            <w:color w:val="111111"/>
            <w:sz w:val="22"/>
            <w:szCs w:val="22"/>
            <w:b w:val="0"/>
            <w:bCs w:val="0"/>
            <w:i w:val="0"/>
            <w:iCs w:val="0"/>
          </w:rPr>
          <w:t>•تاریخ ایران / تاریخ ایران / فارسی</w:t>
        </w:r>
        <w:r>
          <w:tab/>
        </w:r>
        <w:r>
          <w:fldChar w:fldCharType="begin"/>
        </w:r>
        <w:r>
          <w:instrText xml:space="preserve">PAGEREF 1331 \h</w:instrText>
        </w:r>
        <w:r>
          <w:fldChar w:fldCharType="end"/>
        </w:r>
      </w:hyperlink>
    </w:p>
    <w:p>
      <w:pPr>
        <w:tabs>
          <w:tab w:val="right" w:leader="dot" w:pos="9062"/>
        </w:tabs>
        <w:ind w:left="440"/>
      </w:pPr>
      <w:hyperlink w:anchor="_Toc1332" w:history="1">
        <w:r>
          <w:rPr>
            <w:rFonts w:ascii="IRNazanin" w:hAnsi="IRNazanin" w:eastAsia="IRNazanin" w:cs="IRNazanin"/>
            <w:color w:val="111111"/>
            <w:sz w:val="22"/>
            <w:szCs w:val="22"/>
            <w:b w:val="0"/>
            <w:bCs w:val="0"/>
            <w:i w:val="0"/>
            <w:iCs w:val="0"/>
          </w:rPr>
          <w:t>•تاریخ ایران / تاریخ ایران / فارسی</w:t>
        </w:r>
        <w:r>
          <w:tab/>
        </w:r>
        <w:r>
          <w:fldChar w:fldCharType="begin"/>
        </w:r>
        <w:r>
          <w:instrText xml:space="preserve">PAGEREF 1332 \h</w:instrText>
        </w:r>
        <w:r>
          <w:fldChar w:fldCharType="end"/>
        </w:r>
      </w:hyperlink>
    </w:p>
    <w:p>
      <w:pPr>
        <w:tabs>
          <w:tab w:val="right" w:leader="dot" w:pos="9062"/>
        </w:tabs>
        <w:ind w:left="440"/>
      </w:pPr>
      <w:hyperlink w:anchor="_Toc1333" w:history="1">
        <w:r>
          <w:rPr>
            <w:rFonts w:ascii="IRNazanin" w:hAnsi="IRNazanin" w:eastAsia="IRNazanin" w:cs="IRNazanin"/>
            <w:color w:val="111111"/>
            <w:sz w:val="22"/>
            <w:szCs w:val="22"/>
            <w:b w:val="0"/>
            <w:bCs w:val="0"/>
            <w:i w:val="0"/>
            <w:iCs w:val="0"/>
          </w:rPr>
          <w:t>•تاریخ ایران / تاریخ ایران / فارسی</w:t>
        </w:r>
        <w:r>
          <w:tab/>
        </w:r>
        <w:r>
          <w:fldChar w:fldCharType="begin"/>
        </w:r>
        <w:r>
          <w:instrText xml:space="preserve">PAGEREF 1333 \h</w:instrText>
        </w:r>
        <w:r>
          <w:fldChar w:fldCharType="end"/>
        </w:r>
      </w:hyperlink>
    </w:p>
    <w:p>
      <w:pPr>
        <w:tabs>
          <w:tab w:val="right" w:leader="dot" w:pos="9062"/>
        </w:tabs>
        <w:ind w:left="440"/>
      </w:pPr>
      <w:hyperlink w:anchor="_Toc1334" w:history="1">
        <w:r>
          <w:rPr>
            <w:rFonts w:ascii="IRNazanin" w:hAnsi="IRNazanin" w:eastAsia="IRNazanin" w:cs="IRNazanin"/>
            <w:color w:val="111111"/>
            <w:sz w:val="22"/>
            <w:szCs w:val="22"/>
            <w:b w:val="0"/>
            <w:bCs w:val="0"/>
            <w:i w:val="0"/>
            <w:iCs w:val="0"/>
          </w:rPr>
          <w:t>• تاریخ ایران / تاریخ / فارسی</w:t>
        </w:r>
        <w:r>
          <w:tab/>
        </w:r>
        <w:r>
          <w:fldChar w:fldCharType="begin"/>
        </w:r>
        <w:r>
          <w:instrText xml:space="preserve">PAGEREF 1334 \h</w:instrText>
        </w:r>
        <w:r>
          <w:fldChar w:fldCharType="end"/>
        </w:r>
      </w:hyperlink>
    </w:p>
    <w:p>
      <w:pPr>
        <w:tabs>
          <w:tab w:val="right" w:leader="dot" w:pos="9062"/>
        </w:tabs>
        <w:ind w:left="440"/>
      </w:pPr>
      <w:hyperlink w:anchor="_Toc1335" w:history="1">
        <w:r>
          <w:rPr>
            <w:rFonts w:ascii="IRNazanin" w:hAnsi="IRNazanin" w:eastAsia="IRNazanin" w:cs="IRNazanin"/>
            <w:color w:val="111111"/>
            <w:sz w:val="22"/>
            <w:szCs w:val="22"/>
            <w:b w:val="0"/>
            <w:bCs w:val="0"/>
            <w:i w:val="0"/>
            <w:iCs w:val="0"/>
          </w:rPr>
          <w:t>•تاریخ ایران / شعر، تاریخ ایران / فارسی</w:t>
        </w:r>
        <w:r>
          <w:tab/>
        </w:r>
        <w:r>
          <w:fldChar w:fldCharType="begin"/>
        </w:r>
        <w:r>
          <w:instrText xml:space="preserve">PAGEREF 1335 \h</w:instrText>
        </w:r>
        <w:r>
          <w:fldChar w:fldCharType="end"/>
        </w:r>
      </w:hyperlink>
    </w:p>
    <w:p>
      <w:pPr>
        <w:tabs>
          <w:tab w:val="right" w:leader="dot" w:pos="9062"/>
        </w:tabs>
        <w:ind w:left="440"/>
      </w:pPr>
      <w:hyperlink w:anchor="_Toc1336" w:history="1">
        <w:r>
          <w:rPr>
            <w:rFonts w:ascii="IRNazanin" w:hAnsi="IRNazanin" w:eastAsia="IRNazanin" w:cs="IRNazanin"/>
            <w:color w:val="111111"/>
            <w:sz w:val="22"/>
            <w:szCs w:val="22"/>
            <w:b w:val="0"/>
            <w:bCs w:val="0"/>
            <w:i w:val="0"/>
            <w:iCs w:val="0"/>
          </w:rPr>
          <w:t>• تاریخ ایران / تاریخ ایران / فارسی</w:t>
        </w:r>
        <w:r>
          <w:tab/>
        </w:r>
        <w:r>
          <w:fldChar w:fldCharType="begin"/>
        </w:r>
        <w:r>
          <w:instrText xml:space="preserve">PAGEREF 1336 \h</w:instrText>
        </w:r>
        <w:r>
          <w:fldChar w:fldCharType="end"/>
        </w:r>
      </w:hyperlink>
    </w:p>
    <w:p>
      <w:pPr>
        <w:tabs>
          <w:tab w:val="right" w:leader="dot" w:pos="9062"/>
        </w:tabs>
        <w:ind w:left="440"/>
      </w:pPr>
      <w:hyperlink w:anchor="_Toc1337" w:history="1">
        <w:r>
          <w:rPr>
            <w:rFonts w:ascii="IRNazanin" w:hAnsi="IRNazanin" w:eastAsia="IRNazanin" w:cs="IRNazanin"/>
            <w:color w:val="111111"/>
            <w:sz w:val="22"/>
            <w:szCs w:val="22"/>
            <w:b w:val="0"/>
            <w:bCs w:val="0"/>
            <w:i w:val="0"/>
            <w:iCs w:val="0"/>
          </w:rPr>
          <w:t>•تاریخ ایران / تاریخ ایران / فارسی</w:t>
        </w:r>
        <w:r>
          <w:tab/>
        </w:r>
        <w:r>
          <w:fldChar w:fldCharType="begin"/>
        </w:r>
        <w:r>
          <w:instrText xml:space="preserve">PAGEREF 1337 \h</w:instrText>
        </w:r>
        <w:r>
          <w:fldChar w:fldCharType="end"/>
        </w:r>
      </w:hyperlink>
    </w:p>
    <w:p>
      <w:pPr>
        <w:tabs>
          <w:tab w:val="right" w:leader="dot" w:pos="9062"/>
        </w:tabs>
        <w:ind w:left="440"/>
      </w:pPr>
      <w:hyperlink w:anchor="_Toc1338" w:history="1">
        <w:r>
          <w:rPr>
            <w:rFonts w:ascii="IRNazanin" w:hAnsi="IRNazanin" w:eastAsia="IRNazanin" w:cs="IRNazanin"/>
            <w:color w:val="111111"/>
            <w:sz w:val="22"/>
            <w:szCs w:val="22"/>
            <w:b w:val="0"/>
            <w:bCs w:val="0"/>
            <w:i w:val="0"/>
            <w:iCs w:val="0"/>
          </w:rPr>
          <w:t>•تاریخ ایران / تاریخ ایران / فارسی</w:t>
        </w:r>
        <w:r>
          <w:tab/>
        </w:r>
        <w:r>
          <w:fldChar w:fldCharType="begin"/>
        </w:r>
        <w:r>
          <w:instrText xml:space="preserve">PAGEREF 1338 \h</w:instrText>
        </w:r>
        <w:r>
          <w:fldChar w:fldCharType="end"/>
        </w:r>
      </w:hyperlink>
    </w:p>
    <w:p>
      <w:pPr>
        <w:tabs>
          <w:tab w:val="right" w:leader="dot" w:pos="9062"/>
        </w:tabs>
        <w:ind w:left="440"/>
      </w:pPr>
      <w:hyperlink w:anchor="_Toc1339" w:history="1">
        <w:r>
          <w:rPr>
            <w:rFonts w:ascii="IRNazanin" w:hAnsi="IRNazanin" w:eastAsia="IRNazanin" w:cs="IRNazanin"/>
            <w:color w:val="111111"/>
            <w:sz w:val="22"/>
            <w:szCs w:val="22"/>
            <w:b w:val="0"/>
            <w:bCs w:val="0"/>
            <w:i w:val="0"/>
            <w:iCs w:val="0"/>
          </w:rPr>
          <w:t>•تاریخ ایران باستان / تاریخ ایران / فارسی</w:t>
        </w:r>
        <w:r>
          <w:tab/>
        </w:r>
        <w:r>
          <w:fldChar w:fldCharType="begin"/>
        </w:r>
        <w:r>
          <w:instrText xml:space="preserve">PAGEREF 1339 \h</w:instrText>
        </w:r>
        <w:r>
          <w:fldChar w:fldCharType="end"/>
        </w:r>
      </w:hyperlink>
    </w:p>
    <w:p>
      <w:pPr>
        <w:tabs>
          <w:tab w:val="right" w:leader="dot" w:pos="9062"/>
        </w:tabs>
        <w:ind w:left="440"/>
      </w:pPr>
      <w:hyperlink w:anchor="_Toc1340" w:history="1">
        <w:r>
          <w:rPr>
            <w:rFonts w:ascii="IRNazanin" w:hAnsi="IRNazanin" w:eastAsia="IRNazanin" w:cs="IRNazanin"/>
            <w:color w:val="111111"/>
            <w:sz w:val="22"/>
            <w:szCs w:val="22"/>
            <w:b w:val="0"/>
            <w:bCs w:val="0"/>
            <w:i w:val="0"/>
            <w:iCs w:val="0"/>
          </w:rPr>
          <w:t>•تاریخ ایران باستان و اسکندر / تاریخ ایران / فارسی</w:t>
        </w:r>
        <w:r>
          <w:tab/>
        </w:r>
        <w:r>
          <w:fldChar w:fldCharType="begin"/>
        </w:r>
        <w:r>
          <w:instrText xml:space="preserve">PAGEREF 1340 \h</w:instrText>
        </w:r>
        <w:r>
          <w:fldChar w:fldCharType="end"/>
        </w:r>
      </w:hyperlink>
    </w:p>
    <w:p>
      <w:pPr>
        <w:tabs>
          <w:tab w:val="right" w:leader="dot" w:pos="9062"/>
        </w:tabs>
        <w:ind w:left="440"/>
      </w:pPr>
      <w:hyperlink w:anchor="_Toc1341" w:history="1">
        <w:r>
          <w:rPr>
            <w:rFonts w:ascii="IRNazanin" w:hAnsi="IRNazanin" w:eastAsia="IRNazanin" w:cs="IRNazanin"/>
            <w:color w:val="111111"/>
            <w:sz w:val="22"/>
            <w:szCs w:val="22"/>
            <w:b w:val="0"/>
            <w:bCs w:val="0"/>
            <w:i w:val="0"/>
            <w:iCs w:val="0"/>
          </w:rPr>
          <w:t>• تاریخ ایران (ترجمه) / تاریخ ایران / فارسی</w:t>
        </w:r>
        <w:r>
          <w:tab/>
        </w:r>
        <w:r>
          <w:fldChar w:fldCharType="begin"/>
        </w:r>
        <w:r>
          <w:instrText xml:space="preserve">PAGEREF 1341 \h</w:instrText>
        </w:r>
        <w:r>
          <w:fldChar w:fldCharType="end"/>
        </w:r>
      </w:hyperlink>
    </w:p>
    <w:p>
      <w:pPr>
        <w:tabs>
          <w:tab w:val="right" w:leader="dot" w:pos="9062"/>
        </w:tabs>
        <w:ind w:left="440"/>
      </w:pPr>
      <w:hyperlink w:anchor="_Toc1342" w:history="1">
        <w:r>
          <w:rPr>
            <w:rFonts w:ascii="IRNazanin" w:hAnsi="IRNazanin" w:eastAsia="IRNazanin" w:cs="IRNazanin"/>
            <w:color w:val="111111"/>
            <w:sz w:val="22"/>
            <w:szCs w:val="22"/>
            <w:b w:val="0"/>
            <w:bCs w:val="0"/>
            <w:i w:val="0"/>
            <w:iCs w:val="0"/>
          </w:rPr>
          <w:t>•تاریخ ایران معینای اردوبادی / تاریخ ایران / فارسی</w:t>
        </w:r>
        <w:r>
          <w:tab/>
        </w:r>
        <w:r>
          <w:fldChar w:fldCharType="begin"/>
        </w:r>
        <w:r>
          <w:instrText xml:space="preserve">PAGEREF 1342 \h</w:instrText>
        </w:r>
        <w:r>
          <w:fldChar w:fldCharType="end"/>
        </w:r>
      </w:hyperlink>
    </w:p>
    <w:p>
      <w:pPr>
        <w:tabs>
          <w:tab w:val="right" w:leader="dot" w:pos="9062"/>
        </w:tabs>
        <w:ind w:left="440"/>
      </w:pPr>
      <w:hyperlink w:anchor="_Toc1343" w:history="1">
        <w:r>
          <w:rPr>
            <w:rFonts w:ascii="IRNazanin" w:hAnsi="IRNazanin" w:eastAsia="IRNazanin" w:cs="IRNazanin"/>
            <w:color w:val="111111"/>
            <w:sz w:val="22"/>
            <w:szCs w:val="22"/>
            <w:b w:val="0"/>
            <w:bCs w:val="0"/>
            <w:i w:val="0"/>
            <w:iCs w:val="0"/>
          </w:rPr>
          <w:t>•تاریخ ایران و ایرانیان (ترجمه) / تاریخ ایران / فارسی</w:t>
        </w:r>
        <w:r>
          <w:tab/>
        </w:r>
        <w:r>
          <w:fldChar w:fldCharType="begin"/>
        </w:r>
        <w:r>
          <w:instrText xml:space="preserve">PAGEREF 1343 \h</w:instrText>
        </w:r>
        <w:r>
          <w:fldChar w:fldCharType="end"/>
        </w:r>
      </w:hyperlink>
    </w:p>
    <w:p>
      <w:pPr>
        <w:tabs>
          <w:tab w:val="right" w:leader="dot" w:pos="9062"/>
        </w:tabs>
        <w:ind w:left="440"/>
      </w:pPr>
      <w:hyperlink w:anchor="_Toc1344" w:history="1">
        <w:r>
          <w:rPr>
            <w:rFonts w:ascii="IRNazanin" w:hAnsi="IRNazanin" w:eastAsia="IRNazanin" w:cs="IRNazanin"/>
            <w:color w:val="111111"/>
            <w:sz w:val="22"/>
            <w:szCs w:val="22"/>
            <w:b w:val="0"/>
            <w:bCs w:val="0"/>
            <w:i w:val="0"/>
            <w:iCs w:val="0"/>
          </w:rPr>
          <w:t>•تاریخ ایران و جهان / تاریخ ایران / فارسی</w:t>
        </w:r>
        <w:r>
          <w:tab/>
        </w:r>
        <w:r>
          <w:fldChar w:fldCharType="begin"/>
        </w:r>
        <w:r>
          <w:instrText xml:space="preserve">PAGEREF 1344 \h</w:instrText>
        </w:r>
        <w:r>
          <w:fldChar w:fldCharType="end"/>
        </w:r>
      </w:hyperlink>
    </w:p>
    <w:p>
      <w:pPr>
        <w:tabs>
          <w:tab w:val="right" w:leader="dot" w:pos="9062"/>
        </w:tabs>
        <w:ind w:left="440"/>
      </w:pPr>
      <w:hyperlink w:anchor="_Toc1345" w:history="1">
        <w:r>
          <w:rPr>
            <w:rFonts w:ascii="IRNazanin" w:hAnsi="IRNazanin" w:eastAsia="IRNazanin" w:cs="IRNazanin"/>
            <w:color w:val="111111"/>
            <w:sz w:val="22"/>
            <w:szCs w:val="22"/>
            <w:b w:val="0"/>
            <w:bCs w:val="0"/>
            <w:i w:val="0"/>
            <w:iCs w:val="0"/>
          </w:rPr>
          <w:t>•تاریخ ایران و خلفا / تاریخ / فارسی</w:t>
        </w:r>
        <w:r>
          <w:tab/>
        </w:r>
        <w:r>
          <w:fldChar w:fldCharType="begin"/>
        </w:r>
        <w:r>
          <w:instrText xml:space="preserve">PAGEREF 1345 \h</w:instrText>
        </w:r>
        <w:r>
          <w:fldChar w:fldCharType="end"/>
        </w:r>
      </w:hyperlink>
    </w:p>
    <w:p>
      <w:pPr>
        <w:tabs>
          <w:tab w:val="right" w:leader="dot" w:pos="9062"/>
        </w:tabs>
        <w:ind w:left="440"/>
      </w:pPr>
      <w:hyperlink w:anchor="_Toc1346" w:history="1">
        <w:r>
          <w:rPr>
            <w:rFonts w:ascii="IRNazanin" w:hAnsi="IRNazanin" w:eastAsia="IRNazanin" w:cs="IRNazanin"/>
            <w:color w:val="111111"/>
            <w:sz w:val="22"/>
            <w:szCs w:val="22"/>
            <w:b w:val="0"/>
            <w:bCs w:val="0"/>
            <w:i w:val="0"/>
            <w:iCs w:val="0"/>
          </w:rPr>
          <w:t>•تاریخ ایران و عربستان و روم / تاریخ جهان / فارسی</w:t>
        </w:r>
        <w:r>
          <w:tab/>
        </w:r>
        <w:r>
          <w:fldChar w:fldCharType="begin"/>
        </w:r>
        <w:r>
          <w:instrText xml:space="preserve">PAGEREF 1346 \h</w:instrText>
        </w:r>
        <w:r>
          <w:fldChar w:fldCharType="end"/>
        </w:r>
      </w:hyperlink>
    </w:p>
    <w:p>
      <w:pPr>
        <w:tabs>
          <w:tab w:val="right" w:leader="dot" w:pos="9062"/>
        </w:tabs>
        <w:ind w:left="440"/>
      </w:pPr>
      <w:hyperlink w:anchor="_Toc1347" w:history="1">
        <w:r>
          <w:rPr>
            <w:rFonts w:ascii="IRNazanin" w:hAnsi="IRNazanin" w:eastAsia="IRNazanin" w:cs="IRNazanin"/>
            <w:color w:val="111111"/>
            <w:sz w:val="22"/>
            <w:szCs w:val="22"/>
            <w:b w:val="0"/>
            <w:bCs w:val="0"/>
            <w:i w:val="0"/>
            <w:iCs w:val="0"/>
          </w:rPr>
          <w:t>•تاریخ ایل بختیاری / تاریخ ایران / فارسی</w:t>
        </w:r>
        <w:r>
          <w:tab/>
        </w:r>
        <w:r>
          <w:fldChar w:fldCharType="begin"/>
        </w:r>
        <w:r>
          <w:instrText xml:space="preserve">PAGEREF 1347 \h</w:instrText>
        </w:r>
        <w:r>
          <w:fldChar w:fldCharType="end"/>
        </w:r>
      </w:hyperlink>
    </w:p>
    <w:p>
      <w:pPr>
        <w:tabs>
          <w:tab w:val="right" w:leader="dot" w:pos="9062"/>
        </w:tabs>
        <w:ind w:left="440"/>
      </w:pPr>
      <w:hyperlink w:anchor="_Toc1348" w:history="1">
        <w:r>
          <w:rPr>
            <w:rFonts w:ascii="IRNazanin" w:hAnsi="IRNazanin" w:eastAsia="IRNazanin" w:cs="IRNazanin"/>
            <w:color w:val="111111"/>
            <w:sz w:val="22"/>
            <w:szCs w:val="22"/>
            <w:b w:val="0"/>
            <w:bCs w:val="0"/>
            <w:i w:val="0"/>
            <w:iCs w:val="0"/>
          </w:rPr>
          <w:t>•تاریخ بابر شاه / تاریخ / ترکی، فارسی</w:t>
        </w:r>
        <w:r>
          <w:tab/>
        </w:r>
        <w:r>
          <w:fldChar w:fldCharType="begin"/>
        </w:r>
        <w:r>
          <w:instrText xml:space="preserve">PAGEREF 1348 \h</w:instrText>
        </w:r>
        <w:r>
          <w:fldChar w:fldCharType="end"/>
        </w:r>
      </w:hyperlink>
    </w:p>
    <w:p>
      <w:pPr>
        <w:tabs>
          <w:tab w:val="right" w:leader="dot" w:pos="9062"/>
        </w:tabs>
        <w:ind w:left="440"/>
      </w:pPr>
      <w:hyperlink w:anchor="_Toc1349" w:history="1">
        <w:r>
          <w:rPr>
            <w:rFonts w:ascii="IRNazanin" w:hAnsi="IRNazanin" w:eastAsia="IRNazanin" w:cs="IRNazanin"/>
            <w:color w:val="111111"/>
            <w:sz w:val="22"/>
            <w:szCs w:val="22"/>
            <w:b w:val="0"/>
            <w:bCs w:val="0"/>
            <w:i w:val="0"/>
            <w:iCs w:val="0"/>
          </w:rPr>
          <w:t>•تاریخ بابیان / تاریخ / فارسی</w:t>
        </w:r>
        <w:r>
          <w:tab/>
        </w:r>
        <w:r>
          <w:fldChar w:fldCharType="begin"/>
        </w:r>
        <w:r>
          <w:instrText xml:space="preserve">PAGEREF 1349 \h</w:instrText>
        </w:r>
        <w:r>
          <w:fldChar w:fldCharType="end"/>
        </w:r>
      </w:hyperlink>
    </w:p>
    <w:p>
      <w:pPr>
        <w:tabs>
          <w:tab w:val="right" w:leader="dot" w:pos="9062"/>
        </w:tabs>
        <w:ind w:left="440"/>
      </w:pPr>
      <w:hyperlink w:anchor="_Toc1350" w:history="1">
        <w:r>
          <w:rPr>
            <w:rFonts w:ascii="IRNazanin" w:hAnsi="IRNazanin" w:eastAsia="IRNazanin" w:cs="IRNazanin"/>
            <w:color w:val="111111"/>
            <w:sz w:val="22"/>
            <w:szCs w:val="22"/>
            <w:b w:val="0"/>
            <w:bCs w:val="0"/>
            <w:i w:val="0"/>
            <w:iCs w:val="0"/>
          </w:rPr>
          <w:t>•تاریخ بافق / تاریخ ایران / فارسی</w:t>
        </w:r>
        <w:r>
          <w:tab/>
        </w:r>
        <w:r>
          <w:fldChar w:fldCharType="begin"/>
        </w:r>
        <w:r>
          <w:instrText xml:space="preserve">PAGEREF 1350 \h</w:instrText>
        </w:r>
        <w:r>
          <w:fldChar w:fldCharType="end"/>
        </w:r>
      </w:hyperlink>
    </w:p>
    <w:p>
      <w:pPr>
        <w:tabs>
          <w:tab w:val="right" w:leader="dot" w:pos="9062"/>
        </w:tabs>
        <w:ind w:left="440"/>
      </w:pPr>
      <w:hyperlink w:anchor="_Toc1351" w:history="1">
        <w:r>
          <w:rPr>
            <w:rFonts w:ascii="IRNazanin" w:hAnsi="IRNazanin" w:eastAsia="IRNazanin" w:cs="IRNazanin"/>
            <w:color w:val="111111"/>
            <w:sz w:val="22"/>
            <w:szCs w:val="22"/>
            <w:b w:val="0"/>
            <w:bCs w:val="0"/>
            <w:i w:val="0"/>
            <w:iCs w:val="0"/>
          </w:rPr>
          <w:t>•تاریخ بانک / اقتصاد / فارسی</w:t>
        </w:r>
        <w:r>
          <w:tab/>
        </w:r>
        <w:r>
          <w:fldChar w:fldCharType="begin"/>
        </w:r>
        <w:r>
          <w:instrText xml:space="preserve">PAGEREF 1351 \h</w:instrText>
        </w:r>
        <w:r>
          <w:fldChar w:fldCharType="end"/>
        </w:r>
      </w:hyperlink>
    </w:p>
    <w:p>
      <w:pPr>
        <w:tabs>
          <w:tab w:val="right" w:leader="dot" w:pos="9062"/>
        </w:tabs>
        <w:ind w:left="440"/>
      </w:pPr>
      <w:hyperlink w:anchor="_Toc1352" w:history="1">
        <w:r>
          <w:rPr>
            <w:rFonts w:ascii="IRNazanin" w:hAnsi="IRNazanin" w:eastAsia="IRNazanin" w:cs="IRNazanin"/>
            <w:color w:val="111111"/>
            <w:sz w:val="22"/>
            <w:szCs w:val="22"/>
            <w:b w:val="0"/>
            <w:bCs w:val="0"/>
            <w:i w:val="0"/>
            <w:iCs w:val="0"/>
          </w:rPr>
          <w:t>•تاریخ بایزید خواندگار روم / تاریخ / فارسی</w:t>
        </w:r>
        <w:r>
          <w:tab/>
        </w:r>
        <w:r>
          <w:fldChar w:fldCharType="begin"/>
        </w:r>
        <w:r>
          <w:instrText xml:space="preserve">PAGEREF 1352 \h</w:instrText>
        </w:r>
        <w:r>
          <w:fldChar w:fldCharType="end"/>
        </w:r>
      </w:hyperlink>
    </w:p>
    <w:p>
      <w:pPr>
        <w:tabs>
          <w:tab w:val="right" w:leader="dot" w:pos="9062"/>
        </w:tabs>
        <w:ind w:left="440"/>
      </w:pPr>
      <w:hyperlink w:anchor="_Toc1353" w:history="1">
        <w:r>
          <w:rPr>
            <w:rFonts w:ascii="IRNazanin" w:hAnsi="IRNazanin" w:eastAsia="IRNazanin" w:cs="IRNazanin"/>
            <w:color w:val="111111"/>
            <w:sz w:val="22"/>
            <w:szCs w:val="22"/>
            <w:b w:val="0"/>
            <w:bCs w:val="0"/>
            <w:i w:val="0"/>
            <w:iCs w:val="0"/>
          </w:rPr>
          <w:t>•تاریخ بجوی / تاریخ / ترکی</w:t>
        </w:r>
        <w:r>
          <w:tab/>
        </w:r>
        <w:r>
          <w:fldChar w:fldCharType="begin"/>
        </w:r>
        <w:r>
          <w:instrText xml:space="preserve">PAGEREF 1353 \h</w:instrText>
        </w:r>
        <w:r>
          <w:fldChar w:fldCharType="end"/>
        </w:r>
      </w:hyperlink>
    </w:p>
    <w:p>
      <w:pPr>
        <w:tabs>
          <w:tab w:val="right" w:leader="dot" w:pos="9062"/>
        </w:tabs>
        <w:ind w:left="440"/>
      </w:pPr>
      <w:hyperlink w:anchor="_Toc1354" w:history="1">
        <w:r>
          <w:rPr>
            <w:rFonts w:ascii="IRNazanin" w:hAnsi="IRNazanin" w:eastAsia="IRNazanin" w:cs="IRNazanin"/>
            <w:color w:val="111111"/>
            <w:sz w:val="22"/>
            <w:szCs w:val="22"/>
            <w:b w:val="0"/>
            <w:bCs w:val="0"/>
            <w:i w:val="0"/>
            <w:iCs w:val="0"/>
          </w:rPr>
          <w:t>•تاریخ بحر الانساب در شرح حال شیخ احمد جام / تراجم / فارسی</w:t>
        </w:r>
        <w:r>
          <w:tab/>
        </w:r>
        <w:r>
          <w:fldChar w:fldCharType="begin"/>
        </w:r>
        <w:r>
          <w:instrText xml:space="preserve">PAGEREF 1354 \h</w:instrText>
        </w:r>
        <w:r>
          <w:fldChar w:fldCharType="end"/>
        </w:r>
      </w:hyperlink>
    </w:p>
    <w:p>
      <w:pPr>
        <w:tabs>
          <w:tab w:val="right" w:leader="dot" w:pos="9062"/>
        </w:tabs>
        <w:ind w:left="440"/>
      </w:pPr>
      <w:hyperlink w:anchor="_Toc1355" w:history="1">
        <w:r>
          <w:rPr>
            <w:rFonts w:ascii="IRNazanin" w:hAnsi="IRNazanin" w:eastAsia="IRNazanin" w:cs="IRNazanin"/>
            <w:color w:val="111111"/>
            <w:sz w:val="22"/>
            <w:szCs w:val="22"/>
            <w:b w:val="0"/>
            <w:bCs w:val="0"/>
            <w:i w:val="0"/>
            <w:iCs w:val="0"/>
          </w:rPr>
          <w:t>•تاريخ البحرین و تراجم أعلامه = الذخائر في جغرافيا البنادر و الجزائر / جغرافیا، تراجم / عربی</w:t>
        </w:r>
        <w:r>
          <w:tab/>
        </w:r>
        <w:r>
          <w:fldChar w:fldCharType="begin"/>
        </w:r>
        <w:r>
          <w:instrText xml:space="preserve">PAGEREF 1355 \h</w:instrText>
        </w:r>
        <w:r>
          <w:fldChar w:fldCharType="end"/>
        </w:r>
      </w:hyperlink>
    </w:p>
    <w:p>
      <w:pPr>
        <w:tabs>
          <w:tab w:val="right" w:leader="dot" w:pos="9062"/>
        </w:tabs>
        <w:ind w:left="440"/>
      </w:pPr>
      <w:hyperlink w:anchor="_Toc1356" w:history="1">
        <w:r>
          <w:rPr>
            <w:rFonts w:ascii="IRNazanin" w:hAnsi="IRNazanin" w:eastAsia="IRNazanin" w:cs="IRNazanin"/>
            <w:color w:val="111111"/>
            <w:sz w:val="22"/>
            <w:szCs w:val="22"/>
            <w:b w:val="0"/>
            <w:bCs w:val="0"/>
            <w:i w:val="0"/>
            <w:iCs w:val="0"/>
          </w:rPr>
          <w:t>•تاریخ بخارا (ترجمه) / تاریخ ایران / فارسی</w:t>
        </w:r>
        <w:r>
          <w:tab/>
        </w:r>
        <w:r>
          <w:fldChar w:fldCharType="begin"/>
        </w:r>
        <w:r>
          <w:instrText xml:space="preserve">PAGEREF 1356 \h</w:instrText>
        </w:r>
        <w:r>
          <w:fldChar w:fldCharType="end"/>
        </w:r>
      </w:hyperlink>
    </w:p>
    <w:p>
      <w:pPr>
        <w:tabs>
          <w:tab w:val="right" w:leader="dot" w:pos="9062"/>
        </w:tabs>
        <w:ind w:left="440"/>
      </w:pPr>
      <w:hyperlink w:anchor="_Toc1357" w:history="1">
        <w:r>
          <w:rPr>
            <w:rFonts w:ascii="IRNazanin" w:hAnsi="IRNazanin" w:eastAsia="IRNazanin" w:cs="IRNazanin"/>
            <w:color w:val="111111"/>
            <w:sz w:val="22"/>
            <w:szCs w:val="22"/>
            <w:b w:val="0"/>
            <w:bCs w:val="0"/>
            <w:i w:val="0"/>
            <w:iCs w:val="0"/>
          </w:rPr>
          <w:t>• تاریخ بخارا (تخليص) / تاریخ ایران / فارسی</w:t>
        </w:r>
        <w:r>
          <w:tab/>
        </w:r>
        <w:r>
          <w:fldChar w:fldCharType="begin"/>
        </w:r>
        <w:r>
          <w:instrText xml:space="preserve">PAGEREF 1357 \h</w:instrText>
        </w:r>
        <w:r>
          <w:fldChar w:fldCharType="end"/>
        </w:r>
      </w:hyperlink>
    </w:p>
    <w:p>
      <w:pPr>
        <w:tabs>
          <w:tab w:val="right" w:leader="dot" w:pos="9062"/>
        </w:tabs>
        <w:ind w:left="440"/>
      </w:pPr>
      <w:hyperlink w:anchor="_Toc1358" w:history="1">
        <w:r>
          <w:rPr>
            <w:rFonts w:ascii="IRNazanin" w:hAnsi="IRNazanin" w:eastAsia="IRNazanin" w:cs="IRNazanin"/>
            <w:color w:val="111111"/>
            <w:sz w:val="22"/>
            <w:szCs w:val="22"/>
            <w:b w:val="0"/>
            <w:bCs w:val="0"/>
            <w:i w:val="0"/>
            <w:iCs w:val="0"/>
          </w:rPr>
          <w:t>•تاریخ بخارا = مزارات بخارا = تاریخ ملا زاده / تراجم، تاریخ ایران / فارسی</w:t>
        </w:r>
        <w:r>
          <w:tab/>
        </w:r>
        <w:r>
          <w:fldChar w:fldCharType="begin"/>
        </w:r>
        <w:r>
          <w:instrText xml:space="preserve">PAGEREF 1358 \h</w:instrText>
        </w:r>
        <w:r>
          <w:fldChar w:fldCharType="end"/>
        </w:r>
      </w:hyperlink>
    </w:p>
    <w:p>
      <w:pPr>
        <w:tabs>
          <w:tab w:val="right" w:leader="dot" w:pos="9062"/>
        </w:tabs>
        <w:ind w:left="440"/>
      </w:pPr>
      <w:hyperlink w:anchor="_Toc1359" w:history="1">
        <w:r>
          <w:rPr>
            <w:rFonts w:ascii="IRNazanin" w:hAnsi="IRNazanin" w:eastAsia="IRNazanin" w:cs="IRNazanin"/>
            <w:color w:val="111111"/>
            <w:sz w:val="22"/>
            <w:szCs w:val="22"/>
            <w:b w:val="0"/>
            <w:bCs w:val="0"/>
            <w:i w:val="0"/>
            <w:iCs w:val="0"/>
          </w:rPr>
          <w:t>•تاریخ بخارا (ترجمه) / تاریخ ایران / فارسی</w:t>
        </w:r>
        <w:r>
          <w:tab/>
        </w:r>
        <w:r>
          <w:fldChar w:fldCharType="begin"/>
        </w:r>
        <w:r>
          <w:instrText xml:space="preserve">PAGEREF 1359 \h</w:instrText>
        </w:r>
        <w:r>
          <w:fldChar w:fldCharType="end"/>
        </w:r>
      </w:hyperlink>
    </w:p>
    <w:p>
      <w:pPr>
        <w:tabs>
          <w:tab w:val="right" w:leader="dot" w:pos="9062"/>
        </w:tabs>
        <w:ind w:left="440"/>
      </w:pPr>
      <w:hyperlink w:anchor="_Toc1360" w:history="1">
        <w:r>
          <w:rPr>
            <w:rFonts w:ascii="IRNazanin" w:hAnsi="IRNazanin" w:eastAsia="IRNazanin" w:cs="IRNazanin"/>
            <w:color w:val="111111"/>
            <w:sz w:val="22"/>
            <w:szCs w:val="22"/>
            <w:b w:val="0"/>
            <w:bCs w:val="0"/>
            <w:i w:val="0"/>
            <w:iCs w:val="0"/>
          </w:rPr>
          <w:t>• تاریخ بخارا (ترجمه) / تاریخ ایران / فارسی</w:t>
        </w:r>
        <w:r>
          <w:tab/>
        </w:r>
        <w:r>
          <w:fldChar w:fldCharType="begin"/>
        </w:r>
        <w:r>
          <w:instrText xml:space="preserve">PAGEREF 1360 \h</w:instrText>
        </w:r>
        <w:r>
          <w:fldChar w:fldCharType="end"/>
        </w:r>
      </w:hyperlink>
    </w:p>
    <w:p>
      <w:pPr>
        <w:tabs>
          <w:tab w:val="right" w:leader="dot" w:pos="9062"/>
        </w:tabs>
        <w:ind w:left="440"/>
      </w:pPr>
      <w:hyperlink w:anchor="_Toc1361" w:history="1">
        <w:r>
          <w:rPr>
            <w:rFonts w:ascii="IRNazanin" w:hAnsi="IRNazanin" w:eastAsia="IRNazanin" w:cs="IRNazanin"/>
            <w:color w:val="111111"/>
            <w:sz w:val="22"/>
            <w:szCs w:val="22"/>
            <w:b w:val="0"/>
            <w:bCs w:val="0"/>
            <w:i w:val="0"/>
            <w:iCs w:val="0"/>
          </w:rPr>
          <w:t>•تاریخ بخارا (ترجمه) / تاریخ ایران / فارسی</w:t>
        </w:r>
        <w:r>
          <w:tab/>
        </w:r>
        <w:r>
          <w:fldChar w:fldCharType="begin"/>
        </w:r>
        <w:r>
          <w:instrText xml:space="preserve">PAGEREF 1361 \h</w:instrText>
        </w:r>
        <w:r>
          <w:fldChar w:fldCharType="end"/>
        </w:r>
      </w:hyperlink>
    </w:p>
    <w:p>
      <w:pPr>
        <w:tabs>
          <w:tab w:val="right" w:leader="dot" w:pos="9062"/>
        </w:tabs>
        <w:ind w:left="440"/>
      </w:pPr>
      <w:hyperlink w:anchor="_Toc1362" w:history="1">
        <w:r>
          <w:rPr>
            <w:rFonts w:ascii="IRNazanin" w:hAnsi="IRNazanin" w:eastAsia="IRNazanin" w:cs="IRNazanin"/>
            <w:color w:val="111111"/>
            <w:sz w:val="22"/>
            <w:szCs w:val="22"/>
            <w:b w:val="0"/>
            <w:bCs w:val="0"/>
            <w:i w:val="0"/>
            <w:iCs w:val="0"/>
          </w:rPr>
          <w:t>•تاریخ بخارا - تاریخ بزرگان ۵۷۱ و تاریخ برامکه - اخبار برامکه = ترجمه تاریخ برامکه</w:t>
        </w:r>
        <w:r>
          <w:tab/>
        </w:r>
        <w:r>
          <w:fldChar w:fldCharType="begin"/>
        </w:r>
        <w:r>
          <w:instrText xml:space="preserve">PAGEREF 1362 \h</w:instrText>
        </w:r>
        <w:r>
          <w:fldChar w:fldCharType="end"/>
        </w:r>
      </w:hyperlink>
    </w:p>
    <w:p>
      <w:pPr>
        <w:tabs>
          <w:tab w:val="right" w:leader="dot" w:pos="9062"/>
        </w:tabs>
        <w:ind w:left="440"/>
      </w:pPr>
      <w:hyperlink w:anchor="_Toc1363" w:history="1">
        <w:r>
          <w:rPr>
            <w:rFonts w:ascii="IRNazanin" w:hAnsi="IRNazanin" w:eastAsia="IRNazanin" w:cs="IRNazanin"/>
            <w:color w:val="111111"/>
            <w:sz w:val="22"/>
            <w:szCs w:val="22"/>
            <w:b w:val="0"/>
            <w:bCs w:val="0"/>
            <w:i w:val="0"/>
            <w:iCs w:val="0"/>
          </w:rPr>
          <w:t>•تاریخ بزرگان عرب / تاریخ عربی</w:t>
        </w:r>
        <w:r>
          <w:tab/>
        </w:r>
        <w:r>
          <w:fldChar w:fldCharType="begin"/>
        </w:r>
        <w:r>
          <w:instrText xml:space="preserve">PAGEREF 1363 \h</w:instrText>
        </w:r>
        <w:r>
          <w:fldChar w:fldCharType="end"/>
        </w:r>
      </w:hyperlink>
    </w:p>
    <w:p>
      <w:pPr>
        <w:tabs>
          <w:tab w:val="right" w:leader="dot" w:pos="9062"/>
        </w:tabs>
        <w:ind w:left="440"/>
      </w:pPr>
      <w:hyperlink w:anchor="_Toc1364" w:history="1">
        <w:r>
          <w:rPr>
            <w:rFonts w:ascii="IRNazanin" w:hAnsi="IRNazanin" w:eastAsia="IRNazanin" w:cs="IRNazanin"/>
            <w:color w:val="111111"/>
            <w:sz w:val="22"/>
            <w:szCs w:val="22"/>
            <w:b w:val="0"/>
            <w:bCs w:val="0"/>
            <w:i w:val="0"/>
            <w:iCs w:val="0"/>
          </w:rPr>
          <w:t>•تاریخ بعد النبی(صلی الله علیه وآله وسلم) / تاریخ اسلام / عربی</w:t>
        </w:r>
        <w:r>
          <w:tab/>
        </w:r>
        <w:r>
          <w:fldChar w:fldCharType="begin"/>
        </w:r>
        <w:r>
          <w:instrText xml:space="preserve">PAGEREF 1364 \h</w:instrText>
        </w:r>
        <w:r>
          <w:fldChar w:fldCharType="end"/>
        </w:r>
      </w:hyperlink>
    </w:p>
    <w:p>
      <w:pPr>
        <w:tabs>
          <w:tab w:val="right" w:leader="dot" w:pos="9062"/>
        </w:tabs>
        <w:ind w:left="440"/>
      </w:pPr>
      <w:hyperlink w:anchor="_Toc1365" w:history="1">
        <w:r>
          <w:rPr>
            <w:rFonts w:ascii="IRNazanin" w:hAnsi="IRNazanin" w:eastAsia="IRNazanin" w:cs="IRNazanin"/>
            <w:color w:val="111111"/>
            <w:sz w:val="22"/>
            <w:szCs w:val="22"/>
            <w:b w:val="0"/>
            <w:bCs w:val="0"/>
            <w:i w:val="0"/>
            <w:iCs w:val="0"/>
          </w:rPr>
          <w:t>•تاریخ بلده نور / تاریخ ایران / فارسی</w:t>
        </w:r>
        <w:r>
          <w:tab/>
        </w:r>
        <w:r>
          <w:fldChar w:fldCharType="begin"/>
        </w:r>
        <w:r>
          <w:instrText xml:space="preserve">PAGEREF 1365 \h</w:instrText>
        </w:r>
        <w:r>
          <w:fldChar w:fldCharType="end"/>
        </w:r>
      </w:hyperlink>
    </w:p>
    <w:p>
      <w:pPr>
        <w:tabs>
          <w:tab w:val="right" w:leader="dot" w:pos="9062"/>
        </w:tabs>
        <w:ind w:left="440"/>
      </w:pPr>
      <w:hyperlink w:anchor="_Toc1366" w:history="1">
        <w:r>
          <w:rPr>
            <w:rFonts w:ascii="IRNazanin" w:hAnsi="IRNazanin" w:eastAsia="IRNazanin" w:cs="IRNazanin"/>
            <w:color w:val="111111"/>
            <w:sz w:val="22"/>
            <w:szCs w:val="22"/>
            <w:b w:val="0"/>
            <w:bCs w:val="0"/>
            <w:i w:val="0"/>
            <w:iCs w:val="0"/>
          </w:rPr>
          <w:t>•تاریخ بلعمی = ترجمه تاریخ طبری = تاریخ نامه / تاریخ جهان / فارسی</w:t>
        </w:r>
        <w:r>
          <w:tab/>
        </w:r>
        <w:r>
          <w:fldChar w:fldCharType="begin"/>
        </w:r>
        <w:r>
          <w:instrText xml:space="preserve">PAGEREF 1366 \h</w:instrText>
        </w:r>
        <w:r>
          <w:fldChar w:fldCharType="end"/>
        </w:r>
      </w:hyperlink>
    </w:p>
    <w:p>
      <w:pPr>
        <w:tabs>
          <w:tab w:val="right" w:leader="dot" w:pos="9062"/>
        </w:tabs>
        <w:ind w:left="440"/>
      </w:pPr>
      <w:hyperlink w:anchor="_Toc1367" w:history="1">
        <w:r>
          <w:rPr>
            <w:rFonts w:ascii="IRNazanin" w:hAnsi="IRNazanin" w:eastAsia="IRNazanin" w:cs="IRNazanin"/>
            <w:color w:val="111111"/>
            <w:sz w:val="22"/>
            <w:szCs w:val="22"/>
            <w:b w:val="0"/>
            <w:bCs w:val="0"/>
            <w:i w:val="0"/>
            <w:iCs w:val="0"/>
          </w:rPr>
          <w:t>• تاریخ بلغراد / شعر / ترکی</w:t>
        </w:r>
        <w:r>
          <w:tab/>
        </w:r>
        <w:r>
          <w:fldChar w:fldCharType="begin"/>
        </w:r>
        <w:r>
          <w:instrText xml:space="preserve">PAGEREF 1367 \h</w:instrText>
        </w:r>
        <w:r>
          <w:fldChar w:fldCharType="end"/>
        </w:r>
      </w:hyperlink>
    </w:p>
    <w:p>
      <w:pPr>
        <w:tabs>
          <w:tab w:val="right" w:leader="dot" w:pos="9062"/>
        </w:tabs>
        <w:ind w:left="440"/>
      </w:pPr>
      <w:hyperlink w:anchor="_Toc1368" w:history="1">
        <w:r>
          <w:rPr>
            <w:rFonts w:ascii="IRNazanin" w:hAnsi="IRNazanin" w:eastAsia="IRNazanin" w:cs="IRNazanin"/>
            <w:color w:val="111111"/>
            <w:sz w:val="22"/>
            <w:szCs w:val="22"/>
            <w:b w:val="0"/>
            <w:bCs w:val="0"/>
            <w:i w:val="0"/>
            <w:iCs w:val="0"/>
          </w:rPr>
          <w:t>•تاریخ بلوای اصفهان / شعر، تاریخ ایران / فارسی</w:t>
        </w:r>
        <w:r>
          <w:tab/>
        </w:r>
        <w:r>
          <w:fldChar w:fldCharType="begin"/>
        </w:r>
        <w:r>
          <w:instrText xml:space="preserve">PAGEREF 1368 \h</w:instrText>
        </w:r>
        <w:r>
          <w:fldChar w:fldCharType="end"/>
        </w:r>
      </w:hyperlink>
    </w:p>
    <w:p>
      <w:pPr>
        <w:tabs>
          <w:tab w:val="right" w:leader="dot" w:pos="9062"/>
        </w:tabs>
        <w:ind w:left="440"/>
      </w:pPr>
      <w:hyperlink w:anchor="_Toc1369" w:history="1">
        <w:r>
          <w:rPr>
            <w:rFonts w:ascii="IRNazanin" w:hAnsi="IRNazanin" w:eastAsia="IRNazanin" w:cs="IRNazanin"/>
            <w:color w:val="111111"/>
            <w:sz w:val="22"/>
            <w:szCs w:val="22"/>
            <w:b w:val="0"/>
            <w:bCs w:val="0"/>
            <w:i w:val="0"/>
            <w:iCs w:val="0"/>
          </w:rPr>
          <w:t>•تاریخ بنادر خلیج فارس / جغرافيا / فارسی</w:t>
        </w:r>
        <w:r>
          <w:tab/>
        </w:r>
        <w:r>
          <w:fldChar w:fldCharType="begin"/>
        </w:r>
        <w:r>
          <w:instrText xml:space="preserve">PAGEREF 1369 \h</w:instrText>
        </w:r>
        <w:r>
          <w:fldChar w:fldCharType="end"/>
        </w:r>
      </w:hyperlink>
    </w:p>
    <w:p>
      <w:pPr>
        <w:tabs>
          <w:tab w:val="right" w:leader="dot" w:pos="9062"/>
        </w:tabs>
        <w:ind w:left="440"/>
      </w:pPr>
      <w:hyperlink w:anchor="_Toc1370" w:history="1">
        <w:r>
          <w:rPr>
            <w:rFonts w:ascii="IRNazanin" w:hAnsi="IRNazanin" w:eastAsia="IRNazanin" w:cs="IRNazanin"/>
            <w:color w:val="111111"/>
            <w:sz w:val="22"/>
            <w:szCs w:val="22"/>
            <w:b w:val="0"/>
            <w:bCs w:val="0"/>
            <w:i w:val="0"/>
            <w:iCs w:val="0"/>
          </w:rPr>
          <w:t>• تاریخ بناکتی و تاریخ گزیده مستوفی / تاریخ / فارسی</w:t>
        </w:r>
        <w:r>
          <w:tab/>
        </w:r>
        <w:r>
          <w:fldChar w:fldCharType="begin"/>
        </w:r>
        <w:r>
          <w:instrText xml:space="preserve">PAGEREF 1370 \h</w:instrText>
        </w:r>
        <w:r>
          <w:fldChar w:fldCharType="end"/>
        </w:r>
      </w:hyperlink>
    </w:p>
    <w:p>
      <w:pPr>
        <w:tabs>
          <w:tab w:val="right" w:leader="dot" w:pos="9062"/>
        </w:tabs>
        <w:ind w:left="440"/>
      </w:pPr>
      <w:hyperlink w:anchor="_Toc1371" w:history="1">
        <w:r>
          <w:rPr>
            <w:rFonts w:ascii="IRNazanin" w:hAnsi="IRNazanin" w:eastAsia="IRNazanin" w:cs="IRNazanin"/>
            <w:color w:val="111111"/>
            <w:sz w:val="22"/>
            <w:szCs w:val="22"/>
            <w:b w:val="0"/>
            <w:bCs w:val="0"/>
            <w:i w:val="0"/>
            <w:iCs w:val="0"/>
          </w:rPr>
          <w:t>• تاریخ بنای آتشگاه و رهرام / شعر، تاریخ / فارسی</w:t>
        </w:r>
        <w:r>
          <w:tab/>
        </w:r>
        <w:r>
          <w:fldChar w:fldCharType="begin"/>
        </w:r>
        <w:r>
          <w:instrText xml:space="preserve">PAGEREF 1371 \h</w:instrText>
        </w:r>
        <w:r>
          <w:fldChar w:fldCharType="end"/>
        </w:r>
      </w:hyperlink>
    </w:p>
    <w:p>
      <w:pPr>
        <w:tabs>
          <w:tab w:val="right" w:leader="dot" w:pos="9062"/>
        </w:tabs>
        <w:ind w:left="440"/>
      </w:pPr>
      <w:hyperlink w:anchor="_Toc1372" w:history="1">
        <w:r>
          <w:rPr>
            <w:rFonts w:ascii="IRNazanin" w:hAnsi="IRNazanin" w:eastAsia="IRNazanin" w:cs="IRNazanin"/>
            <w:color w:val="111111"/>
            <w:sz w:val="22"/>
            <w:szCs w:val="22"/>
            <w:b w:val="0"/>
            <w:bCs w:val="0"/>
            <w:i w:val="0"/>
            <w:iCs w:val="0"/>
          </w:rPr>
          <w:t>•تاریخ بنای خانقاه سلطان الب / شعر / فارسی و ترکی</w:t>
        </w:r>
        <w:r>
          <w:tab/>
        </w:r>
        <w:r>
          <w:fldChar w:fldCharType="begin"/>
        </w:r>
        <w:r>
          <w:instrText xml:space="preserve">PAGEREF 1372 \h</w:instrText>
        </w:r>
        <w:r>
          <w:fldChar w:fldCharType="end"/>
        </w:r>
      </w:hyperlink>
    </w:p>
    <w:p>
      <w:pPr>
        <w:tabs>
          <w:tab w:val="right" w:leader="dot" w:pos="9062"/>
        </w:tabs>
        <w:ind w:left="440"/>
      </w:pPr>
      <w:hyperlink w:anchor="_Toc1373" w:history="1">
        <w:r>
          <w:rPr>
            <w:rFonts w:ascii="IRNazanin" w:hAnsi="IRNazanin" w:eastAsia="IRNazanin" w:cs="IRNazanin"/>
            <w:color w:val="111111"/>
            <w:sz w:val="22"/>
            <w:szCs w:val="22"/>
            <w:b w:val="0"/>
            <w:bCs w:val="0"/>
            <w:i w:val="0"/>
            <w:iCs w:val="0"/>
          </w:rPr>
          <w:t>•تاریخ بنای قلعه صالح آباد / شعر / فارسی</w:t>
        </w:r>
        <w:r>
          <w:tab/>
        </w:r>
        <w:r>
          <w:fldChar w:fldCharType="begin"/>
        </w:r>
        <w:r>
          <w:instrText xml:space="preserve">PAGEREF 1373 \h</w:instrText>
        </w:r>
        <w:r>
          <w:fldChar w:fldCharType="end"/>
        </w:r>
      </w:hyperlink>
    </w:p>
    <w:p>
      <w:pPr>
        <w:tabs>
          <w:tab w:val="right" w:leader="dot" w:pos="9062"/>
        </w:tabs>
        <w:ind w:left="440"/>
      </w:pPr>
      <w:hyperlink w:anchor="_Toc1374" w:history="1">
        <w:r>
          <w:rPr>
            <w:rFonts w:ascii="IRNazanin" w:hAnsi="IRNazanin" w:eastAsia="IRNazanin" w:cs="IRNazanin"/>
            <w:color w:val="111111"/>
            <w:sz w:val="22"/>
            <w:szCs w:val="22"/>
            <w:b w:val="0"/>
            <w:bCs w:val="0"/>
            <w:i w:val="0"/>
            <w:iCs w:val="0"/>
          </w:rPr>
          <w:t>•تاریخ بنگاله / تاریخ / فارسی</w:t>
        </w:r>
        <w:r>
          <w:tab/>
        </w:r>
        <w:r>
          <w:fldChar w:fldCharType="begin"/>
        </w:r>
        <w:r>
          <w:instrText xml:space="preserve">PAGEREF 1374 \h</w:instrText>
        </w:r>
        <w:r>
          <w:fldChar w:fldCharType="end"/>
        </w:r>
      </w:hyperlink>
    </w:p>
    <w:p>
      <w:pPr>
        <w:tabs>
          <w:tab w:val="right" w:leader="dot" w:pos="9062"/>
        </w:tabs>
        <w:ind w:left="440"/>
      </w:pPr>
      <w:hyperlink w:anchor="_Toc1375" w:history="1">
        <w:r>
          <w:rPr>
            <w:rFonts w:ascii="IRNazanin" w:hAnsi="IRNazanin" w:eastAsia="IRNazanin" w:cs="IRNazanin"/>
            <w:color w:val="111111"/>
            <w:sz w:val="22"/>
            <w:szCs w:val="22"/>
            <w:b w:val="0"/>
            <w:bCs w:val="0"/>
            <w:i w:val="0"/>
            <w:iCs w:val="0"/>
          </w:rPr>
          <w:t>•تاریخ بوشهر / تاریخ ایران / فارسی</w:t>
        </w:r>
        <w:r>
          <w:tab/>
        </w:r>
        <w:r>
          <w:fldChar w:fldCharType="begin"/>
        </w:r>
        <w:r>
          <w:instrText xml:space="preserve">PAGEREF 1375 \h</w:instrText>
        </w:r>
        <w:r>
          <w:fldChar w:fldCharType="end"/>
        </w:r>
      </w:hyperlink>
    </w:p>
    <w:p>
      <w:pPr>
        <w:tabs>
          <w:tab w:val="right" w:leader="dot" w:pos="9062"/>
        </w:tabs>
        <w:ind w:left="440"/>
      </w:pPr>
      <w:hyperlink w:anchor="_Toc1376" w:history="1">
        <w:r>
          <w:rPr>
            <w:rFonts w:ascii="IRNazanin" w:hAnsi="IRNazanin" w:eastAsia="IRNazanin" w:cs="IRNazanin"/>
            <w:color w:val="111111"/>
            <w:sz w:val="22"/>
            <w:szCs w:val="22"/>
            <w:b w:val="0"/>
            <w:bCs w:val="0"/>
            <w:i w:val="0"/>
            <w:iCs w:val="0"/>
          </w:rPr>
          <w:t>•تاریخ بهادرشاهی / تاریخ / فارسی</w:t>
        </w:r>
        <w:r>
          <w:tab/>
        </w:r>
        <w:r>
          <w:fldChar w:fldCharType="begin"/>
        </w:r>
        <w:r>
          <w:instrText xml:space="preserve">PAGEREF 1376 \h</w:instrText>
        </w:r>
        <w:r>
          <w:fldChar w:fldCharType="end"/>
        </w:r>
      </w:hyperlink>
    </w:p>
    <w:p>
      <w:pPr>
        <w:tabs>
          <w:tab w:val="right" w:leader="dot" w:pos="9062"/>
        </w:tabs>
        <w:ind w:left="440"/>
      </w:pPr>
      <w:hyperlink w:anchor="_Toc1377" w:history="1">
        <w:r>
          <w:rPr>
            <w:rFonts w:ascii="IRNazanin" w:hAnsi="IRNazanin" w:eastAsia="IRNazanin" w:cs="IRNazanin"/>
            <w:color w:val="111111"/>
            <w:sz w:val="22"/>
            <w:szCs w:val="22"/>
            <w:b w:val="0"/>
            <w:bCs w:val="0"/>
            <w:i w:val="0"/>
            <w:iCs w:val="0"/>
          </w:rPr>
          <w:t>•تاریخ بهارستان تهماسبی = جهانگشای نادری / تاریخ ایران / فارسی</w:t>
        </w:r>
        <w:r>
          <w:tab/>
        </w:r>
        <w:r>
          <w:fldChar w:fldCharType="begin"/>
        </w:r>
        <w:r>
          <w:instrText xml:space="preserve">PAGEREF 1377 \h</w:instrText>
        </w:r>
        <w:r>
          <w:fldChar w:fldCharType="end"/>
        </w:r>
      </w:hyperlink>
    </w:p>
    <w:p>
      <w:pPr>
        <w:tabs>
          <w:tab w:val="right" w:leader="dot" w:pos="9062"/>
        </w:tabs>
        <w:ind w:left="440"/>
      </w:pPr>
      <w:hyperlink w:anchor="_Toc1378" w:history="1">
        <w:r>
          <w:rPr>
            <w:rFonts w:ascii="IRNazanin" w:hAnsi="IRNazanin" w:eastAsia="IRNazanin" w:cs="IRNazanin"/>
            <w:color w:val="111111"/>
            <w:sz w:val="22"/>
            <w:szCs w:val="22"/>
            <w:b w:val="0"/>
            <w:bCs w:val="0"/>
            <w:i w:val="0"/>
            <w:iCs w:val="0"/>
          </w:rPr>
          <w:t>•تاریخ بهرام میرزا صفوی / تاریخ / فارسی</w:t>
        </w:r>
        <w:r>
          <w:tab/>
        </w:r>
        <w:r>
          <w:fldChar w:fldCharType="begin"/>
        </w:r>
        <w:r>
          <w:instrText xml:space="preserve">PAGEREF 1378 \h</w:instrText>
        </w:r>
        <w:r>
          <w:fldChar w:fldCharType="end"/>
        </w:r>
      </w:hyperlink>
    </w:p>
    <w:p>
      <w:pPr>
        <w:tabs>
          <w:tab w:val="right" w:leader="dot" w:pos="9062"/>
        </w:tabs>
        <w:ind w:left="440"/>
      </w:pPr>
      <w:hyperlink w:anchor="_Toc1379" w:history="1">
        <w:r>
          <w:rPr>
            <w:rFonts w:ascii="IRNazanin" w:hAnsi="IRNazanin" w:eastAsia="IRNazanin" w:cs="IRNazanin"/>
            <w:color w:val="111111"/>
            <w:sz w:val="22"/>
            <w:szCs w:val="22"/>
            <w:b w:val="0"/>
            <w:bCs w:val="0"/>
            <w:i w:val="0"/>
            <w:iCs w:val="0"/>
          </w:rPr>
          <w:t>•تاریخ بی دروغ = ماجرای قتل ناصرالدین شاه / تاریخ ایران / فارسی</w:t>
        </w:r>
        <w:r>
          <w:tab/>
        </w:r>
        <w:r>
          <w:fldChar w:fldCharType="begin"/>
        </w:r>
        <w:r>
          <w:instrText xml:space="preserve">PAGEREF 1379 \h</w:instrText>
        </w:r>
        <w:r>
          <w:fldChar w:fldCharType="end"/>
        </w:r>
      </w:hyperlink>
    </w:p>
    <w:p>
      <w:pPr>
        <w:tabs>
          <w:tab w:val="right" w:leader="dot" w:pos="9062"/>
        </w:tabs>
        <w:ind w:left="440"/>
      </w:pPr>
      <w:hyperlink w:anchor="_Toc1380" w:history="1">
        <w:r>
          <w:rPr>
            <w:rFonts w:ascii="IRNazanin" w:hAnsi="IRNazanin" w:eastAsia="IRNazanin" w:cs="IRNazanin"/>
            <w:color w:val="111111"/>
            <w:sz w:val="22"/>
            <w:szCs w:val="22"/>
            <w:b w:val="0"/>
            <w:bCs w:val="0"/>
            <w:i w:val="0"/>
            <w:iCs w:val="0"/>
          </w:rPr>
          <w:t>•تاریخ بیزمارک / تاریخ / فارسی</w:t>
        </w:r>
        <w:r>
          <w:tab/>
        </w:r>
        <w:r>
          <w:fldChar w:fldCharType="begin"/>
        </w:r>
        <w:r>
          <w:instrText xml:space="preserve">PAGEREF 1380 \h</w:instrText>
        </w:r>
        <w:r>
          <w:fldChar w:fldCharType="end"/>
        </w:r>
      </w:hyperlink>
    </w:p>
    <w:p>
      <w:pPr>
        <w:tabs>
          <w:tab w:val="right" w:leader="dot" w:pos="9062"/>
        </w:tabs>
        <w:ind w:left="440"/>
      </w:pPr>
      <w:hyperlink w:anchor="_Toc1381" w:history="1">
        <w:r>
          <w:rPr>
            <w:rFonts w:ascii="IRNazanin" w:hAnsi="IRNazanin" w:eastAsia="IRNazanin" w:cs="IRNazanin"/>
            <w:color w:val="111111"/>
            <w:sz w:val="22"/>
            <w:szCs w:val="22"/>
            <w:b w:val="0"/>
            <w:bCs w:val="0"/>
            <w:i w:val="0"/>
            <w:iCs w:val="0"/>
          </w:rPr>
          <w:t>• تاریخ بیست ساله نفت ایران / تاریخ ایران / فارسی</w:t>
        </w:r>
        <w:r>
          <w:tab/>
        </w:r>
        <w:r>
          <w:fldChar w:fldCharType="begin"/>
        </w:r>
        <w:r>
          <w:instrText xml:space="preserve">PAGEREF 1381 \h</w:instrText>
        </w:r>
        <w:r>
          <w:fldChar w:fldCharType="end"/>
        </w:r>
      </w:hyperlink>
    </w:p>
    <w:p>
      <w:pPr>
        <w:tabs>
          <w:tab w:val="right" w:leader="dot" w:pos="9062"/>
        </w:tabs>
        <w:ind w:left="440"/>
      </w:pPr>
      <w:hyperlink w:anchor="_Toc1382" w:history="1">
        <w:r>
          <w:rPr>
            <w:rFonts w:ascii="IRNazanin" w:hAnsi="IRNazanin" w:eastAsia="IRNazanin" w:cs="IRNazanin"/>
            <w:color w:val="111111"/>
            <w:sz w:val="22"/>
            <w:szCs w:val="22"/>
            <w:b w:val="0"/>
            <w:bCs w:val="0"/>
            <w:i w:val="0"/>
            <w:iCs w:val="0"/>
          </w:rPr>
          <w:t>•تاریخ بیست و شش سال (ترجمه) / تاریخ / فارسی حکومت الکساندر دویم</w:t>
        </w:r>
        <w:r>
          <w:tab/>
        </w:r>
        <w:r>
          <w:fldChar w:fldCharType="begin"/>
        </w:r>
        <w:r>
          <w:instrText xml:space="preserve">PAGEREF 1382 \h</w:instrText>
        </w:r>
        <w:r>
          <w:fldChar w:fldCharType="end"/>
        </w:r>
      </w:hyperlink>
    </w:p>
    <w:p>
      <w:pPr>
        <w:tabs>
          <w:tab w:val="right" w:leader="dot" w:pos="9062"/>
        </w:tabs>
        <w:ind w:left="440"/>
      </w:pPr>
      <w:hyperlink w:anchor="_Toc1383" w:history="1">
        <w:r>
          <w:rPr>
            <w:rFonts w:ascii="IRNazanin" w:hAnsi="IRNazanin" w:eastAsia="IRNazanin" w:cs="IRNazanin"/>
            <w:color w:val="111111"/>
            <w:sz w:val="22"/>
            <w:szCs w:val="22"/>
            <w:b w:val="0"/>
            <w:bCs w:val="0"/>
            <w:i w:val="0"/>
            <w:iCs w:val="0"/>
          </w:rPr>
          <w:t>•تاریخ بیهق / تاریخ ایران / فارسی</w:t>
        </w:r>
        <w:r>
          <w:tab/>
        </w:r>
        <w:r>
          <w:fldChar w:fldCharType="begin"/>
        </w:r>
        <w:r>
          <w:instrText xml:space="preserve">PAGEREF 1383 \h</w:instrText>
        </w:r>
        <w:r>
          <w:fldChar w:fldCharType="end"/>
        </w:r>
      </w:hyperlink>
    </w:p>
    <w:p>
      <w:pPr>
        <w:tabs>
          <w:tab w:val="right" w:leader="dot" w:pos="9062"/>
        </w:tabs>
        <w:ind w:left="440"/>
      </w:pPr>
      <w:hyperlink w:anchor="_Toc1384" w:history="1">
        <w:r>
          <w:rPr>
            <w:rFonts w:ascii="IRNazanin" w:hAnsi="IRNazanin" w:eastAsia="IRNazanin" w:cs="IRNazanin"/>
            <w:color w:val="111111"/>
            <w:sz w:val="22"/>
            <w:szCs w:val="22"/>
            <w:b w:val="0"/>
            <w:bCs w:val="0"/>
            <w:i w:val="0"/>
            <w:iCs w:val="0"/>
          </w:rPr>
          <w:t>• تاریخ بیهقی = تاریخ ناصری = تاریخ آل سبکتکین =تاریخ مسعودی / تاریخ ایران / فارسی</w:t>
        </w:r>
        <w:r>
          <w:tab/>
        </w:r>
        <w:r>
          <w:fldChar w:fldCharType="begin"/>
        </w:r>
        <w:r>
          <w:instrText xml:space="preserve">PAGEREF 1384 \h</w:instrText>
        </w:r>
        <w:r>
          <w:fldChar w:fldCharType="end"/>
        </w:r>
      </w:hyperlink>
    </w:p>
    <w:p>
      <w:pPr>
        <w:tabs>
          <w:tab w:val="right" w:leader="dot" w:pos="9062"/>
        </w:tabs>
        <w:ind w:left="440"/>
      </w:pPr>
      <w:hyperlink w:anchor="_Toc1385" w:history="1">
        <w:r>
          <w:rPr>
            <w:rFonts w:ascii="IRNazanin" w:hAnsi="IRNazanin" w:eastAsia="IRNazanin" w:cs="IRNazanin"/>
            <w:color w:val="111111"/>
            <w:sz w:val="22"/>
            <w:szCs w:val="22"/>
            <w:b w:val="0"/>
            <w:bCs w:val="0"/>
            <w:i w:val="0"/>
            <w:iCs w:val="0"/>
          </w:rPr>
          <w:t>•تاریخ پادشاهان = تقویم تاریخ / تاریخ ایران / فارسی</w:t>
        </w:r>
        <w:r>
          <w:tab/>
        </w:r>
        <w:r>
          <w:fldChar w:fldCharType="begin"/>
        </w:r>
        <w:r>
          <w:instrText xml:space="preserve">PAGEREF 1385 \h</w:instrText>
        </w:r>
        <w:r>
          <w:fldChar w:fldCharType="end"/>
        </w:r>
      </w:hyperlink>
    </w:p>
    <w:p>
      <w:pPr>
        <w:tabs>
          <w:tab w:val="right" w:leader="dot" w:pos="9062"/>
        </w:tabs>
        <w:ind w:left="440"/>
      </w:pPr>
      <w:hyperlink w:anchor="_Toc1386" w:history="1">
        <w:r>
          <w:rPr>
            <w:rFonts w:ascii="IRNazanin" w:hAnsi="IRNazanin" w:eastAsia="IRNazanin" w:cs="IRNazanin"/>
            <w:color w:val="111111"/>
            <w:sz w:val="22"/>
            <w:szCs w:val="22"/>
            <w:b w:val="0"/>
            <w:bCs w:val="0"/>
            <w:i w:val="0"/>
            <w:iCs w:val="0"/>
          </w:rPr>
          <w:t>•تاریخ پادشاهان انگلستان / تاریخ پادشاهان / فارسی</w:t>
        </w:r>
        <w:r>
          <w:tab/>
        </w:r>
        <w:r>
          <w:fldChar w:fldCharType="begin"/>
        </w:r>
        <w:r>
          <w:instrText xml:space="preserve">PAGEREF 1386 \h</w:instrText>
        </w:r>
        <w:r>
          <w:fldChar w:fldCharType="end"/>
        </w:r>
      </w:hyperlink>
    </w:p>
    <w:p>
      <w:pPr>
        <w:tabs>
          <w:tab w:val="right" w:leader="dot" w:pos="9062"/>
        </w:tabs>
        <w:ind w:left="440"/>
      </w:pPr>
      <w:hyperlink w:anchor="_Toc1387" w:history="1">
        <w:r>
          <w:rPr>
            <w:rFonts w:ascii="IRNazanin" w:hAnsi="IRNazanin" w:eastAsia="IRNazanin" w:cs="IRNazanin"/>
            <w:color w:val="111111"/>
            <w:sz w:val="22"/>
            <w:szCs w:val="22"/>
            <w:b w:val="0"/>
            <w:bCs w:val="0"/>
            <w:i w:val="0"/>
            <w:iCs w:val="0"/>
          </w:rPr>
          <w:t>• تاریخ پادشاهان ایران = تاریخ ایران = خلاصة التواریخ / تاریخ ایران / فارسی</w:t>
        </w:r>
        <w:r>
          <w:tab/>
        </w:r>
        <w:r>
          <w:fldChar w:fldCharType="begin"/>
        </w:r>
        <w:r>
          <w:instrText xml:space="preserve">PAGEREF 1387 \h</w:instrText>
        </w:r>
        <w:r>
          <w:fldChar w:fldCharType="end"/>
        </w:r>
      </w:hyperlink>
    </w:p>
    <w:p>
      <w:pPr>
        <w:tabs>
          <w:tab w:val="right" w:leader="dot" w:pos="9062"/>
        </w:tabs>
        <w:ind w:left="440"/>
      </w:pPr>
      <w:hyperlink w:anchor="_Toc1388" w:history="1">
        <w:r>
          <w:rPr>
            <w:rFonts w:ascii="IRNazanin" w:hAnsi="IRNazanin" w:eastAsia="IRNazanin" w:cs="IRNazanin"/>
            <w:color w:val="111111"/>
            <w:sz w:val="22"/>
            <w:szCs w:val="22"/>
            <w:b w:val="0"/>
            <w:bCs w:val="0"/>
            <w:i w:val="0"/>
            <w:iCs w:val="0"/>
          </w:rPr>
          <w:t>•تاریخ پادشاهان ایران / تاریخ ایران / فارسی</w:t>
        </w:r>
        <w:r>
          <w:tab/>
        </w:r>
        <w:r>
          <w:fldChar w:fldCharType="begin"/>
        </w:r>
        <w:r>
          <w:instrText xml:space="preserve">PAGEREF 1388 \h</w:instrText>
        </w:r>
        <w:r>
          <w:fldChar w:fldCharType="end"/>
        </w:r>
      </w:hyperlink>
    </w:p>
    <w:p>
      <w:pPr>
        <w:tabs>
          <w:tab w:val="right" w:leader="dot" w:pos="9062"/>
        </w:tabs>
        <w:ind w:left="440"/>
      </w:pPr>
      <w:hyperlink w:anchor="_Toc1389" w:history="1">
        <w:r>
          <w:rPr>
            <w:rFonts w:ascii="IRNazanin" w:hAnsi="IRNazanin" w:eastAsia="IRNazanin" w:cs="IRNazanin"/>
            <w:color w:val="111111"/>
            <w:sz w:val="22"/>
            <w:szCs w:val="22"/>
            <w:b w:val="0"/>
            <w:bCs w:val="0"/>
            <w:i w:val="0"/>
            <w:iCs w:val="0"/>
          </w:rPr>
          <w:t>• تاریخ پادشاهان عجم = مجمل التواریخ / تاریخ ایران/فارسی</w:t>
        </w:r>
        <w:r>
          <w:tab/>
        </w:r>
        <w:r>
          <w:fldChar w:fldCharType="begin"/>
        </w:r>
        <w:r>
          <w:instrText xml:space="preserve">PAGEREF 1389 \h</w:instrText>
        </w:r>
        <w:r>
          <w:fldChar w:fldCharType="end"/>
        </w:r>
      </w:hyperlink>
    </w:p>
    <w:p>
      <w:pPr>
        <w:tabs>
          <w:tab w:val="right" w:leader="dot" w:pos="9062"/>
        </w:tabs>
        <w:ind w:left="440"/>
      </w:pPr>
      <w:hyperlink w:anchor="_Toc1390" w:history="1">
        <w:r>
          <w:rPr>
            <w:rFonts w:ascii="IRNazanin" w:hAnsi="IRNazanin" w:eastAsia="IRNazanin" w:cs="IRNazanin"/>
            <w:color w:val="111111"/>
            <w:sz w:val="22"/>
            <w:szCs w:val="22"/>
            <w:b w:val="0"/>
            <w:bCs w:val="0"/>
            <w:i w:val="0"/>
            <w:iCs w:val="0"/>
          </w:rPr>
          <w:t>•تاریخ پادشاهان عجم / تاریخ ایران / فارسی</w:t>
        </w:r>
        <w:r>
          <w:tab/>
        </w:r>
        <w:r>
          <w:fldChar w:fldCharType="begin"/>
        </w:r>
        <w:r>
          <w:instrText xml:space="preserve">PAGEREF 1390 \h</w:instrText>
        </w:r>
        <w:r>
          <w:fldChar w:fldCharType="end"/>
        </w:r>
      </w:hyperlink>
    </w:p>
    <w:p>
      <w:pPr>
        <w:tabs>
          <w:tab w:val="right" w:leader="dot" w:pos="9062"/>
        </w:tabs>
        <w:ind w:left="440"/>
      </w:pPr>
      <w:hyperlink w:anchor="_Toc1391" w:history="1">
        <w:r>
          <w:rPr>
            <w:rFonts w:ascii="IRNazanin" w:hAnsi="IRNazanin" w:eastAsia="IRNazanin" w:cs="IRNazanin"/>
            <w:color w:val="111111"/>
            <w:sz w:val="22"/>
            <w:szCs w:val="22"/>
            <w:b w:val="0"/>
            <w:bCs w:val="0"/>
            <w:i w:val="0"/>
            <w:iCs w:val="0"/>
          </w:rPr>
          <w:t>• تاریخ پادشاهان عجم به سیاق / تاریخ ایران / فارسی</w:t>
        </w:r>
        <w:r>
          <w:tab/>
        </w:r>
        <w:r>
          <w:fldChar w:fldCharType="begin"/>
        </w:r>
        <w:r>
          <w:instrText xml:space="preserve">PAGEREF 1391 \h</w:instrText>
        </w:r>
        <w:r>
          <w:fldChar w:fldCharType="end"/>
        </w:r>
      </w:hyperlink>
    </w:p>
    <w:p>
      <w:pPr>
        <w:tabs>
          <w:tab w:val="right" w:leader="dot" w:pos="9062"/>
        </w:tabs>
        <w:ind w:left="440"/>
      </w:pPr>
      <w:hyperlink w:anchor="_Toc1392" w:history="1">
        <w:r>
          <w:rPr>
            <w:rFonts w:ascii="IRNazanin" w:hAnsi="IRNazanin" w:eastAsia="IRNazanin" w:cs="IRNazanin"/>
            <w:color w:val="111111"/>
            <w:sz w:val="22"/>
            <w:szCs w:val="22"/>
            <w:b w:val="0"/>
            <w:bCs w:val="0"/>
            <w:i w:val="0"/>
            <w:iCs w:val="0"/>
          </w:rPr>
          <w:t>•تاریخ پادشاهان عجم (مختصر) / تاریخ ایران / فارسی</w:t>
        </w:r>
        <w:r>
          <w:tab/>
        </w:r>
        <w:r>
          <w:fldChar w:fldCharType="begin"/>
        </w:r>
        <w:r>
          <w:instrText xml:space="preserve">PAGEREF 1392 \h</w:instrText>
        </w:r>
        <w:r>
          <w:fldChar w:fldCharType="end"/>
        </w:r>
      </w:hyperlink>
    </w:p>
    <w:p>
      <w:pPr>
        <w:tabs>
          <w:tab w:val="right" w:leader="dot" w:pos="9062"/>
        </w:tabs>
        <w:ind w:left="440"/>
      </w:pPr>
      <w:hyperlink w:anchor="_Toc1393" w:history="1">
        <w:r>
          <w:rPr>
            <w:rFonts w:ascii="IRNazanin" w:hAnsi="IRNazanin" w:eastAsia="IRNazanin" w:cs="IRNazanin"/>
            <w:color w:val="111111"/>
            <w:sz w:val="22"/>
            <w:szCs w:val="22"/>
            <w:b w:val="0"/>
            <w:bCs w:val="0"/>
            <w:i w:val="0"/>
            <w:iCs w:val="0"/>
          </w:rPr>
          <w:t>• تاریخ پادشاهان و امراء / تاریخ / فارسی</w:t>
        </w:r>
        <w:r>
          <w:tab/>
        </w:r>
        <w:r>
          <w:fldChar w:fldCharType="begin"/>
        </w:r>
        <w:r>
          <w:instrText xml:space="preserve">PAGEREF 1393 \h</w:instrText>
        </w:r>
        <w:r>
          <w:fldChar w:fldCharType="end"/>
        </w:r>
      </w:hyperlink>
    </w:p>
    <w:p>
      <w:pPr>
        <w:tabs>
          <w:tab w:val="right" w:leader="dot" w:pos="9062"/>
        </w:tabs>
        <w:ind w:left="440"/>
      </w:pPr>
      <w:hyperlink w:anchor="_Toc1394" w:history="1">
        <w:r>
          <w:rPr>
            <w:rFonts w:ascii="IRNazanin" w:hAnsi="IRNazanin" w:eastAsia="IRNazanin" w:cs="IRNazanin"/>
            <w:color w:val="111111"/>
            <w:sz w:val="22"/>
            <w:szCs w:val="22"/>
            <w:b w:val="0"/>
            <w:bCs w:val="0"/>
            <w:i w:val="0"/>
            <w:iCs w:val="0"/>
          </w:rPr>
          <w:t>•تاریخ پادشاهی طهماسب یکم / تاریخ پادشاهان / فارسی</w:t>
        </w:r>
        <w:r>
          <w:tab/>
        </w:r>
        <w:r>
          <w:fldChar w:fldCharType="begin"/>
        </w:r>
        <w:r>
          <w:instrText xml:space="preserve">PAGEREF 1394 \h</w:instrText>
        </w:r>
        <w:r>
          <w:fldChar w:fldCharType="end"/>
        </w:r>
      </w:hyperlink>
    </w:p>
    <w:p>
      <w:pPr>
        <w:tabs>
          <w:tab w:val="right" w:leader="dot" w:pos="9062"/>
        </w:tabs>
        <w:ind w:left="440"/>
      </w:pPr>
      <w:hyperlink w:anchor="_Toc1395" w:history="1">
        <w:r>
          <w:rPr>
            <w:rFonts w:ascii="IRNazanin" w:hAnsi="IRNazanin" w:eastAsia="IRNazanin" w:cs="IRNazanin"/>
            <w:color w:val="111111"/>
            <w:sz w:val="22"/>
            <w:szCs w:val="22"/>
            <w:b w:val="0"/>
            <w:bCs w:val="0"/>
            <w:i w:val="0"/>
            <w:iCs w:val="0"/>
          </w:rPr>
          <w:t>• تاریخ پچوی / تاریخ / ترکی</w:t>
        </w:r>
        <w:r>
          <w:tab/>
        </w:r>
        <w:r>
          <w:fldChar w:fldCharType="begin"/>
        </w:r>
        <w:r>
          <w:instrText xml:space="preserve">PAGEREF 1395 \h</w:instrText>
        </w:r>
        <w:r>
          <w:fldChar w:fldCharType="end"/>
        </w:r>
      </w:hyperlink>
    </w:p>
    <w:p>
      <w:pPr>
        <w:tabs>
          <w:tab w:val="right" w:leader="dot" w:pos="9062"/>
        </w:tabs>
        <w:ind w:left="440"/>
      </w:pPr>
      <w:hyperlink w:anchor="_Toc1396" w:history="1">
        <w:r>
          <w:rPr>
            <w:rFonts w:ascii="IRNazanin" w:hAnsi="IRNazanin" w:eastAsia="IRNazanin" w:cs="IRNazanin"/>
            <w:color w:val="111111"/>
            <w:sz w:val="22"/>
            <w:szCs w:val="22"/>
            <w:b w:val="0"/>
            <w:bCs w:val="0"/>
            <w:i w:val="0"/>
            <w:iCs w:val="0"/>
          </w:rPr>
          <w:t>•تاریخ پرتقال / تاریخ جهان / فارسی</w:t>
        </w:r>
        <w:r>
          <w:tab/>
        </w:r>
        <w:r>
          <w:fldChar w:fldCharType="begin"/>
        </w:r>
        <w:r>
          <w:instrText xml:space="preserve">PAGEREF 1396 \h</w:instrText>
        </w:r>
        <w:r>
          <w:fldChar w:fldCharType="end"/>
        </w:r>
      </w:hyperlink>
    </w:p>
    <w:p>
      <w:pPr>
        <w:tabs>
          <w:tab w:val="right" w:leader="dot" w:pos="9062"/>
        </w:tabs>
        <w:ind w:left="440"/>
      </w:pPr>
      <w:hyperlink w:anchor="_Toc1397" w:history="1">
        <w:r>
          <w:rPr>
            <w:rFonts w:ascii="IRNazanin" w:hAnsi="IRNazanin" w:eastAsia="IRNazanin" w:cs="IRNazanin"/>
            <w:color w:val="111111"/>
            <w:sz w:val="22"/>
            <w:szCs w:val="22"/>
            <w:b w:val="0"/>
            <w:bCs w:val="0"/>
            <w:i w:val="0"/>
            <w:iCs w:val="0"/>
          </w:rPr>
          <w:t>•تاریخ پرتقال (ترجمه) / تاریخ جهان / فارسی</w:t>
        </w:r>
        <w:r>
          <w:tab/>
        </w:r>
        <w:r>
          <w:fldChar w:fldCharType="begin"/>
        </w:r>
        <w:r>
          <w:instrText xml:space="preserve">PAGEREF 1397 \h</w:instrText>
        </w:r>
        <w:r>
          <w:fldChar w:fldCharType="end"/>
        </w:r>
      </w:hyperlink>
    </w:p>
    <w:p>
      <w:pPr>
        <w:tabs>
          <w:tab w:val="right" w:leader="dot" w:pos="9062"/>
        </w:tabs>
        <w:ind w:left="440"/>
      </w:pPr>
      <w:hyperlink w:anchor="_Toc1398" w:history="1">
        <w:r>
          <w:rPr>
            <w:rFonts w:ascii="IRNazanin" w:hAnsi="IRNazanin" w:eastAsia="IRNazanin" w:cs="IRNazanin"/>
            <w:color w:val="111111"/>
            <w:sz w:val="22"/>
            <w:szCs w:val="22"/>
            <w:b w:val="0"/>
            <w:bCs w:val="0"/>
            <w:i w:val="0"/>
            <w:iCs w:val="0"/>
          </w:rPr>
          <w:t>• تاریخ پسندیده / تاریخ ایران / فارسی</w:t>
        </w:r>
        <w:r>
          <w:tab/>
        </w:r>
        <w:r>
          <w:fldChar w:fldCharType="begin"/>
        </w:r>
        <w:r>
          <w:instrText xml:space="preserve">PAGEREF 1398 \h</w:instrText>
        </w:r>
        <w:r>
          <w:fldChar w:fldCharType="end"/>
        </w:r>
      </w:hyperlink>
    </w:p>
    <w:p>
      <w:pPr>
        <w:tabs>
          <w:tab w:val="right" w:leader="dot" w:pos="9062"/>
        </w:tabs>
        <w:ind w:left="440"/>
      </w:pPr>
      <w:hyperlink w:anchor="_Toc1399" w:history="1">
        <w:r>
          <w:rPr>
            <w:rFonts w:ascii="IRNazanin" w:hAnsi="IRNazanin" w:eastAsia="IRNazanin" w:cs="IRNazanin"/>
            <w:color w:val="111111"/>
            <w:sz w:val="22"/>
            <w:szCs w:val="22"/>
            <w:b w:val="0"/>
            <w:bCs w:val="0"/>
            <w:i w:val="0"/>
            <w:iCs w:val="0"/>
          </w:rPr>
          <w:t>• تاریخ پطر کبیر / تاریخ / فارسی</w:t>
        </w:r>
        <w:r>
          <w:tab/>
        </w:r>
        <w:r>
          <w:fldChar w:fldCharType="begin"/>
        </w:r>
        <w:r>
          <w:instrText xml:space="preserve">PAGEREF 1399 \h</w:instrText>
        </w:r>
        <w:r>
          <w:fldChar w:fldCharType="end"/>
        </w:r>
      </w:hyperlink>
    </w:p>
    <w:p>
      <w:pPr>
        <w:tabs>
          <w:tab w:val="right" w:leader="dot" w:pos="9062"/>
        </w:tabs>
        <w:ind w:left="440"/>
      </w:pPr>
      <w:hyperlink w:anchor="_Toc1400" w:history="1">
        <w:r>
          <w:rPr>
            <w:rFonts w:ascii="IRNazanin" w:hAnsi="IRNazanin" w:eastAsia="IRNazanin" w:cs="IRNazanin"/>
            <w:color w:val="111111"/>
            <w:sz w:val="22"/>
            <w:szCs w:val="22"/>
            <w:b w:val="0"/>
            <w:bCs w:val="0"/>
            <w:i w:val="0"/>
            <w:iCs w:val="0"/>
          </w:rPr>
          <w:t>•تاریخ پطر کبیر / تاریخ / فارسی</w:t>
        </w:r>
        <w:r>
          <w:tab/>
        </w:r>
        <w:r>
          <w:fldChar w:fldCharType="begin"/>
        </w:r>
        <w:r>
          <w:instrText xml:space="preserve">PAGEREF 1400 \h</w:instrText>
        </w:r>
        <w:r>
          <w:fldChar w:fldCharType="end"/>
        </w:r>
      </w:hyperlink>
    </w:p>
    <w:p>
      <w:pPr>
        <w:tabs>
          <w:tab w:val="right" w:leader="dot" w:pos="9062"/>
        </w:tabs>
        <w:ind w:left="440"/>
      </w:pPr>
      <w:hyperlink w:anchor="_Toc1401" w:history="1">
        <w:r>
          <w:rPr>
            <w:rFonts w:ascii="IRNazanin" w:hAnsi="IRNazanin" w:eastAsia="IRNazanin" w:cs="IRNazanin"/>
            <w:color w:val="111111"/>
            <w:sz w:val="22"/>
            <w:szCs w:val="22"/>
            <w:b w:val="0"/>
            <w:bCs w:val="0"/>
            <w:i w:val="0"/>
            <w:iCs w:val="0"/>
          </w:rPr>
          <w:t>•تاریخ پنج سلطان عثمانی / تاریخ / فارسی</w:t>
        </w:r>
        <w:r>
          <w:tab/>
        </w:r>
        <w:r>
          <w:fldChar w:fldCharType="begin"/>
        </w:r>
        <w:r>
          <w:instrText xml:space="preserve">PAGEREF 1401 \h</w:instrText>
        </w:r>
        <w:r>
          <w:fldChar w:fldCharType="end"/>
        </w:r>
      </w:hyperlink>
    </w:p>
    <w:p>
      <w:pPr>
        <w:tabs>
          <w:tab w:val="right" w:leader="dot" w:pos="9062"/>
        </w:tabs>
        <w:ind w:left="440"/>
      </w:pPr>
      <w:hyperlink w:anchor="_Toc1402" w:history="1">
        <w:r>
          <w:rPr>
            <w:rFonts w:ascii="IRNazanin" w:hAnsi="IRNazanin" w:eastAsia="IRNazanin" w:cs="IRNazanin"/>
            <w:color w:val="111111"/>
            <w:sz w:val="22"/>
            <w:szCs w:val="22"/>
            <w:b w:val="0"/>
            <w:bCs w:val="0"/>
            <w:i w:val="0"/>
            <w:iCs w:val="0"/>
          </w:rPr>
          <w:t>•تاریخ پیامبر (صلی الله علیه وآله وسلم) / تاریخ پیامبر اکرم (صلی الله علیه وآله وسلم) / عربی</w:t>
        </w:r>
        <w:r>
          <w:tab/>
        </w:r>
        <w:r>
          <w:fldChar w:fldCharType="begin"/>
        </w:r>
        <w:r>
          <w:instrText xml:space="preserve">PAGEREF 1402 \h</w:instrText>
        </w:r>
        <w:r>
          <w:fldChar w:fldCharType="end"/>
        </w:r>
      </w:hyperlink>
    </w:p>
    <w:p>
      <w:pPr>
        <w:tabs>
          <w:tab w:val="right" w:leader="dot" w:pos="9062"/>
        </w:tabs>
        <w:ind w:left="440"/>
      </w:pPr>
      <w:hyperlink w:anchor="_Toc1403" w:history="1">
        <w:r>
          <w:rPr>
            <w:rFonts w:ascii="IRNazanin" w:hAnsi="IRNazanin" w:eastAsia="IRNazanin" w:cs="IRNazanin"/>
            <w:color w:val="111111"/>
            <w:sz w:val="22"/>
            <w:szCs w:val="22"/>
            <w:b w:val="0"/>
            <w:bCs w:val="0"/>
            <w:i w:val="0"/>
            <w:iCs w:val="0"/>
          </w:rPr>
          <w:t>•تاریخ پیامبر (صلی الله علیه وآله وسلم) = سيرة المصطفى / تاریخ پیامبر اکرم (صلی الله علیه وآله وسلم) / فارسی</w:t>
        </w:r>
        <w:r>
          <w:tab/>
        </w:r>
        <w:r>
          <w:fldChar w:fldCharType="begin"/>
        </w:r>
        <w:r>
          <w:instrText xml:space="preserve">PAGEREF 1403 \h</w:instrText>
        </w:r>
        <w:r>
          <w:fldChar w:fldCharType="end"/>
        </w:r>
      </w:hyperlink>
    </w:p>
    <w:p>
      <w:pPr>
        <w:tabs>
          <w:tab w:val="right" w:leader="dot" w:pos="9062"/>
        </w:tabs>
        <w:ind w:left="440"/>
      </w:pPr>
      <w:hyperlink w:anchor="_Toc1404" w:history="1">
        <w:r>
          <w:rPr>
            <w:rFonts w:ascii="IRNazanin" w:hAnsi="IRNazanin" w:eastAsia="IRNazanin" w:cs="IRNazanin"/>
            <w:color w:val="111111"/>
            <w:sz w:val="22"/>
            <w:szCs w:val="22"/>
            <w:b w:val="0"/>
            <w:bCs w:val="0"/>
            <w:i w:val="0"/>
            <w:iCs w:val="0"/>
          </w:rPr>
          <w:t>•تاریخ پیامبر (صلی الله علیه وآله وسلم) / تاریخ پیامبران / فارسی</w:t>
        </w:r>
        <w:r>
          <w:tab/>
        </w:r>
        <w:r>
          <w:fldChar w:fldCharType="begin"/>
        </w:r>
        <w:r>
          <w:instrText xml:space="preserve">PAGEREF 1404 \h</w:instrText>
        </w:r>
        <w:r>
          <w:fldChar w:fldCharType="end"/>
        </w:r>
      </w:hyperlink>
    </w:p>
    <w:p>
      <w:pPr>
        <w:tabs>
          <w:tab w:val="right" w:leader="dot" w:pos="9062"/>
        </w:tabs>
        <w:ind w:left="440"/>
      </w:pPr>
      <w:hyperlink w:anchor="_Toc1405" w:history="1">
        <w:r>
          <w:rPr>
            <w:rFonts w:ascii="IRNazanin" w:hAnsi="IRNazanin" w:eastAsia="IRNazanin" w:cs="IRNazanin"/>
            <w:color w:val="111111"/>
            <w:sz w:val="22"/>
            <w:szCs w:val="22"/>
            <w:b w:val="0"/>
            <w:bCs w:val="0"/>
            <w:i w:val="0"/>
            <w:iCs w:val="0"/>
          </w:rPr>
          <w:t>•تاریخ پیامبر(صلی الله علیه وآله وسلم)/ تاریخ پیامبر اکرم(صلی الله علیه وآله وسلم)/ فارسی</w:t>
        </w:r>
        <w:r>
          <w:tab/>
        </w:r>
        <w:r>
          <w:fldChar w:fldCharType="begin"/>
        </w:r>
        <w:r>
          <w:instrText xml:space="preserve">PAGEREF 1405 \h</w:instrText>
        </w:r>
        <w:r>
          <w:fldChar w:fldCharType="end"/>
        </w:r>
      </w:hyperlink>
    </w:p>
    <w:p>
      <w:pPr>
        <w:tabs>
          <w:tab w:val="right" w:leader="dot" w:pos="9062"/>
        </w:tabs>
        <w:ind w:left="440"/>
      </w:pPr>
      <w:hyperlink w:anchor="_Toc1406" w:history="1">
        <w:r>
          <w:rPr>
            <w:rFonts w:ascii="IRNazanin" w:hAnsi="IRNazanin" w:eastAsia="IRNazanin" w:cs="IRNazanin"/>
            <w:color w:val="111111"/>
            <w:sz w:val="22"/>
            <w:szCs w:val="22"/>
            <w:b w:val="0"/>
            <w:bCs w:val="0"/>
            <w:i w:val="0"/>
            <w:iCs w:val="0"/>
          </w:rPr>
          <w:t>• تاریخ پیامبر و ائمه (علیه السلام) / تاریخ معصومین / فارسی</w:t>
        </w:r>
        <w:r>
          <w:tab/>
        </w:r>
        <w:r>
          <w:fldChar w:fldCharType="begin"/>
        </w:r>
        <w:r>
          <w:instrText xml:space="preserve">PAGEREF 1406 \h</w:instrText>
        </w:r>
        <w:r>
          <w:fldChar w:fldCharType="end"/>
        </w:r>
      </w:hyperlink>
    </w:p>
    <w:p>
      <w:pPr>
        <w:tabs>
          <w:tab w:val="right" w:leader="dot" w:pos="9062"/>
        </w:tabs>
        <w:ind w:left="440"/>
      </w:pPr>
      <w:hyperlink w:anchor="_Toc1407" w:history="1">
        <w:r>
          <w:rPr>
            <w:rFonts w:ascii="IRNazanin" w:hAnsi="IRNazanin" w:eastAsia="IRNazanin" w:cs="IRNazanin"/>
            <w:color w:val="111111"/>
            <w:sz w:val="22"/>
            <w:szCs w:val="22"/>
            <w:b w:val="0"/>
            <w:bCs w:val="0"/>
            <w:i w:val="0"/>
            <w:iCs w:val="0"/>
          </w:rPr>
          <w:t>•تاریخ پیامبران و اسلام / تاریخ پیامبران / فارسی</w:t>
        </w:r>
        <w:r>
          <w:tab/>
        </w:r>
        <w:r>
          <w:fldChar w:fldCharType="begin"/>
        </w:r>
        <w:r>
          <w:instrText xml:space="preserve">PAGEREF 1407 \h</w:instrText>
        </w:r>
        <w:r>
          <w:fldChar w:fldCharType="end"/>
        </w:r>
      </w:hyperlink>
    </w:p>
    <w:p>
      <w:pPr>
        <w:tabs>
          <w:tab w:val="right" w:leader="dot" w:pos="9062"/>
        </w:tabs>
        <w:ind w:left="440"/>
      </w:pPr>
      <w:hyperlink w:anchor="_Toc1408" w:history="1">
        <w:r>
          <w:rPr>
            <w:rFonts w:ascii="IRNazanin" w:hAnsi="IRNazanin" w:eastAsia="IRNazanin" w:cs="IRNazanin"/>
            <w:color w:val="111111"/>
            <w:sz w:val="22"/>
            <w:szCs w:val="22"/>
            <w:b w:val="0"/>
            <w:bCs w:val="0"/>
            <w:i w:val="0"/>
            <w:iCs w:val="0"/>
          </w:rPr>
          <w:t>•تاریخ پیامبران و سلاطین / تاریخ</w:t>
        </w:r>
        <w:r>
          <w:tab/>
        </w:r>
        <w:r>
          <w:fldChar w:fldCharType="begin"/>
        </w:r>
        <w:r>
          <w:instrText xml:space="preserve">PAGEREF 1408 \h</w:instrText>
        </w:r>
        <w:r>
          <w:fldChar w:fldCharType="end"/>
        </w:r>
      </w:hyperlink>
    </w:p>
    <w:p>
      <w:pPr>
        <w:tabs>
          <w:tab w:val="right" w:leader="dot" w:pos="9062"/>
        </w:tabs>
        <w:ind w:left="440"/>
      </w:pPr>
      <w:hyperlink w:anchor="_Toc1409" w:history="1">
        <w:r>
          <w:rPr>
            <w:rFonts w:ascii="IRNazanin" w:hAnsi="IRNazanin" w:eastAsia="IRNazanin" w:cs="IRNazanin"/>
            <w:color w:val="111111"/>
            <w:sz w:val="22"/>
            <w:szCs w:val="22"/>
            <w:b w:val="0"/>
            <w:bCs w:val="0"/>
            <w:i w:val="0"/>
            <w:iCs w:val="0"/>
          </w:rPr>
          <w:t>•تاریخ پیدا شدن سیب زمینی / تاریخ / فارسی</w:t>
        </w:r>
        <w:r>
          <w:tab/>
        </w:r>
        <w:r>
          <w:fldChar w:fldCharType="begin"/>
        </w:r>
        <w:r>
          <w:instrText xml:space="preserve">PAGEREF 1409 \h</w:instrText>
        </w:r>
        <w:r>
          <w:fldChar w:fldCharType="end"/>
        </w:r>
      </w:hyperlink>
    </w:p>
    <w:p>
      <w:pPr>
        <w:tabs>
          <w:tab w:val="right" w:leader="dot" w:pos="9062"/>
        </w:tabs>
        <w:ind w:left="440"/>
      </w:pPr>
      <w:hyperlink w:anchor="_Toc1410" w:history="1">
        <w:r>
          <w:rPr>
            <w:rFonts w:ascii="IRNazanin" w:hAnsi="IRNazanin" w:eastAsia="IRNazanin" w:cs="IRNazanin"/>
            <w:color w:val="111111"/>
            <w:sz w:val="22"/>
            <w:szCs w:val="22"/>
            <w:b w:val="0"/>
            <w:bCs w:val="0"/>
            <w:i w:val="0"/>
            <w:iCs w:val="0"/>
          </w:rPr>
          <w:t>•تاریخ پیدایش مشروطیت ایران به انقلاب طوس / تاریخ ایران / فارسی</w:t>
        </w:r>
        <w:r>
          <w:tab/>
        </w:r>
        <w:r>
          <w:fldChar w:fldCharType="begin"/>
        </w:r>
        <w:r>
          <w:instrText xml:space="preserve">PAGEREF 1410 \h</w:instrText>
        </w:r>
        <w:r>
          <w:fldChar w:fldCharType="end"/>
        </w:r>
      </w:hyperlink>
    </w:p>
    <w:p>
      <w:pPr>
        <w:tabs>
          <w:tab w:val="right" w:leader="dot" w:pos="9062"/>
        </w:tabs>
        <w:ind w:left="440"/>
      </w:pPr>
      <w:hyperlink w:anchor="_Toc1411" w:history="1">
        <w:r>
          <w:rPr>
            <w:rFonts w:ascii="IRNazanin" w:hAnsi="IRNazanin" w:eastAsia="IRNazanin" w:cs="IRNazanin"/>
            <w:color w:val="111111"/>
            <w:sz w:val="22"/>
            <w:szCs w:val="22"/>
            <w:b w:val="0"/>
            <w:bCs w:val="0"/>
            <w:i w:val="0"/>
            <w:iCs w:val="0"/>
          </w:rPr>
          <w:t>•تاریخ پیش از هبوط آدم (علیه السلام) / تاریخ عمومی / فارسی</w:t>
        </w:r>
        <w:r>
          <w:tab/>
        </w:r>
        <w:r>
          <w:fldChar w:fldCharType="begin"/>
        </w:r>
        <w:r>
          <w:instrText xml:space="preserve">PAGEREF 1411 \h</w:instrText>
        </w:r>
        <w:r>
          <w:fldChar w:fldCharType="end"/>
        </w:r>
      </w:hyperlink>
    </w:p>
    <w:p>
      <w:pPr>
        <w:tabs>
          <w:tab w:val="right" w:leader="dot" w:pos="9062"/>
        </w:tabs>
        <w:ind w:left="440"/>
      </w:pPr>
      <w:hyperlink w:anchor="_Toc1412" w:history="1">
        <w:r>
          <w:rPr>
            <w:rFonts w:ascii="IRNazanin" w:hAnsi="IRNazanin" w:eastAsia="IRNazanin" w:cs="IRNazanin"/>
            <w:color w:val="111111"/>
            <w:sz w:val="22"/>
            <w:szCs w:val="22"/>
            <w:b w:val="0"/>
            <w:bCs w:val="0"/>
            <w:i w:val="0"/>
            <w:iCs w:val="0"/>
          </w:rPr>
          <w:t>• تاريخ تأتر / متفرقه / فارسی</w:t>
        </w:r>
        <w:r>
          <w:tab/>
        </w:r>
        <w:r>
          <w:fldChar w:fldCharType="begin"/>
        </w:r>
        <w:r>
          <w:instrText xml:space="preserve">PAGEREF 1412 \h</w:instrText>
        </w:r>
        <w:r>
          <w:fldChar w:fldCharType="end"/>
        </w:r>
      </w:hyperlink>
    </w:p>
    <w:p>
      <w:pPr>
        <w:tabs>
          <w:tab w:val="right" w:leader="dot" w:pos="9062"/>
        </w:tabs>
        <w:ind w:left="440"/>
      </w:pPr>
      <w:hyperlink w:anchor="_Toc1413" w:history="1">
        <w:r>
          <w:rPr>
            <w:rFonts w:ascii="IRNazanin" w:hAnsi="IRNazanin" w:eastAsia="IRNazanin" w:cs="IRNazanin"/>
            <w:color w:val="111111"/>
            <w:sz w:val="22"/>
            <w:szCs w:val="22"/>
            <w:b w:val="0"/>
            <w:bCs w:val="0"/>
            <w:i w:val="0"/>
            <w:iCs w:val="0"/>
          </w:rPr>
          <w:t>•تاریخ تاج محل / جغرافيا / فارسی</w:t>
        </w:r>
        <w:r>
          <w:tab/>
        </w:r>
        <w:r>
          <w:fldChar w:fldCharType="begin"/>
        </w:r>
        <w:r>
          <w:instrText xml:space="preserve">PAGEREF 1413 \h</w:instrText>
        </w:r>
        <w:r>
          <w:fldChar w:fldCharType="end"/>
        </w:r>
      </w:hyperlink>
    </w:p>
    <w:p>
      <w:pPr>
        <w:tabs>
          <w:tab w:val="right" w:leader="dot" w:pos="9062"/>
        </w:tabs>
        <w:ind w:left="440"/>
      </w:pPr>
      <w:hyperlink w:anchor="_Toc1414" w:history="1">
        <w:r>
          <w:rPr>
            <w:rFonts w:ascii="IRNazanin" w:hAnsi="IRNazanin" w:eastAsia="IRNazanin" w:cs="IRNazanin"/>
            <w:color w:val="111111"/>
            <w:sz w:val="22"/>
            <w:szCs w:val="22"/>
            <w:b w:val="0"/>
            <w:bCs w:val="0"/>
            <w:i w:val="0"/>
            <w:iCs w:val="0"/>
          </w:rPr>
          <w:t>•تاریخ تازی / تاریخ / عربی</w:t>
        </w:r>
        <w:r>
          <w:tab/>
        </w:r>
        <w:r>
          <w:fldChar w:fldCharType="begin"/>
        </w:r>
        <w:r>
          <w:instrText xml:space="preserve">PAGEREF 1414 \h</w:instrText>
        </w:r>
        <w:r>
          <w:fldChar w:fldCharType="end"/>
        </w:r>
      </w:hyperlink>
    </w:p>
    <w:p>
      <w:pPr>
        <w:tabs>
          <w:tab w:val="right" w:leader="dot" w:pos="9062"/>
        </w:tabs>
        <w:ind w:left="440"/>
      </w:pPr>
      <w:hyperlink w:anchor="_Toc1415" w:history="1">
        <w:r>
          <w:rPr>
            <w:rFonts w:ascii="IRNazanin" w:hAnsi="IRNazanin" w:eastAsia="IRNazanin" w:cs="IRNazanin"/>
            <w:color w:val="111111"/>
            <w:sz w:val="22"/>
            <w:szCs w:val="22"/>
            <w:b w:val="0"/>
            <w:bCs w:val="0"/>
            <w:i w:val="0"/>
            <w:iCs w:val="0"/>
          </w:rPr>
          <w:t>•تاریخ تبت = مسافرت نامه / سفرنامه / فارسی</w:t>
        </w:r>
        <w:r>
          <w:tab/>
        </w:r>
        <w:r>
          <w:fldChar w:fldCharType="begin"/>
        </w:r>
        <w:r>
          <w:instrText xml:space="preserve">PAGEREF 1415 \h</w:instrText>
        </w:r>
        <w:r>
          <w:fldChar w:fldCharType="end"/>
        </w:r>
      </w:hyperlink>
    </w:p>
    <w:p>
      <w:pPr>
        <w:tabs>
          <w:tab w:val="right" w:leader="dot" w:pos="9062"/>
        </w:tabs>
        <w:ind w:left="440"/>
      </w:pPr>
      <w:hyperlink w:anchor="_Toc1416" w:history="1">
        <w:r>
          <w:rPr>
            <w:rFonts w:ascii="IRNazanin" w:hAnsi="IRNazanin" w:eastAsia="IRNazanin" w:cs="IRNazanin"/>
            <w:color w:val="111111"/>
            <w:sz w:val="22"/>
            <w:szCs w:val="22"/>
            <w:b w:val="0"/>
            <w:bCs w:val="0"/>
            <w:i w:val="0"/>
            <w:iCs w:val="0"/>
          </w:rPr>
          <w:t>•تاریخ تبریز / تاریخ ایران / فارسی</w:t>
        </w:r>
        <w:r>
          <w:tab/>
        </w:r>
        <w:r>
          <w:fldChar w:fldCharType="begin"/>
        </w:r>
        <w:r>
          <w:instrText xml:space="preserve">PAGEREF 1416 \h</w:instrText>
        </w:r>
        <w:r>
          <w:fldChar w:fldCharType="end"/>
        </w:r>
      </w:hyperlink>
    </w:p>
    <w:p>
      <w:pPr>
        <w:tabs>
          <w:tab w:val="right" w:leader="dot" w:pos="9062"/>
        </w:tabs>
        <w:ind w:left="440"/>
      </w:pPr>
      <w:hyperlink w:anchor="_Toc1417" w:history="1">
        <w:r>
          <w:rPr>
            <w:rFonts w:ascii="IRNazanin" w:hAnsi="IRNazanin" w:eastAsia="IRNazanin" w:cs="IRNazanin"/>
            <w:color w:val="111111"/>
            <w:sz w:val="22"/>
            <w:szCs w:val="22"/>
            <w:b w:val="0"/>
            <w:bCs w:val="0"/>
            <w:i w:val="0"/>
            <w:iCs w:val="0"/>
          </w:rPr>
          <w:t>•تاریخ تبریز / تاریخ ایران / فارسی</w:t>
        </w:r>
        <w:r>
          <w:tab/>
        </w:r>
        <w:r>
          <w:fldChar w:fldCharType="begin"/>
        </w:r>
        <w:r>
          <w:instrText xml:space="preserve">PAGEREF 1417 \h</w:instrText>
        </w:r>
        <w:r>
          <w:fldChar w:fldCharType="end"/>
        </w:r>
      </w:hyperlink>
    </w:p>
    <w:p>
      <w:pPr>
        <w:tabs>
          <w:tab w:val="right" w:leader="dot" w:pos="9062"/>
        </w:tabs>
        <w:ind w:left="440"/>
      </w:pPr>
      <w:hyperlink w:anchor="_Toc1418" w:history="1">
        <w:r>
          <w:rPr>
            <w:rFonts w:ascii="IRNazanin" w:hAnsi="IRNazanin" w:eastAsia="IRNazanin" w:cs="IRNazanin"/>
            <w:color w:val="111111"/>
            <w:sz w:val="22"/>
            <w:szCs w:val="22"/>
            <w:b w:val="0"/>
            <w:bCs w:val="0"/>
            <w:i w:val="0"/>
            <w:iCs w:val="0"/>
          </w:rPr>
          <w:t>•تاریخ تبریز = زلزله های تاریخی تبریز / تاریخ ایران / فارسی</w:t>
        </w:r>
        <w:r>
          <w:tab/>
        </w:r>
        <w:r>
          <w:fldChar w:fldCharType="begin"/>
        </w:r>
        <w:r>
          <w:instrText xml:space="preserve">PAGEREF 1418 \h</w:instrText>
        </w:r>
        <w:r>
          <w:fldChar w:fldCharType="end"/>
        </w:r>
      </w:hyperlink>
    </w:p>
    <w:p>
      <w:pPr>
        <w:tabs>
          <w:tab w:val="right" w:leader="dot" w:pos="9062"/>
        </w:tabs>
        <w:ind w:left="440"/>
      </w:pPr>
      <w:hyperlink w:anchor="_Toc1419" w:history="1">
        <w:r>
          <w:rPr>
            <w:rFonts w:ascii="IRNazanin" w:hAnsi="IRNazanin" w:eastAsia="IRNazanin" w:cs="IRNazanin"/>
            <w:color w:val="111111"/>
            <w:sz w:val="22"/>
            <w:szCs w:val="22"/>
            <w:b w:val="0"/>
            <w:bCs w:val="0"/>
            <w:i w:val="0"/>
            <w:iCs w:val="0"/>
          </w:rPr>
          <w:t>•تاریخ تحولات اقتصادی ایران / اقتصاد / فارسی</w:t>
        </w:r>
        <w:r>
          <w:tab/>
        </w:r>
        <w:r>
          <w:fldChar w:fldCharType="begin"/>
        </w:r>
        <w:r>
          <w:instrText xml:space="preserve">PAGEREF 1419 \h</w:instrText>
        </w:r>
        <w:r>
          <w:fldChar w:fldCharType="end"/>
        </w:r>
      </w:hyperlink>
    </w:p>
    <w:p>
      <w:pPr>
        <w:tabs>
          <w:tab w:val="right" w:leader="dot" w:pos="9062"/>
        </w:tabs>
        <w:ind w:left="440"/>
      </w:pPr>
      <w:hyperlink w:anchor="_Toc1420" w:history="1">
        <w:r>
          <w:rPr>
            <w:rFonts w:ascii="IRNazanin" w:hAnsi="IRNazanin" w:eastAsia="IRNazanin" w:cs="IRNazanin"/>
            <w:color w:val="111111"/>
            <w:sz w:val="22"/>
            <w:szCs w:val="22"/>
            <w:b w:val="0"/>
            <w:bCs w:val="0"/>
            <w:i w:val="0"/>
            <w:iCs w:val="0"/>
          </w:rPr>
          <w:t>•تاریخ ترک / تاریخ / فارسی</w:t>
        </w:r>
        <w:r>
          <w:tab/>
        </w:r>
        <w:r>
          <w:fldChar w:fldCharType="begin"/>
        </w:r>
        <w:r>
          <w:instrText xml:space="preserve">PAGEREF 1420 \h</w:instrText>
        </w:r>
        <w:r>
          <w:fldChar w:fldCharType="end"/>
        </w:r>
      </w:hyperlink>
    </w:p>
    <w:p>
      <w:pPr>
        <w:tabs>
          <w:tab w:val="right" w:leader="dot" w:pos="9062"/>
        </w:tabs>
        <w:ind w:left="440"/>
      </w:pPr>
      <w:hyperlink w:anchor="_Toc1421" w:history="1">
        <w:r>
          <w:rPr>
            <w:rFonts w:ascii="IRNazanin" w:hAnsi="IRNazanin" w:eastAsia="IRNazanin" w:cs="IRNazanin"/>
            <w:color w:val="111111"/>
            <w:sz w:val="22"/>
            <w:szCs w:val="22"/>
            <w:b w:val="0"/>
            <w:bCs w:val="0"/>
            <w:i w:val="0"/>
            <w:iCs w:val="0"/>
          </w:rPr>
          <w:t>• تاریخ ترکستان / تاریخ / فارسی</w:t>
        </w:r>
        <w:r>
          <w:tab/>
        </w:r>
        <w:r>
          <w:fldChar w:fldCharType="begin"/>
        </w:r>
        <w:r>
          <w:instrText xml:space="preserve">PAGEREF 1421 \h</w:instrText>
        </w:r>
        <w:r>
          <w:fldChar w:fldCharType="end"/>
        </w:r>
      </w:hyperlink>
    </w:p>
    <w:p>
      <w:pPr>
        <w:tabs>
          <w:tab w:val="right" w:leader="dot" w:pos="9062"/>
        </w:tabs>
        <w:ind w:left="440"/>
      </w:pPr>
      <w:hyperlink w:anchor="_Toc1422" w:history="1">
        <w:r>
          <w:rPr>
            <w:rFonts w:ascii="IRNazanin" w:hAnsi="IRNazanin" w:eastAsia="IRNazanin" w:cs="IRNazanin"/>
            <w:color w:val="111111"/>
            <w:sz w:val="22"/>
            <w:szCs w:val="22"/>
            <w:b w:val="0"/>
            <w:bCs w:val="0"/>
            <w:i w:val="0"/>
            <w:iCs w:val="0"/>
          </w:rPr>
          <w:t>• تاریخ ترکمانیه / تاریخ ایران / فارسی</w:t>
        </w:r>
        <w:r>
          <w:tab/>
        </w:r>
        <w:r>
          <w:fldChar w:fldCharType="begin"/>
        </w:r>
        <w:r>
          <w:instrText xml:space="preserve">PAGEREF 1422 \h</w:instrText>
        </w:r>
        <w:r>
          <w:fldChar w:fldCharType="end"/>
        </w:r>
      </w:hyperlink>
    </w:p>
    <w:p>
      <w:pPr>
        <w:tabs>
          <w:tab w:val="right" w:leader="dot" w:pos="9062"/>
        </w:tabs>
        <w:ind w:left="440"/>
      </w:pPr>
      <w:hyperlink w:anchor="_Toc1423" w:history="1">
        <w:r>
          <w:rPr>
            <w:rFonts w:ascii="IRNazanin" w:hAnsi="IRNazanin" w:eastAsia="IRNazanin" w:cs="IRNazanin"/>
            <w:color w:val="111111"/>
            <w:sz w:val="22"/>
            <w:szCs w:val="22"/>
            <w:b w:val="0"/>
            <w:bCs w:val="0"/>
            <w:i w:val="0"/>
            <w:iCs w:val="0"/>
          </w:rPr>
          <w:t>• تاریخ ترکی (ترجمه) / تاریخ / فارسی</w:t>
        </w:r>
        <w:r>
          <w:tab/>
        </w:r>
        <w:r>
          <w:fldChar w:fldCharType="begin"/>
        </w:r>
        <w:r>
          <w:instrText xml:space="preserve">PAGEREF 1423 \h</w:instrText>
        </w:r>
        <w:r>
          <w:fldChar w:fldCharType="end"/>
        </w:r>
      </w:hyperlink>
    </w:p>
    <w:p>
      <w:pPr>
        <w:tabs>
          <w:tab w:val="right" w:leader="dot" w:pos="9062"/>
        </w:tabs>
        <w:ind w:left="440"/>
      </w:pPr>
      <w:hyperlink w:anchor="_Toc1424" w:history="1">
        <w:r>
          <w:rPr>
            <w:rFonts w:ascii="IRNazanin" w:hAnsi="IRNazanin" w:eastAsia="IRNazanin" w:cs="IRNazanin"/>
            <w:color w:val="111111"/>
            <w:sz w:val="22"/>
            <w:szCs w:val="22"/>
            <w:b w:val="0"/>
            <w:bCs w:val="0"/>
            <w:i w:val="0"/>
            <w:iCs w:val="0"/>
          </w:rPr>
          <w:t>• تاریخ تمدن / تاریخ / فارسی</w:t>
        </w:r>
        <w:r>
          <w:tab/>
        </w:r>
        <w:r>
          <w:fldChar w:fldCharType="begin"/>
        </w:r>
        <w:r>
          <w:instrText xml:space="preserve">PAGEREF 1424 \h</w:instrText>
        </w:r>
        <w:r>
          <w:fldChar w:fldCharType="end"/>
        </w:r>
      </w:hyperlink>
    </w:p>
    <w:p>
      <w:pPr>
        <w:tabs>
          <w:tab w:val="right" w:leader="dot" w:pos="9062"/>
        </w:tabs>
        <w:ind w:left="440"/>
      </w:pPr>
      <w:hyperlink w:anchor="_Toc1425" w:history="1">
        <w:r>
          <w:rPr>
            <w:rFonts w:ascii="IRNazanin" w:hAnsi="IRNazanin" w:eastAsia="IRNazanin" w:cs="IRNazanin"/>
            <w:color w:val="111111"/>
            <w:sz w:val="22"/>
            <w:szCs w:val="22"/>
            <w:b w:val="0"/>
            <w:bCs w:val="0"/>
            <w:i w:val="0"/>
            <w:iCs w:val="0"/>
          </w:rPr>
          <w:t>•تاریخ تمدن جدید اروپا و ایران / تاریخ / فارسی</w:t>
        </w:r>
        <w:r>
          <w:tab/>
        </w:r>
        <w:r>
          <w:fldChar w:fldCharType="begin"/>
        </w:r>
        <w:r>
          <w:instrText xml:space="preserve">PAGEREF 1425 \h</w:instrText>
        </w:r>
        <w:r>
          <w:fldChar w:fldCharType="end"/>
        </w:r>
      </w:hyperlink>
    </w:p>
    <w:p>
      <w:pPr>
        <w:tabs>
          <w:tab w:val="right" w:leader="dot" w:pos="9062"/>
        </w:tabs>
        <w:ind w:left="440"/>
      </w:pPr>
      <w:hyperlink w:anchor="_Toc1426" w:history="1">
        <w:r>
          <w:rPr>
            <w:rFonts w:ascii="IRNazanin" w:hAnsi="IRNazanin" w:eastAsia="IRNazanin" w:cs="IRNazanin"/>
            <w:color w:val="111111"/>
            <w:sz w:val="22"/>
            <w:szCs w:val="22"/>
            <w:b w:val="0"/>
            <w:bCs w:val="0"/>
            <w:i w:val="0"/>
            <w:iCs w:val="0"/>
          </w:rPr>
          <w:t>•تاریخ تنباکو د تاریخ تحریم تنباکو = تاریخ الدخانیه / تاریخ ایران / فارسی</w:t>
        </w:r>
        <w:r>
          <w:tab/>
        </w:r>
        <w:r>
          <w:fldChar w:fldCharType="begin"/>
        </w:r>
        <w:r>
          <w:instrText xml:space="preserve">PAGEREF 1426 \h</w:instrText>
        </w:r>
        <w:r>
          <w:fldChar w:fldCharType="end"/>
        </w:r>
      </w:hyperlink>
    </w:p>
    <w:p>
      <w:pPr>
        <w:tabs>
          <w:tab w:val="right" w:leader="dot" w:pos="9062"/>
        </w:tabs>
        <w:ind w:left="440"/>
      </w:pPr>
      <w:hyperlink w:anchor="_Toc1427" w:history="1">
        <w:r>
          <w:rPr>
            <w:rFonts w:ascii="IRNazanin" w:hAnsi="IRNazanin" w:eastAsia="IRNazanin" w:cs="IRNazanin"/>
            <w:color w:val="111111"/>
            <w:sz w:val="22"/>
            <w:szCs w:val="22"/>
            <w:b w:val="0"/>
            <w:bCs w:val="0"/>
            <w:i w:val="0"/>
            <w:iCs w:val="0"/>
          </w:rPr>
          <w:t>•تاریخ تنزل و خرابی دولت روم / تاریخ جهان / فارسی</w:t>
        </w:r>
        <w:r>
          <w:tab/>
        </w:r>
        <w:r>
          <w:fldChar w:fldCharType="begin"/>
        </w:r>
        <w:r>
          <w:instrText xml:space="preserve">PAGEREF 1427 \h</w:instrText>
        </w:r>
        <w:r>
          <w:fldChar w:fldCharType="end"/>
        </w:r>
      </w:hyperlink>
    </w:p>
    <w:p>
      <w:pPr>
        <w:tabs>
          <w:tab w:val="right" w:leader="dot" w:pos="9062"/>
        </w:tabs>
        <w:ind w:left="440"/>
      </w:pPr>
      <w:hyperlink w:anchor="_Toc1428" w:history="1">
        <w:r>
          <w:rPr>
            <w:rFonts w:ascii="IRNazanin" w:hAnsi="IRNazanin" w:eastAsia="IRNazanin" w:cs="IRNazanin"/>
            <w:color w:val="111111"/>
            <w:sz w:val="22"/>
            <w:szCs w:val="22"/>
            <w:b w:val="0"/>
            <w:bCs w:val="0"/>
            <w:i w:val="0"/>
            <w:iCs w:val="0"/>
          </w:rPr>
          <w:t>•تاریخ تولد / تاریخ / فارسی</w:t>
        </w:r>
        <w:r>
          <w:tab/>
        </w:r>
        <w:r>
          <w:fldChar w:fldCharType="begin"/>
        </w:r>
        <w:r>
          <w:instrText xml:space="preserve">PAGEREF 1428 \h</w:instrText>
        </w:r>
        <w:r>
          <w:fldChar w:fldCharType="end"/>
        </w:r>
      </w:hyperlink>
    </w:p>
    <w:p>
      <w:pPr>
        <w:tabs>
          <w:tab w:val="right" w:leader="dot" w:pos="9062"/>
        </w:tabs>
        <w:ind w:left="440"/>
      </w:pPr>
      <w:hyperlink w:anchor="_Toc1429" w:history="1">
        <w:r>
          <w:rPr>
            <w:rFonts w:ascii="IRNazanin" w:hAnsi="IRNazanin" w:eastAsia="IRNazanin" w:cs="IRNazanin"/>
            <w:color w:val="111111"/>
            <w:sz w:val="22"/>
            <w:szCs w:val="22"/>
            <w:b w:val="0"/>
            <w:bCs w:val="0"/>
            <w:i w:val="0"/>
            <w:iCs w:val="0"/>
          </w:rPr>
          <w:t>•تاریخ تولد ام الائمة(عليهم السلام)/ تاریخ / فارسی</w:t>
        </w:r>
        <w:r>
          <w:tab/>
        </w:r>
        <w:r>
          <w:fldChar w:fldCharType="begin"/>
        </w:r>
        <w:r>
          <w:instrText xml:space="preserve">PAGEREF 1429 \h</w:instrText>
        </w:r>
        <w:r>
          <w:fldChar w:fldCharType="end"/>
        </w:r>
      </w:hyperlink>
    </w:p>
    <w:p>
      <w:pPr>
        <w:tabs>
          <w:tab w:val="right" w:leader="dot" w:pos="9062"/>
        </w:tabs>
        <w:ind w:left="440"/>
      </w:pPr>
      <w:hyperlink w:anchor="_Toc1430" w:history="1">
        <w:r>
          <w:rPr>
            <w:rFonts w:ascii="IRNazanin" w:hAnsi="IRNazanin" w:eastAsia="IRNazanin" w:cs="IRNazanin"/>
            <w:color w:val="111111"/>
            <w:sz w:val="22"/>
            <w:szCs w:val="22"/>
            <w:b w:val="0"/>
            <w:bCs w:val="0"/>
            <w:i w:val="0"/>
            <w:iCs w:val="0"/>
          </w:rPr>
          <w:t>•تاریخ تهران / تاریخ ایران / فارسی</w:t>
        </w:r>
        <w:r>
          <w:tab/>
        </w:r>
        <w:r>
          <w:fldChar w:fldCharType="begin"/>
        </w:r>
        <w:r>
          <w:instrText xml:space="preserve">PAGEREF 1430 \h</w:instrText>
        </w:r>
        <w:r>
          <w:fldChar w:fldCharType="end"/>
        </w:r>
      </w:hyperlink>
    </w:p>
    <w:p>
      <w:pPr>
        <w:tabs>
          <w:tab w:val="right" w:leader="dot" w:pos="9062"/>
        </w:tabs>
        <w:ind w:left="440"/>
      </w:pPr>
      <w:hyperlink w:anchor="_Toc1431" w:history="1">
        <w:r>
          <w:rPr>
            <w:rFonts w:ascii="IRNazanin" w:hAnsi="IRNazanin" w:eastAsia="IRNazanin" w:cs="IRNazanin"/>
            <w:color w:val="111111"/>
            <w:sz w:val="22"/>
            <w:szCs w:val="22"/>
            <w:b w:val="0"/>
            <w:bCs w:val="0"/>
            <w:i w:val="0"/>
            <w:iCs w:val="0"/>
          </w:rPr>
          <w:t>• تاریخ تیمور / تاریخ / فارسی</w:t>
        </w:r>
        <w:r>
          <w:tab/>
        </w:r>
        <w:r>
          <w:fldChar w:fldCharType="begin"/>
        </w:r>
        <w:r>
          <w:instrText xml:space="preserve">PAGEREF 1431 \h</w:instrText>
        </w:r>
        <w:r>
          <w:fldChar w:fldCharType="end"/>
        </w:r>
      </w:hyperlink>
    </w:p>
    <w:p>
      <w:pPr>
        <w:tabs>
          <w:tab w:val="right" w:leader="dot" w:pos="9062"/>
        </w:tabs>
        <w:ind w:left="440"/>
      </w:pPr>
      <w:hyperlink w:anchor="_Toc1432" w:history="1">
        <w:r>
          <w:rPr>
            <w:rFonts w:ascii="IRNazanin" w:hAnsi="IRNazanin" w:eastAsia="IRNazanin" w:cs="IRNazanin"/>
            <w:color w:val="111111"/>
            <w:sz w:val="22"/>
            <w:szCs w:val="22"/>
            <w:b w:val="0"/>
            <w:bCs w:val="0"/>
            <w:i w:val="0"/>
            <w:iCs w:val="0"/>
          </w:rPr>
          <w:t>•تاریخ تیمور / تاریخ ایران / فارسی</w:t>
        </w:r>
        <w:r>
          <w:tab/>
        </w:r>
        <w:r>
          <w:fldChar w:fldCharType="begin"/>
        </w:r>
        <w:r>
          <w:instrText xml:space="preserve">PAGEREF 1432 \h</w:instrText>
        </w:r>
        <w:r>
          <w:fldChar w:fldCharType="end"/>
        </w:r>
      </w:hyperlink>
    </w:p>
    <w:p>
      <w:pPr>
        <w:tabs>
          <w:tab w:val="right" w:leader="dot" w:pos="9062"/>
        </w:tabs>
        <w:ind w:left="440"/>
      </w:pPr>
      <w:hyperlink w:anchor="_Toc1433" w:history="1">
        <w:r>
          <w:rPr>
            <w:rFonts w:ascii="IRNazanin" w:hAnsi="IRNazanin" w:eastAsia="IRNazanin" w:cs="IRNazanin"/>
            <w:color w:val="111111"/>
            <w:sz w:val="22"/>
            <w:szCs w:val="22"/>
            <w:b w:val="0"/>
            <w:bCs w:val="0"/>
            <w:i w:val="0"/>
            <w:iCs w:val="0"/>
          </w:rPr>
          <w:t>•تاریخ تیموری / تاریخ / فارسی</w:t>
        </w:r>
        <w:r>
          <w:tab/>
        </w:r>
        <w:r>
          <w:fldChar w:fldCharType="begin"/>
        </w:r>
        <w:r>
          <w:instrText xml:space="preserve">PAGEREF 1433 \h</w:instrText>
        </w:r>
        <w:r>
          <w:fldChar w:fldCharType="end"/>
        </w:r>
      </w:hyperlink>
    </w:p>
    <w:p>
      <w:pPr>
        <w:tabs>
          <w:tab w:val="right" w:leader="dot" w:pos="9062"/>
        </w:tabs>
        <w:ind w:left="440"/>
      </w:pPr>
      <w:hyperlink w:anchor="_Toc1434" w:history="1">
        <w:r>
          <w:rPr>
            <w:rFonts w:ascii="IRNazanin" w:hAnsi="IRNazanin" w:eastAsia="IRNazanin" w:cs="IRNazanin"/>
            <w:color w:val="111111"/>
            <w:sz w:val="22"/>
            <w:szCs w:val="22"/>
            <w:b w:val="0"/>
            <w:bCs w:val="0"/>
            <w:i w:val="0"/>
            <w:iCs w:val="0"/>
          </w:rPr>
          <w:t>•تاریخ تیموریان و مغول / تاریخ / فارسی</w:t>
        </w:r>
        <w:r>
          <w:tab/>
        </w:r>
        <w:r>
          <w:fldChar w:fldCharType="begin"/>
        </w:r>
        <w:r>
          <w:instrText xml:space="preserve">PAGEREF 1434 \h</w:instrText>
        </w:r>
        <w:r>
          <w:fldChar w:fldCharType="end"/>
        </w:r>
      </w:hyperlink>
    </w:p>
    <w:p>
      <w:pPr>
        <w:tabs>
          <w:tab w:val="right" w:leader="dot" w:pos="9062"/>
        </w:tabs>
        <w:ind w:left="440"/>
      </w:pPr>
      <w:hyperlink w:anchor="_Toc1435" w:history="1">
        <w:r>
          <w:rPr>
            <w:rFonts w:ascii="IRNazanin" w:hAnsi="IRNazanin" w:eastAsia="IRNazanin" w:cs="IRNazanin"/>
            <w:color w:val="111111"/>
            <w:sz w:val="22"/>
            <w:szCs w:val="22"/>
            <w:b w:val="0"/>
            <w:bCs w:val="0"/>
            <w:i w:val="0"/>
            <w:iCs w:val="0"/>
          </w:rPr>
          <w:t>•تاریخ تیموری (جهانگیری) / تاریخ ایران / فارسی</w:t>
        </w:r>
        <w:r>
          <w:tab/>
        </w:r>
        <w:r>
          <w:fldChar w:fldCharType="begin"/>
        </w:r>
        <w:r>
          <w:instrText xml:space="preserve">PAGEREF 1435 \h</w:instrText>
        </w:r>
        <w:r>
          <w:fldChar w:fldCharType="end"/>
        </w:r>
      </w:hyperlink>
    </w:p>
    <w:p>
      <w:pPr>
        <w:tabs>
          <w:tab w:val="right" w:leader="dot" w:pos="9062"/>
        </w:tabs>
        <w:ind w:left="440"/>
      </w:pPr>
      <w:hyperlink w:anchor="_Toc1436" w:history="1">
        <w:r>
          <w:rPr>
            <w:rFonts w:ascii="IRNazanin" w:hAnsi="IRNazanin" w:eastAsia="IRNazanin" w:cs="IRNazanin"/>
            <w:color w:val="111111"/>
            <w:sz w:val="22"/>
            <w:szCs w:val="22"/>
            <w:b w:val="0"/>
            <w:bCs w:val="0"/>
            <w:i w:val="0"/>
            <w:iCs w:val="0"/>
          </w:rPr>
          <w:t>•تاریخ ثورة نجف اشرف / تاریخ / فارسی</w:t>
        </w:r>
        <w:r>
          <w:tab/>
        </w:r>
        <w:r>
          <w:fldChar w:fldCharType="begin"/>
        </w:r>
        <w:r>
          <w:instrText xml:space="preserve">PAGEREF 1436 \h</w:instrText>
        </w:r>
        <w:r>
          <w:fldChar w:fldCharType="end"/>
        </w:r>
      </w:hyperlink>
    </w:p>
    <w:p>
      <w:pPr>
        <w:tabs>
          <w:tab w:val="right" w:leader="dot" w:pos="9062"/>
        </w:tabs>
        <w:ind w:left="440"/>
      </w:pPr>
      <w:hyperlink w:anchor="_Toc1437" w:history="1">
        <w:r>
          <w:rPr>
            <w:rFonts w:ascii="IRNazanin" w:hAnsi="IRNazanin" w:eastAsia="IRNazanin" w:cs="IRNazanin"/>
            <w:color w:val="111111"/>
            <w:sz w:val="22"/>
            <w:szCs w:val="22"/>
            <w:b w:val="0"/>
            <w:bCs w:val="0"/>
            <w:i w:val="0"/>
            <w:iCs w:val="0"/>
          </w:rPr>
          <w:t>•تاریخ جاهلیت / تاریخ / فارسی</w:t>
        </w:r>
        <w:r>
          <w:tab/>
        </w:r>
        <w:r>
          <w:fldChar w:fldCharType="begin"/>
        </w:r>
        <w:r>
          <w:instrText xml:space="preserve">PAGEREF 1437 \h</w:instrText>
        </w:r>
        <w:r>
          <w:fldChar w:fldCharType="end"/>
        </w:r>
      </w:hyperlink>
    </w:p>
    <w:p>
      <w:pPr>
        <w:tabs>
          <w:tab w:val="right" w:leader="dot" w:pos="9062"/>
        </w:tabs>
        <w:ind w:left="440"/>
      </w:pPr>
      <w:hyperlink w:anchor="_Toc1438" w:history="1">
        <w:r>
          <w:rPr>
            <w:rFonts w:ascii="IRNazanin" w:hAnsi="IRNazanin" w:eastAsia="IRNazanin" w:cs="IRNazanin"/>
            <w:color w:val="111111"/>
            <w:sz w:val="22"/>
            <w:szCs w:val="22"/>
            <w:b w:val="0"/>
            <w:bCs w:val="0"/>
            <w:i w:val="0"/>
            <w:iCs w:val="0"/>
          </w:rPr>
          <w:t>•تاریخ جائس / تراجم / فارسی</w:t>
        </w:r>
        <w:r>
          <w:tab/>
        </w:r>
        <w:r>
          <w:fldChar w:fldCharType="begin"/>
        </w:r>
        <w:r>
          <w:instrText xml:space="preserve">PAGEREF 1438 \h</w:instrText>
        </w:r>
        <w:r>
          <w:fldChar w:fldCharType="end"/>
        </w:r>
      </w:hyperlink>
    </w:p>
    <w:p>
      <w:pPr>
        <w:tabs>
          <w:tab w:val="right" w:leader="dot" w:pos="9062"/>
        </w:tabs>
        <w:ind w:left="440"/>
      </w:pPr>
      <w:hyperlink w:anchor="_Toc1439" w:history="1">
        <w:r>
          <w:rPr>
            <w:rFonts w:ascii="IRNazanin" w:hAnsi="IRNazanin" w:eastAsia="IRNazanin" w:cs="IRNazanin"/>
            <w:color w:val="111111"/>
            <w:sz w:val="22"/>
            <w:szCs w:val="22"/>
            <w:b w:val="0"/>
            <w:bCs w:val="0"/>
            <w:i w:val="0"/>
            <w:iCs w:val="0"/>
          </w:rPr>
          <w:t>• تاریخ (جدول) / تاریخ / ترکی، فارسی</w:t>
        </w:r>
        <w:r>
          <w:tab/>
        </w:r>
        <w:r>
          <w:fldChar w:fldCharType="begin"/>
        </w:r>
        <w:r>
          <w:instrText xml:space="preserve">PAGEREF 1439 \h</w:instrText>
        </w:r>
        <w:r>
          <w:fldChar w:fldCharType="end"/>
        </w:r>
      </w:hyperlink>
    </w:p>
    <w:p>
      <w:pPr>
        <w:tabs>
          <w:tab w:val="right" w:leader="dot" w:pos="9062"/>
        </w:tabs>
        <w:ind w:left="440"/>
      </w:pPr>
      <w:hyperlink w:anchor="_Toc1440" w:history="1">
        <w:r>
          <w:rPr>
            <w:rFonts w:ascii="IRNazanin" w:hAnsi="IRNazanin" w:eastAsia="IRNazanin" w:cs="IRNazanin"/>
            <w:color w:val="111111"/>
            <w:sz w:val="22"/>
            <w:szCs w:val="22"/>
            <w:b w:val="0"/>
            <w:bCs w:val="0"/>
            <w:i w:val="0"/>
            <w:iCs w:val="0"/>
          </w:rPr>
          <w:t>•تاریخ جدید / تاریخ ایران، بهائیت / فارسی</w:t>
        </w:r>
        <w:r>
          <w:tab/>
        </w:r>
        <w:r>
          <w:fldChar w:fldCharType="begin"/>
        </w:r>
        <w:r>
          <w:instrText xml:space="preserve">PAGEREF 1440 \h</w:instrText>
        </w:r>
        <w:r>
          <w:fldChar w:fldCharType="end"/>
        </w:r>
      </w:hyperlink>
    </w:p>
    <w:p>
      <w:pPr>
        <w:tabs>
          <w:tab w:val="right" w:leader="dot" w:pos="9062"/>
        </w:tabs>
        <w:ind w:left="440"/>
      </w:pPr>
      <w:hyperlink w:anchor="_Toc1441" w:history="1">
        <w:r>
          <w:rPr>
            <w:rFonts w:ascii="IRNazanin" w:hAnsi="IRNazanin" w:eastAsia="IRNazanin" w:cs="IRNazanin"/>
            <w:color w:val="111111"/>
            <w:sz w:val="22"/>
            <w:szCs w:val="22"/>
            <w:b w:val="0"/>
            <w:bCs w:val="0"/>
            <w:i w:val="0"/>
            <w:iCs w:val="0"/>
          </w:rPr>
          <w:t>• تاریخ جدید / تاریخ / فارسی</w:t>
        </w:r>
        <w:r>
          <w:tab/>
        </w:r>
        <w:r>
          <w:fldChar w:fldCharType="begin"/>
        </w:r>
        <w:r>
          <w:instrText xml:space="preserve">PAGEREF 1441 \h</w:instrText>
        </w:r>
        <w:r>
          <w:fldChar w:fldCharType="end"/>
        </w:r>
      </w:hyperlink>
    </w:p>
    <w:p>
      <w:pPr>
        <w:tabs>
          <w:tab w:val="right" w:leader="dot" w:pos="9062"/>
        </w:tabs>
        <w:ind w:left="440"/>
      </w:pPr>
      <w:hyperlink w:anchor="_Toc1442" w:history="1">
        <w:r>
          <w:rPr>
            <w:rFonts w:ascii="IRNazanin" w:hAnsi="IRNazanin" w:eastAsia="IRNazanin" w:cs="IRNazanin"/>
            <w:color w:val="111111"/>
            <w:sz w:val="22"/>
            <w:szCs w:val="22"/>
            <w:b w:val="0"/>
            <w:bCs w:val="0"/>
            <w:i w:val="0"/>
            <w:iCs w:val="0"/>
          </w:rPr>
          <w:t>• تاریخ جدید (ترجمه) / تاریخ / فارسی</w:t>
        </w:r>
        <w:r>
          <w:tab/>
        </w:r>
        <w:r>
          <w:fldChar w:fldCharType="begin"/>
        </w:r>
        <w:r>
          <w:instrText xml:space="preserve">PAGEREF 1442 \h</w:instrText>
        </w:r>
        <w:r>
          <w:fldChar w:fldCharType="end"/>
        </w:r>
      </w:hyperlink>
    </w:p>
    <w:p>
      <w:pPr>
        <w:tabs>
          <w:tab w:val="right" w:leader="dot" w:pos="9062"/>
        </w:tabs>
        <w:ind w:left="440"/>
      </w:pPr>
      <w:hyperlink w:anchor="_Toc1443" w:history="1">
        <w:r>
          <w:rPr>
            <w:rFonts w:ascii="IRNazanin" w:hAnsi="IRNazanin" w:eastAsia="IRNazanin" w:cs="IRNazanin"/>
            <w:color w:val="111111"/>
            <w:sz w:val="22"/>
            <w:szCs w:val="22"/>
            <w:b w:val="0"/>
            <w:bCs w:val="0"/>
            <w:i w:val="0"/>
            <w:iCs w:val="0"/>
          </w:rPr>
          <w:t>• تاریخ جدید / تاریخ / فارسی</w:t>
        </w:r>
        <w:r>
          <w:tab/>
        </w:r>
        <w:r>
          <w:fldChar w:fldCharType="begin"/>
        </w:r>
        <w:r>
          <w:instrText xml:space="preserve">PAGEREF 1443 \h</w:instrText>
        </w:r>
        <w:r>
          <w:fldChar w:fldCharType="end"/>
        </w:r>
      </w:hyperlink>
    </w:p>
    <w:p>
      <w:pPr>
        <w:tabs>
          <w:tab w:val="right" w:leader="dot" w:pos="9062"/>
        </w:tabs>
        <w:ind w:left="440"/>
      </w:pPr>
      <w:hyperlink w:anchor="_Toc1444" w:history="1">
        <w:r>
          <w:rPr>
            <w:rFonts w:ascii="IRNazanin" w:hAnsi="IRNazanin" w:eastAsia="IRNazanin" w:cs="IRNazanin"/>
            <w:color w:val="111111"/>
            <w:sz w:val="22"/>
            <w:szCs w:val="22"/>
            <w:b w:val="0"/>
            <w:bCs w:val="0"/>
            <w:i w:val="0"/>
            <w:iCs w:val="0"/>
          </w:rPr>
          <w:t>• تاریخ جدید یزد / تاریخ ایران / فارسی</w:t>
        </w:r>
        <w:r>
          <w:tab/>
        </w:r>
        <w:r>
          <w:fldChar w:fldCharType="begin"/>
        </w:r>
        <w:r>
          <w:instrText xml:space="preserve">PAGEREF 1444 \h</w:instrText>
        </w:r>
        <w:r>
          <w:fldChar w:fldCharType="end"/>
        </w:r>
      </w:hyperlink>
    </w:p>
    <w:p>
      <w:pPr>
        <w:tabs>
          <w:tab w:val="right" w:leader="dot" w:pos="9062"/>
        </w:tabs>
        <w:ind w:left="440"/>
      </w:pPr>
      <w:hyperlink w:anchor="_Toc1445" w:history="1">
        <w:r>
          <w:rPr>
            <w:rFonts w:ascii="IRNazanin" w:hAnsi="IRNazanin" w:eastAsia="IRNazanin" w:cs="IRNazanin"/>
            <w:color w:val="111111"/>
            <w:sz w:val="22"/>
            <w:szCs w:val="22"/>
            <w:b w:val="0"/>
            <w:bCs w:val="0"/>
            <w:i w:val="0"/>
            <w:iCs w:val="0"/>
          </w:rPr>
          <w:t>• تاریخ جرجان / تاریخ / فارسی</w:t>
        </w:r>
        <w:r>
          <w:tab/>
        </w:r>
        <w:r>
          <w:fldChar w:fldCharType="begin"/>
        </w:r>
        <w:r>
          <w:instrText xml:space="preserve">PAGEREF 1445 \h</w:instrText>
        </w:r>
        <w:r>
          <w:fldChar w:fldCharType="end"/>
        </w:r>
      </w:hyperlink>
    </w:p>
    <w:p>
      <w:pPr>
        <w:tabs>
          <w:tab w:val="right" w:leader="dot" w:pos="9062"/>
        </w:tabs>
        <w:ind w:left="440"/>
      </w:pPr>
      <w:hyperlink w:anchor="_Toc1446" w:history="1">
        <w:r>
          <w:rPr>
            <w:rFonts w:ascii="IRNazanin" w:hAnsi="IRNazanin" w:eastAsia="IRNazanin" w:cs="IRNazanin"/>
            <w:color w:val="111111"/>
            <w:sz w:val="22"/>
            <w:szCs w:val="22"/>
            <w:b w:val="0"/>
            <w:bCs w:val="0"/>
            <w:i w:val="0"/>
            <w:iCs w:val="0"/>
          </w:rPr>
          <w:t>• تاریخ جزری / تاریخ / عربی</w:t>
        </w:r>
        <w:r>
          <w:tab/>
        </w:r>
        <w:r>
          <w:fldChar w:fldCharType="begin"/>
        </w:r>
        <w:r>
          <w:instrText xml:space="preserve">PAGEREF 1446 \h</w:instrText>
        </w:r>
        <w:r>
          <w:fldChar w:fldCharType="end"/>
        </w:r>
      </w:hyperlink>
    </w:p>
    <w:p>
      <w:pPr>
        <w:tabs>
          <w:tab w:val="right" w:leader="dot" w:pos="9062"/>
        </w:tabs>
        <w:ind w:left="440"/>
      </w:pPr>
      <w:hyperlink w:anchor="_Toc1447" w:history="1">
        <w:r>
          <w:rPr>
            <w:rFonts w:ascii="IRNazanin" w:hAnsi="IRNazanin" w:eastAsia="IRNazanin" w:cs="IRNazanin"/>
            <w:color w:val="111111"/>
            <w:sz w:val="22"/>
            <w:szCs w:val="22"/>
            <w:b w:val="0"/>
            <w:bCs w:val="0"/>
            <w:i w:val="0"/>
            <w:iCs w:val="0"/>
          </w:rPr>
          <w:t>• تاریخ جزیره قشم / تاریخ ایران / فارسی</w:t>
        </w:r>
        <w:r>
          <w:tab/>
        </w:r>
        <w:r>
          <w:fldChar w:fldCharType="begin"/>
        </w:r>
        <w:r>
          <w:instrText xml:space="preserve">PAGEREF 1447 \h</w:instrText>
        </w:r>
        <w:r>
          <w:fldChar w:fldCharType="end"/>
        </w:r>
      </w:hyperlink>
    </w:p>
    <w:p>
      <w:pPr>
        <w:tabs>
          <w:tab w:val="right" w:leader="dot" w:pos="9062"/>
        </w:tabs>
        <w:ind w:left="440"/>
      </w:pPr>
      <w:hyperlink w:anchor="_Toc1448" w:history="1">
        <w:r>
          <w:rPr>
            <w:rFonts w:ascii="IRNazanin" w:hAnsi="IRNazanin" w:eastAsia="IRNazanin" w:cs="IRNazanin"/>
            <w:color w:val="111111"/>
            <w:sz w:val="22"/>
            <w:szCs w:val="22"/>
            <w:b w:val="0"/>
            <w:bCs w:val="0"/>
            <w:i w:val="0"/>
            <w:iCs w:val="0"/>
          </w:rPr>
          <w:t>• تاریخ جعفری / تاریخ / فارسی</w:t>
        </w:r>
        <w:r>
          <w:tab/>
        </w:r>
        <w:r>
          <w:fldChar w:fldCharType="begin"/>
        </w:r>
        <w:r>
          <w:instrText xml:space="preserve">PAGEREF 1448 \h</w:instrText>
        </w:r>
        <w:r>
          <w:fldChar w:fldCharType="end"/>
        </w:r>
      </w:hyperlink>
    </w:p>
    <w:p>
      <w:pPr>
        <w:tabs>
          <w:tab w:val="right" w:leader="dot" w:pos="9062"/>
        </w:tabs>
        <w:ind w:left="440"/>
      </w:pPr>
      <w:hyperlink w:anchor="_Toc1449" w:history="1">
        <w:r>
          <w:rPr>
            <w:rFonts w:ascii="IRNazanin" w:hAnsi="IRNazanin" w:eastAsia="IRNazanin" w:cs="IRNazanin"/>
            <w:color w:val="111111"/>
            <w:sz w:val="22"/>
            <w:szCs w:val="22"/>
            <w:b w:val="0"/>
            <w:bCs w:val="0"/>
            <w:i w:val="0"/>
            <w:iCs w:val="0"/>
          </w:rPr>
          <w:t>•تاریخ جلال الدین خوارزمشاه (ترجمه) / تاریخ ایران / فارسی</w:t>
        </w:r>
        <w:r>
          <w:tab/>
        </w:r>
        <w:r>
          <w:fldChar w:fldCharType="begin"/>
        </w:r>
        <w:r>
          <w:instrText xml:space="preserve">PAGEREF 1449 \h</w:instrText>
        </w:r>
        <w:r>
          <w:fldChar w:fldCharType="end"/>
        </w:r>
      </w:hyperlink>
    </w:p>
    <w:p>
      <w:pPr>
        <w:tabs>
          <w:tab w:val="right" w:leader="dot" w:pos="9062"/>
        </w:tabs>
        <w:ind w:left="440"/>
      </w:pPr>
      <w:hyperlink w:anchor="_Toc1450" w:history="1">
        <w:r>
          <w:rPr>
            <w:rFonts w:ascii="IRNazanin" w:hAnsi="IRNazanin" w:eastAsia="IRNazanin" w:cs="IRNazanin"/>
            <w:color w:val="111111"/>
            <w:sz w:val="22"/>
            <w:szCs w:val="22"/>
            <w:b w:val="0"/>
            <w:bCs w:val="0"/>
            <w:i w:val="0"/>
            <w:iCs w:val="0"/>
          </w:rPr>
          <w:t>•تاریخ جلوس سلاطین / شعر، تاریخ ایران / فارسی</w:t>
        </w:r>
        <w:r>
          <w:tab/>
        </w:r>
        <w:r>
          <w:fldChar w:fldCharType="begin"/>
        </w:r>
        <w:r>
          <w:instrText xml:space="preserve">PAGEREF 1450 \h</w:instrText>
        </w:r>
        <w:r>
          <w:fldChar w:fldCharType="end"/>
        </w:r>
      </w:hyperlink>
    </w:p>
    <w:p>
      <w:pPr>
        <w:tabs>
          <w:tab w:val="right" w:leader="dot" w:pos="9062"/>
        </w:tabs>
        <w:ind w:left="440"/>
      </w:pPr>
      <w:hyperlink w:anchor="_Toc1451" w:history="1">
        <w:r>
          <w:rPr>
            <w:rFonts w:ascii="IRNazanin" w:hAnsi="IRNazanin" w:eastAsia="IRNazanin" w:cs="IRNazanin"/>
            <w:color w:val="111111"/>
            <w:sz w:val="22"/>
            <w:szCs w:val="22"/>
            <w:b w:val="0"/>
            <w:bCs w:val="0"/>
            <w:i w:val="0"/>
            <w:iCs w:val="0"/>
          </w:rPr>
          <w:t>• تاریخ جنگ آلمان و فرانسه / تاریخ / فارسی</w:t>
        </w:r>
        <w:r>
          <w:tab/>
        </w:r>
        <w:r>
          <w:fldChar w:fldCharType="begin"/>
        </w:r>
        <w:r>
          <w:instrText xml:space="preserve">PAGEREF 1451 \h</w:instrText>
        </w:r>
        <w:r>
          <w:fldChar w:fldCharType="end"/>
        </w:r>
      </w:hyperlink>
    </w:p>
    <w:p>
      <w:pPr>
        <w:tabs>
          <w:tab w:val="right" w:leader="dot" w:pos="9062"/>
        </w:tabs>
        <w:ind w:left="440"/>
      </w:pPr>
      <w:hyperlink w:anchor="_Toc1452" w:history="1">
        <w:r>
          <w:rPr>
            <w:rFonts w:ascii="IRNazanin" w:hAnsi="IRNazanin" w:eastAsia="IRNazanin" w:cs="IRNazanin"/>
            <w:color w:val="111111"/>
            <w:sz w:val="22"/>
            <w:szCs w:val="22"/>
            <w:b w:val="0"/>
            <w:bCs w:val="0"/>
            <w:i w:val="0"/>
            <w:iCs w:val="0"/>
          </w:rPr>
          <w:t>•تاریخ جنگ استریا / تاریخ جهان / فارسی</w:t>
        </w:r>
        <w:r>
          <w:tab/>
        </w:r>
        <w:r>
          <w:fldChar w:fldCharType="begin"/>
        </w:r>
        <w:r>
          <w:instrText xml:space="preserve">PAGEREF 1452 \h</w:instrText>
        </w:r>
        <w:r>
          <w:fldChar w:fldCharType="end"/>
        </w:r>
      </w:hyperlink>
    </w:p>
    <w:p>
      <w:pPr>
        <w:tabs>
          <w:tab w:val="right" w:leader="dot" w:pos="9062"/>
        </w:tabs>
        <w:ind w:left="440"/>
      </w:pPr>
      <w:hyperlink w:anchor="_Toc1453" w:history="1">
        <w:r>
          <w:rPr>
            <w:rFonts w:ascii="IRNazanin" w:hAnsi="IRNazanin" w:eastAsia="IRNazanin" w:cs="IRNazanin"/>
            <w:color w:val="111111"/>
            <w:sz w:val="22"/>
            <w:szCs w:val="22"/>
            <w:b w:val="0"/>
            <w:bCs w:val="0"/>
            <w:i w:val="0"/>
            <w:iCs w:val="0"/>
          </w:rPr>
          <w:t>•تاریخ جنگ ایران و ترک / تاریخ / فارسی</w:t>
        </w:r>
        <w:r>
          <w:tab/>
        </w:r>
        <w:r>
          <w:fldChar w:fldCharType="begin"/>
        </w:r>
        <w:r>
          <w:instrText xml:space="preserve">PAGEREF 1453 \h</w:instrText>
        </w:r>
        <w:r>
          <w:fldChar w:fldCharType="end"/>
        </w:r>
      </w:hyperlink>
    </w:p>
    <w:p>
      <w:pPr>
        <w:tabs>
          <w:tab w:val="right" w:leader="dot" w:pos="9062"/>
        </w:tabs>
        <w:ind w:left="440"/>
      </w:pPr>
      <w:hyperlink w:anchor="_Toc1454" w:history="1">
        <w:r>
          <w:rPr>
            <w:rFonts w:ascii="IRNazanin" w:hAnsi="IRNazanin" w:eastAsia="IRNazanin" w:cs="IRNazanin"/>
            <w:color w:val="111111"/>
            <w:sz w:val="22"/>
            <w:szCs w:val="22"/>
            <w:b w:val="0"/>
            <w:bCs w:val="0"/>
            <w:i w:val="0"/>
            <w:iCs w:val="0"/>
          </w:rPr>
          <w:t>•تاریخ جنگ بلوچستان / تاریخ / فارسی</w:t>
        </w:r>
        <w:r>
          <w:tab/>
        </w:r>
        <w:r>
          <w:fldChar w:fldCharType="begin"/>
        </w:r>
        <w:r>
          <w:instrText xml:space="preserve">PAGEREF 1454 \h</w:instrText>
        </w:r>
        <w:r>
          <w:fldChar w:fldCharType="end"/>
        </w:r>
      </w:hyperlink>
    </w:p>
    <w:p>
      <w:pPr>
        <w:tabs>
          <w:tab w:val="right" w:leader="dot" w:pos="9062"/>
        </w:tabs>
        <w:ind w:left="440"/>
      </w:pPr>
      <w:hyperlink w:anchor="_Toc1455" w:history="1">
        <w:r>
          <w:rPr>
            <w:rFonts w:ascii="IRNazanin" w:hAnsi="IRNazanin" w:eastAsia="IRNazanin" w:cs="IRNazanin"/>
            <w:color w:val="111111"/>
            <w:sz w:val="22"/>
            <w:szCs w:val="22"/>
            <w:b w:val="0"/>
            <w:bCs w:val="0"/>
            <w:i w:val="0"/>
            <w:iCs w:val="0"/>
          </w:rPr>
          <w:t>•تاریخ جنگ چین و قشون متحده ملل اروپا / تاریخ / فارسی</w:t>
        </w:r>
        <w:r>
          <w:tab/>
        </w:r>
        <w:r>
          <w:fldChar w:fldCharType="begin"/>
        </w:r>
        <w:r>
          <w:instrText xml:space="preserve">PAGEREF 1455 \h</w:instrText>
        </w:r>
        <w:r>
          <w:fldChar w:fldCharType="end"/>
        </w:r>
      </w:hyperlink>
    </w:p>
    <w:p>
      <w:pPr>
        <w:tabs>
          <w:tab w:val="right" w:leader="dot" w:pos="9062"/>
        </w:tabs>
        <w:ind w:left="440"/>
      </w:pPr>
      <w:hyperlink w:anchor="_Toc1456" w:history="1">
        <w:r>
          <w:rPr>
            <w:rFonts w:ascii="IRNazanin" w:hAnsi="IRNazanin" w:eastAsia="IRNazanin" w:cs="IRNazanin"/>
            <w:color w:val="111111"/>
            <w:sz w:val="22"/>
            <w:szCs w:val="22"/>
            <w:b w:val="0"/>
            <w:bCs w:val="0"/>
            <w:i w:val="0"/>
            <w:iCs w:val="0"/>
          </w:rPr>
          <w:t>•تاریخ جنگ روس و عثمانی / تاریخ / فارسی</w:t>
        </w:r>
        <w:r>
          <w:tab/>
        </w:r>
        <w:r>
          <w:fldChar w:fldCharType="begin"/>
        </w:r>
        <w:r>
          <w:instrText xml:space="preserve">PAGEREF 1456 \h</w:instrText>
        </w:r>
        <w:r>
          <w:fldChar w:fldCharType="end"/>
        </w:r>
      </w:hyperlink>
    </w:p>
    <w:p>
      <w:pPr>
        <w:tabs>
          <w:tab w:val="right" w:leader="dot" w:pos="9062"/>
        </w:tabs>
        <w:ind w:left="440"/>
      </w:pPr>
      <w:hyperlink w:anchor="_Toc1457" w:history="1">
        <w:r>
          <w:rPr>
            <w:rFonts w:ascii="IRNazanin" w:hAnsi="IRNazanin" w:eastAsia="IRNazanin" w:cs="IRNazanin"/>
            <w:color w:val="111111"/>
            <w:sz w:val="22"/>
            <w:szCs w:val="22"/>
            <w:b w:val="0"/>
            <w:bCs w:val="0"/>
            <w:i w:val="0"/>
            <w:iCs w:val="0"/>
          </w:rPr>
          <w:t>•تاریخ جنگ روس و عثمانی / تاریخ / فارسی</w:t>
        </w:r>
        <w:r>
          <w:tab/>
        </w:r>
        <w:r>
          <w:fldChar w:fldCharType="begin"/>
        </w:r>
        <w:r>
          <w:instrText xml:space="preserve">PAGEREF 1457 \h</w:instrText>
        </w:r>
        <w:r>
          <w:fldChar w:fldCharType="end"/>
        </w:r>
      </w:hyperlink>
    </w:p>
    <w:p>
      <w:pPr>
        <w:tabs>
          <w:tab w:val="right" w:leader="dot" w:pos="9062"/>
        </w:tabs>
        <w:ind w:left="440"/>
      </w:pPr>
      <w:hyperlink w:anchor="_Toc1458" w:history="1">
        <w:r>
          <w:rPr>
            <w:rFonts w:ascii="IRNazanin" w:hAnsi="IRNazanin" w:eastAsia="IRNazanin" w:cs="IRNazanin"/>
            <w:color w:val="111111"/>
            <w:sz w:val="22"/>
            <w:szCs w:val="22"/>
            <w:b w:val="0"/>
            <w:bCs w:val="0"/>
            <w:i w:val="0"/>
            <w:iCs w:val="0"/>
          </w:rPr>
          <w:t>•تاریخ جنگ روس و عثمانی (ترجمه) / تاریخ / فارسی</w:t>
        </w:r>
        <w:r>
          <w:tab/>
        </w:r>
        <w:r>
          <w:fldChar w:fldCharType="begin"/>
        </w:r>
        <w:r>
          <w:instrText xml:space="preserve">PAGEREF 1458 \h</w:instrText>
        </w:r>
        <w:r>
          <w:fldChar w:fldCharType="end"/>
        </w:r>
      </w:hyperlink>
    </w:p>
    <w:p>
      <w:pPr>
        <w:tabs>
          <w:tab w:val="right" w:leader="dot" w:pos="9062"/>
        </w:tabs>
        <w:ind w:left="440"/>
      </w:pPr>
      <w:hyperlink w:anchor="_Toc1459" w:history="1">
        <w:r>
          <w:rPr>
            <w:rFonts w:ascii="IRNazanin" w:hAnsi="IRNazanin" w:eastAsia="IRNazanin" w:cs="IRNazanin"/>
            <w:color w:val="111111"/>
            <w:sz w:val="22"/>
            <w:szCs w:val="22"/>
            <w:b w:val="0"/>
            <w:bCs w:val="0"/>
            <w:i w:val="0"/>
            <w:iCs w:val="0"/>
          </w:rPr>
          <w:t>•تاریخ جنگ سودان / تاریخ / فارسی</w:t>
        </w:r>
        <w:r>
          <w:tab/>
        </w:r>
        <w:r>
          <w:fldChar w:fldCharType="begin"/>
        </w:r>
        <w:r>
          <w:instrText xml:space="preserve">PAGEREF 1459 \h</w:instrText>
        </w:r>
        <w:r>
          <w:fldChar w:fldCharType="end"/>
        </w:r>
      </w:hyperlink>
    </w:p>
    <w:p>
      <w:pPr>
        <w:tabs>
          <w:tab w:val="right" w:leader="dot" w:pos="9062"/>
        </w:tabs>
        <w:ind w:left="440"/>
      </w:pPr>
      <w:hyperlink w:anchor="_Toc1460" w:history="1">
        <w:r>
          <w:rPr>
            <w:rFonts w:ascii="IRNazanin" w:hAnsi="IRNazanin" w:eastAsia="IRNazanin" w:cs="IRNazanin"/>
            <w:color w:val="111111"/>
            <w:sz w:val="22"/>
            <w:szCs w:val="22"/>
            <w:b w:val="0"/>
            <w:bCs w:val="0"/>
            <w:i w:val="0"/>
            <w:iCs w:val="0"/>
          </w:rPr>
          <w:t>•تاریخ جنگ شرق اقصی / تاریخ / فارسی</w:t>
        </w:r>
        <w:r>
          <w:tab/>
        </w:r>
        <w:r>
          <w:fldChar w:fldCharType="begin"/>
        </w:r>
        <w:r>
          <w:instrText xml:space="preserve">PAGEREF 1460 \h</w:instrText>
        </w:r>
        <w:r>
          <w:fldChar w:fldCharType="end"/>
        </w:r>
      </w:hyperlink>
    </w:p>
    <w:p>
      <w:pPr>
        <w:tabs>
          <w:tab w:val="right" w:leader="dot" w:pos="9062"/>
        </w:tabs>
        <w:ind w:left="440"/>
      </w:pPr>
      <w:hyperlink w:anchor="_Toc1461" w:history="1">
        <w:r>
          <w:rPr>
            <w:rFonts w:ascii="IRNazanin" w:hAnsi="IRNazanin" w:eastAsia="IRNazanin" w:cs="IRNazanin"/>
            <w:color w:val="111111"/>
            <w:sz w:val="22"/>
            <w:szCs w:val="22"/>
            <w:b w:val="0"/>
            <w:bCs w:val="0"/>
            <w:i w:val="0"/>
            <w:iCs w:val="0"/>
          </w:rPr>
          <w:t>• تاریخ جنگ مشرق زمین / تاریخ / فارسی</w:t>
        </w:r>
        <w:r>
          <w:tab/>
        </w:r>
        <w:r>
          <w:fldChar w:fldCharType="begin"/>
        </w:r>
        <w:r>
          <w:instrText xml:space="preserve">PAGEREF 1461 \h</w:instrText>
        </w:r>
        <w:r>
          <w:fldChar w:fldCharType="end"/>
        </w:r>
      </w:hyperlink>
    </w:p>
    <w:p>
      <w:pPr>
        <w:tabs>
          <w:tab w:val="right" w:leader="dot" w:pos="9062"/>
        </w:tabs>
        <w:ind w:left="440"/>
      </w:pPr>
      <w:hyperlink w:anchor="_Toc1462" w:history="1">
        <w:r>
          <w:rPr>
            <w:rFonts w:ascii="IRNazanin" w:hAnsi="IRNazanin" w:eastAsia="IRNazanin" w:cs="IRNazanin"/>
            <w:color w:val="111111"/>
            <w:sz w:val="22"/>
            <w:szCs w:val="22"/>
            <w:b w:val="0"/>
            <w:bCs w:val="0"/>
            <w:i w:val="0"/>
            <w:iCs w:val="0"/>
          </w:rPr>
          <w:t>•تاریخ جنگهای ایران و روس / تاریخ ایران / ترکی، فارسی</w:t>
        </w:r>
        <w:r>
          <w:tab/>
        </w:r>
        <w:r>
          <w:fldChar w:fldCharType="begin"/>
        </w:r>
        <w:r>
          <w:instrText xml:space="preserve">PAGEREF 1462 \h</w:instrText>
        </w:r>
        <w:r>
          <w:fldChar w:fldCharType="end"/>
        </w:r>
      </w:hyperlink>
    </w:p>
    <w:p>
      <w:pPr>
        <w:tabs>
          <w:tab w:val="right" w:leader="dot" w:pos="9062"/>
        </w:tabs>
        <w:ind w:left="440"/>
      </w:pPr>
      <w:hyperlink w:anchor="_Toc1463" w:history="1">
        <w:r>
          <w:rPr>
            <w:rFonts w:ascii="IRNazanin" w:hAnsi="IRNazanin" w:eastAsia="IRNazanin" w:cs="IRNazanin"/>
            <w:color w:val="111111"/>
            <w:sz w:val="22"/>
            <w:szCs w:val="22"/>
            <w:b w:val="0"/>
            <w:bCs w:val="0"/>
            <w:i w:val="0"/>
            <w:iCs w:val="0"/>
          </w:rPr>
          <w:t>•تاریخ جواهرات در ایران / تاریخ / فارسی</w:t>
        </w:r>
        <w:r>
          <w:tab/>
        </w:r>
        <w:r>
          <w:fldChar w:fldCharType="begin"/>
        </w:r>
        <w:r>
          <w:instrText xml:space="preserve">PAGEREF 1463 \h</w:instrText>
        </w:r>
        <w:r>
          <w:fldChar w:fldCharType="end"/>
        </w:r>
      </w:hyperlink>
    </w:p>
    <w:p>
      <w:pPr>
        <w:tabs>
          <w:tab w:val="right" w:leader="dot" w:pos="9062"/>
        </w:tabs>
        <w:ind w:left="440"/>
      </w:pPr>
      <w:hyperlink w:anchor="_Toc1464" w:history="1">
        <w:r>
          <w:rPr>
            <w:rFonts w:ascii="IRNazanin" w:hAnsi="IRNazanin" w:eastAsia="IRNazanin" w:cs="IRNazanin"/>
            <w:color w:val="111111"/>
            <w:sz w:val="22"/>
            <w:szCs w:val="22"/>
            <w:b w:val="0"/>
            <w:bCs w:val="0"/>
            <w:i w:val="0"/>
            <w:iCs w:val="0"/>
          </w:rPr>
          <w:t>•تاریخ جودت = تاریخ عثمانی / تاریخ / فارسی</w:t>
        </w:r>
        <w:r>
          <w:tab/>
        </w:r>
        <w:r>
          <w:fldChar w:fldCharType="begin"/>
        </w:r>
        <w:r>
          <w:instrText xml:space="preserve">PAGEREF 1464 \h</w:instrText>
        </w:r>
        <w:r>
          <w:fldChar w:fldCharType="end"/>
        </w:r>
      </w:hyperlink>
    </w:p>
    <w:p>
      <w:pPr>
        <w:tabs>
          <w:tab w:val="right" w:leader="dot" w:pos="9062"/>
        </w:tabs>
        <w:ind w:left="440"/>
      </w:pPr>
      <w:hyperlink w:anchor="_Toc1465" w:history="1">
        <w:r>
          <w:rPr>
            <w:rFonts w:ascii="IRNazanin" w:hAnsi="IRNazanin" w:eastAsia="IRNazanin" w:cs="IRNazanin"/>
            <w:color w:val="111111"/>
            <w:sz w:val="22"/>
            <w:szCs w:val="22"/>
            <w:b w:val="0"/>
            <w:bCs w:val="0"/>
            <w:i w:val="0"/>
            <w:iCs w:val="0"/>
          </w:rPr>
          <w:t>• تاریخ جوک = هربنش نامه / داستان / فارسی</w:t>
        </w:r>
        <w:r>
          <w:tab/>
        </w:r>
        <w:r>
          <w:fldChar w:fldCharType="begin"/>
        </w:r>
        <w:r>
          <w:instrText xml:space="preserve">PAGEREF 1465 \h</w:instrText>
        </w:r>
        <w:r>
          <w:fldChar w:fldCharType="end"/>
        </w:r>
      </w:hyperlink>
    </w:p>
    <w:p>
      <w:pPr>
        <w:tabs>
          <w:tab w:val="right" w:leader="dot" w:pos="9062"/>
        </w:tabs>
        <w:ind w:left="440"/>
      </w:pPr>
      <w:hyperlink w:anchor="_Toc1466" w:history="1">
        <w:r>
          <w:rPr>
            <w:rFonts w:ascii="IRNazanin" w:hAnsi="IRNazanin" w:eastAsia="IRNazanin" w:cs="IRNazanin"/>
            <w:color w:val="111111"/>
            <w:sz w:val="22"/>
            <w:szCs w:val="22"/>
            <w:b w:val="0"/>
            <w:bCs w:val="0"/>
            <w:i w:val="0"/>
            <w:iCs w:val="0"/>
          </w:rPr>
          <w:t>•تاریخ جوک / اخلاق / فارسی</w:t>
        </w:r>
        <w:r>
          <w:tab/>
        </w:r>
        <w:r>
          <w:fldChar w:fldCharType="begin"/>
        </w:r>
        <w:r>
          <w:instrText xml:space="preserve">PAGEREF 1466 \h</w:instrText>
        </w:r>
        <w:r>
          <w:fldChar w:fldCharType="end"/>
        </w:r>
      </w:hyperlink>
    </w:p>
    <w:p>
      <w:pPr>
        <w:tabs>
          <w:tab w:val="right" w:leader="dot" w:pos="9062"/>
        </w:tabs>
        <w:ind w:left="440"/>
      </w:pPr>
      <w:hyperlink w:anchor="_Toc1467" w:history="1">
        <w:r>
          <w:rPr>
            <w:rFonts w:ascii="IRNazanin" w:hAnsi="IRNazanin" w:eastAsia="IRNazanin" w:cs="IRNazanin"/>
            <w:color w:val="111111"/>
            <w:sz w:val="22"/>
            <w:szCs w:val="22"/>
            <w:b w:val="0"/>
            <w:bCs w:val="0"/>
            <w:i w:val="0"/>
            <w:iCs w:val="0"/>
          </w:rPr>
          <w:t>•تاریخ جونپور / تاریخ / فارسی</w:t>
        </w:r>
        <w:r>
          <w:tab/>
        </w:r>
        <w:r>
          <w:fldChar w:fldCharType="begin"/>
        </w:r>
        <w:r>
          <w:instrText xml:space="preserve">PAGEREF 1467 \h</w:instrText>
        </w:r>
        <w:r>
          <w:fldChar w:fldCharType="end"/>
        </w:r>
      </w:hyperlink>
    </w:p>
    <w:p>
      <w:pPr>
        <w:tabs>
          <w:tab w:val="right" w:leader="dot" w:pos="9062"/>
        </w:tabs>
        <w:ind w:left="440"/>
      </w:pPr>
      <w:hyperlink w:anchor="_Toc1468" w:history="1">
        <w:r>
          <w:rPr>
            <w:rFonts w:ascii="IRNazanin" w:hAnsi="IRNazanin" w:eastAsia="IRNazanin" w:cs="IRNazanin"/>
            <w:color w:val="111111"/>
            <w:sz w:val="22"/>
            <w:szCs w:val="22"/>
            <w:b w:val="0"/>
            <w:bCs w:val="0"/>
            <w:i w:val="0"/>
            <w:iCs w:val="0"/>
          </w:rPr>
          <w:t>•تاریخ جهان / تاریخ / فارسی</w:t>
        </w:r>
        <w:r>
          <w:tab/>
        </w:r>
        <w:r>
          <w:fldChar w:fldCharType="begin"/>
        </w:r>
        <w:r>
          <w:instrText xml:space="preserve">PAGEREF 1468 \h</w:instrText>
        </w:r>
        <w:r>
          <w:fldChar w:fldCharType="end"/>
        </w:r>
      </w:hyperlink>
    </w:p>
    <w:p>
      <w:pPr>
        <w:tabs>
          <w:tab w:val="right" w:leader="dot" w:pos="9062"/>
        </w:tabs>
        <w:ind w:left="440"/>
      </w:pPr>
      <w:hyperlink w:anchor="_Toc1469" w:history="1">
        <w:r>
          <w:rPr>
            <w:rFonts w:ascii="IRNazanin" w:hAnsi="IRNazanin" w:eastAsia="IRNazanin" w:cs="IRNazanin"/>
            <w:color w:val="111111"/>
            <w:sz w:val="22"/>
            <w:szCs w:val="22"/>
            <w:b w:val="0"/>
            <w:bCs w:val="0"/>
            <w:i w:val="0"/>
            <w:iCs w:val="0"/>
          </w:rPr>
          <w:t>• تاریخ جهان / تاریخ جهان / فارسی</w:t>
        </w:r>
        <w:r>
          <w:tab/>
        </w:r>
        <w:r>
          <w:fldChar w:fldCharType="begin"/>
        </w:r>
        <w:r>
          <w:instrText xml:space="preserve">PAGEREF 1469 \h</w:instrText>
        </w:r>
        <w:r>
          <w:fldChar w:fldCharType="end"/>
        </w:r>
      </w:hyperlink>
    </w:p>
    <w:p>
      <w:pPr>
        <w:tabs>
          <w:tab w:val="right" w:leader="dot" w:pos="9062"/>
        </w:tabs>
        <w:ind w:left="440"/>
      </w:pPr>
      <w:hyperlink w:anchor="_Toc1470" w:history="1">
        <w:r>
          <w:rPr>
            <w:rFonts w:ascii="IRNazanin" w:hAnsi="IRNazanin" w:eastAsia="IRNazanin" w:cs="IRNazanin"/>
            <w:color w:val="111111"/>
            <w:sz w:val="22"/>
            <w:szCs w:val="22"/>
            <w:b w:val="0"/>
            <w:bCs w:val="0"/>
            <w:i w:val="0"/>
            <w:iCs w:val="0"/>
          </w:rPr>
          <w:t>• تاریخ جهان / تاریخ / فارسی</w:t>
        </w:r>
        <w:r>
          <w:tab/>
        </w:r>
        <w:r>
          <w:fldChar w:fldCharType="begin"/>
        </w:r>
        <w:r>
          <w:instrText xml:space="preserve">PAGEREF 1470 \h</w:instrText>
        </w:r>
        <w:r>
          <w:fldChar w:fldCharType="end"/>
        </w:r>
      </w:hyperlink>
    </w:p>
    <w:p>
      <w:pPr>
        <w:tabs>
          <w:tab w:val="right" w:leader="dot" w:pos="9062"/>
        </w:tabs>
        <w:ind w:left="440"/>
      </w:pPr>
      <w:hyperlink w:anchor="_Toc1471" w:history="1">
        <w:r>
          <w:rPr>
            <w:rFonts w:ascii="IRNazanin" w:hAnsi="IRNazanin" w:eastAsia="IRNazanin" w:cs="IRNazanin"/>
            <w:color w:val="111111"/>
            <w:sz w:val="22"/>
            <w:szCs w:val="22"/>
            <w:b w:val="0"/>
            <w:bCs w:val="0"/>
            <w:i w:val="0"/>
            <w:iCs w:val="0"/>
          </w:rPr>
          <w:t>•تاریخ جهان آرا / تاریخ ایران / فارسی</w:t>
        </w:r>
        <w:r>
          <w:tab/>
        </w:r>
        <w:r>
          <w:fldChar w:fldCharType="begin"/>
        </w:r>
        <w:r>
          <w:instrText xml:space="preserve">PAGEREF 1471 \h</w:instrText>
        </w:r>
        <w:r>
          <w:fldChar w:fldCharType="end"/>
        </w:r>
      </w:hyperlink>
    </w:p>
    <w:p>
      <w:pPr>
        <w:tabs>
          <w:tab w:val="right" w:leader="dot" w:pos="9062"/>
        </w:tabs>
        <w:ind w:left="440"/>
      </w:pPr>
      <w:hyperlink w:anchor="_Toc1472" w:history="1">
        <w:r>
          <w:rPr>
            <w:rFonts w:ascii="IRNazanin" w:hAnsi="IRNazanin" w:eastAsia="IRNazanin" w:cs="IRNazanin"/>
            <w:color w:val="111111"/>
            <w:sz w:val="22"/>
            <w:szCs w:val="22"/>
            <w:b w:val="0"/>
            <w:bCs w:val="0"/>
            <w:i w:val="0"/>
            <w:iCs w:val="0"/>
          </w:rPr>
          <w:t>•تاریخ جهان آرا = رطب اللسان / تاریخ ایران / فارسی</w:t>
        </w:r>
        <w:r>
          <w:tab/>
        </w:r>
        <w:r>
          <w:fldChar w:fldCharType="begin"/>
        </w:r>
        <w:r>
          <w:instrText xml:space="preserve">PAGEREF 1472 \h</w:instrText>
        </w:r>
        <w:r>
          <w:fldChar w:fldCharType="end"/>
        </w:r>
      </w:hyperlink>
    </w:p>
    <w:p>
      <w:pPr>
        <w:tabs>
          <w:tab w:val="right" w:leader="dot" w:pos="9062"/>
        </w:tabs>
        <w:ind w:left="440"/>
      </w:pPr>
      <w:hyperlink w:anchor="_Toc1473" w:history="1">
        <w:r>
          <w:rPr>
            <w:rFonts w:ascii="IRNazanin" w:hAnsi="IRNazanin" w:eastAsia="IRNazanin" w:cs="IRNazanin"/>
            <w:color w:val="111111"/>
            <w:sz w:val="22"/>
            <w:szCs w:val="22"/>
            <w:b w:val="0"/>
            <w:bCs w:val="0"/>
            <w:i w:val="0"/>
            <w:iCs w:val="0"/>
          </w:rPr>
          <w:t>• تاریخ جهان گشا = تاریخ جهانگشای = جهانگشای جوینی / تاریخ ایران / فارسی</w:t>
        </w:r>
        <w:r>
          <w:tab/>
        </w:r>
        <w:r>
          <w:fldChar w:fldCharType="begin"/>
        </w:r>
        <w:r>
          <w:instrText xml:space="preserve">PAGEREF 1473 \h</w:instrText>
        </w:r>
        <w:r>
          <w:fldChar w:fldCharType="end"/>
        </w:r>
      </w:hyperlink>
    </w:p>
    <w:p>
      <w:pPr>
        <w:tabs>
          <w:tab w:val="right" w:leader="dot" w:pos="9062"/>
        </w:tabs>
        <w:ind w:left="440"/>
      </w:pPr>
      <w:hyperlink w:anchor="_Toc1474" w:history="1">
        <w:r>
          <w:rPr>
            <w:rFonts w:ascii="IRNazanin" w:hAnsi="IRNazanin" w:eastAsia="IRNazanin" w:cs="IRNazanin"/>
            <w:color w:val="111111"/>
            <w:sz w:val="22"/>
            <w:szCs w:val="22"/>
            <w:b w:val="0"/>
            <w:bCs w:val="0"/>
            <w:i w:val="0"/>
            <w:iCs w:val="0"/>
          </w:rPr>
          <w:t>• تاریخ جهانگشای نادری (منتخب) / تاریخ / فارسی</w:t>
        </w:r>
        <w:r>
          <w:tab/>
        </w:r>
        <w:r>
          <w:fldChar w:fldCharType="begin"/>
        </w:r>
        <w:r>
          <w:instrText xml:space="preserve">PAGEREF 1474 \h</w:instrText>
        </w:r>
        <w:r>
          <w:fldChar w:fldCharType="end"/>
        </w:r>
      </w:hyperlink>
    </w:p>
    <w:p>
      <w:pPr>
        <w:tabs>
          <w:tab w:val="right" w:leader="dot" w:pos="9062"/>
        </w:tabs>
        <w:ind w:left="440"/>
      </w:pPr>
      <w:hyperlink w:anchor="_Toc1475" w:history="1">
        <w:r>
          <w:rPr>
            <w:rFonts w:ascii="IRNazanin" w:hAnsi="IRNazanin" w:eastAsia="IRNazanin" w:cs="IRNazanin"/>
            <w:color w:val="111111"/>
            <w:sz w:val="22"/>
            <w:szCs w:val="22"/>
            <w:b w:val="0"/>
            <w:bCs w:val="0"/>
            <w:i w:val="0"/>
            <w:iCs w:val="0"/>
          </w:rPr>
          <w:t>• تاریخ جهانگیر = مقدمه ظفرنامه تیموری / تاریخ ایران / فارسی</w:t>
        </w:r>
        <w:r>
          <w:tab/>
        </w:r>
        <w:r>
          <w:fldChar w:fldCharType="begin"/>
        </w:r>
        <w:r>
          <w:instrText xml:space="preserve">PAGEREF 1475 \h</w:instrText>
        </w:r>
        <w:r>
          <w:fldChar w:fldCharType="end"/>
        </w:r>
      </w:hyperlink>
    </w:p>
    <w:p>
      <w:pPr>
        <w:tabs>
          <w:tab w:val="right" w:leader="dot" w:pos="9062"/>
        </w:tabs>
        <w:ind w:left="440"/>
      </w:pPr>
      <w:hyperlink w:anchor="_Toc1476" w:history="1">
        <w:r>
          <w:rPr>
            <w:rFonts w:ascii="IRNazanin" w:hAnsi="IRNazanin" w:eastAsia="IRNazanin" w:cs="IRNazanin"/>
            <w:color w:val="111111"/>
            <w:sz w:val="22"/>
            <w:szCs w:val="22"/>
            <w:b w:val="0"/>
            <w:bCs w:val="0"/>
            <w:i w:val="0"/>
            <w:iCs w:val="0"/>
          </w:rPr>
          <w:t>• تاریخ جهانگیر شاهی = فرهنگ بدیع لغات جهانگیری / ادبیات فارسی</w:t>
        </w:r>
        <w:r>
          <w:tab/>
        </w:r>
        <w:r>
          <w:fldChar w:fldCharType="begin"/>
        </w:r>
        <w:r>
          <w:instrText xml:space="preserve">PAGEREF 1476 \h</w:instrText>
        </w:r>
        <w:r>
          <w:fldChar w:fldCharType="end"/>
        </w:r>
      </w:hyperlink>
    </w:p>
    <w:p>
      <w:pPr>
        <w:tabs>
          <w:tab w:val="right" w:leader="dot" w:pos="9062"/>
        </w:tabs>
        <w:ind w:left="440"/>
      </w:pPr>
      <w:hyperlink w:anchor="_Toc1477" w:history="1">
        <w:r>
          <w:rPr>
            <w:rFonts w:ascii="IRNazanin" w:hAnsi="IRNazanin" w:eastAsia="IRNazanin" w:cs="IRNazanin"/>
            <w:color w:val="111111"/>
            <w:sz w:val="22"/>
            <w:szCs w:val="22"/>
            <w:b w:val="0"/>
            <w:bCs w:val="0"/>
            <w:i w:val="0"/>
            <w:iCs w:val="0"/>
          </w:rPr>
          <w:t>• تاریخ جهانگیری = نسخه زیبای جهانگیر/تاریخ/فارسی</w:t>
        </w:r>
        <w:r>
          <w:tab/>
        </w:r>
        <w:r>
          <w:fldChar w:fldCharType="begin"/>
        </w:r>
        <w:r>
          <w:instrText xml:space="preserve">PAGEREF 1477 \h</w:instrText>
        </w:r>
        <w:r>
          <w:fldChar w:fldCharType="end"/>
        </w:r>
      </w:hyperlink>
    </w:p>
    <w:p>
      <w:pPr>
        <w:tabs>
          <w:tab w:val="right" w:leader="dot" w:pos="9062"/>
        </w:tabs>
        <w:ind w:left="440"/>
      </w:pPr>
      <w:hyperlink w:anchor="_Toc1478" w:history="1">
        <w:r>
          <w:rPr>
            <w:rFonts w:ascii="IRNazanin" w:hAnsi="IRNazanin" w:eastAsia="IRNazanin" w:cs="IRNazanin"/>
            <w:color w:val="111111"/>
            <w:sz w:val="22"/>
            <w:szCs w:val="22"/>
            <w:b w:val="0"/>
            <w:bCs w:val="0"/>
            <w:i w:val="0"/>
            <w:iCs w:val="0"/>
          </w:rPr>
          <w:t>• تاریخ چلبی / تاریخ / فارسی</w:t>
        </w:r>
        <w:r>
          <w:tab/>
        </w:r>
        <w:r>
          <w:fldChar w:fldCharType="begin"/>
        </w:r>
        <w:r>
          <w:instrText xml:space="preserve">PAGEREF 1478 \h</w:instrText>
        </w:r>
        <w:r>
          <w:fldChar w:fldCharType="end"/>
        </w:r>
      </w:hyperlink>
    </w:p>
    <w:p>
      <w:pPr>
        <w:tabs>
          <w:tab w:val="right" w:leader="dot" w:pos="9062"/>
        </w:tabs>
        <w:ind w:left="440"/>
      </w:pPr>
      <w:hyperlink w:anchor="_Toc1479" w:history="1">
        <w:r>
          <w:rPr>
            <w:rFonts w:ascii="IRNazanin" w:hAnsi="IRNazanin" w:eastAsia="IRNazanin" w:cs="IRNazanin"/>
            <w:color w:val="111111"/>
            <w:sz w:val="22"/>
            <w:szCs w:val="22"/>
            <w:b w:val="0"/>
            <w:bCs w:val="0"/>
            <w:i w:val="0"/>
            <w:iCs w:val="0"/>
          </w:rPr>
          <w:t>• تاریخ چلبی برهان الدین در فتح قلعه «معن» / تاریخ</w:t>
        </w:r>
        <w:r>
          <w:tab/>
        </w:r>
        <w:r>
          <w:fldChar w:fldCharType="begin"/>
        </w:r>
        <w:r>
          <w:instrText xml:space="preserve">PAGEREF 1479 \h</w:instrText>
        </w:r>
        <w:r>
          <w:fldChar w:fldCharType="end"/>
        </w:r>
      </w:hyperlink>
    </w:p>
    <w:p>
      <w:pPr>
        <w:tabs>
          <w:tab w:val="right" w:leader="dot" w:pos="9062"/>
        </w:tabs>
        <w:ind w:left="440"/>
      </w:pPr>
      <w:hyperlink w:anchor="_Toc1480" w:history="1">
        <w:r>
          <w:rPr>
            <w:rFonts w:ascii="IRNazanin" w:hAnsi="IRNazanin" w:eastAsia="IRNazanin" w:cs="IRNazanin"/>
            <w:color w:val="111111"/>
            <w:sz w:val="22"/>
            <w:szCs w:val="22"/>
            <w:b w:val="0"/>
            <w:bCs w:val="0"/>
            <w:i w:val="0"/>
            <w:iCs w:val="0"/>
          </w:rPr>
          <w:t>•تاریخچه د تاریخ عمومی / تاریخ جهان / فارسی</w:t>
        </w:r>
        <w:r>
          <w:tab/>
        </w:r>
        <w:r>
          <w:fldChar w:fldCharType="begin"/>
        </w:r>
        <w:r>
          <w:instrText xml:space="preserve">PAGEREF 1480 \h</w:instrText>
        </w:r>
        <w:r>
          <w:fldChar w:fldCharType="end"/>
        </w:r>
      </w:hyperlink>
    </w:p>
    <w:p>
      <w:pPr>
        <w:tabs>
          <w:tab w:val="right" w:leader="dot" w:pos="9062"/>
        </w:tabs>
        <w:ind w:left="440"/>
      </w:pPr>
      <w:hyperlink w:anchor="_Toc1481" w:history="1">
        <w:r>
          <w:rPr>
            <w:rFonts w:ascii="IRNazanin" w:hAnsi="IRNazanin" w:eastAsia="IRNazanin" w:cs="IRNazanin"/>
            <w:color w:val="111111"/>
            <w:sz w:val="22"/>
            <w:szCs w:val="22"/>
            <w:b w:val="0"/>
            <w:bCs w:val="0"/>
            <w:i w:val="0"/>
            <w:iCs w:val="0"/>
          </w:rPr>
          <w:t>•تاریخچه احوال علماء و مشاهیر / تراجم / فارسی</w:t>
        </w:r>
        <w:r>
          <w:tab/>
        </w:r>
        <w:r>
          <w:fldChar w:fldCharType="begin"/>
        </w:r>
        <w:r>
          <w:instrText xml:space="preserve">PAGEREF 1481 \h</w:instrText>
        </w:r>
        <w:r>
          <w:fldChar w:fldCharType="end"/>
        </w:r>
      </w:hyperlink>
    </w:p>
    <w:p>
      <w:pPr>
        <w:tabs>
          <w:tab w:val="right" w:leader="dot" w:pos="9062"/>
        </w:tabs>
        <w:ind w:left="440"/>
      </w:pPr>
      <w:hyperlink w:anchor="_Toc1482" w:history="1">
        <w:r>
          <w:rPr>
            <w:rFonts w:ascii="IRNazanin" w:hAnsi="IRNazanin" w:eastAsia="IRNazanin" w:cs="IRNazanin"/>
            <w:color w:val="111111"/>
            <w:sz w:val="22"/>
            <w:szCs w:val="22"/>
            <w:b w:val="0"/>
            <w:bCs w:val="0"/>
            <w:i w:val="0"/>
            <w:iCs w:val="0"/>
          </w:rPr>
          <w:t>•تاریخ چهارده معصوم / تاریخ معصومین / فارسی</w:t>
        </w:r>
        <w:r>
          <w:tab/>
        </w:r>
        <w:r>
          <w:fldChar w:fldCharType="begin"/>
        </w:r>
        <w:r>
          <w:instrText xml:space="preserve">PAGEREF 1482 \h</w:instrText>
        </w:r>
        <w:r>
          <w:fldChar w:fldCharType="end"/>
        </w:r>
      </w:hyperlink>
    </w:p>
    <w:p>
      <w:pPr>
        <w:tabs>
          <w:tab w:val="right" w:leader="dot" w:pos="9062"/>
        </w:tabs>
        <w:ind w:left="440"/>
      </w:pPr>
      <w:hyperlink w:anchor="_Toc1483" w:history="1">
        <w:r>
          <w:rPr>
            <w:rFonts w:ascii="IRNazanin" w:hAnsi="IRNazanin" w:eastAsia="IRNazanin" w:cs="IRNazanin"/>
            <w:color w:val="111111"/>
            <w:sz w:val="22"/>
            <w:szCs w:val="22"/>
            <w:b w:val="0"/>
            <w:bCs w:val="0"/>
            <w:i w:val="0"/>
            <w:iCs w:val="0"/>
          </w:rPr>
          <w:t>• تاریخ چهارده معصوم / تاریخ معصومین / فارسی</w:t>
        </w:r>
        <w:r>
          <w:tab/>
        </w:r>
        <w:r>
          <w:fldChar w:fldCharType="begin"/>
        </w:r>
        <w:r>
          <w:instrText xml:space="preserve">PAGEREF 1483 \h</w:instrText>
        </w:r>
        <w:r>
          <w:fldChar w:fldCharType="end"/>
        </w:r>
      </w:hyperlink>
    </w:p>
    <w:p>
      <w:pPr>
        <w:tabs>
          <w:tab w:val="right" w:leader="dot" w:pos="9062"/>
        </w:tabs>
        <w:ind w:left="440"/>
      </w:pPr>
      <w:hyperlink w:anchor="_Toc1484" w:history="1">
        <w:r>
          <w:rPr>
            <w:rFonts w:ascii="IRNazanin" w:hAnsi="IRNazanin" w:eastAsia="IRNazanin" w:cs="IRNazanin"/>
            <w:color w:val="111111"/>
            <w:sz w:val="22"/>
            <w:szCs w:val="22"/>
            <w:b w:val="0"/>
            <w:bCs w:val="0"/>
            <w:i w:val="0"/>
            <w:iCs w:val="0"/>
          </w:rPr>
          <w:t>•تاریخ چهارده معصوم / تاریخ معصومین / عربی</w:t>
        </w:r>
        <w:r>
          <w:tab/>
        </w:r>
        <w:r>
          <w:fldChar w:fldCharType="begin"/>
        </w:r>
        <w:r>
          <w:instrText xml:space="preserve">PAGEREF 1484 \h</w:instrText>
        </w:r>
        <w:r>
          <w:fldChar w:fldCharType="end"/>
        </w:r>
      </w:hyperlink>
    </w:p>
    <w:p>
      <w:pPr>
        <w:tabs>
          <w:tab w:val="right" w:leader="dot" w:pos="9062"/>
        </w:tabs>
        <w:ind w:left="440"/>
      </w:pPr>
      <w:hyperlink w:anchor="_Toc1485" w:history="1">
        <w:r>
          <w:rPr>
            <w:rFonts w:ascii="IRNazanin" w:hAnsi="IRNazanin" w:eastAsia="IRNazanin" w:cs="IRNazanin"/>
            <w:color w:val="111111"/>
            <w:sz w:val="22"/>
            <w:szCs w:val="22"/>
            <w:b w:val="0"/>
            <w:bCs w:val="0"/>
            <w:i w:val="0"/>
            <w:iCs w:val="0"/>
          </w:rPr>
          <w:t>•تاریخ چهارده معصوم / تاریخ معصومین / فارسی</w:t>
        </w:r>
        <w:r>
          <w:tab/>
        </w:r>
        <w:r>
          <w:fldChar w:fldCharType="begin"/>
        </w:r>
        <w:r>
          <w:instrText xml:space="preserve">PAGEREF 1485 \h</w:instrText>
        </w:r>
        <w:r>
          <w:fldChar w:fldCharType="end"/>
        </w:r>
      </w:hyperlink>
    </w:p>
    <w:p>
      <w:pPr>
        <w:tabs>
          <w:tab w:val="right" w:leader="dot" w:pos="9062"/>
        </w:tabs>
        <w:ind w:left="440"/>
      </w:pPr>
      <w:hyperlink w:anchor="_Toc1486" w:history="1">
        <w:r>
          <w:rPr>
            <w:rFonts w:ascii="IRNazanin" w:hAnsi="IRNazanin" w:eastAsia="IRNazanin" w:cs="IRNazanin"/>
            <w:color w:val="111111"/>
            <w:sz w:val="22"/>
            <w:szCs w:val="22"/>
            <w:b w:val="0"/>
            <w:bCs w:val="0"/>
            <w:i w:val="0"/>
            <w:iCs w:val="0"/>
          </w:rPr>
          <w:t>•تاریخچه استفاده از چای و شکر در ایران / تاریخ ایران / فارسی</w:t>
        </w:r>
        <w:r>
          <w:tab/>
        </w:r>
        <w:r>
          <w:fldChar w:fldCharType="begin"/>
        </w:r>
        <w:r>
          <w:instrText xml:space="preserve">PAGEREF 1486 \h</w:instrText>
        </w:r>
        <w:r>
          <w:fldChar w:fldCharType="end"/>
        </w:r>
      </w:hyperlink>
    </w:p>
    <w:p>
      <w:pPr>
        <w:tabs>
          <w:tab w:val="right" w:leader="dot" w:pos="9062"/>
        </w:tabs>
        <w:ind w:left="440"/>
      </w:pPr>
      <w:hyperlink w:anchor="_Toc1487" w:history="1">
        <w:r>
          <w:rPr>
            <w:rFonts w:ascii="IRNazanin" w:hAnsi="IRNazanin" w:eastAsia="IRNazanin" w:cs="IRNazanin"/>
            <w:color w:val="111111"/>
            <w:sz w:val="22"/>
            <w:szCs w:val="22"/>
            <w:b w:val="0"/>
            <w:bCs w:val="0"/>
            <w:i w:val="0"/>
            <w:iCs w:val="0"/>
          </w:rPr>
          <w:t>•تاریخچه افکار سیاسی / تاریخ / فارسی</w:t>
        </w:r>
        <w:r>
          <w:tab/>
        </w:r>
        <w:r>
          <w:fldChar w:fldCharType="begin"/>
        </w:r>
        <w:r>
          <w:instrText xml:space="preserve">PAGEREF 1487 \h</w:instrText>
        </w:r>
        <w:r>
          <w:fldChar w:fldCharType="end"/>
        </w:r>
      </w:hyperlink>
    </w:p>
    <w:p>
      <w:pPr>
        <w:tabs>
          <w:tab w:val="right" w:leader="dot" w:pos="9062"/>
        </w:tabs>
        <w:ind w:left="440"/>
      </w:pPr>
      <w:hyperlink w:anchor="_Toc1488" w:history="1">
        <w:r>
          <w:rPr>
            <w:rFonts w:ascii="IRNazanin" w:hAnsi="IRNazanin" w:eastAsia="IRNazanin" w:cs="IRNazanin"/>
            <w:color w:val="111111"/>
            <w:sz w:val="22"/>
            <w:szCs w:val="22"/>
            <w:b w:val="0"/>
            <w:bCs w:val="0"/>
            <w:i w:val="0"/>
            <w:iCs w:val="0"/>
          </w:rPr>
          <w:t>•تاریخچه الماسهای بزرگ / طبیعیات / فارسی</w:t>
        </w:r>
        <w:r>
          <w:tab/>
        </w:r>
        <w:r>
          <w:fldChar w:fldCharType="begin"/>
        </w:r>
        <w:r>
          <w:instrText xml:space="preserve">PAGEREF 1488 \h</w:instrText>
        </w:r>
        <w:r>
          <w:fldChar w:fldCharType="end"/>
        </w:r>
      </w:hyperlink>
    </w:p>
    <w:p>
      <w:pPr>
        <w:tabs>
          <w:tab w:val="right" w:leader="dot" w:pos="9062"/>
        </w:tabs>
        <w:ind w:left="440"/>
      </w:pPr>
      <w:hyperlink w:anchor="_Toc1489" w:history="1">
        <w:r>
          <w:rPr>
            <w:rFonts w:ascii="IRNazanin" w:hAnsi="IRNazanin" w:eastAsia="IRNazanin" w:cs="IRNazanin"/>
            <w:color w:val="111111"/>
            <w:sz w:val="22"/>
            <w:szCs w:val="22"/>
            <w:b w:val="0"/>
            <w:bCs w:val="0"/>
            <w:i w:val="0"/>
            <w:iCs w:val="0"/>
          </w:rPr>
          <w:t>•تاریخچه جنگ ارامنه و مسلمانان قفقاز (ترجمه) / تاریخ / فارسی</w:t>
        </w:r>
        <w:r>
          <w:tab/>
        </w:r>
        <w:r>
          <w:fldChar w:fldCharType="begin"/>
        </w:r>
        <w:r>
          <w:instrText xml:space="preserve">PAGEREF 1489 \h</w:instrText>
        </w:r>
        <w:r>
          <w:fldChar w:fldCharType="end"/>
        </w:r>
      </w:hyperlink>
    </w:p>
    <w:p>
      <w:pPr>
        <w:tabs>
          <w:tab w:val="right" w:leader="dot" w:pos="9062"/>
        </w:tabs>
        <w:ind w:left="440"/>
      </w:pPr>
      <w:hyperlink w:anchor="_Toc1490" w:history="1">
        <w:r>
          <w:rPr>
            <w:rFonts w:ascii="IRNazanin" w:hAnsi="IRNazanin" w:eastAsia="IRNazanin" w:cs="IRNazanin"/>
            <w:color w:val="111111"/>
            <w:sz w:val="22"/>
            <w:szCs w:val="22"/>
            <w:b w:val="0"/>
            <w:bCs w:val="0"/>
            <w:i w:val="0"/>
            <w:iCs w:val="0"/>
          </w:rPr>
          <w:t>•تاریخچه خراسان / تاریخ ایران / فارسی</w:t>
        </w:r>
        <w:r>
          <w:tab/>
        </w:r>
        <w:r>
          <w:fldChar w:fldCharType="begin"/>
        </w:r>
        <w:r>
          <w:instrText xml:space="preserve">PAGEREF 1490 \h</w:instrText>
        </w:r>
        <w:r>
          <w:fldChar w:fldCharType="end"/>
        </w:r>
      </w:hyperlink>
    </w:p>
    <w:p>
      <w:pPr>
        <w:tabs>
          <w:tab w:val="right" w:leader="dot" w:pos="9062"/>
        </w:tabs>
        <w:ind w:left="440"/>
      </w:pPr>
      <w:hyperlink w:anchor="_Toc1491" w:history="1">
        <w:r>
          <w:rPr>
            <w:rFonts w:ascii="IRNazanin" w:hAnsi="IRNazanin" w:eastAsia="IRNazanin" w:cs="IRNazanin"/>
            <w:color w:val="111111"/>
            <w:sz w:val="22"/>
            <w:szCs w:val="22"/>
            <w:b w:val="0"/>
            <w:bCs w:val="0"/>
            <w:i w:val="0"/>
            <w:iCs w:val="0"/>
          </w:rPr>
          <w:t>•تاریخچه خروج چرا کسه / تاریخ / عربی</w:t>
        </w:r>
        <w:r>
          <w:tab/>
        </w:r>
        <w:r>
          <w:fldChar w:fldCharType="begin"/>
        </w:r>
        <w:r>
          <w:instrText xml:space="preserve">PAGEREF 1491 \h</w:instrText>
        </w:r>
        <w:r>
          <w:fldChar w:fldCharType="end"/>
        </w:r>
      </w:hyperlink>
    </w:p>
    <w:p>
      <w:pPr>
        <w:tabs>
          <w:tab w:val="right" w:leader="dot" w:pos="9062"/>
        </w:tabs>
        <w:ind w:left="440"/>
      </w:pPr>
      <w:hyperlink w:anchor="_Toc1492" w:history="1">
        <w:r>
          <w:rPr>
            <w:rFonts w:ascii="IRNazanin" w:hAnsi="IRNazanin" w:eastAsia="IRNazanin" w:cs="IRNazanin"/>
            <w:color w:val="111111"/>
            <w:sz w:val="22"/>
            <w:szCs w:val="22"/>
            <w:b w:val="0"/>
            <w:bCs w:val="0"/>
            <w:i w:val="0"/>
            <w:iCs w:val="0"/>
          </w:rPr>
          <w:t>•تاریخچه دودمان قاجار / تاریخ ایران / فارسی</w:t>
        </w:r>
        <w:r>
          <w:tab/>
        </w:r>
        <w:r>
          <w:fldChar w:fldCharType="begin"/>
        </w:r>
        <w:r>
          <w:instrText xml:space="preserve">PAGEREF 1492 \h</w:instrText>
        </w:r>
        <w:r>
          <w:fldChar w:fldCharType="end"/>
        </w:r>
      </w:hyperlink>
    </w:p>
    <w:p>
      <w:pPr>
        <w:tabs>
          <w:tab w:val="right" w:leader="dot" w:pos="9062"/>
        </w:tabs>
        <w:ind w:left="440"/>
      </w:pPr>
      <w:hyperlink w:anchor="_Toc1493" w:history="1">
        <w:r>
          <w:rPr>
            <w:rFonts w:ascii="IRNazanin" w:hAnsi="IRNazanin" w:eastAsia="IRNazanin" w:cs="IRNazanin"/>
            <w:color w:val="111111"/>
            <w:sz w:val="22"/>
            <w:szCs w:val="22"/>
            <w:b w:val="0"/>
            <w:bCs w:val="0"/>
            <w:i w:val="0"/>
            <w:iCs w:val="0"/>
          </w:rPr>
          <w:t>• تاریخچه مالیه ایران / اسناد / فارسی</w:t>
        </w:r>
        <w:r>
          <w:tab/>
        </w:r>
        <w:r>
          <w:fldChar w:fldCharType="begin"/>
        </w:r>
        <w:r>
          <w:instrText xml:space="preserve">PAGEREF 1493 \h</w:instrText>
        </w:r>
        <w:r>
          <w:fldChar w:fldCharType="end"/>
        </w:r>
      </w:hyperlink>
    </w:p>
    <w:p>
      <w:pPr>
        <w:tabs>
          <w:tab w:val="right" w:leader="dot" w:pos="9062"/>
        </w:tabs>
        <w:ind w:left="440"/>
      </w:pPr>
      <w:hyperlink w:anchor="_Toc1494" w:history="1">
        <w:r>
          <w:rPr>
            <w:rFonts w:ascii="IRNazanin" w:hAnsi="IRNazanin" w:eastAsia="IRNazanin" w:cs="IRNazanin"/>
            <w:color w:val="111111"/>
            <w:sz w:val="22"/>
            <w:szCs w:val="22"/>
            <w:b w:val="0"/>
            <w:bCs w:val="0"/>
            <w:i w:val="0"/>
            <w:iCs w:val="0"/>
          </w:rPr>
          <w:t>•تاریخچه مدرسه دارالفنون / تاریخ ایران / فارسی</w:t>
        </w:r>
        <w:r>
          <w:tab/>
        </w:r>
        <w:r>
          <w:fldChar w:fldCharType="begin"/>
        </w:r>
        <w:r>
          <w:instrText xml:space="preserve">PAGEREF 1494 \h</w:instrText>
        </w:r>
        <w:r>
          <w:fldChar w:fldCharType="end"/>
        </w:r>
      </w:hyperlink>
    </w:p>
    <w:p>
      <w:pPr>
        <w:tabs>
          <w:tab w:val="right" w:leader="dot" w:pos="9062"/>
        </w:tabs>
        <w:ind w:left="440"/>
      </w:pPr>
      <w:hyperlink w:anchor="_Toc1495" w:history="1">
        <w:r>
          <w:rPr>
            <w:rFonts w:ascii="IRNazanin" w:hAnsi="IRNazanin" w:eastAsia="IRNazanin" w:cs="IRNazanin"/>
            <w:color w:val="111111"/>
            <w:sz w:val="22"/>
            <w:szCs w:val="22"/>
            <w:b w:val="0"/>
            <w:bCs w:val="0"/>
            <w:i w:val="0"/>
            <w:iCs w:val="0"/>
          </w:rPr>
          <w:t>•تاریخچه مشروطیت / تاریخ ایران / فارسی و عربی</w:t>
        </w:r>
        <w:r>
          <w:tab/>
        </w:r>
        <w:r>
          <w:fldChar w:fldCharType="begin"/>
        </w:r>
        <w:r>
          <w:instrText xml:space="preserve">PAGEREF 1495 \h</w:instrText>
        </w:r>
        <w:r>
          <w:fldChar w:fldCharType="end"/>
        </w:r>
      </w:hyperlink>
    </w:p>
    <w:p>
      <w:pPr>
        <w:tabs>
          <w:tab w:val="right" w:leader="dot" w:pos="9062"/>
        </w:tabs>
        <w:ind w:left="440"/>
      </w:pPr>
      <w:hyperlink w:anchor="_Toc1496" w:history="1">
        <w:r>
          <w:rPr>
            <w:rFonts w:ascii="IRNazanin" w:hAnsi="IRNazanin" w:eastAsia="IRNazanin" w:cs="IRNazanin"/>
            <w:color w:val="111111"/>
            <w:sz w:val="22"/>
            <w:szCs w:val="22"/>
            <w:b w:val="0"/>
            <w:bCs w:val="0"/>
            <w:i w:val="0"/>
            <w:iCs w:val="0"/>
          </w:rPr>
          <w:t>• تاریخچه مکه / تاریخ</w:t>
        </w:r>
        <w:r>
          <w:tab/>
        </w:r>
        <w:r>
          <w:fldChar w:fldCharType="begin"/>
        </w:r>
        <w:r>
          <w:instrText xml:space="preserve">PAGEREF 1496 \h</w:instrText>
        </w:r>
        <w:r>
          <w:fldChar w:fldCharType="end"/>
        </w:r>
      </w:hyperlink>
    </w:p>
    <w:p>
      <w:pPr>
        <w:tabs>
          <w:tab w:val="right" w:leader="dot" w:pos="9062"/>
        </w:tabs>
        <w:ind w:left="440"/>
      </w:pPr>
      <w:hyperlink w:anchor="_Toc1497" w:history="1">
        <w:r>
          <w:rPr>
            <w:rFonts w:ascii="IRNazanin" w:hAnsi="IRNazanin" w:eastAsia="IRNazanin" w:cs="IRNazanin"/>
            <w:color w:val="111111"/>
            <w:sz w:val="22"/>
            <w:szCs w:val="22"/>
            <w:b w:val="0"/>
            <w:bCs w:val="0"/>
            <w:i w:val="0"/>
            <w:iCs w:val="0"/>
          </w:rPr>
          <w:t>•تاریخچه منظوم عروسی شاه با فوزیه / شعر / فارسی</w:t>
        </w:r>
        <w:r>
          <w:tab/>
        </w:r>
        <w:r>
          <w:fldChar w:fldCharType="begin"/>
        </w:r>
        <w:r>
          <w:instrText xml:space="preserve">PAGEREF 1497 \h</w:instrText>
        </w:r>
        <w:r>
          <w:fldChar w:fldCharType="end"/>
        </w:r>
      </w:hyperlink>
    </w:p>
    <w:p>
      <w:pPr>
        <w:tabs>
          <w:tab w:val="right" w:leader="dot" w:pos="9062"/>
        </w:tabs>
        <w:ind w:left="440"/>
      </w:pPr>
      <w:hyperlink w:anchor="_Toc1498" w:history="1">
        <w:r>
          <w:rPr>
            <w:rFonts w:ascii="IRNazanin" w:hAnsi="IRNazanin" w:eastAsia="IRNazanin" w:cs="IRNazanin"/>
            <w:color w:val="111111"/>
            <w:sz w:val="22"/>
            <w:szCs w:val="22"/>
            <w:b w:val="0"/>
            <w:bCs w:val="0"/>
            <w:i w:val="0"/>
            <w:iCs w:val="0"/>
          </w:rPr>
          <w:t>•تاریخچه میرزا کوچک خان / تاریخ ایران / فارسی</w:t>
        </w:r>
        <w:r>
          <w:tab/>
        </w:r>
        <w:r>
          <w:fldChar w:fldCharType="begin"/>
        </w:r>
        <w:r>
          <w:instrText xml:space="preserve">PAGEREF 1498 \h</w:instrText>
        </w:r>
        <w:r>
          <w:fldChar w:fldCharType="end"/>
        </w:r>
      </w:hyperlink>
    </w:p>
    <w:p>
      <w:pPr>
        <w:tabs>
          <w:tab w:val="right" w:leader="dot" w:pos="9062"/>
        </w:tabs>
        <w:ind w:left="440"/>
      </w:pPr>
      <w:hyperlink w:anchor="_Toc1499" w:history="1">
        <w:r>
          <w:rPr>
            <w:rFonts w:ascii="IRNazanin" w:hAnsi="IRNazanin" w:eastAsia="IRNazanin" w:cs="IRNazanin"/>
            <w:color w:val="111111"/>
            <w:sz w:val="22"/>
            <w:szCs w:val="22"/>
            <w:b w:val="0"/>
            <w:bCs w:val="0"/>
            <w:i w:val="0"/>
            <w:iCs w:val="0"/>
          </w:rPr>
          <w:t>•تاریخچه نادرشاه / تاریخ ایران / فارسی</w:t>
        </w:r>
        <w:r>
          <w:tab/>
        </w:r>
        <w:r>
          <w:fldChar w:fldCharType="begin"/>
        </w:r>
        <w:r>
          <w:instrText xml:space="preserve">PAGEREF 1499 \h</w:instrText>
        </w:r>
        <w:r>
          <w:fldChar w:fldCharType="end"/>
        </w:r>
      </w:hyperlink>
    </w:p>
    <w:p>
      <w:pPr>
        <w:tabs>
          <w:tab w:val="right" w:leader="dot" w:pos="9062"/>
        </w:tabs>
        <w:ind w:left="440"/>
      </w:pPr>
      <w:hyperlink w:anchor="_Toc1500" w:history="1">
        <w:r>
          <w:rPr>
            <w:rFonts w:ascii="IRNazanin" w:hAnsi="IRNazanin" w:eastAsia="IRNazanin" w:cs="IRNazanin"/>
            <w:color w:val="111111"/>
            <w:sz w:val="22"/>
            <w:szCs w:val="22"/>
            <w:b w:val="0"/>
            <w:bCs w:val="0"/>
            <w:i w:val="0"/>
            <w:iCs w:val="0"/>
          </w:rPr>
          <w:t>• تاریخ چین / تاریخ / فارسی</w:t>
        </w:r>
        <w:r>
          <w:tab/>
        </w:r>
        <w:r>
          <w:fldChar w:fldCharType="begin"/>
        </w:r>
        <w:r>
          <w:instrText xml:space="preserve">PAGEREF 1500 \h</w:instrText>
        </w:r>
        <w:r>
          <w:fldChar w:fldCharType="end"/>
        </w:r>
      </w:hyperlink>
    </w:p>
    <w:p>
      <w:pPr>
        <w:tabs>
          <w:tab w:val="right" w:leader="dot" w:pos="9062"/>
        </w:tabs>
        <w:ind w:left="440"/>
      </w:pPr>
      <w:hyperlink w:anchor="_Toc1501" w:history="1">
        <w:r>
          <w:rPr>
            <w:rFonts w:ascii="IRNazanin" w:hAnsi="IRNazanin" w:eastAsia="IRNazanin" w:cs="IRNazanin"/>
            <w:color w:val="111111"/>
            <w:sz w:val="22"/>
            <w:szCs w:val="22"/>
            <w:b w:val="0"/>
            <w:bCs w:val="0"/>
            <w:i w:val="0"/>
            <w:iCs w:val="0"/>
          </w:rPr>
          <w:t>•تاریخ چین / تاریخ جهان / فارسی</w:t>
        </w:r>
        <w:r>
          <w:tab/>
        </w:r>
        <w:r>
          <w:fldChar w:fldCharType="begin"/>
        </w:r>
        <w:r>
          <w:instrText xml:space="preserve">PAGEREF 1501 \h</w:instrText>
        </w:r>
        <w:r>
          <w:fldChar w:fldCharType="end"/>
        </w:r>
      </w:hyperlink>
    </w:p>
    <w:p>
      <w:pPr>
        <w:tabs>
          <w:tab w:val="right" w:leader="dot" w:pos="9062"/>
        </w:tabs>
        <w:ind w:left="440"/>
      </w:pPr>
      <w:hyperlink w:anchor="_Toc1502" w:history="1">
        <w:r>
          <w:rPr>
            <w:rFonts w:ascii="IRNazanin" w:hAnsi="IRNazanin" w:eastAsia="IRNazanin" w:cs="IRNazanin"/>
            <w:color w:val="111111"/>
            <w:sz w:val="22"/>
            <w:szCs w:val="22"/>
            <w:b w:val="0"/>
            <w:bCs w:val="0"/>
            <w:i w:val="0"/>
            <w:iCs w:val="0"/>
          </w:rPr>
          <w:t>•تاریخ چین / تاریخ / فارسی</w:t>
        </w:r>
        <w:r>
          <w:tab/>
        </w:r>
        <w:r>
          <w:fldChar w:fldCharType="begin"/>
        </w:r>
        <w:r>
          <w:instrText xml:space="preserve">PAGEREF 1502 \h</w:instrText>
        </w:r>
        <w:r>
          <w:fldChar w:fldCharType="end"/>
        </w:r>
      </w:hyperlink>
    </w:p>
    <w:p>
      <w:pPr>
        <w:tabs>
          <w:tab w:val="right" w:leader="dot" w:pos="9062"/>
        </w:tabs>
        <w:ind w:left="440"/>
      </w:pPr>
      <w:hyperlink w:anchor="_Toc1503" w:history="1">
        <w:r>
          <w:rPr>
            <w:rFonts w:ascii="IRNazanin" w:hAnsi="IRNazanin" w:eastAsia="IRNazanin" w:cs="IRNazanin"/>
            <w:color w:val="111111"/>
            <w:sz w:val="22"/>
            <w:szCs w:val="22"/>
            <w:b w:val="0"/>
            <w:bCs w:val="0"/>
            <w:i w:val="0"/>
            <w:iCs w:val="0"/>
          </w:rPr>
          <w:t>•تاریخ چین / تاریخ / فارسی</w:t>
        </w:r>
        <w:r>
          <w:tab/>
        </w:r>
        <w:r>
          <w:fldChar w:fldCharType="begin"/>
        </w:r>
        <w:r>
          <w:instrText xml:space="preserve">PAGEREF 1503 \h</w:instrText>
        </w:r>
        <w:r>
          <w:fldChar w:fldCharType="end"/>
        </w:r>
      </w:hyperlink>
    </w:p>
    <w:p>
      <w:pPr>
        <w:tabs>
          <w:tab w:val="right" w:leader="dot" w:pos="9062"/>
        </w:tabs>
        <w:ind w:left="440"/>
      </w:pPr>
      <w:hyperlink w:anchor="_Toc1504" w:history="1">
        <w:r>
          <w:rPr>
            <w:rFonts w:ascii="IRNazanin" w:hAnsi="IRNazanin" w:eastAsia="IRNazanin" w:cs="IRNazanin"/>
            <w:color w:val="111111"/>
            <w:sz w:val="22"/>
            <w:szCs w:val="22"/>
            <w:b w:val="0"/>
            <w:bCs w:val="0"/>
            <w:i w:val="0"/>
            <w:iCs w:val="0"/>
          </w:rPr>
          <w:t>•تاریخ چین / تاریخ جهان / فارسی</w:t>
        </w:r>
        <w:r>
          <w:tab/>
        </w:r>
        <w:r>
          <w:fldChar w:fldCharType="begin"/>
        </w:r>
        <w:r>
          <w:instrText xml:space="preserve">PAGEREF 1504 \h</w:instrText>
        </w:r>
        <w:r>
          <w:fldChar w:fldCharType="end"/>
        </w:r>
      </w:hyperlink>
    </w:p>
    <w:p>
      <w:pPr>
        <w:tabs>
          <w:tab w:val="right" w:leader="dot" w:pos="9062"/>
        </w:tabs>
        <w:ind w:left="440"/>
      </w:pPr>
      <w:hyperlink w:anchor="_Toc1505" w:history="1">
        <w:r>
          <w:rPr>
            <w:rFonts w:ascii="IRNazanin" w:hAnsi="IRNazanin" w:eastAsia="IRNazanin" w:cs="IRNazanin"/>
            <w:color w:val="111111"/>
            <w:sz w:val="22"/>
            <w:szCs w:val="22"/>
            <w:b w:val="0"/>
            <w:bCs w:val="0"/>
            <w:i w:val="0"/>
            <w:iCs w:val="0"/>
          </w:rPr>
          <w:t>•تاریخ حجاج بن يوسف / تاریخ</w:t>
        </w:r>
        <w:r>
          <w:tab/>
        </w:r>
        <w:r>
          <w:fldChar w:fldCharType="begin"/>
        </w:r>
        <w:r>
          <w:instrText xml:space="preserve">PAGEREF 1505 \h</w:instrText>
        </w:r>
        <w:r>
          <w:fldChar w:fldCharType="end"/>
        </w:r>
      </w:hyperlink>
    </w:p>
    <w:p>
      <w:pPr>
        <w:tabs>
          <w:tab w:val="right" w:leader="dot" w:pos="9062"/>
        </w:tabs>
        <w:ind w:left="440"/>
      </w:pPr>
      <w:hyperlink w:anchor="_Toc1506" w:history="1">
        <w:r>
          <w:rPr>
            <w:rFonts w:ascii="IRNazanin" w:hAnsi="IRNazanin" w:eastAsia="IRNazanin" w:cs="IRNazanin"/>
            <w:color w:val="111111"/>
            <w:sz w:val="22"/>
            <w:szCs w:val="22"/>
            <w:b w:val="0"/>
            <w:bCs w:val="0"/>
            <w:i w:val="0"/>
            <w:iCs w:val="0"/>
          </w:rPr>
          <w:t>•تاریخ حسن بیک ترکمان / تاریخ ایران / فارسی</w:t>
        </w:r>
        <w:r>
          <w:tab/>
        </w:r>
        <w:r>
          <w:fldChar w:fldCharType="begin"/>
        </w:r>
        <w:r>
          <w:instrText xml:space="preserve">PAGEREF 1506 \h</w:instrText>
        </w:r>
        <w:r>
          <w:fldChar w:fldCharType="end"/>
        </w:r>
      </w:hyperlink>
    </w:p>
    <w:p>
      <w:pPr>
        <w:tabs>
          <w:tab w:val="right" w:leader="dot" w:pos="9062"/>
        </w:tabs>
        <w:ind w:left="440"/>
      </w:pPr>
      <w:hyperlink w:anchor="_Toc1507" w:history="1">
        <w:r>
          <w:rPr>
            <w:rFonts w:ascii="IRNazanin" w:hAnsi="IRNazanin" w:eastAsia="IRNazanin" w:cs="IRNazanin"/>
            <w:color w:val="111111"/>
            <w:sz w:val="22"/>
            <w:szCs w:val="22"/>
            <w:b w:val="0"/>
            <w:bCs w:val="0"/>
            <w:i w:val="0"/>
            <w:iCs w:val="0"/>
          </w:rPr>
          <w:t>•تاریخ حضرت آدم(عليه السلام)/ شعر، تاریخ پیامبران / فارسی</w:t>
        </w:r>
        <w:r>
          <w:tab/>
        </w:r>
        <w:r>
          <w:fldChar w:fldCharType="begin"/>
        </w:r>
        <w:r>
          <w:instrText xml:space="preserve">PAGEREF 1507 \h</w:instrText>
        </w:r>
        <w:r>
          <w:fldChar w:fldCharType="end"/>
        </w:r>
      </w:hyperlink>
    </w:p>
    <w:p>
      <w:pPr>
        <w:tabs>
          <w:tab w:val="right" w:leader="dot" w:pos="9062"/>
        </w:tabs>
        <w:ind w:left="440"/>
      </w:pPr>
      <w:hyperlink w:anchor="_Toc1508" w:history="1">
        <w:r>
          <w:rPr>
            <w:rFonts w:ascii="IRNazanin" w:hAnsi="IRNazanin" w:eastAsia="IRNazanin" w:cs="IRNazanin"/>
            <w:color w:val="111111"/>
            <w:sz w:val="22"/>
            <w:szCs w:val="22"/>
            <w:b w:val="0"/>
            <w:bCs w:val="0"/>
            <w:i w:val="0"/>
            <w:iCs w:val="0"/>
          </w:rPr>
          <w:t>•تاریخ حضرت آدم و پیامبر اکرم(صلی الله علیه وآله وسلم)/ تاریخ پیامبران / فارسی</w:t>
        </w:r>
        <w:r>
          <w:tab/>
        </w:r>
        <w:r>
          <w:fldChar w:fldCharType="begin"/>
        </w:r>
        <w:r>
          <w:instrText xml:space="preserve">PAGEREF 1508 \h</w:instrText>
        </w:r>
        <w:r>
          <w:fldChar w:fldCharType="end"/>
        </w:r>
      </w:hyperlink>
    </w:p>
    <w:p>
      <w:pPr>
        <w:tabs>
          <w:tab w:val="right" w:leader="dot" w:pos="9062"/>
        </w:tabs>
        <w:ind w:left="440"/>
      </w:pPr>
      <w:hyperlink w:anchor="_Toc1509" w:history="1">
        <w:r>
          <w:rPr>
            <w:rFonts w:ascii="IRNazanin" w:hAnsi="IRNazanin" w:eastAsia="IRNazanin" w:cs="IRNazanin"/>
            <w:color w:val="111111"/>
            <w:sz w:val="22"/>
            <w:szCs w:val="22"/>
            <w:b w:val="0"/>
            <w:bCs w:val="0"/>
            <w:i w:val="0"/>
            <w:iCs w:val="0"/>
          </w:rPr>
          <w:t>•تاریخ حضرت سید المرسلین و ائمه معصومین / تاریخ معصومین / فارسی</w:t>
        </w:r>
        <w:r>
          <w:tab/>
        </w:r>
        <w:r>
          <w:fldChar w:fldCharType="begin"/>
        </w:r>
        <w:r>
          <w:instrText xml:space="preserve">PAGEREF 1509 \h</w:instrText>
        </w:r>
        <w:r>
          <w:fldChar w:fldCharType="end"/>
        </w:r>
      </w:hyperlink>
    </w:p>
    <w:p>
      <w:pPr>
        <w:tabs>
          <w:tab w:val="right" w:leader="dot" w:pos="9062"/>
        </w:tabs>
        <w:ind w:left="440"/>
      </w:pPr>
      <w:hyperlink w:anchor="_Toc1510" w:history="1">
        <w:r>
          <w:rPr>
            <w:rFonts w:ascii="IRNazanin" w:hAnsi="IRNazanin" w:eastAsia="IRNazanin" w:cs="IRNazanin"/>
            <w:color w:val="111111"/>
            <w:sz w:val="22"/>
            <w:szCs w:val="22"/>
            <w:b w:val="0"/>
            <w:bCs w:val="0"/>
            <w:i w:val="0"/>
            <w:iCs w:val="0"/>
          </w:rPr>
          <w:t>•تاريخ الحكماء = اخبار العلماء باخبار الحكماء / تراجم /عربی</w:t>
        </w:r>
        <w:r>
          <w:tab/>
        </w:r>
        <w:r>
          <w:fldChar w:fldCharType="begin"/>
        </w:r>
        <w:r>
          <w:instrText xml:space="preserve">PAGEREF 1510 \h</w:instrText>
        </w:r>
        <w:r>
          <w:fldChar w:fldCharType="end"/>
        </w:r>
      </w:hyperlink>
    </w:p>
    <w:p>
      <w:pPr>
        <w:tabs>
          <w:tab w:val="right" w:leader="dot" w:pos="9062"/>
        </w:tabs>
        <w:ind w:left="440"/>
      </w:pPr>
      <w:hyperlink w:anchor="_Toc1511" w:history="1">
        <w:r>
          <w:rPr>
            <w:rFonts w:ascii="IRNazanin" w:hAnsi="IRNazanin" w:eastAsia="IRNazanin" w:cs="IRNazanin"/>
            <w:color w:val="111111"/>
            <w:sz w:val="22"/>
            <w:szCs w:val="22"/>
            <w:b w:val="0"/>
            <w:bCs w:val="0"/>
            <w:i w:val="0"/>
            <w:iCs w:val="0"/>
          </w:rPr>
          <w:t>•تاريخ الحکماء / تراجم / عربی</w:t>
        </w:r>
        <w:r>
          <w:tab/>
        </w:r>
        <w:r>
          <w:fldChar w:fldCharType="begin"/>
        </w:r>
        <w:r>
          <w:instrText xml:space="preserve">PAGEREF 1511 \h</w:instrText>
        </w:r>
        <w:r>
          <w:fldChar w:fldCharType="end"/>
        </w:r>
      </w:hyperlink>
    </w:p>
    <w:p>
      <w:pPr>
        <w:tabs>
          <w:tab w:val="right" w:leader="dot" w:pos="9062"/>
        </w:tabs>
        <w:ind w:left="440"/>
      </w:pPr>
      <w:hyperlink w:anchor="_Toc1512" w:history="1">
        <w:r>
          <w:rPr>
            <w:rFonts w:ascii="IRNazanin" w:hAnsi="IRNazanin" w:eastAsia="IRNazanin" w:cs="IRNazanin"/>
            <w:color w:val="111111"/>
            <w:sz w:val="22"/>
            <w:szCs w:val="22"/>
            <w:b w:val="0"/>
            <w:bCs w:val="0"/>
            <w:i w:val="0"/>
            <w:iCs w:val="0"/>
          </w:rPr>
          <w:t>•تاريخ الحكماء / تراجم / عربی</w:t>
        </w:r>
        <w:r>
          <w:tab/>
        </w:r>
        <w:r>
          <w:fldChar w:fldCharType="begin"/>
        </w:r>
        <w:r>
          <w:instrText xml:space="preserve">PAGEREF 1512 \h</w:instrText>
        </w:r>
        <w:r>
          <w:fldChar w:fldCharType="end"/>
        </w:r>
      </w:hyperlink>
    </w:p>
    <w:p>
      <w:pPr>
        <w:tabs>
          <w:tab w:val="right" w:leader="dot" w:pos="9062"/>
        </w:tabs>
        <w:ind w:left="440"/>
      </w:pPr>
      <w:hyperlink w:anchor="_Toc1513" w:history="1">
        <w:r>
          <w:rPr>
            <w:rFonts w:ascii="IRNazanin" w:hAnsi="IRNazanin" w:eastAsia="IRNazanin" w:cs="IRNazanin"/>
            <w:color w:val="111111"/>
            <w:sz w:val="22"/>
            <w:szCs w:val="22"/>
            <w:b w:val="0"/>
            <w:bCs w:val="0"/>
            <w:i w:val="0"/>
            <w:iCs w:val="0"/>
          </w:rPr>
          <w:t>•تاريخ الحكماء / تراجم / عربی</w:t>
        </w:r>
        <w:r>
          <w:tab/>
        </w:r>
        <w:r>
          <w:fldChar w:fldCharType="begin"/>
        </w:r>
        <w:r>
          <w:instrText xml:space="preserve">PAGEREF 1513 \h</w:instrText>
        </w:r>
        <w:r>
          <w:fldChar w:fldCharType="end"/>
        </w:r>
      </w:hyperlink>
    </w:p>
    <w:p>
      <w:pPr>
        <w:tabs>
          <w:tab w:val="right" w:leader="dot" w:pos="9062"/>
        </w:tabs>
        <w:ind w:left="440"/>
      </w:pPr>
      <w:hyperlink w:anchor="_Toc1514" w:history="1">
        <w:r>
          <w:rPr>
            <w:rFonts w:ascii="IRNazanin" w:hAnsi="IRNazanin" w:eastAsia="IRNazanin" w:cs="IRNazanin"/>
            <w:color w:val="111111"/>
            <w:sz w:val="22"/>
            <w:szCs w:val="22"/>
            <w:b w:val="0"/>
            <w:bCs w:val="0"/>
            <w:i w:val="0"/>
            <w:iCs w:val="0"/>
          </w:rPr>
          <w:t>•تاریخ حکماء / تاریخ / عربی</w:t>
        </w:r>
        <w:r>
          <w:tab/>
        </w:r>
        <w:r>
          <w:fldChar w:fldCharType="begin"/>
        </w:r>
        <w:r>
          <w:instrText xml:space="preserve">PAGEREF 1514 \h</w:instrText>
        </w:r>
        <w:r>
          <w:fldChar w:fldCharType="end"/>
        </w:r>
      </w:hyperlink>
    </w:p>
    <w:p>
      <w:pPr>
        <w:tabs>
          <w:tab w:val="right" w:leader="dot" w:pos="9062"/>
        </w:tabs>
        <w:ind w:left="440"/>
      </w:pPr>
      <w:hyperlink w:anchor="_Toc1515" w:history="1">
        <w:r>
          <w:rPr>
            <w:rFonts w:ascii="IRNazanin" w:hAnsi="IRNazanin" w:eastAsia="IRNazanin" w:cs="IRNazanin"/>
            <w:color w:val="111111"/>
            <w:sz w:val="22"/>
            <w:szCs w:val="22"/>
            <w:b w:val="0"/>
            <w:bCs w:val="0"/>
            <w:i w:val="0"/>
            <w:iCs w:val="0"/>
          </w:rPr>
          <w:t>•تاريخ الحکماء / تراجم / فارسی</w:t>
        </w:r>
        <w:r>
          <w:tab/>
        </w:r>
        <w:r>
          <w:fldChar w:fldCharType="begin"/>
        </w:r>
        <w:r>
          <w:instrText xml:space="preserve">PAGEREF 1515 \h</w:instrText>
        </w:r>
        <w:r>
          <w:fldChar w:fldCharType="end"/>
        </w:r>
      </w:hyperlink>
    </w:p>
    <w:p>
      <w:pPr>
        <w:tabs>
          <w:tab w:val="right" w:leader="dot" w:pos="9062"/>
        </w:tabs>
        <w:ind w:left="440"/>
      </w:pPr>
      <w:hyperlink w:anchor="_Toc1516" w:history="1">
        <w:r>
          <w:rPr>
            <w:rFonts w:ascii="IRNazanin" w:hAnsi="IRNazanin" w:eastAsia="IRNazanin" w:cs="IRNazanin"/>
            <w:color w:val="111111"/>
            <w:sz w:val="22"/>
            <w:szCs w:val="22"/>
            <w:b w:val="0"/>
            <w:bCs w:val="0"/>
            <w:i w:val="0"/>
            <w:iCs w:val="0"/>
          </w:rPr>
          <w:t>•تاریخ الحکماء (ترجمه) / تراجم / فارسی</w:t>
        </w:r>
        <w:r>
          <w:tab/>
        </w:r>
        <w:r>
          <w:fldChar w:fldCharType="begin"/>
        </w:r>
        <w:r>
          <w:instrText xml:space="preserve">PAGEREF 1516 \h</w:instrText>
        </w:r>
        <w:r>
          <w:fldChar w:fldCharType="end"/>
        </w:r>
      </w:hyperlink>
    </w:p>
    <w:p>
      <w:pPr>
        <w:tabs>
          <w:tab w:val="right" w:leader="dot" w:pos="9062"/>
        </w:tabs>
        <w:ind w:left="440"/>
      </w:pPr>
      <w:hyperlink w:anchor="_Toc1517" w:history="1">
        <w:r>
          <w:rPr>
            <w:rFonts w:ascii="IRNazanin" w:hAnsi="IRNazanin" w:eastAsia="IRNazanin" w:cs="IRNazanin"/>
            <w:color w:val="111111"/>
            <w:sz w:val="22"/>
            <w:szCs w:val="22"/>
            <w:b w:val="0"/>
            <w:bCs w:val="0"/>
            <w:i w:val="0"/>
            <w:iCs w:val="0"/>
          </w:rPr>
          <w:t>•تاریخ حکما و علما / تراجم / فارسی</w:t>
        </w:r>
        <w:r>
          <w:tab/>
        </w:r>
        <w:r>
          <w:fldChar w:fldCharType="begin"/>
        </w:r>
        <w:r>
          <w:instrText xml:space="preserve">PAGEREF 1517 \h</w:instrText>
        </w:r>
        <w:r>
          <w:fldChar w:fldCharType="end"/>
        </w:r>
      </w:hyperlink>
    </w:p>
    <w:p>
      <w:pPr>
        <w:tabs>
          <w:tab w:val="right" w:leader="dot" w:pos="9062"/>
        </w:tabs>
        <w:ind w:left="440"/>
      </w:pPr>
      <w:hyperlink w:anchor="_Toc1518" w:history="1">
        <w:r>
          <w:rPr>
            <w:rFonts w:ascii="IRNazanin" w:hAnsi="IRNazanin" w:eastAsia="IRNazanin" w:cs="IRNazanin"/>
            <w:color w:val="111111"/>
            <w:sz w:val="22"/>
            <w:szCs w:val="22"/>
            <w:b w:val="0"/>
            <w:bCs w:val="0"/>
            <w:i w:val="0"/>
            <w:iCs w:val="0"/>
          </w:rPr>
          <w:t>•تاریخ حکمای طبرستان / تاریخ ایران / فارسی</w:t>
        </w:r>
        <w:r>
          <w:tab/>
        </w:r>
        <w:r>
          <w:fldChar w:fldCharType="begin"/>
        </w:r>
        <w:r>
          <w:instrText xml:space="preserve">PAGEREF 1518 \h</w:instrText>
        </w:r>
        <w:r>
          <w:fldChar w:fldCharType="end"/>
        </w:r>
      </w:hyperlink>
    </w:p>
    <w:p>
      <w:pPr>
        <w:tabs>
          <w:tab w:val="right" w:leader="dot" w:pos="9062"/>
        </w:tabs>
        <w:ind w:left="440"/>
      </w:pPr>
      <w:hyperlink w:anchor="_Toc1519" w:history="1">
        <w:r>
          <w:rPr>
            <w:rFonts w:ascii="IRNazanin" w:hAnsi="IRNazanin" w:eastAsia="IRNazanin" w:cs="IRNazanin"/>
            <w:color w:val="111111"/>
            <w:sz w:val="22"/>
            <w:szCs w:val="22"/>
            <w:b w:val="0"/>
            <w:bCs w:val="0"/>
            <w:i w:val="0"/>
            <w:iCs w:val="0"/>
          </w:rPr>
          <w:t>•تاریخ حکمرانان اردلان / تاریخ ایران / فارسی</w:t>
        </w:r>
        <w:r>
          <w:tab/>
        </w:r>
        <w:r>
          <w:fldChar w:fldCharType="begin"/>
        </w:r>
        <w:r>
          <w:instrText xml:space="preserve">PAGEREF 1519 \h</w:instrText>
        </w:r>
        <w:r>
          <w:fldChar w:fldCharType="end"/>
        </w:r>
      </w:hyperlink>
    </w:p>
    <w:p>
      <w:pPr>
        <w:tabs>
          <w:tab w:val="right" w:leader="dot" w:pos="9062"/>
        </w:tabs>
        <w:ind w:left="440"/>
      </w:pPr>
      <w:hyperlink w:anchor="_Toc1520" w:history="1">
        <w:r>
          <w:rPr>
            <w:rFonts w:ascii="IRNazanin" w:hAnsi="IRNazanin" w:eastAsia="IRNazanin" w:cs="IRNazanin"/>
            <w:color w:val="111111"/>
            <w:sz w:val="22"/>
            <w:szCs w:val="22"/>
            <w:b w:val="0"/>
            <w:bCs w:val="0"/>
            <w:i w:val="0"/>
            <w:iCs w:val="0"/>
          </w:rPr>
          <w:t>•تاریخ حکومت تاتارها در قریم / تاریخ / فارسی</w:t>
        </w:r>
        <w:r>
          <w:tab/>
        </w:r>
        <w:r>
          <w:fldChar w:fldCharType="begin"/>
        </w:r>
        <w:r>
          <w:instrText xml:space="preserve">PAGEREF 1520 \h</w:instrText>
        </w:r>
        <w:r>
          <w:fldChar w:fldCharType="end"/>
        </w:r>
      </w:hyperlink>
    </w:p>
    <w:p>
      <w:pPr>
        <w:tabs>
          <w:tab w:val="right" w:leader="dot" w:pos="9062"/>
        </w:tabs>
        <w:ind w:left="440"/>
      </w:pPr>
      <w:hyperlink w:anchor="_Toc1521" w:history="1">
        <w:r>
          <w:rPr>
            <w:rFonts w:ascii="IRNazanin" w:hAnsi="IRNazanin" w:eastAsia="IRNazanin" w:cs="IRNazanin"/>
            <w:color w:val="111111"/>
            <w:sz w:val="22"/>
            <w:szCs w:val="22"/>
            <w:b w:val="0"/>
            <w:bCs w:val="0"/>
            <w:i w:val="0"/>
            <w:iCs w:val="0"/>
          </w:rPr>
          <w:t>• تاریخ حمله مغول به ایران / تاریخ ایران / فارسی</w:t>
        </w:r>
        <w:r>
          <w:tab/>
        </w:r>
        <w:r>
          <w:fldChar w:fldCharType="begin"/>
        </w:r>
        <w:r>
          <w:instrText xml:space="preserve">PAGEREF 1521 \h</w:instrText>
        </w:r>
        <w:r>
          <w:fldChar w:fldCharType="end"/>
        </w:r>
      </w:hyperlink>
    </w:p>
    <w:p>
      <w:pPr>
        <w:tabs>
          <w:tab w:val="right" w:leader="dot" w:pos="9062"/>
        </w:tabs>
        <w:ind w:left="440"/>
      </w:pPr>
      <w:hyperlink w:anchor="_Toc1522" w:history="1">
        <w:r>
          <w:rPr>
            <w:rFonts w:ascii="IRNazanin" w:hAnsi="IRNazanin" w:eastAsia="IRNazanin" w:cs="IRNazanin"/>
            <w:color w:val="111111"/>
            <w:sz w:val="22"/>
            <w:szCs w:val="22"/>
            <w:b w:val="0"/>
            <w:bCs w:val="0"/>
            <w:i w:val="0"/>
            <w:iCs w:val="0"/>
          </w:rPr>
          <w:t>•تاریخ حمیدی - ترجمه شرح حال سلطان عبدالحمید ثانی / تاریخ / فارسی</w:t>
        </w:r>
        <w:r>
          <w:tab/>
        </w:r>
        <w:r>
          <w:fldChar w:fldCharType="begin"/>
        </w:r>
        <w:r>
          <w:instrText xml:space="preserve">PAGEREF 1522 \h</w:instrText>
        </w:r>
        <w:r>
          <w:fldChar w:fldCharType="end"/>
        </w:r>
      </w:hyperlink>
    </w:p>
    <w:p>
      <w:pPr>
        <w:tabs>
          <w:tab w:val="right" w:leader="dot" w:pos="9062"/>
        </w:tabs>
        <w:ind w:left="440"/>
      </w:pPr>
      <w:hyperlink w:anchor="_Toc1523" w:history="1">
        <w:r>
          <w:rPr>
            <w:rFonts w:ascii="IRNazanin" w:hAnsi="IRNazanin" w:eastAsia="IRNazanin" w:cs="IRNazanin"/>
            <w:color w:val="111111"/>
            <w:sz w:val="22"/>
            <w:szCs w:val="22"/>
            <w:b w:val="0"/>
            <w:bCs w:val="0"/>
            <w:i w:val="0"/>
            <w:iCs w:val="0"/>
          </w:rPr>
          <w:t>•تاريخ حيا / شعر / فارسی</w:t>
        </w:r>
        <w:r>
          <w:tab/>
        </w:r>
        <w:r>
          <w:fldChar w:fldCharType="begin"/>
        </w:r>
        <w:r>
          <w:instrText xml:space="preserve">PAGEREF 1523 \h</w:instrText>
        </w:r>
        <w:r>
          <w:fldChar w:fldCharType="end"/>
        </w:r>
      </w:hyperlink>
    </w:p>
    <w:p>
      <w:pPr>
        <w:tabs>
          <w:tab w:val="right" w:leader="dot" w:pos="9062"/>
        </w:tabs>
        <w:ind w:left="440"/>
      </w:pPr>
      <w:hyperlink w:anchor="_Toc1524" w:history="1">
        <w:r>
          <w:rPr>
            <w:rFonts w:ascii="IRNazanin" w:hAnsi="IRNazanin" w:eastAsia="IRNazanin" w:cs="IRNazanin"/>
            <w:color w:val="111111"/>
            <w:sz w:val="22"/>
            <w:szCs w:val="22"/>
            <w:b w:val="0"/>
            <w:bCs w:val="0"/>
            <w:i w:val="0"/>
            <w:iCs w:val="0"/>
          </w:rPr>
          <w:t>•تاریخ حیات لرد کلیو / تاریخ / فارسی</w:t>
        </w:r>
        <w:r>
          <w:tab/>
        </w:r>
        <w:r>
          <w:fldChar w:fldCharType="begin"/>
        </w:r>
        <w:r>
          <w:instrText xml:space="preserve">PAGEREF 1524 \h</w:instrText>
        </w:r>
        <w:r>
          <w:fldChar w:fldCharType="end"/>
        </w:r>
      </w:hyperlink>
    </w:p>
    <w:p>
      <w:pPr>
        <w:tabs>
          <w:tab w:val="right" w:leader="dot" w:pos="9062"/>
        </w:tabs>
        <w:ind w:left="440"/>
      </w:pPr>
      <w:hyperlink w:anchor="_Toc1525" w:history="1">
        <w:r>
          <w:rPr>
            <w:rFonts w:ascii="IRNazanin" w:hAnsi="IRNazanin" w:eastAsia="IRNazanin" w:cs="IRNazanin"/>
            <w:color w:val="111111"/>
            <w:sz w:val="22"/>
            <w:szCs w:val="22"/>
            <w:b w:val="0"/>
            <w:bCs w:val="0"/>
            <w:i w:val="0"/>
            <w:iCs w:val="0"/>
          </w:rPr>
          <w:t>•تاریخ حیات و ممات پادشاهان صفویه / تاریخ ایران / فارسی</w:t>
        </w:r>
        <w:r>
          <w:tab/>
        </w:r>
        <w:r>
          <w:fldChar w:fldCharType="begin"/>
        </w:r>
        <w:r>
          <w:instrText xml:space="preserve">PAGEREF 1525 \h</w:instrText>
        </w:r>
        <w:r>
          <w:fldChar w:fldCharType="end"/>
        </w:r>
      </w:hyperlink>
    </w:p>
    <w:p>
      <w:pPr>
        <w:tabs>
          <w:tab w:val="right" w:leader="dot" w:pos="9062"/>
        </w:tabs>
        <w:ind w:left="440"/>
      </w:pPr>
      <w:hyperlink w:anchor="_Toc1526" w:history="1">
        <w:r>
          <w:rPr>
            <w:rFonts w:ascii="IRNazanin" w:hAnsi="IRNazanin" w:eastAsia="IRNazanin" w:cs="IRNazanin"/>
            <w:color w:val="111111"/>
            <w:sz w:val="22"/>
            <w:szCs w:val="22"/>
            <w:b w:val="0"/>
            <w:bCs w:val="0"/>
            <w:i w:val="0"/>
            <w:iCs w:val="0"/>
          </w:rPr>
          <w:t>•تاریخ حیدری = زبدة التواریخ = مجمع التواریخ / تاریخ جهان / فارسی</w:t>
        </w:r>
        <w:r>
          <w:tab/>
        </w:r>
        <w:r>
          <w:fldChar w:fldCharType="begin"/>
        </w:r>
        <w:r>
          <w:instrText xml:space="preserve">PAGEREF 1526 \h</w:instrText>
        </w:r>
        <w:r>
          <w:fldChar w:fldCharType="end"/>
        </w:r>
      </w:hyperlink>
    </w:p>
    <w:p>
      <w:pPr>
        <w:tabs>
          <w:tab w:val="right" w:leader="dot" w:pos="9062"/>
        </w:tabs>
        <w:ind w:left="440"/>
      </w:pPr>
      <w:hyperlink w:anchor="_Toc1527" w:history="1">
        <w:r>
          <w:rPr>
            <w:rFonts w:ascii="IRNazanin" w:hAnsi="IRNazanin" w:eastAsia="IRNazanin" w:cs="IRNazanin"/>
            <w:color w:val="111111"/>
            <w:sz w:val="22"/>
            <w:szCs w:val="22"/>
            <w:b w:val="0"/>
            <w:bCs w:val="0"/>
            <w:i w:val="0"/>
            <w:iCs w:val="0"/>
          </w:rPr>
          <w:t>•تاریخ خاندان حکمت / تاریخ / فارسی</w:t>
        </w:r>
        <w:r>
          <w:tab/>
        </w:r>
        <w:r>
          <w:fldChar w:fldCharType="begin"/>
        </w:r>
        <w:r>
          <w:instrText xml:space="preserve">PAGEREF 1527 \h</w:instrText>
        </w:r>
        <w:r>
          <w:fldChar w:fldCharType="end"/>
        </w:r>
      </w:hyperlink>
    </w:p>
    <w:p>
      <w:pPr>
        <w:tabs>
          <w:tab w:val="right" w:leader="dot" w:pos="9062"/>
        </w:tabs>
        <w:ind w:left="440"/>
      </w:pPr>
      <w:hyperlink w:anchor="_Toc1528" w:history="1">
        <w:r>
          <w:rPr>
            <w:rFonts w:ascii="IRNazanin" w:hAnsi="IRNazanin" w:eastAsia="IRNazanin" w:cs="IRNazanin"/>
            <w:color w:val="111111"/>
            <w:sz w:val="22"/>
            <w:szCs w:val="22"/>
            <w:b w:val="0"/>
            <w:bCs w:val="0"/>
            <w:i w:val="0"/>
            <w:iCs w:val="0"/>
          </w:rPr>
          <w:t>•تاریخ خاندان مرعشی مازندران = مشجر سادات مرعشی / انساب / فارسی</w:t>
        </w:r>
        <w:r>
          <w:tab/>
        </w:r>
        <w:r>
          <w:fldChar w:fldCharType="begin"/>
        </w:r>
        <w:r>
          <w:instrText xml:space="preserve">PAGEREF 1528 \h</w:instrText>
        </w:r>
        <w:r>
          <w:fldChar w:fldCharType="end"/>
        </w:r>
      </w:hyperlink>
    </w:p>
    <w:p>
      <w:pPr>
        <w:tabs>
          <w:tab w:val="right" w:leader="dot" w:pos="9062"/>
        </w:tabs>
        <w:ind w:left="440"/>
      </w:pPr>
      <w:hyperlink w:anchor="_Toc1529" w:history="1">
        <w:r>
          <w:rPr>
            <w:rFonts w:ascii="IRNazanin" w:hAnsi="IRNazanin" w:eastAsia="IRNazanin" w:cs="IRNazanin"/>
            <w:color w:val="111111"/>
            <w:sz w:val="22"/>
            <w:szCs w:val="22"/>
            <w:b w:val="0"/>
            <w:bCs w:val="0"/>
            <w:i w:val="0"/>
            <w:iCs w:val="0"/>
          </w:rPr>
          <w:t>•تاریخ خانی / تاریخ / فارسی</w:t>
        </w:r>
        <w:r>
          <w:tab/>
        </w:r>
        <w:r>
          <w:fldChar w:fldCharType="begin"/>
        </w:r>
        <w:r>
          <w:instrText xml:space="preserve">PAGEREF 1529 \h</w:instrText>
        </w:r>
        <w:r>
          <w:fldChar w:fldCharType="end"/>
        </w:r>
      </w:hyperlink>
    </w:p>
    <w:p>
      <w:pPr>
        <w:tabs>
          <w:tab w:val="right" w:leader="dot" w:pos="9062"/>
        </w:tabs>
        <w:ind w:left="440"/>
      </w:pPr>
      <w:hyperlink w:anchor="_Toc1530" w:history="1">
        <w:r>
          <w:rPr>
            <w:rFonts w:ascii="IRNazanin" w:hAnsi="IRNazanin" w:eastAsia="IRNazanin" w:cs="IRNazanin"/>
            <w:color w:val="111111"/>
            <w:sz w:val="22"/>
            <w:szCs w:val="22"/>
            <w:b w:val="0"/>
            <w:bCs w:val="0"/>
            <w:i w:val="0"/>
            <w:iCs w:val="0"/>
          </w:rPr>
          <w:t>• تاریخ خراسان / تاریخ / فارسی</w:t>
        </w:r>
        <w:r>
          <w:tab/>
        </w:r>
        <w:r>
          <w:fldChar w:fldCharType="begin"/>
        </w:r>
        <w:r>
          <w:instrText xml:space="preserve">PAGEREF 1530 \h</w:instrText>
        </w:r>
        <w:r>
          <w:fldChar w:fldCharType="end"/>
        </w:r>
      </w:hyperlink>
    </w:p>
    <w:p>
      <w:pPr>
        <w:tabs>
          <w:tab w:val="right" w:leader="dot" w:pos="9062"/>
        </w:tabs>
        <w:ind w:left="440"/>
      </w:pPr>
      <w:hyperlink w:anchor="_Toc1531" w:history="1">
        <w:r>
          <w:rPr>
            <w:rFonts w:ascii="IRNazanin" w:hAnsi="IRNazanin" w:eastAsia="IRNazanin" w:cs="IRNazanin"/>
            <w:color w:val="111111"/>
            <w:sz w:val="22"/>
            <w:szCs w:val="22"/>
            <w:b w:val="0"/>
            <w:bCs w:val="0"/>
            <w:i w:val="0"/>
            <w:iCs w:val="0"/>
          </w:rPr>
          <w:t>•تاریخ خلافت امیر المؤمنین (علیه السلام) / تاریخ معصومین / فارسی</w:t>
        </w:r>
        <w:r>
          <w:tab/>
        </w:r>
        <w:r>
          <w:fldChar w:fldCharType="begin"/>
        </w:r>
        <w:r>
          <w:instrText xml:space="preserve">PAGEREF 1531 \h</w:instrText>
        </w:r>
        <w:r>
          <w:fldChar w:fldCharType="end"/>
        </w:r>
      </w:hyperlink>
    </w:p>
    <w:p>
      <w:pPr>
        <w:tabs>
          <w:tab w:val="right" w:leader="dot" w:pos="9062"/>
        </w:tabs>
        <w:ind w:left="440"/>
      </w:pPr>
      <w:hyperlink w:anchor="_Toc1532" w:history="1">
        <w:r>
          <w:rPr>
            <w:rFonts w:ascii="IRNazanin" w:hAnsi="IRNazanin" w:eastAsia="IRNazanin" w:cs="IRNazanin"/>
            <w:color w:val="111111"/>
            <w:sz w:val="22"/>
            <w:szCs w:val="22"/>
            <w:b w:val="0"/>
            <w:bCs w:val="0"/>
            <w:i w:val="0"/>
            <w:iCs w:val="0"/>
          </w:rPr>
          <w:t>•تاریخ خلفاء / تاریخ / فارسی</w:t>
        </w:r>
        <w:r>
          <w:tab/>
        </w:r>
        <w:r>
          <w:fldChar w:fldCharType="begin"/>
        </w:r>
        <w:r>
          <w:instrText xml:space="preserve">PAGEREF 1532 \h</w:instrText>
        </w:r>
        <w:r>
          <w:fldChar w:fldCharType="end"/>
        </w:r>
      </w:hyperlink>
    </w:p>
    <w:p>
      <w:pPr>
        <w:tabs>
          <w:tab w:val="right" w:leader="dot" w:pos="9062"/>
        </w:tabs>
        <w:ind w:left="440"/>
      </w:pPr>
      <w:hyperlink w:anchor="_Toc1533" w:history="1">
        <w:r>
          <w:rPr>
            <w:rFonts w:ascii="IRNazanin" w:hAnsi="IRNazanin" w:eastAsia="IRNazanin" w:cs="IRNazanin"/>
            <w:color w:val="111111"/>
            <w:sz w:val="22"/>
            <w:szCs w:val="22"/>
            <w:b w:val="0"/>
            <w:bCs w:val="0"/>
            <w:i w:val="0"/>
            <w:iCs w:val="0"/>
          </w:rPr>
          <w:t>•تاریخ الخلفاء / تاریخ / عربی</w:t>
        </w:r>
        <w:r>
          <w:tab/>
        </w:r>
        <w:r>
          <w:fldChar w:fldCharType="begin"/>
        </w:r>
        <w:r>
          <w:instrText xml:space="preserve">PAGEREF 1533 \h</w:instrText>
        </w:r>
        <w:r>
          <w:fldChar w:fldCharType="end"/>
        </w:r>
      </w:hyperlink>
    </w:p>
    <w:p>
      <w:pPr>
        <w:tabs>
          <w:tab w:val="right" w:leader="dot" w:pos="9062"/>
        </w:tabs>
        <w:ind w:left="440"/>
      </w:pPr>
      <w:hyperlink w:anchor="_Toc1534" w:history="1">
        <w:r>
          <w:rPr>
            <w:rFonts w:ascii="IRNazanin" w:hAnsi="IRNazanin" w:eastAsia="IRNazanin" w:cs="IRNazanin"/>
            <w:color w:val="111111"/>
            <w:sz w:val="22"/>
            <w:szCs w:val="22"/>
            <w:b w:val="0"/>
            <w:bCs w:val="0"/>
            <w:i w:val="0"/>
            <w:iCs w:val="0"/>
          </w:rPr>
          <w:t>•تاریخ الخلفاء / تاریخ / عربی</w:t>
        </w:r>
        <w:r>
          <w:tab/>
        </w:r>
        <w:r>
          <w:fldChar w:fldCharType="begin"/>
        </w:r>
        <w:r>
          <w:instrText xml:space="preserve">PAGEREF 1534 \h</w:instrText>
        </w:r>
        <w:r>
          <w:fldChar w:fldCharType="end"/>
        </w:r>
      </w:hyperlink>
    </w:p>
    <w:p>
      <w:pPr>
        <w:tabs>
          <w:tab w:val="right" w:leader="dot" w:pos="9062"/>
        </w:tabs>
        <w:ind w:left="440"/>
      </w:pPr>
      <w:hyperlink w:anchor="_Toc1535" w:history="1">
        <w:r>
          <w:rPr>
            <w:rFonts w:ascii="IRNazanin" w:hAnsi="IRNazanin" w:eastAsia="IRNazanin" w:cs="IRNazanin"/>
            <w:color w:val="111111"/>
            <w:sz w:val="22"/>
            <w:szCs w:val="22"/>
            <w:b w:val="0"/>
            <w:bCs w:val="0"/>
            <w:i w:val="0"/>
            <w:iCs w:val="0"/>
          </w:rPr>
          <w:t>•تاریخ الخلفاء / تاریخ / عربی</w:t>
        </w:r>
        <w:r>
          <w:tab/>
        </w:r>
        <w:r>
          <w:fldChar w:fldCharType="begin"/>
        </w:r>
        <w:r>
          <w:instrText xml:space="preserve">PAGEREF 1535 \h</w:instrText>
        </w:r>
        <w:r>
          <w:fldChar w:fldCharType="end"/>
        </w:r>
      </w:hyperlink>
    </w:p>
    <w:p>
      <w:pPr>
        <w:tabs>
          <w:tab w:val="right" w:leader="dot" w:pos="9062"/>
        </w:tabs>
        <w:ind w:left="440"/>
      </w:pPr>
      <w:hyperlink w:anchor="_Toc1536" w:history="1">
        <w:r>
          <w:rPr>
            <w:rFonts w:ascii="IRNazanin" w:hAnsi="IRNazanin" w:eastAsia="IRNazanin" w:cs="IRNazanin"/>
            <w:color w:val="111111"/>
            <w:sz w:val="22"/>
            <w:szCs w:val="22"/>
            <w:b w:val="0"/>
            <w:bCs w:val="0"/>
            <w:i w:val="0"/>
            <w:iCs w:val="0"/>
          </w:rPr>
          <w:t>•تاریخ خلفاء / تاریخ / فارسی</w:t>
        </w:r>
        <w:r>
          <w:tab/>
        </w:r>
        <w:r>
          <w:fldChar w:fldCharType="begin"/>
        </w:r>
        <w:r>
          <w:instrText xml:space="preserve">PAGEREF 1536 \h</w:instrText>
        </w:r>
        <w:r>
          <w:fldChar w:fldCharType="end"/>
        </w:r>
      </w:hyperlink>
    </w:p>
    <w:p>
      <w:pPr>
        <w:tabs>
          <w:tab w:val="right" w:leader="dot" w:pos="9062"/>
        </w:tabs>
        <w:ind w:left="440"/>
      </w:pPr>
      <w:hyperlink w:anchor="_Toc1537" w:history="1">
        <w:r>
          <w:rPr>
            <w:rFonts w:ascii="IRNazanin" w:hAnsi="IRNazanin" w:eastAsia="IRNazanin" w:cs="IRNazanin"/>
            <w:color w:val="111111"/>
            <w:sz w:val="22"/>
            <w:szCs w:val="22"/>
            <w:b w:val="0"/>
            <w:bCs w:val="0"/>
            <w:i w:val="0"/>
            <w:iCs w:val="0"/>
          </w:rPr>
          <w:t>•تاریخ الخلفاء و الائمة / تاریخ / عربی</w:t>
        </w:r>
        <w:r>
          <w:tab/>
        </w:r>
        <w:r>
          <w:fldChar w:fldCharType="begin"/>
        </w:r>
        <w:r>
          <w:instrText xml:space="preserve">PAGEREF 1537 \h</w:instrText>
        </w:r>
        <w:r>
          <w:fldChar w:fldCharType="end"/>
        </w:r>
      </w:hyperlink>
    </w:p>
    <w:p>
      <w:pPr>
        <w:tabs>
          <w:tab w:val="right" w:leader="dot" w:pos="9062"/>
        </w:tabs>
        <w:ind w:left="440"/>
      </w:pPr>
      <w:hyperlink w:anchor="_Toc1538" w:history="1">
        <w:r>
          <w:rPr>
            <w:rFonts w:ascii="IRNazanin" w:hAnsi="IRNazanin" w:eastAsia="IRNazanin" w:cs="IRNazanin"/>
            <w:color w:val="111111"/>
            <w:sz w:val="22"/>
            <w:szCs w:val="22"/>
            <w:b w:val="0"/>
            <w:bCs w:val="0"/>
            <w:i w:val="0"/>
            <w:iCs w:val="0"/>
          </w:rPr>
          <w:t>•تاریخ خلفای اسماعیلی مصر و قیروان / تاریخ /  فارسی-عربی</w:t>
        </w:r>
        <w:r>
          <w:tab/>
        </w:r>
        <w:r>
          <w:fldChar w:fldCharType="begin"/>
        </w:r>
        <w:r>
          <w:instrText xml:space="preserve">PAGEREF 1538 \h</w:instrText>
        </w:r>
        <w:r>
          <w:fldChar w:fldCharType="end"/>
        </w:r>
      </w:hyperlink>
    </w:p>
    <w:p>
      <w:pPr>
        <w:tabs>
          <w:tab w:val="right" w:leader="dot" w:pos="9062"/>
        </w:tabs>
        <w:ind w:left="440"/>
      </w:pPr>
      <w:hyperlink w:anchor="_Toc1539" w:history="1">
        <w:r>
          <w:rPr>
            <w:rFonts w:ascii="IRNazanin" w:hAnsi="IRNazanin" w:eastAsia="IRNazanin" w:cs="IRNazanin"/>
            <w:color w:val="111111"/>
            <w:sz w:val="22"/>
            <w:szCs w:val="22"/>
            <w:b w:val="0"/>
            <w:bCs w:val="0"/>
            <w:i w:val="0"/>
            <w:iCs w:val="0"/>
          </w:rPr>
          <w:t>•تاریخ خلفای بنی امیه / تاریخ اسلام / فارسی</w:t>
        </w:r>
        <w:r>
          <w:tab/>
        </w:r>
        <w:r>
          <w:fldChar w:fldCharType="begin"/>
        </w:r>
        <w:r>
          <w:instrText xml:space="preserve">PAGEREF 1539 \h</w:instrText>
        </w:r>
        <w:r>
          <w:fldChar w:fldCharType="end"/>
        </w:r>
      </w:hyperlink>
    </w:p>
    <w:p>
      <w:pPr>
        <w:tabs>
          <w:tab w:val="right" w:leader="dot" w:pos="9062"/>
        </w:tabs>
        <w:ind w:left="440"/>
      </w:pPr>
      <w:hyperlink w:anchor="_Toc1540" w:history="1">
        <w:r>
          <w:rPr>
            <w:rFonts w:ascii="IRNazanin" w:hAnsi="IRNazanin" w:eastAsia="IRNazanin" w:cs="IRNazanin"/>
            <w:color w:val="111111"/>
            <w:sz w:val="22"/>
            <w:szCs w:val="22"/>
            <w:b w:val="0"/>
            <w:bCs w:val="0"/>
            <w:i w:val="0"/>
            <w:iCs w:val="0"/>
          </w:rPr>
          <w:t>•تاریخ خوارزم / تاریخ / عربی</w:t>
        </w:r>
        <w:r>
          <w:tab/>
        </w:r>
        <w:r>
          <w:fldChar w:fldCharType="begin"/>
        </w:r>
        <w:r>
          <w:instrText xml:space="preserve">PAGEREF 1540 \h</w:instrText>
        </w:r>
        <w:r>
          <w:fldChar w:fldCharType="end"/>
        </w:r>
      </w:hyperlink>
    </w:p>
    <w:p>
      <w:pPr>
        <w:tabs>
          <w:tab w:val="right" w:leader="dot" w:pos="9062"/>
        </w:tabs>
        <w:ind w:left="440"/>
      </w:pPr>
      <w:hyperlink w:anchor="_Toc1541" w:history="1">
        <w:r>
          <w:rPr>
            <w:rFonts w:ascii="IRNazanin" w:hAnsi="IRNazanin" w:eastAsia="IRNazanin" w:cs="IRNazanin"/>
            <w:color w:val="111111"/>
            <w:sz w:val="22"/>
            <w:szCs w:val="22"/>
            <w:b w:val="0"/>
            <w:bCs w:val="0"/>
            <w:i w:val="0"/>
            <w:iCs w:val="0"/>
          </w:rPr>
          <w:t>•تاریخ خوزستان / تاریخ ایران / فارسی</w:t>
        </w:r>
        <w:r>
          <w:tab/>
        </w:r>
        <w:r>
          <w:fldChar w:fldCharType="begin"/>
        </w:r>
        <w:r>
          <w:instrText xml:space="preserve">PAGEREF 1541 \h</w:instrText>
        </w:r>
        <w:r>
          <w:fldChar w:fldCharType="end"/>
        </w:r>
      </w:hyperlink>
    </w:p>
    <w:p>
      <w:pPr>
        <w:tabs>
          <w:tab w:val="right" w:leader="dot" w:pos="9062"/>
        </w:tabs>
        <w:ind w:left="440"/>
      </w:pPr>
      <w:hyperlink w:anchor="_Toc1542" w:history="1">
        <w:r>
          <w:rPr>
            <w:rFonts w:ascii="IRNazanin" w:hAnsi="IRNazanin" w:eastAsia="IRNazanin" w:cs="IRNazanin"/>
            <w:color w:val="111111"/>
            <w:sz w:val="22"/>
            <w:szCs w:val="22"/>
            <w:b w:val="0"/>
            <w:bCs w:val="0"/>
            <w:i w:val="0"/>
            <w:iCs w:val="0"/>
          </w:rPr>
          <w:t>•تاریخ خوزستان مظهر الدولة / تاریخ / فارسی</w:t>
        </w:r>
        <w:r>
          <w:tab/>
        </w:r>
        <w:r>
          <w:fldChar w:fldCharType="begin"/>
        </w:r>
        <w:r>
          <w:instrText xml:space="preserve">PAGEREF 1542 \h</w:instrText>
        </w:r>
        <w:r>
          <w:fldChar w:fldCharType="end"/>
        </w:r>
      </w:hyperlink>
    </w:p>
    <w:p>
      <w:pPr>
        <w:tabs>
          <w:tab w:val="right" w:leader="dot" w:pos="9062"/>
        </w:tabs>
        <w:ind w:left="440"/>
      </w:pPr>
      <w:hyperlink w:anchor="_Toc1543" w:history="1">
        <w:r>
          <w:rPr>
            <w:rFonts w:ascii="IRNazanin" w:hAnsi="IRNazanin" w:eastAsia="IRNazanin" w:cs="IRNazanin"/>
            <w:color w:val="111111"/>
            <w:sz w:val="22"/>
            <w:szCs w:val="22"/>
            <w:b w:val="0"/>
            <w:bCs w:val="0"/>
            <w:i w:val="0"/>
            <w:iCs w:val="0"/>
          </w:rPr>
          <w:t>• تاریخ خوی / جغرافیا، تاریخ / فارسی</w:t>
        </w:r>
        <w:r>
          <w:tab/>
        </w:r>
        <w:r>
          <w:fldChar w:fldCharType="begin"/>
        </w:r>
        <w:r>
          <w:instrText xml:space="preserve">PAGEREF 1543 \h</w:instrText>
        </w:r>
        <w:r>
          <w:fldChar w:fldCharType="end"/>
        </w:r>
      </w:hyperlink>
    </w:p>
    <w:p>
      <w:pPr>
        <w:tabs>
          <w:tab w:val="right" w:leader="dot" w:pos="9062"/>
        </w:tabs>
        <w:ind w:left="440"/>
      </w:pPr>
      <w:hyperlink w:anchor="_Toc1544" w:history="1">
        <w:r>
          <w:rPr>
            <w:rFonts w:ascii="IRNazanin" w:hAnsi="IRNazanin" w:eastAsia="IRNazanin" w:cs="IRNazanin"/>
            <w:color w:val="111111"/>
            <w:sz w:val="22"/>
            <w:szCs w:val="22"/>
            <w:b w:val="0"/>
            <w:bCs w:val="0"/>
            <w:i w:val="0"/>
            <w:iCs w:val="0"/>
          </w:rPr>
          <w:t>• تاریخ خوی / تاریخ / فارسی</w:t>
        </w:r>
        <w:r>
          <w:tab/>
        </w:r>
        <w:r>
          <w:fldChar w:fldCharType="begin"/>
        </w:r>
        <w:r>
          <w:instrText xml:space="preserve">PAGEREF 1544 \h</w:instrText>
        </w:r>
        <w:r>
          <w:fldChar w:fldCharType="end"/>
        </w:r>
      </w:hyperlink>
    </w:p>
    <w:p>
      <w:pPr>
        <w:tabs>
          <w:tab w:val="right" w:leader="dot" w:pos="9062"/>
        </w:tabs>
        <w:ind w:left="440"/>
      </w:pPr>
      <w:hyperlink w:anchor="_Toc1545" w:history="1">
        <w:r>
          <w:rPr>
            <w:rFonts w:ascii="IRNazanin" w:hAnsi="IRNazanin" w:eastAsia="IRNazanin" w:cs="IRNazanin"/>
            <w:color w:val="111111"/>
            <w:sz w:val="22"/>
            <w:szCs w:val="22"/>
            <w:b w:val="0"/>
            <w:bCs w:val="0"/>
            <w:i w:val="0"/>
            <w:iCs w:val="0"/>
          </w:rPr>
          <w:t>• تاریخ خیرات = اصح التواريخ = احسن التواریخ / تاریخ جهان / فارسی</w:t>
        </w:r>
        <w:r>
          <w:tab/>
        </w:r>
        <w:r>
          <w:fldChar w:fldCharType="begin"/>
        </w:r>
        <w:r>
          <w:instrText xml:space="preserve">PAGEREF 1545 \h</w:instrText>
        </w:r>
        <w:r>
          <w:fldChar w:fldCharType="end"/>
        </w:r>
      </w:hyperlink>
    </w:p>
    <w:p>
      <w:pPr>
        <w:tabs>
          <w:tab w:val="right" w:leader="dot" w:pos="9062"/>
        </w:tabs>
        <w:ind w:left="440"/>
      </w:pPr>
      <w:hyperlink w:anchor="_Toc1546" w:history="1">
        <w:r>
          <w:rPr>
            <w:rFonts w:ascii="IRNazanin" w:hAnsi="IRNazanin" w:eastAsia="IRNazanin" w:cs="IRNazanin"/>
            <w:color w:val="111111"/>
            <w:sz w:val="22"/>
            <w:szCs w:val="22"/>
            <w:b w:val="0"/>
            <w:bCs w:val="0"/>
            <w:i w:val="0"/>
            <w:iCs w:val="0"/>
          </w:rPr>
          <w:t>•تاریخ دار الايمان قم / تاریخ ایران / فارسی</w:t>
        </w:r>
        <w:r>
          <w:tab/>
        </w:r>
        <w:r>
          <w:fldChar w:fldCharType="begin"/>
        </w:r>
        <w:r>
          <w:instrText xml:space="preserve">PAGEREF 1546 \h</w:instrText>
        </w:r>
        <w:r>
          <w:fldChar w:fldCharType="end"/>
        </w:r>
      </w:hyperlink>
    </w:p>
    <w:p>
      <w:pPr>
        <w:tabs>
          <w:tab w:val="right" w:leader="dot" w:pos="9062"/>
        </w:tabs>
        <w:ind w:left="440"/>
      </w:pPr>
      <w:hyperlink w:anchor="_Toc1547" w:history="1">
        <w:r>
          <w:rPr>
            <w:rFonts w:ascii="IRNazanin" w:hAnsi="IRNazanin" w:eastAsia="IRNazanin" w:cs="IRNazanin"/>
            <w:color w:val="111111"/>
            <w:sz w:val="22"/>
            <w:szCs w:val="22"/>
            <w:b w:val="0"/>
            <w:bCs w:val="0"/>
            <w:i w:val="0"/>
            <w:iCs w:val="0"/>
          </w:rPr>
          <w:t>•تاریخ دانشمندان گمنام / تراجم / فارسی</w:t>
        </w:r>
        <w:r>
          <w:tab/>
        </w:r>
        <w:r>
          <w:fldChar w:fldCharType="begin"/>
        </w:r>
        <w:r>
          <w:instrText xml:space="preserve">PAGEREF 1547 \h</w:instrText>
        </w:r>
        <w:r>
          <w:fldChar w:fldCharType="end"/>
        </w:r>
      </w:hyperlink>
    </w:p>
    <w:p>
      <w:pPr>
        <w:tabs>
          <w:tab w:val="right" w:leader="dot" w:pos="9062"/>
        </w:tabs>
        <w:ind w:left="440"/>
      </w:pPr>
      <w:hyperlink w:anchor="_Toc1548" w:history="1">
        <w:r>
          <w:rPr>
            <w:rFonts w:ascii="IRNazanin" w:hAnsi="IRNazanin" w:eastAsia="IRNazanin" w:cs="IRNazanin"/>
            <w:color w:val="111111"/>
            <w:sz w:val="22"/>
            <w:szCs w:val="22"/>
            <w:b w:val="0"/>
            <w:bCs w:val="0"/>
            <w:i w:val="0"/>
            <w:iCs w:val="0"/>
          </w:rPr>
          <w:t>•تاریخ دانی / تاریخ / فارسی</w:t>
        </w:r>
        <w:r>
          <w:tab/>
        </w:r>
        <w:r>
          <w:fldChar w:fldCharType="begin"/>
        </w:r>
        <w:r>
          <w:instrText xml:space="preserve">PAGEREF 1548 \h</w:instrText>
        </w:r>
        <w:r>
          <w:fldChar w:fldCharType="end"/>
        </w:r>
      </w:hyperlink>
    </w:p>
    <w:p>
      <w:pPr>
        <w:tabs>
          <w:tab w:val="right" w:leader="dot" w:pos="9062"/>
        </w:tabs>
        <w:ind w:left="440"/>
      </w:pPr>
      <w:hyperlink w:anchor="_Toc1549" w:history="1">
        <w:r>
          <w:rPr>
            <w:rFonts w:ascii="IRNazanin" w:hAnsi="IRNazanin" w:eastAsia="IRNazanin" w:cs="IRNazanin"/>
            <w:color w:val="111111"/>
            <w:sz w:val="22"/>
            <w:szCs w:val="22"/>
            <w:b w:val="0"/>
            <w:bCs w:val="0"/>
            <w:i w:val="0"/>
            <w:iCs w:val="0"/>
          </w:rPr>
          <w:t>•تاریخ دکن / تاریخ / فارسی</w:t>
        </w:r>
        <w:r>
          <w:tab/>
        </w:r>
        <w:r>
          <w:fldChar w:fldCharType="begin"/>
        </w:r>
        <w:r>
          <w:instrText xml:space="preserve">PAGEREF 1549 \h</w:instrText>
        </w:r>
        <w:r>
          <w:fldChar w:fldCharType="end"/>
        </w:r>
      </w:hyperlink>
    </w:p>
    <w:p>
      <w:pPr>
        <w:tabs>
          <w:tab w:val="right" w:leader="dot" w:pos="9062"/>
        </w:tabs>
        <w:ind w:left="440"/>
      </w:pPr>
      <w:hyperlink w:anchor="_Toc1550" w:history="1">
        <w:r>
          <w:rPr>
            <w:rFonts w:ascii="IRNazanin" w:hAnsi="IRNazanin" w:eastAsia="IRNazanin" w:cs="IRNazanin"/>
            <w:color w:val="111111"/>
            <w:sz w:val="22"/>
            <w:szCs w:val="22"/>
            <w:b w:val="0"/>
            <w:bCs w:val="0"/>
            <w:i w:val="0"/>
            <w:iCs w:val="0"/>
          </w:rPr>
          <w:t>•تاریخ د کن هند / تاریخ هند / فارسی</w:t>
        </w:r>
        <w:r>
          <w:tab/>
        </w:r>
        <w:r>
          <w:fldChar w:fldCharType="begin"/>
        </w:r>
        <w:r>
          <w:instrText xml:space="preserve">PAGEREF 1550 \h</w:instrText>
        </w:r>
        <w:r>
          <w:fldChar w:fldCharType="end"/>
        </w:r>
      </w:hyperlink>
    </w:p>
    <w:p>
      <w:pPr>
        <w:tabs>
          <w:tab w:val="right" w:leader="dot" w:pos="9062"/>
        </w:tabs>
        <w:ind w:left="440"/>
      </w:pPr>
      <w:hyperlink w:anchor="_Toc1551" w:history="1">
        <w:r>
          <w:rPr>
            <w:rFonts w:ascii="IRNazanin" w:hAnsi="IRNazanin" w:eastAsia="IRNazanin" w:cs="IRNazanin"/>
            <w:color w:val="111111"/>
            <w:sz w:val="22"/>
            <w:szCs w:val="22"/>
            <w:b w:val="0"/>
            <w:bCs w:val="0"/>
            <w:i w:val="0"/>
            <w:iCs w:val="0"/>
          </w:rPr>
          <w:t>•تاریخ دمشق / تاریخ / عربی</w:t>
        </w:r>
        <w:r>
          <w:tab/>
        </w:r>
        <w:r>
          <w:fldChar w:fldCharType="begin"/>
        </w:r>
        <w:r>
          <w:instrText xml:space="preserve">PAGEREF 1551 \h</w:instrText>
        </w:r>
        <w:r>
          <w:fldChar w:fldCharType="end"/>
        </w:r>
      </w:hyperlink>
    </w:p>
    <w:p>
      <w:pPr>
        <w:tabs>
          <w:tab w:val="right" w:leader="dot" w:pos="9062"/>
        </w:tabs>
        <w:ind w:left="440"/>
      </w:pPr>
      <w:hyperlink w:anchor="_Toc1552" w:history="1">
        <w:r>
          <w:rPr>
            <w:rFonts w:ascii="IRNazanin" w:hAnsi="IRNazanin" w:eastAsia="IRNazanin" w:cs="IRNazanin"/>
            <w:color w:val="111111"/>
            <w:sz w:val="22"/>
            <w:szCs w:val="22"/>
            <w:b w:val="0"/>
            <w:bCs w:val="0"/>
            <w:i w:val="0"/>
            <w:iCs w:val="0"/>
          </w:rPr>
          <w:t>•تاریخ دمشق (مختصر) / تاریخ / عربی</w:t>
        </w:r>
        <w:r>
          <w:tab/>
        </w:r>
        <w:r>
          <w:fldChar w:fldCharType="begin"/>
        </w:r>
        <w:r>
          <w:instrText xml:space="preserve">PAGEREF 1552 \h</w:instrText>
        </w:r>
        <w:r>
          <w:fldChar w:fldCharType="end"/>
        </w:r>
      </w:hyperlink>
    </w:p>
    <w:p>
      <w:pPr>
        <w:tabs>
          <w:tab w:val="right" w:leader="dot" w:pos="9062"/>
        </w:tabs>
        <w:ind w:left="440"/>
      </w:pPr>
      <w:hyperlink w:anchor="_Toc1553" w:history="1">
        <w:r>
          <w:rPr>
            <w:rFonts w:ascii="IRNazanin" w:hAnsi="IRNazanin" w:eastAsia="IRNazanin" w:cs="IRNazanin"/>
            <w:color w:val="111111"/>
            <w:sz w:val="22"/>
            <w:szCs w:val="22"/>
            <w:b w:val="0"/>
            <w:bCs w:val="0"/>
            <w:i w:val="0"/>
            <w:iCs w:val="0"/>
          </w:rPr>
          <w:t>•تاریخ دنابله / تاریخ / فارسی</w:t>
        </w:r>
        <w:r>
          <w:tab/>
        </w:r>
        <w:r>
          <w:fldChar w:fldCharType="begin"/>
        </w:r>
        <w:r>
          <w:instrText xml:space="preserve">PAGEREF 1553 \h</w:instrText>
        </w:r>
        <w:r>
          <w:fldChar w:fldCharType="end"/>
        </w:r>
      </w:hyperlink>
    </w:p>
    <w:p>
      <w:pPr>
        <w:tabs>
          <w:tab w:val="right" w:leader="dot" w:pos="9062"/>
        </w:tabs>
        <w:ind w:left="440"/>
      </w:pPr>
      <w:hyperlink w:anchor="_Toc1554" w:history="1">
        <w:r>
          <w:rPr>
            <w:rFonts w:ascii="IRNazanin" w:hAnsi="IRNazanin" w:eastAsia="IRNazanin" w:cs="IRNazanin"/>
            <w:color w:val="111111"/>
            <w:sz w:val="22"/>
            <w:szCs w:val="22"/>
            <w:b w:val="0"/>
            <w:bCs w:val="0"/>
            <w:i w:val="0"/>
            <w:iCs w:val="0"/>
          </w:rPr>
          <w:t>•تاریخ دنبلی / تاریخ / فارسی</w:t>
        </w:r>
        <w:r>
          <w:tab/>
        </w:r>
        <w:r>
          <w:fldChar w:fldCharType="begin"/>
        </w:r>
        <w:r>
          <w:instrText xml:space="preserve">PAGEREF 1554 \h</w:instrText>
        </w:r>
        <w:r>
          <w:fldChar w:fldCharType="end"/>
        </w:r>
      </w:hyperlink>
    </w:p>
    <w:p>
      <w:pPr>
        <w:tabs>
          <w:tab w:val="right" w:leader="dot" w:pos="9062"/>
        </w:tabs>
        <w:ind w:left="440"/>
      </w:pPr>
      <w:hyperlink w:anchor="_Toc1555" w:history="1">
        <w:r>
          <w:rPr>
            <w:rFonts w:ascii="IRNazanin" w:hAnsi="IRNazanin" w:eastAsia="IRNazanin" w:cs="IRNazanin"/>
            <w:color w:val="111111"/>
            <w:sz w:val="22"/>
            <w:szCs w:val="22"/>
            <w:b w:val="0"/>
            <w:bCs w:val="0"/>
            <w:i w:val="0"/>
            <w:iCs w:val="0"/>
          </w:rPr>
          <w:t>•تاریخ دنبلیان / تاریخ / فارسی</w:t>
        </w:r>
        <w:r>
          <w:tab/>
        </w:r>
        <w:r>
          <w:fldChar w:fldCharType="begin"/>
        </w:r>
        <w:r>
          <w:instrText xml:space="preserve">PAGEREF 1555 \h</w:instrText>
        </w:r>
        <w:r>
          <w:fldChar w:fldCharType="end"/>
        </w:r>
      </w:hyperlink>
    </w:p>
    <w:p>
      <w:pPr>
        <w:tabs>
          <w:tab w:val="right" w:leader="dot" w:pos="9062"/>
        </w:tabs>
        <w:ind w:left="440"/>
      </w:pPr>
      <w:hyperlink w:anchor="_Toc1556" w:history="1">
        <w:r>
          <w:rPr>
            <w:rFonts w:ascii="IRNazanin" w:hAnsi="IRNazanin" w:eastAsia="IRNazanin" w:cs="IRNazanin"/>
            <w:color w:val="111111"/>
            <w:sz w:val="22"/>
            <w:szCs w:val="22"/>
            <w:b w:val="0"/>
            <w:bCs w:val="0"/>
            <w:i w:val="0"/>
            <w:iCs w:val="0"/>
          </w:rPr>
          <w:t>•تاریخ دنیای قدیم از آغاز خلقت / تاریخ / فارسی</w:t>
        </w:r>
        <w:r>
          <w:tab/>
        </w:r>
        <w:r>
          <w:fldChar w:fldCharType="begin"/>
        </w:r>
        <w:r>
          <w:instrText xml:space="preserve">PAGEREF 1556 \h</w:instrText>
        </w:r>
        <w:r>
          <w:fldChar w:fldCharType="end"/>
        </w:r>
      </w:hyperlink>
    </w:p>
    <w:p>
      <w:pPr>
        <w:tabs>
          <w:tab w:val="right" w:leader="dot" w:pos="9062"/>
        </w:tabs>
        <w:ind w:left="440"/>
      </w:pPr>
      <w:hyperlink w:anchor="_Toc1557" w:history="1">
        <w:r>
          <w:rPr>
            <w:rFonts w:ascii="IRNazanin" w:hAnsi="IRNazanin" w:eastAsia="IRNazanin" w:cs="IRNazanin"/>
            <w:color w:val="111111"/>
            <w:sz w:val="22"/>
            <w:szCs w:val="22"/>
            <w:b w:val="0"/>
            <w:bCs w:val="0"/>
            <w:i w:val="0"/>
            <w:iCs w:val="0"/>
          </w:rPr>
          <w:t>• تاریخ دودمان دنبلی / تاریخ / فارسی</w:t>
        </w:r>
        <w:r>
          <w:tab/>
        </w:r>
        <w:r>
          <w:fldChar w:fldCharType="begin"/>
        </w:r>
        <w:r>
          <w:instrText xml:space="preserve">PAGEREF 1557 \h</w:instrText>
        </w:r>
        <w:r>
          <w:fldChar w:fldCharType="end"/>
        </w:r>
      </w:hyperlink>
    </w:p>
    <w:p>
      <w:pPr>
        <w:tabs>
          <w:tab w:val="right" w:leader="dot" w:pos="9062"/>
        </w:tabs>
        <w:ind w:left="440"/>
      </w:pPr>
      <w:hyperlink w:anchor="_Toc1558" w:history="1">
        <w:r>
          <w:rPr>
            <w:rFonts w:ascii="IRNazanin" w:hAnsi="IRNazanin" w:eastAsia="IRNazanin" w:cs="IRNazanin"/>
            <w:color w:val="111111"/>
            <w:sz w:val="22"/>
            <w:szCs w:val="22"/>
            <w:b w:val="0"/>
            <w:bCs w:val="0"/>
            <w:i w:val="0"/>
            <w:iCs w:val="0"/>
          </w:rPr>
          <w:t>• تاریخ دول الاسلام على الولاء و خلفاء الأمة و ملوکها و اعلامها / تاریخ / عربی</w:t>
        </w:r>
        <w:r>
          <w:tab/>
        </w:r>
        <w:r>
          <w:fldChar w:fldCharType="begin"/>
        </w:r>
        <w:r>
          <w:instrText xml:space="preserve">PAGEREF 1558 \h</w:instrText>
        </w:r>
        <w:r>
          <w:fldChar w:fldCharType="end"/>
        </w:r>
      </w:hyperlink>
    </w:p>
    <w:p>
      <w:pPr>
        <w:tabs>
          <w:tab w:val="right" w:leader="dot" w:pos="9062"/>
        </w:tabs>
        <w:ind w:left="440"/>
      </w:pPr>
      <w:hyperlink w:anchor="_Toc1559" w:history="1">
        <w:r>
          <w:rPr>
            <w:rFonts w:ascii="IRNazanin" w:hAnsi="IRNazanin" w:eastAsia="IRNazanin" w:cs="IRNazanin"/>
            <w:color w:val="111111"/>
            <w:sz w:val="22"/>
            <w:szCs w:val="22"/>
            <w:b w:val="0"/>
            <w:bCs w:val="0"/>
            <w:i w:val="0"/>
            <w:iCs w:val="0"/>
          </w:rPr>
          <w:t>•تاریخ دولت روم = تاریخ قیاصره = تاریخ قیصر / تاریخ / فارسی</w:t>
        </w:r>
        <w:r>
          <w:tab/>
        </w:r>
        <w:r>
          <w:fldChar w:fldCharType="begin"/>
        </w:r>
        <w:r>
          <w:instrText xml:space="preserve">PAGEREF 1559 \h</w:instrText>
        </w:r>
        <w:r>
          <w:fldChar w:fldCharType="end"/>
        </w:r>
      </w:hyperlink>
    </w:p>
    <w:p>
      <w:pPr>
        <w:tabs>
          <w:tab w:val="right" w:leader="dot" w:pos="9062"/>
        </w:tabs>
        <w:ind w:left="440"/>
      </w:pPr>
      <w:hyperlink w:anchor="_Toc1560" w:history="1">
        <w:r>
          <w:rPr>
            <w:rFonts w:ascii="IRNazanin" w:hAnsi="IRNazanin" w:eastAsia="IRNazanin" w:cs="IRNazanin"/>
            <w:color w:val="111111"/>
            <w:sz w:val="22"/>
            <w:szCs w:val="22"/>
            <w:b w:val="0"/>
            <w:bCs w:val="0"/>
            <w:i w:val="0"/>
            <w:iCs w:val="0"/>
          </w:rPr>
          <w:t>• تاریخ دولت عثمانی = تاریخ سلاطین عثمانی = سلطان التواریخ / تاریخ / فارسی</w:t>
        </w:r>
        <w:r>
          <w:tab/>
        </w:r>
        <w:r>
          <w:fldChar w:fldCharType="begin"/>
        </w:r>
        <w:r>
          <w:instrText xml:space="preserve">PAGEREF 1560 \h</w:instrText>
        </w:r>
        <w:r>
          <w:fldChar w:fldCharType="end"/>
        </w:r>
      </w:hyperlink>
    </w:p>
    <w:p>
      <w:pPr>
        <w:tabs>
          <w:tab w:val="right" w:leader="dot" w:pos="9062"/>
        </w:tabs>
        <w:ind w:left="440"/>
      </w:pPr>
      <w:hyperlink w:anchor="_Toc1561" w:history="1">
        <w:r>
          <w:rPr>
            <w:rFonts w:ascii="IRNazanin" w:hAnsi="IRNazanin" w:eastAsia="IRNazanin" w:cs="IRNazanin"/>
            <w:color w:val="111111"/>
            <w:sz w:val="22"/>
            <w:szCs w:val="22"/>
            <w:b w:val="0"/>
            <w:bCs w:val="0"/>
            <w:i w:val="0"/>
            <w:iCs w:val="0"/>
          </w:rPr>
          <w:t>•تاریخ ذوالقرنین = تاریخ نامه خاقان  = رساله صاحب قرانی / تاریخ ایران / فارسی</w:t>
        </w:r>
        <w:r>
          <w:tab/>
        </w:r>
        <w:r>
          <w:fldChar w:fldCharType="begin"/>
        </w:r>
        <w:r>
          <w:instrText xml:space="preserve">PAGEREF 1561 \h</w:instrText>
        </w:r>
        <w:r>
          <w:fldChar w:fldCharType="end"/>
        </w:r>
      </w:hyperlink>
    </w:p>
    <w:p>
      <w:pPr>
        <w:tabs>
          <w:tab w:val="right" w:leader="dot" w:pos="9062"/>
        </w:tabs>
        <w:ind w:left="440"/>
      </w:pPr>
      <w:hyperlink w:anchor="_Toc1562" w:history="1">
        <w:r>
          <w:rPr>
            <w:rFonts w:ascii="IRNazanin" w:hAnsi="IRNazanin" w:eastAsia="IRNazanin" w:cs="IRNazanin"/>
            <w:color w:val="111111"/>
            <w:sz w:val="22"/>
            <w:szCs w:val="22"/>
            <w:b w:val="0"/>
            <w:bCs w:val="0"/>
            <w:i w:val="0"/>
            <w:iCs w:val="0"/>
          </w:rPr>
          <w:t>•تاریخ راجه های هندی / تاریخ هند / فارسی</w:t>
        </w:r>
        <w:r>
          <w:tab/>
        </w:r>
        <w:r>
          <w:fldChar w:fldCharType="begin"/>
        </w:r>
        <w:r>
          <w:instrText xml:space="preserve">PAGEREF 1562 \h</w:instrText>
        </w:r>
        <w:r>
          <w:fldChar w:fldCharType="end"/>
        </w:r>
      </w:hyperlink>
    </w:p>
    <w:p>
      <w:pPr>
        <w:tabs>
          <w:tab w:val="right" w:leader="dot" w:pos="9062"/>
        </w:tabs>
        <w:ind w:left="440"/>
      </w:pPr>
      <w:hyperlink w:anchor="_Toc1563" w:history="1">
        <w:r>
          <w:rPr>
            <w:rFonts w:ascii="IRNazanin" w:hAnsi="IRNazanin" w:eastAsia="IRNazanin" w:cs="IRNazanin"/>
            <w:color w:val="111111"/>
            <w:sz w:val="22"/>
            <w:szCs w:val="22"/>
            <w:b w:val="0"/>
            <w:bCs w:val="0"/>
            <w:i w:val="0"/>
            <w:iCs w:val="0"/>
          </w:rPr>
          <w:t>•تاریخ راشد / تاریخ / ترکی</w:t>
        </w:r>
        <w:r>
          <w:tab/>
        </w:r>
        <w:r>
          <w:fldChar w:fldCharType="begin"/>
        </w:r>
        <w:r>
          <w:instrText xml:space="preserve">PAGEREF 1563 \h</w:instrText>
        </w:r>
        <w:r>
          <w:fldChar w:fldCharType="end"/>
        </w:r>
      </w:hyperlink>
    </w:p>
    <w:p>
      <w:pPr>
        <w:tabs>
          <w:tab w:val="right" w:leader="dot" w:pos="9062"/>
        </w:tabs>
        <w:ind w:left="440"/>
      </w:pPr>
      <w:hyperlink w:anchor="_Toc1564" w:history="1">
        <w:r>
          <w:rPr>
            <w:rFonts w:ascii="IRNazanin" w:hAnsi="IRNazanin" w:eastAsia="IRNazanin" w:cs="IRNazanin"/>
            <w:color w:val="111111"/>
            <w:sz w:val="22"/>
            <w:szCs w:val="22"/>
            <w:b w:val="0"/>
            <w:bCs w:val="0"/>
            <w:i w:val="0"/>
            <w:iCs w:val="0"/>
          </w:rPr>
          <w:t>•تاریخ راقم = تاریخ راقمی = تاریخ سید راقم = تاریخ نامه راقم = تواریخ میر سید راقمی = تاریخ كثيره / تاریخ ایران / فارسی</w:t>
        </w:r>
        <w:r>
          <w:tab/>
        </w:r>
        <w:r>
          <w:fldChar w:fldCharType="begin"/>
        </w:r>
        <w:r>
          <w:instrText xml:space="preserve">PAGEREF 1564 \h</w:instrText>
        </w:r>
        <w:r>
          <w:fldChar w:fldCharType="end"/>
        </w:r>
      </w:hyperlink>
    </w:p>
    <w:p>
      <w:pPr>
        <w:tabs>
          <w:tab w:val="right" w:leader="dot" w:pos="9062"/>
        </w:tabs>
        <w:ind w:left="440"/>
      </w:pPr>
      <w:hyperlink w:anchor="_Toc1565" w:history="1">
        <w:r>
          <w:rPr>
            <w:rFonts w:ascii="IRNazanin" w:hAnsi="IRNazanin" w:eastAsia="IRNazanin" w:cs="IRNazanin"/>
            <w:color w:val="111111"/>
            <w:sz w:val="22"/>
            <w:szCs w:val="22"/>
            <w:b w:val="0"/>
            <w:bCs w:val="0"/>
            <w:i w:val="0"/>
            <w:iCs w:val="0"/>
          </w:rPr>
          <w:t>• تاریخ راه آهن / تاریخ / فارسی</w:t>
        </w:r>
        <w:r>
          <w:tab/>
        </w:r>
        <w:r>
          <w:fldChar w:fldCharType="begin"/>
        </w:r>
        <w:r>
          <w:instrText xml:space="preserve">PAGEREF 1565 \h</w:instrText>
        </w:r>
        <w:r>
          <w:fldChar w:fldCharType="end"/>
        </w:r>
      </w:hyperlink>
    </w:p>
    <w:p>
      <w:pPr>
        <w:tabs>
          <w:tab w:val="right" w:leader="dot" w:pos="9062"/>
        </w:tabs>
        <w:ind w:left="440"/>
      </w:pPr>
      <w:hyperlink w:anchor="_Toc1566" w:history="1">
        <w:r>
          <w:rPr>
            <w:rFonts w:ascii="IRNazanin" w:hAnsi="IRNazanin" w:eastAsia="IRNazanin" w:cs="IRNazanin"/>
            <w:color w:val="111111"/>
            <w:sz w:val="22"/>
            <w:szCs w:val="22"/>
            <w:b w:val="0"/>
            <w:bCs w:val="0"/>
            <w:i w:val="0"/>
            <w:iCs w:val="0"/>
          </w:rPr>
          <w:t>•تاریخ رستم خان و عصر او / تاریخ / فارسی</w:t>
        </w:r>
        <w:r>
          <w:tab/>
        </w:r>
        <w:r>
          <w:fldChar w:fldCharType="begin"/>
        </w:r>
        <w:r>
          <w:instrText xml:space="preserve">PAGEREF 1566 \h</w:instrText>
        </w:r>
        <w:r>
          <w:fldChar w:fldCharType="end"/>
        </w:r>
      </w:hyperlink>
    </w:p>
    <w:p>
      <w:pPr>
        <w:tabs>
          <w:tab w:val="right" w:leader="dot" w:pos="9062"/>
        </w:tabs>
        <w:ind w:left="440"/>
      </w:pPr>
      <w:hyperlink w:anchor="_Toc1567" w:history="1">
        <w:r>
          <w:rPr>
            <w:rFonts w:ascii="IRNazanin" w:hAnsi="IRNazanin" w:eastAsia="IRNazanin" w:cs="IRNazanin"/>
            <w:color w:val="111111"/>
            <w:sz w:val="22"/>
            <w:szCs w:val="22"/>
            <w:b w:val="0"/>
            <w:bCs w:val="0"/>
            <w:i w:val="0"/>
            <w:iCs w:val="0"/>
          </w:rPr>
          <w:t>•تاریخ الرسل و الملوک / تاریخ / عربی</w:t>
        </w:r>
        <w:r>
          <w:tab/>
        </w:r>
        <w:r>
          <w:fldChar w:fldCharType="begin"/>
        </w:r>
        <w:r>
          <w:instrText xml:space="preserve">PAGEREF 1567 \h</w:instrText>
        </w:r>
        <w:r>
          <w:fldChar w:fldCharType="end"/>
        </w:r>
      </w:hyperlink>
    </w:p>
    <w:p>
      <w:pPr>
        <w:tabs>
          <w:tab w:val="right" w:leader="dot" w:pos="9062"/>
        </w:tabs>
        <w:ind w:left="440"/>
      </w:pPr>
      <w:hyperlink w:anchor="_Toc1568" w:history="1">
        <w:r>
          <w:rPr>
            <w:rFonts w:ascii="IRNazanin" w:hAnsi="IRNazanin" w:eastAsia="IRNazanin" w:cs="IRNazanin"/>
            <w:color w:val="111111"/>
            <w:sz w:val="22"/>
            <w:szCs w:val="22"/>
            <w:b w:val="0"/>
            <w:bCs w:val="0"/>
            <w:i w:val="0"/>
            <w:iCs w:val="0"/>
          </w:rPr>
          <w:t>• تاریخ رشیدی (ترجمه) / تاریخ ایران / فارسی</w:t>
        </w:r>
        <w:r>
          <w:tab/>
        </w:r>
        <w:r>
          <w:fldChar w:fldCharType="begin"/>
        </w:r>
        <w:r>
          <w:instrText xml:space="preserve">PAGEREF 1568 \h</w:instrText>
        </w:r>
        <w:r>
          <w:fldChar w:fldCharType="end"/>
        </w:r>
      </w:hyperlink>
    </w:p>
    <w:p>
      <w:pPr>
        <w:tabs>
          <w:tab w:val="right" w:leader="dot" w:pos="9062"/>
        </w:tabs>
        <w:ind w:left="440"/>
      </w:pPr>
      <w:hyperlink w:anchor="_Toc1569" w:history="1">
        <w:r>
          <w:rPr>
            <w:rFonts w:ascii="IRNazanin" w:hAnsi="IRNazanin" w:eastAsia="IRNazanin" w:cs="IRNazanin"/>
            <w:color w:val="111111"/>
            <w:sz w:val="22"/>
            <w:szCs w:val="22"/>
            <w:b w:val="0"/>
            <w:bCs w:val="0"/>
            <w:i w:val="0"/>
            <w:iCs w:val="0"/>
          </w:rPr>
          <w:t>•تاریخ رضوی / تاریخ ایران / فارسی</w:t>
        </w:r>
        <w:r>
          <w:tab/>
        </w:r>
        <w:r>
          <w:fldChar w:fldCharType="begin"/>
        </w:r>
        <w:r>
          <w:instrText xml:space="preserve">PAGEREF 1569 \h</w:instrText>
        </w:r>
        <w:r>
          <w:fldChar w:fldCharType="end"/>
        </w:r>
      </w:hyperlink>
    </w:p>
    <w:p>
      <w:pPr>
        <w:tabs>
          <w:tab w:val="right" w:leader="dot" w:pos="9062"/>
        </w:tabs>
        <w:ind w:left="440"/>
      </w:pPr>
      <w:hyperlink w:anchor="_Toc1570" w:history="1">
        <w:r>
          <w:rPr>
            <w:rFonts w:ascii="IRNazanin" w:hAnsi="IRNazanin" w:eastAsia="IRNazanin" w:cs="IRNazanin"/>
            <w:color w:val="111111"/>
            <w:sz w:val="22"/>
            <w:szCs w:val="22"/>
            <w:b w:val="0"/>
            <w:bCs w:val="0"/>
            <w:i w:val="0"/>
            <w:iCs w:val="0"/>
          </w:rPr>
          <w:t>•تاریخ رفعتی / تاریخ جهان / فارسی</w:t>
        </w:r>
        <w:r>
          <w:tab/>
        </w:r>
        <w:r>
          <w:fldChar w:fldCharType="begin"/>
        </w:r>
        <w:r>
          <w:instrText xml:space="preserve">PAGEREF 1570 \h</w:instrText>
        </w:r>
        <w:r>
          <w:fldChar w:fldCharType="end"/>
        </w:r>
      </w:hyperlink>
    </w:p>
    <w:p>
      <w:pPr>
        <w:tabs>
          <w:tab w:val="right" w:leader="dot" w:pos="9062"/>
        </w:tabs>
        <w:ind w:left="440"/>
      </w:pPr>
      <w:hyperlink w:anchor="_Toc1571" w:history="1">
        <w:r>
          <w:rPr>
            <w:rFonts w:ascii="IRNazanin" w:hAnsi="IRNazanin" w:eastAsia="IRNazanin" w:cs="IRNazanin"/>
            <w:color w:val="111111"/>
            <w:sz w:val="22"/>
            <w:szCs w:val="22"/>
            <w:b w:val="0"/>
            <w:bCs w:val="0"/>
            <w:i w:val="0"/>
            <w:iCs w:val="0"/>
          </w:rPr>
          <w:t>•تاريخ الرقة / تاریخ عربی</w:t>
        </w:r>
        <w:r>
          <w:tab/>
        </w:r>
        <w:r>
          <w:fldChar w:fldCharType="begin"/>
        </w:r>
        <w:r>
          <w:instrText xml:space="preserve">PAGEREF 1571 \h</w:instrText>
        </w:r>
        <w:r>
          <w:fldChar w:fldCharType="end"/>
        </w:r>
      </w:hyperlink>
    </w:p>
    <w:p>
      <w:pPr>
        <w:tabs>
          <w:tab w:val="right" w:leader="dot" w:pos="9062"/>
        </w:tabs>
        <w:ind w:left="440"/>
      </w:pPr>
      <w:hyperlink w:anchor="_Toc1572" w:history="1">
        <w:r>
          <w:rPr>
            <w:rFonts w:ascii="IRNazanin" w:hAnsi="IRNazanin" w:eastAsia="IRNazanin" w:cs="IRNazanin"/>
            <w:color w:val="111111"/>
            <w:sz w:val="22"/>
            <w:szCs w:val="22"/>
            <w:b w:val="0"/>
            <w:bCs w:val="0"/>
            <w:i w:val="0"/>
            <w:iCs w:val="0"/>
          </w:rPr>
          <w:t>•تاریخ رم / تاریخ / فارسی</w:t>
        </w:r>
        <w:r>
          <w:tab/>
        </w:r>
        <w:r>
          <w:fldChar w:fldCharType="begin"/>
        </w:r>
        <w:r>
          <w:instrText xml:space="preserve">PAGEREF 1572 \h</w:instrText>
        </w:r>
        <w:r>
          <w:fldChar w:fldCharType="end"/>
        </w:r>
      </w:hyperlink>
    </w:p>
    <w:p>
      <w:pPr>
        <w:tabs>
          <w:tab w:val="right" w:leader="dot" w:pos="9062"/>
        </w:tabs>
        <w:ind w:left="440"/>
      </w:pPr>
      <w:hyperlink w:anchor="_Toc1573" w:history="1">
        <w:r>
          <w:rPr>
            <w:rFonts w:ascii="IRNazanin" w:hAnsi="IRNazanin" w:eastAsia="IRNazanin" w:cs="IRNazanin"/>
            <w:color w:val="111111"/>
            <w:sz w:val="22"/>
            <w:szCs w:val="22"/>
            <w:b w:val="0"/>
            <w:bCs w:val="0"/>
            <w:i w:val="0"/>
            <w:iCs w:val="0"/>
          </w:rPr>
          <w:t>•تاریخ روابط بین ایران و ونیز / تاریخ / فارسی</w:t>
        </w:r>
        <w:r>
          <w:tab/>
        </w:r>
        <w:r>
          <w:fldChar w:fldCharType="begin"/>
        </w:r>
        <w:r>
          <w:instrText xml:space="preserve">PAGEREF 1573 \h</w:instrText>
        </w:r>
        <w:r>
          <w:fldChar w:fldCharType="end"/>
        </w:r>
      </w:hyperlink>
    </w:p>
    <w:p>
      <w:pPr>
        <w:tabs>
          <w:tab w:val="right" w:leader="dot" w:pos="9062"/>
        </w:tabs>
        <w:ind w:left="440"/>
      </w:pPr>
      <w:hyperlink w:anchor="_Toc1574" w:history="1">
        <w:r>
          <w:rPr>
            <w:rFonts w:ascii="IRNazanin" w:hAnsi="IRNazanin" w:eastAsia="IRNazanin" w:cs="IRNazanin"/>
            <w:color w:val="111111"/>
            <w:sz w:val="22"/>
            <w:szCs w:val="22"/>
            <w:b w:val="0"/>
            <w:bCs w:val="0"/>
            <w:i w:val="0"/>
            <w:iCs w:val="0"/>
          </w:rPr>
          <w:t>•تاریخ روابط سیاسی افغانستان / تاریخ / فارسی</w:t>
        </w:r>
        <w:r>
          <w:tab/>
        </w:r>
        <w:r>
          <w:fldChar w:fldCharType="begin"/>
        </w:r>
        <w:r>
          <w:instrText xml:space="preserve">PAGEREF 1574 \h</w:instrText>
        </w:r>
        <w:r>
          <w:fldChar w:fldCharType="end"/>
        </w:r>
      </w:hyperlink>
    </w:p>
    <w:p>
      <w:pPr>
        <w:tabs>
          <w:tab w:val="right" w:leader="dot" w:pos="9062"/>
        </w:tabs>
        <w:ind w:left="440"/>
      </w:pPr>
      <w:hyperlink w:anchor="_Toc1575" w:history="1">
        <w:r>
          <w:rPr>
            <w:rFonts w:ascii="IRNazanin" w:hAnsi="IRNazanin" w:eastAsia="IRNazanin" w:cs="IRNazanin"/>
            <w:color w:val="111111"/>
            <w:sz w:val="22"/>
            <w:szCs w:val="22"/>
            <w:b w:val="0"/>
            <w:bCs w:val="0"/>
            <w:i w:val="0"/>
            <w:iCs w:val="0"/>
          </w:rPr>
          <w:t>•تاریخ روسیه / تاریخ / فارسی</w:t>
        </w:r>
        <w:r>
          <w:tab/>
        </w:r>
        <w:r>
          <w:fldChar w:fldCharType="begin"/>
        </w:r>
        <w:r>
          <w:instrText xml:space="preserve">PAGEREF 1575 \h</w:instrText>
        </w:r>
        <w:r>
          <w:fldChar w:fldCharType="end"/>
        </w:r>
      </w:hyperlink>
    </w:p>
    <w:p>
      <w:pPr>
        <w:tabs>
          <w:tab w:val="right" w:leader="dot" w:pos="9062"/>
        </w:tabs>
        <w:ind w:left="440"/>
      </w:pPr>
      <w:hyperlink w:anchor="_Toc1576" w:history="1">
        <w:r>
          <w:rPr>
            <w:rFonts w:ascii="IRNazanin" w:hAnsi="IRNazanin" w:eastAsia="IRNazanin" w:cs="IRNazanin"/>
            <w:color w:val="111111"/>
            <w:sz w:val="22"/>
            <w:szCs w:val="22"/>
            <w:b w:val="0"/>
            <w:bCs w:val="0"/>
            <w:i w:val="0"/>
            <w:iCs w:val="0"/>
          </w:rPr>
          <w:t>• تاریخ روسیه / تاریخ / فارسی</w:t>
        </w:r>
        <w:r>
          <w:tab/>
        </w:r>
        <w:r>
          <w:fldChar w:fldCharType="begin"/>
        </w:r>
        <w:r>
          <w:instrText xml:space="preserve">PAGEREF 1576 \h</w:instrText>
        </w:r>
        <w:r>
          <w:fldChar w:fldCharType="end"/>
        </w:r>
      </w:hyperlink>
    </w:p>
    <w:p>
      <w:pPr>
        <w:tabs>
          <w:tab w:val="right" w:leader="dot" w:pos="9062"/>
        </w:tabs>
        <w:ind w:left="440"/>
      </w:pPr>
      <w:hyperlink w:anchor="_Toc1577" w:history="1">
        <w:r>
          <w:rPr>
            <w:rFonts w:ascii="IRNazanin" w:hAnsi="IRNazanin" w:eastAsia="IRNazanin" w:cs="IRNazanin"/>
            <w:color w:val="111111"/>
            <w:sz w:val="22"/>
            <w:szCs w:val="22"/>
            <w:b w:val="0"/>
            <w:bCs w:val="0"/>
            <w:i w:val="0"/>
            <w:iCs w:val="0"/>
          </w:rPr>
          <w:t>•تاریخ روسیه / تاریخ / ترکی</w:t>
        </w:r>
        <w:r>
          <w:tab/>
        </w:r>
        <w:r>
          <w:fldChar w:fldCharType="begin"/>
        </w:r>
        <w:r>
          <w:instrText xml:space="preserve">PAGEREF 1577 \h</w:instrText>
        </w:r>
        <w:r>
          <w:fldChar w:fldCharType="end"/>
        </w:r>
      </w:hyperlink>
    </w:p>
    <w:p>
      <w:pPr>
        <w:tabs>
          <w:tab w:val="right" w:leader="dot" w:pos="9062"/>
        </w:tabs>
        <w:ind w:left="440"/>
      </w:pPr>
      <w:hyperlink w:anchor="_Toc1578" w:history="1">
        <w:r>
          <w:rPr>
            <w:rFonts w:ascii="IRNazanin" w:hAnsi="IRNazanin" w:eastAsia="IRNazanin" w:cs="IRNazanin"/>
            <w:color w:val="111111"/>
            <w:sz w:val="22"/>
            <w:szCs w:val="22"/>
            <w:b w:val="0"/>
            <w:bCs w:val="0"/>
            <w:i w:val="0"/>
            <w:iCs w:val="0"/>
          </w:rPr>
          <w:t>•تاریخ روسیه / تاریخ / فارسی</w:t>
        </w:r>
        <w:r>
          <w:tab/>
        </w:r>
        <w:r>
          <w:fldChar w:fldCharType="begin"/>
        </w:r>
        <w:r>
          <w:instrText xml:space="preserve">PAGEREF 1578 \h</w:instrText>
        </w:r>
        <w:r>
          <w:fldChar w:fldCharType="end"/>
        </w:r>
      </w:hyperlink>
    </w:p>
    <w:p>
      <w:pPr>
        <w:tabs>
          <w:tab w:val="right" w:leader="dot" w:pos="9062"/>
        </w:tabs>
        <w:ind w:left="440"/>
      </w:pPr>
      <w:hyperlink w:anchor="_Toc1579" w:history="1">
        <w:r>
          <w:rPr>
            <w:rFonts w:ascii="IRNazanin" w:hAnsi="IRNazanin" w:eastAsia="IRNazanin" w:cs="IRNazanin"/>
            <w:color w:val="111111"/>
            <w:sz w:val="22"/>
            <w:szCs w:val="22"/>
            <w:b w:val="0"/>
            <w:bCs w:val="0"/>
            <w:i w:val="0"/>
            <w:iCs w:val="0"/>
          </w:rPr>
          <w:t>•تاریخ روسیه برای اطفال دبستان (ترجمه) / تاریخ / فارسی</w:t>
        </w:r>
        <w:r>
          <w:tab/>
        </w:r>
        <w:r>
          <w:fldChar w:fldCharType="begin"/>
        </w:r>
        <w:r>
          <w:instrText xml:space="preserve">PAGEREF 1579 \h</w:instrText>
        </w:r>
        <w:r>
          <w:fldChar w:fldCharType="end"/>
        </w:r>
      </w:hyperlink>
    </w:p>
    <w:p>
      <w:pPr>
        <w:tabs>
          <w:tab w:val="right" w:leader="dot" w:pos="9062"/>
        </w:tabs>
        <w:ind w:left="440"/>
      </w:pPr>
      <w:hyperlink w:anchor="_Toc1580" w:history="1">
        <w:r>
          <w:rPr>
            <w:rFonts w:ascii="IRNazanin" w:hAnsi="IRNazanin" w:eastAsia="IRNazanin" w:cs="IRNazanin"/>
            <w:color w:val="111111"/>
            <w:sz w:val="22"/>
            <w:szCs w:val="22"/>
            <w:b w:val="0"/>
            <w:bCs w:val="0"/>
            <w:i w:val="0"/>
            <w:iCs w:val="0"/>
          </w:rPr>
          <w:t>•تاریخ روضة الصفاء (منتخب) / تاریخ / فارسی</w:t>
        </w:r>
        <w:r>
          <w:tab/>
        </w:r>
        <w:r>
          <w:fldChar w:fldCharType="begin"/>
        </w:r>
        <w:r>
          <w:instrText xml:space="preserve">PAGEREF 1580 \h</w:instrText>
        </w:r>
        <w:r>
          <w:fldChar w:fldCharType="end"/>
        </w:r>
      </w:hyperlink>
    </w:p>
    <w:p>
      <w:pPr>
        <w:tabs>
          <w:tab w:val="right" w:leader="dot" w:pos="9062"/>
        </w:tabs>
        <w:ind w:left="440"/>
      </w:pPr>
      <w:hyperlink w:anchor="_Toc1581" w:history="1">
        <w:r>
          <w:rPr>
            <w:rFonts w:ascii="IRNazanin" w:hAnsi="IRNazanin" w:eastAsia="IRNazanin" w:cs="IRNazanin"/>
            <w:color w:val="111111"/>
            <w:sz w:val="22"/>
            <w:szCs w:val="22"/>
            <w:b w:val="0"/>
            <w:bCs w:val="0"/>
            <w:i w:val="0"/>
            <w:iCs w:val="0"/>
          </w:rPr>
          <w:t>•تاریخ روضه تاج محل / تاریخ / فارسی</w:t>
        </w:r>
        <w:r>
          <w:tab/>
        </w:r>
        <w:r>
          <w:fldChar w:fldCharType="begin"/>
        </w:r>
        <w:r>
          <w:instrText xml:space="preserve">PAGEREF 1581 \h</w:instrText>
        </w:r>
        <w:r>
          <w:fldChar w:fldCharType="end"/>
        </w:r>
      </w:hyperlink>
    </w:p>
    <w:p>
      <w:pPr>
        <w:tabs>
          <w:tab w:val="right" w:leader="dot" w:pos="9062"/>
        </w:tabs>
        <w:ind w:left="440"/>
      </w:pPr>
      <w:hyperlink w:anchor="_Toc1582" w:history="1">
        <w:r>
          <w:rPr>
            <w:rFonts w:ascii="IRNazanin" w:hAnsi="IRNazanin" w:eastAsia="IRNazanin" w:cs="IRNazanin"/>
            <w:color w:val="111111"/>
            <w:sz w:val="22"/>
            <w:szCs w:val="22"/>
            <w:b w:val="0"/>
            <w:bCs w:val="0"/>
            <w:i w:val="0"/>
            <w:iCs w:val="0"/>
          </w:rPr>
          <w:t>•تاریخ روم / تاریخ / فارسی</w:t>
        </w:r>
        <w:r>
          <w:tab/>
        </w:r>
        <w:r>
          <w:fldChar w:fldCharType="begin"/>
        </w:r>
        <w:r>
          <w:instrText xml:space="preserve">PAGEREF 1582 \h</w:instrText>
        </w:r>
        <w:r>
          <w:fldChar w:fldCharType="end"/>
        </w:r>
      </w:hyperlink>
    </w:p>
    <w:p>
      <w:pPr>
        <w:tabs>
          <w:tab w:val="right" w:leader="dot" w:pos="9062"/>
        </w:tabs>
        <w:ind w:left="440"/>
      </w:pPr>
      <w:hyperlink w:anchor="_Toc1583" w:history="1">
        <w:r>
          <w:rPr>
            <w:rFonts w:ascii="IRNazanin" w:hAnsi="IRNazanin" w:eastAsia="IRNazanin" w:cs="IRNazanin"/>
            <w:color w:val="111111"/>
            <w:sz w:val="22"/>
            <w:szCs w:val="22"/>
            <w:b w:val="0"/>
            <w:bCs w:val="0"/>
            <w:i w:val="0"/>
            <w:iCs w:val="0"/>
          </w:rPr>
          <w:t>•تاریخ روم (ترجمه) / تاریخ / فارسی</w:t>
        </w:r>
        <w:r>
          <w:tab/>
        </w:r>
        <w:r>
          <w:fldChar w:fldCharType="begin"/>
        </w:r>
        <w:r>
          <w:instrText xml:space="preserve">PAGEREF 1583 \h</w:instrText>
        </w:r>
        <w:r>
          <w:fldChar w:fldCharType="end"/>
        </w:r>
      </w:hyperlink>
    </w:p>
    <w:p>
      <w:pPr>
        <w:tabs>
          <w:tab w:val="right" w:leader="dot" w:pos="9062"/>
        </w:tabs>
        <w:ind w:left="440"/>
      </w:pPr>
      <w:hyperlink w:anchor="_Toc1584" w:history="1">
        <w:r>
          <w:rPr>
            <w:rFonts w:ascii="IRNazanin" w:hAnsi="IRNazanin" w:eastAsia="IRNazanin" w:cs="IRNazanin"/>
            <w:color w:val="111111"/>
            <w:sz w:val="22"/>
            <w:szCs w:val="22"/>
            <w:b w:val="0"/>
            <w:bCs w:val="0"/>
            <w:i w:val="0"/>
            <w:iCs w:val="0"/>
          </w:rPr>
          <w:t>•تاریخ روم (ترجمه) / تاریخ / فارسی</w:t>
        </w:r>
        <w:r>
          <w:tab/>
        </w:r>
        <w:r>
          <w:fldChar w:fldCharType="begin"/>
        </w:r>
        <w:r>
          <w:instrText xml:space="preserve">PAGEREF 1584 \h</w:instrText>
        </w:r>
        <w:r>
          <w:fldChar w:fldCharType="end"/>
        </w:r>
      </w:hyperlink>
    </w:p>
    <w:p>
      <w:pPr>
        <w:tabs>
          <w:tab w:val="right" w:leader="dot" w:pos="9062"/>
        </w:tabs>
        <w:ind w:left="440"/>
      </w:pPr>
      <w:hyperlink w:anchor="_Toc1585" w:history="1">
        <w:r>
          <w:rPr>
            <w:rFonts w:ascii="IRNazanin" w:hAnsi="IRNazanin" w:eastAsia="IRNazanin" w:cs="IRNazanin"/>
            <w:color w:val="111111"/>
            <w:sz w:val="22"/>
            <w:szCs w:val="22"/>
            <w:b w:val="0"/>
            <w:bCs w:val="0"/>
            <w:i w:val="0"/>
            <w:iCs w:val="0"/>
          </w:rPr>
          <w:t>•تاریخ روم و شهریاران آن مرز و بوم / تاریخ / فارسی</w:t>
        </w:r>
        <w:r>
          <w:tab/>
        </w:r>
        <w:r>
          <w:fldChar w:fldCharType="begin"/>
        </w:r>
        <w:r>
          <w:instrText xml:space="preserve">PAGEREF 1585 \h</w:instrText>
        </w:r>
        <w:r>
          <w:fldChar w:fldCharType="end"/>
        </w:r>
      </w:hyperlink>
    </w:p>
    <w:p>
      <w:pPr>
        <w:tabs>
          <w:tab w:val="right" w:leader="dot" w:pos="9062"/>
        </w:tabs>
        <w:ind w:left="440"/>
      </w:pPr>
      <w:hyperlink w:anchor="_Toc1586" w:history="1">
        <w:r>
          <w:rPr>
            <w:rFonts w:ascii="IRNazanin" w:hAnsi="IRNazanin" w:eastAsia="IRNazanin" w:cs="IRNazanin"/>
            <w:color w:val="111111"/>
            <w:sz w:val="22"/>
            <w:szCs w:val="22"/>
            <w:b w:val="0"/>
            <w:bCs w:val="0"/>
            <w:i w:val="0"/>
            <w:iCs w:val="0"/>
          </w:rPr>
          <w:t>•تاریخ روم و قیاصره / تاریخ جهان / فارسی</w:t>
        </w:r>
        <w:r>
          <w:tab/>
        </w:r>
        <w:r>
          <w:fldChar w:fldCharType="begin"/>
        </w:r>
        <w:r>
          <w:instrText xml:space="preserve">PAGEREF 1586 \h</w:instrText>
        </w:r>
        <w:r>
          <w:fldChar w:fldCharType="end"/>
        </w:r>
      </w:hyperlink>
    </w:p>
    <w:p>
      <w:pPr>
        <w:tabs>
          <w:tab w:val="right" w:leader="dot" w:pos="9062"/>
        </w:tabs>
        <w:ind w:left="440"/>
      </w:pPr>
      <w:hyperlink w:anchor="_Toc1587" w:history="1">
        <w:r>
          <w:rPr>
            <w:rFonts w:ascii="IRNazanin" w:hAnsi="IRNazanin" w:eastAsia="IRNazanin" w:cs="IRNazanin"/>
            <w:color w:val="111111"/>
            <w:sz w:val="22"/>
            <w:szCs w:val="22"/>
            <w:b w:val="0"/>
            <w:bCs w:val="0"/>
            <w:i w:val="0"/>
            <w:iCs w:val="0"/>
          </w:rPr>
          <w:t>•تاریخ رویان / تاریخ ایران / فارسی</w:t>
        </w:r>
        <w:r>
          <w:tab/>
        </w:r>
        <w:r>
          <w:fldChar w:fldCharType="begin"/>
        </w:r>
        <w:r>
          <w:instrText xml:space="preserve">PAGEREF 1587 \h</w:instrText>
        </w:r>
        <w:r>
          <w:fldChar w:fldCharType="end"/>
        </w:r>
      </w:hyperlink>
    </w:p>
    <w:p>
      <w:pPr>
        <w:tabs>
          <w:tab w:val="right" w:leader="dot" w:pos="9062"/>
        </w:tabs>
        <w:ind w:left="440"/>
      </w:pPr>
      <w:hyperlink w:anchor="_Toc1588" w:history="1">
        <w:r>
          <w:rPr>
            <w:rFonts w:ascii="IRNazanin" w:hAnsi="IRNazanin" w:eastAsia="IRNazanin" w:cs="IRNazanin"/>
            <w:color w:val="111111"/>
            <w:sz w:val="22"/>
            <w:szCs w:val="22"/>
            <w:b w:val="0"/>
            <w:bCs w:val="0"/>
            <w:i w:val="0"/>
            <w:iCs w:val="0"/>
          </w:rPr>
          <w:t>• تاریخ زردشت و قسمتی از زند / ادیان و مذاهب / فارسی</w:t>
        </w:r>
        <w:r>
          <w:tab/>
        </w:r>
        <w:r>
          <w:fldChar w:fldCharType="begin"/>
        </w:r>
        <w:r>
          <w:instrText xml:space="preserve">PAGEREF 1588 \h</w:instrText>
        </w:r>
        <w:r>
          <w:fldChar w:fldCharType="end"/>
        </w:r>
      </w:hyperlink>
    </w:p>
    <w:p>
      <w:pPr>
        <w:tabs>
          <w:tab w:val="right" w:leader="dot" w:pos="9062"/>
        </w:tabs>
        <w:ind w:left="440"/>
      </w:pPr>
      <w:hyperlink w:anchor="_Toc1589" w:history="1">
        <w:r>
          <w:rPr>
            <w:rFonts w:ascii="IRNazanin" w:hAnsi="IRNazanin" w:eastAsia="IRNazanin" w:cs="IRNazanin"/>
            <w:color w:val="111111"/>
            <w:sz w:val="22"/>
            <w:szCs w:val="22"/>
            <w:b w:val="0"/>
            <w:bCs w:val="0"/>
            <w:i w:val="0"/>
            <w:iCs w:val="0"/>
          </w:rPr>
          <w:t>•تاریخ زفره / تاریخ / فارسی</w:t>
        </w:r>
        <w:r>
          <w:tab/>
        </w:r>
        <w:r>
          <w:fldChar w:fldCharType="begin"/>
        </w:r>
        <w:r>
          <w:instrText xml:space="preserve">PAGEREF 1589 \h</w:instrText>
        </w:r>
        <w:r>
          <w:fldChar w:fldCharType="end"/>
        </w:r>
      </w:hyperlink>
    </w:p>
    <w:p>
      <w:pPr>
        <w:tabs>
          <w:tab w:val="right" w:leader="dot" w:pos="9062"/>
        </w:tabs>
        <w:ind w:left="440"/>
      </w:pPr>
      <w:hyperlink w:anchor="_Toc1590" w:history="1">
        <w:r>
          <w:rPr>
            <w:rFonts w:ascii="IRNazanin" w:hAnsi="IRNazanin" w:eastAsia="IRNazanin" w:cs="IRNazanin"/>
            <w:color w:val="111111"/>
            <w:sz w:val="22"/>
            <w:szCs w:val="22"/>
            <w:b w:val="0"/>
            <w:bCs w:val="0"/>
            <w:i w:val="0"/>
            <w:iCs w:val="0"/>
          </w:rPr>
          <w:t>•تاريخ الزمان و سبب تفرق الناس في البلدان / تاریخ / عربی</w:t>
        </w:r>
        <w:r>
          <w:tab/>
        </w:r>
        <w:r>
          <w:fldChar w:fldCharType="begin"/>
        </w:r>
        <w:r>
          <w:instrText xml:space="preserve">PAGEREF 1590 \h</w:instrText>
        </w:r>
        <w:r>
          <w:fldChar w:fldCharType="end"/>
        </w:r>
      </w:hyperlink>
    </w:p>
    <w:p>
      <w:pPr>
        <w:tabs>
          <w:tab w:val="right" w:leader="dot" w:pos="9062"/>
        </w:tabs>
        <w:ind w:left="440"/>
      </w:pPr>
      <w:hyperlink w:anchor="_Toc1591" w:history="1">
        <w:r>
          <w:rPr>
            <w:rFonts w:ascii="IRNazanin" w:hAnsi="IRNazanin" w:eastAsia="IRNazanin" w:cs="IRNazanin"/>
            <w:color w:val="111111"/>
            <w:sz w:val="22"/>
            <w:szCs w:val="22"/>
            <w:b w:val="0"/>
            <w:bCs w:val="0"/>
            <w:i w:val="0"/>
            <w:iCs w:val="0"/>
          </w:rPr>
          <w:t>•تاریخ زمین / زمین شناسی / فارسی</w:t>
        </w:r>
        <w:r>
          <w:tab/>
        </w:r>
        <w:r>
          <w:fldChar w:fldCharType="begin"/>
        </w:r>
        <w:r>
          <w:instrText xml:space="preserve">PAGEREF 1591 \h</w:instrText>
        </w:r>
        <w:r>
          <w:fldChar w:fldCharType="end"/>
        </w:r>
      </w:hyperlink>
    </w:p>
    <w:p>
      <w:pPr>
        <w:tabs>
          <w:tab w:val="right" w:leader="dot" w:pos="9062"/>
        </w:tabs>
        <w:ind w:left="440"/>
      </w:pPr>
      <w:hyperlink w:anchor="_Toc1592" w:history="1">
        <w:r>
          <w:rPr>
            <w:rFonts w:ascii="IRNazanin" w:hAnsi="IRNazanin" w:eastAsia="IRNazanin" w:cs="IRNazanin"/>
            <w:color w:val="111111"/>
            <w:sz w:val="22"/>
            <w:szCs w:val="22"/>
            <w:b w:val="0"/>
            <w:bCs w:val="0"/>
            <w:i w:val="0"/>
            <w:iCs w:val="0"/>
          </w:rPr>
          <w:t>•تاریخ زندگانی پیامبر اسلام و ائمه معصومین علیهم السلام / تاریخ / فارسی</w:t>
        </w:r>
        <w:r>
          <w:tab/>
        </w:r>
        <w:r>
          <w:fldChar w:fldCharType="begin"/>
        </w:r>
        <w:r>
          <w:instrText xml:space="preserve">PAGEREF 1592 \h</w:instrText>
        </w:r>
        <w:r>
          <w:fldChar w:fldCharType="end"/>
        </w:r>
      </w:hyperlink>
    </w:p>
    <w:p>
      <w:pPr>
        <w:tabs>
          <w:tab w:val="right" w:leader="dot" w:pos="9062"/>
        </w:tabs>
        <w:ind w:left="440"/>
      </w:pPr>
      <w:hyperlink w:anchor="_Toc1593" w:history="1">
        <w:r>
          <w:rPr>
            <w:rFonts w:ascii="IRNazanin" w:hAnsi="IRNazanin" w:eastAsia="IRNazanin" w:cs="IRNazanin"/>
            <w:color w:val="111111"/>
            <w:sz w:val="22"/>
            <w:szCs w:val="22"/>
            <w:b w:val="0"/>
            <w:bCs w:val="0"/>
            <w:i w:val="0"/>
            <w:iCs w:val="0"/>
          </w:rPr>
          <w:t>•تاریخ زندگانی فوبلاس (ترجمه) = ترجمه حیات فوبلاس / تراجم / فارسی</w:t>
        </w:r>
        <w:r>
          <w:tab/>
        </w:r>
        <w:r>
          <w:fldChar w:fldCharType="begin"/>
        </w:r>
        <w:r>
          <w:instrText xml:space="preserve">PAGEREF 1593 \h</w:instrText>
        </w:r>
        <w:r>
          <w:fldChar w:fldCharType="end"/>
        </w:r>
      </w:hyperlink>
    </w:p>
    <w:p>
      <w:pPr>
        <w:tabs>
          <w:tab w:val="right" w:leader="dot" w:pos="9062"/>
        </w:tabs>
        <w:ind w:left="440"/>
      </w:pPr>
      <w:hyperlink w:anchor="_Toc1594" w:history="1">
        <w:r>
          <w:rPr>
            <w:rFonts w:ascii="IRNazanin" w:hAnsi="IRNazanin" w:eastAsia="IRNazanin" w:cs="IRNazanin"/>
            <w:color w:val="111111"/>
            <w:sz w:val="22"/>
            <w:szCs w:val="22"/>
            <w:b w:val="0"/>
            <w:bCs w:val="0"/>
            <w:i w:val="0"/>
            <w:iCs w:val="0"/>
          </w:rPr>
          <w:t>•تاریخ زندگی و مقاصد ارامنه / تاریخ / فارسی</w:t>
        </w:r>
        <w:r>
          <w:tab/>
        </w:r>
        <w:r>
          <w:fldChar w:fldCharType="begin"/>
        </w:r>
        <w:r>
          <w:instrText xml:space="preserve">PAGEREF 1594 \h</w:instrText>
        </w:r>
        <w:r>
          <w:fldChar w:fldCharType="end"/>
        </w:r>
      </w:hyperlink>
    </w:p>
    <w:p>
      <w:pPr>
        <w:tabs>
          <w:tab w:val="right" w:leader="dot" w:pos="9062"/>
        </w:tabs>
        <w:ind w:left="440"/>
      </w:pPr>
      <w:hyperlink w:anchor="_Toc1595" w:history="1">
        <w:r>
          <w:rPr>
            <w:rFonts w:ascii="IRNazanin" w:hAnsi="IRNazanin" w:eastAsia="IRNazanin" w:cs="IRNazanin"/>
            <w:color w:val="111111"/>
            <w:sz w:val="22"/>
            <w:szCs w:val="22"/>
            <w:b w:val="0"/>
            <w:bCs w:val="0"/>
            <w:i w:val="0"/>
            <w:iCs w:val="0"/>
          </w:rPr>
          <w:t>•تاریخ ژرمن و رم (ترجمه) / تاریخ / فارسی</w:t>
        </w:r>
        <w:r>
          <w:tab/>
        </w:r>
        <w:r>
          <w:fldChar w:fldCharType="begin"/>
        </w:r>
        <w:r>
          <w:instrText xml:space="preserve">PAGEREF 1595 \h</w:instrText>
        </w:r>
        <w:r>
          <w:fldChar w:fldCharType="end"/>
        </w:r>
      </w:hyperlink>
    </w:p>
    <w:p>
      <w:pPr>
        <w:tabs>
          <w:tab w:val="right" w:leader="dot" w:pos="9062"/>
        </w:tabs>
        <w:ind w:left="440"/>
      </w:pPr>
      <w:hyperlink w:anchor="_Toc1596" w:history="1">
        <w:r>
          <w:rPr>
            <w:rFonts w:ascii="IRNazanin" w:hAnsi="IRNazanin" w:eastAsia="IRNazanin" w:cs="IRNazanin"/>
            <w:color w:val="111111"/>
            <w:sz w:val="22"/>
            <w:szCs w:val="22"/>
            <w:b w:val="0"/>
            <w:bCs w:val="0"/>
            <w:i w:val="0"/>
            <w:iCs w:val="0"/>
          </w:rPr>
          <w:t>•تاریخ ساختن بقعه امام رضا در سناباد طوس / تاریخ / فارسی</w:t>
        </w:r>
        <w:r>
          <w:tab/>
        </w:r>
        <w:r>
          <w:fldChar w:fldCharType="begin"/>
        </w:r>
        <w:r>
          <w:instrText xml:space="preserve">PAGEREF 1596 \h</w:instrText>
        </w:r>
        <w:r>
          <w:fldChar w:fldCharType="end"/>
        </w:r>
      </w:hyperlink>
    </w:p>
    <w:p>
      <w:pPr>
        <w:tabs>
          <w:tab w:val="right" w:leader="dot" w:pos="9062"/>
        </w:tabs>
        <w:ind w:left="440"/>
      </w:pPr>
      <w:hyperlink w:anchor="_Toc1597" w:history="1">
        <w:r>
          <w:rPr>
            <w:rFonts w:ascii="IRNazanin" w:hAnsi="IRNazanin" w:eastAsia="IRNazanin" w:cs="IRNazanin"/>
            <w:color w:val="111111"/>
            <w:sz w:val="22"/>
            <w:szCs w:val="22"/>
            <w:b w:val="0"/>
            <w:bCs w:val="0"/>
            <w:i w:val="0"/>
            <w:iCs w:val="0"/>
          </w:rPr>
          <w:t>•تاریخ سپه / تاریخ / فارسی</w:t>
        </w:r>
        <w:r>
          <w:tab/>
        </w:r>
        <w:r>
          <w:fldChar w:fldCharType="begin"/>
        </w:r>
        <w:r>
          <w:instrText xml:space="preserve">PAGEREF 1597 \h</w:instrText>
        </w:r>
        <w:r>
          <w:fldChar w:fldCharType="end"/>
        </w:r>
      </w:hyperlink>
    </w:p>
    <w:p>
      <w:pPr>
        <w:tabs>
          <w:tab w:val="right" w:leader="dot" w:pos="9062"/>
        </w:tabs>
        <w:ind w:left="440"/>
      </w:pPr>
      <w:hyperlink w:anchor="_Toc1598" w:history="1">
        <w:r>
          <w:rPr>
            <w:rFonts w:ascii="IRNazanin" w:hAnsi="IRNazanin" w:eastAsia="IRNazanin" w:cs="IRNazanin"/>
            <w:color w:val="111111"/>
            <w:sz w:val="22"/>
            <w:szCs w:val="22"/>
            <w:b w:val="0"/>
            <w:bCs w:val="0"/>
            <w:i w:val="0"/>
            <w:iCs w:val="0"/>
          </w:rPr>
          <w:t>•تاریخ سرحدات ترکیه و ایران / تاریخ، اسناد / فرانسوی</w:t>
        </w:r>
        <w:r>
          <w:tab/>
        </w:r>
        <w:r>
          <w:fldChar w:fldCharType="begin"/>
        </w:r>
        <w:r>
          <w:instrText xml:space="preserve">PAGEREF 1598 \h</w:instrText>
        </w:r>
        <w:r>
          <w:fldChar w:fldCharType="end"/>
        </w:r>
      </w:hyperlink>
    </w:p>
    <w:p>
      <w:pPr>
        <w:tabs>
          <w:tab w:val="right" w:leader="dot" w:pos="9062"/>
        </w:tabs>
        <w:ind w:left="440"/>
      </w:pPr>
      <w:hyperlink w:anchor="_Toc1599" w:history="1">
        <w:r>
          <w:rPr>
            <w:rFonts w:ascii="IRNazanin" w:hAnsi="IRNazanin" w:eastAsia="IRNazanin" w:cs="IRNazanin"/>
            <w:color w:val="111111"/>
            <w:sz w:val="22"/>
            <w:szCs w:val="22"/>
            <w:b w:val="0"/>
            <w:bCs w:val="0"/>
            <w:i w:val="0"/>
            <w:iCs w:val="0"/>
          </w:rPr>
          <w:t>•تاریخ سرگذشت مسعودی = تاریخ مسعودی / سفرنامه / فارسی</w:t>
        </w:r>
        <w:r>
          <w:tab/>
        </w:r>
        <w:r>
          <w:fldChar w:fldCharType="begin"/>
        </w:r>
        <w:r>
          <w:instrText xml:space="preserve">PAGEREF 1599 \h</w:instrText>
        </w:r>
        <w:r>
          <w:fldChar w:fldCharType="end"/>
        </w:r>
      </w:hyperlink>
    </w:p>
    <w:p>
      <w:pPr>
        <w:tabs>
          <w:tab w:val="right" w:leader="dot" w:pos="9062"/>
        </w:tabs>
        <w:ind w:left="440"/>
      </w:pPr>
      <w:hyperlink w:anchor="_Toc1600" w:history="1">
        <w:r>
          <w:rPr>
            <w:rFonts w:ascii="IRNazanin" w:hAnsi="IRNazanin" w:eastAsia="IRNazanin" w:cs="IRNazanin"/>
            <w:color w:val="111111"/>
            <w:sz w:val="22"/>
            <w:szCs w:val="22"/>
            <w:b w:val="0"/>
            <w:bCs w:val="0"/>
            <w:i w:val="0"/>
            <w:iCs w:val="0"/>
          </w:rPr>
          <w:t>•تاریخ سزار (ترجمه) / تاریخ / فارسی</w:t>
        </w:r>
        <w:r>
          <w:tab/>
        </w:r>
        <w:r>
          <w:fldChar w:fldCharType="begin"/>
        </w:r>
        <w:r>
          <w:instrText xml:space="preserve">PAGEREF 1600 \h</w:instrText>
        </w:r>
        <w:r>
          <w:fldChar w:fldCharType="end"/>
        </w:r>
      </w:hyperlink>
    </w:p>
    <w:p>
      <w:pPr>
        <w:tabs>
          <w:tab w:val="right" w:leader="dot" w:pos="9062"/>
        </w:tabs>
        <w:ind w:left="440"/>
      </w:pPr>
      <w:hyperlink w:anchor="_Toc1601" w:history="1">
        <w:r>
          <w:rPr>
            <w:rFonts w:ascii="IRNazanin" w:hAnsi="IRNazanin" w:eastAsia="IRNazanin" w:cs="IRNazanin"/>
            <w:color w:val="111111"/>
            <w:sz w:val="22"/>
            <w:szCs w:val="22"/>
            <w:b w:val="0"/>
            <w:bCs w:val="0"/>
            <w:i w:val="0"/>
            <w:iCs w:val="0"/>
          </w:rPr>
          <w:t>•تاریخ سلاطین / تاریخ / فارسی</w:t>
        </w:r>
        <w:r>
          <w:tab/>
        </w:r>
        <w:r>
          <w:fldChar w:fldCharType="begin"/>
        </w:r>
        <w:r>
          <w:instrText xml:space="preserve">PAGEREF 1601 \h</w:instrText>
        </w:r>
        <w:r>
          <w:fldChar w:fldCharType="end"/>
        </w:r>
      </w:hyperlink>
    </w:p>
    <w:p>
      <w:pPr>
        <w:tabs>
          <w:tab w:val="right" w:leader="dot" w:pos="9062"/>
        </w:tabs>
        <w:ind w:left="440"/>
      </w:pPr>
      <w:hyperlink w:anchor="_Toc1602" w:history="1">
        <w:r>
          <w:rPr>
            <w:rFonts w:ascii="IRNazanin" w:hAnsi="IRNazanin" w:eastAsia="IRNazanin" w:cs="IRNazanin"/>
            <w:color w:val="111111"/>
            <w:sz w:val="22"/>
            <w:szCs w:val="22"/>
            <w:b w:val="0"/>
            <w:bCs w:val="0"/>
            <w:i w:val="0"/>
            <w:iCs w:val="0"/>
          </w:rPr>
          <w:t>•تاریخ سلاطین اسلامی در هند / تاریخ / فارسی</w:t>
        </w:r>
        <w:r>
          <w:tab/>
        </w:r>
        <w:r>
          <w:fldChar w:fldCharType="begin"/>
        </w:r>
        <w:r>
          <w:instrText xml:space="preserve">PAGEREF 1602 \h</w:instrText>
        </w:r>
        <w:r>
          <w:fldChar w:fldCharType="end"/>
        </w:r>
      </w:hyperlink>
    </w:p>
    <w:p>
      <w:pPr>
        <w:tabs>
          <w:tab w:val="right" w:leader="dot" w:pos="9062"/>
        </w:tabs>
        <w:ind w:left="440"/>
      </w:pPr>
      <w:hyperlink w:anchor="_Toc1603" w:history="1">
        <w:r>
          <w:rPr>
            <w:rFonts w:ascii="IRNazanin" w:hAnsi="IRNazanin" w:eastAsia="IRNazanin" w:cs="IRNazanin"/>
            <w:color w:val="111111"/>
            <w:sz w:val="22"/>
            <w:szCs w:val="22"/>
            <w:b w:val="0"/>
            <w:bCs w:val="0"/>
            <w:i w:val="0"/>
            <w:iCs w:val="0"/>
          </w:rPr>
          <w:t>•تاریخ سلاطین ایران / تاریخ ایران / فارسی</w:t>
        </w:r>
        <w:r>
          <w:tab/>
        </w:r>
        <w:r>
          <w:fldChar w:fldCharType="begin"/>
        </w:r>
        <w:r>
          <w:instrText xml:space="preserve">PAGEREF 1603 \h</w:instrText>
        </w:r>
        <w:r>
          <w:fldChar w:fldCharType="end"/>
        </w:r>
      </w:hyperlink>
    </w:p>
    <w:p>
      <w:pPr>
        <w:tabs>
          <w:tab w:val="right" w:leader="dot" w:pos="9062"/>
        </w:tabs>
        <w:ind w:left="440"/>
      </w:pPr>
      <w:hyperlink w:anchor="_Toc1604" w:history="1">
        <w:r>
          <w:rPr>
            <w:rFonts w:ascii="IRNazanin" w:hAnsi="IRNazanin" w:eastAsia="IRNazanin" w:cs="IRNazanin"/>
            <w:color w:val="111111"/>
            <w:sz w:val="22"/>
            <w:szCs w:val="22"/>
            <w:b w:val="0"/>
            <w:bCs w:val="0"/>
            <w:i w:val="0"/>
            <w:iCs w:val="0"/>
          </w:rPr>
          <w:t>•تاریخ سلاطین ایران / تاریخ ایران / فارسی</w:t>
        </w:r>
        <w:r>
          <w:tab/>
        </w:r>
        <w:r>
          <w:fldChar w:fldCharType="begin"/>
        </w:r>
        <w:r>
          <w:instrText xml:space="preserve">PAGEREF 1604 \h</w:instrText>
        </w:r>
        <w:r>
          <w:fldChar w:fldCharType="end"/>
        </w:r>
      </w:hyperlink>
    </w:p>
    <w:p>
      <w:pPr>
        <w:tabs>
          <w:tab w:val="right" w:leader="dot" w:pos="9062"/>
        </w:tabs>
        <w:ind w:left="440"/>
      </w:pPr>
      <w:hyperlink w:anchor="_Toc1605" w:history="1">
        <w:r>
          <w:rPr>
            <w:rFonts w:ascii="IRNazanin" w:hAnsi="IRNazanin" w:eastAsia="IRNazanin" w:cs="IRNazanin"/>
            <w:color w:val="111111"/>
            <w:sz w:val="22"/>
            <w:szCs w:val="22"/>
            <w:b w:val="0"/>
            <w:bCs w:val="0"/>
            <w:i w:val="0"/>
            <w:iCs w:val="0"/>
          </w:rPr>
          <w:t>•تاریخ سلاطین ترکمان = دیار بکریه / تاریخ ایران / فارسی</w:t>
        </w:r>
        <w:r>
          <w:tab/>
        </w:r>
        <w:r>
          <w:fldChar w:fldCharType="begin"/>
        </w:r>
        <w:r>
          <w:instrText xml:space="preserve">PAGEREF 1605 \h</w:instrText>
        </w:r>
        <w:r>
          <w:fldChar w:fldCharType="end"/>
        </w:r>
      </w:hyperlink>
    </w:p>
    <w:p>
      <w:pPr>
        <w:tabs>
          <w:tab w:val="right" w:leader="dot" w:pos="9062"/>
        </w:tabs>
        <w:ind w:left="440"/>
      </w:pPr>
      <w:hyperlink w:anchor="_Toc1606" w:history="1">
        <w:r>
          <w:rPr>
            <w:rFonts w:ascii="IRNazanin" w:hAnsi="IRNazanin" w:eastAsia="IRNazanin" w:cs="IRNazanin"/>
            <w:color w:val="111111"/>
            <w:sz w:val="22"/>
            <w:szCs w:val="22"/>
            <w:b w:val="0"/>
            <w:bCs w:val="0"/>
            <w:i w:val="0"/>
            <w:iCs w:val="0"/>
          </w:rPr>
          <w:t>• تاریخ سلاطین روسیه (ترجمه) / تاریخ / فارسی</w:t>
        </w:r>
        <w:r>
          <w:tab/>
        </w:r>
        <w:r>
          <w:fldChar w:fldCharType="begin"/>
        </w:r>
        <w:r>
          <w:instrText xml:space="preserve">PAGEREF 1606 \h</w:instrText>
        </w:r>
        <w:r>
          <w:fldChar w:fldCharType="end"/>
        </w:r>
      </w:hyperlink>
    </w:p>
    <w:p>
      <w:pPr>
        <w:tabs>
          <w:tab w:val="right" w:leader="dot" w:pos="9062"/>
        </w:tabs>
        <w:ind w:left="440"/>
      </w:pPr>
      <w:hyperlink w:anchor="_Toc1607" w:history="1">
        <w:r>
          <w:rPr>
            <w:rFonts w:ascii="IRNazanin" w:hAnsi="IRNazanin" w:eastAsia="IRNazanin" w:cs="IRNazanin"/>
            <w:color w:val="111111"/>
            <w:sz w:val="22"/>
            <w:szCs w:val="22"/>
            <w:b w:val="0"/>
            <w:bCs w:val="0"/>
            <w:i w:val="0"/>
            <w:iCs w:val="0"/>
          </w:rPr>
          <w:t>•تاریخ سلاطین روم / تاریخ / فارسی</w:t>
        </w:r>
        <w:r>
          <w:tab/>
        </w:r>
        <w:r>
          <w:fldChar w:fldCharType="begin"/>
        </w:r>
        <w:r>
          <w:instrText xml:space="preserve">PAGEREF 1607 \h</w:instrText>
        </w:r>
        <w:r>
          <w:fldChar w:fldCharType="end"/>
        </w:r>
      </w:hyperlink>
    </w:p>
    <w:p>
      <w:pPr>
        <w:tabs>
          <w:tab w:val="right" w:leader="dot" w:pos="9062"/>
        </w:tabs>
        <w:ind w:left="440"/>
      </w:pPr>
      <w:hyperlink w:anchor="_Toc1608" w:history="1">
        <w:r>
          <w:rPr>
            <w:rFonts w:ascii="IRNazanin" w:hAnsi="IRNazanin" w:eastAsia="IRNazanin" w:cs="IRNazanin"/>
            <w:color w:val="111111"/>
            <w:sz w:val="22"/>
            <w:szCs w:val="22"/>
            <w:b w:val="0"/>
            <w:bCs w:val="0"/>
            <w:i w:val="0"/>
            <w:iCs w:val="0"/>
          </w:rPr>
          <w:t>•تاریخ سلاطین روم (ترجمه) / تاریخ پادشاهان / فارسی</w:t>
        </w:r>
        <w:r>
          <w:tab/>
        </w:r>
        <w:r>
          <w:fldChar w:fldCharType="begin"/>
        </w:r>
        <w:r>
          <w:instrText xml:space="preserve">PAGEREF 1608 \h</w:instrText>
        </w:r>
        <w:r>
          <w:fldChar w:fldCharType="end"/>
        </w:r>
      </w:hyperlink>
    </w:p>
    <w:p>
      <w:pPr>
        <w:tabs>
          <w:tab w:val="right" w:leader="dot" w:pos="9062"/>
        </w:tabs>
        <w:ind w:left="440"/>
      </w:pPr>
      <w:hyperlink w:anchor="_Toc1609" w:history="1">
        <w:r>
          <w:rPr>
            <w:rFonts w:ascii="IRNazanin" w:hAnsi="IRNazanin" w:eastAsia="IRNazanin" w:cs="IRNazanin"/>
            <w:color w:val="111111"/>
            <w:sz w:val="22"/>
            <w:szCs w:val="22"/>
            <w:b w:val="0"/>
            <w:bCs w:val="0"/>
            <w:i w:val="0"/>
            <w:iCs w:val="0"/>
          </w:rPr>
          <w:t>•تاریخ سلاطین صفویه / تاریخ پادشاهان / فارسی</w:t>
        </w:r>
        <w:r>
          <w:tab/>
        </w:r>
        <w:r>
          <w:fldChar w:fldCharType="begin"/>
        </w:r>
        <w:r>
          <w:instrText xml:space="preserve">PAGEREF 1609 \h</w:instrText>
        </w:r>
        <w:r>
          <w:fldChar w:fldCharType="end"/>
        </w:r>
      </w:hyperlink>
    </w:p>
    <w:p>
      <w:pPr>
        <w:tabs>
          <w:tab w:val="right" w:leader="dot" w:pos="9062"/>
        </w:tabs>
        <w:ind w:left="440"/>
      </w:pPr>
      <w:hyperlink w:anchor="_Toc1610" w:history="1">
        <w:r>
          <w:rPr>
            <w:rFonts w:ascii="IRNazanin" w:hAnsi="IRNazanin" w:eastAsia="IRNazanin" w:cs="IRNazanin"/>
            <w:color w:val="111111"/>
            <w:sz w:val="22"/>
            <w:szCs w:val="22"/>
            <w:b w:val="0"/>
            <w:bCs w:val="0"/>
            <w:i w:val="0"/>
            <w:iCs w:val="0"/>
          </w:rPr>
          <w:t>• تاریخ سلاطین عثمانی / تاریخ / فارسی</w:t>
        </w:r>
        <w:r>
          <w:tab/>
        </w:r>
        <w:r>
          <w:fldChar w:fldCharType="begin"/>
        </w:r>
        <w:r>
          <w:instrText xml:space="preserve">PAGEREF 1610 \h</w:instrText>
        </w:r>
        <w:r>
          <w:fldChar w:fldCharType="end"/>
        </w:r>
      </w:hyperlink>
    </w:p>
    <w:p>
      <w:pPr>
        <w:tabs>
          <w:tab w:val="right" w:leader="dot" w:pos="9062"/>
        </w:tabs>
        <w:ind w:left="440"/>
      </w:pPr>
      <w:hyperlink w:anchor="_Toc1611" w:history="1">
        <w:r>
          <w:rPr>
            <w:rFonts w:ascii="IRNazanin" w:hAnsi="IRNazanin" w:eastAsia="IRNazanin" w:cs="IRNazanin"/>
            <w:color w:val="111111"/>
            <w:sz w:val="22"/>
            <w:szCs w:val="22"/>
            <w:b w:val="0"/>
            <w:bCs w:val="0"/>
            <w:i w:val="0"/>
            <w:iCs w:val="0"/>
          </w:rPr>
          <w:t>•تاریخ سلاطین عثمانی / تاریخ پادشاهان / فارسی</w:t>
        </w:r>
        <w:r>
          <w:tab/>
        </w:r>
        <w:r>
          <w:fldChar w:fldCharType="begin"/>
        </w:r>
        <w:r>
          <w:instrText xml:space="preserve">PAGEREF 1611 \h</w:instrText>
        </w:r>
        <w:r>
          <w:fldChar w:fldCharType="end"/>
        </w:r>
      </w:hyperlink>
    </w:p>
    <w:p>
      <w:pPr>
        <w:tabs>
          <w:tab w:val="right" w:leader="dot" w:pos="9062"/>
        </w:tabs>
        <w:ind w:left="440"/>
      </w:pPr>
      <w:hyperlink w:anchor="_Toc1612" w:history="1">
        <w:r>
          <w:rPr>
            <w:rFonts w:ascii="IRNazanin" w:hAnsi="IRNazanin" w:eastAsia="IRNazanin" w:cs="IRNazanin"/>
            <w:color w:val="111111"/>
            <w:sz w:val="22"/>
            <w:szCs w:val="22"/>
            <w:b w:val="0"/>
            <w:bCs w:val="0"/>
            <w:i w:val="0"/>
            <w:iCs w:val="0"/>
          </w:rPr>
          <w:t>•تاریخ سلاطین عجم = تاریخ ایران = پهلوی نامه ناصری / تاریخ ایران / فارسی</w:t>
        </w:r>
        <w:r>
          <w:tab/>
        </w:r>
        <w:r>
          <w:fldChar w:fldCharType="begin"/>
        </w:r>
        <w:r>
          <w:instrText xml:space="preserve">PAGEREF 1612 \h</w:instrText>
        </w:r>
        <w:r>
          <w:fldChar w:fldCharType="end"/>
        </w:r>
      </w:hyperlink>
    </w:p>
    <w:p>
      <w:pPr>
        <w:tabs>
          <w:tab w:val="right" w:leader="dot" w:pos="9062"/>
        </w:tabs>
        <w:ind w:left="440"/>
      </w:pPr>
      <w:hyperlink w:anchor="_Toc1613" w:history="1">
        <w:r>
          <w:rPr>
            <w:rFonts w:ascii="IRNazanin" w:hAnsi="IRNazanin" w:eastAsia="IRNazanin" w:cs="IRNazanin"/>
            <w:color w:val="111111"/>
            <w:sz w:val="22"/>
            <w:szCs w:val="22"/>
            <w:b w:val="0"/>
            <w:bCs w:val="0"/>
            <w:i w:val="0"/>
            <w:iCs w:val="0"/>
          </w:rPr>
          <w:t>•تاریخ سلاطین گجرات / تاریخ / فارسی</w:t>
        </w:r>
        <w:r>
          <w:tab/>
        </w:r>
        <w:r>
          <w:fldChar w:fldCharType="begin"/>
        </w:r>
        <w:r>
          <w:instrText xml:space="preserve">PAGEREF 1613 \h</w:instrText>
        </w:r>
        <w:r>
          <w:fldChar w:fldCharType="end"/>
        </w:r>
      </w:hyperlink>
    </w:p>
    <w:p>
      <w:pPr>
        <w:tabs>
          <w:tab w:val="right" w:leader="dot" w:pos="9062"/>
        </w:tabs>
        <w:ind w:left="440"/>
      </w:pPr>
      <w:hyperlink w:anchor="_Toc1614" w:history="1">
        <w:r>
          <w:rPr>
            <w:rFonts w:ascii="IRNazanin" w:hAnsi="IRNazanin" w:eastAsia="IRNazanin" w:cs="IRNazanin"/>
            <w:color w:val="111111"/>
            <w:sz w:val="22"/>
            <w:szCs w:val="22"/>
            <w:b w:val="0"/>
            <w:bCs w:val="0"/>
            <w:i w:val="0"/>
            <w:iCs w:val="0"/>
          </w:rPr>
          <w:t>•تاریخ سلاطین مصر / تاریخ / فارسی</w:t>
        </w:r>
        <w:r>
          <w:tab/>
        </w:r>
        <w:r>
          <w:fldChar w:fldCharType="begin"/>
        </w:r>
        <w:r>
          <w:instrText xml:space="preserve">PAGEREF 1614 \h</w:instrText>
        </w:r>
        <w:r>
          <w:fldChar w:fldCharType="end"/>
        </w:r>
      </w:hyperlink>
    </w:p>
    <w:p>
      <w:pPr>
        <w:tabs>
          <w:tab w:val="right" w:leader="dot" w:pos="9062"/>
        </w:tabs>
        <w:ind w:left="440"/>
      </w:pPr>
      <w:hyperlink w:anchor="_Toc1615" w:history="1">
        <w:r>
          <w:rPr>
            <w:rFonts w:ascii="IRNazanin" w:hAnsi="IRNazanin" w:eastAsia="IRNazanin" w:cs="IRNazanin"/>
            <w:color w:val="111111"/>
            <w:sz w:val="22"/>
            <w:szCs w:val="22"/>
            <w:b w:val="0"/>
            <w:bCs w:val="0"/>
            <w:i w:val="0"/>
            <w:iCs w:val="0"/>
          </w:rPr>
          <w:t>•تاریخ سلاطین هند (مختصر) / تاریخ هند / فارسی</w:t>
        </w:r>
        <w:r>
          <w:tab/>
        </w:r>
        <w:r>
          <w:fldChar w:fldCharType="begin"/>
        </w:r>
        <w:r>
          <w:instrText xml:space="preserve">PAGEREF 1615 \h</w:instrText>
        </w:r>
        <w:r>
          <w:fldChar w:fldCharType="end"/>
        </w:r>
      </w:hyperlink>
    </w:p>
    <w:p>
      <w:pPr>
        <w:tabs>
          <w:tab w:val="right" w:leader="dot" w:pos="9062"/>
        </w:tabs>
        <w:ind w:left="440"/>
      </w:pPr>
      <w:hyperlink w:anchor="_Toc1616" w:history="1">
        <w:r>
          <w:rPr>
            <w:rFonts w:ascii="IRNazanin" w:hAnsi="IRNazanin" w:eastAsia="IRNazanin" w:cs="IRNazanin"/>
            <w:color w:val="111111"/>
            <w:sz w:val="22"/>
            <w:szCs w:val="22"/>
            <w:b w:val="0"/>
            <w:bCs w:val="0"/>
            <w:i w:val="0"/>
            <w:iCs w:val="0"/>
          </w:rPr>
          <w:t>•تاریخ سلاطین هند و افغان / تاریخ هند / فارسی</w:t>
        </w:r>
        <w:r>
          <w:tab/>
        </w:r>
        <w:r>
          <w:fldChar w:fldCharType="begin"/>
        </w:r>
        <w:r>
          <w:instrText xml:space="preserve">PAGEREF 1616 \h</w:instrText>
        </w:r>
        <w:r>
          <w:fldChar w:fldCharType="end"/>
        </w:r>
      </w:hyperlink>
    </w:p>
    <w:p>
      <w:pPr>
        <w:tabs>
          <w:tab w:val="right" w:leader="dot" w:pos="9062"/>
        </w:tabs>
        <w:ind w:left="440"/>
      </w:pPr>
      <w:hyperlink w:anchor="_Toc1617" w:history="1">
        <w:r>
          <w:rPr>
            <w:rFonts w:ascii="IRNazanin" w:hAnsi="IRNazanin" w:eastAsia="IRNazanin" w:cs="IRNazanin"/>
            <w:color w:val="111111"/>
            <w:sz w:val="22"/>
            <w:szCs w:val="22"/>
            <w:b w:val="0"/>
            <w:bCs w:val="0"/>
            <w:i w:val="0"/>
            <w:iCs w:val="0"/>
          </w:rPr>
          <w:t>• تاریخ سلانیکی = تاریخ سلطان سلیمان خان / تاریخ / ترکی</w:t>
        </w:r>
        <w:r>
          <w:tab/>
        </w:r>
        <w:r>
          <w:fldChar w:fldCharType="begin"/>
        </w:r>
        <w:r>
          <w:instrText xml:space="preserve">PAGEREF 1617 \h</w:instrText>
        </w:r>
        <w:r>
          <w:fldChar w:fldCharType="end"/>
        </w:r>
      </w:hyperlink>
    </w:p>
    <w:p>
      <w:pPr>
        <w:tabs>
          <w:tab w:val="right" w:leader="dot" w:pos="9062"/>
        </w:tabs>
        <w:ind w:left="440"/>
      </w:pPr>
      <w:hyperlink w:anchor="_Toc1618" w:history="1">
        <w:r>
          <w:rPr>
            <w:rFonts w:ascii="IRNazanin" w:hAnsi="IRNazanin" w:eastAsia="IRNazanin" w:cs="IRNazanin"/>
            <w:color w:val="111111"/>
            <w:sz w:val="22"/>
            <w:szCs w:val="22"/>
            <w:b w:val="0"/>
            <w:bCs w:val="0"/>
            <w:i w:val="0"/>
            <w:iCs w:val="0"/>
          </w:rPr>
          <w:t>•تاریخ سلجوقیان کرمان - تاریخ کرمان / تاریخ ایران / فارسی</w:t>
        </w:r>
        <w:r>
          <w:tab/>
        </w:r>
        <w:r>
          <w:fldChar w:fldCharType="begin"/>
        </w:r>
        <w:r>
          <w:instrText xml:space="preserve">PAGEREF 1618 \h</w:instrText>
        </w:r>
        <w:r>
          <w:fldChar w:fldCharType="end"/>
        </w:r>
      </w:hyperlink>
    </w:p>
    <w:p>
      <w:pPr>
        <w:tabs>
          <w:tab w:val="right" w:leader="dot" w:pos="9062"/>
        </w:tabs>
        <w:ind w:left="440"/>
      </w:pPr>
      <w:hyperlink w:anchor="_Toc1619" w:history="1">
        <w:r>
          <w:rPr>
            <w:rFonts w:ascii="IRNazanin" w:hAnsi="IRNazanin" w:eastAsia="IRNazanin" w:cs="IRNazanin"/>
            <w:color w:val="111111"/>
            <w:sz w:val="22"/>
            <w:szCs w:val="22"/>
            <w:b w:val="0"/>
            <w:bCs w:val="0"/>
            <w:i w:val="0"/>
            <w:iCs w:val="0"/>
          </w:rPr>
          <w:t>•تاریخ سلطان = قصص الانبياء / تاریخ / فارسی</w:t>
        </w:r>
        <w:r>
          <w:tab/>
        </w:r>
        <w:r>
          <w:fldChar w:fldCharType="begin"/>
        </w:r>
        <w:r>
          <w:instrText xml:space="preserve">PAGEREF 1619 \h</w:instrText>
        </w:r>
        <w:r>
          <w:fldChar w:fldCharType="end"/>
        </w:r>
      </w:hyperlink>
    </w:p>
    <w:p>
      <w:pPr>
        <w:tabs>
          <w:tab w:val="right" w:leader="dot" w:pos="9062"/>
        </w:tabs>
        <w:ind w:left="440"/>
      </w:pPr>
      <w:hyperlink w:anchor="_Toc1620" w:history="1">
        <w:r>
          <w:rPr>
            <w:rFonts w:ascii="IRNazanin" w:hAnsi="IRNazanin" w:eastAsia="IRNazanin" w:cs="IRNazanin"/>
            <w:color w:val="111111"/>
            <w:sz w:val="22"/>
            <w:szCs w:val="22"/>
            <w:b w:val="0"/>
            <w:bCs w:val="0"/>
            <w:i w:val="0"/>
            <w:iCs w:val="0"/>
          </w:rPr>
          <w:t>•تاریخ سلطان ابراهیم / تاریخ / فارسی</w:t>
        </w:r>
        <w:r>
          <w:tab/>
        </w:r>
        <w:r>
          <w:fldChar w:fldCharType="begin"/>
        </w:r>
        <w:r>
          <w:instrText xml:space="preserve">PAGEREF 1620 \h</w:instrText>
        </w:r>
        <w:r>
          <w:fldChar w:fldCharType="end"/>
        </w:r>
      </w:hyperlink>
    </w:p>
    <w:p>
      <w:pPr>
        <w:tabs>
          <w:tab w:val="right" w:leader="dot" w:pos="9062"/>
        </w:tabs>
        <w:ind w:left="440"/>
      </w:pPr>
      <w:hyperlink w:anchor="_Toc1621" w:history="1">
        <w:r>
          <w:rPr>
            <w:rFonts w:ascii="IRNazanin" w:hAnsi="IRNazanin" w:eastAsia="IRNazanin" w:cs="IRNazanin"/>
            <w:color w:val="111111"/>
            <w:sz w:val="22"/>
            <w:szCs w:val="22"/>
            <w:b w:val="0"/>
            <w:bCs w:val="0"/>
            <w:i w:val="0"/>
            <w:iCs w:val="0"/>
          </w:rPr>
          <w:t>•تاریخ سلطان حسین میرزا بایقرا / تاریخ ایران / فارسی</w:t>
        </w:r>
        <w:r>
          <w:tab/>
        </w:r>
        <w:r>
          <w:fldChar w:fldCharType="begin"/>
        </w:r>
        <w:r>
          <w:instrText xml:space="preserve">PAGEREF 1621 \h</w:instrText>
        </w:r>
        <w:r>
          <w:fldChar w:fldCharType="end"/>
        </w:r>
      </w:hyperlink>
    </w:p>
    <w:p>
      <w:pPr>
        <w:tabs>
          <w:tab w:val="right" w:leader="dot" w:pos="9062"/>
        </w:tabs>
        <w:ind w:left="440"/>
      </w:pPr>
      <w:hyperlink w:anchor="_Toc1622" w:history="1">
        <w:r>
          <w:rPr>
            <w:rFonts w:ascii="IRNazanin" w:hAnsi="IRNazanin" w:eastAsia="IRNazanin" w:cs="IRNazanin"/>
            <w:color w:val="111111"/>
            <w:sz w:val="22"/>
            <w:szCs w:val="22"/>
            <w:b w:val="0"/>
            <w:bCs w:val="0"/>
            <w:i w:val="0"/>
            <w:iCs w:val="0"/>
          </w:rPr>
          <w:t>•تاریخ سلطان حسین میرزا بایقرا / تاریخ ایران / فارسی</w:t>
        </w:r>
        <w:r>
          <w:tab/>
        </w:r>
        <w:r>
          <w:fldChar w:fldCharType="begin"/>
        </w:r>
        <w:r>
          <w:instrText xml:space="preserve">PAGEREF 1622 \h</w:instrText>
        </w:r>
        <w:r>
          <w:fldChar w:fldCharType="end"/>
        </w:r>
      </w:hyperlink>
    </w:p>
    <w:p>
      <w:pPr>
        <w:tabs>
          <w:tab w:val="right" w:leader="dot" w:pos="9062"/>
        </w:tabs>
        <w:ind w:left="440"/>
      </w:pPr>
      <w:hyperlink w:anchor="_Toc1623" w:history="1">
        <w:r>
          <w:rPr>
            <w:rFonts w:ascii="IRNazanin" w:hAnsi="IRNazanin" w:eastAsia="IRNazanin" w:cs="IRNazanin"/>
            <w:color w:val="111111"/>
            <w:sz w:val="22"/>
            <w:szCs w:val="22"/>
            <w:b w:val="0"/>
            <w:bCs w:val="0"/>
            <w:i w:val="0"/>
            <w:iCs w:val="0"/>
          </w:rPr>
          <w:t>•تاریخ سلطانعلی بن امام باقر علیه السلام / تاریخ /  فارسی</w:t>
        </w:r>
        <w:r>
          <w:tab/>
        </w:r>
        <w:r>
          <w:fldChar w:fldCharType="begin"/>
        </w:r>
        <w:r>
          <w:instrText xml:space="preserve">PAGEREF 1623 \h</w:instrText>
        </w:r>
        <w:r>
          <w:fldChar w:fldCharType="end"/>
        </w:r>
      </w:hyperlink>
    </w:p>
    <w:p>
      <w:pPr>
        <w:tabs>
          <w:tab w:val="right" w:leader="dot" w:pos="9062"/>
        </w:tabs>
        <w:ind w:left="440"/>
      </w:pPr>
      <w:hyperlink w:anchor="_Toc1624" w:history="1">
        <w:r>
          <w:rPr>
            <w:rFonts w:ascii="IRNazanin" w:hAnsi="IRNazanin" w:eastAsia="IRNazanin" w:cs="IRNazanin"/>
            <w:color w:val="111111"/>
            <w:sz w:val="22"/>
            <w:szCs w:val="22"/>
            <w:b w:val="0"/>
            <w:bCs w:val="0"/>
            <w:i w:val="0"/>
            <w:iCs w:val="0"/>
          </w:rPr>
          <w:t>•تاریخ سلطان محمد قطب شاہ / تاریخ هند / فارسی</w:t>
        </w:r>
        <w:r>
          <w:tab/>
        </w:r>
        <w:r>
          <w:fldChar w:fldCharType="begin"/>
        </w:r>
        <w:r>
          <w:instrText xml:space="preserve">PAGEREF 1624 \h</w:instrText>
        </w:r>
        <w:r>
          <w:fldChar w:fldCharType="end"/>
        </w:r>
      </w:hyperlink>
    </w:p>
    <w:p>
      <w:pPr>
        <w:tabs>
          <w:tab w:val="right" w:leader="dot" w:pos="9062"/>
        </w:tabs>
        <w:ind w:left="440"/>
      </w:pPr>
      <w:hyperlink w:anchor="_Toc1625" w:history="1">
        <w:r>
          <w:rPr>
            <w:rFonts w:ascii="IRNazanin" w:hAnsi="IRNazanin" w:eastAsia="IRNazanin" w:cs="IRNazanin"/>
            <w:color w:val="111111"/>
            <w:sz w:val="22"/>
            <w:szCs w:val="22"/>
            <w:b w:val="0"/>
            <w:bCs w:val="0"/>
            <w:i w:val="0"/>
            <w:iCs w:val="0"/>
          </w:rPr>
          <w:t>• تاریخ سلطانی / تاریخ جهان / فارسی</w:t>
        </w:r>
        <w:r>
          <w:tab/>
        </w:r>
        <w:r>
          <w:fldChar w:fldCharType="begin"/>
        </w:r>
        <w:r>
          <w:instrText xml:space="preserve">PAGEREF 1625 \h</w:instrText>
        </w:r>
        <w:r>
          <w:fldChar w:fldCharType="end"/>
        </w:r>
      </w:hyperlink>
    </w:p>
    <w:p>
      <w:pPr>
        <w:tabs>
          <w:tab w:val="right" w:leader="dot" w:pos="9062"/>
        </w:tabs>
        <w:ind w:left="440"/>
      </w:pPr>
      <w:hyperlink w:anchor="_Toc1626" w:history="1">
        <w:r>
          <w:rPr>
            <w:rFonts w:ascii="IRNazanin" w:hAnsi="IRNazanin" w:eastAsia="IRNazanin" w:cs="IRNazanin"/>
            <w:color w:val="111111"/>
            <w:sz w:val="22"/>
            <w:szCs w:val="22"/>
            <w:b w:val="0"/>
            <w:bCs w:val="0"/>
            <w:i w:val="0"/>
            <w:iCs w:val="0"/>
          </w:rPr>
          <w:t>•تاریخ سلطانی = تاریخ قاجاریان / تاریخ جهان / فارسی</w:t>
        </w:r>
        <w:r>
          <w:tab/>
        </w:r>
        <w:r>
          <w:fldChar w:fldCharType="begin"/>
        </w:r>
        <w:r>
          <w:instrText xml:space="preserve">PAGEREF 1626 \h</w:instrText>
        </w:r>
        <w:r>
          <w:fldChar w:fldCharType="end"/>
        </w:r>
      </w:hyperlink>
    </w:p>
    <w:p>
      <w:pPr>
        <w:tabs>
          <w:tab w:val="right" w:leader="dot" w:pos="9062"/>
        </w:tabs>
        <w:ind w:left="440"/>
      </w:pPr>
      <w:hyperlink w:anchor="_Toc1627" w:history="1">
        <w:r>
          <w:rPr>
            <w:rFonts w:ascii="IRNazanin" w:hAnsi="IRNazanin" w:eastAsia="IRNazanin" w:cs="IRNazanin"/>
            <w:color w:val="111111"/>
            <w:sz w:val="22"/>
            <w:szCs w:val="22"/>
            <w:b w:val="0"/>
            <w:bCs w:val="0"/>
            <w:i w:val="0"/>
            <w:iCs w:val="0"/>
          </w:rPr>
          <w:t>•تاریخ سلطانی / تاریخ جهان / فارسی</w:t>
        </w:r>
        <w:r>
          <w:tab/>
        </w:r>
        <w:r>
          <w:fldChar w:fldCharType="begin"/>
        </w:r>
        <w:r>
          <w:instrText xml:space="preserve">PAGEREF 1627 \h</w:instrText>
        </w:r>
        <w:r>
          <w:fldChar w:fldCharType="end"/>
        </w:r>
      </w:hyperlink>
    </w:p>
    <w:p>
      <w:pPr>
        <w:tabs>
          <w:tab w:val="right" w:leader="dot" w:pos="9062"/>
        </w:tabs>
        <w:ind w:left="440"/>
      </w:pPr>
      <w:hyperlink w:anchor="_Toc1628" w:history="1">
        <w:r>
          <w:rPr>
            <w:rFonts w:ascii="IRNazanin" w:hAnsi="IRNazanin" w:eastAsia="IRNazanin" w:cs="IRNazanin"/>
            <w:color w:val="111111"/>
            <w:sz w:val="22"/>
            <w:szCs w:val="22"/>
            <w:b w:val="0"/>
            <w:bCs w:val="0"/>
            <w:i w:val="0"/>
            <w:iCs w:val="0"/>
          </w:rPr>
          <w:t>•تاریخ سلطانی / تاریخ / فارسی</w:t>
        </w:r>
        <w:r>
          <w:tab/>
        </w:r>
        <w:r>
          <w:fldChar w:fldCharType="begin"/>
        </w:r>
        <w:r>
          <w:instrText xml:space="preserve">PAGEREF 1628 \h</w:instrText>
        </w:r>
        <w:r>
          <w:fldChar w:fldCharType="end"/>
        </w:r>
      </w:hyperlink>
    </w:p>
    <w:p>
      <w:pPr>
        <w:tabs>
          <w:tab w:val="right" w:leader="dot" w:pos="9062"/>
        </w:tabs>
        <w:ind w:left="440"/>
      </w:pPr>
      <w:hyperlink w:anchor="_Toc1629" w:history="1">
        <w:r>
          <w:rPr>
            <w:rFonts w:ascii="IRNazanin" w:hAnsi="IRNazanin" w:eastAsia="IRNazanin" w:cs="IRNazanin"/>
            <w:color w:val="111111"/>
            <w:sz w:val="22"/>
            <w:szCs w:val="22"/>
            <w:b w:val="0"/>
            <w:bCs w:val="0"/>
            <w:i w:val="0"/>
            <w:iCs w:val="0"/>
          </w:rPr>
          <w:t>•تاریخ سلطنت مظفرالدین شاه قاجار / تاریخ ایران / فارسی</w:t>
        </w:r>
        <w:r>
          <w:tab/>
        </w:r>
        <w:r>
          <w:fldChar w:fldCharType="begin"/>
        </w:r>
        <w:r>
          <w:instrText xml:space="preserve">PAGEREF 1629 \h</w:instrText>
        </w:r>
        <w:r>
          <w:fldChar w:fldCharType="end"/>
        </w:r>
      </w:hyperlink>
    </w:p>
    <w:p>
      <w:pPr>
        <w:tabs>
          <w:tab w:val="right" w:leader="dot" w:pos="9062"/>
        </w:tabs>
        <w:ind w:left="440"/>
      </w:pPr>
      <w:hyperlink w:anchor="_Toc1630" w:history="1">
        <w:r>
          <w:rPr>
            <w:rFonts w:ascii="IRNazanin" w:hAnsi="IRNazanin" w:eastAsia="IRNazanin" w:cs="IRNazanin"/>
            <w:color w:val="111111"/>
            <w:sz w:val="22"/>
            <w:szCs w:val="22"/>
            <w:b w:val="0"/>
            <w:bCs w:val="0"/>
            <w:i w:val="0"/>
            <w:iCs w:val="0"/>
          </w:rPr>
          <w:t>•تاریخ سمرقند / تاریخ / عربی</w:t>
        </w:r>
        <w:r>
          <w:tab/>
        </w:r>
        <w:r>
          <w:fldChar w:fldCharType="begin"/>
        </w:r>
        <w:r>
          <w:instrText xml:space="preserve">PAGEREF 1630 \h</w:instrText>
        </w:r>
        <w:r>
          <w:fldChar w:fldCharType="end"/>
        </w:r>
      </w:hyperlink>
    </w:p>
    <w:p>
      <w:pPr>
        <w:tabs>
          <w:tab w:val="right" w:leader="dot" w:pos="9062"/>
        </w:tabs>
        <w:ind w:left="440"/>
      </w:pPr>
      <w:hyperlink w:anchor="_Toc1631" w:history="1">
        <w:r>
          <w:rPr>
            <w:rFonts w:ascii="IRNazanin" w:hAnsi="IRNazanin" w:eastAsia="IRNazanin" w:cs="IRNazanin"/>
            <w:color w:val="111111"/>
            <w:sz w:val="22"/>
            <w:szCs w:val="22"/>
            <w:b w:val="0"/>
            <w:bCs w:val="0"/>
            <w:i w:val="0"/>
            <w:iCs w:val="0"/>
          </w:rPr>
          <w:t>•تاریخ سند = تاریخ معصومی / تاریخ / فارسی</w:t>
        </w:r>
        <w:r>
          <w:tab/>
        </w:r>
        <w:r>
          <w:fldChar w:fldCharType="begin"/>
        </w:r>
        <w:r>
          <w:instrText xml:space="preserve">PAGEREF 1631 \h</w:instrText>
        </w:r>
        <w:r>
          <w:fldChar w:fldCharType="end"/>
        </w:r>
      </w:hyperlink>
    </w:p>
    <w:p>
      <w:pPr>
        <w:tabs>
          <w:tab w:val="right" w:leader="dot" w:pos="9062"/>
        </w:tabs>
        <w:ind w:left="440"/>
      </w:pPr>
      <w:hyperlink w:anchor="_Toc1632" w:history="1">
        <w:r>
          <w:rPr>
            <w:rFonts w:ascii="IRNazanin" w:hAnsi="IRNazanin" w:eastAsia="IRNazanin" w:cs="IRNazanin"/>
            <w:color w:val="111111"/>
            <w:sz w:val="22"/>
            <w:szCs w:val="22"/>
            <w:b w:val="0"/>
            <w:bCs w:val="0"/>
            <w:i w:val="0"/>
            <w:iCs w:val="0"/>
          </w:rPr>
          <w:t>•تاریخ سنواتی = تاریخ منظوم / تاریخ / فارسی</w:t>
        </w:r>
        <w:r>
          <w:tab/>
        </w:r>
        <w:r>
          <w:fldChar w:fldCharType="begin"/>
        </w:r>
        <w:r>
          <w:instrText xml:space="preserve">PAGEREF 1632 \h</w:instrText>
        </w:r>
        <w:r>
          <w:fldChar w:fldCharType="end"/>
        </w:r>
      </w:hyperlink>
    </w:p>
    <w:p>
      <w:pPr>
        <w:tabs>
          <w:tab w:val="right" w:leader="dot" w:pos="9062"/>
        </w:tabs>
        <w:ind w:left="440"/>
      </w:pPr>
      <w:hyperlink w:anchor="_Toc1633" w:history="1">
        <w:r>
          <w:rPr>
            <w:rFonts w:ascii="IRNazanin" w:hAnsi="IRNazanin" w:eastAsia="IRNazanin" w:cs="IRNazanin"/>
            <w:color w:val="111111"/>
            <w:sz w:val="22"/>
            <w:szCs w:val="22"/>
            <w:b w:val="0"/>
            <w:bCs w:val="0"/>
            <w:i w:val="0"/>
            <w:iCs w:val="0"/>
          </w:rPr>
          <w:t>•تاریخ سنواتی / تاریخ / فارسی</w:t>
        </w:r>
        <w:r>
          <w:tab/>
        </w:r>
        <w:r>
          <w:fldChar w:fldCharType="begin"/>
        </w:r>
        <w:r>
          <w:instrText xml:space="preserve">PAGEREF 1633 \h</w:instrText>
        </w:r>
        <w:r>
          <w:fldChar w:fldCharType="end"/>
        </w:r>
      </w:hyperlink>
    </w:p>
    <w:p>
      <w:pPr>
        <w:tabs>
          <w:tab w:val="right" w:leader="dot" w:pos="9062"/>
        </w:tabs>
        <w:ind w:left="440"/>
      </w:pPr>
      <w:hyperlink w:anchor="_Toc1634" w:history="1">
        <w:r>
          <w:rPr>
            <w:rFonts w:ascii="IRNazanin" w:hAnsi="IRNazanin" w:eastAsia="IRNazanin" w:cs="IRNazanin"/>
            <w:color w:val="111111"/>
            <w:sz w:val="22"/>
            <w:szCs w:val="22"/>
            <w:b w:val="0"/>
            <w:bCs w:val="0"/>
            <w:i w:val="0"/>
            <w:iCs w:val="0"/>
          </w:rPr>
          <w:t>•تاریخ سنواتی اسلام / تاریخ اسلام / فارسی</w:t>
        </w:r>
        <w:r>
          <w:tab/>
        </w:r>
        <w:r>
          <w:fldChar w:fldCharType="begin"/>
        </w:r>
        <w:r>
          <w:instrText xml:space="preserve">PAGEREF 1634 \h</w:instrText>
        </w:r>
        <w:r>
          <w:fldChar w:fldCharType="end"/>
        </w:r>
      </w:hyperlink>
    </w:p>
    <w:p>
      <w:pPr>
        <w:tabs>
          <w:tab w:val="right" w:leader="dot" w:pos="9062"/>
        </w:tabs>
        <w:ind w:left="440"/>
      </w:pPr>
      <w:hyperlink w:anchor="_Toc1635" w:history="1">
        <w:r>
          <w:rPr>
            <w:rFonts w:ascii="IRNazanin" w:hAnsi="IRNazanin" w:eastAsia="IRNazanin" w:cs="IRNazanin"/>
            <w:color w:val="111111"/>
            <w:sz w:val="22"/>
            <w:szCs w:val="22"/>
            <w:b w:val="0"/>
            <w:bCs w:val="0"/>
            <w:i w:val="0"/>
            <w:iCs w:val="0"/>
          </w:rPr>
          <w:t>•تاریخ سنی ملوک الارض و الانبياء / تاریخ / عربی</w:t>
        </w:r>
        <w:r>
          <w:tab/>
        </w:r>
        <w:r>
          <w:fldChar w:fldCharType="begin"/>
        </w:r>
        <w:r>
          <w:instrText xml:space="preserve">PAGEREF 1635 \h</w:instrText>
        </w:r>
        <w:r>
          <w:fldChar w:fldCharType="end"/>
        </w:r>
      </w:hyperlink>
    </w:p>
    <w:p>
      <w:pPr>
        <w:tabs>
          <w:tab w:val="right" w:leader="dot" w:pos="9062"/>
        </w:tabs>
        <w:ind w:left="440"/>
      </w:pPr>
      <w:hyperlink w:anchor="_Toc1636" w:history="1">
        <w:r>
          <w:rPr>
            <w:rFonts w:ascii="IRNazanin" w:hAnsi="IRNazanin" w:eastAsia="IRNazanin" w:cs="IRNazanin"/>
            <w:color w:val="111111"/>
            <w:sz w:val="22"/>
            <w:szCs w:val="22"/>
            <w:b w:val="0"/>
            <w:bCs w:val="0"/>
            <w:i w:val="0"/>
            <w:iCs w:val="0"/>
          </w:rPr>
          <w:t>• تاریخ سودان / تاریخ / فارسی</w:t>
        </w:r>
        <w:r>
          <w:tab/>
        </w:r>
        <w:r>
          <w:fldChar w:fldCharType="begin"/>
        </w:r>
        <w:r>
          <w:instrText xml:space="preserve">PAGEREF 1636 \h</w:instrText>
        </w:r>
        <w:r>
          <w:fldChar w:fldCharType="end"/>
        </w:r>
      </w:hyperlink>
    </w:p>
    <w:p>
      <w:pPr>
        <w:tabs>
          <w:tab w:val="right" w:leader="dot" w:pos="9062"/>
        </w:tabs>
        <w:ind w:left="440"/>
      </w:pPr>
      <w:hyperlink w:anchor="_Toc1637" w:history="1">
        <w:r>
          <w:rPr>
            <w:rFonts w:ascii="IRNazanin" w:hAnsi="IRNazanin" w:eastAsia="IRNazanin" w:cs="IRNazanin"/>
            <w:color w:val="111111"/>
            <w:sz w:val="22"/>
            <w:szCs w:val="22"/>
            <w:b w:val="0"/>
            <w:bCs w:val="0"/>
            <w:i w:val="0"/>
            <w:iCs w:val="0"/>
          </w:rPr>
          <w:t>•تاریخ سیاح / تاریخ / ترکی</w:t>
        </w:r>
        <w:r>
          <w:tab/>
        </w:r>
        <w:r>
          <w:fldChar w:fldCharType="begin"/>
        </w:r>
        <w:r>
          <w:instrText xml:space="preserve">PAGEREF 1637 \h</w:instrText>
        </w:r>
        <w:r>
          <w:fldChar w:fldCharType="end"/>
        </w:r>
      </w:hyperlink>
    </w:p>
    <w:p>
      <w:pPr>
        <w:tabs>
          <w:tab w:val="right" w:leader="dot" w:pos="9062"/>
        </w:tabs>
        <w:ind w:left="440"/>
      </w:pPr>
      <w:hyperlink w:anchor="_Toc1638" w:history="1">
        <w:r>
          <w:rPr>
            <w:rFonts w:ascii="IRNazanin" w:hAnsi="IRNazanin" w:eastAsia="IRNazanin" w:cs="IRNazanin"/>
            <w:color w:val="111111"/>
            <w:sz w:val="22"/>
            <w:szCs w:val="22"/>
            <w:b w:val="0"/>
            <w:bCs w:val="0"/>
            <w:i w:val="0"/>
            <w:iCs w:val="0"/>
          </w:rPr>
          <w:t>•تاریخ سیاسی اروپا / تاریخ / فارسی</w:t>
        </w:r>
        <w:r>
          <w:tab/>
        </w:r>
        <w:r>
          <w:fldChar w:fldCharType="begin"/>
        </w:r>
        <w:r>
          <w:instrText xml:space="preserve">PAGEREF 1638 \h</w:instrText>
        </w:r>
        <w:r>
          <w:fldChar w:fldCharType="end"/>
        </w:r>
      </w:hyperlink>
    </w:p>
    <w:p>
      <w:pPr>
        <w:tabs>
          <w:tab w:val="right" w:leader="dot" w:pos="9062"/>
        </w:tabs>
        <w:ind w:left="440"/>
      </w:pPr>
      <w:hyperlink w:anchor="_Toc1639" w:history="1">
        <w:r>
          <w:rPr>
            <w:rFonts w:ascii="IRNazanin" w:hAnsi="IRNazanin" w:eastAsia="IRNazanin" w:cs="IRNazanin"/>
            <w:color w:val="111111"/>
            <w:sz w:val="22"/>
            <w:szCs w:val="22"/>
            <w:b w:val="0"/>
            <w:bCs w:val="0"/>
            <w:i w:val="0"/>
            <w:iCs w:val="0"/>
          </w:rPr>
          <w:t>•تاریخ سیاسی ایران / تاریخ / فارسی</w:t>
        </w:r>
        <w:r>
          <w:tab/>
        </w:r>
        <w:r>
          <w:fldChar w:fldCharType="begin"/>
        </w:r>
        <w:r>
          <w:instrText xml:space="preserve">PAGEREF 1639 \h</w:instrText>
        </w:r>
        <w:r>
          <w:fldChar w:fldCharType="end"/>
        </w:r>
      </w:hyperlink>
    </w:p>
    <w:p>
      <w:pPr>
        <w:tabs>
          <w:tab w:val="right" w:leader="dot" w:pos="9062"/>
        </w:tabs>
        <w:ind w:left="440"/>
      </w:pPr>
      <w:hyperlink w:anchor="_Toc1640" w:history="1">
        <w:r>
          <w:rPr>
            <w:rFonts w:ascii="IRNazanin" w:hAnsi="IRNazanin" w:eastAsia="IRNazanin" w:cs="IRNazanin"/>
            <w:color w:val="111111"/>
            <w:sz w:val="22"/>
            <w:szCs w:val="22"/>
            <w:b w:val="0"/>
            <w:bCs w:val="0"/>
            <w:i w:val="0"/>
            <w:iCs w:val="0"/>
          </w:rPr>
          <w:t>•تاریخ سیاسی دوره رضاخان / تاریخ ایران / فارسی</w:t>
        </w:r>
        <w:r>
          <w:tab/>
        </w:r>
        <w:r>
          <w:fldChar w:fldCharType="begin"/>
        </w:r>
        <w:r>
          <w:instrText xml:space="preserve">PAGEREF 1640 \h</w:instrText>
        </w:r>
        <w:r>
          <w:fldChar w:fldCharType="end"/>
        </w:r>
      </w:hyperlink>
    </w:p>
    <w:p>
      <w:pPr>
        <w:tabs>
          <w:tab w:val="right" w:leader="dot" w:pos="9062"/>
        </w:tabs>
        <w:ind w:left="440"/>
      </w:pPr>
      <w:hyperlink w:anchor="_Toc1641" w:history="1">
        <w:r>
          <w:rPr>
            <w:rFonts w:ascii="IRNazanin" w:hAnsi="IRNazanin" w:eastAsia="IRNazanin" w:cs="IRNazanin"/>
            <w:color w:val="111111"/>
            <w:sz w:val="22"/>
            <w:szCs w:val="22"/>
            <w:b w:val="0"/>
            <w:bCs w:val="0"/>
            <w:i w:val="0"/>
            <w:iCs w:val="0"/>
          </w:rPr>
          <w:t>•تاریخ سیاقی = سياق التواریخ = تاریخ پادشاهان ایران - تاریخ پادشاهان عجم = تاريخ مجدول = تاریخ سنواتی = مجمل التواریخ = تاریخ تقویمی = تقويم التواریخ / تاریخ ایران / فارسی</w:t>
        </w:r>
        <w:r>
          <w:tab/>
        </w:r>
        <w:r>
          <w:fldChar w:fldCharType="begin"/>
        </w:r>
        <w:r>
          <w:instrText xml:space="preserve">PAGEREF 1641 \h</w:instrText>
        </w:r>
        <w:r>
          <w:fldChar w:fldCharType="end"/>
        </w:r>
      </w:hyperlink>
    </w:p>
    <w:p>
      <w:pPr>
        <w:tabs>
          <w:tab w:val="right" w:leader="dot" w:pos="9062"/>
        </w:tabs>
        <w:ind w:left="440"/>
      </w:pPr>
      <w:hyperlink w:anchor="_Toc1642" w:history="1">
        <w:r>
          <w:rPr>
            <w:rFonts w:ascii="IRNazanin" w:hAnsi="IRNazanin" w:eastAsia="IRNazanin" w:cs="IRNazanin"/>
            <w:color w:val="111111"/>
            <w:sz w:val="22"/>
            <w:szCs w:val="22"/>
            <w:b w:val="0"/>
            <w:bCs w:val="0"/>
            <w:i w:val="0"/>
            <w:iCs w:val="0"/>
          </w:rPr>
          <w:t>•تاریخ سیاقی = تاریخ پادشاهان عجم = خلاصة التواریخ / تاریخ ایران / فارسی</w:t>
        </w:r>
        <w:r>
          <w:tab/>
        </w:r>
        <w:r>
          <w:fldChar w:fldCharType="begin"/>
        </w:r>
        <w:r>
          <w:instrText xml:space="preserve">PAGEREF 1642 \h</w:instrText>
        </w:r>
        <w:r>
          <w:fldChar w:fldCharType="end"/>
        </w:r>
      </w:hyperlink>
    </w:p>
    <w:p>
      <w:pPr>
        <w:tabs>
          <w:tab w:val="right" w:leader="dot" w:pos="9062"/>
        </w:tabs>
        <w:ind w:left="440"/>
      </w:pPr>
      <w:hyperlink w:anchor="_Toc1643" w:history="1">
        <w:r>
          <w:rPr>
            <w:rFonts w:ascii="IRNazanin" w:hAnsi="IRNazanin" w:eastAsia="IRNazanin" w:cs="IRNazanin"/>
            <w:color w:val="111111"/>
            <w:sz w:val="22"/>
            <w:szCs w:val="22"/>
            <w:b w:val="0"/>
            <w:bCs w:val="0"/>
            <w:i w:val="0"/>
            <w:iCs w:val="0"/>
          </w:rPr>
          <w:t>•تاریخ سیاقی = سياق التواریخ = تاریخ پادشاهان ایران - تاریخ پادشاهان عجم = تاریخ مجدول = تاریخ سنواتی = مجمل التواریخ = تاریخ تقویمی = تقويم التواریخ / تاریخ ایران / فارسی</w:t>
        </w:r>
        <w:r>
          <w:tab/>
        </w:r>
        <w:r>
          <w:fldChar w:fldCharType="begin"/>
        </w:r>
        <w:r>
          <w:instrText xml:space="preserve">PAGEREF 1643 \h</w:instrText>
        </w:r>
        <w:r>
          <w:fldChar w:fldCharType="end"/>
        </w:r>
      </w:hyperlink>
    </w:p>
    <w:p>
      <w:pPr>
        <w:tabs>
          <w:tab w:val="right" w:leader="dot" w:pos="9062"/>
        </w:tabs>
        <w:ind w:left="440"/>
      </w:pPr>
      <w:hyperlink w:anchor="_Toc1644" w:history="1">
        <w:r>
          <w:rPr>
            <w:rFonts w:ascii="IRNazanin" w:hAnsi="IRNazanin" w:eastAsia="IRNazanin" w:cs="IRNazanin"/>
            <w:color w:val="111111"/>
            <w:sz w:val="22"/>
            <w:szCs w:val="22"/>
            <w:b w:val="0"/>
            <w:bCs w:val="0"/>
            <w:i w:val="0"/>
            <w:iCs w:val="0"/>
          </w:rPr>
          <w:t>•تاریخ سیرة البرامكة / تاریخ / عربی</w:t>
        </w:r>
        <w:r>
          <w:tab/>
        </w:r>
        <w:r>
          <w:fldChar w:fldCharType="begin"/>
        </w:r>
        <w:r>
          <w:instrText xml:space="preserve">PAGEREF 1644 \h</w:instrText>
        </w:r>
        <w:r>
          <w:fldChar w:fldCharType="end"/>
        </w:r>
      </w:hyperlink>
    </w:p>
    <w:p>
      <w:pPr>
        <w:tabs>
          <w:tab w:val="right" w:leader="dot" w:pos="9062"/>
        </w:tabs>
        <w:ind w:left="440"/>
      </w:pPr>
      <w:hyperlink w:anchor="_Toc1645" w:history="1">
        <w:r>
          <w:rPr>
            <w:rFonts w:ascii="IRNazanin" w:hAnsi="IRNazanin" w:eastAsia="IRNazanin" w:cs="IRNazanin"/>
            <w:color w:val="111111"/>
            <w:sz w:val="22"/>
            <w:szCs w:val="22"/>
            <w:b w:val="0"/>
            <w:bCs w:val="0"/>
            <w:i w:val="0"/>
            <w:iCs w:val="0"/>
          </w:rPr>
          <w:t>• تاریخ سیستان / تاریخ ایران / عربی</w:t>
        </w:r>
        <w:r>
          <w:tab/>
        </w:r>
        <w:r>
          <w:fldChar w:fldCharType="begin"/>
        </w:r>
        <w:r>
          <w:instrText xml:space="preserve">PAGEREF 1645 \h</w:instrText>
        </w:r>
        <w:r>
          <w:fldChar w:fldCharType="end"/>
        </w:r>
      </w:hyperlink>
    </w:p>
    <w:p>
      <w:pPr>
        <w:tabs>
          <w:tab w:val="right" w:leader="dot" w:pos="9062"/>
        </w:tabs>
        <w:ind w:left="440"/>
      </w:pPr>
      <w:hyperlink w:anchor="_Toc1646" w:history="1">
        <w:r>
          <w:rPr>
            <w:rFonts w:ascii="IRNazanin" w:hAnsi="IRNazanin" w:eastAsia="IRNazanin" w:cs="IRNazanin"/>
            <w:color w:val="111111"/>
            <w:sz w:val="22"/>
            <w:szCs w:val="22"/>
            <w:b w:val="0"/>
            <w:bCs w:val="0"/>
            <w:i w:val="0"/>
            <w:iCs w:val="0"/>
          </w:rPr>
          <w:t>•تاریخ سیستان / شعر، تاریخ / فارسی</w:t>
        </w:r>
        <w:r>
          <w:tab/>
        </w:r>
        <w:r>
          <w:fldChar w:fldCharType="begin"/>
        </w:r>
        <w:r>
          <w:instrText xml:space="preserve">PAGEREF 1646 \h</w:instrText>
        </w:r>
        <w:r>
          <w:fldChar w:fldCharType="end"/>
        </w:r>
      </w:hyperlink>
    </w:p>
    <w:p>
      <w:pPr>
        <w:tabs>
          <w:tab w:val="right" w:leader="dot" w:pos="9062"/>
        </w:tabs>
        <w:ind w:left="440"/>
      </w:pPr>
      <w:hyperlink w:anchor="_Toc1647" w:history="1">
        <w:r>
          <w:rPr>
            <w:rFonts w:ascii="IRNazanin" w:hAnsi="IRNazanin" w:eastAsia="IRNazanin" w:cs="IRNazanin"/>
            <w:color w:val="111111"/>
            <w:sz w:val="22"/>
            <w:szCs w:val="22"/>
            <w:b w:val="0"/>
            <w:bCs w:val="0"/>
            <w:i w:val="0"/>
            <w:iCs w:val="0"/>
          </w:rPr>
          <w:t>•تاریخ سیستان / تاریخ ایران / فارسی</w:t>
        </w:r>
        <w:r>
          <w:tab/>
        </w:r>
        <w:r>
          <w:fldChar w:fldCharType="begin"/>
        </w:r>
        <w:r>
          <w:instrText xml:space="preserve">PAGEREF 1647 \h</w:instrText>
        </w:r>
        <w:r>
          <w:fldChar w:fldCharType="end"/>
        </w:r>
      </w:hyperlink>
    </w:p>
    <w:p>
      <w:pPr>
        <w:tabs>
          <w:tab w:val="right" w:leader="dot" w:pos="9062"/>
        </w:tabs>
        <w:ind w:left="440"/>
      </w:pPr>
      <w:hyperlink w:anchor="_Toc1648" w:history="1">
        <w:r>
          <w:rPr>
            <w:rFonts w:ascii="IRNazanin" w:hAnsi="IRNazanin" w:eastAsia="IRNazanin" w:cs="IRNazanin"/>
            <w:color w:val="111111"/>
            <w:sz w:val="22"/>
            <w:szCs w:val="22"/>
            <w:b w:val="0"/>
            <w:bCs w:val="0"/>
            <w:i w:val="0"/>
            <w:iCs w:val="0"/>
          </w:rPr>
          <w:t>• تاریخ سیکها / تاریخ هند-هندی</w:t>
        </w:r>
        <w:r>
          <w:tab/>
        </w:r>
        <w:r>
          <w:fldChar w:fldCharType="begin"/>
        </w:r>
        <w:r>
          <w:instrText xml:space="preserve">PAGEREF 1648 \h</w:instrText>
        </w:r>
        <w:r>
          <w:fldChar w:fldCharType="end"/>
        </w:r>
      </w:hyperlink>
    </w:p>
    <w:p>
      <w:pPr>
        <w:tabs>
          <w:tab w:val="right" w:leader="dot" w:pos="9062"/>
        </w:tabs>
        <w:ind w:left="440"/>
      </w:pPr>
      <w:hyperlink w:anchor="_Toc1649" w:history="1">
        <w:r>
          <w:rPr>
            <w:rFonts w:ascii="IRNazanin" w:hAnsi="IRNazanin" w:eastAsia="IRNazanin" w:cs="IRNazanin"/>
            <w:color w:val="111111"/>
            <w:sz w:val="22"/>
            <w:szCs w:val="22"/>
            <w:b w:val="0"/>
            <w:bCs w:val="0"/>
            <w:i w:val="0"/>
            <w:iCs w:val="0"/>
          </w:rPr>
          <w:t>•تاریخ شاپور (ترجمه) / داستان / فارسی</w:t>
        </w:r>
        <w:r>
          <w:tab/>
        </w:r>
        <w:r>
          <w:fldChar w:fldCharType="begin"/>
        </w:r>
        <w:r>
          <w:instrText xml:space="preserve">PAGEREF 1649 \h</w:instrText>
        </w:r>
        <w:r>
          <w:fldChar w:fldCharType="end"/>
        </w:r>
      </w:hyperlink>
    </w:p>
    <w:p>
      <w:pPr>
        <w:tabs>
          <w:tab w:val="right" w:leader="dot" w:pos="9062"/>
        </w:tabs>
        <w:ind w:left="440"/>
      </w:pPr>
      <w:hyperlink w:anchor="_Toc1650" w:history="1">
        <w:r>
          <w:rPr>
            <w:rFonts w:ascii="IRNazanin" w:hAnsi="IRNazanin" w:eastAsia="IRNazanin" w:cs="IRNazanin"/>
            <w:color w:val="111111"/>
            <w:sz w:val="22"/>
            <w:szCs w:val="22"/>
            <w:b w:val="0"/>
            <w:bCs w:val="0"/>
            <w:i w:val="0"/>
            <w:iCs w:val="0"/>
          </w:rPr>
          <w:t>•تاریخ شارل دوازدهم / تاریخ پادشاهان / فارسی</w:t>
        </w:r>
        <w:r>
          <w:tab/>
        </w:r>
        <w:r>
          <w:fldChar w:fldCharType="begin"/>
        </w:r>
        <w:r>
          <w:instrText xml:space="preserve">PAGEREF 1650 \h</w:instrText>
        </w:r>
        <w:r>
          <w:fldChar w:fldCharType="end"/>
        </w:r>
      </w:hyperlink>
    </w:p>
    <w:p>
      <w:pPr>
        <w:tabs>
          <w:tab w:val="right" w:leader="dot" w:pos="9062"/>
        </w:tabs>
        <w:ind w:left="440"/>
      </w:pPr>
      <w:hyperlink w:anchor="_Toc1651" w:history="1">
        <w:r>
          <w:rPr>
            <w:rFonts w:ascii="IRNazanin" w:hAnsi="IRNazanin" w:eastAsia="IRNazanin" w:cs="IRNazanin"/>
            <w:color w:val="111111"/>
            <w:sz w:val="22"/>
            <w:szCs w:val="22"/>
            <w:b w:val="0"/>
            <w:bCs w:val="0"/>
            <w:i w:val="0"/>
            <w:iCs w:val="0"/>
          </w:rPr>
          <w:t>•تاریخ شارل و خرابی دولت روم / تاریخ / فارسی</w:t>
        </w:r>
        <w:r>
          <w:tab/>
        </w:r>
        <w:r>
          <w:fldChar w:fldCharType="begin"/>
        </w:r>
        <w:r>
          <w:instrText xml:space="preserve">PAGEREF 1651 \h</w:instrText>
        </w:r>
        <w:r>
          <w:fldChar w:fldCharType="end"/>
        </w:r>
      </w:hyperlink>
    </w:p>
    <w:p>
      <w:pPr>
        <w:tabs>
          <w:tab w:val="right" w:leader="dot" w:pos="9062"/>
        </w:tabs>
        <w:ind w:left="440"/>
      </w:pPr>
      <w:hyperlink w:anchor="_Toc1652" w:history="1">
        <w:r>
          <w:rPr>
            <w:rFonts w:ascii="IRNazanin" w:hAnsi="IRNazanin" w:eastAsia="IRNazanin" w:cs="IRNazanin"/>
            <w:color w:val="111111"/>
            <w:sz w:val="22"/>
            <w:szCs w:val="22"/>
            <w:b w:val="0"/>
            <w:bCs w:val="0"/>
            <w:i w:val="0"/>
            <w:iCs w:val="0"/>
          </w:rPr>
          <w:t>•تاریخ شاه اسماعیل صفوی / تاریخ ایران / فارسی</w:t>
        </w:r>
        <w:r>
          <w:tab/>
        </w:r>
        <w:r>
          <w:fldChar w:fldCharType="begin"/>
        </w:r>
        <w:r>
          <w:instrText xml:space="preserve">PAGEREF 1652 \h</w:instrText>
        </w:r>
        <w:r>
          <w:fldChar w:fldCharType="end"/>
        </w:r>
      </w:hyperlink>
    </w:p>
    <w:p>
      <w:pPr>
        <w:tabs>
          <w:tab w:val="right" w:leader="dot" w:pos="9062"/>
        </w:tabs>
        <w:ind w:left="440"/>
      </w:pPr>
      <w:hyperlink w:anchor="_Toc1653" w:history="1">
        <w:r>
          <w:rPr>
            <w:rFonts w:ascii="IRNazanin" w:hAnsi="IRNazanin" w:eastAsia="IRNazanin" w:cs="IRNazanin"/>
            <w:color w:val="111111"/>
            <w:sz w:val="22"/>
            <w:szCs w:val="22"/>
            <w:b w:val="0"/>
            <w:bCs w:val="0"/>
            <w:i w:val="0"/>
            <w:iCs w:val="0"/>
          </w:rPr>
          <w:t>•تاریخ شاه اسماعیل صفوی / تاریخ ایران / فارسی</w:t>
        </w:r>
        <w:r>
          <w:tab/>
        </w:r>
        <w:r>
          <w:fldChar w:fldCharType="begin"/>
        </w:r>
        <w:r>
          <w:instrText xml:space="preserve">PAGEREF 1653 \h</w:instrText>
        </w:r>
        <w:r>
          <w:fldChar w:fldCharType="end"/>
        </w:r>
      </w:hyperlink>
    </w:p>
    <w:p>
      <w:pPr>
        <w:tabs>
          <w:tab w:val="right" w:leader="dot" w:pos="9062"/>
        </w:tabs>
        <w:ind w:left="440"/>
      </w:pPr>
      <w:hyperlink w:anchor="_Toc1654" w:history="1">
        <w:r>
          <w:rPr>
            <w:rFonts w:ascii="IRNazanin" w:hAnsi="IRNazanin" w:eastAsia="IRNazanin" w:cs="IRNazanin"/>
            <w:color w:val="111111"/>
            <w:sz w:val="22"/>
            <w:szCs w:val="22"/>
            <w:b w:val="0"/>
            <w:bCs w:val="0"/>
            <w:i w:val="0"/>
            <w:iCs w:val="0"/>
          </w:rPr>
          <w:t>•تاریخ شاه اسماعیل صفوی / تاریخ ایران / فارسی</w:t>
        </w:r>
        <w:r>
          <w:tab/>
        </w:r>
        <w:r>
          <w:fldChar w:fldCharType="begin"/>
        </w:r>
        <w:r>
          <w:instrText xml:space="preserve">PAGEREF 1654 \h</w:instrText>
        </w:r>
        <w:r>
          <w:fldChar w:fldCharType="end"/>
        </w:r>
      </w:hyperlink>
    </w:p>
    <w:p>
      <w:pPr>
        <w:tabs>
          <w:tab w:val="right" w:leader="dot" w:pos="9062"/>
        </w:tabs>
        <w:ind w:left="440"/>
      </w:pPr>
      <w:hyperlink w:anchor="_Toc1655" w:history="1">
        <w:r>
          <w:rPr>
            <w:rFonts w:ascii="IRNazanin" w:hAnsi="IRNazanin" w:eastAsia="IRNazanin" w:cs="IRNazanin"/>
            <w:color w:val="111111"/>
            <w:sz w:val="22"/>
            <w:szCs w:val="22"/>
            <w:b w:val="0"/>
            <w:bCs w:val="0"/>
            <w:i w:val="0"/>
            <w:iCs w:val="0"/>
          </w:rPr>
          <w:t>•تاریخ شاه اسماعیل صفوی / تاریخ پادشاهان / فارسی</w:t>
        </w:r>
        <w:r>
          <w:tab/>
        </w:r>
        <w:r>
          <w:fldChar w:fldCharType="begin"/>
        </w:r>
        <w:r>
          <w:instrText xml:space="preserve">PAGEREF 1655 \h</w:instrText>
        </w:r>
        <w:r>
          <w:fldChar w:fldCharType="end"/>
        </w:r>
      </w:hyperlink>
    </w:p>
    <w:p>
      <w:pPr>
        <w:tabs>
          <w:tab w:val="right" w:leader="dot" w:pos="9062"/>
        </w:tabs>
        <w:ind w:left="440"/>
      </w:pPr>
      <w:hyperlink w:anchor="_Toc1656" w:history="1">
        <w:r>
          <w:rPr>
            <w:rFonts w:ascii="IRNazanin" w:hAnsi="IRNazanin" w:eastAsia="IRNazanin" w:cs="IRNazanin"/>
            <w:color w:val="111111"/>
            <w:sz w:val="22"/>
            <w:szCs w:val="22"/>
            <w:b w:val="0"/>
            <w:bCs w:val="0"/>
            <w:i w:val="0"/>
            <w:iCs w:val="0"/>
          </w:rPr>
          <w:t>•تاریخ شاه اسماعیل و شاه تهماسب = ذیل حبیب السير / تاریخ ایران / فارسی</w:t>
        </w:r>
        <w:r>
          <w:tab/>
        </w:r>
        <w:r>
          <w:fldChar w:fldCharType="begin"/>
        </w:r>
        <w:r>
          <w:instrText xml:space="preserve">PAGEREF 1656 \h</w:instrText>
        </w:r>
        <w:r>
          <w:fldChar w:fldCharType="end"/>
        </w:r>
      </w:hyperlink>
    </w:p>
    <w:p>
      <w:pPr>
        <w:tabs>
          <w:tab w:val="right" w:leader="dot" w:pos="9062"/>
        </w:tabs>
        <w:ind w:left="440"/>
      </w:pPr>
      <w:hyperlink w:anchor="_Toc1657" w:history="1">
        <w:r>
          <w:rPr>
            <w:rFonts w:ascii="IRNazanin" w:hAnsi="IRNazanin" w:eastAsia="IRNazanin" w:cs="IRNazanin"/>
            <w:color w:val="111111"/>
            <w:sz w:val="22"/>
            <w:szCs w:val="22"/>
            <w:b w:val="0"/>
            <w:bCs w:val="0"/>
            <w:i w:val="0"/>
            <w:iCs w:val="0"/>
          </w:rPr>
          <w:t>•تاریخ شاهان عجم / تاریخ پادشاهان / فارسی</w:t>
        </w:r>
        <w:r>
          <w:tab/>
        </w:r>
        <w:r>
          <w:fldChar w:fldCharType="begin"/>
        </w:r>
        <w:r>
          <w:instrText xml:space="preserve">PAGEREF 1657 \h</w:instrText>
        </w:r>
        <w:r>
          <w:fldChar w:fldCharType="end"/>
        </w:r>
      </w:hyperlink>
    </w:p>
    <w:p>
      <w:pPr>
        <w:tabs>
          <w:tab w:val="right" w:leader="dot" w:pos="9062"/>
        </w:tabs>
        <w:ind w:left="440"/>
      </w:pPr>
      <w:hyperlink w:anchor="_Toc1658" w:history="1">
        <w:r>
          <w:rPr>
            <w:rFonts w:ascii="IRNazanin" w:hAnsi="IRNazanin" w:eastAsia="IRNazanin" w:cs="IRNazanin"/>
            <w:color w:val="111111"/>
            <w:sz w:val="22"/>
            <w:szCs w:val="22"/>
            <w:b w:val="0"/>
            <w:bCs w:val="0"/>
            <w:i w:val="0"/>
            <w:iCs w:val="0"/>
          </w:rPr>
          <w:t>•تاریخ شاهرخ / تاریخ ایران / فارسی</w:t>
        </w:r>
        <w:r>
          <w:tab/>
        </w:r>
        <w:r>
          <w:fldChar w:fldCharType="begin"/>
        </w:r>
        <w:r>
          <w:instrText xml:space="preserve">PAGEREF 1658 \h</w:instrText>
        </w:r>
        <w:r>
          <w:fldChar w:fldCharType="end"/>
        </w:r>
      </w:hyperlink>
    </w:p>
    <w:p>
      <w:pPr>
        <w:tabs>
          <w:tab w:val="right" w:leader="dot" w:pos="9062"/>
        </w:tabs>
        <w:ind w:left="440"/>
      </w:pPr>
      <w:hyperlink w:anchor="_Toc1659" w:history="1">
        <w:r>
          <w:rPr>
            <w:rFonts w:ascii="IRNazanin" w:hAnsi="IRNazanin" w:eastAsia="IRNazanin" w:cs="IRNazanin"/>
            <w:color w:val="111111"/>
            <w:sz w:val="22"/>
            <w:szCs w:val="22"/>
            <w:b w:val="0"/>
            <w:bCs w:val="0"/>
            <w:i w:val="0"/>
            <w:iCs w:val="0"/>
          </w:rPr>
          <w:t>•تاریخ شاهزاده خانم بابلی = رمان ولتر / داستان / فارسی</w:t>
        </w:r>
        <w:r>
          <w:tab/>
        </w:r>
        <w:r>
          <w:fldChar w:fldCharType="begin"/>
        </w:r>
        <w:r>
          <w:instrText xml:space="preserve">PAGEREF 1659 \h</w:instrText>
        </w:r>
        <w:r>
          <w:fldChar w:fldCharType="end"/>
        </w:r>
      </w:hyperlink>
    </w:p>
    <w:p>
      <w:pPr>
        <w:tabs>
          <w:tab w:val="right" w:leader="dot" w:pos="9062"/>
        </w:tabs>
        <w:ind w:left="440"/>
      </w:pPr>
      <w:hyperlink w:anchor="_Toc1660" w:history="1">
        <w:r>
          <w:rPr>
            <w:rFonts w:ascii="IRNazanin" w:hAnsi="IRNazanin" w:eastAsia="IRNazanin" w:cs="IRNazanin"/>
            <w:color w:val="111111"/>
            <w:sz w:val="22"/>
            <w:szCs w:val="22"/>
            <w:b w:val="0"/>
            <w:bCs w:val="0"/>
            <w:i w:val="0"/>
            <w:iCs w:val="0"/>
          </w:rPr>
          <w:t>•تاریخ شاه صفی / تاریخ ایران / فارسی</w:t>
        </w:r>
        <w:r>
          <w:tab/>
        </w:r>
        <w:r>
          <w:fldChar w:fldCharType="begin"/>
        </w:r>
        <w:r>
          <w:instrText xml:space="preserve">PAGEREF 1660 \h</w:instrText>
        </w:r>
        <w:r>
          <w:fldChar w:fldCharType="end"/>
        </w:r>
      </w:hyperlink>
    </w:p>
    <w:p>
      <w:pPr>
        <w:tabs>
          <w:tab w:val="right" w:leader="dot" w:pos="9062"/>
        </w:tabs>
        <w:ind w:left="440"/>
      </w:pPr>
      <w:hyperlink w:anchor="_Toc1661" w:history="1">
        <w:r>
          <w:rPr>
            <w:rFonts w:ascii="IRNazanin" w:hAnsi="IRNazanin" w:eastAsia="IRNazanin" w:cs="IRNazanin"/>
            <w:color w:val="111111"/>
            <w:sz w:val="22"/>
            <w:szCs w:val="22"/>
            <w:b w:val="0"/>
            <w:bCs w:val="0"/>
            <w:i w:val="0"/>
            <w:iCs w:val="0"/>
          </w:rPr>
          <w:t>•تاریخ شاه عباس دوم / تاریخ پادشاهان / فارسی</w:t>
        </w:r>
        <w:r>
          <w:tab/>
        </w:r>
        <w:r>
          <w:fldChar w:fldCharType="begin"/>
        </w:r>
        <w:r>
          <w:instrText xml:space="preserve">PAGEREF 1661 \h</w:instrText>
        </w:r>
        <w:r>
          <w:fldChar w:fldCharType="end"/>
        </w:r>
      </w:hyperlink>
    </w:p>
    <w:p>
      <w:pPr>
        <w:tabs>
          <w:tab w:val="right" w:leader="dot" w:pos="9062"/>
        </w:tabs>
        <w:ind w:left="440"/>
      </w:pPr>
      <w:hyperlink w:anchor="_Toc1662" w:history="1">
        <w:r>
          <w:rPr>
            <w:rFonts w:ascii="IRNazanin" w:hAnsi="IRNazanin" w:eastAsia="IRNazanin" w:cs="IRNazanin"/>
            <w:color w:val="111111"/>
            <w:sz w:val="22"/>
            <w:szCs w:val="22"/>
            <w:b w:val="0"/>
            <w:bCs w:val="0"/>
            <w:i w:val="0"/>
            <w:iCs w:val="0"/>
          </w:rPr>
          <w:t>•تاریخ شاه عباس صفوی / تاریخ / فارسی</w:t>
        </w:r>
        <w:r>
          <w:tab/>
        </w:r>
        <w:r>
          <w:fldChar w:fldCharType="begin"/>
        </w:r>
        <w:r>
          <w:instrText xml:space="preserve">PAGEREF 1662 \h</w:instrText>
        </w:r>
        <w:r>
          <w:fldChar w:fldCharType="end"/>
        </w:r>
      </w:hyperlink>
    </w:p>
    <w:p>
      <w:pPr>
        <w:tabs>
          <w:tab w:val="right" w:leader="dot" w:pos="9062"/>
        </w:tabs>
        <w:ind w:left="440"/>
      </w:pPr>
      <w:hyperlink w:anchor="_Toc1663" w:history="1">
        <w:r>
          <w:rPr>
            <w:rFonts w:ascii="IRNazanin" w:hAnsi="IRNazanin" w:eastAsia="IRNazanin" w:cs="IRNazanin"/>
            <w:color w:val="111111"/>
            <w:sz w:val="22"/>
            <w:szCs w:val="22"/>
            <w:b w:val="0"/>
            <w:bCs w:val="0"/>
            <w:i w:val="0"/>
            <w:iCs w:val="0"/>
          </w:rPr>
          <w:t>•تاریخ شاه عباس یکم / شعر، تاریخ ایران / فارسی</w:t>
        </w:r>
        <w:r>
          <w:tab/>
        </w:r>
        <w:r>
          <w:fldChar w:fldCharType="begin"/>
        </w:r>
        <w:r>
          <w:instrText xml:space="preserve">PAGEREF 1663 \h</w:instrText>
        </w:r>
        <w:r>
          <w:fldChar w:fldCharType="end"/>
        </w:r>
      </w:hyperlink>
    </w:p>
    <w:p>
      <w:pPr>
        <w:tabs>
          <w:tab w:val="right" w:leader="dot" w:pos="9062"/>
        </w:tabs>
        <w:ind w:left="440"/>
      </w:pPr>
      <w:hyperlink w:anchor="_Toc1664" w:history="1">
        <w:r>
          <w:rPr>
            <w:rFonts w:ascii="IRNazanin" w:hAnsi="IRNazanin" w:eastAsia="IRNazanin" w:cs="IRNazanin"/>
            <w:color w:val="111111"/>
            <w:sz w:val="22"/>
            <w:szCs w:val="22"/>
            <w:b w:val="0"/>
            <w:bCs w:val="0"/>
            <w:i w:val="0"/>
            <w:iCs w:val="0"/>
          </w:rPr>
          <w:t>•تاریخ شاه محمود / تاریخ پادشاهان / فارسی</w:t>
        </w:r>
        <w:r>
          <w:tab/>
        </w:r>
        <w:r>
          <w:fldChar w:fldCharType="begin"/>
        </w:r>
        <w:r>
          <w:instrText xml:space="preserve">PAGEREF 1664 \h</w:instrText>
        </w:r>
        <w:r>
          <w:fldChar w:fldCharType="end"/>
        </w:r>
      </w:hyperlink>
    </w:p>
    <w:p>
      <w:pPr>
        <w:tabs>
          <w:tab w:val="right" w:leader="dot" w:pos="9062"/>
        </w:tabs>
        <w:ind w:left="440"/>
      </w:pPr>
      <w:hyperlink w:anchor="_Toc1665" w:history="1">
        <w:r>
          <w:rPr>
            <w:rFonts w:ascii="IRNazanin" w:hAnsi="IRNazanin" w:eastAsia="IRNazanin" w:cs="IRNazanin"/>
            <w:color w:val="111111"/>
            <w:sz w:val="22"/>
            <w:szCs w:val="22"/>
            <w:b w:val="0"/>
            <w:bCs w:val="0"/>
            <w:i w:val="0"/>
            <w:iCs w:val="0"/>
          </w:rPr>
          <w:t>•تاریخ شاهی = تاریخ کرمان / تاریخ ایران / فارسی</w:t>
        </w:r>
        <w:r>
          <w:tab/>
        </w:r>
        <w:r>
          <w:fldChar w:fldCharType="begin"/>
        </w:r>
        <w:r>
          <w:instrText xml:space="preserve">PAGEREF 1665 \h</w:instrText>
        </w:r>
        <w:r>
          <w:fldChar w:fldCharType="end"/>
        </w:r>
      </w:hyperlink>
    </w:p>
    <w:p>
      <w:pPr>
        <w:tabs>
          <w:tab w:val="right" w:leader="dot" w:pos="9062"/>
        </w:tabs>
        <w:ind w:left="440"/>
      </w:pPr>
      <w:hyperlink w:anchor="_Toc1666" w:history="1">
        <w:r>
          <w:rPr>
            <w:rFonts w:ascii="IRNazanin" w:hAnsi="IRNazanin" w:eastAsia="IRNazanin" w:cs="IRNazanin"/>
            <w:color w:val="111111"/>
            <w:sz w:val="22"/>
            <w:szCs w:val="22"/>
            <w:b w:val="0"/>
            <w:bCs w:val="0"/>
            <w:i w:val="0"/>
            <w:iCs w:val="0"/>
          </w:rPr>
          <w:t>•تاریخ شاهيه نیشابوریه / تاریخ / فارسی</w:t>
        </w:r>
        <w:r>
          <w:tab/>
        </w:r>
        <w:r>
          <w:fldChar w:fldCharType="begin"/>
        </w:r>
        <w:r>
          <w:instrText xml:space="preserve">PAGEREF 1666 \h</w:instrText>
        </w:r>
        <w:r>
          <w:fldChar w:fldCharType="end"/>
        </w:r>
      </w:hyperlink>
    </w:p>
    <w:p>
      <w:pPr>
        <w:tabs>
          <w:tab w:val="right" w:leader="dot" w:pos="9062"/>
        </w:tabs>
        <w:ind w:left="440"/>
      </w:pPr>
      <w:hyperlink w:anchor="_Toc1667" w:history="1">
        <w:r>
          <w:rPr>
            <w:rFonts w:ascii="IRNazanin" w:hAnsi="IRNazanin" w:eastAsia="IRNazanin" w:cs="IRNazanin"/>
            <w:color w:val="111111"/>
            <w:sz w:val="22"/>
            <w:szCs w:val="22"/>
            <w:b w:val="0"/>
            <w:bCs w:val="0"/>
            <w:i w:val="0"/>
            <w:iCs w:val="0"/>
          </w:rPr>
          <w:t>•تاریخ شرق / تاریخ / فارسی</w:t>
        </w:r>
        <w:r>
          <w:tab/>
        </w:r>
        <w:r>
          <w:fldChar w:fldCharType="begin"/>
        </w:r>
        <w:r>
          <w:instrText xml:space="preserve">PAGEREF 1667 \h</w:instrText>
        </w:r>
        <w:r>
          <w:fldChar w:fldCharType="end"/>
        </w:r>
      </w:hyperlink>
    </w:p>
    <w:p>
      <w:pPr>
        <w:tabs>
          <w:tab w:val="right" w:leader="dot" w:pos="9062"/>
        </w:tabs>
        <w:ind w:left="440"/>
      </w:pPr>
      <w:hyperlink w:anchor="_Toc1668" w:history="1">
        <w:r>
          <w:rPr>
            <w:rFonts w:ascii="IRNazanin" w:hAnsi="IRNazanin" w:eastAsia="IRNazanin" w:cs="IRNazanin"/>
            <w:color w:val="111111"/>
            <w:sz w:val="22"/>
            <w:szCs w:val="22"/>
            <w:b w:val="0"/>
            <w:bCs w:val="0"/>
            <w:i w:val="0"/>
            <w:iCs w:val="0"/>
          </w:rPr>
          <w:t>•تاریخ شطرنج / متفرقه / عربی</w:t>
        </w:r>
        <w:r>
          <w:tab/>
        </w:r>
        <w:r>
          <w:fldChar w:fldCharType="begin"/>
        </w:r>
        <w:r>
          <w:instrText xml:space="preserve">PAGEREF 1668 \h</w:instrText>
        </w:r>
        <w:r>
          <w:fldChar w:fldCharType="end"/>
        </w:r>
      </w:hyperlink>
    </w:p>
    <w:p>
      <w:pPr>
        <w:tabs>
          <w:tab w:val="right" w:leader="dot" w:pos="9062"/>
        </w:tabs>
        <w:ind w:left="440"/>
      </w:pPr>
      <w:hyperlink w:anchor="_Toc1669" w:history="1">
        <w:r>
          <w:rPr>
            <w:rFonts w:ascii="IRNazanin" w:hAnsi="IRNazanin" w:eastAsia="IRNazanin" w:cs="IRNazanin"/>
            <w:color w:val="111111"/>
            <w:sz w:val="22"/>
            <w:szCs w:val="22"/>
            <w:b w:val="0"/>
            <w:bCs w:val="0"/>
            <w:i w:val="0"/>
            <w:iCs w:val="0"/>
          </w:rPr>
          <w:t>•تاریخ شعرا / تراجم / فارسی</w:t>
        </w:r>
        <w:r>
          <w:tab/>
        </w:r>
        <w:r>
          <w:fldChar w:fldCharType="begin"/>
        </w:r>
        <w:r>
          <w:instrText xml:space="preserve">PAGEREF 1669 \h</w:instrText>
        </w:r>
        <w:r>
          <w:fldChar w:fldCharType="end"/>
        </w:r>
      </w:hyperlink>
    </w:p>
    <w:p>
      <w:pPr>
        <w:tabs>
          <w:tab w:val="right" w:leader="dot" w:pos="9062"/>
        </w:tabs>
        <w:ind w:left="440"/>
      </w:pPr>
      <w:hyperlink w:anchor="_Toc1670" w:history="1">
        <w:r>
          <w:rPr>
            <w:rFonts w:ascii="IRNazanin" w:hAnsi="IRNazanin" w:eastAsia="IRNazanin" w:cs="IRNazanin"/>
            <w:color w:val="111111"/>
            <w:sz w:val="22"/>
            <w:szCs w:val="22"/>
            <w:b w:val="0"/>
            <w:bCs w:val="0"/>
            <w:i w:val="0"/>
            <w:iCs w:val="0"/>
          </w:rPr>
          <w:t>•تاریخ شمس العماره / شعر / فارسی</w:t>
        </w:r>
        <w:r>
          <w:tab/>
        </w:r>
        <w:r>
          <w:fldChar w:fldCharType="begin"/>
        </w:r>
        <w:r>
          <w:instrText xml:space="preserve">PAGEREF 1670 \h</w:instrText>
        </w:r>
        <w:r>
          <w:fldChar w:fldCharType="end"/>
        </w:r>
      </w:hyperlink>
    </w:p>
    <w:p>
      <w:pPr>
        <w:tabs>
          <w:tab w:val="right" w:leader="dot" w:pos="9062"/>
        </w:tabs>
        <w:ind w:left="440"/>
      </w:pPr>
      <w:hyperlink w:anchor="_Toc1671" w:history="1">
        <w:r>
          <w:rPr>
            <w:rFonts w:ascii="IRNazanin" w:hAnsi="IRNazanin" w:eastAsia="IRNazanin" w:cs="IRNazanin"/>
            <w:color w:val="111111"/>
            <w:sz w:val="22"/>
            <w:szCs w:val="22"/>
            <w:b w:val="0"/>
            <w:bCs w:val="0"/>
            <w:i w:val="0"/>
            <w:iCs w:val="0"/>
          </w:rPr>
          <w:t>•تاریخ شمشیر خانی = دلگشای شمشیر خانی شاهنامه منثور = خلاصه شاهنامه / تاریخ ایران / فارسی</w:t>
        </w:r>
        <w:r>
          <w:tab/>
        </w:r>
        <w:r>
          <w:fldChar w:fldCharType="begin"/>
        </w:r>
        <w:r>
          <w:instrText xml:space="preserve">PAGEREF 1671 \h</w:instrText>
        </w:r>
        <w:r>
          <w:fldChar w:fldCharType="end"/>
        </w:r>
      </w:hyperlink>
    </w:p>
    <w:p>
      <w:pPr>
        <w:tabs>
          <w:tab w:val="right" w:leader="dot" w:pos="9062"/>
        </w:tabs>
        <w:ind w:left="440"/>
      </w:pPr>
      <w:hyperlink w:anchor="_Toc1672" w:history="1">
        <w:r>
          <w:rPr>
            <w:rFonts w:ascii="IRNazanin" w:hAnsi="IRNazanin" w:eastAsia="IRNazanin" w:cs="IRNazanin"/>
            <w:color w:val="111111"/>
            <w:sz w:val="22"/>
            <w:szCs w:val="22"/>
            <w:b w:val="0"/>
            <w:bCs w:val="0"/>
            <w:i w:val="0"/>
            <w:iCs w:val="0"/>
          </w:rPr>
          <w:t>•تاریخ شوالیه دنکیشت (ترجمه) / تاریخ جهان / فارسی</w:t>
        </w:r>
        <w:r>
          <w:tab/>
        </w:r>
        <w:r>
          <w:fldChar w:fldCharType="begin"/>
        </w:r>
        <w:r>
          <w:instrText xml:space="preserve">PAGEREF 1672 \h</w:instrText>
        </w:r>
        <w:r>
          <w:fldChar w:fldCharType="end"/>
        </w:r>
      </w:hyperlink>
    </w:p>
    <w:p>
      <w:pPr>
        <w:tabs>
          <w:tab w:val="right" w:leader="dot" w:pos="9062"/>
        </w:tabs>
        <w:ind w:left="440"/>
      </w:pPr>
      <w:hyperlink w:anchor="_Toc1673" w:history="1">
        <w:r>
          <w:rPr>
            <w:rFonts w:ascii="IRNazanin" w:hAnsi="IRNazanin" w:eastAsia="IRNazanin" w:cs="IRNazanin"/>
            <w:color w:val="111111"/>
            <w:sz w:val="22"/>
            <w:szCs w:val="22"/>
            <w:b w:val="0"/>
            <w:bCs w:val="0"/>
            <w:i w:val="0"/>
            <w:iCs w:val="0"/>
          </w:rPr>
          <w:t>• التاريخ الشهابی و القمر المنير / تاریخ / عربی</w:t>
        </w:r>
        <w:r>
          <w:tab/>
        </w:r>
        <w:r>
          <w:fldChar w:fldCharType="begin"/>
        </w:r>
        <w:r>
          <w:instrText xml:space="preserve">PAGEREF 1673 \h</w:instrText>
        </w:r>
        <w:r>
          <w:fldChar w:fldCharType="end"/>
        </w:r>
      </w:hyperlink>
    </w:p>
    <w:p>
      <w:pPr>
        <w:tabs>
          <w:tab w:val="right" w:leader="dot" w:pos="9062"/>
        </w:tabs>
        <w:ind w:left="440"/>
      </w:pPr>
      <w:hyperlink w:anchor="_Toc1674" w:history="1">
        <w:r>
          <w:rPr>
            <w:rFonts w:ascii="IRNazanin" w:hAnsi="IRNazanin" w:eastAsia="IRNazanin" w:cs="IRNazanin"/>
            <w:color w:val="111111"/>
            <w:sz w:val="22"/>
            <w:szCs w:val="22"/>
            <w:b w:val="0"/>
            <w:bCs w:val="0"/>
            <w:i w:val="0"/>
            <w:iCs w:val="0"/>
          </w:rPr>
          <w:t>•تاریخ شهداء اسلام / تاریخ / فارسی</w:t>
        </w:r>
        <w:r>
          <w:tab/>
        </w:r>
        <w:r>
          <w:fldChar w:fldCharType="begin"/>
        </w:r>
        <w:r>
          <w:instrText xml:space="preserve">PAGEREF 1674 \h</w:instrText>
        </w:r>
        <w:r>
          <w:fldChar w:fldCharType="end"/>
        </w:r>
      </w:hyperlink>
    </w:p>
    <w:p>
      <w:pPr>
        <w:tabs>
          <w:tab w:val="right" w:leader="dot" w:pos="9062"/>
        </w:tabs>
        <w:ind w:left="440"/>
      </w:pPr>
      <w:hyperlink w:anchor="_Toc1675" w:history="1">
        <w:r>
          <w:rPr>
            <w:rFonts w:ascii="IRNazanin" w:hAnsi="IRNazanin" w:eastAsia="IRNazanin" w:cs="IRNazanin"/>
            <w:color w:val="111111"/>
            <w:sz w:val="22"/>
            <w:szCs w:val="22"/>
            <w:b w:val="0"/>
            <w:bCs w:val="0"/>
            <w:i w:val="0"/>
            <w:iCs w:val="0"/>
          </w:rPr>
          <w:t>•تاریخ شهداء يزد / تاریخ / فارسی</w:t>
        </w:r>
        <w:r>
          <w:tab/>
        </w:r>
        <w:r>
          <w:fldChar w:fldCharType="begin"/>
        </w:r>
        <w:r>
          <w:instrText xml:space="preserve">PAGEREF 1675 \h</w:instrText>
        </w:r>
        <w:r>
          <w:fldChar w:fldCharType="end"/>
        </w:r>
      </w:hyperlink>
    </w:p>
    <w:p>
      <w:pPr>
        <w:tabs>
          <w:tab w:val="right" w:leader="dot" w:pos="9062"/>
        </w:tabs>
        <w:ind w:left="440"/>
      </w:pPr>
      <w:hyperlink w:anchor="_Toc1676" w:history="1">
        <w:r>
          <w:rPr>
            <w:rFonts w:ascii="IRNazanin" w:hAnsi="IRNazanin" w:eastAsia="IRNazanin" w:cs="IRNazanin"/>
            <w:color w:val="111111"/>
            <w:sz w:val="22"/>
            <w:szCs w:val="22"/>
            <w:b w:val="0"/>
            <w:bCs w:val="0"/>
            <w:i w:val="0"/>
            <w:iCs w:val="0"/>
          </w:rPr>
          <w:t>•تاریخ شهر بسطام / تاریخ ایران / فارسی</w:t>
        </w:r>
        <w:r>
          <w:tab/>
        </w:r>
        <w:r>
          <w:fldChar w:fldCharType="begin"/>
        </w:r>
        <w:r>
          <w:instrText xml:space="preserve">PAGEREF 1676 \h</w:instrText>
        </w:r>
        <w:r>
          <w:fldChar w:fldCharType="end"/>
        </w:r>
      </w:hyperlink>
    </w:p>
    <w:p>
      <w:pPr>
        <w:tabs>
          <w:tab w:val="right" w:leader="dot" w:pos="9062"/>
        </w:tabs>
        <w:ind w:left="440"/>
      </w:pPr>
      <w:hyperlink w:anchor="_Toc1677" w:history="1">
        <w:r>
          <w:rPr>
            <w:rFonts w:ascii="IRNazanin" w:hAnsi="IRNazanin" w:eastAsia="IRNazanin" w:cs="IRNazanin"/>
            <w:color w:val="111111"/>
            <w:sz w:val="22"/>
            <w:szCs w:val="22"/>
            <w:b w:val="0"/>
            <w:bCs w:val="0"/>
            <w:i w:val="0"/>
            <w:iCs w:val="0"/>
          </w:rPr>
          <w:t>•تاریخ شهر قسطنطنیه و قياصرة (ترجمه) / تاریخ / فارسی</w:t>
        </w:r>
        <w:r>
          <w:tab/>
        </w:r>
        <w:r>
          <w:fldChar w:fldCharType="begin"/>
        </w:r>
        <w:r>
          <w:instrText xml:space="preserve">PAGEREF 1677 \h</w:instrText>
        </w:r>
        <w:r>
          <w:fldChar w:fldCharType="end"/>
        </w:r>
      </w:hyperlink>
    </w:p>
    <w:p>
      <w:pPr>
        <w:tabs>
          <w:tab w:val="right" w:leader="dot" w:pos="9062"/>
        </w:tabs>
        <w:ind w:left="440"/>
      </w:pPr>
      <w:hyperlink w:anchor="_Toc1678" w:history="1">
        <w:r>
          <w:rPr>
            <w:rFonts w:ascii="IRNazanin" w:hAnsi="IRNazanin" w:eastAsia="IRNazanin" w:cs="IRNazanin"/>
            <w:color w:val="111111"/>
            <w:sz w:val="22"/>
            <w:szCs w:val="22"/>
            <w:b w:val="0"/>
            <w:bCs w:val="0"/>
            <w:i w:val="0"/>
            <w:iCs w:val="0"/>
          </w:rPr>
          <w:t>• تاریخ شهر مشهد / تاریخ ایران / فارسی</w:t>
        </w:r>
        <w:r>
          <w:tab/>
        </w:r>
        <w:r>
          <w:fldChar w:fldCharType="begin"/>
        </w:r>
        <w:r>
          <w:instrText xml:space="preserve">PAGEREF 1678 \h</w:instrText>
        </w:r>
        <w:r>
          <w:fldChar w:fldCharType="end"/>
        </w:r>
      </w:hyperlink>
    </w:p>
    <w:p>
      <w:pPr>
        <w:tabs>
          <w:tab w:val="right" w:leader="dot" w:pos="9062"/>
        </w:tabs>
        <w:ind w:left="440"/>
      </w:pPr>
      <w:hyperlink w:anchor="_Toc1679" w:history="1">
        <w:r>
          <w:rPr>
            <w:rFonts w:ascii="IRNazanin" w:hAnsi="IRNazanin" w:eastAsia="IRNazanin" w:cs="IRNazanin"/>
            <w:color w:val="111111"/>
            <w:sz w:val="22"/>
            <w:szCs w:val="22"/>
            <w:b w:val="0"/>
            <w:bCs w:val="0"/>
            <w:i w:val="0"/>
            <w:iCs w:val="0"/>
          </w:rPr>
          <w:t>• تاريخ الشيخ الرئیس ابی علی بن سینا (مختصر) / تاریخ / عربی</w:t>
        </w:r>
        <w:r>
          <w:tab/>
        </w:r>
        <w:r>
          <w:fldChar w:fldCharType="begin"/>
        </w:r>
        <w:r>
          <w:instrText xml:space="preserve">PAGEREF 1679 \h</w:instrText>
        </w:r>
        <w:r>
          <w:fldChar w:fldCharType="end"/>
        </w:r>
      </w:hyperlink>
    </w:p>
    <w:p>
      <w:pPr>
        <w:tabs>
          <w:tab w:val="right" w:leader="dot" w:pos="9062"/>
        </w:tabs>
        <w:ind w:left="440"/>
      </w:pPr>
      <w:hyperlink w:anchor="_Toc1680" w:history="1">
        <w:r>
          <w:rPr>
            <w:rFonts w:ascii="IRNazanin" w:hAnsi="IRNazanin" w:eastAsia="IRNazanin" w:cs="IRNazanin"/>
            <w:color w:val="111111"/>
            <w:sz w:val="22"/>
            <w:szCs w:val="22"/>
            <w:b w:val="0"/>
            <w:bCs w:val="0"/>
            <w:i w:val="0"/>
            <w:iCs w:val="0"/>
          </w:rPr>
          <w:t>• تاریخ شیراز / تاریخ ایران / فارسی</w:t>
        </w:r>
        <w:r>
          <w:tab/>
        </w:r>
        <w:r>
          <w:fldChar w:fldCharType="begin"/>
        </w:r>
        <w:r>
          <w:instrText xml:space="preserve">PAGEREF 1680 \h</w:instrText>
        </w:r>
        <w:r>
          <w:fldChar w:fldCharType="end"/>
        </w:r>
      </w:hyperlink>
    </w:p>
    <w:p>
      <w:pPr>
        <w:tabs>
          <w:tab w:val="right" w:leader="dot" w:pos="9062"/>
        </w:tabs>
        <w:ind w:left="440"/>
      </w:pPr>
      <w:hyperlink w:anchor="_Toc1681" w:history="1">
        <w:r>
          <w:rPr>
            <w:rFonts w:ascii="IRNazanin" w:hAnsi="IRNazanin" w:eastAsia="IRNazanin" w:cs="IRNazanin"/>
            <w:color w:val="111111"/>
            <w:sz w:val="22"/>
            <w:szCs w:val="22"/>
            <w:b w:val="0"/>
            <w:bCs w:val="0"/>
            <w:i w:val="0"/>
            <w:iCs w:val="0"/>
          </w:rPr>
          <w:t>• تاریخ صاحبقرانی / تاریخ ایران / فارسی</w:t>
        </w:r>
        <w:r>
          <w:tab/>
        </w:r>
        <w:r>
          <w:fldChar w:fldCharType="begin"/>
        </w:r>
        <w:r>
          <w:instrText xml:space="preserve">PAGEREF 1681 \h</w:instrText>
        </w:r>
        <w:r>
          <w:fldChar w:fldCharType="end"/>
        </w:r>
      </w:hyperlink>
    </w:p>
    <w:p>
      <w:pPr>
        <w:tabs>
          <w:tab w:val="right" w:leader="dot" w:pos="9062"/>
        </w:tabs>
        <w:ind w:left="440"/>
      </w:pPr>
      <w:hyperlink w:anchor="_Toc1682" w:history="1">
        <w:r>
          <w:rPr>
            <w:rFonts w:ascii="IRNazanin" w:hAnsi="IRNazanin" w:eastAsia="IRNazanin" w:cs="IRNazanin"/>
            <w:color w:val="111111"/>
            <w:sz w:val="22"/>
            <w:szCs w:val="22"/>
            <w:b w:val="0"/>
            <w:bCs w:val="0"/>
            <w:i w:val="0"/>
            <w:iCs w:val="0"/>
          </w:rPr>
          <w:t>• تاریخ صدر اسلام / تاریخ اسلام / فارسی</w:t>
        </w:r>
        <w:r>
          <w:tab/>
        </w:r>
        <w:r>
          <w:fldChar w:fldCharType="begin"/>
        </w:r>
        <w:r>
          <w:instrText xml:space="preserve">PAGEREF 1682 \h</w:instrText>
        </w:r>
        <w:r>
          <w:fldChar w:fldCharType="end"/>
        </w:r>
      </w:hyperlink>
    </w:p>
    <w:p>
      <w:pPr>
        <w:tabs>
          <w:tab w:val="right" w:leader="dot" w:pos="9062"/>
        </w:tabs>
        <w:ind w:left="440"/>
      </w:pPr>
      <w:hyperlink w:anchor="_Toc1683" w:history="1">
        <w:r>
          <w:rPr>
            <w:rFonts w:ascii="IRNazanin" w:hAnsi="IRNazanin" w:eastAsia="IRNazanin" w:cs="IRNazanin"/>
            <w:color w:val="111111"/>
            <w:sz w:val="22"/>
            <w:szCs w:val="22"/>
            <w:b w:val="0"/>
            <w:bCs w:val="0"/>
            <w:i w:val="0"/>
            <w:iCs w:val="0"/>
          </w:rPr>
          <w:t>• تاریخ صد ساله ممالک فرنگستان / تاریخ / فارسی</w:t>
        </w:r>
        <w:r>
          <w:tab/>
        </w:r>
        <w:r>
          <w:fldChar w:fldCharType="begin"/>
        </w:r>
        <w:r>
          <w:instrText xml:space="preserve">PAGEREF 1683 \h</w:instrText>
        </w:r>
        <w:r>
          <w:fldChar w:fldCharType="end"/>
        </w:r>
      </w:hyperlink>
    </w:p>
    <w:p>
      <w:pPr>
        <w:tabs>
          <w:tab w:val="right" w:leader="dot" w:pos="9062"/>
        </w:tabs>
        <w:ind w:left="440"/>
      </w:pPr>
      <w:hyperlink w:anchor="_Toc1684" w:history="1">
        <w:r>
          <w:rPr>
            <w:rFonts w:ascii="IRNazanin" w:hAnsi="IRNazanin" w:eastAsia="IRNazanin" w:cs="IRNazanin"/>
            <w:color w:val="111111"/>
            <w:sz w:val="22"/>
            <w:szCs w:val="22"/>
            <w:b w:val="0"/>
            <w:bCs w:val="0"/>
            <w:i w:val="0"/>
            <w:iCs w:val="0"/>
          </w:rPr>
          <w:t>• تاریخ صفوی / تاریخ ایران / فارسی</w:t>
        </w:r>
        <w:r>
          <w:tab/>
        </w:r>
        <w:r>
          <w:fldChar w:fldCharType="begin"/>
        </w:r>
        <w:r>
          <w:instrText xml:space="preserve">PAGEREF 1684 \h</w:instrText>
        </w:r>
        <w:r>
          <w:fldChar w:fldCharType="end"/>
        </w:r>
      </w:hyperlink>
    </w:p>
    <w:p>
      <w:pPr>
        <w:tabs>
          <w:tab w:val="right" w:leader="dot" w:pos="9062"/>
        </w:tabs>
        <w:ind w:left="440"/>
      </w:pPr>
      <w:hyperlink w:anchor="_Toc1685" w:history="1">
        <w:r>
          <w:rPr>
            <w:rFonts w:ascii="IRNazanin" w:hAnsi="IRNazanin" w:eastAsia="IRNazanin" w:cs="IRNazanin"/>
            <w:color w:val="111111"/>
            <w:sz w:val="22"/>
            <w:szCs w:val="22"/>
            <w:b w:val="0"/>
            <w:bCs w:val="0"/>
            <w:i w:val="0"/>
            <w:iCs w:val="0"/>
          </w:rPr>
          <w:t>•  تاریخ صفویه / تاریخ / فارسی</w:t>
        </w:r>
        <w:r>
          <w:tab/>
        </w:r>
        <w:r>
          <w:fldChar w:fldCharType="begin"/>
        </w:r>
        <w:r>
          <w:instrText xml:space="preserve">PAGEREF 1685 \h</w:instrText>
        </w:r>
        <w:r>
          <w:fldChar w:fldCharType="end"/>
        </w:r>
      </w:hyperlink>
    </w:p>
    <w:p>
      <w:pPr>
        <w:tabs>
          <w:tab w:val="right" w:leader="dot" w:pos="9062"/>
        </w:tabs>
        <w:ind w:left="440"/>
      </w:pPr>
      <w:hyperlink w:anchor="_Toc1686" w:history="1">
        <w:r>
          <w:rPr>
            <w:rFonts w:ascii="IRNazanin" w:hAnsi="IRNazanin" w:eastAsia="IRNazanin" w:cs="IRNazanin"/>
            <w:color w:val="111111"/>
            <w:sz w:val="22"/>
            <w:szCs w:val="22"/>
            <w:b w:val="0"/>
            <w:bCs w:val="0"/>
            <w:i w:val="0"/>
            <w:iCs w:val="0"/>
          </w:rPr>
          <w:t>• تاریخ صفویه / داستان / فارسی</w:t>
        </w:r>
        <w:r>
          <w:tab/>
        </w:r>
        <w:r>
          <w:fldChar w:fldCharType="begin"/>
        </w:r>
        <w:r>
          <w:instrText xml:space="preserve">PAGEREF 1686 \h</w:instrText>
        </w:r>
        <w:r>
          <w:fldChar w:fldCharType="end"/>
        </w:r>
      </w:hyperlink>
    </w:p>
    <w:p>
      <w:pPr>
        <w:tabs>
          <w:tab w:val="right" w:leader="dot" w:pos="9062"/>
        </w:tabs>
        <w:ind w:left="440"/>
      </w:pPr>
      <w:hyperlink w:anchor="_Toc1687" w:history="1">
        <w:r>
          <w:rPr>
            <w:rFonts w:ascii="IRNazanin" w:hAnsi="IRNazanin" w:eastAsia="IRNazanin" w:cs="IRNazanin"/>
            <w:color w:val="111111"/>
            <w:sz w:val="22"/>
            <w:szCs w:val="22"/>
            <w:b w:val="0"/>
            <w:bCs w:val="0"/>
            <w:i w:val="0"/>
            <w:iCs w:val="0"/>
          </w:rPr>
          <w:t>• تاریخ صفویه / تاریخ / فارسی</w:t>
        </w:r>
        <w:r>
          <w:tab/>
        </w:r>
        <w:r>
          <w:fldChar w:fldCharType="begin"/>
        </w:r>
        <w:r>
          <w:instrText xml:space="preserve">PAGEREF 1687 \h</w:instrText>
        </w:r>
        <w:r>
          <w:fldChar w:fldCharType="end"/>
        </w:r>
      </w:hyperlink>
    </w:p>
    <w:p>
      <w:pPr>
        <w:tabs>
          <w:tab w:val="right" w:leader="dot" w:pos="9062"/>
        </w:tabs>
        <w:ind w:left="440"/>
      </w:pPr>
      <w:hyperlink w:anchor="_Toc1688" w:history="1">
        <w:r>
          <w:rPr>
            <w:rFonts w:ascii="IRNazanin" w:hAnsi="IRNazanin" w:eastAsia="IRNazanin" w:cs="IRNazanin"/>
            <w:color w:val="111111"/>
            <w:sz w:val="22"/>
            <w:szCs w:val="22"/>
            <w:b w:val="0"/>
            <w:bCs w:val="0"/>
            <w:i w:val="0"/>
            <w:iCs w:val="0"/>
          </w:rPr>
          <w:t>• تاریخ صفین = صفین / تاریخ اسلام / عربی</w:t>
        </w:r>
        <w:r>
          <w:tab/>
        </w:r>
        <w:r>
          <w:fldChar w:fldCharType="begin"/>
        </w:r>
        <w:r>
          <w:instrText xml:space="preserve">PAGEREF 1688 \h</w:instrText>
        </w:r>
        <w:r>
          <w:fldChar w:fldCharType="end"/>
        </w:r>
      </w:hyperlink>
    </w:p>
    <w:p>
      <w:pPr>
        <w:tabs>
          <w:tab w:val="right" w:leader="dot" w:pos="9062"/>
        </w:tabs>
        <w:ind w:left="440"/>
      </w:pPr>
      <w:hyperlink w:anchor="_Toc1689" w:history="1">
        <w:r>
          <w:rPr>
            <w:rFonts w:ascii="IRNazanin" w:hAnsi="IRNazanin" w:eastAsia="IRNazanin" w:cs="IRNazanin"/>
            <w:color w:val="111111"/>
            <w:sz w:val="22"/>
            <w:szCs w:val="22"/>
            <w:b w:val="0"/>
            <w:bCs w:val="0"/>
            <w:i w:val="0"/>
            <w:iCs w:val="0"/>
          </w:rPr>
          <w:t>• تاریخ صنعاء (تاریخ الرازی) / تاریخ عربی</w:t>
        </w:r>
        <w:r>
          <w:tab/>
        </w:r>
        <w:r>
          <w:fldChar w:fldCharType="begin"/>
        </w:r>
        <w:r>
          <w:instrText xml:space="preserve">PAGEREF 1689 \h</w:instrText>
        </w:r>
        <w:r>
          <w:fldChar w:fldCharType="end"/>
        </w:r>
      </w:hyperlink>
    </w:p>
    <w:p>
      <w:pPr>
        <w:tabs>
          <w:tab w:val="right" w:leader="dot" w:pos="9062"/>
        </w:tabs>
        <w:ind w:left="440"/>
      </w:pPr>
      <w:hyperlink w:anchor="_Toc1690" w:history="1">
        <w:r>
          <w:rPr>
            <w:rFonts w:ascii="IRNazanin" w:hAnsi="IRNazanin" w:eastAsia="IRNazanin" w:cs="IRNazanin"/>
            <w:color w:val="111111"/>
            <w:sz w:val="22"/>
            <w:szCs w:val="22"/>
            <w:b w:val="0"/>
            <w:bCs w:val="0"/>
            <w:i w:val="0"/>
            <w:iCs w:val="0"/>
          </w:rPr>
          <w:t>• تاریخ طب ایرانی / طب / انگلیسی</w:t>
        </w:r>
        <w:r>
          <w:tab/>
        </w:r>
        <w:r>
          <w:fldChar w:fldCharType="begin"/>
        </w:r>
        <w:r>
          <w:instrText xml:space="preserve">PAGEREF 1690 \h</w:instrText>
        </w:r>
        <w:r>
          <w:fldChar w:fldCharType="end"/>
        </w:r>
      </w:hyperlink>
    </w:p>
    <w:p>
      <w:pPr>
        <w:tabs>
          <w:tab w:val="right" w:leader="dot" w:pos="9062"/>
        </w:tabs>
        <w:ind w:left="440"/>
      </w:pPr>
      <w:hyperlink w:anchor="_Toc1691" w:history="1">
        <w:r>
          <w:rPr>
            <w:rFonts w:ascii="IRNazanin" w:hAnsi="IRNazanin" w:eastAsia="IRNazanin" w:cs="IRNazanin"/>
            <w:color w:val="111111"/>
            <w:sz w:val="22"/>
            <w:szCs w:val="22"/>
            <w:b w:val="0"/>
            <w:bCs w:val="0"/>
            <w:i w:val="0"/>
            <w:iCs w:val="0"/>
          </w:rPr>
          <w:t>• تاریخ طبرستان = تاریخ ابن اسفندیار = تاریخ رویان / تاریخ ایران / فارسی</w:t>
        </w:r>
        <w:r>
          <w:tab/>
        </w:r>
        <w:r>
          <w:fldChar w:fldCharType="begin"/>
        </w:r>
        <w:r>
          <w:instrText xml:space="preserve">PAGEREF 1691 \h</w:instrText>
        </w:r>
        <w:r>
          <w:fldChar w:fldCharType="end"/>
        </w:r>
      </w:hyperlink>
    </w:p>
    <w:p>
      <w:pPr>
        <w:tabs>
          <w:tab w:val="right" w:leader="dot" w:pos="9062"/>
        </w:tabs>
        <w:ind w:left="440"/>
      </w:pPr>
      <w:hyperlink w:anchor="_Toc1692" w:history="1">
        <w:r>
          <w:rPr>
            <w:rFonts w:ascii="IRNazanin" w:hAnsi="IRNazanin" w:eastAsia="IRNazanin" w:cs="IRNazanin"/>
            <w:color w:val="111111"/>
            <w:sz w:val="22"/>
            <w:szCs w:val="22"/>
            <w:b w:val="0"/>
            <w:bCs w:val="0"/>
            <w:i w:val="0"/>
            <w:iCs w:val="0"/>
          </w:rPr>
          <w:t>•تاریخ طبرستان = تاریخ مازندران / تاریخ ایران / فارسی</w:t>
        </w:r>
        <w:r>
          <w:tab/>
        </w:r>
        <w:r>
          <w:fldChar w:fldCharType="begin"/>
        </w:r>
        <w:r>
          <w:instrText xml:space="preserve">PAGEREF 1692 \h</w:instrText>
        </w:r>
        <w:r>
          <w:fldChar w:fldCharType="end"/>
        </w:r>
      </w:hyperlink>
    </w:p>
    <w:p>
      <w:pPr>
        <w:tabs>
          <w:tab w:val="right" w:leader="dot" w:pos="9062"/>
        </w:tabs>
        <w:ind w:left="440"/>
      </w:pPr>
      <w:hyperlink w:anchor="_Toc1693" w:history="1">
        <w:r>
          <w:rPr>
            <w:rFonts w:ascii="IRNazanin" w:hAnsi="IRNazanin" w:eastAsia="IRNazanin" w:cs="IRNazanin"/>
            <w:color w:val="111111"/>
            <w:sz w:val="22"/>
            <w:szCs w:val="22"/>
            <w:b w:val="0"/>
            <w:bCs w:val="0"/>
            <w:i w:val="0"/>
            <w:iCs w:val="0"/>
          </w:rPr>
          <w:t>•تاریخ طبرستان / تاریخ ایران / فارسی</w:t>
        </w:r>
        <w:r>
          <w:tab/>
        </w:r>
        <w:r>
          <w:fldChar w:fldCharType="begin"/>
        </w:r>
        <w:r>
          <w:instrText xml:space="preserve">PAGEREF 1693 \h</w:instrText>
        </w:r>
        <w:r>
          <w:fldChar w:fldCharType="end"/>
        </w:r>
      </w:hyperlink>
    </w:p>
    <w:p>
      <w:pPr>
        <w:tabs>
          <w:tab w:val="right" w:leader="dot" w:pos="9062"/>
        </w:tabs>
        <w:ind w:left="440"/>
      </w:pPr>
      <w:hyperlink w:anchor="_Toc1694" w:history="1">
        <w:r>
          <w:rPr>
            <w:rFonts w:ascii="IRNazanin" w:hAnsi="IRNazanin" w:eastAsia="IRNazanin" w:cs="IRNazanin"/>
            <w:color w:val="111111"/>
            <w:sz w:val="22"/>
            <w:szCs w:val="22"/>
            <w:b w:val="0"/>
            <w:bCs w:val="0"/>
            <w:i w:val="0"/>
            <w:iCs w:val="0"/>
          </w:rPr>
          <w:t>•تاریخ طبرستان و رویان و مازندران / تاریخ ایران / فارسی</w:t>
        </w:r>
        <w:r>
          <w:tab/>
        </w:r>
        <w:r>
          <w:fldChar w:fldCharType="begin"/>
        </w:r>
        <w:r>
          <w:instrText xml:space="preserve">PAGEREF 1694 \h</w:instrText>
        </w:r>
        <w:r>
          <w:fldChar w:fldCharType="end"/>
        </w:r>
      </w:hyperlink>
    </w:p>
    <w:p>
      <w:pPr>
        <w:tabs>
          <w:tab w:val="right" w:leader="dot" w:pos="9062"/>
        </w:tabs>
        <w:ind w:left="440"/>
      </w:pPr>
      <w:hyperlink w:anchor="_Toc1695" w:history="1">
        <w:r>
          <w:rPr>
            <w:rFonts w:ascii="IRNazanin" w:hAnsi="IRNazanin" w:eastAsia="IRNazanin" w:cs="IRNazanin"/>
            <w:color w:val="111111"/>
            <w:sz w:val="22"/>
            <w:szCs w:val="22"/>
            <w:b w:val="0"/>
            <w:bCs w:val="0"/>
            <w:i w:val="0"/>
            <w:iCs w:val="0"/>
          </w:rPr>
          <w:t>•تاریخ طبری / تاریخ / عربی</w:t>
        </w:r>
        <w:r>
          <w:tab/>
        </w:r>
        <w:r>
          <w:fldChar w:fldCharType="begin"/>
        </w:r>
        <w:r>
          <w:instrText xml:space="preserve">PAGEREF 1695 \h</w:instrText>
        </w:r>
        <w:r>
          <w:fldChar w:fldCharType="end"/>
        </w:r>
      </w:hyperlink>
    </w:p>
    <w:p>
      <w:pPr>
        <w:tabs>
          <w:tab w:val="right" w:leader="dot" w:pos="9062"/>
        </w:tabs>
        <w:ind w:left="440"/>
      </w:pPr>
      <w:hyperlink w:anchor="_Toc1696" w:history="1">
        <w:r>
          <w:rPr>
            <w:rFonts w:ascii="IRNazanin" w:hAnsi="IRNazanin" w:eastAsia="IRNazanin" w:cs="IRNazanin"/>
            <w:color w:val="111111"/>
            <w:sz w:val="22"/>
            <w:szCs w:val="22"/>
            <w:b w:val="0"/>
            <w:bCs w:val="0"/>
            <w:i w:val="0"/>
            <w:iCs w:val="0"/>
          </w:rPr>
          <w:t>•تاریخ طبری (ترجمه) / تاریخ / ترکی</w:t>
        </w:r>
        <w:r>
          <w:tab/>
        </w:r>
        <w:r>
          <w:fldChar w:fldCharType="begin"/>
        </w:r>
        <w:r>
          <w:instrText xml:space="preserve">PAGEREF 1696 \h</w:instrText>
        </w:r>
        <w:r>
          <w:fldChar w:fldCharType="end"/>
        </w:r>
      </w:hyperlink>
    </w:p>
    <w:p>
      <w:pPr>
        <w:tabs>
          <w:tab w:val="right" w:leader="dot" w:pos="9062"/>
        </w:tabs>
        <w:ind w:left="440"/>
      </w:pPr>
      <w:hyperlink w:anchor="_Toc1697" w:history="1">
        <w:r>
          <w:rPr>
            <w:rFonts w:ascii="IRNazanin" w:hAnsi="IRNazanin" w:eastAsia="IRNazanin" w:cs="IRNazanin"/>
            <w:color w:val="111111"/>
            <w:sz w:val="22"/>
            <w:szCs w:val="22"/>
            <w:b w:val="0"/>
            <w:bCs w:val="0"/>
            <w:i w:val="0"/>
            <w:iCs w:val="0"/>
          </w:rPr>
          <w:t>• تاریخ طبری (ترجمه) / تاریخ / فارسی</w:t>
        </w:r>
        <w:r>
          <w:tab/>
        </w:r>
        <w:r>
          <w:fldChar w:fldCharType="begin"/>
        </w:r>
        <w:r>
          <w:instrText xml:space="preserve">PAGEREF 1697 \h</w:instrText>
        </w:r>
        <w:r>
          <w:fldChar w:fldCharType="end"/>
        </w:r>
      </w:hyperlink>
    </w:p>
    <w:p>
      <w:pPr>
        <w:tabs>
          <w:tab w:val="right" w:leader="dot" w:pos="9062"/>
        </w:tabs>
        <w:ind w:left="440"/>
      </w:pPr>
      <w:hyperlink w:anchor="_Toc1698" w:history="1">
        <w:r>
          <w:rPr>
            <w:rFonts w:ascii="IRNazanin" w:hAnsi="IRNazanin" w:eastAsia="IRNazanin" w:cs="IRNazanin"/>
            <w:color w:val="111111"/>
            <w:sz w:val="22"/>
            <w:szCs w:val="22"/>
            <w:b w:val="0"/>
            <w:bCs w:val="0"/>
            <w:i w:val="0"/>
            <w:iCs w:val="0"/>
          </w:rPr>
          <w:t>• تاریخ طبری (ترجمه) / تاریخ / فارسی</w:t>
        </w:r>
        <w:r>
          <w:tab/>
        </w:r>
        <w:r>
          <w:fldChar w:fldCharType="begin"/>
        </w:r>
        <w:r>
          <w:instrText xml:space="preserve">PAGEREF 1698 \h</w:instrText>
        </w:r>
        <w:r>
          <w:fldChar w:fldCharType="end"/>
        </w:r>
      </w:hyperlink>
    </w:p>
    <w:p>
      <w:pPr>
        <w:tabs>
          <w:tab w:val="right" w:leader="dot" w:pos="9062"/>
        </w:tabs>
        <w:ind w:left="440"/>
      </w:pPr>
      <w:hyperlink w:anchor="_Toc1699" w:history="1">
        <w:r>
          <w:rPr>
            <w:rFonts w:ascii="IRNazanin" w:hAnsi="IRNazanin" w:eastAsia="IRNazanin" w:cs="IRNazanin"/>
            <w:color w:val="111111"/>
            <w:sz w:val="22"/>
            <w:szCs w:val="22"/>
            <w:b w:val="0"/>
            <w:bCs w:val="0"/>
            <w:i w:val="0"/>
            <w:iCs w:val="0"/>
          </w:rPr>
          <w:t>•تاریخ طبیعی / طبیعیات / فارسی</w:t>
        </w:r>
        <w:r>
          <w:tab/>
        </w:r>
        <w:r>
          <w:fldChar w:fldCharType="begin"/>
        </w:r>
        <w:r>
          <w:instrText xml:space="preserve">PAGEREF 1699 \h</w:instrText>
        </w:r>
        <w:r>
          <w:fldChar w:fldCharType="end"/>
        </w:r>
      </w:hyperlink>
    </w:p>
    <w:p>
      <w:pPr>
        <w:tabs>
          <w:tab w:val="right" w:leader="dot" w:pos="9062"/>
        </w:tabs>
        <w:ind w:left="440"/>
      </w:pPr>
      <w:hyperlink w:anchor="_Toc1700" w:history="1">
        <w:r>
          <w:rPr>
            <w:rFonts w:ascii="IRNazanin" w:hAnsi="IRNazanin" w:eastAsia="IRNazanin" w:cs="IRNazanin"/>
            <w:color w:val="111111"/>
            <w:sz w:val="22"/>
            <w:szCs w:val="22"/>
            <w:b w:val="0"/>
            <w:bCs w:val="0"/>
            <w:i w:val="0"/>
            <w:iCs w:val="0"/>
          </w:rPr>
          <w:t>•تاریخ طبیعی حیوان شناسی / حيوان شناسی / فارسی</w:t>
        </w:r>
        <w:r>
          <w:tab/>
        </w:r>
        <w:r>
          <w:fldChar w:fldCharType="begin"/>
        </w:r>
        <w:r>
          <w:instrText xml:space="preserve">PAGEREF 1700 \h</w:instrText>
        </w:r>
        <w:r>
          <w:fldChar w:fldCharType="end"/>
        </w:r>
      </w:hyperlink>
    </w:p>
    <w:p>
      <w:pPr>
        <w:tabs>
          <w:tab w:val="right" w:leader="dot" w:pos="9062"/>
        </w:tabs>
        <w:ind w:left="440"/>
      </w:pPr>
      <w:hyperlink w:anchor="_Toc1701" w:history="1">
        <w:r>
          <w:rPr>
            <w:rFonts w:ascii="IRNazanin" w:hAnsi="IRNazanin" w:eastAsia="IRNazanin" w:cs="IRNazanin"/>
            <w:color w:val="111111"/>
            <w:sz w:val="22"/>
            <w:szCs w:val="22"/>
            <w:b w:val="0"/>
            <w:bCs w:val="0"/>
            <w:i w:val="0"/>
            <w:iCs w:val="0"/>
          </w:rPr>
          <w:t>•تاریخ طغیان اکراد / تاریخ ایران / فارسی</w:t>
        </w:r>
        <w:r>
          <w:tab/>
        </w:r>
        <w:r>
          <w:fldChar w:fldCharType="begin"/>
        </w:r>
        <w:r>
          <w:instrText xml:space="preserve">PAGEREF 1701 \h</w:instrText>
        </w:r>
        <w:r>
          <w:fldChar w:fldCharType="end"/>
        </w:r>
      </w:hyperlink>
    </w:p>
    <w:p>
      <w:pPr>
        <w:tabs>
          <w:tab w:val="right" w:leader="dot" w:pos="9062"/>
        </w:tabs>
        <w:ind w:left="440"/>
      </w:pPr>
      <w:hyperlink w:anchor="_Toc1702" w:history="1">
        <w:r>
          <w:rPr>
            <w:rFonts w:ascii="IRNazanin" w:hAnsi="IRNazanin" w:eastAsia="IRNazanin" w:cs="IRNazanin"/>
            <w:color w:val="111111"/>
            <w:sz w:val="22"/>
            <w:szCs w:val="22"/>
            <w:b w:val="0"/>
            <w:bCs w:val="0"/>
            <w:i w:val="0"/>
            <w:iCs w:val="0"/>
          </w:rPr>
          <w:t>•تاریخ طلوع باب / تاریخ ایران / فارسی</w:t>
        </w:r>
        <w:r>
          <w:tab/>
        </w:r>
        <w:r>
          <w:fldChar w:fldCharType="begin"/>
        </w:r>
        <w:r>
          <w:instrText xml:space="preserve">PAGEREF 1702 \h</w:instrText>
        </w:r>
        <w:r>
          <w:fldChar w:fldCharType="end"/>
        </w:r>
      </w:hyperlink>
    </w:p>
    <w:p>
      <w:pPr>
        <w:tabs>
          <w:tab w:val="right" w:leader="dot" w:pos="9062"/>
        </w:tabs>
        <w:ind w:left="440"/>
      </w:pPr>
      <w:hyperlink w:anchor="_Toc1703" w:history="1">
        <w:r>
          <w:rPr>
            <w:rFonts w:ascii="IRNazanin" w:hAnsi="IRNazanin" w:eastAsia="IRNazanin" w:cs="IRNazanin"/>
            <w:color w:val="111111"/>
            <w:sz w:val="22"/>
            <w:szCs w:val="22"/>
            <w:b w:val="0"/>
            <w:bCs w:val="0"/>
            <w:i w:val="0"/>
            <w:iCs w:val="0"/>
          </w:rPr>
          <w:t>•تاریخ طم وری / داستان / عربی</w:t>
        </w:r>
        <w:r>
          <w:tab/>
        </w:r>
        <w:r>
          <w:fldChar w:fldCharType="begin"/>
        </w:r>
        <w:r>
          <w:instrText xml:space="preserve">PAGEREF 1703 \h</w:instrText>
        </w:r>
        <w:r>
          <w:fldChar w:fldCharType="end"/>
        </w:r>
      </w:hyperlink>
    </w:p>
    <w:p>
      <w:pPr>
        <w:tabs>
          <w:tab w:val="right" w:leader="dot" w:pos="9062"/>
        </w:tabs>
        <w:ind w:left="440"/>
      </w:pPr>
      <w:hyperlink w:anchor="_Toc1704" w:history="1">
        <w:r>
          <w:rPr>
            <w:rFonts w:ascii="IRNazanin" w:hAnsi="IRNazanin" w:eastAsia="IRNazanin" w:cs="IRNazanin"/>
            <w:color w:val="111111"/>
            <w:sz w:val="22"/>
            <w:szCs w:val="22"/>
            <w:b w:val="0"/>
            <w:bCs w:val="0"/>
            <w:i w:val="0"/>
            <w:iCs w:val="0"/>
          </w:rPr>
          <w:t>•تاریخ طوایف بنی اردلان / تاریخ ایران / فارسی</w:t>
        </w:r>
        <w:r>
          <w:tab/>
        </w:r>
        <w:r>
          <w:fldChar w:fldCharType="begin"/>
        </w:r>
        <w:r>
          <w:instrText xml:space="preserve">PAGEREF 1704 \h</w:instrText>
        </w:r>
        <w:r>
          <w:fldChar w:fldCharType="end"/>
        </w:r>
      </w:hyperlink>
    </w:p>
    <w:p>
      <w:pPr>
        <w:tabs>
          <w:tab w:val="right" w:leader="dot" w:pos="9062"/>
        </w:tabs>
        <w:ind w:left="440"/>
      </w:pPr>
      <w:hyperlink w:anchor="_Toc1705" w:history="1">
        <w:r>
          <w:rPr>
            <w:rFonts w:ascii="IRNazanin" w:hAnsi="IRNazanin" w:eastAsia="IRNazanin" w:cs="IRNazanin"/>
            <w:color w:val="111111"/>
            <w:sz w:val="22"/>
            <w:szCs w:val="22"/>
            <w:b w:val="0"/>
            <w:bCs w:val="0"/>
            <w:i w:val="0"/>
            <w:iCs w:val="0"/>
          </w:rPr>
          <w:t>•تاریخ طوس / تاریخ / عربی</w:t>
        </w:r>
        <w:r>
          <w:tab/>
        </w:r>
        <w:r>
          <w:fldChar w:fldCharType="begin"/>
        </w:r>
        <w:r>
          <w:instrText xml:space="preserve">PAGEREF 1705 \h</w:instrText>
        </w:r>
        <w:r>
          <w:fldChar w:fldCharType="end"/>
        </w:r>
      </w:hyperlink>
    </w:p>
    <w:p>
      <w:pPr>
        <w:tabs>
          <w:tab w:val="right" w:leader="dot" w:pos="9062"/>
        </w:tabs>
        <w:ind w:left="440"/>
      </w:pPr>
      <w:hyperlink w:anchor="_Toc1706" w:history="1">
        <w:r>
          <w:rPr>
            <w:rFonts w:ascii="IRNazanin" w:hAnsi="IRNazanin" w:eastAsia="IRNazanin" w:cs="IRNazanin"/>
            <w:color w:val="111111"/>
            <w:sz w:val="22"/>
            <w:szCs w:val="22"/>
            <w:b w:val="0"/>
            <w:bCs w:val="0"/>
            <w:i w:val="0"/>
            <w:iCs w:val="0"/>
          </w:rPr>
          <w:t>•تاریخ طهماسب قلی خان / تاریخ ایران / فارسی</w:t>
        </w:r>
        <w:r>
          <w:tab/>
        </w:r>
        <w:r>
          <w:fldChar w:fldCharType="begin"/>
        </w:r>
        <w:r>
          <w:instrText xml:space="preserve">PAGEREF 1706 \h</w:instrText>
        </w:r>
        <w:r>
          <w:fldChar w:fldCharType="end"/>
        </w:r>
      </w:hyperlink>
    </w:p>
    <w:p>
      <w:pPr>
        <w:tabs>
          <w:tab w:val="right" w:leader="dot" w:pos="9062"/>
        </w:tabs>
        <w:ind w:left="440"/>
      </w:pPr>
      <w:hyperlink w:anchor="_Toc1707" w:history="1">
        <w:r>
          <w:rPr>
            <w:rFonts w:ascii="IRNazanin" w:hAnsi="IRNazanin" w:eastAsia="IRNazanin" w:cs="IRNazanin"/>
            <w:color w:val="111111"/>
            <w:sz w:val="22"/>
            <w:szCs w:val="22"/>
            <w:b w:val="0"/>
            <w:bCs w:val="0"/>
            <w:i w:val="0"/>
            <w:iCs w:val="0"/>
          </w:rPr>
          <w:t>•تاریخ ظهور المنطق / منطق / عربی</w:t>
        </w:r>
        <w:r>
          <w:tab/>
        </w:r>
        <w:r>
          <w:fldChar w:fldCharType="begin"/>
        </w:r>
        <w:r>
          <w:instrText xml:space="preserve">PAGEREF 1707 \h</w:instrText>
        </w:r>
        <w:r>
          <w:fldChar w:fldCharType="end"/>
        </w:r>
      </w:hyperlink>
    </w:p>
    <w:p>
      <w:pPr>
        <w:tabs>
          <w:tab w:val="right" w:leader="dot" w:pos="9062"/>
        </w:tabs>
        <w:ind w:left="440"/>
      </w:pPr>
      <w:hyperlink w:anchor="_Toc1708" w:history="1">
        <w:r>
          <w:rPr>
            <w:rFonts w:ascii="IRNazanin" w:hAnsi="IRNazanin" w:eastAsia="IRNazanin" w:cs="IRNazanin"/>
            <w:color w:val="111111"/>
            <w:sz w:val="22"/>
            <w:szCs w:val="22"/>
            <w:b w:val="0"/>
            <w:bCs w:val="0"/>
            <w:i w:val="0"/>
            <w:iCs w:val="0"/>
          </w:rPr>
          <w:t>•تاریخ عالم / تاریخ عمومی / فارسی</w:t>
        </w:r>
        <w:r>
          <w:tab/>
        </w:r>
        <w:r>
          <w:fldChar w:fldCharType="begin"/>
        </w:r>
        <w:r>
          <w:instrText xml:space="preserve">PAGEREF 1708 \h</w:instrText>
        </w:r>
        <w:r>
          <w:fldChar w:fldCharType="end"/>
        </w:r>
      </w:hyperlink>
    </w:p>
    <w:p>
      <w:pPr>
        <w:tabs>
          <w:tab w:val="right" w:leader="dot" w:pos="9062"/>
        </w:tabs>
        <w:ind w:left="440"/>
      </w:pPr>
      <w:hyperlink w:anchor="_Toc1709" w:history="1">
        <w:r>
          <w:rPr>
            <w:rFonts w:ascii="IRNazanin" w:hAnsi="IRNazanin" w:eastAsia="IRNazanin" w:cs="IRNazanin"/>
            <w:color w:val="111111"/>
            <w:sz w:val="22"/>
            <w:szCs w:val="22"/>
            <w:b w:val="0"/>
            <w:bCs w:val="0"/>
            <w:i w:val="0"/>
            <w:iCs w:val="0"/>
          </w:rPr>
          <w:t>•تاریخ عالم / شعر، تاریخ / فارسی</w:t>
        </w:r>
        <w:r>
          <w:tab/>
        </w:r>
        <w:r>
          <w:fldChar w:fldCharType="begin"/>
        </w:r>
        <w:r>
          <w:instrText xml:space="preserve">PAGEREF 1709 \h</w:instrText>
        </w:r>
        <w:r>
          <w:fldChar w:fldCharType="end"/>
        </w:r>
      </w:hyperlink>
    </w:p>
    <w:p>
      <w:pPr>
        <w:tabs>
          <w:tab w:val="right" w:leader="dot" w:pos="9062"/>
        </w:tabs>
        <w:ind w:left="440"/>
      </w:pPr>
      <w:hyperlink w:anchor="_Toc1710" w:history="1">
        <w:r>
          <w:rPr>
            <w:rFonts w:ascii="IRNazanin" w:hAnsi="IRNazanin" w:eastAsia="IRNazanin" w:cs="IRNazanin"/>
            <w:color w:val="111111"/>
            <w:sz w:val="22"/>
            <w:szCs w:val="22"/>
            <w:b w:val="0"/>
            <w:bCs w:val="0"/>
            <w:i w:val="0"/>
            <w:iCs w:val="0"/>
          </w:rPr>
          <w:t>•تاریخ عباسی = روزنامه ملاجلال / تاریخ ایران / فارسی</w:t>
        </w:r>
        <w:r>
          <w:tab/>
        </w:r>
        <w:r>
          <w:fldChar w:fldCharType="begin"/>
        </w:r>
        <w:r>
          <w:instrText xml:space="preserve">PAGEREF 1710 \h</w:instrText>
        </w:r>
        <w:r>
          <w:fldChar w:fldCharType="end"/>
        </w:r>
      </w:hyperlink>
    </w:p>
    <w:p>
      <w:pPr>
        <w:tabs>
          <w:tab w:val="right" w:leader="dot" w:pos="9062"/>
        </w:tabs>
        <w:ind w:left="440"/>
      </w:pPr>
      <w:hyperlink w:anchor="_Toc1711" w:history="1">
        <w:r>
          <w:rPr>
            <w:rFonts w:ascii="IRNazanin" w:hAnsi="IRNazanin" w:eastAsia="IRNazanin" w:cs="IRNazanin"/>
            <w:color w:val="111111"/>
            <w:sz w:val="22"/>
            <w:szCs w:val="22"/>
            <w:b w:val="0"/>
            <w:bCs w:val="0"/>
            <w:i w:val="0"/>
            <w:iCs w:val="0"/>
          </w:rPr>
          <w:t>•تاریخ عباسیان / تاریخ / فارسی</w:t>
        </w:r>
        <w:r>
          <w:tab/>
        </w:r>
        <w:r>
          <w:fldChar w:fldCharType="begin"/>
        </w:r>
        <w:r>
          <w:instrText xml:space="preserve">PAGEREF 1711 \h</w:instrText>
        </w:r>
        <w:r>
          <w:fldChar w:fldCharType="end"/>
        </w:r>
      </w:hyperlink>
    </w:p>
    <w:p>
      <w:pPr>
        <w:tabs>
          <w:tab w:val="right" w:leader="dot" w:pos="9062"/>
        </w:tabs>
        <w:ind w:left="440"/>
      </w:pPr>
      <w:hyperlink w:anchor="_Toc1712" w:history="1">
        <w:r>
          <w:rPr>
            <w:rFonts w:ascii="IRNazanin" w:hAnsi="IRNazanin" w:eastAsia="IRNazanin" w:cs="IRNazanin"/>
            <w:color w:val="111111"/>
            <w:sz w:val="22"/>
            <w:szCs w:val="22"/>
            <w:b w:val="0"/>
            <w:bCs w:val="0"/>
            <w:i w:val="0"/>
            <w:iCs w:val="0"/>
          </w:rPr>
          <w:t>•تاریخ عباسیان / تاریخ / فارسی</w:t>
        </w:r>
        <w:r>
          <w:tab/>
        </w:r>
        <w:r>
          <w:fldChar w:fldCharType="begin"/>
        </w:r>
        <w:r>
          <w:instrText xml:space="preserve">PAGEREF 1712 \h</w:instrText>
        </w:r>
        <w:r>
          <w:fldChar w:fldCharType="end"/>
        </w:r>
      </w:hyperlink>
    </w:p>
    <w:p>
      <w:pPr>
        <w:tabs>
          <w:tab w:val="right" w:leader="dot" w:pos="9062"/>
        </w:tabs>
        <w:ind w:left="440"/>
      </w:pPr>
      <w:hyperlink w:anchor="_Toc1713" w:history="1">
        <w:r>
          <w:rPr>
            <w:rFonts w:ascii="IRNazanin" w:hAnsi="IRNazanin" w:eastAsia="IRNazanin" w:cs="IRNazanin"/>
            <w:color w:val="111111"/>
            <w:sz w:val="22"/>
            <w:szCs w:val="22"/>
            <w:b w:val="0"/>
            <w:bCs w:val="0"/>
            <w:i w:val="0"/>
            <w:iCs w:val="0"/>
          </w:rPr>
          <w:t>•التاريخ العبرانی = تاریخ الخليقة / هيأت / عربی</w:t>
        </w:r>
        <w:r>
          <w:tab/>
        </w:r>
        <w:r>
          <w:fldChar w:fldCharType="begin"/>
        </w:r>
        <w:r>
          <w:instrText xml:space="preserve">PAGEREF 1713 \h</w:instrText>
        </w:r>
        <w:r>
          <w:fldChar w:fldCharType="end"/>
        </w:r>
      </w:hyperlink>
    </w:p>
    <w:p>
      <w:pPr>
        <w:tabs>
          <w:tab w:val="right" w:leader="dot" w:pos="9062"/>
        </w:tabs>
        <w:ind w:left="440"/>
      </w:pPr>
      <w:hyperlink w:anchor="_Toc1714" w:history="1">
        <w:r>
          <w:rPr>
            <w:rFonts w:ascii="IRNazanin" w:hAnsi="IRNazanin" w:eastAsia="IRNazanin" w:cs="IRNazanin"/>
            <w:color w:val="111111"/>
            <w:sz w:val="22"/>
            <w:szCs w:val="22"/>
            <w:b w:val="0"/>
            <w:bCs w:val="0"/>
            <w:i w:val="0"/>
            <w:iCs w:val="0"/>
          </w:rPr>
          <w:t>•تاریخ عبرة لمن اعتبر / تاریخ ایران / فارسی</w:t>
        </w:r>
        <w:r>
          <w:tab/>
        </w:r>
        <w:r>
          <w:fldChar w:fldCharType="begin"/>
        </w:r>
        <w:r>
          <w:instrText xml:space="preserve">PAGEREF 1714 \h</w:instrText>
        </w:r>
        <w:r>
          <w:fldChar w:fldCharType="end"/>
        </w:r>
      </w:hyperlink>
    </w:p>
    <w:p>
      <w:pPr>
        <w:tabs>
          <w:tab w:val="right" w:leader="dot" w:pos="9062"/>
        </w:tabs>
        <w:ind w:left="440"/>
      </w:pPr>
      <w:hyperlink w:anchor="_Toc1715" w:history="1">
        <w:r>
          <w:rPr>
            <w:rFonts w:ascii="IRNazanin" w:hAnsi="IRNazanin" w:eastAsia="IRNazanin" w:cs="IRNazanin"/>
            <w:color w:val="111111"/>
            <w:sz w:val="22"/>
            <w:szCs w:val="22"/>
            <w:b w:val="0"/>
            <w:bCs w:val="0"/>
            <w:i w:val="0"/>
            <w:iCs w:val="0"/>
          </w:rPr>
          <w:t>•تاریخ عبيد الله غيد / تاریخ / فارسی</w:t>
        </w:r>
        <w:r>
          <w:tab/>
        </w:r>
        <w:r>
          <w:fldChar w:fldCharType="begin"/>
        </w:r>
        <w:r>
          <w:instrText xml:space="preserve">PAGEREF 1715 \h</w:instrText>
        </w:r>
        <w:r>
          <w:fldChar w:fldCharType="end"/>
        </w:r>
      </w:hyperlink>
    </w:p>
    <w:p>
      <w:pPr>
        <w:tabs>
          <w:tab w:val="right" w:leader="dot" w:pos="9062"/>
        </w:tabs>
        <w:ind w:left="440"/>
      </w:pPr>
      <w:hyperlink w:anchor="_Toc1716" w:history="1">
        <w:r>
          <w:rPr>
            <w:rFonts w:ascii="IRNazanin" w:hAnsi="IRNazanin" w:eastAsia="IRNazanin" w:cs="IRNazanin"/>
            <w:color w:val="111111"/>
            <w:sz w:val="22"/>
            <w:szCs w:val="22"/>
            <w:b w:val="0"/>
            <w:bCs w:val="0"/>
            <w:i w:val="0"/>
            <w:iCs w:val="0"/>
          </w:rPr>
          <w:t>•تاریخ عترت = سیرت معصومین / تاریخ معصومین / فارسی</w:t>
        </w:r>
        <w:r>
          <w:tab/>
        </w:r>
        <w:r>
          <w:fldChar w:fldCharType="begin"/>
        </w:r>
        <w:r>
          <w:instrText xml:space="preserve">PAGEREF 1716 \h</w:instrText>
        </w:r>
        <w:r>
          <w:fldChar w:fldCharType="end"/>
        </w:r>
      </w:hyperlink>
    </w:p>
    <w:p>
      <w:pPr>
        <w:tabs>
          <w:tab w:val="right" w:leader="dot" w:pos="9062"/>
        </w:tabs>
        <w:ind w:left="440"/>
      </w:pPr>
      <w:hyperlink w:anchor="_Toc1717" w:history="1">
        <w:r>
          <w:rPr>
            <w:rFonts w:ascii="IRNazanin" w:hAnsi="IRNazanin" w:eastAsia="IRNazanin" w:cs="IRNazanin"/>
            <w:color w:val="111111"/>
            <w:sz w:val="22"/>
            <w:szCs w:val="22"/>
            <w:b w:val="0"/>
            <w:bCs w:val="0"/>
            <w:i w:val="0"/>
            <w:iCs w:val="0"/>
          </w:rPr>
          <w:t>•تاریخ عترت / تاریخ معصومین / فارسی</w:t>
        </w:r>
        <w:r>
          <w:tab/>
        </w:r>
        <w:r>
          <w:fldChar w:fldCharType="begin"/>
        </w:r>
        <w:r>
          <w:instrText xml:space="preserve">PAGEREF 1717 \h</w:instrText>
        </w:r>
        <w:r>
          <w:fldChar w:fldCharType="end"/>
        </w:r>
      </w:hyperlink>
    </w:p>
    <w:p>
      <w:pPr>
        <w:tabs>
          <w:tab w:val="right" w:leader="dot" w:pos="9062"/>
        </w:tabs>
        <w:ind w:left="440"/>
      </w:pPr>
      <w:hyperlink w:anchor="_Toc1718" w:history="1">
        <w:r>
          <w:rPr>
            <w:rFonts w:ascii="IRNazanin" w:hAnsi="IRNazanin" w:eastAsia="IRNazanin" w:cs="IRNazanin"/>
            <w:color w:val="111111"/>
            <w:sz w:val="22"/>
            <w:szCs w:val="22"/>
            <w:b w:val="0"/>
            <w:bCs w:val="0"/>
            <w:i w:val="0"/>
            <w:iCs w:val="0"/>
          </w:rPr>
          <w:t>•تاریخ عثمان / تاریخ عربی</w:t>
        </w:r>
        <w:r>
          <w:tab/>
        </w:r>
        <w:r>
          <w:fldChar w:fldCharType="begin"/>
        </w:r>
        <w:r>
          <w:instrText xml:space="preserve">PAGEREF 1718 \h</w:instrText>
        </w:r>
        <w:r>
          <w:fldChar w:fldCharType="end"/>
        </w:r>
      </w:hyperlink>
    </w:p>
    <w:p>
      <w:pPr>
        <w:tabs>
          <w:tab w:val="right" w:leader="dot" w:pos="9062"/>
        </w:tabs>
        <w:ind w:left="440"/>
      </w:pPr>
      <w:hyperlink w:anchor="_Toc1719" w:history="1">
        <w:r>
          <w:rPr>
            <w:rFonts w:ascii="IRNazanin" w:hAnsi="IRNazanin" w:eastAsia="IRNazanin" w:cs="IRNazanin"/>
            <w:color w:val="111111"/>
            <w:sz w:val="22"/>
            <w:szCs w:val="22"/>
            <w:b w:val="0"/>
            <w:bCs w:val="0"/>
            <w:i w:val="0"/>
            <w:iCs w:val="0"/>
          </w:rPr>
          <w:t>•تاریخ عثمانی (ترجمه) = تاریخ دولت علیه عثمانی / تاریخ / فارسی</w:t>
        </w:r>
        <w:r>
          <w:tab/>
        </w:r>
        <w:r>
          <w:fldChar w:fldCharType="begin"/>
        </w:r>
        <w:r>
          <w:instrText xml:space="preserve">PAGEREF 1719 \h</w:instrText>
        </w:r>
        <w:r>
          <w:fldChar w:fldCharType="end"/>
        </w:r>
      </w:hyperlink>
    </w:p>
    <w:p>
      <w:pPr>
        <w:tabs>
          <w:tab w:val="right" w:leader="dot" w:pos="9062"/>
        </w:tabs>
        <w:ind w:left="440"/>
      </w:pPr>
      <w:hyperlink w:anchor="_Toc1720" w:history="1">
        <w:r>
          <w:rPr>
            <w:rFonts w:ascii="IRNazanin" w:hAnsi="IRNazanin" w:eastAsia="IRNazanin" w:cs="IRNazanin"/>
            <w:color w:val="111111"/>
            <w:sz w:val="22"/>
            <w:szCs w:val="22"/>
            <w:b w:val="0"/>
            <w:bCs w:val="0"/>
            <w:i w:val="0"/>
            <w:iCs w:val="0"/>
          </w:rPr>
          <w:t>•تاریخ عثمانی و صفوی و معاصران / تاریخ جهان / فارسی</w:t>
        </w:r>
        <w:r>
          <w:tab/>
        </w:r>
        <w:r>
          <w:fldChar w:fldCharType="begin"/>
        </w:r>
        <w:r>
          <w:instrText xml:space="preserve">PAGEREF 1720 \h</w:instrText>
        </w:r>
        <w:r>
          <w:fldChar w:fldCharType="end"/>
        </w:r>
      </w:hyperlink>
    </w:p>
    <w:p>
      <w:pPr>
        <w:tabs>
          <w:tab w:val="right" w:leader="dot" w:pos="9062"/>
        </w:tabs>
        <w:ind w:left="440"/>
      </w:pPr>
      <w:hyperlink w:anchor="_Toc1721" w:history="1">
        <w:r>
          <w:rPr>
            <w:rFonts w:ascii="IRNazanin" w:hAnsi="IRNazanin" w:eastAsia="IRNazanin" w:cs="IRNazanin"/>
            <w:color w:val="111111"/>
            <w:sz w:val="22"/>
            <w:szCs w:val="22"/>
            <w:b w:val="0"/>
            <w:bCs w:val="0"/>
            <w:i w:val="0"/>
            <w:iCs w:val="0"/>
          </w:rPr>
          <w:t>•تاریخ عجم / تاریخ / فارسی</w:t>
        </w:r>
        <w:r>
          <w:tab/>
        </w:r>
        <w:r>
          <w:fldChar w:fldCharType="begin"/>
        </w:r>
        <w:r>
          <w:instrText xml:space="preserve">PAGEREF 1721 \h</w:instrText>
        </w:r>
        <w:r>
          <w:fldChar w:fldCharType="end"/>
        </w:r>
      </w:hyperlink>
    </w:p>
    <w:p>
      <w:pPr>
        <w:tabs>
          <w:tab w:val="right" w:leader="dot" w:pos="9062"/>
        </w:tabs>
        <w:ind w:left="440"/>
      </w:pPr>
      <w:hyperlink w:anchor="_Toc1722" w:history="1">
        <w:r>
          <w:rPr>
            <w:rFonts w:ascii="IRNazanin" w:hAnsi="IRNazanin" w:eastAsia="IRNazanin" w:cs="IRNazanin"/>
            <w:color w:val="111111"/>
            <w:sz w:val="22"/>
            <w:szCs w:val="22"/>
            <w:b w:val="0"/>
            <w:bCs w:val="0"/>
            <w:i w:val="0"/>
            <w:iCs w:val="0"/>
          </w:rPr>
          <w:t>•تاریخ عرب / تاریخ / فارسی</w:t>
        </w:r>
        <w:r>
          <w:tab/>
        </w:r>
        <w:r>
          <w:fldChar w:fldCharType="begin"/>
        </w:r>
        <w:r>
          <w:instrText xml:space="preserve">PAGEREF 1722 \h</w:instrText>
        </w:r>
        <w:r>
          <w:fldChar w:fldCharType="end"/>
        </w:r>
      </w:hyperlink>
    </w:p>
    <w:p>
      <w:pPr>
        <w:tabs>
          <w:tab w:val="right" w:leader="dot" w:pos="9062"/>
        </w:tabs>
        <w:ind w:left="440"/>
      </w:pPr>
      <w:hyperlink w:anchor="_Toc1723" w:history="1">
        <w:r>
          <w:rPr>
            <w:rFonts w:ascii="IRNazanin" w:hAnsi="IRNazanin" w:eastAsia="IRNazanin" w:cs="IRNazanin"/>
            <w:color w:val="111111"/>
            <w:sz w:val="22"/>
            <w:szCs w:val="22"/>
            <w:b w:val="0"/>
            <w:bCs w:val="0"/>
            <w:i w:val="0"/>
            <w:iCs w:val="0"/>
          </w:rPr>
          <w:t>•تاریخ عربستان / تاریخ / فارسی</w:t>
        </w:r>
        <w:r>
          <w:tab/>
        </w:r>
        <w:r>
          <w:fldChar w:fldCharType="begin"/>
        </w:r>
        <w:r>
          <w:instrText xml:space="preserve">PAGEREF 1723 \h</w:instrText>
        </w:r>
        <w:r>
          <w:fldChar w:fldCharType="end"/>
        </w:r>
      </w:hyperlink>
    </w:p>
    <w:p>
      <w:pPr>
        <w:tabs>
          <w:tab w:val="right" w:leader="dot" w:pos="9062"/>
        </w:tabs>
        <w:ind w:left="440"/>
      </w:pPr>
      <w:hyperlink w:anchor="_Toc1724" w:history="1">
        <w:r>
          <w:rPr>
            <w:rFonts w:ascii="IRNazanin" w:hAnsi="IRNazanin" w:eastAsia="IRNazanin" w:cs="IRNazanin"/>
            <w:color w:val="111111"/>
            <w:sz w:val="22"/>
            <w:szCs w:val="22"/>
            <w:b w:val="0"/>
            <w:bCs w:val="0"/>
            <w:i w:val="0"/>
            <w:iCs w:val="0"/>
          </w:rPr>
          <w:t>•تاریخ عرب و عجم (منظوم) / شعر / فارسی</w:t>
        </w:r>
        <w:r>
          <w:tab/>
        </w:r>
        <w:r>
          <w:fldChar w:fldCharType="begin"/>
        </w:r>
        <w:r>
          <w:instrText xml:space="preserve">PAGEREF 1724 \h</w:instrText>
        </w:r>
        <w:r>
          <w:fldChar w:fldCharType="end"/>
        </w:r>
      </w:hyperlink>
    </w:p>
    <w:p>
      <w:pPr>
        <w:tabs>
          <w:tab w:val="right" w:leader="dot" w:pos="9062"/>
        </w:tabs>
        <w:ind w:left="440"/>
      </w:pPr>
      <w:hyperlink w:anchor="_Toc1725" w:history="1">
        <w:r>
          <w:rPr>
            <w:rFonts w:ascii="IRNazanin" w:hAnsi="IRNazanin" w:eastAsia="IRNazanin" w:cs="IRNazanin"/>
            <w:color w:val="111111"/>
            <w:sz w:val="22"/>
            <w:szCs w:val="22"/>
            <w:b w:val="0"/>
            <w:bCs w:val="0"/>
            <w:i w:val="0"/>
            <w:iCs w:val="0"/>
          </w:rPr>
          <w:t>•تاریخ عرفا و حکما / تراجم / فارسی</w:t>
        </w:r>
        <w:r>
          <w:tab/>
        </w:r>
        <w:r>
          <w:fldChar w:fldCharType="begin"/>
        </w:r>
        <w:r>
          <w:instrText xml:space="preserve">PAGEREF 1725 \h</w:instrText>
        </w:r>
        <w:r>
          <w:fldChar w:fldCharType="end"/>
        </w:r>
      </w:hyperlink>
    </w:p>
    <w:p>
      <w:pPr>
        <w:tabs>
          <w:tab w:val="right" w:leader="dot" w:pos="9062"/>
        </w:tabs>
        <w:ind w:left="440"/>
      </w:pPr>
      <w:hyperlink w:anchor="_Toc1726" w:history="1">
        <w:r>
          <w:rPr>
            <w:rFonts w:ascii="IRNazanin" w:hAnsi="IRNazanin" w:eastAsia="IRNazanin" w:cs="IRNazanin"/>
            <w:color w:val="111111"/>
            <w:sz w:val="22"/>
            <w:szCs w:val="22"/>
            <w:b w:val="0"/>
            <w:bCs w:val="0"/>
            <w:i w:val="0"/>
            <w:iCs w:val="0"/>
          </w:rPr>
          <w:t>•تاریخ عسگری عثمانی (ترجمه) / تاریخ جهان / فارسی</w:t>
        </w:r>
        <w:r>
          <w:tab/>
        </w:r>
        <w:r>
          <w:fldChar w:fldCharType="begin"/>
        </w:r>
        <w:r>
          <w:instrText xml:space="preserve">PAGEREF 1726 \h</w:instrText>
        </w:r>
        <w:r>
          <w:fldChar w:fldCharType="end"/>
        </w:r>
      </w:hyperlink>
    </w:p>
    <w:p>
      <w:pPr>
        <w:tabs>
          <w:tab w:val="right" w:leader="dot" w:pos="9062"/>
        </w:tabs>
        <w:ind w:left="440"/>
      </w:pPr>
      <w:hyperlink w:anchor="_Toc1727" w:history="1">
        <w:r>
          <w:rPr>
            <w:rFonts w:ascii="IRNazanin" w:hAnsi="IRNazanin" w:eastAsia="IRNazanin" w:cs="IRNazanin"/>
            <w:color w:val="111111"/>
            <w:sz w:val="22"/>
            <w:szCs w:val="22"/>
            <w:b w:val="0"/>
            <w:bCs w:val="0"/>
            <w:i w:val="0"/>
            <w:iCs w:val="0"/>
          </w:rPr>
          <w:t>•تاریخ عصار / تراجم / عربی و فارسی</w:t>
        </w:r>
        <w:r>
          <w:tab/>
        </w:r>
        <w:r>
          <w:fldChar w:fldCharType="begin"/>
        </w:r>
        <w:r>
          <w:instrText xml:space="preserve">PAGEREF 1727 \h</w:instrText>
        </w:r>
        <w:r>
          <w:fldChar w:fldCharType="end"/>
        </w:r>
      </w:hyperlink>
    </w:p>
    <w:p>
      <w:pPr>
        <w:tabs>
          <w:tab w:val="right" w:leader="dot" w:pos="9062"/>
        </w:tabs>
        <w:ind w:left="440"/>
      </w:pPr>
      <w:hyperlink w:anchor="_Toc1728" w:history="1">
        <w:r>
          <w:rPr>
            <w:rFonts w:ascii="IRNazanin" w:hAnsi="IRNazanin" w:eastAsia="IRNazanin" w:cs="IRNazanin"/>
            <w:color w:val="111111"/>
            <w:sz w:val="22"/>
            <w:szCs w:val="22"/>
            <w:b w:val="0"/>
            <w:bCs w:val="0"/>
            <w:i w:val="0"/>
            <w:iCs w:val="0"/>
          </w:rPr>
          <w:t>•تاریخ عضدی = خاقان نامه / تاریخ ایران / فارسی</w:t>
        </w:r>
        <w:r>
          <w:tab/>
        </w:r>
        <w:r>
          <w:fldChar w:fldCharType="begin"/>
        </w:r>
        <w:r>
          <w:instrText xml:space="preserve">PAGEREF 1728 \h</w:instrText>
        </w:r>
        <w:r>
          <w:fldChar w:fldCharType="end"/>
        </w:r>
      </w:hyperlink>
    </w:p>
    <w:p>
      <w:pPr>
        <w:tabs>
          <w:tab w:val="right" w:leader="dot" w:pos="9062"/>
        </w:tabs>
        <w:ind w:left="440"/>
      </w:pPr>
      <w:hyperlink w:anchor="_Toc1729" w:history="1">
        <w:r>
          <w:rPr>
            <w:rFonts w:ascii="IRNazanin" w:hAnsi="IRNazanin" w:eastAsia="IRNazanin" w:cs="IRNazanin"/>
            <w:color w:val="111111"/>
            <w:sz w:val="22"/>
            <w:szCs w:val="22"/>
            <w:b w:val="0"/>
            <w:bCs w:val="0"/>
            <w:i w:val="0"/>
            <w:iCs w:val="0"/>
          </w:rPr>
          <w:t>•تاریخ علمای خراسان / تراجم / فارسی</w:t>
        </w:r>
        <w:r>
          <w:tab/>
        </w:r>
        <w:r>
          <w:fldChar w:fldCharType="begin"/>
        </w:r>
        <w:r>
          <w:instrText xml:space="preserve">PAGEREF 1729 \h</w:instrText>
        </w:r>
        <w:r>
          <w:fldChar w:fldCharType="end"/>
        </w:r>
      </w:hyperlink>
    </w:p>
    <w:p>
      <w:pPr>
        <w:tabs>
          <w:tab w:val="right" w:leader="dot" w:pos="9062"/>
        </w:tabs>
        <w:ind w:left="440"/>
      </w:pPr>
      <w:hyperlink w:anchor="_Toc1730" w:history="1">
        <w:r>
          <w:rPr>
            <w:rFonts w:ascii="IRNazanin" w:hAnsi="IRNazanin" w:eastAsia="IRNazanin" w:cs="IRNazanin"/>
            <w:color w:val="111111"/>
            <w:sz w:val="22"/>
            <w:szCs w:val="22"/>
            <w:b w:val="0"/>
            <w:bCs w:val="0"/>
            <w:i w:val="0"/>
            <w:iCs w:val="0"/>
          </w:rPr>
          <w:t>•تاریخ علم حقوق / حقوق / فارسی</w:t>
        </w:r>
        <w:r>
          <w:tab/>
        </w:r>
        <w:r>
          <w:fldChar w:fldCharType="begin"/>
        </w:r>
        <w:r>
          <w:instrText xml:space="preserve">PAGEREF 1730 \h</w:instrText>
        </w:r>
        <w:r>
          <w:fldChar w:fldCharType="end"/>
        </w:r>
      </w:hyperlink>
    </w:p>
    <w:p>
      <w:pPr>
        <w:tabs>
          <w:tab w:val="right" w:leader="dot" w:pos="9062"/>
        </w:tabs>
        <w:ind w:left="440"/>
      </w:pPr>
      <w:hyperlink w:anchor="_Toc1731" w:history="1">
        <w:r>
          <w:rPr>
            <w:rFonts w:ascii="IRNazanin" w:hAnsi="IRNazanin" w:eastAsia="IRNazanin" w:cs="IRNazanin"/>
            <w:color w:val="111111"/>
            <w:sz w:val="22"/>
            <w:szCs w:val="22"/>
            <w:b w:val="0"/>
            <w:bCs w:val="0"/>
            <w:i w:val="0"/>
            <w:iCs w:val="0"/>
          </w:rPr>
          <w:t>•تاریخ علوم محاربات / فنون نظامی / فارسی</w:t>
        </w:r>
        <w:r>
          <w:tab/>
        </w:r>
        <w:r>
          <w:fldChar w:fldCharType="begin"/>
        </w:r>
        <w:r>
          <w:instrText xml:space="preserve">PAGEREF 1731 \h</w:instrText>
        </w:r>
        <w:r>
          <w:fldChar w:fldCharType="end"/>
        </w:r>
      </w:hyperlink>
    </w:p>
    <w:p>
      <w:pPr>
        <w:tabs>
          <w:tab w:val="right" w:leader="dot" w:pos="9062"/>
        </w:tabs>
        <w:ind w:left="440"/>
      </w:pPr>
      <w:hyperlink w:anchor="_Toc1732" w:history="1">
        <w:r>
          <w:rPr>
            <w:rFonts w:ascii="IRNazanin" w:hAnsi="IRNazanin" w:eastAsia="IRNazanin" w:cs="IRNazanin"/>
            <w:color w:val="111111"/>
            <w:sz w:val="22"/>
            <w:szCs w:val="22"/>
            <w:b w:val="0"/>
            <w:bCs w:val="0"/>
            <w:i w:val="0"/>
            <w:iCs w:val="0"/>
          </w:rPr>
          <w:t>•تاریخ عماد الدین ابوالفداء / تاریخ عربی</w:t>
        </w:r>
        <w:r>
          <w:tab/>
        </w:r>
        <w:r>
          <w:fldChar w:fldCharType="begin"/>
        </w:r>
        <w:r>
          <w:instrText xml:space="preserve">PAGEREF 1732 \h</w:instrText>
        </w:r>
        <w:r>
          <w:fldChar w:fldCharType="end"/>
        </w:r>
      </w:hyperlink>
    </w:p>
    <w:p>
      <w:pPr>
        <w:tabs>
          <w:tab w:val="right" w:leader="dot" w:pos="9062"/>
        </w:tabs>
        <w:ind w:left="440"/>
      </w:pPr>
      <w:hyperlink w:anchor="_Toc1733" w:history="1">
        <w:r>
          <w:rPr>
            <w:rFonts w:ascii="IRNazanin" w:hAnsi="IRNazanin" w:eastAsia="IRNazanin" w:cs="IRNazanin"/>
            <w:color w:val="111111"/>
            <w:sz w:val="22"/>
            <w:szCs w:val="22"/>
            <w:b w:val="0"/>
            <w:bCs w:val="0"/>
            <w:i w:val="0"/>
            <w:iCs w:val="0"/>
          </w:rPr>
          <w:t>•تاریخ عمومی / تاریخ عمومی - فارسی</w:t>
        </w:r>
        <w:r>
          <w:tab/>
        </w:r>
        <w:r>
          <w:fldChar w:fldCharType="begin"/>
        </w:r>
        <w:r>
          <w:instrText xml:space="preserve">PAGEREF 1733 \h</w:instrText>
        </w:r>
        <w:r>
          <w:fldChar w:fldCharType="end"/>
        </w:r>
      </w:hyperlink>
    </w:p>
    <w:p>
      <w:pPr>
        <w:tabs>
          <w:tab w:val="right" w:leader="dot" w:pos="9062"/>
        </w:tabs>
        <w:ind w:left="440"/>
      </w:pPr>
      <w:hyperlink w:anchor="_Toc1734" w:history="1">
        <w:r>
          <w:rPr>
            <w:rFonts w:ascii="IRNazanin" w:hAnsi="IRNazanin" w:eastAsia="IRNazanin" w:cs="IRNazanin"/>
            <w:color w:val="111111"/>
            <w:sz w:val="22"/>
            <w:szCs w:val="22"/>
            <w:b w:val="0"/>
            <w:bCs w:val="0"/>
            <w:i w:val="0"/>
            <w:iCs w:val="0"/>
          </w:rPr>
          <w:t>•تاریخ عمومی / تاریخ عمومی / ترکی</w:t>
        </w:r>
        <w:r>
          <w:tab/>
        </w:r>
        <w:r>
          <w:fldChar w:fldCharType="begin"/>
        </w:r>
        <w:r>
          <w:instrText xml:space="preserve">PAGEREF 1734 \h</w:instrText>
        </w:r>
        <w:r>
          <w:fldChar w:fldCharType="end"/>
        </w:r>
      </w:hyperlink>
    </w:p>
    <w:p>
      <w:pPr>
        <w:tabs>
          <w:tab w:val="right" w:leader="dot" w:pos="9062"/>
        </w:tabs>
        <w:ind w:left="440"/>
      </w:pPr>
      <w:hyperlink w:anchor="_Toc1735" w:history="1">
        <w:r>
          <w:rPr>
            <w:rFonts w:ascii="IRNazanin" w:hAnsi="IRNazanin" w:eastAsia="IRNazanin" w:cs="IRNazanin"/>
            <w:color w:val="111111"/>
            <w:sz w:val="22"/>
            <w:szCs w:val="22"/>
            <w:b w:val="0"/>
            <w:bCs w:val="0"/>
            <w:i w:val="0"/>
            <w:iCs w:val="0"/>
          </w:rPr>
          <w:t>•تاریخ عمومی ایران و دنیا در قرن بیستم / تاریخ / فارسی</w:t>
        </w:r>
        <w:r>
          <w:tab/>
        </w:r>
        <w:r>
          <w:fldChar w:fldCharType="begin"/>
        </w:r>
        <w:r>
          <w:instrText xml:space="preserve">PAGEREF 1735 \h</w:instrText>
        </w:r>
        <w:r>
          <w:fldChar w:fldCharType="end"/>
        </w:r>
      </w:hyperlink>
    </w:p>
    <w:p>
      <w:pPr>
        <w:tabs>
          <w:tab w:val="right" w:leader="dot" w:pos="9062"/>
        </w:tabs>
        <w:ind w:left="440"/>
      </w:pPr>
      <w:hyperlink w:anchor="_Toc1736" w:history="1">
        <w:r>
          <w:rPr>
            <w:rFonts w:ascii="IRNazanin" w:hAnsi="IRNazanin" w:eastAsia="IRNazanin" w:cs="IRNazanin"/>
            <w:color w:val="111111"/>
            <w:sz w:val="22"/>
            <w:szCs w:val="22"/>
            <w:b w:val="0"/>
            <w:bCs w:val="0"/>
            <w:i w:val="0"/>
            <w:iCs w:val="0"/>
          </w:rPr>
          <w:t>•تاریخ عمومی معاصر / تاریخ / فارسی</w:t>
        </w:r>
        <w:r>
          <w:tab/>
        </w:r>
        <w:r>
          <w:fldChar w:fldCharType="begin"/>
        </w:r>
        <w:r>
          <w:instrText xml:space="preserve">PAGEREF 1736 \h</w:instrText>
        </w:r>
        <w:r>
          <w:fldChar w:fldCharType="end"/>
        </w:r>
      </w:hyperlink>
    </w:p>
    <w:p>
      <w:pPr>
        <w:tabs>
          <w:tab w:val="right" w:leader="dot" w:pos="9062"/>
        </w:tabs>
        <w:ind w:left="440"/>
      </w:pPr>
      <w:hyperlink w:anchor="_Toc1737" w:history="1">
        <w:r>
          <w:rPr>
            <w:rFonts w:ascii="IRNazanin" w:hAnsi="IRNazanin" w:eastAsia="IRNazanin" w:cs="IRNazanin"/>
            <w:color w:val="111111"/>
            <w:sz w:val="22"/>
            <w:szCs w:val="22"/>
            <w:b w:val="0"/>
            <w:bCs w:val="0"/>
            <w:i w:val="0"/>
            <w:iCs w:val="0"/>
          </w:rPr>
          <w:t>•تاریخ عهد باستان / تاریخ / فارسی</w:t>
        </w:r>
        <w:r>
          <w:tab/>
        </w:r>
        <w:r>
          <w:fldChar w:fldCharType="begin"/>
        </w:r>
        <w:r>
          <w:instrText xml:space="preserve">PAGEREF 1737 \h</w:instrText>
        </w:r>
        <w:r>
          <w:fldChar w:fldCharType="end"/>
        </w:r>
      </w:hyperlink>
    </w:p>
    <w:p>
      <w:pPr>
        <w:tabs>
          <w:tab w:val="right" w:leader="dot" w:pos="9062"/>
        </w:tabs>
        <w:ind w:left="440"/>
      </w:pPr>
      <w:hyperlink w:anchor="_Toc1738" w:history="1">
        <w:r>
          <w:rPr>
            <w:rFonts w:ascii="IRNazanin" w:hAnsi="IRNazanin" w:eastAsia="IRNazanin" w:cs="IRNazanin"/>
            <w:color w:val="111111"/>
            <w:sz w:val="22"/>
            <w:szCs w:val="22"/>
            <w:b w:val="0"/>
            <w:bCs w:val="0"/>
            <w:i w:val="0"/>
            <w:iCs w:val="0"/>
          </w:rPr>
          <w:t>•تاریخ عهد قاجار / تاریخ / فارسی</w:t>
        </w:r>
        <w:r>
          <w:tab/>
        </w:r>
        <w:r>
          <w:fldChar w:fldCharType="begin"/>
        </w:r>
        <w:r>
          <w:instrText xml:space="preserve">PAGEREF 1738 \h</w:instrText>
        </w:r>
        <w:r>
          <w:fldChar w:fldCharType="end"/>
        </w:r>
      </w:hyperlink>
    </w:p>
    <w:p>
      <w:pPr>
        <w:tabs>
          <w:tab w:val="right" w:leader="dot" w:pos="9062"/>
        </w:tabs>
        <w:ind w:left="440"/>
      </w:pPr>
      <w:hyperlink w:anchor="_Toc1739" w:history="1">
        <w:r>
          <w:rPr>
            <w:rFonts w:ascii="IRNazanin" w:hAnsi="IRNazanin" w:eastAsia="IRNazanin" w:cs="IRNazanin"/>
            <w:color w:val="111111"/>
            <w:sz w:val="22"/>
            <w:szCs w:val="22"/>
            <w:b w:val="0"/>
            <w:bCs w:val="0"/>
            <w:i w:val="0"/>
            <w:iCs w:val="0"/>
          </w:rPr>
          <w:t>•تاریخ غفاری = اندرز نامه / تاریخ ایران / فارسی</w:t>
        </w:r>
        <w:r>
          <w:tab/>
        </w:r>
        <w:r>
          <w:fldChar w:fldCharType="begin"/>
        </w:r>
        <w:r>
          <w:instrText xml:space="preserve">PAGEREF 1739 \h</w:instrText>
        </w:r>
        <w:r>
          <w:fldChar w:fldCharType="end"/>
        </w:r>
      </w:hyperlink>
    </w:p>
    <w:p>
      <w:pPr>
        <w:tabs>
          <w:tab w:val="right" w:leader="dot" w:pos="9062"/>
        </w:tabs>
        <w:ind w:left="440"/>
      </w:pPr>
      <w:hyperlink w:anchor="_Toc1740" w:history="1">
        <w:r>
          <w:rPr>
            <w:rFonts w:ascii="IRNazanin" w:hAnsi="IRNazanin" w:eastAsia="IRNazanin" w:cs="IRNazanin"/>
            <w:color w:val="111111"/>
            <w:sz w:val="22"/>
            <w:szCs w:val="22"/>
            <w:b w:val="0"/>
            <w:bCs w:val="0"/>
            <w:i w:val="0"/>
            <w:iCs w:val="0"/>
          </w:rPr>
          <w:t>•تاریخ غوریان / تاریخ / فارسی</w:t>
        </w:r>
        <w:r>
          <w:tab/>
        </w:r>
        <w:r>
          <w:fldChar w:fldCharType="begin"/>
        </w:r>
        <w:r>
          <w:instrText xml:space="preserve">PAGEREF 1740 \h</w:instrText>
        </w:r>
        <w:r>
          <w:fldChar w:fldCharType="end"/>
        </w:r>
      </w:hyperlink>
    </w:p>
    <w:p>
      <w:pPr>
        <w:tabs>
          <w:tab w:val="right" w:leader="dot" w:pos="9062"/>
        </w:tabs>
        <w:ind w:left="440"/>
      </w:pPr>
      <w:hyperlink w:anchor="_Toc1741" w:history="1">
        <w:r>
          <w:rPr>
            <w:rFonts w:ascii="IRNazanin" w:hAnsi="IRNazanin" w:eastAsia="IRNazanin" w:cs="IRNazanin"/>
            <w:color w:val="111111"/>
            <w:sz w:val="22"/>
            <w:szCs w:val="22"/>
            <w:b w:val="0"/>
            <w:bCs w:val="0"/>
            <w:i w:val="0"/>
            <w:iCs w:val="0"/>
          </w:rPr>
          <w:t>• التاریخ الغیاثی / تاریخ / عربی</w:t>
        </w:r>
        <w:r>
          <w:tab/>
        </w:r>
        <w:r>
          <w:fldChar w:fldCharType="begin"/>
        </w:r>
        <w:r>
          <w:instrText xml:space="preserve">PAGEREF 1741 \h</w:instrText>
        </w:r>
        <w:r>
          <w:fldChar w:fldCharType="end"/>
        </w:r>
      </w:hyperlink>
    </w:p>
    <w:p>
      <w:pPr>
        <w:tabs>
          <w:tab w:val="right" w:leader="dot" w:pos="9062"/>
        </w:tabs>
        <w:ind w:left="440"/>
      </w:pPr>
      <w:hyperlink w:anchor="_Toc1742" w:history="1">
        <w:r>
          <w:rPr>
            <w:rFonts w:ascii="IRNazanin" w:hAnsi="IRNazanin" w:eastAsia="IRNazanin" w:cs="IRNazanin"/>
            <w:color w:val="111111"/>
            <w:sz w:val="22"/>
            <w:szCs w:val="22"/>
            <w:b w:val="0"/>
            <w:bCs w:val="0"/>
            <w:i w:val="0"/>
            <w:iCs w:val="0"/>
          </w:rPr>
          <w:t>•تاریخ غیبت حضرت حجة(عجل الله تعالی علیه)/ تاریخ معصومین / فارسی</w:t>
        </w:r>
        <w:r>
          <w:tab/>
        </w:r>
        <w:r>
          <w:fldChar w:fldCharType="begin"/>
        </w:r>
        <w:r>
          <w:instrText xml:space="preserve">PAGEREF 1742 \h</w:instrText>
        </w:r>
        <w:r>
          <w:fldChar w:fldCharType="end"/>
        </w:r>
      </w:hyperlink>
    </w:p>
    <w:p>
      <w:pPr>
        <w:tabs>
          <w:tab w:val="right" w:leader="dot" w:pos="9062"/>
        </w:tabs>
        <w:ind w:left="440"/>
      </w:pPr>
      <w:hyperlink w:anchor="_Toc1743" w:history="1">
        <w:r>
          <w:rPr>
            <w:rFonts w:ascii="IRNazanin" w:hAnsi="IRNazanin" w:eastAsia="IRNazanin" w:cs="IRNazanin"/>
            <w:color w:val="111111"/>
            <w:sz w:val="22"/>
            <w:szCs w:val="22"/>
            <w:b w:val="0"/>
            <w:bCs w:val="0"/>
            <w:i w:val="0"/>
            <w:iCs w:val="0"/>
          </w:rPr>
          <w:t>•تاریخ فارسی / تاریخ ایران / فارسی</w:t>
        </w:r>
        <w:r>
          <w:tab/>
        </w:r>
        <w:r>
          <w:fldChar w:fldCharType="begin"/>
        </w:r>
        <w:r>
          <w:instrText xml:space="preserve">PAGEREF 1743 \h</w:instrText>
        </w:r>
        <w:r>
          <w:fldChar w:fldCharType="end"/>
        </w:r>
      </w:hyperlink>
    </w:p>
    <w:p>
      <w:pPr>
        <w:tabs>
          <w:tab w:val="right" w:leader="dot" w:pos="9062"/>
        </w:tabs>
        <w:ind w:left="440"/>
      </w:pPr>
      <w:hyperlink w:anchor="_Toc1744" w:history="1">
        <w:r>
          <w:rPr>
            <w:rFonts w:ascii="IRNazanin" w:hAnsi="IRNazanin" w:eastAsia="IRNazanin" w:cs="IRNazanin"/>
            <w:color w:val="111111"/>
            <w:sz w:val="22"/>
            <w:szCs w:val="22"/>
            <w:b w:val="0"/>
            <w:bCs w:val="0"/>
            <w:i w:val="0"/>
            <w:iCs w:val="0"/>
          </w:rPr>
          <w:t>•تاریخ فارسیان و نوروز و مهرگان / تاریخ ایران / فارسی</w:t>
        </w:r>
        <w:r>
          <w:tab/>
        </w:r>
        <w:r>
          <w:fldChar w:fldCharType="begin"/>
        </w:r>
        <w:r>
          <w:instrText xml:space="preserve">PAGEREF 1744 \h</w:instrText>
        </w:r>
        <w:r>
          <w:fldChar w:fldCharType="end"/>
        </w:r>
      </w:hyperlink>
    </w:p>
    <w:p>
      <w:pPr>
        <w:tabs>
          <w:tab w:val="right" w:leader="dot" w:pos="9062"/>
        </w:tabs>
        <w:ind w:left="440"/>
      </w:pPr>
      <w:hyperlink w:anchor="_Toc1745" w:history="1">
        <w:r>
          <w:rPr>
            <w:rFonts w:ascii="IRNazanin" w:hAnsi="IRNazanin" w:eastAsia="IRNazanin" w:cs="IRNazanin"/>
            <w:color w:val="111111"/>
            <w:sz w:val="22"/>
            <w:szCs w:val="22"/>
            <w:b w:val="0"/>
            <w:bCs w:val="0"/>
            <w:i w:val="0"/>
            <w:iCs w:val="0"/>
          </w:rPr>
          <w:t>•تاریخ فال انبیاء / متفرقه / فارسی</w:t>
        </w:r>
        <w:r>
          <w:tab/>
        </w:r>
        <w:r>
          <w:fldChar w:fldCharType="begin"/>
        </w:r>
        <w:r>
          <w:instrText xml:space="preserve">PAGEREF 1745 \h</w:instrText>
        </w:r>
        <w:r>
          <w:fldChar w:fldCharType="end"/>
        </w:r>
      </w:hyperlink>
    </w:p>
    <w:p>
      <w:pPr>
        <w:tabs>
          <w:tab w:val="right" w:leader="dot" w:pos="9062"/>
        </w:tabs>
        <w:ind w:left="440"/>
      </w:pPr>
      <w:hyperlink w:anchor="_Toc1746" w:history="1">
        <w:r>
          <w:rPr>
            <w:rFonts w:ascii="IRNazanin" w:hAnsi="IRNazanin" w:eastAsia="IRNazanin" w:cs="IRNazanin"/>
            <w:color w:val="111111"/>
            <w:sz w:val="22"/>
            <w:szCs w:val="22"/>
            <w:b w:val="0"/>
            <w:bCs w:val="0"/>
            <w:i w:val="0"/>
            <w:iCs w:val="0"/>
          </w:rPr>
          <w:t>•تاریخ فتح انگروس / تاریخ / ترکی</w:t>
        </w:r>
        <w:r>
          <w:tab/>
        </w:r>
        <w:r>
          <w:fldChar w:fldCharType="begin"/>
        </w:r>
        <w:r>
          <w:instrText xml:space="preserve">PAGEREF 1746 \h</w:instrText>
        </w:r>
        <w:r>
          <w:fldChar w:fldCharType="end"/>
        </w:r>
      </w:hyperlink>
    </w:p>
    <w:p>
      <w:pPr>
        <w:tabs>
          <w:tab w:val="right" w:leader="dot" w:pos="9062"/>
        </w:tabs>
        <w:ind w:left="440"/>
      </w:pPr>
      <w:hyperlink w:anchor="_Toc1747" w:history="1">
        <w:r>
          <w:rPr>
            <w:rFonts w:ascii="IRNazanin" w:hAnsi="IRNazanin" w:eastAsia="IRNazanin" w:cs="IRNazanin"/>
            <w:color w:val="111111"/>
            <w:sz w:val="22"/>
            <w:szCs w:val="22"/>
            <w:b w:val="0"/>
            <w:bCs w:val="0"/>
            <w:i w:val="0"/>
            <w:iCs w:val="0"/>
          </w:rPr>
          <w:t>•تاریخ فتحعلی شاه = تاریخ قاجاریه / تاریخ ایران / فارسی</w:t>
        </w:r>
        <w:r>
          <w:tab/>
        </w:r>
        <w:r>
          <w:fldChar w:fldCharType="begin"/>
        </w:r>
        <w:r>
          <w:instrText xml:space="preserve">PAGEREF 1747 \h</w:instrText>
        </w:r>
        <w:r>
          <w:fldChar w:fldCharType="end"/>
        </w:r>
      </w:hyperlink>
    </w:p>
    <w:p>
      <w:pPr>
        <w:tabs>
          <w:tab w:val="right" w:leader="dot" w:pos="9062"/>
        </w:tabs>
        <w:ind w:left="440"/>
      </w:pPr>
      <w:hyperlink w:anchor="_Toc1748" w:history="1">
        <w:r>
          <w:rPr>
            <w:rFonts w:ascii="IRNazanin" w:hAnsi="IRNazanin" w:eastAsia="IRNazanin" w:cs="IRNazanin"/>
            <w:color w:val="111111"/>
            <w:sz w:val="22"/>
            <w:szCs w:val="22"/>
            <w:b w:val="0"/>
            <w:bCs w:val="0"/>
            <w:i w:val="0"/>
            <w:iCs w:val="0"/>
          </w:rPr>
          <w:t>•تاریخ فتوح ابن اعثم کوفی (ترجمه) = ترجمه الفتوح = تاریخ احمد کوفی / تاریخ اسلام / فارسی</w:t>
        </w:r>
        <w:r>
          <w:tab/>
        </w:r>
        <w:r>
          <w:fldChar w:fldCharType="begin"/>
        </w:r>
        <w:r>
          <w:instrText xml:space="preserve">PAGEREF 1748 \h</w:instrText>
        </w:r>
        <w:r>
          <w:fldChar w:fldCharType="end"/>
        </w:r>
      </w:hyperlink>
    </w:p>
    <w:p>
      <w:pPr>
        <w:tabs>
          <w:tab w:val="right" w:leader="dot" w:pos="9062"/>
        </w:tabs>
        <w:ind w:left="440"/>
      </w:pPr>
      <w:hyperlink w:anchor="_Toc1749" w:history="1">
        <w:r>
          <w:rPr>
            <w:rFonts w:ascii="IRNazanin" w:hAnsi="IRNazanin" w:eastAsia="IRNazanin" w:cs="IRNazanin"/>
            <w:color w:val="111111"/>
            <w:sz w:val="22"/>
            <w:szCs w:val="22"/>
            <w:b w:val="0"/>
            <w:bCs w:val="0"/>
            <w:i w:val="0"/>
            <w:iCs w:val="0"/>
          </w:rPr>
          <w:t>•تاریخ فتوح ابن اعثم کوفی (ترجمه) / تاریخ اسلام / فارسی</w:t>
        </w:r>
        <w:r>
          <w:tab/>
        </w:r>
        <w:r>
          <w:fldChar w:fldCharType="begin"/>
        </w:r>
        <w:r>
          <w:instrText xml:space="preserve">PAGEREF 1749 \h</w:instrText>
        </w:r>
        <w:r>
          <w:fldChar w:fldCharType="end"/>
        </w:r>
      </w:hyperlink>
    </w:p>
    <w:p>
      <w:pPr>
        <w:tabs>
          <w:tab w:val="right" w:leader="dot" w:pos="9062"/>
        </w:tabs>
        <w:ind w:left="440"/>
      </w:pPr>
      <w:hyperlink w:anchor="_Toc1750" w:history="1">
        <w:r>
          <w:rPr>
            <w:rFonts w:ascii="IRNazanin" w:hAnsi="IRNazanin" w:eastAsia="IRNazanin" w:cs="IRNazanin"/>
            <w:color w:val="111111"/>
            <w:sz w:val="22"/>
            <w:szCs w:val="22"/>
            <w:b w:val="0"/>
            <w:bCs w:val="0"/>
            <w:i w:val="0"/>
            <w:iCs w:val="0"/>
          </w:rPr>
          <w:t>•تاریخ فتوح ابن اعثم کوفی (ترجمه) / تاریخ اسلام / فارسی</w:t>
        </w:r>
        <w:r>
          <w:tab/>
        </w:r>
        <w:r>
          <w:fldChar w:fldCharType="begin"/>
        </w:r>
        <w:r>
          <w:instrText xml:space="preserve">PAGEREF 1750 \h</w:instrText>
        </w:r>
        <w:r>
          <w:fldChar w:fldCharType="end"/>
        </w:r>
      </w:hyperlink>
    </w:p>
    <w:p>
      <w:pPr>
        <w:tabs>
          <w:tab w:val="right" w:leader="dot" w:pos="9062"/>
        </w:tabs>
        <w:ind w:left="440"/>
      </w:pPr>
      <w:hyperlink w:anchor="_Toc1751" w:history="1">
        <w:r>
          <w:rPr>
            <w:rFonts w:ascii="IRNazanin" w:hAnsi="IRNazanin" w:eastAsia="IRNazanin" w:cs="IRNazanin"/>
            <w:color w:val="111111"/>
            <w:sz w:val="22"/>
            <w:szCs w:val="22"/>
            <w:b w:val="0"/>
            <w:bCs w:val="0"/>
            <w:i w:val="0"/>
            <w:iCs w:val="0"/>
          </w:rPr>
          <w:t>•تاریخ فتوح الشام / تاریخ / عربی</w:t>
        </w:r>
        <w:r>
          <w:tab/>
        </w:r>
        <w:r>
          <w:fldChar w:fldCharType="begin"/>
        </w:r>
        <w:r>
          <w:instrText xml:space="preserve">PAGEREF 1751 \h</w:instrText>
        </w:r>
        <w:r>
          <w:fldChar w:fldCharType="end"/>
        </w:r>
      </w:hyperlink>
    </w:p>
    <w:p>
      <w:pPr>
        <w:tabs>
          <w:tab w:val="right" w:leader="dot" w:pos="9062"/>
        </w:tabs>
        <w:ind w:left="440"/>
      </w:pPr>
      <w:hyperlink w:anchor="_Toc1752" w:history="1">
        <w:r>
          <w:rPr>
            <w:rFonts w:ascii="IRNazanin" w:hAnsi="IRNazanin" w:eastAsia="IRNazanin" w:cs="IRNazanin"/>
            <w:color w:val="111111"/>
            <w:sz w:val="22"/>
            <w:szCs w:val="22"/>
            <w:b w:val="0"/>
            <w:bCs w:val="0"/>
            <w:i w:val="0"/>
            <w:iCs w:val="0"/>
          </w:rPr>
          <w:t>•تاریخ فتوح شام / تاریخ / فارسی</w:t>
        </w:r>
        <w:r>
          <w:tab/>
        </w:r>
        <w:r>
          <w:fldChar w:fldCharType="begin"/>
        </w:r>
        <w:r>
          <w:instrText xml:space="preserve">PAGEREF 1752 \h</w:instrText>
        </w:r>
        <w:r>
          <w:fldChar w:fldCharType="end"/>
        </w:r>
      </w:hyperlink>
    </w:p>
    <w:p>
      <w:pPr>
        <w:tabs>
          <w:tab w:val="right" w:leader="dot" w:pos="9062"/>
        </w:tabs>
        <w:ind w:left="440"/>
      </w:pPr>
      <w:hyperlink w:anchor="_Toc1753" w:history="1">
        <w:r>
          <w:rPr>
            <w:rFonts w:ascii="IRNazanin" w:hAnsi="IRNazanin" w:eastAsia="IRNazanin" w:cs="IRNazanin"/>
            <w:color w:val="111111"/>
            <w:sz w:val="22"/>
            <w:szCs w:val="22"/>
            <w:b w:val="0"/>
            <w:bCs w:val="0"/>
            <w:i w:val="0"/>
            <w:iCs w:val="0"/>
          </w:rPr>
          <w:t>•تاریخ فرانسه / تاریخ / فارسی</w:t>
        </w:r>
        <w:r>
          <w:tab/>
        </w:r>
        <w:r>
          <w:fldChar w:fldCharType="begin"/>
        </w:r>
        <w:r>
          <w:instrText xml:space="preserve">PAGEREF 1753 \h</w:instrText>
        </w:r>
        <w:r>
          <w:fldChar w:fldCharType="end"/>
        </w:r>
      </w:hyperlink>
    </w:p>
    <w:p>
      <w:pPr>
        <w:tabs>
          <w:tab w:val="right" w:leader="dot" w:pos="9062"/>
        </w:tabs>
        <w:ind w:left="440"/>
      </w:pPr>
      <w:hyperlink w:anchor="_Toc1754" w:history="1">
        <w:r>
          <w:rPr>
            <w:rFonts w:ascii="IRNazanin" w:hAnsi="IRNazanin" w:eastAsia="IRNazanin" w:cs="IRNazanin"/>
            <w:color w:val="111111"/>
            <w:sz w:val="22"/>
            <w:szCs w:val="22"/>
            <w:b w:val="0"/>
            <w:bCs w:val="0"/>
            <w:i w:val="0"/>
            <w:iCs w:val="0"/>
          </w:rPr>
          <w:t>•تاریخ فرانسه (ترجمه) / تاریخ / فارسی</w:t>
        </w:r>
        <w:r>
          <w:tab/>
        </w:r>
        <w:r>
          <w:fldChar w:fldCharType="begin"/>
        </w:r>
        <w:r>
          <w:instrText xml:space="preserve">PAGEREF 1754 \h</w:instrText>
        </w:r>
        <w:r>
          <w:fldChar w:fldCharType="end"/>
        </w:r>
      </w:hyperlink>
    </w:p>
    <w:p>
      <w:pPr>
        <w:tabs>
          <w:tab w:val="right" w:leader="dot" w:pos="9062"/>
        </w:tabs>
        <w:ind w:left="440"/>
      </w:pPr>
      <w:hyperlink w:anchor="_Toc1755" w:history="1">
        <w:r>
          <w:rPr>
            <w:rFonts w:ascii="IRNazanin" w:hAnsi="IRNazanin" w:eastAsia="IRNazanin" w:cs="IRNazanin"/>
            <w:color w:val="111111"/>
            <w:sz w:val="22"/>
            <w:szCs w:val="22"/>
            <w:b w:val="0"/>
            <w:bCs w:val="0"/>
            <w:i w:val="0"/>
            <w:iCs w:val="0"/>
          </w:rPr>
          <w:t>•تاریخ فرانسه / تاریخ / فارسی</w:t>
        </w:r>
        <w:r>
          <w:tab/>
        </w:r>
        <w:r>
          <w:fldChar w:fldCharType="begin"/>
        </w:r>
        <w:r>
          <w:instrText xml:space="preserve">PAGEREF 1755 \h</w:instrText>
        </w:r>
        <w:r>
          <w:fldChar w:fldCharType="end"/>
        </w:r>
      </w:hyperlink>
    </w:p>
    <w:p>
      <w:pPr>
        <w:tabs>
          <w:tab w:val="right" w:leader="dot" w:pos="9062"/>
        </w:tabs>
        <w:ind w:left="440"/>
      </w:pPr>
      <w:hyperlink w:anchor="_Toc1756" w:history="1">
        <w:r>
          <w:rPr>
            <w:rFonts w:ascii="IRNazanin" w:hAnsi="IRNazanin" w:eastAsia="IRNazanin" w:cs="IRNazanin"/>
            <w:color w:val="111111"/>
            <w:sz w:val="22"/>
            <w:szCs w:val="22"/>
            <w:b w:val="0"/>
            <w:bCs w:val="0"/>
            <w:i w:val="0"/>
            <w:iCs w:val="0"/>
          </w:rPr>
          <w:t>•تاریخ فرانسه و ممالک دیگر / تاریخ / فارسی</w:t>
        </w:r>
        <w:r>
          <w:tab/>
        </w:r>
        <w:r>
          <w:fldChar w:fldCharType="begin"/>
        </w:r>
        <w:r>
          <w:instrText xml:space="preserve">PAGEREF 1756 \h</w:instrText>
        </w:r>
        <w:r>
          <w:fldChar w:fldCharType="end"/>
        </w:r>
      </w:hyperlink>
    </w:p>
    <w:p>
      <w:pPr>
        <w:tabs>
          <w:tab w:val="right" w:leader="dot" w:pos="9062"/>
        </w:tabs>
        <w:ind w:left="440"/>
      </w:pPr>
      <w:hyperlink w:anchor="_Toc1757" w:history="1">
        <w:r>
          <w:rPr>
            <w:rFonts w:ascii="IRNazanin" w:hAnsi="IRNazanin" w:eastAsia="IRNazanin" w:cs="IRNazanin"/>
            <w:color w:val="111111"/>
            <w:sz w:val="22"/>
            <w:szCs w:val="22"/>
            <w:b w:val="0"/>
            <w:bCs w:val="0"/>
            <w:i w:val="0"/>
            <w:iCs w:val="0"/>
          </w:rPr>
          <w:t>•تاریخ فرخ آباد / تاریخ / فارسی</w:t>
        </w:r>
        <w:r>
          <w:tab/>
        </w:r>
        <w:r>
          <w:fldChar w:fldCharType="begin"/>
        </w:r>
        <w:r>
          <w:instrText xml:space="preserve">PAGEREF 1757 \h</w:instrText>
        </w:r>
        <w:r>
          <w:fldChar w:fldCharType="end"/>
        </w:r>
      </w:hyperlink>
    </w:p>
    <w:p>
      <w:pPr>
        <w:tabs>
          <w:tab w:val="right" w:leader="dot" w:pos="9062"/>
        </w:tabs>
        <w:ind w:left="440"/>
      </w:pPr>
      <w:hyperlink w:anchor="_Toc1758" w:history="1">
        <w:r>
          <w:rPr>
            <w:rFonts w:ascii="IRNazanin" w:hAnsi="IRNazanin" w:eastAsia="IRNazanin" w:cs="IRNazanin"/>
            <w:color w:val="111111"/>
            <w:sz w:val="22"/>
            <w:szCs w:val="22"/>
            <w:b w:val="0"/>
            <w:bCs w:val="0"/>
            <w:i w:val="0"/>
            <w:iCs w:val="0"/>
          </w:rPr>
          <w:t>•تاریخ فردریک (ترجمه) / تاریخ / فارسی</w:t>
        </w:r>
        <w:r>
          <w:tab/>
        </w:r>
        <w:r>
          <w:fldChar w:fldCharType="begin"/>
        </w:r>
        <w:r>
          <w:instrText xml:space="preserve">PAGEREF 1758 \h</w:instrText>
        </w:r>
        <w:r>
          <w:fldChar w:fldCharType="end"/>
        </w:r>
      </w:hyperlink>
    </w:p>
    <w:p>
      <w:pPr>
        <w:tabs>
          <w:tab w:val="right" w:leader="dot" w:pos="9062"/>
        </w:tabs>
        <w:ind w:left="440"/>
      </w:pPr>
      <w:hyperlink w:anchor="_Toc1759" w:history="1">
        <w:r>
          <w:rPr>
            <w:rFonts w:ascii="IRNazanin" w:hAnsi="IRNazanin" w:eastAsia="IRNazanin" w:cs="IRNazanin"/>
            <w:color w:val="111111"/>
            <w:sz w:val="22"/>
            <w:szCs w:val="22"/>
            <w:b w:val="0"/>
            <w:bCs w:val="0"/>
            <w:i w:val="0"/>
            <w:iCs w:val="0"/>
          </w:rPr>
          <w:t>•تاریخ فردریک کبیر پادشاه پروس / تراجم / فارسی</w:t>
        </w:r>
        <w:r>
          <w:tab/>
        </w:r>
        <w:r>
          <w:fldChar w:fldCharType="begin"/>
        </w:r>
        <w:r>
          <w:instrText xml:space="preserve">PAGEREF 1759 \h</w:instrText>
        </w:r>
        <w:r>
          <w:fldChar w:fldCharType="end"/>
        </w:r>
      </w:hyperlink>
    </w:p>
    <w:p>
      <w:pPr>
        <w:tabs>
          <w:tab w:val="right" w:leader="dot" w:pos="9062"/>
        </w:tabs>
        <w:ind w:left="440"/>
      </w:pPr>
      <w:hyperlink w:anchor="_Toc1760" w:history="1">
        <w:r>
          <w:rPr>
            <w:rFonts w:ascii="IRNazanin" w:hAnsi="IRNazanin" w:eastAsia="IRNazanin" w:cs="IRNazanin"/>
            <w:color w:val="111111"/>
            <w:sz w:val="22"/>
            <w:szCs w:val="22"/>
            <w:b w:val="0"/>
            <w:bCs w:val="0"/>
            <w:i w:val="0"/>
            <w:iCs w:val="0"/>
          </w:rPr>
          <w:t>•تاریخ فرس قدیم و تاریخ یزدگردی / ستاره شناسی، تاریخ ایران / فارسی</w:t>
        </w:r>
        <w:r>
          <w:tab/>
        </w:r>
        <w:r>
          <w:fldChar w:fldCharType="begin"/>
        </w:r>
        <w:r>
          <w:instrText xml:space="preserve">PAGEREF 1760 \h</w:instrText>
        </w:r>
        <w:r>
          <w:fldChar w:fldCharType="end"/>
        </w:r>
      </w:hyperlink>
    </w:p>
    <w:p>
      <w:pPr>
        <w:tabs>
          <w:tab w:val="right" w:leader="dot" w:pos="9062"/>
        </w:tabs>
        <w:ind w:left="440"/>
      </w:pPr>
      <w:hyperlink w:anchor="_Toc1761" w:history="1">
        <w:r>
          <w:rPr>
            <w:rFonts w:ascii="IRNazanin" w:hAnsi="IRNazanin" w:eastAsia="IRNazanin" w:cs="IRNazanin"/>
            <w:color w:val="111111"/>
            <w:sz w:val="22"/>
            <w:szCs w:val="22"/>
            <w:b w:val="0"/>
            <w:bCs w:val="0"/>
            <w:i w:val="0"/>
            <w:iCs w:val="0"/>
          </w:rPr>
          <w:t>• تاریخ فرسیه / تاریخ ایران / فارسی</w:t>
        </w:r>
        <w:r>
          <w:tab/>
        </w:r>
        <w:r>
          <w:fldChar w:fldCharType="begin"/>
        </w:r>
        <w:r>
          <w:instrText xml:space="preserve">PAGEREF 1761 \h</w:instrText>
        </w:r>
        <w:r>
          <w:fldChar w:fldCharType="end"/>
        </w:r>
      </w:hyperlink>
    </w:p>
    <w:p>
      <w:pPr>
        <w:tabs>
          <w:tab w:val="right" w:leader="dot" w:pos="9062"/>
        </w:tabs>
        <w:ind w:left="440"/>
      </w:pPr>
      <w:hyperlink w:anchor="_Toc1762" w:history="1">
        <w:r>
          <w:rPr>
            <w:rFonts w:ascii="IRNazanin" w:hAnsi="IRNazanin" w:eastAsia="IRNazanin" w:cs="IRNazanin"/>
            <w:color w:val="111111"/>
            <w:sz w:val="22"/>
            <w:szCs w:val="22"/>
            <w:b w:val="0"/>
            <w:bCs w:val="0"/>
            <w:i w:val="0"/>
            <w:iCs w:val="0"/>
          </w:rPr>
          <w:t>•تاریخ فرقه بابیه / تاریخ / فارسی</w:t>
        </w:r>
        <w:r>
          <w:tab/>
        </w:r>
        <w:r>
          <w:fldChar w:fldCharType="begin"/>
        </w:r>
        <w:r>
          <w:instrText xml:space="preserve">PAGEREF 1762 \h</w:instrText>
        </w:r>
        <w:r>
          <w:fldChar w:fldCharType="end"/>
        </w:r>
      </w:hyperlink>
    </w:p>
    <w:p>
      <w:pPr>
        <w:tabs>
          <w:tab w:val="right" w:leader="dot" w:pos="9062"/>
        </w:tabs>
        <w:ind w:left="440"/>
      </w:pPr>
      <w:hyperlink w:anchor="_Toc1763" w:history="1">
        <w:r>
          <w:rPr>
            <w:rFonts w:ascii="IRNazanin" w:hAnsi="IRNazanin" w:eastAsia="IRNazanin" w:cs="IRNazanin"/>
            <w:color w:val="111111"/>
            <w:sz w:val="22"/>
            <w:szCs w:val="22"/>
            <w:b w:val="0"/>
            <w:bCs w:val="0"/>
            <w:i w:val="0"/>
            <w:iCs w:val="0"/>
          </w:rPr>
          <w:t>• تاریخ فرهنگ معاصر / تاریخ / فارسی</w:t>
        </w:r>
        <w:r>
          <w:tab/>
        </w:r>
        <w:r>
          <w:fldChar w:fldCharType="begin"/>
        </w:r>
        <w:r>
          <w:instrText xml:space="preserve">PAGEREF 1763 \h</w:instrText>
        </w:r>
        <w:r>
          <w:fldChar w:fldCharType="end"/>
        </w:r>
      </w:hyperlink>
    </w:p>
    <w:p>
      <w:pPr>
        <w:tabs>
          <w:tab w:val="right" w:leader="dot" w:pos="9062"/>
        </w:tabs>
        <w:ind w:left="440"/>
      </w:pPr>
      <w:hyperlink w:anchor="_Toc1764" w:history="1">
        <w:r>
          <w:rPr>
            <w:rFonts w:ascii="IRNazanin" w:hAnsi="IRNazanin" w:eastAsia="IRNazanin" w:cs="IRNazanin"/>
            <w:color w:val="111111"/>
            <w:sz w:val="22"/>
            <w:szCs w:val="22"/>
            <w:b w:val="0"/>
            <w:bCs w:val="0"/>
            <w:i w:val="0"/>
            <w:iCs w:val="0"/>
          </w:rPr>
          <w:t>•تاریخ فریدریک ثانی / تاریخ / فارسی</w:t>
        </w:r>
        <w:r>
          <w:tab/>
        </w:r>
        <w:r>
          <w:fldChar w:fldCharType="begin"/>
        </w:r>
        <w:r>
          <w:instrText xml:space="preserve">PAGEREF 1764 \h</w:instrText>
        </w:r>
        <w:r>
          <w:fldChar w:fldCharType="end"/>
        </w:r>
      </w:hyperlink>
    </w:p>
    <w:p>
      <w:pPr>
        <w:tabs>
          <w:tab w:val="right" w:leader="dot" w:pos="9062"/>
        </w:tabs>
        <w:ind w:left="440"/>
      </w:pPr>
      <w:hyperlink w:anchor="_Toc1765" w:history="1">
        <w:r>
          <w:rPr>
            <w:rFonts w:ascii="IRNazanin" w:hAnsi="IRNazanin" w:eastAsia="IRNazanin" w:cs="IRNazanin"/>
            <w:color w:val="111111"/>
            <w:sz w:val="22"/>
            <w:szCs w:val="22"/>
            <w:b w:val="0"/>
            <w:bCs w:val="0"/>
            <w:i w:val="0"/>
            <w:iCs w:val="0"/>
          </w:rPr>
          <w:t>•تاریخ فوت محمد شاه / تاریخ پادشاهان / فارسی</w:t>
        </w:r>
        <w:r>
          <w:tab/>
        </w:r>
        <w:r>
          <w:fldChar w:fldCharType="begin"/>
        </w:r>
        <w:r>
          <w:instrText xml:space="preserve">PAGEREF 1765 \h</w:instrText>
        </w:r>
        <w:r>
          <w:fldChar w:fldCharType="end"/>
        </w:r>
      </w:hyperlink>
    </w:p>
    <w:p>
      <w:pPr>
        <w:tabs>
          <w:tab w:val="right" w:leader="dot" w:pos="9062"/>
        </w:tabs>
        <w:ind w:left="440"/>
      </w:pPr>
      <w:hyperlink w:anchor="_Toc1766" w:history="1">
        <w:r>
          <w:rPr>
            <w:rFonts w:ascii="IRNazanin" w:hAnsi="IRNazanin" w:eastAsia="IRNazanin" w:cs="IRNazanin"/>
            <w:color w:val="111111"/>
            <w:sz w:val="22"/>
            <w:szCs w:val="22"/>
            <w:b w:val="0"/>
            <w:bCs w:val="0"/>
            <w:i w:val="0"/>
            <w:iCs w:val="0"/>
          </w:rPr>
          <w:t>•تاریخ فیروزشاهی / تاریخ هند / فارسی</w:t>
        </w:r>
        <w:r>
          <w:tab/>
        </w:r>
        <w:r>
          <w:fldChar w:fldCharType="begin"/>
        </w:r>
        <w:r>
          <w:instrText xml:space="preserve">PAGEREF 1766 \h</w:instrText>
        </w:r>
        <w:r>
          <w:fldChar w:fldCharType="end"/>
        </w:r>
      </w:hyperlink>
    </w:p>
    <w:p>
      <w:pPr>
        <w:tabs>
          <w:tab w:val="right" w:leader="dot" w:pos="9062"/>
        </w:tabs>
        <w:ind w:left="440"/>
      </w:pPr>
      <w:hyperlink w:anchor="_Toc1767" w:history="1">
        <w:r>
          <w:rPr>
            <w:rFonts w:ascii="IRNazanin" w:hAnsi="IRNazanin" w:eastAsia="IRNazanin" w:cs="IRNazanin"/>
            <w:color w:val="111111"/>
            <w:sz w:val="22"/>
            <w:szCs w:val="22"/>
            <w:b w:val="0"/>
            <w:bCs w:val="0"/>
            <w:i w:val="0"/>
            <w:iCs w:val="0"/>
          </w:rPr>
          <w:t>•تاریخ فیض بخش / تاریخ / فارسی</w:t>
        </w:r>
        <w:r>
          <w:tab/>
        </w:r>
        <w:r>
          <w:fldChar w:fldCharType="begin"/>
        </w:r>
        <w:r>
          <w:instrText xml:space="preserve">PAGEREF 1767 \h</w:instrText>
        </w:r>
        <w:r>
          <w:fldChar w:fldCharType="end"/>
        </w:r>
      </w:hyperlink>
    </w:p>
    <w:p>
      <w:pPr>
        <w:tabs>
          <w:tab w:val="right" w:leader="dot" w:pos="9062"/>
        </w:tabs>
        <w:ind w:left="440"/>
      </w:pPr>
      <w:hyperlink w:anchor="_Toc1768" w:history="1">
        <w:r>
          <w:rPr>
            <w:rFonts w:ascii="IRNazanin" w:hAnsi="IRNazanin" w:eastAsia="IRNazanin" w:cs="IRNazanin"/>
            <w:color w:val="111111"/>
            <w:sz w:val="22"/>
            <w:szCs w:val="22"/>
            <w:b w:val="0"/>
            <w:bCs w:val="0"/>
            <w:i w:val="0"/>
            <w:iCs w:val="0"/>
          </w:rPr>
          <w:t>•تاریخ فیل / تاریخ</w:t>
        </w:r>
        <w:r>
          <w:tab/>
        </w:r>
        <w:r>
          <w:fldChar w:fldCharType="begin"/>
        </w:r>
        <w:r>
          <w:instrText xml:space="preserve">PAGEREF 1768 \h</w:instrText>
        </w:r>
        <w:r>
          <w:fldChar w:fldCharType="end"/>
        </w:r>
      </w:hyperlink>
    </w:p>
    <w:p>
      <w:pPr>
        <w:tabs>
          <w:tab w:val="right" w:leader="dot" w:pos="9062"/>
        </w:tabs>
        <w:ind w:left="440"/>
      </w:pPr>
      <w:hyperlink w:anchor="_Toc1769" w:history="1">
        <w:r>
          <w:rPr>
            <w:rFonts w:ascii="IRNazanin" w:hAnsi="IRNazanin" w:eastAsia="IRNazanin" w:cs="IRNazanin"/>
            <w:color w:val="111111"/>
            <w:sz w:val="22"/>
            <w:szCs w:val="22"/>
            <w:b w:val="0"/>
            <w:bCs w:val="0"/>
            <w:i w:val="0"/>
            <w:iCs w:val="0"/>
          </w:rPr>
          <w:t>•تاریخ قاجار / تاریخ ایران / فارسی</w:t>
        </w:r>
        <w:r>
          <w:tab/>
        </w:r>
        <w:r>
          <w:fldChar w:fldCharType="begin"/>
        </w:r>
        <w:r>
          <w:instrText xml:space="preserve">PAGEREF 1769 \h</w:instrText>
        </w:r>
        <w:r>
          <w:fldChar w:fldCharType="end"/>
        </w:r>
      </w:hyperlink>
    </w:p>
    <w:p>
      <w:pPr>
        <w:tabs>
          <w:tab w:val="right" w:leader="dot" w:pos="9062"/>
        </w:tabs>
        <w:ind w:left="440"/>
      </w:pPr>
      <w:hyperlink w:anchor="_Toc1770" w:history="1">
        <w:r>
          <w:rPr>
            <w:rFonts w:ascii="IRNazanin" w:hAnsi="IRNazanin" w:eastAsia="IRNazanin" w:cs="IRNazanin"/>
            <w:color w:val="111111"/>
            <w:sz w:val="22"/>
            <w:szCs w:val="22"/>
            <w:b w:val="0"/>
            <w:bCs w:val="0"/>
            <w:i w:val="0"/>
            <w:iCs w:val="0"/>
          </w:rPr>
          <w:t>•تاریخ قاجار / تاریخ ایران / فارسی</w:t>
        </w:r>
        <w:r>
          <w:tab/>
        </w:r>
        <w:r>
          <w:fldChar w:fldCharType="begin"/>
        </w:r>
        <w:r>
          <w:instrText xml:space="preserve">PAGEREF 1770 \h</w:instrText>
        </w:r>
        <w:r>
          <w:fldChar w:fldCharType="end"/>
        </w:r>
      </w:hyperlink>
    </w:p>
    <w:p>
      <w:pPr>
        <w:tabs>
          <w:tab w:val="right" w:leader="dot" w:pos="9062"/>
        </w:tabs>
        <w:ind w:left="440"/>
      </w:pPr>
      <w:hyperlink w:anchor="_Toc1771" w:history="1">
        <w:r>
          <w:rPr>
            <w:rFonts w:ascii="IRNazanin" w:hAnsi="IRNazanin" w:eastAsia="IRNazanin" w:cs="IRNazanin"/>
            <w:color w:val="111111"/>
            <w:sz w:val="22"/>
            <w:szCs w:val="22"/>
            <w:b w:val="0"/>
            <w:bCs w:val="0"/>
            <w:i w:val="0"/>
            <w:iCs w:val="0"/>
          </w:rPr>
          <w:t>•تاریخ قاجار / تاریخ / فارسی</w:t>
        </w:r>
        <w:r>
          <w:tab/>
        </w:r>
        <w:r>
          <w:fldChar w:fldCharType="begin"/>
        </w:r>
        <w:r>
          <w:instrText xml:space="preserve">PAGEREF 1771 \h</w:instrText>
        </w:r>
        <w:r>
          <w:fldChar w:fldCharType="end"/>
        </w:r>
      </w:hyperlink>
    </w:p>
    <w:p>
      <w:pPr>
        <w:tabs>
          <w:tab w:val="right" w:leader="dot" w:pos="9062"/>
        </w:tabs>
        <w:ind w:left="440"/>
      </w:pPr>
      <w:hyperlink w:anchor="_Toc1772" w:history="1">
        <w:r>
          <w:rPr>
            <w:rFonts w:ascii="IRNazanin" w:hAnsi="IRNazanin" w:eastAsia="IRNazanin" w:cs="IRNazanin"/>
            <w:color w:val="111111"/>
            <w:sz w:val="22"/>
            <w:szCs w:val="22"/>
            <w:b w:val="0"/>
            <w:bCs w:val="0"/>
            <w:i w:val="0"/>
            <w:iCs w:val="0"/>
          </w:rPr>
          <w:t>•تاریخ قاجار / تاریخ ایران / فارسی</w:t>
        </w:r>
        <w:r>
          <w:tab/>
        </w:r>
        <w:r>
          <w:fldChar w:fldCharType="begin"/>
        </w:r>
        <w:r>
          <w:instrText xml:space="preserve">PAGEREF 1772 \h</w:instrText>
        </w:r>
        <w:r>
          <w:fldChar w:fldCharType="end"/>
        </w:r>
      </w:hyperlink>
    </w:p>
    <w:p>
      <w:pPr>
        <w:tabs>
          <w:tab w:val="right" w:leader="dot" w:pos="9062"/>
        </w:tabs>
        <w:ind w:left="440"/>
      </w:pPr>
      <w:hyperlink w:anchor="_Toc1773" w:history="1">
        <w:r>
          <w:rPr>
            <w:rFonts w:ascii="IRNazanin" w:hAnsi="IRNazanin" w:eastAsia="IRNazanin" w:cs="IRNazanin"/>
            <w:color w:val="111111"/>
            <w:sz w:val="22"/>
            <w:szCs w:val="22"/>
            <w:b w:val="0"/>
            <w:bCs w:val="0"/>
            <w:i w:val="0"/>
            <w:iCs w:val="0"/>
          </w:rPr>
          <w:t>•تاریخ قاجاریان / تاریخ ایران / فارسی</w:t>
        </w:r>
        <w:r>
          <w:tab/>
        </w:r>
        <w:r>
          <w:fldChar w:fldCharType="begin"/>
        </w:r>
        <w:r>
          <w:instrText xml:space="preserve">PAGEREF 1773 \h</w:instrText>
        </w:r>
        <w:r>
          <w:fldChar w:fldCharType="end"/>
        </w:r>
      </w:hyperlink>
    </w:p>
    <w:p>
      <w:pPr>
        <w:tabs>
          <w:tab w:val="right" w:leader="dot" w:pos="9062"/>
        </w:tabs>
        <w:ind w:left="440"/>
      </w:pPr>
      <w:hyperlink w:anchor="_Toc1774" w:history="1">
        <w:r>
          <w:rPr>
            <w:rFonts w:ascii="IRNazanin" w:hAnsi="IRNazanin" w:eastAsia="IRNazanin" w:cs="IRNazanin"/>
            <w:color w:val="111111"/>
            <w:sz w:val="22"/>
            <w:szCs w:val="22"/>
            <w:b w:val="0"/>
            <w:bCs w:val="0"/>
            <w:i w:val="0"/>
            <w:iCs w:val="0"/>
          </w:rPr>
          <w:t>•تاریخ قاجاریه / تاریخ ایران / فارسی</w:t>
        </w:r>
        <w:r>
          <w:tab/>
        </w:r>
        <w:r>
          <w:fldChar w:fldCharType="begin"/>
        </w:r>
        <w:r>
          <w:instrText xml:space="preserve">PAGEREF 1774 \h</w:instrText>
        </w:r>
        <w:r>
          <w:fldChar w:fldCharType="end"/>
        </w:r>
      </w:hyperlink>
    </w:p>
    <w:p>
      <w:pPr>
        <w:tabs>
          <w:tab w:val="right" w:leader="dot" w:pos="9062"/>
        </w:tabs>
        <w:ind w:left="440"/>
      </w:pPr>
      <w:hyperlink w:anchor="_Toc1775" w:history="1">
        <w:r>
          <w:rPr>
            <w:rFonts w:ascii="IRNazanin" w:hAnsi="IRNazanin" w:eastAsia="IRNazanin" w:cs="IRNazanin"/>
            <w:color w:val="111111"/>
            <w:sz w:val="22"/>
            <w:szCs w:val="22"/>
            <w:b w:val="0"/>
            <w:bCs w:val="0"/>
            <w:i w:val="0"/>
            <w:iCs w:val="0"/>
          </w:rPr>
          <w:t>•تاریخ قاجاریه / تاریخ / فارسی</w:t>
        </w:r>
        <w:r>
          <w:tab/>
        </w:r>
        <w:r>
          <w:fldChar w:fldCharType="begin"/>
        </w:r>
        <w:r>
          <w:instrText xml:space="preserve">PAGEREF 1775 \h</w:instrText>
        </w:r>
        <w:r>
          <w:fldChar w:fldCharType="end"/>
        </w:r>
      </w:hyperlink>
    </w:p>
    <w:p>
      <w:pPr>
        <w:tabs>
          <w:tab w:val="right" w:leader="dot" w:pos="9062"/>
        </w:tabs>
        <w:ind w:left="440"/>
      </w:pPr>
      <w:hyperlink w:anchor="_Toc1776" w:history="1">
        <w:r>
          <w:rPr>
            <w:rFonts w:ascii="IRNazanin" w:hAnsi="IRNazanin" w:eastAsia="IRNazanin" w:cs="IRNazanin"/>
            <w:color w:val="111111"/>
            <w:sz w:val="22"/>
            <w:szCs w:val="22"/>
            <w:b w:val="0"/>
            <w:bCs w:val="0"/>
            <w:i w:val="0"/>
            <w:iCs w:val="0"/>
          </w:rPr>
          <w:t>•تاریخ قاجاریه = تاریخ سلطنت سلسله قاجاریه / تاریخ ایران / فارسی</w:t>
        </w:r>
        <w:r>
          <w:tab/>
        </w:r>
        <w:r>
          <w:fldChar w:fldCharType="begin"/>
        </w:r>
        <w:r>
          <w:instrText xml:space="preserve">PAGEREF 1776 \h</w:instrText>
        </w:r>
        <w:r>
          <w:fldChar w:fldCharType="end"/>
        </w:r>
      </w:hyperlink>
    </w:p>
    <w:p>
      <w:pPr>
        <w:tabs>
          <w:tab w:val="right" w:leader="dot" w:pos="9062"/>
        </w:tabs>
        <w:ind w:left="440"/>
      </w:pPr>
      <w:hyperlink w:anchor="_Toc1777" w:history="1">
        <w:r>
          <w:rPr>
            <w:rFonts w:ascii="IRNazanin" w:hAnsi="IRNazanin" w:eastAsia="IRNazanin" w:cs="IRNazanin"/>
            <w:color w:val="111111"/>
            <w:sz w:val="22"/>
            <w:szCs w:val="22"/>
            <w:b w:val="0"/>
            <w:bCs w:val="0"/>
            <w:i w:val="0"/>
            <w:iCs w:val="0"/>
          </w:rPr>
          <w:t>•تاریخ قائمه بانک / تاریخ / فارسی</w:t>
        </w:r>
        <w:r>
          <w:tab/>
        </w:r>
        <w:r>
          <w:fldChar w:fldCharType="begin"/>
        </w:r>
        <w:r>
          <w:instrText xml:space="preserve">PAGEREF 1777 \h</w:instrText>
        </w:r>
        <w:r>
          <w:fldChar w:fldCharType="end"/>
        </w:r>
      </w:hyperlink>
    </w:p>
    <w:p>
      <w:pPr>
        <w:tabs>
          <w:tab w:val="right" w:leader="dot" w:pos="9062"/>
        </w:tabs>
        <w:ind w:left="440"/>
      </w:pPr>
      <w:hyperlink w:anchor="_Toc1778" w:history="1">
        <w:r>
          <w:rPr>
            <w:rFonts w:ascii="IRNazanin" w:hAnsi="IRNazanin" w:eastAsia="IRNazanin" w:cs="IRNazanin"/>
            <w:color w:val="111111"/>
            <w:sz w:val="22"/>
            <w:szCs w:val="22"/>
            <w:b w:val="0"/>
            <w:bCs w:val="0"/>
            <w:i w:val="0"/>
            <w:iCs w:val="0"/>
          </w:rPr>
          <w:t>•تاریخ قپچاق خانی / تاریخ جهان / فارسی</w:t>
        </w:r>
        <w:r>
          <w:tab/>
        </w:r>
        <w:r>
          <w:fldChar w:fldCharType="begin"/>
        </w:r>
        <w:r>
          <w:instrText xml:space="preserve">PAGEREF 1778 \h</w:instrText>
        </w:r>
        <w:r>
          <w:fldChar w:fldCharType="end"/>
        </w:r>
      </w:hyperlink>
    </w:p>
    <w:p>
      <w:pPr>
        <w:tabs>
          <w:tab w:val="right" w:leader="dot" w:pos="9062"/>
        </w:tabs>
        <w:ind w:left="440"/>
      </w:pPr>
      <w:hyperlink w:anchor="_Toc1779" w:history="1">
        <w:r>
          <w:rPr>
            <w:rFonts w:ascii="IRNazanin" w:hAnsi="IRNazanin" w:eastAsia="IRNazanin" w:cs="IRNazanin"/>
            <w:color w:val="111111"/>
            <w:sz w:val="22"/>
            <w:szCs w:val="22"/>
            <w:b w:val="0"/>
            <w:bCs w:val="0"/>
            <w:i w:val="0"/>
            <w:iCs w:val="0"/>
          </w:rPr>
          <w:t>•تاریخ قترينه = تاریخ روسیه (کاترین دوم) = شرح حال کاترین دوم / تاریخ جهان / ترکی</w:t>
        </w:r>
        <w:r>
          <w:tab/>
        </w:r>
        <w:r>
          <w:fldChar w:fldCharType="begin"/>
        </w:r>
        <w:r>
          <w:instrText xml:space="preserve">PAGEREF 1779 \h</w:instrText>
        </w:r>
        <w:r>
          <w:fldChar w:fldCharType="end"/>
        </w:r>
      </w:hyperlink>
    </w:p>
    <w:p>
      <w:pPr>
        <w:tabs>
          <w:tab w:val="right" w:leader="dot" w:pos="9062"/>
        </w:tabs>
        <w:ind w:left="440"/>
      </w:pPr>
      <w:hyperlink w:anchor="_Toc1780" w:history="1">
        <w:r>
          <w:rPr>
            <w:rFonts w:ascii="IRNazanin" w:hAnsi="IRNazanin" w:eastAsia="IRNazanin" w:cs="IRNazanin"/>
            <w:color w:val="111111"/>
            <w:sz w:val="22"/>
            <w:szCs w:val="22"/>
            <w:b w:val="0"/>
            <w:bCs w:val="0"/>
            <w:i w:val="0"/>
            <w:iCs w:val="0"/>
          </w:rPr>
          <w:t>•تاریخ قرآن کریم / علوم قرآن / عربی</w:t>
        </w:r>
        <w:r>
          <w:tab/>
        </w:r>
        <w:r>
          <w:fldChar w:fldCharType="begin"/>
        </w:r>
        <w:r>
          <w:instrText xml:space="preserve">PAGEREF 1780 \h</w:instrText>
        </w:r>
        <w:r>
          <w:fldChar w:fldCharType="end"/>
        </w:r>
      </w:hyperlink>
    </w:p>
    <w:p>
      <w:pPr>
        <w:tabs>
          <w:tab w:val="right" w:leader="dot" w:pos="9062"/>
        </w:tabs>
        <w:ind w:left="440"/>
      </w:pPr>
      <w:hyperlink w:anchor="_Toc1781" w:history="1">
        <w:r>
          <w:rPr>
            <w:rFonts w:ascii="IRNazanin" w:hAnsi="IRNazanin" w:eastAsia="IRNazanin" w:cs="IRNazanin"/>
            <w:color w:val="111111"/>
            <w:sz w:val="22"/>
            <w:szCs w:val="22"/>
            <w:b w:val="0"/>
            <w:bCs w:val="0"/>
            <w:i w:val="0"/>
            <w:iCs w:val="0"/>
          </w:rPr>
          <w:t>•تاریخ قراباغ / تاریخ / ترکی</w:t>
        </w:r>
        <w:r>
          <w:tab/>
        </w:r>
        <w:r>
          <w:fldChar w:fldCharType="begin"/>
        </w:r>
        <w:r>
          <w:instrText xml:space="preserve">PAGEREF 1781 \h</w:instrText>
        </w:r>
        <w:r>
          <w:fldChar w:fldCharType="end"/>
        </w:r>
      </w:hyperlink>
    </w:p>
    <w:p>
      <w:pPr>
        <w:tabs>
          <w:tab w:val="right" w:leader="dot" w:pos="9062"/>
        </w:tabs>
        <w:ind w:left="440"/>
      </w:pPr>
      <w:hyperlink w:anchor="_Toc1782" w:history="1">
        <w:r>
          <w:rPr>
            <w:rFonts w:ascii="IRNazanin" w:hAnsi="IRNazanin" w:eastAsia="IRNazanin" w:cs="IRNazanin"/>
            <w:color w:val="111111"/>
            <w:sz w:val="22"/>
            <w:szCs w:val="22"/>
            <w:b w:val="0"/>
            <w:bCs w:val="0"/>
            <w:i w:val="0"/>
            <w:iCs w:val="0"/>
          </w:rPr>
          <w:t>•تاریخ قراباغ / تاریخ / فارسی</w:t>
        </w:r>
        <w:r>
          <w:tab/>
        </w:r>
        <w:r>
          <w:fldChar w:fldCharType="begin"/>
        </w:r>
        <w:r>
          <w:instrText xml:space="preserve">PAGEREF 1782 \h</w:instrText>
        </w:r>
        <w:r>
          <w:fldChar w:fldCharType="end"/>
        </w:r>
      </w:hyperlink>
    </w:p>
    <w:p>
      <w:pPr>
        <w:tabs>
          <w:tab w:val="right" w:leader="dot" w:pos="9062"/>
        </w:tabs>
        <w:ind w:left="440"/>
      </w:pPr>
      <w:hyperlink w:anchor="_Toc1783" w:history="1">
        <w:r>
          <w:rPr>
            <w:rFonts w:ascii="IRNazanin" w:hAnsi="IRNazanin" w:eastAsia="IRNazanin" w:cs="IRNazanin"/>
            <w:color w:val="111111"/>
            <w:sz w:val="22"/>
            <w:szCs w:val="22"/>
            <w:b w:val="0"/>
            <w:bCs w:val="0"/>
            <w:i w:val="0"/>
            <w:iCs w:val="0"/>
          </w:rPr>
          <w:t>•تاریخ قرون جدید / تاریخ جهان / فارسی</w:t>
        </w:r>
        <w:r>
          <w:tab/>
        </w:r>
        <w:r>
          <w:fldChar w:fldCharType="begin"/>
        </w:r>
        <w:r>
          <w:instrText xml:space="preserve">PAGEREF 1783 \h</w:instrText>
        </w:r>
        <w:r>
          <w:fldChar w:fldCharType="end"/>
        </w:r>
      </w:hyperlink>
    </w:p>
    <w:p>
      <w:pPr>
        <w:tabs>
          <w:tab w:val="right" w:leader="dot" w:pos="9062"/>
        </w:tabs>
        <w:ind w:left="440"/>
      </w:pPr>
      <w:hyperlink w:anchor="_Toc1784" w:history="1">
        <w:r>
          <w:rPr>
            <w:rFonts w:ascii="IRNazanin" w:hAnsi="IRNazanin" w:eastAsia="IRNazanin" w:cs="IRNazanin"/>
            <w:color w:val="111111"/>
            <w:sz w:val="22"/>
            <w:szCs w:val="22"/>
            <w:b w:val="0"/>
            <w:bCs w:val="0"/>
            <w:i w:val="0"/>
            <w:iCs w:val="0"/>
          </w:rPr>
          <w:t>•تاریخ قرون جدید / تاریخ جهان / فارسی</w:t>
        </w:r>
        <w:r>
          <w:tab/>
        </w:r>
        <w:r>
          <w:fldChar w:fldCharType="begin"/>
        </w:r>
        <w:r>
          <w:instrText xml:space="preserve">PAGEREF 1784 \h</w:instrText>
        </w:r>
        <w:r>
          <w:fldChar w:fldCharType="end"/>
        </w:r>
      </w:hyperlink>
    </w:p>
    <w:p>
      <w:pPr>
        <w:tabs>
          <w:tab w:val="right" w:leader="dot" w:pos="9062"/>
        </w:tabs>
        <w:ind w:left="440"/>
      </w:pPr>
      <w:hyperlink w:anchor="_Toc1785" w:history="1">
        <w:r>
          <w:rPr>
            <w:rFonts w:ascii="IRNazanin" w:hAnsi="IRNazanin" w:eastAsia="IRNazanin" w:cs="IRNazanin"/>
            <w:color w:val="111111"/>
            <w:sz w:val="22"/>
            <w:szCs w:val="22"/>
            <w:b w:val="0"/>
            <w:bCs w:val="0"/>
            <w:i w:val="0"/>
            <w:iCs w:val="0"/>
          </w:rPr>
          <w:t>• تاریخ قرون وسطی / تاریخ جهان / فارسی</w:t>
        </w:r>
        <w:r>
          <w:tab/>
        </w:r>
        <w:r>
          <w:fldChar w:fldCharType="begin"/>
        </w:r>
        <w:r>
          <w:instrText xml:space="preserve">PAGEREF 1785 \h</w:instrText>
        </w:r>
        <w:r>
          <w:fldChar w:fldCharType="end"/>
        </w:r>
      </w:hyperlink>
    </w:p>
    <w:p>
      <w:pPr>
        <w:tabs>
          <w:tab w:val="right" w:leader="dot" w:pos="9062"/>
        </w:tabs>
        <w:ind w:left="440"/>
      </w:pPr>
      <w:hyperlink w:anchor="_Toc1786" w:history="1">
        <w:r>
          <w:rPr>
            <w:rFonts w:ascii="IRNazanin" w:hAnsi="IRNazanin" w:eastAsia="IRNazanin" w:cs="IRNazanin"/>
            <w:color w:val="111111"/>
            <w:sz w:val="22"/>
            <w:szCs w:val="22"/>
            <w:b w:val="0"/>
            <w:bCs w:val="0"/>
            <w:i w:val="0"/>
            <w:iCs w:val="0"/>
          </w:rPr>
          <w:t>•تاریخ قرون وسطی / تاریخ جهان / فارسی</w:t>
        </w:r>
        <w:r>
          <w:tab/>
        </w:r>
        <w:r>
          <w:fldChar w:fldCharType="begin"/>
        </w:r>
        <w:r>
          <w:instrText xml:space="preserve">PAGEREF 1786 \h</w:instrText>
        </w:r>
        <w:r>
          <w:fldChar w:fldCharType="end"/>
        </w:r>
      </w:hyperlink>
    </w:p>
    <w:p>
      <w:pPr>
        <w:tabs>
          <w:tab w:val="right" w:leader="dot" w:pos="9062"/>
        </w:tabs>
        <w:ind w:left="440"/>
      </w:pPr>
      <w:hyperlink w:anchor="_Toc1787" w:history="1">
        <w:r>
          <w:rPr>
            <w:rFonts w:ascii="IRNazanin" w:hAnsi="IRNazanin" w:eastAsia="IRNazanin" w:cs="IRNazanin"/>
            <w:color w:val="111111"/>
            <w:sz w:val="22"/>
            <w:szCs w:val="22"/>
            <w:b w:val="0"/>
            <w:bCs w:val="0"/>
            <w:i w:val="0"/>
            <w:iCs w:val="0"/>
          </w:rPr>
          <w:t>•تاریخ قرون وسطی و ابتداء اعصار جديده / تاریخ جهان / فارسی</w:t>
        </w:r>
        <w:r>
          <w:tab/>
        </w:r>
        <w:r>
          <w:fldChar w:fldCharType="begin"/>
        </w:r>
        <w:r>
          <w:instrText xml:space="preserve">PAGEREF 1787 \h</w:instrText>
        </w:r>
        <w:r>
          <w:fldChar w:fldCharType="end"/>
        </w:r>
      </w:hyperlink>
    </w:p>
    <w:p>
      <w:pPr>
        <w:tabs>
          <w:tab w:val="right" w:leader="dot" w:pos="9062"/>
        </w:tabs>
        <w:ind w:left="440"/>
      </w:pPr>
      <w:hyperlink w:anchor="_Toc1788" w:history="1">
        <w:r>
          <w:rPr>
            <w:rFonts w:ascii="IRNazanin" w:hAnsi="IRNazanin" w:eastAsia="IRNazanin" w:cs="IRNazanin"/>
            <w:color w:val="111111"/>
            <w:sz w:val="22"/>
            <w:szCs w:val="22"/>
            <w:b w:val="0"/>
            <w:bCs w:val="0"/>
            <w:i w:val="0"/>
            <w:iCs w:val="0"/>
          </w:rPr>
          <w:t>•تاریخ قرون وسطی یا جنگ صد ساله / تاریخ جهان / فارسی</w:t>
        </w:r>
        <w:r>
          <w:tab/>
        </w:r>
        <w:r>
          <w:fldChar w:fldCharType="begin"/>
        </w:r>
        <w:r>
          <w:instrText xml:space="preserve">PAGEREF 1788 \h</w:instrText>
        </w:r>
        <w:r>
          <w:fldChar w:fldCharType="end"/>
        </w:r>
      </w:hyperlink>
    </w:p>
    <w:p>
      <w:pPr>
        <w:tabs>
          <w:tab w:val="right" w:leader="dot" w:pos="9062"/>
        </w:tabs>
        <w:ind w:left="440"/>
      </w:pPr>
      <w:hyperlink w:anchor="_Toc1789" w:history="1">
        <w:r>
          <w:rPr>
            <w:rFonts w:ascii="IRNazanin" w:hAnsi="IRNazanin" w:eastAsia="IRNazanin" w:cs="IRNazanin"/>
            <w:color w:val="111111"/>
            <w:sz w:val="22"/>
            <w:szCs w:val="22"/>
            <w:b w:val="0"/>
            <w:bCs w:val="0"/>
            <w:i w:val="0"/>
            <w:iCs w:val="0"/>
          </w:rPr>
          <w:t>•تاریخ قره چیان (ترجمه) / حدیث، تاریخ جهان / فارسی</w:t>
        </w:r>
        <w:r>
          <w:tab/>
        </w:r>
        <w:r>
          <w:fldChar w:fldCharType="begin"/>
        </w:r>
        <w:r>
          <w:instrText xml:space="preserve">PAGEREF 1789 \h</w:instrText>
        </w:r>
        <w:r>
          <w:fldChar w:fldCharType="end"/>
        </w:r>
      </w:hyperlink>
    </w:p>
    <w:p>
      <w:pPr>
        <w:tabs>
          <w:tab w:val="right" w:leader="dot" w:pos="9062"/>
        </w:tabs>
        <w:ind w:left="440"/>
      </w:pPr>
      <w:hyperlink w:anchor="_Toc1790" w:history="1">
        <w:r>
          <w:rPr>
            <w:rFonts w:ascii="IRNazanin" w:hAnsi="IRNazanin" w:eastAsia="IRNazanin" w:cs="IRNazanin"/>
            <w:color w:val="111111"/>
            <w:sz w:val="22"/>
            <w:szCs w:val="22"/>
            <w:b w:val="0"/>
            <w:bCs w:val="0"/>
            <w:i w:val="0"/>
            <w:iCs w:val="0"/>
          </w:rPr>
          <w:t>•خلفای عباسی / تاریخ عربی</w:t>
        </w:r>
        <w:r>
          <w:tab/>
        </w:r>
        <w:r>
          <w:fldChar w:fldCharType="begin"/>
        </w:r>
        <w:r>
          <w:instrText xml:space="preserve">PAGEREF 1790 \h</w:instrText>
        </w:r>
        <w:r>
          <w:fldChar w:fldCharType="end"/>
        </w:r>
      </w:hyperlink>
    </w:p>
    <w:p>
      <w:pPr>
        <w:tabs>
          <w:tab w:val="right" w:leader="dot" w:pos="9062"/>
        </w:tabs>
        <w:ind w:left="440"/>
      </w:pPr>
      <w:hyperlink w:anchor="_Toc1791" w:history="1">
        <w:r>
          <w:rPr>
            <w:rFonts w:ascii="IRNazanin" w:hAnsi="IRNazanin" w:eastAsia="IRNazanin" w:cs="IRNazanin"/>
            <w:color w:val="111111"/>
            <w:sz w:val="22"/>
            <w:szCs w:val="22"/>
            <w:b w:val="0"/>
            <w:bCs w:val="0"/>
            <w:i w:val="0"/>
            <w:iCs w:val="0"/>
          </w:rPr>
          <w:t>•تاریخ قزلباشیان / تاریخ ایران / فارسی</w:t>
        </w:r>
        <w:r>
          <w:tab/>
        </w:r>
        <w:r>
          <w:fldChar w:fldCharType="begin"/>
        </w:r>
        <w:r>
          <w:instrText xml:space="preserve">PAGEREF 1791 \h</w:instrText>
        </w:r>
        <w:r>
          <w:fldChar w:fldCharType="end"/>
        </w:r>
      </w:hyperlink>
    </w:p>
    <w:p>
      <w:pPr>
        <w:tabs>
          <w:tab w:val="right" w:leader="dot" w:pos="9062"/>
        </w:tabs>
        <w:ind w:left="440"/>
      </w:pPr>
      <w:hyperlink w:anchor="_Toc1792" w:history="1">
        <w:r>
          <w:rPr>
            <w:rFonts w:ascii="IRNazanin" w:hAnsi="IRNazanin" w:eastAsia="IRNazanin" w:cs="IRNazanin"/>
            <w:color w:val="111111"/>
            <w:sz w:val="22"/>
            <w:szCs w:val="22"/>
            <w:b w:val="0"/>
            <w:bCs w:val="0"/>
            <w:i w:val="0"/>
            <w:iCs w:val="0"/>
          </w:rPr>
          <w:t>•تاریخ قم (ترجمه) / تاریخ ایران / فارسی</w:t>
        </w:r>
        <w:r>
          <w:tab/>
        </w:r>
        <w:r>
          <w:fldChar w:fldCharType="begin"/>
        </w:r>
        <w:r>
          <w:instrText xml:space="preserve">PAGEREF 1792 \h</w:instrText>
        </w:r>
        <w:r>
          <w:fldChar w:fldCharType="end"/>
        </w:r>
      </w:hyperlink>
    </w:p>
    <w:p>
      <w:pPr>
        <w:tabs>
          <w:tab w:val="right" w:leader="dot" w:pos="9062"/>
        </w:tabs>
        <w:ind w:left="440"/>
      </w:pPr>
      <w:hyperlink w:anchor="_Toc1793" w:history="1">
        <w:r>
          <w:rPr>
            <w:rFonts w:ascii="IRNazanin" w:hAnsi="IRNazanin" w:eastAsia="IRNazanin" w:cs="IRNazanin"/>
            <w:color w:val="111111"/>
            <w:sz w:val="22"/>
            <w:szCs w:val="22"/>
            <w:b w:val="0"/>
            <w:bCs w:val="0"/>
            <w:i w:val="0"/>
            <w:iCs w:val="0"/>
          </w:rPr>
          <w:t>•تاریخ قم / تاریخ ایران / فارسی</w:t>
        </w:r>
        <w:r>
          <w:tab/>
        </w:r>
        <w:r>
          <w:fldChar w:fldCharType="begin"/>
        </w:r>
        <w:r>
          <w:instrText xml:space="preserve">PAGEREF 1793 \h</w:instrText>
        </w:r>
        <w:r>
          <w:fldChar w:fldCharType="end"/>
        </w:r>
      </w:hyperlink>
    </w:p>
    <w:p>
      <w:pPr>
        <w:tabs>
          <w:tab w:val="right" w:leader="dot" w:pos="9062"/>
        </w:tabs>
        <w:ind w:left="440"/>
      </w:pPr>
      <w:hyperlink w:anchor="_Toc1794" w:history="1">
        <w:r>
          <w:rPr>
            <w:rFonts w:ascii="IRNazanin" w:hAnsi="IRNazanin" w:eastAsia="IRNazanin" w:cs="IRNazanin"/>
            <w:color w:val="111111"/>
            <w:sz w:val="22"/>
            <w:szCs w:val="22"/>
            <w:b w:val="0"/>
            <w:bCs w:val="0"/>
            <w:i w:val="0"/>
            <w:iCs w:val="0"/>
          </w:rPr>
          <w:t>•تاریخ قوامی / تاریخ ایران / فارسی</w:t>
        </w:r>
        <w:r>
          <w:tab/>
        </w:r>
        <w:r>
          <w:fldChar w:fldCharType="begin"/>
        </w:r>
        <w:r>
          <w:instrText xml:space="preserve">PAGEREF 1794 \h</w:instrText>
        </w:r>
        <w:r>
          <w:fldChar w:fldCharType="end"/>
        </w:r>
      </w:hyperlink>
    </w:p>
    <w:p>
      <w:pPr>
        <w:tabs>
          <w:tab w:val="right" w:leader="dot" w:pos="9062"/>
        </w:tabs>
        <w:ind w:left="440"/>
      </w:pPr>
      <w:hyperlink w:anchor="_Toc1795" w:history="1">
        <w:r>
          <w:rPr>
            <w:rFonts w:ascii="IRNazanin" w:hAnsi="IRNazanin" w:eastAsia="IRNazanin" w:cs="IRNazanin"/>
            <w:color w:val="111111"/>
            <w:sz w:val="22"/>
            <w:szCs w:val="22"/>
            <w:b w:val="0"/>
            <w:bCs w:val="0"/>
            <w:i w:val="0"/>
            <w:iCs w:val="0"/>
          </w:rPr>
          <w:t>• تاریخ قیاصره = کتاب قیاصره ناصره همایونی  /تاریخ جهان / فارسی</w:t>
        </w:r>
        <w:r>
          <w:tab/>
        </w:r>
        <w:r>
          <w:fldChar w:fldCharType="begin"/>
        </w:r>
        <w:r>
          <w:instrText xml:space="preserve">PAGEREF 1795 \h</w:instrText>
        </w:r>
        <w:r>
          <w:fldChar w:fldCharType="end"/>
        </w:r>
      </w:hyperlink>
    </w:p>
    <w:p>
      <w:pPr>
        <w:tabs>
          <w:tab w:val="right" w:leader="dot" w:pos="9062"/>
        </w:tabs>
        <w:ind w:left="440"/>
      </w:pPr>
      <w:hyperlink w:anchor="_Toc1796" w:history="1">
        <w:r>
          <w:rPr>
            <w:rFonts w:ascii="IRNazanin" w:hAnsi="IRNazanin" w:eastAsia="IRNazanin" w:cs="IRNazanin"/>
            <w:color w:val="111111"/>
            <w:sz w:val="22"/>
            <w:szCs w:val="22"/>
            <w:b w:val="0"/>
            <w:bCs w:val="0"/>
            <w:i w:val="0"/>
            <w:iCs w:val="0"/>
          </w:rPr>
          <w:t>• تاریخ قیاصره / تاریخ جهان / فارسی</w:t>
        </w:r>
        <w:r>
          <w:tab/>
        </w:r>
        <w:r>
          <w:fldChar w:fldCharType="begin"/>
        </w:r>
        <w:r>
          <w:instrText xml:space="preserve">PAGEREF 1796 \h</w:instrText>
        </w:r>
        <w:r>
          <w:fldChar w:fldCharType="end"/>
        </w:r>
      </w:hyperlink>
    </w:p>
    <w:p>
      <w:pPr>
        <w:tabs>
          <w:tab w:val="right" w:leader="dot" w:pos="9062"/>
        </w:tabs>
        <w:ind w:left="440"/>
      </w:pPr>
      <w:hyperlink w:anchor="_Toc1797" w:history="1">
        <w:r>
          <w:rPr>
            <w:rFonts w:ascii="IRNazanin" w:hAnsi="IRNazanin" w:eastAsia="IRNazanin" w:cs="IRNazanin"/>
            <w:color w:val="111111"/>
            <w:sz w:val="22"/>
            <w:szCs w:val="22"/>
            <w:b w:val="0"/>
            <w:bCs w:val="0"/>
            <w:i w:val="0"/>
            <w:iCs w:val="0"/>
          </w:rPr>
          <w:t>•تاریخ کاشغر (ترجمه) / تاریخ / فارسی</w:t>
        </w:r>
        <w:r>
          <w:tab/>
        </w:r>
        <w:r>
          <w:fldChar w:fldCharType="begin"/>
        </w:r>
        <w:r>
          <w:instrText xml:space="preserve">PAGEREF 1797 \h</w:instrText>
        </w:r>
        <w:r>
          <w:fldChar w:fldCharType="end"/>
        </w:r>
      </w:hyperlink>
    </w:p>
    <w:p>
      <w:pPr>
        <w:tabs>
          <w:tab w:val="right" w:leader="dot" w:pos="9062"/>
        </w:tabs>
        <w:ind w:left="440"/>
      </w:pPr>
      <w:hyperlink w:anchor="_Toc1798" w:history="1">
        <w:r>
          <w:rPr>
            <w:rFonts w:ascii="IRNazanin" w:hAnsi="IRNazanin" w:eastAsia="IRNazanin" w:cs="IRNazanin"/>
            <w:color w:val="111111"/>
            <w:sz w:val="22"/>
            <w:szCs w:val="22"/>
            <w:b w:val="0"/>
            <w:bCs w:val="0"/>
            <w:i w:val="0"/>
            <w:iCs w:val="0"/>
          </w:rPr>
          <w:t>•تاریخ کامبج / تاریخ جهان / فارسی</w:t>
        </w:r>
        <w:r>
          <w:tab/>
        </w:r>
        <w:r>
          <w:fldChar w:fldCharType="begin"/>
        </w:r>
        <w:r>
          <w:instrText xml:space="preserve">PAGEREF 1798 \h</w:instrText>
        </w:r>
        <w:r>
          <w:fldChar w:fldCharType="end"/>
        </w:r>
      </w:hyperlink>
    </w:p>
    <w:p>
      <w:pPr>
        <w:tabs>
          <w:tab w:val="right" w:leader="dot" w:pos="9062"/>
        </w:tabs>
        <w:ind w:left="440"/>
      </w:pPr>
      <w:hyperlink w:anchor="_Toc1799" w:history="1">
        <w:r>
          <w:rPr>
            <w:rFonts w:ascii="IRNazanin" w:hAnsi="IRNazanin" w:eastAsia="IRNazanin" w:cs="IRNazanin"/>
            <w:color w:val="111111"/>
            <w:sz w:val="22"/>
            <w:szCs w:val="22"/>
            <w:b w:val="0"/>
            <w:bCs w:val="0"/>
            <w:i w:val="0"/>
            <w:iCs w:val="0"/>
          </w:rPr>
          <w:t>•تاریخ کبیر جعفری / تاریخ / فارسی</w:t>
        </w:r>
        <w:r>
          <w:tab/>
        </w:r>
        <w:r>
          <w:fldChar w:fldCharType="begin"/>
        </w:r>
        <w:r>
          <w:instrText xml:space="preserve">PAGEREF 1799 \h</w:instrText>
        </w:r>
        <w:r>
          <w:fldChar w:fldCharType="end"/>
        </w:r>
      </w:hyperlink>
    </w:p>
    <w:p>
      <w:pPr>
        <w:tabs>
          <w:tab w:val="right" w:leader="dot" w:pos="9062"/>
        </w:tabs>
        <w:ind w:left="440"/>
      </w:pPr>
      <w:hyperlink w:anchor="_Toc1800" w:history="1">
        <w:r>
          <w:rPr>
            <w:rFonts w:ascii="IRNazanin" w:hAnsi="IRNazanin" w:eastAsia="IRNazanin" w:cs="IRNazanin"/>
            <w:color w:val="111111"/>
            <w:sz w:val="22"/>
            <w:szCs w:val="22"/>
            <w:b w:val="0"/>
            <w:bCs w:val="0"/>
            <w:i w:val="0"/>
            <w:iCs w:val="0"/>
          </w:rPr>
          <w:t>•تاریخ کتاب «سیر العارفین» / متفرقه / عربی</w:t>
        </w:r>
        <w:r>
          <w:tab/>
        </w:r>
        <w:r>
          <w:fldChar w:fldCharType="begin"/>
        </w:r>
        <w:r>
          <w:instrText xml:space="preserve">PAGEREF 1800 \h</w:instrText>
        </w:r>
        <w:r>
          <w:fldChar w:fldCharType="end"/>
        </w:r>
      </w:hyperlink>
    </w:p>
    <w:p>
      <w:pPr>
        <w:tabs>
          <w:tab w:val="right" w:leader="dot" w:pos="9062"/>
        </w:tabs>
        <w:ind w:left="440"/>
      </w:pPr>
      <w:hyperlink w:anchor="_Toc1801" w:history="1">
        <w:r>
          <w:rPr>
            <w:rFonts w:ascii="IRNazanin" w:hAnsi="IRNazanin" w:eastAsia="IRNazanin" w:cs="IRNazanin"/>
            <w:color w:val="111111"/>
            <w:sz w:val="22"/>
            <w:szCs w:val="22"/>
            <w:b w:val="0"/>
            <w:bCs w:val="0"/>
            <w:i w:val="0"/>
            <w:iCs w:val="0"/>
          </w:rPr>
          <w:t>•تاریخ کربلا / تاریخ / فارسی</w:t>
        </w:r>
        <w:r>
          <w:tab/>
        </w:r>
        <w:r>
          <w:fldChar w:fldCharType="begin"/>
        </w:r>
        <w:r>
          <w:instrText xml:space="preserve">PAGEREF 1801 \h</w:instrText>
        </w:r>
        <w:r>
          <w:fldChar w:fldCharType="end"/>
        </w:r>
      </w:hyperlink>
    </w:p>
    <w:p>
      <w:pPr>
        <w:tabs>
          <w:tab w:val="right" w:leader="dot" w:pos="9062"/>
        </w:tabs>
        <w:ind w:left="440"/>
      </w:pPr>
      <w:hyperlink w:anchor="_Toc1802" w:history="1">
        <w:r>
          <w:rPr>
            <w:rFonts w:ascii="IRNazanin" w:hAnsi="IRNazanin" w:eastAsia="IRNazanin" w:cs="IRNazanin"/>
            <w:color w:val="111111"/>
            <w:sz w:val="22"/>
            <w:szCs w:val="22"/>
            <w:b w:val="0"/>
            <w:bCs w:val="0"/>
            <w:i w:val="0"/>
            <w:iCs w:val="0"/>
          </w:rPr>
          <w:t>•تاریخ کربلا / شعر / فارسی</w:t>
        </w:r>
        <w:r>
          <w:tab/>
        </w:r>
        <w:r>
          <w:fldChar w:fldCharType="begin"/>
        </w:r>
        <w:r>
          <w:instrText xml:space="preserve">PAGEREF 1802 \h</w:instrText>
        </w:r>
        <w:r>
          <w:fldChar w:fldCharType="end"/>
        </w:r>
      </w:hyperlink>
    </w:p>
    <w:p>
      <w:pPr>
        <w:tabs>
          <w:tab w:val="right" w:leader="dot" w:pos="9062"/>
        </w:tabs>
        <w:ind w:left="440"/>
      </w:pPr>
      <w:hyperlink w:anchor="_Toc1803" w:history="1">
        <w:r>
          <w:rPr>
            <w:rFonts w:ascii="IRNazanin" w:hAnsi="IRNazanin" w:eastAsia="IRNazanin" w:cs="IRNazanin"/>
            <w:color w:val="111111"/>
            <w:sz w:val="22"/>
            <w:szCs w:val="22"/>
            <w:b w:val="0"/>
            <w:bCs w:val="0"/>
            <w:i w:val="0"/>
            <w:iCs w:val="0"/>
          </w:rPr>
          <w:t>•تاریخ کربلا / تاریخ / فارسی</w:t>
        </w:r>
        <w:r>
          <w:tab/>
        </w:r>
        <w:r>
          <w:fldChar w:fldCharType="begin"/>
        </w:r>
        <w:r>
          <w:instrText xml:space="preserve">PAGEREF 1803 \h</w:instrText>
        </w:r>
        <w:r>
          <w:fldChar w:fldCharType="end"/>
        </w:r>
      </w:hyperlink>
    </w:p>
    <w:p>
      <w:pPr>
        <w:tabs>
          <w:tab w:val="right" w:leader="dot" w:pos="9062"/>
        </w:tabs>
        <w:ind w:left="440"/>
      </w:pPr>
      <w:hyperlink w:anchor="_Toc1804" w:history="1">
        <w:r>
          <w:rPr>
            <w:rFonts w:ascii="IRNazanin" w:hAnsi="IRNazanin" w:eastAsia="IRNazanin" w:cs="IRNazanin"/>
            <w:color w:val="111111"/>
            <w:sz w:val="22"/>
            <w:szCs w:val="22"/>
            <w:b w:val="0"/>
            <w:bCs w:val="0"/>
            <w:i w:val="0"/>
            <w:iCs w:val="0"/>
          </w:rPr>
          <w:t>•تاریخ کرد / تاریخ ایران / فارسی</w:t>
        </w:r>
        <w:r>
          <w:tab/>
        </w:r>
        <w:r>
          <w:fldChar w:fldCharType="begin"/>
        </w:r>
        <w:r>
          <w:instrText xml:space="preserve">PAGEREF 1804 \h</w:instrText>
        </w:r>
        <w:r>
          <w:fldChar w:fldCharType="end"/>
        </w:r>
      </w:hyperlink>
    </w:p>
    <w:p>
      <w:pPr>
        <w:tabs>
          <w:tab w:val="right" w:leader="dot" w:pos="9062"/>
        </w:tabs>
        <w:ind w:left="440"/>
      </w:pPr>
      <w:hyperlink w:anchor="_Toc1805" w:history="1">
        <w:r>
          <w:rPr>
            <w:rFonts w:ascii="IRNazanin" w:hAnsi="IRNazanin" w:eastAsia="IRNazanin" w:cs="IRNazanin"/>
            <w:color w:val="111111"/>
            <w:sz w:val="22"/>
            <w:szCs w:val="22"/>
            <w:b w:val="0"/>
            <w:bCs w:val="0"/>
            <w:i w:val="0"/>
            <w:iCs w:val="0"/>
          </w:rPr>
          <w:t>•تاریخ کرد / تاریخ / فارسی</w:t>
        </w:r>
        <w:r>
          <w:tab/>
        </w:r>
        <w:r>
          <w:fldChar w:fldCharType="begin"/>
        </w:r>
        <w:r>
          <w:instrText xml:space="preserve">PAGEREF 1805 \h</w:instrText>
        </w:r>
        <w:r>
          <w:fldChar w:fldCharType="end"/>
        </w:r>
      </w:hyperlink>
    </w:p>
    <w:p>
      <w:pPr>
        <w:tabs>
          <w:tab w:val="right" w:leader="dot" w:pos="9062"/>
        </w:tabs>
        <w:ind w:left="440"/>
      </w:pPr>
      <w:hyperlink w:anchor="_Toc1806" w:history="1">
        <w:r>
          <w:rPr>
            <w:rFonts w:ascii="IRNazanin" w:hAnsi="IRNazanin" w:eastAsia="IRNazanin" w:cs="IRNazanin"/>
            <w:color w:val="111111"/>
            <w:sz w:val="22"/>
            <w:szCs w:val="22"/>
            <w:b w:val="0"/>
            <w:bCs w:val="0"/>
            <w:i w:val="0"/>
            <w:iCs w:val="0"/>
          </w:rPr>
          <w:t>•تاریخ کردستان / تاریخ ایران / فارسی</w:t>
        </w:r>
        <w:r>
          <w:tab/>
        </w:r>
        <w:r>
          <w:fldChar w:fldCharType="begin"/>
        </w:r>
        <w:r>
          <w:instrText xml:space="preserve">PAGEREF 1806 \h</w:instrText>
        </w:r>
        <w:r>
          <w:fldChar w:fldCharType="end"/>
        </w:r>
      </w:hyperlink>
    </w:p>
    <w:p>
      <w:pPr>
        <w:tabs>
          <w:tab w:val="right" w:leader="dot" w:pos="9062"/>
        </w:tabs>
        <w:ind w:left="440"/>
      </w:pPr>
      <w:hyperlink w:anchor="_Toc1807" w:history="1">
        <w:r>
          <w:rPr>
            <w:rFonts w:ascii="IRNazanin" w:hAnsi="IRNazanin" w:eastAsia="IRNazanin" w:cs="IRNazanin"/>
            <w:color w:val="111111"/>
            <w:sz w:val="22"/>
            <w:szCs w:val="22"/>
            <w:b w:val="0"/>
            <w:bCs w:val="0"/>
            <w:i w:val="0"/>
            <w:iCs w:val="0"/>
          </w:rPr>
          <w:t>•تاریخ کردستان / تاریخ ایران / فارسی</w:t>
        </w:r>
        <w:r>
          <w:tab/>
        </w:r>
        <w:r>
          <w:fldChar w:fldCharType="begin"/>
        </w:r>
        <w:r>
          <w:instrText xml:space="preserve">PAGEREF 1807 \h</w:instrText>
        </w:r>
        <w:r>
          <w:fldChar w:fldCharType="end"/>
        </w:r>
      </w:hyperlink>
    </w:p>
    <w:p>
      <w:pPr>
        <w:tabs>
          <w:tab w:val="right" w:leader="dot" w:pos="9062"/>
        </w:tabs>
        <w:ind w:left="440"/>
      </w:pPr>
      <w:hyperlink w:anchor="_Toc1808" w:history="1">
        <w:r>
          <w:rPr>
            <w:rFonts w:ascii="IRNazanin" w:hAnsi="IRNazanin" w:eastAsia="IRNazanin" w:cs="IRNazanin"/>
            <w:color w:val="111111"/>
            <w:sz w:val="22"/>
            <w:szCs w:val="22"/>
            <w:b w:val="0"/>
            <w:bCs w:val="0"/>
            <w:i w:val="0"/>
            <w:iCs w:val="0"/>
          </w:rPr>
          <w:t>•تاریخ کردستان ایران / تاریخ ایران / فارسی</w:t>
        </w:r>
        <w:r>
          <w:tab/>
        </w:r>
        <w:r>
          <w:fldChar w:fldCharType="begin"/>
        </w:r>
        <w:r>
          <w:instrText xml:space="preserve">PAGEREF 1808 \h</w:instrText>
        </w:r>
        <w:r>
          <w:fldChar w:fldCharType="end"/>
        </w:r>
      </w:hyperlink>
    </w:p>
    <w:p>
      <w:pPr>
        <w:tabs>
          <w:tab w:val="right" w:leader="dot" w:pos="9062"/>
        </w:tabs>
        <w:ind w:left="440"/>
      </w:pPr>
      <w:hyperlink w:anchor="_Toc1809" w:history="1">
        <w:r>
          <w:rPr>
            <w:rFonts w:ascii="IRNazanin" w:hAnsi="IRNazanin" w:eastAsia="IRNazanin" w:cs="IRNazanin"/>
            <w:color w:val="111111"/>
            <w:sz w:val="22"/>
            <w:szCs w:val="22"/>
            <w:b w:val="0"/>
            <w:bCs w:val="0"/>
            <w:i w:val="0"/>
            <w:iCs w:val="0"/>
          </w:rPr>
          <w:t>•تاریخ کرمان / تاریخ ایران / فارسی</w:t>
        </w:r>
        <w:r>
          <w:tab/>
        </w:r>
        <w:r>
          <w:fldChar w:fldCharType="begin"/>
        </w:r>
        <w:r>
          <w:instrText xml:space="preserve">PAGEREF 1809 \h</w:instrText>
        </w:r>
        <w:r>
          <w:fldChar w:fldCharType="end"/>
        </w:r>
      </w:hyperlink>
    </w:p>
    <w:p>
      <w:pPr>
        <w:tabs>
          <w:tab w:val="right" w:leader="dot" w:pos="9062"/>
        </w:tabs>
        <w:ind w:left="440"/>
      </w:pPr>
      <w:hyperlink w:anchor="_Toc1810" w:history="1">
        <w:r>
          <w:rPr>
            <w:rFonts w:ascii="IRNazanin" w:hAnsi="IRNazanin" w:eastAsia="IRNazanin" w:cs="IRNazanin"/>
            <w:color w:val="111111"/>
            <w:sz w:val="22"/>
            <w:szCs w:val="22"/>
            <w:b w:val="0"/>
            <w:bCs w:val="0"/>
            <w:i w:val="0"/>
            <w:iCs w:val="0"/>
          </w:rPr>
          <w:t>•تاریخ کرمان / جغرافيا / فارسی</w:t>
        </w:r>
        <w:r>
          <w:tab/>
        </w:r>
        <w:r>
          <w:fldChar w:fldCharType="begin"/>
        </w:r>
        <w:r>
          <w:instrText xml:space="preserve">PAGEREF 1810 \h</w:instrText>
        </w:r>
        <w:r>
          <w:fldChar w:fldCharType="end"/>
        </w:r>
      </w:hyperlink>
    </w:p>
    <w:p>
      <w:pPr>
        <w:tabs>
          <w:tab w:val="right" w:leader="dot" w:pos="9062"/>
        </w:tabs>
        <w:ind w:left="440"/>
      </w:pPr>
      <w:hyperlink w:anchor="_Toc1811" w:history="1">
        <w:r>
          <w:rPr>
            <w:rFonts w:ascii="IRNazanin" w:hAnsi="IRNazanin" w:eastAsia="IRNazanin" w:cs="IRNazanin"/>
            <w:color w:val="111111"/>
            <w:sz w:val="22"/>
            <w:szCs w:val="22"/>
            <w:b w:val="0"/>
            <w:bCs w:val="0"/>
            <w:i w:val="0"/>
            <w:iCs w:val="0"/>
          </w:rPr>
          <w:t>•تاریخ کرمان / تاریخ ایران / فارسی</w:t>
        </w:r>
        <w:r>
          <w:tab/>
        </w:r>
        <w:r>
          <w:fldChar w:fldCharType="begin"/>
        </w:r>
        <w:r>
          <w:instrText xml:space="preserve">PAGEREF 1811 \h</w:instrText>
        </w:r>
        <w:r>
          <w:fldChar w:fldCharType="end"/>
        </w:r>
      </w:hyperlink>
    </w:p>
    <w:p>
      <w:pPr>
        <w:tabs>
          <w:tab w:val="right" w:leader="dot" w:pos="9062"/>
        </w:tabs>
        <w:ind w:left="440"/>
      </w:pPr>
      <w:hyperlink w:anchor="_Toc1812" w:history="1">
        <w:r>
          <w:rPr>
            <w:rFonts w:ascii="IRNazanin" w:hAnsi="IRNazanin" w:eastAsia="IRNazanin" w:cs="IRNazanin"/>
            <w:color w:val="111111"/>
            <w:sz w:val="22"/>
            <w:szCs w:val="22"/>
            <w:b w:val="0"/>
            <w:bCs w:val="0"/>
            <w:i w:val="0"/>
            <w:iCs w:val="0"/>
          </w:rPr>
          <w:t>•تاریخ کرمان / تاریخ ایران / فارسی</w:t>
        </w:r>
        <w:r>
          <w:tab/>
        </w:r>
        <w:r>
          <w:fldChar w:fldCharType="begin"/>
        </w:r>
        <w:r>
          <w:instrText xml:space="preserve">PAGEREF 1812 \h</w:instrText>
        </w:r>
        <w:r>
          <w:fldChar w:fldCharType="end"/>
        </w:r>
      </w:hyperlink>
    </w:p>
    <w:p>
      <w:pPr>
        <w:tabs>
          <w:tab w:val="right" w:leader="dot" w:pos="9062"/>
        </w:tabs>
        <w:ind w:left="440"/>
      </w:pPr>
      <w:hyperlink w:anchor="_Toc1813" w:history="1">
        <w:r>
          <w:rPr>
            <w:rFonts w:ascii="IRNazanin" w:hAnsi="IRNazanin" w:eastAsia="IRNazanin" w:cs="IRNazanin"/>
            <w:color w:val="111111"/>
            <w:sz w:val="22"/>
            <w:szCs w:val="22"/>
            <w:b w:val="0"/>
            <w:bCs w:val="0"/>
            <w:i w:val="0"/>
            <w:iCs w:val="0"/>
          </w:rPr>
          <w:t>•تاریخ کرید = جزیره کرت / جغرافیا، تاریخ جهان / فارسی</w:t>
        </w:r>
        <w:r>
          <w:tab/>
        </w:r>
        <w:r>
          <w:fldChar w:fldCharType="begin"/>
        </w:r>
        <w:r>
          <w:instrText xml:space="preserve">PAGEREF 1813 \h</w:instrText>
        </w:r>
        <w:r>
          <w:fldChar w:fldCharType="end"/>
        </w:r>
      </w:hyperlink>
    </w:p>
    <w:p>
      <w:pPr>
        <w:tabs>
          <w:tab w:val="right" w:leader="dot" w:pos="9062"/>
        </w:tabs>
        <w:ind w:left="440"/>
      </w:pPr>
      <w:hyperlink w:anchor="_Toc1814" w:history="1">
        <w:r>
          <w:rPr>
            <w:rFonts w:ascii="IRNazanin" w:hAnsi="IRNazanin" w:eastAsia="IRNazanin" w:cs="IRNazanin"/>
            <w:color w:val="111111"/>
            <w:sz w:val="22"/>
            <w:szCs w:val="22"/>
            <w:b w:val="0"/>
            <w:bCs w:val="0"/>
            <w:i w:val="0"/>
            <w:iCs w:val="0"/>
          </w:rPr>
          <w:t>•تاریخ کریمه / تاریخ جهان / فارسی</w:t>
        </w:r>
        <w:r>
          <w:tab/>
        </w:r>
        <w:r>
          <w:fldChar w:fldCharType="begin"/>
        </w:r>
        <w:r>
          <w:instrText xml:space="preserve">PAGEREF 1814 \h</w:instrText>
        </w:r>
        <w:r>
          <w:fldChar w:fldCharType="end"/>
        </w:r>
      </w:hyperlink>
    </w:p>
    <w:p>
      <w:pPr>
        <w:tabs>
          <w:tab w:val="right" w:leader="dot" w:pos="9062"/>
        </w:tabs>
        <w:ind w:left="440"/>
      </w:pPr>
      <w:hyperlink w:anchor="_Toc1815" w:history="1">
        <w:r>
          <w:rPr>
            <w:rFonts w:ascii="IRNazanin" w:hAnsi="IRNazanin" w:eastAsia="IRNazanin" w:cs="IRNazanin"/>
            <w:color w:val="111111"/>
            <w:sz w:val="22"/>
            <w:szCs w:val="22"/>
            <w:b w:val="0"/>
            <w:bCs w:val="0"/>
            <w:i w:val="0"/>
            <w:iCs w:val="0"/>
          </w:rPr>
          <w:t>•تاریخ کشته شدن عمر خطاب / تاریخ / فارسی</w:t>
        </w:r>
        <w:r>
          <w:tab/>
        </w:r>
        <w:r>
          <w:fldChar w:fldCharType="begin"/>
        </w:r>
        <w:r>
          <w:instrText xml:space="preserve">PAGEREF 1815 \h</w:instrText>
        </w:r>
        <w:r>
          <w:fldChar w:fldCharType="end"/>
        </w:r>
      </w:hyperlink>
    </w:p>
    <w:p>
      <w:pPr>
        <w:tabs>
          <w:tab w:val="right" w:leader="dot" w:pos="9062"/>
        </w:tabs>
        <w:ind w:left="440"/>
      </w:pPr>
      <w:hyperlink w:anchor="_Toc1816" w:history="1">
        <w:r>
          <w:rPr>
            <w:rFonts w:ascii="IRNazanin" w:hAnsi="IRNazanin" w:eastAsia="IRNazanin" w:cs="IRNazanin"/>
            <w:color w:val="111111"/>
            <w:sz w:val="22"/>
            <w:szCs w:val="22"/>
            <w:b w:val="0"/>
            <w:bCs w:val="0"/>
            <w:i w:val="0"/>
            <w:iCs w:val="0"/>
          </w:rPr>
          <w:t>•تاریخ کشف آمریکا (ترجمه) / تاریخ جهان / فارسی</w:t>
        </w:r>
        <w:r>
          <w:tab/>
        </w:r>
        <w:r>
          <w:fldChar w:fldCharType="begin"/>
        </w:r>
        <w:r>
          <w:instrText xml:space="preserve">PAGEREF 1816 \h</w:instrText>
        </w:r>
        <w:r>
          <w:fldChar w:fldCharType="end"/>
        </w:r>
      </w:hyperlink>
    </w:p>
    <w:p>
      <w:pPr>
        <w:tabs>
          <w:tab w:val="right" w:leader="dot" w:pos="9062"/>
        </w:tabs>
        <w:ind w:left="440"/>
      </w:pPr>
      <w:hyperlink w:anchor="_Toc1817" w:history="1">
        <w:r>
          <w:rPr>
            <w:rFonts w:ascii="IRNazanin" w:hAnsi="IRNazanin" w:eastAsia="IRNazanin" w:cs="IRNazanin"/>
            <w:color w:val="111111"/>
            <w:sz w:val="22"/>
            <w:szCs w:val="22"/>
            <w:b w:val="0"/>
            <w:bCs w:val="0"/>
            <w:i w:val="0"/>
            <w:iCs w:val="0"/>
          </w:rPr>
          <w:t>•تاریخ کشمیر / تاریخ هند / هندی</w:t>
        </w:r>
        <w:r>
          <w:tab/>
        </w:r>
        <w:r>
          <w:fldChar w:fldCharType="begin"/>
        </w:r>
        <w:r>
          <w:instrText xml:space="preserve">PAGEREF 1817 \h</w:instrText>
        </w:r>
        <w:r>
          <w:fldChar w:fldCharType="end"/>
        </w:r>
      </w:hyperlink>
    </w:p>
    <w:p>
      <w:pPr>
        <w:tabs>
          <w:tab w:val="right" w:leader="dot" w:pos="9062"/>
        </w:tabs>
        <w:ind w:left="440"/>
      </w:pPr>
      <w:hyperlink w:anchor="_Toc1818" w:history="1">
        <w:r>
          <w:rPr>
            <w:rFonts w:ascii="IRNazanin" w:hAnsi="IRNazanin" w:eastAsia="IRNazanin" w:cs="IRNazanin"/>
            <w:color w:val="111111"/>
            <w:sz w:val="22"/>
            <w:szCs w:val="22"/>
            <w:b w:val="0"/>
            <w:bCs w:val="0"/>
            <w:i w:val="0"/>
            <w:iCs w:val="0"/>
          </w:rPr>
          <w:t>•تاریخ کشمیر / تاریخ / فارسی</w:t>
        </w:r>
        <w:r>
          <w:tab/>
        </w:r>
        <w:r>
          <w:fldChar w:fldCharType="begin"/>
        </w:r>
        <w:r>
          <w:instrText xml:space="preserve">PAGEREF 1818 \h</w:instrText>
        </w:r>
        <w:r>
          <w:fldChar w:fldCharType="end"/>
        </w:r>
      </w:hyperlink>
    </w:p>
    <w:p>
      <w:pPr>
        <w:tabs>
          <w:tab w:val="right" w:leader="dot" w:pos="9062"/>
        </w:tabs>
        <w:ind w:left="440"/>
      </w:pPr>
      <w:hyperlink w:anchor="_Toc1819" w:history="1">
        <w:r>
          <w:rPr>
            <w:rFonts w:ascii="IRNazanin" w:hAnsi="IRNazanin" w:eastAsia="IRNazanin" w:cs="IRNazanin"/>
            <w:color w:val="111111"/>
            <w:sz w:val="22"/>
            <w:szCs w:val="22"/>
            <w:b w:val="0"/>
            <w:bCs w:val="0"/>
            <w:i w:val="0"/>
            <w:iCs w:val="0"/>
          </w:rPr>
          <w:t>•تاریخ کشمیر (ترجمه) / تاریخ / فارسی</w:t>
        </w:r>
        <w:r>
          <w:tab/>
        </w:r>
        <w:r>
          <w:fldChar w:fldCharType="begin"/>
        </w:r>
        <w:r>
          <w:instrText xml:space="preserve">PAGEREF 1819 \h</w:instrText>
        </w:r>
        <w:r>
          <w:fldChar w:fldCharType="end"/>
        </w:r>
      </w:hyperlink>
    </w:p>
    <w:p>
      <w:pPr>
        <w:tabs>
          <w:tab w:val="right" w:leader="dot" w:pos="9062"/>
        </w:tabs>
        <w:ind w:left="440"/>
      </w:pPr>
      <w:hyperlink w:anchor="_Toc1820" w:history="1">
        <w:r>
          <w:rPr>
            <w:rFonts w:ascii="IRNazanin" w:hAnsi="IRNazanin" w:eastAsia="IRNazanin" w:cs="IRNazanin"/>
            <w:color w:val="111111"/>
            <w:sz w:val="22"/>
            <w:szCs w:val="22"/>
            <w:b w:val="0"/>
            <w:bCs w:val="0"/>
            <w:i w:val="0"/>
            <w:iCs w:val="0"/>
          </w:rPr>
          <w:t>•تاریخ کشمیر (ترجمه) / تاریخ هند / فارسی</w:t>
        </w:r>
        <w:r>
          <w:tab/>
        </w:r>
        <w:r>
          <w:fldChar w:fldCharType="begin"/>
        </w:r>
        <w:r>
          <w:instrText xml:space="preserve">PAGEREF 1820 \h</w:instrText>
        </w:r>
        <w:r>
          <w:fldChar w:fldCharType="end"/>
        </w:r>
      </w:hyperlink>
    </w:p>
    <w:p>
      <w:pPr>
        <w:tabs>
          <w:tab w:val="right" w:leader="dot" w:pos="9062"/>
        </w:tabs>
        <w:ind w:left="440"/>
      </w:pPr>
      <w:hyperlink w:anchor="_Toc1821" w:history="1">
        <w:r>
          <w:rPr>
            <w:rFonts w:ascii="IRNazanin" w:hAnsi="IRNazanin" w:eastAsia="IRNazanin" w:cs="IRNazanin"/>
            <w:color w:val="111111"/>
            <w:sz w:val="22"/>
            <w:szCs w:val="22"/>
            <w:b w:val="0"/>
            <w:bCs w:val="0"/>
            <w:i w:val="0"/>
            <w:iCs w:val="0"/>
          </w:rPr>
          <w:t>•تاریخ کشیک خانه همایونی / تاریخ / فارسی</w:t>
        </w:r>
        <w:r>
          <w:tab/>
        </w:r>
        <w:r>
          <w:fldChar w:fldCharType="begin"/>
        </w:r>
        <w:r>
          <w:instrText xml:space="preserve">PAGEREF 1821 \h</w:instrText>
        </w:r>
        <w:r>
          <w:fldChar w:fldCharType="end"/>
        </w:r>
      </w:hyperlink>
    </w:p>
    <w:p>
      <w:pPr>
        <w:tabs>
          <w:tab w:val="right" w:leader="dot" w:pos="9062"/>
        </w:tabs>
        <w:ind w:left="440"/>
      </w:pPr>
      <w:hyperlink w:anchor="_Toc1822" w:history="1">
        <w:r>
          <w:rPr>
            <w:rFonts w:ascii="IRNazanin" w:hAnsi="IRNazanin" w:eastAsia="IRNazanin" w:cs="IRNazanin"/>
            <w:color w:val="111111"/>
            <w:sz w:val="22"/>
            <w:szCs w:val="22"/>
            <w:b w:val="0"/>
            <w:bCs w:val="0"/>
            <w:i w:val="0"/>
            <w:iCs w:val="0"/>
          </w:rPr>
          <w:t>•تاریخ کلده و آشور / تاریخ / فارسی</w:t>
        </w:r>
        <w:r>
          <w:tab/>
        </w:r>
        <w:r>
          <w:fldChar w:fldCharType="begin"/>
        </w:r>
        <w:r>
          <w:instrText xml:space="preserve">PAGEREF 1822 \h</w:instrText>
        </w:r>
        <w:r>
          <w:fldChar w:fldCharType="end"/>
        </w:r>
      </w:hyperlink>
    </w:p>
    <w:p>
      <w:pPr>
        <w:tabs>
          <w:tab w:val="right" w:leader="dot" w:pos="9062"/>
        </w:tabs>
        <w:ind w:left="440"/>
      </w:pPr>
      <w:hyperlink w:anchor="_Toc1823" w:history="1">
        <w:r>
          <w:rPr>
            <w:rFonts w:ascii="IRNazanin" w:hAnsi="IRNazanin" w:eastAsia="IRNazanin" w:cs="IRNazanin"/>
            <w:color w:val="111111"/>
            <w:sz w:val="22"/>
            <w:szCs w:val="22"/>
            <w:b w:val="0"/>
            <w:bCs w:val="0"/>
            <w:i w:val="0"/>
            <w:iCs w:val="0"/>
          </w:rPr>
          <w:t>•تاریخ کلکته / تاریخ هند / فارسی</w:t>
        </w:r>
        <w:r>
          <w:tab/>
        </w:r>
        <w:r>
          <w:fldChar w:fldCharType="begin"/>
        </w:r>
        <w:r>
          <w:instrText xml:space="preserve">PAGEREF 1823 \h</w:instrText>
        </w:r>
        <w:r>
          <w:fldChar w:fldCharType="end"/>
        </w:r>
      </w:hyperlink>
    </w:p>
    <w:p>
      <w:pPr>
        <w:tabs>
          <w:tab w:val="right" w:leader="dot" w:pos="9062"/>
        </w:tabs>
        <w:ind w:left="440"/>
      </w:pPr>
      <w:hyperlink w:anchor="_Toc1824" w:history="1">
        <w:r>
          <w:rPr>
            <w:rFonts w:ascii="IRNazanin" w:hAnsi="IRNazanin" w:eastAsia="IRNazanin" w:cs="IRNazanin"/>
            <w:color w:val="111111"/>
            <w:sz w:val="22"/>
            <w:szCs w:val="22"/>
            <w:b w:val="0"/>
            <w:bCs w:val="0"/>
            <w:i w:val="0"/>
            <w:iCs w:val="0"/>
          </w:rPr>
          <w:t>•التاريخ الكنایسی / تاریخ / عربی</w:t>
        </w:r>
        <w:r>
          <w:tab/>
        </w:r>
        <w:r>
          <w:fldChar w:fldCharType="begin"/>
        </w:r>
        <w:r>
          <w:instrText xml:space="preserve">PAGEREF 1824 \h</w:instrText>
        </w:r>
        <w:r>
          <w:fldChar w:fldCharType="end"/>
        </w:r>
      </w:hyperlink>
    </w:p>
    <w:p>
      <w:pPr>
        <w:tabs>
          <w:tab w:val="right" w:leader="dot" w:pos="9062"/>
        </w:tabs>
        <w:ind w:left="440"/>
      </w:pPr>
      <w:hyperlink w:anchor="_Toc1825" w:history="1">
        <w:r>
          <w:rPr>
            <w:rFonts w:ascii="IRNazanin" w:hAnsi="IRNazanin" w:eastAsia="IRNazanin" w:cs="IRNazanin"/>
            <w:color w:val="111111"/>
            <w:sz w:val="22"/>
            <w:szCs w:val="22"/>
            <w:b w:val="0"/>
            <w:bCs w:val="0"/>
            <w:i w:val="0"/>
            <w:iCs w:val="0"/>
          </w:rPr>
          <w:t>•تاریخ کوبند سنهکی / تاریخ / فارسی</w:t>
        </w:r>
        <w:r>
          <w:tab/>
        </w:r>
        <w:r>
          <w:fldChar w:fldCharType="begin"/>
        </w:r>
        <w:r>
          <w:instrText xml:space="preserve">PAGEREF 1825 \h</w:instrText>
        </w:r>
        <w:r>
          <w:fldChar w:fldCharType="end"/>
        </w:r>
      </w:hyperlink>
    </w:p>
    <w:p>
      <w:pPr>
        <w:tabs>
          <w:tab w:val="right" w:leader="dot" w:pos="9062"/>
        </w:tabs>
        <w:ind w:left="440"/>
      </w:pPr>
      <w:hyperlink w:anchor="_Toc1826" w:history="1">
        <w:r>
          <w:rPr>
            <w:rFonts w:ascii="IRNazanin" w:hAnsi="IRNazanin" w:eastAsia="IRNazanin" w:cs="IRNazanin"/>
            <w:color w:val="111111"/>
            <w:sz w:val="22"/>
            <w:szCs w:val="22"/>
            <w:b w:val="0"/>
            <w:bCs w:val="0"/>
            <w:i w:val="0"/>
            <w:iCs w:val="0"/>
          </w:rPr>
          <w:t>•تاریخ گزیده = شرفنامه / تاریخ جهان / فارسی</w:t>
        </w:r>
        <w:r>
          <w:tab/>
        </w:r>
        <w:r>
          <w:fldChar w:fldCharType="begin"/>
        </w:r>
        <w:r>
          <w:instrText xml:space="preserve">PAGEREF 1826 \h</w:instrText>
        </w:r>
        <w:r>
          <w:fldChar w:fldCharType="end"/>
        </w:r>
      </w:hyperlink>
    </w:p>
    <w:p>
      <w:pPr>
        <w:tabs>
          <w:tab w:val="right" w:leader="dot" w:pos="9062"/>
        </w:tabs>
        <w:ind w:left="440"/>
      </w:pPr>
      <w:hyperlink w:anchor="_Toc1827" w:history="1">
        <w:r>
          <w:rPr>
            <w:rFonts w:ascii="IRNazanin" w:hAnsi="IRNazanin" w:eastAsia="IRNazanin" w:cs="IRNazanin"/>
            <w:color w:val="111111"/>
            <w:sz w:val="22"/>
            <w:szCs w:val="22"/>
            <w:b w:val="0"/>
            <w:bCs w:val="0"/>
            <w:i w:val="0"/>
            <w:iCs w:val="0"/>
          </w:rPr>
          <w:t>•تاریخ گزیده در «اهل التفسير و الحديث و الفقه و الحكمة و النجوم» (منتخب) / تاریخ</w:t>
        </w:r>
        <w:r>
          <w:tab/>
        </w:r>
        <w:r>
          <w:fldChar w:fldCharType="begin"/>
        </w:r>
        <w:r>
          <w:instrText xml:space="preserve">PAGEREF 1827 \h</w:instrText>
        </w:r>
        <w:r>
          <w:fldChar w:fldCharType="end"/>
        </w:r>
      </w:hyperlink>
    </w:p>
    <w:p>
      <w:pPr>
        <w:tabs>
          <w:tab w:val="right" w:leader="dot" w:pos="9062"/>
        </w:tabs>
        <w:ind w:left="440"/>
      </w:pPr>
      <w:hyperlink w:anchor="_Toc1828" w:history="1">
        <w:r>
          <w:rPr>
            <w:rFonts w:ascii="IRNazanin" w:hAnsi="IRNazanin" w:eastAsia="IRNazanin" w:cs="IRNazanin"/>
            <w:color w:val="111111"/>
            <w:sz w:val="22"/>
            <w:szCs w:val="22"/>
            <w:b w:val="0"/>
            <w:bCs w:val="0"/>
            <w:i w:val="0"/>
            <w:iCs w:val="0"/>
          </w:rPr>
          <w:t>•تاريخ گل / تاریخ / فارسی</w:t>
        </w:r>
        <w:r>
          <w:tab/>
        </w:r>
        <w:r>
          <w:fldChar w:fldCharType="begin"/>
        </w:r>
        <w:r>
          <w:instrText xml:space="preserve">PAGEREF 1828 \h</w:instrText>
        </w:r>
        <w:r>
          <w:fldChar w:fldCharType="end"/>
        </w:r>
      </w:hyperlink>
    </w:p>
    <w:p>
      <w:pPr>
        <w:tabs>
          <w:tab w:val="right" w:leader="dot" w:pos="9062"/>
        </w:tabs>
        <w:ind w:left="440"/>
      </w:pPr>
      <w:hyperlink w:anchor="_Toc1829" w:history="1">
        <w:r>
          <w:rPr>
            <w:rFonts w:ascii="IRNazanin" w:hAnsi="IRNazanin" w:eastAsia="IRNazanin" w:cs="IRNazanin"/>
            <w:color w:val="111111"/>
            <w:sz w:val="22"/>
            <w:szCs w:val="22"/>
            <w:b w:val="0"/>
            <w:bCs w:val="0"/>
            <w:i w:val="0"/>
            <w:iCs w:val="0"/>
          </w:rPr>
          <w:t>•تاریخ گیتی گشا / تاریخ ایران / فارسی</w:t>
        </w:r>
        <w:r>
          <w:tab/>
        </w:r>
        <w:r>
          <w:fldChar w:fldCharType="begin"/>
        </w:r>
        <w:r>
          <w:instrText xml:space="preserve">PAGEREF 1829 \h</w:instrText>
        </w:r>
        <w:r>
          <w:fldChar w:fldCharType="end"/>
        </w:r>
      </w:hyperlink>
    </w:p>
    <w:p>
      <w:pPr>
        <w:tabs>
          <w:tab w:val="right" w:leader="dot" w:pos="9062"/>
        </w:tabs>
        <w:ind w:left="440"/>
      </w:pPr>
      <w:hyperlink w:anchor="_Toc1830" w:history="1">
        <w:r>
          <w:rPr>
            <w:rFonts w:ascii="IRNazanin" w:hAnsi="IRNazanin" w:eastAsia="IRNazanin" w:cs="IRNazanin"/>
            <w:color w:val="111111"/>
            <w:sz w:val="22"/>
            <w:szCs w:val="22"/>
            <w:b w:val="0"/>
            <w:bCs w:val="0"/>
            <w:i w:val="0"/>
            <w:iCs w:val="0"/>
          </w:rPr>
          <w:t>• تاریخ گیلان / تاریخ ایران / فارسی</w:t>
        </w:r>
        <w:r>
          <w:tab/>
        </w:r>
        <w:r>
          <w:fldChar w:fldCharType="begin"/>
        </w:r>
        <w:r>
          <w:instrText xml:space="preserve">PAGEREF 1830 \h</w:instrText>
        </w:r>
        <w:r>
          <w:fldChar w:fldCharType="end"/>
        </w:r>
      </w:hyperlink>
    </w:p>
    <w:p>
      <w:pPr>
        <w:tabs>
          <w:tab w:val="right" w:leader="dot" w:pos="9062"/>
        </w:tabs>
        <w:ind w:left="440"/>
      </w:pPr>
      <w:hyperlink w:anchor="_Toc1831" w:history="1">
        <w:r>
          <w:rPr>
            <w:rFonts w:ascii="IRNazanin" w:hAnsi="IRNazanin" w:eastAsia="IRNazanin" w:cs="IRNazanin"/>
            <w:color w:val="111111"/>
            <w:sz w:val="22"/>
            <w:szCs w:val="22"/>
            <w:b w:val="0"/>
            <w:bCs w:val="0"/>
            <w:i w:val="0"/>
            <w:iCs w:val="0"/>
          </w:rPr>
          <w:t>• تاریخ گیلان / تاریخ ایران / فارسی</w:t>
        </w:r>
        <w:r>
          <w:tab/>
        </w:r>
        <w:r>
          <w:fldChar w:fldCharType="begin"/>
        </w:r>
        <w:r>
          <w:instrText xml:space="preserve">PAGEREF 1831 \h</w:instrText>
        </w:r>
        <w:r>
          <w:fldChar w:fldCharType="end"/>
        </w:r>
      </w:hyperlink>
    </w:p>
    <w:p>
      <w:pPr>
        <w:tabs>
          <w:tab w:val="right" w:leader="dot" w:pos="9062"/>
        </w:tabs>
        <w:ind w:left="440"/>
      </w:pPr>
      <w:hyperlink w:anchor="_Toc1832" w:history="1">
        <w:r>
          <w:rPr>
            <w:rFonts w:ascii="IRNazanin" w:hAnsi="IRNazanin" w:eastAsia="IRNazanin" w:cs="IRNazanin"/>
            <w:color w:val="111111"/>
            <w:sz w:val="22"/>
            <w:szCs w:val="22"/>
            <w:b w:val="0"/>
            <w:bCs w:val="0"/>
            <w:i w:val="0"/>
            <w:iCs w:val="0"/>
          </w:rPr>
          <w:t>• تاریخ گیوم امپراطور آلمان / تاریخ پادشاهان / فارسی</w:t>
        </w:r>
        <w:r>
          <w:tab/>
        </w:r>
        <w:r>
          <w:fldChar w:fldCharType="begin"/>
        </w:r>
        <w:r>
          <w:instrText xml:space="preserve">PAGEREF 1832 \h</w:instrText>
        </w:r>
        <w:r>
          <w:fldChar w:fldCharType="end"/>
        </w:r>
      </w:hyperlink>
    </w:p>
    <w:p>
      <w:pPr>
        <w:tabs>
          <w:tab w:val="right" w:leader="dot" w:pos="9062"/>
        </w:tabs>
        <w:ind w:left="440"/>
      </w:pPr>
      <w:hyperlink w:anchor="_Toc1833" w:history="1">
        <w:r>
          <w:rPr>
            <w:rFonts w:ascii="IRNazanin" w:hAnsi="IRNazanin" w:eastAsia="IRNazanin" w:cs="IRNazanin"/>
            <w:color w:val="111111"/>
            <w:sz w:val="22"/>
            <w:szCs w:val="22"/>
            <w:b w:val="0"/>
            <w:bCs w:val="0"/>
            <w:i w:val="0"/>
            <w:iCs w:val="0"/>
          </w:rPr>
          <w:t>• تاریخ لامه فلوریه / تاریخ پادشاهان / فارسی</w:t>
        </w:r>
        <w:r>
          <w:tab/>
        </w:r>
        <w:r>
          <w:fldChar w:fldCharType="begin"/>
        </w:r>
        <w:r>
          <w:instrText xml:space="preserve">PAGEREF 1833 \h</w:instrText>
        </w:r>
        <w:r>
          <w:fldChar w:fldCharType="end"/>
        </w:r>
      </w:hyperlink>
    </w:p>
    <w:p>
      <w:pPr>
        <w:tabs>
          <w:tab w:val="right" w:leader="dot" w:pos="9062"/>
        </w:tabs>
        <w:ind w:left="440"/>
      </w:pPr>
      <w:hyperlink w:anchor="_Toc1834" w:history="1">
        <w:r>
          <w:rPr>
            <w:rFonts w:ascii="IRNazanin" w:hAnsi="IRNazanin" w:eastAsia="IRNazanin" w:cs="IRNazanin"/>
            <w:color w:val="111111"/>
            <w:sz w:val="22"/>
            <w:szCs w:val="22"/>
            <w:b w:val="0"/>
            <w:bCs w:val="0"/>
            <w:i w:val="0"/>
            <w:iCs w:val="0"/>
          </w:rPr>
          <w:t>•تاریخ لطفعلی خان زند = تاریخ زندیه / تاریخ ایران / فارسی</w:t>
        </w:r>
        <w:r>
          <w:tab/>
        </w:r>
        <w:r>
          <w:fldChar w:fldCharType="begin"/>
        </w:r>
        <w:r>
          <w:instrText xml:space="preserve">PAGEREF 1834 \h</w:instrText>
        </w:r>
        <w:r>
          <w:fldChar w:fldCharType="end"/>
        </w:r>
      </w:hyperlink>
    </w:p>
    <w:p>
      <w:pPr>
        <w:tabs>
          <w:tab w:val="right" w:leader="dot" w:pos="9062"/>
        </w:tabs>
        <w:ind w:left="440"/>
      </w:pPr>
      <w:hyperlink w:anchor="_Toc1835" w:history="1">
        <w:r>
          <w:rPr>
            <w:rFonts w:ascii="IRNazanin" w:hAnsi="IRNazanin" w:eastAsia="IRNazanin" w:cs="IRNazanin"/>
            <w:color w:val="111111"/>
            <w:sz w:val="22"/>
            <w:szCs w:val="22"/>
            <w:b w:val="0"/>
            <w:bCs w:val="0"/>
            <w:i w:val="0"/>
            <w:iCs w:val="0"/>
          </w:rPr>
          <w:t>•تاریخ لوئی چهاردهم / تاریخ / فارسی</w:t>
        </w:r>
        <w:r>
          <w:tab/>
        </w:r>
        <w:r>
          <w:fldChar w:fldCharType="begin"/>
        </w:r>
        <w:r>
          <w:instrText xml:space="preserve">PAGEREF 1835 \h</w:instrText>
        </w:r>
        <w:r>
          <w:fldChar w:fldCharType="end"/>
        </w:r>
      </w:hyperlink>
    </w:p>
    <w:p>
      <w:pPr>
        <w:tabs>
          <w:tab w:val="right" w:leader="dot" w:pos="9062"/>
        </w:tabs>
        <w:ind w:left="440"/>
      </w:pPr>
      <w:hyperlink w:anchor="_Toc1836" w:history="1">
        <w:r>
          <w:rPr>
            <w:rFonts w:ascii="IRNazanin" w:hAnsi="IRNazanin" w:eastAsia="IRNazanin" w:cs="IRNazanin"/>
            <w:color w:val="111111"/>
            <w:sz w:val="22"/>
            <w:szCs w:val="22"/>
            <w:b w:val="0"/>
            <w:bCs w:val="0"/>
            <w:i w:val="0"/>
            <w:iCs w:val="0"/>
          </w:rPr>
          <w:t>• تاریخ لوئی چهاردهم / تاریخ / فارسی</w:t>
        </w:r>
        <w:r>
          <w:tab/>
        </w:r>
        <w:r>
          <w:fldChar w:fldCharType="begin"/>
        </w:r>
        <w:r>
          <w:instrText xml:space="preserve">PAGEREF 1836 \h</w:instrText>
        </w:r>
        <w:r>
          <w:fldChar w:fldCharType="end"/>
        </w:r>
      </w:hyperlink>
    </w:p>
    <w:p>
      <w:pPr>
        <w:tabs>
          <w:tab w:val="right" w:leader="dot" w:pos="9062"/>
        </w:tabs>
        <w:ind w:left="440"/>
      </w:pPr>
      <w:hyperlink w:anchor="_Toc1837" w:history="1">
        <w:r>
          <w:rPr>
            <w:rFonts w:ascii="IRNazanin" w:hAnsi="IRNazanin" w:eastAsia="IRNazanin" w:cs="IRNazanin"/>
            <w:color w:val="111111"/>
            <w:sz w:val="22"/>
            <w:szCs w:val="22"/>
            <w:b w:val="0"/>
            <w:bCs w:val="0"/>
            <w:i w:val="0"/>
            <w:iCs w:val="0"/>
          </w:rPr>
          <w:t>•تاریخ مجدول / تاریخ پادشاهان / عربی</w:t>
        </w:r>
        <w:r>
          <w:tab/>
        </w:r>
        <w:r>
          <w:fldChar w:fldCharType="begin"/>
        </w:r>
        <w:r>
          <w:instrText xml:space="preserve">PAGEREF 1837 \h</w:instrText>
        </w:r>
        <w:r>
          <w:fldChar w:fldCharType="end"/>
        </w:r>
      </w:hyperlink>
    </w:p>
    <w:p>
      <w:pPr>
        <w:tabs>
          <w:tab w:val="right" w:leader="dot" w:pos="9062"/>
        </w:tabs>
        <w:ind w:left="440"/>
      </w:pPr>
      <w:hyperlink w:anchor="_Toc1838" w:history="1">
        <w:r>
          <w:rPr>
            <w:rFonts w:ascii="IRNazanin" w:hAnsi="IRNazanin" w:eastAsia="IRNazanin" w:cs="IRNazanin"/>
            <w:color w:val="111111"/>
            <w:sz w:val="22"/>
            <w:szCs w:val="22"/>
            <w:b w:val="0"/>
            <w:bCs w:val="0"/>
            <w:i w:val="0"/>
            <w:iCs w:val="0"/>
          </w:rPr>
          <w:t>•تاریخ مجدول / تاریخ جهان / فارسی</w:t>
        </w:r>
        <w:r>
          <w:tab/>
        </w:r>
        <w:r>
          <w:fldChar w:fldCharType="begin"/>
        </w:r>
        <w:r>
          <w:instrText xml:space="preserve">PAGEREF 1838 \h</w:instrText>
        </w:r>
        <w:r>
          <w:fldChar w:fldCharType="end"/>
        </w:r>
      </w:hyperlink>
    </w:p>
    <w:p>
      <w:pPr>
        <w:tabs>
          <w:tab w:val="right" w:leader="dot" w:pos="9062"/>
        </w:tabs>
        <w:ind w:left="440"/>
      </w:pPr>
      <w:hyperlink w:anchor="_Toc1839" w:history="1">
        <w:r>
          <w:rPr>
            <w:rFonts w:ascii="IRNazanin" w:hAnsi="IRNazanin" w:eastAsia="IRNazanin" w:cs="IRNazanin"/>
            <w:color w:val="111111"/>
            <w:sz w:val="22"/>
            <w:szCs w:val="22"/>
            <w:b w:val="0"/>
            <w:bCs w:val="0"/>
            <w:i w:val="0"/>
            <w:iCs w:val="0"/>
          </w:rPr>
          <w:t>•تاریخ محاربات حضرت محمد / تاریخ پیامبر اکرم(صلی الله علیه وآله وسلم)/ فارسی</w:t>
        </w:r>
        <w:r>
          <w:tab/>
        </w:r>
        <w:r>
          <w:fldChar w:fldCharType="begin"/>
        </w:r>
        <w:r>
          <w:instrText xml:space="preserve">PAGEREF 1839 \h</w:instrText>
        </w:r>
        <w:r>
          <w:fldChar w:fldCharType="end"/>
        </w:r>
      </w:hyperlink>
    </w:p>
    <w:p>
      <w:pPr>
        <w:tabs>
          <w:tab w:val="right" w:leader="dot" w:pos="9062"/>
        </w:tabs>
        <w:ind w:left="440"/>
      </w:pPr>
      <w:hyperlink w:anchor="_Toc1840" w:history="1">
        <w:r>
          <w:rPr>
            <w:rFonts w:ascii="IRNazanin" w:hAnsi="IRNazanin" w:eastAsia="IRNazanin" w:cs="IRNazanin"/>
            <w:color w:val="111111"/>
            <w:sz w:val="22"/>
            <w:szCs w:val="22"/>
            <w:b w:val="0"/>
            <w:bCs w:val="0"/>
            <w:i w:val="0"/>
            <w:iCs w:val="0"/>
          </w:rPr>
          <w:t>•تاریخ محاربات فرانسه / تاریخ جهان / فارسی</w:t>
        </w:r>
        <w:r>
          <w:tab/>
        </w:r>
        <w:r>
          <w:fldChar w:fldCharType="begin"/>
        </w:r>
        <w:r>
          <w:instrText xml:space="preserve">PAGEREF 1840 \h</w:instrText>
        </w:r>
        <w:r>
          <w:fldChar w:fldCharType="end"/>
        </w:r>
      </w:hyperlink>
    </w:p>
    <w:p>
      <w:pPr>
        <w:tabs>
          <w:tab w:val="right" w:leader="dot" w:pos="9062"/>
        </w:tabs>
        <w:ind w:left="440"/>
      </w:pPr>
      <w:hyperlink w:anchor="_Toc1841" w:history="1">
        <w:r>
          <w:rPr>
            <w:rFonts w:ascii="IRNazanin" w:hAnsi="IRNazanin" w:eastAsia="IRNazanin" w:cs="IRNazanin"/>
            <w:color w:val="111111"/>
            <w:sz w:val="22"/>
            <w:szCs w:val="22"/>
            <w:b w:val="0"/>
            <w:bCs w:val="0"/>
            <w:i w:val="0"/>
            <w:iCs w:val="0"/>
          </w:rPr>
          <w:t>•تاریخ محمدی = تاریخ دوازده امام = تاریخ رشیدی = فهرست ائمه = تاريخ الاولاد الحضرة المصطفوی = معرفت نامه / تاریخ معصومین، شعر / فارسی</w:t>
        </w:r>
        <w:r>
          <w:tab/>
        </w:r>
        <w:r>
          <w:fldChar w:fldCharType="begin"/>
        </w:r>
        <w:r>
          <w:instrText xml:space="preserve">PAGEREF 1841 \h</w:instrText>
        </w:r>
        <w:r>
          <w:fldChar w:fldCharType="end"/>
        </w:r>
      </w:hyperlink>
    </w:p>
    <w:p>
      <w:pPr>
        <w:tabs>
          <w:tab w:val="right" w:leader="dot" w:pos="9062"/>
        </w:tabs>
        <w:ind w:left="440"/>
      </w:pPr>
      <w:hyperlink w:anchor="_Toc1842" w:history="1">
        <w:r>
          <w:rPr>
            <w:rFonts w:ascii="IRNazanin" w:hAnsi="IRNazanin" w:eastAsia="IRNazanin" w:cs="IRNazanin"/>
            <w:color w:val="111111"/>
            <w:sz w:val="22"/>
            <w:szCs w:val="22"/>
            <w:b w:val="0"/>
            <w:bCs w:val="0"/>
            <w:i w:val="0"/>
            <w:iCs w:val="0"/>
          </w:rPr>
          <w:t>•تاریخ محمدی (منظوم) / تاریخ پیامبران، شعر / فارسی</w:t>
        </w:r>
        <w:r>
          <w:tab/>
        </w:r>
        <w:r>
          <w:fldChar w:fldCharType="begin"/>
        </w:r>
        <w:r>
          <w:instrText xml:space="preserve">PAGEREF 1842 \h</w:instrText>
        </w:r>
        <w:r>
          <w:fldChar w:fldCharType="end"/>
        </w:r>
      </w:hyperlink>
    </w:p>
    <w:p>
      <w:pPr>
        <w:tabs>
          <w:tab w:val="right" w:leader="dot" w:pos="9062"/>
        </w:tabs>
        <w:ind w:left="440"/>
      </w:pPr>
      <w:hyperlink w:anchor="_Toc1843" w:history="1">
        <w:r>
          <w:rPr>
            <w:rFonts w:ascii="IRNazanin" w:hAnsi="IRNazanin" w:eastAsia="IRNazanin" w:cs="IRNazanin"/>
            <w:color w:val="111111"/>
            <w:sz w:val="22"/>
            <w:szCs w:val="22"/>
            <w:b w:val="0"/>
            <w:bCs w:val="0"/>
            <w:i w:val="0"/>
            <w:iCs w:val="0"/>
          </w:rPr>
          <w:t>• تاریخ محمود شاهی / تاریخ عمومی / فارسی</w:t>
        </w:r>
        <w:r>
          <w:tab/>
        </w:r>
        <w:r>
          <w:fldChar w:fldCharType="begin"/>
        </w:r>
        <w:r>
          <w:instrText xml:space="preserve">PAGEREF 1843 \h</w:instrText>
        </w:r>
        <w:r>
          <w:fldChar w:fldCharType="end"/>
        </w:r>
      </w:hyperlink>
    </w:p>
    <w:p>
      <w:pPr>
        <w:tabs>
          <w:tab w:val="right" w:leader="dot" w:pos="9062"/>
        </w:tabs>
        <w:ind w:left="440"/>
      </w:pPr>
      <w:hyperlink w:anchor="_Toc1844" w:history="1">
        <w:r>
          <w:rPr>
            <w:rFonts w:ascii="IRNazanin" w:hAnsi="IRNazanin" w:eastAsia="IRNazanin" w:cs="IRNazanin"/>
            <w:color w:val="111111"/>
            <w:sz w:val="22"/>
            <w:szCs w:val="22"/>
            <w:b w:val="0"/>
            <w:bCs w:val="0"/>
            <w:i w:val="0"/>
            <w:iCs w:val="0"/>
          </w:rPr>
          <w:t>• تاریخ مختار (منظوم) / شعر، داستان / فارسی</w:t>
        </w:r>
        <w:r>
          <w:tab/>
        </w:r>
        <w:r>
          <w:fldChar w:fldCharType="begin"/>
        </w:r>
        <w:r>
          <w:instrText xml:space="preserve">PAGEREF 1844 \h</w:instrText>
        </w:r>
        <w:r>
          <w:fldChar w:fldCharType="end"/>
        </w:r>
      </w:hyperlink>
    </w:p>
    <w:p>
      <w:pPr>
        <w:tabs>
          <w:tab w:val="right" w:leader="dot" w:pos="9062"/>
        </w:tabs>
        <w:ind w:left="440"/>
      </w:pPr>
      <w:hyperlink w:anchor="_Toc1845" w:history="1">
        <w:r>
          <w:rPr>
            <w:rFonts w:ascii="IRNazanin" w:hAnsi="IRNazanin" w:eastAsia="IRNazanin" w:cs="IRNazanin"/>
            <w:color w:val="111111"/>
            <w:sz w:val="22"/>
            <w:szCs w:val="22"/>
            <w:b w:val="0"/>
            <w:bCs w:val="0"/>
            <w:i w:val="0"/>
            <w:iCs w:val="0"/>
          </w:rPr>
          <w:t>•تاریخ مختصر / تاریخ / فارسی</w:t>
        </w:r>
        <w:r>
          <w:tab/>
        </w:r>
        <w:r>
          <w:fldChar w:fldCharType="begin"/>
        </w:r>
        <w:r>
          <w:instrText xml:space="preserve">PAGEREF 1845 \h</w:instrText>
        </w:r>
        <w:r>
          <w:fldChar w:fldCharType="end"/>
        </w:r>
      </w:hyperlink>
    </w:p>
    <w:p>
      <w:pPr>
        <w:tabs>
          <w:tab w:val="right" w:leader="dot" w:pos="9062"/>
        </w:tabs>
        <w:ind w:left="440"/>
      </w:pPr>
      <w:hyperlink w:anchor="_Toc1846" w:history="1">
        <w:r>
          <w:rPr>
            <w:rFonts w:ascii="IRNazanin" w:hAnsi="IRNazanin" w:eastAsia="IRNazanin" w:cs="IRNazanin"/>
            <w:color w:val="111111"/>
            <w:sz w:val="22"/>
            <w:szCs w:val="22"/>
            <w:b w:val="0"/>
            <w:bCs w:val="0"/>
            <w:i w:val="0"/>
            <w:iCs w:val="0"/>
          </w:rPr>
          <w:t>•تاریخ مختصر احزاب سیاسی، انقراض  قاجاریه / تاریخ ایران / فارسی</w:t>
        </w:r>
        <w:r>
          <w:tab/>
        </w:r>
        <w:r>
          <w:fldChar w:fldCharType="begin"/>
        </w:r>
        <w:r>
          <w:instrText xml:space="preserve">PAGEREF 1846 \h</w:instrText>
        </w:r>
        <w:r>
          <w:fldChar w:fldCharType="end"/>
        </w:r>
      </w:hyperlink>
    </w:p>
    <w:p>
      <w:pPr>
        <w:tabs>
          <w:tab w:val="right" w:leader="dot" w:pos="9062"/>
        </w:tabs>
        <w:ind w:left="440"/>
      </w:pPr>
      <w:hyperlink w:anchor="_Toc1847" w:history="1">
        <w:r>
          <w:rPr>
            <w:rFonts w:ascii="IRNazanin" w:hAnsi="IRNazanin" w:eastAsia="IRNazanin" w:cs="IRNazanin"/>
            <w:color w:val="111111"/>
            <w:sz w:val="22"/>
            <w:szCs w:val="22"/>
            <w:b w:val="0"/>
            <w:bCs w:val="0"/>
            <w:i w:val="0"/>
            <w:iCs w:val="0"/>
          </w:rPr>
          <w:t>•تاریخ مختصر ادبیات ایران / ادبیات / فارسی</w:t>
        </w:r>
        <w:r>
          <w:tab/>
        </w:r>
        <w:r>
          <w:fldChar w:fldCharType="begin"/>
        </w:r>
        <w:r>
          <w:instrText xml:space="preserve">PAGEREF 1847 \h</w:instrText>
        </w:r>
        <w:r>
          <w:fldChar w:fldCharType="end"/>
        </w:r>
      </w:hyperlink>
    </w:p>
    <w:p>
      <w:pPr>
        <w:tabs>
          <w:tab w:val="right" w:leader="dot" w:pos="9062"/>
        </w:tabs>
        <w:ind w:left="440"/>
      </w:pPr>
      <w:hyperlink w:anchor="_Toc1848" w:history="1">
        <w:r>
          <w:rPr>
            <w:rFonts w:ascii="IRNazanin" w:hAnsi="IRNazanin" w:eastAsia="IRNazanin" w:cs="IRNazanin"/>
            <w:color w:val="111111"/>
            <w:sz w:val="22"/>
            <w:szCs w:val="22"/>
            <w:b w:val="0"/>
            <w:bCs w:val="0"/>
            <w:i w:val="0"/>
            <w:iCs w:val="0"/>
          </w:rPr>
          <w:t>• تاریخ مختصر اسلام / تاریخ اسلام / فارسی</w:t>
        </w:r>
        <w:r>
          <w:tab/>
        </w:r>
        <w:r>
          <w:fldChar w:fldCharType="begin"/>
        </w:r>
        <w:r>
          <w:instrText xml:space="preserve">PAGEREF 1848 \h</w:instrText>
        </w:r>
        <w:r>
          <w:fldChar w:fldCharType="end"/>
        </w:r>
      </w:hyperlink>
    </w:p>
    <w:p>
      <w:pPr>
        <w:tabs>
          <w:tab w:val="right" w:leader="dot" w:pos="9062"/>
        </w:tabs>
        <w:ind w:left="440"/>
      </w:pPr>
      <w:hyperlink w:anchor="_Toc1849" w:history="1">
        <w:r>
          <w:rPr>
            <w:rFonts w:ascii="IRNazanin" w:hAnsi="IRNazanin" w:eastAsia="IRNazanin" w:cs="IRNazanin"/>
            <w:color w:val="111111"/>
            <w:sz w:val="22"/>
            <w:szCs w:val="22"/>
            <w:b w:val="0"/>
            <w:bCs w:val="0"/>
            <w:i w:val="0"/>
            <w:iCs w:val="0"/>
          </w:rPr>
          <w:t>•تاریخ مختصر اسلام / تاریخ اسلام / فارسی</w:t>
        </w:r>
        <w:r>
          <w:tab/>
        </w:r>
        <w:r>
          <w:fldChar w:fldCharType="begin"/>
        </w:r>
        <w:r>
          <w:instrText xml:space="preserve">PAGEREF 1849 \h</w:instrText>
        </w:r>
        <w:r>
          <w:fldChar w:fldCharType="end"/>
        </w:r>
      </w:hyperlink>
    </w:p>
    <w:p>
      <w:pPr>
        <w:tabs>
          <w:tab w:val="right" w:leader="dot" w:pos="9062"/>
        </w:tabs>
        <w:ind w:left="440"/>
      </w:pPr>
      <w:hyperlink w:anchor="_Toc1850" w:history="1">
        <w:r>
          <w:rPr>
            <w:rFonts w:ascii="IRNazanin" w:hAnsi="IRNazanin" w:eastAsia="IRNazanin" w:cs="IRNazanin"/>
            <w:color w:val="111111"/>
            <w:sz w:val="22"/>
            <w:szCs w:val="22"/>
            <w:b w:val="0"/>
            <w:bCs w:val="0"/>
            <w:i w:val="0"/>
            <w:iCs w:val="0"/>
          </w:rPr>
          <w:t>•تاریخ مختصر بغداد / تاریخ / عربی</w:t>
        </w:r>
        <w:r>
          <w:tab/>
        </w:r>
        <w:r>
          <w:fldChar w:fldCharType="begin"/>
        </w:r>
        <w:r>
          <w:instrText xml:space="preserve">PAGEREF 1850 \h</w:instrText>
        </w:r>
        <w:r>
          <w:fldChar w:fldCharType="end"/>
        </w:r>
      </w:hyperlink>
    </w:p>
    <w:p>
      <w:pPr>
        <w:tabs>
          <w:tab w:val="right" w:leader="dot" w:pos="9062"/>
        </w:tabs>
        <w:ind w:left="440"/>
      </w:pPr>
      <w:hyperlink w:anchor="_Toc1851" w:history="1">
        <w:r>
          <w:rPr>
            <w:rFonts w:ascii="IRNazanin" w:hAnsi="IRNazanin" w:eastAsia="IRNazanin" w:cs="IRNazanin"/>
            <w:color w:val="111111"/>
            <w:sz w:val="22"/>
            <w:szCs w:val="22"/>
            <w:b w:val="0"/>
            <w:bCs w:val="0"/>
            <w:i w:val="0"/>
            <w:iCs w:val="0"/>
          </w:rPr>
          <w:t>•تاریخ مختصر پطر و روسیه / تاریخ جهان / فارسی</w:t>
        </w:r>
        <w:r>
          <w:tab/>
        </w:r>
        <w:r>
          <w:fldChar w:fldCharType="begin"/>
        </w:r>
        <w:r>
          <w:instrText xml:space="preserve">PAGEREF 1851 \h</w:instrText>
        </w:r>
        <w:r>
          <w:fldChar w:fldCharType="end"/>
        </w:r>
      </w:hyperlink>
    </w:p>
    <w:p>
      <w:pPr>
        <w:tabs>
          <w:tab w:val="right" w:leader="dot" w:pos="9062"/>
        </w:tabs>
        <w:ind w:left="440"/>
      </w:pPr>
      <w:hyperlink w:anchor="_Toc1852" w:history="1">
        <w:r>
          <w:rPr>
            <w:rFonts w:ascii="IRNazanin" w:hAnsi="IRNazanin" w:eastAsia="IRNazanin" w:cs="IRNazanin"/>
            <w:color w:val="111111"/>
            <w:sz w:val="22"/>
            <w:szCs w:val="22"/>
            <w:b w:val="0"/>
            <w:bCs w:val="0"/>
            <w:i w:val="0"/>
            <w:iCs w:val="0"/>
          </w:rPr>
          <w:t>• تاریخ مختصر جهان / تاریخ جهان / فارسی</w:t>
        </w:r>
        <w:r>
          <w:tab/>
        </w:r>
        <w:r>
          <w:fldChar w:fldCharType="begin"/>
        </w:r>
        <w:r>
          <w:instrText xml:space="preserve">PAGEREF 1852 \h</w:instrText>
        </w:r>
        <w:r>
          <w:fldChar w:fldCharType="end"/>
        </w:r>
      </w:hyperlink>
    </w:p>
    <w:p>
      <w:pPr>
        <w:tabs>
          <w:tab w:val="right" w:leader="dot" w:pos="9062"/>
        </w:tabs>
        <w:ind w:left="440"/>
      </w:pPr>
      <w:hyperlink w:anchor="_Toc1853" w:history="1">
        <w:r>
          <w:rPr>
            <w:rFonts w:ascii="IRNazanin" w:hAnsi="IRNazanin" w:eastAsia="IRNazanin" w:cs="IRNazanin"/>
            <w:color w:val="111111"/>
            <w:sz w:val="22"/>
            <w:szCs w:val="22"/>
            <w:b w:val="0"/>
            <w:bCs w:val="0"/>
            <w:i w:val="0"/>
            <w:iCs w:val="0"/>
          </w:rPr>
          <w:t>•تاریخ مختصر دزفول / تاریخ / فارسی</w:t>
        </w:r>
        <w:r>
          <w:tab/>
        </w:r>
        <w:r>
          <w:fldChar w:fldCharType="begin"/>
        </w:r>
        <w:r>
          <w:instrText xml:space="preserve">PAGEREF 1853 \h</w:instrText>
        </w:r>
        <w:r>
          <w:fldChar w:fldCharType="end"/>
        </w:r>
      </w:hyperlink>
    </w:p>
    <w:p>
      <w:pPr>
        <w:tabs>
          <w:tab w:val="right" w:leader="dot" w:pos="9062"/>
        </w:tabs>
        <w:ind w:left="440"/>
      </w:pPr>
      <w:hyperlink w:anchor="_Toc1854" w:history="1">
        <w:r>
          <w:rPr>
            <w:rFonts w:ascii="IRNazanin" w:hAnsi="IRNazanin" w:eastAsia="IRNazanin" w:cs="IRNazanin"/>
            <w:color w:val="111111"/>
            <w:sz w:val="22"/>
            <w:szCs w:val="22"/>
            <w:b w:val="0"/>
            <w:bCs w:val="0"/>
            <w:i w:val="0"/>
            <w:iCs w:val="0"/>
          </w:rPr>
          <w:t>•تاریخ مختصر سلاطین قریم / تاریخ / فارسی</w:t>
        </w:r>
        <w:r>
          <w:tab/>
        </w:r>
        <w:r>
          <w:fldChar w:fldCharType="begin"/>
        </w:r>
        <w:r>
          <w:instrText xml:space="preserve">PAGEREF 1854 \h</w:instrText>
        </w:r>
        <w:r>
          <w:fldChar w:fldCharType="end"/>
        </w:r>
      </w:hyperlink>
    </w:p>
    <w:p>
      <w:pPr>
        <w:tabs>
          <w:tab w:val="right" w:leader="dot" w:pos="9062"/>
        </w:tabs>
        <w:ind w:left="440"/>
      </w:pPr>
      <w:hyperlink w:anchor="_Toc1855" w:history="1">
        <w:r>
          <w:rPr>
            <w:rFonts w:ascii="IRNazanin" w:hAnsi="IRNazanin" w:eastAsia="IRNazanin" w:cs="IRNazanin"/>
            <w:color w:val="111111"/>
            <w:sz w:val="22"/>
            <w:szCs w:val="22"/>
            <w:b w:val="0"/>
            <w:bCs w:val="0"/>
            <w:i w:val="0"/>
            <w:iCs w:val="0"/>
          </w:rPr>
          <w:t>•تاريخ المختصر المصنف / تاریخ عربی</w:t>
        </w:r>
        <w:r>
          <w:tab/>
        </w:r>
        <w:r>
          <w:fldChar w:fldCharType="begin"/>
        </w:r>
        <w:r>
          <w:instrText xml:space="preserve">PAGEREF 1855 \h</w:instrText>
        </w:r>
        <w:r>
          <w:fldChar w:fldCharType="end"/>
        </w:r>
      </w:hyperlink>
    </w:p>
    <w:p>
      <w:pPr>
        <w:tabs>
          <w:tab w:val="right" w:leader="dot" w:pos="9062"/>
        </w:tabs>
        <w:ind w:left="440"/>
      </w:pPr>
      <w:hyperlink w:anchor="_Toc1856" w:history="1">
        <w:r>
          <w:rPr>
            <w:rFonts w:ascii="IRNazanin" w:hAnsi="IRNazanin" w:eastAsia="IRNazanin" w:cs="IRNazanin"/>
            <w:color w:val="111111"/>
            <w:sz w:val="22"/>
            <w:szCs w:val="22"/>
            <w:b w:val="0"/>
            <w:bCs w:val="0"/>
            <w:i w:val="0"/>
            <w:iCs w:val="0"/>
          </w:rPr>
          <w:t>•تاریخ مختصر ناپلئون بناپارت / تاریخ پادشاهان / فارسی</w:t>
        </w:r>
        <w:r>
          <w:tab/>
        </w:r>
        <w:r>
          <w:fldChar w:fldCharType="begin"/>
        </w:r>
        <w:r>
          <w:instrText xml:space="preserve">PAGEREF 1856 \h</w:instrText>
        </w:r>
        <w:r>
          <w:fldChar w:fldCharType="end"/>
        </w:r>
      </w:hyperlink>
    </w:p>
    <w:p>
      <w:pPr>
        <w:tabs>
          <w:tab w:val="right" w:leader="dot" w:pos="9062"/>
        </w:tabs>
        <w:ind w:left="440"/>
      </w:pPr>
      <w:hyperlink w:anchor="_Toc1857" w:history="1">
        <w:r>
          <w:rPr>
            <w:rFonts w:ascii="IRNazanin" w:hAnsi="IRNazanin" w:eastAsia="IRNazanin" w:cs="IRNazanin"/>
            <w:color w:val="111111"/>
            <w:sz w:val="22"/>
            <w:szCs w:val="22"/>
            <w:b w:val="0"/>
            <w:bCs w:val="0"/>
            <w:i w:val="0"/>
            <w:iCs w:val="0"/>
          </w:rPr>
          <w:t>•تاریخ مختصر یونان / تاریخ جهان / فارسی</w:t>
        </w:r>
        <w:r>
          <w:tab/>
        </w:r>
        <w:r>
          <w:fldChar w:fldCharType="begin"/>
        </w:r>
        <w:r>
          <w:instrText xml:space="preserve">PAGEREF 1857 \h</w:instrText>
        </w:r>
        <w:r>
          <w:fldChar w:fldCharType="end"/>
        </w:r>
      </w:hyperlink>
    </w:p>
    <w:p>
      <w:pPr>
        <w:tabs>
          <w:tab w:val="right" w:leader="dot" w:pos="9062"/>
        </w:tabs>
        <w:ind w:left="440"/>
      </w:pPr>
      <w:hyperlink w:anchor="_Toc1858" w:history="1">
        <w:r>
          <w:rPr>
            <w:rFonts w:ascii="IRNazanin" w:hAnsi="IRNazanin" w:eastAsia="IRNazanin" w:cs="IRNazanin"/>
            <w:color w:val="111111"/>
            <w:sz w:val="22"/>
            <w:szCs w:val="22"/>
            <w:b w:val="0"/>
            <w:bCs w:val="0"/>
            <w:i w:val="0"/>
            <w:iCs w:val="0"/>
          </w:rPr>
          <w:t>•تاریخ مدرسه جدید / شعر / فارسی</w:t>
        </w:r>
        <w:r>
          <w:tab/>
        </w:r>
        <w:r>
          <w:fldChar w:fldCharType="begin"/>
        </w:r>
        <w:r>
          <w:instrText xml:space="preserve">PAGEREF 1858 \h</w:instrText>
        </w:r>
        <w:r>
          <w:fldChar w:fldCharType="end"/>
        </w:r>
      </w:hyperlink>
    </w:p>
    <w:p>
      <w:pPr>
        <w:tabs>
          <w:tab w:val="right" w:leader="dot" w:pos="9062"/>
        </w:tabs>
        <w:ind w:left="440"/>
      </w:pPr>
      <w:hyperlink w:anchor="_Toc1859" w:history="1">
        <w:r>
          <w:rPr>
            <w:rFonts w:ascii="IRNazanin" w:hAnsi="IRNazanin" w:eastAsia="IRNazanin" w:cs="IRNazanin"/>
            <w:color w:val="111111"/>
            <w:sz w:val="22"/>
            <w:szCs w:val="22"/>
            <w:b w:val="0"/>
            <w:bCs w:val="0"/>
            <w:i w:val="0"/>
            <w:iCs w:val="0"/>
          </w:rPr>
          <w:t>•تاریخ مدفونین بلخ و حالات سمرقند / تاریخ / فارسی</w:t>
        </w:r>
        <w:r>
          <w:tab/>
        </w:r>
        <w:r>
          <w:fldChar w:fldCharType="begin"/>
        </w:r>
        <w:r>
          <w:instrText xml:space="preserve">PAGEREF 1859 \h</w:instrText>
        </w:r>
        <w:r>
          <w:fldChar w:fldCharType="end"/>
        </w:r>
      </w:hyperlink>
    </w:p>
    <w:p>
      <w:pPr>
        <w:tabs>
          <w:tab w:val="right" w:leader="dot" w:pos="9062"/>
        </w:tabs>
        <w:ind w:left="440"/>
      </w:pPr>
      <w:hyperlink w:anchor="_Toc1860" w:history="1">
        <w:r>
          <w:rPr>
            <w:rFonts w:ascii="IRNazanin" w:hAnsi="IRNazanin" w:eastAsia="IRNazanin" w:cs="IRNazanin"/>
            <w:color w:val="111111"/>
            <w:sz w:val="22"/>
            <w:szCs w:val="22"/>
            <w:b w:val="0"/>
            <w:bCs w:val="0"/>
            <w:i w:val="0"/>
            <w:iCs w:val="0"/>
          </w:rPr>
          <w:t>•تاريخ مدينة الإسلام في الذيل على تاريخ الخطيب = ذیل تاریخ بغداد / تراجم / عربی</w:t>
        </w:r>
        <w:r>
          <w:tab/>
        </w:r>
        <w:r>
          <w:fldChar w:fldCharType="begin"/>
        </w:r>
        <w:r>
          <w:instrText xml:space="preserve">PAGEREF 1860 \h</w:instrText>
        </w:r>
        <w:r>
          <w:fldChar w:fldCharType="end"/>
        </w:r>
      </w:hyperlink>
    </w:p>
    <w:p>
      <w:pPr>
        <w:tabs>
          <w:tab w:val="right" w:leader="dot" w:pos="9062"/>
        </w:tabs>
        <w:ind w:left="440"/>
      </w:pPr>
      <w:hyperlink w:anchor="_Toc1861" w:history="1">
        <w:r>
          <w:rPr>
            <w:rFonts w:ascii="IRNazanin" w:hAnsi="IRNazanin" w:eastAsia="IRNazanin" w:cs="IRNazanin"/>
            <w:color w:val="111111"/>
            <w:sz w:val="22"/>
            <w:szCs w:val="22"/>
            <w:b w:val="0"/>
            <w:bCs w:val="0"/>
            <w:i w:val="0"/>
            <w:iCs w:val="0"/>
          </w:rPr>
          <w:t>•تاريخ مدينة دمشق / تاریخ عربی</w:t>
        </w:r>
        <w:r>
          <w:tab/>
        </w:r>
        <w:r>
          <w:fldChar w:fldCharType="begin"/>
        </w:r>
        <w:r>
          <w:instrText xml:space="preserve">PAGEREF 1861 \h</w:instrText>
        </w:r>
        <w:r>
          <w:fldChar w:fldCharType="end"/>
        </w:r>
      </w:hyperlink>
    </w:p>
    <w:p>
      <w:pPr>
        <w:tabs>
          <w:tab w:val="right" w:leader="dot" w:pos="9062"/>
        </w:tabs>
        <w:ind w:left="440"/>
      </w:pPr>
      <w:hyperlink w:anchor="_Toc1862" w:history="1">
        <w:r>
          <w:rPr>
            <w:rFonts w:ascii="IRNazanin" w:hAnsi="IRNazanin" w:eastAsia="IRNazanin" w:cs="IRNazanin"/>
            <w:color w:val="111111"/>
            <w:sz w:val="22"/>
            <w:szCs w:val="22"/>
            <w:b w:val="0"/>
            <w:bCs w:val="0"/>
            <w:i w:val="0"/>
            <w:iCs w:val="0"/>
          </w:rPr>
          <w:t>• تاریخ مراکش / تاریخ جهان / فارسی</w:t>
        </w:r>
        <w:r>
          <w:tab/>
        </w:r>
        <w:r>
          <w:fldChar w:fldCharType="begin"/>
        </w:r>
        <w:r>
          <w:instrText xml:space="preserve">PAGEREF 1862 \h</w:instrText>
        </w:r>
        <w:r>
          <w:fldChar w:fldCharType="end"/>
        </w:r>
      </w:hyperlink>
    </w:p>
    <w:p>
      <w:pPr>
        <w:tabs>
          <w:tab w:val="right" w:leader="dot" w:pos="9062"/>
        </w:tabs>
        <w:ind w:left="440"/>
      </w:pPr>
      <w:hyperlink w:anchor="_Toc1863" w:history="1">
        <w:r>
          <w:rPr>
            <w:rFonts w:ascii="IRNazanin" w:hAnsi="IRNazanin" w:eastAsia="IRNazanin" w:cs="IRNazanin"/>
            <w:color w:val="111111"/>
            <w:sz w:val="22"/>
            <w:szCs w:val="22"/>
            <w:b w:val="0"/>
            <w:bCs w:val="0"/>
            <w:i w:val="0"/>
            <w:iCs w:val="0"/>
          </w:rPr>
          <w:t>•تاریخ مرشدان صفوی / تراجم / فارسی</w:t>
        </w:r>
        <w:r>
          <w:tab/>
        </w:r>
        <w:r>
          <w:fldChar w:fldCharType="begin"/>
        </w:r>
        <w:r>
          <w:instrText xml:space="preserve">PAGEREF 1863 \h</w:instrText>
        </w:r>
        <w:r>
          <w:fldChar w:fldCharType="end"/>
        </w:r>
      </w:hyperlink>
    </w:p>
    <w:p>
      <w:pPr>
        <w:tabs>
          <w:tab w:val="right" w:leader="dot" w:pos="9062"/>
        </w:tabs>
        <w:ind w:left="440"/>
      </w:pPr>
      <w:hyperlink w:anchor="_Toc1864" w:history="1">
        <w:r>
          <w:rPr>
            <w:rFonts w:ascii="IRNazanin" w:hAnsi="IRNazanin" w:eastAsia="IRNazanin" w:cs="IRNazanin"/>
            <w:color w:val="111111"/>
            <w:sz w:val="22"/>
            <w:szCs w:val="22"/>
            <w:b w:val="0"/>
            <w:bCs w:val="0"/>
            <w:i w:val="0"/>
            <w:iCs w:val="0"/>
          </w:rPr>
          <w:t>• تاریخ مزداپرستی / تاریخ / فارسی</w:t>
        </w:r>
        <w:r>
          <w:tab/>
        </w:r>
        <w:r>
          <w:fldChar w:fldCharType="begin"/>
        </w:r>
        <w:r>
          <w:instrText xml:space="preserve">PAGEREF 1864 \h</w:instrText>
        </w:r>
        <w:r>
          <w:fldChar w:fldCharType="end"/>
        </w:r>
      </w:hyperlink>
    </w:p>
    <w:p>
      <w:pPr>
        <w:tabs>
          <w:tab w:val="right" w:leader="dot" w:pos="9062"/>
        </w:tabs>
        <w:ind w:left="440"/>
      </w:pPr>
      <w:hyperlink w:anchor="_Toc1865" w:history="1">
        <w:r>
          <w:rPr>
            <w:rFonts w:ascii="IRNazanin" w:hAnsi="IRNazanin" w:eastAsia="IRNazanin" w:cs="IRNazanin"/>
            <w:color w:val="111111"/>
            <w:sz w:val="22"/>
            <w:szCs w:val="22"/>
            <w:b w:val="0"/>
            <w:bCs w:val="0"/>
            <w:i w:val="0"/>
            <w:iCs w:val="0"/>
          </w:rPr>
          <w:t>•تاریخ مزدک / کلام و اعتقادات فارسی</w:t>
        </w:r>
        <w:r>
          <w:tab/>
        </w:r>
        <w:r>
          <w:fldChar w:fldCharType="begin"/>
        </w:r>
        <w:r>
          <w:instrText xml:space="preserve">PAGEREF 1865 \h</w:instrText>
        </w:r>
        <w:r>
          <w:fldChar w:fldCharType="end"/>
        </w:r>
      </w:hyperlink>
    </w:p>
    <w:p>
      <w:pPr>
        <w:tabs>
          <w:tab w:val="right" w:leader="dot" w:pos="9062"/>
        </w:tabs>
        <w:ind w:left="440"/>
      </w:pPr>
      <w:hyperlink w:anchor="_Toc1866" w:history="1">
        <w:r>
          <w:rPr>
            <w:rFonts w:ascii="IRNazanin" w:hAnsi="IRNazanin" w:eastAsia="IRNazanin" w:cs="IRNazanin"/>
            <w:color w:val="111111"/>
            <w:sz w:val="22"/>
            <w:szCs w:val="22"/>
            <w:b w:val="0"/>
            <w:bCs w:val="0"/>
            <w:i w:val="0"/>
            <w:iCs w:val="0"/>
          </w:rPr>
          <w:t>• تاریخ مستور = تاریخ عهد پهلوی = تاریخ گمنام / تاریخ ایران / فارسی</w:t>
        </w:r>
        <w:r>
          <w:tab/>
        </w:r>
        <w:r>
          <w:fldChar w:fldCharType="begin"/>
        </w:r>
        <w:r>
          <w:instrText xml:space="preserve">PAGEREF 1866 \h</w:instrText>
        </w:r>
        <w:r>
          <w:fldChar w:fldCharType="end"/>
        </w:r>
      </w:hyperlink>
    </w:p>
    <w:p>
      <w:pPr>
        <w:tabs>
          <w:tab w:val="right" w:leader="dot" w:pos="9062"/>
        </w:tabs>
        <w:ind w:left="440"/>
      </w:pPr>
      <w:hyperlink w:anchor="_Toc1867" w:history="1">
        <w:r>
          <w:rPr>
            <w:rFonts w:ascii="IRNazanin" w:hAnsi="IRNazanin" w:eastAsia="IRNazanin" w:cs="IRNazanin"/>
            <w:color w:val="111111"/>
            <w:sz w:val="22"/>
            <w:szCs w:val="22"/>
            <w:b w:val="0"/>
            <w:bCs w:val="0"/>
            <w:i w:val="0"/>
            <w:iCs w:val="0"/>
          </w:rPr>
          <w:t>• تاریخ مسعودی = عبرة الناظرين / تاریخ ایران / فارسی</w:t>
        </w:r>
        <w:r>
          <w:tab/>
        </w:r>
        <w:r>
          <w:fldChar w:fldCharType="begin"/>
        </w:r>
        <w:r>
          <w:instrText xml:space="preserve">PAGEREF 1867 \h</w:instrText>
        </w:r>
        <w:r>
          <w:fldChar w:fldCharType="end"/>
        </w:r>
      </w:hyperlink>
    </w:p>
    <w:p>
      <w:pPr>
        <w:tabs>
          <w:tab w:val="right" w:leader="dot" w:pos="9062"/>
        </w:tabs>
        <w:ind w:left="440"/>
      </w:pPr>
      <w:hyperlink w:anchor="_Toc1868" w:history="1">
        <w:r>
          <w:rPr>
            <w:rFonts w:ascii="IRNazanin" w:hAnsi="IRNazanin" w:eastAsia="IRNazanin" w:cs="IRNazanin"/>
            <w:color w:val="111111"/>
            <w:sz w:val="22"/>
            <w:szCs w:val="22"/>
            <w:b w:val="0"/>
            <w:bCs w:val="0"/>
            <w:i w:val="0"/>
            <w:iCs w:val="0"/>
          </w:rPr>
          <w:t>• تاریخ مشایخ بنی کعب / تراجم</w:t>
        </w:r>
        <w:r>
          <w:tab/>
        </w:r>
        <w:r>
          <w:fldChar w:fldCharType="begin"/>
        </w:r>
        <w:r>
          <w:instrText xml:space="preserve">PAGEREF 1868 \h</w:instrText>
        </w:r>
        <w:r>
          <w:fldChar w:fldCharType="end"/>
        </w:r>
      </w:hyperlink>
    </w:p>
    <w:p>
      <w:pPr>
        <w:tabs>
          <w:tab w:val="right" w:leader="dot" w:pos="9062"/>
        </w:tabs>
        <w:ind w:left="440"/>
      </w:pPr>
      <w:hyperlink w:anchor="_Toc1869" w:history="1">
        <w:r>
          <w:rPr>
            <w:rFonts w:ascii="IRNazanin" w:hAnsi="IRNazanin" w:eastAsia="IRNazanin" w:cs="IRNazanin"/>
            <w:color w:val="111111"/>
            <w:sz w:val="22"/>
            <w:szCs w:val="22"/>
            <w:b w:val="0"/>
            <w:bCs w:val="0"/>
            <w:i w:val="0"/>
            <w:iCs w:val="0"/>
          </w:rPr>
          <w:t>•تاریخ مشجر / تاریخ / عربی</w:t>
        </w:r>
        <w:r>
          <w:tab/>
        </w:r>
        <w:r>
          <w:fldChar w:fldCharType="begin"/>
        </w:r>
        <w:r>
          <w:instrText xml:space="preserve">PAGEREF 1869 \h</w:instrText>
        </w:r>
        <w:r>
          <w:fldChar w:fldCharType="end"/>
        </w:r>
      </w:hyperlink>
    </w:p>
    <w:p>
      <w:pPr>
        <w:tabs>
          <w:tab w:val="right" w:leader="dot" w:pos="9062"/>
        </w:tabs>
        <w:ind w:left="440"/>
      </w:pPr>
      <w:hyperlink w:anchor="_Toc1870" w:history="1">
        <w:r>
          <w:rPr>
            <w:rFonts w:ascii="IRNazanin" w:hAnsi="IRNazanin" w:eastAsia="IRNazanin" w:cs="IRNazanin"/>
            <w:color w:val="111111"/>
            <w:sz w:val="22"/>
            <w:szCs w:val="22"/>
            <w:b w:val="0"/>
            <w:bCs w:val="0"/>
            <w:i w:val="0"/>
            <w:iCs w:val="0"/>
          </w:rPr>
          <w:t>•تاریخ مشروطه / تاریخ / فارسی</w:t>
        </w:r>
        <w:r>
          <w:tab/>
        </w:r>
        <w:r>
          <w:fldChar w:fldCharType="begin"/>
        </w:r>
        <w:r>
          <w:instrText xml:space="preserve">PAGEREF 1870 \h</w:instrText>
        </w:r>
        <w:r>
          <w:fldChar w:fldCharType="end"/>
        </w:r>
      </w:hyperlink>
    </w:p>
    <w:p>
      <w:pPr>
        <w:tabs>
          <w:tab w:val="right" w:leader="dot" w:pos="9062"/>
        </w:tabs>
        <w:ind w:left="440"/>
      </w:pPr>
      <w:hyperlink w:anchor="_Toc1871" w:history="1">
        <w:r>
          <w:rPr>
            <w:rFonts w:ascii="IRNazanin" w:hAnsi="IRNazanin" w:eastAsia="IRNazanin" w:cs="IRNazanin"/>
            <w:color w:val="111111"/>
            <w:sz w:val="22"/>
            <w:szCs w:val="22"/>
            <w:b w:val="0"/>
            <w:bCs w:val="0"/>
            <w:i w:val="0"/>
            <w:iCs w:val="0"/>
          </w:rPr>
          <w:t>•تاریخ مشروطیت / شعر، تاریخ ایران / فارسی</w:t>
        </w:r>
        <w:r>
          <w:tab/>
        </w:r>
        <w:r>
          <w:fldChar w:fldCharType="begin"/>
        </w:r>
        <w:r>
          <w:instrText xml:space="preserve">PAGEREF 1871 \h</w:instrText>
        </w:r>
        <w:r>
          <w:fldChar w:fldCharType="end"/>
        </w:r>
      </w:hyperlink>
    </w:p>
    <w:p>
      <w:pPr>
        <w:tabs>
          <w:tab w:val="right" w:leader="dot" w:pos="9062"/>
        </w:tabs>
        <w:ind w:left="440"/>
      </w:pPr>
      <w:hyperlink w:anchor="_Toc1872" w:history="1">
        <w:r>
          <w:rPr>
            <w:rFonts w:ascii="IRNazanin" w:hAnsi="IRNazanin" w:eastAsia="IRNazanin" w:cs="IRNazanin"/>
            <w:color w:val="111111"/>
            <w:sz w:val="22"/>
            <w:szCs w:val="22"/>
            <w:b w:val="0"/>
            <w:bCs w:val="0"/>
            <w:i w:val="0"/>
            <w:iCs w:val="0"/>
          </w:rPr>
          <w:t>•تاریخ مشروطیت ایران / تاریخ ایران / فارسی</w:t>
        </w:r>
        <w:r>
          <w:tab/>
        </w:r>
        <w:r>
          <w:fldChar w:fldCharType="begin"/>
        </w:r>
        <w:r>
          <w:instrText xml:space="preserve">PAGEREF 1872 \h</w:instrText>
        </w:r>
        <w:r>
          <w:fldChar w:fldCharType="end"/>
        </w:r>
      </w:hyperlink>
    </w:p>
    <w:p>
      <w:pPr>
        <w:tabs>
          <w:tab w:val="right" w:leader="dot" w:pos="9062"/>
        </w:tabs>
        <w:ind w:left="440"/>
      </w:pPr>
      <w:hyperlink w:anchor="_Toc1873" w:history="1">
        <w:r>
          <w:rPr>
            <w:rFonts w:ascii="IRNazanin" w:hAnsi="IRNazanin" w:eastAsia="IRNazanin" w:cs="IRNazanin"/>
            <w:color w:val="111111"/>
            <w:sz w:val="22"/>
            <w:szCs w:val="22"/>
            <w:b w:val="0"/>
            <w:bCs w:val="0"/>
            <w:i w:val="0"/>
            <w:iCs w:val="0"/>
          </w:rPr>
          <w:t>•تاریخ مشروطیت ایران / تاریخ ایران / فارسی</w:t>
        </w:r>
        <w:r>
          <w:tab/>
        </w:r>
        <w:r>
          <w:fldChar w:fldCharType="begin"/>
        </w:r>
        <w:r>
          <w:instrText xml:space="preserve">PAGEREF 1873 \h</w:instrText>
        </w:r>
        <w:r>
          <w:fldChar w:fldCharType="end"/>
        </w:r>
      </w:hyperlink>
    </w:p>
    <w:p>
      <w:pPr>
        <w:tabs>
          <w:tab w:val="right" w:leader="dot" w:pos="9062"/>
        </w:tabs>
        <w:ind w:left="440"/>
      </w:pPr>
      <w:hyperlink w:anchor="_Toc1874" w:history="1">
        <w:r>
          <w:rPr>
            <w:rFonts w:ascii="IRNazanin" w:hAnsi="IRNazanin" w:eastAsia="IRNazanin" w:cs="IRNazanin"/>
            <w:color w:val="111111"/>
            <w:sz w:val="22"/>
            <w:szCs w:val="22"/>
            <w:b w:val="0"/>
            <w:bCs w:val="0"/>
            <w:i w:val="0"/>
            <w:iCs w:val="0"/>
          </w:rPr>
          <w:t>•تاریخ مشروطیت ایران / تاریخ ایران / فارسی</w:t>
        </w:r>
        <w:r>
          <w:tab/>
        </w:r>
        <w:r>
          <w:fldChar w:fldCharType="begin"/>
        </w:r>
        <w:r>
          <w:instrText xml:space="preserve">PAGEREF 1874 \h</w:instrText>
        </w:r>
        <w:r>
          <w:fldChar w:fldCharType="end"/>
        </w:r>
      </w:hyperlink>
    </w:p>
    <w:p>
      <w:pPr>
        <w:tabs>
          <w:tab w:val="right" w:leader="dot" w:pos="9062"/>
        </w:tabs>
        <w:ind w:left="440"/>
      </w:pPr>
      <w:hyperlink w:anchor="_Toc1875" w:history="1">
        <w:r>
          <w:rPr>
            <w:rFonts w:ascii="IRNazanin" w:hAnsi="IRNazanin" w:eastAsia="IRNazanin" w:cs="IRNazanin"/>
            <w:color w:val="111111"/>
            <w:sz w:val="22"/>
            <w:szCs w:val="22"/>
            <w:b w:val="0"/>
            <w:bCs w:val="0"/>
            <w:i w:val="0"/>
            <w:iCs w:val="0"/>
          </w:rPr>
          <w:t>•تاریخ مشروطیت ایران / تاریخ ایران / فارسی</w:t>
        </w:r>
        <w:r>
          <w:tab/>
        </w:r>
        <w:r>
          <w:fldChar w:fldCharType="begin"/>
        </w:r>
        <w:r>
          <w:instrText xml:space="preserve">PAGEREF 1875 \h</w:instrText>
        </w:r>
        <w:r>
          <w:fldChar w:fldCharType="end"/>
        </w:r>
      </w:hyperlink>
    </w:p>
    <w:p>
      <w:pPr>
        <w:tabs>
          <w:tab w:val="right" w:leader="dot" w:pos="9062"/>
        </w:tabs>
        <w:ind w:left="440"/>
      </w:pPr>
      <w:hyperlink w:anchor="_Toc1876" w:history="1">
        <w:r>
          <w:rPr>
            <w:rFonts w:ascii="IRNazanin" w:hAnsi="IRNazanin" w:eastAsia="IRNazanin" w:cs="IRNazanin"/>
            <w:color w:val="111111"/>
            <w:sz w:val="22"/>
            <w:szCs w:val="22"/>
            <w:b w:val="0"/>
            <w:bCs w:val="0"/>
            <w:i w:val="0"/>
            <w:iCs w:val="0"/>
          </w:rPr>
          <w:t>•تاریخ مشعشعیان = الرحلة المكية / تاریخ ایران / عربی و فارسی</w:t>
        </w:r>
        <w:r>
          <w:tab/>
        </w:r>
        <w:r>
          <w:fldChar w:fldCharType="begin"/>
        </w:r>
        <w:r>
          <w:instrText xml:space="preserve">PAGEREF 1876 \h</w:instrText>
        </w:r>
        <w:r>
          <w:fldChar w:fldCharType="end"/>
        </w:r>
      </w:hyperlink>
    </w:p>
    <w:p>
      <w:pPr>
        <w:tabs>
          <w:tab w:val="right" w:leader="dot" w:pos="9062"/>
        </w:tabs>
        <w:ind w:left="440"/>
      </w:pPr>
      <w:hyperlink w:anchor="_Toc1877" w:history="1">
        <w:r>
          <w:rPr>
            <w:rFonts w:ascii="IRNazanin" w:hAnsi="IRNazanin" w:eastAsia="IRNazanin" w:cs="IRNazanin"/>
            <w:color w:val="111111"/>
            <w:sz w:val="22"/>
            <w:szCs w:val="22"/>
            <w:b w:val="0"/>
            <w:bCs w:val="0"/>
            <w:i w:val="0"/>
            <w:iCs w:val="0"/>
          </w:rPr>
          <w:t>• تاریخ مشعشعیان (ترجمه) / تاریخ ایران / فارسی</w:t>
        </w:r>
        <w:r>
          <w:tab/>
        </w:r>
        <w:r>
          <w:fldChar w:fldCharType="begin"/>
        </w:r>
        <w:r>
          <w:instrText xml:space="preserve">PAGEREF 1877 \h</w:instrText>
        </w:r>
        <w:r>
          <w:fldChar w:fldCharType="end"/>
        </w:r>
      </w:hyperlink>
    </w:p>
    <w:p>
      <w:pPr>
        <w:tabs>
          <w:tab w:val="right" w:leader="dot" w:pos="9062"/>
        </w:tabs>
        <w:ind w:left="440"/>
      </w:pPr>
      <w:hyperlink w:anchor="_Toc1878" w:history="1">
        <w:r>
          <w:rPr>
            <w:rFonts w:ascii="IRNazanin" w:hAnsi="IRNazanin" w:eastAsia="IRNazanin" w:cs="IRNazanin"/>
            <w:color w:val="111111"/>
            <w:sz w:val="22"/>
            <w:szCs w:val="22"/>
            <w:b w:val="0"/>
            <w:bCs w:val="0"/>
            <w:i w:val="0"/>
            <w:iCs w:val="0"/>
          </w:rPr>
          <w:t>•تاريخ مصر / تاریخ جهان / عربی</w:t>
        </w:r>
        <w:r>
          <w:tab/>
        </w:r>
        <w:r>
          <w:fldChar w:fldCharType="begin"/>
        </w:r>
        <w:r>
          <w:instrText xml:space="preserve">PAGEREF 1878 \h</w:instrText>
        </w:r>
        <w:r>
          <w:fldChar w:fldCharType="end"/>
        </w:r>
      </w:hyperlink>
    </w:p>
    <w:p>
      <w:pPr>
        <w:tabs>
          <w:tab w:val="right" w:leader="dot" w:pos="9062"/>
        </w:tabs>
        <w:ind w:left="440"/>
      </w:pPr>
      <w:hyperlink w:anchor="_Toc1879" w:history="1">
        <w:r>
          <w:rPr>
            <w:rFonts w:ascii="IRNazanin" w:hAnsi="IRNazanin" w:eastAsia="IRNazanin" w:cs="IRNazanin"/>
            <w:color w:val="111111"/>
            <w:sz w:val="22"/>
            <w:szCs w:val="22"/>
            <w:b w:val="0"/>
            <w:bCs w:val="0"/>
            <w:i w:val="0"/>
            <w:iCs w:val="0"/>
          </w:rPr>
          <w:t>• تاريخ مصر / تاریخ جهان / عربی</w:t>
        </w:r>
        <w:r>
          <w:tab/>
        </w:r>
        <w:r>
          <w:fldChar w:fldCharType="begin"/>
        </w:r>
        <w:r>
          <w:instrText xml:space="preserve">PAGEREF 1879 \h</w:instrText>
        </w:r>
        <w:r>
          <w:fldChar w:fldCharType="end"/>
        </w:r>
      </w:hyperlink>
    </w:p>
    <w:p>
      <w:pPr>
        <w:tabs>
          <w:tab w:val="right" w:leader="dot" w:pos="9062"/>
        </w:tabs>
        <w:ind w:left="440"/>
      </w:pPr>
      <w:hyperlink w:anchor="_Toc1880" w:history="1">
        <w:r>
          <w:rPr>
            <w:rFonts w:ascii="IRNazanin" w:hAnsi="IRNazanin" w:eastAsia="IRNazanin" w:cs="IRNazanin"/>
            <w:color w:val="111111"/>
            <w:sz w:val="22"/>
            <w:szCs w:val="22"/>
            <w:b w:val="0"/>
            <w:bCs w:val="0"/>
            <w:i w:val="0"/>
            <w:iCs w:val="0"/>
          </w:rPr>
          <w:t>•تاريخ مصر پس از بازگشت ناپلئون / تاریخ جهان /فارسی</w:t>
        </w:r>
        <w:r>
          <w:tab/>
        </w:r>
        <w:r>
          <w:fldChar w:fldCharType="begin"/>
        </w:r>
        <w:r>
          <w:instrText xml:space="preserve">PAGEREF 1880 \h</w:instrText>
        </w:r>
        <w:r>
          <w:fldChar w:fldCharType="end"/>
        </w:r>
      </w:hyperlink>
    </w:p>
    <w:p>
      <w:pPr>
        <w:tabs>
          <w:tab w:val="right" w:leader="dot" w:pos="9062"/>
        </w:tabs>
        <w:ind w:left="440"/>
      </w:pPr>
      <w:hyperlink w:anchor="_Toc1881" w:history="1">
        <w:r>
          <w:rPr>
            <w:rFonts w:ascii="IRNazanin" w:hAnsi="IRNazanin" w:eastAsia="IRNazanin" w:cs="IRNazanin"/>
            <w:color w:val="111111"/>
            <w:sz w:val="22"/>
            <w:szCs w:val="22"/>
            <w:b w:val="0"/>
            <w:bCs w:val="0"/>
            <w:i w:val="0"/>
            <w:iCs w:val="0"/>
          </w:rPr>
          <w:t>•تاريخ مصر (ترجمه) / تاریخ جهان / فارسی</w:t>
        </w:r>
        <w:r>
          <w:tab/>
        </w:r>
        <w:r>
          <w:fldChar w:fldCharType="begin"/>
        </w:r>
        <w:r>
          <w:instrText xml:space="preserve">PAGEREF 1881 \h</w:instrText>
        </w:r>
        <w:r>
          <w:fldChar w:fldCharType="end"/>
        </w:r>
      </w:hyperlink>
    </w:p>
    <w:p>
      <w:pPr>
        <w:tabs>
          <w:tab w:val="right" w:leader="dot" w:pos="9062"/>
        </w:tabs>
        <w:ind w:left="440"/>
      </w:pPr>
      <w:hyperlink w:anchor="_Toc1882" w:history="1">
        <w:r>
          <w:rPr>
            <w:rFonts w:ascii="IRNazanin" w:hAnsi="IRNazanin" w:eastAsia="IRNazanin" w:cs="IRNazanin"/>
            <w:color w:val="111111"/>
            <w:sz w:val="22"/>
            <w:szCs w:val="22"/>
            <w:b w:val="0"/>
            <w:bCs w:val="0"/>
            <w:i w:val="0"/>
            <w:iCs w:val="0"/>
          </w:rPr>
          <w:t>•تاریخ مصور / تاریخ / فارسی</w:t>
        </w:r>
        <w:r>
          <w:tab/>
        </w:r>
        <w:r>
          <w:fldChar w:fldCharType="begin"/>
        </w:r>
        <w:r>
          <w:instrText xml:space="preserve">PAGEREF 1882 \h</w:instrText>
        </w:r>
        <w:r>
          <w:fldChar w:fldCharType="end"/>
        </w:r>
      </w:hyperlink>
    </w:p>
    <w:p>
      <w:pPr>
        <w:tabs>
          <w:tab w:val="right" w:leader="dot" w:pos="9062"/>
        </w:tabs>
        <w:ind w:left="440"/>
      </w:pPr>
      <w:hyperlink w:anchor="_Toc1883" w:history="1">
        <w:r>
          <w:rPr>
            <w:rFonts w:ascii="IRNazanin" w:hAnsi="IRNazanin" w:eastAsia="IRNazanin" w:cs="IRNazanin"/>
            <w:color w:val="111111"/>
            <w:sz w:val="22"/>
            <w:szCs w:val="22"/>
            <w:b w:val="0"/>
            <w:bCs w:val="0"/>
            <w:i w:val="0"/>
            <w:iCs w:val="0"/>
          </w:rPr>
          <w:t>• تاریخ مظفری / تاریخ / فارسی</w:t>
        </w:r>
        <w:r>
          <w:tab/>
        </w:r>
        <w:r>
          <w:fldChar w:fldCharType="begin"/>
        </w:r>
        <w:r>
          <w:instrText xml:space="preserve">PAGEREF 1883 \h</w:instrText>
        </w:r>
        <w:r>
          <w:fldChar w:fldCharType="end"/>
        </w:r>
      </w:hyperlink>
    </w:p>
    <w:p>
      <w:pPr>
        <w:tabs>
          <w:tab w:val="right" w:leader="dot" w:pos="9062"/>
        </w:tabs>
        <w:ind w:left="440"/>
      </w:pPr>
      <w:hyperlink w:anchor="_Toc1884" w:history="1">
        <w:r>
          <w:rPr>
            <w:rFonts w:ascii="IRNazanin" w:hAnsi="IRNazanin" w:eastAsia="IRNazanin" w:cs="IRNazanin"/>
            <w:color w:val="111111"/>
            <w:sz w:val="22"/>
            <w:szCs w:val="22"/>
            <w:b w:val="0"/>
            <w:bCs w:val="0"/>
            <w:i w:val="0"/>
            <w:iCs w:val="0"/>
          </w:rPr>
          <w:t>•تاریخ مظفری / تاریخ / فارسی</w:t>
        </w:r>
        <w:r>
          <w:tab/>
        </w:r>
        <w:r>
          <w:fldChar w:fldCharType="begin"/>
        </w:r>
        <w:r>
          <w:instrText xml:space="preserve">PAGEREF 1884 \h</w:instrText>
        </w:r>
        <w:r>
          <w:fldChar w:fldCharType="end"/>
        </w:r>
      </w:hyperlink>
    </w:p>
    <w:p>
      <w:pPr>
        <w:tabs>
          <w:tab w:val="right" w:leader="dot" w:pos="9062"/>
        </w:tabs>
        <w:ind w:left="440"/>
      </w:pPr>
      <w:hyperlink w:anchor="_Toc1885" w:history="1">
        <w:r>
          <w:rPr>
            <w:rFonts w:ascii="IRNazanin" w:hAnsi="IRNazanin" w:eastAsia="IRNazanin" w:cs="IRNazanin"/>
            <w:color w:val="111111"/>
            <w:sz w:val="22"/>
            <w:szCs w:val="22"/>
            <w:b w:val="0"/>
            <w:bCs w:val="0"/>
            <w:i w:val="0"/>
            <w:iCs w:val="0"/>
          </w:rPr>
          <w:t>•تاریخ مظهر الدوله / تاریخ ایران / فارسی</w:t>
        </w:r>
        <w:r>
          <w:tab/>
        </w:r>
        <w:r>
          <w:fldChar w:fldCharType="begin"/>
        </w:r>
        <w:r>
          <w:instrText xml:space="preserve">PAGEREF 1885 \h</w:instrText>
        </w:r>
        <w:r>
          <w:fldChar w:fldCharType="end"/>
        </w:r>
      </w:hyperlink>
    </w:p>
    <w:p>
      <w:pPr>
        <w:tabs>
          <w:tab w:val="right" w:leader="dot" w:pos="9062"/>
        </w:tabs>
        <w:ind w:left="440"/>
      </w:pPr>
      <w:hyperlink w:anchor="_Toc1886" w:history="1">
        <w:r>
          <w:rPr>
            <w:rFonts w:ascii="IRNazanin" w:hAnsi="IRNazanin" w:eastAsia="IRNazanin" w:cs="IRNazanin"/>
            <w:color w:val="111111"/>
            <w:sz w:val="22"/>
            <w:szCs w:val="22"/>
            <w:b w:val="0"/>
            <w:bCs w:val="0"/>
            <w:i w:val="0"/>
            <w:iCs w:val="0"/>
          </w:rPr>
          <w:t>• تاریخ معارف اماميه / كلام و اعتقادات / فارسی</w:t>
        </w:r>
        <w:r>
          <w:tab/>
        </w:r>
        <w:r>
          <w:fldChar w:fldCharType="begin"/>
        </w:r>
        <w:r>
          <w:instrText xml:space="preserve">PAGEREF 1886 \h</w:instrText>
        </w:r>
        <w:r>
          <w:fldChar w:fldCharType="end"/>
        </w:r>
      </w:hyperlink>
    </w:p>
    <w:p>
      <w:pPr>
        <w:tabs>
          <w:tab w:val="right" w:leader="dot" w:pos="9062"/>
        </w:tabs>
        <w:ind w:left="440"/>
      </w:pPr>
      <w:hyperlink w:anchor="_Toc1887" w:history="1">
        <w:r>
          <w:rPr>
            <w:rFonts w:ascii="IRNazanin" w:hAnsi="IRNazanin" w:eastAsia="IRNazanin" w:cs="IRNazanin"/>
            <w:color w:val="111111"/>
            <w:sz w:val="22"/>
            <w:szCs w:val="22"/>
            <w:b w:val="0"/>
            <w:bCs w:val="0"/>
            <w:i w:val="0"/>
            <w:iCs w:val="0"/>
          </w:rPr>
          <w:t>•تاریخ معارف جدید در ایران / تراجم / فارسی</w:t>
        </w:r>
        <w:r>
          <w:tab/>
        </w:r>
        <w:r>
          <w:fldChar w:fldCharType="begin"/>
        </w:r>
        <w:r>
          <w:instrText xml:space="preserve">PAGEREF 1887 \h</w:instrText>
        </w:r>
        <w:r>
          <w:fldChar w:fldCharType="end"/>
        </w:r>
      </w:hyperlink>
    </w:p>
    <w:p>
      <w:pPr>
        <w:tabs>
          <w:tab w:val="right" w:leader="dot" w:pos="9062"/>
        </w:tabs>
        <w:ind w:left="440"/>
      </w:pPr>
      <w:hyperlink w:anchor="_Toc1888" w:history="1">
        <w:r>
          <w:rPr>
            <w:rFonts w:ascii="IRNazanin" w:hAnsi="IRNazanin" w:eastAsia="IRNazanin" w:cs="IRNazanin"/>
            <w:color w:val="111111"/>
            <w:sz w:val="22"/>
            <w:szCs w:val="22"/>
            <w:b w:val="0"/>
            <w:bCs w:val="0"/>
            <w:i w:val="0"/>
            <w:iCs w:val="0"/>
          </w:rPr>
          <w:t>•تاریخ معارف و فرهنگی اردستان / تاریخ / فارسی</w:t>
        </w:r>
        <w:r>
          <w:tab/>
        </w:r>
        <w:r>
          <w:fldChar w:fldCharType="begin"/>
        </w:r>
        <w:r>
          <w:instrText xml:space="preserve">PAGEREF 1888 \h</w:instrText>
        </w:r>
        <w:r>
          <w:fldChar w:fldCharType="end"/>
        </w:r>
      </w:hyperlink>
    </w:p>
    <w:p>
      <w:pPr>
        <w:tabs>
          <w:tab w:val="right" w:leader="dot" w:pos="9062"/>
        </w:tabs>
        <w:ind w:left="440"/>
      </w:pPr>
      <w:hyperlink w:anchor="_Toc1889" w:history="1">
        <w:r>
          <w:rPr>
            <w:rFonts w:ascii="IRNazanin" w:hAnsi="IRNazanin" w:eastAsia="IRNazanin" w:cs="IRNazanin"/>
            <w:color w:val="111111"/>
            <w:sz w:val="22"/>
            <w:szCs w:val="22"/>
            <w:b w:val="0"/>
            <w:bCs w:val="0"/>
            <w:i w:val="0"/>
            <w:iCs w:val="0"/>
          </w:rPr>
          <w:t>•تاریخ معاصر / تاریخ / فارسی</w:t>
        </w:r>
        <w:r>
          <w:tab/>
        </w:r>
        <w:r>
          <w:fldChar w:fldCharType="begin"/>
        </w:r>
        <w:r>
          <w:instrText xml:space="preserve">PAGEREF 1889 \h</w:instrText>
        </w:r>
        <w:r>
          <w:fldChar w:fldCharType="end"/>
        </w:r>
      </w:hyperlink>
    </w:p>
    <w:p>
      <w:pPr>
        <w:tabs>
          <w:tab w:val="right" w:leader="dot" w:pos="9062"/>
        </w:tabs>
        <w:ind w:left="440"/>
      </w:pPr>
      <w:hyperlink w:anchor="_Toc1890" w:history="1">
        <w:r>
          <w:rPr>
            <w:rFonts w:ascii="IRNazanin" w:hAnsi="IRNazanin" w:eastAsia="IRNazanin" w:cs="IRNazanin"/>
            <w:color w:val="111111"/>
            <w:sz w:val="22"/>
            <w:szCs w:val="22"/>
            <w:b w:val="0"/>
            <w:bCs w:val="0"/>
            <w:i w:val="0"/>
            <w:iCs w:val="0"/>
          </w:rPr>
          <w:t>•تاریخ معاصر اروپا / تاریخ جهان / فارسی</w:t>
        </w:r>
        <w:r>
          <w:tab/>
        </w:r>
        <w:r>
          <w:fldChar w:fldCharType="begin"/>
        </w:r>
        <w:r>
          <w:instrText xml:space="preserve">PAGEREF 1890 \h</w:instrText>
        </w:r>
        <w:r>
          <w:fldChar w:fldCharType="end"/>
        </w:r>
      </w:hyperlink>
    </w:p>
    <w:p>
      <w:pPr>
        <w:tabs>
          <w:tab w:val="right" w:leader="dot" w:pos="9062"/>
        </w:tabs>
        <w:ind w:left="440"/>
      </w:pPr>
      <w:hyperlink w:anchor="_Toc1891" w:history="1">
        <w:r>
          <w:rPr>
            <w:rFonts w:ascii="IRNazanin" w:hAnsi="IRNazanin" w:eastAsia="IRNazanin" w:cs="IRNazanin"/>
            <w:color w:val="111111"/>
            <w:sz w:val="22"/>
            <w:szCs w:val="22"/>
            <w:b w:val="0"/>
            <w:bCs w:val="0"/>
            <w:i w:val="0"/>
            <w:iCs w:val="0"/>
          </w:rPr>
          <w:t>•تاریخ معاصر ایران / تاریخ عربی</w:t>
        </w:r>
        <w:r>
          <w:tab/>
        </w:r>
        <w:r>
          <w:fldChar w:fldCharType="begin"/>
        </w:r>
        <w:r>
          <w:instrText xml:space="preserve">PAGEREF 1891 \h</w:instrText>
        </w:r>
        <w:r>
          <w:fldChar w:fldCharType="end"/>
        </w:r>
      </w:hyperlink>
    </w:p>
    <w:p>
      <w:pPr>
        <w:tabs>
          <w:tab w:val="right" w:leader="dot" w:pos="9062"/>
        </w:tabs>
        <w:ind w:left="440"/>
      </w:pPr>
      <w:hyperlink w:anchor="_Toc1892" w:history="1">
        <w:r>
          <w:rPr>
            <w:rFonts w:ascii="IRNazanin" w:hAnsi="IRNazanin" w:eastAsia="IRNazanin" w:cs="IRNazanin"/>
            <w:color w:val="111111"/>
            <w:sz w:val="22"/>
            <w:szCs w:val="22"/>
            <w:b w:val="0"/>
            <w:bCs w:val="0"/>
            <w:i w:val="0"/>
            <w:iCs w:val="0"/>
          </w:rPr>
          <w:t>•تاریخ معاهدات قدیم / اسناد</w:t>
        </w:r>
        <w:r>
          <w:tab/>
        </w:r>
        <w:r>
          <w:fldChar w:fldCharType="begin"/>
        </w:r>
        <w:r>
          <w:instrText xml:space="preserve">PAGEREF 1892 \h</w:instrText>
        </w:r>
        <w:r>
          <w:fldChar w:fldCharType="end"/>
        </w:r>
      </w:hyperlink>
    </w:p>
    <w:p>
      <w:pPr>
        <w:tabs>
          <w:tab w:val="right" w:leader="dot" w:pos="9062"/>
        </w:tabs>
        <w:ind w:left="440"/>
      </w:pPr>
      <w:hyperlink w:anchor="_Toc1893" w:history="1">
        <w:r>
          <w:rPr>
            <w:rFonts w:ascii="IRNazanin" w:hAnsi="IRNazanin" w:eastAsia="IRNazanin" w:cs="IRNazanin"/>
            <w:color w:val="111111"/>
            <w:sz w:val="22"/>
            <w:szCs w:val="22"/>
            <w:b w:val="0"/>
            <w:bCs w:val="0"/>
            <w:i w:val="0"/>
            <w:iCs w:val="0"/>
          </w:rPr>
          <w:t>•تاریخ معجم / تاریخ</w:t>
        </w:r>
        <w:r>
          <w:tab/>
        </w:r>
        <w:r>
          <w:fldChar w:fldCharType="begin"/>
        </w:r>
        <w:r>
          <w:instrText xml:space="preserve">PAGEREF 1893 \h</w:instrText>
        </w:r>
        <w:r>
          <w:fldChar w:fldCharType="end"/>
        </w:r>
      </w:hyperlink>
    </w:p>
    <w:p>
      <w:pPr>
        <w:tabs>
          <w:tab w:val="right" w:leader="dot" w:pos="9062"/>
        </w:tabs>
        <w:ind w:left="440"/>
      </w:pPr>
      <w:hyperlink w:anchor="_Toc1894" w:history="1">
        <w:r>
          <w:rPr>
            <w:rFonts w:ascii="IRNazanin" w:hAnsi="IRNazanin" w:eastAsia="IRNazanin" w:cs="IRNazanin"/>
            <w:color w:val="111111"/>
            <w:sz w:val="22"/>
            <w:szCs w:val="22"/>
            <w:b w:val="0"/>
            <w:bCs w:val="0"/>
            <w:i w:val="0"/>
            <w:iCs w:val="0"/>
          </w:rPr>
          <w:t>•تاریخ معجم / تاریخ</w:t>
        </w:r>
        <w:r>
          <w:tab/>
        </w:r>
        <w:r>
          <w:fldChar w:fldCharType="begin"/>
        </w:r>
        <w:r>
          <w:instrText xml:space="preserve">PAGEREF 1894 \h</w:instrText>
        </w:r>
        <w:r>
          <w:fldChar w:fldCharType="end"/>
        </w:r>
      </w:hyperlink>
    </w:p>
    <w:p>
      <w:pPr>
        <w:tabs>
          <w:tab w:val="right" w:leader="dot" w:pos="9062"/>
        </w:tabs>
        <w:ind w:left="440"/>
      </w:pPr>
      <w:hyperlink w:anchor="_Toc1895" w:history="1">
        <w:r>
          <w:rPr>
            <w:rFonts w:ascii="IRNazanin" w:hAnsi="IRNazanin" w:eastAsia="IRNazanin" w:cs="IRNazanin"/>
            <w:color w:val="111111"/>
            <w:sz w:val="22"/>
            <w:szCs w:val="22"/>
            <w:b w:val="0"/>
            <w:bCs w:val="0"/>
            <w:i w:val="0"/>
            <w:iCs w:val="0"/>
          </w:rPr>
          <w:t>•تاريخ المعصومين = ارجوزة في مواليد الأئمة و وفياتهم و مناقبهم / شعر، تاریخ معصومین / عربی</w:t>
        </w:r>
        <w:r>
          <w:tab/>
        </w:r>
        <w:r>
          <w:fldChar w:fldCharType="begin"/>
        </w:r>
        <w:r>
          <w:instrText xml:space="preserve">PAGEREF 1895 \h</w:instrText>
        </w:r>
        <w:r>
          <w:fldChar w:fldCharType="end"/>
        </w:r>
      </w:hyperlink>
    </w:p>
    <w:p>
      <w:pPr>
        <w:tabs>
          <w:tab w:val="right" w:leader="dot" w:pos="9062"/>
        </w:tabs>
        <w:ind w:left="440"/>
      </w:pPr>
      <w:hyperlink w:anchor="_Toc1896" w:history="1">
        <w:r>
          <w:rPr>
            <w:rFonts w:ascii="IRNazanin" w:hAnsi="IRNazanin" w:eastAsia="IRNazanin" w:cs="IRNazanin"/>
            <w:color w:val="111111"/>
            <w:sz w:val="22"/>
            <w:szCs w:val="22"/>
            <w:b w:val="0"/>
            <w:bCs w:val="0"/>
            <w:i w:val="0"/>
            <w:iCs w:val="0"/>
          </w:rPr>
          <w:t>•تاريخ المعصومين / تاریخ معصومین / عربی</w:t>
        </w:r>
        <w:r>
          <w:tab/>
        </w:r>
        <w:r>
          <w:fldChar w:fldCharType="begin"/>
        </w:r>
        <w:r>
          <w:instrText xml:space="preserve">PAGEREF 1896 \h</w:instrText>
        </w:r>
        <w:r>
          <w:fldChar w:fldCharType="end"/>
        </w:r>
      </w:hyperlink>
    </w:p>
    <w:p>
      <w:pPr>
        <w:tabs>
          <w:tab w:val="right" w:leader="dot" w:pos="9062"/>
        </w:tabs>
        <w:ind w:left="440"/>
      </w:pPr>
      <w:hyperlink w:anchor="_Toc1897" w:history="1">
        <w:r>
          <w:rPr>
            <w:rFonts w:ascii="IRNazanin" w:hAnsi="IRNazanin" w:eastAsia="IRNazanin" w:cs="IRNazanin"/>
            <w:color w:val="111111"/>
            <w:sz w:val="22"/>
            <w:szCs w:val="22"/>
            <w:b w:val="0"/>
            <w:bCs w:val="0"/>
            <w:i w:val="0"/>
            <w:iCs w:val="0"/>
          </w:rPr>
          <w:t>•تاریخ معصومین (عليهم السلام)/ تاریخ معصومین / فارسی</w:t>
        </w:r>
        <w:r>
          <w:tab/>
        </w:r>
        <w:r>
          <w:fldChar w:fldCharType="begin"/>
        </w:r>
        <w:r>
          <w:instrText xml:space="preserve">PAGEREF 1897 \h</w:instrText>
        </w:r>
        <w:r>
          <w:fldChar w:fldCharType="end"/>
        </w:r>
      </w:hyperlink>
    </w:p>
    <w:p>
      <w:pPr>
        <w:tabs>
          <w:tab w:val="right" w:leader="dot" w:pos="9062"/>
        </w:tabs>
        <w:ind w:left="440"/>
      </w:pPr>
      <w:hyperlink w:anchor="_Toc1898" w:history="1">
        <w:r>
          <w:rPr>
            <w:rFonts w:ascii="IRNazanin" w:hAnsi="IRNazanin" w:eastAsia="IRNazanin" w:cs="IRNazanin"/>
            <w:color w:val="111111"/>
            <w:sz w:val="22"/>
            <w:szCs w:val="22"/>
            <w:b w:val="0"/>
            <w:bCs w:val="0"/>
            <w:i w:val="0"/>
            <w:iCs w:val="0"/>
          </w:rPr>
          <w:t>•تاریخ معصومین(عليهم السلام) / تاریخ معصومین / عربی</w:t>
        </w:r>
        <w:r>
          <w:tab/>
        </w:r>
        <w:r>
          <w:fldChar w:fldCharType="begin"/>
        </w:r>
        <w:r>
          <w:instrText xml:space="preserve">PAGEREF 1898 \h</w:instrText>
        </w:r>
        <w:r>
          <w:fldChar w:fldCharType="end"/>
        </w:r>
      </w:hyperlink>
    </w:p>
    <w:p>
      <w:pPr>
        <w:tabs>
          <w:tab w:val="right" w:leader="dot" w:pos="9062"/>
        </w:tabs>
        <w:ind w:left="440"/>
      </w:pPr>
      <w:hyperlink w:anchor="_Toc1899" w:history="1">
        <w:r>
          <w:rPr>
            <w:rFonts w:ascii="IRNazanin" w:hAnsi="IRNazanin" w:eastAsia="IRNazanin" w:cs="IRNazanin"/>
            <w:color w:val="111111"/>
            <w:sz w:val="22"/>
            <w:szCs w:val="22"/>
            <w:b w:val="0"/>
            <w:bCs w:val="0"/>
            <w:i w:val="0"/>
            <w:iCs w:val="0"/>
          </w:rPr>
          <w:t>•تاریخ معصومین(عليهم السلام) (جدول) / تاریخ معصومین / عربی</w:t>
        </w:r>
        <w:r>
          <w:tab/>
        </w:r>
        <w:r>
          <w:fldChar w:fldCharType="begin"/>
        </w:r>
        <w:r>
          <w:instrText xml:space="preserve">PAGEREF 1899 \h</w:instrText>
        </w:r>
        <w:r>
          <w:fldChar w:fldCharType="end"/>
        </w:r>
      </w:hyperlink>
    </w:p>
    <w:p>
      <w:pPr>
        <w:tabs>
          <w:tab w:val="right" w:leader="dot" w:pos="9062"/>
        </w:tabs>
        <w:ind w:left="440"/>
      </w:pPr>
      <w:hyperlink w:anchor="_Toc1900" w:history="1">
        <w:r>
          <w:rPr>
            <w:rFonts w:ascii="IRNazanin" w:hAnsi="IRNazanin" w:eastAsia="IRNazanin" w:cs="IRNazanin"/>
            <w:color w:val="111111"/>
            <w:sz w:val="22"/>
            <w:szCs w:val="22"/>
            <w:b w:val="0"/>
            <w:bCs w:val="0"/>
            <w:i w:val="0"/>
            <w:iCs w:val="0"/>
          </w:rPr>
          <w:t>•تاریخ مغول = ابتداء تاریخ مغول / تاریخ ایران / فارسی</w:t>
        </w:r>
        <w:r>
          <w:tab/>
        </w:r>
        <w:r>
          <w:fldChar w:fldCharType="begin"/>
        </w:r>
        <w:r>
          <w:instrText xml:space="preserve">PAGEREF 1900 \h</w:instrText>
        </w:r>
        <w:r>
          <w:fldChar w:fldCharType="end"/>
        </w:r>
      </w:hyperlink>
    </w:p>
    <w:p>
      <w:pPr>
        <w:tabs>
          <w:tab w:val="right" w:leader="dot" w:pos="9062"/>
        </w:tabs>
        <w:ind w:left="440"/>
      </w:pPr>
      <w:hyperlink w:anchor="_Toc1901" w:history="1">
        <w:r>
          <w:rPr>
            <w:rFonts w:ascii="IRNazanin" w:hAnsi="IRNazanin" w:eastAsia="IRNazanin" w:cs="IRNazanin"/>
            <w:color w:val="111111"/>
            <w:sz w:val="22"/>
            <w:szCs w:val="22"/>
            <w:b w:val="0"/>
            <w:bCs w:val="0"/>
            <w:i w:val="0"/>
            <w:iCs w:val="0"/>
          </w:rPr>
          <w:t>• تاریخ مغول / تاریخ ایران / فارسی</w:t>
        </w:r>
        <w:r>
          <w:tab/>
        </w:r>
        <w:r>
          <w:fldChar w:fldCharType="begin"/>
        </w:r>
        <w:r>
          <w:instrText xml:space="preserve">PAGEREF 1901 \h</w:instrText>
        </w:r>
        <w:r>
          <w:fldChar w:fldCharType="end"/>
        </w:r>
      </w:hyperlink>
    </w:p>
    <w:p>
      <w:pPr>
        <w:tabs>
          <w:tab w:val="right" w:leader="dot" w:pos="9062"/>
        </w:tabs>
        <w:ind w:left="440"/>
      </w:pPr>
      <w:hyperlink w:anchor="_Toc1902" w:history="1">
        <w:r>
          <w:rPr>
            <w:rFonts w:ascii="IRNazanin" w:hAnsi="IRNazanin" w:eastAsia="IRNazanin" w:cs="IRNazanin"/>
            <w:color w:val="111111"/>
            <w:sz w:val="22"/>
            <w:szCs w:val="22"/>
            <w:b w:val="0"/>
            <w:bCs w:val="0"/>
            <w:i w:val="0"/>
            <w:iCs w:val="0"/>
          </w:rPr>
          <w:t>•تاریخ مغول / تاریخ ایران / فارسی</w:t>
        </w:r>
        <w:r>
          <w:tab/>
        </w:r>
        <w:r>
          <w:fldChar w:fldCharType="begin"/>
        </w:r>
        <w:r>
          <w:instrText xml:space="preserve">PAGEREF 1902 \h</w:instrText>
        </w:r>
        <w:r>
          <w:fldChar w:fldCharType="end"/>
        </w:r>
      </w:hyperlink>
    </w:p>
    <w:p>
      <w:pPr>
        <w:tabs>
          <w:tab w:val="right" w:leader="dot" w:pos="9062"/>
        </w:tabs>
        <w:ind w:left="440"/>
      </w:pPr>
      <w:hyperlink w:anchor="_Toc1903" w:history="1">
        <w:r>
          <w:rPr>
            <w:rFonts w:ascii="IRNazanin" w:hAnsi="IRNazanin" w:eastAsia="IRNazanin" w:cs="IRNazanin"/>
            <w:color w:val="111111"/>
            <w:sz w:val="22"/>
            <w:szCs w:val="22"/>
            <w:b w:val="0"/>
            <w:bCs w:val="0"/>
            <w:i w:val="0"/>
            <w:iCs w:val="0"/>
          </w:rPr>
          <w:t>•تاریخ مغولها (مغولستان و ترکستان) / تاریخ ایران / فارسی</w:t>
        </w:r>
        <w:r>
          <w:tab/>
        </w:r>
        <w:r>
          <w:fldChar w:fldCharType="begin"/>
        </w:r>
        <w:r>
          <w:instrText xml:space="preserve">PAGEREF 1903 \h</w:instrText>
        </w:r>
        <w:r>
          <w:fldChar w:fldCharType="end"/>
        </w:r>
      </w:hyperlink>
    </w:p>
    <w:p>
      <w:pPr>
        <w:tabs>
          <w:tab w:val="right" w:leader="dot" w:pos="9062"/>
        </w:tabs>
        <w:ind w:left="440"/>
      </w:pPr>
      <w:hyperlink w:anchor="_Toc1904" w:history="1">
        <w:r>
          <w:rPr>
            <w:rFonts w:ascii="IRNazanin" w:hAnsi="IRNazanin" w:eastAsia="IRNazanin" w:cs="IRNazanin"/>
            <w:color w:val="111111"/>
            <w:sz w:val="22"/>
            <w:szCs w:val="22"/>
            <w:b w:val="0"/>
            <w:bCs w:val="0"/>
            <w:i w:val="0"/>
            <w:iCs w:val="0"/>
          </w:rPr>
          <w:t>•تاریخ مفصل مشروطیت ایران / تاریخ ایران / فارسی</w:t>
        </w:r>
        <w:r>
          <w:tab/>
        </w:r>
        <w:r>
          <w:fldChar w:fldCharType="begin"/>
        </w:r>
        <w:r>
          <w:instrText xml:space="preserve">PAGEREF 1904 \h</w:instrText>
        </w:r>
        <w:r>
          <w:fldChar w:fldCharType="end"/>
        </w:r>
      </w:hyperlink>
    </w:p>
    <w:p>
      <w:pPr>
        <w:tabs>
          <w:tab w:val="right" w:leader="dot" w:pos="9062"/>
        </w:tabs>
        <w:ind w:left="440"/>
      </w:pPr>
      <w:hyperlink w:anchor="_Toc1905" w:history="1">
        <w:r>
          <w:rPr>
            <w:rFonts w:ascii="IRNazanin" w:hAnsi="IRNazanin" w:eastAsia="IRNazanin" w:cs="IRNazanin"/>
            <w:color w:val="111111"/>
            <w:sz w:val="22"/>
            <w:szCs w:val="22"/>
            <w:b w:val="0"/>
            <w:bCs w:val="0"/>
            <w:i w:val="0"/>
            <w:iCs w:val="0"/>
          </w:rPr>
          <w:t>•تاریخ مقدس = ترجمه احوال حضرت ختمی مرتبت = سرگذشت پیامبر / تاریخ پیامبر اکرم(صلی الله علیه وآله وسلم)/ فارسی</w:t>
        </w:r>
        <w:r>
          <w:tab/>
        </w:r>
        <w:r>
          <w:fldChar w:fldCharType="begin"/>
        </w:r>
        <w:r>
          <w:instrText xml:space="preserve">PAGEREF 1905 \h</w:instrText>
        </w:r>
        <w:r>
          <w:fldChar w:fldCharType="end"/>
        </w:r>
      </w:hyperlink>
    </w:p>
    <w:p>
      <w:pPr>
        <w:tabs>
          <w:tab w:val="right" w:leader="dot" w:pos="9062"/>
        </w:tabs>
        <w:ind w:left="440"/>
      </w:pPr>
      <w:hyperlink w:anchor="_Toc1906" w:history="1">
        <w:r>
          <w:rPr>
            <w:rFonts w:ascii="IRNazanin" w:hAnsi="IRNazanin" w:eastAsia="IRNazanin" w:cs="IRNazanin"/>
            <w:color w:val="111111"/>
            <w:sz w:val="22"/>
            <w:szCs w:val="22"/>
            <w:b w:val="0"/>
            <w:bCs w:val="0"/>
            <w:i w:val="0"/>
            <w:iCs w:val="0"/>
          </w:rPr>
          <w:t>•تاریخ مقدماتی ایران / تاریخ / فارسی</w:t>
        </w:r>
        <w:r>
          <w:tab/>
        </w:r>
        <w:r>
          <w:fldChar w:fldCharType="begin"/>
        </w:r>
        <w:r>
          <w:instrText xml:space="preserve">PAGEREF 1906 \h</w:instrText>
        </w:r>
        <w:r>
          <w:fldChar w:fldCharType="end"/>
        </w:r>
      </w:hyperlink>
    </w:p>
    <w:p>
      <w:pPr>
        <w:tabs>
          <w:tab w:val="right" w:leader="dot" w:pos="9062"/>
        </w:tabs>
        <w:ind w:left="440"/>
      </w:pPr>
      <w:hyperlink w:anchor="_Toc1907" w:history="1">
        <w:r>
          <w:rPr>
            <w:rFonts w:ascii="IRNazanin" w:hAnsi="IRNazanin" w:eastAsia="IRNazanin" w:cs="IRNazanin"/>
            <w:color w:val="111111"/>
            <w:sz w:val="22"/>
            <w:szCs w:val="22"/>
            <w:b w:val="0"/>
            <w:bCs w:val="0"/>
            <w:i w:val="0"/>
            <w:iCs w:val="0"/>
          </w:rPr>
          <w:t>•تاریخ مکاتبات علامي / نامه نگاری / فارسی</w:t>
        </w:r>
        <w:r>
          <w:tab/>
        </w:r>
        <w:r>
          <w:fldChar w:fldCharType="begin"/>
        </w:r>
        <w:r>
          <w:instrText xml:space="preserve">PAGEREF 1907 \h</w:instrText>
        </w:r>
        <w:r>
          <w:fldChar w:fldCharType="end"/>
        </w:r>
      </w:hyperlink>
    </w:p>
    <w:p>
      <w:pPr>
        <w:tabs>
          <w:tab w:val="right" w:leader="dot" w:pos="9062"/>
        </w:tabs>
        <w:ind w:left="440"/>
      </w:pPr>
      <w:hyperlink w:anchor="_Toc1908" w:history="1">
        <w:r>
          <w:rPr>
            <w:rFonts w:ascii="IRNazanin" w:hAnsi="IRNazanin" w:eastAsia="IRNazanin" w:cs="IRNazanin"/>
            <w:color w:val="111111"/>
            <w:sz w:val="22"/>
            <w:szCs w:val="22"/>
            <w:b w:val="0"/>
            <w:bCs w:val="0"/>
            <w:i w:val="0"/>
            <w:iCs w:val="0"/>
          </w:rPr>
          <w:t>•تاریخ مکه / تاریخ / عربی</w:t>
        </w:r>
        <w:r>
          <w:tab/>
        </w:r>
        <w:r>
          <w:fldChar w:fldCharType="begin"/>
        </w:r>
        <w:r>
          <w:instrText xml:space="preserve">PAGEREF 1908 \h</w:instrText>
        </w:r>
        <w:r>
          <w:fldChar w:fldCharType="end"/>
        </w:r>
      </w:hyperlink>
    </w:p>
    <w:p>
      <w:pPr>
        <w:tabs>
          <w:tab w:val="right" w:leader="dot" w:pos="9062"/>
        </w:tabs>
        <w:ind w:left="440"/>
      </w:pPr>
      <w:hyperlink w:anchor="_Toc1909" w:history="1">
        <w:r>
          <w:rPr>
            <w:rFonts w:ascii="IRNazanin" w:hAnsi="IRNazanin" w:eastAsia="IRNazanin" w:cs="IRNazanin"/>
            <w:color w:val="111111"/>
            <w:sz w:val="22"/>
            <w:szCs w:val="22"/>
            <w:b w:val="0"/>
            <w:bCs w:val="0"/>
            <w:i w:val="0"/>
            <w:iCs w:val="0"/>
          </w:rPr>
          <w:t>•تاریخ مکه / تراجم / عربی</w:t>
        </w:r>
        <w:r>
          <w:tab/>
        </w:r>
        <w:r>
          <w:fldChar w:fldCharType="begin"/>
        </w:r>
        <w:r>
          <w:instrText xml:space="preserve">PAGEREF 1909 \h</w:instrText>
        </w:r>
        <w:r>
          <w:fldChar w:fldCharType="end"/>
        </w:r>
      </w:hyperlink>
    </w:p>
    <w:p>
      <w:pPr>
        <w:tabs>
          <w:tab w:val="right" w:leader="dot" w:pos="9062"/>
        </w:tabs>
        <w:ind w:left="440"/>
      </w:pPr>
      <w:hyperlink w:anchor="_Toc1910" w:history="1">
        <w:r>
          <w:rPr>
            <w:rFonts w:ascii="IRNazanin" w:hAnsi="IRNazanin" w:eastAsia="IRNazanin" w:cs="IRNazanin"/>
            <w:color w:val="111111"/>
            <w:sz w:val="22"/>
            <w:szCs w:val="22"/>
            <w:b w:val="0"/>
            <w:bCs w:val="0"/>
            <w:i w:val="0"/>
            <w:iCs w:val="0"/>
          </w:rPr>
          <w:t>•تاریخ مكة / تاریخ عربی</w:t>
        </w:r>
        <w:r>
          <w:tab/>
        </w:r>
        <w:r>
          <w:fldChar w:fldCharType="begin"/>
        </w:r>
        <w:r>
          <w:instrText xml:space="preserve">PAGEREF 1910 \h</w:instrText>
        </w:r>
        <w:r>
          <w:fldChar w:fldCharType="end"/>
        </w:r>
      </w:hyperlink>
    </w:p>
    <w:p>
      <w:pPr>
        <w:tabs>
          <w:tab w:val="right" w:leader="dot" w:pos="9062"/>
        </w:tabs>
        <w:ind w:left="440"/>
      </w:pPr>
      <w:hyperlink w:anchor="_Toc1911" w:history="1">
        <w:r>
          <w:rPr>
            <w:rFonts w:ascii="IRNazanin" w:hAnsi="IRNazanin" w:eastAsia="IRNazanin" w:cs="IRNazanin"/>
            <w:color w:val="111111"/>
            <w:sz w:val="22"/>
            <w:szCs w:val="22"/>
            <w:b w:val="0"/>
            <w:bCs w:val="0"/>
            <w:i w:val="0"/>
            <w:iCs w:val="0"/>
          </w:rPr>
          <w:t>•تاریخ مکه / تاریخ / فارسی</w:t>
        </w:r>
        <w:r>
          <w:tab/>
        </w:r>
        <w:r>
          <w:fldChar w:fldCharType="begin"/>
        </w:r>
        <w:r>
          <w:instrText xml:space="preserve">PAGEREF 1911 \h</w:instrText>
        </w:r>
        <w:r>
          <w:fldChar w:fldCharType="end"/>
        </w:r>
      </w:hyperlink>
    </w:p>
    <w:p>
      <w:pPr>
        <w:tabs>
          <w:tab w:val="right" w:leader="dot" w:pos="9062"/>
        </w:tabs>
        <w:ind w:left="440"/>
      </w:pPr>
      <w:hyperlink w:anchor="_Toc1912" w:history="1">
        <w:r>
          <w:rPr>
            <w:rFonts w:ascii="IRNazanin" w:hAnsi="IRNazanin" w:eastAsia="IRNazanin" w:cs="IRNazanin"/>
            <w:color w:val="111111"/>
            <w:sz w:val="22"/>
            <w:szCs w:val="22"/>
            <w:b w:val="0"/>
            <w:bCs w:val="0"/>
            <w:i w:val="0"/>
            <w:iCs w:val="0"/>
          </w:rPr>
          <w:t>•تاریخ ملا کمال / تاریخ / فارسی</w:t>
        </w:r>
        <w:r>
          <w:tab/>
        </w:r>
        <w:r>
          <w:fldChar w:fldCharType="begin"/>
        </w:r>
        <w:r>
          <w:instrText xml:space="preserve">PAGEREF 1912 \h</w:instrText>
        </w:r>
        <w:r>
          <w:fldChar w:fldCharType="end"/>
        </w:r>
      </w:hyperlink>
    </w:p>
    <w:p>
      <w:pPr>
        <w:tabs>
          <w:tab w:val="right" w:leader="dot" w:pos="9062"/>
        </w:tabs>
        <w:ind w:left="440"/>
      </w:pPr>
      <w:hyperlink w:anchor="_Toc1913" w:history="1">
        <w:r>
          <w:rPr>
            <w:rFonts w:ascii="IRNazanin" w:hAnsi="IRNazanin" w:eastAsia="IRNazanin" w:cs="IRNazanin"/>
            <w:color w:val="111111"/>
            <w:sz w:val="22"/>
            <w:szCs w:val="22"/>
            <w:b w:val="0"/>
            <w:bCs w:val="0"/>
            <w:i w:val="0"/>
            <w:iCs w:val="0"/>
          </w:rPr>
          <w:t>•تاریخ ملک آرا = تاریخ قاجاریه / تاریخ ایران / فارسی</w:t>
        </w:r>
        <w:r>
          <w:tab/>
        </w:r>
        <w:r>
          <w:fldChar w:fldCharType="begin"/>
        </w:r>
        <w:r>
          <w:instrText xml:space="preserve">PAGEREF 1913 \h</w:instrText>
        </w:r>
        <w:r>
          <w:fldChar w:fldCharType="end"/>
        </w:r>
      </w:hyperlink>
    </w:p>
    <w:p>
      <w:pPr>
        <w:tabs>
          <w:tab w:val="right" w:leader="dot" w:pos="9062"/>
        </w:tabs>
        <w:ind w:left="440"/>
      </w:pPr>
      <w:hyperlink w:anchor="_Toc1914" w:history="1">
        <w:r>
          <w:rPr>
            <w:rFonts w:ascii="IRNazanin" w:hAnsi="IRNazanin" w:eastAsia="IRNazanin" w:cs="IRNazanin"/>
            <w:color w:val="111111"/>
            <w:sz w:val="22"/>
            <w:szCs w:val="22"/>
            <w:b w:val="0"/>
            <w:bCs w:val="0"/>
            <w:i w:val="0"/>
            <w:iCs w:val="0"/>
          </w:rPr>
          <w:t>•تاریخ ملكزادگان تخمه خاقان مغفور = شجره نامه قاجار / تاریخ ایران / فارسی</w:t>
        </w:r>
        <w:r>
          <w:tab/>
        </w:r>
        <w:r>
          <w:fldChar w:fldCharType="begin"/>
        </w:r>
        <w:r>
          <w:instrText xml:space="preserve">PAGEREF 1914 \h</w:instrText>
        </w:r>
        <w:r>
          <w:fldChar w:fldCharType="end"/>
        </w:r>
      </w:hyperlink>
    </w:p>
    <w:p>
      <w:pPr>
        <w:tabs>
          <w:tab w:val="right" w:leader="dot" w:pos="9062"/>
        </w:tabs>
        <w:ind w:left="440"/>
      </w:pPr>
      <w:hyperlink w:anchor="_Toc1915" w:history="1">
        <w:r>
          <w:rPr>
            <w:rFonts w:ascii="IRNazanin" w:hAnsi="IRNazanin" w:eastAsia="IRNazanin" w:cs="IRNazanin"/>
            <w:color w:val="111111"/>
            <w:sz w:val="22"/>
            <w:szCs w:val="22"/>
            <w:b w:val="0"/>
            <w:bCs w:val="0"/>
            <w:i w:val="0"/>
            <w:iCs w:val="0"/>
          </w:rPr>
          <w:t>•تاریخ الملك الظاهر / تاریخ / عربی</w:t>
        </w:r>
        <w:r>
          <w:tab/>
        </w:r>
        <w:r>
          <w:fldChar w:fldCharType="begin"/>
        </w:r>
        <w:r>
          <w:instrText xml:space="preserve">PAGEREF 1915 \h</w:instrText>
        </w:r>
        <w:r>
          <w:fldChar w:fldCharType="end"/>
        </w:r>
      </w:hyperlink>
    </w:p>
    <w:p>
      <w:pPr>
        <w:tabs>
          <w:tab w:val="right" w:leader="dot" w:pos="9062"/>
        </w:tabs>
        <w:ind w:left="440"/>
      </w:pPr>
      <w:hyperlink w:anchor="_Toc1916" w:history="1">
        <w:r>
          <w:rPr>
            <w:rFonts w:ascii="IRNazanin" w:hAnsi="IRNazanin" w:eastAsia="IRNazanin" w:cs="IRNazanin"/>
            <w:color w:val="111111"/>
            <w:sz w:val="22"/>
            <w:szCs w:val="22"/>
            <w:b w:val="0"/>
            <w:bCs w:val="0"/>
            <w:i w:val="0"/>
            <w:iCs w:val="0"/>
          </w:rPr>
          <w:t>•تاریخ ملل قديمه مشرق / تاریخ / فارسی</w:t>
        </w:r>
        <w:r>
          <w:tab/>
        </w:r>
        <w:r>
          <w:fldChar w:fldCharType="begin"/>
        </w:r>
        <w:r>
          <w:instrText xml:space="preserve">PAGEREF 1916 \h</w:instrText>
        </w:r>
        <w:r>
          <w:fldChar w:fldCharType="end"/>
        </w:r>
      </w:hyperlink>
    </w:p>
    <w:p>
      <w:pPr>
        <w:tabs>
          <w:tab w:val="right" w:leader="dot" w:pos="9062"/>
        </w:tabs>
        <w:ind w:left="440"/>
      </w:pPr>
      <w:hyperlink w:anchor="_Toc1917" w:history="1">
        <w:r>
          <w:rPr>
            <w:rFonts w:ascii="IRNazanin" w:hAnsi="IRNazanin" w:eastAsia="IRNazanin" w:cs="IRNazanin"/>
            <w:color w:val="111111"/>
            <w:sz w:val="22"/>
            <w:szCs w:val="22"/>
            <w:b w:val="0"/>
            <w:bCs w:val="0"/>
            <w:i w:val="0"/>
            <w:iCs w:val="0"/>
          </w:rPr>
          <w:t>•تاریخ ملل قديمه مشرق / تاریخ / فارسی</w:t>
        </w:r>
        <w:r>
          <w:tab/>
        </w:r>
        <w:r>
          <w:fldChar w:fldCharType="begin"/>
        </w:r>
        <w:r>
          <w:instrText xml:space="preserve">PAGEREF 1917 \h</w:instrText>
        </w:r>
        <w:r>
          <w:fldChar w:fldCharType="end"/>
        </w:r>
      </w:hyperlink>
    </w:p>
    <w:p>
      <w:pPr>
        <w:tabs>
          <w:tab w:val="right" w:leader="dot" w:pos="9062"/>
        </w:tabs>
        <w:ind w:left="440"/>
      </w:pPr>
      <w:hyperlink w:anchor="_Toc1918" w:history="1">
        <w:r>
          <w:rPr>
            <w:rFonts w:ascii="IRNazanin" w:hAnsi="IRNazanin" w:eastAsia="IRNazanin" w:cs="IRNazanin"/>
            <w:color w:val="111111"/>
            <w:sz w:val="22"/>
            <w:szCs w:val="22"/>
            <w:b w:val="0"/>
            <w:bCs w:val="0"/>
            <w:i w:val="0"/>
            <w:iCs w:val="0"/>
          </w:rPr>
          <w:t>• تاریخ ملوک اسلامی / تاریخ / ترکی</w:t>
        </w:r>
        <w:r>
          <w:tab/>
        </w:r>
        <w:r>
          <w:fldChar w:fldCharType="begin"/>
        </w:r>
        <w:r>
          <w:instrText xml:space="preserve">PAGEREF 1918 \h</w:instrText>
        </w:r>
        <w:r>
          <w:fldChar w:fldCharType="end"/>
        </w:r>
      </w:hyperlink>
    </w:p>
    <w:p>
      <w:pPr>
        <w:tabs>
          <w:tab w:val="right" w:leader="dot" w:pos="9062"/>
        </w:tabs>
        <w:ind w:left="440"/>
      </w:pPr>
      <w:hyperlink w:anchor="_Toc1919" w:history="1">
        <w:r>
          <w:rPr>
            <w:rFonts w:ascii="IRNazanin" w:hAnsi="IRNazanin" w:eastAsia="IRNazanin" w:cs="IRNazanin"/>
            <w:color w:val="111111"/>
            <w:sz w:val="22"/>
            <w:szCs w:val="22"/>
            <w:b w:val="0"/>
            <w:bCs w:val="0"/>
            <w:i w:val="0"/>
            <w:iCs w:val="0"/>
          </w:rPr>
          <w:t>•تاریخ ملوک ایران / تاریخ ایران / فارسی</w:t>
        </w:r>
        <w:r>
          <w:tab/>
        </w:r>
        <w:r>
          <w:fldChar w:fldCharType="begin"/>
        </w:r>
        <w:r>
          <w:instrText xml:space="preserve">PAGEREF 1919 \h</w:instrText>
        </w:r>
        <w:r>
          <w:fldChar w:fldCharType="end"/>
        </w:r>
      </w:hyperlink>
    </w:p>
    <w:p>
      <w:pPr>
        <w:tabs>
          <w:tab w:val="right" w:leader="dot" w:pos="9062"/>
        </w:tabs>
        <w:ind w:left="440"/>
      </w:pPr>
      <w:hyperlink w:anchor="_Toc1920" w:history="1">
        <w:r>
          <w:rPr>
            <w:rFonts w:ascii="IRNazanin" w:hAnsi="IRNazanin" w:eastAsia="IRNazanin" w:cs="IRNazanin"/>
            <w:color w:val="111111"/>
            <w:sz w:val="22"/>
            <w:szCs w:val="22"/>
            <w:b w:val="0"/>
            <w:bCs w:val="0"/>
            <w:i w:val="0"/>
            <w:iCs w:val="0"/>
          </w:rPr>
          <w:t>•تاریخ ملوک عجم = کتاب تاریخ / تاریخ ایران / ترکی</w:t>
        </w:r>
        <w:r>
          <w:tab/>
        </w:r>
        <w:r>
          <w:fldChar w:fldCharType="begin"/>
        </w:r>
        <w:r>
          <w:instrText xml:space="preserve">PAGEREF 1920 \h</w:instrText>
        </w:r>
        <w:r>
          <w:fldChar w:fldCharType="end"/>
        </w:r>
      </w:hyperlink>
    </w:p>
    <w:p>
      <w:pPr>
        <w:tabs>
          <w:tab w:val="right" w:leader="dot" w:pos="9062"/>
        </w:tabs>
        <w:ind w:left="440"/>
      </w:pPr>
      <w:hyperlink w:anchor="_Toc1921" w:history="1">
        <w:r>
          <w:rPr>
            <w:rFonts w:ascii="IRNazanin" w:hAnsi="IRNazanin" w:eastAsia="IRNazanin" w:cs="IRNazanin"/>
            <w:color w:val="111111"/>
            <w:sz w:val="22"/>
            <w:szCs w:val="22"/>
            <w:b w:val="0"/>
            <w:bCs w:val="0"/>
            <w:i w:val="0"/>
            <w:iCs w:val="0"/>
          </w:rPr>
          <w:t>• تاریخ ملوک عجم / تاریخ / فارسی</w:t>
        </w:r>
        <w:r>
          <w:tab/>
        </w:r>
        <w:r>
          <w:fldChar w:fldCharType="begin"/>
        </w:r>
        <w:r>
          <w:instrText xml:space="preserve">PAGEREF 1921 \h</w:instrText>
        </w:r>
        <w:r>
          <w:fldChar w:fldCharType="end"/>
        </w:r>
      </w:hyperlink>
    </w:p>
    <w:p>
      <w:pPr>
        <w:tabs>
          <w:tab w:val="right" w:leader="dot" w:pos="9062"/>
        </w:tabs>
        <w:ind w:left="440"/>
      </w:pPr>
      <w:hyperlink w:anchor="_Toc1922" w:history="1">
        <w:r>
          <w:rPr>
            <w:rFonts w:ascii="IRNazanin" w:hAnsi="IRNazanin" w:eastAsia="IRNazanin" w:cs="IRNazanin"/>
            <w:color w:val="111111"/>
            <w:sz w:val="22"/>
            <w:szCs w:val="22"/>
            <w:b w:val="0"/>
            <w:bCs w:val="0"/>
            <w:i w:val="0"/>
            <w:iCs w:val="0"/>
          </w:rPr>
          <w:t>•تاریخ ملوک عجم / تاریخ ایران / فارسی</w:t>
        </w:r>
        <w:r>
          <w:tab/>
        </w:r>
        <w:r>
          <w:fldChar w:fldCharType="begin"/>
        </w:r>
        <w:r>
          <w:instrText xml:space="preserve">PAGEREF 1922 \h</w:instrText>
        </w:r>
        <w:r>
          <w:fldChar w:fldCharType="end"/>
        </w:r>
      </w:hyperlink>
    </w:p>
    <w:p>
      <w:pPr>
        <w:tabs>
          <w:tab w:val="right" w:leader="dot" w:pos="9062"/>
        </w:tabs>
        <w:ind w:left="440"/>
      </w:pPr>
      <w:hyperlink w:anchor="_Toc1923" w:history="1">
        <w:r>
          <w:rPr>
            <w:rFonts w:ascii="IRNazanin" w:hAnsi="IRNazanin" w:eastAsia="IRNazanin" w:cs="IRNazanin"/>
            <w:color w:val="111111"/>
            <w:sz w:val="22"/>
            <w:szCs w:val="22"/>
            <w:b w:val="0"/>
            <w:bCs w:val="0"/>
            <w:i w:val="0"/>
            <w:iCs w:val="0"/>
          </w:rPr>
          <w:t>•تاریخ ملوک عجم = تاریخ الملوک و الأنبياء / تاریخ / فارسی</w:t>
        </w:r>
        <w:r>
          <w:tab/>
        </w:r>
        <w:r>
          <w:fldChar w:fldCharType="begin"/>
        </w:r>
        <w:r>
          <w:instrText xml:space="preserve">PAGEREF 1923 \h</w:instrText>
        </w:r>
        <w:r>
          <w:fldChar w:fldCharType="end"/>
        </w:r>
      </w:hyperlink>
    </w:p>
    <w:p>
      <w:pPr>
        <w:tabs>
          <w:tab w:val="right" w:leader="dot" w:pos="9062"/>
        </w:tabs>
        <w:ind w:left="440"/>
      </w:pPr>
      <w:hyperlink w:anchor="_Toc1924" w:history="1">
        <w:r>
          <w:rPr>
            <w:rFonts w:ascii="IRNazanin" w:hAnsi="IRNazanin" w:eastAsia="IRNazanin" w:cs="IRNazanin"/>
            <w:color w:val="111111"/>
            <w:sz w:val="22"/>
            <w:szCs w:val="22"/>
            <w:b w:val="0"/>
            <w:bCs w:val="0"/>
            <w:i w:val="0"/>
            <w:iCs w:val="0"/>
          </w:rPr>
          <w:t>•تاریخ ملوک عجم و اولاد معصومین / تاریخ / فارسی</w:t>
        </w:r>
        <w:r>
          <w:tab/>
        </w:r>
        <w:r>
          <w:fldChar w:fldCharType="begin"/>
        </w:r>
        <w:r>
          <w:instrText xml:space="preserve">PAGEREF 1924 \h</w:instrText>
        </w:r>
        <w:r>
          <w:fldChar w:fldCharType="end"/>
        </w:r>
      </w:hyperlink>
    </w:p>
    <w:p>
      <w:pPr>
        <w:tabs>
          <w:tab w:val="right" w:leader="dot" w:pos="9062"/>
        </w:tabs>
        <w:ind w:left="440"/>
      </w:pPr>
      <w:hyperlink w:anchor="_Toc1925" w:history="1">
        <w:r>
          <w:rPr>
            <w:rFonts w:ascii="IRNazanin" w:hAnsi="IRNazanin" w:eastAsia="IRNazanin" w:cs="IRNazanin"/>
            <w:color w:val="111111"/>
            <w:sz w:val="22"/>
            <w:szCs w:val="22"/>
            <w:b w:val="0"/>
            <w:bCs w:val="0"/>
            <w:i w:val="0"/>
            <w:iCs w:val="0"/>
          </w:rPr>
          <w:t>•تاریخ ملوک قاجار / تاریخ پادشاهان / فارسی</w:t>
        </w:r>
        <w:r>
          <w:tab/>
        </w:r>
        <w:r>
          <w:fldChar w:fldCharType="begin"/>
        </w:r>
        <w:r>
          <w:instrText xml:space="preserve">PAGEREF 1925 \h</w:instrText>
        </w:r>
        <w:r>
          <w:fldChar w:fldCharType="end"/>
        </w:r>
      </w:hyperlink>
    </w:p>
    <w:p>
      <w:pPr>
        <w:tabs>
          <w:tab w:val="right" w:leader="dot" w:pos="9062"/>
        </w:tabs>
        <w:ind w:left="440"/>
      </w:pPr>
      <w:hyperlink w:anchor="_Toc1926" w:history="1">
        <w:r>
          <w:rPr>
            <w:rFonts w:ascii="IRNazanin" w:hAnsi="IRNazanin" w:eastAsia="IRNazanin" w:cs="IRNazanin"/>
            <w:color w:val="111111"/>
            <w:sz w:val="22"/>
            <w:szCs w:val="22"/>
            <w:b w:val="0"/>
            <w:bCs w:val="0"/>
            <w:i w:val="0"/>
            <w:iCs w:val="0"/>
          </w:rPr>
          <w:t>•تاریخ ملوک مصر / تاریخ پادشاهان / عربی</w:t>
        </w:r>
        <w:r>
          <w:tab/>
        </w:r>
        <w:r>
          <w:fldChar w:fldCharType="begin"/>
        </w:r>
        <w:r>
          <w:instrText xml:space="preserve">PAGEREF 1926 \h</w:instrText>
        </w:r>
        <w:r>
          <w:fldChar w:fldCharType="end"/>
        </w:r>
      </w:hyperlink>
    </w:p>
    <w:p>
      <w:pPr>
        <w:tabs>
          <w:tab w:val="right" w:leader="dot" w:pos="9062"/>
        </w:tabs>
        <w:ind w:left="440"/>
      </w:pPr>
      <w:hyperlink w:anchor="_Toc1927" w:history="1">
        <w:r>
          <w:rPr>
            <w:rFonts w:ascii="IRNazanin" w:hAnsi="IRNazanin" w:eastAsia="IRNazanin" w:cs="IRNazanin"/>
            <w:color w:val="111111"/>
            <w:sz w:val="22"/>
            <w:szCs w:val="22"/>
            <w:b w:val="0"/>
            <w:bCs w:val="0"/>
            <w:i w:val="0"/>
            <w:iCs w:val="0"/>
          </w:rPr>
          <w:t>•تاریخ الملوک و البلدان / جغرافیا، تاریخ / عربی</w:t>
        </w:r>
        <w:r>
          <w:tab/>
        </w:r>
        <w:r>
          <w:fldChar w:fldCharType="begin"/>
        </w:r>
        <w:r>
          <w:instrText xml:space="preserve">PAGEREF 1927 \h</w:instrText>
        </w:r>
        <w:r>
          <w:fldChar w:fldCharType="end"/>
        </w:r>
      </w:hyperlink>
    </w:p>
    <w:p>
      <w:pPr>
        <w:tabs>
          <w:tab w:val="right" w:leader="dot" w:pos="9062"/>
        </w:tabs>
        <w:ind w:left="440"/>
      </w:pPr>
      <w:hyperlink w:anchor="_Toc1928" w:history="1">
        <w:r>
          <w:rPr>
            <w:rFonts w:ascii="IRNazanin" w:hAnsi="IRNazanin" w:eastAsia="IRNazanin" w:cs="IRNazanin"/>
            <w:color w:val="111111"/>
            <w:sz w:val="22"/>
            <w:szCs w:val="22"/>
            <w:b w:val="0"/>
            <w:bCs w:val="0"/>
            <w:i w:val="0"/>
            <w:iCs w:val="0"/>
          </w:rPr>
          <w:t>•تاريخ مملکت ایران و سلطنت سلسله جليله قاجاریه = تاریخ معاصر ایران / تاریخ ایران / فارسی</w:t>
        </w:r>
        <w:r>
          <w:tab/>
        </w:r>
        <w:r>
          <w:fldChar w:fldCharType="begin"/>
        </w:r>
        <w:r>
          <w:instrText xml:space="preserve">PAGEREF 1928 \h</w:instrText>
        </w:r>
        <w:r>
          <w:fldChar w:fldCharType="end"/>
        </w:r>
      </w:hyperlink>
    </w:p>
    <w:p>
      <w:pPr>
        <w:tabs>
          <w:tab w:val="right" w:leader="dot" w:pos="9062"/>
        </w:tabs>
        <w:ind w:left="440"/>
      </w:pPr>
      <w:hyperlink w:anchor="_Toc1929" w:history="1">
        <w:r>
          <w:rPr>
            <w:rFonts w:ascii="IRNazanin" w:hAnsi="IRNazanin" w:eastAsia="IRNazanin" w:cs="IRNazanin"/>
            <w:color w:val="111111"/>
            <w:sz w:val="22"/>
            <w:szCs w:val="22"/>
            <w:b w:val="0"/>
            <w:bCs w:val="0"/>
            <w:i w:val="0"/>
            <w:iCs w:val="0"/>
          </w:rPr>
          <w:t>•تاریخ مملکت چین / تاریخ جهان / فارسی</w:t>
        </w:r>
        <w:r>
          <w:tab/>
        </w:r>
        <w:r>
          <w:fldChar w:fldCharType="begin"/>
        </w:r>
        <w:r>
          <w:instrText xml:space="preserve">PAGEREF 1929 \h</w:instrText>
        </w:r>
        <w:r>
          <w:fldChar w:fldCharType="end"/>
        </w:r>
      </w:hyperlink>
    </w:p>
    <w:p>
      <w:pPr>
        <w:tabs>
          <w:tab w:val="right" w:leader="dot" w:pos="9062"/>
        </w:tabs>
        <w:ind w:left="440"/>
      </w:pPr>
      <w:hyperlink w:anchor="_Toc1930" w:history="1">
        <w:r>
          <w:rPr>
            <w:rFonts w:ascii="IRNazanin" w:hAnsi="IRNazanin" w:eastAsia="IRNazanin" w:cs="IRNazanin"/>
            <w:color w:val="111111"/>
            <w:sz w:val="22"/>
            <w:szCs w:val="22"/>
            <w:b w:val="0"/>
            <w:bCs w:val="0"/>
            <w:i w:val="0"/>
            <w:iCs w:val="0"/>
          </w:rPr>
          <w:t>•تاریخ مملکت «ساووا» و «پی یمن» / تاریخ / فارسی</w:t>
        </w:r>
        <w:r>
          <w:tab/>
        </w:r>
        <w:r>
          <w:fldChar w:fldCharType="begin"/>
        </w:r>
        <w:r>
          <w:instrText xml:space="preserve">PAGEREF 1930 \h</w:instrText>
        </w:r>
        <w:r>
          <w:fldChar w:fldCharType="end"/>
        </w:r>
      </w:hyperlink>
    </w:p>
    <w:p>
      <w:pPr>
        <w:tabs>
          <w:tab w:val="right" w:leader="dot" w:pos="9062"/>
        </w:tabs>
        <w:ind w:left="440"/>
      </w:pPr>
      <w:hyperlink w:anchor="_Toc1931" w:history="1">
        <w:r>
          <w:rPr>
            <w:rFonts w:ascii="IRNazanin" w:hAnsi="IRNazanin" w:eastAsia="IRNazanin" w:cs="IRNazanin"/>
            <w:color w:val="111111"/>
            <w:sz w:val="22"/>
            <w:szCs w:val="22"/>
            <w:b w:val="0"/>
            <w:bCs w:val="0"/>
            <w:i w:val="0"/>
            <w:iCs w:val="0"/>
          </w:rPr>
          <w:t>•تاريخ مملكت هندوستان / تاریخ هند / فارسی</w:t>
        </w:r>
        <w:r>
          <w:tab/>
        </w:r>
        <w:r>
          <w:fldChar w:fldCharType="begin"/>
        </w:r>
        <w:r>
          <w:instrText xml:space="preserve">PAGEREF 1931 \h</w:instrText>
        </w:r>
        <w:r>
          <w:fldChar w:fldCharType="end"/>
        </w:r>
      </w:hyperlink>
    </w:p>
    <w:p>
      <w:pPr>
        <w:tabs>
          <w:tab w:val="right" w:leader="dot" w:pos="9062"/>
        </w:tabs>
        <w:ind w:left="440"/>
      </w:pPr>
      <w:hyperlink w:anchor="_Toc1932" w:history="1">
        <w:r>
          <w:rPr>
            <w:rFonts w:ascii="IRNazanin" w:hAnsi="IRNazanin" w:eastAsia="IRNazanin" w:cs="IRNazanin"/>
            <w:color w:val="111111"/>
            <w:sz w:val="22"/>
            <w:szCs w:val="22"/>
            <w:b w:val="0"/>
            <w:bCs w:val="0"/>
            <w:i w:val="0"/>
            <w:iCs w:val="0"/>
          </w:rPr>
          <w:t>• تاریخ منتخب / تاریخ / ترکی</w:t>
        </w:r>
        <w:r>
          <w:tab/>
        </w:r>
        <w:r>
          <w:fldChar w:fldCharType="begin"/>
        </w:r>
        <w:r>
          <w:instrText xml:space="preserve">PAGEREF 1932 \h</w:instrText>
        </w:r>
        <w:r>
          <w:fldChar w:fldCharType="end"/>
        </w:r>
      </w:hyperlink>
    </w:p>
    <w:p>
      <w:pPr>
        <w:tabs>
          <w:tab w:val="right" w:leader="dot" w:pos="9062"/>
        </w:tabs>
        <w:ind w:left="440"/>
      </w:pPr>
      <w:hyperlink w:anchor="_Toc1933" w:history="1">
        <w:r>
          <w:rPr>
            <w:rFonts w:ascii="IRNazanin" w:hAnsi="IRNazanin" w:eastAsia="IRNazanin" w:cs="IRNazanin"/>
            <w:color w:val="111111"/>
            <w:sz w:val="22"/>
            <w:szCs w:val="22"/>
            <w:b w:val="0"/>
            <w:bCs w:val="0"/>
            <w:i w:val="0"/>
            <w:iCs w:val="0"/>
          </w:rPr>
          <w:t>•تاریخ منظوم الهامی = مسعود نامه / تاریخ / فارسی</w:t>
        </w:r>
        <w:r>
          <w:tab/>
        </w:r>
        <w:r>
          <w:fldChar w:fldCharType="begin"/>
        </w:r>
        <w:r>
          <w:instrText xml:space="preserve">PAGEREF 1933 \h</w:instrText>
        </w:r>
        <w:r>
          <w:fldChar w:fldCharType="end"/>
        </w:r>
      </w:hyperlink>
    </w:p>
    <w:p>
      <w:pPr>
        <w:tabs>
          <w:tab w:val="right" w:leader="dot" w:pos="9062"/>
        </w:tabs>
        <w:ind w:left="440"/>
      </w:pPr>
      <w:hyperlink w:anchor="_Toc1934" w:history="1">
        <w:r>
          <w:rPr>
            <w:rFonts w:ascii="IRNazanin" w:hAnsi="IRNazanin" w:eastAsia="IRNazanin" w:cs="IRNazanin"/>
            <w:color w:val="111111"/>
            <w:sz w:val="22"/>
            <w:szCs w:val="22"/>
            <w:b w:val="0"/>
            <w:bCs w:val="0"/>
            <w:i w:val="0"/>
            <w:iCs w:val="0"/>
          </w:rPr>
          <w:t>•تاریخ منظوم ائمه / شعر / فارسی</w:t>
        </w:r>
        <w:r>
          <w:tab/>
        </w:r>
        <w:r>
          <w:fldChar w:fldCharType="begin"/>
        </w:r>
        <w:r>
          <w:instrText xml:space="preserve">PAGEREF 1934 \h</w:instrText>
        </w:r>
        <w:r>
          <w:fldChar w:fldCharType="end"/>
        </w:r>
      </w:hyperlink>
    </w:p>
    <w:p>
      <w:pPr>
        <w:tabs>
          <w:tab w:val="right" w:leader="dot" w:pos="9062"/>
        </w:tabs>
        <w:ind w:left="440"/>
      </w:pPr>
      <w:hyperlink w:anchor="_Toc1935" w:history="1">
        <w:r>
          <w:rPr>
            <w:rFonts w:ascii="IRNazanin" w:hAnsi="IRNazanin" w:eastAsia="IRNazanin" w:cs="IRNazanin"/>
            <w:color w:val="111111"/>
            <w:sz w:val="22"/>
            <w:szCs w:val="22"/>
            <w:b w:val="0"/>
            <w:bCs w:val="0"/>
            <w:i w:val="0"/>
            <w:iCs w:val="0"/>
          </w:rPr>
          <w:t>• تاریخ منظوم شاهان / تاریخ / فارسی</w:t>
        </w:r>
        <w:r>
          <w:tab/>
        </w:r>
        <w:r>
          <w:fldChar w:fldCharType="begin"/>
        </w:r>
        <w:r>
          <w:instrText xml:space="preserve">PAGEREF 1935 \h</w:instrText>
        </w:r>
        <w:r>
          <w:fldChar w:fldCharType="end"/>
        </w:r>
      </w:hyperlink>
    </w:p>
    <w:p>
      <w:pPr>
        <w:tabs>
          <w:tab w:val="right" w:leader="dot" w:pos="9062"/>
        </w:tabs>
        <w:ind w:left="440"/>
      </w:pPr>
      <w:hyperlink w:anchor="_Toc1936" w:history="1">
        <w:r>
          <w:rPr>
            <w:rFonts w:ascii="IRNazanin" w:hAnsi="IRNazanin" w:eastAsia="IRNazanin" w:cs="IRNazanin"/>
            <w:color w:val="111111"/>
            <w:sz w:val="22"/>
            <w:szCs w:val="22"/>
            <w:b w:val="0"/>
            <w:bCs w:val="0"/>
            <w:i w:val="0"/>
            <w:iCs w:val="0"/>
          </w:rPr>
          <w:t>• تاریخ مواليد اهل البيت = مواليد الأئمة و انسابهم و وفياتهم / تاریخ معصومین / عربی</w:t>
        </w:r>
        <w:r>
          <w:tab/>
        </w:r>
        <w:r>
          <w:fldChar w:fldCharType="begin"/>
        </w:r>
        <w:r>
          <w:instrText xml:space="preserve">PAGEREF 1936 \h</w:instrText>
        </w:r>
        <w:r>
          <w:fldChar w:fldCharType="end"/>
        </w:r>
      </w:hyperlink>
    </w:p>
    <w:p>
      <w:pPr>
        <w:tabs>
          <w:tab w:val="right" w:leader="dot" w:pos="9062"/>
        </w:tabs>
        <w:ind w:left="440"/>
      </w:pPr>
      <w:hyperlink w:anchor="_Toc1937" w:history="1">
        <w:r>
          <w:rPr>
            <w:rFonts w:ascii="IRNazanin" w:hAnsi="IRNazanin" w:eastAsia="IRNazanin" w:cs="IRNazanin"/>
            <w:color w:val="111111"/>
            <w:sz w:val="22"/>
            <w:szCs w:val="22"/>
            <w:b w:val="0"/>
            <w:bCs w:val="0"/>
            <w:i w:val="0"/>
            <w:iCs w:val="0"/>
          </w:rPr>
          <w:t>•تاریخ موسیقی / موسیقی / فارسی</w:t>
        </w:r>
        <w:r>
          <w:tab/>
        </w:r>
        <w:r>
          <w:fldChar w:fldCharType="begin"/>
        </w:r>
        <w:r>
          <w:instrText xml:space="preserve">PAGEREF 1937 \h</w:instrText>
        </w:r>
        <w:r>
          <w:fldChar w:fldCharType="end"/>
        </w:r>
      </w:hyperlink>
    </w:p>
    <w:p>
      <w:pPr>
        <w:tabs>
          <w:tab w:val="right" w:leader="dot" w:pos="9062"/>
        </w:tabs>
        <w:ind w:left="440"/>
      </w:pPr>
      <w:hyperlink w:anchor="_Toc1938" w:history="1">
        <w:r>
          <w:rPr>
            <w:rFonts w:ascii="IRNazanin" w:hAnsi="IRNazanin" w:eastAsia="IRNazanin" w:cs="IRNazanin"/>
            <w:color w:val="111111"/>
            <w:sz w:val="22"/>
            <w:szCs w:val="22"/>
            <w:b w:val="0"/>
            <w:bCs w:val="0"/>
            <w:i w:val="0"/>
            <w:iCs w:val="0"/>
          </w:rPr>
          <w:t>•تاريخ الموصل / تاریخ /عربی /</w:t>
        </w:r>
        <w:r>
          <w:tab/>
        </w:r>
        <w:r>
          <w:fldChar w:fldCharType="begin"/>
        </w:r>
        <w:r>
          <w:instrText xml:space="preserve">PAGEREF 1938 \h</w:instrText>
        </w:r>
        <w:r>
          <w:fldChar w:fldCharType="end"/>
        </w:r>
      </w:hyperlink>
    </w:p>
    <w:p>
      <w:pPr>
        <w:tabs>
          <w:tab w:val="right" w:leader="dot" w:pos="9062"/>
        </w:tabs>
        <w:ind w:left="440"/>
      </w:pPr>
      <w:hyperlink w:anchor="_Toc1939" w:history="1">
        <w:r>
          <w:rPr>
            <w:rFonts w:ascii="IRNazanin" w:hAnsi="IRNazanin" w:eastAsia="IRNazanin" w:cs="IRNazanin"/>
            <w:color w:val="111111"/>
            <w:sz w:val="22"/>
            <w:szCs w:val="22"/>
            <w:b w:val="0"/>
            <w:bCs w:val="0"/>
            <w:i w:val="0"/>
            <w:iCs w:val="0"/>
          </w:rPr>
          <w:t>•تاریخ مهابهارت / تاریخ هند / فارسی</w:t>
        </w:r>
        <w:r>
          <w:tab/>
        </w:r>
        <w:r>
          <w:fldChar w:fldCharType="begin"/>
        </w:r>
        <w:r>
          <w:instrText xml:space="preserve">PAGEREF 1939 \h</w:instrText>
        </w:r>
        <w:r>
          <w:fldChar w:fldCharType="end"/>
        </w:r>
      </w:hyperlink>
    </w:p>
    <w:p>
      <w:pPr>
        <w:tabs>
          <w:tab w:val="right" w:leader="dot" w:pos="9062"/>
        </w:tabs>
        <w:ind w:left="440"/>
      </w:pPr>
      <w:hyperlink w:anchor="_Toc1940" w:history="1">
        <w:r>
          <w:rPr>
            <w:rFonts w:ascii="IRNazanin" w:hAnsi="IRNazanin" w:eastAsia="IRNazanin" w:cs="IRNazanin"/>
            <w:color w:val="111111"/>
            <w:sz w:val="22"/>
            <w:szCs w:val="22"/>
            <w:b w:val="0"/>
            <w:bCs w:val="0"/>
            <w:i w:val="0"/>
            <w:iCs w:val="0"/>
          </w:rPr>
          <w:t>•تاریخ میافارقين / تاریخ عربی</w:t>
        </w:r>
        <w:r>
          <w:tab/>
        </w:r>
        <w:r>
          <w:fldChar w:fldCharType="begin"/>
        </w:r>
        <w:r>
          <w:instrText xml:space="preserve">PAGEREF 1940 \h</w:instrText>
        </w:r>
        <w:r>
          <w:fldChar w:fldCharType="end"/>
        </w:r>
      </w:hyperlink>
    </w:p>
    <w:p>
      <w:pPr>
        <w:tabs>
          <w:tab w:val="right" w:leader="dot" w:pos="9062"/>
        </w:tabs>
        <w:ind w:left="440"/>
      </w:pPr>
      <w:hyperlink w:anchor="_Toc1941" w:history="1">
        <w:r>
          <w:rPr>
            <w:rFonts w:ascii="IRNazanin" w:hAnsi="IRNazanin" w:eastAsia="IRNazanin" w:cs="IRNazanin"/>
            <w:color w:val="111111"/>
            <w:sz w:val="22"/>
            <w:szCs w:val="22"/>
            <w:b w:val="0"/>
            <w:bCs w:val="0"/>
            <w:i w:val="0"/>
            <w:iCs w:val="0"/>
          </w:rPr>
          <w:t>•تاریخ نائین = تذکره نایین / تاریخ / فارسی</w:t>
        </w:r>
        <w:r>
          <w:tab/>
        </w:r>
        <w:r>
          <w:fldChar w:fldCharType="begin"/>
        </w:r>
        <w:r>
          <w:instrText xml:space="preserve">PAGEREF 1941 \h</w:instrText>
        </w:r>
        <w:r>
          <w:fldChar w:fldCharType="end"/>
        </w:r>
      </w:hyperlink>
    </w:p>
    <w:p>
      <w:pPr>
        <w:tabs>
          <w:tab w:val="right" w:leader="dot" w:pos="9062"/>
        </w:tabs>
        <w:ind w:left="440"/>
      </w:pPr>
      <w:hyperlink w:anchor="_Toc1942" w:history="1">
        <w:r>
          <w:rPr>
            <w:rFonts w:ascii="IRNazanin" w:hAnsi="IRNazanin" w:eastAsia="IRNazanin" w:cs="IRNazanin"/>
            <w:color w:val="111111"/>
            <w:sz w:val="22"/>
            <w:szCs w:val="22"/>
            <w:b w:val="0"/>
            <w:bCs w:val="0"/>
            <w:i w:val="0"/>
            <w:iCs w:val="0"/>
          </w:rPr>
          <w:t>•تاریخ ناپلئون / تاریخ جهان / فارسی</w:t>
        </w:r>
        <w:r>
          <w:tab/>
        </w:r>
        <w:r>
          <w:fldChar w:fldCharType="begin"/>
        </w:r>
        <w:r>
          <w:instrText xml:space="preserve">PAGEREF 1942 \h</w:instrText>
        </w:r>
        <w:r>
          <w:fldChar w:fldCharType="end"/>
        </w:r>
      </w:hyperlink>
    </w:p>
    <w:p>
      <w:pPr>
        <w:tabs>
          <w:tab w:val="right" w:leader="dot" w:pos="9062"/>
        </w:tabs>
        <w:ind w:left="440"/>
      </w:pPr>
      <w:hyperlink w:anchor="_Toc1943" w:history="1">
        <w:r>
          <w:rPr>
            <w:rFonts w:ascii="IRNazanin" w:hAnsi="IRNazanin" w:eastAsia="IRNazanin" w:cs="IRNazanin"/>
            <w:color w:val="111111"/>
            <w:sz w:val="22"/>
            <w:szCs w:val="22"/>
            <w:b w:val="0"/>
            <w:bCs w:val="0"/>
            <w:i w:val="0"/>
            <w:iCs w:val="0"/>
          </w:rPr>
          <w:t>•تاریخ ناپلئون / تاریخ / فارسی</w:t>
        </w:r>
        <w:r>
          <w:tab/>
        </w:r>
        <w:r>
          <w:fldChar w:fldCharType="begin"/>
        </w:r>
        <w:r>
          <w:instrText xml:space="preserve">PAGEREF 1943 \h</w:instrText>
        </w:r>
        <w:r>
          <w:fldChar w:fldCharType="end"/>
        </w:r>
      </w:hyperlink>
    </w:p>
    <w:p>
      <w:pPr>
        <w:tabs>
          <w:tab w:val="right" w:leader="dot" w:pos="9062"/>
        </w:tabs>
        <w:ind w:left="440"/>
      </w:pPr>
      <w:hyperlink w:anchor="_Toc1944" w:history="1">
        <w:r>
          <w:rPr>
            <w:rFonts w:ascii="IRNazanin" w:hAnsi="IRNazanin" w:eastAsia="IRNazanin" w:cs="IRNazanin"/>
            <w:color w:val="111111"/>
            <w:sz w:val="22"/>
            <w:szCs w:val="22"/>
            <w:b w:val="0"/>
            <w:bCs w:val="0"/>
            <w:i w:val="0"/>
            <w:iCs w:val="0"/>
          </w:rPr>
          <w:t>•تاریخ ناپلئون بناپارت / تاریخ پادشاهان / فارسی</w:t>
        </w:r>
        <w:r>
          <w:tab/>
        </w:r>
        <w:r>
          <w:fldChar w:fldCharType="begin"/>
        </w:r>
        <w:r>
          <w:instrText xml:space="preserve">PAGEREF 1944 \h</w:instrText>
        </w:r>
        <w:r>
          <w:fldChar w:fldCharType="end"/>
        </w:r>
      </w:hyperlink>
    </w:p>
    <w:p>
      <w:pPr>
        <w:tabs>
          <w:tab w:val="right" w:leader="dot" w:pos="9062"/>
        </w:tabs>
        <w:ind w:left="440"/>
      </w:pPr>
      <w:hyperlink w:anchor="_Toc1945" w:history="1">
        <w:r>
          <w:rPr>
            <w:rFonts w:ascii="IRNazanin" w:hAnsi="IRNazanin" w:eastAsia="IRNazanin" w:cs="IRNazanin"/>
            <w:color w:val="111111"/>
            <w:sz w:val="22"/>
            <w:szCs w:val="22"/>
            <w:b w:val="0"/>
            <w:bCs w:val="0"/>
            <w:i w:val="0"/>
            <w:iCs w:val="0"/>
          </w:rPr>
          <w:t>• تاریخ ناپلئون بناپارت / تاریخ پادشاهان / فارسی</w:t>
        </w:r>
        <w:r>
          <w:tab/>
        </w:r>
        <w:r>
          <w:fldChar w:fldCharType="begin"/>
        </w:r>
        <w:r>
          <w:instrText xml:space="preserve">PAGEREF 1945 \h</w:instrText>
        </w:r>
        <w:r>
          <w:fldChar w:fldCharType="end"/>
        </w:r>
      </w:hyperlink>
    </w:p>
    <w:p>
      <w:pPr>
        <w:tabs>
          <w:tab w:val="right" w:leader="dot" w:pos="9062"/>
        </w:tabs>
        <w:ind w:left="440"/>
      </w:pPr>
      <w:hyperlink w:anchor="_Toc1946" w:history="1">
        <w:r>
          <w:rPr>
            <w:rFonts w:ascii="IRNazanin" w:hAnsi="IRNazanin" w:eastAsia="IRNazanin" w:cs="IRNazanin"/>
            <w:color w:val="111111"/>
            <w:sz w:val="22"/>
            <w:szCs w:val="22"/>
            <w:b w:val="0"/>
            <w:bCs w:val="0"/>
            <w:i w:val="0"/>
            <w:iCs w:val="0"/>
          </w:rPr>
          <w:t>•تاریخ ناپلئون بناپارت / تاریخ پادشاهان / فارسی</w:t>
        </w:r>
        <w:r>
          <w:tab/>
        </w:r>
        <w:r>
          <w:fldChar w:fldCharType="begin"/>
        </w:r>
        <w:r>
          <w:instrText xml:space="preserve">PAGEREF 1946 \h</w:instrText>
        </w:r>
        <w:r>
          <w:fldChar w:fldCharType="end"/>
        </w:r>
      </w:hyperlink>
    </w:p>
    <w:p>
      <w:pPr>
        <w:tabs>
          <w:tab w:val="right" w:leader="dot" w:pos="9062"/>
        </w:tabs>
        <w:ind w:left="440"/>
      </w:pPr>
      <w:hyperlink w:anchor="_Toc1947" w:history="1">
        <w:r>
          <w:rPr>
            <w:rFonts w:ascii="IRNazanin" w:hAnsi="IRNazanin" w:eastAsia="IRNazanin" w:cs="IRNazanin"/>
            <w:color w:val="111111"/>
            <w:sz w:val="22"/>
            <w:szCs w:val="22"/>
            <w:b w:val="0"/>
            <w:bCs w:val="0"/>
            <w:i w:val="0"/>
            <w:iCs w:val="0"/>
          </w:rPr>
          <w:t>•تاریخ ناپلئون بناپارت / تاریخ پادشاهان / فارسی</w:t>
        </w:r>
        <w:r>
          <w:tab/>
        </w:r>
        <w:r>
          <w:fldChar w:fldCharType="begin"/>
        </w:r>
        <w:r>
          <w:instrText xml:space="preserve">PAGEREF 1947 \h</w:instrText>
        </w:r>
        <w:r>
          <w:fldChar w:fldCharType="end"/>
        </w:r>
      </w:hyperlink>
    </w:p>
    <w:p>
      <w:pPr>
        <w:tabs>
          <w:tab w:val="right" w:leader="dot" w:pos="9062"/>
        </w:tabs>
        <w:ind w:left="440"/>
      </w:pPr>
      <w:hyperlink w:anchor="_Toc1948" w:history="1">
        <w:r>
          <w:rPr>
            <w:rFonts w:ascii="IRNazanin" w:hAnsi="IRNazanin" w:eastAsia="IRNazanin" w:cs="IRNazanin"/>
            <w:color w:val="111111"/>
            <w:sz w:val="22"/>
            <w:szCs w:val="22"/>
            <w:b w:val="0"/>
            <w:bCs w:val="0"/>
            <w:i w:val="0"/>
            <w:iCs w:val="0"/>
          </w:rPr>
          <w:t>• تاریخ ناپلئون بناپارت / تاریخ پاداشاهان / فارسی</w:t>
        </w:r>
        <w:r>
          <w:tab/>
        </w:r>
        <w:r>
          <w:fldChar w:fldCharType="begin"/>
        </w:r>
        <w:r>
          <w:instrText xml:space="preserve">PAGEREF 1948 \h</w:instrText>
        </w:r>
        <w:r>
          <w:fldChar w:fldCharType="end"/>
        </w:r>
      </w:hyperlink>
    </w:p>
    <w:p>
      <w:pPr>
        <w:tabs>
          <w:tab w:val="right" w:leader="dot" w:pos="9062"/>
        </w:tabs>
        <w:ind w:left="440"/>
      </w:pPr>
      <w:hyperlink w:anchor="_Toc1949" w:history="1">
        <w:r>
          <w:rPr>
            <w:rFonts w:ascii="IRNazanin" w:hAnsi="IRNazanin" w:eastAsia="IRNazanin" w:cs="IRNazanin"/>
            <w:color w:val="111111"/>
            <w:sz w:val="22"/>
            <w:szCs w:val="22"/>
            <w:b w:val="0"/>
            <w:bCs w:val="0"/>
            <w:i w:val="0"/>
            <w:iCs w:val="0"/>
          </w:rPr>
          <w:t>•تاریخ ناپلئون بناپارت = تاریخ ناپلئون (ترجمه) / تاریخ پادشاهان / فارسی</w:t>
        </w:r>
        <w:r>
          <w:tab/>
        </w:r>
        <w:r>
          <w:fldChar w:fldCharType="begin"/>
        </w:r>
        <w:r>
          <w:instrText xml:space="preserve">PAGEREF 1949 \h</w:instrText>
        </w:r>
        <w:r>
          <w:fldChar w:fldCharType="end"/>
        </w:r>
      </w:hyperlink>
    </w:p>
    <w:p>
      <w:pPr>
        <w:tabs>
          <w:tab w:val="right" w:leader="dot" w:pos="9062"/>
        </w:tabs>
        <w:ind w:left="440"/>
      </w:pPr>
      <w:hyperlink w:anchor="_Toc1950" w:history="1">
        <w:r>
          <w:rPr>
            <w:rFonts w:ascii="IRNazanin" w:hAnsi="IRNazanin" w:eastAsia="IRNazanin" w:cs="IRNazanin"/>
            <w:color w:val="111111"/>
            <w:sz w:val="22"/>
            <w:szCs w:val="22"/>
            <w:b w:val="0"/>
            <w:bCs w:val="0"/>
            <w:i w:val="0"/>
            <w:iCs w:val="0"/>
          </w:rPr>
          <w:t>•تاریخ ناپلئون بناپارت / تاریخ پادشاهان / فارسی</w:t>
        </w:r>
        <w:r>
          <w:tab/>
        </w:r>
        <w:r>
          <w:fldChar w:fldCharType="begin"/>
        </w:r>
        <w:r>
          <w:instrText xml:space="preserve">PAGEREF 1950 \h</w:instrText>
        </w:r>
        <w:r>
          <w:fldChar w:fldCharType="end"/>
        </w:r>
      </w:hyperlink>
    </w:p>
    <w:p>
      <w:pPr>
        <w:tabs>
          <w:tab w:val="right" w:leader="dot" w:pos="9062"/>
        </w:tabs>
        <w:ind w:left="440"/>
      </w:pPr>
      <w:hyperlink w:anchor="_Toc1951" w:history="1">
        <w:r>
          <w:rPr>
            <w:rFonts w:ascii="IRNazanin" w:hAnsi="IRNazanin" w:eastAsia="IRNazanin" w:cs="IRNazanin"/>
            <w:color w:val="111111"/>
            <w:sz w:val="22"/>
            <w:szCs w:val="22"/>
            <w:b w:val="0"/>
            <w:bCs w:val="0"/>
            <w:i w:val="0"/>
            <w:iCs w:val="0"/>
          </w:rPr>
          <w:t>•تاریخ ناپلئون بناپارت / تاریخ پادشاهان / فارسی</w:t>
        </w:r>
        <w:r>
          <w:tab/>
        </w:r>
        <w:r>
          <w:fldChar w:fldCharType="begin"/>
        </w:r>
        <w:r>
          <w:instrText xml:space="preserve">PAGEREF 1951 \h</w:instrText>
        </w:r>
        <w:r>
          <w:fldChar w:fldCharType="end"/>
        </w:r>
      </w:hyperlink>
    </w:p>
    <w:p>
      <w:pPr>
        <w:tabs>
          <w:tab w:val="right" w:leader="dot" w:pos="9062"/>
        </w:tabs>
        <w:ind w:left="440"/>
      </w:pPr>
      <w:hyperlink w:anchor="_Toc1952" w:history="1">
        <w:r>
          <w:rPr>
            <w:rFonts w:ascii="IRNazanin" w:hAnsi="IRNazanin" w:eastAsia="IRNazanin" w:cs="IRNazanin"/>
            <w:color w:val="111111"/>
            <w:sz w:val="22"/>
            <w:szCs w:val="22"/>
            <w:b w:val="0"/>
            <w:bCs w:val="0"/>
            <w:i w:val="0"/>
            <w:iCs w:val="0"/>
          </w:rPr>
          <w:t>•تاریخ ناپلئون بناپارت / تاریخ پادشاهان / فارسی</w:t>
        </w:r>
        <w:r>
          <w:tab/>
        </w:r>
        <w:r>
          <w:fldChar w:fldCharType="begin"/>
        </w:r>
        <w:r>
          <w:instrText xml:space="preserve">PAGEREF 1952 \h</w:instrText>
        </w:r>
        <w:r>
          <w:fldChar w:fldCharType="end"/>
        </w:r>
      </w:hyperlink>
    </w:p>
    <w:p>
      <w:pPr>
        <w:tabs>
          <w:tab w:val="right" w:leader="dot" w:pos="9062"/>
        </w:tabs>
        <w:ind w:left="440"/>
      </w:pPr>
      <w:hyperlink w:anchor="_Toc1953" w:history="1">
        <w:r>
          <w:rPr>
            <w:rFonts w:ascii="IRNazanin" w:hAnsi="IRNazanin" w:eastAsia="IRNazanin" w:cs="IRNazanin"/>
            <w:color w:val="111111"/>
            <w:sz w:val="22"/>
            <w:szCs w:val="22"/>
            <w:b w:val="0"/>
            <w:bCs w:val="0"/>
            <w:i w:val="0"/>
            <w:iCs w:val="0"/>
          </w:rPr>
          <w:t>•تاریخ ناپلئون (ترجمه) / تاریخ پادشاهان / فارسی</w:t>
        </w:r>
        <w:r>
          <w:tab/>
        </w:r>
        <w:r>
          <w:fldChar w:fldCharType="begin"/>
        </w:r>
        <w:r>
          <w:instrText xml:space="preserve">PAGEREF 1953 \h</w:instrText>
        </w:r>
        <w:r>
          <w:fldChar w:fldCharType="end"/>
        </w:r>
      </w:hyperlink>
    </w:p>
    <w:p>
      <w:pPr>
        <w:tabs>
          <w:tab w:val="right" w:leader="dot" w:pos="9062"/>
        </w:tabs>
        <w:ind w:left="440"/>
      </w:pPr>
      <w:hyperlink w:anchor="_Toc1954" w:history="1">
        <w:r>
          <w:rPr>
            <w:rFonts w:ascii="IRNazanin" w:hAnsi="IRNazanin" w:eastAsia="IRNazanin" w:cs="IRNazanin"/>
            <w:color w:val="111111"/>
            <w:sz w:val="22"/>
            <w:szCs w:val="22"/>
            <w:b w:val="0"/>
            <w:bCs w:val="0"/>
            <w:i w:val="0"/>
            <w:iCs w:val="0"/>
          </w:rPr>
          <w:t>•تاریخ ناپلئون (ترجمه) / تاریخ پادشاهان / فارسی</w:t>
        </w:r>
        <w:r>
          <w:tab/>
        </w:r>
        <w:r>
          <w:fldChar w:fldCharType="begin"/>
        </w:r>
        <w:r>
          <w:instrText xml:space="preserve">PAGEREF 1954 \h</w:instrText>
        </w:r>
        <w:r>
          <w:fldChar w:fldCharType="end"/>
        </w:r>
      </w:hyperlink>
    </w:p>
    <w:p>
      <w:pPr>
        <w:tabs>
          <w:tab w:val="right" w:leader="dot" w:pos="9062"/>
        </w:tabs>
        <w:ind w:left="440"/>
      </w:pPr>
      <w:hyperlink w:anchor="_Toc1955" w:history="1">
        <w:r>
          <w:rPr>
            <w:rFonts w:ascii="IRNazanin" w:hAnsi="IRNazanin" w:eastAsia="IRNazanin" w:cs="IRNazanin"/>
            <w:color w:val="111111"/>
            <w:sz w:val="22"/>
            <w:szCs w:val="22"/>
            <w:b w:val="0"/>
            <w:bCs w:val="0"/>
            <w:i w:val="0"/>
            <w:iCs w:val="0"/>
          </w:rPr>
          <w:t>•تاریخ ناپلئون چهارم = ناپلیان چهار / تاریخ / فارسی</w:t>
        </w:r>
        <w:r>
          <w:tab/>
        </w:r>
        <w:r>
          <w:fldChar w:fldCharType="begin"/>
        </w:r>
        <w:r>
          <w:instrText xml:space="preserve">PAGEREF 1955 \h</w:instrText>
        </w:r>
        <w:r>
          <w:fldChar w:fldCharType="end"/>
        </w:r>
      </w:hyperlink>
    </w:p>
    <w:p>
      <w:pPr>
        <w:tabs>
          <w:tab w:val="right" w:leader="dot" w:pos="9062"/>
        </w:tabs>
        <w:ind w:left="440"/>
      </w:pPr>
      <w:hyperlink w:anchor="_Toc1956" w:history="1">
        <w:r>
          <w:rPr>
            <w:rFonts w:ascii="IRNazanin" w:hAnsi="IRNazanin" w:eastAsia="IRNazanin" w:cs="IRNazanin"/>
            <w:color w:val="111111"/>
            <w:sz w:val="22"/>
            <w:szCs w:val="22"/>
            <w:b w:val="0"/>
            <w:bCs w:val="0"/>
            <w:i w:val="0"/>
            <w:iCs w:val="0"/>
          </w:rPr>
          <w:t>• تاریخ نادر شاه / تاریخ ایران / فارسی</w:t>
        </w:r>
        <w:r>
          <w:tab/>
        </w:r>
        <w:r>
          <w:fldChar w:fldCharType="begin"/>
        </w:r>
        <w:r>
          <w:instrText xml:space="preserve">PAGEREF 1956 \h</w:instrText>
        </w:r>
        <w:r>
          <w:fldChar w:fldCharType="end"/>
        </w:r>
      </w:hyperlink>
    </w:p>
    <w:p>
      <w:pPr>
        <w:tabs>
          <w:tab w:val="right" w:leader="dot" w:pos="9062"/>
        </w:tabs>
        <w:ind w:left="440"/>
      </w:pPr>
      <w:hyperlink w:anchor="_Toc1957" w:history="1">
        <w:r>
          <w:rPr>
            <w:rFonts w:ascii="IRNazanin" w:hAnsi="IRNazanin" w:eastAsia="IRNazanin" w:cs="IRNazanin"/>
            <w:color w:val="111111"/>
            <w:sz w:val="22"/>
            <w:szCs w:val="22"/>
            <w:b w:val="0"/>
            <w:bCs w:val="0"/>
            <w:i w:val="0"/>
            <w:iCs w:val="0"/>
          </w:rPr>
          <w:t>•تاریخ نادرشاه / تاریخ پادشاهان / فارسی</w:t>
        </w:r>
        <w:r>
          <w:tab/>
        </w:r>
        <w:r>
          <w:fldChar w:fldCharType="begin"/>
        </w:r>
        <w:r>
          <w:instrText xml:space="preserve">PAGEREF 1957 \h</w:instrText>
        </w:r>
        <w:r>
          <w:fldChar w:fldCharType="end"/>
        </w:r>
      </w:hyperlink>
    </w:p>
    <w:p>
      <w:pPr>
        <w:tabs>
          <w:tab w:val="right" w:leader="dot" w:pos="9062"/>
        </w:tabs>
        <w:ind w:left="440"/>
      </w:pPr>
      <w:hyperlink w:anchor="_Toc1958" w:history="1">
        <w:r>
          <w:rPr>
            <w:rFonts w:ascii="IRNazanin" w:hAnsi="IRNazanin" w:eastAsia="IRNazanin" w:cs="IRNazanin"/>
            <w:color w:val="111111"/>
            <w:sz w:val="22"/>
            <w:szCs w:val="22"/>
            <w:b w:val="0"/>
            <w:bCs w:val="0"/>
            <w:i w:val="0"/>
            <w:iCs w:val="0"/>
          </w:rPr>
          <w:t>•تاریخ نادر شاه / تاریخ پادشاهان / فارسی</w:t>
        </w:r>
        <w:r>
          <w:tab/>
        </w:r>
        <w:r>
          <w:fldChar w:fldCharType="begin"/>
        </w:r>
        <w:r>
          <w:instrText xml:space="preserve">PAGEREF 1958 \h</w:instrText>
        </w:r>
        <w:r>
          <w:fldChar w:fldCharType="end"/>
        </w:r>
      </w:hyperlink>
    </w:p>
    <w:p>
      <w:pPr>
        <w:tabs>
          <w:tab w:val="right" w:leader="dot" w:pos="9062"/>
        </w:tabs>
        <w:ind w:left="440"/>
      </w:pPr>
      <w:hyperlink w:anchor="_Toc1959" w:history="1">
        <w:r>
          <w:rPr>
            <w:rFonts w:ascii="IRNazanin" w:hAnsi="IRNazanin" w:eastAsia="IRNazanin" w:cs="IRNazanin"/>
            <w:color w:val="111111"/>
            <w:sz w:val="22"/>
            <w:szCs w:val="22"/>
            <w:b w:val="0"/>
            <w:bCs w:val="0"/>
            <w:i w:val="0"/>
            <w:iCs w:val="0"/>
          </w:rPr>
          <w:t>•تاریخ نادر شاه افشار و کریم خان زند / تاریخ پادشاهان / فارسی</w:t>
        </w:r>
        <w:r>
          <w:tab/>
        </w:r>
        <w:r>
          <w:fldChar w:fldCharType="begin"/>
        </w:r>
        <w:r>
          <w:instrText xml:space="preserve">PAGEREF 1959 \h</w:instrText>
        </w:r>
        <w:r>
          <w:fldChar w:fldCharType="end"/>
        </w:r>
      </w:hyperlink>
    </w:p>
    <w:p>
      <w:pPr>
        <w:tabs>
          <w:tab w:val="right" w:leader="dot" w:pos="9062"/>
        </w:tabs>
        <w:ind w:left="440"/>
      </w:pPr>
      <w:hyperlink w:anchor="_Toc1960" w:history="1">
        <w:r>
          <w:rPr>
            <w:rFonts w:ascii="IRNazanin" w:hAnsi="IRNazanin" w:eastAsia="IRNazanin" w:cs="IRNazanin"/>
            <w:color w:val="111111"/>
            <w:sz w:val="22"/>
            <w:szCs w:val="22"/>
            <w:b w:val="0"/>
            <w:bCs w:val="0"/>
            <w:i w:val="0"/>
            <w:iCs w:val="0"/>
          </w:rPr>
          <w:t>•تاریخ نادر شاه (ترجمه) / تاریخ ایران / فارسی</w:t>
        </w:r>
        <w:r>
          <w:tab/>
        </w:r>
        <w:r>
          <w:fldChar w:fldCharType="begin"/>
        </w:r>
        <w:r>
          <w:instrText xml:space="preserve">PAGEREF 1960 \h</w:instrText>
        </w:r>
        <w:r>
          <w:fldChar w:fldCharType="end"/>
        </w:r>
      </w:hyperlink>
    </w:p>
    <w:p>
      <w:pPr>
        <w:tabs>
          <w:tab w:val="right" w:leader="dot" w:pos="9062"/>
        </w:tabs>
        <w:ind w:left="440"/>
      </w:pPr>
      <w:hyperlink w:anchor="_Toc1961" w:history="1">
        <w:r>
          <w:rPr>
            <w:rFonts w:ascii="IRNazanin" w:hAnsi="IRNazanin" w:eastAsia="IRNazanin" w:cs="IRNazanin"/>
            <w:color w:val="111111"/>
            <w:sz w:val="22"/>
            <w:szCs w:val="22"/>
            <w:b w:val="0"/>
            <w:bCs w:val="0"/>
            <w:i w:val="0"/>
            <w:iCs w:val="0"/>
          </w:rPr>
          <w:t>•تاریخ نادرشاهی = تاریخ چغتایی / تاریخ / فارسی</w:t>
        </w:r>
        <w:r>
          <w:tab/>
        </w:r>
        <w:r>
          <w:fldChar w:fldCharType="begin"/>
        </w:r>
        <w:r>
          <w:instrText xml:space="preserve">PAGEREF 1961 \h</w:instrText>
        </w:r>
        <w:r>
          <w:fldChar w:fldCharType="end"/>
        </w:r>
      </w:hyperlink>
    </w:p>
    <w:p>
      <w:pPr>
        <w:tabs>
          <w:tab w:val="right" w:leader="dot" w:pos="9062"/>
        </w:tabs>
        <w:ind w:left="440"/>
      </w:pPr>
      <w:hyperlink w:anchor="_Toc1962" w:history="1">
        <w:r>
          <w:rPr>
            <w:rFonts w:ascii="IRNazanin" w:hAnsi="IRNazanin" w:eastAsia="IRNazanin" w:cs="IRNazanin"/>
            <w:color w:val="111111"/>
            <w:sz w:val="22"/>
            <w:szCs w:val="22"/>
            <w:b w:val="0"/>
            <w:bCs w:val="0"/>
            <w:i w:val="0"/>
            <w:iCs w:val="0"/>
          </w:rPr>
          <w:t>•تاریخ نادری / تاریخ ایران / فارسی</w:t>
        </w:r>
        <w:r>
          <w:tab/>
        </w:r>
        <w:r>
          <w:fldChar w:fldCharType="begin"/>
        </w:r>
        <w:r>
          <w:instrText xml:space="preserve">PAGEREF 1962 \h</w:instrText>
        </w:r>
        <w:r>
          <w:fldChar w:fldCharType="end"/>
        </w:r>
      </w:hyperlink>
    </w:p>
    <w:p>
      <w:pPr>
        <w:tabs>
          <w:tab w:val="right" w:leader="dot" w:pos="9062"/>
        </w:tabs>
        <w:ind w:left="440"/>
      </w:pPr>
      <w:hyperlink w:anchor="_Toc1963" w:history="1">
        <w:r>
          <w:rPr>
            <w:rFonts w:ascii="IRNazanin" w:hAnsi="IRNazanin" w:eastAsia="IRNazanin" w:cs="IRNazanin"/>
            <w:color w:val="111111"/>
            <w:sz w:val="22"/>
            <w:szCs w:val="22"/>
            <w:b w:val="0"/>
            <w:bCs w:val="0"/>
            <w:i w:val="0"/>
            <w:iCs w:val="0"/>
          </w:rPr>
          <w:t>•تاریخ ناصرالدین شاه / تاریخ پادشاهان / فارسی</w:t>
        </w:r>
        <w:r>
          <w:tab/>
        </w:r>
        <w:r>
          <w:fldChar w:fldCharType="begin"/>
        </w:r>
        <w:r>
          <w:instrText xml:space="preserve">PAGEREF 1963 \h</w:instrText>
        </w:r>
        <w:r>
          <w:fldChar w:fldCharType="end"/>
        </w:r>
      </w:hyperlink>
    </w:p>
    <w:p>
      <w:pPr>
        <w:tabs>
          <w:tab w:val="right" w:leader="dot" w:pos="9062"/>
        </w:tabs>
        <w:ind w:left="440"/>
      </w:pPr>
      <w:hyperlink w:anchor="_Toc1964" w:history="1">
        <w:r>
          <w:rPr>
            <w:rFonts w:ascii="IRNazanin" w:hAnsi="IRNazanin" w:eastAsia="IRNazanin" w:cs="IRNazanin"/>
            <w:color w:val="111111"/>
            <w:sz w:val="22"/>
            <w:szCs w:val="22"/>
            <w:b w:val="0"/>
            <w:bCs w:val="0"/>
            <w:i w:val="0"/>
            <w:iCs w:val="0"/>
          </w:rPr>
          <w:t>•تاریخ ناصری / تاریخ / فارسی</w:t>
        </w:r>
        <w:r>
          <w:tab/>
        </w:r>
        <w:r>
          <w:fldChar w:fldCharType="begin"/>
        </w:r>
        <w:r>
          <w:instrText xml:space="preserve">PAGEREF 1964 \h</w:instrText>
        </w:r>
        <w:r>
          <w:fldChar w:fldCharType="end"/>
        </w:r>
      </w:hyperlink>
    </w:p>
    <w:p>
      <w:pPr>
        <w:tabs>
          <w:tab w:val="right" w:leader="dot" w:pos="9062"/>
        </w:tabs>
        <w:ind w:left="440"/>
      </w:pPr>
      <w:hyperlink w:anchor="_Toc1965" w:history="1">
        <w:r>
          <w:rPr>
            <w:rFonts w:ascii="IRNazanin" w:hAnsi="IRNazanin" w:eastAsia="IRNazanin" w:cs="IRNazanin"/>
            <w:color w:val="111111"/>
            <w:sz w:val="22"/>
            <w:szCs w:val="22"/>
            <w:b w:val="0"/>
            <w:bCs w:val="0"/>
            <w:i w:val="0"/>
            <w:iCs w:val="0"/>
          </w:rPr>
          <w:t>•تاریخ نامه = ترجمه تاریخ طبری / تاریخ / فارسی</w:t>
        </w:r>
        <w:r>
          <w:tab/>
        </w:r>
        <w:r>
          <w:fldChar w:fldCharType="begin"/>
        </w:r>
        <w:r>
          <w:instrText xml:space="preserve">PAGEREF 1965 \h</w:instrText>
        </w:r>
        <w:r>
          <w:fldChar w:fldCharType="end"/>
        </w:r>
      </w:hyperlink>
    </w:p>
    <w:p>
      <w:pPr>
        <w:tabs>
          <w:tab w:val="right" w:leader="dot" w:pos="9062"/>
        </w:tabs>
        <w:ind w:left="440"/>
      </w:pPr>
      <w:hyperlink w:anchor="_Toc1966" w:history="1">
        <w:r>
          <w:rPr>
            <w:rFonts w:ascii="IRNazanin" w:hAnsi="IRNazanin" w:eastAsia="IRNazanin" w:cs="IRNazanin"/>
            <w:color w:val="111111"/>
            <w:sz w:val="22"/>
            <w:szCs w:val="22"/>
            <w:b w:val="0"/>
            <w:bCs w:val="0"/>
            <w:i w:val="0"/>
            <w:iCs w:val="0"/>
          </w:rPr>
          <w:t>•تاریخ نامه هرات = تاریخ ملوک  کرت = تاریخ سیفی / تاریخ ایران / فارسی</w:t>
        </w:r>
        <w:r>
          <w:tab/>
        </w:r>
        <w:r>
          <w:fldChar w:fldCharType="begin"/>
        </w:r>
        <w:r>
          <w:instrText xml:space="preserve">PAGEREF 1966 \h</w:instrText>
        </w:r>
        <w:r>
          <w:fldChar w:fldCharType="end"/>
        </w:r>
      </w:hyperlink>
    </w:p>
    <w:p>
      <w:pPr>
        <w:tabs>
          <w:tab w:val="right" w:leader="dot" w:pos="9062"/>
        </w:tabs>
        <w:ind w:left="440"/>
      </w:pPr>
      <w:hyperlink w:anchor="_Toc1967" w:history="1">
        <w:r>
          <w:rPr>
            <w:rFonts w:ascii="IRNazanin" w:hAnsi="IRNazanin" w:eastAsia="IRNazanin" w:cs="IRNazanin"/>
            <w:color w:val="111111"/>
            <w:sz w:val="22"/>
            <w:szCs w:val="22"/>
            <w:b w:val="0"/>
            <w:bCs w:val="0"/>
            <w:i w:val="0"/>
            <w:iCs w:val="0"/>
          </w:rPr>
          <w:t>•تاریخ نبوی / تاریخ اسلام / فارسی</w:t>
        </w:r>
        <w:r>
          <w:tab/>
        </w:r>
        <w:r>
          <w:fldChar w:fldCharType="begin"/>
        </w:r>
        <w:r>
          <w:instrText xml:space="preserve">PAGEREF 1967 \h</w:instrText>
        </w:r>
        <w:r>
          <w:fldChar w:fldCharType="end"/>
        </w:r>
      </w:hyperlink>
    </w:p>
    <w:p>
      <w:pPr>
        <w:tabs>
          <w:tab w:val="right" w:leader="dot" w:pos="9062"/>
        </w:tabs>
        <w:ind w:left="440"/>
      </w:pPr>
      <w:hyperlink w:anchor="_Toc1968" w:history="1">
        <w:r>
          <w:rPr>
            <w:rFonts w:ascii="IRNazanin" w:hAnsi="IRNazanin" w:eastAsia="IRNazanin" w:cs="IRNazanin"/>
            <w:color w:val="111111"/>
            <w:sz w:val="22"/>
            <w:szCs w:val="22"/>
            <w:b w:val="0"/>
            <w:bCs w:val="0"/>
            <w:i w:val="0"/>
            <w:iCs w:val="0"/>
          </w:rPr>
          <w:t>•تاریخ النبی(صلی الله علیه وآله وسلم)/ تاریخ پیامبر اکرم(صلی الله علیه وآله وسلم)/ عربی</w:t>
        </w:r>
        <w:r>
          <w:tab/>
        </w:r>
        <w:r>
          <w:fldChar w:fldCharType="begin"/>
        </w:r>
        <w:r>
          <w:instrText xml:space="preserve">PAGEREF 1968 \h</w:instrText>
        </w:r>
        <w:r>
          <w:fldChar w:fldCharType="end"/>
        </w:r>
      </w:hyperlink>
    </w:p>
    <w:p>
      <w:pPr>
        <w:tabs>
          <w:tab w:val="right" w:leader="dot" w:pos="9062"/>
        </w:tabs>
        <w:ind w:left="440"/>
      </w:pPr>
      <w:hyperlink w:anchor="_Toc1969" w:history="1">
        <w:r>
          <w:rPr>
            <w:rFonts w:ascii="IRNazanin" w:hAnsi="IRNazanin" w:eastAsia="IRNazanin" w:cs="IRNazanin"/>
            <w:color w:val="111111"/>
            <w:sz w:val="22"/>
            <w:szCs w:val="22"/>
            <w:b w:val="0"/>
            <w:bCs w:val="0"/>
            <w:i w:val="0"/>
            <w:iCs w:val="0"/>
          </w:rPr>
          <w:t>•تاريخ النبي(صلی الله علیه وآله وسلم)/ تاریخ پیامبر اکرم / فارسی</w:t>
        </w:r>
        <w:r>
          <w:tab/>
        </w:r>
        <w:r>
          <w:fldChar w:fldCharType="begin"/>
        </w:r>
        <w:r>
          <w:instrText xml:space="preserve">PAGEREF 1969 \h</w:instrText>
        </w:r>
        <w:r>
          <w:fldChar w:fldCharType="end"/>
        </w:r>
      </w:hyperlink>
    </w:p>
    <w:p>
      <w:pPr>
        <w:tabs>
          <w:tab w:val="right" w:leader="dot" w:pos="9062"/>
        </w:tabs>
        <w:ind w:left="440"/>
      </w:pPr>
      <w:hyperlink w:anchor="_Toc1970" w:history="1">
        <w:r>
          <w:rPr>
            <w:rFonts w:ascii="IRNazanin" w:hAnsi="IRNazanin" w:eastAsia="IRNazanin" w:cs="IRNazanin"/>
            <w:color w:val="111111"/>
            <w:sz w:val="22"/>
            <w:szCs w:val="22"/>
            <w:b w:val="0"/>
            <w:bCs w:val="0"/>
            <w:i w:val="0"/>
            <w:iCs w:val="0"/>
          </w:rPr>
          <w:t>•تاریخ نبیل زرندی (مختصر) / بهائیت / فارسی</w:t>
        </w:r>
        <w:r>
          <w:tab/>
        </w:r>
        <w:r>
          <w:fldChar w:fldCharType="begin"/>
        </w:r>
        <w:r>
          <w:instrText xml:space="preserve">PAGEREF 1970 \h</w:instrText>
        </w:r>
        <w:r>
          <w:fldChar w:fldCharType="end"/>
        </w:r>
      </w:hyperlink>
    </w:p>
    <w:p>
      <w:pPr>
        <w:tabs>
          <w:tab w:val="right" w:leader="dot" w:pos="9062"/>
        </w:tabs>
        <w:ind w:left="440"/>
      </w:pPr>
      <w:hyperlink w:anchor="_Toc1971" w:history="1">
        <w:r>
          <w:rPr>
            <w:rFonts w:ascii="IRNazanin" w:hAnsi="IRNazanin" w:eastAsia="IRNazanin" w:cs="IRNazanin"/>
            <w:color w:val="111111"/>
            <w:sz w:val="22"/>
            <w:szCs w:val="22"/>
            <w:b w:val="0"/>
            <w:bCs w:val="0"/>
            <w:i w:val="0"/>
            <w:iCs w:val="0"/>
          </w:rPr>
          <w:t>•تاریخ نجف یا دانشگاه اسلامی / تاریخ / فارسی</w:t>
        </w:r>
        <w:r>
          <w:tab/>
        </w:r>
        <w:r>
          <w:fldChar w:fldCharType="begin"/>
        </w:r>
        <w:r>
          <w:instrText xml:space="preserve">PAGEREF 1971 \h</w:instrText>
        </w:r>
        <w:r>
          <w:fldChar w:fldCharType="end"/>
        </w:r>
      </w:hyperlink>
    </w:p>
    <w:p>
      <w:pPr>
        <w:tabs>
          <w:tab w:val="right" w:leader="dot" w:pos="9062"/>
        </w:tabs>
        <w:ind w:left="440"/>
      </w:pPr>
      <w:hyperlink w:anchor="_Toc1972" w:history="1">
        <w:r>
          <w:rPr>
            <w:rFonts w:ascii="IRNazanin" w:hAnsi="IRNazanin" w:eastAsia="IRNazanin" w:cs="IRNazanin"/>
            <w:color w:val="111111"/>
            <w:sz w:val="22"/>
            <w:szCs w:val="22"/>
            <w:b w:val="0"/>
            <w:bCs w:val="0"/>
            <w:i w:val="0"/>
            <w:iCs w:val="0"/>
          </w:rPr>
          <w:t>•تاریخ نخجير ناصری / تاریخ پادشاهان / فارسی</w:t>
        </w:r>
        <w:r>
          <w:tab/>
        </w:r>
        <w:r>
          <w:fldChar w:fldCharType="begin"/>
        </w:r>
        <w:r>
          <w:instrText xml:space="preserve">PAGEREF 1972 \h</w:instrText>
        </w:r>
        <w:r>
          <w:fldChar w:fldCharType="end"/>
        </w:r>
      </w:hyperlink>
    </w:p>
    <w:p>
      <w:pPr>
        <w:tabs>
          <w:tab w:val="right" w:leader="dot" w:pos="9062"/>
        </w:tabs>
        <w:ind w:left="440"/>
      </w:pPr>
      <w:hyperlink w:anchor="_Toc1973" w:history="1">
        <w:r>
          <w:rPr>
            <w:rFonts w:ascii="IRNazanin" w:hAnsi="IRNazanin" w:eastAsia="IRNazanin" w:cs="IRNazanin"/>
            <w:color w:val="111111"/>
            <w:sz w:val="22"/>
            <w:szCs w:val="22"/>
            <w:b w:val="0"/>
            <w:bCs w:val="0"/>
            <w:i w:val="0"/>
            <w:iCs w:val="0"/>
          </w:rPr>
          <w:t>•تاریخ نژاد و صفات و کیلیه / داستان / فارسی</w:t>
        </w:r>
        <w:r>
          <w:tab/>
        </w:r>
        <w:r>
          <w:fldChar w:fldCharType="begin"/>
        </w:r>
        <w:r>
          <w:instrText xml:space="preserve">PAGEREF 1973 \h</w:instrText>
        </w:r>
        <w:r>
          <w:fldChar w:fldCharType="end"/>
        </w:r>
      </w:hyperlink>
    </w:p>
    <w:p>
      <w:pPr>
        <w:tabs>
          <w:tab w:val="right" w:leader="dot" w:pos="9062"/>
        </w:tabs>
        <w:ind w:left="440"/>
      </w:pPr>
      <w:hyperlink w:anchor="_Toc1974" w:history="1">
        <w:r>
          <w:rPr>
            <w:rFonts w:ascii="IRNazanin" w:hAnsi="IRNazanin" w:eastAsia="IRNazanin" w:cs="IRNazanin"/>
            <w:color w:val="111111"/>
            <w:sz w:val="22"/>
            <w:szCs w:val="22"/>
            <w:b w:val="0"/>
            <w:bCs w:val="0"/>
            <w:i w:val="0"/>
            <w:iCs w:val="0"/>
          </w:rPr>
          <w:t>•تاريخ النصرانی (فصل من كتاب) / ادیان و مذاهب عربی</w:t>
        </w:r>
        <w:r>
          <w:tab/>
        </w:r>
        <w:r>
          <w:fldChar w:fldCharType="begin"/>
        </w:r>
        <w:r>
          <w:instrText xml:space="preserve">PAGEREF 1974 \h</w:instrText>
        </w:r>
        <w:r>
          <w:fldChar w:fldCharType="end"/>
        </w:r>
      </w:hyperlink>
    </w:p>
    <w:p>
      <w:pPr>
        <w:tabs>
          <w:tab w:val="right" w:leader="dot" w:pos="9062"/>
        </w:tabs>
        <w:ind w:left="440"/>
      </w:pPr>
      <w:hyperlink w:anchor="_Toc1975" w:history="1">
        <w:r>
          <w:rPr>
            <w:rFonts w:ascii="IRNazanin" w:hAnsi="IRNazanin" w:eastAsia="IRNazanin" w:cs="IRNazanin"/>
            <w:color w:val="111111"/>
            <w:sz w:val="22"/>
            <w:szCs w:val="22"/>
            <w:b w:val="0"/>
            <w:bCs w:val="0"/>
            <w:i w:val="0"/>
            <w:iCs w:val="0"/>
          </w:rPr>
          <w:t>•تاریخ نظام شاهی = وقایع دکن / تاریخ هند / فارسی</w:t>
        </w:r>
        <w:r>
          <w:tab/>
        </w:r>
        <w:r>
          <w:fldChar w:fldCharType="begin"/>
        </w:r>
        <w:r>
          <w:instrText xml:space="preserve">PAGEREF 1975 \h</w:instrText>
        </w:r>
        <w:r>
          <w:fldChar w:fldCharType="end"/>
        </w:r>
      </w:hyperlink>
    </w:p>
    <w:p>
      <w:pPr>
        <w:tabs>
          <w:tab w:val="right" w:leader="dot" w:pos="9062"/>
        </w:tabs>
        <w:ind w:left="440"/>
      </w:pPr>
      <w:hyperlink w:anchor="_Toc1976" w:history="1">
        <w:r>
          <w:rPr>
            <w:rFonts w:ascii="IRNazanin" w:hAnsi="IRNazanin" w:eastAsia="IRNazanin" w:cs="IRNazanin"/>
            <w:color w:val="111111"/>
            <w:sz w:val="22"/>
            <w:szCs w:val="22"/>
            <w:b w:val="0"/>
            <w:bCs w:val="0"/>
            <w:i w:val="0"/>
            <w:iCs w:val="0"/>
          </w:rPr>
          <w:t>•تاریخ نظام و قشون = کیفیت لشکر نظام / فنون نظامی / فارسی</w:t>
        </w:r>
        <w:r>
          <w:tab/>
        </w:r>
        <w:r>
          <w:fldChar w:fldCharType="begin"/>
        </w:r>
        <w:r>
          <w:instrText xml:space="preserve">PAGEREF 1976 \h</w:instrText>
        </w:r>
        <w:r>
          <w:fldChar w:fldCharType="end"/>
        </w:r>
      </w:hyperlink>
    </w:p>
    <w:p>
      <w:pPr>
        <w:tabs>
          <w:tab w:val="right" w:leader="dot" w:pos="9062"/>
        </w:tabs>
        <w:ind w:left="440"/>
      </w:pPr>
      <w:hyperlink w:anchor="_Toc1977" w:history="1">
        <w:r>
          <w:rPr>
            <w:rFonts w:ascii="IRNazanin" w:hAnsi="IRNazanin" w:eastAsia="IRNazanin" w:cs="IRNazanin"/>
            <w:color w:val="111111"/>
            <w:sz w:val="22"/>
            <w:szCs w:val="22"/>
            <w:b w:val="0"/>
            <w:bCs w:val="0"/>
            <w:i w:val="0"/>
            <w:iCs w:val="0"/>
          </w:rPr>
          <w:t>•تاریخ (نگارستان منتخب) / تاریخ / فارسی</w:t>
        </w:r>
        <w:r>
          <w:tab/>
        </w:r>
        <w:r>
          <w:fldChar w:fldCharType="begin"/>
        </w:r>
        <w:r>
          <w:instrText xml:space="preserve">PAGEREF 1977 \h</w:instrText>
        </w:r>
        <w:r>
          <w:fldChar w:fldCharType="end"/>
        </w:r>
      </w:hyperlink>
    </w:p>
    <w:p>
      <w:pPr>
        <w:tabs>
          <w:tab w:val="right" w:leader="dot" w:pos="9062"/>
        </w:tabs>
        <w:ind w:left="440"/>
      </w:pPr>
      <w:hyperlink w:anchor="_Toc1978" w:history="1">
        <w:r>
          <w:rPr>
            <w:rFonts w:ascii="IRNazanin" w:hAnsi="IRNazanin" w:eastAsia="IRNazanin" w:cs="IRNazanin"/>
            <w:color w:val="111111"/>
            <w:sz w:val="22"/>
            <w:szCs w:val="22"/>
            <w:b w:val="0"/>
            <w:bCs w:val="0"/>
            <w:i w:val="0"/>
            <w:iCs w:val="0"/>
          </w:rPr>
          <w:t>•تاریخ نو / تاریخ ایران / فارسی</w:t>
        </w:r>
        <w:r>
          <w:tab/>
        </w:r>
        <w:r>
          <w:fldChar w:fldCharType="begin"/>
        </w:r>
        <w:r>
          <w:instrText xml:space="preserve">PAGEREF 1978 \h</w:instrText>
        </w:r>
        <w:r>
          <w:fldChar w:fldCharType="end"/>
        </w:r>
      </w:hyperlink>
    </w:p>
    <w:p>
      <w:pPr>
        <w:tabs>
          <w:tab w:val="right" w:leader="dot" w:pos="9062"/>
        </w:tabs>
        <w:ind w:left="440"/>
      </w:pPr>
      <w:hyperlink w:anchor="_Toc1979" w:history="1">
        <w:r>
          <w:rPr>
            <w:rFonts w:ascii="IRNazanin" w:hAnsi="IRNazanin" w:eastAsia="IRNazanin" w:cs="IRNazanin"/>
            <w:color w:val="111111"/>
            <w:sz w:val="22"/>
            <w:szCs w:val="22"/>
            <w:b w:val="0"/>
            <w:bCs w:val="0"/>
            <w:i w:val="0"/>
            <w:iCs w:val="0"/>
          </w:rPr>
          <w:t>•تاریخ نو / تاریخ / فارسی</w:t>
        </w:r>
        <w:r>
          <w:tab/>
        </w:r>
        <w:r>
          <w:fldChar w:fldCharType="begin"/>
        </w:r>
        <w:r>
          <w:instrText xml:space="preserve">PAGEREF 1979 \h</w:instrText>
        </w:r>
        <w:r>
          <w:fldChar w:fldCharType="end"/>
        </w:r>
      </w:hyperlink>
    </w:p>
    <w:p>
      <w:pPr>
        <w:tabs>
          <w:tab w:val="right" w:leader="dot" w:pos="9062"/>
        </w:tabs>
        <w:ind w:left="440"/>
      </w:pPr>
      <w:hyperlink w:anchor="_Toc1980" w:history="1">
        <w:r>
          <w:rPr>
            <w:rFonts w:ascii="IRNazanin" w:hAnsi="IRNazanin" w:eastAsia="IRNazanin" w:cs="IRNazanin"/>
            <w:color w:val="111111"/>
            <w:sz w:val="22"/>
            <w:szCs w:val="22"/>
            <w:b w:val="0"/>
            <w:bCs w:val="0"/>
            <w:i w:val="0"/>
            <w:iCs w:val="0"/>
          </w:rPr>
          <w:t>•تاریخ نیشابور / تاریخ ایران / فارسی</w:t>
        </w:r>
        <w:r>
          <w:tab/>
        </w:r>
        <w:r>
          <w:fldChar w:fldCharType="begin"/>
        </w:r>
        <w:r>
          <w:instrText xml:space="preserve">PAGEREF 1980 \h</w:instrText>
        </w:r>
        <w:r>
          <w:fldChar w:fldCharType="end"/>
        </w:r>
      </w:hyperlink>
    </w:p>
    <w:p>
      <w:pPr>
        <w:tabs>
          <w:tab w:val="right" w:leader="dot" w:pos="9062"/>
        </w:tabs>
        <w:ind w:left="440"/>
      </w:pPr>
      <w:hyperlink w:anchor="_Toc1981" w:history="1">
        <w:r>
          <w:rPr>
            <w:rFonts w:ascii="IRNazanin" w:hAnsi="IRNazanin" w:eastAsia="IRNazanin" w:cs="IRNazanin"/>
            <w:color w:val="111111"/>
            <w:sz w:val="22"/>
            <w:szCs w:val="22"/>
            <w:b w:val="0"/>
            <w:bCs w:val="0"/>
            <w:i w:val="0"/>
            <w:iCs w:val="0"/>
          </w:rPr>
          <w:t>•تاریخ نیک پی / تاریخ / فارسی</w:t>
        </w:r>
        <w:r>
          <w:tab/>
        </w:r>
        <w:r>
          <w:fldChar w:fldCharType="begin"/>
        </w:r>
        <w:r>
          <w:instrText xml:space="preserve">PAGEREF 1981 \h</w:instrText>
        </w:r>
        <w:r>
          <w:fldChar w:fldCharType="end"/>
        </w:r>
      </w:hyperlink>
    </w:p>
    <w:p>
      <w:pPr>
        <w:tabs>
          <w:tab w:val="right" w:leader="dot" w:pos="9062"/>
        </w:tabs>
        <w:ind w:left="440"/>
      </w:pPr>
      <w:hyperlink w:anchor="_Toc1982" w:history="1">
        <w:r>
          <w:rPr>
            <w:rFonts w:ascii="IRNazanin" w:hAnsi="IRNazanin" w:eastAsia="IRNazanin" w:cs="IRNazanin"/>
            <w:color w:val="111111"/>
            <w:sz w:val="22"/>
            <w:szCs w:val="22"/>
            <w:b w:val="0"/>
            <w:bCs w:val="0"/>
            <w:i w:val="0"/>
            <w:iCs w:val="0"/>
          </w:rPr>
          <w:t>•تاریخ نیکلای اول / تاریخ پادشاهان / فارسی</w:t>
        </w:r>
        <w:r>
          <w:tab/>
        </w:r>
        <w:r>
          <w:fldChar w:fldCharType="begin"/>
        </w:r>
        <w:r>
          <w:instrText xml:space="preserve">PAGEREF 1982 \h</w:instrText>
        </w:r>
        <w:r>
          <w:fldChar w:fldCharType="end"/>
        </w:r>
      </w:hyperlink>
    </w:p>
    <w:p>
      <w:pPr>
        <w:tabs>
          <w:tab w:val="right" w:leader="dot" w:pos="9062"/>
        </w:tabs>
        <w:ind w:left="440"/>
      </w:pPr>
      <w:hyperlink w:anchor="_Toc1983" w:history="1">
        <w:r>
          <w:rPr>
            <w:rFonts w:ascii="IRNazanin" w:hAnsi="IRNazanin" w:eastAsia="IRNazanin" w:cs="IRNazanin"/>
            <w:color w:val="111111"/>
            <w:sz w:val="22"/>
            <w:szCs w:val="22"/>
            <w:b w:val="0"/>
            <w:bCs w:val="0"/>
            <w:i w:val="0"/>
            <w:iCs w:val="0"/>
          </w:rPr>
          <w:t>•تاریخ واسط جعفری / تاریخ / فارسی</w:t>
        </w:r>
        <w:r>
          <w:tab/>
        </w:r>
        <w:r>
          <w:fldChar w:fldCharType="begin"/>
        </w:r>
        <w:r>
          <w:instrText xml:space="preserve">PAGEREF 1983 \h</w:instrText>
        </w:r>
        <w:r>
          <w:fldChar w:fldCharType="end"/>
        </w:r>
      </w:hyperlink>
    </w:p>
    <w:p>
      <w:pPr>
        <w:tabs>
          <w:tab w:val="right" w:leader="dot" w:pos="9062"/>
        </w:tabs>
        <w:ind w:left="440"/>
      </w:pPr>
      <w:hyperlink w:anchor="_Toc1984" w:history="1">
        <w:r>
          <w:rPr>
            <w:rFonts w:ascii="IRNazanin" w:hAnsi="IRNazanin" w:eastAsia="IRNazanin" w:cs="IRNazanin"/>
            <w:color w:val="111111"/>
            <w:sz w:val="22"/>
            <w:szCs w:val="22"/>
            <w:b w:val="0"/>
            <w:bCs w:val="0"/>
            <w:i w:val="0"/>
            <w:iCs w:val="0"/>
          </w:rPr>
          <w:t>•التاريخ و اسماء المحدثین و کناهم / رجال / عربی</w:t>
        </w:r>
        <w:r>
          <w:tab/>
        </w:r>
        <w:r>
          <w:fldChar w:fldCharType="begin"/>
        </w:r>
        <w:r>
          <w:instrText xml:space="preserve">PAGEREF 1984 \h</w:instrText>
        </w:r>
        <w:r>
          <w:fldChar w:fldCharType="end"/>
        </w:r>
      </w:hyperlink>
    </w:p>
    <w:p>
      <w:pPr>
        <w:tabs>
          <w:tab w:val="right" w:leader="dot" w:pos="9062"/>
        </w:tabs>
        <w:ind w:left="440"/>
      </w:pPr>
      <w:hyperlink w:anchor="_Toc1985" w:history="1">
        <w:r>
          <w:rPr>
            <w:rFonts w:ascii="IRNazanin" w:hAnsi="IRNazanin" w:eastAsia="IRNazanin" w:cs="IRNazanin"/>
            <w:color w:val="111111"/>
            <w:sz w:val="22"/>
            <w:szCs w:val="22"/>
            <w:b w:val="0"/>
            <w:bCs w:val="0"/>
            <w:i w:val="0"/>
            <w:iCs w:val="0"/>
          </w:rPr>
          <w:t>•تاریخ واقدی / تاریخ / عربی</w:t>
        </w:r>
        <w:r>
          <w:tab/>
        </w:r>
        <w:r>
          <w:fldChar w:fldCharType="begin"/>
        </w:r>
        <w:r>
          <w:instrText xml:space="preserve">PAGEREF 1985 \h</w:instrText>
        </w:r>
        <w:r>
          <w:fldChar w:fldCharType="end"/>
        </w:r>
      </w:hyperlink>
    </w:p>
    <w:p>
      <w:pPr>
        <w:tabs>
          <w:tab w:val="right" w:leader="dot" w:pos="9062"/>
        </w:tabs>
        <w:ind w:left="440"/>
      </w:pPr>
      <w:hyperlink w:anchor="_Toc1986" w:history="1">
        <w:r>
          <w:rPr>
            <w:rFonts w:ascii="IRNazanin" w:hAnsi="IRNazanin" w:eastAsia="IRNazanin" w:cs="IRNazanin"/>
            <w:color w:val="111111"/>
            <w:sz w:val="22"/>
            <w:szCs w:val="22"/>
            <w:b w:val="0"/>
            <w:bCs w:val="0"/>
            <w:i w:val="0"/>
            <w:iCs w:val="0"/>
          </w:rPr>
          <w:t>•تاریخ واقعه بغداد با کیفیت واقعه بغداد / تاریخ / فارسی</w:t>
        </w:r>
        <w:r>
          <w:tab/>
        </w:r>
        <w:r>
          <w:fldChar w:fldCharType="begin"/>
        </w:r>
        <w:r>
          <w:instrText xml:space="preserve">PAGEREF 1986 \h</w:instrText>
        </w:r>
        <w:r>
          <w:fldChar w:fldCharType="end"/>
        </w:r>
      </w:hyperlink>
    </w:p>
    <w:p>
      <w:pPr>
        <w:tabs>
          <w:tab w:val="right" w:leader="dot" w:pos="9062"/>
        </w:tabs>
        <w:ind w:left="440"/>
      </w:pPr>
      <w:hyperlink w:anchor="_Toc1987" w:history="1">
        <w:r>
          <w:rPr>
            <w:rFonts w:ascii="IRNazanin" w:hAnsi="IRNazanin" w:eastAsia="IRNazanin" w:cs="IRNazanin"/>
            <w:color w:val="111111"/>
            <w:sz w:val="22"/>
            <w:szCs w:val="22"/>
            <w:b w:val="0"/>
            <w:bCs w:val="0"/>
            <w:i w:val="0"/>
            <w:iCs w:val="0"/>
          </w:rPr>
          <w:t>•التاريخ و الاعتقادات / تاریخ عربی</w:t>
        </w:r>
        <w:r>
          <w:tab/>
        </w:r>
        <w:r>
          <w:fldChar w:fldCharType="begin"/>
        </w:r>
        <w:r>
          <w:instrText xml:space="preserve">PAGEREF 1987 \h</w:instrText>
        </w:r>
        <w:r>
          <w:fldChar w:fldCharType="end"/>
        </w:r>
      </w:hyperlink>
    </w:p>
    <w:p>
      <w:pPr>
        <w:tabs>
          <w:tab w:val="right" w:leader="dot" w:pos="9062"/>
        </w:tabs>
        <w:ind w:left="440"/>
      </w:pPr>
      <w:hyperlink w:anchor="_Toc1988" w:history="1">
        <w:r>
          <w:rPr>
            <w:rFonts w:ascii="IRNazanin" w:hAnsi="IRNazanin" w:eastAsia="IRNazanin" w:cs="IRNazanin"/>
            <w:color w:val="111111"/>
            <w:sz w:val="22"/>
            <w:szCs w:val="22"/>
            <w:b w:val="0"/>
            <w:bCs w:val="0"/>
            <w:i w:val="0"/>
            <w:iCs w:val="0"/>
          </w:rPr>
          <w:t>•تاریخ و انساب مشجر / انساب / عربی</w:t>
        </w:r>
        <w:r>
          <w:tab/>
        </w:r>
        <w:r>
          <w:fldChar w:fldCharType="begin"/>
        </w:r>
        <w:r>
          <w:instrText xml:space="preserve">PAGEREF 1988 \h</w:instrText>
        </w:r>
        <w:r>
          <w:fldChar w:fldCharType="end"/>
        </w:r>
      </w:hyperlink>
    </w:p>
    <w:p>
      <w:pPr>
        <w:tabs>
          <w:tab w:val="right" w:leader="dot" w:pos="9062"/>
        </w:tabs>
        <w:ind w:left="440"/>
      </w:pPr>
      <w:hyperlink w:anchor="_Toc1989" w:history="1">
        <w:r>
          <w:rPr>
            <w:rFonts w:ascii="IRNazanin" w:hAnsi="IRNazanin" w:eastAsia="IRNazanin" w:cs="IRNazanin"/>
            <w:color w:val="111111"/>
            <w:sz w:val="22"/>
            <w:szCs w:val="22"/>
            <w:b w:val="0"/>
            <w:bCs w:val="0"/>
            <w:i w:val="0"/>
            <w:iCs w:val="0"/>
          </w:rPr>
          <w:t>•تاریخ و ترجمه جغرافیای عراق / تاریخ و جغرافيا/ فارسی</w:t>
        </w:r>
        <w:r>
          <w:tab/>
        </w:r>
        <w:r>
          <w:fldChar w:fldCharType="begin"/>
        </w:r>
        <w:r>
          <w:instrText xml:space="preserve">PAGEREF 1989 \h</w:instrText>
        </w:r>
        <w:r>
          <w:fldChar w:fldCharType="end"/>
        </w:r>
      </w:hyperlink>
    </w:p>
    <w:p>
      <w:pPr>
        <w:tabs>
          <w:tab w:val="right" w:leader="dot" w:pos="9062"/>
        </w:tabs>
        <w:ind w:left="440"/>
      </w:pPr>
      <w:hyperlink w:anchor="_Toc1990" w:history="1">
        <w:r>
          <w:rPr>
            <w:rFonts w:ascii="IRNazanin" w:hAnsi="IRNazanin" w:eastAsia="IRNazanin" w:cs="IRNazanin"/>
            <w:color w:val="111111"/>
            <w:sz w:val="22"/>
            <w:szCs w:val="22"/>
            <w:b w:val="0"/>
            <w:bCs w:val="0"/>
            <w:i w:val="0"/>
            <w:iCs w:val="0"/>
          </w:rPr>
          <w:t>•تاریخ و جغرافی / تاریخ و جغرافيا / عربی</w:t>
        </w:r>
        <w:r>
          <w:tab/>
        </w:r>
        <w:r>
          <w:fldChar w:fldCharType="begin"/>
        </w:r>
        <w:r>
          <w:instrText xml:space="preserve">PAGEREF 1990 \h</w:instrText>
        </w:r>
        <w:r>
          <w:fldChar w:fldCharType="end"/>
        </w:r>
      </w:hyperlink>
    </w:p>
    <w:p>
      <w:pPr>
        <w:tabs>
          <w:tab w:val="right" w:leader="dot" w:pos="9062"/>
        </w:tabs>
        <w:ind w:left="440"/>
      </w:pPr>
      <w:hyperlink w:anchor="_Toc1991" w:history="1">
        <w:r>
          <w:rPr>
            <w:rFonts w:ascii="IRNazanin" w:hAnsi="IRNazanin" w:eastAsia="IRNazanin" w:cs="IRNazanin"/>
            <w:color w:val="111111"/>
            <w:sz w:val="22"/>
            <w:szCs w:val="22"/>
            <w:b w:val="0"/>
            <w:bCs w:val="0"/>
            <w:i w:val="0"/>
            <w:iCs w:val="0"/>
          </w:rPr>
          <w:t>•تاریخ و جغرافيا / تاریخ و جغرافيا / فارسی</w:t>
        </w:r>
        <w:r>
          <w:tab/>
        </w:r>
        <w:r>
          <w:fldChar w:fldCharType="begin"/>
        </w:r>
        <w:r>
          <w:instrText xml:space="preserve">PAGEREF 1991 \h</w:instrText>
        </w:r>
        <w:r>
          <w:fldChar w:fldCharType="end"/>
        </w:r>
      </w:hyperlink>
    </w:p>
    <w:p>
      <w:pPr>
        <w:tabs>
          <w:tab w:val="right" w:leader="dot" w:pos="9062"/>
        </w:tabs>
        <w:ind w:left="440"/>
      </w:pPr>
      <w:hyperlink w:anchor="_Toc1992" w:history="1">
        <w:r>
          <w:rPr>
            <w:rFonts w:ascii="IRNazanin" w:hAnsi="IRNazanin" w:eastAsia="IRNazanin" w:cs="IRNazanin"/>
            <w:color w:val="111111"/>
            <w:sz w:val="22"/>
            <w:szCs w:val="22"/>
            <w:b w:val="0"/>
            <w:bCs w:val="0"/>
            <w:i w:val="0"/>
            <w:iCs w:val="0"/>
          </w:rPr>
          <w:t>•تاریخ و جغرافيا / جغرافیا، تاریخ / فارسی</w:t>
        </w:r>
        <w:r>
          <w:tab/>
        </w:r>
        <w:r>
          <w:fldChar w:fldCharType="begin"/>
        </w:r>
        <w:r>
          <w:instrText xml:space="preserve">PAGEREF 1992 \h</w:instrText>
        </w:r>
        <w:r>
          <w:fldChar w:fldCharType="end"/>
        </w:r>
      </w:hyperlink>
    </w:p>
    <w:p>
      <w:pPr>
        <w:tabs>
          <w:tab w:val="right" w:leader="dot" w:pos="9062"/>
        </w:tabs>
        <w:ind w:left="440"/>
      </w:pPr>
      <w:hyperlink w:anchor="_Toc1993" w:history="1">
        <w:r>
          <w:rPr>
            <w:rFonts w:ascii="IRNazanin" w:hAnsi="IRNazanin" w:eastAsia="IRNazanin" w:cs="IRNazanin"/>
            <w:color w:val="111111"/>
            <w:sz w:val="22"/>
            <w:szCs w:val="22"/>
            <w:b w:val="0"/>
            <w:bCs w:val="0"/>
            <w:i w:val="0"/>
            <w:iCs w:val="0"/>
          </w:rPr>
          <w:t>•تاریخ و جغرافیای آستان قدس رضوی / تاریخ و جغرافيا / فارسی</w:t>
        </w:r>
        <w:r>
          <w:tab/>
        </w:r>
        <w:r>
          <w:fldChar w:fldCharType="begin"/>
        </w:r>
        <w:r>
          <w:instrText xml:space="preserve">PAGEREF 1993 \h</w:instrText>
        </w:r>
        <w:r>
          <w:fldChar w:fldCharType="end"/>
        </w:r>
      </w:hyperlink>
    </w:p>
    <w:p>
      <w:pPr>
        <w:tabs>
          <w:tab w:val="right" w:leader="dot" w:pos="9062"/>
        </w:tabs>
        <w:ind w:left="440"/>
      </w:pPr>
      <w:hyperlink w:anchor="_Toc1994" w:history="1">
        <w:r>
          <w:rPr>
            <w:rFonts w:ascii="IRNazanin" w:hAnsi="IRNazanin" w:eastAsia="IRNazanin" w:cs="IRNazanin"/>
            <w:color w:val="111111"/>
            <w:sz w:val="22"/>
            <w:szCs w:val="22"/>
            <w:b w:val="0"/>
            <w:bCs w:val="0"/>
            <w:i w:val="0"/>
            <w:iCs w:val="0"/>
          </w:rPr>
          <w:t>•تاریخ و جغرافیای حافظ ابرو / تاریخ و جغرافيا / فارسی</w:t>
        </w:r>
        <w:r>
          <w:tab/>
        </w:r>
        <w:r>
          <w:fldChar w:fldCharType="begin"/>
        </w:r>
        <w:r>
          <w:instrText xml:space="preserve">PAGEREF 1994 \h</w:instrText>
        </w:r>
        <w:r>
          <w:fldChar w:fldCharType="end"/>
        </w:r>
      </w:hyperlink>
    </w:p>
    <w:p>
      <w:pPr>
        <w:tabs>
          <w:tab w:val="right" w:leader="dot" w:pos="9062"/>
        </w:tabs>
        <w:ind w:left="440"/>
      </w:pPr>
      <w:hyperlink w:anchor="_Toc1995" w:history="1">
        <w:r>
          <w:rPr>
            <w:rFonts w:ascii="IRNazanin" w:hAnsi="IRNazanin" w:eastAsia="IRNazanin" w:cs="IRNazanin"/>
            <w:color w:val="111111"/>
            <w:sz w:val="22"/>
            <w:szCs w:val="22"/>
            <w:b w:val="0"/>
            <w:bCs w:val="0"/>
            <w:i w:val="0"/>
            <w:iCs w:val="0"/>
          </w:rPr>
          <w:t>•تاریخ و جغرافیای سیلان / جغرافيا / فارسی</w:t>
        </w:r>
        <w:r>
          <w:tab/>
        </w:r>
        <w:r>
          <w:fldChar w:fldCharType="begin"/>
        </w:r>
        <w:r>
          <w:instrText xml:space="preserve">PAGEREF 1995 \h</w:instrText>
        </w:r>
        <w:r>
          <w:fldChar w:fldCharType="end"/>
        </w:r>
      </w:hyperlink>
    </w:p>
    <w:p>
      <w:pPr>
        <w:tabs>
          <w:tab w:val="right" w:leader="dot" w:pos="9062"/>
        </w:tabs>
        <w:ind w:left="440"/>
      </w:pPr>
      <w:hyperlink w:anchor="_Toc1996" w:history="1">
        <w:r>
          <w:rPr>
            <w:rFonts w:ascii="IRNazanin" w:hAnsi="IRNazanin" w:eastAsia="IRNazanin" w:cs="IRNazanin"/>
            <w:color w:val="111111"/>
            <w:sz w:val="22"/>
            <w:szCs w:val="22"/>
            <w:b w:val="0"/>
            <w:bCs w:val="0"/>
            <w:i w:val="0"/>
            <w:iCs w:val="0"/>
          </w:rPr>
          <w:t>•تاریخ و جغرافیای کرمان = سالاریه = تاریخ کرمان / جغرافیا، تاریخ ایران / فارسی</w:t>
        </w:r>
        <w:r>
          <w:tab/>
        </w:r>
        <w:r>
          <w:fldChar w:fldCharType="begin"/>
        </w:r>
        <w:r>
          <w:instrText xml:space="preserve">PAGEREF 1996 \h</w:instrText>
        </w:r>
        <w:r>
          <w:fldChar w:fldCharType="end"/>
        </w:r>
      </w:hyperlink>
    </w:p>
    <w:p>
      <w:pPr>
        <w:tabs>
          <w:tab w:val="right" w:leader="dot" w:pos="9062"/>
        </w:tabs>
        <w:ind w:left="440"/>
      </w:pPr>
      <w:hyperlink w:anchor="_Toc1997" w:history="1">
        <w:r>
          <w:rPr>
            <w:rFonts w:ascii="IRNazanin" w:hAnsi="IRNazanin" w:eastAsia="IRNazanin" w:cs="IRNazanin"/>
            <w:color w:val="111111"/>
            <w:sz w:val="22"/>
            <w:szCs w:val="22"/>
            <w:b w:val="0"/>
            <w:bCs w:val="0"/>
            <w:i w:val="0"/>
            <w:iCs w:val="0"/>
          </w:rPr>
          <w:t>•تاریخ و جغرافیای کرمان / تاریخ ایران، جغرافيا / فارسی</w:t>
        </w:r>
        <w:r>
          <w:tab/>
        </w:r>
        <w:r>
          <w:fldChar w:fldCharType="begin"/>
        </w:r>
        <w:r>
          <w:instrText xml:space="preserve">PAGEREF 1997 \h</w:instrText>
        </w:r>
        <w:r>
          <w:fldChar w:fldCharType="end"/>
        </w:r>
      </w:hyperlink>
    </w:p>
    <w:p>
      <w:pPr>
        <w:tabs>
          <w:tab w:val="right" w:leader="dot" w:pos="9062"/>
        </w:tabs>
        <w:ind w:left="440"/>
      </w:pPr>
      <w:hyperlink w:anchor="_Toc1998" w:history="1">
        <w:r>
          <w:rPr>
            <w:rFonts w:ascii="IRNazanin" w:hAnsi="IRNazanin" w:eastAsia="IRNazanin" w:cs="IRNazanin"/>
            <w:color w:val="111111"/>
            <w:sz w:val="22"/>
            <w:szCs w:val="22"/>
            <w:b w:val="0"/>
            <w:bCs w:val="0"/>
            <w:i w:val="0"/>
            <w:iCs w:val="0"/>
          </w:rPr>
          <w:t>• تاریخ و جغرافیای کرمان (ترجمه) / جغرافیا، تاریخ / فارسی</w:t>
        </w:r>
        <w:r>
          <w:tab/>
        </w:r>
        <w:r>
          <w:fldChar w:fldCharType="begin"/>
        </w:r>
        <w:r>
          <w:instrText xml:space="preserve">PAGEREF 1998 \h</w:instrText>
        </w:r>
        <w:r>
          <w:fldChar w:fldCharType="end"/>
        </w:r>
      </w:hyperlink>
    </w:p>
    <w:p>
      <w:pPr>
        <w:tabs>
          <w:tab w:val="right" w:leader="dot" w:pos="9062"/>
        </w:tabs>
        <w:ind w:left="440"/>
      </w:pPr>
      <w:hyperlink w:anchor="_Toc1999" w:history="1">
        <w:r>
          <w:rPr>
            <w:rFonts w:ascii="IRNazanin" w:hAnsi="IRNazanin" w:eastAsia="IRNazanin" w:cs="IRNazanin"/>
            <w:color w:val="111111"/>
            <w:sz w:val="22"/>
            <w:szCs w:val="22"/>
            <w:b w:val="0"/>
            <w:bCs w:val="0"/>
            <w:i w:val="0"/>
            <w:iCs w:val="0"/>
          </w:rPr>
          <w:t>•تاریخ و جغرافیای هند / تاریخ هند / فارسی</w:t>
        </w:r>
        <w:r>
          <w:tab/>
        </w:r>
        <w:r>
          <w:fldChar w:fldCharType="begin"/>
        </w:r>
        <w:r>
          <w:instrText xml:space="preserve">PAGEREF 1999 \h</w:instrText>
        </w:r>
        <w:r>
          <w:fldChar w:fldCharType="end"/>
        </w:r>
      </w:hyperlink>
    </w:p>
    <w:p>
      <w:pPr>
        <w:tabs>
          <w:tab w:val="right" w:leader="dot" w:pos="9062"/>
        </w:tabs>
        <w:ind w:left="440"/>
      </w:pPr>
      <w:hyperlink w:anchor="_Toc2000" w:history="1">
        <w:r>
          <w:rPr>
            <w:rFonts w:ascii="IRNazanin" w:hAnsi="IRNazanin" w:eastAsia="IRNazanin" w:cs="IRNazanin"/>
            <w:color w:val="111111"/>
            <w:sz w:val="22"/>
            <w:szCs w:val="22"/>
            <w:b w:val="0"/>
            <w:bCs w:val="0"/>
            <w:i w:val="0"/>
            <w:iCs w:val="0"/>
          </w:rPr>
          <w:t>•تاریخ و جغرافیای هندوستان = گزیده تعليمات خرد افروز / جغرافيا / فارسی</w:t>
        </w:r>
        <w:r>
          <w:tab/>
        </w:r>
        <w:r>
          <w:fldChar w:fldCharType="begin"/>
        </w:r>
        <w:r>
          <w:instrText xml:space="preserve">PAGEREF 2000 \h</w:instrText>
        </w:r>
        <w:r>
          <w:fldChar w:fldCharType="end"/>
        </w:r>
      </w:hyperlink>
    </w:p>
    <w:p>
      <w:pPr>
        <w:tabs>
          <w:tab w:val="right" w:leader="dot" w:pos="9062"/>
        </w:tabs>
        <w:ind w:left="440"/>
      </w:pPr>
      <w:hyperlink w:anchor="_Toc2001" w:history="1">
        <w:r>
          <w:rPr>
            <w:rFonts w:ascii="IRNazanin" w:hAnsi="IRNazanin" w:eastAsia="IRNazanin" w:cs="IRNazanin"/>
            <w:color w:val="111111"/>
            <w:sz w:val="22"/>
            <w:szCs w:val="22"/>
            <w:b w:val="0"/>
            <w:bCs w:val="0"/>
            <w:i w:val="0"/>
            <w:iCs w:val="0"/>
          </w:rPr>
          <w:t>•تاریخ و جغرافیای یونان / تاریخ جهان / فارسی</w:t>
        </w:r>
        <w:r>
          <w:tab/>
        </w:r>
        <w:r>
          <w:fldChar w:fldCharType="begin"/>
        </w:r>
        <w:r>
          <w:instrText xml:space="preserve">PAGEREF 2001 \h</w:instrText>
        </w:r>
        <w:r>
          <w:fldChar w:fldCharType="end"/>
        </w:r>
      </w:hyperlink>
    </w:p>
    <w:p>
      <w:pPr>
        <w:tabs>
          <w:tab w:val="right" w:leader="dot" w:pos="9062"/>
        </w:tabs>
        <w:ind w:left="440"/>
      </w:pPr>
      <w:hyperlink w:anchor="_Toc2002" w:history="1">
        <w:r>
          <w:rPr>
            <w:rFonts w:ascii="IRNazanin" w:hAnsi="IRNazanin" w:eastAsia="IRNazanin" w:cs="IRNazanin"/>
            <w:color w:val="111111"/>
            <w:sz w:val="22"/>
            <w:szCs w:val="22"/>
            <w:b w:val="0"/>
            <w:bCs w:val="0"/>
            <w:i w:val="0"/>
            <w:iCs w:val="0"/>
          </w:rPr>
          <w:t>•تاریخ و الحكايات / تاریخ / فارسی</w:t>
        </w:r>
        <w:r>
          <w:tab/>
        </w:r>
        <w:r>
          <w:fldChar w:fldCharType="begin"/>
        </w:r>
        <w:r>
          <w:instrText xml:space="preserve">PAGEREF 2002 \h</w:instrText>
        </w:r>
        <w:r>
          <w:fldChar w:fldCharType="end"/>
        </w:r>
      </w:hyperlink>
    </w:p>
    <w:p>
      <w:pPr>
        <w:tabs>
          <w:tab w:val="right" w:leader="dot" w:pos="9062"/>
        </w:tabs>
        <w:ind w:left="440"/>
      </w:pPr>
      <w:hyperlink w:anchor="_Toc2003" w:history="1">
        <w:r>
          <w:rPr>
            <w:rFonts w:ascii="IRNazanin" w:hAnsi="IRNazanin" w:eastAsia="IRNazanin" w:cs="IRNazanin"/>
            <w:color w:val="111111"/>
            <w:sz w:val="22"/>
            <w:szCs w:val="22"/>
            <w:b w:val="0"/>
            <w:bCs w:val="0"/>
            <w:i w:val="0"/>
            <w:iCs w:val="0"/>
          </w:rPr>
          <w:t>•تاریخ و حکایات مذهبی / تاریخ / فارسی</w:t>
        </w:r>
        <w:r>
          <w:tab/>
        </w:r>
        <w:r>
          <w:fldChar w:fldCharType="begin"/>
        </w:r>
        <w:r>
          <w:instrText xml:space="preserve">PAGEREF 2003 \h</w:instrText>
        </w:r>
        <w:r>
          <w:fldChar w:fldCharType="end"/>
        </w:r>
      </w:hyperlink>
    </w:p>
    <w:p>
      <w:pPr>
        <w:tabs>
          <w:tab w:val="right" w:leader="dot" w:pos="9062"/>
        </w:tabs>
        <w:ind w:left="440"/>
      </w:pPr>
      <w:hyperlink w:anchor="_Toc2004" w:history="1">
        <w:r>
          <w:rPr>
            <w:rFonts w:ascii="IRNazanin" w:hAnsi="IRNazanin" w:eastAsia="IRNazanin" w:cs="IRNazanin"/>
            <w:color w:val="111111"/>
            <w:sz w:val="22"/>
            <w:szCs w:val="22"/>
            <w:b w:val="0"/>
            <w:bCs w:val="0"/>
            <w:i w:val="0"/>
            <w:iCs w:val="0"/>
          </w:rPr>
          <w:t>•تاریخ و روایت از بزرگان / داستان / فارسی</w:t>
        </w:r>
        <w:r>
          <w:tab/>
        </w:r>
        <w:r>
          <w:fldChar w:fldCharType="begin"/>
        </w:r>
        <w:r>
          <w:instrText xml:space="preserve">PAGEREF 2004 \h</w:instrText>
        </w:r>
        <w:r>
          <w:fldChar w:fldCharType="end"/>
        </w:r>
      </w:hyperlink>
    </w:p>
    <w:p>
      <w:pPr>
        <w:tabs>
          <w:tab w:val="right" w:leader="dot" w:pos="9062"/>
        </w:tabs>
        <w:ind w:left="440"/>
      </w:pPr>
      <w:hyperlink w:anchor="_Toc2005" w:history="1">
        <w:r>
          <w:rPr>
            <w:rFonts w:ascii="IRNazanin" w:hAnsi="IRNazanin" w:eastAsia="IRNazanin" w:cs="IRNazanin"/>
            <w:color w:val="111111"/>
            <w:sz w:val="22"/>
            <w:szCs w:val="22"/>
            <w:b w:val="0"/>
            <w:bCs w:val="0"/>
            <w:i w:val="0"/>
            <w:iCs w:val="0"/>
          </w:rPr>
          <w:t>•تاریخ و روایت از بزرگان دین و غیره / گوناگون</w:t>
        </w:r>
        <w:r>
          <w:tab/>
        </w:r>
        <w:r>
          <w:fldChar w:fldCharType="begin"/>
        </w:r>
        <w:r>
          <w:instrText xml:space="preserve">PAGEREF 2005 \h</w:instrText>
        </w:r>
        <w:r>
          <w:fldChar w:fldCharType="end"/>
        </w:r>
      </w:hyperlink>
    </w:p>
    <w:p>
      <w:pPr>
        <w:tabs>
          <w:tab w:val="right" w:leader="dot" w:pos="9062"/>
        </w:tabs>
        <w:ind w:left="440"/>
      </w:pPr>
      <w:hyperlink w:anchor="_Toc2006" w:history="1">
        <w:r>
          <w:rPr>
            <w:rFonts w:ascii="IRNazanin" w:hAnsi="IRNazanin" w:eastAsia="IRNazanin" w:cs="IRNazanin"/>
            <w:color w:val="111111"/>
            <w:sz w:val="22"/>
            <w:szCs w:val="22"/>
            <w:b w:val="0"/>
            <w:bCs w:val="0"/>
            <w:i w:val="0"/>
            <w:iCs w:val="0"/>
          </w:rPr>
          <w:t>•تاریخ ورود و خروج پست / تاریخ ایران / فارسی</w:t>
        </w:r>
        <w:r>
          <w:tab/>
        </w:r>
        <w:r>
          <w:fldChar w:fldCharType="begin"/>
        </w:r>
        <w:r>
          <w:instrText xml:space="preserve">PAGEREF 2006 \h</w:instrText>
        </w:r>
        <w:r>
          <w:fldChar w:fldCharType="end"/>
        </w:r>
      </w:hyperlink>
    </w:p>
    <w:p>
      <w:pPr>
        <w:tabs>
          <w:tab w:val="right" w:leader="dot" w:pos="9062"/>
        </w:tabs>
        <w:ind w:left="440"/>
      </w:pPr>
      <w:hyperlink w:anchor="_Toc2007" w:history="1">
        <w:r>
          <w:rPr>
            <w:rFonts w:ascii="IRNazanin" w:hAnsi="IRNazanin" w:eastAsia="IRNazanin" w:cs="IRNazanin"/>
            <w:color w:val="111111"/>
            <w:sz w:val="22"/>
            <w:szCs w:val="22"/>
            <w:b w:val="0"/>
            <w:bCs w:val="0"/>
            <w:i w:val="0"/>
            <w:iCs w:val="0"/>
          </w:rPr>
          <w:t>•تاريخ الوزراء / تراجم / فارسی</w:t>
        </w:r>
        <w:r>
          <w:tab/>
        </w:r>
        <w:r>
          <w:fldChar w:fldCharType="begin"/>
        </w:r>
        <w:r>
          <w:instrText xml:space="preserve">PAGEREF 2007 \h</w:instrText>
        </w:r>
        <w:r>
          <w:fldChar w:fldCharType="end"/>
        </w:r>
      </w:hyperlink>
    </w:p>
    <w:p>
      <w:pPr>
        <w:tabs>
          <w:tab w:val="right" w:leader="dot" w:pos="9062"/>
        </w:tabs>
        <w:ind w:left="440"/>
      </w:pPr>
      <w:hyperlink w:anchor="_Toc2008" w:history="1">
        <w:r>
          <w:rPr>
            <w:rFonts w:ascii="IRNazanin" w:hAnsi="IRNazanin" w:eastAsia="IRNazanin" w:cs="IRNazanin"/>
            <w:color w:val="111111"/>
            <w:sz w:val="22"/>
            <w:szCs w:val="22"/>
            <w:b w:val="0"/>
            <w:bCs w:val="0"/>
            <w:i w:val="0"/>
            <w:iCs w:val="0"/>
          </w:rPr>
          <w:t>•تاریخ وزرا / تراجم / فارسی</w:t>
        </w:r>
        <w:r>
          <w:tab/>
        </w:r>
        <w:r>
          <w:fldChar w:fldCharType="begin"/>
        </w:r>
        <w:r>
          <w:instrText xml:space="preserve">PAGEREF 2008 \h</w:instrText>
        </w:r>
        <w:r>
          <w:fldChar w:fldCharType="end"/>
        </w:r>
      </w:hyperlink>
    </w:p>
    <w:p>
      <w:pPr>
        <w:tabs>
          <w:tab w:val="right" w:leader="dot" w:pos="9062"/>
        </w:tabs>
        <w:ind w:left="440"/>
      </w:pPr>
      <w:hyperlink w:anchor="_Toc2009" w:history="1">
        <w:r>
          <w:rPr>
            <w:rFonts w:ascii="IRNazanin" w:hAnsi="IRNazanin" w:eastAsia="IRNazanin" w:cs="IRNazanin"/>
            <w:color w:val="111111"/>
            <w:sz w:val="22"/>
            <w:szCs w:val="22"/>
            <w:b w:val="0"/>
            <w:bCs w:val="0"/>
            <w:i w:val="0"/>
            <w:iCs w:val="0"/>
          </w:rPr>
          <w:t>•تاريخ الوزراء / تراجم، تاریخ ایران / فارسی</w:t>
        </w:r>
        <w:r>
          <w:tab/>
        </w:r>
        <w:r>
          <w:fldChar w:fldCharType="begin"/>
        </w:r>
        <w:r>
          <w:instrText xml:space="preserve">PAGEREF 2009 \h</w:instrText>
        </w:r>
        <w:r>
          <w:fldChar w:fldCharType="end"/>
        </w:r>
      </w:hyperlink>
    </w:p>
    <w:p>
      <w:pPr>
        <w:tabs>
          <w:tab w:val="right" w:leader="dot" w:pos="9062"/>
        </w:tabs>
        <w:ind w:left="440"/>
      </w:pPr>
      <w:hyperlink w:anchor="_Toc2010" w:history="1">
        <w:r>
          <w:rPr>
            <w:rFonts w:ascii="IRNazanin" w:hAnsi="IRNazanin" w:eastAsia="IRNazanin" w:cs="IRNazanin"/>
            <w:color w:val="111111"/>
            <w:sz w:val="22"/>
            <w:szCs w:val="22"/>
            <w:b w:val="0"/>
            <w:bCs w:val="0"/>
            <w:i w:val="0"/>
            <w:iCs w:val="0"/>
          </w:rPr>
          <w:t>•تاريخ اليمن و أنسابه / شعر، تاریخ / عربی</w:t>
        </w:r>
        <w:r>
          <w:tab/>
        </w:r>
        <w:r>
          <w:fldChar w:fldCharType="begin"/>
        </w:r>
        <w:r>
          <w:instrText xml:space="preserve">PAGEREF 2010 \h</w:instrText>
        </w:r>
        <w:r>
          <w:fldChar w:fldCharType="end"/>
        </w:r>
      </w:hyperlink>
    </w:p>
    <w:p>
      <w:pPr>
        <w:tabs>
          <w:tab w:val="right" w:leader="dot" w:pos="9062"/>
        </w:tabs>
        <w:ind w:left="440"/>
      </w:pPr>
      <w:hyperlink w:anchor="_Toc2011" w:history="1">
        <w:r>
          <w:rPr>
            <w:rFonts w:ascii="IRNazanin" w:hAnsi="IRNazanin" w:eastAsia="IRNazanin" w:cs="IRNazanin"/>
            <w:color w:val="111111"/>
            <w:sz w:val="22"/>
            <w:szCs w:val="22"/>
            <w:b w:val="0"/>
            <w:bCs w:val="0"/>
            <w:i w:val="0"/>
            <w:iCs w:val="0"/>
          </w:rPr>
          <w:t>•تاریخ و سالهای زاد و مرگ /تراجم / فارسی</w:t>
        </w:r>
        <w:r>
          <w:tab/>
        </w:r>
        <w:r>
          <w:fldChar w:fldCharType="begin"/>
        </w:r>
        <w:r>
          <w:instrText xml:space="preserve">PAGEREF 2011 \h</w:instrText>
        </w:r>
        <w:r>
          <w:fldChar w:fldCharType="end"/>
        </w:r>
      </w:hyperlink>
    </w:p>
    <w:p>
      <w:pPr>
        <w:tabs>
          <w:tab w:val="right" w:leader="dot" w:pos="9062"/>
        </w:tabs>
        <w:ind w:left="440"/>
      </w:pPr>
      <w:hyperlink w:anchor="_Toc2012" w:history="1">
        <w:r>
          <w:rPr>
            <w:rFonts w:ascii="IRNazanin" w:hAnsi="IRNazanin" w:eastAsia="IRNazanin" w:cs="IRNazanin"/>
            <w:color w:val="111111"/>
            <w:sz w:val="22"/>
            <w:szCs w:val="22"/>
            <w:b w:val="0"/>
            <w:bCs w:val="0"/>
            <w:i w:val="0"/>
            <w:iCs w:val="0"/>
          </w:rPr>
          <w:t>•تاریخ و سیر / تاریخ معصومین / فارسی</w:t>
        </w:r>
        <w:r>
          <w:tab/>
        </w:r>
        <w:r>
          <w:fldChar w:fldCharType="begin"/>
        </w:r>
        <w:r>
          <w:instrText xml:space="preserve">PAGEREF 2012 \h</w:instrText>
        </w:r>
        <w:r>
          <w:fldChar w:fldCharType="end"/>
        </w:r>
      </w:hyperlink>
    </w:p>
    <w:p>
      <w:pPr>
        <w:tabs>
          <w:tab w:val="right" w:leader="dot" w:pos="9062"/>
        </w:tabs>
        <w:ind w:left="440"/>
      </w:pPr>
      <w:hyperlink w:anchor="_Toc2013" w:history="1">
        <w:r>
          <w:rPr>
            <w:rFonts w:ascii="IRNazanin" w:hAnsi="IRNazanin" w:eastAsia="IRNazanin" w:cs="IRNazanin"/>
            <w:color w:val="111111"/>
            <w:sz w:val="22"/>
            <w:szCs w:val="22"/>
            <w:b w:val="0"/>
            <w:bCs w:val="0"/>
            <w:i w:val="0"/>
            <w:iCs w:val="0"/>
          </w:rPr>
          <w:t>•تاریخ و طبقات سلاطین ایران / تاریخ جهان / فارسی</w:t>
        </w:r>
        <w:r>
          <w:tab/>
        </w:r>
        <w:r>
          <w:fldChar w:fldCharType="begin"/>
        </w:r>
        <w:r>
          <w:instrText xml:space="preserve">PAGEREF 2013 \h</w:instrText>
        </w:r>
        <w:r>
          <w:fldChar w:fldCharType="end"/>
        </w:r>
      </w:hyperlink>
    </w:p>
    <w:p>
      <w:pPr>
        <w:tabs>
          <w:tab w:val="right" w:leader="dot" w:pos="9062"/>
        </w:tabs>
        <w:ind w:left="440"/>
      </w:pPr>
      <w:hyperlink w:anchor="_Toc2014" w:history="1">
        <w:r>
          <w:rPr>
            <w:rFonts w:ascii="IRNazanin" w:hAnsi="IRNazanin" w:eastAsia="IRNazanin" w:cs="IRNazanin"/>
            <w:color w:val="111111"/>
            <w:sz w:val="22"/>
            <w:szCs w:val="22"/>
            <w:b w:val="0"/>
            <w:bCs w:val="0"/>
            <w:i w:val="0"/>
            <w:iCs w:val="0"/>
          </w:rPr>
          <w:t>•التاريخ و العلل / تاریخ / عربی</w:t>
        </w:r>
        <w:r>
          <w:tab/>
        </w:r>
        <w:r>
          <w:fldChar w:fldCharType="begin"/>
        </w:r>
        <w:r>
          <w:instrText xml:space="preserve">PAGEREF 2014 \h</w:instrText>
        </w:r>
        <w:r>
          <w:fldChar w:fldCharType="end"/>
        </w:r>
      </w:hyperlink>
    </w:p>
    <w:p>
      <w:pPr>
        <w:tabs>
          <w:tab w:val="right" w:leader="dot" w:pos="9062"/>
        </w:tabs>
        <w:ind w:left="440"/>
      </w:pPr>
      <w:hyperlink w:anchor="_Toc2015" w:history="1">
        <w:r>
          <w:rPr>
            <w:rFonts w:ascii="IRNazanin" w:hAnsi="IRNazanin" w:eastAsia="IRNazanin" w:cs="IRNazanin"/>
            <w:color w:val="111111"/>
            <w:sz w:val="22"/>
            <w:szCs w:val="22"/>
            <w:b w:val="0"/>
            <w:bCs w:val="0"/>
            <w:i w:val="0"/>
            <w:iCs w:val="0"/>
          </w:rPr>
          <w:t>•تاریخ وفات / تاریخ / عربی</w:t>
        </w:r>
        <w:r>
          <w:tab/>
        </w:r>
        <w:r>
          <w:fldChar w:fldCharType="begin"/>
        </w:r>
        <w:r>
          <w:instrText xml:space="preserve">PAGEREF 2015 \h</w:instrText>
        </w:r>
        <w:r>
          <w:fldChar w:fldCharType="end"/>
        </w:r>
      </w:hyperlink>
    </w:p>
    <w:p>
      <w:pPr>
        <w:tabs>
          <w:tab w:val="right" w:leader="dot" w:pos="9062"/>
        </w:tabs>
        <w:ind w:left="440"/>
      </w:pPr>
      <w:hyperlink w:anchor="_Toc2016" w:history="1">
        <w:r>
          <w:rPr>
            <w:rFonts w:ascii="IRNazanin" w:hAnsi="IRNazanin" w:eastAsia="IRNazanin" w:cs="IRNazanin"/>
            <w:color w:val="111111"/>
            <w:sz w:val="22"/>
            <w:szCs w:val="22"/>
            <w:b w:val="0"/>
            <w:bCs w:val="0"/>
            <w:i w:val="0"/>
            <w:iCs w:val="0"/>
          </w:rPr>
          <w:t>•تاریخ وفات / تاریخ / عربی و فارسی</w:t>
        </w:r>
        <w:r>
          <w:tab/>
        </w:r>
        <w:r>
          <w:fldChar w:fldCharType="begin"/>
        </w:r>
        <w:r>
          <w:instrText xml:space="preserve">PAGEREF 2016 \h</w:instrText>
        </w:r>
        <w:r>
          <w:fldChar w:fldCharType="end"/>
        </w:r>
      </w:hyperlink>
    </w:p>
    <w:p>
      <w:pPr>
        <w:tabs>
          <w:tab w:val="right" w:leader="dot" w:pos="9062"/>
        </w:tabs>
        <w:ind w:left="440"/>
      </w:pPr>
      <w:hyperlink w:anchor="_Toc2017" w:history="1">
        <w:r>
          <w:rPr>
            <w:rFonts w:ascii="IRNazanin" w:hAnsi="IRNazanin" w:eastAsia="IRNazanin" w:cs="IRNazanin"/>
            <w:color w:val="111111"/>
            <w:sz w:val="22"/>
            <w:szCs w:val="22"/>
            <w:b w:val="0"/>
            <w:bCs w:val="0"/>
            <w:i w:val="0"/>
            <w:iCs w:val="0"/>
          </w:rPr>
          <w:t>•تاریخ وفات جمعی از علما و فضلا / تاریخ / فارسی</w:t>
        </w:r>
        <w:r>
          <w:tab/>
        </w:r>
        <w:r>
          <w:fldChar w:fldCharType="begin"/>
        </w:r>
        <w:r>
          <w:instrText xml:space="preserve">PAGEREF 2017 \h</w:instrText>
        </w:r>
        <w:r>
          <w:fldChar w:fldCharType="end"/>
        </w:r>
      </w:hyperlink>
    </w:p>
    <w:p>
      <w:pPr>
        <w:tabs>
          <w:tab w:val="right" w:leader="dot" w:pos="9062"/>
        </w:tabs>
        <w:ind w:left="440"/>
      </w:pPr>
      <w:hyperlink w:anchor="_Toc2018" w:history="1">
        <w:r>
          <w:rPr>
            <w:rFonts w:ascii="IRNazanin" w:hAnsi="IRNazanin" w:eastAsia="IRNazanin" w:cs="IRNazanin"/>
            <w:color w:val="111111"/>
            <w:sz w:val="22"/>
            <w:szCs w:val="22"/>
            <w:b w:val="0"/>
            <w:bCs w:val="0"/>
            <w:i w:val="0"/>
            <w:iCs w:val="0"/>
          </w:rPr>
          <w:t>•تاریخ وقایع بابری / تاریخ / ترکی، فارسی</w:t>
        </w:r>
        <w:r>
          <w:tab/>
        </w:r>
        <w:r>
          <w:fldChar w:fldCharType="begin"/>
        </w:r>
        <w:r>
          <w:instrText xml:space="preserve">PAGEREF 2018 \h</w:instrText>
        </w:r>
        <w:r>
          <w:fldChar w:fldCharType="end"/>
        </w:r>
      </w:hyperlink>
    </w:p>
    <w:p>
      <w:pPr>
        <w:tabs>
          <w:tab w:val="right" w:leader="dot" w:pos="9062"/>
        </w:tabs>
        <w:ind w:left="440"/>
      </w:pPr>
      <w:hyperlink w:anchor="_Toc2019" w:history="1">
        <w:r>
          <w:rPr>
            <w:rFonts w:ascii="IRNazanin" w:hAnsi="IRNazanin" w:eastAsia="IRNazanin" w:cs="IRNazanin"/>
            <w:color w:val="111111"/>
            <w:sz w:val="22"/>
            <w:szCs w:val="22"/>
            <w:b w:val="0"/>
            <w:bCs w:val="0"/>
            <w:i w:val="0"/>
            <w:iCs w:val="0"/>
          </w:rPr>
          <w:t>•تاریخ ولادت ابراهیم / تاریخ / عربی</w:t>
        </w:r>
        <w:r>
          <w:tab/>
        </w:r>
        <w:r>
          <w:fldChar w:fldCharType="begin"/>
        </w:r>
        <w:r>
          <w:instrText xml:space="preserve">PAGEREF 2019 \h</w:instrText>
        </w:r>
        <w:r>
          <w:fldChar w:fldCharType="end"/>
        </w:r>
      </w:hyperlink>
    </w:p>
    <w:p>
      <w:pPr>
        <w:tabs>
          <w:tab w:val="right" w:leader="dot" w:pos="9062"/>
        </w:tabs>
        <w:ind w:left="440"/>
      </w:pPr>
      <w:hyperlink w:anchor="_Toc2020" w:history="1">
        <w:r>
          <w:rPr>
            <w:rFonts w:ascii="IRNazanin" w:hAnsi="IRNazanin" w:eastAsia="IRNazanin" w:cs="IRNazanin"/>
            <w:color w:val="111111"/>
            <w:sz w:val="22"/>
            <w:szCs w:val="22"/>
            <w:b w:val="0"/>
            <w:bCs w:val="0"/>
            <w:i w:val="0"/>
            <w:iCs w:val="0"/>
          </w:rPr>
          <w:t>•تاریخ ولادت اکبرشاه / تاریخ / فارسی</w:t>
        </w:r>
        <w:r>
          <w:tab/>
        </w:r>
        <w:r>
          <w:fldChar w:fldCharType="begin"/>
        </w:r>
        <w:r>
          <w:instrText xml:space="preserve">PAGEREF 2020 \h</w:instrText>
        </w:r>
        <w:r>
          <w:fldChar w:fldCharType="end"/>
        </w:r>
      </w:hyperlink>
    </w:p>
    <w:p>
      <w:pPr>
        <w:tabs>
          <w:tab w:val="right" w:leader="dot" w:pos="9062"/>
        </w:tabs>
        <w:ind w:left="440"/>
      </w:pPr>
      <w:hyperlink w:anchor="_Toc2021" w:history="1">
        <w:r>
          <w:rPr>
            <w:rFonts w:ascii="IRNazanin" w:hAnsi="IRNazanin" w:eastAsia="IRNazanin" w:cs="IRNazanin"/>
            <w:color w:val="111111"/>
            <w:sz w:val="22"/>
            <w:szCs w:val="22"/>
            <w:b w:val="0"/>
            <w:bCs w:val="0"/>
            <w:i w:val="0"/>
            <w:iCs w:val="0"/>
          </w:rPr>
          <w:t>•تاریخ ولادت پیامبر و امامان / تاریخ معصومین / عربی</w:t>
        </w:r>
        <w:r>
          <w:tab/>
        </w:r>
        <w:r>
          <w:fldChar w:fldCharType="begin"/>
        </w:r>
        <w:r>
          <w:instrText xml:space="preserve">PAGEREF 2021 \h</w:instrText>
        </w:r>
        <w:r>
          <w:fldChar w:fldCharType="end"/>
        </w:r>
      </w:hyperlink>
    </w:p>
    <w:p>
      <w:pPr>
        <w:tabs>
          <w:tab w:val="right" w:leader="dot" w:pos="9062"/>
        </w:tabs>
        <w:ind w:left="440"/>
      </w:pPr>
      <w:hyperlink w:anchor="_Toc2022" w:history="1">
        <w:r>
          <w:rPr>
            <w:rFonts w:ascii="IRNazanin" w:hAnsi="IRNazanin" w:eastAsia="IRNazanin" w:cs="IRNazanin"/>
            <w:color w:val="111111"/>
            <w:sz w:val="22"/>
            <w:szCs w:val="22"/>
            <w:b w:val="0"/>
            <w:bCs w:val="0"/>
            <w:i w:val="0"/>
            <w:iCs w:val="0"/>
          </w:rPr>
          <w:t>•تاریخ ولادت محمد میرزا / گوناگون / عربی</w:t>
        </w:r>
        <w:r>
          <w:tab/>
        </w:r>
        <w:r>
          <w:fldChar w:fldCharType="begin"/>
        </w:r>
        <w:r>
          <w:instrText xml:space="preserve">PAGEREF 2022 \h</w:instrText>
        </w:r>
        <w:r>
          <w:fldChar w:fldCharType="end"/>
        </w:r>
      </w:hyperlink>
    </w:p>
    <w:p>
      <w:pPr>
        <w:tabs>
          <w:tab w:val="right" w:leader="dot" w:pos="9062"/>
        </w:tabs>
        <w:ind w:left="440"/>
      </w:pPr>
      <w:hyperlink w:anchor="_Toc2023" w:history="1">
        <w:r>
          <w:rPr>
            <w:rFonts w:ascii="IRNazanin" w:hAnsi="IRNazanin" w:eastAsia="IRNazanin" w:cs="IRNazanin"/>
            <w:color w:val="111111"/>
            <w:sz w:val="22"/>
            <w:szCs w:val="22"/>
            <w:b w:val="0"/>
            <w:bCs w:val="0"/>
            <w:i w:val="0"/>
            <w:iCs w:val="0"/>
          </w:rPr>
          <w:t>•تاریخ ولادت و شهادت ائمه معصومین(عليه السلام)/ تاریخ معصومین / فارسی</w:t>
        </w:r>
        <w:r>
          <w:tab/>
        </w:r>
        <w:r>
          <w:fldChar w:fldCharType="begin"/>
        </w:r>
        <w:r>
          <w:instrText xml:space="preserve">PAGEREF 2023 \h</w:instrText>
        </w:r>
        <w:r>
          <w:fldChar w:fldCharType="end"/>
        </w:r>
      </w:hyperlink>
    </w:p>
    <w:p>
      <w:pPr>
        <w:tabs>
          <w:tab w:val="right" w:leader="dot" w:pos="9062"/>
        </w:tabs>
        <w:ind w:left="440"/>
      </w:pPr>
      <w:hyperlink w:anchor="_Toc2024" w:history="1">
        <w:r>
          <w:rPr>
            <w:rFonts w:ascii="IRNazanin" w:hAnsi="IRNazanin" w:eastAsia="IRNazanin" w:cs="IRNazanin"/>
            <w:color w:val="111111"/>
            <w:sz w:val="22"/>
            <w:szCs w:val="22"/>
            <w:b w:val="0"/>
            <w:bCs w:val="0"/>
            <w:i w:val="0"/>
            <w:iCs w:val="0"/>
          </w:rPr>
          <w:t>•تاریخ ولادت و وفات شیخ الاسلام احمد جام / تاریخ / فارسی</w:t>
        </w:r>
        <w:r>
          <w:tab/>
        </w:r>
        <w:r>
          <w:fldChar w:fldCharType="begin"/>
        </w:r>
        <w:r>
          <w:instrText xml:space="preserve">PAGEREF 2024 \h</w:instrText>
        </w:r>
        <w:r>
          <w:fldChar w:fldCharType="end"/>
        </w:r>
      </w:hyperlink>
    </w:p>
    <w:p>
      <w:pPr>
        <w:tabs>
          <w:tab w:val="right" w:leader="dot" w:pos="9062"/>
        </w:tabs>
        <w:ind w:left="440"/>
      </w:pPr>
      <w:hyperlink w:anchor="_Toc2025" w:history="1">
        <w:r>
          <w:rPr>
            <w:rFonts w:ascii="IRNazanin" w:hAnsi="IRNazanin" w:eastAsia="IRNazanin" w:cs="IRNazanin"/>
            <w:color w:val="111111"/>
            <w:sz w:val="22"/>
            <w:szCs w:val="22"/>
            <w:b w:val="0"/>
            <w:bCs w:val="0"/>
            <w:i w:val="0"/>
            <w:iCs w:val="0"/>
          </w:rPr>
          <w:t>•تاریخ و مقتل / تاریخ معصومین / فارسی</w:t>
        </w:r>
        <w:r>
          <w:tab/>
        </w:r>
        <w:r>
          <w:fldChar w:fldCharType="begin"/>
        </w:r>
        <w:r>
          <w:instrText xml:space="preserve">PAGEREF 2025 \h</w:instrText>
        </w:r>
        <w:r>
          <w:fldChar w:fldCharType="end"/>
        </w:r>
      </w:hyperlink>
    </w:p>
    <w:p>
      <w:pPr>
        <w:tabs>
          <w:tab w:val="right" w:leader="dot" w:pos="9062"/>
        </w:tabs>
        <w:ind w:left="440"/>
      </w:pPr>
      <w:hyperlink w:anchor="_Toc2026" w:history="1">
        <w:r>
          <w:rPr>
            <w:rFonts w:ascii="IRNazanin" w:hAnsi="IRNazanin" w:eastAsia="IRNazanin" w:cs="IRNazanin"/>
            <w:color w:val="111111"/>
            <w:sz w:val="22"/>
            <w:szCs w:val="22"/>
            <w:b w:val="0"/>
            <w:bCs w:val="0"/>
            <w:i w:val="0"/>
            <w:iCs w:val="0"/>
          </w:rPr>
          <w:t>•تاریخ و مناقب امیر المؤمنين / تاریخ / فارسی</w:t>
        </w:r>
        <w:r>
          <w:tab/>
        </w:r>
        <w:r>
          <w:fldChar w:fldCharType="begin"/>
        </w:r>
        <w:r>
          <w:instrText xml:space="preserve">PAGEREF 2026 \h</w:instrText>
        </w:r>
        <w:r>
          <w:fldChar w:fldCharType="end"/>
        </w:r>
      </w:hyperlink>
    </w:p>
    <w:p>
      <w:pPr>
        <w:tabs>
          <w:tab w:val="right" w:leader="dot" w:pos="9062"/>
        </w:tabs>
        <w:ind w:left="440"/>
      </w:pPr>
      <w:hyperlink w:anchor="_Toc2027" w:history="1">
        <w:r>
          <w:rPr>
            <w:rFonts w:ascii="IRNazanin" w:hAnsi="IRNazanin" w:eastAsia="IRNazanin" w:cs="IRNazanin"/>
            <w:color w:val="111111"/>
            <w:sz w:val="22"/>
            <w:szCs w:val="22"/>
            <w:b w:val="0"/>
            <w:bCs w:val="0"/>
            <w:i w:val="0"/>
            <w:iCs w:val="0"/>
          </w:rPr>
          <w:t>•تاریخ و موقوفات آستان قدس رضوی / تاریخ / فارسی</w:t>
        </w:r>
        <w:r>
          <w:tab/>
        </w:r>
        <w:r>
          <w:fldChar w:fldCharType="begin"/>
        </w:r>
        <w:r>
          <w:instrText xml:space="preserve">PAGEREF 2027 \h</w:instrText>
        </w:r>
        <w:r>
          <w:fldChar w:fldCharType="end"/>
        </w:r>
      </w:hyperlink>
    </w:p>
    <w:p>
      <w:pPr>
        <w:tabs>
          <w:tab w:val="right" w:leader="dot" w:pos="9062"/>
        </w:tabs>
        <w:ind w:left="440"/>
      </w:pPr>
      <w:hyperlink w:anchor="_Toc2028" w:history="1">
        <w:r>
          <w:rPr>
            <w:rFonts w:ascii="IRNazanin" w:hAnsi="IRNazanin" w:eastAsia="IRNazanin" w:cs="IRNazanin"/>
            <w:color w:val="111111"/>
            <w:sz w:val="22"/>
            <w:szCs w:val="22"/>
            <w:b w:val="0"/>
            <w:bCs w:val="0"/>
            <w:i w:val="0"/>
            <w:iCs w:val="0"/>
          </w:rPr>
          <w:t>•تاریخ و نامهای بروج / هيئت</w:t>
        </w:r>
        <w:r>
          <w:tab/>
        </w:r>
        <w:r>
          <w:fldChar w:fldCharType="begin"/>
        </w:r>
        <w:r>
          <w:instrText xml:space="preserve">PAGEREF 2028 \h</w:instrText>
        </w:r>
        <w:r>
          <w:fldChar w:fldCharType="end"/>
        </w:r>
      </w:hyperlink>
    </w:p>
    <w:p>
      <w:pPr>
        <w:tabs>
          <w:tab w:val="right" w:leader="dot" w:pos="9062"/>
        </w:tabs>
        <w:ind w:left="440"/>
      </w:pPr>
      <w:hyperlink w:anchor="_Toc2029" w:history="1">
        <w:r>
          <w:rPr>
            <w:rFonts w:ascii="IRNazanin" w:hAnsi="IRNazanin" w:eastAsia="IRNazanin" w:cs="IRNazanin"/>
            <w:color w:val="111111"/>
            <w:sz w:val="22"/>
            <w:szCs w:val="22"/>
            <w:b w:val="0"/>
            <w:bCs w:val="0"/>
            <w:i w:val="0"/>
            <w:iCs w:val="0"/>
          </w:rPr>
          <w:t>•تاریخ ویليوم اول پادشاه پروس / تاریخ / فارسی</w:t>
        </w:r>
        <w:r>
          <w:tab/>
        </w:r>
        <w:r>
          <w:fldChar w:fldCharType="begin"/>
        </w:r>
        <w:r>
          <w:instrText xml:space="preserve">PAGEREF 2029 \h</w:instrText>
        </w:r>
        <w:r>
          <w:fldChar w:fldCharType="end"/>
        </w:r>
      </w:hyperlink>
    </w:p>
    <w:p>
      <w:pPr>
        <w:tabs>
          <w:tab w:val="right" w:leader="dot" w:pos="9062"/>
        </w:tabs>
        <w:ind w:left="440"/>
      </w:pPr>
      <w:hyperlink w:anchor="_Toc2030" w:history="1">
        <w:r>
          <w:rPr>
            <w:rFonts w:ascii="IRNazanin" w:hAnsi="IRNazanin" w:eastAsia="IRNazanin" w:cs="IRNazanin"/>
            <w:color w:val="111111"/>
            <w:sz w:val="22"/>
            <w:szCs w:val="22"/>
            <w:b w:val="0"/>
            <w:bCs w:val="0"/>
            <w:i w:val="0"/>
            <w:iCs w:val="0"/>
          </w:rPr>
          <w:t>•تاریخ هانری چهارم / داستان / فارسی</w:t>
        </w:r>
        <w:r>
          <w:tab/>
        </w:r>
        <w:r>
          <w:fldChar w:fldCharType="begin"/>
        </w:r>
        <w:r>
          <w:instrText xml:space="preserve">PAGEREF 2030 \h</w:instrText>
        </w:r>
        <w:r>
          <w:fldChar w:fldCharType="end"/>
        </w:r>
      </w:hyperlink>
    </w:p>
    <w:p>
      <w:pPr>
        <w:tabs>
          <w:tab w:val="right" w:leader="dot" w:pos="9062"/>
        </w:tabs>
        <w:ind w:left="440"/>
      </w:pPr>
      <w:hyperlink w:anchor="_Toc2031" w:history="1">
        <w:r>
          <w:rPr>
            <w:rFonts w:ascii="IRNazanin" w:hAnsi="IRNazanin" w:eastAsia="IRNazanin" w:cs="IRNazanin"/>
            <w:color w:val="111111"/>
            <w:sz w:val="22"/>
            <w:szCs w:val="22"/>
            <w:b w:val="0"/>
            <w:bCs w:val="0"/>
            <w:i w:val="0"/>
            <w:iCs w:val="0"/>
          </w:rPr>
          <w:t>• تاریخ هرود توس (ترجمه) / تاریخ / فارسی</w:t>
        </w:r>
        <w:r>
          <w:tab/>
        </w:r>
        <w:r>
          <w:fldChar w:fldCharType="begin"/>
        </w:r>
        <w:r>
          <w:instrText xml:space="preserve">PAGEREF 2031 \h</w:instrText>
        </w:r>
        <w:r>
          <w:fldChar w:fldCharType="end"/>
        </w:r>
      </w:hyperlink>
    </w:p>
    <w:p>
      <w:pPr>
        <w:tabs>
          <w:tab w:val="right" w:leader="dot" w:pos="9062"/>
        </w:tabs>
        <w:ind w:left="440"/>
      </w:pPr>
      <w:hyperlink w:anchor="_Toc2032" w:history="1">
        <w:r>
          <w:rPr>
            <w:rFonts w:ascii="IRNazanin" w:hAnsi="IRNazanin" w:eastAsia="IRNazanin" w:cs="IRNazanin"/>
            <w:color w:val="111111"/>
            <w:sz w:val="22"/>
            <w:szCs w:val="22"/>
            <w:b w:val="0"/>
            <w:bCs w:val="0"/>
            <w:i w:val="0"/>
            <w:iCs w:val="0"/>
          </w:rPr>
          <w:t>•تاریخ هند = طبقات اکبری / تاریخ / فارسی</w:t>
        </w:r>
        <w:r>
          <w:tab/>
        </w:r>
        <w:r>
          <w:fldChar w:fldCharType="begin"/>
        </w:r>
        <w:r>
          <w:instrText xml:space="preserve">PAGEREF 2032 \h</w:instrText>
        </w:r>
        <w:r>
          <w:fldChar w:fldCharType="end"/>
        </w:r>
      </w:hyperlink>
    </w:p>
    <w:p>
      <w:pPr>
        <w:tabs>
          <w:tab w:val="right" w:leader="dot" w:pos="9062"/>
        </w:tabs>
        <w:ind w:left="440"/>
      </w:pPr>
      <w:hyperlink w:anchor="_Toc2033" w:history="1">
        <w:r>
          <w:rPr>
            <w:rFonts w:ascii="IRNazanin" w:hAnsi="IRNazanin" w:eastAsia="IRNazanin" w:cs="IRNazanin"/>
            <w:color w:val="111111"/>
            <w:sz w:val="22"/>
            <w:szCs w:val="22"/>
            <w:b w:val="0"/>
            <w:bCs w:val="0"/>
            <w:i w:val="0"/>
            <w:iCs w:val="0"/>
          </w:rPr>
          <w:t>•تاریخ هند / تاریخ هند / اردو</w:t>
        </w:r>
        <w:r>
          <w:tab/>
        </w:r>
        <w:r>
          <w:fldChar w:fldCharType="begin"/>
        </w:r>
        <w:r>
          <w:instrText xml:space="preserve">PAGEREF 2033 \h</w:instrText>
        </w:r>
        <w:r>
          <w:fldChar w:fldCharType="end"/>
        </w:r>
      </w:hyperlink>
    </w:p>
    <w:p>
      <w:pPr>
        <w:tabs>
          <w:tab w:val="right" w:leader="dot" w:pos="9062"/>
        </w:tabs>
        <w:ind w:left="440"/>
      </w:pPr>
      <w:hyperlink w:anchor="_Toc2034" w:history="1">
        <w:r>
          <w:rPr>
            <w:rFonts w:ascii="IRNazanin" w:hAnsi="IRNazanin" w:eastAsia="IRNazanin" w:cs="IRNazanin"/>
            <w:color w:val="111111"/>
            <w:sz w:val="22"/>
            <w:szCs w:val="22"/>
            <w:b w:val="0"/>
            <w:bCs w:val="0"/>
            <w:i w:val="0"/>
            <w:iCs w:val="0"/>
          </w:rPr>
          <w:t>•تاریخ هند / تاریخ هند / عربی</w:t>
        </w:r>
        <w:r>
          <w:tab/>
        </w:r>
        <w:r>
          <w:fldChar w:fldCharType="begin"/>
        </w:r>
        <w:r>
          <w:instrText xml:space="preserve">PAGEREF 2034 \h</w:instrText>
        </w:r>
        <w:r>
          <w:fldChar w:fldCharType="end"/>
        </w:r>
      </w:hyperlink>
    </w:p>
    <w:p>
      <w:pPr>
        <w:tabs>
          <w:tab w:val="right" w:leader="dot" w:pos="9062"/>
        </w:tabs>
        <w:ind w:left="440"/>
      </w:pPr>
      <w:hyperlink w:anchor="_Toc2035" w:history="1">
        <w:r>
          <w:rPr>
            <w:rFonts w:ascii="IRNazanin" w:hAnsi="IRNazanin" w:eastAsia="IRNazanin" w:cs="IRNazanin"/>
            <w:color w:val="111111"/>
            <w:sz w:val="22"/>
            <w:szCs w:val="22"/>
            <w:b w:val="0"/>
            <w:bCs w:val="0"/>
            <w:i w:val="0"/>
            <w:iCs w:val="0"/>
          </w:rPr>
          <w:t>•تاریخ هند / تاریخ هند / فارسی</w:t>
        </w:r>
        <w:r>
          <w:tab/>
        </w:r>
        <w:r>
          <w:fldChar w:fldCharType="begin"/>
        </w:r>
        <w:r>
          <w:instrText xml:space="preserve">PAGEREF 2035 \h</w:instrText>
        </w:r>
        <w:r>
          <w:fldChar w:fldCharType="end"/>
        </w:r>
      </w:hyperlink>
    </w:p>
    <w:p>
      <w:pPr>
        <w:tabs>
          <w:tab w:val="right" w:leader="dot" w:pos="9062"/>
        </w:tabs>
        <w:ind w:left="440"/>
      </w:pPr>
      <w:hyperlink w:anchor="_Toc2036" w:history="1">
        <w:r>
          <w:rPr>
            <w:rFonts w:ascii="IRNazanin" w:hAnsi="IRNazanin" w:eastAsia="IRNazanin" w:cs="IRNazanin"/>
            <w:color w:val="111111"/>
            <w:sz w:val="22"/>
            <w:szCs w:val="22"/>
            <w:b w:val="0"/>
            <w:bCs w:val="0"/>
            <w:i w:val="0"/>
            <w:iCs w:val="0"/>
          </w:rPr>
          <w:t>•تاریخ هند = تاریخ محمد شاه / تاریخ هند / فارسی</w:t>
        </w:r>
        <w:r>
          <w:tab/>
        </w:r>
        <w:r>
          <w:fldChar w:fldCharType="begin"/>
        </w:r>
        <w:r>
          <w:instrText xml:space="preserve">PAGEREF 2036 \h</w:instrText>
        </w:r>
        <w:r>
          <w:fldChar w:fldCharType="end"/>
        </w:r>
      </w:hyperlink>
    </w:p>
    <w:p>
      <w:pPr>
        <w:tabs>
          <w:tab w:val="right" w:leader="dot" w:pos="9062"/>
        </w:tabs>
        <w:ind w:left="440"/>
      </w:pPr>
      <w:hyperlink w:anchor="_Toc2037" w:history="1">
        <w:r>
          <w:rPr>
            <w:rFonts w:ascii="IRNazanin" w:hAnsi="IRNazanin" w:eastAsia="IRNazanin" w:cs="IRNazanin"/>
            <w:color w:val="111111"/>
            <w:sz w:val="22"/>
            <w:szCs w:val="22"/>
            <w:b w:val="0"/>
            <w:bCs w:val="0"/>
            <w:i w:val="0"/>
            <w:iCs w:val="0"/>
          </w:rPr>
          <w:t>•تاریخ هند (ترجمه) / تاریخ هند / فارسی</w:t>
        </w:r>
        <w:r>
          <w:tab/>
        </w:r>
        <w:r>
          <w:fldChar w:fldCharType="begin"/>
        </w:r>
        <w:r>
          <w:instrText xml:space="preserve">PAGEREF 2037 \h</w:instrText>
        </w:r>
        <w:r>
          <w:fldChar w:fldCharType="end"/>
        </w:r>
      </w:hyperlink>
    </w:p>
    <w:p>
      <w:pPr>
        <w:tabs>
          <w:tab w:val="right" w:leader="dot" w:pos="9062"/>
        </w:tabs>
        <w:ind w:left="440"/>
      </w:pPr>
      <w:hyperlink w:anchor="_Toc2038" w:history="1">
        <w:r>
          <w:rPr>
            <w:rFonts w:ascii="IRNazanin" w:hAnsi="IRNazanin" w:eastAsia="IRNazanin" w:cs="IRNazanin"/>
            <w:color w:val="111111"/>
            <w:sz w:val="22"/>
            <w:szCs w:val="22"/>
            <w:b w:val="0"/>
            <w:bCs w:val="0"/>
            <w:i w:val="0"/>
            <w:iCs w:val="0"/>
          </w:rPr>
          <w:t>•تاریخ هندوستان / تاریخ هند / فارسی</w:t>
        </w:r>
        <w:r>
          <w:tab/>
        </w:r>
        <w:r>
          <w:fldChar w:fldCharType="begin"/>
        </w:r>
        <w:r>
          <w:instrText xml:space="preserve">PAGEREF 2038 \h</w:instrText>
        </w:r>
        <w:r>
          <w:fldChar w:fldCharType="end"/>
        </w:r>
      </w:hyperlink>
    </w:p>
    <w:p>
      <w:pPr>
        <w:tabs>
          <w:tab w:val="right" w:leader="dot" w:pos="9062"/>
        </w:tabs>
        <w:ind w:left="440"/>
      </w:pPr>
      <w:hyperlink w:anchor="_Toc2039" w:history="1">
        <w:r>
          <w:rPr>
            <w:rFonts w:ascii="IRNazanin" w:hAnsi="IRNazanin" w:eastAsia="IRNazanin" w:cs="IRNazanin"/>
            <w:color w:val="111111"/>
            <w:sz w:val="22"/>
            <w:szCs w:val="22"/>
            <w:b w:val="0"/>
            <w:bCs w:val="0"/>
            <w:i w:val="0"/>
            <w:iCs w:val="0"/>
          </w:rPr>
          <w:t>•تاریخ هندوستان = تاریخ پنجاب جغرافیای مملکت پنجاب / تاریخ هند / فارسی = تاریخ و</w:t>
        </w:r>
        <w:r>
          <w:tab/>
        </w:r>
        <w:r>
          <w:fldChar w:fldCharType="begin"/>
        </w:r>
        <w:r>
          <w:instrText xml:space="preserve">PAGEREF 2039 \h</w:instrText>
        </w:r>
        <w:r>
          <w:fldChar w:fldCharType="end"/>
        </w:r>
      </w:hyperlink>
    </w:p>
    <w:p>
      <w:pPr>
        <w:tabs>
          <w:tab w:val="right" w:leader="dot" w:pos="9062"/>
        </w:tabs>
        <w:ind w:left="440"/>
      </w:pPr>
      <w:hyperlink w:anchor="_Toc2040" w:history="1">
        <w:r>
          <w:rPr>
            <w:rFonts w:ascii="IRNazanin" w:hAnsi="IRNazanin" w:eastAsia="IRNazanin" w:cs="IRNazanin"/>
            <w:color w:val="111111"/>
            <w:sz w:val="22"/>
            <w:szCs w:val="22"/>
            <w:b w:val="0"/>
            <w:bCs w:val="0"/>
            <w:i w:val="0"/>
            <w:iCs w:val="0"/>
          </w:rPr>
          <w:t>•تاریخ هندوستان / تاریخ هند / فارسی</w:t>
        </w:r>
        <w:r>
          <w:tab/>
        </w:r>
        <w:r>
          <w:fldChar w:fldCharType="begin"/>
        </w:r>
        <w:r>
          <w:instrText xml:space="preserve">PAGEREF 2040 \h</w:instrText>
        </w:r>
        <w:r>
          <w:fldChar w:fldCharType="end"/>
        </w:r>
      </w:hyperlink>
    </w:p>
    <w:p>
      <w:pPr>
        <w:tabs>
          <w:tab w:val="right" w:leader="dot" w:pos="9062"/>
        </w:tabs>
        <w:ind w:left="440"/>
      </w:pPr>
      <w:hyperlink w:anchor="_Toc2041" w:history="1">
        <w:r>
          <w:rPr>
            <w:rFonts w:ascii="IRNazanin" w:hAnsi="IRNazanin" w:eastAsia="IRNazanin" w:cs="IRNazanin"/>
            <w:color w:val="111111"/>
            <w:sz w:val="22"/>
            <w:szCs w:val="22"/>
            <w:b w:val="0"/>
            <w:bCs w:val="0"/>
            <w:i w:val="0"/>
            <w:iCs w:val="0"/>
          </w:rPr>
          <w:t>•تاریخ هندوستان (تاریخ بنگال) / تاریخ هند / فارسی</w:t>
        </w:r>
        <w:r>
          <w:tab/>
        </w:r>
        <w:r>
          <w:fldChar w:fldCharType="begin"/>
        </w:r>
        <w:r>
          <w:instrText xml:space="preserve">PAGEREF 2041 \h</w:instrText>
        </w:r>
        <w:r>
          <w:fldChar w:fldCharType="end"/>
        </w:r>
      </w:hyperlink>
    </w:p>
    <w:p>
      <w:pPr>
        <w:tabs>
          <w:tab w:val="right" w:leader="dot" w:pos="9062"/>
        </w:tabs>
        <w:ind w:left="440"/>
      </w:pPr>
      <w:hyperlink w:anchor="_Toc2042" w:history="1">
        <w:r>
          <w:rPr>
            <w:rFonts w:ascii="IRNazanin" w:hAnsi="IRNazanin" w:eastAsia="IRNazanin" w:cs="IRNazanin"/>
            <w:color w:val="111111"/>
            <w:sz w:val="22"/>
            <w:szCs w:val="22"/>
            <w:b w:val="0"/>
            <w:bCs w:val="0"/>
            <w:i w:val="0"/>
            <w:iCs w:val="0"/>
          </w:rPr>
          <w:t>•تاریخ هندوستان (ترجمه) / تاریخ هند / فارسی</w:t>
        </w:r>
        <w:r>
          <w:tab/>
        </w:r>
        <w:r>
          <w:fldChar w:fldCharType="begin"/>
        </w:r>
        <w:r>
          <w:instrText xml:space="preserve">PAGEREF 2042 \h</w:instrText>
        </w:r>
        <w:r>
          <w:fldChar w:fldCharType="end"/>
        </w:r>
      </w:hyperlink>
    </w:p>
    <w:p>
      <w:pPr>
        <w:tabs>
          <w:tab w:val="right" w:leader="dot" w:pos="9062"/>
        </w:tabs>
        <w:ind w:left="440"/>
      </w:pPr>
      <w:hyperlink w:anchor="_Toc2043" w:history="1">
        <w:r>
          <w:rPr>
            <w:rFonts w:ascii="IRNazanin" w:hAnsi="IRNazanin" w:eastAsia="IRNazanin" w:cs="IRNazanin"/>
            <w:color w:val="111111"/>
            <w:sz w:val="22"/>
            <w:szCs w:val="22"/>
            <w:b w:val="0"/>
            <w:bCs w:val="0"/>
            <w:i w:val="0"/>
            <w:iCs w:val="0"/>
          </w:rPr>
          <w:t>•تاریخ هندوستان (ترجمه) / تاریخ هند / فارسی</w:t>
        </w:r>
        <w:r>
          <w:tab/>
        </w:r>
        <w:r>
          <w:fldChar w:fldCharType="begin"/>
        </w:r>
        <w:r>
          <w:instrText xml:space="preserve">PAGEREF 2043 \h</w:instrText>
        </w:r>
        <w:r>
          <w:fldChar w:fldCharType="end"/>
        </w:r>
      </w:hyperlink>
    </w:p>
    <w:p>
      <w:pPr>
        <w:tabs>
          <w:tab w:val="right" w:leader="dot" w:pos="9062"/>
        </w:tabs>
        <w:ind w:left="440"/>
      </w:pPr>
      <w:hyperlink w:anchor="_Toc2044" w:history="1">
        <w:r>
          <w:rPr>
            <w:rFonts w:ascii="IRNazanin" w:hAnsi="IRNazanin" w:eastAsia="IRNazanin" w:cs="IRNazanin"/>
            <w:color w:val="111111"/>
            <w:sz w:val="22"/>
            <w:szCs w:val="22"/>
            <w:b w:val="0"/>
            <w:bCs w:val="0"/>
            <w:i w:val="0"/>
            <w:iCs w:val="0"/>
          </w:rPr>
          <w:t>•تاريخية (مطالب) / تاریخ / عربی</w:t>
        </w:r>
        <w:r>
          <w:tab/>
        </w:r>
        <w:r>
          <w:fldChar w:fldCharType="begin"/>
        </w:r>
        <w:r>
          <w:instrText xml:space="preserve">PAGEREF 2044 \h</w:instrText>
        </w:r>
        <w:r>
          <w:fldChar w:fldCharType="end"/>
        </w:r>
      </w:hyperlink>
    </w:p>
    <w:p>
      <w:pPr>
        <w:tabs>
          <w:tab w:val="right" w:leader="dot" w:pos="9062"/>
        </w:tabs>
        <w:ind w:left="440"/>
      </w:pPr>
      <w:hyperlink w:anchor="_Toc2045" w:history="1">
        <w:r>
          <w:rPr>
            <w:rFonts w:ascii="IRNazanin" w:hAnsi="IRNazanin" w:eastAsia="IRNazanin" w:cs="IRNazanin"/>
            <w:color w:val="111111"/>
            <w:sz w:val="22"/>
            <w:szCs w:val="22"/>
            <w:b w:val="0"/>
            <w:bCs w:val="0"/>
            <w:i w:val="0"/>
            <w:iCs w:val="0"/>
          </w:rPr>
          <w:t>•تاریخ یزد = تاریخ جعفری = تاریخ واسطی / تاریخ ایران / فارسی</w:t>
        </w:r>
        <w:r>
          <w:tab/>
        </w:r>
        <w:r>
          <w:fldChar w:fldCharType="begin"/>
        </w:r>
        <w:r>
          <w:instrText xml:space="preserve">PAGEREF 2045 \h</w:instrText>
        </w:r>
        <w:r>
          <w:fldChar w:fldCharType="end"/>
        </w:r>
      </w:hyperlink>
    </w:p>
    <w:p>
      <w:pPr>
        <w:tabs>
          <w:tab w:val="right" w:leader="dot" w:pos="9062"/>
        </w:tabs>
        <w:ind w:left="440"/>
      </w:pPr>
      <w:hyperlink w:anchor="_Toc2046" w:history="1">
        <w:r>
          <w:rPr>
            <w:rFonts w:ascii="IRNazanin" w:hAnsi="IRNazanin" w:eastAsia="IRNazanin" w:cs="IRNazanin"/>
            <w:color w:val="111111"/>
            <w:sz w:val="22"/>
            <w:szCs w:val="22"/>
            <w:b w:val="0"/>
            <w:bCs w:val="0"/>
            <w:i w:val="0"/>
            <w:iCs w:val="0"/>
          </w:rPr>
          <w:t>•تاریخ یزد / تاریخ ایران / فارسی</w:t>
        </w:r>
        <w:r>
          <w:tab/>
        </w:r>
        <w:r>
          <w:fldChar w:fldCharType="begin"/>
        </w:r>
        <w:r>
          <w:instrText xml:space="preserve">PAGEREF 2046 \h</w:instrText>
        </w:r>
        <w:r>
          <w:fldChar w:fldCharType="end"/>
        </w:r>
      </w:hyperlink>
    </w:p>
    <w:p>
      <w:pPr>
        <w:tabs>
          <w:tab w:val="right" w:leader="dot" w:pos="9062"/>
        </w:tabs>
        <w:ind w:left="440"/>
      </w:pPr>
      <w:hyperlink w:anchor="_Toc2047" w:history="1">
        <w:r>
          <w:rPr>
            <w:rFonts w:ascii="IRNazanin" w:hAnsi="IRNazanin" w:eastAsia="IRNazanin" w:cs="IRNazanin"/>
            <w:color w:val="111111"/>
            <w:sz w:val="22"/>
            <w:szCs w:val="22"/>
            <w:b w:val="0"/>
            <w:bCs w:val="0"/>
            <w:i w:val="0"/>
            <w:iCs w:val="0"/>
          </w:rPr>
          <w:t>•تاریخی (مطالب) / تاریخ / عربی</w:t>
        </w:r>
        <w:r>
          <w:tab/>
        </w:r>
        <w:r>
          <w:fldChar w:fldCharType="begin"/>
        </w:r>
        <w:r>
          <w:instrText xml:space="preserve">PAGEREF 2047 \h</w:instrText>
        </w:r>
        <w:r>
          <w:fldChar w:fldCharType="end"/>
        </w:r>
      </w:hyperlink>
    </w:p>
    <w:p>
      <w:pPr>
        <w:tabs>
          <w:tab w:val="right" w:leader="dot" w:pos="9062"/>
        </w:tabs>
        <w:ind w:left="440"/>
      </w:pPr>
      <w:hyperlink w:anchor="_Toc2048" w:history="1">
        <w:r>
          <w:rPr>
            <w:rFonts w:ascii="IRNazanin" w:hAnsi="IRNazanin" w:eastAsia="IRNazanin" w:cs="IRNazanin"/>
            <w:color w:val="111111"/>
            <w:sz w:val="22"/>
            <w:szCs w:val="22"/>
            <w:b w:val="0"/>
            <w:bCs w:val="0"/>
            <w:i w:val="0"/>
            <w:iCs w:val="0"/>
          </w:rPr>
          <w:t>•تاریخ یمن / تاریخ / عربی</w:t>
        </w:r>
        <w:r>
          <w:tab/>
        </w:r>
        <w:r>
          <w:fldChar w:fldCharType="begin"/>
        </w:r>
        <w:r>
          <w:instrText xml:space="preserve">PAGEREF 2048 \h</w:instrText>
        </w:r>
        <w:r>
          <w:fldChar w:fldCharType="end"/>
        </w:r>
      </w:hyperlink>
    </w:p>
    <w:p>
      <w:pPr>
        <w:tabs>
          <w:tab w:val="right" w:leader="dot" w:pos="9062"/>
        </w:tabs>
        <w:ind w:left="440"/>
      </w:pPr>
      <w:hyperlink w:anchor="_Toc2049" w:history="1">
        <w:r>
          <w:rPr>
            <w:rFonts w:ascii="IRNazanin" w:hAnsi="IRNazanin" w:eastAsia="IRNazanin" w:cs="IRNazanin"/>
            <w:color w:val="111111"/>
            <w:sz w:val="22"/>
            <w:szCs w:val="22"/>
            <w:b w:val="0"/>
            <w:bCs w:val="0"/>
            <w:i w:val="0"/>
            <w:iCs w:val="0"/>
          </w:rPr>
          <w:t>•تاريخ (اليمن منظومة في) / تاریخ / عربی</w:t>
        </w:r>
        <w:r>
          <w:tab/>
        </w:r>
        <w:r>
          <w:fldChar w:fldCharType="begin"/>
        </w:r>
        <w:r>
          <w:instrText xml:space="preserve">PAGEREF 2049 \h</w:instrText>
        </w:r>
        <w:r>
          <w:fldChar w:fldCharType="end"/>
        </w:r>
      </w:hyperlink>
    </w:p>
    <w:p>
      <w:pPr>
        <w:tabs>
          <w:tab w:val="right" w:leader="dot" w:pos="9062"/>
        </w:tabs>
        <w:ind w:left="440"/>
      </w:pPr>
      <w:hyperlink w:anchor="_Toc2050" w:history="1">
        <w:r>
          <w:rPr>
            <w:rFonts w:ascii="IRNazanin" w:hAnsi="IRNazanin" w:eastAsia="IRNazanin" w:cs="IRNazanin"/>
            <w:color w:val="111111"/>
            <w:sz w:val="22"/>
            <w:szCs w:val="22"/>
            <w:b w:val="0"/>
            <w:bCs w:val="0"/>
            <w:i w:val="0"/>
            <w:iCs w:val="0"/>
          </w:rPr>
          <w:t>•تاریخ الیمینی = تاریخ عتبی = معجز الكتاب ومحرز الاداب/تاریخ/عربی</w:t>
        </w:r>
        <w:r>
          <w:tab/>
        </w:r>
        <w:r>
          <w:fldChar w:fldCharType="begin"/>
        </w:r>
        <w:r>
          <w:instrText xml:space="preserve">PAGEREF 2050 \h</w:instrText>
        </w:r>
        <w:r>
          <w:fldChar w:fldCharType="end"/>
        </w:r>
      </w:hyperlink>
    </w:p>
    <w:p>
      <w:pPr>
        <w:tabs>
          <w:tab w:val="right" w:leader="dot" w:pos="9062"/>
        </w:tabs>
        <w:ind w:left="440"/>
      </w:pPr>
      <w:hyperlink w:anchor="_Toc2051" w:history="1">
        <w:r>
          <w:rPr>
            <w:rFonts w:ascii="IRNazanin" w:hAnsi="IRNazanin" w:eastAsia="IRNazanin" w:cs="IRNazanin"/>
            <w:color w:val="111111"/>
            <w:sz w:val="22"/>
            <w:szCs w:val="22"/>
            <w:b w:val="0"/>
            <w:bCs w:val="0"/>
            <w:i w:val="0"/>
            <w:iCs w:val="0"/>
          </w:rPr>
          <w:t>•تاریخ یمینی (ترجمه) = ترجمه تاریخ عتبی / تاریخ ایران / فارسی</w:t>
        </w:r>
        <w:r>
          <w:tab/>
        </w:r>
        <w:r>
          <w:fldChar w:fldCharType="begin"/>
        </w:r>
        <w:r>
          <w:instrText xml:space="preserve">PAGEREF 2051 \h</w:instrText>
        </w:r>
        <w:r>
          <w:fldChar w:fldCharType="end"/>
        </w:r>
      </w:hyperlink>
    </w:p>
    <w:p>
      <w:pPr>
        <w:tabs>
          <w:tab w:val="right" w:leader="dot" w:pos="9062"/>
        </w:tabs>
        <w:ind w:left="440"/>
      </w:pPr>
      <w:hyperlink w:anchor="_Toc2052" w:history="1">
        <w:r>
          <w:rPr>
            <w:rFonts w:ascii="IRNazanin" w:hAnsi="IRNazanin" w:eastAsia="IRNazanin" w:cs="IRNazanin"/>
            <w:color w:val="111111"/>
            <w:sz w:val="22"/>
            <w:szCs w:val="22"/>
            <w:b w:val="0"/>
            <w:bCs w:val="0"/>
            <w:i w:val="0"/>
            <w:iCs w:val="0"/>
          </w:rPr>
          <w:t>•تاریخ یمینی (ترجمه) = ترجمه تاریخ عتبی / تاریخ ایران / فارسی</w:t>
        </w:r>
        <w:r>
          <w:tab/>
        </w:r>
        <w:r>
          <w:fldChar w:fldCharType="begin"/>
        </w:r>
        <w:r>
          <w:instrText xml:space="preserve">PAGEREF 2052 \h</w:instrText>
        </w:r>
        <w:r>
          <w:fldChar w:fldCharType="end"/>
        </w:r>
      </w:hyperlink>
    </w:p>
    <w:p>
      <w:pPr>
        <w:tabs>
          <w:tab w:val="right" w:leader="dot" w:pos="9062"/>
        </w:tabs>
        <w:ind w:left="440"/>
      </w:pPr>
      <w:hyperlink w:anchor="_Toc2053" w:history="1">
        <w:r>
          <w:rPr>
            <w:rFonts w:ascii="IRNazanin" w:hAnsi="IRNazanin" w:eastAsia="IRNazanin" w:cs="IRNazanin"/>
            <w:color w:val="111111"/>
            <w:sz w:val="22"/>
            <w:szCs w:val="22"/>
            <w:b w:val="0"/>
            <w:bCs w:val="0"/>
            <w:i w:val="0"/>
            <w:iCs w:val="0"/>
          </w:rPr>
          <w:t>•تاریخ یمینی (ترجمه) = ترجمه تاریخ عتبی / تاریخ ایران / فارسی</w:t>
        </w:r>
        <w:r>
          <w:tab/>
        </w:r>
        <w:r>
          <w:fldChar w:fldCharType="begin"/>
        </w:r>
        <w:r>
          <w:instrText xml:space="preserve">PAGEREF 2053 \h</w:instrText>
        </w:r>
        <w:r>
          <w:fldChar w:fldCharType="end"/>
        </w:r>
      </w:hyperlink>
    </w:p>
    <w:p>
      <w:pPr>
        <w:tabs>
          <w:tab w:val="right" w:leader="dot" w:pos="9062"/>
        </w:tabs>
        <w:ind w:left="440"/>
      </w:pPr>
      <w:hyperlink w:anchor="_Toc2054" w:history="1">
        <w:r>
          <w:rPr>
            <w:rFonts w:ascii="IRNazanin" w:hAnsi="IRNazanin" w:eastAsia="IRNazanin" w:cs="IRNazanin"/>
            <w:color w:val="111111"/>
            <w:sz w:val="22"/>
            <w:szCs w:val="22"/>
            <w:b w:val="0"/>
            <w:bCs w:val="0"/>
            <w:i w:val="0"/>
            <w:iCs w:val="0"/>
          </w:rPr>
          <w:t>•تاریخ یونان / تاریخ جهان / فارسی</w:t>
        </w:r>
        <w:r>
          <w:tab/>
        </w:r>
        <w:r>
          <w:fldChar w:fldCharType="begin"/>
        </w:r>
        <w:r>
          <w:instrText xml:space="preserve">PAGEREF 2054 \h</w:instrText>
        </w:r>
        <w:r>
          <w:fldChar w:fldCharType="end"/>
        </w:r>
      </w:hyperlink>
    </w:p>
    <w:p>
      <w:pPr>
        <w:tabs>
          <w:tab w:val="right" w:leader="dot" w:pos="9062"/>
        </w:tabs>
        <w:ind w:left="440"/>
      </w:pPr>
      <w:hyperlink w:anchor="_Toc2055" w:history="1">
        <w:r>
          <w:rPr>
            <w:rFonts w:ascii="IRNazanin" w:hAnsi="IRNazanin" w:eastAsia="IRNazanin" w:cs="IRNazanin"/>
            <w:color w:val="111111"/>
            <w:sz w:val="22"/>
            <w:szCs w:val="22"/>
            <w:b w:val="0"/>
            <w:bCs w:val="0"/>
            <w:i w:val="0"/>
            <w:iCs w:val="0"/>
          </w:rPr>
          <w:t>•تاریخ یونان (ترجمه) / تاریخ / فارسی</w:t>
        </w:r>
        <w:r>
          <w:tab/>
        </w:r>
        <w:r>
          <w:fldChar w:fldCharType="begin"/>
        </w:r>
        <w:r>
          <w:instrText xml:space="preserve">PAGEREF 2055 \h</w:instrText>
        </w:r>
        <w:r>
          <w:fldChar w:fldCharType="end"/>
        </w:r>
      </w:hyperlink>
    </w:p>
    <w:p>
      <w:pPr>
        <w:tabs>
          <w:tab w:val="right" w:leader="dot" w:pos="9062"/>
        </w:tabs>
        <w:ind w:left="440"/>
      </w:pPr>
      <w:hyperlink w:anchor="_Toc2056" w:history="1">
        <w:r>
          <w:rPr>
            <w:rFonts w:ascii="IRNazanin" w:hAnsi="IRNazanin" w:eastAsia="IRNazanin" w:cs="IRNazanin"/>
            <w:color w:val="111111"/>
            <w:sz w:val="22"/>
            <w:szCs w:val="22"/>
            <w:b w:val="0"/>
            <w:bCs w:val="0"/>
            <w:i w:val="0"/>
            <w:iCs w:val="0"/>
          </w:rPr>
          <w:t>•تاز کی = چراغ زمین = رساله در نجوم / هيأت - فارسی</w:t>
        </w:r>
        <w:r>
          <w:tab/>
        </w:r>
        <w:r>
          <w:fldChar w:fldCharType="begin"/>
        </w:r>
        <w:r>
          <w:instrText xml:space="preserve">PAGEREF 2056 \h</w:instrText>
        </w:r>
        <w:r>
          <w:fldChar w:fldCharType="end"/>
        </w:r>
      </w:hyperlink>
    </w:p>
    <w:p>
      <w:pPr>
        <w:tabs>
          <w:tab w:val="right" w:leader="dot" w:pos="9062"/>
        </w:tabs>
        <w:ind w:left="440"/>
      </w:pPr>
      <w:hyperlink w:anchor="_Toc2057" w:history="1">
        <w:r>
          <w:rPr>
            <w:rFonts w:ascii="IRNazanin" w:hAnsi="IRNazanin" w:eastAsia="IRNazanin" w:cs="IRNazanin"/>
            <w:color w:val="111111"/>
            <w:sz w:val="22"/>
            <w:szCs w:val="22"/>
            <w:b w:val="0"/>
            <w:bCs w:val="0"/>
            <w:i w:val="0"/>
            <w:iCs w:val="0"/>
          </w:rPr>
          <w:t>•تأسیسات / فقه / فارسی</w:t>
        </w:r>
        <w:r>
          <w:tab/>
        </w:r>
        <w:r>
          <w:fldChar w:fldCharType="begin"/>
        </w:r>
        <w:r>
          <w:instrText xml:space="preserve">PAGEREF 2057 \h</w:instrText>
        </w:r>
        <w:r>
          <w:fldChar w:fldCharType="end"/>
        </w:r>
      </w:hyperlink>
    </w:p>
    <w:p>
      <w:pPr>
        <w:tabs>
          <w:tab w:val="right" w:leader="dot" w:pos="9062"/>
        </w:tabs>
        <w:ind w:left="440"/>
      </w:pPr>
      <w:hyperlink w:anchor="_Toc2058" w:history="1">
        <w:r>
          <w:rPr>
            <w:rFonts w:ascii="IRNazanin" w:hAnsi="IRNazanin" w:eastAsia="IRNazanin" w:cs="IRNazanin"/>
            <w:color w:val="111111"/>
            <w:sz w:val="22"/>
            <w:szCs w:val="22"/>
            <w:b w:val="0"/>
            <w:bCs w:val="0"/>
            <w:i w:val="0"/>
            <w:iCs w:val="0"/>
          </w:rPr>
          <w:t>•تأسیسات اسلامی / کلام و اعتقادات / فارسی</w:t>
        </w:r>
        <w:r>
          <w:tab/>
        </w:r>
        <w:r>
          <w:fldChar w:fldCharType="begin"/>
        </w:r>
        <w:r>
          <w:instrText xml:space="preserve">PAGEREF 2058 \h</w:instrText>
        </w:r>
        <w:r>
          <w:fldChar w:fldCharType="end"/>
        </w:r>
      </w:hyperlink>
    </w:p>
    <w:p>
      <w:pPr>
        <w:tabs>
          <w:tab w:val="right" w:leader="dot" w:pos="9062"/>
        </w:tabs>
        <w:ind w:left="440"/>
      </w:pPr>
      <w:hyperlink w:anchor="_Toc2059" w:history="1">
        <w:r>
          <w:rPr>
            <w:rFonts w:ascii="IRNazanin" w:hAnsi="IRNazanin" w:eastAsia="IRNazanin" w:cs="IRNazanin"/>
            <w:color w:val="111111"/>
            <w:sz w:val="22"/>
            <w:szCs w:val="22"/>
            <w:b w:val="0"/>
            <w:bCs w:val="0"/>
            <w:i w:val="0"/>
            <w:iCs w:val="0"/>
          </w:rPr>
          <w:t>•تأسيس الاتقان و المتانة في علل الكلى و المثانة / طب / عربی</w:t>
        </w:r>
        <w:r>
          <w:tab/>
        </w:r>
        <w:r>
          <w:fldChar w:fldCharType="begin"/>
        </w:r>
        <w:r>
          <w:instrText xml:space="preserve">PAGEREF 2059 \h</w:instrText>
        </w:r>
        <w:r>
          <w:fldChar w:fldCharType="end"/>
        </w:r>
      </w:hyperlink>
    </w:p>
    <w:p>
      <w:pPr>
        <w:tabs>
          <w:tab w:val="right" w:leader="dot" w:pos="9062"/>
        </w:tabs>
        <w:ind w:left="440"/>
      </w:pPr>
      <w:hyperlink w:anchor="_Toc2060" w:history="1">
        <w:r>
          <w:rPr>
            <w:rFonts w:ascii="IRNazanin" w:hAnsi="IRNazanin" w:eastAsia="IRNazanin" w:cs="IRNazanin"/>
            <w:color w:val="111111"/>
            <w:sz w:val="22"/>
            <w:szCs w:val="22"/>
            <w:b w:val="0"/>
            <w:bCs w:val="0"/>
            <w:i w:val="0"/>
            <w:iCs w:val="0"/>
          </w:rPr>
          <w:t>•تأسيس الاصول / اصول فقه / عربی</w:t>
        </w:r>
        <w:r>
          <w:tab/>
        </w:r>
        <w:r>
          <w:fldChar w:fldCharType="begin"/>
        </w:r>
        <w:r>
          <w:instrText xml:space="preserve">PAGEREF 2060 \h</w:instrText>
        </w:r>
        <w:r>
          <w:fldChar w:fldCharType="end"/>
        </w:r>
      </w:hyperlink>
    </w:p>
    <w:p>
      <w:pPr>
        <w:tabs>
          <w:tab w:val="right" w:leader="dot" w:pos="9062"/>
        </w:tabs>
        <w:ind w:left="440"/>
      </w:pPr>
      <w:hyperlink w:anchor="_Toc2061" w:history="1">
        <w:r>
          <w:rPr>
            <w:rFonts w:ascii="IRNazanin" w:hAnsi="IRNazanin" w:eastAsia="IRNazanin" w:cs="IRNazanin"/>
            <w:color w:val="111111"/>
            <w:sz w:val="22"/>
            <w:szCs w:val="22"/>
            <w:b w:val="0"/>
            <w:bCs w:val="0"/>
            <w:i w:val="0"/>
            <w:iCs w:val="0"/>
          </w:rPr>
          <w:t>•تأسيس الصحة في شرح اللمحة / طب / عربی</w:t>
        </w:r>
        <w:r>
          <w:tab/>
        </w:r>
        <w:r>
          <w:fldChar w:fldCharType="begin"/>
        </w:r>
        <w:r>
          <w:instrText xml:space="preserve">PAGEREF 2061 \h</w:instrText>
        </w:r>
        <w:r>
          <w:fldChar w:fldCharType="end"/>
        </w:r>
      </w:hyperlink>
    </w:p>
    <w:p>
      <w:pPr>
        <w:tabs>
          <w:tab w:val="right" w:leader="dot" w:pos="9062"/>
        </w:tabs>
        <w:ind w:left="440"/>
      </w:pPr>
      <w:hyperlink w:anchor="_Toc2062" w:history="1">
        <w:r>
          <w:rPr>
            <w:rFonts w:ascii="IRNazanin" w:hAnsi="IRNazanin" w:eastAsia="IRNazanin" w:cs="IRNazanin"/>
            <w:color w:val="111111"/>
            <w:sz w:val="22"/>
            <w:szCs w:val="22"/>
            <w:b w:val="0"/>
            <w:bCs w:val="0"/>
            <w:i w:val="0"/>
            <w:iCs w:val="0"/>
          </w:rPr>
          <w:t>•تأسيس الصحة (منتخب) / طب / عربی</w:t>
        </w:r>
        <w:r>
          <w:tab/>
        </w:r>
        <w:r>
          <w:fldChar w:fldCharType="begin"/>
        </w:r>
        <w:r>
          <w:instrText xml:space="preserve">PAGEREF 2062 \h</w:instrText>
        </w:r>
        <w:r>
          <w:fldChar w:fldCharType="end"/>
        </w:r>
      </w:hyperlink>
    </w:p>
    <w:p>
      <w:pPr>
        <w:tabs>
          <w:tab w:val="right" w:leader="dot" w:pos="9062"/>
        </w:tabs>
        <w:ind w:left="440"/>
      </w:pPr>
      <w:hyperlink w:anchor="_Toc2063" w:history="1">
        <w:r>
          <w:rPr>
            <w:rFonts w:ascii="IRNazanin" w:hAnsi="IRNazanin" w:eastAsia="IRNazanin" w:cs="IRNazanin"/>
            <w:color w:val="111111"/>
            <w:sz w:val="22"/>
            <w:szCs w:val="22"/>
            <w:b w:val="0"/>
            <w:bCs w:val="0"/>
            <w:i w:val="0"/>
            <w:iCs w:val="0"/>
          </w:rPr>
          <w:t>• تأسيس القوافي / ادبیات فارسی</w:t>
        </w:r>
        <w:r>
          <w:tab/>
        </w:r>
        <w:r>
          <w:fldChar w:fldCharType="begin"/>
        </w:r>
        <w:r>
          <w:instrText xml:space="preserve">PAGEREF 2063 \h</w:instrText>
        </w:r>
        <w:r>
          <w:fldChar w:fldCharType="end"/>
        </w:r>
      </w:hyperlink>
    </w:p>
    <w:p>
      <w:pPr>
        <w:tabs>
          <w:tab w:val="right" w:leader="dot" w:pos="9062"/>
        </w:tabs>
        <w:ind w:left="440"/>
      </w:pPr>
      <w:hyperlink w:anchor="_Toc2064" w:history="1">
        <w:r>
          <w:rPr>
            <w:rFonts w:ascii="IRNazanin" w:hAnsi="IRNazanin" w:eastAsia="IRNazanin" w:cs="IRNazanin"/>
            <w:color w:val="111111"/>
            <w:sz w:val="22"/>
            <w:szCs w:val="22"/>
            <w:b w:val="0"/>
            <w:bCs w:val="0"/>
            <w:i w:val="0"/>
            <w:iCs w:val="0"/>
          </w:rPr>
          <w:t>•تاکتیک / فنون نظامی / فارسی</w:t>
        </w:r>
        <w:r>
          <w:tab/>
        </w:r>
        <w:r>
          <w:fldChar w:fldCharType="begin"/>
        </w:r>
        <w:r>
          <w:instrText xml:space="preserve">PAGEREF 2064 \h</w:instrText>
        </w:r>
        <w:r>
          <w:fldChar w:fldCharType="end"/>
        </w:r>
      </w:hyperlink>
    </w:p>
    <w:p>
      <w:pPr>
        <w:tabs>
          <w:tab w:val="right" w:leader="dot" w:pos="9062"/>
        </w:tabs>
        <w:ind w:left="440"/>
      </w:pPr>
      <w:hyperlink w:anchor="_Toc2065" w:history="1">
        <w:r>
          <w:rPr>
            <w:rFonts w:ascii="IRNazanin" w:hAnsi="IRNazanin" w:eastAsia="IRNazanin" w:cs="IRNazanin"/>
            <w:color w:val="111111"/>
            <w:sz w:val="22"/>
            <w:szCs w:val="22"/>
            <w:b w:val="0"/>
            <w:bCs w:val="0"/>
            <w:i w:val="0"/>
            <w:iCs w:val="0"/>
          </w:rPr>
          <w:t>•تاکتیک جنگ / فنون نظامی / فارسی</w:t>
        </w:r>
        <w:r>
          <w:tab/>
        </w:r>
        <w:r>
          <w:fldChar w:fldCharType="begin"/>
        </w:r>
        <w:r>
          <w:instrText xml:space="preserve">PAGEREF 2065 \h</w:instrText>
        </w:r>
        <w:r>
          <w:fldChar w:fldCharType="end"/>
        </w:r>
      </w:hyperlink>
    </w:p>
    <w:p>
      <w:pPr>
        <w:tabs>
          <w:tab w:val="right" w:leader="dot" w:pos="9062"/>
        </w:tabs>
        <w:ind w:left="440"/>
      </w:pPr>
      <w:hyperlink w:anchor="_Toc2066" w:history="1">
        <w:r>
          <w:rPr>
            <w:rFonts w:ascii="IRNazanin" w:hAnsi="IRNazanin" w:eastAsia="IRNazanin" w:cs="IRNazanin"/>
            <w:color w:val="111111"/>
            <w:sz w:val="22"/>
            <w:szCs w:val="22"/>
            <w:b w:val="0"/>
            <w:bCs w:val="0"/>
            <w:i w:val="0"/>
            <w:iCs w:val="0"/>
          </w:rPr>
          <w:t>•تاکتیک عملیات جنگی / فنون نظامی / فارسی</w:t>
        </w:r>
        <w:r>
          <w:tab/>
        </w:r>
        <w:r>
          <w:fldChar w:fldCharType="begin"/>
        </w:r>
        <w:r>
          <w:instrText xml:space="preserve">PAGEREF 2066 \h</w:instrText>
        </w:r>
        <w:r>
          <w:fldChar w:fldCharType="end"/>
        </w:r>
      </w:hyperlink>
    </w:p>
    <w:p>
      <w:pPr>
        <w:tabs>
          <w:tab w:val="right" w:leader="dot" w:pos="9062"/>
        </w:tabs>
        <w:ind w:left="440"/>
      </w:pPr>
      <w:hyperlink w:anchor="_Toc2067" w:history="1">
        <w:r>
          <w:rPr>
            <w:rFonts w:ascii="IRNazanin" w:hAnsi="IRNazanin" w:eastAsia="IRNazanin" w:cs="IRNazanin"/>
            <w:color w:val="111111"/>
            <w:sz w:val="22"/>
            <w:szCs w:val="22"/>
            <w:b w:val="0"/>
            <w:bCs w:val="0"/>
            <w:i w:val="0"/>
            <w:iCs w:val="0"/>
          </w:rPr>
          <w:t>•تأکید قاعده اسطاطكو در مورد محلهای متنازع فيه میان دولت ایران و عثمانی / اسناد / فارسی</w:t>
        </w:r>
        <w:r>
          <w:tab/>
        </w:r>
        <w:r>
          <w:fldChar w:fldCharType="begin"/>
        </w:r>
        <w:r>
          <w:instrText xml:space="preserve">PAGEREF 2067 \h</w:instrText>
        </w:r>
        <w:r>
          <w:fldChar w:fldCharType="end"/>
        </w:r>
      </w:hyperlink>
    </w:p>
    <w:p>
      <w:pPr>
        <w:tabs>
          <w:tab w:val="right" w:leader="dot" w:pos="9062"/>
        </w:tabs>
        <w:ind w:left="440"/>
      </w:pPr>
      <w:hyperlink w:anchor="_Toc2068" w:history="1">
        <w:r>
          <w:rPr>
            <w:rFonts w:ascii="IRNazanin" w:hAnsi="IRNazanin" w:eastAsia="IRNazanin" w:cs="IRNazanin"/>
            <w:color w:val="111111"/>
            <w:sz w:val="22"/>
            <w:szCs w:val="22"/>
            <w:b w:val="0"/>
            <w:bCs w:val="0"/>
            <w:i w:val="0"/>
            <w:iCs w:val="0"/>
          </w:rPr>
          <w:t>•تأليف الاحاديث / گوناگون / عربی</w:t>
        </w:r>
        <w:r>
          <w:tab/>
        </w:r>
        <w:r>
          <w:fldChar w:fldCharType="begin"/>
        </w:r>
        <w:r>
          <w:instrText xml:space="preserve">PAGEREF 2068 \h</w:instrText>
        </w:r>
        <w:r>
          <w:fldChar w:fldCharType="end"/>
        </w:r>
      </w:hyperlink>
    </w:p>
    <w:p>
      <w:pPr>
        <w:tabs>
          <w:tab w:val="right" w:leader="dot" w:pos="9062"/>
        </w:tabs>
        <w:ind w:left="440"/>
      </w:pPr>
      <w:hyperlink w:anchor="_Toc2069" w:history="1">
        <w:r>
          <w:rPr>
            <w:rFonts w:ascii="IRNazanin" w:hAnsi="IRNazanin" w:eastAsia="IRNazanin" w:cs="IRNazanin"/>
            <w:color w:val="111111"/>
            <w:sz w:val="22"/>
            <w:szCs w:val="22"/>
            <w:b w:val="0"/>
            <w:bCs w:val="0"/>
            <w:i w:val="0"/>
            <w:iCs w:val="0"/>
          </w:rPr>
          <w:t>•تأليفيه = تناسب تألیفی / هیأت / فارسی</w:t>
        </w:r>
        <w:r>
          <w:tab/>
        </w:r>
        <w:r>
          <w:fldChar w:fldCharType="begin"/>
        </w:r>
        <w:r>
          <w:instrText xml:space="preserve">PAGEREF 2069 \h</w:instrText>
        </w:r>
        <w:r>
          <w:fldChar w:fldCharType="end"/>
        </w:r>
      </w:hyperlink>
    </w:p>
    <w:p>
      <w:pPr>
        <w:tabs>
          <w:tab w:val="right" w:leader="dot" w:pos="9062"/>
        </w:tabs>
        <w:ind w:left="440"/>
      </w:pPr>
      <w:hyperlink w:anchor="_Toc2070" w:history="1">
        <w:r>
          <w:rPr>
            <w:rFonts w:ascii="IRNazanin" w:hAnsi="IRNazanin" w:eastAsia="IRNazanin" w:cs="IRNazanin"/>
            <w:color w:val="111111"/>
            <w:sz w:val="22"/>
            <w:szCs w:val="22"/>
            <w:b w:val="0"/>
            <w:bCs w:val="0"/>
            <w:i w:val="0"/>
            <w:iCs w:val="0"/>
          </w:rPr>
          <w:t>•تامة الحكمة لاكمال النعمة = تام الحكمه / عرفان و تصوف / فارسی</w:t>
        </w:r>
        <w:r>
          <w:tab/>
        </w:r>
        <w:r>
          <w:fldChar w:fldCharType="begin"/>
        </w:r>
        <w:r>
          <w:instrText xml:space="preserve">PAGEREF 2070 \h</w:instrText>
        </w:r>
        <w:r>
          <w:fldChar w:fldCharType="end"/>
        </w:r>
      </w:hyperlink>
    </w:p>
    <w:p>
      <w:pPr>
        <w:tabs>
          <w:tab w:val="right" w:leader="dot" w:pos="9062"/>
        </w:tabs>
        <w:ind w:left="440"/>
      </w:pPr>
      <w:hyperlink w:anchor="_Toc2071" w:history="1">
        <w:r>
          <w:rPr>
            <w:rFonts w:ascii="IRNazanin" w:hAnsi="IRNazanin" w:eastAsia="IRNazanin" w:cs="IRNazanin"/>
            <w:color w:val="111111"/>
            <w:sz w:val="22"/>
            <w:szCs w:val="22"/>
            <w:b w:val="0"/>
            <w:bCs w:val="0"/>
            <w:i w:val="0"/>
            <w:iCs w:val="0"/>
          </w:rPr>
          <w:t>•التأملات / فقه / عربی</w:t>
        </w:r>
        <w:r>
          <w:tab/>
        </w:r>
        <w:r>
          <w:fldChar w:fldCharType="begin"/>
        </w:r>
        <w:r>
          <w:instrText xml:space="preserve">PAGEREF 2071 \h</w:instrText>
        </w:r>
        <w:r>
          <w:fldChar w:fldCharType="end"/>
        </w:r>
      </w:hyperlink>
    </w:p>
    <w:p>
      <w:pPr>
        <w:tabs>
          <w:tab w:val="right" w:leader="dot" w:pos="9062"/>
        </w:tabs>
        <w:ind w:left="440"/>
      </w:pPr>
      <w:hyperlink w:anchor="_Toc2072" w:history="1">
        <w:r>
          <w:rPr>
            <w:rFonts w:ascii="IRNazanin" w:hAnsi="IRNazanin" w:eastAsia="IRNazanin" w:cs="IRNazanin"/>
            <w:color w:val="111111"/>
            <w:sz w:val="22"/>
            <w:szCs w:val="22"/>
            <w:b w:val="0"/>
            <w:bCs w:val="0"/>
            <w:i w:val="0"/>
            <w:iCs w:val="0"/>
          </w:rPr>
          <w:t>•تأملات رياض المسائل فقه / عربی</w:t>
        </w:r>
        <w:r>
          <w:tab/>
        </w:r>
        <w:r>
          <w:fldChar w:fldCharType="begin"/>
        </w:r>
        <w:r>
          <w:instrText xml:space="preserve">PAGEREF 2072 \h</w:instrText>
        </w:r>
        <w:r>
          <w:fldChar w:fldCharType="end"/>
        </w:r>
      </w:hyperlink>
    </w:p>
    <w:p>
      <w:pPr>
        <w:tabs>
          <w:tab w:val="right" w:leader="dot" w:pos="9062"/>
        </w:tabs>
        <w:ind w:left="440"/>
      </w:pPr>
      <w:hyperlink w:anchor="_Toc2073" w:history="1">
        <w:r>
          <w:rPr>
            <w:rFonts w:ascii="IRNazanin" w:hAnsi="IRNazanin" w:eastAsia="IRNazanin" w:cs="IRNazanin"/>
            <w:color w:val="111111"/>
            <w:sz w:val="22"/>
            <w:szCs w:val="22"/>
            <w:b w:val="0"/>
            <w:bCs w:val="0"/>
            <w:i w:val="0"/>
            <w:iCs w:val="0"/>
          </w:rPr>
          <w:t>•تأمليه = حاشية شرح الوقاية / فقه / عربی</w:t>
        </w:r>
        <w:r>
          <w:tab/>
        </w:r>
        <w:r>
          <w:fldChar w:fldCharType="begin"/>
        </w:r>
        <w:r>
          <w:instrText xml:space="preserve">PAGEREF 2073 \h</w:instrText>
        </w:r>
        <w:r>
          <w:fldChar w:fldCharType="end"/>
        </w:r>
      </w:hyperlink>
    </w:p>
    <w:p>
      <w:pPr>
        <w:tabs>
          <w:tab w:val="right" w:leader="dot" w:pos="9062"/>
        </w:tabs>
        <w:ind w:left="440"/>
      </w:pPr>
      <w:hyperlink w:anchor="_Toc2074" w:history="1">
        <w:r>
          <w:rPr>
            <w:rFonts w:ascii="IRNazanin" w:hAnsi="IRNazanin" w:eastAsia="IRNazanin" w:cs="IRNazanin"/>
            <w:color w:val="111111"/>
            <w:sz w:val="22"/>
            <w:szCs w:val="22"/>
            <w:b w:val="0"/>
            <w:bCs w:val="0"/>
            <w:i w:val="0"/>
            <w:iCs w:val="0"/>
          </w:rPr>
          <w:t>•التأمين في الصلاة / فقه / عربی</w:t>
        </w:r>
        <w:r>
          <w:tab/>
        </w:r>
        <w:r>
          <w:fldChar w:fldCharType="begin"/>
        </w:r>
        <w:r>
          <w:instrText xml:space="preserve">PAGEREF 2074 \h</w:instrText>
        </w:r>
        <w:r>
          <w:fldChar w:fldCharType="end"/>
        </w:r>
      </w:hyperlink>
    </w:p>
    <w:p>
      <w:pPr>
        <w:tabs>
          <w:tab w:val="right" w:leader="dot" w:pos="9062"/>
        </w:tabs>
        <w:ind w:left="440"/>
      </w:pPr>
      <w:hyperlink w:anchor="_Toc2075" w:history="1">
        <w:r>
          <w:rPr>
            <w:rFonts w:ascii="IRNazanin" w:hAnsi="IRNazanin" w:eastAsia="IRNazanin" w:cs="IRNazanin"/>
            <w:color w:val="111111"/>
            <w:sz w:val="22"/>
            <w:szCs w:val="22"/>
            <w:b w:val="0"/>
            <w:bCs w:val="0"/>
            <w:i w:val="0"/>
            <w:iCs w:val="0"/>
          </w:rPr>
          <w:t>•تأویل آیات / عرفان و تصوف / عربی</w:t>
        </w:r>
        <w:r>
          <w:tab/>
        </w:r>
        <w:r>
          <w:fldChar w:fldCharType="begin"/>
        </w:r>
        <w:r>
          <w:instrText xml:space="preserve">PAGEREF 2075 \h</w:instrText>
        </w:r>
        <w:r>
          <w:fldChar w:fldCharType="end"/>
        </w:r>
      </w:hyperlink>
    </w:p>
    <w:p>
      <w:pPr>
        <w:tabs>
          <w:tab w:val="right" w:leader="dot" w:pos="9062"/>
        </w:tabs>
        <w:ind w:left="440"/>
      </w:pPr>
      <w:hyperlink w:anchor="_Toc2076" w:history="1">
        <w:r>
          <w:rPr>
            <w:rFonts w:ascii="IRNazanin" w:hAnsi="IRNazanin" w:eastAsia="IRNazanin" w:cs="IRNazanin"/>
            <w:color w:val="111111"/>
            <w:sz w:val="22"/>
            <w:szCs w:val="22"/>
            <w:b w:val="0"/>
            <w:bCs w:val="0"/>
            <w:i w:val="0"/>
            <w:iCs w:val="0"/>
          </w:rPr>
          <w:t>•تأويل الآيات / تفسير / عربی</w:t>
        </w:r>
        <w:r>
          <w:tab/>
        </w:r>
        <w:r>
          <w:fldChar w:fldCharType="begin"/>
        </w:r>
        <w:r>
          <w:instrText xml:space="preserve">PAGEREF 2076 \h</w:instrText>
        </w:r>
        <w:r>
          <w:fldChar w:fldCharType="end"/>
        </w:r>
      </w:hyperlink>
    </w:p>
    <w:p>
      <w:pPr>
        <w:tabs>
          <w:tab w:val="right" w:leader="dot" w:pos="9062"/>
        </w:tabs>
        <w:ind w:left="440"/>
      </w:pPr>
      <w:hyperlink w:anchor="_Toc2077" w:history="1">
        <w:r>
          <w:rPr>
            <w:rFonts w:ascii="IRNazanin" w:hAnsi="IRNazanin" w:eastAsia="IRNazanin" w:cs="IRNazanin"/>
            <w:color w:val="111111"/>
            <w:sz w:val="22"/>
            <w:szCs w:val="22"/>
            <w:b w:val="0"/>
            <w:bCs w:val="0"/>
            <w:i w:val="0"/>
            <w:iCs w:val="0"/>
          </w:rPr>
          <w:t>•تأويل الآيات الظاهرة في فضائل العترة الطاهرة / فضائل و مناقب، تفسير / عربی</w:t>
        </w:r>
        <w:r>
          <w:tab/>
        </w:r>
        <w:r>
          <w:fldChar w:fldCharType="begin"/>
        </w:r>
        <w:r>
          <w:instrText xml:space="preserve">PAGEREF 2077 \h</w:instrText>
        </w:r>
        <w:r>
          <w:fldChar w:fldCharType="end"/>
        </w:r>
      </w:hyperlink>
    </w:p>
    <w:p>
      <w:pPr>
        <w:tabs>
          <w:tab w:val="right" w:leader="dot" w:pos="9062"/>
        </w:tabs>
        <w:ind w:left="440"/>
      </w:pPr>
      <w:hyperlink w:anchor="_Toc2078" w:history="1">
        <w:r>
          <w:rPr>
            <w:rFonts w:ascii="IRNazanin" w:hAnsi="IRNazanin" w:eastAsia="IRNazanin" w:cs="IRNazanin"/>
            <w:color w:val="111111"/>
            <w:sz w:val="22"/>
            <w:szCs w:val="22"/>
            <w:b w:val="0"/>
            <w:bCs w:val="0"/>
            <w:i w:val="0"/>
            <w:iCs w:val="0"/>
          </w:rPr>
          <w:t>•تأويل الآيات الظاهرة في فضائل العترة الطاهرة (خلاصه) / تفسير، فضائل و مناقب /عربی</w:t>
        </w:r>
        <w:r>
          <w:tab/>
        </w:r>
        <w:r>
          <w:fldChar w:fldCharType="begin"/>
        </w:r>
        <w:r>
          <w:instrText xml:space="preserve">PAGEREF 2078 \h</w:instrText>
        </w:r>
        <w:r>
          <w:fldChar w:fldCharType="end"/>
        </w:r>
      </w:hyperlink>
    </w:p>
    <w:p>
      <w:pPr>
        <w:tabs>
          <w:tab w:val="right" w:leader="dot" w:pos="9062"/>
        </w:tabs>
        <w:ind w:left="440"/>
      </w:pPr>
      <w:hyperlink w:anchor="_Toc2079" w:history="1">
        <w:r>
          <w:rPr>
            <w:rFonts w:ascii="IRNazanin" w:hAnsi="IRNazanin" w:eastAsia="IRNazanin" w:cs="IRNazanin"/>
            <w:color w:val="111111"/>
            <w:sz w:val="22"/>
            <w:szCs w:val="22"/>
            <w:b w:val="0"/>
            <w:bCs w:val="0"/>
            <w:i w:val="0"/>
            <w:iCs w:val="0"/>
          </w:rPr>
          <w:t>•تأويل الآيات الظاهرة (منتخب) / علوم قرآن / عربی</w:t>
        </w:r>
        <w:r>
          <w:tab/>
        </w:r>
        <w:r>
          <w:fldChar w:fldCharType="begin"/>
        </w:r>
        <w:r>
          <w:instrText xml:space="preserve">PAGEREF 2079 \h</w:instrText>
        </w:r>
        <w:r>
          <w:fldChar w:fldCharType="end"/>
        </w:r>
      </w:hyperlink>
    </w:p>
    <w:p>
      <w:pPr>
        <w:tabs>
          <w:tab w:val="right" w:leader="dot" w:pos="9062"/>
        </w:tabs>
        <w:ind w:left="440"/>
      </w:pPr>
      <w:hyperlink w:anchor="_Toc2080" w:history="1">
        <w:r>
          <w:rPr>
            <w:rFonts w:ascii="IRNazanin" w:hAnsi="IRNazanin" w:eastAsia="IRNazanin" w:cs="IRNazanin"/>
            <w:color w:val="111111"/>
            <w:sz w:val="22"/>
            <w:szCs w:val="22"/>
            <w:b w:val="0"/>
            <w:bCs w:val="0"/>
            <w:i w:val="0"/>
            <w:iCs w:val="0"/>
          </w:rPr>
          <w:t>•تأويل الآيات الظاهرة في فضائل العترة الطاهرة / فضائل و مناقب، تفسير / عربی</w:t>
        </w:r>
        <w:r>
          <w:tab/>
        </w:r>
        <w:r>
          <w:fldChar w:fldCharType="begin"/>
        </w:r>
        <w:r>
          <w:instrText xml:space="preserve">PAGEREF 2080 \h</w:instrText>
        </w:r>
        <w:r>
          <w:fldChar w:fldCharType="end"/>
        </w:r>
      </w:hyperlink>
    </w:p>
    <w:p>
      <w:pPr>
        <w:tabs>
          <w:tab w:val="right" w:leader="dot" w:pos="9062"/>
        </w:tabs>
        <w:ind w:left="440"/>
      </w:pPr>
      <w:hyperlink w:anchor="_Toc2081" w:history="1">
        <w:r>
          <w:rPr>
            <w:rFonts w:ascii="IRNazanin" w:hAnsi="IRNazanin" w:eastAsia="IRNazanin" w:cs="IRNazanin"/>
            <w:color w:val="111111"/>
            <w:sz w:val="22"/>
            <w:szCs w:val="22"/>
            <w:b w:val="0"/>
            <w:bCs w:val="0"/>
            <w:i w:val="0"/>
            <w:iCs w:val="0"/>
          </w:rPr>
          <w:t>•تاویل آیات قرآنی / تفسير / عربی</w:t>
        </w:r>
        <w:r>
          <w:tab/>
        </w:r>
        <w:r>
          <w:fldChar w:fldCharType="begin"/>
        </w:r>
        <w:r>
          <w:instrText xml:space="preserve">PAGEREF 2081 \h</w:instrText>
        </w:r>
        <w:r>
          <w:fldChar w:fldCharType="end"/>
        </w:r>
      </w:hyperlink>
    </w:p>
    <w:p>
      <w:pPr>
        <w:tabs>
          <w:tab w:val="right" w:leader="dot" w:pos="9062"/>
        </w:tabs>
        <w:ind w:left="440"/>
      </w:pPr>
      <w:hyperlink w:anchor="_Toc2082" w:history="1">
        <w:r>
          <w:rPr>
            <w:rFonts w:ascii="IRNazanin" w:hAnsi="IRNazanin" w:eastAsia="IRNazanin" w:cs="IRNazanin"/>
            <w:color w:val="111111"/>
            <w:sz w:val="22"/>
            <w:szCs w:val="22"/>
            <w:b w:val="0"/>
            <w:bCs w:val="0"/>
            <w:i w:val="0"/>
            <w:iCs w:val="0"/>
          </w:rPr>
          <w:t>•تأویل آیه امانت / تفسير / عربی</w:t>
        </w:r>
        <w:r>
          <w:tab/>
        </w:r>
        <w:r>
          <w:fldChar w:fldCharType="begin"/>
        </w:r>
        <w:r>
          <w:instrText xml:space="preserve">PAGEREF 2082 \h</w:instrText>
        </w:r>
        <w:r>
          <w:fldChar w:fldCharType="end"/>
        </w:r>
      </w:hyperlink>
    </w:p>
    <w:p>
      <w:pPr>
        <w:tabs>
          <w:tab w:val="right" w:leader="dot" w:pos="9062"/>
        </w:tabs>
        <w:ind w:left="440"/>
      </w:pPr>
      <w:hyperlink w:anchor="_Toc2083" w:history="1">
        <w:r>
          <w:rPr>
            <w:rFonts w:ascii="IRNazanin" w:hAnsi="IRNazanin" w:eastAsia="IRNazanin" w:cs="IRNazanin"/>
            <w:color w:val="111111"/>
            <w:sz w:val="22"/>
            <w:szCs w:val="22"/>
            <w:b w:val="0"/>
            <w:bCs w:val="0"/>
            <w:i w:val="0"/>
            <w:iCs w:val="0"/>
          </w:rPr>
          <w:t>•التأويلات = تأويل الآيات / تفسير ا عربی</w:t>
        </w:r>
        <w:r>
          <w:tab/>
        </w:r>
        <w:r>
          <w:fldChar w:fldCharType="begin"/>
        </w:r>
        <w:r>
          <w:instrText xml:space="preserve">PAGEREF 2083 \h</w:instrText>
        </w:r>
        <w:r>
          <w:fldChar w:fldCharType="end"/>
        </w:r>
      </w:hyperlink>
    </w:p>
    <w:p>
      <w:pPr>
        <w:tabs>
          <w:tab w:val="right" w:leader="dot" w:pos="9062"/>
        </w:tabs>
        <w:ind w:left="440"/>
      </w:pPr>
      <w:hyperlink w:anchor="_Toc2084" w:history="1">
        <w:r>
          <w:rPr>
            <w:rFonts w:ascii="IRNazanin" w:hAnsi="IRNazanin" w:eastAsia="IRNazanin" w:cs="IRNazanin"/>
            <w:color w:val="111111"/>
            <w:sz w:val="22"/>
            <w:szCs w:val="22"/>
            <w:b w:val="0"/>
            <w:bCs w:val="0"/>
            <w:i w:val="0"/>
            <w:iCs w:val="0"/>
          </w:rPr>
          <w:t>•( التأويلات منتخب) / تفسير ا عربی</w:t>
        </w:r>
        <w:r>
          <w:tab/>
        </w:r>
        <w:r>
          <w:fldChar w:fldCharType="begin"/>
        </w:r>
        <w:r>
          <w:instrText xml:space="preserve">PAGEREF 2084 \h</w:instrText>
        </w:r>
        <w:r>
          <w:fldChar w:fldCharType="end"/>
        </w:r>
      </w:hyperlink>
    </w:p>
    <w:p>
      <w:pPr>
        <w:tabs>
          <w:tab w:val="right" w:leader="dot" w:pos="9062"/>
        </w:tabs>
        <w:ind w:left="440"/>
      </w:pPr>
      <w:hyperlink w:anchor="_Toc2085" w:history="1">
        <w:r>
          <w:rPr>
            <w:rFonts w:ascii="IRNazanin" w:hAnsi="IRNazanin" w:eastAsia="IRNazanin" w:cs="IRNazanin"/>
            <w:color w:val="111111"/>
            <w:sz w:val="22"/>
            <w:szCs w:val="22"/>
            <w:b w:val="0"/>
            <w:bCs w:val="0"/>
            <w:i w:val="0"/>
            <w:iCs w:val="0"/>
          </w:rPr>
          <w:t>•التأويلات / تفسير / عربی</w:t>
        </w:r>
        <w:r>
          <w:tab/>
        </w:r>
        <w:r>
          <w:fldChar w:fldCharType="begin"/>
        </w:r>
        <w:r>
          <w:instrText xml:space="preserve">PAGEREF 2085 \h</w:instrText>
        </w:r>
        <w:r>
          <w:fldChar w:fldCharType="end"/>
        </w:r>
      </w:hyperlink>
    </w:p>
    <w:p>
      <w:pPr>
        <w:tabs>
          <w:tab w:val="right" w:leader="dot" w:pos="9062"/>
        </w:tabs>
        <w:ind w:left="440"/>
      </w:pPr>
      <w:hyperlink w:anchor="_Toc2086" w:history="1">
        <w:r>
          <w:rPr>
            <w:rFonts w:ascii="IRNazanin" w:hAnsi="IRNazanin" w:eastAsia="IRNazanin" w:cs="IRNazanin"/>
            <w:color w:val="111111"/>
            <w:sz w:val="22"/>
            <w:szCs w:val="22"/>
            <w:b w:val="0"/>
            <w:bCs w:val="0"/>
            <w:i w:val="0"/>
            <w:iCs w:val="0"/>
          </w:rPr>
          <w:t>•التأويلات / تفسير / عربی</w:t>
        </w:r>
        <w:r>
          <w:tab/>
        </w:r>
        <w:r>
          <w:fldChar w:fldCharType="begin"/>
        </w:r>
        <w:r>
          <w:instrText xml:space="preserve">PAGEREF 2086 \h</w:instrText>
        </w:r>
        <w:r>
          <w:fldChar w:fldCharType="end"/>
        </w:r>
      </w:hyperlink>
    </w:p>
    <w:p>
      <w:pPr>
        <w:tabs>
          <w:tab w:val="right" w:leader="dot" w:pos="9062"/>
        </w:tabs>
        <w:ind w:left="440"/>
      </w:pPr>
      <w:hyperlink w:anchor="_Toc2087" w:history="1">
        <w:r>
          <w:rPr>
            <w:rFonts w:ascii="IRNazanin" w:hAnsi="IRNazanin" w:eastAsia="IRNazanin" w:cs="IRNazanin"/>
            <w:color w:val="111111"/>
            <w:sz w:val="22"/>
            <w:szCs w:val="22"/>
            <w:b w:val="0"/>
            <w:bCs w:val="0"/>
            <w:i w:val="0"/>
            <w:iCs w:val="0"/>
          </w:rPr>
          <w:t>•التأويلات / تفسير / عربی</w:t>
        </w:r>
        <w:r>
          <w:tab/>
        </w:r>
        <w:r>
          <w:fldChar w:fldCharType="begin"/>
        </w:r>
        <w:r>
          <w:instrText xml:space="preserve">PAGEREF 2087 \h</w:instrText>
        </w:r>
        <w:r>
          <w:fldChar w:fldCharType="end"/>
        </w:r>
      </w:hyperlink>
    </w:p>
    <w:p>
      <w:pPr>
        <w:tabs>
          <w:tab w:val="right" w:leader="dot" w:pos="9062"/>
        </w:tabs>
        <w:ind w:left="440"/>
      </w:pPr>
      <w:hyperlink w:anchor="_Toc2088" w:history="1">
        <w:r>
          <w:rPr>
            <w:rFonts w:ascii="IRNazanin" w:hAnsi="IRNazanin" w:eastAsia="IRNazanin" w:cs="IRNazanin"/>
            <w:color w:val="111111"/>
            <w:sz w:val="22"/>
            <w:szCs w:val="22"/>
            <w:b w:val="0"/>
            <w:bCs w:val="0"/>
            <w:i w:val="0"/>
            <w:iCs w:val="0"/>
          </w:rPr>
          <w:t>•تأويلات القرآن = منتخب غرائب القرآن و رغائب الفرقان / تفسير / عربی</w:t>
        </w:r>
        <w:r>
          <w:tab/>
        </w:r>
        <w:r>
          <w:fldChar w:fldCharType="begin"/>
        </w:r>
        <w:r>
          <w:instrText xml:space="preserve">PAGEREF 2088 \h</w:instrText>
        </w:r>
        <w:r>
          <w:fldChar w:fldCharType="end"/>
        </w:r>
      </w:hyperlink>
    </w:p>
    <w:p>
      <w:pPr>
        <w:tabs>
          <w:tab w:val="right" w:leader="dot" w:pos="9062"/>
        </w:tabs>
        <w:ind w:left="440"/>
      </w:pPr>
      <w:hyperlink w:anchor="_Toc2089" w:history="1">
        <w:r>
          <w:rPr>
            <w:rFonts w:ascii="IRNazanin" w:hAnsi="IRNazanin" w:eastAsia="IRNazanin" w:cs="IRNazanin"/>
            <w:color w:val="111111"/>
            <w:sz w:val="22"/>
            <w:szCs w:val="22"/>
            <w:b w:val="0"/>
            <w:bCs w:val="0"/>
            <w:i w:val="0"/>
            <w:iCs w:val="0"/>
          </w:rPr>
          <w:t>•تأویلات مشكلات الاحاديث / حديث / فارسی</w:t>
        </w:r>
        <w:r>
          <w:tab/>
        </w:r>
        <w:r>
          <w:fldChar w:fldCharType="begin"/>
        </w:r>
        <w:r>
          <w:instrText xml:space="preserve">PAGEREF 2089 \h</w:instrText>
        </w:r>
        <w:r>
          <w:fldChar w:fldCharType="end"/>
        </w:r>
      </w:hyperlink>
    </w:p>
    <w:p>
      <w:pPr>
        <w:tabs>
          <w:tab w:val="right" w:leader="dot" w:pos="9062"/>
        </w:tabs>
        <w:ind w:left="440"/>
      </w:pPr>
      <w:hyperlink w:anchor="_Toc2090" w:history="1">
        <w:r>
          <w:rPr>
            <w:rFonts w:ascii="IRNazanin" w:hAnsi="IRNazanin" w:eastAsia="IRNazanin" w:cs="IRNazanin"/>
            <w:color w:val="111111"/>
            <w:sz w:val="22"/>
            <w:szCs w:val="22"/>
            <w:b w:val="0"/>
            <w:bCs w:val="0"/>
            <w:i w:val="0"/>
            <w:iCs w:val="0"/>
          </w:rPr>
          <w:t>•تأویلات و مکاشفات / تفسير / عربی</w:t>
        </w:r>
        <w:r>
          <w:tab/>
        </w:r>
        <w:r>
          <w:fldChar w:fldCharType="begin"/>
        </w:r>
        <w:r>
          <w:instrText xml:space="preserve">PAGEREF 2090 \h</w:instrText>
        </w:r>
        <w:r>
          <w:fldChar w:fldCharType="end"/>
        </w:r>
      </w:hyperlink>
    </w:p>
    <w:p>
      <w:pPr>
        <w:tabs>
          <w:tab w:val="right" w:leader="dot" w:pos="9062"/>
        </w:tabs>
        <w:ind w:left="440"/>
      </w:pPr>
      <w:hyperlink w:anchor="_Toc2091" w:history="1">
        <w:r>
          <w:rPr>
            <w:rFonts w:ascii="IRNazanin" w:hAnsi="IRNazanin" w:eastAsia="IRNazanin" w:cs="IRNazanin"/>
            <w:color w:val="111111"/>
            <w:sz w:val="22"/>
            <w:szCs w:val="22"/>
            <w:b w:val="0"/>
            <w:bCs w:val="0"/>
            <w:i w:val="0"/>
            <w:iCs w:val="0"/>
          </w:rPr>
          <w:t>•تأويل الأحاديث / خوابگزاری-عربی</w:t>
        </w:r>
        <w:r>
          <w:tab/>
        </w:r>
        <w:r>
          <w:fldChar w:fldCharType="begin"/>
        </w:r>
        <w:r>
          <w:instrText xml:space="preserve">PAGEREF 2091 \h</w:instrText>
        </w:r>
        <w:r>
          <w:fldChar w:fldCharType="end"/>
        </w:r>
      </w:hyperlink>
    </w:p>
    <w:p>
      <w:pPr>
        <w:tabs>
          <w:tab w:val="right" w:leader="dot" w:pos="9062"/>
        </w:tabs>
        <w:ind w:left="440"/>
      </w:pPr>
      <w:hyperlink w:anchor="_Toc2092" w:history="1">
        <w:r>
          <w:rPr>
            <w:rFonts w:ascii="IRNazanin" w:hAnsi="IRNazanin" w:eastAsia="IRNazanin" w:cs="IRNazanin"/>
            <w:color w:val="111111"/>
            <w:sz w:val="22"/>
            <w:szCs w:val="22"/>
            <w:b w:val="0"/>
            <w:bCs w:val="0"/>
            <w:i w:val="0"/>
            <w:iCs w:val="0"/>
          </w:rPr>
          <w:t>•تأويل الأحاديث / شرح حديث / عربی</w:t>
        </w:r>
        <w:r>
          <w:tab/>
        </w:r>
        <w:r>
          <w:fldChar w:fldCharType="begin"/>
        </w:r>
        <w:r>
          <w:instrText xml:space="preserve">PAGEREF 2092 \h</w:instrText>
        </w:r>
        <w:r>
          <w:fldChar w:fldCharType="end"/>
        </w:r>
      </w:hyperlink>
    </w:p>
    <w:p>
      <w:pPr>
        <w:tabs>
          <w:tab w:val="right" w:leader="dot" w:pos="9062"/>
        </w:tabs>
        <w:ind w:left="440"/>
      </w:pPr>
      <w:hyperlink w:anchor="_Toc2093" w:history="1">
        <w:r>
          <w:rPr>
            <w:rFonts w:ascii="IRNazanin" w:hAnsi="IRNazanin" w:eastAsia="IRNazanin" w:cs="IRNazanin"/>
            <w:color w:val="111111"/>
            <w:sz w:val="22"/>
            <w:szCs w:val="22"/>
            <w:b w:val="0"/>
            <w:bCs w:val="0"/>
            <w:i w:val="0"/>
            <w:iCs w:val="0"/>
          </w:rPr>
          <w:t>•تأویل اعمال وضو (بندی در) / فلسفه احکام / عربی</w:t>
        </w:r>
        <w:r>
          <w:tab/>
        </w:r>
        <w:r>
          <w:fldChar w:fldCharType="begin"/>
        </w:r>
        <w:r>
          <w:instrText xml:space="preserve">PAGEREF 2093 \h</w:instrText>
        </w:r>
        <w:r>
          <w:fldChar w:fldCharType="end"/>
        </w:r>
      </w:hyperlink>
    </w:p>
    <w:p>
      <w:pPr>
        <w:tabs>
          <w:tab w:val="right" w:leader="dot" w:pos="9062"/>
        </w:tabs>
        <w:ind w:left="440"/>
      </w:pPr>
      <w:hyperlink w:anchor="_Toc2094" w:history="1">
        <w:r>
          <w:rPr>
            <w:rFonts w:ascii="IRNazanin" w:hAnsi="IRNazanin" w:eastAsia="IRNazanin" w:cs="IRNazanin"/>
            <w:color w:val="111111"/>
            <w:sz w:val="22"/>
            <w:szCs w:val="22"/>
            <w:b w:val="0"/>
            <w:bCs w:val="0"/>
            <w:i w:val="0"/>
            <w:iCs w:val="0"/>
          </w:rPr>
          <w:t>•تاویل «افواجا» در قرآن کریم / تفسير  عربی</w:t>
        </w:r>
        <w:r>
          <w:tab/>
        </w:r>
        <w:r>
          <w:fldChar w:fldCharType="begin"/>
        </w:r>
        <w:r>
          <w:instrText xml:space="preserve">PAGEREF 2094 \h</w:instrText>
        </w:r>
        <w:r>
          <w:fldChar w:fldCharType="end"/>
        </w:r>
      </w:hyperlink>
    </w:p>
    <w:p>
      <w:pPr>
        <w:tabs>
          <w:tab w:val="right" w:leader="dot" w:pos="9062"/>
        </w:tabs>
        <w:ind w:left="440"/>
      </w:pPr>
      <w:hyperlink w:anchor="_Toc2095" w:history="1">
        <w:r>
          <w:rPr>
            <w:rFonts w:ascii="IRNazanin" w:hAnsi="IRNazanin" w:eastAsia="IRNazanin" w:cs="IRNazanin"/>
            <w:color w:val="111111"/>
            <w:sz w:val="22"/>
            <w:szCs w:val="22"/>
            <w:b w:val="0"/>
            <w:bCs w:val="0"/>
            <w:i w:val="0"/>
            <w:iCs w:val="0"/>
          </w:rPr>
          <w:t>•تأویل اکثر اهل الجنة البله / شرح حدیث -فارسی</w:t>
        </w:r>
        <w:r>
          <w:tab/>
        </w:r>
        <w:r>
          <w:fldChar w:fldCharType="begin"/>
        </w:r>
        <w:r>
          <w:instrText xml:space="preserve">PAGEREF 2095 \h</w:instrText>
        </w:r>
        <w:r>
          <w:fldChar w:fldCharType="end"/>
        </w:r>
      </w:hyperlink>
    </w:p>
    <w:p>
      <w:pPr>
        <w:tabs>
          <w:tab w:val="right" w:leader="dot" w:pos="9062"/>
        </w:tabs>
        <w:ind w:left="440"/>
      </w:pPr>
      <w:hyperlink w:anchor="_Toc2096" w:history="1">
        <w:r>
          <w:rPr>
            <w:rFonts w:ascii="IRNazanin" w:hAnsi="IRNazanin" w:eastAsia="IRNazanin" w:cs="IRNazanin"/>
            <w:color w:val="111111"/>
            <w:sz w:val="22"/>
            <w:szCs w:val="22"/>
            <w:b w:val="0"/>
            <w:bCs w:val="0"/>
            <w:i w:val="0"/>
            <w:iCs w:val="0"/>
          </w:rPr>
          <w:t>•تأویل بسم الله الرحمن الرحيم = حاشية تأویلات القرآن / فلسفه / عربی</w:t>
        </w:r>
        <w:r>
          <w:tab/>
        </w:r>
        <w:r>
          <w:fldChar w:fldCharType="begin"/>
        </w:r>
        <w:r>
          <w:instrText xml:space="preserve">PAGEREF 2096 \h</w:instrText>
        </w:r>
        <w:r>
          <w:fldChar w:fldCharType="end"/>
        </w:r>
      </w:hyperlink>
    </w:p>
    <w:p>
      <w:pPr>
        <w:tabs>
          <w:tab w:val="right" w:leader="dot" w:pos="9062"/>
        </w:tabs>
        <w:ind w:left="440"/>
      </w:pPr>
      <w:hyperlink w:anchor="_Toc2097" w:history="1">
        <w:r>
          <w:rPr>
            <w:rFonts w:ascii="IRNazanin" w:hAnsi="IRNazanin" w:eastAsia="IRNazanin" w:cs="IRNazanin"/>
            <w:color w:val="111111"/>
            <w:sz w:val="22"/>
            <w:szCs w:val="22"/>
            <w:b w:val="0"/>
            <w:bCs w:val="0"/>
            <w:i w:val="0"/>
            <w:iCs w:val="0"/>
          </w:rPr>
          <w:t>•تأويل «جبل» در قرآن / تفسير / عربی</w:t>
        </w:r>
        <w:r>
          <w:tab/>
        </w:r>
        <w:r>
          <w:fldChar w:fldCharType="begin"/>
        </w:r>
        <w:r>
          <w:instrText xml:space="preserve">PAGEREF 2097 \h</w:instrText>
        </w:r>
        <w:r>
          <w:fldChar w:fldCharType="end"/>
        </w:r>
      </w:hyperlink>
    </w:p>
    <w:p>
      <w:pPr>
        <w:tabs>
          <w:tab w:val="right" w:leader="dot" w:pos="9062"/>
        </w:tabs>
        <w:ind w:left="440"/>
      </w:pPr>
      <w:hyperlink w:anchor="_Toc2098" w:history="1">
        <w:r>
          <w:rPr>
            <w:rFonts w:ascii="IRNazanin" w:hAnsi="IRNazanin" w:eastAsia="IRNazanin" w:cs="IRNazanin"/>
            <w:color w:val="111111"/>
            <w:sz w:val="22"/>
            <w:szCs w:val="22"/>
            <w:b w:val="0"/>
            <w:bCs w:val="0"/>
            <w:i w:val="0"/>
            <w:iCs w:val="0"/>
          </w:rPr>
          <w:t>•تاویل العرش و الكرسي / تفسير ا عربی</w:t>
        </w:r>
        <w:r>
          <w:tab/>
        </w:r>
        <w:r>
          <w:fldChar w:fldCharType="begin"/>
        </w:r>
        <w:r>
          <w:instrText xml:space="preserve">PAGEREF 2098 \h</w:instrText>
        </w:r>
        <w:r>
          <w:fldChar w:fldCharType="end"/>
        </w:r>
      </w:hyperlink>
    </w:p>
    <w:p>
      <w:pPr>
        <w:tabs>
          <w:tab w:val="right" w:leader="dot" w:pos="9062"/>
        </w:tabs>
        <w:ind w:left="440"/>
      </w:pPr>
      <w:hyperlink w:anchor="_Toc2099" w:history="1">
        <w:r>
          <w:rPr>
            <w:rFonts w:ascii="IRNazanin" w:hAnsi="IRNazanin" w:eastAsia="IRNazanin" w:cs="IRNazanin"/>
            <w:color w:val="111111"/>
            <w:sz w:val="22"/>
            <w:szCs w:val="22"/>
            <w:b w:val="0"/>
            <w:bCs w:val="0"/>
            <w:i w:val="0"/>
            <w:iCs w:val="0"/>
          </w:rPr>
          <w:t>•تأويل القرآن / علوم قرآن / عربی</w:t>
        </w:r>
        <w:r>
          <w:tab/>
        </w:r>
        <w:r>
          <w:fldChar w:fldCharType="begin"/>
        </w:r>
        <w:r>
          <w:instrText xml:space="preserve">PAGEREF 2099 \h</w:instrText>
        </w:r>
        <w:r>
          <w:fldChar w:fldCharType="end"/>
        </w:r>
      </w:hyperlink>
    </w:p>
    <w:p>
      <w:pPr>
        <w:tabs>
          <w:tab w:val="right" w:leader="dot" w:pos="9062"/>
        </w:tabs>
        <w:ind w:left="440"/>
      </w:pPr>
      <w:hyperlink w:anchor="_Toc2100" w:history="1">
        <w:r>
          <w:rPr>
            <w:rFonts w:ascii="IRNazanin" w:hAnsi="IRNazanin" w:eastAsia="IRNazanin" w:cs="IRNazanin"/>
            <w:color w:val="111111"/>
            <w:sz w:val="22"/>
            <w:szCs w:val="22"/>
            <w:b w:val="0"/>
            <w:bCs w:val="0"/>
            <w:i w:val="0"/>
            <w:iCs w:val="0"/>
          </w:rPr>
          <w:t>•تأويل قراءات السبع / قرائت / عربی</w:t>
        </w:r>
        <w:r>
          <w:tab/>
        </w:r>
        <w:r>
          <w:fldChar w:fldCharType="begin"/>
        </w:r>
        <w:r>
          <w:instrText xml:space="preserve">PAGEREF 2100 \h</w:instrText>
        </w:r>
        <w:r>
          <w:fldChar w:fldCharType="end"/>
        </w:r>
      </w:hyperlink>
    </w:p>
    <w:p>
      <w:pPr>
        <w:tabs>
          <w:tab w:val="right" w:leader="dot" w:pos="9062"/>
        </w:tabs>
        <w:ind w:left="440"/>
      </w:pPr>
      <w:hyperlink w:anchor="_Toc2101" w:history="1">
        <w:r>
          <w:rPr>
            <w:rFonts w:ascii="IRNazanin" w:hAnsi="IRNazanin" w:eastAsia="IRNazanin" w:cs="IRNazanin"/>
            <w:color w:val="111111"/>
            <w:sz w:val="22"/>
            <w:szCs w:val="22"/>
            <w:b w:val="0"/>
            <w:bCs w:val="0"/>
            <w:i w:val="0"/>
            <w:iCs w:val="0"/>
          </w:rPr>
          <w:t>•تأويل قصص الانبياء / داستان / عربی</w:t>
        </w:r>
        <w:r>
          <w:tab/>
        </w:r>
        <w:r>
          <w:fldChar w:fldCharType="begin"/>
        </w:r>
        <w:r>
          <w:instrText xml:space="preserve">PAGEREF 2101 \h</w:instrText>
        </w:r>
        <w:r>
          <w:fldChar w:fldCharType="end"/>
        </w:r>
      </w:hyperlink>
    </w:p>
    <w:p>
      <w:pPr>
        <w:tabs>
          <w:tab w:val="right" w:leader="dot" w:pos="9062"/>
        </w:tabs>
        <w:ind w:left="440"/>
      </w:pPr>
      <w:hyperlink w:anchor="_Toc2102" w:history="1">
        <w:r>
          <w:rPr>
            <w:rFonts w:ascii="IRNazanin" w:hAnsi="IRNazanin" w:eastAsia="IRNazanin" w:cs="IRNazanin"/>
            <w:color w:val="111111"/>
            <w:sz w:val="22"/>
            <w:szCs w:val="22"/>
            <w:b w:val="0"/>
            <w:bCs w:val="0"/>
            <w:i w:val="0"/>
            <w:iCs w:val="0"/>
          </w:rPr>
          <w:t>•تاویل کلمات ابی بکر ا حديث / عربی، فارسی</w:t>
        </w:r>
        <w:r>
          <w:tab/>
        </w:r>
        <w:r>
          <w:fldChar w:fldCharType="begin"/>
        </w:r>
        <w:r>
          <w:instrText xml:space="preserve">PAGEREF 2102 \h</w:instrText>
        </w:r>
        <w:r>
          <w:fldChar w:fldCharType="end"/>
        </w:r>
      </w:hyperlink>
    </w:p>
    <w:p>
      <w:pPr>
        <w:tabs>
          <w:tab w:val="right" w:leader="dot" w:pos="9062"/>
        </w:tabs>
        <w:ind w:left="440"/>
      </w:pPr>
      <w:hyperlink w:anchor="_Toc2103" w:history="1">
        <w:r>
          <w:rPr>
            <w:rFonts w:ascii="IRNazanin" w:hAnsi="IRNazanin" w:eastAsia="IRNazanin" w:cs="IRNazanin"/>
            <w:color w:val="111111"/>
            <w:sz w:val="22"/>
            <w:szCs w:val="22"/>
            <w:b w:val="0"/>
            <w:bCs w:val="0"/>
            <w:i w:val="0"/>
            <w:iCs w:val="0"/>
          </w:rPr>
          <w:t>•تأویل کلمات و آیات قرآن / تفسير / فارسی</w:t>
        </w:r>
        <w:r>
          <w:tab/>
        </w:r>
        <w:r>
          <w:fldChar w:fldCharType="begin"/>
        </w:r>
        <w:r>
          <w:instrText xml:space="preserve">PAGEREF 2103 \h</w:instrText>
        </w:r>
        <w:r>
          <w:fldChar w:fldCharType="end"/>
        </w:r>
      </w:hyperlink>
    </w:p>
    <w:p>
      <w:pPr>
        <w:tabs>
          <w:tab w:val="right" w:leader="dot" w:pos="9062"/>
        </w:tabs>
        <w:ind w:left="440"/>
      </w:pPr>
      <w:hyperlink w:anchor="_Toc2104" w:history="1">
        <w:r>
          <w:rPr>
            <w:rFonts w:ascii="IRNazanin" w:hAnsi="IRNazanin" w:eastAsia="IRNazanin" w:cs="IRNazanin"/>
            <w:color w:val="111111"/>
            <w:sz w:val="22"/>
            <w:szCs w:val="22"/>
            <w:b w:val="0"/>
            <w:bCs w:val="0"/>
            <w:i w:val="0"/>
            <w:iCs w:val="0"/>
          </w:rPr>
          <w:t>•تأویل «لقد جائكم رسول من انفسكم» (رساله در) / تفسير / فارسی</w:t>
        </w:r>
        <w:r>
          <w:tab/>
        </w:r>
        <w:r>
          <w:fldChar w:fldCharType="begin"/>
        </w:r>
        <w:r>
          <w:instrText xml:space="preserve">PAGEREF 2104 \h</w:instrText>
        </w:r>
        <w:r>
          <w:fldChar w:fldCharType="end"/>
        </w:r>
      </w:hyperlink>
    </w:p>
    <w:p>
      <w:pPr>
        <w:tabs>
          <w:tab w:val="right" w:leader="dot" w:pos="9062"/>
        </w:tabs>
        <w:ind w:left="440"/>
      </w:pPr>
      <w:hyperlink w:anchor="_Toc2105" w:history="1">
        <w:r>
          <w:rPr>
            <w:rFonts w:ascii="IRNazanin" w:hAnsi="IRNazanin" w:eastAsia="IRNazanin" w:cs="IRNazanin"/>
            <w:color w:val="111111"/>
            <w:sz w:val="22"/>
            <w:szCs w:val="22"/>
            <w:b w:val="0"/>
            <w:bCs w:val="0"/>
            <w:i w:val="0"/>
            <w:iCs w:val="0"/>
          </w:rPr>
          <w:t>•تأويل مشكل القرآن / علوم قرآن / عربی</w:t>
        </w:r>
        <w:r>
          <w:tab/>
        </w:r>
        <w:r>
          <w:fldChar w:fldCharType="begin"/>
        </w:r>
        <w:r>
          <w:instrText xml:space="preserve">PAGEREF 2105 \h</w:instrText>
        </w:r>
        <w:r>
          <w:fldChar w:fldCharType="end"/>
        </w:r>
      </w:hyperlink>
    </w:p>
    <w:p>
      <w:pPr>
        <w:tabs>
          <w:tab w:val="right" w:leader="dot" w:pos="9062"/>
        </w:tabs>
        <w:ind w:left="440"/>
      </w:pPr>
      <w:hyperlink w:anchor="_Toc2106" w:history="1">
        <w:r>
          <w:rPr>
            <w:rFonts w:ascii="IRNazanin" w:hAnsi="IRNazanin" w:eastAsia="IRNazanin" w:cs="IRNazanin"/>
            <w:color w:val="111111"/>
            <w:sz w:val="22"/>
            <w:szCs w:val="22"/>
            <w:b w:val="0"/>
            <w:bCs w:val="0"/>
            <w:i w:val="0"/>
            <w:iCs w:val="0"/>
          </w:rPr>
          <w:t>•تأویل و تحقیق / متفرقه / عربی</w:t>
        </w:r>
        <w:r>
          <w:tab/>
        </w:r>
        <w:r>
          <w:fldChar w:fldCharType="begin"/>
        </w:r>
        <w:r>
          <w:instrText xml:space="preserve">PAGEREF 2106 \h</w:instrText>
        </w:r>
        <w:r>
          <w:fldChar w:fldCharType="end"/>
        </w:r>
      </w:hyperlink>
    </w:p>
    <w:p>
      <w:pPr>
        <w:tabs>
          <w:tab w:val="right" w:leader="dot" w:pos="9062"/>
        </w:tabs>
        <w:ind w:left="440"/>
      </w:pPr>
      <w:hyperlink w:anchor="_Toc2107" w:history="1">
        <w:r>
          <w:rPr>
            <w:rFonts w:ascii="IRNazanin" w:hAnsi="IRNazanin" w:eastAsia="IRNazanin" w:cs="IRNazanin"/>
            <w:color w:val="111111"/>
            <w:sz w:val="22"/>
            <w:szCs w:val="22"/>
            <w:b w:val="0"/>
            <w:bCs w:val="0"/>
            <w:i w:val="0"/>
            <w:iCs w:val="0"/>
          </w:rPr>
          <w:t>•التأهيل الغريب / ادبیات عربی</w:t>
        </w:r>
        <w:r>
          <w:tab/>
        </w:r>
        <w:r>
          <w:fldChar w:fldCharType="begin"/>
        </w:r>
        <w:r>
          <w:instrText xml:space="preserve">PAGEREF 2107 \h</w:instrText>
        </w:r>
        <w:r>
          <w:fldChar w:fldCharType="end"/>
        </w:r>
      </w:hyperlink>
    </w:p>
    <w:p>
      <w:pPr>
        <w:tabs>
          <w:tab w:val="right" w:leader="dot" w:pos="9062"/>
        </w:tabs>
        <w:ind w:left="440"/>
      </w:pPr>
      <w:hyperlink w:anchor="_Toc2108" w:history="1">
        <w:r>
          <w:rPr>
            <w:rFonts w:ascii="IRNazanin" w:hAnsi="IRNazanin" w:eastAsia="IRNazanin" w:cs="IRNazanin"/>
            <w:color w:val="111111"/>
            <w:sz w:val="22"/>
            <w:szCs w:val="22"/>
            <w:b w:val="0"/>
            <w:bCs w:val="0"/>
            <w:i w:val="0"/>
            <w:iCs w:val="0"/>
          </w:rPr>
          <w:t>• تأهيل الغريب / ادبیات عربی</w:t>
        </w:r>
        <w:r>
          <w:tab/>
        </w:r>
        <w:r>
          <w:fldChar w:fldCharType="begin"/>
        </w:r>
        <w:r>
          <w:instrText xml:space="preserve">PAGEREF 2108 \h</w:instrText>
        </w:r>
        <w:r>
          <w:fldChar w:fldCharType="end"/>
        </w:r>
      </w:hyperlink>
    </w:p>
    <w:p>
      <w:pPr>
        <w:tabs>
          <w:tab w:val="right" w:leader="dot" w:pos="9062"/>
        </w:tabs>
        <w:ind w:left="440"/>
      </w:pPr>
      <w:hyperlink w:anchor="_Toc2109" w:history="1">
        <w:r>
          <w:rPr>
            <w:rFonts w:ascii="IRNazanin" w:hAnsi="IRNazanin" w:eastAsia="IRNazanin" w:cs="IRNazanin"/>
            <w:color w:val="111111"/>
            <w:sz w:val="22"/>
            <w:szCs w:val="22"/>
            <w:b w:val="0"/>
            <w:bCs w:val="0"/>
            <w:i w:val="0"/>
            <w:iCs w:val="0"/>
          </w:rPr>
          <w:t>•تأییدات / شعر / فارسی</w:t>
        </w:r>
        <w:r>
          <w:tab/>
        </w:r>
        <w:r>
          <w:fldChar w:fldCharType="begin"/>
        </w:r>
        <w:r>
          <w:instrText xml:space="preserve">PAGEREF 2109 \h</w:instrText>
        </w:r>
        <w:r>
          <w:fldChar w:fldCharType="end"/>
        </w:r>
      </w:hyperlink>
    </w:p>
    <w:p>
      <w:pPr>
        <w:tabs>
          <w:tab w:val="right" w:leader="dot" w:pos="9062"/>
        </w:tabs>
        <w:ind w:left="440"/>
      </w:pPr>
      <w:hyperlink w:anchor="_Toc2110" w:history="1">
        <w:r>
          <w:rPr>
            <w:rFonts w:ascii="IRNazanin" w:hAnsi="IRNazanin" w:eastAsia="IRNazanin" w:cs="IRNazanin"/>
            <w:color w:val="111111"/>
            <w:sz w:val="22"/>
            <w:szCs w:val="22"/>
            <w:b w:val="0"/>
            <w:bCs w:val="0"/>
            <w:i w:val="0"/>
            <w:iCs w:val="0"/>
          </w:rPr>
          <w:t>•تایید الحق / كلام و اعتقادات / عربی</w:t>
        </w:r>
        <w:r>
          <w:tab/>
        </w:r>
        <w:r>
          <w:fldChar w:fldCharType="begin"/>
        </w:r>
        <w:r>
          <w:instrText xml:space="preserve">PAGEREF 2110 \h</w:instrText>
        </w:r>
        <w:r>
          <w:fldChar w:fldCharType="end"/>
        </w:r>
      </w:hyperlink>
    </w:p>
    <w:p>
      <w:pPr>
        <w:tabs>
          <w:tab w:val="right" w:leader="dot" w:pos="9062"/>
        </w:tabs>
        <w:ind w:left="440"/>
      </w:pPr>
      <w:hyperlink w:anchor="_Toc2111" w:history="1">
        <w:r>
          <w:rPr>
            <w:rFonts w:ascii="IRNazanin" w:hAnsi="IRNazanin" w:eastAsia="IRNazanin" w:cs="IRNazanin"/>
            <w:color w:val="111111"/>
            <w:sz w:val="22"/>
            <w:szCs w:val="22"/>
            <w:b w:val="0"/>
            <w:bCs w:val="0"/>
            <w:i w:val="0"/>
            <w:iCs w:val="0"/>
          </w:rPr>
          <w:t>•تأیید سید محمد حسن سلطان الواعظین کاشانی / گوناگون / فارسی</w:t>
        </w:r>
        <w:r>
          <w:tab/>
        </w:r>
        <w:r>
          <w:fldChar w:fldCharType="begin"/>
        </w:r>
        <w:r>
          <w:instrText xml:space="preserve">PAGEREF 2111 \h</w:instrText>
        </w:r>
        <w:r>
          <w:fldChar w:fldCharType="end"/>
        </w:r>
      </w:hyperlink>
    </w:p>
    <w:p>
      <w:pPr>
        <w:tabs>
          <w:tab w:val="right" w:leader="dot" w:pos="9062"/>
        </w:tabs>
        <w:ind w:left="440"/>
      </w:pPr>
      <w:hyperlink w:anchor="_Toc2112" w:history="1">
        <w:r>
          <w:rPr>
            <w:rFonts w:ascii="IRNazanin" w:hAnsi="IRNazanin" w:eastAsia="IRNazanin" w:cs="IRNazanin"/>
            <w:color w:val="111111"/>
            <w:sz w:val="22"/>
            <w:szCs w:val="22"/>
            <w:b w:val="0"/>
            <w:bCs w:val="0"/>
            <w:i w:val="0"/>
            <w:iCs w:val="0"/>
          </w:rPr>
          <w:t>•تایید المنه فی السنة / عرفان و تصوف / عربی</w:t>
        </w:r>
        <w:r>
          <w:tab/>
        </w:r>
        <w:r>
          <w:fldChar w:fldCharType="begin"/>
        </w:r>
        <w:r>
          <w:instrText xml:space="preserve">PAGEREF 2112 \h</w:instrText>
        </w:r>
        <w:r>
          <w:fldChar w:fldCharType="end"/>
        </w:r>
      </w:hyperlink>
    </w:p>
    <w:p>
      <w:pPr>
        <w:tabs>
          <w:tab w:val="right" w:leader="dot" w:pos="9062"/>
        </w:tabs>
        <w:ind w:left="440"/>
      </w:pPr>
      <w:hyperlink w:anchor="_Toc2113" w:history="1">
        <w:r>
          <w:rPr>
            <w:rFonts w:ascii="IRNazanin" w:hAnsi="IRNazanin" w:eastAsia="IRNazanin" w:cs="IRNazanin"/>
            <w:color w:val="111111"/>
            <w:sz w:val="22"/>
            <w:szCs w:val="22"/>
            <w:b w:val="0"/>
            <w:bCs w:val="0"/>
            <w:i w:val="0"/>
            <w:iCs w:val="0"/>
          </w:rPr>
          <w:t>•تب / طب / فارسی</w:t>
        </w:r>
        <w:r>
          <w:tab/>
        </w:r>
        <w:r>
          <w:fldChar w:fldCharType="begin"/>
        </w:r>
        <w:r>
          <w:instrText xml:space="preserve">PAGEREF 2113 \h</w:instrText>
        </w:r>
        <w:r>
          <w:fldChar w:fldCharType="end"/>
        </w:r>
      </w:hyperlink>
    </w:p>
    <w:p>
      <w:pPr>
        <w:tabs>
          <w:tab w:val="right" w:leader="dot" w:pos="9062"/>
        </w:tabs>
        <w:ind w:left="440"/>
      </w:pPr>
      <w:hyperlink w:anchor="_Toc2114" w:history="1">
        <w:r>
          <w:rPr>
            <w:rFonts w:ascii="IRNazanin" w:hAnsi="IRNazanin" w:eastAsia="IRNazanin" w:cs="IRNazanin"/>
            <w:color w:val="111111"/>
            <w:sz w:val="22"/>
            <w:szCs w:val="22"/>
            <w:b w:val="0"/>
            <w:bCs w:val="0"/>
            <w:i w:val="0"/>
            <w:iCs w:val="0"/>
          </w:rPr>
          <w:t>•تب طب / فارسی</w:t>
        </w:r>
        <w:r>
          <w:tab/>
        </w:r>
        <w:r>
          <w:fldChar w:fldCharType="begin"/>
        </w:r>
        <w:r>
          <w:instrText xml:space="preserve">PAGEREF 2114 \h</w:instrText>
        </w:r>
        <w:r>
          <w:fldChar w:fldCharType="end"/>
        </w:r>
      </w:hyperlink>
    </w:p>
    <w:p>
      <w:pPr>
        <w:tabs>
          <w:tab w:val="right" w:leader="dot" w:pos="9062"/>
        </w:tabs>
        <w:ind w:left="440"/>
      </w:pPr>
      <w:hyperlink w:anchor="_Toc2115" w:history="1">
        <w:r>
          <w:rPr>
            <w:rFonts w:ascii="IRNazanin" w:hAnsi="IRNazanin" w:eastAsia="IRNazanin" w:cs="IRNazanin"/>
            <w:color w:val="111111"/>
            <w:sz w:val="22"/>
            <w:szCs w:val="22"/>
            <w:b w:val="0"/>
            <w:bCs w:val="0"/>
            <w:i w:val="0"/>
            <w:iCs w:val="0"/>
          </w:rPr>
          <w:t>•التبادر (رسالة في) / اصول فقه / عربی</w:t>
        </w:r>
        <w:r>
          <w:tab/>
        </w:r>
        <w:r>
          <w:fldChar w:fldCharType="begin"/>
        </w:r>
        <w:r>
          <w:instrText xml:space="preserve">PAGEREF 2115 \h</w:instrText>
        </w:r>
        <w:r>
          <w:fldChar w:fldCharType="end"/>
        </w:r>
      </w:hyperlink>
    </w:p>
    <w:p>
      <w:pPr>
        <w:tabs>
          <w:tab w:val="right" w:leader="dot" w:pos="9062"/>
        </w:tabs>
        <w:ind w:left="440"/>
      </w:pPr>
      <w:hyperlink w:anchor="_Toc2116" w:history="1">
        <w:r>
          <w:rPr>
            <w:rFonts w:ascii="IRNazanin" w:hAnsi="IRNazanin" w:eastAsia="IRNazanin" w:cs="IRNazanin"/>
            <w:color w:val="111111"/>
            <w:sz w:val="22"/>
            <w:szCs w:val="22"/>
            <w:b w:val="0"/>
            <w:bCs w:val="0"/>
            <w:i w:val="0"/>
            <w:iCs w:val="0"/>
          </w:rPr>
          <w:t>•التباعد بين البئر و البالوعة / فقه / عربی</w:t>
        </w:r>
        <w:r>
          <w:tab/>
        </w:r>
        <w:r>
          <w:fldChar w:fldCharType="begin"/>
        </w:r>
        <w:r>
          <w:instrText xml:space="preserve">PAGEREF 2116 \h</w:instrText>
        </w:r>
        <w:r>
          <w:fldChar w:fldCharType="end"/>
        </w:r>
      </w:hyperlink>
    </w:p>
    <w:p>
      <w:pPr>
        <w:tabs>
          <w:tab w:val="right" w:leader="dot" w:pos="9062"/>
        </w:tabs>
        <w:ind w:left="440"/>
      </w:pPr>
      <w:hyperlink w:anchor="_Toc2117" w:history="1">
        <w:r>
          <w:rPr>
            <w:rFonts w:ascii="IRNazanin" w:hAnsi="IRNazanin" w:eastAsia="IRNazanin" w:cs="IRNazanin"/>
            <w:color w:val="111111"/>
            <w:sz w:val="22"/>
            <w:szCs w:val="22"/>
            <w:b w:val="0"/>
            <w:bCs w:val="0"/>
            <w:i w:val="0"/>
            <w:iCs w:val="0"/>
          </w:rPr>
          <w:t>•التباعد بين البئر و البالوعة / فقه / عربی</w:t>
        </w:r>
        <w:r>
          <w:tab/>
        </w:r>
        <w:r>
          <w:fldChar w:fldCharType="begin"/>
        </w:r>
        <w:r>
          <w:instrText xml:space="preserve">PAGEREF 2117 \h</w:instrText>
        </w:r>
        <w:r>
          <w:fldChar w:fldCharType="end"/>
        </w:r>
      </w:hyperlink>
    </w:p>
    <w:p>
      <w:pPr>
        <w:tabs>
          <w:tab w:val="right" w:leader="dot" w:pos="9062"/>
        </w:tabs>
        <w:ind w:left="440"/>
      </w:pPr>
      <w:hyperlink w:anchor="_Toc2118" w:history="1">
        <w:r>
          <w:rPr>
            <w:rFonts w:ascii="IRNazanin" w:hAnsi="IRNazanin" w:eastAsia="IRNazanin" w:cs="IRNazanin"/>
            <w:color w:val="111111"/>
            <w:sz w:val="22"/>
            <w:szCs w:val="22"/>
            <w:b w:val="0"/>
            <w:bCs w:val="0"/>
            <w:i w:val="0"/>
            <w:iCs w:val="0"/>
          </w:rPr>
          <w:t>•تبدل رأى المجتهد / اصول فقه / عربی</w:t>
        </w:r>
        <w:r>
          <w:tab/>
        </w:r>
        <w:r>
          <w:fldChar w:fldCharType="begin"/>
        </w:r>
        <w:r>
          <w:instrText xml:space="preserve">PAGEREF 2118 \h</w:instrText>
        </w:r>
        <w:r>
          <w:fldChar w:fldCharType="end"/>
        </w:r>
      </w:hyperlink>
    </w:p>
    <w:p>
      <w:pPr>
        <w:tabs>
          <w:tab w:val="right" w:leader="dot" w:pos="9062"/>
        </w:tabs>
        <w:ind w:left="440"/>
      </w:pPr>
      <w:hyperlink w:anchor="_Toc2119" w:history="1">
        <w:r>
          <w:rPr>
            <w:rFonts w:ascii="IRNazanin" w:hAnsi="IRNazanin" w:eastAsia="IRNazanin" w:cs="IRNazanin"/>
            <w:color w:val="111111"/>
            <w:sz w:val="22"/>
            <w:szCs w:val="22"/>
            <w:b w:val="0"/>
            <w:bCs w:val="0"/>
            <w:i w:val="0"/>
            <w:iCs w:val="0"/>
          </w:rPr>
          <w:t>•تبدیل اکسیر و معرفت کیمیا / كيميا / فارسی</w:t>
        </w:r>
        <w:r>
          <w:tab/>
        </w:r>
        <w:r>
          <w:fldChar w:fldCharType="begin"/>
        </w:r>
        <w:r>
          <w:instrText xml:space="preserve">PAGEREF 2119 \h</w:instrText>
        </w:r>
        <w:r>
          <w:fldChar w:fldCharType="end"/>
        </w:r>
      </w:hyperlink>
    </w:p>
    <w:p>
      <w:pPr>
        <w:tabs>
          <w:tab w:val="right" w:leader="dot" w:pos="9062"/>
        </w:tabs>
        <w:ind w:left="440"/>
      </w:pPr>
      <w:hyperlink w:anchor="_Toc2120" w:history="1">
        <w:r>
          <w:rPr>
            <w:rFonts w:ascii="IRNazanin" w:hAnsi="IRNazanin" w:eastAsia="IRNazanin" w:cs="IRNazanin"/>
            <w:color w:val="111111"/>
            <w:sz w:val="22"/>
            <w:szCs w:val="22"/>
            <w:b w:val="0"/>
            <w:bCs w:val="0"/>
            <w:i w:val="0"/>
            <w:iCs w:val="0"/>
          </w:rPr>
          <w:t>•تبرائیه (رساله) / كلام و اعتقادات / فارسی</w:t>
        </w:r>
        <w:r>
          <w:tab/>
        </w:r>
        <w:r>
          <w:fldChar w:fldCharType="begin"/>
        </w:r>
        <w:r>
          <w:instrText xml:space="preserve">PAGEREF 2120 \h</w:instrText>
        </w:r>
        <w:r>
          <w:fldChar w:fldCharType="end"/>
        </w:r>
      </w:hyperlink>
    </w:p>
    <w:p>
      <w:pPr>
        <w:tabs>
          <w:tab w:val="right" w:leader="dot" w:pos="9062"/>
        </w:tabs>
        <w:ind w:left="440"/>
      </w:pPr>
      <w:hyperlink w:anchor="_Toc2121" w:history="1">
        <w:r>
          <w:rPr>
            <w:rFonts w:ascii="IRNazanin" w:hAnsi="IRNazanin" w:eastAsia="IRNazanin" w:cs="IRNazanin"/>
            <w:color w:val="111111"/>
            <w:sz w:val="22"/>
            <w:szCs w:val="22"/>
            <w:b w:val="0"/>
            <w:bCs w:val="0"/>
            <w:i w:val="0"/>
            <w:iCs w:val="0"/>
          </w:rPr>
          <w:t>• تبرانامه = الرسالة اللعنية / دعا / عربی</w:t>
        </w:r>
        <w:r>
          <w:tab/>
        </w:r>
        <w:r>
          <w:fldChar w:fldCharType="begin"/>
        </w:r>
        <w:r>
          <w:instrText xml:space="preserve">PAGEREF 2121 \h</w:instrText>
        </w:r>
        <w:r>
          <w:fldChar w:fldCharType="end"/>
        </w:r>
      </w:hyperlink>
    </w:p>
    <w:p>
      <w:pPr>
        <w:tabs>
          <w:tab w:val="right" w:leader="dot" w:pos="9062"/>
        </w:tabs>
        <w:ind w:left="440"/>
      </w:pPr>
      <w:hyperlink w:anchor="_Toc2122" w:history="1">
        <w:r>
          <w:rPr>
            <w:rFonts w:ascii="IRNazanin" w:hAnsi="IRNazanin" w:eastAsia="IRNazanin" w:cs="IRNazanin"/>
            <w:color w:val="111111"/>
            <w:sz w:val="22"/>
            <w:szCs w:val="22"/>
            <w:b w:val="0"/>
            <w:bCs w:val="0"/>
            <w:i w:val="0"/>
            <w:iCs w:val="0"/>
          </w:rPr>
          <w:t>• التبر المذاب في بيان ترتیب الاصحاب / تاریخ معصومین / عربی</w:t>
        </w:r>
        <w:r>
          <w:tab/>
        </w:r>
        <w:r>
          <w:fldChar w:fldCharType="begin"/>
        </w:r>
        <w:r>
          <w:instrText xml:space="preserve">PAGEREF 2122 \h</w:instrText>
        </w:r>
        <w:r>
          <w:fldChar w:fldCharType="end"/>
        </w:r>
      </w:hyperlink>
    </w:p>
    <w:p>
      <w:pPr>
        <w:tabs>
          <w:tab w:val="right" w:leader="dot" w:pos="9062"/>
        </w:tabs>
        <w:ind w:left="440"/>
      </w:pPr>
      <w:hyperlink w:anchor="_Toc2123" w:history="1">
        <w:r>
          <w:rPr>
            <w:rFonts w:ascii="IRNazanin" w:hAnsi="IRNazanin" w:eastAsia="IRNazanin" w:cs="IRNazanin"/>
            <w:color w:val="111111"/>
            <w:sz w:val="22"/>
            <w:szCs w:val="22"/>
            <w:b w:val="0"/>
            <w:bCs w:val="0"/>
            <w:i w:val="0"/>
            <w:iCs w:val="0"/>
          </w:rPr>
          <w:t>•تبصره / منطق / فارسی</w:t>
        </w:r>
        <w:r>
          <w:tab/>
        </w:r>
        <w:r>
          <w:fldChar w:fldCharType="begin"/>
        </w:r>
        <w:r>
          <w:instrText xml:space="preserve">PAGEREF 2123 \h</w:instrText>
        </w:r>
        <w:r>
          <w:fldChar w:fldCharType="end"/>
        </w:r>
      </w:hyperlink>
    </w:p>
    <w:p>
      <w:pPr>
        <w:tabs>
          <w:tab w:val="right" w:leader="dot" w:pos="9062"/>
        </w:tabs>
        <w:ind w:left="440"/>
      </w:pPr>
      <w:hyperlink w:anchor="_Toc2124" w:history="1">
        <w:r>
          <w:rPr>
            <w:rFonts w:ascii="IRNazanin" w:hAnsi="IRNazanin" w:eastAsia="IRNazanin" w:cs="IRNazanin"/>
            <w:color w:val="111111"/>
            <w:sz w:val="22"/>
            <w:szCs w:val="22"/>
            <w:b w:val="0"/>
            <w:bCs w:val="0"/>
            <w:i w:val="0"/>
            <w:iCs w:val="0"/>
          </w:rPr>
          <w:t>• التبصرة / رياضيات / عربی</w:t>
        </w:r>
        <w:r>
          <w:tab/>
        </w:r>
        <w:r>
          <w:fldChar w:fldCharType="begin"/>
        </w:r>
        <w:r>
          <w:instrText xml:space="preserve">PAGEREF 2124 \h</w:instrText>
        </w:r>
        <w:r>
          <w:fldChar w:fldCharType="end"/>
        </w:r>
      </w:hyperlink>
    </w:p>
    <w:p>
      <w:pPr>
        <w:tabs>
          <w:tab w:val="right" w:leader="dot" w:pos="9062"/>
        </w:tabs>
        <w:ind w:left="440"/>
      </w:pPr>
      <w:hyperlink w:anchor="_Toc2125" w:history="1">
        <w:r>
          <w:rPr>
            <w:rFonts w:ascii="IRNazanin" w:hAnsi="IRNazanin" w:eastAsia="IRNazanin" w:cs="IRNazanin"/>
            <w:color w:val="111111"/>
            <w:sz w:val="22"/>
            <w:szCs w:val="22"/>
            <w:b w:val="0"/>
            <w:bCs w:val="0"/>
            <w:i w:val="0"/>
            <w:iCs w:val="0"/>
          </w:rPr>
          <w:t>•التبصرة / اخلاق / عربی</w:t>
        </w:r>
        <w:r>
          <w:tab/>
        </w:r>
        <w:r>
          <w:fldChar w:fldCharType="begin"/>
        </w:r>
        <w:r>
          <w:instrText xml:space="preserve">PAGEREF 2125 \h</w:instrText>
        </w:r>
        <w:r>
          <w:fldChar w:fldCharType="end"/>
        </w:r>
      </w:hyperlink>
    </w:p>
    <w:p>
      <w:pPr>
        <w:tabs>
          <w:tab w:val="right" w:leader="dot" w:pos="9062"/>
        </w:tabs>
        <w:ind w:left="440"/>
      </w:pPr>
      <w:hyperlink w:anchor="_Toc2126" w:history="1">
        <w:r>
          <w:rPr>
            <w:rFonts w:ascii="IRNazanin" w:hAnsi="IRNazanin" w:eastAsia="IRNazanin" w:cs="IRNazanin"/>
            <w:color w:val="111111"/>
            <w:sz w:val="22"/>
            <w:szCs w:val="22"/>
            <w:b w:val="0"/>
            <w:bCs w:val="0"/>
            <w:i w:val="0"/>
            <w:iCs w:val="0"/>
          </w:rPr>
          <w:t>•التبصرة / شعر / عربی</w:t>
        </w:r>
        <w:r>
          <w:tab/>
        </w:r>
        <w:r>
          <w:fldChar w:fldCharType="begin"/>
        </w:r>
        <w:r>
          <w:instrText xml:space="preserve">PAGEREF 2126 \h</w:instrText>
        </w:r>
        <w:r>
          <w:fldChar w:fldCharType="end"/>
        </w:r>
      </w:hyperlink>
    </w:p>
    <w:p>
      <w:pPr>
        <w:tabs>
          <w:tab w:val="right" w:leader="dot" w:pos="9062"/>
        </w:tabs>
        <w:ind w:left="440"/>
      </w:pPr>
      <w:hyperlink w:anchor="_Toc2127" w:history="1">
        <w:r>
          <w:rPr>
            <w:rFonts w:ascii="IRNazanin" w:hAnsi="IRNazanin" w:eastAsia="IRNazanin" w:cs="IRNazanin"/>
            <w:color w:val="111111"/>
            <w:sz w:val="22"/>
            <w:szCs w:val="22"/>
            <w:b w:val="0"/>
            <w:bCs w:val="0"/>
            <w:i w:val="0"/>
            <w:iCs w:val="0"/>
          </w:rPr>
          <w:t>•تبصرة الاخوان في بيان اكبرية القرآن / کلام و اعتقادات / عربی</w:t>
        </w:r>
        <w:r>
          <w:tab/>
        </w:r>
        <w:r>
          <w:fldChar w:fldCharType="begin"/>
        </w:r>
        <w:r>
          <w:instrText xml:space="preserve">PAGEREF 2127 \h</w:instrText>
        </w:r>
        <w:r>
          <w:fldChar w:fldCharType="end"/>
        </w:r>
      </w:hyperlink>
    </w:p>
    <w:p>
      <w:pPr>
        <w:tabs>
          <w:tab w:val="right" w:leader="dot" w:pos="9062"/>
        </w:tabs>
        <w:ind w:left="440"/>
      </w:pPr>
      <w:hyperlink w:anchor="_Toc2128" w:history="1">
        <w:r>
          <w:rPr>
            <w:rFonts w:ascii="IRNazanin" w:hAnsi="IRNazanin" w:eastAsia="IRNazanin" w:cs="IRNazanin"/>
            <w:color w:val="111111"/>
            <w:sz w:val="22"/>
            <w:szCs w:val="22"/>
            <w:b w:val="0"/>
            <w:bCs w:val="0"/>
            <w:i w:val="0"/>
            <w:iCs w:val="0"/>
          </w:rPr>
          <w:t>•تبصرة الادباء / ادبیات عربی و فارسی</w:t>
        </w:r>
        <w:r>
          <w:tab/>
        </w:r>
        <w:r>
          <w:fldChar w:fldCharType="begin"/>
        </w:r>
        <w:r>
          <w:instrText xml:space="preserve">PAGEREF 2128 \h</w:instrText>
        </w:r>
        <w:r>
          <w:fldChar w:fldCharType="end"/>
        </w:r>
      </w:hyperlink>
    </w:p>
    <w:p>
      <w:pPr>
        <w:tabs>
          <w:tab w:val="right" w:leader="dot" w:pos="9062"/>
        </w:tabs>
        <w:ind w:left="440"/>
      </w:pPr>
      <w:hyperlink w:anchor="_Toc2129" w:history="1">
        <w:r>
          <w:rPr>
            <w:rFonts w:ascii="IRNazanin" w:hAnsi="IRNazanin" w:eastAsia="IRNazanin" w:cs="IRNazanin"/>
            <w:color w:val="111111"/>
            <w:sz w:val="22"/>
            <w:szCs w:val="22"/>
            <w:b w:val="0"/>
            <w:bCs w:val="0"/>
            <w:i w:val="0"/>
            <w:iCs w:val="0"/>
          </w:rPr>
          <w:t>•تبصرة الادلة في علم الكلام / كلام و اعتقادات / عربی</w:t>
        </w:r>
        <w:r>
          <w:tab/>
        </w:r>
        <w:r>
          <w:fldChar w:fldCharType="begin"/>
        </w:r>
        <w:r>
          <w:instrText xml:space="preserve">PAGEREF 2129 \h</w:instrText>
        </w:r>
        <w:r>
          <w:fldChar w:fldCharType="end"/>
        </w:r>
      </w:hyperlink>
    </w:p>
    <w:p>
      <w:pPr>
        <w:tabs>
          <w:tab w:val="right" w:leader="dot" w:pos="9062"/>
        </w:tabs>
        <w:ind w:left="440"/>
      </w:pPr>
      <w:hyperlink w:anchor="_Toc2130" w:history="1">
        <w:r>
          <w:rPr>
            <w:rFonts w:ascii="IRNazanin" w:hAnsi="IRNazanin" w:eastAsia="IRNazanin" w:cs="IRNazanin"/>
            <w:color w:val="111111"/>
            <w:sz w:val="22"/>
            <w:szCs w:val="22"/>
            <w:b w:val="0"/>
            <w:bCs w:val="0"/>
            <w:i w:val="0"/>
            <w:iCs w:val="0"/>
          </w:rPr>
          <w:t>•تبصره الأصول / کلام و اعتقادات / فارسی</w:t>
        </w:r>
        <w:r>
          <w:tab/>
        </w:r>
        <w:r>
          <w:fldChar w:fldCharType="begin"/>
        </w:r>
        <w:r>
          <w:instrText xml:space="preserve">PAGEREF 2130 \h</w:instrText>
        </w:r>
        <w:r>
          <w:fldChar w:fldCharType="end"/>
        </w:r>
      </w:hyperlink>
    </w:p>
    <w:p>
      <w:pPr>
        <w:tabs>
          <w:tab w:val="right" w:leader="dot" w:pos="9062"/>
        </w:tabs>
        <w:ind w:left="440"/>
      </w:pPr>
      <w:hyperlink w:anchor="_Toc2131" w:history="1">
        <w:r>
          <w:rPr>
            <w:rFonts w:ascii="IRNazanin" w:hAnsi="IRNazanin" w:eastAsia="IRNazanin" w:cs="IRNazanin"/>
            <w:color w:val="111111"/>
            <w:sz w:val="22"/>
            <w:szCs w:val="22"/>
            <w:b w:val="0"/>
            <w:bCs w:val="0"/>
            <w:i w:val="0"/>
            <w:iCs w:val="0"/>
          </w:rPr>
          <w:t>•تبصرة الاعياد سلیمانی / دعا / فارسی</w:t>
        </w:r>
        <w:r>
          <w:tab/>
        </w:r>
        <w:r>
          <w:fldChar w:fldCharType="begin"/>
        </w:r>
        <w:r>
          <w:instrText xml:space="preserve">PAGEREF 2131 \h</w:instrText>
        </w:r>
        <w:r>
          <w:fldChar w:fldCharType="end"/>
        </w:r>
      </w:hyperlink>
    </w:p>
    <w:p>
      <w:pPr>
        <w:tabs>
          <w:tab w:val="right" w:leader="dot" w:pos="9062"/>
        </w:tabs>
        <w:ind w:left="440"/>
      </w:pPr>
      <w:hyperlink w:anchor="_Toc2132" w:history="1">
        <w:r>
          <w:rPr>
            <w:rFonts w:ascii="IRNazanin" w:hAnsi="IRNazanin" w:eastAsia="IRNazanin" w:cs="IRNazanin"/>
            <w:color w:val="111111"/>
            <w:sz w:val="22"/>
            <w:szCs w:val="22"/>
            <w:b w:val="0"/>
            <w:bCs w:val="0"/>
            <w:i w:val="0"/>
            <w:iCs w:val="0"/>
          </w:rPr>
          <w:t>•تبصرة أولي الألباب في علم الحساب / رياضيات / فارسی</w:t>
        </w:r>
        <w:r>
          <w:tab/>
        </w:r>
        <w:r>
          <w:fldChar w:fldCharType="begin"/>
        </w:r>
        <w:r>
          <w:instrText xml:space="preserve">PAGEREF 2132 \h</w:instrText>
        </w:r>
        <w:r>
          <w:fldChar w:fldCharType="end"/>
        </w:r>
      </w:hyperlink>
    </w:p>
    <w:p>
      <w:pPr>
        <w:tabs>
          <w:tab w:val="right" w:leader="dot" w:pos="9062"/>
        </w:tabs>
        <w:ind w:left="440"/>
      </w:pPr>
      <w:hyperlink w:anchor="_Toc2133" w:history="1">
        <w:r>
          <w:rPr>
            <w:rFonts w:ascii="IRNazanin" w:hAnsi="IRNazanin" w:eastAsia="IRNazanin" w:cs="IRNazanin"/>
            <w:color w:val="111111"/>
            <w:sz w:val="22"/>
            <w:szCs w:val="22"/>
            <w:b w:val="0"/>
            <w:bCs w:val="0"/>
            <w:i w:val="0"/>
            <w:iCs w:val="0"/>
          </w:rPr>
          <w:t>•تبصرة البشر في شرح الباب الحادي عشر ا کلام و اعتقادات / فارسی</w:t>
        </w:r>
        <w:r>
          <w:tab/>
        </w:r>
        <w:r>
          <w:fldChar w:fldCharType="begin"/>
        </w:r>
        <w:r>
          <w:instrText xml:space="preserve">PAGEREF 2133 \h</w:instrText>
        </w:r>
        <w:r>
          <w:fldChar w:fldCharType="end"/>
        </w:r>
      </w:hyperlink>
    </w:p>
    <w:p>
      <w:pPr>
        <w:tabs>
          <w:tab w:val="right" w:leader="dot" w:pos="9062"/>
        </w:tabs>
        <w:ind w:left="440"/>
      </w:pPr>
      <w:hyperlink w:anchor="_Toc2134" w:history="1">
        <w:r>
          <w:rPr>
            <w:rFonts w:ascii="IRNazanin" w:hAnsi="IRNazanin" w:eastAsia="IRNazanin" w:cs="IRNazanin"/>
            <w:color w:val="111111"/>
            <w:sz w:val="22"/>
            <w:szCs w:val="22"/>
            <w:b w:val="0"/>
            <w:bCs w:val="0"/>
            <w:i w:val="0"/>
            <w:iCs w:val="0"/>
          </w:rPr>
          <w:t>•التبصرة الجلية و التذکرة الحسامية في المسائل المهمة الرضاعية / فقه / عربی</w:t>
        </w:r>
        <w:r>
          <w:tab/>
        </w:r>
        <w:r>
          <w:fldChar w:fldCharType="begin"/>
        </w:r>
        <w:r>
          <w:instrText xml:space="preserve">PAGEREF 2134 \h</w:instrText>
        </w:r>
        <w:r>
          <w:fldChar w:fldCharType="end"/>
        </w:r>
      </w:hyperlink>
    </w:p>
    <w:p>
      <w:pPr>
        <w:tabs>
          <w:tab w:val="right" w:leader="dot" w:pos="9062"/>
        </w:tabs>
        <w:ind w:left="440"/>
      </w:pPr>
      <w:hyperlink w:anchor="_Toc2135" w:history="1">
        <w:r>
          <w:rPr>
            <w:rFonts w:ascii="IRNazanin" w:hAnsi="IRNazanin" w:eastAsia="IRNazanin" w:cs="IRNazanin"/>
            <w:color w:val="111111"/>
            <w:sz w:val="22"/>
            <w:szCs w:val="22"/>
            <w:b w:val="0"/>
            <w:bCs w:val="0"/>
            <w:i w:val="0"/>
            <w:iCs w:val="0"/>
          </w:rPr>
          <w:t>•تبصرة الخواص / فقه / عربی</w:t>
        </w:r>
        <w:r>
          <w:tab/>
        </w:r>
        <w:r>
          <w:fldChar w:fldCharType="begin"/>
        </w:r>
        <w:r>
          <w:instrText xml:space="preserve">PAGEREF 2135 \h</w:instrText>
        </w:r>
        <w:r>
          <w:fldChar w:fldCharType="end"/>
        </w:r>
      </w:hyperlink>
    </w:p>
    <w:p>
      <w:pPr>
        <w:tabs>
          <w:tab w:val="right" w:leader="dot" w:pos="9062"/>
        </w:tabs>
        <w:ind w:left="440"/>
      </w:pPr>
      <w:hyperlink w:anchor="_Toc2136" w:history="1">
        <w:r>
          <w:rPr>
            <w:rFonts w:ascii="IRNazanin" w:hAnsi="IRNazanin" w:eastAsia="IRNazanin" w:cs="IRNazanin"/>
            <w:color w:val="111111"/>
            <w:sz w:val="22"/>
            <w:szCs w:val="22"/>
            <w:b w:val="0"/>
            <w:bCs w:val="0"/>
            <w:i w:val="0"/>
            <w:iCs w:val="0"/>
          </w:rPr>
          <w:t>•تبصرة الشعرا / ادبیات فارسی</w:t>
        </w:r>
        <w:r>
          <w:tab/>
        </w:r>
        <w:r>
          <w:fldChar w:fldCharType="begin"/>
        </w:r>
        <w:r>
          <w:instrText xml:space="preserve">PAGEREF 2136 \h</w:instrText>
        </w:r>
        <w:r>
          <w:fldChar w:fldCharType="end"/>
        </w:r>
      </w:hyperlink>
    </w:p>
    <w:p>
      <w:pPr>
        <w:tabs>
          <w:tab w:val="right" w:leader="dot" w:pos="9062"/>
        </w:tabs>
        <w:ind w:left="440"/>
      </w:pPr>
      <w:hyperlink w:anchor="_Toc2137" w:history="1">
        <w:r>
          <w:rPr>
            <w:rFonts w:ascii="IRNazanin" w:hAnsi="IRNazanin" w:eastAsia="IRNazanin" w:cs="IRNazanin"/>
            <w:color w:val="111111"/>
            <w:sz w:val="22"/>
            <w:szCs w:val="22"/>
            <w:b w:val="0"/>
            <w:bCs w:val="0"/>
            <w:i w:val="0"/>
            <w:iCs w:val="0"/>
          </w:rPr>
          <w:t>•تبصرة الشيعة / كلام و اعتقادات / فارسی</w:t>
        </w:r>
        <w:r>
          <w:tab/>
        </w:r>
        <w:r>
          <w:fldChar w:fldCharType="begin"/>
        </w:r>
        <w:r>
          <w:instrText xml:space="preserve">PAGEREF 2137 \h</w:instrText>
        </w:r>
        <w:r>
          <w:fldChar w:fldCharType="end"/>
        </w:r>
      </w:hyperlink>
    </w:p>
    <w:p>
      <w:pPr>
        <w:tabs>
          <w:tab w:val="right" w:leader="dot" w:pos="9062"/>
        </w:tabs>
        <w:ind w:left="440"/>
      </w:pPr>
      <w:hyperlink w:anchor="_Toc2138" w:history="1">
        <w:r>
          <w:rPr>
            <w:rFonts w:ascii="IRNazanin" w:hAnsi="IRNazanin" w:eastAsia="IRNazanin" w:cs="IRNazanin"/>
            <w:color w:val="111111"/>
            <w:sz w:val="22"/>
            <w:szCs w:val="22"/>
            <w:b w:val="0"/>
            <w:bCs w:val="0"/>
            <w:i w:val="0"/>
            <w:iCs w:val="0"/>
          </w:rPr>
          <w:t>•تبصرة الصائمين = تنبيه المخلصين / آداب و سنن /فارسی</w:t>
        </w:r>
        <w:r>
          <w:tab/>
        </w:r>
        <w:r>
          <w:fldChar w:fldCharType="begin"/>
        </w:r>
        <w:r>
          <w:instrText xml:space="preserve">PAGEREF 2138 \h</w:instrText>
        </w:r>
        <w:r>
          <w:fldChar w:fldCharType="end"/>
        </w:r>
      </w:hyperlink>
    </w:p>
    <w:p>
      <w:pPr>
        <w:tabs>
          <w:tab w:val="right" w:leader="dot" w:pos="9062"/>
        </w:tabs>
        <w:ind w:left="440"/>
      </w:pPr>
      <w:hyperlink w:anchor="_Toc2139" w:history="1">
        <w:r>
          <w:rPr>
            <w:rFonts w:ascii="IRNazanin" w:hAnsi="IRNazanin" w:eastAsia="IRNazanin" w:cs="IRNazanin"/>
            <w:color w:val="111111"/>
            <w:sz w:val="22"/>
            <w:szCs w:val="22"/>
            <w:b w:val="0"/>
            <w:bCs w:val="0"/>
            <w:i w:val="0"/>
            <w:iCs w:val="0"/>
          </w:rPr>
          <w:t>•تبصرة الصالحين / فقه / عربی</w:t>
        </w:r>
        <w:r>
          <w:tab/>
        </w:r>
        <w:r>
          <w:fldChar w:fldCharType="begin"/>
        </w:r>
        <w:r>
          <w:instrText xml:space="preserve">PAGEREF 2139 \h</w:instrText>
        </w:r>
        <w:r>
          <w:fldChar w:fldCharType="end"/>
        </w:r>
      </w:hyperlink>
    </w:p>
    <w:p>
      <w:pPr>
        <w:tabs>
          <w:tab w:val="right" w:leader="dot" w:pos="9062"/>
        </w:tabs>
        <w:ind w:left="440"/>
      </w:pPr>
      <w:hyperlink w:anchor="_Toc2140" w:history="1">
        <w:r>
          <w:rPr>
            <w:rFonts w:ascii="IRNazanin" w:hAnsi="IRNazanin" w:eastAsia="IRNazanin" w:cs="IRNazanin"/>
            <w:color w:val="111111"/>
            <w:sz w:val="22"/>
            <w:szCs w:val="22"/>
            <w:b w:val="0"/>
            <w:bCs w:val="0"/>
            <w:i w:val="0"/>
            <w:iCs w:val="0"/>
          </w:rPr>
          <w:t>•تبصرة الصبيان / نحو عربی</w:t>
        </w:r>
        <w:r>
          <w:tab/>
        </w:r>
        <w:r>
          <w:fldChar w:fldCharType="begin"/>
        </w:r>
        <w:r>
          <w:instrText xml:space="preserve">PAGEREF 2140 \h</w:instrText>
        </w:r>
        <w:r>
          <w:fldChar w:fldCharType="end"/>
        </w:r>
      </w:hyperlink>
    </w:p>
    <w:p>
      <w:pPr>
        <w:tabs>
          <w:tab w:val="right" w:leader="dot" w:pos="9062"/>
        </w:tabs>
        <w:ind w:left="440"/>
      </w:pPr>
      <w:hyperlink w:anchor="_Toc2141" w:history="1">
        <w:r>
          <w:rPr>
            <w:rFonts w:ascii="IRNazanin" w:hAnsi="IRNazanin" w:eastAsia="IRNazanin" w:cs="IRNazanin"/>
            <w:color w:val="111111"/>
            <w:sz w:val="22"/>
            <w:szCs w:val="22"/>
            <w:b w:val="0"/>
            <w:bCs w:val="0"/>
            <w:i w:val="0"/>
            <w:iCs w:val="0"/>
          </w:rPr>
          <w:t>•تبصرة العارفین و منهاج السالكين / كلام و اعتقادات / فارسی</w:t>
        </w:r>
        <w:r>
          <w:tab/>
        </w:r>
        <w:r>
          <w:fldChar w:fldCharType="begin"/>
        </w:r>
        <w:r>
          <w:instrText xml:space="preserve">PAGEREF 2141 \h</w:instrText>
        </w:r>
        <w:r>
          <w:fldChar w:fldCharType="end"/>
        </w:r>
      </w:hyperlink>
    </w:p>
    <w:p>
      <w:pPr>
        <w:tabs>
          <w:tab w:val="right" w:leader="dot" w:pos="9062"/>
        </w:tabs>
        <w:ind w:left="440"/>
      </w:pPr>
      <w:hyperlink w:anchor="_Toc2142" w:history="1">
        <w:r>
          <w:rPr>
            <w:rFonts w:ascii="IRNazanin" w:hAnsi="IRNazanin" w:eastAsia="IRNazanin" w:cs="IRNazanin"/>
            <w:color w:val="111111"/>
            <w:sz w:val="22"/>
            <w:szCs w:val="22"/>
            <w:b w:val="0"/>
            <w:bCs w:val="0"/>
            <w:i w:val="0"/>
            <w:iCs w:val="0"/>
          </w:rPr>
          <w:t>•تبصرة العارفین فی شرح زیارة مولینا امیرالمؤمنین(عليه السلام)/ شرح دعا / فارسی</w:t>
        </w:r>
        <w:r>
          <w:tab/>
        </w:r>
        <w:r>
          <w:fldChar w:fldCharType="begin"/>
        </w:r>
        <w:r>
          <w:instrText xml:space="preserve">PAGEREF 2142 \h</w:instrText>
        </w:r>
        <w:r>
          <w:fldChar w:fldCharType="end"/>
        </w:r>
      </w:hyperlink>
    </w:p>
    <w:p>
      <w:pPr>
        <w:tabs>
          <w:tab w:val="right" w:leader="dot" w:pos="9062"/>
        </w:tabs>
        <w:ind w:left="440"/>
      </w:pPr>
      <w:hyperlink w:anchor="_Toc2143" w:history="1">
        <w:r>
          <w:rPr>
            <w:rFonts w:ascii="IRNazanin" w:hAnsi="IRNazanin" w:eastAsia="IRNazanin" w:cs="IRNazanin"/>
            <w:color w:val="111111"/>
            <w:sz w:val="22"/>
            <w:szCs w:val="22"/>
            <w:b w:val="0"/>
            <w:bCs w:val="0"/>
            <w:i w:val="0"/>
            <w:iCs w:val="0"/>
          </w:rPr>
          <w:t>•تبصرة العجائب و مرآت الغرائب / گوناگون / فارسی</w:t>
        </w:r>
        <w:r>
          <w:tab/>
        </w:r>
        <w:r>
          <w:fldChar w:fldCharType="begin"/>
        </w:r>
        <w:r>
          <w:instrText xml:space="preserve">PAGEREF 2143 \h</w:instrText>
        </w:r>
        <w:r>
          <w:fldChar w:fldCharType="end"/>
        </w:r>
      </w:hyperlink>
    </w:p>
    <w:p>
      <w:pPr>
        <w:tabs>
          <w:tab w:val="right" w:leader="dot" w:pos="9062"/>
        </w:tabs>
        <w:ind w:left="440"/>
      </w:pPr>
      <w:hyperlink w:anchor="_Toc2144" w:history="1">
        <w:r>
          <w:rPr>
            <w:rFonts w:ascii="IRNazanin" w:hAnsi="IRNazanin" w:eastAsia="IRNazanin" w:cs="IRNazanin"/>
            <w:color w:val="111111"/>
            <w:sz w:val="22"/>
            <w:szCs w:val="22"/>
            <w:b w:val="0"/>
            <w:bCs w:val="0"/>
            <w:i w:val="0"/>
            <w:iCs w:val="0"/>
          </w:rPr>
          <w:t>•تبصرة العوام / گوناگون / فارسی</w:t>
        </w:r>
        <w:r>
          <w:tab/>
        </w:r>
        <w:r>
          <w:fldChar w:fldCharType="begin"/>
        </w:r>
        <w:r>
          <w:instrText xml:space="preserve">PAGEREF 2144 \h</w:instrText>
        </w:r>
        <w:r>
          <w:fldChar w:fldCharType="end"/>
        </w:r>
      </w:hyperlink>
    </w:p>
    <w:p>
      <w:pPr>
        <w:tabs>
          <w:tab w:val="right" w:leader="dot" w:pos="9062"/>
        </w:tabs>
        <w:ind w:left="440"/>
      </w:pPr>
      <w:hyperlink w:anchor="_Toc2145" w:history="1">
        <w:r>
          <w:rPr>
            <w:rFonts w:ascii="IRNazanin" w:hAnsi="IRNazanin" w:eastAsia="IRNazanin" w:cs="IRNazanin"/>
            <w:color w:val="111111"/>
            <w:sz w:val="22"/>
            <w:szCs w:val="22"/>
            <w:b w:val="0"/>
            <w:bCs w:val="0"/>
            <w:i w:val="0"/>
            <w:iCs w:val="0"/>
          </w:rPr>
          <w:t>•تبصرة العوام في معرفة مقالات الأنام / ادیان و مذاهب / فارسی</w:t>
        </w:r>
        <w:r>
          <w:tab/>
        </w:r>
        <w:r>
          <w:fldChar w:fldCharType="begin"/>
        </w:r>
        <w:r>
          <w:instrText xml:space="preserve">PAGEREF 2145 \h</w:instrText>
        </w:r>
        <w:r>
          <w:fldChar w:fldCharType="end"/>
        </w:r>
      </w:hyperlink>
    </w:p>
    <w:p>
      <w:pPr>
        <w:tabs>
          <w:tab w:val="right" w:leader="dot" w:pos="9062"/>
        </w:tabs>
        <w:ind w:left="440"/>
      </w:pPr>
      <w:hyperlink w:anchor="_Toc2146" w:history="1">
        <w:r>
          <w:rPr>
            <w:rFonts w:ascii="IRNazanin" w:hAnsi="IRNazanin" w:eastAsia="IRNazanin" w:cs="IRNazanin"/>
            <w:color w:val="111111"/>
            <w:sz w:val="22"/>
            <w:szCs w:val="22"/>
            <w:b w:val="0"/>
            <w:bCs w:val="0"/>
            <w:i w:val="0"/>
            <w:iCs w:val="0"/>
          </w:rPr>
          <w:t>•تبصرة العوام في معرفة مقالات الأنام (ترجمه) / کلام و اعتقادات / عربی</w:t>
        </w:r>
        <w:r>
          <w:tab/>
        </w:r>
        <w:r>
          <w:fldChar w:fldCharType="begin"/>
        </w:r>
        <w:r>
          <w:instrText xml:space="preserve">PAGEREF 2146 \h</w:instrText>
        </w:r>
        <w:r>
          <w:fldChar w:fldCharType="end"/>
        </w:r>
      </w:hyperlink>
    </w:p>
    <w:p>
      <w:pPr>
        <w:tabs>
          <w:tab w:val="right" w:leader="dot" w:pos="9062"/>
        </w:tabs>
        <w:ind w:left="440"/>
      </w:pPr>
      <w:hyperlink w:anchor="_Toc2147" w:history="1">
        <w:r>
          <w:rPr>
            <w:rFonts w:ascii="IRNazanin" w:hAnsi="IRNazanin" w:eastAsia="IRNazanin" w:cs="IRNazanin"/>
            <w:color w:val="111111"/>
            <w:sz w:val="22"/>
            <w:szCs w:val="22"/>
            <w:b w:val="0"/>
            <w:bCs w:val="0"/>
            <w:i w:val="0"/>
            <w:iCs w:val="0"/>
          </w:rPr>
          <w:t>•تبصرة العوام (منتخب) / کلام و اعتقادات / فارسی</w:t>
        </w:r>
        <w:r>
          <w:tab/>
        </w:r>
        <w:r>
          <w:fldChar w:fldCharType="begin"/>
        </w:r>
        <w:r>
          <w:instrText xml:space="preserve">PAGEREF 2147 \h</w:instrText>
        </w:r>
        <w:r>
          <w:fldChar w:fldCharType="end"/>
        </w:r>
      </w:hyperlink>
    </w:p>
    <w:p>
      <w:pPr>
        <w:tabs>
          <w:tab w:val="right" w:leader="dot" w:pos="9062"/>
        </w:tabs>
        <w:ind w:left="440"/>
      </w:pPr>
      <w:hyperlink w:anchor="_Toc2148" w:history="1">
        <w:r>
          <w:rPr>
            <w:rFonts w:ascii="IRNazanin" w:hAnsi="IRNazanin" w:eastAsia="IRNazanin" w:cs="IRNazanin"/>
            <w:color w:val="111111"/>
            <w:sz w:val="22"/>
            <w:szCs w:val="22"/>
            <w:b w:val="0"/>
            <w:bCs w:val="0"/>
            <w:i w:val="0"/>
            <w:iCs w:val="0"/>
          </w:rPr>
          <w:t>•تبصرة الفقهاء / فقه / عربی</w:t>
        </w:r>
        <w:r>
          <w:tab/>
        </w:r>
        <w:r>
          <w:fldChar w:fldCharType="begin"/>
        </w:r>
        <w:r>
          <w:instrText xml:space="preserve">PAGEREF 2148 \h</w:instrText>
        </w:r>
        <w:r>
          <w:fldChar w:fldCharType="end"/>
        </w:r>
      </w:hyperlink>
    </w:p>
    <w:p>
      <w:pPr>
        <w:tabs>
          <w:tab w:val="right" w:leader="dot" w:pos="9062"/>
        </w:tabs>
        <w:ind w:left="440"/>
      </w:pPr>
      <w:hyperlink w:anchor="_Toc2149" w:history="1">
        <w:r>
          <w:rPr>
            <w:rFonts w:ascii="IRNazanin" w:hAnsi="IRNazanin" w:eastAsia="IRNazanin" w:cs="IRNazanin"/>
            <w:color w:val="111111"/>
            <w:sz w:val="22"/>
            <w:szCs w:val="22"/>
            <w:b w:val="0"/>
            <w:bCs w:val="0"/>
            <w:i w:val="0"/>
            <w:iCs w:val="0"/>
          </w:rPr>
          <w:t>•التبصرة في بيان اصطلاحات الصوفية / عرفان و تصوف</w:t>
        </w:r>
        <w:r>
          <w:tab/>
        </w:r>
        <w:r>
          <w:fldChar w:fldCharType="begin"/>
        </w:r>
        <w:r>
          <w:instrText xml:space="preserve">PAGEREF 2149 \h</w:instrText>
        </w:r>
        <w:r>
          <w:fldChar w:fldCharType="end"/>
        </w:r>
      </w:hyperlink>
    </w:p>
    <w:p>
      <w:pPr>
        <w:tabs>
          <w:tab w:val="right" w:leader="dot" w:pos="9062"/>
        </w:tabs>
        <w:ind w:left="440"/>
      </w:pPr>
      <w:hyperlink w:anchor="_Toc2150" w:history="1">
        <w:r>
          <w:rPr>
            <w:rFonts w:ascii="IRNazanin" w:hAnsi="IRNazanin" w:eastAsia="IRNazanin" w:cs="IRNazanin"/>
            <w:color w:val="111111"/>
            <w:sz w:val="22"/>
            <w:szCs w:val="22"/>
            <w:b w:val="0"/>
            <w:bCs w:val="0"/>
            <w:i w:val="0"/>
            <w:iCs w:val="0"/>
          </w:rPr>
          <w:t>•التبصرة في الحساب / حساب / عربی</w:t>
        </w:r>
        <w:r>
          <w:tab/>
        </w:r>
        <w:r>
          <w:fldChar w:fldCharType="begin"/>
        </w:r>
        <w:r>
          <w:instrText xml:space="preserve">PAGEREF 2150 \h</w:instrText>
        </w:r>
        <w:r>
          <w:fldChar w:fldCharType="end"/>
        </w:r>
      </w:hyperlink>
    </w:p>
    <w:p>
      <w:pPr>
        <w:tabs>
          <w:tab w:val="right" w:leader="dot" w:pos="9062"/>
        </w:tabs>
        <w:ind w:left="440"/>
      </w:pPr>
      <w:hyperlink w:anchor="_Toc2151" w:history="1">
        <w:r>
          <w:rPr>
            <w:rFonts w:ascii="IRNazanin" w:hAnsi="IRNazanin" w:eastAsia="IRNazanin" w:cs="IRNazanin"/>
            <w:color w:val="111111"/>
            <w:sz w:val="22"/>
            <w:szCs w:val="22"/>
            <w:b w:val="0"/>
            <w:bCs w:val="0"/>
            <w:i w:val="0"/>
            <w:iCs w:val="0"/>
          </w:rPr>
          <w:t>•التبصرة في الصرف = تبصرة المبتدی و تذکرة المنتهی اصرف عربی</w:t>
        </w:r>
        <w:r>
          <w:tab/>
        </w:r>
        <w:r>
          <w:fldChar w:fldCharType="begin"/>
        </w:r>
        <w:r>
          <w:instrText xml:space="preserve">PAGEREF 2151 \h</w:instrText>
        </w:r>
        <w:r>
          <w:fldChar w:fldCharType="end"/>
        </w:r>
      </w:hyperlink>
    </w:p>
    <w:p>
      <w:pPr>
        <w:tabs>
          <w:tab w:val="right" w:leader="dot" w:pos="9062"/>
        </w:tabs>
        <w:ind w:left="440"/>
      </w:pPr>
      <w:hyperlink w:anchor="_Toc2152" w:history="1">
        <w:r>
          <w:rPr>
            <w:rFonts w:ascii="IRNazanin" w:hAnsi="IRNazanin" w:eastAsia="IRNazanin" w:cs="IRNazanin"/>
            <w:color w:val="111111"/>
            <w:sz w:val="22"/>
            <w:szCs w:val="22"/>
            <w:b w:val="0"/>
            <w:bCs w:val="0"/>
            <w:i w:val="0"/>
            <w:iCs w:val="0"/>
          </w:rPr>
          <w:t>•التبصرة في علم الهيئة / هيأت عربی</w:t>
        </w:r>
        <w:r>
          <w:tab/>
        </w:r>
        <w:r>
          <w:fldChar w:fldCharType="begin"/>
        </w:r>
        <w:r>
          <w:instrText xml:space="preserve">PAGEREF 2152 \h</w:instrText>
        </w:r>
        <w:r>
          <w:fldChar w:fldCharType="end"/>
        </w:r>
      </w:hyperlink>
    </w:p>
    <w:p>
      <w:pPr>
        <w:tabs>
          <w:tab w:val="right" w:leader="dot" w:pos="9062"/>
        </w:tabs>
        <w:ind w:left="440"/>
      </w:pPr>
      <w:hyperlink w:anchor="_Toc2153" w:history="1">
        <w:r>
          <w:rPr>
            <w:rFonts w:ascii="IRNazanin" w:hAnsi="IRNazanin" w:eastAsia="IRNazanin" w:cs="IRNazanin"/>
            <w:color w:val="111111"/>
            <w:sz w:val="22"/>
            <w:szCs w:val="22"/>
            <w:b w:val="0"/>
            <w:bCs w:val="0"/>
            <w:i w:val="0"/>
            <w:iCs w:val="0"/>
          </w:rPr>
          <w:t>•التبصرة في الفقه و بیان اختلاف المذاهب على مذهب الشافعی / فقه / عربی</w:t>
        </w:r>
        <w:r>
          <w:tab/>
        </w:r>
        <w:r>
          <w:fldChar w:fldCharType="begin"/>
        </w:r>
        <w:r>
          <w:instrText xml:space="preserve">PAGEREF 2153 \h</w:instrText>
        </w:r>
        <w:r>
          <w:fldChar w:fldCharType="end"/>
        </w:r>
      </w:hyperlink>
    </w:p>
    <w:p>
      <w:pPr>
        <w:tabs>
          <w:tab w:val="right" w:leader="dot" w:pos="9062"/>
        </w:tabs>
        <w:ind w:left="440"/>
      </w:pPr>
      <w:hyperlink w:anchor="_Toc2154" w:history="1">
        <w:r>
          <w:rPr>
            <w:rFonts w:ascii="IRNazanin" w:hAnsi="IRNazanin" w:eastAsia="IRNazanin" w:cs="IRNazanin"/>
            <w:color w:val="111111"/>
            <w:sz w:val="22"/>
            <w:szCs w:val="22"/>
            <w:b w:val="0"/>
            <w:bCs w:val="0"/>
            <w:i w:val="0"/>
            <w:iCs w:val="0"/>
          </w:rPr>
          <w:t>•التبصرة في الكلام (ترجمه) / كلام و اعتقادات / عربی</w:t>
        </w:r>
        <w:r>
          <w:tab/>
        </w:r>
        <w:r>
          <w:fldChar w:fldCharType="begin"/>
        </w:r>
        <w:r>
          <w:instrText xml:space="preserve">PAGEREF 2154 \h</w:instrText>
        </w:r>
        <w:r>
          <w:fldChar w:fldCharType="end"/>
        </w:r>
      </w:hyperlink>
    </w:p>
    <w:p>
      <w:pPr>
        <w:tabs>
          <w:tab w:val="right" w:leader="dot" w:pos="9062"/>
        </w:tabs>
        <w:ind w:left="440"/>
      </w:pPr>
      <w:hyperlink w:anchor="_Toc2155" w:history="1">
        <w:r>
          <w:rPr>
            <w:rFonts w:ascii="IRNazanin" w:hAnsi="IRNazanin" w:eastAsia="IRNazanin" w:cs="IRNazanin"/>
            <w:color w:val="111111"/>
            <w:sz w:val="22"/>
            <w:szCs w:val="22"/>
            <w:b w:val="0"/>
            <w:bCs w:val="0"/>
            <w:i w:val="0"/>
            <w:iCs w:val="0"/>
          </w:rPr>
          <w:t>•التبصرة في الهيئة / هیئت / عربی</w:t>
        </w:r>
        <w:r>
          <w:tab/>
        </w:r>
        <w:r>
          <w:fldChar w:fldCharType="begin"/>
        </w:r>
        <w:r>
          <w:instrText xml:space="preserve">PAGEREF 2155 \h</w:instrText>
        </w:r>
        <w:r>
          <w:fldChar w:fldCharType="end"/>
        </w:r>
      </w:hyperlink>
    </w:p>
    <w:p>
      <w:pPr>
        <w:tabs>
          <w:tab w:val="right" w:leader="dot" w:pos="9062"/>
        </w:tabs>
        <w:ind w:left="440"/>
      </w:pPr>
      <w:hyperlink w:anchor="_Toc2156" w:history="1">
        <w:r>
          <w:rPr>
            <w:rFonts w:ascii="IRNazanin" w:hAnsi="IRNazanin" w:eastAsia="IRNazanin" w:cs="IRNazanin"/>
            <w:color w:val="111111"/>
            <w:sz w:val="22"/>
            <w:szCs w:val="22"/>
            <w:b w:val="0"/>
            <w:bCs w:val="0"/>
            <w:i w:val="0"/>
            <w:iCs w:val="0"/>
          </w:rPr>
          <w:t>•تبصرة القراء / تجوید / فارسی</w:t>
        </w:r>
        <w:r>
          <w:tab/>
        </w:r>
        <w:r>
          <w:fldChar w:fldCharType="begin"/>
        </w:r>
        <w:r>
          <w:instrText xml:space="preserve">PAGEREF 2156 \h</w:instrText>
        </w:r>
        <w:r>
          <w:fldChar w:fldCharType="end"/>
        </w:r>
      </w:hyperlink>
    </w:p>
    <w:p>
      <w:pPr>
        <w:tabs>
          <w:tab w:val="right" w:leader="dot" w:pos="9062"/>
        </w:tabs>
        <w:ind w:left="440"/>
      </w:pPr>
      <w:hyperlink w:anchor="_Toc2157" w:history="1">
        <w:r>
          <w:rPr>
            <w:rFonts w:ascii="IRNazanin" w:hAnsi="IRNazanin" w:eastAsia="IRNazanin" w:cs="IRNazanin"/>
            <w:color w:val="111111"/>
            <w:sz w:val="22"/>
            <w:szCs w:val="22"/>
            <w:b w:val="0"/>
            <w:bCs w:val="0"/>
            <w:i w:val="0"/>
            <w:iCs w:val="0"/>
          </w:rPr>
          <w:t>•تبصرة الكحالين / طب / فارسی</w:t>
        </w:r>
        <w:r>
          <w:tab/>
        </w:r>
        <w:r>
          <w:fldChar w:fldCharType="begin"/>
        </w:r>
        <w:r>
          <w:instrText xml:space="preserve">PAGEREF 2157 \h</w:instrText>
        </w:r>
        <w:r>
          <w:fldChar w:fldCharType="end"/>
        </w:r>
      </w:hyperlink>
    </w:p>
    <w:p>
      <w:pPr>
        <w:tabs>
          <w:tab w:val="right" w:leader="dot" w:pos="9062"/>
        </w:tabs>
        <w:ind w:left="440"/>
      </w:pPr>
      <w:hyperlink w:anchor="_Toc2158" w:history="1">
        <w:r>
          <w:rPr>
            <w:rFonts w:ascii="IRNazanin" w:hAnsi="IRNazanin" w:eastAsia="IRNazanin" w:cs="IRNazanin"/>
            <w:color w:val="111111"/>
            <w:sz w:val="22"/>
            <w:szCs w:val="22"/>
            <w:b w:val="0"/>
            <w:bCs w:val="0"/>
            <w:i w:val="0"/>
            <w:iCs w:val="0"/>
          </w:rPr>
          <w:t>•تبصرة المبتدی (المبتدئين) / فقه / عربی</w:t>
        </w:r>
        <w:r>
          <w:tab/>
        </w:r>
        <w:r>
          <w:fldChar w:fldCharType="begin"/>
        </w:r>
        <w:r>
          <w:instrText xml:space="preserve">PAGEREF 2158 \h</w:instrText>
        </w:r>
        <w:r>
          <w:fldChar w:fldCharType="end"/>
        </w:r>
      </w:hyperlink>
    </w:p>
    <w:p>
      <w:pPr>
        <w:tabs>
          <w:tab w:val="right" w:leader="dot" w:pos="9062"/>
        </w:tabs>
        <w:ind w:left="440"/>
      </w:pPr>
      <w:hyperlink w:anchor="_Toc2159" w:history="1">
        <w:r>
          <w:rPr>
            <w:rFonts w:ascii="IRNazanin" w:hAnsi="IRNazanin" w:eastAsia="IRNazanin" w:cs="IRNazanin"/>
            <w:color w:val="111111"/>
            <w:sz w:val="22"/>
            <w:szCs w:val="22"/>
            <w:b w:val="0"/>
            <w:bCs w:val="0"/>
            <w:i w:val="0"/>
            <w:iCs w:val="0"/>
          </w:rPr>
          <w:t>•تبصرة المبتدي في الهيئة / هيأت / عربی</w:t>
        </w:r>
        <w:r>
          <w:tab/>
        </w:r>
        <w:r>
          <w:fldChar w:fldCharType="begin"/>
        </w:r>
        <w:r>
          <w:instrText xml:space="preserve">PAGEREF 2159 \h</w:instrText>
        </w:r>
        <w:r>
          <w:fldChar w:fldCharType="end"/>
        </w:r>
      </w:hyperlink>
    </w:p>
    <w:p>
      <w:pPr>
        <w:tabs>
          <w:tab w:val="right" w:leader="dot" w:pos="9062"/>
        </w:tabs>
        <w:ind w:left="440"/>
      </w:pPr>
      <w:hyperlink w:anchor="_Toc2160" w:history="1">
        <w:r>
          <w:rPr>
            <w:rFonts w:ascii="IRNazanin" w:hAnsi="IRNazanin" w:eastAsia="IRNazanin" w:cs="IRNazanin"/>
            <w:color w:val="111111"/>
            <w:sz w:val="22"/>
            <w:szCs w:val="22"/>
            <w:b w:val="0"/>
            <w:bCs w:val="0"/>
            <w:i w:val="0"/>
            <w:iCs w:val="0"/>
          </w:rPr>
          <w:t>•تبصرة المبتدی و تذکرة المنتهى /نحو / عربی</w:t>
        </w:r>
        <w:r>
          <w:tab/>
        </w:r>
        <w:r>
          <w:fldChar w:fldCharType="begin"/>
        </w:r>
        <w:r>
          <w:instrText xml:space="preserve">PAGEREF 2160 \h</w:instrText>
        </w:r>
        <w:r>
          <w:fldChar w:fldCharType="end"/>
        </w:r>
      </w:hyperlink>
    </w:p>
    <w:p>
      <w:pPr>
        <w:tabs>
          <w:tab w:val="right" w:leader="dot" w:pos="9062"/>
        </w:tabs>
        <w:ind w:left="440"/>
      </w:pPr>
      <w:hyperlink w:anchor="_Toc2161" w:history="1">
        <w:r>
          <w:rPr>
            <w:rFonts w:ascii="IRNazanin" w:hAnsi="IRNazanin" w:eastAsia="IRNazanin" w:cs="IRNazanin"/>
            <w:color w:val="111111"/>
            <w:sz w:val="22"/>
            <w:szCs w:val="22"/>
            <w:b w:val="0"/>
            <w:bCs w:val="0"/>
            <w:i w:val="0"/>
            <w:iCs w:val="0"/>
          </w:rPr>
          <w:t>•تبصرة المبتدی و تذکرة المنتهی / مواعظ / عربی</w:t>
        </w:r>
        <w:r>
          <w:tab/>
        </w:r>
        <w:r>
          <w:fldChar w:fldCharType="begin"/>
        </w:r>
        <w:r>
          <w:instrText xml:space="preserve">PAGEREF 2161 \h</w:instrText>
        </w:r>
        <w:r>
          <w:fldChar w:fldCharType="end"/>
        </w:r>
      </w:hyperlink>
    </w:p>
    <w:p>
      <w:pPr>
        <w:tabs>
          <w:tab w:val="right" w:leader="dot" w:pos="9062"/>
        </w:tabs>
        <w:ind w:left="440"/>
      </w:pPr>
      <w:hyperlink w:anchor="_Toc2162" w:history="1">
        <w:r>
          <w:rPr>
            <w:rFonts w:ascii="IRNazanin" w:hAnsi="IRNazanin" w:eastAsia="IRNazanin" w:cs="IRNazanin"/>
            <w:color w:val="111111"/>
            <w:sz w:val="22"/>
            <w:szCs w:val="22"/>
            <w:b w:val="0"/>
            <w:bCs w:val="0"/>
            <w:i w:val="0"/>
            <w:iCs w:val="0"/>
          </w:rPr>
          <w:t>•تبصرة المبتدی و تذكرة المنتهی / عرفان و تصوف / فارسی</w:t>
        </w:r>
        <w:r>
          <w:tab/>
        </w:r>
        <w:r>
          <w:fldChar w:fldCharType="begin"/>
        </w:r>
        <w:r>
          <w:instrText xml:space="preserve">PAGEREF 2162 \h</w:instrText>
        </w:r>
        <w:r>
          <w:fldChar w:fldCharType="end"/>
        </w:r>
      </w:hyperlink>
    </w:p>
    <w:p>
      <w:pPr>
        <w:tabs>
          <w:tab w:val="right" w:leader="dot" w:pos="9062"/>
        </w:tabs>
        <w:ind w:left="440"/>
      </w:pPr>
      <w:hyperlink w:anchor="_Toc2163" w:history="1">
        <w:r>
          <w:rPr>
            <w:rFonts w:ascii="IRNazanin" w:hAnsi="IRNazanin" w:eastAsia="IRNazanin" w:cs="IRNazanin"/>
            <w:color w:val="111111"/>
            <w:sz w:val="22"/>
            <w:szCs w:val="22"/>
            <w:b w:val="0"/>
            <w:bCs w:val="0"/>
            <w:i w:val="0"/>
            <w:iCs w:val="0"/>
          </w:rPr>
          <w:t>•تبصرة المبتدی و تذكرة المنتهی / تجوید / عربی</w:t>
        </w:r>
        <w:r>
          <w:tab/>
        </w:r>
        <w:r>
          <w:fldChar w:fldCharType="begin"/>
        </w:r>
        <w:r>
          <w:instrText xml:space="preserve">PAGEREF 2163 \h</w:instrText>
        </w:r>
        <w:r>
          <w:fldChar w:fldCharType="end"/>
        </w:r>
      </w:hyperlink>
    </w:p>
    <w:p>
      <w:pPr>
        <w:tabs>
          <w:tab w:val="right" w:leader="dot" w:pos="9062"/>
        </w:tabs>
        <w:ind w:left="440"/>
      </w:pPr>
      <w:hyperlink w:anchor="_Toc2164" w:history="1">
        <w:r>
          <w:rPr>
            <w:rFonts w:ascii="IRNazanin" w:hAnsi="IRNazanin" w:eastAsia="IRNazanin" w:cs="IRNazanin"/>
            <w:color w:val="111111"/>
            <w:sz w:val="22"/>
            <w:szCs w:val="22"/>
            <w:b w:val="0"/>
            <w:bCs w:val="0"/>
            <w:i w:val="0"/>
            <w:iCs w:val="0"/>
          </w:rPr>
          <w:t>•تبصرة المبتدی و تذکرة المنتهی / علوم قرآن، آداب و سنن / عربی</w:t>
        </w:r>
        <w:r>
          <w:tab/>
        </w:r>
        <w:r>
          <w:fldChar w:fldCharType="begin"/>
        </w:r>
        <w:r>
          <w:instrText xml:space="preserve">PAGEREF 2164 \h</w:instrText>
        </w:r>
        <w:r>
          <w:fldChar w:fldCharType="end"/>
        </w:r>
      </w:hyperlink>
    </w:p>
    <w:p>
      <w:pPr>
        <w:tabs>
          <w:tab w:val="right" w:leader="dot" w:pos="9062"/>
        </w:tabs>
        <w:ind w:left="440"/>
      </w:pPr>
      <w:hyperlink w:anchor="_Toc2165" w:history="1">
        <w:r>
          <w:rPr>
            <w:rFonts w:ascii="IRNazanin" w:hAnsi="IRNazanin" w:eastAsia="IRNazanin" w:cs="IRNazanin"/>
            <w:color w:val="111111"/>
            <w:sz w:val="22"/>
            <w:szCs w:val="22"/>
            <w:b w:val="0"/>
            <w:bCs w:val="0"/>
            <w:i w:val="0"/>
            <w:iCs w:val="0"/>
          </w:rPr>
          <w:t>•تبصرة المبتدی و تذكرة المنتهی / نحو عربی</w:t>
        </w:r>
        <w:r>
          <w:tab/>
        </w:r>
        <w:r>
          <w:fldChar w:fldCharType="begin"/>
        </w:r>
        <w:r>
          <w:instrText xml:space="preserve">PAGEREF 2165 \h</w:instrText>
        </w:r>
        <w:r>
          <w:fldChar w:fldCharType="end"/>
        </w:r>
      </w:hyperlink>
    </w:p>
    <w:p>
      <w:pPr>
        <w:tabs>
          <w:tab w:val="right" w:leader="dot" w:pos="9062"/>
        </w:tabs>
        <w:ind w:left="440"/>
      </w:pPr>
      <w:hyperlink w:anchor="_Toc2166" w:history="1">
        <w:r>
          <w:rPr>
            <w:rFonts w:ascii="IRNazanin" w:hAnsi="IRNazanin" w:eastAsia="IRNazanin" w:cs="IRNazanin"/>
            <w:color w:val="111111"/>
            <w:sz w:val="22"/>
            <w:szCs w:val="22"/>
            <w:b w:val="0"/>
            <w:bCs w:val="0"/>
            <w:i w:val="0"/>
            <w:iCs w:val="0"/>
          </w:rPr>
          <w:t>•تبصرة المتحیرین / عرفان و تصوف / فارسی</w:t>
        </w:r>
        <w:r>
          <w:tab/>
        </w:r>
        <w:r>
          <w:fldChar w:fldCharType="begin"/>
        </w:r>
        <w:r>
          <w:instrText xml:space="preserve">PAGEREF 2166 \h</w:instrText>
        </w:r>
        <w:r>
          <w:fldChar w:fldCharType="end"/>
        </w:r>
      </w:hyperlink>
    </w:p>
    <w:p>
      <w:pPr>
        <w:tabs>
          <w:tab w:val="right" w:leader="dot" w:pos="9062"/>
        </w:tabs>
        <w:ind w:left="440"/>
      </w:pPr>
      <w:hyperlink w:anchor="_Toc2167" w:history="1">
        <w:r>
          <w:rPr>
            <w:rFonts w:ascii="IRNazanin" w:hAnsi="IRNazanin" w:eastAsia="IRNazanin" w:cs="IRNazanin"/>
            <w:color w:val="111111"/>
            <w:sz w:val="22"/>
            <w:szCs w:val="22"/>
            <w:b w:val="0"/>
            <w:bCs w:val="0"/>
            <w:i w:val="0"/>
            <w:iCs w:val="0"/>
          </w:rPr>
          <w:t>•تبصرة المتذکر و تذكرة المتبصر / تفسير / عربی</w:t>
        </w:r>
        <w:r>
          <w:tab/>
        </w:r>
        <w:r>
          <w:fldChar w:fldCharType="begin"/>
        </w:r>
        <w:r>
          <w:instrText xml:space="preserve">PAGEREF 2167 \h</w:instrText>
        </w:r>
        <w:r>
          <w:fldChar w:fldCharType="end"/>
        </w:r>
      </w:hyperlink>
    </w:p>
    <w:p>
      <w:pPr>
        <w:tabs>
          <w:tab w:val="right" w:leader="dot" w:pos="9062"/>
        </w:tabs>
        <w:ind w:left="440"/>
      </w:pPr>
      <w:hyperlink w:anchor="_Toc2168" w:history="1">
        <w:r>
          <w:rPr>
            <w:rFonts w:ascii="IRNazanin" w:hAnsi="IRNazanin" w:eastAsia="IRNazanin" w:cs="IRNazanin"/>
            <w:color w:val="111111"/>
            <w:sz w:val="22"/>
            <w:szCs w:val="22"/>
            <w:b w:val="0"/>
            <w:bCs w:val="0"/>
            <w:i w:val="0"/>
            <w:iCs w:val="0"/>
          </w:rPr>
          <w:t>•تبصرة المتعلمين / ادبیات / فارسی</w:t>
        </w:r>
        <w:r>
          <w:tab/>
        </w:r>
        <w:r>
          <w:fldChar w:fldCharType="begin"/>
        </w:r>
        <w:r>
          <w:instrText xml:space="preserve">PAGEREF 2168 \h</w:instrText>
        </w:r>
        <w:r>
          <w:fldChar w:fldCharType="end"/>
        </w:r>
      </w:hyperlink>
    </w:p>
    <w:p>
      <w:pPr>
        <w:tabs>
          <w:tab w:val="right" w:leader="dot" w:pos="9062"/>
        </w:tabs>
        <w:ind w:left="440"/>
      </w:pPr>
      <w:hyperlink w:anchor="_Toc2169" w:history="1">
        <w:r>
          <w:rPr>
            <w:rFonts w:ascii="IRNazanin" w:hAnsi="IRNazanin" w:eastAsia="IRNazanin" w:cs="IRNazanin"/>
            <w:color w:val="111111"/>
            <w:sz w:val="22"/>
            <w:szCs w:val="22"/>
            <w:b w:val="0"/>
            <w:bCs w:val="0"/>
            <w:i w:val="0"/>
            <w:iCs w:val="0"/>
          </w:rPr>
          <w:t>•تبصرة المتعلمين في أحكام الدين / فقه / عربی</w:t>
        </w:r>
        <w:r>
          <w:tab/>
        </w:r>
        <w:r>
          <w:fldChar w:fldCharType="begin"/>
        </w:r>
        <w:r>
          <w:instrText xml:space="preserve">PAGEREF 2169 \h</w:instrText>
        </w:r>
        <w:r>
          <w:fldChar w:fldCharType="end"/>
        </w:r>
      </w:hyperlink>
    </w:p>
    <w:p>
      <w:pPr>
        <w:tabs>
          <w:tab w:val="right" w:leader="dot" w:pos="9062"/>
        </w:tabs>
        <w:ind w:left="440"/>
      </w:pPr>
      <w:hyperlink w:anchor="_Toc2170" w:history="1">
        <w:r>
          <w:rPr>
            <w:rFonts w:ascii="IRNazanin" w:hAnsi="IRNazanin" w:eastAsia="IRNazanin" w:cs="IRNazanin"/>
            <w:color w:val="111111"/>
            <w:sz w:val="22"/>
            <w:szCs w:val="22"/>
            <w:b w:val="0"/>
            <w:bCs w:val="0"/>
            <w:i w:val="0"/>
            <w:iCs w:val="0"/>
          </w:rPr>
          <w:t>•تبصرة المتعلمين في أحكام الدین (ترجمه) / فقه / فارسی</w:t>
        </w:r>
        <w:r>
          <w:tab/>
        </w:r>
        <w:r>
          <w:fldChar w:fldCharType="begin"/>
        </w:r>
        <w:r>
          <w:instrText xml:space="preserve">PAGEREF 2170 \h</w:instrText>
        </w:r>
        <w:r>
          <w:fldChar w:fldCharType="end"/>
        </w:r>
      </w:hyperlink>
    </w:p>
    <w:p>
      <w:pPr>
        <w:tabs>
          <w:tab w:val="right" w:leader="dot" w:pos="9062"/>
        </w:tabs>
        <w:ind w:left="440"/>
      </w:pPr>
      <w:hyperlink w:anchor="_Toc2171" w:history="1">
        <w:r>
          <w:rPr>
            <w:rFonts w:ascii="IRNazanin" w:hAnsi="IRNazanin" w:eastAsia="IRNazanin" w:cs="IRNazanin"/>
            <w:color w:val="111111"/>
            <w:sz w:val="22"/>
            <w:szCs w:val="22"/>
            <w:b w:val="0"/>
            <w:bCs w:val="0"/>
            <w:i w:val="0"/>
            <w:iCs w:val="0"/>
          </w:rPr>
          <w:t>•تبصرة المتعلمين في أحكام الدین (ترجمه) / فقه / فارسی</w:t>
        </w:r>
        <w:r>
          <w:tab/>
        </w:r>
        <w:r>
          <w:fldChar w:fldCharType="begin"/>
        </w:r>
        <w:r>
          <w:instrText xml:space="preserve">PAGEREF 2171 \h</w:instrText>
        </w:r>
        <w:r>
          <w:fldChar w:fldCharType="end"/>
        </w:r>
      </w:hyperlink>
    </w:p>
    <w:p>
      <w:pPr>
        <w:tabs>
          <w:tab w:val="right" w:leader="dot" w:pos="9062"/>
        </w:tabs>
        <w:ind w:left="440"/>
      </w:pPr>
      <w:hyperlink w:anchor="_Toc2172" w:history="1">
        <w:r>
          <w:rPr>
            <w:rFonts w:ascii="IRNazanin" w:hAnsi="IRNazanin" w:eastAsia="IRNazanin" w:cs="IRNazanin"/>
            <w:color w:val="111111"/>
            <w:sz w:val="22"/>
            <w:szCs w:val="22"/>
            <w:b w:val="0"/>
            <w:bCs w:val="0"/>
            <w:i w:val="0"/>
            <w:iCs w:val="0"/>
          </w:rPr>
          <w:t>•تبصرة المتعلمين في أحكام الدین (ترجمه) / فقه / فارسی</w:t>
        </w:r>
        <w:r>
          <w:tab/>
        </w:r>
        <w:r>
          <w:fldChar w:fldCharType="begin"/>
        </w:r>
        <w:r>
          <w:instrText xml:space="preserve">PAGEREF 2172 \h</w:instrText>
        </w:r>
        <w:r>
          <w:fldChar w:fldCharType="end"/>
        </w:r>
      </w:hyperlink>
    </w:p>
    <w:p>
      <w:pPr>
        <w:tabs>
          <w:tab w:val="right" w:leader="dot" w:pos="9062"/>
        </w:tabs>
        <w:ind w:left="440"/>
      </w:pPr>
      <w:hyperlink w:anchor="_Toc2173" w:history="1">
        <w:r>
          <w:rPr>
            <w:rFonts w:ascii="IRNazanin" w:hAnsi="IRNazanin" w:eastAsia="IRNazanin" w:cs="IRNazanin"/>
            <w:color w:val="111111"/>
            <w:sz w:val="22"/>
            <w:szCs w:val="22"/>
            <w:b w:val="0"/>
            <w:bCs w:val="0"/>
            <w:i w:val="0"/>
            <w:iCs w:val="0"/>
          </w:rPr>
          <w:t>•تبصرة المتعلمين منظوم / فقه، شعر / عربی</w:t>
        </w:r>
        <w:r>
          <w:tab/>
        </w:r>
        <w:r>
          <w:fldChar w:fldCharType="begin"/>
        </w:r>
        <w:r>
          <w:instrText xml:space="preserve">PAGEREF 2173 \h</w:instrText>
        </w:r>
        <w:r>
          <w:fldChar w:fldCharType="end"/>
        </w:r>
      </w:hyperlink>
    </w:p>
    <w:p>
      <w:pPr>
        <w:tabs>
          <w:tab w:val="right" w:leader="dot" w:pos="9062"/>
        </w:tabs>
        <w:ind w:left="440"/>
      </w:pPr>
      <w:hyperlink w:anchor="_Toc2174" w:history="1">
        <w:r>
          <w:rPr>
            <w:rFonts w:ascii="IRNazanin" w:hAnsi="IRNazanin" w:eastAsia="IRNazanin" w:cs="IRNazanin"/>
            <w:color w:val="111111"/>
            <w:sz w:val="22"/>
            <w:szCs w:val="22"/>
            <w:b w:val="0"/>
            <w:bCs w:val="0"/>
            <w:i w:val="0"/>
            <w:iCs w:val="0"/>
          </w:rPr>
          <w:t>•تبصرة المتعلمين منظوم / فقه / عربی</w:t>
        </w:r>
        <w:r>
          <w:tab/>
        </w:r>
        <w:r>
          <w:fldChar w:fldCharType="begin"/>
        </w:r>
        <w:r>
          <w:instrText xml:space="preserve">PAGEREF 2174 \h</w:instrText>
        </w:r>
        <w:r>
          <w:fldChar w:fldCharType="end"/>
        </w:r>
      </w:hyperlink>
    </w:p>
    <w:p>
      <w:pPr>
        <w:tabs>
          <w:tab w:val="right" w:leader="dot" w:pos="9062"/>
        </w:tabs>
        <w:ind w:left="440"/>
      </w:pPr>
      <w:hyperlink w:anchor="_Toc2175" w:history="1">
        <w:r>
          <w:rPr>
            <w:rFonts w:ascii="IRNazanin" w:hAnsi="IRNazanin" w:eastAsia="IRNazanin" w:cs="IRNazanin"/>
            <w:color w:val="111111"/>
            <w:sz w:val="22"/>
            <w:szCs w:val="22"/>
            <w:b w:val="0"/>
            <w:bCs w:val="0"/>
            <w:i w:val="0"/>
            <w:iCs w:val="0"/>
          </w:rPr>
          <w:t>•تبصرة المتهجدين و قرة عين العابدین / فقه / فارسی</w:t>
        </w:r>
        <w:r>
          <w:tab/>
        </w:r>
        <w:r>
          <w:fldChar w:fldCharType="begin"/>
        </w:r>
        <w:r>
          <w:instrText xml:space="preserve">PAGEREF 2175 \h</w:instrText>
        </w:r>
        <w:r>
          <w:fldChar w:fldCharType="end"/>
        </w:r>
      </w:hyperlink>
    </w:p>
    <w:p>
      <w:pPr>
        <w:tabs>
          <w:tab w:val="right" w:leader="dot" w:pos="9062"/>
        </w:tabs>
        <w:ind w:left="440"/>
      </w:pPr>
      <w:hyperlink w:anchor="_Toc2176" w:history="1">
        <w:r>
          <w:rPr>
            <w:rFonts w:ascii="IRNazanin" w:hAnsi="IRNazanin" w:eastAsia="IRNazanin" w:cs="IRNazanin"/>
            <w:color w:val="111111"/>
            <w:sz w:val="22"/>
            <w:szCs w:val="22"/>
            <w:b w:val="0"/>
            <w:bCs w:val="0"/>
            <w:i w:val="0"/>
            <w:iCs w:val="0"/>
          </w:rPr>
          <w:t>•تبصرة المجتهدين في استظهار استار حجب الیقین / فقه / عربی</w:t>
        </w:r>
        <w:r>
          <w:tab/>
        </w:r>
        <w:r>
          <w:fldChar w:fldCharType="begin"/>
        </w:r>
        <w:r>
          <w:instrText xml:space="preserve">PAGEREF 2176 \h</w:instrText>
        </w:r>
        <w:r>
          <w:fldChar w:fldCharType="end"/>
        </w:r>
      </w:hyperlink>
    </w:p>
    <w:p>
      <w:pPr>
        <w:tabs>
          <w:tab w:val="right" w:leader="dot" w:pos="9062"/>
        </w:tabs>
        <w:ind w:left="440"/>
      </w:pPr>
      <w:hyperlink w:anchor="_Toc2177" w:history="1">
        <w:r>
          <w:rPr>
            <w:rFonts w:ascii="IRNazanin" w:hAnsi="IRNazanin" w:eastAsia="IRNazanin" w:cs="IRNazanin"/>
            <w:color w:val="111111"/>
            <w:sz w:val="22"/>
            <w:szCs w:val="22"/>
            <w:b w:val="0"/>
            <w:bCs w:val="0"/>
            <w:i w:val="0"/>
            <w:iCs w:val="0"/>
          </w:rPr>
          <w:t>•تبصره محمدیه / منطق / فارسی</w:t>
        </w:r>
        <w:r>
          <w:tab/>
        </w:r>
        <w:r>
          <w:fldChar w:fldCharType="begin"/>
        </w:r>
        <w:r>
          <w:instrText xml:space="preserve">PAGEREF 2177 \h</w:instrText>
        </w:r>
        <w:r>
          <w:fldChar w:fldCharType="end"/>
        </w:r>
      </w:hyperlink>
    </w:p>
    <w:p>
      <w:pPr>
        <w:tabs>
          <w:tab w:val="right" w:leader="dot" w:pos="9062"/>
        </w:tabs>
        <w:ind w:left="440"/>
      </w:pPr>
      <w:hyperlink w:anchor="_Toc2178" w:history="1">
        <w:r>
          <w:rPr>
            <w:rFonts w:ascii="IRNazanin" w:hAnsi="IRNazanin" w:eastAsia="IRNazanin" w:cs="IRNazanin"/>
            <w:color w:val="111111"/>
            <w:sz w:val="22"/>
            <w:szCs w:val="22"/>
            <w:b w:val="0"/>
            <w:bCs w:val="0"/>
            <w:i w:val="0"/>
            <w:iCs w:val="0"/>
          </w:rPr>
          <w:t>•تبصرة المذاكر و نزهة الناظر / تجوید / عربی</w:t>
        </w:r>
        <w:r>
          <w:tab/>
        </w:r>
        <w:r>
          <w:fldChar w:fldCharType="begin"/>
        </w:r>
        <w:r>
          <w:instrText xml:space="preserve">PAGEREF 2178 \h</w:instrText>
        </w:r>
        <w:r>
          <w:fldChar w:fldCharType="end"/>
        </w:r>
      </w:hyperlink>
    </w:p>
    <w:p>
      <w:pPr>
        <w:tabs>
          <w:tab w:val="right" w:leader="dot" w:pos="9062"/>
        </w:tabs>
        <w:ind w:left="440"/>
      </w:pPr>
      <w:hyperlink w:anchor="_Toc2179" w:history="1">
        <w:r>
          <w:rPr>
            <w:rFonts w:ascii="IRNazanin" w:hAnsi="IRNazanin" w:eastAsia="IRNazanin" w:cs="IRNazanin"/>
            <w:color w:val="111111"/>
            <w:sz w:val="22"/>
            <w:szCs w:val="22"/>
            <w:b w:val="0"/>
            <w:bCs w:val="0"/>
            <w:i w:val="0"/>
            <w:iCs w:val="0"/>
          </w:rPr>
          <w:t>•تبصرة المسافرين = سفرنامه = سوانح عمری / سفرنامه / فارسی</w:t>
        </w:r>
        <w:r>
          <w:tab/>
        </w:r>
        <w:r>
          <w:fldChar w:fldCharType="begin"/>
        </w:r>
        <w:r>
          <w:instrText xml:space="preserve">PAGEREF 2179 \h</w:instrText>
        </w:r>
        <w:r>
          <w:fldChar w:fldCharType="end"/>
        </w:r>
      </w:hyperlink>
    </w:p>
    <w:p>
      <w:pPr>
        <w:tabs>
          <w:tab w:val="right" w:leader="dot" w:pos="9062"/>
        </w:tabs>
        <w:ind w:left="440"/>
      </w:pPr>
      <w:hyperlink w:anchor="_Toc2180" w:history="1">
        <w:r>
          <w:rPr>
            <w:rFonts w:ascii="IRNazanin" w:hAnsi="IRNazanin" w:eastAsia="IRNazanin" w:cs="IRNazanin"/>
            <w:color w:val="111111"/>
            <w:sz w:val="22"/>
            <w:szCs w:val="22"/>
            <w:b w:val="0"/>
            <w:bCs w:val="0"/>
            <w:i w:val="0"/>
            <w:iCs w:val="0"/>
          </w:rPr>
          <w:t>•تبصرة المؤمنين / عرفان و تصوف / فارسی</w:t>
        </w:r>
        <w:r>
          <w:tab/>
        </w:r>
        <w:r>
          <w:fldChar w:fldCharType="begin"/>
        </w:r>
        <w:r>
          <w:instrText xml:space="preserve">PAGEREF 2180 \h</w:instrText>
        </w:r>
        <w:r>
          <w:fldChar w:fldCharType="end"/>
        </w:r>
      </w:hyperlink>
    </w:p>
    <w:p>
      <w:pPr>
        <w:tabs>
          <w:tab w:val="right" w:leader="dot" w:pos="9062"/>
        </w:tabs>
        <w:ind w:left="440"/>
      </w:pPr>
      <w:hyperlink w:anchor="_Toc2181" w:history="1">
        <w:r>
          <w:rPr>
            <w:rFonts w:ascii="IRNazanin" w:hAnsi="IRNazanin" w:eastAsia="IRNazanin" w:cs="IRNazanin"/>
            <w:color w:val="111111"/>
            <w:sz w:val="22"/>
            <w:szCs w:val="22"/>
            <w:b w:val="0"/>
            <w:bCs w:val="0"/>
            <w:i w:val="0"/>
            <w:iCs w:val="0"/>
          </w:rPr>
          <w:t>•تبصرة المؤمنين / فقه / فارسی</w:t>
        </w:r>
        <w:r>
          <w:tab/>
        </w:r>
        <w:r>
          <w:fldChar w:fldCharType="begin"/>
        </w:r>
        <w:r>
          <w:instrText xml:space="preserve">PAGEREF 2181 \h</w:instrText>
        </w:r>
        <w:r>
          <w:fldChar w:fldCharType="end"/>
        </w:r>
      </w:hyperlink>
    </w:p>
    <w:p>
      <w:pPr>
        <w:tabs>
          <w:tab w:val="right" w:leader="dot" w:pos="9062"/>
        </w:tabs>
        <w:ind w:left="440"/>
      </w:pPr>
      <w:hyperlink w:anchor="_Toc2182" w:history="1">
        <w:r>
          <w:rPr>
            <w:rFonts w:ascii="IRNazanin" w:hAnsi="IRNazanin" w:eastAsia="IRNazanin" w:cs="IRNazanin"/>
            <w:color w:val="111111"/>
            <w:sz w:val="22"/>
            <w:szCs w:val="22"/>
            <w:b w:val="0"/>
            <w:bCs w:val="0"/>
            <w:i w:val="0"/>
            <w:iCs w:val="0"/>
          </w:rPr>
          <w:t>•تبصرة الناظرين / ادبیات / فارسی</w:t>
        </w:r>
        <w:r>
          <w:tab/>
        </w:r>
        <w:r>
          <w:fldChar w:fldCharType="begin"/>
        </w:r>
        <w:r>
          <w:instrText xml:space="preserve">PAGEREF 2182 \h</w:instrText>
        </w:r>
        <w:r>
          <w:fldChar w:fldCharType="end"/>
        </w:r>
      </w:hyperlink>
    </w:p>
    <w:p>
      <w:pPr>
        <w:tabs>
          <w:tab w:val="right" w:leader="dot" w:pos="9062"/>
        </w:tabs>
        <w:ind w:left="440"/>
      </w:pPr>
      <w:hyperlink w:anchor="_Toc2183" w:history="1">
        <w:r>
          <w:rPr>
            <w:rFonts w:ascii="IRNazanin" w:hAnsi="IRNazanin" w:eastAsia="IRNazanin" w:cs="IRNazanin"/>
            <w:color w:val="111111"/>
            <w:sz w:val="22"/>
            <w:szCs w:val="22"/>
            <w:b w:val="0"/>
            <w:bCs w:val="0"/>
            <w:i w:val="0"/>
            <w:iCs w:val="0"/>
          </w:rPr>
          <w:t>•تبصرة الناظرين / گوناگون / عربی</w:t>
        </w:r>
        <w:r>
          <w:tab/>
        </w:r>
        <w:r>
          <w:fldChar w:fldCharType="begin"/>
        </w:r>
        <w:r>
          <w:instrText xml:space="preserve">PAGEREF 2183 \h</w:instrText>
        </w:r>
        <w:r>
          <w:fldChar w:fldCharType="end"/>
        </w:r>
      </w:hyperlink>
    </w:p>
    <w:p>
      <w:pPr>
        <w:tabs>
          <w:tab w:val="right" w:leader="dot" w:pos="9062"/>
        </w:tabs>
        <w:ind w:left="440"/>
      </w:pPr>
      <w:hyperlink w:anchor="_Toc2184" w:history="1">
        <w:r>
          <w:rPr>
            <w:rFonts w:ascii="IRNazanin" w:hAnsi="IRNazanin" w:eastAsia="IRNazanin" w:cs="IRNazanin"/>
            <w:color w:val="111111"/>
            <w:sz w:val="22"/>
            <w:szCs w:val="22"/>
            <w:b w:val="0"/>
            <w:bCs w:val="0"/>
            <w:i w:val="0"/>
            <w:iCs w:val="0"/>
          </w:rPr>
          <w:t>•تبصرة الناظرين في كشف مدارک احكام فروع الدین /فقه / عربی</w:t>
        </w:r>
        <w:r>
          <w:tab/>
        </w:r>
        <w:r>
          <w:fldChar w:fldCharType="begin"/>
        </w:r>
        <w:r>
          <w:instrText xml:space="preserve">PAGEREF 2184 \h</w:instrText>
        </w:r>
        <w:r>
          <w:fldChar w:fldCharType="end"/>
        </w:r>
      </w:hyperlink>
    </w:p>
    <w:p>
      <w:pPr>
        <w:tabs>
          <w:tab w:val="right" w:leader="dot" w:pos="9062"/>
        </w:tabs>
        <w:ind w:left="440"/>
      </w:pPr>
      <w:hyperlink w:anchor="_Toc2185" w:history="1">
        <w:r>
          <w:rPr>
            <w:rFonts w:ascii="IRNazanin" w:hAnsi="IRNazanin" w:eastAsia="IRNazanin" w:cs="IRNazanin"/>
            <w:color w:val="111111"/>
            <w:sz w:val="22"/>
            <w:szCs w:val="22"/>
            <w:b w:val="0"/>
            <w:bCs w:val="0"/>
            <w:i w:val="0"/>
            <w:iCs w:val="0"/>
          </w:rPr>
          <w:t>•تبصرة الناظرين و تذکرة الذاکرین / عرفان و تصوف / فارسی</w:t>
        </w:r>
        <w:r>
          <w:tab/>
        </w:r>
        <w:r>
          <w:fldChar w:fldCharType="begin"/>
        </w:r>
        <w:r>
          <w:instrText xml:space="preserve">PAGEREF 2185 \h</w:instrText>
        </w:r>
        <w:r>
          <w:fldChar w:fldCharType="end"/>
        </w:r>
      </w:hyperlink>
    </w:p>
    <w:p>
      <w:pPr>
        <w:tabs>
          <w:tab w:val="right" w:leader="dot" w:pos="9062"/>
        </w:tabs>
        <w:ind w:left="440"/>
      </w:pPr>
      <w:hyperlink w:anchor="_Toc2186" w:history="1">
        <w:r>
          <w:rPr>
            <w:rFonts w:ascii="IRNazanin" w:hAnsi="IRNazanin" w:eastAsia="IRNazanin" w:cs="IRNazanin"/>
            <w:color w:val="111111"/>
            <w:sz w:val="22"/>
            <w:szCs w:val="22"/>
            <w:b w:val="0"/>
            <w:bCs w:val="0"/>
            <w:i w:val="0"/>
            <w:iCs w:val="0"/>
          </w:rPr>
          <w:t>•تبصرة الواعظین / عربی</w:t>
        </w:r>
        <w:r>
          <w:tab/>
        </w:r>
        <w:r>
          <w:fldChar w:fldCharType="begin"/>
        </w:r>
        <w:r>
          <w:instrText xml:space="preserve">PAGEREF 2186 \h</w:instrText>
        </w:r>
        <w:r>
          <w:fldChar w:fldCharType="end"/>
        </w:r>
      </w:hyperlink>
    </w:p>
    <w:p>
      <w:pPr>
        <w:tabs>
          <w:tab w:val="right" w:leader="dot" w:pos="9062"/>
        </w:tabs>
        <w:ind w:left="440"/>
      </w:pPr>
      <w:hyperlink w:anchor="_Toc2187" w:history="1">
        <w:r>
          <w:rPr>
            <w:rFonts w:ascii="IRNazanin" w:hAnsi="IRNazanin" w:eastAsia="IRNazanin" w:cs="IRNazanin"/>
            <w:color w:val="111111"/>
            <w:sz w:val="22"/>
            <w:szCs w:val="22"/>
            <w:b w:val="0"/>
            <w:bCs w:val="0"/>
            <w:i w:val="0"/>
            <w:iCs w:val="0"/>
          </w:rPr>
          <w:t>•تبصرة الولي في النص الجلي / حديث / عربی</w:t>
        </w:r>
        <w:r>
          <w:tab/>
        </w:r>
        <w:r>
          <w:fldChar w:fldCharType="begin"/>
        </w:r>
        <w:r>
          <w:instrText xml:space="preserve">PAGEREF 2187 \h</w:instrText>
        </w:r>
        <w:r>
          <w:fldChar w:fldCharType="end"/>
        </w:r>
      </w:hyperlink>
    </w:p>
    <w:p>
      <w:pPr>
        <w:tabs>
          <w:tab w:val="right" w:leader="dot" w:pos="9062"/>
        </w:tabs>
        <w:ind w:left="440"/>
      </w:pPr>
      <w:hyperlink w:anchor="_Toc2188" w:history="1">
        <w:r>
          <w:rPr>
            <w:rFonts w:ascii="IRNazanin" w:hAnsi="IRNazanin" w:eastAsia="IRNazanin" w:cs="IRNazanin"/>
            <w:color w:val="111111"/>
            <w:sz w:val="22"/>
            <w:szCs w:val="22"/>
            <w:b w:val="0"/>
            <w:bCs w:val="0"/>
            <w:i w:val="0"/>
            <w:iCs w:val="0"/>
          </w:rPr>
          <w:t>•تبصرة الولي فيمن رأي القائم المهدی / حديث أعربی</w:t>
        </w:r>
        <w:r>
          <w:tab/>
        </w:r>
        <w:r>
          <w:fldChar w:fldCharType="begin"/>
        </w:r>
        <w:r>
          <w:instrText xml:space="preserve">PAGEREF 2188 \h</w:instrText>
        </w:r>
        <w:r>
          <w:fldChar w:fldCharType="end"/>
        </w:r>
      </w:hyperlink>
    </w:p>
    <w:p>
      <w:pPr>
        <w:tabs>
          <w:tab w:val="right" w:leader="dot" w:pos="9062"/>
        </w:tabs>
        <w:ind w:left="440"/>
      </w:pPr>
      <w:hyperlink w:anchor="_Toc2189" w:history="1">
        <w:r>
          <w:rPr>
            <w:rFonts w:ascii="IRNazanin" w:hAnsi="IRNazanin" w:eastAsia="IRNazanin" w:cs="IRNazanin"/>
            <w:color w:val="111111"/>
            <w:sz w:val="22"/>
            <w:szCs w:val="22"/>
            <w:b w:val="0"/>
            <w:bCs w:val="0"/>
            <w:i w:val="0"/>
            <w:iCs w:val="0"/>
          </w:rPr>
          <w:t>•تبصير الرحمن و تيسير المنان ببعض ما يشير الى اعجاز القرآن = تفسير المهایمی / تفسير / عربی</w:t>
        </w:r>
        <w:r>
          <w:tab/>
        </w:r>
        <w:r>
          <w:fldChar w:fldCharType="begin"/>
        </w:r>
        <w:r>
          <w:instrText xml:space="preserve">PAGEREF 2189 \h</w:instrText>
        </w:r>
        <w:r>
          <w:fldChar w:fldCharType="end"/>
        </w:r>
      </w:hyperlink>
    </w:p>
    <w:p>
      <w:pPr>
        <w:tabs>
          <w:tab w:val="right" w:leader="dot" w:pos="9062"/>
        </w:tabs>
        <w:ind w:left="440"/>
      </w:pPr>
      <w:hyperlink w:anchor="_Toc2190" w:history="1">
        <w:r>
          <w:rPr>
            <w:rFonts w:ascii="IRNazanin" w:hAnsi="IRNazanin" w:eastAsia="IRNazanin" w:cs="IRNazanin"/>
            <w:color w:val="111111"/>
            <w:sz w:val="22"/>
            <w:szCs w:val="22"/>
            <w:b w:val="0"/>
            <w:bCs w:val="0"/>
            <w:i w:val="0"/>
            <w:iCs w:val="0"/>
          </w:rPr>
          <w:t>•تبعض البضع / فقه / عربی</w:t>
        </w:r>
        <w:r>
          <w:tab/>
        </w:r>
        <w:r>
          <w:fldChar w:fldCharType="begin"/>
        </w:r>
        <w:r>
          <w:instrText xml:space="preserve">PAGEREF 2190 \h</w:instrText>
        </w:r>
        <w:r>
          <w:fldChar w:fldCharType="end"/>
        </w:r>
      </w:hyperlink>
    </w:p>
    <w:p>
      <w:pPr>
        <w:tabs>
          <w:tab w:val="right" w:leader="dot" w:pos="9062"/>
        </w:tabs>
        <w:ind w:left="440"/>
      </w:pPr>
      <w:hyperlink w:anchor="_Toc2191" w:history="1">
        <w:r>
          <w:rPr>
            <w:rFonts w:ascii="IRNazanin" w:hAnsi="IRNazanin" w:eastAsia="IRNazanin" w:cs="IRNazanin"/>
            <w:color w:val="111111"/>
            <w:sz w:val="22"/>
            <w:szCs w:val="22"/>
            <w:b w:val="0"/>
            <w:bCs w:val="0"/>
            <w:i w:val="0"/>
            <w:iCs w:val="0"/>
          </w:rPr>
          <w:t>•تبعية المأموم للامام في السجود / فقه / عربی</w:t>
        </w:r>
        <w:r>
          <w:tab/>
        </w:r>
        <w:r>
          <w:fldChar w:fldCharType="begin"/>
        </w:r>
        <w:r>
          <w:instrText xml:space="preserve">PAGEREF 2191 \h</w:instrText>
        </w:r>
        <w:r>
          <w:fldChar w:fldCharType="end"/>
        </w:r>
      </w:hyperlink>
    </w:p>
    <w:p>
      <w:pPr>
        <w:tabs>
          <w:tab w:val="right" w:leader="dot" w:pos="9062"/>
        </w:tabs>
        <w:ind w:left="440"/>
      </w:pPr>
      <w:hyperlink w:anchor="_Toc2192" w:history="1">
        <w:r>
          <w:rPr>
            <w:rFonts w:ascii="IRNazanin" w:hAnsi="IRNazanin" w:eastAsia="IRNazanin" w:cs="IRNazanin"/>
            <w:color w:val="111111"/>
            <w:sz w:val="22"/>
            <w:szCs w:val="22"/>
            <w:b w:val="0"/>
            <w:bCs w:val="0"/>
            <w:i w:val="0"/>
            <w:iCs w:val="0"/>
          </w:rPr>
          <w:t>•تبعية اهل البيت(عليه السلام)/ كلام و اعتقادات / عربی</w:t>
        </w:r>
        <w:r>
          <w:tab/>
        </w:r>
        <w:r>
          <w:fldChar w:fldCharType="begin"/>
        </w:r>
        <w:r>
          <w:instrText xml:space="preserve">PAGEREF 2192 \h</w:instrText>
        </w:r>
        <w:r>
          <w:fldChar w:fldCharType="end"/>
        </w:r>
      </w:hyperlink>
    </w:p>
    <w:p>
      <w:pPr>
        <w:tabs>
          <w:tab w:val="right" w:leader="dot" w:pos="9062"/>
        </w:tabs>
        <w:ind w:left="440"/>
      </w:pPr>
      <w:hyperlink w:anchor="_Toc2193" w:history="1">
        <w:r>
          <w:rPr>
            <w:rFonts w:ascii="IRNazanin" w:hAnsi="IRNazanin" w:eastAsia="IRNazanin" w:cs="IRNazanin"/>
            <w:color w:val="111111"/>
            <w:sz w:val="22"/>
            <w:szCs w:val="22"/>
            <w:b w:val="0"/>
            <w:bCs w:val="0"/>
            <w:i w:val="0"/>
            <w:iCs w:val="0"/>
          </w:rPr>
          <w:t>•تبعید العلماء عن تقريب الأمراء / حكومت و سیاست / عربی</w:t>
        </w:r>
        <w:r>
          <w:tab/>
        </w:r>
        <w:r>
          <w:fldChar w:fldCharType="begin"/>
        </w:r>
        <w:r>
          <w:instrText xml:space="preserve">PAGEREF 2193 \h</w:instrText>
        </w:r>
        <w:r>
          <w:fldChar w:fldCharType="end"/>
        </w:r>
      </w:hyperlink>
    </w:p>
    <w:p>
      <w:pPr>
        <w:tabs>
          <w:tab w:val="right" w:leader="dot" w:pos="9062"/>
        </w:tabs>
        <w:ind w:left="440"/>
      </w:pPr>
      <w:hyperlink w:anchor="_Toc2194" w:history="1">
        <w:r>
          <w:rPr>
            <w:rFonts w:ascii="IRNazanin" w:hAnsi="IRNazanin" w:eastAsia="IRNazanin" w:cs="IRNazanin"/>
            <w:color w:val="111111"/>
            <w:sz w:val="22"/>
            <w:szCs w:val="22"/>
            <w:b w:val="0"/>
            <w:bCs w:val="0"/>
            <w:i w:val="0"/>
            <w:iCs w:val="0"/>
          </w:rPr>
          <w:t>•تبكيت / کلام و اعتقادات / فارسی و عربی</w:t>
        </w:r>
        <w:r>
          <w:tab/>
        </w:r>
        <w:r>
          <w:fldChar w:fldCharType="begin"/>
        </w:r>
        <w:r>
          <w:instrText xml:space="preserve">PAGEREF 2194 \h</w:instrText>
        </w:r>
        <w:r>
          <w:fldChar w:fldCharType="end"/>
        </w:r>
      </w:hyperlink>
    </w:p>
    <w:p>
      <w:pPr>
        <w:tabs>
          <w:tab w:val="right" w:leader="dot" w:pos="9062"/>
        </w:tabs>
        <w:ind w:left="440"/>
      </w:pPr>
      <w:hyperlink w:anchor="_Toc2195" w:history="1">
        <w:r>
          <w:rPr>
            <w:rFonts w:ascii="IRNazanin" w:hAnsi="IRNazanin" w:eastAsia="IRNazanin" w:cs="IRNazanin"/>
            <w:color w:val="111111"/>
            <w:sz w:val="22"/>
            <w:szCs w:val="22"/>
            <w:b w:val="0"/>
            <w:bCs w:val="0"/>
            <w:i w:val="0"/>
            <w:iCs w:val="0"/>
          </w:rPr>
          <w:t>•تبلیغ مذهب بهائیت (مقاله در) / كلام و اعتقادات / فارسی</w:t>
        </w:r>
        <w:r>
          <w:tab/>
        </w:r>
        <w:r>
          <w:fldChar w:fldCharType="begin"/>
        </w:r>
        <w:r>
          <w:instrText xml:space="preserve">PAGEREF 2195 \h</w:instrText>
        </w:r>
        <w:r>
          <w:fldChar w:fldCharType="end"/>
        </w:r>
      </w:hyperlink>
    </w:p>
    <w:p>
      <w:pPr>
        <w:tabs>
          <w:tab w:val="right" w:leader="dot" w:pos="9062"/>
        </w:tabs>
        <w:ind w:left="440"/>
      </w:pPr>
      <w:hyperlink w:anchor="_Toc2196" w:history="1">
        <w:r>
          <w:rPr>
            <w:rFonts w:ascii="IRNazanin" w:hAnsi="IRNazanin" w:eastAsia="IRNazanin" w:cs="IRNazanin"/>
            <w:color w:val="111111"/>
            <w:sz w:val="22"/>
            <w:szCs w:val="22"/>
            <w:b w:val="0"/>
            <w:bCs w:val="0"/>
            <w:i w:val="0"/>
            <w:iCs w:val="0"/>
          </w:rPr>
          <w:t>•التبويب / کیمیا / عربی</w:t>
        </w:r>
        <w:r>
          <w:tab/>
        </w:r>
        <w:r>
          <w:fldChar w:fldCharType="begin"/>
        </w:r>
        <w:r>
          <w:instrText xml:space="preserve">PAGEREF 2196 \h</w:instrText>
        </w:r>
        <w:r>
          <w:fldChar w:fldCharType="end"/>
        </w:r>
      </w:hyperlink>
    </w:p>
    <w:p>
      <w:pPr>
        <w:tabs>
          <w:tab w:val="right" w:leader="dot" w:pos="9062"/>
        </w:tabs>
        <w:ind w:left="440"/>
      </w:pPr>
      <w:hyperlink w:anchor="_Toc2197" w:history="1">
        <w:r>
          <w:rPr>
            <w:rFonts w:ascii="IRNazanin" w:hAnsi="IRNazanin" w:eastAsia="IRNazanin" w:cs="IRNazanin"/>
            <w:color w:val="111111"/>
            <w:sz w:val="22"/>
            <w:szCs w:val="22"/>
            <w:b w:val="0"/>
            <w:bCs w:val="0"/>
            <w:i w:val="0"/>
            <w:iCs w:val="0"/>
          </w:rPr>
          <w:t>•تبويب الأمالی / حديث / عربی</w:t>
        </w:r>
        <w:r>
          <w:tab/>
        </w:r>
        <w:r>
          <w:fldChar w:fldCharType="begin"/>
        </w:r>
        <w:r>
          <w:instrText xml:space="preserve">PAGEREF 2197 \h</w:instrText>
        </w:r>
        <w:r>
          <w:fldChar w:fldCharType="end"/>
        </w:r>
      </w:hyperlink>
    </w:p>
    <w:p>
      <w:pPr>
        <w:tabs>
          <w:tab w:val="right" w:leader="dot" w:pos="9062"/>
        </w:tabs>
        <w:ind w:left="440"/>
      </w:pPr>
      <w:hyperlink w:anchor="_Toc2198" w:history="1">
        <w:r>
          <w:rPr>
            <w:rFonts w:ascii="IRNazanin" w:hAnsi="IRNazanin" w:eastAsia="IRNazanin" w:cs="IRNazanin"/>
            <w:color w:val="111111"/>
            <w:sz w:val="22"/>
            <w:szCs w:val="22"/>
            <w:b w:val="0"/>
            <w:bCs w:val="0"/>
            <w:i w:val="0"/>
            <w:iCs w:val="0"/>
          </w:rPr>
          <w:t>•تبويب خلاصة الأقوال / رجال / عربی</w:t>
        </w:r>
        <w:r>
          <w:tab/>
        </w:r>
        <w:r>
          <w:fldChar w:fldCharType="begin"/>
        </w:r>
        <w:r>
          <w:instrText xml:space="preserve">PAGEREF 2198 \h</w:instrText>
        </w:r>
        <w:r>
          <w:fldChar w:fldCharType="end"/>
        </w:r>
      </w:hyperlink>
    </w:p>
    <w:p>
      <w:pPr>
        <w:tabs>
          <w:tab w:val="right" w:leader="dot" w:pos="9062"/>
        </w:tabs>
        <w:ind w:left="440"/>
      </w:pPr>
      <w:hyperlink w:anchor="_Toc2199" w:history="1">
        <w:r>
          <w:rPr>
            <w:rFonts w:ascii="IRNazanin" w:hAnsi="IRNazanin" w:eastAsia="IRNazanin" w:cs="IRNazanin"/>
            <w:color w:val="111111"/>
            <w:sz w:val="22"/>
            <w:szCs w:val="22"/>
            <w:b w:val="0"/>
            <w:bCs w:val="0"/>
            <w:i w:val="0"/>
            <w:iCs w:val="0"/>
          </w:rPr>
          <w:t>•تبها = حمیات / طب / فارسی</w:t>
        </w:r>
        <w:r>
          <w:tab/>
        </w:r>
        <w:r>
          <w:fldChar w:fldCharType="begin"/>
        </w:r>
        <w:r>
          <w:instrText xml:space="preserve">PAGEREF 2199 \h</w:instrText>
        </w:r>
        <w:r>
          <w:fldChar w:fldCharType="end"/>
        </w:r>
      </w:hyperlink>
    </w:p>
    <w:p>
      <w:pPr>
        <w:tabs>
          <w:tab w:val="right" w:leader="dot" w:pos="9062"/>
        </w:tabs>
        <w:ind w:left="440"/>
      </w:pPr>
      <w:hyperlink w:anchor="_Toc2200" w:history="1">
        <w:r>
          <w:rPr>
            <w:rFonts w:ascii="IRNazanin" w:hAnsi="IRNazanin" w:eastAsia="IRNazanin" w:cs="IRNazanin"/>
            <w:color w:val="111111"/>
            <w:sz w:val="22"/>
            <w:szCs w:val="22"/>
            <w:b w:val="0"/>
            <w:bCs w:val="0"/>
            <w:i w:val="0"/>
            <w:iCs w:val="0"/>
          </w:rPr>
          <w:t>•تبیان / اصول فقه / عربی</w:t>
        </w:r>
        <w:r>
          <w:tab/>
        </w:r>
        <w:r>
          <w:fldChar w:fldCharType="begin"/>
        </w:r>
        <w:r>
          <w:instrText xml:space="preserve">PAGEREF 2200 \h</w:instrText>
        </w:r>
        <w:r>
          <w:fldChar w:fldCharType="end"/>
        </w:r>
      </w:hyperlink>
    </w:p>
    <w:p>
      <w:pPr>
        <w:tabs>
          <w:tab w:val="right" w:leader="dot" w:pos="9062"/>
        </w:tabs>
        <w:ind w:left="440"/>
      </w:pPr>
      <w:hyperlink w:anchor="_Toc2201" w:history="1">
        <w:r>
          <w:rPr>
            <w:rFonts w:ascii="IRNazanin" w:hAnsi="IRNazanin" w:eastAsia="IRNazanin" w:cs="IRNazanin"/>
            <w:color w:val="111111"/>
            <w:sz w:val="22"/>
            <w:szCs w:val="22"/>
            <w:b w:val="0"/>
            <w:bCs w:val="0"/>
            <w:i w:val="0"/>
            <w:iCs w:val="0"/>
          </w:rPr>
          <w:t>•تبیان / تفسير / ترکی</w:t>
        </w:r>
        <w:r>
          <w:tab/>
        </w:r>
        <w:r>
          <w:fldChar w:fldCharType="begin"/>
        </w:r>
        <w:r>
          <w:instrText xml:space="preserve">PAGEREF 2201 \h</w:instrText>
        </w:r>
        <w:r>
          <w:fldChar w:fldCharType="end"/>
        </w:r>
      </w:hyperlink>
    </w:p>
    <w:p>
      <w:pPr>
        <w:tabs>
          <w:tab w:val="right" w:leader="dot" w:pos="9062"/>
        </w:tabs>
        <w:ind w:left="440"/>
      </w:pPr>
      <w:hyperlink w:anchor="_Toc2202" w:history="1">
        <w:r>
          <w:rPr>
            <w:rFonts w:ascii="IRNazanin" w:hAnsi="IRNazanin" w:eastAsia="IRNazanin" w:cs="IRNazanin"/>
            <w:color w:val="111111"/>
            <w:sz w:val="22"/>
            <w:szCs w:val="22"/>
            <w:b w:val="0"/>
            <w:bCs w:val="0"/>
            <w:i w:val="0"/>
            <w:iCs w:val="0"/>
          </w:rPr>
          <w:t>•التبيان / تفسير / عربی</w:t>
        </w:r>
        <w:r>
          <w:tab/>
        </w:r>
        <w:r>
          <w:fldChar w:fldCharType="begin"/>
        </w:r>
        <w:r>
          <w:instrText xml:space="preserve">PAGEREF 2202 \h</w:instrText>
        </w:r>
        <w:r>
          <w:fldChar w:fldCharType="end"/>
        </w:r>
      </w:hyperlink>
    </w:p>
    <w:p>
      <w:pPr>
        <w:tabs>
          <w:tab w:val="right" w:leader="dot" w:pos="9062"/>
        </w:tabs>
        <w:ind w:left="440"/>
      </w:pPr>
      <w:hyperlink w:anchor="_Toc2203" w:history="1">
        <w:r>
          <w:rPr>
            <w:rFonts w:ascii="IRNazanin" w:hAnsi="IRNazanin" w:eastAsia="IRNazanin" w:cs="IRNazanin"/>
            <w:color w:val="111111"/>
            <w:sz w:val="22"/>
            <w:szCs w:val="22"/>
            <w:b w:val="0"/>
            <w:bCs w:val="0"/>
            <w:i w:val="0"/>
            <w:iCs w:val="0"/>
          </w:rPr>
          <w:t>•التبيان / هیئت / عربی</w:t>
        </w:r>
        <w:r>
          <w:tab/>
        </w:r>
        <w:r>
          <w:fldChar w:fldCharType="begin"/>
        </w:r>
        <w:r>
          <w:instrText xml:space="preserve">PAGEREF 2203 \h</w:instrText>
        </w:r>
        <w:r>
          <w:fldChar w:fldCharType="end"/>
        </w:r>
      </w:hyperlink>
    </w:p>
    <w:p>
      <w:pPr>
        <w:tabs>
          <w:tab w:val="right" w:leader="dot" w:pos="9062"/>
        </w:tabs>
        <w:ind w:left="440"/>
      </w:pPr>
      <w:hyperlink w:anchor="_Toc2204" w:history="1">
        <w:r>
          <w:rPr>
            <w:rFonts w:ascii="IRNazanin" w:hAnsi="IRNazanin" w:eastAsia="IRNazanin" w:cs="IRNazanin"/>
            <w:color w:val="111111"/>
            <w:sz w:val="22"/>
            <w:szCs w:val="22"/>
            <w:b w:val="0"/>
            <w:bCs w:val="0"/>
            <w:i w:val="0"/>
            <w:iCs w:val="0"/>
          </w:rPr>
          <w:t>•تبیان الاصول / اصول فقه / عربی</w:t>
        </w:r>
        <w:r>
          <w:tab/>
        </w:r>
        <w:r>
          <w:fldChar w:fldCharType="begin"/>
        </w:r>
        <w:r>
          <w:instrText xml:space="preserve">PAGEREF 2204 \h</w:instrText>
        </w:r>
        <w:r>
          <w:fldChar w:fldCharType="end"/>
        </w:r>
      </w:hyperlink>
    </w:p>
    <w:p>
      <w:pPr>
        <w:tabs>
          <w:tab w:val="right" w:leader="dot" w:pos="9062"/>
        </w:tabs>
        <w:ind w:left="440"/>
      </w:pPr>
      <w:hyperlink w:anchor="_Toc2205" w:history="1">
        <w:r>
          <w:rPr>
            <w:rFonts w:ascii="IRNazanin" w:hAnsi="IRNazanin" w:eastAsia="IRNazanin" w:cs="IRNazanin"/>
            <w:color w:val="111111"/>
            <w:sz w:val="22"/>
            <w:szCs w:val="22"/>
            <w:b w:val="0"/>
            <w:bCs w:val="0"/>
            <w:i w:val="0"/>
            <w:iCs w:val="0"/>
          </w:rPr>
          <w:t>•تبیان الأوقات / فقه / عربی</w:t>
        </w:r>
        <w:r>
          <w:tab/>
        </w:r>
        <w:r>
          <w:fldChar w:fldCharType="begin"/>
        </w:r>
        <w:r>
          <w:instrText xml:space="preserve">PAGEREF 2205 \h</w:instrText>
        </w:r>
        <w:r>
          <w:fldChar w:fldCharType="end"/>
        </w:r>
      </w:hyperlink>
    </w:p>
    <w:p>
      <w:pPr>
        <w:tabs>
          <w:tab w:val="right" w:leader="dot" w:pos="9062"/>
        </w:tabs>
        <w:ind w:left="440"/>
      </w:pPr>
      <w:hyperlink w:anchor="_Toc2206" w:history="1">
        <w:r>
          <w:rPr>
            <w:rFonts w:ascii="IRNazanin" w:hAnsi="IRNazanin" w:eastAsia="IRNazanin" w:cs="IRNazanin"/>
            <w:color w:val="111111"/>
            <w:sz w:val="22"/>
            <w:szCs w:val="22"/>
            <w:b w:val="0"/>
            <w:bCs w:val="0"/>
            <w:i w:val="0"/>
            <w:iCs w:val="0"/>
          </w:rPr>
          <w:t>•تبیان البيان في قواعد القرآن / تجوید / فارسی</w:t>
        </w:r>
        <w:r>
          <w:tab/>
        </w:r>
        <w:r>
          <w:fldChar w:fldCharType="begin"/>
        </w:r>
        <w:r>
          <w:instrText xml:space="preserve">PAGEREF 2206 \h</w:instrText>
        </w:r>
        <w:r>
          <w:fldChar w:fldCharType="end"/>
        </w:r>
      </w:hyperlink>
    </w:p>
    <w:p>
      <w:pPr>
        <w:tabs>
          <w:tab w:val="right" w:leader="dot" w:pos="9062"/>
        </w:tabs>
        <w:ind w:left="440"/>
      </w:pPr>
      <w:hyperlink w:anchor="_Toc2207" w:history="1">
        <w:r>
          <w:rPr>
            <w:rFonts w:ascii="IRNazanin" w:hAnsi="IRNazanin" w:eastAsia="IRNazanin" w:cs="IRNazanin"/>
            <w:color w:val="111111"/>
            <w:sz w:val="22"/>
            <w:szCs w:val="22"/>
            <w:b w:val="0"/>
            <w:bCs w:val="0"/>
            <w:i w:val="0"/>
            <w:iCs w:val="0"/>
          </w:rPr>
          <w:t>•تبیان التقويم في علم التنجيم / هیئت فارسی</w:t>
        </w:r>
        <w:r>
          <w:tab/>
        </w:r>
        <w:r>
          <w:fldChar w:fldCharType="begin"/>
        </w:r>
        <w:r>
          <w:instrText xml:space="preserve">PAGEREF 2207 \h</w:instrText>
        </w:r>
        <w:r>
          <w:fldChar w:fldCharType="end"/>
        </w:r>
      </w:hyperlink>
    </w:p>
    <w:p>
      <w:pPr>
        <w:tabs>
          <w:tab w:val="right" w:leader="dot" w:pos="9062"/>
        </w:tabs>
        <w:ind w:left="440"/>
      </w:pPr>
      <w:hyperlink w:anchor="_Toc2208" w:history="1">
        <w:r>
          <w:rPr>
            <w:rFonts w:ascii="IRNazanin" w:hAnsi="IRNazanin" w:eastAsia="IRNazanin" w:cs="IRNazanin"/>
            <w:color w:val="111111"/>
            <w:sz w:val="22"/>
            <w:szCs w:val="22"/>
            <w:b w:val="0"/>
            <w:bCs w:val="0"/>
            <w:i w:val="0"/>
            <w:iCs w:val="0"/>
          </w:rPr>
          <w:t>•تبيان الحق / اخلاق / فارسی</w:t>
        </w:r>
        <w:r>
          <w:tab/>
        </w:r>
        <w:r>
          <w:fldChar w:fldCharType="begin"/>
        </w:r>
        <w:r>
          <w:instrText xml:space="preserve">PAGEREF 2208 \h</w:instrText>
        </w:r>
        <w:r>
          <w:fldChar w:fldCharType="end"/>
        </w:r>
      </w:hyperlink>
    </w:p>
    <w:p>
      <w:pPr>
        <w:tabs>
          <w:tab w:val="right" w:leader="dot" w:pos="9062"/>
        </w:tabs>
        <w:ind w:left="440"/>
      </w:pPr>
      <w:hyperlink w:anchor="_Toc2209" w:history="1">
        <w:r>
          <w:rPr>
            <w:rFonts w:ascii="IRNazanin" w:hAnsi="IRNazanin" w:eastAsia="IRNazanin" w:cs="IRNazanin"/>
            <w:color w:val="111111"/>
            <w:sz w:val="22"/>
            <w:szCs w:val="22"/>
            <w:b w:val="0"/>
            <w:bCs w:val="0"/>
            <w:i w:val="0"/>
            <w:iCs w:val="0"/>
          </w:rPr>
          <w:t>•تبیان الرموز / عرفان و تصوف / فارسی</w:t>
        </w:r>
        <w:r>
          <w:tab/>
        </w:r>
        <w:r>
          <w:fldChar w:fldCharType="begin"/>
        </w:r>
        <w:r>
          <w:instrText xml:space="preserve">PAGEREF 2209 \h</w:instrText>
        </w:r>
        <w:r>
          <w:fldChar w:fldCharType="end"/>
        </w:r>
      </w:hyperlink>
    </w:p>
    <w:p>
      <w:pPr>
        <w:tabs>
          <w:tab w:val="right" w:leader="dot" w:pos="9062"/>
        </w:tabs>
        <w:ind w:left="440"/>
      </w:pPr>
      <w:hyperlink w:anchor="_Toc2210" w:history="1">
        <w:r>
          <w:rPr>
            <w:rFonts w:ascii="IRNazanin" w:hAnsi="IRNazanin" w:eastAsia="IRNazanin" w:cs="IRNazanin"/>
            <w:color w:val="111111"/>
            <w:sz w:val="22"/>
            <w:szCs w:val="22"/>
            <w:b w:val="0"/>
            <w:bCs w:val="0"/>
            <w:i w:val="0"/>
            <w:iCs w:val="0"/>
          </w:rPr>
          <w:t>•تبیان سلیمانی = تفسیر تبیان / تفسير / فارسی</w:t>
        </w:r>
        <w:r>
          <w:tab/>
        </w:r>
        <w:r>
          <w:fldChar w:fldCharType="begin"/>
        </w:r>
        <w:r>
          <w:instrText xml:space="preserve">PAGEREF 2210 \h</w:instrText>
        </w:r>
        <w:r>
          <w:fldChar w:fldCharType="end"/>
        </w:r>
      </w:hyperlink>
    </w:p>
    <w:p>
      <w:pPr>
        <w:tabs>
          <w:tab w:val="right" w:leader="dot" w:pos="9062"/>
        </w:tabs>
        <w:ind w:left="440"/>
      </w:pPr>
      <w:hyperlink w:anchor="_Toc2211" w:history="1">
        <w:r>
          <w:rPr>
            <w:rFonts w:ascii="IRNazanin" w:hAnsi="IRNazanin" w:eastAsia="IRNazanin" w:cs="IRNazanin"/>
            <w:color w:val="111111"/>
            <w:sz w:val="22"/>
            <w:szCs w:val="22"/>
            <w:b w:val="0"/>
            <w:bCs w:val="0"/>
            <w:i w:val="0"/>
            <w:iCs w:val="0"/>
          </w:rPr>
          <w:t>•تبیان الطلاق / فقه / عرب</w:t>
        </w:r>
        <w:r>
          <w:tab/>
        </w:r>
        <w:r>
          <w:fldChar w:fldCharType="begin"/>
        </w:r>
        <w:r>
          <w:instrText xml:space="preserve">PAGEREF 2211 \h</w:instrText>
        </w:r>
        <w:r>
          <w:fldChar w:fldCharType="end"/>
        </w:r>
      </w:hyperlink>
    </w:p>
    <w:p>
      <w:pPr>
        <w:tabs>
          <w:tab w:val="right" w:leader="dot" w:pos="9062"/>
        </w:tabs>
        <w:ind w:left="440"/>
      </w:pPr>
      <w:hyperlink w:anchor="_Toc2212" w:history="1">
        <w:r>
          <w:rPr>
            <w:rFonts w:ascii="IRNazanin" w:hAnsi="IRNazanin" w:eastAsia="IRNazanin" w:cs="IRNazanin"/>
            <w:color w:val="111111"/>
            <w:sz w:val="22"/>
            <w:szCs w:val="22"/>
            <w:b w:val="0"/>
            <w:bCs w:val="0"/>
            <w:i w:val="0"/>
            <w:iCs w:val="0"/>
          </w:rPr>
          <w:t>•تبیان عرفان طائفة المحقة و تبیین انها الناجية فصل في / كلام و اعتقادات / عربی</w:t>
        </w:r>
        <w:r>
          <w:tab/>
        </w:r>
        <w:r>
          <w:fldChar w:fldCharType="begin"/>
        </w:r>
        <w:r>
          <w:instrText xml:space="preserve">PAGEREF 2212 \h</w:instrText>
        </w:r>
        <w:r>
          <w:fldChar w:fldCharType="end"/>
        </w:r>
      </w:hyperlink>
    </w:p>
    <w:p>
      <w:pPr>
        <w:tabs>
          <w:tab w:val="right" w:leader="dot" w:pos="9062"/>
        </w:tabs>
        <w:ind w:left="440"/>
      </w:pPr>
      <w:hyperlink w:anchor="_Toc2213" w:history="1">
        <w:r>
          <w:rPr>
            <w:rFonts w:ascii="IRNazanin" w:hAnsi="IRNazanin" w:eastAsia="IRNazanin" w:cs="IRNazanin"/>
            <w:color w:val="111111"/>
            <w:sz w:val="22"/>
            <w:szCs w:val="22"/>
            <w:b w:val="0"/>
            <w:bCs w:val="0"/>
            <w:i w:val="0"/>
            <w:iCs w:val="0"/>
          </w:rPr>
          <w:t>•تبیان العوام في تجويد الكلام / تجوید / فارسی</w:t>
        </w:r>
        <w:r>
          <w:tab/>
        </w:r>
        <w:r>
          <w:fldChar w:fldCharType="begin"/>
        </w:r>
        <w:r>
          <w:instrText xml:space="preserve">PAGEREF 2213 \h</w:instrText>
        </w:r>
        <w:r>
          <w:fldChar w:fldCharType="end"/>
        </w:r>
      </w:hyperlink>
    </w:p>
    <w:p>
      <w:pPr>
        <w:tabs>
          <w:tab w:val="right" w:leader="dot" w:pos="9062"/>
        </w:tabs>
        <w:ind w:left="440"/>
      </w:pPr>
      <w:hyperlink w:anchor="_Toc2214" w:history="1">
        <w:r>
          <w:rPr>
            <w:rFonts w:ascii="IRNazanin" w:hAnsi="IRNazanin" w:eastAsia="IRNazanin" w:cs="IRNazanin"/>
            <w:color w:val="111111"/>
            <w:sz w:val="22"/>
            <w:szCs w:val="22"/>
            <w:b w:val="0"/>
            <w:bCs w:val="0"/>
            <w:i w:val="0"/>
            <w:iCs w:val="0"/>
          </w:rPr>
          <w:t>•التبيان في ... /-عربی</w:t>
        </w:r>
        <w:r>
          <w:tab/>
        </w:r>
        <w:r>
          <w:fldChar w:fldCharType="begin"/>
        </w:r>
        <w:r>
          <w:instrText xml:space="preserve">PAGEREF 2214 \h</w:instrText>
        </w:r>
        <w:r>
          <w:fldChar w:fldCharType="end"/>
        </w:r>
      </w:hyperlink>
    </w:p>
    <w:p>
      <w:pPr>
        <w:tabs>
          <w:tab w:val="right" w:leader="dot" w:pos="9062"/>
        </w:tabs>
        <w:ind w:left="440"/>
      </w:pPr>
      <w:hyperlink w:anchor="_Toc2215" w:history="1">
        <w:r>
          <w:rPr>
            <w:rFonts w:ascii="IRNazanin" w:hAnsi="IRNazanin" w:eastAsia="IRNazanin" w:cs="IRNazanin"/>
            <w:color w:val="111111"/>
            <w:sz w:val="22"/>
            <w:szCs w:val="22"/>
            <w:b w:val="0"/>
            <w:bCs w:val="0"/>
            <w:i w:val="0"/>
            <w:iCs w:val="0"/>
          </w:rPr>
          <w:t>•التبيان في آداب حملة القرآن / علوم قرآن / عربی</w:t>
        </w:r>
        <w:r>
          <w:tab/>
        </w:r>
        <w:r>
          <w:fldChar w:fldCharType="begin"/>
        </w:r>
        <w:r>
          <w:instrText xml:space="preserve">PAGEREF 2215 \h</w:instrText>
        </w:r>
        <w:r>
          <w:fldChar w:fldCharType="end"/>
        </w:r>
      </w:hyperlink>
    </w:p>
    <w:p>
      <w:pPr>
        <w:tabs>
          <w:tab w:val="right" w:leader="dot" w:pos="9062"/>
        </w:tabs>
        <w:ind w:left="440"/>
      </w:pPr>
      <w:hyperlink w:anchor="_Toc2216" w:history="1">
        <w:r>
          <w:rPr>
            <w:rFonts w:ascii="IRNazanin" w:hAnsi="IRNazanin" w:eastAsia="IRNazanin" w:cs="IRNazanin"/>
            <w:color w:val="111111"/>
            <w:sz w:val="22"/>
            <w:szCs w:val="22"/>
            <w:b w:val="0"/>
            <w:bCs w:val="0"/>
            <w:i w:val="0"/>
            <w:iCs w:val="0"/>
          </w:rPr>
          <w:t>•التبيان في اعراب القرآن = املاء ما من به الرحمن من وجوه الاعراب و القراءات في جميع القرآن = اعراب ابوالبقاء / علوم قرآن / عربی</w:t>
        </w:r>
        <w:r>
          <w:tab/>
        </w:r>
        <w:r>
          <w:fldChar w:fldCharType="begin"/>
        </w:r>
        <w:r>
          <w:instrText xml:space="preserve">PAGEREF 2216 \h</w:instrText>
        </w:r>
        <w:r>
          <w:fldChar w:fldCharType="end"/>
        </w:r>
      </w:hyperlink>
    </w:p>
    <w:p>
      <w:pPr>
        <w:tabs>
          <w:tab w:val="right" w:leader="dot" w:pos="9062"/>
        </w:tabs>
        <w:ind w:left="440"/>
      </w:pPr>
      <w:hyperlink w:anchor="_Toc2217" w:history="1">
        <w:r>
          <w:rPr>
            <w:rFonts w:ascii="IRNazanin" w:hAnsi="IRNazanin" w:eastAsia="IRNazanin" w:cs="IRNazanin"/>
            <w:color w:val="111111"/>
            <w:sz w:val="22"/>
            <w:szCs w:val="22"/>
            <w:b w:val="0"/>
            <w:bCs w:val="0"/>
            <w:i w:val="0"/>
            <w:iCs w:val="0"/>
          </w:rPr>
          <w:t>•التبیان فی بیان القرآن / تجوید / عربی</w:t>
        </w:r>
        <w:r>
          <w:tab/>
        </w:r>
        <w:r>
          <w:fldChar w:fldCharType="begin"/>
        </w:r>
        <w:r>
          <w:instrText xml:space="preserve">PAGEREF 2217 \h</w:instrText>
        </w:r>
        <w:r>
          <w:fldChar w:fldCharType="end"/>
        </w:r>
      </w:hyperlink>
    </w:p>
    <w:p>
      <w:pPr>
        <w:tabs>
          <w:tab w:val="right" w:leader="dot" w:pos="9062"/>
        </w:tabs>
        <w:ind w:left="440"/>
      </w:pPr>
      <w:hyperlink w:anchor="_Toc2218" w:history="1">
        <w:r>
          <w:rPr>
            <w:rFonts w:ascii="IRNazanin" w:hAnsi="IRNazanin" w:eastAsia="IRNazanin" w:cs="IRNazanin"/>
            <w:color w:val="111111"/>
            <w:sz w:val="22"/>
            <w:szCs w:val="22"/>
            <w:b w:val="0"/>
            <w:bCs w:val="0"/>
            <w:i w:val="0"/>
            <w:iCs w:val="0"/>
          </w:rPr>
          <w:t>•التبيان في بيان ما في ليلة النصف من شعبان / اخلاق / عربی</w:t>
        </w:r>
        <w:r>
          <w:tab/>
        </w:r>
        <w:r>
          <w:fldChar w:fldCharType="begin"/>
        </w:r>
        <w:r>
          <w:instrText xml:space="preserve">PAGEREF 2218 \h</w:instrText>
        </w:r>
        <w:r>
          <w:fldChar w:fldCharType="end"/>
        </w:r>
      </w:hyperlink>
    </w:p>
    <w:p>
      <w:pPr>
        <w:tabs>
          <w:tab w:val="right" w:leader="dot" w:pos="9062"/>
        </w:tabs>
        <w:ind w:left="440"/>
      </w:pPr>
      <w:hyperlink w:anchor="_Toc2219" w:history="1">
        <w:r>
          <w:rPr>
            <w:rFonts w:ascii="IRNazanin" w:hAnsi="IRNazanin" w:eastAsia="IRNazanin" w:cs="IRNazanin"/>
            <w:color w:val="111111"/>
            <w:sz w:val="22"/>
            <w:szCs w:val="22"/>
            <w:b w:val="0"/>
            <w:bCs w:val="0"/>
            <w:i w:val="0"/>
            <w:iCs w:val="0"/>
          </w:rPr>
          <w:t>•التبيان في تفسير القرآن = التبيان الجامع لعلوم القرآن / تفسير / عربی</w:t>
        </w:r>
        <w:r>
          <w:tab/>
        </w:r>
        <w:r>
          <w:fldChar w:fldCharType="begin"/>
        </w:r>
        <w:r>
          <w:instrText xml:space="preserve">PAGEREF 2219 \h</w:instrText>
        </w:r>
        <w:r>
          <w:fldChar w:fldCharType="end"/>
        </w:r>
      </w:hyperlink>
    </w:p>
    <w:p>
      <w:pPr>
        <w:tabs>
          <w:tab w:val="right" w:leader="dot" w:pos="9062"/>
        </w:tabs>
        <w:ind w:left="440"/>
      </w:pPr>
      <w:hyperlink w:anchor="_Toc2220" w:history="1">
        <w:r>
          <w:rPr>
            <w:rFonts w:ascii="IRNazanin" w:hAnsi="IRNazanin" w:eastAsia="IRNazanin" w:cs="IRNazanin"/>
            <w:color w:val="111111"/>
            <w:sz w:val="22"/>
            <w:szCs w:val="22"/>
            <w:b w:val="0"/>
            <w:bCs w:val="0"/>
            <w:i w:val="0"/>
            <w:iCs w:val="0"/>
          </w:rPr>
          <w:t>•التبيان في تفسير القرآن (منتخب) = المنتخب من تفسير القرآن و النكت المستخرجة من كتاب التبيان = مختصر التبيان = التعليقة على التبيان في تفسير القرآن / تفسير / عربی</w:t>
        </w:r>
        <w:r>
          <w:tab/>
        </w:r>
        <w:r>
          <w:fldChar w:fldCharType="begin"/>
        </w:r>
        <w:r>
          <w:instrText xml:space="preserve">PAGEREF 2220 \h</w:instrText>
        </w:r>
        <w:r>
          <w:fldChar w:fldCharType="end"/>
        </w:r>
      </w:hyperlink>
    </w:p>
    <w:p>
      <w:pPr>
        <w:tabs>
          <w:tab w:val="right" w:leader="dot" w:pos="9062"/>
        </w:tabs>
        <w:ind w:left="440"/>
      </w:pPr>
      <w:hyperlink w:anchor="_Toc2221" w:history="1">
        <w:r>
          <w:rPr>
            <w:rFonts w:ascii="IRNazanin" w:hAnsi="IRNazanin" w:eastAsia="IRNazanin" w:cs="IRNazanin"/>
            <w:color w:val="111111"/>
            <w:sz w:val="22"/>
            <w:szCs w:val="22"/>
            <w:b w:val="0"/>
            <w:bCs w:val="0"/>
            <w:i w:val="0"/>
            <w:iCs w:val="0"/>
          </w:rPr>
          <w:t>•التبيان في تفسير القرآن / تفسير / عربی</w:t>
        </w:r>
        <w:r>
          <w:tab/>
        </w:r>
        <w:r>
          <w:fldChar w:fldCharType="begin"/>
        </w:r>
        <w:r>
          <w:instrText xml:space="preserve">PAGEREF 2221 \h</w:instrText>
        </w:r>
        <w:r>
          <w:fldChar w:fldCharType="end"/>
        </w:r>
      </w:hyperlink>
    </w:p>
    <w:p>
      <w:pPr>
        <w:tabs>
          <w:tab w:val="right" w:leader="dot" w:pos="9062"/>
        </w:tabs>
        <w:ind w:left="440"/>
      </w:pPr>
      <w:hyperlink w:anchor="_Toc2222" w:history="1">
        <w:r>
          <w:rPr>
            <w:rFonts w:ascii="IRNazanin" w:hAnsi="IRNazanin" w:eastAsia="IRNazanin" w:cs="IRNazanin"/>
            <w:color w:val="111111"/>
            <w:sz w:val="22"/>
            <w:szCs w:val="22"/>
            <w:b w:val="0"/>
            <w:bCs w:val="0"/>
            <w:i w:val="0"/>
            <w:iCs w:val="0"/>
          </w:rPr>
          <w:t>•التبيان في تفسير القرآن / تفسير / عربی</w:t>
        </w:r>
        <w:r>
          <w:tab/>
        </w:r>
        <w:r>
          <w:fldChar w:fldCharType="begin"/>
        </w:r>
        <w:r>
          <w:instrText xml:space="preserve">PAGEREF 2222 \h</w:instrText>
        </w:r>
        <w:r>
          <w:fldChar w:fldCharType="end"/>
        </w:r>
      </w:hyperlink>
    </w:p>
    <w:p>
      <w:pPr>
        <w:tabs>
          <w:tab w:val="right" w:leader="dot" w:pos="9062"/>
        </w:tabs>
        <w:ind w:left="440"/>
      </w:pPr>
      <w:hyperlink w:anchor="_Toc2223" w:history="1">
        <w:r>
          <w:rPr>
            <w:rFonts w:ascii="IRNazanin" w:hAnsi="IRNazanin" w:eastAsia="IRNazanin" w:cs="IRNazanin"/>
            <w:color w:val="111111"/>
            <w:sz w:val="22"/>
            <w:szCs w:val="22"/>
            <w:b w:val="0"/>
            <w:bCs w:val="0"/>
            <w:i w:val="0"/>
            <w:iCs w:val="0"/>
          </w:rPr>
          <w:t>•التبيان في شرح الديوان = شرح دیوان متنبی / ادبیات / عربی</w:t>
        </w:r>
        <w:r>
          <w:tab/>
        </w:r>
        <w:r>
          <w:fldChar w:fldCharType="begin"/>
        </w:r>
        <w:r>
          <w:instrText xml:space="preserve">PAGEREF 2223 \h</w:instrText>
        </w:r>
        <w:r>
          <w:fldChar w:fldCharType="end"/>
        </w:r>
      </w:hyperlink>
    </w:p>
    <w:p>
      <w:pPr>
        <w:tabs>
          <w:tab w:val="right" w:leader="dot" w:pos="9062"/>
        </w:tabs>
        <w:ind w:left="440"/>
      </w:pPr>
      <w:hyperlink w:anchor="_Toc2224" w:history="1">
        <w:r>
          <w:rPr>
            <w:rFonts w:ascii="IRNazanin" w:hAnsi="IRNazanin" w:eastAsia="IRNazanin" w:cs="IRNazanin"/>
            <w:color w:val="111111"/>
            <w:sz w:val="22"/>
            <w:szCs w:val="22"/>
            <w:b w:val="0"/>
            <w:bCs w:val="0"/>
            <w:i w:val="0"/>
            <w:iCs w:val="0"/>
          </w:rPr>
          <w:t>•التبيان في شرح القاموس الملأن من الجمان / لغت / عربی</w:t>
        </w:r>
        <w:r>
          <w:tab/>
        </w:r>
        <w:r>
          <w:fldChar w:fldCharType="begin"/>
        </w:r>
        <w:r>
          <w:instrText xml:space="preserve">PAGEREF 2224 \h</w:instrText>
        </w:r>
        <w:r>
          <w:fldChar w:fldCharType="end"/>
        </w:r>
      </w:hyperlink>
    </w:p>
    <w:p>
      <w:pPr>
        <w:tabs>
          <w:tab w:val="right" w:leader="dot" w:pos="9062"/>
        </w:tabs>
        <w:ind w:left="440"/>
      </w:pPr>
      <w:hyperlink w:anchor="_Toc2225" w:history="1">
        <w:r>
          <w:rPr>
            <w:rFonts w:ascii="IRNazanin" w:hAnsi="IRNazanin" w:eastAsia="IRNazanin" w:cs="IRNazanin"/>
            <w:color w:val="111111"/>
            <w:sz w:val="22"/>
            <w:szCs w:val="22"/>
            <w:b w:val="0"/>
            <w:bCs w:val="0"/>
            <w:i w:val="0"/>
            <w:iCs w:val="0"/>
          </w:rPr>
          <w:t>• التبيان في شرح زبدة الأصول / اصول فقه / عربی</w:t>
        </w:r>
        <w:r>
          <w:tab/>
        </w:r>
        <w:r>
          <w:fldChar w:fldCharType="begin"/>
        </w:r>
        <w:r>
          <w:instrText xml:space="preserve">PAGEREF 2225 \h</w:instrText>
        </w:r>
        <w:r>
          <w:fldChar w:fldCharType="end"/>
        </w:r>
      </w:hyperlink>
    </w:p>
    <w:p>
      <w:pPr>
        <w:tabs>
          <w:tab w:val="right" w:leader="dot" w:pos="9062"/>
        </w:tabs>
        <w:ind w:left="440"/>
      </w:pPr>
      <w:hyperlink w:anchor="_Toc2226" w:history="1">
        <w:r>
          <w:rPr>
            <w:rFonts w:ascii="IRNazanin" w:hAnsi="IRNazanin" w:eastAsia="IRNazanin" w:cs="IRNazanin"/>
            <w:color w:val="111111"/>
            <w:sz w:val="22"/>
            <w:szCs w:val="22"/>
            <w:b w:val="0"/>
            <w:bCs w:val="0"/>
            <w:i w:val="0"/>
            <w:iCs w:val="0"/>
          </w:rPr>
          <w:t>•التبيان في علم البيان المطلع على اعجاز القرآن /</w:t>
        </w:r>
        <w:r>
          <w:tab/>
        </w:r>
        <w:r>
          <w:fldChar w:fldCharType="begin"/>
        </w:r>
        <w:r>
          <w:instrText xml:space="preserve">PAGEREF 2226 \h</w:instrText>
        </w:r>
        <w:r>
          <w:fldChar w:fldCharType="end"/>
        </w:r>
      </w:hyperlink>
    </w:p>
    <w:p>
      <w:pPr>
        <w:tabs>
          <w:tab w:val="right" w:leader="dot" w:pos="9062"/>
        </w:tabs>
        <w:ind w:left="440"/>
      </w:pPr>
      <w:hyperlink w:anchor="_Toc2227" w:history="1">
        <w:r>
          <w:rPr>
            <w:rFonts w:ascii="IRNazanin" w:hAnsi="IRNazanin" w:eastAsia="IRNazanin" w:cs="IRNazanin"/>
            <w:color w:val="111111"/>
            <w:sz w:val="22"/>
            <w:szCs w:val="22"/>
            <w:b w:val="0"/>
            <w:bCs w:val="0"/>
            <w:i w:val="0"/>
            <w:iCs w:val="0"/>
          </w:rPr>
          <w:t>•معانی بیان، علوم قرآن / عربی</w:t>
        </w:r>
        <w:r>
          <w:tab/>
        </w:r>
        <w:r>
          <w:fldChar w:fldCharType="begin"/>
        </w:r>
        <w:r>
          <w:instrText xml:space="preserve">PAGEREF 2227 \h</w:instrText>
        </w:r>
        <w:r>
          <w:fldChar w:fldCharType="end"/>
        </w:r>
      </w:hyperlink>
    </w:p>
    <w:p>
      <w:pPr>
        <w:tabs>
          <w:tab w:val="right" w:leader="dot" w:pos="9062"/>
        </w:tabs>
        <w:ind w:left="440"/>
      </w:pPr>
      <w:hyperlink w:anchor="_Toc2228" w:history="1">
        <w:r>
          <w:rPr>
            <w:rFonts w:ascii="IRNazanin" w:hAnsi="IRNazanin" w:eastAsia="IRNazanin" w:cs="IRNazanin"/>
            <w:color w:val="111111"/>
            <w:sz w:val="22"/>
            <w:szCs w:val="22"/>
            <w:b w:val="0"/>
            <w:bCs w:val="0"/>
            <w:i w:val="0"/>
            <w:iCs w:val="0"/>
          </w:rPr>
          <w:t>•التبيان في معاني القرآن / تفسير / عربی</w:t>
        </w:r>
        <w:r>
          <w:tab/>
        </w:r>
        <w:r>
          <w:fldChar w:fldCharType="begin"/>
        </w:r>
        <w:r>
          <w:instrText xml:space="preserve">PAGEREF 2228 \h</w:instrText>
        </w:r>
        <w:r>
          <w:fldChar w:fldCharType="end"/>
        </w:r>
      </w:hyperlink>
    </w:p>
    <w:p>
      <w:pPr>
        <w:tabs>
          <w:tab w:val="right" w:leader="dot" w:pos="9062"/>
        </w:tabs>
        <w:ind w:left="440"/>
      </w:pPr>
      <w:hyperlink w:anchor="_Toc2229" w:history="1">
        <w:r>
          <w:rPr>
            <w:rFonts w:ascii="IRNazanin" w:hAnsi="IRNazanin" w:eastAsia="IRNazanin" w:cs="IRNazanin"/>
            <w:color w:val="111111"/>
            <w:sz w:val="22"/>
            <w:szCs w:val="22"/>
            <w:b w:val="0"/>
            <w:bCs w:val="0"/>
            <w:i w:val="0"/>
            <w:iCs w:val="0"/>
          </w:rPr>
          <w:t>•التبيان في المعانی و البيان / بلاغت / عربی</w:t>
        </w:r>
        <w:r>
          <w:tab/>
        </w:r>
        <w:r>
          <w:fldChar w:fldCharType="begin"/>
        </w:r>
        <w:r>
          <w:instrText xml:space="preserve">PAGEREF 2229 \h</w:instrText>
        </w:r>
        <w:r>
          <w:fldChar w:fldCharType="end"/>
        </w:r>
      </w:hyperlink>
    </w:p>
    <w:p>
      <w:pPr>
        <w:tabs>
          <w:tab w:val="right" w:leader="dot" w:pos="9062"/>
        </w:tabs>
        <w:ind w:left="440"/>
      </w:pPr>
      <w:hyperlink w:anchor="_Toc2230" w:history="1">
        <w:r>
          <w:rPr>
            <w:rFonts w:ascii="IRNazanin" w:hAnsi="IRNazanin" w:eastAsia="IRNazanin" w:cs="IRNazanin"/>
            <w:color w:val="111111"/>
            <w:sz w:val="22"/>
            <w:szCs w:val="22"/>
            <w:b w:val="0"/>
            <w:bCs w:val="0"/>
            <w:i w:val="0"/>
            <w:iCs w:val="0"/>
          </w:rPr>
          <w:t>•تبیان القواعد للحساب / رياضيات / عربی</w:t>
        </w:r>
        <w:r>
          <w:tab/>
        </w:r>
        <w:r>
          <w:fldChar w:fldCharType="begin"/>
        </w:r>
        <w:r>
          <w:instrText xml:space="preserve">PAGEREF 2230 \h</w:instrText>
        </w:r>
        <w:r>
          <w:fldChar w:fldCharType="end"/>
        </w:r>
      </w:hyperlink>
    </w:p>
    <w:p>
      <w:pPr>
        <w:tabs>
          <w:tab w:val="right" w:leader="dot" w:pos="9062"/>
        </w:tabs>
        <w:ind w:left="440"/>
      </w:pPr>
      <w:hyperlink w:anchor="_Toc2231" w:history="1">
        <w:r>
          <w:rPr>
            <w:rFonts w:ascii="IRNazanin" w:hAnsi="IRNazanin" w:eastAsia="IRNazanin" w:cs="IRNazanin"/>
            <w:color w:val="111111"/>
            <w:sz w:val="22"/>
            <w:szCs w:val="22"/>
            <w:b w:val="0"/>
            <w:bCs w:val="0"/>
            <w:i w:val="0"/>
            <w:iCs w:val="0"/>
          </w:rPr>
          <w:t>•تبیان القواعد النحوية في شرح الهداية المهدية / نحو عربی</w:t>
        </w:r>
        <w:r>
          <w:tab/>
        </w:r>
        <w:r>
          <w:fldChar w:fldCharType="begin"/>
        </w:r>
        <w:r>
          <w:instrText xml:space="preserve">PAGEREF 2231 \h</w:instrText>
        </w:r>
        <w:r>
          <w:fldChar w:fldCharType="end"/>
        </w:r>
      </w:hyperlink>
    </w:p>
    <w:p>
      <w:pPr>
        <w:tabs>
          <w:tab w:val="right" w:leader="dot" w:pos="9062"/>
        </w:tabs>
        <w:ind w:left="440"/>
      </w:pPr>
      <w:hyperlink w:anchor="_Toc2232" w:history="1">
        <w:r>
          <w:rPr>
            <w:rFonts w:ascii="IRNazanin" w:hAnsi="IRNazanin" w:eastAsia="IRNazanin" w:cs="IRNazanin"/>
            <w:color w:val="111111"/>
            <w:sz w:val="22"/>
            <w:szCs w:val="22"/>
            <w:b w:val="0"/>
            <w:bCs w:val="0"/>
            <w:i w:val="0"/>
            <w:iCs w:val="0"/>
          </w:rPr>
          <w:t>•تبیان القوانين / اصول فقه / فارسی و عربی</w:t>
        </w:r>
        <w:r>
          <w:tab/>
        </w:r>
        <w:r>
          <w:fldChar w:fldCharType="begin"/>
        </w:r>
        <w:r>
          <w:instrText xml:space="preserve">PAGEREF 2232 \h</w:instrText>
        </w:r>
        <w:r>
          <w:fldChar w:fldCharType="end"/>
        </w:r>
      </w:hyperlink>
    </w:p>
    <w:p>
      <w:pPr>
        <w:tabs>
          <w:tab w:val="right" w:leader="dot" w:pos="9062"/>
        </w:tabs>
        <w:ind w:left="440"/>
      </w:pPr>
      <w:hyperlink w:anchor="_Toc2233" w:history="1">
        <w:r>
          <w:rPr>
            <w:rFonts w:ascii="IRNazanin" w:hAnsi="IRNazanin" w:eastAsia="IRNazanin" w:cs="IRNazanin"/>
            <w:color w:val="111111"/>
            <w:sz w:val="22"/>
            <w:szCs w:val="22"/>
            <w:b w:val="0"/>
            <w:bCs w:val="0"/>
            <w:i w:val="0"/>
            <w:iCs w:val="0"/>
          </w:rPr>
          <w:t>•تبیان الكبائر / حديث / عربی</w:t>
        </w:r>
        <w:r>
          <w:tab/>
        </w:r>
        <w:r>
          <w:fldChar w:fldCharType="begin"/>
        </w:r>
        <w:r>
          <w:instrText xml:space="preserve">PAGEREF 2233 \h</w:instrText>
        </w:r>
        <w:r>
          <w:fldChar w:fldCharType="end"/>
        </w:r>
      </w:hyperlink>
    </w:p>
    <w:p>
      <w:pPr>
        <w:tabs>
          <w:tab w:val="right" w:leader="dot" w:pos="9062"/>
        </w:tabs>
        <w:ind w:left="440"/>
      </w:pPr>
      <w:hyperlink w:anchor="_Toc2234" w:history="1">
        <w:r>
          <w:rPr>
            <w:rFonts w:ascii="IRNazanin" w:hAnsi="IRNazanin" w:eastAsia="IRNazanin" w:cs="IRNazanin"/>
            <w:color w:val="111111"/>
            <w:sz w:val="22"/>
            <w:szCs w:val="22"/>
            <w:b w:val="0"/>
            <w:bCs w:val="0"/>
            <w:i w:val="0"/>
            <w:iCs w:val="0"/>
          </w:rPr>
          <w:t>•تبیان الكبائر (منتخب) / كلام و اعتقادات / عربی</w:t>
        </w:r>
        <w:r>
          <w:tab/>
        </w:r>
        <w:r>
          <w:fldChar w:fldCharType="begin"/>
        </w:r>
        <w:r>
          <w:instrText xml:space="preserve">PAGEREF 2234 \h</w:instrText>
        </w:r>
        <w:r>
          <w:fldChar w:fldCharType="end"/>
        </w:r>
      </w:hyperlink>
    </w:p>
    <w:p>
      <w:pPr>
        <w:tabs>
          <w:tab w:val="right" w:leader="dot" w:pos="9062"/>
        </w:tabs>
        <w:ind w:left="440"/>
      </w:pPr>
      <w:hyperlink w:anchor="_Toc2235" w:history="1">
        <w:r>
          <w:rPr>
            <w:rFonts w:ascii="IRNazanin" w:hAnsi="IRNazanin" w:eastAsia="IRNazanin" w:cs="IRNazanin"/>
            <w:color w:val="111111"/>
            <w:sz w:val="22"/>
            <w:szCs w:val="22"/>
            <w:b w:val="0"/>
            <w:bCs w:val="0"/>
            <w:i w:val="0"/>
            <w:iCs w:val="0"/>
          </w:rPr>
          <w:t>•التبيان لأهل الإيمان و اصحاب الايقان / حديث / عربی</w:t>
        </w:r>
        <w:r>
          <w:tab/>
        </w:r>
        <w:r>
          <w:fldChar w:fldCharType="begin"/>
        </w:r>
        <w:r>
          <w:instrText xml:space="preserve">PAGEREF 2235 \h</w:instrText>
        </w:r>
        <w:r>
          <w:fldChar w:fldCharType="end"/>
        </w:r>
      </w:hyperlink>
    </w:p>
    <w:p>
      <w:pPr>
        <w:tabs>
          <w:tab w:val="right" w:leader="dot" w:pos="9062"/>
        </w:tabs>
        <w:ind w:left="440"/>
      </w:pPr>
      <w:hyperlink w:anchor="_Toc2236" w:history="1">
        <w:r>
          <w:rPr>
            <w:rFonts w:ascii="IRNazanin" w:hAnsi="IRNazanin" w:eastAsia="IRNazanin" w:cs="IRNazanin"/>
            <w:color w:val="111111"/>
            <w:sz w:val="22"/>
            <w:szCs w:val="22"/>
            <w:b w:val="0"/>
            <w:bCs w:val="0"/>
            <w:i w:val="0"/>
            <w:iCs w:val="0"/>
          </w:rPr>
          <w:t>•تبیان اللغة / لغت / عربی به فارسی</w:t>
        </w:r>
        <w:r>
          <w:tab/>
        </w:r>
        <w:r>
          <w:fldChar w:fldCharType="begin"/>
        </w:r>
        <w:r>
          <w:instrText xml:space="preserve">PAGEREF 2236 \h</w:instrText>
        </w:r>
        <w:r>
          <w:fldChar w:fldCharType="end"/>
        </w:r>
      </w:hyperlink>
    </w:p>
    <w:p>
      <w:pPr>
        <w:tabs>
          <w:tab w:val="right" w:leader="dot" w:pos="9062"/>
        </w:tabs>
        <w:ind w:left="440"/>
      </w:pPr>
      <w:hyperlink w:anchor="_Toc2237" w:history="1">
        <w:r>
          <w:rPr>
            <w:rFonts w:ascii="IRNazanin" w:hAnsi="IRNazanin" w:eastAsia="IRNazanin" w:cs="IRNazanin"/>
            <w:color w:val="111111"/>
            <w:sz w:val="22"/>
            <w:szCs w:val="22"/>
            <w:b w:val="0"/>
            <w:bCs w:val="0"/>
            <w:i w:val="0"/>
            <w:iCs w:val="0"/>
          </w:rPr>
          <w:t>•التبيان لمبهمات القرآن / تفسير / عربی</w:t>
        </w:r>
        <w:r>
          <w:tab/>
        </w:r>
        <w:r>
          <w:fldChar w:fldCharType="begin"/>
        </w:r>
        <w:r>
          <w:instrText xml:space="preserve">PAGEREF 2237 \h</w:instrText>
        </w:r>
        <w:r>
          <w:fldChar w:fldCharType="end"/>
        </w:r>
      </w:hyperlink>
    </w:p>
    <w:p>
      <w:pPr>
        <w:tabs>
          <w:tab w:val="right" w:leader="dot" w:pos="9062"/>
        </w:tabs>
        <w:ind w:left="440"/>
      </w:pPr>
      <w:hyperlink w:anchor="_Toc2238" w:history="1">
        <w:r>
          <w:rPr>
            <w:rFonts w:ascii="IRNazanin" w:hAnsi="IRNazanin" w:eastAsia="IRNazanin" w:cs="IRNazanin"/>
            <w:color w:val="111111"/>
            <w:sz w:val="22"/>
            <w:szCs w:val="22"/>
            <w:b w:val="0"/>
            <w:bCs w:val="0"/>
            <w:i w:val="0"/>
            <w:iCs w:val="0"/>
          </w:rPr>
          <w:t>•تبیان اللمعة / فقه / عربی و فارسی</w:t>
        </w:r>
        <w:r>
          <w:tab/>
        </w:r>
        <w:r>
          <w:fldChar w:fldCharType="begin"/>
        </w:r>
        <w:r>
          <w:instrText xml:space="preserve">PAGEREF 2238 \h</w:instrText>
        </w:r>
        <w:r>
          <w:fldChar w:fldCharType="end"/>
        </w:r>
      </w:hyperlink>
    </w:p>
    <w:p>
      <w:pPr>
        <w:tabs>
          <w:tab w:val="right" w:leader="dot" w:pos="9062"/>
        </w:tabs>
        <w:ind w:left="440"/>
      </w:pPr>
      <w:hyperlink w:anchor="_Toc2239" w:history="1">
        <w:r>
          <w:rPr>
            <w:rFonts w:ascii="IRNazanin" w:hAnsi="IRNazanin" w:eastAsia="IRNazanin" w:cs="IRNazanin"/>
            <w:color w:val="111111"/>
            <w:sz w:val="22"/>
            <w:szCs w:val="22"/>
            <w:b w:val="0"/>
            <w:bCs w:val="0"/>
            <w:i w:val="0"/>
            <w:iCs w:val="0"/>
          </w:rPr>
          <w:t>•تبیان مقاصد التذکرة / هيأت / عربی</w:t>
        </w:r>
        <w:r>
          <w:tab/>
        </w:r>
        <w:r>
          <w:fldChar w:fldCharType="begin"/>
        </w:r>
        <w:r>
          <w:instrText xml:space="preserve">PAGEREF 2239 \h</w:instrText>
        </w:r>
        <w:r>
          <w:fldChar w:fldCharType="end"/>
        </w:r>
      </w:hyperlink>
    </w:p>
    <w:p>
      <w:pPr>
        <w:tabs>
          <w:tab w:val="right" w:leader="dot" w:pos="9062"/>
        </w:tabs>
        <w:ind w:left="440"/>
      </w:pPr>
      <w:hyperlink w:anchor="_Toc2240" w:history="1">
        <w:r>
          <w:rPr>
            <w:rFonts w:ascii="IRNazanin" w:hAnsi="IRNazanin" w:eastAsia="IRNazanin" w:cs="IRNazanin"/>
            <w:color w:val="111111"/>
            <w:sz w:val="22"/>
            <w:szCs w:val="22"/>
            <w:b w:val="0"/>
            <w:bCs w:val="0"/>
            <w:i w:val="0"/>
            <w:iCs w:val="0"/>
          </w:rPr>
          <w:t>•تبیان المسالك / عرفان و تصوف / عربی</w:t>
        </w:r>
        <w:r>
          <w:tab/>
        </w:r>
        <w:r>
          <w:fldChar w:fldCharType="begin"/>
        </w:r>
        <w:r>
          <w:instrText xml:space="preserve">PAGEREF 2240 \h</w:instrText>
        </w:r>
        <w:r>
          <w:fldChar w:fldCharType="end"/>
        </w:r>
      </w:hyperlink>
    </w:p>
    <w:p>
      <w:pPr>
        <w:tabs>
          <w:tab w:val="right" w:leader="dot" w:pos="9062"/>
        </w:tabs>
        <w:ind w:left="440"/>
      </w:pPr>
      <w:hyperlink w:anchor="_Toc2241" w:history="1">
        <w:r>
          <w:rPr>
            <w:rFonts w:ascii="IRNazanin" w:hAnsi="IRNazanin" w:eastAsia="IRNazanin" w:cs="IRNazanin"/>
            <w:color w:val="111111"/>
            <w:sz w:val="22"/>
            <w:szCs w:val="22"/>
            <w:b w:val="0"/>
            <w:bCs w:val="0"/>
            <w:i w:val="0"/>
            <w:iCs w:val="0"/>
          </w:rPr>
          <w:t>•تبييض الصحيفة في مناقب ابی حنیفة / تراجم / عربی</w:t>
        </w:r>
        <w:r>
          <w:tab/>
        </w:r>
        <w:r>
          <w:fldChar w:fldCharType="begin"/>
        </w:r>
        <w:r>
          <w:instrText xml:space="preserve">PAGEREF 2241 \h</w:instrText>
        </w:r>
        <w:r>
          <w:fldChar w:fldCharType="end"/>
        </w:r>
      </w:hyperlink>
    </w:p>
    <w:p>
      <w:pPr>
        <w:tabs>
          <w:tab w:val="right" w:leader="dot" w:pos="9062"/>
        </w:tabs>
        <w:ind w:left="440"/>
      </w:pPr>
      <w:hyperlink w:anchor="_Toc2242" w:history="1">
        <w:r>
          <w:rPr>
            <w:rFonts w:ascii="IRNazanin" w:hAnsi="IRNazanin" w:eastAsia="IRNazanin" w:cs="IRNazanin"/>
            <w:color w:val="111111"/>
            <w:sz w:val="22"/>
            <w:szCs w:val="22"/>
            <w:b w:val="0"/>
            <w:bCs w:val="0"/>
            <w:i w:val="0"/>
            <w:iCs w:val="0"/>
          </w:rPr>
          <w:t>•التبييض و التصفير / کیمیا / عربی</w:t>
        </w:r>
        <w:r>
          <w:tab/>
        </w:r>
        <w:r>
          <w:fldChar w:fldCharType="begin"/>
        </w:r>
        <w:r>
          <w:instrText xml:space="preserve">PAGEREF 2242 \h</w:instrText>
        </w:r>
        <w:r>
          <w:fldChar w:fldCharType="end"/>
        </w:r>
      </w:hyperlink>
    </w:p>
    <w:p>
      <w:pPr>
        <w:tabs>
          <w:tab w:val="right" w:leader="dot" w:pos="9062"/>
        </w:tabs>
        <w:ind w:left="440"/>
      </w:pPr>
      <w:hyperlink w:anchor="_Toc2243" w:history="1">
        <w:r>
          <w:rPr>
            <w:rFonts w:ascii="IRNazanin" w:hAnsi="IRNazanin" w:eastAsia="IRNazanin" w:cs="IRNazanin"/>
            <w:color w:val="111111"/>
            <w:sz w:val="22"/>
            <w:szCs w:val="22"/>
            <w:b w:val="0"/>
            <w:bCs w:val="0"/>
            <w:i w:val="0"/>
            <w:iCs w:val="0"/>
          </w:rPr>
          <w:t>•التبييض و التلميح (رسالة في) / کیمیا / عربی</w:t>
        </w:r>
        <w:r>
          <w:tab/>
        </w:r>
        <w:r>
          <w:fldChar w:fldCharType="begin"/>
        </w:r>
        <w:r>
          <w:instrText xml:space="preserve">PAGEREF 2243 \h</w:instrText>
        </w:r>
        <w:r>
          <w:fldChar w:fldCharType="end"/>
        </w:r>
      </w:hyperlink>
    </w:p>
    <w:p>
      <w:pPr>
        <w:tabs>
          <w:tab w:val="right" w:leader="dot" w:pos="9062"/>
        </w:tabs>
        <w:ind w:left="440"/>
      </w:pPr>
      <w:hyperlink w:anchor="_Toc2244" w:history="1">
        <w:r>
          <w:rPr>
            <w:rFonts w:ascii="IRNazanin" w:hAnsi="IRNazanin" w:eastAsia="IRNazanin" w:cs="IRNazanin"/>
            <w:color w:val="111111"/>
            <w:sz w:val="22"/>
            <w:szCs w:val="22"/>
            <w:b w:val="0"/>
            <w:bCs w:val="0"/>
            <w:i w:val="0"/>
            <w:iCs w:val="0"/>
          </w:rPr>
          <w:t>•تبیین اسانید من لا يحضره الفقیه = حاشية من لا يحضره الفقيه / رجال / عربی</w:t>
        </w:r>
        <w:r>
          <w:tab/>
        </w:r>
        <w:r>
          <w:fldChar w:fldCharType="begin"/>
        </w:r>
        <w:r>
          <w:instrText xml:space="preserve">PAGEREF 2244 \h</w:instrText>
        </w:r>
        <w:r>
          <w:fldChar w:fldCharType="end"/>
        </w:r>
      </w:hyperlink>
    </w:p>
    <w:p>
      <w:pPr>
        <w:tabs>
          <w:tab w:val="right" w:leader="dot" w:pos="9062"/>
        </w:tabs>
        <w:ind w:left="440"/>
      </w:pPr>
      <w:hyperlink w:anchor="_Toc2245" w:history="1">
        <w:r>
          <w:rPr>
            <w:rFonts w:ascii="IRNazanin" w:hAnsi="IRNazanin" w:eastAsia="IRNazanin" w:cs="IRNazanin"/>
            <w:color w:val="111111"/>
            <w:sz w:val="22"/>
            <w:szCs w:val="22"/>
            <w:b w:val="0"/>
            <w:bCs w:val="0"/>
            <w:i w:val="0"/>
            <w:iCs w:val="0"/>
          </w:rPr>
          <w:t>•تبیین الاسرار عرفان و تصوف / فارسی</w:t>
        </w:r>
        <w:r>
          <w:tab/>
        </w:r>
        <w:r>
          <w:fldChar w:fldCharType="begin"/>
        </w:r>
        <w:r>
          <w:instrText xml:space="preserve">PAGEREF 2245 \h</w:instrText>
        </w:r>
        <w:r>
          <w:fldChar w:fldCharType="end"/>
        </w:r>
      </w:hyperlink>
    </w:p>
    <w:p>
      <w:pPr>
        <w:tabs>
          <w:tab w:val="right" w:leader="dot" w:pos="9062"/>
        </w:tabs>
        <w:ind w:left="440"/>
      </w:pPr>
      <w:hyperlink w:anchor="_Toc2246" w:history="1">
        <w:r>
          <w:rPr>
            <w:rFonts w:ascii="IRNazanin" w:hAnsi="IRNazanin" w:eastAsia="IRNazanin" w:cs="IRNazanin"/>
            <w:color w:val="111111"/>
            <w:sz w:val="22"/>
            <w:szCs w:val="22"/>
            <w:b w:val="0"/>
            <w:bCs w:val="0"/>
            <w:i w:val="0"/>
            <w:iCs w:val="0"/>
          </w:rPr>
          <w:t>•تبیین اوهام الفصيح / ادبیات عربی</w:t>
        </w:r>
        <w:r>
          <w:tab/>
        </w:r>
        <w:r>
          <w:fldChar w:fldCharType="begin"/>
        </w:r>
        <w:r>
          <w:instrText xml:space="preserve">PAGEREF 2246 \h</w:instrText>
        </w:r>
        <w:r>
          <w:fldChar w:fldCharType="end"/>
        </w:r>
      </w:hyperlink>
    </w:p>
    <w:p>
      <w:pPr>
        <w:tabs>
          <w:tab w:val="right" w:leader="dot" w:pos="9062"/>
        </w:tabs>
        <w:ind w:left="440"/>
      </w:pPr>
      <w:hyperlink w:anchor="_Toc2247" w:history="1">
        <w:r>
          <w:rPr>
            <w:rFonts w:ascii="IRNazanin" w:hAnsi="IRNazanin" w:eastAsia="IRNazanin" w:cs="IRNazanin"/>
            <w:color w:val="111111"/>
            <w:sz w:val="22"/>
            <w:szCs w:val="22"/>
            <w:b w:val="0"/>
            <w:bCs w:val="0"/>
            <w:i w:val="0"/>
            <w:iCs w:val="0"/>
          </w:rPr>
          <w:t>•تبیین ترکیب جمل / نحو / فارسی</w:t>
        </w:r>
        <w:r>
          <w:tab/>
        </w:r>
        <w:r>
          <w:fldChar w:fldCharType="begin"/>
        </w:r>
        <w:r>
          <w:instrText xml:space="preserve">PAGEREF 2247 \h</w:instrText>
        </w:r>
        <w:r>
          <w:fldChar w:fldCharType="end"/>
        </w:r>
      </w:hyperlink>
    </w:p>
    <w:p>
      <w:pPr>
        <w:tabs>
          <w:tab w:val="right" w:leader="dot" w:pos="9062"/>
        </w:tabs>
        <w:ind w:left="440"/>
      </w:pPr>
      <w:hyperlink w:anchor="_Toc2248" w:history="1">
        <w:r>
          <w:rPr>
            <w:rFonts w:ascii="IRNazanin" w:hAnsi="IRNazanin" w:eastAsia="IRNazanin" w:cs="IRNazanin"/>
            <w:color w:val="111111"/>
            <w:sz w:val="22"/>
            <w:szCs w:val="22"/>
            <w:b w:val="0"/>
            <w:bCs w:val="0"/>
            <w:i w:val="0"/>
            <w:iCs w:val="0"/>
          </w:rPr>
          <w:t>•تبیین الحجر (رسالة في) / کیمیا / عربی</w:t>
        </w:r>
        <w:r>
          <w:tab/>
        </w:r>
        <w:r>
          <w:fldChar w:fldCharType="begin"/>
        </w:r>
        <w:r>
          <w:instrText xml:space="preserve">PAGEREF 2248 \h</w:instrText>
        </w:r>
        <w:r>
          <w:fldChar w:fldCharType="end"/>
        </w:r>
      </w:hyperlink>
    </w:p>
    <w:p>
      <w:pPr>
        <w:tabs>
          <w:tab w:val="right" w:leader="dot" w:pos="9062"/>
        </w:tabs>
        <w:ind w:left="440"/>
      </w:pPr>
      <w:hyperlink w:anchor="_Toc2249" w:history="1">
        <w:r>
          <w:rPr>
            <w:rFonts w:ascii="IRNazanin" w:hAnsi="IRNazanin" w:eastAsia="IRNazanin" w:cs="IRNazanin"/>
            <w:color w:val="111111"/>
            <w:sz w:val="22"/>
            <w:szCs w:val="22"/>
            <w:b w:val="0"/>
            <w:bCs w:val="0"/>
            <w:i w:val="0"/>
            <w:iCs w:val="0"/>
          </w:rPr>
          <w:t>•تبیین حدود خراسان / اسناد / فارسی</w:t>
        </w:r>
        <w:r>
          <w:tab/>
        </w:r>
        <w:r>
          <w:fldChar w:fldCharType="begin"/>
        </w:r>
        <w:r>
          <w:instrText xml:space="preserve">PAGEREF 2249 \h</w:instrText>
        </w:r>
        <w:r>
          <w:fldChar w:fldCharType="end"/>
        </w:r>
      </w:hyperlink>
    </w:p>
    <w:p>
      <w:pPr>
        <w:tabs>
          <w:tab w:val="right" w:leader="dot" w:pos="9062"/>
        </w:tabs>
        <w:ind w:left="440"/>
      </w:pPr>
      <w:hyperlink w:anchor="_Toc2250" w:history="1">
        <w:r>
          <w:rPr>
            <w:rFonts w:ascii="IRNazanin" w:hAnsi="IRNazanin" w:eastAsia="IRNazanin" w:cs="IRNazanin"/>
            <w:color w:val="111111"/>
            <w:sz w:val="22"/>
            <w:szCs w:val="22"/>
            <w:b w:val="0"/>
            <w:bCs w:val="0"/>
            <w:i w:val="0"/>
            <w:iCs w:val="0"/>
          </w:rPr>
          <w:t>•تبیین الحقائق في شرح کنز الدقائق / فقه / عربی</w:t>
        </w:r>
        <w:r>
          <w:tab/>
        </w:r>
        <w:r>
          <w:fldChar w:fldCharType="begin"/>
        </w:r>
        <w:r>
          <w:instrText xml:space="preserve">PAGEREF 2250 \h</w:instrText>
        </w:r>
        <w:r>
          <w:fldChar w:fldCharType="end"/>
        </w:r>
      </w:hyperlink>
    </w:p>
    <w:p>
      <w:pPr>
        <w:tabs>
          <w:tab w:val="right" w:leader="dot" w:pos="9062"/>
        </w:tabs>
        <w:ind w:left="440"/>
      </w:pPr>
      <w:hyperlink w:anchor="_Toc2251" w:history="1">
        <w:r>
          <w:rPr>
            <w:rFonts w:ascii="IRNazanin" w:hAnsi="IRNazanin" w:eastAsia="IRNazanin" w:cs="IRNazanin"/>
            <w:color w:val="111111"/>
            <w:sz w:val="22"/>
            <w:szCs w:val="22"/>
            <w:b w:val="0"/>
            <w:bCs w:val="0"/>
            <w:i w:val="0"/>
            <w:iCs w:val="0"/>
          </w:rPr>
          <w:t>•تبیین الحق في أجل الخلق / کلام و اعتقادات / عربی</w:t>
        </w:r>
        <w:r>
          <w:tab/>
        </w:r>
        <w:r>
          <w:fldChar w:fldCharType="begin"/>
        </w:r>
        <w:r>
          <w:instrText xml:space="preserve">PAGEREF 2251 \h</w:instrText>
        </w:r>
        <w:r>
          <w:fldChar w:fldCharType="end"/>
        </w:r>
      </w:hyperlink>
    </w:p>
    <w:p>
      <w:pPr>
        <w:tabs>
          <w:tab w:val="right" w:leader="dot" w:pos="9062"/>
        </w:tabs>
        <w:ind w:left="440"/>
      </w:pPr>
      <w:hyperlink w:anchor="_Toc2252" w:history="1">
        <w:r>
          <w:rPr>
            <w:rFonts w:ascii="IRNazanin" w:hAnsi="IRNazanin" w:eastAsia="IRNazanin" w:cs="IRNazanin"/>
            <w:color w:val="111111"/>
            <w:sz w:val="22"/>
            <w:szCs w:val="22"/>
            <w:b w:val="0"/>
            <w:bCs w:val="0"/>
            <w:i w:val="0"/>
            <w:iCs w:val="0"/>
          </w:rPr>
          <w:t>•تبیین حقیقت / فارسی</w:t>
        </w:r>
        <w:r>
          <w:tab/>
        </w:r>
        <w:r>
          <w:fldChar w:fldCharType="begin"/>
        </w:r>
        <w:r>
          <w:instrText xml:space="preserve">PAGEREF 2252 \h</w:instrText>
        </w:r>
        <w:r>
          <w:fldChar w:fldCharType="end"/>
        </w:r>
      </w:hyperlink>
    </w:p>
    <w:p>
      <w:pPr>
        <w:tabs>
          <w:tab w:val="right" w:leader="dot" w:pos="9062"/>
        </w:tabs>
        <w:ind w:left="440"/>
      </w:pPr>
      <w:hyperlink w:anchor="_Toc2253" w:history="1">
        <w:r>
          <w:rPr>
            <w:rFonts w:ascii="IRNazanin" w:hAnsi="IRNazanin" w:eastAsia="IRNazanin" w:cs="IRNazanin"/>
            <w:color w:val="111111"/>
            <w:sz w:val="22"/>
            <w:szCs w:val="22"/>
            <w:b w:val="0"/>
            <w:bCs w:val="0"/>
            <w:i w:val="0"/>
            <w:iCs w:val="0"/>
          </w:rPr>
          <w:t>•تبیین الرأفة (فيما له من الضيافة) / ادبیات عربی</w:t>
        </w:r>
        <w:r>
          <w:tab/>
        </w:r>
        <w:r>
          <w:fldChar w:fldCharType="begin"/>
        </w:r>
        <w:r>
          <w:instrText xml:space="preserve">PAGEREF 2253 \h</w:instrText>
        </w:r>
        <w:r>
          <w:fldChar w:fldCharType="end"/>
        </w:r>
      </w:hyperlink>
    </w:p>
    <w:p>
      <w:pPr>
        <w:tabs>
          <w:tab w:val="right" w:leader="dot" w:pos="9062"/>
        </w:tabs>
        <w:ind w:left="440"/>
      </w:pPr>
      <w:hyperlink w:anchor="_Toc2254" w:history="1">
        <w:r>
          <w:rPr>
            <w:rFonts w:ascii="IRNazanin" w:hAnsi="IRNazanin" w:eastAsia="IRNazanin" w:cs="IRNazanin"/>
            <w:color w:val="111111"/>
            <w:sz w:val="22"/>
            <w:szCs w:val="22"/>
            <w:b w:val="0"/>
            <w:bCs w:val="0"/>
            <w:i w:val="0"/>
            <w:iCs w:val="0"/>
          </w:rPr>
          <w:t>•تبیین العجب فیما ورد في فضل رجب = فضائل رجب / شرح حديث / عربی</w:t>
        </w:r>
        <w:r>
          <w:tab/>
        </w:r>
        <w:r>
          <w:fldChar w:fldCharType="begin"/>
        </w:r>
        <w:r>
          <w:instrText xml:space="preserve">PAGEREF 2254 \h</w:instrText>
        </w:r>
        <w:r>
          <w:fldChar w:fldCharType="end"/>
        </w:r>
      </w:hyperlink>
    </w:p>
    <w:p>
      <w:pPr>
        <w:tabs>
          <w:tab w:val="right" w:leader="dot" w:pos="9062"/>
        </w:tabs>
        <w:ind w:left="440"/>
      </w:pPr>
      <w:hyperlink w:anchor="_Toc2255" w:history="1">
        <w:r>
          <w:rPr>
            <w:rFonts w:ascii="IRNazanin" w:hAnsi="IRNazanin" w:eastAsia="IRNazanin" w:cs="IRNazanin"/>
            <w:color w:val="111111"/>
            <w:sz w:val="22"/>
            <w:szCs w:val="22"/>
            <w:b w:val="0"/>
            <w:bCs w:val="0"/>
            <w:i w:val="0"/>
            <w:iCs w:val="0"/>
          </w:rPr>
          <w:t>•تبیین عهدنامه دولتين ایران و روس / اسناد / فارسی</w:t>
        </w:r>
        <w:r>
          <w:tab/>
        </w:r>
        <w:r>
          <w:fldChar w:fldCharType="begin"/>
        </w:r>
        <w:r>
          <w:instrText xml:space="preserve">PAGEREF 2255 \h</w:instrText>
        </w:r>
        <w:r>
          <w:fldChar w:fldCharType="end"/>
        </w:r>
      </w:hyperlink>
    </w:p>
    <w:p>
      <w:pPr>
        <w:tabs>
          <w:tab w:val="right" w:leader="dot" w:pos="9062"/>
        </w:tabs>
        <w:ind w:left="440"/>
      </w:pPr>
      <w:hyperlink w:anchor="_Toc2256" w:history="1">
        <w:r>
          <w:rPr>
            <w:rFonts w:ascii="IRNazanin" w:hAnsi="IRNazanin" w:eastAsia="IRNazanin" w:cs="IRNazanin"/>
            <w:color w:val="111111"/>
            <w:sz w:val="22"/>
            <w:szCs w:val="22"/>
            <w:b w:val="0"/>
            <w:bCs w:val="0"/>
            <w:i w:val="0"/>
            <w:iCs w:val="0"/>
          </w:rPr>
          <w:t>•التبيين في انساب القرشيين / انساب /عربی</w:t>
        </w:r>
        <w:r>
          <w:tab/>
        </w:r>
        <w:r>
          <w:fldChar w:fldCharType="begin"/>
        </w:r>
        <w:r>
          <w:instrText xml:space="preserve">PAGEREF 2256 \h</w:instrText>
        </w:r>
        <w:r>
          <w:fldChar w:fldCharType="end"/>
        </w:r>
      </w:hyperlink>
    </w:p>
    <w:p>
      <w:pPr>
        <w:tabs>
          <w:tab w:val="right" w:leader="dot" w:pos="9062"/>
        </w:tabs>
        <w:ind w:left="440"/>
      </w:pPr>
      <w:hyperlink w:anchor="_Toc2257" w:history="1">
        <w:r>
          <w:rPr>
            <w:rFonts w:ascii="IRNazanin" w:hAnsi="IRNazanin" w:eastAsia="IRNazanin" w:cs="IRNazanin"/>
            <w:color w:val="111111"/>
            <w:sz w:val="22"/>
            <w:szCs w:val="22"/>
            <w:b w:val="0"/>
            <w:bCs w:val="0"/>
            <w:i w:val="0"/>
            <w:iCs w:val="0"/>
          </w:rPr>
          <w:t>•التبيين في شرح المواعظ و البراهين = التبيين في تفسیر القرآن المبين / تفسير / فارسی</w:t>
        </w:r>
        <w:r>
          <w:tab/>
        </w:r>
        <w:r>
          <w:fldChar w:fldCharType="begin"/>
        </w:r>
        <w:r>
          <w:instrText xml:space="preserve">PAGEREF 2257 \h</w:instrText>
        </w:r>
        <w:r>
          <w:fldChar w:fldCharType="end"/>
        </w:r>
      </w:hyperlink>
    </w:p>
    <w:p>
      <w:pPr>
        <w:tabs>
          <w:tab w:val="right" w:leader="dot" w:pos="9062"/>
        </w:tabs>
        <w:ind w:left="440"/>
      </w:pPr>
      <w:hyperlink w:anchor="_Toc2258" w:history="1">
        <w:r>
          <w:rPr>
            <w:rFonts w:ascii="IRNazanin" w:hAnsi="IRNazanin" w:eastAsia="IRNazanin" w:cs="IRNazanin"/>
            <w:color w:val="111111"/>
            <w:sz w:val="22"/>
            <w:szCs w:val="22"/>
            <w:b w:val="0"/>
            <w:bCs w:val="0"/>
            <w:i w:val="0"/>
            <w:iCs w:val="0"/>
          </w:rPr>
          <w:t>•تبیین کذب المفترى فيما نسب الى ابی الحسن الاشعری / تراجم / عربی</w:t>
        </w:r>
        <w:r>
          <w:tab/>
        </w:r>
        <w:r>
          <w:fldChar w:fldCharType="begin"/>
        </w:r>
        <w:r>
          <w:instrText xml:space="preserve">PAGEREF 2258 \h</w:instrText>
        </w:r>
        <w:r>
          <w:fldChar w:fldCharType="end"/>
        </w:r>
      </w:hyperlink>
    </w:p>
    <w:p>
      <w:pPr>
        <w:tabs>
          <w:tab w:val="right" w:leader="dot" w:pos="9062"/>
        </w:tabs>
        <w:ind w:left="440"/>
      </w:pPr>
      <w:hyperlink w:anchor="_Toc2259" w:history="1">
        <w:r>
          <w:rPr>
            <w:rFonts w:ascii="IRNazanin" w:hAnsi="IRNazanin" w:eastAsia="IRNazanin" w:cs="IRNazanin"/>
            <w:color w:val="111111"/>
            <w:sz w:val="22"/>
            <w:szCs w:val="22"/>
            <w:b w:val="0"/>
            <w:bCs w:val="0"/>
            <w:i w:val="0"/>
            <w:iCs w:val="0"/>
          </w:rPr>
          <w:t>•التبيين لاسماء المدلسین / رجال، تراجم / عربی</w:t>
        </w:r>
        <w:r>
          <w:tab/>
        </w:r>
        <w:r>
          <w:fldChar w:fldCharType="begin"/>
        </w:r>
        <w:r>
          <w:instrText xml:space="preserve">PAGEREF 2259 \h</w:instrText>
        </w:r>
        <w:r>
          <w:fldChar w:fldCharType="end"/>
        </w:r>
      </w:hyperlink>
    </w:p>
    <w:p>
      <w:pPr>
        <w:tabs>
          <w:tab w:val="right" w:leader="dot" w:pos="9062"/>
        </w:tabs>
        <w:ind w:left="440"/>
      </w:pPr>
      <w:hyperlink w:anchor="_Toc2260" w:history="1">
        <w:r>
          <w:rPr>
            <w:rFonts w:ascii="IRNazanin" w:hAnsi="IRNazanin" w:eastAsia="IRNazanin" w:cs="IRNazanin"/>
            <w:color w:val="111111"/>
            <w:sz w:val="22"/>
            <w:szCs w:val="22"/>
            <w:b w:val="0"/>
            <w:bCs w:val="0"/>
            <w:i w:val="0"/>
            <w:iCs w:val="0"/>
          </w:rPr>
          <w:t>•تبیین المحارم / اخلاق / عربی</w:t>
        </w:r>
        <w:r>
          <w:tab/>
        </w:r>
        <w:r>
          <w:fldChar w:fldCharType="begin"/>
        </w:r>
        <w:r>
          <w:instrText xml:space="preserve">PAGEREF 2260 \h</w:instrText>
        </w:r>
        <w:r>
          <w:fldChar w:fldCharType="end"/>
        </w:r>
      </w:hyperlink>
    </w:p>
    <w:p>
      <w:pPr>
        <w:tabs>
          <w:tab w:val="right" w:leader="dot" w:pos="9062"/>
        </w:tabs>
        <w:ind w:left="440"/>
      </w:pPr>
      <w:hyperlink w:anchor="_Toc2261" w:history="1">
        <w:r>
          <w:rPr>
            <w:rFonts w:ascii="IRNazanin" w:hAnsi="IRNazanin" w:eastAsia="IRNazanin" w:cs="IRNazanin"/>
            <w:color w:val="111111"/>
            <w:sz w:val="22"/>
            <w:szCs w:val="22"/>
            <w:b w:val="0"/>
            <w:bCs w:val="0"/>
            <w:i w:val="0"/>
            <w:iCs w:val="0"/>
          </w:rPr>
          <w:t>•تبیین المراد من شواهد الانتقاد / ادبیات عربی</w:t>
        </w:r>
        <w:r>
          <w:tab/>
        </w:r>
        <w:r>
          <w:fldChar w:fldCharType="begin"/>
        </w:r>
        <w:r>
          <w:instrText xml:space="preserve">PAGEREF 2261 \h</w:instrText>
        </w:r>
        <w:r>
          <w:fldChar w:fldCharType="end"/>
        </w:r>
      </w:hyperlink>
    </w:p>
    <w:p>
      <w:pPr>
        <w:tabs>
          <w:tab w:val="right" w:leader="dot" w:pos="9062"/>
        </w:tabs>
        <w:ind w:left="440"/>
      </w:pPr>
      <w:hyperlink w:anchor="_Toc2262" w:history="1">
        <w:r>
          <w:rPr>
            <w:rFonts w:ascii="IRNazanin" w:hAnsi="IRNazanin" w:eastAsia="IRNazanin" w:cs="IRNazanin"/>
            <w:color w:val="111111"/>
            <w:sz w:val="22"/>
            <w:szCs w:val="22"/>
            <w:b w:val="0"/>
            <w:bCs w:val="0"/>
            <w:i w:val="0"/>
            <w:iCs w:val="0"/>
          </w:rPr>
          <w:t>•تبیین مصادرة اقلیدس في الخطوط المتوازية /  ریاضیات / عربی</w:t>
        </w:r>
        <w:r>
          <w:tab/>
        </w:r>
        <w:r>
          <w:fldChar w:fldCharType="begin"/>
        </w:r>
        <w:r>
          <w:instrText xml:space="preserve">PAGEREF 2262 \h</w:instrText>
        </w:r>
        <w:r>
          <w:fldChar w:fldCharType="end"/>
        </w:r>
      </w:hyperlink>
    </w:p>
    <w:p>
      <w:pPr>
        <w:tabs>
          <w:tab w:val="right" w:leader="dot" w:pos="9062"/>
        </w:tabs>
        <w:ind w:left="440"/>
      </w:pPr>
      <w:hyperlink w:anchor="_Toc2263" w:history="1">
        <w:r>
          <w:rPr>
            <w:rFonts w:ascii="IRNazanin" w:hAnsi="IRNazanin" w:eastAsia="IRNazanin" w:cs="IRNazanin"/>
            <w:color w:val="111111"/>
            <w:sz w:val="22"/>
            <w:szCs w:val="22"/>
            <w:b w:val="0"/>
            <w:bCs w:val="0"/>
            <w:i w:val="0"/>
            <w:iCs w:val="0"/>
          </w:rPr>
          <w:t>•التبيين و الاستدراک / کلام و اعتقادات / عربی</w:t>
        </w:r>
        <w:r>
          <w:tab/>
        </w:r>
        <w:r>
          <w:fldChar w:fldCharType="begin"/>
        </w:r>
        <w:r>
          <w:instrText xml:space="preserve">PAGEREF 2263 \h</w:instrText>
        </w:r>
        <w:r>
          <w:fldChar w:fldCharType="end"/>
        </w:r>
      </w:hyperlink>
    </w:p>
    <w:p>
      <w:pPr>
        <w:tabs>
          <w:tab w:val="right" w:leader="dot" w:pos="9062"/>
        </w:tabs>
        <w:ind w:left="440"/>
      </w:pPr>
      <w:hyperlink w:anchor="_Toc2264" w:history="1">
        <w:r>
          <w:rPr>
            <w:rFonts w:ascii="IRNazanin" w:hAnsi="IRNazanin" w:eastAsia="IRNazanin" w:cs="IRNazanin"/>
            <w:color w:val="111111"/>
            <w:sz w:val="22"/>
            <w:szCs w:val="22"/>
            <w:b w:val="0"/>
            <w:bCs w:val="0"/>
            <w:i w:val="0"/>
            <w:iCs w:val="0"/>
          </w:rPr>
          <w:t>•التبيينيات في الارث و التوريثات = البينات في تحرير المواريث = البينات في علم المواريث / فقه / عربی</w:t>
        </w:r>
        <w:r>
          <w:tab/>
        </w:r>
        <w:r>
          <w:fldChar w:fldCharType="begin"/>
        </w:r>
        <w:r>
          <w:instrText xml:space="preserve">PAGEREF 2264 \h</w:instrText>
        </w:r>
        <w:r>
          <w:fldChar w:fldCharType="end"/>
        </w:r>
      </w:hyperlink>
    </w:p>
    <w:p>
      <w:pPr>
        <w:tabs>
          <w:tab w:val="right" w:leader="dot" w:pos="9062"/>
        </w:tabs>
        <w:ind w:left="440"/>
      </w:pPr>
      <w:hyperlink w:anchor="_Toc2265" w:history="1">
        <w:r>
          <w:rPr>
            <w:rFonts w:ascii="IRNazanin" w:hAnsi="IRNazanin" w:eastAsia="IRNazanin" w:cs="IRNazanin"/>
            <w:color w:val="111111"/>
            <w:sz w:val="22"/>
            <w:szCs w:val="22"/>
            <w:b w:val="0"/>
            <w:bCs w:val="0"/>
            <w:i w:val="0"/>
            <w:iCs w:val="0"/>
          </w:rPr>
          <w:t>•التبيينيات في الارث و التوريثات = البينات في تحرير المواريث = البينات في علم المواريث / فقه / عربی</w:t>
        </w:r>
        <w:r>
          <w:tab/>
        </w:r>
        <w:r>
          <w:fldChar w:fldCharType="begin"/>
        </w:r>
        <w:r>
          <w:instrText xml:space="preserve">PAGEREF 2265 \h</w:instrText>
        </w:r>
        <w:r>
          <w:fldChar w:fldCharType="end"/>
        </w:r>
      </w:hyperlink>
    </w:p>
    <w:p>
      <w:pPr>
        <w:tabs>
          <w:tab w:val="right" w:leader="dot" w:pos="9062"/>
        </w:tabs>
        <w:ind w:left="440"/>
      </w:pPr>
      <w:hyperlink w:anchor="_Toc2266" w:history="1">
        <w:r>
          <w:rPr>
            <w:rFonts w:ascii="IRNazanin" w:hAnsi="IRNazanin" w:eastAsia="IRNazanin" w:cs="IRNazanin"/>
            <w:color w:val="111111"/>
            <w:sz w:val="22"/>
            <w:szCs w:val="22"/>
            <w:b w:val="0"/>
            <w:bCs w:val="0"/>
            <w:i w:val="0"/>
            <w:iCs w:val="0"/>
          </w:rPr>
          <w:t>•تتمة / نحو /عربی</w:t>
        </w:r>
        <w:r>
          <w:tab/>
        </w:r>
        <w:r>
          <w:fldChar w:fldCharType="begin"/>
        </w:r>
        <w:r>
          <w:instrText xml:space="preserve">PAGEREF 2266 \h</w:instrText>
        </w:r>
        <w:r>
          <w:fldChar w:fldCharType="end"/>
        </w:r>
      </w:hyperlink>
    </w:p>
    <w:p>
      <w:pPr>
        <w:tabs>
          <w:tab w:val="right" w:leader="dot" w:pos="9062"/>
        </w:tabs>
        <w:ind w:left="440"/>
      </w:pPr>
      <w:hyperlink w:anchor="_Toc2267" w:history="1">
        <w:r>
          <w:rPr>
            <w:rFonts w:ascii="IRNazanin" w:hAnsi="IRNazanin" w:eastAsia="IRNazanin" w:cs="IRNazanin"/>
            <w:color w:val="111111"/>
            <w:sz w:val="22"/>
            <w:szCs w:val="22"/>
            <w:b w:val="0"/>
            <w:bCs w:val="0"/>
            <w:i w:val="0"/>
            <w:iCs w:val="0"/>
          </w:rPr>
          <w:t>•تتمه اسکندرنامه / شعر / فارسی</w:t>
        </w:r>
        <w:r>
          <w:tab/>
        </w:r>
        <w:r>
          <w:fldChar w:fldCharType="begin"/>
        </w:r>
        <w:r>
          <w:instrText xml:space="preserve">PAGEREF 2267 \h</w:instrText>
        </w:r>
        <w:r>
          <w:fldChar w:fldCharType="end"/>
        </w:r>
      </w:hyperlink>
    </w:p>
    <w:p>
      <w:pPr>
        <w:tabs>
          <w:tab w:val="right" w:leader="dot" w:pos="9062"/>
        </w:tabs>
        <w:ind w:left="440"/>
      </w:pPr>
      <w:hyperlink w:anchor="_Toc2268" w:history="1">
        <w:r>
          <w:rPr>
            <w:rFonts w:ascii="IRNazanin" w:hAnsi="IRNazanin" w:eastAsia="IRNazanin" w:cs="IRNazanin"/>
            <w:color w:val="111111"/>
            <w:sz w:val="22"/>
            <w:szCs w:val="22"/>
            <w:b w:val="0"/>
            <w:bCs w:val="0"/>
            <w:i w:val="0"/>
            <w:iCs w:val="0"/>
          </w:rPr>
          <w:t>•تتمة البيان في تاريخ افغانستان (ترجمه) / تاریخ /  فارسی</w:t>
        </w:r>
        <w:r>
          <w:tab/>
        </w:r>
        <w:r>
          <w:fldChar w:fldCharType="begin"/>
        </w:r>
        <w:r>
          <w:instrText xml:space="preserve">PAGEREF 2268 \h</w:instrText>
        </w:r>
        <w:r>
          <w:fldChar w:fldCharType="end"/>
        </w:r>
      </w:hyperlink>
    </w:p>
    <w:p>
      <w:pPr>
        <w:tabs>
          <w:tab w:val="right" w:leader="dot" w:pos="9062"/>
        </w:tabs>
        <w:ind w:left="440"/>
      </w:pPr>
      <w:hyperlink w:anchor="_Toc2269" w:history="1">
        <w:r>
          <w:rPr>
            <w:rFonts w:ascii="IRNazanin" w:hAnsi="IRNazanin" w:eastAsia="IRNazanin" w:cs="IRNazanin"/>
            <w:color w:val="111111"/>
            <w:sz w:val="22"/>
            <w:szCs w:val="22"/>
            <w:b w:val="0"/>
            <w:bCs w:val="0"/>
            <w:i w:val="0"/>
            <w:iCs w:val="0"/>
          </w:rPr>
          <w:t>•تتمة بيان «لقد جائكم رسول من انفسکم» (رساله در) / تفسير / فارسی</w:t>
        </w:r>
        <w:r>
          <w:tab/>
        </w:r>
        <w:r>
          <w:fldChar w:fldCharType="begin"/>
        </w:r>
        <w:r>
          <w:instrText xml:space="preserve">PAGEREF 2269 \h</w:instrText>
        </w:r>
        <w:r>
          <w:fldChar w:fldCharType="end"/>
        </w:r>
      </w:hyperlink>
    </w:p>
    <w:p>
      <w:pPr>
        <w:tabs>
          <w:tab w:val="right" w:leader="dot" w:pos="9062"/>
        </w:tabs>
        <w:ind w:left="440"/>
      </w:pPr>
      <w:hyperlink w:anchor="_Toc2270" w:history="1">
        <w:r>
          <w:rPr>
            <w:rFonts w:ascii="IRNazanin" w:hAnsi="IRNazanin" w:eastAsia="IRNazanin" w:cs="IRNazanin"/>
            <w:color w:val="111111"/>
            <w:sz w:val="22"/>
            <w:szCs w:val="22"/>
            <w:b w:val="0"/>
            <w:bCs w:val="0"/>
            <w:i w:val="0"/>
            <w:iCs w:val="0"/>
          </w:rPr>
          <w:t>• تتمه تاریخ فرشته / تاریخ هند / فارسی</w:t>
        </w:r>
        <w:r>
          <w:tab/>
        </w:r>
        <w:r>
          <w:fldChar w:fldCharType="begin"/>
        </w:r>
        <w:r>
          <w:instrText xml:space="preserve">PAGEREF 2270 \h</w:instrText>
        </w:r>
        <w:r>
          <w:fldChar w:fldCharType="end"/>
        </w:r>
      </w:hyperlink>
    </w:p>
    <w:p>
      <w:pPr>
        <w:tabs>
          <w:tab w:val="right" w:leader="dot" w:pos="9062"/>
        </w:tabs>
        <w:ind w:left="440"/>
      </w:pPr>
      <w:hyperlink w:anchor="_Toc2271" w:history="1">
        <w:r>
          <w:rPr>
            <w:rFonts w:ascii="IRNazanin" w:hAnsi="IRNazanin" w:eastAsia="IRNazanin" w:cs="IRNazanin"/>
            <w:color w:val="111111"/>
            <w:sz w:val="22"/>
            <w:szCs w:val="22"/>
            <w:b w:val="0"/>
            <w:bCs w:val="0"/>
            <w:i w:val="0"/>
            <w:iCs w:val="0"/>
          </w:rPr>
          <w:t>•تتمه تاریخ نادر شاه / تاریخ ایران / فارسی</w:t>
        </w:r>
        <w:r>
          <w:tab/>
        </w:r>
        <w:r>
          <w:fldChar w:fldCharType="begin"/>
        </w:r>
        <w:r>
          <w:instrText xml:space="preserve">PAGEREF 2271 \h</w:instrText>
        </w:r>
        <w:r>
          <w:fldChar w:fldCharType="end"/>
        </w:r>
      </w:hyperlink>
    </w:p>
    <w:p>
      <w:pPr>
        <w:tabs>
          <w:tab w:val="right" w:leader="dot" w:pos="9062"/>
        </w:tabs>
        <w:ind w:left="440"/>
      </w:pPr>
      <w:hyperlink w:anchor="_Toc2272" w:history="1">
        <w:r>
          <w:rPr>
            <w:rFonts w:ascii="IRNazanin" w:hAnsi="IRNazanin" w:eastAsia="IRNazanin" w:cs="IRNazanin"/>
            <w:color w:val="111111"/>
            <w:sz w:val="22"/>
            <w:szCs w:val="22"/>
            <w:b w:val="0"/>
            <w:bCs w:val="0"/>
            <w:i w:val="0"/>
            <w:iCs w:val="0"/>
          </w:rPr>
          <w:t>•تتمة تعليقة منهج المقال / رجال / عربی</w:t>
        </w:r>
        <w:r>
          <w:tab/>
        </w:r>
        <w:r>
          <w:fldChar w:fldCharType="begin"/>
        </w:r>
        <w:r>
          <w:instrText xml:space="preserve">PAGEREF 2272 \h</w:instrText>
        </w:r>
        <w:r>
          <w:fldChar w:fldCharType="end"/>
        </w:r>
      </w:hyperlink>
    </w:p>
    <w:p>
      <w:pPr>
        <w:tabs>
          <w:tab w:val="right" w:leader="dot" w:pos="9062"/>
        </w:tabs>
        <w:ind w:left="440"/>
      </w:pPr>
      <w:hyperlink w:anchor="_Toc2273" w:history="1">
        <w:r>
          <w:rPr>
            <w:rFonts w:ascii="IRNazanin" w:hAnsi="IRNazanin" w:eastAsia="IRNazanin" w:cs="IRNazanin"/>
            <w:color w:val="111111"/>
            <w:sz w:val="22"/>
            <w:szCs w:val="22"/>
            <w:b w:val="0"/>
            <w:bCs w:val="0"/>
            <w:i w:val="0"/>
            <w:iCs w:val="0"/>
          </w:rPr>
          <w:t>•تتمة جامع الاخبار / حديث / عربی</w:t>
        </w:r>
        <w:r>
          <w:tab/>
        </w:r>
        <w:r>
          <w:fldChar w:fldCharType="begin"/>
        </w:r>
        <w:r>
          <w:instrText xml:space="preserve">PAGEREF 2273 \h</w:instrText>
        </w:r>
        <w:r>
          <w:fldChar w:fldCharType="end"/>
        </w:r>
      </w:hyperlink>
    </w:p>
    <w:p>
      <w:pPr>
        <w:tabs>
          <w:tab w:val="right" w:leader="dot" w:pos="9062"/>
        </w:tabs>
        <w:ind w:left="440"/>
      </w:pPr>
      <w:hyperlink w:anchor="_Toc2274" w:history="1">
        <w:r>
          <w:rPr>
            <w:rFonts w:ascii="IRNazanin" w:hAnsi="IRNazanin" w:eastAsia="IRNazanin" w:cs="IRNazanin"/>
            <w:color w:val="111111"/>
            <w:sz w:val="22"/>
            <w:szCs w:val="22"/>
            <w:b w:val="0"/>
            <w:bCs w:val="0"/>
            <w:i w:val="0"/>
            <w:iCs w:val="0"/>
          </w:rPr>
          <w:t>•تتمة جواهر الكلمات في الصيغ العقود و الايقاعات / فقه / عربی</w:t>
        </w:r>
        <w:r>
          <w:tab/>
        </w:r>
        <w:r>
          <w:fldChar w:fldCharType="begin"/>
        </w:r>
        <w:r>
          <w:instrText xml:space="preserve">PAGEREF 2274 \h</w:instrText>
        </w:r>
        <w:r>
          <w:fldChar w:fldCharType="end"/>
        </w:r>
      </w:hyperlink>
    </w:p>
    <w:p>
      <w:pPr>
        <w:tabs>
          <w:tab w:val="right" w:leader="dot" w:pos="9062"/>
        </w:tabs>
        <w:ind w:left="440"/>
      </w:pPr>
      <w:hyperlink w:anchor="_Toc2275" w:history="1">
        <w:r>
          <w:rPr>
            <w:rFonts w:ascii="IRNazanin" w:hAnsi="IRNazanin" w:eastAsia="IRNazanin" w:cs="IRNazanin"/>
            <w:color w:val="111111"/>
            <w:sz w:val="22"/>
            <w:szCs w:val="22"/>
            <w:b w:val="0"/>
            <w:bCs w:val="0"/>
            <w:i w:val="0"/>
            <w:iCs w:val="0"/>
          </w:rPr>
          <w:t>•تتمة الحاشية على ذخيرة المعاد / فقه / عربی</w:t>
        </w:r>
        <w:r>
          <w:tab/>
        </w:r>
        <w:r>
          <w:fldChar w:fldCharType="begin"/>
        </w:r>
        <w:r>
          <w:instrText xml:space="preserve">PAGEREF 2275 \h</w:instrText>
        </w:r>
        <w:r>
          <w:fldChar w:fldCharType="end"/>
        </w:r>
      </w:hyperlink>
    </w:p>
    <w:p>
      <w:pPr>
        <w:tabs>
          <w:tab w:val="right" w:leader="dot" w:pos="9062"/>
        </w:tabs>
        <w:ind w:left="440"/>
      </w:pPr>
      <w:hyperlink w:anchor="_Toc2276" w:history="1">
        <w:r>
          <w:rPr>
            <w:rFonts w:ascii="IRNazanin" w:hAnsi="IRNazanin" w:eastAsia="IRNazanin" w:cs="IRNazanin"/>
            <w:color w:val="111111"/>
            <w:sz w:val="22"/>
            <w:szCs w:val="22"/>
            <w:b w:val="0"/>
            <w:bCs w:val="0"/>
            <w:i w:val="0"/>
            <w:iCs w:val="0"/>
          </w:rPr>
          <w:t>•تتمة الحواشي في إزالة الغواشی / کلام و اعتقادات / عربی</w:t>
        </w:r>
        <w:r>
          <w:tab/>
        </w:r>
        <w:r>
          <w:fldChar w:fldCharType="begin"/>
        </w:r>
        <w:r>
          <w:instrText xml:space="preserve">PAGEREF 2276 \h</w:instrText>
        </w:r>
        <w:r>
          <w:fldChar w:fldCharType="end"/>
        </w:r>
      </w:hyperlink>
    </w:p>
    <w:p>
      <w:pPr>
        <w:tabs>
          <w:tab w:val="right" w:leader="dot" w:pos="9062"/>
        </w:tabs>
        <w:ind w:left="440"/>
      </w:pPr>
      <w:hyperlink w:anchor="_Toc2277" w:history="1">
        <w:r>
          <w:rPr>
            <w:rFonts w:ascii="IRNazanin" w:hAnsi="IRNazanin" w:eastAsia="IRNazanin" w:cs="IRNazanin"/>
            <w:color w:val="111111"/>
            <w:sz w:val="22"/>
            <w:szCs w:val="22"/>
            <w:b w:val="0"/>
            <w:bCs w:val="0"/>
            <w:i w:val="0"/>
            <w:iCs w:val="0"/>
          </w:rPr>
          <w:t>•تتمه داستان گرگسار بن چاچ / داستان / فارسی</w:t>
        </w:r>
        <w:r>
          <w:tab/>
        </w:r>
        <w:r>
          <w:fldChar w:fldCharType="begin"/>
        </w:r>
        <w:r>
          <w:instrText xml:space="preserve">PAGEREF 2277 \h</w:instrText>
        </w:r>
        <w:r>
          <w:fldChar w:fldCharType="end"/>
        </w:r>
      </w:hyperlink>
    </w:p>
    <w:p>
      <w:pPr>
        <w:tabs>
          <w:tab w:val="right" w:leader="dot" w:pos="9062"/>
        </w:tabs>
        <w:ind w:left="440"/>
      </w:pPr>
      <w:hyperlink w:anchor="_Toc2278" w:history="1">
        <w:r>
          <w:rPr>
            <w:rFonts w:ascii="IRNazanin" w:hAnsi="IRNazanin" w:eastAsia="IRNazanin" w:cs="IRNazanin"/>
            <w:color w:val="111111"/>
            <w:sz w:val="22"/>
            <w:szCs w:val="22"/>
            <w:b w:val="0"/>
            <w:bCs w:val="0"/>
            <w:i w:val="0"/>
            <w:iCs w:val="0"/>
          </w:rPr>
          <w:t>•تتمة الدر المنثور / رجال / عربی</w:t>
        </w:r>
        <w:r>
          <w:tab/>
        </w:r>
        <w:r>
          <w:fldChar w:fldCharType="begin"/>
        </w:r>
        <w:r>
          <w:instrText xml:space="preserve">PAGEREF 2278 \h</w:instrText>
        </w:r>
        <w:r>
          <w:fldChar w:fldCharType="end"/>
        </w:r>
      </w:hyperlink>
    </w:p>
    <w:p>
      <w:pPr>
        <w:tabs>
          <w:tab w:val="right" w:leader="dot" w:pos="9062"/>
        </w:tabs>
        <w:ind w:left="440"/>
      </w:pPr>
      <w:hyperlink w:anchor="_Toc2279" w:history="1">
        <w:r>
          <w:rPr>
            <w:rFonts w:ascii="IRNazanin" w:hAnsi="IRNazanin" w:eastAsia="IRNazanin" w:cs="IRNazanin"/>
            <w:color w:val="111111"/>
            <w:sz w:val="22"/>
            <w:szCs w:val="22"/>
            <w:b w:val="0"/>
            <w:bCs w:val="0"/>
            <w:i w:val="0"/>
            <w:iCs w:val="0"/>
          </w:rPr>
          <w:t>• تتمة الدرة المنظومة / فقه / عربی</w:t>
        </w:r>
        <w:r>
          <w:tab/>
        </w:r>
        <w:r>
          <w:fldChar w:fldCharType="begin"/>
        </w:r>
        <w:r>
          <w:instrText xml:space="preserve">PAGEREF 2279 \h</w:instrText>
        </w:r>
        <w:r>
          <w:fldChar w:fldCharType="end"/>
        </w:r>
      </w:hyperlink>
    </w:p>
    <w:p>
      <w:pPr>
        <w:tabs>
          <w:tab w:val="right" w:leader="dot" w:pos="9062"/>
        </w:tabs>
        <w:ind w:left="440"/>
      </w:pPr>
      <w:hyperlink w:anchor="_Toc2280" w:history="1">
        <w:r>
          <w:rPr>
            <w:rFonts w:ascii="IRNazanin" w:hAnsi="IRNazanin" w:eastAsia="IRNazanin" w:cs="IRNazanin"/>
            <w:color w:val="111111"/>
            <w:sz w:val="22"/>
            <w:szCs w:val="22"/>
            <w:b w:val="0"/>
            <w:bCs w:val="0"/>
            <w:i w:val="0"/>
            <w:iCs w:val="0"/>
          </w:rPr>
          <w:t>•تتمة الدرة النجفية / فقه / عربی</w:t>
        </w:r>
        <w:r>
          <w:tab/>
        </w:r>
        <w:r>
          <w:fldChar w:fldCharType="begin"/>
        </w:r>
        <w:r>
          <w:instrText xml:space="preserve">PAGEREF 2280 \h</w:instrText>
        </w:r>
        <w:r>
          <w:fldChar w:fldCharType="end"/>
        </w:r>
      </w:hyperlink>
    </w:p>
    <w:p>
      <w:pPr>
        <w:tabs>
          <w:tab w:val="right" w:leader="dot" w:pos="9062"/>
        </w:tabs>
        <w:ind w:left="440"/>
      </w:pPr>
      <w:hyperlink w:anchor="_Toc2281" w:history="1">
        <w:r>
          <w:rPr>
            <w:rFonts w:ascii="IRNazanin" w:hAnsi="IRNazanin" w:eastAsia="IRNazanin" w:cs="IRNazanin"/>
            <w:color w:val="111111"/>
            <w:sz w:val="22"/>
            <w:szCs w:val="22"/>
            <w:b w:val="0"/>
            <w:bCs w:val="0"/>
            <w:i w:val="0"/>
            <w:iCs w:val="0"/>
          </w:rPr>
          <w:t>•تتمة رسالة حل الطلسم / کیمیا / عربی</w:t>
        </w:r>
        <w:r>
          <w:tab/>
        </w:r>
        <w:r>
          <w:fldChar w:fldCharType="begin"/>
        </w:r>
        <w:r>
          <w:instrText xml:space="preserve">PAGEREF 2281 \h</w:instrText>
        </w:r>
        <w:r>
          <w:fldChar w:fldCharType="end"/>
        </w:r>
      </w:hyperlink>
    </w:p>
    <w:p>
      <w:pPr>
        <w:tabs>
          <w:tab w:val="right" w:leader="dot" w:pos="9062"/>
        </w:tabs>
        <w:ind w:left="440"/>
      </w:pPr>
      <w:hyperlink w:anchor="_Toc2282" w:history="1">
        <w:r>
          <w:rPr>
            <w:rFonts w:ascii="IRNazanin" w:hAnsi="IRNazanin" w:eastAsia="IRNazanin" w:cs="IRNazanin"/>
            <w:color w:val="111111"/>
            <w:sz w:val="22"/>
            <w:szCs w:val="22"/>
            <w:b w:val="0"/>
            <w:bCs w:val="0"/>
            <w:i w:val="0"/>
            <w:iCs w:val="0"/>
          </w:rPr>
          <w:t>•تتمة السبیل / اصول فقه / عربی</w:t>
        </w:r>
        <w:r>
          <w:tab/>
        </w:r>
        <w:r>
          <w:fldChar w:fldCharType="begin"/>
        </w:r>
        <w:r>
          <w:instrText xml:space="preserve">PAGEREF 2282 \h</w:instrText>
        </w:r>
        <w:r>
          <w:fldChar w:fldCharType="end"/>
        </w:r>
      </w:hyperlink>
    </w:p>
    <w:p>
      <w:pPr>
        <w:tabs>
          <w:tab w:val="right" w:leader="dot" w:pos="9062"/>
        </w:tabs>
        <w:ind w:left="440"/>
      </w:pPr>
      <w:hyperlink w:anchor="_Toc2283" w:history="1">
        <w:r>
          <w:rPr>
            <w:rFonts w:ascii="IRNazanin" w:hAnsi="IRNazanin" w:eastAsia="IRNazanin" w:cs="IRNazanin"/>
            <w:color w:val="111111"/>
            <w:sz w:val="22"/>
            <w:szCs w:val="22"/>
            <w:b w:val="0"/>
            <w:bCs w:val="0"/>
            <w:i w:val="0"/>
            <w:iCs w:val="0"/>
          </w:rPr>
          <w:t>•تتمة شرح الزوراء / فلسفه / عربی</w:t>
        </w:r>
        <w:r>
          <w:tab/>
        </w:r>
        <w:r>
          <w:fldChar w:fldCharType="begin"/>
        </w:r>
        <w:r>
          <w:instrText xml:space="preserve">PAGEREF 2283 \h</w:instrText>
        </w:r>
        <w:r>
          <w:fldChar w:fldCharType="end"/>
        </w:r>
      </w:hyperlink>
    </w:p>
    <w:p>
      <w:pPr>
        <w:tabs>
          <w:tab w:val="right" w:leader="dot" w:pos="9062"/>
        </w:tabs>
        <w:ind w:left="440"/>
      </w:pPr>
      <w:hyperlink w:anchor="_Toc2284" w:history="1">
        <w:r>
          <w:rPr>
            <w:rFonts w:ascii="IRNazanin" w:hAnsi="IRNazanin" w:eastAsia="IRNazanin" w:cs="IRNazanin"/>
            <w:color w:val="111111"/>
            <w:sz w:val="22"/>
            <w:szCs w:val="22"/>
            <w:b w:val="0"/>
            <w:bCs w:val="0"/>
            <w:i w:val="0"/>
            <w:iCs w:val="0"/>
          </w:rPr>
          <w:t>• تتمه شرح «كن في الدنيا كانک غریب» (رساله در) / عرفان و تصوف / فارسی</w:t>
        </w:r>
        <w:r>
          <w:tab/>
        </w:r>
        <w:r>
          <w:fldChar w:fldCharType="begin"/>
        </w:r>
        <w:r>
          <w:instrText xml:space="preserve">PAGEREF 2284 \h</w:instrText>
        </w:r>
        <w:r>
          <w:fldChar w:fldCharType="end"/>
        </w:r>
      </w:hyperlink>
    </w:p>
    <w:p>
      <w:pPr>
        <w:tabs>
          <w:tab w:val="right" w:leader="dot" w:pos="9062"/>
        </w:tabs>
        <w:ind w:left="440"/>
      </w:pPr>
      <w:hyperlink w:anchor="_Toc2285" w:history="1">
        <w:r>
          <w:rPr>
            <w:rFonts w:ascii="IRNazanin" w:hAnsi="IRNazanin" w:eastAsia="IRNazanin" w:cs="IRNazanin"/>
            <w:color w:val="111111"/>
            <w:sz w:val="22"/>
            <w:szCs w:val="22"/>
            <w:b w:val="0"/>
            <w:bCs w:val="0"/>
            <w:i w:val="0"/>
            <w:iCs w:val="0"/>
          </w:rPr>
          <w:t>• تتمة شفاء الاوام / حديث / عربی</w:t>
        </w:r>
        <w:r>
          <w:tab/>
        </w:r>
        <w:r>
          <w:fldChar w:fldCharType="begin"/>
        </w:r>
        <w:r>
          <w:instrText xml:space="preserve">PAGEREF 2285 \h</w:instrText>
        </w:r>
        <w:r>
          <w:fldChar w:fldCharType="end"/>
        </w:r>
      </w:hyperlink>
    </w:p>
    <w:p>
      <w:pPr>
        <w:tabs>
          <w:tab w:val="right" w:leader="dot" w:pos="9062"/>
        </w:tabs>
        <w:ind w:left="440"/>
      </w:pPr>
      <w:hyperlink w:anchor="_Toc2286" w:history="1">
        <w:r>
          <w:rPr>
            <w:rFonts w:ascii="IRNazanin" w:hAnsi="IRNazanin" w:eastAsia="IRNazanin" w:cs="IRNazanin"/>
            <w:color w:val="111111"/>
            <w:sz w:val="22"/>
            <w:szCs w:val="22"/>
            <w:b w:val="0"/>
            <w:bCs w:val="0"/>
            <w:i w:val="0"/>
            <w:iCs w:val="0"/>
          </w:rPr>
          <w:t>•تتمة صوان الحکمة / تراجم / عربی</w:t>
        </w:r>
        <w:r>
          <w:tab/>
        </w:r>
        <w:r>
          <w:fldChar w:fldCharType="begin"/>
        </w:r>
        <w:r>
          <w:instrText xml:space="preserve">PAGEREF 2286 \h</w:instrText>
        </w:r>
        <w:r>
          <w:fldChar w:fldCharType="end"/>
        </w:r>
      </w:hyperlink>
    </w:p>
    <w:p>
      <w:pPr>
        <w:tabs>
          <w:tab w:val="right" w:leader="dot" w:pos="9062"/>
        </w:tabs>
        <w:ind w:left="440"/>
      </w:pPr>
      <w:hyperlink w:anchor="_Toc2287" w:history="1">
        <w:r>
          <w:rPr>
            <w:rFonts w:ascii="IRNazanin" w:hAnsi="IRNazanin" w:eastAsia="IRNazanin" w:cs="IRNazanin"/>
            <w:color w:val="111111"/>
            <w:sz w:val="22"/>
            <w:szCs w:val="22"/>
            <w:b w:val="0"/>
            <w:bCs w:val="0"/>
            <w:i w:val="0"/>
            <w:iCs w:val="0"/>
          </w:rPr>
          <w:t>•تتمة صوان الحكمة (مختصر) / تراجم / عربی</w:t>
        </w:r>
        <w:r>
          <w:tab/>
        </w:r>
        <w:r>
          <w:fldChar w:fldCharType="begin"/>
        </w:r>
        <w:r>
          <w:instrText xml:space="preserve">PAGEREF 2287 \h</w:instrText>
        </w:r>
        <w:r>
          <w:fldChar w:fldCharType="end"/>
        </w:r>
      </w:hyperlink>
    </w:p>
    <w:p>
      <w:pPr>
        <w:tabs>
          <w:tab w:val="right" w:leader="dot" w:pos="9062"/>
        </w:tabs>
        <w:ind w:left="440"/>
      </w:pPr>
      <w:hyperlink w:anchor="_Toc2288" w:history="1">
        <w:r>
          <w:rPr>
            <w:rFonts w:ascii="IRNazanin" w:hAnsi="IRNazanin" w:eastAsia="IRNazanin" w:cs="IRNazanin"/>
            <w:color w:val="111111"/>
            <w:sz w:val="22"/>
            <w:szCs w:val="22"/>
            <w:b w:val="0"/>
            <w:bCs w:val="0"/>
            <w:i w:val="0"/>
            <w:iCs w:val="0"/>
          </w:rPr>
          <w:t>•التتمة في تواريخ الائمة / تاریخ معصومین / عربی</w:t>
        </w:r>
        <w:r>
          <w:tab/>
        </w:r>
        <w:r>
          <w:fldChar w:fldCharType="begin"/>
        </w:r>
        <w:r>
          <w:instrText xml:space="preserve">PAGEREF 2288 \h</w:instrText>
        </w:r>
        <w:r>
          <w:fldChar w:fldCharType="end"/>
        </w:r>
      </w:hyperlink>
    </w:p>
    <w:p>
      <w:pPr>
        <w:tabs>
          <w:tab w:val="right" w:leader="dot" w:pos="9062"/>
        </w:tabs>
        <w:ind w:left="440"/>
      </w:pPr>
      <w:hyperlink w:anchor="_Toc2289" w:history="1">
        <w:r>
          <w:rPr>
            <w:rFonts w:ascii="IRNazanin" w:hAnsi="IRNazanin" w:eastAsia="IRNazanin" w:cs="IRNazanin"/>
            <w:color w:val="111111"/>
            <w:sz w:val="22"/>
            <w:szCs w:val="22"/>
            <w:b w:val="0"/>
            <w:bCs w:val="0"/>
            <w:i w:val="0"/>
            <w:iCs w:val="0"/>
          </w:rPr>
          <w:t>•تتمه قرابادین شفائی/ طب / فارسی</w:t>
        </w:r>
        <w:r>
          <w:tab/>
        </w:r>
        <w:r>
          <w:fldChar w:fldCharType="begin"/>
        </w:r>
        <w:r>
          <w:instrText xml:space="preserve">PAGEREF 2289 \h</w:instrText>
        </w:r>
        <w:r>
          <w:fldChar w:fldCharType="end"/>
        </w:r>
      </w:hyperlink>
    </w:p>
    <w:p>
      <w:pPr>
        <w:tabs>
          <w:tab w:val="right" w:leader="dot" w:pos="9062"/>
        </w:tabs>
        <w:ind w:left="440"/>
      </w:pPr>
      <w:hyperlink w:anchor="_Toc2290" w:history="1">
        <w:r>
          <w:rPr>
            <w:rFonts w:ascii="IRNazanin" w:hAnsi="IRNazanin" w:eastAsia="IRNazanin" w:cs="IRNazanin"/>
            <w:color w:val="111111"/>
            <w:sz w:val="22"/>
            <w:szCs w:val="22"/>
            <w:b w:val="0"/>
            <w:bCs w:val="0"/>
            <w:i w:val="0"/>
            <w:iCs w:val="0"/>
          </w:rPr>
          <w:t>• تتمه قرانات / هیأت / فارسی</w:t>
        </w:r>
        <w:r>
          <w:tab/>
        </w:r>
        <w:r>
          <w:fldChar w:fldCharType="begin"/>
        </w:r>
        <w:r>
          <w:instrText xml:space="preserve">PAGEREF 2290 \h</w:instrText>
        </w:r>
        <w:r>
          <w:fldChar w:fldCharType="end"/>
        </w:r>
      </w:hyperlink>
    </w:p>
    <w:p>
      <w:pPr>
        <w:tabs>
          <w:tab w:val="right" w:leader="dot" w:pos="9062"/>
        </w:tabs>
        <w:ind w:left="440"/>
      </w:pPr>
      <w:hyperlink w:anchor="_Toc2291" w:history="1">
        <w:r>
          <w:rPr>
            <w:rFonts w:ascii="IRNazanin" w:hAnsi="IRNazanin" w:eastAsia="IRNazanin" w:cs="IRNazanin"/>
            <w:color w:val="111111"/>
            <w:sz w:val="22"/>
            <w:szCs w:val="22"/>
            <w:b w:val="0"/>
            <w:bCs w:val="0"/>
            <w:i w:val="0"/>
            <w:iCs w:val="0"/>
          </w:rPr>
          <w:t>•تتمة قرباذين / طب / عربی</w:t>
        </w:r>
        <w:r>
          <w:tab/>
        </w:r>
        <w:r>
          <w:fldChar w:fldCharType="begin"/>
        </w:r>
        <w:r>
          <w:instrText xml:space="preserve">PAGEREF 2291 \h</w:instrText>
        </w:r>
        <w:r>
          <w:fldChar w:fldCharType="end"/>
        </w:r>
      </w:hyperlink>
    </w:p>
    <w:p>
      <w:pPr>
        <w:tabs>
          <w:tab w:val="right" w:leader="dot" w:pos="9062"/>
        </w:tabs>
        <w:ind w:left="440"/>
      </w:pPr>
      <w:hyperlink w:anchor="_Toc2292" w:history="1">
        <w:r>
          <w:rPr>
            <w:rFonts w:ascii="IRNazanin" w:hAnsi="IRNazanin" w:eastAsia="IRNazanin" w:cs="IRNazanin"/>
            <w:color w:val="111111"/>
            <w:sz w:val="22"/>
            <w:szCs w:val="22"/>
            <w:b w:val="0"/>
            <w:bCs w:val="0"/>
            <w:i w:val="0"/>
            <w:iCs w:val="0"/>
          </w:rPr>
          <w:t>•تتمة كتاب البلغة / لغت عربی، فارسی</w:t>
        </w:r>
        <w:r>
          <w:tab/>
        </w:r>
        <w:r>
          <w:fldChar w:fldCharType="begin"/>
        </w:r>
        <w:r>
          <w:instrText xml:space="preserve">PAGEREF 2292 \h</w:instrText>
        </w:r>
        <w:r>
          <w:fldChar w:fldCharType="end"/>
        </w:r>
      </w:hyperlink>
    </w:p>
    <w:p>
      <w:pPr>
        <w:tabs>
          <w:tab w:val="right" w:leader="dot" w:pos="9062"/>
        </w:tabs>
        <w:ind w:left="440"/>
      </w:pPr>
      <w:hyperlink w:anchor="_Toc2293" w:history="1">
        <w:r>
          <w:rPr>
            <w:rFonts w:ascii="IRNazanin" w:hAnsi="IRNazanin" w:eastAsia="IRNazanin" w:cs="IRNazanin"/>
            <w:color w:val="111111"/>
            <w:sz w:val="22"/>
            <w:szCs w:val="22"/>
            <w:b w:val="0"/>
            <w:bCs w:val="0"/>
            <w:i w:val="0"/>
            <w:iCs w:val="0"/>
          </w:rPr>
          <w:t>•تتمة كتاب مجمع الفصاحتين في فضائل امیر المؤمنين / حديث / عربی</w:t>
        </w:r>
        <w:r>
          <w:tab/>
        </w:r>
        <w:r>
          <w:fldChar w:fldCharType="begin"/>
        </w:r>
        <w:r>
          <w:instrText xml:space="preserve">PAGEREF 2293 \h</w:instrText>
        </w:r>
        <w:r>
          <w:fldChar w:fldCharType="end"/>
        </w:r>
      </w:hyperlink>
    </w:p>
    <w:p>
      <w:pPr>
        <w:tabs>
          <w:tab w:val="right" w:leader="dot" w:pos="9062"/>
        </w:tabs>
        <w:ind w:left="440"/>
      </w:pPr>
      <w:hyperlink w:anchor="_Toc2294" w:history="1">
        <w:r>
          <w:rPr>
            <w:rFonts w:ascii="IRNazanin" w:hAnsi="IRNazanin" w:eastAsia="IRNazanin" w:cs="IRNazanin"/>
            <w:color w:val="111111"/>
            <w:sz w:val="22"/>
            <w:szCs w:val="22"/>
            <w:b w:val="0"/>
            <w:bCs w:val="0"/>
            <w:i w:val="0"/>
            <w:iCs w:val="0"/>
          </w:rPr>
          <w:t>•تتمة كنز الحكمة / کیمیا / عربی</w:t>
        </w:r>
        <w:r>
          <w:tab/>
        </w:r>
        <w:r>
          <w:fldChar w:fldCharType="begin"/>
        </w:r>
        <w:r>
          <w:instrText xml:space="preserve">PAGEREF 2294 \h</w:instrText>
        </w:r>
        <w:r>
          <w:fldChar w:fldCharType="end"/>
        </w:r>
      </w:hyperlink>
    </w:p>
    <w:p>
      <w:pPr>
        <w:tabs>
          <w:tab w:val="right" w:leader="dot" w:pos="9062"/>
        </w:tabs>
        <w:ind w:left="440"/>
      </w:pPr>
      <w:hyperlink w:anchor="_Toc2295" w:history="1">
        <w:r>
          <w:rPr>
            <w:rFonts w:ascii="IRNazanin" w:hAnsi="IRNazanin" w:eastAsia="IRNazanin" w:cs="IRNazanin"/>
            <w:color w:val="111111"/>
            <w:sz w:val="22"/>
            <w:szCs w:val="22"/>
            <w:b w:val="0"/>
            <w:bCs w:val="0"/>
            <w:i w:val="0"/>
            <w:iCs w:val="0"/>
          </w:rPr>
          <w:t>•تتمة اللغات = فرهنگ لغات غريبه تاریخ وصاف / لغت / فارسی</w:t>
        </w:r>
        <w:r>
          <w:tab/>
        </w:r>
        <w:r>
          <w:fldChar w:fldCharType="begin"/>
        </w:r>
        <w:r>
          <w:instrText xml:space="preserve">PAGEREF 2295 \h</w:instrText>
        </w:r>
        <w:r>
          <w:fldChar w:fldCharType="end"/>
        </w:r>
      </w:hyperlink>
    </w:p>
    <w:p>
      <w:pPr>
        <w:tabs>
          <w:tab w:val="right" w:leader="dot" w:pos="9062"/>
        </w:tabs>
        <w:ind w:left="440"/>
      </w:pPr>
      <w:hyperlink w:anchor="_Toc2296" w:history="1">
        <w:r>
          <w:rPr>
            <w:rFonts w:ascii="IRNazanin" w:hAnsi="IRNazanin" w:eastAsia="IRNazanin" w:cs="IRNazanin"/>
            <w:color w:val="111111"/>
            <w:sz w:val="22"/>
            <w:szCs w:val="22"/>
            <w:b w:val="0"/>
            <w:bCs w:val="0"/>
            <w:i w:val="0"/>
            <w:iCs w:val="0"/>
          </w:rPr>
          <w:t>•التتمة لمعرفة الأئمة = تتمة مناقب الائمة = اربع عشریات = تتمة الرسائل / شعر / عربی</w:t>
        </w:r>
        <w:r>
          <w:tab/>
        </w:r>
        <w:r>
          <w:fldChar w:fldCharType="begin"/>
        </w:r>
        <w:r>
          <w:instrText xml:space="preserve">PAGEREF 2296 \h</w:instrText>
        </w:r>
        <w:r>
          <w:fldChar w:fldCharType="end"/>
        </w:r>
      </w:hyperlink>
    </w:p>
    <w:p>
      <w:pPr>
        <w:tabs>
          <w:tab w:val="right" w:leader="dot" w:pos="9062"/>
        </w:tabs>
        <w:ind w:left="440"/>
      </w:pPr>
      <w:hyperlink w:anchor="_Toc2297" w:history="1">
        <w:r>
          <w:rPr>
            <w:rFonts w:ascii="IRNazanin" w:hAnsi="IRNazanin" w:eastAsia="IRNazanin" w:cs="IRNazanin"/>
            <w:color w:val="111111"/>
            <w:sz w:val="22"/>
            <w:szCs w:val="22"/>
            <w:b w:val="0"/>
            <w:bCs w:val="0"/>
            <w:i w:val="0"/>
            <w:iCs w:val="0"/>
          </w:rPr>
          <w:t>•تتمة الماء / کیمیا / عربی</w:t>
        </w:r>
        <w:r>
          <w:tab/>
        </w:r>
        <w:r>
          <w:fldChar w:fldCharType="begin"/>
        </w:r>
        <w:r>
          <w:instrText xml:space="preserve">PAGEREF 2297 \h</w:instrText>
        </w:r>
        <w:r>
          <w:fldChar w:fldCharType="end"/>
        </w:r>
      </w:hyperlink>
    </w:p>
    <w:p>
      <w:pPr>
        <w:tabs>
          <w:tab w:val="right" w:leader="dot" w:pos="9062"/>
        </w:tabs>
        <w:ind w:left="440"/>
      </w:pPr>
      <w:hyperlink w:anchor="_Toc2298" w:history="1">
        <w:r>
          <w:rPr>
            <w:rFonts w:ascii="IRNazanin" w:hAnsi="IRNazanin" w:eastAsia="IRNazanin" w:cs="IRNazanin"/>
            <w:color w:val="111111"/>
            <w:sz w:val="22"/>
            <w:szCs w:val="22"/>
            <w:b w:val="0"/>
            <w:bCs w:val="0"/>
            <w:i w:val="0"/>
            <w:iCs w:val="0"/>
          </w:rPr>
          <w:t>•تتمة مجمع المصائب في نوائب الاطائب / تاریخ معصومین / عربی</w:t>
        </w:r>
        <w:r>
          <w:tab/>
        </w:r>
        <w:r>
          <w:fldChar w:fldCharType="begin"/>
        </w:r>
        <w:r>
          <w:instrText xml:space="preserve">PAGEREF 2298 \h</w:instrText>
        </w:r>
        <w:r>
          <w:fldChar w:fldCharType="end"/>
        </w:r>
      </w:hyperlink>
    </w:p>
    <w:p>
      <w:pPr>
        <w:tabs>
          <w:tab w:val="right" w:leader="dot" w:pos="9062"/>
        </w:tabs>
        <w:ind w:left="440"/>
      </w:pPr>
      <w:hyperlink w:anchor="_Toc2299" w:history="1">
        <w:r>
          <w:rPr>
            <w:rFonts w:ascii="IRNazanin" w:hAnsi="IRNazanin" w:eastAsia="IRNazanin" w:cs="IRNazanin"/>
            <w:color w:val="111111"/>
            <w:sz w:val="22"/>
            <w:szCs w:val="22"/>
            <w:b w:val="0"/>
            <w:bCs w:val="0"/>
            <w:i w:val="0"/>
            <w:iCs w:val="0"/>
          </w:rPr>
          <w:t>• تتمة المختصر في اخبار البشر / تاریخ / عربی</w:t>
        </w:r>
        <w:r>
          <w:tab/>
        </w:r>
        <w:r>
          <w:fldChar w:fldCharType="begin"/>
        </w:r>
        <w:r>
          <w:instrText xml:space="preserve">PAGEREF 2299 \h</w:instrText>
        </w:r>
        <w:r>
          <w:fldChar w:fldCharType="end"/>
        </w:r>
      </w:hyperlink>
    </w:p>
    <w:p>
      <w:pPr>
        <w:tabs>
          <w:tab w:val="right" w:leader="dot" w:pos="9062"/>
        </w:tabs>
        <w:ind w:left="440"/>
      </w:pPr>
      <w:hyperlink w:anchor="_Toc2300" w:history="1">
        <w:r>
          <w:rPr>
            <w:rFonts w:ascii="IRNazanin" w:hAnsi="IRNazanin" w:eastAsia="IRNazanin" w:cs="IRNazanin"/>
            <w:color w:val="111111"/>
            <w:sz w:val="22"/>
            <w:szCs w:val="22"/>
            <w:b w:val="0"/>
            <w:bCs w:val="0"/>
            <w:i w:val="0"/>
            <w:iCs w:val="0"/>
          </w:rPr>
          <w:t>•تتمة المنتهي في وقایع ایام الخلفا / تاریخ / فارسی</w:t>
        </w:r>
        <w:r>
          <w:tab/>
        </w:r>
        <w:r>
          <w:fldChar w:fldCharType="begin"/>
        </w:r>
        <w:r>
          <w:instrText xml:space="preserve">PAGEREF 2300 \h</w:instrText>
        </w:r>
        <w:r>
          <w:fldChar w:fldCharType="end"/>
        </w:r>
      </w:hyperlink>
    </w:p>
    <w:p>
      <w:pPr>
        <w:tabs>
          <w:tab w:val="right" w:leader="dot" w:pos="9062"/>
        </w:tabs>
        <w:ind w:left="440"/>
      </w:pPr>
      <w:hyperlink w:anchor="_Toc2301" w:history="1">
        <w:r>
          <w:rPr>
            <w:rFonts w:ascii="IRNazanin" w:hAnsi="IRNazanin" w:eastAsia="IRNazanin" w:cs="IRNazanin"/>
            <w:color w:val="111111"/>
            <w:sz w:val="22"/>
            <w:szCs w:val="22"/>
            <w:b w:val="0"/>
            <w:bCs w:val="0"/>
            <w:i w:val="0"/>
            <w:iCs w:val="0"/>
          </w:rPr>
          <w:t>•تتمة يتيمة الدهر / تراجم / عربی</w:t>
        </w:r>
        <w:r>
          <w:tab/>
        </w:r>
        <w:r>
          <w:fldChar w:fldCharType="begin"/>
        </w:r>
        <w:r>
          <w:instrText xml:space="preserve">PAGEREF 2301 \h</w:instrText>
        </w:r>
        <w:r>
          <w:fldChar w:fldCharType="end"/>
        </w:r>
      </w:hyperlink>
    </w:p>
    <w:p>
      <w:pPr>
        <w:tabs>
          <w:tab w:val="right" w:leader="dot" w:pos="9062"/>
        </w:tabs>
        <w:ind w:left="440"/>
      </w:pPr>
      <w:hyperlink w:anchor="_Toc2302" w:history="1">
        <w:r>
          <w:rPr>
            <w:rFonts w:ascii="IRNazanin" w:hAnsi="IRNazanin" w:eastAsia="IRNazanin" w:cs="IRNazanin"/>
            <w:color w:val="111111"/>
            <w:sz w:val="22"/>
            <w:szCs w:val="22"/>
            <w:b w:val="0"/>
            <w:bCs w:val="0"/>
            <w:i w:val="0"/>
            <w:iCs w:val="0"/>
          </w:rPr>
          <w:t>•تتميم الأدب في مجاري كلام العرب / لغت / عربی</w:t>
        </w:r>
        <w:r>
          <w:tab/>
        </w:r>
        <w:r>
          <w:fldChar w:fldCharType="begin"/>
        </w:r>
        <w:r>
          <w:instrText xml:space="preserve">PAGEREF 2302 \h</w:instrText>
        </w:r>
        <w:r>
          <w:fldChar w:fldCharType="end"/>
        </w:r>
      </w:hyperlink>
    </w:p>
    <w:p>
      <w:pPr>
        <w:tabs>
          <w:tab w:val="right" w:leader="dot" w:pos="9062"/>
        </w:tabs>
        <w:ind w:left="440"/>
      </w:pPr>
      <w:hyperlink w:anchor="_Toc2303" w:history="1">
        <w:r>
          <w:rPr>
            <w:rFonts w:ascii="IRNazanin" w:hAnsi="IRNazanin" w:eastAsia="IRNazanin" w:cs="IRNazanin"/>
            <w:color w:val="111111"/>
            <w:sz w:val="22"/>
            <w:szCs w:val="22"/>
            <w:b w:val="0"/>
            <w:bCs w:val="0"/>
            <w:i w:val="0"/>
            <w:iCs w:val="0"/>
          </w:rPr>
          <w:t>•تتميم الافصاح في ترتيب الايضاح / رجال / عربی</w:t>
        </w:r>
        <w:r>
          <w:tab/>
        </w:r>
        <w:r>
          <w:fldChar w:fldCharType="begin"/>
        </w:r>
        <w:r>
          <w:instrText xml:space="preserve">PAGEREF 2303 \h</w:instrText>
        </w:r>
        <w:r>
          <w:fldChar w:fldCharType="end"/>
        </w:r>
      </w:hyperlink>
    </w:p>
    <w:p>
      <w:pPr>
        <w:tabs>
          <w:tab w:val="right" w:leader="dot" w:pos="9062"/>
        </w:tabs>
        <w:ind w:left="440"/>
      </w:pPr>
      <w:hyperlink w:anchor="_Toc2304" w:history="1">
        <w:r>
          <w:rPr>
            <w:rFonts w:ascii="IRNazanin" w:hAnsi="IRNazanin" w:eastAsia="IRNazanin" w:cs="IRNazanin"/>
            <w:color w:val="111111"/>
            <w:sz w:val="22"/>
            <w:szCs w:val="22"/>
            <w:b w:val="0"/>
            <w:bCs w:val="0"/>
            <w:i w:val="0"/>
            <w:iCs w:val="0"/>
          </w:rPr>
          <w:t>•تتمیم امل الآمل / تراجم / عربی</w:t>
        </w:r>
        <w:r>
          <w:tab/>
        </w:r>
        <w:r>
          <w:fldChar w:fldCharType="begin"/>
        </w:r>
        <w:r>
          <w:instrText xml:space="preserve">PAGEREF 2304 \h</w:instrText>
        </w:r>
        <w:r>
          <w:fldChar w:fldCharType="end"/>
        </w:r>
      </w:hyperlink>
    </w:p>
    <w:p>
      <w:pPr>
        <w:tabs>
          <w:tab w:val="right" w:leader="dot" w:pos="9062"/>
        </w:tabs>
        <w:ind w:left="440"/>
      </w:pPr>
      <w:hyperlink w:anchor="_Toc2305" w:history="1">
        <w:r>
          <w:rPr>
            <w:rFonts w:ascii="IRNazanin" w:hAnsi="IRNazanin" w:eastAsia="IRNazanin" w:cs="IRNazanin"/>
            <w:color w:val="111111"/>
            <w:sz w:val="22"/>
            <w:szCs w:val="22"/>
            <w:b w:val="0"/>
            <w:bCs w:val="0"/>
            <w:i w:val="0"/>
            <w:iCs w:val="0"/>
          </w:rPr>
          <w:t>•تتمیم جامع عباسی / فقه / فارسی</w:t>
        </w:r>
        <w:r>
          <w:tab/>
        </w:r>
        <w:r>
          <w:fldChar w:fldCharType="begin"/>
        </w:r>
        <w:r>
          <w:instrText xml:space="preserve">PAGEREF 2305 \h</w:instrText>
        </w:r>
        <w:r>
          <w:fldChar w:fldCharType="end"/>
        </w:r>
      </w:hyperlink>
    </w:p>
    <w:p>
      <w:pPr>
        <w:tabs>
          <w:tab w:val="right" w:leader="dot" w:pos="9062"/>
        </w:tabs>
        <w:ind w:left="440"/>
      </w:pPr>
      <w:hyperlink w:anchor="_Toc2306" w:history="1">
        <w:r>
          <w:rPr>
            <w:rFonts w:ascii="IRNazanin" w:hAnsi="IRNazanin" w:eastAsia="IRNazanin" w:cs="IRNazanin"/>
            <w:color w:val="111111"/>
            <w:sz w:val="22"/>
            <w:szCs w:val="22"/>
            <w:b w:val="0"/>
            <w:bCs w:val="0"/>
            <w:i w:val="0"/>
            <w:iCs w:val="0"/>
          </w:rPr>
          <w:t>•تتمیم الصرف الزنجانی صرف و نحو عربی</w:t>
        </w:r>
        <w:r>
          <w:tab/>
        </w:r>
        <w:r>
          <w:fldChar w:fldCharType="begin"/>
        </w:r>
        <w:r>
          <w:instrText xml:space="preserve">PAGEREF 2306 \h</w:instrText>
        </w:r>
        <w:r>
          <w:fldChar w:fldCharType="end"/>
        </w:r>
      </w:hyperlink>
    </w:p>
    <w:p>
      <w:pPr>
        <w:tabs>
          <w:tab w:val="right" w:leader="dot" w:pos="9062"/>
        </w:tabs>
        <w:ind w:left="440"/>
      </w:pPr>
      <w:hyperlink w:anchor="_Toc2307" w:history="1">
        <w:r>
          <w:rPr>
            <w:rFonts w:ascii="IRNazanin" w:hAnsi="IRNazanin" w:eastAsia="IRNazanin" w:cs="IRNazanin"/>
            <w:color w:val="111111"/>
            <w:sz w:val="22"/>
            <w:szCs w:val="22"/>
            <w:b w:val="0"/>
            <w:bCs w:val="0"/>
            <w:i w:val="0"/>
            <w:iCs w:val="0"/>
          </w:rPr>
          <w:t>•تتميم الفوائد بسرد ابيات الشواهد = شرح شواهد قطر الندى / نحو /عربی</w:t>
        </w:r>
        <w:r>
          <w:tab/>
        </w:r>
        <w:r>
          <w:fldChar w:fldCharType="begin"/>
        </w:r>
        <w:r>
          <w:instrText xml:space="preserve">PAGEREF 2307 \h</w:instrText>
        </w:r>
        <w:r>
          <w:fldChar w:fldCharType="end"/>
        </w:r>
      </w:hyperlink>
    </w:p>
    <w:p>
      <w:pPr>
        <w:tabs>
          <w:tab w:val="right" w:leader="dot" w:pos="9062"/>
        </w:tabs>
        <w:ind w:left="440"/>
      </w:pPr>
      <w:hyperlink w:anchor="_Toc2308" w:history="1">
        <w:r>
          <w:rPr>
            <w:rFonts w:ascii="IRNazanin" w:hAnsi="IRNazanin" w:eastAsia="IRNazanin" w:cs="IRNazanin"/>
            <w:color w:val="111111"/>
            <w:sz w:val="22"/>
            <w:szCs w:val="22"/>
            <w:b w:val="0"/>
            <w:bCs w:val="0"/>
            <w:i w:val="0"/>
            <w:iCs w:val="0"/>
          </w:rPr>
          <w:t>•تتمیم الكر /فقه / عربی</w:t>
        </w:r>
        <w:r>
          <w:tab/>
        </w:r>
        <w:r>
          <w:fldChar w:fldCharType="begin"/>
        </w:r>
        <w:r>
          <w:instrText xml:space="preserve">PAGEREF 2308 \h</w:instrText>
        </w:r>
        <w:r>
          <w:fldChar w:fldCharType="end"/>
        </w:r>
      </w:hyperlink>
    </w:p>
    <w:p>
      <w:pPr>
        <w:tabs>
          <w:tab w:val="right" w:leader="dot" w:pos="9062"/>
        </w:tabs>
        <w:ind w:left="440"/>
      </w:pPr>
      <w:hyperlink w:anchor="_Toc2309" w:history="1">
        <w:r>
          <w:rPr>
            <w:rFonts w:ascii="IRNazanin" w:hAnsi="IRNazanin" w:eastAsia="IRNazanin" w:cs="IRNazanin"/>
            <w:color w:val="111111"/>
            <w:sz w:val="22"/>
            <w:szCs w:val="22"/>
            <w:b w:val="0"/>
            <w:bCs w:val="0"/>
            <w:i w:val="0"/>
            <w:iCs w:val="0"/>
          </w:rPr>
          <w:t>•تتميم الكواكب الباهرة / فقه / عربی</w:t>
        </w:r>
        <w:r>
          <w:tab/>
        </w:r>
        <w:r>
          <w:fldChar w:fldCharType="begin"/>
        </w:r>
        <w:r>
          <w:instrText xml:space="preserve">PAGEREF 2309 \h</w:instrText>
        </w:r>
        <w:r>
          <w:fldChar w:fldCharType="end"/>
        </w:r>
      </w:hyperlink>
    </w:p>
    <w:p>
      <w:pPr>
        <w:tabs>
          <w:tab w:val="right" w:leader="dot" w:pos="9062"/>
        </w:tabs>
        <w:ind w:left="440"/>
      </w:pPr>
      <w:hyperlink w:anchor="_Toc2310" w:history="1">
        <w:r>
          <w:rPr>
            <w:rFonts w:ascii="IRNazanin" w:hAnsi="IRNazanin" w:eastAsia="IRNazanin" w:cs="IRNazanin"/>
            <w:color w:val="111111"/>
            <w:sz w:val="22"/>
            <w:szCs w:val="22"/>
            <w:b w:val="0"/>
            <w:bCs w:val="0"/>
            <w:i w:val="0"/>
            <w:iCs w:val="0"/>
          </w:rPr>
          <w:t>•تتمیم معتصم الشيعة في احكام الشريعة / فقه / عربی</w:t>
        </w:r>
        <w:r>
          <w:tab/>
        </w:r>
        <w:r>
          <w:fldChar w:fldCharType="begin"/>
        </w:r>
        <w:r>
          <w:instrText xml:space="preserve">PAGEREF 2310 \h</w:instrText>
        </w:r>
        <w:r>
          <w:fldChar w:fldCharType="end"/>
        </w:r>
      </w:hyperlink>
    </w:p>
    <w:p>
      <w:pPr>
        <w:tabs>
          <w:tab w:val="right" w:leader="dot" w:pos="9062"/>
        </w:tabs>
        <w:ind w:left="440"/>
      </w:pPr>
      <w:hyperlink w:anchor="_Toc2311" w:history="1">
        <w:r>
          <w:rPr>
            <w:rFonts w:ascii="IRNazanin" w:hAnsi="IRNazanin" w:eastAsia="IRNazanin" w:cs="IRNazanin"/>
            <w:color w:val="111111"/>
            <w:sz w:val="22"/>
            <w:szCs w:val="22"/>
            <w:b w:val="0"/>
            <w:bCs w:val="0"/>
            <w:i w:val="0"/>
            <w:iCs w:val="0"/>
          </w:rPr>
          <w:t>•تثبيت الامامة / كلام و اعتقادات / عربی</w:t>
        </w:r>
        <w:r>
          <w:tab/>
        </w:r>
        <w:r>
          <w:fldChar w:fldCharType="begin"/>
        </w:r>
        <w:r>
          <w:instrText xml:space="preserve">PAGEREF 2311 \h</w:instrText>
        </w:r>
        <w:r>
          <w:fldChar w:fldCharType="end"/>
        </w:r>
      </w:hyperlink>
    </w:p>
    <w:p>
      <w:pPr>
        <w:tabs>
          <w:tab w:val="right" w:leader="dot" w:pos="9062"/>
        </w:tabs>
        <w:ind w:left="440"/>
      </w:pPr>
      <w:hyperlink w:anchor="_Toc2312" w:history="1">
        <w:r>
          <w:rPr>
            <w:rFonts w:ascii="IRNazanin" w:hAnsi="IRNazanin" w:eastAsia="IRNazanin" w:cs="IRNazanin"/>
            <w:color w:val="111111"/>
            <w:sz w:val="22"/>
            <w:szCs w:val="22"/>
            <w:b w:val="0"/>
            <w:bCs w:val="0"/>
            <w:i w:val="0"/>
            <w:iCs w:val="0"/>
          </w:rPr>
          <w:t>•تثبيت الامامة / كلام و اعتقادات / عربی</w:t>
        </w:r>
        <w:r>
          <w:tab/>
        </w:r>
        <w:r>
          <w:fldChar w:fldCharType="begin"/>
        </w:r>
        <w:r>
          <w:instrText xml:space="preserve">PAGEREF 2312 \h</w:instrText>
        </w:r>
        <w:r>
          <w:fldChar w:fldCharType="end"/>
        </w:r>
      </w:hyperlink>
    </w:p>
    <w:p>
      <w:pPr>
        <w:tabs>
          <w:tab w:val="right" w:leader="dot" w:pos="9062"/>
        </w:tabs>
        <w:ind w:left="440"/>
      </w:pPr>
      <w:hyperlink w:anchor="_Toc2313" w:history="1">
        <w:r>
          <w:rPr>
            <w:rFonts w:ascii="IRNazanin" w:hAnsi="IRNazanin" w:eastAsia="IRNazanin" w:cs="IRNazanin"/>
            <w:color w:val="111111"/>
            <w:sz w:val="22"/>
            <w:szCs w:val="22"/>
            <w:b w:val="0"/>
            <w:bCs w:val="0"/>
            <w:i w:val="0"/>
            <w:iCs w:val="0"/>
          </w:rPr>
          <w:t>•تثبیت دلائل النبوة / كلام و اعتقادات / عربی</w:t>
        </w:r>
        <w:r>
          <w:tab/>
        </w:r>
        <w:r>
          <w:fldChar w:fldCharType="begin"/>
        </w:r>
        <w:r>
          <w:instrText xml:space="preserve">PAGEREF 2313 \h</w:instrText>
        </w:r>
        <w:r>
          <w:fldChar w:fldCharType="end"/>
        </w:r>
      </w:hyperlink>
    </w:p>
    <w:p>
      <w:pPr>
        <w:tabs>
          <w:tab w:val="right" w:leader="dot" w:pos="9062"/>
        </w:tabs>
        <w:ind w:left="440"/>
      </w:pPr>
      <w:hyperlink w:anchor="_Toc2314" w:history="1">
        <w:r>
          <w:rPr>
            <w:rFonts w:ascii="IRNazanin" w:hAnsi="IRNazanin" w:eastAsia="IRNazanin" w:cs="IRNazanin"/>
            <w:color w:val="111111"/>
            <w:sz w:val="22"/>
            <w:szCs w:val="22"/>
            <w:b w:val="0"/>
            <w:bCs w:val="0"/>
            <w:i w:val="0"/>
            <w:iCs w:val="0"/>
          </w:rPr>
          <w:t>• التثبيت عند التبييت = سؤال القبر (ارجوزة) = فتنة المقبور = التبصرة / كلام و اعتقادات، شعر / عربی</w:t>
        </w:r>
        <w:r>
          <w:tab/>
        </w:r>
        <w:r>
          <w:fldChar w:fldCharType="begin"/>
        </w:r>
        <w:r>
          <w:instrText xml:space="preserve">PAGEREF 2314 \h</w:instrText>
        </w:r>
        <w:r>
          <w:fldChar w:fldCharType="end"/>
        </w:r>
      </w:hyperlink>
    </w:p>
    <w:p>
      <w:pPr>
        <w:tabs>
          <w:tab w:val="right" w:leader="dot" w:pos="9062"/>
        </w:tabs>
        <w:ind w:left="440"/>
      </w:pPr>
      <w:hyperlink w:anchor="_Toc2315" w:history="1">
        <w:r>
          <w:rPr>
            <w:rFonts w:ascii="IRNazanin" w:hAnsi="IRNazanin" w:eastAsia="IRNazanin" w:cs="IRNazanin"/>
            <w:color w:val="111111"/>
            <w:sz w:val="22"/>
            <w:szCs w:val="22"/>
            <w:b w:val="0"/>
            <w:bCs w:val="0"/>
            <w:i w:val="0"/>
            <w:iCs w:val="0"/>
          </w:rPr>
          <w:t>•تثقيف التعريف بالمصطلح الشريف / انشاء / عربی</w:t>
        </w:r>
        <w:r>
          <w:tab/>
        </w:r>
        <w:r>
          <w:fldChar w:fldCharType="begin"/>
        </w:r>
        <w:r>
          <w:instrText xml:space="preserve">PAGEREF 2315 \h</w:instrText>
        </w:r>
        <w:r>
          <w:fldChar w:fldCharType="end"/>
        </w:r>
      </w:hyperlink>
    </w:p>
    <w:p>
      <w:pPr>
        <w:tabs>
          <w:tab w:val="right" w:leader="dot" w:pos="9062"/>
        </w:tabs>
        <w:ind w:left="440"/>
      </w:pPr>
      <w:hyperlink w:anchor="_Toc2316" w:history="1">
        <w:r>
          <w:rPr>
            <w:rFonts w:ascii="IRNazanin" w:hAnsi="IRNazanin" w:eastAsia="IRNazanin" w:cs="IRNazanin"/>
            <w:color w:val="111111"/>
            <w:sz w:val="22"/>
            <w:szCs w:val="22"/>
            <w:b w:val="0"/>
            <w:bCs w:val="0"/>
            <w:i w:val="0"/>
            <w:iCs w:val="0"/>
          </w:rPr>
          <w:t>•التجارات و المنافع و الصناعات / فقه / عربی</w:t>
        </w:r>
        <w:r>
          <w:tab/>
        </w:r>
        <w:r>
          <w:fldChar w:fldCharType="begin"/>
        </w:r>
        <w:r>
          <w:instrText xml:space="preserve">PAGEREF 2316 \h</w:instrText>
        </w:r>
        <w:r>
          <w:fldChar w:fldCharType="end"/>
        </w:r>
      </w:hyperlink>
    </w:p>
    <w:p>
      <w:pPr>
        <w:tabs>
          <w:tab w:val="right" w:leader="dot" w:pos="9062"/>
        </w:tabs>
        <w:ind w:left="440"/>
      </w:pPr>
      <w:hyperlink w:anchor="_Toc2317" w:history="1">
        <w:r>
          <w:rPr>
            <w:rFonts w:ascii="IRNazanin" w:hAnsi="IRNazanin" w:eastAsia="IRNazanin" w:cs="IRNazanin"/>
            <w:color w:val="111111"/>
            <w:sz w:val="22"/>
            <w:szCs w:val="22"/>
            <w:b w:val="0"/>
            <w:bCs w:val="0"/>
            <w:i w:val="0"/>
            <w:iCs w:val="0"/>
          </w:rPr>
          <w:t>•التجارب = عوارض العلل / طب / عربی</w:t>
        </w:r>
        <w:r>
          <w:tab/>
        </w:r>
        <w:r>
          <w:fldChar w:fldCharType="begin"/>
        </w:r>
        <w:r>
          <w:instrText xml:space="preserve">PAGEREF 2317 \h</w:instrText>
        </w:r>
        <w:r>
          <w:fldChar w:fldCharType="end"/>
        </w:r>
      </w:hyperlink>
    </w:p>
    <w:p>
      <w:pPr>
        <w:tabs>
          <w:tab w:val="right" w:leader="dot" w:pos="9062"/>
        </w:tabs>
        <w:ind w:left="440"/>
      </w:pPr>
      <w:hyperlink w:anchor="_Toc2318" w:history="1">
        <w:r>
          <w:rPr>
            <w:rFonts w:ascii="IRNazanin" w:hAnsi="IRNazanin" w:eastAsia="IRNazanin" w:cs="IRNazanin"/>
            <w:color w:val="111111"/>
            <w:sz w:val="22"/>
            <w:szCs w:val="22"/>
            <w:b w:val="0"/>
            <w:bCs w:val="0"/>
            <w:i w:val="0"/>
            <w:iCs w:val="0"/>
          </w:rPr>
          <w:t>•تجارب الأمم في اخبار ملوك العرب و العجم / تاریخ جهان / فارسی</w:t>
        </w:r>
        <w:r>
          <w:tab/>
        </w:r>
        <w:r>
          <w:fldChar w:fldCharType="begin"/>
        </w:r>
        <w:r>
          <w:instrText xml:space="preserve">PAGEREF 2318 \h</w:instrText>
        </w:r>
        <w:r>
          <w:fldChar w:fldCharType="end"/>
        </w:r>
      </w:hyperlink>
    </w:p>
    <w:p>
      <w:pPr>
        <w:tabs>
          <w:tab w:val="right" w:leader="dot" w:pos="9062"/>
        </w:tabs>
        <w:ind w:left="440"/>
      </w:pPr>
      <w:hyperlink w:anchor="_Toc2319" w:history="1">
        <w:r>
          <w:rPr>
            <w:rFonts w:ascii="IRNazanin" w:hAnsi="IRNazanin" w:eastAsia="IRNazanin" w:cs="IRNazanin"/>
            <w:color w:val="111111"/>
            <w:sz w:val="22"/>
            <w:szCs w:val="22"/>
            <w:b w:val="0"/>
            <w:bCs w:val="0"/>
            <w:i w:val="0"/>
            <w:iCs w:val="0"/>
          </w:rPr>
          <w:t>•تجارب الأمم و تعاقب الهمم / تاریخ عربی</w:t>
        </w:r>
        <w:r>
          <w:tab/>
        </w:r>
        <w:r>
          <w:fldChar w:fldCharType="begin"/>
        </w:r>
        <w:r>
          <w:instrText xml:space="preserve">PAGEREF 2319 \h</w:instrText>
        </w:r>
        <w:r>
          <w:fldChar w:fldCharType="end"/>
        </w:r>
      </w:hyperlink>
    </w:p>
    <w:p>
      <w:pPr>
        <w:tabs>
          <w:tab w:val="right" w:leader="dot" w:pos="9062"/>
        </w:tabs>
        <w:ind w:left="440"/>
      </w:pPr>
      <w:hyperlink w:anchor="_Toc2320" w:history="1">
        <w:r>
          <w:rPr>
            <w:rFonts w:ascii="IRNazanin" w:hAnsi="IRNazanin" w:eastAsia="IRNazanin" w:cs="IRNazanin"/>
            <w:color w:val="111111"/>
            <w:sz w:val="22"/>
            <w:szCs w:val="22"/>
            <w:b w:val="0"/>
            <w:bCs w:val="0"/>
            <w:i w:val="0"/>
            <w:iCs w:val="0"/>
          </w:rPr>
          <w:t>•تجارب الإنسان و انوار الحكمة/ اخلاق / فارسی</w:t>
        </w:r>
        <w:r>
          <w:tab/>
        </w:r>
        <w:r>
          <w:fldChar w:fldCharType="begin"/>
        </w:r>
        <w:r>
          <w:instrText xml:space="preserve">PAGEREF 2320 \h</w:instrText>
        </w:r>
        <w:r>
          <w:fldChar w:fldCharType="end"/>
        </w:r>
      </w:hyperlink>
    </w:p>
    <w:p>
      <w:pPr>
        <w:tabs>
          <w:tab w:val="right" w:leader="dot" w:pos="9062"/>
        </w:tabs>
        <w:ind w:left="440"/>
      </w:pPr>
      <w:hyperlink w:anchor="_Toc2321" w:history="1">
        <w:r>
          <w:rPr>
            <w:rFonts w:ascii="IRNazanin" w:hAnsi="IRNazanin" w:eastAsia="IRNazanin" w:cs="IRNazanin"/>
            <w:color w:val="111111"/>
            <w:sz w:val="22"/>
            <w:szCs w:val="22"/>
            <w:b w:val="0"/>
            <w:bCs w:val="0"/>
            <w:i w:val="0"/>
            <w:iCs w:val="0"/>
          </w:rPr>
          <w:t>•تجارب الحكمة / طب / فارسی</w:t>
        </w:r>
        <w:r>
          <w:tab/>
        </w:r>
        <w:r>
          <w:fldChar w:fldCharType="begin"/>
        </w:r>
        <w:r>
          <w:instrText xml:space="preserve">PAGEREF 2321 \h</w:instrText>
        </w:r>
        <w:r>
          <w:fldChar w:fldCharType="end"/>
        </w:r>
      </w:hyperlink>
    </w:p>
    <w:p>
      <w:pPr>
        <w:tabs>
          <w:tab w:val="right" w:leader="dot" w:pos="9062"/>
        </w:tabs>
        <w:ind w:left="440"/>
      </w:pPr>
      <w:hyperlink w:anchor="_Toc2322" w:history="1">
        <w:r>
          <w:rPr>
            <w:rFonts w:ascii="IRNazanin" w:hAnsi="IRNazanin" w:eastAsia="IRNazanin" w:cs="IRNazanin"/>
            <w:color w:val="111111"/>
            <w:sz w:val="22"/>
            <w:szCs w:val="22"/>
            <w:b w:val="0"/>
            <w:bCs w:val="0"/>
            <w:i w:val="0"/>
            <w:iCs w:val="0"/>
          </w:rPr>
          <w:t>•تجارب السلف / تاریخ جهان / فارسی</w:t>
        </w:r>
        <w:r>
          <w:tab/>
        </w:r>
        <w:r>
          <w:fldChar w:fldCharType="begin"/>
        </w:r>
        <w:r>
          <w:instrText xml:space="preserve">PAGEREF 2322 \h</w:instrText>
        </w:r>
        <w:r>
          <w:fldChar w:fldCharType="end"/>
        </w:r>
      </w:hyperlink>
    </w:p>
    <w:p>
      <w:pPr>
        <w:tabs>
          <w:tab w:val="right" w:leader="dot" w:pos="9062"/>
        </w:tabs>
        <w:ind w:left="440"/>
      </w:pPr>
      <w:hyperlink w:anchor="_Toc2323" w:history="1">
        <w:r>
          <w:rPr>
            <w:rFonts w:ascii="IRNazanin" w:hAnsi="IRNazanin" w:eastAsia="IRNazanin" w:cs="IRNazanin"/>
            <w:color w:val="111111"/>
            <w:sz w:val="22"/>
            <w:szCs w:val="22"/>
            <w:b w:val="0"/>
            <w:bCs w:val="0"/>
            <w:i w:val="0"/>
            <w:iCs w:val="0"/>
          </w:rPr>
          <w:t>•تجارب شهریاری / کيميا / فارسی</w:t>
        </w:r>
        <w:r>
          <w:tab/>
        </w:r>
        <w:r>
          <w:fldChar w:fldCharType="begin"/>
        </w:r>
        <w:r>
          <w:instrText xml:space="preserve">PAGEREF 2323 \h</w:instrText>
        </w:r>
        <w:r>
          <w:fldChar w:fldCharType="end"/>
        </w:r>
      </w:hyperlink>
    </w:p>
    <w:p>
      <w:pPr>
        <w:tabs>
          <w:tab w:val="right" w:leader="dot" w:pos="9062"/>
        </w:tabs>
        <w:ind w:left="440"/>
      </w:pPr>
      <w:hyperlink w:anchor="_Toc2324" w:history="1">
        <w:r>
          <w:rPr>
            <w:rFonts w:ascii="IRNazanin" w:hAnsi="IRNazanin" w:eastAsia="IRNazanin" w:cs="IRNazanin"/>
            <w:color w:val="111111"/>
            <w:sz w:val="22"/>
            <w:szCs w:val="22"/>
            <w:b w:val="0"/>
            <w:bCs w:val="0"/>
            <w:i w:val="0"/>
            <w:iCs w:val="0"/>
          </w:rPr>
          <w:t>•التجارب (فصل في) / طب / فارسی</w:t>
        </w:r>
        <w:r>
          <w:tab/>
        </w:r>
        <w:r>
          <w:fldChar w:fldCharType="begin"/>
        </w:r>
        <w:r>
          <w:instrText xml:space="preserve">PAGEREF 2324 \h</w:instrText>
        </w:r>
        <w:r>
          <w:fldChar w:fldCharType="end"/>
        </w:r>
      </w:hyperlink>
    </w:p>
    <w:p>
      <w:pPr>
        <w:tabs>
          <w:tab w:val="right" w:leader="dot" w:pos="9062"/>
        </w:tabs>
        <w:ind w:left="440"/>
      </w:pPr>
      <w:hyperlink w:anchor="_Toc2325" w:history="1">
        <w:r>
          <w:rPr>
            <w:rFonts w:ascii="IRNazanin" w:hAnsi="IRNazanin" w:eastAsia="IRNazanin" w:cs="IRNazanin"/>
            <w:color w:val="111111"/>
            <w:sz w:val="22"/>
            <w:szCs w:val="22"/>
            <w:b w:val="0"/>
            <w:bCs w:val="0"/>
            <w:i w:val="0"/>
            <w:iCs w:val="0"/>
          </w:rPr>
          <w:t>•التجارة / فقه / عربی</w:t>
        </w:r>
        <w:r>
          <w:tab/>
        </w:r>
        <w:r>
          <w:fldChar w:fldCharType="begin"/>
        </w:r>
        <w:r>
          <w:instrText xml:space="preserve">PAGEREF 2325 \h</w:instrText>
        </w:r>
        <w:r>
          <w:fldChar w:fldCharType="end"/>
        </w:r>
      </w:hyperlink>
    </w:p>
    <w:p>
      <w:pPr>
        <w:tabs>
          <w:tab w:val="right" w:leader="dot" w:pos="9062"/>
        </w:tabs>
        <w:ind w:left="440"/>
      </w:pPr>
      <w:hyperlink w:anchor="_Toc2326" w:history="1">
        <w:r>
          <w:rPr>
            <w:rFonts w:ascii="IRNazanin" w:hAnsi="IRNazanin" w:eastAsia="IRNazanin" w:cs="IRNazanin"/>
            <w:color w:val="111111"/>
            <w:sz w:val="22"/>
            <w:szCs w:val="22"/>
            <w:b w:val="0"/>
            <w:bCs w:val="0"/>
            <w:i w:val="0"/>
            <w:iCs w:val="0"/>
          </w:rPr>
          <w:t>•تجارت / فقه / فارسی</w:t>
        </w:r>
        <w:r>
          <w:tab/>
        </w:r>
        <w:r>
          <w:fldChar w:fldCharType="begin"/>
        </w:r>
        <w:r>
          <w:instrText xml:space="preserve">PAGEREF 2326 \h</w:instrText>
        </w:r>
        <w:r>
          <w:fldChar w:fldCharType="end"/>
        </w:r>
      </w:hyperlink>
    </w:p>
    <w:p>
      <w:pPr>
        <w:tabs>
          <w:tab w:val="right" w:leader="dot" w:pos="9062"/>
        </w:tabs>
        <w:ind w:left="440"/>
      </w:pPr>
      <w:hyperlink w:anchor="_Toc2327" w:history="1">
        <w:r>
          <w:rPr>
            <w:rFonts w:ascii="IRNazanin" w:hAnsi="IRNazanin" w:eastAsia="IRNazanin" w:cs="IRNazanin"/>
            <w:color w:val="111111"/>
            <w:sz w:val="22"/>
            <w:szCs w:val="22"/>
            <w:b w:val="0"/>
            <w:bCs w:val="0"/>
            <w:i w:val="0"/>
            <w:iCs w:val="0"/>
          </w:rPr>
          <w:t>•تجارت خانه های داخلی و خارجی بوشهر / اسناد /</w:t>
        </w:r>
        <w:r>
          <w:tab/>
        </w:r>
        <w:r>
          <w:fldChar w:fldCharType="begin"/>
        </w:r>
        <w:r>
          <w:instrText xml:space="preserve">PAGEREF 2327 \h</w:instrText>
        </w:r>
        <w:r>
          <w:fldChar w:fldCharType="end"/>
        </w:r>
      </w:hyperlink>
    </w:p>
    <w:p>
      <w:pPr>
        <w:tabs>
          <w:tab w:val="right" w:leader="dot" w:pos="9062"/>
        </w:tabs>
        <w:ind w:left="440"/>
      </w:pPr>
      <w:hyperlink w:anchor="_Toc2328" w:history="1">
        <w:r>
          <w:rPr>
            <w:rFonts w:ascii="IRNazanin" w:hAnsi="IRNazanin" w:eastAsia="IRNazanin" w:cs="IRNazanin"/>
            <w:color w:val="111111"/>
            <w:sz w:val="22"/>
            <w:szCs w:val="22"/>
            <w:b w:val="0"/>
            <w:bCs w:val="0"/>
            <w:i w:val="0"/>
            <w:iCs w:val="0"/>
          </w:rPr>
          <w:t>•تجارت سید انبيا (صلی الله علیه وآله وسلم)/ تاریخ معصومین / فارسی</w:t>
        </w:r>
        <w:r>
          <w:tab/>
        </w:r>
        <w:r>
          <w:fldChar w:fldCharType="begin"/>
        </w:r>
        <w:r>
          <w:instrText xml:space="preserve">PAGEREF 2328 \h</w:instrText>
        </w:r>
        <w:r>
          <w:fldChar w:fldCharType="end"/>
        </w:r>
      </w:hyperlink>
    </w:p>
    <w:p>
      <w:pPr>
        <w:tabs>
          <w:tab w:val="right" w:leader="dot" w:pos="9062"/>
        </w:tabs>
        <w:ind w:left="440"/>
      </w:pPr>
      <w:hyperlink w:anchor="_Toc2329" w:history="1">
        <w:r>
          <w:rPr>
            <w:rFonts w:ascii="IRNazanin" w:hAnsi="IRNazanin" w:eastAsia="IRNazanin" w:cs="IRNazanin"/>
            <w:color w:val="111111"/>
            <w:sz w:val="22"/>
            <w:szCs w:val="22"/>
            <w:b w:val="0"/>
            <w:bCs w:val="0"/>
            <w:i w:val="0"/>
            <w:iCs w:val="0"/>
          </w:rPr>
          <w:t>•التجارة و البيع / فقه / عربی</w:t>
        </w:r>
        <w:r>
          <w:tab/>
        </w:r>
        <w:r>
          <w:fldChar w:fldCharType="begin"/>
        </w:r>
        <w:r>
          <w:instrText xml:space="preserve">PAGEREF 2329 \h</w:instrText>
        </w:r>
        <w:r>
          <w:fldChar w:fldCharType="end"/>
        </w:r>
      </w:hyperlink>
    </w:p>
    <w:p>
      <w:pPr>
        <w:tabs>
          <w:tab w:val="right" w:leader="dot" w:pos="9062"/>
        </w:tabs>
        <w:ind w:left="440"/>
      </w:pPr>
      <w:hyperlink w:anchor="_Toc2330" w:history="1">
        <w:r>
          <w:rPr>
            <w:rFonts w:ascii="IRNazanin" w:hAnsi="IRNazanin" w:eastAsia="IRNazanin" w:cs="IRNazanin"/>
            <w:color w:val="111111"/>
            <w:sz w:val="22"/>
            <w:szCs w:val="22"/>
            <w:b w:val="0"/>
            <w:bCs w:val="0"/>
            <w:i w:val="0"/>
            <w:iCs w:val="0"/>
          </w:rPr>
          <w:t>•التجارة و الرهن / فقه / عربی</w:t>
        </w:r>
        <w:r>
          <w:tab/>
        </w:r>
        <w:r>
          <w:fldChar w:fldCharType="begin"/>
        </w:r>
        <w:r>
          <w:instrText xml:space="preserve">PAGEREF 2330 \h</w:instrText>
        </w:r>
        <w:r>
          <w:fldChar w:fldCharType="end"/>
        </w:r>
      </w:hyperlink>
    </w:p>
    <w:p>
      <w:pPr>
        <w:tabs>
          <w:tab w:val="right" w:leader="dot" w:pos="9062"/>
        </w:tabs>
        <w:ind w:left="440"/>
      </w:pPr>
      <w:hyperlink w:anchor="_Toc2331" w:history="1">
        <w:r>
          <w:rPr>
            <w:rFonts w:ascii="IRNazanin" w:hAnsi="IRNazanin" w:eastAsia="IRNazanin" w:cs="IRNazanin"/>
            <w:color w:val="111111"/>
            <w:sz w:val="22"/>
            <w:szCs w:val="22"/>
            <w:b w:val="0"/>
            <w:bCs w:val="0"/>
            <w:i w:val="0"/>
            <w:iCs w:val="0"/>
          </w:rPr>
          <w:t>•تجارت و مکاسب / فقه / فارسی</w:t>
        </w:r>
        <w:r>
          <w:tab/>
        </w:r>
        <w:r>
          <w:fldChar w:fldCharType="begin"/>
        </w:r>
        <w:r>
          <w:instrText xml:space="preserve">PAGEREF 2331 \h</w:instrText>
        </w:r>
        <w:r>
          <w:fldChar w:fldCharType="end"/>
        </w:r>
      </w:hyperlink>
    </w:p>
    <w:p>
      <w:pPr>
        <w:tabs>
          <w:tab w:val="right" w:leader="dot" w:pos="9062"/>
        </w:tabs>
        <w:ind w:left="440"/>
      </w:pPr>
      <w:hyperlink w:anchor="_Toc2332" w:history="1">
        <w:r>
          <w:rPr>
            <w:rFonts w:ascii="IRNazanin" w:hAnsi="IRNazanin" w:eastAsia="IRNazanin" w:cs="IRNazanin"/>
            <w:color w:val="111111"/>
            <w:sz w:val="22"/>
            <w:szCs w:val="22"/>
            <w:b w:val="0"/>
            <w:bCs w:val="0"/>
            <w:i w:val="0"/>
            <w:iCs w:val="0"/>
          </w:rPr>
          <w:t>•التجبير في المعجم الكبير / حديث / عربی</w:t>
        </w:r>
        <w:r>
          <w:tab/>
        </w:r>
        <w:r>
          <w:fldChar w:fldCharType="begin"/>
        </w:r>
        <w:r>
          <w:instrText xml:space="preserve">PAGEREF 2332 \h</w:instrText>
        </w:r>
        <w:r>
          <w:fldChar w:fldCharType="end"/>
        </w:r>
      </w:hyperlink>
    </w:p>
    <w:p>
      <w:pPr>
        <w:tabs>
          <w:tab w:val="right" w:leader="dot" w:pos="9062"/>
        </w:tabs>
        <w:ind w:left="440"/>
      </w:pPr>
      <w:hyperlink w:anchor="_Toc2333" w:history="1">
        <w:r>
          <w:rPr>
            <w:rFonts w:ascii="IRNazanin" w:hAnsi="IRNazanin" w:eastAsia="IRNazanin" w:cs="IRNazanin"/>
            <w:color w:val="111111"/>
            <w:sz w:val="22"/>
            <w:szCs w:val="22"/>
            <w:b w:val="0"/>
            <w:bCs w:val="0"/>
            <w:i w:val="0"/>
            <w:iCs w:val="0"/>
          </w:rPr>
          <w:t>•تجديد الإيمان / کلام و اعتقادات / عربی</w:t>
        </w:r>
        <w:r>
          <w:tab/>
        </w:r>
        <w:r>
          <w:fldChar w:fldCharType="begin"/>
        </w:r>
        <w:r>
          <w:instrText xml:space="preserve">PAGEREF 2333 \h</w:instrText>
        </w:r>
        <w:r>
          <w:fldChar w:fldCharType="end"/>
        </w:r>
      </w:hyperlink>
    </w:p>
    <w:p>
      <w:pPr>
        <w:tabs>
          <w:tab w:val="right" w:leader="dot" w:pos="9062"/>
        </w:tabs>
        <w:ind w:left="440"/>
      </w:pPr>
      <w:hyperlink w:anchor="_Toc2334" w:history="1">
        <w:r>
          <w:rPr>
            <w:rFonts w:ascii="IRNazanin" w:hAnsi="IRNazanin" w:eastAsia="IRNazanin" w:cs="IRNazanin"/>
            <w:color w:val="111111"/>
            <w:sz w:val="22"/>
            <w:szCs w:val="22"/>
            <w:b w:val="0"/>
            <w:bCs w:val="0"/>
            <w:i w:val="0"/>
            <w:iCs w:val="0"/>
          </w:rPr>
          <w:t>•تجديد الدوارس و تحديد المدارس / فقه / عربی</w:t>
        </w:r>
        <w:r>
          <w:tab/>
        </w:r>
        <w:r>
          <w:fldChar w:fldCharType="begin"/>
        </w:r>
        <w:r>
          <w:instrText xml:space="preserve">PAGEREF 2334 \h</w:instrText>
        </w:r>
        <w:r>
          <w:fldChar w:fldCharType="end"/>
        </w:r>
      </w:hyperlink>
    </w:p>
    <w:p>
      <w:pPr>
        <w:tabs>
          <w:tab w:val="right" w:leader="dot" w:pos="9062"/>
        </w:tabs>
        <w:ind w:left="440"/>
      </w:pPr>
      <w:hyperlink w:anchor="_Toc2335" w:history="1">
        <w:r>
          <w:rPr>
            <w:rFonts w:ascii="IRNazanin" w:hAnsi="IRNazanin" w:eastAsia="IRNazanin" w:cs="IRNazanin"/>
            <w:color w:val="111111"/>
            <w:sz w:val="22"/>
            <w:szCs w:val="22"/>
            <w:b w:val="0"/>
            <w:bCs w:val="0"/>
            <w:i w:val="0"/>
            <w:iCs w:val="0"/>
          </w:rPr>
          <w:t>•تجديد الوضوء / فقه / عربی</w:t>
        </w:r>
        <w:r>
          <w:tab/>
        </w:r>
        <w:r>
          <w:fldChar w:fldCharType="begin"/>
        </w:r>
        <w:r>
          <w:instrText xml:space="preserve">PAGEREF 2335 \h</w:instrText>
        </w:r>
        <w:r>
          <w:fldChar w:fldCharType="end"/>
        </w:r>
      </w:hyperlink>
    </w:p>
    <w:p>
      <w:pPr>
        <w:tabs>
          <w:tab w:val="right" w:leader="dot" w:pos="9062"/>
        </w:tabs>
        <w:ind w:left="440"/>
      </w:pPr>
      <w:hyperlink w:anchor="_Toc2336" w:history="1">
        <w:r>
          <w:rPr>
            <w:rFonts w:ascii="IRNazanin" w:hAnsi="IRNazanin" w:eastAsia="IRNazanin" w:cs="IRNazanin"/>
            <w:color w:val="111111"/>
            <w:sz w:val="22"/>
            <w:szCs w:val="22"/>
            <w:b w:val="0"/>
            <w:bCs w:val="0"/>
            <w:i w:val="0"/>
            <w:iCs w:val="0"/>
          </w:rPr>
          <w:t>•تجربة الاحرار و تسلية الابرار / تاریخ ایران / فارسی</w:t>
        </w:r>
        <w:r>
          <w:tab/>
        </w:r>
        <w:r>
          <w:fldChar w:fldCharType="begin"/>
        </w:r>
        <w:r>
          <w:instrText xml:space="preserve">PAGEREF 2336 \h</w:instrText>
        </w:r>
        <w:r>
          <w:fldChar w:fldCharType="end"/>
        </w:r>
      </w:hyperlink>
    </w:p>
    <w:p>
      <w:pPr>
        <w:tabs>
          <w:tab w:val="right" w:leader="dot" w:pos="9062"/>
        </w:tabs>
        <w:ind w:left="440"/>
      </w:pPr>
      <w:hyperlink w:anchor="_Toc2337" w:history="1">
        <w:r>
          <w:rPr>
            <w:rFonts w:ascii="IRNazanin" w:hAnsi="IRNazanin" w:eastAsia="IRNazanin" w:cs="IRNazanin"/>
            <w:color w:val="111111"/>
            <w:sz w:val="22"/>
            <w:szCs w:val="22"/>
            <w:b w:val="0"/>
            <w:bCs w:val="0"/>
            <w:i w:val="0"/>
            <w:iCs w:val="0"/>
          </w:rPr>
          <w:t>•تجربة التجربة / حيوان شناسی / فارسی</w:t>
        </w:r>
        <w:r>
          <w:tab/>
        </w:r>
        <w:r>
          <w:fldChar w:fldCharType="begin"/>
        </w:r>
        <w:r>
          <w:instrText xml:space="preserve">PAGEREF 2337 \h</w:instrText>
        </w:r>
        <w:r>
          <w:fldChar w:fldCharType="end"/>
        </w:r>
      </w:hyperlink>
    </w:p>
    <w:p>
      <w:pPr>
        <w:tabs>
          <w:tab w:val="right" w:leader="dot" w:pos="9062"/>
        </w:tabs>
        <w:ind w:left="440"/>
      </w:pPr>
      <w:hyperlink w:anchor="_Toc2338" w:history="1">
        <w:r>
          <w:rPr>
            <w:rFonts w:ascii="IRNazanin" w:hAnsi="IRNazanin" w:eastAsia="IRNazanin" w:cs="IRNazanin"/>
            <w:color w:val="111111"/>
            <w:sz w:val="22"/>
            <w:szCs w:val="22"/>
            <w:b w:val="0"/>
            <w:bCs w:val="0"/>
            <w:i w:val="0"/>
            <w:iCs w:val="0"/>
          </w:rPr>
          <w:t>•تجربه دوستی و دشمنی (جدول) / ترکی</w:t>
        </w:r>
        <w:r>
          <w:tab/>
        </w:r>
        <w:r>
          <w:fldChar w:fldCharType="begin"/>
        </w:r>
        <w:r>
          <w:instrText xml:space="preserve">PAGEREF 2338 \h</w:instrText>
        </w:r>
        <w:r>
          <w:fldChar w:fldCharType="end"/>
        </w:r>
      </w:hyperlink>
    </w:p>
    <w:p>
      <w:pPr>
        <w:tabs>
          <w:tab w:val="right" w:leader="dot" w:pos="9062"/>
        </w:tabs>
        <w:ind w:left="440"/>
      </w:pPr>
      <w:hyperlink w:anchor="_Toc2339" w:history="1">
        <w:r>
          <w:rPr>
            <w:rFonts w:ascii="IRNazanin" w:hAnsi="IRNazanin" w:eastAsia="IRNazanin" w:cs="IRNazanin"/>
            <w:color w:val="111111"/>
            <w:sz w:val="22"/>
            <w:szCs w:val="22"/>
            <w:b w:val="0"/>
            <w:bCs w:val="0"/>
            <w:i w:val="0"/>
            <w:iCs w:val="0"/>
          </w:rPr>
          <w:t>•تجربة الرمل / رمل / فارسی</w:t>
        </w:r>
        <w:r>
          <w:tab/>
        </w:r>
        <w:r>
          <w:fldChar w:fldCharType="begin"/>
        </w:r>
        <w:r>
          <w:instrText xml:space="preserve">PAGEREF 2339 \h</w:instrText>
        </w:r>
        <w:r>
          <w:fldChar w:fldCharType="end"/>
        </w:r>
      </w:hyperlink>
    </w:p>
    <w:p>
      <w:pPr>
        <w:tabs>
          <w:tab w:val="right" w:leader="dot" w:pos="9062"/>
        </w:tabs>
        <w:ind w:left="440"/>
      </w:pPr>
      <w:hyperlink w:anchor="_Toc2340" w:history="1">
        <w:r>
          <w:rPr>
            <w:rFonts w:ascii="IRNazanin" w:hAnsi="IRNazanin" w:eastAsia="IRNazanin" w:cs="IRNazanin"/>
            <w:color w:val="111111"/>
            <w:sz w:val="22"/>
            <w:szCs w:val="22"/>
            <w:b w:val="0"/>
            <w:bCs w:val="0"/>
            <w:i w:val="0"/>
            <w:iCs w:val="0"/>
          </w:rPr>
          <w:t>•تجربه نامه / طب، شعر / فارسی</w:t>
        </w:r>
        <w:r>
          <w:tab/>
        </w:r>
        <w:r>
          <w:fldChar w:fldCharType="begin"/>
        </w:r>
        <w:r>
          <w:instrText xml:space="preserve">PAGEREF 2340 \h</w:instrText>
        </w:r>
        <w:r>
          <w:fldChar w:fldCharType="end"/>
        </w:r>
      </w:hyperlink>
    </w:p>
    <w:p>
      <w:pPr>
        <w:tabs>
          <w:tab w:val="right" w:leader="dot" w:pos="9062"/>
        </w:tabs>
        <w:ind w:left="440"/>
      </w:pPr>
      <w:hyperlink w:anchor="_Toc2341" w:history="1">
        <w:r>
          <w:rPr>
            <w:rFonts w:ascii="IRNazanin" w:hAnsi="IRNazanin" w:eastAsia="IRNazanin" w:cs="IRNazanin"/>
            <w:color w:val="111111"/>
            <w:sz w:val="22"/>
            <w:szCs w:val="22"/>
            <w:b w:val="0"/>
            <w:bCs w:val="0"/>
            <w:i w:val="0"/>
            <w:iCs w:val="0"/>
          </w:rPr>
          <w:t>•تجربیات / طبیعیات / فارسی</w:t>
        </w:r>
        <w:r>
          <w:tab/>
        </w:r>
        <w:r>
          <w:fldChar w:fldCharType="begin"/>
        </w:r>
        <w:r>
          <w:instrText xml:space="preserve">PAGEREF 2341 \h</w:instrText>
        </w:r>
        <w:r>
          <w:fldChar w:fldCharType="end"/>
        </w:r>
      </w:hyperlink>
    </w:p>
    <w:p>
      <w:pPr>
        <w:tabs>
          <w:tab w:val="right" w:leader="dot" w:pos="9062"/>
        </w:tabs>
        <w:ind w:left="440"/>
      </w:pPr>
      <w:hyperlink w:anchor="_Toc2342" w:history="1">
        <w:r>
          <w:rPr>
            <w:rFonts w:ascii="IRNazanin" w:hAnsi="IRNazanin" w:eastAsia="IRNazanin" w:cs="IRNazanin"/>
            <w:color w:val="111111"/>
            <w:sz w:val="22"/>
            <w:szCs w:val="22"/>
            <w:b w:val="0"/>
            <w:bCs w:val="0"/>
            <w:i w:val="0"/>
            <w:iCs w:val="0"/>
          </w:rPr>
          <w:t>•تجربیات حکمای هندوستان به چند نسخه پزشکی / طب فارسی</w:t>
        </w:r>
        <w:r>
          <w:tab/>
        </w:r>
        <w:r>
          <w:fldChar w:fldCharType="begin"/>
        </w:r>
        <w:r>
          <w:instrText xml:space="preserve">PAGEREF 2342 \h</w:instrText>
        </w:r>
        <w:r>
          <w:fldChar w:fldCharType="end"/>
        </w:r>
      </w:hyperlink>
    </w:p>
    <w:p>
      <w:pPr>
        <w:tabs>
          <w:tab w:val="right" w:leader="dot" w:pos="9062"/>
        </w:tabs>
        <w:ind w:left="440"/>
      </w:pPr>
      <w:hyperlink w:anchor="_Toc2343" w:history="1">
        <w:r>
          <w:rPr>
            <w:rFonts w:ascii="IRNazanin" w:hAnsi="IRNazanin" w:eastAsia="IRNazanin" w:cs="IRNazanin"/>
            <w:color w:val="111111"/>
            <w:sz w:val="22"/>
            <w:szCs w:val="22"/>
            <w:b w:val="0"/>
            <w:bCs w:val="0"/>
            <w:i w:val="0"/>
            <w:iCs w:val="0"/>
          </w:rPr>
          <w:t>•تجرد النفس / فلسفه</w:t>
        </w:r>
        <w:r>
          <w:tab/>
        </w:r>
        <w:r>
          <w:fldChar w:fldCharType="begin"/>
        </w:r>
        <w:r>
          <w:instrText xml:space="preserve">PAGEREF 2343 \h</w:instrText>
        </w:r>
        <w:r>
          <w:fldChar w:fldCharType="end"/>
        </w:r>
      </w:hyperlink>
    </w:p>
    <w:p>
      <w:pPr>
        <w:tabs>
          <w:tab w:val="right" w:leader="dot" w:pos="9062"/>
        </w:tabs>
        <w:ind w:left="440"/>
      </w:pPr>
      <w:hyperlink w:anchor="_Toc2344" w:history="1">
        <w:r>
          <w:rPr>
            <w:rFonts w:ascii="IRNazanin" w:hAnsi="IRNazanin" w:eastAsia="IRNazanin" w:cs="IRNazanin"/>
            <w:color w:val="111111"/>
            <w:sz w:val="22"/>
            <w:szCs w:val="22"/>
            <w:b w:val="0"/>
            <w:bCs w:val="0"/>
            <w:i w:val="0"/>
            <w:iCs w:val="0"/>
          </w:rPr>
          <w:t>•تجرد نفس و کیفیت ادراک / فلسفه / فارسی</w:t>
        </w:r>
        <w:r>
          <w:tab/>
        </w:r>
        <w:r>
          <w:fldChar w:fldCharType="begin"/>
        </w:r>
        <w:r>
          <w:instrText xml:space="preserve">PAGEREF 2344 \h</w:instrText>
        </w:r>
        <w:r>
          <w:fldChar w:fldCharType="end"/>
        </w:r>
      </w:hyperlink>
    </w:p>
    <w:p>
      <w:pPr>
        <w:tabs>
          <w:tab w:val="right" w:leader="dot" w:pos="9062"/>
        </w:tabs>
        <w:ind w:left="440"/>
      </w:pPr>
      <w:hyperlink w:anchor="_Toc2345" w:history="1">
        <w:r>
          <w:rPr>
            <w:rFonts w:ascii="IRNazanin" w:hAnsi="IRNazanin" w:eastAsia="IRNazanin" w:cs="IRNazanin"/>
            <w:color w:val="111111"/>
            <w:sz w:val="22"/>
            <w:szCs w:val="22"/>
            <w:b w:val="0"/>
            <w:bCs w:val="0"/>
            <w:i w:val="0"/>
            <w:iCs w:val="0"/>
          </w:rPr>
          <w:t>•التجری / فقه / عربی</w:t>
        </w:r>
        <w:r>
          <w:tab/>
        </w:r>
        <w:r>
          <w:fldChar w:fldCharType="begin"/>
        </w:r>
        <w:r>
          <w:instrText xml:space="preserve">PAGEREF 2345 \h</w:instrText>
        </w:r>
        <w:r>
          <w:fldChar w:fldCharType="end"/>
        </w:r>
      </w:hyperlink>
    </w:p>
    <w:p>
      <w:pPr>
        <w:tabs>
          <w:tab w:val="right" w:leader="dot" w:pos="9062"/>
        </w:tabs>
        <w:ind w:left="440"/>
      </w:pPr>
      <w:hyperlink w:anchor="_Toc2346" w:history="1">
        <w:r>
          <w:rPr>
            <w:rFonts w:ascii="IRNazanin" w:hAnsi="IRNazanin" w:eastAsia="IRNazanin" w:cs="IRNazanin"/>
            <w:color w:val="111111"/>
            <w:sz w:val="22"/>
            <w:szCs w:val="22"/>
            <w:b w:val="0"/>
            <w:bCs w:val="0"/>
            <w:i w:val="0"/>
            <w:iCs w:val="0"/>
          </w:rPr>
          <w:t>•التجری / اصول فقه / عربی</w:t>
        </w:r>
        <w:r>
          <w:tab/>
        </w:r>
        <w:r>
          <w:fldChar w:fldCharType="begin"/>
        </w:r>
        <w:r>
          <w:instrText xml:space="preserve">PAGEREF 2346 \h</w:instrText>
        </w:r>
        <w:r>
          <w:fldChar w:fldCharType="end"/>
        </w:r>
      </w:hyperlink>
    </w:p>
    <w:p>
      <w:pPr>
        <w:tabs>
          <w:tab w:val="right" w:leader="dot" w:pos="9062"/>
        </w:tabs>
        <w:ind w:left="440"/>
      </w:pPr>
      <w:hyperlink w:anchor="_Toc2347" w:history="1">
        <w:r>
          <w:rPr>
            <w:rFonts w:ascii="IRNazanin" w:hAnsi="IRNazanin" w:eastAsia="IRNazanin" w:cs="IRNazanin"/>
            <w:color w:val="111111"/>
            <w:sz w:val="22"/>
            <w:szCs w:val="22"/>
            <w:b w:val="0"/>
            <w:bCs w:val="0"/>
            <w:i w:val="0"/>
            <w:iCs w:val="0"/>
          </w:rPr>
          <w:t>•التجرید / کیمیا / عربی</w:t>
        </w:r>
        <w:r>
          <w:tab/>
        </w:r>
        <w:r>
          <w:fldChar w:fldCharType="begin"/>
        </w:r>
        <w:r>
          <w:instrText xml:space="preserve">PAGEREF 2347 \h</w:instrText>
        </w:r>
        <w:r>
          <w:fldChar w:fldCharType="end"/>
        </w:r>
      </w:hyperlink>
    </w:p>
    <w:p>
      <w:pPr>
        <w:tabs>
          <w:tab w:val="right" w:leader="dot" w:pos="9062"/>
        </w:tabs>
        <w:ind w:left="440"/>
      </w:pPr>
      <w:hyperlink w:anchor="_Toc2348" w:history="1">
        <w:r>
          <w:rPr>
            <w:rFonts w:ascii="IRNazanin" w:hAnsi="IRNazanin" w:eastAsia="IRNazanin" w:cs="IRNazanin"/>
            <w:color w:val="111111"/>
            <w:sz w:val="22"/>
            <w:szCs w:val="22"/>
            <w:b w:val="0"/>
            <w:bCs w:val="0"/>
            <w:i w:val="0"/>
            <w:iCs w:val="0"/>
          </w:rPr>
          <w:t>•التجريد / حديث / عربی</w:t>
        </w:r>
        <w:r>
          <w:tab/>
        </w:r>
        <w:r>
          <w:fldChar w:fldCharType="begin"/>
        </w:r>
        <w:r>
          <w:instrText xml:space="preserve">PAGEREF 2348 \h</w:instrText>
        </w:r>
        <w:r>
          <w:fldChar w:fldCharType="end"/>
        </w:r>
      </w:hyperlink>
    </w:p>
    <w:p>
      <w:pPr>
        <w:tabs>
          <w:tab w:val="right" w:leader="dot" w:pos="9062"/>
        </w:tabs>
        <w:ind w:left="440"/>
      </w:pPr>
      <w:hyperlink w:anchor="_Toc2349" w:history="1">
        <w:r>
          <w:rPr>
            <w:rFonts w:ascii="IRNazanin" w:hAnsi="IRNazanin" w:eastAsia="IRNazanin" w:cs="IRNazanin"/>
            <w:color w:val="111111"/>
            <w:sz w:val="22"/>
            <w:szCs w:val="22"/>
            <w:b w:val="0"/>
            <w:bCs w:val="0"/>
            <w:i w:val="0"/>
            <w:iCs w:val="0"/>
          </w:rPr>
          <w:t>•التجريد = مسائل الحكمة = طبیعیات و الهیات = مشارق النور و مدارک السرور / فلسفه / عربی</w:t>
        </w:r>
        <w:r>
          <w:tab/>
        </w:r>
        <w:r>
          <w:fldChar w:fldCharType="begin"/>
        </w:r>
        <w:r>
          <w:instrText xml:space="preserve">PAGEREF 2349 \h</w:instrText>
        </w:r>
        <w:r>
          <w:fldChar w:fldCharType="end"/>
        </w:r>
      </w:hyperlink>
    </w:p>
    <w:p>
      <w:pPr>
        <w:tabs>
          <w:tab w:val="right" w:leader="dot" w:pos="9062"/>
        </w:tabs>
        <w:ind w:left="440"/>
      </w:pPr>
      <w:hyperlink w:anchor="_Toc2350" w:history="1">
        <w:r>
          <w:rPr>
            <w:rFonts w:ascii="IRNazanin" w:hAnsi="IRNazanin" w:eastAsia="IRNazanin" w:cs="IRNazanin"/>
            <w:color w:val="111111"/>
            <w:sz w:val="22"/>
            <w:szCs w:val="22"/>
            <w:b w:val="0"/>
            <w:bCs w:val="0"/>
            <w:i w:val="0"/>
            <w:iCs w:val="0"/>
          </w:rPr>
          <w:t>•التجريد / تجوید / عربی</w:t>
        </w:r>
        <w:r>
          <w:tab/>
        </w:r>
        <w:r>
          <w:fldChar w:fldCharType="begin"/>
        </w:r>
        <w:r>
          <w:instrText xml:space="preserve">PAGEREF 2350 \h</w:instrText>
        </w:r>
        <w:r>
          <w:fldChar w:fldCharType="end"/>
        </w:r>
      </w:hyperlink>
    </w:p>
    <w:p>
      <w:pPr>
        <w:tabs>
          <w:tab w:val="right" w:leader="dot" w:pos="9062"/>
        </w:tabs>
        <w:ind w:left="440"/>
      </w:pPr>
      <w:hyperlink w:anchor="_Toc2351" w:history="1">
        <w:r>
          <w:rPr>
            <w:rFonts w:ascii="IRNazanin" w:hAnsi="IRNazanin" w:eastAsia="IRNazanin" w:cs="IRNazanin"/>
            <w:color w:val="111111"/>
            <w:sz w:val="22"/>
            <w:szCs w:val="22"/>
            <w:b w:val="0"/>
            <w:bCs w:val="0"/>
            <w:i w:val="0"/>
            <w:iCs w:val="0"/>
          </w:rPr>
          <w:t>•التجرید / ریاضیات / عربی</w:t>
        </w:r>
        <w:r>
          <w:tab/>
        </w:r>
        <w:r>
          <w:fldChar w:fldCharType="begin"/>
        </w:r>
        <w:r>
          <w:instrText xml:space="preserve">PAGEREF 2351 \h</w:instrText>
        </w:r>
        <w:r>
          <w:fldChar w:fldCharType="end"/>
        </w:r>
      </w:hyperlink>
    </w:p>
    <w:p>
      <w:pPr>
        <w:tabs>
          <w:tab w:val="right" w:leader="dot" w:pos="9062"/>
        </w:tabs>
        <w:ind w:left="440"/>
      </w:pPr>
      <w:hyperlink w:anchor="_Toc2352" w:history="1">
        <w:r>
          <w:rPr>
            <w:rFonts w:ascii="IRNazanin" w:hAnsi="IRNazanin" w:eastAsia="IRNazanin" w:cs="IRNazanin"/>
            <w:color w:val="111111"/>
            <w:sz w:val="22"/>
            <w:szCs w:val="22"/>
            <w:b w:val="0"/>
            <w:bCs w:val="0"/>
            <w:i w:val="0"/>
            <w:iCs w:val="0"/>
          </w:rPr>
          <w:t>•تجریدات الغواشی و تشییدات الحواشي = حاشية الحاشية الدوانية الأخيرة / كلام و اعتقادات / عربی</w:t>
        </w:r>
        <w:r>
          <w:tab/>
        </w:r>
        <w:r>
          <w:fldChar w:fldCharType="begin"/>
        </w:r>
        <w:r>
          <w:instrText xml:space="preserve">PAGEREF 2352 \h</w:instrText>
        </w:r>
        <w:r>
          <w:fldChar w:fldCharType="end"/>
        </w:r>
      </w:hyperlink>
    </w:p>
    <w:p>
      <w:pPr>
        <w:tabs>
          <w:tab w:val="right" w:leader="dot" w:pos="9062"/>
        </w:tabs>
        <w:ind w:left="440"/>
      </w:pPr>
      <w:hyperlink w:anchor="_Toc2353" w:history="1">
        <w:r>
          <w:rPr>
            <w:rFonts w:ascii="IRNazanin" w:hAnsi="IRNazanin" w:eastAsia="IRNazanin" w:cs="IRNazanin"/>
            <w:color w:val="111111"/>
            <w:sz w:val="22"/>
            <w:szCs w:val="22"/>
            <w:b w:val="0"/>
            <w:bCs w:val="0"/>
            <w:i w:val="0"/>
            <w:iCs w:val="0"/>
          </w:rPr>
          <w:t>•تجرید الاصول / اصول فقه / عربی</w:t>
        </w:r>
        <w:r>
          <w:tab/>
        </w:r>
        <w:r>
          <w:fldChar w:fldCharType="begin"/>
        </w:r>
        <w:r>
          <w:instrText xml:space="preserve">PAGEREF 2353 \h</w:instrText>
        </w:r>
        <w:r>
          <w:fldChar w:fldCharType="end"/>
        </w:r>
      </w:hyperlink>
    </w:p>
    <w:p>
      <w:pPr>
        <w:tabs>
          <w:tab w:val="right" w:leader="dot" w:pos="9062"/>
        </w:tabs>
        <w:ind w:left="440"/>
      </w:pPr>
      <w:hyperlink w:anchor="_Toc2354" w:history="1">
        <w:r>
          <w:rPr>
            <w:rFonts w:ascii="IRNazanin" w:hAnsi="IRNazanin" w:eastAsia="IRNazanin" w:cs="IRNazanin"/>
            <w:color w:val="111111"/>
            <w:sz w:val="22"/>
            <w:szCs w:val="22"/>
            <w:b w:val="0"/>
            <w:bCs w:val="0"/>
            <w:i w:val="0"/>
            <w:iCs w:val="0"/>
          </w:rPr>
          <w:t>•تجرید الاصول في احاديث الرسول = تجرید جامع الأصول لاحاديث الرسول / حديث / عربی</w:t>
        </w:r>
        <w:r>
          <w:tab/>
        </w:r>
        <w:r>
          <w:fldChar w:fldCharType="begin"/>
        </w:r>
        <w:r>
          <w:instrText xml:space="preserve">PAGEREF 2354 \h</w:instrText>
        </w:r>
        <w:r>
          <w:fldChar w:fldCharType="end"/>
        </w:r>
      </w:hyperlink>
    </w:p>
    <w:p>
      <w:pPr>
        <w:tabs>
          <w:tab w:val="right" w:leader="dot" w:pos="9062"/>
        </w:tabs>
        <w:ind w:left="440"/>
      </w:pPr>
      <w:hyperlink w:anchor="_Toc2355" w:history="1">
        <w:r>
          <w:rPr>
            <w:rFonts w:ascii="IRNazanin" w:hAnsi="IRNazanin" w:eastAsia="IRNazanin" w:cs="IRNazanin"/>
            <w:color w:val="111111"/>
            <w:sz w:val="22"/>
            <w:szCs w:val="22"/>
            <w:b w:val="0"/>
            <w:bCs w:val="0"/>
            <w:i w:val="0"/>
            <w:iCs w:val="0"/>
          </w:rPr>
          <w:t>•تجرید الاصول (مختصر) / اجتهاد و تقلید / عربی</w:t>
        </w:r>
        <w:r>
          <w:tab/>
        </w:r>
        <w:r>
          <w:fldChar w:fldCharType="begin"/>
        </w:r>
        <w:r>
          <w:instrText xml:space="preserve">PAGEREF 2355 \h</w:instrText>
        </w:r>
        <w:r>
          <w:fldChar w:fldCharType="end"/>
        </w:r>
      </w:hyperlink>
    </w:p>
    <w:p>
      <w:pPr>
        <w:tabs>
          <w:tab w:val="right" w:leader="dot" w:pos="9062"/>
        </w:tabs>
        <w:ind w:left="440"/>
      </w:pPr>
      <w:hyperlink w:anchor="_Toc2356" w:history="1">
        <w:r>
          <w:rPr>
            <w:rFonts w:ascii="IRNazanin" w:hAnsi="IRNazanin" w:eastAsia="IRNazanin" w:cs="IRNazanin"/>
            <w:color w:val="111111"/>
            <w:sz w:val="22"/>
            <w:szCs w:val="22"/>
            <w:b w:val="0"/>
            <w:bCs w:val="0"/>
            <w:i w:val="0"/>
            <w:iCs w:val="0"/>
          </w:rPr>
          <w:t>•تجرید الاعتقاد = تجريد العقاید = تجريد الكلام في تحرير عقاید الاسلام / کلام و اعتقادات / عربی</w:t>
        </w:r>
        <w:r>
          <w:tab/>
        </w:r>
        <w:r>
          <w:fldChar w:fldCharType="begin"/>
        </w:r>
        <w:r>
          <w:instrText xml:space="preserve">PAGEREF 2356 \h</w:instrText>
        </w:r>
        <w:r>
          <w:fldChar w:fldCharType="end"/>
        </w:r>
      </w:hyperlink>
    </w:p>
    <w:p>
      <w:pPr>
        <w:tabs>
          <w:tab w:val="right" w:leader="dot" w:pos="9062"/>
        </w:tabs>
        <w:ind w:left="440"/>
      </w:pPr>
      <w:hyperlink w:anchor="_Toc2357" w:history="1">
        <w:r>
          <w:rPr>
            <w:rFonts w:ascii="IRNazanin" w:hAnsi="IRNazanin" w:eastAsia="IRNazanin" w:cs="IRNazanin"/>
            <w:color w:val="111111"/>
            <w:sz w:val="22"/>
            <w:szCs w:val="22"/>
            <w:b w:val="0"/>
            <w:bCs w:val="0"/>
            <w:i w:val="0"/>
            <w:iCs w:val="0"/>
          </w:rPr>
          <w:t>• تجرید الاعتقاد (با ترجمه منظوم) / كلام و اعتقادات / عربی و فارسی</w:t>
        </w:r>
        <w:r>
          <w:tab/>
        </w:r>
        <w:r>
          <w:fldChar w:fldCharType="begin"/>
        </w:r>
        <w:r>
          <w:instrText xml:space="preserve">PAGEREF 2357 \h</w:instrText>
        </w:r>
        <w:r>
          <w:fldChar w:fldCharType="end"/>
        </w:r>
      </w:hyperlink>
    </w:p>
    <w:p>
      <w:pPr>
        <w:tabs>
          <w:tab w:val="right" w:leader="dot" w:pos="9062"/>
        </w:tabs>
        <w:ind w:left="440"/>
      </w:pPr>
      <w:hyperlink w:anchor="_Toc2358" w:history="1">
        <w:r>
          <w:rPr>
            <w:rFonts w:ascii="IRNazanin" w:hAnsi="IRNazanin" w:eastAsia="IRNazanin" w:cs="IRNazanin"/>
            <w:color w:val="111111"/>
            <w:sz w:val="22"/>
            <w:szCs w:val="22"/>
            <w:b w:val="0"/>
            <w:bCs w:val="0"/>
            <w:i w:val="0"/>
            <w:iCs w:val="0"/>
          </w:rPr>
          <w:t>•تجرید الايام الشريفة / فقه / عربی</w:t>
        </w:r>
        <w:r>
          <w:tab/>
        </w:r>
        <w:r>
          <w:fldChar w:fldCharType="begin"/>
        </w:r>
        <w:r>
          <w:instrText xml:space="preserve">PAGEREF 2358 \h</w:instrText>
        </w:r>
        <w:r>
          <w:fldChar w:fldCharType="end"/>
        </w:r>
      </w:hyperlink>
    </w:p>
    <w:p>
      <w:pPr>
        <w:tabs>
          <w:tab w:val="right" w:leader="dot" w:pos="9062"/>
        </w:tabs>
        <w:ind w:left="440"/>
      </w:pPr>
      <w:hyperlink w:anchor="_Toc2359" w:history="1">
        <w:r>
          <w:rPr>
            <w:rFonts w:ascii="IRNazanin" w:hAnsi="IRNazanin" w:eastAsia="IRNazanin" w:cs="IRNazanin"/>
            <w:color w:val="111111"/>
            <w:sz w:val="22"/>
            <w:szCs w:val="22"/>
            <w:b w:val="0"/>
            <w:bCs w:val="0"/>
            <w:i w:val="0"/>
            <w:iCs w:val="0"/>
          </w:rPr>
          <w:t>•تجرید البيان في تجويد القرآن / تجوید / عربی</w:t>
        </w:r>
        <w:r>
          <w:tab/>
        </w:r>
        <w:r>
          <w:fldChar w:fldCharType="begin"/>
        </w:r>
        <w:r>
          <w:instrText xml:space="preserve">PAGEREF 2359 \h</w:instrText>
        </w:r>
        <w:r>
          <w:fldChar w:fldCharType="end"/>
        </w:r>
      </w:hyperlink>
    </w:p>
    <w:p>
      <w:pPr>
        <w:tabs>
          <w:tab w:val="right" w:leader="dot" w:pos="9062"/>
        </w:tabs>
        <w:ind w:left="440"/>
      </w:pPr>
      <w:hyperlink w:anchor="_Toc2360" w:history="1">
        <w:r>
          <w:rPr>
            <w:rFonts w:ascii="IRNazanin" w:hAnsi="IRNazanin" w:eastAsia="IRNazanin" w:cs="IRNazanin"/>
            <w:color w:val="111111"/>
            <w:sz w:val="22"/>
            <w:szCs w:val="22"/>
            <w:b w:val="0"/>
            <w:bCs w:val="0"/>
            <w:i w:val="0"/>
            <w:iCs w:val="0"/>
          </w:rPr>
          <w:t>•تجريد الصارم الهندي / فقه / عربی</w:t>
        </w:r>
        <w:r>
          <w:tab/>
        </w:r>
        <w:r>
          <w:fldChar w:fldCharType="begin"/>
        </w:r>
        <w:r>
          <w:instrText xml:space="preserve">PAGEREF 2360 \h</w:instrText>
        </w:r>
        <w:r>
          <w:fldChar w:fldCharType="end"/>
        </w:r>
      </w:hyperlink>
    </w:p>
    <w:p>
      <w:pPr>
        <w:tabs>
          <w:tab w:val="right" w:leader="dot" w:pos="9062"/>
        </w:tabs>
        <w:ind w:left="440"/>
      </w:pPr>
      <w:hyperlink w:anchor="_Toc2361" w:history="1">
        <w:r>
          <w:rPr>
            <w:rFonts w:ascii="IRNazanin" w:hAnsi="IRNazanin" w:eastAsia="IRNazanin" w:cs="IRNazanin"/>
            <w:color w:val="111111"/>
            <w:sz w:val="22"/>
            <w:szCs w:val="22"/>
            <w:b w:val="0"/>
            <w:bCs w:val="0"/>
            <w:i w:val="0"/>
            <w:iCs w:val="0"/>
          </w:rPr>
          <w:t>•تجرید العقائد (منظوم) / کلام و اعتقادات / عربی</w:t>
        </w:r>
        <w:r>
          <w:tab/>
        </w:r>
        <w:r>
          <w:fldChar w:fldCharType="begin"/>
        </w:r>
        <w:r>
          <w:instrText xml:space="preserve">PAGEREF 2361 \h</w:instrText>
        </w:r>
        <w:r>
          <w:fldChar w:fldCharType="end"/>
        </w:r>
      </w:hyperlink>
    </w:p>
    <w:p>
      <w:pPr>
        <w:tabs>
          <w:tab w:val="right" w:leader="dot" w:pos="9062"/>
        </w:tabs>
        <w:ind w:left="440"/>
      </w:pPr>
      <w:hyperlink w:anchor="_Toc2362" w:history="1">
        <w:r>
          <w:rPr>
            <w:rFonts w:ascii="IRNazanin" w:hAnsi="IRNazanin" w:eastAsia="IRNazanin" w:cs="IRNazanin"/>
            <w:color w:val="111111"/>
            <w:sz w:val="22"/>
            <w:szCs w:val="22"/>
            <w:b w:val="0"/>
            <w:bCs w:val="0"/>
            <w:i w:val="0"/>
            <w:iCs w:val="0"/>
          </w:rPr>
          <w:t>• تجريد في اعراب كلمة التوحيد / حديث / عربی</w:t>
        </w:r>
        <w:r>
          <w:tab/>
        </w:r>
        <w:r>
          <w:fldChar w:fldCharType="begin"/>
        </w:r>
        <w:r>
          <w:instrText xml:space="preserve">PAGEREF 2362 \h</w:instrText>
        </w:r>
        <w:r>
          <w:fldChar w:fldCharType="end"/>
        </w:r>
      </w:hyperlink>
    </w:p>
    <w:p>
      <w:pPr>
        <w:tabs>
          <w:tab w:val="right" w:leader="dot" w:pos="9062"/>
        </w:tabs>
        <w:ind w:left="440"/>
      </w:pPr>
      <w:hyperlink w:anchor="_Toc2363" w:history="1">
        <w:r>
          <w:rPr>
            <w:rFonts w:ascii="IRNazanin" w:hAnsi="IRNazanin" w:eastAsia="IRNazanin" w:cs="IRNazanin"/>
            <w:color w:val="111111"/>
            <w:sz w:val="22"/>
            <w:szCs w:val="22"/>
            <w:b w:val="0"/>
            <w:bCs w:val="0"/>
            <w:i w:val="0"/>
            <w:iCs w:val="0"/>
          </w:rPr>
          <w:t>•التجريد في التجويد / تجوید / عربی</w:t>
        </w:r>
        <w:r>
          <w:tab/>
        </w:r>
        <w:r>
          <w:fldChar w:fldCharType="begin"/>
        </w:r>
        <w:r>
          <w:instrText xml:space="preserve">PAGEREF 2363 \h</w:instrText>
        </w:r>
        <w:r>
          <w:fldChar w:fldCharType="end"/>
        </w:r>
      </w:hyperlink>
    </w:p>
    <w:p>
      <w:pPr>
        <w:tabs>
          <w:tab w:val="right" w:leader="dot" w:pos="9062"/>
        </w:tabs>
        <w:ind w:left="440"/>
      </w:pPr>
      <w:hyperlink w:anchor="_Toc2364" w:history="1">
        <w:r>
          <w:rPr>
            <w:rFonts w:ascii="IRNazanin" w:hAnsi="IRNazanin" w:eastAsia="IRNazanin" w:cs="IRNazanin"/>
            <w:color w:val="111111"/>
            <w:sz w:val="22"/>
            <w:szCs w:val="22"/>
            <w:b w:val="0"/>
            <w:bCs w:val="0"/>
            <w:i w:val="0"/>
            <w:iCs w:val="0"/>
          </w:rPr>
          <w:t>•التجريد في المحاسن و التفريد اعربی</w:t>
        </w:r>
        <w:r>
          <w:tab/>
        </w:r>
        <w:r>
          <w:fldChar w:fldCharType="begin"/>
        </w:r>
        <w:r>
          <w:instrText xml:space="preserve">PAGEREF 2364 \h</w:instrText>
        </w:r>
        <w:r>
          <w:fldChar w:fldCharType="end"/>
        </w:r>
      </w:hyperlink>
    </w:p>
    <w:p>
      <w:pPr>
        <w:tabs>
          <w:tab w:val="right" w:leader="dot" w:pos="9062"/>
        </w:tabs>
        <w:ind w:left="440"/>
      </w:pPr>
      <w:hyperlink w:anchor="_Toc2365" w:history="1">
        <w:r>
          <w:rPr>
            <w:rFonts w:ascii="IRNazanin" w:hAnsi="IRNazanin" w:eastAsia="IRNazanin" w:cs="IRNazanin"/>
            <w:color w:val="111111"/>
            <w:sz w:val="22"/>
            <w:szCs w:val="22"/>
            <w:b w:val="0"/>
            <w:bCs w:val="0"/>
            <w:i w:val="0"/>
            <w:iCs w:val="0"/>
          </w:rPr>
          <w:t>•التجريد في كلمة التوحيد / عرفان و تصوف / عربی</w:t>
        </w:r>
        <w:r>
          <w:tab/>
        </w:r>
        <w:r>
          <w:fldChar w:fldCharType="begin"/>
        </w:r>
        <w:r>
          <w:instrText xml:space="preserve">PAGEREF 2365 \h</w:instrText>
        </w:r>
        <w:r>
          <w:fldChar w:fldCharType="end"/>
        </w:r>
      </w:hyperlink>
    </w:p>
    <w:p>
      <w:pPr>
        <w:tabs>
          <w:tab w:val="right" w:leader="dot" w:pos="9062"/>
        </w:tabs>
        <w:ind w:left="440"/>
      </w:pPr>
      <w:hyperlink w:anchor="_Toc2366" w:history="1">
        <w:r>
          <w:rPr>
            <w:rFonts w:ascii="IRNazanin" w:hAnsi="IRNazanin" w:eastAsia="IRNazanin" w:cs="IRNazanin"/>
            <w:color w:val="111111"/>
            <w:sz w:val="22"/>
            <w:szCs w:val="22"/>
            <w:b w:val="0"/>
            <w:bCs w:val="0"/>
            <w:i w:val="0"/>
            <w:iCs w:val="0"/>
          </w:rPr>
          <w:t>•تجريد الكشاف مع زيادة نكت لطاف / تفسير / عربی</w:t>
        </w:r>
        <w:r>
          <w:tab/>
        </w:r>
        <w:r>
          <w:fldChar w:fldCharType="begin"/>
        </w:r>
        <w:r>
          <w:instrText xml:space="preserve">PAGEREF 2366 \h</w:instrText>
        </w:r>
        <w:r>
          <w:fldChar w:fldCharType="end"/>
        </w:r>
      </w:hyperlink>
    </w:p>
    <w:p>
      <w:pPr>
        <w:tabs>
          <w:tab w:val="right" w:leader="dot" w:pos="9062"/>
        </w:tabs>
        <w:ind w:left="440"/>
      </w:pPr>
      <w:hyperlink w:anchor="_Toc2367" w:history="1">
        <w:r>
          <w:rPr>
            <w:rFonts w:ascii="IRNazanin" w:hAnsi="IRNazanin" w:eastAsia="IRNazanin" w:cs="IRNazanin"/>
            <w:color w:val="111111"/>
            <w:sz w:val="22"/>
            <w:szCs w:val="22"/>
            <w:b w:val="0"/>
            <w:bCs w:val="0"/>
            <w:i w:val="0"/>
            <w:iCs w:val="0"/>
          </w:rPr>
          <w:t>•تجرید اللغات = كالنصاب / لغت / فارسی و ترکی</w:t>
        </w:r>
        <w:r>
          <w:tab/>
        </w:r>
        <w:r>
          <w:fldChar w:fldCharType="begin"/>
        </w:r>
        <w:r>
          <w:instrText xml:space="preserve">PAGEREF 2367 \h</w:instrText>
        </w:r>
        <w:r>
          <w:fldChar w:fldCharType="end"/>
        </w:r>
      </w:hyperlink>
    </w:p>
    <w:p>
      <w:pPr>
        <w:tabs>
          <w:tab w:val="right" w:leader="dot" w:pos="9062"/>
        </w:tabs>
        <w:ind w:left="440"/>
      </w:pPr>
      <w:hyperlink w:anchor="_Toc2368" w:history="1">
        <w:r>
          <w:rPr>
            <w:rFonts w:ascii="IRNazanin" w:hAnsi="IRNazanin" w:eastAsia="IRNazanin" w:cs="IRNazanin"/>
            <w:color w:val="111111"/>
            <w:sz w:val="22"/>
            <w:szCs w:val="22"/>
            <w:b w:val="0"/>
            <w:bCs w:val="0"/>
            <w:i w:val="0"/>
            <w:iCs w:val="0"/>
          </w:rPr>
          <w:t>•التجريد لنفع العبيد = حاشية فتح الوهاب بشرح منهج الطلاب / فقه / عربی</w:t>
        </w:r>
        <w:r>
          <w:tab/>
        </w:r>
        <w:r>
          <w:fldChar w:fldCharType="begin"/>
        </w:r>
        <w:r>
          <w:instrText xml:space="preserve">PAGEREF 2368 \h</w:instrText>
        </w:r>
        <w:r>
          <w:fldChar w:fldCharType="end"/>
        </w:r>
      </w:hyperlink>
    </w:p>
    <w:p>
      <w:pPr>
        <w:tabs>
          <w:tab w:val="right" w:leader="dot" w:pos="9062"/>
        </w:tabs>
        <w:ind w:left="440"/>
      </w:pPr>
      <w:hyperlink w:anchor="_Toc2369" w:history="1">
        <w:r>
          <w:rPr>
            <w:rFonts w:ascii="IRNazanin" w:hAnsi="IRNazanin" w:eastAsia="IRNazanin" w:cs="IRNazanin"/>
            <w:color w:val="111111"/>
            <w:sz w:val="22"/>
            <w:szCs w:val="22"/>
            <w:b w:val="0"/>
            <w:bCs w:val="0"/>
            <w:i w:val="0"/>
            <w:iCs w:val="0"/>
          </w:rPr>
          <w:t>•تجرید المنطق / منطق / عربی</w:t>
        </w:r>
        <w:r>
          <w:tab/>
        </w:r>
        <w:r>
          <w:fldChar w:fldCharType="begin"/>
        </w:r>
        <w:r>
          <w:instrText xml:space="preserve">PAGEREF 2369 \h</w:instrText>
        </w:r>
        <w:r>
          <w:fldChar w:fldCharType="end"/>
        </w:r>
      </w:hyperlink>
    </w:p>
    <w:p>
      <w:pPr>
        <w:tabs>
          <w:tab w:val="right" w:leader="dot" w:pos="9062"/>
        </w:tabs>
        <w:ind w:left="440"/>
      </w:pPr>
      <w:hyperlink w:anchor="_Toc2370" w:history="1">
        <w:r>
          <w:rPr>
            <w:rFonts w:ascii="IRNazanin" w:hAnsi="IRNazanin" w:eastAsia="IRNazanin" w:cs="IRNazanin"/>
            <w:color w:val="111111"/>
            <w:sz w:val="22"/>
            <w:szCs w:val="22"/>
            <w:b w:val="0"/>
            <w:bCs w:val="0"/>
            <w:i w:val="0"/>
            <w:iCs w:val="0"/>
          </w:rPr>
          <w:t>•تجرید الميزان / منطق / عربی</w:t>
        </w:r>
        <w:r>
          <w:tab/>
        </w:r>
        <w:r>
          <w:fldChar w:fldCharType="begin"/>
        </w:r>
        <w:r>
          <w:instrText xml:space="preserve">PAGEREF 2370 \h</w:instrText>
        </w:r>
        <w:r>
          <w:fldChar w:fldCharType="end"/>
        </w:r>
      </w:hyperlink>
    </w:p>
    <w:p>
      <w:pPr>
        <w:tabs>
          <w:tab w:val="right" w:leader="dot" w:pos="9062"/>
        </w:tabs>
        <w:ind w:left="440"/>
      </w:pPr>
      <w:hyperlink w:anchor="_Toc2371" w:history="1">
        <w:r>
          <w:rPr>
            <w:rFonts w:ascii="IRNazanin" w:hAnsi="IRNazanin" w:eastAsia="IRNazanin" w:cs="IRNazanin"/>
            <w:color w:val="111111"/>
            <w:sz w:val="22"/>
            <w:szCs w:val="22"/>
            <w:b w:val="0"/>
            <w:bCs w:val="0"/>
            <w:i w:val="0"/>
            <w:iCs w:val="0"/>
          </w:rPr>
          <w:t>•تجرید نامه / شعر / فارسی</w:t>
        </w:r>
        <w:r>
          <w:tab/>
        </w:r>
        <w:r>
          <w:fldChar w:fldCharType="begin"/>
        </w:r>
        <w:r>
          <w:instrText xml:space="preserve">PAGEREF 2371 \h</w:instrText>
        </w:r>
        <w:r>
          <w:fldChar w:fldCharType="end"/>
        </w:r>
      </w:hyperlink>
    </w:p>
    <w:p>
      <w:pPr>
        <w:tabs>
          <w:tab w:val="right" w:leader="dot" w:pos="9062"/>
        </w:tabs>
        <w:ind w:left="440"/>
      </w:pPr>
      <w:hyperlink w:anchor="_Toc2372" w:history="1">
        <w:r>
          <w:rPr>
            <w:rFonts w:ascii="IRNazanin" w:hAnsi="IRNazanin" w:eastAsia="IRNazanin" w:cs="IRNazanin"/>
            <w:color w:val="111111"/>
            <w:sz w:val="22"/>
            <w:szCs w:val="22"/>
            <w:b w:val="0"/>
            <w:bCs w:val="0"/>
            <w:i w:val="0"/>
            <w:iCs w:val="0"/>
          </w:rPr>
          <w:t>•تجرید نسخة في العروض / ادبیات عربی</w:t>
        </w:r>
        <w:r>
          <w:tab/>
        </w:r>
        <w:r>
          <w:fldChar w:fldCharType="begin"/>
        </w:r>
        <w:r>
          <w:instrText xml:space="preserve">PAGEREF 2372 \h</w:instrText>
        </w:r>
        <w:r>
          <w:fldChar w:fldCharType="end"/>
        </w:r>
      </w:hyperlink>
    </w:p>
    <w:p>
      <w:pPr>
        <w:tabs>
          <w:tab w:val="right" w:leader="dot" w:pos="9062"/>
        </w:tabs>
        <w:ind w:left="440"/>
      </w:pPr>
      <w:hyperlink w:anchor="_Toc2373" w:history="1">
        <w:r>
          <w:rPr>
            <w:rFonts w:ascii="IRNazanin" w:hAnsi="IRNazanin" w:eastAsia="IRNazanin" w:cs="IRNazanin"/>
            <w:color w:val="111111"/>
            <w:sz w:val="22"/>
            <w:szCs w:val="22"/>
            <w:b w:val="0"/>
            <w:bCs w:val="0"/>
            <w:i w:val="0"/>
            <w:iCs w:val="0"/>
          </w:rPr>
          <w:t>•تجرید و تفرید / عرفان و تصوف / فارسی</w:t>
        </w:r>
        <w:r>
          <w:tab/>
        </w:r>
        <w:r>
          <w:fldChar w:fldCharType="begin"/>
        </w:r>
        <w:r>
          <w:instrText xml:space="preserve">PAGEREF 2373 \h</w:instrText>
        </w:r>
        <w:r>
          <w:fldChar w:fldCharType="end"/>
        </w:r>
      </w:hyperlink>
    </w:p>
    <w:p>
      <w:pPr>
        <w:tabs>
          <w:tab w:val="right" w:leader="dot" w:pos="9062"/>
        </w:tabs>
        <w:ind w:left="440"/>
      </w:pPr>
      <w:hyperlink w:anchor="_Toc2374" w:history="1">
        <w:r>
          <w:rPr>
            <w:rFonts w:ascii="IRNazanin" w:hAnsi="IRNazanin" w:eastAsia="IRNazanin" w:cs="IRNazanin"/>
            <w:color w:val="111111"/>
            <w:sz w:val="22"/>
            <w:szCs w:val="22"/>
            <w:b w:val="0"/>
            <w:bCs w:val="0"/>
            <w:i w:val="0"/>
            <w:iCs w:val="0"/>
          </w:rPr>
          <w:t>•التجزی = تعليقة على مسئلة تجزي الاجتهاد / اصول فقه / عربی</w:t>
        </w:r>
        <w:r>
          <w:tab/>
        </w:r>
        <w:r>
          <w:fldChar w:fldCharType="begin"/>
        </w:r>
        <w:r>
          <w:instrText xml:space="preserve">PAGEREF 2374 \h</w:instrText>
        </w:r>
        <w:r>
          <w:fldChar w:fldCharType="end"/>
        </w:r>
      </w:hyperlink>
    </w:p>
    <w:p>
      <w:pPr>
        <w:tabs>
          <w:tab w:val="right" w:leader="dot" w:pos="9062"/>
        </w:tabs>
        <w:ind w:left="440"/>
      </w:pPr>
      <w:hyperlink w:anchor="_Toc2375" w:history="1">
        <w:r>
          <w:rPr>
            <w:rFonts w:ascii="IRNazanin" w:hAnsi="IRNazanin" w:eastAsia="IRNazanin" w:cs="IRNazanin"/>
            <w:color w:val="111111"/>
            <w:sz w:val="22"/>
            <w:szCs w:val="22"/>
            <w:b w:val="0"/>
            <w:bCs w:val="0"/>
            <w:i w:val="0"/>
            <w:iCs w:val="0"/>
          </w:rPr>
          <w:t>•تجزی / اصول فقه / عربی</w:t>
        </w:r>
        <w:r>
          <w:tab/>
        </w:r>
        <w:r>
          <w:fldChar w:fldCharType="begin"/>
        </w:r>
        <w:r>
          <w:instrText xml:space="preserve">PAGEREF 2375 \h</w:instrText>
        </w:r>
        <w:r>
          <w:fldChar w:fldCharType="end"/>
        </w:r>
      </w:hyperlink>
    </w:p>
    <w:p>
      <w:pPr>
        <w:tabs>
          <w:tab w:val="right" w:leader="dot" w:pos="9062"/>
        </w:tabs>
        <w:ind w:left="440"/>
      </w:pPr>
      <w:hyperlink w:anchor="_Toc2376" w:history="1">
        <w:r>
          <w:rPr>
            <w:rFonts w:ascii="IRNazanin" w:hAnsi="IRNazanin" w:eastAsia="IRNazanin" w:cs="IRNazanin"/>
            <w:color w:val="111111"/>
            <w:sz w:val="22"/>
            <w:szCs w:val="22"/>
            <w:b w:val="0"/>
            <w:bCs w:val="0"/>
            <w:i w:val="0"/>
            <w:iCs w:val="0"/>
          </w:rPr>
          <w:t>•تجزية الأمصار و تزجية الاعصار = تاریخ وصاف = تجزية الأمصار و ترجمة الاعصار / تاریخ ایران / فارسی</w:t>
        </w:r>
        <w:r>
          <w:tab/>
        </w:r>
        <w:r>
          <w:fldChar w:fldCharType="begin"/>
        </w:r>
        <w:r>
          <w:instrText xml:space="preserve">PAGEREF 2376 \h</w:instrText>
        </w:r>
        <w:r>
          <w:fldChar w:fldCharType="end"/>
        </w:r>
      </w:hyperlink>
    </w:p>
    <w:p>
      <w:pPr>
        <w:tabs>
          <w:tab w:val="right" w:leader="dot" w:pos="9062"/>
        </w:tabs>
        <w:ind w:left="440"/>
      </w:pPr>
      <w:hyperlink w:anchor="_Toc2377" w:history="1">
        <w:r>
          <w:rPr>
            <w:rFonts w:ascii="IRNazanin" w:hAnsi="IRNazanin" w:eastAsia="IRNazanin" w:cs="IRNazanin"/>
            <w:color w:val="111111"/>
            <w:sz w:val="22"/>
            <w:szCs w:val="22"/>
            <w:b w:val="0"/>
            <w:bCs w:val="0"/>
            <w:i w:val="0"/>
            <w:iCs w:val="0"/>
          </w:rPr>
          <w:t>•التجزية و التحليل / شیمی / عربی</w:t>
        </w:r>
        <w:r>
          <w:tab/>
        </w:r>
        <w:r>
          <w:fldChar w:fldCharType="begin"/>
        </w:r>
        <w:r>
          <w:instrText xml:space="preserve">PAGEREF 2377 \h</w:instrText>
        </w:r>
        <w:r>
          <w:fldChar w:fldCharType="end"/>
        </w:r>
      </w:hyperlink>
    </w:p>
    <w:p>
      <w:pPr>
        <w:tabs>
          <w:tab w:val="right" w:leader="dot" w:pos="9062"/>
        </w:tabs>
        <w:ind w:left="440"/>
      </w:pPr>
      <w:hyperlink w:anchor="_Toc2378" w:history="1">
        <w:r>
          <w:rPr>
            <w:rFonts w:ascii="IRNazanin" w:hAnsi="IRNazanin" w:eastAsia="IRNazanin" w:cs="IRNazanin"/>
            <w:color w:val="111111"/>
            <w:sz w:val="22"/>
            <w:szCs w:val="22"/>
            <w:b w:val="0"/>
            <w:bCs w:val="0"/>
            <w:i w:val="0"/>
            <w:iCs w:val="0"/>
          </w:rPr>
          <w:t>•تجزیه و تحلیل در آمد ملی / اقتصاد / فارسی</w:t>
        </w:r>
        <w:r>
          <w:tab/>
        </w:r>
        <w:r>
          <w:fldChar w:fldCharType="begin"/>
        </w:r>
        <w:r>
          <w:instrText xml:space="preserve">PAGEREF 2378 \h</w:instrText>
        </w:r>
        <w:r>
          <w:fldChar w:fldCharType="end"/>
        </w:r>
      </w:hyperlink>
    </w:p>
    <w:p>
      <w:pPr>
        <w:tabs>
          <w:tab w:val="right" w:leader="dot" w:pos="9062"/>
        </w:tabs>
        <w:ind w:left="440"/>
      </w:pPr>
      <w:hyperlink w:anchor="_Toc2379" w:history="1">
        <w:r>
          <w:rPr>
            <w:rFonts w:ascii="IRNazanin" w:hAnsi="IRNazanin" w:eastAsia="IRNazanin" w:cs="IRNazanin"/>
            <w:color w:val="111111"/>
            <w:sz w:val="22"/>
            <w:szCs w:val="22"/>
            <w:b w:val="0"/>
            <w:bCs w:val="0"/>
            <w:i w:val="0"/>
            <w:iCs w:val="0"/>
          </w:rPr>
          <w:t>•التجزية و الترکیب صرف و نحو عربی</w:t>
        </w:r>
        <w:r>
          <w:tab/>
        </w:r>
        <w:r>
          <w:fldChar w:fldCharType="begin"/>
        </w:r>
        <w:r>
          <w:instrText xml:space="preserve">PAGEREF 2379 \h</w:instrText>
        </w:r>
        <w:r>
          <w:fldChar w:fldCharType="end"/>
        </w:r>
      </w:hyperlink>
    </w:p>
    <w:p>
      <w:pPr>
        <w:tabs>
          <w:tab w:val="right" w:leader="dot" w:pos="9062"/>
        </w:tabs>
        <w:ind w:left="440"/>
      </w:pPr>
      <w:hyperlink w:anchor="_Toc2380" w:history="1">
        <w:r>
          <w:rPr>
            <w:rFonts w:ascii="IRNazanin" w:hAnsi="IRNazanin" w:eastAsia="IRNazanin" w:cs="IRNazanin"/>
            <w:color w:val="111111"/>
            <w:sz w:val="22"/>
            <w:szCs w:val="22"/>
            <w:b w:val="0"/>
            <w:bCs w:val="0"/>
            <w:i w:val="0"/>
            <w:iCs w:val="0"/>
          </w:rPr>
          <w:t>•تجزیه و ترکیب بسمله / نحو</w:t>
        </w:r>
        <w:r>
          <w:tab/>
        </w:r>
        <w:r>
          <w:fldChar w:fldCharType="begin"/>
        </w:r>
        <w:r>
          <w:instrText xml:space="preserve">PAGEREF 2380 \h</w:instrText>
        </w:r>
        <w:r>
          <w:fldChar w:fldCharType="end"/>
        </w:r>
      </w:hyperlink>
    </w:p>
    <w:p>
      <w:pPr>
        <w:tabs>
          <w:tab w:val="right" w:leader="dot" w:pos="9062"/>
        </w:tabs>
        <w:ind w:left="440"/>
      </w:pPr>
      <w:hyperlink w:anchor="_Toc2381" w:history="1">
        <w:r>
          <w:rPr>
            <w:rFonts w:ascii="IRNazanin" w:hAnsi="IRNazanin" w:eastAsia="IRNazanin" w:cs="IRNazanin"/>
            <w:color w:val="111111"/>
            <w:sz w:val="22"/>
            <w:szCs w:val="22"/>
            <w:b w:val="0"/>
            <w:bCs w:val="0"/>
            <w:i w:val="0"/>
            <w:iCs w:val="0"/>
          </w:rPr>
          <w:t>• تجزیه و ترکیب چند سوره / ادبیات عربی</w:t>
        </w:r>
        <w:r>
          <w:tab/>
        </w:r>
        <w:r>
          <w:fldChar w:fldCharType="begin"/>
        </w:r>
        <w:r>
          <w:instrText xml:space="preserve">PAGEREF 2381 \h</w:instrText>
        </w:r>
        <w:r>
          <w:fldChar w:fldCharType="end"/>
        </w:r>
      </w:hyperlink>
    </w:p>
    <w:p>
      <w:pPr>
        <w:tabs>
          <w:tab w:val="right" w:leader="dot" w:pos="9062"/>
        </w:tabs>
        <w:ind w:left="440"/>
      </w:pPr>
      <w:hyperlink w:anchor="_Toc2382" w:history="1">
        <w:r>
          <w:rPr>
            <w:rFonts w:ascii="IRNazanin" w:hAnsi="IRNazanin" w:eastAsia="IRNazanin" w:cs="IRNazanin"/>
            <w:color w:val="111111"/>
            <w:sz w:val="22"/>
            <w:szCs w:val="22"/>
            <w:b w:val="0"/>
            <w:bCs w:val="0"/>
            <w:i w:val="0"/>
            <w:iCs w:val="0"/>
          </w:rPr>
          <w:t>•التجزي في الاجتهاد / اصول فقه / عربی</w:t>
        </w:r>
        <w:r>
          <w:tab/>
        </w:r>
        <w:r>
          <w:fldChar w:fldCharType="begin"/>
        </w:r>
        <w:r>
          <w:instrText xml:space="preserve">PAGEREF 2382 \h</w:instrText>
        </w:r>
        <w:r>
          <w:fldChar w:fldCharType="end"/>
        </w:r>
      </w:hyperlink>
    </w:p>
    <w:p>
      <w:pPr>
        <w:tabs>
          <w:tab w:val="right" w:leader="dot" w:pos="9062"/>
        </w:tabs>
        <w:ind w:left="440"/>
      </w:pPr>
      <w:hyperlink w:anchor="_Toc2383" w:history="1">
        <w:r>
          <w:rPr>
            <w:rFonts w:ascii="IRNazanin" w:hAnsi="IRNazanin" w:eastAsia="IRNazanin" w:cs="IRNazanin"/>
            <w:color w:val="111111"/>
            <w:sz w:val="22"/>
            <w:szCs w:val="22"/>
            <w:b w:val="0"/>
            <w:bCs w:val="0"/>
            <w:i w:val="0"/>
            <w:iCs w:val="0"/>
          </w:rPr>
          <w:t>•التجزي في الاجتهاد / اصول فقه / عربی</w:t>
        </w:r>
        <w:r>
          <w:tab/>
        </w:r>
        <w:r>
          <w:fldChar w:fldCharType="begin"/>
        </w:r>
        <w:r>
          <w:instrText xml:space="preserve">PAGEREF 2383 \h</w:instrText>
        </w:r>
        <w:r>
          <w:fldChar w:fldCharType="end"/>
        </w:r>
      </w:hyperlink>
    </w:p>
    <w:p>
      <w:pPr>
        <w:tabs>
          <w:tab w:val="right" w:leader="dot" w:pos="9062"/>
        </w:tabs>
        <w:ind w:left="440"/>
      </w:pPr>
      <w:hyperlink w:anchor="_Toc2384" w:history="1">
        <w:r>
          <w:rPr>
            <w:rFonts w:ascii="IRNazanin" w:hAnsi="IRNazanin" w:eastAsia="IRNazanin" w:cs="IRNazanin"/>
            <w:color w:val="111111"/>
            <w:sz w:val="22"/>
            <w:szCs w:val="22"/>
            <w:b w:val="0"/>
            <w:bCs w:val="0"/>
            <w:i w:val="0"/>
            <w:iCs w:val="0"/>
          </w:rPr>
          <w:t>• التجزی و امکانه / اصول فقه / عربی</w:t>
        </w:r>
        <w:r>
          <w:tab/>
        </w:r>
        <w:r>
          <w:fldChar w:fldCharType="begin"/>
        </w:r>
        <w:r>
          <w:instrText xml:space="preserve">PAGEREF 2384 \h</w:instrText>
        </w:r>
        <w:r>
          <w:fldChar w:fldCharType="end"/>
        </w:r>
      </w:hyperlink>
    </w:p>
    <w:p>
      <w:pPr>
        <w:tabs>
          <w:tab w:val="right" w:leader="dot" w:pos="9062"/>
        </w:tabs>
        <w:ind w:left="440"/>
      </w:pPr>
      <w:hyperlink w:anchor="_Toc2385" w:history="1">
        <w:r>
          <w:rPr>
            <w:rFonts w:ascii="IRNazanin" w:hAnsi="IRNazanin" w:eastAsia="IRNazanin" w:cs="IRNazanin"/>
            <w:color w:val="111111"/>
            <w:sz w:val="22"/>
            <w:szCs w:val="22"/>
            <w:b w:val="0"/>
            <w:bCs w:val="0"/>
            <w:i w:val="0"/>
            <w:iCs w:val="0"/>
          </w:rPr>
          <w:t>•التجليات / عرفان و تصوف / عربی</w:t>
        </w:r>
        <w:r>
          <w:tab/>
        </w:r>
        <w:r>
          <w:fldChar w:fldCharType="begin"/>
        </w:r>
        <w:r>
          <w:instrText xml:space="preserve">PAGEREF 2385 \h</w:instrText>
        </w:r>
        <w:r>
          <w:fldChar w:fldCharType="end"/>
        </w:r>
      </w:hyperlink>
    </w:p>
    <w:p>
      <w:pPr>
        <w:tabs>
          <w:tab w:val="right" w:leader="dot" w:pos="9062"/>
        </w:tabs>
        <w:ind w:left="440"/>
      </w:pPr>
      <w:hyperlink w:anchor="_Toc2386" w:history="1">
        <w:r>
          <w:rPr>
            <w:rFonts w:ascii="IRNazanin" w:hAnsi="IRNazanin" w:eastAsia="IRNazanin" w:cs="IRNazanin"/>
            <w:color w:val="111111"/>
            <w:sz w:val="22"/>
            <w:szCs w:val="22"/>
            <w:b w:val="0"/>
            <w:bCs w:val="0"/>
            <w:i w:val="0"/>
            <w:iCs w:val="0"/>
          </w:rPr>
          <w:t>•تجلیات / ادبیات / فارسی</w:t>
        </w:r>
        <w:r>
          <w:tab/>
        </w:r>
        <w:r>
          <w:fldChar w:fldCharType="begin"/>
        </w:r>
        <w:r>
          <w:instrText xml:space="preserve">PAGEREF 2386 \h</w:instrText>
        </w:r>
        <w:r>
          <w:fldChar w:fldCharType="end"/>
        </w:r>
      </w:hyperlink>
    </w:p>
    <w:p>
      <w:pPr>
        <w:tabs>
          <w:tab w:val="right" w:leader="dot" w:pos="9062"/>
        </w:tabs>
        <w:ind w:left="440"/>
      </w:pPr>
      <w:hyperlink w:anchor="_Toc2387" w:history="1">
        <w:r>
          <w:rPr>
            <w:rFonts w:ascii="IRNazanin" w:hAnsi="IRNazanin" w:eastAsia="IRNazanin" w:cs="IRNazanin"/>
            <w:color w:val="111111"/>
            <w:sz w:val="22"/>
            <w:szCs w:val="22"/>
            <w:b w:val="0"/>
            <w:bCs w:val="0"/>
            <w:i w:val="0"/>
            <w:iCs w:val="0"/>
          </w:rPr>
          <w:t>• التجليات / عرفان و تصوف / عربی</w:t>
        </w:r>
        <w:r>
          <w:tab/>
        </w:r>
        <w:r>
          <w:fldChar w:fldCharType="begin"/>
        </w:r>
        <w:r>
          <w:instrText xml:space="preserve">PAGEREF 2387 \h</w:instrText>
        </w:r>
        <w:r>
          <w:fldChar w:fldCharType="end"/>
        </w:r>
      </w:hyperlink>
    </w:p>
    <w:p>
      <w:pPr>
        <w:tabs>
          <w:tab w:val="right" w:leader="dot" w:pos="9062"/>
        </w:tabs>
        <w:ind w:left="440"/>
      </w:pPr>
      <w:hyperlink w:anchor="_Toc2388" w:history="1">
        <w:r>
          <w:rPr>
            <w:rFonts w:ascii="IRNazanin" w:hAnsi="IRNazanin" w:eastAsia="IRNazanin" w:cs="IRNazanin"/>
            <w:color w:val="111111"/>
            <w:sz w:val="22"/>
            <w:szCs w:val="22"/>
            <w:b w:val="0"/>
            <w:bCs w:val="0"/>
            <w:i w:val="0"/>
            <w:iCs w:val="0"/>
          </w:rPr>
          <w:t>•تجلیات اربعه از کتاب نور الهداية / كلام و اعتقادات / فارسی</w:t>
        </w:r>
        <w:r>
          <w:tab/>
        </w:r>
        <w:r>
          <w:fldChar w:fldCharType="begin"/>
        </w:r>
        <w:r>
          <w:instrText xml:space="preserve">PAGEREF 2388 \h</w:instrText>
        </w:r>
        <w:r>
          <w:fldChar w:fldCharType="end"/>
        </w:r>
      </w:hyperlink>
    </w:p>
    <w:p>
      <w:pPr>
        <w:tabs>
          <w:tab w:val="right" w:leader="dot" w:pos="9062"/>
        </w:tabs>
        <w:ind w:left="440"/>
      </w:pPr>
      <w:hyperlink w:anchor="_Toc2389" w:history="1">
        <w:r>
          <w:rPr>
            <w:rFonts w:ascii="IRNazanin" w:hAnsi="IRNazanin" w:eastAsia="IRNazanin" w:cs="IRNazanin"/>
            <w:color w:val="111111"/>
            <w:sz w:val="22"/>
            <w:szCs w:val="22"/>
            <w:b w:val="0"/>
            <w:bCs w:val="0"/>
            <w:i w:val="0"/>
            <w:iCs w:val="0"/>
          </w:rPr>
          <w:t>•تجلیات رحمانی /عرفان و تصوف / فارسی</w:t>
        </w:r>
        <w:r>
          <w:tab/>
        </w:r>
        <w:r>
          <w:fldChar w:fldCharType="begin"/>
        </w:r>
        <w:r>
          <w:instrText xml:space="preserve">PAGEREF 2389 \h</w:instrText>
        </w:r>
        <w:r>
          <w:fldChar w:fldCharType="end"/>
        </w:r>
      </w:hyperlink>
    </w:p>
    <w:p>
      <w:pPr>
        <w:tabs>
          <w:tab w:val="right" w:leader="dot" w:pos="9062"/>
        </w:tabs>
        <w:ind w:left="440"/>
      </w:pPr>
      <w:hyperlink w:anchor="_Toc2390" w:history="1">
        <w:r>
          <w:rPr>
            <w:rFonts w:ascii="IRNazanin" w:hAnsi="IRNazanin" w:eastAsia="IRNazanin" w:cs="IRNazanin"/>
            <w:color w:val="111111"/>
            <w:sz w:val="22"/>
            <w:szCs w:val="22"/>
            <w:b w:val="0"/>
            <w:bCs w:val="0"/>
            <w:i w:val="0"/>
            <w:iCs w:val="0"/>
          </w:rPr>
          <w:t>•تجلیات عباسیه / فضائل و مناقب / فارسی</w:t>
        </w:r>
        <w:r>
          <w:tab/>
        </w:r>
        <w:r>
          <w:fldChar w:fldCharType="begin"/>
        </w:r>
        <w:r>
          <w:instrText xml:space="preserve">PAGEREF 2390 \h</w:instrText>
        </w:r>
        <w:r>
          <w:fldChar w:fldCharType="end"/>
        </w:r>
      </w:hyperlink>
    </w:p>
    <w:p>
      <w:pPr>
        <w:tabs>
          <w:tab w:val="right" w:leader="dot" w:pos="9062"/>
        </w:tabs>
        <w:ind w:left="440"/>
      </w:pPr>
      <w:hyperlink w:anchor="_Toc2391" w:history="1">
        <w:r>
          <w:rPr>
            <w:rFonts w:ascii="IRNazanin" w:hAnsi="IRNazanin" w:eastAsia="IRNazanin" w:cs="IRNazanin"/>
            <w:color w:val="111111"/>
            <w:sz w:val="22"/>
            <w:szCs w:val="22"/>
            <w:b w:val="0"/>
            <w:bCs w:val="0"/>
            <w:i w:val="0"/>
            <w:iCs w:val="0"/>
          </w:rPr>
          <w:t>•التجليات و عرفان الذات و الصفات في التوحيد / عرفان و تصوف / فارسی</w:t>
        </w:r>
        <w:r>
          <w:tab/>
        </w:r>
        <w:r>
          <w:fldChar w:fldCharType="begin"/>
        </w:r>
        <w:r>
          <w:instrText xml:space="preserve">PAGEREF 2391 \h</w:instrText>
        </w:r>
        <w:r>
          <w:fldChar w:fldCharType="end"/>
        </w:r>
      </w:hyperlink>
    </w:p>
    <w:p>
      <w:pPr>
        <w:tabs>
          <w:tab w:val="right" w:leader="dot" w:pos="9062"/>
        </w:tabs>
        <w:ind w:left="440"/>
      </w:pPr>
      <w:hyperlink w:anchor="_Toc2392" w:history="1">
        <w:r>
          <w:rPr>
            <w:rFonts w:ascii="IRNazanin" w:hAnsi="IRNazanin" w:eastAsia="IRNazanin" w:cs="IRNazanin"/>
            <w:color w:val="111111"/>
            <w:sz w:val="22"/>
            <w:szCs w:val="22"/>
            <w:b w:val="0"/>
            <w:bCs w:val="0"/>
            <w:i w:val="0"/>
            <w:iCs w:val="0"/>
          </w:rPr>
          <w:t>•تجلی الاشراق = شرح شارع النجات / کلام و اعتقادات / فارسی</w:t>
        </w:r>
        <w:r>
          <w:tab/>
        </w:r>
        <w:r>
          <w:fldChar w:fldCharType="begin"/>
        </w:r>
        <w:r>
          <w:instrText xml:space="preserve">PAGEREF 2392 \h</w:instrText>
        </w:r>
        <w:r>
          <w:fldChar w:fldCharType="end"/>
        </w:r>
      </w:hyperlink>
    </w:p>
    <w:p>
      <w:pPr>
        <w:tabs>
          <w:tab w:val="right" w:leader="dot" w:pos="9062"/>
        </w:tabs>
        <w:ind w:left="440"/>
      </w:pPr>
      <w:hyperlink w:anchor="_Toc2393" w:history="1">
        <w:r>
          <w:rPr>
            <w:rFonts w:ascii="IRNazanin" w:hAnsi="IRNazanin" w:eastAsia="IRNazanin" w:cs="IRNazanin"/>
            <w:color w:val="111111"/>
            <w:sz w:val="22"/>
            <w:szCs w:val="22"/>
            <w:b w:val="0"/>
            <w:bCs w:val="0"/>
            <w:i w:val="0"/>
            <w:iCs w:val="0"/>
          </w:rPr>
          <w:t>•تجلی الاشراق = شرح رساله عرفانی طوسی / عرفان و تصوف / فارسی</w:t>
        </w:r>
        <w:r>
          <w:tab/>
        </w:r>
        <w:r>
          <w:fldChar w:fldCharType="begin"/>
        </w:r>
        <w:r>
          <w:instrText xml:space="preserve">PAGEREF 2393 \h</w:instrText>
        </w:r>
        <w:r>
          <w:fldChar w:fldCharType="end"/>
        </w:r>
      </w:hyperlink>
    </w:p>
    <w:p>
      <w:pPr>
        <w:tabs>
          <w:tab w:val="right" w:leader="dot" w:pos="9062"/>
        </w:tabs>
        <w:ind w:left="440"/>
      </w:pPr>
      <w:hyperlink w:anchor="_Toc2394" w:history="1">
        <w:r>
          <w:rPr>
            <w:rFonts w:ascii="IRNazanin" w:hAnsi="IRNazanin" w:eastAsia="IRNazanin" w:cs="IRNazanin"/>
            <w:color w:val="111111"/>
            <w:sz w:val="22"/>
            <w:szCs w:val="22"/>
            <w:b w:val="0"/>
            <w:bCs w:val="0"/>
            <w:i w:val="0"/>
            <w:iCs w:val="0"/>
          </w:rPr>
          <w:t>•تجلية الأرواح بحقائق الانجاح / فلسفه / عربی</w:t>
        </w:r>
        <w:r>
          <w:tab/>
        </w:r>
        <w:r>
          <w:fldChar w:fldCharType="begin"/>
        </w:r>
        <w:r>
          <w:instrText xml:space="preserve">PAGEREF 2394 \h</w:instrText>
        </w:r>
        <w:r>
          <w:fldChar w:fldCharType="end"/>
        </w:r>
      </w:hyperlink>
    </w:p>
    <w:p>
      <w:pPr>
        <w:tabs>
          <w:tab w:val="right" w:leader="dot" w:pos="9062"/>
        </w:tabs>
        <w:ind w:left="440"/>
      </w:pPr>
      <w:hyperlink w:anchor="_Toc2395" w:history="1">
        <w:r>
          <w:rPr>
            <w:rFonts w:ascii="IRNazanin" w:hAnsi="IRNazanin" w:eastAsia="IRNazanin" w:cs="IRNazanin"/>
            <w:color w:val="111111"/>
            <w:sz w:val="22"/>
            <w:szCs w:val="22"/>
            <w:b w:val="0"/>
            <w:bCs w:val="0"/>
            <w:i w:val="0"/>
            <w:iCs w:val="0"/>
          </w:rPr>
          <w:t>•تجلی حضرت واجب بر کلیم الله (شرح کلام برخی اکابر در) / عرفان و تصوف / فارسی</w:t>
        </w:r>
        <w:r>
          <w:tab/>
        </w:r>
        <w:r>
          <w:fldChar w:fldCharType="begin"/>
        </w:r>
        <w:r>
          <w:instrText xml:space="preserve">PAGEREF 2395 \h</w:instrText>
        </w:r>
        <w:r>
          <w:fldChar w:fldCharType="end"/>
        </w:r>
      </w:hyperlink>
    </w:p>
    <w:p>
      <w:pPr>
        <w:tabs>
          <w:tab w:val="right" w:leader="dot" w:pos="9062"/>
        </w:tabs>
        <w:ind w:left="440"/>
      </w:pPr>
      <w:hyperlink w:anchor="_Toc2396" w:history="1">
        <w:r>
          <w:rPr>
            <w:rFonts w:ascii="IRNazanin" w:hAnsi="IRNazanin" w:eastAsia="IRNazanin" w:cs="IRNazanin"/>
            <w:color w:val="111111"/>
            <w:sz w:val="22"/>
            <w:szCs w:val="22"/>
            <w:b w:val="0"/>
            <w:bCs w:val="0"/>
            <w:i w:val="0"/>
            <w:iCs w:val="0"/>
          </w:rPr>
          <w:t>•تجلی حقیقت / تاریخ / فارسی</w:t>
        </w:r>
        <w:r>
          <w:tab/>
        </w:r>
        <w:r>
          <w:fldChar w:fldCharType="begin"/>
        </w:r>
        <w:r>
          <w:instrText xml:space="preserve">PAGEREF 2396 \h</w:instrText>
        </w:r>
        <w:r>
          <w:fldChar w:fldCharType="end"/>
        </w:r>
      </w:hyperlink>
    </w:p>
    <w:p>
      <w:pPr>
        <w:tabs>
          <w:tab w:val="right" w:leader="dot" w:pos="9062"/>
        </w:tabs>
        <w:ind w:left="440"/>
      </w:pPr>
      <w:hyperlink w:anchor="_Toc2397" w:history="1">
        <w:r>
          <w:rPr>
            <w:rFonts w:ascii="IRNazanin" w:hAnsi="IRNazanin" w:eastAsia="IRNazanin" w:cs="IRNazanin"/>
            <w:color w:val="111111"/>
            <w:sz w:val="22"/>
            <w:szCs w:val="22"/>
            <w:b w:val="0"/>
            <w:bCs w:val="0"/>
            <w:i w:val="0"/>
            <w:iCs w:val="0"/>
          </w:rPr>
          <w:t>•تجلی خداوند بر حضرت موسی علیه السلام = تجلی خداوند بر کوه طور / عرفان و تصوف / فارسی</w:t>
        </w:r>
        <w:r>
          <w:tab/>
        </w:r>
        <w:r>
          <w:fldChar w:fldCharType="begin"/>
        </w:r>
        <w:r>
          <w:instrText xml:space="preserve">PAGEREF 2397 \h</w:instrText>
        </w:r>
        <w:r>
          <w:fldChar w:fldCharType="end"/>
        </w:r>
      </w:hyperlink>
    </w:p>
    <w:p>
      <w:pPr>
        <w:tabs>
          <w:tab w:val="right" w:leader="dot" w:pos="9062"/>
        </w:tabs>
        <w:ind w:left="440"/>
      </w:pPr>
      <w:hyperlink w:anchor="_Toc2398" w:history="1">
        <w:r>
          <w:rPr>
            <w:rFonts w:ascii="IRNazanin" w:hAnsi="IRNazanin" w:eastAsia="IRNazanin" w:cs="IRNazanin"/>
            <w:color w:val="111111"/>
            <w:sz w:val="22"/>
            <w:szCs w:val="22"/>
            <w:b w:val="0"/>
            <w:bCs w:val="0"/>
            <w:i w:val="0"/>
            <w:iCs w:val="0"/>
          </w:rPr>
          <w:t>•تجلی فیض در اخلاق و عرفان عرفان و تصوف / فارسی</w:t>
        </w:r>
        <w:r>
          <w:tab/>
        </w:r>
        <w:r>
          <w:fldChar w:fldCharType="begin"/>
        </w:r>
        <w:r>
          <w:instrText xml:space="preserve">PAGEREF 2398 \h</w:instrText>
        </w:r>
        <w:r>
          <w:fldChar w:fldCharType="end"/>
        </w:r>
      </w:hyperlink>
    </w:p>
    <w:p>
      <w:pPr>
        <w:tabs>
          <w:tab w:val="right" w:leader="dot" w:pos="9062"/>
        </w:tabs>
        <w:ind w:left="440"/>
      </w:pPr>
      <w:hyperlink w:anchor="_Toc2399" w:history="1">
        <w:r>
          <w:rPr>
            <w:rFonts w:ascii="IRNazanin" w:hAnsi="IRNazanin" w:eastAsia="IRNazanin" w:cs="IRNazanin"/>
            <w:color w:val="111111"/>
            <w:sz w:val="22"/>
            <w:szCs w:val="22"/>
            <w:b w:val="0"/>
            <w:bCs w:val="0"/>
            <w:i w:val="0"/>
            <w:iCs w:val="0"/>
          </w:rPr>
          <w:t>•تجلیل مستر ویلیام جاکسن /</w:t>
        </w:r>
        <w:r>
          <w:tab/>
        </w:r>
        <w:r>
          <w:fldChar w:fldCharType="begin"/>
        </w:r>
        <w:r>
          <w:instrText xml:space="preserve">PAGEREF 2399 \h</w:instrText>
        </w:r>
        <w:r>
          <w:fldChar w:fldCharType="end"/>
        </w:r>
      </w:hyperlink>
    </w:p>
    <w:p>
      <w:pPr>
        <w:tabs>
          <w:tab w:val="right" w:leader="dot" w:pos="9062"/>
        </w:tabs>
        <w:ind w:left="440"/>
      </w:pPr>
      <w:hyperlink w:anchor="_Toc2400" w:history="1">
        <w:r>
          <w:rPr>
            <w:rFonts w:ascii="IRNazanin" w:hAnsi="IRNazanin" w:eastAsia="IRNazanin" w:cs="IRNazanin"/>
            <w:color w:val="111111"/>
            <w:sz w:val="22"/>
            <w:szCs w:val="22"/>
            <w:b w:val="0"/>
            <w:bCs w:val="0"/>
            <w:i w:val="0"/>
            <w:iCs w:val="0"/>
          </w:rPr>
          <w:t>•تجلی نور = تذکره مشاهیر جونپور / تراجم / فارسی</w:t>
        </w:r>
        <w:r>
          <w:tab/>
        </w:r>
        <w:r>
          <w:fldChar w:fldCharType="begin"/>
        </w:r>
        <w:r>
          <w:instrText xml:space="preserve">PAGEREF 2400 \h</w:instrText>
        </w:r>
        <w:r>
          <w:fldChar w:fldCharType="end"/>
        </w:r>
      </w:hyperlink>
    </w:p>
    <w:p>
      <w:pPr>
        <w:tabs>
          <w:tab w:val="right" w:leader="dot" w:pos="9062"/>
        </w:tabs>
        <w:ind w:left="440"/>
      </w:pPr>
      <w:hyperlink w:anchor="_Toc2401" w:history="1">
        <w:r>
          <w:rPr>
            <w:rFonts w:ascii="IRNazanin" w:hAnsi="IRNazanin" w:eastAsia="IRNazanin" w:cs="IRNazanin"/>
            <w:color w:val="111111"/>
            <w:sz w:val="22"/>
            <w:szCs w:val="22"/>
            <w:b w:val="0"/>
            <w:bCs w:val="0"/>
            <w:i w:val="0"/>
            <w:iCs w:val="0"/>
          </w:rPr>
          <w:t>•تجنيسات / ادبیات عربی</w:t>
        </w:r>
        <w:r>
          <w:tab/>
        </w:r>
        <w:r>
          <w:fldChar w:fldCharType="begin"/>
        </w:r>
        <w:r>
          <w:instrText xml:space="preserve">PAGEREF 2401 \h</w:instrText>
        </w:r>
        <w:r>
          <w:fldChar w:fldCharType="end"/>
        </w:r>
      </w:hyperlink>
    </w:p>
    <w:p>
      <w:pPr>
        <w:tabs>
          <w:tab w:val="right" w:leader="dot" w:pos="9062"/>
        </w:tabs>
        <w:ind w:left="440"/>
      </w:pPr>
      <w:hyperlink w:anchor="_Toc2402" w:history="1">
        <w:r>
          <w:rPr>
            <w:rFonts w:ascii="IRNazanin" w:hAnsi="IRNazanin" w:eastAsia="IRNazanin" w:cs="IRNazanin"/>
            <w:color w:val="111111"/>
            <w:sz w:val="22"/>
            <w:szCs w:val="22"/>
            <w:b w:val="0"/>
            <w:bCs w:val="0"/>
            <w:i w:val="0"/>
            <w:iCs w:val="0"/>
          </w:rPr>
          <w:t>•تجنيسات / شعر / فارسی</w:t>
        </w:r>
        <w:r>
          <w:tab/>
        </w:r>
        <w:r>
          <w:fldChar w:fldCharType="begin"/>
        </w:r>
        <w:r>
          <w:instrText xml:space="preserve">PAGEREF 2402 \h</w:instrText>
        </w:r>
        <w:r>
          <w:fldChar w:fldCharType="end"/>
        </w:r>
      </w:hyperlink>
    </w:p>
    <w:p>
      <w:pPr>
        <w:tabs>
          <w:tab w:val="right" w:leader="dot" w:pos="9062"/>
        </w:tabs>
        <w:ind w:left="440"/>
      </w:pPr>
      <w:hyperlink w:anchor="_Toc2403" w:history="1">
        <w:r>
          <w:rPr>
            <w:rFonts w:ascii="IRNazanin" w:hAnsi="IRNazanin" w:eastAsia="IRNazanin" w:cs="IRNazanin"/>
            <w:color w:val="111111"/>
            <w:sz w:val="22"/>
            <w:szCs w:val="22"/>
            <w:b w:val="0"/>
            <w:bCs w:val="0"/>
            <w:i w:val="0"/>
            <w:iCs w:val="0"/>
          </w:rPr>
          <w:t>•تجنيسات (رساله) / عرفان و تصوف / فارسی</w:t>
        </w:r>
        <w:r>
          <w:tab/>
        </w:r>
        <w:r>
          <w:fldChar w:fldCharType="begin"/>
        </w:r>
        <w:r>
          <w:instrText xml:space="preserve">PAGEREF 2403 \h</w:instrText>
        </w:r>
        <w:r>
          <w:fldChar w:fldCharType="end"/>
        </w:r>
      </w:hyperlink>
    </w:p>
    <w:p>
      <w:pPr>
        <w:tabs>
          <w:tab w:val="right" w:leader="dot" w:pos="9062"/>
        </w:tabs>
        <w:ind w:left="440"/>
      </w:pPr>
      <w:hyperlink w:anchor="_Toc2404" w:history="1">
        <w:r>
          <w:rPr>
            <w:rFonts w:ascii="IRNazanin" w:hAnsi="IRNazanin" w:eastAsia="IRNazanin" w:cs="IRNazanin"/>
            <w:color w:val="111111"/>
            <w:sz w:val="22"/>
            <w:szCs w:val="22"/>
            <w:b w:val="0"/>
            <w:bCs w:val="0"/>
            <w:i w:val="0"/>
            <w:iCs w:val="0"/>
          </w:rPr>
          <w:t>•تجنیس اللغات = نصاب عبدالرحمان / لغت / عربی به فارسی</w:t>
        </w:r>
        <w:r>
          <w:tab/>
        </w:r>
        <w:r>
          <w:fldChar w:fldCharType="begin"/>
        </w:r>
        <w:r>
          <w:instrText xml:space="preserve">PAGEREF 2404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20363_209128"/>
    <w:bookmarkEnd w:id="0"/>
    <w:p>
      <w:pPr>
        <w:pStyle w:val="Heading2"/>
      </w:pPr>
      <w:bookmarkStart w:id="741" w:name="_Toc1"/>
      <w:r>
        <w:t>مشخصات کتاب</w:t>
      </w:r>
      <w:bookmarkEnd w:id="741"/>
    </w:p>
    <w:p>
      <w:pPr>
        <w:pStyle w:val="BookText"/>
      </w:pPr>
      <w:r>
        <w:rPr>
          <w:rFonts w:ascii="IRNazanin" w:hAnsi="IRNazanin" w:eastAsia="IRNazanin" w:cs="IRNazanin"/>
          <w:lang w:bidi="fa-IR"/>
          <w:color w:val="111111"/>
          <w:sz w:val="28"/>
          <w:szCs w:val="28"/>
          <w:rtl/>
        </w:rPr>
        <w:t xml:space="preserve">فهرست نویسی پیش از انتشار کتابخانه ملی جمهوری اسلامی ایران</w:t>
      </w:r>
    </w:p>
    <w:p>
      <w:pPr>
        <w:pStyle w:val="BookText"/>
      </w:pPr>
      <w:r>
        <w:rPr>
          <w:rFonts w:ascii="IRNazanin" w:hAnsi="IRNazanin" w:eastAsia="IRNazanin" w:cs="IRNazanin"/>
          <w:lang w:bidi="fa-IR"/>
          <w:color w:val="111111"/>
          <w:sz w:val="28"/>
          <w:szCs w:val="28"/>
          <w:rtl/>
        </w:rPr>
        <w:t xml:space="preserve">سرشناسه:درایتی، مصطفی، ۱۳۳۴ - ، گردآورنده</w:t>
      </w:r>
    </w:p>
    <w:p>
      <w:pPr>
        <w:pStyle w:val="BookText"/>
      </w:pPr>
      <w:r>
        <w:rPr>
          <w:rFonts w:ascii="IRNazanin" w:hAnsi="IRNazanin" w:eastAsia="IRNazanin" w:cs="IRNazanin"/>
          <w:lang w:bidi="fa-IR"/>
          <w:color w:val="111111"/>
          <w:sz w:val="28"/>
          <w:szCs w:val="28"/>
          <w:rtl/>
        </w:rPr>
        <w:t xml:space="preserve">عنوان و نام پدیدآور: فهرستگان نسخه های خطی ایران (فخنا) / به کوشش مصطفی درایتی.</w:t>
      </w:r>
    </w:p>
    <w:p>
      <w:pPr>
        <w:pStyle w:val="BookText"/>
      </w:pPr>
      <w:r>
        <w:rPr>
          <w:rFonts w:ascii="IRNazanin" w:hAnsi="IRNazanin" w:eastAsia="IRNazanin" w:cs="IRNazanin"/>
          <w:lang w:bidi="fa-IR"/>
          <w:color w:val="111111"/>
          <w:sz w:val="28"/>
          <w:szCs w:val="28"/>
          <w:rtl/>
        </w:rPr>
        <w:t xml:space="preserve">مشخصات نشر : تهران: سازمان اسناد و کتابخانه ملی جمهوری اسلامی ایران، ۱۳۹۱ -</w:t>
      </w:r>
    </w:p>
    <w:p>
      <w:pPr>
        <w:pStyle w:val="BookText"/>
      </w:pPr>
      <w:r>
        <w:rPr>
          <w:rFonts w:ascii="IRNazanin" w:hAnsi="IRNazanin" w:eastAsia="IRNazanin" w:cs="IRNazanin"/>
          <w:lang w:bidi="fa-IR"/>
          <w:color w:val="111111"/>
          <w:sz w:val="28"/>
          <w:szCs w:val="28"/>
          <w:rtl/>
        </w:rPr>
        <w:t xml:space="preserve">مشخصات ظاهری:ج.</w:t>
      </w:r>
    </w:p>
    <w:p>
      <w:pPr>
        <w:pStyle w:val="BookText"/>
      </w:pPr>
      <w:r>
        <w:rPr>
          <w:rFonts w:ascii="IRNazanin" w:hAnsi="IRNazanin" w:eastAsia="IRNazanin" w:cs="IRNazanin"/>
          <w:lang w:bidi="fa-IR"/>
          <w:color w:val="111111"/>
          <w:sz w:val="28"/>
          <w:szCs w:val="28"/>
          <w:rtl/>
        </w:rPr>
        <w:t xml:space="preserve">فروست:نسخه شناسی؛ ۱</w:t>
      </w:r>
    </w:p>
    <w:p>
      <w:pPr>
        <w:pStyle w:val="BookText"/>
      </w:pPr>
      <w:r>
        <w:rPr>
          <w:rFonts w:ascii="IRNazanin" w:hAnsi="IRNazanin" w:eastAsia="IRNazanin" w:cs="IRNazanin"/>
          <w:lang w:bidi="fa-IR"/>
          <w:color w:val="111111"/>
          <w:sz w:val="28"/>
          <w:szCs w:val="28"/>
          <w:rtl/>
        </w:rPr>
        <w:t xml:space="preserve">شابک: دوره: ۹-۲۷۱-۴۶۶-۹۶۴-۹۷۸ ؛ ج.۶: ۱-۲۷۷-۴۴۶-۹۶۴-۹۷۸</w:t>
      </w:r>
    </w:p>
    <w:p>
      <w:pPr>
        <w:pStyle w:val="BookText"/>
      </w:pPr>
      <w:r>
        <w:rPr>
          <w:rFonts w:ascii="IRNazanin" w:hAnsi="IRNazanin" w:eastAsia="IRNazanin" w:cs="IRNazanin"/>
          <w:lang w:bidi="fa-IR"/>
          <w:color w:val="111111"/>
          <w:sz w:val="28"/>
          <w:szCs w:val="28"/>
          <w:rtl/>
        </w:rPr>
        <w:t xml:space="preserve">وضعیت فهرست نویسی:  فیپا</w:t>
      </w:r>
    </w:p>
    <w:p>
      <w:pPr>
        <w:pStyle w:val="BookText"/>
      </w:pPr>
      <w:r>
        <w:rPr>
          <w:rFonts w:ascii="Amiri" w:hAnsi="Amiri" w:eastAsia="Amiri" w:cs="Amiri"/>
          <w:lang w:bidi="ar-SA"/>
          <w:color w:val="111111"/>
          <w:sz w:val="28"/>
          <w:szCs w:val="28"/>
          <w:rtl/>
        </w:rPr>
        <w:t xml:space="preserve">مندرجات:ج.۶. البشائر - تخبيس.</w:t>
      </w:r>
    </w:p>
    <w:p>
      <w:pPr>
        <w:pStyle w:val="BookText"/>
      </w:pPr>
      <w:r>
        <w:rPr>
          <w:rFonts w:ascii="IRNazanin" w:hAnsi="IRNazanin" w:eastAsia="IRNazanin" w:cs="IRNazanin"/>
          <w:lang w:bidi="fa-IR"/>
          <w:color w:val="111111"/>
          <w:sz w:val="28"/>
          <w:szCs w:val="28"/>
          <w:rtl/>
        </w:rPr>
        <w:t xml:space="preserve">موضوع: نسخه های خطی - ایران -- فهرستگان ها</w:t>
      </w:r>
    </w:p>
    <w:p>
      <w:pPr>
        <w:pStyle w:val="BookText"/>
      </w:pPr>
      <w:r>
        <w:rPr>
          <w:rFonts w:ascii="IRNazanin" w:hAnsi="IRNazanin" w:eastAsia="IRNazanin" w:cs="IRNazanin"/>
          <w:lang w:bidi="fa-IR"/>
          <w:color w:val="111111"/>
          <w:sz w:val="28"/>
          <w:szCs w:val="28"/>
          <w:rtl/>
        </w:rPr>
        <w:t xml:space="preserve">شناسه افزوده: سازمان اسناد و کتابخانه ملی جمهوری اسلامی ایران</w:t>
      </w:r>
    </w:p>
    <w:p>
      <w:pPr>
        <w:pStyle w:val="BookText"/>
      </w:pPr>
      <w:r>
        <w:rPr>
          <w:rFonts w:ascii="IRNazanin" w:hAnsi="IRNazanin" w:eastAsia="IRNazanin" w:cs="IRNazanin"/>
          <w:lang w:bidi="fa-IR"/>
          <w:color w:val="111111"/>
          <w:sz w:val="28"/>
          <w:szCs w:val="28"/>
          <w:rtl/>
        </w:rPr>
        <w:t xml:space="preserve">رده بندی کنگره:۱۳۹۱ ۳۶د ۹ الف/</w:t>
      </w:r>
      <w:r>
        <w:rPr>
          <w:rFonts w:ascii="Times New Roman" w:hAnsi="Times New Roman" w:eastAsia="Times New Roman" w:cs="Times New Roman"/>
          <w:lang w:val="en-US" w:bidi="en-US"/>
          <w:color w:val="111111"/>
          <w:sz w:val="28"/>
          <w:szCs w:val="28"/>
          <w:rtl/>
        </w:rPr>
        <w:t xml:space="preserve">Z</w:t>
      </w:r>
      <w:r>
        <w:rPr>
          <w:rFonts w:ascii="IRNazanin" w:hAnsi="IRNazanin" w:eastAsia="IRNazanin" w:cs="IRNazanin"/>
          <w:lang w:bidi="fa-IR"/>
          <w:color w:val="111111"/>
          <w:sz w:val="28"/>
          <w:szCs w:val="28"/>
          <w:rtl/>
        </w:rPr>
        <w:t xml:space="preserve">۶۶۲۰</w:t>
      </w:r>
    </w:p>
    <w:p>
      <w:pPr>
        <w:pStyle w:val="BookText"/>
      </w:pPr>
      <w:r>
        <w:rPr>
          <w:rFonts w:ascii="IRNazanin" w:hAnsi="IRNazanin" w:eastAsia="IRNazanin" w:cs="IRNazanin"/>
          <w:lang w:bidi="fa-IR"/>
          <w:color w:val="111111"/>
          <w:sz w:val="28"/>
          <w:szCs w:val="28"/>
          <w:rtl/>
        </w:rPr>
        <w:t xml:space="preserve">رده بندی دیویی:۱۱/۳۱0</w:t>
      </w:r>
    </w:p>
    <w:p>
      <w:pPr>
        <w:pStyle w:val="BookText"/>
      </w:pPr>
      <w:r>
        <w:rPr>
          <w:rFonts w:ascii="IRNazanin" w:hAnsi="IRNazanin" w:eastAsia="IRNazanin" w:cs="IRNazanin"/>
          <w:lang w:bidi="fa-IR"/>
          <w:color w:val="111111"/>
          <w:sz w:val="28"/>
          <w:szCs w:val="28"/>
          <w:rtl/>
        </w:rPr>
        <w:t xml:space="preserve">شماره کتابشناسی ملی: ۲۵۹۶۷۰۸</w:t>
      </w:r>
    </w:p>
    <w:p>
      <w:pPr>
        <w:pStyle w:val="BookText"/>
      </w:pPr>
      <w:r>
        <w:rPr>
          <w:rFonts w:ascii="IRNazanin" w:hAnsi="IRNazanin" w:eastAsia="IRNazanin" w:cs="IRNazanin"/>
          <w:lang w:bidi="fa-IR"/>
          <w:color w:val="111111"/>
          <w:sz w:val="28"/>
          <w:szCs w:val="28"/>
          <w:rtl/>
        </w:rPr>
        <w:t xml:space="preserve">ویراستار دیجیتالی: علیرضا حقانی فر</w:t>
      </w:r>
    </w:p>
    <w:p>
      <w:pPr>
        <w:pStyle w:val="Heading2"/>
      </w:pPr>
      <w:bookmarkStart w:id="742" w:name="_Toc2"/>
      <w:r>
        <w:t>اشاره</w:t>
      </w:r>
      <w:bookmarkEnd w:id="742"/>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سازمان اسناد و کتابخانه ملی</w:t>
      </w:r>
    </w:p>
    <w:p>
      <w:pPr>
        <w:pStyle w:val="BookText"/>
      </w:pPr>
      <w:r>
        <w:rPr>
          <w:rFonts w:ascii="IRNazanin" w:hAnsi="IRNazanin" w:eastAsia="IRNazanin" w:cs="IRNazanin"/>
          <w:lang w:bidi="fa-IR"/>
          <w:color w:val="111111"/>
          <w:sz w:val="28"/>
          <w:szCs w:val="28"/>
          <w:rtl/>
        </w:rPr>
        <w:t xml:space="preserve">جمهوری اسلامی سران</w:t>
      </w:r>
    </w:p>
    <w:p>
      <w:pPr>
        <w:pStyle w:val="BookText"/>
      </w:pPr>
      <w:r>
        <w:rPr>
          <w:rFonts w:ascii="IRNazanin" w:hAnsi="IRNazanin" w:eastAsia="IRNazanin" w:cs="IRNazanin"/>
          <w:lang w:bidi="fa-IR"/>
          <w:color w:val="111111"/>
          <w:sz w:val="28"/>
          <w:szCs w:val="28"/>
          <w:rtl/>
        </w:rPr>
        <w:t xml:space="preserve">فهرستگان</w:t>
      </w:r>
    </w:p>
    <w:p>
      <w:pPr>
        <w:pStyle w:val="BookText"/>
      </w:pPr>
      <w:r>
        <w:rPr>
          <w:rFonts w:ascii="IRNazanin" w:hAnsi="IRNazanin" w:eastAsia="IRNazanin" w:cs="IRNazanin"/>
          <w:lang w:bidi="fa-IR"/>
          <w:color w:val="111111"/>
          <w:sz w:val="28"/>
          <w:szCs w:val="28"/>
          <w:rtl/>
        </w:rPr>
        <w:t xml:space="preserve">نسخه های خطی ایران (فنخا)</w:t>
      </w:r>
    </w:p>
    <w:p>
      <w:pPr>
        <w:pStyle w:val="BookText"/>
      </w:pPr>
      <w:r>
        <w:rPr>
          <w:rFonts w:ascii="IRNazanin" w:hAnsi="IRNazanin" w:eastAsia="IRNazanin" w:cs="IRNazanin"/>
          <w:lang w:bidi="fa-IR"/>
          <w:color w:val="111111"/>
          <w:sz w:val="28"/>
          <w:szCs w:val="28"/>
          <w:rtl/>
        </w:rPr>
        <w:t xml:space="preserve">جلدششم</w:t>
      </w:r>
    </w:p>
    <w:p>
      <w:pPr>
        <w:pStyle w:val="BookText"/>
      </w:pPr>
      <w:r>
        <w:rPr>
          <w:rFonts w:ascii="Amiri" w:hAnsi="Amiri" w:eastAsia="Amiri" w:cs="Amiri"/>
          <w:lang w:bidi="ar-SA"/>
          <w:color w:val="111111"/>
          <w:sz w:val="28"/>
          <w:szCs w:val="28"/>
          <w:rtl/>
        </w:rPr>
        <w:t xml:space="preserve">البشائر – تخبيس</w:t>
      </w:r>
    </w:p>
    <w:p>
      <w:pPr>
        <w:pStyle w:val="BookText"/>
      </w:pPr>
      <w:r>
        <w:rPr>
          <w:rFonts w:ascii="IRNazanin" w:hAnsi="IRNazanin" w:eastAsia="IRNazanin" w:cs="IRNazanin"/>
          <w:lang w:bidi="fa-IR"/>
          <w:color w:val="111111"/>
          <w:sz w:val="28"/>
          <w:szCs w:val="28"/>
          <w:rtl/>
        </w:rPr>
        <w:t xml:space="preserve">به کوشش:</w:t>
      </w:r>
    </w:p>
    <w:p>
      <w:pPr>
        <w:pStyle w:val="BookText"/>
      </w:pPr>
      <w:r>
        <w:rPr>
          <w:rFonts w:ascii="IRNazanin" w:hAnsi="IRNazanin" w:eastAsia="IRNazanin" w:cs="IRNazanin"/>
          <w:lang w:bidi="fa-IR"/>
          <w:color w:val="111111"/>
          <w:sz w:val="28"/>
          <w:szCs w:val="28"/>
          <w:rtl/>
        </w:rPr>
        <w:t xml:space="preserve">مصطفی درایتی</w:t>
      </w:r>
    </w:p>
    <w:p>
      <w:pPr>
        <w:pStyle w:val="BookText"/>
      </w:pPr>
      <w:r>
        <w:rPr>
          <w:rFonts w:ascii="IRNazanin" w:hAnsi="IRNazanin" w:eastAsia="IRNazanin" w:cs="IRNazanin"/>
          <w:lang w:bidi="fa-IR"/>
          <w:color w:val="111111"/>
          <w:sz w:val="28"/>
          <w:szCs w:val="28"/>
          <w:rtl/>
        </w:rPr>
        <w:t xml:space="preserve">نسخه شناسی/1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سازمان اسناد و کتابخانه ملی</w:t>
      </w:r>
    </w:p>
    <w:p>
      <w:pPr>
        <w:pStyle w:val="BookText"/>
      </w:pPr>
      <w:r>
        <w:rPr>
          <w:rFonts w:ascii="IRNazanin" w:hAnsi="IRNazanin" w:eastAsia="IRNazanin" w:cs="IRNazanin"/>
          <w:lang w:bidi="fa-IR"/>
          <w:color w:val="111111"/>
          <w:sz w:val="28"/>
          <w:szCs w:val="28"/>
          <w:rtl/>
        </w:rPr>
        <w:t xml:space="preserve">جمهوری اسلامی ایران</w:t>
      </w:r>
    </w:p>
    <w:p>
      <w:pPr>
        <w:pStyle w:val="BookText"/>
      </w:pPr>
      <w:r>
        <w:rPr>
          <w:rFonts w:ascii="IRNazanin" w:hAnsi="IRNazanin" w:eastAsia="IRNazanin" w:cs="IRNazanin"/>
          <w:lang w:bidi="fa-IR"/>
          <w:color w:val="111111"/>
          <w:sz w:val="28"/>
          <w:szCs w:val="28"/>
          <w:rtl/>
        </w:rPr>
        <w:t xml:space="preserve">فهرستگان نسخه های خطی ایران (فنخا)</w:t>
      </w:r>
    </w:p>
    <w:p>
      <w:pPr>
        <w:pStyle w:val="BookText"/>
      </w:pPr>
      <w:r>
        <w:rPr>
          <w:rFonts w:ascii="IRNazanin" w:hAnsi="IRNazanin" w:eastAsia="IRNazanin" w:cs="IRNazanin"/>
          <w:lang w:bidi="fa-IR"/>
          <w:color w:val="111111"/>
          <w:sz w:val="28"/>
          <w:szCs w:val="28"/>
          <w:rtl/>
        </w:rPr>
        <w:t xml:space="preserve">مولف: مصطفی درایتی | </w:t>
      </w:r>
      <w:r>
        <w:rPr>
          <w:rFonts w:ascii="Times New Roman" w:hAnsi="Times New Roman" w:eastAsia="Times New Roman" w:cs="Times New Roman"/>
          <w:lang w:val="en-US" w:bidi="en-US"/>
          <w:color w:val="111111"/>
          <w:sz w:val="28"/>
          <w:szCs w:val="28"/>
          <w:rtl/>
        </w:rPr>
        <w:t xml:space="preserve">Derayatimostafa@yahoo.com</w:t>
      </w:r>
    </w:p>
    <w:p>
      <w:pPr>
        <w:pStyle w:val="BookText"/>
      </w:pPr>
      <w:r>
        <w:rPr>
          <w:rFonts w:ascii="IRNazanin" w:hAnsi="IRNazanin" w:eastAsia="IRNazanin" w:cs="IRNazanin"/>
          <w:lang w:bidi="fa-IR"/>
          <w:color w:val="111111"/>
          <w:sz w:val="28"/>
          <w:szCs w:val="28"/>
          <w:rtl/>
        </w:rPr>
        <w:t xml:space="preserve">ویراستار: دکتر مجتبی درایتی</w:t>
      </w:r>
    </w:p>
    <w:p>
      <w:pPr>
        <w:pStyle w:val="BookText"/>
      </w:pPr>
      <w:r>
        <w:rPr>
          <w:rFonts w:ascii="IRNazanin" w:hAnsi="IRNazanin" w:eastAsia="IRNazanin" w:cs="IRNazanin"/>
          <w:lang w:bidi="fa-IR"/>
          <w:color w:val="111111"/>
          <w:sz w:val="28"/>
          <w:szCs w:val="28"/>
          <w:rtl/>
        </w:rPr>
        <w:t xml:space="preserve">چاپ اول: ۱۳۹۱</w:t>
      </w:r>
    </w:p>
    <w:p>
      <w:pPr>
        <w:pStyle w:val="BookText"/>
      </w:pPr>
      <w:r>
        <w:rPr>
          <w:rFonts w:ascii="IRNazanin" w:hAnsi="IRNazanin" w:eastAsia="IRNazanin" w:cs="IRNazanin"/>
          <w:lang w:bidi="fa-IR"/>
          <w:color w:val="111111"/>
          <w:sz w:val="28"/>
          <w:szCs w:val="28"/>
          <w:rtl/>
        </w:rPr>
        <w:t xml:space="preserve">ناشر: سازمان اسناد و کتابخانه ملی جمهوری اسلامی ایران</w:t>
      </w:r>
    </w:p>
    <w:p>
      <w:pPr>
        <w:pStyle w:val="BookText"/>
      </w:pPr>
      <w:r>
        <w:rPr>
          <w:rFonts w:ascii="IRNazanin" w:hAnsi="IRNazanin" w:eastAsia="IRNazanin" w:cs="IRNazanin"/>
          <w:lang w:bidi="fa-IR"/>
          <w:color w:val="111111"/>
          <w:sz w:val="28"/>
          <w:szCs w:val="28"/>
          <w:rtl/>
        </w:rPr>
        <w:t xml:space="preserve">شمارگان: ۱۰۰۰ نسخه</w:t>
      </w:r>
    </w:p>
    <w:p>
      <w:pPr>
        <w:pStyle w:val="BookText"/>
      </w:pPr>
      <w:r>
        <w:rPr>
          <w:rFonts w:ascii="IRNazanin" w:hAnsi="IRNazanin" w:eastAsia="IRNazanin" w:cs="IRNazanin"/>
          <w:lang w:bidi="fa-IR"/>
          <w:color w:val="111111"/>
          <w:sz w:val="28"/>
          <w:szCs w:val="28"/>
          <w:rtl/>
        </w:rPr>
        <w:t xml:space="preserve">مدیریت هماهنگی: عباسعلی علیزاده یزدی</w:t>
      </w:r>
    </w:p>
    <w:p>
      <w:pPr>
        <w:pStyle w:val="BookText"/>
      </w:pPr>
      <w:r>
        <w:rPr>
          <w:rFonts w:ascii="IRNazanin" w:hAnsi="IRNazanin" w:eastAsia="IRNazanin" w:cs="IRNazanin"/>
          <w:lang w:bidi="fa-IR"/>
          <w:color w:val="111111"/>
          <w:sz w:val="28"/>
          <w:szCs w:val="28"/>
          <w:rtl/>
        </w:rPr>
        <w:t xml:space="preserve">مدیریت فنی و کامپیوتر :مهندس امین رشیدی، مهندس محبوبه درایتی</w:t>
      </w:r>
    </w:p>
    <w:p>
      <w:pPr>
        <w:pStyle w:val="BookText"/>
      </w:pPr>
      <w:r>
        <w:rPr>
          <w:rFonts w:ascii="IRNazanin" w:hAnsi="IRNazanin" w:eastAsia="IRNazanin" w:cs="IRNazanin"/>
          <w:lang w:bidi="fa-IR"/>
          <w:color w:val="111111"/>
          <w:sz w:val="28"/>
          <w:szCs w:val="28"/>
          <w:rtl/>
        </w:rPr>
        <w:t xml:space="preserve">آماده سازی اطلاعات: علی علیزاده یزدی، حسین متدین طوسی</w:t>
      </w:r>
    </w:p>
    <w:p>
      <w:pPr>
        <w:pStyle w:val="BookText"/>
      </w:pPr>
      <w:r>
        <w:rPr>
          <w:rFonts w:ascii="IRNazanin" w:hAnsi="IRNazanin" w:eastAsia="IRNazanin" w:cs="IRNazanin"/>
          <w:lang w:bidi="fa-IR"/>
          <w:color w:val="111111"/>
          <w:sz w:val="28"/>
          <w:szCs w:val="28"/>
          <w:rtl/>
        </w:rPr>
        <w:t xml:space="preserve">تقی چیت ساز یزدی، ابراهیم ملکی، عباسعلی علیزاده یزدی</w:t>
      </w:r>
    </w:p>
    <w:p>
      <w:pPr>
        <w:pStyle w:val="BookText"/>
      </w:pPr>
      <w:r>
        <w:rPr>
          <w:rFonts w:ascii="IRNazanin" w:hAnsi="IRNazanin" w:eastAsia="IRNazanin" w:cs="IRNazanin"/>
          <w:lang w:bidi="fa-IR"/>
          <w:color w:val="111111"/>
          <w:sz w:val="28"/>
          <w:szCs w:val="28"/>
          <w:rtl/>
        </w:rPr>
        <w:t xml:space="preserve">تایپ و تصحیح:طاهره موسوی فر، سمیرا عابد پور، ملیحه فولادی، ملیحه اسلامی</w:t>
      </w:r>
    </w:p>
    <w:p>
      <w:pPr>
        <w:pStyle w:val="BookText"/>
      </w:pPr>
      <w:r>
        <w:rPr>
          <w:rFonts w:ascii="IRNazanin" w:hAnsi="IRNazanin" w:eastAsia="IRNazanin" w:cs="IRNazanin"/>
          <w:lang w:bidi="fa-IR"/>
          <w:color w:val="111111"/>
          <w:sz w:val="28"/>
          <w:szCs w:val="28"/>
          <w:rtl/>
        </w:rPr>
        <w:t xml:space="preserve">طرح روی جلد: برگرفته از جلد نسخه خطی کلیات سعدی دوره صفوی</w:t>
      </w:r>
    </w:p>
    <w:p>
      <w:pPr>
        <w:pStyle w:val="BookText"/>
      </w:pPr>
      <w:r>
        <w:rPr>
          <w:rFonts w:ascii="IRNazanin" w:hAnsi="IRNazanin" w:eastAsia="IRNazanin" w:cs="IRNazanin"/>
          <w:lang w:bidi="fa-IR"/>
          <w:color w:val="111111"/>
          <w:sz w:val="28"/>
          <w:szCs w:val="28"/>
          <w:rtl/>
        </w:rPr>
        <w:t xml:space="preserve">با شماره ثبت ۱۹۱۶۵ کتابخانه ملی</w:t>
      </w:r>
    </w:p>
    <w:p>
      <w:pPr>
        <w:pStyle w:val="BookText"/>
      </w:pPr>
      <w:r>
        <w:rPr>
          <w:rFonts w:ascii="IRNazanin" w:hAnsi="IRNazanin" w:eastAsia="IRNazanin" w:cs="IRNazanin"/>
          <w:lang w:bidi="fa-IR"/>
          <w:color w:val="111111"/>
          <w:sz w:val="28"/>
          <w:szCs w:val="28"/>
          <w:rtl/>
        </w:rPr>
        <w:t xml:space="preserve">خوشنویسی روی جلد:مهدی فلاح</w:t>
      </w:r>
    </w:p>
    <w:p>
      <w:pPr>
        <w:pStyle w:val="BookText"/>
      </w:pPr>
      <w:r>
        <w:rPr>
          <w:rFonts w:ascii="IRNazanin" w:hAnsi="IRNazanin" w:eastAsia="IRNazanin" w:cs="IRNazanin"/>
          <w:lang w:bidi="fa-IR"/>
          <w:color w:val="111111"/>
          <w:sz w:val="28"/>
          <w:szCs w:val="28"/>
          <w:rtl/>
        </w:rPr>
        <w:t xml:space="preserve">صفحه آرایی: مهندس محبوبه درایتی</w:t>
      </w:r>
    </w:p>
    <w:p>
      <w:pPr>
        <w:pStyle w:val="BookText"/>
      </w:pPr>
      <w:r>
        <w:rPr>
          <w:rFonts w:ascii="IRNazanin" w:hAnsi="IRNazanin" w:eastAsia="IRNazanin" w:cs="IRNazanin"/>
          <w:lang w:bidi="fa-IR"/>
          <w:color w:val="111111"/>
          <w:sz w:val="28"/>
          <w:szCs w:val="28"/>
          <w:rtl/>
        </w:rPr>
        <w:t xml:space="preserve">ناظر چاپ: نصرت ا... امیر آبادی</w:t>
      </w:r>
    </w:p>
    <w:p>
      <w:pPr>
        <w:pStyle w:val="BookText"/>
      </w:pPr>
      <w:r>
        <w:rPr>
          <w:rFonts w:ascii="IRNazanin" w:hAnsi="IRNazanin" w:eastAsia="IRNazanin" w:cs="IRNazanin"/>
          <w:lang w:bidi="fa-IR"/>
          <w:color w:val="111111"/>
          <w:sz w:val="28"/>
          <w:szCs w:val="28"/>
          <w:rtl/>
        </w:rPr>
        <w:t xml:space="preserve">چاپ و صحافی: قلم قم</w:t>
      </w:r>
    </w:p>
    <w:p>
      <w:pPr>
        <w:pStyle w:val="BookText"/>
      </w:pPr>
      <w:r>
        <w:rPr>
          <w:rFonts w:ascii="IRNazanin" w:hAnsi="IRNazanin" w:eastAsia="IRNazanin" w:cs="IRNazanin"/>
          <w:lang w:bidi="fa-IR"/>
          <w:color w:val="111111"/>
          <w:sz w:val="28"/>
          <w:szCs w:val="28"/>
          <w:rtl/>
        </w:rPr>
        <w:t xml:space="preserve">نشانی: تهران بزرگراه شهید حقانی (غرب به شرق)،</w:t>
      </w:r>
    </w:p>
    <w:p>
      <w:pPr>
        <w:pStyle w:val="BookText"/>
      </w:pPr>
      <w:r>
        <w:rPr>
          <w:rFonts w:ascii="IRNazanin" w:hAnsi="IRNazanin" w:eastAsia="IRNazanin" w:cs="IRNazanin"/>
          <w:lang w:bidi="fa-IR"/>
          <w:color w:val="111111"/>
          <w:sz w:val="28"/>
          <w:szCs w:val="28"/>
          <w:rtl/>
        </w:rPr>
        <w:t xml:space="preserve">بعد از ایستگاه مترو، بلوار کتابخانه ملی</w:t>
      </w:r>
    </w:p>
    <w:p>
      <w:pPr>
        <w:pStyle w:val="BookText"/>
      </w:pPr>
      <w:r>
        <w:rPr>
          <w:rFonts w:ascii="IRNazanin" w:hAnsi="IRNazanin" w:eastAsia="IRNazanin" w:cs="IRNazanin"/>
          <w:lang w:bidi="fa-IR"/>
          <w:color w:val="111111"/>
          <w:sz w:val="28"/>
          <w:szCs w:val="28"/>
          <w:rtl/>
        </w:rPr>
        <w:t xml:space="preserve">تلفن فروشگاه: ۸۱۶۲۳۳۱۸- ۸۱۶۲۳۳۱۵-۸۸۹۴۱۹۴۶ دورنگار: ۸۸۹۴۷۴۹۶</w:t>
      </w:r>
    </w:p>
    <w:p>
      <w:pPr>
        <w:pStyle w:val="BookText"/>
      </w:pPr>
      <w:r>
        <w:rPr>
          <w:rFonts w:ascii="IRNazanin" w:hAnsi="IRNazanin" w:eastAsia="IRNazanin" w:cs="IRNazanin"/>
          <w:lang w:bidi="fa-IR"/>
          <w:color w:val="111111"/>
          <w:sz w:val="28"/>
          <w:szCs w:val="28"/>
          <w:rtl/>
        </w:rPr>
        <w:t xml:space="preserve">وب گاه : </w:t>
      </w:r>
      <w:r>
        <w:rPr>
          <w:rFonts w:ascii="Times New Roman" w:hAnsi="Times New Roman" w:eastAsia="Times New Roman" w:cs="Times New Roman"/>
          <w:lang w:val="en-US" w:bidi="en-US"/>
          <w:color w:val="111111"/>
          <w:sz w:val="28"/>
          <w:szCs w:val="28"/>
          <w:rtl/>
        </w:rPr>
        <w:t xml:space="preserve">www.nlai.ir | </w:t>
      </w:r>
      <w:r>
        <w:rPr>
          <w:rFonts w:ascii="IRNazanin" w:hAnsi="IRNazanin" w:eastAsia="IRNazanin" w:cs="IRNazanin"/>
          <w:lang w:bidi="fa-IR"/>
          <w:color w:val="111111"/>
          <w:sz w:val="28"/>
          <w:szCs w:val="28"/>
          <w:rtl/>
        </w:rPr>
        <w:t xml:space="preserve">پست الکترونیک انتشارات:</w:t>
      </w:r>
    </w:p>
    <w:p>
      <w:pPr>
        <w:pStyle w:val="BookText"/>
      </w:pPr>
      <w:r>
        <w:rPr>
          <w:rFonts w:ascii="Times New Roman" w:hAnsi="Times New Roman" w:eastAsia="Times New Roman" w:cs="Times New Roman"/>
          <w:lang w:val="en-US" w:bidi="en-US"/>
          <w:color w:val="111111"/>
          <w:sz w:val="28"/>
          <w:szCs w:val="28"/>
          <w:rtl/>
        </w:rPr>
        <w:t xml:space="preserve">Publication@nlai.ir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مرکزالوثائق والمكتبة الوطنية في</w:t>
      </w:r>
    </w:p>
    <w:p>
      <w:pPr>
        <w:pStyle w:val="BookText"/>
      </w:pPr>
      <w:r>
        <w:rPr>
          <w:rFonts w:ascii="Amiri" w:hAnsi="Amiri" w:eastAsia="Amiri" w:cs="Amiri"/>
          <w:lang w:bidi="ar-SA"/>
          <w:color w:val="111111"/>
          <w:sz w:val="28"/>
          <w:szCs w:val="28"/>
          <w:rtl/>
        </w:rPr>
        <w:t xml:space="preserve">الجمهورية الاسلامية الايرانية</w:t>
      </w:r>
    </w:p>
    <w:p>
      <w:pPr>
        <w:pStyle w:val="BookText"/>
      </w:pPr>
      <w:r>
        <w:rPr>
          <w:rFonts w:ascii="IRNazanin" w:hAnsi="IRNazanin" w:eastAsia="IRNazanin" w:cs="IRNazanin"/>
          <w:lang w:bidi="fa-IR"/>
          <w:color w:val="111111"/>
          <w:sz w:val="28"/>
          <w:szCs w:val="28"/>
          <w:rtl/>
        </w:rPr>
        <w:t xml:space="preserve">الفهرس الموحد</w:t>
      </w:r>
    </w:p>
    <w:p>
      <w:pPr>
        <w:pStyle w:val="BookText"/>
      </w:pPr>
      <w:r>
        <w:rPr>
          <w:rFonts w:ascii="Amiri" w:hAnsi="Amiri" w:eastAsia="Amiri" w:cs="Amiri"/>
          <w:lang w:bidi="ar-SA"/>
          <w:color w:val="111111"/>
          <w:sz w:val="28"/>
          <w:szCs w:val="28"/>
          <w:rtl/>
        </w:rPr>
        <w:t xml:space="preserve">للمخطوطات الايرانية</w:t>
      </w:r>
    </w:p>
    <w:p>
      <w:pPr>
        <w:pStyle w:val="BookText"/>
      </w:pPr>
      <w:r>
        <w:rPr>
          <w:rFonts w:ascii="IRNazanin" w:hAnsi="IRNazanin" w:eastAsia="IRNazanin" w:cs="IRNazanin"/>
          <w:lang w:bidi="fa-IR"/>
          <w:color w:val="111111"/>
          <w:sz w:val="28"/>
          <w:szCs w:val="28"/>
          <w:rtl/>
        </w:rPr>
        <w:t xml:space="preserve">المجلد السادس</w:t>
      </w:r>
    </w:p>
    <w:p>
      <w:pPr>
        <w:pStyle w:val="BookText"/>
      </w:pPr>
      <w:r>
        <w:rPr>
          <w:rFonts w:ascii="Amiri" w:hAnsi="Amiri" w:eastAsia="Amiri" w:cs="Amiri"/>
          <w:lang w:bidi="ar-SA"/>
          <w:color w:val="111111"/>
          <w:sz w:val="28"/>
          <w:szCs w:val="28"/>
          <w:rtl/>
        </w:rPr>
        <w:t xml:space="preserve">البشائر - تخبيس</w:t>
      </w:r>
    </w:p>
    <w:p>
      <w:pPr>
        <w:pStyle w:val="BookText"/>
      </w:pPr>
      <w:r>
        <w:rPr>
          <w:rFonts w:ascii="IRNazanin" w:hAnsi="IRNazanin" w:eastAsia="IRNazanin" w:cs="IRNazanin"/>
          <w:lang w:bidi="fa-IR"/>
          <w:color w:val="111111"/>
          <w:sz w:val="28"/>
          <w:szCs w:val="28"/>
          <w:rtl/>
        </w:rPr>
        <w:t xml:space="preserve">اعداد:</w:t>
      </w:r>
    </w:p>
    <w:p>
      <w:pPr>
        <w:pStyle w:val="BookText"/>
      </w:pPr>
      <w:r>
        <w:rPr>
          <w:rFonts w:ascii="IRNazanin" w:hAnsi="IRNazanin" w:eastAsia="IRNazanin" w:cs="IRNazanin"/>
          <w:lang w:bidi="fa-IR"/>
          <w:color w:val="111111"/>
          <w:sz w:val="28"/>
          <w:szCs w:val="28"/>
          <w:rtl/>
        </w:rPr>
        <w:t xml:space="preserve">مصطفی الدرایتی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1" w:name="pg20363_209134"/>
    <w:bookmarkEnd w:id="1"/>
    <w:p>
      <w:pPr>
        <w:pStyle w:val="Heading2"/>
      </w:pPr>
      <w:bookmarkStart w:id="743" w:name="_Toc3"/>
      <w:r>
        <w:t>رموز واختصارات</w:t>
      </w:r>
      <w:bookmarkEnd w:id="743"/>
    </w:p>
    <w:p>
      <w:pPr>
        <w:pStyle w:val="BookText"/>
      </w:pPr>
      <w:r>
        <w:rPr>
          <w:rFonts w:ascii="IRNazanin" w:hAnsi="IRNazanin" w:eastAsia="IRNazanin" w:cs="IRNazanin"/>
          <w:lang w:bidi="fa-IR"/>
          <w:color w:val="111111"/>
          <w:sz w:val="28"/>
          <w:szCs w:val="28"/>
          <w:rtl/>
        </w:rPr>
        <w:t xml:space="preserve">آتشی: مجموعه آقای سید علی آتشی در یزد</w:t>
      </w:r>
    </w:p>
    <w:p>
      <w:pPr>
        <w:pStyle w:val="BookText"/>
      </w:pPr>
      <w:r>
        <w:rPr>
          <w:rFonts w:ascii="IRNazanin" w:hAnsi="IRNazanin" w:eastAsia="IRNazanin" w:cs="IRNazanin"/>
          <w:lang w:bidi="fa-IR"/>
          <w:color w:val="111111"/>
          <w:sz w:val="28"/>
          <w:szCs w:val="28"/>
          <w:rtl/>
        </w:rPr>
        <w:t xml:space="preserve">آثار ملی: کتابخانه آثار ملی کاشان</w:t>
      </w:r>
    </w:p>
    <w:p>
      <w:pPr>
        <w:pStyle w:val="BookText"/>
      </w:pPr>
      <w:r>
        <w:rPr>
          <w:rFonts w:ascii="IRNazanin" w:hAnsi="IRNazanin" w:eastAsia="IRNazanin" w:cs="IRNazanin"/>
          <w:lang w:bidi="fa-IR"/>
          <w:color w:val="111111"/>
          <w:sz w:val="28"/>
          <w:szCs w:val="28"/>
          <w:rtl/>
        </w:rPr>
        <w:t xml:space="preserve">آغاز: برابر: آغاز برابر نمونه کتاب</w:t>
      </w:r>
    </w:p>
    <w:p>
      <w:pPr>
        <w:pStyle w:val="BookText"/>
      </w:pPr>
      <w:r>
        <w:rPr>
          <w:rFonts w:ascii="IRNazanin" w:hAnsi="IRNazanin" w:eastAsia="IRNazanin" w:cs="IRNazanin"/>
          <w:lang w:bidi="fa-IR"/>
          <w:color w:val="111111"/>
          <w:sz w:val="28"/>
          <w:szCs w:val="28"/>
          <w:rtl/>
        </w:rPr>
        <w:t xml:space="preserve">آغاز و انجام بر ابر: آغاز و انجام برابر نمونه کتاب</w:t>
      </w:r>
    </w:p>
    <w:p>
      <w:pPr>
        <w:pStyle w:val="BookText"/>
      </w:pPr>
      <w:r>
        <w:rPr>
          <w:rFonts w:ascii="IRNazanin" w:hAnsi="IRNazanin" w:eastAsia="IRNazanin" w:cs="IRNazanin"/>
          <w:lang w:bidi="fa-IR"/>
          <w:color w:val="111111"/>
          <w:sz w:val="28"/>
          <w:szCs w:val="28"/>
          <w:rtl/>
        </w:rPr>
        <w:t xml:space="preserve">احتمالا غير همانند: در مورد نسخه های فاقد مؤلف به کار رفته است که نام مشترک دارند و ما به احتمال آنها را متفاوت می دانیم .</w:t>
      </w:r>
    </w:p>
    <w:p>
      <w:pPr>
        <w:pStyle w:val="BookText"/>
      </w:pPr>
      <w:r>
        <w:rPr>
          <w:rFonts w:ascii="IRNazanin" w:hAnsi="IRNazanin" w:eastAsia="IRNazanin" w:cs="IRNazanin"/>
          <w:lang w:bidi="fa-IR"/>
          <w:color w:val="111111"/>
          <w:sz w:val="28"/>
          <w:szCs w:val="28"/>
          <w:rtl/>
        </w:rPr>
        <w:t xml:space="preserve">احتمالا همانند: در مورد نسخه های فاقد مؤلف به کار رفته که نام مشترک دارند ولی ما احتمال می دهیم برخی از آنها یک اثر است ولی مطمئن نیستیم.</w:t>
      </w:r>
    </w:p>
    <w:p>
      <w:pPr>
        <w:pStyle w:val="BookText"/>
      </w:pPr>
      <w:r>
        <w:rPr>
          <w:rFonts w:ascii="IRNazanin" w:hAnsi="IRNazanin" w:eastAsia="IRNazanin" w:cs="IRNazanin"/>
          <w:lang w:bidi="fa-IR"/>
          <w:color w:val="111111"/>
          <w:sz w:val="28"/>
          <w:szCs w:val="28"/>
          <w:rtl/>
        </w:rPr>
        <w:t xml:space="preserve">احتمالا بعضا همانند: در مورد نسخه هایی به کار رفته که نام مؤلف آنها معلوم نیست ولی نام مشترک دارند و تعدادی نسخه به این نام معرفی شده است و برخی از آنها احتمال می رود یک کتاب باشند ولی مطمئن نیستیم .</w:t>
      </w:r>
    </w:p>
    <w:p>
      <w:pPr>
        <w:pStyle w:val="BookText"/>
      </w:pPr>
      <w:r>
        <w:rPr>
          <w:rFonts w:ascii="IRNazanin" w:hAnsi="IRNazanin" w:eastAsia="IRNazanin" w:cs="IRNazanin"/>
          <w:lang w:bidi="fa-IR"/>
          <w:color w:val="111111"/>
          <w:sz w:val="28"/>
          <w:szCs w:val="28"/>
          <w:rtl/>
        </w:rPr>
        <w:t xml:space="preserve">ادبیات: با نام شهر تهران: کتابخانه دانشکده ادبیات دانشگاه تهران؛ با نام شهر مشهد: کتابخانه دانشکده ادبیات دانشگاه فردوسی مشهد؛ با نام شهر اصفهان: دانشکده ادبیات دانشگاه اصفهان.</w:t>
      </w:r>
    </w:p>
    <w:p>
      <w:pPr>
        <w:pStyle w:val="BookText"/>
      </w:pPr>
      <w:r>
        <w:rPr>
          <w:rFonts w:ascii="IRNazanin" w:hAnsi="IRNazanin" w:eastAsia="IRNazanin" w:cs="IRNazanin"/>
          <w:lang w:bidi="fa-IR"/>
          <w:color w:val="111111"/>
          <w:sz w:val="28"/>
          <w:szCs w:val="28"/>
          <w:rtl/>
        </w:rPr>
        <w:t xml:space="preserve">اصغرزاده: مجموعه اصغر زاده</w:t>
      </w:r>
    </w:p>
    <w:p>
      <w:pPr>
        <w:pStyle w:val="BookText"/>
      </w:pPr>
      <w:r>
        <w:rPr>
          <w:rFonts w:ascii="IRNazanin" w:hAnsi="IRNazanin" w:eastAsia="IRNazanin" w:cs="IRNazanin"/>
          <w:lang w:bidi="fa-IR"/>
          <w:color w:val="111111"/>
          <w:sz w:val="28"/>
          <w:szCs w:val="28"/>
          <w:rtl/>
        </w:rPr>
        <w:t xml:space="preserve">الفبائی: فهرست الفبائی نسخه های خطی کتابخانه آستان قدس رضوی .</w:t>
      </w:r>
    </w:p>
    <w:p>
      <w:pPr>
        <w:pStyle w:val="BookText"/>
      </w:pPr>
      <w:r>
        <w:rPr>
          <w:rFonts w:ascii="IRNazanin" w:hAnsi="IRNazanin" w:eastAsia="IRNazanin" w:cs="IRNazanin"/>
          <w:lang w:bidi="fa-IR"/>
          <w:color w:val="111111"/>
          <w:sz w:val="28"/>
          <w:szCs w:val="28"/>
          <w:rtl/>
        </w:rPr>
        <w:t xml:space="preserve">الهيات: با نام شهر تهران: کتابخانه دانشکده الهیات دانشگاه تهران ؛با نام شهر مشهد: دانشکده الهیات دانشگاه فردوسی مشهد.</w:t>
      </w:r>
    </w:p>
    <w:p>
      <w:pPr>
        <w:pStyle w:val="BookText"/>
      </w:pPr>
      <w:r>
        <w:rPr>
          <w:rFonts w:ascii="IRNazanin" w:hAnsi="IRNazanin" w:eastAsia="IRNazanin" w:cs="IRNazanin"/>
          <w:lang w:bidi="fa-IR"/>
          <w:color w:val="111111"/>
          <w:sz w:val="28"/>
          <w:szCs w:val="28"/>
          <w:rtl/>
        </w:rPr>
        <w:t xml:space="preserve">امام جمعه: کتابخانه امام جمعه زنجان</w:t>
      </w:r>
    </w:p>
    <w:p>
      <w:pPr>
        <w:pStyle w:val="BookText"/>
      </w:pPr>
      <w:r>
        <w:rPr>
          <w:rFonts w:ascii="IRNazanin" w:hAnsi="IRNazanin" w:eastAsia="IRNazanin" w:cs="IRNazanin"/>
          <w:lang w:bidi="fa-IR"/>
          <w:color w:val="111111"/>
          <w:sz w:val="28"/>
          <w:szCs w:val="28"/>
          <w:rtl/>
        </w:rPr>
        <w:t xml:space="preserve">امام صادق: مدرسه امام صادق چالوس و مدرسه امام صادق قزوین و کتابخانه مؤسسه امام صادق قم و کتابخانه حوزه علمیه امام صادق اردکان یزد. که هر کدام با قرینه نام شهر قبل از آن قابل تشخیص است.</w:t>
      </w:r>
    </w:p>
    <w:p>
      <w:pPr>
        <w:pStyle w:val="BookText"/>
      </w:pPr>
      <w:r>
        <w:rPr>
          <w:rFonts w:ascii="IRNazanin" w:hAnsi="IRNazanin" w:eastAsia="IRNazanin" w:cs="IRNazanin"/>
          <w:lang w:bidi="fa-IR"/>
          <w:color w:val="111111"/>
          <w:sz w:val="28"/>
          <w:szCs w:val="28"/>
          <w:rtl/>
        </w:rPr>
        <w:t xml:space="preserve">امام عصر: کتابخانه مدرسه امام عصر شیراز</w:t>
      </w:r>
    </w:p>
    <w:p>
      <w:pPr>
        <w:pStyle w:val="BookText"/>
      </w:pPr>
      <w:r>
        <w:rPr>
          <w:rFonts w:ascii="IRNazanin" w:hAnsi="IRNazanin" w:eastAsia="IRNazanin" w:cs="IRNazanin"/>
          <w:lang w:bidi="fa-IR"/>
          <w:color w:val="111111"/>
          <w:sz w:val="28"/>
          <w:szCs w:val="28"/>
          <w:rtl/>
        </w:rPr>
        <w:t xml:space="preserve">امام هادی: کتابخانه عمومی امام هادی در مشهد</w:t>
      </w:r>
    </w:p>
    <w:p>
      <w:pPr>
        <w:pStyle w:val="BookText"/>
      </w:pPr>
      <w:r>
        <w:rPr>
          <w:rFonts w:ascii="IRNazanin" w:hAnsi="IRNazanin" w:eastAsia="IRNazanin" w:cs="IRNazanin"/>
          <w:lang w:bidi="fa-IR"/>
          <w:color w:val="111111"/>
          <w:sz w:val="28"/>
          <w:szCs w:val="28"/>
          <w:rtl/>
        </w:rPr>
        <w:t xml:space="preserve">امیر کبیر: کتابخانه امیر کبیر در باغشاه فین</w:t>
      </w:r>
    </w:p>
    <w:p>
      <w:pPr>
        <w:pStyle w:val="BookText"/>
      </w:pPr>
      <w:r>
        <w:rPr>
          <w:rFonts w:ascii="IRNazanin" w:hAnsi="IRNazanin" w:eastAsia="IRNazanin" w:cs="IRNazanin"/>
          <w:lang w:bidi="fa-IR"/>
          <w:color w:val="111111"/>
          <w:sz w:val="28"/>
          <w:szCs w:val="28"/>
          <w:rtl/>
        </w:rPr>
        <w:t xml:space="preserve">امیر المؤمنین: کتابخانه امیر المؤمنین بشرویه</w:t>
      </w:r>
    </w:p>
    <w:p>
      <w:pPr>
        <w:pStyle w:val="BookText"/>
      </w:pPr>
      <w:r>
        <w:rPr>
          <w:rFonts w:ascii="IRNazanin" w:hAnsi="IRNazanin" w:eastAsia="IRNazanin" w:cs="IRNazanin"/>
          <w:lang w:bidi="fa-IR"/>
          <w:color w:val="111111"/>
          <w:sz w:val="28"/>
          <w:szCs w:val="28"/>
          <w:rtl/>
        </w:rPr>
        <w:t xml:space="preserve">انجام برابر: انجام برابر نمونه کتاب.</w:t>
      </w:r>
    </w:p>
    <w:p>
      <w:pPr>
        <w:pStyle w:val="BookText"/>
      </w:pPr>
      <w:r>
        <w:rPr>
          <w:rFonts w:ascii="IRNazanin" w:hAnsi="IRNazanin" w:eastAsia="IRNazanin" w:cs="IRNazanin"/>
          <w:lang w:bidi="fa-IR"/>
          <w:color w:val="111111"/>
          <w:sz w:val="28"/>
          <w:szCs w:val="28"/>
          <w:rtl/>
        </w:rPr>
        <w:t xml:space="preserve">اندازه: اندازه صفحه.</w:t>
      </w:r>
    </w:p>
    <w:p>
      <w:pPr>
        <w:pStyle w:val="BookText"/>
      </w:pPr>
      <w:r>
        <w:rPr>
          <w:rFonts w:ascii="IRNazanin" w:hAnsi="IRNazanin" w:eastAsia="IRNazanin" w:cs="IRNazanin"/>
          <w:lang w:bidi="fa-IR"/>
          <w:color w:val="111111"/>
          <w:sz w:val="28"/>
          <w:szCs w:val="28"/>
          <w:rtl/>
        </w:rPr>
        <w:t xml:space="preserve">اوراق عتیق: مجموعه ای به همین نام که به کوشش محمد حسین حکیم از طریق کتابخانه مجلس شورای اسلامی منتشر شده است.</w:t>
      </w:r>
    </w:p>
    <w:p>
      <w:pPr>
        <w:pStyle w:val="BookText"/>
      </w:pPr>
      <w:r>
        <w:rPr>
          <w:rFonts w:ascii="IRNazanin" w:hAnsi="IRNazanin" w:eastAsia="IRNazanin" w:cs="IRNazanin"/>
          <w:lang w:bidi="fa-IR"/>
          <w:color w:val="111111"/>
          <w:sz w:val="28"/>
          <w:szCs w:val="28"/>
          <w:rtl/>
        </w:rPr>
        <w:t xml:space="preserve">اهدائی ف: فهرست نسخه های خطی اهدائی رهبری به آستان قدس رضوی، تالیف رضا استادی</w:t>
      </w:r>
    </w:p>
    <w:p>
      <w:pPr>
        <w:pStyle w:val="BookText"/>
      </w:pPr>
      <w:r>
        <w:rPr>
          <w:rFonts w:ascii="IRNazanin" w:hAnsi="IRNazanin" w:eastAsia="IRNazanin" w:cs="IRNazanin"/>
          <w:lang w:bidi="fa-IR"/>
          <w:color w:val="111111"/>
          <w:sz w:val="28"/>
          <w:szCs w:val="28"/>
          <w:rtl/>
        </w:rPr>
        <w:t xml:space="preserve">اهدائی رهبر: مجموعه فهارس نسخه های خطی اهدائی رهبری به آستان قدس رضوی که چندین جلد آن منتشر شده است.</w:t>
      </w:r>
    </w:p>
    <w:p>
      <w:pPr>
        <w:pStyle w:val="BookText"/>
      </w:pPr>
      <w:r>
        <w:rPr>
          <w:rFonts w:ascii="IRNazanin" w:hAnsi="IRNazanin" w:eastAsia="IRNazanin" w:cs="IRNazanin"/>
          <w:lang w:bidi="fa-IR"/>
          <w:color w:val="111111"/>
          <w:sz w:val="28"/>
          <w:szCs w:val="28"/>
          <w:rtl/>
        </w:rPr>
        <w:t xml:space="preserve">بی تا: بدون تاریخ کتابت</w:t>
      </w:r>
    </w:p>
    <w:p>
      <w:pPr>
        <w:pStyle w:val="BookText"/>
      </w:pPr>
      <w:r>
        <w:rPr>
          <w:rFonts w:ascii="IRNazanin" w:hAnsi="IRNazanin" w:eastAsia="IRNazanin" w:cs="IRNazanin"/>
          <w:lang w:bidi="fa-IR"/>
          <w:color w:val="111111"/>
          <w:sz w:val="28"/>
          <w:szCs w:val="28"/>
          <w:rtl/>
        </w:rPr>
        <w:t xml:space="preserve">بی کا: بدون کاتب.</w:t>
      </w:r>
    </w:p>
    <w:p>
      <w:pPr>
        <w:pStyle w:val="BookText"/>
      </w:pPr>
      <w:r>
        <w:rPr>
          <w:rFonts w:ascii="IRNazanin" w:hAnsi="IRNazanin" w:eastAsia="IRNazanin" w:cs="IRNazanin"/>
          <w:lang w:bidi="fa-IR"/>
          <w:color w:val="111111"/>
          <w:sz w:val="28"/>
          <w:szCs w:val="28"/>
          <w:rtl/>
        </w:rPr>
        <w:t xml:space="preserve">پ: پشت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تاریخ کتابت.</w:t>
      </w:r>
    </w:p>
    <w:p>
      <w:pPr>
        <w:pStyle w:val="BookText"/>
      </w:pPr>
      <w:r>
        <w:rPr>
          <w:rFonts w:ascii="IRNazanin" w:hAnsi="IRNazanin" w:eastAsia="IRNazanin" w:cs="IRNazanin"/>
          <w:lang w:bidi="fa-IR"/>
          <w:color w:val="111111"/>
          <w:sz w:val="28"/>
          <w:szCs w:val="28"/>
          <w:rtl/>
        </w:rPr>
        <w:t xml:space="preserve">جا: محل کتابت</w:t>
      </w:r>
    </w:p>
    <w:p>
      <w:pPr>
        <w:pStyle w:val="BookText"/>
      </w:pPr>
      <w:r>
        <w:rPr>
          <w:rFonts w:ascii="IRNazanin" w:hAnsi="IRNazanin" w:eastAsia="IRNazanin" w:cs="IRNazanin"/>
          <w:lang w:bidi="fa-IR"/>
          <w:color w:val="111111"/>
          <w:sz w:val="28"/>
          <w:szCs w:val="28"/>
          <w:rtl/>
        </w:rPr>
        <w:t xml:space="preserve">چهل ستون: مدرسه چهل ستون تهران</w:t>
      </w:r>
    </w:p>
    <w:p>
      <w:pPr>
        <w:pStyle w:val="BookText"/>
      </w:pPr>
      <w:r>
        <w:rPr>
          <w:rFonts w:ascii="IRNazanin" w:hAnsi="IRNazanin" w:eastAsia="IRNazanin" w:cs="IRNazanin"/>
          <w:lang w:bidi="fa-IR"/>
          <w:color w:val="111111"/>
          <w:sz w:val="28"/>
          <w:szCs w:val="28"/>
          <w:rtl/>
        </w:rPr>
        <w:t xml:space="preserve">حجتیه:کتابخانه مدرسه حجتیه</w:t>
      </w:r>
    </w:p>
    <w:p>
      <w:pPr>
        <w:pStyle w:val="BookText"/>
      </w:pPr>
      <w:r>
        <w:rPr>
          <w:rFonts w:ascii="IRNazanin" w:hAnsi="IRNazanin" w:eastAsia="IRNazanin" w:cs="IRNazanin"/>
          <w:lang w:bidi="fa-IR"/>
          <w:color w:val="111111"/>
          <w:sz w:val="28"/>
          <w:szCs w:val="28"/>
          <w:rtl/>
        </w:rPr>
        <w:t xml:space="preserve">حججی: کتابخانه آیه الله حججی نجف آباد</w:t>
      </w:r>
    </w:p>
    <w:p>
      <w:pPr>
        <w:pStyle w:val="BookText"/>
      </w:pPr>
      <w:r>
        <w:rPr>
          <w:rFonts w:ascii="IRNazanin" w:hAnsi="IRNazanin" w:eastAsia="IRNazanin" w:cs="IRNazanin"/>
          <w:lang w:bidi="fa-IR"/>
          <w:color w:val="111111"/>
          <w:sz w:val="28"/>
          <w:szCs w:val="28"/>
          <w:rtl/>
        </w:rPr>
        <w:t xml:space="preserve">حقوق: دانشکده حقوق دانشگاه تهران</w:t>
      </w:r>
    </w:p>
    <w:p>
      <w:pPr>
        <w:pStyle w:val="BookText"/>
      </w:pPr>
      <w:r>
        <w:rPr>
          <w:rFonts w:ascii="IRNazanin" w:hAnsi="IRNazanin" w:eastAsia="IRNazanin" w:cs="IRNazanin"/>
          <w:lang w:bidi="fa-IR"/>
          <w:color w:val="111111"/>
          <w:sz w:val="28"/>
          <w:szCs w:val="28"/>
          <w:rtl/>
        </w:rPr>
        <w:t xml:space="preserve">حوزه علمیه: حوزه علميه آشتيان</w:t>
      </w:r>
    </w:p>
    <w:p>
      <w:pPr>
        <w:pStyle w:val="BookText"/>
      </w:pPr>
      <w:r>
        <w:rPr>
          <w:rFonts w:ascii="IRNazanin" w:hAnsi="IRNazanin" w:eastAsia="IRNazanin" w:cs="IRNazanin"/>
          <w:lang w:bidi="fa-IR"/>
          <w:color w:val="111111"/>
          <w:sz w:val="28"/>
          <w:szCs w:val="28"/>
          <w:rtl/>
        </w:rPr>
        <w:t xml:space="preserve">خاتم الانبیاء: کتابخانه مدرسه خاتم الانبیاء (صدر) بابل</w:t>
      </w:r>
    </w:p>
    <w:p>
      <w:pPr>
        <w:pStyle w:val="BookText"/>
      </w:pPr>
      <w:r>
        <w:rPr>
          <w:rFonts w:ascii="IRNazanin" w:hAnsi="IRNazanin" w:eastAsia="IRNazanin" w:cs="IRNazanin"/>
          <w:lang w:bidi="fa-IR"/>
          <w:color w:val="111111"/>
          <w:sz w:val="28"/>
          <w:szCs w:val="28"/>
          <w:rtl/>
        </w:rPr>
        <w:t xml:space="preserve">دائرة المعارف: کتابخانه مرکز دائره المعارف بزرگ سلامی</w:t>
      </w:r>
    </w:p>
    <w:p>
      <w:pPr>
        <w:pStyle w:val="BookText"/>
      </w:pPr>
      <w:r>
        <w:rPr>
          <w:rFonts w:ascii="IRNazanin" w:hAnsi="IRNazanin" w:eastAsia="IRNazanin" w:cs="IRNazanin"/>
          <w:lang w:bidi="fa-IR"/>
          <w:color w:val="111111"/>
          <w:sz w:val="28"/>
          <w:szCs w:val="28"/>
          <w:rtl/>
        </w:rPr>
        <w:t xml:space="preserve">دار الحدیث: کتابخانه مرکز دار الحدیث در قم</w:t>
      </w:r>
    </w:p>
    <w:p>
      <w:pPr>
        <w:pStyle w:val="BookText"/>
      </w:pPr>
      <w:r>
        <w:rPr>
          <w:rFonts w:ascii="IRNazanin" w:hAnsi="IRNazanin" w:eastAsia="IRNazanin" w:cs="IRNazanin"/>
          <w:lang w:bidi="fa-IR"/>
          <w:color w:val="111111"/>
          <w:sz w:val="28"/>
          <w:szCs w:val="28"/>
          <w:rtl/>
        </w:rPr>
        <w:t xml:space="preserve">دانشگاه: کتابخانه مرکزی دانشگاه تهران</w:t>
      </w:r>
    </w:p>
    <w:p>
      <w:pPr>
        <w:pStyle w:val="BookText"/>
      </w:pPr>
      <w:r>
        <w:rPr>
          <w:rFonts w:ascii="IRNazanin" w:hAnsi="IRNazanin" w:eastAsia="IRNazanin" w:cs="IRNazanin"/>
          <w:lang w:bidi="fa-IR"/>
          <w:color w:val="111111"/>
          <w:sz w:val="28"/>
          <w:szCs w:val="28"/>
          <w:rtl/>
        </w:rPr>
        <w:t xml:space="preserve">د.ث: به معنای دفتر ثبت کتابخانه مجلس شورای اسلامی است.</w:t>
      </w:r>
    </w:p>
    <w:p>
      <w:pPr>
        <w:pStyle w:val="BookText"/>
      </w:pPr>
      <w:r>
        <w:rPr>
          <w:rFonts w:ascii="IRNazanin" w:hAnsi="IRNazanin" w:eastAsia="IRNazanin" w:cs="IRNazanin"/>
          <w:lang w:bidi="fa-IR"/>
          <w:color w:val="111111"/>
          <w:sz w:val="28"/>
          <w:szCs w:val="28"/>
          <w:rtl/>
        </w:rPr>
        <w:t xml:space="preserve">دهگان: مجموعه ابراهیم دهگان اراک.</w:t>
      </w:r>
    </w:p>
    <w:p>
      <w:pPr>
        <w:pStyle w:val="BookText"/>
      </w:pPr>
      <w:r>
        <w:rPr>
          <w:rFonts w:ascii="IRNazanin" w:hAnsi="IRNazanin" w:eastAsia="IRNazanin" w:cs="IRNazanin"/>
          <w:lang w:bidi="fa-IR"/>
          <w:color w:val="111111"/>
          <w:sz w:val="28"/>
          <w:szCs w:val="28"/>
          <w:rtl/>
        </w:rPr>
        <w:t xml:space="preserve">دیانی: کتابخانه شيخ محمد علی دیانی بیرجند</w:t>
      </w:r>
    </w:p>
    <w:p>
      <w:pPr>
        <w:pStyle w:val="BookText"/>
      </w:pPr>
      <w:r>
        <w:rPr>
          <w:rFonts w:ascii="IRNazanin" w:hAnsi="IRNazanin" w:eastAsia="IRNazanin" w:cs="IRNazanin"/>
          <w:lang w:bidi="fa-IR"/>
          <w:color w:val="111111"/>
          <w:sz w:val="28"/>
          <w:szCs w:val="28"/>
          <w:rtl/>
        </w:rPr>
        <w:t xml:space="preserve">ذكاء، یحیی: مجموعه ذکاء يحيى</w:t>
      </w:r>
    </w:p>
    <w:p>
      <w:pPr>
        <w:pStyle w:val="BookText"/>
      </w:pPr>
      <w:r>
        <w:rPr>
          <w:rFonts w:ascii="IRNazanin" w:hAnsi="IRNazanin" w:eastAsia="IRNazanin" w:cs="IRNazanin"/>
          <w:lang w:bidi="fa-IR"/>
          <w:color w:val="111111"/>
          <w:sz w:val="28"/>
          <w:szCs w:val="28"/>
          <w:rtl/>
        </w:rPr>
        <w:t xml:space="preserve">ر:رو</w:t>
      </w:r>
    </w:p>
    <w:p>
      <w:pPr>
        <w:pStyle w:val="BookText"/>
      </w:pPr>
      <w:r>
        <w:rPr>
          <w:rFonts w:ascii="IRNazanin" w:hAnsi="IRNazanin" w:eastAsia="IRNazanin" w:cs="IRNazanin"/>
          <w:lang w:bidi="fa-IR"/>
          <w:color w:val="111111"/>
          <w:sz w:val="28"/>
          <w:szCs w:val="28"/>
          <w:rtl/>
        </w:rPr>
        <w:t xml:space="preserve">رایانه: رایانه کتابخانه ملی ایران و کتابخانه آستان قدس رضوی و در مواردی کتابخانه مسجد گوهرشاد. لازم به ذکر است که شماره بعد از آن در مورد کتابخانه ملی غیر قابل پیگیری است و منظور شماره صفحاتی است که متن پیاده شده فایل آن می باشد که در اختیار ماست و برای کنترل کار خود ما می باشد.</w:t>
      </w:r>
    </w:p>
    <w:p>
      <w:pPr>
        <w:pStyle w:val="BookText"/>
      </w:pPr>
      <w:r>
        <w:rPr>
          <w:rFonts w:ascii="IRNazanin" w:hAnsi="IRNazanin" w:eastAsia="IRNazanin" w:cs="IRNazanin"/>
          <w:lang w:bidi="fa-IR"/>
          <w:color w:val="111111"/>
          <w:sz w:val="28"/>
          <w:szCs w:val="28"/>
          <w:rtl/>
        </w:rPr>
        <w:t xml:space="preserve">رضوی:کتابخانه مرکزی آستان قدس رضوی</w:t>
      </w:r>
    </w:p>
    <w:p>
      <w:pPr>
        <w:pStyle w:val="BookText"/>
      </w:pPr>
      <w:r>
        <w:rPr>
          <w:rFonts w:ascii="IRNazanin" w:hAnsi="IRNazanin" w:eastAsia="IRNazanin" w:cs="IRNazanin"/>
          <w:lang w:bidi="fa-IR"/>
          <w:color w:val="111111"/>
          <w:sz w:val="28"/>
          <w:szCs w:val="28"/>
          <w:rtl/>
        </w:rPr>
        <w:t xml:space="preserve">روضاتی: مجموعه شخصی سید احمد روضاتی</w:t>
      </w:r>
    </w:p>
    <w:p>
      <w:pPr>
        <w:pStyle w:val="BookText"/>
      </w:pPr>
      <w:r>
        <w:rPr>
          <w:rFonts w:ascii="IRNazanin" w:hAnsi="IRNazanin" w:eastAsia="IRNazanin" w:cs="IRNazanin"/>
          <w:lang w:bidi="fa-IR"/>
          <w:color w:val="111111"/>
          <w:sz w:val="28"/>
          <w:szCs w:val="28"/>
          <w:rtl/>
        </w:rPr>
        <w:t xml:space="preserve">سپهسالار: کتابخانه مدرسه عالی شهید مطهری (سپهسالار)</w:t>
      </w:r>
    </w:p>
    <w:p>
      <w:pPr>
        <w:pStyle w:val="BookText"/>
      </w:pPr>
      <w:r>
        <w:rPr>
          <w:rFonts w:ascii="IRNazanin" w:hAnsi="IRNazanin" w:eastAsia="IRNazanin" w:cs="IRNazanin"/>
          <w:lang w:bidi="fa-IR"/>
          <w:color w:val="111111"/>
          <w:sz w:val="28"/>
          <w:szCs w:val="28"/>
          <w:rtl/>
        </w:rPr>
        <w:t xml:space="preserve">سریزدی: کتابخانه مسجد حظیره (سریزدی)</w:t>
      </w:r>
    </w:p>
    <w:p>
      <w:pPr>
        <w:pStyle w:val="BookText"/>
      </w:pPr>
      <w:r>
        <w:rPr>
          <w:rFonts w:ascii="IRNazanin" w:hAnsi="IRNazanin" w:eastAsia="IRNazanin" w:cs="IRNazanin"/>
          <w:lang w:bidi="fa-IR"/>
          <w:color w:val="111111"/>
          <w:sz w:val="28"/>
          <w:szCs w:val="28"/>
          <w:rtl/>
        </w:rPr>
        <w:t xml:space="preserve">سعید نفیسی: نسخه های خطی مرحوم سعید نفیسی</w:t>
      </w:r>
    </w:p>
    <w:p>
      <w:pPr>
        <w:pStyle w:val="BookText"/>
      </w:pPr>
      <w:r>
        <w:rPr>
          <w:rFonts w:ascii="IRNazanin" w:hAnsi="IRNazanin" w:eastAsia="IRNazanin" w:cs="IRNazanin"/>
          <w:lang w:bidi="fa-IR"/>
          <w:color w:val="111111"/>
          <w:sz w:val="28"/>
          <w:szCs w:val="28"/>
          <w:rtl/>
        </w:rPr>
        <w:t xml:space="preserve">سم: سانتیمتر</w:t>
      </w:r>
    </w:p>
    <w:p>
      <w:pPr>
        <w:pStyle w:val="BookText"/>
      </w:pPr>
      <w:r>
        <w:rPr>
          <w:rFonts w:ascii="IRNazanin" w:hAnsi="IRNazanin" w:eastAsia="IRNazanin" w:cs="IRNazanin"/>
          <w:lang w:bidi="fa-IR"/>
          <w:color w:val="111111"/>
          <w:sz w:val="28"/>
          <w:szCs w:val="28"/>
          <w:rtl/>
        </w:rPr>
        <w:t xml:space="preserve">سناف: فهرست نسخه های خطی کتابخانه مجلس سنا(که مجموعه آن به کتابخانه مجلس شورای اسلامی منتقل شده است.</w:t>
      </w:r>
    </w:p>
    <w:p>
      <w:pPr>
        <w:pStyle w:val="BookText"/>
      </w:pPr>
      <w:r>
        <w:rPr>
          <w:rFonts w:ascii="IRNazanin" w:hAnsi="IRNazanin" w:eastAsia="IRNazanin" w:cs="IRNazanin"/>
          <w:lang w:bidi="fa-IR"/>
          <w:color w:val="111111"/>
          <w:sz w:val="28"/>
          <w:szCs w:val="28"/>
          <w:rtl/>
        </w:rPr>
        <w:t xml:space="preserve">سلطنتی: کتابخانه کاخ گلستان (سلطنتی)</w:t>
      </w:r>
    </w:p>
    <w:p>
      <w:pPr>
        <w:pStyle w:val="BookText"/>
      </w:pPr>
      <w:r>
        <w:rPr>
          <w:rFonts w:ascii="IRNazanin" w:hAnsi="IRNazanin" w:eastAsia="IRNazanin" w:cs="IRNazanin"/>
          <w:lang w:bidi="fa-IR"/>
          <w:color w:val="111111"/>
          <w:sz w:val="28"/>
          <w:szCs w:val="28"/>
          <w:rtl/>
        </w:rPr>
        <w:t xml:space="preserve">شاهچراغ: کتابخانه آستانه حضرت شاهچراغ شیراز</w:t>
      </w:r>
    </w:p>
    <w:p>
      <w:pPr>
        <w:pStyle w:val="BookText"/>
      </w:pPr>
      <w:r>
        <w:rPr>
          <w:rFonts w:ascii="IRNazanin" w:hAnsi="IRNazanin" w:eastAsia="IRNazanin" w:cs="IRNazanin"/>
          <w:lang w:bidi="fa-IR"/>
          <w:color w:val="111111"/>
          <w:sz w:val="28"/>
          <w:szCs w:val="28"/>
          <w:rtl/>
        </w:rPr>
        <w:t xml:space="preserve">شیخ علی حیدر: مکتبه شیخ علی حیدر (مؤید)، این مجموعه شخصی که ظاهرا هنگام جنگ کویت توسط صاحب آن از کویت به ایران منتقل شده بود ابتدا در قم نگهداری می شد و بعد دچار مشکلاتی شد و معلوم نبود در چه محلی نگهداری می شود. آخرین اطلاع این است که این مجموعه به شهر مشهد و به آستان قدس رضوی انتقال یافته است و ضمن مجموعه اهدائی رهبری نگهداری می شود.</w:t>
      </w:r>
    </w:p>
    <w:p>
      <w:pPr>
        <w:pStyle w:val="BookText"/>
      </w:pPr>
      <w:r>
        <w:rPr>
          <w:rFonts w:ascii="IRNazanin" w:hAnsi="IRNazanin" w:eastAsia="IRNazanin" w:cs="IRNazanin"/>
          <w:lang w:bidi="fa-IR"/>
          <w:color w:val="111111"/>
          <w:sz w:val="28"/>
          <w:szCs w:val="28"/>
          <w:rtl/>
        </w:rPr>
        <w:t xml:space="preserve">ص: صفحه</w:t>
      </w:r>
    </w:p>
    <w:p>
      <w:pPr>
        <w:pStyle w:val="BookText"/>
      </w:pPr>
      <w:r>
        <w:rPr>
          <w:rFonts w:ascii="IRNazanin" w:hAnsi="IRNazanin" w:eastAsia="IRNazanin" w:cs="IRNazanin"/>
          <w:lang w:bidi="fa-IR"/>
          <w:color w:val="111111"/>
          <w:sz w:val="28"/>
          <w:szCs w:val="28"/>
          <w:rtl/>
        </w:rPr>
        <w:t xml:space="preserve">صادقیه: کتابخانه مدرسه فتحعلی بیگی (صادقیه) دامغان</w:t>
      </w:r>
    </w:p>
    <w:p>
      <w:pPr>
        <w:pStyle w:val="BookText"/>
      </w:pPr>
      <w:r>
        <w:rPr>
          <w:rFonts w:ascii="IRNazanin" w:hAnsi="IRNazanin" w:eastAsia="IRNazanin" w:cs="IRNazanin"/>
          <w:lang w:bidi="fa-IR"/>
          <w:color w:val="111111"/>
          <w:sz w:val="28"/>
          <w:szCs w:val="28"/>
          <w:rtl/>
        </w:rPr>
        <w:t xml:space="preserve">طبسی: کتابخانه طبسی حائری در قم</w:t>
      </w:r>
    </w:p>
    <w:p>
      <w:pPr>
        <w:pStyle w:val="BookText"/>
      </w:pPr>
      <w:r>
        <w:rPr>
          <w:rFonts w:ascii="IRNazanin" w:hAnsi="IRNazanin" w:eastAsia="IRNazanin" w:cs="IRNazanin"/>
          <w:lang w:bidi="fa-IR"/>
          <w:color w:val="111111"/>
          <w:sz w:val="28"/>
          <w:szCs w:val="28"/>
          <w:rtl/>
        </w:rPr>
        <w:t xml:space="preserve">عبدالعظیم: آستان مقدس حضرت عبدالعظیم در شهر ری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عکسی: این تعبیر دردو جا به کار رفته است: یکی در کنار شماره برخی از نسخه ها که به معنای آن است که نسخه ،عکسی است و باید برای یافتن نسخه در کتابخانه معرفی شده، به عکسی بودن توجه شود؛ و دوم در معرفی مأخذ است که منظور فهرست عکسی آن کتابخانه می باشد.</w:t>
      </w:r>
    </w:p>
    <w:p>
      <w:pPr>
        <w:pStyle w:val="BookText"/>
      </w:pPr>
      <w:r>
        <w:rPr>
          <w:rFonts w:ascii="IRNazanin" w:hAnsi="IRNazanin" w:eastAsia="IRNazanin" w:cs="IRNazanin"/>
          <w:lang w:bidi="fa-IR"/>
          <w:color w:val="111111"/>
          <w:sz w:val="28"/>
          <w:szCs w:val="28"/>
          <w:rtl/>
        </w:rPr>
        <w:t xml:space="preserve">علامه طباطبائی: کتابخانه علامه طباطبائی شیراز که نام شیراز در قبل از آن آمده است.</w:t>
      </w:r>
    </w:p>
    <w:p>
      <w:pPr>
        <w:pStyle w:val="BookText"/>
      </w:pPr>
      <w:r>
        <w:rPr>
          <w:rFonts w:ascii="IRNazanin" w:hAnsi="IRNazanin" w:eastAsia="IRNazanin" w:cs="IRNazanin"/>
          <w:lang w:bidi="fa-IR"/>
          <w:color w:val="111111"/>
          <w:sz w:val="28"/>
          <w:szCs w:val="28"/>
          <w:rtl/>
        </w:rPr>
        <w:t xml:space="preserve">علامه طباطبائی: مکتبه علامه طباطبائی قم که نام شهر قم در قبل از آن آمده است.</w:t>
      </w:r>
    </w:p>
    <w:p>
      <w:pPr>
        <w:pStyle w:val="BookText"/>
      </w:pPr>
      <w:r>
        <w:rPr>
          <w:rFonts w:ascii="IRNazanin" w:hAnsi="IRNazanin" w:eastAsia="IRNazanin" w:cs="IRNazanin"/>
          <w:lang w:bidi="fa-IR"/>
          <w:color w:val="111111"/>
          <w:sz w:val="28"/>
          <w:szCs w:val="28"/>
          <w:rtl/>
        </w:rPr>
        <w:t xml:space="preserve">علوم پزشکی: کتابخانه دانشگاه علوم پزشکی تهران</w:t>
      </w:r>
    </w:p>
    <w:p>
      <w:pPr>
        <w:pStyle w:val="BookText"/>
      </w:pPr>
      <w:r>
        <w:rPr>
          <w:rFonts w:ascii="IRNazanin" w:hAnsi="IRNazanin" w:eastAsia="IRNazanin" w:cs="IRNazanin"/>
          <w:lang w:bidi="fa-IR"/>
          <w:color w:val="111111"/>
          <w:sz w:val="28"/>
          <w:szCs w:val="28"/>
          <w:rtl/>
        </w:rPr>
        <w:t xml:space="preserve">عمومی ساری: کتابخانه عمومی ساری</w:t>
      </w:r>
    </w:p>
    <w:p>
      <w:pPr>
        <w:pStyle w:val="BookText"/>
      </w:pPr>
      <w:r>
        <w:rPr>
          <w:rFonts w:ascii="IRNazanin" w:hAnsi="IRNazanin" w:eastAsia="IRNazanin" w:cs="IRNazanin"/>
          <w:lang w:bidi="fa-IR"/>
          <w:color w:val="111111"/>
          <w:sz w:val="28"/>
          <w:szCs w:val="28"/>
          <w:rtl/>
        </w:rPr>
        <w:t xml:space="preserve">عمومی: با کلمه قبل سمنان: کتابخانه عمومی سمنان</w:t>
      </w:r>
    </w:p>
    <w:p>
      <w:pPr>
        <w:pStyle w:val="BookText"/>
      </w:pPr>
      <w:r>
        <w:rPr>
          <w:rFonts w:ascii="IRNazanin" w:hAnsi="IRNazanin" w:eastAsia="IRNazanin" w:cs="IRNazanin"/>
          <w:lang w:bidi="fa-IR"/>
          <w:color w:val="111111"/>
          <w:sz w:val="28"/>
          <w:szCs w:val="28"/>
          <w:rtl/>
        </w:rPr>
        <w:t xml:space="preserve">عمومی: با کلمه قبل مراغه: کتابخانه عمومی مراغه</w:t>
      </w:r>
    </w:p>
    <w:p>
      <w:pPr>
        <w:pStyle w:val="BookText"/>
      </w:pPr>
      <w:r>
        <w:rPr>
          <w:rFonts w:ascii="IRNazanin" w:hAnsi="IRNazanin" w:eastAsia="IRNazanin" w:cs="IRNazanin"/>
          <w:lang w:bidi="fa-IR"/>
          <w:color w:val="111111"/>
          <w:sz w:val="28"/>
          <w:szCs w:val="28"/>
          <w:rtl/>
        </w:rPr>
        <w:t xml:space="preserve">غير همانند: در مورد نسخه هایی که نام آنها یکی است ولی نسخه ها متفاوت است و به دلیل صرفه جویی و جلوگیری از تکرار، نام مکرر آنها حذف شده است.</w:t>
      </w:r>
    </w:p>
    <w:p>
      <w:pPr>
        <w:pStyle w:val="BookText"/>
      </w:pPr>
      <w:r>
        <w:rPr>
          <w:rFonts w:ascii="IRNazanin" w:hAnsi="IRNazanin" w:eastAsia="IRNazanin" w:cs="IRNazanin"/>
          <w:lang w:bidi="fa-IR"/>
          <w:color w:val="111111"/>
          <w:sz w:val="28"/>
          <w:szCs w:val="28"/>
          <w:rtl/>
        </w:rPr>
        <w:t xml:space="preserve">ف: این رمز در مورد مأخذ به کار رفته است و هنگامی که برای یک کتابخانه فهرستی به نام همان کتابخانه به صورت مستقل منتشر شده باشد، نام مأخذ آن با رمز« ف» به معنای فهرست، به کار رفته است و اگر نام مأخذ با نام کتابخانه متفاوت باشد، نام مأخذ ذکر شده است.</w:t>
      </w:r>
    </w:p>
    <w:p>
      <w:pPr>
        <w:pStyle w:val="BookText"/>
      </w:pPr>
      <w:r>
        <w:rPr>
          <w:rFonts w:ascii="IRNazanin" w:hAnsi="IRNazanin" w:eastAsia="IRNazanin" w:cs="IRNazanin"/>
          <w:lang w:bidi="fa-IR"/>
          <w:color w:val="111111"/>
          <w:sz w:val="28"/>
          <w:szCs w:val="28"/>
          <w:rtl/>
        </w:rPr>
        <w:t xml:space="preserve">فاضل: کتابخانه آیه الله فاضل خوانساری</w:t>
      </w:r>
    </w:p>
    <w:p>
      <w:pPr>
        <w:pStyle w:val="BookText"/>
      </w:pPr>
      <w:r>
        <w:rPr>
          <w:rFonts w:ascii="IRNazanin" w:hAnsi="IRNazanin" w:eastAsia="IRNazanin" w:cs="IRNazanin"/>
          <w:lang w:bidi="fa-IR"/>
          <w:color w:val="111111"/>
          <w:sz w:val="28"/>
          <w:szCs w:val="28"/>
          <w:rtl/>
        </w:rPr>
        <w:t xml:space="preserve">فاضل قائینی: کتابخانه فاضل قائینی قم</w:t>
      </w:r>
    </w:p>
    <w:p>
      <w:pPr>
        <w:pStyle w:val="BookText"/>
      </w:pPr>
      <w:r>
        <w:rPr>
          <w:rFonts w:ascii="IRNazanin" w:hAnsi="IRNazanin" w:eastAsia="IRNazanin" w:cs="IRNazanin"/>
          <w:lang w:bidi="fa-IR"/>
          <w:color w:val="111111"/>
          <w:sz w:val="28"/>
          <w:szCs w:val="28"/>
          <w:rtl/>
        </w:rPr>
        <w:t xml:space="preserve">فرهاد معتمد: مجموعه فرهاد معتمد</w:t>
      </w:r>
    </w:p>
    <w:p>
      <w:pPr>
        <w:pStyle w:val="BookText"/>
      </w:pPr>
      <w:r>
        <w:rPr>
          <w:rFonts w:ascii="IRNazanin" w:hAnsi="IRNazanin" w:eastAsia="IRNazanin" w:cs="IRNazanin"/>
          <w:lang w:bidi="fa-IR"/>
          <w:color w:val="111111"/>
          <w:sz w:val="28"/>
          <w:szCs w:val="28"/>
          <w:rtl/>
        </w:rPr>
        <w:t xml:space="preserve">فرهنگ و هنر: کتابخانه فرهنگ و هنر مشهد</w:t>
      </w:r>
    </w:p>
    <w:p>
      <w:pPr>
        <w:pStyle w:val="BookText"/>
      </w:pPr>
      <w:r>
        <w:rPr>
          <w:rFonts w:ascii="IRNazanin" w:hAnsi="IRNazanin" w:eastAsia="IRNazanin" w:cs="IRNazanin"/>
          <w:lang w:bidi="fa-IR"/>
          <w:color w:val="111111"/>
          <w:sz w:val="28"/>
          <w:szCs w:val="28"/>
          <w:rtl/>
        </w:rPr>
        <w:t xml:space="preserve">فرهنگ و ارشاد: کتابخانه فرهنگ و ارشاد اسلامی کاشان</w:t>
      </w:r>
    </w:p>
    <w:p>
      <w:pPr>
        <w:pStyle w:val="BookText"/>
      </w:pPr>
      <w:r>
        <w:rPr>
          <w:rFonts w:ascii="IRNazanin" w:hAnsi="IRNazanin" w:eastAsia="IRNazanin" w:cs="IRNazanin"/>
          <w:lang w:bidi="fa-IR"/>
          <w:color w:val="111111"/>
          <w:sz w:val="28"/>
          <w:szCs w:val="28"/>
          <w:rtl/>
        </w:rPr>
        <w:t xml:space="preserve">فیاض: مجموعه دکتر علی اکبر فیاض</w:t>
      </w:r>
    </w:p>
    <w:p>
      <w:pPr>
        <w:pStyle w:val="BookText"/>
      </w:pPr>
      <w:r>
        <w:rPr>
          <w:rFonts w:ascii="IRNazanin" w:hAnsi="IRNazanin" w:eastAsia="IRNazanin" w:cs="IRNazanin"/>
          <w:lang w:bidi="fa-IR"/>
          <w:color w:val="111111"/>
          <w:sz w:val="28"/>
          <w:szCs w:val="28"/>
          <w:rtl/>
        </w:rPr>
        <w:t xml:space="preserve">فیضیه: کتابخانه مدرسه فیضیه قم</w:t>
      </w:r>
    </w:p>
    <w:p>
      <w:pPr>
        <w:pStyle w:val="BookText"/>
      </w:pPr>
      <w:r>
        <w:rPr>
          <w:rFonts w:ascii="IRNazanin" w:hAnsi="IRNazanin" w:eastAsia="IRNazanin" w:cs="IRNazanin"/>
          <w:lang w:bidi="fa-IR"/>
          <w:color w:val="111111"/>
          <w:sz w:val="28"/>
          <w:szCs w:val="28"/>
          <w:rtl/>
        </w:rPr>
        <w:t xml:space="preserve">فیلمها: فهرست فیلم های کتابخانه مرکزی دانشگاه تهران</w:t>
      </w:r>
    </w:p>
    <w:p>
      <w:pPr>
        <w:pStyle w:val="BookText"/>
      </w:pPr>
      <w:r>
        <w:rPr>
          <w:rFonts w:ascii="IRNazanin" w:hAnsi="IRNazanin" w:eastAsia="IRNazanin" w:cs="IRNazanin"/>
          <w:lang w:bidi="fa-IR"/>
          <w:color w:val="111111"/>
          <w:sz w:val="28"/>
          <w:szCs w:val="28"/>
          <w:rtl/>
        </w:rPr>
        <w:t xml:space="preserve">قاضی طباطبائی: مجموعه محمد علی قاضی طباطبائی تبریز</w:t>
      </w:r>
    </w:p>
    <w:p>
      <w:pPr>
        <w:pStyle w:val="BookText"/>
      </w:pPr>
      <w:r>
        <w:rPr>
          <w:rFonts w:ascii="IRNazanin" w:hAnsi="IRNazanin" w:eastAsia="IRNazanin" w:cs="IRNazanin"/>
          <w:lang w:bidi="fa-IR"/>
          <w:color w:val="111111"/>
          <w:sz w:val="28"/>
          <w:szCs w:val="28"/>
          <w:rtl/>
        </w:rPr>
        <w:t xml:space="preserve">قمربنی هاشم: کتابخانه قمر بنی هاشم دامغان</w:t>
      </w:r>
    </w:p>
    <w:p>
      <w:pPr>
        <w:pStyle w:val="BookText"/>
      </w:pPr>
      <w:r>
        <w:rPr>
          <w:rFonts w:ascii="Amiri" w:hAnsi="Amiri" w:eastAsia="Amiri" w:cs="Amiri"/>
          <w:lang w:bidi="ar-SA"/>
          <w:color w:val="111111"/>
          <w:sz w:val="28"/>
          <w:szCs w:val="28"/>
          <w:rtl/>
        </w:rPr>
        <w:t xml:space="preserve">كا: كاتب</w:t>
      </w:r>
    </w:p>
    <w:p>
      <w:pPr>
        <w:pStyle w:val="BookText"/>
      </w:pPr>
      <w:r>
        <w:rPr>
          <w:rFonts w:ascii="Amiri" w:hAnsi="Amiri" w:eastAsia="Amiri" w:cs="Amiri"/>
          <w:lang w:bidi="ar-SA"/>
          <w:color w:val="111111"/>
          <w:sz w:val="28"/>
          <w:szCs w:val="28"/>
          <w:rtl/>
        </w:rPr>
        <w:t xml:space="preserve">كاتب - مؤلف: نسخه به خط مؤلف است.</w:t>
      </w:r>
    </w:p>
    <w:p>
      <w:pPr>
        <w:pStyle w:val="BookText"/>
      </w:pPr>
      <w:r>
        <w:rPr>
          <w:rFonts w:ascii="IRNazanin" w:hAnsi="IRNazanin" w:eastAsia="IRNazanin" w:cs="IRNazanin"/>
          <w:lang w:bidi="fa-IR"/>
          <w:color w:val="111111"/>
          <w:sz w:val="28"/>
          <w:szCs w:val="28"/>
          <w:rtl/>
        </w:rPr>
        <w:t xml:space="preserve">کاظمینی: کتابخانه میرزا محمد کاظمینی</w:t>
      </w:r>
    </w:p>
    <w:p>
      <w:pPr>
        <w:pStyle w:val="BookText"/>
      </w:pPr>
      <w:r>
        <w:rPr>
          <w:rFonts w:ascii="IRNazanin" w:hAnsi="IRNazanin" w:eastAsia="IRNazanin" w:cs="IRNazanin"/>
          <w:lang w:bidi="fa-IR"/>
          <w:color w:val="111111"/>
          <w:sz w:val="28"/>
          <w:szCs w:val="28"/>
          <w:rtl/>
        </w:rPr>
        <w:t xml:space="preserve">گ: برگ.</w:t>
      </w:r>
    </w:p>
    <w:p>
      <w:pPr>
        <w:pStyle w:val="BookText"/>
      </w:pPr>
      <w:r>
        <w:rPr>
          <w:rFonts w:ascii="IRNazanin" w:hAnsi="IRNazanin" w:eastAsia="IRNazanin" w:cs="IRNazanin"/>
          <w:lang w:bidi="fa-IR"/>
          <w:color w:val="111111"/>
          <w:sz w:val="28"/>
          <w:szCs w:val="28"/>
          <w:rtl/>
        </w:rPr>
        <w:t xml:space="preserve">گلپایگانی: کتابخانه عمومی حضرت آیة الله العظمی گلپایگانی .</w:t>
      </w:r>
    </w:p>
    <w:p>
      <w:pPr>
        <w:pStyle w:val="BookText"/>
      </w:pPr>
      <w:r>
        <w:rPr>
          <w:rFonts w:ascii="IRNazanin" w:hAnsi="IRNazanin" w:eastAsia="IRNazanin" w:cs="IRNazanin"/>
          <w:lang w:bidi="fa-IR"/>
          <w:color w:val="111111"/>
          <w:sz w:val="28"/>
          <w:szCs w:val="28"/>
          <w:rtl/>
        </w:rPr>
        <w:t xml:space="preserve">گوهرشاد: کتابخانه مسجد جامع گوهرشاد.</w:t>
      </w:r>
    </w:p>
    <w:p>
      <w:pPr>
        <w:pStyle w:val="BookText"/>
      </w:pPr>
      <w:r>
        <w:rPr>
          <w:rFonts w:ascii="IRNazanin" w:hAnsi="IRNazanin" w:eastAsia="IRNazanin" w:cs="IRNazanin"/>
          <w:lang w:bidi="fa-IR"/>
          <w:color w:val="111111"/>
          <w:sz w:val="28"/>
          <w:szCs w:val="28"/>
          <w:rtl/>
        </w:rPr>
        <w:t xml:space="preserve">مجلس: کتابخانه، موزه و مرکز اسناد مجلس شورای اسلامی</w:t>
      </w:r>
    </w:p>
    <w:p>
      <w:pPr>
        <w:pStyle w:val="BookText"/>
      </w:pPr>
      <w:r>
        <w:rPr>
          <w:rFonts w:ascii="IRNazanin" w:hAnsi="IRNazanin" w:eastAsia="IRNazanin" w:cs="IRNazanin"/>
          <w:lang w:bidi="fa-IR"/>
          <w:color w:val="111111"/>
          <w:sz w:val="28"/>
          <w:szCs w:val="28"/>
          <w:rtl/>
        </w:rPr>
        <w:t xml:space="preserve">محدث ارموی مخ: فهرست مجموعه نسخه های خطی محدث ارموی، مخطوط</w:t>
      </w:r>
    </w:p>
    <w:p>
      <w:pPr>
        <w:pStyle w:val="BookText"/>
      </w:pPr>
      <w:r>
        <w:rPr>
          <w:rFonts w:ascii="IRNazanin" w:hAnsi="IRNazanin" w:eastAsia="IRNazanin" w:cs="IRNazanin"/>
          <w:lang w:bidi="fa-IR"/>
          <w:color w:val="111111"/>
          <w:sz w:val="28"/>
          <w:szCs w:val="28"/>
          <w:rtl/>
        </w:rPr>
        <w:t xml:space="preserve">محمد هلال: کتابخانه امامزاده محمد هلال آران کاشان، مخطوط.</w:t>
      </w:r>
    </w:p>
    <w:p>
      <w:pPr>
        <w:pStyle w:val="BookText"/>
      </w:pPr>
      <w:r>
        <w:rPr>
          <w:rFonts w:ascii="IRNazanin" w:hAnsi="IRNazanin" w:eastAsia="IRNazanin" w:cs="IRNazanin"/>
          <w:lang w:bidi="fa-IR"/>
          <w:color w:val="111111"/>
          <w:sz w:val="28"/>
          <w:szCs w:val="28"/>
          <w:rtl/>
        </w:rPr>
        <w:t xml:space="preserve">مختصر ف: فهرست مختصر نسخه های خطی مجلس شورای اسلامی که در سال ۱۳۸۷ منتشر شده است.</w:t>
      </w:r>
    </w:p>
    <w:p>
      <w:pPr>
        <w:pStyle w:val="BookText"/>
      </w:pPr>
      <w:r>
        <w:rPr>
          <w:rFonts w:ascii="IRNazanin" w:hAnsi="IRNazanin" w:eastAsia="IRNazanin" w:cs="IRNazanin"/>
          <w:lang w:bidi="fa-IR"/>
          <w:color w:val="111111"/>
          <w:sz w:val="28"/>
          <w:szCs w:val="28"/>
          <w:rtl/>
        </w:rPr>
        <w:t xml:space="preserve">مخ: به معنای مخطوط بودن فهرست می باشد.</w:t>
      </w:r>
    </w:p>
    <w:p>
      <w:pPr>
        <w:pStyle w:val="BookText"/>
      </w:pPr>
      <w:r>
        <w:rPr>
          <w:rFonts w:ascii="IRNazanin" w:hAnsi="IRNazanin" w:eastAsia="IRNazanin" w:cs="IRNazanin"/>
          <w:lang w:bidi="fa-IR"/>
          <w:color w:val="111111"/>
          <w:sz w:val="28"/>
          <w:szCs w:val="28"/>
          <w:rtl/>
        </w:rPr>
        <w:t xml:space="preserve">مدارک فرهنگی: سازمان مدارک فرهنگی انقلاب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مدرسه غرب: کتابخانه مدرسه غرب همدان</w:t>
      </w:r>
    </w:p>
    <w:p>
      <w:pPr>
        <w:pStyle w:val="BookText"/>
      </w:pPr>
      <w:r>
        <w:rPr>
          <w:rFonts w:ascii="IRNazanin" w:hAnsi="IRNazanin" w:eastAsia="IRNazanin" w:cs="IRNazanin"/>
          <w:lang w:bidi="fa-IR"/>
          <w:color w:val="111111"/>
          <w:sz w:val="28"/>
          <w:szCs w:val="28"/>
          <w:rtl/>
        </w:rPr>
        <w:t xml:space="preserve">مدرسی: کتابخانه سید محمد مدرسی در یزد</w:t>
      </w:r>
    </w:p>
    <w:p>
      <w:pPr>
        <w:pStyle w:val="BookText"/>
      </w:pPr>
      <w:r>
        <w:rPr>
          <w:rFonts w:ascii="IRNazanin" w:hAnsi="IRNazanin" w:eastAsia="IRNazanin" w:cs="IRNazanin"/>
          <w:lang w:bidi="fa-IR"/>
          <w:color w:val="111111"/>
          <w:sz w:val="28"/>
          <w:szCs w:val="28"/>
          <w:rtl/>
        </w:rPr>
        <w:t xml:space="preserve">مرعشی: کتابخانه عمومی آیة الله العظمی مرعشی نجفی</w:t>
      </w:r>
    </w:p>
    <w:p>
      <w:pPr>
        <w:pStyle w:val="BookText"/>
      </w:pPr>
      <w:r>
        <w:rPr>
          <w:rFonts w:ascii="IRNazanin" w:hAnsi="IRNazanin" w:eastAsia="IRNazanin" w:cs="IRNazanin"/>
          <w:lang w:bidi="fa-IR"/>
          <w:color w:val="111111"/>
          <w:sz w:val="28"/>
          <w:szCs w:val="28"/>
          <w:rtl/>
        </w:rPr>
        <w:t xml:space="preserve">مرکز احیاء: مرکز احیاء میراث اسلامی، قم.</w:t>
      </w:r>
    </w:p>
    <w:p>
      <w:pPr>
        <w:pStyle w:val="BookText"/>
      </w:pPr>
      <w:r>
        <w:rPr>
          <w:rFonts w:ascii="IRNazanin" w:hAnsi="IRNazanin" w:eastAsia="IRNazanin" w:cs="IRNazanin"/>
          <w:lang w:bidi="fa-IR"/>
          <w:color w:val="111111"/>
          <w:sz w:val="28"/>
          <w:szCs w:val="28"/>
          <w:rtl/>
        </w:rPr>
        <w:t xml:space="preserve">مرکز مطالعات: کتابخانه پژوهشگاه علوم و تحقیقات اسلامی قم.</w:t>
      </w:r>
    </w:p>
    <w:p>
      <w:pPr>
        <w:pStyle w:val="BookText"/>
      </w:pPr>
      <w:r>
        <w:rPr>
          <w:rFonts w:ascii="IRNazanin" w:hAnsi="IRNazanin" w:eastAsia="IRNazanin" w:cs="IRNazanin"/>
          <w:lang w:bidi="fa-IR"/>
          <w:color w:val="111111"/>
          <w:sz w:val="28"/>
          <w:szCs w:val="28"/>
          <w:rtl/>
        </w:rPr>
        <w:t xml:space="preserve">مروی: کتابخانه مدرسه مروی تهران</w:t>
      </w:r>
    </w:p>
    <w:p>
      <w:pPr>
        <w:pStyle w:val="BookText"/>
      </w:pPr>
      <w:r>
        <w:rPr>
          <w:rFonts w:ascii="IRNazanin" w:hAnsi="IRNazanin" w:eastAsia="IRNazanin" w:cs="IRNazanin"/>
          <w:lang w:bidi="fa-IR"/>
          <w:color w:val="111111"/>
          <w:sz w:val="28"/>
          <w:szCs w:val="28"/>
          <w:rtl/>
        </w:rPr>
        <w:t xml:space="preserve">مسجد اعظم: کتابخانه مسجد اعظم قم</w:t>
      </w:r>
    </w:p>
    <w:p>
      <w:pPr>
        <w:pStyle w:val="BookText"/>
      </w:pPr>
      <w:r>
        <w:rPr>
          <w:rFonts w:ascii="IRNazanin" w:hAnsi="IRNazanin" w:eastAsia="IRNazanin" w:cs="IRNazanin"/>
          <w:lang w:bidi="fa-IR"/>
          <w:color w:val="111111"/>
          <w:sz w:val="28"/>
          <w:szCs w:val="28"/>
          <w:rtl/>
        </w:rPr>
        <w:t xml:space="preserve">مطالعات فرهنگی: کتابخانه (پژوهشگاه) مؤسسه مطالعات و تحقیقات فرهنگی</w:t>
      </w:r>
    </w:p>
    <w:p>
      <w:pPr>
        <w:pStyle w:val="BookText"/>
      </w:pPr>
      <w:r>
        <w:rPr>
          <w:rFonts w:ascii="IRNazanin" w:hAnsi="IRNazanin" w:eastAsia="IRNazanin" w:cs="IRNazanin"/>
          <w:lang w:bidi="fa-IR"/>
          <w:color w:val="111111"/>
          <w:sz w:val="28"/>
          <w:szCs w:val="28"/>
          <w:rtl/>
        </w:rPr>
        <w:t xml:space="preserve">معصومیه: آستان مقدسه حضرت معصومه علیها سلام</w:t>
      </w:r>
    </w:p>
    <w:p>
      <w:pPr>
        <w:pStyle w:val="BookText"/>
      </w:pPr>
      <w:r>
        <w:rPr>
          <w:rFonts w:ascii="IRNazanin" w:hAnsi="IRNazanin" w:eastAsia="IRNazanin" w:cs="IRNazanin"/>
          <w:lang w:bidi="fa-IR"/>
          <w:color w:val="111111"/>
          <w:sz w:val="28"/>
          <w:szCs w:val="28"/>
          <w:rtl/>
        </w:rPr>
        <w:t xml:space="preserve">مفتاح: مجموعه محمد حسین مفتاح</w:t>
      </w:r>
    </w:p>
    <w:p>
      <w:pPr>
        <w:pStyle w:val="BookText"/>
      </w:pPr>
      <w:r>
        <w:rPr>
          <w:rFonts w:ascii="IRNazanin" w:hAnsi="IRNazanin" w:eastAsia="IRNazanin" w:cs="IRNazanin"/>
          <w:lang w:bidi="fa-IR"/>
          <w:color w:val="111111"/>
          <w:sz w:val="28"/>
          <w:szCs w:val="28"/>
          <w:rtl/>
        </w:rPr>
        <w:t xml:space="preserve">ملک: کتابخانه ملک</w:t>
      </w:r>
    </w:p>
    <w:p>
      <w:pPr>
        <w:pStyle w:val="BookText"/>
      </w:pPr>
      <w:r>
        <w:rPr>
          <w:rFonts w:ascii="IRNazanin" w:hAnsi="IRNazanin" w:eastAsia="IRNazanin" w:cs="IRNazanin"/>
          <w:lang w:bidi="fa-IR"/>
          <w:color w:val="111111"/>
          <w:sz w:val="28"/>
          <w:szCs w:val="28"/>
          <w:rtl/>
        </w:rPr>
        <w:t xml:space="preserve">ملی: با نام قبلی تهران: کتابخانه ملی ایران؛ با نام قبلی شیراز: کتابخانه ملی شیراز؛ با نام قبلی تبریز: کتابخانه ملی تبریز.</w:t>
      </w:r>
    </w:p>
    <w:p>
      <w:pPr>
        <w:pStyle w:val="BookText"/>
      </w:pPr>
      <w:r>
        <w:rPr>
          <w:rFonts w:ascii="IRNazanin" w:hAnsi="IRNazanin" w:eastAsia="IRNazanin" w:cs="IRNazanin"/>
          <w:lang w:bidi="fa-IR"/>
          <w:color w:val="111111"/>
          <w:sz w:val="28"/>
          <w:szCs w:val="28"/>
          <w:rtl/>
        </w:rPr>
        <w:t xml:space="preserve">مهدوی: مجموعه دکتر اصغر مهدوی</w:t>
      </w:r>
    </w:p>
    <w:p>
      <w:pPr>
        <w:pStyle w:val="BookText"/>
      </w:pPr>
      <w:r>
        <w:rPr>
          <w:rFonts w:ascii="IRNazanin" w:hAnsi="IRNazanin" w:eastAsia="IRNazanin" w:cs="IRNazanin"/>
          <w:lang w:bidi="fa-IR"/>
          <w:color w:val="111111"/>
          <w:sz w:val="28"/>
          <w:szCs w:val="28"/>
          <w:rtl/>
        </w:rPr>
        <w:t xml:space="preserve">موزه ملی: کتابخانه موزه ملی ایران ( موزه ایران باستان)</w:t>
      </w:r>
    </w:p>
    <w:p>
      <w:pPr>
        <w:pStyle w:val="BookText"/>
      </w:pPr>
      <w:r>
        <w:rPr>
          <w:rFonts w:ascii="IRNazanin" w:hAnsi="IRNazanin" w:eastAsia="IRNazanin" w:cs="IRNazanin"/>
          <w:lang w:bidi="fa-IR"/>
          <w:color w:val="111111"/>
          <w:sz w:val="28"/>
          <w:szCs w:val="28"/>
          <w:rtl/>
        </w:rPr>
        <w:t xml:space="preserve">مؤسسه آیه الله بروجردی: مؤسسه حضرت آیه الله العظمی بروجردی.</w:t>
      </w:r>
    </w:p>
    <w:p>
      <w:pPr>
        <w:pStyle w:val="BookText"/>
      </w:pPr>
      <w:r>
        <w:rPr>
          <w:rFonts w:ascii="IRNazanin" w:hAnsi="IRNazanin" w:eastAsia="IRNazanin" w:cs="IRNazanin"/>
          <w:lang w:bidi="fa-IR"/>
          <w:color w:val="111111"/>
          <w:sz w:val="28"/>
          <w:szCs w:val="28"/>
          <w:rtl/>
        </w:rPr>
        <w:t xml:space="preserve">مولوی :عبد المجید مولوی (قسمتی از این مجموعه به کتابخانه دانشکده الهیات دانشگاه فردسی مشهد منتقل شده است.)</w:t>
      </w:r>
    </w:p>
    <w:p>
      <w:pPr>
        <w:pStyle w:val="BookText"/>
      </w:pPr>
      <w:r>
        <w:rPr>
          <w:rFonts w:ascii="IRNazanin" w:hAnsi="IRNazanin" w:eastAsia="IRNazanin" w:cs="IRNazanin"/>
          <w:lang w:bidi="fa-IR"/>
          <w:color w:val="111111"/>
          <w:sz w:val="28"/>
          <w:szCs w:val="28"/>
          <w:rtl/>
        </w:rPr>
        <w:t xml:space="preserve">مینوی: مجتبی مینوی</w:t>
      </w:r>
    </w:p>
    <w:p>
      <w:pPr>
        <w:pStyle w:val="BookText"/>
      </w:pPr>
      <w:r>
        <w:rPr>
          <w:rFonts w:ascii="IRNazanin" w:hAnsi="IRNazanin" w:eastAsia="IRNazanin" w:cs="IRNazanin"/>
          <w:lang w:bidi="fa-IR"/>
          <w:color w:val="111111"/>
          <w:sz w:val="28"/>
          <w:szCs w:val="28"/>
          <w:rtl/>
        </w:rPr>
        <w:t xml:space="preserve">نجومی: مجموعه سید مرتضی نجومی</w:t>
      </w:r>
    </w:p>
    <w:p>
      <w:pPr>
        <w:pStyle w:val="BookText"/>
      </w:pPr>
      <w:r>
        <w:rPr>
          <w:rFonts w:ascii="IRNazanin" w:hAnsi="IRNazanin" w:eastAsia="IRNazanin" w:cs="IRNazanin"/>
          <w:lang w:bidi="fa-IR"/>
          <w:color w:val="111111"/>
          <w:sz w:val="28"/>
          <w:szCs w:val="28"/>
          <w:rtl/>
        </w:rPr>
        <w:t xml:space="preserve">نسخه پژوهی: مجموعه ای با همین عنوان که چند شماره از آن از طرف کتابخانه مجلس شورای اسلامی و به کوشش ابوالفضل حافظیان منتشر شده است.</w:t>
      </w:r>
    </w:p>
    <w:p>
      <w:pPr>
        <w:pStyle w:val="BookText"/>
      </w:pPr>
      <w:r>
        <w:rPr>
          <w:rFonts w:ascii="IRNazanin" w:hAnsi="IRNazanin" w:eastAsia="IRNazanin" w:cs="IRNazanin"/>
          <w:lang w:bidi="fa-IR"/>
          <w:color w:val="111111"/>
          <w:sz w:val="28"/>
          <w:szCs w:val="28"/>
          <w:rtl/>
        </w:rPr>
        <w:t xml:space="preserve">نشریه: نشریه کتابخانه مرکزی دانشگاه تهران</w:t>
      </w:r>
    </w:p>
    <w:p>
      <w:pPr>
        <w:pStyle w:val="BookText"/>
      </w:pPr>
      <w:r>
        <w:rPr>
          <w:rFonts w:ascii="IRNazanin" w:hAnsi="IRNazanin" w:eastAsia="IRNazanin" w:cs="IRNazanin"/>
          <w:lang w:bidi="fa-IR"/>
          <w:color w:val="111111"/>
          <w:sz w:val="28"/>
          <w:szCs w:val="28"/>
          <w:rtl/>
        </w:rPr>
        <w:t xml:space="preserve">نک: این علامت به معنای «نگاه کنید» می باشد و در موارد ارجاع به کار رفته است . ارجاع دو گونه است: گاهی عنوان ارجاع داده شده کلا در جای دیگری که راهنمائی شده، ثبت شده است و گاهی قسمتی از عنوان ارجاعی در محل دیگری ثبت شده است که در واقع به معنای «نیز نگاه کنید» می باشد.</w:t>
      </w:r>
    </w:p>
    <w:p>
      <w:pPr>
        <w:pStyle w:val="BookText"/>
      </w:pPr>
      <w:r>
        <w:rPr>
          <w:rFonts w:ascii="IRNazanin" w:hAnsi="IRNazanin" w:eastAsia="IRNazanin" w:cs="IRNazanin"/>
          <w:lang w:bidi="fa-IR"/>
          <w:color w:val="111111"/>
          <w:sz w:val="28"/>
          <w:szCs w:val="28"/>
          <w:rtl/>
        </w:rPr>
        <w:t xml:space="preserve">نواب: کتابخانه مدرسه نواب مشهد</w:t>
      </w:r>
    </w:p>
    <w:p>
      <w:pPr>
        <w:pStyle w:val="BookText"/>
      </w:pPr>
      <w:r>
        <w:rPr>
          <w:rFonts w:ascii="IRNazanin" w:hAnsi="IRNazanin" w:eastAsia="IRNazanin" w:cs="IRNazanin"/>
          <w:lang w:bidi="fa-IR"/>
          <w:color w:val="111111"/>
          <w:sz w:val="28"/>
          <w:szCs w:val="28"/>
          <w:rtl/>
        </w:rPr>
        <w:t xml:space="preserve">نمازی: کتابخانه مدرسه نمازی خوی</w:t>
      </w:r>
    </w:p>
    <w:p>
      <w:pPr>
        <w:pStyle w:val="BookText"/>
      </w:pPr>
      <w:r>
        <w:rPr>
          <w:rFonts w:ascii="IRNazanin" w:hAnsi="IRNazanin" w:eastAsia="IRNazanin" w:cs="IRNazanin"/>
          <w:lang w:bidi="fa-IR"/>
          <w:color w:val="111111"/>
          <w:sz w:val="28"/>
          <w:szCs w:val="28"/>
          <w:rtl/>
        </w:rPr>
        <w:t xml:space="preserve">نوربخش: کتابخانه نوربخش (خانقاه نعمت اللهی تهران)</w:t>
      </w:r>
    </w:p>
    <w:p>
      <w:pPr>
        <w:pStyle w:val="BookText"/>
      </w:pPr>
      <w:r>
        <w:rPr>
          <w:rFonts w:ascii="IRNazanin" w:hAnsi="IRNazanin" w:eastAsia="IRNazanin" w:cs="IRNazanin"/>
          <w:lang w:bidi="fa-IR"/>
          <w:color w:val="111111"/>
          <w:sz w:val="28"/>
          <w:szCs w:val="28"/>
          <w:rtl/>
        </w:rPr>
        <w:t xml:space="preserve">وابسته به :این اصطلاح در جایی به کار رفته که کتاب معرفی شده به اثری دیگر وابسته است و بیشتر در مورد شرحها، حاشیه ها، تعلیقه ها، منتخبها، مختصرها، گزیده ها، و ترجمه ها به کار رفته است و نام کامل اثر اصلی، همراه با نام مؤلف آن معرفی شده است و در صورت نیاز می توانید به اثر اصلی مراجعه کنید.</w:t>
      </w:r>
    </w:p>
    <w:p>
      <w:pPr>
        <w:pStyle w:val="BookText"/>
      </w:pPr>
      <w:r>
        <w:rPr>
          <w:rFonts w:ascii="IRNazanin" w:hAnsi="IRNazanin" w:eastAsia="IRNazanin" w:cs="IRNazanin"/>
          <w:lang w:bidi="fa-IR"/>
          <w:color w:val="111111"/>
          <w:sz w:val="28"/>
          <w:szCs w:val="28"/>
          <w:rtl/>
        </w:rPr>
        <w:t xml:space="preserve">وزیری: کتابخانه وزیری یزد</w:t>
      </w:r>
    </w:p>
    <w:p>
      <w:pPr>
        <w:pStyle w:val="BookText"/>
      </w:pPr>
      <w:r>
        <w:rPr>
          <w:rFonts w:ascii="IRNazanin" w:hAnsi="IRNazanin" w:eastAsia="IRNazanin" w:cs="IRNazanin"/>
          <w:lang w:bidi="fa-IR"/>
          <w:color w:val="111111"/>
          <w:sz w:val="28"/>
          <w:szCs w:val="28"/>
          <w:rtl/>
        </w:rPr>
        <w:t xml:space="preserve">همانند: این کلمه در جایی به کار رفته، که اثر معرفی شده فاقد نام مؤلف است و چند نسخه از آن در کشور وجود دارد و به معنای آن است که نسخه ها یک اثر است.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20363_209138"/>
    <w:bookmarkEnd w:id="2"/>
    <w:p>
      <w:pPr>
        <w:pStyle w:val="Heading2"/>
      </w:pPr>
      <w:bookmarkStart w:id="744" w:name="_Toc4"/>
      <w:r>
        <w:t>آوانگاری و اختصارات</w:t>
      </w:r>
      <w:bookmarkEnd w:id="744"/>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12pt; height:550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در آوانگاری عناوین کتاب ها چند نکته هست که باید یادآوری شود:</w:t>
      </w:r>
    </w:p>
    <w:p>
      <w:pPr>
        <w:pStyle w:val="BookText"/>
      </w:pPr>
      <w:r>
        <w:rPr>
          <w:rFonts w:ascii="IRNazanin" w:hAnsi="IRNazanin" w:eastAsia="IRNazanin" w:cs="IRNazanin"/>
          <w:lang w:bidi="fa-IR"/>
          <w:color w:val="111111"/>
          <w:sz w:val="28"/>
          <w:szCs w:val="28"/>
          <w:rtl/>
        </w:rPr>
        <w:t xml:space="preserve">1- در آوانگاری فقط حروفی که تلفظ می شوند، ضبط می گردند. مثال: آداب الشریعه = </w:t>
      </w:r>
      <w:r>
        <w:rPr>
          <w:rFonts w:ascii="Times New Roman" w:hAnsi="Times New Roman" w:eastAsia="Times New Roman" w:cs="Times New Roman"/>
          <w:lang w:val="en-US" w:bidi="en-US"/>
          <w:color w:val="111111"/>
          <w:sz w:val="28"/>
          <w:szCs w:val="28"/>
          <w:rtl/>
        </w:rPr>
        <w:t xml:space="preserve">adab-oS sara</w:t>
      </w:r>
    </w:p>
    <w:p>
      <w:pPr>
        <w:pStyle w:val="BookText"/>
      </w:pPr>
      <w:r>
        <w:rPr>
          <w:rFonts w:ascii="IRNazanin" w:hAnsi="IRNazanin" w:eastAsia="IRNazanin" w:cs="IRNazanin"/>
          <w:lang w:bidi="fa-IR"/>
          <w:color w:val="111111"/>
          <w:sz w:val="28"/>
          <w:szCs w:val="28"/>
          <w:rtl/>
        </w:rPr>
        <w:t xml:space="preserve">۲- عنوان کتاب های فارسی با تلفظ فارسی و عنوان کتاب های عربی با تلفظ عربی آوانگاری شده اند.</w:t>
      </w:r>
    </w:p>
    <w:p>
      <w:pPr>
        <w:pStyle w:val="BookText"/>
      </w:pPr>
      <w:r>
        <w:rPr>
          <w:rFonts w:ascii="IRNazanin" w:hAnsi="IRNazanin" w:eastAsia="IRNazanin" w:cs="IRNazanin"/>
          <w:lang w:bidi="fa-IR"/>
          <w:color w:val="111111"/>
          <w:sz w:val="28"/>
          <w:szCs w:val="28"/>
          <w:rtl/>
        </w:rPr>
        <w:t xml:space="preserve">مثال: آداب صوفیه </w:t>
      </w:r>
      <w:r>
        <w:rPr>
          <w:rFonts w:ascii="Times New Roman" w:hAnsi="Times New Roman" w:eastAsia="Times New Roman" w:cs="Times New Roman"/>
          <w:lang w:val="en-US" w:bidi="en-US"/>
          <w:color w:val="111111"/>
          <w:sz w:val="28"/>
          <w:szCs w:val="28"/>
          <w:rtl/>
        </w:rPr>
        <w:t xml:space="preserve">adab-e sufiye</w:t>
      </w:r>
    </w:p>
    <w:p>
      <w:pPr>
        <w:pStyle w:val="BookText"/>
      </w:pPr>
      <w:r>
        <w:rPr>
          <w:rFonts w:ascii="Amiri" w:hAnsi="Amiri" w:eastAsia="Amiri" w:cs="Amiri"/>
          <w:lang w:bidi="ar-SA"/>
          <w:color w:val="111111"/>
          <w:sz w:val="28"/>
          <w:szCs w:val="28"/>
          <w:rtl/>
        </w:rPr>
        <w:t xml:space="preserve">آداب الصوفيه = </w:t>
      </w:r>
      <w:r>
        <w:rPr>
          <w:rFonts w:ascii="Times New Roman" w:hAnsi="Times New Roman" w:eastAsia="Times New Roman" w:cs="Times New Roman"/>
          <w:lang w:val="en-US" w:bidi="en-US"/>
          <w:color w:val="111111"/>
          <w:sz w:val="28"/>
          <w:szCs w:val="28"/>
          <w:rtl/>
        </w:rPr>
        <w:t xml:space="preserve">adab-us sufiya</w:t>
      </w:r>
    </w:p>
    <w:p>
      <w:pPr>
        <w:pStyle w:val="BookText"/>
      </w:pPr>
      <w:r>
        <w:rPr>
          <w:rFonts w:ascii="IRNazanin" w:hAnsi="IRNazanin" w:eastAsia="IRNazanin" w:cs="IRNazanin"/>
          <w:lang w:bidi="fa-IR"/>
          <w:color w:val="111111"/>
          <w:sz w:val="28"/>
          <w:szCs w:val="28"/>
          <w:rtl/>
        </w:rPr>
        <w:t xml:space="preserve">٣- کلمات و ترکیباتی که از زبانهای دیگر (از جمله عربی )به فارسی وارد گردیده، با تلفظ متداول در فارسی ضبط شده است.</w:t>
      </w:r>
    </w:p>
    <w:p>
      <w:pPr>
        <w:pStyle w:val="BookText"/>
      </w:pPr>
      <w:r>
        <w:rPr>
          <w:rFonts w:ascii="IRNazanin" w:hAnsi="IRNazanin" w:eastAsia="IRNazanin" w:cs="IRNazanin"/>
          <w:lang w:bidi="fa-IR"/>
          <w:color w:val="111111"/>
          <w:sz w:val="28"/>
          <w:szCs w:val="28"/>
          <w:rtl/>
        </w:rPr>
        <w:t xml:space="preserve">مثال: اسطرلاب =</w:t>
      </w:r>
      <w:r>
        <w:rPr>
          <w:rFonts w:ascii="Times New Roman" w:hAnsi="Times New Roman" w:eastAsia="Times New Roman" w:cs="Times New Roman"/>
          <w:lang w:val="en-US" w:bidi="en-US"/>
          <w:color w:val="111111"/>
          <w:sz w:val="28"/>
          <w:szCs w:val="28"/>
          <w:rtl/>
        </w:rPr>
        <w:t xml:space="preserve">ostorlab</w:t>
      </w:r>
    </w:p>
    <w:p>
      <w:pPr>
        <w:pStyle w:val="BookText"/>
      </w:pPr>
      <w:r>
        <w:rPr>
          <w:rFonts w:ascii="IRNazanin" w:hAnsi="IRNazanin" w:eastAsia="IRNazanin" w:cs="IRNazanin"/>
          <w:lang w:bidi="fa-IR"/>
          <w:color w:val="111111"/>
          <w:sz w:val="28"/>
          <w:szCs w:val="28"/>
          <w:rtl/>
        </w:rPr>
        <w:t xml:space="preserve">ابواب الجنان = </w:t>
      </w:r>
      <w:r>
        <w:rPr>
          <w:rFonts w:ascii="Times New Roman" w:hAnsi="Times New Roman" w:eastAsia="Times New Roman" w:cs="Times New Roman"/>
          <w:lang w:val="en-US" w:bidi="en-US"/>
          <w:color w:val="111111"/>
          <w:sz w:val="28"/>
          <w:szCs w:val="28"/>
          <w:rtl/>
        </w:rPr>
        <w:t xml:space="preserve">abvab-ol jenan</w:t>
      </w:r>
    </w:p>
    <w:p>
      <w:pPr>
        <w:pStyle w:val="BookText"/>
      </w:pPr>
      <w:r>
        <w:rPr>
          <w:rFonts w:ascii="IRNazanin" w:hAnsi="IRNazanin" w:eastAsia="IRNazanin" w:cs="IRNazanin"/>
          <w:lang w:bidi="fa-IR"/>
          <w:color w:val="111111"/>
          <w:sz w:val="28"/>
          <w:szCs w:val="28"/>
          <w:rtl/>
        </w:rPr>
        <w:t xml:space="preserve">4- چون در آوانگاری مقصود فقط نشان دادن تلفظ کلمات است، حروف اول عناوین مانند دیگر حروف کوچک نوشته شده است.</w:t>
      </w:r>
    </w:p>
    <w:p>
      <w:pPr>
        <w:pStyle w:val="BookText"/>
      </w:pPr>
      <w:r>
        <w:rPr>
          <w:rFonts w:ascii="IRNazanin" w:hAnsi="IRNazanin" w:eastAsia="IRNazanin" w:cs="IRNazanin"/>
          <w:lang w:bidi="fa-IR"/>
          <w:color w:val="111111"/>
          <w:sz w:val="28"/>
          <w:szCs w:val="28"/>
          <w:rtl/>
        </w:rPr>
        <w:t xml:space="preserve">۵- برای آوانگاری کلماتی که بارها تکرار شده اند، از اختصار استفاده شده است.</w:t>
      </w:r>
    </w:p>
    <w:p>
      <w:pPr>
        <w:pStyle w:val="BookText"/>
      </w:pPr>
      <w:r>
        <w:rPr>
          <w:rFonts w:ascii="IRNazanin" w:hAnsi="IRNazanin" w:eastAsia="IRNazanin" w:cs="IRNazanin"/>
          <w:lang w:bidi="fa-IR"/>
          <w:color w:val="111111"/>
          <w:sz w:val="28"/>
          <w:szCs w:val="28"/>
          <w:rtl/>
        </w:rPr>
        <w:t xml:space="preserve">الف - آوانگاری کلمات و ترکیبات فارسی:</w:t>
      </w:r>
    </w:p>
    <w:p>
      <w:pPr>
        <w:pStyle w:val="BookText"/>
      </w:pPr>
      <w:r>
        <w:rPr>
          <w:rFonts w:ascii="IRNazanin" w:hAnsi="IRNazanin" w:eastAsia="IRNazanin" w:cs="IRNazanin"/>
          <w:lang w:bidi="fa-IR"/>
          <w:color w:val="111111"/>
          <w:sz w:val="28"/>
          <w:szCs w:val="28"/>
          <w:rtl/>
        </w:rPr>
        <w:t xml:space="preserve">١. مصوت ها:</w:t>
      </w:r>
    </w:p>
    <w:p>
      <w:pPr>
        <w:pStyle w:val="BookText"/>
      </w:pPr>
      <w:r>
        <w:rPr>
          <w:rFonts w:ascii="IRNazanin" w:hAnsi="IRNazanin" w:eastAsia="IRNazanin" w:cs="IRNazanin"/>
          <w:lang w:bidi="fa-IR"/>
          <w:color w:val="111111"/>
          <w:sz w:val="28"/>
          <w:szCs w:val="28"/>
          <w:rtl/>
        </w:rPr>
        <w:t xml:space="preserve">۲. صامت ها: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12pt; height:550pt; margin-left:0pt; margin-top:0pt; mso-position-horizontal:left; mso-position-vertical:top; mso-position-horizontal-relative:char; mso-position-vertical-relative:line;">
            <w10:wrap type="inline"/>
            <v:imagedata r:id="rId10" o:title=""/>
          </v:shape>
        </w:pict>
      </w:r>
    </w:p>
    <w:p>
      <w:pPr>
        <w:pStyle w:val="BookText"/>
      </w:pPr>
      <w:r>
        <w:rPr>
          <w:rFonts w:ascii="IRNazanin" w:hAnsi="IRNazanin" w:eastAsia="IRNazanin" w:cs="IRNazanin"/>
          <w:lang w:bidi="fa-IR"/>
          <w:color w:val="111111"/>
          <w:sz w:val="28"/>
          <w:szCs w:val="28"/>
          <w:rtl/>
        </w:rPr>
        <w:t xml:space="preserve">ب - آوانگاری کلمات و ترکیبات عربی:</w:t>
      </w:r>
    </w:p>
    <w:p>
      <w:pPr>
        <w:pStyle w:val="BookText"/>
      </w:pPr>
      <w:r>
        <w:rPr>
          <w:rFonts w:ascii="IRNazanin" w:hAnsi="IRNazanin" w:eastAsia="IRNazanin" w:cs="IRNazanin"/>
          <w:lang w:bidi="fa-IR"/>
          <w:color w:val="111111"/>
          <w:sz w:val="28"/>
          <w:szCs w:val="28"/>
          <w:rtl/>
        </w:rPr>
        <w:t xml:space="preserve">١. مصوت ها:</w:t>
      </w:r>
    </w:p>
    <w:p>
      <w:pPr>
        <w:pStyle w:val="BookText"/>
      </w:pPr>
      <w:r>
        <w:rPr>
          <w:rFonts w:ascii="IRNazanin" w:hAnsi="IRNazanin" w:eastAsia="IRNazanin" w:cs="IRNazanin"/>
          <w:lang w:bidi="fa-IR"/>
          <w:color w:val="111111"/>
          <w:sz w:val="28"/>
          <w:szCs w:val="28"/>
          <w:rtl/>
        </w:rPr>
        <w:t xml:space="preserve">۲. صامت ها: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20363_209140"/>
    <w:bookmarkEnd w:id="3"/>
    <w:p>
      <w:pPr>
        <w:pStyle w:val="Heading2"/>
      </w:pPr>
      <w:bookmarkStart w:id="745" w:name="_Toc5"/>
      <w:r>
        <w:t>بش</w:t>
      </w:r>
      <w:bookmarkEnd w:id="745"/>
    </w:p>
    <w:p>
      <w:pPr>
        <w:pStyle w:val="Heading3"/>
      </w:pPr>
      <w:bookmarkStart w:id="746" w:name="_Toc6"/>
      <w:r>
        <w:t>اشارة</w:t>
      </w:r>
      <w:bookmarkEnd w:id="746"/>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20363_209142"/>
    <w:bookmarkEnd w:id="4"/>
    <w:p>
      <w:pPr>
        <w:pStyle w:val="BookText"/>
      </w:pPr>
      <w:r>
        <w:rPr>
          <w:rFonts w:ascii="IRNazanin" w:hAnsi="IRNazanin" w:eastAsia="IRNazanin" w:cs="IRNazanin"/>
          <w:lang w:bidi="fa-IR"/>
          <w:color w:val="111111"/>
          <w:sz w:val="28"/>
          <w:szCs w:val="28"/>
          <w:rtl/>
        </w:rPr>
        <w:t xml:space="preserve">بشائر</w:t>
      </w:r>
    </w:p>
    <w:p>
      <w:pPr>
        <w:pStyle w:val="Heading3"/>
      </w:pPr>
      <w:bookmarkStart w:id="747" w:name="_Toc7"/>
      <w:r>
        <w:t>• البشائر الالهية / کلام و اعتقادات / عربی</w:t>
      </w:r>
      <w:bookmarkEnd w:id="747"/>
    </w:p>
    <w:p>
      <w:pPr>
        <w:pStyle w:val="BookText"/>
      </w:pPr>
      <w:r>
        <w:rPr>
          <w:rFonts w:ascii="Times New Roman" w:hAnsi="Times New Roman" w:eastAsia="Times New Roman" w:cs="Times New Roman"/>
          <w:lang w:val="en-US" w:bidi="en-US"/>
          <w:color w:val="111111"/>
          <w:sz w:val="28"/>
          <w:szCs w:val="28"/>
          <w:rtl/>
        </w:rPr>
        <w:t xml:space="preserve">al-basa'ir-ul ilahiya</w:t>
      </w:r>
    </w:p>
    <w:p>
      <w:pPr>
        <w:pStyle w:val="BookText"/>
      </w:pPr>
      <w:r>
        <w:rPr>
          <w:rFonts w:ascii="IRNazanin" w:hAnsi="IRNazanin" w:eastAsia="IRNazanin" w:cs="IRNazanin"/>
          <w:lang w:bidi="fa-IR"/>
          <w:color w:val="111111"/>
          <w:sz w:val="28"/>
          <w:szCs w:val="28"/>
          <w:rtl/>
        </w:rPr>
        <w:t xml:space="preserve">بخشی از کتابی است که شیخ صالح بن حسن المصری در احتجاج بر رد نصاری تصنیف کرده است در سال ۶۱۸ق و مؤلف این مجموعه، آن را همراه با «فرق نصاری» آورده است.</w:t>
      </w:r>
    </w:p>
    <w:p>
      <w:pPr>
        <w:pStyle w:val="BookText"/>
      </w:pPr>
      <w:r>
        <w:rPr>
          <w:rFonts w:ascii="IRNazanin" w:hAnsi="IRNazanin" w:eastAsia="IRNazanin" w:cs="IRNazanin"/>
          <w:lang w:bidi="fa-IR"/>
          <w:color w:val="111111"/>
          <w:sz w:val="28"/>
          <w:szCs w:val="28"/>
          <w:rtl/>
        </w:rPr>
        <w:t xml:space="preserve">قم؛ مسجد اعظم؛ شماره نسخه: ۱۴۶/۴</w:t>
      </w:r>
    </w:p>
    <w:p>
      <w:pPr>
        <w:pStyle w:val="BookText"/>
      </w:pPr>
      <w:r>
        <w:rPr>
          <w:rFonts w:ascii="IRNazanin" w:hAnsi="IRNazanin" w:eastAsia="IRNazanin" w:cs="IRNazanin"/>
          <w:lang w:bidi="fa-IR"/>
          <w:color w:val="111111"/>
          <w:sz w:val="28"/>
          <w:szCs w:val="28"/>
          <w:rtl/>
        </w:rPr>
        <w:t xml:space="preserve">آغاز: قال المصنف المسألة العاشرة في البشائر الالهية بالتسمية المحمدية نذكر بعون الله تعالى في هذه المسألة ما نصت عليه الانبیاء؛ انجام: يسجد له و بمجده مع لات و لابن وموس تكسبه و اخذه جامعة رسولية مقدسه و تعرف بعمودية واحدة لمغفرة الخطايا و يرتجي قيامه لاموات و الحياة الدائمة.</w:t>
      </w:r>
    </w:p>
    <w:p>
      <w:pPr>
        <w:pStyle w:val="BookText"/>
      </w:pPr>
      <w:r>
        <w:rPr>
          <w:rFonts w:ascii="IRNazanin" w:hAnsi="IRNazanin" w:eastAsia="IRNazanin" w:cs="IRNazanin"/>
          <w:lang w:bidi="fa-IR"/>
          <w:color w:val="111111"/>
          <w:sz w:val="28"/>
          <w:szCs w:val="28"/>
          <w:rtl/>
        </w:rPr>
        <w:t xml:space="preserve">خط: نسخ، بی کا، بی تا، افتادگی: انجام؛ جلد: تیماج قهوه ای، ۵گی، ۲۵ سطر،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مخ: ۱-۲۷۴]</w:t>
      </w:r>
    </w:p>
    <w:p>
      <w:pPr>
        <w:pStyle w:val="Heading3"/>
      </w:pPr>
      <w:bookmarkStart w:id="748" w:name="_Toc8"/>
      <w:r>
        <w:t>• بشارات / کلام و اعتقادات / فارسی</w:t>
      </w:r>
      <w:bookmarkEnd w:id="748"/>
    </w:p>
    <w:p>
      <w:pPr>
        <w:pStyle w:val="BookText"/>
      </w:pPr>
      <w:r>
        <w:rPr>
          <w:rFonts w:ascii="Times New Roman" w:hAnsi="Times New Roman" w:eastAsia="Times New Roman" w:cs="Times New Roman"/>
          <w:lang w:val="en-US" w:bidi="en-US"/>
          <w:color w:val="111111"/>
          <w:sz w:val="28"/>
          <w:szCs w:val="28"/>
          <w:rtl/>
        </w:rPr>
        <w:t xml:space="preserve">bešārāt</w:t>
      </w:r>
    </w:p>
    <w:p>
      <w:pPr>
        <w:pStyle w:val="BookText"/>
      </w:pPr>
      <w:r>
        <w:rPr>
          <w:rFonts w:ascii="IRNazanin" w:hAnsi="IRNazanin" w:eastAsia="IRNazanin" w:cs="IRNazanin"/>
          <w:lang w:bidi="fa-IR"/>
          <w:color w:val="111111"/>
          <w:sz w:val="28"/>
          <w:szCs w:val="28"/>
          <w:rtl/>
        </w:rPr>
        <w:t xml:space="preserve">بهاری همدانی، محمد باقر بن محمد جعفر، ۱۲۷۷- ۱۳۳۳ قمری</w:t>
      </w:r>
    </w:p>
    <w:p>
      <w:pPr>
        <w:pStyle w:val="BookText"/>
      </w:pPr>
      <w:r>
        <w:rPr>
          <w:rFonts w:ascii="Times New Roman" w:hAnsi="Times New Roman" w:eastAsia="Times New Roman" w:cs="Times New Roman"/>
          <w:lang w:val="en-US" w:bidi="en-US"/>
          <w:color w:val="111111"/>
          <w:sz w:val="28"/>
          <w:szCs w:val="28"/>
          <w:rtl/>
        </w:rPr>
        <w:t xml:space="preserve">bahārī hamadānī, mohammad bāqer ebn-e mohammad ja'far (1861-1915)</w:t>
      </w:r>
    </w:p>
    <w:p>
      <w:pPr>
        <w:pStyle w:val="BookText"/>
      </w:pPr>
      <w:r>
        <w:rPr>
          <w:rFonts w:ascii="IRNazanin" w:hAnsi="IRNazanin" w:eastAsia="IRNazanin" w:cs="IRNazanin"/>
          <w:lang w:bidi="fa-IR"/>
          <w:color w:val="111111"/>
          <w:sz w:val="28"/>
          <w:szCs w:val="28"/>
          <w:rtl/>
        </w:rPr>
        <w:t xml:space="preserve">تاريخ تأليف: ذیقعده ۱۳۱۱ق</w:t>
      </w:r>
    </w:p>
    <w:p>
      <w:pPr>
        <w:pStyle w:val="BookText"/>
      </w:pPr>
      <w:r>
        <w:rPr>
          <w:rFonts w:ascii="IRNazanin" w:hAnsi="IRNazanin" w:eastAsia="IRNazanin" w:cs="IRNazanin"/>
          <w:lang w:bidi="fa-IR"/>
          <w:color w:val="111111"/>
          <w:sz w:val="28"/>
          <w:szCs w:val="28"/>
          <w:rtl/>
        </w:rPr>
        <w:t xml:space="preserve">کتابی مفصل شامل ۱ «مقدمه» و ۸۵ «بشارت»: مقدمه در مطلبی است کلی که اختصاص به دین معینی ندارد و در جميع ادیان آسمانی ساری و جاری است؛ بشارت ۲. در فصل هیجدهم سفر مثنی از تورات در آیه پانزدهم به بعد می گوید: خداوند خدایت از میان شما از برادرانت پیغمبریرا مثل من مبعوث می گرداند؛ ۲. در فصل سی و سیم سفر مثنی می گوید: ای خدائیکه تجلی کردی از طور سینا؛ ۳. در فصل هفدهم از سفر تکوین می گوید: که بعد از آنکه خداوند عالم جل شأنه بشارت داد به ابراهیم به تولد اسحاق ... ؛ ۸۵۔ مرحوم مجلسی رحمة الله در کتاب عین الحيوة می فرماید که محمد بن یعقوب کلینی به اسناد معتبر از حضرت امام جعفر صادق (علیه السلام) روایت می کند که آن حضرت به شخصی از اصحاب خود می فرمود: می خواهی تو را خبر دهم که چگونه بود مسلمان شدن سلمان؛ خاتمه به اتفاق اهل عقل و نقل ادیان آسمانی حجت الهی باید کامل و ظاهر باشد. (وفادار مرادی)</w:t>
      </w:r>
    </w:p>
    <w:p>
      <w:pPr>
        <w:pStyle w:val="BookText"/>
      </w:pPr>
      <w:r>
        <w:rPr>
          <w:rFonts w:ascii="IRNazanin" w:hAnsi="IRNazanin" w:eastAsia="IRNazanin" w:cs="IRNazanin"/>
          <w:lang w:bidi="fa-IR"/>
          <w:color w:val="111111"/>
          <w:sz w:val="28"/>
          <w:szCs w:val="28"/>
          <w:rtl/>
        </w:rPr>
        <w:t xml:space="preserve">آغاز: بسلمه. تبارک الذي نزل الفرقان على عبده ليكون للعالمين نذیرة .. أما بعد پس چون در این اوان بهجت اقتران ..</w:t>
      </w:r>
    </w:p>
    <w:p>
      <w:pPr>
        <w:pStyle w:val="BookText"/>
      </w:pPr>
      <w:r>
        <w:rPr>
          <w:rFonts w:ascii="IRNazanin" w:hAnsi="IRNazanin" w:eastAsia="IRNazanin" w:cs="IRNazanin"/>
          <w:lang w:bidi="fa-IR"/>
          <w:color w:val="111111"/>
          <w:sz w:val="28"/>
          <w:szCs w:val="28"/>
          <w:rtl/>
        </w:rPr>
        <w:t xml:space="preserve">انجام: اذ هديتنا و هب لنا من لدنک رحمة انک انت الوهاب.</w:t>
      </w:r>
    </w:p>
    <w:p>
      <w:pPr>
        <w:pStyle w:val="BookText"/>
      </w:pPr>
      <w:r>
        <w:rPr>
          <w:rFonts w:ascii="IRNazanin" w:hAnsi="IRNazanin" w:eastAsia="IRNazanin" w:cs="IRNazanin"/>
          <w:lang w:bidi="fa-IR"/>
          <w:color w:val="111111"/>
          <w:sz w:val="28"/>
          <w:szCs w:val="28"/>
          <w:rtl/>
        </w:rPr>
        <w:t xml:space="preserve">چاپ: اصفهان، ۱۳۳۰ق، سنگی، ۶۶۳ص</w:t>
      </w:r>
    </w:p>
    <w:p>
      <w:pPr>
        <w:pStyle w:val="BookText"/>
      </w:pPr>
      <w:r>
        <w:rPr>
          <w:rFonts w:ascii="IRNazanin" w:hAnsi="IRNazanin" w:eastAsia="IRNazanin" w:cs="IRNazanin"/>
          <w:lang w:bidi="fa-IR"/>
          <w:color w:val="111111"/>
          <w:sz w:val="28"/>
          <w:szCs w:val="28"/>
          <w:rtl/>
        </w:rPr>
        <w:t xml:space="preserve">[فهرستواره منزوی ۱۵۲/۹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کرمانشاه؛ جلیلی؛ شماره نسخه: ۲۲۹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كاتب = مؤلف، بی تا، کاغذ: نخودی کاهی، جلد: تیماج زرشکی، ۲۸۸گ، ۱۷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۴۳]</w:t>
      </w:r>
    </w:p>
    <w:p>
      <w:pPr>
        <w:pStyle w:val="BookText"/>
      </w:pPr>
      <w:r>
        <w:rPr>
          <w:rFonts w:ascii="IRNazanin" w:hAnsi="IRNazanin" w:eastAsia="IRNazanin" w:cs="IRNazanin"/>
          <w:lang w:bidi="fa-IR"/>
          <w:color w:val="111111"/>
          <w:sz w:val="28"/>
          <w:szCs w:val="28"/>
          <w:rtl/>
        </w:rPr>
        <w:t xml:space="preserve">۲. قم؛ مرعشی؛ شماره نسخه: ۶۱۰۳</w:t>
      </w:r>
    </w:p>
    <w:p>
      <w:pPr>
        <w:pStyle w:val="BookText"/>
      </w:pPr>
      <w:r>
        <w:rPr>
          <w:rFonts w:ascii="IRNazanin" w:hAnsi="IRNazanin" w:eastAsia="IRNazanin" w:cs="IRNazanin"/>
          <w:lang w:bidi="fa-IR"/>
          <w:color w:val="111111"/>
          <w:sz w:val="28"/>
          <w:szCs w:val="28"/>
          <w:rtl/>
        </w:rPr>
        <w:t xml:space="preserve">آغاز: برابر؛ انجام: بخش الحاقی: در صورتهای ایشان ورنک ایشان دگرگون شد، و قد وقع الفراغ من تأليف الملحقات ...</w:t>
      </w:r>
    </w:p>
    <w:p>
      <w:pPr>
        <w:pStyle w:val="BookText"/>
      </w:pPr>
      <w:r>
        <w:rPr>
          <w:rFonts w:ascii="IRNazanin" w:hAnsi="IRNazanin" w:eastAsia="IRNazanin" w:cs="IRNazanin"/>
          <w:lang w:bidi="fa-IR"/>
          <w:color w:val="111111"/>
          <w:sz w:val="28"/>
          <w:szCs w:val="28"/>
          <w:rtl/>
        </w:rPr>
        <w:t xml:space="preserve">خط: نسخ، بی کا، بی تا؛ تاریخ تولدی در دوشنبه ۲۲ شعبان ۱۳۴۰؛ جلد: تیماج مشکی بدون مقوا، ۲۸۸گی، ۱۷ سطر، اندازه: ۱۰/۵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۱۶-۱۰۸]</w:t>
      </w:r>
    </w:p>
    <w:p>
      <w:pPr>
        <w:pStyle w:val="Heading3"/>
      </w:pPr>
      <w:bookmarkStart w:id="749" w:name="_Toc9"/>
      <w:r>
        <w:t>• بشارات / اخلاق / فارسی</w:t>
      </w:r>
      <w:bookmarkEnd w:id="749"/>
    </w:p>
    <w:p>
      <w:pPr>
        <w:pStyle w:val="BookText"/>
      </w:pPr>
      <w:r>
        <w:rPr>
          <w:rFonts w:ascii="Times New Roman" w:hAnsi="Times New Roman" w:eastAsia="Times New Roman" w:cs="Times New Roman"/>
          <w:lang w:val="en-US" w:bidi="en-US"/>
          <w:color w:val="111111"/>
          <w:sz w:val="28"/>
          <w:szCs w:val="28"/>
          <w:rtl/>
        </w:rPr>
        <w:t xml:space="preserve">bešārāt</w:t>
      </w:r>
    </w:p>
    <w:p>
      <w:pPr>
        <w:pStyle w:val="BookText"/>
      </w:pPr>
      <w:r>
        <w:rPr>
          <w:rFonts w:ascii="IRNazanin" w:hAnsi="IRNazanin" w:eastAsia="IRNazanin" w:cs="IRNazanin"/>
          <w:lang w:bidi="fa-IR"/>
          <w:color w:val="111111"/>
          <w:sz w:val="28"/>
          <w:szCs w:val="28"/>
          <w:rtl/>
        </w:rPr>
        <w:t xml:space="preserve">هفت مجلس است مشتمل بر بشاراتی اعتقادی و اخلاقی استفاده شده از آیات و روایات اهل بیت ((عليه السلام))، هر مجلس دارای خطبهای جداگانه و به آیه ای آغاز شده و دنباله تفسير و شرح آن مطالب مناسب را می آورد، عناوين «مجالس» چنین است: ۱. محاسبات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5" w:name="pg20363_209143"/>
    <w:bookmarkEnd w:id="5"/>
    <w:p>
      <w:pPr>
        <w:pStyle w:val="BookText"/>
      </w:pPr>
      <w:r>
        <w:rPr>
          <w:rFonts w:ascii="IRNazanin" w:hAnsi="IRNazanin" w:eastAsia="IRNazanin" w:cs="IRNazanin"/>
          <w:lang w:bidi="fa-IR"/>
          <w:color w:val="111111"/>
          <w:sz w:val="28"/>
          <w:szCs w:val="28"/>
          <w:rtl/>
        </w:rPr>
        <w:t xml:space="preserve">نفس؛ ۲. محبت و عشق؛ ۳. خلقت بدن انسان؛ ۴. خوف و خشیت؛ ۵. صفات اوليا؛ ۶. معراج رسول خدا؛ ۷. وظیفه علما و سلاطین و اغنيا و فقرا.</w:t>
      </w:r>
    </w:p>
    <w:p>
      <w:pPr>
        <w:pStyle w:val="BookText"/>
      </w:pPr>
      <w:r>
        <w:rPr>
          <w:rFonts w:ascii="IRNazanin" w:hAnsi="IRNazanin" w:eastAsia="IRNazanin" w:cs="IRNazanin"/>
          <w:lang w:bidi="fa-IR"/>
          <w:color w:val="111111"/>
          <w:sz w:val="28"/>
          <w:szCs w:val="28"/>
          <w:rtl/>
        </w:rPr>
        <w:t xml:space="preserve">آغاز: الحمد لله المطلع من اختار من عباده الابرار على خفايا الاسرار ... بتوفیقات ربانی جل جلاله چند مجلس در این مجموعه جمع نمودم.</w:t>
      </w:r>
    </w:p>
    <w:p>
      <w:pPr>
        <w:pStyle w:val="BookText"/>
      </w:pPr>
      <w:r>
        <w:rPr>
          <w:rFonts w:ascii="IRNazanin" w:hAnsi="IRNazanin" w:eastAsia="IRNazanin" w:cs="IRNazanin"/>
          <w:lang w:bidi="fa-IR"/>
          <w:color w:val="111111"/>
          <w:sz w:val="28"/>
          <w:szCs w:val="28"/>
          <w:rtl/>
        </w:rPr>
        <w:t xml:space="preserve">[فهرستواره منزوی ۳۴۵/۶ ]</w:t>
      </w:r>
    </w:p>
    <w:p>
      <w:pPr>
        <w:pStyle w:val="BookText"/>
      </w:pPr>
      <w:r>
        <w:rPr>
          <w:rFonts w:ascii="IRNazanin" w:hAnsi="IRNazanin" w:eastAsia="IRNazanin" w:cs="IRNazanin"/>
          <w:lang w:bidi="fa-IR"/>
          <w:color w:val="111111"/>
          <w:sz w:val="28"/>
          <w:szCs w:val="28"/>
          <w:rtl/>
        </w:rPr>
        <w:t xml:space="preserve">مشهد؛ امام هادی؛ شماره نسخه: ۹۰</w:t>
      </w:r>
    </w:p>
    <w:p>
      <w:pPr>
        <w:pStyle w:val="BookText"/>
      </w:pPr>
      <w:r>
        <w:rPr>
          <w:rFonts w:ascii="IRNazanin" w:hAnsi="IRNazanin" w:eastAsia="IRNazanin" w:cs="IRNazanin"/>
          <w:lang w:bidi="fa-IR"/>
          <w:color w:val="111111"/>
          <w:sz w:val="28"/>
          <w:szCs w:val="28"/>
          <w:rtl/>
        </w:rPr>
        <w:t xml:space="preserve">آغاز: برابر؛ انجام: از اصحاب پسندیده برگزیده که صبح می نمودند ژولیده مو و غبار آلود و بتحقیق بیتوته ...</w:t>
      </w:r>
    </w:p>
    <w:p>
      <w:pPr>
        <w:pStyle w:val="BookText"/>
      </w:pPr>
      <w:r>
        <w:rPr>
          <w:rFonts w:ascii="IRNazanin" w:hAnsi="IRNazanin" w:eastAsia="IRNazanin" w:cs="IRNazanin"/>
          <w:lang w:bidi="fa-IR"/>
          <w:color w:val="111111"/>
          <w:sz w:val="28"/>
          <w:szCs w:val="28"/>
          <w:rtl/>
        </w:rPr>
        <w:t xml:space="preserve">هفت مجلس است؛ خط: نسخ، كاتب = مؤلف، بی تا؛ افتادگی: انجام؛ مصحح؛ جلد: تیماج قهوه ای، ۷۰گ، ۱۶ سطر،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سم [ف: ۶۸]</w:t>
      </w:r>
    </w:p>
    <w:p>
      <w:pPr>
        <w:pStyle w:val="BookText"/>
      </w:pPr>
      <w:r>
        <w:rPr>
          <w:rFonts w:ascii="IRNazanin" w:hAnsi="IRNazanin" w:eastAsia="IRNazanin" w:cs="IRNazanin"/>
          <w:lang w:bidi="fa-IR"/>
          <w:color w:val="111111"/>
          <w:sz w:val="28"/>
          <w:szCs w:val="28"/>
          <w:rtl/>
        </w:rPr>
        <w:t xml:space="preserve">قم، مرکز احیاء؛ شماره نسخه: ۹۱۸</w:t>
      </w:r>
    </w:p>
    <w:p>
      <w:pPr>
        <w:pStyle w:val="BookText"/>
      </w:pPr>
      <w:r>
        <w:rPr>
          <w:rFonts w:ascii="IRNazanin" w:hAnsi="IRNazanin" w:eastAsia="IRNazanin" w:cs="IRNazanin"/>
          <w:lang w:bidi="fa-IR"/>
          <w:color w:val="111111"/>
          <w:sz w:val="28"/>
          <w:szCs w:val="28"/>
          <w:rtl/>
        </w:rPr>
        <w:t xml:space="preserve">نسخه اصل: همان نسخه بالا [عکسی ف: ۳-۱۲۲]</w:t>
      </w:r>
    </w:p>
    <w:p>
      <w:pPr>
        <w:pStyle w:val="Heading3"/>
      </w:pPr>
      <w:bookmarkStart w:id="750" w:name="_Toc10"/>
      <w:r>
        <w:t>• بشارات الاشارات = شرح الاشارات / فلسفه / عربی</w:t>
      </w:r>
      <w:bookmarkEnd w:id="750"/>
    </w:p>
    <w:p>
      <w:pPr>
        <w:pStyle w:val="BookText"/>
      </w:pPr>
      <w:r>
        <w:rPr>
          <w:rFonts w:ascii="Times New Roman" w:hAnsi="Times New Roman" w:eastAsia="Times New Roman" w:cs="Times New Roman"/>
          <w:lang w:val="en-US" w:bidi="en-US"/>
          <w:color w:val="111111"/>
          <w:sz w:val="28"/>
          <w:szCs w:val="28"/>
          <w:rtl/>
        </w:rPr>
        <w:t xml:space="preserve">bišārāt-ul išārāt = š-ul išārāt</w:t>
      </w:r>
    </w:p>
    <w:p>
      <w:pPr>
        <w:pStyle w:val="BookText"/>
      </w:pPr>
      <w:r>
        <w:rPr>
          <w:rFonts w:ascii="IRNazanin" w:hAnsi="IRNazanin" w:eastAsia="IRNazanin" w:cs="IRNazanin"/>
          <w:lang w:bidi="fa-IR"/>
          <w:color w:val="111111"/>
          <w:sz w:val="28"/>
          <w:szCs w:val="28"/>
          <w:rtl/>
        </w:rPr>
        <w:t xml:space="preserve">؟سمرقندی، محمد بن اشرف، قرن ۷ قمری</w:t>
      </w:r>
    </w:p>
    <w:p>
      <w:pPr>
        <w:pStyle w:val="BookText"/>
      </w:pPr>
      <w:r>
        <w:rPr>
          <w:rFonts w:ascii="Times New Roman" w:hAnsi="Times New Roman" w:eastAsia="Times New Roman" w:cs="Times New Roman"/>
          <w:lang w:val="en-US" w:bidi="en-US"/>
          <w:color w:val="111111"/>
          <w:sz w:val="28"/>
          <w:szCs w:val="28"/>
          <w:rtl/>
        </w:rPr>
        <w:t xml:space="preserve">samarqandī, mohammad ebn-e ašraf</w:t>
      </w:r>
    </w:p>
    <w:p>
      <w:pPr>
        <w:pStyle w:val="BookText"/>
      </w:pPr>
      <w:r>
        <w:rPr>
          <w:rFonts w:ascii="IRNazanin" w:hAnsi="IRNazanin" w:eastAsia="IRNazanin" w:cs="IRNazanin"/>
          <w:lang w:bidi="fa-IR"/>
          <w:color w:val="111111"/>
          <w:sz w:val="28"/>
          <w:szCs w:val="28"/>
          <w:rtl/>
        </w:rPr>
        <w:t xml:space="preserve">وابسته به: الاشارات و التنبيهات؛ ابن سینا، حسین بن عبدالله (۴۲۸-۳۷۰)</w:t>
      </w:r>
    </w:p>
    <w:p>
      <w:pPr>
        <w:pStyle w:val="BookText"/>
      </w:pPr>
      <w:r>
        <w:rPr>
          <w:rFonts w:ascii="Amiri" w:hAnsi="Amiri" w:eastAsia="Amiri" w:cs="Amiri"/>
          <w:lang w:bidi="ar-SA"/>
          <w:color w:val="111111"/>
          <w:sz w:val="28"/>
          <w:szCs w:val="28"/>
          <w:rtl/>
        </w:rPr>
        <w:t xml:space="preserve">اهداء به: شرف الدين عبد الرحمن</w:t>
      </w:r>
    </w:p>
    <w:p>
      <w:pPr>
        <w:pStyle w:val="BookText"/>
      </w:pPr>
      <w:r>
        <w:rPr>
          <w:rFonts w:ascii="IRNazanin" w:hAnsi="IRNazanin" w:eastAsia="IRNazanin" w:cs="IRNazanin"/>
          <w:lang w:bidi="fa-IR"/>
          <w:color w:val="111111"/>
          <w:sz w:val="28"/>
          <w:szCs w:val="28"/>
          <w:rtl/>
        </w:rPr>
        <w:t xml:space="preserve">تاریخ تأليف: اواخر ربيع الأول ۶۸۰ق افندی در ریاض العلماء (ص ۳۲۵ ش ۹۹۲ دانشگاه) در سرگذشت انوری می نویسد که البشارات في شرح الاشارات او را در تبریز دیده ام (نيز الذریعه ۱۱۱/۳ ). در فهرست مجلس (۵۴/۲ ) آمده که ترجمه اشارات (منسوب به ابن سهلان ساوی) را گمان برده اند از انوری است. شرحی که اکنون می شناسیم چون در پایان ربيع الأول ۶۸۰ ساخته شده است پیداست که از انوری ابیوردی شاعر نخواهد بود. در سده هفتم به جز طوسی چندین دانشمند شرح بر اشارات نوشته اند: ۱. نجم الدين محمد بن عبدان ابن اللبودی حکیم دمشقی (- ۶۲۱)؛ ۲. سيف الدين ابوالحسن على آمدی(- ۶۳۱)؛ که شرحی دارد به نام«کشف التمويهات في شرح التنبيهات»؛ ۳. قاضي القضاة دمشق ابو حامد رفیع الدین عبد العزيز بن عبدالواحد بن عبدالهادی فلیمانی گیلی فقیه اصولی فیلسوف پزشک که در دمشق می زیسته و به دستور وزیر امین الدوله در ذیحجه ۶۴۱ کشته شده است. او شرح اشارات خود را به نام ملک مظفر تقي الدين عمر بن ملک امجد بهرام شاه بن فرخشاه بن شهنشاه بن ایوب ساخته است (ابن ابی اصيبعه ۱۷۱/۲ و ۲۳۵؛ معجم المؤلفين ۱۶۹/۴ )، نام او در دیباچه تحفه سعدیه هم آمده است؛ ۴. نجم الدین احمد بن ابی بکر بن محمد نخجوانی مؤلف حل شکو ک القانون در ۶۵۱ و لباب المنطق که این کمونه در ۶۷۹ از آن تلخيص کرده است و زبدة النقض و لباب الكشف در رد بر اشارات ابن سینا که این کمونه در رد آن در ۶۷۹ التقاط الاعتراضات ساخته است؛ ۵. كمال الدين على بن سليمان بحرانی که برای شاگرد خود کمال الدین ابن میثم بحرانی (- ۶۷۹) شرح اشارات ساخته است؛ ۶. سراج الدين ابي الثناء محمود بن ابی بکر بن احمد ارموی (۵۹۴-۶۸۲)؛ ۷. این کمونه عزالدوله ابوالرضا سعد بن نجم الدولة منصور بن سعد بن الحسن بن هبة الله بن کمونه اسرائیلی بغدادی حکیم ادیب (- ۶۸۳) شرح بر اشارات دارد به نام «شرح الأصول و الجمل من مهمات العلم و العمل» که برای پسر شمس الدين محمد صاحب دیوان نوشته است؛ ۸. علامه حلی که سه شرح بر اشارات دارد؛ ۹. بدر الدين محمد بن اسعد بن سليمان يمانی شوشتری (- ۷۲۳) که حاشیه ای بر شرح اشارات طوسی دارد؛ ۱۰. برهان الدين ابو الفضائل محمد بن محمد بن محمد نسفی محدث متکلم اصولی جدلی حنفی (۶۰۰-۶۸۷) که مؤلف« المقدمة البرهانية و الترجيحات» است. نسخه ما با نسخه شرح حكمة الاشراق قطب شیرازی به یک خط است و هر دو در یک مجلد بوده و اکنون جدا کرده اند و قطب هم شرح خود را در رجب ۶۹۴ ساخته است پس مؤلف البشارات که این دو نسخه ما به خط او است نمی تواند برهان الدین نسفی باشد؛ ۱۱. شمس الدين محمد بن اشرف (عبدالرحمن بن محمد بن محمود حسینی سمرقندی سنجاری (قرن ۷ ق). این شمس الدين محمد بن اشرف حسینی سمرقندی «آداب البحث» خود را برای شرف الدين يا نجم الدين عبدالرحمن سمرقندی ساخته است پس شاید شارح (مؤلف بشارات الاشارات) او باشد چه این شرح هم به نام عبدالرحمن ساخته شده است. او در عمل تقویم کواکب ثابته جدول سال ۶۴۵ یزدگردی (۶۷۵ق) را می آورد، پس او پیش از این تاریخ باید متولد شده باشد و در این سال کمینه بایستی نزدیک به ۲۵ یا ۳۰ سال داشته باشد.</w:t>
      </w:r>
    </w:p>
    <w:p>
      <w:pPr>
        <w:pStyle w:val="BookText"/>
      </w:pPr>
      <w:r>
        <w:rPr>
          <w:rFonts w:ascii="IRNazanin" w:hAnsi="IRNazanin" w:eastAsia="IRNazanin" w:cs="IRNazanin"/>
          <w:lang w:bidi="fa-IR"/>
          <w:color w:val="111111"/>
          <w:sz w:val="28"/>
          <w:szCs w:val="28"/>
          <w:rtl/>
        </w:rPr>
        <w:t xml:space="preserve">شارح در دیباچه می گوید که شروح دیگر اشارات یا دشوار است و یا گزیده و کوتاه و شرح من هم زوائد ندارد و هم فوائدی در آن هست و من در آن مواضعی را که خلاف شرع است نشان داده ام. او این شرح را چنانکه گفتیم به دستور عبدالرحمن یکی از فرمانروایان دانش پرور زمان خود ساخته است و عنوان در آن «قال اقول» است و پس از هر بندی شرح آن می آید و همه اشارات از منطق و طبیعی و الهی در آن هست و در آن از شارح دیگری بنام یاد نکرده مگر در مسأله چهارم از نمط چهارم در شرح «اشارة لو التام ذات واجب الوجود» عبارتی با عنوان «قال بعض الشارحین» و «قال بعضهم» آورده که نخستین آن از طوسی و دومی آن از امام است و در شرح اشارات طوسی( سه صفحه مانده از نمط چهارم در چاپ سنگی) دیده می شود. در برگ ۵پ نمط ۵ هم در شرح عبارت شیخ «اشارة كل حادث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20363_209144"/>
    <w:bookmarkEnd w:id="6"/>
    <w:p>
      <w:pPr>
        <w:pStyle w:val="BookText"/>
      </w:pPr>
      <w:r>
        <w:rPr>
          <w:rFonts w:ascii="IRNazanin" w:hAnsi="IRNazanin" w:eastAsia="IRNazanin" w:cs="IRNazanin"/>
          <w:lang w:bidi="fa-IR"/>
          <w:color w:val="111111"/>
          <w:sz w:val="28"/>
          <w:szCs w:val="28"/>
          <w:rtl/>
        </w:rPr>
        <w:t xml:space="preserve">فقد كان قبل وجوده» عبارتی از «بعض الشارحین» آورده که در شرح طوسی (برگ 6پ همين نمط) دیده می شود. او در این دو جا بر طوسی و امام رد می کند. در داستان سلامان و آبسال همان داستان دوم طوسی با عنوان «و ذكر الشيخ» آمده است. در فهرست اسعد طلس ص ۲۰۴ ش ۲۸۱۵ بشارات الاشارات از محمد شفیع بن عبدالرشید حسنی که در ۱۰۷۷ شرح خود را نوشته است دانسته شده است. این نسخه به گواهی آغاز آن همین</w:t>
      </w:r>
    </w:p>
    <w:p>
      <w:pPr>
        <w:pStyle w:val="BookText"/>
      </w:pPr>
      <w:r>
        <w:rPr>
          <w:rFonts w:ascii="IRNazanin" w:hAnsi="IRNazanin" w:eastAsia="IRNazanin" w:cs="IRNazanin"/>
          <w:lang w:bidi="fa-IR"/>
          <w:color w:val="111111"/>
          <w:sz w:val="28"/>
          <w:szCs w:val="28"/>
          <w:rtl/>
        </w:rPr>
        <w:t xml:space="preserve">کتاب ما است و محمد شفیع گویا نویسنده نسخه است.</w:t>
      </w:r>
    </w:p>
    <w:p>
      <w:pPr>
        <w:pStyle w:val="BookText"/>
      </w:pPr>
      <w:r>
        <w:rPr>
          <w:rFonts w:ascii="IRNazanin" w:hAnsi="IRNazanin" w:eastAsia="IRNazanin" w:cs="IRNazanin"/>
          <w:lang w:bidi="fa-IR"/>
          <w:color w:val="111111"/>
          <w:sz w:val="28"/>
          <w:szCs w:val="28"/>
          <w:rtl/>
        </w:rPr>
        <w:t xml:space="preserve">نسخه ای از آن در سپهسالار (ش ۱۱۸۲) نسخ سده دهم در ۱۶۲ برگ هست و از طبیعی است تا آخر درست مانند نسخه ما در آغاز و انجام مگر این که عبارت «و نشكر الله ... و آخرا» را ندارد و نسخه در آن سهل المؤونة خوانده شده و از عبدالرفيع جیلانی ولی پیدا است که از رفیع الدین گیلکی نخواهد بود. شماره ۲۱ مورخ ۹۸۹ (۶/۱) آستان قدس هم بشارات الاشارات است و تاریخ تأليف ندارد و فهرست نگار آن را نشناخته و از امام رازی پنداشته است. نسخه شماره ۷۷۱ (۱۶۹/۴ ) این کتابخانه این شرح نیست و از امام رازی است و افتادگی و آشفتگی دارد و در آن رساله ای است منطقی که دانسته نشد از کیست. نگارنده هر دو نسخه را دیده ام. (محمد باقر حجتی)</w:t>
      </w:r>
    </w:p>
    <w:p>
      <w:pPr>
        <w:pStyle w:val="BookText"/>
      </w:pPr>
      <w:r>
        <w:rPr>
          <w:rFonts w:ascii="IRNazanin" w:hAnsi="IRNazanin" w:eastAsia="IRNazanin" w:cs="IRNazanin"/>
          <w:lang w:bidi="fa-IR"/>
          <w:color w:val="111111"/>
          <w:sz w:val="28"/>
          <w:szCs w:val="28"/>
          <w:rtl/>
        </w:rPr>
        <w:t xml:space="preserve">آغاز: بسمله. رب انعمت فزد. الحمدلله الذي زين السنتنا بشكره و شرف قلوبنا بذكره و كمل عقولنا بفكره ... و بعد فان اربح ما يكتسب في الدنيا و انجح ما يدخر للاخرى هو الكمالات العلمية و الفضائل العلمية و انجحها العلمية لانها ايضا عملية بعمل القلب الذي هو اشرف الاشياء لا سيما البرهانية التي ينفتح بها باب الحق و التحقيق و ينفسح مجتهد الصدق و التصديق اذا العبرة في العلوم و المعارف باليقين و التسديد لا بالظن و التقلید و کتاب الاشارات الذي صنفه الرئيس ابو علی بن سینا رحمه الله من جملة الكتب المتداولة بين العلماء المتناولة عند العقلاء اجمع فيه خلاصة افکار القدماء و غاية آراء الحكماء بعبارات مرموزة و الفاظ مغموزه قد اعتني بشرحه جمع من اعيان الافاضل و بذلوا و سعهم في تحقيقه و تنقيحه لكن كان بعض الشروح مشتملا على ضرب من التطويل و بعضها قاصرا عن حمد التكميل فسنح لي ان اكتب له شرحا حاويا للفوايد خاويا عن الزوايد مشير الى مواضع خلله و مواقع زلله لا سيما التي خالف الشرع المستقيم و الدين القویم فصرفت فيه برهة من الزمان و مدة من الأوان إلى أن وافق و وافی تشریف الاشارة ممن شرفه الله تعالى بالدولة و الاقبال و اعزه بالفضل و الافضال ... و هو الصاحب المعظم مفخر اکابر الأمم ... عمدة الدولة القاهرة عمدة الملة الزاهرة بقية الملك شرف الدنيا و الدین علاء الاسلام و المسلمین عبدالرحمن لا زالت ایام دولته مقرونة بالسعادات و اعوام قدمه مشحونة بالكرامات فكمل الكتاب و سمی ببشارات الاشارات و بالله التوفيق. صدر الكتاب قال احمد الله على حسن توفيقه ... و آله اقول هذه الخطبة مرتبة</w:t>
      </w:r>
    </w:p>
    <w:p>
      <w:pPr>
        <w:pStyle w:val="BookText"/>
      </w:pPr>
      <w:r>
        <w:rPr>
          <w:rFonts w:ascii="Amiri" w:hAnsi="Amiri" w:eastAsia="Amiri" w:cs="Amiri"/>
          <w:lang w:bidi="ar-SA"/>
          <w:color w:val="111111"/>
          <w:sz w:val="28"/>
          <w:szCs w:val="28"/>
          <w:rtl/>
        </w:rPr>
        <w:t xml:space="preserve">على احوال النفس في طلب كمالاتها بحسب قوتي العلمية و العملية.</w:t>
      </w:r>
    </w:p>
    <w:p>
      <w:pPr>
        <w:pStyle w:val="BookText"/>
      </w:pPr>
      <w:r>
        <w:rPr>
          <w:rFonts w:ascii="IRNazanin" w:hAnsi="IRNazanin" w:eastAsia="IRNazanin" w:cs="IRNazanin"/>
          <w:lang w:bidi="fa-IR"/>
          <w:color w:val="111111"/>
          <w:sz w:val="28"/>
          <w:szCs w:val="28"/>
          <w:rtl/>
        </w:rPr>
        <w:t xml:space="preserve">انجام: و يقال أذاع الخبر اذا افشاه. و هذا آخر ما اردنا من شرح هذا الكتاب و نشكر الله تعالی بما هدانا الى ما كنا آملين اليه و الحمدلله رب العالمين وقع الفراغ من تأليفه اواخر ربیع الاول سنة ثمانين وستمائة [نشریه ۰۹ ۱۲۸]</w:t>
      </w:r>
    </w:p>
    <w:p>
      <w:pPr>
        <w:pStyle w:val="BookText"/>
      </w:pPr>
      <w:r>
        <w:rPr>
          <w:rFonts w:ascii="IRNazanin" w:hAnsi="IRNazanin" w:eastAsia="IRNazanin" w:cs="IRNazanin"/>
          <w:lang w:bidi="fa-IR"/>
          <w:color w:val="111111"/>
          <w:sz w:val="28"/>
          <w:szCs w:val="28"/>
          <w:rtl/>
        </w:rPr>
        <w:t xml:space="preserve">۱. تهران؛ الهیات؛ شماره نسخه: ۴۷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كاتب = مؤلف، تا: آغاز رجب ۶۸۸ق؛ تملک: رفيع الدين الحسینی با مهر ش؛ کاغذ: سمرقندی کلفت، جلد: تیماج سرخ ضربی زرکوب، ۱۰۶گ، ۲۹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قطع: وزیری،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۴۷۲]</w:t>
      </w:r>
    </w:p>
    <w:p>
      <w:pPr>
        <w:pStyle w:val="BookText"/>
      </w:pPr>
      <w:r>
        <w:rPr>
          <w:rFonts w:ascii="IRNazanin" w:hAnsi="IRNazanin" w:eastAsia="IRNazanin" w:cs="IRNazanin"/>
          <w:lang w:bidi="fa-IR"/>
          <w:color w:val="111111"/>
          <w:sz w:val="28"/>
          <w:szCs w:val="28"/>
          <w:rtl/>
        </w:rPr>
        <w:t xml:space="preserve">تهران؛ دانشگاه؛ شماره نسخه: ۲۷۹۲-ف</w:t>
      </w:r>
    </w:p>
    <w:p>
      <w:pPr>
        <w:pStyle w:val="BookText"/>
      </w:pPr>
      <w:r>
        <w:rPr>
          <w:rFonts w:ascii="IRNazanin" w:hAnsi="IRNazanin" w:eastAsia="IRNazanin" w:cs="IRNazanin"/>
          <w:lang w:bidi="fa-IR"/>
          <w:color w:val="111111"/>
          <w:sz w:val="28"/>
          <w:szCs w:val="28"/>
          <w:rtl/>
        </w:rPr>
        <w:t xml:space="preserve">نسخه اصل: همان نسخه بالا [فیلمها ف: ۱-۲۹۰]</w:t>
      </w:r>
    </w:p>
    <w:p>
      <w:pPr>
        <w:pStyle w:val="BookText"/>
      </w:pPr>
      <w:r>
        <w:rPr>
          <w:rFonts w:ascii="IRNazanin" w:hAnsi="IRNazanin" w:eastAsia="IRNazanin" w:cs="IRNazanin"/>
          <w:lang w:bidi="fa-IR"/>
          <w:color w:val="111111"/>
          <w:sz w:val="28"/>
          <w:szCs w:val="28"/>
          <w:rtl/>
        </w:rPr>
        <w:t xml:space="preserve">قم: مرکز احیاء؛ شماره نسخه: ۳۸</w:t>
      </w:r>
    </w:p>
    <w:p>
      <w:pPr>
        <w:pStyle w:val="BookText"/>
      </w:pPr>
      <w:r>
        <w:rPr>
          <w:rFonts w:ascii="IRNazanin" w:hAnsi="IRNazanin" w:eastAsia="IRNazanin" w:cs="IRNazanin"/>
          <w:lang w:bidi="fa-IR"/>
          <w:color w:val="111111"/>
          <w:sz w:val="28"/>
          <w:szCs w:val="28"/>
          <w:rtl/>
        </w:rPr>
        <w:t xml:space="preserve">نسخه اصل: همان نسخه بالا [عکسی ف: ۱-۵۱]</w:t>
      </w:r>
    </w:p>
    <w:p>
      <w:pPr>
        <w:pStyle w:val="BookText"/>
      </w:pPr>
      <w:r>
        <w:rPr>
          <w:rFonts w:ascii="IRNazanin" w:hAnsi="IRNazanin" w:eastAsia="IRNazanin" w:cs="IRNazanin"/>
          <w:lang w:bidi="fa-IR"/>
          <w:color w:val="111111"/>
          <w:sz w:val="28"/>
          <w:szCs w:val="28"/>
          <w:rtl/>
        </w:rPr>
        <w:t xml:space="preserve">۲. تهران؛ ملک، شماره نسخه: ۴۶۷۵/۱۲</w:t>
      </w:r>
    </w:p>
    <w:p>
      <w:pPr>
        <w:pStyle w:val="BookText"/>
      </w:pPr>
      <w:r>
        <w:rPr>
          <w:rFonts w:ascii="Amiri" w:hAnsi="Amiri" w:eastAsia="Amiri" w:cs="Amiri"/>
          <w:lang w:bidi="ar-SA"/>
          <w:color w:val="111111"/>
          <w:sz w:val="28"/>
          <w:szCs w:val="28"/>
          <w:rtl/>
        </w:rPr>
        <w:t xml:space="preserve">آغاز: برابر؛ انجام: و الحمد لله رب العالمين ... تم الكتاب بعون الله و حسن توفيقه</w:t>
      </w:r>
    </w:p>
    <w:p>
      <w:pPr>
        <w:pStyle w:val="BookText"/>
      </w:pPr>
      <w:r>
        <w:rPr>
          <w:rFonts w:ascii="IRNazanin" w:hAnsi="IRNazanin" w:eastAsia="IRNazanin" w:cs="IRNazanin"/>
          <w:lang w:bidi="fa-IR"/>
          <w:color w:val="111111"/>
          <w:sz w:val="28"/>
          <w:szCs w:val="28"/>
          <w:rtl/>
        </w:rPr>
        <w:t xml:space="preserve">خط: نستعلیق بد، كا: محمود بن محمد على نقاش طوسی، تا: ۱۱۱۱ق؛ کاغذ: ترمه، جلد: رویه میشن قرمز، ۱۲۴گ (۱۸۰پ۔ ۳۰۴ر)، اندازه: ۱۴/۲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۲۶/۵سم [ف: ۸-۱۶]</w:t>
      </w:r>
    </w:p>
    <w:p>
      <w:pPr>
        <w:pStyle w:val="Heading3"/>
      </w:pPr>
      <w:bookmarkStart w:id="751" w:name="_Toc11"/>
      <w:r>
        <w:t>• بشارات الأصول / اصول فقه / عربی</w:t>
      </w:r>
      <w:bookmarkEnd w:id="751"/>
    </w:p>
    <w:p>
      <w:pPr>
        <w:pStyle w:val="BookText"/>
      </w:pPr>
      <w:r>
        <w:rPr>
          <w:rFonts w:ascii="Times New Roman" w:hAnsi="Times New Roman" w:eastAsia="Times New Roman" w:cs="Times New Roman"/>
          <w:lang w:val="en-US" w:bidi="en-US"/>
          <w:color w:val="111111"/>
          <w:sz w:val="28"/>
          <w:szCs w:val="28"/>
          <w:rtl/>
        </w:rPr>
        <w:t xml:space="preserve">bišārāt-ul usūl</w:t>
      </w:r>
    </w:p>
    <w:p>
      <w:pPr>
        <w:pStyle w:val="BookText"/>
      </w:pPr>
      <w:r>
        <w:rPr>
          <w:rFonts w:ascii="IRNazanin" w:hAnsi="IRNazanin" w:eastAsia="IRNazanin" w:cs="IRNazanin"/>
          <w:lang w:bidi="fa-IR"/>
          <w:color w:val="111111"/>
          <w:sz w:val="28"/>
          <w:szCs w:val="28"/>
          <w:rtl/>
        </w:rPr>
        <w:t xml:space="preserve">قطعه ای از کتاب می باشد مشتمل بر: مباحثی درباره الفاظ شبیه به مباحث نحوی و صرفی، تقلید، اشتراک، صحیح و اعم توسعه و تضییق.</w:t>
      </w:r>
    </w:p>
    <w:p>
      <w:pPr>
        <w:pStyle w:val="BookText"/>
      </w:pPr>
      <w:r>
        <w:rPr>
          <w:rFonts w:ascii="IRNazanin" w:hAnsi="IRNazanin" w:eastAsia="IRNazanin" w:cs="IRNazanin"/>
          <w:lang w:bidi="fa-IR"/>
          <w:color w:val="111111"/>
          <w:sz w:val="28"/>
          <w:szCs w:val="28"/>
          <w:rtl/>
        </w:rPr>
        <w:t xml:space="preserve">قم؛ مرعشی؛ شماره نسخه: ۵۵۳۰</w:t>
      </w:r>
    </w:p>
    <w:p>
      <w:pPr>
        <w:pStyle w:val="BookText"/>
      </w:pPr>
      <w:r>
        <w:rPr>
          <w:rFonts w:ascii="Amiri" w:hAnsi="Amiri" w:eastAsia="Amiri" w:cs="Amiri"/>
          <w:lang w:bidi="ar-SA"/>
          <w:color w:val="111111"/>
          <w:sz w:val="28"/>
          <w:szCs w:val="28"/>
          <w:rtl/>
        </w:rPr>
        <w:t xml:space="preserve">آغاز: بشارة سيأتي بيانا في محله أن بناءنا على بيان جملة من مهمات المقدمات</w:t>
      </w:r>
    </w:p>
    <w:p>
      <w:pPr>
        <w:pStyle w:val="BookText"/>
      </w:pPr>
      <w:r>
        <w:rPr>
          <w:rFonts w:ascii="IRNazanin" w:hAnsi="IRNazanin" w:eastAsia="IRNazanin" w:cs="IRNazanin"/>
          <w:lang w:bidi="fa-IR"/>
          <w:color w:val="111111"/>
          <w:sz w:val="28"/>
          <w:szCs w:val="28"/>
          <w:rtl/>
        </w:rPr>
        <w:t xml:space="preserve">خط: نستعلیق، بی کا، بی تا؛ مصحح؛ جلد: تیماج قهوه ای، ۱۴۴گ، مختلف السطر، اندازه: ۱۷/۵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۲۶/۵ سم [ف: ۱۴-۲۹۷]</w:t>
      </w:r>
    </w:p>
    <w:p>
      <w:pPr>
        <w:pStyle w:val="Heading3"/>
      </w:pPr>
      <w:bookmarkStart w:id="752" w:name="_Toc12"/>
      <w:r>
        <w:t>• بشارات الأمة في مواليد الأئمة / كلام و اعتقادات / فارسی</w:t>
      </w:r>
      <w:bookmarkEnd w:id="752"/>
    </w:p>
    <w:p>
      <w:pPr>
        <w:pStyle w:val="BookText"/>
      </w:pPr>
      <w:r>
        <w:rPr>
          <w:rFonts w:ascii="Times New Roman" w:hAnsi="Times New Roman" w:eastAsia="Times New Roman" w:cs="Times New Roman"/>
          <w:lang w:val="en-US" w:bidi="en-US"/>
          <w:color w:val="111111"/>
          <w:sz w:val="28"/>
          <w:szCs w:val="28"/>
          <w:rtl/>
        </w:rPr>
        <w:t xml:space="preserve">besarat-ol omma fi mavalid-el a'emme</w:t>
      </w:r>
    </w:p>
    <w:p>
      <w:pPr>
        <w:pStyle w:val="BookText"/>
      </w:pPr>
      <w:r>
        <w:rPr>
          <w:rFonts w:ascii="IRNazanin" w:hAnsi="IRNazanin" w:eastAsia="IRNazanin" w:cs="IRNazanin"/>
          <w:lang w:bidi="fa-IR"/>
          <w:color w:val="111111"/>
          <w:sz w:val="28"/>
          <w:szCs w:val="28"/>
          <w:rtl/>
        </w:rPr>
        <w:t xml:space="preserve">کجوری، محمد بن اسماعیل،- ۱۳۵۳ قمری</w:t>
      </w:r>
    </w:p>
    <w:p>
      <w:pPr>
        <w:pStyle w:val="BookText"/>
      </w:pPr>
      <w:r>
        <w:rPr>
          <w:rFonts w:ascii="Times New Roman" w:hAnsi="Times New Roman" w:eastAsia="Times New Roman" w:cs="Times New Roman"/>
          <w:lang w:val="en-US" w:bidi="en-US"/>
          <w:color w:val="111111"/>
          <w:sz w:val="28"/>
          <w:szCs w:val="28"/>
          <w:rtl/>
        </w:rPr>
        <w:t xml:space="preserve">kajūrī, mohammad ebn-e esmāʻīl (-1934)</w:t>
      </w:r>
    </w:p>
    <w:p>
      <w:pPr>
        <w:pStyle w:val="BookText"/>
      </w:pPr>
      <w:r>
        <w:rPr>
          <w:rFonts w:ascii="IRNazanin" w:hAnsi="IRNazanin" w:eastAsia="IRNazanin" w:cs="IRNazanin"/>
          <w:lang w:bidi="fa-IR"/>
          <w:color w:val="111111"/>
          <w:sz w:val="28"/>
          <w:szCs w:val="28"/>
          <w:rtl/>
        </w:rPr>
        <w:t xml:space="preserve">در یک «مقدمه» در ده «بشارت» و چند «باب» هر یک ده بشارت و خاتمه در بشارت تولد مظفر الدین شاه، در کلام شیعی است.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7" w:name="pg20363_209145"/>
    <w:bookmarkEnd w:id="7"/>
    <w:p>
      <w:pPr>
        <w:pStyle w:val="BookText"/>
      </w:pPr>
      <w:r>
        <w:rPr>
          <w:rFonts w:ascii="IRNazanin" w:hAnsi="IRNazanin" w:eastAsia="IRNazanin" w:cs="IRNazanin"/>
          <w:lang w:bidi="fa-IR"/>
          <w:color w:val="111111"/>
          <w:sz w:val="28"/>
          <w:szCs w:val="28"/>
          <w:rtl/>
        </w:rPr>
        <w:t xml:space="preserve">[الذريعه ۱۱۲/۳ ؛ فهرستواره منزوی ۱۵۲/۹ ]</w:t>
      </w:r>
    </w:p>
    <w:p>
      <w:pPr>
        <w:pStyle w:val="BookText"/>
      </w:pPr>
      <w:r>
        <w:rPr>
          <w:rFonts w:ascii="IRNazanin" w:hAnsi="IRNazanin" w:eastAsia="IRNazanin" w:cs="IRNazanin"/>
          <w:lang w:bidi="fa-IR"/>
          <w:color w:val="111111"/>
          <w:sz w:val="28"/>
          <w:szCs w:val="28"/>
          <w:rtl/>
        </w:rPr>
        <w:t xml:space="preserve">تهران؛ دانشگاه؛ شماره نسخه:۳۴۳۴/۳</w:t>
      </w:r>
    </w:p>
    <w:p>
      <w:pPr>
        <w:pStyle w:val="BookText"/>
      </w:pPr>
      <w:r>
        <w:rPr>
          <w:rFonts w:ascii="IRNazanin" w:hAnsi="IRNazanin" w:eastAsia="IRNazanin" w:cs="IRNazanin"/>
          <w:lang w:bidi="fa-IR"/>
          <w:color w:val="111111"/>
          <w:sz w:val="28"/>
          <w:szCs w:val="28"/>
          <w:rtl/>
        </w:rPr>
        <w:t xml:space="preserve">این نسخه بشارت چهارم است؛ خط: نستعلیق، بی کا، تا: قرن ۱۴؛ کاغذ: فرنگی، جلد: تیماج عنابی ضربی مقوایی، ۱۵۵گ (۵۳ر - ۲۰۷پ)، ۱۲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۱۱-۲۴۴۷]</w:t>
      </w:r>
    </w:p>
    <w:p>
      <w:pPr>
        <w:pStyle w:val="Heading3"/>
      </w:pPr>
      <w:bookmarkStart w:id="753" w:name="_Toc13"/>
      <w:r>
        <w:t>• بشارات الشيعة / کلام و اعتقادات / عربی</w:t>
      </w:r>
      <w:bookmarkEnd w:id="753"/>
    </w:p>
    <w:p>
      <w:pPr>
        <w:pStyle w:val="BookText"/>
      </w:pPr>
      <w:r>
        <w:rPr>
          <w:rFonts w:ascii="Times New Roman" w:hAnsi="Times New Roman" w:eastAsia="Times New Roman" w:cs="Times New Roman"/>
          <w:lang w:val="en-US" w:bidi="en-US"/>
          <w:color w:val="111111"/>
          <w:sz w:val="28"/>
          <w:szCs w:val="28"/>
          <w:rtl/>
        </w:rPr>
        <w:t xml:space="preserve">bišārāt-uš šī‘a</w:t>
      </w:r>
    </w:p>
    <w:p>
      <w:pPr>
        <w:pStyle w:val="BookText"/>
      </w:pPr>
      <w:r>
        <w:rPr>
          <w:rFonts w:ascii="IRNazanin" w:hAnsi="IRNazanin" w:eastAsia="IRNazanin" w:cs="IRNazanin"/>
          <w:lang w:bidi="fa-IR"/>
          <w:color w:val="111111"/>
          <w:sz w:val="28"/>
          <w:szCs w:val="28"/>
          <w:rtl/>
        </w:rPr>
        <w:t xml:space="preserve">خواجوئی، محمد اسماعيل بن حسین، -۱۱۷۳ قمری</w:t>
      </w:r>
    </w:p>
    <w:p>
      <w:pPr>
        <w:pStyle w:val="BookText"/>
      </w:pPr>
      <w:r>
        <w:rPr>
          <w:rFonts w:ascii="Times New Roman" w:hAnsi="Times New Roman" w:eastAsia="Times New Roman" w:cs="Times New Roman"/>
          <w:lang w:val="en-US" w:bidi="en-US"/>
          <w:color w:val="111111"/>
          <w:sz w:val="28"/>
          <w:szCs w:val="28"/>
          <w:rtl/>
        </w:rPr>
        <w:t xml:space="preserve">xājā'ī, mohammad esmāʻīl ebn-e hoseyn (- 1760)</w:t>
      </w:r>
    </w:p>
    <w:p>
      <w:pPr>
        <w:pStyle w:val="BookText"/>
      </w:pPr>
      <w:r>
        <w:rPr>
          <w:rFonts w:ascii="IRNazanin" w:hAnsi="IRNazanin" w:eastAsia="IRNazanin" w:cs="IRNazanin"/>
          <w:lang w:bidi="fa-IR"/>
          <w:color w:val="111111"/>
          <w:sz w:val="28"/>
          <w:szCs w:val="28"/>
          <w:rtl/>
        </w:rPr>
        <w:t xml:space="preserve">تاریخ تأليف: از غره رمضان تا شوال 1155ق</w:t>
      </w:r>
    </w:p>
    <w:p>
      <w:pPr>
        <w:pStyle w:val="BookText"/>
      </w:pPr>
      <w:r>
        <w:rPr>
          <w:rFonts w:ascii="IRNazanin" w:hAnsi="IRNazanin" w:eastAsia="IRNazanin" w:cs="IRNazanin"/>
          <w:lang w:bidi="fa-IR"/>
          <w:color w:val="111111"/>
          <w:sz w:val="28"/>
          <w:szCs w:val="28"/>
          <w:rtl/>
        </w:rPr>
        <w:t xml:space="preserve">مطالبی که متعلق است به شیعه و بشارات و اشارات و نودهایی</w:t>
      </w:r>
    </w:p>
    <w:p>
      <w:pPr>
        <w:pStyle w:val="BookText"/>
      </w:pPr>
      <w:r>
        <w:rPr>
          <w:rFonts w:ascii="IRNazanin" w:hAnsi="IRNazanin" w:eastAsia="IRNazanin" w:cs="IRNazanin"/>
          <w:lang w:bidi="fa-IR"/>
          <w:color w:val="111111"/>
          <w:sz w:val="28"/>
          <w:szCs w:val="28"/>
          <w:rtl/>
        </w:rPr>
        <w:t xml:space="preserve">که اختصاص بدانها دارد، در هشت فصل»: ۱. معنى الشيعة؛ ۲. اختلاف مراتب الشيعة؛ ۳. فضل الشيعة؛ ۴. في أن الشیعی شهید و إن مات على فراشه؛ ۵. قبول عبادة الشيعة؛ ۶. فوائد حب آل محمد و ثمراته؛ ۷. في أن الشهادة بالتوحيد لاتقبل الا من الشيعة؛ 8 في أن الولاية أفضل اركان الاسلام.</w:t>
      </w:r>
    </w:p>
    <w:p>
      <w:pPr>
        <w:pStyle w:val="BookText"/>
      </w:pPr>
      <w:r>
        <w:rPr>
          <w:rFonts w:ascii="Amiri" w:hAnsi="Amiri" w:eastAsia="Amiri" w:cs="Amiri"/>
          <w:lang w:bidi="ar-SA"/>
          <w:color w:val="111111"/>
          <w:sz w:val="28"/>
          <w:szCs w:val="28"/>
          <w:rtl/>
        </w:rPr>
        <w:t xml:space="preserve">آغاز: بعد حمد من صيرنا من امة نبيه و شيعه عليه و أحبة ذرية وليه الذين جعل مودتهم اجر الرسالة</w:t>
      </w:r>
    </w:p>
    <w:p>
      <w:pPr>
        <w:pStyle w:val="BookText"/>
      </w:pPr>
      <w:r>
        <w:rPr>
          <w:rFonts w:ascii="IRNazanin" w:hAnsi="IRNazanin" w:eastAsia="IRNazanin" w:cs="IRNazanin"/>
          <w:lang w:bidi="fa-IR"/>
          <w:color w:val="111111"/>
          <w:sz w:val="28"/>
          <w:szCs w:val="28"/>
          <w:rtl/>
        </w:rPr>
        <w:t xml:space="preserve">انجام: واجعلني ممن ينتظم في سلك احبتهم بحقك عليهم و بحقهم عليک و من هنا انقطع الكلام.</w:t>
      </w:r>
    </w:p>
    <w:p>
      <w:pPr>
        <w:pStyle w:val="BookText"/>
      </w:pPr>
      <w:r>
        <w:rPr>
          <w:rFonts w:ascii="IRNazanin" w:hAnsi="IRNazanin" w:eastAsia="IRNazanin" w:cs="IRNazanin"/>
          <w:lang w:bidi="fa-IR"/>
          <w:color w:val="111111"/>
          <w:sz w:val="28"/>
          <w:szCs w:val="28"/>
          <w:rtl/>
        </w:rPr>
        <w:t xml:space="preserve">چاپ: در مجموعه اولی از رسائل اعتقادیه مؤلف چاپ شده است.</w:t>
      </w:r>
    </w:p>
    <w:p>
      <w:pPr>
        <w:pStyle w:val="BookText"/>
      </w:pPr>
      <w:r>
        <w:rPr>
          <w:rFonts w:ascii="IRNazanin" w:hAnsi="IRNazanin" w:eastAsia="IRNazanin" w:cs="IRNazanin"/>
          <w:lang w:bidi="fa-IR"/>
          <w:color w:val="111111"/>
          <w:sz w:val="28"/>
          <w:szCs w:val="28"/>
          <w:rtl/>
        </w:rPr>
        <w:t xml:space="preserve">[الذریعه ۱۱۲/۳ و ۱۱۳]</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Amiri" w:hAnsi="Amiri" w:eastAsia="Amiri" w:cs="Amiri"/>
          <w:lang w:bidi="ar-SA"/>
          <w:color w:val="111111"/>
          <w:sz w:val="28"/>
          <w:szCs w:val="28"/>
          <w:rtl/>
        </w:rPr>
        <w:t xml:space="preserve">١- بشارات الشيعه (ترجمه)</w:t>
      </w:r>
    </w:p>
    <w:p>
      <w:pPr>
        <w:pStyle w:val="BookText"/>
      </w:pPr>
      <w:r>
        <w:rPr>
          <w:rFonts w:ascii="IRNazanin" w:hAnsi="IRNazanin" w:eastAsia="IRNazanin" w:cs="IRNazanin"/>
          <w:lang w:bidi="fa-IR"/>
          <w:color w:val="111111"/>
          <w:sz w:val="28"/>
          <w:szCs w:val="28"/>
          <w:rtl/>
        </w:rPr>
        <w:t xml:space="preserve">۲- بشارة الشيعة؛ شریف، علی بن فتح الله (-11)</w:t>
      </w:r>
    </w:p>
    <w:p>
      <w:pPr>
        <w:pStyle w:val="BookText"/>
      </w:pPr>
      <w:r>
        <w:rPr>
          <w:rFonts w:ascii="IRNazanin" w:hAnsi="IRNazanin" w:eastAsia="IRNazanin" w:cs="IRNazanin"/>
          <w:lang w:bidi="fa-IR"/>
          <w:color w:val="111111"/>
          <w:sz w:val="28"/>
          <w:szCs w:val="28"/>
          <w:rtl/>
        </w:rPr>
        <w:t xml:space="preserve">٣- بشارات الشيعه (ترجمه)؛ نجم آبادی، محمد ابراهيم بن محمد باقر (۱۳-)</w:t>
      </w:r>
    </w:p>
    <w:p>
      <w:pPr>
        <w:pStyle w:val="BookText"/>
      </w:pPr>
      <w:r>
        <w:rPr>
          <w:rFonts w:ascii="IRNazanin" w:hAnsi="IRNazanin" w:eastAsia="IRNazanin" w:cs="IRNazanin"/>
          <w:lang w:bidi="fa-IR"/>
          <w:color w:val="111111"/>
          <w:sz w:val="28"/>
          <w:szCs w:val="28"/>
          <w:rtl/>
        </w:rPr>
        <w:t xml:space="preserve">۱. قم؛ مرعشی؛ شماره نسخه: ۱۱۲۱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کاتب = مؤلف، تا: ۱۱۵۵ق؛ مصحح؛ جلد: تیماج قرمز بدون مقوا، ۹۷گ، ۱۹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w:t>
      </w:r>
    </w:p>
    <w:p>
      <w:pPr>
        <w:pStyle w:val="BookText"/>
      </w:pPr>
      <w:r>
        <w:rPr>
          <w:rFonts w:ascii="IRNazanin" w:hAnsi="IRNazanin" w:eastAsia="IRNazanin" w:cs="IRNazanin"/>
          <w:lang w:bidi="fa-IR"/>
          <w:color w:val="111111"/>
          <w:sz w:val="28"/>
          <w:szCs w:val="28"/>
          <w:rtl/>
        </w:rPr>
        <w:t xml:space="preserve">سم [ف: ۳-۲۹۲]</w:t>
      </w:r>
    </w:p>
    <w:p>
      <w:pPr>
        <w:pStyle w:val="BookText"/>
      </w:pPr>
      <w:r>
        <w:rPr>
          <w:rFonts w:ascii="IRNazanin" w:hAnsi="IRNazanin" w:eastAsia="IRNazanin" w:cs="IRNazanin"/>
          <w:lang w:bidi="fa-IR"/>
          <w:color w:val="111111"/>
          <w:sz w:val="28"/>
          <w:szCs w:val="28"/>
          <w:rtl/>
        </w:rPr>
        <w:t xml:space="preserve">۲. قم، مرکز احیاء؛ شماره نسخه: ۳۶۷۶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۱۳؛ مصحح؛ حواشی متفرقه ای به فارسی از عباس واعظ مازندرانی به سال ۱۳۰۷ آمده؛ جلد: تیماج قهوه ای روشن، ۹۳گ، ۲۱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محدث ارموی مخ: ۱-۲۵۲]</w:t>
      </w:r>
    </w:p>
    <w:p>
      <w:pPr>
        <w:pStyle w:val="BookText"/>
      </w:pPr>
      <w:r>
        <w:rPr>
          <w:rFonts w:ascii="IRNazanin" w:hAnsi="IRNazanin" w:eastAsia="IRNazanin" w:cs="IRNazanin"/>
          <w:lang w:bidi="fa-IR"/>
          <w:color w:val="111111"/>
          <w:sz w:val="28"/>
          <w:szCs w:val="28"/>
          <w:rtl/>
        </w:rPr>
        <w:t xml:space="preserve">٣. یزد؛ وزیری؛ شماره نسخه: ۲۹۷۷</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کامل؛ خط: نسخ، كا: حاج میرزا محمد، تا: ۱۲۹۳ق؛ اهدایی: محمد جواد میرزائی؛ کاغذ: اصفهانی، جلد: مقوایی روکش کاغذ رنگین عطف تیماج زرد، ۱۹۰گ، ۱۳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۴-۱۴۹۲]</w:t>
      </w:r>
    </w:p>
    <w:p>
      <w:pPr>
        <w:pStyle w:val="BookText"/>
      </w:pPr>
      <w:r>
        <w:rPr>
          <w:rFonts w:ascii="Amiri" w:hAnsi="Amiri" w:eastAsia="Amiri" w:cs="Amiri"/>
          <w:lang w:bidi="ar-SA"/>
          <w:color w:val="111111"/>
          <w:sz w:val="28"/>
          <w:szCs w:val="28"/>
          <w:rtl/>
        </w:rPr>
        <w:t xml:space="preserve">۴. اصفهان، مكتبة الزهراء؛ شماره نسخه: ۲۳۱</w:t>
      </w:r>
    </w:p>
    <w:p>
      <w:pPr>
        <w:pStyle w:val="BookText"/>
      </w:pPr>
      <w:r>
        <w:rPr>
          <w:rFonts w:ascii="IRNazanin" w:hAnsi="IRNazanin" w:eastAsia="IRNazanin" w:cs="IRNazanin"/>
          <w:lang w:bidi="fa-IR"/>
          <w:color w:val="111111"/>
          <w:sz w:val="28"/>
          <w:szCs w:val="28"/>
          <w:rtl/>
        </w:rPr>
        <w:t xml:space="preserve">خط نسخ، بی کا، بی تا؛ ۴۸ گ، ۲۵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۱۴۱]</w:t>
      </w:r>
    </w:p>
    <w:p>
      <w:pPr>
        <w:pStyle w:val="Heading3"/>
      </w:pPr>
      <w:bookmarkStart w:id="754" w:name="_Toc14"/>
      <w:r>
        <w:t>• بشارات الشيعه (ترجمه) / كلام و اعتقادات / فارسی</w:t>
      </w:r>
      <w:bookmarkEnd w:id="754"/>
    </w:p>
    <w:p>
      <w:pPr>
        <w:pStyle w:val="BookText"/>
      </w:pPr>
      <w:r>
        <w:rPr>
          <w:rFonts w:ascii="Times New Roman" w:hAnsi="Times New Roman" w:eastAsia="Times New Roman" w:cs="Times New Roman"/>
          <w:lang w:val="en-US" w:bidi="en-US"/>
          <w:color w:val="111111"/>
          <w:sz w:val="28"/>
          <w:szCs w:val="28"/>
          <w:rtl/>
        </w:rPr>
        <w:t xml:space="preserve">bišārāt-uš šīʻa (t.)</w:t>
      </w:r>
    </w:p>
    <w:p>
      <w:pPr>
        <w:pStyle w:val="BookText"/>
      </w:pPr>
      <w:r>
        <w:rPr>
          <w:rFonts w:ascii="IRNazanin" w:hAnsi="IRNazanin" w:eastAsia="IRNazanin" w:cs="IRNazanin"/>
          <w:lang w:bidi="fa-IR"/>
          <w:color w:val="111111"/>
          <w:sz w:val="28"/>
          <w:szCs w:val="28"/>
          <w:rtl/>
        </w:rPr>
        <w:t xml:space="preserve">نجم آبادی، محمد ابراهيم بن محمد باقر، ق۱۳ قمری</w:t>
      </w:r>
    </w:p>
    <w:p>
      <w:pPr>
        <w:pStyle w:val="BookText"/>
      </w:pPr>
      <w:r>
        <w:rPr>
          <w:rFonts w:ascii="Times New Roman" w:hAnsi="Times New Roman" w:eastAsia="Times New Roman" w:cs="Times New Roman"/>
          <w:lang w:val="en-US" w:bidi="en-US"/>
          <w:color w:val="111111"/>
          <w:sz w:val="28"/>
          <w:szCs w:val="28"/>
          <w:rtl/>
        </w:rPr>
        <w:t xml:space="preserve">najm-ābādī, mohammad ebrāhīm ebn-e mohammad baqer (- 19c)</w:t>
      </w:r>
    </w:p>
    <w:p>
      <w:pPr>
        <w:pStyle w:val="BookText"/>
      </w:pPr>
      <w:r>
        <w:rPr>
          <w:rFonts w:ascii="IRNazanin" w:hAnsi="IRNazanin" w:eastAsia="IRNazanin" w:cs="IRNazanin"/>
          <w:lang w:bidi="fa-IR"/>
          <w:color w:val="111111"/>
          <w:sz w:val="28"/>
          <w:szCs w:val="28"/>
          <w:rtl/>
        </w:rPr>
        <w:t xml:space="preserve">وابسته به: بشارات الشيعة؛ خواجوئی، محمد اسماعيل بن حسين (۱۱۷۳-)</w:t>
      </w:r>
    </w:p>
    <w:p>
      <w:pPr>
        <w:pStyle w:val="BookText"/>
      </w:pPr>
      <w:r>
        <w:rPr>
          <w:rFonts w:ascii="IRNazanin" w:hAnsi="IRNazanin" w:eastAsia="IRNazanin" w:cs="IRNazanin"/>
          <w:lang w:bidi="fa-IR"/>
          <w:color w:val="111111"/>
          <w:sz w:val="28"/>
          <w:szCs w:val="28"/>
          <w:rtl/>
        </w:rPr>
        <w:t xml:space="preserve">اهدا به: ناصرالدین شاه قاجار</w:t>
      </w:r>
    </w:p>
    <w:p>
      <w:pPr>
        <w:pStyle w:val="BookText"/>
      </w:pPr>
      <w:r>
        <w:rPr>
          <w:rFonts w:ascii="IRNazanin" w:hAnsi="IRNazanin" w:eastAsia="IRNazanin" w:cs="IRNazanin"/>
          <w:lang w:bidi="fa-IR"/>
          <w:color w:val="111111"/>
          <w:sz w:val="28"/>
          <w:szCs w:val="28"/>
          <w:rtl/>
        </w:rPr>
        <w:t xml:space="preserve">ترجمه «بشارات الشيعة» ملا اسماعیل خواجویی است. کتاب حاضر در مدح مذهب شیعه و برتری آن است که در هشت « فصل» تنظیم و تهیه شده است.</w:t>
      </w:r>
    </w:p>
    <w:p>
      <w:pPr>
        <w:pStyle w:val="BookText"/>
      </w:pPr>
      <w:r>
        <w:rPr>
          <w:rFonts w:ascii="Amiri" w:hAnsi="Amiri" w:eastAsia="Amiri" w:cs="Amiri"/>
          <w:lang w:bidi="ar-SA"/>
          <w:color w:val="111111"/>
          <w:sz w:val="28"/>
          <w:szCs w:val="28"/>
          <w:rtl/>
        </w:rPr>
        <w:t xml:space="preserve">آغاز: بسمله. لك الحمد يا من رفع درجات العلماء و فضل مدادهم على دماء الشهداء و بشر اتباع نبيه و شيعة وليه بجزيل العطاء في يوم الجزاء ورفض مخالفيهما</w:t>
      </w:r>
    </w:p>
    <w:p>
      <w:pPr>
        <w:pStyle w:val="BookText"/>
      </w:pPr>
      <w:r>
        <w:rPr>
          <w:rFonts w:ascii="IRNazanin" w:hAnsi="IRNazanin" w:eastAsia="IRNazanin" w:cs="IRNazanin"/>
          <w:lang w:bidi="fa-IR"/>
          <w:color w:val="111111"/>
          <w:sz w:val="28"/>
          <w:szCs w:val="28"/>
          <w:rtl/>
        </w:rPr>
        <w:t xml:space="preserve">[الذريعة ۱۱۲/۳ ؛ نسخه های منزوی ۹۱۵/۲ ؛ فهرستواره منزوی ۲۰۱/۹ ]</w:t>
      </w:r>
    </w:p>
    <w:p>
      <w:pPr>
        <w:pStyle w:val="BookText"/>
      </w:pPr>
      <w:r>
        <w:rPr>
          <w:rFonts w:ascii="IRNazanin" w:hAnsi="IRNazanin" w:eastAsia="IRNazanin" w:cs="IRNazanin"/>
          <w:lang w:bidi="fa-IR"/>
          <w:color w:val="111111"/>
          <w:sz w:val="28"/>
          <w:szCs w:val="28"/>
          <w:rtl/>
        </w:rPr>
        <w:t xml:space="preserve">۱. قم، گلپایگانی؛ شماره نسخه: ۹۳- ۱/۹۳</w:t>
      </w:r>
    </w:p>
    <w:p>
      <w:pPr>
        <w:pStyle w:val="BookText"/>
      </w:pPr>
      <w:r>
        <w:rPr>
          <w:rFonts w:ascii="IRNazanin" w:hAnsi="IRNazanin" w:eastAsia="IRNazanin" w:cs="IRNazanin"/>
          <w:lang w:bidi="fa-IR"/>
          <w:color w:val="111111"/>
          <w:sz w:val="28"/>
          <w:szCs w:val="28"/>
          <w:rtl/>
        </w:rPr>
        <w:t xml:space="preserve">آغاز: برابر؛ انجام: نزاع نمی کنند در حق ایشان بلکه ایشان را دوست دارد. مؤلف گوید: اللهم ثبتني على ولايتهم و ... الى يوم النشور بمحمد و آل محمد (صلی الله علیه وآله وسلم) تم</w:t>
      </w:r>
    </w:p>
    <w:p>
      <w:pPr>
        <w:pStyle w:val="BookText"/>
      </w:pPr>
      <w:r>
        <w:rPr>
          <w:rFonts w:ascii="IRNazanin" w:hAnsi="IRNazanin" w:eastAsia="IRNazanin" w:cs="IRNazanin"/>
          <w:lang w:bidi="fa-IR"/>
          <w:color w:val="111111"/>
          <w:sz w:val="28"/>
          <w:szCs w:val="28"/>
          <w:rtl/>
        </w:rPr>
        <w:t xml:space="preserve">خط: نسخ و نستعلیق، بی کا، تا: شب ۲۰ ربیع الثانی ۱۲۴۳ق؛ در برگ آخر طریقه ختم دعای «یا من تحل به عقد المكاره» به نقل از شیخ حسین بن عبدالصمد برادرزاده شیخ بهایی؛ جلد: تیماج، قهوه ای، ۱۶۴، ۱۷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۲-۸۶۲]</w:t>
      </w:r>
    </w:p>
    <w:p>
      <w:pPr>
        <w:pStyle w:val="BookText"/>
      </w:pPr>
      <w:r>
        <w:rPr>
          <w:rFonts w:ascii="IRNazanin" w:hAnsi="IRNazanin" w:eastAsia="IRNazanin" w:cs="IRNazanin"/>
          <w:lang w:bidi="fa-IR"/>
          <w:color w:val="111111"/>
          <w:sz w:val="28"/>
          <w:szCs w:val="28"/>
          <w:rtl/>
        </w:rPr>
        <w:t xml:space="preserve">۲. تهران؛ سلطنتی؛ شماره نسخه: ۸۲۱</w:t>
      </w:r>
    </w:p>
    <w:p>
      <w:pPr>
        <w:pStyle w:val="BookText"/>
      </w:pPr>
      <w:r>
        <w:rPr>
          <w:rFonts w:ascii="IRNazanin" w:hAnsi="IRNazanin" w:eastAsia="IRNazanin" w:cs="IRNazanin"/>
          <w:lang w:bidi="fa-IR"/>
          <w:color w:val="111111"/>
          <w:sz w:val="28"/>
          <w:szCs w:val="28"/>
          <w:rtl/>
        </w:rPr>
        <w:t xml:space="preserve">آغاز: بسمله. الحمدلله الذي لبشر اولیائه بجنانه و ثوابه و انذر اعدائه بحجيمه و عقابه؛ انجام: حسب الامر اعليحضرت اقدس همیون شهریاری ...... تحریر شد في شهر رمضان المبارک کتبه غلامزاده حقیقی علینقی ابن محمد تقی نوری سنه ۱۲۸۰</w:t>
      </w:r>
    </w:p>
    <w:p>
      <w:pPr>
        <w:pStyle w:val="BookText"/>
      </w:pPr>
      <w:r>
        <w:rPr>
          <w:rFonts w:ascii="IRNazanin" w:hAnsi="IRNazanin" w:eastAsia="IRNazanin" w:cs="IRNazanin"/>
          <w:lang w:bidi="fa-IR"/>
          <w:color w:val="111111"/>
          <w:sz w:val="28"/>
          <w:szCs w:val="28"/>
          <w:rtl/>
        </w:rPr>
        <w:t xml:space="preserve">خط: نستعلیق خفي، كا: علینقی بن محمد تقی نوری، تا: ۱۲۸۰ق؛ مجدول، کمند کشی زرین و رنگین، دو صفحه مذهب مرصع، یک سرلوح مذهب مرصع ممتاز؛ کاغذ: فرنگی آبی رنگ، جلد: مقوای روکش تیماج لاکی ساده مجدول کمند کشی زرین، ۲۵۴ص، ۱۲ سطر، قطع: وزیری،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۱-۸۳]</w:t>
      </w:r>
    </w:p>
    <w:p>
      <w:pPr>
        <w:pStyle w:val="BookText"/>
      </w:pPr>
      <w:r>
        <w:rPr>
          <w:rFonts w:ascii="IRNazanin" w:hAnsi="IRNazanin" w:eastAsia="IRNazanin" w:cs="IRNazanin"/>
          <w:lang w:bidi="fa-IR"/>
          <w:color w:val="111111"/>
          <w:sz w:val="28"/>
          <w:szCs w:val="28"/>
          <w:rtl/>
        </w:rPr>
        <w:t xml:space="preserve">٣. تهران: دانشگاه؛ شماره نسخه: ۳۱۸۸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20363_209146"/>
    <w:bookmarkEnd w:id="8"/>
    <w:p>
      <w:pPr>
        <w:pStyle w:val="BookText"/>
      </w:pPr>
      <w:r>
        <w:rPr>
          <w:rFonts w:ascii="IRNazanin" w:hAnsi="IRNazanin" w:eastAsia="IRNazanin" w:cs="IRNazanin"/>
          <w:lang w:bidi="fa-IR"/>
          <w:color w:val="111111"/>
          <w:sz w:val="28"/>
          <w:szCs w:val="28"/>
          <w:rtl/>
        </w:rPr>
        <w:t xml:space="preserve">آغاز: بسمله. لک الحمديا من رفع درجات العلماء ... اما بعد این کتابی است موسوم به بشارة الشيعة از ... محمد اسمعيل مازندرانی مشتمل بر هشت فصل؛ انجام: و هر گاه سهو و نسیانی چشم پوشیده عفو فرمایند (تمام در یوم یکشنبه بیست و یکم شعبان ... سنه ۱۲۷۲)</w:t>
      </w:r>
    </w:p>
    <w:p>
      <w:pPr>
        <w:pStyle w:val="BookText"/>
      </w:pPr>
      <w:r>
        <w:rPr>
          <w:rFonts w:ascii="IRNazanin" w:hAnsi="IRNazanin" w:eastAsia="IRNazanin" w:cs="IRNazanin"/>
          <w:lang w:bidi="fa-IR"/>
          <w:color w:val="111111"/>
          <w:sz w:val="28"/>
          <w:szCs w:val="28"/>
          <w:rtl/>
        </w:rPr>
        <w:t xml:space="preserve">محتملا از نجم آبادی است؛ خط: نسخ، بی کا، تا: ۲۱ شعبان ۱۲۷۲ق؛ مهر: «یا ابا عبدالله ۱۲۷۲»؛ کاغذ: فرنگی، جلد: تیماج عنابی ضربی ترنجی مقوایی، ۱۳۴ گی، ۲۱ سطر (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 اندازه: ۱۴/۵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۱۱-۲۱۴۶] ۴. مشهد؛ شیخ علی حیدر، شماره نسخه: ۲۸</w:t>
      </w:r>
    </w:p>
    <w:p>
      <w:pPr>
        <w:pStyle w:val="BookText"/>
      </w:pPr>
      <w:r>
        <w:rPr>
          <w:rFonts w:ascii="IRNazanin" w:hAnsi="IRNazanin" w:eastAsia="IRNazanin" w:cs="IRNazanin"/>
          <w:lang w:bidi="fa-IR"/>
          <w:color w:val="111111"/>
          <w:sz w:val="28"/>
          <w:szCs w:val="28"/>
          <w:rtl/>
        </w:rPr>
        <w:t xml:space="preserve">آغاز: برابر، انجام و شیعیان وی. پس من در جواب گفتم خدا با تو دشمنی کند</w:t>
      </w:r>
    </w:p>
    <w:p>
      <w:pPr>
        <w:pStyle w:val="BookText"/>
      </w:pPr>
      <w:r>
        <w:rPr>
          <w:rFonts w:ascii="IRNazanin" w:hAnsi="IRNazanin" w:eastAsia="IRNazanin" w:cs="IRNazanin"/>
          <w:lang w:bidi="fa-IR"/>
          <w:color w:val="111111"/>
          <w:sz w:val="28"/>
          <w:szCs w:val="28"/>
          <w:rtl/>
        </w:rPr>
        <w:t xml:space="preserve">محتملا از همان نجم آبادی باشد؛ خط: نسخ، بی کا، بی تا؛ افتادگی: انجام؛ مصحح؛ سه تملک در طهران به تاریخ ۱۳۰۶ با مهر «علی ... محسن ۱۲۸۸» (بیضوی)؛ جلد: تیماج قهوه ای، ۱۳۲گ، ۲۱ سطر، اندازه: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w:t>
      </w:r>
    </w:p>
    <w:p>
      <w:pPr>
        <w:pStyle w:val="BookText"/>
      </w:pPr>
      <w:r>
        <w:rPr>
          <w:rFonts w:ascii="IRNazanin" w:hAnsi="IRNazanin" w:eastAsia="IRNazanin" w:cs="IRNazanin"/>
          <w:lang w:bidi="fa-IR"/>
          <w:color w:val="111111"/>
          <w:sz w:val="28"/>
          <w:szCs w:val="28"/>
          <w:rtl/>
        </w:rPr>
        <w:t xml:space="preserve">سم (مؤید: ۳-۵۶۹]</w:t>
      </w:r>
    </w:p>
    <w:p>
      <w:pPr>
        <w:pStyle w:val="Heading3"/>
      </w:pPr>
      <w:bookmarkStart w:id="755" w:name="_Toc15"/>
      <w:r>
        <w:t>• البشارات الفقهية و دلائل الأحكام الفرعية / فقه، شعر / عربی</w:t>
      </w:r>
      <w:bookmarkEnd w:id="755"/>
    </w:p>
    <w:p>
      <w:pPr>
        <w:pStyle w:val="BookText"/>
      </w:pPr>
      <w:r>
        <w:rPr>
          <w:rFonts w:ascii="Times New Roman" w:hAnsi="Times New Roman" w:eastAsia="Times New Roman" w:cs="Times New Roman"/>
          <w:lang w:val="en-US" w:bidi="en-US"/>
          <w:color w:val="111111"/>
          <w:sz w:val="28"/>
          <w:szCs w:val="28"/>
          <w:rtl/>
        </w:rPr>
        <w:t xml:space="preserve">al-bišārāt-ul fiqhīya wa dalā'il-ul ahkām-il farʻīya</w:t>
      </w:r>
    </w:p>
    <w:p>
      <w:pPr>
        <w:pStyle w:val="BookText"/>
      </w:pPr>
      <w:r>
        <w:rPr>
          <w:rFonts w:ascii="IRNazanin" w:hAnsi="IRNazanin" w:eastAsia="IRNazanin" w:cs="IRNazanin"/>
          <w:lang w:bidi="fa-IR"/>
          <w:color w:val="111111"/>
          <w:sz w:val="28"/>
          <w:szCs w:val="28"/>
          <w:rtl/>
        </w:rPr>
        <w:t xml:space="preserve">شور کی میبدی، حسین بن محمد، ق۱۴ قمری</w:t>
      </w:r>
    </w:p>
    <w:p>
      <w:pPr>
        <w:pStyle w:val="BookText"/>
      </w:pPr>
      <w:r>
        <w:rPr>
          <w:rFonts w:ascii="Times New Roman" w:hAnsi="Times New Roman" w:eastAsia="Times New Roman" w:cs="Times New Roman"/>
          <w:lang w:val="en-US" w:bidi="en-US"/>
          <w:color w:val="111111"/>
          <w:sz w:val="28"/>
          <w:szCs w:val="28"/>
          <w:rtl/>
        </w:rPr>
        <w:t xml:space="preserve">šūrakī meybodī, hoseyn ebn-e mohammad (- 20c)</w:t>
      </w:r>
    </w:p>
    <w:p>
      <w:pPr>
        <w:pStyle w:val="BookText"/>
      </w:pPr>
      <w:r>
        <w:rPr>
          <w:rFonts w:ascii="IRNazanin" w:hAnsi="IRNazanin" w:eastAsia="IRNazanin" w:cs="IRNazanin"/>
          <w:lang w:bidi="fa-IR"/>
          <w:color w:val="111111"/>
          <w:sz w:val="28"/>
          <w:szCs w:val="28"/>
          <w:rtl/>
        </w:rPr>
        <w:t xml:space="preserve">یزد؛ وزیری؛ شماره نسخه: ۲۴۸</w:t>
      </w:r>
    </w:p>
    <w:p>
      <w:pPr>
        <w:pStyle w:val="BookText"/>
      </w:pPr>
      <w:r>
        <w:rPr>
          <w:rFonts w:ascii="IRNazanin" w:hAnsi="IRNazanin" w:eastAsia="IRNazanin" w:cs="IRNazanin"/>
          <w:lang w:bidi="fa-IR"/>
          <w:color w:val="111111"/>
          <w:sz w:val="28"/>
          <w:szCs w:val="28"/>
          <w:rtl/>
        </w:rPr>
        <w:t xml:space="preserve">آغاز: (کتاب الاجارة) بسمله، و الأصل في شرعية الاجارة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بعد الكتاب السنة الكبيرة / أما الكتاب قوله ارضعن *** لكم فأتوهن اجرهن؛ انجام: (کتاب الديات و المعظم قد اطلق الظمآنا *** و اعتبر التفريط حيث كانا / استضعف الرواية المزبورة *** جمع من الاجلة الموقوة / و لنختم الكلام في المنظومة *** في هذه البشارة الموسومة / و الحمدلله على الهداية *** لدينه في البدء و النهاية</w:t>
      </w:r>
    </w:p>
    <w:p>
      <w:pPr>
        <w:pStyle w:val="BookText"/>
      </w:pPr>
      <w:r>
        <w:rPr>
          <w:rFonts w:ascii="IRNazanin" w:hAnsi="IRNazanin" w:eastAsia="IRNazanin" w:cs="IRNazanin"/>
          <w:lang w:bidi="fa-IR"/>
          <w:color w:val="111111"/>
          <w:sz w:val="28"/>
          <w:szCs w:val="28"/>
          <w:rtl/>
        </w:rPr>
        <w:t xml:space="preserve">از کتاب اجاره تا دیات ؛ خط: نسخ، كاتب = مؤلف، تا: ۲۳ شعبان ۱۳۳۶ق؛ کسب اجازات اجتهادی مؤلف از فقهای عصر بدین ترتیب: ۱. اجازة آقا میرزا هاشم خوانساری چهار سوقی مورخ سوم رجب ۱۳۱۲، ۲. اجازه آقا محمد تقی نجفی اصفهانی، ۳. اجازه آقا محمد علی بن محمد باقر مورخ شوال ۱۳۱۴، ۴. اجازه آقا محمد باقر فشار کی</w:t>
      </w:r>
    </w:p>
    <w:p>
      <w:pPr>
        <w:pStyle w:val="BookText"/>
      </w:pPr>
      <w:r>
        <w:rPr>
          <w:rFonts w:ascii="IRNazanin" w:hAnsi="IRNazanin" w:eastAsia="IRNazanin" w:cs="IRNazanin"/>
          <w:lang w:bidi="fa-IR"/>
          <w:color w:val="111111"/>
          <w:sz w:val="28"/>
          <w:szCs w:val="28"/>
          <w:rtl/>
        </w:rPr>
        <w:t xml:space="preserve">مورخ جمعه پانزدهم شعبان ۱۳۱۳؛ اهدائی: محمود مجد اردکانی؛ کاغذ: فرنگی آهار مهره، جلد: مقوایی با تیماج تریاکی، ۳۴۸گ، مختلف السطر،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۱-۲۴۴]</w:t>
      </w:r>
    </w:p>
    <w:p>
      <w:pPr>
        <w:pStyle w:val="Heading3"/>
      </w:pPr>
      <w:bookmarkStart w:id="756" w:name="_Toc16"/>
      <w:r>
        <w:t>• البشارات في شرح الاشارات / اصول فقه / عربی</w:t>
      </w:r>
      <w:bookmarkEnd w:id="756"/>
    </w:p>
    <w:p>
      <w:pPr>
        <w:pStyle w:val="BookText"/>
      </w:pPr>
      <w:r>
        <w:rPr>
          <w:rFonts w:ascii="Times New Roman" w:hAnsi="Times New Roman" w:eastAsia="Times New Roman" w:cs="Times New Roman"/>
          <w:lang w:val="en-US" w:bidi="en-US"/>
          <w:color w:val="111111"/>
          <w:sz w:val="28"/>
          <w:szCs w:val="28"/>
          <w:rtl/>
        </w:rPr>
        <w:t xml:space="preserve">al-bišārāt fī š.-il išārāt</w:t>
      </w:r>
    </w:p>
    <w:p>
      <w:pPr>
        <w:pStyle w:val="BookText"/>
      </w:pPr>
      <w:r>
        <w:rPr>
          <w:rFonts w:ascii="IRNazanin" w:hAnsi="IRNazanin" w:eastAsia="IRNazanin" w:cs="IRNazanin"/>
          <w:lang w:bidi="fa-IR"/>
          <w:color w:val="111111"/>
          <w:sz w:val="28"/>
          <w:szCs w:val="28"/>
          <w:rtl/>
        </w:rPr>
        <w:t xml:space="preserve">کلباسی، ابوالمعالی بن محمد ابراهیم، ۱۲۴۷-۱۳۱۵ قمری</w:t>
      </w:r>
    </w:p>
    <w:p>
      <w:pPr>
        <w:pStyle w:val="BookText"/>
      </w:pPr>
      <w:r>
        <w:rPr>
          <w:rFonts w:ascii="Times New Roman" w:hAnsi="Times New Roman" w:eastAsia="Times New Roman" w:cs="Times New Roman"/>
          <w:lang w:val="en-US" w:bidi="en-US"/>
          <w:color w:val="111111"/>
          <w:sz w:val="28"/>
          <w:szCs w:val="28"/>
          <w:rtl/>
        </w:rPr>
        <w:t xml:space="preserve">kalbāsī, ab-ol-ma‘ālī ebn-e mohammad ebrāhīm (1832 1898)</w:t>
      </w:r>
    </w:p>
    <w:p>
      <w:pPr>
        <w:pStyle w:val="BookText"/>
      </w:pPr>
      <w:r>
        <w:rPr>
          <w:rFonts w:ascii="IRNazanin" w:hAnsi="IRNazanin" w:eastAsia="IRNazanin" w:cs="IRNazanin"/>
          <w:lang w:bidi="fa-IR"/>
          <w:color w:val="111111"/>
          <w:sz w:val="28"/>
          <w:szCs w:val="28"/>
          <w:rtl/>
        </w:rPr>
        <w:t xml:space="preserve">وابسته به: اشارات الاصول؛ کرباسی، محمد ابراهيم بن محمد حسن (۱۱۸۰-۱۲۶۲)</w:t>
      </w:r>
    </w:p>
    <w:p>
      <w:pPr>
        <w:pStyle w:val="BookText"/>
      </w:pPr>
      <w:r>
        <w:rPr>
          <w:rFonts w:ascii="IRNazanin" w:hAnsi="IRNazanin" w:eastAsia="IRNazanin" w:cs="IRNazanin"/>
          <w:lang w:bidi="fa-IR"/>
          <w:color w:val="111111"/>
          <w:sz w:val="28"/>
          <w:szCs w:val="28"/>
          <w:rtl/>
        </w:rPr>
        <w:t xml:space="preserve">کتاب شرحی است مزجی و تحقیقی با اضافات بسیار در سه جلد، بر «اشارات الاصول» والدش. سید مصطفی صفائی خوانساری در معرفی کتاب نگاشته است: «هذا الكتاب شرح على اشارات الأصول لوالده المعظم له ولكن لا بنحو الشروح المتعارفه بل في الحقيقة كتاب مستقل مشتمل على خلاصة ما في الاشارات مع اضافات تحقيقات له و تمامه في ثلاث مجلدات كبار». در بسیاری از مباحث اصل عبارات را نیاورده و خلاصه به آن پرداخته است. تألیف</w:t>
      </w:r>
    </w:p>
    <w:p>
      <w:pPr>
        <w:pStyle w:val="BookText"/>
      </w:pPr>
      <w:r>
        <w:rPr>
          <w:rFonts w:ascii="IRNazanin" w:hAnsi="IRNazanin" w:eastAsia="IRNazanin" w:cs="IRNazanin"/>
          <w:lang w:bidi="fa-IR"/>
          <w:color w:val="111111"/>
          <w:sz w:val="28"/>
          <w:szCs w:val="28"/>
          <w:rtl/>
        </w:rPr>
        <w:t xml:space="preserve">کتاب پس از ۱۲۸۰ پایان یافته است.</w:t>
      </w:r>
    </w:p>
    <w:p>
      <w:pPr>
        <w:pStyle w:val="BookText"/>
      </w:pPr>
      <w:r>
        <w:rPr>
          <w:rFonts w:ascii="IRNazanin" w:hAnsi="IRNazanin" w:eastAsia="IRNazanin" w:cs="IRNazanin"/>
          <w:lang w:bidi="fa-IR"/>
          <w:color w:val="111111"/>
          <w:sz w:val="28"/>
          <w:szCs w:val="28"/>
          <w:rtl/>
        </w:rPr>
        <w:t xml:space="preserve">چاپ: طبع الجزء الأول منه.</w:t>
      </w:r>
    </w:p>
    <w:p>
      <w:pPr>
        <w:pStyle w:val="BookText"/>
      </w:pPr>
      <w:r>
        <w:rPr>
          <w:rFonts w:ascii="Amiri" w:hAnsi="Amiri" w:eastAsia="Amiri" w:cs="Amiri"/>
          <w:lang w:bidi="ar-SA"/>
          <w:color w:val="111111"/>
          <w:sz w:val="28"/>
          <w:szCs w:val="28"/>
          <w:rtl/>
        </w:rPr>
        <w:t xml:space="preserve">[الذريعة ۱۱۰/۳ ]</w:t>
      </w:r>
    </w:p>
    <w:p>
      <w:pPr>
        <w:pStyle w:val="BookText"/>
      </w:pPr>
      <w:r>
        <w:rPr>
          <w:rFonts w:ascii="IRNazanin" w:hAnsi="IRNazanin" w:eastAsia="IRNazanin" w:cs="IRNazanin"/>
          <w:lang w:bidi="fa-IR"/>
          <w:color w:val="111111"/>
          <w:sz w:val="28"/>
          <w:szCs w:val="28"/>
          <w:rtl/>
        </w:rPr>
        <w:t xml:space="preserve">۱. قم؛ مرعشی؛ شماره نسخه: ۷۹۳۱</w:t>
      </w:r>
    </w:p>
    <w:p>
      <w:pPr>
        <w:pStyle w:val="BookText"/>
      </w:pPr>
      <w:r>
        <w:rPr>
          <w:rFonts w:ascii="IRNazanin" w:hAnsi="IRNazanin" w:eastAsia="IRNazanin" w:cs="IRNazanin"/>
          <w:lang w:bidi="fa-IR"/>
          <w:color w:val="111111"/>
          <w:sz w:val="28"/>
          <w:szCs w:val="28"/>
          <w:rtl/>
        </w:rPr>
        <w:t xml:space="preserve">جلد سوم کتاب در ادله عقلیه؛ خط: نسخ، كان محمد باقر بن محمد حسن، تا: شنبه ۴ ربیع الاول ۱۲۸۸ق؛ در چند جا حواشی از فرزند مؤلف جمال الدين؛ ۳۰۳، ۳۰ سطر،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۲۰-۲۵۵]</w:t>
      </w:r>
    </w:p>
    <w:p>
      <w:pPr>
        <w:pStyle w:val="BookText"/>
      </w:pPr>
      <w:r>
        <w:rPr>
          <w:rFonts w:ascii="IRNazanin" w:hAnsi="IRNazanin" w:eastAsia="IRNazanin" w:cs="IRNazanin"/>
          <w:lang w:bidi="fa-IR"/>
          <w:color w:val="111111"/>
          <w:sz w:val="28"/>
          <w:szCs w:val="28"/>
          <w:rtl/>
        </w:rPr>
        <w:t xml:space="preserve">۲. تهران؛ مجلس؛ شماره نسخه: ۷۷۴۰</w:t>
      </w:r>
    </w:p>
    <w:p>
      <w:pPr>
        <w:pStyle w:val="BookText"/>
      </w:pPr>
      <w:r>
        <w:rPr>
          <w:rFonts w:ascii="IRNazanin" w:hAnsi="IRNazanin" w:eastAsia="IRNazanin" w:cs="IRNazanin"/>
          <w:lang w:bidi="fa-IR"/>
          <w:color w:val="111111"/>
          <w:sz w:val="28"/>
          <w:szCs w:val="28"/>
          <w:rtl/>
        </w:rPr>
        <w:t xml:space="preserve">آغاز: الكلام في الأدلة العقلية مقدمة المراد بالدليل العقلي هنا هو ما يكشف عن امر شرعي فرعي فهو حكم عقلی يمكن التوصل به الى امر شرعی فرعی و ربما يقال ان اخذ الحكم؛ انجام: و حجبت عن الأحزان و الاتراب و تقطعت ایدی الخلان و الاحباب و لم اتمكن من التوبة و الانابة الى رب الارباب و ابتليت بما اثقل ظهری بالكسب و الاكتساب.</w:t>
      </w:r>
    </w:p>
    <w:p>
      <w:pPr>
        <w:pStyle w:val="BookText"/>
      </w:pPr>
      <w:r>
        <w:rPr>
          <w:rFonts w:ascii="IRNazanin" w:hAnsi="IRNazanin" w:eastAsia="IRNazanin" w:cs="IRNazanin"/>
          <w:lang w:bidi="fa-IR"/>
          <w:color w:val="111111"/>
          <w:sz w:val="28"/>
          <w:szCs w:val="28"/>
          <w:rtl/>
        </w:rPr>
        <w:t xml:space="preserve">جلد سوم؛ خط: نسخ، كان محمد باقر بن محمد حسن بروجنی، تا: ۱۲۹۲ق؛ محشی به امضاء «منه عفی»؛ جلد: تیماج، زیتونی، سوخت، ترنج با سر با نقش گل و بوته، مجدول، ۲۸۶گ، ۳۰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۳۳/۵سم [ف: ۲۶-۲۳۰]</w:t>
      </w:r>
    </w:p>
    <w:p>
      <w:pPr>
        <w:pStyle w:val="BookText"/>
      </w:pPr>
      <w:r>
        <w:rPr>
          <w:rFonts w:ascii="IRNazanin" w:hAnsi="IRNazanin" w:eastAsia="IRNazanin" w:cs="IRNazanin"/>
          <w:lang w:bidi="fa-IR"/>
          <w:color w:val="111111"/>
          <w:sz w:val="28"/>
          <w:szCs w:val="28"/>
          <w:rtl/>
        </w:rPr>
        <w:t xml:space="preserve">٣. مشهد؛ رضوی؛ شماره نسخه: ۲۱۰۶۷</w:t>
      </w:r>
    </w:p>
    <w:p>
      <w:pPr>
        <w:pStyle w:val="BookText"/>
      </w:pPr>
      <w:r>
        <w:rPr>
          <w:rFonts w:ascii="Amiri" w:hAnsi="Amiri" w:eastAsia="Amiri" w:cs="Amiri"/>
          <w:lang w:bidi="ar-SA"/>
          <w:color w:val="111111"/>
          <w:sz w:val="28"/>
          <w:szCs w:val="28"/>
          <w:rtl/>
        </w:rPr>
        <w:t xml:space="preserve">آغاز: بسمله، الكلام في الأدلة الشرعية و فيه مقاصد المقصد الأول في الكتاب مقدمة الكتاب مع اداة التعريف عرف النحاة بل غيرهم في كتاب سيبويه و بدونها؛ انجام: و للتقرير فيه وجه فكان على المستدل الشهيد الاستدلال به و الله العالم</w:t>
      </w:r>
    </w:p>
    <w:p>
      <w:pPr>
        <w:pStyle w:val="BookText"/>
      </w:pPr>
      <w:r>
        <w:rPr>
          <w:rFonts w:ascii="IRNazanin" w:hAnsi="IRNazanin" w:eastAsia="IRNazanin" w:cs="IRNazanin"/>
          <w:lang w:bidi="fa-IR"/>
          <w:color w:val="111111"/>
          <w:sz w:val="28"/>
          <w:szCs w:val="28"/>
          <w:rtl/>
        </w:rPr>
        <w:t xml:space="preserve">جلد دوم و شامل مباحث ادله شرعيه؛ خط: نستعلیق تحریری، کا: سید احمد صفایی خوانساری، بی تا، جان اصفهان؛ اهدایی: رهبری، خرداد ۱۳۷۳؛ کاغذ: فرنگی آهار مهره نخودی، جلد: مقوا، عطف و گوشه ها تیماج</w:t>
      </w:r>
    </w:p>
    <w:p>
      <w:pPr>
        <w:pStyle w:val="BookText"/>
      </w:pPr>
      <w:r>
        <w:rPr>
          <w:rFonts w:ascii="IRNazanin" w:hAnsi="IRNazanin" w:eastAsia="IRNazanin" w:cs="IRNazanin"/>
          <w:lang w:bidi="fa-IR"/>
          <w:color w:val="111111"/>
          <w:sz w:val="28"/>
          <w:szCs w:val="28"/>
          <w:rtl/>
        </w:rPr>
        <w:t xml:space="preserve">خرمایی، ۴۳۸گ، 19 سطر، اندازه: ۲۱/۵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۱۶-۵۱] و [اهدائی ف: ۶۵]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9" w:name="pg20363_209147"/>
    <w:bookmarkEnd w:id="9"/>
    <w:p>
      <w:pPr>
        <w:pStyle w:val="BookText"/>
      </w:pPr>
      <w:r>
        <w:rPr>
          <w:rFonts w:ascii="IRNazanin" w:hAnsi="IRNazanin" w:eastAsia="IRNazanin" w:cs="IRNazanin"/>
          <w:lang w:bidi="fa-IR"/>
          <w:color w:val="111111"/>
          <w:sz w:val="28"/>
          <w:szCs w:val="28"/>
          <w:rtl/>
        </w:rPr>
        <w:t xml:space="preserve">۴. قم؛ گلپایگانی؛ شماره نسخه: ۹۲۱/۱ -۶/۱۱</w:t>
      </w:r>
    </w:p>
    <w:p>
      <w:pPr>
        <w:pStyle w:val="BookText"/>
      </w:pPr>
      <w:r>
        <w:rPr>
          <w:rFonts w:ascii="IRNazanin" w:hAnsi="IRNazanin" w:eastAsia="IRNazanin" w:cs="IRNazanin"/>
          <w:lang w:bidi="fa-IR"/>
          <w:color w:val="111111"/>
          <w:sz w:val="28"/>
          <w:szCs w:val="28"/>
          <w:rtl/>
        </w:rPr>
        <w:t xml:space="preserve">آغاز: بسمله. الكلام في الادلة العقلية مقدمة المراد بالدليل العقلی هنا هو ما يكشف عن امر شرعي فرعي فهو حكم عقلی؛ انجام: وفي بعض النسخ بالرسالة الذهبية في العلوم الطبية والظاهرات مضامین الرسالة تشهد بعد ودها عن المعصوم. والله العالم.</w:t>
      </w:r>
    </w:p>
    <w:p>
      <w:pPr>
        <w:pStyle w:val="BookText"/>
      </w:pPr>
      <w:r>
        <w:rPr>
          <w:rFonts w:ascii="IRNazanin" w:hAnsi="IRNazanin" w:eastAsia="IRNazanin" w:cs="IRNazanin"/>
          <w:lang w:bidi="fa-IR"/>
          <w:color w:val="111111"/>
          <w:sz w:val="28"/>
          <w:szCs w:val="28"/>
          <w:rtl/>
        </w:rPr>
        <w:t xml:space="preserve">جلد سوم از ادله عقلیه تا آخر کتاب؛ خط: نسخ، كا: استكتاب از نورالدین طباطبایی، بی تا؛ مصحح، با حواشی «منه عفى عنه» به خط عباس بن محمد جعفر در شوال ۱۳۰۸، ۴۹۲گ، ۲۶-۲۷ سطر، اندازه: 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۲-۶۲۱]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مرعشی؛ شماره نسخه: ۶۱۸۲</w:t>
      </w:r>
    </w:p>
    <w:p>
      <w:pPr>
        <w:pStyle w:val="BookText"/>
      </w:pPr>
      <w:r>
        <w:rPr>
          <w:rFonts w:ascii="Amiri" w:hAnsi="Amiri" w:eastAsia="Amiri" w:cs="Amiri"/>
          <w:lang w:bidi="ar-SA"/>
          <w:color w:val="111111"/>
          <w:sz w:val="28"/>
          <w:szCs w:val="28"/>
          <w:rtl/>
        </w:rPr>
        <w:t xml:space="preserve">آغاز: الكلام في الأدلة الشرعية، و فيه مقاصد المقصد الأول في الكتاب مقدمة الكتاب مع أداة التعريف مصطلح في عرف النحاة؛ انجام: و حكم في التذكرة بأن من رأى الهلال في شهر رمضان وجب عليه الصوم سواء كان عدلا.</w:t>
      </w:r>
    </w:p>
    <w:p>
      <w:pPr>
        <w:pStyle w:val="BookText"/>
      </w:pPr>
      <w:r>
        <w:rPr>
          <w:rFonts w:ascii="IRNazanin" w:hAnsi="IRNazanin" w:eastAsia="IRNazanin" w:cs="IRNazanin"/>
          <w:lang w:bidi="fa-IR"/>
          <w:color w:val="111111"/>
          <w:sz w:val="28"/>
          <w:szCs w:val="28"/>
          <w:rtl/>
        </w:rPr>
        <w:t xml:space="preserve">نام مؤلف به استناد نسخه ۲۱۰۶۷ آستان قدس که جلد دوم کتاب است ذکر شد؛ خط: نستعلیق، بی کا، بی تا، افتادگی: انجام؛ مصحح، محشی از مؤلف؛ جلد: مقوایی عطف تیماج قرمز، ۲۴۰گ،۲۰ سطر، اندازه: ۱۷/۵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سم [ف: ۱۶-۱۸۲]</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قم؛ مرعشی؛ شماره نسخه: ۷۹۳۰</w:t>
      </w:r>
    </w:p>
    <w:p>
      <w:pPr>
        <w:pStyle w:val="BookText"/>
      </w:pPr>
      <w:r>
        <w:rPr>
          <w:rFonts w:ascii="IRNazanin" w:hAnsi="IRNazanin" w:eastAsia="IRNazanin" w:cs="IRNazanin"/>
          <w:lang w:bidi="fa-IR"/>
          <w:color w:val="111111"/>
          <w:sz w:val="28"/>
          <w:szCs w:val="28"/>
          <w:rtl/>
        </w:rPr>
        <w:t xml:space="preserve">جلد دوم کتاب، و از بحث کتاب تا تقریر معصوم را دارد؛ خط: نسخ، بی کا، بی تا؛ مصحح، محشی از مؤلف؛ تملک: مصطفی حسینی صفائی خونساری به تاریخ ذیقعده ۱۳۷۵ با مهر «مصطفی الحسینی» (بیضوی)؛ جلد: تیماج قرمز، ۲۵۳گ، ۳۰ سطر،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۲۰-۲۵۴]</w:t>
      </w:r>
    </w:p>
    <w:p>
      <w:pPr>
        <w:pStyle w:val="Heading3"/>
      </w:pPr>
      <w:bookmarkStart w:id="757" w:name="_Toc17"/>
      <w:r>
        <w:t>• بشارات کتب سابقه بر پیامبر اسلام (صلی الله علیه وآله وسلم)/ كلام و اعتقادات / فارسی</w:t>
      </w:r>
      <w:bookmarkEnd w:id="757"/>
    </w:p>
    <w:p>
      <w:pPr>
        <w:pStyle w:val="BookText"/>
      </w:pPr>
      <w:r>
        <w:rPr>
          <w:rFonts w:ascii="Times New Roman" w:hAnsi="Times New Roman" w:eastAsia="Times New Roman" w:cs="Times New Roman"/>
          <w:lang w:val="en-US" w:bidi="en-US"/>
          <w:color w:val="111111"/>
          <w:sz w:val="28"/>
          <w:szCs w:val="28"/>
          <w:rtl/>
        </w:rPr>
        <w:t xml:space="preserve">bešārāt-e kotob-e sābeqe bar payāmbar-e eslām</w:t>
      </w:r>
    </w:p>
    <w:p>
      <w:pPr>
        <w:pStyle w:val="BookText"/>
      </w:pPr>
      <w:r>
        <w:rPr>
          <w:rFonts w:ascii="IRNazanin" w:hAnsi="IRNazanin" w:eastAsia="IRNazanin" w:cs="IRNazanin"/>
          <w:lang w:bidi="fa-IR"/>
          <w:color w:val="111111"/>
          <w:sz w:val="28"/>
          <w:szCs w:val="28"/>
          <w:rtl/>
        </w:rPr>
        <w:t xml:space="preserve">ابوالحسن بن مهدی، ق ۱۴ قمری</w:t>
      </w:r>
    </w:p>
    <w:p>
      <w:pPr>
        <w:pStyle w:val="BookText"/>
      </w:pPr>
      <w:r>
        <w:rPr>
          <w:rFonts w:ascii="Times New Roman" w:hAnsi="Times New Roman" w:eastAsia="Times New Roman" w:cs="Times New Roman"/>
          <w:lang w:val="en-US" w:bidi="en-US"/>
          <w:color w:val="111111"/>
          <w:sz w:val="28"/>
          <w:szCs w:val="28"/>
          <w:rtl/>
        </w:rPr>
        <w:t xml:space="preserve">ab-ol-hasan ebn-e mahdī (- 20c)</w:t>
      </w:r>
    </w:p>
    <w:p>
      <w:pPr>
        <w:pStyle w:val="BookText"/>
      </w:pPr>
      <w:r>
        <w:rPr>
          <w:rFonts w:ascii="IRNazanin" w:hAnsi="IRNazanin" w:eastAsia="IRNazanin" w:cs="IRNazanin"/>
          <w:lang w:bidi="fa-IR"/>
          <w:color w:val="111111"/>
          <w:sz w:val="28"/>
          <w:szCs w:val="28"/>
          <w:rtl/>
        </w:rPr>
        <w:t xml:space="preserve">تاریخ تأليف: ۱۳۰۱.</w:t>
      </w:r>
    </w:p>
    <w:p>
      <w:pPr>
        <w:pStyle w:val="BookText"/>
      </w:pPr>
      <w:r>
        <w:rPr>
          <w:rFonts w:ascii="IRNazanin" w:hAnsi="IRNazanin" w:eastAsia="IRNazanin" w:cs="IRNazanin"/>
          <w:lang w:bidi="fa-IR"/>
          <w:color w:val="111111"/>
          <w:sz w:val="28"/>
          <w:szCs w:val="28"/>
          <w:rtl/>
        </w:rPr>
        <w:t xml:space="preserve">یازده آیه از کتب عهد عتیق بر بعثت پیامبر اکرم. از ابوالحسن بن مهدی که کتابی دیگر به نام «مشكاة الهداية» داشته است.</w:t>
      </w:r>
    </w:p>
    <w:p>
      <w:pPr>
        <w:pStyle w:val="BookText"/>
      </w:pPr>
      <w:r>
        <w:rPr>
          <w:rFonts w:ascii="IRNazanin" w:hAnsi="IRNazanin" w:eastAsia="IRNazanin" w:cs="IRNazanin"/>
          <w:lang w:bidi="fa-IR"/>
          <w:color w:val="111111"/>
          <w:sz w:val="28"/>
          <w:szCs w:val="28"/>
          <w:rtl/>
        </w:rPr>
        <w:t xml:space="preserve">مشهد؛ رضوی؛ شماره نسخه: ۲۰۷۹۲</w:t>
      </w:r>
    </w:p>
    <w:p>
      <w:pPr>
        <w:pStyle w:val="BookText"/>
      </w:pPr>
      <w:r>
        <w:rPr>
          <w:rFonts w:ascii="IRNazanin" w:hAnsi="IRNazanin" w:eastAsia="IRNazanin" w:cs="IRNazanin"/>
          <w:lang w:bidi="fa-IR"/>
          <w:color w:val="111111"/>
          <w:sz w:val="28"/>
          <w:szCs w:val="28"/>
          <w:rtl/>
        </w:rPr>
        <w:t xml:space="preserve">آغاز: بسم الله و به ثقتی سبحان الذي اسرى بعبده ليلا، انجام: شب سه شنبه از شهر رجب عام ۱۳۰۱</w:t>
      </w:r>
    </w:p>
    <w:p>
      <w:pPr>
        <w:pStyle w:val="BookText"/>
      </w:pPr>
      <w:r>
        <w:rPr>
          <w:rFonts w:ascii="IRNazanin" w:hAnsi="IRNazanin" w:eastAsia="IRNazanin" w:cs="IRNazanin"/>
          <w:lang w:bidi="fa-IR"/>
          <w:color w:val="111111"/>
          <w:sz w:val="28"/>
          <w:szCs w:val="28"/>
          <w:rtl/>
        </w:rPr>
        <w:t xml:space="preserve">خط: نستعلیق، کاتب = مؤلف، تا: رجب ۱۳۰۱ق؛ اهدایی: رهبری، خرداد ۱۳۷۳؛ کاغذ: نخودی، جلد: مقوا، ۹گ، ۱۳ سطر، قطع: رقعی،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[اهدائی ف: ۱۲۹]</w:t>
      </w:r>
    </w:p>
    <w:p>
      <w:pPr>
        <w:pStyle w:val="Heading3"/>
      </w:pPr>
      <w:bookmarkStart w:id="758" w:name="_Toc18"/>
      <w:r>
        <w:t>• بشارت / بهائیت / فارسی</w:t>
      </w:r>
      <w:bookmarkEnd w:id="758"/>
    </w:p>
    <w:p>
      <w:pPr>
        <w:pStyle w:val="BookText"/>
      </w:pPr>
      <w:r>
        <w:rPr>
          <w:rFonts w:ascii="Times New Roman" w:hAnsi="Times New Roman" w:eastAsia="Times New Roman" w:cs="Times New Roman"/>
          <w:lang w:val="en-US" w:bidi="en-US"/>
          <w:color w:val="111111"/>
          <w:sz w:val="28"/>
          <w:szCs w:val="28"/>
          <w:rtl/>
        </w:rPr>
        <w:t xml:space="preserve">bešārat</w:t>
      </w:r>
    </w:p>
    <w:p>
      <w:pPr>
        <w:pStyle w:val="BookText"/>
      </w:pPr>
      <w:r>
        <w:rPr>
          <w:rFonts w:ascii="IRNazanin" w:hAnsi="IRNazanin" w:eastAsia="IRNazanin" w:cs="IRNazanin"/>
          <w:lang w:bidi="fa-IR"/>
          <w:color w:val="111111"/>
          <w:sz w:val="28"/>
          <w:szCs w:val="28"/>
          <w:rtl/>
        </w:rPr>
        <w:t xml:space="preserve">کتابی است که درباره رسالت دینی خود نوشته و با عنوان بشارت شروع شده و شامل دو «بشارت» است و مشتمل بر تقسیماتی نظیر آیات کتب مقدسه می باشد و در خاتمه نیز دعایی به عربی نوشته شده است. در این رساله نشانه هایی از بهائیت دیده می شود.</w:t>
      </w:r>
    </w:p>
    <w:p>
      <w:pPr>
        <w:pStyle w:val="BookText"/>
      </w:pPr>
      <w:r>
        <w:rPr>
          <w:rFonts w:ascii="IRNazanin" w:hAnsi="IRNazanin" w:eastAsia="IRNazanin" w:cs="IRNazanin"/>
          <w:lang w:bidi="fa-IR"/>
          <w:color w:val="111111"/>
          <w:sz w:val="28"/>
          <w:szCs w:val="28"/>
          <w:rtl/>
        </w:rPr>
        <w:t xml:space="preserve">تهران؛ ملی؛ شماره نسخه: ۱۵۹۳۱</w:t>
      </w:r>
    </w:p>
    <w:p>
      <w:pPr>
        <w:pStyle w:val="BookText"/>
      </w:pPr>
      <w:r>
        <w:rPr>
          <w:rFonts w:ascii="IRNazanin" w:hAnsi="IRNazanin" w:eastAsia="IRNazanin" w:cs="IRNazanin"/>
          <w:lang w:bidi="fa-IR"/>
          <w:color w:val="111111"/>
          <w:sz w:val="28"/>
          <w:szCs w:val="28"/>
          <w:rtl/>
        </w:rPr>
        <w:t xml:space="preserve">آغاز: بسمه الا منع الا بدع الا على. يا اهل الولي انا نرینکم و السلام الى اهل الله؛ انجام: قدوس قدوس قدوس یا رب الارواح و النفوس و السلام الى اهل الله</w:t>
      </w:r>
    </w:p>
    <w:p>
      <w:pPr>
        <w:pStyle w:val="BookText"/>
      </w:pPr>
      <w:r>
        <w:rPr>
          <w:rFonts w:ascii="IRNazanin" w:hAnsi="IRNazanin" w:eastAsia="IRNazanin" w:cs="IRNazanin"/>
          <w:lang w:bidi="fa-IR"/>
          <w:color w:val="111111"/>
          <w:sz w:val="28"/>
          <w:szCs w:val="28"/>
          <w:rtl/>
        </w:rPr>
        <w:t xml:space="preserve">خط: نستعلیق، بی کا، بی تا انتقالی از سازمان مدارک فرهنگی انقلاب اسلامی. در برگ ۱۸ نامه ای با عنوان «نخستین نامه دبستان امریکائیان» در مورد رد دین مسیحیت نوشته شده، کاغذ: فرنگی نخودی، جلد: تیماج عنابی یک لا مجدول، ۲۴گ، ۱۶-۱۸ سطر (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۱۰/۷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۱۷/۵ سم [رایانه]</w:t>
      </w:r>
    </w:p>
    <w:p>
      <w:pPr>
        <w:pStyle w:val="Heading3"/>
      </w:pPr>
      <w:bookmarkStart w:id="759" w:name="_Toc19"/>
      <w:r>
        <w:t>• بشارة الباکین و انیس الذاکرین / تاریخ معصومین/ عربی</w:t>
      </w:r>
      <w:bookmarkEnd w:id="759"/>
    </w:p>
    <w:p>
      <w:pPr>
        <w:pStyle w:val="BookText"/>
      </w:pPr>
      <w:r>
        <w:rPr>
          <w:rFonts w:ascii="Times New Roman" w:hAnsi="Times New Roman" w:eastAsia="Times New Roman" w:cs="Times New Roman"/>
          <w:lang w:val="en-US" w:bidi="en-US"/>
          <w:color w:val="111111"/>
          <w:sz w:val="28"/>
          <w:szCs w:val="28"/>
          <w:rtl/>
        </w:rPr>
        <w:t xml:space="preserve">bišārat-ul bākīn wa anīs-ud dākirīn</w:t>
      </w:r>
    </w:p>
    <w:p>
      <w:pPr>
        <w:pStyle w:val="BookText"/>
      </w:pPr>
      <w:r>
        <w:rPr>
          <w:rFonts w:ascii="IRNazanin" w:hAnsi="IRNazanin" w:eastAsia="IRNazanin" w:cs="IRNazanin"/>
          <w:lang w:bidi="fa-IR"/>
          <w:color w:val="111111"/>
          <w:sz w:val="28"/>
          <w:szCs w:val="28"/>
          <w:rtl/>
        </w:rPr>
        <w:t xml:space="preserve">تبریزی، حسین بن عبدالرزاق، ق ۱۴ قمری</w:t>
      </w:r>
    </w:p>
    <w:p>
      <w:pPr>
        <w:pStyle w:val="BookText"/>
      </w:pPr>
      <w:r>
        <w:rPr>
          <w:rFonts w:ascii="Times New Roman" w:hAnsi="Times New Roman" w:eastAsia="Times New Roman" w:cs="Times New Roman"/>
          <w:lang w:val="en-US" w:bidi="en-US"/>
          <w:color w:val="111111"/>
          <w:sz w:val="28"/>
          <w:szCs w:val="28"/>
          <w:rtl/>
        </w:rPr>
        <w:t xml:space="preserve">tabrīzī, hoseyn ebn-e ‘abd-or-razzāq (- 20c)</w:t>
      </w:r>
    </w:p>
    <w:p>
      <w:pPr>
        <w:pStyle w:val="BookText"/>
      </w:pPr>
      <w:r>
        <w:rPr>
          <w:rFonts w:ascii="IRNazanin" w:hAnsi="IRNazanin" w:eastAsia="IRNazanin" w:cs="IRNazanin"/>
          <w:lang w:bidi="fa-IR"/>
          <w:color w:val="111111"/>
          <w:sz w:val="28"/>
          <w:szCs w:val="28"/>
          <w:rtl/>
        </w:rPr>
        <w:t xml:space="preserve">اهدا به: ناصرالدین شاه قاجار</w:t>
      </w:r>
    </w:p>
    <w:p>
      <w:pPr>
        <w:pStyle w:val="BookText"/>
      </w:pPr>
      <w:r>
        <w:rPr>
          <w:rFonts w:ascii="IRNazanin" w:hAnsi="IRNazanin" w:eastAsia="IRNazanin" w:cs="IRNazanin"/>
          <w:lang w:bidi="fa-IR"/>
          <w:color w:val="111111"/>
          <w:sz w:val="28"/>
          <w:szCs w:val="28"/>
          <w:rtl/>
        </w:rPr>
        <w:t xml:space="preserve">تاریخ تأليف: ۱۵ جمادی الثانی ۱۲۸۰ق</w:t>
      </w:r>
    </w:p>
    <w:p>
      <w:pPr>
        <w:pStyle w:val="BookText"/>
      </w:pPr>
      <w:r>
        <w:rPr>
          <w:rFonts w:ascii="IRNazanin" w:hAnsi="IRNazanin" w:eastAsia="IRNazanin" w:cs="IRNazanin"/>
          <w:lang w:bidi="fa-IR"/>
          <w:color w:val="111111"/>
          <w:sz w:val="28"/>
          <w:szCs w:val="28"/>
          <w:rtl/>
        </w:rPr>
        <w:t xml:space="preserve">مجالسي است در مصائب اهل بیت رسول الله(صلی الله علیه وآله وسلم) خصوصا حضرت سید الشهدا(عليه السلام) و اصحابش و در واقع خلاصه ای از کتاب دیگر مؤلف به نام «وسيلة الفردوس» می باشد، دارای یک مقدمه» در وصایای نافعه برای رثاء و بعضی از مواعظ و پنجاه «مجلس» و یک «خاتمه» در وصایایی از مؤلف.</w:t>
      </w:r>
    </w:p>
    <w:p>
      <w:pPr>
        <w:pStyle w:val="BookText"/>
      </w:pPr>
      <w:r>
        <w:rPr>
          <w:rFonts w:ascii="IRNazanin" w:hAnsi="IRNazanin" w:eastAsia="IRNazanin" w:cs="IRNazanin"/>
          <w:lang w:bidi="fa-IR"/>
          <w:color w:val="111111"/>
          <w:sz w:val="28"/>
          <w:szCs w:val="28"/>
          <w:rtl/>
        </w:rPr>
        <w:t xml:space="preserve">آغاز: الحمدلله الذي غوصني في بحور المصائب و الاحزان الزرء سید اولاد الانس و الجان فاخرجت لآلی کلمات وصل بها إلى ...</w:t>
      </w:r>
    </w:p>
    <w:p>
      <w:pPr>
        <w:pStyle w:val="BookText"/>
      </w:pPr>
      <w:r>
        <w:rPr>
          <w:rFonts w:ascii="IRNazanin" w:hAnsi="IRNazanin" w:eastAsia="IRNazanin" w:cs="IRNazanin"/>
          <w:lang w:bidi="fa-IR"/>
          <w:color w:val="111111"/>
          <w:sz w:val="28"/>
          <w:szCs w:val="28"/>
          <w:rtl/>
        </w:rPr>
        <w:t xml:space="preserve">انجام: و ادخلنا به في جنات النعيم و احشرنا في زمرة محمد و آله الطيبين الطاهرين برحمتك يا أرحم الراحمين. [الذريعة ۱۰۱/۲۶ ؛ الكرام البررة ۳۹۷/۱ ؛ میراث شهاب سهش ۳و ۱۵۱/۴ ]</w:t>
      </w:r>
    </w:p>
    <w:p>
      <w:pPr>
        <w:pStyle w:val="BookText"/>
      </w:pPr>
      <w:r>
        <w:rPr>
          <w:rFonts w:ascii="IRNazanin" w:hAnsi="IRNazanin" w:eastAsia="IRNazanin" w:cs="IRNazanin"/>
          <w:lang w:bidi="fa-IR"/>
          <w:color w:val="111111"/>
          <w:sz w:val="28"/>
          <w:szCs w:val="28"/>
          <w:rtl/>
        </w:rPr>
        <w:t xml:space="preserve">١. خوانسار؛ فاضل؛ شماره نسخه: ۳۶۷</w:t>
      </w:r>
    </w:p>
    <w:p>
      <w:pPr>
        <w:pStyle w:val="BookText"/>
      </w:pPr>
      <w:r>
        <w:rPr>
          <w:rFonts w:ascii="IRNazanin" w:hAnsi="IRNazanin" w:eastAsia="IRNazanin" w:cs="IRNazanin"/>
          <w:lang w:bidi="fa-IR"/>
          <w:color w:val="111111"/>
          <w:sz w:val="28"/>
          <w:szCs w:val="28"/>
          <w:rtl/>
        </w:rPr>
        <w:t xml:space="preserve">آغاز: برابر؛ انجام: و كان قطعات كبدها قد أضخت في وجنتيها کالدراری و دماء قلبها قد غدت حالات ...</w:t>
      </w:r>
    </w:p>
    <w:p>
      <w:pPr>
        <w:pStyle w:val="BookText"/>
      </w:pPr>
      <w:r>
        <w:rPr>
          <w:rFonts w:ascii="IRNazanin" w:hAnsi="IRNazanin" w:eastAsia="IRNazanin" w:cs="IRNazanin"/>
          <w:lang w:bidi="fa-IR"/>
          <w:color w:val="111111"/>
          <w:sz w:val="28"/>
          <w:szCs w:val="28"/>
          <w:rtl/>
        </w:rPr>
        <w:t xml:space="preserve">تا اواخر مجلس پانزدهم؛ خط: نسخ زیبا، بی کا، تا: قرن ۱۳؛ افتادگی: انجام؛ مجدول، مصحح؛ جلد: تیماج مشکی، ۷۹ص، ۱۶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سم [ف: ۲-۶۰]</w:t>
      </w:r>
    </w:p>
    <w:p>
      <w:pPr>
        <w:pStyle w:val="BookText"/>
      </w:pPr>
      <w:r>
        <w:rPr>
          <w:rFonts w:ascii="IRNazanin" w:hAnsi="IRNazanin" w:eastAsia="IRNazanin" w:cs="IRNazanin"/>
          <w:lang w:bidi="fa-IR"/>
          <w:color w:val="111111"/>
          <w:sz w:val="28"/>
          <w:szCs w:val="28"/>
          <w:rtl/>
        </w:rPr>
        <w:t xml:space="preserve">قم، مرکز احیاء؛ شماره نسخه: ۵۲۴</w:t>
      </w:r>
    </w:p>
    <w:p>
      <w:pPr>
        <w:pStyle w:val="BookText"/>
      </w:pPr>
      <w:r>
        <w:rPr>
          <w:rFonts w:ascii="IRNazanin" w:hAnsi="IRNazanin" w:eastAsia="IRNazanin" w:cs="IRNazanin"/>
          <w:lang w:bidi="fa-IR"/>
          <w:color w:val="111111"/>
          <w:sz w:val="28"/>
          <w:szCs w:val="28"/>
          <w:rtl/>
        </w:rPr>
        <w:t xml:space="preserve">نسخه اصل: همان نسخه بالا [عکسی ف: ۲-۱۱۵]</w:t>
      </w:r>
    </w:p>
    <w:p>
      <w:pPr>
        <w:pStyle w:val="BookText"/>
      </w:pPr>
      <w:r>
        <w:rPr>
          <w:rFonts w:ascii="IRNazanin" w:hAnsi="IRNazanin" w:eastAsia="IRNazanin" w:cs="IRNazanin"/>
          <w:lang w:bidi="fa-IR"/>
          <w:color w:val="111111"/>
          <w:sz w:val="28"/>
          <w:szCs w:val="28"/>
          <w:rtl/>
        </w:rPr>
        <w:t xml:space="preserve">۲. تهران: مجلس؛ شماره نسخه: ۱۱۶۶۳</w:t>
      </w:r>
    </w:p>
    <w:p>
      <w:pPr>
        <w:pStyle w:val="BookText"/>
      </w:pPr>
      <w:r>
        <w:rPr>
          <w:rFonts w:ascii="IRNazanin" w:hAnsi="IRNazanin" w:eastAsia="IRNazanin" w:cs="IRNazanin"/>
          <w:lang w:bidi="fa-IR"/>
          <w:color w:val="111111"/>
          <w:sz w:val="28"/>
          <w:szCs w:val="28"/>
          <w:rtl/>
        </w:rPr>
        <w:t xml:space="preserve">آغاز و انجام: برابر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0" w:name="pg20363_209148"/>
    <w:bookmarkEnd w:id="10"/>
    <w:p>
      <w:pPr>
        <w:pStyle w:val="BookText"/>
      </w:pPr>
      <w:r>
        <w:rPr>
          <w:rFonts w:ascii="IRNazanin" w:hAnsi="IRNazanin" w:eastAsia="IRNazanin" w:cs="IRNazanin"/>
          <w:lang w:bidi="fa-IR"/>
          <w:color w:val="111111"/>
          <w:sz w:val="28"/>
          <w:szCs w:val="28"/>
          <w:rtl/>
        </w:rPr>
        <w:t xml:space="preserve">خط: نسخ، كا: ملا زین العابدین بن مصطفی، تا: ۱۲۸۰ق؛ مصحح، مجدول، دارای کمند کشی؛ کاغذ: فرنگی به رنگ آبی، جلد: تیماج قهوه ای روشن مجدول ضربی، ۱۸۴گ، ۱۹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۱۷/۵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۳۴-۳۵]</w:t>
      </w:r>
    </w:p>
    <w:p>
      <w:pPr>
        <w:pStyle w:val="BookText"/>
      </w:pPr>
      <w:r>
        <w:rPr>
          <w:rFonts w:ascii="IRNazanin" w:hAnsi="IRNazanin" w:eastAsia="IRNazanin" w:cs="IRNazanin"/>
          <w:lang w:bidi="fa-IR"/>
          <w:color w:val="111111"/>
          <w:sz w:val="28"/>
          <w:szCs w:val="28"/>
          <w:rtl/>
        </w:rPr>
        <w:t xml:space="preserve">٣. قم؛ مرعشی؛ شماره نسخه: بدون شماره</w:t>
      </w:r>
    </w:p>
    <w:p>
      <w:pPr>
        <w:pStyle w:val="BookText"/>
      </w:pPr>
      <w:r>
        <w:rPr>
          <w:rFonts w:ascii="IRNazanin" w:hAnsi="IRNazanin" w:eastAsia="IRNazanin" w:cs="IRNazanin"/>
          <w:lang w:bidi="fa-IR"/>
          <w:color w:val="111111"/>
          <w:sz w:val="28"/>
          <w:szCs w:val="28"/>
          <w:rtl/>
        </w:rPr>
        <w:t xml:space="preserve">بی کا، تا: ۱۲۸۱ ق [میراث شهاب: س ۵ش ۳و ۴-۱۵۱]</w:t>
      </w:r>
    </w:p>
    <w:p>
      <w:pPr>
        <w:pStyle w:val="BookText"/>
      </w:pPr>
      <w:r>
        <w:rPr>
          <w:rFonts w:ascii="IRNazanin" w:hAnsi="IRNazanin" w:eastAsia="IRNazanin" w:cs="IRNazanin"/>
          <w:lang w:bidi="fa-IR"/>
          <w:color w:val="111111"/>
          <w:sz w:val="28"/>
          <w:szCs w:val="28"/>
          <w:rtl/>
        </w:rPr>
        <w:t xml:space="preserve">۴. قم: مرکز احیاء؛ شماره نسخه: ۲۵۴۸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زین العابدين بن مشهدی آقا ایروانی، تا: ۱۴ رجب ۱۲۸۹ق؛ مصحح، محشی؛ در سه برگ آخر اشعاری از «حاجی چناران خویی»؛ جلد: تیماج مشکی ضربی، ۱۶۷، ۱۷ 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سم (محدث ارموی مخ: ۱-۲۵۲]</w:t>
      </w:r>
    </w:p>
    <w:p>
      <w:pPr>
        <w:pStyle w:val="Heading3"/>
      </w:pPr>
      <w:bookmarkStart w:id="760" w:name="_Toc20"/>
      <w:r>
        <w:t>• بشارة الشيعة / كلام و اعتقادات / عربی</w:t>
      </w:r>
      <w:bookmarkEnd w:id="760"/>
    </w:p>
    <w:p>
      <w:pPr>
        <w:pStyle w:val="BookText"/>
      </w:pPr>
      <w:r>
        <w:rPr>
          <w:rFonts w:ascii="Times New Roman" w:hAnsi="Times New Roman" w:eastAsia="Times New Roman" w:cs="Times New Roman"/>
          <w:lang w:val="en-US" w:bidi="en-US"/>
          <w:color w:val="111111"/>
          <w:sz w:val="28"/>
          <w:szCs w:val="28"/>
          <w:rtl/>
        </w:rPr>
        <w:t xml:space="preserve">bišārat-uš šī a</w:t>
      </w:r>
    </w:p>
    <w:p>
      <w:pPr>
        <w:pStyle w:val="BookText"/>
      </w:pPr>
      <w:r>
        <w:rPr>
          <w:rFonts w:ascii="IRNazanin" w:hAnsi="IRNazanin" w:eastAsia="IRNazanin" w:cs="IRNazanin"/>
          <w:lang w:bidi="fa-IR"/>
          <w:color w:val="111111"/>
          <w:sz w:val="28"/>
          <w:szCs w:val="28"/>
          <w:rtl/>
        </w:rPr>
        <w:t xml:space="preserve">فیض  کاشانی، محمد بن شاه مرتضی، ۱۰۰۶-۱۰۹۱ قمری</w:t>
      </w:r>
    </w:p>
    <w:p>
      <w:pPr>
        <w:pStyle w:val="BookText"/>
      </w:pPr>
      <w:r>
        <w:rPr>
          <w:rFonts w:ascii="Times New Roman" w:hAnsi="Times New Roman" w:eastAsia="Times New Roman" w:cs="Times New Roman"/>
          <w:lang w:val="en-US" w:bidi="en-US"/>
          <w:color w:val="111111"/>
          <w:sz w:val="28"/>
          <w:szCs w:val="28"/>
          <w:rtl/>
        </w:rPr>
        <w:t xml:space="preserve">feyz-e kāšānī, mohammad ebn-e šāh morteza (1598 1680)</w:t>
      </w:r>
    </w:p>
    <w:p>
      <w:pPr>
        <w:pStyle w:val="BookText"/>
      </w:pPr>
      <w:r>
        <w:rPr>
          <w:rFonts w:ascii="IRNazanin" w:hAnsi="IRNazanin" w:eastAsia="IRNazanin" w:cs="IRNazanin"/>
          <w:lang w:bidi="fa-IR"/>
          <w:color w:val="111111"/>
          <w:sz w:val="28"/>
          <w:szCs w:val="28"/>
          <w:rtl/>
        </w:rPr>
        <w:t xml:space="preserve">تاریخ تأليف: ۱۰۸۱ق</w:t>
      </w:r>
    </w:p>
    <w:p>
      <w:pPr>
        <w:pStyle w:val="BookText"/>
      </w:pPr>
      <w:r>
        <w:rPr>
          <w:rFonts w:ascii="IRNazanin" w:hAnsi="IRNazanin" w:eastAsia="IRNazanin" w:cs="IRNazanin"/>
          <w:lang w:bidi="fa-IR"/>
          <w:color w:val="111111"/>
          <w:sz w:val="28"/>
          <w:szCs w:val="28"/>
          <w:rtl/>
        </w:rPr>
        <w:t xml:space="preserve">مطالب تحت عنوان «بشارت» ذکر شده و در ضمن چهل بشارت ثابت کرده که فرقه ناجیه از فرق اسلامیه که به موجب اخبار دینیه با مژده بهشتی مستبشر هستند همانا منحصر به شیعه می باشد. تاریخ فراغت از تألیف ۱۰۸۱ق موافق جمله «بشارات من الله » می باشد.</w:t>
      </w:r>
    </w:p>
    <w:p>
      <w:pPr>
        <w:pStyle w:val="BookText"/>
      </w:pPr>
      <w:r>
        <w:rPr>
          <w:rFonts w:ascii="IRNazanin" w:hAnsi="IRNazanin" w:eastAsia="IRNazanin" w:cs="IRNazanin"/>
          <w:lang w:bidi="fa-IR"/>
          <w:color w:val="111111"/>
          <w:sz w:val="28"/>
          <w:szCs w:val="28"/>
          <w:rtl/>
        </w:rPr>
        <w:t xml:space="preserve">آغاز: الحمدلله على ما هدانا لمعرفة احسن القول و اتقنه ... اما بعد، فيقول ... هذا كتاب بشارة الشيعة اخرجه الله على لسانی</w:t>
      </w:r>
    </w:p>
    <w:p>
      <w:pPr>
        <w:pStyle w:val="BookText"/>
      </w:pPr>
      <w:r>
        <w:rPr>
          <w:rFonts w:ascii="IRNazanin" w:hAnsi="IRNazanin" w:eastAsia="IRNazanin" w:cs="IRNazanin"/>
          <w:lang w:bidi="fa-IR"/>
          <w:color w:val="111111"/>
          <w:sz w:val="28"/>
          <w:szCs w:val="28"/>
          <w:rtl/>
        </w:rPr>
        <w:t xml:space="preserve">انجام: و عدد هذا الكلام تاريخ التصنيف و هو تاريخ لطيف و الحمدلله رب العالمين و الصلاة و السلام على محمد و آله اجمعین</w:t>
      </w:r>
    </w:p>
    <w:p>
      <w:pPr>
        <w:pStyle w:val="BookText"/>
      </w:pPr>
      <w:r>
        <w:rPr>
          <w:rFonts w:ascii="IRNazanin" w:hAnsi="IRNazanin" w:eastAsia="IRNazanin" w:cs="IRNazanin"/>
          <w:lang w:bidi="fa-IR"/>
          <w:color w:val="111111"/>
          <w:sz w:val="28"/>
          <w:szCs w:val="28"/>
          <w:rtl/>
        </w:rPr>
        <w:t xml:space="preserve">چاپ: تهران، سنگی، ۱۳۱۱ق، وزیری، ۴۰ص (صص ۱۱۶-۱۵۵)[ الذريعة ۱۱۶/۳ و ۱۱۵/۳ ؛ ریحانة الادب ۳۶۹/۴</w:t>
      </w:r>
    </w:p>
    <w:p>
      <w:pPr>
        <w:pStyle w:val="BookText"/>
      </w:pPr>
      <w:r>
        <w:rPr>
          <w:rFonts w:ascii="IRNazanin" w:hAnsi="IRNazanin" w:eastAsia="IRNazanin" w:cs="IRNazanin"/>
          <w:lang w:bidi="fa-IR"/>
          <w:color w:val="111111"/>
          <w:sz w:val="28"/>
          <w:szCs w:val="28"/>
          <w:rtl/>
        </w:rPr>
        <w:t xml:space="preserve">؛ فهرست های خودنوشت فیض ۱۴۷؛ مشار عربی، ص ۱۲۷]</w:t>
      </w:r>
    </w:p>
    <w:p>
      <w:pPr>
        <w:pStyle w:val="BookText"/>
      </w:pPr>
      <w:r>
        <w:rPr>
          <w:rFonts w:ascii="IRNazanin" w:hAnsi="IRNazanin" w:eastAsia="IRNazanin" w:cs="IRNazanin"/>
          <w:lang w:bidi="fa-IR"/>
          <w:color w:val="111111"/>
          <w:sz w:val="28"/>
          <w:szCs w:val="28"/>
          <w:rtl/>
        </w:rPr>
        <w:t xml:space="preserve">۱. تهران؛ ادبیات؛ شماره نسخه: ۱۱۰/۲</w:t>
      </w:r>
    </w:p>
    <w:p>
      <w:pPr>
        <w:pStyle w:val="BookText"/>
      </w:pPr>
      <w:r>
        <w:rPr>
          <w:rFonts w:ascii="IRNazanin" w:hAnsi="IRNazanin" w:eastAsia="IRNazanin" w:cs="IRNazanin"/>
          <w:lang w:bidi="fa-IR"/>
          <w:color w:val="111111"/>
          <w:sz w:val="28"/>
          <w:szCs w:val="28"/>
          <w:rtl/>
        </w:rPr>
        <w:t xml:space="preserve">خط: نسخ، بی کا، تا: قرن ۱۱ [ف: ۳-۲۸]</w:t>
      </w:r>
    </w:p>
    <w:p>
      <w:pPr>
        <w:pStyle w:val="BookText"/>
      </w:pPr>
      <w:r>
        <w:rPr>
          <w:rFonts w:ascii="IRNazanin" w:hAnsi="IRNazanin" w:eastAsia="IRNazanin" w:cs="IRNazanin"/>
          <w:lang w:bidi="fa-IR"/>
          <w:color w:val="111111"/>
          <w:sz w:val="28"/>
          <w:szCs w:val="28"/>
          <w:rtl/>
        </w:rPr>
        <w:t xml:space="preserve">۲. قم؛ مرعشی؛ شماره نسخه: ۵۸۱۹/۲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عبد الغني بن معزالدین حسینی، تا حدود قرن ۱۱؛ مصحح، محشی با نشان «منه سلمه الله و منه دام فيضه»؛ کاغذ: شرقی، جلد: تیماج قهوه ای، ۶۹گ (۴۷پ -۱۱۵ر)، ۱۳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۱۵-۲۰۶]</w:t>
      </w:r>
    </w:p>
    <w:p>
      <w:pPr>
        <w:pStyle w:val="BookText"/>
      </w:pPr>
      <w:r>
        <w:rPr>
          <w:rFonts w:ascii="IRNazanin" w:hAnsi="IRNazanin" w:eastAsia="IRNazanin" w:cs="IRNazanin"/>
          <w:lang w:bidi="fa-IR"/>
          <w:color w:val="111111"/>
          <w:sz w:val="28"/>
          <w:szCs w:val="28"/>
          <w:rtl/>
        </w:rPr>
        <w:t xml:space="preserve">٣. تهران؛ ملی؛ شماره نسخه: ۲۲۰۰/۱۱</w:t>
      </w:r>
    </w:p>
    <w:p>
      <w:pPr>
        <w:pStyle w:val="BookText"/>
      </w:pPr>
      <w:r>
        <w:rPr>
          <w:rFonts w:ascii="IRNazanin" w:hAnsi="IRNazanin" w:eastAsia="IRNazanin" w:cs="IRNazanin"/>
          <w:lang w:bidi="fa-IR"/>
          <w:color w:val="111111"/>
          <w:sz w:val="28"/>
          <w:szCs w:val="28"/>
          <w:rtl/>
        </w:rPr>
        <w:t xml:space="preserve">بشارات کتب - بشارة الشيعة</w:t>
      </w:r>
    </w:p>
    <w:p>
      <w:pPr>
        <w:pStyle w:val="BookText"/>
      </w:pPr>
      <w:r>
        <w:rPr>
          <w:rFonts w:ascii="IRNazanin" w:hAnsi="IRNazanin" w:eastAsia="IRNazanin" w:cs="IRNazanin"/>
          <w:lang w:bidi="fa-IR"/>
          <w:color w:val="111111"/>
          <w:sz w:val="28"/>
          <w:szCs w:val="28"/>
          <w:rtl/>
        </w:rPr>
        <w:t xml:space="preserve">آغاز: بسملة مما .... افاده الفاضل الكاشاني في الرسالة المسماة بالبشارة حيث ذكر قوله سبحانه و الذين اجتنبوا الطاغوت آن؛ انجام: قال النبي(صلی الله علیه وآله وسلم)، في الحديث المتفق عليه بين العامة و الخاصة من مات ولم يعرف اما زمانه مات ميتة جاهلية و اضل ممن اتبع هواه بغير هدى من الله ان الله لا يهدي القوم الظالمين. بخشی از آن است؛ خط: نسخ، كا: علم الهدی، تا: رجب ۱۰۶۷ق؛ کاغذ: اصفهانی، جلد: تیماج یک لا عنابی روشن، ۱۱گ ( ۲۰۰-۱۹۰ پ حاشیه)،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سم [ف: ۱۱-۵۱۰]</w:t>
      </w:r>
    </w:p>
    <w:p>
      <w:pPr>
        <w:pStyle w:val="BookText"/>
      </w:pPr>
      <w:r>
        <w:rPr>
          <w:rFonts w:ascii="IRNazanin" w:hAnsi="IRNazanin" w:eastAsia="IRNazanin" w:cs="IRNazanin"/>
          <w:lang w:bidi="fa-IR"/>
          <w:color w:val="111111"/>
          <w:sz w:val="28"/>
          <w:szCs w:val="28"/>
          <w:rtl/>
        </w:rPr>
        <w:t xml:space="preserve">۴. تهران؛ مجلس؛ شماره نسخه: ۱۶۸۳۱/۱</w:t>
      </w:r>
    </w:p>
    <w:p>
      <w:pPr>
        <w:pStyle w:val="BookText"/>
      </w:pPr>
      <w:r>
        <w:rPr>
          <w:rFonts w:ascii="IRNazanin" w:hAnsi="IRNazanin" w:eastAsia="IRNazanin" w:cs="IRNazanin"/>
          <w:lang w:bidi="fa-IR"/>
          <w:color w:val="111111"/>
          <w:sz w:val="28"/>
          <w:szCs w:val="28"/>
          <w:rtl/>
        </w:rPr>
        <w:t xml:space="preserve">خط: نستعلیق، کا: محمد نبی، تا: اوایل جمادی الثانی ۱۰۸۲ق؛ از روی نسخه اصل، مصحح، محشی از مؤلف؛ جلد: تیماج قهوه ای بدون مقوا با جدول کشی ضربی، ۶۶گ (۱پ -۶۶)،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w:t>
      </w:r>
    </w:p>
    <w:p>
      <w:pPr>
        <w:pStyle w:val="BookText"/>
      </w:pPr>
      <w:r>
        <w:rPr>
          <w:rFonts w:ascii="IRNazanin" w:hAnsi="IRNazanin" w:eastAsia="IRNazanin" w:cs="IRNazanin"/>
          <w:lang w:bidi="fa-IR"/>
          <w:color w:val="111111"/>
          <w:sz w:val="28"/>
          <w:szCs w:val="28"/>
          <w:rtl/>
        </w:rPr>
        <w:t xml:space="preserve">سم [ف: ۲۰-۲۹۲] ۵. خوی؛ نمازی؛ شماره نسخه: ۷۳۰</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كا: محمد على الهدی، تا: ۱۰۸۳ق، جان کاشان؛ کاتب پسر مؤلف، از روی نسخه اصل خط والدش، با دستخط علم الهدی در آخرش که در محرم ۱۰۸۳ در کاشان تحریر کرده؛ تملک: حسن بن آقا اسماعيل و جانی بکم با مهر «جانی بكم» بیضوی)؛ مهر: «عبده حسن » ( بیضوی)، «محمد علم الهدی ...»( بیضوی)، «جمال الدين» (بیضوی)، «المؤمن حي في الدارين» (مربع)؛ واقف: حسن صدرزاده خویی، ۱۳۴۷ش؛ جلد: تیماج سرخ لولا دار، ۷۰گی، ۱۵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۳۹۳]</w:t>
      </w:r>
    </w:p>
    <w:p>
      <w:pPr>
        <w:pStyle w:val="BookText"/>
      </w:pPr>
      <w:r>
        <w:rPr>
          <w:rFonts w:ascii="IRNazanin" w:hAnsi="IRNazanin" w:eastAsia="IRNazanin" w:cs="IRNazanin"/>
          <w:lang w:bidi="fa-IR"/>
          <w:color w:val="111111"/>
          <w:sz w:val="28"/>
          <w:szCs w:val="28"/>
          <w:rtl/>
        </w:rPr>
        <w:t xml:space="preserve">قم: مرکز احیاء؛ شماره نسخه: ۵۸۷</w:t>
      </w:r>
    </w:p>
    <w:p>
      <w:pPr>
        <w:pStyle w:val="BookText"/>
      </w:pPr>
      <w:r>
        <w:rPr>
          <w:rFonts w:ascii="IRNazanin" w:hAnsi="IRNazanin" w:eastAsia="IRNazanin" w:cs="IRNazanin"/>
          <w:lang w:bidi="fa-IR"/>
          <w:color w:val="111111"/>
          <w:sz w:val="28"/>
          <w:szCs w:val="28"/>
          <w:rtl/>
        </w:rPr>
        <w:t xml:space="preserve">نسخه اصل: همان نسخه بالا [عکسی ف: ۲-۱۷۸]</w:t>
      </w:r>
    </w:p>
    <w:p>
      <w:pPr>
        <w:pStyle w:val="BookText"/>
      </w:pPr>
      <w:r>
        <w:rPr>
          <w:rFonts w:ascii="IRNazanin" w:hAnsi="IRNazanin" w:eastAsia="IRNazanin" w:cs="IRNazanin"/>
          <w:lang w:bidi="fa-IR"/>
          <w:color w:val="111111"/>
          <w:sz w:val="28"/>
          <w:szCs w:val="28"/>
          <w:rtl/>
        </w:rPr>
        <w:t xml:space="preserve">قم؛ مرعشی؛ شماره نسخه: ۲۱۷عکسی</w:t>
      </w:r>
    </w:p>
    <w:p>
      <w:pPr>
        <w:pStyle w:val="BookText"/>
      </w:pPr>
      <w:r>
        <w:rPr>
          <w:rFonts w:ascii="IRNazanin" w:hAnsi="IRNazanin" w:eastAsia="IRNazanin" w:cs="IRNazanin"/>
          <w:lang w:bidi="fa-IR"/>
          <w:color w:val="111111"/>
          <w:sz w:val="28"/>
          <w:szCs w:val="28"/>
          <w:rtl/>
        </w:rPr>
        <w:t xml:space="preserve">نسخه اصل: همان نسخه بالا [عکسی ف: ۱-۱۹۸)</w:t>
      </w:r>
    </w:p>
    <w:p>
      <w:pPr>
        <w:pStyle w:val="BookText"/>
      </w:pPr>
      <w:r>
        <w:rPr>
          <w:rFonts w:ascii="IRNazanin" w:hAnsi="IRNazanin" w:eastAsia="IRNazanin" w:cs="IRNazanin"/>
          <w:lang w:bidi="fa-IR"/>
          <w:color w:val="111111"/>
          <w:sz w:val="28"/>
          <w:szCs w:val="28"/>
          <w:rtl/>
        </w:rPr>
        <w:t xml:space="preserve">۶. مشهد؛ رضوی؛ شماره نسخه: ۱۹۴۱۶</w:t>
      </w:r>
    </w:p>
    <w:p>
      <w:pPr>
        <w:pStyle w:val="BookText"/>
      </w:pPr>
      <w:r>
        <w:rPr>
          <w:rFonts w:ascii="IRNazanin" w:hAnsi="IRNazanin" w:eastAsia="IRNazanin" w:cs="IRNazanin"/>
          <w:lang w:bidi="fa-IR"/>
          <w:color w:val="111111"/>
          <w:sz w:val="28"/>
          <w:szCs w:val="28"/>
          <w:rtl/>
        </w:rPr>
        <w:t xml:space="preserve">آغاز: برابر؛ انجام: هی بشارات من الله و عدد هذا الكلام ... و آله احمعين سنه ۱۰۹۰</w:t>
      </w:r>
    </w:p>
    <w:p>
      <w:pPr>
        <w:pStyle w:val="BookText"/>
      </w:pPr>
      <w:r>
        <w:rPr>
          <w:rFonts w:ascii="IRNazanin" w:hAnsi="IRNazanin" w:eastAsia="IRNazanin" w:cs="IRNazanin"/>
          <w:lang w:bidi="fa-IR"/>
          <w:color w:val="111111"/>
          <w:sz w:val="28"/>
          <w:szCs w:val="28"/>
          <w:rtl/>
        </w:rPr>
        <w:t xml:space="preserve">خط: نسخ خفی، بی کا، تا: ۱۰۹۰ق؛ ضميمه نسخه ش ۱۹۴۱۵؛ کاغذ: نخودی، جلد: تیماج ضربی، ۱۳ سطر (۱۵۸۱۰)، قطع: رقعی،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(رایانه)</w:t>
      </w:r>
    </w:p>
    <w:p>
      <w:pPr>
        <w:pStyle w:val="BookText"/>
      </w:pPr>
      <w:r>
        <w:rPr>
          <w:rFonts w:ascii="IRNazanin" w:hAnsi="IRNazanin" w:eastAsia="IRNazanin" w:cs="IRNazanin"/>
          <w:lang w:bidi="fa-IR"/>
          <w:color w:val="111111"/>
          <w:sz w:val="28"/>
          <w:szCs w:val="28"/>
          <w:rtl/>
        </w:rPr>
        <w:t xml:space="preserve">۷. قم؛ مرعشی؛ شماره نسخه: ۱۳۴۲۵/۲</w:t>
      </w:r>
    </w:p>
    <w:p>
      <w:pPr>
        <w:pStyle w:val="BookText"/>
      </w:pPr>
      <w:r>
        <w:rPr>
          <w:rFonts w:ascii="IRNazanin" w:hAnsi="IRNazanin" w:eastAsia="IRNazanin" w:cs="IRNazanin"/>
          <w:lang w:bidi="fa-IR"/>
          <w:color w:val="111111"/>
          <w:sz w:val="28"/>
          <w:szCs w:val="28"/>
          <w:rtl/>
        </w:rPr>
        <w:t xml:space="preserve">آغاز: برابر؛ انجام: و ليس من ولايتنا على شئ أن الله تبارک و تعالی ذات دین علامة ...</w:t>
      </w:r>
    </w:p>
    <w:p>
      <w:pPr>
        <w:pStyle w:val="BookText"/>
      </w:pPr>
      <w:r>
        <w:rPr>
          <w:rFonts w:ascii="IRNazanin" w:hAnsi="IRNazanin" w:eastAsia="IRNazanin" w:cs="IRNazanin"/>
          <w:lang w:bidi="fa-IR"/>
          <w:color w:val="111111"/>
          <w:sz w:val="28"/>
          <w:szCs w:val="28"/>
          <w:rtl/>
        </w:rPr>
        <w:t xml:space="preserve">فقط ۳ برگ آغازین؛ خط: نسخ، بی کا، تا: قرن ۱۲؛ کاغذ: شرقی، ۳گ (۷۹-۸۱)، ۲۰ سطر، اندازه: ۱۳۶۵ سم [ف: ۳۴-۶۱]</w:t>
      </w:r>
    </w:p>
    <w:p>
      <w:pPr>
        <w:pStyle w:val="BookText"/>
      </w:pPr>
      <w:r>
        <w:rPr>
          <w:rFonts w:ascii="IRNazanin" w:hAnsi="IRNazanin" w:eastAsia="IRNazanin" w:cs="IRNazanin"/>
          <w:lang w:bidi="fa-IR"/>
          <w:color w:val="111111"/>
          <w:sz w:val="28"/>
          <w:szCs w:val="28"/>
          <w:rtl/>
        </w:rPr>
        <w:t xml:space="preserve">۸. مشهد؛ الهیات؛ شماره نسخه: ۴۰</w:t>
      </w:r>
    </w:p>
    <w:p>
      <w:pPr>
        <w:pStyle w:val="BookText"/>
      </w:pPr>
      <w:r>
        <w:rPr>
          <w:rFonts w:ascii="IRNazanin" w:hAnsi="IRNazanin" w:eastAsia="IRNazanin" w:cs="IRNazanin"/>
          <w:lang w:bidi="fa-IR"/>
          <w:color w:val="111111"/>
          <w:sz w:val="28"/>
          <w:szCs w:val="28"/>
          <w:rtl/>
        </w:rPr>
        <w:t xml:space="preserve">خط: نسخ، بی کا، تا: قرن ۱۲؛ جلد: تیماج قهوه ای، ۱۲۵گ، ۲۲- ۲۷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۱-۲۲] و [نشریه: ۵-۱۳]</w:t>
      </w:r>
    </w:p>
    <w:p>
      <w:pPr>
        <w:pStyle w:val="BookText"/>
      </w:pPr>
      <w:r>
        <w:rPr>
          <w:rFonts w:ascii="IRNazanin" w:hAnsi="IRNazanin" w:eastAsia="IRNazanin" w:cs="IRNazanin"/>
          <w:lang w:bidi="fa-IR"/>
          <w:color w:val="111111"/>
          <w:sz w:val="28"/>
          <w:szCs w:val="28"/>
          <w:rtl/>
        </w:rPr>
        <w:t xml:space="preserve">۰۹ گلپایگان؛ امام جمعه، محمد حسن، شماره نسخه: ۵۹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1" w:name="pg20363_209149"/>
    <w:bookmarkEnd w:id="11"/>
    <w:p>
      <w:pPr>
        <w:pStyle w:val="BookText"/>
      </w:pPr>
      <w:r>
        <w:rPr>
          <w:rFonts w:ascii="IRNazanin" w:hAnsi="IRNazanin" w:eastAsia="IRNazanin" w:cs="IRNazanin"/>
          <w:lang w:bidi="fa-IR"/>
          <w:color w:val="111111"/>
          <w:sz w:val="28"/>
          <w:szCs w:val="28"/>
          <w:rtl/>
        </w:rPr>
        <w:t xml:space="preserve">انجام: الاقتحام في الهلكات و مثل قول امير المؤمنين قليل يكفي خير من كثير يطفی</w:t>
      </w:r>
    </w:p>
    <w:p>
      <w:pPr>
        <w:pStyle w:val="BookText"/>
      </w:pPr>
      <w:r>
        <w:rPr>
          <w:rFonts w:ascii="IRNazanin" w:hAnsi="IRNazanin" w:eastAsia="IRNazanin" w:cs="IRNazanin"/>
          <w:lang w:bidi="fa-IR"/>
          <w:color w:val="111111"/>
          <w:sz w:val="28"/>
          <w:szCs w:val="28"/>
          <w:rtl/>
        </w:rPr>
        <w:t xml:space="preserve">خط: نسخ، بی کا، تا: قرن ۱۲؛ افتادگی: انجام؛ مصحح؛ واقف: حاجی عبد الكريم واعظ، ۱۱۳۳؛ جلد: تیماج قهوه ای بدون مقوا، ۵۶گ، ۱۷ سطر، اندازه: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۱۸/۵ سم [کتابخانه های گلپایگان: ف: ۱۶۸]</w:t>
      </w:r>
    </w:p>
    <w:p>
      <w:pPr>
        <w:pStyle w:val="BookText"/>
      </w:pPr>
      <w:r>
        <w:rPr>
          <w:rFonts w:ascii="IRNazanin" w:hAnsi="IRNazanin" w:eastAsia="IRNazanin" w:cs="IRNazanin"/>
          <w:lang w:bidi="fa-IR"/>
          <w:color w:val="111111"/>
          <w:sz w:val="28"/>
          <w:szCs w:val="28"/>
          <w:rtl/>
        </w:rPr>
        <w:t xml:space="preserve">۱۰. قم؛ مرعشی؛ شماره نسخه:۵۶۵۷/7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زیبا، بی کا، تا: قرن ۱۲؛ مصحح، محشی، مقابله شده با نشان «مقابله شده» و «بلغ»، دارای سرلوح نفيس مرصع و رنگارنگ، مجدول؛ کاغذ: فرنگی، جلد: مقوایی عطف تیماج قهوه ای، ۲۸گ (۱۲۶پ -۱۵۳پ)، ۲۴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۱۵-۵۵]</w:t>
      </w:r>
    </w:p>
    <w:p>
      <w:pPr>
        <w:pStyle w:val="BookText"/>
      </w:pPr>
      <w:r>
        <w:rPr>
          <w:rFonts w:ascii="IRNazanin" w:hAnsi="IRNazanin" w:eastAsia="IRNazanin" w:cs="IRNazanin"/>
          <w:lang w:bidi="fa-IR"/>
          <w:color w:val="111111"/>
          <w:sz w:val="28"/>
          <w:szCs w:val="28"/>
          <w:rtl/>
        </w:rPr>
        <w:t xml:space="preserve">۱۱. تهران: دانشگاه؛ شماره نسخه: ۷۱۵۴/۱</w:t>
      </w:r>
    </w:p>
    <w:p>
      <w:pPr>
        <w:pStyle w:val="BookText"/>
      </w:pPr>
      <w:r>
        <w:rPr>
          <w:rFonts w:ascii="IRNazanin" w:hAnsi="IRNazanin" w:eastAsia="IRNazanin" w:cs="IRNazanin"/>
          <w:lang w:bidi="fa-IR"/>
          <w:color w:val="111111"/>
          <w:sz w:val="28"/>
          <w:szCs w:val="28"/>
          <w:rtl/>
        </w:rPr>
        <w:t xml:space="preserve">خط: نسخ، بی کا، تا: ۵ صفر ۱۱۱۱ق؛ کاغذ: سپاهانی، جلد: تیماج تریاکی لایی، ابعاد متن: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قطع: بغلی،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۱۶-۴۶۷]</w:t>
      </w:r>
    </w:p>
    <w:p>
      <w:pPr>
        <w:pStyle w:val="BookText"/>
      </w:pPr>
      <w:r>
        <w:rPr>
          <w:rFonts w:ascii="IRNazanin" w:hAnsi="IRNazanin" w:eastAsia="IRNazanin" w:cs="IRNazanin"/>
          <w:lang w:bidi="fa-IR"/>
          <w:color w:val="111111"/>
          <w:sz w:val="28"/>
          <w:szCs w:val="28"/>
          <w:rtl/>
        </w:rPr>
        <w:t xml:space="preserve">۱۲. مشهد؛ گوهرشاد؛ شماره نسخه: ۱۰۲۵/۱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ابو تراب بن عبدالله زشکی، تا: ۲۴ رمضان تا ۲۲ رجب ۱۱۲۰ق؛ دارای بلاغ؛ مهر: «عبده الراجي رجبعلی» (بیضی) ، حاج سید سعید کاغذ: اصفهانی، جلد: تیماج مشکی لایه ای، ۶۱گی (۱-۶۱)، ۱۶ سطر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آف: [۱۴۰۰-۳]</w:t>
      </w:r>
    </w:p>
    <w:p>
      <w:pPr>
        <w:pStyle w:val="BookText"/>
      </w:pPr>
      <w:r>
        <w:rPr>
          <w:rFonts w:ascii="IRNazanin" w:hAnsi="IRNazanin" w:eastAsia="IRNazanin" w:cs="IRNazanin"/>
          <w:lang w:bidi="fa-IR"/>
          <w:color w:val="111111"/>
          <w:sz w:val="28"/>
          <w:szCs w:val="28"/>
          <w:rtl/>
        </w:rPr>
        <w:t xml:space="preserve">۱۳. قم؛ مرعشی؛ شماره نسخه: ۱۳۴۴۲/۲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۱۱۲۲ق؛ به دستور نصیر الدین سلیمان بن محمد علم الهدی إبن فیض کاشانی از روی نسخه ای که به خط علم الهدی کتابت شده بوده، استنساخ گردیده، مصحح، محشی؛ مهر: «یا محسن اغفر بمحمد علم الهدی، نصیر الدین سلیمان»( بیضی)؛ کاغذ: شرقی، ۶۷گ (۳۹-۱۰۵)، ۱۷سطر،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سم [ف: ۳۴-۱۱۴]</w:t>
      </w:r>
    </w:p>
    <w:p>
      <w:pPr>
        <w:pStyle w:val="BookText"/>
      </w:pPr>
      <w:r>
        <w:rPr>
          <w:rFonts w:ascii="IRNazanin" w:hAnsi="IRNazanin" w:eastAsia="IRNazanin" w:cs="IRNazanin"/>
          <w:lang w:bidi="fa-IR"/>
          <w:color w:val="111111"/>
          <w:sz w:val="28"/>
          <w:szCs w:val="28"/>
          <w:rtl/>
        </w:rPr>
        <w:t xml:space="preserve">۱۴. قم؛ مرعشی؛ شماره نسخه: ۱۳۴۲۵/۱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كان محمد جان، تا: ۱۱۳۶ق؛ مصحح، کاغذ: شرقی، ۷۸گ (۱-۷۸)، ۱۴ سطر، اندازه: ۱۳۷۶ سم [ف: ۳۴-۶۰]</w:t>
      </w:r>
    </w:p>
    <w:p>
      <w:pPr>
        <w:pStyle w:val="BookText"/>
      </w:pPr>
      <w:r>
        <w:rPr>
          <w:rFonts w:ascii="IRNazanin" w:hAnsi="IRNazanin" w:eastAsia="IRNazanin" w:cs="IRNazanin"/>
          <w:lang w:bidi="fa-IR"/>
          <w:color w:val="111111"/>
          <w:sz w:val="28"/>
          <w:szCs w:val="28"/>
          <w:rtl/>
        </w:rPr>
        <w:t xml:space="preserve">۱۵. قم؛ مرعشی؛ شماره نسخه: ۷۸۸۷/۱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ملا فرج الله بن ابراهیم تبریزی، تا: ۱۳ شعبان ۱۲۷۱ق؛ مصحح، محشی؛ کاغذ: فرنگی، جلد: تیماج مشکی بدون مقوا، ۵۶گ (آپ -۵۶ر)، ۱۵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۲۲-۳۱۰]</w:t>
      </w:r>
    </w:p>
    <w:p>
      <w:pPr>
        <w:pStyle w:val="BookText"/>
      </w:pPr>
      <w:r>
        <w:rPr>
          <w:rFonts w:ascii="IRNazanin" w:hAnsi="IRNazanin" w:eastAsia="IRNazanin" w:cs="IRNazanin"/>
          <w:lang w:bidi="fa-IR"/>
          <w:color w:val="111111"/>
          <w:sz w:val="28"/>
          <w:szCs w:val="28"/>
          <w:rtl/>
        </w:rPr>
        <w:t xml:space="preserve">۱۶. تهران؛ ملکی؛ شماره نسخه: ۷۵۷</w:t>
      </w:r>
    </w:p>
    <w:p>
      <w:pPr>
        <w:pStyle w:val="BookText"/>
      </w:pPr>
      <w:r>
        <w:rPr>
          <w:rFonts w:ascii="IRNazanin" w:hAnsi="IRNazanin" w:eastAsia="IRNazanin" w:cs="IRNazanin"/>
          <w:lang w:bidi="fa-IR"/>
          <w:color w:val="111111"/>
          <w:sz w:val="28"/>
          <w:szCs w:val="28"/>
          <w:rtl/>
        </w:rPr>
        <w:t xml:space="preserve">خط: نسخ، كان عبدالقدیر بن علی اصغر، تا: ۱۲۸۶ق؛ کاغذ: فرنگی، جلد: رویه پارچه، ۷۶گ، ۱۵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۱-۷۲]</w:t>
      </w:r>
    </w:p>
    <w:p>
      <w:pPr>
        <w:pStyle w:val="BookText"/>
      </w:pPr>
      <w:r>
        <w:rPr>
          <w:rFonts w:ascii="IRNazanin" w:hAnsi="IRNazanin" w:eastAsia="IRNazanin" w:cs="IRNazanin"/>
          <w:lang w:bidi="fa-IR"/>
          <w:color w:val="111111"/>
          <w:sz w:val="28"/>
          <w:szCs w:val="28"/>
          <w:rtl/>
        </w:rPr>
        <w:t xml:space="preserve">۱۷. تهران: فرهاد معتمد؛ شماره نسخه: ۳۷/۱</w:t>
      </w:r>
    </w:p>
    <w:p>
      <w:pPr>
        <w:pStyle w:val="BookText"/>
      </w:pPr>
      <w:r>
        <w:rPr>
          <w:rFonts w:ascii="IRNazanin" w:hAnsi="IRNazanin" w:eastAsia="IRNazanin" w:cs="IRNazanin"/>
          <w:lang w:bidi="fa-IR"/>
          <w:color w:val="111111"/>
          <w:sz w:val="28"/>
          <w:szCs w:val="28"/>
          <w:rtl/>
        </w:rPr>
        <w:t xml:space="preserve">خط: نسخ، كا: خليفه محمد جواد، تا: ذیحجه ۱۲۸۶ق، جان کاشان؛ کاغذ: فرنگی، جلد: تیماج سبز، ابعاد متن:</w:t>
      </w:r>
    </w:p>
    <w:p>
      <w:pPr>
        <w:pStyle w:val="BookText"/>
      </w:pPr>
      <w:r>
        <w:rPr>
          <w:rFonts w:ascii="IRNazanin" w:hAnsi="IRNazanin" w:eastAsia="IRNazanin" w:cs="IRNazanin"/>
          <w:lang w:bidi="fa-IR"/>
          <w:color w:val="111111"/>
          <w:sz w:val="28"/>
          <w:szCs w:val="28"/>
          <w:rtl/>
        </w:rPr>
        <w:t xml:space="preserve">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[نشریه: ۳-۲۲۲]</w:t>
      </w:r>
    </w:p>
    <w:p>
      <w:pPr>
        <w:pStyle w:val="BookText"/>
      </w:pPr>
      <w:r>
        <w:rPr>
          <w:rFonts w:ascii="IRNazanin" w:hAnsi="IRNazanin" w:eastAsia="IRNazanin" w:cs="IRNazanin"/>
          <w:lang w:bidi="fa-IR"/>
          <w:color w:val="111111"/>
          <w:sz w:val="28"/>
          <w:szCs w:val="28"/>
          <w:rtl/>
        </w:rPr>
        <w:t xml:space="preserve">۱۸. مشهد؛ رضوی؛ شماره نسخه: ۲۳۳۳۶</w:t>
      </w:r>
    </w:p>
    <w:p>
      <w:pPr>
        <w:pStyle w:val="BookText"/>
      </w:pPr>
      <w:r>
        <w:rPr>
          <w:rFonts w:ascii="IRNazanin" w:hAnsi="IRNazanin" w:eastAsia="IRNazanin" w:cs="IRNazanin"/>
          <w:lang w:bidi="fa-IR"/>
          <w:color w:val="111111"/>
          <w:sz w:val="28"/>
          <w:szCs w:val="28"/>
          <w:rtl/>
        </w:rPr>
        <w:t xml:space="preserve">آغاز: برابر؛ انجام: قد تمت البشارات ... بمنه وجوده</w:t>
      </w:r>
    </w:p>
    <w:p>
      <w:pPr>
        <w:pStyle w:val="BookText"/>
      </w:pPr>
      <w:r>
        <w:rPr>
          <w:rFonts w:ascii="IRNazanin" w:hAnsi="IRNazanin" w:eastAsia="IRNazanin" w:cs="IRNazanin"/>
          <w:lang w:bidi="fa-IR"/>
          <w:color w:val="111111"/>
          <w:sz w:val="28"/>
          <w:szCs w:val="28"/>
          <w:rtl/>
        </w:rPr>
        <w:t xml:space="preserve">خط: نستعليق تحریری، بی کا، تا: قرن ۱۴؛ کاغذ: نباتی، جلد: تیماج، ۲۱ سطر(۱۰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[رایانه ]</w:t>
      </w:r>
    </w:p>
    <w:p>
      <w:pPr>
        <w:pStyle w:val="BookText"/>
      </w:pPr>
      <w:r>
        <w:rPr>
          <w:rFonts w:ascii="IRNazanin" w:hAnsi="IRNazanin" w:eastAsia="IRNazanin" w:cs="IRNazanin"/>
          <w:lang w:bidi="fa-IR"/>
          <w:color w:val="111111"/>
          <w:sz w:val="28"/>
          <w:szCs w:val="28"/>
          <w:rtl/>
        </w:rPr>
        <w:t xml:space="preserve">۱۹. مشهد؛ رضوی؛ شماره نسخه: ۲۳۳۹۳</w:t>
      </w:r>
    </w:p>
    <w:p>
      <w:pPr>
        <w:pStyle w:val="BookText"/>
      </w:pPr>
      <w:r>
        <w:rPr>
          <w:rFonts w:ascii="Amiri" w:hAnsi="Amiri" w:eastAsia="Amiri" w:cs="Amiri"/>
          <w:lang w:bidi="ar-SA"/>
          <w:color w:val="111111"/>
          <w:sz w:val="28"/>
          <w:szCs w:val="28"/>
          <w:rtl/>
        </w:rPr>
        <w:t xml:space="preserve">آغاز: برابر؛ انجام: بدل الله بالاهتداد بها ... في شهر ربيع الاول ۱۳۴۲.</w:t>
      </w:r>
    </w:p>
    <w:p>
      <w:pPr>
        <w:pStyle w:val="BookText"/>
      </w:pPr>
      <w:r>
        <w:rPr>
          <w:rFonts w:ascii="IRNazanin" w:hAnsi="IRNazanin" w:eastAsia="IRNazanin" w:cs="IRNazanin"/>
          <w:lang w:bidi="fa-IR"/>
          <w:color w:val="111111"/>
          <w:sz w:val="28"/>
          <w:szCs w:val="28"/>
          <w:rtl/>
        </w:rPr>
        <w:t xml:space="preserve">خط: نسخ، بی کا، تا: ۱۳۴۲ق؛ کاغذ: نخودی، جلد: تیماج، ۲۱ سطر (۱۶۸۹)،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(رایانه)</w:t>
      </w:r>
    </w:p>
    <w:p>
      <w:pPr>
        <w:pStyle w:val="BookText"/>
      </w:pPr>
      <w:r>
        <w:rPr>
          <w:rFonts w:ascii="IRNazanin" w:hAnsi="IRNazanin" w:eastAsia="IRNazanin" w:cs="IRNazanin"/>
          <w:lang w:bidi="fa-IR"/>
          <w:color w:val="111111"/>
          <w:sz w:val="28"/>
          <w:szCs w:val="28"/>
          <w:rtl/>
        </w:rPr>
        <w:t xml:space="preserve">۲۰. مشهد، اصغر زاده؛ شماره نسخه: ۳</w:t>
      </w:r>
    </w:p>
    <w:p>
      <w:pPr>
        <w:pStyle w:val="BookText"/>
      </w:pPr>
      <w:r>
        <w:rPr>
          <w:rFonts w:ascii="IRNazanin" w:hAnsi="IRNazanin" w:eastAsia="IRNazanin" w:cs="IRNazanin"/>
          <w:lang w:bidi="fa-IR"/>
          <w:color w:val="111111"/>
          <w:sz w:val="28"/>
          <w:szCs w:val="28"/>
          <w:rtl/>
        </w:rPr>
        <w:t xml:space="preserve">بی کا، بی تا [نشریه: ۷-۷۶۹]</w:t>
      </w:r>
    </w:p>
    <w:p>
      <w:pPr>
        <w:pStyle w:val="BookText"/>
      </w:pPr>
      <w:r>
        <w:rPr>
          <w:rFonts w:ascii="IRNazanin" w:hAnsi="IRNazanin" w:eastAsia="IRNazanin" w:cs="IRNazanin"/>
          <w:lang w:bidi="fa-IR"/>
          <w:color w:val="111111"/>
          <w:sz w:val="28"/>
          <w:szCs w:val="28"/>
          <w:rtl/>
        </w:rPr>
        <w:t xml:space="preserve">۲۱. قزوین؛ امام صادق؛ شماره نسخه: ۳۱۵</w:t>
      </w:r>
    </w:p>
    <w:p>
      <w:pPr>
        <w:pStyle w:val="BookText"/>
      </w:pPr>
      <w:r>
        <w:rPr>
          <w:rFonts w:ascii="IRNazanin" w:hAnsi="IRNazanin" w:eastAsia="IRNazanin" w:cs="IRNazanin"/>
          <w:lang w:bidi="fa-IR"/>
          <w:color w:val="111111"/>
          <w:sz w:val="28"/>
          <w:szCs w:val="28"/>
          <w:rtl/>
        </w:rPr>
        <w:t xml:space="preserve">آغاز: برابر؛ انجام: بشارة؛ وكذلك من استمع الى قول يقولون أن من لم يكن على طريقة اهل البيت المطهرين من الرجس المعصومین</w:t>
      </w:r>
    </w:p>
    <w:p>
      <w:pPr>
        <w:pStyle w:val="BookText"/>
      </w:pPr>
      <w:r>
        <w:rPr>
          <w:rFonts w:ascii="IRNazanin" w:hAnsi="IRNazanin" w:eastAsia="IRNazanin" w:cs="IRNazanin"/>
          <w:lang w:bidi="fa-IR"/>
          <w:color w:val="111111"/>
          <w:sz w:val="28"/>
          <w:szCs w:val="28"/>
          <w:rtl/>
        </w:rPr>
        <w:t xml:space="preserve">خط: نسخ، بی کا، تا: عصر مؤلف؛ افتادگی: انجام؛ مصحح، با علامت بلاغ؛ جلد: تیماج قهوه ای، ۹۰ گی، ۱۲ سطر [ف: ۱-۴۵]</w:t>
      </w:r>
    </w:p>
    <w:p>
      <w:pPr>
        <w:pStyle w:val="BookText"/>
      </w:pPr>
      <w:r>
        <w:rPr>
          <w:rFonts w:ascii="IRNazanin" w:hAnsi="IRNazanin" w:eastAsia="IRNazanin" w:cs="IRNazanin"/>
          <w:lang w:bidi="fa-IR"/>
          <w:color w:val="111111"/>
          <w:sz w:val="28"/>
          <w:szCs w:val="28"/>
          <w:rtl/>
        </w:rPr>
        <w:t xml:space="preserve">۲۲. قم: مرکز احیاء؛ شماره نسخه: ۱۹۳۱/۲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سعید خروتی، بی تا؛ مصحح؛ جلد: مقوایی عطف تیماج قهوه ای، ۷۵گ (۴۸-۱۲۲ر)، ۱۶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[ف: ۵-۳۶۳]</w:t>
      </w:r>
    </w:p>
    <w:p>
      <w:pPr>
        <w:pStyle w:val="BookText"/>
      </w:pPr>
      <w:r>
        <w:rPr>
          <w:rFonts w:ascii="IRNazanin" w:hAnsi="IRNazanin" w:eastAsia="IRNazanin" w:cs="IRNazanin"/>
          <w:lang w:bidi="fa-IR"/>
          <w:color w:val="111111"/>
          <w:sz w:val="28"/>
          <w:szCs w:val="28"/>
          <w:rtl/>
        </w:rPr>
        <w:t xml:space="preserve">۲۳. مشهد؛ الهیات؛ شماره نسخه: ۵۷۱/۱</w:t>
      </w:r>
    </w:p>
    <w:p>
      <w:pPr>
        <w:pStyle w:val="BookText"/>
      </w:pPr>
      <w:r>
        <w:rPr>
          <w:rFonts w:ascii="IRNazanin" w:hAnsi="IRNazanin" w:eastAsia="IRNazanin" w:cs="IRNazanin"/>
          <w:lang w:bidi="fa-IR"/>
          <w:color w:val="111111"/>
          <w:sz w:val="28"/>
          <w:szCs w:val="28"/>
          <w:rtl/>
        </w:rPr>
        <w:t xml:space="preserve">خط: نسخ، كا: بهلول بن شیخ نصیر دستجردی، بی تا، کاغذ فرنگی؛ جلد: تیماج قهوه ای، ۷ و ۱۴ سطر (۷/۳</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۱۳/۵ )،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سم [ف: ۱-۲۸۲]</w:t>
      </w:r>
    </w:p>
    <w:p>
      <w:pPr>
        <w:pStyle w:val="Heading3"/>
      </w:pPr>
      <w:bookmarkStart w:id="761" w:name="_Toc21"/>
      <w:r>
        <w:t>• بشارة الشيعة / كلام و اعتقادات / فارسی</w:t>
      </w:r>
      <w:bookmarkEnd w:id="761"/>
    </w:p>
    <w:p>
      <w:pPr>
        <w:pStyle w:val="BookText"/>
      </w:pPr>
      <w:r>
        <w:rPr>
          <w:rFonts w:ascii="Times New Roman" w:hAnsi="Times New Roman" w:eastAsia="Times New Roman" w:cs="Times New Roman"/>
          <w:lang w:val="en-US" w:bidi="en-US"/>
          <w:color w:val="111111"/>
          <w:sz w:val="28"/>
          <w:szCs w:val="28"/>
          <w:rtl/>
        </w:rPr>
        <w:t xml:space="preserve">bišārat-uš šī a</w:t>
      </w:r>
    </w:p>
    <w:p>
      <w:pPr>
        <w:pStyle w:val="BookText"/>
      </w:pPr>
      <w:r>
        <w:rPr>
          <w:rFonts w:ascii="IRNazanin" w:hAnsi="IRNazanin" w:eastAsia="IRNazanin" w:cs="IRNazanin"/>
          <w:lang w:bidi="fa-IR"/>
          <w:color w:val="111111"/>
          <w:sz w:val="28"/>
          <w:szCs w:val="28"/>
          <w:rtl/>
        </w:rPr>
        <w:t xml:space="preserve">شریف، علی بن فتح الله، ق ۱۱ قمری</w:t>
      </w:r>
    </w:p>
    <w:p>
      <w:pPr>
        <w:pStyle w:val="BookText"/>
      </w:pPr>
      <w:r>
        <w:rPr>
          <w:rFonts w:ascii="Times New Roman" w:hAnsi="Times New Roman" w:eastAsia="Times New Roman" w:cs="Times New Roman"/>
          <w:lang w:val="en-US" w:bidi="en-US"/>
          <w:color w:val="111111"/>
          <w:sz w:val="28"/>
          <w:szCs w:val="28"/>
          <w:rtl/>
        </w:rPr>
        <w:t xml:space="preserve">šarīf, “alī ebn-e fath-ol-lāh (- 17c)</w:t>
      </w:r>
    </w:p>
    <w:p>
      <w:pPr>
        <w:pStyle w:val="BookText"/>
      </w:pPr>
      <w:r>
        <w:rPr>
          <w:rFonts w:ascii="IRNazanin" w:hAnsi="IRNazanin" w:eastAsia="IRNazanin" w:cs="IRNazanin"/>
          <w:lang w:bidi="fa-IR"/>
          <w:color w:val="111111"/>
          <w:sz w:val="28"/>
          <w:szCs w:val="28"/>
          <w:rtl/>
        </w:rPr>
        <w:t xml:space="preserve">وابسته به: بشارات الشيعة؛ خواجوئی، محمد اسماعيل بن حسين (۱۱۷۳-)</w:t>
      </w:r>
    </w:p>
    <w:p>
      <w:pPr>
        <w:pStyle w:val="BookText"/>
      </w:pPr>
      <w:r>
        <w:rPr>
          <w:rFonts w:ascii="IRNazanin" w:hAnsi="IRNazanin" w:eastAsia="IRNazanin" w:cs="IRNazanin"/>
          <w:lang w:bidi="fa-IR"/>
          <w:color w:val="111111"/>
          <w:sz w:val="28"/>
          <w:szCs w:val="28"/>
          <w:rtl/>
        </w:rPr>
        <w:t xml:space="preserve">رساله ای است در هشت فصل» در بیان معنی شیعه و مراتب آن و فضل شیعه و ... به احتمال قریب به یقین ترجمه «بشارات الشيعة» مولی اسماعیل خاجویی است. پیش از این نیز ترجمه ای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2" w:name="pg20363_209150"/>
    <w:bookmarkEnd w:id="12"/>
    <w:p>
      <w:pPr>
        <w:pStyle w:val="BookText"/>
      </w:pPr>
      <w:r>
        <w:rPr>
          <w:rFonts w:ascii="IRNazanin" w:hAnsi="IRNazanin" w:eastAsia="IRNazanin" w:cs="IRNazanin"/>
          <w:lang w:bidi="fa-IR"/>
          <w:color w:val="111111"/>
          <w:sz w:val="28"/>
          <w:szCs w:val="28"/>
          <w:rtl/>
        </w:rPr>
        <w:t xml:space="preserve">از کتاب مذکور از نجم آبادی گذشت. در اول نسخه حاضر محمد حسین شریف غروی نوشته است که این کتاب را جدش به دستور فتحعلی شاه نگاشته و در الذريعة از «بشارات الشيعة» مولا علی بن فتح الله شریف نام برده شده است.</w:t>
      </w:r>
    </w:p>
    <w:p>
      <w:pPr>
        <w:pStyle w:val="BookText"/>
      </w:pPr>
      <w:r>
        <w:rPr>
          <w:rFonts w:ascii="IRNazanin" w:hAnsi="IRNazanin" w:eastAsia="IRNazanin" w:cs="IRNazanin"/>
          <w:lang w:bidi="fa-IR"/>
          <w:color w:val="111111"/>
          <w:sz w:val="28"/>
          <w:szCs w:val="28"/>
          <w:rtl/>
        </w:rPr>
        <w:t xml:space="preserve">آغاز: بسمله فصل اول در معنی لفظ شیعه است بدانکه شیعه به حسب لغة بمعنی اتباع و اعوان و انصار است مأخوذ است از اشیاع</w:t>
      </w:r>
    </w:p>
    <w:p>
      <w:pPr>
        <w:pStyle w:val="BookText"/>
      </w:pPr>
      <w:r>
        <w:rPr>
          <w:rFonts w:ascii="IRNazanin" w:hAnsi="IRNazanin" w:eastAsia="IRNazanin" w:cs="IRNazanin"/>
          <w:lang w:bidi="fa-IR"/>
          <w:color w:val="111111"/>
          <w:sz w:val="28"/>
          <w:szCs w:val="28"/>
          <w:rtl/>
        </w:rPr>
        <w:t xml:space="preserve">انجام: پس من در جواب گفتم چرا تو دشمنی کنی. بدرستیکه تو احمقی زیرا که مخاصمه در حق علی و شیعیان وی باشی می شود از جهل و غفلت والا ... بلکه ایشان را دوست دارد.</w:t>
      </w:r>
    </w:p>
    <w:p>
      <w:pPr>
        <w:pStyle w:val="BookText"/>
      </w:pPr>
      <w:r>
        <w:rPr>
          <w:rFonts w:ascii="IRNazanin" w:hAnsi="IRNazanin" w:eastAsia="IRNazanin" w:cs="IRNazanin"/>
          <w:lang w:bidi="fa-IR"/>
          <w:color w:val="111111"/>
          <w:sz w:val="28"/>
          <w:szCs w:val="28"/>
          <w:rtl/>
        </w:rPr>
        <w:t xml:space="preserve">مؤلف گوید اللهم ثبتني ولايتهم و مؤلهم</w:t>
      </w:r>
    </w:p>
    <w:p>
      <w:pPr>
        <w:pStyle w:val="BookText"/>
      </w:pPr>
      <w:r>
        <w:rPr>
          <w:rFonts w:ascii="IRNazanin" w:hAnsi="IRNazanin" w:eastAsia="IRNazanin" w:cs="IRNazanin"/>
          <w:lang w:bidi="fa-IR"/>
          <w:color w:val="111111"/>
          <w:sz w:val="28"/>
          <w:szCs w:val="28"/>
          <w:rtl/>
        </w:rPr>
        <w:t xml:space="preserve">[فهرستواره منزوی ۱۵۳/۹ ]</w:t>
      </w:r>
    </w:p>
    <w:p>
      <w:pPr>
        <w:pStyle w:val="BookText"/>
      </w:pPr>
      <w:r>
        <w:rPr>
          <w:rFonts w:ascii="IRNazanin" w:hAnsi="IRNazanin" w:eastAsia="IRNazanin" w:cs="IRNazanin"/>
          <w:lang w:bidi="fa-IR"/>
          <w:color w:val="111111"/>
          <w:sz w:val="28"/>
          <w:szCs w:val="28"/>
          <w:rtl/>
        </w:rPr>
        <w:t xml:space="preserve">۱. تهران: مجلس؛ شماره نسخه: ۶۴۶ ط</w:t>
      </w:r>
    </w:p>
    <w:p>
      <w:pPr>
        <w:pStyle w:val="BookText"/>
      </w:pPr>
      <w:r>
        <w:rPr>
          <w:rFonts w:ascii="IRNazanin" w:hAnsi="IRNazanin" w:eastAsia="IRNazanin" w:cs="IRNazanin"/>
          <w:lang w:bidi="fa-IR"/>
          <w:color w:val="111111"/>
          <w:sz w:val="28"/>
          <w:szCs w:val="28"/>
          <w:rtl/>
        </w:rPr>
        <w:t xml:space="preserve">خط: نسخ، كا: محمد فاضل بن ابی القاسم نطنزی، تا: ۱۰۵۸ق مختصر ف: ۱۰۹]</w:t>
      </w:r>
    </w:p>
    <w:p>
      <w:pPr>
        <w:pStyle w:val="BookText"/>
      </w:pPr>
      <w:r>
        <w:rPr>
          <w:rFonts w:ascii="IRNazanin" w:hAnsi="IRNazanin" w:eastAsia="IRNazanin" w:cs="IRNazanin"/>
          <w:lang w:bidi="fa-IR"/>
          <w:color w:val="111111"/>
          <w:sz w:val="28"/>
          <w:szCs w:val="28"/>
          <w:rtl/>
        </w:rPr>
        <w:t xml:space="preserve">۲. قم؛ گلپایگانی؛ شماره نسخه: ۱۷۸۷- ۱۰/۹۷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تحریری، بی کا، بی تا، مصحح؛ یادداشتی از محمد حسین شریف غروی در ۱۲۹۵ که گوید: این کتاب بشارة الشيعة است که به دستور فتح علی شاه جد علامه ام آن را نوشته است؛ جلد: تیماج قهوه ای بدون مقوا، ۷۴گ، ۱۶-۱۸ سطر، اندازه: ۱۷/۵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۲-۶۲۱]</w:t>
      </w:r>
    </w:p>
    <w:p>
      <w:pPr>
        <w:pStyle w:val="Heading3"/>
      </w:pPr>
      <w:bookmarkStart w:id="762" w:name="_Toc22"/>
      <w:r>
        <w:t>• بشارة الشيعة / تاریخ / فارسی</w:t>
      </w:r>
      <w:bookmarkEnd w:id="762"/>
    </w:p>
    <w:p>
      <w:pPr>
        <w:pStyle w:val="BookText"/>
      </w:pPr>
      <w:r>
        <w:rPr>
          <w:rFonts w:ascii="Times New Roman" w:hAnsi="Times New Roman" w:eastAsia="Times New Roman" w:cs="Times New Roman"/>
          <w:lang w:val="en-US" w:bidi="en-US"/>
          <w:color w:val="111111"/>
          <w:sz w:val="28"/>
          <w:szCs w:val="28"/>
          <w:rtl/>
        </w:rPr>
        <w:t xml:space="preserve">bišārat-uš šī‘a</w:t>
      </w:r>
    </w:p>
    <w:p>
      <w:pPr>
        <w:pStyle w:val="BookText"/>
      </w:pPr>
      <w:r>
        <w:rPr>
          <w:rFonts w:ascii="IRNazanin" w:hAnsi="IRNazanin" w:eastAsia="IRNazanin" w:cs="IRNazanin"/>
          <w:lang w:bidi="fa-IR"/>
          <w:color w:val="111111"/>
          <w:sz w:val="28"/>
          <w:szCs w:val="28"/>
          <w:rtl/>
        </w:rPr>
        <w:t xml:space="preserve">تاریخ تأليف: سه شنبه ۱۰ ربیع الثانی ۱۲۰۱ق</w:t>
      </w:r>
    </w:p>
    <w:p>
      <w:pPr>
        <w:pStyle w:val="BookText"/>
      </w:pPr>
      <w:r>
        <w:rPr>
          <w:rFonts w:ascii="IRNazanin" w:hAnsi="IRNazanin" w:eastAsia="IRNazanin" w:cs="IRNazanin"/>
          <w:lang w:bidi="fa-IR"/>
          <w:color w:val="111111"/>
          <w:sz w:val="28"/>
          <w:szCs w:val="28"/>
          <w:rtl/>
        </w:rPr>
        <w:t xml:space="preserve">در حالات و فضائل و مناقب ائمه معصومین(عليه السلام) و اثبات امامت آنان، مشتمل بر چهارده «باب» که دوازده باب اول در حالات دوازده امام و باب سیزدهم در مطاعن مخالفان آن حضرات و باب چهاردهم در احتجاجات مذهبی. این کتاب درده جزء تأليف شده در چهار جلد.</w:t>
      </w:r>
    </w:p>
    <w:p>
      <w:pPr>
        <w:pStyle w:val="BookText"/>
      </w:pPr>
      <w:r>
        <w:rPr>
          <w:rFonts w:ascii="IRNazanin" w:hAnsi="IRNazanin" w:eastAsia="IRNazanin" w:cs="IRNazanin"/>
          <w:lang w:bidi="fa-IR"/>
          <w:color w:val="111111"/>
          <w:sz w:val="28"/>
          <w:szCs w:val="28"/>
          <w:rtl/>
        </w:rPr>
        <w:t xml:space="preserve">قم؛ مرعشی؛ شماره نسخه: ۴۴۱۳</w:t>
      </w:r>
    </w:p>
    <w:p>
      <w:pPr>
        <w:pStyle w:val="BookText"/>
      </w:pPr>
      <w:r>
        <w:rPr>
          <w:rFonts w:ascii="IRNazanin" w:hAnsi="IRNazanin" w:eastAsia="IRNazanin" w:cs="IRNazanin"/>
          <w:lang w:bidi="fa-IR"/>
          <w:color w:val="111111"/>
          <w:sz w:val="28"/>
          <w:szCs w:val="28"/>
          <w:rtl/>
        </w:rPr>
        <w:t xml:space="preserve">آغاز: جزء هفتم از اجزاء عشره ... مطلب اول در بیان فضائل و مناقب زبده اصفیا و نور اتقيا</w:t>
      </w:r>
    </w:p>
    <w:p>
      <w:pPr>
        <w:pStyle w:val="BookText"/>
      </w:pPr>
      <w:r>
        <w:rPr>
          <w:rFonts w:ascii="IRNazanin" w:hAnsi="IRNazanin" w:eastAsia="IRNazanin" w:cs="IRNazanin"/>
          <w:lang w:bidi="fa-IR"/>
          <w:color w:val="111111"/>
          <w:sz w:val="28"/>
          <w:szCs w:val="28"/>
          <w:rtl/>
        </w:rPr>
        <w:t xml:space="preserve">جلد چهارم و از جزء هفتم تا دهم می باشد مشتمل بر حالات حضرت امام رضا(عليه السلام) تا آخر کتاب؛ خط: نستعلیق، كان محمد اسماعيل بن میرزا على خراسانی، تا: پنج شنبه ۷ شعبان ۱۲۲۳ق؛ جلد: مقوایی عطف</w:t>
      </w:r>
    </w:p>
    <w:p>
      <w:pPr>
        <w:pStyle w:val="BookText"/>
      </w:pPr>
      <w:r>
        <w:rPr>
          <w:rFonts w:ascii="IRNazanin" w:hAnsi="IRNazanin" w:eastAsia="IRNazanin" w:cs="IRNazanin"/>
          <w:lang w:bidi="fa-IR"/>
          <w:color w:val="111111"/>
          <w:sz w:val="28"/>
          <w:szCs w:val="28"/>
          <w:rtl/>
        </w:rPr>
        <w:t xml:space="preserve">تیماج قرمز، ۶۰۵گ، ۱۹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۱۲-۱۳]</w:t>
      </w:r>
    </w:p>
    <w:p>
      <w:pPr>
        <w:pStyle w:val="Heading3"/>
      </w:pPr>
      <w:bookmarkStart w:id="763" w:name="_Toc23"/>
      <w:r>
        <w:t>• بشارة الشيعة و زجر النصاب / كلام و اعتقادات / عربی</w:t>
      </w:r>
      <w:bookmarkEnd w:id="763"/>
    </w:p>
    <w:p>
      <w:pPr>
        <w:pStyle w:val="BookText"/>
      </w:pPr>
      <w:r>
        <w:rPr>
          <w:rFonts w:ascii="Times New Roman" w:hAnsi="Times New Roman" w:eastAsia="Times New Roman" w:cs="Times New Roman"/>
          <w:lang w:val="en-US" w:bidi="en-US"/>
          <w:color w:val="111111"/>
          <w:sz w:val="28"/>
          <w:szCs w:val="28"/>
          <w:rtl/>
        </w:rPr>
        <w:t xml:space="preserve">bišārat-uš šīʻa wa zajr-un naşşāb</w:t>
      </w:r>
    </w:p>
    <w:p>
      <w:pPr>
        <w:pStyle w:val="BookText"/>
      </w:pPr>
      <w:r>
        <w:rPr>
          <w:rFonts w:ascii="IRNazanin" w:hAnsi="IRNazanin" w:eastAsia="IRNazanin" w:cs="IRNazanin"/>
          <w:lang w:bidi="fa-IR"/>
          <w:color w:val="111111"/>
          <w:sz w:val="28"/>
          <w:szCs w:val="28"/>
          <w:rtl/>
        </w:rPr>
        <w:t xml:space="preserve">خراسانی بیرجندی، علی اصغر بن حسن، ق۱۳ قمری</w:t>
      </w:r>
    </w:p>
    <w:p>
      <w:pPr>
        <w:pStyle w:val="BookText"/>
      </w:pPr>
      <w:r>
        <w:rPr>
          <w:rFonts w:ascii="Times New Roman" w:hAnsi="Times New Roman" w:eastAsia="Times New Roman" w:cs="Times New Roman"/>
          <w:lang w:val="en-US" w:bidi="en-US"/>
          <w:color w:val="111111"/>
          <w:sz w:val="28"/>
          <w:szCs w:val="28"/>
          <w:rtl/>
        </w:rPr>
        <w:t xml:space="preserve">xorāsānī bīrjandī’ salī asqar ebn-e hasan (- 19c)</w:t>
      </w:r>
    </w:p>
    <w:p>
      <w:pPr>
        <w:pStyle w:val="BookText"/>
      </w:pPr>
      <w:r>
        <w:rPr>
          <w:rFonts w:ascii="IRNazanin" w:hAnsi="IRNazanin" w:eastAsia="IRNazanin" w:cs="IRNazanin"/>
          <w:lang w:bidi="fa-IR"/>
          <w:color w:val="111111"/>
          <w:sz w:val="28"/>
          <w:szCs w:val="28"/>
          <w:rtl/>
        </w:rPr>
        <w:t xml:space="preserve">در اثبات امامت ائمه (عليهم السلام)و مثالب دشمنانشان، مشتمل بر یک مقدمه» و چندین «فصل».</w:t>
      </w:r>
    </w:p>
    <w:p>
      <w:pPr>
        <w:pStyle w:val="BookText"/>
      </w:pPr>
      <w:r>
        <w:rPr>
          <w:rFonts w:ascii="IRNazanin" w:hAnsi="IRNazanin" w:eastAsia="IRNazanin" w:cs="IRNazanin"/>
          <w:lang w:bidi="fa-IR"/>
          <w:color w:val="111111"/>
          <w:sz w:val="28"/>
          <w:szCs w:val="28"/>
          <w:rtl/>
        </w:rPr>
        <w:t xml:space="preserve">بیرجند؛ دیانی؛ شماره نسخه: ۱۴۷</w:t>
      </w:r>
    </w:p>
    <w:p>
      <w:pPr>
        <w:pStyle w:val="BookText"/>
      </w:pPr>
      <w:r>
        <w:rPr>
          <w:rFonts w:ascii="Amiri" w:hAnsi="Amiri" w:eastAsia="Amiri" w:cs="Amiri"/>
          <w:lang w:bidi="ar-SA"/>
          <w:color w:val="111111"/>
          <w:sz w:val="28"/>
          <w:szCs w:val="28"/>
          <w:rtl/>
        </w:rPr>
        <w:t xml:space="preserve">آغاز: الحمدلله الذي ابدع العقول و جعلها رسلا على كافة النفوس بالحق و الصدق و الصواب</w:t>
      </w:r>
    </w:p>
    <w:p>
      <w:pPr>
        <w:pStyle w:val="BookText"/>
      </w:pPr>
      <w:r>
        <w:rPr>
          <w:rFonts w:ascii="IRNazanin" w:hAnsi="IRNazanin" w:eastAsia="IRNazanin" w:cs="IRNazanin"/>
          <w:lang w:bidi="fa-IR"/>
          <w:color w:val="111111"/>
          <w:sz w:val="28"/>
          <w:szCs w:val="28"/>
          <w:rtl/>
        </w:rPr>
        <w:t xml:space="preserve">خط: نسخ، كا: علی بن حسین، تا: پنج شنبه ۴ رجب ۱۲۸۴ق؛ در هفت برگ آخر داستان طرماح بن عدی آمده؛ جلد: تیماج قهوه ای بدون مقوا، ۱۱۸گ، ۱۵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۱۱۳ ]</w:t>
      </w:r>
    </w:p>
    <w:p>
      <w:pPr>
        <w:pStyle w:val="Heading3"/>
      </w:pPr>
      <w:bookmarkStart w:id="764" w:name="_Toc24"/>
      <w:r>
        <w:t>• بشارت ظهور / کلام و اعتقادات / فارسی</w:t>
      </w:r>
      <w:bookmarkEnd w:id="764"/>
    </w:p>
    <w:p>
      <w:pPr>
        <w:pStyle w:val="BookText"/>
      </w:pPr>
      <w:r>
        <w:rPr>
          <w:rFonts w:ascii="Times New Roman" w:hAnsi="Times New Roman" w:eastAsia="Times New Roman" w:cs="Times New Roman"/>
          <w:lang w:val="en-US" w:bidi="en-US"/>
          <w:color w:val="111111"/>
          <w:sz w:val="28"/>
          <w:szCs w:val="28"/>
          <w:rtl/>
        </w:rPr>
        <w:t xml:space="preserve">bešārat-e zohūr</w:t>
      </w:r>
    </w:p>
    <w:p>
      <w:pPr>
        <w:pStyle w:val="BookText"/>
      </w:pPr>
      <w:r>
        <w:rPr>
          <w:rFonts w:ascii="IRNazanin" w:hAnsi="IRNazanin" w:eastAsia="IRNazanin" w:cs="IRNazanin"/>
          <w:lang w:bidi="fa-IR"/>
          <w:color w:val="111111"/>
          <w:sz w:val="28"/>
          <w:szCs w:val="28"/>
          <w:rtl/>
        </w:rPr>
        <w:t xml:space="preserve">گلپایگانی، ابوالفضل بن محمد، ۱۲۶۰-۱۳۳۷ قمری</w:t>
      </w:r>
    </w:p>
    <w:p>
      <w:pPr>
        <w:pStyle w:val="BookText"/>
      </w:pPr>
      <w:r>
        <w:rPr>
          <w:rFonts w:ascii="Times New Roman" w:hAnsi="Times New Roman" w:eastAsia="Times New Roman" w:cs="Times New Roman"/>
          <w:lang w:val="en-US" w:bidi="en-US"/>
          <w:color w:val="111111"/>
          <w:sz w:val="28"/>
          <w:szCs w:val="28"/>
          <w:rtl/>
        </w:rPr>
        <w:t xml:space="preserve">golpāygānī, ab-ol-fazl ebn-e mohammad (1844-1919)</w:t>
      </w:r>
    </w:p>
    <w:p>
      <w:pPr>
        <w:pStyle w:val="BookText"/>
      </w:pPr>
      <w:r>
        <w:rPr>
          <w:rFonts w:ascii="IRNazanin" w:hAnsi="IRNazanin" w:eastAsia="IRNazanin" w:cs="IRNazanin"/>
          <w:lang w:bidi="fa-IR"/>
          <w:color w:val="111111"/>
          <w:sz w:val="28"/>
          <w:szCs w:val="28"/>
          <w:rtl/>
        </w:rPr>
        <w:t xml:space="preserve">تاریخ تأليف: ۱۳۰۵ق</w:t>
      </w:r>
    </w:p>
    <w:p>
      <w:pPr>
        <w:pStyle w:val="BookText"/>
      </w:pPr>
      <w:r>
        <w:rPr>
          <w:rFonts w:ascii="IRNazanin" w:hAnsi="IRNazanin" w:eastAsia="IRNazanin" w:cs="IRNazanin"/>
          <w:lang w:bidi="fa-IR"/>
          <w:color w:val="111111"/>
          <w:sz w:val="28"/>
          <w:szCs w:val="28"/>
          <w:rtl/>
        </w:rPr>
        <w:t xml:space="preserve">مشهد؛ رضوی؛ شماره نسخه: ۱۶۱۳۹</w:t>
      </w:r>
    </w:p>
    <w:p>
      <w:pPr>
        <w:pStyle w:val="BookText"/>
      </w:pPr>
      <w:r>
        <w:rPr>
          <w:rFonts w:ascii="Amiri" w:hAnsi="Amiri" w:eastAsia="Amiri" w:cs="Amiri"/>
          <w:lang w:bidi="ar-SA"/>
          <w:color w:val="111111"/>
          <w:sz w:val="28"/>
          <w:szCs w:val="28"/>
          <w:rtl/>
        </w:rPr>
        <w:t xml:space="preserve">آغاز: بسمله بعد حمدالله على نعمه و آلائه؛ انجام: أنه هو العلى العزيز الغالب الجليل</w:t>
      </w:r>
    </w:p>
    <w:p>
      <w:pPr>
        <w:pStyle w:val="BookText"/>
      </w:pPr>
      <w:r>
        <w:rPr>
          <w:rFonts w:ascii="IRNazanin" w:hAnsi="IRNazanin" w:eastAsia="IRNazanin" w:cs="IRNazanin"/>
          <w:lang w:bidi="fa-IR"/>
          <w:color w:val="111111"/>
          <w:sz w:val="28"/>
          <w:szCs w:val="28"/>
          <w:rtl/>
        </w:rPr>
        <w:t xml:space="preserve">خط: نسخ، كا: محمد مهدی گلپایگانی، تا: ۱۳۱۰ق، کاغذ: فستقی، جلد: میشن، ۱۸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[رایانه]</w:t>
      </w:r>
    </w:p>
    <w:p>
      <w:pPr>
        <w:pStyle w:val="Heading3"/>
      </w:pPr>
      <w:bookmarkStart w:id="765" w:name="_Toc25"/>
      <w:r>
        <w:t>• البشارة لطلاب الاستخارة / استخاره / عربی</w:t>
      </w:r>
      <w:bookmarkEnd w:id="765"/>
    </w:p>
    <w:p>
      <w:pPr>
        <w:pStyle w:val="BookText"/>
      </w:pPr>
      <w:r>
        <w:rPr>
          <w:rFonts w:ascii="Times New Roman" w:hAnsi="Times New Roman" w:eastAsia="Times New Roman" w:cs="Times New Roman"/>
          <w:lang w:val="en-US" w:bidi="en-US"/>
          <w:color w:val="111111"/>
          <w:sz w:val="28"/>
          <w:szCs w:val="28"/>
          <w:rtl/>
        </w:rPr>
        <w:t xml:space="preserve">al-bišāra li-țullāb-il istixāra</w:t>
      </w:r>
    </w:p>
    <w:p>
      <w:pPr>
        <w:pStyle w:val="BookText"/>
      </w:pPr>
      <w:r>
        <w:rPr>
          <w:rFonts w:ascii="IRNazanin" w:hAnsi="IRNazanin" w:eastAsia="IRNazanin" w:cs="IRNazanin"/>
          <w:lang w:bidi="fa-IR"/>
          <w:color w:val="111111"/>
          <w:sz w:val="28"/>
          <w:szCs w:val="28"/>
          <w:rtl/>
        </w:rPr>
        <w:t xml:space="preserve">بحرانی، احمد بن صالح، ۱۰۷۵-۱۱۲۴ قمری</w:t>
      </w:r>
    </w:p>
    <w:p>
      <w:pPr>
        <w:pStyle w:val="BookText"/>
      </w:pPr>
      <w:r>
        <w:rPr>
          <w:rFonts w:ascii="Times New Roman" w:hAnsi="Times New Roman" w:eastAsia="Times New Roman" w:cs="Times New Roman"/>
          <w:lang w:val="en-US" w:bidi="en-US"/>
          <w:color w:val="111111"/>
          <w:sz w:val="28"/>
          <w:szCs w:val="28"/>
          <w:rtl/>
        </w:rPr>
        <w:t xml:space="preserve">bahrānī, ahmad ebn-e sāleh (1665-1712)</w:t>
      </w:r>
    </w:p>
    <w:p>
      <w:pPr>
        <w:pStyle w:val="BookText"/>
      </w:pPr>
      <w:r>
        <w:rPr>
          <w:rFonts w:ascii="IRNazanin" w:hAnsi="IRNazanin" w:eastAsia="IRNazanin" w:cs="IRNazanin"/>
          <w:lang w:bidi="fa-IR"/>
          <w:color w:val="111111"/>
          <w:sz w:val="28"/>
          <w:szCs w:val="28"/>
          <w:rtl/>
        </w:rPr>
        <w:t xml:space="preserve">تاریخ تأليف: چهارشنبه ۱۷ جمادی الثانی ۱۱۰۰ق</w:t>
      </w:r>
    </w:p>
    <w:p>
      <w:pPr>
        <w:pStyle w:val="BookText"/>
      </w:pPr>
      <w:r>
        <w:rPr>
          <w:rFonts w:ascii="IRNazanin" w:hAnsi="IRNazanin" w:eastAsia="IRNazanin" w:cs="IRNazanin"/>
          <w:lang w:bidi="fa-IR"/>
          <w:color w:val="111111"/>
          <w:sz w:val="28"/>
          <w:szCs w:val="28"/>
          <w:rtl/>
        </w:rPr>
        <w:t xml:space="preserve">رساله ای است در بیان فوائد استخاره و انواع آن و مواضع آن و اموری که باید رعایت نمود، مشتمل بر ۱۲ «اشاره» و شش «باب» و «خاتمه»؛ الذريعة گوید: که او ساکن جهرم بوده و صاحب زهد و ورع و تقوی و آمر به معروف و ناهی از منکر و امامت جمعه و جماعت می کرده است. عناوین کتاب پس از اشارهها چنین است: باب ۱. کیفیت استخاره ذات الرقاع؛ باب ۲. استخاره با رقعه هایی که در گل پیچیده شده؛ 3. استخاره به دعاها بعد از نماز؛ ۴. استخاره با تسبیح و سنگ ریزه؛ ۵. استخاره به قرآن مجید؛ ۶. استخاره بدعاها؛ خاتمه: در استحباب مشورت کردن است.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3" w:name="pg20363_209151"/>
    <w:bookmarkEnd w:id="13"/>
    <w:p>
      <w:pPr>
        <w:pStyle w:val="BookText"/>
      </w:pPr>
      <w:r>
        <w:rPr>
          <w:rFonts w:ascii="Amiri" w:hAnsi="Amiri" w:eastAsia="Amiri" w:cs="Amiri"/>
          <w:lang w:bidi="ar-SA"/>
          <w:color w:val="111111"/>
          <w:sz w:val="28"/>
          <w:szCs w:val="28"/>
          <w:rtl/>
        </w:rPr>
        <w:t xml:space="preserve">آغاز: الحمدلله الذي ما حار من استخاره ولاندم من استشاره ... اعلموا يا اخوان الحقيقة وخلان الطريقه ان الاستخاره امر مندوب اليه</w:t>
      </w:r>
    </w:p>
    <w:p>
      <w:pPr>
        <w:pStyle w:val="BookText"/>
      </w:pPr>
      <w:r>
        <w:rPr>
          <w:rFonts w:ascii="Amiri" w:hAnsi="Amiri" w:eastAsia="Amiri" w:cs="Amiri"/>
          <w:lang w:bidi="ar-SA"/>
          <w:color w:val="111111"/>
          <w:sz w:val="28"/>
          <w:szCs w:val="28"/>
          <w:rtl/>
        </w:rPr>
        <w:t xml:space="preserve">[الذريعة ۱۹/۲ رقم ۵۴ و ۱۱۳/۳ رقم ۳۸۲]</w:t>
      </w:r>
    </w:p>
    <w:p>
      <w:pPr>
        <w:pStyle w:val="BookText"/>
      </w:pPr>
      <w:r>
        <w:rPr>
          <w:rFonts w:ascii="IRNazanin" w:hAnsi="IRNazanin" w:eastAsia="IRNazanin" w:cs="IRNazanin"/>
          <w:lang w:bidi="fa-IR"/>
          <w:color w:val="111111"/>
          <w:sz w:val="28"/>
          <w:szCs w:val="28"/>
          <w:rtl/>
        </w:rPr>
        <w:t xml:space="preserve">شرح و حواشی: - البشارة لطلاب الاستخارة (ترجمه)</w:t>
      </w:r>
    </w:p>
    <w:p>
      <w:pPr>
        <w:pStyle w:val="BookText"/>
      </w:pPr>
      <w:r>
        <w:rPr>
          <w:rFonts w:ascii="IRNazanin" w:hAnsi="IRNazanin" w:eastAsia="IRNazanin" w:cs="IRNazanin"/>
          <w:lang w:bidi="fa-IR"/>
          <w:color w:val="111111"/>
          <w:sz w:val="28"/>
          <w:szCs w:val="28"/>
          <w:rtl/>
        </w:rPr>
        <w:t xml:space="preserve">۱. قم: مرکز احیاء؛ شماره نسخه: ۲۸۷۳</w:t>
      </w:r>
    </w:p>
    <w:p>
      <w:pPr>
        <w:pStyle w:val="BookText"/>
      </w:pPr>
      <w:r>
        <w:rPr>
          <w:rFonts w:ascii="IRNazanin" w:hAnsi="IRNazanin" w:eastAsia="IRNazanin" w:cs="IRNazanin"/>
          <w:lang w:bidi="fa-IR"/>
          <w:color w:val="111111"/>
          <w:sz w:val="28"/>
          <w:szCs w:val="28"/>
          <w:rtl/>
        </w:rPr>
        <w:t xml:space="preserve">آغاز: برابر؛ انجام: و الحديث طويل أخذنا منه موضع الحاجة فمن أراده فليطلبه من مناقبین شهر آشوب.</w:t>
      </w:r>
    </w:p>
    <w:p>
      <w:pPr>
        <w:pStyle w:val="BookText"/>
      </w:pPr>
      <w:r>
        <w:rPr>
          <w:rFonts w:ascii="IRNazanin" w:hAnsi="IRNazanin" w:eastAsia="IRNazanin" w:cs="IRNazanin"/>
          <w:lang w:bidi="fa-IR"/>
          <w:color w:val="111111"/>
          <w:sz w:val="28"/>
          <w:szCs w:val="28"/>
          <w:rtl/>
        </w:rPr>
        <w:t xml:space="preserve">خط: نسخ، بی کا، تا: قرن ۱۲؛ مصحح، محشی از محمد هاشم؛ تملک: «محمد هاشم موسوی چهارسوقی» به سال ۱۲۷۵ با مهر محمد هاشم بن زین العابدین الموسوی» (بیضوی)؛ مهر: «عبده زین العابدین الحسینی» (بیضوی)؛ جلد: تیماج قهوه ای روشن بدون مقوا، ۳۶گ، ۱۵ سطر، اندازه: ۱۱/۵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محدث ارموی</w:t>
      </w:r>
    </w:p>
    <w:p>
      <w:pPr>
        <w:pStyle w:val="BookText"/>
      </w:pPr>
      <w:r>
        <w:rPr>
          <w:rFonts w:ascii="IRNazanin" w:hAnsi="IRNazanin" w:eastAsia="IRNazanin" w:cs="IRNazanin"/>
          <w:lang w:bidi="fa-IR"/>
          <w:color w:val="111111"/>
          <w:sz w:val="28"/>
          <w:szCs w:val="28"/>
          <w:rtl/>
        </w:rPr>
        <w:t xml:space="preserve">مخ: ۱-۲۵۳]</w:t>
      </w:r>
    </w:p>
    <w:p>
      <w:pPr>
        <w:pStyle w:val="BookText"/>
      </w:pPr>
      <w:r>
        <w:rPr>
          <w:rFonts w:ascii="IRNazanin" w:hAnsi="IRNazanin" w:eastAsia="IRNazanin" w:cs="IRNazanin"/>
          <w:lang w:bidi="fa-IR"/>
          <w:color w:val="111111"/>
          <w:sz w:val="28"/>
          <w:szCs w:val="28"/>
          <w:rtl/>
        </w:rPr>
        <w:t xml:space="preserve">۲. قم؛ مسجد اعظم؛ شماره نسخه:۱۴۱۸/۳</w:t>
      </w:r>
    </w:p>
    <w:p>
      <w:pPr>
        <w:pStyle w:val="BookText"/>
      </w:pPr>
      <w:r>
        <w:rPr>
          <w:rFonts w:ascii="IRNazanin" w:hAnsi="IRNazanin" w:eastAsia="IRNazanin" w:cs="IRNazanin"/>
          <w:lang w:bidi="fa-IR"/>
          <w:color w:val="111111"/>
          <w:sz w:val="28"/>
          <w:szCs w:val="28"/>
          <w:rtl/>
        </w:rPr>
        <w:t xml:space="preserve">آغاز: برابر؛ انجام: قال مشاورة ذوي الراي و اتباعهم عنه عن عدة من أصحابنا عن على بن اسباط عن عبدالملک بن سلحة عن السري بن خالد</w:t>
      </w:r>
    </w:p>
    <w:p>
      <w:pPr>
        <w:pStyle w:val="BookText"/>
      </w:pPr>
      <w:r>
        <w:rPr>
          <w:rFonts w:ascii="IRNazanin" w:hAnsi="IRNazanin" w:eastAsia="IRNazanin" w:cs="IRNazanin"/>
          <w:lang w:bidi="fa-IR"/>
          <w:color w:val="111111"/>
          <w:sz w:val="28"/>
          <w:szCs w:val="28"/>
          <w:rtl/>
        </w:rPr>
        <w:t xml:space="preserve">خط: نسخ، بی کا، بی تا؛ افتادگی: انجام؛ جلد: تیماج مشکی بدون مقوا، ۳۲گ، ۱۷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مخ: ۱-۲۷۴]</w:t>
      </w:r>
    </w:p>
    <w:p>
      <w:pPr>
        <w:pStyle w:val="Heading3"/>
      </w:pPr>
      <w:bookmarkStart w:id="766" w:name="_Toc26"/>
      <w:r>
        <w:t>• البشارة لطلاب الاستخارة (ترجمه) / استخاره / فارسی</w:t>
      </w:r>
      <w:bookmarkEnd w:id="766"/>
    </w:p>
    <w:p>
      <w:pPr>
        <w:pStyle w:val="BookText"/>
      </w:pPr>
      <w:r>
        <w:rPr>
          <w:rFonts w:ascii="Times New Roman" w:hAnsi="Times New Roman" w:eastAsia="Times New Roman" w:cs="Times New Roman"/>
          <w:lang w:val="en-US" w:bidi="en-US"/>
          <w:color w:val="111111"/>
          <w:sz w:val="28"/>
          <w:szCs w:val="28"/>
          <w:rtl/>
        </w:rPr>
        <w:t xml:space="preserve">al-bišāra li-țullāb-il istixāra (t.)</w:t>
      </w:r>
    </w:p>
    <w:p>
      <w:pPr>
        <w:pStyle w:val="BookText"/>
      </w:pPr>
      <w:r>
        <w:rPr>
          <w:rFonts w:ascii="IRNazanin" w:hAnsi="IRNazanin" w:eastAsia="IRNazanin" w:cs="IRNazanin"/>
          <w:lang w:bidi="fa-IR"/>
          <w:color w:val="111111"/>
          <w:sz w:val="28"/>
          <w:szCs w:val="28"/>
          <w:rtl/>
        </w:rPr>
        <w:t xml:space="preserve">وابسته به: البشارة لطلاب الاستخارة؛ بحرانی، احمد بن صالح (۱۱۲۴-۱۰۷۵)</w:t>
      </w:r>
    </w:p>
    <w:p>
      <w:pPr>
        <w:pStyle w:val="BookText"/>
      </w:pPr>
      <w:r>
        <w:rPr>
          <w:rFonts w:ascii="IRNazanin" w:hAnsi="IRNazanin" w:eastAsia="IRNazanin" w:cs="IRNazanin"/>
          <w:lang w:bidi="fa-IR"/>
          <w:color w:val="111111"/>
          <w:sz w:val="28"/>
          <w:szCs w:val="28"/>
          <w:rtl/>
        </w:rPr>
        <w:t xml:space="preserve">ترجمه تحت اللفظی نیکویی است از کتاب «البشارة لطلاب الاستخارة»، مشتمل بر دوازده «اشاره کوتاه مقدمه مانند و شش «باب» و یک «خاتمه»، مشتمل بر آداب استخاره و انواع آن و بعضی از دعاها و گفته های علما راجع به استخاره. تاريخ تأليف کتاب البشاره در این ترجمه «چاشت چهارشنبه ۲۹ ماه رجب ۱۰۹۰» است، اما تاریخ آن را الذریعه (۱۱۳/۳ ) «چهارشنبه هفدهم جمادی الثانی ۱۱۰۰» آورده و شاید تاریخ تحریری دیگر یا تاریخ کتابت نسخه ای باشد که مرحوم طهرانی دیده است.</w:t>
      </w:r>
    </w:p>
    <w:p>
      <w:pPr>
        <w:pStyle w:val="BookText"/>
      </w:pPr>
      <w:r>
        <w:rPr>
          <w:rFonts w:ascii="IRNazanin" w:hAnsi="IRNazanin" w:eastAsia="IRNazanin" w:cs="IRNazanin"/>
          <w:lang w:bidi="fa-IR"/>
          <w:color w:val="111111"/>
          <w:sz w:val="28"/>
          <w:szCs w:val="28"/>
          <w:rtl/>
        </w:rPr>
        <w:t xml:space="preserve">قم؛ مرعشی؛ شماره نسخه: ۱۰۱۲۲</w:t>
      </w:r>
    </w:p>
    <w:p>
      <w:pPr>
        <w:pStyle w:val="BookText"/>
      </w:pPr>
      <w:r>
        <w:rPr>
          <w:rFonts w:ascii="IRNazanin" w:hAnsi="IRNazanin" w:eastAsia="IRNazanin" w:cs="IRNazanin"/>
          <w:lang w:bidi="fa-IR"/>
          <w:color w:val="111111"/>
          <w:sz w:val="28"/>
          <w:szCs w:val="28"/>
          <w:rtl/>
        </w:rPr>
        <w:t xml:space="preserve">آغاز: ستایش خدای را است که حیران نماند آنکه با او استخاره کرد و پشیمان نشد هر که با او مشاورت نمود؛ انجام: اینست که دعا کنند مؤلف را به آمرزش و رضوان خدا</w:t>
      </w:r>
    </w:p>
    <w:p>
      <w:pPr>
        <w:pStyle w:val="BookText"/>
      </w:pPr>
      <w:r>
        <w:rPr>
          <w:rFonts w:ascii="IRNazanin" w:hAnsi="IRNazanin" w:eastAsia="IRNazanin" w:cs="IRNazanin"/>
          <w:lang w:bidi="fa-IR"/>
          <w:color w:val="111111"/>
          <w:sz w:val="28"/>
          <w:szCs w:val="28"/>
          <w:rtl/>
        </w:rPr>
        <w:t xml:space="preserve">خط: نستعلیق خوش، بی کا، تا: شب پنج شنبه ۲۰ رجب ۱۲۹۷ق؛ جلد: مقوایی عطف پارچه، ۸۲گ، ۱۱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۲۶-۸۸]</w:t>
      </w:r>
    </w:p>
    <w:p>
      <w:pPr>
        <w:pStyle w:val="Heading3"/>
      </w:pPr>
      <w:bookmarkStart w:id="767" w:name="_Toc27"/>
      <w:r>
        <w:t>• بشارة المذنبین / كلام و اعتقادات / فارسی</w:t>
      </w:r>
      <w:bookmarkEnd w:id="767"/>
    </w:p>
    <w:p>
      <w:pPr>
        <w:pStyle w:val="BookText"/>
      </w:pPr>
      <w:r>
        <w:rPr>
          <w:rFonts w:ascii="Times New Roman" w:hAnsi="Times New Roman" w:eastAsia="Times New Roman" w:cs="Times New Roman"/>
          <w:lang w:val="en-US" w:bidi="en-US"/>
          <w:color w:val="111111"/>
          <w:sz w:val="28"/>
          <w:szCs w:val="28"/>
          <w:rtl/>
        </w:rPr>
        <w:t xml:space="preserve">bešārat-ol moznebīn</w:t>
      </w:r>
    </w:p>
    <w:p>
      <w:pPr>
        <w:pStyle w:val="BookText"/>
      </w:pPr>
      <w:r>
        <w:rPr>
          <w:rFonts w:ascii="IRNazanin" w:hAnsi="IRNazanin" w:eastAsia="IRNazanin" w:cs="IRNazanin"/>
          <w:lang w:bidi="fa-IR"/>
          <w:color w:val="111111"/>
          <w:sz w:val="28"/>
          <w:szCs w:val="28"/>
          <w:rtl/>
        </w:rPr>
        <w:t xml:space="preserve">قزوینی، عبدالوهاب بن محمد علی، ق۱۳ قمری</w:t>
      </w:r>
    </w:p>
    <w:p>
      <w:pPr>
        <w:pStyle w:val="BookText"/>
      </w:pPr>
      <w:r>
        <w:rPr>
          <w:rFonts w:ascii="Times New Roman" w:hAnsi="Times New Roman" w:eastAsia="Times New Roman" w:cs="Times New Roman"/>
          <w:lang w:val="en-US" w:bidi="en-US"/>
          <w:color w:val="111111"/>
          <w:sz w:val="28"/>
          <w:szCs w:val="28"/>
          <w:rtl/>
        </w:rPr>
        <w:t xml:space="preserve">qazvīnī, 'abd-ol-vahhāb ebn-e mohammad ‘alī (- 19c)</w:t>
      </w:r>
    </w:p>
    <w:p>
      <w:pPr>
        <w:pStyle w:val="BookText"/>
      </w:pPr>
      <w:r>
        <w:rPr>
          <w:rFonts w:ascii="IRNazanin" w:hAnsi="IRNazanin" w:eastAsia="IRNazanin" w:cs="IRNazanin"/>
          <w:lang w:bidi="fa-IR"/>
          <w:color w:val="111111"/>
          <w:sz w:val="28"/>
          <w:szCs w:val="28"/>
          <w:rtl/>
        </w:rPr>
        <w:t xml:space="preserve">اهدا به: فتح علی شاه</w:t>
      </w:r>
    </w:p>
    <w:p>
      <w:pPr>
        <w:pStyle w:val="BookText"/>
      </w:pPr>
      <w:r>
        <w:rPr>
          <w:rFonts w:ascii="IRNazanin" w:hAnsi="IRNazanin" w:eastAsia="IRNazanin" w:cs="IRNazanin"/>
          <w:lang w:bidi="fa-IR"/>
          <w:color w:val="111111"/>
          <w:sz w:val="28"/>
          <w:szCs w:val="28"/>
          <w:rtl/>
        </w:rPr>
        <w:t xml:space="preserve">در شرح و ترجمه یک صد فقره از آیات و احادیث شیعی اثنا عشری درباره رحمت الهی و آمرزش گناهان، در یک «مقدمه) و پنج «مقصد» و یک «خاتمه».</w:t>
      </w:r>
    </w:p>
    <w:p>
      <w:pPr>
        <w:pStyle w:val="BookText"/>
      </w:pPr>
      <w:r>
        <w:rPr>
          <w:rFonts w:ascii="IRNazanin" w:hAnsi="IRNazanin" w:eastAsia="IRNazanin" w:cs="IRNazanin"/>
          <w:lang w:bidi="fa-IR"/>
          <w:color w:val="111111"/>
          <w:sz w:val="28"/>
          <w:szCs w:val="28"/>
          <w:rtl/>
        </w:rPr>
        <w:t xml:space="preserve">آغاز: الحمد الله الذي برحمانیته اعطى كل شيء حقه</w:t>
      </w:r>
    </w:p>
    <w:p>
      <w:pPr>
        <w:pStyle w:val="BookText"/>
      </w:pPr>
      <w:r>
        <w:rPr>
          <w:rFonts w:ascii="IRNazanin" w:hAnsi="IRNazanin" w:eastAsia="IRNazanin" w:cs="IRNazanin"/>
          <w:lang w:bidi="fa-IR"/>
          <w:color w:val="111111"/>
          <w:sz w:val="28"/>
          <w:szCs w:val="28"/>
          <w:rtl/>
        </w:rPr>
        <w:t xml:space="preserve">انجام: و مشهور است در حدیث که نیست شفیعی نافع تر از توبه. تمام گردید رساله موسومه ببشارة المذنبين و الحمد الله و المنة له.</w:t>
      </w:r>
    </w:p>
    <w:p>
      <w:pPr>
        <w:pStyle w:val="BookText"/>
      </w:pPr>
      <w:r>
        <w:rPr>
          <w:rFonts w:ascii="IRNazanin" w:hAnsi="IRNazanin" w:eastAsia="IRNazanin" w:cs="IRNazanin"/>
          <w:lang w:bidi="fa-IR"/>
          <w:color w:val="111111"/>
          <w:sz w:val="28"/>
          <w:szCs w:val="28"/>
          <w:rtl/>
        </w:rPr>
        <w:t xml:space="preserve">تهران؛ دانشگاه؛ شماره نسخه: ۵۹۳۲/۱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علی مردان بن ملا محمد علی بیابانکی قزوینی، تا: قرن ۱۳؛ کاغذ: فرنگی، جلد: تیماج حنایی ضربی مقوایی، ۲۱گ (۱پ -۲۱پ)، ۱۸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قطع: رحلی،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۱۶-۱۵۹]</w:t>
      </w:r>
    </w:p>
    <w:p>
      <w:pPr>
        <w:pStyle w:val="Heading3"/>
      </w:pPr>
      <w:bookmarkStart w:id="768" w:name="_Toc28"/>
      <w:r>
        <w:t>• بشارة المذنبین / كلام و اعتقادات / فارسی</w:t>
      </w:r>
      <w:bookmarkEnd w:id="768"/>
    </w:p>
    <w:p>
      <w:pPr>
        <w:pStyle w:val="BookText"/>
      </w:pPr>
      <w:r>
        <w:rPr>
          <w:rFonts w:ascii="Times New Roman" w:hAnsi="Times New Roman" w:eastAsia="Times New Roman" w:cs="Times New Roman"/>
          <w:lang w:val="en-US" w:bidi="en-US"/>
          <w:color w:val="111111"/>
          <w:sz w:val="28"/>
          <w:szCs w:val="28"/>
          <w:rtl/>
        </w:rPr>
        <w:t xml:space="preserve">bešārat-ol moznebīn</w:t>
      </w:r>
    </w:p>
    <w:p>
      <w:pPr>
        <w:pStyle w:val="BookText"/>
      </w:pPr>
      <w:r>
        <w:rPr>
          <w:rFonts w:ascii="IRNazanin" w:hAnsi="IRNazanin" w:eastAsia="IRNazanin" w:cs="IRNazanin"/>
          <w:lang w:bidi="fa-IR"/>
          <w:color w:val="111111"/>
          <w:sz w:val="28"/>
          <w:szCs w:val="28"/>
          <w:rtl/>
        </w:rPr>
        <w:t xml:space="preserve">تویسرکانی، عبدالغفار بن محمد حسن، -۱۳۱۹ شمسی</w:t>
      </w:r>
    </w:p>
    <w:p>
      <w:pPr>
        <w:pStyle w:val="BookText"/>
      </w:pPr>
      <w:r>
        <w:rPr>
          <w:rFonts w:ascii="Times New Roman" w:hAnsi="Times New Roman" w:eastAsia="Times New Roman" w:cs="Times New Roman"/>
          <w:lang w:val="en-US" w:bidi="en-US"/>
          <w:color w:val="111111"/>
          <w:sz w:val="28"/>
          <w:szCs w:val="28"/>
          <w:rtl/>
        </w:rPr>
        <w:t xml:space="preserve">toyserkānī, “abd-ol-qaffār ebn-e mohammad hasan ( 1940)</w:t>
      </w:r>
    </w:p>
    <w:p>
      <w:pPr>
        <w:pStyle w:val="BookText"/>
      </w:pPr>
      <w:r>
        <w:rPr>
          <w:rFonts w:ascii="IRNazanin" w:hAnsi="IRNazanin" w:eastAsia="IRNazanin" w:cs="IRNazanin"/>
          <w:lang w:bidi="fa-IR"/>
          <w:color w:val="111111"/>
          <w:sz w:val="28"/>
          <w:szCs w:val="28"/>
          <w:rtl/>
        </w:rPr>
        <w:t xml:space="preserve">نویسنده در مناظره ای که با یکی از فضلا داشته بر این سخن که امیر المؤمنين(عليه السلام)هر شب هفتاد مرتبه از خوف الهی بیهوش می شد، نقد و ردی ایراد نموده و تفصيل مطلب را که خداوند به دلیل رحمانیت و بخشندگی خاص خود بر مؤمنین و پارسایان عذابی و قهری نازل نخواهد کرد، در این کتاب بیان نموده و در لابه لا از مناظرات و مباحثات خود با برخی علما شیخیه نیز یادی به میان آورده است.</w:t>
      </w:r>
    </w:p>
    <w:p>
      <w:pPr>
        <w:pStyle w:val="BookText"/>
      </w:pPr>
      <w:r>
        <w:rPr>
          <w:rFonts w:ascii="IRNazanin" w:hAnsi="IRNazanin" w:eastAsia="IRNazanin" w:cs="IRNazanin"/>
          <w:lang w:bidi="fa-IR"/>
          <w:color w:val="111111"/>
          <w:sz w:val="28"/>
          <w:szCs w:val="28"/>
          <w:rtl/>
        </w:rPr>
        <w:t xml:space="preserve">آغاز: الحمدلله رب العالمين ... و بعد بدان واضع دین خدا حامل دین رسول اکرم(صلی الله علیه وآله وسلم)حافظ دین امیر المؤمنین و اولاد طاهرین آن بزرگواران ...</w:t>
      </w:r>
    </w:p>
    <w:p>
      <w:pPr>
        <w:pStyle w:val="BookText"/>
      </w:pPr>
      <w:r>
        <w:rPr>
          <w:rFonts w:ascii="IRNazanin" w:hAnsi="IRNazanin" w:eastAsia="IRNazanin" w:cs="IRNazanin"/>
          <w:lang w:bidi="fa-IR"/>
          <w:color w:val="111111"/>
          <w:sz w:val="28"/>
          <w:szCs w:val="28"/>
          <w:rtl/>
        </w:rPr>
        <w:t xml:space="preserve">انجام: لاقت برسم بمداد النور *** في صفحات من خدود الحور [فهرستواره منزوی ۱۵۳/۹ ]</w:t>
      </w:r>
    </w:p>
    <w:p>
      <w:pPr>
        <w:pStyle w:val="BookText"/>
      </w:pPr>
      <w:r>
        <w:rPr>
          <w:rFonts w:ascii="IRNazanin" w:hAnsi="IRNazanin" w:eastAsia="IRNazanin" w:cs="IRNazanin"/>
          <w:lang w:bidi="fa-IR"/>
          <w:color w:val="111111"/>
          <w:sz w:val="28"/>
          <w:szCs w:val="28"/>
          <w:rtl/>
        </w:rPr>
        <w:t xml:space="preserve">۱. قم؛ مرعشی؛ شماره نسخه: ۷۳۳۵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4" w:name="pg20363_209152"/>
    <w:bookmarkEnd w:id="14"/>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زیبا، بی کا، تا: رمضان ۱۳۱۱ق؛ مجدول، دارای دو سرلوح عادی؛ جلد: تیماج مشکی، ۱۱۶گی، ۱۵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۱۹-۱۲۶]</w:t>
      </w:r>
    </w:p>
    <w:p>
      <w:pPr>
        <w:pStyle w:val="BookText"/>
      </w:pPr>
      <w:r>
        <w:rPr>
          <w:rFonts w:ascii="IRNazanin" w:hAnsi="IRNazanin" w:eastAsia="IRNazanin" w:cs="IRNazanin"/>
          <w:lang w:bidi="fa-IR"/>
          <w:color w:val="111111"/>
          <w:sz w:val="28"/>
          <w:szCs w:val="28"/>
          <w:rtl/>
        </w:rPr>
        <w:t xml:space="preserve">۲. تهران: ملک؛ شماره نسخه: ۸۷۵</w:t>
      </w:r>
    </w:p>
    <w:p>
      <w:pPr>
        <w:pStyle w:val="BookText"/>
      </w:pPr>
      <w:r>
        <w:rPr>
          <w:rFonts w:ascii="IRNazanin" w:hAnsi="IRNazanin" w:eastAsia="IRNazanin" w:cs="IRNazanin"/>
          <w:lang w:bidi="fa-IR"/>
          <w:color w:val="111111"/>
          <w:sz w:val="28"/>
          <w:szCs w:val="28"/>
          <w:rtl/>
        </w:rPr>
        <w:t xml:space="preserve">آغاز: برابر؛ انجام: معانی بسیار می نماید.</w:t>
      </w:r>
    </w:p>
    <w:p>
      <w:pPr>
        <w:pStyle w:val="BookText"/>
      </w:pPr>
      <w:r>
        <w:rPr>
          <w:rFonts w:ascii="IRNazanin" w:hAnsi="IRNazanin" w:eastAsia="IRNazanin" w:cs="IRNazanin"/>
          <w:lang w:bidi="fa-IR"/>
          <w:color w:val="111111"/>
          <w:sz w:val="28"/>
          <w:szCs w:val="28"/>
          <w:rtl/>
        </w:rPr>
        <w:t xml:space="preserve">خط: نستعلیق، کا: محمد تقی تویسرکانی، تا: ۱۳۱۱ق؛ افتادگی: انجام؛ کاغذ: کاغذ فرنگی، جلد: مخمل لاجوردی، ۱۰۵گ، ۱۵ سطر،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۲۲/۱سم [ف: ۲-۵۷]</w:t>
      </w:r>
    </w:p>
    <w:p>
      <w:pPr>
        <w:pStyle w:val="BookText"/>
      </w:pPr>
      <w:r>
        <w:rPr>
          <w:rFonts w:ascii="IRNazanin" w:hAnsi="IRNazanin" w:eastAsia="IRNazanin" w:cs="IRNazanin"/>
          <w:lang w:bidi="fa-IR"/>
          <w:color w:val="111111"/>
          <w:sz w:val="28"/>
          <w:szCs w:val="28"/>
          <w:rtl/>
        </w:rPr>
        <w:t xml:space="preserve">٣. تهران؛ مجلس؛ شماره نسخه: ۱۰۵۷۰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تقی تویسرکانی، تا: ۱۳۱۲ق؛ دارای دو سرلوح بسیار نفیس و هنری، مجدول؛ جلد: تیماج قهوه ای ساده، ۱۰۸گ، ۱۵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۳۳/۱ -۱۰۸]</w:t>
      </w:r>
    </w:p>
    <w:p>
      <w:pPr>
        <w:pStyle w:val="Heading3"/>
      </w:pPr>
      <w:bookmarkStart w:id="769" w:name="_Toc29"/>
      <w:r>
        <w:t>• بشارة المصطفى في اثبات المهدی المرتجی / کلام و اعتقادات / عربی</w:t>
      </w:r>
      <w:bookmarkEnd w:id="769"/>
    </w:p>
    <w:p>
      <w:pPr>
        <w:pStyle w:val="BookText"/>
      </w:pPr>
      <w:r>
        <w:rPr>
          <w:rFonts w:ascii="Times New Roman" w:hAnsi="Times New Roman" w:eastAsia="Times New Roman" w:cs="Times New Roman"/>
          <w:lang w:val="en-US" w:bidi="en-US"/>
          <w:color w:val="111111"/>
          <w:sz w:val="28"/>
          <w:szCs w:val="28"/>
          <w:rtl/>
        </w:rPr>
        <w:t xml:space="preserve">bisarat-ul mustafa fi itbat-il mahdi-yil murtaja</w:t>
      </w:r>
    </w:p>
    <w:p>
      <w:pPr>
        <w:pStyle w:val="BookText"/>
      </w:pPr>
      <w:r>
        <w:rPr>
          <w:rFonts w:ascii="IRNazanin" w:hAnsi="IRNazanin" w:eastAsia="IRNazanin" w:cs="IRNazanin"/>
          <w:lang w:bidi="fa-IR"/>
          <w:color w:val="111111"/>
          <w:sz w:val="28"/>
          <w:szCs w:val="28"/>
          <w:rtl/>
        </w:rPr>
        <w:t xml:space="preserve">اشراقی، ولی الله بن هاشم، ق۱۵ قمری</w:t>
      </w:r>
    </w:p>
    <w:p>
      <w:pPr>
        <w:pStyle w:val="BookText"/>
      </w:pPr>
      <w:r>
        <w:rPr>
          <w:rFonts w:ascii="Times New Roman" w:hAnsi="Times New Roman" w:eastAsia="Times New Roman" w:cs="Times New Roman"/>
          <w:lang w:val="en-US" w:bidi="en-US"/>
          <w:color w:val="111111"/>
          <w:sz w:val="28"/>
          <w:szCs w:val="28"/>
          <w:rtl/>
        </w:rPr>
        <w:t xml:space="preserve">ešrāqī, valī-ol-lāh ebn-e hāšem (- 21c)</w:t>
      </w:r>
    </w:p>
    <w:p>
      <w:pPr>
        <w:pStyle w:val="BookText"/>
      </w:pPr>
      <w:r>
        <w:rPr>
          <w:rFonts w:ascii="IRNazanin" w:hAnsi="IRNazanin" w:eastAsia="IRNazanin" w:cs="IRNazanin"/>
          <w:lang w:bidi="fa-IR"/>
          <w:color w:val="111111"/>
          <w:sz w:val="28"/>
          <w:szCs w:val="28"/>
          <w:rtl/>
        </w:rPr>
        <w:t xml:space="preserve">تاریخ تألیف: شب دهم شوال ۱۳۹۲ق</w:t>
      </w:r>
    </w:p>
    <w:p>
      <w:pPr>
        <w:pStyle w:val="BookText"/>
      </w:pPr>
      <w:r>
        <w:rPr>
          <w:rFonts w:ascii="IRNazanin" w:hAnsi="IRNazanin" w:eastAsia="IRNazanin" w:cs="IRNazanin"/>
          <w:lang w:bidi="fa-IR"/>
          <w:color w:val="111111"/>
          <w:sz w:val="28"/>
          <w:szCs w:val="28"/>
          <w:rtl/>
        </w:rPr>
        <w:t xml:space="preserve">تاریخ امام منتظر مهدی موعود(عليه السلام)و احادیث پیامبر اکرم(صلى الله عليه و آله وسلم)درباره آن حضرت را از کتاب های اهل سنت گرد آورده و اعتراضات و شبهات را که پیرامون پاسخ می گوید.</w:t>
      </w:r>
    </w:p>
    <w:p>
      <w:pPr>
        <w:pStyle w:val="BookText"/>
      </w:pPr>
      <w:r>
        <w:rPr>
          <w:rFonts w:ascii="IRNazanin" w:hAnsi="IRNazanin" w:eastAsia="IRNazanin" w:cs="IRNazanin"/>
          <w:lang w:bidi="fa-IR"/>
          <w:color w:val="111111"/>
          <w:sz w:val="28"/>
          <w:szCs w:val="28"/>
          <w:rtl/>
        </w:rPr>
        <w:t xml:space="preserve">قم؛ مرکز احیاء؛ شماره نسخه: ۳۱۸/۲</w:t>
      </w:r>
    </w:p>
    <w:p>
      <w:pPr>
        <w:pStyle w:val="BookText"/>
      </w:pPr>
      <w:r>
        <w:rPr>
          <w:rFonts w:ascii="IRNazanin" w:hAnsi="IRNazanin" w:eastAsia="IRNazanin" w:cs="IRNazanin"/>
          <w:lang w:bidi="fa-IR"/>
          <w:color w:val="111111"/>
          <w:sz w:val="28"/>
          <w:szCs w:val="28"/>
          <w:rtl/>
        </w:rPr>
        <w:t xml:space="preserve">آغاز: الحمدلله الذي ارسل رسوله بالهدی ... و بعد فقد قال رسول الله (صلى الله عليه و آله وسلم)لعلی بن ابی طالب عليه السلام: یا علی اتق الضغائن</w:t>
      </w:r>
    </w:p>
    <w:p>
      <w:pPr>
        <w:pStyle w:val="BookText"/>
      </w:pPr>
      <w:r>
        <w:rPr>
          <w:rFonts w:ascii="IRNazanin" w:hAnsi="IRNazanin" w:eastAsia="IRNazanin" w:cs="IRNazanin"/>
          <w:lang w:bidi="fa-IR"/>
          <w:color w:val="111111"/>
          <w:sz w:val="28"/>
          <w:szCs w:val="28"/>
          <w:rtl/>
        </w:rPr>
        <w:t xml:space="preserve">نسخه اصل: کتابخانه مؤلف، سراب؛ خط: نستعلیق، کاتب = مؤلف، بی تا؛ ۱۳۱ص (۱-۱۳۱) [عکسی ف: ۱-۳۷۶]</w:t>
      </w:r>
    </w:p>
    <w:p>
      <w:pPr>
        <w:pStyle w:val="Heading3"/>
      </w:pPr>
      <w:bookmarkStart w:id="770" w:name="_Toc30"/>
      <w:r>
        <w:t>• بشارة المصطفى لشيعة المرتضی / حديث / عربی</w:t>
      </w:r>
      <w:bookmarkEnd w:id="770"/>
    </w:p>
    <w:p>
      <w:pPr>
        <w:pStyle w:val="BookText"/>
      </w:pPr>
      <w:r>
        <w:rPr>
          <w:rFonts w:ascii="Times New Roman" w:hAnsi="Times New Roman" w:eastAsia="Times New Roman" w:cs="Times New Roman"/>
          <w:lang w:val="en-US" w:bidi="en-US"/>
          <w:color w:val="111111"/>
          <w:sz w:val="28"/>
          <w:szCs w:val="28"/>
          <w:rtl/>
        </w:rPr>
        <w:t xml:space="preserve">bisarat-ul mustafa li-ST'at-il murtada</w:t>
      </w:r>
    </w:p>
    <w:p>
      <w:pPr>
        <w:pStyle w:val="BookText"/>
      </w:pPr>
      <w:r>
        <w:rPr>
          <w:rFonts w:ascii="IRNazanin" w:hAnsi="IRNazanin" w:eastAsia="IRNazanin" w:cs="IRNazanin"/>
          <w:lang w:bidi="fa-IR"/>
          <w:color w:val="111111"/>
          <w:sz w:val="28"/>
          <w:szCs w:val="28"/>
          <w:rtl/>
        </w:rPr>
        <w:t xml:space="preserve">آملی، محمد بن أبي القاسم علی، ق۶ قمری</w:t>
      </w:r>
    </w:p>
    <w:p>
      <w:pPr>
        <w:pStyle w:val="BookText"/>
      </w:pPr>
      <w:r>
        <w:rPr>
          <w:rFonts w:ascii="Times New Roman" w:hAnsi="Times New Roman" w:eastAsia="Times New Roman" w:cs="Times New Roman"/>
          <w:lang w:val="en-US" w:bidi="en-US"/>
          <w:color w:val="111111"/>
          <w:sz w:val="28"/>
          <w:szCs w:val="28"/>
          <w:rtl/>
        </w:rPr>
        <w:t xml:space="preserve">āmolī, mohammad ebn-e abe-l-qāsem ‘alī (- 12c)</w:t>
      </w:r>
    </w:p>
    <w:p>
      <w:pPr>
        <w:pStyle w:val="BookText"/>
      </w:pPr>
      <w:r>
        <w:rPr>
          <w:rFonts w:ascii="IRNazanin" w:hAnsi="IRNazanin" w:eastAsia="IRNazanin" w:cs="IRNazanin"/>
          <w:lang w:bidi="fa-IR"/>
          <w:color w:val="111111"/>
          <w:sz w:val="28"/>
          <w:szCs w:val="28"/>
          <w:rtl/>
        </w:rPr>
        <w:t xml:space="preserve">کتاب، مشتمل بر اخبار وارده در مقامات و منازل و فضایل شیعیان و مرتب بر هفده جزء است. ولی اکنون همه آن در دست نیست. آنچه از آن معرفی شده در چهار جزو و دارای ۳۴۹ حدیث است و بخشی از آن با حذف اسانید. محدث نوری در مستدرک (۳: ۴۷۶) از طبری یاد نموده و گفته که از نسخه های «بشارة المصطفى» چهار جزء بیش ندیده ام با این که برخی از آن نسخهها که من دیده ام کهنه بود و گویا مجلسی هم چهار جزء بیشتر نداشت چه او خبری از آن نیاورد که در نسخه های ما نباشد نوری آن گاه استادان روایت طبری که به چهارده متن می رسد برمی شمرد که ۱۱ تن آنها در این کتاب یاد شده و سه تا که در آن نیامده است عبارت اند از: ابي اليقظان عمار بن یاسر و پسرش ابی القاسم سعد و شريف ابی عبدالله محمد بن علی بن عبدالرحمن علوی نگارنده التعازي. مؤلف درباره انگیزه تألیف چنین می نویسد: «... فان الذي حملنی على عمل هذا الكتاب اني رأيت الخلق الكثير والجم الغفير يتسمون بالتشيع و لا يعرفونه و مرتبته و لا يؤدون حقوقه و حرمته ... تعمدت الى جمع مؤلف يشتمل على منزلة التشيع و الدرجات الشيعة و كرامة اولياء الائمه البررة على الله و مالهم عنده من المثوی و جزيل الجزاء في الجنان ... ولا اذكر فيه الا المسند من الاخبار عن المشايخ الكبار و الثقات الاخیار ...»</w:t>
      </w:r>
    </w:p>
    <w:p>
      <w:pPr>
        <w:pStyle w:val="BookText"/>
      </w:pPr>
      <w:r>
        <w:rPr>
          <w:rFonts w:ascii="IRNazanin" w:hAnsi="IRNazanin" w:eastAsia="IRNazanin" w:cs="IRNazanin"/>
          <w:lang w:bidi="fa-IR"/>
          <w:color w:val="111111"/>
          <w:sz w:val="28"/>
          <w:szCs w:val="28"/>
          <w:rtl/>
        </w:rPr>
        <w:t xml:space="preserve">آغاز: الحمد لله الواحد القهار الازلى الجبار العزيز الغفار الكريم الستار لا تدركه الأبصار ولا تحيط به الافكار ... اما بعد فان الذي حملني على عمل هذا الكتاب اني لما رأيت الخلق الكثير ... اما بعد فان الذي حملني على عمل هذا الكتاب اني لما رأيت الخلق الكثير و الجم الغفير يتسمون بالتشيع و لا يعرفونه و مرتبته ... تعمدت الى جمع مؤلف يشتمل على منزلة التشيع و درجات الشيعة و کرامات اولیاء الائمة البررة على الله ... رسمته (و سميته) بكتاب بشارة المصطفى لشيعة المرتضی</w:t>
      </w:r>
    </w:p>
    <w:p>
      <w:pPr>
        <w:pStyle w:val="BookText"/>
      </w:pPr>
      <w:r>
        <w:rPr>
          <w:rFonts w:ascii="IRNazanin" w:hAnsi="IRNazanin" w:eastAsia="IRNazanin" w:cs="IRNazanin"/>
          <w:lang w:bidi="fa-IR"/>
          <w:color w:val="111111"/>
          <w:sz w:val="28"/>
          <w:szCs w:val="28"/>
          <w:rtl/>
        </w:rPr>
        <w:t xml:space="preserve">چاپ: محمد حسن جواهری یازده جزء بشارة المصطفی را در چاپخانه حیدری نجف بسال ۹-۱۳۶۸ از روی نسخه محمره و نسخه چهار جزئی با دیباچه ای در سرگذشت طبری به چاپ رساند.</w:t>
      </w:r>
    </w:p>
    <w:p>
      <w:pPr>
        <w:pStyle w:val="BookText"/>
      </w:pPr>
      <w:r>
        <w:rPr>
          <w:rFonts w:ascii="IRNazanin" w:hAnsi="IRNazanin" w:eastAsia="IRNazanin" w:cs="IRNazanin"/>
          <w:lang w:bidi="fa-IR"/>
          <w:color w:val="111111"/>
          <w:sz w:val="28"/>
          <w:szCs w:val="28"/>
          <w:rtl/>
        </w:rPr>
        <w:t xml:space="preserve">[ الذريعه ۱۱۷/۳ ؛ ذخائر التراث العربی ۶۵۸/۲ ؛ کشف الحجب ۸۶؛ هدية العارفین ۸۶/۲]</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Amiri" w:hAnsi="Amiri" w:eastAsia="Amiri" w:cs="Amiri"/>
          <w:lang w:bidi="ar-SA"/>
          <w:color w:val="111111"/>
          <w:sz w:val="28"/>
          <w:szCs w:val="28"/>
          <w:rtl/>
        </w:rPr>
        <w:t xml:space="preserve">١- بشارة المصطفى الشيعة المرتضى (منتخب)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مرکز احیاء؛ شماره نسخه: ۲۱۷۴</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نسخه اصل: کتابخانه امیر المومنین علیه السلام -نجف اشرف؛ خط: نسخ، بی کا، تا: قرن ۶، در عصر مؤلف؛ مصحح، چند یادداشت نظر کردن در کتاب به سال ۸۶۴، ۸۹۴ و ۶۱۶، یادداشت مطالعه محمد بن علی حدید حسینی؛ تملک: آقا میرزا، ۴۲۰ص [عکسی ف: ۶-۲۱۷]</w:t>
      </w:r>
    </w:p>
    <w:p>
      <w:pPr>
        <w:pStyle w:val="BookText"/>
      </w:pPr>
      <w:r>
        <w:rPr>
          <w:rFonts w:ascii="IRNazanin" w:hAnsi="IRNazanin" w:eastAsia="IRNazanin" w:cs="IRNazanin"/>
          <w:lang w:bidi="fa-IR"/>
          <w:color w:val="111111"/>
          <w:sz w:val="28"/>
          <w:szCs w:val="28"/>
          <w:rtl/>
        </w:rPr>
        <w:t xml:space="preserve">۲. تهران: مجلس؛ شماره نسخه: ۹۳۸۴/۶</w:t>
      </w:r>
    </w:p>
    <w:p>
      <w:pPr>
        <w:pStyle w:val="BookText"/>
      </w:pPr>
      <w:r>
        <w:rPr>
          <w:rFonts w:ascii="IRNazanin" w:hAnsi="IRNazanin" w:eastAsia="IRNazanin" w:cs="IRNazanin"/>
          <w:lang w:bidi="fa-IR"/>
          <w:color w:val="111111"/>
          <w:sz w:val="28"/>
          <w:szCs w:val="28"/>
          <w:rtl/>
        </w:rPr>
        <w:t xml:space="preserve">منتخب؛ خط: نسخ، كا: على بن مجدالدین بن حسن بن جلال حسینی، تا: قرن ۱۱، جلد: تیماج فرنگی قهوه ای، ۱۳گ (۱۱۴ ر ۱۲۶پ)، ۱۸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۳۰-۱۰۳]</w:t>
      </w:r>
    </w:p>
    <w:p>
      <w:pPr>
        <w:pStyle w:val="BookText"/>
      </w:pPr>
      <w:r>
        <w:rPr>
          <w:rFonts w:ascii="IRNazanin" w:hAnsi="IRNazanin" w:eastAsia="IRNazanin" w:cs="IRNazanin"/>
          <w:lang w:bidi="fa-IR"/>
          <w:color w:val="111111"/>
          <w:sz w:val="28"/>
          <w:szCs w:val="28"/>
          <w:rtl/>
        </w:rPr>
        <w:t xml:space="preserve">٣. تهران: ملک؛ شماره نسخه: ۱۰۴۹/۱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چهار جزو دارای ۳۴۹ حدیث؛ خط: نسخ، كا: محمد بن حسن حرعاملی، تا: شوال ۱۰۶۳ق؛ از روی نسخه محمد بن شیخ على حر عم او؛ کاغذ: پسته ای، جلد: میشن قهوه ای، ۱۶ سطر [ف: ۵-۲۲۷]</w:t>
      </w:r>
    </w:p>
    <w:p>
      <w:pPr>
        <w:pStyle w:val="BookText"/>
      </w:pPr>
      <w:r>
        <w:rPr>
          <w:rFonts w:ascii="IRNazanin" w:hAnsi="IRNazanin" w:eastAsia="IRNazanin" w:cs="IRNazanin"/>
          <w:lang w:bidi="fa-IR"/>
          <w:color w:val="111111"/>
          <w:sz w:val="28"/>
          <w:szCs w:val="28"/>
          <w:rtl/>
        </w:rPr>
        <w:t xml:space="preserve">۴. قم؛ مرکز احیاء؛ شماره نسخه: ۳۱۷۶/۱</w:t>
      </w:r>
    </w:p>
    <w:p>
      <w:pPr>
        <w:pStyle w:val="BookText"/>
      </w:pPr>
      <w:r>
        <w:rPr>
          <w:rFonts w:ascii="IRNazanin" w:hAnsi="IRNazanin" w:eastAsia="IRNazanin" w:cs="IRNazanin"/>
          <w:lang w:bidi="fa-IR"/>
          <w:color w:val="111111"/>
          <w:sz w:val="28"/>
          <w:szCs w:val="28"/>
          <w:rtl/>
        </w:rPr>
        <w:t xml:space="preserve">آغاز: برابر؛ انجام: و ليسوا منها اولئک مصابيح الدجى اولئک مصابيح الدجی تم الجزء الرابع</w:t>
      </w:r>
    </w:p>
    <w:p>
      <w:pPr>
        <w:pStyle w:val="BookText"/>
      </w:pPr>
      <w:r>
        <w:rPr>
          <w:rFonts w:ascii="IRNazanin" w:hAnsi="IRNazanin" w:eastAsia="IRNazanin" w:cs="IRNazanin"/>
          <w:lang w:bidi="fa-IR"/>
          <w:color w:val="111111"/>
          <w:sz w:val="28"/>
          <w:szCs w:val="28"/>
          <w:rtl/>
        </w:rPr>
        <w:t xml:space="preserve">خط: نسخ، كا: على بن محمد مزرعی، تا: ربيع الاول ۱۰۸۸ق؛ تملك: يوسف بن محمد صالح با مهر بیضوی؛ ۱۱۵گی،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[محدث ارموی مخ: ۱-۲۵۳]</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موقوفه میرزا ابوطالب قمی؛ شماره نسخه: ۳۴</w:t>
      </w:r>
    </w:p>
    <w:p>
      <w:pPr>
        <w:pStyle w:val="BookText"/>
      </w:pPr>
      <w:r>
        <w:rPr>
          <w:rFonts w:ascii="IRNazanin" w:hAnsi="IRNazanin" w:eastAsia="IRNazanin" w:cs="IRNazanin"/>
          <w:lang w:bidi="fa-IR"/>
          <w:color w:val="111111"/>
          <w:sz w:val="28"/>
          <w:szCs w:val="28"/>
          <w:rtl/>
        </w:rPr>
        <w:t xml:space="preserve">خط: نسخ زیبا، كا: عبد علي بن رضی الدین علی بن ابی جامع عاملی حارثی، تا: ۲۴ صفر ۱۰۹۰ق، جا: اصفهان؛ از روی نسخهای که به خط شیخ علی بن محمد بن حسن بن شیخ زین الدین شهید ثانی نگاشته شده، مجدول؛ تملك: میرزای قمی و یادداشت او مبنی بر این که این نسخه از کتب منهوبه والد مرحوم است که وی آن را در دست آخوند ملا محمد حسین بن حاجی ملا تقی کزازی دیده و شرح حال نموده و آخوند آن را به وی مفوض داشته است؛ جلد: تیماج مشکی ضربی، ۱۵۹گ، ۱۷ سطر [جنگ: ۵۰۲-۱ ]</w:t>
      </w:r>
    </w:p>
    <w:p>
      <w:pPr>
        <w:pStyle w:val="BookText"/>
      </w:pPr>
      <w:r>
        <w:rPr>
          <w:rFonts w:ascii="IRNazanin" w:hAnsi="IRNazanin" w:eastAsia="IRNazanin" w:cs="IRNazanin"/>
          <w:lang w:bidi="fa-IR"/>
          <w:color w:val="111111"/>
          <w:sz w:val="28"/>
          <w:szCs w:val="28"/>
          <w:rtl/>
        </w:rPr>
        <w:t xml:space="preserve">۶. مشهد؛ رضوی؛ شماره نسخه: ض۱۵۳۱۸</w:t>
      </w:r>
    </w:p>
    <w:p>
      <w:pPr>
        <w:pStyle w:val="BookText"/>
      </w:pPr>
      <w:r>
        <w:rPr>
          <w:rFonts w:ascii="IRNazanin" w:hAnsi="IRNazanin" w:eastAsia="IRNazanin" w:cs="IRNazanin"/>
          <w:lang w:bidi="fa-IR"/>
          <w:color w:val="111111"/>
          <w:sz w:val="28"/>
          <w:szCs w:val="28"/>
          <w:rtl/>
        </w:rPr>
        <w:t xml:space="preserve">خط: نسخ، بی کا، تا: ۱۰۹۶ق [الفبائی: ۶۲۴]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یزد؛ وزیری؛ شماره نسخه:۱۹۵۷/۳</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جزء اول تا پایان جزء چهارم؛ كا: حاجی لند وادی ابن فرامان دشتستانی، تا: قرن ۱۳ کاغذ: ترمه و سمرقندی، جلد: مقوایی با تیماج زرد، ۹۳ ص (۱۹۹-۲۹۱)،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۳-۱۱۰۶]</w:t>
      </w:r>
    </w:p>
    <w:p>
      <w:pPr>
        <w:pStyle w:val="BookText"/>
      </w:pPr>
      <w:r>
        <w:rPr>
          <w:rFonts w:ascii="IRNazanin" w:hAnsi="IRNazanin" w:eastAsia="IRNazanin" w:cs="IRNazanin"/>
          <w:lang w:bidi="fa-IR"/>
          <w:color w:val="111111"/>
          <w:sz w:val="28"/>
          <w:szCs w:val="28"/>
          <w:rtl/>
        </w:rPr>
        <w:t xml:space="preserve">۸. تهران، دانشگاه؛ شماره نسخه: ۵۱۵</w:t>
      </w:r>
    </w:p>
    <w:p>
      <w:pPr>
        <w:pStyle w:val="BookText"/>
      </w:pPr>
      <w:r>
        <w:rPr>
          <w:rFonts w:ascii="IRNazanin" w:hAnsi="IRNazanin" w:eastAsia="IRNazanin" w:cs="IRNazanin"/>
          <w:lang w:bidi="fa-IR"/>
          <w:color w:val="111111"/>
          <w:sz w:val="28"/>
          <w:szCs w:val="28"/>
          <w:rtl/>
        </w:rPr>
        <w:t xml:space="preserve">آغاز: برابر؛ انجام: و ليست الدنيا منهم و ليسوا منها اولئک مصابيح الدجی. تم الجزء الجزء الرابع من كتاب بشارة المصطفى لشيعة المرتضی تأليف الشيخ الفقيه الجليل عماد الدين ابی جعفر محمد بن ابي القسم علی بن محمد بن على الطنبری. و هذه الأربعة اجزاء من سبعة عشر جزا من الكتاب. و كتب هذه النسخة بيده لنفسه محمد تقی جاجرمی عفی عنه بتاريخ اول شهر رجب. و الحمدلله وحده و صلى الله على محمد و آله و سلم</w:t>
      </w:r>
    </w:p>
    <w:p>
      <w:pPr>
        <w:pStyle w:val="BookText"/>
      </w:pPr>
      <w:r>
        <w:rPr>
          <w:rFonts w:ascii="IRNazanin" w:hAnsi="IRNazanin" w:eastAsia="IRNazanin" w:cs="IRNazanin"/>
          <w:lang w:bidi="fa-IR"/>
          <w:color w:val="111111"/>
          <w:sz w:val="28"/>
          <w:szCs w:val="28"/>
          <w:rtl/>
        </w:rPr>
        <w:t xml:space="preserve">۴ جزء است؛ خط: نسخ، كا: محمد تقی جاجرمی، بی تا، محمد تقی جاجرمی در یکم رجب آن را برای خودنوشت و می خواست الزام النواصب هم با آن باشد، در پشت نسخه ما نوشته است که این جزء یکم بشارة المصطفى طبری است و پس از آن در همین نسخه جزوهای دوم تا چهارم می آید و خود کتاب ۱۷ جزو است چنانکه در پایان چهارمی هم خواهد آمد و با این رساله الزام نواصب بامامة على بن ابی طالب هم خواهد بود. همه اینها را محمد تقی جاجرمی نویسنده نسخه به خط خود به عربی نوشته است. ولی در نسخه ما آن رساله نیست و پیداست که او به جزوهای دیگر کتاب دسترسی نداشت؛ تملک: محمد باقر حسینی در ربيع الثانی ۱۲۰۳ (با مهر او)، درویش محمد نجفی (با مهر)، جمال الدین محمد خوانساری کاغذ: سمرقندی، جلد: تیماج مشکی، ۱۱۴، ۲۲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۵-۱۱۷۹]</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مشهد؛ رضوی؛ شماره نسخه: ۱۱۱۹۵</w:t>
      </w:r>
    </w:p>
    <w:p>
      <w:pPr>
        <w:pStyle w:val="BookText"/>
      </w:pPr>
      <w:r>
        <w:rPr>
          <w:rFonts w:ascii="IRNazanin" w:hAnsi="IRNazanin" w:eastAsia="IRNazanin" w:cs="IRNazanin"/>
          <w:lang w:bidi="fa-IR"/>
          <w:color w:val="111111"/>
          <w:sz w:val="28"/>
          <w:szCs w:val="28"/>
          <w:rtl/>
        </w:rPr>
        <w:t xml:space="preserve">آغاز: برابر؛ انجام: اولئک مصابيح الدجى اولئک مصابيح الدجی. جلد ۱-۴؛ خط: نسخ و نستعلیق، کا: محمد سعید بن عبدالعلی، تا: شوال ۱۲۱۰ق؛ به خط سه کاتب به نام های: محمد سعید بن عبدالعلی، تاریخ کتابت: شوال ۱۲۱۰، و احمد بن محمد طاهر، و محمد ابراهيم بن محمد باقر بن محمد حسین حسینی؛ واقف: محمد صالح علامه حائری، مرداد ۱۳۵۱، کاغذ: آبی و بعضا نخودی، جلد: تیماج آلبالویی، ۱۶۳گی، ۱۵ سطر، اندازه:</w:t>
      </w:r>
    </w:p>
    <w:p>
      <w:pPr>
        <w:pStyle w:val="BookText"/>
      </w:pPr>
      <w:r>
        <w:rPr>
          <w:rFonts w:ascii="Times New Roman" w:hAnsi="Times New Roman" w:eastAsia="Times New Roman" w:cs="Times New Roman"/>
          <w:lang w:val="en-US" w:bidi="en-US"/>
          <w:color w:val="111111"/>
          <w:sz w:val="28"/>
          <w:szCs w:val="28"/>
          <w:rtl/>
        </w:rPr>
        <w:t xml:space="preserve">20/5×13/3</w:t>
      </w:r>
      <w:r>
        <w:rPr>
          <w:rFonts w:ascii="IRNazanin" w:hAnsi="IRNazanin" w:eastAsia="IRNazanin" w:cs="IRNazanin"/>
          <w:lang w:bidi="fa-IR"/>
          <w:color w:val="111111"/>
          <w:sz w:val="28"/>
          <w:szCs w:val="28"/>
          <w:rtl/>
        </w:rPr>
        <w:t xml:space="preserve">سم [ف: ۱۴-۱۲۰]</w:t>
      </w:r>
    </w:p>
    <w:p>
      <w:pPr>
        <w:pStyle w:val="BookText"/>
      </w:pPr>
      <w:r>
        <w:rPr>
          <w:rFonts w:ascii="IRNazanin" w:hAnsi="IRNazanin" w:eastAsia="IRNazanin" w:cs="IRNazanin"/>
          <w:lang w:bidi="fa-IR"/>
          <w:color w:val="111111"/>
          <w:sz w:val="28"/>
          <w:szCs w:val="28"/>
          <w:rtl/>
        </w:rPr>
        <w:t xml:space="preserve">۱۰. تهران؛ ملک؛ شماره نسخه: ۹۴۵/۴</w:t>
      </w:r>
    </w:p>
    <w:p>
      <w:pPr>
        <w:pStyle w:val="BookText"/>
      </w:pPr>
      <w:r>
        <w:rPr>
          <w:rFonts w:ascii="IRNazanin" w:hAnsi="IRNazanin" w:eastAsia="IRNazanin" w:cs="IRNazanin"/>
          <w:lang w:bidi="fa-IR"/>
          <w:color w:val="111111"/>
          <w:sz w:val="28"/>
          <w:szCs w:val="28"/>
          <w:rtl/>
        </w:rPr>
        <w:t xml:space="preserve">خط: نسخ، بی کا، تا: سه شنبه ۶ جمادی الاول ۱۲۵۷ق؛ کاغذ: پسته ای، جلد: میشن سیاه، ۱۰گی (۱۱۶ر-۱۲۵)، ۱۹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۵-۲۱۹]</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مشهد؛ رضوی؛ شماره نسخه: ۷۴۶۹</w:t>
      </w:r>
    </w:p>
    <w:p>
      <w:pPr>
        <w:pStyle w:val="BookText"/>
      </w:pPr>
      <w:r>
        <w:rPr>
          <w:rFonts w:ascii="IRNazanin" w:hAnsi="IRNazanin" w:eastAsia="IRNazanin" w:cs="IRNazanin"/>
          <w:lang w:bidi="fa-IR"/>
          <w:color w:val="111111"/>
          <w:sz w:val="28"/>
          <w:szCs w:val="28"/>
          <w:rtl/>
        </w:rPr>
        <w:t xml:space="preserve">آغاز: برابر ؛ انجام: اولئک مصابيح اولئک مصابيح الدجی.</w:t>
      </w:r>
    </w:p>
    <w:p>
      <w:pPr>
        <w:pStyle w:val="BookText"/>
      </w:pPr>
      <w:r>
        <w:rPr>
          <w:rFonts w:ascii="IRNazanin" w:hAnsi="IRNazanin" w:eastAsia="IRNazanin" w:cs="IRNazanin"/>
          <w:lang w:bidi="fa-IR"/>
          <w:color w:val="111111"/>
          <w:sz w:val="28"/>
          <w:szCs w:val="28"/>
          <w:rtl/>
        </w:rPr>
        <w:t xml:space="preserve">جلد ۱-۴؛ خط: نسخ، کا: محمد حسین بن زین العابدین ارموی، تا: ۱۹ صفر ۱۳۵۲ق؛ کاغذ: نخودی، جلد: مقوا، ۱۳۱ گ، ۱۹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۱۹/۴ سم [ف: ۱۴-۱۱۹]</w:t>
      </w:r>
    </w:p>
    <w:p>
      <w:pPr>
        <w:pStyle w:val="BookText"/>
      </w:pPr>
      <w:r>
        <w:rPr>
          <w:rFonts w:ascii="IRNazanin" w:hAnsi="IRNazanin" w:eastAsia="IRNazanin" w:cs="IRNazanin"/>
          <w:lang w:bidi="fa-IR"/>
          <w:color w:val="111111"/>
          <w:sz w:val="28"/>
          <w:szCs w:val="28"/>
          <w:rtl/>
        </w:rPr>
        <w:t xml:space="preserve">۱۲. قم؛ مرعشی؛ شماره نسخه: ۱۰۰۴۳</w:t>
      </w:r>
    </w:p>
    <w:p>
      <w:pPr>
        <w:pStyle w:val="BookText"/>
      </w:pPr>
      <w:r>
        <w:rPr>
          <w:rFonts w:ascii="IRNazanin" w:hAnsi="IRNazanin" w:eastAsia="IRNazanin" w:cs="IRNazanin"/>
          <w:lang w:bidi="fa-IR"/>
          <w:color w:val="111111"/>
          <w:sz w:val="28"/>
          <w:szCs w:val="28"/>
          <w:rtl/>
        </w:rPr>
        <w:t xml:space="preserve">خط: نسخ خوش، كا: عالم معاصر، سید مهدی رکن الدینی حسینی عزآبادی یزدی، تا: ۲۱ صفر ۱۳۹۷ق؛ قطع: رقعي بزرگ [میراث شهاب: س ۸ش ۲-۱۶]</w:t>
      </w:r>
    </w:p>
    <w:p>
      <w:pPr>
        <w:pStyle w:val="BookText"/>
      </w:pPr>
      <w:r>
        <w:rPr>
          <w:rFonts w:ascii="IRNazanin" w:hAnsi="IRNazanin" w:eastAsia="IRNazanin" w:cs="IRNazanin"/>
          <w:lang w:bidi="fa-IR"/>
          <w:color w:val="111111"/>
          <w:sz w:val="28"/>
          <w:szCs w:val="28"/>
          <w:rtl/>
        </w:rPr>
        <w:t xml:space="preserve">۱۳. مشهد، شیخ علی حیدر، شماره نسخه: ۳۲۱</w:t>
      </w:r>
    </w:p>
    <w:p>
      <w:pPr>
        <w:pStyle w:val="BookText"/>
      </w:pPr>
      <w:r>
        <w:rPr>
          <w:rFonts w:ascii="IRNazanin" w:hAnsi="IRNazanin" w:eastAsia="IRNazanin" w:cs="IRNazanin"/>
          <w:lang w:bidi="fa-IR"/>
          <w:color w:val="111111"/>
          <w:sz w:val="28"/>
          <w:szCs w:val="28"/>
          <w:rtl/>
        </w:rPr>
        <w:t xml:space="preserve">آغاز: برابر؛ انجام: حدثنا ابراهيم بن محمد الثقفي عن ابراهیم بن موسی ابن اخت الواقدي قال حدثنا أبو قتادة ... شامل اجزاء ۱ و ۲ و ۳؛ خط: نسخ، بی کا، بی تا، افتادگی: انجام؛ جلد: چرم قرمز، ۱۵۲گ، ۱۷ سطر، اندازه: ۱۲</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۲۳/۵ سم [مؤید: ۱-۲۷۸]</w:t>
      </w:r>
    </w:p>
    <w:p>
      <w:pPr>
        <w:pStyle w:val="BookText"/>
      </w:pPr>
      <w:r>
        <w:rPr>
          <w:rFonts w:ascii="IRNazanin" w:hAnsi="IRNazanin" w:eastAsia="IRNazanin" w:cs="IRNazanin"/>
          <w:lang w:bidi="fa-IR"/>
          <w:color w:val="111111"/>
          <w:sz w:val="28"/>
          <w:szCs w:val="28"/>
          <w:rtl/>
        </w:rPr>
        <w:t xml:space="preserve">۱۴. تهران: مجلس؛ شماره نسخه: ۱۷۳۶۲</w:t>
      </w:r>
    </w:p>
    <w:p>
      <w:pPr>
        <w:pStyle w:val="BookText"/>
      </w:pPr>
      <w:r>
        <w:rPr>
          <w:rFonts w:ascii="IRNazanin" w:hAnsi="IRNazanin" w:eastAsia="IRNazanin" w:cs="IRNazanin"/>
          <w:lang w:bidi="fa-IR"/>
          <w:color w:val="111111"/>
          <w:sz w:val="28"/>
          <w:szCs w:val="28"/>
          <w:rtl/>
        </w:rPr>
        <w:t xml:space="preserve">بی کا، بیتا [د.ث. مجلس]</w:t>
      </w:r>
    </w:p>
    <w:p>
      <w:pPr>
        <w:pStyle w:val="BookText"/>
      </w:pPr>
      <w:r>
        <w:rPr>
          <w:rFonts w:ascii="IRNazanin" w:hAnsi="IRNazanin" w:eastAsia="IRNazanin" w:cs="IRNazanin"/>
          <w:lang w:bidi="fa-IR"/>
          <w:color w:val="111111"/>
          <w:sz w:val="28"/>
          <w:szCs w:val="28"/>
          <w:rtl/>
        </w:rPr>
        <w:t xml:space="preserve">۱۵. شیراز؛ امام عصر؛ شماره نسخه: ۲۶۲/۱</w:t>
      </w:r>
    </w:p>
    <w:p>
      <w:pPr>
        <w:pStyle w:val="BookText"/>
      </w:pPr>
      <w:r>
        <w:rPr>
          <w:rFonts w:ascii="IRNazanin" w:hAnsi="IRNazanin" w:eastAsia="IRNazanin" w:cs="IRNazanin"/>
          <w:lang w:bidi="fa-IR"/>
          <w:color w:val="111111"/>
          <w:sz w:val="28"/>
          <w:szCs w:val="28"/>
          <w:rtl/>
        </w:rPr>
        <w:t xml:space="preserve">منتخب بشارة المصطفی و بدون سند می باشد؛ خط: نسخ، كا: محمد حسین بن محمد باقر، بی تا، ۶گ (۱-۶)، ۲۲سطر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۲۰۱۴سم [ف: ۱-۱۱۱]</w:t>
      </w:r>
    </w:p>
    <w:p>
      <w:pPr>
        <w:pStyle w:val="BookText"/>
      </w:pPr>
      <w:r>
        <w:rPr>
          <w:rFonts w:ascii="IRNazanin" w:hAnsi="IRNazanin" w:eastAsia="IRNazanin" w:cs="IRNazanin"/>
          <w:lang w:bidi="fa-IR"/>
          <w:color w:val="111111"/>
          <w:sz w:val="28"/>
          <w:szCs w:val="28"/>
          <w:rtl/>
        </w:rPr>
        <w:t xml:space="preserve">۱۶. تهران: دائرة المعارف؛ شماره نسخه: ۱۶۲۳-عکسی</w:t>
      </w:r>
    </w:p>
    <w:p>
      <w:pPr>
        <w:pStyle w:val="BookText"/>
      </w:pPr>
      <w:r>
        <w:rPr>
          <w:rFonts w:ascii="IRNazanin" w:hAnsi="IRNazanin" w:eastAsia="IRNazanin" w:cs="IRNazanin"/>
          <w:lang w:bidi="fa-IR"/>
          <w:color w:val="111111"/>
          <w:sz w:val="28"/>
          <w:szCs w:val="28"/>
          <w:rtl/>
        </w:rPr>
        <w:t xml:space="preserve">آغاز: برابر؛ انجام: و ليسوا منها اولئک مصابيح الدجى اولئک مصابيح الدجی (چنین). تم الجزء الرابع من كتاب بشارة المصطفى و الحمدلله و حده و صلواته على سيدنا محمد و آله الطاهرين. تم الجزء الأول من كتاب البشارة و هو يشتمل على اربعة اجزاء ... و السلام.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5" w:name="pg20363_209154"/>
    <w:bookmarkEnd w:id="15"/>
    <w:p>
      <w:pPr>
        <w:pStyle w:val="BookText"/>
      </w:pPr>
      <w:r>
        <w:rPr>
          <w:rFonts w:ascii="IRNazanin" w:hAnsi="IRNazanin" w:eastAsia="IRNazanin" w:cs="IRNazanin"/>
          <w:lang w:bidi="fa-IR"/>
          <w:color w:val="111111"/>
          <w:sz w:val="28"/>
          <w:szCs w:val="28"/>
          <w:rtl/>
        </w:rPr>
        <w:t xml:space="preserve">جزء ۴ مجلد یکم به پایان رسیده است: «تم الجزء الأول من كتاب بشارة المصطفى و هو يشتمل على اربعة اجزاء من جملة سبعة عشر جزء من اصل الكتابة»؛ خط: نسخ خوش، بی کا، بی تا؛ مقابله شده؛ ۲۶۹ص، ۱۶سطر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[عکسی : ۱-۵۲]</w:t>
      </w:r>
    </w:p>
    <w:p>
      <w:pPr>
        <w:pStyle w:val="BookText"/>
      </w:pPr>
      <w:r>
        <w:rPr>
          <w:rFonts w:ascii="IRNazanin" w:hAnsi="IRNazanin" w:eastAsia="IRNazanin" w:cs="IRNazanin"/>
          <w:lang w:bidi="fa-IR"/>
          <w:color w:val="111111"/>
          <w:sz w:val="28"/>
          <w:szCs w:val="28"/>
          <w:rtl/>
        </w:rPr>
        <w:t xml:space="preserve">۱۷. مشهد؛ رضوی؛ شماره نسخه: ۱۹۳۲</w:t>
      </w:r>
    </w:p>
    <w:p>
      <w:pPr>
        <w:pStyle w:val="BookText"/>
      </w:pPr>
      <w:r>
        <w:rPr>
          <w:rFonts w:ascii="IRNazanin" w:hAnsi="IRNazanin" w:eastAsia="IRNazanin" w:cs="IRNazanin"/>
          <w:lang w:bidi="fa-IR"/>
          <w:color w:val="111111"/>
          <w:sz w:val="28"/>
          <w:szCs w:val="28"/>
          <w:rtl/>
        </w:rPr>
        <w:t xml:space="preserve">آغاز: مشرک و المحب له مؤمن و المبغض له منافق و المقتضی الاثره لاحق؛ انجام: و بغيضك يغيضي و بعئض بفیض الله فطونی (كذا) لمن احبک</w:t>
      </w:r>
    </w:p>
    <w:p>
      <w:pPr>
        <w:pStyle w:val="BookText"/>
      </w:pPr>
      <w:r>
        <w:rPr>
          <w:rFonts w:ascii="IRNazanin" w:hAnsi="IRNazanin" w:eastAsia="IRNazanin" w:cs="IRNazanin"/>
          <w:lang w:bidi="fa-IR"/>
          <w:color w:val="111111"/>
          <w:sz w:val="28"/>
          <w:szCs w:val="28"/>
          <w:rtl/>
        </w:rPr>
        <w:t xml:space="preserve">حاوی چهار جزء اول؛ خط: نسخ، بی کا، بی تا؛ افتادگی: آغاز و انجام؛ واقف: فهرستی، در تیر ۱۳۱۰؛ کاغذ: آهاری نباتی فرنگی، جلد: تیماج خرمایی ضربی، ۱۲۴ گ، ۱۷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۵- ۶۰]</w:t>
      </w:r>
    </w:p>
    <w:p>
      <w:pPr>
        <w:pStyle w:val="BookText"/>
      </w:pPr>
      <w:r>
        <w:rPr>
          <w:rFonts w:ascii="IRNazanin" w:hAnsi="IRNazanin" w:eastAsia="IRNazanin" w:cs="IRNazanin"/>
          <w:lang w:bidi="fa-IR"/>
          <w:color w:val="111111"/>
          <w:sz w:val="28"/>
          <w:szCs w:val="28"/>
          <w:rtl/>
        </w:rPr>
        <w:t xml:space="preserve">۱۸. تهران؛ ملی؛ شماره نسخه: ۲۵۴۲/۱</w:t>
      </w:r>
    </w:p>
    <w:p>
      <w:pPr>
        <w:pStyle w:val="BookText"/>
      </w:pPr>
      <w:r>
        <w:rPr>
          <w:rFonts w:ascii="IRNazanin" w:hAnsi="IRNazanin" w:eastAsia="IRNazanin" w:cs="IRNazanin"/>
          <w:lang w:bidi="fa-IR"/>
          <w:color w:val="111111"/>
          <w:sz w:val="28"/>
          <w:szCs w:val="28"/>
          <w:rtl/>
        </w:rPr>
        <w:t xml:space="preserve">آغاز: برابر؛ انجام: و عنه عن أبيه عن جده قال حدثنا ابو الحسن الفارسي قال حدثنا عبد الله. سه جزء اول کتاب؛ بی کا، بی تا، افتادگی: انجام؛ کاغذ: فرنگی، جلد: تیماج مشکی یک لا ضربی، ۷۳گ (۲پ -۷۴)، ابعاد متن:</w:t>
      </w:r>
    </w:p>
    <w:p>
      <w:pPr>
        <w:pStyle w:val="BookText"/>
      </w:pPr>
      <w:r>
        <w:rPr>
          <w:rFonts w:ascii="IRNazanin" w:hAnsi="IRNazanin" w:eastAsia="IRNazanin" w:cs="IRNazanin"/>
          <w:lang w:bidi="fa-IR"/>
          <w:color w:val="111111"/>
          <w:sz w:val="28"/>
          <w:szCs w:val="28"/>
          <w:rtl/>
        </w:rPr>
        <w:t xml:space="preserve">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۱۲-۴۳۷]</w:t>
      </w:r>
    </w:p>
    <w:p>
      <w:pPr>
        <w:pStyle w:val="BookText"/>
      </w:pPr>
      <w:r>
        <w:rPr>
          <w:rFonts w:ascii="IRNazanin" w:hAnsi="IRNazanin" w:eastAsia="IRNazanin" w:cs="IRNazanin"/>
          <w:lang w:bidi="fa-IR"/>
          <w:color w:val="111111"/>
          <w:sz w:val="28"/>
          <w:szCs w:val="28"/>
          <w:rtl/>
        </w:rPr>
        <w:t xml:space="preserve">۱۹. قم؛ مرعشی؛ شماره نسخه: ۳۲۶۳</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چهار جزء؛ خط: نسخ، بی کا، بی تا؛ مصحح؛ تملك: محمد باقر بن محمد تقی، محمد باقر بن محمد تقی موسوی، محمد حسین بن محمد صالح حسینی؛ جلد: دو رو تیماج رو مشکی پشت قرمز، ۱۳۹، ۱۷ سطر، اندازه: ۲۲۶۱۵سم [ف: ۹-۵۲]</w:t>
      </w:r>
    </w:p>
    <w:p>
      <w:pPr>
        <w:pStyle w:val="BookText"/>
      </w:pPr>
      <w:r>
        <w:rPr>
          <w:rFonts w:ascii="IRNazanin" w:hAnsi="IRNazanin" w:eastAsia="IRNazanin" w:cs="IRNazanin"/>
          <w:lang w:bidi="fa-IR"/>
          <w:color w:val="111111"/>
          <w:sz w:val="28"/>
          <w:szCs w:val="28"/>
          <w:rtl/>
        </w:rPr>
        <w:t xml:space="preserve">۲۰. تهران؛ ملک؛ شماره نسخه: ۶۰۷۵/۱۸</w:t>
      </w:r>
    </w:p>
    <w:p>
      <w:pPr>
        <w:pStyle w:val="BookText"/>
      </w:pPr>
      <w:r>
        <w:rPr>
          <w:rFonts w:ascii="IRNazanin" w:hAnsi="IRNazanin" w:eastAsia="IRNazanin" w:cs="IRNazanin"/>
          <w:lang w:bidi="fa-IR"/>
          <w:color w:val="111111"/>
          <w:sz w:val="28"/>
          <w:szCs w:val="28"/>
          <w:rtl/>
        </w:rPr>
        <w:t xml:space="preserve">بخشی از آن با حذف اسانید؛ بی کا، بی تا، کاغذ: رنگارنگ سپاهانی، جلد: میشن لایی قهوه ای، ۲گ (۵۵پ -۵۶ر)، اندازه: ۲۲/۶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۱۲/۸ سم [ف: ۹-۱۳۵]</w:t>
      </w:r>
    </w:p>
    <w:p>
      <w:pPr>
        <w:pStyle w:val="BookText"/>
      </w:pPr>
      <w:r>
        <w:rPr>
          <w:rFonts w:ascii="IRNazanin" w:hAnsi="IRNazanin" w:eastAsia="IRNazanin" w:cs="IRNazanin"/>
          <w:lang w:bidi="fa-IR"/>
          <w:color w:val="111111"/>
          <w:sz w:val="28"/>
          <w:szCs w:val="28"/>
          <w:rtl/>
        </w:rPr>
        <w:t xml:space="preserve">۲۱. تهران: مجلس؛ شماره نسخه: ۱۰۲۴/۴ -طباطبائی</w:t>
      </w:r>
    </w:p>
    <w:p>
      <w:pPr>
        <w:pStyle w:val="BookText"/>
      </w:pPr>
      <w:r>
        <w:rPr>
          <w:rFonts w:ascii="IRNazanin" w:hAnsi="IRNazanin" w:eastAsia="IRNazanin" w:cs="IRNazanin"/>
          <w:lang w:bidi="fa-IR"/>
          <w:color w:val="111111"/>
          <w:sz w:val="28"/>
          <w:szCs w:val="28"/>
          <w:rtl/>
        </w:rPr>
        <w:t xml:space="preserve">آغاز: بسمله الحمدلله رب العالمين ...... اما بعد فهذا كتاب منتخب من بشارة المصطفی ... بحذف الاسناد قال دخل رسول الله ... و قال مارايتک اقبلت على؛ انجام: قال عليه السلام الامراء بالجور و العرب بالعصبية والد هاقين بالكبر و التجار بالخيانه و اهل الرساتیق بالجهاله و العلماء بالحسد تمت الرساله الشريفه بحول الله و قوته منتخب؛ بی کا، بی تا، کاغذ: فرنگی، جلد: تیماج قرمز یک لا، ۲۸ص (۷۸-۱۰۵)، قطع: رقعی،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سم [ف: ۲۳-۳۱۱]</w:t>
      </w:r>
    </w:p>
    <w:p>
      <w:pPr>
        <w:pStyle w:val="BookText"/>
      </w:pPr>
      <w:r>
        <w:rPr>
          <w:rFonts w:ascii="Times New Roman" w:hAnsi="Times New Roman" w:eastAsia="Times New Roman" w:cs="Times New Roman"/>
          <w:lang w:val="en-US" w:bidi="en-US"/>
          <w:color w:val="111111"/>
          <w:sz w:val="28"/>
          <w:szCs w:val="28"/>
          <w:rtl/>
        </w:rPr>
        <w:t xml:space="preserve">bisarat-ul mustafa li-ST'at-il murtada (mn.)</w:t>
      </w:r>
    </w:p>
    <w:p>
      <w:pPr>
        <w:pStyle w:val="Heading3"/>
      </w:pPr>
      <w:bookmarkStart w:id="771" w:name="_Toc31"/>
      <w:r>
        <w:t>• بشارة المصطفى لشيعة المرتضى (منتخب) / حديث / عربی</w:t>
      </w:r>
      <w:bookmarkEnd w:id="771"/>
    </w:p>
    <w:p>
      <w:pPr>
        <w:pStyle w:val="BookText"/>
      </w:pPr>
      <w:r>
        <w:rPr>
          <w:rFonts w:ascii="IRNazanin" w:hAnsi="IRNazanin" w:eastAsia="IRNazanin" w:cs="IRNazanin"/>
          <w:lang w:bidi="fa-IR"/>
          <w:color w:val="111111"/>
          <w:sz w:val="28"/>
          <w:szCs w:val="28"/>
          <w:rtl/>
        </w:rPr>
        <w:t xml:space="preserve">وابسته به: بشارة المصطفى لشيعة المرتضی؛ آملی، محمد بن ابی القاسم علی (6-)</w:t>
      </w:r>
    </w:p>
    <w:p>
      <w:pPr>
        <w:pStyle w:val="BookText"/>
      </w:pPr>
      <w:r>
        <w:rPr>
          <w:rFonts w:ascii="IRNazanin" w:hAnsi="IRNazanin" w:eastAsia="IRNazanin" w:cs="IRNazanin"/>
          <w:lang w:bidi="fa-IR"/>
          <w:color w:val="111111"/>
          <w:sz w:val="28"/>
          <w:szCs w:val="28"/>
          <w:rtl/>
        </w:rPr>
        <w:t xml:space="preserve">تاریخ تأليف: پنج شنبه ذیقعده ۹۸۳ق؛ محل تأليف: کربلا</w:t>
      </w:r>
    </w:p>
    <w:p>
      <w:pPr>
        <w:pStyle w:val="BookText"/>
      </w:pPr>
      <w:r>
        <w:rPr>
          <w:rFonts w:ascii="IRNazanin" w:hAnsi="IRNazanin" w:eastAsia="IRNazanin" w:cs="IRNazanin"/>
          <w:lang w:bidi="fa-IR"/>
          <w:color w:val="111111"/>
          <w:sz w:val="28"/>
          <w:szCs w:val="28"/>
          <w:rtl/>
        </w:rPr>
        <w:t xml:space="preserve">تهران؛ مجلس؛ شماره نسخه: ۱۳۳۷۷</w:t>
      </w:r>
    </w:p>
    <w:p>
      <w:pPr>
        <w:pStyle w:val="BookText"/>
      </w:pPr>
      <w:r>
        <w:rPr>
          <w:rFonts w:ascii="IRNazanin" w:hAnsi="IRNazanin" w:eastAsia="IRNazanin" w:cs="IRNazanin"/>
          <w:lang w:bidi="fa-IR"/>
          <w:color w:val="111111"/>
          <w:sz w:val="28"/>
          <w:szCs w:val="28"/>
          <w:rtl/>
        </w:rPr>
        <w:t xml:space="preserve">آغاز: الحمدلله رب العالمین و الصلوة و السلام على اشرف المرسلین محمد و عترته الأمناء الطيبين الطاهرين و بعد فهذا كتاب منقول ... قال دخل رسول الله صلى الله عليه و آله مسرورة على على انجام: آنج بکارش نیاید نگوید و آنج سنت است پسنده بودش و پای از سنت بیرون ننهد و به بدعت مشغول نشود و این آخر خطبه است و صلى الله ... عليهم اجمعین.</w:t>
      </w:r>
    </w:p>
    <w:p>
      <w:pPr>
        <w:pStyle w:val="BookText"/>
      </w:pPr>
      <w:r>
        <w:rPr>
          <w:rFonts w:ascii="IRNazanin" w:hAnsi="IRNazanin" w:eastAsia="IRNazanin" w:cs="IRNazanin"/>
          <w:lang w:bidi="fa-IR"/>
          <w:color w:val="111111"/>
          <w:sz w:val="28"/>
          <w:szCs w:val="28"/>
          <w:rtl/>
        </w:rPr>
        <w:t xml:space="preserve">در این منتخب سند احادیث حذف شده و در پایان نسخه نیز بخشی از احادیث آخر کتاب در سه برگ به فارسی ترجمه شده است؛ خط: نسخ، كاتب = مؤلف، تا: پنج شنبه ذیقعده ۹۸۳ق، جان کربلا؛ جلد: پارچه ای، عطف و حاشیه تیماج، ۶۷گ، ۱۳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۳۶-۳۲۰]</w:t>
      </w:r>
    </w:p>
    <w:p>
      <w:pPr>
        <w:pStyle w:val="Heading3"/>
      </w:pPr>
      <w:bookmarkStart w:id="772" w:name="_Toc32"/>
      <w:r>
        <w:t>• بشارة المصطفى لشيعة المرتضى (منتخب) / حديث / عربی</w:t>
      </w:r>
      <w:bookmarkEnd w:id="772"/>
    </w:p>
    <w:p>
      <w:pPr>
        <w:pStyle w:val="BookText"/>
      </w:pPr>
      <w:r>
        <w:rPr>
          <w:rFonts w:ascii="Times New Roman" w:hAnsi="Times New Roman" w:eastAsia="Times New Roman" w:cs="Times New Roman"/>
          <w:lang w:val="en-US" w:bidi="en-US"/>
          <w:color w:val="111111"/>
          <w:sz w:val="28"/>
          <w:szCs w:val="28"/>
          <w:rtl/>
        </w:rPr>
        <w:t xml:space="preserve">bisarat-ul mustafa li-ST'at-il murtada (mn.)</w:t>
      </w:r>
    </w:p>
    <w:p>
      <w:pPr>
        <w:pStyle w:val="BookText"/>
      </w:pPr>
      <w:r>
        <w:rPr>
          <w:rFonts w:ascii="IRNazanin" w:hAnsi="IRNazanin" w:eastAsia="IRNazanin" w:cs="IRNazanin"/>
          <w:lang w:bidi="fa-IR"/>
          <w:color w:val="111111"/>
          <w:sz w:val="28"/>
          <w:szCs w:val="28"/>
          <w:rtl/>
        </w:rPr>
        <w:t xml:space="preserve">وابسته به: بشارة المصطفى الشيعة المرتضی؛ آملی، محمد بن ابی القاسم علی (۶-)</w:t>
      </w:r>
    </w:p>
    <w:p>
      <w:pPr>
        <w:pStyle w:val="BookText"/>
      </w:pPr>
      <w:r>
        <w:rPr>
          <w:rFonts w:ascii="IRNazanin" w:hAnsi="IRNazanin" w:eastAsia="IRNazanin" w:cs="IRNazanin"/>
          <w:lang w:bidi="fa-IR"/>
          <w:color w:val="111111"/>
          <w:sz w:val="28"/>
          <w:szCs w:val="28"/>
          <w:rtl/>
        </w:rPr>
        <w:t xml:space="preserve">دامغان؛ صادقیه؛ شماره نسخه: ۱۹۹/۵</w:t>
      </w:r>
    </w:p>
    <w:p>
      <w:pPr>
        <w:pStyle w:val="BookText"/>
      </w:pPr>
      <w:r>
        <w:rPr>
          <w:rFonts w:ascii="IRNazanin" w:hAnsi="IRNazanin" w:eastAsia="IRNazanin" w:cs="IRNazanin"/>
          <w:lang w:bidi="fa-IR"/>
          <w:color w:val="111111"/>
          <w:sz w:val="28"/>
          <w:szCs w:val="28"/>
          <w:rtl/>
        </w:rPr>
        <w:t xml:space="preserve">آغاز: الحمدلله رب العالمين ... اما بعد فهذا كتاب منقول من بشارة المصطفى الشيعة المرتضی؛ انجام: کصاحب النيران لم يجد يحرقك من شرار فاده علقک من دخانه.</w:t>
      </w:r>
    </w:p>
    <w:p>
      <w:pPr>
        <w:pStyle w:val="BookText"/>
      </w:pPr>
      <w:r>
        <w:rPr>
          <w:rFonts w:ascii="IRNazanin" w:hAnsi="IRNazanin" w:eastAsia="IRNazanin" w:cs="IRNazanin"/>
          <w:lang w:bidi="fa-IR"/>
          <w:color w:val="111111"/>
          <w:sz w:val="28"/>
          <w:szCs w:val="28"/>
          <w:rtl/>
        </w:rPr>
        <w:t xml:space="preserve">متفرقاتی است منتخب از کتاب بشارة المصطفی عماد الدين محمد طبری با حذف اسانید؛ خط: نسخ، بی کا، بی تا؛ مصحح؛ جلد: تیماج قهوه ای بدون مقوا، ۲۵گ،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مخ: ۲۲۸]</w:t>
      </w:r>
    </w:p>
    <w:p>
      <w:pPr>
        <w:pStyle w:val="Heading3"/>
      </w:pPr>
      <w:bookmarkStart w:id="773" w:name="_Toc33"/>
      <w:r>
        <w:t>• بشارة المصطفى الشيعة المرتضى (منتخب) / حديث / عربی</w:t>
      </w:r>
      <w:bookmarkEnd w:id="773"/>
    </w:p>
    <w:p>
      <w:pPr>
        <w:pStyle w:val="BookText"/>
      </w:pPr>
      <w:r>
        <w:rPr>
          <w:rFonts w:ascii="Times New Roman" w:hAnsi="Times New Roman" w:eastAsia="Times New Roman" w:cs="Times New Roman"/>
          <w:lang w:val="en-US" w:bidi="en-US"/>
          <w:color w:val="111111"/>
          <w:sz w:val="28"/>
          <w:szCs w:val="28"/>
          <w:rtl/>
        </w:rPr>
        <w:t xml:space="preserve">bišārat-ul mustafā li-šī‘at-il murtadā (mn.)</w:t>
      </w:r>
    </w:p>
    <w:p>
      <w:pPr>
        <w:pStyle w:val="BookText"/>
      </w:pPr>
      <w:r>
        <w:rPr>
          <w:rFonts w:ascii="IRNazanin" w:hAnsi="IRNazanin" w:eastAsia="IRNazanin" w:cs="IRNazanin"/>
          <w:lang w:bidi="fa-IR"/>
          <w:color w:val="111111"/>
          <w:sz w:val="28"/>
          <w:szCs w:val="28"/>
          <w:rtl/>
        </w:rPr>
        <w:t xml:space="preserve">یزد؛ سریزدی؛ شماره نسخه: ۲۴/۱</w:t>
      </w:r>
    </w:p>
    <w:p>
      <w:pPr>
        <w:pStyle w:val="BookText"/>
      </w:pPr>
      <w:r>
        <w:rPr>
          <w:rFonts w:ascii="IRNazanin" w:hAnsi="IRNazanin" w:eastAsia="IRNazanin" w:cs="IRNazanin"/>
          <w:lang w:bidi="fa-IR"/>
          <w:color w:val="111111"/>
          <w:sz w:val="28"/>
          <w:szCs w:val="28"/>
          <w:rtl/>
        </w:rPr>
        <w:t xml:space="preserve">آغاز: الحمدلله رب العالمين ... و بعد فهذا كتاب منقول من بشارة المصطفى الشيعة المرتضی صلوات الله عليهما بحذف الاسناد؛ انجام: و انفق الفضل من ماله و امسک الفضل من قوله وسعة السنة ولم يعدها إلى بدعة.</w:t>
      </w:r>
    </w:p>
    <w:p>
      <w:pPr>
        <w:pStyle w:val="BookText"/>
      </w:pPr>
      <w:r>
        <w:rPr>
          <w:rFonts w:ascii="IRNazanin" w:hAnsi="IRNazanin" w:eastAsia="IRNazanin" w:cs="IRNazanin"/>
          <w:lang w:bidi="fa-IR"/>
          <w:color w:val="111111"/>
          <w:sz w:val="28"/>
          <w:szCs w:val="28"/>
          <w:rtl/>
        </w:rPr>
        <w:t xml:space="preserve">احادیث متفرقه ای از این کتاب به انتخاب کاتب آمده است؛ خط: نسخ، بی کا، بی تا؛ جلد: مقوایی، عطف و گوشه ها تیماج قرمز، ۲۱۸گ، ۲۱ سطر، اندازه: ۱۵/۵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۱-۲۶]</w:t>
      </w:r>
    </w:p>
    <w:p>
      <w:pPr>
        <w:pStyle w:val="Heading3"/>
      </w:pPr>
      <w:bookmarkStart w:id="774" w:name="_Toc34"/>
      <w:r>
        <w:t>• بشارة المصطفى لشيعة المرتضى (منتخب) / حديث / عربی</w:t>
      </w:r>
      <w:bookmarkEnd w:id="774"/>
    </w:p>
    <w:p>
      <w:pPr>
        <w:pStyle w:val="BookText"/>
      </w:pPr>
      <w:r>
        <w:rPr>
          <w:rFonts w:ascii="Times New Roman" w:hAnsi="Times New Roman" w:eastAsia="Times New Roman" w:cs="Times New Roman"/>
          <w:lang w:val="en-US" w:bidi="en-US"/>
          <w:color w:val="111111"/>
          <w:sz w:val="28"/>
          <w:szCs w:val="28"/>
          <w:rtl/>
        </w:rPr>
        <w:t xml:space="preserve">bišārat-ul mustafā li-šī‘at-il murtadā (mn.)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6" w:name="pg20363_209155"/>
    <w:bookmarkEnd w:id="16"/>
    <w:p>
      <w:pPr>
        <w:pStyle w:val="BookText"/>
      </w:pPr>
      <w:r>
        <w:rPr>
          <w:rFonts w:ascii="IRNazanin" w:hAnsi="IRNazanin" w:eastAsia="IRNazanin" w:cs="IRNazanin"/>
          <w:lang w:bidi="fa-IR"/>
          <w:color w:val="111111"/>
          <w:sz w:val="28"/>
          <w:szCs w:val="28"/>
          <w:rtl/>
        </w:rPr>
        <w:t xml:space="preserve">اصفهان؛ مدرسه صدر بازار؛ شماره نسخه: ۶۳۷/۳</w:t>
      </w:r>
    </w:p>
    <w:p>
      <w:pPr>
        <w:pStyle w:val="BookText"/>
      </w:pPr>
      <w:r>
        <w:rPr>
          <w:rFonts w:ascii="IRNazanin" w:hAnsi="IRNazanin" w:eastAsia="IRNazanin" w:cs="IRNazanin"/>
          <w:lang w:bidi="fa-IR"/>
          <w:color w:val="111111"/>
          <w:sz w:val="28"/>
          <w:szCs w:val="28"/>
          <w:rtl/>
        </w:rPr>
        <w:t xml:space="preserve">آغاز: من كتاب بشارة المصطفی ... بحذف الاسناد قال دخل رسول الله(صلی الله علیه وآله وسلم)على على(عليه السلام)مسرورا؛ انجام: فاذا كان كيف يكون حال الشاة بين اسد و ذئب و تغلب و كلب يخاف على نفسه. خط: نسخ، كا: زین العابدین، بی تا، جلد: تیماج قهوه ای بدون مقوا، ۱۶گی (۱۶۷-۱۸۲)، اندازه: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۱۸/۵ سم [ف:۲-۴۶۷]</w:t>
      </w:r>
    </w:p>
    <w:p>
      <w:pPr>
        <w:pStyle w:val="Heading3"/>
      </w:pPr>
      <w:bookmarkStart w:id="775" w:name="_Toc35"/>
      <w:r>
        <w:t>• بشارة المؤمنين / عرفان و تصوف / فارسی</w:t>
      </w:r>
      <w:bookmarkEnd w:id="775"/>
    </w:p>
    <w:p>
      <w:pPr>
        <w:pStyle w:val="BookText"/>
      </w:pPr>
      <w:r>
        <w:rPr>
          <w:rFonts w:ascii="Times New Roman" w:hAnsi="Times New Roman" w:eastAsia="Times New Roman" w:cs="Times New Roman"/>
          <w:lang w:val="en-US" w:bidi="en-US"/>
          <w:color w:val="111111"/>
          <w:sz w:val="28"/>
          <w:szCs w:val="28"/>
          <w:rtl/>
        </w:rPr>
        <w:t xml:space="preserve">bešārat-ol mo’menīn</w:t>
      </w:r>
    </w:p>
    <w:p>
      <w:pPr>
        <w:pStyle w:val="BookText"/>
      </w:pPr>
      <w:r>
        <w:rPr>
          <w:rFonts w:ascii="IRNazanin" w:hAnsi="IRNazanin" w:eastAsia="IRNazanin" w:cs="IRNazanin"/>
          <w:lang w:bidi="fa-IR"/>
          <w:color w:val="111111"/>
          <w:sz w:val="28"/>
          <w:szCs w:val="28"/>
          <w:rtl/>
        </w:rPr>
        <w:t xml:space="preserve">سلطانعلیشاه، سلطان محمد بن حیدر، ۱۲۵۱-۱۳۲۷ قمری</w:t>
      </w:r>
    </w:p>
    <w:p>
      <w:pPr>
        <w:pStyle w:val="BookText"/>
      </w:pPr>
      <w:r>
        <w:rPr>
          <w:rFonts w:ascii="Times New Roman" w:hAnsi="Times New Roman" w:eastAsia="Times New Roman" w:cs="Times New Roman"/>
          <w:lang w:val="en-US" w:bidi="en-US"/>
          <w:color w:val="111111"/>
          <w:sz w:val="28"/>
          <w:szCs w:val="28"/>
          <w:rtl/>
        </w:rPr>
        <w:t xml:space="preserve">soltān-alī-šāh, soltān-mohammad ebn-e heydar (1836 1909)</w:t>
      </w:r>
    </w:p>
    <w:p>
      <w:pPr>
        <w:pStyle w:val="BookText"/>
      </w:pPr>
      <w:r>
        <w:rPr>
          <w:rFonts w:ascii="IRNazanin" w:hAnsi="IRNazanin" w:eastAsia="IRNazanin" w:cs="IRNazanin"/>
          <w:lang w:bidi="fa-IR"/>
          <w:color w:val="111111"/>
          <w:sz w:val="28"/>
          <w:szCs w:val="28"/>
          <w:rtl/>
        </w:rPr>
        <w:t xml:space="preserve">تاریخ تأليف: ۲۵ ربیع الاول ۱۳۲۵ق</w:t>
      </w:r>
    </w:p>
    <w:p>
      <w:pPr>
        <w:pStyle w:val="BookText"/>
      </w:pPr>
      <w:r>
        <w:rPr>
          <w:rFonts w:ascii="IRNazanin" w:hAnsi="IRNazanin" w:eastAsia="IRNazanin" w:cs="IRNazanin"/>
          <w:lang w:bidi="fa-IR"/>
          <w:color w:val="111111"/>
          <w:sz w:val="28"/>
          <w:szCs w:val="28"/>
          <w:rtl/>
        </w:rPr>
        <w:t xml:space="preserve">در اوصاف مؤمن و شیعه و فرق بین این دو و آیات و روایاتی که متضمن فضایل شیعه حضرت امیر المؤمنين (ع) می باشد با مطالبی راجع به ذکر و بعضی از آداب تصوف، مشتمل بر یک مقدمه» و دوازده «باب» و یک «خاتمه»: مقدمه: در بیان معنی شیعه؛ باب ۱. مناقب مؤمن و شیعه ؛ باب ۲. بشارات به مؤمن؛ ۳. اقسام مؤمن و شیعه؛ ۴. اوصاف شیعه که مأخوذ از شعاع است؛ ۵. ابتلاء مؤمن بأنواع بلیتها؛ ۶. ولايات و مراتب آن و حقیقت آن؛ ۷. حقیقت انبیا و اوصاف آن بزرگوار؛ ۸ فضیلت ذکر که بتلقين صاحب اجازه باشد؛ ۹. ذکر خفی و فضیلت آن؛ ۱۰. بیان ذکر مصطلح صوفيه؛ ۱۱. اوصافی که باید مؤمن بدان موصوف باشد؛ ۱۲. بيان شریعت و طریقت و حقیقت؛ خاتمه: در احوال بعضی از بزرگان و اقوال مفیده.</w:t>
      </w:r>
    </w:p>
    <w:p>
      <w:pPr>
        <w:pStyle w:val="BookText"/>
      </w:pPr>
      <w:r>
        <w:rPr>
          <w:rFonts w:ascii="IRNazanin" w:hAnsi="IRNazanin" w:eastAsia="IRNazanin" w:cs="IRNazanin"/>
          <w:lang w:bidi="fa-IR"/>
          <w:color w:val="111111"/>
          <w:sz w:val="28"/>
          <w:szCs w:val="28"/>
          <w:rtl/>
        </w:rPr>
        <w:t xml:space="preserve">آغاز: سپاس بیقیاس خداوندی را سزاست که نور بخش دلهای اولیاست و بشارت ده پیروان آنهاست</w:t>
      </w:r>
    </w:p>
    <w:p>
      <w:pPr>
        <w:pStyle w:val="BookText"/>
      </w:pPr>
      <w:r>
        <w:rPr>
          <w:rFonts w:ascii="IRNazanin" w:hAnsi="IRNazanin" w:eastAsia="IRNazanin" w:cs="IRNazanin"/>
          <w:lang w:bidi="fa-IR"/>
          <w:color w:val="111111"/>
          <w:sz w:val="28"/>
          <w:szCs w:val="28"/>
          <w:rtl/>
        </w:rPr>
        <w:t xml:space="preserve">انجام: و دیگران را بفتنه و ضلالت انداخته و باعث بدنامی نکوکاران گردیده اند، هذا آخر ما اردت جمعه و تأليفه ...</w:t>
      </w:r>
    </w:p>
    <w:p>
      <w:pPr>
        <w:pStyle w:val="BookText"/>
      </w:pPr>
      <w:r>
        <w:rPr>
          <w:rFonts w:ascii="IRNazanin" w:hAnsi="IRNazanin" w:eastAsia="IRNazanin" w:cs="IRNazanin"/>
          <w:lang w:bidi="fa-IR"/>
          <w:color w:val="111111"/>
          <w:sz w:val="28"/>
          <w:szCs w:val="28"/>
          <w:rtl/>
        </w:rPr>
        <w:t xml:space="preserve">چاپ: طهران، سنگی، ۱۳۲۸، رقعی، ۳۵۳ ص</w:t>
      </w:r>
    </w:p>
    <w:p>
      <w:pPr>
        <w:pStyle w:val="BookText"/>
      </w:pPr>
      <w:r>
        <w:rPr>
          <w:rFonts w:ascii="IRNazanin" w:hAnsi="IRNazanin" w:eastAsia="IRNazanin" w:cs="IRNazanin"/>
          <w:lang w:bidi="fa-IR"/>
          <w:color w:val="111111"/>
          <w:sz w:val="28"/>
          <w:szCs w:val="28"/>
          <w:rtl/>
        </w:rPr>
        <w:t xml:space="preserve">[فهرستواره منزوی ۱۵۳/۷ ]</w:t>
      </w:r>
    </w:p>
    <w:p>
      <w:pPr>
        <w:pStyle w:val="BookText"/>
      </w:pPr>
      <w:r>
        <w:rPr>
          <w:rFonts w:ascii="IRNazanin" w:hAnsi="IRNazanin" w:eastAsia="IRNazanin" w:cs="IRNazanin"/>
          <w:lang w:bidi="fa-IR"/>
          <w:color w:val="111111"/>
          <w:sz w:val="28"/>
          <w:szCs w:val="28"/>
          <w:rtl/>
        </w:rPr>
        <w:t xml:space="preserve">۱. قم: مرعشی؛ شماره نسخه: ۶۹۸۵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بن محمد صالح بن ملا علی بیدختی، تا: دوشنبه ۲۳ رجب ۱۳۲۵ق؛ جلد: تیماج قهوه ای، ۱۲۳ گ، ۱۷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۱۸-۱۵۸]</w:t>
      </w:r>
    </w:p>
    <w:p>
      <w:pPr>
        <w:pStyle w:val="BookText"/>
      </w:pPr>
      <w:r>
        <w:rPr>
          <w:rFonts w:ascii="IRNazanin" w:hAnsi="IRNazanin" w:eastAsia="IRNazanin" w:cs="IRNazanin"/>
          <w:lang w:bidi="fa-IR"/>
          <w:color w:val="111111"/>
          <w:sz w:val="28"/>
          <w:szCs w:val="28"/>
          <w:rtl/>
        </w:rPr>
        <w:t xml:space="preserve">۲. قم: مرکز احیاء؛ شماره نسخه: ۱۲۳۶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خوب، كا: ابو تراب بن فضل الله بن محمد باقر کاشانی، تا: جمعه ۱۷ ربیع الاول ۱۳۳۲ق؛ مصحح؛ جلد: مقوایی عطف پارچه، ۱۴۶گ، ۱۴ سطر، اندازه: ۲۲۶۱۷/۵ سم [ف: ۴-۴۶]</w:t>
      </w:r>
    </w:p>
    <w:p>
      <w:pPr>
        <w:pStyle w:val="Heading3"/>
      </w:pPr>
      <w:bookmarkStart w:id="776" w:name="_Toc36"/>
      <w:r>
        <w:t>• بشارة المهتدين في تفسير الحمد لله رب العالمين / تفسير / فارسی</w:t>
      </w:r>
      <w:bookmarkEnd w:id="776"/>
    </w:p>
    <w:p>
      <w:pPr>
        <w:pStyle w:val="BookText"/>
      </w:pPr>
      <w:r>
        <w:rPr>
          <w:rFonts w:ascii="Times New Roman" w:hAnsi="Times New Roman" w:eastAsia="Times New Roman" w:cs="Times New Roman"/>
          <w:lang w:val="en-US" w:bidi="en-US"/>
          <w:color w:val="111111"/>
          <w:sz w:val="28"/>
          <w:szCs w:val="28"/>
          <w:rtl/>
        </w:rPr>
        <w:t xml:space="preserve">bešārat-ol mohtadīn fī tafsīr-e al-hamd-o le-1-lāh-e rabb-el ‘ālamīn</w:t>
      </w:r>
    </w:p>
    <w:p>
      <w:pPr>
        <w:pStyle w:val="BookText"/>
      </w:pPr>
      <w:r>
        <w:rPr>
          <w:rFonts w:ascii="IRNazanin" w:hAnsi="IRNazanin" w:eastAsia="IRNazanin" w:cs="IRNazanin"/>
          <w:lang w:bidi="fa-IR"/>
          <w:color w:val="111111"/>
          <w:sz w:val="28"/>
          <w:szCs w:val="28"/>
          <w:rtl/>
        </w:rPr>
        <w:t xml:space="preserve">علی نقی بن محمد تقی، ق۱۳ قمری</w:t>
      </w:r>
    </w:p>
    <w:p>
      <w:pPr>
        <w:pStyle w:val="BookText"/>
      </w:pPr>
      <w:r>
        <w:rPr>
          <w:rFonts w:ascii="Times New Roman" w:hAnsi="Times New Roman" w:eastAsia="Times New Roman" w:cs="Times New Roman"/>
          <w:lang w:val="en-US" w:bidi="en-US"/>
          <w:color w:val="111111"/>
          <w:sz w:val="28"/>
          <w:szCs w:val="28"/>
          <w:rtl/>
        </w:rPr>
        <w:t xml:space="preserve">‘alī naqī ebn-e mohammad taqi (- 19c)</w:t>
      </w:r>
    </w:p>
    <w:p>
      <w:pPr>
        <w:pStyle w:val="BookText"/>
      </w:pPr>
      <w:r>
        <w:rPr>
          <w:rFonts w:ascii="IRNazanin" w:hAnsi="IRNazanin" w:eastAsia="IRNazanin" w:cs="IRNazanin"/>
          <w:lang w:bidi="fa-IR"/>
          <w:color w:val="111111"/>
          <w:sz w:val="28"/>
          <w:szCs w:val="28"/>
          <w:rtl/>
        </w:rPr>
        <w:t xml:space="preserve">تفسیر آیه ، «الحمدلله رب العالمين» را بنا به درخواست یکی از برادران ایمانی با استفاده از احادیث شریفه و بعضی از قواعد ریاضی مانند زبر و بینات، در یک «مقدمه» و دو «مقصد» نگاشته و هر مقصدی دارای یک «مطلب» و پنج «فصل» است. مقدمه: در بیان کتاب تکوین و تشریع؛ مقصد اول: در تفسير ظاهری آیه؛ مقصد دوم: در تفسیر باطنی آیه.</w:t>
      </w:r>
    </w:p>
    <w:p>
      <w:pPr>
        <w:pStyle w:val="BookText"/>
      </w:pPr>
      <w:r>
        <w:rPr>
          <w:rFonts w:ascii="IRNazanin" w:hAnsi="IRNazanin" w:eastAsia="IRNazanin" w:cs="IRNazanin"/>
          <w:lang w:bidi="fa-IR"/>
          <w:color w:val="111111"/>
          <w:sz w:val="28"/>
          <w:szCs w:val="28"/>
          <w:rtl/>
        </w:rPr>
        <w:t xml:space="preserve">آغاز: الحمدلله الاول و الاخر و الصلاة على محمد و آله في الباطن و الظاهر اما بعد چنین گوید بنده خاطی علی نقی ابن محمد تقی که این چند کلمه ای است در جواب یکی از برادران ایمانی</w:t>
      </w:r>
    </w:p>
    <w:p>
      <w:pPr>
        <w:pStyle w:val="BookText"/>
      </w:pPr>
      <w:r>
        <w:rPr>
          <w:rFonts w:ascii="IRNazanin" w:hAnsi="IRNazanin" w:eastAsia="IRNazanin" w:cs="IRNazanin"/>
          <w:lang w:bidi="fa-IR"/>
          <w:color w:val="111111"/>
          <w:sz w:val="28"/>
          <w:szCs w:val="28"/>
          <w:rtl/>
        </w:rPr>
        <w:t xml:space="preserve">انجام: بجهت عدم علم و اطلاع بر تفاسیر علماء ابرار اخیار بر همین کلمات اکتفا نمودیم . فاعتبروا یا اولی الابصار</w:t>
      </w:r>
    </w:p>
    <w:p>
      <w:pPr>
        <w:pStyle w:val="BookText"/>
      </w:pPr>
      <w:r>
        <w:rPr>
          <w:rFonts w:ascii="IRNazanin" w:hAnsi="IRNazanin" w:eastAsia="IRNazanin" w:cs="IRNazanin"/>
          <w:lang w:bidi="fa-IR"/>
          <w:color w:val="111111"/>
          <w:sz w:val="28"/>
          <w:szCs w:val="28"/>
          <w:rtl/>
        </w:rPr>
        <w:t xml:space="preserve">۱. قم؛ مرعشی؛ شماره نسخه: ۳۴۹۷/۱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اسماعيل بن علی اکبر خوئی، تا: ۱۲۹۳ق، جان کربلا، خانه مرحوم سید (ظاهرة مراد سید کاظم رشتی باشد)؛ جلد: تیماج سبز بدون مقوا، ۴۷گ (۱پ -۴۷ر)، ۱۵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۱۱-۳۹۶]</w:t>
      </w:r>
    </w:p>
    <w:p>
      <w:pPr>
        <w:pStyle w:val="BookText"/>
      </w:pPr>
      <w:r>
        <w:rPr>
          <w:rFonts w:ascii="IRNazanin" w:hAnsi="IRNazanin" w:eastAsia="IRNazanin" w:cs="IRNazanin"/>
          <w:lang w:bidi="fa-IR"/>
          <w:color w:val="111111"/>
          <w:sz w:val="28"/>
          <w:szCs w:val="28"/>
          <w:rtl/>
        </w:rPr>
        <w:t xml:space="preserve">۲. قم؛ گلپایگانی؛ شماره نسخه:۳۵۸۷/۳ - ۱۸/۱۰۷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محمدعلی بن حاج محمد شریف، تا: دوشنبه ۱۲۹۴ق، جا: کربلا، جلد: پارچه، قرمز گل و بوته دار، ۳۵، ۱۹ سطر، اندازه: ۱۴/۵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۲-۶۲۲]</w:t>
      </w:r>
    </w:p>
    <w:p>
      <w:pPr>
        <w:pStyle w:val="Heading3"/>
      </w:pPr>
      <w:bookmarkStart w:id="777" w:name="_Toc37"/>
      <w:r>
        <w:t>• بشارت نامه / فارسی</w:t>
      </w:r>
      <w:bookmarkEnd w:id="777"/>
    </w:p>
    <w:p>
      <w:pPr>
        <w:pStyle w:val="BookText"/>
      </w:pPr>
      <w:r>
        <w:rPr>
          <w:rFonts w:ascii="Times New Roman" w:hAnsi="Times New Roman" w:eastAsia="Times New Roman" w:cs="Times New Roman"/>
          <w:lang w:val="en-US" w:bidi="en-US"/>
          <w:color w:val="111111"/>
          <w:sz w:val="28"/>
          <w:szCs w:val="28"/>
          <w:rtl/>
        </w:rPr>
        <w:t xml:space="preserve">bešārat-nāme</w:t>
      </w:r>
    </w:p>
    <w:p>
      <w:pPr>
        <w:pStyle w:val="BookText"/>
      </w:pPr>
      <w:r>
        <w:rPr>
          <w:rFonts w:ascii="IRNazanin" w:hAnsi="IRNazanin" w:eastAsia="IRNazanin" w:cs="IRNazanin"/>
          <w:lang w:bidi="fa-IR"/>
          <w:color w:val="111111"/>
          <w:sz w:val="28"/>
          <w:szCs w:val="28"/>
          <w:rtl/>
        </w:rPr>
        <w:t xml:space="preserve">فضل الله حروفی، ۷۴۰-۷۹۶؟ قمری</w:t>
      </w:r>
    </w:p>
    <w:p>
      <w:pPr>
        <w:pStyle w:val="BookText"/>
      </w:pPr>
      <w:r>
        <w:rPr>
          <w:rFonts w:ascii="Times New Roman" w:hAnsi="Times New Roman" w:eastAsia="Times New Roman" w:cs="Times New Roman"/>
          <w:lang w:val="en-US" w:bidi="en-US"/>
          <w:color w:val="111111"/>
          <w:sz w:val="28"/>
          <w:szCs w:val="28"/>
          <w:rtl/>
        </w:rPr>
        <w:t xml:space="preserve">fazl-ol-lah-e horufi (1340-1394)</w:t>
      </w:r>
    </w:p>
    <w:p>
      <w:pPr>
        <w:pStyle w:val="BookText"/>
      </w:pPr>
      <w:r>
        <w:rPr>
          <w:rFonts w:ascii="IRNazanin" w:hAnsi="IRNazanin" w:eastAsia="IRNazanin" w:cs="IRNazanin"/>
          <w:lang w:bidi="fa-IR"/>
          <w:color w:val="111111"/>
          <w:sz w:val="28"/>
          <w:szCs w:val="28"/>
          <w:rtl/>
        </w:rPr>
        <w:t xml:space="preserve">از فضل الله استر آبادی. گویا از رفیعی است.</w:t>
      </w:r>
    </w:p>
    <w:p>
      <w:pPr>
        <w:pStyle w:val="BookText"/>
      </w:pPr>
      <w:r>
        <w:rPr>
          <w:rFonts w:ascii="IRNazanin" w:hAnsi="IRNazanin" w:eastAsia="IRNazanin" w:cs="IRNazanin"/>
          <w:lang w:bidi="fa-IR"/>
          <w:color w:val="111111"/>
          <w:sz w:val="28"/>
          <w:szCs w:val="28"/>
          <w:rtl/>
        </w:rPr>
        <w:t xml:space="preserve">[نسخه های منزوی ۱۰۶۴؛ فهرستواره منزوی ۳۰۰/۱۰ ]</w:t>
      </w:r>
    </w:p>
    <w:p>
      <w:pPr>
        <w:pStyle w:val="BookText"/>
      </w:pPr>
      <w:r>
        <w:rPr>
          <w:rFonts w:ascii="IRNazanin" w:hAnsi="IRNazanin" w:eastAsia="IRNazanin" w:cs="IRNazanin"/>
          <w:lang w:bidi="fa-IR"/>
          <w:color w:val="111111"/>
          <w:sz w:val="28"/>
          <w:szCs w:val="28"/>
          <w:rtl/>
        </w:rPr>
        <w:t xml:space="preserve">تهران؛ ملک؛ شماره نسخه: ۴۵۹۸/۱</w:t>
      </w:r>
    </w:p>
    <w:p>
      <w:pPr>
        <w:pStyle w:val="BookText"/>
      </w:pPr>
      <w:r>
        <w:rPr>
          <w:rFonts w:ascii="IRNazanin" w:hAnsi="IRNazanin" w:eastAsia="IRNazanin" w:cs="IRNazanin"/>
          <w:lang w:bidi="fa-IR"/>
          <w:color w:val="111111"/>
          <w:sz w:val="28"/>
          <w:szCs w:val="28"/>
          <w:rtl/>
        </w:rPr>
        <w:t xml:space="preserve">خط: نسخ، بی کا، تا: قرن ۱۱؛ کاغذ: فستقی، جلد: میشن لایی سیاه، ۲۵ سطر، اندازه: ۱۹/۲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۷-۴۳۸]</w:t>
      </w:r>
    </w:p>
    <w:p>
      <w:pPr>
        <w:pStyle w:val="Heading3"/>
      </w:pPr>
      <w:bookmarkStart w:id="778" w:name="_Toc38"/>
      <w:r>
        <w:t>•بشارت نامه / عرفان و تصوف / فارسی</w:t>
      </w:r>
      <w:bookmarkEnd w:id="778"/>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7" w:name="pg20363_209156"/>
    <w:bookmarkEnd w:id="17"/>
    <w:p>
      <w:pPr>
        <w:pStyle w:val="BookText"/>
      </w:pPr>
      <w:r>
        <w:rPr>
          <w:rFonts w:ascii="Times New Roman" w:hAnsi="Times New Roman" w:eastAsia="Times New Roman" w:cs="Times New Roman"/>
          <w:lang w:val="en-US" w:bidi="en-US"/>
          <w:color w:val="111111"/>
          <w:sz w:val="28"/>
          <w:szCs w:val="28"/>
          <w:rtl/>
        </w:rPr>
        <w:t xml:space="preserve">bešārat-nāme</w:t>
      </w:r>
    </w:p>
    <w:p>
      <w:pPr>
        <w:pStyle w:val="BookText"/>
      </w:pPr>
      <w:r>
        <w:rPr>
          <w:rFonts w:ascii="IRNazanin" w:hAnsi="IRNazanin" w:eastAsia="IRNazanin" w:cs="IRNazanin"/>
          <w:lang w:bidi="fa-IR"/>
          <w:color w:val="111111"/>
          <w:sz w:val="28"/>
          <w:szCs w:val="28"/>
          <w:rtl/>
        </w:rPr>
        <w:t xml:space="preserve">تهران؛ دانشگاه؛ شماره نسخه: ۱۰۰۴/۵ -ف</w:t>
      </w:r>
    </w:p>
    <w:p>
      <w:pPr>
        <w:pStyle w:val="BookText"/>
      </w:pPr>
      <w:r>
        <w:rPr>
          <w:rFonts w:ascii="IRNazanin" w:hAnsi="IRNazanin" w:eastAsia="IRNazanin" w:cs="IRNazanin"/>
          <w:lang w:bidi="fa-IR"/>
          <w:color w:val="111111"/>
          <w:sz w:val="28"/>
          <w:szCs w:val="28"/>
          <w:rtl/>
        </w:rPr>
        <w:t xml:space="preserve">نسخه اصل: بادلان .۲۲۴</w:t>
      </w:r>
      <w:r>
        <w:rPr>
          <w:rFonts w:ascii="Times New Roman" w:hAnsi="Times New Roman" w:eastAsia="Times New Roman" w:cs="Times New Roman"/>
          <w:lang w:val="en-US" w:bidi="en-US"/>
          <w:color w:val="111111"/>
          <w:sz w:val="28"/>
          <w:szCs w:val="28"/>
          <w:rtl/>
        </w:rPr>
        <w:t xml:space="preserve">Land Or</w:t>
      </w:r>
      <w:r>
        <w:rPr>
          <w:rFonts w:ascii="IRNazanin" w:hAnsi="IRNazanin" w:eastAsia="IRNazanin" w:cs="IRNazanin"/>
          <w:lang w:bidi="fa-IR"/>
          <w:color w:val="111111"/>
          <w:sz w:val="28"/>
          <w:szCs w:val="28"/>
          <w:rtl/>
        </w:rPr>
        <w:t xml:space="preserve">؛ خط: نسخ، كا: درویش حسن، تا: جمعه پایان ربيع الثانی ۸۸۶ق؛ ۱۵ سطر[فيلمها ف:۱-۵۵۲]</w:t>
      </w:r>
    </w:p>
    <w:p>
      <w:pPr>
        <w:pStyle w:val="Heading3"/>
      </w:pPr>
      <w:bookmarkStart w:id="779" w:name="_Toc39"/>
      <w:r>
        <w:t>• البشارة و النذارة في تعبير الرؤيا و المراقبة / خوابگزاری-عربی</w:t>
      </w:r>
      <w:bookmarkEnd w:id="779"/>
    </w:p>
    <w:p>
      <w:pPr>
        <w:pStyle w:val="BookText"/>
      </w:pPr>
      <w:r>
        <w:rPr>
          <w:rFonts w:ascii="Times New Roman" w:hAnsi="Times New Roman" w:eastAsia="Times New Roman" w:cs="Times New Roman"/>
          <w:lang w:val="en-US" w:bidi="en-US"/>
          <w:color w:val="111111"/>
          <w:sz w:val="28"/>
          <w:szCs w:val="28"/>
          <w:rtl/>
        </w:rPr>
        <w:t xml:space="preserve">al-bišāra wa-n nidāra fī ta'bīr-ir ru'yā wa-l murāqiba</w:t>
      </w:r>
    </w:p>
    <w:p>
      <w:pPr>
        <w:pStyle w:val="BookText"/>
      </w:pPr>
      <w:r>
        <w:rPr>
          <w:rFonts w:ascii="IRNazanin" w:hAnsi="IRNazanin" w:eastAsia="IRNazanin" w:cs="IRNazanin"/>
          <w:lang w:bidi="fa-IR"/>
          <w:color w:val="111111"/>
          <w:sz w:val="28"/>
          <w:szCs w:val="28"/>
          <w:rtl/>
        </w:rPr>
        <w:t xml:space="preserve">واعظ خرگوشی، عبدالملک بن محمد، ۴۰۷ قمری</w:t>
      </w:r>
    </w:p>
    <w:p>
      <w:pPr>
        <w:pStyle w:val="BookText"/>
      </w:pPr>
      <w:r>
        <w:rPr>
          <w:rFonts w:ascii="Times New Roman" w:hAnsi="Times New Roman" w:eastAsia="Times New Roman" w:cs="Times New Roman"/>
          <w:lang w:val="en-US" w:bidi="en-US"/>
          <w:color w:val="111111"/>
          <w:sz w:val="28"/>
          <w:szCs w:val="28"/>
          <w:rtl/>
        </w:rPr>
        <w:t xml:space="preserve">vā‘ez-e xargūšī, “abd-ol-malek ebn-e mohammad ( 1017)</w:t>
      </w:r>
    </w:p>
    <w:p>
      <w:pPr>
        <w:pStyle w:val="BookText"/>
      </w:pPr>
      <w:r>
        <w:rPr>
          <w:rFonts w:ascii="IRNazanin" w:hAnsi="IRNazanin" w:eastAsia="IRNazanin" w:cs="IRNazanin"/>
          <w:lang w:bidi="fa-IR"/>
          <w:color w:val="111111"/>
          <w:sz w:val="28"/>
          <w:szCs w:val="28"/>
          <w:rtl/>
        </w:rPr>
        <w:t xml:space="preserve">مختصری است از کتاب «تعبير القادری» ابوسعد نصر بن يعقوب دینوری. دینوری کتابش را در سی «فصل» و هر فصلی در چند «باب» تنظیم نموده و خرگوشی در کتاب حاضر مطالب آن را در پنجاه و نه «باب» تلخیص و تنظیم نموده و در هر باب ابتدا روایاتی را که خود از اساتیدش درباره آن موضوع شنیده، ذکر نموده و پس از آن گفته های دینوری را با عنوان «قال الأستاذ ابوسعد» نقل می کند. مؤلف ابتدا خطبه ای برای کتاب خود انشاء نموده و بعد از آن فهرست مطالب کتاب را آورده. او در این کتاب از این اساتید روایت نقل کرده است: ابوبکر احمد بن حسین بن مهران مقرى؛ أخبرنا أبو القاسم جعفر بن محمد بمصر؛ سمعت ابا الفضل احمد بن عمران هروی بمكة؛ أخبرنا ابوسعید عبدالله بن محمد بن عبدالوهاب رازی قال محمد بن ایوب رازی قال أخبرنا مسلم بن ابراهيم قال حدثنا هشام عن قتادة عن الحسن؛ اخبرنا أبو بكر محمد بن عبدالله بن قريش قال أخبرنا حسن بن سفيان قال حدثنا اسحاق بن ابراهيم بن مخلد الحنظلي قال حدثنا وهب بن جرير قال حدثنا أبي قال محمد بن اسحق قال حدثنی محمد بن ابراهيم بن الحرث التميمي عن محمد بن عبدالله بن زيد الأنصاري عنه قال أتيت ... ؛ أخبرنا عبد الله بن حامد الفقيه قال اخبرنا ابراهيم بن محمد هروی؛ اخبرنا ابو الحسن احمد بن محمد بن جميع الغسانی بالشام قال أخبرنا أبو محمد بن جعفر بن على همدانی؛ اخبرنا ابوعلی حامد بن محمد بن عبدالله الرفا قال أخبرنا محمد بن المغيرة؛ حدثنا محمد بن شاذان قال حدثني محمد بن سليمان عن حسن بن علا عن جشام بن محمد عن محمد بن مطيع المقدسي عن سعید بن منصور عن ابن جريج عن عطاء قال رایت النبي(صلی الله علیه وآله وسلم)في منام ...؟ اخبرنا ولید بن احمد زوزنی؛ اخبرنا ابوسهل بشر بن احمد بن بشر الفقيه.</w:t>
      </w:r>
    </w:p>
    <w:p>
      <w:pPr>
        <w:pStyle w:val="BookText"/>
      </w:pPr>
      <w:r>
        <w:rPr>
          <w:rFonts w:ascii="IRNazanin" w:hAnsi="IRNazanin" w:eastAsia="IRNazanin" w:cs="IRNazanin"/>
          <w:lang w:bidi="fa-IR"/>
          <w:color w:val="111111"/>
          <w:sz w:val="28"/>
          <w:szCs w:val="28"/>
          <w:rtl/>
        </w:rPr>
        <w:t xml:space="preserve">فهرست ابواب کتاب چنین است: ۱. تأويل رؤية العبد نفسه بين يدي ربه عز وجل في منامه؛ ۲. رؤية الانبياء و المرسلين؛ ۳. رؤيا الملائكة (علیه السلام)؛ ۴. رؤية الصحابة و التابعين و الصالحين؛ ۵. تأويل سور القرآن؛ ۶ تأويل رؤية الاسلام؛ ۷. تأويل السلام و المصافحة؛ ۸ رؤية الطهارة؛ ۹. رؤية الطهارة؛ ۱۰. تأويل رؤية الصلوة و اركانها؛ ۱۱. تأويل رؤية المسجد و المحراب و المنارة و مجالس الذكر؛ ۱۲. تأويل رؤيا الزكاة و الصدقة و الاطعام و زكاة الفطر؛ ۱۳. تأويل الصوم و الفطر؛ ۱۴. الحج و العمرة و الكعبة و الحجر الأسود و المقام و زمزم و سائر ما يتعلق بالحج؛ ۱۵. تأويل رؤية الجهاد؛ ۱۶. رؤية الموت و الأموات و المقابر و الأكفان و ما يتصل به من البكاء و النوح و غيرهما؛ ۱۷. رؤية القيامة و الحساب و الميزان و الصحائف و الصراط وما يتصل بذلک؛ ۱۸. تأويل رؤيا جهنم؛ 19. الجنة و خزنتها و حورها و قصورها و انهارها و ثمارها؛ ۲۰. تأويل رؤية الجن و الشياطين؛ ۲۱. رؤية الناس الشيخ منهم و الشاب و الفتاة و العجوز و الاطفال و المعروف و المجهول؛ ۲۲. تأویل اختلاف الانسان و اعضائه واحدة واحدة على الترتيب؛ ۲۳. الاشياء الخارجة من الانسان و سایر الحيوان و الاصوات و الصفات؛ ۲۴. اصوات الحيوان و كلامها؛ ۲۵. الامراض و الأوجاع و العاهات التي تبلوا على اعضاء الانسان؛ ۲۶. المعالجات و الأدوية و الأشربة و الحجامة و الفصد؛ ۲۷. الأطعمة و الحلو و اللحمان و ما يتصل بها من السفرة و غيرها؛ ۲۸. مجالس الخمر وما فيها و العطر و الضيافات و الدعوات؛ ۲۹. الكسوات و اختلاف الوانها و اجناسها؛ ۳۰. السلاطين و الملوک و حشمهم و اعوانهم و من يصحبهم؛ ۳۱. الحرب و حالاتها و الأسلحة و آلاتها و القتل و الصلب و الحبس و اشباهه؛ ۳۲. الصناع و اصحاب الحرف و العملة و الفعلة؛ ۳۳. الخيل و الدواب و سایر البهائم و الانعام؛ ۳۴. الوحش و السباع؛ ۳۵. الطيور الوحشية و الاهلية و المائية و صيد البحر و دوابه؛ ۳۶. ادوات الصيد الشباك و الفخاخ و الشصوص و المصاید و قوس النبدق؛ ۳۷. الهوام و الحشرات و دواب الأرض؛ ۳۸. تأويل السماء وما فيها و حوادثها؛ ۳۹. الارض و جبالها و ترابها و بلادها و كل ما يتعلق بها؛ ۴۰. الذهب و الفضة و الوان الحلى و الجواهر و ما يستخرج من المعادن؛ ۴۱. البحر و احواله و السفينة و الغرق و الأنهار و الآبار و المياه و ظروفها؛ ۴۲. رؤيا النار و ادواتها و ما اتصل بذلك؛ ۴۳. الأشجار الغير المثمرة و ثمارها و البستان و الكرم و الربيع؛ ۴۴. الحبوب و الزرع و الرياحين و البقول و الروضة و البطيخ و اشباههم؛ ۴۵. القلم و النقش و الدواة و المداد و الورق و الكتابة و الشعر وما أشبهه؛ ۴۶. الصنم و اهل الملک الزايغة و الردة و ما أشبه ذلك؛ ۴۷. السبط و الفرش و الستور و الأسرة و الشراع و ما أشبه ذلك؛ ۴۸. ادوات الركبان و الفرسان؛ ۴۹. اثاث البيت و الصناع و الغزل و الجبال و قللها و شبهه؛ ۵۰. النوم و الاستلقاء على القفا و الانتباه و العجوز و المرأة و الجارية؛ ۵۱. العطش و الشرب و الري و الجوع و الاكل و المضغ و الطبخ ۵۲. تأویل انواع من البلايا مثل البأس؛ ۵۳. رؤيا بعض الاضداد کالهبوط؛ ۵۴. رؤيا النکاح؛ ۵۵. رؤيا الحركات من السفر و الوثوب و المشي و غيرها؛ ۵۶. انواع من المعاملات الجارية بين الناس؛ ۵۷. رؤيا المخاصمات و المنازعات و ما يتصل بها من البغي و البغض و غيرها؛ ۵۸. رؤيا انواع شتى لا يشاكل بعضها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8" w:name="pg20363_209157"/>
    <w:bookmarkEnd w:id="18"/>
    <w:p>
      <w:pPr>
        <w:pStyle w:val="BookText"/>
      </w:pPr>
      <w:r>
        <w:rPr>
          <w:rFonts w:ascii="IRNazanin" w:hAnsi="IRNazanin" w:eastAsia="IRNazanin" w:cs="IRNazanin"/>
          <w:lang w:bidi="fa-IR"/>
          <w:color w:val="111111"/>
          <w:sz w:val="28"/>
          <w:szCs w:val="28"/>
          <w:rtl/>
        </w:rPr>
        <w:t xml:space="preserve">بعضا و مما فات ذكره في الابواب المتقدمة؛ ۵۹. ذکر حکایات بعض الاصالحین.</w:t>
      </w:r>
    </w:p>
    <w:p>
      <w:pPr>
        <w:pStyle w:val="BookText"/>
      </w:pPr>
      <w:r>
        <w:rPr>
          <w:rFonts w:ascii="IRNazanin" w:hAnsi="IRNazanin" w:eastAsia="IRNazanin" w:cs="IRNazanin"/>
          <w:lang w:bidi="fa-IR"/>
          <w:color w:val="111111"/>
          <w:sz w:val="28"/>
          <w:szCs w:val="28"/>
          <w:rtl/>
        </w:rPr>
        <w:t xml:space="preserve">آغاز: الحمدلله الذي جعل الليل لباس و النوم سباتا و جعل النهار نشورة و الحمدالله البدي السابق القوى الخالق الملى الرازق الوفي ... صلوات الله عليه وعلى آله الطيبين الطاهرين قال الأستاذ ابوسعد الواعظ ... اما بعد فانه لما كانت الرؤيا الصحيحة في الأصل مبنية على حقایق الاعمال ... قال الأستاذ ابوسعد رحمه الله فلما رأيت العلوم تتنوع انواع منها ما يقع في الدنيا و الدين ... و كان علم الرؤيا من العلوم النافعة دين و دنيا استخرت الله تعالى في جمع صدر منه سالكا نهج الاختصار مستعينا بالله ... قال الأستاد رحمة الله عليه يحتاج الانسان الى اقامة آداب ليكون رؤياه اقرب الى الصحة فمنها أن يتعود الصدق في اقواله لما روي عن النبي ... وفي هذا القدر الذي صدرنا به کتابنا هذا غنية لمن تأملها و تدبر معانيها اذ لو بسطناه لادى ذلك الى الابرام و الملال.</w:t>
      </w:r>
    </w:p>
    <w:p>
      <w:pPr>
        <w:pStyle w:val="BookText"/>
      </w:pPr>
      <w:r>
        <w:rPr>
          <w:rFonts w:ascii="IRNazanin" w:hAnsi="IRNazanin" w:eastAsia="IRNazanin" w:cs="IRNazanin"/>
          <w:lang w:bidi="fa-IR"/>
          <w:color w:val="111111"/>
          <w:sz w:val="28"/>
          <w:szCs w:val="28"/>
          <w:rtl/>
        </w:rPr>
        <w:t xml:space="preserve">[کشف الظنون ۲۴۶/۱ ؛ سزگین ۶۷۰/۱ ؛ قاهره ۱۷۴/۶ ]</w:t>
      </w:r>
    </w:p>
    <w:p>
      <w:pPr>
        <w:pStyle w:val="BookText"/>
      </w:pPr>
      <w:r>
        <w:rPr>
          <w:rFonts w:ascii="IRNazanin" w:hAnsi="IRNazanin" w:eastAsia="IRNazanin" w:cs="IRNazanin"/>
          <w:lang w:bidi="fa-IR"/>
          <w:color w:val="111111"/>
          <w:sz w:val="28"/>
          <w:szCs w:val="28"/>
          <w:rtl/>
        </w:rPr>
        <w:t xml:space="preserve">تهران؛ مجلس؛ شماره نسخه: ۱۲۵۲۶</w:t>
      </w:r>
    </w:p>
    <w:p>
      <w:pPr>
        <w:pStyle w:val="BookText"/>
      </w:pPr>
      <w:r>
        <w:rPr>
          <w:rFonts w:ascii="IRNazanin" w:hAnsi="IRNazanin" w:eastAsia="IRNazanin" w:cs="IRNazanin"/>
          <w:lang w:bidi="fa-IR"/>
          <w:color w:val="111111"/>
          <w:sz w:val="28"/>
          <w:szCs w:val="28"/>
          <w:rtl/>
        </w:rPr>
        <w:t xml:space="preserve">آغاز: برابر؛ انجام: الحكيم و رای کسری زوال ملکه فصدقت رؤياه ... هذا المجرى في التأويل و اعتمد عليه ترشد ان شاء الله. خطبه مؤلف و قسمت های اول فهرست از نسخه ما افتاده و فهرست باب ۵۲ تا ۵۹ در آغاز نسخه حاضر موجود است. پس از آن مقدمه ای در اصول علم تعبیر بیان نموده با این سرآغاز: الحمدلله رب العالمین و صلواته على سيد المرسلين و على آله الطيبين و علی اصحابه الكرام المنتجبين اعلم وفقك الله انما يحتاج اليه المبتدی ان تعلم أن جميع ما يرى في المنام على قسمين فقسم من الله تعالی و قسم من الشيطان»، این مقدمه در نسخه حاضر تا برگ ۲۰پ ادامه یافته و پس از آن مؤلف شروع به مطالب کتاب نموده؛ بی کا، تا: قرن ۹۸ در نسخه حاضر کتاب از[ برگ ۲0] شروع و تا باب ۵۸ ادامه می یابد و باب ۵۹ در اول نسخه صحافی شده است؛ مقابله شده؛ تملک محمد حسن بن عبدالرحيم علوی رضوی؛ کاغذ: سمرقندی، جلد: تیماج قهوه ای لولادار، ۳۴۶گ، 19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۳۶-۴۹]</w:t>
      </w:r>
    </w:p>
    <w:p>
      <w:pPr>
        <w:pStyle w:val="Heading3"/>
      </w:pPr>
      <w:bookmarkStart w:id="780" w:name="_Toc40"/>
      <w:r>
        <w:t>• بشارتيه / گوناگون / فارسی</w:t>
      </w:r>
      <w:bookmarkEnd w:id="780"/>
    </w:p>
    <w:p>
      <w:pPr>
        <w:pStyle w:val="BookText"/>
      </w:pPr>
      <w:r>
        <w:rPr>
          <w:rFonts w:ascii="Times New Roman" w:hAnsi="Times New Roman" w:eastAsia="Times New Roman" w:cs="Times New Roman"/>
          <w:lang w:val="en-US" w:bidi="en-US"/>
          <w:color w:val="111111"/>
          <w:sz w:val="28"/>
          <w:szCs w:val="28"/>
          <w:rtl/>
        </w:rPr>
        <w:t xml:space="preserve">bešāratīye</w:t>
      </w:r>
    </w:p>
    <w:p>
      <w:pPr>
        <w:pStyle w:val="BookText"/>
      </w:pPr>
      <w:r>
        <w:rPr>
          <w:rFonts w:ascii="IRNazanin" w:hAnsi="IRNazanin" w:eastAsia="IRNazanin" w:cs="IRNazanin"/>
          <w:lang w:bidi="fa-IR"/>
          <w:color w:val="111111"/>
          <w:sz w:val="28"/>
          <w:szCs w:val="28"/>
          <w:rtl/>
        </w:rPr>
        <w:t xml:space="preserve">قاینی خراسانی، احمد بن محمد، ق۱۳ قمری</w:t>
      </w:r>
    </w:p>
    <w:p>
      <w:pPr>
        <w:pStyle w:val="BookText"/>
      </w:pPr>
      <w:r>
        <w:rPr>
          <w:rFonts w:ascii="Times New Roman" w:hAnsi="Times New Roman" w:eastAsia="Times New Roman" w:cs="Times New Roman"/>
          <w:lang w:val="en-US" w:bidi="en-US"/>
          <w:color w:val="111111"/>
          <w:sz w:val="28"/>
          <w:szCs w:val="28"/>
          <w:rtl/>
        </w:rPr>
        <w:t xml:space="preserve">qāyenī norāsānī, ahmad ebn-e mohammad (- 19c)</w:t>
      </w:r>
    </w:p>
    <w:p>
      <w:pPr>
        <w:pStyle w:val="BookText"/>
      </w:pPr>
      <w:r>
        <w:rPr>
          <w:rFonts w:ascii="IRNazanin" w:hAnsi="IRNazanin" w:eastAsia="IRNazanin" w:cs="IRNazanin"/>
          <w:lang w:bidi="fa-IR"/>
          <w:color w:val="111111"/>
          <w:sz w:val="28"/>
          <w:szCs w:val="28"/>
          <w:rtl/>
        </w:rPr>
        <w:t xml:space="preserve">مشهد؛ رضوی؛ شماره نسخه: ۲۹۳۵۱</w:t>
      </w:r>
    </w:p>
    <w:p>
      <w:pPr>
        <w:pStyle w:val="BookText"/>
      </w:pPr>
      <w:r>
        <w:rPr>
          <w:rFonts w:ascii="IRNazanin" w:hAnsi="IRNazanin" w:eastAsia="IRNazanin" w:cs="IRNazanin"/>
          <w:lang w:bidi="fa-IR"/>
          <w:color w:val="111111"/>
          <w:sz w:val="28"/>
          <w:szCs w:val="28"/>
          <w:rtl/>
        </w:rPr>
        <w:t xml:space="preserve">آغاز: بسمله. منجی و موید عقول دراک و مسائل سائلان ... هوش و ادراک حمد و سپاس بیقياس و؛ انجام: و رفع شده فشار قبر و سهولت آن و انیس و مونس در حین اموال و وحشتهای.</w:t>
      </w:r>
    </w:p>
    <w:p>
      <w:pPr>
        <w:pStyle w:val="BookText"/>
      </w:pPr>
      <w:r>
        <w:rPr>
          <w:rFonts w:ascii="IRNazanin" w:hAnsi="IRNazanin" w:eastAsia="IRNazanin" w:cs="IRNazanin"/>
          <w:lang w:bidi="fa-IR"/>
          <w:color w:val="111111"/>
          <w:sz w:val="28"/>
          <w:szCs w:val="28"/>
          <w:rtl/>
        </w:rPr>
        <w:t xml:space="preserve">خط: نستعلیق جلی ممتاز، كا: حسین بن علی گلپایگانی، تا: ۱۲۲۸ق؛ ضميمه نسخه ش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تملك: محمد اسماعیل؛ کاغذ: نباتی، جلد: تیماج، ۱۶ سطر (۶/۲</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۱۰/۵ )، قطع: جانمازی،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سم[رایانه]</w:t>
      </w:r>
    </w:p>
    <w:p>
      <w:pPr>
        <w:pStyle w:val="BookText"/>
      </w:pPr>
      <w:r>
        <w:rPr>
          <w:rFonts w:ascii="IRNazanin" w:hAnsi="IRNazanin" w:eastAsia="IRNazanin" w:cs="IRNazanin"/>
          <w:lang w:bidi="fa-IR"/>
          <w:color w:val="111111"/>
          <w:sz w:val="28"/>
          <w:szCs w:val="28"/>
          <w:rtl/>
        </w:rPr>
        <w:t xml:space="preserve">← بشاقش ماهی ← چار نام</w:t>
      </w:r>
    </w:p>
    <w:p>
      <w:pPr>
        <w:pStyle w:val="BookText"/>
      </w:pPr>
      <w:r>
        <w:rPr>
          <w:rFonts w:ascii="IRNazanin" w:hAnsi="IRNazanin" w:eastAsia="IRNazanin" w:cs="IRNazanin"/>
          <w:lang w:bidi="fa-IR"/>
          <w:color w:val="111111"/>
          <w:sz w:val="28"/>
          <w:szCs w:val="28"/>
          <w:rtl/>
        </w:rPr>
        <w:t xml:space="preserve">←بشر کامل ← کوکب دری حجاز</w:t>
      </w:r>
    </w:p>
    <w:p>
      <w:pPr>
        <w:pStyle w:val="Heading3"/>
      </w:pPr>
      <w:bookmarkStart w:id="781" w:name="_Toc41"/>
      <w:r>
        <w:t>• بشر و بشاشت / قیافه شناسی - فارسی</w:t>
      </w:r>
      <w:bookmarkEnd w:id="781"/>
    </w:p>
    <w:p>
      <w:pPr>
        <w:pStyle w:val="BookText"/>
      </w:pPr>
      <w:r>
        <w:rPr>
          <w:rFonts w:ascii="Times New Roman" w:hAnsi="Times New Roman" w:eastAsia="Times New Roman" w:cs="Times New Roman"/>
          <w:lang w:val="en-US" w:bidi="en-US"/>
          <w:color w:val="111111"/>
          <w:sz w:val="28"/>
          <w:szCs w:val="28"/>
          <w:rtl/>
        </w:rPr>
        <w:t xml:space="preserve">bešr va bešāšat</w:t>
      </w:r>
    </w:p>
    <w:p>
      <w:pPr>
        <w:pStyle w:val="BookText"/>
      </w:pPr>
      <w:r>
        <w:rPr>
          <w:rFonts w:ascii="IRNazanin" w:hAnsi="IRNazanin" w:eastAsia="IRNazanin" w:cs="IRNazanin"/>
          <w:lang w:bidi="fa-IR"/>
          <w:color w:val="111111"/>
          <w:sz w:val="28"/>
          <w:szCs w:val="28"/>
          <w:rtl/>
        </w:rPr>
        <w:t xml:space="preserve">همدان؛ مدرسه غرب؛ شماره نسخه: ۷۸۳/۲</w:t>
      </w:r>
    </w:p>
    <w:p>
      <w:pPr>
        <w:pStyle w:val="BookText"/>
      </w:pPr>
      <w:r>
        <w:rPr>
          <w:rFonts w:ascii="IRNazanin" w:hAnsi="IRNazanin" w:eastAsia="IRNazanin" w:cs="IRNazanin"/>
          <w:lang w:bidi="fa-IR"/>
          <w:color w:val="111111"/>
          <w:sz w:val="28"/>
          <w:szCs w:val="28"/>
          <w:rtl/>
        </w:rPr>
        <w:t xml:space="preserve">آغاز و ترش روئی از جمله افراد آذی است که در این دو آیت وافی هدایت نهی از آن واقع شده هر چند مناسب چنان بود که فقرات اعجاز آیات این کتاب مستطاب؛ انجام: ترش روئی ای خواجه گر کار تست *** گره بر جبین نیست بر کار تست. يستدل علی کرم الرجل بحسن بشره و بذل بره. استدلال کرده می شود بر کریم بودن اصل مرد بخوبی گشاده روئی او و بخشش احسان او تم الباب الحادي عشر و يتلوه الثاني عشر انشاء الله تعالى في سنة</w:t>
      </w:r>
    </w:p>
    <w:p>
      <w:pPr>
        <w:pStyle w:val="BookText"/>
      </w:pPr>
      <w:r>
        <w:rPr>
          <w:rFonts w:ascii="IRNazanin" w:hAnsi="IRNazanin" w:eastAsia="IRNazanin" w:cs="IRNazanin"/>
          <w:lang w:bidi="fa-IR"/>
          <w:color w:val="111111"/>
          <w:sz w:val="28"/>
          <w:szCs w:val="28"/>
          <w:rtl/>
        </w:rPr>
        <w:t xml:space="preserve">۱۱۱۷</w:t>
      </w:r>
    </w:p>
    <w:p>
      <w:pPr>
        <w:pStyle w:val="BookText"/>
      </w:pPr>
      <w:r>
        <w:rPr>
          <w:rFonts w:ascii="IRNazanin" w:hAnsi="IRNazanin" w:eastAsia="IRNazanin" w:cs="IRNazanin"/>
          <w:lang w:bidi="fa-IR"/>
          <w:color w:val="111111"/>
          <w:sz w:val="28"/>
          <w:szCs w:val="28"/>
          <w:rtl/>
        </w:rPr>
        <w:t xml:space="preserve">خط: نستعلیق، بی کا، تا: ۱۱۱۷ق؛ ۱۴ص(۲۷-۴۰)، قطع: ربعی[ رشت و همدان: ف: ۱۴۴۵]</w:t>
      </w:r>
    </w:p>
    <w:p>
      <w:pPr>
        <w:pStyle w:val="Heading3"/>
      </w:pPr>
      <w:bookmarkStart w:id="782" w:name="_Toc42"/>
      <w:r>
        <w:t>• بشرویه / جغرافیا، تاریخ ایران / فارسی</w:t>
      </w:r>
      <w:bookmarkEnd w:id="782"/>
    </w:p>
    <w:p>
      <w:pPr>
        <w:pStyle w:val="BookText"/>
      </w:pPr>
      <w:r>
        <w:rPr>
          <w:rFonts w:ascii="Times New Roman" w:hAnsi="Times New Roman" w:eastAsia="Times New Roman" w:cs="Times New Roman"/>
          <w:lang w:val="en-US" w:bidi="en-US"/>
          <w:color w:val="111111"/>
          <w:sz w:val="28"/>
          <w:szCs w:val="28"/>
          <w:rtl/>
        </w:rPr>
        <w:t xml:space="preserve">bošrūye</w:t>
      </w:r>
    </w:p>
    <w:p>
      <w:pPr>
        <w:pStyle w:val="BookText"/>
      </w:pPr>
      <w:r>
        <w:rPr>
          <w:rFonts w:ascii="IRNazanin" w:hAnsi="IRNazanin" w:eastAsia="IRNazanin" w:cs="IRNazanin"/>
          <w:lang w:bidi="fa-IR"/>
          <w:color w:val="111111"/>
          <w:sz w:val="28"/>
          <w:szCs w:val="28"/>
          <w:rtl/>
        </w:rPr>
        <w:t xml:space="preserve">تهران؛ ملک، شماره نسخه: ۴۳۳۰/۲۰</w:t>
      </w:r>
    </w:p>
    <w:p>
      <w:pPr>
        <w:pStyle w:val="BookText"/>
      </w:pPr>
      <w:r>
        <w:rPr>
          <w:rFonts w:ascii="IRNazanin" w:hAnsi="IRNazanin" w:eastAsia="IRNazanin" w:cs="IRNazanin"/>
          <w:lang w:bidi="fa-IR"/>
          <w:color w:val="111111"/>
          <w:sz w:val="28"/>
          <w:szCs w:val="28"/>
          <w:rtl/>
        </w:rPr>
        <w:t xml:space="preserve">خط: شکسته نستعلیق، بی کا، تا: قرن ۱۳ [ف: ۷-۳۵۶]</w:t>
      </w:r>
    </w:p>
    <w:p>
      <w:pPr>
        <w:pStyle w:val="BookText"/>
      </w:pPr>
      <w:r>
        <w:rPr>
          <w:rFonts w:ascii="IRNazanin" w:hAnsi="IRNazanin" w:eastAsia="IRNazanin" w:cs="IRNazanin"/>
          <w:lang w:bidi="fa-IR"/>
          <w:color w:val="111111"/>
          <w:sz w:val="28"/>
          <w:szCs w:val="28"/>
          <w:rtl/>
        </w:rPr>
        <w:t xml:space="preserve">د بشري الكئيب بلقاء الحبيب / حديث / عربی</w:t>
      </w:r>
    </w:p>
    <w:p>
      <w:pPr>
        <w:pStyle w:val="BookText"/>
      </w:pPr>
      <w:r>
        <w:rPr>
          <w:rFonts w:ascii="Times New Roman" w:hAnsi="Times New Roman" w:eastAsia="Times New Roman" w:cs="Times New Roman"/>
          <w:lang w:val="en-US" w:bidi="en-US"/>
          <w:color w:val="111111"/>
          <w:sz w:val="28"/>
          <w:szCs w:val="28"/>
          <w:rtl/>
        </w:rPr>
        <w:t xml:space="preserve">bušra-1 ka’īb bi-liqā'-il habīb</w:t>
      </w:r>
    </w:p>
    <w:p>
      <w:pPr>
        <w:pStyle w:val="BookText"/>
      </w:pPr>
      <w:r>
        <w:rPr>
          <w:rFonts w:ascii="IRNazanin" w:hAnsi="IRNazanin" w:eastAsia="IRNazanin" w:cs="IRNazanin"/>
          <w:lang w:bidi="fa-IR"/>
          <w:color w:val="111111"/>
          <w:sz w:val="28"/>
          <w:szCs w:val="28"/>
          <w:rtl/>
        </w:rPr>
        <w:t xml:space="preserve">سیوطی، عبدالرحمن بن ابی بکر، ۸۴۹-۹۱۱ قمری</w:t>
      </w:r>
    </w:p>
    <w:p>
      <w:pPr>
        <w:pStyle w:val="BookText"/>
      </w:pPr>
      <w:r>
        <w:rPr>
          <w:rFonts w:ascii="Times New Roman" w:hAnsi="Times New Roman" w:eastAsia="Times New Roman" w:cs="Times New Roman"/>
          <w:lang w:val="en-US" w:bidi="en-US"/>
          <w:color w:val="111111"/>
          <w:sz w:val="28"/>
          <w:szCs w:val="28"/>
          <w:rtl/>
        </w:rPr>
        <w:t xml:space="preserve">soyūtī, 'abd-or-rahmān ebn-e abī-bakr (1446-1506)</w:t>
      </w:r>
    </w:p>
    <w:p>
      <w:pPr>
        <w:pStyle w:val="BookText"/>
      </w:pPr>
      <w:r>
        <w:rPr>
          <w:rFonts w:ascii="IRNazanin" w:hAnsi="IRNazanin" w:eastAsia="IRNazanin" w:cs="IRNazanin"/>
          <w:lang w:bidi="fa-IR"/>
          <w:color w:val="111111"/>
          <w:sz w:val="28"/>
          <w:szCs w:val="28"/>
          <w:rtl/>
        </w:rPr>
        <w:t xml:space="preserve">وابسته به: شرح الصدور في شرح حال الموتی و القبور؛ سیوطی، عبدالرحمن بن ابی بکر (۸۴۹-۹۱۱)</w:t>
      </w:r>
    </w:p>
    <w:p>
      <w:pPr>
        <w:pStyle w:val="BookText"/>
      </w:pPr>
      <w:r>
        <w:rPr>
          <w:rFonts w:ascii="IRNazanin" w:hAnsi="IRNazanin" w:eastAsia="IRNazanin" w:cs="IRNazanin"/>
          <w:lang w:bidi="fa-IR"/>
          <w:color w:val="111111"/>
          <w:sz w:val="28"/>
          <w:szCs w:val="28"/>
          <w:rtl/>
        </w:rPr>
        <w:t xml:space="preserve">احادیثی است درباره احوال مرگ و آنچه مؤمن در این حال و در قبر می بیند، با نام منابع در آغاز هر حديث و حذف اسناد آنها، مختصر از کتاب مفصلی است که مؤلف در احوال برزخ تألیف کرده بود.</w:t>
      </w:r>
    </w:p>
    <w:p>
      <w:pPr>
        <w:pStyle w:val="BookText"/>
      </w:pPr>
      <w:r>
        <w:rPr>
          <w:rFonts w:ascii="IRNazanin" w:hAnsi="IRNazanin" w:eastAsia="IRNazanin" w:cs="IRNazanin"/>
          <w:lang w:bidi="fa-IR"/>
          <w:color w:val="111111"/>
          <w:sz w:val="28"/>
          <w:szCs w:val="28"/>
          <w:rtl/>
        </w:rPr>
        <w:t xml:space="preserve">آغاز: الحمدلله و کفی ... هذا جزء سميته بشرى الكئيب بلقاء الحبيب لخفته من كتابي الكبير الذي ألفته في أحوال البرزخ</w:t>
      </w:r>
    </w:p>
    <w:p>
      <w:pPr>
        <w:pStyle w:val="BookText"/>
      </w:pPr>
      <w:r>
        <w:rPr>
          <w:rFonts w:ascii="IRNazanin" w:hAnsi="IRNazanin" w:eastAsia="IRNazanin" w:cs="IRNazanin"/>
          <w:lang w:bidi="fa-IR"/>
          <w:color w:val="111111"/>
          <w:sz w:val="28"/>
          <w:szCs w:val="28"/>
          <w:rtl/>
        </w:rPr>
        <w:t xml:space="preserve">انجام: اولاد المؤمنين في جبل في الجنة يكفلهم ابراهیم و سارة حتى يردهم الى آبائهم يوم القيامة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9" w:name="pg20363_209158"/>
    <w:bookmarkEnd w:id="19"/>
    <w:p>
      <w:pPr>
        <w:pStyle w:val="BookText"/>
      </w:pPr>
      <w:r>
        <w:rPr>
          <w:rFonts w:ascii="IRNazanin" w:hAnsi="IRNazanin" w:eastAsia="IRNazanin" w:cs="IRNazanin"/>
          <w:lang w:bidi="fa-IR"/>
          <w:color w:val="111111"/>
          <w:sz w:val="28"/>
          <w:szCs w:val="28"/>
          <w:rtl/>
        </w:rPr>
        <w:t xml:space="preserve">چاپ: قاهره، مطبعة دار احیاء الكتب العربية، ۱۲۷۶ و ۱۳۲۹ق، ۱۳۹ص، على هامش کتاب شرح الصدور بشرح حال الموتی والقبور.</w:t>
      </w:r>
    </w:p>
    <w:p>
      <w:pPr>
        <w:pStyle w:val="BookText"/>
      </w:pPr>
      <w:r>
        <w:rPr>
          <w:rFonts w:ascii="IRNazanin" w:hAnsi="IRNazanin" w:eastAsia="IRNazanin" w:cs="IRNazanin"/>
          <w:lang w:bidi="fa-IR"/>
          <w:color w:val="111111"/>
          <w:sz w:val="28"/>
          <w:szCs w:val="28"/>
          <w:rtl/>
        </w:rPr>
        <w:t xml:space="preserve">[ کشف الظنون ۲۴۶/۱ ؛ معجم المطبوعات ۱۰۷۶/۱ و ۱۰۸۱؛ ذخائر التراث العربي الاسلامی ۵۹۱/۱ ؛ بروکلمان ۲: ۱۴۶، ذیل ۲: ۳۰-۱۳۲؛ معجم المؤلفين ۱۲۸/۵ ]</w:t>
      </w:r>
    </w:p>
    <w:p>
      <w:pPr>
        <w:pStyle w:val="BookText"/>
      </w:pPr>
      <w:r>
        <w:rPr>
          <w:rFonts w:ascii="IRNazanin" w:hAnsi="IRNazanin" w:eastAsia="IRNazanin" w:cs="IRNazanin"/>
          <w:lang w:bidi="fa-IR"/>
          <w:color w:val="111111"/>
          <w:sz w:val="28"/>
          <w:szCs w:val="28"/>
          <w:rtl/>
        </w:rPr>
        <w:t xml:space="preserve">۱. تهران؛ مجلس؛ شماره نسخه: ۱۲۷۵/۱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۱۳، نوشته ۱۱۲۳؛ کاغذ: سفید، جلد: مقوایی، عطف و دور تیماج قهوه ای با لولا، ۴۷ص (۱-۴۷)، ۱۷ سطر [سنا: ف: ۲-۲۰۵]</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نسخه:۱۰۱۷۳/۳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۱۳؛ جلد: تیماج مشکی، ۱۹گ (۵۲پ - ۷۰پ)، اندازه: ۱۳/۵</w:t>
      </w:r>
      <w:r>
        <w:rPr>
          <w:rFonts w:ascii="Times New Roman" w:hAnsi="Times New Roman" w:eastAsia="Times New Roman" w:cs="Times New Roman"/>
          <w:lang w:val="en-US" w:bidi="en-US"/>
          <w:color w:val="111111"/>
          <w:sz w:val="28"/>
          <w:szCs w:val="28"/>
          <w:rtl/>
        </w:rPr>
        <w:t xml:space="preserve">×5/ </w:t>
      </w:r>
      <w:r>
        <w:rPr>
          <w:rFonts w:ascii="IRNazanin" w:hAnsi="IRNazanin" w:eastAsia="IRNazanin" w:cs="IRNazanin"/>
          <w:lang w:bidi="fa-IR"/>
          <w:color w:val="111111"/>
          <w:sz w:val="28"/>
          <w:szCs w:val="28"/>
          <w:rtl/>
        </w:rPr>
        <w:t xml:space="preserve">۲۰سم [ف: ۲۶-۱۲۸]</w:t>
      </w:r>
    </w:p>
    <w:p>
      <w:pPr>
        <w:pStyle w:val="BookText"/>
      </w:pPr>
      <w:r>
        <w:rPr>
          <w:rFonts w:ascii="IRNazanin" w:hAnsi="IRNazanin" w:eastAsia="IRNazanin" w:cs="IRNazanin"/>
          <w:lang w:bidi="fa-IR"/>
          <w:color w:val="111111"/>
          <w:sz w:val="28"/>
          <w:szCs w:val="28"/>
          <w:rtl/>
        </w:rPr>
        <w:t xml:space="preserve">٣. قم؛ مرکز احیاء؛ شماره نسخه: ۱۷۴۳/۱</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نسخه اصل: کتابخانه ای در نجف اشرف؛ خط: نسخ، بی کا، بی تا؛ مجدول ساده؛ ۲۳ ص (۱-۲۳) [عکسی ف: ۵-۱۹۸]</w:t>
      </w:r>
    </w:p>
    <w:p>
      <w:pPr>
        <w:pStyle w:val="Heading3"/>
      </w:pPr>
      <w:bookmarkStart w:id="783" w:name="_Toc43"/>
      <w:r>
        <w:t>• بشری اللبیب بذکر الحبیب / فضایل و مناقب / عربی</w:t>
      </w:r>
      <w:bookmarkEnd w:id="783"/>
    </w:p>
    <w:p>
      <w:pPr>
        <w:pStyle w:val="BookText"/>
      </w:pPr>
      <w:r>
        <w:rPr>
          <w:rFonts w:ascii="Times New Roman" w:hAnsi="Times New Roman" w:eastAsia="Times New Roman" w:cs="Times New Roman"/>
          <w:lang w:val="en-US" w:bidi="en-US"/>
          <w:color w:val="111111"/>
          <w:sz w:val="28"/>
          <w:szCs w:val="28"/>
          <w:rtl/>
        </w:rPr>
        <w:t xml:space="preserve">bušra-1 labīb bi-dikr-il ḥabīb</w:t>
      </w:r>
    </w:p>
    <w:p>
      <w:pPr>
        <w:pStyle w:val="BookText"/>
      </w:pPr>
      <w:r>
        <w:rPr>
          <w:rFonts w:ascii="IRNazanin" w:hAnsi="IRNazanin" w:eastAsia="IRNazanin" w:cs="IRNazanin"/>
          <w:lang w:bidi="fa-IR"/>
          <w:color w:val="111111"/>
          <w:sz w:val="28"/>
          <w:szCs w:val="28"/>
          <w:rtl/>
        </w:rPr>
        <w:t xml:space="preserve">ابن سيد الناس، محمد بن محمد، ۶۷۱-۷۳۴ قمری</w:t>
      </w:r>
    </w:p>
    <w:p>
      <w:pPr>
        <w:pStyle w:val="BookText"/>
      </w:pPr>
      <w:r>
        <w:rPr>
          <w:rFonts w:ascii="Times New Roman" w:hAnsi="Times New Roman" w:eastAsia="Times New Roman" w:cs="Times New Roman"/>
          <w:lang w:val="en-US" w:bidi="en-US"/>
          <w:color w:val="111111"/>
          <w:sz w:val="28"/>
          <w:szCs w:val="28"/>
          <w:rtl/>
        </w:rPr>
        <w:t xml:space="preserve">ebn-e sayyed-on-nās, mohammad ebn-e mohammad (1273-1334)</w:t>
      </w:r>
    </w:p>
    <w:p>
      <w:pPr>
        <w:pStyle w:val="BookText"/>
      </w:pPr>
      <w:r>
        <w:rPr>
          <w:rFonts w:ascii="IRNazanin" w:hAnsi="IRNazanin" w:eastAsia="IRNazanin" w:cs="IRNazanin"/>
          <w:lang w:bidi="fa-IR"/>
          <w:color w:val="111111"/>
          <w:sz w:val="28"/>
          <w:szCs w:val="28"/>
          <w:rtl/>
        </w:rPr>
        <w:t xml:space="preserve">بیست و نه چکامه است به شماره حرف های الفباء عرب و قافيه هر چکامه یکی از آن حرف هاست و آنها را به همان ترتیب رده کرده است، چنانکه نخستین چکامه به قافیه همزه و آخرین آنها به قافیه یاء است. همه آنها در ستایش پیغمبر اسلام می باشد. در پایان برخی از آنها واژه های دشوار آن را گزارش نموده است. چاپ: قسمتی از آن در ستر السند، ۱۴۴ ص، ۱۸۱۵م چاپ شده.</w:t>
      </w:r>
    </w:p>
    <w:p>
      <w:pPr>
        <w:pStyle w:val="BookText"/>
      </w:pPr>
      <w:r>
        <w:rPr>
          <w:rFonts w:ascii="IRNazanin" w:hAnsi="IRNazanin" w:eastAsia="IRNazanin" w:cs="IRNazanin"/>
          <w:lang w:bidi="fa-IR"/>
          <w:color w:val="111111"/>
          <w:sz w:val="28"/>
          <w:szCs w:val="28"/>
          <w:rtl/>
        </w:rPr>
        <w:t xml:space="preserve">تهران؛ دانشگاه؛ شماره نسخه: ۱۶۰</w:t>
      </w:r>
    </w:p>
    <w:p>
      <w:pPr>
        <w:pStyle w:val="BookText"/>
      </w:pPr>
      <w:r>
        <w:rPr>
          <w:rFonts w:ascii="IRNazanin" w:hAnsi="IRNazanin" w:eastAsia="IRNazanin" w:cs="IRNazanin"/>
          <w:lang w:bidi="fa-IR"/>
          <w:color w:val="111111"/>
          <w:sz w:val="28"/>
          <w:szCs w:val="28"/>
          <w:rtl/>
        </w:rPr>
        <w:t xml:space="preserve">آغاز: یا خليلي ليلة الجوزاء *** ما احتبالي في المقلة الحوراء؛ انجام: و ما اشرق البدر المنير كحسنه *** و انی له ذاك الجمال محاكيا. آخر قصايد الكتاب المسمی بشرى اللبيب بذكرى الحبيب خط: نسخ، بی کا، بی تا، نسخه بسیار گرانبها و سلطنتی، مصحح، مجدول، مذهب؛ نسخه برای کتابخانه عاليه مولویه امیریه کبیریه مخدومیه ناصریه بن فضل الله، اجازه به خط سراینده ابن سید الناس برای دارنده نسخه که یکی از امراء به نام محمد بن ابی محمد فضل الله(صاحب خزانه)و سه نفر دیگر به نام عبدالله بن ابراهیم و محمد بن محمد و محمد بن عبدالرحمان، و در آن مجلس خود امیر «بشرى اللبيب» را بلند خوانده و باقی شنیده اند. صورت اجازه این است: «سمع على هذه القصايد من نظمی؛ قصايد الكتاب المسمى بشرى اللبيب بذكرى الحبيب صلى الله عليه و على آله و صحيه و سلم، بقرائة مالكها الجناب العالي المولوی الاميري العالمى السيدي الناصری؛ محمد بن الجناب العالي الاميري الصلاحي ابن المعز الشريف. العالمي المولوى الامامی العلامی ... يمين الملوك و السلاطين ابی محمد عبدالوهاب بن فضل الله العدوى العمري ضاعف الله شرفه و رحم سلفه؛ الجماعة السادة السيد الشيخ الامام تقی الدین ابو محمد عبدالله بن ابراهیم بن افتخار الحلبي، و الشيخ شمس الدين محمد بن محمد بن عبدالله المعروف بالواعظ و الشيخ الإمام العلامة شمس الدين محمد بن عبدالرحمان بن على بن الصائغ. و صح و ثبت في مجلس واحد يوم الأربعاء الثالث خلون من جمادى الآخرة سنة احدى و ثلاثين و سبع مائة. و اجزت لهم ما ارویه و مالی من نظم و نثر. و كتب محمد بن محمد بن محمد بن احمد بن سید الناس ابوالفتح اليعمري الربعي سامحه الله تعالی. الحمدلله و صلى الله على سید المرسلین محمد و على آل محمد و صحبه و سلم تسليما»؛ کاغذ: سمرقندی، جلد: تیماج قهوه تریاکی رنگ کهنه ضربی یک لا، ۶۶گ، ۱۳ سطر (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۲-۶]</w:t>
      </w:r>
    </w:p>
    <w:p>
      <w:pPr>
        <w:pStyle w:val="BookText"/>
      </w:pPr>
      <w:r>
        <w:rPr>
          <w:rFonts w:ascii="IRNazanin" w:hAnsi="IRNazanin" w:eastAsia="IRNazanin" w:cs="IRNazanin"/>
          <w:lang w:bidi="fa-IR"/>
          <w:color w:val="111111"/>
          <w:sz w:val="28"/>
          <w:szCs w:val="28"/>
          <w:rtl/>
        </w:rPr>
        <w:t xml:space="preserve">تهران؛ دانشگاه؛ شماره نسخه: ۵۰۱۳ف</w:t>
      </w:r>
    </w:p>
    <w:p>
      <w:pPr>
        <w:pStyle w:val="BookText"/>
      </w:pPr>
      <w:r>
        <w:rPr>
          <w:rFonts w:ascii="IRNazanin" w:hAnsi="IRNazanin" w:eastAsia="IRNazanin" w:cs="IRNazanin"/>
          <w:lang w:bidi="fa-IR"/>
          <w:color w:val="111111"/>
          <w:sz w:val="28"/>
          <w:szCs w:val="28"/>
          <w:rtl/>
        </w:rPr>
        <w:t xml:space="preserve">نسخه اصل: همان نسخه بالا [فیلمها ف: ۳-۱۲۲]</w:t>
      </w:r>
    </w:p>
    <w:p>
      <w:pPr>
        <w:pStyle w:val="Heading3"/>
      </w:pPr>
      <w:bookmarkStart w:id="784" w:name="_Toc44"/>
      <w:r>
        <w:t>• بشرى الوصول الى اسرار علم الأصول / اصول فقه / عربی</w:t>
      </w:r>
      <w:bookmarkEnd w:id="784"/>
    </w:p>
    <w:p>
      <w:pPr>
        <w:pStyle w:val="BookText"/>
      </w:pPr>
      <w:r>
        <w:rPr>
          <w:rFonts w:ascii="Times New Roman" w:hAnsi="Times New Roman" w:eastAsia="Times New Roman" w:cs="Times New Roman"/>
          <w:lang w:val="en-US" w:bidi="en-US"/>
          <w:color w:val="111111"/>
          <w:sz w:val="28"/>
          <w:szCs w:val="28"/>
          <w:rtl/>
        </w:rPr>
        <w:t xml:space="preserve">bušra-l wuşūl ilā asrār-i ‘ilm-il usūl</w:t>
      </w:r>
    </w:p>
    <w:p>
      <w:pPr>
        <w:pStyle w:val="BookText"/>
      </w:pPr>
      <w:r>
        <w:rPr>
          <w:rFonts w:ascii="IRNazanin" w:hAnsi="IRNazanin" w:eastAsia="IRNazanin" w:cs="IRNazanin"/>
          <w:lang w:bidi="fa-IR"/>
          <w:color w:val="111111"/>
          <w:sz w:val="28"/>
          <w:szCs w:val="28"/>
          <w:rtl/>
        </w:rPr>
        <w:t xml:space="preserve">مامقانی، محمد حسن بن عبدالله، ۱۲۳۷-۱۳۲۳ قمری</w:t>
      </w:r>
    </w:p>
    <w:p>
      <w:pPr>
        <w:pStyle w:val="BookText"/>
      </w:pPr>
      <w:r>
        <w:rPr>
          <w:rFonts w:ascii="Times New Roman" w:hAnsi="Times New Roman" w:eastAsia="Times New Roman" w:cs="Times New Roman"/>
          <w:lang w:val="en-US" w:bidi="en-US"/>
          <w:color w:val="111111"/>
          <w:sz w:val="28"/>
          <w:szCs w:val="28"/>
          <w:rtl/>
        </w:rPr>
        <w:t xml:space="preserve">māmaqānī, mohammad hasan ebn-e ‘abd-ol-lāh (1822 1905)</w:t>
      </w:r>
    </w:p>
    <w:p>
      <w:pPr>
        <w:pStyle w:val="BookText"/>
      </w:pPr>
      <w:r>
        <w:rPr>
          <w:rFonts w:ascii="IRNazanin" w:hAnsi="IRNazanin" w:eastAsia="IRNazanin" w:cs="IRNazanin"/>
          <w:lang w:bidi="fa-IR"/>
          <w:color w:val="111111"/>
          <w:sz w:val="28"/>
          <w:szCs w:val="28"/>
          <w:rtl/>
        </w:rPr>
        <w:t xml:space="preserve">تاریخ تأليف: یکشنبه ۲۲ شوال ۱۲۸۲ق؛ محل تأليف: نجف این کتاب، تقریرات درس استادش شیخ انصاری و سید حسین تبریزی کوه کمری می باشد که آن را با نثری روان و شیرین و منسجم در هشت مجلد تأليف نموده است: ۱. مباحث تعارض تا اوایل نواهی؛ ۲. از آغاز بحث نهی از ضد تا آخر اجتماع امر و نهی؛ ۳. از نهى در عبادات تا بناء عام که در سال ۱۲۷۶ ق از تألیف این بخش فارغ گردیده است؛ ۴. از بناء العام على الخاص و اجماع تا آخر شهرت که این قسمت را در روز یک شنبه ۱۲ ربيع الثانی ۱۲۷۷ ق در نجف اشرف ساخته است؛ ۵. مبحث قطع و ظن که در ۱۲۷۸ق آن را ساخته؛ ۶. بحث اصالت البرائة که در ۱۲۸۰ق آن را تأليف نموده؛ 7. استصحاب تأليف ۱۴ رجب ۱۲۸۱ق؛ ۸ اجتهاد و تقلید و تعادل و ترجیح که تاریخ فراغت از تأليف آن ۱۲۸۲ق است. صاحب الذريعة می گوید: «مؤلف در این کتاب تصریح کرده که مراد او از استاد، سید حسین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کوهکمری متوفی سال ۱۲۹۹ ق می باشد و از برخی ثقات شنیده ام که این کتاب مرجع استادش در تدریس اواخر عمر او بود و بر این کتاب اعتماد داشته است زیرا این کتاب تقریر دروس سابق خود او بوده است».</w:t>
      </w:r>
    </w:p>
    <w:p>
      <w:pPr>
        <w:pStyle w:val="BookText"/>
      </w:pPr>
      <w:r>
        <w:rPr>
          <w:rFonts w:ascii="IRNazanin" w:hAnsi="IRNazanin" w:eastAsia="IRNazanin" w:cs="IRNazanin"/>
          <w:lang w:bidi="fa-IR"/>
          <w:color w:val="111111"/>
          <w:sz w:val="28"/>
          <w:szCs w:val="28"/>
          <w:rtl/>
        </w:rPr>
        <w:t xml:space="preserve">آغاز: بسمله، وبه نستعين، الحمدلله الذي اسس اساس الدين و هدانا سبيل المهتدين والصلوة ... و بعد فيقول العبد الجاني القانی اسير الامال و الأماني محمد حسن بن عبدالله المامقانی</w:t>
      </w:r>
    </w:p>
    <w:p>
      <w:pPr>
        <w:pStyle w:val="BookText"/>
      </w:pPr>
      <w:r>
        <w:rPr>
          <w:rFonts w:ascii="IRNazanin" w:hAnsi="IRNazanin" w:eastAsia="IRNazanin" w:cs="IRNazanin"/>
          <w:lang w:bidi="fa-IR"/>
          <w:color w:val="111111"/>
          <w:sz w:val="28"/>
          <w:szCs w:val="28"/>
          <w:rtl/>
        </w:rPr>
        <w:t xml:space="preserve">[الذريعة ۳/ ۱۲۰؛ ریحانة الأدب ۱۵۹/۵ ؛ معجم مؤلفي الشيعة ۳۸۲، شرح حال رجال ایران ۲۲۸/۵ ]</w:t>
      </w:r>
    </w:p>
    <w:p>
      <w:pPr>
        <w:pStyle w:val="BookText"/>
      </w:pPr>
      <w:r>
        <w:rPr>
          <w:rFonts w:ascii="IRNazanin" w:hAnsi="IRNazanin" w:eastAsia="IRNazanin" w:cs="IRNazanin"/>
          <w:lang w:bidi="fa-IR"/>
          <w:color w:val="111111"/>
          <w:sz w:val="28"/>
          <w:szCs w:val="28"/>
          <w:rtl/>
        </w:rPr>
        <w:t xml:space="preserve">۱. تهران؛ دانشگاه؛ شماره نسخه: ۸۰۴</w:t>
      </w:r>
    </w:p>
    <w:p>
      <w:pPr>
        <w:pStyle w:val="BookText"/>
      </w:pPr>
      <w:r>
        <w:rPr>
          <w:rFonts w:ascii="IRNazanin" w:hAnsi="IRNazanin" w:eastAsia="IRNazanin" w:cs="IRNazanin"/>
          <w:lang w:bidi="fa-IR"/>
          <w:color w:val="111111"/>
          <w:sz w:val="28"/>
          <w:szCs w:val="28"/>
          <w:rtl/>
        </w:rPr>
        <w:t xml:space="preserve">آغاز: بسمله و به نستعين. الحمدلله و سلام على عباده ... فيقول ... محمد حسن بن عبدالله المامقانی آن هذا هو الجزء الثالث من کتاب بشرى الوصول الى اسرار علم الاصول؛ انجام: هذا تمام الكلام في المسئلة و يتلوه الكلام في بناء العام على الخاص انشاء الله تعالی ... و قد اتفق الفراغ من تحريره ... محمد حسن بن عبدالله المامقانی جامع هذا الكتاب في النجف الأشرف على مشرفها الصلوة و السلام سنة ۱۲۷۶.</w:t>
      </w:r>
    </w:p>
    <w:p>
      <w:pPr>
        <w:pStyle w:val="BookText"/>
      </w:pPr>
      <w:r>
        <w:rPr>
          <w:rFonts w:ascii="IRNazanin" w:hAnsi="IRNazanin" w:eastAsia="IRNazanin" w:cs="IRNazanin"/>
          <w:lang w:bidi="fa-IR"/>
          <w:color w:val="111111"/>
          <w:sz w:val="28"/>
          <w:szCs w:val="28"/>
          <w:rtl/>
        </w:rPr>
        <w:t xml:space="preserve">جزء سوم و از نهی در عبادات تا تخصيص عام به نیت؛ کاتب = مؤلف، تا: ۱۲۷۶ق، جا: نجف؛ کاغذ: فرنگی، جلد: تیماج سرخ ضربی مقوایی، ۲۱۴گ، ۲۱ سطر (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۵-۱۶۶۲]</w:t>
      </w:r>
    </w:p>
    <w:p>
      <w:pPr>
        <w:pStyle w:val="BookText"/>
      </w:pPr>
      <w:r>
        <w:rPr>
          <w:rFonts w:ascii="IRNazanin" w:hAnsi="IRNazanin" w:eastAsia="IRNazanin" w:cs="IRNazanin"/>
          <w:lang w:bidi="fa-IR"/>
          <w:color w:val="111111"/>
          <w:sz w:val="28"/>
          <w:szCs w:val="28"/>
          <w:rtl/>
        </w:rPr>
        <w:t xml:space="preserve">۲. تهران، دانشگاه؛ شماره نسخه: ۸۰۵</w:t>
      </w:r>
    </w:p>
    <w:p>
      <w:pPr>
        <w:pStyle w:val="BookText"/>
      </w:pPr>
      <w:r>
        <w:rPr>
          <w:rFonts w:ascii="IRNazanin" w:hAnsi="IRNazanin" w:eastAsia="IRNazanin" w:cs="IRNazanin"/>
          <w:lang w:bidi="fa-IR"/>
          <w:color w:val="111111"/>
          <w:sz w:val="28"/>
          <w:szCs w:val="28"/>
          <w:rtl/>
        </w:rPr>
        <w:t xml:space="preserve">آغاز: بسمله. و به نستعين. الحمدلله و سلام على عباده ... فيقول ... محمد حسن بن عبدالله المامقانی ان هذا هو الجزء الرابع من كتاب بشرى الوصول الى اسرار علم الاصول؛ انجام: فلابد من ملاحظة الادلة و التتبع و التأمل. و هذا مشى الكلام في هذا المقام و الحمدلله رب العالمين و يتلوه الكلام في حجيته القطع و الظن انشاء الله تعالی.</w:t>
      </w:r>
    </w:p>
    <w:p>
      <w:pPr>
        <w:pStyle w:val="BookText"/>
      </w:pPr>
      <w:r>
        <w:rPr>
          <w:rFonts w:ascii="IRNazanin" w:hAnsi="IRNazanin" w:eastAsia="IRNazanin" w:cs="IRNazanin"/>
          <w:lang w:bidi="fa-IR"/>
          <w:color w:val="111111"/>
          <w:sz w:val="28"/>
          <w:szCs w:val="28"/>
          <w:rtl/>
        </w:rPr>
        <w:t xml:space="preserve">جزء چهارم است و از بناء عام بر خاص تا اجماع منقول؛ خط: نسخ، كاتب = مؤلف، تا: یک شنبه ۱۲ ربیع الثانی ۱۲۷۷ق، جان نجف؛ در ۲ الف حاشیه «منه وفقه الله» دارد؛ کاغذ: فرنگی، جلد: تیماج سرخ ضربی مقوایی، ۲۴۲گ، ۲۰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۵-۱۶۶۳]</w:t>
      </w:r>
    </w:p>
    <w:p>
      <w:pPr>
        <w:pStyle w:val="BookText"/>
      </w:pPr>
      <w:r>
        <w:rPr>
          <w:rFonts w:ascii="IRNazanin" w:hAnsi="IRNazanin" w:eastAsia="IRNazanin" w:cs="IRNazanin"/>
          <w:lang w:bidi="fa-IR"/>
          <w:color w:val="111111"/>
          <w:sz w:val="28"/>
          <w:szCs w:val="28"/>
          <w:rtl/>
        </w:rPr>
        <w:t xml:space="preserve">٣. تهران؛ دانشگاه؛ شماره نسخه: ۸۰۷</w:t>
      </w:r>
    </w:p>
    <w:p>
      <w:pPr>
        <w:pStyle w:val="BookText"/>
      </w:pPr>
      <w:r>
        <w:rPr>
          <w:rFonts w:ascii="IRNazanin" w:hAnsi="IRNazanin" w:eastAsia="IRNazanin" w:cs="IRNazanin"/>
          <w:lang w:bidi="fa-IR"/>
          <w:color w:val="111111"/>
          <w:sz w:val="28"/>
          <w:szCs w:val="28"/>
          <w:rtl/>
        </w:rPr>
        <w:t xml:space="preserve">آغاز: بسمله. و به نستعین. الحمدلله و سلام على عباده ... فيقول ... محمد حسن بن عبدالله المامقانی ان هذا هو الجزء السابع من كتاب بشرى الوصول الى اسرار علم الاصول؛ انجام: و هذا منتهى الكلام في باب الاستصحاب و قد ساعدنا التوفيق على اتمامه ... بارض الغري ... في اليوم الرابع عشر من رجب المرجب من شهور سنة ۱۲۸۱ في النجف الاشرف و هذا هو الجزء السابع من تحرير ... محمد حسن بن عبدالله المامقانی و يتلوه الجزء الثامن في باب الاجتهاد و التقليد انشاء الله تعالى و الحمدلله اولا و آخرا و ظاهرا و باطنا.</w:t>
      </w:r>
    </w:p>
    <w:p>
      <w:pPr>
        <w:pStyle w:val="BookText"/>
      </w:pPr>
      <w:r>
        <w:rPr>
          <w:rFonts w:ascii="IRNazanin" w:hAnsi="IRNazanin" w:eastAsia="IRNazanin" w:cs="IRNazanin"/>
          <w:lang w:bidi="fa-IR"/>
          <w:color w:val="111111"/>
          <w:sz w:val="28"/>
          <w:szCs w:val="28"/>
          <w:rtl/>
        </w:rPr>
        <w:t xml:space="preserve">جزء ۷ و در استصحاب است؛ خط: نسخ، كاتب = مؤلف، تا: ۱۴ رجب ۱۲۸۱ق، جا: نجف؛ کاغذ: فرنگی، جلد: تیماج سرخ ضربی مقوایی، ۲۸۳گ، ۲۰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۵-۱۶۶۳]</w:t>
      </w:r>
    </w:p>
    <w:p>
      <w:pPr>
        <w:pStyle w:val="BookText"/>
      </w:pPr>
      <w:r>
        <w:rPr>
          <w:rFonts w:ascii="IRNazanin" w:hAnsi="IRNazanin" w:eastAsia="IRNazanin" w:cs="IRNazanin"/>
          <w:lang w:bidi="fa-IR"/>
          <w:color w:val="111111"/>
          <w:sz w:val="28"/>
          <w:szCs w:val="28"/>
          <w:rtl/>
        </w:rPr>
        <w:t xml:space="preserve">۴. قم؛ حجت کوهکمری؛ شماره نسخه: ۳/۳</w:t>
      </w:r>
    </w:p>
    <w:p>
      <w:pPr>
        <w:pStyle w:val="BookText"/>
      </w:pPr>
      <w:r>
        <w:rPr>
          <w:rFonts w:ascii="IRNazanin" w:hAnsi="IRNazanin" w:eastAsia="IRNazanin" w:cs="IRNazanin"/>
          <w:lang w:bidi="fa-IR"/>
          <w:color w:val="111111"/>
          <w:sz w:val="28"/>
          <w:szCs w:val="28"/>
          <w:rtl/>
        </w:rPr>
        <w:t xml:space="preserve">بحث استصحاب؛ خط: نسخ، كاتب = مؤلف، تا: ۱۴ رجب ۱۲۸۱ق، جا: نجف؛ مؤلف در آخر آن چنین آورده است: «و قد من الله عز شانه بالبحث و مراجعة الكتاب و تهذيبه و تصحيحه، و قد انتهى الى هذا المقام في شهر ثالث عن شهر ذي الحجة ۱۳۰۳»؛ محشی. [ف: ۱۸]</w:t>
      </w:r>
    </w:p>
    <w:p>
      <w:pPr>
        <w:pStyle w:val="BookText"/>
      </w:pPr>
      <w:r>
        <w:rPr>
          <w:rFonts w:ascii="IRNazanin" w:hAnsi="IRNazanin" w:eastAsia="IRNazanin" w:cs="IRNazanin"/>
          <w:lang w:bidi="fa-IR"/>
          <w:color w:val="111111"/>
          <w:sz w:val="28"/>
          <w:szCs w:val="28"/>
          <w:rtl/>
        </w:rPr>
        <w:t xml:space="preserve">۵. تهران: دانشگاه؛ شماره نسخه: ۸۰۸</w:t>
      </w:r>
    </w:p>
    <w:p>
      <w:pPr>
        <w:pStyle w:val="BookText"/>
      </w:pPr>
      <w:r>
        <w:rPr>
          <w:rFonts w:ascii="IRNazanin" w:hAnsi="IRNazanin" w:eastAsia="IRNazanin" w:cs="IRNazanin"/>
          <w:lang w:bidi="fa-IR"/>
          <w:color w:val="111111"/>
          <w:sz w:val="28"/>
          <w:szCs w:val="28"/>
          <w:rtl/>
        </w:rPr>
        <w:t xml:space="preserve">آغاز: بسمله. و به نستعين. الحمدلله و سلام على عباده ... فيقول ... محمد حسن بن عبدالله المامقانی آن هذا هو الجزء الثامن كتاب بشرى الوصول الى اسرار علم الاصول؛ انجام: و لهذا يقدمه الفقهاء على الأصل. وليكن هذا آخر الكلام في هذا الكتاب المسمى ببشرى الوصول الى اسرار علم الأصول. بشرى فقدا نجز الاقبال ما وعدا. و الحمدلله رب العالمين ... و قد وقع الفراغ منه المؤلفه ... محمد حسن بن عبدالله المامقاني في النجف الاشرف يوم الاحد ثانی و عشرين من شهر شوال المکرم من شهور سنة ۱۲۸۲ .</w:t>
      </w:r>
    </w:p>
    <w:p>
      <w:pPr>
        <w:pStyle w:val="BookText"/>
      </w:pPr>
      <w:r>
        <w:rPr>
          <w:rFonts w:ascii="IRNazanin" w:hAnsi="IRNazanin" w:eastAsia="IRNazanin" w:cs="IRNazanin"/>
          <w:lang w:bidi="fa-IR"/>
          <w:color w:val="111111"/>
          <w:sz w:val="28"/>
          <w:szCs w:val="28"/>
          <w:rtl/>
        </w:rPr>
        <w:t xml:space="preserve">جزء ۸ و در اجتهاد و تقلید و تعادل و تراجیح است؛ خط: نسخ، كاتب = مؤلف، تا: یک شنبه ۲۲ شوال ۱۲۸۲ق، جا: نجف؛ کاغذ: فرنگی، جلد: تیماج سرخ ضربی مقوایی، ۲۱۴گ، ۲۰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۵-۱۶۶۴]</w:t>
      </w:r>
    </w:p>
    <w:p>
      <w:pPr>
        <w:pStyle w:val="BookText"/>
      </w:pPr>
      <w:r>
        <w:rPr>
          <w:rFonts w:ascii="IRNazanin" w:hAnsi="IRNazanin" w:eastAsia="IRNazanin" w:cs="IRNazanin"/>
          <w:lang w:bidi="fa-IR"/>
          <w:color w:val="111111"/>
          <w:sz w:val="28"/>
          <w:szCs w:val="28"/>
          <w:rtl/>
        </w:rPr>
        <w:t xml:space="preserve">۶. قم؛ فیضیه؛ شماره نسخه: ۷۶۱</w:t>
      </w:r>
    </w:p>
    <w:p>
      <w:pPr>
        <w:pStyle w:val="BookText"/>
      </w:pPr>
      <w:r>
        <w:rPr>
          <w:rFonts w:ascii="IRNazanin" w:hAnsi="IRNazanin" w:eastAsia="IRNazanin" w:cs="IRNazanin"/>
          <w:lang w:bidi="fa-IR"/>
          <w:color w:val="111111"/>
          <w:sz w:val="28"/>
          <w:szCs w:val="28"/>
          <w:rtl/>
        </w:rPr>
        <w:t xml:space="preserve">آغاز: جلد پنجم: الحمد لله و سلام على عباده الذين اصطفی جلد پنجم؛ کاتب = مؤلف، بی تا، ۲۹۰گی، ۱۹سطر،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۱-۳۳]</w:t>
      </w:r>
    </w:p>
    <w:p>
      <w:pPr>
        <w:pStyle w:val="BookText"/>
      </w:pPr>
      <w:r>
        <w:rPr>
          <w:rFonts w:ascii="IRNazanin" w:hAnsi="IRNazanin" w:eastAsia="IRNazanin" w:cs="IRNazanin"/>
          <w:lang w:bidi="fa-IR"/>
          <w:color w:val="111111"/>
          <w:sz w:val="28"/>
          <w:szCs w:val="28"/>
          <w:rtl/>
        </w:rPr>
        <w:t xml:space="preserve">۷. مشهد؛ الهیات؛ شماره نسخه: ۲۱۷۱۷</w:t>
      </w:r>
    </w:p>
    <w:p>
      <w:pPr>
        <w:pStyle w:val="BookText"/>
      </w:pPr>
      <w:r>
        <w:rPr>
          <w:rFonts w:ascii="IRNazanin" w:hAnsi="IRNazanin" w:eastAsia="IRNazanin" w:cs="IRNazanin"/>
          <w:lang w:bidi="fa-IR"/>
          <w:color w:val="111111"/>
          <w:sz w:val="28"/>
          <w:szCs w:val="28"/>
          <w:rtl/>
        </w:rPr>
        <w:t xml:space="preserve">آغاز: بسمله الحمدلله و سلام على عباده الذين اصطفی و بعد فيقول العبد الجانی</w:t>
      </w:r>
    </w:p>
    <w:p>
      <w:pPr>
        <w:pStyle w:val="BookText"/>
      </w:pPr>
      <w:r>
        <w:rPr>
          <w:rFonts w:ascii="IRNazanin" w:hAnsi="IRNazanin" w:eastAsia="IRNazanin" w:cs="IRNazanin"/>
          <w:lang w:bidi="fa-IR"/>
          <w:color w:val="111111"/>
          <w:sz w:val="28"/>
          <w:szCs w:val="28"/>
          <w:rtl/>
        </w:rPr>
        <w:t xml:space="preserve">بخش ۷ آن، در استصحاب؛ خط: شکسته نستعلیق، کاتب = مؤلف، بی تا، مهر: «ماشاء الله لا حول و لا قوة الا بالله العلى العظیم»؛ جلد: روغنی گل و بوته اندازی شده زرین، ۲۲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اندازه: ۱۵/۵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۲-۵۸۸]</w:t>
      </w:r>
    </w:p>
    <w:p>
      <w:pPr>
        <w:pStyle w:val="BookText"/>
      </w:pPr>
      <w:r>
        <w:rPr>
          <w:rFonts w:ascii="IRNazanin" w:hAnsi="IRNazanin" w:eastAsia="IRNazanin" w:cs="IRNazanin"/>
          <w:lang w:bidi="fa-IR"/>
          <w:color w:val="111111"/>
          <w:sz w:val="28"/>
          <w:szCs w:val="28"/>
          <w:rtl/>
        </w:rPr>
        <w:t xml:space="preserve">۸. تهران: دانشگاه؛ شماره نسخه: ۱۲۹۷</w:t>
      </w:r>
    </w:p>
    <w:p>
      <w:pPr>
        <w:pStyle w:val="BookText"/>
      </w:pPr>
      <w:r>
        <w:rPr>
          <w:rFonts w:ascii="IRNazanin" w:hAnsi="IRNazanin" w:eastAsia="IRNazanin" w:cs="IRNazanin"/>
          <w:lang w:bidi="fa-IR"/>
          <w:color w:val="111111"/>
          <w:sz w:val="28"/>
          <w:szCs w:val="28"/>
          <w:rtl/>
        </w:rPr>
        <w:t xml:space="preserve">آغاز: بسمله و به نستعین. الحمد الله و سلام على عباده الذي اصطفی و بعد فيقول ...... محمد حسن بن عبدالله المامقانی انا لما فرغنا من الكلام على مباحث الألفاظ و حررنا البحث عن الفعل و التقرير و الاجماع راينا البحث عن حال القطع و الظن و افردناه على حياله و ان كان على خلاف طريقة الاقدمين ... و جعلته الجزئ الخامس من كتاب بشرى الوصول الى اسرار علم الأصول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اصل في القطع و الظن.؛ انجام: لكنا نقتفي في وضعه اثر القوم فناتی به في باب الاجتهاد و التقليد انشاء الله راجين ... أن يوفقنا لذلك ... ليكن هذا آخذ الكلام في المسئلة. قد اتفق الفراغ منها الجامع الكتاب محمد حسن بن عبدالله المامقاني في يوم الأحد السبعة و عشرين يوما خلون من شهر شوال المکرم من شهور سنة ۱۲۷۸ بالنجف</w:t>
      </w:r>
    </w:p>
    <w:p>
      <w:pPr>
        <w:pStyle w:val="BookText"/>
      </w:pPr>
      <w:r>
        <w:rPr>
          <w:rFonts w:ascii="IRNazanin" w:hAnsi="IRNazanin" w:eastAsia="IRNazanin" w:cs="IRNazanin"/>
          <w:lang w:bidi="fa-IR"/>
          <w:color w:val="111111"/>
          <w:sz w:val="28"/>
          <w:szCs w:val="28"/>
          <w:rtl/>
        </w:rPr>
        <w:t xml:space="preserve">الاشرف زادها الله شرفا وعز او الحمد لله اولا و آخرا.</w:t>
      </w:r>
    </w:p>
    <w:p>
      <w:pPr>
        <w:pStyle w:val="BookText"/>
      </w:pPr>
      <w:r>
        <w:rPr>
          <w:rFonts w:ascii="IRNazanin" w:hAnsi="IRNazanin" w:eastAsia="IRNazanin" w:cs="IRNazanin"/>
          <w:lang w:bidi="fa-IR"/>
          <w:color w:val="111111"/>
          <w:sz w:val="28"/>
          <w:szCs w:val="28"/>
          <w:rtl/>
        </w:rPr>
        <w:t xml:space="preserve">خط: نسخ، كا: = مؤلف، تا: ۱۲۷۸ق، کاغذ: فرنگی، جلد: تیماج سرخ ضربی مقوایی، ۱۶۷گ، ۲۳ سطر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w:t>
      </w:r>
    </w:p>
    <w:p>
      <w:pPr>
        <w:pStyle w:val="BookText"/>
      </w:pPr>
      <w:r>
        <w:rPr>
          <w:rFonts w:ascii="IRNazanin" w:hAnsi="IRNazanin" w:eastAsia="IRNazanin" w:cs="IRNazanin"/>
          <w:lang w:bidi="fa-IR"/>
          <w:color w:val="111111"/>
          <w:sz w:val="28"/>
          <w:szCs w:val="28"/>
          <w:rtl/>
        </w:rPr>
        <w:t xml:space="preserve">)،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۷-۲۶۲۲]</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دانشگاه؛ شماره نسخه: ۸۰۲</w:t>
      </w:r>
    </w:p>
    <w:p>
      <w:pPr>
        <w:pStyle w:val="BookText"/>
      </w:pPr>
      <w:r>
        <w:rPr>
          <w:rFonts w:ascii="Amiri" w:hAnsi="Amiri" w:eastAsia="Amiri" w:cs="Amiri"/>
          <w:lang w:bidi="ar-SA"/>
          <w:color w:val="111111"/>
          <w:sz w:val="28"/>
          <w:szCs w:val="28"/>
          <w:rtl/>
        </w:rPr>
        <w:t xml:space="preserve">آغاز: برابر؛ انجام: و لابد في اثبات ما زاد عن ذلك من الرجوع الى الادلة كما في الأمر عقيب الحظر فافهم.</w:t>
      </w:r>
    </w:p>
    <w:p>
      <w:pPr>
        <w:pStyle w:val="BookText"/>
      </w:pPr>
      <w:r>
        <w:rPr>
          <w:rFonts w:ascii="IRNazanin" w:hAnsi="IRNazanin" w:eastAsia="IRNazanin" w:cs="IRNazanin"/>
          <w:lang w:bidi="fa-IR"/>
          <w:color w:val="111111"/>
          <w:sz w:val="28"/>
          <w:szCs w:val="28"/>
          <w:rtl/>
        </w:rPr>
        <w:t xml:space="preserve">جزء یکم و از تعارض عرف و لغت تا امر عقيب حظر؛ خط: نسخ، كاتب = مؤلف، بی تا، کاغذ: فرنگی، جلد: تیماج سرخ ضربی مقوایی، ۱۴۹، ۲۱سطر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۵-۱۶۶۱]</w:t>
      </w:r>
    </w:p>
    <w:p>
      <w:pPr>
        <w:pStyle w:val="BookText"/>
      </w:pPr>
      <w:r>
        <w:rPr>
          <w:rFonts w:ascii="IRNazanin" w:hAnsi="IRNazanin" w:eastAsia="IRNazanin" w:cs="IRNazanin"/>
          <w:lang w:bidi="fa-IR"/>
          <w:color w:val="111111"/>
          <w:sz w:val="28"/>
          <w:szCs w:val="28"/>
          <w:rtl/>
        </w:rPr>
        <w:t xml:space="preserve">۱۰. تهران: دانشگاه؛ شماره نسخه: ۸۰۳</w:t>
      </w:r>
    </w:p>
    <w:p>
      <w:pPr>
        <w:pStyle w:val="BookText"/>
      </w:pPr>
      <w:r>
        <w:rPr>
          <w:rFonts w:ascii="IRNazanin" w:hAnsi="IRNazanin" w:eastAsia="IRNazanin" w:cs="IRNazanin"/>
          <w:lang w:bidi="fa-IR"/>
          <w:color w:val="111111"/>
          <w:sz w:val="28"/>
          <w:szCs w:val="28"/>
          <w:rtl/>
        </w:rPr>
        <w:t xml:space="preserve">آغاز: بسمله. و به نستمد و نستعين. الحمدلله و سلام على عباده ... فيقول ... محمد حسن بن عبدالمامقانی آن هذا هو الجزء الثاني من کتاب بشرى الوصول الى اسرار علم الاصول؛ انجام: اذ ليس هناک عنوانان جمعهما المكلف بسوء اختياره في فرد.</w:t>
      </w:r>
    </w:p>
    <w:p>
      <w:pPr>
        <w:pStyle w:val="BookText"/>
      </w:pPr>
      <w:r>
        <w:rPr>
          <w:rFonts w:ascii="IRNazanin" w:hAnsi="IRNazanin" w:eastAsia="IRNazanin" w:cs="IRNazanin"/>
          <w:lang w:bidi="fa-IR"/>
          <w:color w:val="111111"/>
          <w:sz w:val="28"/>
          <w:szCs w:val="28"/>
          <w:rtl/>
        </w:rPr>
        <w:t xml:space="preserve">جزء دوم و از مقدمه واجب تا اجتماع امر و نهی است؛ خط: نسخ، كاتب مؤلف، بی تا، کاغذ:فرنگی، جلد: تیماج سرخ ضربی مقوایی، ۲۳۸ گ، ۲۱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۵-۱۶۶۲]</w:t>
      </w:r>
    </w:p>
    <w:p>
      <w:pPr>
        <w:pStyle w:val="BookText"/>
      </w:pPr>
      <w:r>
        <w:rPr>
          <w:rFonts w:ascii="IRNazanin" w:hAnsi="IRNazanin" w:eastAsia="IRNazanin" w:cs="IRNazanin"/>
          <w:lang w:bidi="fa-IR"/>
          <w:color w:val="111111"/>
          <w:sz w:val="28"/>
          <w:szCs w:val="28"/>
          <w:rtl/>
        </w:rPr>
        <w:t xml:space="preserve">۱۱. قم؛ مرکز احیاء؛ شماره نسخه: ۲۴۴۵</w:t>
      </w:r>
    </w:p>
    <w:p>
      <w:pPr>
        <w:pStyle w:val="BookText"/>
      </w:pPr>
      <w:r>
        <w:rPr>
          <w:rFonts w:ascii="IRNazanin" w:hAnsi="IRNazanin" w:eastAsia="IRNazanin" w:cs="IRNazanin"/>
          <w:lang w:bidi="fa-IR"/>
          <w:color w:val="111111"/>
          <w:sz w:val="28"/>
          <w:szCs w:val="28"/>
          <w:rtl/>
        </w:rPr>
        <w:t xml:space="preserve">آغاز: الحمدلله ... و بعد فيقول ... باب الاجتهاد و التقليد فينبغی قبل الاخذ في تحقيق المقام تقديم ما يفيد بصيرة في المطلوب؛ انجام: الا أن الظاهر المعتبر عند العقلاء هو الدخول و لهذا يقدمه الفقهاء على الاصل ولیکن هذا آخر الكلام</w:t>
      </w:r>
    </w:p>
    <w:p>
      <w:pPr>
        <w:pStyle w:val="BookText"/>
      </w:pPr>
      <w:r>
        <w:rPr>
          <w:rFonts w:ascii="IRNazanin" w:hAnsi="IRNazanin" w:eastAsia="IRNazanin" w:cs="IRNazanin"/>
          <w:lang w:bidi="fa-IR"/>
          <w:color w:val="111111"/>
          <w:sz w:val="28"/>
          <w:szCs w:val="28"/>
          <w:rtl/>
        </w:rPr>
        <w:t xml:space="preserve">اجتهاد و تقلید؛ خط: نسخ، بی کا، تا: قرن ۱۳؛ مصحح، محشی و بعضا با عنوان «لمحرره حسن بن احمد حسینی کاشانی»؛ جلد: تیماج قرمز ضربی، ۱۷۶گ، ۲۰ سطر، اندازه: ۱۵/۵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[محدث ارموی مخ: ۱-۲۵۴]</w:t>
      </w:r>
    </w:p>
    <w:p>
      <w:pPr>
        <w:pStyle w:val="BookText"/>
      </w:pPr>
      <w:r>
        <w:rPr>
          <w:rFonts w:ascii="IRNazanin" w:hAnsi="IRNazanin" w:eastAsia="IRNazanin" w:cs="IRNazanin"/>
          <w:lang w:bidi="fa-IR"/>
          <w:color w:val="111111"/>
          <w:sz w:val="28"/>
          <w:szCs w:val="28"/>
          <w:rtl/>
        </w:rPr>
        <w:t xml:space="preserve">۱۲. تهران؛ مجلس؛ شماره نسخه: ۱۱۱۶/۲ -طباطبائی</w:t>
      </w:r>
    </w:p>
    <w:p>
      <w:pPr>
        <w:pStyle w:val="BookText"/>
      </w:pPr>
      <w:r>
        <w:rPr>
          <w:rFonts w:ascii="IRNazanin" w:hAnsi="IRNazanin" w:eastAsia="IRNazanin" w:cs="IRNazanin"/>
          <w:lang w:bidi="fa-IR"/>
          <w:color w:val="111111"/>
          <w:sz w:val="28"/>
          <w:szCs w:val="28"/>
          <w:rtl/>
        </w:rPr>
        <w:t xml:space="preserve">آغاز: بسمله ... الحمد لله رب العالمين ... و بعد فيقول العبد محمد حسن ابن عبد الله المامقانی ... لما فرغنا ... لما فرغنا عن الكلام على مباحث الالفاط ... و التقرير و الاجماع راينا التحث عن حال القطع و الظن و افردناه على حاله و ان كان على خلاف طريقه الاقدمين ... و جعلته الجزء الخامس من كتاب تشري الوصول؛ انجام: الثالث مادل على أن القرآن نزل على سبعة أحرف كلها كاف شاف بل قد ادعي بعض العامه تواتر هذا الحديث</w:t>
      </w:r>
    </w:p>
    <w:p>
      <w:pPr>
        <w:pStyle w:val="BookText"/>
      </w:pPr>
      <w:r>
        <w:rPr>
          <w:rFonts w:ascii="IRNazanin" w:hAnsi="IRNazanin" w:eastAsia="IRNazanin" w:cs="IRNazanin"/>
          <w:lang w:bidi="fa-IR"/>
          <w:color w:val="111111"/>
          <w:sz w:val="28"/>
          <w:szCs w:val="28"/>
          <w:rtl/>
        </w:rPr>
        <w:t xml:space="preserve">خط: نسخ، بی کا، تا: قرن ۱۳؛ افتادگی: انجام؛ جلد: تیماج قرمز روشن، ۹۶گ (۱۴۱-۲۳۶) [ف: ۲۳-۵۶۴]</w:t>
      </w:r>
    </w:p>
    <w:p>
      <w:pPr>
        <w:pStyle w:val="BookText"/>
      </w:pPr>
      <w:r>
        <w:rPr>
          <w:rFonts w:ascii="IRNazanin" w:hAnsi="IRNazanin" w:eastAsia="IRNazanin" w:cs="IRNazanin"/>
          <w:lang w:bidi="fa-IR"/>
          <w:color w:val="111111"/>
          <w:sz w:val="28"/>
          <w:szCs w:val="28"/>
          <w:rtl/>
        </w:rPr>
        <w:t xml:space="preserve">۱۳. تهران؛ مجلس؛ شماره نسخه: ۱۴۹۵۸</w:t>
      </w:r>
    </w:p>
    <w:p>
      <w:pPr>
        <w:pStyle w:val="BookText"/>
      </w:pPr>
      <w:r>
        <w:rPr>
          <w:rFonts w:ascii="IRNazanin" w:hAnsi="IRNazanin" w:eastAsia="IRNazanin" w:cs="IRNazanin"/>
          <w:lang w:bidi="fa-IR"/>
          <w:color w:val="111111"/>
          <w:sz w:val="28"/>
          <w:szCs w:val="28"/>
          <w:rtl/>
        </w:rPr>
        <w:t xml:space="preserve">خط: نسخ، بی کا، تا: قرن ۱۳ [مختصر ف: ۱۰۹]</w:t>
      </w:r>
    </w:p>
    <w:p>
      <w:pPr>
        <w:pStyle w:val="BookText"/>
      </w:pPr>
      <w:r>
        <w:rPr>
          <w:rFonts w:ascii="IRNazanin" w:hAnsi="IRNazanin" w:eastAsia="IRNazanin" w:cs="IRNazanin"/>
          <w:lang w:bidi="fa-IR"/>
          <w:color w:val="111111"/>
          <w:sz w:val="28"/>
          <w:szCs w:val="28"/>
          <w:rtl/>
        </w:rPr>
        <w:t xml:space="preserve">۱۴. تهران؛ ملک؛ شماره نسخه: ۲۶۹۹</w:t>
      </w:r>
    </w:p>
    <w:p>
      <w:pPr>
        <w:pStyle w:val="BookText"/>
      </w:pPr>
      <w:r>
        <w:rPr>
          <w:rFonts w:ascii="IRNazanin" w:hAnsi="IRNazanin" w:eastAsia="IRNazanin" w:cs="IRNazanin"/>
          <w:lang w:bidi="fa-IR"/>
          <w:color w:val="111111"/>
          <w:sz w:val="28"/>
          <w:szCs w:val="28"/>
          <w:rtl/>
        </w:rPr>
        <w:t xml:space="preserve">جلد سیزدهم؛ خط: شکسته نستعلیق، بی کا، تا: قرن ۱۳؛ کاغذ: فستقی، جلد: میشن سرخ ضربی، ۲۳۹ گ، ۲۰ سطر، اندازه: ۱۵/۶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۲۱/۱سم [ف:]</w:t>
      </w:r>
    </w:p>
    <w:p>
      <w:pPr>
        <w:pStyle w:val="BookText"/>
      </w:pPr>
      <w:r>
        <w:rPr>
          <w:rFonts w:ascii="IRNazanin" w:hAnsi="IRNazanin" w:eastAsia="IRNazanin" w:cs="IRNazanin"/>
          <w:lang w:bidi="fa-IR"/>
          <w:color w:val="111111"/>
          <w:sz w:val="28"/>
          <w:szCs w:val="28"/>
          <w:rtl/>
        </w:rPr>
        <w:t xml:space="preserve">۱۵. تهران؛ ملک؛ شماره نسخه: ۱۵۹۸</w:t>
      </w:r>
    </w:p>
    <w:p>
      <w:pPr>
        <w:pStyle w:val="BookText"/>
      </w:pPr>
      <w:r>
        <w:rPr>
          <w:rFonts w:ascii="IRNazanin" w:hAnsi="IRNazanin" w:eastAsia="IRNazanin" w:cs="IRNazanin"/>
          <w:lang w:bidi="fa-IR"/>
          <w:color w:val="111111"/>
          <w:sz w:val="28"/>
          <w:szCs w:val="28"/>
          <w:rtl/>
        </w:rPr>
        <w:t xml:space="preserve">در نهى در عبادات است؛ خط: نسخ، كا: سید محمد کاشی، تا: ۱۲۷۶ق؛ کاغذ: فستقی، جلد: میشن سرخ نو، ۲۰۰گ، ۲۱ سطر، اندازه: ۱۵/۷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۲۱/۲ سم [ف: ۱-۷۲]</w:t>
      </w:r>
    </w:p>
    <w:p>
      <w:pPr>
        <w:pStyle w:val="BookText"/>
      </w:pPr>
      <w:r>
        <w:rPr>
          <w:rFonts w:ascii="IRNazanin" w:hAnsi="IRNazanin" w:eastAsia="IRNazanin" w:cs="IRNazanin"/>
          <w:lang w:bidi="fa-IR"/>
          <w:color w:val="111111"/>
          <w:sz w:val="28"/>
          <w:szCs w:val="28"/>
          <w:rtl/>
        </w:rPr>
        <w:t xml:space="preserve">۱۶. قم؛ مرعشی؛ شماره نسخه: ۱۱۴۳۸</w:t>
      </w:r>
    </w:p>
    <w:p>
      <w:pPr>
        <w:pStyle w:val="BookText"/>
      </w:pPr>
      <w:r>
        <w:rPr>
          <w:rFonts w:ascii="IRNazanin" w:hAnsi="IRNazanin" w:eastAsia="IRNazanin" w:cs="IRNazanin"/>
          <w:lang w:bidi="fa-IR"/>
          <w:color w:val="111111"/>
          <w:sz w:val="28"/>
          <w:szCs w:val="28"/>
          <w:rtl/>
        </w:rPr>
        <w:t xml:space="preserve">آغاز: باب المنطوق و المفهوم و هما وصفان للمدلول بحكم التبادر المويد بملاحظة نظائر هما من المعنى؛ انجام: و ربما يوید هذا ما ذكره جماعة من أن ما نقل آحاد ليس بقرآن فلابد من ملاحظة الأدلة و التتبع و التأمل</w:t>
      </w:r>
    </w:p>
    <w:p>
      <w:pPr>
        <w:pStyle w:val="BookText"/>
      </w:pPr>
      <w:r>
        <w:rPr>
          <w:rFonts w:ascii="IRNazanin" w:hAnsi="IRNazanin" w:eastAsia="IRNazanin" w:cs="IRNazanin"/>
          <w:lang w:bidi="fa-IR"/>
          <w:color w:val="111111"/>
          <w:sz w:val="28"/>
          <w:szCs w:val="28"/>
          <w:rtl/>
        </w:rPr>
        <w:t xml:space="preserve">این جزء، بحث مفاهیم تا پایان بحث اجماع را دارا می باشد؛ خط: نسخ، كا: عبدالحکیم فرزند عبدالرحیم، بیدگلی کاشانی، تا: ۳ محرم ۱۲۷۷ق، مصحح، کاغذ: فرنگی آهار مهره، جلد: تیماج قهوه ای روشن عطف تیماج قهوه ای تیره، ۱۹۳گ، ۲۹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۲۹-۶۲]</w:t>
      </w:r>
    </w:p>
    <w:p>
      <w:pPr>
        <w:pStyle w:val="BookText"/>
      </w:pPr>
      <w:r>
        <w:rPr>
          <w:rFonts w:ascii="IRNazanin" w:hAnsi="IRNazanin" w:eastAsia="IRNazanin" w:cs="IRNazanin"/>
          <w:lang w:bidi="fa-IR"/>
          <w:color w:val="111111"/>
          <w:sz w:val="28"/>
          <w:szCs w:val="28"/>
          <w:rtl/>
        </w:rPr>
        <w:t xml:space="preserve">۱۷. قم؛ حجت کوهکمری؛ شماره نسخه: ۳/۱</w:t>
      </w:r>
    </w:p>
    <w:p>
      <w:pPr>
        <w:pStyle w:val="BookText"/>
      </w:pPr>
      <w:r>
        <w:rPr>
          <w:rFonts w:ascii="IRNazanin" w:hAnsi="IRNazanin" w:eastAsia="IRNazanin" w:cs="IRNazanin"/>
          <w:lang w:bidi="fa-IR"/>
          <w:color w:val="111111"/>
          <w:sz w:val="28"/>
          <w:szCs w:val="28"/>
          <w:rtl/>
        </w:rPr>
        <w:t xml:space="preserve">بحث قطع و ظن؛ خط: نسخ، كا: محمدجواد بن شیخ حسین عصامی، تا: ۱۲۷۸ق؛ با علامت بلاغ دارد، در صفحه اول محمد موسوی نوشته که کتاب امانت آقای حجت (رحمه الله علیه) است. [ف: ۱۸]</w:t>
      </w:r>
    </w:p>
    <w:p>
      <w:pPr>
        <w:pStyle w:val="BookText"/>
      </w:pPr>
      <w:r>
        <w:rPr>
          <w:rFonts w:ascii="IRNazanin" w:hAnsi="IRNazanin" w:eastAsia="IRNazanin" w:cs="IRNazanin"/>
          <w:lang w:bidi="fa-IR"/>
          <w:color w:val="111111"/>
          <w:sz w:val="28"/>
          <w:szCs w:val="28"/>
          <w:rtl/>
        </w:rPr>
        <w:t xml:space="preserve">۱۸. تهران، دانشگاه؛ شماره نسخه: ۸۰۶</w:t>
      </w:r>
    </w:p>
    <w:p>
      <w:pPr>
        <w:pStyle w:val="BookText"/>
      </w:pPr>
      <w:r>
        <w:rPr>
          <w:rFonts w:ascii="IRNazanin" w:hAnsi="IRNazanin" w:eastAsia="IRNazanin" w:cs="IRNazanin"/>
          <w:lang w:bidi="fa-IR"/>
          <w:color w:val="111111"/>
          <w:sz w:val="28"/>
          <w:szCs w:val="28"/>
          <w:rtl/>
        </w:rPr>
        <w:t xml:space="preserve">آغاز: بسمله. و به نستعین. رب يسر ولا تعسر على. الحمدلله و سلام على عباده ... فيقول ... محمد حسن بن عبدالله المامقانی آن هذا هو الجزء السادس من كتاب بشرى الوصول الى اسرار علم الاصول؛ انجام: و هو الاقتصار في الاجتناب على ما علم بالتفصيل بقوله لاحتمال كون المعلوم بالاجمال (یک صفحه سفید گذارده شده).</w:t>
      </w:r>
    </w:p>
    <w:p>
      <w:pPr>
        <w:pStyle w:val="BookText"/>
      </w:pPr>
      <w:r>
        <w:rPr>
          <w:rFonts w:ascii="IRNazanin" w:hAnsi="IRNazanin" w:eastAsia="IRNazanin" w:cs="IRNazanin"/>
          <w:lang w:bidi="fa-IR"/>
          <w:color w:val="111111"/>
          <w:sz w:val="28"/>
          <w:szCs w:val="28"/>
          <w:rtl/>
        </w:rPr>
        <w:t xml:space="preserve">جزء ششم و از اصل برائت تا اشتراط عمل به اصول به فحص در ادله است؛ خط: نسخ، بی کا، تا: ۱۲۸۰ق، کاغذ: فرنگی، جلد: برنگ زرد، ۲۳۷گ (گ آب -۲۳۷ب)، ۲۱ سطر (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۱۵/۵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۵-۱۶۶۳]</w:t>
      </w:r>
    </w:p>
    <w:p>
      <w:pPr>
        <w:pStyle w:val="BookText"/>
      </w:pPr>
      <w:r>
        <w:rPr>
          <w:rFonts w:ascii="IRNazanin" w:hAnsi="IRNazanin" w:eastAsia="IRNazanin" w:cs="IRNazanin"/>
          <w:lang w:bidi="fa-IR"/>
          <w:color w:val="111111"/>
          <w:sz w:val="28"/>
          <w:szCs w:val="28"/>
          <w:rtl/>
        </w:rPr>
        <w:t xml:space="preserve">۱۹. تهران: ملک؛ شماره نسخه: ۲۷۲۷</w:t>
      </w:r>
    </w:p>
    <w:p>
      <w:pPr>
        <w:pStyle w:val="BookText"/>
      </w:pPr>
      <w:r>
        <w:rPr>
          <w:rFonts w:ascii="IRNazanin" w:hAnsi="IRNazanin" w:eastAsia="IRNazanin" w:cs="IRNazanin"/>
          <w:lang w:bidi="fa-IR"/>
          <w:color w:val="111111"/>
          <w:sz w:val="28"/>
          <w:szCs w:val="28"/>
          <w:rtl/>
        </w:rPr>
        <w:t xml:space="preserve">جزو ششم؛ خط: نسخ، كان محمد موجی شوشتری، تا: ۱۲۸۰ق؛ کاغذ: فستقی، جلد: میشن سرخ ضربی، ۲۳۰ گ، ۱۸ سطر،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۲۱/۷سم [ف: ۱-۷۲]</w:t>
      </w:r>
    </w:p>
    <w:p>
      <w:pPr>
        <w:pStyle w:val="BookText"/>
      </w:pPr>
      <w:r>
        <w:rPr>
          <w:rFonts w:ascii="IRNazanin" w:hAnsi="IRNazanin" w:eastAsia="IRNazanin" w:cs="IRNazanin"/>
          <w:lang w:bidi="fa-IR"/>
          <w:color w:val="111111"/>
          <w:sz w:val="28"/>
          <w:szCs w:val="28"/>
          <w:rtl/>
        </w:rPr>
        <w:t xml:space="preserve">۲۰. خوی؛ نمازی؛ شماره نسخه: ۳۴۰</w:t>
      </w:r>
    </w:p>
    <w:p>
      <w:pPr>
        <w:pStyle w:val="BookText"/>
      </w:pPr>
      <w:r>
        <w:rPr>
          <w:rFonts w:ascii="IRNazanin" w:hAnsi="IRNazanin" w:eastAsia="IRNazanin" w:cs="IRNazanin"/>
          <w:lang w:bidi="fa-IR"/>
          <w:color w:val="111111"/>
          <w:sz w:val="28"/>
          <w:szCs w:val="28"/>
          <w:rtl/>
        </w:rPr>
        <w:t xml:space="preserve">جلد ششم، تا اول بحث استصحاب؛ خط: نسخ، كا: على بن حسن یاسین نجفی، تا: ۱۲۸۸ق؛ مصحح، مقابله شده؛ جلد: تیماج مشکی سوخت با ترنج با سر، ۲۰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۱۶۷]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۲۱. قم؛ مرعشی؛ شماره نسخه: ۷۹۲۸</w:t>
      </w:r>
    </w:p>
    <w:p>
      <w:pPr>
        <w:pStyle w:val="BookText"/>
      </w:pPr>
      <w:r>
        <w:rPr>
          <w:rFonts w:ascii="IRNazanin" w:hAnsi="IRNazanin" w:eastAsia="IRNazanin" w:cs="IRNazanin"/>
          <w:lang w:bidi="fa-IR"/>
          <w:color w:val="111111"/>
          <w:sz w:val="28"/>
          <w:szCs w:val="28"/>
          <w:rtl/>
        </w:rPr>
        <w:t xml:space="preserve">بی کا، تا: جمعه ۱۸ ربیع الاول ۱۲۹۰ق؛ ۲۹۹، ۲۵ سطر،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۲۰-۲۵۳]</w:t>
      </w:r>
    </w:p>
    <w:p>
      <w:pPr>
        <w:pStyle w:val="BookText"/>
      </w:pPr>
      <w:r>
        <w:rPr>
          <w:rFonts w:ascii="IRNazanin" w:hAnsi="IRNazanin" w:eastAsia="IRNazanin" w:cs="IRNazanin"/>
          <w:lang w:bidi="fa-IR"/>
          <w:color w:val="111111"/>
          <w:sz w:val="28"/>
          <w:szCs w:val="28"/>
          <w:rtl/>
        </w:rPr>
        <w:t xml:space="preserve">۲۲. مشهد؛ رضوی؛ شماره نسخه: ۷۳۱۸</w:t>
      </w:r>
    </w:p>
    <w:p>
      <w:pPr>
        <w:pStyle w:val="BookText"/>
      </w:pPr>
      <w:r>
        <w:rPr>
          <w:rFonts w:ascii="IRNazanin" w:hAnsi="IRNazanin" w:eastAsia="IRNazanin" w:cs="IRNazanin"/>
          <w:lang w:bidi="fa-IR"/>
          <w:color w:val="111111"/>
          <w:sz w:val="28"/>
          <w:szCs w:val="28"/>
          <w:rtl/>
        </w:rPr>
        <w:t xml:space="preserve">آغاز: پس از سه سطر دیباچه (اصل النهى في العبادات او المعاملات هل يقتضي ما تعلق به اختلفوا فيه على اقوال و قبل الخوض في تحقيق الحق)؛ انجام: و بعد ذلك كله لايخفى انه الايترتب على هذا البحث ثمر.</w:t>
      </w:r>
    </w:p>
    <w:p>
      <w:pPr>
        <w:pStyle w:val="BookText"/>
      </w:pPr>
      <w:r>
        <w:rPr>
          <w:rFonts w:ascii="IRNazanin" w:hAnsi="IRNazanin" w:eastAsia="IRNazanin" w:cs="IRNazanin"/>
          <w:lang w:bidi="fa-IR"/>
          <w:color w:val="111111"/>
          <w:sz w:val="28"/>
          <w:szCs w:val="28"/>
          <w:rtl/>
        </w:rPr>
        <w:t xml:space="preserve">جلد۳. شامل نهى در عبادات و معاملات، مفهوم و منطوق، عام و خاص تا مبحث (جواز تخصیص عام به نیت)؛ خط: نسخ، بی کا، تا: ۱۲۹۱ق، تاریخ واقف: شهریور ۱۳۲۹؛ کاغذ: نباتی، جلد: تیماج ضربی، ۲۲۹، ۱۹ سطر، اندازه: ۲۱۸۱۵سم [ف: ۶-۹]</w:t>
      </w:r>
    </w:p>
    <w:p>
      <w:pPr>
        <w:pStyle w:val="BookText"/>
      </w:pPr>
      <w:r>
        <w:rPr>
          <w:rFonts w:ascii="IRNazanin" w:hAnsi="IRNazanin" w:eastAsia="IRNazanin" w:cs="IRNazanin"/>
          <w:lang w:bidi="fa-IR"/>
          <w:color w:val="111111"/>
          <w:sz w:val="28"/>
          <w:szCs w:val="28"/>
          <w:rtl/>
        </w:rPr>
        <w:t xml:space="preserve">۲۳. مشهد؛ مدرسه آية الله خوئی؛ شماره نسخه: ۴۱۴</w:t>
      </w:r>
    </w:p>
    <w:p>
      <w:pPr>
        <w:pStyle w:val="BookText"/>
      </w:pPr>
      <w:r>
        <w:rPr>
          <w:rFonts w:ascii="IRNazanin" w:hAnsi="IRNazanin" w:eastAsia="IRNazanin" w:cs="IRNazanin"/>
          <w:lang w:bidi="fa-IR"/>
          <w:color w:val="111111"/>
          <w:sz w:val="28"/>
          <w:szCs w:val="28"/>
          <w:rtl/>
        </w:rPr>
        <w:t xml:space="preserve">جزء سوم تا ششم؛ بی کا، تا: ۱۲۹۱ ق [اوراق عتیق: ۱-۲۴۲]</w:t>
      </w:r>
    </w:p>
    <w:p>
      <w:pPr>
        <w:pStyle w:val="BookText"/>
      </w:pPr>
      <w:r>
        <w:rPr>
          <w:rFonts w:ascii="IRNazanin" w:hAnsi="IRNazanin" w:eastAsia="IRNazanin" w:cs="IRNazanin"/>
          <w:lang w:bidi="fa-IR"/>
          <w:color w:val="111111"/>
          <w:sz w:val="28"/>
          <w:szCs w:val="28"/>
          <w:rtl/>
        </w:rPr>
        <w:t xml:space="preserve">۲۴. خوی؛ نمازی؛ شماره نسخه: ۳۴۱</w:t>
      </w:r>
    </w:p>
    <w:p>
      <w:pPr>
        <w:pStyle w:val="BookText"/>
      </w:pPr>
      <w:r>
        <w:rPr>
          <w:rFonts w:ascii="Amiri" w:hAnsi="Amiri" w:eastAsia="Amiri" w:cs="Amiri"/>
          <w:lang w:bidi="ar-SA"/>
          <w:color w:val="111111"/>
          <w:sz w:val="28"/>
          <w:szCs w:val="28"/>
          <w:rtl/>
        </w:rPr>
        <w:t xml:space="preserve">آغاز: الحمدلله ... أما بعد فيقول العبد ... أصل من جملة الأصول أو الأدلة الشرعية أو العقلية أو الشرعية و العقلية الاستصحاب</w:t>
      </w:r>
    </w:p>
    <w:p>
      <w:pPr>
        <w:pStyle w:val="BookText"/>
      </w:pPr>
      <w:r>
        <w:rPr>
          <w:rFonts w:ascii="IRNazanin" w:hAnsi="IRNazanin" w:eastAsia="IRNazanin" w:cs="IRNazanin"/>
          <w:lang w:bidi="fa-IR"/>
          <w:color w:val="111111"/>
          <w:sz w:val="28"/>
          <w:szCs w:val="28"/>
          <w:rtl/>
        </w:rPr>
        <w:t xml:space="preserve">جلد هفتم، شامل مبحث استصحاب و جلد هشتم از مبحث التقليد و الاجتهاد شروع می شود؛ خط: نسخ، بی کا، تا: ۱۹ جمادی الثانی ۱۲۹۲ق؛ مصحح؛ جلد: تیماج مشکی ضربی با ترنج باسر، لچکی مجدول با نقش گل و بوته، ۲۳ سطر،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۱۶۸]</w:t>
      </w:r>
    </w:p>
    <w:p>
      <w:pPr>
        <w:pStyle w:val="BookText"/>
      </w:pPr>
      <w:r>
        <w:rPr>
          <w:rFonts w:ascii="IRNazanin" w:hAnsi="IRNazanin" w:eastAsia="IRNazanin" w:cs="IRNazanin"/>
          <w:lang w:bidi="fa-IR"/>
          <w:color w:val="111111"/>
          <w:sz w:val="28"/>
          <w:szCs w:val="28"/>
          <w:rtl/>
        </w:rPr>
        <w:t xml:space="preserve">قم مرکز احیاء؛ شماره نسخه: ۷۸۸ نسخه اصل: همان نسخه بالا [عکسی ف: ۲-۴۷۳]</w:t>
      </w:r>
    </w:p>
    <w:p>
      <w:pPr>
        <w:pStyle w:val="BookText"/>
      </w:pPr>
      <w:r>
        <w:rPr>
          <w:rFonts w:ascii="IRNazanin" w:hAnsi="IRNazanin" w:eastAsia="IRNazanin" w:cs="IRNazanin"/>
          <w:lang w:bidi="fa-IR"/>
          <w:color w:val="111111"/>
          <w:sz w:val="28"/>
          <w:szCs w:val="28"/>
          <w:rtl/>
        </w:rPr>
        <w:t xml:space="preserve">۲۵. قم؛ گلپایگانی؛ شماره نسخه: ۱۶- ۱/۱۶</w:t>
      </w:r>
    </w:p>
    <w:p>
      <w:pPr>
        <w:pStyle w:val="BookText"/>
      </w:pPr>
      <w:r>
        <w:rPr>
          <w:rFonts w:ascii="Amiri" w:hAnsi="Amiri" w:eastAsia="Amiri" w:cs="Amiri"/>
          <w:lang w:bidi="ar-SA"/>
          <w:color w:val="111111"/>
          <w:sz w:val="28"/>
          <w:szCs w:val="28"/>
          <w:rtl/>
        </w:rPr>
        <w:t xml:space="preserve">آغاز: برابر؛ انجام: اذ ليس هناك عنوانان جمعهما المكلف بسوء اختياره في فرد هذا آخر الجزء الثاني من كتاب بشرى الوصول إلى أسرار علم الأصول ..</w:t>
      </w:r>
    </w:p>
    <w:p>
      <w:pPr>
        <w:pStyle w:val="BookText"/>
      </w:pPr>
      <w:r>
        <w:rPr>
          <w:rFonts w:ascii="IRNazanin" w:hAnsi="IRNazanin" w:eastAsia="IRNazanin" w:cs="IRNazanin"/>
          <w:lang w:bidi="fa-IR"/>
          <w:color w:val="111111"/>
          <w:sz w:val="28"/>
          <w:szCs w:val="28"/>
          <w:rtl/>
        </w:rPr>
        <w:t xml:space="preserve">از اول کتاب تا آخر جزء ثانی شامل بحث تعارض العرف و اللغة تا اوایل نواهی؛ خط: نسخ، بی کا، تا: ۹ ربیع الثانی ۱۲۹۲ق؛ مصحح؛ جلد: تیماج قهوه ای سیر، ۱۸۱ گ، ۲۷ سطر،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۲-۶۲۳]</w:t>
      </w:r>
    </w:p>
    <w:p>
      <w:pPr>
        <w:pStyle w:val="BookText"/>
      </w:pPr>
      <w:r>
        <w:rPr>
          <w:rFonts w:ascii="IRNazanin" w:hAnsi="IRNazanin" w:eastAsia="IRNazanin" w:cs="IRNazanin"/>
          <w:lang w:bidi="fa-IR"/>
          <w:color w:val="111111"/>
          <w:sz w:val="28"/>
          <w:szCs w:val="28"/>
          <w:rtl/>
        </w:rPr>
        <w:t xml:space="preserve">۲۶. مشهد؛ گوهرشاد؛ شماره نسخه: ۱۴۰۲</w:t>
      </w:r>
    </w:p>
    <w:p>
      <w:pPr>
        <w:pStyle w:val="BookText"/>
      </w:pPr>
      <w:r>
        <w:rPr>
          <w:rFonts w:ascii="IRNazanin" w:hAnsi="IRNazanin" w:eastAsia="IRNazanin" w:cs="IRNazanin"/>
          <w:lang w:bidi="fa-IR"/>
          <w:color w:val="111111"/>
          <w:sz w:val="28"/>
          <w:szCs w:val="28"/>
          <w:rtl/>
        </w:rPr>
        <w:t xml:space="preserve">آغاز: بسمله الحمدلله و سلام على عباده الذين اصطفی و بعد فيقول العبد الجانی ... اصل الأمر بالشي هل يقتضي وجوب؛ انجام: اذ ليس هناك عنوانان جمعهما المكلف بسوء اختياره في فرد.</w:t>
      </w:r>
    </w:p>
    <w:p>
      <w:pPr>
        <w:pStyle w:val="BookText"/>
      </w:pPr>
      <w:r>
        <w:rPr>
          <w:rFonts w:ascii="IRNazanin" w:hAnsi="IRNazanin" w:eastAsia="IRNazanin" w:cs="IRNazanin"/>
          <w:lang w:bidi="fa-IR"/>
          <w:color w:val="111111"/>
          <w:sz w:val="28"/>
          <w:szCs w:val="28"/>
          <w:rtl/>
        </w:rPr>
        <w:t xml:space="preserve">جلد ۲، مشتمل بر مباحث اوامر و نواهی؛ خط: نسخ، بی کا، تا: چهارشنبه ۱۹ محرم ۱۲۹۵ق؛ محشی با امضای «منه سلمه الله تعالی»؛ کاغذ: آهار مهره، جلد: تیماج مشکی عطف میشن سرخ، ۲۳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۴-۱۹۸۵]</w:t>
      </w:r>
    </w:p>
    <w:p>
      <w:pPr>
        <w:pStyle w:val="BookText"/>
      </w:pPr>
      <w:r>
        <w:rPr>
          <w:rFonts w:ascii="IRNazanin" w:hAnsi="IRNazanin" w:eastAsia="IRNazanin" w:cs="IRNazanin"/>
          <w:lang w:bidi="fa-IR"/>
          <w:color w:val="111111"/>
          <w:sz w:val="28"/>
          <w:szCs w:val="28"/>
          <w:rtl/>
        </w:rPr>
        <w:t xml:space="preserve">۲۷. تهران؛ ملک؛ شماره نسخه: ۵۷۱۵</w:t>
      </w:r>
    </w:p>
    <w:p>
      <w:pPr>
        <w:pStyle w:val="BookText"/>
      </w:pPr>
      <w:r>
        <w:rPr>
          <w:rFonts w:ascii="IRNazanin" w:hAnsi="IRNazanin" w:eastAsia="IRNazanin" w:cs="IRNazanin"/>
          <w:lang w:bidi="fa-IR"/>
          <w:color w:val="111111"/>
          <w:sz w:val="28"/>
          <w:szCs w:val="28"/>
          <w:rtl/>
        </w:rPr>
        <w:t xml:space="preserve">جزو چهارم ؛ خط: نسخ، بی کا، تا: چهارشنبه ۱۲ محرم ۱۲۹۷ق، جا: نجف؛ کاغذ: فرنگی، جلد: میشن سرخ ضربی، ۲۲۶گ، ۲۱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۱۵/۸ سم [ف: ۱-۷۳]</w:t>
      </w:r>
    </w:p>
    <w:p>
      <w:pPr>
        <w:pStyle w:val="BookText"/>
      </w:pPr>
      <w:r>
        <w:rPr>
          <w:rFonts w:ascii="IRNazanin" w:hAnsi="IRNazanin" w:eastAsia="IRNazanin" w:cs="IRNazanin"/>
          <w:lang w:bidi="fa-IR"/>
          <w:color w:val="111111"/>
          <w:sz w:val="28"/>
          <w:szCs w:val="28"/>
          <w:rtl/>
        </w:rPr>
        <w:t xml:space="preserve">۲۸. تهران، ملک، شماره نسخه: ۱۰۷۴</w:t>
      </w:r>
    </w:p>
    <w:p>
      <w:pPr>
        <w:pStyle w:val="BookText"/>
      </w:pPr>
      <w:r>
        <w:rPr>
          <w:rFonts w:ascii="IRNazanin" w:hAnsi="IRNazanin" w:eastAsia="IRNazanin" w:cs="IRNazanin"/>
          <w:lang w:bidi="fa-IR"/>
          <w:color w:val="111111"/>
          <w:sz w:val="28"/>
          <w:szCs w:val="28"/>
          <w:rtl/>
        </w:rPr>
        <w:t xml:space="preserve">جزو هشتم، در باب اجتهاد و تقلید؛ خط: نسخ، كا: میرزا حسین کازرونی، تا: ربيع الأول ۱۲۹۸ ق، در پشت ورق آخر آمده: اجرت این کتاب که بخط حقیر است هر جزوی تخمین چهارصد بیست است که تمام عبارت از سیزده هزار و دویست بیت تمام سی و سه جزوه از قرار هزاری هفده قمری مجموع آن بیست و دو شنلگی و یک قمری وصول شد»؛ کاغذ: فستقی، جلد: میشن سرخ ضربی نو، ۱۶۱گ، ۱۸ سطر، اندازه: ۱۵/۴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۲۱/۶سم [ف: ۱-۷۲]</w:t>
      </w:r>
    </w:p>
    <w:p>
      <w:pPr>
        <w:pStyle w:val="BookText"/>
      </w:pPr>
      <w:r>
        <w:rPr>
          <w:rFonts w:ascii="IRNazanin" w:hAnsi="IRNazanin" w:eastAsia="IRNazanin" w:cs="IRNazanin"/>
          <w:lang w:bidi="fa-IR"/>
          <w:color w:val="111111"/>
          <w:sz w:val="28"/>
          <w:szCs w:val="28"/>
          <w:rtl/>
        </w:rPr>
        <w:t xml:space="preserve">۲۹. قم؛ گلپایگانی؛ شماره نسخه: ۴۶۶- ۳/۸۶</w:t>
      </w:r>
    </w:p>
    <w:p>
      <w:pPr>
        <w:pStyle w:val="BookText"/>
      </w:pPr>
      <w:r>
        <w:rPr>
          <w:rFonts w:ascii="IRNazanin" w:hAnsi="IRNazanin" w:eastAsia="IRNazanin" w:cs="IRNazanin"/>
          <w:lang w:bidi="fa-IR"/>
          <w:color w:val="111111"/>
          <w:sz w:val="28"/>
          <w:szCs w:val="28"/>
          <w:rtl/>
        </w:rPr>
        <w:t xml:space="preserve">آغاز: بسمله حمدله و صلاة. و بعد فيقول العبد الجاني الفانی اسیر الإمال و الأمالی محمد حسن بن عبدالله المامقاني في النجف الاشرف ای هذا هو الجزء الثاني من كتاب بشرى الوصول؛ انجام: الا ان الظاهر المعتبر عند العقلاء هو الدخول و لهذا يقدمه الفقهاء على الأصل. وليكن هذا آخر الكلام ... محمد و آله اجمعين الغر الميامين.</w:t>
      </w:r>
    </w:p>
    <w:p>
      <w:pPr>
        <w:pStyle w:val="BookText"/>
      </w:pPr>
      <w:r>
        <w:rPr>
          <w:rFonts w:ascii="IRNazanin" w:hAnsi="IRNazanin" w:eastAsia="IRNazanin" w:cs="IRNazanin"/>
          <w:lang w:bidi="fa-IR"/>
          <w:color w:val="111111"/>
          <w:sz w:val="28"/>
          <w:szCs w:val="28"/>
          <w:rtl/>
        </w:rPr>
        <w:t xml:space="preserve">جزء ثانی؛ خط: نسخ، بی کا، تا: ۱۲۹۸ق؛ جلد: مقوایی نازک با روکش کاغذی روغنی قهوه ای، ۱۴۴گ، ۲۳ سطر، اندازه:20/5</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۲-۶۲۳]</w:t>
      </w:r>
    </w:p>
    <w:p>
      <w:pPr>
        <w:pStyle w:val="BookText"/>
      </w:pPr>
      <w:r>
        <w:rPr>
          <w:rFonts w:ascii="IRNazanin" w:hAnsi="IRNazanin" w:eastAsia="IRNazanin" w:cs="IRNazanin"/>
          <w:lang w:bidi="fa-IR"/>
          <w:color w:val="111111"/>
          <w:sz w:val="28"/>
          <w:szCs w:val="28"/>
          <w:rtl/>
        </w:rPr>
        <w:t xml:space="preserve">۳۰. قم؛ مرعشی؛ شماره نسخه: ۱۱۹۴۹</w:t>
      </w:r>
    </w:p>
    <w:p>
      <w:pPr>
        <w:pStyle w:val="BookText"/>
      </w:pPr>
      <w:r>
        <w:rPr>
          <w:rFonts w:ascii="Amiri" w:hAnsi="Amiri" w:eastAsia="Amiri" w:cs="Amiri"/>
          <w:lang w:bidi="ar-SA"/>
          <w:color w:val="111111"/>
          <w:sz w:val="28"/>
          <w:szCs w:val="28"/>
          <w:rtl/>
        </w:rPr>
        <w:t xml:space="preserve">آغاز: برابر؛ انجام: أو أن المراد بالقبول فيها هو القبول على وجه أتم و أكمل من قبول أعمال غير هم من المؤمنين لاختصاصهم بما الاحظ لغيرهم فيه من الرتبة و الفضيلة، هذا تمام الكلام في المسئلة.</w:t>
      </w:r>
    </w:p>
    <w:p>
      <w:pPr>
        <w:pStyle w:val="BookText"/>
      </w:pPr>
      <w:r>
        <w:rPr>
          <w:rFonts w:ascii="IRNazanin" w:hAnsi="IRNazanin" w:eastAsia="IRNazanin" w:cs="IRNazanin"/>
          <w:lang w:bidi="fa-IR"/>
          <w:color w:val="111111"/>
          <w:sz w:val="28"/>
          <w:szCs w:val="28"/>
          <w:rtl/>
        </w:rPr>
        <w:t xml:space="preserve">جلد اول و دوم تا پایان بحث اجزاء؛ خط: نسخ خوش، بی کا، تا: قرن ۱۴؛ مصحح، خطبه کتاب توسط «محمد بن جعفر تبریزی» به سال ۱۳۱۶ ق در حاشیه برگ آغاز بعدا اضافه شده است؛ کاغذ: فرنگی، جلد: تیماج زرشکی ضربی مجدول، ۲۱۶گ، ۲۹ سطر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۳۰-۲۴۴]</w:t>
      </w:r>
    </w:p>
    <w:p>
      <w:pPr>
        <w:pStyle w:val="BookText"/>
      </w:pPr>
      <w:r>
        <w:rPr>
          <w:rFonts w:ascii="IRNazanin" w:hAnsi="IRNazanin" w:eastAsia="IRNazanin" w:cs="IRNazanin"/>
          <w:lang w:bidi="fa-IR"/>
          <w:color w:val="111111"/>
          <w:sz w:val="28"/>
          <w:szCs w:val="28"/>
          <w:rtl/>
        </w:rPr>
        <w:t xml:space="preserve">۳۱. قم؛ مرکز احیاء؛ شماره نسخه: ۹۷۱</w:t>
      </w:r>
    </w:p>
    <w:p>
      <w:pPr>
        <w:pStyle w:val="BookText"/>
      </w:pPr>
      <w:r>
        <w:rPr>
          <w:rFonts w:ascii="Amiri" w:hAnsi="Amiri" w:eastAsia="Amiri" w:cs="Amiri"/>
          <w:lang w:bidi="ar-SA"/>
          <w:color w:val="111111"/>
          <w:sz w:val="28"/>
          <w:szCs w:val="28"/>
          <w:rtl/>
        </w:rPr>
        <w:t xml:space="preserve">آغاز: الحمدلله الذي اسس اساس الدين و هدانا سبيل المهتدين والصلاة و السلام على رسوله نبي الرحمة</w:t>
      </w:r>
    </w:p>
    <w:p>
      <w:pPr>
        <w:pStyle w:val="BookText"/>
      </w:pPr>
      <w:r>
        <w:rPr>
          <w:rFonts w:ascii="IRNazanin" w:hAnsi="IRNazanin" w:eastAsia="IRNazanin" w:cs="IRNazanin"/>
          <w:lang w:bidi="fa-IR"/>
          <w:color w:val="111111"/>
          <w:sz w:val="28"/>
          <w:szCs w:val="28"/>
          <w:rtl/>
        </w:rPr>
        <w:t xml:space="preserve">جلد ششم؛ خط: نسخ، بی کا، تا: قرن ۱۴، از عصر مؤلف؛ در حاشیه تصحیح شده و کار مقابله آن را با نسخه مؤلف حسین بن احمد انبوهی کیانی غروی در روز یک شنبه پنجم رمضان ۱۳۱۷ به پایان برده، دارای چند حاشیه کوتاه است از شیخ عبدالله مامقانی (فرزند مؤلف) و به خط وی؛ جلد: تیماج قرمز، ۱۷۸گ، ۲۸ سطر،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۳-۱۸۹]</w:t>
      </w:r>
    </w:p>
    <w:p>
      <w:pPr>
        <w:pStyle w:val="BookText"/>
      </w:pPr>
      <w:r>
        <w:rPr>
          <w:rFonts w:ascii="IRNazanin" w:hAnsi="IRNazanin" w:eastAsia="IRNazanin" w:cs="IRNazanin"/>
          <w:lang w:bidi="fa-IR"/>
          <w:color w:val="111111"/>
          <w:sz w:val="28"/>
          <w:szCs w:val="28"/>
          <w:rtl/>
        </w:rPr>
        <w:t xml:space="preserve">۳۲. قم؛ گلپایگانی؛ شماره نسخه: ۸۱- ۱/۸۱</w:t>
      </w:r>
    </w:p>
    <w:p>
      <w:pPr>
        <w:pStyle w:val="BookText"/>
      </w:pPr>
      <w:r>
        <w:rPr>
          <w:rFonts w:ascii="IRNazanin" w:hAnsi="IRNazanin" w:eastAsia="IRNazanin" w:cs="IRNazanin"/>
          <w:lang w:bidi="fa-IR"/>
          <w:color w:val="111111"/>
          <w:sz w:val="28"/>
          <w:szCs w:val="28"/>
          <w:rtl/>
        </w:rPr>
        <w:t xml:space="preserve">آغاز: بسمله. باب المطلق و المقيد و فيه مقدمة و مقامات أما المقدمة ففي تعريف المطلق و قد عرفوه بتعريفات. الأول ما يستفاد من كلام الشهيد الثانی؛ انجام: لزم کون اعتبارها قبالا للاستصحاب الغوا و ينبغي التنبيه على أمور الأول أن الخروج عن الشيء و كما تضمنه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مطلق و مقید و استحصاب؛ خط: نسخ، بی کا، تا: قرن ۱۴؛ با علامت بلاغ، مصحح، محشی به امضاء «منه وفقه الله» و «كذا افاد الاستاذ سلمه الله تعالی» و «اشار الى هذا المعنى سيدنا الاستاد دام مجده»؛ جلد: گالینگور، قهوه ای، ۲۵۹گ، ۱۸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۲-۶۲۴]</w:t>
      </w:r>
    </w:p>
    <w:p>
      <w:pPr>
        <w:pStyle w:val="BookText"/>
      </w:pPr>
      <w:r>
        <w:rPr>
          <w:rFonts w:ascii="IRNazanin" w:hAnsi="IRNazanin" w:eastAsia="IRNazanin" w:cs="IRNazanin"/>
          <w:lang w:bidi="fa-IR"/>
          <w:color w:val="111111"/>
          <w:sz w:val="28"/>
          <w:szCs w:val="28"/>
          <w:rtl/>
        </w:rPr>
        <w:t xml:space="preserve">۳۳. تهران؛ مجلس؛ شماره نسخه: ۵۵۳۶</w:t>
      </w:r>
    </w:p>
    <w:p>
      <w:pPr>
        <w:pStyle w:val="BookText"/>
      </w:pPr>
      <w:r>
        <w:rPr>
          <w:rFonts w:ascii="IRNazanin" w:hAnsi="IRNazanin" w:eastAsia="IRNazanin" w:cs="IRNazanin"/>
          <w:lang w:bidi="fa-IR"/>
          <w:color w:val="111111"/>
          <w:sz w:val="28"/>
          <w:szCs w:val="28"/>
          <w:rtl/>
        </w:rPr>
        <w:t xml:space="preserve">آغاز: بسمله. الحمدلله و سلام على عباده الذين اصطفی، و بعد فيقول ...... محمد حسن بن عبدالله المامقاني لما فرغنا من الكلام على مباحث الالفاظ؛ انجام: على من يشاء من عباده و ليكن هذا آخر الكلام في المسئلة و قد اتفق الفراغ منها جامع الكتاب محمد حسن ... يوم الأحد سبعة و عشرين يوما خلون من شهر شوال المكرم ۱۲۷۸ في النجف الاشرف</w:t>
      </w:r>
    </w:p>
    <w:p>
      <w:pPr>
        <w:pStyle w:val="BookText"/>
      </w:pPr>
      <w:r>
        <w:rPr>
          <w:rFonts w:ascii="IRNazanin" w:hAnsi="IRNazanin" w:eastAsia="IRNazanin" w:cs="IRNazanin"/>
          <w:lang w:bidi="fa-IR"/>
          <w:color w:val="111111"/>
          <w:sz w:val="28"/>
          <w:szCs w:val="28"/>
          <w:rtl/>
        </w:rPr>
        <w:t xml:space="preserve">جلد پنجم (قطع ظن)؛ خط: نستعلیق، بی کا، تا: قرن ۱۴؛ کاغذ: فرنگی، جلد: تیماج سبز، ۲۴۴گ، ۲۲ سطر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۱۶-۴۲۴]</w:t>
      </w:r>
    </w:p>
    <w:p>
      <w:pPr>
        <w:pStyle w:val="BookText"/>
      </w:pPr>
      <w:r>
        <w:rPr>
          <w:rFonts w:ascii="IRNazanin" w:hAnsi="IRNazanin" w:eastAsia="IRNazanin" w:cs="IRNazanin"/>
          <w:lang w:bidi="fa-IR"/>
          <w:color w:val="111111"/>
          <w:sz w:val="28"/>
          <w:szCs w:val="28"/>
          <w:rtl/>
        </w:rPr>
        <w:t xml:space="preserve">۳۴. تهران؛ حقوق؛ شماره نسخه: ۱۰۴-ج</w:t>
      </w:r>
    </w:p>
    <w:p>
      <w:pPr>
        <w:pStyle w:val="BookText"/>
      </w:pPr>
      <w:r>
        <w:rPr>
          <w:rFonts w:ascii="IRNazanin" w:hAnsi="IRNazanin" w:eastAsia="IRNazanin" w:cs="IRNazanin"/>
          <w:lang w:bidi="fa-IR"/>
          <w:color w:val="111111"/>
          <w:sz w:val="28"/>
          <w:szCs w:val="28"/>
          <w:rtl/>
        </w:rPr>
        <w:t xml:space="preserve">جزء پنجم است و برابر است با نسخه شماره ۱۲۹۷ دانشگاه؛ خط: نسخ، كا: مهدی قمی، تا: قرن ۱۴؛ حاج محمد حسین نسخه را از سید حسن استر آبادی به بهای ۱۴ قران در ۲۴ شعبان ۱۳۰۶ خریده؛ کاغذ: فرنگی، جلد: قهوه ای ضربی مقوایی، ۲۲۱گ، ۲۵ سطر (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۲۵۹]</w:t>
      </w:r>
    </w:p>
    <w:p>
      <w:pPr>
        <w:pStyle w:val="BookText"/>
      </w:pPr>
      <w:r>
        <w:rPr>
          <w:rFonts w:ascii="IRNazanin" w:hAnsi="IRNazanin" w:eastAsia="IRNazanin" w:cs="IRNazanin"/>
          <w:lang w:bidi="fa-IR"/>
          <w:color w:val="111111"/>
          <w:sz w:val="28"/>
          <w:szCs w:val="28"/>
          <w:rtl/>
        </w:rPr>
        <w:t xml:space="preserve">۳۵. مشهد؛ رضوی؛ شماره نسخه: ۹۴۳۴</w:t>
      </w:r>
    </w:p>
    <w:p>
      <w:pPr>
        <w:pStyle w:val="BookText"/>
      </w:pPr>
      <w:r>
        <w:rPr>
          <w:rFonts w:ascii="IRNazanin" w:hAnsi="IRNazanin" w:eastAsia="IRNazanin" w:cs="IRNazanin"/>
          <w:lang w:bidi="fa-IR"/>
          <w:color w:val="111111"/>
          <w:sz w:val="28"/>
          <w:szCs w:val="28"/>
          <w:rtl/>
        </w:rPr>
        <w:t xml:space="preserve">آغاز: پس از خطبه مختصر و نام مؤلف و کتاب: اصل في الاستصحاب و هو لغة اخذ الشي مصاحبا و منه قول الفقهاء لا يجوز استصحاب اجزاء ما لا يوكل لحمد في الصلوة؛ انجام: دون الاول و ما ذكرناه أولا هو المعول و هو منتهى الكلام في باب استصحاب و قد ساعدنا التوفيق على اتمامه من برکات سیدنا المستجن بارض الغري صلوات الله و سلامه عليه في سلخ رجب المرجب من شهور سنه ۱۳۰۱.</w:t>
      </w:r>
    </w:p>
    <w:p>
      <w:pPr>
        <w:pStyle w:val="BookText"/>
      </w:pPr>
      <w:r>
        <w:rPr>
          <w:rFonts w:ascii="IRNazanin" w:hAnsi="IRNazanin" w:eastAsia="IRNazanin" w:cs="IRNazanin"/>
          <w:lang w:bidi="fa-IR"/>
          <w:color w:val="111111"/>
          <w:sz w:val="28"/>
          <w:szCs w:val="28"/>
          <w:rtl/>
        </w:rPr>
        <w:t xml:space="preserve">جلد هفتم، مبحث استصحاب؛ خط: نستعلیق مخلوط به شکسته، بی کا، تا: قرن ۱۴؛ در ظهر برگ اول و درون جلد دو یادداشت درباره اوضاع اجتماعی و سیاسی در سال ۱۳۶۲ق؛ واقف: خان بابا مشار، خرداد ۱۳۵۴، کاغذ: فرنگی حنایی، جلد: تیماج عنابی ضربی، ۳۰۵، ۱۶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سم [ف: ۱۶-۵۲]</w:t>
      </w:r>
    </w:p>
    <w:p>
      <w:pPr>
        <w:pStyle w:val="BookText"/>
      </w:pPr>
      <w:r>
        <w:rPr>
          <w:rFonts w:ascii="IRNazanin" w:hAnsi="IRNazanin" w:eastAsia="IRNazanin" w:cs="IRNazanin"/>
          <w:lang w:bidi="fa-IR"/>
          <w:color w:val="111111"/>
          <w:sz w:val="28"/>
          <w:szCs w:val="28"/>
          <w:rtl/>
        </w:rPr>
        <w:t xml:space="preserve">۳۶. مشهد؛ رضوی؛ شماره نسخه: ۹۴۳۴/۳</w:t>
      </w:r>
    </w:p>
    <w:p>
      <w:pPr>
        <w:pStyle w:val="BookText"/>
      </w:pPr>
      <w:r>
        <w:rPr>
          <w:rFonts w:ascii="IRNazanin" w:hAnsi="IRNazanin" w:eastAsia="IRNazanin" w:cs="IRNazanin"/>
          <w:lang w:bidi="fa-IR"/>
          <w:color w:val="111111"/>
          <w:sz w:val="28"/>
          <w:szCs w:val="28"/>
          <w:rtl/>
        </w:rPr>
        <w:t xml:space="preserve">آغاز: اختلفوا في جواز اجتماع الأمر والنهي في شي الواحد و هذه من غوامض المسائل و الاکثر ذکروا هذه المسئله في مباحث الأمر و النهي و ليس على ما ينبغی انجام: أن النسبة بين المعنيين المذكورين بحسب المفهوم هو التباين في نفسه.</w:t>
      </w:r>
    </w:p>
    <w:p>
      <w:pPr>
        <w:pStyle w:val="BookText"/>
      </w:pPr>
      <w:r>
        <w:rPr>
          <w:rFonts w:ascii="IRNazanin" w:hAnsi="IRNazanin" w:eastAsia="IRNazanin" w:cs="IRNazanin"/>
          <w:lang w:bidi="fa-IR"/>
          <w:color w:val="111111"/>
          <w:sz w:val="28"/>
          <w:szCs w:val="28"/>
          <w:rtl/>
        </w:rPr>
        <w:t xml:space="preserve">مباحث اجتماع امر و نهی و احتمالا مجلد دوم و به ضبط حواشی کتاب با سه مقدمه شروع می شود: «الأولى في تحرير محل النزاع؛ الثاني في آن متعلق الأحكام هل هي الطبایع او الأفراد؛ الثالث في تأسيس الأصل في المقام»؛ خط: نستعلیق مخلوط به شکسته، بی کا، تا: قرن ۱۴؛ کاغذ: فرنگی حنایی، جلد: تیماج عنابی ضربی، ۹۱گ، ۱۶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۱۶-۵۳]</w:t>
      </w:r>
    </w:p>
    <w:p>
      <w:pPr>
        <w:pStyle w:val="BookText"/>
      </w:pPr>
      <w:r>
        <w:rPr>
          <w:rFonts w:ascii="IRNazanin" w:hAnsi="IRNazanin" w:eastAsia="IRNazanin" w:cs="IRNazanin"/>
          <w:lang w:bidi="fa-IR"/>
          <w:color w:val="111111"/>
          <w:sz w:val="28"/>
          <w:szCs w:val="28"/>
          <w:rtl/>
        </w:rPr>
        <w:t xml:space="preserve">۳۷. قم، مرعشی؛ شماره نسخه: ۱۰۴۹۰</w:t>
      </w:r>
    </w:p>
    <w:p>
      <w:pPr>
        <w:pStyle w:val="BookText"/>
      </w:pPr>
      <w:r>
        <w:rPr>
          <w:rFonts w:ascii="IRNazanin" w:hAnsi="IRNazanin" w:eastAsia="IRNazanin" w:cs="IRNazanin"/>
          <w:lang w:bidi="fa-IR"/>
          <w:color w:val="111111"/>
          <w:sz w:val="28"/>
          <w:szCs w:val="28"/>
          <w:rtl/>
        </w:rPr>
        <w:t xml:space="preserve">جلد ۷، خط: نسخ، كا: حسین بن محمد علی نیکچه ای، تا: ۱۳۰۰ق، جا: دهخوارقان تبریز؛ در همان سال در مشهد مقدس مقابله و تصحیح شده؛ قطع: وزیری [ میراث شهاب: س ش ۴-۱۰۴۹۰]</w:t>
      </w:r>
    </w:p>
    <w:p>
      <w:pPr>
        <w:pStyle w:val="BookText"/>
      </w:pPr>
      <w:r>
        <w:rPr>
          <w:rFonts w:ascii="IRNazanin" w:hAnsi="IRNazanin" w:eastAsia="IRNazanin" w:cs="IRNazanin"/>
          <w:lang w:bidi="fa-IR"/>
          <w:color w:val="111111"/>
          <w:sz w:val="28"/>
          <w:szCs w:val="28"/>
          <w:rtl/>
        </w:rPr>
        <w:t xml:space="preserve">۳۸. تهران؛ ملک؛ شماره نسخه: ۳۰۴۷</w:t>
      </w:r>
    </w:p>
    <w:p>
      <w:pPr>
        <w:pStyle w:val="BookText"/>
      </w:pPr>
      <w:r>
        <w:rPr>
          <w:rFonts w:ascii="IRNazanin" w:hAnsi="IRNazanin" w:eastAsia="IRNazanin" w:cs="IRNazanin"/>
          <w:lang w:bidi="fa-IR"/>
          <w:color w:val="111111"/>
          <w:sz w:val="28"/>
          <w:szCs w:val="28"/>
          <w:rtl/>
        </w:rPr>
        <w:t xml:space="preserve">از نیمه نخستین است؛ خط: نسخ، كا: مهدی بن علی نجفی، تا: ۱۳۰۲، برای آقا سید احمد بن قوام الدین سید محسن سلطان آبادی؛ کاغذ: فستقی، جلد: میشن سرخ ضربی، ۱۹۷گ، ۲۷ سطر، اندازه: ۲۰/۷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۳۰سم [ف: ۱-۷۲]</w:t>
      </w:r>
    </w:p>
    <w:p>
      <w:pPr>
        <w:pStyle w:val="BookText"/>
      </w:pPr>
      <w:r>
        <w:rPr>
          <w:rFonts w:ascii="IRNazanin" w:hAnsi="IRNazanin" w:eastAsia="IRNazanin" w:cs="IRNazanin"/>
          <w:lang w:bidi="fa-IR"/>
          <w:color w:val="111111"/>
          <w:sz w:val="28"/>
          <w:szCs w:val="28"/>
          <w:rtl/>
        </w:rPr>
        <w:t xml:space="preserve">۳۹. قم؛ حجت کوهکمری؛ شماره نسخه: ۳/۲</w:t>
      </w:r>
    </w:p>
    <w:p>
      <w:pPr>
        <w:pStyle w:val="BookText"/>
      </w:pPr>
      <w:r>
        <w:rPr>
          <w:rFonts w:ascii="IRNazanin" w:hAnsi="IRNazanin" w:eastAsia="IRNazanin" w:cs="IRNazanin"/>
          <w:lang w:bidi="fa-IR"/>
          <w:color w:val="111111"/>
          <w:sz w:val="28"/>
          <w:szCs w:val="28"/>
          <w:rtl/>
        </w:rPr>
        <w:t xml:space="preserve">جلد دوم کتاب و شامل بحث مقدمه واجب، امر به شیء، امر به امر، اجتماع امر و نهی؛ خط: نسخ، بی کا، تا: ۱۳۰۳ق؛ با علامت بلاغ، مصحح [ف: ۱۸]</w:t>
      </w:r>
    </w:p>
    <w:p>
      <w:pPr>
        <w:pStyle w:val="BookText"/>
      </w:pPr>
      <w:r>
        <w:rPr>
          <w:rFonts w:ascii="IRNazanin" w:hAnsi="IRNazanin" w:eastAsia="IRNazanin" w:cs="IRNazanin"/>
          <w:lang w:bidi="fa-IR"/>
          <w:color w:val="111111"/>
          <w:sz w:val="28"/>
          <w:szCs w:val="28"/>
          <w:rtl/>
        </w:rPr>
        <w:t xml:space="preserve">۴۰. مشهد؛ رضوی؛ شماره نسخه: ۱۸۲۴۰</w:t>
      </w:r>
    </w:p>
    <w:p>
      <w:pPr>
        <w:pStyle w:val="BookText"/>
      </w:pPr>
      <w:r>
        <w:rPr>
          <w:rFonts w:ascii="IRNazanin" w:hAnsi="IRNazanin" w:eastAsia="IRNazanin" w:cs="IRNazanin"/>
          <w:lang w:bidi="fa-IR"/>
          <w:color w:val="111111"/>
          <w:sz w:val="28"/>
          <w:szCs w:val="28"/>
          <w:rtl/>
        </w:rPr>
        <w:t xml:space="preserve">آغاز: الدليل و المدلول و دخول اغلب الفتاوى في السنه؛ انجام: معرفه المنعم و صفاته تلك المعرفة و هي الخضوع خط: شکسته نستعلیق، كا: عبدالکریم بن حاجی مهدی جزی، تا: ۲ شوال ۱۳۰۵ق؛ افتادگی: آغاز؛ واقف: آية الله دادمهر، تیر ۱۳۷۱؛ کاغذ: فرنگی نخودی، جلد: مقوا با روکش گالینگور عطف و گوشه ها تیماج خرمایی، ۱۹۲ گ، مختلف السطر،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۱۶-۵۴]</w:t>
      </w:r>
    </w:p>
    <w:p>
      <w:pPr>
        <w:pStyle w:val="BookText"/>
      </w:pPr>
      <w:r>
        <w:rPr>
          <w:rFonts w:ascii="IRNazanin" w:hAnsi="IRNazanin" w:eastAsia="IRNazanin" w:cs="IRNazanin"/>
          <w:lang w:bidi="fa-IR"/>
          <w:color w:val="111111"/>
          <w:sz w:val="28"/>
          <w:szCs w:val="28"/>
          <w:rtl/>
        </w:rPr>
        <w:t xml:space="preserve">۴۱. مشهد؛ رضوی؛ شماره نسخه: ۷۳۲۰</w:t>
      </w:r>
    </w:p>
    <w:p>
      <w:pPr>
        <w:pStyle w:val="BookText"/>
      </w:pPr>
      <w:r>
        <w:rPr>
          <w:rFonts w:ascii="IRNazanin" w:hAnsi="IRNazanin" w:eastAsia="IRNazanin" w:cs="IRNazanin"/>
          <w:lang w:bidi="fa-IR"/>
          <w:color w:val="111111"/>
          <w:sz w:val="28"/>
          <w:szCs w:val="28"/>
          <w:rtl/>
        </w:rPr>
        <w:t xml:space="preserve">آغاز: اصل في القطع و الظن و قبل الأخذ في تحقيق المقام ينبغی التنبيه على شيئي يفيد بصيرة في الشروع.؛ انجام: و قدبقى المقام التعرض للظن في أصول الدين لكنا نقتفي في وضعه اثر القوم فناتی به في باب الاجتهاد و التقليد.</w:t>
      </w:r>
    </w:p>
    <w:p>
      <w:pPr>
        <w:pStyle w:val="BookText"/>
      </w:pPr>
      <w:r>
        <w:rPr>
          <w:rFonts w:ascii="IRNazanin" w:hAnsi="IRNazanin" w:eastAsia="IRNazanin" w:cs="IRNazanin"/>
          <w:lang w:bidi="fa-IR"/>
          <w:color w:val="111111"/>
          <w:sz w:val="28"/>
          <w:szCs w:val="28"/>
          <w:rtl/>
        </w:rPr>
        <w:t xml:space="preserve">جلد ۵، شامل مباحث قطع و ظن؛ خط: نسخ، بی کا، تا: ۷ ربيع الاول ۱۳۰۶ق؛ ۲۱۲ گ، ۱۹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۶-۹</w:t>
      </w:r>
    </w:p>
    <w:p>
      <w:pPr>
        <w:pStyle w:val="BookText"/>
      </w:pPr>
      <w:r>
        <w:rPr>
          <w:rFonts w:ascii="IRNazanin" w:hAnsi="IRNazanin" w:eastAsia="IRNazanin" w:cs="IRNazanin"/>
          <w:lang w:bidi="fa-IR"/>
          <w:color w:val="111111"/>
          <w:sz w:val="28"/>
          <w:szCs w:val="28"/>
          <w:rtl/>
        </w:rPr>
        <w:t xml:space="preserve">۴۲. مشهد؛ گوهرشاد؛ شماره نسخه: ۱۳۸۸</w:t>
      </w:r>
    </w:p>
    <w:p>
      <w:pPr>
        <w:pStyle w:val="BookText"/>
      </w:pPr>
      <w:r>
        <w:rPr>
          <w:rFonts w:ascii="IRNazanin" w:hAnsi="IRNazanin" w:eastAsia="IRNazanin" w:cs="IRNazanin"/>
          <w:lang w:bidi="fa-IR"/>
          <w:color w:val="111111"/>
          <w:sz w:val="28"/>
          <w:szCs w:val="28"/>
          <w:rtl/>
        </w:rPr>
        <w:t xml:space="preserve">آغاز: بسمله الحمدلله و سلام على عباده الذين اصطفی و بعد فيقول العبد الجاني الفانی ... اصل في القطع و الظن و قبل الاخذ و تحقيق المقام ينبغي التنبيه؛ انجام: و قد بقي في المقام التعرض للظن في اصول الدين لكنا نقتضى في وضعه ... فانه المتفضل على من يشاء و ليكن هذا آخر الكلام في المسئله.</w:t>
      </w:r>
    </w:p>
    <w:p>
      <w:pPr>
        <w:pStyle w:val="BookText"/>
      </w:pPr>
      <w:r>
        <w:rPr>
          <w:rFonts w:ascii="IRNazanin" w:hAnsi="IRNazanin" w:eastAsia="IRNazanin" w:cs="IRNazanin"/>
          <w:lang w:bidi="fa-IR"/>
          <w:color w:val="111111"/>
          <w:sz w:val="28"/>
          <w:szCs w:val="28"/>
          <w:rtl/>
        </w:rPr>
        <w:t xml:space="preserve">جلد پنجم مشتمل بر مباحث قطع و ظن؛ خط: نسخ، كا: محمد حسین اصفهانی، تا: رجب ۱۳۰۶ق؛ استكتاب نصیر الدین؛ کاغذ: کاهی، جلد: تیماج سرخ، ۱۸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۴-۱۹۷۴]</w:t>
      </w:r>
    </w:p>
    <w:p>
      <w:pPr>
        <w:pStyle w:val="BookText"/>
      </w:pPr>
      <w:r>
        <w:rPr>
          <w:rFonts w:ascii="IRNazanin" w:hAnsi="IRNazanin" w:eastAsia="IRNazanin" w:cs="IRNazanin"/>
          <w:lang w:bidi="fa-IR"/>
          <w:color w:val="111111"/>
          <w:sz w:val="28"/>
          <w:szCs w:val="28"/>
          <w:rtl/>
        </w:rPr>
        <w:t xml:space="preserve">۴۳. قم؛ مرعشی؛ شماره نسخه: ۱۱۶۸۶</w:t>
      </w:r>
    </w:p>
    <w:p>
      <w:pPr>
        <w:pStyle w:val="BookText"/>
      </w:pPr>
      <w:r>
        <w:rPr>
          <w:rFonts w:ascii="IRNazanin" w:hAnsi="IRNazanin" w:eastAsia="IRNazanin" w:cs="IRNazanin"/>
          <w:lang w:bidi="fa-IR"/>
          <w:color w:val="111111"/>
          <w:sz w:val="28"/>
          <w:szCs w:val="28"/>
          <w:rtl/>
        </w:rPr>
        <w:t xml:space="preserve">آغاز: الحمدلله و سلام على عباده الذين اصطفی و بعد فيقول العبد الجاني الفاني أسير الآمال و الأمانی؛ انجام: إلا أن الظاهر المعتبر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العقلاء هو الدخول و لهذا يقدمه الفقهاء على الأصل وليكن هذا آخر الكلام في هذا الكتاب.</w:t>
      </w:r>
    </w:p>
    <w:p>
      <w:pPr>
        <w:pStyle w:val="BookText"/>
      </w:pPr>
      <w:r>
        <w:rPr>
          <w:rFonts w:ascii="IRNazanin" w:hAnsi="IRNazanin" w:eastAsia="IRNazanin" w:cs="IRNazanin"/>
          <w:lang w:bidi="fa-IR"/>
          <w:color w:val="111111"/>
          <w:sz w:val="28"/>
          <w:szCs w:val="28"/>
          <w:rtl/>
        </w:rPr>
        <w:t xml:space="preserve">خط: نسخ خوش، کا: محمد علی فرزند میرزا خلیل، خوانساری، تا: ۱ محرم ۱۳۰۷ق، جا: نجف اشرف؛ مصحح؛ مهر: «الواثق بالله الغني محمد بن الحسن الحسینی» (مربع)؛ کاغذ: فرنگی، آهار مهره، جلد: تیماج زرشکی، ضربی، مجدول؛ ۲۵۸گ، ۲۵ سطر (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۲۶/۵ سم [ف: ۲۹-۴۶۹]</w:t>
      </w:r>
    </w:p>
    <w:p>
      <w:pPr>
        <w:pStyle w:val="BookText"/>
      </w:pPr>
      <w:r>
        <w:rPr>
          <w:rFonts w:ascii="IRNazanin" w:hAnsi="IRNazanin" w:eastAsia="IRNazanin" w:cs="IRNazanin"/>
          <w:lang w:bidi="fa-IR"/>
          <w:color w:val="111111"/>
          <w:sz w:val="28"/>
          <w:szCs w:val="28"/>
          <w:rtl/>
        </w:rPr>
        <w:t xml:space="preserve">۴۴. قم؛ مرعشی؛ شماره نسخه: ۱۱۲۱۶</w:t>
      </w:r>
    </w:p>
    <w:p>
      <w:pPr>
        <w:pStyle w:val="BookText"/>
      </w:pPr>
      <w:r>
        <w:rPr>
          <w:rFonts w:ascii="Amiri" w:hAnsi="Amiri" w:eastAsia="Amiri" w:cs="Amiri"/>
          <w:lang w:bidi="ar-SA"/>
          <w:color w:val="111111"/>
          <w:sz w:val="28"/>
          <w:szCs w:val="28"/>
          <w:rtl/>
        </w:rPr>
        <w:t xml:space="preserve">آغاز: برابر؛ انجام: و لابد في اثبات مازاد عن ذلك من الرجوع الى الادلة كما في الأمر عقيب الحظر فافهم</w:t>
      </w:r>
    </w:p>
    <w:p>
      <w:pPr>
        <w:pStyle w:val="BookText"/>
      </w:pPr>
      <w:r>
        <w:rPr>
          <w:rFonts w:ascii="IRNazanin" w:hAnsi="IRNazanin" w:eastAsia="IRNazanin" w:cs="IRNazanin"/>
          <w:lang w:bidi="fa-IR"/>
          <w:color w:val="111111"/>
          <w:sz w:val="28"/>
          <w:szCs w:val="28"/>
          <w:rtl/>
        </w:rPr>
        <w:t xml:space="preserve">خط: نسخ زیبا، بی کا، تا: ۱۳۰۸ق؛ مصحح، مقابله شده با عبارت قوبلت مع نسخه الاصل»، محشی؛ کاغذ: سمرقندی، آهار مهره، جلد: تیماج قرمز ضربی مجدول، ۹۸گ، ۲۷ سطر (۲۳۷۱۳)،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۳۰سم [ف: ۲۸-۳۱۲]</w:t>
      </w:r>
    </w:p>
    <w:p>
      <w:pPr>
        <w:pStyle w:val="BookText"/>
      </w:pPr>
      <w:r>
        <w:rPr>
          <w:rFonts w:ascii="IRNazanin" w:hAnsi="IRNazanin" w:eastAsia="IRNazanin" w:cs="IRNazanin"/>
          <w:lang w:bidi="fa-IR"/>
          <w:color w:val="111111"/>
          <w:sz w:val="28"/>
          <w:szCs w:val="28"/>
          <w:rtl/>
        </w:rPr>
        <w:t xml:space="preserve">۴۵. مشهد؛ گوهرشاد؛ شماره نسخه: ۱۴۱۵</w:t>
      </w:r>
    </w:p>
    <w:p>
      <w:pPr>
        <w:pStyle w:val="BookText"/>
      </w:pPr>
      <w:r>
        <w:rPr>
          <w:rFonts w:ascii="IRNazanin" w:hAnsi="IRNazanin" w:eastAsia="IRNazanin" w:cs="IRNazanin"/>
          <w:lang w:bidi="fa-IR"/>
          <w:color w:val="111111"/>
          <w:sz w:val="28"/>
          <w:szCs w:val="28"/>
          <w:rtl/>
        </w:rPr>
        <w:t xml:space="preserve">آغاز: بسمله الحمدلله و سلام على عباده الذين اصطفی و بعد فيقول العبد الجانی ... اصل من جملة الأدلة العقلية اصل البرائه و قبل الاخذ؛ انجام: بضمان صاحب المجرة للدنيا هذا منتهى المقال في هذا المقام و يتلوه الكلام في الاستصحاب ...</w:t>
      </w:r>
    </w:p>
    <w:p>
      <w:pPr>
        <w:pStyle w:val="BookText"/>
      </w:pPr>
      <w:r>
        <w:rPr>
          <w:rFonts w:ascii="IRNazanin" w:hAnsi="IRNazanin" w:eastAsia="IRNazanin" w:cs="IRNazanin"/>
          <w:lang w:bidi="fa-IR"/>
          <w:color w:val="111111"/>
          <w:sz w:val="28"/>
          <w:szCs w:val="28"/>
          <w:rtl/>
        </w:rPr>
        <w:t xml:space="preserve">جلد ۶ شامل مبحث اصالة البرائه؛ خط: نسخ، كا: محمد هاشم بن محمد بشیر، تا: شب ۲۳ ربیع الاول ۱۳۰۹ق؛ کاغذ: زرد و سفید، جلد: تیماج ضربی قهوه ای، ۲۰ سطر (۱۰/۵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۱۶/۵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۴-۱۹۹۶]</w:t>
      </w:r>
    </w:p>
    <w:p>
      <w:pPr>
        <w:pStyle w:val="BookText"/>
      </w:pPr>
      <w:r>
        <w:rPr>
          <w:rFonts w:ascii="IRNazanin" w:hAnsi="IRNazanin" w:eastAsia="IRNazanin" w:cs="IRNazanin"/>
          <w:lang w:bidi="fa-IR"/>
          <w:color w:val="111111"/>
          <w:sz w:val="28"/>
          <w:szCs w:val="28"/>
          <w:rtl/>
        </w:rPr>
        <w:t xml:space="preserve">۴۶. قم؛ مرعشی؛ شماره نسخه: ۸۸۰۷</w:t>
      </w:r>
    </w:p>
    <w:p>
      <w:pPr>
        <w:pStyle w:val="BookText"/>
      </w:pPr>
      <w:r>
        <w:rPr>
          <w:rFonts w:ascii="IRNazanin" w:hAnsi="IRNazanin" w:eastAsia="IRNazanin" w:cs="IRNazanin"/>
          <w:lang w:bidi="fa-IR"/>
          <w:color w:val="111111"/>
          <w:sz w:val="28"/>
          <w:szCs w:val="28"/>
          <w:rtl/>
        </w:rPr>
        <w:t xml:space="preserve">خط: متن دعا نسخ معرب، كا: عبدالله بن محمد موسوی جزائری، تا: دوشنبه ۶ جمادی الثانی ۱۳۱۰ق، جا: نجف اشرف؛ جلد: تیماج قرمز، ۲۷۷گ، ۲۰ سطر، اندازه: ۱۶</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 سم [ف: ۲۳-۷]</w:t>
      </w:r>
    </w:p>
    <w:p>
      <w:pPr>
        <w:pStyle w:val="BookText"/>
      </w:pPr>
      <w:r>
        <w:rPr>
          <w:rFonts w:ascii="IRNazanin" w:hAnsi="IRNazanin" w:eastAsia="IRNazanin" w:cs="IRNazanin"/>
          <w:lang w:bidi="fa-IR"/>
          <w:color w:val="111111"/>
          <w:sz w:val="28"/>
          <w:szCs w:val="28"/>
          <w:rtl/>
        </w:rPr>
        <w:t xml:space="preserve">۴۷. قم؛ مرعشی؛ شماره نسخه: ۱۰۴۸۵</w:t>
      </w:r>
    </w:p>
    <w:p>
      <w:pPr>
        <w:pStyle w:val="BookText"/>
      </w:pPr>
      <w:r>
        <w:rPr>
          <w:rFonts w:ascii="IRNazanin" w:hAnsi="IRNazanin" w:eastAsia="IRNazanin" w:cs="IRNazanin"/>
          <w:lang w:bidi="fa-IR"/>
          <w:color w:val="111111"/>
          <w:sz w:val="28"/>
          <w:szCs w:val="28"/>
          <w:rtl/>
        </w:rPr>
        <w:t xml:space="preserve">جلد ۴؛ خط: نسخ، کا: محمود بروجردی، تا: ۱۳۱۶ق؛ مصحح، مقابله شده با نسخه اصل توسط شیخ حسین بن احمد انبوهی کیانی</w:t>
      </w:r>
    </w:p>
    <w:p>
      <w:pPr>
        <w:pStyle w:val="BookText"/>
      </w:pPr>
      <w:r>
        <w:rPr>
          <w:rFonts w:ascii="IRNazanin" w:hAnsi="IRNazanin" w:eastAsia="IRNazanin" w:cs="IRNazanin"/>
          <w:lang w:bidi="fa-IR"/>
          <w:color w:val="111111"/>
          <w:sz w:val="28"/>
          <w:szCs w:val="28"/>
          <w:rtl/>
        </w:rPr>
        <w:t xml:space="preserve">غروی به سال ۱۳۱۷ق؛ قطع: رحلی [میراث شهاب: س ش ۴-۷۱]</w:t>
      </w:r>
    </w:p>
    <w:p>
      <w:pPr>
        <w:pStyle w:val="BookText"/>
      </w:pPr>
      <w:r>
        <w:rPr>
          <w:rFonts w:ascii="IRNazanin" w:hAnsi="IRNazanin" w:eastAsia="IRNazanin" w:cs="IRNazanin"/>
          <w:lang w:bidi="fa-IR"/>
          <w:color w:val="111111"/>
          <w:sz w:val="28"/>
          <w:szCs w:val="28"/>
          <w:rtl/>
        </w:rPr>
        <w:t xml:space="preserve">۴۸. قم؛ مرعشی؛ شماره نسخه: ۱۰۴۸۶</w:t>
      </w:r>
    </w:p>
    <w:p>
      <w:pPr>
        <w:pStyle w:val="BookText"/>
      </w:pPr>
      <w:r>
        <w:rPr>
          <w:rFonts w:ascii="IRNazanin" w:hAnsi="IRNazanin" w:eastAsia="IRNazanin" w:cs="IRNazanin"/>
          <w:lang w:bidi="fa-IR"/>
          <w:color w:val="111111"/>
          <w:sz w:val="28"/>
          <w:szCs w:val="28"/>
          <w:rtl/>
        </w:rPr>
        <w:t xml:space="preserve">جلد ۵ خط: نسخ، بی کا، تا: ۱۳۱۶ق؛ قطع: رحلی [میراث شهاب: س ۸ش ۴-۷۱]</w:t>
      </w:r>
    </w:p>
    <w:p>
      <w:pPr>
        <w:pStyle w:val="BookText"/>
      </w:pPr>
      <w:r>
        <w:rPr>
          <w:rFonts w:ascii="IRNazanin" w:hAnsi="IRNazanin" w:eastAsia="IRNazanin" w:cs="IRNazanin"/>
          <w:lang w:bidi="fa-IR"/>
          <w:color w:val="111111"/>
          <w:sz w:val="28"/>
          <w:szCs w:val="28"/>
          <w:rtl/>
        </w:rPr>
        <w:t xml:space="preserve">۴۹. قم؛ مرکز احیاء؛ شماره نسخه: ۴۴۷۷</w:t>
      </w:r>
    </w:p>
    <w:p>
      <w:pPr>
        <w:pStyle w:val="BookText"/>
      </w:pPr>
      <w:r>
        <w:rPr>
          <w:rFonts w:ascii="IRNazanin" w:hAnsi="IRNazanin" w:eastAsia="IRNazanin" w:cs="IRNazanin"/>
          <w:lang w:bidi="fa-IR"/>
          <w:color w:val="111111"/>
          <w:sz w:val="28"/>
          <w:szCs w:val="28"/>
          <w:rtl/>
        </w:rPr>
        <w:t xml:space="preserve">آغاز: اصل لا خلاف في انه يجوز امر الامر مع جهله بانتفاء الشرط و انه يكون الأمر حينئذ مشروطا كما من النهاية الاجماع على ما ذکر؛ انجام: و قد عرفت ضعفه كما عرفت ضعف سائرا دلتهم فراجع و تدبر و الحمدلله اولا وآخرا و ظاهرا وباطنا</w:t>
      </w:r>
    </w:p>
    <w:p>
      <w:pPr>
        <w:pStyle w:val="BookText"/>
      </w:pPr>
      <w:r>
        <w:rPr>
          <w:rFonts w:ascii="IRNazanin" w:hAnsi="IRNazanin" w:eastAsia="IRNazanin" w:cs="IRNazanin"/>
          <w:lang w:bidi="fa-IR"/>
          <w:color w:val="111111"/>
          <w:sz w:val="28"/>
          <w:szCs w:val="28"/>
          <w:rtl/>
        </w:rPr>
        <w:t xml:space="preserve">جزء اول و دوم و دارای مباحث: مفهوم شرط، اجتماع الامر و النهي في شيء واحد، الأمر بالشيء هل يقتضي وجوب ما لايتم الابه، مبحث الضد؛ خط: نسخ، كا: محمد حسین بن محمد حسن رشتی گیلانی، تا: ۵ محرم ۱۳۲۱ق (پایان جزء اول) شعبان ۱۳۲۰ (پایان کتاب)؛ مصحح؛ جلد: مقوایی ابر و باد عطف و گوشه ها تیماج مشکی، ۱۸۱گ، ۲۴ سطر، اندازه: ۱۹/۵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۲۷/۵سم [محدث ارموی مخ: ۱-۲۵۴]</w:t>
      </w:r>
    </w:p>
    <w:p>
      <w:pPr>
        <w:pStyle w:val="BookText"/>
      </w:pPr>
      <w:r>
        <w:rPr>
          <w:rFonts w:ascii="IRNazanin" w:hAnsi="IRNazanin" w:eastAsia="IRNazanin" w:cs="IRNazanin"/>
          <w:lang w:bidi="fa-IR"/>
          <w:color w:val="111111"/>
          <w:sz w:val="28"/>
          <w:szCs w:val="28"/>
          <w:rtl/>
        </w:rPr>
        <w:t xml:space="preserve">۵۰. قم؛ مرعشی؛ شماره نسخه: ۸۸۰۹</w:t>
      </w:r>
    </w:p>
    <w:p>
      <w:pPr>
        <w:pStyle w:val="BookText"/>
      </w:pPr>
      <w:r>
        <w:rPr>
          <w:rFonts w:ascii="IRNazanin" w:hAnsi="IRNazanin" w:eastAsia="IRNazanin" w:cs="IRNazanin"/>
          <w:lang w:bidi="fa-IR"/>
          <w:color w:val="111111"/>
          <w:sz w:val="28"/>
          <w:szCs w:val="28"/>
          <w:rtl/>
        </w:rPr>
        <w:t xml:space="preserve">جلد هشتم کتاب در مباحث استصحاب و از پایان افتاده دارد؛ خط: نسخ، بی کا، تا: ۱۳۲۳ق؛ افتادگی: انجام؛ جلد: تیماج قرمز، ۳۰۱گ، ۲۰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۲۳-۸ ]</w:t>
      </w:r>
    </w:p>
    <w:p>
      <w:pPr>
        <w:pStyle w:val="BookText"/>
      </w:pPr>
      <w:r>
        <w:rPr>
          <w:rFonts w:ascii="IRNazanin" w:hAnsi="IRNazanin" w:eastAsia="IRNazanin" w:cs="IRNazanin"/>
          <w:lang w:bidi="fa-IR"/>
          <w:color w:val="111111"/>
          <w:sz w:val="28"/>
          <w:szCs w:val="28"/>
          <w:rtl/>
        </w:rPr>
        <w:t xml:space="preserve">۵۱. قم؛ گلپایگانی؛ شماره نسخه: ۳۷۵۳/۳ -۱۹/۸۳</w:t>
      </w:r>
    </w:p>
    <w:p>
      <w:pPr>
        <w:pStyle w:val="BookText"/>
      </w:pPr>
      <w:r>
        <w:rPr>
          <w:rFonts w:ascii="IRNazanin" w:hAnsi="IRNazanin" w:eastAsia="IRNazanin" w:cs="IRNazanin"/>
          <w:lang w:bidi="fa-IR"/>
          <w:color w:val="111111"/>
          <w:sz w:val="28"/>
          <w:szCs w:val="28"/>
          <w:rtl/>
        </w:rPr>
        <w:t xml:space="preserve">آغاز: بسمله الحمدلله و سلام على عباده الذين اصطفى وبعد فيقول العبد الجانی ... محمد حسن بن عبدالله المامقانی آن هذا هو الجزء الثالث من كتاب بشرى الوصول؛ انجام: بقى هاهنا أمر ينبغی التعرض اله و هو ان الفاضل القمي يرى أن الأصل في الأمر الظاهري الشرعي هو الأجزاء ... اذا كان قد اتی به على وجه لايوجد فيه خلل متیقن او متحمل.</w:t>
      </w:r>
    </w:p>
    <w:p>
      <w:pPr>
        <w:pStyle w:val="BookText"/>
      </w:pPr>
      <w:r>
        <w:rPr>
          <w:rFonts w:ascii="IRNazanin" w:hAnsi="IRNazanin" w:eastAsia="IRNazanin" w:cs="IRNazanin"/>
          <w:lang w:bidi="fa-IR"/>
          <w:color w:val="111111"/>
          <w:sz w:val="28"/>
          <w:szCs w:val="28"/>
          <w:rtl/>
        </w:rPr>
        <w:t xml:space="preserve">جلد سوم؛ خط: نسخ، كا: میرزا محمد قمی، تا: چهارشنبه ۴ جمادی الثانی ۱۳۳۰ق؛ افتادگی: انجام؛ محشی با امضای «منه ره» ؛ جلد: مقوایی، عطف تیماج قهوه ای، ۴۰گ، ۱۶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۲-۶۲۳]</w:t>
      </w:r>
    </w:p>
    <w:p>
      <w:pPr>
        <w:pStyle w:val="BookText"/>
      </w:pPr>
      <w:r>
        <w:rPr>
          <w:rFonts w:ascii="IRNazanin" w:hAnsi="IRNazanin" w:eastAsia="IRNazanin" w:cs="IRNazanin"/>
          <w:lang w:bidi="fa-IR"/>
          <w:color w:val="111111"/>
          <w:sz w:val="28"/>
          <w:szCs w:val="28"/>
          <w:rtl/>
        </w:rPr>
        <w:t xml:space="preserve">۵۲. قم؛ فیضیه؛ شماره نسخه: ۶۲۶</w:t>
      </w:r>
    </w:p>
    <w:p>
      <w:pPr>
        <w:pStyle w:val="BookText"/>
      </w:pPr>
      <w:r>
        <w:rPr>
          <w:rFonts w:ascii="IRNazanin" w:hAnsi="IRNazanin" w:eastAsia="IRNazanin" w:cs="IRNazanin"/>
          <w:lang w:bidi="fa-IR"/>
          <w:color w:val="111111"/>
          <w:sz w:val="28"/>
          <w:szCs w:val="28"/>
          <w:rtl/>
        </w:rPr>
        <w:t xml:space="preserve">آغاز: الحمد لله و سلام على عباده الذين اصطفی</w:t>
      </w:r>
    </w:p>
    <w:p>
      <w:pPr>
        <w:pStyle w:val="BookText"/>
      </w:pPr>
      <w:r>
        <w:rPr>
          <w:rFonts w:ascii="IRNazanin" w:hAnsi="IRNazanin" w:eastAsia="IRNazanin" w:cs="IRNazanin"/>
          <w:lang w:bidi="fa-IR"/>
          <w:color w:val="111111"/>
          <w:sz w:val="28"/>
          <w:szCs w:val="28"/>
          <w:rtl/>
        </w:rPr>
        <w:t xml:space="preserve">جلد پنجم شامل مباحث قطع و ظن؛ خط: نستعلیق، بی کا، تا: ۱۳۷۰ق، ۲۰۶گ، ۲۰ 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۱-۳۳]</w:t>
      </w:r>
    </w:p>
    <w:p>
      <w:pPr>
        <w:pStyle w:val="BookText"/>
      </w:pPr>
      <w:r>
        <w:rPr>
          <w:rFonts w:ascii="IRNazanin" w:hAnsi="IRNazanin" w:eastAsia="IRNazanin" w:cs="IRNazanin"/>
          <w:lang w:bidi="fa-IR"/>
          <w:color w:val="111111"/>
          <w:sz w:val="28"/>
          <w:szCs w:val="28"/>
          <w:rtl/>
        </w:rPr>
        <w:t xml:space="preserve">۵۳. قم؛ مرعشی؛ شماره نسخه: ۸۸۰۶</w:t>
      </w:r>
    </w:p>
    <w:p>
      <w:pPr>
        <w:pStyle w:val="BookText"/>
      </w:pPr>
      <w:r>
        <w:rPr>
          <w:rFonts w:ascii="IRNazanin" w:hAnsi="IRNazanin" w:eastAsia="IRNazanin" w:cs="IRNazanin"/>
          <w:lang w:bidi="fa-IR"/>
          <w:color w:val="111111"/>
          <w:sz w:val="28"/>
          <w:szCs w:val="28"/>
          <w:rtl/>
        </w:rPr>
        <w:t xml:space="preserve">جلد پنجم، دارای مباحث قطع و ظن؛ خط: نسخ، بی کا، تا: در عصر مؤلف؛ مهر: کتابخانه شيخ محمد امین نجفی خوئی؛ جلد: تیماج قرمز، ۲۷۵ گ، ۲۰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۲۳-۶]</w:t>
      </w:r>
    </w:p>
    <w:p>
      <w:pPr>
        <w:pStyle w:val="BookText"/>
      </w:pPr>
      <w:r>
        <w:rPr>
          <w:rFonts w:ascii="IRNazanin" w:hAnsi="IRNazanin" w:eastAsia="IRNazanin" w:cs="IRNazanin"/>
          <w:lang w:bidi="fa-IR"/>
          <w:color w:val="111111"/>
          <w:sz w:val="28"/>
          <w:szCs w:val="28"/>
          <w:rtl/>
        </w:rPr>
        <w:t xml:space="preserve">۵۴. قم؛ مرعشی؛ شماره نسخه: ۸۸۰۸</w:t>
      </w:r>
    </w:p>
    <w:p>
      <w:pPr>
        <w:pStyle w:val="BookText"/>
      </w:pPr>
      <w:r>
        <w:rPr>
          <w:rFonts w:ascii="IRNazanin" w:hAnsi="IRNazanin" w:eastAsia="IRNazanin" w:cs="IRNazanin"/>
          <w:lang w:bidi="fa-IR"/>
          <w:color w:val="111111"/>
          <w:sz w:val="28"/>
          <w:szCs w:val="28"/>
          <w:rtl/>
        </w:rPr>
        <w:t xml:space="preserve">جلد هفتم، در استصحاب؛ خط: نسخ، بی کا، بی تا، جلد: تیماج قرمز، ۳۶۱، ۲۰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۲۳-۷]</w:t>
      </w:r>
    </w:p>
    <w:p>
      <w:pPr>
        <w:pStyle w:val="BookText"/>
      </w:pPr>
      <w:r>
        <w:rPr>
          <w:rFonts w:ascii="IRNazanin" w:hAnsi="IRNazanin" w:eastAsia="IRNazanin" w:cs="IRNazanin"/>
          <w:lang w:bidi="fa-IR"/>
          <w:color w:val="111111"/>
          <w:sz w:val="28"/>
          <w:szCs w:val="28"/>
          <w:rtl/>
        </w:rPr>
        <w:t xml:space="preserve">۵۵. تهران: مجلس؛ شماره نسخه: ۹۲۵۱/۱</w:t>
      </w:r>
    </w:p>
    <w:p>
      <w:pPr>
        <w:pStyle w:val="BookText"/>
      </w:pPr>
      <w:r>
        <w:rPr>
          <w:rFonts w:ascii="IRNazanin" w:hAnsi="IRNazanin" w:eastAsia="IRNazanin" w:cs="IRNazanin"/>
          <w:lang w:bidi="fa-IR"/>
          <w:color w:val="111111"/>
          <w:sz w:val="28"/>
          <w:szCs w:val="28"/>
          <w:rtl/>
        </w:rPr>
        <w:t xml:space="preserve">آغاز: اصل في التعارض و التعادل و الترجيح و قبل الأخذ في تحقيق المقام ينبغي تقديم امر؛ انجام: و لهذا يقدمه على الاصل و ليكن هذا آخر الكلام في هذا الكتاب المسمی ببشرى الوصول الى اسرار علم الاصول</w:t>
      </w:r>
    </w:p>
    <w:p>
      <w:pPr>
        <w:pStyle w:val="BookText"/>
      </w:pPr>
      <w:r>
        <w:rPr>
          <w:rFonts w:ascii="IRNazanin" w:hAnsi="IRNazanin" w:eastAsia="IRNazanin" w:cs="IRNazanin"/>
          <w:lang w:bidi="fa-IR"/>
          <w:color w:val="111111"/>
          <w:sz w:val="28"/>
          <w:szCs w:val="28"/>
          <w:rtl/>
        </w:rPr>
        <w:t xml:space="preserve">نسخه حاضر «اصل في التعارض و التعادل و التراجيح»؛ بی کا، بیتا؛ جلد: تیماج مشکی با ترنج و سرترنج زرین، ۸۹گ (۵پ - ۹۳ر)،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۳۰-۳۵]</w:t>
      </w:r>
    </w:p>
    <w:p>
      <w:pPr>
        <w:pStyle w:val="BookText"/>
      </w:pPr>
      <w:r>
        <w:rPr>
          <w:rFonts w:ascii="IRNazanin" w:hAnsi="IRNazanin" w:eastAsia="IRNazanin" w:cs="IRNazanin"/>
          <w:lang w:bidi="fa-IR"/>
          <w:color w:val="111111"/>
          <w:sz w:val="28"/>
          <w:szCs w:val="28"/>
          <w:rtl/>
        </w:rPr>
        <w:t xml:space="preserve">۵۶. تبریز؛ قاضی طباطبائی؛ شماره نسخه: بدون شماره</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بی کا، بی تا [نشریه: ۷-۵۱۳]</w:t>
      </w:r>
    </w:p>
    <w:p>
      <w:pPr>
        <w:pStyle w:val="BookText"/>
      </w:pPr>
      <w:r>
        <w:rPr>
          <w:rFonts w:ascii="IRNazanin" w:hAnsi="IRNazanin" w:eastAsia="IRNazanin" w:cs="IRNazanin"/>
          <w:lang w:bidi="fa-IR"/>
          <w:color w:val="111111"/>
          <w:sz w:val="28"/>
          <w:szCs w:val="28"/>
          <w:rtl/>
        </w:rPr>
        <w:t xml:space="preserve">۵۷. قم؛ مهدوی (کتابخانه)؛ شماره نسخه: بدون شماره</w:t>
      </w:r>
    </w:p>
    <w:p>
      <w:pPr>
        <w:pStyle w:val="BookText"/>
      </w:pPr>
      <w:r>
        <w:rPr>
          <w:rFonts w:ascii="IRNazanin" w:hAnsi="IRNazanin" w:eastAsia="IRNazanin" w:cs="IRNazanin"/>
          <w:lang w:bidi="fa-IR"/>
          <w:color w:val="111111"/>
          <w:sz w:val="28"/>
          <w:szCs w:val="28"/>
          <w:rtl/>
        </w:rPr>
        <w:t xml:space="preserve">الجزء الرابع؛ بی کا، بی تا [ تراثنا، س ۱۸ ش ۱و ۲-۲۰۶]</w:t>
      </w:r>
    </w:p>
    <w:p>
      <w:pPr>
        <w:pStyle w:val="BookText"/>
      </w:pPr>
      <w:r>
        <w:rPr>
          <w:rFonts w:ascii="IRNazanin" w:hAnsi="IRNazanin" w:eastAsia="IRNazanin" w:cs="IRNazanin"/>
          <w:lang w:bidi="fa-IR"/>
          <w:color w:val="111111"/>
          <w:sz w:val="28"/>
          <w:szCs w:val="28"/>
          <w:rtl/>
        </w:rPr>
        <w:t xml:space="preserve">۵۸. تهران؛ مجلس؛ شماره نسخه: ۱۷۵۴۷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جلد اول؛ بی کا، بی تا؛ برخی مجلدات به خط و تصحیح فرزند مؤلف شیخ عبد الله مامقانی است [د.ث. مجلس ]</w:t>
      </w:r>
    </w:p>
    <w:p>
      <w:pPr>
        <w:pStyle w:val="BookText"/>
      </w:pPr>
      <w:r>
        <w:rPr>
          <w:rFonts w:ascii="IRNazanin" w:hAnsi="IRNazanin" w:eastAsia="IRNazanin" w:cs="IRNazanin"/>
          <w:lang w:bidi="fa-IR"/>
          <w:color w:val="111111"/>
          <w:sz w:val="28"/>
          <w:szCs w:val="28"/>
          <w:rtl/>
        </w:rPr>
        <w:t xml:space="preserve">۵۹. تهران؛ مجلس؛ شماره نسخه: ۱۷۵۴۸</w:t>
      </w:r>
    </w:p>
    <w:p>
      <w:pPr>
        <w:pStyle w:val="BookText"/>
      </w:pPr>
      <w:r>
        <w:rPr>
          <w:rFonts w:ascii="IRNazanin" w:hAnsi="IRNazanin" w:eastAsia="IRNazanin" w:cs="IRNazanin"/>
          <w:lang w:bidi="fa-IR"/>
          <w:color w:val="111111"/>
          <w:sz w:val="28"/>
          <w:szCs w:val="28"/>
          <w:rtl/>
        </w:rPr>
        <w:t xml:space="preserve">جلد دوم؛ بی کا، بی تا؛ برخی مجلدات به خط و تصحیح فرزند مؤلف شیخ عبدالله مامقانی است [د.ث. مجلس]</w:t>
      </w:r>
    </w:p>
    <w:p>
      <w:pPr>
        <w:pStyle w:val="BookText"/>
      </w:pPr>
      <w:r>
        <w:rPr>
          <w:rFonts w:ascii="IRNazanin" w:hAnsi="IRNazanin" w:eastAsia="IRNazanin" w:cs="IRNazanin"/>
          <w:lang w:bidi="fa-IR"/>
          <w:color w:val="111111"/>
          <w:sz w:val="28"/>
          <w:szCs w:val="28"/>
          <w:rtl/>
        </w:rPr>
        <w:t xml:space="preserve">۶۰. تهران؛ مجلس؛ شماره نسخه: ۱۷۵۴۹</w:t>
      </w:r>
    </w:p>
    <w:p>
      <w:pPr>
        <w:pStyle w:val="BookText"/>
      </w:pPr>
      <w:r>
        <w:rPr>
          <w:rFonts w:ascii="IRNazanin" w:hAnsi="IRNazanin" w:eastAsia="IRNazanin" w:cs="IRNazanin"/>
          <w:lang w:bidi="fa-IR"/>
          <w:color w:val="111111"/>
          <w:sz w:val="28"/>
          <w:szCs w:val="28"/>
          <w:rtl/>
        </w:rPr>
        <w:t xml:space="preserve">جلد سوم؛ بی کا، بی تا؛ برخی مجلدات به خط و تصحیح فرزند مؤلف شیخ عبدالله مامقانی است [د.ث. مجلس]</w:t>
      </w:r>
    </w:p>
    <w:p>
      <w:pPr>
        <w:pStyle w:val="BookText"/>
      </w:pPr>
      <w:r>
        <w:rPr>
          <w:rFonts w:ascii="IRNazanin" w:hAnsi="IRNazanin" w:eastAsia="IRNazanin" w:cs="IRNazanin"/>
          <w:lang w:bidi="fa-IR"/>
          <w:color w:val="111111"/>
          <w:sz w:val="28"/>
          <w:szCs w:val="28"/>
          <w:rtl/>
        </w:rPr>
        <w:t xml:space="preserve">۶۱. تهران؛ مجلس؛ شماره نسخه: ۱۷۵۵۰</w:t>
      </w:r>
    </w:p>
    <w:p>
      <w:pPr>
        <w:pStyle w:val="BookText"/>
      </w:pPr>
      <w:r>
        <w:rPr>
          <w:rFonts w:ascii="IRNazanin" w:hAnsi="IRNazanin" w:eastAsia="IRNazanin" w:cs="IRNazanin"/>
          <w:lang w:bidi="fa-IR"/>
          <w:color w:val="111111"/>
          <w:sz w:val="28"/>
          <w:szCs w:val="28"/>
          <w:rtl/>
        </w:rPr>
        <w:t xml:space="preserve">جلد چهارم؛ بی کا، بی تا؛ برخی مجلدات به خط و تصحیح فرزند مؤلف شیخ عبدالله مامقانی است [د.ث. مجلس]</w:t>
      </w:r>
    </w:p>
    <w:p>
      <w:pPr>
        <w:pStyle w:val="BookText"/>
      </w:pPr>
      <w:r>
        <w:rPr>
          <w:rFonts w:ascii="IRNazanin" w:hAnsi="IRNazanin" w:eastAsia="IRNazanin" w:cs="IRNazanin"/>
          <w:lang w:bidi="fa-IR"/>
          <w:color w:val="111111"/>
          <w:sz w:val="28"/>
          <w:szCs w:val="28"/>
          <w:rtl/>
        </w:rPr>
        <w:t xml:space="preserve">۶۲. قم، گلپایگانی؛ شماره نسخه: ۷۰۷۸- ۳۶/۷۸</w:t>
      </w:r>
    </w:p>
    <w:p>
      <w:pPr>
        <w:pStyle w:val="BookText"/>
      </w:pPr>
      <w:r>
        <w:rPr>
          <w:rFonts w:ascii="Amiri" w:hAnsi="Amiri" w:eastAsia="Amiri" w:cs="Amiri"/>
          <w:lang w:bidi="ar-SA"/>
          <w:color w:val="111111"/>
          <w:sz w:val="28"/>
          <w:szCs w:val="28"/>
          <w:rtl/>
        </w:rPr>
        <w:t xml:space="preserve">آغاز: بسمله الحمدلله وسلام على عباده الذين اصطفى وبعد فيقول العبد الجاني الفاني اسير الامال ... اصل من جملة الأصول او الادلة الشرعيه او العقليه؛ انجام: دون الأول وما ذكرناه او هو المعلول وهذا منتهى الكلام في باب الاستصحاب ... هذا هو الجزء السابع ... ويتلوه الجزء الثامن في باب الاجتهاد اولا وآخرا و ظاهرا وباطنا</w:t>
      </w:r>
    </w:p>
    <w:p>
      <w:pPr>
        <w:pStyle w:val="BookText"/>
      </w:pPr>
      <w:r>
        <w:rPr>
          <w:rFonts w:ascii="IRNazanin" w:hAnsi="IRNazanin" w:eastAsia="IRNazanin" w:cs="IRNazanin"/>
          <w:lang w:bidi="fa-IR"/>
          <w:color w:val="111111"/>
          <w:sz w:val="28"/>
          <w:szCs w:val="28"/>
          <w:rtl/>
        </w:rPr>
        <w:t xml:space="preserve">جزء سابع (بحث استصحاب)؛ خط: نسخ، بی کا، بی تا؛ محشی با نشان «منه وفقه الله تعالی»، مصحح؛ جلد: تیماج قهوه ای مجدول گرهی، ۲۲۱، ۲۰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۲-۶۲۴]</w:t>
      </w:r>
    </w:p>
    <w:p>
      <w:pPr>
        <w:pStyle w:val="BookText"/>
      </w:pPr>
      <w:r>
        <w:rPr>
          <w:rFonts w:ascii="IRNazanin" w:hAnsi="IRNazanin" w:eastAsia="IRNazanin" w:cs="IRNazanin"/>
          <w:lang w:bidi="fa-IR"/>
          <w:color w:val="111111"/>
          <w:sz w:val="28"/>
          <w:szCs w:val="28"/>
          <w:rtl/>
        </w:rPr>
        <w:t xml:space="preserve">۶۳. مشهد؛ رضوی؛ شماره نسخه: ۷۳۱۹</w:t>
      </w:r>
    </w:p>
    <w:p>
      <w:pPr>
        <w:pStyle w:val="BookText"/>
      </w:pPr>
      <w:r>
        <w:rPr>
          <w:rFonts w:ascii="Amiri" w:hAnsi="Amiri" w:eastAsia="Amiri" w:cs="Amiri"/>
          <w:lang w:bidi="ar-SA"/>
          <w:color w:val="111111"/>
          <w:sz w:val="28"/>
          <w:szCs w:val="28"/>
          <w:rtl/>
        </w:rPr>
        <w:t xml:space="preserve">آغاز: اصل في بناء العالم على الخاص لا يخفى أن العام و الخاص اما ان يكونا متوافقين في الحكم؛ انجام: فلا بد من ملاحظة الأدلة والتتبع و التامل.</w:t>
      </w:r>
    </w:p>
    <w:p>
      <w:pPr>
        <w:pStyle w:val="BookText"/>
      </w:pPr>
      <w:r>
        <w:rPr>
          <w:rFonts w:ascii="IRNazanin" w:hAnsi="IRNazanin" w:eastAsia="IRNazanin" w:cs="IRNazanin"/>
          <w:lang w:bidi="fa-IR"/>
          <w:color w:val="111111"/>
          <w:sz w:val="28"/>
          <w:szCs w:val="28"/>
          <w:rtl/>
        </w:rPr>
        <w:t xml:space="preserve">جلد ۴. بقیه مبحث عام و خاص (از مسئله حمل عام بر خاص تا آخر) مطلق و مقید، مجمل و مبین، اجماع و شهرت را دارد؛ خط: نسخ، بی کا، بی تا؛ ۲۴۵گ، ۱۹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۶-۹]</w:t>
      </w:r>
    </w:p>
    <w:p>
      <w:pPr>
        <w:pStyle w:val="BookText"/>
      </w:pPr>
      <w:r>
        <w:rPr>
          <w:rFonts w:ascii="IRNazanin" w:hAnsi="IRNazanin" w:eastAsia="IRNazanin" w:cs="IRNazanin"/>
          <w:lang w:bidi="fa-IR"/>
          <w:color w:val="111111"/>
          <w:sz w:val="28"/>
          <w:szCs w:val="28"/>
          <w:rtl/>
        </w:rPr>
        <w:t xml:space="preserve">۶۴. مشهد؛ رضوی؛ شماره نسخه: ۷۳۲۱</w:t>
      </w:r>
    </w:p>
    <w:p>
      <w:pPr>
        <w:pStyle w:val="BookText"/>
      </w:pPr>
      <w:r>
        <w:rPr>
          <w:rFonts w:ascii="IRNazanin" w:hAnsi="IRNazanin" w:eastAsia="IRNazanin" w:cs="IRNazanin"/>
          <w:lang w:bidi="fa-IR"/>
          <w:color w:val="111111"/>
          <w:sz w:val="28"/>
          <w:szCs w:val="28"/>
          <w:rtl/>
        </w:rPr>
        <w:t xml:space="preserve">آغاز: اصل من جملة الأصول او الادلة الشرعية او العقلية او الشرعية و العقلية الاستصحاب؛ انجام: و ما ذكرناه أولا هو المعول. جلد ۷، در استصحاب؛ خط: نسخ، بی کا، بی تا، ۲۲۷گ، ۲۴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۶-۹]</w:t>
      </w:r>
    </w:p>
    <w:p>
      <w:pPr>
        <w:pStyle w:val="BookText"/>
      </w:pPr>
      <w:r>
        <w:rPr>
          <w:rFonts w:ascii="IRNazanin" w:hAnsi="IRNazanin" w:eastAsia="IRNazanin" w:cs="IRNazanin"/>
          <w:lang w:bidi="fa-IR"/>
          <w:color w:val="111111"/>
          <w:sz w:val="28"/>
          <w:szCs w:val="28"/>
          <w:rtl/>
        </w:rPr>
        <w:t xml:space="preserve">۶۵. خوی؛ نمازی؛ شماره نسخه: ۳۳۶</w:t>
      </w:r>
    </w:p>
    <w:p>
      <w:pPr>
        <w:pStyle w:val="BookText"/>
      </w:pPr>
      <w:r>
        <w:rPr>
          <w:rFonts w:ascii="IRNazanin" w:hAnsi="IRNazanin" w:eastAsia="IRNazanin" w:cs="IRNazanin"/>
          <w:lang w:bidi="fa-IR"/>
          <w:color w:val="111111"/>
          <w:sz w:val="28"/>
          <w:szCs w:val="28"/>
          <w:rtl/>
        </w:rPr>
        <w:t xml:space="preserve">جلد اول و از اول تا ابتدای مبحث مقدمه واجب را شامل است؛ خط: نسخ، بی کا، بی تا، جلد: تیماج مشکی ساده، ۲۱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۱۶۷]</w:t>
      </w:r>
    </w:p>
    <w:p>
      <w:pPr>
        <w:pStyle w:val="BookText"/>
      </w:pPr>
      <w:r>
        <w:rPr>
          <w:rFonts w:ascii="IRNazanin" w:hAnsi="IRNazanin" w:eastAsia="IRNazanin" w:cs="IRNazanin"/>
          <w:lang w:bidi="fa-IR"/>
          <w:color w:val="111111"/>
          <w:sz w:val="28"/>
          <w:szCs w:val="28"/>
          <w:rtl/>
        </w:rPr>
        <w:t xml:space="preserve">۶۶. خوی؛ نمازی؛ شماره نسخه: ۳۳۷</w:t>
      </w:r>
    </w:p>
    <w:p>
      <w:pPr>
        <w:pStyle w:val="BookText"/>
      </w:pPr>
      <w:r>
        <w:rPr>
          <w:rFonts w:ascii="IRNazanin" w:hAnsi="IRNazanin" w:eastAsia="IRNazanin" w:cs="IRNazanin"/>
          <w:lang w:bidi="fa-IR"/>
          <w:color w:val="111111"/>
          <w:sz w:val="28"/>
          <w:szCs w:val="28"/>
          <w:rtl/>
        </w:rPr>
        <w:t xml:space="preserve">جلد دوم شامل بحث «وجوب مقدمه ضد» و «جواز الامر مع العلم بانتفاء الشرط»، اجتماع امر و نهی می باشد؛ خط: نستعلیق، بی کا، بی تا؛ جلد: تیماج سرخ ضربی با ترنج با سر، ۲۱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۱۶۷]</w:t>
      </w:r>
    </w:p>
    <w:p>
      <w:pPr>
        <w:pStyle w:val="BookText"/>
      </w:pPr>
      <w:r>
        <w:rPr>
          <w:rFonts w:ascii="IRNazanin" w:hAnsi="IRNazanin" w:eastAsia="IRNazanin" w:cs="IRNazanin"/>
          <w:lang w:bidi="fa-IR"/>
          <w:color w:val="111111"/>
          <w:sz w:val="28"/>
          <w:szCs w:val="28"/>
          <w:rtl/>
        </w:rPr>
        <w:t xml:space="preserve">۶۷. خوی؛ نمازی؛ شماره نسخه: ۳۳۸</w:t>
      </w:r>
    </w:p>
    <w:p>
      <w:pPr>
        <w:pStyle w:val="BookText"/>
      </w:pPr>
      <w:r>
        <w:rPr>
          <w:rFonts w:ascii="IRNazanin" w:hAnsi="IRNazanin" w:eastAsia="IRNazanin" w:cs="IRNazanin"/>
          <w:lang w:bidi="fa-IR"/>
          <w:color w:val="111111"/>
          <w:sz w:val="28"/>
          <w:szCs w:val="28"/>
          <w:rtl/>
        </w:rPr>
        <w:t xml:space="preserve">جلد سوم شامل بحث اقتضاء النهى للفساد و الاجزاء؛ خط: نستعلیق، بی کا، بی تا، جلد: مقوایی با روکش پارچه ای، ۲۱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سم [ف: ۱۶۷]</w:t>
      </w:r>
    </w:p>
    <w:p>
      <w:pPr>
        <w:pStyle w:val="BookText"/>
      </w:pPr>
      <w:r>
        <w:rPr>
          <w:rFonts w:ascii="IRNazanin" w:hAnsi="IRNazanin" w:eastAsia="IRNazanin" w:cs="IRNazanin"/>
          <w:lang w:bidi="fa-IR"/>
          <w:color w:val="111111"/>
          <w:sz w:val="28"/>
          <w:szCs w:val="28"/>
          <w:rtl/>
        </w:rPr>
        <w:t xml:space="preserve">۶۸. خوی؛ نمازی؛ شماره نسخه: ۳۳۹</w:t>
      </w:r>
    </w:p>
    <w:p>
      <w:pPr>
        <w:pStyle w:val="BookText"/>
      </w:pPr>
      <w:r>
        <w:rPr>
          <w:rFonts w:ascii="IRNazanin" w:hAnsi="IRNazanin" w:eastAsia="IRNazanin" w:cs="IRNazanin"/>
          <w:lang w:bidi="fa-IR"/>
          <w:color w:val="111111"/>
          <w:sz w:val="28"/>
          <w:szCs w:val="28"/>
          <w:rtl/>
        </w:rPr>
        <w:t xml:space="preserve">جلد پنجم؛ خط: نسخ، بی کا، بی تا، جلد: تیماج سرخ ضربی با ترنج باسر جدول دار، ۲۰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۱۶۷]</w:t>
      </w:r>
    </w:p>
    <w:p>
      <w:pPr>
        <w:pStyle w:val="BookText"/>
      </w:pPr>
      <w:r>
        <w:rPr>
          <w:rFonts w:ascii="IRNazanin" w:hAnsi="IRNazanin" w:eastAsia="IRNazanin" w:cs="IRNazanin"/>
          <w:lang w:bidi="fa-IR"/>
          <w:color w:val="111111"/>
          <w:sz w:val="28"/>
          <w:szCs w:val="28"/>
          <w:rtl/>
        </w:rPr>
        <w:t xml:space="preserve">۶۹. قم؛ مرعشی؛ شماره نسخه: ۷۹۲۶</w:t>
      </w:r>
    </w:p>
    <w:p>
      <w:pPr>
        <w:pStyle w:val="BookText"/>
      </w:pPr>
      <w:r>
        <w:rPr>
          <w:rFonts w:ascii="IRNazanin" w:hAnsi="IRNazanin" w:eastAsia="IRNazanin" w:cs="IRNazanin"/>
          <w:lang w:bidi="fa-IR"/>
          <w:color w:val="111111"/>
          <w:sz w:val="28"/>
          <w:szCs w:val="28"/>
          <w:rtl/>
        </w:rPr>
        <w:t xml:space="preserve">آغاز: برابر خط: نسخ، كان محمد آل بحر العلوم طباطبائی، بی تا؛ مصحح، با نشانی بلاغ؛ تملک: کاتب به تاریخ غره رمضان ۱۳۸۹ با مهر محمد بن محمد تقي الطباطبائی» (بیضوی)؛ جلد: تیماج قرمز ضربی، ۲۷۴گ، ۲۵ سطر،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۲۰-۲۵۲]</w:t>
      </w:r>
    </w:p>
    <w:p>
      <w:pPr>
        <w:pStyle w:val="BookText"/>
      </w:pPr>
      <w:r>
        <w:rPr>
          <w:rFonts w:ascii="IRNazanin" w:hAnsi="IRNazanin" w:eastAsia="IRNazanin" w:cs="IRNazanin"/>
          <w:lang w:bidi="fa-IR"/>
          <w:color w:val="111111"/>
          <w:sz w:val="28"/>
          <w:szCs w:val="28"/>
          <w:rtl/>
        </w:rPr>
        <w:t xml:space="preserve">۷۰. قم؛ مرعشی؛ شماره نسخه: ۷۹۲۷</w:t>
      </w:r>
    </w:p>
    <w:p>
      <w:pPr>
        <w:pStyle w:val="BookText"/>
      </w:pPr>
      <w:r>
        <w:rPr>
          <w:rFonts w:ascii="IRNazanin" w:hAnsi="IRNazanin" w:eastAsia="IRNazanin" w:cs="IRNazanin"/>
          <w:lang w:bidi="fa-IR"/>
          <w:color w:val="111111"/>
          <w:sz w:val="28"/>
          <w:szCs w:val="28"/>
          <w:rtl/>
        </w:rPr>
        <w:t xml:space="preserve">مباحث نواهی تا اجماع؛ خط: نسخ، بی کا، بی تا؛ مانند جلد سابق؛ گ۲۹۹، ۲۵ سطر، اندازه: ۳۱۸۲۱سم [ف: ۲۰-۲۵۳]</w:t>
      </w:r>
    </w:p>
    <w:p>
      <w:pPr>
        <w:pStyle w:val="BookText"/>
      </w:pPr>
      <w:r>
        <w:rPr>
          <w:rFonts w:ascii="IRNazanin" w:hAnsi="IRNazanin" w:eastAsia="IRNazanin" w:cs="IRNazanin"/>
          <w:lang w:bidi="fa-IR"/>
          <w:color w:val="111111"/>
          <w:sz w:val="28"/>
          <w:szCs w:val="28"/>
          <w:rtl/>
        </w:rPr>
        <w:t xml:space="preserve">۷۱. قم: مرکز احیاء؛ شماره نسخه: ۹۷۲</w:t>
      </w:r>
    </w:p>
    <w:p>
      <w:pPr>
        <w:pStyle w:val="BookText"/>
      </w:pPr>
      <w:r>
        <w:rPr>
          <w:rFonts w:ascii="IRNazanin" w:hAnsi="IRNazanin" w:eastAsia="IRNazanin" w:cs="IRNazanin"/>
          <w:lang w:bidi="fa-IR"/>
          <w:color w:val="111111"/>
          <w:sz w:val="28"/>
          <w:szCs w:val="28"/>
          <w:rtl/>
        </w:rPr>
        <w:t xml:space="preserve">جلد هشتم؛ خط: نسخ، بی کا، بی تا؛ مصحح، مقابله حسین بن ابراهیم انبوهی کیانی غروی؛ تملك: محمد علی بن عبد الكريم تبریزی؛ جلد: تیماج قرمز، ۱۷۳گ، ۲۸ سطر،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۳-۱۹۰]</w:t>
      </w:r>
    </w:p>
    <w:p>
      <w:pPr>
        <w:pStyle w:val="BookText"/>
      </w:pPr>
      <w:r>
        <w:rPr>
          <w:rFonts w:ascii="IRNazanin" w:hAnsi="IRNazanin" w:eastAsia="IRNazanin" w:cs="IRNazanin"/>
          <w:lang w:bidi="fa-IR"/>
          <w:color w:val="111111"/>
          <w:sz w:val="28"/>
          <w:szCs w:val="28"/>
          <w:rtl/>
        </w:rPr>
        <w:t xml:space="preserve">۷۲. قم، گلپایگانی؛ شماره نسخه: ۱۱۵۱- ۷/۵1</w:t>
      </w:r>
    </w:p>
    <w:p>
      <w:pPr>
        <w:pStyle w:val="BookText"/>
      </w:pPr>
      <w:r>
        <w:rPr>
          <w:rFonts w:ascii="Amiri" w:hAnsi="Amiri" w:eastAsia="Amiri" w:cs="Amiri"/>
          <w:lang w:bidi="ar-SA"/>
          <w:color w:val="111111"/>
          <w:sz w:val="28"/>
          <w:szCs w:val="28"/>
          <w:rtl/>
        </w:rPr>
        <w:t xml:space="preserve">آغاز: برابر، انجام: فالمتبادر من النهى عرفا بقرينة وقوعه عقيب الامر انما مجرد نفى الرجحان لاغير ولابد في اثبات مازاد عن ذلك من الرجوع الى الادلة كما في الأمر عقيب الحظر فافهم.</w:t>
      </w:r>
    </w:p>
    <w:p>
      <w:pPr>
        <w:pStyle w:val="BookText"/>
      </w:pPr>
      <w:r>
        <w:rPr>
          <w:rFonts w:ascii="IRNazanin" w:hAnsi="IRNazanin" w:eastAsia="IRNazanin" w:cs="IRNazanin"/>
          <w:lang w:bidi="fa-IR"/>
          <w:color w:val="111111"/>
          <w:sz w:val="28"/>
          <w:szCs w:val="28"/>
          <w:rtl/>
        </w:rPr>
        <w:t xml:space="preserve">جزء اول از کتاب شامل مباحث الفاظ تا آخر اوامر؛ خط: نسخ، بی کا، بی تا؛ مصحح؛ جلد: تیماج قرمز مجدول با ترنج وسر ترنج، ۱۸۱گ، ۲۰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۲-۶۲۳]</w:t>
      </w:r>
    </w:p>
    <w:p>
      <w:pPr>
        <w:pStyle w:val="BookText"/>
      </w:pPr>
      <w:r>
        <w:rPr>
          <w:rFonts w:ascii="IRNazanin" w:hAnsi="IRNazanin" w:eastAsia="IRNazanin" w:cs="IRNazanin"/>
          <w:lang w:bidi="fa-IR"/>
          <w:color w:val="111111"/>
          <w:sz w:val="28"/>
          <w:szCs w:val="28"/>
          <w:rtl/>
        </w:rPr>
        <w:t xml:space="preserve">۷۳. قم، گلپایگانی؛ شماره نسخه: ۲۳۷/۶ -۲/۵۷</w:t>
      </w:r>
    </w:p>
    <w:p>
      <w:pPr>
        <w:pStyle w:val="BookText"/>
      </w:pPr>
      <w:r>
        <w:rPr>
          <w:rFonts w:ascii="IRNazanin" w:hAnsi="IRNazanin" w:eastAsia="IRNazanin" w:cs="IRNazanin"/>
          <w:lang w:bidi="fa-IR"/>
          <w:color w:val="111111"/>
          <w:sz w:val="28"/>
          <w:szCs w:val="28"/>
          <w:rtl/>
        </w:rPr>
        <w:t xml:space="preserve">آغاز: بسمله و به نستعين الحمدلله و سلام على عباده الذين اصطفی و بعد فيقول العبد الجاني الفاني اسير الآمال و الأمالی محمد حسین بن عبدالله المامقانی؛ انجام: على وجه الكشف عن حكم الشارع و الا من جانب العقل بأن ينشأ وجوب اتباعه</w:t>
      </w:r>
    </w:p>
    <w:p>
      <w:pPr>
        <w:pStyle w:val="BookText"/>
      </w:pPr>
      <w:r>
        <w:rPr>
          <w:rFonts w:ascii="IRNazanin" w:hAnsi="IRNazanin" w:eastAsia="IRNazanin" w:cs="IRNazanin"/>
          <w:lang w:bidi="fa-IR"/>
          <w:color w:val="111111"/>
          <w:sz w:val="28"/>
          <w:szCs w:val="28"/>
          <w:rtl/>
        </w:rPr>
        <w:t xml:space="preserve">جزء پنجم کتاب (بحث از حال قطع وظن)؛ خط: نستعلیق، بی کا، بی تا؛ ۵۵گ، ۱۹ 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۲-۶۲۳]</w:t>
      </w:r>
    </w:p>
    <w:p>
      <w:pPr>
        <w:pStyle w:val="BookText"/>
      </w:pPr>
      <w:r>
        <w:rPr>
          <w:rFonts w:ascii="IRNazanin" w:hAnsi="IRNazanin" w:eastAsia="IRNazanin" w:cs="IRNazanin"/>
          <w:lang w:bidi="fa-IR"/>
          <w:color w:val="111111"/>
          <w:sz w:val="28"/>
          <w:szCs w:val="28"/>
          <w:rtl/>
        </w:rPr>
        <w:t xml:space="preserve">۷۴. قم؛ مرعشی؛ شماره نسخه: ۷۹۲۹</w:t>
      </w:r>
    </w:p>
    <w:p>
      <w:pPr>
        <w:pStyle w:val="BookText"/>
      </w:pPr>
      <w:r>
        <w:rPr>
          <w:rFonts w:ascii="IRNazanin" w:hAnsi="IRNazanin" w:eastAsia="IRNazanin" w:cs="IRNazanin"/>
          <w:lang w:bidi="fa-IR"/>
          <w:color w:val="111111"/>
          <w:sz w:val="28"/>
          <w:szCs w:val="28"/>
          <w:rtl/>
        </w:rPr>
        <w:t xml:space="preserve">جلد هفتم، از مباحث قطع و ظن تا پایان استصحاب؛ خط: نسخ، بی کا، بی تا؛ ۳۵۴، ۲۵ سطر،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۲۰-۲۵۴]</w:t>
      </w:r>
    </w:p>
    <w:p>
      <w:pPr>
        <w:pStyle w:val="BookText"/>
      </w:pPr>
      <w:r>
        <w:rPr>
          <w:rFonts w:ascii="IRNazanin" w:hAnsi="IRNazanin" w:eastAsia="IRNazanin" w:cs="IRNazanin"/>
          <w:lang w:bidi="fa-IR"/>
          <w:color w:val="111111"/>
          <w:sz w:val="28"/>
          <w:szCs w:val="28"/>
          <w:rtl/>
        </w:rPr>
        <w:t xml:space="preserve">۷۵. قم؛ مسجد اعظم، شماره نسخه: ۲۰</w:t>
      </w:r>
    </w:p>
    <w:p>
      <w:pPr>
        <w:pStyle w:val="BookText"/>
      </w:pPr>
      <w:r>
        <w:rPr>
          <w:rFonts w:ascii="Amiri" w:hAnsi="Amiri" w:eastAsia="Amiri" w:cs="Amiri"/>
          <w:lang w:bidi="ar-SA"/>
          <w:color w:val="111111"/>
          <w:sz w:val="28"/>
          <w:szCs w:val="28"/>
          <w:rtl/>
        </w:rPr>
        <w:t xml:space="preserve">آغاز: حمدله ... انه لما من الله عز شأنه على بتقبيل عتبة ابي الائمة و سراج الامة ... وكان اعظمها قدرا واجلها خطرا علم الأصول الذي لا يتيسر الوصول الى حقيقته؛ انجام: فالمتبادر من النهى عرفا بقرنية وقوعه عقيب الامر انما هو مجرد نفى الرجحان لاغير ولابد في اثبات مازاد عن ذلك من الرجوع الى الادلة كما في الأمر عقيب الحظر فافهم.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0" w:name="pg20363_209165"/>
    <w:bookmarkEnd w:id="20"/>
    <w:p>
      <w:pPr>
        <w:pStyle w:val="BookText"/>
      </w:pPr>
      <w:r>
        <w:rPr>
          <w:rFonts w:ascii="IRNazanin" w:hAnsi="IRNazanin" w:eastAsia="IRNazanin" w:cs="IRNazanin"/>
          <w:lang w:bidi="fa-IR"/>
          <w:color w:val="111111"/>
          <w:sz w:val="28"/>
          <w:szCs w:val="28"/>
          <w:rtl/>
        </w:rPr>
        <w:t xml:space="preserve">جلد اول؛ خط: نسخ، بی کا، بی تا، افتادگی: انجام؛ جلد: تیماج سرخ ترنج و سر مجدول گرهی عطف تیماج زرشکی مجدول، ۱۱۱گ، ۲۶ سطر،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مخ: ۱-۲۷۴]</w:t>
      </w:r>
    </w:p>
    <w:p>
      <w:pPr>
        <w:pStyle w:val="BookText"/>
      </w:pPr>
      <w:r>
        <w:rPr>
          <w:rFonts w:ascii="IRNazanin" w:hAnsi="IRNazanin" w:eastAsia="IRNazanin" w:cs="IRNazanin"/>
          <w:lang w:bidi="fa-IR"/>
          <w:color w:val="111111"/>
          <w:sz w:val="28"/>
          <w:szCs w:val="28"/>
          <w:rtl/>
        </w:rPr>
        <w:t xml:space="preserve">۷۶. قم؛ مسجد اعظم، شماره نسخه: ۲۱</w:t>
      </w:r>
    </w:p>
    <w:p>
      <w:pPr>
        <w:pStyle w:val="BookText"/>
      </w:pPr>
      <w:r>
        <w:rPr>
          <w:rFonts w:ascii="IRNazanin" w:hAnsi="IRNazanin" w:eastAsia="IRNazanin" w:cs="IRNazanin"/>
          <w:lang w:bidi="fa-IR"/>
          <w:color w:val="111111"/>
          <w:sz w:val="28"/>
          <w:szCs w:val="28"/>
          <w:rtl/>
        </w:rPr>
        <w:t xml:space="preserve">آغاز: حمدله ... اصل النهى في العبادات او المعاملات هل يقتضی فساد ما يتعلق به اختلفوا فيه على اقوال و قبل الخوض في تحقيق الحق لابد من تمهید مقدمات انجام: من القول باشتراک الفاظ العموم بين العموم و الخصوص و ارادا بالمخالفين القائلين بانحصار وضعها في العموم فتدبر و بعد ذلك كله لا يخفى أنه لا يترتب على هذا البحث ثمر.</w:t>
      </w:r>
    </w:p>
    <w:p>
      <w:pPr>
        <w:pStyle w:val="BookText"/>
      </w:pPr>
      <w:r>
        <w:rPr>
          <w:rFonts w:ascii="IRNazanin" w:hAnsi="IRNazanin" w:eastAsia="IRNazanin" w:cs="IRNazanin"/>
          <w:lang w:bidi="fa-IR"/>
          <w:color w:val="111111"/>
          <w:sz w:val="28"/>
          <w:szCs w:val="28"/>
          <w:rtl/>
        </w:rPr>
        <w:t xml:space="preserve">جلد سوم؛ خط: نسخ، بی کا، بی تا، جلد: تیماج سرخ ترنج و سر سبز با گل و بوته عطف تیماج زرشکی مذهب مجدول گرهی، ۱۶۷گ، ۲۶ سطر،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مخ: ۱-۲۷۵]</w:t>
      </w:r>
    </w:p>
    <w:p>
      <w:pPr>
        <w:pStyle w:val="BookText"/>
      </w:pPr>
      <w:r>
        <w:rPr>
          <w:rFonts w:ascii="IRNazanin" w:hAnsi="IRNazanin" w:eastAsia="IRNazanin" w:cs="IRNazanin"/>
          <w:lang w:bidi="fa-IR"/>
          <w:color w:val="111111"/>
          <w:sz w:val="28"/>
          <w:szCs w:val="28"/>
          <w:rtl/>
        </w:rPr>
        <w:t xml:space="preserve">۷۷. قم؛ مرعشی؛ شماره نسخه: ۱۰۲۲۲</w:t>
      </w:r>
    </w:p>
    <w:p>
      <w:pPr>
        <w:pStyle w:val="BookText"/>
      </w:pPr>
      <w:r>
        <w:rPr>
          <w:rFonts w:ascii="IRNazanin" w:hAnsi="IRNazanin" w:eastAsia="IRNazanin" w:cs="IRNazanin"/>
          <w:lang w:bidi="fa-IR"/>
          <w:color w:val="111111"/>
          <w:sz w:val="28"/>
          <w:szCs w:val="28"/>
          <w:rtl/>
        </w:rPr>
        <w:t xml:space="preserve">جلد دوم؛ خط: نستعلیق، بی کا، تا: در عصر مؤلف؛ مصحح؛ مهر: کتابخانه میرزا ابوالفضل طهرانی؛ جلد: تیماج قرمز، ۲۴۲گ، ۲۱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۲۶-۱۹۲]</w:t>
      </w:r>
    </w:p>
    <w:p>
      <w:pPr>
        <w:pStyle w:val="BookText"/>
      </w:pPr>
      <w:r>
        <w:rPr>
          <w:rFonts w:ascii="IRNazanin" w:hAnsi="IRNazanin" w:eastAsia="IRNazanin" w:cs="IRNazanin"/>
          <w:lang w:bidi="fa-IR"/>
          <w:color w:val="111111"/>
          <w:sz w:val="28"/>
          <w:szCs w:val="28"/>
          <w:rtl/>
        </w:rPr>
        <w:t xml:space="preserve">۷۸. قم؛ مرعشی؛ شماره نسخه: ۱۰۲۲۳</w:t>
      </w:r>
    </w:p>
    <w:p>
      <w:pPr>
        <w:pStyle w:val="BookText"/>
      </w:pPr>
      <w:r>
        <w:rPr>
          <w:rFonts w:ascii="IRNazanin" w:hAnsi="IRNazanin" w:eastAsia="IRNazanin" w:cs="IRNazanin"/>
          <w:lang w:bidi="fa-IR"/>
          <w:color w:val="111111"/>
          <w:sz w:val="28"/>
          <w:szCs w:val="28"/>
          <w:rtl/>
        </w:rPr>
        <w:t xml:space="preserve">جلد سوم ؛ خط: نستعلیق، بی کا، تا: در عصر مؤلف؛ مصحح؛ مهر: کتابخانه میرزا ابوالفضل طهرانی؛ جلد: تیماج قرمز، ۱۹۱گ، ۲۱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۲۶-۱۹۲]</w:t>
      </w:r>
    </w:p>
    <w:p>
      <w:pPr>
        <w:pStyle w:val="BookText"/>
      </w:pPr>
      <w:r>
        <w:rPr>
          <w:rFonts w:ascii="IRNazanin" w:hAnsi="IRNazanin" w:eastAsia="IRNazanin" w:cs="IRNazanin"/>
          <w:lang w:bidi="fa-IR"/>
          <w:color w:val="111111"/>
          <w:sz w:val="28"/>
          <w:szCs w:val="28"/>
          <w:rtl/>
        </w:rPr>
        <w:t xml:space="preserve">۷۹. قم؛ مرعشی؛ شماره نسخه: ۱۰۲۲۴</w:t>
      </w:r>
    </w:p>
    <w:p>
      <w:pPr>
        <w:pStyle w:val="BookText"/>
      </w:pPr>
      <w:r>
        <w:rPr>
          <w:rFonts w:ascii="IRNazanin" w:hAnsi="IRNazanin" w:eastAsia="IRNazanin" w:cs="IRNazanin"/>
          <w:lang w:bidi="fa-IR"/>
          <w:color w:val="111111"/>
          <w:sz w:val="28"/>
          <w:szCs w:val="28"/>
          <w:rtl/>
        </w:rPr>
        <w:t xml:space="preserve">جلد چهارم؛ خط: نستعلیق، بی کا، تا: در عصر مؤلف؛ مصحح؛ مهر: کتابخانه میرزا ابوالفضل طهرانی؛ جلد: تیماج قرمز، ۲۸۰گ، ۲۱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۲۶-۱۹۳]</w:t>
      </w:r>
    </w:p>
    <w:p>
      <w:pPr>
        <w:pStyle w:val="BookText"/>
      </w:pPr>
      <w:r>
        <w:rPr>
          <w:rFonts w:ascii="IRNazanin" w:hAnsi="IRNazanin" w:eastAsia="IRNazanin" w:cs="IRNazanin"/>
          <w:lang w:bidi="fa-IR"/>
          <w:color w:val="111111"/>
          <w:sz w:val="28"/>
          <w:szCs w:val="28"/>
          <w:rtl/>
        </w:rPr>
        <w:t xml:space="preserve">۸۰. قم؛ مرعشی؛ شماره نسخه: ۱۰۲۲۵</w:t>
      </w:r>
    </w:p>
    <w:p>
      <w:pPr>
        <w:pStyle w:val="BookText"/>
      </w:pPr>
      <w:r>
        <w:rPr>
          <w:rFonts w:ascii="IRNazanin" w:hAnsi="IRNazanin" w:eastAsia="IRNazanin" w:cs="IRNazanin"/>
          <w:lang w:bidi="fa-IR"/>
          <w:color w:val="111111"/>
          <w:sz w:val="28"/>
          <w:szCs w:val="28"/>
          <w:rtl/>
        </w:rPr>
        <w:t xml:space="preserve">جلد هشتم؛ خط: نستعلیق، بی کا، تا: در عصر مؤلف؛ مصحح؛ مهر کتابخانه میرزا ابوالفضل طهرانی؛ جلد: تیماج قرمز، ۲۹۶گی، ۲۱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۲۶-۱۹۳]</w:t>
      </w:r>
    </w:p>
    <w:p>
      <w:pPr>
        <w:pStyle w:val="BookText"/>
      </w:pPr>
      <w:r>
        <w:rPr>
          <w:rFonts w:ascii="IRNazanin" w:hAnsi="IRNazanin" w:eastAsia="IRNazanin" w:cs="IRNazanin"/>
          <w:lang w:bidi="fa-IR"/>
          <w:color w:val="111111"/>
          <w:sz w:val="28"/>
          <w:szCs w:val="28"/>
          <w:rtl/>
        </w:rPr>
        <w:t xml:space="preserve">۸۱. قم؛ زنجانی ( آية الله)؛ شماره نسخه: ۱۴/۲</w:t>
      </w:r>
    </w:p>
    <w:p>
      <w:pPr>
        <w:pStyle w:val="BookText"/>
      </w:pPr>
      <w:r>
        <w:rPr>
          <w:rFonts w:ascii="IRNazanin" w:hAnsi="IRNazanin" w:eastAsia="IRNazanin" w:cs="IRNazanin"/>
          <w:lang w:bidi="fa-IR"/>
          <w:color w:val="111111"/>
          <w:sz w:val="28"/>
          <w:szCs w:val="28"/>
          <w:rtl/>
        </w:rPr>
        <w:t xml:space="preserve">جلد۶ (برائت)؛ خط: نستعلیق، بی کا، بی تا؛ انجام در میانه اخباریان بر وجوب احتیاط افتاده؛ قطع: خشتی [چند نسخه -ف: ۱۹۵]</w:t>
      </w:r>
    </w:p>
    <w:p>
      <w:pPr>
        <w:pStyle w:val="BookText"/>
      </w:pPr>
      <w:r>
        <w:rPr>
          <w:rFonts w:ascii="IRNazanin" w:hAnsi="IRNazanin" w:eastAsia="IRNazanin" w:cs="IRNazanin"/>
          <w:lang w:bidi="fa-IR"/>
          <w:color w:val="111111"/>
          <w:sz w:val="28"/>
          <w:szCs w:val="28"/>
          <w:rtl/>
        </w:rPr>
        <w:t xml:space="preserve">۸۲. تهران؛ مجلس؛ شماره نسخه: ۱۳۱۷۳</w:t>
      </w:r>
    </w:p>
    <w:p>
      <w:pPr>
        <w:pStyle w:val="BookText"/>
      </w:pPr>
      <w:r>
        <w:rPr>
          <w:rFonts w:ascii="IRNazanin" w:hAnsi="IRNazanin" w:eastAsia="IRNazanin" w:cs="IRNazanin"/>
          <w:lang w:bidi="fa-IR"/>
          <w:color w:val="111111"/>
          <w:sz w:val="28"/>
          <w:szCs w:val="28"/>
          <w:rtl/>
        </w:rPr>
        <w:t xml:space="preserve">آغاز: اصل لا خلاف في انه يجوز امر الآمر مع جهله بانتفاء الشرط و انه يكون الأمر حينئذ مشروطا كما عن النهاية الاجماع على ما ذکر؛ انجام: ينفي احتمال العلم فيه بالاصل بخلافه هنا وجود اطلاق السؤال المقتضي لمراعاة المطابقة هناك بخلاف هذا و الصلوة و السلام على محمد و آله الطاهرین.</w:t>
      </w:r>
    </w:p>
    <w:p>
      <w:pPr>
        <w:pStyle w:val="BookText"/>
      </w:pPr>
      <w:r>
        <w:rPr>
          <w:rFonts w:ascii="IRNazanin" w:hAnsi="IRNazanin" w:eastAsia="IRNazanin" w:cs="IRNazanin"/>
          <w:lang w:bidi="fa-IR"/>
          <w:color w:val="111111"/>
          <w:sz w:val="28"/>
          <w:szCs w:val="28"/>
          <w:rtl/>
        </w:rPr>
        <w:t xml:space="preserve">از مسئله «امر الآمر مع جهله بانتفاء الشروط» تا آخر مباحث عام و خاص؛ خط: نسخ، بی کا، بی تا؛ مصحح؛ جلد: تیماج قرمز، ضربی، ترنج با سر با نقش گل و بوته، مجدول، ۱۹۴ گ، ۲۰-۲۲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۳۶-۲۶۴]</w:t>
      </w:r>
    </w:p>
    <w:p>
      <w:pPr>
        <w:pStyle w:val="Heading3"/>
      </w:pPr>
      <w:bookmarkStart w:id="785" w:name="_Toc45"/>
      <w:r>
        <w:t>• البشري في انشاء الصلوات الباهرة / دعا / عربی</w:t>
      </w:r>
      <w:bookmarkEnd w:id="785"/>
    </w:p>
    <w:p>
      <w:pPr>
        <w:pStyle w:val="BookText"/>
      </w:pPr>
      <w:r>
        <w:rPr>
          <w:rFonts w:ascii="Times New Roman" w:hAnsi="Times New Roman" w:eastAsia="Times New Roman" w:cs="Times New Roman"/>
          <w:lang w:val="en-US" w:bidi="en-US"/>
          <w:color w:val="111111"/>
          <w:sz w:val="28"/>
          <w:szCs w:val="28"/>
          <w:rtl/>
        </w:rPr>
        <w:t xml:space="preserve">al-busra fi insa-is salawat-il bahira</w:t>
      </w:r>
    </w:p>
    <w:p>
      <w:pPr>
        <w:pStyle w:val="BookText"/>
      </w:pPr>
      <w:r>
        <w:rPr>
          <w:rFonts w:ascii="IRNazanin" w:hAnsi="IRNazanin" w:eastAsia="IRNazanin" w:cs="IRNazanin"/>
          <w:lang w:bidi="fa-IR"/>
          <w:color w:val="111111"/>
          <w:sz w:val="28"/>
          <w:szCs w:val="28"/>
          <w:rtl/>
        </w:rPr>
        <w:t xml:space="preserve">امام الحرمین همدانی، محمد بن عبد الوهاب، -۱۳۰۳ ؟ قمری</w:t>
      </w:r>
    </w:p>
    <w:p>
      <w:pPr>
        <w:pStyle w:val="BookText"/>
      </w:pPr>
      <w:r>
        <w:rPr>
          <w:rFonts w:ascii="Times New Roman" w:hAnsi="Times New Roman" w:eastAsia="Times New Roman" w:cs="Times New Roman"/>
          <w:lang w:val="en-US" w:bidi="en-US"/>
          <w:color w:val="111111"/>
          <w:sz w:val="28"/>
          <w:szCs w:val="28"/>
          <w:rtl/>
        </w:rPr>
        <w:t xml:space="preserve">emām-ol-harameyn-e hamedānī, mohammad ebn-e abd-ol-vahhab (- 1886)</w:t>
      </w:r>
    </w:p>
    <w:p>
      <w:pPr>
        <w:pStyle w:val="BookText"/>
      </w:pPr>
      <w:r>
        <w:rPr>
          <w:rFonts w:ascii="IRNazanin" w:hAnsi="IRNazanin" w:eastAsia="IRNazanin" w:cs="IRNazanin"/>
          <w:lang w:bidi="fa-IR"/>
          <w:color w:val="111111"/>
          <w:sz w:val="28"/>
          <w:szCs w:val="28"/>
          <w:rtl/>
        </w:rPr>
        <w:t xml:space="preserve">تاريخ تأليف: 5 ربيع الثانی 1290ق</w:t>
      </w:r>
    </w:p>
    <w:p>
      <w:pPr>
        <w:pStyle w:val="BookText"/>
      </w:pPr>
      <w:r>
        <w:rPr>
          <w:rFonts w:ascii="IRNazanin" w:hAnsi="IRNazanin" w:eastAsia="IRNazanin" w:cs="IRNazanin"/>
          <w:lang w:bidi="fa-IR"/>
          <w:color w:val="111111"/>
          <w:sz w:val="28"/>
          <w:szCs w:val="28"/>
          <w:rtl/>
        </w:rPr>
        <w:t xml:space="preserve">در فضیلت صلوات فرستادن بر پیامبر و اهل بیت (علیهم السلام) و اثرات دعا و کیفیت فرستادن صلوات بر آنان به روش صلوات خواجه. [الذریعه ۱۱۹/۲ شماره ۴۰۴]</w:t>
      </w:r>
    </w:p>
    <w:p>
      <w:pPr>
        <w:pStyle w:val="BookText"/>
      </w:pPr>
      <w:r>
        <w:rPr>
          <w:rFonts w:ascii="IRNazanin" w:hAnsi="IRNazanin" w:eastAsia="IRNazanin" w:cs="IRNazanin"/>
          <w:lang w:bidi="fa-IR"/>
          <w:color w:val="111111"/>
          <w:sz w:val="28"/>
          <w:szCs w:val="28"/>
          <w:rtl/>
        </w:rPr>
        <w:t xml:space="preserve">قم: مرکز احیاء؛ شماره نسخه: ۲۵۲۰</w:t>
      </w:r>
    </w:p>
    <w:p>
      <w:pPr>
        <w:pStyle w:val="BookText"/>
      </w:pPr>
      <w:r>
        <w:rPr>
          <w:rFonts w:ascii="IRNazanin" w:hAnsi="IRNazanin" w:eastAsia="IRNazanin" w:cs="IRNazanin"/>
          <w:lang w:bidi="fa-IR"/>
          <w:color w:val="111111"/>
          <w:sz w:val="28"/>
          <w:szCs w:val="28"/>
          <w:rtl/>
        </w:rPr>
        <w:t xml:space="preserve">آغاز: الحمدلله الذي قرن بالصلوات نجح دعوات البشر و الصلاة و السلام على شمس الهداية و بر وجه الاثني عشر نسخه اصل: کتابخانه ای در نجف اشرف؛ خط: نستعلیق زیبا، کا: محمد سمیع بن حاج محمد ارومی، تا: قرن ۱۳؛ ۵۰ص [عکسی ف: ۷-۱۱۳]</w:t>
      </w:r>
    </w:p>
    <w:p>
      <w:pPr>
        <w:pStyle w:val="Heading3"/>
      </w:pPr>
      <w:bookmarkStart w:id="786" w:name="_Toc46"/>
      <w:r>
        <w:t>• بشیر و نذیر / دعا / عربی</w:t>
      </w:r>
      <w:bookmarkEnd w:id="786"/>
    </w:p>
    <w:p>
      <w:pPr>
        <w:pStyle w:val="BookText"/>
      </w:pPr>
      <w:r>
        <w:rPr>
          <w:rFonts w:ascii="Times New Roman" w:hAnsi="Times New Roman" w:eastAsia="Times New Roman" w:cs="Times New Roman"/>
          <w:lang w:val="en-US" w:bidi="en-US"/>
          <w:color w:val="111111"/>
          <w:sz w:val="28"/>
          <w:szCs w:val="28"/>
          <w:rtl/>
        </w:rPr>
        <w:t xml:space="preserve">bašīr wa nadīr</w:t>
      </w:r>
    </w:p>
    <w:p>
      <w:pPr>
        <w:pStyle w:val="BookText"/>
      </w:pPr>
      <w:r>
        <w:rPr>
          <w:rFonts w:ascii="IRNazanin" w:hAnsi="IRNazanin" w:eastAsia="IRNazanin" w:cs="IRNazanin"/>
          <w:lang w:bidi="fa-IR"/>
          <w:color w:val="111111"/>
          <w:sz w:val="28"/>
          <w:szCs w:val="28"/>
          <w:rtl/>
        </w:rPr>
        <w:t xml:space="preserve">این دفتر جلد دوم و در دوازده «باب» است و دعاهای گوناگون به روش شیعیان در آن آمده است.</w:t>
      </w:r>
    </w:p>
    <w:p>
      <w:pPr>
        <w:pStyle w:val="BookText"/>
      </w:pPr>
      <w:r>
        <w:rPr>
          <w:rFonts w:ascii="IRNazanin" w:hAnsi="IRNazanin" w:eastAsia="IRNazanin" w:cs="IRNazanin"/>
          <w:lang w:bidi="fa-IR"/>
          <w:color w:val="111111"/>
          <w:sz w:val="28"/>
          <w:szCs w:val="28"/>
          <w:rtl/>
        </w:rPr>
        <w:t xml:space="preserve">تهران، دانشگاه؛ شماره نسخه: ۱۱۸۳</w:t>
      </w:r>
    </w:p>
    <w:p>
      <w:pPr>
        <w:pStyle w:val="BookText"/>
      </w:pPr>
      <w:r>
        <w:rPr>
          <w:rFonts w:ascii="IRNazanin" w:hAnsi="IRNazanin" w:eastAsia="IRNazanin" w:cs="IRNazanin"/>
          <w:lang w:bidi="fa-IR"/>
          <w:color w:val="111111"/>
          <w:sz w:val="28"/>
          <w:szCs w:val="28"/>
          <w:rtl/>
        </w:rPr>
        <w:t xml:space="preserve">آغاز: بسمله. الحمدلله الذي جعل لاختلاف الليل و النهار و حركات الانجم و الكواكب و الظلم و الانوار عللا و فوائد و غايات لاتحصى ... فهذا مجلد الثاني من كتابنا المسمى بالبشیر و النذير؛ انجام: اضعف الله اجره و ينعم به المیت و في رواية و ينعم بذلک.</w:t>
      </w:r>
    </w:p>
    <w:p>
      <w:pPr>
        <w:pStyle w:val="BookText"/>
      </w:pPr>
      <w:r>
        <w:rPr>
          <w:rFonts w:ascii="IRNazanin" w:hAnsi="IRNazanin" w:eastAsia="IRNazanin" w:cs="IRNazanin"/>
          <w:lang w:bidi="fa-IR"/>
          <w:color w:val="111111"/>
          <w:sz w:val="28"/>
          <w:szCs w:val="28"/>
          <w:rtl/>
        </w:rPr>
        <w:t xml:space="preserve">خط: نسخ، بی کا، بی تا؛ کاغذ: فرنگی، جلد: تیماج سرخ مقوایی، ۳۳۰ گ، ۲۵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۶-۲۱۴۷]</w:t>
      </w:r>
    </w:p>
    <w:p>
      <w:pPr>
        <w:pStyle w:val="Heading3"/>
      </w:pPr>
      <w:bookmarkStart w:id="787" w:name="_Toc47"/>
      <w:r>
        <w:t>• بصائر الأمور / فلسفه / فارسی</w:t>
      </w:r>
      <w:bookmarkEnd w:id="787"/>
    </w:p>
    <w:p>
      <w:pPr>
        <w:pStyle w:val="BookText"/>
      </w:pPr>
      <w:r>
        <w:rPr>
          <w:rFonts w:ascii="Times New Roman" w:hAnsi="Times New Roman" w:eastAsia="Times New Roman" w:cs="Times New Roman"/>
          <w:lang w:val="en-US" w:bidi="en-US"/>
          <w:color w:val="111111"/>
          <w:sz w:val="28"/>
          <w:szCs w:val="28"/>
          <w:rtl/>
        </w:rPr>
        <w:t xml:space="preserve">basā'er-ol omūr</w:t>
      </w:r>
    </w:p>
    <w:p>
      <w:pPr>
        <w:pStyle w:val="BookText"/>
      </w:pPr>
      <w:r>
        <w:rPr>
          <w:rFonts w:ascii="IRNazanin" w:hAnsi="IRNazanin" w:eastAsia="IRNazanin" w:cs="IRNazanin"/>
          <w:lang w:bidi="fa-IR"/>
          <w:color w:val="111111"/>
          <w:sz w:val="28"/>
          <w:szCs w:val="28"/>
          <w:rtl/>
        </w:rPr>
        <w:t xml:space="preserve">مشهد؛ رضوی؛ شماره نسخه: ۲۲۸۲۹</w:t>
      </w:r>
    </w:p>
    <w:p>
      <w:pPr>
        <w:pStyle w:val="BookText"/>
      </w:pPr>
      <w:r>
        <w:rPr>
          <w:rFonts w:ascii="IRNazanin" w:hAnsi="IRNazanin" w:eastAsia="IRNazanin" w:cs="IRNazanin"/>
          <w:lang w:bidi="fa-IR"/>
          <w:color w:val="111111"/>
          <w:sz w:val="28"/>
          <w:szCs w:val="28"/>
          <w:rtl/>
        </w:rPr>
        <w:t xml:space="preserve">آغاز: بانبياء عليهم السلام و بعضی مسمی ساخته اند؛ انجام: على مضايق ابواب الأرض ... و اذا دعيت ...</w:t>
      </w:r>
    </w:p>
    <w:p>
      <w:pPr>
        <w:pStyle w:val="BookText"/>
      </w:pPr>
      <w:r>
        <w:rPr>
          <w:rFonts w:ascii="IRNazanin" w:hAnsi="IRNazanin" w:eastAsia="IRNazanin" w:cs="IRNazanin"/>
          <w:lang w:bidi="fa-IR"/>
          <w:color w:val="111111"/>
          <w:sz w:val="28"/>
          <w:szCs w:val="28"/>
          <w:rtl/>
        </w:rPr>
        <w:t xml:space="preserve">خط: نستعلیق، بی کا، بی تا، افتادگی: آغاز و انجام کاغذ: نخودی، جلد: تیماج، ۲۰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[رایانه]</w:t>
      </w:r>
    </w:p>
    <w:p>
      <w:pPr>
        <w:pStyle w:val="Heading3"/>
      </w:pPr>
      <w:bookmarkStart w:id="788" w:name="_Toc48"/>
      <w:r>
        <w:t>• بصائر الأوهام في سراير الارحام / طب / فارسی</w:t>
      </w:r>
      <w:bookmarkEnd w:id="788"/>
    </w:p>
    <w:p>
      <w:pPr>
        <w:pStyle w:val="BookText"/>
      </w:pPr>
      <w:r>
        <w:rPr>
          <w:rFonts w:ascii="Times New Roman" w:hAnsi="Times New Roman" w:eastAsia="Times New Roman" w:cs="Times New Roman"/>
          <w:lang w:val="en-US" w:bidi="en-US"/>
          <w:color w:val="111111"/>
          <w:sz w:val="28"/>
          <w:szCs w:val="28"/>
          <w:rtl/>
        </w:rPr>
        <w:t xml:space="preserve">basā'er-ol owhām fī sarāyer-el arhām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1" w:name="pg20363_209166"/>
    <w:bookmarkEnd w:id="21"/>
    <w:p>
      <w:pPr>
        <w:pStyle w:val="BookText"/>
      </w:pPr>
      <w:r>
        <w:rPr>
          <w:rFonts w:ascii="IRNazanin" w:hAnsi="IRNazanin" w:eastAsia="IRNazanin" w:cs="IRNazanin"/>
          <w:lang w:bidi="fa-IR"/>
          <w:color w:val="111111"/>
          <w:sz w:val="28"/>
          <w:szCs w:val="28"/>
          <w:rtl/>
        </w:rPr>
        <w:t xml:space="preserve">صدر یزدی، علی، ق ۱۴ شمسی</w:t>
      </w:r>
    </w:p>
    <w:p>
      <w:pPr>
        <w:pStyle w:val="BookText"/>
      </w:pPr>
      <w:r>
        <w:rPr>
          <w:rFonts w:ascii="Times New Roman" w:hAnsi="Times New Roman" w:eastAsia="Times New Roman" w:cs="Times New Roman"/>
          <w:lang w:val="en-US" w:bidi="en-US"/>
          <w:color w:val="111111"/>
          <w:sz w:val="28"/>
          <w:szCs w:val="28"/>
          <w:rtl/>
        </w:rPr>
        <w:t xml:space="preserve">sadr-e yazdī, ‘alī (- 20c)</w:t>
      </w:r>
    </w:p>
    <w:p>
      <w:pPr>
        <w:pStyle w:val="BookText"/>
      </w:pPr>
      <w:r>
        <w:rPr>
          <w:rFonts w:ascii="IRNazanin" w:hAnsi="IRNazanin" w:eastAsia="IRNazanin" w:cs="IRNazanin"/>
          <w:lang w:bidi="fa-IR"/>
          <w:color w:val="111111"/>
          <w:sz w:val="28"/>
          <w:szCs w:val="28"/>
          <w:rtl/>
        </w:rPr>
        <w:t xml:space="preserve">اهداء به: ناصر الدین شاه قاجار</w:t>
      </w:r>
    </w:p>
    <w:p>
      <w:pPr>
        <w:pStyle w:val="BookText"/>
      </w:pPr>
      <w:r>
        <w:rPr>
          <w:rFonts w:ascii="IRNazanin" w:hAnsi="IRNazanin" w:eastAsia="IRNazanin" w:cs="IRNazanin"/>
          <w:lang w:bidi="fa-IR"/>
          <w:color w:val="111111"/>
          <w:sz w:val="28"/>
          <w:szCs w:val="28"/>
          <w:rtl/>
        </w:rPr>
        <w:t xml:space="preserve">رساله کوتاهی است در تشریح رحم و امراض آن و درمان های بیماری های مربوط به آن.</w:t>
      </w:r>
    </w:p>
    <w:p>
      <w:pPr>
        <w:pStyle w:val="BookText"/>
      </w:pPr>
      <w:r>
        <w:rPr>
          <w:rFonts w:ascii="IRNazanin" w:hAnsi="IRNazanin" w:eastAsia="IRNazanin" w:cs="IRNazanin"/>
          <w:lang w:bidi="fa-IR"/>
          <w:color w:val="111111"/>
          <w:sz w:val="28"/>
          <w:szCs w:val="28"/>
          <w:rtl/>
        </w:rPr>
        <w:t xml:space="preserve">قم؛ گلپایگانی؛ شماره نسخه: ۴۴۶۹/۱ - ۲۲/۱۸۹</w:t>
      </w:r>
    </w:p>
    <w:p>
      <w:pPr>
        <w:pStyle w:val="BookText"/>
      </w:pPr>
      <w:r>
        <w:rPr>
          <w:rFonts w:ascii="IRNazanin" w:hAnsi="IRNazanin" w:eastAsia="IRNazanin" w:cs="IRNazanin"/>
          <w:lang w:bidi="fa-IR"/>
          <w:color w:val="111111"/>
          <w:sz w:val="28"/>
          <w:szCs w:val="28"/>
          <w:rtl/>
        </w:rPr>
        <w:t xml:space="preserve">آغاز: زبان تمجید و تحسین به ثنای جهان آفرین گشایم که از سلاطین قرین عنایت آیین تبارک الله احسن الخالقين خلقت جنین را در ارحام امهات بالمکین فرمود؛ انجام: بصيرة بسا باشد که احتياج افتد به اسقاط ... دیگر آنکه بگیرند ابهل زراوند مد حرج ترمس صرف از هر یک مساوی دیگری.</w:t>
      </w:r>
    </w:p>
    <w:p>
      <w:pPr>
        <w:pStyle w:val="BookText"/>
      </w:pPr>
      <w:r>
        <w:rPr>
          <w:rFonts w:ascii="IRNazanin" w:hAnsi="IRNazanin" w:eastAsia="IRNazanin" w:cs="IRNazanin"/>
          <w:lang w:bidi="fa-IR"/>
          <w:color w:val="111111"/>
          <w:sz w:val="28"/>
          <w:szCs w:val="28"/>
          <w:rtl/>
        </w:rPr>
        <w:t xml:space="preserve">خط: تحریری، کاتب = مؤلف، تا: قرن ۱۳؛ جلد: تیماج سبز مغز پسته ای، ۲۰، ۱۱ و ۱۲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۲-۶۲۴]</w:t>
      </w:r>
    </w:p>
    <w:p>
      <w:pPr>
        <w:pStyle w:val="Heading3"/>
      </w:pPr>
      <w:bookmarkStart w:id="789" w:name="_Toc49"/>
      <w:r>
        <w:t>• بصائر الايمان في تفسير القرآن = درة الصفا في تفسیر ائمة الهدي / تفسير/ عربی</w:t>
      </w:r>
      <w:bookmarkEnd w:id="789"/>
    </w:p>
    <w:p>
      <w:pPr>
        <w:pStyle w:val="BookText"/>
      </w:pPr>
      <w:r>
        <w:rPr>
          <w:rFonts w:ascii="Times New Roman" w:hAnsi="Times New Roman" w:eastAsia="Times New Roman" w:cs="Times New Roman"/>
          <w:lang w:val="en-US" w:bidi="en-US"/>
          <w:color w:val="111111"/>
          <w:sz w:val="28"/>
          <w:szCs w:val="28"/>
          <w:rtl/>
        </w:rPr>
        <w:t xml:space="preserve">başā'ir-ul īmān fī tafsīr-il qur'ān = durrat-uş Şafā fī tafsīr-i a'immat-il hudā</w:t>
      </w:r>
    </w:p>
    <w:p>
      <w:pPr>
        <w:pStyle w:val="BookText"/>
      </w:pPr>
      <w:r>
        <w:rPr>
          <w:rFonts w:ascii="IRNazanin" w:hAnsi="IRNazanin" w:eastAsia="IRNazanin" w:cs="IRNazanin"/>
          <w:lang w:bidi="fa-IR"/>
          <w:color w:val="111111"/>
          <w:sz w:val="28"/>
          <w:szCs w:val="28"/>
          <w:rtl/>
        </w:rPr>
        <w:t xml:space="preserve">؟ دارابی، صبغة الله بن جعفر، ق۱۳ قمری</w:t>
      </w:r>
    </w:p>
    <w:p>
      <w:pPr>
        <w:pStyle w:val="BookText"/>
      </w:pPr>
      <w:r>
        <w:rPr>
          <w:rFonts w:ascii="Times New Roman" w:hAnsi="Times New Roman" w:eastAsia="Times New Roman" w:cs="Times New Roman"/>
          <w:lang w:val="en-US" w:bidi="en-US"/>
          <w:color w:val="111111"/>
          <w:sz w:val="28"/>
          <w:szCs w:val="28"/>
          <w:rtl/>
        </w:rPr>
        <w:t xml:space="preserve">dārābī, sebqat-ol-lāh ebn-e ja'far (- 19c)</w:t>
      </w:r>
    </w:p>
    <w:p>
      <w:pPr>
        <w:pStyle w:val="BookText"/>
      </w:pPr>
      <w:r>
        <w:rPr>
          <w:rFonts w:ascii="IRNazanin" w:hAnsi="IRNazanin" w:eastAsia="IRNazanin" w:cs="IRNazanin"/>
          <w:lang w:bidi="fa-IR"/>
          <w:color w:val="111111"/>
          <w:sz w:val="28"/>
          <w:szCs w:val="28"/>
          <w:rtl/>
        </w:rPr>
        <w:t xml:space="preserve">تفسیر مزجی روایی است شبیه به تفسیر صافی ظاهرا در سه مجلد. نسخه حاضر که مجلد اول آن می باشد تا سوره کهف را دارا بوده و یازدهم جمادى الأول ۱۲۶۰ در مشهد مقدس پایان یافته است. مجلد دوم کتاب تا سوره یس می باشد و از جلد سوم اطلاعی در دست نیست.</w:t>
      </w:r>
    </w:p>
    <w:p>
      <w:pPr>
        <w:pStyle w:val="BookText"/>
      </w:pPr>
      <w:r>
        <w:rPr>
          <w:rFonts w:ascii="Amiri" w:hAnsi="Amiri" w:eastAsia="Amiri" w:cs="Amiri"/>
          <w:lang w:bidi="ar-SA"/>
          <w:color w:val="111111"/>
          <w:sz w:val="28"/>
          <w:szCs w:val="28"/>
          <w:rtl/>
        </w:rPr>
        <w:t xml:space="preserve">[الذريعه ۱۲۳/۳ ]</w:t>
      </w:r>
    </w:p>
    <w:p>
      <w:pPr>
        <w:pStyle w:val="BookText"/>
      </w:pPr>
      <w:r>
        <w:rPr>
          <w:rFonts w:ascii="IRNazanin" w:hAnsi="IRNazanin" w:eastAsia="IRNazanin" w:cs="IRNazanin"/>
          <w:lang w:bidi="fa-IR"/>
          <w:color w:val="111111"/>
          <w:sz w:val="28"/>
          <w:szCs w:val="28"/>
          <w:rtl/>
        </w:rPr>
        <w:t xml:space="preserve">خوانسار؛ فاضل؛ شماره نسخه: ۱۱۹</w:t>
      </w:r>
    </w:p>
    <w:p>
      <w:pPr>
        <w:pStyle w:val="BookText"/>
      </w:pPr>
      <w:r>
        <w:rPr>
          <w:rFonts w:ascii="IRNazanin" w:hAnsi="IRNazanin" w:eastAsia="IRNazanin" w:cs="IRNazanin"/>
          <w:lang w:bidi="fa-IR"/>
          <w:color w:val="111111"/>
          <w:sz w:val="28"/>
          <w:szCs w:val="28"/>
          <w:rtl/>
        </w:rPr>
        <w:t xml:space="preserve">آغاز نسخه تذكرة لنفسی و ذخرا ليوم ولات حین مناص فقرى و فاقتی مستمسكا بحبل الله المتين العروة الوثقی؛ انجام: قال من كل شیء قال عليه السلام جل ربه فقال كيف قال عليه السلام الله اكبر من أن يوصف قد فرغت من</w:t>
      </w:r>
    </w:p>
    <w:p>
      <w:pPr>
        <w:pStyle w:val="BookText"/>
      </w:pPr>
      <w:r>
        <w:rPr>
          <w:rFonts w:ascii="IRNazanin" w:hAnsi="IRNazanin" w:eastAsia="IRNazanin" w:cs="IRNazanin"/>
          <w:lang w:bidi="fa-IR"/>
          <w:color w:val="111111"/>
          <w:sz w:val="28"/>
          <w:szCs w:val="28"/>
          <w:rtl/>
        </w:rPr>
        <w:t xml:space="preserve">جلد اول، تا پایان سوره کهف را دارا می باشد؛ خط: نسخ، كاتب = مؤلف، بی تا؛ افتادگی: آغاز؛ یادداشتی در اشاره به اینکه نسخه به خط مؤلف است دیده می شود؛ جلد: مقوایی، عطف تیماج قهوه ای، ۲۸۷گ، ۱۶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۱-۸۶]</w:t>
      </w:r>
    </w:p>
    <w:p>
      <w:pPr>
        <w:pStyle w:val="BookText"/>
      </w:pPr>
      <w:r>
        <w:rPr>
          <w:rFonts w:ascii="IRNazanin" w:hAnsi="IRNazanin" w:eastAsia="IRNazanin" w:cs="IRNazanin"/>
          <w:lang w:bidi="fa-IR"/>
          <w:color w:val="111111"/>
          <w:sz w:val="28"/>
          <w:szCs w:val="28"/>
          <w:rtl/>
        </w:rPr>
        <w:t xml:space="preserve">قم، مرکز احیاء؛ شماره نسخه: ۳۳۸</w:t>
      </w:r>
    </w:p>
    <w:p>
      <w:pPr>
        <w:pStyle w:val="BookText"/>
      </w:pPr>
      <w:r>
        <w:rPr>
          <w:rFonts w:ascii="IRNazanin" w:hAnsi="IRNazanin" w:eastAsia="IRNazanin" w:cs="IRNazanin"/>
          <w:lang w:bidi="fa-IR"/>
          <w:color w:val="111111"/>
          <w:sz w:val="28"/>
          <w:szCs w:val="28"/>
          <w:rtl/>
        </w:rPr>
        <w:t xml:space="preserve">نسخه اصلی: همان نسخه بالا [عکسی ف: ۱-۳۹۷)</w:t>
      </w:r>
    </w:p>
    <w:p>
      <w:pPr>
        <w:pStyle w:val="Heading3"/>
      </w:pPr>
      <w:bookmarkStart w:id="790" w:name="_Toc50"/>
      <w:r>
        <w:t>• بصائر الدرجات / حديث / عربی</w:t>
      </w:r>
      <w:bookmarkEnd w:id="790"/>
    </w:p>
    <w:p>
      <w:pPr>
        <w:pStyle w:val="BookText"/>
      </w:pPr>
      <w:r>
        <w:rPr>
          <w:rFonts w:ascii="Times New Roman" w:hAnsi="Times New Roman" w:eastAsia="Times New Roman" w:cs="Times New Roman"/>
          <w:lang w:val="en-US" w:bidi="en-US"/>
          <w:color w:val="111111"/>
          <w:sz w:val="28"/>
          <w:szCs w:val="28"/>
          <w:rtl/>
        </w:rPr>
        <w:t xml:space="preserve">başā’ir-ud darajāt</w:t>
      </w:r>
    </w:p>
    <w:p>
      <w:pPr>
        <w:pStyle w:val="BookText"/>
      </w:pPr>
      <w:r>
        <w:rPr>
          <w:rFonts w:ascii="IRNazanin" w:hAnsi="IRNazanin" w:eastAsia="IRNazanin" w:cs="IRNazanin"/>
          <w:lang w:bidi="fa-IR"/>
          <w:color w:val="111111"/>
          <w:sz w:val="28"/>
          <w:szCs w:val="28"/>
          <w:rtl/>
        </w:rPr>
        <w:t xml:space="preserve">صفار، محمد بن حسن، - ۲۹۰ قمری</w:t>
      </w:r>
    </w:p>
    <w:p>
      <w:pPr>
        <w:pStyle w:val="BookText"/>
      </w:pPr>
      <w:r>
        <w:rPr>
          <w:rFonts w:ascii="Times New Roman" w:hAnsi="Times New Roman" w:eastAsia="Times New Roman" w:cs="Times New Roman"/>
          <w:lang w:val="en-US" w:bidi="en-US"/>
          <w:color w:val="111111"/>
          <w:sz w:val="28"/>
          <w:szCs w:val="28"/>
          <w:rtl/>
        </w:rPr>
        <w:t xml:space="preserve">saffàr, mohammad ebn-e hasan (- 904)</w:t>
      </w:r>
    </w:p>
    <w:p>
      <w:pPr>
        <w:pStyle w:val="BookText"/>
      </w:pPr>
      <w:r>
        <w:rPr>
          <w:rFonts w:ascii="IRNazanin" w:hAnsi="IRNazanin" w:eastAsia="IRNazanin" w:cs="IRNazanin"/>
          <w:lang w:bidi="fa-IR"/>
          <w:color w:val="111111"/>
          <w:sz w:val="28"/>
          <w:szCs w:val="28"/>
          <w:rtl/>
        </w:rPr>
        <w:t xml:space="preserve">نگارنده از یاران امام عسکری و از محدثان بزرگ شیعی بوده است؛ این کتاب در ۴ جزء (کنتوری ص ۸۷-ذریعه ۳: ۱۲۴) یا ده جزء (چاپ سنگی ۱۲۸۵ با نفس الرحمن نوری) می باشد. حر عاملی در فائده ۴ پایان وسایل می نویسد که بصائر را دو نسخه کوچک (نسخه ما) و بزرگ (چاپی) است. مجلسی در بحار (1: ۱۱) آن را از اصل های با ارزش برشمرد و گفت که کلینی و دیگران از آن آوردند. نسخه بزرگ با نفس الرحمن به چاپ رسیده است. در الذریعه از نسخه کوچکی یاد شده که در عنوان بابها با بزرگ یکی بوده ولی از چاپی نزدیک به صد و هفتاد حدیث کم داشت. در روضات (در سر گذشت قطب راوندی ص ۳۰۱) درباره خرائج و جرائح دارد: «و هي تتضمن كثيرا من احادیث الارتفاع نظیر کتاب البصائر للشيخ محد بن الحسن الصفار» و درست هم هست چه بسیاری از خبرهای آن با مشرب قمیان نمی سازد و مانا به روش باطنيان و غالیان روایت شده و شاید بتوان گفت که در نسخه های آن دستی برده اند و بدین گونه به ما رسیده است. باز خوانساری (در سرگذشت برسی ص ۲۸۵) می گوید: «روش غلو و ارتفاع آنگاه آغاز گردید که آن دو راوی، تفسیر امام عسکری را ساختند یا تفسیر فرات بن ابراهيم دست به دست گشت با تفصيل فارس بن حاتم بن ماهویه قزوینی صوفی به دست مردم رسید بلکه از هنگامیکه خبرهای مفضل بن عمر جعفی و جابر بن یزید جعفی در میان شیعیان آشکار شده و پاره ای از آنها در بصائر صفار و مجالس شیخ و کشف الغمه و خرائج راوندی و فضائل شاذان و پسرش و دیگر کتاب های مناقب پارسی و تازی و تفسیرهای ارتفاعیان و اخباریان درج گردید. این دانشمندان و مانند آنها چون ابن بطریق در عمده و رضی در خصائص و ابن طاوس رضی الدین و گروهی از دانایان بحرین و قم هم بدین گونه سخنان پرداختند تا این که به رجب برسی رسید که کتاب ها در این باره نوشت و پیروانش خود را کشفیان می نامند. تا رسید به شیخیان و پشت سریان پیرو شیخ احمد احسائی در برابر فقیهان و بالاسریان کربلا که گفتار احسائی را نمی پذیرفتند و این سخنان بود که مایه یاوه سرائیهای آورنده «بیان» و پیروان او شده است».</w:t>
      </w:r>
    </w:p>
    <w:p>
      <w:pPr>
        <w:pStyle w:val="BookText"/>
      </w:pPr>
      <w:r>
        <w:rPr>
          <w:rFonts w:ascii="IRNazanin" w:hAnsi="IRNazanin" w:eastAsia="IRNazanin" w:cs="IRNazanin"/>
          <w:lang w:bidi="fa-IR"/>
          <w:color w:val="111111"/>
          <w:sz w:val="28"/>
          <w:szCs w:val="28"/>
          <w:rtl/>
        </w:rPr>
        <w:t xml:space="preserve">شیخ طوسی در فهرست (ص ۴۴) می گوید که صفار را کتاب ها است و پرسش هایی نوشته و برای امام عسکری فرستاده بود و ابن الوليد همه کتاب های او را روایت می کرده بجز این بصائر و روایت او از ابن ابی جید و دیگران بما رسید ولی حسین بن عبید الله از احمد بن محمد بن يحيى از پدر خود از صفار بصائر را برای ما روایت نمود. نجاشی (ص ۲۵۱) از او بسیار ستوده و بسیار درستکارش دانست و از کتاب هایش «الرد على الغلاة» نام برد. او می گوید که ابو الحسين على اشعری قمی از ابن الوليد همه کتاب هایش را بجز «بصائر» برای ما روایت کرده است و ابن شاذان از احمد بن محمد بن يحيی از پدرش همه آنها را با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بصائر روایت نموده است. از اینها بر می آید که ابن الوليد ابو جعفر محمد بن احمد بن حسن قمی (- ۳۴۳) دانشمند ارجمند شیعی و عالم رجال از «بصائر» پرهیز می کرده است. (فهرست طوسی ص ۱۵۶- رجال نجاشی ص ۲۷۱) و گویا برای این بود که او خبرهایی نزدیک به غلو روایت نموده است. ابن داود و حلى او را در قسم دوم کتاب خود یاد کردند ولی از «جامع الروات» بر می آید که کلینی و علی بن حسین بن بابویه و سعد بن عبدالله و دیگران از او روایت کرده اند (رجال مامقانی ۳: ۱۰۳) در النقض (ص ۶۵۱ و ۶۵۳) هم گفتگویی بر سر درستکاری صفار شده است. (دانش پژوه)</w:t>
      </w:r>
    </w:p>
    <w:p>
      <w:pPr>
        <w:pStyle w:val="BookText"/>
      </w:pPr>
      <w:r>
        <w:rPr>
          <w:rFonts w:ascii="IRNazanin" w:hAnsi="IRNazanin" w:eastAsia="IRNazanin" w:cs="IRNazanin"/>
          <w:lang w:bidi="fa-IR"/>
          <w:color w:val="111111"/>
          <w:sz w:val="28"/>
          <w:szCs w:val="28"/>
          <w:rtl/>
        </w:rPr>
        <w:t xml:space="preserve">اجزاء دهگانه و کلا شامل ۱۸۸ «باب» عبارت است: از باب ۱ تا آخر باب ۲۴ جزء اول؛ جزء دوم اول باب ۲۵ في الائمه انهم معدن العلم ... تا آخر باب ۴۴، جزء سوم اول باب في الائمة انهم ورثوا علم آدم ... تا آخر باب ۵۷؛ جزء چهارم اول باب ۵۸ تا آخر باب ۶۶؛ جزء پنجم از اول باب ۶۷ تا آخر باب ۸۷؛ جزء ششم از اول باب ۸۸ تا آخر ۱۰۵؛ جزء هفتم از اول باب ۱۰۶ تا آخر باب ۱۲۵؛ جزء هشتم از اول باب ۱۲۶ تا آخر باب ۱۴۳؛</w:t>
      </w:r>
    </w:p>
    <w:p>
      <w:pPr>
        <w:pStyle w:val="BookText"/>
      </w:pPr>
      <w:r>
        <w:rPr>
          <w:rFonts w:ascii="IRNazanin" w:hAnsi="IRNazanin" w:eastAsia="IRNazanin" w:cs="IRNazanin"/>
          <w:lang w:bidi="fa-IR"/>
          <w:color w:val="111111"/>
          <w:sz w:val="28"/>
          <w:szCs w:val="28"/>
          <w:rtl/>
        </w:rPr>
        <w:t xml:space="preserve">جزء نهم از اول باب ۱۴۴ تا آخر باب ۱۶۶؛ جزء دهم از اول باب ۱۶۷ تا آخر باب ۱۸۸.</w:t>
      </w:r>
    </w:p>
    <w:p>
      <w:pPr>
        <w:pStyle w:val="BookText"/>
      </w:pPr>
      <w:r>
        <w:rPr>
          <w:rFonts w:ascii="Amiri" w:hAnsi="Amiri" w:eastAsia="Amiri" w:cs="Amiri"/>
          <w:lang w:bidi="ar-SA"/>
          <w:color w:val="111111"/>
          <w:sz w:val="28"/>
          <w:szCs w:val="28"/>
          <w:rtl/>
        </w:rPr>
        <w:t xml:space="preserve">آغاز: بسمله باب في العلم ان طلبه فريضة على الناس محمدبن الحسن الصفار المعروف بمهزله عن ابراهيم بن هاشم ... قال رسول الله صلى الله عليه و آله طلب العلم فريضة</w:t>
      </w:r>
    </w:p>
    <w:p>
      <w:pPr>
        <w:pStyle w:val="BookText"/>
      </w:pPr>
      <w:r>
        <w:rPr>
          <w:rFonts w:ascii="Amiri" w:hAnsi="Amiri" w:eastAsia="Amiri" w:cs="Amiri"/>
          <w:lang w:bidi="ar-SA"/>
          <w:color w:val="111111"/>
          <w:sz w:val="28"/>
          <w:szCs w:val="28"/>
          <w:rtl/>
        </w:rPr>
        <w:t xml:space="preserve">انجام: والله اني لاعرض اعمالهم على الله في كل يوم تم الجزء الرابع و به تمام الكتاب والحمدلله</w:t>
      </w:r>
    </w:p>
    <w:p>
      <w:pPr>
        <w:pStyle w:val="BookText"/>
      </w:pPr>
      <w:r>
        <w:rPr>
          <w:rFonts w:ascii="IRNazanin" w:hAnsi="IRNazanin" w:eastAsia="IRNazanin" w:cs="IRNazanin"/>
          <w:lang w:bidi="fa-IR"/>
          <w:color w:val="111111"/>
          <w:sz w:val="28"/>
          <w:szCs w:val="28"/>
          <w:rtl/>
        </w:rPr>
        <w:t xml:space="preserve">چاپ: کتابخانه مرعشی ۱۴۰۴ق؛ تهران، سنگی، ۱۲۸۵ق، رحلی</w:t>
      </w:r>
    </w:p>
    <w:p>
      <w:pPr>
        <w:pStyle w:val="BookText"/>
      </w:pPr>
      <w:r>
        <w:rPr>
          <w:rFonts w:ascii="IRNazanin" w:hAnsi="IRNazanin" w:eastAsia="IRNazanin" w:cs="IRNazanin"/>
          <w:lang w:bidi="fa-IR"/>
          <w:color w:val="111111"/>
          <w:sz w:val="28"/>
          <w:szCs w:val="28"/>
          <w:rtl/>
        </w:rPr>
        <w:t xml:space="preserve">[الذريعة ۱۲۴/۳ -۱۲۵؛ معجم المطبوعات العربية في ایران, رفاعی ۲۸۴؛ مشار عربی، ص ۱۲۷]</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١- بصائر الدرجات (مختصر) = منتخب بصائر الدرجات؛ حلی، حسن بن سلیمان (۸-)</w:t>
      </w:r>
    </w:p>
    <w:p>
      <w:pPr>
        <w:pStyle w:val="BookText"/>
      </w:pPr>
      <w:r>
        <w:rPr>
          <w:rFonts w:ascii="IRNazanin" w:hAnsi="IRNazanin" w:eastAsia="IRNazanin" w:cs="IRNazanin"/>
          <w:lang w:bidi="fa-IR"/>
          <w:color w:val="111111"/>
          <w:sz w:val="28"/>
          <w:szCs w:val="28"/>
          <w:rtl/>
        </w:rPr>
        <w:t xml:space="preserve">۲- بصائر الدرجات (منتخب)</w:t>
      </w:r>
    </w:p>
    <w:p>
      <w:pPr>
        <w:pStyle w:val="BookText"/>
      </w:pPr>
      <w:r>
        <w:rPr>
          <w:rFonts w:ascii="IRNazanin" w:hAnsi="IRNazanin" w:eastAsia="IRNazanin" w:cs="IRNazanin"/>
          <w:lang w:bidi="fa-IR"/>
          <w:color w:val="111111"/>
          <w:sz w:val="28"/>
          <w:szCs w:val="28"/>
          <w:rtl/>
        </w:rPr>
        <w:t xml:space="preserve">۱. قم؛ مرعشی؛ شماره نسخه: ۱۵۷۴</w:t>
      </w:r>
    </w:p>
    <w:p>
      <w:pPr>
        <w:pStyle w:val="BookText"/>
      </w:pPr>
      <w:r>
        <w:rPr>
          <w:rFonts w:ascii="IRNazanin" w:hAnsi="IRNazanin" w:eastAsia="IRNazanin" w:cs="IRNazanin"/>
          <w:lang w:bidi="fa-IR"/>
          <w:color w:val="111111"/>
          <w:sz w:val="28"/>
          <w:szCs w:val="28"/>
          <w:rtl/>
        </w:rPr>
        <w:t xml:space="preserve">نسخه بسیار نفیس است؛ خط: نسخ معرب، كا: ابی نصر علی بن محمد بن الحسن بن ابی سعد الطبيب، تا: غره صفر ۵۹۱ق؛ مصحح، بعضی عبارت ها را به فارسی برگردانده اند، روی برگ اول یادداشتی است در علم درایه که حسین بن مصطفی بن حسین از روی خط جدش کمال الدین حسین نوشته؛ تملك: عز الدين ابو نصر بن محمود بن ابی نصر به تاریخ صفر ۷۳۰، محمد علم الهدی (فرزند فیض کاشانی) به تاریخ ۱۰۸۵ و مهر «بمحمد علم الهدى علم الهدی علم الهدی» (بیضوی)، محمد بن جمال الدین محمد مشهور به بهاء الدين واعظ کاشانی و مهر دائري ناخوان وی، سید محمد رضوی به تاریخ ذیحجه ۱۱۷۰ و مهر «سید محمد الرضوی» (بیضوی) و اینکه شخصی کتاب را به فرزندش محمد قاسم به تاریخ شعبان ۱۱۷۱ بخشیده؛ مهر: «... الى الله ... عبدالكریم» (مربع)، «عبده الراجی یعقوب» (بیضوی)، مهر «اللهم صل على محمد و آل محمد» (بیضوی)؛ جلد: تیماج قرمز،</w:t>
      </w:r>
    </w:p>
    <w:p>
      <w:pPr>
        <w:pStyle w:val="BookText"/>
      </w:pPr>
      <w:r>
        <w:rPr>
          <w:rFonts w:ascii="IRNazanin" w:hAnsi="IRNazanin" w:eastAsia="IRNazanin" w:cs="IRNazanin"/>
          <w:lang w:bidi="fa-IR"/>
          <w:color w:val="111111"/>
          <w:sz w:val="28"/>
          <w:szCs w:val="28"/>
          <w:rtl/>
        </w:rPr>
        <w:t xml:space="preserve">۲۰۳گی، ۱۹ سطر،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۴-۳۸۲]</w:t>
      </w:r>
    </w:p>
    <w:p>
      <w:pPr>
        <w:pStyle w:val="BookText"/>
      </w:pPr>
      <w:r>
        <w:rPr>
          <w:rFonts w:ascii="IRNazanin" w:hAnsi="IRNazanin" w:eastAsia="IRNazanin" w:cs="IRNazanin"/>
          <w:lang w:bidi="fa-IR"/>
          <w:color w:val="111111"/>
          <w:sz w:val="28"/>
          <w:szCs w:val="28"/>
          <w:rtl/>
        </w:rPr>
        <w:t xml:space="preserve">قم؛ مرکز احیاء؛ شماره نسخه: ۲۴۱۴</w:t>
      </w:r>
    </w:p>
    <w:p>
      <w:pPr>
        <w:pStyle w:val="BookText"/>
      </w:pPr>
      <w:r>
        <w:rPr>
          <w:rFonts w:ascii="IRNazanin" w:hAnsi="IRNazanin" w:eastAsia="IRNazanin" w:cs="IRNazanin"/>
          <w:lang w:bidi="fa-IR"/>
          <w:color w:val="111111"/>
          <w:sz w:val="28"/>
          <w:szCs w:val="28"/>
          <w:rtl/>
        </w:rPr>
        <w:t xml:space="preserve">نسخه اصل: همان نسخه بالا [عکسی ف: ۷-۱۷]</w:t>
      </w:r>
    </w:p>
    <w:p>
      <w:pPr>
        <w:pStyle w:val="BookText"/>
      </w:pPr>
      <w:r>
        <w:rPr>
          <w:rFonts w:ascii="IRNazanin" w:hAnsi="IRNazanin" w:eastAsia="IRNazanin" w:cs="IRNazanin"/>
          <w:lang w:bidi="fa-IR"/>
          <w:color w:val="111111"/>
          <w:sz w:val="28"/>
          <w:szCs w:val="28"/>
          <w:rtl/>
        </w:rPr>
        <w:t xml:space="preserve">۲. تهران: مجلس؛ شماره نسخه: ۶۵۵- طباطبائی</w:t>
      </w:r>
    </w:p>
    <w:p>
      <w:pPr>
        <w:pStyle w:val="BookText"/>
      </w:pPr>
      <w:r>
        <w:rPr>
          <w:rFonts w:ascii="IRNazanin" w:hAnsi="IRNazanin" w:eastAsia="IRNazanin" w:cs="IRNazanin"/>
          <w:lang w:bidi="fa-IR"/>
          <w:color w:val="111111"/>
          <w:sz w:val="28"/>
          <w:szCs w:val="28"/>
          <w:rtl/>
        </w:rPr>
        <w:t xml:space="preserve">آغاز: برابر؛ انجام: سألونى ان تدعوا الله لهم فقال و الله اني لا عرض اعمالكم (زیر وصالی رفته ) في كل يوم</w:t>
      </w:r>
    </w:p>
    <w:p>
      <w:pPr>
        <w:pStyle w:val="BookText"/>
      </w:pPr>
      <w:r>
        <w:rPr>
          <w:rFonts w:ascii="IRNazanin" w:hAnsi="IRNazanin" w:eastAsia="IRNazanin" w:cs="IRNazanin"/>
          <w:lang w:bidi="fa-IR"/>
          <w:color w:val="111111"/>
          <w:sz w:val="28"/>
          <w:szCs w:val="28"/>
          <w:rtl/>
        </w:rPr>
        <w:t xml:space="preserve">خط: نسخ، كا: عباس بن علی بن احمدب احمد عمیدی حسینی، تا: ۹۲۷ق؛ تملك: عبدالباقی رضوی مورخ ۱۱۷۳ و مهرش؛ مهر: محمد علم الهدی»، «یا محسن اغفر نصیر الدین محمد بن سليمان عل الهدی»، «عبده مرتضی الحسین»، «الراجی محمد حسن الرضوی»، «الراجی محمد حسن الرضوی»، «عبده الراجی محمد بن محمد»؛ کاغذ: سمرقندی، جلد: تیماج قرمز، ۵۴۸گی، ۱۷سطر،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۲۴-۴۰۵]</w:t>
      </w:r>
    </w:p>
    <w:p>
      <w:pPr>
        <w:pStyle w:val="BookText"/>
      </w:pPr>
      <w:r>
        <w:rPr>
          <w:rFonts w:ascii="IRNazanin" w:hAnsi="IRNazanin" w:eastAsia="IRNazanin" w:cs="IRNazanin"/>
          <w:lang w:bidi="fa-IR"/>
          <w:color w:val="111111"/>
          <w:sz w:val="28"/>
          <w:szCs w:val="28"/>
          <w:rtl/>
        </w:rPr>
        <w:t xml:space="preserve">٣. قم؛ مرعشی؛ شماره نسخه: ۷۸۸۴</w:t>
      </w:r>
    </w:p>
    <w:p>
      <w:pPr>
        <w:pStyle w:val="BookText"/>
      </w:pPr>
      <w:r>
        <w:rPr>
          <w:rFonts w:ascii="IRNazanin" w:hAnsi="IRNazanin" w:eastAsia="IRNazanin" w:cs="IRNazanin"/>
          <w:lang w:bidi="fa-IR"/>
          <w:color w:val="111111"/>
          <w:sz w:val="28"/>
          <w:szCs w:val="28"/>
          <w:rtl/>
        </w:rPr>
        <w:t xml:space="preserve">انجام: لم يحلل لله حلالا و لم يحرم له حراما و انه من صلى و زکی و حج واعتمر فعل ذلك كله بغير معرفة خط: نستعلیق، كا: تقي الدين محمد بن شرف الدین حسینی، تا: ۲۶ محرم ۹۷۵ق؛ افتادگی: انجام؛ تملك: بن لطفعلی تبریزی؛ جلد: تیماج مشکی، ۱۲۳، ۲۵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۲۰-۲۱۹ ]</w:t>
      </w:r>
    </w:p>
    <w:p>
      <w:pPr>
        <w:pStyle w:val="BookText"/>
      </w:pPr>
      <w:r>
        <w:rPr>
          <w:rFonts w:ascii="IRNazanin" w:hAnsi="IRNazanin" w:eastAsia="IRNazanin" w:cs="IRNazanin"/>
          <w:lang w:bidi="fa-IR"/>
          <w:color w:val="111111"/>
          <w:sz w:val="28"/>
          <w:szCs w:val="28"/>
          <w:rtl/>
        </w:rPr>
        <w:t xml:space="preserve">۴. قم: مرکز احیاء؛ شماره نسخه: ۳۶۷۷</w:t>
      </w:r>
    </w:p>
    <w:p>
      <w:pPr>
        <w:pStyle w:val="BookText"/>
      </w:pPr>
      <w:r>
        <w:rPr>
          <w:rFonts w:ascii="Amiri" w:hAnsi="Amiri" w:eastAsia="Amiri" w:cs="Amiri"/>
          <w:lang w:bidi="ar-SA"/>
          <w:color w:val="111111"/>
          <w:sz w:val="28"/>
          <w:szCs w:val="28"/>
          <w:rtl/>
        </w:rPr>
        <w:t xml:space="preserve">انجام: قلت لأبي عبدالله قول الله اعملوا فسيرى الله عملكم و رسوله و المؤمنون ما المؤمنون</w:t>
      </w:r>
    </w:p>
    <w:p>
      <w:pPr>
        <w:pStyle w:val="BookText"/>
      </w:pPr>
      <w:r>
        <w:rPr>
          <w:rFonts w:ascii="IRNazanin" w:hAnsi="IRNazanin" w:eastAsia="IRNazanin" w:cs="IRNazanin"/>
          <w:lang w:bidi="fa-IR"/>
          <w:color w:val="111111"/>
          <w:sz w:val="28"/>
          <w:szCs w:val="28"/>
          <w:rtl/>
        </w:rPr>
        <w:t xml:space="preserve">خط: نستعلیق، بی کا، تا: قرن ۱۱؛ افتادگی: انجام؛ مصحح؛ جلد: تیماج مشکی ضربی، رو مقوایی، ۱۵۱گ، ۱۶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 محدث ارموی مخ: ۱-۲۵۶]</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مرعشی؛ شماره نسخه: ۱۰۰۹</w:t>
      </w:r>
    </w:p>
    <w:p>
      <w:pPr>
        <w:pStyle w:val="BookText"/>
      </w:pPr>
      <w:r>
        <w:rPr>
          <w:rFonts w:ascii="IRNazanin" w:hAnsi="IRNazanin" w:eastAsia="IRNazanin" w:cs="IRNazanin"/>
          <w:lang w:bidi="fa-IR"/>
          <w:color w:val="111111"/>
          <w:sz w:val="28"/>
          <w:szCs w:val="28"/>
          <w:rtl/>
        </w:rPr>
        <w:t xml:space="preserve">خط: نسخ، بی کا، تا: قرن ۱۱؛ مصحح، به تاریخ محرم ۱۱۱۷ از اول تا آخر مطالعه شده، مقابله شده؛ تملک: نجفقلی و مهر «لا و لا يحزنون نجف قلی» (مربع)، محمد رضی بن محمد شفیع و مهر رضی» (مربع)؛ جلد: دو رو تیماج سبز، ۱۵۱گ، ۱۷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۱۳/۵سم [ف: ۳-۲۰۱۳]</w:t>
      </w:r>
    </w:p>
    <w:p>
      <w:pPr>
        <w:pStyle w:val="BookText"/>
      </w:pPr>
      <w:r>
        <w:rPr>
          <w:rFonts w:ascii="IRNazanin" w:hAnsi="IRNazanin" w:eastAsia="IRNazanin" w:cs="IRNazanin"/>
          <w:lang w:bidi="fa-IR"/>
          <w:color w:val="111111"/>
          <w:sz w:val="28"/>
          <w:szCs w:val="28"/>
          <w:rtl/>
        </w:rPr>
        <w:t xml:space="preserve">6 . قم؛ مرکز احیاء؛ شماره نسخه: ۴۱۶۲</w:t>
      </w:r>
    </w:p>
    <w:p>
      <w:pPr>
        <w:pStyle w:val="BookText"/>
      </w:pPr>
      <w:r>
        <w:rPr>
          <w:rFonts w:ascii="IRNazanin" w:hAnsi="IRNazanin" w:eastAsia="IRNazanin" w:cs="IRNazanin"/>
          <w:lang w:bidi="fa-IR"/>
          <w:color w:val="111111"/>
          <w:sz w:val="28"/>
          <w:szCs w:val="28"/>
          <w:rtl/>
        </w:rPr>
        <w:t xml:space="preserve">آغاز: برابر؛ انجام: قوما من مواليک سألوني أن تدعوا الله لهم فقال والله اني لاعرض اعمالهم على الله في كل يوم. خط: نسخ، بی کا، تا: قرن ۱۱؛ مصحح؛ تملك: «محمد ابراهيم بن زین العابدین بن نصیر الدین طوسی»، «ملاعلی اکبر تعزیه خوان» با مهر «عبده الراجي على اكبر» (بیضوی)، «محمد رضا بن محمد صفی حسینی کاشانی» با مهر «المتوكل على الله الغنی محمدرضا الحسینی» (مربع)؛ جلد: تیماج دو رو لبه دار، رو سبز، پشت قرمز،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۱۷۷گ، ۲۳ سطر، اندازه: ۱۵/۵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[محدث ارموی مخ: ۱-۲۵۶]</w:t>
      </w:r>
    </w:p>
    <w:p>
      <w:pPr>
        <w:pStyle w:val="BookText"/>
      </w:pPr>
      <w:r>
        <w:rPr>
          <w:rFonts w:ascii="IRNazanin" w:hAnsi="IRNazanin" w:eastAsia="IRNazanin" w:cs="IRNazanin"/>
          <w:lang w:bidi="fa-IR"/>
          <w:color w:val="111111"/>
          <w:sz w:val="28"/>
          <w:szCs w:val="28"/>
          <w:rtl/>
        </w:rPr>
        <w:t xml:space="preserve">۷. تهران، دانشگاه، شماره نسخه: ۱۸۵۳/۱۴</w:t>
      </w:r>
    </w:p>
    <w:p>
      <w:pPr>
        <w:pStyle w:val="BookText"/>
      </w:pPr>
      <w:r>
        <w:rPr>
          <w:rFonts w:ascii="IRNazanin" w:hAnsi="IRNazanin" w:eastAsia="IRNazanin" w:cs="IRNazanin"/>
          <w:lang w:bidi="fa-IR"/>
          <w:color w:val="111111"/>
          <w:sz w:val="28"/>
          <w:szCs w:val="28"/>
          <w:rtl/>
        </w:rPr>
        <w:t xml:space="preserve">خط: نسخ، كا: محمد بن احمد بن حسین بن ابراهیم حامدی، تا: قرن ۱۱؛ کاغذ: سمرقندی، جلد: تیماج سرخ ضربی زرکوب مقوایی، ۲۵ سطر (۲۴۸۱۶)،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۸-۴۴۸]</w:t>
      </w:r>
    </w:p>
    <w:p>
      <w:pPr>
        <w:pStyle w:val="BookText"/>
      </w:pPr>
      <w:r>
        <w:rPr>
          <w:rFonts w:ascii="IRNazanin" w:hAnsi="IRNazanin" w:eastAsia="IRNazanin" w:cs="IRNazanin"/>
          <w:lang w:bidi="fa-IR"/>
          <w:color w:val="111111"/>
          <w:sz w:val="28"/>
          <w:szCs w:val="28"/>
          <w:rtl/>
        </w:rPr>
        <w:t xml:space="preserve">۸. کرمانشاه؛ میبدی (خاندان)؛ شماره نسخه: ۳۴/۱</w:t>
      </w:r>
    </w:p>
    <w:p>
      <w:pPr>
        <w:pStyle w:val="BookText"/>
      </w:pPr>
      <w:r>
        <w:rPr>
          <w:rFonts w:ascii="IRNazanin" w:hAnsi="IRNazanin" w:eastAsia="IRNazanin" w:cs="IRNazanin"/>
          <w:lang w:bidi="fa-IR"/>
          <w:color w:val="111111"/>
          <w:sz w:val="28"/>
          <w:szCs w:val="28"/>
          <w:rtl/>
        </w:rPr>
        <w:t xml:space="preserve">خط: نستعلیق، بی کا، تا: ۱۰۴۳ق، جا: حیدر آباد؛ جلد: دو رو تیماج رو قهوه ای پشت مشکی، ۱۱۵گ(۶پ-۱۲۰پ)، ۱۹سطر، اندازه: ۲۲/۵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۳۴]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خوانسار: فاضل؛ شماره نسخه: ۴۰</w:t>
      </w:r>
    </w:p>
    <w:p>
      <w:pPr>
        <w:pStyle w:val="BookText"/>
      </w:pPr>
      <w:r>
        <w:rPr>
          <w:rFonts w:ascii="IRNazanin" w:hAnsi="IRNazanin" w:eastAsia="IRNazanin" w:cs="IRNazanin"/>
          <w:lang w:bidi="fa-IR"/>
          <w:color w:val="111111"/>
          <w:sz w:val="28"/>
          <w:szCs w:val="28"/>
          <w:rtl/>
        </w:rPr>
        <w:t xml:space="preserve">تا انتهای جزء رابع؛ خط: نسخ، كا: طهماسب قلی، تا: ۱۰۵۰ق؛ مجدول، در برگ دوم جمله «عارية لدى الاقل اسدالله» و سه یادداشت از «حسين النوری» و نام کتاب و عبارتی در اهمیت کتاب و مؤلف آن، دارای سرلوح زرین، مصحح، با علامت بلاغ «حسین بن محمد تقی المازندرانی» به این عبارت «بلغ مقابلة بعد المقابلة الأولى في عصر العاشر من التاسع المبارك في سنة ۱۲۷۸ و بين المقابلتين قريب من ماتين فسبحان من بيده ملكوت كل شيء و اليه ترجعون و انا الجانی حسین بن محمد تقی المازندرانی کتبه في مشهد الحسين عليه السلام» که این علامت بلاغ در انتهای جزء ثانی و رابع نیز آمده، دارای حواشی از «حسین بن محسن تقی النوری»، در پایان جزء رابع امضای مقابله «نصير الدين محمد بن محمد تقي اللاهیجی» با یادداشتی به عنوان «شیخ محمد»؛ تملك:</w:t>
      </w:r>
    </w:p>
    <w:p>
      <w:pPr>
        <w:pStyle w:val="BookText"/>
      </w:pPr>
      <w:r>
        <w:rPr>
          <w:rFonts w:ascii="IRNazanin" w:hAnsi="IRNazanin" w:eastAsia="IRNazanin" w:cs="IRNazanin"/>
          <w:lang w:bidi="fa-IR"/>
          <w:color w:val="111111"/>
          <w:sz w:val="28"/>
          <w:szCs w:val="28"/>
          <w:rtl/>
        </w:rPr>
        <w:t xml:space="preserve">حسین بن محمد تقی المازندرانی» صاحب مستدرک الوسائل در سنه ۱۲۷۵ که نام وی پاک شده است، نصیر الدین محمد بن محمد تقي اللاهیجی» در ۱۰۸۵، «عباس بن حسن بن عباس البلاغی»، «حسین بن شیخ عباس»،</w:t>
      </w:r>
    </w:p>
    <w:p>
      <w:pPr>
        <w:pStyle w:val="BookText"/>
      </w:pPr>
      <w:r>
        <w:rPr>
          <w:rFonts w:ascii="IRNazanin" w:hAnsi="IRNazanin" w:eastAsia="IRNazanin" w:cs="IRNazanin"/>
          <w:lang w:bidi="fa-IR"/>
          <w:color w:val="111111"/>
          <w:sz w:val="28"/>
          <w:szCs w:val="28"/>
          <w:rtl/>
        </w:rPr>
        <w:t xml:space="preserve">«محمد علی بن سید صالح الحكيم العاملی» در ۱۲۲۳، «حسین بن محمد تقی النوری الطبرسی» در نجف اشرف سال ۱۲۷۵ با مهر «قال محمد صلى الله علیه و آله حسین منی و انا من حسین» (مربع)، «على بن صالح» در ۱۲۲۱؛ مهر: «المتوكل على الله عبده محمد علی» (مستطیل)، «جزو کتابخانه ضياء الدين النوری» (بیضوی بزرگ)؛ جلد: تیماج جگری ساده، بدون مقوا، ۱۳۷، ۱۷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[ف: ۱-۳۲)</w:t>
      </w:r>
    </w:p>
    <w:p>
      <w:pPr>
        <w:pStyle w:val="BookText"/>
      </w:pPr>
      <w:r>
        <w:rPr>
          <w:rFonts w:ascii="IRNazanin" w:hAnsi="IRNazanin" w:eastAsia="IRNazanin" w:cs="IRNazanin"/>
          <w:lang w:bidi="fa-IR"/>
          <w:color w:val="111111"/>
          <w:sz w:val="28"/>
          <w:szCs w:val="28"/>
          <w:rtl/>
        </w:rPr>
        <w:t xml:space="preserve">قم؛ مرکز احیاء؛ شماره نسخه: ۵۲۲</w:t>
      </w:r>
    </w:p>
    <w:p>
      <w:pPr>
        <w:pStyle w:val="BookText"/>
      </w:pPr>
      <w:r>
        <w:rPr>
          <w:rFonts w:ascii="IRNazanin" w:hAnsi="IRNazanin" w:eastAsia="IRNazanin" w:cs="IRNazanin"/>
          <w:lang w:bidi="fa-IR"/>
          <w:color w:val="111111"/>
          <w:sz w:val="28"/>
          <w:szCs w:val="28"/>
          <w:rtl/>
        </w:rPr>
        <w:t xml:space="preserve">نسخه اصل: همان نسخه بالا[عکسی ف: ۲-۱۱۴]</w:t>
      </w:r>
    </w:p>
    <w:p>
      <w:pPr>
        <w:pStyle w:val="BookText"/>
      </w:pPr>
      <w:r>
        <w:rPr>
          <w:rFonts w:ascii="IRNazanin" w:hAnsi="IRNazanin" w:eastAsia="IRNazanin" w:cs="IRNazanin"/>
          <w:lang w:bidi="fa-IR"/>
          <w:color w:val="111111"/>
          <w:sz w:val="28"/>
          <w:szCs w:val="28"/>
          <w:rtl/>
        </w:rPr>
        <w:t xml:space="preserve">۱۰. تهران؛ سپهسالار؛ شماره نسخه: ۵۳۲۶</w:t>
      </w:r>
    </w:p>
    <w:p>
      <w:pPr>
        <w:pStyle w:val="BookText"/>
      </w:pPr>
      <w:r>
        <w:rPr>
          <w:rFonts w:ascii="IRNazanin" w:hAnsi="IRNazanin" w:eastAsia="IRNazanin" w:cs="IRNazanin"/>
          <w:lang w:bidi="fa-IR"/>
          <w:color w:val="111111"/>
          <w:sz w:val="28"/>
          <w:szCs w:val="28"/>
          <w:rtl/>
        </w:rPr>
        <w:t xml:space="preserve">نسخه از نیمه باب دوم برابر با سطر ۱۶ صفحه نخستين چاپی آغاز شده و تا باب ۱۸۹ را دارد. (عنوان باب سوم: العالم الذي من عرفه عرفه الله)؛ خط: نسخ، کا: محمد شريف بن شیخ عبدالعلی، تا: ۱۰۵۴ق، کاغذ: سپاهانی نخودی، جلد: تیماج زرد ضربی یک لای ۳۰گ، ۲۸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۳-۲۵۶]</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تهران؛ ملی؛ شماره نسخه: ۳۱۴۲/۲</w:t>
      </w:r>
    </w:p>
    <w:p>
      <w:pPr>
        <w:pStyle w:val="BookText"/>
      </w:pPr>
      <w:r>
        <w:rPr>
          <w:rFonts w:ascii="IRNazanin" w:hAnsi="IRNazanin" w:eastAsia="IRNazanin" w:cs="IRNazanin"/>
          <w:lang w:bidi="fa-IR"/>
          <w:color w:val="111111"/>
          <w:sz w:val="28"/>
          <w:szCs w:val="28"/>
          <w:rtl/>
        </w:rPr>
        <w:t xml:space="preserve">آغاز و انجام: برابر چهار جزئی؛ خط: نسخ، كا: نجم الدين بن يعقوب صیمری، تا: ۱۰۵۷ق، جان حیدر آباد پاکستان؛ کاغذ: فرنگی الوان کرم و آبی، جلد: تیماج عنابی مقوایی عطف تیماج تریاکی روشن، ۸۰ص ( ۲۵۴-۱۷۵ )، ۲۱سطر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۱۷/۵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۲۸/۵سم [ف: ۱۴-۲۵۸]</w:t>
      </w:r>
    </w:p>
    <w:p>
      <w:pPr>
        <w:pStyle w:val="BookText"/>
      </w:pPr>
      <w:r>
        <w:rPr>
          <w:rFonts w:ascii="IRNazanin" w:hAnsi="IRNazanin" w:eastAsia="IRNazanin" w:cs="IRNazanin"/>
          <w:lang w:bidi="fa-IR"/>
          <w:color w:val="111111"/>
          <w:sz w:val="28"/>
          <w:szCs w:val="28"/>
          <w:rtl/>
        </w:rPr>
        <w:t xml:space="preserve">۱۲. تهران؛ مهدوی؛ شماره نسخه: ۷۵۱</w:t>
      </w:r>
    </w:p>
    <w:p>
      <w:pPr>
        <w:pStyle w:val="BookText"/>
      </w:pPr>
      <w:r>
        <w:rPr>
          <w:rFonts w:ascii="IRNazanin" w:hAnsi="IRNazanin" w:eastAsia="IRNazanin" w:cs="IRNazanin"/>
          <w:lang w:bidi="fa-IR"/>
          <w:color w:val="111111"/>
          <w:sz w:val="28"/>
          <w:szCs w:val="28"/>
          <w:rtl/>
        </w:rPr>
        <w:t xml:space="preserve">خط: نسخ، كا: خير الله بن علي بن عبدالله جزایری کربلایی، تا: ۱۲ رجب ۱۰۶۳ق؛ کاغذ: سپاهانی (نشریه: ۲-۱۳۹]</w:t>
      </w:r>
    </w:p>
    <w:p>
      <w:pPr>
        <w:pStyle w:val="BookText"/>
      </w:pPr>
      <w:r>
        <w:rPr>
          <w:rFonts w:ascii="IRNazanin" w:hAnsi="IRNazanin" w:eastAsia="IRNazanin" w:cs="IRNazanin"/>
          <w:lang w:bidi="fa-IR"/>
          <w:color w:val="111111"/>
          <w:sz w:val="28"/>
          <w:szCs w:val="28"/>
          <w:rtl/>
        </w:rPr>
        <w:t xml:space="preserve">۱۳. تهران؛ دانشگاه؛ شماره نسخه: ۱۰۶۱/۱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بن حسن حرعاملی، تا: اواخر ربيع الأول ۱۰۶۴ق؛ از روی نسخه شیخ زین الدین شیخ محمد مورخ ۱۰۳۳ در پایان ربيع الاول سال ۱۰۶۴ برای خود نوشته، و در گ ارو ۱۰۳ر می نویسد: «الله ثقة عبده. کاتبه لنفسه: محمد بن الحسن الحر، نفعه الله به» با دو گونه مهر او؛ کاغذ: فرنگی، جلد: تیماج گلی ساده مقوایی، ۱۰۸گ(۱ب -۱۰۲ب )، ۱۷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اندازه: ۱۱/۵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۱۶/۵ سم [ف: ۱۱۸۵۵]</w:t>
      </w:r>
    </w:p>
    <w:p>
      <w:pPr>
        <w:pStyle w:val="BookText"/>
      </w:pPr>
      <w:r>
        <w:rPr>
          <w:rFonts w:ascii="IRNazanin" w:hAnsi="IRNazanin" w:eastAsia="IRNazanin" w:cs="IRNazanin"/>
          <w:lang w:bidi="fa-IR"/>
          <w:color w:val="111111"/>
          <w:sz w:val="28"/>
          <w:szCs w:val="28"/>
          <w:rtl/>
        </w:rPr>
        <w:t xml:space="preserve">۱۴. تهران، دانشگاه؛ شماره نسخه: ۱۸۵۲</w:t>
      </w:r>
    </w:p>
    <w:p>
      <w:pPr>
        <w:pStyle w:val="BookText"/>
      </w:pPr>
      <w:r>
        <w:rPr>
          <w:rFonts w:ascii="IRNazanin" w:hAnsi="IRNazanin" w:eastAsia="IRNazanin" w:cs="IRNazanin"/>
          <w:lang w:bidi="fa-IR"/>
          <w:color w:val="111111"/>
          <w:sz w:val="28"/>
          <w:szCs w:val="28"/>
          <w:rtl/>
        </w:rPr>
        <w:t xml:space="preserve">این نسخه در ۹ جزو است و بجز نوادر ۱۸۷ باب دارد ولی در خود نسخه ۱۸۸ باب است؛ خط: نسخ، كان محمد طالب جلیلی سپاهانی، تا: ۱۰۶۵ق؛ مصحح، با علامت بلاغ، محشی، در یکجا به خط «باقر موسوی» (باب ۱۰۱)؛ مهر: «ابن حاجی حیدر ۱۰۶۳»؛ کاغذ: سپاهانی، جلد: تیماج حنایی مقوایی، ۱۱۸، ۲۵ سطر (۱۲/۵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۸-۴۴۷]</w:t>
      </w:r>
    </w:p>
    <w:p>
      <w:pPr>
        <w:pStyle w:val="BookText"/>
      </w:pPr>
      <w:r>
        <w:rPr>
          <w:rFonts w:ascii="IRNazanin" w:hAnsi="IRNazanin" w:eastAsia="IRNazanin" w:cs="IRNazanin"/>
          <w:lang w:bidi="fa-IR"/>
          <w:color w:val="111111"/>
          <w:sz w:val="28"/>
          <w:szCs w:val="28"/>
          <w:rtl/>
        </w:rPr>
        <w:t xml:space="preserve">۱۵. قم؛ موقوفه میرزا ابوطالب قمی؛ شماره نسخه: ۲۰/۲</w:t>
      </w:r>
    </w:p>
    <w:p>
      <w:pPr>
        <w:pStyle w:val="BookText"/>
      </w:pPr>
      <w:r>
        <w:rPr>
          <w:rFonts w:ascii="IRNazanin" w:hAnsi="IRNazanin" w:eastAsia="IRNazanin" w:cs="IRNazanin"/>
          <w:lang w:bidi="fa-IR"/>
          <w:color w:val="111111"/>
          <w:sz w:val="28"/>
          <w:szCs w:val="28"/>
          <w:rtl/>
        </w:rPr>
        <w:t xml:space="preserve">خط: نسخ، كا: نوروز بن اسماعيل معلم اصفهانی، تا: چهارشنبه غره رجب ۱۰۶۶ق؛ جلد: تیماج قرمز ضربی، ۸۱گی (۱۴۳پ ۲۲۳پ)، ۲۲ سطر [جنگ: ۱-۴۹۷]</w:t>
      </w:r>
    </w:p>
    <w:p>
      <w:pPr>
        <w:pStyle w:val="BookText"/>
      </w:pPr>
      <w:r>
        <w:rPr>
          <w:rFonts w:ascii="IRNazanin" w:hAnsi="IRNazanin" w:eastAsia="IRNazanin" w:cs="IRNazanin"/>
          <w:lang w:bidi="fa-IR"/>
          <w:color w:val="111111"/>
          <w:sz w:val="28"/>
          <w:szCs w:val="28"/>
          <w:rtl/>
        </w:rPr>
        <w:t xml:space="preserve">۱۶. قم؛ مرعشی؛ شماره نسخه: ۲۴۹</w:t>
      </w:r>
    </w:p>
    <w:p>
      <w:pPr>
        <w:pStyle w:val="BookText"/>
      </w:pPr>
      <w:r>
        <w:rPr>
          <w:rFonts w:ascii="IRNazanin" w:hAnsi="IRNazanin" w:eastAsia="IRNazanin" w:cs="IRNazanin"/>
          <w:lang w:bidi="fa-IR"/>
          <w:color w:val="111111"/>
          <w:sz w:val="28"/>
          <w:szCs w:val="28"/>
          <w:rtl/>
        </w:rPr>
        <w:t xml:space="preserve">آغاز: برابر؛ انجام: عن ابی عبدالله عليه السلام قال لا تكذبوا بحديث أتاكم أحد فانكم لاتدرون لعله شيء من الحق فتكذبوا الله فوق عرشه. خط: نسخ، كا: محمد امین نجفی استر آبادی، تا: ۱۴ صفر ۱۰۶۷ق؛ مصحح؛ وقفنامه کتاب به تاریخ محرم ۱۲۵۲؛ جلد: دو رو تیماج قهوه ای، ۲۲۴گ، ۱۹ سطر،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۱-۲۷۶]</w:t>
      </w:r>
    </w:p>
    <w:p>
      <w:pPr>
        <w:pStyle w:val="BookText"/>
      </w:pPr>
      <w:r>
        <w:rPr>
          <w:rFonts w:ascii="IRNazanin" w:hAnsi="IRNazanin" w:eastAsia="IRNazanin" w:cs="IRNazanin"/>
          <w:lang w:bidi="fa-IR"/>
          <w:color w:val="111111"/>
          <w:sz w:val="28"/>
          <w:szCs w:val="28"/>
          <w:rtl/>
        </w:rPr>
        <w:t xml:space="preserve">۱۷. قم: مرکز احیاء؛ شماره نسخه: ۲۱۳۴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بن الحسن نوری، تا: ۱۱ شعبان ۱۰۶۸ق؛ مصحح، با حواشی «بهاء الحسینی عفی عنه»، از روی نسخه ای به تاریخ ۲۴ ذیقعده ۷۲۵ نگاشته که آن نسخه از روی نسخه ای به تاریخ ۲۷۵ نقل کرده که بر روی آن خط جماعتی از علمای ری بوده؛ جلد: تیماج قهوه ای، ۲۶۶ گی، ۱۲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محدث [رموی مخ: ۱-۲۵۵]</w:t>
      </w:r>
    </w:p>
    <w:p>
      <w:pPr>
        <w:pStyle w:val="BookText"/>
      </w:pPr>
      <w:r>
        <w:rPr>
          <w:rFonts w:ascii="IRNazanin" w:hAnsi="IRNazanin" w:eastAsia="IRNazanin" w:cs="IRNazanin"/>
          <w:lang w:bidi="fa-IR"/>
          <w:color w:val="111111"/>
          <w:sz w:val="28"/>
          <w:szCs w:val="28"/>
          <w:rtl/>
        </w:rPr>
        <w:t xml:space="preserve">۱۸. قم: مرکز احیاء؛ شماره نسخه: ۲۵۴۹</w:t>
      </w:r>
    </w:p>
    <w:p>
      <w:pPr>
        <w:pStyle w:val="BookText"/>
      </w:pPr>
      <w:r>
        <w:rPr>
          <w:rFonts w:ascii="IRNazanin" w:hAnsi="IRNazanin" w:eastAsia="IRNazanin" w:cs="IRNazanin"/>
          <w:lang w:bidi="fa-IR"/>
          <w:color w:val="111111"/>
          <w:sz w:val="28"/>
          <w:szCs w:val="28"/>
          <w:rtl/>
        </w:rPr>
        <w:t xml:space="preserve">خط: نستعلیق، کا: میرزا خان بن محمد باقر، تا: جمادی الثانی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۱۰۷۱ق؛ مصحح، یادداشتی در باره عقد نکاح؛ مهر: «شعاع» (بیضوی)، «الله اکبر» (مربع)؛ جلد: تیماج قرمز، ۱۱۸گ، ۱۶ سطر، اندازه: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۱۸/۵ سم [محدث ارموی مخ: ۱-۲۵۶]</w:t>
      </w:r>
    </w:p>
    <w:p>
      <w:pPr>
        <w:pStyle w:val="BookText"/>
      </w:pPr>
      <w:r>
        <w:rPr>
          <w:rFonts w:ascii="IRNazanin" w:hAnsi="IRNazanin" w:eastAsia="IRNazanin" w:cs="IRNazanin"/>
          <w:lang w:bidi="fa-IR"/>
          <w:color w:val="111111"/>
          <w:sz w:val="28"/>
          <w:szCs w:val="28"/>
          <w:rtl/>
        </w:rPr>
        <w:t xml:space="preserve">۱۹. تهران؛ عبدالعظیم؛ شماره نسخه: ۴۸۲</w:t>
      </w:r>
    </w:p>
    <w:p>
      <w:pPr>
        <w:pStyle w:val="BookText"/>
      </w:pPr>
      <w:r>
        <w:rPr>
          <w:rFonts w:ascii="Amiri" w:hAnsi="Amiri" w:eastAsia="Amiri" w:cs="Amiri"/>
          <w:lang w:bidi="ar-SA"/>
          <w:color w:val="111111"/>
          <w:sz w:val="28"/>
          <w:szCs w:val="28"/>
          <w:rtl/>
        </w:rPr>
        <w:t xml:space="preserve">آغاز: برابر؛ انجام: ليس على مثل أبي يحي و قد كان لا يوسف من خدمته.</w:t>
      </w:r>
    </w:p>
    <w:p>
      <w:pPr>
        <w:pStyle w:val="BookText"/>
      </w:pPr>
      <w:r>
        <w:rPr>
          <w:rFonts w:ascii="IRNazanin" w:hAnsi="IRNazanin" w:eastAsia="IRNazanin" w:cs="IRNazanin"/>
          <w:lang w:bidi="fa-IR"/>
          <w:color w:val="111111"/>
          <w:sz w:val="28"/>
          <w:szCs w:val="28"/>
          <w:rtl/>
        </w:rPr>
        <w:t xml:space="preserve">خط: نسخ زیبا، بی کا، تا: پنج شنبه ۲ ذیقعده ۱۰۷۱ق؛ افتادگی: انجام؛ واقف: احمد طاهری، ۱۳۵۱/۵/۱۳ ؛ جلد: تیماج قهوه ای مجدول، ۱۱۲گ، ۱۵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۱-۷۵]</w:t>
      </w:r>
    </w:p>
    <w:p>
      <w:pPr>
        <w:pStyle w:val="BookText"/>
      </w:pPr>
      <w:r>
        <w:rPr>
          <w:rFonts w:ascii="IRNazanin" w:hAnsi="IRNazanin" w:eastAsia="IRNazanin" w:cs="IRNazanin"/>
          <w:lang w:bidi="fa-IR"/>
          <w:color w:val="111111"/>
          <w:sz w:val="28"/>
          <w:szCs w:val="28"/>
          <w:rtl/>
        </w:rPr>
        <w:t xml:space="preserve">۲۰. قم: مرکز احیاء؛ شماره نسخه: ۳۷۹۶</w:t>
      </w:r>
    </w:p>
    <w:p>
      <w:pPr>
        <w:pStyle w:val="BookText"/>
      </w:pPr>
      <w:r>
        <w:rPr>
          <w:rFonts w:ascii="IRNazanin" w:hAnsi="IRNazanin" w:eastAsia="IRNazanin" w:cs="IRNazanin"/>
          <w:lang w:bidi="fa-IR"/>
          <w:color w:val="111111"/>
          <w:sz w:val="28"/>
          <w:szCs w:val="28"/>
          <w:rtl/>
        </w:rPr>
        <w:t xml:space="preserve">خط: نسخ، بی کا، تا: ۱۰۷۲-۱۰۷۳ق؛ مصحح، محشى؛ مهر: «الملك لله دلخل کتابخانه خصوصی داعی شد» (بیضوی)، «لااله الا الله الملك الحق المبين محمد حسین» (مربع)؛ جلد: تیماج قهوه ای لبه دار، ۲۳۶گ، ۱۲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[محدث ارموی مخ: ۱-۲۵۵]</w:t>
      </w:r>
    </w:p>
    <w:p>
      <w:pPr>
        <w:pStyle w:val="BookText"/>
      </w:pPr>
      <w:r>
        <w:rPr>
          <w:rFonts w:ascii="IRNazanin" w:hAnsi="IRNazanin" w:eastAsia="IRNazanin" w:cs="IRNazanin"/>
          <w:lang w:bidi="fa-IR"/>
          <w:color w:val="111111"/>
          <w:sz w:val="28"/>
          <w:szCs w:val="28"/>
          <w:rtl/>
        </w:rPr>
        <w:t xml:space="preserve">۲۱. تهران؛ ملک؛ شماره نسخه: ۲۰۵۲/۱</w:t>
      </w:r>
    </w:p>
    <w:p>
      <w:pPr>
        <w:pStyle w:val="BookText"/>
      </w:pPr>
      <w:r>
        <w:rPr>
          <w:rFonts w:ascii="IRNazanin" w:hAnsi="IRNazanin" w:eastAsia="IRNazanin" w:cs="IRNazanin"/>
          <w:lang w:bidi="fa-IR"/>
          <w:color w:val="111111"/>
          <w:sz w:val="28"/>
          <w:szCs w:val="28"/>
          <w:rtl/>
        </w:rPr>
        <w:t xml:space="preserve">جزو یکم؛ خط: نسخ، كا: ملک حسین بن عناية الله بن على، تا: ۷ محرم ۱۰۷۳ق؛ با بلاغ قرائت؛ کاغذ: ترمه، جلد: میشن قهوه ای، ۱۴سطر،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۹سم [ف: ۵-۴۱۶]</w:t>
      </w:r>
    </w:p>
    <w:p>
      <w:pPr>
        <w:pStyle w:val="BookText"/>
      </w:pPr>
      <w:r>
        <w:rPr>
          <w:rFonts w:ascii="IRNazanin" w:hAnsi="IRNazanin" w:eastAsia="IRNazanin" w:cs="IRNazanin"/>
          <w:lang w:bidi="fa-IR"/>
          <w:color w:val="111111"/>
          <w:sz w:val="28"/>
          <w:szCs w:val="28"/>
          <w:rtl/>
        </w:rPr>
        <w:t xml:space="preserve">۲۲. تهران؛ ملک؛ شماره نسخه: ۱۹۵۷/۲</w:t>
      </w:r>
    </w:p>
    <w:p>
      <w:pPr>
        <w:pStyle w:val="BookText"/>
      </w:pPr>
      <w:r>
        <w:rPr>
          <w:rFonts w:ascii="IRNazanin" w:hAnsi="IRNazanin" w:eastAsia="IRNazanin" w:cs="IRNazanin"/>
          <w:lang w:bidi="fa-IR"/>
          <w:color w:val="111111"/>
          <w:sz w:val="28"/>
          <w:szCs w:val="28"/>
          <w:rtl/>
        </w:rPr>
        <w:t xml:space="preserve">خط: نسخ، کا: محمد تقی ساروی، تا: دهه سوم ماه پنجم ۱۰۷۸ق؛</w:t>
      </w:r>
    </w:p>
    <w:p>
      <w:pPr>
        <w:pStyle w:val="BookText"/>
      </w:pPr>
      <w:r>
        <w:rPr>
          <w:rFonts w:ascii="IRNazanin" w:hAnsi="IRNazanin" w:eastAsia="IRNazanin" w:cs="IRNazanin"/>
          <w:lang w:bidi="fa-IR"/>
          <w:color w:val="111111"/>
          <w:sz w:val="28"/>
          <w:szCs w:val="28"/>
          <w:rtl/>
        </w:rPr>
        <w:t xml:space="preserve">کاغذ: ترمه، جلد: میشن قهوه ای لبه دار، ۲۲ سطر [ف: ۵-۴۰۰]</w:t>
      </w:r>
    </w:p>
    <w:p>
      <w:pPr>
        <w:pStyle w:val="BookText"/>
      </w:pPr>
      <w:r>
        <w:rPr>
          <w:rFonts w:ascii="IRNazanin" w:hAnsi="IRNazanin" w:eastAsia="IRNazanin" w:cs="IRNazanin"/>
          <w:lang w:bidi="fa-IR"/>
          <w:color w:val="111111"/>
          <w:sz w:val="28"/>
          <w:szCs w:val="28"/>
          <w:rtl/>
        </w:rPr>
        <w:t xml:space="preserve">۲۳. قم؛ مرکز احیاء؛ شماره نسخه: ۳۶۲۲/۱</w:t>
      </w:r>
    </w:p>
    <w:p>
      <w:pPr>
        <w:pStyle w:val="BookText"/>
      </w:pPr>
      <w:r>
        <w:rPr>
          <w:rFonts w:ascii="IRNazanin" w:hAnsi="IRNazanin" w:eastAsia="IRNazanin" w:cs="IRNazanin"/>
          <w:lang w:bidi="fa-IR"/>
          <w:color w:val="111111"/>
          <w:sz w:val="28"/>
          <w:szCs w:val="28"/>
          <w:rtl/>
        </w:rPr>
        <w:t xml:space="preserve">آغاز: باب في الائمة انهم المتوسمون في الأرض و هم الذين ذكرهم الله في كتابه يعرفون الناس بسيماهم جزء چهارم؛ خط: نسخ، كا: عبدالمطلب بن غیاث الدین محمد علائی، تا: دوشنبه ۶ جمادی الاول ۱۰۷۸ق؛ محشی، یادداشتی در باره علماء شیعه؛ مهر: «محمد بن علی» (بیضوی)؛ ۳۲گ (۲پ - ۳۳پ)، ۱۶ سطر، اندازه: ۱۰/۵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[محدث ارموی مخ: ۱-۲۵۶]</w:t>
      </w:r>
    </w:p>
    <w:p>
      <w:pPr>
        <w:pStyle w:val="BookText"/>
      </w:pPr>
      <w:r>
        <w:rPr>
          <w:rFonts w:ascii="IRNazanin" w:hAnsi="IRNazanin" w:eastAsia="IRNazanin" w:cs="IRNazanin"/>
          <w:lang w:bidi="fa-IR"/>
          <w:color w:val="111111"/>
          <w:sz w:val="28"/>
          <w:szCs w:val="28"/>
          <w:rtl/>
        </w:rPr>
        <w:t xml:space="preserve">۲۴. مشهد؛ گوهرشاد؛ شماره نسخه: ۱۰۲۰</w:t>
      </w:r>
    </w:p>
    <w:p>
      <w:pPr>
        <w:pStyle w:val="BookText"/>
      </w:pPr>
      <w:r>
        <w:rPr>
          <w:rFonts w:ascii="IRNazanin" w:hAnsi="IRNazanin" w:eastAsia="IRNazanin" w:cs="IRNazanin"/>
          <w:lang w:bidi="fa-IR"/>
          <w:color w:val="111111"/>
          <w:sz w:val="28"/>
          <w:szCs w:val="28"/>
          <w:rtl/>
        </w:rPr>
        <w:t xml:space="preserve">خط: نسخ، كان عبد الصمد بن ابراهیم کوه زری، تا: ۱۰۷۸ق؛ جلد: تیماج زرد، ۲ سطر، قطع: ربعی [چهار کتابخانه مشهدف: ۲۲۹]</w:t>
      </w:r>
    </w:p>
    <w:p>
      <w:pPr>
        <w:pStyle w:val="BookText"/>
      </w:pPr>
      <w:r>
        <w:rPr>
          <w:rFonts w:ascii="IRNazanin" w:hAnsi="IRNazanin" w:eastAsia="IRNazanin" w:cs="IRNazanin"/>
          <w:lang w:bidi="fa-IR"/>
          <w:color w:val="111111"/>
          <w:sz w:val="28"/>
          <w:szCs w:val="28"/>
          <w:rtl/>
        </w:rPr>
        <w:t xml:space="preserve">۲۵. مشهد؛ گوهرشاد؛ شماره نسخه: ۲۰۲۰</w:t>
      </w:r>
    </w:p>
    <w:p>
      <w:pPr>
        <w:pStyle w:val="BookText"/>
      </w:pPr>
      <w:r>
        <w:rPr>
          <w:rFonts w:ascii="Amiri" w:hAnsi="Amiri" w:eastAsia="Amiri" w:cs="Amiri"/>
          <w:lang w:bidi="ar-SA"/>
          <w:color w:val="111111"/>
          <w:sz w:val="28"/>
          <w:szCs w:val="28"/>
          <w:rtl/>
        </w:rPr>
        <w:t xml:space="preserve">آغاز: جل و عز فمن اتبع هداي فلا يضل ولا يشقى قال من قال بالائمة و اتبع امرهم و لم يجز طاعتهم؛ انجام: و الله اني لا عرض اعمالهم على الله في كل يوم.</w:t>
      </w:r>
    </w:p>
    <w:p>
      <w:pPr>
        <w:pStyle w:val="BookText"/>
      </w:pPr>
      <w:r>
        <w:rPr>
          <w:rFonts w:ascii="IRNazanin" w:hAnsi="IRNazanin" w:eastAsia="IRNazanin" w:cs="IRNazanin"/>
          <w:lang w:bidi="fa-IR"/>
          <w:color w:val="111111"/>
          <w:sz w:val="28"/>
          <w:szCs w:val="28"/>
          <w:rtl/>
        </w:rPr>
        <w:t xml:space="preserve">از اوایل جزء یکم تا پایان جزء چهارم؛ خط: نسخ، كا: عبدالصمد بن ابراهیم کوه زری، تا: ۷ ذیحجه ۱۰۷۸ق؛ افتادگی: آغاز؛ محشی به حواشی با رمز «علم» و «اهم دام ظله»؛ کاغذ: نخودی آهار مهره، جلد: میشن قهوه ای، ۱۹۹، ۱۲ سطر، اندازه: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۱۹/۵ سم [ف: ۵-۴۰۲]</w:t>
      </w:r>
    </w:p>
    <w:p>
      <w:pPr>
        <w:pStyle w:val="BookText"/>
      </w:pPr>
      <w:r>
        <w:rPr>
          <w:rFonts w:ascii="IRNazanin" w:hAnsi="IRNazanin" w:eastAsia="IRNazanin" w:cs="IRNazanin"/>
          <w:lang w:bidi="fa-IR"/>
          <w:color w:val="111111"/>
          <w:sz w:val="28"/>
          <w:szCs w:val="28"/>
          <w:rtl/>
        </w:rPr>
        <w:t xml:space="preserve">۲۶. قم؛ مرعشی؛ شماره نسخه: ۵۷۴۹</w:t>
      </w:r>
    </w:p>
    <w:p>
      <w:pPr>
        <w:pStyle w:val="BookText"/>
      </w:pPr>
      <w:r>
        <w:rPr>
          <w:rFonts w:ascii="IRNazanin" w:hAnsi="IRNazanin" w:eastAsia="IRNazanin" w:cs="IRNazanin"/>
          <w:lang w:bidi="fa-IR"/>
          <w:color w:val="111111"/>
          <w:sz w:val="28"/>
          <w:szCs w:val="28"/>
          <w:rtl/>
        </w:rPr>
        <w:t xml:space="preserve">خط: نسخ، كا: امیره بن ضياء الدين، تا: یکشنبه ۲۲ محرم ۱۰۸۰ق؛ مصحح، مقابله شده در سلخ ربيع الثانی ۱۰۸۰؛ وقفنامه کتاب به تاریخ شعبان ۱۲۴۷؛ جلد: تیماج قرمز، ۱۱۳، ۱۹ سطر، اندازه: ۱۷/۵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۲۸/۵ سم [ف: ۱۵-۱۴۰]</w:t>
      </w:r>
    </w:p>
    <w:p>
      <w:pPr>
        <w:pStyle w:val="BookText"/>
      </w:pPr>
      <w:r>
        <w:rPr>
          <w:rFonts w:ascii="IRNazanin" w:hAnsi="IRNazanin" w:eastAsia="IRNazanin" w:cs="IRNazanin"/>
          <w:lang w:bidi="fa-IR"/>
          <w:color w:val="111111"/>
          <w:sz w:val="28"/>
          <w:szCs w:val="28"/>
          <w:rtl/>
        </w:rPr>
        <w:t xml:space="preserve">۲۷. قم: مرکز احیاء؛ شماره نسخه: ۲۴۱۵</w:t>
      </w:r>
    </w:p>
    <w:p>
      <w:pPr>
        <w:pStyle w:val="BookText"/>
      </w:pPr>
      <w:r>
        <w:rPr>
          <w:rFonts w:ascii="IRNazanin" w:hAnsi="IRNazanin" w:eastAsia="IRNazanin" w:cs="IRNazanin"/>
          <w:lang w:bidi="fa-IR"/>
          <w:color w:val="111111"/>
          <w:sz w:val="28"/>
          <w:szCs w:val="28"/>
          <w:rtl/>
        </w:rPr>
        <w:t xml:space="preserve">خط: نسخ، بی کا، تا: اوایل رجب ۱۰۸۳ق؛ مصحح؛ جلد: تیماج زرشکی سوخته ضربی، ۴۳۹گ، ۱۵ سطر، اندازه:</w:t>
      </w:r>
    </w:p>
    <w:p>
      <w:pPr>
        <w:pStyle w:val="BookText"/>
      </w:pPr>
      <w:r>
        <w:rPr>
          <w:rFonts w:ascii="IRNazanin" w:hAnsi="IRNazanin" w:eastAsia="IRNazanin" w:cs="IRNazanin"/>
          <w:lang w:bidi="fa-IR"/>
          <w:color w:val="111111"/>
          <w:sz w:val="28"/>
          <w:szCs w:val="28"/>
          <w:rtl/>
        </w:rPr>
        <w:t xml:space="preserve">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[محدث ارموی مخ: ۱-۲۵۵]</w:t>
      </w:r>
    </w:p>
    <w:p>
      <w:pPr>
        <w:pStyle w:val="BookText"/>
      </w:pPr>
      <w:r>
        <w:rPr>
          <w:rFonts w:ascii="IRNazanin" w:hAnsi="IRNazanin" w:eastAsia="IRNazanin" w:cs="IRNazanin"/>
          <w:lang w:bidi="fa-IR"/>
          <w:color w:val="111111"/>
          <w:sz w:val="28"/>
          <w:szCs w:val="28"/>
          <w:rtl/>
        </w:rPr>
        <w:t xml:space="preserve">۲۸. مشهد: رضوی؛ شماره نسخه: ۱۶۲۹</w:t>
      </w:r>
    </w:p>
    <w:p>
      <w:pPr>
        <w:pStyle w:val="BookText"/>
      </w:pPr>
      <w:r>
        <w:rPr>
          <w:rFonts w:ascii="IRNazanin" w:hAnsi="IRNazanin" w:eastAsia="IRNazanin" w:cs="IRNazanin"/>
          <w:lang w:bidi="fa-IR"/>
          <w:color w:val="111111"/>
          <w:sz w:val="28"/>
          <w:szCs w:val="28"/>
          <w:rtl/>
        </w:rPr>
        <w:t xml:space="preserve">آغاز: برابر؛ انجام: فتكذبوه الله فوق عرشه قد كمل ... تم بالخير خط: نسخ، بی کا، تا: ۱۰۸۵ق، کاغذ: نخودی، جلد: میشن، ۲۲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[الفبائی: ۸۹]</w:t>
      </w:r>
    </w:p>
    <w:p>
      <w:pPr>
        <w:pStyle w:val="BookText"/>
      </w:pPr>
      <w:r>
        <w:rPr>
          <w:rFonts w:ascii="IRNazanin" w:hAnsi="IRNazanin" w:eastAsia="IRNazanin" w:cs="IRNazanin"/>
          <w:lang w:bidi="fa-IR"/>
          <w:color w:val="111111"/>
          <w:sz w:val="28"/>
          <w:szCs w:val="28"/>
          <w:rtl/>
        </w:rPr>
        <w:t xml:space="preserve">۲۹. تهران: دائرة المعارف؛ شماره نسخه: ۲۱۹۹-عکسی</w:t>
      </w:r>
    </w:p>
    <w:p>
      <w:pPr>
        <w:pStyle w:val="BookText"/>
      </w:pPr>
      <w:r>
        <w:rPr>
          <w:rFonts w:ascii="IRNazanin" w:hAnsi="IRNazanin" w:eastAsia="IRNazanin" w:cs="IRNazanin"/>
          <w:lang w:bidi="fa-IR"/>
          <w:color w:val="111111"/>
          <w:sz w:val="28"/>
          <w:szCs w:val="28"/>
          <w:rtl/>
        </w:rPr>
        <w:t xml:space="preserve">آغاز: برابر، انجام: لعله شیئی من الحق فتكذبو الله فوق عرشه. انجامه نویسنده: قد كمل کتاب بصائر الدرجات بعون الله الملک المبين على يد العبد المسكين محمد المدعو بنظام الدين.</w:t>
      </w:r>
    </w:p>
    <w:p>
      <w:pPr>
        <w:pStyle w:val="BookText"/>
      </w:pPr>
      <w:r>
        <w:rPr>
          <w:rFonts w:ascii="IRNazanin" w:hAnsi="IRNazanin" w:eastAsia="IRNazanin" w:cs="IRNazanin"/>
          <w:lang w:bidi="fa-IR"/>
          <w:color w:val="111111"/>
          <w:sz w:val="28"/>
          <w:szCs w:val="28"/>
          <w:rtl/>
        </w:rPr>
        <w:t xml:space="preserve">نخستین باب در نسخه در دست «باب العالم و المتعلم» و واپسین آنها «باب عرض الأعمال» است؛ خط: نسخ خوش، کا: محمد مدعو به نظام الدین، تا: پنج شنبه ۱۱ شعبان ۱۰۸۶ق؛ افتادگی: انجام؛ مقابله شده، محشی با نشانه «ق»؛ وقفنامه بر گروه شیخیان کرمان با امضای محمد بن کریم (قاجار) در کرمان با نشان مهر گرد ایشان؛ ۳۲۴، ۲۲ سطر (۱۰/۵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۱۸/۵)،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عکسی ف: ۱-۵۲]</w:t>
      </w:r>
    </w:p>
    <w:p>
      <w:pPr>
        <w:pStyle w:val="BookText"/>
      </w:pPr>
      <w:r>
        <w:rPr>
          <w:rFonts w:ascii="IRNazanin" w:hAnsi="IRNazanin" w:eastAsia="IRNazanin" w:cs="IRNazanin"/>
          <w:lang w:bidi="fa-IR"/>
          <w:color w:val="111111"/>
          <w:sz w:val="28"/>
          <w:szCs w:val="28"/>
          <w:rtl/>
        </w:rPr>
        <w:t xml:space="preserve">۳۰. قم؛ طبسی؛ شماره نسخه: ۶۷۲/۱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عبد المطلب بن غیاث الدین علائی، تا: جمادی الثاني و رجب ۱۰۸۶ق؛ دارای علامات بلاغ، مصحح؛ تملک: محمد تقی شیرازی، حاج میرزا محب على؛ جلد: تیماج مشکی ضربی مجدول گرهی، ترنج باسر، ۱۲۵گ، ۱۵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سم [ف مخ: ۱-۷۴]</w:t>
      </w:r>
    </w:p>
    <w:p>
      <w:pPr>
        <w:pStyle w:val="BookText"/>
      </w:pPr>
      <w:r>
        <w:rPr>
          <w:rFonts w:ascii="IRNazanin" w:hAnsi="IRNazanin" w:eastAsia="IRNazanin" w:cs="IRNazanin"/>
          <w:lang w:bidi="fa-IR"/>
          <w:color w:val="111111"/>
          <w:sz w:val="28"/>
          <w:szCs w:val="28"/>
          <w:rtl/>
        </w:rPr>
        <w:t xml:space="preserve">۳۱. قم؛ گلپایگانی؛ شماره نسخه: ۵۷۳- ۴/۴۳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محمد، تا: ۷ جمادی الثانی ۱۰۸۸ق؛ با سرلوح مزدوج مرصع، مجدول مذهب، مصحح، بلاغ از حکیم میر ضیاء الدین محمد ۱۱۸۲؛ جلد: تیماج مشکی دو رو ضربی ترنج با سر، عطف تیماج قهوه ای، ۱۴۷ گ، ۱۵ سطر،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۶۲۵-۲ ]</w:t>
      </w:r>
    </w:p>
    <w:p>
      <w:pPr>
        <w:pStyle w:val="BookText"/>
      </w:pPr>
      <w:r>
        <w:rPr>
          <w:rFonts w:ascii="IRNazanin" w:hAnsi="IRNazanin" w:eastAsia="IRNazanin" w:cs="IRNazanin"/>
          <w:lang w:bidi="fa-IR"/>
          <w:color w:val="111111"/>
          <w:sz w:val="28"/>
          <w:szCs w:val="28"/>
          <w:rtl/>
        </w:rPr>
        <w:t xml:space="preserve">۳۲. مشهد؛ رضوی؛ شماره نسخه: ۱۶۳۰</w:t>
      </w:r>
    </w:p>
    <w:p>
      <w:pPr>
        <w:pStyle w:val="BookText"/>
      </w:pPr>
      <w:r>
        <w:rPr>
          <w:rFonts w:ascii="IRNazanin" w:hAnsi="IRNazanin" w:eastAsia="IRNazanin" w:cs="IRNazanin"/>
          <w:lang w:bidi="fa-IR"/>
          <w:color w:val="111111"/>
          <w:sz w:val="28"/>
          <w:szCs w:val="28"/>
          <w:rtl/>
        </w:rPr>
        <w:t xml:space="preserve">خط: نسخ، كا: محمد مسیح تونی، تا: ۱۰۹۲ ق [الفبائی: ۸۹]</w:t>
      </w:r>
    </w:p>
    <w:p>
      <w:pPr>
        <w:pStyle w:val="BookText"/>
      </w:pPr>
      <w:r>
        <w:rPr>
          <w:rFonts w:ascii="IRNazanin" w:hAnsi="IRNazanin" w:eastAsia="IRNazanin" w:cs="IRNazanin"/>
          <w:lang w:bidi="fa-IR"/>
          <w:color w:val="111111"/>
          <w:sz w:val="28"/>
          <w:szCs w:val="28"/>
          <w:rtl/>
        </w:rPr>
        <w:t xml:space="preserve">۳۳. مشهد؛ رضوی؛ شماره نسخه: ۱۹۳۳</w:t>
      </w:r>
    </w:p>
    <w:p>
      <w:pPr>
        <w:pStyle w:val="BookText"/>
      </w:pPr>
      <w:r>
        <w:rPr>
          <w:rFonts w:ascii="Amiri" w:hAnsi="Amiri" w:eastAsia="Amiri" w:cs="Amiri"/>
          <w:lang w:bidi="ar-SA"/>
          <w:color w:val="111111"/>
          <w:sz w:val="28"/>
          <w:szCs w:val="28"/>
          <w:rtl/>
        </w:rPr>
        <w:t xml:space="preserve">آغاز: برابر؛ انجام: فتكذبوالله فوق عرشه</w:t>
      </w:r>
    </w:p>
    <w:p>
      <w:pPr>
        <w:pStyle w:val="BookText"/>
      </w:pPr>
      <w:r>
        <w:rPr>
          <w:rFonts w:ascii="IRNazanin" w:hAnsi="IRNazanin" w:eastAsia="IRNazanin" w:cs="IRNazanin"/>
          <w:lang w:bidi="fa-IR"/>
          <w:color w:val="111111"/>
          <w:sz w:val="28"/>
          <w:szCs w:val="28"/>
          <w:rtl/>
        </w:rPr>
        <w:t xml:space="preserve">خط: نسخ، كا: قاسم بن شاه محمود، تا: سه شنبه ۱۷ ربیع الثانی ۱۰۹۲ق؛ واقف: نائینی، مرداد ۱۳۱۱؛ کاغذ: آهار مهره نخودی، جلد: مقوا با روکش پارچه، ۲۳۶ گ، ۲۱ سطر، اندازه: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۱۶/۵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۲۴/۵ سم [ف: ۵- ۶۰]</w:t>
      </w:r>
    </w:p>
    <w:p>
      <w:pPr>
        <w:pStyle w:val="BookText"/>
      </w:pPr>
      <w:r>
        <w:rPr>
          <w:rFonts w:ascii="IRNazanin" w:hAnsi="IRNazanin" w:eastAsia="IRNazanin" w:cs="IRNazanin"/>
          <w:lang w:bidi="fa-IR"/>
          <w:color w:val="111111"/>
          <w:sz w:val="28"/>
          <w:szCs w:val="28"/>
          <w:rtl/>
        </w:rPr>
        <w:t xml:space="preserve">۳۴. قم: مرکز احیاء؛ شماره نسخه: ۱۲۵۵</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جزء اول تا چهارم؛ خط: نستعلیق، بی کا، تا: قرن ۱۲؛ وقفنامه کتاب با مهر؛ جلد: مقوایی عطف تیماج مشکی، ۵۴گ، ۲۷ سطر،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۴-۶۵]</w:t>
      </w:r>
    </w:p>
    <w:p>
      <w:pPr>
        <w:pStyle w:val="BookText"/>
      </w:pPr>
      <w:r>
        <w:rPr>
          <w:rFonts w:ascii="IRNazanin" w:hAnsi="IRNazanin" w:eastAsia="IRNazanin" w:cs="IRNazanin"/>
          <w:lang w:bidi="fa-IR"/>
          <w:color w:val="111111"/>
          <w:sz w:val="28"/>
          <w:szCs w:val="28"/>
          <w:rtl/>
        </w:rPr>
        <w:t xml:space="preserve">۳۵. قم؛ مرکز احیاء؛ شماره نسخه: ۳۸۶۴</w:t>
      </w:r>
    </w:p>
    <w:p>
      <w:pPr>
        <w:pStyle w:val="BookText"/>
      </w:pPr>
      <w:r>
        <w:rPr>
          <w:rFonts w:ascii="IRNazanin" w:hAnsi="IRNazanin" w:eastAsia="IRNazanin" w:cs="IRNazanin"/>
          <w:lang w:bidi="fa-IR"/>
          <w:color w:val="111111"/>
          <w:sz w:val="28"/>
          <w:szCs w:val="28"/>
          <w:rtl/>
        </w:rPr>
        <w:t xml:space="preserve">انجام: يعقوب بن يزيد عن موسى بن سلام عن محمد بن مغرق عن ابی الحسن الرضا عليه السلام أنه قال لنا عين ... خط: نستعلیق، بی کا، تا: قرن ۱۲؛ افتادگی: انجام؛ مصحح؛ جلد: تیماج مشکی بدون مقوا، ۱۰۴گ، ۲۱ 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محدث ارموی مخ: ۱-۲۵۶]</w:t>
      </w:r>
    </w:p>
    <w:p>
      <w:pPr>
        <w:pStyle w:val="BookText"/>
      </w:pPr>
      <w:r>
        <w:rPr>
          <w:rFonts w:ascii="IRNazanin" w:hAnsi="IRNazanin" w:eastAsia="IRNazanin" w:cs="IRNazanin"/>
          <w:lang w:bidi="fa-IR"/>
          <w:color w:val="111111"/>
          <w:sz w:val="28"/>
          <w:szCs w:val="28"/>
          <w:rtl/>
        </w:rPr>
        <w:t xml:space="preserve">۳۶. مشهد؛ رضوی؛ شماره نسخه: ۷۴۷۰</w:t>
      </w:r>
    </w:p>
    <w:p>
      <w:pPr>
        <w:pStyle w:val="BookText"/>
      </w:pPr>
      <w:r>
        <w:rPr>
          <w:rFonts w:ascii="IRNazanin" w:hAnsi="IRNazanin" w:eastAsia="IRNazanin" w:cs="IRNazanin"/>
          <w:lang w:bidi="fa-IR"/>
          <w:color w:val="111111"/>
          <w:sz w:val="28"/>
          <w:szCs w:val="28"/>
          <w:rtl/>
        </w:rPr>
        <w:t xml:space="preserve">آغاز: برابر؛ انجام: لا تدرون لعله من الحق فتكذبوا الله فوق عرشه. جزء ۱ تا ۱۰؛ خط: نسخ، بی کا، تا: قرن ۱۲؛ برخی از اوراق و اجزاء نسخه ساقط و مابقی عبارتند از: ج ۱ تا پایان ج۴ و بخشی از اول ج ۵ و مقداری از آخر ج۹ و تمام جزء ۱۰؛ کاغذ: نخودی آهار مهره، جلد: تیماج عنابی، ۱۲۹گ، ۱۹ سطر، اندازه: ۲۰/۳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 [ف: ۱۴-۱۲۰]</w:t>
      </w:r>
    </w:p>
    <w:p>
      <w:pPr>
        <w:pStyle w:val="BookText"/>
      </w:pPr>
      <w:r>
        <w:rPr>
          <w:rFonts w:ascii="IRNazanin" w:hAnsi="IRNazanin" w:eastAsia="IRNazanin" w:cs="IRNazanin"/>
          <w:lang w:bidi="fa-IR"/>
          <w:color w:val="111111"/>
          <w:sz w:val="28"/>
          <w:szCs w:val="28"/>
          <w:rtl/>
        </w:rPr>
        <w:t xml:space="preserve">۳۷. تهران؛ ملی؛ شماره نسخه: ۴۵۷</w:t>
      </w:r>
    </w:p>
    <w:p>
      <w:pPr>
        <w:pStyle w:val="BookText"/>
      </w:pPr>
      <w:r>
        <w:rPr>
          <w:rFonts w:ascii="IRNazanin" w:hAnsi="IRNazanin" w:eastAsia="IRNazanin" w:cs="IRNazanin"/>
          <w:lang w:bidi="fa-IR"/>
          <w:color w:val="111111"/>
          <w:sz w:val="28"/>
          <w:szCs w:val="28"/>
          <w:rtl/>
        </w:rPr>
        <w:t xml:space="preserve">آغاز: برابر؛ انجام: تمت الأحاديث المرفقه الاقتناء الناشئه قلوبهم العميه عيون صدورهم الصماء اذن قولهم المتعلقه و الحمد لله رب العالمين وصلى الله على خير خلقه محمد و آله اجمعین. خط: نسخ، بی کا، تا: قرن ۱۲؛ کاغذ: ترمه، جلد: ابره کاغذی، عطف تیماج سرخ مقوایی لولادار، ۱۹۶گ، ۲۳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سم [ف: ۷-۳۸۴]</w:t>
      </w:r>
    </w:p>
    <w:p>
      <w:pPr>
        <w:pStyle w:val="BookText"/>
      </w:pPr>
      <w:r>
        <w:rPr>
          <w:rFonts w:ascii="IRNazanin" w:hAnsi="IRNazanin" w:eastAsia="IRNazanin" w:cs="IRNazanin"/>
          <w:lang w:bidi="fa-IR"/>
          <w:color w:val="111111"/>
          <w:sz w:val="28"/>
          <w:szCs w:val="28"/>
          <w:rtl/>
        </w:rPr>
        <w:t xml:space="preserve">۳۸. تهران؛ مجلس؛ شماره نسخه: ۵۳۹۰</w:t>
      </w:r>
    </w:p>
    <w:p>
      <w:pPr>
        <w:pStyle w:val="BookText"/>
      </w:pPr>
      <w:r>
        <w:rPr>
          <w:rFonts w:ascii="Amiri" w:hAnsi="Amiri" w:eastAsia="Amiri" w:cs="Amiri"/>
          <w:lang w:bidi="ar-SA"/>
          <w:color w:val="111111"/>
          <w:sz w:val="28"/>
          <w:szCs w:val="28"/>
          <w:rtl/>
        </w:rPr>
        <w:t xml:space="preserve">آغاز: برابر؛ انجام: فقال أبو جعفر عليه السلام اتدرى ما يقول، قلت لا، قال يقول لتكفن عن ذكر عثمان اولا سبن عليا (عليه السلام)(قد تم الجزء الثالث من كتاب بصائر الدرجات، بعون الله ...)</w:t>
      </w:r>
    </w:p>
    <w:p>
      <w:pPr>
        <w:pStyle w:val="BookText"/>
      </w:pPr>
      <w:r>
        <w:rPr>
          <w:rFonts w:ascii="IRNazanin" w:hAnsi="IRNazanin" w:eastAsia="IRNazanin" w:cs="IRNazanin"/>
          <w:lang w:bidi="fa-IR"/>
          <w:color w:val="111111"/>
          <w:sz w:val="28"/>
          <w:szCs w:val="28"/>
          <w:rtl/>
        </w:rPr>
        <w:t xml:space="preserve">تنها سه جلد آن؛ خط: نستعلیق، بی کا، تا: قرن ۱۱-۱۲؛ مقابله شده؛ کاغذ: سپاهانی، ۱۵ سطر (۱۴۶۸)،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[ف:۱۶-۲۹۵]</w:t>
      </w:r>
    </w:p>
    <w:p>
      <w:pPr>
        <w:pStyle w:val="BookText"/>
      </w:pPr>
      <w:r>
        <w:rPr>
          <w:rFonts w:ascii="IRNazanin" w:hAnsi="IRNazanin" w:eastAsia="IRNazanin" w:cs="IRNazanin"/>
          <w:lang w:bidi="fa-IR"/>
          <w:color w:val="111111"/>
          <w:sz w:val="28"/>
          <w:szCs w:val="28"/>
          <w:rtl/>
        </w:rPr>
        <w:t xml:space="preserve">۳۹. یزد؛ محمود آبادی، میرزا حسن؛ شماره نسخه: ۴</w:t>
      </w:r>
    </w:p>
    <w:p>
      <w:pPr>
        <w:pStyle w:val="BookText"/>
      </w:pPr>
      <w:r>
        <w:rPr>
          <w:rFonts w:ascii="IRNazanin" w:hAnsi="IRNazanin" w:eastAsia="IRNazanin" w:cs="IRNazanin"/>
          <w:lang w:bidi="fa-IR"/>
          <w:color w:val="111111"/>
          <w:sz w:val="28"/>
          <w:szCs w:val="28"/>
          <w:rtl/>
        </w:rPr>
        <w:t xml:space="preserve">خط: نسخ، كا: سید محمد بن صفي الدين محمد، تا: پنج شنبه ۲۱ ربيع الثانی ۱۱۰۳ق؛ قطع: ربعی آنشریه: ۴-۴۵۱]</w:t>
      </w:r>
    </w:p>
    <w:p>
      <w:pPr>
        <w:pStyle w:val="BookText"/>
      </w:pPr>
      <w:r>
        <w:rPr>
          <w:rFonts w:ascii="IRNazanin" w:hAnsi="IRNazanin" w:eastAsia="IRNazanin" w:cs="IRNazanin"/>
          <w:lang w:bidi="fa-IR"/>
          <w:color w:val="111111"/>
          <w:sz w:val="28"/>
          <w:szCs w:val="28"/>
          <w:rtl/>
        </w:rPr>
        <w:t xml:space="preserve">۴۰. يزد؛ وزیری؛ شماره نسخه: ۲۰۰۵</w:t>
      </w:r>
    </w:p>
    <w:p>
      <w:pPr>
        <w:pStyle w:val="BookText"/>
      </w:pPr>
      <w:r>
        <w:rPr>
          <w:rFonts w:ascii="IRNazanin" w:hAnsi="IRNazanin" w:eastAsia="IRNazanin" w:cs="IRNazanin"/>
          <w:lang w:bidi="fa-IR"/>
          <w:color w:val="111111"/>
          <w:sz w:val="28"/>
          <w:szCs w:val="28"/>
          <w:rtl/>
        </w:rPr>
        <w:t xml:space="preserve">آغاز: برابر؛ انجام: فانكم لا تدرون لعله شیئ من الحق فتكذبوا لله فوق عرشه. خط: نسخ، كا: سید مجد بن صفی الدین محمد، تا: ۲۰ ربیع الثانی ۱۱۰۳قبا کاغذ: اصفهانی، جلد: مقوایی عطف و گوشه ها تیماج تریاکی، ۲۲۱، ۱۹سطر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۴-۱۱۲۵]</w:t>
      </w:r>
    </w:p>
    <w:p>
      <w:pPr>
        <w:pStyle w:val="BookText"/>
      </w:pPr>
      <w:r>
        <w:rPr>
          <w:rFonts w:ascii="IRNazanin" w:hAnsi="IRNazanin" w:eastAsia="IRNazanin" w:cs="IRNazanin"/>
          <w:lang w:bidi="fa-IR"/>
          <w:color w:val="111111"/>
          <w:sz w:val="28"/>
          <w:szCs w:val="28"/>
          <w:rtl/>
        </w:rPr>
        <w:t xml:space="preserve">۴۱. قم؛ مرعشی؛ شماره نسخه: ۱۱۱۷۴/۹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کا: محمد کریم بن محمد باقر، حسینی[طيب تنکابنی]، تا: چهارشنبه ۱۴ شعبان ۱۱۱۴ق، جا: ييلاق؛ مجدول، مصحح، محشی و بیشتر از اصول کافی کلینی، صحاح و ...، این نسخه حدود ۲۰ سال قبل با تعدادی از نسخه های خطی نفیس دیگر از شهرستان بابل جهت این کتابخانه ابتیاع شده؛ کاغذ: سمرقندی، ۹۵گ (۹۰ -۱۸۴)، ۱۶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سم [ف: ۲۸-۲۵۱]</w:t>
      </w:r>
    </w:p>
    <w:p>
      <w:pPr>
        <w:pStyle w:val="BookText"/>
      </w:pPr>
      <w:r>
        <w:rPr>
          <w:rFonts w:ascii="IRNazanin" w:hAnsi="IRNazanin" w:eastAsia="IRNazanin" w:cs="IRNazanin"/>
          <w:lang w:bidi="fa-IR"/>
          <w:color w:val="111111"/>
          <w:sz w:val="28"/>
          <w:szCs w:val="28"/>
          <w:rtl/>
        </w:rPr>
        <w:t xml:space="preserve">۴۲. تهران؛ مجلس؛ شماره نسخه: ۴۰۶</w:t>
      </w:r>
    </w:p>
    <w:p>
      <w:pPr>
        <w:pStyle w:val="BookText"/>
      </w:pPr>
      <w:r>
        <w:rPr>
          <w:rFonts w:ascii="IRNazanin" w:hAnsi="IRNazanin" w:eastAsia="IRNazanin" w:cs="IRNazanin"/>
          <w:lang w:bidi="fa-IR"/>
          <w:color w:val="111111"/>
          <w:sz w:val="28"/>
          <w:szCs w:val="28"/>
          <w:rtl/>
        </w:rPr>
        <w:t xml:space="preserve">باب العلم تا باب في الائمة؛ خط: نسخ، كان محمد جعفر بن ملاحاجی محمد کاتب، تا: جمادی الثانی ۱۱۲۵ق؛ تملک: محمد رسول بن عبدالعزيز روز سه شنبه ۲۵ ربیع الثانی ۱۲۳۶؛ مهر: کتابخانه مجدالدین؛ کاغذ: سفید، جلد: تیماج زرد مقوایی، ۲۲۸گ، ۱۹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سم [سنا: ف: ۱-۲۴۵]</w:t>
      </w:r>
    </w:p>
    <w:p>
      <w:pPr>
        <w:pStyle w:val="BookText"/>
      </w:pPr>
      <w:r>
        <w:rPr>
          <w:rFonts w:ascii="IRNazanin" w:hAnsi="IRNazanin" w:eastAsia="IRNazanin" w:cs="IRNazanin"/>
          <w:lang w:bidi="fa-IR"/>
          <w:color w:val="111111"/>
          <w:sz w:val="28"/>
          <w:szCs w:val="28"/>
          <w:rtl/>
        </w:rPr>
        <w:t xml:space="preserve">۴۳. قم: مرکز احیاء؛ شماره نسخه: ۲۵۳۵</w:t>
      </w:r>
    </w:p>
    <w:p>
      <w:pPr>
        <w:pStyle w:val="BookText"/>
      </w:pPr>
      <w:r>
        <w:rPr>
          <w:rFonts w:ascii="IRNazanin" w:hAnsi="IRNazanin" w:eastAsia="IRNazanin" w:cs="IRNazanin"/>
          <w:lang w:bidi="fa-IR"/>
          <w:color w:val="111111"/>
          <w:sz w:val="28"/>
          <w:szCs w:val="28"/>
          <w:rtl/>
        </w:rPr>
        <w:t xml:space="preserve">خط: نستعلیق، بی کا، تا: ۱ رمضان ۱۲۵۶ق؛ مصحح؛ فاقد جلد، ۱۴۰گ، ۱۲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[محدث ارموی مخ: ۱-۲۵۶]</w:t>
      </w:r>
    </w:p>
    <w:p>
      <w:pPr>
        <w:pStyle w:val="BookText"/>
      </w:pPr>
      <w:r>
        <w:rPr>
          <w:rFonts w:ascii="IRNazanin" w:hAnsi="IRNazanin" w:eastAsia="IRNazanin" w:cs="IRNazanin"/>
          <w:lang w:bidi="fa-IR"/>
          <w:color w:val="111111"/>
          <w:sz w:val="28"/>
          <w:szCs w:val="28"/>
          <w:rtl/>
        </w:rPr>
        <w:t xml:space="preserve">۴۴. قم؛ مرعشی؛ شماره نسخه: ۱۲۵۳</w:t>
      </w:r>
    </w:p>
    <w:p>
      <w:pPr>
        <w:pStyle w:val="BookText"/>
      </w:pPr>
      <w:r>
        <w:rPr>
          <w:rFonts w:ascii="IRNazanin" w:hAnsi="IRNazanin" w:eastAsia="IRNazanin" w:cs="IRNazanin"/>
          <w:lang w:bidi="fa-IR"/>
          <w:color w:val="111111"/>
          <w:sz w:val="28"/>
          <w:szCs w:val="28"/>
          <w:rtl/>
        </w:rPr>
        <w:t xml:space="preserve">خط: نسخ، كا: ابوالقاسم شریف حسینی بارفروشی مازندرانی، تا: شنبه ۲۲ ذیحجه ۱۲۵۹ق؛ مصحح؛ مهر: محمد مهدی بن محمد باقر الموسوی (بیضی)، «عبدالوهاب بن محمد مهدی» (بیضوی)؛ جلد: تیماج قهوه ای، ۲۲۳ گی، ۱۹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۵۵-۴ ]</w:t>
      </w:r>
    </w:p>
    <w:p>
      <w:pPr>
        <w:pStyle w:val="BookText"/>
      </w:pPr>
      <w:r>
        <w:rPr>
          <w:rFonts w:ascii="IRNazanin" w:hAnsi="IRNazanin" w:eastAsia="IRNazanin" w:cs="IRNazanin"/>
          <w:lang w:bidi="fa-IR"/>
          <w:color w:val="111111"/>
          <w:sz w:val="28"/>
          <w:szCs w:val="28"/>
          <w:rtl/>
        </w:rPr>
        <w:t xml:space="preserve">۴۵. تهران: ملک؛ شماره نسخه: ۶۰۹۱</w:t>
      </w:r>
    </w:p>
    <w:p>
      <w:pPr>
        <w:pStyle w:val="BookText"/>
      </w:pPr>
      <w:r>
        <w:rPr>
          <w:rFonts w:ascii="IRNazanin" w:hAnsi="IRNazanin" w:eastAsia="IRNazanin" w:cs="IRNazanin"/>
          <w:lang w:bidi="fa-IR"/>
          <w:color w:val="111111"/>
          <w:sz w:val="28"/>
          <w:szCs w:val="28"/>
          <w:rtl/>
        </w:rPr>
        <w:t xml:space="preserve">دارای هر چهار جزو؛ خط: نسخ، كا: محمد صادق بن محمد على اصفهانی، تا: سه شنبه ۴ رجب ۱۲۷۵ق؛ کاغذ: فرنگی، جلد: میشن عنابی لایی، ۸۸گ، ۲۱ سطر،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۱۵/۲ سم [ف: ۱-۷۳)</w:t>
      </w:r>
    </w:p>
    <w:p>
      <w:pPr>
        <w:pStyle w:val="BookText"/>
      </w:pPr>
      <w:r>
        <w:rPr>
          <w:rFonts w:ascii="IRNazanin" w:hAnsi="IRNazanin" w:eastAsia="IRNazanin" w:cs="IRNazanin"/>
          <w:lang w:bidi="fa-IR"/>
          <w:color w:val="111111"/>
          <w:sz w:val="28"/>
          <w:szCs w:val="28"/>
          <w:rtl/>
        </w:rPr>
        <w:t xml:space="preserve">۴۶. مشهد؛ گوهرشاد؛ شماره نسخه: ۷۸۰</w:t>
      </w:r>
    </w:p>
    <w:p>
      <w:pPr>
        <w:pStyle w:val="BookText"/>
      </w:pPr>
      <w:r>
        <w:rPr>
          <w:rFonts w:ascii="IRNazanin" w:hAnsi="IRNazanin" w:eastAsia="IRNazanin" w:cs="IRNazanin"/>
          <w:lang w:bidi="fa-IR"/>
          <w:color w:val="111111"/>
          <w:sz w:val="28"/>
          <w:szCs w:val="28"/>
          <w:rtl/>
        </w:rPr>
        <w:t xml:space="preserve">آغاز: برابر خط: نسخ خوش، بی کا، تا: ۱۲۸۴ق؛ مصحح، با توضیحاتی منقول از بحار الانوار و کافی، صحاح و مجمع و وافی؛ تملك: محمد حسین بن کاظم علوی فاطمی حسینی طباطبائی ملقب به سلطان القراء رئيس الحافظ و صدر الخطباء آستان قدس رضوی مورخ ذیحجه ۱۳۲۲ق با مهر «محمد حسین حسینی سلطان القراء» (چهار گوش)؛ مهر: حاج سید سعید کاغذ: اصفهانی، جلد: تیماج قهوه ای، ۲۵۲گ، ۱۷سطر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سم [ف: ۲-۸۸۹]</w:t>
      </w:r>
    </w:p>
    <w:p>
      <w:pPr>
        <w:pStyle w:val="BookText"/>
      </w:pPr>
      <w:r>
        <w:rPr>
          <w:rFonts w:ascii="IRNazanin" w:hAnsi="IRNazanin" w:eastAsia="IRNazanin" w:cs="IRNazanin"/>
          <w:lang w:bidi="fa-IR"/>
          <w:color w:val="111111"/>
          <w:sz w:val="28"/>
          <w:szCs w:val="28"/>
          <w:rtl/>
        </w:rPr>
        <w:t xml:space="preserve">۴۷. بابل؛ خاتم الانبیاء؛ شماره نسخه: ۲۲۲</w:t>
      </w:r>
    </w:p>
    <w:p>
      <w:pPr>
        <w:pStyle w:val="BookText"/>
      </w:pPr>
      <w:r>
        <w:rPr>
          <w:rFonts w:ascii="IRNazanin" w:hAnsi="IRNazanin" w:eastAsia="IRNazanin" w:cs="IRNazanin"/>
          <w:lang w:bidi="fa-IR"/>
          <w:color w:val="111111"/>
          <w:sz w:val="28"/>
          <w:szCs w:val="28"/>
          <w:rtl/>
        </w:rPr>
        <w:t xml:space="preserve">آغاز: برابر، انجام: عن ابی عبدالله(عليه السلام) قال لا تكذبوا بحديث اتاكم أحد فانكم لا تدرون ... جزء دوم و سوم و چهارم؛ خط: نسخ جلی، بی کا، بی تا، افتادگی: آغاز؛ مصحح، جلد: تیماج قهوه ای، ۱۴ سطر، اندازه: ۱۳/۵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۱۹/۵ سم [ف: ۱۵۳]</w:t>
      </w:r>
    </w:p>
    <w:p>
      <w:pPr>
        <w:pStyle w:val="BookText"/>
      </w:pPr>
      <w:r>
        <w:rPr>
          <w:rFonts w:ascii="IRNazanin" w:hAnsi="IRNazanin" w:eastAsia="IRNazanin" w:cs="IRNazanin"/>
          <w:lang w:bidi="fa-IR"/>
          <w:color w:val="111111"/>
          <w:sz w:val="28"/>
          <w:szCs w:val="28"/>
          <w:rtl/>
        </w:rPr>
        <w:t xml:space="preserve">۴۸. همدان؛ مدرسه غرب؛ شماره نسخه: ۱۸۹</w:t>
      </w:r>
    </w:p>
    <w:p>
      <w:pPr>
        <w:pStyle w:val="BookText"/>
      </w:pPr>
      <w:r>
        <w:rPr>
          <w:rFonts w:ascii="IRNazanin" w:hAnsi="IRNazanin" w:eastAsia="IRNazanin" w:cs="IRNazanin"/>
          <w:lang w:bidi="fa-IR"/>
          <w:color w:val="111111"/>
          <w:sz w:val="28"/>
          <w:szCs w:val="28"/>
          <w:rtl/>
        </w:rPr>
        <w:t xml:space="preserve">خط: نسخ، بی کا، بی تا؛ قطع: ربعی [رشت و همدان: في: ۱۲۸۹]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2" w:name="pg20363_209171"/>
    <w:bookmarkEnd w:id="22"/>
    <w:p>
      <w:pPr>
        <w:pStyle w:val="BookText"/>
      </w:pPr>
      <w:r>
        <w:rPr>
          <w:rFonts w:ascii="IRNazanin" w:hAnsi="IRNazanin" w:eastAsia="IRNazanin" w:cs="IRNazanin"/>
          <w:lang w:bidi="fa-IR"/>
          <w:color w:val="111111"/>
          <w:sz w:val="28"/>
          <w:szCs w:val="28"/>
          <w:rtl/>
        </w:rPr>
        <w:t xml:space="preserve">۴۹. قم: مرکز مطالعات؛ شماره نسخه: ۲۸۳</w:t>
      </w:r>
    </w:p>
    <w:p>
      <w:pPr>
        <w:pStyle w:val="BookText"/>
      </w:pPr>
      <w:r>
        <w:rPr>
          <w:rFonts w:ascii="IRNazanin" w:hAnsi="IRNazanin" w:eastAsia="IRNazanin" w:cs="IRNazanin"/>
          <w:lang w:bidi="fa-IR"/>
          <w:color w:val="111111"/>
          <w:sz w:val="28"/>
          <w:szCs w:val="28"/>
          <w:rtl/>
        </w:rPr>
        <w:t xml:space="preserve">آغاز: على من سواهم و اما ما ذكرت من اصحاب الميمنة فهم المومنون حقا؛ انجام: باب الأرض لا يخلو من الحجة و هم الأئمة، حدثنا أحمد بن محمد بن على بن حكم عن ربيع بن محمد المسلمی بخش کوتاهی از این کتاب؛ خط: نسخ زیبا، بی کا، بی تاب نوشته ای به تاریخ ۱۸ ربیع الثانی ۱۲۸۷؛ فاقد جلد، ۲۳گ، ۱۴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سم [ف: ۱-۲۵۳]</w:t>
      </w:r>
    </w:p>
    <w:p>
      <w:pPr>
        <w:pStyle w:val="BookText"/>
      </w:pPr>
      <w:r>
        <w:rPr>
          <w:rFonts w:ascii="IRNazanin" w:hAnsi="IRNazanin" w:eastAsia="IRNazanin" w:cs="IRNazanin"/>
          <w:lang w:bidi="fa-IR"/>
          <w:color w:val="111111"/>
          <w:sz w:val="28"/>
          <w:szCs w:val="28"/>
          <w:rtl/>
        </w:rPr>
        <w:t xml:space="preserve">۵۰. شیراز؛ موزه پارس؛ شماره نسخه: بدون شماره</w:t>
      </w:r>
    </w:p>
    <w:p>
      <w:pPr>
        <w:pStyle w:val="BookText"/>
      </w:pPr>
      <w:r>
        <w:rPr>
          <w:rFonts w:ascii="IRNazanin" w:hAnsi="IRNazanin" w:eastAsia="IRNazanin" w:cs="IRNazanin"/>
          <w:lang w:bidi="fa-IR"/>
          <w:color w:val="111111"/>
          <w:sz w:val="28"/>
          <w:szCs w:val="28"/>
          <w:rtl/>
        </w:rPr>
        <w:t xml:space="preserve">خط: نسخ، كا: عوده بن احمد مکی شافعی مربی کودکان در مسجد الحرام، بی تا، افتادگی: آغاز؛ مصحح، مقابله شده؛ ۴۸گ ( ۱۳۱-۸۴ )،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[نسخه پژوهی: ۱-۵۹]</w:t>
      </w:r>
    </w:p>
    <w:p>
      <w:pPr>
        <w:pStyle w:val="BookText"/>
      </w:pPr>
      <w:r>
        <w:rPr>
          <w:rFonts w:ascii="IRNazanin" w:hAnsi="IRNazanin" w:eastAsia="IRNazanin" w:cs="IRNazanin"/>
          <w:lang w:bidi="fa-IR"/>
          <w:color w:val="111111"/>
          <w:sz w:val="28"/>
          <w:szCs w:val="28"/>
          <w:rtl/>
        </w:rPr>
        <w:t xml:space="preserve">۵۱. مشهد؛ رضوی؛ شماره نسخه: ۲۸۷۳۸</w:t>
      </w:r>
    </w:p>
    <w:p>
      <w:pPr>
        <w:pStyle w:val="BookText"/>
      </w:pPr>
      <w:r>
        <w:rPr>
          <w:rFonts w:ascii="IRNazanin" w:hAnsi="IRNazanin" w:eastAsia="IRNazanin" w:cs="IRNazanin"/>
          <w:lang w:bidi="fa-IR"/>
          <w:color w:val="111111"/>
          <w:sz w:val="28"/>
          <w:szCs w:val="28"/>
          <w:rtl/>
        </w:rPr>
        <w:t xml:space="preserve">آغاز: في خلق الابران الائمه عليهم و قلوبهم و ابدان الشيعه و قلوبهم احمد بن محمد عن الحسن؛ انجام: و لااصغر من ذلك و لا اكبر الافی کتاب مبین ثم يقول و لا ينظر اليهم ليوم القيامة ... خط: نستعلیق جلی، بی کا، بی تا، افتادگی: آغاز؛ وقف حضرت على بن موسی الرضا(عليه السلام)؛ کاغذ: نخودی، جلد: مقوا با عطف پارچه، مختلف السطر (۱۴۶۸)، قطع: رقعی،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سم [رایانه ]</w:t>
      </w:r>
    </w:p>
    <w:p>
      <w:pPr>
        <w:pStyle w:val="BookText"/>
      </w:pPr>
      <w:r>
        <w:rPr>
          <w:rFonts w:ascii="IRNazanin" w:hAnsi="IRNazanin" w:eastAsia="IRNazanin" w:cs="IRNazanin"/>
          <w:lang w:bidi="fa-IR"/>
          <w:color w:val="111111"/>
          <w:sz w:val="28"/>
          <w:szCs w:val="28"/>
          <w:rtl/>
        </w:rPr>
        <w:t xml:space="preserve">۵۲. تهران؛ دائرة المعارف؛ شماره نسخه: ۱۶۵۲-عکسی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كا: محمد الحسینی، بی تا؛ با وقفنامه مورخع ۱۲۸۹/۱ ، وقف بر گروه شیخیان به تولیت محمد خان؛ ۲۶۲ ص، ۱۷ سطر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[عکسی : ۱-۵۲]</w:t>
      </w:r>
    </w:p>
    <w:p>
      <w:pPr>
        <w:pStyle w:val="BookText"/>
      </w:pPr>
      <w:r>
        <w:rPr>
          <w:rFonts w:ascii="IRNazanin" w:hAnsi="IRNazanin" w:eastAsia="IRNazanin" w:cs="IRNazanin"/>
          <w:lang w:bidi="fa-IR"/>
          <w:color w:val="111111"/>
          <w:sz w:val="28"/>
          <w:szCs w:val="28"/>
          <w:rtl/>
        </w:rPr>
        <w:t xml:space="preserve">۵۳. تهران؛ ملی؛ شماره نسخه: ۲۶۱۶۵</w:t>
      </w:r>
    </w:p>
    <w:p>
      <w:pPr>
        <w:pStyle w:val="BookText"/>
      </w:pPr>
      <w:r>
        <w:rPr>
          <w:rFonts w:ascii="IRNazanin" w:hAnsi="IRNazanin" w:eastAsia="IRNazanin" w:cs="IRNazanin"/>
          <w:lang w:bidi="fa-IR"/>
          <w:color w:val="111111"/>
          <w:sz w:val="28"/>
          <w:szCs w:val="28"/>
          <w:rtl/>
        </w:rPr>
        <w:t xml:space="preserve">بی کا، بی تا، مجموعه آقا رفيع قزوینی استاد اخلاق و فلسفه امام خمینی؛ خریداری از منصوره تألهی معین الدین [رایانه]</w:t>
      </w:r>
    </w:p>
    <w:p>
      <w:pPr>
        <w:pStyle w:val="Heading3"/>
      </w:pPr>
      <w:bookmarkStart w:id="791" w:name="_Toc51"/>
      <w:r>
        <w:t>• بصائر الدرجات (مختصر) = منتخب بصائر الدرجات / حديث / عربی</w:t>
      </w:r>
      <w:bookmarkEnd w:id="791"/>
    </w:p>
    <w:p>
      <w:pPr>
        <w:pStyle w:val="BookText"/>
      </w:pPr>
      <w:r>
        <w:rPr>
          <w:rFonts w:ascii="Times New Roman" w:hAnsi="Times New Roman" w:eastAsia="Times New Roman" w:cs="Times New Roman"/>
          <w:lang w:val="en-US" w:bidi="en-US"/>
          <w:color w:val="111111"/>
          <w:sz w:val="28"/>
          <w:szCs w:val="28"/>
          <w:rtl/>
        </w:rPr>
        <w:t xml:space="preserve">başā'ir-ud darajāt (muxtaşar) = mn. başā'ir-ud darajāt</w:t>
      </w:r>
    </w:p>
    <w:p>
      <w:pPr>
        <w:pStyle w:val="BookText"/>
      </w:pPr>
      <w:r>
        <w:rPr>
          <w:rFonts w:ascii="IRNazanin" w:hAnsi="IRNazanin" w:eastAsia="IRNazanin" w:cs="IRNazanin"/>
          <w:lang w:bidi="fa-IR"/>
          <w:color w:val="111111"/>
          <w:sz w:val="28"/>
          <w:szCs w:val="28"/>
          <w:rtl/>
        </w:rPr>
        <w:t xml:space="preserve">حلی، حسن بن سليمان، ق۸ قمری</w:t>
      </w:r>
    </w:p>
    <w:p>
      <w:pPr>
        <w:pStyle w:val="BookText"/>
      </w:pPr>
      <w:r>
        <w:rPr>
          <w:rFonts w:ascii="Times New Roman" w:hAnsi="Times New Roman" w:eastAsia="Times New Roman" w:cs="Times New Roman"/>
          <w:lang w:val="en-US" w:bidi="en-US"/>
          <w:color w:val="111111"/>
          <w:sz w:val="28"/>
          <w:szCs w:val="28"/>
          <w:rtl/>
        </w:rPr>
        <w:t xml:space="preserve">hellī, hasan ebn-e soleymān (- 14c)</w:t>
      </w:r>
    </w:p>
    <w:p>
      <w:pPr>
        <w:pStyle w:val="BookText"/>
      </w:pPr>
      <w:r>
        <w:rPr>
          <w:rFonts w:ascii="IRNazanin" w:hAnsi="IRNazanin" w:eastAsia="IRNazanin" w:cs="IRNazanin"/>
          <w:lang w:bidi="fa-IR"/>
          <w:color w:val="111111"/>
          <w:sz w:val="28"/>
          <w:szCs w:val="28"/>
          <w:rtl/>
        </w:rPr>
        <w:t xml:space="preserve">مشتمل است بر فضایل ائمه اطهار و فرمایشات آن بزرگواران درباره تسلیم و معنی آن، قضا و قدر، رجعت و عالم ذر و غيرها. وی بیشتر احادیث آن را از کتاب «مختصر بصائر الدرجات) تأليف سعد بن عبدالله بن ابی خلف اشعری قمی انتخاب نموده و اگر بعضا از منابع دیگر از جمله «القرائة» تألیف سیاری و همچنین از «ما نزل من القرآن في اهل البيت» نوشته محمد بن عباس، معاصر کلینی و دیگران نقل نموده اسناد آنها را نیز ذکر کرده تا خواننده با اخبار «مختصر البصائر» اشتباه ننماید. برخی چنین پنداشته اند که مختصر مزبور نیز از تألیفات همین مؤلف یعنی شیخ عزالدين حلی است حال آنکه این تصور توهمی بیش نیست چه او خود در صفحه ۲۷ همین نسخه (ش ۸۰۰۹ آستان قدس) می نویسد: «يقول العبد ... حسن بن سليمان أني قد رویت في معنى الرجعة احاديث من غير طريق سعد بن عبدالله مثبتها في هذه الأوراق ثم ارجع مارواه سعد بن عبدالله في كتاب مختصر البصائر.» (براتعلی غلامی مقدم)</w:t>
      </w:r>
    </w:p>
    <w:p>
      <w:pPr>
        <w:pStyle w:val="BookText"/>
      </w:pPr>
      <w:r>
        <w:rPr>
          <w:rFonts w:ascii="IRNazanin" w:hAnsi="IRNazanin" w:eastAsia="IRNazanin" w:cs="IRNazanin"/>
          <w:lang w:bidi="fa-IR"/>
          <w:color w:val="111111"/>
          <w:sz w:val="28"/>
          <w:szCs w:val="28"/>
          <w:rtl/>
        </w:rPr>
        <w:t xml:space="preserve">گرچه نگارنده ریاض پنداشته که مختصر البصائر از قمی است و گزیده از بصائر الدرجات صفار ولی این سخن بر خلاف گفته طوسی و نجاشی و ابن شهر آشوب می باشد که همه آن را بصائر الدرجات» نامیده اند نه مختصر آن. آغاز: بسمله. نقلت من كتاب مختصر البصائر تأليف سعدبن عبدالله ابي خلف القمي رحمه الله عن محمد بن خالد البرقي عن محمد سنان أو غيره عن بشير الدهان عن حمران بن اعين</w:t>
      </w:r>
    </w:p>
    <w:p>
      <w:pPr>
        <w:pStyle w:val="BookText"/>
      </w:pPr>
      <w:r>
        <w:rPr>
          <w:rFonts w:ascii="IRNazanin" w:hAnsi="IRNazanin" w:eastAsia="IRNazanin" w:cs="IRNazanin"/>
          <w:lang w:bidi="fa-IR"/>
          <w:color w:val="111111"/>
          <w:sz w:val="28"/>
          <w:szCs w:val="28"/>
          <w:rtl/>
        </w:rPr>
        <w:t xml:space="preserve">انجام: ما لم ينزل به سلطانا و أن تقولوا على الله ما لا تعلمون فهذه الأمور هي من الفواحش داخلة في جملتها و لكنها اعظم الفواحش لانه ذکرها باسمانها و الله اعلم</w:t>
      </w:r>
    </w:p>
    <w:p>
      <w:pPr>
        <w:pStyle w:val="BookText"/>
      </w:pPr>
      <w:r>
        <w:rPr>
          <w:rFonts w:ascii="IRNazanin" w:hAnsi="IRNazanin" w:eastAsia="IRNazanin" w:cs="IRNazanin"/>
          <w:lang w:bidi="fa-IR"/>
          <w:color w:val="111111"/>
          <w:sz w:val="28"/>
          <w:szCs w:val="28"/>
          <w:rtl/>
        </w:rPr>
        <w:t xml:space="preserve">چاپ: نجف، ۱۳۷۰ق، ۲۲۸ ص.</w:t>
      </w:r>
    </w:p>
    <w:p>
      <w:pPr>
        <w:pStyle w:val="BookText"/>
      </w:pPr>
      <w:r>
        <w:rPr>
          <w:rFonts w:ascii="Amiri" w:hAnsi="Amiri" w:eastAsia="Amiri" w:cs="Amiri"/>
          <w:lang w:bidi="ar-SA"/>
          <w:color w:val="111111"/>
          <w:sz w:val="28"/>
          <w:szCs w:val="28"/>
          <w:rtl/>
        </w:rPr>
        <w:t xml:space="preserve">[الذريعة ۱۸۲/۲۰ و ۱۲۴/۳ ]</w:t>
      </w:r>
    </w:p>
    <w:p>
      <w:pPr>
        <w:pStyle w:val="BookText"/>
      </w:pPr>
      <w:r>
        <w:rPr>
          <w:rFonts w:ascii="IRNazanin" w:hAnsi="IRNazanin" w:eastAsia="IRNazanin" w:cs="IRNazanin"/>
          <w:lang w:bidi="fa-IR"/>
          <w:color w:val="111111"/>
          <w:sz w:val="28"/>
          <w:szCs w:val="28"/>
          <w:rtl/>
        </w:rPr>
        <w:t xml:space="preserve">۱. قم؛ مرعشی؛ شماره نسخه: ۱۴۷۵۷/۱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ابدال بن درویش، تا: حدود قرن ۱۱؛ مصحح، از سوی ابدال بن درویش مقیم نجف اشرف، مقابله و تصحیح و در حواشی، عبارت «بلغ مقابلة» تکرار شده، ترقيمه: «و بلغ الاعتبار و التصحيح على قدر الجهد و الطاقة من نسخة المنتسخ منها و الله اعلم انها غير اعتبارية بقلم افقر العباد و احوجهم الى رحمة ربه الغني ابدال بن درويش الخادم بالغري، عفى عنهما و لجميع المومنین بجاه النبي و اله الطاهرین و ذلك في يوم الجمعة لخمس خلون من شوال سنة ۱۰۷۴»، از جمله نسخه های کتابخانه سید ابوطالب موسوی میرزائی زنجانی است که بیشتر کتاب های کتابخانه شخصی ایشان در این کتابخانه نگهداری می شود؛ کاغذ: شرقی، جلد: تیماج مشکی ضربی با ترنج گل و بوته، ۱۴۶ گ، ۱۹ سطر (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۳۷-۳۵۰]</w:t>
      </w:r>
    </w:p>
    <w:p>
      <w:pPr>
        <w:pStyle w:val="BookText"/>
      </w:pPr>
      <w:r>
        <w:rPr>
          <w:rFonts w:ascii="IRNazanin" w:hAnsi="IRNazanin" w:eastAsia="IRNazanin" w:cs="IRNazanin"/>
          <w:lang w:bidi="fa-IR"/>
          <w:color w:val="111111"/>
          <w:sz w:val="28"/>
          <w:szCs w:val="28"/>
          <w:rtl/>
        </w:rPr>
        <w:t xml:space="preserve">۲. تهران؛ مجلس؛ شماره نسخه:</w:t>
      </w:r>
    </w:p>
    <w:p>
      <w:pPr>
        <w:pStyle w:val="BookText"/>
      </w:pPr>
      <w:r>
        <w:rPr>
          <w:rFonts w:ascii="IRNazanin" w:hAnsi="IRNazanin" w:eastAsia="IRNazanin" w:cs="IRNazanin"/>
          <w:lang w:bidi="fa-IR"/>
          <w:color w:val="111111"/>
          <w:sz w:val="28"/>
          <w:szCs w:val="28"/>
          <w:rtl/>
        </w:rPr>
        <w:t xml:space="preserve">۸۹۶۲/۱ آغاز: برابر؛ انجام: و بعد على الحسن و بعد الحسن الحجة اصطفانا الله و طهرنا و اويتنا ما لم يؤت احدا من العالمين و من کتاب محمد بن الحسن الصفار الموسوم ببصائر الدرجات باب في ائمة آل محمد صلوات الله عليهم فان حديثهم صعب مستصعب. رویت باسنادی عن محمد بن الحسن الصفار الخ. تمت و الحمد. انجامه: «و هذا المجلد اكثر من النصف تقريبا تتميمه بقلم العبد المسكين محمد بن زین العابدین الموسوي عفى عنهما»3 از ابتدا تا آغاز باب في ائمة آل محمد(عليهم السلام). این نسخه حدود نیمی از کتاب را دارد؛ خط: نسخ، بی کا، تا: قرن ۱۱؛ افتادگی: انجام؛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خریداری کتابخانه پیش از سال ۱۳۲۰ش؛ کاغذ: بخش قدیمی تر نخودی آهار مهره، و بخش جدید فرنگی، جلد: میشن زیتونی مجدول، ۱۱۷گ(۱پ -۱۱۷پ)، ۱۳ و ۲۳سطر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۲۵/۱ سم [ف: ۲۹/۱ -۴۸۳]</w:t>
      </w:r>
    </w:p>
    <w:p>
      <w:pPr>
        <w:pStyle w:val="BookText"/>
      </w:pPr>
      <w:r>
        <w:rPr>
          <w:rFonts w:ascii="IRNazanin" w:hAnsi="IRNazanin" w:eastAsia="IRNazanin" w:cs="IRNazanin"/>
          <w:lang w:bidi="fa-IR"/>
          <w:color w:val="111111"/>
          <w:sz w:val="28"/>
          <w:szCs w:val="28"/>
          <w:rtl/>
        </w:rPr>
        <w:t xml:space="preserve">٣. قم؛ مرعشی؛ شماره نسخه: ۱۴۹۶۷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منصور بن ولی، تا: ۱۰۷۴ق؛ مصحح، کاغذ: فرنگی، ۲۳۶ ، ۱۴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۳۷-۶۲۵]</w:t>
      </w:r>
    </w:p>
    <w:p>
      <w:pPr>
        <w:pStyle w:val="BookText"/>
      </w:pPr>
      <w:r>
        <w:rPr>
          <w:rFonts w:ascii="IRNazanin" w:hAnsi="IRNazanin" w:eastAsia="IRNazanin" w:cs="IRNazanin"/>
          <w:lang w:bidi="fa-IR"/>
          <w:color w:val="111111"/>
          <w:sz w:val="28"/>
          <w:szCs w:val="28"/>
          <w:rtl/>
        </w:rPr>
        <w:t xml:space="preserve">۴. همدان؛ مدرسه غرب؛ شماره نسخه: ۹۲۳</w:t>
      </w:r>
    </w:p>
    <w:p>
      <w:pPr>
        <w:pStyle w:val="BookText"/>
      </w:pPr>
      <w:r>
        <w:rPr>
          <w:rFonts w:ascii="IRNazanin" w:hAnsi="IRNazanin" w:eastAsia="IRNazanin" w:cs="IRNazanin"/>
          <w:lang w:bidi="fa-IR"/>
          <w:color w:val="111111"/>
          <w:sz w:val="28"/>
          <w:szCs w:val="28"/>
          <w:rtl/>
        </w:rPr>
        <w:t xml:space="preserve">خط: نسخ، بی کا، تا: ۵ شنبه ۱۷ ذیحجه ۱۰۷۵ق؛ قطع: وزیری رشت و همدان: ف: ۱۳۵۵]</w:t>
      </w:r>
    </w:p>
    <w:p>
      <w:pPr>
        <w:pStyle w:val="BookText"/>
      </w:pPr>
      <w:r>
        <w:rPr>
          <w:rFonts w:ascii="IRNazanin" w:hAnsi="IRNazanin" w:eastAsia="IRNazanin" w:cs="IRNazanin"/>
          <w:lang w:bidi="fa-IR"/>
          <w:color w:val="111111"/>
          <w:sz w:val="28"/>
          <w:szCs w:val="28"/>
          <w:rtl/>
        </w:rPr>
        <w:t xml:space="preserve">۵. تهران، دانشگاه؛ شماره نسخه: ۴۸۳۲</w:t>
      </w:r>
    </w:p>
    <w:p>
      <w:pPr>
        <w:pStyle w:val="BookText"/>
      </w:pPr>
      <w:r>
        <w:rPr>
          <w:rFonts w:ascii="IRNazanin" w:hAnsi="IRNazanin" w:eastAsia="IRNazanin" w:cs="IRNazanin"/>
          <w:lang w:bidi="fa-IR"/>
          <w:color w:val="111111"/>
          <w:sz w:val="28"/>
          <w:szCs w:val="28"/>
          <w:rtl/>
        </w:rPr>
        <w:t xml:space="preserve">خط: نسخ، بی کا، تا: پنج شنبه ۱۲ محرم ۱۰۷۷ق؛ افتادگی: آغاز؛ کاغذ: سپاهانی، جلد: تیماج سبز مقوایی تازه، ۱۴۳گ، ۱۲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۱۴-۳۸۵۴]</w:t>
      </w:r>
    </w:p>
    <w:p>
      <w:pPr>
        <w:pStyle w:val="BookText"/>
      </w:pPr>
      <w:r>
        <w:rPr>
          <w:rFonts w:ascii="IRNazanin" w:hAnsi="IRNazanin" w:eastAsia="IRNazanin" w:cs="IRNazanin"/>
          <w:lang w:bidi="fa-IR"/>
          <w:color w:val="111111"/>
          <w:sz w:val="28"/>
          <w:szCs w:val="28"/>
          <w:rtl/>
        </w:rPr>
        <w:t xml:space="preserve">۶. مشهد؛ رضوی؛ شماره نسخه: ۱۸۵۰</w:t>
      </w:r>
    </w:p>
    <w:p>
      <w:pPr>
        <w:pStyle w:val="BookText"/>
      </w:pPr>
      <w:r>
        <w:rPr>
          <w:rFonts w:ascii="IRNazanin" w:hAnsi="IRNazanin" w:eastAsia="IRNazanin" w:cs="IRNazanin"/>
          <w:lang w:bidi="fa-IR"/>
          <w:color w:val="111111"/>
          <w:sz w:val="28"/>
          <w:szCs w:val="28"/>
          <w:rtl/>
        </w:rPr>
        <w:t xml:space="preserve">آغاز: برابر؛ انجام: و الحمدلله رب العالمين تمت ... ۱۰۷۹ خط: نسخ، بی کا، تا: ۱۰۷۹ق [الفبائی: ۵۰۳]</w:t>
      </w:r>
    </w:p>
    <w:p>
      <w:pPr>
        <w:pStyle w:val="BookText"/>
      </w:pPr>
      <w:r>
        <w:rPr>
          <w:rFonts w:ascii="IRNazanin" w:hAnsi="IRNazanin" w:eastAsia="IRNazanin" w:cs="IRNazanin"/>
          <w:lang w:bidi="fa-IR"/>
          <w:color w:val="111111"/>
          <w:sz w:val="28"/>
          <w:szCs w:val="28"/>
          <w:rtl/>
        </w:rPr>
        <w:t xml:space="preserve">۷. تهران: دانشگاه؛ شماره نسخه: ۶۵۷/۱</w:t>
      </w:r>
    </w:p>
    <w:p>
      <w:pPr>
        <w:pStyle w:val="BookText"/>
      </w:pPr>
      <w:r>
        <w:rPr>
          <w:rFonts w:ascii="IRNazanin" w:hAnsi="IRNazanin" w:eastAsia="IRNazanin" w:cs="IRNazanin"/>
          <w:lang w:bidi="fa-IR"/>
          <w:color w:val="111111"/>
          <w:sz w:val="28"/>
          <w:szCs w:val="28"/>
          <w:rtl/>
        </w:rPr>
        <w:t xml:space="preserve">آغاز و انجام: برابر خط: نسخ روشن، بی کا، بی تا؛ مصحح، و تاریخ ۱۰۷۹ می باشد؛ مهر: «محمد باقر بن زین العابدین الموسوی» نگارنده روضات، «یا خير النسا»؛ تملک: حسن بن محمد باقر تمامی جزائری و مهر او؛ کاغذ: ترمه، جلد: تیماج مشکی زرکوب مقوایی، ۱۵۷گ، ۲۱سطر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۵-۱۵۷۳]</w:t>
      </w:r>
    </w:p>
    <w:p>
      <w:pPr>
        <w:pStyle w:val="BookText"/>
      </w:pPr>
      <w:r>
        <w:rPr>
          <w:rFonts w:ascii="IRNazanin" w:hAnsi="IRNazanin" w:eastAsia="IRNazanin" w:cs="IRNazanin"/>
          <w:lang w:bidi="fa-IR"/>
          <w:color w:val="111111"/>
          <w:sz w:val="28"/>
          <w:szCs w:val="28"/>
          <w:rtl/>
        </w:rPr>
        <w:t xml:space="preserve">۸. قم، مرکز احیاء؛ شماره نسخه: ۳۵۴۱/۲</w:t>
      </w:r>
    </w:p>
    <w:p>
      <w:pPr>
        <w:pStyle w:val="BookText"/>
      </w:pPr>
      <w:r>
        <w:rPr>
          <w:rFonts w:ascii="IRNazanin" w:hAnsi="IRNazanin" w:eastAsia="IRNazanin" w:cs="IRNazanin"/>
          <w:lang w:bidi="fa-IR"/>
          <w:color w:val="111111"/>
          <w:sz w:val="28"/>
          <w:szCs w:val="28"/>
          <w:rtl/>
        </w:rPr>
        <w:t xml:space="preserve">آغاز: برابر؛ انجام: و استغفرك على كل ذنب و اسألك من كل خیر و استعيذ بک من كل بلاء و لاحول ولاقوة الا بالله العلى العظيم خط: نسخ، بی کا، تا: ربیع الاول ۱۰۸۶ق؛ مصحح، محشی؛ ۲۰۴گ (۶۵-۲۶۸ر)، ۱۸ سطر،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[محدث ارموی مخ: ۳-۱۴۰۶]</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شاهرود؛ مدرسه اسماعیلیه؛ شماره نسخه: ۴۸</w:t>
      </w:r>
    </w:p>
    <w:p>
      <w:pPr>
        <w:pStyle w:val="BookText"/>
      </w:pPr>
      <w:r>
        <w:rPr>
          <w:rFonts w:ascii="IRNazanin" w:hAnsi="IRNazanin" w:eastAsia="IRNazanin" w:cs="IRNazanin"/>
          <w:lang w:bidi="fa-IR"/>
          <w:color w:val="111111"/>
          <w:sz w:val="28"/>
          <w:szCs w:val="28"/>
          <w:rtl/>
        </w:rPr>
        <w:t xml:space="preserve">کا: غیاث الدین محمد بن محمد مهدی رضوی، تا: ۲۹ ربيع الثانی ۱۰۸۷ق؛ مصحح، محشی [ف: ۲۹]</w:t>
      </w:r>
    </w:p>
    <w:p>
      <w:pPr>
        <w:pStyle w:val="BookText"/>
      </w:pPr>
      <w:r>
        <w:rPr>
          <w:rFonts w:ascii="IRNazanin" w:hAnsi="IRNazanin" w:eastAsia="IRNazanin" w:cs="IRNazanin"/>
          <w:lang w:bidi="fa-IR"/>
          <w:color w:val="111111"/>
          <w:sz w:val="28"/>
          <w:szCs w:val="28"/>
          <w:rtl/>
        </w:rPr>
        <w:t xml:space="preserve">۱۰. قم؛ گلپایگانی؛ شماره نسخه: ۱۴۲/۲ - ۱/۱۴۲</w:t>
      </w:r>
    </w:p>
    <w:p>
      <w:pPr>
        <w:pStyle w:val="BookText"/>
      </w:pPr>
      <w:r>
        <w:rPr>
          <w:rFonts w:ascii="IRNazanin" w:hAnsi="IRNazanin" w:eastAsia="IRNazanin" w:cs="IRNazanin"/>
          <w:lang w:bidi="fa-IR"/>
          <w:color w:val="111111"/>
          <w:sz w:val="28"/>
          <w:szCs w:val="28"/>
          <w:rtl/>
        </w:rPr>
        <w:t xml:space="preserve">آغاز: برابر؛ انجام: فسودته ایدی الكفار و من كان من شعائرهم يلثمه من أهل الشرك شعائرهم قال فقال عمر لا عيش في أمة ليست فيها أبا الحسن(عليه السلام)خط: نسخ، بی کا، تا: قرن ۱۲؛ ۶۸گ، ۱۵-۱۹ سطر، اندازه: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۱۹/۵ سم [ف: ۷-۴۲۱۹]</w:t>
      </w:r>
    </w:p>
    <w:p>
      <w:pPr>
        <w:pStyle w:val="BookText"/>
      </w:pPr>
      <w:r>
        <w:rPr>
          <w:rFonts w:ascii="IRNazanin" w:hAnsi="IRNazanin" w:eastAsia="IRNazanin" w:cs="IRNazanin"/>
          <w:lang w:bidi="fa-IR"/>
          <w:color w:val="111111"/>
          <w:sz w:val="28"/>
          <w:szCs w:val="28"/>
          <w:rtl/>
        </w:rPr>
        <w:t xml:space="preserve">۱۱. قم؛ مؤسسه آية الله بروجردی؛ شماره نسخه: ۴۵۶/۲</w:t>
      </w:r>
    </w:p>
    <w:p>
      <w:pPr>
        <w:pStyle w:val="BookText"/>
      </w:pPr>
      <w:r>
        <w:rPr>
          <w:rFonts w:ascii="IRNazanin" w:hAnsi="IRNazanin" w:eastAsia="IRNazanin" w:cs="IRNazanin"/>
          <w:lang w:bidi="fa-IR"/>
          <w:color w:val="111111"/>
          <w:sz w:val="28"/>
          <w:szCs w:val="28"/>
          <w:rtl/>
        </w:rPr>
        <w:t xml:space="preserve">انجام: عن ابی عبدالله عليه السلام قال: لا يمين لولد مع والده ولا للمراة مع زوجها و لا للمملوک ...</w:t>
      </w:r>
    </w:p>
    <w:p>
      <w:pPr>
        <w:pStyle w:val="BookText"/>
      </w:pPr>
      <w:r>
        <w:rPr>
          <w:rFonts w:ascii="IRNazanin" w:hAnsi="IRNazanin" w:eastAsia="IRNazanin" w:cs="IRNazanin"/>
          <w:lang w:bidi="fa-IR"/>
          <w:color w:val="111111"/>
          <w:sz w:val="28"/>
          <w:szCs w:val="28"/>
          <w:rtl/>
        </w:rPr>
        <w:t xml:space="preserve">خط: نسخ، بی کا، تا: قرن ۱۲؛ افتادگی: انجام؛ دارای سرلوح معمولی؛ جلد: مقوایی عطف پارچه مشکی، ۱۰گی (۱۵۲پ۔ ۱۶۱پ)، ۱۵ سطر، اندازه: ۱۰/۵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۲-۲۸۸]</w:t>
      </w:r>
    </w:p>
    <w:p>
      <w:pPr>
        <w:pStyle w:val="BookText"/>
      </w:pPr>
      <w:r>
        <w:rPr>
          <w:rFonts w:ascii="IRNazanin" w:hAnsi="IRNazanin" w:eastAsia="IRNazanin" w:cs="IRNazanin"/>
          <w:lang w:bidi="fa-IR"/>
          <w:color w:val="111111"/>
          <w:sz w:val="28"/>
          <w:szCs w:val="28"/>
          <w:rtl/>
        </w:rPr>
        <w:t xml:space="preserve">۱۲. تهران؛ مجلس؛ شماره نسخه: ۸۹۸۶/۱</w:t>
      </w:r>
    </w:p>
    <w:p>
      <w:pPr>
        <w:pStyle w:val="BookText"/>
      </w:pPr>
      <w:r>
        <w:rPr>
          <w:rFonts w:ascii="IRNazanin" w:hAnsi="IRNazanin" w:eastAsia="IRNazanin" w:cs="IRNazanin"/>
          <w:lang w:bidi="fa-IR"/>
          <w:color w:val="111111"/>
          <w:sz w:val="28"/>
          <w:szCs w:val="28"/>
          <w:rtl/>
        </w:rPr>
        <w:t xml:space="preserve">آغاز: آدم عليه السلام الا و فيها امام يهتدى به الى الله و هو حجة الله على عباده فلا تقی الارض بغیر امام حجة الله و هو حجة لل على عباده ... باب الكرات و حالاتها و ما جاء فيها حدثنا محمد بن الحسين بن ابی الخطاب عن محمد بن سنان؛ انجام: برابر</w:t>
      </w:r>
    </w:p>
    <w:p>
      <w:pPr>
        <w:pStyle w:val="BookText"/>
      </w:pPr>
      <w:r>
        <w:rPr>
          <w:rFonts w:ascii="IRNazanin" w:hAnsi="IRNazanin" w:eastAsia="IRNazanin" w:cs="IRNazanin"/>
          <w:lang w:bidi="fa-IR"/>
          <w:color w:val="111111"/>
          <w:sz w:val="28"/>
          <w:szCs w:val="28"/>
          <w:rtl/>
        </w:rPr>
        <w:t xml:space="preserve">خط: نسخ، بی کا، تا: قرن ۱۲؛ افتادگی: آغاز؛ مصحح، با بلاغ مقابله؛ خریداری از ارگانی؛ کاغذ: جنایی آهار مهره، جلد: مقوا رویه کاغد ابر و باد عطف و گوشه ها چرم قهوه ای، ۱۲۶گ (۱ر ۱۲۶ر)، ۱۶سطر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۱۲/۴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۱۹/۷ سم [ف: ۲۹/۱ -۵۶۴]</w:t>
      </w:r>
    </w:p>
    <w:p>
      <w:pPr>
        <w:pStyle w:val="BookText"/>
      </w:pPr>
      <w:r>
        <w:rPr>
          <w:rFonts w:ascii="IRNazanin" w:hAnsi="IRNazanin" w:eastAsia="IRNazanin" w:cs="IRNazanin"/>
          <w:lang w:bidi="fa-IR"/>
          <w:color w:val="111111"/>
          <w:sz w:val="28"/>
          <w:szCs w:val="28"/>
          <w:rtl/>
        </w:rPr>
        <w:t xml:space="preserve">۱۳. قم: مرکز احیاء؛ شماره نسخه: ۳۷۴۱</w:t>
      </w:r>
    </w:p>
    <w:p>
      <w:pPr>
        <w:pStyle w:val="BookText"/>
      </w:pPr>
      <w:r>
        <w:rPr>
          <w:rFonts w:ascii="IRNazanin" w:hAnsi="IRNazanin" w:eastAsia="IRNazanin" w:cs="IRNazanin"/>
          <w:lang w:bidi="fa-IR"/>
          <w:color w:val="111111"/>
          <w:sz w:val="28"/>
          <w:szCs w:val="28"/>
          <w:rtl/>
        </w:rPr>
        <w:t xml:space="preserve">خط: نسخ، بی کا، تا: قرن ۱۲ و ۱۳؛ مصحح، محشی با عنوان« محمد تقی» که از شاگردان شیخ احسائی بوده؛ جلد: تیماج مشکی، ۱۰۷گ، ۱۹ سطر، اندازه: ۱۵/۵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[محدث ارموی مخ: ۳-۱۴۰۷]</w:t>
      </w:r>
    </w:p>
    <w:p>
      <w:pPr>
        <w:pStyle w:val="BookText"/>
      </w:pPr>
      <w:r>
        <w:rPr>
          <w:rFonts w:ascii="IRNazanin" w:hAnsi="IRNazanin" w:eastAsia="IRNazanin" w:cs="IRNazanin"/>
          <w:lang w:bidi="fa-IR"/>
          <w:color w:val="111111"/>
          <w:sz w:val="28"/>
          <w:szCs w:val="28"/>
          <w:rtl/>
        </w:rPr>
        <w:t xml:space="preserve">۱۴. تهران؛ دائرة المعارف؛ شماره نسخه: ۱۹۰۷/۱ -عکسی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بی کا، تا: ۲۶ شوال ۱۲۶۳ق؛ ۳۳۲ص (۲-۳۳۳) عکسی ف: ۱- ۳۴۹]</w:t>
      </w:r>
    </w:p>
    <w:p>
      <w:pPr>
        <w:pStyle w:val="BookText"/>
      </w:pPr>
      <w:r>
        <w:rPr>
          <w:rFonts w:ascii="IRNazanin" w:hAnsi="IRNazanin" w:eastAsia="IRNazanin" w:cs="IRNazanin"/>
          <w:lang w:bidi="fa-IR"/>
          <w:color w:val="111111"/>
          <w:sz w:val="28"/>
          <w:szCs w:val="28"/>
          <w:rtl/>
        </w:rPr>
        <w:t xml:space="preserve">۱۵. مشهد؛ رضوی؛ شماره نسخه: ۳۴۹۱۵</w:t>
      </w:r>
    </w:p>
    <w:p>
      <w:pPr>
        <w:pStyle w:val="BookText"/>
      </w:pPr>
      <w:r>
        <w:rPr>
          <w:rFonts w:ascii="IRNazanin" w:hAnsi="IRNazanin" w:eastAsia="IRNazanin" w:cs="IRNazanin"/>
          <w:lang w:bidi="fa-IR"/>
          <w:color w:val="111111"/>
          <w:sz w:val="28"/>
          <w:szCs w:val="28"/>
          <w:rtl/>
        </w:rPr>
        <w:t xml:space="preserve">آغاز و انجام: برابر خط: نسخ، كا: میرزا علی، تا: ۲۲ جمادی الثانی ۱۳۰۷ق؛ اهدایی: رهبری، اردیبهشت ۱۳۸۶؛ کاغذ: شکری آهار مهره فرنگی، جلد: میشن عنابی ضربی، ۱۰۴گ، مختلف السطر،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اهدائی رهبر: ۲ اخبار ۲-۶۵۴]</w:t>
      </w:r>
    </w:p>
    <w:p>
      <w:pPr>
        <w:pStyle w:val="BookText"/>
      </w:pPr>
      <w:r>
        <w:rPr>
          <w:rFonts w:ascii="IRNazanin" w:hAnsi="IRNazanin" w:eastAsia="IRNazanin" w:cs="IRNazanin"/>
          <w:lang w:bidi="fa-IR"/>
          <w:color w:val="111111"/>
          <w:sz w:val="28"/>
          <w:szCs w:val="28"/>
          <w:rtl/>
        </w:rPr>
        <w:t xml:space="preserve">۱۶. مشهد؛ رضوی، شماره نسخه: ۹۸۹۴</w:t>
      </w:r>
    </w:p>
    <w:p>
      <w:pPr>
        <w:pStyle w:val="BookText"/>
      </w:pPr>
      <w:r>
        <w:rPr>
          <w:rFonts w:ascii="IRNazanin" w:hAnsi="IRNazanin" w:eastAsia="IRNazanin" w:cs="IRNazanin"/>
          <w:lang w:bidi="fa-IR"/>
          <w:color w:val="111111"/>
          <w:sz w:val="28"/>
          <w:szCs w:val="28"/>
          <w:rtl/>
        </w:rPr>
        <w:t xml:space="preserve">آغاز و انجام: برابر خط: نسخ خوش، كا: محمد جواد بن عبدالكریم تبریزی، تا: سه شنبه ۱۵ رجب ۱۳۱۱ق، جا: کربلا؛ ذیل صفحه پایانی خط محمدعلی غروی اردبادی درباره نام و ارزش کتاب، و نیز پشت ورق اول نوشته عباسقلی واعظ چرندابی در همین زمینه؛ واقف: عباسعلی واعظ چرندابی، اسفند ۱۳۴۶؛ کاغذ: شکری آهارمهره، جلد: تیماج زرشکی، ۱۲۸ گ، ۱۷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۱۵/۲ سم [ف: ۵۴۲-۱۴ ]</w:t>
      </w:r>
    </w:p>
    <w:p>
      <w:pPr>
        <w:pStyle w:val="BookText"/>
      </w:pPr>
      <w:r>
        <w:rPr>
          <w:rFonts w:ascii="IRNazanin" w:hAnsi="IRNazanin" w:eastAsia="IRNazanin" w:cs="IRNazanin"/>
          <w:lang w:bidi="fa-IR"/>
          <w:color w:val="111111"/>
          <w:sz w:val="28"/>
          <w:szCs w:val="28"/>
          <w:rtl/>
        </w:rPr>
        <w:t xml:space="preserve">۱۷. قم؛ مرعشی؛ شماره نسخه: ۴۶۸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حسین بن آقا موسوی، تا: ۲۷ جمادی الثانی ۱۳۱۹ق؛ تملک: ريحان الله بن جعفر موسوی به تاریخ ربيع الثانی ۱۳۲۶ و مهر «العبد ریحان الله الموسوی» (بیضوی)؛ جلد: مقوایی عطف تیماج قهوه ای، ۱۶۰گی، ۱۲ سطر، اندازه: ۱۲/۵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3" w:name="pg20363_209173"/>
    <w:bookmarkEnd w:id="23"/>
    <w:p>
      <w:pPr>
        <w:pStyle w:val="BookText"/>
      </w:pPr>
      <w:r>
        <w:rPr>
          <w:rFonts w:ascii="IRNazanin" w:hAnsi="IRNazanin" w:eastAsia="IRNazanin" w:cs="IRNazanin"/>
          <w:lang w:bidi="fa-IR"/>
          <w:color w:val="111111"/>
          <w:sz w:val="28"/>
          <w:szCs w:val="28"/>
          <w:rtl/>
        </w:rPr>
        <w:t xml:space="preserve">۷۴-۲ ]</w:t>
      </w:r>
    </w:p>
    <w:p>
      <w:pPr>
        <w:pStyle w:val="BookText"/>
      </w:pPr>
      <w:r>
        <w:rPr>
          <w:rFonts w:ascii="IRNazanin" w:hAnsi="IRNazanin" w:eastAsia="IRNazanin" w:cs="IRNazanin"/>
          <w:lang w:bidi="fa-IR"/>
          <w:color w:val="111111"/>
          <w:sz w:val="28"/>
          <w:szCs w:val="28"/>
          <w:rtl/>
        </w:rPr>
        <w:t xml:space="preserve">۱۸. مشهد؛ رضوی؛ شماره نسخه: ۸۰۰۹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كا: محمد حسین بن زین العابدین ارموی، تا: سه شنبه ۵ ذیحجه ۱۳۴۸ق؛ با یک واسطه از نسخه محمد قاسم بن شجاع الدین نجفی مکتوب در ۱۰۷۹ استنساخ شده؛ کاغذ: نخودی، جلد: میشن عنابی، ۱۱۱گ، ۲۰ سطر، اندازه: ۲۱/۴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۱۴-۵۴۱]</w:t>
      </w:r>
    </w:p>
    <w:p>
      <w:pPr>
        <w:pStyle w:val="BookText"/>
      </w:pPr>
      <w:r>
        <w:rPr>
          <w:rFonts w:ascii="IRNazanin" w:hAnsi="IRNazanin" w:eastAsia="IRNazanin" w:cs="IRNazanin"/>
          <w:lang w:bidi="fa-IR"/>
          <w:color w:val="111111"/>
          <w:sz w:val="28"/>
          <w:szCs w:val="28"/>
          <w:rtl/>
        </w:rPr>
        <w:t xml:space="preserve">۱۹. تهران؛ مجلس؛ شماره نسخه: ۷۱۳۲/۳</w:t>
      </w:r>
    </w:p>
    <w:p>
      <w:pPr>
        <w:pStyle w:val="BookText"/>
      </w:pPr>
      <w:r>
        <w:rPr>
          <w:rFonts w:ascii="IRNazanin" w:hAnsi="IRNazanin" w:eastAsia="IRNazanin" w:cs="IRNazanin"/>
          <w:lang w:bidi="fa-IR"/>
          <w:color w:val="111111"/>
          <w:sz w:val="28"/>
          <w:szCs w:val="28"/>
          <w:rtl/>
        </w:rPr>
        <w:t xml:space="preserve">آغاز: برابر؛ انجام: قال يكون بعد القايم اثنی عشر مهدية من ولد الحسین و الله اعلم بحقيقة المقال و الحمدلله رب العالمين. تمت. بی کا، بی تا؛ جلد: تیماج قهوه ای سوخت ترنج با سر با نقش گل و بوته، لولا دار، ۵۲ص (۳۲۵-۳۷۶)، ۳۰ سطر،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۲۵-۱۴۳]</w:t>
      </w:r>
    </w:p>
    <w:p>
      <w:pPr>
        <w:pStyle w:val="Heading3"/>
      </w:pPr>
      <w:bookmarkStart w:id="792" w:name="_Toc52"/>
      <w:r>
        <w:t>• بصائر الدرجات (منتخب) / حديث / عربی</w:t>
      </w:r>
      <w:bookmarkEnd w:id="792"/>
    </w:p>
    <w:p>
      <w:pPr>
        <w:pStyle w:val="BookText"/>
      </w:pPr>
      <w:r>
        <w:rPr>
          <w:rFonts w:ascii="Times New Roman" w:hAnsi="Times New Roman" w:eastAsia="Times New Roman" w:cs="Times New Roman"/>
          <w:lang w:val="en-US" w:bidi="en-US"/>
          <w:color w:val="111111"/>
          <w:sz w:val="28"/>
          <w:szCs w:val="28"/>
          <w:rtl/>
        </w:rPr>
        <w:t xml:space="preserve">basa'ir-ud darajat (mn.)</w:t>
      </w:r>
    </w:p>
    <w:p>
      <w:pPr>
        <w:pStyle w:val="BookText"/>
      </w:pPr>
      <w:r>
        <w:rPr>
          <w:rFonts w:ascii="IRNazanin" w:hAnsi="IRNazanin" w:eastAsia="IRNazanin" w:cs="IRNazanin"/>
          <w:lang w:bidi="fa-IR"/>
          <w:color w:val="111111"/>
          <w:sz w:val="28"/>
          <w:szCs w:val="28"/>
          <w:rtl/>
        </w:rPr>
        <w:t xml:space="preserve">وابسته به: بصائر الدرجات صفار، محمد بن حسن (۲۹۰-)</w:t>
      </w:r>
    </w:p>
    <w:p>
      <w:pPr>
        <w:pStyle w:val="BookText"/>
      </w:pPr>
      <w:r>
        <w:rPr>
          <w:rFonts w:ascii="IRNazanin" w:hAnsi="IRNazanin" w:eastAsia="IRNazanin" w:cs="IRNazanin"/>
          <w:lang w:bidi="fa-IR"/>
          <w:color w:val="111111"/>
          <w:sz w:val="28"/>
          <w:szCs w:val="28"/>
          <w:rtl/>
        </w:rPr>
        <w:t xml:space="preserve">تهران؛ ملی؛ شماره نسخه: ۲۳۱۹/۲</w:t>
      </w:r>
    </w:p>
    <w:p>
      <w:pPr>
        <w:pStyle w:val="BookText"/>
      </w:pPr>
      <w:r>
        <w:rPr>
          <w:rFonts w:ascii="IRNazanin" w:hAnsi="IRNazanin" w:eastAsia="IRNazanin" w:cs="IRNazanin"/>
          <w:lang w:bidi="fa-IR"/>
          <w:color w:val="111111"/>
          <w:sz w:val="28"/>
          <w:szCs w:val="28"/>
          <w:rtl/>
        </w:rPr>
        <w:t xml:space="preserve">آغاز: الحمد لله الأول بلا اول كان قبله و الاخر بلا اخر يكون بعده؛ انجام: و كان رسول الله(صلی الله علیه وآله وسلم)من المتوسلين و انا بعده و الأئمة من ذریتی.</w:t>
      </w:r>
    </w:p>
    <w:p>
      <w:pPr>
        <w:pStyle w:val="BookText"/>
      </w:pPr>
      <w:r>
        <w:rPr>
          <w:rFonts w:ascii="IRNazanin" w:hAnsi="IRNazanin" w:eastAsia="IRNazanin" w:cs="IRNazanin"/>
          <w:lang w:bidi="fa-IR"/>
          <w:color w:val="111111"/>
          <w:sz w:val="28"/>
          <w:szCs w:val="28"/>
          <w:rtl/>
        </w:rPr>
        <w:t xml:space="preserve">خط: نسخ، بی کا، بی تا، کاغذ: اصفهانی و فرنگی و نخودی، جلد: الت رویی تیماج حنایی روشن، سجاف لبه ها و عطف تیماج تریاکی روشن مقوایی، ۴۸گ (۱۶۴-۲۱۱پ)،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سم [ف: ۱۲-۳۳]</w:t>
      </w:r>
    </w:p>
    <w:p>
      <w:pPr>
        <w:pStyle w:val="Heading3"/>
      </w:pPr>
      <w:bookmarkStart w:id="793" w:name="_Toc53"/>
      <w:r>
        <w:t>• بصائر الدين في ترجمة شرح منازل السائرین / عرفان و تصوف / فارسی</w:t>
      </w:r>
      <w:bookmarkEnd w:id="793"/>
    </w:p>
    <w:p>
      <w:pPr>
        <w:pStyle w:val="BookText"/>
      </w:pPr>
      <w:r>
        <w:rPr>
          <w:rFonts w:ascii="Times New Roman" w:hAnsi="Times New Roman" w:eastAsia="Times New Roman" w:cs="Times New Roman"/>
          <w:lang w:val="en-US" w:bidi="en-US"/>
          <w:color w:val="111111"/>
          <w:sz w:val="28"/>
          <w:szCs w:val="28"/>
          <w:rtl/>
        </w:rPr>
        <w:t xml:space="preserve">basā'er-od dīn fī tarjomat-e š.-e manāzel-es sā’erīn</w:t>
      </w:r>
    </w:p>
    <w:p>
      <w:pPr>
        <w:pStyle w:val="BookText"/>
      </w:pPr>
      <w:r>
        <w:rPr>
          <w:rFonts w:ascii="IRNazanin" w:hAnsi="IRNazanin" w:eastAsia="IRNazanin" w:cs="IRNazanin"/>
          <w:lang w:bidi="fa-IR"/>
          <w:color w:val="111111"/>
          <w:sz w:val="28"/>
          <w:szCs w:val="28"/>
          <w:rtl/>
        </w:rPr>
        <w:t xml:space="preserve">حالی اردبیلی، محسن بن حسن علی، ۲۱۲۵۰-۱۳۳۳ ؟ شمسی</w:t>
      </w:r>
    </w:p>
    <w:p>
      <w:pPr>
        <w:pStyle w:val="BookText"/>
      </w:pPr>
      <w:r>
        <w:rPr>
          <w:rFonts w:ascii="Times New Roman" w:hAnsi="Times New Roman" w:eastAsia="Times New Roman" w:cs="Times New Roman"/>
          <w:lang w:val="en-US" w:bidi="en-US"/>
          <w:color w:val="111111"/>
          <w:sz w:val="28"/>
          <w:szCs w:val="28"/>
          <w:rtl/>
        </w:rPr>
        <w:t xml:space="preserve">hālī ardabīlī, mohsen ebn-e hasan ‘alī (1871-1954)</w:t>
      </w:r>
    </w:p>
    <w:p>
      <w:pPr>
        <w:pStyle w:val="BookText"/>
      </w:pPr>
      <w:r>
        <w:rPr>
          <w:rFonts w:ascii="IRNazanin" w:hAnsi="IRNazanin" w:eastAsia="IRNazanin" w:cs="IRNazanin"/>
          <w:lang w:bidi="fa-IR"/>
          <w:color w:val="111111"/>
          <w:sz w:val="28"/>
          <w:szCs w:val="28"/>
          <w:rtl/>
        </w:rPr>
        <w:t xml:space="preserve">به دستور: میرزا احمد موید الفقراء تبریزی</w:t>
      </w:r>
    </w:p>
    <w:p>
      <w:pPr>
        <w:pStyle w:val="BookText"/>
      </w:pPr>
      <w:r>
        <w:rPr>
          <w:rFonts w:ascii="IRNazanin" w:hAnsi="IRNazanin" w:eastAsia="IRNazanin" w:cs="IRNazanin"/>
          <w:lang w:bidi="fa-IR"/>
          <w:color w:val="111111"/>
          <w:sz w:val="28"/>
          <w:szCs w:val="28"/>
          <w:rtl/>
        </w:rPr>
        <w:t xml:space="preserve">تأليف حاج میرزا محسن عماد الفقراء خوشنویس ملا محسن علی اردبیلی [فهرستواره منزوی ۱۵۳/۷ با نام بصائر الدرجات]</w:t>
      </w:r>
    </w:p>
    <w:p>
      <w:pPr>
        <w:pStyle w:val="BookText"/>
      </w:pPr>
      <w:r>
        <w:rPr>
          <w:rFonts w:ascii="IRNazanin" w:hAnsi="IRNazanin" w:eastAsia="IRNazanin" w:cs="IRNazanin"/>
          <w:lang w:bidi="fa-IR"/>
          <w:color w:val="111111"/>
          <w:sz w:val="28"/>
          <w:szCs w:val="28"/>
          <w:rtl/>
        </w:rPr>
        <w:t xml:space="preserve">شیراز؛ خانقاه احمدیه؛ شماره نسخه: ۲۰</w:t>
      </w:r>
    </w:p>
    <w:p>
      <w:pPr>
        <w:pStyle w:val="BookText"/>
      </w:pPr>
      <w:r>
        <w:rPr>
          <w:rFonts w:ascii="IRNazanin" w:hAnsi="IRNazanin" w:eastAsia="IRNazanin" w:cs="IRNazanin"/>
          <w:lang w:bidi="fa-IR"/>
          <w:color w:val="111111"/>
          <w:sz w:val="28"/>
          <w:szCs w:val="28"/>
          <w:rtl/>
        </w:rPr>
        <w:t xml:space="preserve">کاتب = مؤلف، تا: ۱۰ شعبان ۱۳۵۶ق، جان اردبیل [نشریه: ۵-۲۱۰]</w:t>
      </w:r>
    </w:p>
    <w:p>
      <w:pPr>
        <w:pStyle w:val="Heading3"/>
      </w:pPr>
      <w:bookmarkStart w:id="794" w:name="_Toc54"/>
      <w:r>
        <w:t>• بصائر ذوی التميز في الطائف القرآن العزيز / گوناگون / عربی</w:t>
      </w:r>
      <w:bookmarkEnd w:id="794"/>
    </w:p>
    <w:p>
      <w:pPr>
        <w:pStyle w:val="BookText"/>
      </w:pPr>
      <w:r>
        <w:rPr>
          <w:rFonts w:ascii="Times New Roman" w:hAnsi="Times New Roman" w:eastAsia="Times New Roman" w:cs="Times New Roman"/>
          <w:lang w:val="en-US" w:bidi="en-US"/>
          <w:color w:val="111111"/>
          <w:sz w:val="28"/>
          <w:szCs w:val="28"/>
          <w:rtl/>
        </w:rPr>
        <w:t xml:space="preserve">başā’ir-u dawi-t tamīz fī lațā’if-il qur'ān-il ‘azīz</w:t>
      </w:r>
    </w:p>
    <w:p>
      <w:pPr>
        <w:pStyle w:val="BookText"/>
      </w:pPr>
      <w:r>
        <w:rPr>
          <w:rFonts w:ascii="IRNazanin" w:hAnsi="IRNazanin" w:eastAsia="IRNazanin" w:cs="IRNazanin"/>
          <w:lang w:bidi="fa-IR"/>
          <w:color w:val="111111"/>
          <w:sz w:val="28"/>
          <w:szCs w:val="28"/>
          <w:rtl/>
        </w:rPr>
        <w:t xml:space="preserve">فیروزآبادی، محمد بن یعقوب، ۷۲۹-۸۱۷ قمری</w:t>
      </w:r>
    </w:p>
    <w:p>
      <w:pPr>
        <w:pStyle w:val="BookText"/>
      </w:pPr>
      <w:r>
        <w:rPr>
          <w:rFonts w:ascii="Times New Roman" w:hAnsi="Times New Roman" w:eastAsia="Times New Roman" w:cs="Times New Roman"/>
          <w:lang w:val="en-US" w:bidi="en-US"/>
          <w:color w:val="111111"/>
          <w:sz w:val="28"/>
          <w:szCs w:val="28"/>
          <w:rtl/>
        </w:rPr>
        <w:t xml:space="preserve">fīrūzābādī, mohammad ebn-e ya qūb (1329-1415)</w:t>
      </w:r>
    </w:p>
    <w:p>
      <w:pPr>
        <w:pStyle w:val="BookText"/>
      </w:pPr>
      <w:r>
        <w:rPr>
          <w:rFonts w:ascii="IRNazanin" w:hAnsi="IRNazanin" w:eastAsia="IRNazanin" w:cs="IRNazanin"/>
          <w:lang w:bidi="fa-IR"/>
          <w:color w:val="111111"/>
          <w:sz w:val="28"/>
          <w:szCs w:val="28"/>
          <w:rtl/>
        </w:rPr>
        <w:t xml:space="preserve">از مقدمه این کتاب این طور استفاده می شود که مؤلف قصد داشته به امر ابو العباس اسمعيل بن عباس بن على بن داود بن یوسف موضوعات مختلف علوم را در شصت مقصد در این کتاب جمع کند و می گوید: او را مرتب بر یک «مقدمه» و شصت «مقصد» نمودم. سپس فهرست پنجاه و پنج مقصد را ذکر کرده و جای دیگر مقاصد خالی مانده و نیز مقصد اول را که در لطائف کتاب عزیز است مبتنی بر مقدماتی چند و ۲۹ باب نموده بدین طریق که پس از ذکر معانی مختلف هر لغت آیاتی را از قرآن که متضمن آن لغت است به عنوان استشهاد نقل می کند و</w:t>
      </w:r>
    </w:p>
    <w:p>
      <w:pPr>
        <w:pStyle w:val="BookText"/>
      </w:pPr>
      <w:r>
        <w:rPr>
          <w:rFonts w:ascii="IRNazanin" w:hAnsi="IRNazanin" w:eastAsia="IRNazanin" w:cs="IRNazanin"/>
          <w:lang w:bidi="fa-IR"/>
          <w:color w:val="111111"/>
          <w:sz w:val="28"/>
          <w:szCs w:val="28"/>
          <w:rtl/>
        </w:rPr>
        <w:t xml:space="preserve">گاهی هم از روایات استفاده شده، و یک باب هم که باب سی ام باشد در ذكر اسماء اولیاء و انبیاء و دشمنان ایشان که نامشان در قرآن مذکور است به مقصد اول اضافه شده است.</w:t>
      </w:r>
    </w:p>
    <w:p>
      <w:pPr>
        <w:pStyle w:val="BookText"/>
      </w:pPr>
      <w:r>
        <w:rPr>
          <w:rFonts w:ascii="IRNazanin" w:hAnsi="IRNazanin" w:eastAsia="IRNazanin" w:cs="IRNazanin"/>
          <w:lang w:bidi="fa-IR"/>
          <w:color w:val="111111"/>
          <w:sz w:val="28"/>
          <w:szCs w:val="28"/>
          <w:rtl/>
        </w:rPr>
        <w:t xml:space="preserve">چنین است فهرست آن: المقدمة في تشويق العالم الى استزادة العلم؛ مقصد .. لطائف تفسير القرآن العظيم؛ ۲. علم الحديث النبوی و توابعه؛ ۳. علوم المعارف و الحقائق؛ ۴. علم الفقه؛ ۵. علم اصول الفقه؛ ۶. علم الرجال ... ۵۵. علم قوانين الكتابة. چهار مقصد دیگر در این نسخه ذکر نشده و مقداری از صفحه خالی مانده و پس از شش صفحه در ذکر مقدمه وارد مقصد اول شده و این مقصد را نیز مبتنی بر مقدماتی چند و بیست و نه باب به تعداد و ترتیب حروف تهجی مبوب می کند و پس از ذکر معنی و یا معانی مختلف هر لغت آیاتی را از قرآن که متضمن آن لغت است به استشهاد آورده و گاهی هم از روایات استفاده می نماید و گوید یک باب هم که باب سی ام باشد در ذكر اسماء انبیاء و اولیاء و دشمنان ایشان که نامشان در قرآن مذکور است به این مقصد اضافه می نمایم. در کتاب کشف الظنون (چاپ جدید صفحه ۲۴۶) می نویسد این کتاب دو جلد است ولی با توجه به مقدمه کتاب که مؤلف قصد داشته در شصت موضوع مختلف وارد شده و تحقیق نماید احتمال داده می شود که این کتاب بیشتر از دو جلد میشده، و اگر مؤلف موفق به انجام آنچه را که وعده داده شده باشد می توان این کتاب را دایرة المعارفی دانست. چاپ: قاهرة، الأمجلس الاعلى للشؤون الإسلامية، تحقیق محمد على النجار، الطبعة الأولى، الجزء الاول، ۱۹۶۴م، ۵۷۸ص</w:t>
      </w:r>
    </w:p>
    <w:p>
      <w:pPr>
        <w:pStyle w:val="BookText"/>
      </w:pPr>
      <w:r>
        <w:rPr>
          <w:rFonts w:ascii="IRNazanin" w:hAnsi="IRNazanin" w:eastAsia="IRNazanin" w:cs="IRNazanin"/>
          <w:lang w:bidi="fa-IR"/>
          <w:color w:val="111111"/>
          <w:sz w:val="28"/>
          <w:szCs w:val="28"/>
          <w:rtl/>
        </w:rPr>
        <w:t xml:space="preserve">همدان؛ مدرسه غرب؛ شماره نسخه: ۱۱۹۲</w:t>
      </w:r>
    </w:p>
    <w:p>
      <w:pPr>
        <w:pStyle w:val="BookText"/>
      </w:pPr>
      <w:r>
        <w:rPr>
          <w:rFonts w:ascii="IRNazanin" w:hAnsi="IRNazanin" w:eastAsia="IRNazanin" w:cs="IRNazanin"/>
          <w:lang w:bidi="fa-IR"/>
          <w:color w:val="111111"/>
          <w:sz w:val="28"/>
          <w:szCs w:val="28"/>
          <w:rtl/>
        </w:rPr>
        <w:t xml:space="preserve">آغاز: الحمد لله الذي وقف دون ادراک کنه عظمته العلماء الراسخون؛ انجام: الباب الرابع و العشرون في الكلم المفتتحة بحرف اللام ... و لام الاستغاثة يا للمسلمين ... و لام التميز لانتم.</w:t>
      </w:r>
    </w:p>
    <w:p>
      <w:pPr>
        <w:pStyle w:val="BookText"/>
      </w:pPr>
      <w:r>
        <w:rPr>
          <w:rFonts w:ascii="IRNazanin" w:hAnsi="IRNazanin" w:eastAsia="IRNazanin" w:cs="IRNazanin"/>
          <w:lang w:bidi="fa-IR"/>
          <w:color w:val="111111"/>
          <w:sz w:val="28"/>
          <w:szCs w:val="28"/>
          <w:rtl/>
        </w:rPr>
        <w:t xml:space="preserve">این نسخه شامل مقدمه کتاب و مقدمه مقصد اول و ۲۴ باب از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4" w:name="pg20363_209174"/>
    <w:bookmarkEnd w:id="24"/>
    <w:p>
      <w:pPr>
        <w:pStyle w:val="BookText"/>
      </w:pPr>
      <w:r>
        <w:rPr>
          <w:rFonts w:ascii="IRNazanin" w:hAnsi="IRNazanin" w:eastAsia="IRNazanin" w:cs="IRNazanin"/>
          <w:lang w:bidi="fa-IR"/>
          <w:color w:val="111111"/>
          <w:sz w:val="28"/>
          <w:szCs w:val="28"/>
          <w:rtl/>
        </w:rPr>
        <w:t xml:space="preserve">مقصد اول می باشد و از پایان افتاده است؛ خط: نسخ خوش، بی کا، تا: قرن ۱۲؛ کاغذ: فرنگی، جلد: تیماج قهوه ای، ۳۸۹گ، ۲۷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[رشت و همدان: ف: ۱۲۹۰]</w:t>
      </w:r>
    </w:p>
    <w:p>
      <w:pPr>
        <w:pStyle w:val="Heading3"/>
      </w:pPr>
      <w:bookmarkStart w:id="795" w:name="_Toc55"/>
      <w:r>
        <w:t>• البصائر في اختصار تنقيح المناظر / فیزیک / عربی</w:t>
      </w:r>
      <w:bookmarkEnd w:id="795"/>
    </w:p>
    <w:p>
      <w:pPr>
        <w:pStyle w:val="BookText"/>
      </w:pPr>
      <w:r>
        <w:rPr>
          <w:rFonts w:ascii="Times New Roman" w:hAnsi="Times New Roman" w:eastAsia="Times New Roman" w:cs="Times New Roman"/>
          <w:lang w:val="en-US" w:bidi="en-US"/>
          <w:color w:val="111111"/>
          <w:sz w:val="28"/>
          <w:szCs w:val="28"/>
          <w:rtl/>
        </w:rPr>
        <w:t xml:space="preserve">al-basa'ir fi ixtiyar-i tangih-il manazir</w:t>
      </w:r>
    </w:p>
    <w:p>
      <w:pPr>
        <w:pStyle w:val="BookText"/>
      </w:pPr>
      <w:r>
        <w:rPr>
          <w:rFonts w:ascii="IRNazanin" w:hAnsi="IRNazanin" w:eastAsia="IRNazanin" w:cs="IRNazanin"/>
          <w:lang w:bidi="fa-IR"/>
          <w:color w:val="111111"/>
          <w:sz w:val="28"/>
          <w:szCs w:val="28"/>
          <w:rtl/>
        </w:rPr>
        <w:t xml:space="preserve">فارسی، حسن بن على، ۶۶۸-۷۱۸؟ قمری</w:t>
      </w:r>
    </w:p>
    <w:p>
      <w:pPr>
        <w:pStyle w:val="BookText"/>
      </w:pPr>
      <w:r>
        <w:rPr>
          <w:rFonts w:ascii="Times New Roman" w:hAnsi="Times New Roman" w:eastAsia="Times New Roman" w:cs="Times New Roman"/>
          <w:lang w:val="en-US" w:bidi="en-US"/>
          <w:color w:val="111111"/>
          <w:sz w:val="28"/>
          <w:szCs w:val="28"/>
          <w:rtl/>
        </w:rPr>
        <w:t xml:space="preserve">fārsī, hasan ebn-e ‘alī (1270-1319)</w:t>
      </w:r>
    </w:p>
    <w:p>
      <w:pPr>
        <w:pStyle w:val="BookText"/>
      </w:pPr>
      <w:r>
        <w:rPr>
          <w:rFonts w:ascii="IRNazanin" w:hAnsi="IRNazanin" w:eastAsia="IRNazanin" w:cs="IRNazanin"/>
          <w:lang w:bidi="fa-IR"/>
          <w:color w:val="111111"/>
          <w:sz w:val="28"/>
          <w:szCs w:val="28"/>
          <w:rtl/>
        </w:rPr>
        <w:t xml:space="preserve">وابسته به: تنقيح المناظر الاولى( لذوی) الابصار و البصائر؛ فارسی، حسن بن على (۶۶۸-۷۱۸)</w:t>
      </w:r>
    </w:p>
    <w:p>
      <w:pPr>
        <w:pStyle w:val="BookText"/>
      </w:pPr>
      <w:r>
        <w:rPr>
          <w:rFonts w:ascii="IRNazanin" w:hAnsi="IRNazanin" w:eastAsia="IRNazanin" w:cs="IRNazanin"/>
          <w:lang w:bidi="fa-IR"/>
          <w:color w:val="111111"/>
          <w:sz w:val="28"/>
          <w:szCs w:val="28"/>
          <w:rtl/>
        </w:rPr>
        <w:t xml:space="preserve">«المناظر» اقلیدس به عربی ترجمه شد و خواجه نصیر طوسی آن را از نو تحریر نمود و ابن هیثم ( -حدود ۴۳۰) نیز آن را به نام المناظر و المرايا» در هفت مقالت مرتب کرد و کمال الدین ابوالخير حسن بن على بن الحسن فارسی شاگرد قطب الدین شیرازی (- ۷۱۰ق) به دستور استاد آن را شرح کرد و «تنقیح المناظر» نامید و خاتمه و ذیل و لواحقی بر آن افزود. سپس خود مؤلف (ابو الخیر فارسی این شرح را کوتاه کرده «البصائر» نامیده است. وی در دیباچه البصائر گوید: چون «تنقيح المناظر لذوى الابصار و البصائر» را نگاشتم و به دست جمال الدین صاعد بن محمد بن مصدق سغدی ترکستانی رسید و پسندید از من خواست که آن را از مآخذ تجرید و کوتاه سازم و من این مختصر را فراهم کرده «البصائر في اختصار تنقيح المناظر» نامیدم و آن در دو قسمت است: ۱. مبادی؛ ۲. مطالب. (علینقی منزوی) آغاز: بسمله. الحمدلله الذي ابدع الخلايق بقدرته و اظهر الحقایق بحكمته ... و بعد فلما ساعد القدر انجام: و انما ذلك بتوفيق ولی الهداية و عصمته من الغواية في الدراية و الحمد لله اولا و آخرا و صلواته على نبيه محمد و آله و صحبه اجمعين.</w:t>
      </w:r>
    </w:p>
    <w:p>
      <w:pPr>
        <w:pStyle w:val="BookText"/>
      </w:pPr>
      <w:r>
        <w:rPr>
          <w:rFonts w:ascii="Amiri" w:hAnsi="Amiri" w:eastAsia="Amiri" w:cs="Amiri"/>
          <w:lang w:bidi="ar-SA"/>
          <w:color w:val="111111"/>
          <w:sz w:val="28"/>
          <w:szCs w:val="28"/>
          <w:rtl/>
        </w:rPr>
        <w:t xml:space="preserve">[الذريعة ۴۶۷/۴ ]</w:t>
      </w:r>
    </w:p>
    <w:p>
      <w:pPr>
        <w:pStyle w:val="BookText"/>
      </w:pPr>
      <w:r>
        <w:rPr>
          <w:rFonts w:ascii="IRNazanin" w:hAnsi="IRNazanin" w:eastAsia="IRNazanin" w:cs="IRNazanin"/>
          <w:lang w:bidi="fa-IR"/>
          <w:color w:val="111111"/>
          <w:sz w:val="28"/>
          <w:szCs w:val="28"/>
          <w:rtl/>
        </w:rPr>
        <w:t xml:space="preserve">۱. تهران؛ سپهسالار؛ شماره نسخه: ۵۵۴</w:t>
      </w:r>
    </w:p>
    <w:p>
      <w:pPr>
        <w:pStyle w:val="BookText"/>
      </w:pPr>
      <w:r>
        <w:rPr>
          <w:rFonts w:ascii="IRNazanin" w:hAnsi="IRNazanin" w:eastAsia="IRNazanin" w:cs="IRNazanin"/>
          <w:lang w:bidi="fa-IR"/>
          <w:color w:val="111111"/>
          <w:sz w:val="28"/>
          <w:szCs w:val="28"/>
          <w:rtl/>
        </w:rPr>
        <w:t xml:space="preserve">آغاز و انجام: برابر؛ كتب المصنف رحمه الله في آخر النسخة التي كانت بخطه: فرغ من تسویده العبد الضعيف، الحسن بن على بن الحسن الفارسي رزقه الله تعالی علما نافعا و عملا مقبولا، في شهور سنة ثمان وسبعمائة.</w:t>
      </w:r>
    </w:p>
    <w:p>
      <w:pPr>
        <w:pStyle w:val="BookText"/>
      </w:pPr>
      <w:r>
        <w:rPr>
          <w:rFonts w:ascii="IRNazanin" w:hAnsi="IRNazanin" w:eastAsia="IRNazanin" w:cs="IRNazanin"/>
          <w:lang w:bidi="fa-IR"/>
          <w:color w:val="111111"/>
          <w:sz w:val="28"/>
          <w:szCs w:val="28"/>
          <w:rtl/>
        </w:rPr>
        <w:t xml:space="preserve">خط: نسخ، كا: حسین بن حسن شهنشاه سمنانی، تا: یک شنبه ۲۷ ذیقعده ۷۳۱ق؛ از روی نسخه دیگر این نویسنده که آن را از روی خط مؤلف نوشته و بر وی تا مباحث انعکاس قرائت کرده بود رونویس کرده است. و نیز این نویسنده می نویسد، مرگ مصنف دريط = ۱۹ ذیقعده ۷۱۸ق در پنجاه سالگی بود و بنابراین زایجه وی در ۶۶۸ق بوده است، در پشت گ ۱ در یک دائره زرین با خطی زرین نوشته: «به رسم خزانة الوزير بن الوزير غیاث الدین»؛ کاغذ: کلفت سمرقندی، جلد: تیماج زرد مقوایی ضربی، ۷۹گ، ۱۷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۳-۲۵۴]</w:t>
      </w:r>
    </w:p>
    <w:p>
      <w:pPr>
        <w:pStyle w:val="BookText"/>
      </w:pPr>
      <w:r>
        <w:rPr>
          <w:rFonts w:ascii="IRNazanin" w:hAnsi="IRNazanin" w:eastAsia="IRNazanin" w:cs="IRNazanin"/>
          <w:lang w:bidi="fa-IR"/>
          <w:color w:val="111111"/>
          <w:sz w:val="28"/>
          <w:szCs w:val="28"/>
          <w:rtl/>
        </w:rPr>
        <w:t xml:space="preserve">۲. تهران؛ مهدوی؛ شماره نسخه: ۳۰۶/۱۴</w:t>
      </w:r>
    </w:p>
    <w:p>
      <w:pPr>
        <w:pStyle w:val="BookText"/>
      </w:pPr>
      <w:r>
        <w:rPr>
          <w:rFonts w:ascii="IRNazanin" w:hAnsi="IRNazanin" w:eastAsia="IRNazanin" w:cs="IRNazanin"/>
          <w:lang w:bidi="fa-IR"/>
          <w:color w:val="111111"/>
          <w:sz w:val="28"/>
          <w:szCs w:val="28"/>
          <w:rtl/>
        </w:rPr>
        <w:t xml:space="preserve">بی کا، تا: قرن ۱۱؛ دو صفحه پایان کتاب و از روی خط مؤلف با</w:t>
      </w:r>
    </w:p>
    <w:p>
      <w:pPr>
        <w:pStyle w:val="BookText"/>
      </w:pPr>
      <w:r>
        <w:rPr>
          <w:rFonts w:ascii="IRNazanin" w:hAnsi="IRNazanin" w:eastAsia="IRNazanin" w:cs="IRNazanin"/>
          <w:lang w:bidi="fa-IR"/>
          <w:color w:val="111111"/>
          <w:sz w:val="28"/>
          <w:szCs w:val="28"/>
          <w:rtl/>
        </w:rPr>
        <w:t xml:space="preserve">دو واسطه نشریه: ۲-۱۱۰] ٣. مشهد؛ رضوی؛ شماره نسخه: ۵۴۳۴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۱۱ کاغذ: حنایی آهار مهره، جلد: پارچه ای، ۳۷گ، مختلف السطر، اندازه: ۲۴/۶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سم [ف: ۸-۴۷]</w:t>
      </w:r>
    </w:p>
    <w:p>
      <w:pPr>
        <w:pStyle w:val="BookText"/>
      </w:pPr>
      <w:r>
        <w:rPr>
          <w:rFonts w:ascii="IRNazanin" w:hAnsi="IRNazanin" w:eastAsia="IRNazanin" w:cs="IRNazanin"/>
          <w:lang w:bidi="fa-IR"/>
          <w:color w:val="111111"/>
          <w:sz w:val="28"/>
          <w:szCs w:val="28"/>
          <w:rtl/>
        </w:rPr>
        <w:t xml:space="preserve">۴. تهران؛ مجلس؛ شماره نسخه: ۱۶۸۱۹</w:t>
      </w:r>
    </w:p>
    <w:p>
      <w:pPr>
        <w:pStyle w:val="BookText"/>
      </w:pPr>
      <w:r>
        <w:rPr>
          <w:rFonts w:ascii="IRNazanin" w:hAnsi="IRNazanin" w:eastAsia="IRNazanin" w:cs="IRNazanin"/>
          <w:lang w:bidi="fa-IR"/>
          <w:color w:val="111111"/>
          <w:sz w:val="28"/>
          <w:szCs w:val="28"/>
          <w:rtl/>
        </w:rPr>
        <w:t xml:space="preserve">بی کا، بی تا [د.ث. مجلس]</w:t>
      </w:r>
    </w:p>
    <w:p>
      <w:pPr>
        <w:pStyle w:val="BookText"/>
      </w:pPr>
      <w:r>
        <w:rPr>
          <w:rFonts w:ascii="IRNazanin" w:hAnsi="IRNazanin" w:eastAsia="IRNazanin" w:cs="IRNazanin"/>
          <w:lang w:bidi="fa-IR"/>
          <w:color w:val="111111"/>
          <w:sz w:val="28"/>
          <w:szCs w:val="28"/>
          <w:rtl/>
        </w:rPr>
        <w:t xml:space="preserve">← البصائر في الوجوه و النظایر ← بصائر یمینی</w:t>
      </w:r>
    </w:p>
    <w:p>
      <w:pPr>
        <w:pStyle w:val="Heading3"/>
      </w:pPr>
      <w:bookmarkStart w:id="796" w:name="_Toc56"/>
      <w:r>
        <w:t>• البصائر في الوجوه و النظایر / تفسير / فارسی</w:t>
      </w:r>
      <w:bookmarkEnd w:id="796"/>
    </w:p>
    <w:p>
      <w:pPr>
        <w:pStyle w:val="BookText"/>
      </w:pPr>
      <w:r>
        <w:rPr>
          <w:rFonts w:ascii="Times New Roman" w:hAnsi="Times New Roman" w:eastAsia="Times New Roman" w:cs="Times New Roman"/>
          <w:lang w:val="en-US" w:bidi="en-US"/>
          <w:color w:val="111111"/>
          <w:sz w:val="28"/>
          <w:szCs w:val="28"/>
          <w:rtl/>
        </w:rPr>
        <w:t xml:space="preserve">al-basā'er fe-l vojūh va-n nazāyer</w:t>
      </w:r>
    </w:p>
    <w:p>
      <w:pPr>
        <w:pStyle w:val="BookText"/>
      </w:pPr>
      <w:r>
        <w:rPr>
          <w:rFonts w:ascii="IRNazanin" w:hAnsi="IRNazanin" w:eastAsia="IRNazanin" w:cs="IRNazanin"/>
          <w:lang w:bidi="fa-IR"/>
          <w:color w:val="111111"/>
          <w:sz w:val="28"/>
          <w:szCs w:val="28"/>
          <w:rtl/>
        </w:rPr>
        <w:t xml:space="preserve">معینی، محمد بن حسین، ۵۸۴ قمری</w:t>
      </w:r>
    </w:p>
    <w:p>
      <w:pPr>
        <w:pStyle w:val="BookText"/>
      </w:pPr>
      <w:r>
        <w:rPr>
          <w:rFonts w:ascii="Times New Roman" w:hAnsi="Times New Roman" w:eastAsia="Times New Roman" w:cs="Times New Roman"/>
          <w:lang w:val="en-US" w:bidi="en-US"/>
          <w:color w:val="111111"/>
          <w:sz w:val="28"/>
          <w:szCs w:val="28"/>
          <w:rtl/>
        </w:rPr>
        <w:t xml:space="preserve">moʻīnī, mohammad ebn-e hoseyn (-1189)</w:t>
      </w:r>
    </w:p>
    <w:p>
      <w:pPr>
        <w:pStyle w:val="BookText"/>
      </w:pPr>
      <w:r>
        <w:rPr>
          <w:rFonts w:ascii="IRNazanin" w:hAnsi="IRNazanin" w:eastAsia="IRNazanin" w:cs="IRNazanin"/>
          <w:lang w:bidi="fa-IR"/>
          <w:color w:val="111111"/>
          <w:sz w:val="28"/>
          <w:szCs w:val="28"/>
          <w:rtl/>
        </w:rPr>
        <w:t xml:space="preserve">یکی از آثار قدیمی و مهم فارسی است که در قرن ششم هجری به زبان فارسی پاک خراسان نوشته شده است. مؤلف در این کتاب مطالب را تحت عنوان «بصيرة» يل «بصيرة» آورده است و کتاب را بر حسب موضوع به فصولی تقسیم کرده است. رسم مؤلف این است که ابتدا کلمه را معنی کند و درباره اشتقاق و تصريف و معانی و وجوه مختلف آن بحثی عالمانه داشته باشد و اقوال علمای بزرگ سلف را بیاورد و اگر لازم است به اشعار و اقوال مشهور استناد کند و نشان دهد که این کلمه چند بار در قرآن آمده و در هر جا چه معنی داشته است. در آغاز هر باب آن فهرست کلمات آمده، درست مانند «الوجوه و النظائر في القرآن» یا «الزوائد و النظائر و فوائد البصائر في القرآن» از ابوعبدالله حسين بن محمد بن ابراهیم دامغانی، فقیه حنفی در گذشته ۴۷۸ق که به عربی است.</w:t>
      </w:r>
    </w:p>
    <w:p>
      <w:pPr>
        <w:pStyle w:val="BookText"/>
      </w:pPr>
      <w:r>
        <w:rPr>
          <w:rFonts w:ascii="IRNazanin" w:hAnsi="IRNazanin" w:eastAsia="IRNazanin" w:cs="IRNazanin"/>
          <w:lang w:bidi="fa-IR"/>
          <w:color w:val="111111"/>
          <w:sz w:val="28"/>
          <w:szCs w:val="28"/>
          <w:rtl/>
        </w:rPr>
        <w:t xml:space="preserve">معینی کتابش را در مقدمه (بر اساس نسخه بایزید) «بصاير النظایر» خوانده است. نسخه بایزید در قیاس با نسخه آستانه در برخی از موارد مختصر است و ظاهرا كاتب از کتابت پاره ای از تفصیلات مکرر احتراز کرده و یا اینکه کتاب مزبور دو تحریر داشته و نسخه بایزید از روی تحریری مختصر تر کتابت شده است. برخی با اتکا به قول حاج خلیفه آن را از شیخ ظهيرالدین ابي جعفر محمد بن محمود النيشابوری دانسته اند که از رجال دوره بهرامشاه بوده و در سال ۵۷۷ تأليف آن را به پایان رسانده است و به نام یمین الدوله بهرامشاه آن را «بصائر یمینی» خوانده است و در این مورد نیز شک و تردید دارند که چگونه پس از پایان زندگی بهرامشاه کتابی را به نام او کرده اند. اما بنا بر شواهد این کتاب غیر از کتاب نیشابوری است که به «بصائر یمینی) معروف است می باشد.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5" w:name="pg20363_209175"/>
    <w:bookmarkEnd w:id="25"/>
    <w:p>
      <w:pPr>
        <w:pStyle w:val="BookText"/>
      </w:pPr>
      <w:r>
        <w:rPr>
          <w:rFonts w:ascii="IRNazanin" w:hAnsi="IRNazanin" w:eastAsia="IRNazanin" w:cs="IRNazanin"/>
          <w:lang w:bidi="fa-IR"/>
          <w:color w:val="111111"/>
          <w:sz w:val="28"/>
          <w:szCs w:val="28"/>
          <w:rtl/>
        </w:rPr>
        <w:t xml:space="preserve">[رک: نامه آستان قدس شماره ۲ و ۳ دوره هفتم (۲۶ و ۲۷ مسلسل) ص ۳۲ تا ۳۳، مقاله آقای تقی بینش؛ آینده سال ۸، ش ۱۲، ص ۹۱۹ تا ۹۲۵؛ نامه آستان قدس. ش ۲، دوره هفت ص ۳۳]</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 ۱۲۱۴</w:t>
      </w:r>
    </w:p>
    <w:p>
      <w:pPr>
        <w:pStyle w:val="BookText"/>
      </w:pPr>
      <w:r>
        <w:rPr>
          <w:rFonts w:ascii="IRNazanin" w:hAnsi="IRNazanin" w:eastAsia="IRNazanin" w:cs="IRNazanin"/>
          <w:lang w:bidi="fa-IR"/>
          <w:color w:val="111111"/>
          <w:sz w:val="28"/>
          <w:szCs w:val="28"/>
          <w:rtl/>
        </w:rPr>
        <w:t xml:space="preserve">آغاز: بصيرة في القراءة و قرآن. بدانك قراءة و قرآن دو فصل است؛ انجام: بصيرة في اعلى. و اعلی در قرآن بر پنج وجه آید ... ای مؤمنان در غزو کاهلی مکنید و اندوه مدارید که قدر شما عالی تر و انتم الاعلون. از آنک.</w:t>
      </w:r>
    </w:p>
    <w:p>
      <w:pPr>
        <w:pStyle w:val="BookText"/>
      </w:pPr>
      <w:r>
        <w:rPr>
          <w:rFonts w:ascii="IRNazanin" w:hAnsi="IRNazanin" w:eastAsia="IRNazanin" w:cs="IRNazanin"/>
          <w:lang w:bidi="fa-IR"/>
          <w:color w:val="111111"/>
          <w:sz w:val="28"/>
          <w:szCs w:val="28"/>
          <w:rtl/>
        </w:rPr>
        <w:t xml:space="preserve">این نسخه در دو مجلد و در دو شماره تجلید شده است ولی در واقع نسخهای واحد است که روی هم نصف اول کتاب بصائر را دربر می گیرد. نیمه اول؛ خط: نسخ، كا: محمد بن عین الدوله بن عبدالله الرومی رازی، تا: محرم ۶۱۰ق؛ گویا برخی اوراق جا به جا شده است؛ واقف: ابن خاتون، ۱۰۶۷؛ کاغذ: نخودی آهار مهره، جلد: پارچه ای زرد اخری، ۵۶گ، ۱۹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۱-۴۱۲]</w:t>
      </w:r>
    </w:p>
    <w:p>
      <w:pPr>
        <w:pStyle w:val="BookText"/>
      </w:pPr>
      <w:r>
        <w:rPr>
          <w:rFonts w:ascii="IRNazanin" w:hAnsi="IRNazanin" w:eastAsia="IRNazanin" w:cs="IRNazanin"/>
          <w:lang w:bidi="fa-IR"/>
          <w:color w:val="111111"/>
          <w:sz w:val="28"/>
          <w:szCs w:val="28"/>
          <w:rtl/>
        </w:rPr>
        <w:t xml:space="preserve">تهران؛ دانشگاه؛ شماره نسخه: ۸۲۶-ف</w:t>
      </w:r>
    </w:p>
    <w:p>
      <w:pPr>
        <w:pStyle w:val="BookText"/>
      </w:pPr>
      <w:r>
        <w:rPr>
          <w:rFonts w:ascii="IRNazanin" w:hAnsi="IRNazanin" w:eastAsia="IRNazanin" w:cs="IRNazanin"/>
          <w:lang w:bidi="fa-IR"/>
          <w:color w:val="111111"/>
          <w:sz w:val="28"/>
          <w:szCs w:val="28"/>
          <w:rtl/>
        </w:rPr>
        <w:t xml:space="preserve">نسخه اصل: همان نسخه بالا [فیلمها ف: ۱-۲۲]</w:t>
      </w:r>
    </w:p>
    <w:p>
      <w:pPr>
        <w:pStyle w:val="BookText"/>
      </w:pPr>
      <w:r>
        <w:rPr>
          <w:rFonts w:ascii="IRNazanin" w:hAnsi="IRNazanin" w:eastAsia="IRNazanin" w:cs="IRNazanin"/>
          <w:lang w:bidi="fa-IR"/>
          <w:color w:val="111111"/>
          <w:sz w:val="28"/>
          <w:szCs w:val="28"/>
          <w:rtl/>
        </w:rPr>
        <w:t xml:space="preserve">۲. مشهد؛ رضوی؛ شماره نسخه: ۱۲۱۵</w:t>
      </w:r>
    </w:p>
    <w:p>
      <w:pPr>
        <w:pStyle w:val="BookText"/>
      </w:pPr>
      <w:r>
        <w:rPr>
          <w:rFonts w:ascii="IRNazanin" w:hAnsi="IRNazanin" w:eastAsia="IRNazanin" w:cs="IRNazanin"/>
          <w:lang w:bidi="fa-IR"/>
          <w:color w:val="111111"/>
          <w:sz w:val="28"/>
          <w:szCs w:val="28"/>
          <w:rtl/>
        </w:rPr>
        <w:t xml:space="preserve">آغاز: شما اعتقاد دارید که صفات حق از صفات خلق برتر و له المثل الأعلى. تسبیح کنید خداوندی را که او بقدر و قدرت از افهام و اوهام برتر؛ انجام: تم باب الشين به شرح الشفاعة و الصلوة على نبينا ... بالاستطاعه و وفقنا للمطاعة. تم نصف الأول من كتاب البصائر في الوجوه و النظایر ...</w:t>
      </w:r>
    </w:p>
    <w:p>
      <w:pPr>
        <w:pStyle w:val="BookText"/>
      </w:pPr>
      <w:r>
        <w:rPr>
          <w:rFonts w:ascii="IRNazanin" w:hAnsi="IRNazanin" w:eastAsia="IRNazanin" w:cs="IRNazanin"/>
          <w:lang w:bidi="fa-IR"/>
          <w:color w:val="111111"/>
          <w:sz w:val="28"/>
          <w:szCs w:val="28"/>
          <w:rtl/>
        </w:rPr>
        <w:t xml:space="preserve">نیمه دوم، بقیه شماره ۱۲۱۴ که جداگانه تجلید شده؛ خط: نسخ، کا: محمد بن عین الدولة بن عبدالله الرومی رازی، تا: ۵ محرم ۶۱۰ق، جان ساوه، در خانقاه ظهیر الدین معین الاسلام در محله علوانیه؛ کاتب نام خود و علت تأليف را چنین نگاشته است: «تم النصف الأول من كتاب البصائر في وجوه و النظائر على يد العبد الضعيف الراجي رحمة ربه و غفرانه محمد بن عین الدوله بن عبدالله الرومي ثم الرازی متع الله به صاحبه الصدر الامام الاجل الكبير العالم العابد المتقي ركن الدين شهاب الاسلام تاج الائمه فخر العلماء شرف المناظرین محمد بن عثمان بن محمد بن سعيد الساوى يرحمهم الله تعالى بفضله و کرمه انه مجيب الدعوات»؛ نسخه از آن غیاثا الدين محمد بن روح الله منشی بوده است؛ واقف: ابن خاتون، ۱۰۶۷؛ کاغذ:نخودی آهار مهره، جلد: تیماج سبز با عطف خرمائی، ۵۶گ، ۱۹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۱-۴۱۶]</w:t>
      </w:r>
    </w:p>
    <w:p>
      <w:pPr>
        <w:pStyle w:val="BookText"/>
      </w:pPr>
      <w:r>
        <w:rPr>
          <w:rFonts w:ascii="IRNazanin" w:hAnsi="IRNazanin" w:eastAsia="IRNazanin" w:cs="IRNazanin"/>
          <w:lang w:bidi="fa-IR"/>
          <w:color w:val="111111"/>
          <w:sz w:val="28"/>
          <w:szCs w:val="28"/>
          <w:rtl/>
        </w:rPr>
        <w:t xml:space="preserve">تهران؛ دانشگاه؛ شماره نسخه: ۱۰۷۲-ف</w:t>
      </w:r>
    </w:p>
    <w:p>
      <w:pPr>
        <w:pStyle w:val="BookText"/>
      </w:pPr>
      <w:r>
        <w:rPr>
          <w:rFonts w:ascii="Amiri" w:hAnsi="Amiri" w:eastAsia="Amiri" w:cs="Amiri"/>
          <w:lang w:bidi="ar-SA"/>
          <w:color w:val="111111"/>
          <w:sz w:val="28"/>
          <w:szCs w:val="28"/>
          <w:rtl/>
        </w:rPr>
        <w:t xml:space="preserve">نسخه اصل: همان نسخه بالا [فيلمها ف: ۱-۲۲]</w:t>
      </w:r>
    </w:p>
    <w:p>
      <w:pPr>
        <w:pStyle w:val="BookText"/>
      </w:pPr>
      <w:r>
        <w:rPr>
          <w:rFonts w:ascii="Amiri" w:hAnsi="Amiri" w:eastAsia="Amiri" w:cs="Amiri"/>
          <w:lang w:bidi="ar-SA"/>
          <w:color w:val="111111"/>
          <w:sz w:val="28"/>
          <w:szCs w:val="28"/>
          <w:rtl/>
        </w:rPr>
        <w:t xml:space="preserve">←بصائر القدماء و بشائر الحكماء ← البصائر و الذخائر</w:t>
      </w:r>
    </w:p>
    <w:p>
      <w:pPr>
        <w:pStyle w:val="BookText"/>
      </w:pPr>
      <w:r>
        <w:rPr>
          <w:rFonts w:ascii="Amiri" w:hAnsi="Amiri" w:eastAsia="Amiri" w:cs="Amiri"/>
          <w:lang w:bidi="ar-SA"/>
          <w:color w:val="111111"/>
          <w:sz w:val="28"/>
          <w:szCs w:val="28"/>
          <w:rtl/>
        </w:rPr>
        <w:t xml:space="preserve">←بصائر المستبصرين ← ابصار المستبصرين</w:t>
      </w:r>
    </w:p>
    <w:p>
      <w:pPr>
        <w:pStyle w:val="Heading3"/>
      </w:pPr>
      <w:bookmarkStart w:id="797" w:name="_Toc57"/>
      <w:r>
        <w:t>• بصائر الموحدین / تاریخ معصومین / عربی</w:t>
      </w:r>
      <w:bookmarkEnd w:id="797"/>
    </w:p>
    <w:p>
      <w:pPr>
        <w:pStyle w:val="BookText"/>
      </w:pPr>
      <w:r>
        <w:rPr>
          <w:rFonts w:ascii="Times New Roman" w:hAnsi="Times New Roman" w:eastAsia="Times New Roman" w:cs="Times New Roman"/>
          <w:lang w:val="en-US" w:bidi="en-US"/>
          <w:color w:val="111111"/>
          <w:sz w:val="28"/>
          <w:szCs w:val="28"/>
          <w:rtl/>
        </w:rPr>
        <w:t xml:space="preserve">basa'ir-ul muwahhidin</w:t>
      </w:r>
    </w:p>
    <w:p>
      <w:pPr>
        <w:pStyle w:val="BookText"/>
      </w:pPr>
      <w:r>
        <w:rPr>
          <w:rFonts w:ascii="IRNazanin" w:hAnsi="IRNazanin" w:eastAsia="IRNazanin" w:cs="IRNazanin"/>
          <w:lang w:bidi="fa-IR"/>
          <w:color w:val="111111"/>
          <w:sz w:val="28"/>
          <w:szCs w:val="28"/>
          <w:rtl/>
        </w:rPr>
        <w:t xml:space="preserve">حسینی زیدی، حسین بن محمد، ق۹ قمری</w:t>
      </w:r>
    </w:p>
    <w:p>
      <w:pPr>
        <w:pStyle w:val="BookText"/>
      </w:pPr>
      <w:r>
        <w:rPr>
          <w:rFonts w:ascii="Times New Roman" w:hAnsi="Times New Roman" w:eastAsia="Times New Roman" w:cs="Times New Roman"/>
          <w:lang w:val="en-US" w:bidi="en-US"/>
          <w:color w:val="111111"/>
          <w:sz w:val="28"/>
          <w:szCs w:val="28"/>
          <w:rtl/>
        </w:rPr>
        <w:t xml:space="preserve">hoseynī zeydī, hoseyn ebn-e mohammad (- 15c)</w:t>
      </w:r>
    </w:p>
    <w:p>
      <w:pPr>
        <w:pStyle w:val="BookText"/>
      </w:pPr>
      <w:r>
        <w:rPr>
          <w:rFonts w:ascii="IRNazanin" w:hAnsi="IRNazanin" w:eastAsia="IRNazanin" w:cs="IRNazanin"/>
          <w:lang w:bidi="fa-IR"/>
          <w:color w:val="111111"/>
          <w:sz w:val="28"/>
          <w:szCs w:val="28"/>
          <w:rtl/>
        </w:rPr>
        <w:t xml:space="preserve">اهدا به: میرزا محب الله فرزند خليل الله</w:t>
      </w:r>
    </w:p>
    <w:p>
      <w:pPr>
        <w:pStyle w:val="BookText"/>
      </w:pPr>
      <w:r>
        <w:rPr>
          <w:rFonts w:ascii="IRNazanin" w:hAnsi="IRNazanin" w:eastAsia="IRNazanin" w:cs="IRNazanin"/>
          <w:lang w:bidi="fa-IR"/>
          <w:color w:val="111111"/>
          <w:sz w:val="28"/>
          <w:szCs w:val="28"/>
          <w:rtl/>
        </w:rPr>
        <w:t xml:space="preserve">آن را به درخواست یاران در سرگذشت پیامبر و پیشوایان ساخته است. مقدمه آن در چهار فصل» و در سرگذشت پیامبر می باشد سپس دوازده «باب» است به نام دوازده پیشوای شیعی و سرگذشت فاطمه(عليها السلام)را در باب سوم گذارده است.</w:t>
      </w:r>
    </w:p>
    <w:p>
      <w:pPr>
        <w:pStyle w:val="BookText"/>
      </w:pPr>
      <w:r>
        <w:rPr>
          <w:rFonts w:ascii="IRNazanin" w:hAnsi="IRNazanin" w:eastAsia="IRNazanin" w:cs="IRNazanin"/>
          <w:lang w:bidi="fa-IR"/>
          <w:color w:val="111111"/>
          <w:sz w:val="28"/>
          <w:szCs w:val="28"/>
          <w:rtl/>
        </w:rPr>
        <w:t xml:space="preserve">تهران؛ دانشگاه؛ شماره نسخه: ۵۸۶</w:t>
      </w:r>
    </w:p>
    <w:p>
      <w:pPr>
        <w:pStyle w:val="BookText"/>
      </w:pPr>
      <w:r>
        <w:rPr>
          <w:rFonts w:ascii="IRNazanin" w:hAnsi="IRNazanin" w:eastAsia="IRNazanin" w:cs="IRNazanin"/>
          <w:lang w:bidi="fa-IR"/>
          <w:color w:val="111111"/>
          <w:sz w:val="28"/>
          <w:szCs w:val="28"/>
          <w:rtl/>
        </w:rPr>
        <w:t xml:space="preserve">آغاز: بسمله. و به نستعین. الحمدلله الذي لايضل من هذاه و الايشقی من تولاه و لايسعد من اشقاه و لا يعز من عاداه ... فيقول ...</w:t>
      </w:r>
    </w:p>
    <w:p>
      <w:pPr>
        <w:pStyle w:val="BookText"/>
      </w:pPr>
      <w:r>
        <w:rPr>
          <w:rFonts w:ascii="IRNazanin" w:hAnsi="IRNazanin" w:eastAsia="IRNazanin" w:cs="IRNazanin"/>
          <w:lang w:bidi="fa-IR"/>
          <w:color w:val="111111"/>
          <w:sz w:val="28"/>
          <w:szCs w:val="28"/>
          <w:rtl/>
        </w:rPr>
        <w:t xml:space="preserve">حسین بن محمد الزيدي الحسینی؛ انجام: و انا اسال الله لي ولكم أن تجعلنا من اتباعهم و لنختم بالصلوة على محمد و آل محمد و سلم تسليما كثيرا كثيرا (وقع الفراغ من تحريره و ترقيمه في ظهر يوم الخميس منتصف شهر محرم الحرام سنة أربع و تسعين و بعد الف ۱۰۹۴ من الهجرة النبوي على يد ... على قلی بن عزیزالله</w:t>
      </w:r>
    </w:p>
    <w:p>
      <w:pPr>
        <w:pStyle w:val="BookText"/>
      </w:pPr>
      <w:r>
        <w:rPr>
          <w:rFonts w:ascii="IRNazanin" w:hAnsi="IRNazanin" w:eastAsia="IRNazanin" w:cs="IRNazanin"/>
          <w:lang w:bidi="fa-IR"/>
          <w:color w:val="111111"/>
          <w:sz w:val="28"/>
          <w:szCs w:val="28"/>
          <w:rtl/>
        </w:rPr>
        <w:t xml:space="preserve">اردکانی حامدا مصلیا مسلما مستغفرا).</w:t>
      </w:r>
    </w:p>
    <w:p>
      <w:pPr>
        <w:pStyle w:val="BookText"/>
      </w:pPr>
      <w:r>
        <w:rPr>
          <w:rFonts w:ascii="IRNazanin" w:hAnsi="IRNazanin" w:eastAsia="IRNazanin" w:cs="IRNazanin"/>
          <w:lang w:bidi="fa-IR"/>
          <w:color w:val="111111"/>
          <w:sz w:val="28"/>
          <w:szCs w:val="28"/>
          <w:rtl/>
        </w:rPr>
        <w:t xml:space="preserve">خط: نستعلیق، كا: علیقلی بن عزیزالله اردکانی، تا: پنج شنبه نیمه محرم ۱۰۹۴ق؛ کاغذ: ترمه، جلد: مقوای ته میشن، ۴۶ گ، ۱۵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۱۸/۵ سم [ف: ۵-۱۱۸۹]</w:t>
      </w:r>
    </w:p>
    <w:p>
      <w:pPr>
        <w:pStyle w:val="Heading3"/>
      </w:pPr>
      <w:bookmarkStart w:id="798" w:name="_Toc58"/>
      <w:r>
        <w:t>• البصائر النصيرية / منطق / عربی</w:t>
      </w:r>
      <w:bookmarkEnd w:id="798"/>
    </w:p>
    <w:p>
      <w:pPr>
        <w:pStyle w:val="BookText"/>
      </w:pPr>
      <w:r>
        <w:rPr>
          <w:rFonts w:ascii="Times New Roman" w:hAnsi="Times New Roman" w:eastAsia="Times New Roman" w:cs="Times New Roman"/>
          <w:lang w:val="en-US" w:bidi="en-US"/>
          <w:color w:val="111111"/>
          <w:sz w:val="28"/>
          <w:szCs w:val="28"/>
          <w:rtl/>
        </w:rPr>
        <w:t xml:space="preserve">al-bașā’ir-un nașīrīya</w:t>
      </w:r>
    </w:p>
    <w:p>
      <w:pPr>
        <w:pStyle w:val="BookText"/>
      </w:pPr>
      <w:r>
        <w:rPr>
          <w:rFonts w:ascii="IRNazanin" w:hAnsi="IRNazanin" w:eastAsia="IRNazanin" w:cs="IRNazanin"/>
          <w:lang w:bidi="fa-IR"/>
          <w:color w:val="111111"/>
          <w:sz w:val="28"/>
          <w:szCs w:val="28"/>
          <w:rtl/>
        </w:rPr>
        <w:t xml:space="preserve">ابن سهلان ساوی، عمر بن سهلان، - ۴۵۰ قمری</w:t>
      </w:r>
    </w:p>
    <w:p>
      <w:pPr>
        <w:pStyle w:val="BookText"/>
      </w:pPr>
      <w:r>
        <w:rPr>
          <w:rFonts w:ascii="Times New Roman" w:hAnsi="Times New Roman" w:eastAsia="Times New Roman" w:cs="Times New Roman"/>
          <w:lang w:val="en-US" w:bidi="en-US"/>
          <w:color w:val="111111"/>
          <w:sz w:val="28"/>
          <w:szCs w:val="28"/>
          <w:rtl/>
        </w:rPr>
        <w:t xml:space="preserve">ebn-e sahlān-e sāvī, 'omar ebn-e sahlān (- 1059)</w:t>
      </w:r>
    </w:p>
    <w:p>
      <w:pPr>
        <w:pStyle w:val="BookText"/>
      </w:pPr>
      <w:r>
        <w:rPr>
          <w:rFonts w:ascii="IRNazanin" w:hAnsi="IRNazanin" w:eastAsia="IRNazanin" w:cs="IRNazanin"/>
          <w:lang w:bidi="fa-IR"/>
          <w:color w:val="111111"/>
          <w:sz w:val="28"/>
          <w:szCs w:val="28"/>
          <w:rtl/>
        </w:rPr>
        <w:t xml:space="preserve">اهدا به: نصير الدين محمود بن مظفر بن ابی توبه وزیر سنجر (از محتشمان آن روز خراسان)</w:t>
      </w:r>
    </w:p>
    <w:p>
      <w:pPr>
        <w:pStyle w:val="BookText"/>
      </w:pPr>
      <w:r>
        <w:rPr>
          <w:rFonts w:ascii="IRNazanin" w:hAnsi="IRNazanin" w:eastAsia="IRNazanin" w:cs="IRNazanin"/>
          <w:lang w:bidi="fa-IR"/>
          <w:color w:val="111111"/>
          <w:sz w:val="28"/>
          <w:szCs w:val="28"/>
          <w:rtl/>
        </w:rPr>
        <w:t xml:space="preserve">ظاهرا مؤلف موفق به اتمام این کتاب نشده است. موجودی بخش مقدمه (در تعریف و موضوع وفاید منطق در ۲ فصل) و دو مقاله (مفردات. قول شارح ضمن فصول) است. این کتاب به حسن تبویب و روانی عبارت از کتب ممتاز این رشته است و به این جهت مورد توجه شیخ محمد عبده (مفتی معروف مصر) واقع شده است و بر آن تعالیقی نگاشته و به دستور وی چاپ و در برنامه درسی جامع الأزهر قرار داده شد. (مهدی ولائی)</w:t>
      </w:r>
    </w:p>
    <w:p>
      <w:pPr>
        <w:pStyle w:val="BookText"/>
      </w:pPr>
      <w:r>
        <w:rPr>
          <w:rFonts w:ascii="Amiri" w:hAnsi="Amiri" w:eastAsia="Amiri" w:cs="Amiri"/>
          <w:lang w:bidi="ar-SA"/>
          <w:color w:val="111111"/>
          <w:sz w:val="28"/>
          <w:szCs w:val="28"/>
          <w:rtl/>
        </w:rPr>
        <w:t xml:space="preserve">آغاز: بسمله، رب انعمت فزد اما بعد حمد الله المنعم بهدايته و الصلوه على محمد خير خلقه ...</w:t>
      </w:r>
    </w:p>
    <w:p>
      <w:pPr>
        <w:pStyle w:val="BookText"/>
      </w:pPr>
      <w:r>
        <w:rPr>
          <w:rFonts w:ascii="IRNazanin" w:hAnsi="IRNazanin" w:eastAsia="IRNazanin" w:cs="IRNazanin"/>
          <w:lang w:bidi="fa-IR"/>
          <w:color w:val="111111"/>
          <w:sz w:val="28"/>
          <w:szCs w:val="28"/>
          <w:rtl/>
        </w:rPr>
        <w:t xml:space="preserve">چاپ: بیروت، دار الفكر اللبناني: ۱۹۹۳م، با تعليق محمد عبده؛ در ۱۸۹۱ م در لبنان، و در ۱۳۱۶ هـ در بولاق، با تعلیقات شیخ محمد عبده، چاپ شده است.</w:t>
      </w:r>
    </w:p>
    <w:p>
      <w:pPr>
        <w:pStyle w:val="BookText"/>
      </w:pPr>
      <w:r>
        <w:rPr>
          <w:rFonts w:ascii="IRNazanin" w:hAnsi="IRNazanin" w:eastAsia="IRNazanin" w:cs="IRNazanin"/>
          <w:lang w:bidi="fa-IR"/>
          <w:color w:val="111111"/>
          <w:sz w:val="28"/>
          <w:szCs w:val="28"/>
          <w:rtl/>
        </w:rPr>
        <w:t xml:space="preserve">شرح و حواشی: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6" w:name="pg20363_209176"/>
    <w:bookmarkEnd w:id="26"/>
    <w:p>
      <w:pPr>
        <w:pStyle w:val="BookText"/>
      </w:pPr>
      <w:r>
        <w:rPr>
          <w:rFonts w:ascii="IRNazanin" w:hAnsi="IRNazanin" w:eastAsia="IRNazanin" w:cs="IRNazanin"/>
          <w:lang w:bidi="fa-IR"/>
          <w:color w:val="111111"/>
          <w:sz w:val="28"/>
          <w:szCs w:val="28"/>
          <w:rtl/>
        </w:rPr>
        <w:t xml:space="preserve">١- الالهامات الحيدرية في شرح البصائر النصيرية؛ موسوی اصفهانی، محمد حسن (۱۴-)</w:t>
      </w:r>
    </w:p>
    <w:p>
      <w:pPr>
        <w:pStyle w:val="BookText"/>
      </w:pPr>
      <w:r>
        <w:rPr>
          <w:rFonts w:ascii="IRNazanin" w:hAnsi="IRNazanin" w:eastAsia="IRNazanin" w:cs="IRNazanin"/>
          <w:lang w:bidi="fa-IR"/>
          <w:color w:val="111111"/>
          <w:sz w:val="28"/>
          <w:szCs w:val="28"/>
          <w:rtl/>
        </w:rPr>
        <w:t xml:space="preserve">۱. تهران؛ ملی؛ شماره نسخه: ۲۶۵</w:t>
      </w:r>
    </w:p>
    <w:p>
      <w:pPr>
        <w:pStyle w:val="BookText"/>
      </w:pPr>
      <w:r>
        <w:rPr>
          <w:rFonts w:ascii="IRNazanin" w:hAnsi="IRNazanin" w:eastAsia="IRNazanin" w:cs="IRNazanin"/>
          <w:lang w:bidi="fa-IR"/>
          <w:color w:val="111111"/>
          <w:sz w:val="28"/>
          <w:szCs w:val="28"/>
          <w:rtl/>
        </w:rPr>
        <w:t xml:space="preserve">آغاز: برابر، انجام: افرایتم الماء الذي تشربون افرائیم النار الذي توقدون الآيات.</w:t>
      </w:r>
    </w:p>
    <w:p>
      <w:pPr>
        <w:pStyle w:val="BookText"/>
      </w:pPr>
      <w:r>
        <w:rPr>
          <w:rFonts w:ascii="IRNazanin" w:hAnsi="IRNazanin" w:eastAsia="IRNazanin" w:cs="IRNazanin"/>
          <w:lang w:bidi="fa-IR"/>
          <w:color w:val="111111"/>
          <w:sz w:val="28"/>
          <w:szCs w:val="28"/>
          <w:rtl/>
        </w:rPr>
        <w:t xml:space="preserve">خط: نسخ خوش، بی کا، تا: قرن ۱۹ کاغذ: بخارائی، جلد: تیماج زرد، ترنج ضربی مقوایی، ۱۱۴ ، ۲۳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۱۵/۵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۷-۲۳۹]</w:t>
      </w:r>
    </w:p>
    <w:p>
      <w:pPr>
        <w:pStyle w:val="BookText"/>
      </w:pPr>
      <w:r>
        <w:rPr>
          <w:rFonts w:ascii="IRNazanin" w:hAnsi="IRNazanin" w:eastAsia="IRNazanin" w:cs="IRNazanin"/>
          <w:lang w:bidi="fa-IR"/>
          <w:color w:val="111111"/>
          <w:sz w:val="28"/>
          <w:szCs w:val="28"/>
          <w:rtl/>
        </w:rPr>
        <w:t xml:space="preserve">۲. قم؛ مرعشی؛ شماره نسخه: ۷۰۸ عکسی</w:t>
      </w:r>
    </w:p>
    <w:p>
      <w:pPr>
        <w:pStyle w:val="BookText"/>
      </w:pPr>
      <w:r>
        <w:rPr>
          <w:rFonts w:ascii="IRNazanin" w:hAnsi="IRNazanin" w:eastAsia="IRNazanin" w:cs="IRNazanin"/>
          <w:lang w:bidi="fa-IR"/>
          <w:color w:val="111111"/>
          <w:sz w:val="28"/>
          <w:szCs w:val="28"/>
          <w:rtl/>
        </w:rPr>
        <w:t xml:space="preserve">آغاز: برابر؛ انجام: و هذا القدر كاف في بيان المغالطات القياسيه و اذ وعدنا بما وعدنا فلنختم كتابنا حامدين لله تعالی، مصلين على نبيه محمد خير خلقه و على آله و أصحابه.</w:t>
      </w:r>
    </w:p>
    <w:p>
      <w:pPr>
        <w:pStyle w:val="BookText"/>
      </w:pPr>
      <w:r>
        <w:rPr>
          <w:rFonts w:ascii="IRNazanin" w:hAnsi="IRNazanin" w:eastAsia="IRNazanin" w:cs="IRNazanin"/>
          <w:lang w:bidi="fa-IR"/>
          <w:color w:val="111111"/>
          <w:sz w:val="28"/>
          <w:szCs w:val="28"/>
          <w:rtl/>
        </w:rPr>
        <w:t xml:space="preserve">نسخه اصل: سلطان احمد ثالث، استانبول، ش ۳۴۳۸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فهرست خطی عربی طوپ قاپی ۳/ ۶۵۰)</w:t>
      </w:r>
    </w:p>
    <w:p>
      <w:pPr>
        <w:pStyle w:val="BookText"/>
      </w:pPr>
      <w:r>
        <w:rPr>
          <w:rFonts w:ascii="IRNazanin" w:hAnsi="IRNazanin" w:eastAsia="IRNazanin" w:cs="IRNazanin"/>
          <w:lang w:bidi="fa-IR"/>
          <w:color w:val="111111"/>
          <w:sz w:val="28"/>
          <w:szCs w:val="28"/>
          <w:rtl/>
        </w:rPr>
        <w:t xml:space="preserve">کا: دیوانی، تا: اواخر محرم ۸۸۶ق؛ ۲۴۴گ، ۱۵ سطر [عکسی ف: ۲-۱۹۲]</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دانشگاه، شماره نسخه: ۲۷۵۵</w:t>
      </w:r>
    </w:p>
    <w:p>
      <w:pPr>
        <w:pStyle w:val="BookText"/>
      </w:pPr>
      <w:r>
        <w:rPr>
          <w:rFonts w:ascii="IRNazanin" w:hAnsi="IRNazanin" w:eastAsia="IRNazanin" w:cs="IRNazanin"/>
          <w:lang w:bidi="fa-IR"/>
          <w:color w:val="111111"/>
          <w:sz w:val="28"/>
          <w:szCs w:val="28"/>
          <w:rtl/>
        </w:rPr>
        <w:t xml:space="preserve">خط: نسخ، كا: محمد رحیم برای رستم خان، تا: جمادی الثانی ۱۱۱۰ق؛ تملک: آقا سید میرزا ابوالقاسم پدر آقا سید علی در ۸ محرم ۱۲۹۱؛ کاغذ: فرنگی، جلد: مقوایی، ۱۳۸گ، ۱۵ سطر ( ۲۹/۵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۳۸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۱۰-۱۶۱۸]</w:t>
      </w:r>
    </w:p>
    <w:p>
      <w:pPr>
        <w:pStyle w:val="BookText"/>
      </w:pPr>
      <w:r>
        <w:rPr>
          <w:rFonts w:ascii="IRNazanin" w:hAnsi="IRNazanin" w:eastAsia="IRNazanin" w:cs="IRNazanin"/>
          <w:lang w:bidi="fa-IR"/>
          <w:color w:val="111111"/>
          <w:sz w:val="28"/>
          <w:szCs w:val="28"/>
          <w:rtl/>
        </w:rPr>
        <w:t xml:space="preserve">۴. مشهد؛ رضوی؛ شماره نسخه: ۶۵۰۱</w:t>
      </w:r>
    </w:p>
    <w:p>
      <w:pPr>
        <w:pStyle w:val="BookText"/>
      </w:pPr>
      <w:r>
        <w:rPr>
          <w:rFonts w:ascii="IRNazanin" w:hAnsi="IRNazanin" w:eastAsia="IRNazanin" w:cs="IRNazanin"/>
          <w:lang w:bidi="fa-IR"/>
          <w:color w:val="111111"/>
          <w:sz w:val="28"/>
          <w:szCs w:val="28"/>
          <w:rtl/>
        </w:rPr>
        <w:t xml:space="preserve">آغاز: برابر، انجام: فلا نقيضه ولكنه فيه بالقوه. خط: نستعلیق، بی کا، تا: قرن ۱۴؛ پنداشته می شود که این نسخه رونویس شده از نسخه چاپی است؛ کاغذ: فرنگی، جلد: مقوا با روکش پارچه، ۸۷گ، ۲۰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۱۱-۴۳۷)</w:t>
      </w:r>
    </w:p>
    <w:p>
      <w:pPr>
        <w:pStyle w:val="Heading3"/>
      </w:pPr>
      <w:bookmarkStart w:id="799" w:name="_Toc59"/>
      <w:r>
        <w:t>• البصائر و الذخائر = بصائر القدماء و سرائر الحكماء = بصائر القدماء و بشائر الحكماء / ادبیات عربی</w:t>
      </w:r>
      <w:bookmarkEnd w:id="799"/>
    </w:p>
    <w:p>
      <w:pPr>
        <w:pStyle w:val="BookText"/>
      </w:pPr>
      <w:r>
        <w:rPr>
          <w:rFonts w:ascii="Times New Roman" w:hAnsi="Times New Roman" w:eastAsia="Times New Roman" w:cs="Times New Roman"/>
          <w:lang w:val="en-US" w:bidi="en-US"/>
          <w:color w:val="111111"/>
          <w:sz w:val="28"/>
          <w:szCs w:val="28"/>
          <w:rtl/>
        </w:rPr>
        <w:t xml:space="preserve">al-basa'ir wa-d daxa'ir = basa'ir-ul_qudama' wa sara'ir-ul hukama' = basa'ir-ul qudama' wa basa'ir-ul hukama'</w:t>
      </w:r>
    </w:p>
    <w:p>
      <w:pPr>
        <w:pStyle w:val="BookText"/>
      </w:pPr>
      <w:r>
        <w:rPr>
          <w:rFonts w:ascii="IRNazanin" w:hAnsi="IRNazanin" w:eastAsia="IRNazanin" w:cs="IRNazanin"/>
          <w:lang w:bidi="fa-IR"/>
          <w:color w:val="111111"/>
          <w:sz w:val="28"/>
          <w:szCs w:val="28"/>
          <w:rtl/>
        </w:rPr>
        <w:t xml:space="preserve">ابوحیان توحیدی، علی بن محمد، ۳۱۰؟ -۴۱۴؟ قمری</w:t>
      </w:r>
    </w:p>
    <w:p>
      <w:pPr>
        <w:pStyle w:val="BookText"/>
      </w:pPr>
      <w:r>
        <w:rPr>
          <w:rFonts w:ascii="Times New Roman" w:hAnsi="Times New Roman" w:eastAsia="Times New Roman" w:cs="Times New Roman"/>
          <w:lang w:val="en-US" w:bidi="en-US"/>
          <w:color w:val="111111"/>
          <w:sz w:val="28"/>
          <w:szCs w:val="28"/>
          <w:rtl/>
        </w:rPr>
        <w:t xml:space="preserve">abū-hayyān-e towhīdī, ‘alī ebn-e mohammad (923 1024)</w:t>
      </w:r>
    </w:p>
    <w:p>
      <w:pPr>
        <w:pStyle w:val="BookText"/>
      </w:pPr>
      <w:r>
        <w:rPr>
          <w:rFonts w:ascii="IRNazanin" w:hAnsi="IRNazanin" w:eastAsia="IRNazanin" w:cs="IRNazanin"/>
          <w:lang w:bidi="fa-IR"/>
          <w:color w:val="111111"/>
          <w:sz w:val="28"/>
          <w:szCs w:val="28"/>
          <w:rtl/>
        </w:rPr>
        <w:t xml:space="preserve">قال ياقوت (معجم الأدباء» ۳۸۲/۵ ): «کتاب البصائر و هو عشر مجلدات، كل مجلد له فاتحة و خاتمة.»</w:t>
      </w:r>
    </w:p>
    <w:p>
      <w:pPr>
        <w:pStyle w:val="BookText"/>
      </w:pPr>
      <w:r>
        <w:rPr>
          <w:rFonts w:ascii="IRNazanin" w:hAnsi="IRNazanin" w:eastAsia="IRNazanin" w:cs="IRNazanin"/>
          <w:lang w:bidi="fa-IR"/>
          <w:color w:val="111111"/>
          <w:sz w:val="28"/>
          <w:szCs w:val="28"/>
          <w:rtl/>
        </w:rPr>
        <w:t xml:space="preserve">چاپ: اعاد نشره: عبدالرزاق محيي الدين، بغداد، مطبعة النجاح، ۱۹۵۴م، ۲۴۴ ص؛ دمشق، مكتبة اطلس و مطبعة الانشاء، تحقیق ابراهيم الكيلاني، اربع اجزاء، ۱۳۸۳- ۱۳۸۸ق</w:t>
      </w:r>
    </w:p>
    <w:p>
      <w:pPr>
        <w:pStyle w:val="BookText"/>
      </w:pPr>
      <w:r>
        <w:rPr>
          <w:rFonts w:ascii="IRNazanin" w:hAnsi="IRNazanin" w:eastAsia="IRNazanin" w:cs="IRNazanin"/>
          <w:lang w:bidi="fa-IR"/>
          <w:color w:val="111111"/>
          <w:sz w:val="28"/>
          <w:szCs w:val="28"/>
          <w:rtl/>
        </w:rPr>
        <w:t xml:space="preserve">دیباچه چاپ ۱۳۷۳ قاهره - المخطوطات المصورة ص ۴۳۱؛ مجمع العلمي العراقی ۲/ ۱۸۰-۱۸۹]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 ۴۵۴-ف</w:t>
      </w:r>
    </w:p>
    <w:p>
      <w:pPr>
        <w:pStyle w:val="BookText"/>
      </w:pPr>
      <w:r>
        <w:rPr>
          <w:rFonts w:ascii="IRNazanin" w:hAnsi="IRNazanin" w:eastAsia="IRNazanin" w:cs="IRNazanin"/>
          <w:lang w:bidi="fa-IR"/>
          <w:color w:val="111111"/>
          <w:sz w:val="28"/>
          <w:szCs w:val="28"/>
          <w:rtl/>
        </w:rPr>
        <w:t xml:space="preserve">نسخه اصل: فاتح ش ۳۶۹۵. جلد 1؛ خط: نسخ، بی کا، تا: ۴ جمادی الثانی ۶۲۸ق [فیلمها ف: ۱-۲۹۱]</w:t>
      </w:r>
    </w:p>
    <w:p>
      <w:pPr>
        <w:pStyle w:val="BookText"/>
      </w:pPr>
      <w:r>
        <w:rPr>
          <w:rFonts w:ascii="IRNazanin" w:hAnsi="IRNazanin" w:eastAsia="IRNazanin" w:cs="IRNazanin"/>
          <w:lang w:bidi="fa-IR"/>
          <w:color w:val="111111"/>
          <w:sz w:val="28"/>
          <w:szCs w:val="28"/>
          <w:rtl/>
        </w:rPr>
        <w:t xml:space="preserve">۲. تهران، دانشگاه؛ شماره نسخه: ۴۵۵-ف نسخه اصل: فاتح ش ۳۶۹۶. جلد ۲؛ خط: نسخ، بی کا، تا: پنج شنبه ۲۶ جمادی الثانی ۶۲۸ق فیلمها ف: ۱-۲۹۱]</w:t>
      </w:r>
    </w:p>
    <w:p>
      <w:pPr>
        <w:pStyle w:val="BookText"/>
      </w:pPr>
      <w:r>
        <w:rPr>
          <w:rFonts w:ascii="IRNazanin" w:hAnsi="IRNazanin" w:eastAsia="IRNazanin" w:cs="IRNazanin"/>
          <w:lang w:bidi="fa-IR"/>
          <w:color w:val="111111"/>
          <w:sz w:val="28"/>
          <w:szCs w:val="28"/>
          <w:rtl/>
        </w:rPr>
        <w:t xml:space="preserve">٣. تهران؛ دانشگاه؛ شماره نسخه: ۴۵۶-ف نسخه اصل: فاتح ش ۳۶۹۷. جلد ۳؛ خط: نسخ، بی کا، تا: پنج شنبه ۱۰ جمادی الثانی ۶۲۸ق [فیلمها ف: ۱-۲۹۱]</w:t>
      </w:r>
    </w:p>
    <w:p>
      <w:pPr>
        <w:pStyle w:val="BookText"/>
      </w:pPr>
      <w:r>
        <w:rPr>
          <w:rFonts w:ascii="IRNazanin" w:hAnsi="IRNazanin" w:eastAsia="IRNazanin" w:cs="IRNazanin"/>
          <w:lang w:bidi="fa-IR"/>
          <w:color w:val="111111"/>
          <w:sz w:val="28"/>
          <w:szCs w:val="28"/>
          <w:rtl/>
        </w:rPr>
        <w:t xml:space="preserve">۴. تهران: دانشگاه؛ شماره نسخه: ۴۵۷-ف</w:t>
      </w:r>
    </w:p>
    <w:p>
      <w:pPr>
        <w:pStyle w:val="BookText"/>
      </w:pPr>
      <w:r>
        <w:rPr>
          <w:rFonts w:ascii="IRNazanin" w:hAnsi="IRNazanin" w:eastAsia="IRNazanin" w:cs="IRNazanin"/>
          <w:lang w:bidi="fa-IR"/>
          <w:color w:val="111111"/>
          <w:sz w:val="28"/>
          <w:szCs w:val="28"/>
          <w:rtl/>
        </w:rPr>
        <w:t xml:space="preserve">نسخه اصل: فاتح ش ۳۶۹۸. جلد ۴، خط: نسخ، بی کا، تا: ۲ ذیحجه ۶۲۸ق؛ ۹۱گ، ۳۳ سطر [فیلمها ف: ۱-۲۹۱]</w:t>
      </w:r>
    </w:p>
    <w:p>
      <w:pPr>
        <w:pStyle w:val="BookText"/>
      </w:pPr>
      <w:r>
        <w:rPr>
          <w:rFonts w:ascii="IRNazanin" w:hAnsi="IRNazanin" w:eastAsia="IRNazanin" w:cs="IRNazanin"/>
          <w:lang w:bidi="fa-IR"/>
          <w:color w:val="111111"/>
          <w:sz w:val="28"/>
          <w:szCs w:val="28"/>
          <w:rtl/>
        </w:rPr>
        <w:t xml:space="preserve">۵. تهران؛ دانشگاه؛ شماره نسخه: ۴۵۸-ف</w:t>
      </w:r>
    </w:p>
    <w:p>
      <w:pPr>
        <w:pStyle w:val="BookText"/>
      </w:pPr>
      <w:r>
        <w:rPr>
          <w:rFonts w:ascii="IRNazanin" w:hAnsi="IRNazanin" w:eastAsia="IRNazanin" w:cs="IRNazanin"/>
          <w:lang w:bidi="fa-IR"/>
          <w:color w:val="111111"/>
          <w:sz w:val="28"/>
          <w:szCs w:val="28"/>
          <w:rtl/>
        </w:rPr>
        <w:t xml:space="preserve">نسخه اصل: فاتح ش ۳۶۹۹. جلد ۵؛ خط: نستعلیق، كا: اشرف بن قاضی فاضل، تا: جمعه صفر ۶۲۹ق [فیلمها ف: ۱-۲۹۱]</w:t>
      </w:r>
    </w:p>
    <w:p>
      <w:pPr>
        <w:pStyle w:val="Heading3"/>
      </w:pPr>
      <w:bookmarkStart w:id="800" w:name="_Toc60"/>
      <w:r>
        <w:t>• بصائر یمینی = البصائر في الوجوه و النظایر / تفسير / فارسی</w:t>
      </w:r>
      <w:bookmarkEnd w:id="800"/>
    </w:p>
    <w:p>
      <w:pPr>
        <w:pStyle w:val="BookText"/>
      </w:pPr>
      <w:r>
        <w:rPr>
          <w:rFonts w:ascii="Times New Roman" w:hAnsi="Times New Roman" w:eastAsia="Times New Roman" w:cs="Times New Roman"/>
          <w:lang w:val="en-US" w:bidi="en-US"/>
          <w:color w:val="111111"/>
          <w:sz w:val="28"/>
          <w:szCs w:val="28"/>
          <w:rtl/>
        </w:rPr>
        <w:t xml:space="preserve">basā’er-e yamīnī = al-basā’er fe-l vojūh va-n nazāyer</w:t>
      </w:r>
    </w:p>
    <w:p>
      <w:pPr>
        <w:pStyle w:val="BookText"/>
      </w:pPr>
      <w:r>
        <w:rPr>
          <w:rFonts w:ascii="IRNazanin" w:hAnsi="IRNazanin" w:eastAsia="IRNazanin" w:cs="IRNazanin"/>
          <w:lang w:bidi="fa-IR"/>
          <w:color w:val="111111"/>
          <w:sz w:val="28"/>
          <w:szCs w:val="28"/>
          <w:rtl/>
        </w:rPr>
        <w:t xml:space="preserve">نیشابوری، محمد بن محمود، قرن ۶ قمری</w:t>
      </w:r>
    </w:p>
    <w:p>
      <w:pPr>
        <w:pStyle w:val="BookText"/>
      </w:pPr>
      <w:r>
        <w:rPr>
          <w:rFonts w:ascii="Times New Roman" w:hAnsi="Times New Roman" w:eastAsia="Times New Roman" w:cs="Times New Roman"/>
          <w:lang w:val="en-US" w:bidi="en-US"/>
          <w:color w:val="111111"/>
          <w:sz w:val="28"/>
          <w:szCs w:val="28"/>
          <w:rtl/>
        </w:rPr>
        <w:t xml:space="preserve">neyšābūrī, mohammad ebn-e mahmūd (120)</w:t>
      </w:r>
    </w:p>
    <w:p>
      <w:pPr>
        <w:pStyle w:val="BookText"/>
      </w:pPr>
      <w:r>
        <w:rPr>
          <w:rFonts w:ascii="IRNazanin" w:hAnsi="IRNazanin" w:eastAsia="IRNazanin" w:cs="IRNazanin"/>
          <w:lang w:bidi="fa-IR"/>
          <w:color w:val="111111"/>
          <w:sz w:val="28"/>
          <w:szCs w:val="28"/>
          <w:rtl/>
        </w:rPr>
        <w:t xml:space="preserve">مؤلف آن را پس از چهل سالگی گویا از روی تفسیر بزرگ چهل مجلدی خواجه امام محمود نیشابوری ساخته است، با سؤال و جواب و غیر از «البصائر في الوجوه و النظائر » ابو الفضائل محمد بن حسین معینی است.</w:t>
      </w:r>
    </w:p>
    <w:p>
      <w:pPr>
        <w:pStyle w:val="BookText"/>
      </w:pPr>
      <w:r>
        <w:rPr>
          <w:rFonts w:ascii="IRNazanin" w:hAnsi="IRNazanin" w:eastAsia="IRNazanin" w:cs="IRNazanin"/>
          <w:lang w:bidi="fa-IR"/>
          <w:color w:val="111111"/>
          <w:sz w:val="28"/>
          <w:szCs w:val="28"/>
          <w:rtl/>
        </w:rPr>
        <w:t xml:space="preserve">چاپ: جلد ۱، این تفسیر به وسیله آقای دکتر علی رواقی در سال ۱۳۵۹ از سوی انتشارات بنیاد فرهنگ ایران به چاپ رسیده است.</w:t>
      </w:r>
    </w:p>
    <w:p>
      <w:pPr>
        <w:pStyle w:val="BookText"/>
      </w:pPr>
      <w:r>
        <w:rPr>
          <w:rFonts w:ascii="IRNazanin" w:hAnsi="IRNazanin" w:eastAsia="IRNazanin" w:cs="IRNazanin"/>
          <w:lang w:bidi="fa-IR"/>
          <w:color w:val="111111"/>
          <w:sz w:val="28"/>
          <w:szCs w:val="28"/>
          <w:rtl/>
        </w:rPr>
        <w:t xml:space="preserve">۱. تهران، دانشگاه، شماره نسخه: ۸۱۰-ف و ۸۳۰-ف</w:t>
      </w:r>
    </w:p>
    <w:p>
      <w:pPr>
        <w:pStyle w:val="BookText"/>
      </w:pPr>
      <w:r>
        <w:rPr>
          <w:rFonts w:ascii="IRNazanin" w:hAnsi="IRNazanin" w:eastAsia="IRNazanin" w:cs="IRNazanin"/>
          <w:lang w:bidi="fa-IR"/>
          <w:color w:val="111111"/>
          <w:sz w:val="28"/>
          <w:szCs w:val="28"/>
          <w:rtl/>
        </w:rPr>
        <w:t xml:space="preserve">نسخه اصل: انجمن آسیایی بنگال کالج فورت و لیم ش ۷</w:t>
      </w:r>
      <w:r>
        <w:rPr>
          <w:rFonts w:ascii="Times New Roman" w:hAnsi="Times New Roman" w:eastAsia="Times New Roman" w:cs="Times New Roman"/>
          <w:lang w:val="en-US" w:bidi="en-US"/>
          <w:color w:val="111111"/>
          <w:sz w:val="28"/>
          <w:szCs w:val="28"/>
          <w:rtl/>
        </w:rPr>
        <w:t xml:space="preserve">Aa. </w:t>
      </w:r>
      <w:r>
        <w:rPr>
          <w:rFonts w:ascii="IRNazanin" w:hAnsi="IRNazanin" w:eastAsia="IRNazanin" w:cs="IRNazanin"/>
          <w:lang w:bidi="fa-IR"/>
          <w:color w:val="111111"/>
          <w:sz w:val="28"/>
          <w:szCs w:val="28"/>
          <w:rtl/>
        </w:rPr>
        <w:t xml:space="preserve">از سوره ۱۸ آیه ۸ تا پایان سوره ۳۴ با افتادگی ها؛ خط: نسخ، كا: سيد الخطاط على بن محمد بن احمد ادیب نیشابوری بخاری، تا: ۶۸۵ق؛ ۳۰۳، ۱۹ سطر فيلمها ف: ۱-۲۱]</w:t>
      </w:r>
    </w:p>
    <w:p>
      <w:pPr>
        <w:pStyle w:val="BookText"/>
      </w:pPr>
      <w:r>
        <w:rPr>
          <w:rFonts w:ascii="IRNazanin" w:hAnsi="IRNazanin" w:eastAsia="IRNazanin" w:cs="IRNazanin"/>
          <w:lang w:bidi="fa-IR"/>
          <w:color w:val="111111"/>
          <w:sz w:val="28"/>
          <w:szCs w:val="28"/>
          <w:rtl/>
        </w:rPr>
        <w:t xml:space="preserve">۲. تهران، دانشگاه؛ شماره نسخه: ۳۲۷۹-ف و ۴۱۸۴-ف</w:t>
      </w:r>
    </w:p>
    <w:p>
      <w:pPr>
        <w:pStyle w:val="BookText"/>
      </w:pPr>
      <w:r>
        <w:rPr>
          <w:rFonts w:ascii="IRNazanin" w:hAnsi="IRNazanin" w:eastAsia="IRNazanin" w:cs="IRNazanin"/>
          <w:lang w:bidi="fa-IR"/>
          <w:color w:val="111111"/>
          <w:sz w:val="28"/>
          <w:szCs w:val="28"/>
          <w:rtl/>
        </w:rPr>
        <w:t xml:space="preserve">نسخه اصل: فاتح ۳۰۱. از آیت «واتقوا الله أن الله سمیع علیهم» تا عنوان سورة الطلاق، مانند بخش دوم ش ۳۰۲ فاتح مورخ ۵۰۶ ادبیات ۵۲/۱۷۲ و ۱۹۲)؛ خط: نسخ، كان محمد بن محمد بن محمد العميد الدين الخطيب، تا: ۶۳۰ق [فیلمها ف: ۲-۱۱۳]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تبریز؛ ملی؛ شماره نسخه: ۳۵۸۴</w:t>
      </w:r>
    </w:p>
    <w:p>
      <w:pPr>
        <w:pStyle w:val="BookText"/>
      </w:pPr>
      <w:r>
        <w:rPr>
          <w:rFonts w:ascii="IRNazanin" w:hAnsi="IRNazanin" w:eastAsia="IRNazanin" w:cs="IRNazanin"/>
          <w:lang w:bidi="fa-IR"/>
          <w:color w:val="111111"/>
          <w:sz w:val="28"/>
          <w:szCs w:val="28"/>
          <w:rtl/>
        </w:rPr>
        <w:t xml:space="preserve">آغاز: و اندکی بخورد و باقی بدو داد تا او بخورد و تخته نبشته و شمشیر برهنه بدو داد ... و انا اخترتک فاستمع لما يوحی کرامت آن بود کی گفت؛ انجام: خواجه امام اجل مفسر مصنف این کتاب معین الدین ظهير القضاة ناصر الحق ناصح الخلق ابو العلا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7" w:name="pg20363_209177"/>
    <w:bookmarkEnd w:id="27"/>
    <w:p>
      <w:pPr>
        <w:pStyle w:val="BookText"/>
      </w:pPr>
      <w:r>
        <w:rPr>
          <w:rFonts w:ascii="IRNazanin" w:hAnsi="IRNazanin" w:eastAsia="IRNazanin" w:cs="IRNazanin"/>
          <w:lang w:bidi="fa-IR"/>
          <w:color w:val="111111"/>
          <w:sz w:val="28"/>
          <w:szCs w:val="28"/>
          <w:rtl/>
        </w:rPr>
        <w:t xml:space="preserve">محمد بن الشيخ الأجل المفسر بيان الحق محمود بن ابی الحسن النيسابوري اكرمهه الله بجواره گوید کی چون ماه رمضان سنه خمس و اربعین بپایان رسید سخن ما در تفسیر بآخر انجامید و آنج غرض ما بود بزود تر زمان تقریر پذیرفت جنانک وسع بشری بدان وفا کند هرج در صدر این کتاب وعده کرده بودیم بونا پیوست آنرا آخر این مجموعه کردیم و خداوند خود را بر خو منتهاء بی منتهی می بینیم کی ما را توفيق ارزانی داشت و اسباب تیسیر این سعادت مهيا و میسر گردانید، و هو خير معين و نعم الوكيل و الحمدلله رب العالمين على اتمام كتابته يوم الخميس الرابع من جمادی الاولى سنة ثمان وستماء على يد الغريب الكئيب ابی الخير محمد بن ابی بکر الخراساني التفتازانی غفر الله له و لوالديه و للمؤمنين و المؤمنات و صلی الله على خير البرية محمد و آله الطاهرين</w:t>
      </w:r>
    </w:p>
    <w:p>
      <w:pPr>
        <w:pStyle w:val="BookText"/>
      </w:pPr>
      <w:r>
        <w:rPr>
          <w:rFonts w:ascii="IRNazanin" w:hAnsi="IRNazanin" w:eastAsia="IRNazanin" w:cs="IRNazanin"/>
          <w:lang w:bidi="fa-IR"/>
          <w:color w:val="111111"/>
          <w:sz w:val="28"/>
          <w:szCs w:val="28"/>
          <w:rtl/>
        </w:rPr>
        <w:t xml:space="preserve">از آیه ۱۲ سوره طه (وانا اخترتک فاسمع لما يوحی) تا خاتمه قرآن کریم؛ خط: نسخ، كا: محمد بن ابی بکر خراسانی تفتازانی، تا: ۶۸۰ق؛ جلد: چرمی تریاکی، ۲۵۹ گ، ۲۵ سطر، اندازه: ۳۶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۱-۱۳۱ و ۲۸۶]</w:t>
      </w:r>
    </w:p>
    <w:p>
      <w:pPr>
        <w:pStyle w:val="BookText"/>
      </w:pPr>
      <w:r>
        <w:rPr>
          <w:rFonts w:ascii="IRNazanin" w:hAnsi="IRNazanin" w:eastAsia="IRNazanin" w:cs="IRNazanin"/>
          <w:lang w:bidi="fa-IR"/>
          <w:color w:val="111111"/>
          <w:sz w:val="28"/>
          <w:szCs w:val="28"/>
          <w:rtl/>
        </w:rPr>
        <w:t xml:space="preserve">تهران؛ مطالعات فرهنگی؛ شماره نسخه: ف۱۴</w:t>
      </w:r>
    </w:p>
    <w:p>
      <w:pPr>
        <w:pStyle w:val="BookText"/>
      </w:pPr>
      <w:r>
        <w:rPr>
          <w:rFonts w:ascii="IRNazanin" w:hAnsi="IRNazanin" w:eastAsia="IRNazanin" w:cs="IRNazanin"/>
          <w:lang w:bidi="fa-IR"/>
          <w:color w:val="111111"/>
          <w:sz w:val="28"/>
          <w:szCs w:val="28"/>
          <w:rtl/>
        </w:rPr>
        <w:t xml:space="preserve">نسخه اصل: همان نسخه بالا [فهرستواره مینوی: ۱۶۲]</w:t>
      </w:r>
    </w:p>
    <w:p>
      <w:pPr>
        <w:pStyle w:val="BookText"/>
      </w:pPr>
      <w:r>
        <w:rPr>
          <w:rFonts w:ascii="IRNazanin" w:hAnsi="IRNazanin" w:eastAsia="IRNazanin" w:cs="IRNazanin"/>
          <w:lang w:bidi="fa-IR"/>
          <w:color w:val="111111"/>
          <w:sz w:val="28"/>
          <w:szCs w:val="28"/>
          <w:rtl/>
        </w:rPr>
        <w:t xml:space="preserve">۴. شیراز؛ ثامنی، محمد رضا، شماره نسخه: ۱۳</w:t>
      </w:r>
    </w:p>
    <w:p>
      <w:pPr>
        <w:pStyle w:val="BookText"/>
      </w:pPr>
      <w:r>
        <w:rPr>
          <w:rFonts w:ascii="IRNazanin" w:hAnsi="IRNazanin" w:eastAsia="IRNazanin" w:cs="IRNazanin"/>
          <w:lang w:bidi="fa-IR"/>
          <w:color w:val="111111"/>
          <w:sz w:val="28"/>
          <w:szCs w:val="28"/>
          <w:rtl/>
        </w:rPr>
        <w:t xml:space="preserve">نیمه دوم قرآن؛ خط: نسخ، بی کا، تا: قرن ۷؛ جلد: تیماج قرمز ضربی، اندازه: ۲۴</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۱۶سم [اوراق عتيق: ۱-۲۶۸]</w:t>
      </w:r>
    </w:p>
    <w:p>
      <w:pPr>
        <w:pStyle w:val="BookText"/>
      </w:pPr>
      <w:r>
        <w:rPr>
          <w:rFonts w:ascii="IRNazanin" w:hAnsi="IRNazanin" w:eastAsia="IRNazanin" w:cs="IRNazanin"/>
          <w:lang w:bidi="fa-IR"/>
          <w:color w:val="111111"/>
          <w:sz w:val="28"/>
          <w:szCs w:val="28"/>
          <w:rtl/>
        </w:rPr>
        <w:t xml:space="preserve">۵. تهران؛ مجلس؛ شماره نسخه: ۱۲۲۵۱</w:t>
      </w:r>
    </w:p>
    <w:p>
      <w:pPr>
        <w:pStyle w:val="BookText"/>
      </w:pPr>
      <w:r>
        <w:rPr>
          <w:rFonts w:ascii="IRNazanin" w:hAnsi="IRNazanin" w:eastAsia="IRNazanin" w:cs="IRNazanin"/>
          <w:lang w:bidi="fa-IR"/>
          <w:color w:val="111111"/>
          <w:sz w:val="28"/>
          <w:szCs w:val="28"/>
          <w:rtl/>
        </w:rPr>
        <w:t xml:space="preserve">آغاز: سپاس و ستایش مر خدای را عز و جل که از جمله آفریدگان آدمیان را برگزید و بمزيد عنایت خود مخصوص گردانید و ظاهر او را بحالت هر چه زیباتر بیاراست و باطن او را صحیفه اسرار خود؛ انجام: که به تعریض و کنایت او را ماه شب چهارده خواند ... در حساب جمل طه چهارده باشد ای ما قرآن را بر تو نفرستادیم تا تو رنج.</w:t>
      </w:r>
    </w:p>
    <w:p>
      <w:pPr>
        <w:pStyle w:val="BookText"/>
      </w:pPr>
      <w:r>
        <w:rPr>
          <w:rFonts w:ascii="IRNazanin" w:hAnsi="IRNazanin" w:eastAsia="IRNazanin" w:cs="IRNazanin"/>
          <w:lang w:bidi="fa-IR"/>
          <w:color w:val="111111"/>
          <w:sz w:val="28"/>
          <w:szCs w:val="28"/>
          <w:rtl/>
        </w:rPr>
        <w:t xml:space="preserve">نسخه حاضر از سوره حمد تا اول سوره طه را شامل است؛ خط: نسخ، بی کا، تا قرن ۱۸ جلد: تیماج، خرمایی، ترنج، مجدول، لچکی، الولادار، ۲۶۶ گ، ۲۵ سطر،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۳۵/۵ سم [ف: ۳۵-۲۴۶]</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دانشگاه؛ شماره نسخه: ۳۶-ف</w:t>
      </w:r>
    </w:p>
    <w:p>
      <w:pPr>
        <w:pStyle w:val="BookText"/>
      </w:pPr>
      <w:r>
        <w:rPr>
          <w:rFonts w:ascii="IRNazanin" w:hAnsi="IRNazanin" w:eastAsia="IRNazanin" w:cs="IRNazanin"/>
          <w:lang w:bidi="fa-IR"/>
          <w:color w:val="111111"/>
          <w:sz w:val="28"/>
          <w:szCs w:val="28"/>
          <w:rtl/>
        </w:rPr>
        <w:t xml:space="preserve">نسخه اصل: موزه بریتانیا 11189 .</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ج 3؛ خط: نسخ، بی کا، تا: ۲ جمادی الثانی ۷۷۹ق؛ ۲۰۶گ [فیلمها ف: ۱-۲۱]</w:t>
      </w:r>
    </w:p>
    <w:p>
      <w:pPr>
        <w:pStyle w:val="BookText"/>
      </w:pPr>
      <w:r>
        <w:rPr>
          <w:rFonts w:ascii="IRNazanin" w:hAnsi="IRNazanin" w:eastAsia="IRNazanin" w:cs="IRNazanin"/>
          <w:lang w:bidi="fa-IR"/>
          <w:color w:val="111111"/>
          <w:sz w:val="28"/>
          <w:szCs w:val="28"/>
          <w:rtl/>
        </w:rPr>
        <w:t xml:space="preserve">۷. تهران؛ مطالعات فرهنگی؛ شماره نسخه: ف۵۵</w:t>
      </w:r>
    </w:p>
    <w:p>
      <w:pPr>
        <w:pStyle w:val="BookText"/>
      </w:pPr>
      <w:r>
        <w:rPr>
          <w:rFonts w:ascii="IRNazanin" w:hAnsi="IRNazanin" w:eastAsia="IRNazanin" w:cs="IRNazanin"/>
          <w:lang w:bidi="fa-IR"/>
          <w:color w:val="111111"/>
          <w:sz w:val="28"/>
          <w:szCs w:val="28"/>
          <w:rtl/>
        </w:rPr>
        <w:t xml:space="preserve">نسخه اصل: خاورشناسی لنینگراد </w:t>
      </w:r>
      <w:r>
        <w:rPr>
          <w:rFonts w:ascii="Times New Roman" w:hAnsi="Times New Roman" w:eastAsia="Times New Roman" w:cs="Times New Roman"/>
          <w:lang w:val="en-US" w:bidi="en-US"/>
          <w:color w:val="111111"/>
          <w:sz w:val="28"/>
          <w:szCs w:val="28"/>
          <w:rtl/>
        </w:rPr>
        <w:t xml:space="preserve">C1409 (</w:t>
      </w:r>
      <w:r>
        <w:rPr>
          <w:rFonts w:ascii="IRNazanin" w:hAnsi="IRNazanin" w:eastAsia="IRNazanin" w:cs="IRNazanin"/>
          <w:lang w:bidi="fa-IR"/>
          <w:color w:val="111111"/>
          <w:sz w:val="28"/>
          <w:szCs w:val="28"/>
          <w:rtl/>
        </w:rPr>
        <w:t xml:space="preserve">نشریه ۳۳/۸)؛ بی کا، بی تا [فهرستواره مینوی:-۱۶۲]</w:t>
      </w:r>
    </w:p>
    <w:p>
      <w:pPr>
        <w:pStyle w:val="BookText"/>
      </w:pPr>
      <w:r>
        <w:rPr>
          <w:rFonts w:ascii="IRNazanin" w:hAnsi="IRNazanin" w:eastAsia="IRNazanin" w:cs="IRNazanin"/>
          <w:lang w:bidi="fa-IR"/>
          <w:color w:val="111111"/>
          <w:sz w:val="28"/>
          <w:szCs w:val="28"/>
          <w:rtl/>
        </w:rPr>
        <w:t xml:space="preserve">۸. تهران، دانشگاه؛ شماره نسخه: ۸۱۲-ف و ۸۱۳-ف</w:t>
      </w:r>
    </w:p>
    <w:p>
      <w:pPr>
        <w:pStyle w:val="BookText"/>
      </w:pPr>
      <w:r>
        <w:rPr>
          <w:rFonts w:ascii="IRNazanin" w:hAnsi="IRNazanin" w:eastAsia="IRNazanin" w:cs="IRNazanin"/>
          <w:lang w:bidi="fa-IR"/>
          <w:color w:val="111111"/>
          <w:sz w:val="28"/>
          <w:szCs w:val="28"/>
          <w:rtl/>
        </w:rPr>
        <w:t xml:space="preserve">نسخه اصل: ليدن آکادمی لوگدونوباتاویا 280 .</w:t>
      </w:r>
      <w:r>
        <w:rPr>
          <w:rFonts w:ascii="Times New Roman" w:hAnsi="Times New Roman" w:eastAsia="Times New Roman" w:cs="Times New Roman"/>
          <w:lang w:val="en-US" w:bidi="en-US"/>
          <w:color w:val="111111"/>
          <w:sz w:val="28"/>
          <w:szCs w:val="28"/>
          <w:rtl/>
        </w:rPr>
        <w:t xml:space="preserve">Cod Or</w:t>
      </w:r>
      <w:r>
        <w:rPr>
          <w:rFonts w:ascii="IRNazanin" w:hAnsi="IRNazanin" w:eastAsia="IRNazanin" w:cs="IRNazanin"/>
          <w:lang w:bidi="fa-IR"/>
          <w:color w:val="111111"/>
          <w:sz w:val="28"/>
          <w:szCs w:val="28"/>
          <w:rtl/>
        </w:rPr>
        <w:t xml:space="preserve">؛ خط: نسخ، بی کا، بیتا؛ ۲۴۷گ [فيلمها ف: ۱-۲۲]</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دانشگاه؛ شماره نسخه: ۸۴۸-ف</w:t>
      </w:r>
    </w:p>
    <w:p>
      <w:pPr>
        <w:pStyle w:val="BookText"/>
      </w:pPr>
      <w:r>
        <w:rPr>
          <w:rFonts w:ascii="IRNazanin" w:hAnsi="IRNazanin" w:eastAsia="IRNazanin" w:cs="IRNazanin"/>
          <w:lang w:bidi="fa-IR"/>
          <w:color w:val="111111"/>
          <w:sz w:val="28"/>
          <w:szCs w:val="28"/>
          <w:rtl/>
        </w:rPr>
        <w:t xml:space="preserve">نسخه اصل: پاریس 57 . </w:t>
      </w:r>
      <w:r>
        <w:rPr>
          <w:rFonts w:ascii="Times New Roman" w:hAnsi="Times New Roman" w:eastAsia="Times New Roman" w:cs="Times New Roman"/>
          <w:lang w:val="en-US" w:bidi="en-US"/>
          <w:color w:val="111111"/>
          <w:sz w:val="28"/>
          <w:szCs w:val="28"/>
          <w:rtl/>
        </w:rPr>
        <w:t xml:space="preserve">S. P . </w:t>
      </w:r>
      <w:r>
        <w:rPr>
          <w:rFonts w:ascii="IRNazanin" w:hAnsi="IRNazanin" w:eastAsia="IRNazanin" w:cs="IRNazanin"/>
          <w:lang w:bidi="fa-IR"/>
          <w:color w:val="111111"/>
          <w:sz w:val="28"/>
          <w:szCs w:val="28"/>
          <w:rtl/>
        </w:rPr>
        <w:t xml:space="preserve">از آیه «انفروا خفافا و ثقالا» در سوره توبه تا الاسرار</w:t>
      </w:r>
    </w:p>
    <w:p>
      <w:pPr>
        <w:pStyle w:val="BookText"/>
      </w:pPr>
      <w:r>
        <w:rPr>
          <w:rFonts w:ascii="IRNazanin" w:hAnsi="IRNazanin" w:eastAsia="IRNazanin" w:cs="IRNazanin"/>
          <w:lang w:bidi="fa-IR"/>
          <w:color w:val="111111"/>
          <w:sz w:val="28"/>
          <w:szCs w:val="28"/>
          <w:rtl/>
        </w:rPr>
        <w:t xml:space="preserve">خط: نسخ، بی کا، بی تا، ۳۴۳گ، ۱۳ سطر [فیلمها ف: ۱-۲۲]</w:t>
      </w:r>
    </w:p>
    <w:p>
      <w:pPr>
        <w:pStyle w:val="BookText"/>
      </w:pPr>
      <w:r>
        <w:rPr>
          <w:rFonts w:ascii="IRNazanin" w:hAnsi="IRNazanin" w:eastAsia="IRNazanin" w:cs="IRNazanin"/>
          <w:lang w:bidi="fa-IR"/>
          <w:color w:val="111111"/>
          <w:sz w:val="28"/>
          <w:szCs w:val="28"/>
          <w:rtl/>
        </w:rPr>
        <w:t xml:space="preserve">۱۰. تهران: مطالعات فرهنگی؛ شماره نسخه: ف ۵۶</w:t>
      </w:r>
    </w:p>
    <w:p>
      <w:pPr>
        <w:pStyle w:val="BookText"/>
      </w:pPr>
      <w:r>
        <w:rPr>
          <w:rFonts w:ascii="IRNazanin" w:hAnsi="IRNazanin" w:eastAsia="IRNazanin" w:cs="IRNazanin"/>
          <w:lang w:bidi="fa-IR"/>
          <w:color w:val="111111"/>
          <w:sz w:val="28"/>
          <w:szCs w:val="28"/>
          <w:rtl/>
        </w:rPr>
        <w:t xml:space="preserve">نسخه اصل: نسخه ۱ بنیاد فرهنگی از سوره فاتحه است؛ خط: نسخ ریز و درشت خوش، بی کا، بی تا [فهرستواره مینوی:-۱۶۲]</w:t>
      </w:r>
    </w:p>
    <w:p>
      <w:pPr>
        <w:pStyle w:val="BookText"/>
      </w:pPr>
      <w:r>
        <w:rPr>
          <w:rFonts w:ascii="IRNazanin" w:hAnsi="IRNazanin" w:eastAsia="IRNazanin" w:cs="IRNazanin"/>
          <w:lang w:bidi="fa-IR"/>
          <w:color w:val="111111"/>
          <w:sz w:val="28"/>
          <w:szCs w:val="28"/>
          <w:rtl/>
        </w:rPr>
        <w:t xml:space="preserve">۱۱. تهران؛ مینوی؛ شماره نسخه: ۳۹ بخش ۳ و ۴۰ بخش ۳</w:t>
      </w:r>
    </w:p>
    <w:p>
      <w:pPr>
        <w:pStyle w:val="BookText"/>
      </w:pPr>
      <w:r>
        <w:rPr>
          <w:rFonts w:ascii="IRNazanin" w:hAnsi="IRNazanin" w:eastAsia="IRNazanin" w:cs="IRNazanin"/>
          <w:lang w:bidi="fa-IR"/>
          <w:color w:val="111111"/>
          <w:sz w:val="28"/>
          <w:szCs w:val="28"/>
          <w:rtl/>
        </w:rPr>
        <w:t xml:space="preserve">نسخه اصل: قونیه، موزه مولانا ۶۴؛ بی کا، بی تا؛ ۱۹۹گ (۱-۱۹۹) و ۱۹۲گ (۲۰۰-۳۹۱) [ف: ۹۵]</w:t>
      </w:r>
    </w:p>
    <w:p>
      <w:pPr>
        <w:pStyle w:val="BookText"/>
      </w:pPr>
      <w:r>
        <w:rPr>
          <w:rFonts w:ascii="IRNazanin" w:hAnsi="IRNazanin" w:eastAsia="IRNazanin" w:cs="IRNazanin"/>
          <w:lang w:bidi="fa-IR"/>
          <w:color w:val="111111"/>
          <w:sz w:val="28"/>
          <w:szCs w:val="28"/>
          <w:rtl/>
        </w:rPr>
        <w:t xml:space="preserve">تهران، دانشگاه؛ شماره نسخه: ۳۶۰۸ف و ۳۶۰۹-ف</w:t>
      </w:r>
    </w:p>
    <w:p>
      <w:pPr>
        <w:pStyle w:val="BookText"/>
      </w:pPr>
      <w:r>
        <w:rPr>
          <w:rFonts w:ascii="IRNazanin" w:hAnsi="IRNazanin" w:eastAsia="IRNazanin" w:cs="IRNazanin"/>
          <w:lang w:bidi="fa-IR"/>
          <w:color w:val="111111"/>
          <w:sz w:val="28"/>
          <w:szCs w:val="28"/>
          <w:rtl/>
        </w:rPr>
        <w:t xml:space="preserve">نسخه اصل: همان نسخه اصل بالا [فیلمها ف: ۲-۱۹۶] ۱۲</w:t>
      </w:r>
    </w:p>
    <w:p>
      <w:pPr>
        <w:pStyle w:val="BookText"/>
      </w:pPr>
      <w:r>
        <w:rPr>
          <w:rFonts w:ascii="IRNazanin" w:hAnsi="IRNazanin" w:eastAsia="IRNazanin" w:cs="IRNazanin"/>
          <w:lang w:bidi="fa-IR"/>
          <w:color w:val="111111"/>
          <w:sz w:val="28"/>
          <w:szCs w:val="28"/>
          <w:rtl/>
        </w:rPr>
        <w:t xml:space="preserve">. تهران، دانشگاه؛ شماره نسخه: عکس ۳۹۵۶ و ۳۹۵۷ و ۳۹۵۸ و ۳۹۵۹</w:t>
      </w:r>
    </w:p>
    <w:p>
      <w:pPr>
        <w:pStyle w:val="BookText"/>
      </w:pPr>
      <w:r>
        <w:rPr>
          <w:rFonts w:ascii="IRNazanin" w:hAnsi="IRNazanin" w:eastAsia="IRNazanin" w:cs="IRNazanin"/>
          <w:lang w:bidi="fa-IR"/>
          <w:color w:val="111111"/>
          <w:sz w:val="28"/>
          <w:szCs w:val="28"/>
          <w:rtl/>
        </w:rPr>
        <w:t xml:space="preserve">نسخه اصل: موزه مولانا در قونیه ۱۷. جلد ۱؛ بی کا، بی تا؛ ۳۸۷گ [فیلمها ف: ۳-۲۲۹]</w:t>
      </w:r>
    </w:p>
    <w:p>
      <w:pPr>
        <w:pStyle w:val="Heading3"/>
      </w:pPr>
      <w:bookmarkStart w:id="801" w:name="_Toc61"/>
      <w:r>
        <w:t>• بصابص اليدين في شرح خصائص الحسين عليه السلام / تاریخ معصومین / فارسی</w:t>
      </w:r>
      <w:bookmarkEnd w:id="801"/>
    </w:p>
    <w:p>
      <w:pPr>
        <w:pStyle w:val="BookText"/>
      </w:pPr>
      <w:r>
        <w:rPr>
          <w:rFonts w:ascii="Times New Roman" w:hAnsi="Times New Roman" w:eastAsia="Times New Roman" w:cs="Times New Roman"/>
          <w:lang w:val="en-US" w:bidi="en-US"/>
          <w:color w:val="111111"/>
          <w:sz w:val="28"/>
          <w:szCs w:val="28"/>
          <w:rtl/>
        </w:rPr>
        <w:t xml:space="preserve">basābes-ol yadayn fī š-e xasā'es-el hosayn ‘alay-hes salām</w:t>
      </w:r>
    </w:p>
    <w:p>
      <w:pPr>
        <w:pStyle w:val="BookText"/>
      </w:pPr>
      <w:r>
        <w:rPr>
          <w:rFonts w:ascii="IRNazanin" w:hAnsi="IRNazanin" w:eastAsia="IRNazanin" w:cs="IRNazanin"/>
          <w:lang w:bidi="fa-IR"/>
          <w:color w:val="111111"/>
          <w:sz w:val="28"/>
          <w:szCs w:val="28"/>
          <w:rtl/>
        </w:rPr>
        <w:t xml:space="preserve">یزدی، احمد بن حسن، - ۱۳۱۰ ؟ قمری</w:t>
      </w:r>
    </w:p>
    <w:p>
      <w:pPr>
        <w:pStyle w:val="BookText"/>
      </w:pPr>
      <w:r>
        <w:rPr>
          <w:rFonts w:ascii="Times New Roman" w:hAnsi="Times New Roman" w:eastAsia="Times New Roman" w:cs="Times New Roman"/>
          <w:lang w:val="en-US" w:bidi="en-US"/>
          <w:color w:val="111111"/>
          <w:sz w:val="28"/>
          <w:szCs w:val="28"/>
          <w:rtl/>
        </w:rPr>
        <w:t xml:space="preserve">yazdī, ahmad ebn-e hasan (- 1893)</w:t>
      </w:r>
    </w:p>
    <w:p>
      <w:pPr>
        <w:pStyle w:val="BookText"/>
      </w:pPr>
      <w:r>
        <w:rPr>
          <w:rFonts w:ascii="IRNazanin" w:hAnsi="IRNazanin" w:eastAsia="IRNazanin" w:cs="IRNazanin"/>
          <w:lang w:bidi="fa-IR"/>
          <w:color w:val="111111"/>
          <w:sz w:val="28"/>
          <w:szCs w:val="28"/>
          <w:rtl/>
        </w:rPr>
        <w:t xml:space="preserve">وابسته به: الخصائص الحسينية = خصائص الحسين عليه السلام و مزايا المظلوم؛ شوشتری، جعفر بن حسين (۱۲۳۰-۱۳۰۲۳)</w:t>
      </w:r>
    </w:p>
    <w:p>
      <w:pPr>
        <w:pStyle w:val="BookText"/>
      </w:pPr>
      <w:r>
        <w:rPr>
          <w:rFonts w:ascii="IRNazanin" w:hAnsi="IRNazanin" w:eastAsia="IRNazanin" w:cs="IRNazanin"/>
          <w:lang w:bidi="fa-IR"/>
          <w:color w:val="111111"/>
          <w:sz w:val="28"/>
          <w:szCs w:val="28"/>
          <w:rtl/>
        </w:rPr>
        <w:t xml:space="preserve">شرحی است از احمد بن حسن یزدی واعظ زنده به سال ۱۲۸۸ق در سن ۶۰ سالگی ساکن مشهد مقدس رضوی بر کتاب خصائص الحسين (علیه السلام)» تألیف شیخ جعفر شوشتری (۱۳۰۳ق).</w:t>
      </w:r>
    </w:p>
    <w:p>
      <w:pPr>
        <w:pStyle w:val="BookText"/>
      </w:pPr>
      <w:r>
        <w:rPr>
          <w:rFonts w:ascii="IRNazanin" w:hAnsi="IRNazanin" w:eastAsia="IRNazanin" w:cs="IRNazanin"/>
          <w:lang w:bidi="fa-IR"/>
          <w:color w:val="111111"/>
          <w:sz w:val="28"/>
          <w:szCs w:val="28"/>
          <w:rtl/>
        </w:rPr>
        <w:t xml:space="preserve">مشهد؛ نواب؛ شماره نسخه: ۶۴۰</w:t>
      </w:r>
    </w:p>
    <w:p>
      <w:pPr>
        <w:pStyle w:val="BookText"/>
      </w:pPr>
      <w:r>
        <w:rPr>
          <w:rFonts w:ascii="IRNazanin" w:hAnsi="IRNazanin" w:eastAsia="IRNazanin" w:cs="IRNazanin"/>
          <w:lang w:bidi="fa-IR"/>
          <w:color w:val="111111"/>
          <w:sz w:val="28"/>
          <w:szCs w:val="28"/>
          <w:rtl/>
        </w:rPr>
        <w:t xml:space="preserve">آغاز: بسمله نسالك اللهم بحق الحسین و اخيه و جده و ابیه ... اما بعد چنین گوید؛ انجام: پس اذیت آنجناب اعظم است از اذیت جميع انبیاء زیرا که همه از شعاع و قطره از بحار نور او هستند.</w:t>
      </w:r>
    </w:p>
    <w:p>
      <w:pPr>
        <w:pStyle w:val="BookText"/>
      </w:pPr>
      <w:r>
        <w:rPr>
          <w:rFonts w:ascii="IRNazanin" w:hAnsi="IRNazanin" w:eastAsia="IRNazanin" w:cs="IRNazanin"/>
          <w:lang w:bidi="fa-IR"/>
          <w:color w:val="111111"/>
          <w:sz w:val="28"/>
          <w:szCs w:val="28"/>
          <w:rtl/>
        </w:rPr>
        <w:t xml:space="preserve">خط: نسخ، بی کا، تا: قرن ۱۴؛ افتادگی: انجام؛ کاغذ: صیقلی، جلد: تیماج قهوه ای، ۲۲۰گ، ۲۸ سطر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۲۵/۵)،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۵۱۳]</w:t>
      </w:r>
    </w:p>
    <w:p>
      <w:pPr>
        <w:pStyle w:val="Heading3"/>
      </w:pPr>
      <w:bookmarkStart w:id="802" w:name="_Toc62"/>
      <w:r>
        <w:t>• البصروية / صرف عربی</w:t>
      </w:r>
      <w:bookmarkEnd w:id="802"/>
    </w:p>
    <w:p>
      <w:pPr>
        <w:pStyle w:val="BookText"/>
      </w:pPr>
      <w:r>
        <w:rPr>
          <w:rFonts w:ascii="Times New Roman" w:hAnsi="Times New Roman" w:eastAsia="Times New Roman" w:cs="Times New Roman"/>
          <w:lang w:val="en-US" w:bidi="en-US"/>
          <w:color w:val="111111"/>
          <w:sz w:val="28"/>
          <w:szCs w:val="28"/>
          <w:rtl/>
        </w:rPr>
        <w:t xml:space="preserve">al-başrawīyya</w:t>
      </w:r>
    </w:p>
    <w:p>
      <w:pPr>
        <w:pStyle w:val="BookText"/>
      </w:pPr>
      <w:r>
        <w:rPr>
          <w:rFonts w:ascii="IRNazanin" w:hAnsi="IRNazanin" w:eastAsia="IRNazanin" w:cs="IRNazanin"/>
          <w:lang w:bidi="fa-IR"/>
          <w:color w:val="111111"/>
          <w:sz w:val="28"/>
          <w:szCs w:val="28"/>
          <w:rtl/>
        </w:rPr>
        <w:t xml:space="preserve">مشتمل بر مباحث علم صرف مانند مجرد و مزید، اعلال و ابدال، جامد و مشتق و ابواب افعال الخ.</w:t>
      </w:r>
    </w:p>
    <w:p>
      <w:pPr>
        <w:pStyle w:val="BookText"/>
      </w:pPr>
      <w:r>
        <w:rPr>
          <w:rFonts w:ascii="IRNazanin" w:hAnsi="IRNazanin" w:eastAsia="IRNazanin" w:cs="IRNazanin"/>
          <w:lang w:bidi="fa-IR"/>
          <w:color w:val="111111"/>
          <w:sz w:val="28"/>
          <w:szCs w:val="28"/>
          <w:rtl/>
        </w:rPr>
        <w:t xml:space="preserve">تهران؛ ملی؛ شماره نسخه: ۳۴۰۵/۱</w:t>
      </w:r>
    </w:p>
    <w:p>
      <w:pPr>
        <w:pStyle w:val="BookText"/>
      </w:pPr>
      <w:r>
        <w:rPr>
          <w:rFonts w:ascii="Amiri" w:hAnsi="Amiri" w:eastAsia="Amiri" w:cs="Amiri"/>
          <w:lang w:bidi="ar-SA"/>
          <w:color w:val="111111"/>
          <w:sz w:val="28"/>
          <w:szCs w:val="28"/>
          <w:rtl/>
        </w:rPr>
        <w:t xml:space="preserve">آغاز: بسمله، اعلم ان كلمات العرب لا تخلو عن ثلاثة أقسام؛ انجام: اقشعرر لا تقشعرر مقشعرر و مقشعرر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8" w:name="pg20363_209178"/>
    <w:bookmarkEnd w:id="28"/>
    <w:p>
      <w:pPr>
        <w:pStyle w:val="BookText"/>
      </w:pPr>
      <w:r>
        <w:rPr>
          <w:rFonts w:ascii="IRNazanin" w:hAnsi="IRNazanin" w:eastAsia="IRNazanin" w:cs="IRNazanin"/>
          <w:lang w:bidi="fa-IR"/>
          <w:color w:val="111111"/>
          <w:sz w:val="28"/>
          <w:szCs w:val="28"/>
          <w:rtl/>
        </w:rPr>
        <w:t xml:space="preserve">خط: نسخ، بی کا، بی تا؛ محشی با امضای «۱۲»؛ کاغذ: فرنگی شکری، جلد: تیماج زرشکی تیره مقوایی ضربی جداول و منگنه، عطف تیماج قهوه ای، ۱۷۷گ، ۷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 [ف: ۱۵-۲۱۱]</w:t>
      </w:r>
    </w:p>
    <w:p>
      <w:pPr>
        <w:pStyle w:val="Heading3"/>
      </w:pPr>
      <w:bookmarkStart w:id="803" w:name="_Toc63"/>
      <w:r>
        <w:t>• بصريه / صرف و نحو/ عربی</w:t>
      </w:r>
      <w:bookmarkEnd w:id="803"/>
    </w:p>
    <w:p>
      <w:pPr>
        <w:pStyle w:val="BookText"/>
      </w:pPr>
      <w:r>
        <w:rPr>
          <w:rFonts w:ascii="Times New Roman" w:hAnsi="Times New Roman" w:eastAsia="Times New Roman" w:cs="Times New Roman"/>
          <w:lang w:val="en-US" w:bidi="en-US"/>
          <w:color w:val="111111"/>
          <w:sz w:val="28"/>
          <w:szCs w:val="28"/>
          <w:rtl/>
        </w:rPr>
        <w:t xml:space="preserve">başrīyya</w:t>
      </w:r>
    </w:p>
    <w:p>
      <w:pPr>
        <w:pStyle w:val="BookText"/>
      </w:pPr>
      <w:r>
        <w:rPr>
          <w:rFonts w:ascii="IRNazanin" w:hAnsi="IRNazanin" w:eastAsia="IRNazanin" w:cs="IRNazanin"/>
          <w:lang w:bidi="fa-IR"/>
          <w:color w:val="111111"/>
          <w:sz w:val="28"/>
          <w:szCs w:val="28"/>
          <w:rtl/>
        </w:rPr>
        <w:t xml:space="preserve">مشهد؛ رضوی؛ شماره نسخه: ۲۳۶۴۷</w:t>
      </w:r>
    </w:p>
    <w:p>
      <w:pPr>
        <w:pStyle w:val="BookText"/>
      </w:pPr>
      <w:r>
        <w:rPr>
          <w:rFonts w:ascii="IRNazanin" w:hAnsi="IRNazanin" w:eastAsia="IRNazanin" w:cs="IRNazanin"/>
          <w:lang w:bidi="fa-IR"/>
          <w:color w:val="111111"/>
          <w:sz w:val="28"/>
          <w:szCs w:val="28"/>
          <w:rtl/>
        </w:rPr>
        <w:t xml:space="preserve">آغاز: هذا كتاب البريته في علم البصريته بسم الله الرحمن الرحیم؛ انجام: خط حقیر فقیر سر تا پا گناه حسين على شفيع على بيک خط: نسخ، كا: حسین بن على شفيع بیک، تا: ۱۲۵۶ق؛ کاغذ: نخودی، ۱۴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[رایانه ]</w:t>
      </w:r>
    </w:p>
    <w:p>
      <w:pPr>
        <w:pStyle w:val="Heading3"/>
      </w:pPr>
      <w:bookmarkStart w:id="804" w:name="_Toc64"/>
      <w:r>
        <w:t>•بصیرت نامه = عبرت نامه = نصرت نامه / سفرنامه/ فارسی</w:t>
      </w:r>
      <w:bookmarkEnd w:id="804"/>
    </w:p>
    <w:p>
      <w:pPr>
        <w:pStyle w:val="BookText"/>
      </w:pPr>
      <w:r>
        <w:rPr>
          <w:rFonts w:ascii="Times New Roman" w:hAnsi="Times New Roman" w:eastAsia="Times New Roman" w:cs="Times New Roman"/>
          <w:lang w:val="en-US" w:bidi="en-US"/>
          <w:color w:val="111111"/>
          <w:sz w:val="28"/>
          <w:szCs w:val="28"/>
          <w:rtl/>
        </w:rPr>
        <w:t xml:space="preserve">basīrat-nāme = ‘ebrat-nāme = nosrat-nāme</w:t>
      </w:r>
    </w:p>
    <w:p>
      <w:pPr>
        <w:pStyle w:val="BookText"/>
      </w:pPr>
      <w:r>
        <w:rPr>
          <w:rFonts w:ascii="IRNazanin" w:hAnsi="IRNazanin" w:eastAsia="IRNazanin" w:cs="IRNazanin"/>
          <w:lang w:bidi="fa-IR"/>
          <w:color w:val="111111"/>
          <w:sz w:val="28"/>
          <w:szCs w:val="28"/>
          <w:rtl/>
        </w:rPr>
        <w:t xml:space="preserve">مفتون دنبلی، عبدالرزاق بن نجفقلی، ۱۱۷۶-۱۲۴۳ قمری</w:t>
      </w:r>
    </w:p>
    <w:p>
      <w:pPr>
        <w:pStyle w:val="BookText"/>
      </w:pPr>
      <w:r>
        <w:rPr>
          <w:rFonts w:ascii="Times New Roman" w:hAnsi="Times New Roman" w:eastAsia="Times New Roman" w:cs="Times New Roman"/>
          <w:lang w:val="en-US" w:bidi="en-US"/>
          <w:color w:val="111111"/>
          <w:sz w:val="28"/>
          <w:szCs w:val="28"/>
          <w:rtl/>
        </w:rPr>
        <w:t xml:space="preserve">maftūn-e donbalī, ‘abd-or-razzāq ebn-e najaf-qolī (1763-1828)</w:t>
      </w:r>
    </w:p>
    <w:p>
      <w:pPr>
        <w:pStyle w:val="BookText"/>
      </w:pPr>
      <w:r>
        <w:rPr>
          <w:rFonts w:ascii="IRNazanin" w:hAnsi="IRNazanin" w:eastAsia="IRNazanin" w:cs="IRNazanin"/>
          <w:lang w:bidi="fa-IR"/>
          <w:color w:val="111111"/>
          <w:sz w:val="28"/>
          <w:szCs w:val="28"/>
          <w:rtl/>
        </w:rPr>
        <w:t xml:space="preserve">اهدا به: عباس میرزای نایب السلطنه.</w:t>
      </w:r>
    </w:p>
    <w:p>
      <w:pPr>
        <w:pStyle w:val="BookText"/>
      </w:pPr>
      <w:r>
        <w:rPr>
          <w:rFonts w:ascii="IRNazanin" w:hAnsi="IRNazanin" w:eastAsia="IRNazanin" w:cs="IRNazanin"/>
          <w:lang w:bidi="fa-IR"/>
          <w:color w:val="111111"/>
          <w:sz w:val="28"/>
          <w:szCs w:val="28"/>
          <w:rtl/>
        </w:rPr>
        <w:t xml:space="preserve">ترجمه ای است از کار کشیش و جهانگرد لهستانی به نام کروسینسکی که ۲۶ سال در اصفهان زیسته و گزارش</w:t>
      </w:r>
    </w:p>
    <w:p>
      <w:pPr>
        <w:pStyle w:val="BookText"/>
      </w:pPr>
      <w:r>
        <w:rPr>
          <w:rFonts w:ascii="IRNazanin" w:hAnsi="IRNazanin" w:eastAsia="IRNazanin" w:cs="IRNazanin"/>
          <w:lang w:bidi="fa-IR"/>
          <w:color w:val="111111"/>
          <w:sz w:val="28"/>
          <w:szCs w:val="28"/>
          <w:rtl/>
        </w:rPr>
        <w:t xml:space="preserve">چیرگی افغانان و انجام کار سلطان حسین (۱۱۳۵ ق) را به زبان لاتین نوشته است. سپس ابراهیم نامی از درباریان عثمانی آن را به ترکی در آورده که به نام تاریخ سیاح، در بیان ظهور افغانیان و سبب انهدام صفویان، چاپ شده است. مترجم فارسی در دیباچه می افزاید: نسخه ای از تحریر ترکی آن از نظر ولیعهد ایران گذشته و به دستور او به فارسی در آمده است. نخست تاریخ کوتاهی از صفویان است، آن گاه شرح طوایف افغان، چیرگی افغانان، فرمانروایی اشرف، فرستادن محمد خان بلوچ به ایلچی گری به روم (به نوشته مؤلف، وی نیز همراه او روانه اسلامبول شده است). (احمد منزوی)</w:t>
      </w:r>
    </w:p>
    <w:p>
      <w:pPr>
        <w:pStyle w:val="BookText"/>
      </w:pPr>
      <w:r>
        <w:rPr>
          <w:rFonts w:ascii="IRNazanin" w:hAnsi="IRNazanin" w:eastAsia="IRNazanin" w:cs="IRNazanin"/>
          <w:lang w:bidi="fa-IR"/>
          <w:color w:val="111111"/>
          <w:sz w:val="28"/>
          <w:szCs w:val="28"/>
          <w:rtl/>
        </w:rPr>
        <w:t xml:space="preserve">آغاز: 1: حمد و سپاس بیرون از ادراک و قیاس سزای ذات مقدس</w:t>
      </w:r>
    </w:p>
    <w:p>
      <w:pPr>
        <w:pStyle w:val="BookText"/>
      </w:pPr>
      <w:r>
        <w:rPr>
          <w:rFonts w:ascii="IRNazanin" w:hAnsi="IRNazanin" w:eastAsia="IRNazanin" w:cs="IRNazanin"/>
          <w:lang w:bidi="fa-IR"/>
          <w:color w:val="111111"/>
          <w:sz w:val="28"/>
          <w:szCs w:val="28"/>
          <w:rtl/>
        </w:rPr>
        <w:t xml:space="preserve">۲: در زمان سلطان حسین صفوی شخص سیاحی از ملت مسيحيه در عالم سیاحت به اصفهان آمده است</w:t>
      </w:r>
    </w:p>
    <w:p>
      <w:pPr>
        <w:pStyle w:val="BookText"/>
      </w:pPr>
      <w:r>
        <w:rPr>
          <w:rFonts w:ascii="IRNazanin" w:hAnsi="IRNazanin" w:eastAsia="IRNazanin" w:cs="IRNazanin"/>
          <w:lang w:bidi="fa-IR"/>
          <w:color w:val="111111"/>
          <w:sz w:val="28"/>
          <w:szCs w:val="28"/>
          <w:rtl/>
        </w:rPr>
        <w:t xml:space="preserve">انجام: سیاح گوید که چون من از سیاحت بسیار و تحمل غربت بی شمار دلگیر شده بودم وقتیکه اشرف محمود خان بلوج را به ایلچی گری بروم فرستاد بموافقت او روانه اسلامبول شدم</w:t>
      </w:r>
    </w:p>
    <w:p>
      <w:pPr>
        <w:pStyle w:val="BookText"/>
      </w:pPr>
      <w:r>
        <w:rPr>
          <w:rFonts w:ascii="IRNazanin" w:hAnsi="IRNazanin" w:eastAsia="IRNazanin" w:cs="IRNazanin"/>
          <w:lang w:bidi="fa-IR"/>
          <w:color w:val="111111"/>
          <w:sz w:val="28"/>
          <w:szCs w:val="28"/>
          <w:rtl/>
        </w:rPr>
        <w:t xml:space="preserve">چاپ: با مقدمه محمد اسماعیل رضوانی، بررسیهای تاریخی، ۸ (۱۳۵۲) ش ۴: ۲۴۷-۳۱۸ و ش ۵: ۷۱-۱۲۷؛ این کتاب نخستین بار در منتظم ناصری (ج ۲ ص ۲۴۰-۲۷۹) به طبع رسیده و بار دوم نسخه مرحوم بیات با نسخه دیگری که در کتابخانه ملی ملک موجود است و نسخه های محمد علی نجاتی بوسیله گلچین معانی مقابله و تصحیح شده و به تدریج در مجله سپاهان چاپ شده است.</w:t>
      </w:r>
    </w:p>
    <w:p>
      <w:pPr>
        <w:pStyle w:val="BookText"/>
      </w:pPr>
      <w:r>
        <w:rPr>
          <w:rFonts w:ascii="IRNazanin" w:hAnsi="IRNazanin" w:eastAsia="IRNazanin" w:cs="IRNazanin"/>
          <w:lang w:bidi="fa-IR"/>
          <w:color w:val="111111"/>
          <w:sz w:val="28"/>
          <w:szCs w:val="28"/>
          <w:rtl/>
        </w:rPr>
        <w:t xml:space="preserve">[ الذریعه ۱۰۸۳/۹ و ۲۱۳/۱۵ ؛ فهرست مشترک پاکستان، اسلام آباد ۱۲۱۲/۱۱ ؛ نسخه های منزوی ۴۰۴۴/۶ ؛ مشار فارسی ۳۴۹/۳ ]</w:t>
      </w:r>
    </w:p>
    <w:p>
      <w:pPr>
        <w:pStyle w:val="BookText"/>
      </w:pPr>
      <w:r>
        <w:rPr>
          <w:rFonts w:ascii="IRNazanin" w:hAnsi="IRNazanin" w:eastAsia="IRNazanin" w:cs="IRNazanin"/>
          <w:lang w:bidi="fa-IR"/>
          <w:color w:val="111111"/>
          <w:sz w:val="28"/>
          <w:szCs w:val="28"/>
          <w:rtl/>
        </w:rPr>
        <w:t xml:space="preserve">۱. تهران؛ ملی؛ شماره نسخه: ۳۶۲/۲</w:t>
      </w:r>
    </w:p>
    <w:p>
      <w:pPr>
        <w:pStyle w:val="BookText"/>
      </w:pPr>
      <w:r>
        <w:rPr>
          <w:rFonts w:ascii="IRNazanin" w:hAnsi="IRNazanin" w:eastAsia="IRNazanin" w:cs="IRNazanin"/>
          <w:lang w:bidi="fa-IR"/>
          <w:color w:val="111111"/>
          <w:sz w:val="28"/>
          <w:szCs w:val="28"/>
          <w:rtl/>
        </w:rPr>
        <w:t xml:space="preserve">آغاز: در زمان دولت شاه سلطان حسین صفوی موسوی سیاحی از ارامنه در اوقات سیاحت و صرف همت انجام: و تفنگچیان توپخانه را با توپخانه صاعقه بار محیط آن دریای خونخوار ساخت حکم محکم نافذ شد که از حملات کوه شکوه افغان بستوه نیایند و از جای حرکت نکنند</w:t>
      </w:r>
    </w:p>
    <w:p>
      <w:pPr>
        <w:pStyle w:val="BookText"/>
      </w:pPr>
      <w:r>
        <w:rPr>
          <w:rFonts w:ascii="IRNazanin" w:hAnsi="IRNazanin" w:eastAsia="IRNazanin" w:cs="IRNazanin"/>
          <w:lang w:bidi="fa-IR"/>
          <w:color w:val="111111"/>
          <w:sz w:val="28"/>
          <w:szCs w:val="28"/>
          <w:rtl/>
        </w:rPr>
        <w:t xml:space="preserve">این رساله قسمتی از ترجمه عبرت نامه است. آنچه در اینجاست قلم اول ترجمه است زیرا در مقایسه آن با عبرت نامه موجود اختلاف فراوان در عبارات دیده می شود؛ خط: شکسته نستعلیق، كا: محتملا عبدالرزاق دنبلی، تا: قرن ۱۳، جا: شاید تبریز؛ کاغذ: ترمه، جلد: تیماج مشکی یک لا، ۳۹ص (۱۸۵-۲۲۳)، ۲۹ سطر کامل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۱۵/۵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۱- ۳۵۱)</w:t>
      </w:r>
    </w:p>
    <w:p>
      <w:pPr>
        <w:pStyle w:val="BookText"/>
      </w:pPr>
      <w:r>
        <w:rPr>
          <w:rFonts w:ascii="IRNazanin" w:hAnsi="IRNazanin" w:eastAsia="IRNazanin" w:cs="IRNazanin"/>
          <w:lang w:bidi="fa-IR"/>
          <w:color w:val="111111"/>
          <w:sz w:val="28"/>
          <w:szCs w:val="28"/>
          <w:rtl/>
        </w:rPr>
        <w:t xml:space="preserve">۲. تهران؛ ملک؛ شماره نسخه: ۳۷۱۶</w:t>
      </w:r>
    </w:p>
    <w:p>
      <w:pPr>
        <w:pStyle w:val="BookText"/>
      </w:pPr>
      <w:r>
        <w:rPr>
          <w:rFonts w:ascii="IRNazanin" w:hAnsi="IRNazanin" w:eastAsia="IRNazanin" w:cs="IRNazanin"/>
          <w:lang w:bidi="fa-IR"/>
          <w:color w:val="111111"/>
          <w:sz w:val="28"/>
          <w:szCs w:val="28"/>
          <w:rtl/>
        </w:rPr>
        <w:t xml:space="preserve">خط: نستعلیق، بی کا، تا: قرن ۱۳؛ کاغذ: فرنگی، جلد: میشن سیاه لایی، ۷۹گ، ۱۲ سطر، اندازه: ۱۹/۸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۱۳/۹</w:t>
      </w:r>
    </w:p>
    <w:p>
      <w:pPr>
        <w:pStyle w:val="BookText"/>
      </w:pPr>
      <w:r>
        <w:rPr>
          <w:rFonts w:ascii="IRNazanin" w:hAnsi="IRNazanin" w:eastAsia="IRNazanin" w:cs="IRNazanin"/>
          <w:lang w:bidi="fa-IR"/>
          <w:color w:val="111111"/>
          <w:sz w:val="28"/>
          <w:szCs w:val="28"/>
          <w:rtl/>
        </w:rPr>
        <w:t xml:space="preserve">سم [ف: ۳-۵۵۵]</w:t>
      </w:r>
    </w:p>
    <w:p>
      <w:pPr>
        <w:pStyle w:val="BookText"/>
      </w:pPr>
      <w:r>
        <w:rPr>
          <w:rFonts w:ascii="IRNazanin" w:hAnsi="IRNazanin" w:eastAsia="IRNazanin" w:cs="IRNazanin"/>
          <w:lang w:bidi="fa-IR"/>
          <w:color w:val="111111"/>
          <w:sz w:val="28"/>
          <w:szCs w:val="28"/>
          <w:rtl/>
        </w:rPr>
        <w:t xml:space="preserve">٣. تهران؛ سپهسالار، شماره نسخه: ۱۵۱۶</w:t>
      </w:r>
    </w:p>
    <w:p>
      <w:pPr>
        <w:pStyle w:val="BookText"/>
      </w:pPr>
      <w:r>
        <w:rPr>
          <w:rFonts w:ascii="IRNazanin" w:hAnsi="IRNazanin" w:eastAsia="IRNazanin" w:cs="IRNazanin"/>
          <w:lang w:bidi="fa-IR"/>
          <w:color w:val="111111"/>
          <w:sz w:val="28"/>
          <w:szCs w:val="28"/>
          <w:rtl/>
        </w:rPr>
        <w:t xml:space="preserve">آغاز: برابر ۲؛ انجام: برابر خط: نسخ، بی کا، تا: قرن ۱۳؛ تملك: اعتضاد السلطنه ۱۲۸۳ ق واقف: سپهسالار، ۱۲۹۷ ق؛ کاغذ: فرنگی نخودی آهار مهره، جلد: تیماج سبز تیره ضربی یک لا، ۴۵گ، ۱۸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۳-۴۱۹]</w:t>
      </w:r>
    </w:p>
    <w:p>
      <w:pPr>
        <w:pStyle w:val="BookText"/>
      </w:pPr>
      <w:r>
        <w:rPr>
          <w:rFonts w:ascii="IRNazanin" w:hAnsi="IRNazanin" w:eastAsia="IRNazanin" w:cs="IRNazanin"/>
          <w:lang w:bidi="fa-IR"/>
          <w:color w:val="111111"/>
          <w:sz w:val="28"/>
          <w:szCs w:val="28"/>
          <w:rtl/>
        </w:rPr>
        <w:t xml:space="preserve">۴. تهران؛ ملی؛ شماره نسخه: ۳۵۵</w:t>
      </w:r>
    </w:p>
    <w:p>
      <w:pPr>
        <w:pStyle w:val="BookText"/>
      </w:pPr>
      <w:r>
        <w:rPr>
          <w:rFonts w:ascii="IRNazanin" w:hAnsi="IRNazanin" w:eastAsia="IRNazanin" w:cs="IRNazanin"/>
          <w:lang w:bidi="fa-IR"/>
          <w:color w:val="111111"/>
          <w:sz w:val="28"/>
          <w:szCs w:val="28"/>
          <w:rtl/>
        </w:rPr>
        <w:t xml:space="preserve">آغاز: برابر ۲؛ انجام: برابر</w:t>
      </w:r>
    </w:p>
    <w:p>
      <w:pPr>
        <w:pStyle w:val="BookText"/>
      </w:pPr>
      <w:r>
        <w:rPr>
          <w:rFonts w:ascii="IRNazanin" w:hAnsi="IRNazanin" w:eastAsia="IRNazanin" w:cs="IRNazanin"/>
          <w:lang w:bidi="fa-IR"/>
          <w:color w:val="111111"/>
          <w:sz w:val="28"/>
          <w:szCs w:val="28"/>
          <w:rtl/>
        </w:rPr>
        <w:t xml:space="preserve">خط: شکسته نستعلیق خوش، بی کا، تا: قرن ۱۳، جا: تهران؛ کاغذ: فرنگی، جلد: تیماج قرمز مقوایی، ۲۸گی، ۱۸ سطر کامل (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۱-۳۴۵]</w:t>
      </w:r>
    </w:p>
    <w:p>
      <w:pPr>
        <w:pStyle w:val="BookText"/>
      </w:pPr>
      <w:r>
        <w:rPr>
          <w:rFonts w:ascii="Amiri" w:hAnsi="Amiri" w:eastAsia="Amiri" w:cs="Amiri"/>
          <w:lang w:bidi="ar-SA"/>
          <w:color w:val="111111"/>
          <w:sz w:val="28"/>
          <w:szCs w:val="28"/>
          <w:rtl/>
        </w:rPr>
        <w:t xml:space="preserve">۵. تهران؛ دائرة المعارف؛ شماره نسخه: ۴۶۰</w:t>
      </w:r>
    </w:p>
    <w:p>
      <w:pPr>
        <w:pStyle w:val="BookText"/>
      </w:pPr>
      <w:r>
        <w:rPr>
          <w:rFonts w:ascii="IRNazanin" w:hAnsi="IRNazanin" w:eastAsia="IRNazanin" w:cs="IRNazanin"/>
          <w:lang w:bidi="fa-IR"/>
          <w:color w:val="111111"/>
          <w:sz w:val="28"/>
          <w:szCs w:val="28"/>
          <w:rtl/>
        </w:rPr>
        <w:t xml:space="preserve">آغاز: برابر ۲؛ انجام: برابر خط: نستعلیق خوش، بی کا، تا: دوشنبه ۲ شوال ۱۲۷۷ق؛ کاغذ: نخودی آهار مهره، جلد: تیماج زیتونی یک لا مجدول کناره ضربی، ۵۲گ، ۱۴ سطر (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۱-۳۵]</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مجلس؛ شماره نسخه: ۲۳۰۹</w:t>
      </w:r>
    </w:p>
    <w:p>
      <w:pPr>
        <w:pStyle w:val="BookText"/>
      </w:pPr>
      <w:r>
        <w:rPr>
          <w:rFonts w:ascii="IRNazanin" w:hAnsi="IRNazanin" w:eastAsia="IRNazanin" w:cs="IRNazanin"/>
          <w:lang w:bidi="fa-IR"/>
          <w:color w:val="111111"/>
          <w:sz w:val="28"/>
          <w:szCs w:val="28"/>
          <w:rtl/>
        </w:rPr>
        <w:t xml:space="preserve">آغاز: برابر؛ انجام: برابر</w:t>
      </w:r>
    </w:p>
    <w:p>
      <w:pPr>
        <w:pStyle w:val="BookText"/>
      </w:pPr>
      <w:r>
        <w:rPr>
          <w:rFonts w:ascii="IRNazanin" w:hAnsi="IRNazanin" w:eastAsia="IRNazanin" w:cs="IRNazanin"/>
          <w:lang w:bidi="fa-IR"/>
          <w:color w:val="111111"/>
          <w:sz w:val="28"/>
          <w:szCs w:val="28"/>
          <w:rtl/>
        </w:rPr>
        <w:t xml:space="preserve">خط: تحریری زیبا، بی کا، تا: پنج شنبه ۱۵ جمادی الاول ۱۲۷۷ق؛ مجدول، مذهب؛ کاغذ: فرنگی آهار مهره دار شکری، جلد: میشن زرد ضربی بی مقوا، ۱۳۷ص، ۱۲ سطر، اندازه: 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۱۸/۵ سم [ف: ۲۶۵-۶ ]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9" w:name="pg20363_209179"/>
    <w:bookmarkEnd w:id="29"/>
    <w:p>
      <w:pPr>
        <w:pStyle w:val="BookText"/>
      </w:pPr>
      <w:r>
        <w:rPr>
          <w:rFonts w:ascii="IRNazanin" w:hAnsi="IRNazanin" w:eastAsia="IRNazanin" w:cs="IRNazanin"/>
          <w:lang w:bidi="fa-IR"/>
          <w:color w:val="111111"/>
          <w:sz w:val="28"/>
          <w:szCs w:val="28"/>
          <w:rtl/>
        </w:rPr>
        <w:t xml:space="preserve">۷. اراک؛ دهگان؛ شماره نسخه: ۳۰۵</w:t>
      </w:r>
    </w:p>
    <w:p>
      <w:pPr>
        <w:pStyle w:val="BookText"/>
      </w:pPr>
      <w:r>
        <w:rPr>
          <w:rFonts w:ascii="IRNazanin" w:hAnsi="IRNazanin" w:eastAsia="IRNazanin" w:cs="IRNazanin"/>
          <w:lang w:bidi="fa-IR"/>
          <w:color w:val="111111"/>
          <w:sz w:val="28"/>
          <w:szCs w:val="28"/>
          <w:rtl/>
        </w:rPr>
        <w:t xml:space="preserve">خط: نستعلیق تحریری، كا: محمد حسن قاجار، تا: دوشنبه ۲۰ ذیحجه ۱۲۷۹ق؛ یادداشت محمد حسين القمی در معرفی کتاب و نشان مهر «کتابخانه علميه الاسلامیه میرزا محمد حسین قم صحن» (بیضی)؛ از کتاب های مرحوم ابراهیم دهگان؛ کاغذ: خط دار، جلد: چرم قهوه ای روشن، ۶۴ گ، ۱۳ سطر، قطع: خشتی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۲-۴۰۰]</w:t>
      </w:r>
    </w:p>
    <w:p>
      <w:pPr>
        <w:pStyle w:val="BookText"/>
      </w:pPr>
      <w:r>
        <w:rPr>
          <w:rFonts w:ascii="IRNazanin" w:hAnsi="IRNazanin" w:eastAsia="IRNazanin" w:cs="IRNazanin"/>
          <w:lang w:bidi="fa-IR"/>
          <w:color w:val="111111"/>
          <w:sz w:val="28"/>
          <w:szCs w:val="28"/>
          <w:rtl/>
        </w:rPr>
        <w:t xml:space="preserve">۸. تهران؛ ملک؛ شماره نسخه: ۳۸۰۷</w:t>
      </w:r>
    </w:p>
    <w:p>
      <w:pPr>
        <w:pStyle w:val="BookText"/>
      </w:pPr>
      <w:r>
        <w:rPr>
          <w:rFonts w:ascii="IRNazanin" w:hAnsi="IRNazanin" w:eastAsia="IRNazanin" w:cs="IRNazanin"/>
          <w:lang w:bidi="fa-IR"/>
          <w:color w:val="111111"/>
          <w:sz w:val="28"/>
          <w:szCs w:val="28"/>
          <w:rtl/>
        </w:rPr>
        <w:t xml:space="preserve">آغاز: برابر ۲؛ انجام: برابر</w:t>
      </w:r>
    </w:p>
    <w:p>
      <w:pPr>
        <w:pStyle w:val="BookText"/>
      </w:pPr>
      <w:r>
        <w:rPr>
          <w:rFonts w:ascii="IRNazanin" w:hAnsi="IRNazanin" w:eastAsia="IRNazanin" w:cs="IRNazanin"/>
          <w:lang w:bidi="fa-IR"/>
          <w:color w:val="111111"/>
          <w:sz w:val="28"/>
          <w:szCs w:val="28"/>
          <w:rtl/>
        </w:rPr>
        <w:t xml:space="preserve">خط: نستعلیق خوش، كا: عادل شاه میرزا بن جهانشاه قاجار، تا: ۲۶ جمادی الثانی ۱۲۷۹ق، برای محمد حسین میرزا پسر حاجی همایون میرزا؛ مجدول؛ کاغذ: فرنگی آهار مهره آبی، جلد: میشن تریاکی لایی، ۱۳۰ گ، اندازه: ۲۲/۴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۱۴/۴ سم [ف: ۲-۵۷]</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اراک؛ بیات، عبدالحسین، شماره نسخه: ۴۷</w:t>
      </w:r>
    </w:p>
    <w:p>
      <w:pPr>
        <w:pStyle w:val="BookText"/>
      </w:pPr>
      <w:r>
        <w:rPr>
          <w:rFonts w:ascii="IRNazanin" w:hAnsi="IRNazanin" w:eastAsia="IRNazanin" w:cs="IRNazanin"/>
          <w:lang w:bidi="fa-IR"/>
          <w:color w:val="111111"/>
          <w:sz w:val="28"/>
          <w:szCs w:val="28"/>
          <w:rtl/>
        </w:rPr>
        <w:t xml:space="preserve">آغاز: برابر ۲: انجام: برابر خط: نستعلیق، بی کا، تا: ۱۲۸۱ق، کاغذ: شکری فرنگی آهار مهره، جلد: تیماج قهوه ای، ۶۰، ۱۴ سطر، اندازه: ۲۰/۲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۱۲/۴ سم (نشریه: ۶-۸۹)</w:t>
      </w:r>
    </w:p>
    <w:p>
      <w:pPr>
        <w:pStyle w:val="BookText"/>
      </w:pPr>
      <w:r>
        <w:rPr>
          <w:rFonts w:ascii="IRNazanin" w:hAnsi="IRNazanin" w:eastAsia="IRNazanin" w:cs="IRNazanin"/>
          <w:lang w:bidi="fa-IR"/>
          <w:color w:val="111111"/>
          <w:sz w:val="28"/>
          <w:szCs w:val="28"/>
          <w:rtl/>
        </w:rPr>
        <w:t xml:space="preserve">۱۰. تهران: ملک؛ شماره نسخه: ۳۷۴۹</w:t>
      </w:r>
    </w:p>
    <w:p>
      <w:pPr>
        <w:pStyle w:val="BookText"/>
      </w:pPr>
      <w:r>
        <w:rPr>
          <w:rFonts w:ascii="IRNazanin" w:hAnsi="IRNazanin" w:eastAsia="IRNazanin" w:cs="IRNazanin"/>
          <w:lang w:bidi="fa-IR"/>
          <w:color w:val="111111"/>
          <w:sz w:val="28"/>
          <w:szCs w:val="28"/>
          <w:rtl/>
        </w:rPr>
        <w:t xml:space="preserve">خط: شکسته نستعلیق، کا: زین العابدین شیرازی، تا: ۱۴ شعبان ۱۲۸۱ق؛ کاغذ: فرنگی آهار مهره، جلد: میشن سیاه لایی، ۱۱۴ گ، ۱۶ سطر، اندازه: ۱۷/۶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۱۱/۳ سم [ف: ۳-۵۵۵]</w:t>
      </w:r>
    </w:p>
    <w:p>
      <w:pPr>
        <w:pStyle w:val="BookText"/>
      </w:pPr>
      <w:r>
        <w:rPr>
          <w:rFonts w:ascii="IRNazanin" w:hAnsi="IRNazanin" w:eastAsia="IRNazanin" w:cs="IRNazanin"/>
          <w:lang w:bidi="fa-IR"/>
          <w:color w:val="111111"/>
          <w:sz w:val="28"/>
          <w:szCs w:val="28"/>
          <w:rtl/>
        </w:rPr>
        <w:t xml:space="preserve">۱۱. قم؛ مرعشی؛ شماره نسخه: ۸۰۳۰</w:t>
      </w:r>
    </w:p>
    <w:p>
      <w:pPr>
        <w:pStyle w:val="BookText"/>
      </w:pPr>
      <w:r>
        <w:rPr>
          <w:rFonts w:ascii="IRNazanin" w:hAnsi="IRNazanin" w:eastAsia="IRNazanin" w:cs="IRNazanin"/>
          <w:lang w:bidi="fa-IR"/>
          <w:color w:val="111111"/>
          <w:sz w:val="28"/>
          <w:szCs w:val="28"/>
          <w:rtl/>
        </w:rPr>
        <w:t xml:space="preserve">خط: نستعلیق زیبا، بی کا، تا: محرم ۱۲۸۱ق؛ یادداشتی از عبدالحسین بیات آمده؛ در حاشیه سودمند از جلال الدين همائی؛ جلد: تیماج قهوه ای، ۱۴،۶۳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۲۱-۴۰]</w:t>
      </w:r>
    </w:p>
    <w:p>
      <w:pPr>
        <w:pStyle w:val="BookText"/>
      </w:pPr>
      <w:r>
        <w:rPr>
          <w:rFonts w:ascii="IRNazanin" w:hAnsi="IRNazanin" w:eastAsia="IRNazanin" w:cs="IRNazanin"/>
          <w:lang w:bidi="fa-IR"/>
          <w:color w:val="111111"/>
          <w:sz w:val="28"/>
          <w:szCs w:val="28"/>
          <w:rtl/>
        </w:rPr>
        <w:t xml:space="preserve">۱۲. تهران؛ ملی؛ شماره نسخه: ۷۳۱</w:t>
      </w:r>
    </w:p>
    <w:p>
      <w:pPr>
        <w:pStyle w:val="BookText"/>
      </w:pPr>
      <w:r>
        <w:rPr>
          <w:rFonts w:ascii="IRNazanin" w:hAnsi="IRNazanin" w:eastAsia="IRNazanin" w:cs="IRNazanin"/>
          <w:lang w:bidi="fa-IR"/>
          <w:color w:val="111111"/>
          <w:sz w:val="28"/>
          <w:szCs w:val="28"/>
          <w:rtl/>
        </w:rPr>
        <w:t xml:space="preserve">آغاز: برابر ۲؛ انجام: برابر</w:t>
      </w:r>
    </w:p>
    <w:p>
      <w:pPr>
        <w:pStyle w:val="BookText"/>
      </w:pPr>
      <w:r>
        <w:rPr>
          <w:rFonts w:ascii="IRNazanin" w:hAnsi="IRNazanin" w:eastAsia="IRNazanin" w:cs="IRNazanin"/>
          <w:lang w:bidi="fa-IR"/>
          <w:color w:val="111111"/>
          <w:sz w:val="28"/>
          <w:szCs w:val="28"/>
          <w:rtl/>
        </w:rPr>
        <w:t xml:space="preserve">خط: نستعلیق خوش، کا: سیامک میرزا ابن مرحوم حاجی همایون میرزا قاجار، تا: ۲۰ رجب ۱۲۸۹ق؛ با سرلوحه مذهب، مجدول مذهب؛ کاغذ: ترمه، جلد: تیماج مشکی مقوایی، ۱۵۲گ، ۹ کامل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۱۱/۵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سم [ف: ۲-۲۵۴]</w:t>
      </w:r>
    </w:p>
    <w:p>
      <w:pPr>
        <w:pStyle w:val="BookText"/>
      </w:pPr>
      <w:r>
        <w:rPr>
          <w:rFonts w:ascii="IRNazanin" w:hAnsi="IRNazanin" w:eastAsia="IRNazanin" w:cs="IRNazanin"/>
          <w:lang w:bidi="fa-IR"/>
          <w:color w:val="111111"/>
          <w:sz w:val="28"/>
          <w:szCs w:val="28"/>
          <w:rtl/>
        </w:rPr>
        <w:t xml:space="preserve">۱۳. قم؛ مرعشی؛ شماره نسخه: ۴۸</w:t>
      </w:r>
    </w:p>
    <w:p>
      <w:pPr>
        <w:pStyle w:val="BookText"/>
      </w:pPr>
      <w:r>
        <w:rPr>
          <w:rFonts w:ascii="IRNazanin" w:hAnsi="IRNazanin" w:eastAsia="IRNazanin" w:cs="IRNazanin"/>
          <w:lang w:bidi="fa-IR"/>
          <w:color w:val="111111"/>
          <w:sz w:val="28"/>
          <w:szCs w:val="28"/>
          <w:rtl/>
        </w:rPr>
        <w:t xml:space="preserve">آغاز: برابر ۲؛ انجام: برابر</w:t>
      </w:r>
    </w:p>
    <w:p>
      <w:pPr>
        <w:pStyle w:val="BookText"/>
      </w:pPr>
      <w:r>
        <w:rPr>
          <w:rFonts w:ascii="IRNazanin" w:hAnsi="IRNazanin" w:eastAsia="IRNazanin" w:cs="IRNazanin"/>
          <w:lang w:bidi="fa-IR"/>
          <w:color w:val="111111"/>
          <w:sz w:val="28"/>
          <w:szCs w:val="28"/>
          <w:rtl/>
        </w:rPr>
        <w:t xml:space="preserve">خط: نستعلیق، کا: غلامحسین، تا: ۲۳ شعبان ۱۲۹۴ق؛ بعضی مجدول، جای چند مینیاتور خالی دارد که یکی از آنها نقش شده؛ مهر: کاتب «عبده غلامحسین» (بیضوی)؛ جلد: تیماج قهوه ای، ۹۵گ، ۱۲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سم [ف: ۱-۵۹]</w:t>
      </w:r>
    </w:p>
    <w:p>
      <w:pPr>
        <w:pStyle w:val="BookText"/>
      </w:pPr>
      <w:r>
        <w:rPr>
          <w:rFonts w:ascii="IRNazanin" w:hAnsi="IRNazanin" w:eastAsia="IRNazanin" w:cs="IRNazanin"/>
          <w:lang w:bidi="fa-IR"/>
          <w:color w:val="111111"/>
          <w:sz w:val="28"/>
          <w:szCs w:val="28"/>
          <w:rtl/>
        </w:rPr>
        <w:t xml:space="preserve">۱۴. قم؛ مرعشی؛ شماره نسخه: ۴۳۸۶</w:t>
      </w:r>
    </w:p>
    <w:p>
      <w:pPr>
        <w:pStyle w:val="BookText"/>
      </w:pPr>
      <w:r>
        <w:rPr>
          <w:rFonts w:ascii="IRNazanin" w:hAnsi="IRNazanin" w:eastAsia="IRNazanin" w:cs="IRNazanin"/>
          <w:lang w:bidi="fa-IR"/>
          <w:color w:val="111111"/>
          <w:sz w:val="28"/>
          <w:szCs w:val="28"/>
          <w:rtl/>
        </w:rPr>
        <w:t xml:space="preserve">خط: نستعلیق، کا: شیخ مهدی، تا: ۱۲۹۶ق؛ تملك: محمد قمی (فیض) به تاریخ ۱۳۱۳؛ جلد: تیماج قهوه ای بدون مقوا، ۱۲۶گ، ۹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۱۱-۳۸۸]</w:t>
      </w:r>
    </w:p>
    <w:p>
      <w:pPr>
        <w:pStyle w:val="BookText"/>
      </w:pPr>
      <w:r>
        <w:rPr>
          <w:rFonts w:ascii="IRNazanin" w:hAnsi="IRNazanin" w:eastAsia="IRNazanin" w:cs="IRNazanin"/>
          <w:lang w:bidi="fa-IR"/>
          <w:color w:val="111111"/>
          <w:sz w:val="28"/>
          <w:szCs w:val="28"/>
          <w:rtl/>
        </w:rPr>
        <w:t xml:space="preserve">۱۵. مشهد؛ رضوی؛ شماره نسخه: ۳۷۸۴۸</w:t>
      </w:r>
    </w:p>
    <w:p>
      <w:pPr>
        <w:pStyle w:val="BookText"/>
      </w:pPr>
      <w:r>
        <w:rPr>
          <w:rFonts w:ascii="IRNazanin" w:hAnsi="IRNazanin" w:eastAsia="IRNazanin" w:cs="IRNazanin"/>
          <w:lang w:bidi="fa-IR"/>
          <w:color w:val="111111"/>
          <w:sz w:val="28"/>
          <w:szCs w:val="28"/>
          <w:rtl/>
        </w:rPr>
        <w:t xml:space="preserve">آغاز: برابر ۱؛ انجام: آثار باقیه آنها. عمارت اشرف باره اشرف گویند این باره را شش ماه به اتمام رسانیده است.</w:t>
      </w:r>
    </w:p>
    <w:p>
      <w:pPr>
        <w:pStyle w:val="BookText"/>
      </w:pPr>
      <w:r>
        <w:rPr>
          <w:rFonts w:ascii="IRNazanin" w:hAnsi="IRNazanin" w:eastAsia="IRNazanin" w:cs="IRNazanin"/>
          <w:lang w:bidi="fa-IR"/>
          <w:color w:val="111111"/>
          <w:sz w:val="28"/>
          <w:szCs w:val="28"/>
          <w:rtl/>
        </w:rPr>
        <w:t xml:space="preserve">خط: نسخ خوب، بی کا، تا: قرن ۱۴؛ یادداشت امانت کتاب از سید ریحان الله در ۶ ربيع الاول ۱۳۲۱ق توسط ابوالحسن، در پایان متن کتاب تاریخ ۱۱۳۴ق به خطی مغایر آمده که صحیح نیست؛ تملک: ریحان الله بن جعفر موسوی در ۱۳۲۳ق با مهر: «العبد ریحان الله الموسوی» (بیضوی)؛ مهر: سید محمد باقر بروجردی؛ اهدایی:رهبری، مهر ۱۳۸۶؛ کاغذ: صنعتی نخودی آهار مهره، جلد: میشن عنابی مجدول، ۱۰۹گ، ۱۵ سطر، اندازه: ۱۶/۵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۲۵/۵ سم [اهدائی رهبر: ۸-۴۳۸]</w:t>
      </w:r>
    </w:p>
    <w:p>
      <w:pPr>
        <w:pStyle w:val="BookText"/>
      </w:pPr>
      <w:r>
        <w:rPr>
          <w:rFonts w:ascii="IRNazanin" w:hAnsi="IRNazanin" w:eastAsia="IRNazanin" w:cs="IRNazanin"/>
          <w:lang w:bidi="fa-IR"/>
          <w:color w:val="111111"/>
          <w:sz w:val="28"/>
          <w:szCs w:val="28"/>
          <w:rtl/>
        </w:rPr>
        <w:t xml:space="preserve">۱۶. تهران، دانشگاه؛ شماره نسخه: ۲۷۵۱ و ۴۷۹۲-ف</w:t>
      </w:r>
    </w:p>
    <w:p>
      <w:pPr>
        <w:pStyle w:val="BookText"/>
      </w:pPr>
      <w:r>
        <w:rPr>
          <w:rFonts w:ascii="IRNazanin" w:hAnsi="IRNazanin" w:eastAsia="IRNazanin" w:cs="IRNazanin"/>
          <w:lang w:bidi="fa-IR"/>
          <w:color w:val="111111"/>
          <w:sz w:val="28"/>
          <w:szCs w:val="28"/>
          <w:rtl/>
        </w:rPr>
        <w:t xml:space="preserve">خط: نستعلیق، بی کا، تا: قرن ۱۴؛ کاغذ: فرنگی، جلد: تیماج حنایی، ۵۴گ، ۱۶ سطر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۱۰- ۱۶۱۶] و [فیلمها ف: ۳-۱۰۷]</w:t>
      </w:r>
    </w:p>
    <w:p>
      <w:pPr>
        <w:pStyle w:val="BookText"/>
      </w:pPr>
      <w:r>
        <w:rPr>
          <w:rFonts w:ascii="IRNazanin" w:hAnsi="IRNazanin" w:eastAsia="IRNazanin" w:cs="IRNazanin"/>
          <w:lang w:bidi="fa-IR"/>
          <w:color w:val="111111"/>
          <w:sz w:val="28"/>
          <w:szCs w:val="28"/>
          <w:rtl/>
        </w:rPr>
        <w:t xml:space="preserve">۱۷. تهران؛ ملک؛ شماره نسخه: ۳۷۵۵/۱</w:t>
      </w:r>
    </w:p>
    <w:p>
      <w:pPr>
        <w:pStyle w:val="BookText"/>
      </w:pPr>
      <w:r>
        <w:rPr>
          <w:rFonts w:ascii="IRNazanin" w:hAnsi="IRNazanin" w:eastAsia="IRNazanin" w:cs="IRNazanin"/>
          <w:lang w:bidi="fa-IR"/>
          <w:color w:val="111111"/>
          <w:sz w:val="28"/>
          <w:szCs w:val="28"/>
          <w:rtl/>
        </w:rPr>
        <w:t xml:space="preserve">خط: نستعلیق، كان على بن محمد حسین، تا: ۲۶ ربيع الأول ۱۳۰۳ق؛ کاغذ: فرنگی آهار مهره، جلد: میشن زرد سیر، ۱۶ سطر، اندازه: ۲۲/۱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۷-۳۵]</w:t>
      </w:r>
    </w:p>
    <w:p>
      <w:pPr>
        <w:pStyle w:val="BookText"/>
      </w:pPr>
      <w:r>
        <w:rPr>
          <w:rFonts w:ascii="IRNazanin" w:hAnsi="IRNazanin" w:eastAsia="IRNazanin" w:cs="IRNazanin"/>
          <w:lang w:bidi="fa-IR"/>
          <w:color w:val="111111"/>
          <w:sz w:val="28"/>
          <w:szCs w:val="28"/>
          <w:rtl/>
        </w:rPr>
        <w:t xml:space="preserve">۱۸. تهران، ادبیات، شماره نسخه: ۱۰۷ - ج</w:t>
      </w:r>
    </w:p>
    <w:p>
      <w:pPr>
        <w:pStyle w:val="BookText"/>
      </w:pPr>
      <w:r>
        <w:rPr>
          <w:rFonts w:ascii="IRNazanin" w:hAnsi="IRNazanin" w:eastAsia="IRNazanin" w:cs="IRNazanin"/>
          <w:lang w:bidi="fa-IR"/>
          <w:color w:val="111111"/>
          <w:sz w:val="28"/>
          <w:szCs w:val="28"/>
          <w:rtl/>
        </w:rPr>
        <w:t xml:space="preserve">آغاز: برابر ۱؛ انجام: علی عادل شاه گذاشته بر تخت سلطنت جلوس نموده هر کس بقیه تاریخ را خواهد رجوع بتواريخ كبير نماید خط: نستعلیق، کا: تقی بن حسین حسینی تفرشی نعمة اللهی ملقب بمحبعلی شاه، تا: شب پنج شنبه ۵ محرم ۱۳۲۰ق؛ مجدول؛ کاغذ: فرنگی، جلد: تیماج سرخ ضربی مقوایی، ۱۰۲گ، ۱۳سطر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 ۱۷/۵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۲۲/۵سم [ف: ۱-۱۲۵]</w:t>
      </w:r>
    </w:p>
    <w:p>
      <w:pPr>
        <w:pStyle w:val="BookText"/>
      </w:pPr>
      <w:r>
        <w:rPr>
          <w:rFonts w:ascii="IRNazanin" w:hAnsi="IRNazanin" w:eastAsia="IRNazanin" w:cs="IRNazanin"/>
          <w:lang w:bidi="fa-IR"/>
          <w:color w:val="111111"/>
          <w:sz w:val="28"/>
          <w:szCs w:val="28"/>
          <w:rtl/>
        </w:rPr>
        <w:t xml:space="preserve">تهران؛ دانشگاه؛ شماره نسخه: ۴۷۸۵-ف</w:t>
      </w:r>
    </w:p>
    <w:p>
      <w:pPr>
        <w:pStyle w:val="BookText"/>
      </w:pPr>
      <w:r>
        <w:rPr>
          <w:rFonts w:ascii="IRNazanin" w:hAnsi="IRNazanin" w:eastAsia="IRNazanin" w:cs="IRNazanin"/>
          <w:lang w:bidi="fa-IR"/>
          <w:color w:val="111111"/>
          <w:sz w:val="28"/>
          <w:szCs w:val="28"/>
          <w:rtl/>
        </w:rPr>
        <w:t xml:space="preserve">نسخه اصل: همان نسخه بالا [فیلمها ف: ۳-۱۰۶]</w:t>
      </w:r>
    </w:p>
    <w:p>
      <w:pPr>
        <w:pStyle w:val="BookText"/>
      </w:pPr>
      <w:r>
        <w:rPr>
          <w:rFonts w:ascii="IRNazanin" w:hAnsi="IRNazanin" w:eastAsia="IRNazanin" w:cs="IRNazanin"/>
          <w:lang w:bidi="fa-IR"/>
          <w:color w:val="111111"/>
          <w:sz w:val="28"/>
          <w:szCs w:val="28"/>
          <w:rtl/>
        </w:rPr>
        <w:t xml:space="preserve">۱۹. تهران، ملک، شماره نسخه: ۱۴۸۲/۹</w:t>
      </w:r>
    </w:p>
    <w:p>
      <w:pPr>
        <w:pStyle w:val="BookText"/>
      </w:pPr>
      <w:r>
        <w:rPr>
          <w:rFonts w:ascii="IRNazanin" w:hAnsi="IRNazanin" w:eastAsia="IRNazanin" w:cs="IRNazanin"/>
          <w:lang w:bidi="fa-IR"/>
          <w:color w:val="111111"/>
          <w:sz w:val="28"/>
          <w:szCs w:val="28"/>
          <w:rtl/>
        </w:rPr>
        <w:t xml:space="preserve">بی کا، بی تاب کاغذ: فرنگی، جلد: میشن یشمی، ۱۵ سطر [ف: ۲۷۵-۵]</w:t>
      </w:r>
    </w:p>
    <w:p>
      <w:pPr>
        <w:pStyle w:val="BookText"/>
      </w:pPr>
      <w:r>
        <w:rPr>
          <w:rFonts w:ascii="IRNazanin" w:hAnsi="IRNazanin" w:eastAsia="IRNazanin" w:cs="IRNazanin"/>
          <w:lang w:bidi="fa-IR"/>
          <w:color w:val="111111"/>
          <w:sz w:val="28"/>
          <w:szCs w:val="28"/>
          <w:rtl/>
        </w:rPr>
        <w:t xml:space="preserve">۲۰. قم؛ مرکز احیاء؛ شماره نسخه: ۱۴۷۱</w:t>
      </w:r>
    </w:p>
    <w:p>
      <w:pPr>
        <w:pStyle w:val="BookText"/>
      </w:pPr>
      <w:r>
        <w:rPr>
          <w:rFonts w:ascii="IRNazanin" w:hAnsi="IRNazanin" w:eastAsia="IRNazanin" w:cs="IRNazanin"/>
          <w:lang w:bidi="fa-IR"/>
          <w:color w:val="111111"/>
          <w:sz w:val="28"/>
          <w:szCs w:val="28"/>
          <w:rtl/>
        </w:rPr>
        <w:t xml:space="preserve">آغاز: برابر ۱؛ انجام: برابر خط: نستعلیق خوش، بی کا، بی تا، افتادگی: انجام؛ مصحح، یادداشتی مربوط به دنبلی به تاریخ ۱۲۹۶؛ جلد: تیماج قهوه ای بدون مقوا، ۹۳گ، ۱۲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۴-۳۰۷]</w:t>
      </w:r>
    </w:p>
    <w:p>
      <w:pPr>
        <w:pStyle w:val="BookText"/>
      </w:pPr>
      <w:r>
        <w:rPr>
          <w:rFonts w:ascii="IRNazanin" w:hAnsi="IRNazanin" w:eastAsia="IRNazanin" w:cs="IRNazanin"/>
          <w:lang w:bidi="fa-IR"/>
          <w:color w:val="111111"/>
          <w:sz w:val="28"/>
          <w:szCs w:val="28"/>
          <w:rtl/>
        </w:rPr>
        <w:t xml:space="preserve">۲۱. تهران؛ مجلس؛ شماره نسخه: ۱۳۷۳۲</w:t>
      </w:r>
    </w:p>
    <w:p>
      <w:pPr>
        <w:pStyle w:val="BookText"/>
      </w:pPr>
      <w:r>
        <w:rPr>
          <w:rFonts w:ascii="IRNazanin" w:hAnsi="IRNazanin" w:eastAsia="IRNazanin" w:cs="IRNazanin"/>
          <w:lang w:bidi="fa-IR"/>
          <w:color w:val="111111"/>
          <w:sz w:val="28"/>
          <w:szCs w:val="28"/>
          <w:rtl/>
        </w:rPr>
        <w:t xml:space="preserve">آغاز: برابر ۲؛ انجام: چون سیاح مسیحی تألیفات تاریخ را به اتمام نرسانده کتاب ناقص و به اتمام نرفت حقیر فقیر خط: شکسته نستعلیق، بی کا، بی تا؛ افتادگی: انجام؛ جلد: مقوا قهوه ای عطف تیماج، ۵۹گ، مختلف السطر،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۳۷-۲۶۰]</w:t>
      </w:r>
    </w:p>
    <w:p>
      <w:pPr>
        <w:pStyle w:val="Heading3"/>
      </w:pPr>
      <w:bookmarkStart w:id="805" w:name="_Toc65"/>
      <w:r>
        <w:t>• بصیرت نامه (ترجمه) / تاریخ / فارسی</w:t>
      </w:r>
      <w:bookmarkEnd w:id="805"/>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0" w:name="pg20363_209180"/>
    <w:bookmarkEnd w:id="30"/>
    <w:p>
      <w:pPr>
        <w:pStyle w:val="BookText"/>
      </w:pPr>
      <w:r>
        <w:rPr>
          <w:rFonts w:ascii="Times New Roman" w:hAnsi="Times New Roman" w:eastAsia="Times New Roman" w:cs="Times New Roman"/>
          <w:lang w:val="en-US" w:bidi="en-US"/>
          <w:color w:val="111111"/>
          <w:sz w:val="28"/>
          <w:szCs w:val="28"/>
          <w:rtl/>
        </w:rPr>
        <w:t xml:space="preserve">basīrat-nāme (t.)</w:t>
      </w:r>
    </w:p>
    <w:p>
      <w:pPr>
        <w:pStyle w:val="BookText"/>
      </w:pPr>
      <w:r>
        <w:rPr>
          <w:rFonts w:ascii="IRNazanin" w:hAnsi="IRNazanin" w:eastAsia="IRNazanin" w:cs="IRNazanin"/>
          <w:lang w:bidi="fa-IR"/>
          <w:color w:val="111111"/>
          <w:sz w:val="28"/>
          <w:szCs w:val="28"/>
          <w:rtl/>
        </w:rPr>
        <w:t xml:space="preserve">مشهد؛ رضوی؛ شماره نسخه: ۱۸۹۸۴</w:t>
      </w:r>
    </w:p>
    <w:p>
      <w:pPr>
        <w:pStyle w:val="BookText"/>
      </w:pPr>
      <w:r>
        <w:rPr>
          <w:rFonts w:ascii="IRNazanin" w:hAnsi="IRNazanin" w:eastAsia="IRNazanin" w:cs="IRNazanin"/>
          <w:lang w:bidi="fa-IR"/>
          <w:color w:val="111111"/>
          <w:sz w:val="28"/>
          <w:szCs w:val="28"/>
          <w:rtl/>
        </w:rPr>
        <w:t xml:space="preserve">آغاز: بسمله بصیرت نامه در گذارش استیلای افغان بر اصفهان؛ انجام: غریق رحمت نماید ... و عمر طولانی عنایت نماید از صمیم قلب</w:t>
      </w:r>
    </w:p>
    <w:p>
      <w:pPr>
        <w:pStyle w:val="BookText"/>
      </w:pPr>
      <w:r>
        <w:rPr>
          <w:rFonts w:ascii="IRNazanin" w:hAnsi="IRNazanin" w:eastAsia="IRNazanin" w:cs="IRNazanin"/>
          <w:lang w:bidi="fa-IR"/>
          <w:color w:val="111111"/>
          <w:sz w:val="28"/>
          <w:szCs w:val="28"/>
          <w:rtl/>
        </w:rPr>
        <w:t xml:space="preserve">خط: نستعلیق، بی کا، تا: ۱۲۹۷ق؛ کاغذ: شکری، جلد: تیماج، ۱۱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[رایانه]</w:t>
      </w:r>
    </w:p>
    <w:p>
      <w:pPr>
        <w:pStyle w:val="BookText"/>
      </w:pPr>
      <w:r>
        <w:rPr>
          <w:rFonts w:ascii="Amiri" w:hAnsi="Amiri" w:eastAsia="Amiri" w:cs="Amiri"/>
          <w:lang w:bidi="ar-SA"/>
          <w:color w:val="111111"/>
          <w:sz w:val="28"/>
          <w:szCs w:val="28"/>
          <w:rtl/>
        </w:rPr>
        <w:t xml:space="preserve">صيرة الوقوف مشايخ الصدوق، نواظر الوقوف  في مشايخ الصدوق</w:t>
      </w:r>
    </w:p>
    <w:p>
      <w:pPr>
        <w:pStyle w:val="Heading3"/>
      </w:pPr>
      <w:bookmarkStart w:id="806" w:name="_Toc66"/>
      <w:r>
        <w:t>• بصیری = النحو / نحو /عربی</w:t>
      </w:r>
      <w:bookmarkEnd w:id="806"/>
    </w:p>
    <w:p>
      <w:pPr>
        <w:pStyle w:val="BookText"/>
      </w:pPr>
      <w:r>
        <w:rPr>
          <w:rFonts w:ascii="Times New Roman" w:hAnsi="Times New Roman" w:eastAsia="Times New Roman" w:cs="Times New Roman"/>
          <w:lang w:val="en-US" w:bidi="en-US"/>
          <w:color w:val="111111"/>
          <w:sz w:val="28"/>
          <w:szCs w:val="28"/>
          <w:rtl/>
        </w:rPr>
        <w:t xml:space="preserve">başīrī = an-naħw</w:t>
      </w:r>
    </w:p>
    <w:p>
      <w:pPr>
        <w:pStyle w:val="BookText"/>
      </w:pPr>
      <w:r>
        <w:rPr>
          <w:rFonts w:ascii="IRNazanin" w:hAnsi="IRNazanin" w:eastAsia="IRNazanin" w:cs="IRNazanin"/>
          <w:lang w:bidi="fa-IR"/>
          <w:color w:val="111111"/>
          <w:sz w:val="28"/>
          <w:szCs w:val="28"/>
          <w:rtl/>
        </w:rPr>
        <w:t xml:space="preserve">قواعد علم نحو را در فصل هایی کوتاه با مثال هایی از آیات قرآن گزارش داده و در پایان نام «بصیری» بدان داده شده است.</w:t>
      </w:r>
    </w:p>
    <w:p>
      <w:pPr>
        <w:pStyle w:val="BookText"/>
      </w:pPr>
      <w:r>
        <w:rPr>
          <w:rFonts w:ascii="IRNazanin" w:hAnsi="IRNazanin" w:eastAsia="IRNazanin" w:cs="IRNazanin"/>
          <w:lang w:bidi="fa-IR"/>
          <w:color w:val="111111"/>
          <w:sz w:val="28"/>
          <w:szCs w:val="28"/>
          <w:rtl/>
        </w:rPr>
        <w:t xml:space="preserve">آغاز: بسمله الحمدلله العلى العظيم الذي هدانا إلى الصراط المستقيم ... فصل فاعلم ايها المبتدء ارشد ک الله تعالى مع السعادة في الدارين آن كلام العرب ينقسم على ثلاثة أقسام</w:t>
      </w:r>
    </w:p>
    <w:p>
      <w:pPr>
        <w:pStyle w:val="BookText"/>
      </w:pPr>
      <w:r>
        <w:rPr>
          <w:rFonts w:ascii="Amiri" w:hAnsi="Amiri" w:eastAsia="Amiri" w:cs="Amiri"/>
          <w:lang w:bidi="ar-SA"/>
          <w:color w:val="111111"/>
          <w:sz w:val="28"/>
          <w:szCs w:val="28"/>
          <w:rtl/>
        </w:rPr>
        <w:t xml:space="preserve">انجام: و تكون هذه النون مفتوحه ابدا كما تقدم في اول الكتاب.</w:t>
      </w:r>
    </w:p>
    <w:p>
      <w:pPr>
        <w:pStyle w:val="BookText"/>
      </w:pPr>
      <w:r>
        <w:rPr>
          <w:rFonts w:ascii="IRNazanin" w:hAnsi="IRNazanin" w:eastAsia="IRNazanin" w:cs="IRNazanin"/>
          <w:lang w:bidi="fa-IR"/>
          <w:color w:val="111111"/>
          <w:sz w:val="28"/>
          <w:szCs w:val="28"/>
          <w:rtl/>
        </w:rPr>
        <w:t xml:space="preserve">همانند:</w:t>
      </w:r>
    </w:p>
    <w:p>
      <w:pPr>
        <w:pStyle w:val="BookText"/>
      </w:pPr>
      <w:r>
        <w:rPr>
          <w:rFonts w:ascii="IRNazanin" w:hAnsi="IRNazanin" w:eastAsia="IRNazanin" w:cs="IRNazanin"/>
          <w:lang w:bidi="fa-IR"/>
          <w:color w:val="111111"/>
          <w:sz w:val="28"/>
          <w:szCs w:val="28"/>
          <w:rtl/>
        </w:rPr>
        <w:t xml:space="preserve">١. مشهد: رضوی؛ شماره نسخه: ۱۲۹۵۱/۳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مشتمل بر ۶۱ فصل؛ خط: نسخ، بی کا، تا: ۱۱۱۱ق؛ کاغذ: حنایی، جلد: تیماج مشکی یک لا، ۲۸گ (۴۸-۷۵)، اندازه: ۱۸مشايخ الصدوق۱۱سم [ف: ۱۲-۳۸۷]</w:t>
      </w:r>
    </w:p>
    <w:p>
      <w:pPr>
        <w:pStyle w:val="BookText"/>
      </w:pPr>
      <w:r>
        <w:rPr>
          <w:rFonts w:ascii="IRNazanin" w:hAnsi="IRNazanin" w:eastAsia="IRNazanin" w:cs="IRNazanin"/>
          <w:lang w:bidi="fa-IR"/>
          <w:color w:val="111111"/>
          <w:sz w:val="28"/>
          <w:szCs w:val="28"/>
          <w:rtl/>
        </w:rPr>
        <w:t xml:space="preserve">۲. قم؛ مرعشی؛ شماره نسخه: ۴۹۵۹/۱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جلد: مقوایی عطف تیماج مشکی، ۲۲گ (۱پ -۲۲ر) [ف: ۱۳-۱۵۶]</w:t>
      </w:r>
    </w:p>
    <w:p>
      <w:pPr>
        <w:pStyle w:val="Heading3"/>
      </w:pPr>
      <w:bookmarkStart w:id="807" w:name="_Toc67"/>
      <w:r>
        <w:t>• بضاعة الايمان = بضاعة السلطان / كلام و اعتقادات / فارسی</w:t>
      </w:r>
      <w:bookmarkEnd w:id="807"/>
    </w:p>
    <w:p>
      <w:pPr>
        <w:pStyle w:val="BookText"/>
      </w:pPr>
      <w:r>
        <w:rPr>
          <w:rFonts w:ascii="Times New Roman" w:hAnsi="Times New Roman" w:eastAsia="Times New Roman" w:cs="Times New Roman"/>
          <w:lang w:val="en-US" w:bidi="en-US"/>
          <w:color w:val="111111"/>
          <w:sz w:val="28"/>
          <w:szCs w:val="28"/>
          <w:rtl/>
        </w:rPr>
        <w:t xml:space="preserve">bezā‘at-ol īmān= bezā‘at-os soltān</w:t>
      </w:r>
    </w:p>
    <w:p>
      <w:pPr>
        <w:pStyle w:val="BookText"/>
      </w:pPr>
      <w:r>
        <w:rPr>
          <w:rFonts w:ascii="IRNazanin" w:hAnsi="IRNazanin" w:eastAsia="IRNazanin" w:cs="IRNazanin"/>
          <w:lang w:bidi="fa-IR"/>
          <w:color w:val="111111"/>
          <w:sz w:val="28"/>
          <w:szCs w:val="28"/>
          <w:rtl/>
        </w:rPr>
        <w:t xml:space="preserve">اثری مفصل و مبسوط در بیان مسائل تاریخی و اعتقادی مورد اختلاف میان شیعه و اهل سنت که در یک «مقدمه» و چهار «فصل» و یک «خاتمه» و یک «تذنيب» تنظیم شده است: مقدمه: ...؛ فصل ۱. بیان اختلاف مذاهب (در سه باب)؛ ۲. تعيين امامت (در چهار مطلب)؛ ۳. مطاعن و انساب خلفای ثلاث و تابعین (در سه اشاره)؛ ۴. احوال برخی صحابه که تغییر و تبدیل در احکام شرع کرده اند (در سه اعتبار)؛ خاتمه: در بیان برخی فروعات ائمه اهل سنت که با کتاب و سنت مخالف است.</w:t>
      </w:r>
    </w:p>
    <w:p>
      <w:pPr>
        <w:pStyle w:val="BookText"/>
      </w:pPr>
      <w:r>
        <w:rPr>
          <w:rFonts w:ascii="IRNazanin" w:hAnsi="IRNazanin" w:eastAsia="IRNazanin" w:cs="IRNazanin"/>
          <w:lang w:bidi="fa-IR"/>
          <w:color w:val="111111"/>
          <w:sz w:val="28"/>
          <w:szCs w:val="28"/>
          <w:rtl/>
        </w:rPr>
        <w:t xml:space="preserve">همانند:</w:t>
      </w:r>
    </w:p>
    <w:p>
      <w:pPr>
        <w:pStyle w:val="BookText"/>
      </w:pPr>
      <w:r>
        <w:rPr>
          <w:rFonts w:ascii="IRNazanin" w:hAnsi="IRNazanin" w:eastAsia="IRNazanin" w:cs="IRNazanin"/>
          <w:lang w:bidi="fa-IR"/>
          <w:color w:val="111111"/>
          <w:sz w:val="28"/>
          <w:szCs w:val="28"/>
          <w:rtl/>
        </w:rPr>
        <w:t xml:space="preserve">۱. تهران؛ مجلس؛ شماره نسخه: ۱۱۵۶۳</w:t>
      </w:r>
    </w:p>
    <w:p>
      <w:pPr>
        <w:pStyle w:val="BookText"/>
      </w:pPr>
      <w:r>
        <w:rPr>
          <w:rFonts w:ascii="IRNazanin" w:hAnsi="IRNazanin" w:eastAsia="IRNazanin" w:cs="IRNazanin"/>
          <w:lang w:bidi="fa-IR"/>
          <w:color w:val="111111"/>
          <w:sz w:val="28"/>
          <w:szCs w:val="28"/>
          <w:rtl/>
        </w:rPr>
        <w:t xml:space="preserve">آغاز: فصل اول: در بیان اختلاف مذاهب و در آن سه باب است، باب اول در بیان اختلاف در امامت، بدانکه بعد از رسول(صلی الله علیه وآله وسلم) اول اختلاف و افتراقی که افتاد؛ انجام: کفایت میکند آدمی ذیشعور را در تحصیل مرام و هدایت می کند طالب بی تعسف و ضاد را در طریق ایمان و اسلام.</w:t>
      </w:r>
    </w:p>
    <w:p>
      <w:pPr>
        <w:pStyle w:val="BookText"/>
      </w:pPr>
      <w:r>
        <w:rPr>
          <w:rFonts w:ascii="IRNazanin" w:hAnsi="IRNazanin" w:eastAsia="IRNazanin" w:cs="IRNazanin"/>
          <w:lang w:bidi="fa-IR"/>
          <w:color w:val="111111"/>
          <w:sz w:val="28"/>
          <w:szCs w:val="28"/>
          <w:rtl/>
        </w:rPr>
        <w:t xml:space="preserve">خط: نستعلیق، بی کا، تا: جمادی الاول ۱۰۶۸ق؛ افتادگی: آغاز؛ جلد: گالینگور قهوه ای، ۳۰۷، ۱۷ 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۱۸۰-۳۳/۲]</w:t>
      </w:r>
    </w:p>
    <w:p>
      <w:pPr>
        <w:pStyle w:val="BookText"/>
      </w:pPr>
      <w:r>
        <w:rPr>
          <w:rFonts w:ascii="IRNazanin" w:hAnsi="IRNazanin" w:eastAsia="IRNazanin" w:cs="IRNazanin"/>
          <w:lang w:bidi="fa-IR"/>
          <w:color w:val="111111"/>
          <w:sz w:val="28"/>
          <w:szCs w:val="28"/>
          <w:rtl/>
        </w:rPr>
        <w:t xml:space="preserve">۲. مشهد؛ رضوی؛ شماره نسخه: ۲۰۷۴۴</w:t>
      </w:r>
    </w:p>
    <w:p>
      <w:pPr>
        <w:pStyle w:val="BookText"/>
      </w:pPr>
      <w:r>
        <w:rPr>
          <w:rFonts w:ascii="IRNazanin" w:hAnsi="IRNazanin" w:eastAsia="IRNazanin" w:cs="IRNazanin"/>
          <w:lang w:bidi="fa-IR"/>
          <w:color w:val="111111"/>
          <w:sz w:val="28"/>
          <w:szCs w:val="28"/>
          <w:rtl/>
        </w:rPr>
        <w:t xml:space="preserve">آغاز: بسمله و به نستعين نحمد اللهم على هدايتنا إلى صراطك؛ انجام: دارد طريق السلام و الله الموفق للصواب و اليه المرجع و الماب خط: نستعلیق شکسته، بی کا، تا: ۱۰۷۷ق؛ کاغذ: حنایی، جلد: تیماج، ۱۶ سطر (۱۷۶۹)،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[رایانه]</w:t>
      </w:r>
    </w:p>
    <w:p>
      <w:pPr>
        <w:pStyle w:val="BookText"/>
      </w:pPr>
      <w:r>
        <w:rPr>
          <w:rFonts w:ascii="IRNazanin" w:hAnsi="IRNazanin" w:eastAsia="IRNazanin" w:cs="IRNazanin"/>
          <w:lang w:bidi="fa-IR"/>
          <w:color w:val="111111"/>
          <w:sz w:val="28"/>
          <w:szCs w:val="28"/>
          <w:rtl/>
        </w:rPr>
        <w:t xml:space="preserve">٣. مشهد؛ رضوی؛ شماره نسخه: ۱۰۴۰</w:t>
      </w:r>
    </w:p>
    <w:p>
      <w:pPr>
        <w:pStyle w:val="BookText"/>
      </w:pPr>
      <w:r>
        <w:rPr>
          <w:rFonts w:ascii="IRNazanin" w:hAnsi="IRNazanin" w:eastAsia="IRNazanin" w:cs="IRNazanin"/>
          <w:lang w:bidi="fa-IR"/>
          <w:color w:val="111111"/>
          <w:sz w:val="28"/>
          <w:szCs w:val="28"/>
          <w:rtl/>
        </w:rPr>
        <w:t xml:space="preserve">آغاز: نحمد اللهم على هدايتنا الى صراطك دارای مقدمه و چهار فصل و خاتمه و تذنيب. مؤلف شناخته نشد. احتمال دارد این کتاب، همان بضاعة الايمان باشد که در الذریعه (۱۲۶/۳ ) یاد شده است؛ بی کا، تا: ۱۲۲۶ق، به نظر می رسد نسخه قدیم تر باشد؛ مجدول زرین؛ ۲۷۸گ، قطع: وزيري [اهدائی ف: ۶۶]</w:t>
      </w:r>
    </w:p>
    <w:p>
      <w:pPr>
        <w:pStyle w:val="Heading3"/>
      </w:pPr>
      <w:bookmarkStart w:id="808" w:name="_Toc68"/>
      <w:r>
        <w:t>• بضاعة التاجرین /فقه / فارسی</w:t>
      </w:r>
      <w:bookmarkEnd w:id="808"/>
    </w:p>
    <w:p>
      <w:pPr>
        <w:pStyle w:val="BookText"/>
      </w:pPr>
      <w:r>
        <w:rPr>
          <w:rFonts w:ascii="Times New Roman" w:hAnsi="Times New Roman" w:eastAsia="Times New Roman" w:cs="Times New Roman"/>
          <w:lang w:val="en-US" w:bidi="en-US"/>
          <w:color w:val="111111"/>
          <w:sz w:val="28"/>
          <w:szCs w:val="28"/>
          <w:rtl/>
        </w:rPr>
        <w:t xml:space="preserve">bezāʻat-ot tājerīn</w:t>
      </w:r>
    </w:p>
    <w:p>
      <w:pPr>
        <w:pStyle w:val="BookText"/>
      </w:pPr>
      <w:r>
        <w:rPr>
          <w:rFonts w:ascii="IRNazanin" w:hAnsi="IRNazanin" w:eastAsia="IRNazanin" w:cs="IRNazanin"/>
          <w:lang w:bidi="fa-IR"/>
          <w:color w:val="111111"/>
          <w:sz w:val="28"/>
          <w:szCs w:val="28"/>
          <w:rtl/>
        </w:rPr>
        <w:t xml:space="preserve">خوئی، مصطفی بن محمد، ق۱۳ قمری</w:t>
      </w:r>
    </w:p>
    <w:p>
      <w:pPr>
        <w:pStyle w:val="BookText"/>
      </w:pPr>
      <w:r>
        <w:rPr>
          <w:rFonts w:ascii="Times New Roman" w:hAnsi="Times New Roman" w:eastAsia="Times New Roman" w:cs="Times New Roman"/>
          <w:lang w:val="en-US" w:bidi="en-US"/>
          <w:color w:val="111111"/>
          <w:sz w:val="28"/>
          <w:szCs w:val="28"/>
          <w:rtl/>
        </w:rPr>
        <w:t xml:space="preserve">xū’ī, mostafā ben mohammad (- 19c)</w:t>
      </w:r>
    </w:p>
    <w:p>
      <w:pPr>
        <w:pStyle w:val="BookText"/>
      </w:pPr>
      <w:r>
        <w:rPr>
          <w:rFonts w:ascii="IRNazanin" w:hAnsi="IRNazanin" w:eastAsia="IRNazanin" w:cs="IRNazanin"/>
          <w:lang w:bidi="fa-IR"/>
          <w:color w:val="111111"/>
          <w:sz w:val="28"/>
          <w:szCs w:val="28"/>
          <w:rtl/>
        </w:rPr>
        <w:t xml:space="preserve">یزد؛ وزیری؛ شماره نسخه: ۱۰۷۸</w:t>
      </w:r>
    </w:p>
    <w:p>
      <w:pPr>
        <w:pStyle w:val="BookText"/>
      </w:pPr>
      <w:r>
        <w:rPr>
          <w:rFonts w:ascii="IRNazanin" w:hAnsi="IRNazanin" w:eastAsia="IRNazanin" w:cs="IRNazanin"/>
          <w:lang w:bidi="fa-IR"/>
          <w:color w:val="111111"/>
          <w:sz w:val="28"/>
          <w:szCs w:val="28"/>
          <w:rtl/>
        </w:rPr>
        <w:t xml:space="preserve">آغاز: مشبوهه و متاجر منهية و محرمة احتراز و اجتناب فرمود الخ.، انجام: و متخلق باخلاق حمیده و سیر پسندیده باشد</w:t>
      </w:r>
    </w:p>
    <w:p>
      <w:pPr>
        <w:pStyle w:val="BookText"/>
      </w:pPr>
      <w:r>
        <w:rPr>
          <w:rFonts w:ascii="IRNazanin" w:hAnsi="IRNazanin" w:eastAsia="IRNazanin" w:cs="IRNazanin"/>
          <w:lang w:bidi="fa-IR"/>
          <w:color w:val="111111"/>
          <w:sz w:val="28"/>
          <w:szCs w:val="28"/>
          <w:rtl/>
        </w:rPr>
        <w:t xml:space="preserve">خط: نسخ، بی کا، تا: ۱۲۳۵ق؛ افتادگی: آغاز و انجام؛ اهدایی: شیخ محمد جواد علمیه؛ کاغذ: اصفهانی، جلد: مقوایی تیماج ماشی، ۱۵۲گ، ۲۰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۳-۸۴۶]</w:t>
      </w:r>
    </w:p>
    <w:p>
      <w:pPr>
        <w:pStyle w:val="BookText"/>
      </w:pPr>
      <w:r>
        <w:rPr>
          <w:rFonts w:ascii="Amiri" w:hAnsi="Amiri" w:eastAsia="Amiri" w:cs="Amiri"/>
          <w:lang w:bidi="ar-SA"/>
          <w:color w:val="111111"/>
          <w:sz w:val="28"/>
          <w:szCs w:val="28"/>
          <w:rtl/>
        </w:rPr>
        <w:t xml:space="preserve">← بضاعة التجار ← آداب التجارة</w:t>
      </w:r>
    </w:p>
    <w:p>
      <w:pPr>
        <w:pStyle w:val="Heading3"/>
      </w:pPr>
      <w:bookmarkStart w:id="809" w:name="_Toc69"/>
      <w:r>
        <w:t>• بضاعة الرابحة / كلام و اعتقادات / فارسی</w:t>
      </w:r>
      <w:bookmarkEnd w:id="809"/>
    </w:p>
    <w:p>
      <w:pPr>
        <w:pStyle w:val="BookText"/>
      </w:pPr>
      <w:r>
        <w:rPr>
          <w:rFonts w:ascii="Times New Roman" w:hAnsi="Times New Roman" w:eastAsia="Times New Roman" w:cs="Times New Roman"/>
          <w:lang w:val="en-US" w:bidi="en-US"/>
          <w:color w:val="111111"/>
          <w:sz w:val="28"/>
          <w:szCs w:val="28"/>
          <w:rtl/>
        </w:rPr>
        <w:t xml:space="preserve">bezā‘at-or rābiha</w:t>
      </w:r>
    </w:p>
    <w:p>
      <w:pPr>
        <w:pStyle w:val="BookText"/>
      </w:pPr>
      <w:r>
        <w:rPr>
          <w:rFonts w:ascii="IRNazanin" w:hAnsi="IRNazanin" w:eastAsia="IRNazanin" w:cs="IRNazanin"/>
          <w:lang w:bidi="fa-IR"/>
          <w:color w:val="111111"/>
          <w:sz w:val="28"/>
          <w:szCs w:val="28"/>
          <w:rtl/>
        </w:rPr>
        <w:t xml:space="preserve">قشلاقی، علی بن محمد صادق، ق۱۳ قمری</w:t>
      </w:r>
    </w:p>
    <w:p>
      <w:pPr>
        <w:pStyle w:val="BookText"/>
      </w:pPr>
      <w:r>
        <w:rPr>
          <w:rFonts w:ascii="Times New Roman" w:hAnsi="Times New Roman" w:eastAsia="Times New Roman" w:cs="Times New Roman"/>
          <w:lang w:val="en-US" w:bidi="en-US"/>
          <w:color w:val="111111"/>
          <w:sz w:val="28"/>
          <w:szCs w:val="28"/>
          <w:rtl/>
        </w:rPr>
        <w:t xml:space="preserve">qešlāqī, ‘alī ebn-e mohammad sādeq (- 19c)</w:t>
      </w:r>
    </w:p>
    <w:p>
      <w:pPr>
        <w:pStyle w:val="BookText"/>
      </w:pPr>
      <w:r>
        <w:rPr>
          <w:rFonts w:ascii="IRNazanin" w:hAnsi="IRNazanin" w:eastAsia="IRNazanin" w:cs="IRNazanin"/>
          <w:lang w:bidi="fa-IR"/>
          <w:color w:val="111111"/>
          <w:sz w:val="28"/>
          <w:szCs w:val="28"/>
          <w:rtl/>
        </w:rPr>
        <w:t xml:space="preserve">مشهد؛ رضوی؛ شماره نسخه: ۲۴۹۹۹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1" w:name="pg20363_209181"/>
    <w:bookmarkEnd w:id="31"/>
    <w:p>
      <w:pPr>
        <w:pStyle w:val="BookText"/>
      </w:pPr>
      <w:r>
        <w:rPr>
          <w:rFonts w:ascii="IRNazanin" w:hAnsi="IRNazanin" w:eastAsia="IRNazanin" w:cs="IRNazanin"/>
          <w:lang w:bidi="fa-IR"/>
          <w:color w:val="111111"/>
          <w:sz w:val="28"/>
          <w:szCs w:val="28"/>
          <w:rtl/>
        </w:rPr>
        <w:t xml:space="preserve">آغاز: بسمله. الحمدلله الذي هدانا الى الصراط المستقیم؛ انجام: جيد التاريخ و الحمدلله هو اهله و مستحقه ... سنه ۱۲۶۲</w:t>
      </w:r>
    </w:p>
    <w:p>
      <w:pPr>
        <w:pStyle w:val="BookText"/>
      </w:pPr>
      <w:r>
        <w:rPr>
          <w:rFonts w:ascii="IRNazanin" w:hAnsi="IRNazanin" w:eastAsia="IRNazanin" w:cs="IRNazanin"/>
          <w:lang w:bidi="fa-IR"/>
          <w:color w:val="111111"/>
          <w:sz w:val="28"/>
          <w:szCs w:val="28"/>
          <w:rtl/>
        </w:rPr>
        <w:t xml:space="preserve">خط: نستعليق خفی، کا: رجبعلی قارپور آبادی، تا: ۱۲۶۲ق؛ کاغذ: شکری فرنگی، جلد: اسقاطی، ۲۰ سطر(۱۲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قطع: وزیری بزرگ، اندازه: 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[رایانه]</w:t>
      </w:r>
    </w:p>
    <w:p>
      <w:pPr>
        <w:pStyle w:val="BookText"/>
      </w:pPr>
      <w:r>
        <w:rPr>
          <w:rFonts w:ascii="Amiri" w:hAnsi="Amiri" w:eastAsia="Amiri" w:cs="Amiri"/>
          <w:lang w:bidi="ar-SA"/>
          <w:color w:val="111111"/>
          <w:sz w:val="28"/>
          <w:szCs w:val="28"/>
          <w:rtl/>
        </w:rPr>
        <w:t xml:space="preserve">← بضاعة السلطان ← بضاعة الايمان</w:t>
      </w:r>
    </w:p>
    <w:p>
      <w:pPr>
        <w:pStyle w:val="Heading3"/>
      </w:pPr>
      <w:bookmarkStart w:id="810" w:name="_Toc70"/>
      <w:r>
        <w:t>• بضاعة القاضي لاحتياجه اليه في المستقبل الماضي / متفرقه / عربی</w:t>
      </w:r>
      <w:bookmarkEnd w:id="810"/>
    </w:p>
    <w:p>
      <w:pPr>
        <w:pStyle w:val="BookText"/>
      </w:pPr>
      <w:r>
        <w:rPr>
          <w:rFonts w:ascii="Times New Roman" w:hAnsi="Times New Roman" w:eastAsia="Times New Roman" w:cs="Times New Roman"/>
          <w:lang w:val="en-US" w:bidi="en-US"/>
          <w:color w:val="111111"/>
          <w:sz w:val="28"/>
          <w:szCs w:val="28"/>
          <w:rtl/>
        </w:rPr>
        <w:t xml:space="preserve">bidāʻat-ul qādī li-ihtīyāj-i-hi ilayh fi-l mustaqbal wa-l mādī</w:t>
      </w:r>
    </w:p>
    <w:p>
      <w:pPr>
        <w:pStyle w:val="BookText"/>
      </w:pPr>
      <w:r>
        <w:rPr>
          <w:rFonts w:ascii="IRNazanin" w:hAnsi="IRNazanin" w:eastAsia="IRNazanin" w:cs="IRNazanin"/>
          <w:lang w:bidi="fa-IR"/>
          <w:color w:val="111111"/>
          <w:sz w:val="28"/>
          <w:szCs w:val="28"/>
          <w:rtl/>
        </w:rPr>
        <w:t xml:space="preserve">بروسوی، پیر محمد بن موسی، -۹۸۲ قمری</w:t>
      </w:r>
    </w:p>
    <w:p>
      <w:pPr>
        <w:pStyle w:val="BookText"/>
      </w:pPr>
      <w:r>
        <w:rPr>
          <w:rFonts w:ascii="Times New Roman" w:hAnsi="Times New Roman" w:eastAsia="Times New Roman" w:cs="Times New Roman"/>
          <w:lang w:val="en-US" w:bidi="en-US"/>
          <w:color w:val="111111"/>
          <w:sz w:val="28"/>
          <w:szCs w:val="28"/>
          <w:rtl/>
        </w:rPr>
        <w:t xml:space="preserve">borūsavī, pīr mohammad ebn-e mūsā (- 1575)</w:t>
      </w:r>
    </w:p>
    <w:p>
      <w:pPr>
        <w:pStyle w:val="BookText"/>
      </w:pPr>
      <w:r>
        <w:rPr>
          <w:rFonts w:ascii="IRNazanin" w:hAnsi="IRNazanin" w:eastAsia="IRNazanin" w:cs="IRNazanin"/>
          <w:lang w:bidi="fa-IR"/>
          <w:color w:val="111111"/>
          <w:sz w:val="28"/>
          <w:szCs w:val="28"/>
          <w:rtl/>
        </w:rPr>
        <w:t xml:space="preserve">اثری در چگونگی سند (صک ) نویسی شرعی که در محاکم دولت عثمانی آن عصر معمول بود، برای آسانی کار آنان که این فن را نمی دانند و در مقام قضاوت هستند. دارای نه «باب»: ۱. بیان عنوان الصكوك؛ ۲. فيما يكتب في النكاح و الطلاق و نصب الوصی؛ ۳. فيما يكتب في العتاق و التدبير و المكاتب؛ ۴. فيما يكتب في الاقرار و الابراء و الايجار؛ ۵. فيما يكتب في شهادة الشهود؛ ۶. أنواع نقل الشهادة؛ ۷. فيما يكتب في الوقف و استبداله؛ ۸ فيما يكتب في الحكم بالدية و القصاص؛ 9. صور شتی .</w:t>
      </w:r>
    </w:p>
    <w:p>
      <w:pPr>
        <w:pStyle w:val="BookText"/>
      </w:pPr>
      <w:r>
        <w:rPr>
          <w:rFonts w:ascii="IRNazanin" w:hAnsi="IRNazanin" w:eastAsia="IRNazanin" w:cs="IRNazanin"/>
          <w:lang w:bidi="fa-IR"/>
          <w:color w:val="111111"/>
          <w:sz w:val="28"/>
          <w:szCs w:val="28"/>
          <w:rtl/>
        </w:rPr>
        <w:t xml:space="preserve">قم؛ مرعشی؛ شماره نسخه: ۷۵۰۸</w:t>
      </w:r>
    </w:p>
    <w:p>
      <w:pPr>
        <w:pStyle w:val="BookText"/>
      </w:pPr>
      <w:r>
        <w:rPr>
          <w:rFonts w:ascii="IRNazanin" w:hAnsi="IRNazanin" w:eastAsia="IRNazanin" w:cs="IRNazanin"/>
          <w:lang w:bidi="fa-IR"/>
          <w:color w:val="111111"/>
          <w:sz w:val="28"/>
          <w:szCs w:val="28"/>
          <w:rtl/>
        </w:rPr>
        <w:t xml:space="preserve">خط: نسخ، كان ابراهيم بن احمد عجلونی زاویانی شافعی، تا: دوشنبه سلخ ذیقعده ۱۱۵۲ق؛ تملك: سعيد بن محمد يس، کریم بن ابوالقاسم لاهیجی با مهر «یا کریم» (بیضی)؛ جلد: مقوایی عطف تیماج قهوه ای، ۵۲گ، ۱۷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۳۰۸-۱۹ ]</w:t>
      </w:r>
    </w:p>
    <w:p>
      <w:pPr>
        <w:pStyle w:val="Heading3"/>
      </w:pPr>
      <w:bookmarkStart w:id="811" w:name="_Toc71"/>
      <w:r>
        <w:t>• بضاعة المبتدی = قرابادین رومی / طب / فارسی</w:t>
      </w:r>
      <w:bookmarkEnd w:id="811"/>
    </w:p>
    <w:p>
      <w:pPr>
        <w:pStyle w:val="BookText"/>
      </w:pPr>
      <w:r>
        <w:rPr>
          <w:rFonts w:ascii="Times New Roman" w:hAnsi="Times New Roman" w:eastAsia="Times New Roman" w:cs="Times New Roman"/>
          <w:lang w:val="en-US" w:bidi="en-US"/>
          <w:color w:val="111111"/>
          <w:sz w:val="28"/>
          <w:szCs w:val="28"/>
          <w:rtl/>
        </w:rPr>
        <w:t xml:space="preserve">bezā‘at-ol mobtadī= qarābādīn-e rūmī</w:t>
      </w:r>
    </w:p>
    <w:p>
      <w:pPr>
        <w:pStyle w:val="BookText"/>
      </w:pPr>
      <w:r>
        <w:rPr>
          <w:rFonts w:ascii="IRNazanin" w:hAnsi="IRNazanin" w:eastAsia="IRNazanin" w:cs="IRNazanin"/>
          <w:lang w:bidi="fa-IR"/>
          <w:color w:val="111111"/>
          <w:sz w:val="28"/>
          <w:szCs w:val="28"/>
          <w:rtl/>
        </w:rPr>
        <w:t xml:space="preserve">گزینه ای است از کتابی به نام «بضاعة المبتدی».</w:t>
      </w:r>
    </w:p>
    <w:p>
      <w:pPr>
        <w:pStyle w:val="BookText"/>
      </w:pPr>
      <w:r>
        <w:rPr>
          <w:rFonts w:ascii="IRNazanin" w:hAnsi="IRNazanin" w:eastAsia="IRNazanin" w:cs="IRNazanin"/>
          <w:lang w:bidi="fa-IR"/>
          <w:color w:val="111111"/>
          <w:sz w:val="28"/>
          <w:szCs w:val="28"/>
          <w:rtl/>
        </w:rPr>
        <w:t xml:space="preserve">[فهرستواره منزوی ۳۳۱۶/۵ ]</w:t>
      </w:r>
    </w:p>
    <w:p>
      <w:pPr>
        <w:pStyle w:val="BookText"/>
      </w:pPr>
      <w:r>
        <w:rPr>
          <w:rFonts w:ascii="IRNazanin" w:hAnsi="IRNazanin" w:eastAsia="IRNazanin" w:cs="IRNazanin"/>
          <w:lang w:bidi="fa-IR"/>
          <w:color w:val="111111"/>
          <w:sz w:val="28"/>
          <w:szCs w:val="28"/>
          <w:rtl/>
        </w:rPr>
        <w:t xml:space="preserve">مشهد؛ گوهرشاد؛ شماره نسخه: ۱۱۸۲/۱</w:t>
      </w:r>
    </w:p>
    <w:p>
      <w:pPr>
        <w:pStyle w:val="BookText"/>
      </w:pPr>
      <w:r>
        <w:rPr>
          <w:rFonts w:ascii="IRNazanin" w:hAnsi="IRNazanin" w:eastAsia="IRNazanin" w:cs="IRNazanin"/>
          <w:lang w:bidi="fa-IR"/>
          <w:color w:val="111111"/>
          <w:sz w:val="28"/>
          <w:szCs w:val="28"/>
          <w:rtl/>
        </w:rPr>
        <w:t xml:space="preserve">آغاز: بسمله از قرابادین رومی مسمی ببضاعة المبتدی که در روم بسیار معتبر است نقل می شود. ایدر و مالی یعنی ماء العسل بجهة تسکین عطش و علل بارده خصوصا دماغيه و عصبانیه و مفاصليه؛ انجام: دهن حب البان بجهه صمم و دوی و وجع الاذن ... و بجهة تليين كبد و طحال و تقنيح سدد آنها.</w:t>
      </w:r>
    </w:p>
    <w:p>
      <w:pPr>
        <w:pStyle w:val="BookText"/>
      </w:pPr>
      <w:r>
        <w:rPr>
          <w:rFonts w:ascii="IRNazanin" w:hAnsi="IRNazanin" w:eastAsia="IRNazanin" w:cs="IRNazanin"/>
          <w:lang w:bidi="fa-IR"/>
          <w:color w:val="111111"/>
          <w:sz w:val="28"/>
          <w:szCs w:val="28"/>
          <w:rtl/>
        </w:rPr>
        <w:t xml:space="preserve">در نسخه موجود هشت برگی از آن بیش بجای نمانده است؛ خط:</w:t>
      </w:r>
    </w:p>
    <w:p>
      <w:pPr>
        <w:pStyle w:val="BookText"/>
      </w:pPr>
      <w:r>
        <w:rPr>
          <w:rFonts w:ascii="IRNazanin" w:hAnsi="IRNazanin" w:eastAsia="IRNazanin" w:cs="IRNazanin"/>
          <w:lang w:bidi="fa-IR"/>
          <w:color w:val="111111"/>
          <w:sz w:val="28"/>
          <w:szCs w:val="28"/>
          <w:rtl/>
        </w:rPr>
        <w:t xml:space="preserve">نستعلیق، بی کا، تا: قرن ۱۳؛ افتادگی: انجام؛ راسته و چلیپا؛ مهر: کتابخانه مجدالدین؛ کاغذ: فرنگی، جلد: تیماج مشکی لایه ای، ۱۴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۳-۱۶۳۸]</w:t>
      </w:r>
    </w:p>
    <w:p>
      <w:pPr>
        <w:pStyle w:val="Heading3"/>
      </w:pPr>
      <w:bookmarkStart w:id="812" w:name="_Toc72"/>
      <w:r>
        <w:t>• البضاعة المزجاة / حديث / عربی</w:t>
      </w:r>
      <w:bookmarkEnd w:id="812"/>
    </w:p>
    <w:p>
      <w:pPr>
        <w:pStyle w:val="BookText"/>
      </w:pPr>
      <w:r>
        <w:rPr>
          <w:rFonts w:ascii="Times New Roman" w:hAnsi="Times New Roman" w:eastAsia="Times New Roman" w:cs="Times New Roman"/>
          <w:lang w:val="en-US" w:bidi="en-US"/>
          <w:color w:val="111111"/>
          <w:sz w:val="28"/>
          <w:szCs w:val="28"/>
          <w:rtl/>
        </w:rPr>
        <w:t xml:space="preserve">al-bidaat-ul muzjat</w:t>
      </w:r>
    </w:p>
    <w:p>
      <w:pPr>
        <w:pStyle w:val="BookText"/>
      </w:pPr>
      <w:r>
        <w:rPr>
          <w:rFonts w:ascii="IRNazanin" w:hAnsi="IRNazanin" w:eastAsia="IRNazanin" w:cs="IRNazanin"/>
          <w:lang w:bidi="fa-IR"/>
          <w:color w:val="111111"/>
          <w:sz w:val="28"/>
          <w:szCs w:val="28"/>
          <w:rtl/>
        </w:rPr>
        <w:t xml:space="preserve">محمد حسین بن قاریاغدی، ق ۱۱ قمری</w:t>
      </w:r>
    </w:p>
    <w:p>
      <w:pPr>
        <w:pStyle w:val="BookText"/>
      </w:pPr>
      <w:r>
        <w:rPr>
          <w:rFonts w:ascii="Times New Roman" w:hAnsi="Times New Roman" w:eastAsia="Times New Roman" w:cs="Times New Roman"/>
          <w:lang w:val="en-US" w:bidi="en-US"/>
          <w:color w:val="111111"/>
          <w:sz w:val="28"/>
          <w:szCs w:val="28"/>
          <w:rtl/>
        </w:rPr>
        <w:t xml:space="preserve">mohammad hoseyn ebn-e qārīyāqadī (- 17c)</w:t>
      </w:r>
    </w:p>
    <w:p>
      <w:pPr>
        <w:pStyle w:val="BookText"/>
      </w:pPr>
      <w:r>
        <w:rPr>
          <w:rFonts w:ascii="IRNazanin" w:hAnsi="IRNazanin" w:eastAsia="IRNazanin" w:cs="IRNazanin"/>
          <w:lang w:bidi="fa-IR"/>
          <w:color w:val="111111"/>
          <w:sz w:val="28"/>
          <w:szCs w:val="28"/>
          <w:rtl/>
        </w:rPr>
        <w:t xml:space="preserve">شرح مفصلی است گویا در دو جلد بر روضه کافی با فهرستی درسی «باب» در آغاز کتاب که روایات روضه را به حسب موضوع آنها تنظیم کرده است. احادیث را با عناوین «متن» می آورد و با عناوین «شرح» از جهت سند و متن توضیح می دهد و جلد اول چهاردهم محرم ۱۰۹۸ به پایان رسیده است.</w:t>
      </w:r>
    </w:p>
    <w:p>
      <w:pPr>
        <w:pStyle w:val="BookText"/>
      </w:pPr>
      <w:r>
        <w:rPr>
          <w:rFonts w:ascii="Amiri" w:hAnsi="Amiri" w:eastAsia="Amiri" w:cs="Amiri"/>
          <w:lang w:bidi="ar-SA"/>
          <w:color w:val="111111"/>
          <w:sz w:val="28"/>
          <w:szCs w:val="28"/>
          <w:rtl/>
        </w:rPr>
        <w:t xml:space="preserve">آغاز: الحمدلله الناشر في الخلق فضله و الباسط فيهم بالجود يده نحمده على ما كان و نستعينه من امرنا على ما يكون</w:t>
      </w:r>
    </w:p>
    <w:p>
      <w:pPr>
        <w:pStyle w:val="BookText"/>
      </w:pPr>
      <w:r>
        <w:rPr>
          <w:rFonts w:ascii="IRNazanin" w:hAnsi="IRNazanin" w:eastAsia="IRNazanin" w:cs="IRNazanin"/>
          <w:lang w:bidi="fa-IR"/>
          <w:color w:val="111111"/>
          <w:sz w:val="28"/>
          <w:szCs w:val="28"/>
          <w:rtl/>
        </w:rPr>
        <w:t xml:space="preserve">١. تبریز؛ قاضی طباطبائی؛ شماره نسخه: بدون شماره</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كا: محمد طاهر بن علی اکبر زنگنه تبریزی، تا: ۱۱۰۰ق [نشریه: ۵۱۳-۷ ]</w:t>
      </w:r>
    </w:p>
    <w:p>
      <w:pPr>
        <w:pStyle w:val="BookText"/>
      </w:pPr>
      <w:r>
        <w:rPr>
          <w:rFonts w:ascii="IRNazanin" w:hAnsi="IRNazanin" w:eastAsia="IRNazanin" w:cs="IRNazanin"/>
          <w:lang w:bidi="fa-IR"/>
          <w:color w:val="111111"/>
          <w:sz w:val="28"/>
          <w:szCs w:val="28"/>
          <w:rtl/>
        </w:rPr>
        <w:t xml:space="preserve">۲. قم؛ مرعشی؛ شماره نسخه: ۷۶۹۲</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جلد اول، خط: نسخ، بی کا، بی تا؛ مصحح، محشی؛ مهر: «محمد بن زین العابدین الموسوی» (بیضوی)؛ جلد: تیماج قهوه ای، ۲۵۵ گ، ۲۵ سطر، اندازه: ۱۹/۵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۲۹/۵سم [ف: ۲۰-۷۵)</w:t>
      </w:r>
    </w:p>
    <w:p>
      <w:pPr>
        <w:pStyle w:val="Heading3"/>
      </w:pPr>
      <w:bookmarkStart w:id="813" w:name="_Toc73"/>
      <w:r>
        <w:t>• بضاعت المزجاة / فقه / فارسی</w:t>
      </w:r>
      <w:bookmarkEnd w:id="813"/>
    </w:p>
    <w:p>
      <w:pPr>
        <w:pStyle w:val="BookText"/>
      </w:pPr>
      <w:r>
        <w:rPr>
          <w:rFonts w:ascii="Times New Roman" w:hAnsi="Times New Roman" w:eastAsia="Times New Roman" w:cs="Times New Roman"/>
          <w:lang w:val="en-US" w:bidi="en-US"/>
          <w:color w:val="111111"/>
          <w:sz w:val="28"/>
          <w:szCs w:val="28"/>
          <w:rtl/>
        </w:rPr>
        <w:t xml:space="preserve">bezāʻat-ol mozjāt</w:t>
      </w:r>
    </w:p>
    <w:p>
      <w:pPr>
        <w:pStyle w:val="BookText"/>
      </w:pPr>
      <w:r>
        <w:rPr>
          <w:rFonts w:ascii="IRNazanin" w:hAnsi="IRNazanin" w:eastAsia="IRNazanin" w:cs="IRNazanin"/>
          <w:lang w:bidi="fa-IR"/>
          <w:color w:val="111111"/>
          <w:sz w:val="28"/>
          <w:szCs w:val="28"/>
          <w:rtl/>
        </w:rPr>
        <w:t xml:space="preserve">تنکابنی، محمد بن سليمان، ۱۲۳۴-۱۳۰۲ قمری</w:t>
      </w:r>
    </w:p>
    <w:p>
      <w:pPr>
        <w:pStyle w:val="BookText"/>
      </w:pPr>
      <w:r>
        <w:rPr>
          <w:rFonts w:ascii="Times New Roman" w:hAnsi="Times New Roman" w:eastAsia="Times New Roman" w:cs="Times New Roman"/>
          <w:lang w:val="en-US" w:bidi="en-US"/>
          <w:color w:val="111111"/>
          <w:sz w:val="28"/>
          <w:szCs w:val="28"/>
          <w:rtl/>
        </w:rPr>
        <w:t xml:space="preserve">tonekābonī, mohammad ebn-e soleymān (1819-1885)</w:t>
      </w:r>
    </w:p>
    <w:p>
      <w:pPr>
        <w:pStyle w:val="BookText"/>
      </w:pPr>
      <w:r>
        <w:rPr>
          <w:rFonts w:ascii="IRNazanin" w:hAnsi="IRNazanin" w:eastAsia="IRNazanin" w:cs="IRNazanin"/>
          <w:lang w:bidi="fa-IR"/>
          <w:color w:val="111111"/>
          <w:sz w:val="28"/>
          <w:szCs w:val="28"/>
          <w:rtl/>
        </w:rPr>
        <w:t xml:space="preserve">رساله کوتاهی است در احکام میراث مشتمل بر سه «باب»: ۱. اسباب ارث؛ ۲. موانع ارث و حجب؛ ۳. لواحق ارث. آغاز: پس از ستودن ذات حضرت کردگار و درود نامعدود بر روان حضرت احمد مختار و آل اطهار ... که چون مسائل فرائض و مواریث در غایت اغلاق و اشکال بود</w:t>
      </w:r>
    </w:p>
    <w:p>
      <w:pPr>
        <w:pStyle w:val="BookText"/>
      </w:pPr>
      <w:r>
        <w:rPr>
          <w:rFonts w:ascii="IRNazanin" w:hAnsi="IRNazanin" w:eastAsia="IRNazanin" w:cs="IRNazanin"/>
          <w:lang w:bidi="fa-IR"/>
          <w:color w:val="111111"/>
          <w:sz w:val="28"/>
          <w:szCs w:val="28"/>
          <w:rtl/>
        </w:rPr>
        <w:t xml:space="preserve">انجام: و بعضی مسائل ارث اگر چه صریحا ذکر نشده است لیکن حکم آنها از احکامی که ذکر نمودیم استفاده می شود لهذا باختصار کوشیدیم.</w:t>
      </w:r>
    </w:p>
    <w:p>
      <w:pPr>
        <w:pStyle w:val="BookText"/>
      </w:pPr>
      <w:r>
        <w:rPr>
          <w:rFonts w:ascii="IRNazanin" w:hAnsi="IRNazanin" w:eastAsia="IRNazanin" w:cs="IRNazanin"/>
          <w:lang w:bidi="fa-IR"/>
          <w:color w:val="111111"/>
          <w:sz w:val="28"/>
          <w:szCs w:val="28"/>
          <w:rtl/>
        </w:rPr>
        <w:t xml:space="preserve">۱. قم؛ گلپایگانی؛ شماره نسخه: ۵۸۲۲/۷ - ۲۹/۱۶۲</w:t>
      </w:r>
    </w:p>
    <w:p>
      <w:pPr>
        <w:pStyle w:val="BookText"/>
      </w:pPr>
      <w:r>
        <w:rPr>
          <w:rFonts w:ascii="IRNazanin" w:hAnsi="IRNazanin" w:eastAsia="IRNazanin" w:cs="IRNazanin"/>
          <w:lang w:bidi="fa-IR"/>
          <w:color w:val="111111"/>
          <w:sz w:val="28"/>
          <w:szCs w:val="28"/>
          <w:rtl/>
        </w:rPr>
        <w:t xml:space="preserve">آغاز: برابر، انجام: فصل دوم در میراث مجوس است و ایشان که مرافعه بکنند به سوی ما ... امید که عمل کنندگان را حضرت کردگار در روز شمار مستغرق رحمت و کرم خویش گرداند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2" w:name="pg20363_209182"/>
    <w:bookmarkEnd w:id="32"/>
    <w:p>
      <w:pPr>
        <w:pStyle w:val="BookText"/>
      </w:pPr>
      <w:r>
        <w:rPr>
          <w:rFonts w:ascii="IRNazanin" w:hAnsi="IRNazanin" w:eastAsia="IRNazanin" w:cs="IRNazanin"/>
          <w:lang w:bidi="fa-IR"/>
          <w:color w:val="111111"/>
          <w:sz w:val="28"/>
          <w:szCs w:val="28"/>
          <w:rtl/>
        </w:rPr>
        <w:t xml:space="preserve">بمحمد و آله صلى الله على محمد و آله</w:t>
      </w:r>
    </w:p>
    <w:p>
      <w:pPr>
        <w:pStyle w:val="BookText"/>
      </w:pPr>
      <w:r>
        <w:rPr>
          <w:rFonts w:ascii="IRNazanin" w:hAnsi="IRNazanin" w:eastAsia="IRNazanin" w:cs="IRNazanin"/>
          <w:lang w:bidi="fa-IR"/>
          <w:color w:val="111111"/>
          <w:sz w:val="28"/>
          <w:szCs w:val="28"/>
          <w:rtl/>
        </w:rPr>
        <w:t xml:space="preserve">خط: تحریری، کاتب = مؤلف، تا: پنج شنبه ربيع الثانی ۱۲۸۷ق؛ جلد: تیماج قهوه ای ضربی مجدول گرهی، ۱۳گ، ۲۳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۲-۶۲۵]</w:t>
      </w:r>
    </w:p>
    <w:p>
      <w:pPr>
        <w:pStyle w:val="BookText"/>
      </w:pPr>
      <w:r>
        <w:rPr>
          <w:rFonts w:ascii="IRNazanin" w:hAnsi="IRNazanin" w:eastAsia="IRNazanin" w:cs="IRNazanin"/>
          <w:lang w:bidi="fa-IR"/>
          <w:color w:val="111111"/>
          <w:sz w:val="28"/>
          <w:szCs w:val="28"/>
          <w:rtl/>
        </w:rPr>
        <w:t xml:space="preserve">٢. چالوس؛ امام صادق شماره نسخه: ۳۳۱/۳</w:t>
      </w:r>
    </w:p>
    <w:p>
      <w:pPr>
        <w:pStyle w:val="BookText"/>
      </w:pPr>
      <w:r>
        <w:rPr>
          <w:rFonts w:ascii="IRNazanin" w:hAnsi="IRNazanin" w:eastAsia="IRNazanin" w:cs="IRNazanin"/>
          <w:lang w:bidi="fa-IR"/>
          <w:color w:val="111111"/>
          <w:sz w:val="28"/>
          <w:szCs w:val="28"/>
          <w:rtl/>
        </w:rPr>
        <w:t xml:space="preserve">آغاز و انجام: برابر خط: نسخ، كا: ابراهيم بن علی کلارستاقی، تا: ۱۲۶۹ق، جان مدرسه جناب مجتهد الزمانی آقا میرزا محمد؛ جلد: تیماج سیاه، ۱۰گ،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۲۱۴]</w:t>
      </w:r>
    </w:p>
    <w:p>
      <w:pPr>
        <w:pStyle w:val="BookText"/>
      </w:pPr>
      <w:r>
        <w:rPr>
          <w:rFonts w:ascii="IRNazanin" w:hAnsi="IRNazanin" w:eastAsia="IRNazanin" w:cs="IRNazanin"/>
          <w:lang w:bidi="fa-IR"/>
          <w:color w:val="111111"/>
          <w:sz w:val="28"/>
          <w:szCs w:val="28"/>
          <w:rtl/>
        </w:rPr>
        <w:t xml:space="preserve">٣. چالوس؛ امام صادق شماره نسخه: ۳۲۵/۱</w:t>
      </w:r>
    </w:p>
    <w:p>
      <w:pPr>
        <w:pStyle w:val="BookText"/>
      </w:pPr>
      <w:r>
        <w:rPr>
          <w:rFonts w:ascii="IRNazanin" w:hAnsi="IRNazanin" w:eastAsia="IRNazanin" w:cs="IRNazanin"/>
          <w:lang w:bidi="fa-IR"/>
          <w:color w:val="111111"/>
          <w:sz w:val="28"/>
          <w:szCs w:val="28"/>
          <w:rtl/>
        </w:rPr>
        <w:t xml:space="preserve">آغاز: برابر؛ انجام: ملا محمد هادي بن ملا محمد صالح مازندرانی صاحب ترجمه قرآن البته مؤمنين طلب مغفرت در اسحار برای این بزرگواران کرده ... و مایه افاضه فيوضات شود.</w:t>
      </w:r>
    </w:p>
    <w:p>
      <w:pPr>
        <w:pStyle w:val="BookText"/>
      </w:pPr>
      <w:r>
        <w:rPr>
          <w:rFonts w:ascii="IRNazanin" w:hAnsi="IRNazanin" w:eastAsia="IRNazanin" w:cs="IRNazanin"/>
          <w:lang w:bidi="fa-IR"/>
          <w:color w:val="111111"/>
          <w:sz w:val="28"/>
          <w:szCs w:val="28"/>
          <w:rtl/>
        </w:rPr>
        <w:t xml:space="preserve">خط: نسخ نازیبا، بی کا، تا: ۱۲۸۸ق؛ جلد: تیماج قهوه ای، ۱۵گ،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۲۰۹]</w:t>
      </w:r>
    </w:p>
    <w:p>
      <w:pPr>
        <w:pStyle w:val="BookText"/>
      </w:pPr>
      <w:r>
        <w:rPr>
          <w:rFonts w:ascii="IRNazanin" w:hAnsi="IRNazanin" w:eastAsia="IRNazanin" w:cs="IRNazanin"/>
          <w:lang w:bidi="fa-IR"/>
          <w:color w:val="111111"/>
          <w:sz w:val="28"/>
          <w:szCs w:val="28"/>
          <w:rtl/>
        </w:rPr>
        <w:t xml:space="preserve">۴. چالوس؛ امام صادق؛ شماره نسخه: ۵۵۰/۱</w:t>
      </w:r>
    </w:p>
    <w:p>
      <w:pPr>
        <w:pStyle w:val="BookText"/>
      </w:pPr>
      <w:r>
        <w:rPr>
          <w:rFonts w:ascii="IRNazanin" w:hAnsi="IRNazanin" w:eastAsia="IRNazanin" w:cs="IRNazanin"/>
          <w:lang w:bidi="fa-IR"/>
          <w:color w:val="111111"/>
          <w:sz w:val="28"/>
          <w:szCs w:val="28"/>
          <w:rtl/>
        </w:rPr>
        <w:t xml:space="preserve">بی کا، تا: ۱۲۹۲ق؛ جلد: تیماج،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۲۸۷]</w:t>
      </w:r>
    </w:p>
    <w:p>
      <w:pPr>
        <w:pStyle w:val="BookText"/>
      </w:pPr>
      <w:r>
        <w:rPr>
          <w:rFonts w:ascii="IRNazanin" w:hAnsi="IRNazanin" w:eastAsia="IRNazanin" w:cs="IRNazanin"/>
          <w:lang w:bidi="fa-IR"/>
          <w:color w:val="111111"/>
          <w:sz w:val="28"/>
          <w:szCs w:val="28"/>
          <w:rtl/>
        </w:rPr>
        <w:t xml:space="preserve">۵. چالوس؛ امام صادق؛ شماره نسخه: ۵۴۰/۱</w:t>
      </w:r>
    </w:p>
    <w:p>
      <w:pPr>
        <w:pStyle w:val="BookText"/>
      </w:pPr>
      <w:r>
        <w:rPr>
          <w:rFonts w:ascii="IRNazanin" w:hAnsi="IRNazanin" w:eastAsia="IRNazanin" w:cs="IRNazanin"/>
          <w:lang w:bidi="fa-IR"/>
          <w:color w:val="111111"/>
          <w:sz w:val="28"/>
          <w:szCs w:val="28"/>
          <w:rtl/>
        </w:rPr>
        <w:t xml:space="preserve">خط: نستعلیق، كا: مقصود علی بن حسین قلی کلاردشتی، تا: ۱۲۹۶ق؛ جلد: تیماج سیاه،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۲۷۸]</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نوربخش، شماره نسخه: ۵۵۶/۲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كا: قاسم بن علیا گل سناری، تا: ۱۲۹۶ق؛ کاغذ: فرنگی، جلد: مقوایی، ۵۳ص (۴۰-۹۲)،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۲-۲۰۱]</w:t>
      </w:r>
    </w:p>
    <w:p>
      <w:pPr>
        <w:pStyle w:val="BookText"/>
      </w:pPr>
      <w:r>
        <w:rPr>
          <w:rFonts w:ascii="IRNazanin" w:hAnsi="IRNazanin" w:eastAsia="IRNazanin" w:cs="IRNazanin"/>
          <w:lang w:bidi="fa-IR"/>
          <w:color w:val="111111"/>
          <w:sz w:val="28"/>
          <w:szCs w:val="28"/>
          <w:rtl/>
        </w:rPr>
        <w:t xml:space="preserve">۷. چالوس؛ امام صادق؛ شماره نسخه: ۵۲/۲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تا: ۱۰ ربیع الاول ۱۲۹۸ق، جا؛ تهران، مدرسه مهد عليا؛ جلد: تیماج قهوه ای، ۱۰گ،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۱۷۰]</w:t>
      </w:r>
    </w:p>
    <w:p>
      <w:pPr>
        <w:pStyle w:val="BookText"/>
      </w:pPr>
      <w:r>
        <w:rPr>
          <w:rFonts w:ascii="IRNazanin" w:hAnsi="IRNazanin" w:eastAsia="IRNazanin" w:cs="IRNazanin"/>
          <w:lang w:bidi="fa-IR"/>
          <w:color w:val="111111"/>
          <w:sz w:val="28"/>
          <w:szCs w:val="28"/>
          <w:rtl/>
        </w:rPr>
        <w:t xml:space="preserve">٨. چالوس؛ امام صادق شماره نسخه: ۶۶۲/۲</w:t>
      </w:r>
    </w:p>
    <w:p>
      <w:pPr>
        <w:pStyle w:val="BookText"/>
      </w:pPr>
      <w:r>
        <w:rPr>
          <w:rFonts w:ascii="IRNazanin" w:hAnsi="IRNazanin" w:eastAsia="IRNazanin" w:cs="IRNazanin"/>
          <w:lang w:bidi="fa-IR"/>
          <w:color w:val="111111"/>
          <w:sz w:val="28"/>
          <w:szCs w:val="28"/>
          <w:rtl/>
        </w:rPr>
        <w:t xml:space="preserve">کا: قنبر، تا: ۱۳۰۰ق؛ جلد: تیماج سیاه، ۲۵گ، اندازه: ۱۹۶۱۱سم [ف: ۳۲۱]</w:t>
      </w:r>
    </w:p>
    <w:p>
      <w:pPr>
        <w:pStyle w:val="BookText"/>
      </w:pPr>
      <w:r>
        <w:rPr>
          <w:rFonts w:ascii="IRNazanin" w:hAnsi="IRNazanin" w:eastAsia="IRNazanin" w:cs="IRNazanin"/>
          <w:lang w:bidi="fa-IR"/>
          <w:color w:val="111111"/>
          <w:sz w:val="28"/>
          <w:szCs w:val="28"/>
          <w:rtl/>
        </w:rPr>
        <w:t xml:space="preserve">9 . قم؛ مرعشی؛ شماره نسخه: ۸۸۸۳/۹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موسی پزشک تنکابنی، تا: ۱۳۴۰ق، جا: پیلاق ليمراء جلد: جلد مقوایی پارچه، ۸گ (۷۴ر -۸۱ر)،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۲۳-۷۱]</w:t>
      </w:r>
    </w:p>
    <w:p>
      <w:pPr>
        <w:pStyle w:val="BookText"/>
      </w:pPr>
      <w:r>
        <w:rPr>
          <w:rFonts w:ascii="IRNazanin" w:hAnsi="IRNazanin" w:eastAsia="IRNazanin" w:cs="IRNazanin"/>
          <w:lang w:bidi="fa-IR"/>
          <w:color w:val="111111"/>
          <w:sz w:val="28"/>
          <w:szCs w:val="28"/>
          <w:rtl/>
        </w:rPr>
        <w:t xml:space="preserve">۱۰. چالوس؛ امام صادق؛ شماره نسخه: ۵۶۴/۱</w:t>
      </w:r>
    </w:p>
    <w:p>
      <w:pPr>
        <w:pStyle w:val="BookText"/>
      </w:pPr>
      <w:r>
        <w:rPr>
          <w:rFonts w:ascii="IRNazanin" w:hAnsi="IRNazanin" w:eastAsia="IRNazanin" w:cs="IRNazanin"/>
          <w:lang w:bidi="fa-IR"/>
          <w:color w:val="111111"/>
          <w:sz w:val="28"/>
          <w:szCs w:val="28"/>
          <w:rtl/>
        </w:rPr>
        <w:t xml:space="preserve">بی کا، بی تا؛ جلد: تیماج سیاه،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۳۰۴]</w:t>
      </w:r>
    </w:p>
    <w:p>
      <w:pPr>
        <w:pStyle w:val="BookText"/>
      </w:pPr>
      <w:r>
        <w:rPr>
          <w:rFonts w:ascii="IRNazanin" w:hAnsi="IRNazanin" w:eastAsia="IRNazanin" w:cs="IRNazanin"/>
          <w:lang w:bidi="fa-IR"/>
          <w:color w:val="111111"/>
          <w:sz w:val="28"/>
          <w:szCs w:val="28"/>
          <w:rtl/>
        </w:rPr>
        <w:t xml:space="preserve">۱۱. چالوس؛ امام صادق؛ شماره نسخه: ۶۰۴/۲</w:t>
      </w:r>
    </w:p>
    <w:p>
      <w:pPr>
        <w:pStyle w:val="BookText"/>
      </w:pPr>
      <w:r>
        <w:rPr>
          <w:rFonts w:ascii="IRNazanin" w:hAnsi="IRNazanin" w:eastAsia="IRNazanin" w:cs="IRNazanin"/>
          <w:lang w:bidi="fa-IR"/>
          <w:color w:val="111111"/>
          <w:sz w:val="28"/>
          <w:szCs w:val="28"/>
          <w:rtl/>
        </w:rPr>
        <w:t xml:space="preserve">بی کا، بی تا، جلد: تیماج سیاه،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۳۰۵]</w:t>
      </w:r>
    </w:p>
    <w:p>
      <w:pPr>
        <w:pStyle w:val="BookText"/>
      </w:pPr>
      <w:r>
        <w:rPr>
          <w:rFonts w:ascii="IRNazanin" w:hAnsi="IRNazanin" w:eastAsia="IRNazanin" w:cs="IRNazanin"/>
          <w:lang w:bidi="fa-IR"/>
          <w:color w:val="111111"/>
          <w:sz w:val="28"/>
          <w:szCs w:val="28"/>
          <w:rtl/>
        </w:rPr>
        <w:t xml:space="preserve">۱۲. تهران؛ مجلس؛ شماره نسخه: ۱۷۶۵۷ ض</w:t>
      </w:r>
    </w:p>
    <w:p>
      <w:pPr>
        <w:pStyle w:val="BookText"/>
      </w:pPr>
      <w:r>
        <w:rPr>
          <w:rFonts w:ascii="IRNazanin" w:hAnsi="IRNazanin" w:eastAsia="IRNazanin" w:cs="IRNazanin"/>
          <w:lang w:bidi="fa-IR"/>
          <w:color w:val="111111"/>
          <w:sz w:val="28"/>
          <w:szCs w:val="28"/>
          <w:rtl/>
        </w:rPr>
        <w:t xml:space="preserve">بی کا، بی تا [د.ث. مجلس]</w:t>
      </w:r>
    </w:p>
    <w:p>
      <w:pPr>
        <w:pStyle w:val="Heading3"/>
      </w:pPr>
      <w:bookmarkStart w:id="814" w:name="_Toc74"/>
      <w:r>
        <w:t>• بضاعت مزجاة / تاریخ ایران / فارسی</w:t>
      </w:r>
      <w:bookmarkEnd w:id="814"/>
    </w:p>
    <w:p>
      <w:pPr>
        <w:pStyle w:val="BookText"/>
      </w:pPr>
      <w:r>
        <w:rPr>
          <w:rFonts w:ascii="Times New Roman" w:hAnsi="Times New Roman" w:eastAsia="Times New Roman" w:cs="Times New Roman"/>
          <w:lang w:val="en-US" w:bidi="en-US"/>
          <w:color w:val="111111"/>
          <w:sz w:val="28"/>
          <w:szCs w:val="28"/>
          <w:rtl/>
        </w:rPr>
        <w:t xml:space="preserve">bezā‘at-e mozjāt</w:t>
      </w:r>
    </w:p>
    <w:p>
      <w:pPr>
        <w:pStyle w:val="BookText"/>
      </w:pPr>
      <w:r>
        <w:rPr>
          <w:rFonts w:ascii="IRNazanin" w:hAnsi="IRNazanin" w:eastAsia="IRNazanin" w:cs="IRNazanin"/>
          <w:lang w:bidi="fa-IR"/>
          <w:color w:val="111111"/>
          <w:sz w:val="28"/>
          <w:szCs w:val="28"/>
          <w:rtl/>
        </w:rPr>
        <w:t xml:space="preserve">جزایری شوشتری، عبدالحسين بن عزیز الله، ق۱۳ قمری</w:t>
      </w:r>
    </w:p>
    <w:p>
      <w:pPr>
        <w:pStyle w:val="BookText"/>
      </w:pPr>
      <w:r>
        <w:rPr>
          <w:rFonts w:ascii="Times New Roman" w:hAnsi="Times New Roman" w:eastAsia="Times New Roman" w:cs="Times New Roman"/>
          <w:lang w:val="en-US" w:bidi="en-US"/>
          <w:color w:val="111111"/>
          <w:sz w:val="28"/>
          <w:szCs w:val="28"/>
          <w:rtl/>
        </w:rPr>
        <w:t xml:space="preserve">jazāyerī šoštarī, ‘abd-ol-hoseyn ebn-e ‘azīz-ol-lāh ( 19c)</w:t>
      </w:r>
    </w:p>
    <w:p>
      <w:pPr>
        <w:pStyle w:val="BookText"/>
      </w:pPr>
      <w:r>
        <w:rPr>
          <w:rFonts w:ascii="IRNazanin" w:hAnsi="IRNazanin" w:eastAsia="IRNazanin" w:cs="IRNazanin"/>
          <w:lang w:bidi="fa-IR"/>
          <w:color w:val="111111"/>
          <w:sz w:val="28"/>
          <w:szCs w:val="28"/>
          <w:rtl/>
        </w:rPr>
        <w:t xml:space="preserve">اهدا به: محمد حسین میرزای حشمة الدوله حاكم دزفول تاریخ تأليف: ۱۲۴۶ق؛ محل تألیف: کرمان</w:t>
      </w:r>
    </w:p>
    <w:p>
      <w:pPr>
        <w:pStyle w:val="BookText"/>
      </w:pPr>
      <w:r>
        <w:rPr>
          <w:rFonts w:ascii="IRNazanin" w:hAnsi="IRNazanin" w:eastAsia="IRNazanin" w:cs="IRNazanin"/>
          <w:lang w:bidi="fa-IR"/>
          <w:color w:val="111111"/>
          <w:sz w:val="28"/>
          <w:szCs w:val="28"/>
          <w:rtl/>
        </w:rPr>
        <w:t xml:space="preserve">در تاریخ خوزستان، در یک «مقدمه» (ذکر خوزستان و بلاد آن) و سه «فصل» (بقاع شوشتر، دزفول، احوال بند خاقانی).</w:t>
      </w:r>
    </w:p>
    <w:p>
      <w:pPr>
        <w:pStyle w:val="BookText"/>
      </w:pPr>
      <w:r>
        <w:rPr>
          <w:rFonts w:ascii="Amiri" w:hAnsi="Amiri" w:eastAsia="Amiri" w:cs="Amiri"/>
          <w:lang w:bidi="ar-SA"/>
          <w:color w:val="111111"/>
          <w:sz w:val="28"/>
          <w:szCs w:val="28"/>
          <w:rtl/>
        </w:rPr>
        <w:t xml:space="preserve">آغاز: بسمله، الحمدلله الذي جعل الأرض مسجدا لأوليائه</w:t>
      </w:r>
    </w:p>
    <w:p>
      <w:pPr>
        <w:pStyle w:val="BookText"/>
      </w:pPr>
      <w:r>
        <w:rPr>
          <w:rFonts w:ascii="IRNazanin" w:hAnsi="IRNazanin" w:eastAsia="IRNazanin" w:cs="IRNazanin"/>
          <w:lang w:bidi="fa-IR"/>
          <w:color w:val="111111"/>
          <w:sz w:val="28"/>
          <w:szCs w:val="28"/>
          <w:rtl/>
        </w:rPr>
        <w:t xml:space="preserve">انجام: و آله اهل الفضائل و الافضال.</w:t>
      </w:r>
    </w:p>
    <w:p>
      <w:pPr>
        <w:pStyle w:val="BookText"/>
      </w:pPr>
      <w:r>
        <w:rPr>
          <w:rFonts w:ascii="IRNazanin" w:hAnsi="IRNazanin" w:eastAsia="IRNazanin" w:cs="IRNazanin"/>
          <w:lang w:bidi="fa-IR"/>
          <w:color w:val="111111"/>
          <w:sz w:val="28"/>
          <w:szCs w:val="28"/>
          <w:rtl/>
        </w:rPr>
        <w:t xml:space="preserve">[ فهرستواره منزوی ۸۳۱/۲ ]</w:t>
      </w:r>
    </w:p>
    <w:p>
      <w:pPr>
        <w:pStyle w:val="BookText"/>
      </w:pPr>
      <w:r>
        <w:rPr>
          <w:rFonts w:ascii="IRNazanin" w:hAnsi="IRNazanin" w:eastAsia="IRNazanin" w:cs="IRNazanin"/>
          <w:lang w:bidi="fa-IR"/>
          <w:color w:val="111111"/>
          <w:sz w:val="28"/>
          <w:szCs w:val="28"/>
          <w:rtl/>
        </w:rPr>
        <w:t xml:space="preserve">۱. تهران: مجلس؛ شماره نسخه: ۷۰ سرود</w:t>
      </w:r>
    </w:p>
    <w:p>
      <w:pPr>
        <w:pStyle w:val="BookText"/>
      </w:pPr>
      <w:r>
        <w:rPr>
          <w:rFonts w:ascii="IRNazanin" w:hAnsi="IRNazanin" w:eastAsia="IRNazanin" w:cs="IRNazanin"/>
          <w:lang w:bidi="fa-IR"/>
          <w:color w:val="111111"/>
          <w:sz w:val="28"/>
          <w:szCs w:val="28"/>
          <w:rtl/>
        </w:rPr>
        <w:t xml:space="preserve">خط: نسخ ریز، بی کا، تا: قرن ۱۳؛ کاغذ: فرنگی نخودی، جلد: تیماج قهوه ای یک لا، قطع: خشتی (نشریه: ۱۳-۴۲۶]</w:t>
      </w:r>
    </w:p>
    <w:p>
      <w:pPr>
        <w:pStyle w:val="BookText"/>
      </w:pPr>
      <w:r>
        <w:rPr>
          <w:rFonts w:ascii="IRNazanin" w:hAnsi="IRNazanin" w:eastAsia="IRNazanin" w:cs="IRNazanin"/>
          <w:lang w:bidi="fa-IR"/>
          <w:color w:val="111111"/>
          <w:sz w:val="28"/>
          <w:szCs w:val="28"/>
          <w:rtl/>
        </w:rPr>
        <w:t xml:space="preserve">۲. تهران: ملک؛ شماره نسخه: ۳۷۵۱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موسوی، عبدالحسين بن عبدالله، تا: قرن ۱۳؛ کاغذ: کاغذ فستقی، جلد: میشن قرمز، ۱۳۱، ۱۴ سطر، اندازه: ۲۰/۹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۱۵/۲ سم [ف: ۲-۵۸]</w:t>
      </w:r>
    </w:p>
    <w:p>
      <w:pPr>
        <w:pStyle w:val="Heading3"/>
      </w:pPr>
      <w:bookmarkStart w:id="815" w:name="_Toc75"/>
      <w:r>
        <w:t>• بضاعة المزجاة / عربی</w:t>
      </w:r>
      <w:bookmarkEnd w:id="815"/>
    </w:p>
    <w:p>
      <w:pPr>
        <w:pStyle w:val="BookText"/>
      </w:pPr>
      <w:r>
        <w:rPr>
          <w:rFonts w:ascii="Times New Roman" w:hAnsi="Times New Roman" w:eastAsia="Times New Roman" w:cs="Times New Roman"/>
          <w:lang w:val="en-US" w:bidi="en-US"/>
          <w:color w:val="111111"/>
          <w:sz w:val="28"/>
          <w:szCs w:val="28"/>
          <w:rtl/>
        </w:rPr>
        <w:t xml:space="preserve">bidā‘at-ul muzjāt</w:t>
      </w:r>
    </w:p>
    <w:p>
      <w:pPr>
        <w:pStyle w:val="BookText"/>
      </w:pPr>
      <w:r>
        <w:rPr>
          <w:rFonts w:ascii="IRNazanin" w:hAnsi="IRNazanin" w:eastAsia="IRNazanin" w:cs="IRNazanin"/>
          <w:lang w:bidi="fa-IR"/>
          <w:color w:val="111111"/>
          <w:sz w:val="28"/>
          <w:szCs w:val="28"/>
          <w:rtl/>
        </w:rPr>
        <w:t xml:space="preserve">تهران؛ ملی؛ شماره نسخه: ۱۷۹۷۶</w:t>
      </w:r>
    </w:p>
    <w:p>
      <w:pPr>
        <w:pStyle w:val="BookText"/>
      </w:pPr>
      <w:r>
        <w:rPr>
          <w:rFonts w:ascii="IRNazanin" w:hAnsi="IRNazanin" w:eastAsia="IRNazanin" w:cs="IRNazanin"/>
          <w:lang w:bidi="fa-IR"/>
          <w:color w:val="111111"/>
          <w:sz w:val="28"/>
          <w:szCs w:val="28"/>
          <w:rtl/>
        </w:rPr>
        <w:t xml:space="preserve">بی کا، بی تاب انتقالی از کتابخانه پهلوی - مجموعه نوازی؛ ۲۴۶گ، اندازه: ۲۶/۴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۱۵/۴</w:t>
      </w:r>
    </w:p>
    <w:p>
      <w:pPr>
        <w:pStyle w:val="BookText"/>
      </w:pPr>
      <w:r>
        <w:rPr>
          <w:rFonts w:ascii="IRNazanin" w:hAnsi="IRNazanin" w:eastAsia="IRNazanin" w:cs="IRNazanin"/>
          <w:lang w:bidi="fa-IR"/>
          <w:color w:val="111111"/>
          <w:sz w:val="28"/>
          <w:szCs w:val="28"/>
          <w:rtl/>
        </w:rPr>
        <w:t xml:space="preserve">سم [رایانه]</w:t>
      </w:r>
    </w:p>
    <w:p>
      <w:pPr>
        <w:pStyle w:val="Heading3"/>
      </w:pPr>
      <w:bookmarkStart w:id="816" w:name="_Toc76"/>
      <w:r>
        <w:t>• بضاعة المزجاة في تأويل الآيات / تفسير / فارسی</w:t>
      </w:r>
      <w:bookmarkEnd w:id="816"/>
    </w:p>
    <w:p>
      <w:pPr>
        <w:pStyle w:val="BookText"/>
      </w:pPr>
      <w:r>
        <w:rPr>
          <w:rFonts w:ascii="Times New Roman" w:hAnsi="Times New Roman" w:eastAsia="Times New Roman" w:cs="Times New Roman"/>
          <w:lang w:val="en-US" w:bidi="en-US"/>
          <w:color w:val="111111"/>
          <w:sz w:val="28"/>
          <w:szCs w:val="28"/>
          <w:rtl/>
        </w:rPr>
        <w:t xml:space="preserve">bida'at-ul muzjat fi ta'wll-il ayat</w:t>
      </w:r>
    </w:p>
    <w:p>
      <w:pPr>
        <w:pStyle w:val="BookText"/>
      </w:pPr>
      <w:r>
        <w:rPr>
          <w:rFonts w:ascii="IRNazanin" w:hAnsi="IRNazanin" w:eastAsia="IRNazanin" w:cs="IRNazanin"/>
          <w:lang w:bidi="fa-IR"/>
          <w:color w:val="111111"/>
          <w:sz w:val="28"/>
          <w:szCs w:val="28"/>
          <w:rtl/>
        </w:rPr>
        <w:t xml:space="preserve">شیرازی، محمد رضا بن ضياء الدين، ق۱۳ قمری</w:t>
      </w:r>
    </w:p>
    <w:p>
      <w:pPr>
        <w:pStyle w:val="BookText"/>
      </w:pPr>
      <w:r>
        <w:rPr>
          <w:rFonts w:ascii="Times New Roman" w:hAnsi="Times New Roman" w:eastAsia="Times New Roman" w:cs="Times New Roman"/>
          <w:lang w:val="en-US" w:bidi="en-US"/>
          <w:color w:val="111111"/>
          <w:sz w:val="28"/>
          <w:szCs w:val="28"/>
          <w:rtl/>
        </w:rPr>
        <w:t xml:space="preserve">šīrāzī, mohammad rezā ben zīyā’-od-dīn (- 19c)</w:t>
      </w:r>
    </w:p>
    <w:p>
      <w:pPr>
        <w:pStyle w:val="BookText"/>
      </w:pPr>
      <w:r>
        <w:rPr>
          <w:rFonts w:ascii="IRNazanin" w:hAnsi="IRNazanin" w:eastAsia="IRNazanin" w:cs="IRNazanin"/>
          <w:lang w:bidi="fa-IR"/>
          <w:color w:val="111111"/>
          <w:sz w:val="28"/>
          <w:szCs w:val="28"/>
          <w:rtl/>
        </w:rPr>
        <w:t xml:space="preserve">تاريخ تأليف: ۱۲۵۰ق (شروع تألیف)</w:t>
      </w:r>
    </w:p>
    <w:p>
      <w:pPr>
        <w:pStyle w:val="BookText"/>
      </w:pPr>
      <w:r>
        <w:rPr>
          <w:rFonts w:ascii="IRNazanin" w:hAnsi="IRNazanin" w:eastAsia="IRNazanin" w:cs="IRNazanin"/>
          <w:lang w:bidi="fa-IR"/>
          <w:color w:val="111111"/>
          <w:sz w:val="28"/>
          <w:szCs w:val="28"/>
          <w:rtl/>
        </w:rPr>
        <w:t xml:space="preserve">بنا به درخواست بعضی دوستان اشکالاتی که بر بعضی از آیات قرآن کریم شده را به ترتيب سور قرآنی پاسخ گفته و آن را در یک «مقدمه» و دو «فصل» و «خاتمه» تنظیم نموده است و تأليف آن را به یکی از سلاطين قاجار (که نامش خالی مانده) تقدیم کرده است.</w:t>
      </w:r>
    </w:p>
    <w:p>
      <w:pPr>
        <w:pStyle w:val="BookText"/>
      </w:pPr>
      <w:r>
        <w:rPr>
          <w:rFonts w:ascii="IRNazanin" w:hAnsi="IRNazanin" w:eastAsia="IRNazanin" w:cs="IRNazanin"/>
          <w:lang w:bidi="fa-IR"/>
          <w:color w:val="111111"/>
          <w:sz w:val="28"/>
          <w:szCs w:val="28"/>
          <w:rtl/>
        </w:rPr>
        <w:t xml:space="preserve">آغاز: گوهر گران بهای حمد ولؤلؤ كثير الصفای ثنا خاصه ذات پاک یگانه ای است که از نتیجه کلک قدرت واثر خامه [نسخه های منزوی ۸/۱]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3" w:name="pg20363_209183"/>
    <w:bookmarkEnd w:id="33"/>
    <w:p>
      <w:pPr>
        <w:pStyle w:val="BookText"/>
      </w:pPr>
      <w:r>
        <w:rPr>
          <w:rFonts w:ascii="IRNazanin" w:hAnsi="IRNazanin" w:eastAsia="IRNazanin" w:cs="IRNazanin"/>
          <w:lang w:bidi="fa-IR"/>
          <w:color w:val="111111"/>
          <w:sz w:val="28"/>
          <w:szCs w:val="28"/>
          <w:rtl/>
        </w:rPr>
        <w:t xml:space="preserve">۱. قم؛ مرکز احیاء؛ شماره نسخه: ۲۴۳۸</w:t>
      </w:r>
    </w:p>
    <w:p>
      <w:pPr>
        <w:pStyle w:val="BookText"/>
      </w:pPr>
      <w:r>
        <w:rPr>
          <w:rFonts w:ascii="IRNazanin" w:hAnsi="IRNazanin" w:eastAsia="IRNazanin" w:cs="IRNazanin"/>
          <w:lang w:bidi="fa-IR"/>
          <w:color w:val="111111"/>
          <w:sz w:val="28"/>
          <w:szCs w:val="28"/>
          <w:rtl/>
        </w:rPr>
        <w:t xml:space="preserve">آغاز: برابر، انجام: که معتبر است وجود امکانی واین مرتبه ظل مرتبه اولی که مرتبه واجبی است می باشد</w:t>
      </w:r>
    </w:p>
    <w:p>
      <w:pPr>
        <w:pStyle w:val="BookText"/>
      </w:pPr>
      <w:r>
        <w:rPr>
          <w:rFonts w:ascii="IRNazanin" w:hAnsi="IRNazanin" w:eastAsia="IRNazanin" w:cs="IRNazanin"/>
          <w:lang w:bidi="fa-IR"/>
          <w:color w:val="111111"/>
          <w:sz w:val="28"/>
          <w:szCs w:val="28"/>
          <w:rtl/>
        </w:rPr>
        <w:t xml:space="preserve">خط: نستعلیق، بی کا، تا: قرن ۱۳؛ افتادگی: انجام؛ مصحح؛ مهر: کتابخانه فضل الله نوری (مربع)؛ جلد: پارچه ای، عطف تیماج قرمز، ۸۷گ، ۱۷ سطر، اندازه: ۱۵/۵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 سم [محدث ارموی مخ: ۲۵۷-۱ ]</w:t>
      </w:r>
    </w:p>
    <w:p>
      <w:pPr>
        <w:pStyle w:val="BookText"/>
      </w:pPr>
      <w:r>
        <w:rPr>
          <w:rFonts w:ascii="IRNazanin" w:hAnsi="IRNazanin" w:eastAsia="IRNazanin" w:cs="IRNazanin"/>
          <w:lang w:bidi="fa-IR"/>
          <w:color w:val="111111"/>
          <w:sz w:val="28"/>
          <w:szCs w:val="28"/>
          <w:rtl/>
        </w:rPr>
        <w:t xml:space="preserve">۲. تهران؛ مجلس؛ شماره نسخه: ۵۴۳</w:t>
      </w:r>
    </w:p>
    <w:p>
      <w:pPr>
        <w:pStyle w:val="BookText"/>
      </w:pPr>
      <w:r>
        <w:rPr>
          <w:rFonts w:ascii="Amiri" w:hAnsi="Amiri" w:eastAsia="Amiri" w:cs="Amiri"/>
          <w:lang w:bidi="ar-SA"/>
          <w:color w:val="111111"/>
          <w:sz w:val="28"/>
          <w:szCs w:val="28"/>
          <w:rtl/>
        </w:rPr>
        <w:t xml:space="preserve">آغاز: برابر؛ انجام: تمام شد سوره ابراهيم و لله الحمد.</w:t>
      </w:r>
    </w:p>
    <w:p>
      <w:pPr>
        <w:pStyle w:val="BookText"/>
      </w:pPr>
      <w:r>
        <w:rPr>
          <w:rFonts w:ascii="IRNazanin" w:hAnsi="IRNazanin" w:eastAsia="IRNazanin" w:cs="IRNazanin"/>
          <w:lang w:bidi="fa-IR"/>
          <w:color w:val="111111"/>
          <w:sz w:val="28"/>
          <w:szCs w:val="28"/>
          <w:rtl/>
        </w:rPr>
        <w:t xml:space="preserve">خط: نسخ، بی کا، تا: پنج شنبه ۱ شعبان ۱۳۲۴ق؛ با یادداشت روز پنج شنبه یکم شعبان ۱۳۲۴؛ کاغذ: سفید، جلد: تیماج سرخ مقوایی، ۲۳۷، ۲۵ سطر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[سنا: ف: ۳۴۶-۱ ]</w:t>
      </w:r>
    </w:p>
    <w:p>
      <w:pPr>
        <w:pStyle w:val="Heading3"/>
      </w:pPr>
      <w:bookmarkStart w:id="817" w:name="_Toc77"/>
      <w:r>
        <w:t>• البضاعة المزجية في اثبات وجود الكلي الطبيعي / منطق / عربی</w:t>
      </w:r>
      <w:bookmarkEnd w:id="817"/>
    </w:p>
    <w:p>
      <w:pPr>
        <w:pStyle w:val="BookText"/>
      </w:pPr>
      <w:r>
        <w:rPr>
          <w:rFonts w:ascii="Times New Roman" w:hAnsi="Times New Roman" w:eastAsia="Times New Roman" w:cs="Times New Roman"/>
          <w:lang w:val="en-US" w:bidi="en-US"/>
          <w:color w:val="111111"/>
          <w:sz w:val="28"/>
          <w:szCs w:val="28"/>
          <w:rtl/>
        </w:rPr>
        <w:t xml:space="preserve">al-bidaat-ul muzjat fi itbat-i wujud-il kulli-yit tabi21</w:t>
      </w:r>
    </w:p>
    <w:p>
      <w:pPr>
        <w:pStyle w:val="BookText"/>
      </w:pPr>
      <w:r>
        <w:rPr>
          <w:rFonts w:ascii="IRNazanin" w:hAnsi="IRNazanin" w:eastAsia="IRNazanin" w:cs="IRNazanin"/>
          <w:lang w:bidi="fa-IR"/>
          <w:color w:val="111111"/>
          <w:sz w:val="28"/>
          <w:szCs w:val="28"/>
          <w:rtl/>
        </w:rPr>
        <w:t xml:space="preserve">تنکابنی، ابوالحسن بن محمد هادی، -۱۲۸۶ قمری</w:t>
      </w:r>
    </w:p>
    <w:p>
      <w:pPr>
        <w:pStyle w:val="BookText"/>
      </w:pPr>
      <w:r>
        <w:rPr>
          <w:rFonts w:ascii="Times New Roman" w:hAnsi="Times New Roman" w:eastAsia="Times New Roman" w:cs="Times New Roman"/>
          <w:lang w:val="en-US" w:bidi="en-US"/>
          <w:color w:val="111111"/>
          <w:sz w:val="28"/>
          <w:szCs w:val="28"/>
          <w:rtl/>
        </w:rPr>
        <w:t xml:space="preserve">tonekābonī, abo-ol-hasan ebn-e mohammad hādī ( 1870)</w:t>
      </w:r>
    </w:p>
    <w:p>
      <w:pPr>
        <w:pStyle w:val="BookText"/>
      </w:pPr>
      <w:r>
        <w:rPr>
          <w:rFonts w:ascii="IRNazanin" w:hAnsi="IRNazanin" w:eastAsia="IRNazanin" w:cs="IRNazanin"/>
          <w:lang w:bidi="fa-IR"/>
          <w:color w:val="111111"/>
          <w:sz w:val="28"/>
          <w:szCs w:val="28"/>
          <w:rtl/>
        </w:rPr>
        <w:t xml:space="preserve">تاریخ تأليف: شب ۱۵ ربیع الثانی ۱۲۵۵ق</w:t>
      </w:r>
    </w:p>
    <w:p>
      <w:pPr>
        <w:pStyle w:val="BookText"/>
      </w:pPr>
      <w:r>
        <w:rPr>
          <w:rFonts w:ascii="IRNazanin" w:hAnsi="IRNazanin" w:eastAsia="IRNazanin" w:cs="IRNazanin"/>
          <w:lang w:bidi="fa-IR"/>
          <w:color w:val="111111"/>
          <w:sz w:val="28"/>
          <w:szCs w:val="28"/>
          <w:rtl/>
        </w:rPr>
        <w:t xml:space="preserve">افلاطون فیلسوف یونانی فلسفه خویش را بر پایه کلی طبیعی موجود که آن را مثال نامیده است نهاده و شاگرد وی ارسطاطالیس وجود کلی را انکار نموده افراد جزئی را موجود دانست و مسئله وجود کلی و مثال افلاطونی میان پیروان این دو فرزانه هماره مورد بحث و گفتگو بوده است. یکی از دانشمندان باختری به نام فرفوریوس (۲۳۲ یا ۲۳۳-۳۰۴ق) در دیباچه ای که برای منطق ارسطو به نام ایساغوجي (ایساگو گه) یا مدخل نگاشته است در آغاز آن چنین گفت: «درباره اینکه جنس و نوع موجود واقعی مادی محسوس یا مجرد هستند یا جز مفهومی ذهنی بیش نیستند گفتگو نخواهیم کرد زیرا این مسئله ای است بسیار ژرف که بررسی دیگر و کاوش دامنه داری می خواهد». همین گفته فرفوریوس مایه این شد که از روزگار بوئسيوس فیلسوف و سیاسی روم و شارح کتاب های منطقی ارسطو (۴۸۰-۵۲۴) تا زمان تجدد (رنسانس) مسئله وجود کلی مورد اختلاف گردد و دانشمندان باختری به سه دسته بخش شوند: 1. واقعیان پیرو افلاطون، ۲. اسمیها پیرو آنتیستنس، ۳. نصوری های پیرو ارسطو. این عبارت فرفوریوس به دانشمندان خاوری نیز رسیده و آنها نیز به چنین بحثی پرداختند چنانکه ابوعلی بن زرعه نصرانی</w:t>
      </w:r>
    </w:p>
    <w:p>
      <w:pPr>
        <w:pStyle w:val="BookText"/>
      </w:pPr>
      <w:r>
        <w:rPr>
          <w:rFonts w:ascii="IRNazanin" w:hAnsi="IRNazanin" w:eastAsia="IRNazanin" w:cs="IRNazanin"/>
          <w:lang w:bidi="fa-IR"/>
          <w:color w:val="111111"/>
          <w:sz w:val="28"/>
          <w:szCs w:val="28"/>
          <w:rtl/>
        </w:rPr>
        <w:t xml:space="preserve">( ۳۹۸-۳۳۱ ) در کتاب «اغراض ارسطو طاليس المنطقيه» در آغاز معانی ایساغوجی» می گوید: «و المطالب الصنعية في هذه الخمسة بان ينظر فيها هل هي موجودة ام ليست موجودة فان قوما قالو لا وجود في الأمور الكلية. فان كانت موجودة فاما ان يون اجسامة او غير اجسام، و ان كانت غير اجسام فهل هي مفارقة اصلا للمادة في الوجود و الوهم کالباری تبارک و تعالی، اولها تعلق بالمادة ضربا من التعلق و فرفوریوس يتجنب هذه باسرها، و يتسلم تسليما أن الصور في النفس موجودة ... و ذلك أنه ليس الصانع من الصناع أن يتكلم في موضوع صناعته. يتسلمها تسليما من غير أن يبحث عنه». پیداست که ابوعلی در اینجا به گفتار فرفوریوس می نگرد و از اختلافی که در این مسئله میان دانشمندان هست بیگانه نیست. ابوعلی سینا در فصل ۱۲ مقاله 1 فن 1 منطق شفا و دیگر نگارش های خویش از این مطلب سخن راند و در کتب حکما و متکلمان نیز در باره وجود کلی بحث شده و اشراقیان و صوفیان هم در برابر مشائیان به اعیان ثابت و ارباب انواع و مثل معلق قائل شدند. صدرالدین محمد شیرازی فیلسوف بزرگ در کتاب های خود به ویژه در اسفار (جلد ۱ آغاز مرحله ۴) از وجود کلی و مثل گفتگو نمود. چنانکه امام رازی در مباحث مشرقی در فصل ۲ باب سوم کتاب در این باره سخن راند. درست می توان گفت بهترین کتابی که در این زمینه نوشته شده همین «البضاعة المزجية» است که دانشمند ابوالحسن بن محمد هادی حسینی تنکابنی آن را پرداخته است. این کتاب دارای یک «مقدمه» در ۵ «کلمه» و دو «باب» است: ۱. ابطال سخن مانعان در ۲۰ «دلیل» و در دلیل یکم گوید که «کلی موجود، فرد خارجی نیست، تا ناگزیر شود که در چند جا باشد و صفهای گوناگون و ناسازگار پذیرد و در واحد نوعی هم چنین چیزی محال نیست» و در این جا به اعتراضی می نگرد که شیخ در فصل ۱ مقاله ۵ الهی شفا (ص ۴۸۶-۴۸۷ چاپی) و در رساله ای که درباره گفتار دانشمند همدانی نوشته است آورده و آن را رد می کند؛ باب ۲. اثبات وجود کلی طبیعی در ۴۰ «قاعده» که در این چهل قاعده بسیاری از مطالب مهم منطق و فلسفه را می آورد و آنها را دلیل وجود کلی می گیرد مانند: بداهت، ایجاب و سلب، تضایف، سبر برو تقسیم، وجود، معرفت صدق، انتاج، تكرر اوسط، ترکیب ماهیت، غیر معلل بودن ذاتی و جز اینها و در پایان این باب بدلایلی که دانشمندان آورده اند اشاره می کند.</w:t>
      </w:r>
    </w:p>
    <w:p>
      <w:pPr>
        <w:pStyle w:val="BookText"/>
      </w:pPr>
      <w:r>
        <w:rPr>
          <w:rFonts w:ascii="IRNazanin" w:hAnsi="IRNazanin" w:eastAsia="IRNazanin" w:cs="IRNazanin"/>
          <w:lang w:bidi="fa-IR"/>
          <w:color w:val="111111"/>
          <w:sz w:val="28"/>
          <w:szCs w:val="28"/>
          <w:rtl/>
        </w:rPr>
        <w:t xml:space="preserve">بی هیچ گفتگو این نگارش را می توان از شاهکارهای دانشمندان ایران به شمار آورد. از گفته تنکابنی پیداست که وی این کتاب را در نزدیک به بیست روز پاکنویس نموده و بیشتر آن اندیشه خود او است.</w:t>
      </w:r>
    </w:p>
    <w:p>
      <w:pPr>
        <w:pStyle w:val="BookText"/>
      </w:pPr>
      <w:r>
        <w:rPr>
          <w:rFonts w:ascii="IRNazanin" w:hAnsi="IRNazanin" w:eastAsia="IRNazanin" w:cs="IRNazanin"/>
          <w:lang w:bidi="fa-IR"/>
          <w:color w:val="111111"/>
          <w:sz w:val="28"/>
          <w:szCs w:val="28"/>
          <w:rtl/>
        </w:rPr>
        <w:t xml:space="preserve">تهران، دانشگاه شماره نسخه: ۸۹۲/۱</w:t>
      </w:r>
    </w:p>
    <w:p>
      <w:pPr>
        <w:pStyle w:val="BookText"/>
      </w:pPr>
      <w:r>
        <w:rPr>
          <w:rFonts w:ascii="IRNazanin" w:hAnsi="IRNazanin" w:eastAsia="IRNazanin" w:cs="IRNazanin"/>
          <w:lang w:bidi="fa-IR"/>
          <w:color w:val="111111"/>
          <w:sz w:val="28"/>
          <w:szCs w:val="28"/>
          <w:rtl/>
        </w:rPr>
        <w:t xml:space="preserve">آغاز: بسمله لك الحمد ياذا المن و الجود و العلا ... فيقول ... ابن محمد هادی الحسینی ابوالحسن التنكابنی انه لما اشتهر في الألسن ان الحق عند المحققين هو وجود الكلى الطبیعی؛ انجام: فتدبر حتى تعلم ان ذات الجزء قد يتقدم. هذا آخر ما اردنا ایراده مع قلة البضاعة. و كان اكثره مما تفردت و علیک النظر بعين الانصاف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4" w:name="pg20363_209184"/>
    <w:bookmarkEnd w:id="34"/>
    <w:p>
      <w:pPr>
        <w:pStyle w:val="BookText"/>
      </w:pPr>
      <w:r>
        <w:rPr>
          <w:rFonts w:ascii="IRNazanin" w:hAnsi="IRNazanin" w:eastAsia="IRNazanin" w:cs="IRNazanin"/>
          <w:lang w:bidi="fa-IR"/>
          <w:color w:val="111111"/>
          <w:sz w:val="28"/>
          <w:szCs w:val="28"/>
          <w:rtl/>
        </w:rPr>
        <w:t xml:space="preserve">لابعين الاعتساف و قد وقع الفراغ من التأليف في ليلة الخميس و الخامس عشر من شهر ربيع الثاني في سنة خمس وخمسين بعد المأتين و الألف في العتبات العاليات. و وقع الفراغ من الاستنساخ في يوم الأربعا في خامسة شهر جمادى الأولى بيد مؤلفه ابی الحسن بن هادي الحسینی فی ۱۲۵۵. خط: نسخ، كاتب = مؤلف، تا: ۵ جمادی الاول ۱۲۵۵ق؛ دارای خط خوردگی؛ جلد: مقوای پارچه ای و گوشه ها و ته آن تیماج، ۷۰گ، ۲۲سطر(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۳-۱۸]</w:t>
      </w:r>
    </w:p>
    <w:p>
      <w:pPr>
        <w:pStyle w:val="Heading3"/>
      </w:pPr>
      <w:bookmarkStart w:id="818" w:name="_Toc78"/>
      <w:r>
        <w:t>• بطلان اختلاف النظرية و الضرورية باختلاف الأذهان العقلاء / فلسفه / عربی</w:t>
      </w:r>
      <w:bookmarkEnd w:id="818"/>
    </w:p>
    <w:p>
      <w:pPr>
        <w:pStyle w:val="BookText"/>
      </w:pPr>
      <w:r>
        <w:rPr>
          <w:rFonts w:ascii="Times New Roman" w:hAnsi="Times New Roman" w:eastAsia="Times New Roman" w:cs="Times New Roman"/>
          <w:lang w:val="en-US" w:bidi="en-US"/>
          <w:color w:val="111111"/>
          <w:sz w:val="28"/>
          <w:szCs w:val="28"/>
          <w:rtl/>
        </w:rPr>
        <w:t xml:space="preserve">buțlān-u ixtilāf-in nazarīyya wa-d darūrīyya bi-ixtilāf il adhān-il ‘uqalā</w:t>
      </w:r>
    </w:p>
    <w:p>
      <w:pPr>
        <w:pStyle w:val="BookText"/>
      </w:pPr>
      <w:r>
        <w:rPr>
          <w:rFonts w:ascii="Times New Roman" w:hAnsi="Times New Roman" w:eastAsia="Times New Roman" w:cs="Times New Roman"/>
          <w:lang w:val="en-US" w:bidi="en-US"/>
          <w:color w:val="111111"/>
          <w:sz w:val="28"/>
          <w:szCs w:val="28"/>
          <w:rtl/>
        </w:rPr>
        <w:t xml:space="preserve">વાd</w:t>
      </w:r>
    </w:p>
    <w:p>
      <w:pPr>
        <w:pStyle w:val="BookText"/>
      </w:pPr>
      <w:r>
        <w:rPr>
          <w:rFonts w:ascii="IRNazanin" w:hAnsi="IRNazanin" w:eastAsia="IRNazanin" w:cs="IRNazanin"/>
          <w:lang w:bidi="fa-IR"/>
          <w:color w:val="111111"/>
          <w:sz w:val="28"/>
          <w:szCs w:val="28"/>
          <w:rtl/>
        </w:rPr>
        <w:t xml:space="preserve">شیروانی، محمد بن حسن، ۱۰۳۳-۱۰۹۸ قمری</w:t>
      </w:r>
    </w:p>
    <w:p>
      <w:pPr>
        <w:pStyle w:val="BookText"/>
      </w:pPr>
      <w:r>
        <w:rPr>
          <w:rFonts w:ascii="Times New Roman" w:hAnsi="Times New Roman" w:eastAsia="Times New Roman" w:cs="Times New Roman"/>
          <w:lang w:val="en-US" w:bidi="en-US"/>
          <w:color w:val="111111"/>
          <w:sz w:val="28"/>
          <w:szCs w:val="28"/>
          <w:rtl/>
        </w:rPr>
        <w:t xml:space="preserve">šīrvānī, mohammad ebn-e hasan (1624-1687)</w:t>
      </w:r>
    </w:p>
    <w:p>
      <w:pPr>
        <w:pStyle w:val="BookText"/>
      </w:pPr>
      <w:r>
        <w:rPr>
          <w:rFonts w:ascii="IRNazanin" w:hAnsi="IRNazanin" w:eastAsia="IRNazanin" w:cs="IRNazanin"/>
          <w:lang w:bidi="fa-IR"/>
          <w:color w:val="111111"/>
          <w:sz w:val="28"/>
          <w:szCs w:val="28"/>
          <w:rtl/>
        </w:rPr>
        <w:t xml:space="preserve">تهران؛ دانشگاه؛ شماره نسخه:</w:t>
      </w:r>
    </w:p>
    <w:p>
      <w:pPr>
        <w:pStyle w:val="BookText"/>
      </w:pPr>
      <w:r>
        <w:rPr>
          <w:rFonts w:ascii="IRNazanin" w:hAnsi="IRNazanin" w:eastAsia="IRNazanin" w:cs="IRNazanin"/>
          <w:lang w:bidi="fa-IR"/>
          <w:color w:val="111111"/>
          <w:sz w:val="28"/>
          <w:szCs w:val="28"/>
          <w:rtl/>
        </w:rPr>
        <w:t xml:space="preserve">۷۰۰۸/۲۶ خط: نسخ، بی کا، بی تا؛ کاغذ: سپاهانی، جلد: تیماج آلبالویی ترنجی مقوایی، ۹گ (۱۸۴پ -۱۹۲پ)، ۱۵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قطع: ربعی، اندازه: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۱۶-۴۲۷]</w:t>
      </w:r>
    </w:p>
    <w:p>
      <w:pPr>
        <w:pStyle w:val="Heading3"/>
      </w:pPr>
      <w:bookmarkStart w:id="819" w:name="_Toc79"/>
      <w:r>
        <w:t>• بطلان تناهي الابعاد / فلسفه، عرفان و تصوف / عربی</w:t>
      </w:r>
      <w:bookmarkEnd w:id="819"/>
    </w:p>
    <w:p>
      <w:pPr>
        <w:pStyle w:val="BookText"/>
      </w:pPr>
      <w:r>
        <w:rPr>
          <w:rFonts w:ascii="Times New Roman" w:hAnsi="Times New Roman" w:eastAsia="Times New Roman" w:cs="Times New Roman"/>
          <w:lang w:val="en-US" w:bidi="en-US"/>
          <w:color w:val="111111"/>
          <w:sz w:val="28"/>
          <w:szCs w:val="28"/>
          <w:rtl/>
        </w:rPr>
        <w:t xml:space="preserve">buțlān-u tanāhi-1 abʻād</w:t>
      </w:r>
    </w:p>
    <w:p>
      <w:pPr>
        <w:pStyle w:val="BookText"/>
      </w:pPr>
      <w:r>
        <w:rPr>
          <w:rFonts w:ascii="IRNazanin" w:hAnsi="IRNazanin" w:eastAsia="IRNazanin" w:cs="IRNazanin"/>
          <w:lang w:bidi="fa-IR"/>
          <w:color w:val="111111"/>
          <w:sz w:val="28"/>
          <w:szCs w:val="28"/>
          <w:rtl/>
        </w:rPr>
        <w:t xml:space="preserve">میرزا بابا شیرازی، ابوالقاسم بن عبد النبي، ۱۲۱۲؟ - ۱۲۸۶ قمری</w:t>
      </w:r>
    </w:p>
    <w:p>
      <w:pPr>
        <w:pStyle w:val="BookText"/>
      </w:pPr>
      <w:r>
        <w:rPr>
          <w:rFonts w:ascii="Times New Roman" w:hAnsi="Times New Roman" w:eastAsia="Times New Roman" w:cs="Times New Roman"/>
          <w:lang w:val="en-US" w:bidi="en-US"/>
          <w:color w:val="111111"/>
          <w:sz w:val="28"/>
          <w:szCs w:val="28"/>
          <w:rtl/>
        </w:rPr>
        <w:t xml:space="preserve">mīrzā bābā šīrāzī, ab-ol-qāsem ebn-e ‘abd-on-nabī (1798-1870)</w:t>
      </w:r>
    </w:p>
    <w:p>
      <w:pPr>
        <w:pStyle w:val="BookText"/>
      </w:pPr>
      <w:r>
        <w:rPr>
          <w:rFonts w:ascii="IRNazanin" w:hAnsi="IRNazanin" w:eastAsia="IRNazanin" w:cs="IRNazanin"/>
          <w:lang w:bidi="fa-IR"/>
          <w:color w:val="111111"/>
          <w:sz w:val="28"/>
          <w:szCs w:val="28"/>
          <w:rtl/>
        </w:rPr>
        <w:t xml:space="preserve">رساله در ابطال تناهی ابعاد به مسلک عرفا است که در پرسش فرزندش مجد الأشرف تأليف نموده و مذيل است به تعليقات و اضافات و تتمیماتی از فرزند مؤلف.</w:t>
      </w:r>
    </w:p>
    <w:p>
      <w:pPr>
        <w:pStyle w:val="BookText"/>
      </w:pPr>
      <w:r>
        <w:rPr>
          <w:rFonts w:ascii="IRNazanin" w:hAnsi="IRNazanin" w:eastAsia="IRNazanin" w:cs="IRNazanin"/>
          <w:lang w:bidi="fa-IR"/>
          <w:color w:val="111111"/>
          <w:sz w:val="28"/>
          <w:szCs w:val="28"/>
          <w:rtl/>
        </w:rPr>
        <w:t xml:space="preserve">چاپ: ایران، سنگی، ۱۳۱۶، جیبی، ۷۹ص (صص۱-۷۹)</w:t>
      </w:r>
    </w:p>
    <w:p>
      <w:pPr>
        <w:pStyle w:val="BookText"/>
      </w:pPr>
      <w:r>
        <w:rPr>
          <w:rFonts w:ascii="IRNazanin" w:hAnsi="IRNazanin" w:eastAsia="IRNazanin" w:cs="IRNazanin"/>
          <w:lang w:bidi="fa-IR"/>
          <w:color w:val="111111"/>
          <w:sz w:val="28"/>
          <w:szCs w:val="28"/>
          <w:rtl/>
        </w:rPr>
        <w:t xml:space="preserve">شروح و حواشی</w:t>
      </w:r>
    </w:p>
    <w:p>
      <w:pPr>
        <w:pStyle w:val="BookText"/>
      </w:pPr>
      <w:r>
        <w:rPr>
          <w:rFonts w:ascii="IRNazanin" w:hAnsi="IRNazanin" w:eastAsia="IRNazanin" w:cs="IRNazanin"/>
          <w:lang w:bidi="fa-IR"/>
          <w:color w:val="111111"/>
          <w:sz w:val="28"/>
          <w:szCs w:val="28"/>
          <w:rtl/>
        </w:rPr>
        <w:t xml:space="preserve">۱- تعليقات بر رساله بطلان تناهی ابعاد؛ مجدالاشراف، محمد بن ابوالقاسم (۱۲۴۶-۱۳۳۱)</w:t>
      </w:r>
    </w:p>
    <w:p>
      <w:pPr>
        <w:pStyle w:val="BookText"/>
      </w:pPr>
      <w:r>
        <w:rPr>
          <w:rFonts w:ascii="IRNazanin" w:hAnsi="IRNazanin" w:eastAsia="IRNazanin" w:cs="IRNazanin"/>
          <w:lang w:bidi="fa-IR"/>
          <w:color w:val="111111"/>
          <w:sz w:val="28"/>
          <w:szCs w:val="28"/>
          <w:rtl/>
        </w:rPr>
        <w:t xml:space="preserve">۲- بطلان تناهي الابعاد (ترجمه)؛ خوشنویس، احمد</w:t>
      </w:r>
    </w:p>
    <w:p>
      <w:pPr>
        <w:pStyle w:val="BookText"/>
      </w:pPr>
      <w:r>
        <w:rPr>
          <w:rFonts w:ascii="IRNazanin" w:hAnsi="IRNazanin" w:eastAsia="IRNazanin" w:cs="IRNazanin"/>
          <w:lang w:bidi="fa-IR"/>
          <w:color w:val="111111"/>
          <w:sz w:val="28"/>
          <w:szCs w:val="28"/>
          <w:rtl/>
        </w:rPr>
        <w:t xml:space="preserve">١. مشهد؛ رضوی؛ شماره نسخه: ۶۶۶</w:t>
      </w:r>
    </w:p>
    <w:p>
      <w:pPr>
        <w:pStyle w:val="BookText"/>
      </w:pPr>
      <w:r>
        <w:rPr>
          <w:rFonts w:ascii="IRNazanin" w:hAnsi="IRNazanin" w:eastAsia="IRNazanin" w:cs="IRNazanin"/>
          <w:lang w:bidi="fa-IR"/>
          <w:color w:val="111111"/>
          <w:sz w:val="28"/>
          <w:szCs w:val="28"/>
          <w:rtl/>
        </w:rPr>
        <w:t xml:space="preserve">آغاز: یا من هو سیدی و مولائی و سندی و مقتدائی؛ انجام: و من جهله فقد جهل الله إلى آخرها</w:t>
      </w:r>
    </w:p>
    <w:p>
      <w:pPr>
        <w:pStyle w:val="BookText"/>
      </w:pPr>
      <w:r>
        <w:rPr>
          <w:rFonts w:ascii="IRNazanin" w:hAnsi="IRNazanin" w:eastAsia="IRNazanin" w:cs="IRNazanin"/>
          <w:lang w:bidi="fa-IR"/>
          <w:color w:val="111111"/>
          <w:sz w:val="28"/>
          <w:szCs w:val="28"/>
          <w:rtl/>
        </w:rPr>
        <w:t xml:space="preserve">خط: نسخ، كا: عشقی ذهبی، تا: ۱۳۱۰ق؛ واقف: نائینی؛ ۶۰گ، ۱۷ سطر، اندازه: ۲۲۸۱۶سم [ف: ۴-۱۱۳]</w:t>
      </w:r>
    </w:p>
    <w:p>
      <w:pPr>
        <w:pStyle w:val="BookText"/>
      </w:pPr>
      <w:r>
        <w:rPr>
          <w:rFonts w:ascii="IRNazanin" w:hAnsi="IRNazanin" w:eastAsia="IRNazanin" w:cs="IRNazanin"/>
          <w:lang w:bidi="fa-IR"/>
          <w:color w:val="111111"/>
          <w:sz w:val="28"/>
          <w:szCs w:val="28"/>
          <w:rtl/>
        </w:rPr>
        <w:t xml:space="preserve">۲. اراک؛ دهگان؛ شماره نسخه: ۱۲۷/۵</w:t>
      </w:r>
    </w:p>
    <w:p>
      <w:pPr>
        <w:pStyle w:val="BookText"/>
      </w:pPr>
      <w:r>
        <w:rPr>
          <w:rFonts w:ascii="IRNazanin" w:hAnsi="IRNazanin" w:eastAsia="IRNazanin" w:cs="IRNazanin"/>
          <w:lang w:bidi="fa-IR"/>
          <w:color w:val="111111"/>
          <w:sz w:val="28"/>
          <w:szCs w:val="28"/>
          <w:rtl/>
        </w:rPr>
        <w:t xml:space="preserve">آغاز: بسمله و به نستعين، الحمدلله رب العالمين و العاقبة لأوليائه المتقين و العذاب لاعدائه العاصين ... اما بعد فيا قرة عينی؛ انجام: عن حمد و ثنائه و شكره و الصلوة و السلام عليهم و علينا و على عبادالله الصالحين الحكماء العرفاء المحققين و الاولياء الربانيين و رحمة الله</w:t>
      </w:r>
    </w:p>
    <w:p>
      <w:pPr>
        <w:pStyle w:val="BookText"/>
      </w:pPr>
      <w:r>
        <w:rPr>
          <w:rFonts w:ascii="IRNazanin" w:hAnsi="IRNazanin" w:eastAsia="IRNazanin" w:cs="IRNazanin"/>
          <w:lang w:bidi="fa-IR"/>
          <w:color w:val="111111"/>
          <w:sz w:val="28"/>
          <w:szCs w:val="28"/>
          <w:rtl/>
        </w:rPr>
        <w:t xml:space="preserve">خط: نسخ و نستعلیق، بی کا، تا: ۱۳۴۰ق؛ کاغذ: کرم، جلد: کرم، ۱۱گ (۱۸۷-۹۷پ)، قطع: وزیری کوچک،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۱-۱۴۰]</w:t>
      </w:r>
    </w:p>
    <w:p>
      <w:pPr>
        <w:pStyle w:val="Heading3"/>
      </w:pPr>
      <w:bookmarkStart w:id="820" w:name="_Toc80"/>
      <w:r>
        <w:t>• بطلان تناهي الابعاد (ترجمه) / عرفان و تصوف / فارسی</w:t>
      </w:r>
      <w:bookmarkEnd w:id="820"/>
    </w:p>
    <w:p>
      <w:pPr>
        <w:pStyle w:val="BookText"/>
      </w:pPr>
      <w:r>
        <w:rPr>
          <w:rFonts w:ascii="Times New Roman" w:hAnsi="Times New Roman" w:eastAsia="Times New Roman" w:cs="Times New Roman"/>
          <w:lang w:val="en-US" w:bidi="en-US"/>
          <w:color w:val="111111"/>
          <w:sz w:val="28"/>
          <w:szCs w:val="28"/>
          <w:rtl/>
        </w:rPr>
        <w:t xml:space="preserve">buțlān-u tanāhi-l ab‘ād (t.)</w:t>
      </w:r>
    </w:p>
    <w:p>
      <w:pPr>
        <w:pStyle w:val="BookText"/>
      </w:pPr>
      <w:r>
        <w:rPr>
          <w:rFonts w:ascii="IRNazanin" w:hAnsi="IRNazanin" w:eastAsia="IRNazanin" w:cs="IRNazanin"/>
          <w:lang w:bidi="fa-IR"/>
          <w:color w:val="111111"/>
          <w:sz w:val="28"/>
          <w:szCs w:val="28"/>
          <w:rtl/>
        </w:rPr>
        <w:t xml:space="preserve">خوشنویس، احمد</w:t>
      </w:r>
    </w:p>
    <w:p>
      <w:pPr>
        <w:pStyle w:val="BookText"/>
      </w:pPr>
      <w:r>
        <w:rPr>
          <w:rFonts w:ascii="Times New Roman" w:hAnsi="Times New Roman" w:eastAsia="Times New Roman" w:cs="Times New Roman"/>
          <w:lang w:val="en-US" w:bidi="en-US"/>
          <w:color w:val="111111"/>
          <w:sz w:val="28"/>
          <w:szCs w:val="28"/>
          <w:rtl/>
        </w:rPr>
        <w:t xml:space="preserve">xošnevīs, ahmad</w:t>
      </w:r>
    </w:p>
    <w:p>
      <w:pPr>
        <w:pStyle w:val="BookText"/>
      </w:pPr>
      <w:r>
        <w:rPr>
          <w:rFonts w:ascii="IRNazanin" w:hAnsi="IRNazanin" w:eastAsia="IRNazanin" w:cs="IRNazanin"/>
          <w:lang w:bidi="fa-IR"/>
          <w:color w:val="111111"/>
          <w:sz w:val="28"/>
          <w:szCs w:val="28"/>
          <w:rtl/>
        </w:rPr>
        <w:t xml:space="preserve">وابسته به: بطلان تناهي الابعاد؛ میرزا بابا شیرازی، ابوالقاسم بن عبد النبي (۱۲۱۲-۱۲۸۶)</w:t>
      </w:r>
    </w:p>
    <w:p>
      <w:pPr>
        <w:pStyle w:val="BookText"/>
      </w:pPr>
      <w:r>
        <w:rPr>
          <w:rFonts w:ascii="IRNazanin" w:hAnsi="IRNazanin" w:eastAsia="IRNazanin" w:cs="IRNazanin"/>
          <w:lang w:bidi="fa-IR"/>
          <w:color w:val="111111"/>
          <w:sz w:val="28"/>
          <w:szCs w:val="28"/>
          <w:rtl/>
        </w:rPr>
        <w:t xml:space="preserve">شیراز، خانقاه احمدیه؛ شماره نسخه: ۶۲</w:t>
      </w:r>
    </w:p>
    <w:p>
      <w:pPr>
        <w:pStyle w:val="BookText"/>
      </w:pPr>
      <w:r>
        <w:rPr>
          <w:rFonts w:ascii="IRNazanin" w:hAnsi="IRNazanin" w:eastAsia="IRNazanin" w:cs="IRNazanin"/>
          <w:lang w:bidi="fa-IR"/>
          <w:color w:val="111111"/>
          <w:sz w:val="28"/>
          <w:szCs w:val="28"/>
          <w:rtl/>
        </w:rPr>
        <w:t xml:space="preserve">بی کا، بی تا؛ نوشته با ماشین [نشریه: ۵-۲۱۰]</w:t>
      </w:r>
    </w:p>
    <w:p>
      <w:pPr>
        <w:pStyle w:val="Heading3"/>
      </w:pPr>
      <w:bookmarkStart w:id="821" w:name="_Toc81"/>
      <w:r>
        <w:t>• بطلان الخط / فلسفه / عربی</w:t>
      </w:r>
      <w:bookmarkEnd w:id="821"/>
    </w:p>
    <w:p>
      <w:pPr>
        <w:pStyle w:val="BookText"/>
      </w:pPr>
      <w:r>
        <w:rPr>
          <w:rFonts w:ascii="Times New Roman" w:hAnsi="Times New Roman" w:eastAsia="Times New Roman" w:cs="Times New Roman"/>
          <w:lang w:val="en-US" w:bidi="en-US"/>
          <w:color w:val="111111"/>
          <w:sz w:val="28"/>
          <w:szCs w:val="28"/>
          <w:rtl/>
        </w:rPr>
        <w:t xml:space="preserve">buțlān-ul xala'</w:t>
      </w:r>
    </w:p>
    <w:p>
      <w:pPr>
        <w:pStyle w:val="BookText"/>
      </w:pPr>
      <w:r>
        <w:rPr>
          <w:rFonts w:ascii="IRNazanin" w:hAnsi="IRNazanin" w:eastAsia="IRNazanin" w:cs="IRNazanin"/>
          <w:lang w:bidi="fa-IR"/>
          <w:color w:val="111111"/>
          <w:sz w:val="28"/>
          <w:szCs w:val="28"/>
          <w:rtl/>
        </w:rPr>
        <w:t xml:space="preserve">گیلانی، علی بن فضل الله، ق ۱۱ قمری</w:t>
      </w:r>
    </w:p>
    <w:p>
      <w:pPr>
        <w:pStyle w:val="BookText"/>
      </w:pPr>
      <w:r>
        <w:rPr>
          <w:rFonts w:ascii="Times New Roman" w:hAnsi="Times New Roman" w:eastAsia="Times New Roman" w:cs="Times New Roman"/>
          <w:lang w:val="en-US" w:bidi="en-US"/>
          <w:color w:val="111111"/>
          <w:sz w:val="28"/>
          <w:szCs w:val="28"/>
          <w:rtl/>
        </w:rPr>
        <w:t xml:space="preserve">gīlānī, ‘alī ebn-e fazl-ol-lāh (- 17c)</w:t>
      </w:r>
    </w:p>
    <w:p>
      <w:pPr>
        <w:pStyle w:val="BookText"/>
      </w:pPr>
      <w:r>
        <w:rPr>
          <w:rFonts w:ascii="IRNazanin" w:hAnsi="IRNazanin" w:eastAsia="IRNazanin" w:cs="IRNazanin"/>
          <w:lang w:bidi="fa-IR"/>
          <w:color w:val="111111"/>
          <w:sz w:val="28"/>
          <w:szCs w:val="28"/>
          <w:rtl/>
        </w:rPr>
        <w:t xml:space="preserve">وابسته به: شرح تجرید الاعتقاد = شرح تجرید العقاید؛ قوشچی، علی بن محمد (-۸۷۹ق)</w:t>
      </w:r>
    </w:p>
    <w:p>
      <w:pPr>
        <w:pStyle w:val="BookText"/>
      </w:pPr>
      <w:r>
        <w:rPr>
          <w:rFonts w:ascii="IRNazanin" w:hAnsi="IRNazanin" w:eastAsia="IRNazanin" w:cs="IRNazanin"/>
          <w:lang w:bidi="fa-IR"/>
          <w:color w:val="111111"/>
          <w:sz w:val="28"/>
          <w:szCs w:val="28"/>
          <w:rtl/>
        </w:rPr>
        <w:t xml:space="preserve">تاریخ تأليف: «الغني» = ۱۰۹۱ق</w:t>
      </w:r>
    </w:p>
    <w:p>
      <w:pPr>
        <w:pStyle w:val="BookText"/>
      </w:pPr>
      <w:r>
        <w:rPr>
          <w:rFonts w:ascii="IRNazanin" w:hAnsi="IRNazanin" w:eastAsia="IRNazanin" w:cs="IRNazanin"/>
          <w:lang w:bidi="fa-IR"/>
          <w:color w:val="111111"/>
          <w:sz w:val="28"/>
          <w:szCs w:val="28"/>
          <w:rtl/>
        </w:rPr>
        <w:t xml:space="preserve">حاشیه و ردی است بر شرح تجرید قوشچی و ناظر به حاشیه های دوانی و باغنوی بر آن.</w:t>
      </w:r>
    </w:p>
    <w:p>
      <w:pPr>
        <w:pStyle w:val="BookText"/>
      </w:pPr>
      <w:r>
        <w:rPr>
          <w:rFonts w:ascii="IRNazanin" w:hAnsi="IRNazanin" w:eastAsia="IRNazanin" w:cs="IRNazanin"/>
          <w:lang w:bidi="fa-IR"/>
          <w:color w:val="111111"/>
          <w:sz w:val="28"/>
          <w:szCs w:val="28"/>
          <w:rtl/>
        </w:rPr>
        <w:t xml:space="preserve">آغاز: بسمله. الحمدلله الذي املاء الارض و السماء و ما ينهما ... و بعد فيقول ... على بن فضل الله الجيلاني الفومنی الزاهدي، لما كانت مسئلة الخلا، نفيا و اثباتا</w:t>
      </w:r>
    </w:p>
    <w:p>
      <w:pPr>
        <w:pStyle w:val="BookText"/>
      </w:pPr>
      <w:r>
        <w:rPr>
          <w:rFonts w:ascii="IRNazanin" w:hAnsi="IRNazanin" w:eastAsia="IRNazanin" w:cs="IRNazanin"/>
          <w:lang w:bidi="fa-IR"/>
          <w:color w:val="111111"/>
          <w:sz w:val="28"/>
          <w:szCs w:val="28"/>
          <w:rtl/>
        </w:rPr>
        <w:t xml:space="preserve">انجام: في كل الليل و النهار الی یوم التميز بين الأخبار و الأشرار. تمت الرسالة</w:t>
      </w:r>
    </w:p>
    <w:p>
      <w:pPr>
        <w:pStyle w:val="BookText"/>
      </w:pPr>
      <w:r>
        <w:rPr>
          <w:rFonts w:ascii="IRNazanin" w:hAnsi="IRNazanin" w:eastAsia="IRNazanin" w:cs="IRNazanin"/>
          <w:lang w:bidi="fa-IR"/>
          <w:color w:val="111111"/>
          <w:sz w:val="28"/>
          <w:szCs w:val="28"/>
          <w:rtl/>
        </w:rPr>
        <w:t xml:space="preserve">۱. تهران: ادبیات؛ شماره نسخه: ۱۸۹/۱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۱۱]ف: ۳-۳۲]</w:t>
      </w:r>
    </w:p>
    <w:p>
      <w:pPr>
        <w:pStyle w:val="BookText"/>
      </w:pPr>
      <w:r>
        <w:rPr>
          <w:rFonts w:ascii="IRNazanin" w:hAnsi="IRNazanin" w:eastAsia="IRNazanin" w:cs="IRNazanin"/>
          <w:lang w:bidi="fa-IR"/>
          <w:color w:val="111111"/>
          <w:sz w:val="28"/>
          <w:szCs w:val="28"/>
          <w:rtl/>
        </w:rPr>
        <w:t xml:space="preserve">۲. تهران؛ الهیات؛ شماره نسخه: ۲۹۳/۱</w:t>
      </w:r>
    </w:p>
    <w:p>
      <w:pPr>
        <w:pStyle w:val="BookText"/>
      </w:pPr>
      <w:r>
        <w:rPr>
          <w:rFonts w:ascii="IRNazanin" w:hAnsi="IRNazanin" w:eastAsia="IRNazanin" w:cs="IRNazanin"/>
          <w:lang w:bidi="fa-IR"/>
          <w:color w:val="111111"/>
          <w:sz w:val="28"/>
          <w:szCs w:val="28"/>
          <w:rtl/>
        </w:rPr>
        <w:t xml:space="preserve">خط: نسخ، بی کا، تا: قرن ۱۲؛ افتادگی: آغاز؛ کاغذ: سپاهانی، جلد: تیماج سبز مقوایی، ۳گ (۸ر۱۰پ)، ۲۴ سطر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۱۸/۵ )،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سم [ف: ۱۹۸]</w:t>
      </w:r>
    </w:p>
    <w:p>
      <w:pPr>
        <w:pStyle w:val="BookText"/>
      </w:pPr>
      <w:r>
        <w:rPr>
          <w:rFonts w:ascii="IRNazanin" w:hAnsi="IRNazanin" w:eastAsia="IRNazanin" w:cs="IRNazanin"/>
          <w:lang w:bidi="fa-IR"/>
          <w:color w:val="111111"/>
          <w:sz w:val="28"/>
          <w:szCs w:val="28"/>
          <w:rtl/>
        </w:rPr>
        <w:t xml:space="preserve">٣. تهران، ملک، شماره نسخه: ۴۶۵۵/۱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کرمعلی خراسانی، تا: قرن ۱۳؛ کاغذ: فستقی آبی،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5" w:name="pg20363_209185"/>
    <w:bookmarkEnd w:id="35"/>
    <w:p>
      <w:pPr>
        <w:pStyle w:val="BookText"/>
      </w:pPr>
      <w:r>
        <w:rPr>
          <w:rFonts w:ascii="IRNazanin" w:hAnsi="IRNazanin" w:eastAsia="IRNazanin" w:cs="IRNazanin"/>
          <w:lang w:bidi="fa-IR"/>
          <w:color w:val="111111"/>
          <w:sz w:val="28"/>
          <w:szCs w:val="28"/>
          <w:rtl/>
        </w:rPr>
        <w:t xml:space="preserve">۱۲گ (۱پ -۱۲ر)، ۲۲ سطر، اندازه: ۱۴/۶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۱۸/۵ سم [ف: ۷-۴۵۴]</w:t>
      </w:r>
    </w:p>
    <w:p>
      <w:pPr>
        <w:pStyle w:val="Heading3"/>
      </w:pPr>
      <w:bookmarkStart w:id="822" w:name="_Toc82"/>
      <w:r>
        <w:t>• بطلان طعن الأرمن على المجمع الخلکدونی المقدس و على تعليم القديس لاوس / کلام و اعتقادات، ادیان و مذاهب / عربی</w:t>
      </w:r>
      <w:bookmarkEnd w:id="822"/>
    </w:p>
    <w:p>
      <w:pPr>
        <w:pStyle w:val="BookText"/>
      </w:pPr>
      <w:r>
        <w:rPr>
          <w:rFonts w:ascii="Times New Roman" w:hAnsi="Times New Roman" w:eastAsia="Times New Roman" w:cs="Times New Roman"/>
          <w:lang w:val="en-US" w:bidi="en-US"/>
          <w:color w:val="111111"/>
          <w:sz w:val="28"/>
          <w:szCs w:val="28"/>
          <w:rtl/>
        </w:rPr>
        <w:t xml:space="preserve">buțlān-u ta‘n-il arman ‘ala-l majma'-il xalkidūnī-yil muqaddas wa ‘alā taʻlīm-il qiddīs lāws</w:t>
      </w:r>
    </w:p>
    <w:p>
      <w:pPr>
        <w:pStyle w:val="BookText"/>
      </w:pPr>
      <w:r>
        <w:rPr>
          <w:rFonts w:ascii="IRNazanin" w:hAnsi="IRNazanin" w:eastAsia="IRNazanin" w:cs="IRNazanin"/>
          <w:lang w:bidi="fa-IR"/>
          <w:color w:val="111111"/>
          <w:sz w:val="28"/>
          <w:szCs w:val="28"/>
          <w:rtl/>
        </w:rPr>
        <w:t xml:space="preserve">تهران؛ دانشگاه؛ شماره نسخه: ۷۵۷۰/۲</w:t>
      </w:r>
    </w:p>
    <w:p>
      <w:pPr>
        <w:pStyle w:val="BookText"/>
      </w:pPr>
      <w:r>
        <w:rPr>
          <w:rFonts w:ascii="IRNazanin" w:hAnsi="IRNazanin" w:eastAsia="IRNazanin" w:cs="IRNazanin"/>
          <w:lang w:bidi="fa-IR"/>
          <w:color w:val="111111"/>
          <w:sz w:val="28"/>
          <w:szCs w:val="28"/>
          <w:rtl/>
        </w:rPr>
        <w:t xml:space="preserve">خط: نسخ، بی کا، تا: قرن ۱۲؛ کاغذ: فرنگی، جلد: تیماج مشکی لایی، ۵۴گ (۴۵-۹۸)، ۱۳ سطر ( ۱۰/۵۶۶ )، قطع: ربعی،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سم [ف: ۱۶-۶۳۲]</w:t>
      </w:r>
    </w:p>
    <w:p>
      <w:pPr>
        <w:pStyle w:val="Heading3"/>
      </w:pPr>
      <w:bookmarkStart w:id="823" w:name="_Toc83"/>
      <w:r>
        <w:t>• بطلان القول بتأثير الكواكب / هیئت / عربی</w:t>
      </w:r>
      <w:bookmarkEnd w:id="823"/>
    </w:p>
    <w:p>
      <w:pPr>
        <w:pStyle w:val="BookText"/>
      </w:pPr>
      <w:r>
        <w:rPr>
          <w:rFonts w:ascii="Times New Roman" w:hAnsi="Times New Roman" w:eastAsia="Times New Roman" w:cs="Times New Roman"/>
          <w:lang w:val="en-US" w:bidi="en-US"/>
          <w:color w:val="111111"/>
          <w:sz w:val="28"/>
          <w:szCs w:val="28"/>
          <w:rtl/>
        </w:rPr>
        <w:t xml:space="preserve">buțlān-ul qawl bi-ta’tīr-il kawākib</w:t>
      </w:r>
    </w:p>
    <w:p>
      <w:pPr>
        <w:pStyle w:val="BookText"/>
      </w:pPr>
      <w:r>
        <w:rPr>
          <w:rFonts w:ascii="IRNazanin" w:hAnsi="IRNazanin" w:eastAsia="IRNazanin" w:cs="IRNazanin"/>
          <w:lang w:bidi="fa-IR"/>
          <w:color w:val="111111"/>
          <w:sz w:val="28"/>
          <w:szCs w:val="28"/>
          <w:rtl/>
        </w:rPr>
        <w:t xml:space="preserve">قزوینی، حسین بن محمد ابراهیم، ۱۱۲۶؟ -۱۲۰۸ قمری</w:t>
      </w:r>
    </w:p>
    <w:p>
      <w:pPr>
        <w:pStyle w:val="BookText"/>
      </w:pPr>
      <w:r>
        <w:rPr>
          <w:rFonts w:ascii="Times New Roman" w:hAnsi="Times New Roman" w:eastAsia="Times New Roman" w:cs="Times New Roman"/>
          <w:lang w:val="en-US" w:bidi="en-US"/>
          <w:color w:val="111111"/>
          <w:sz w:val="28"/>
          <w:szCs w:val="28"/>
          <w:rtl/>
        </w:rPr>
        <w:t xml:space="preserve">qazvīnī, hoseyn ebn-e mohammad ebrāhīm (1714 1794)</w:t>
      </w:r>
    </w:p>
    <w:p>
      <w:pPr>
        <w:pStyle w:val="BookText"/>
      </w:pPr>
      <w:r>
        <w:rPr>
          <w:rFonts w:ascii="IRNazanin" w:hAnsi="IRNazanin" w:eastAsia="IRNazanin" w:cs="IRNazanin"/>
          <w:lang w:bidi="fa-IR"/>
          <w:color w:val="111111"/>
          <w:sz w:val="28"/>
          <w:szCs w:val="28"/>
          <w:rtl/>
        </w:rPr>
        <w:t xml:space="preserve">تاریخ تألیف: شب یکشنبه 22 ربيع الأول 134اق در این رساله استدلال می شود بر اینکه کواکب هیچگونه تأثیری در زندگی بشر ندارند و آنچه را که منجمین می گویند درست نیست.</w:t>
      </w:r>
    </w:p>
    <w:p>
      <w:pPr>
        <w:pStyle w:val="BookText"/>
      </w:pPr>
      <w:r>
        <w:rPr>
          <w:rFonts w:ascii="IRNazanin" w:hAnsi="IRNazanin" w:eastAsia="IRNazanin" w:cs="IRNazanin"/>
          <w:lang w:bidi="fa-IR"/>
          <w:color w:val="111111"/>
          <w:sz w:val="28"/>
          <w:szCs w:val="28"/>
          <w:rtl/>
        </w:rPr>
        <w:t xml:space="preserve">آغاز: الحمد لله الذي هو كل يوم في شأن ولا يشغله شأن عن شأن و صلی الله على حبيبه وخيرته من خلقه شمس فلک المجد ... و بعد فيقول الفقير إلى الله الكريم حسين بن محمد ابراهيم</w:t>
      </w:r>
    </w:p>
    <w:p>
      <w:pPr>
        <w:pStyle w:val="BookText"/>
      </w:pPr>
      <w:r>
        <w:rPr>
          <w:rFonts w:ascii="IRNazanin" w:hAnsi="IRNazanin" w:eastAsia="IRNazanin" w:cs="IRNazanin"/>
          <w:lang w:bidi="fa-IR"/>
          <w:color w:val="111111"/>
          <w:sz w:val="28"/>
          <w:szCs w:val="28"/>
          <w:rtl/>
        </w:rPr>
        <w:t xml:space="preserve">انجام: ثم قلت فانی افتتحت خروجی بصدقة فهذا خير لك من علم النجوم هذا آخر ما اردنا وقد فرغت من جمعها ليلة الأحد الثاني ... و صلى الله على محمد المصطفی و آله الطاهرين</w:t>
      </w:r>
    </w:p>
    <w:p>
      <w:pPr>
        <w:pStyle w:val="BookText"/>
      </w:pPr>
      <w:r>
        <w:rPr>
          <w:rFonts w:ascii="IRNazanin" w:hAnsi="IRNazanin" w:eastAsia="IRNazanin" w:cs="IRNazanin"/>
          <w:lang w:bidi="fa-IR"/>
          <w:color w:val="111111"/>
          <w:sz w:val="28"/>
          <w:szCs w:val="28"/>
          <w:rtl/>
        </w:rPr>
        <w:t xml:space="preserve">قم؛ گلپایگانی؛ شماره نسخه: ۳۶۳۰/۹ - ۱۸/۱۵۰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کاتب =مؤلف، تا: ۲۲ ربیع الاول ۱۱۳۴ق؛ مصحح؛ جلد: تیماج قهوه ای، ۱۶گ، ۱۵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۲-۶۲۶]</w:t>
      </w:r>
    </w:p>
    <w:p>
      <w:pPr>
        <w:pStyle w:val="Heading3"/>
      </w:pPr>
      <w:bookmarkStart w:id="824" w:name="_Toc84"/>
      <w:r>
        <w:t>• بطلان کون المفهوم للواجب / فلسفه</w:t>
      </w:r>
      <w:bookmarkEnd w:id="824"/>
    </w:p>
    <w:p>
      <w:pPr>
        <w:pStyle w:val="BookText"/>
      </w:pPr>
      <w:r>
        <w:rPr>
          <w:rFonts w:ascii="Times New Roman" w:hAnsi="Times New Roman" w:eastAsia="Times New Roman" w:cs="Times New Roman"/>
          <w:lang w:val="en-US" w:bidi="en-US"/>
          <w:color w:val="111111"/>
          <w:sz w:val="28"/>
          <w:szCs w:val="28"/>
          <w:rtl/>
        </w:rPr>
        <w:t xml:space="preserve">butlan-u kawn-il mafhum li-l-wajib</w:t>
      </w:r>
    </w:p>
    <w:p>
      <w:pPr>
        <w:pStyle w:val="BookText"/>
      </w:pPr>
      <w:r>
        <w:rPr>
          <w:rFonts w:ascii="IRNazanin" w:hAnsi="IRNazanin" w:eastAsia="IRNazanin" w:cs="IRNazanin"/>
          <w:lang w:bidi="fa-IR"/>
          <w:color w:val="111111"/>
          <w:sz w:val="28"/>
          <w:szCs w:val="28"/>
          <w:rtl/>
        </w:rPr>
        <w:t xml:space="preserve">احسائی، احمد بن زین الدین، ۱۱۶۶-۱۲۴۱؟ قمری</w:t>
      </w:r>
    </w:p>
    <w:p>
      <w:pPr>
        <w:pStyle w:val="BookText"/>
      </w:pPr>
      <w:r>
        <w:rPr>
          <w:rFonts w:ascii="Times New Roman" w:hAnsi="Times New Roman" w:eastAsia="Times New Roman" w:cs="Times New Roman"/>
          <w:lang w:val="en-US" w:bidi="en-US"/>
          <w:color w:val="111111"/>
          <w:sz w:val="28"/>
          <w:szCs w:val="28"/>
          <w:rtl/>
        </w:rPr>
        <w:t xml:space="preserve">ahsāʻī, ahmad ebn-e zayn-od-dīn (1753-1826)</w:t>
      </w:r>
    </w:p>
    <w:p>
      <w:pPr>
        <w:pStyle w:val="BookText"/>
      </w:pPr>
      <w:r>
        <w:rPr>
          <w:rFonts w:ascii="IRNazanin" w:hAnsi="IRNazanin" w:eastAsia="IRNazanin" w:cs="IRNazanin"/>
          <w:lang w:bidi="fa-IR"/>
          <w:color w:val="111111"/>
          <w:sz w:val="28"/>
          <w:szCs w:val="28"/>
          <w:rtl/>
        </w:rPr>
        <w:t xml:space="preserve">رشت؛ جمعیت نشر فرهنگ، شماره نسخه: ۱۷۵/۳م</w:t>
      </w:r>
    </w:p>
    <w:p>
      <w:pPr>
        <w:pStyle w:val="BookText"/>
      </w:pPr>
      <w:r>
        <w:rPr>
          <w:rFonts w:ascii="IRNazanin" w:hAnsi="IRNazanin" w:eastAsia="IRNazanin" w:cs="IRNazanin"/>
          <w:lang w:bidi="fa-IR"/>
          <w:color w:val="111111"/>
          <w:sz w:val="28"/>
          <w:szCs w:val="28"/>
          <w:rtl/>
        </w:rPr>
        <w:t xml:space="preserve">خط: نسخ، بی کا، تا: ۱۲۴۲ق؛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[رشت و همدان: ف: ۱۲۰۷]</w:t>
      </w:r>
    </w:p>
    <w:p>
      <w:pPr>
        <w:pStyle w:val="Heading3"/>
      </w:pPr>
      <w:bookmarkStart w:id="825" w:name="_Toc85"/>
      <w:r>
        <w:t>• بطلان مذهب صوفیه / كلام و اعتقادات / فارسی</w:t>
      </w:r>
      <w:bookmarkEnd w:id="825"/>
    </w:p>
    <w:p>
      <w:pPr>
        <w:pStyle w:val="BookText"/>
      </w:pPr>
      <w:r>
        <w:rPr>
          <w:rFonts w:ascii="Times New Roman" w:hAnsi="Times New Roman" w:eastAsia="Times New Roman" w:cs="Times New Roman"/>
          <w:lang w:val="en-US" w:bidi="en-US"/>
          <w:color w:val="111111"/>
          <w:sz w:val="28"/>
          <w:szCs w:val="28"/>
          <w:rtl/>
        </w:rPr>
        <w:t xml:space="preserve">botlān-e mazhab-e sūfīye</w:t>
      </w:r>
    </w:p>
    <w:p>
      <w:pPr>
        <w:pStyle w:val="BookText"/>
      </w:pPr>
      <w:r>
        <w:rPr>
          <w:rFonts w:ascii="IRNazanin" w:hAnsi="IRNazanin" w:eastAsia="IRNazanin" w:cs="IRNazanin"/>
          <w:lang w:bidi="fa-IR"/>
          <w:color w:val="111111"/>
          <w:sz w:val="28"/>
          <w:szCs w:val="28"/>
          <w:rtl/>
        </w:rPr>
        <w:t xml:space="preserve">حسینی جنابذی، محمد بن اسماعیل، ق ۱۲ قمری</w:t>
      </w:r>
    </w:p>
    <w:p>
      <w:pPr>
        <w:pStyle w:val="BookText"/>
      </w:pPr>
      <w:r>
        <w:rPr>
          <w:rFonts w:ascii="Times New Roman" w:hAnsi="Times New Roman" w:eastAsia="Times New Roman" w:cs="Times New Roman"/>
          <w:lang w:val="en-US" w:bidi="en-US"/>
          <w:color w:val="111111"/>
          <w:sz w:val="28"/>
          <w:szCs w:val="28"/>
          <w:rtl/>
        </w:rPr>
        <w:t xml:space="preserve">hoseynī jonābazī, mohammad ebn-e esmāʻīl (- 180)</w:t>
      </w:r>
    </w:p>
    <w:p>
      <w:pPr>
        <w:pStyle w:val="BookText"/>
      </w:pPr>
      <w:r>
        <w:rPr>
          <w:rFonts w:ascii="IRNazanin" w:hAnsi="IRNazanin" w:eastAsia="IRNazanin" w:cs="IRNazanin"/>
          <w:lang w:bidi="fa-IR"/>
          <w:color w:val="111111"/>
          <w:sz w:val="28"/>
          <w:szCs w:val="28"/>
          <w:rtl/>
        </w:rPr>
        <w:t xml:space="preserve">رساله ای مختصر در ابطال و رد صوفیه است که در نهایت ایجاز نگارش یافته است.</w:t>
      </w:r>
    </w:p>
    <w:p>
      <w:pPr>
        <w:pStyle w:val="BookText"/>
      </w:pPr>
      <w:r>
        <w:rPr>
          <w:rFonts w:ascii="Amiri" w:hAnsi="Amiri" w:eastAsia="Amiri" w:cs="Amiri"/>
          <w:lang w:bidi="ar-SA"/>
          <w:color w:val="111111"/>
          <w:sz w:val="28"/>
          <w:szCs w:val="28"/>
          <w:rtl/>
        </w:rPr>
        <w:t xml:space="preserve">آغاز: الحمدلله الذي هدانا و ارتقانا بالتوفيق و الالهام في مراتب المعارف الحقايق الى أعالي الدرجات.</w:t>
      </w:r>
    </w:p>
    <w:p>
      <w:pPr>
        <w:pStyle w:val="BookText"/>
      </w:pPr>
      <w:r>
        <w:rPr>
          <w:rFonts w:ascii="IRNazanin" w:hAnsi="IRNazanin" w:eastAsia="IRNazanin" w:cs="IRNazanin"/>
          <w:lang w:bidi="fa-IR"/>
          <w:color w:val="111111"/>
          <w:sz w:val="28"/>
          <w:szCs w:val="28"/>
          <w:rtl/>
        </w:rPr>
        <w:t xml:space="preserve">[فهرستواره منزوی ۱۵۴/۷ ]</w:t>
      </w:r>
    </w:p>
    <w:p>
      <w:pPr>
        <w:pStyle w:val="BookText"/>
      </w:pPr>
      <w:r>
        <w:rPr>
          <w:rFonts w:ascii="IRNazanin" w:hAnsi="IRNazanin" w:eastAsia="IRNazanin" w:cs="IRNazanin"/>
          <w:lang w:bidi="fa-IR"/>
          <w:color w:val="111111"/>
          <w:sz w:val="28"/>
          <w:szCs w:val="28"/>
          <w:rtl/>
        </w:rPr>
        <w:t xml:space="preserve">قم؛ مرعشی؛ شماره نسخه: ۱۲۱۶۵/۵</w:t>
      </w:r>
    </w:p>
    <w:p>
      <w:pPr>
        <w:pStyle w:val="BookText"/>
      </w:pPr>
      <w:r>
        <w:rPr>
          <w:rFonts w:ascii="IRNazanin" w:hAnsi="IRNazanin" w:eastAsia="IRNazanin" w:cs="IRNazanin"/>
          <w:lang w:bidi="fa-IR"/>
          <w:color w:val="111111"/>
          <w:sz w:val="28"/>
          <w:szCs w:val="28"/>
          <w:rtl/>
        </w:rPr>
        <w:t xml:space="preserve">آغاز: برابر؛ انجام: و ذم و ملامة و عقاب بر معاصی و غفلت و ضلالات لازم می آید و در افعال عباد قضاء حتمی و قدر لازمی مفهوم می گردد.</w:t>
      </w:r>
    </w:p>
    <w:p>
      <w:pPr>
        <w:pStyle w:val="BookText"/>
      </w:pPr>
      <w:r>
        <w:rPr>
          <w:rFonts w:ascii="IRNazanin" w:hAnsi="IRNazanin" w:eastAsia="IRNazanin" w:cs="IRNazanin"/>
          <w:lang w:bidi="fa-IR"/>
          <w:color w:val="111111"/>
          <w:sz w:val="28"/>
          <w:szCs w:val="28"/>
          <w:rtl/>
        </w:rPr>
        <w:t xml:space="preserve">خط: نستعلیق، کاتب = مؤلف، تا: یک شنبه ۲۹ رمضان ۱۱۵۱ق؛ در انجام رساله ۴ برگی افزودگی هایی از مؤلف در شب ۱۸ رمضان سال ۱۹۵۱ در علم کلام همراه مطالبی از شرح تجرید العقائد آمده، این رساله در هامش کتاب گوهر مراد نگاشته شده؛ کاغذ: فرنگی، ۳گ (۱۸۰-۱۸۲)، ۳۰ سطر،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۶سم [ف: ۳۰-۶۶۲]</w:t>
      </w:r>
    </w:p>
    <w:p>
      <w:pPr>
        <w:pStyle w:val="Heading3"/>
      </w:pPr>
      <w:bookmarkStart w:id="826" w:name="_Toc86"/>
      <w:r>
        <w:t>•بطلان نكاح المتعة / فقه / عربی</w:t>
      </w:r>
      <w:bookmarkEnd w:id="826"/>
    </w:p>
    <w:p>
      <w:pPr>
        <w:pStyle w:val="BookText"/>
      </w:pPr>
      <w:r>
        <w:rPr>
          <w:rFonts w:ascii="Times New Roman" w:hAnsi="Times New Roman" w:eastAsia="Times New Roman" w:cs="Times New Roman"/>
          <w:lang w:val="en-US" w:bidi="en-US"/>
          <w:color w:val="111111"/>
          <w:sz w:val="28"/>
          <w:szCs w:val="28"/>
          <w:rtl/>
        </w:rPr>
        <w:t xml:space="preserve">buțlān-u nikāḥ-il mut'a</w:t>
      </w:r>
    </w:p>
    <w:p>
      <w:pPr>
        <w:pStyle w:val="BookText"/>
      </w:pPr>
      <w:r>
        <w:rPr>
          <w:rFonts w:ascii="IRNazanin" w:hAnsi="IRNazanin" w:eastAsia="IRNazanin" w:cs="IRNazanin"/>
          <w:lang w:bidi="fa-IR"/>
          <w:color w:val="111111"/>
          <w:sz w:val="28"/>
          <w:szCs w:val="28"/>
          <w:rtl/>
        </w:rPr>
        <w:t xml:space="preserve">بخاری، عبدالکریم بن محمد حلیم، ق۱۳ قمری</w:t>
      </w:r>
    </w:p>
    <w:p>
      <w:pPr>
        <w:pStyle w:val="BookText"/>
      </w:pPr>
      <w:r>
        <w:rPr>
          <w:rFonts w:ascii="Times New Roman" w:hAnsi="Times New Roman" w:eastAsia="Times New Roman" w:cs="Times New Roman"/>
          <w:lang w:val="en-US" w:bidi="en-US"/>
          <w:color w:val="111111"/>
          <w:sz w:val="28"/>
          <w:szCs w:val="28"/>
          <w:rtl/>
        </w:rPr>
        <w:t xml:space="preserve">boxārī, ‘abd-ol-karīm ebn-e mohammad halīm (- 19c)</w:t>
      </w:r>
    </w:p>
    <w:p>
      <w:pPr>
        <w:pStyle w:val="BookText"/>
      </w:pPr>
      <w:r>
        <w:rPr>
          <w:rFonts w:ascii="IRNazanin" w:hAnsi="IRNazanin" w:eastAsia="IRNazanin" w:cs="IRNazanin"/>
          <w:lang w:bidi="fa-IR"/>
          <w:color w:val="111111"/>
          <w:sz w:val="28"/>
          <w:szCs w:val="28"/>
          <w:rtl/>
        </w:rPr>
        <w:t xml:space="preserve">پاسخ به سؤالی است درباره متعه نکاح و متعه حج و این که آیا این دو حکم نسخ شده یا حکم آنها باقی است. مؤلف در این رساله سعی می کند تا با استفاده از آیات و احادیث و اقوال صحابه و دانشمندان این حکم را منسوخ جلوه دهد و نکاح متعه را حرام بداند.</w:t>
      </w:r>
    </w:p>
    <w:p>
      <w:pPr>
        <w:pStyle w:val="BookText"/>
      </w:pPr>
      <w:r>
        <w:rPr>
          <w:rFonts w:ascii="IRNazanin" w:hAnsi="IRNazanin" w:eastAsia="IRNazanin" w:cs="IRNazanin"/>
          <w:lang w:bidi="fa-IR"/>
          <w:color w:val="111111"/>
          <w:sz w:val="28"/>
          <w:szCs w:val="28"/>
          <w:rtl/>
        </w:rPr>
        <w:t xml:space="preserve">قم؛ مرعشی؛ شماره نسخه: ۱۰۶۰/۳</w:t>
      </w:r>
    </w:p>
    <w:p>
      <w:pPr>
        <w:pStyle w:val="BookText"/>
      </w:pPr>
      <w:r>
        <w:rPr>
          <w:rFonts w:ascii="IRNazanin" w:hAnsi="IRNazanin" w:eastAsia="IRNazanin" w:cs="IRNazanin"/>
          <w:lang w:bidi="fa-IR"/>
          <w:color w:val="111111"/>
          <w:sz w:val="28"/>
          <w:szCs w:val="28"/>
          <w:rtl/>
        </w:rPr>
        <w:t xml:space="preserve">آغاز: الحمدلله الذي أنزل على عبده الكتاب ... و الصلاة و السلام الاتمان الأكملان على سيدنا محمد؛ انجام: و نستغفر مما بسطت به لسانك في حق أعدل أصحاب الرسول عليه و على آله و أصحابه أفضل الصلاة و أكملها خط: نستعلیق، بی کا، بی تا، جلد: مقوایی عطف تیماج قرمز، ۱۰گ ( ۹۲-۸۳ پ)، ۱۷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۳-۲۴۷]</w:t>
      </w:r>
    </w:p>
    <w:p>
      <w:pPr>
        <w:pStyle w:val="Heading3"/>
      </w:pPr>
      <w:bookmarkStart w:id="827" w:name="_Toc87"/>
      <w:r>
        <w:t>• بطون شانزده گانه / جفر / فارسی</w:t>
      </w:r>
      <w:bookmarkEnd w:id="827"/>
    </w:p>
    <w:p>
      <w:pPr>
        <w:pStyle w:val="BookText"/>
      </w:pPr>
      <w:r>
        <w:rPr>
          <w:rFonts w:ascii="Times New Roman" w:hAnsi="Times New Roman" w:eastAsia="Times New Roman" w:cs="Times New Roman"/>
          <w:lang w:val="en-US" w:bidi="en-US"/>
          <w:color w:val="111111"/>
          <w:sz w:val="28"/>
          <w:szCs w:val="28"/>
          <w:rtl/>
        </w:rPr>
        <w:t xml:space="preserve">botūn-e šānzdah-gāne</w:t>
      </w:r>
    </w:p>
    <w:p>
      <w:pPr>
        <w:pStyle w:val="BookText"/>
      </w:pPr>
      <w:r>
        <w:rPr>
          <w:rFonts w:ascii="IRNazanin" w:hAnsi="IRNazanin" w:eastAsia="IRNazanin" w:cs="IRNazanin"/>
          <w:lang w:bidi="fa-IR"/>
          <w:color w:val="111111"/>
          <w:sz w:val="28"/>
          <w:szCs w:val="28"/>
          <w:rtl/>
        </w:rPr>
        <w:t xml:space="preserve">تهران؛ ملک؛ شماره نسخه: ۳۱۸۴/۲۵</w:t>
      </w:r>
    </w:p>
    <w:p>
      <w:pPr>
        <w:pStyle w:val="BookText"/>
      </w:pPr>
      <w:r>
        <w:rPr>
          <w:rFonts w:ascii="IRNazanin" w:hAnsi="IRNazanin" w:eastAsia="IRNazanin" w:cs="IRNazanin"/>
          <w:lang w:bidi="fa-IR"/>
          <w:color w:val="111111"/>
          <w:sz w:val="28"/>
          <w:szCs w:val="28"/>
          <w:rtl/>
        </w:rPr>
        <w:t xml:space="preserve">بی کا، تا: قرن ۱۳ و ۱۴؛ اگ (۱۳۱ر-۱۳۱پ) [ف: ۶-۲۶۹]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6" w:name="pg20363_209186"/>
    <w:bookmarkEnd w:id="36"/>
    <w:p>
      <w:pPr>
        <w:pStyle w:val="Heading3"/>
      </w:pPr>
      <w:bookmarkStart w:id="828" w:name="_Toc88"/>
      <w:r>
        <w:t>• البطيخ / طب / عربی</w:t>
      </w:r>
      <w:bookmarkEnd w:id="828"/>
    </w:p>
    <w:p>
      <w:pPr>
        <w:pStyle w:val="BookText"/>
      </w:pPr>
      <w:r>
        <w:rPr>
          <w:rFonts w:ascii="Times New Roman" w:hAnsi="Times New Roman" w:eastAsia="Times New Roman" w:cs="Times New Roman"/>
          <w:lang w:val="en-US" w:bidi="en-US"/>
          <w:color w:val="111111"/>
          <w:sz w:val="28"/>
          <w:szCs w:val="28"/>
          <w:rtl/>
        </w:rPr>
        <w:t xml:space="preserve">al-batix</w:t>
      </w:r>
    </w:p>
    <w:p>
      <w:pPr>
        <w:pStyle w:val="BookText"/>
      </w:pPr>
      <w:r>
        <w:rPr>
          <w:rFonts w:ascii="IRNazanin" w:hAnsi="IRNazanin" w:eastAsia="IRNazanin" w:cs="IRNazanin"/>
          <w:lang w:bidi="fa-IR"/>
          <w:color w:val="111111"/>
          <w:sz w:val="28"/>
          <w:szCs w:val="28"/>
          <w:rtl/>
        </w:rPr>
        <w:t xml:space="preserve">اعمش، ابی علی</w:t>
      </w:r>
    </w:p>
    <w:p>
      <w:pPr>
        <w:pStyle w:val="BookText"/>
      </w:pPr>
      <w:r>
        <w:rPr>
          <w:rFonts w:ascii="Times New Roman" w:hAnsi="Times New Roman" w:eastAsia="Times New Roman" w:cs="Times New Roman"/>
          <w:lang w:val="en-US" w:bidi="en-US"/>
          <w:color w:val="111111"/>
          <w:sz w:val="28"/>
          <w:szCs w:val="28"/>
          <w:rtl/>
        </w:rPr>
        <w:t xml:space="preserve">a‘maš, abī-'alī</w:t>
      </w:r>
    </w:p>
    <w:p>
      <w:pPr>
        <w:pStyle w:val="BookText"/>
      </w:pPr>
      <w:r>
        <w:rPr>
          <w:rFonts w:ascii="IRNazanin" w:hAnsi="IRNazanin" w:eastAsia="IRNazanin" w:cs="IRNazanin"/>
          <w:lang w:bidi="fa-IR"/>
          <w:color w:val="111111"/>
          <w:sz w:val="28"/>
          <w:szCs w:val="28"/>
          <w:rtl/>
        </w:rPr>
        <w:t xml:space="preserve">در خواص پزشکی خربزه.</w:t>
      </w:r>
    </w:p>
    <w:p>
      <w:pPr>
        <w:pStyle w:val="BookText"/>
      </w:pPr>
      <w:r>
        <w:rPr>
          <w:rFonts w:ascii="IRNazanin" w:hAnsi="IRNazanin" w:eastAsia="IRNazanin" w:cs="IRNazanin"/>
          <w:lang w:bidi="fa-IR"/>
          <w:color w:val="111111"/>
          <w:sz w:val="28"/>
          <w:szCs w:val="28"/>
          <w:rtl/>
        </w:rPr>
        <w:t xml:space="preserve">تهران؛ ملک؛ شماره نسخه: ۶۱۸۸/۸</w:t>
      </w:r>
    </w:p>
    <w:p>
      <w:pPr>
        <w:pStyle w:val="BookText"/>
      </w:pPr>
      <w:r>
        <w:rPr>
          <w:rFonts w:ascii="Amiri" w:hAnsi="Amiri" w:eastAsia="Amiri" w:cs="Amiri"/>
          <w:lang w:bidi="ar-SA"/>
          <w:color w:val="111111"/>
          <w:sz w:val="28"/>
          <w:szCs w:val="28"/>
          <w:rtl/>
        </w:rPr>
        <w:t xml:space="preserve">آغاز: مسئلة لابي على الأعمش، سئل عن البطيخ فقال البطيخ بارد رطب، فتعجب السائل من قوله، و ذلك أنه كان حار المزاج؛ انجام: في معرفة طبخ البطيخ و حل الشك فيه، و في كيفية مضرته في الأبدان و البلدان والأسنان. و الحمدلله وحده</w:t>
      </w:r>
    </w:p>
    <w:p>
      <w:pPr>
        <w:pStyle w:val="BookText"/>
      </w:pPr>
      <w:r>
        <w:rPr>
          <w:rFonts w:ascii="IRNazanin" w:hAnsi="IRNazanin" w:eastAsia="IRNazanin" w:cs="IRNazanin"/>
          <w:lang w:bidi="fa-IR"/>
          <w:color w:val="111111"/>
          <w:sz w:val="28"/>
          <w:szCs w:val="28"/>
          <w:rtl/>
        </w:rPr>
        <w:t xml:space="preserve">خط: شکسته نستعلیق، بی کا، تا: قرن ۱۱؛ کاغذ: فستقی، جلد: میشن عنابی لایی، ۱۷ سطر [ف: ۹-۲۲۴]</w:t>
      </w:r>
    </w:p>
    <w:p>
      <w:pPr>
        <w:pStyle w:val="Heading3"/>
      </w:pPr>
      <w:bookmarkStart w:id="829" w:name="_Toc89"/>
      <w:r>
        <w:t>• البطيخية (ارجوزة) / شعر / عربی</w:t>
      </w:r>
      <w:bookmarkEnd w:id="829"/>
    </w:p>
    <w:p>
      <w:pPr>
        <w:pStyle w:val="BookText"/>
      </w:pPr>
      <w:r>
        <w:rPr>
          <w:rFonts w:ascii="Times New Roman" w:hAnsi="Times New Roman" w:eastAsia="Times New Roman" w:cs="Times New Roman"/>
          <w:lang w:val="en-US" w:bidi="en-US"/>
          <w:color w:val="111111"/>
          <w:sz w:val="28"/>
          <w:szCs w:val="28"/>
          <w:rtl/>
        </w:rPr>
        <w:t xml:space="preserve">al-batixiya (urjuza)</w:t>
      </w:r>
    </w:p>
    <w:p>
      <w:pPr>
        <w:pStyle w:val="BookText"/>
      </w:pPr>
      <w:r>
        <w:rPr>
          <w:rFonts w:ascii="IRNazanin" w:hAnsi="IRNazanin" w:eastAsia="IRNazanin" w:cs="IRNazanin"/>
          <w:lang w:bidi="fa-IR"/>
          <w:color w:val="111111"/>
          <w:sz w:val="28"/>
          <w:szCs w:val="28"/>
          <w:rtl/>
        </w:rPr>
        <w:t xml:space="preserve">حسینی میبدی، علی بن محمد علی، ۱۳۱۳ قمری</w:t>
      </w:r>
    </w:p>
    <w:p>
      <w:pPr>
        <w:pStyle w:val="BookText"/>
      </w:pPr>
      <w:r>
        <w:rPr>
          <w:rFonts w:ascii="Times New Roman" w:hAnsi="Times New Roman" w:eastAsia="Times New Roman" w:cs="Times New Roman"/>
          <w:lang w:val="en-US" w:bidi="en-US"/>
          <w:color w:val="111111"/>
          <w:sz w:val="28"/>
          <w:szCs w:val="28"/>
          <w:rtl/>
        </w:rPr>
        <w:t xml:space="preserve">hoseynī meybodī, ‘alī ebn-e mohammad ‘alī (- 1896)</w:t>
      </w:r>
    </w:p>
    <w:p>
      <w:pPr>
        <w:pStyle w:val="BookText"/>
      </w:pPr>
      <w:r>
        <w:rPr>
          <w:rFonts w:ascii="IRNazanin" w:hAnsi="IRNazanin" w:eastAsia="IRNazanin" w:cs="IRNazanin"/>
          <w:lang w:bidi="fa-IR"/>
          <w:color w:val="111111"/>
          <w:sz w:val="28"/>
          <w:szCs w:val="28"/>
          <w:rtl/>
        </w:rPr>
        <w:t xml:space="preserve">تاریخ تأليف: 28 صفر 1289ق؛ محل تأليف: کرمانشاه</w:t>
      </w:r>
    </w:p>
    <w:p>
      <w:pPr>
        <w:pStyle w:val="BookText"/>
      </w:pPr>
      <w:r>
        <w:rPr>
          <w:rFonts w:ascii="IRNazanin" w:hAnsi="IRNazanin" w:eastAsia="IRNazanin" w:cs="IRNazanin"/>
          <w:lang w:bidi="fa-IR"/>
          <w:color w:val="111111"/>
          <w:sz w:val="28"/>
          <w:szCs w:val="28"/>
          <w:rtl/>
        </w:rPr>
        <w:t xml:space="preserve">ارجوزه ای است در هفتاد و نه بیت در منافع و خواص خربزه (بطيخ).</w:t>
      </w:r>
    </w:p>
    <w:p>
      <w:pPr>
        <w:pStyle w:val="BookText"/>
      </w:pPr>
      <w:r>
        <w:rPr>
          <w:rFonts w:ascii="IRNazanin" w:hAnsi="IRNazanin" w:eastAsia="IRNazanin" w:cs="IRNazanin"/>
          <w:lang w:bidi="fa-IR"/>
          <w:color w:val="111111"/>
          <w:sz w:val="28"/>
          <w:szCs w:val="28"/>
          <w:rtl/>
        </w:rPr>
        <w:t xml:space="preserve">آغاز: اتحف شیء اصطفاه الفاكهي *** و اختار من باكورة الفواكه / حمد تلالا في رياض الألسنة *** لحضرة الله دوام الأزمنة</w:t>
      </w:r>
    </w:p>
    <w:p>
      <w:pPr>
        <w:pStyle w:val="BookText"/>
      </w:pPr>
      <w:r>
        <w:rPr>
          <w:rFonts w:ascii="Amiri" w:hAnsi="Amiri" w:eastAsia="Amiri" w:cs="Amiri"/>
          <w:lang w:bidi="ar-SA"/>
          <w:color w:val="111111"/>
          <w:sz w:val="28"/>
          <w:szCs w:val="28"/>
          <w:rtl/>
        </w:rPr>
        <w:t xml:space="preserve">انجام: فالشكر لله على الختام *** ثم على عظائم الأنعام / فانه الحامي حمى من شكره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 ينصر العبد اذا ما نصره</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شرح الأرجوزة البطيخية = شرح المنظومة البطيخية = الدرة البهية؛ حسینی میبدی، علی بن محمد على (۱۳۱۳)</w:t>
      </w:r>
    </w:p>
    <w:p>
      <w:pPr>
        <w:pStyle w:val="BookText"/>
      </w:pPr>
      <w:r>
        <w:rPr>
          <w:rFonts w:ascii="IRNazanin" w:hAnsi="IRNazanin" w:eastAsia="IRNazanin" w:cs="IRNazanin"/>
          <w:lang w:bidi="fa-IR"/>
          <w:color w:val="111111"/>
          <w:sz w:val="28"/>
          <w:szCs w:val="28"/>
          <w:rtl/>
        </w:rPr>
        <w:t xml:space="preserve">۱. قم: مرکز احیاء؛ شماره نسخه: ۴۰۶۹/۱۷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تا:قرن ۱۳؛ جلد: مقوایی عطف پارچه ای، ۲گ(۱۹۷ر -۱۹۸ر)،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سم[محدث ارموی مخ: ۱-۱۰۵]</w:t>
      </w:r>
    </w:p>
    <w:p>
      <w:pPr>
        <w:pStyle w:val="BookText"/>
      </w:pPr>
      <w:r>
        <w:rPr>
          <w:rFonts w:ascii="IRNazanin" w:hAnsi="IRNazanin" w:eastAsia="IRNazanin" w:cs="IRNazanin"/>
          <w:lang w:bidi="fa-IR"/>
          <w:color w:val="111111"/>
          <w:sz w:val="28"/>
          <w:szCs w:val="28"/>
          <w:rtl/>
        </w:rPr>
        <w:t xml:space="preserve">٢. کرمانشاه؛ میبدی (خاندان)؛ شماره نسخه: ۸/۳</w:t>
      </w:r>
    </w:p>
    <w:p>
      <w:pPr>
        <w:pStyle w:val="BookText"/>
      </w:pPr>
      <w:r>
        <w:rPr>
          <w:rFonts w:ascii="IRNazanin" w:hAnsi="IRNazanin" w:eastAsia="IRNazanin" w:cs="IRNazanin"/>
          <w:lang w:bidi="fa-IR"/>
          <w:color w:val="111111"/>
          <w:sz w:val="28"/>
          <w:szCs w:val="28"/>
          <w:rtl/>
        </w:rPr>
        <w:t xml:space="preserve">مشهد خط: نسخ خوش، كا: جواد بن علی حسینی میبدی (فرزند ناظم)، تا: ۱۳۰۳ق، جان کرمانشاه؛ جلد: تیماج قهوه ای، ۱۰ص (۲۶۵- ۲۷۴)، ۱۰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۱۴۱]</w:t>
      </w:r>
    </w:p>
    <w:p>
      <w:pPr>
        <w:pStyle w:val="BookText"/>
      </w:pPr>
      <w:r>
        <w:rPr>
          <w:rFonts w:ascii="IRNazanin" w:hAnsi="IRNazanin" w:eastAsia="IRNazanin" w:cs="IRNazanin"/>
          <w:lang w:bidi="fa-IR"/>
          <w:color w:val="111111"/>
          <w:sz w:val="28"/>
          <w:szCs w:val="28"/>
          <w:rtl/>
        </w:rPr>
        <w:t xml:space="preserve">مشهد؛ میبدی؛ شماره نسخه: ۸/۳</w:t>
      </w:r>
    </w:p>
    <w:p>
      <w:pPr>
        <w:pStyle w:val="BookText"/>
      </w:pPr>
      <w:r>
        <w:rPr>
          <w:rFonts w:ascii="IRNazanin" w:hAnsi="IRNazanin" w:eastAsia="IRNazanin" w:cs="IRNazanin"/>
          <w:lang w:bidi="fa-IR"/>
          <w:color w:val="111111"/>
          <w:sz w:val="28"/>
          <w:szCs w:val="28"/>
          <w:rtl/>
        </w:rPr>
        <w:t xml:space="preserve">همان نسخه بالا [ف: ۱- ۳۱] قم مرکز احیاء؛ شماره نسخه: ۲۱۴۰/۳ نسخه اصل: همان نسخه بالا [عکسی ف: ۶-۱۸۵]</w:t>
      </w:r>
    </w:p>
    <w:p>
      <w:pPr>
        <w:pStyle w:val="BookText"/>
      </w:pPr>
      <w:r>
        <w:rPr>
          <w:rFonts w:ascii="IRNazanin" w:hAnsi="IRNazanin" w:eastAsia="IRNazanin" w:cs="IRNazanin"/>
          <w:lang w:bidi="fa-IR"/>
          <w:color w:val="111111"/>
          <w:sz w:val="28"/>
          <w:szCs w:val="28"/>
          <w:rtl/>
        </w:rPr>
        <w:t xml:space="preserve">٣. کرمانشاه؛ میبدی (خاندان)؛ شماره نسخه: ۱۴/۹ مشهد</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بی کا، بی تا، جلد: تیماج سبز، ۱۲ص (۶۳۰-۶۴۱)،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۳۵/۵سم [ف: ۱۵۴]</w:t>
      </w:r>
    </w:p>
    <w:p>
      <w:pPr>
        <w:pStyle w:val="BookText"/>
      </w:pPr>
      <w:r>
        <w:rPr>
          <w:rFonts w:ascii="IRNazanin" w:hAnsi="IRNazanin" w:eastAsia="IRNazanin" w:cs="IRNazanin"/>
          <w:lang w:bidi="fa-IR"/>
          <w:color w:val="111111"/>
          <w:sz w:val="28"/>
          <w:szCs w:val="28"/>
          <w:rtl/>
        </w:rPr>
        <w:t xml:space="preserve">مشهد؛ میبدی؛ شماره نسخه: ۱۴/۹</w:t>
      </w:r>
    </w:p>
    <w:p>
      <w:pPr>
        <w:pStyle w:val="BookText"/>
      </w:pPr>
      <w:r>
        <w:rPr>
          <w:rFonts w:ascii="IRNazanin" w:hAnsi="IRNazanin" w:eastAsia="IRNazanin" w:cs="IRNazanin"/>
          <w:lang w:bidi="fa-IR"/>
          <w:color w:val="111111"/>
          <w:sz w:val="28"/>
          <w:szCs w:val="28"/>
          <w:rtl/>
        </w:rPr>
        <w:t xml:space="preserve">همان نسخه بالا [ف: ۱-۴۳]</w:t>
      </w:r>
    </w:p>
    <w:p>
      <w:pPr>
        <w:pStyle w:val="BookText"/>
      </w:pPr>
      <w:r>
        <w:rPr>
          <w:rFonts w:ascii="IRNazanin" w:hAnsi="IRNazanin" w:eastAsia="IRNazanin" w:cs="IRNazanin"/>
          <w:lang w:bidi="fa-IR"/>
          <w:color w:val="111111"/>
          <w:sz w:val="28"/>
          <w:szCs w:val="28"/>
          <w:rtl/>
        </w:rPr>
        <w:t xml:space="preserve">قم، مرکز احیاء؛ شماره نسخه: ۲۱۳۵/۹</w:t>
      </w:r>
    </w:p>
    <w:p>
      <w:pPr>
        <w:pStyle w:val="BookText"/>
      </w:pPr>
      <w:r>
        <w:rPr>
          <w:rFonts w:ascii="IRNazanin" w:hAnsi="IRNazanin" w:eastAsia="IRNazanin" w:cs="IRNazanin"/>
          <w:lang w:bidi="fa-IR"/>
          <w:color w:val="111111"/>
          <w:sz w:val="28"/>
          <w:szCs w:val="28"/>
          <w:rtl/>
        </w:rPr>
        <w:t xml:space="preserve">نسخه اصل: همان نسخه بالا [عکسی ف: ۶-۱۷۳]</w:t>
      </w:r>
    </w:p>
    <w:p>
      <w:pPr>
        <w:pStyle w:val="Heading3"/>
      </w:pPr>
      <w:bookmarkStart w:id="830" w:name="_Toc90"/>
      <w:r>
        <w:t>• بطيخيه = شرح الدنيا مزرعة الآخرة / عرفان و تصوف / فارسی</w:t>
      </w:r>
      <w:bookmarkEnd w:id="830"/>
    </w:p>
    <w:p>
      <w:pPr>
        <w:pStyle w:val="BookText"/>
      </w:pPr>
      <w:r>
        <w:rPr>
          <w:rFonts w:ascii="Times New Roman" w:hAnsi="Times New Roman" w:eastAsia="Times New Roman" w:cs="Times New Roman"/>
          <w:lang w:val="en-US" w:bidi="en-US"/>
          <w:color w:val="111111"/>
          <w:sz w:val="28"/>
          <w:szCs w:val="28"/>
          <w:rtl/>
        </w:rPr>
        <w:t xml:space="preserve">batīxīye = š.-e ad-donyā mazra-t-ol āxara</w:t>
      </w:r>
    </w:p>
    <w:p>
      <w:pPr>
        <w:pStyle w:val="BookText"/>
      </w:pPr>
      <w:r>
        <w:rPr>
          <w:rFonts w:ascii="IRNazanin" w:hAnsi="IRNazanin" w:eastAsia="IRNazanin" w:cs="IRNazanin"/>
          <w:lang w:bidi="fa-IR"/>
          <w:color w:val="111111"/>
          <w:sz w:val="28"/>
          <w:szCs w:val="28"/>
          <w:rtl/>
        </w:rPr>
        <w:t xml:space="preserve">خواجگی کاسانی، احمد بن جلال الدین، -۹۴۹ قمری</w:t>
      </w:r>
    </w:p>
    <w:p>
      <w:pPr>
        <w:pStyle w:val="BookText"/>
      </w:pPr>
      <w:r>
        <w:rPr>
          <w:rFonts w:ascii="Times New Roman" w:hAnsi="Times New Roman" w:eastAsia="Times New Roman" w:cs="Times New Roman"/>
          <w:lang w:val="en-US" w:bidi="en-US"/>
          <w:color w:val="111111"/>
          <w:sz w:val="28"/>
          <w:szCs w:val="28"/>
          <w:rtl/>
        </w:rPr>
        <w:t xml:space="preserve">xājegī kāsānī, ahmad ebn-e jalāl-od-dīn (- 1543)</w:t>
      </w:r>
    </w:p>
    <w:p>
      <w:pPr>
        <w:pStyle w:val="BookText"/>
      </w:pPr>
      <w:r>
        <w:rPr>
          <w:rFonts w:ascii="IRNazanin" w:hAnsi="IRNazanin" w:eastAsia="IRNazanin" w:cs="IRNazanin"/>
          <w:lang w:bidi="fa-IR"/>
          <w:color w:val="111111"/>
          <w:sz w:val="28"/>
          <w:szCs w:val="28"/>
          <w:rtl/>
        </w:rPr>
        <w:t xml:space="preserve">رساله ای است کوتاه در عرفان به نثر و نظم. با شرح حديث« الدنيا مزرعة الآخرة» آغاز می شود و خواننده را به یافتن مربی تشویق می کند. سپس زمین و تخم افشانی و شرایطی که زمین بهره بدهد را به تمثیل می آورد آنگاه به خربزه و خواصش می پردازد: «ای طالب صادق، مقصود از این همه که گفته شد حصول قوت است بر عبادت». سپس به عبادت ظاهری و باطنی و دیگر مسائل و اصطلاحات صوفیان می پردازد؛ با عناوین «ای طالب صادق».</w:t>
      </w:r>
    </w:p>
    <w:p>
      <w:pPr>
        <w:pStyle w:val="BookText"/>
      </w:pPr>
      <w:r>
        <w:rPr>
          <w:rFonts w:ascii="IRNazanin" w:hAnsi="IRNazanin" w:eastAsia="IRNazanin" w:cs="IRNazanin"/>
          <w:lang w:bidi="fa-IR"/>
          <w:color w:val="111111"/>
          <w:sz w:val="28"/>
          <w:szCs w:val="28"/>
          <w:rtl/>
        </w:rPr>
        <w:t xml:space="preserve">آغاز: الحمدلله الذي أنزل على عبده الكتاب و لم يجعل له عوجا ... أما بعد قال النبي عليه الصلاة و السلام الدنيا مزرعة الآخرة بدان ای طالب صادق</w:t>
      </w:r>
    </w:p>
    <w:p>
      <w:pPr>
        <w:pStyle w:val="BookText"/>
      </w:pPr>
      <w:r>
        <w:rPr>
          <w:rFonts w:ascii="IRNazanin" w:hAnsi="IRNazanin" w:eastAsia="IRNazanin" w:cs="IRNazanin"/>
          <w:lang w:bidi="fa-IR"/>
          <w:color w:val="111111"/>
          <w:sz w:val="28"/>
          <w:szCs w:val="28"/>
          <w:rtl/>
        </w:rPr>
        <w:t xml:space="preserve">انجام: به نور دیده محمود می توان دیدن به اشعه لمعات جمال حسن ایاز.</w:t>
      </w:r>
    </w:p>
    <w:p>
      <w:pPr>
        <w:pStyle w:val="BookText"/>
      </w:pPr>
      <w:r>
        <w:rPr>
          <w:rFonts w:ascii="IRNazanin" w:hAnsi="IRNazanin" w:eastAsia="IRNazanin" w:cs="IRNazanin"/>
          <w:lang w:bidi="fa-IR"/>
          <w:color w:val="111111"/>
          <w:sz w:val="28"/>
          <w:szCs w:val="28"/>
          <w:rtl/>
        </w:rPr>
        <w:t xml:space="preserve">[دانشنامه ادب فارسی آسیای مرکزی ۵۵/۱ ؛ فهرست مشترک پاکستان ۱۳۲۱/۳ , فهرستواره منزوی</w:t>
      </w:r>
    </w:p>
    <w:p>
      <w:pPr>
        <w:pStyle w:val="BookText"/>
      </w:pPr>
      <w:r>
        <w:rPr>
          <w:rFonts w:ascii="IRNazanin" w:hAnsi="IRNazanin" w:eastAsia="IRNazanin" w:cs="IRNazanin"/>
          <w:lang w:bidi="fa-IR"/>
          <w:color w:val="111111"/>
          <w:sz w:val="28"/>
          <w:szCs w:val="28"/>
          <w:rtl/>
        </w:rPr>
        <w:t xml:space="preserve">۱۵۴/۷ ؛ ازبکستان، تاشکند ۵۲۸/۲ ؛ تاجیکستان، دوشنبه ۳۰۷/۳ (۲نسخه)]</w:t>
      </w:r>
    </w:p>
    <w:p>
      <w:pPr>
        <w:pStyle w:val="BookText"/>
      </w:pPr>
      <w:r>
        <w:rPr>
          <w:rFonts w:ascii="IRNazanin" w:hAnsi="IRNazanin" w:eastAsia="IRNazanin" w:cs="IRNazanin"/>
          <w:lang w:bidi="fa-IR"/>
          <w:color w:val="111111"/>
          <w:sz w:val="28"/>
          <w:szCs w:val="28"/>
          <w:rtl/>
        </w:rPr>
        <w:t xml:space="preserve">۱. تهران: مجلس؛ شماره نسخه: ۱۰۵۶۰/۱۲</w:t>
      </w:r>
    </w:p>
    <w:p>
      <w:pPr>
        <w:pStyle w:val="BookText"/>
      </w:pPr>
      <w:r>
        <w:rPr>
          <w:rFonts w:ascii="IRNazanin" w:hAnsi="IRNazanin" w:eastAsia="IRNazanin" w:cs="IRNazanin"/>
          <w:lang w:bidi="fa-IR"/>
          <w:color w:val="111111"/>
          <w:sz w:val="28"/>
          <w:szCs w:val="28"/>
          <w:rtl/>
        </w:rPr>
        <w:t xml:space="preserve">آغاز: برابر؛ انجام: ترا بخشم تو بینم از آنکه دیده خواجو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سزای دیدن روی طرب فزای تو نبود</w:t>
      </w:r>
    </w:p>
    <w:p>
      <w:pPr>
        <w:pStyle w:val="BookText"/>
      </w:pPr>
      <w:r>
        <w:rPr>
          <w:rFonts w:ascii="IRNazanin" w:hAnsi="IRNazanin" w:eastAsia="IRNazanin" w:cs="IRNazanin"/>
          <w:lang w:bidi="fa-IR"/>
          <w:color w:val="111111"/>
          <w:sz w:val="28"/>
          <w:szCs w:val="28"/>
          <w:rtl/>
        </w:rPr>
        <w:t xml:space="preserve">خط: نستعلیق هندی، كا: بابا گلکار، تا: قرن ۱۰؛ مجدول؛ جلد: تیماج سرخ، ۱۰گ (۱۰۲-۱۱۱ر)، ۱۵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w:t>
      </w:r>
    </w:p>
    <w:p>
      <w:pPr>
        <w:pStyle w:val="BookText"/>
      </w:pPr>
      <w:r>
        <w:rPr>
          <w:rFonts w:ascii="IRNazanin" w:hAnsi="IRNazanin" w:eastAsia="IRNazanin" w:cs="IRNazanin"/>
          <w:lang w:bidi="fa-IR"/>
          <w:color w:val="111111"/>
          <w:sz w:val="28"/>
          <w:szCs w:val="28"/>
          <w:rtl/>
        </w:rPr>
        <w:t xml:space="preserve">[ف: ۳۳/۱ -۹۹]</w:t>
      </w:r>
    </w:p>
    <w:p>
      <w:pPr>
        <w:pStyle w:val="BookText"/>
      </w:pPr>
      <w:r>
        <w:rPr>
          <w:rFonts w:ascii="IRNazanin" w:hAnsi="IRNazanin" w:eastAsia="IRNazanin" w:cs="IRNazanin"/>
          <w:lang w:bidi="fa-IR"/>
          <w:color w:val="111111"/>
          <w:sz w:val="28"/>
          <w:szCs w:val="28"/>
          <w:rtl/>
        </w:rPr>
        <w:t xml:space="preserve">۲. قم؛ مرعشی؛ شماره نسخه: ۱۲۵۳۷/۷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۱۳؛ مصحح، کاغذ: شرقی، ۱۰گ ( ۵۵-۴۶ )، ۱۷ سطر،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سم [ف: ۳۱-۵۹۲]</w:t>
      </w:r>
    </w:p>
    <w:p>
      <w:pPr>
        <w:pStyle w:val="BookText"/>
      </w:pPr>
      <w:r>
        <w:rPr>
          <w:rFonts w:ascii="IRNazanin" w:hAnsi="IRNazanin" w:eastAsia="IRNazanin" w:cs="IRNazanin"/>
          <w:lang w:bidi="fa-IR"/>
          <w:color w:val="111111"/>
          <w:sz w:val="28"/>
          <w:szCs w:val="28"/>
          <w:rtl/>
        </w:rPr>
        <w:t xml:space="preserve">٣. تهران؛ دائرة المعارف؛ شماره نسخه: ۲۷۶/۱۹ -عکسی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اصل نسخه: گنج بخش ش ۱۴۰۱ (گنج ۶۶۹/۲ ، ۵۷۲)؛ خط: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7" w:name="pg20363_209187"/>
    <w:bookmarkEnd w:id="37"/>
    <w:p>
      <w:pPr>
        <w:pStyle w:val="BookText"/>
      </w:pPr>
      <w:r>
        <w:rPr>
          <w:rFonts w:ascii="IRNazanin" w:hAnsi="IRNazanin" w:eastAsia="IRNazanin" w:cs="IRNazanin"/>
          <w:lang w:bidi="fa-IR"/>
          <w:color w:val="111111"/>
          <w:sz w:val="28"/>
          <w:szCs w:val="28"/>
          <w:rtl/>
        </w:rPr>
        <w:t xml:space="preserve">نستعلیق تحریری، كا: محمد امین، تا: ۱۲۸۰ق؛ ۱۰ص (۱۹۵-۲۰۴) [عکسی ف: ۲-۴۱]</w:t>
      </w:r>
    </w:p>
    <w:p>
      <w:pPr>
        <w:pStyle w:val="BookText"/>
      </w:pPr>
      <w:r>
        <w:rPr>
          <w:rFonts w:ascii="IRNazanin" w:hAnsi="IRNazanin" w:eastAsia="IRNazanin" w:cs="IRNazanin"/>
          <w:lang w:bidi="fa-IR"/>
          <w:color w:val="111111"/>
          <w:sz w:val="28"/>
          <w:szCs w:val="28"/>
          <w:rtl/>
        </w:rPr>
        <w:t xml:space="preserve">به بظاهر انوری به شرح مشکلات اشعار فرخی</w:t>
      </w:r>
    </w:p>
    <w:p>
      <w:pPr>
        <w:pStyle w:val="Heading3"/>
      </w:pPr>
      <w:bookmarkStart w:id="831" w:name="_Toc91"/>
      <w:r>
        <w:t>• بعث / كلام و اعتقادات، امامت / عربی</w:t>
      </w:r>
      <w:bookmarkEnd w:id="831"/>
    </w:p>
    <w:p>
      <w:pPr>
        <w:pStyle w:val="BookText"/>
      </w:pPr>
      <w:r>
        <w:rPr>
          <w:rFonts w:ascii="Times New Roman" w:hAnsi="Times New Roman" w:eastAsia="Times New Roman" w:cs="Times New Roman"/>
          <w:lang w:val="en-US" w:bidi="en-US"/>
          <w:color w:val="111111"/>
          <w:sz w:val="28"/>
          <w:szCs w:val="28"/>
          <w:rtl/>
        </w:rPr>
        <w:t xml:space="preserve">ba't</w:t>
      </w:r>
    </w:p>
    <w:p>
      <w:pPr>
        <w:pStyle w:val="BookText"/>
      </w:pPr>
      <w:r>
        <w:rPr>
          <w:rFonts w:ascii="IRNazanin" w:hAnsi="IRNazanin" w:eastAsia="IRNazanin" w:cs="IRNazanin"/>
          <w:lang w:bidi="fa-IR"/>
          <w:color w:val="111111"/>
          <w:sz w:val="28"/>
          <w:szCs w:val="28"/>
          <w:rtl/>
        </w:rPr>
        <w:t xml:space="preserve">رساله مختصر و موجزی است در کیفیت بعث و نشر انسان از قبر.</w:t>
      </w:r>
    </w:p>
    <w:p>
      <w:pPr>
        <w:pStyle w:val="BookText"/>
      </w:pPr>
      <w:r>
        <w:rPr>
          <w:rFonts w:ascii="IRNazanin" w:hAnsi="IRNazanin" w:eastAsia="IRNazanin" w:cs="IRNazanin"/>
          <w:lang w:bidi="fa-IR"/>
          <w:color w:val="111111"/>
          <w:sz w:val="28"/>
          <w:szCs w:val="28"/>
          <w:rtl/>
        </w:rPr>
        <w:t xml:space="preserve">کرمانشاه؛ جلیلی؛ شماره نسخه: ۴۷/۴</w:t>
      </w:r>
    </w:p>
    <w:p>
      <w:pPr>
        <w:pStyle w:val="BookText"/>
      </w:pPr>
      <w:r>
        <w:rPr>
          <w:rFonts w:ascii="IRNazanin" w:hAnsi="IRNazanin" w:eastAsia="IRNazanin" w:cs="IRNazanin"/>
          <w:lang w:bidi="fa-IR"/>
          <w:color w:val="111111"/>
          <w:sz w:val="28"/>
          <w:szCs w:val="28"/>
          <w:rtl/>
        </w:rPr>
        <w:t xml:space="preserve">آغاز: بسمله، من كلام شيخ الشيوخ قطب العالم سر الله في الأرض سعد الملة و الدين سلام الله عليه اعلم ان نعش الإنسان في بنی آدم خط: نستعلیق، بی کا، تا: قرن ۱۱؛ کاغذ: شکری فرنگی، جلد: تیماج عنابی ضربی، ۲۷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۷۹]</w:t>
      </w:r>
    </w:p>
    <w:p>
      <w:pPr>
        <w:pStyle w:val="Heading3"/>
      </w:pPr>
      <w:bookmarkStart w:id="832" w:name="_Toc92"/>
      <w:r>
        <w:t>• بعث و حشر حضرت فاطمه (علیها السلام) در قیامت / کلام و اعتقادات / فارسی</w:t>
      </w:r>
      <w:bookmarkEnd w:id="832"/>
    </w:p>
    <w:p>
      <w:pPr>
        <w:pStyle w:val="BookText"/>
      </w:pPr>
      <w:r>
        <w:rPr>
          <w:rFonts w:ascii="Times New Roman" w:hAnsi="Times New Roman" w:eastAsia="Times New Roman" w:cs="Times New Roman"/>
          <w:lang w:val="en-US" w:bidi="en-US"/>
          <w:color w:val="111111"/>
          <w:sz w:val="28"/>
          <w:szCs w:val="28"/>
          <w:rtl/>
        </w:rPr>
        <w:t xml:space="preserve">ba's va hašr-e hazrat-e fāteme dar qīyāmat</w:t>
      </w:r>
    </w:p>
    <w:p>
      <w:pPr>
        <w:pStyle w:val="BookText"/>
      </w:pPr>
      <w:r>
        <w:rPr>
          <w:rFonts w:ascii="IRNazanin" w:hAnsi="IRNazanin" w:eastAsia="IRNazanin" w:cs="IRNazanin"/>
          <w:lang w:bidi="fa-IR"/>
          <w:color w:val="111111"/>
          <w:sz w:val="28"/>
          <w:szCs w:val="28"/>
          <w:rtl/>
        </w:rPr>
        <w:t xml:space="preserve">؟ بلگرامی، قطب الدین بن ابراهیم، ق ۱۱ قمری</w:t>
      </w:r>
    </w:p>
    <w:p>
      <w:pPr>
        <w:pStyle w:val="BookText"/>
      </w:pPr>
      <w:r>
        <w:rPr>
          <w:rFonts w:ascii="Times New Roman" w:hAnsi="Times New Roman" w:eastAsia="Times New Roman" w:cs="Times New Roman"/>
          <w:lang w:val="en-US" w:bidi="en-US"/>
          <w:color w:val="111111"/>
          <w:sz w:val="28"/>
          <w:szCs w:val="28"/>
          <w:rtl/>
        </w:rPr>
        <w:t xml:space="preserve">belegrāmī, qotb-od-dīn ebn-e ebrāhīm (- 17c)</w:t>
      </w:r>
    </w:p>
    <w:p>
      <w:pPr>
        <w:pStyle w:val="BookText"/>
      </w:pPr>
      <w:r>
        <w:rPr>
          <w:rFonts w:ascii="IRNazanin" w:hAnsi="IRNazanin" w:eastAsia="IRNazanin" w:cs="IRNazanin"/>
          <w:lang w:bidi="fa-IR"/>
          <w:color w:val="111111"/>
          <w:sz w:val="28"/>
          <w:szCs w:val="28"/>
          <w:rtl/>
        </w:rPr>
        <w:t xml:space="preserve">رساله مختصری در احوال قیامت، بعث و حشر حضرت فاطمه (سلام الله علیها) است که عنوان دقیق و مؤلف آن و حتی نسخه مشابه آن به دست نیامد.</w:t>
      </w:r>
    </w:p>
    <w:p>
      <w:pPr>
        <w:pStyle w:val="BookText"/>
      </w:pPr>
      <w:r>
        <w:rPr>
          <w:rFonts w:ascii="IRNazanin" w:hAnsi="IRNazanin" w:eastAsia="IRNazanin" w:cs="IRNazanin"/>
          <w:lang w:bidi="fa-IR"/>
          <w:color w:val="111111"/>
          <w:sz w:val="28"/>
          <w:szCs w:val="28"/>
          <w:rtl/>
        </w:rPr>
        <w:t xml:space="preserve">مشهد؛ رضوی؛ شماره نسخه: ۳۵۷۴۰</w:t>
      </w:r>
    </w:p>
    <w:p>
      <w:pPr>
        <w:pStyle w:val="BookText"/>
      </w:pPr>
      <w:r>
        <w:rPr>
          <w:rFonts w:ascii="IRNazanin" w:hAnsi="IRNazanin" w:eastAsia="IRNazanin" w:cs="IRNazanin"/>
          <w:lang w:bidi="fa-IR"/>
          <w:color w:val="111111"/>
          <w:sz w:val="28"/>
          <w:szCs w:val="28"/>
          <w:rtl/>
        </w:rPr>
        <w:t xml:space="preserve">آغاز: بسمله. در خبر است که فردا قيامت آمنا و صدقنا بی بی فاطمه (سلام الله علیها) از گور بیرون نه آید؛ انجام: و یکی غلام آزاد کرده باشد بی ... و بی خبر در بهشت در آید بحرمت النبي و آله الأمجاد و الله اعلم بالصواب</w:t>
      </w:r>
    </w:p>
    <w:p>
      <w:pPr>
        <w:pStyle w:val="BookText"/>
      </w:pPr>
      <w:r>
        <w:rPr>
          <w:rFonts w:ascii="IRNazanin" w:hAnsi="IRNazanin" w:eastAsia="IRNazanin" w:cs="IRNazanin"/>
          <w:lang w:bidi="fa-IR"/>
          <w:color w:val="111111"/>
          <w:sz w:val="28"/>
          <w:szCs w:val="28"/>
          <w:rtl/>
        </w:rPr>
        <w:t xml:space="preserve">خط: نستعلیق تحریری، كا: قطب الدین بن ابراهيم بن مبارک بلگرامی، تا: ۱۰۹۲ق، جا: رجبوره پر کنه شاه آباد؛ اهدایی: رهبری، بهمن ۱۳۸۴؛ کاغذ: نخودی آهار مهره، جلد: تیماج فرنگی اخرا، ۵گ، ۱۵سطر،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[اهدائی رهبر: ۲ اخبار ۱-۱۷۴]</w:t>
      </w:r>
    </w:p>
    <w:p>
      <w:pPr>
        <w:pStyle w:val="Heading3"/>
      </w:pPr>
      <w:bookmarkStart w:id="833" w:name="_Toc93"/>
      <w:r>
        <w:t>• بعد آفتاب (جدول) / هیئت / فارسی</w:t>
      </w:r>
      <w:bookmarkEnd w:id="833"/>
    </w:p>
    <w:p>
      <w:pPr>
        <w:pStyle w:val="BookText"/>
      </w:pPr>
      <w:r>
        <w:rPr>
          <w:rFonts w:ascii="Times New Roman" w:hAnsi="Times New Roman" w:eastAsia="Times New Roman" w:cs="Times New Roman"/>
          <w:lang w:val="en-US" w:bidi="en-US"/>
          <w:color w:val="111111"/>
          <w:sz w:val="28"/>
          <w:szCs w:val="28"/>
          <w:rtl/>
        </w:rPr>
        <w:t xml:space="preserve">boʻd-e āftāb (jadval)</w:t>
      </w:r>
    </w:p>
    <w:p>
      <w:pPr>
        <w:pStyle w:val="BookText"/>
      </w:pPr>
      <w:r>
        <w:rPr>
          <w:rFonts w:ascii="IRNazanin" w:hAnsi="IRNazanin" w:eastAsia="IRNazanin" w:cs="IRNazanin"/>
          <w:lang w:bidi="fa-IR"/>
          <w:color w:val="111111"/>
          <w:sz w:val="28"/>
          <w:szCs w:val="28"/>
          <w:rtl/>
        </w:rPr>
        <w:t xml:space="preserve">مشهد؛ مولوی؛ شماره نسخه: ۵۵۲/۱۰</w:t>
      </w:r>
    </w:p>
    <w:p>
      <w:pPr>
        <w:pStyle w:val="BookText"/>
      </w:pPr>
      <w:r>
        <w:rPr>
          <w:rFonts w:ascii="IRNazanin" w:hAnsi="IRNazanin" w:eastAsia="IRNazanin" w:cs="IRNazanin"/>
          <w:lang w:bidi="fa-IR"/>
          <w:color w:val="111111"/>
          <w:sz w:val="28"/>
          <w:szCs w:val="28"/>
          <w:rtl/>
        </w:rPr>
        <w:t xml:space="preserve">این نسخه اکنون با همین شماره در دانشکده الهیات دانشگاه فردوسی مشهد است اما در فهرست این دانشکده این رساله در این مجموعه معرفی نشده است؛ بی کا، تا: قرن ۱۳ [نشریه: ۵-۸۵]</w:t>
      </w:r>
    </w:p>
    <w:p>
      <w:pPr>
        <w:pStyle w:val="BookText"/>
      </w:pPr>
      <w:r>
        <w:rPr>
          <w:rFonts w:ascii="IRNazanin" w:hAnsi="IRNazanin" w:eastAsia="IRNazanin" w:cs="IRNazanin"/>
          <w:lang w:bidi="fa-IR"/>
          <w:color w:val="111111"/>
          <w:sz w:val="28"/>
          <w:szCs w:val="28"/>
          <w:rtl/>
        </w:rPr>
        <w:t xml:space="preserve">← بعد حمد ← اصول و فروع دین (منظوم)</w:t>
      </w:r>
    </w:p>
    <w:p>
      <w:pPr>
        <w:pStyle w:val="Heading3"/>
      </w:pPr>
      <w:bookmarkStart w:id="834" w:name="_Toc94"/>
      <w:r>
        <w:t>• البعد في الاجسام (رسالة) / فلسفه / عربی</w:t>
      </w:r>
      <w:bookmarkEnd w:id="834"/>
    </w:p>
    <w:p>
      <w:pPr>
        <w:pStyle w:val="BookText"/>
      </w:pPr>
      <w:r>
        <w:rPr>
          <w:rFonts w:ascii="Times New Roman" w:hAnsi="Times New Roman" w:eastAsia="Times New Roman" w:cs="Times New Roman"/>
          <w:lang w:val="en-US" w:bidi="en-US"/>
          <w:color w:val="111111"/>
          <w:sz w:val="28"/>
          <w:szCs w:val="28"/>
          <w:rtl/>
        </w:rPr>
        <w:t xml:space="preserve">al-bu'd fi-1 ajsām (r.)</w:t>
      </w:r>
    </w:p>
    <w:p>
      <w:pPr>
        <w:pStyle w:val="BookText"/>
      </w:pPr>
      <w:r>
        <w:rPr>
          <w:rFonts w:ascii="IRNazanin" w:hAnsi="IRNazanin" w:eastAsia="IRNazanin" w:cs="IRNazanin"/>
          <w:lang w:bidi="fa-IR"/>
          <w:color w:val="111111"/>
          <w:sz w:val="28"/>
          <w:szCs w:val="28"/>
          <w:rtl/>
        </w:rPr>
        <w:t xml:space="preserve">محقق جوربذی، شرف الدين</w:t>
      </w:r>
    </w:p>
    <w:p>
      <w:pPr>
        <w:pStyle w:val="BookText"/>
      </w:pPr>
      <w:r>
        <w:rPr>
          <w:rFonts w:ascii="Times New Roman" w:hAnsi="Times New Roman" w:eastAsia="Times New Roman" w:cs="Times New Roman"/>
          <w:lang w:val="en-US" w:bidi="en-US"/>
          <w:color w:val="111111"/>
          <w:sz w:val="28"/>
          <w:szCs w:val="28"/>
          <w:rtl/>
        </w:rPr>
        <w:t xml:space="preserve">mohaqqeq-e jūrbazī, šaraf-od-dīn</w:t>
      </w:r>
    </w:p>
    <w:p>
      <w:pPr>
        <w:pStyle w:val="BookText"/>
      </w:pPr>
      <w:r>
        <w:rPr>
          <w:rFonts w:ascii="IRNazanin" w:hAnsi="IRNazanin" w:eastAsia="IRNazanin" w:cs="IRNazanin"/>
          <w:lang w:bidi="fa-IR"/>
          <w:color w:val="111111"/>
          <w:sz w:val="28"/>
          <w:szCs w:val="28"/>
          <w:rtl/>
        </w:rPr>
        <w:t xml:space="preserve">آغاز: و اذ قد ثبت في العلوم الحكميه أن الجسم ليس مركبا من جواهر فردة كما هو مذهب المتكلمين فالبعد الذي يحده في الجسم اما ان يكون هو عين ماهية الجسم و حقیقته او داخلا فيها انجام: کذلک المقدار و الحجم و الاتصال لا ينعدم بالكلية بل يتكثر فهذا ايضا ملحق.</w:t>
      </w:r>
    </w:p>
    <w:p>
      <w:pPr>
        <w:pStyle w:val="BookText"/>
      </w:pPr>
      <w:r>
        <w:rPr>
          <w:rFonts w:ascii="IRNazanin" w:hAnsi="IRNazanin" w:eastAsia="IRNazanin" w:cs="IRNazanin"/>
          <w:lang w:bidi="fa-IR"/>
          <w:color w:val="111111"/>
          <w:sz w:val="28"/>
          <w:szCs w:val="28"/>
          <w:rtl/>
        </w:rPr>
        <w:t xml:space="preserve">همدان؛ مدرسه غرب: شماره نسخه: ۱۱۸۷/۸۲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۱۰ یا ۱۱؛ با سرلوحهای زرین؛ کاغذ: اصفهانی نازک، ۵گ (۳۸۵ پ -۳۸۹ پ)، ۲۴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[رشت و همدان: ف: ۱۴۸۳]</w:t>
      </w:r>
    </w:p>
    <w:p>
      <w:pPr>
        <w:pStyle w:val="Heading3"/>
      </w:pPr>
      <w:bookmarkStart w:id="835" w:name="_Toc95"/>
      <w:r>
        <w:t>• بعض آیات قرآن کریم (ترجمه) / کتاب آسمانی/ فارسی</w:t>
      </w:r>
      <w:bookmarkEnd w:id="835"/>
    </w:p>
    <w:p>
      <w:pPr>
        <w:pStyle w:val="BookText"/>
      </w:pPr>
      <w:r>
        <w:rPr>
          <w:rFonts w:ascii="Times New Roman" w:hAnsi="Times New Roman" w:eastAsia="Times New Roman" w:cs="Times New Roman"/>
          <w:lang w:val="en-US" w:bidi="en-US"/>
          <w:color w:val="111111"/>
          <w:sz w:val="28"/>
          <w:szCs w:val="28"/>
          <w:rtl/>
        </w:rPr>
        <w:t xml:space="preserve">baz-e ayat-e qor'an-e karim (t.)</w:t>
      </w:r>
    </w:p>
    <w:p>
      <w:pPr>
        <w:pStyle w:val="BookText"/>
      </w:pPr>
      <w:r>
        <w:rPr>
          <w:rFonts w:ascii="IRNazanin" w:hAnsi="IRNazanin" w:eastAsia="IRNazanin" w:cs="IRNazanin"/>
          <w:lang w:bidi="fa-IR"/>
          <w:color w:val="111111"/>
          <w:sz w:val="28"/>
          <w:szCs w:val="28"/>
          <w:rtl/>
        </w:rPr>
        <w:t xml:space="preserve">نديم السلطان شیرازی، محمد خليل بن محمد هاشم، ق۱۴ قمری</w:t>
      </w:r>
    </w:p>
    <w:p>
      <w:pPr>
        <w:pStyle w:val="BookText"/>
      </w:pPr>
      <w:r>
        <w:rPr>
          <w:rFonts w:ascii="Times New Roman" w:hAnsi="Times New Roman" w:eastAsia="Times New Roman" w:cs="Times New Roman"/>
          <w:lang w:val="en-US" w:bidi="en-US"/>
          <w:color w:val="111111"/>
          <w:sz w:val="28"/>
          <w:szCs w:val="28"/>
          <w:rtl/>
        </w:rPr>
        <w:t xml:space="preserve">nadīm-os-soltān-e šīrāzī, mohammad xalīlebn-e mohammad hāšem (- 20c)</w:t>
      </w:r>
    </w:p>
    <w:p>
      <w:pPr>
        <w:pStyle w:val="BookText"/>
      </w:pPr>
      <w:r>
        <w:rPr>
          <w:rFonts w:ascii="IRNazanin" w:hAnsi="IRNazanin" w:eastAsia="IRNazanin" w:cs="IRNazanin"/>
          <w:lang w:bidi="fa-IR"/>
          <w:color w:val="111111"/>
          <w:sz w:val="28"/>
          <w:szCs w:val="28"/>
          <w:rtl/>
        </w:rPr>
        <w:t xml:space="preserve">به آمر: ظل السلطان</w:t>
      </w:r>
    </w:p>
    <w:p>
      <w:pPr>
        <w:pStyle w:val="BookText"/>
      </w:pPr>
      <w:r>
        <w:rPr>
          <w:rFonts w:ascii="IRNazanin" w:hAnsi="IRNazanin" w:eastAsia="IRNazanin" w:cs="IRNazanin"/>
          <w:lang w:bidi="fa-IR"/>
          <w:color w:val="111111"/>
          <w:sz w:val="28"/>
          <w:szCs w:val="28"/>
          <w:rtl/>
        </w:rPr>
        <w:t xml:space="preserve">مترجم بعضی از آیات قرآن را که مبتنی بر مصالح عموم و احکام و تهدید و وعید است بر سبیل اختصار ترجمه نموده است. از آیه «قل اللهم مالک الملک» از سوره آل عمران و شروع شده است.</w:t>
      </w:r>
    </w:p>
    <w:p>
      <w:pPr>
        <w:pStyle w:val="BookText"/>
      </w:pPr>
      <w:r>
        <w:rPr>
          <w:rFonts w:ascii="IRNazanin" w:hAnsi="IRNazanin" w:eastAsia="IRNazanin" w:cs="IRNazanin"/>
          <w:lang w:bidi="fa-IR"/>
          <w:color w:val="111111"/>
          <w:sz w:val="28"/>
          <w:szCs w:val="28"/>
          <w:rtl/>
        </w:rPr>
        <w:t xml:space="preserve">اصفهان؛ صارم الدوله (كتابخانه فرهنگ اصفهان)؛ شماره نسخه: ۱۰۱۰</w:t>
      </w:r>
    </w:p>
    <w:p>
      <w:pPr>
        <w:pStyle w:val="BookText"/>
      </w:pPr>
      <w:r>
        <w:rPr>
          <w:rFonts w:ascii="IRNazanin" w:hAnsi="IRNazanin" w:eastAsia="IRNazanin" w:cs="IRNazanin"/>
          <w:lang w:bidi="fa-IR"/>
          <w:color w:val="111111"/>
          <w:sz w:val="28"/>
          <w:szCs w:val="28"/>
          <w:rtl/>
        </w:rPr>
        <w:t xml:space="preserve">آغاز: چون نیت حضرت مستطاب اشرف؛ انجام: کسانی که کافر شدند و تجاوز کردند از طریق حق فاسد گردیده عمل ایشان و کسانی که ایمان آورده و عمل نیکو کرده اند</w:t>
      </w:r>
    </w:p>
    <w:p>
      <w:pPr>
        <w:pStyle w:val="BookText"/>
      </w:pPr>
      <w:r>
        <w:rPr>
          <w:rFonts w:ascii="IRNazanin" w:hAnsi="IRNazanin" w:eastAsia="IRNazanin" w:cs="IRNazanin"/>
          <w:lang w:bidi="fa-IR"/>
          <w:color w:val="111111"/>
          <w:sz w:val="28"/>
          <w:szCs w:val="28"/>
          <w:rtl/>
        </w:rPr>
        <w:t xml:space="preserve">خط: نستعلیق شکسته، كاتب = مؤلف، تا: ۷ رجب ۱۲۹۹ق؛ کاغذ: فرنگی، جلد: مقوایی با روکش تیماج مشکی ریسه دار ضربی، ۳۴ص، ۹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۱۲۲]</w:t>
      </w:r>
    </w:p>
    <w:p>
      <w:pPr>
        <w:pStyle w:val="Heading3"/>
      </w:pPr>
      <w:bookmarkStart w:id="836" w:name="_Toc96"/>
      <w:r>
        <w:t>•بعض الحكماء اليونانين و المليين (مختصر) / تراجم / عربی</w:t>
      </w:r>
      <w:bookmarkEnd w:id="836"/>
    </w:p>
    <w:p>
      <w:pPr>
        <w:pStyle w:val="BookText"/>
      </w:pPr>
      <w:r>
        <w:rPr>
          <w:rFonts w:ascii="Times New Roman" w:hAnsi="Times New Roman" w:eastAsia="Times New Roman" w:cs="Times New Roman"/>
          <w:lang w:val="en-US" w:bidi="en-US"/>
          <w:color w:val="111111"/>
          <w:sz w:val="28"/>
          <w:szCs w:val="28"/>
          <w:rtl/>
        </w:rPr>
        <w:t xml:space="preserve">ba‘d-ul hukamā’-il yūnānīyān wa-l millīyīn (muxtaşar)</w:t>
      </w:r>
    </w:p>
    <w:p>
      <w:pPr>
        <w:pStyle w:val="BookText"/>
      </w:pPr>
      <w:r>
        <w:rPr>
          <w:rFonts w:ascii="IRNazanin" w:hAnsi="IRNazanin" w:eastAsia="IRNazanin" w:cs="IRNazanin"/>
          <w:lang w:bidi="fa-IR"/>
          <w:color w:val="111111"/>
          <w:sz w:val="28"/>
          <w:szCs w:val="28"/>
          <w:rtl/>
        </w:rPr>
        <w:t xml:space="preserve">از قطب الدین مصری تا طوسی</w:t>
      </w:r>
    </w:p>
    <w:p>
      <w:pPr>
        <w:pStyle w:val="BookText"/>
      </w:pPr>
      <w:r>
        <w:rPr>
          <w:rFonts w:ascii="IRNazanin" w:hAnsi="IRNazanin" w:eastAsia="IRNazanin" w:cs="IRNazanin"/>
          <w:lang w:bidi="fa-IR"/>
          <w:color w:val="111111"/>
          <w:sz w:val="28"/>
          <w:szCs w:val="28"/>
          <w:rtl/>
        </w:rPr>
        <w:t xml:space="preserve">چاپ: دانش پژوه در فرهنگ ایران جلد ۱۷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8" w:name="pg20363_209188"/>
    <w:bookmarkEnd w:id="38"/>
    <w:p>
      <w:pPr>
        <w:pStyle w:val="BookText"/>
      </w:pPr>
      <w:r>
        <w:rPr>
          <w:rFonts w:ascii="IRNazanin" w:hAnsi="IRNazanin" w:eastAsia="IRNazanin" w:cs="IRNazanin"/>
          <w:lang w:bidi="fa-IR"/>
          <w:color w:val="111111"/>
          <w:sz w:val="28"/>
          <w:szCs w:val="28"/>
          <w:rtl/>
        </w:rPr>
        <w:t xml:space="preserve">۱. تهران، دانشگاه؛ شماره نسخه: ۱۱۸۷-ف</w:t>
      </w:r>
    </w:p>
    <w:p>
      <w:pPr>
        <w:pStyle w:val="BookText"/>
      </w:pPr>
      <w:r>
        <w:rPr>
          <w:rFonts w:ascii="IRNazanin" w:hAnsi="IRNazanin" w:eastAsia="IRNazanin" w:cs="IRNazanin"/>
          <w:lang w:bidi="fa-IR"/>
          <w:color w:val="111111"/>
          <w:sz w:val="28"/>
          <w:szCs w:val="28"/>
          <w:rtl/>
        </w:rPr>
        <w:t xml:space="preserve">نسخه اصل: اسكوريال مجموعه ش ۶۵۳؛ خط: نسخ، كا: حسین بن حسن موقانی، تا: ۸۴۹ق [فیلمها ف: ۱-۳۷۹]</w:t>
      </w:r>
    </w:p>
    <w:p>
      <w:pPr>
        <w:pStyle w:val="BookText"/>
      </w:pPr>
      <w:r>
        <w:rPr>
          <w:rFonts w:ascii="IRNazanin" w:hAnsi="IRNazanin" w:eastAsia="IRNazanin" w:cs="IRNazanin"/>
          <w:lang w:bidi="fa-IR"/>
          <w:color w:val="111111"/>
          <w:sz w:val="28"/>
          <w:szCs w:val="28"/>
          <w:rtl/>
        </w:rPr>
        <w:t xml:space="preserve">۲. تهران؛ الهیات؛ شماره نسخه: ۳۱۲/۲</w:t>
      </w:r>
    </w:p>
    <w:p>
      <w:pPr>
        <w:pStyle w:val="BookText"/>
      </w:pPr>
      <w:r>
        <w:rPr>
          <w:rFonts w:ascii="IRNazanin" w:hAnsi="IRNazanin" w:eastAsia="IRNazanin" w:cs="IRNazanin"/>
          <w:lang w:bidi="fa-IR"/>
          <w:color w:val="111111"/>
          <w:sz w:val="28"/>
          <w:szCs w:val="28"/>
          <w:rtl/>
        </w:rPr>
        <w:t xml:space="preserve">بندی از «مختصر في ذكر بعض الحكماء و اليونانين و المليين»؛ خط: نسخ، بی کا، تا: ۱۳۲۰ق، کاغذ: فرنگی، جلد: تیماج سرخ ضربی مقوایی، ۲گی (۲۴۳ر -۲۴۴ر)، ۱۴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۲۱۴]</w:t>
      </w:r>
    </w:p>
    <w:p>
      <w:pPr>
        <w:pStyle w:val="BookText"/>
      </w:pPr>
      <w:r>
        <w:rPr>
          <w:rFonts w:ascii="IRNazanin" w:hAnsi="IRNazanin" w:eastAsia="IRNazanin" w:cs="IRNazanin"/>
          <w:lang w:bidi="fa-IR"/>
          <w:color w:val="111111"/>
          <w:sz w:val="28"/>
          <w:szCs w:val="28"/>
          <w:rtl/>
        </w:rPr>
        <w:t xml:space="preserve">٣. تهران، دانشگاه؛ شماره نسخه: ۲۵۰۶/۲ -ف</w:t>
      </w:r>
    </w:p>
    <w:p>
      <w:pPr>
        <w:pStyle w:val="BookText"/>
      </w:pPr>
      <w:r>
        <w:rPr>
          <w:rFonts w:ascii="IRNazanin" w:hAnsi="IRNazanin" w:eastAsia="IRNazanin" w:cs="IRNazanin"/>
          <w:lang w:bidi="fa-IR"/>
          <w:color w:val="111111"/>
          <w:sz w:val="28"/>
          <w:szCs w:val="28"/>
          <w:rtl/>
        </w:rPr>
        <w:t xml:space="preserve">نسخه اصل: فرهنگ اصفهان، ش ۲۷۸۶. بندی از «مختصر في ذکر بعض الحكماء اليونانين و المليين»؛ بی کا، بی تا [فیلمها ف: ۱-۷۰۶]</w:t>
      </w:r>
    </w:p>
    <w:p>
      <w:pPr>
        <w:pStyle w:val="Heading3"/>
      </w:pPr>
      <w:bookmarkStart w:id="837" w:name="_Toc97"/>
      <w:r>
        <w:t>• بعض الخطب الجليلة للايام الشريفة / گوناگون / عربی</w:t>
      </w:r>
      <w:bookmarkEnd w:id="837"/>
    </w:p>
    <w:p>
      <w:pPr>
        <w:pStyle w:val="BookText"/>
      </w:pPr>
      <w:r>
        <w:rPr>
          <w:rFonts w:ascii="Times New Roman" w:hAnsi="Times New Roman" w:eastAsia="Times New Roman" w:cs="Times New Roman"/>
          <w:lang w:val="en-US" w:bidi="en-US"/>
          <w:color w:val="111111"/>
          <w:sz w:val="28"/>
          <w:szCs w:val="28"/>
          <w:rtl/>
        </w:rPr>
        <w:t xml:space="preserve">ba‘-ul xutab-il jalīla li-l-ayyām-iš šarīfa</w:t>
      </w:r>
    </w:p>
    <w:p>
      <w:pPr>
        <w:pStyle w:val="BookText"/>
      </w:pPr>
      <w:r>
        <w:rPr>
          <w:rFonts w:ascii="IRNazanin" w:hAnsi="IRNazanin" w:eastAsia="IRNazanin" w:cs="IRNazanin"/>
          <w:lang w:bidi="fa-IR"/>
          <w:color w:val="111111"/>
          <w:sz w:val="28"/>
          <w:szCs w:val="28"/>
          <w:rtl/>
        </w:rPr>
        <w:t xml:space="preserve">این کتاب مشتمل بر مطالب و فوائد متفرقه ای است از قبیل: دعایی در طلب حاجات؛ مطالبی به نقل از حياة الحيوان و مطالبی در ضبط البروج با جداول؛ معانی بعضی از لغات؛ چند روایت به خط احمد بن اسمعیل جزائري تذكرة برای شیخ محمد باقر؛ چند روایت و فائده؛ مطالبی به نقل از حلية المتقين؛ ادعیه و مطالبی فلسفی؛ اشعار عمر بن عاص در مدح على (علیه السلام)؛ شعری از متنی در مدح شجاع بن محمد طائی؛ شعری از ابوالحسن على بن عبدالغنی فهری فروزانی؛ مطالب و احادیثی به نقل از عروة الوثقی، مشارق الانوار، امالی شیخ به خط حسن بن حسيدر بن ابي الحسن حسین عالمی در سال ۱۰۸۹ تذكرة برای شیخ محمد باقر؛ یادداشتی در خواندن دعاء في الليل؛ احادیث و مطالب متفرقه ای از کتب متفرقه و کتاب الامان ابن طاووس؛ اشعاری از میر نجات؛ مطالبی در تعارض ادله در باب نکاح و تحديد بعض ما تعم به البلوى؛ مطالبی متفرقه تأليف محمد علی بن محمد باقر اصفهانی حائری بهبهانی در عصر روز چهارشنبه الخمس الثانی من السدس الثالث من الربع الرابع من الثلث الثاني من النصف الأول من الخمس الثالث من العشر التاسع من العشر الثاني من الألف الثانی؛ مطالبی به نقل از شیخ طوسی، کلینی، ابن فهد، تفتازانی؛ روایاتی از ابن عباس و غیره، ابن جوزی، فقیه، وصیت لقمان به فرزندش، کتاب تاریخ ابن فارسی، علل الشرایع، کنوز المخفية و الاسرار، کتاب الاقبال، رساله ای از مجلسی در شناخت مقدار کر، درهم و ... رساله ای در فوائد خواندن اسماء اعظم، اشعار و روایت و فوائد متفرقه.</w:t>
      </w:r>
    </w:p>
    <w:p>
      <w:pPr>
        <w:pStyle w:val="BookText"/>
      </w:pPr>
      <w:r>
        <w:rPr>
          <w:rFonts w:ascii="IRNazanin" w:hAnsi="IRNazanin" w:eastAsia="IRNazanin" w:cs="IRNazanin"/>
          <w:lang w:bidi="fa-IR"/>
          <w:color w:val="111111"/>
          <w:sz w:val="28"/>
          <w:szCs w:val="28"/>
          <w:rtl/>
        </w:rPr>
        <w:t xml:space="preserve">خوانسار؛ فاضل؛ شماره نسخه: ۲۵۹/۱۰</w:t>
      </w:r>
    </w:p>
    <w:p>
      <w:pPr>
        <w:pStyle w:val="BookText"/>
      </w:pPr>
      <w:r>
        <w:rPr>
          <w:rFonts w:ascii="IRNazanin" w:hAnsi="IRNazanin" w:eastAsia="IRNazanin" w:cs="IRNazanin"/>
          <w:lang w:bidi="fa-IR"/>
          <w:color w:val="111111"/>
          <w:sz w:val="28"/>
          <w:szCs w:val="28"/>
          <w:rtl/>
        </w:rPr>
        <w:t xml:space="preserve">بی کا، بی تا؛ جلد: تیماج مشکی بدون مقوا، اندازه: ۱۴</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۲۰/۵ سم [ف: ۱-۲۳۵]</w:t>
      </w:r>
    </w:p>
    <w:p>
      <w:pPr>
        <w:pStyle w:val="Heading3"/>
      </w:pPr>
      <w:bookmarkStart w:id="838" w:name="_Toc98"/>
      <w:r>
        <w:t>• بعض خواص آیات / علوم غریبه / فارسی</w:t>
      </w:r>
      <w:bookmarkEnd w:id="838"/>
    </w:p>
    <w:p>
      <w:pPr>
        <w:pStyle w:val="BookText"/>
      </w:pPr>
      <w:r>
        <w:rPr>
          <w:rFonts w:ascii="Times New Roman" w:hAnsi="Times New Roman" w:eastAsia="Times New Roman" w:cs="Times New Roman"/>
          <w:lang w:val="en-US" w:bidi="en-US"/>
          <w:color w:val="111111"/>
          <w:sz w:val="28"/>
          <w:szCs w:val="28"/>
          <w:rtl/>
        </w:rPr>
        <w:t xml:space="preserve">baʻz-e xavāss-e āyāt</w:t>
      </w:r>
    </w:p>
    <w:p>
      <w:pPr>
        <w:pStyle w:val="BookText"/>
      </w:pPr>
      <w:r>
        <w:rPr>
          <w:rFonts w:ascii="IRNazanin" w:hAnsi="IRNazanin" w:eastAsia="IRNazanin" w:cs="IRNazanin"/>
          <w:lang w:bidi="fa-IR"/>
          <w:color w:val="111111"/>
          <w:sz w:val="28"/>
          <w:szCs w:val="28"/>
          <w:rtl/>
        </w:rPr>
        <w:t xml:space="preserve">دهدار عیانی، محمود بن محمد، ق۱۰ قمری</w:t>
      </w:r>
    </w:p>
    <w:p>
      <w:pPr>
        <w:pStyle w:val="BookText"/>
      </w:pPr>
      <w:r>
        <w:rPr>
          <w:rFonts w:ascii="Times New Roman" w:hAnsi="Times New Roman" w:eastAsia="Times New Roman" w:cs="Times New Roman"/>
          <w:lang w:val="en-US" w:bidi="en-US"/>
          <w:color w:val="111111"/>
          <w:sz w:val="28"/>
          <w:szCs w:val="28"/>
          <w:rtl/>
        </w:rPr>
        <w:t xml:space="preserve">dehdār-e ‘ayānī, mahmūd ebn-e mohammad (- 16c)</w:t>
      </w:r>
    </w:p>
    <w:p>
      <w:pPr>
        <w:pStyle w:val="BookText"/>
      </w:pPr>
      <w:r>
        <w:rPr>
          <w:rFonts w:ascii="IRNazanin" w:hAnsi="IRNazanin" w:eastAsia="IRNazanin" w:cs="IRNazanin"/>
          <w:lang w:bidi="fa-IR"/>
          <w:color w:val="111111"/>
          <w:sz w:val="28"/>
          <w:szCs w:val="28"/>
          <w:rtl/>
        </w:rPr>
        <w:t xml:space="preserve">مشهد؛ رضوی؛ شماره نسخه: ۲۹۸۸۳</w:t>
      </w:r>
    </w:p>
    <w:p>
      <w:pPr>
        <w:pStyle w:val="BookText"/>
      </w:pPr>
      <w:r>
        <w:rPr>
          <w:rFonts w:ascii="IRNazanin" w:hAnsi="IRNazanin" w:eastAsia="IRNazanin" w:cs="IRNazanin"/>
          <w:lang w:bidi="fa-IR"/>
          <w:color w:val="111111"/>
          <w:sz w:val="28"/>
          <w:szCs w:val="28"/>
          <w:rtl/>
        </w:rPr>
        <w:t xml:space="preserve">آغاز: بسمله، سپاس و ستایش خدایرا که بیافرید هر دو جهانرا و بیاراست بخورشید و ماه و ستاره آسمانرا؛ انجام: در کاغذ و ببوی خوش بیالاید البته مطلوب حاصل گردد. تم خط: نستعلیق، بی کا، تا: قرن ۱۱ [رایانه]</w:t>
      </w:r>
    </w:p>
    <w:p>
      <w:pPr>
        <w:pStyle w:val="Heading3"/>
      </w:pPr>
      <w:bookmarkStart w:id="839" w:name="_Toc99"/>
      <w:r>
        <w:t>• بعض خواص القران / علوم قرآن / فارسی</w:t>
      </w:r>
      <w:bookmarkEnd w:id="839"/>
    </w:p>
    <w:p>
      <w:pPr>
        <w:pStyle w:val="BookText"/>
      </w:pPr>
      <w:r>
        <w:rPr>
          <w:rFonts w:ascii="Times New Roman" w:hAnsi="Times New Roman" w:eastAsia="Times New Roman" w:cs="Times New Roman"/>
          <w:lang w:val="en-US" w:bidi="en-US"/>
          <w:color w:val="111111"/>
          <w:sz w:val="28"/>
          <w:szCs w:val="28"/>
          <w:rtl/>
        </w:rPr>
        <w:t xml:space="preserve">ba'z-o xavass-el qorān -0XaVas</w:t>
      </w:r>
    </w:p>
    <w:p>
      <w:pPr>
        <w:pStyle w:val="BookText"/>
      </w:pPr>
      <w:r>
        <w:rPr>
          <w:rFonts w:ascii="IRNazanin" w:hAnsi="IRNazanin" w:eastAsia="IRNazanin" w:cs="IRNazanin"/>
          <w:lang w:bidi="fa-IR"/>
          <w:color w:val="111111"/>
          <w:sz w:val="28"/>
          <w:szCs w:val="28"/>
          <w:rtl/>
        </w:rPr>
        <w:t xml:space="preserve">خواص یک یک سور قرانی از سوره فاتحه تا انتهای سوره ناس ذکر می شود و می گوید هر سوره چه خاصیتی دارد و ذکر هر سوره در مقام خود چه مشکلی را مرتفع می سازد.</w:t>
      </w:r>
    </w:p>
    <w:p>
      <w:pPr>
        <w:pStyle w:val="BookText"/>
      </w:pPr>
      <w:r>
        <w:rPr>
          <w:rFonts w:ascii="IRNazanin" w:hAnsi="IRNazanin" w:eastAsia="IRNazanin" w:cs="IRNazanin"/>
          <w:lang w:bidi="fa-IR"/>
          <w:color w:val="111111"/>
          <w:sz w:val="28"/>
          <w:szCs w:val="28"/>
          <w:rtl/>
        </w:rPr>
        <w:t xml:space="preserve">تهران؛ ملی؛ شماره نسخه: ۲۷۰۶/۲۲</w:t>
      </w:r>
    </w:p>
    <w:p>
      <w:pPr>
        <w:pStyle w:val="BookText"/>
      </w:pPr>
      <w:r>
        <w:rPr>
          <w:rFonts w:ascii="IRNazanin" w:hAnsi="IRNazanin" w:eastAsia="IRNazanin" w:cs="IRNazanin"/>
          <w:lang w:bidi="fa-IR"/>
          <w:color w:val="111111"/>
          <w:sz w:val="28"/>
          <w:szCs w:val="28"/>
          <w:rtl/>
        </w:rPr>
        <w:t xml:space="preserve">آغاز: فسند کرها من كتاب الخواص الفاتحه هي شفاء من كل داء؛ انجام پایان: و من علقها على طفل امن من الحن و الهوام بی کا، تا:قرن ۱۳؛ کاغذ: فرنگی، جلد: تیماج مشکی یک رو، ۴ص ( ۹۸-۹۵)، ۲۷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w:t>
      </w:r>
    </w:p>
    <w:p>
      <w:pPr>
        <w:pStyle w:val="BookText"/>
      </w:pPr>
      <w:r>
        <w:rPr>
          <w:rFonts w:ascii="IRNazanin" w:hAnsi="IRNazanin" w:eastAsia="IRNazanin" w:cs="IRNazanin"/>
          <w:lang w:bidi="fa-IR"/>
          <w:color w:val="111111"/>
          <w:sz w:val="28"/>
          <w:szCs w:val="28"/>
          <w:rtl/>
        </w:rPr>
        <w:t xml:space="preserve">)،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۶-۳۰۳]</w:t>
      </w:r>
    </w:p>
    <w:p>
      <w:pPr>
        <w:pStyle w:val="Heading3"/>
      </w:pPr>
      <w:bookmarkStart w:id="840" w:name="_Toc100"/>
      <w:r>
        <w:t>• بعض الفوائد البهية المتعلقة بالبيوع الخيارية / فقه / عربی</w:t>
      </w:r>
      <w:bookmarkEnd w:id="840"/>
    </w:p>
    <w:p>
      <w:pPr>
        <w:pStyle w:val="BookText"/>
      </w:pPr>
      <w:r>
        <w:rPr>
          <w:rFonts w:ascii="Times New Roman" w:hAnsi="Times New Roman" w:eastAsia="Times New Roman" w:cs="Times New Roman"/>
          <w:lang w:val="en-US" w:bidi="en-US"/>
          <w:color w:val="111111"/>
          <w:sz w:val="28"/>
          <w:szCs w:val="28"/>
          <w:rtl/>
        </w:rPr>
        <w:t xml:space="preserve">ba‘d-ul fawā'id-il bahīyyat-il mutiʻalliqa bi-l-buyūʻ-il xīyārya</w:t>
      </w:r>
    </w:p>
    <w:p>
      <w:pPr>
        <w:pStyle w:val="BookText"/>
      </w:pPr>
      <w:r>
        <w:rPr>
          <w:rFonts w:ascii="IRNazanin" w:hAnsi="IRNazanin" w:eastAsia="IRNazanin" w:cs="IRNazanin"/>
          <w:lang w:bidi="fa-IR"/>
          <w:color w:val="111111"/>
          <w:sz w:val="28"/>
          <w:szCs w:val="28"/>
          <w:rtl/>
        </w:rPr>
        <w:t xml:space="preserve">وحید بهبهانی، محمد باقر بن محمد اکمل، ۱۱۱۸ -۱۲۰۵ قمری</w:t>
      </w:r>
    </w:p>
    <w:p>
      <w:pPr>
        <w:pStyle w:val="BookText"/>
      </w:pPr>
      <w:r>
        <w:rPr>
          <w:rFonts w:ascii="Times New Roman" w:hAnsi="Times New Roman" w:eastAsia="Times New Roman" w:cs="Times New Roman"/>
          <w:lang w:val="en-US" w:bidi="en-US"/>
          <w:color w:val="111111"/>
          <w:sz w:val="28"/>
          <w:szCs w:val="28"/>
          <w:rtl/>
        </w:rPr>
        <w:t xml:space="preserve">ebn-e vahīd-e behbahānī, mohammad bāqer mohammad akmal (1707-1791)</w:t>
      </w:r>
    </w:p>
    <w:p>
      <w:pPr>
        <w:pStyle w:val="BookText"/>
      </w:pPr>
      <w:r>
        <w:rPr>
          <w:rFonts w:ascii="IRNazanin" w:hAnsi="IRNazanin" w:eastAsia="IRNazanin" w:cs="IRNazanin"/>
          <w:lang w:bidi="fa-IR"/>
          <w:color w:val="111111"/>
          <w:sz w:val="28"/>
          <w:szCs w:val="28"/>
          <w:rtl/>
        </w:rPr>
        <w:t xml:space="preserve">تهران؛ مجلس؛ شماره نسخه:۱۱۶۰۰/۴</w:t>
      </w:r>
    </w:p>
    <w:p>
      <w:pPr>
        <w:pStyle w:val="BookText"/>
      </w:pPr>
      <w:r>
        <w:rPr>
          <w:rFonts w:ascii="Amiri" w:hAnsi="Amiri" w:eastAsia="Amiri" w:cs="Amiri"/>
          <w:lang w:bidi="ar-SA"/>
          <w:color w:val="111111"/>
          <w:sz w:val="28"/>
          <w:szCs w:val="28"/>
          <w:rtl/>
        </w:rPr>
        <w:t xml:space="preserve">آغاز: احمده على نواله مصليا عل احمده و آله و صحبه التابعين الفعلخ و قاله فيقول ... فائدة: يدل على جواز بيع المشترى للمشتري بيع الشرط بالمعنى المتعارف؛ انجام: ثم طلقها وتزوج بها اخ لام كان للمراة و ولدت منه ثلثة بين فصحت المسالة.</w:t>
      </w:r>
    </w:p>
    <w:p>
      <w:pPr>
        <w:pStyle w:val="BookText"/>
      </w:pPr>
      <w:r>
        <w:rPr>
          <w:rFonts w:ascii="IRNazanin" w:hAnsi="IRNazanin" w:eastAsia="IRNazanin" w:cs="IRNazanin"/>
          <w:lang w:bidi="fa-IR"/>
          <w:color w:val="111111"/>
          <w:sz w:val="28"/>
          <w:szCs w:val="28"/>
          <w:rtl/>
        </w:rPr>
        <w:t xml:space="preserve">خط: نستعلیق، بی کا، تا: قرن ۱۳؛ محشی، برخی فواد ادبی و عرفانی از شعرا و عرفاء پیشین؛ جلد: گالینگور با ترنج، ۶گ (۱۵۲ر -۱۵۷ر)،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۳۳/۲ -۱۹۲]</w:t>
      </w:r>
    </w:p>
    <w:p>
      <w:pPr>
        <w:pStyle w:val="Heading3"/>
      </w:pPr>
      <w:bookmarkStart w:id="841" w:name="_Toc101"/>
      <w:r>
        <w:t>• بعض کلمات قرآن بترتيب سور (ترجمه) / تفسير / فارسی</w:t>
      </w:r>
      <w:bookmarkEnd w:id="841"/>
    </w:p>
    <w:p>
      <w:pPr>
        <w:pStyle w:val="BookText"/>
      </w:pPr>
      <w:r>
        <w:rPr>
          <w:rFonts w:ascii="Times New Roman" w:hAnsi="Times New Roman" w:eastAsia="Times New Roman" w:cs="Times New Roman"/>
          <w:lang w:val="en-US" w:bidi="en-US"/>
          <w:color w:val="111111"/>
          <w:sz w:val="28"/>
          <w:szCs w:val="28"/>
          <w:rtl/>
        </w:rPr>
        <w:t xml:space="preserve">ba'z-e kalamāt-e qor'ān be-tartīb-e sovar (t.)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9" w:name="pg20363_209189"/>
    <w:bookmarkEnd w:id="39"/>
    <w:p>
      <w:pPr>
        <w:pStyle w:val="BookText"/>
      </w:pPr>
      <w:r>
        <w:rPr>
          <w:rFonts w:ascii="IRNazanin" w:hAnsi="IRNazanin" w:eastAsia="IRNazanin" w:cs="IRNazanin"/>
          <w:lang w:bidi="fa-IR"/>
          <w:color w:val="111111"/>
          <w:sz w:val="28"/>
          <w:szCs w:val="28"/>
          <w:rtl/>
        </w:rPr>
        <w:t xml:space="preserve">یزد؛ وزیری؛ شماره نسخه: ۲۳۳۱/۴</w:t>
      </w:r>
    </w:p>
    <w:p>
      <w:pPr>
        <w:pStyle w:val="BookText"/>
      </w:pPr>
      <w:r>
        <w:rPr>
          <w:rFonts w:ascii="IRNazanin" w:hAnsi="IRNazanin" w:eastAsia="IRNazanin" w:cs="IRNazanin"/>
          <w:lang w:bidi="fa-IR"/>
          <w:color w:val="111111"/>
          <w:sz w:val="28"/>
          <w:szCs w:val="28"/>
          <w:rtl/>
        </w:rPr>
        <w:t xml:space="preserve">آغاز: بستای تو مرد، لا تحمد: مستای تو مرد؛</w:t>
      </w:r>
    </w:p>
    <w:p>
      <w:pPr>
        <w:pStyle w:val="BookText"/>
      </w:pPr>
      <w:r>
        <w:rPr>
          <w:rFonts w:ascii="IRNazanin" w:hAnsi="IRNazanin" w:eastAsia="IRNazanin" w:cs="IRNazanin"/>
          <w:lang w:bidi="fa-IR"/>
          <w:color w:val="111111"/>
          <w:sz w:val="28"/>
          <w:szCs w:val="28"/>
          <w:rtl/>
        </w:rPr>
        <w:t xml:space="preserve">خط: نسخ، كا: محمد سعيد بفرویی، بی تا، کاغذ: سمرقندی، جلد: مقوایی با کاغذ رنگین عطف و گوشه ها تیماج قرمز، ۵۷گ (۳۷ -۹۳)، ۱۶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اندازه: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۱۸/۵ سم [ف: ۴-۱۲۵۳]</w:t>
      </w:r>
    </w:p>
    <w:p>
      <w:pPr>
        <w:pStyle w:val="Heading3"/>
      </w:pPr>
      <w:bookmarkStart w:id="842" w:name="_Toc102"/>
      <w:r>
        <w:t>• بعد کواکب موافق زیج فرنگی (جدول) / هیئت / فارسی</w:t>
      </w:r>
      <w:bookmarkEnd w:id="842"/>
    </w:p>
    <w:p>
      <w:pPr>
        <w:pStyle w:val="BookText"/>
      </w:pPr>
      <w:r>
        <w:rPr>
          <w:rFonts w:ascii="Times New Roman" w:hAnsi="Times New Roman" w:eastAsia="Times New Roman" w:cs="Times New Roman"/>
          <w:lang w:val="en-US" w:bidi="en-US"/>
          <w:color w:val="111111"/>
          <w:sz w:val="28"/>
          <w:szCs w:val="28"/>
          <w:rtl/>
        </w:rPr>
        <w:t xml:space="preserve">boʻd-e kavākeb movāfeq-e zīj-e farangī (jadval)</w:t>
      </w:r>
    </w:p>
    <w:p>
      <w:pPr>
        <w:pStyle w:val="BookText"/>
      </w:pPr>
      <w:r>
        <w:rPr>
          <w:rFonts w:ascii="IRNazanin" w:hAnsi="IRNazanin" w:eastAsia="IRNazanin" w:cs="IRNazanin"/>
          <w:lang w:bidi="fa-IR"/>
          <w:color w:val="111111"/>
          <w:sz w:val="28"/>
          <w:szCs w:val="28"/>
          <w:rtl/>
        </w:rPr>
        <w:t xml:space="preserve">مشهد، الهیات، شماره نسخه: ۵۵۵/۶</w:t>
      </w:r>
    </w:p>
    <w:p>
      <w:pPr>
        <w:pStyle w:val="BookText"/>
      </w:pPr>
      <w:r>
        <w:rPr>
          <w:rFonts w:ascii="IRNazanin" w:hAnsi="IRNazanin" w:eastAsia="IRNazanin" w:cs="IRNazanin"/>
          <w:lang w:bidi="fa-IR"/>
          <w:color w:val="111111"/>
          <w:sz w:val="28"/>
          <w:szCs w:val="28"/>
          <w:rtl/>
        </w:rPr>
        <w:t xml:space="preserve">خط: نستعلیق، بی کا، تا: قرن ۱۳؛ جان هندوستان؛ کاغذ: فرنگی، جلد: تیماج لایه ای عنابی، ۴ص، اندازه: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سم [ف: ۱-۵۱۴]</w:t>
      </w:r>
    </w:p>
    <w:p>
      <w:pPr>
        <w:pStyle w:val="Heading3"/>
      </w:pPr>
      <w:bookmarkStart w:id="843" w:name="_Toc103"/>
      <w:r>
        <w:t>• بعض ما خلق الله في الانسان (منظومة في) طب وشعر / عربی</w:t>
      </w:r>
      <w:bookmarkEnd w:id="843"/>
    </w:p>
    <w:p>
      <w:pPr>
        <w:pStyle w:val="BookText"/>
      </w:pPr>
      <w:r>
        <w:rPr>
          <w:rFonts w:ascii="Times New Roman" w:hAnsi="Times New Roman" w:eastAsia="Times New Roman" w:cs="Times New Roman"/>
          <w:lang w:val="en-US" w:bidi="en-US"/>
          <w:color w:val="111111"/>
          <w:sz w:val="28"/>
          <w:szCs w:val="28"/>
          <w:rtl/>
        </w:rPr>
        <w:t xml:space="preserve">bad-u ma xalaqa-1 lah fi-1 insan (manzumat-un f)</w:t>
      </w:r>
    </w:p>
    <w:p>
      <w:pPr>
        <w:pStyle w:val="BookText"/>
      </w:pPr>
      <w:r>
        <w:rPr>
          <w:rFonts w:ascii="IRNazanin" w:hAnsi="IRNazanin" w:eastAsia="IRNazanin" w:cs="IRNazanin"/>
          <w:lang w:bidi="fa-IR"/>
          <w:color w:val="111111"/>
          <w:sz w:val="28"/>
          <w:szCs w:val="28"/>
          <w:rtl/>
        </w:rPr>
        <w:t xml:space="preserve">راشد بن عميره بن ثانی</w:t>
      </w:r>
    </w:p>
    <w:p>
      <w:pPr>
        <w:pStyle w:val="BookText"/>
      </w:pPr>
      <w:r>
        <w:rPr>
          <w:rFonts w:ascii="Times New Roman" w:hAnsi="Times New Roman" w:eastAsia="Times New Roman" w:cs="Times New Roman"/>
          <w:lang w:val="en-US" w:bidi="en-US"/>
          <w:color w:val="111111"/>
          <w:sz w:val="28"/>
          <w:szCs w:val="28"/>
          <w:rtl/>
        </w:rPr>
        <w:t xml:space="preserve">rāšed ebn-e ‘omayre bn-e sānī</w:t>
      </w:r>
    </w:p>
    <w:p>
      <w:pPr>
        <w:pStyle w:val="BookText"/>
      </w:pPr>
      <w:r>
        <w:rPr>
          <w:rFonts w:ascii="IRNazanin" w:hAnsi="IRNazanin" w:eastAsia="IRNazanin" w:cs="IRNazanin"/>
          <w:lang w:bidi="fa-IR"/>
          <w:color w:val="111111"/>
          <w:sz w:val="28"/>
          <w:szCs w:val="28"/>
          <w:rtl/>
        </w:rPr>
        <w:t xml:space="preserve">ابن عمیره می گوید بر فکرم گذشت تا منظومه ای بسازم در بعض مخلوقات خدایی در انسان از اعضاء رئیسه ای که ذکر آنها واجب است و به خصوص شناخت آنها موجب شناخت امری می شود که فضل آدمی بر سایر موجودات است. این منظومه با بیت زیر آغاز می گردد: نظمت مقالا يبهج العين منظرة *** بما قد حوی درا و لفظ مسطرا.</w:t>
      </w:r>
    </w:p>
    <w:p>
      <w:pPr>
        <w:pStyle w:val="BookText"/>
      </w:pPr>
      <w:r>
        <w:rPr>
          <w:rFonts w:ascii="IRNazanin" w:hAnsi="IRNazanin" w:eastAsia="IRNazanin" w:cs="IRNazanin"/>
          <w:lang w:bidi="fa-IR"/>
          <w:color w:val="111111"/>
          <w:sz w:val="28"/>
          <w:szCs w:val="28"/>
          <w:rtl/>
        </w:rPr>
        <w:t xml:space="preserve">تهران؛ ملی؛ شماره نسخه: ۸۵۱/۴</w:t>
      </w:r>
    </w:p>
    <w:p>
      <w:pPr>
        <w:pStyle w:val="BookText"/>
      </w:pPr>
      <w:r>
        <w:rPr>
          <w:rFonts w:ascii="IRNazanin" w:hAnsi="IRNazanin" w:eastAsia="IRNazanin" w:cs="IRNazanin"/>
          <w:lang w:bidi="fa-IR"/>
          <w:color w:val="111111"/>
          <w:sz w:val="28"/>
          <w:szCs w:val="28"/>
          <w:rtl/>
        </w:rPr>
        <w:t xml:space="preserve">آغاز: بسمله، قال العبد الفقير الى الله تعالی راشد بن عميره؛ انجام: نسخه: و بادر كل قرين بن قرينه</w:t>
      </w:r>
    </w:p>
    <w:p>
      <w:pPr>
        <w:pStyle w:val="BookText"/>
      </w:pPr>
      <w:r>
        <w:rPr>
          <w:rFonts w:ascii="IRNazanin" w:hAnsi="IRNazanin" w:eastAsia="IRNazanin" w:cs="IRNazanin"/>
          <w:lang w:bidi="fa-IR"/>
          <w:color w:val="111111"/>
          <w:sz w:val="28"/>
          <w:szCs w:val="28"/>
          <w:rtl/>
        </w:rPr>
        <w:t xml:space="preserve">خط: نسخ، بی کا، تا: محتملا قرن ۹، افتادگی: انجام کاغذ: کشمیری، جلد: تیماج ماشی، ترنج و نیم ترنج کوبیده، ۱۱ص ( ۲۰۲-۱۹۲ )، ۲۰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۸-۳۵۵]</w:t>
      </w:r>
    </w:p>
    <w:p>
      <w:pPr>
        <w:pStyle w:val="BookText"/>
      </w:pPr>
      <w:r>
        <w:rPr>
          <w:rFonts w:ascii="IRNazanin" w:hAnsi="IRNazanin" w:eastAsia="IRNazanin" w:cs="IRNazanin"/>
          <w:lang w:bidi="fa-IR"/>
          <w:color w:val="111111"/>
          <w:sz w:val="28"/>
          <w:szCs w:val="28"/>
          <w:rtl/>
        </w:rPr>
        <w:t xml:space="preserve">←بعض مثالب النواصب ← نقض فضائح الروافض</w:t>
      </w:r>
    </w:p>
    <w:p>
      <w:pPr>
        <w:pStyle w:val="Heading3"/>
      </w:pPr>
      <w:bookmarkStart w:id="844" w:name="_Toc104"/>
      <w:r>
        <w:t>• بعض المسائل الأصولية المهمة / اصول فقه / عربی</w:t>
      </w:r>
      <w:bookmarkEnd w:id="844"/>
    </w:p>
    <w:p>
      <w:pPr>
        <w:pStyle w:val="BookText"/>
      </w:pPr>
      <w:r>
        <w:rPr>
          <w:rFonts w:ascii="Times New Roman" w:hAnsi="Times New Roman" w:eastAsia="Times New Roman" w:cs="Times New Roman"/>
          <w:lang w:val="en-US" w:bidi="en-US"/>
          <w:color w:val="111111"/>
          <w:sz w:val="28"/>
          <w:szCs w:val="28"/>
          <w:rtl/>
        </w:rPr>
        <w:t xml:space="preserve">ba'd-ul masā'il-il uşūlīyat-il muhimma</w:t>
      </w:r>
    </w:p>
    <w:p>
      <w:pPr>
        <w:pStyle w:val="BookText"/>
      </w:pPr>
      <w:r>
        <w:rPr>
          <w:rFonts w:ascii="IRNazanin" w:hAnsi="IRNazanin" w:eastAsia="IRNazanin" w:cs="IRNazanin"/>
          <w:lang w:bidi="fa-IR"/>
          <w:color w:val="111111"/>
          <w:sz w:val="28"/>
          <w:szCs w:val="28"/>
          <w:rtl/>
        </w:rPr>
        <w:t xml:space="preserve">همدانی، محمد حسین بن محمد حسن، ق۱۴ قمری</w:t>
      </w:r>
    </w:p>
    <w:p>
      <w:pPr>
        <w:pStyle w:val="BookText"/>
      </w:pPr>
      <w:r>
        <w:rPr>
          <w:rFonts w:ascii="Times New Roman" w:hAnsi="Times New Roman" w:eastAsia="Times New Roman" w:cs="Times New Roman"/>
          <w:lang w:val="en-US" w:bidi="en-US"/>
          <w:color w:val="111111"/>
          <w:sz w:val="28"/>
          <w:szCs w:val="28"/>
          <w:rtl/>
        </w:rPr>
        <w:t xml:space="preserve">(hamadānī, mohammad hoseyn ebn-e mohammad hasan (- 20c)</w:t>
      </w:r>
    </w:p>
    <w:p>
      <w:pPr>
        <w:pStyle w:val="BookText"/>
      </w:pPr>
      <w:r>
        <w:rPr>
          <w:rFonts w:ascii="IRNazanin" w:hAnsi="IRNazanin" w:eastAsia="IRNazanin" w:cs="IRNazanin"/>
          <w:lang w:bidi="fa-IR"/>
          <w:color w:val="111111"/>
          <w:sz w:val="28"/>
          <w:szCs w:val="28"/>
          <w:rtl/>
        </w:rPr>
        <w:t xml:space="preserve">قم؛ مرعشی؛ شماره نسخه: ۱۰۹۷۴/۳</w:t>
      </w:r>
    </w:p>
    <w:p>
      <w:pPr>
        <w:pStyle w:val="BookText"/>
      </w:pPr>
      <w:r>
        <w:rPr>
          <w:rFonts w:ascii="IRNazanin" w:hAnsi="IRNazanin" w:eastAsia="IRNazanin" w:cs="IRNazanin"/>
          <w:lang w:bidi="fa-IR"/>
          <w:color w:val="111111"/>
          <w:sz w:val="28"/>
          <w:szCs w:val="28"/>
          <w:rtl/>
        </w:rPr>
        <w:t xml:space="preserve">خط: نستعلیق، بی کا، بی تا؛ قطع: جيبي [میراث شهاب: س وش ۲-۳۶)</w:t>
      </w:r>
    </w:p>
    <w:p>
      <w:pPr>
        <w:pStyle w:val="Heading3"/>
      </w:pPr>
      <w:bookmarkStart w:id="845" w:name="_Toc105"/>
      <w:r>
        <w:t>• بعض المسائل الطبية / طب / فارسی</w:t>
      </w:r>
      <w:bookmarkEnd w:id="845"/>
    </w:p>
    <w:p>
      <w:pPr>
        <w:pStyle w:val="BookText"/>
      </w:pPr>
      <w:r>
        <w:rPr>
          <w:rFonts w:ascii="Times New Roman" w:hAnsi="Times New Roman" w:eastAsia="Times New Roman" w:cs="Times New Roman"/>
          <w:lang w:val="en-US" w:bidi="en-US"/>
          <w:color w:val="111111"/>
          <w:sz w:val="28"/>
          <w:szCs w:val="28"/>
          <w:rtl/>
        </w:rPr>
        <w:t xml:space="preserve">ba'z-ol masā’el-el tebbīya</w:t>
      </w:r>
    </w:p>
    <w:p>
      <w:pPr>
        <w:pStyle w:val="BookText"/>
      </w:pPr>
      <w:r>
        <w:rPr>
          <w:rFonts w:ascii="IRNazanin" w:hAnsi="IRNazanin" w:eastAsia="IRNazanin" w:cs="IRNazanin"/>
          <w:lang w:bidi="fa-IR"/>
          <w:color w:val="111111"/>
          <w:sz w:val="28"/>
          <w:szCs w:val="28"/>
          <w:rtl/>
        </w:rPr>
        <w:t xml:space="preserve">رساله ای است کوتاه دارای پنج فصل»: مارگزیده، شناخت مجس، نشان صفرا، نشان سودا، نشان رطوبت، شناختن آب (=ادرار) مردم.</w:t>
      </w:r>
    </w:p>
    <w:p>
      <w:pPr>
        <w:pStyle w:val="BookText"/>
      </w:pPr>
      <w:r>
        <w:rPr>
          <w:rFonts w:ascii="IRNazanin" w:hAnsi="IRNazanin" w:eastAsia="IRNazanin" w:cs="IRNazanin"/>
          <w:lang w:bidi="fa-IR"/>
          <w:color w:val="111111"/>
          <w:sz w:val="28"/>
          <w:szCs w:val="28"/>
          <w:rtl/>
        </w:rPr>
        <w:t xml:space="preserve">تهران؛ مجلس؛ شماره نسخه: ۱۴۵۹۰/۱۴۷</w:t>
      </w:r>
    </w:p>
    <w:p>
      <w:pPr>
        <w:pStyle w:val="BookText"/>
      </w:pPr>
      <w:r>
        <w:rPr>
          <w:rFonts w:ascii="IRNazanin" w:hAnsi="IRNazanin" w:eastAsia="IRNazanin" w:cs="IRNazanin"/>
          <w:lang w:bidi="fa-IR"/>
          <w:color w:val="111111"/>
          <w:sz w:val="28"/>
          <w:szCs w:val="28"/>
          <w:rtl/>
        </w:rPr>
        <w:t xml:space="preserve">بی کا، تا: دوشنبه ۲۴ ذیحجه ۷۲۲ق؛ جلد: تیماج کرم قهوه ای، کص (۶۳۳-۶۳۴)، ۴۱ سطر، اندازه: 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۴۱-۱۰۰)</w:t>
      </w:r>
    </w:p>
    <w:p>
      <w:pPr>
        <w:pStyle w:val="Heading3"/>
      </w:pPr>
      <w:bookmarkStart w:id="846" w:name="_Toc106"/>
      <w:r>
        <w:t>• بعض المسائل العرفانية / عرفان و تصوف / عربی</w:t>
      </w:r>
      <w:bookmarkEnd w:id="846"/>
    </w:p>
    <w:p>
      <w:pPr>
        <w:pStyle w:val="BookText"/>
      </w:pPr>
      <w:r>
        <w:rPr>
          <w:rFonts w:ascii="Times New Roman" w:hAnsi="Times New Roman" w:eastAsia="Times New Roman" w:cs="Times New Roman"/>
          <w:lang w:val="en-US" w:bidi="en-US"/>
          <w:color w:val="111111"/>
          <w:sz w:val="28"/>
          <w:szCs w:val="28"/>
          <w:rtl/>
        </w:rPr>
        <w:t xml:space="preserve">ba'd-ul masā'il-il 'irfānīya</w:t>
      </w:r>
    </w:p>
    <w:p>
      <w:pPr>
        <w:pStyle w:val="BookText"/>
      </w:pPr>
      <w:r>
        <w:rPr>
          <w:rFonts w:ascii="IRNazanin" w:hAnsi="IRNazanin" w:eastAsia="IRNazanin" w:cs="IRNazanin"/>
          <w:lang w:bidi="fa-IR"/>
          <w:color w:val="111111"/>
          <w:sz w:val="28"/>
          <w:szCs w:val="28"/>
          <w:rtl/>
        </w:rPr>
        <w:t xml:space="preserve">قم؛ مرعشی؛ شماره نسخه: ۱۰۹۷۴/۵</w:t>
      </w:r>
    </w:p>
    <w:p>
      <w:pPr>
        <w:pStyle w:val="BookText"/>
      </w:pPr>
      <w:r>
        <w:rPr>
          <w:rFonts w:ascii="IRNazanin" w:hAnsi="IRNazanin" w:eastAsia="IRNazanin" w:cs="IRNazanin"/>
          <w:lang w:bidi="fa-IR"/>
          <w:color w:val="111111"/>
          <w:sz w:val="28"/>
          <w:szCs w:val="28"/>
          <w:rtl/>
        </w:rPr>
        <w:t xml:space="preserve">خط: نستعلیق، بی کا، بی تا، قطع: جيبي [میراث شهاب: س وش ۲-۳۶)</w:t>
      </w:r>
    </w:p>
    <w:p>
      <w:pPr>
        <w:pStyle w:val="BookText"/>
      </w:pPr>
      <w:r>
        <w:rPr>
          <w:rFonts w:ascii="IRNazanin" w:hAnsi="IRNazanin" w:eastAsia="IRNazanin" w:cs="IRNazanin"/>
          <w:lang w:bidi="fa-IR"/>
          <w:color w:val="111111"/>
          <w:sz w:val="28"/>
          <w:szCs w:val="28"/>
          <w:rtl/>
        </w:rPr>
        <w:t xml:space="preserve">« بعض مفاتيح النجاة عباسی به مفاتيح النجاة عباسی (منتخب)</w:t>
      </w:r>
    </w:p>
    <w:p>
      <w:pPr>
        <w:pStyle w:val="Heading3"/>
      </w:pPr>
      <w:bookmarkStart w:id="847" w:name="_Toc107"/>
      <w:r>
        <w:t>• بعضی از حالات نحوست آیات منافقین اهل</w:t>
      </w:r>
      <w:bookmarkEnd w:id="847"/>
    </w:p>
    <w:p>
      <w:pPr>
        <w:pStyle w:val="BookText"/>
      </w:pPr>
      <w:r>
        <w:rPr>
          <w:rFonts w:ascii="Times New Roman" w:hAnsi="Times New Roman" w:eastAsia="Times New Roman" w:cs="Times New Roman"/>
          <w:lang w:val="en-US" w:bidi="en-US"/>
          <w:color w:val="111111"/>
          <w:sz w:val="28"/>
          <w:szCs w:val="28"/>
          <w:rtl/>
        </w:rPr>
        <w:t xml:space="preserve">baʻzī az hālāt-e nohūsat-e āyāt-e monāfeqīn-e ahl-e cu</w:t>
      </w:r>
    </w:p>
    <w:p>
      <w:pPr>
        <w:pStyle w:val="BookText"/>
      </w:pPr>
      <w:r>
        <w:rPr>
          <w:rFonts w:ascii="Times New Roman" w:hAnsi="Times New Roman" w:eastAsia="Times New Roman" w:cs="Times New Roman"/>
          <w:lang w:val="en-US" w:bidi="en-US"/>
          <w:color w:val="111111"/>
          <w:sz w:val="28"/>
          <w:szCs w:val="28"/>
          <w:rtl/>
        </w:rPr>
        <w:t xml:space="preserve">bey</w:t>
      </w:r>
    </w:p>
    <w:p>
      <w:pPr>
        <w:pStyle w:val="BookText"/>
      </w:pPr>
      <w:r>
        <w:rPr>
          <w:rFonts w:ascii="IRNazanin" w:hAnsi="IRNazanin" w:eastAsia="IRNazanin" w:cs="IRNazanin"/>
          <w:lang w:bidi="fa-IR"/>
          <w:color w:val="111111"/>
          <w:sz w:val="28"/>
          <w:szCs w:val="28"/>
          <w:rtl/>
        </w:rPr>
        <w:t xml:space="preserve">در چهارده «شعبه» و یک «خاتمه».</w:t>
      </w:r>
    </w:p>
    <w:p>
      <w:pPr>
        <w:pStyle w:val="BookText"/>
      </w:pPr>
      <w:r>
        <w:rPr>
          <w:rFonts w:ascii="IRNazanin" w:hAnsi="IRNazanin" w:eastAsia="IRNazanin" w:cs="IRNazanin"/>
          <w:lang w:bidi="fa-IR"/>
          <w:color w:val="111111"/>
          <w:sz w:val="28"/>
          <w:szCs w:val="28"/>
          <w:rtl/>
        </w:rPr>
        <w:t xml:space="preserve">اصفهان، دانشگاه؛ شماره نسخه: ۲۳۳/۳</w:t>
      </w:r>
    </w:p>
    <w:p>
      <w:pPr>
        <w:pStyle w:val="BookText"/>
      </w:pPr>
      <w:r>
        <w:rPr>
          <w:rFonts w:ascii="IRNazanin" w:hAnsi="IRNazanin" w:eastAsia="IRNazanin" w:cs="IRNazanin"/>
          <w:lang w:bidi="fa-IR"/>
          <w:color w:val="111111"/>
          <w:sz w:val="28"/>
          <w:szCs w:val="28"/>
          <w:rtl/>
        </w:rPr>
        <w:t xml:space="preserve">در چهارده شعبه و یک خاتمه؛ بی کا، تا: ۱۷ رجب ۱۲۴۰ق؛ کاغذ: فرنگی [نشریه: ۱۱-۹۳۲]</w:t>
      </w:r>
    </w:p>
    <w:p>
      <w:pPr>
        <w:pStyle w:val="Heading3"/>
      </w:pPr>
      <w:bookmarkStart w:id="848" w:name="_Toc108"/>
      <w:r>
        <w:t>•بعضی از عبارات طب / طب / فارسی</w:t>
      </w:r>
      <w:bookmarkEnd w:id="848"/>
    </w:p>
    <w:p>
      <w:pPr>
        <w:pStyle w:val="BookText"/>
      </w:pPr>
      <w:r>
        <w:rPr>
          <w:rFonts w:ascii="Times New Roman" w:hAnsi="Times New Roman" w:eastAsia="Times New Roman" w:cs="Times New Roman"/>
          <w:lang w:val="en-US" w:bidi="en-US"/>
          <w:color w:val="111111"/>
          <w:sz w:val="28"/>
          <w:szCs w:val="28"/>
          <w:rtl/>
        </w:rPr>
        <w:t xml:space="preserve">ba‘zī az ‘ebārāt-e teb</w:t>
      </w:r>
    </w:p>
    <w:p>
      <w:pPr>
        <w:pStyle w:val="BookText"/>
      </w:pPr>
      <w:r>
        <w:rPr>
          <w:rFonts w:ascii="IRNazanin" w:hAnsi="IRNazanin" w:eastAsia="IRNazanin" w:cs="IRNazanin"/>
          <w:lang w:bidi="fa-IR"/>
          <w:color w:val="111111"/>
          <w:sz w:val="28"/>
          <w:szCs w:val="28"/>
          <w:rtl/>
        </w:rPr>
        <w:t xml:space="preserve">یوسفی هروی، يوسف بن محمد، -۹۶۶ قمری</w:t>
      </w:r>
    </w:p>
    <w:p>
      <w:pPr>
        <w:pStyle w:val="BookText"/>
      </w:pPr>
      <w:r>
        <w:rPr>
          <w:rFonts w:ascii="Times New Roman" w:hAnsi="Times New Roman" w:eastAsia="Times New Roman" w:cs="Times New Roman"/>
          <w:lang w:val="en-US" w:bidi="en-US"/>
          <w:color w:val="111111"/>
          <w:sz w:val="28"/>
          <w:szCs w:val="28"/>
          <w:rtl/>
        </w:rPr>
        <w:t xml:space="preserve">yūsofī heravī, yūsof ebn-e mohammad (- 1559)</w:t>
      </w:r>
    </w:p>
    <w:p>
      <w:pPr>
        <w:pStyle w:val="BookText"/>
      </w:pPr>
      <w:r>
        <w:rPr>
          <w:rFonts w:ascii="IRNazanin" w:hAnsi="IRNazanin" w:eastAsia="IRNazanin" w:cs="IRNazanin"/>
          <w:lang w:bidi="fa-IR"/>
          <w:color w:val="111111"/>
          <w:sz w:val="28"/>
          <w:szCs w:val="28"/>
          <w:rtl/>
        </w:rPr>
        <w:t xml:space="preserve">مشهد؛ مولوی؛ شماره نسخه:  ۵۷۴/۱۶</w:t>
      </w:r>
    </w:p>
    <w:p>
      <w:pPr>
        <w:pStyle w:val="BookText"/>
      </w:pPr>
      <w:r>
        <w:rPr>
          <w:rFonts w:ascii="IRNazanin" w:hAnsi="IRNazanin" w:eastAsia="IRNazanin" w:cs="IRNazanin"/>
          <w:lang w:bidi="fa-IR"/>
          <w:color w:val="111111"/>
          <w:sz w:val="28"/>
          <w:szCs w:val="28"/>
          <w:rtl/>
        </w:rPr>
        <w:t xml:space="preserve">خط: شکسته نستعلیق، بی کا، تا: ۱۲۶۰ق، کاغذ: ترمه، جلد: تیماج عنابی، قطع: وزيري نشریه: ۵-۹۴]</w:t>
      </w:r>
    </w:p>
    <w:p>
      <w:pPr>
        <w:pStyle w:val="Heading3"/>
      </w:pPr>
      <w:bookmarkStart w:id="849" w:name="_Toc109"/>
      <w:r>
        <w:t>• بغرانامه = ماجرای برنج و بغرا / ادبیات /فارسی</w:t>
      </w:r>
      <w:bookmarkEnd w:id="849"/>
    </w:p>
    <w:p>
      <w:pPr>
        <w:pStyle w:val="BookText"/>
      </w:pPr>
      <w:r>
        <w:rPr>
          <w:rFonts w:ascii="Times New Roman" w:hAnsi="Times New Roman" w:eastAsia="Times New Roman" w:cs="Times New Roman"/>
          <w:lang w:val="en-US" w:bidi="en-US"/>
          <w:color w:val="111111"/>
          <w:sz w:val="28"/>
          <w:szCs w:val="28"/>
          <w:rtl/>
        </w:rPr>
        <w:t xml:space="preserve">boqrā-nāme = mājarā-ye berenj va boqrā</w:t>
      </w:r>
    </w:p>
    <w:p>
      <w:pPr>
        <w:pStyle w:val="BookText"/>
      </w:pPr>
      <w:r>
        <w:rPr>
          <w:rFonts w:ascii="IRNazanin" w:hAnsi="IRNazanin" w:eastAsia="IRNazanin" w:cs="IRNazanin"/>
          <w:lang w:bidi="fa-IR"/>
          <w:color w:val="111111"/>
          <w:sz w:val="28"/>
          <w:szCs w:val="28"/>
          <w:rtl/>
        </w:rPr>
        <w:t xml:space="preserve">بسحاق اطعمه، احمد بن حلاج، - ۸۳۰؟ قمری</w:t>
      </w:r>
    </w:p>
    <w:p>
      <w:pPr>
        <w:pStyle w:val="BookText"/>
      </w:pPr>
      <w:r>
        <w:rPr>
          <w:rFonts w:ascii="Times New Roman" w:hAnsi="Times New Roman" w:eastAsia="Times New Roman" w:cs="Times New Roman"/>
          <w:lang w:val="en-US" w:bidi="en-US"/>
          <w:color w:val="111111"/>
          <w:sz w:val="28"/>
          <w:szCs w:val="28"/>
          <w:rtl/>
        </w:rPr>
        <w:t xml:space="preserve">boshāq-e at‘ame, ahmad ebn-e hallāj (- 1427)</w:t>
      </w:r>
    </w:p>
    <w:p>
      <w:pPr>
        <w:pStyle w:val="BookText"/>
      </w:pPr>
      <w:r>
        <w:rPr>
          <w:rFonts w:ascii="IRNazanin" w:hAnsi="IRNazanin" w:eastAsia="IRNazanin" w:cs="IRNazanin"/>
          <w:lang w:bidi="fa-IR"/>
          <w:color w:val="111111"/>
          <w:sz w:val="28"/>
          <w:szCs w:val="28"/>
          <w:rtl/>
        </w:rPr>
        <w:t xml:space="preserve">به نثر و نظم. در بر گیرنده تفاخر میان خوراکی هاست. چاپ: در دیوان اطعمه، قسطنطيه، ۱۳۰۳ق، ص ۱۲۱-۱۵۰ [الذریعه ۱۳۵/۹ «دیوان بسحاق اطعمه»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0" w:name="pg20363_209190"/>
    <w:bookmarkEnd w:id="40"/>
    <w:p>
      <w:pPr>
        <w:pStyle w:val="BookText"/>
      </w:pPr>
      <w:r>
        <w:rPr>
          <w:rFonts w:ascii="IRNazanin" w:hAnsi="IRNazanin" w:eastAsia="IRNazanin" w:cs="IRNazanin"/>
          <w:lang w:bidi="fa-IR"/>
          <w:color w:val="111111"/>
          <w:sz w:val="28"/>
          <w:szCs w:val="28"/>
          <w:rtl/>
        </w:rPr>
        <w:t xml:space="preserve">تهران؛ ملک؛ شماره نسخه: ۴۹۲۵/۸</w:t>
      </w:r>
    </w:p>
    <w:p>
      <w:pPr>
        <w:pStyle w:val="BookText"/>
      </w:pPr>
      <w:r>
        <w:rPr>
          <w:rFonts w:ascii="IRNazanin" w:hAnsi="IRNazanin" w:eastAsia="IRNazanin" w:cs="IRNazanin"/>
          <w:lang w:bidi="fa-IR"/>
          <w:color w:val="111111"/>
          <w:sz w:val="28"/>
          <w:szCs w:val="28"/>
          <w:rtl/>
        </w:rPr>
        <w:t xml:space="preserve">آغاز: مزعفر خوران مطبخ فصاحت و کیپاداران سفره بلاغت ... اشارت چنین کرده اند ... بغرا چو این حدیث پریشان از او شنید *** دیوانه شد به خویش و گریبان همی درید؛ انجام: بدان که مراد از بغرا خمير وجود آدمیست ... و اگر صد باب حکمت پیش نادان *** بخوانی آیدش بازیچه در گوش و الحمد لله رب العالمين. خط: نستعلیق، كا: احمد ابراهيم حسن خواجه شیرازی، تا: ربيع الاول ۸۴۲ق؛ کاغذ: ترمه، جلد: میشن قهوه ای روشن، ۲۶گ (99ر -۱۲۵ر)، ۱۱ سطر، اندازه: ۱۴/۸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۲۲/۷ سم [ف: ۸-۱۲۳]</w:t>
      </w:r>
    </w:p>
    <w:p>
      <w:pPr>
        <w:pStyle w:val="BookText"/>
      </w:pPr>
      <w:r>
        <w:rPr>
          <w:rFonts w:ascii="IRNazanin" w:hAnsi="IRNazanin" w:eastAsia="IRNazanin" w:cs="IRNazanin"/>
          <w:lang w:bidi="fa-IR"/>
          <w:color w:val="111111"/>
          <w:sz w:val="28"/>
          <w:szCs w:val="28"/>
          <w:rtl/>
        </w:rPr>
        <w:t xml:space="preserve">تهران؛ دائرة المعارف؛ شماره نسخه: ۴۳۰/۵ -عکسی</w:t>
      </w:r>
    </w:p>
    <w:p>
      <w:pPr>
        <w:pStyle w:val="BookText"/>
      </w:pPr>
      <w:r>
        <w:rPr>
          <w:rFonts w:ascii="IRNazanin" w:hAnsi="IRNazanin" w:eastAsia="IRNazanin" w:cs="IRNazanin"/>
          <w:lang w:bidi="fa-IR"/>
          <w:color w:val="111111"/>
          <w:sz w:val="28"/>
          <w:szCs w:val="28"/>
          <w:rtl/>
        </w:rPr>
        <w:t xml:space="preserve">نسخه اصل: همان نسخه بالا [عکسی ف: ۲-۴۲]</w:t>
      </w:r>
    </w:p>
    <w:p>
      <w:pPr>
        <w:pStyle w:val="Heading3"/>
      </w:pPr>
      <w:bookmarkStart w:id="850" w:name="_Toc110"/>
      <w:r>
        <w:t>• بغية الأبرار / فقه / فارسی</w:t>
      </w:r>
      <w:bookmarkEnd w:id="850"/>
    </w:p>
    <w:p>
      <w:pPr>
        <w:pStyle w:val="BookText"/>
      </w:pPr>
      <w:r>
        <w:rPr>
          <w:rFonts w:ascii="Times New Roman" w:hAnsi="Times New Roman" w:eastAsia="Times New Roman" w:cs="Times New Roman"/>
          <w:lang w:val="en-US" w:bidi="en-US"/>
          <w:color w:val="111111"/>
          <w:sz w:val="28"/>
          <w:szCs w:val="28"/>
          <w:rtl/>
        </w:rPr>
        <w:t xml:space="preserve">bugyat-ul abrār</w:t>
      </w:r>
    </w:p>
    <w:p>
      <w:pPr>
        <w:pStyle w:val="BookText"/>
      </w:pPr>
      <w:r>
        <w:rPr>
          <w:rFonts w:ascii="IRNazanin" w:hAnsi="IRNazanin" w:eastAsia="IRNazanin" w:cs="IRNazanin"/>
          <w:lang w:bidi="fa-IR"/>
          <w:color w:val="111111"/>
          <w:sz w:val="28"/>
          <w:szCs w:val="28"/>
          <w:rtl/>
        </w:rPr>
        <w:t xml:space="preserve">حسینی، حسین بن محمد ابراهیم، ق۱۳ قمری</w:t>
      </w:r>
    </w:p>
    <w:p>
      <w:pPr>
        <w:pStyle w:val="BookText"/>
      </w:pPr>
      <w:r>
        <w:rPr>
          <w:rFonts w:ascii="Times New Roman" w:hAnsi="Times New Roman" w:eastAsia="Times New Roman" w:cs="Times New Roman"/>
          <w:lang w:val="en-US" w:bidi="en-US"/>
          <w:color w:val="111111"/>
          <w:sz w:val="28"/>
          <w:szCs w:val="28"/>
          <w:rtl/>
        </w:rPr>
        <w:t xml:space="preserve">hoseynī, hoseyne-bn-e mohammad ebrāhīm (- 19c)</w:t>
      </w:r>
    </w:p>
    <w:p>
      <w:pPr>
        <w:pStyle w:val="BookText"/>
      </w:pPr>
      <w:r>
        <w:rPr>
          <w:rFonts w:ascii="IRNazanin" w:hAnsi="IRNazanin" w:eastAsia="IRNazanin" w:cs="IRNazanin"/>
          <w:lang w:bidi="fa-IR"/>
          <w:color w:val="111111"/>
          <w:sz w:val="28"/>
          <w:szCs w:val="28"/>
          <w:rtl/>
        </w:rPr>
        <w:t xml:space="preserve">رساله ای فتوایی در آداب تجارت و احکام شرعی آن، شامل یک «مقدمه» و چهارده «باب» و «خاتمه». شاید مؤلف همان «حسينا القزوینی» باشد.</w:t>
      </w:r>
    </w:p>
    <w:p>
      <w:pPr>
        <w:pStyle w:val="BookText"/>
      </w:pPr>
      <w:r>
        <w:rPr>
          <w:rFonts w:ascii="IRNazanin" w:hAnsi="IRNazanin" w:eastAsia="IRNazanin" w:cs="IRNazanin"/>
          <w:lang w:bidi="fa-IR"/>
          <w:color w:val="111111"/>
          <w:sz w:val="28"/>
          <w:szCs w:val="28"/>
          <w:rtl/>
        </w:rPr>
        <w:t xml:space="preserve">قم؛ مهدوی (کتابخانه)؛ شماره نسخه: بدون شماره</w:t>
      </w:r>
    </w:p>
    <w:p>
      <w:pPr>
        <w:pStyle w:val="BookText"/>
      </w:pPr>
      <w:r>
        <w:rPr>
          <w:rFonts w:ascii="IRNazanin" w:hAnsi="IRNazanin" w:eastAsia="IRNazanin" w:cs="IRNazanin"/>
          <w:lang w:bidi="fa-IR"/>
          <w:color w:val="111111"/>
          <w:sz w:val="28"/>
          <w:szCs w:val="28"/>
          <w:rtl/>
        </w:rPr>
        <w:t xml:space="preserve">آغاز: بعد الحمد و الصلاة على النبي و آله ... این چند کلمه ایست که بر سبیل ایجاز و غایت استعجال بالتماس بعض از اخوان دین كا: علی بن حسن، تا: ۳ صفر ۱۲۴۴ ق [ تراثنا: س ۱۸ ش ۱ و ۲-۲۰۶]</w:t>
      </w:r>
    </w:p>
    <w:p>
      <w:pPr>
        <w:pStyle w:val="Heading3"/>
      </w:pPr>
      <w:bookmarkStart w:id="851" w:name="_Toc111"/>
      <w:r>
        <w:t>• بغية الاریب فی اختصار التهذيب / رجال / عربی</w:t>
      </w:r>
      <w:bookmarkEnd w:id="851"/>
    </w:p>
    <w:p>
      <w:pPr>
        <w:pStyle w:val="BookText"/>
      </w:pPr>
      <w:r>
        <w:rPr>
          <w:rFonts w:ascii="Times New Roman" w:hAnsi="Times New Roman" w:eastAsia="Times New Roman" w:cs="Times New Roman"/>
          <w:lang w:val="en-US" w:bidi="en-US"/>
          <w:color w:val="111111"/>
          <w:sz w:val="28"/>
          <w:szCs w:val="28"/>
          <w:rtl/>
        </w:rPr>
        <w:t xml:space="preserve">bugyat-ul arīb fī ixtişār-it tahdīb</w:t>
      </w:r>
    </w:p>
    <w:p>
      <w:pPr>
        <w:pStyle w:val="BookText"/>
      </w:pPr>
      <w:r>
        <w:rPr>
          <w:rFonts w:ascii="IRNazanin" w:hAnsi="IRNazanin" w:eastAsia="IRNazanin" w:cs="IRNazanin"/>
          <w:lang w:bidi="fa-IR"/>
          <w:color w:val="111111"/>
          <w:sz w:val="28"/>
          <w:szCs w:val="28"/>
          <w:rtl/>
        </w:rPr>
        <w:t xml:space="preserve">بعلبکی، اسماعیل بن محمد، ۷۲۰-۷۸۶ قمری</w:t>
      </w:r>
    </w:p>
    <w:p>
      <w:pPr>
        <w:pStyle w:val="BookText"/>
      </w:pPr>
      <w:r>
        <w:rPr>
          <w:rFonts w:ascii="Times New Roman" w:hAnsi="Times New Roman" w:eastAsia="Times New Roman" w:cs="Times New Roman"/>
          <w:lang w:val="en-US" w:bidi="en-US"/>
          <w:color w:val="111111"/>
          <w:sz w:val="28"/>
          <w:szCs w:val="28"/>
          <w:rtl/>
        </w:rPr>
        <w:t xml:space="preserve">baʻlabakī, esmāʻīl ebn-e mohammad (1321-1385)</w:t>
      </w:r>
    </w:p>
    <w:p>
      <w:pPr>
        <w:pStyle w:val="BookText"/>
      </w:pPr>
      <w:r>
        <w:rPr>
          <w:rFonts w:ascii="IRNazanin" w:hAnsi="IRNazanin" w:eastAsia="IRNazanin" w:cs="IRNazanin"/>
          <w:lang w:bidi="fa-IR"/>
          <w:color w:val="111111"/>
          <w:sz w:val="28"/>
          <w:szCs w:val="28"/>
          <w:rtl/>
        </w:rPr>
        <w:t xml:space="preserve">وابسته به: تهذيب الكمال في اسماء الرجال؛ حافظ مزی، یوسف بن عبدالرحمن (۶۵۴-۷۴۲)</w:t>
      </w:r>
    </w:p>
    <w:p>
      <w:pPr>
        <w:pStyle w:val="BookText"/>
      </w:pPr>
      <w:r>
        <w:rPr>
          <w:rFonts w:ascii="IRNazanin" w:hAnsi="IRNazanin" w:eastAsia="IRNazanin" w:cs="IRNazanin"/>
          <w:lang w:bidi="fa-IR"/>
          <w:color w:val="111111"/>
          <w:sz w:val="28"/>
          <w:szCs w:val="28"/>
          <w:rtl/>
        </w:rPr>
        <w:t xml:space="preserve">مؤلف، کتاب «تهذيب الكمال» حافظ مزی را اختصار نموده است، لكن چیزی از رجال آن حذف نکرده است، آنچه حذف نموده عبارت است: از انساب مشهورترین و بعضی از نسب صاحب ترجمه، و جرح و تعدیل ها را نیز بطور مختصر ذکر می کند. آغاز: قال الفقير الى الله تعالى الضعيف اسماعيل بن محمد بن بردس البعلي عفا الله عنه ...... الحمدلله الذي جعل العلماء في الأمة. انجام: ام سلمة زوج النبي(صلی الله علیه وآله وسلم) ... نجز الكتاب ولله الحمد و المنة، و صلی الله على سيدنا محمد و اله</w:t>
      </w:r>
    </w:p>
    <w:p>
      <w:pPr>
        <w:pStyle w:val="BookText"/>
      </w:pPr>
      <w:r>
        <w:rPr>
          <w:rFonts w:ascii="IRNazanin" w:hAnsi="IRNazanin" w:eastAsia="IRNazanin" w:cs="IRNazanin"/>
          <w:lang w:bidi="fa-IR"/>
          <w:color w:val="111111"/>
          <w:sz w:val="28"/>
          <w:szCs w:val="28"/>
          <w:rtl/>
        </w:rPr>
        <w:t xml:space="preserve">قم؛ مرعشی؛ شماره نسخه: ۵۶۲عکسی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نسخه اصل: طوپ قاپی - استانبول، ش .۴۶۱</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 خط: نسخ، كاتب = مؤلف، تا: ۷۷۹ق؛ مصحح، محشی؛ ۵۷۴گ، ۳۳ سطر (عکسی ف: ۲-۵۵]</w:t>
      </w:r>
    </w:p>
    <w:p>
      <w:pPr>
        <w:pStyle w:val="Heading3"/>
      </w:pPr>
      <w:bookmarkStart w:id="852" w:name="_Toc112"/>
      <w:r>
        <w:t>• بغية الاريب في وصال الحبيب / ادبیات/ عربی</w:t>
      </w:r>
      <w:bookmarkEnd w:id="852"/>
    </w:p>
    <w:p>
      <w:pPr>
        <w:pStyle w:val="BookText"/>
      </w:pPr>
      <w:r>
        <w:rPr>
          <w:rFonts w:ascii="Times New Roman" w:hAnsi="Times New Roman" w:eastAsia="Times New Roman" w:cs="Times New Roman"/>
          <w:lang w:val="en-US" w:bidi="en-US"/>
          <w:color w:val="111111"/>
          <w:sz w:val="28"/>
          <w:szCs w:val="28"/>
          <w:rtl/>
        </w:rPr>
        <w:t xml:space="preserve">bugyat-ul arab fi wisal-il habib</w:t>
      </w:r>
    </w:p>
    <w:p>
      <w:pPr>
        <w:pStyle w:val="BookText"/>
      </w:pPr>
      <w:r>
        <w:rPr>
          <w:rFonts w:ascii="IRNazanin" w:hAnsi="IRNazanin" w:eastAsia="IRNazanin" w:cs="IRNazanin"/>
          <w:lang w:bidi="fa-IR"/>
          <w:color w:val="111111"/>
          <w:sz w:val="28"/>
          <w:szCs w:val="28"/>
          <w:rtl/>
        </w:rPr>
        <w:t xml:space="preserve">کوازی، محمود بن ابراهیم</w:t>
      </w:r>
    </w:p>
    <w:p>
      <w:pPr>
        <w:pStyle w:val="BookText"/>
      </w:pPr>
      <w:r>
        <w:rPr>
          <w:rFonts w:ascii="Times New Roman" w:hAnsi="Times New Roman" w:eastAsia="Times New Roman" w:cs="Times New Roman"/>
          <w:lang w:val="en-US" w:bidi="en-US"/>
          <w:color w:val="111111"/>
          <w:sz w:val="28"/>
          <w:szCs w:val="28"/>
          <w:rtl/>
        </w:rPr>
        <w:t xml:space="preserve">kovāzī, mahmūd-e-bn-e ebrāhīm</w:t>
      </w:r>
    </w:p>
    <w:p>
      <w:pPr>
        <w:pStyle w:val="BookText"/>
      </w:pPr>
      <w:r>
        <w:rPr>
          <w:rFonts w:ascii="IRNazanin" w:hAnsi="IRNazanin" w:eastAsia="IRNazanin" w:cs="IRNazanin"/>
          <w:lang w:bidi="fa-IR"/>
          <w:color w:val="111111"/>
          <w:sz w:val="28"/>
          <w:szCs w:val="28"/>
          <w:rtl/>
        </w:rPr>
        <w:t xml:space="preserve">مقامه ای است ادبی در بیان عشق که مؤلف آن را جهت خلاصی از پریشانی افکار خود نگاشته تا در سفر و حضر همراه وی باشد.</w:t>
      </w:r>
    </w:p>
    <w:p>
      <w:pPr>
        <w:pStyle w:val="BookText"/>
      </w:pPr>
      <w:r>
        <w:rPr>
          <w:rFonts w:ascii="IRNazanin" w:hAnsi="IRNazanin" w:eastAsia="IRNazanin" w:cs="IRNazanin"/>
          <w:lang w:bidi="fa-IR"/>
          <w:color w:val="111111"/>
          <w:sz w:val="28"/>
          <w:szCs w:val="28"/>
          <w:rtl/>
        </w:rPr>
        <w:t xml:space="preserve">قم، مرکز احیاء؛ شماره نسخه: ۲۴۵۸</w:t>
      </w:r>
    </w:p>
    <w:p>
      <w:pPr>
        <w:pStyle w:val="BookText"/>
      </w:pPr>
      <w:r>
        <w:rPr>
          <w:rFonts w:ascii="IRNazanin" w:hAnsi="IRNazanin" w:eastAsia="IRNazanin" w:cs="IRNazanin"/>
          <w:lang w:bidi="fa-IR"/>
          <w:color w:val="111111"/>
          <w:sz w:val="28"/>
          <w:szCs w:val="28"/>
          <w:rtl/>
        </w:rPr>
        <w:t xml:space="preserve">آغاز: الحمدلله الذي رفع مقامات العشاق و عرف علو هممهم فاثبت أجر الشهادة لمن قتل منهم ما بين معترك المهج و الاحداق نسخه اصل: کتابخانه ای در نجف اشرف؛ خط: نسخ معرب، كان عبدالله بن عیسی بن اسماعیل، تا: شب ۷ ربيع الأول ۱۲۳۹ق؛ ۵۴ص [عکسی ف: ۷-۷۱]</w:t>
      </w:r>
    </w:p>
    <w:p>
      <w:pPr>
        <w:pStyle w:val="Heading3"/>
      </w:pPr>
      <w:bookmarkStart w:id="853" w:name="_Toc113"/>
      <w:r>
        <w:t>• بغية الالباء من معجم الأدباء / تراجم / عربی</w:t>
      </w:r>
      <w:bookmarkEnd w:id="853"/>
    </w:p>
    <w:p>
      <w:pPr>
        <w:pStyle w:val="BookText"/>
      </w:pPr>
      <w:r>
        <w:rPr>
          <w:rFonts w:ascii="Times New Roman" w:hAnsi="Times New Roman" w:eastAsia="Times New Roman" w:cs="Times New Roman"/>
          <w:lang w:val="en-US" w:bidi="en-US"/>
          <w:color w:val="111111"/>
          <w:sz w:val="28"/>
          <w:szCs w:val="28"/>
          <w:rtl/>
        </w:rPr>
        <w:t xml:space="preserve">bugyat-ul alibba' min mu'jam-il udaba'</w:t>
      </w:r>
    </w:p>
    <w:p>
      <w:pPr>
        <w:pStyle w:val="BookText"/>
      </w:pPr>
      <w:r>
        <w:rPr>
          <w:rFonts w:ascii="IRNazanin" w:hAnsi="IRNazanin" w:eastAsia="IRNazanin" w:cs="IRNazanin"/>
          <w:lang w:bidi="fa-IR"/>
          <w:color w:val="111111"/>
          <w:sz w:val="28"/>
          <w:szCs w:val="28"/>
          <w:rtl/>
        </w:rPr>
        <w:t xml:space="preserve">وابسته به: معجم الأدباء = معجم اهل الادب = ارشاد الاريب في معرفة الأديب؛ یاقوت حموی، یاقوت بن عبدالله (۵۷۴-۶۲۶) | به ترتیب حروف تهجی سرگذشت دانشمندان در آن آمده است.</w:t>
      </w:r>
    </w:p>
    <w:p>
      <w:pPr>
        <w:pStyle w:val="BookText"/>
      </w:pPr>
      <w:r>
        <w:rPr>
          <w:rFonts w:ascii="IRNazanin" w:hAnsi="IRNazanin" w:eastAsia="IRNazanin" w:cs="IRNazanin"/>
          <w:lang w:bidi="fa-IR"/>
          <w:color w:val="111111"/>
          <w:sz w:val="28"/>
          <w:szCs w:val="28"/>
          <w:rtl/>
        </w:rPr>
        <w:t xml:space="preserve">تهران؛ حقوق؛ شماره نسخه: ۱۲۷-ج</w:t>
      </w:r>
    </w:p>
    <w:p>
      <w:pPr>
        <w:pStyle w:val="BookText"/>
      </w:pPr>
      <w:r>
        <w:rPr>
          <w:rFonts w:ascii="IRNazanin" w:hAnsi="IRNazanin" w:eastAsia="IRNazanin" w:cs="IRNazanin"/>
          <w:lang w:bidi="fa-IR"/>
          <w:color w:val="111111"/>
          <w:sz w:val="28"/>
          <w:szCs w:val="28"/>
          <w:rtl/>
        </w:rPr>
        <w:t xml:space="preserve">آغاز: بسمله الحمدلله مبدىء الخلق و معیده و معطى الرشد و مفيده ... و بعد فانی تاملت کتاب معجم الأدبا الذي ألفه ابو عبدالله یاقوت بن عبدالله الرومي نسبة الحموي مولدة البغدادی منشاء الحلى وفاة ... فآثرت أن اختار مما يشتمل عليه ... و قصدت أن يكون مدخلا الى الكتاب المذكور ... و قد اختصرت هذا الكتاب ... و جعلته كالتذكرة لي اراجعه ... و سميته بغية الالباء من معجم الأدباء، انجام: و اشكو هموما منك كنت لقيتها. هذا آخر الجزء الأول من كتاب بغية الالباء المختصر من معجم الأدباء و يتلوه الثانی احمد بن يحيى بن علي في شهر ربيع الآخر سنة ۱۲۸۵ خط: نسخ، كا: مسیح کمره ای، تا: در ربيع الثانی ۱۲۸۵ق؛ تملک: اعتضاد السلطنه در ۱۲۸۵؛ کاغذ: فرنگی، جلد: تیماج زرد ضربی مقوایی، ۶۸، ۱۸ سطر (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۲۵۹]</w:t>
      </w:r>
    </w:p>
    <w:p>
      <w:pPr>
        <w:pStyle w:val="Heading3"/>
      </w:pPr>
      <w:bookmarkStart w:id="854" w:name="_Toc114"/>
      <w:r>
        <w:t>• بغية الباحث عن جمل الموارث / فقه , شعر / عربی</w:t>
      </w:r>
      <w:bookmarkEnd w:id="854"/>
    </w:p>
    <w:p>
      <w:pPr>
        <w:pStyle w:val="BookText"/>
      </w:pPr>
      <w:r>
        <w:rPr>
          <w:rFonts w:ascii="Times New Roman" w:hAnsi="Times New Roman" w:eastAsia="Times New Roman" w:cs="Times New Roman"/>
          <w:lang w:val="en-US" w:bidi="en-US"/>
          <w:color w:val="111111"/>
          <w:sz w:val="28"/>
          <w:szCs w:val="28"/>
          <w:rtl/>
        </w:rPr>
        <w:t xml:space="preserve">bugyat-ul bāḥit ‘an jumal-il mawārit</w:t>
      </w:r>
    </w:p>
    <w:p>
      <w:pPr>
        <w:pStyle w:val="BookText"/>
      </w:pPr>
      <w:r>
        <w:rPr>
          <w:rFonts w:ascii="IRNazanin" w:hAnsi="IRNazanin" w:eastAsia="IRNazanin" w:cs="IRNazanin"/>
          <w:lang w:bidi="fa-IR"/>
          <w:color w:val="111111"/>
          <w:sz w:val="28"/>
          <w:szCs w:val="28"/>
          <w:rtl/>
        </w:rPr>
        <w:t xml:space="preserve">ابن متفننه، محمد بن على، ۴۹۷-۵۷۷ قمری</w:t>
      </w:r>
    </w:p>
    <w:p>
      <w:pPr>
        <w:pStyle w:val="BookText"/>
      </w:pPr>
      <w:r>
        <w:rPr>
          <w:rFonts w:ascii="Times New Roman" w:hAnsi="Times New Roman" w:eastAsia="Times New Roman" w:cs="Times New Roman"/>
          <w:lang w:val="en-US" w:bidi="en-US"/>
          <w:color w:val="111111"/>
          <w:sz w:val="28"/>
          <w:szCs w:val="28"/>
          <w:rtl/>
        </w:rPr>
        <w:t xml:space="preserve">ebn-e motefannena, mohammad ebn-e 'alī (1104-1182)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1" w:name="pg20363_209191"/>
    <w:bookmarkEnd w:id="41"/>
    <w:p>
      <w:pPr>
        <w:pStyle w:val="BookText"/>
      </w:pPr>
      <w:r>
        <w:rPr>
          <w:rFonts w:ascii="IRNazanin" w:hAnsi="IRNazanin" w:eastAsia="IRNazanin" w:cs="IRNazanin"/>
          <w:lang w:bidi="fa-IR"/>
          <w:color w:val="111111"/>
          <w:sz w:val="28"/>
          <w:szCs w:val="28"/>
          <w:rtl/>
        </w:rPr>
        <w:t xml:space="preserve">آغاز: بسمله. أول ما نستفتح المقالا</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بذكر حمد ربنا تعالی چاپ: لندن، ۱۸۸۲م؛ الجزائر، ۱۸۹۶م؛ مشار عربی، ص ۱۲۹، مصر، سنگی، ۱۲۸۱ق، رقعی، ۹ص (صص ۷۳-۸۱)</w:t>
      </w:r>
    </w:p>
    <w:p>
      <w:pPr>
        <w:pStyle w:val="BookText"/>
      </w:pPr>
      <w:r>
        <w:rPr>
          <w:rFonts w:ascii="IRNazanin" w:hAnsi="IRNazanin" w:eastAsia="IRNazanin" w:cs="IRNazanin"/>
          <w:lang w:bidi="fa-IR"/>
          <w:color w:val="111111"/>
          <w:sz w:val="28"/>
          <w:szCs w:val="28"/>
          <w:rtl/>
        </w:rPr>
        <w:t xml:space="preserve">۱. تهران: دانشگاه؛ شماره نسخه: ۵۰۴۵/۲ -ف</w:t>
      </w:r>
    </w:p>
    <w:p>
      <w:pPr>
        <w:pStyle w:val="BookText"/>
      </w:pPr>
      <w:r>
        <w:rPr>
          <w:rFonts w:ascii="IRNazanin" w:hAnsi="IRNazanin" w:eastAsia="IRNazanin" w:cs="IRNazanin"/>
          <w:lang w:bidi="fa-IR"/>
          <w:color w:val="111111"/>
          <w:sz w:val="28"/>
          <w:szCs w:val="28"/>
          <w:rtl/>
        </w:rPr>
        <w:t xml:space="preserve">نسخه اصل: بادلیان، شماره 33 </w:t>
      </w:r>
      <w:r>
        <w:rPr>
          <w:rFonts w:ascii="Times New Roman" w:hAnsi="Times New Roman" w:eastAsia="Times New Roman" w:cs="Times New Roman"/>
          <w:lang w:val="en-US" w:bidi="en-US"/>
          <w:color w:val="111111"/>
          <w:sz w:val="28"/>
          <w:szCs w:val="28"/>
          <w:rtl/>
        </w:rPr>
        <w:t xml:space="preserve">Pococ </w:t>
      </w:r>
      <w:r>
        <w:rPr>
          <w:rFonts w:ascii="IRNazanin" w:hAnsi="IRNazanin" w:eastAsia="IRNazanin" w:cs="IRNazanin"/>
          <w:lang w:bidi="fa-IR"/>
          <w:color w:val="111111"/>
          <w:sz w:val="28"/>
          <w:szCs w:val="28"/>
          <w:rtl/>
        </w:rPr>
        <w:t xml:space="preserve">کا: فخر سابقاتی، تا: جمعه ۴ شوال ۷۱۲ق [فیلمها ف: ۳-۱۲۶]</w:t>
      </w:r>
    </w:p>
    <w:p>
      <w:pPr>
        <w:pStyle w:val="BookText"/>
      </w:pPr>
      <w:r>
        <w:rPr>
          <w:rFonts w:ascii="IRNazanin" w:hAnsi="IRNazanin" w:eastAsia="IRNazanin" w:cs="IRNazanin"/>
          <w:lang w:bidi="fa-IR"/>
          <w:color w:val="111111"/>
          <w:sz w:val="28"/>
          <w:szCs w:val="28"/>
          <w:rtl/>
        </w:rPr>
        <w:t xml:space="preserve">۲. قم؛ مرعشی؛ شماره نسخه: ۱۳۵۹/۱۲ عکسی</w:t>
      </w:r>
    </w:p>
    <w:p>
      <w:pPr>
        <w:pStyle w:val="BookText"/>
      </w:pPr>
      <w:r>
        <w:rPr>
          <w:rFonts w:ascii="IRNazanin" w:hAnsi="IRNazanin" w:eastAsia="IRNazanin" w:cs="IRNazanin"/>
          <w:lang w:bidi="fa-IR"/>
          <w:color w:val="111111"/>
          <w:sz w:val="28"/>
          <w:szCs w:val="28"/>
          <w:rtl/>
        </w:rPr>
        <w:t xml:space="preserve">آغاز: برابر نسخه اصل: کتابخانه چستربیتی، ش ۳۸۵۴؛ خط: نسخ، بی کا، بی تا؛ ۷ص (۱۱۸-۱۲۴)، ۲۲ سطر [عکسی ف: ۴-۱۲۳]</w:t>
      </w:r>
    </w:p>
    <w:p>
      <w:pPr>
        <w:pStyle w:val="BookText"/>
      </w:pPr>
      <w:r>
        <w:rPr>
          <w:rFonts w:ascii="IRNazanin" w:hAnsi="IRNazanin" w:eastAsia="IRNazanin" w:cs="IRNazanin"/>
          <w:lang w:bidi="fa-IR"/>
          <w:color w:val="111111"/>
          <w:sz w:val="28"/>
          <w:szCs w:val="28"/>
          <w:rtl/>
        </w:rPr>
        <w:t xml:space="preserve">٣. اصفهان، دانشگاه؛ شماره نسخه: ۱۸۶/۶</w:t>
      </w:r>
    </w:p>
    <w:p>
      <w:pPr>
        <w:pStyle w:val="BookText"/>
      </w:pPr>
      <w:r>
        <w:rPr>
          <w:rFonts w:ascii="IRNazanin" w:hAnsi="IRNazanin" w:eastAsia="IRNazanin" w:cs="IRNazanin"/>
          <w:lang w:bidi="fa-IR"/>
          <w:color w:val="111111"/>
          <w:sz w:val="28"/>
          <w:szCs w:val="28"/>
          <w:rtl/>
        </w:rPr>
        <w:t xml:space="preserve">بی کا، بی تا؛ جلد: تیماج قرمز ضربی، لاگ (۶۳-۶۹ر)،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سم (ف: ۱-۱۳۶]</w:t>
      </w:r>
    </w:p>
    <w:p>
      <w:pPr>
        <w:pStyle w:val="Heading3"/>
      </w:pPr>
      <w:bookmarkStart w:id="855" w:name="_Toc115"/>
      <w:r>
        <w:t>• بغية الخاص و العام / فقه / عربی</w:t>
      </w:r>
      <w:bookmarkEnd w:id="855"/>
    </w:p>
    <w:p>
      <w:pPr>
        <w:pStyle w:val="BookText"/>
      </w:pPr>
      <w:r>
        <w:rPr>
          <w:rFonts w:ascii="Times New Roman" w:hAnsi="Times New Roman" w:eastAsia="Times New Roman" w:cs="Times New Roman"/>
          <w:lang w:val="en-US" w:bidi="en-US"/>
          <w:color w:val="111111"/>
          <w:sz w:val="28"/>
          <w:szCs w:val="28"/>
          <w:rtl/>
        </w:rPr>
        <w:t xml:space="preserve">bugyat-ul xās wa-l ‘ām</w:t>
      </w:r>
    </w:p>
    <w:p>
      <w:pPr>
        <w:pStyle w:val="BookText"/>
      </w:pPr>
      <w:r>
        <w:rPr>
          <w:rFonts w:ascii="IRNazanin" w:hAnsi="IRNazanin" w:eastAsia="IRNazanin" w:cs="IRNazanin"/>
          <w:lang w:bidi="fa-IR"/>
          <w:color w:val="111111"/>
          <w:sz w:val="28"/>
          <w:szCs w:val="28"/>
          <w:rtl/>
        </w:rPr>
        <w:t xml:space="preserve">کاظمی نجفی، محمد حسین بن هاشم، ۱۲۲۴-۱۳۰۸ قمری</w:t>
      </w:r>
    </w:p>
    <w:p>
      <w:pPr>
        <w:pStyle w:val="BookText"/>
      </w:pPr>
      <w:r>
        <w:rPr>
          <w:rFonts w:ascii="Times New Roman" w:hAnsi="Times New Roman" w:eastAsia="Times New Roman" w:cs="Times New Roman"/>
          <w:lang w:val="en-US" w:bidi="en-US"/>
          <w:color w:val="111111"/>
          <w:sz w:val="28"/>
          <w:szCs w:val="28"/>
          <w:rtl/>
        </w:rPr>
        <w:t xml:space="preserve">kāzemī najafi, mohammad hoseyn ebn-e hāšem (1809 1891)</w:t>
      </w:r>
    </w:p>
    <w:p>
      <w:pPr>
        <w:pStyle w:val="BookText"/>
      </w:pPr>
      <w:r>
        <w:rPr>
          <w:rFonts w:ascii="IRNazanin" w:hAnsi="IRNazanin" w:eastAsia="IRNazanin" w:cs="IRNazanin"/>
          <w:lang w:bidi="fa-IR"/>
          <w:color w:val="111111"/>
          <w:sz w:val="28"/>
          <w:szCs w:val="28"/>
          <w:rtl/>
        </w:rPr>
        <w:t xml:space="preserve">کتاب، متن فقهی است بی استدلال که استخراج از کتاب دیگرش موسوم به «هداية الأنام» نموده که به ترتیب «شرائع الاسلام» مرتب شده است. قسم اول در عبادات است که مهمترین بخش آن صلاة است. عبادات آن دارای: ۱. کتاب الظهار، ۲. كتاب الكفارات، ۳. کتاب الاملاء، ۴. کتاب اللعان، ۵. کتاب العتق، ۶. کتاب التدبير، ۷. کتاب المكاتبة، ۸ کتاب الاقرار، ۹. كتاب الجعالة، ۱۰. کتاب الایمان، 11. كتاب النذر، ۱۲. کتاب الصيد و الذباحة، ۱۳. کتاب الاطعمة و الأشربة، ۱۴. کتاب الغصب، ۱۵. کتاب الشفعة، ۱۶. کتاب احياء الموات، ۱۷. کتاب اللقطة. آغاز: الحمد الله رب العالمين ... قد التمس مني بعض الاخوان الكرام تحرير رسالة في مسائل الحلال و الحرام. چاپ: بخش عبادات این کتاب در بمبئی ۱۲۹۷ چاپ شده [الذریعه ۱۳۱/۳ ]</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Amiri" w:hAnsi="Amiri" w:eastAsia="Amiri" w:cs="Amiri"/>
          <w:lang w:bidi="ar-SA"/>
          <w:color w:val="111111"/>
          <w:sz w:val="28"/>
          <w:szCs w:val="28"/>
          <w:rtl/>
        </w:rPr>
        <w:t xml:space="preserve">١- بغية الخاص و العام (ترجمه)</w:t>
      </w:r>
    </w:p>
    <w:p>
      <w:pPr>
        <w:pStyle w:val="BookText"/>
      </w:pPr>
      <w:r>
        <w:rPr>
          <w:rFonts w:ascii="IRNazanin" w:hAnsi="IRNazanin" w:eastAsia="IRNazanin" w:cs="IRNazanin"/>
          <w:lang w:bidi="fa-IR"/>
          <w:color w:val="111111"/>
          <w:sz w:val="28"/>
          <w:szCs w:val="28"/>
          <w:rtl/>
        </w:rPr>
        <w:t xml:space="preserve">۱. تهران؛ مجلس؛ شماره نسخه: ۴۳۰۴</w:t>
      </w:r>
    </w:p>
    <w:p>
      <w:pPr>
        <w:pStyle w:val="BookText"/>
      </w:pPr>
      <w:r>
        <w:rPr>
          <w:rFonts w:ascii="Amiri" w:hAnsi="Amiri" w:eastAsia="Amiri" w:cs="Amiri"/>
          <w:lang w:bidi="ar-SA"/>
          <w:color w:val="111111"/>
          <w:sz w:val="28"/>
          <w:szCs w:val="28"/>
          <w:rtl/>
        </w:rPr>
        <w:t xml:space="preserve">آغاز: برابر؛ انجام: و لا يبعد فساده ايضأ بالبيع و نحوه من المحرمات فيه وان كان اتمامه ثم قضائه احوط. و الله اعلم و الحمدلله</w:t>
      </w:r>
    </w:p>
    <w:p>
      <w:pPr>
        <w:pStyle w:val="BookText"/>
      </w:pPr>
      <w:r>
        <w:rPr>
          <w:rFonts w:ascii="IRNazanin" w:hAnsi="IRNazanin" w:eastAsia="IRNazanin" w:cs="IRNazanin"/>
          <w:lang w:bidi="fa-IR"/>
          <w:color w:val="111111"/>
          <w:sz w:val="28"/>
          <w:szCs w:val="28"/>
          <w:rtl/>
        </w:rPr>
        <w:t xml:space="preserve">جلد یکم: ۱. کتاب الطهارة، ۲. کتاب الصلاة، 3. کتاب الزکواة، ۴. کتاب الصوم؛ خط: نسخ، بی کا، تا: قرن ۱۳؛ مهر: مؤلف «رق الحسینی محمد حسین» و خط او، کاغذ: فرنگی، جلد: تیماج قهوه ای یک لا، ۷۸گ، ۱۹ سطر</w:t>
      </w:r>
    </w:p>
    <w:p>
      <w:pPr>
        <w:pStyle w:val="BookText"/>
      </w:pPr>
      <w:r>
        <w:rPr>
          <w:rFonts w:ascii="IRNazanin" w:hAnsi="IRNazanin" w:eastAsia="IRNazanin" w:cs="IRNazanin"/>
          <w:lang w:bidi="fa-IR"/>
          <w:color w:val="111111"/>
          <w:sz w:val="28"/>
          <w:szCs w:val="28"/>
          <w:rtl/>
        </w:rPr>
        <w:t xml:space="preserve">(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۱۹/۵ سم [ف: ۱۱-۳۱۹]</w:t>
      </w:r>
    </w:p>
    <w:p>
      <w:pPr>
        <w:pStyle w:val="BookText"/>
      </w:pPr>
      <w:r>
        <w:rPr>
          <w:rFonts w:ascii="IRNazanin" w:hAnsi="IRNazanin" w:eastAsia="IRNazanin" w:cs="IRNazanin"/>
          <w:lang w:bidi="fa-IR"/>
          <w:color w:val="111111"/>
          <w:sz w:val="28"/>
          <w:szCs w:val="28"/>
          <w:rtl/>
        </w:rPr>
        <w:t xml:space="preserve">۲. تهران؛ مجلس؛ شماره نسخه: ۴۳۰۵</w:t>
      </w:r>
    </w:p>
    <w:p>
      <w:pPr>
        <w:pStyle w:val="BookText"/>
      </w:pPr>
      <w:r>
        <w:rPr>
          <w:rFonts w:ascii="IRNazanin" w:hAnsi="IRNazanin" w:eastAsia="IRNazanin" w:cs="IRNazanin"/>
          <w:lang w:bidi="fa-IR"/>
          <w:color w:val="111111"/>
          <w:sz w:val="28"/>
          <w:szCs w:val="28"/>
          <w:rtl/>
        </w:rPr>
        <w:t xml:space="preserve">آغاز: كتاب البيع. بعد الحمد كتاب البيع و فيه فصول الاول فيما يكتسب به و هو اقسام؛ انجام: ايضا و أن يصلي ركعتي و يدعو بعد هما بان يقول: اللهم اني اريدان اتزوج فقدرلی من النساء اعفهن فرجا و احفظن لي في نفسها و مالی و او سعهن رزقة خط: نسخ، بی کا، تا: قرن ۱۳؛ خط و مهر نگارنده در برگ یکم حاکی از مقابله نسخه</w:t>
      </w:r>
    </w:p>
    <w:p>
      <w:pPr>
        <w:pStyle w:val="BookText"/>
      </w:pPr>
      <w:r>
        <w:rPr>
          <w:rFonts w:ascii="IRNazanin" w:hAnsi="IRNazanin" w:eastAsia="IRNazanin" w:cs="IRNazanin"/>
          <w:lang w:bidi="fa-IR"/>
          <w:color w:val="111111"/>
          <w:sz w:val="28"/>
          <w:szCs w:val="28"/>
          <w:rtl/>
        </w:rPr>
        <w:t xml:space="preserve">(الحسين بن محمد حسینی) مورخ ۱۲۷۹ هست؛ کاغذ: فرنگی، جلد: تیماج قهوه ای ۵/۲۱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۱۲۹گ، ۱۵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۱۱-۳۲۰ ]</w:t>
      </w:r>
    </w:p>
    <w:p>
      <w:pPr>
        <w:pStyle w:val="BookText"/>
      </w:pPr>
      <w:r>
        <w:rPr>
          <w:rFonts w:ascii="IRNazanin" w:hAnsi="IRNazanin" w:eastAsia="IRNazanin" w:cs="IRNazanin"/>
          <w:lang w:bidi="fa-IR"/>
          <w:color w:val="111111"/>
          <w:sz w:val="28"/>
          <w:szCs w:val="28"/>
          <w:rtl/>
        </w:rPr>
        <w:t xml:space="preserve">٣. قم؛ مرعشی؛ شماره نسخه: ۶۰۲/۶</w:t>
      </w:r>
    </w:p>
    <w:p>
      <w:pPr>
        <w:pStyle w:val="BookText"/>
      </w:pPr>
      <w:r>
        <w:rPr>
          <w:rFonts w:ascii="IRNazanin" w:hAnsi="IRNazanin" w:eastAsia="IRNazanin" w:cs="IRNazanin"/>
          <w:lang w:bidi="fa-IR"/>
          <w:color w:val="111111"/>
          <w:sz w:val="28"/>
          <w:szCs w:val="28"/>
          <w:rtl/>
        </w:rPr>
        <w:t xml:space="preserve">آغاز: برابر؛ انجام: و لايبعد فساده ايضا بالبيع و نحوه من المحرمات فيه و ان كان اتمامه ثم قضاؤه احوط و الله اعلم، و الحمدلله رب العالمين ... قسم اول؛ خط: نسخ، كا: احمد بن صالح بن قاسم فحام اعرجی نجفی، تا: ۸ شعبان ۱۲۷۳ق؛ با نسخه مصنف مقابله شده؛ مهر: «یا امام محمد باقر» (بیضوی)؛ جلد: تیماج قرمز، ۱۱۸گ (۱۷۲پ۔ ۲۸۹پ)،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[ف: ۲-۱۹۷]</w:t>
      </w:r>
    </w:p>
    <w:p>
      <w:pPr>
        <w:pStyle w:val="BookText"/>
      </w:pPr>
      <w:r>
        <w:rPr>
          <w:rFonts w:ascii="IRNazanin" w:hAnsi="IRNazanin" w:eastAsia="IRNazanin" w:cs="IRNazanin"/>
          <w:lang w:bidi="fa-IR"/>
          <w:color w:val="111111"/>
          <w:sz w:val="28"/>
          <w:szCs w:val="28"/>
          <w:rtl/>
        </w:rPr>
        <w:t xml:space="preserve">۴. مشهد؛ رضوی؛ شماره نسخه: ۹۳۹۳</w:t>
      </w:r>
    </w:p>
    <w:p>
      <w:pPr>
        <w:pStyle w:val="BookText"/>
      </w:pPr>
      <w:r>
        <w:rPr>
          <w:rFonts w:ascii="Amiri" w:hAnsi="Amiri" w:eastAsia="Amiri" w:cs="Amiri"/>
          <w:lang w:bidi="ar-SA"/>
          <w:color w:val="111111"/>
          <w:sz w:val="28"/>
          <w:szCs w:val="28"/>
          <w:rtl/>
        </w:rPr>
        <w:t xml:space="preserve">آغاز: برابر؛ انجام: بالبيع و نحوه من المحرمات فيه و ان كان اتمامه ثم قضائه احوط والله اعلم و الحمدلله رب العالمين.</w:t>
      </w:r>
    </w:p>
    <w:p>
      <w:pPr>
        <w:pStyle w:val="BookText"/>
      </w:pPr>
      <w:r>
        <w:rPr>
          <w:rFonts w:ascii="IRNazanin" w:hAnsi="IRNazanin" w:eastAsia="IRNazanin" w:cs="IRNazanin"/>
          <w:lang w:bidi="fa-IR"/>
          <w:color w:val="111111"/>
          <w:sz w:val="28"/>
          <w:szCs w:val="28"/>
          <w:rtl/>
        </w:rPr>
        <w:t xml:space="preserve">خط: نسخ، بی کا، تا: ۱۲۸۱ق؛ مصحح؛ واقف: مرحوم شیخ قوام الاری، مهر ۱۳۴۴؛ کاغذ: نخودی آهارمهره، جلد: تیماج قهوه ای، ۱۰۲گ، ۱۵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۲۰-۶۴]</w:t>
      </w:r>
    </w:p>
    <w:p>
      <w:pPr>
        <w:pStyle w:val="BookText"/>
      </w:pPr>
      <w:r>
        <w:rPr>
          <w:rFonts w:ascii="IRNazanin" w:hAnsi="IRNazanin" w:eastAsia="IRNazanin" w:cs="IRNazanin"/>
          <w:lang w:bidi="fa-IR"/>
          <w:color w:val="111111"/>
          <w:sz w:val="28"/>
          <w:szCs w:val="28"/>
          <w:rtl/>
        </w:rPr>
        <w:t xml:space="preserve">۵. مشهد؛ رضوی؛ شماره نسخه: ۷۴۷۱</w:t>
      </w:r>
    </w:p>
    <w:p>
      <w:pPr>
        <w:pStyle w:val="BookText"/>
      </w:pPr>
      <w:r>
        <w:rPr>
          <w:rFonts w:ascii="IRNazanin" w:hAnsi="IRNazanin" w:eastAsia="IRNazanin" w:cs="IRNazanin"/>
          <w:lang w:bidi="fa-IR"/>
          <w:color w:val="111111"/>
          <w:sz w:val="28"/>
          <w:szCs w:val="28"/>
          <w:rtl/>
        </w:rPr>
        <w:t xml:space="preserve">آغاز: برابر؛ انجام: بالبيع و نحوه من المحرمات فيه وان كان اتمامه ثم قضائه احوط والله اعلم و الحمدلله رب العالمين. خط: نسخ، كا: حسین، تا: ۱۲۹۴ق؛ مقابله شده؛ کاغذ: نخودی آهار مهره، جلد: مقوا عطف و گوشه تیماج، ۷۹گ، ۱۷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۲۰-۶۳]</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قم؛ مرعشی؛ شماره نسخه: ۱۴۴۶۶</w:t>
      </w:r>
    </w:p>
    <w:p>
      <w:pPr>
        <w:pStyle w:val="BookText"/>
      </w:pPr>
      <w:r>
        <w:rPr>
          <w:rFonts w:ascii="IRNazanin" w:hAnsi="IRNazanin" w:eastAsia="IRNazanin" w:cs="IRNazanin"/>
          <w:lang w:bidi="fa-IR"/>
          <w:color w:val="111111"/>
          <w:sz w:val="28"/>
          <w:szCs w:val="28"/>
          <w:rtl/>
        </w:rPr>
        <w:t xml:space="preserve">آغاز: برابر؛ انجام: من المحرمات و إن كان إتمامه ثم قضائه أحوط و الله أعلم و الحمدلله رب العالمين خط: نسخ، بی کا، تا: قرن ۱۴؛ با نسخه اصل مقابله شده، خط و مهر تأیید مؤلف، و نص خط: «نعم قد قوبلت فلا بأستت بالعمل بها إن شاء الله تعالی»؛ مهر: «حسبی محمد و حسین» (مدور)؛ کاغذ: فرنگی، جلد: چرم ضربی مجدول با ترنج و سرترنج لاکی، ۷۹گ، ۱۷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۳۶-۴۳۶]</w:t>
      </w:r>
    </w:p>
    <w:p>
      <w:pPr>
        <w:pStyle w:val="BookText"/>
      </w:pPr>
      <w:r>
        <w:rPr>
          <w:rFonts w:ascii="IRNazanin" w:hAnsi="IRNazanin" w:eastAsia="IRNazanin" w:cs="IRNazanin"/>
          <w:lang w:bidi="fa-IR"/>
          <w:color w:val="111111"/>
          <w:sz w:val="28"/>
          <w:szCs w:val="28"/>
          <w:rtl/>
        </w:rPr>
        <w:t xml:space="preserve">۷. تهران: مجلس؛ شماره نسخه: ۴۳۰۵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2" w:name="pg20363_209192"/>
    <w:bookmarkEnd w:id="42"/>
    <w:p>
      <w:pPr>
        <w:pStyle w:val="BookText"/>
      </w:pPr>
      <w:r>
        <w:rPr>
          <w:rFonts w:ascii="IRNazanin" w:hAnsi="IRNazanin" w:eastAsia="IRNazanin" w:cs="IRNazanin"/>
          <w:lang w:bidi="fa-IR"/>
          <w:color w:val="111111"/>
          <w:sz w:val="28"/>
          <w:szCs w:val="28"/>
          <w:rtl/>
        </w:rPr>
        <w:t xml:space="preserve">آغاز: کتاب الظهار لم اخالعک آنابل خالع زيد و العوض عليه؛ انجام: و عليه نفقته مع مراجعة الحاكم فيها ايضا و الاحوط تعريفه کاشاة المزبورة. والله اعلم بحقائق الأمور.</w:t>
      </w:r>
    </w:p>
    <w:p>
      <w:pPr>
        <w:pStyle w:val="BookText"/>
      </w:pPr>
      <w:r>
        <w:rPr>
          <w:rFonts w:ascii="IRNazanin" w:hAnsi="IRNazanin" w:eastAsia="IRNazanin" w:cs="IRNazanin"/>
          <w:lang w:bidi="fa-IR"/>
          <w:color w:val="111111"/>
          <w:sz w:val="28"/>
          <w:szCs w:val="28"/>
          <w:rtl/>
        </w:rPr>
        <w:t xml:space="preserve">خط: نسخ، كا: محمد علی بن میرزا خلیل خوانساری، تا: شنبه ۲۲ ذیقعده ۱۳۰۴ق؛ از برگ ۶۴ تا برگ ۶۹ كتاب الفرائض و المواريث دیده می شود، در پایان کتاب چنین آمده «بلغ مقابلته على نسخة الاصل انشاء الله تعالی»؛ کاغذ: فرنگی، جلد: تیماج سرخ لایی، ۷۱گ، ۱۸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۱-۱۲ ]</w:t>
      </w:r>
    </w:p>
    <w:p>
      <w:pPr>
        <w:pStyle w:val="BookText"/>
      </w:pPr>
      <w:r>
        <w:rPr>
          <w:rFonts w:ascii="IRNazanin" w:hAnsi="IRNazanin" w:eastAsia="IRNazanin" w:cs="IRNazanin"/>
          <w:lang w:bidi="fa-IR"/>
          <w:color w:val="111111"/>
          <w:sz w:val="28"/>
          <w:szCs w:val="28"/>
          <w:rtl/>
        </w:rPr>
        <w:t xml:space="preserve">۸. تهران؛ مجلس؛ شماره نسخه: ۴۳۰۶</w:t>
      </w:r>
    </w:p>
    <w:p>
      <w:pPr>
        <w:pStyle w:val="BookText"/>
      </w:pPr>
      <w:r>
        <w:rPr>
          <w:rFonts w:ascii="IRNazanin" w:hAnsi="IRNazanin" w:eastAsia="IRNazanin" w:cs="IRNazanin"/>
          <w:lang w:bidi="fa-IR"/>
          <w:color w:val="111111"/>
          <w:sz w:val="28"/>
          <w:szCs w:val="28"/>
          <w:rtl/>
        </w:rPr>
        <w:t xml:space="preserve">آغاز: بعد البسمله. كتاب النكاح الذي هو العقد المخصوص و فيه فصول الأول في حكمه و آدابه؛ انجام: و ليس للزوج ان ياخذ منها اكثر مما اعطاها و الاحوط أن لا ياخذمنها المساوی له و أن لم يبعد جوازه على كراهيته. دارای: ۱. کتاب نکاح، ۲. کتاب طلاق، 3. کتاب خلع و مبارات؛ خط: نسخ، كا: میرزا خلیل محمد على خوانساری، تا: ۱۳ ربیع الاول ۱۳۰۵ق؛ خط و مهر مؤلف «رق الحسين محمد حسین»؛ مصحح، با نسخه اصل مقابله شده؛ جلد: تیماج سرخ یک لایی، ۵۷گ، مختلف السطر،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۱۲-۲]</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زنجان؛ امام جمعه؛ شماره نسخه: بدون شماره</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بی کا، بی تا؛ مصحح با نسخه مؤلف، در تجليد قسم معاملات قبل قسم عبادات آمده؛ یادداشت مؤلف در برگ اول در شهادت به صحت عمل کتاب؛ مهر: مؤلف «رق الحسين محمد حسین» (بیضوی) [دليل المخطوطات: ۱-۹۶]</w:t>
      </w:r>
    </w:p>
    <w:p>
      <w:pPr>
        <w:pStyle w:val="BookText"/>
      </w:pPr>
      <w:r>
        <w:rPr>
          <w:rFonts w:ascii="IRNazanin" w:hAnsi="IRNazanin" w:eastAsia="IRNazanin" w:cs="IRNazanin"/>
          <w:lang w:bidi="fa-IR"/>
          <w:color w:val="111111"/>
          <w:sz w:val="28"/>
          <w:szCs w:val="28"/>
          <w:rtl/>
        </w:rPr>
        <w:t xml:space="preserve">۱۰. مشهد؛ رضوی؛ شماره نسخه: ۲۷۰۲</w:t>
      </w:r>
    </w:p>
    <w:p>
      <w:pPr>
        <w:pStyle w:val="BookText"/>
      </w:pPr>
      <w:r>
        <w:rPr>
          <w:rFonts w:ascii="IRNazanin" w:hAnsi="IRNazanin" w:eastAsia="IRNazanin" w:cs="IRNazanin"/>
          <w:lang w:bidi="fa-IR"/>
          <w:color w:val="111111"/>
          <w:sz w:val="28"/>
          <w:szCs w:val="28"/>
          <w:rtl/>
        </w:rPr>
        <w:t xml:space="preserve">آغاز: برابر؛ انجام: و ان كان اتمامه ثم قضائه احوط ابواب طهارت و صلوة و زکوة و خمس و صوم؛ خط: نسخ، بی کا، بی تا؛ با نسخه اصل مقابله شده؛ واقف: حاج سید محمد شوشتری، سال ۱۳۰۹، کاغذ: فرنگی شکری، جلد: مقوا با روکش پارچه، ۶۴گ، ۲۱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۵-۴۰۴]</w:t>
      </w:r>
    </w:p>
    <w:p>
      <w:pPr>
        <w:pStyle w:val="Heading3"/>
      </w:pPr>
      <w:bookmarkStart w:id="856" w:name="_Toc116"/>
      <w:r>
        <w:t>• بغية الخاص و العام (ترجمه) / فقه / فارسی</w:t>
      </w:r>
      <w:bookmarkEnd w:id="856"/>
    </w:p>
    <w:p>
      <w:pPr>
        <w:pStyle w:val="BookText"/>
      </w:pPr>
      <w:r>
        <w:rPr>
          <w:rFonts w:ascii="Times New Roman" w:hAnsi="Times New Roman" w:eastAsia="Times New Roman" w:cs="Times New Roman"/>
          <w:lang w:val="en-US" w:bidi="en-US"/>
          <w:color w:val="111111"/>
          <w:sz w:val="28"/>
          <w:szCs w:val="28"/>
          <w:rtl/>
        </w:rPr>
        <w:t xml:space="preserve">bugyat-ul xās wa-l ‘ām (t.)</w:t>
      </w:r>
    </w:p>
    <w:p>
      <w:pPr>
        <w:pStyle w:val="BookText"/>
      </w:pPr>
      <w:r>
        <w:rPr>
          <w:rFonts w:ascii="IRNazanin" w:hAnsi="IRNazanin" w:eastAsia="IRNazanin" w:cs="IRNazanin"/>
          <w:lang w:bidi="fa-IR"/>
          <w:color w:val="111111"/>
          <w:sz w:val="28"/>
          <w:szCs w:val="28"/>
          <w:rtl/>
        </w:rPr>
        <w:t xml:space="preserve">وابسته به: بغية الخاص و العام؛ کاظمی نجفی، محمد حسین بن هاشم (۱۲۲۴-۱۳۰۸) ترجمه ای است از کتاب «بغية الخاص و العام». اصل کتاب در دو قسم می باشد: عبادات، معاملات.</w:t>
      </w:r>
    </w:p>
    <w:p>
      <w:pPr>
        <w:pStyle w:val="BookText"/>
      </w:pPr>
      <w:r>
        <w:rPr>
          <w:rFonts w:ascii="IRNazanin" w:hAnsi="IRNazanin" w:eastAsia="IRNazanin" w:cs="IRNazanin"/>
          <w:lang w:bidi="fa-IR"/>
          <w:color w:val="111111"/>
          <w:sz w:val="28"/>
          <w:szCs w:val="28"/>
          <w:rtl/>
        </w:rPr>
        <w:t xml:space="preserve">خوی؛ نمازی؛ شماره نسخه: ۱۳۲</w:t>
      </w:r>
    </w:p>
    <w:p>
      <w:pPr>
        <w:pStyle w:val="BookText"/>
      </w:pPr>
      <w:r>
        <w:rPr>
          <w:rFonts w:ascii="IRNazanin" w:hAnsi="IRNazanin" w:eastAsia="IRNazanin" w:cs="IRNazanin"/>
          <w:lang w:bidi="fa-IR"/>
          <w:color w:val="111111"/>
          <w:sz w:val="28"/>
          <w:szCs w:val="28"/>
          <w:rtl/>
        </w:rPr>
        <w:t xml:space="preserve">آغاز: الحمدلله رب العامين وصلى الله على محمد و اهل بیته الطاهرين أما بعد فيقول الراجي عفو ربه الغفور، انجام: اعتکاف به بيع و غبر آن از آنچه حرام است در اعتکاف اگر چه اتمام و قضای آن احوط است و الله اعلم ترجمه قسم اول کتاب از مترجمی ناشناس می باشد و از کتاب طهارت تا آخراعتکاف است؛ خط: نسخ جلی، کا: محمد رضا بن على ويشلقی، تا: ۸ رجب ۱۳۱۱ق، واقف ساجدی، فاقد جلد، ۱۸ سطر، اندازه: ۲۳/۵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۷۵]</w:t>
      </w:r>
    </w:p>
    <w:p>
      <w:pPr>
        <w:pStyle w:val="Heading3"/>
      </w:pPr>
      <w:bookmarkStart w:id="857" w:name="_Toc117"/>
      <w:r>
        <w:t>• بغية الخبير في قانون طلب الاکسیر / کیمیا / عربی</w:t>
      </w:r>
      <w:bookmarkEnd w:id="857"/>
    </w:p>
    <w:p>
      <w:pPr>
        <w:pStyle w:val="BookText"/>
      </w:pPr>
      <w:r>
        <w:rPr>
          <w:rFonts w:ascii="Times New Roman" w:hAnsi="Times New Roman" w:eastAsia="Times New Roman" w:cs="Times New Roman"/>
          <w:lang w:val="en-US" w:bidi="en-US"/>
          <w:color w:val="111111"/>
          <w:sz w:val="28"/>
          <w:szCs w:val="28"/>
          <w:rtl/>
        </w:rPr>
        <w:t xml:space="preserve">bugyat-ul xabīr fī qānūn-i talab-il iksīr</w:t>
      </w:r>
    </w:p>
    <w:p>
      <w:pPr>
        <w:pStyle w:val="BookText"/>
      </w:pPr>
      <w:r>
        <w:rPr>
          <w:rFonts w:ascii="IRNazanin" w:hAnsi="IRNazanin" w:eastAsia="IRNazanin" w:cs="IRNazanin"/>
          <w:lang w:bidi="fa-IR"/>
          <w:color w:val="111111"/>
          <w:sz w:val="28"/>
          <w:szCs w:val="28"/>
          <w:rtl/>
        </w:rPr>
        <w:t xml:space="preserve">جلد کی، علی بن ایدمر، -۷۶۲ قمری</w:t>
      </w:r>
    </w:p>
    <w:p>
      <w:pPr>
        <w:pStyle w:val="BookText"/>
      </w:pPr>
      <w:r>
        <w:rPr>
          <w:rFonts w:ascii="Times New Roman" w:hAnsi="Times New Roman" w:eastAsia="Times New Roman" w:cs="Times New Roman"/>
          <w:lang w:val="en-US" w:bidi="en-US"/>
          <w:color w:val="111111"/>
          <w:sz w:val="28"/>
          <w:szCs w:val="28"/>
          <w:rtl/>
        </w:rPr>
        <w:t xml:space="preserve">jeldakī, ‘alī ebn-e aydamor (- 1361)</w:t>
      </w:r>
    </w:p>
    <w:p>
      <w:pPr>
        <w:pStyle w:val="BookText"/>
      </w:pPr>
      <w:r>
        <w:rPr>
          <w:rFonts w:ascii="Amiri" w:hAnsi="Amiri" w:eastAsia="Amiri" w:cs="Amiri"/>
          <w:lang w:bidi="ar-SA"/>
          <w:color w:val="111111"/>
          <w:sz w:val="28"/>
          <w:szCs w:val="28"/>
          <w:rtl/>
        </w:rPr>
        <w:t xml:space="preserve">تاريخ تأليف: ۹ صفر ۷۴۰ق؛ محل تأليف: دمشق</w:t>
      </w:r>
    </w:p>
    <w:p>
      <w:pPr>
        <w:pStyle w:val="BookText"/>
      </w:pPr>
      <w:r>
        <w:rPr>
          <w:rFonts w:ascii="IRNazanin" w:hAnsi="IRNazanin" w:eastAsia="IRNazanin" w:cs="IRNazanin"/>
          <w:lang w:bidi="fa-IR"/>
          <w:color w:val="111111"/>
          <w:sz w:val="28"/>
          <w:szCs w:val="28"/>
          <w:rtl/>
        </w:rPr>
        <w:t xml:space="preserve">مؤلف آن را برای دانشجویان و طلاب نوشته، در چگونگی طلب اکسیر و راه های دسترسی به این ماده است. مؤلف در آغاز کتاب از مدعیان دروغین این فن شکوه می نماید و آنها را جاهلانی می نامد که هیچ گاه به آن ماده رؤیایی دست نخواهند یافت. این کتاب در یک «مقدمه» و ده «فصل» و یک «خاتمه» تنظیم شده است: المقدمة: جدير عن رام أشرف مطلب أن يكون سعيه أفضل من الأشياء من غير وجه؛ فصل 1. يجب على من رام أن يحاول معرفة حجر المکرم و خروج مافيه من القوة؛ ۲. إذا ثبت عندك إمكان الصناعة و أنها حق؛ ۳. الإكسير عند الفلاسفة هو جوهر .... ۴. النار العنصرية مفسدة لما کونته الطبيعة ...؛ ۵. قد سبقنا من مادة الإكسير و صورته و غایته و خواصه و عوارضه ما فيه كفاية و مقنع .... ۶. أن الذين دعا القوم إلى كتمان هذه الموهمية هو أنهم لو وضعوه كما وضعوا سائر علومهم من الطب .... ۷. من عدل كتب القوم في طلب الإكسير فقد أضماع عمره في الباطل؛ ۸ أن رموز الحكماء في غاية الإغماض .... ۹. يجب على من حاول فك رموز القوم أن يكون عالما بالطبائع .... ۱۰. فإذا فعلت ذلك رجوت ذلك الإصابة و قلة الخطأ و أدعوا الله يفتح أبوابه عليك .... الخاتمه ... اعلم أنه كما فرض علينا في عقولنا إظهار هذا السر و بذله لمستحقه كذلك حرم علينا إفشائه للعامة. (سید محمود مرعشی)</w:t>
      </w:r>
    </w:p>
    <w:p>
      <w:pPr>
        <w:pStyle w:val="BookText"/>
      </w:pPr>
      <w:r>
        <w:rPr>
          <w:rFonts w:ascii="IRNazanin" w:hAnsi="IRNazanin" w:eastAsia="IRNazanin" w:cs="IRNazanin"/>
          <w:lang w:bidi="fa-IR"/>
          <w:color w:val="111111"/>
          <w:sz w:val="28"/>
          <w:szCs w:val="28"/>
          <w:rtl/>
        </w:rPr>
        <w:t xml:space="preserve">آغاز: بسمله، قال العبد الفقير إلى الله تعالی ایدمر على بن ایدمر الجلد کی ... باسمك اللهم ظهرت انواع المبدعات ... اما بعد فانی وضعت هذا الكتاب بمدينة دمشق عام اربعین و سبع مائة.</w:t>
      </w:r>
    </w:p>
    <w:p>
      <w:pPr>
        <w:pStyle w:val="BookText"/>
      </w:pPr>
      <w:r>
        <w:rPr>
          <w:rFonts w:ascii="IRNazanin" w:hAnsi="IRNazanin" w:eastAsia="IRNazanin" w:cs="IRNazanin"/>
          <w:lang w:bidi="fa-IR"/>
          <w:color w:val="111111"/>
          <w:sz w:val="28"/>
          <w:szCs w:val="28"/>
          <w:rtl/>
        </w:rPr>
        <w:t xml:space="preserve">انجام: فلم تنله من كتبهم الا يشق الا نفس فالله بینی و بینک و كفى بالله وكيلا و لكن هذا آخر ما قصدنا ایراده من كتاب [أعيان الشيعة، ج ۳، ص ۵۱۷-۵۱۸ و ص ۱۲۷؛ اکتفاع القنوع مما هو مطبوع، ص ۲۲۶؛ کشف الظنون: ج ۱، ص ۲۳۹؛ معجم المؤلفين ۲۸/۳]</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 ض ۱۰۹۸۲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۹۸۱ق؛ واقف: ایرانی مجرد، محمد؛ کاغذ: نخودی سرخی، جلد: تیماج ضربی، ۲۱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 قطع: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3" w:name="pg20363_209193"/>
    <w:bookmarkEnd w:id="43"/>
    <w:p>
      <w:pPr>
        <w:pStyle w:val="BookText"/>
      </w:pPr>
      <w:r>
        <w:rPr>
          <w:rFonts w:ascii="IRNazanin" w:hAnsi="IRNazanin" w:eastAsia="IRNazanin" w:cs="IRNazanin"/>
          <w:lang w:bidi="fa-IR"/>
          <w:color w:val="111111"/>
          <w:sz w:val="28"/>
          <w:szCs w:val="28"/>
          <w:rtl/>
        </w:rPr>
        <w:t xml:space="preserve">وزیری بزرگ،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[الفبائی: ۸۹]</w:t>
      </w:r>
    </w:p>
    <w:p>
      <w:pPr>
        <w:pStyle w:val="BookText"/>
      </w:pPr>
      <w:r>
        <w:rPr>
          <w:rFonts w:ascii="IRNazanin" w:hAnsi="IRNazanin" w:eastAsia="IRNazanin" w:cs="IRNazanin"/>
          <w:lang w:bidi="fa-IR"/>
          <w:color w:val="111111"/>
          <w:sz w:val="28"/>
          <w:szCs w:val="28"/>
          <w:rtl/>
        </w:rPr>
        <w:t xml:space="preserve">۲. قم؛ مرعشی؛ شماره نسخه: ۱۱۷۴۸/۴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و نسخ، كا: محمد حسین، متطبب، تا: ۶ ذیقعده ۱۲۶۹ق، جان کرمانشاهان؛ مصحح، محشی، کاتب در پایان گوید این نسخه را همراه رساله قبلی که در دست مسافری از اهل حكمت در کرمانشاه بوده به طریق استعجال استنساخ نمودم؛ مهر: «محمد خاتم النبيين صلى الله عليه و آله و سلم ۱۲۸۶)</w:t>
      </w:r>
    </w:p>
    <w:p>
      <w:pPr>
        <w:pStyle w:val="BookText"/>
      </w:pPr>
      <w:r>
        <w:rPr>
          <w:rFonts w:ascii="IRNazanin" w:hAnsi="IRNazanin" w:eastAsia="IRNazanin" w:cs="IRNazanin"/>
          <w:lang w:bidi="fa-IR"/>
          <w:color w:val="111111"/>
          <w:sz w:val="28"/>
          <w:szCs w:val="28"/>
          <w:rtl/>
        </w:rPr>
        <w:t xml:space="preserve">بیضی)؛ کاغذ: فرنگی، آهار مهره، جلد: تیماج قهوه ای تیره ۲۲گ (۱۱۳-۱۳۴)، ۱۸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۵/۵ )،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سم [ف: ۵۳۱-۲۹ ]</w:t>
      </w:r>
    </w:p>
    <w:p>
      <w:pPr>
        <w:pStyle w:val="BookText"/>
      </w:pPr>
      <w:r>
        <w:rPr>
          <w:rFonts w:ascii="IRNazanin" w:hAnsi="IRNazanin" w:eastAsia="IRNazanin" w:cs="IRNazanin"/>
          <w:lang w:bidi="fa-IR"/>
          <w:color w:val="111111"/>
          <w:sz w:val="28"/>
          <w:szCs w:val="28"/>
          <w:rtl/>
        </w:rPr>
        <w:t xml:space="preserve">٣. مشهد؛ رضوی؛ شماره نسخه: ۲۸۲۴۴</w:t>
      </w:r>
    </w:p>
    <w:p>
      <w:pPr>
        <w:pStyle w:val="BookText"/>
      </w:pPr>
      <w:r>
        <w:rPr>
          <w:rFonts w:ascii="IRNazanin" w:hAnsi="IRNazanin" w:eastAsia="IRNazanin" w:cs="IRNazanin"/>
          <w:lang w:bidi="fa-IR"/>
          <w:color w:val="111111"/>
          <w:sz w:val="28"/>
          <w:szCs w:val="28"/>
          <w:rtl/>
        </w:rPr>
        <w:t xml:space="preserve">آغاز و انجام: برابر خط: نستعلیق خفي، كا: علی اصغر تهرانی، تا: ۱۲۷۷ق؛ کاغذ: نخودی سرخی، جلد: تیماج، ۱۶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قطع: بياضی،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[رایانه]</w:t>
      </w:r>
    </w:p>
    <w:p>
      <w:pPr>
        <w:pStyle w:val="BookText"/>
      </w:pPr>
      <w:r>
        <w:rPr>
          <w:rFonts w:ascii="IRNazanin" w:hAnsi="IRNazanin" w:eastAsia="IRNazanin" w:cs="IRNazanin"/>
          <w:lang w:bidi="fa-IR"/>
          <w:color w:val="111111"/>
          <w:sz w:val="28"/>
          <w:szCs w:val="28"/>
          <w:rtl/>
        </w:rPr>
        <w:t xml:space="preserve">۴. تهران؛ ملک؛ شماره نسخه: ۶۲۳۱/۴</w:t>
      </w:r>
    </w:p>
    <w:p>
      <w:pPr>
        <w:pStyle w:val="BookText"/>
      </w:pPr>
      <w:r>
        <w:rPr>
          <w:rFonts w:ascii="IRNazanin" w:hAnsi="IRNazanin" w:eastAsia="IRNazanin" w:cs="IRNazanin"/>
          <w:lang w:bidi="fa-IR"/>
          <w:color w:val="111111"/>
          <w:sz w:val="28"/>
          <w:szCs w:val="28"/>
          <w:rtl/>
        </w:rPr>
        <w:t xml:space="preserve">آغاز و انجام: برابر خط: شکسته نستعلیق، کا: محمد تقی طبیب نوری مازندرانی ابن محمدنبی، تا: ۱۳ ربیع الثانی ۱۲۹۳ق، جان کرمانشاهان؛ کاغذ: فرنگی، جلد: میشن قهوه ای، ۱۱گ (۳۹پ -۴۹پ)، ۱۷ سطر، اندازه: ۱۸/۱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w:t>
      </w:r>
    </w:p>
    <w:p>
      <w:pPr>
        <w:pStyle w:val="BookText"/>
      </w:pPr>
      <w:r>
        <w:rPr>
          <w:rFonts w:ascii="IRNazanin" w:hAnsi="IRNazanin" w:eastAsia="IRNazanin" w:cs="IRNazanin"/>
          <w:lang w:bidi="fa-IR"/>
          <w:color w:val="111111"/>
          <w:sz w:val="28"/>
          <w:szCs w:val="28"/>
          <w:rtl/>
        </w:rPr>
        <w:t xml:space="preserve">سم [ف: ۹-۲۸۲] .. قم: مرکز مطالعات؛ شماره نسخه: ۶۵۴/۲</w:t>
      </w:r>
    </w:p>
    <w:p>
      <w:pPr>
        <w:pStyle w:val="BookText"/>
      </w:pPr>
      <w:r>
        <w:rPr>
          <w:rFonts w:ascii="IRNazanin" w:hAnsi="IRNazanin" w:eastAsia="IRNazanin" w:cs="IRNazanin"/>
          <w:lang w:bidi="fa-IR"/>
          <w:color w:val="111111"/>
          <w:sz w:val="28"/>
          <w:szCs w:val="28"/>
          <w:rtl/>
        </w:rPr>
        <w:t xml:space="preserve">آغاز: برابر؛ انجام: و الحمد لله وحده ... و اتفق الفراغ من تصنيفه في تاسع صفر سنة اربعین و سبعمائه و الحمدلله خط: نستعلیق، بی کا، تا: ۲۲ صفر ۱۳۰۶ق؛ جلد: تیماج، سرخ، ضربی، ۸گ (۱۵ر-۲۲ر)، ۲۰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سم (ف: ۱- ۵۵۹]</w:t>
      </w:r>
    </w:p>
    <w:p>
      <w:pPr>
        <w:pStyle w:val="BookText"/>
      </w:pPr>
      <w:r>
        <w:rPr>
          <w:rFonts w:ascii="IRNazanin" w:hAnsi="IRNazanin" w:eastAsia="IRNazanin" w:cs="IRNazanin"/>
          <w:lang w:bidi="fa-IR"/>
          <w:color w:val="111111"/>
          <w:sz w:val="28"/>
          <w:szCs w:val="28"/>
          <w:rtl/>
        </w:rPr>
        <w:t xml:space="preserve">۶. تهران؛ مجلس؛ شماره نسخه: ۷۱۷</w:t>
      </w:r>
    </w:p>
    <w:p>
      <w:pPr>
        <w:pStyle w:val="BookText"/>
      </w:pPr>
      <w:r>
        <w:rPr>
          <w:rFonts w:ascii="IRNazanin" w:hAnsi="IRNazanin" w:eastAsia="IRNazanin" w:cs="IRNazanin"/>
          <w:lang w:bidi="fa-IR"/>
          <w:color w:val="111111"/>
          <w:sz w:val="28"/>
          <w:szCs w:val="28"/>
          <w:rtl/>
        </w:rPr>
        <w:t xml:space="preserve">آغاز: برابر خط: نسخ، بی کا، بی تا؛ ۱۰گ، ۲۱ سطر، قطع: خشتی،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۲-۴۵۶]</w:t>
      </w:r>
    </w:p>
    <w:p>
      <w:pPr>
        <w:pStyle w:val="BookText"/>
      </w:pPr>
      <w:r>
        <w:rPr>
          <w:rFonts w:ascii="IRNazanin" w:hAnsi="IRNazanin" w:eastAsia="IRNazanin" w:cs="IRNazanin"/>
          <w:lang w:bidi="fa-IR"/>
          <w:color w:val="111111"/>
          <w:sz w:val="28"/>
          <w:szCs w:val="28"/>
          <w:rtl/>
        </w:rPr>
        <w:t xml:space="preserve">۷. مشهد، الهیات؛ شماره نسخه:۲۰۳۷۰/۳</w:t>
      </w:r>
    </w:p>
    <w:p>
      <w:pPr>
        <w:pStyle w:val="BookText"/>
      </w:pPr>
      <w:r>
        <w:rPr>
          <w:rFonts w:ascii="IRNazanin" w:hAnsi="IRNazanin" w:eastAsia="IRNazanin" w:cs="IRNazanin"/>
          <w:lang w:bidi="fa-IR"/>
          <w:color w:val="111111"/>
          <w:sz w:val="28"/>
          <w:szCs w:val="28"/>
          <w:rtl/>
        </w:rPr>
        <w:t xml:space="preserve">آغاز: فرجل يدعى الشعر و يقول أن الأوائل ذكروه و اثنوا عليه ... فوضعت هذا الكتاب قانونا للمسترشدین و علما منيرا للسالكين ... اما المقدمة فنقول جدير بمن رام اشرف مطالب ان يكون سعيه افضل سعی بی کا، بی تا؛ جلد: مقوا عطف و لبه میشن قهوه ای،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سم [ف: ۲-۴۳۷]</w:t>
      </w:r>
    </w:p>
    <w:p>
      <w:pPr>
        <w:pStyle w:val="BookText"/>
      </w:pPr>
      <w:r>
        <w:rPr>
          <w:rFonts w:ascii="IRNazanin" w:hAnsi="IRNazanin" w:eastAsia="IRNazanin" w:cs="IRNazanin"/>
          <w:lang w:bidi="fa-IR"/>
          <w:color w:val="111111"/>
          <w:sz w:val="28"/>
          <w:szCs w:val="28"/>
          <w:rtl/>
        </w:rPr>
        <w:t xml:space="preserve">۸. مشهد؛ رضوی؛ شماره نسخه: ض۱۰۷۷۹</w:t>
      </w:r>
    </w:p>
    <w:p>
      <w:pPr>
        <w:pStyle w:val="BookText"/>
      </w:pPr>
      <w:r>
        <w:rPr>
          <w:rFonts w:ascii="IRNazanin" w:hAnsi="IRNazanin" w:eastAsia="IRNazanin" w:cs="IRNazanin"/>
          <w:lang w:bidi="fa-IR"/>
          <w:color w:val="111111"/>
          <w:sz w:val="28"/>
          <w:szCs w:val="28"/>
          <w:rtl/>
        </w:rPr>
        <w:t xml:space="preserve">خط: نستعلیق، بی کا، بی تا [الفبائی: ۸۹]</w:t>
      </w:r>
    </w:p>
    <w:p>
      <w:pPr>
        <w:pStyle w:val="BookText"/>
      </w:pPr>
      <w:r>
        <w:rPr>
          <w:rFonts w:ascii="IRNazanin" w:hAnsi="IRNazanin" w:eastAsia="IRNazanin" w:cs="IRNazanin"/>
          <w:lang w:bidi="fa-IR"/>
          <w:color w:val="111111"/>
          <w:sz w:val="28"/>
          <w:szCs w:val="28"/>
          <w:rtl/>
        </w:rPr>
        <w:t xml:space="preserve">۹. قم: مرکز مطالعات؛ شماره نسخه: ۹۳۲/۸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جلد: تیماج قهوه ای فاقد طبله اول،</w:t>
      </w:r>
    </w:p>
    <w:p>
      <w:pPr>
        <w:pStyle w:val="BookText"/>
      </w:pPr>
      <w:r>
        <w:rPr>
          <w:rFonts w:ascii="IRNazanin" w:hAnsi="IRNazanin" w:eastAsia="IRNazanin" w:cs="IRNazanin"/>
          <w:lang w:bidi="fa-IR"/>
          <w:color w:val="111111"/>
          <w:sz w:val="28"/>
          <w:szCs w:val="28"/>
          <w:rtl/>
        </w:rPr>
        <w:t xml:space="preserve">۲۵گ (۷۰-۹۵)، ۱۴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۲-۱۹۸]</w:t>
      </w:r>
    </w:p>
    <w:p>
      <w:pPr>
        <w:pStyle w:val="Heading3"/>
      </w:pPr>
      <w:bookmarkStart w:id="858" w:name="_Toc118"/>
      <w:r>
        <w:t>• بغية الرائد فيما تضمنه حديث أم زرع من الفوائد / شرح حديث / عربی</w:t>
      </w:r>
      <w:bookmarkEnd w:id="858"/>
    </w:p>
    <w:p>
      <w:pPr>
        <w:pStyle w:val="BookText"/>
      </w:pPr>
      <w:r>
        <w:rPr>
          <w:rFonts w:ascii="Times New Roman" w:hAnsi="Times New Roman" w:eastAsia="Times New Roman" w:cs="Times New Roman"/>
          <w:lang w:val="en-US" w:bidi="en-US"/>
          <w:color w:val="111111"/>
          <w:sz w:val="28"/>
          <w:szCs w:val="28"/>
          <w:rtl/>
        </w:rPr>
        <w:t xml:space="preserve">bugyat-ur rā’id fi-mā tadammana-hu hadīt-u umm-i zar min-al fawa'id</w:t>
      </w:r>
    </w:p>
    <w:p>
      <w:pPr>
        <w:pStyle w:val="BookText"/>
      </w:pPr>
      <w:r>
        <w:rPr>
          <w:rFonts w:ascii="IRNazanin" w:hAnsi="IRNazanin" w:eastAsia="IRNazanin" w:cs="IRNazanin"/>
          <w:lang w:bidi="fa-IR"/>
          <w:color w:val="111111"/>
          <w:sz w:val="28"/>
          <w:szCs w:val="28"/>
          <w:rtl/>
        </w:rPr>
        <w:t xml:space="preserve">قاضی عیاض، عیاض بن موسی، ۴۷۶؟ -۵۴۴ قمری</w:t>
      </w:r>
    </w:p>
    <w:p>
      <w:pPr>
        <w:pStyle w:val="BookText"/>
      </w:pPr>
      <w:r>
        <w:rPr>
          <w:rFonts w:ascii="Times New Roman" w:hAnsi="Times New Roman" w:eastAsia="Times New Roman" w:cs="Times New Roman"/>
          <w:lang w:val="en-US" w:bidi="en-US"/>
          <w:color w:val="111111"/>
          <w:sz w:val="28"/>
          <w:szCs w:val="28"/>
          <w:rtl/>
        </w:rPr>
        <w:t xml:space="preserve">qāzī eyāz, ‘eyāz ebn-e mūsā (1084-1150)</w:t>
      </w:r>
    </w:p>
    <w:p>
      <w:pPr>
        <w:pStyle w:val="BookText"/>
      </w:pPr>
      <w:r>
        <w:rPr>
          <w:rFonts w:ascii="IRNazanin" w:hAnsi="IRNazanin" w:eastAsia="IRNazanin" w:cs="IRNazanin"/>
          <w:lang w:bidi="fa-IR"/>
          <w:color w:val="111111"/>
          <w:sz w:val="28"/>
          <w:szCs w:val="28"/>
          <w:rtl/>
        </w:rPr>
        <w:t xml:space="preserve">در تفسير و شرح حديث أم زرع، داستان از این قرار است که یازده نفر از زنان در دوره جاهلیت با یکدیگر پیمان بسته بودند که تمام خصوصیات شوهرانشان را برای یکدیگر بدون کتمان هیچ مطلبی بیان کنند یکی از زنان «ام زرع» نام داشته و این حدیث به نام او مشهور است. این حدیث منقول در صحیح بخاری از نبی مکرم اسلام(صلی الله علیه وآله وسلم) است که خطاب به عایشه فرمود: «یا عایشه فانی کنت لک کابي زرع لأم زرع .... عناوین آن «فائدة، فائدة» ترتیب شده است: «الحدیث و سياقة متنه مع اختلاف نقلته و زيادة بعضهم على بعض في سرده، علة اسناده و شرح غريبه و عويص اعرابه و معانی فصوله و ما يتعلق به من فقه و تنقدح منه من فائدة».</w:t>
      </w:r>
    </w:p>
    <w:p>
      <w:pPr>
        <w:pStyle w:val="BookText"/>
      </w:pPr>
      <w:r>
        <w:rPr>
          <w:rFonts w:ascii="IRNazanin" w:hAnsi="IRNazanin" w:eastAsia="IRNazanin" w:cs="IRNazanin"/>
          <w:lang w:bidi="fa-IR"/>
          <w:color w:val="111111"/>
          <w:sz w:val="28"/>
          <w:szCs w:val="28"/>
          <w:rtl/>
        </w:rPr>
        <w:t xml:space="preserve">آغاز: قال الفقيه الاجل القاضي الحافظ ابو الفضل عياض بن موسی بن عیاض</w:t>
      </w:r>
    </w:p>
    <w:p>
      <w:pPr>
        <w:pStyle w:val="BookText"/>
      </w:pPr>
      <w:r>
        <w:rPr>
          <w:rFonts w:ascii="IRNazanin" w:hAnsi="IRNazanin" w:eastAsia="IRNazanin" w:cs="IRNazanin"/>
          <w:lang w:bidi="fa-IR"/>
          <w:color w:val="111111"/>
          <w:sz w:val="28"/>
          <w:szCs w:val="28"/>
          <w:rtl/>
        </w:rPr>
        <w:t xml:space="preserve">انجام: وعلى الله جل اسمه الاعتماد ... و صلواته على مصطفاه من خلقه محمد نبیه وعلى اله وسلامه كثيرا ...</w:t>
      </w:r>
    </w:p>
    <w:p>
      <w:pPr>
        <w:pStyle w:val="BookText"/>
      </w:pPr>
      <w:r>
        <w:rPr>
          <w:rFonts w:ascii="IRNazanin" w:hAnsi="IRNazanin" w:eastAsia="IRNazanin" w:cs="IRNazanin"/>
          <w:lang w:bidi="fa-IR"/>
          <w:color w:val="111111"/>
          <w:sz w:val="28"/>
          <w:szCs w:val="28"/>
          <w:rtl/>
        </w:rPr>
        <w:t xml:space="preserve">چاپ: قاهره، محقق: صلاح الدين بن احمد الادلبي و محمد الحسن اجانف ومحمد عبد السلام الشرقاوي، مكتبة ابن تيمية، چاپ ۲۲۳۹ ص، ۱۹۸۲م.</w:t>
      </w:r>
    </w:p>
    <w:p>
      <w:pPr>
        <w:pStyle w:val="BookText"/>
      </w:pPr>
      <w:r>
        <w:rPr>
          <w:rFonts w:ascii="IRNazanin" w:hAnsi="IRNazanin" w:eastAsia="IRNazanin" w:cs="IRNazanin"/>
          <w:lang w:bidi="fa-IR"/>
          <w:color w:val="111111"/>
          <w:sz w:val="28"/>
          <w:szCs w:val="28"/>
          <w:rtl/>
        </w:rPr>
        <w:t xml:space="preserve">[وفيات الأعيان ۴۸۳/۳ ، کشف الظنون ۲۴۸/۱ ؛ هدية العارفین ۸۰۵/۱ بروکلمان 1/ (۳۷۰) ۴۵۶]</w:t>
      </w:r>
    </w:p>
    <w:p>
      <w:pPr>
        <w:pStyle w:val="BookText"/>
      </w:pPr>
      <w:r>
        <w:rPr>
          <w:rFonts w:ascii="IRNazanin" w:hAnsi="IRNazanin" w:eastAsia="IRNazanin" w:cs="IRNazanin"/>
          <w:lang w:bidi="fa-IR"/>
          <w:color w:val="111111"/>
          <w:sz w:val="28"/>
          <w:szCs w:val="28"/>
          <w:rtl/>
        </w:rPr>
        <w:t xml:space="preserve">قم؛ مرعشی؛ شماره نسخه: ۲۳۲عکسی</w:t>
      </w:r>
    </w:p>
    <w:p>
      <w:pPr>
        <w:pStyle w:val="BookText"/>
      </w:pPr>
      <w:r>
        <w:rPr>
          <w:rFonts w:ascii="IRNazanin" w:hAnsi="IRNazanin" w:eastAsia="IRNazanin" w:cs="IRNazanin"/>
          <w:lang w:bidi="fa-IR"/>
          <w:color w:val="111111"/>
          <w:sz w:val="28"/>
          <w:szCs w:val="28"/>
          <w:rtl/>
        </w:rPr>
        <w:t xml:space="preserve">آغاز و انجام: برابر نسخه اصل: ظاهریه دمشق ش ۸۶۴۷ (الالبانی، فهرس الحديث /۳۷۵)؛ خط: نسخ، بی کا، تا: احتمالا قرن ۸؛ مصحح، با نشان بلاغ؛ مهر اهدائی ورثه امیر طاهر حسني جزائری به دارالکتب الظاهريه؛</w:t>
      </w:r>
    </w:p>
    <w:p>
      <w:pPr>
        <w:pStyle w:val="BookText"/>
      </w:pPr>
      <w:r>
        <w:rPr>
          <w:rFonts w:ascii="IRNazanin" w:hAnsi="IRNazanin" w:eastAsia="IRNazanin" w:cs="IRNazanin"/>
          <w:lang w:bidi="fa-IR"/>
          <w:color w:val="111111"/>
          <w:sz w:val="28"/>
          <w:szCs w:val="28"/>
          <w:rtl/>
        </w:rPr>
        <w:t xml:space="preserve">۸۷گ، ۱۷ سطر [عکسی ف: ۱-۲۱۳]</w:t>
      </w:r>
    </w:p>
    <w:p>
      <w:pPr>
        <w:pStyle w:val="BookText"/>
      </w:pPr>
      <w:r>
        <w:rPr>
          <w:rFonts w:ascii="IRNazanin" w:hAnsi="IRNazanin" w:eastAsia="IRNazanin" w:cs="IRNazanin"/>
          <w:lang w:bidi="fa-IR"/>
          <w:color w:val="111111"/>
          <w:sz w:val="28"/>
          <w:szCs w:val="28"/>
          <w:rtl/>
        </w:rPr>
        <w:t xml:space="preserve">قم: مرکز مطالعات؛ شماره نسخه: ۱۰۴۱-عکسی</w:t>
      </w:r>
    </w:p>
    <w:p>
      <w:pPr>
        <w:pStyle w:val="BookText"/>
      </w:pPr>
      <w:r>
        <w:rPr>
          <w:rFonts w:ascii="IRNazanin" w:hAnsi="IRNazanin" w:eastAsia="IRNazanin" w:cs="IRNazanin"/>
          <w:lang w:bidi="fa-IR"/>
          <w:color w:val="111111"/>
          <w:sz w:val="28"/>
          <w:szCs w:val="28"/>
          <w:rtl/>
        </w:rPr>
        <w:t xml:space="preserve">نسخه اصل: همان نسخه بالا [ف: ۲-۲۹۳]</w:t>
      </w:r>
    </w:p>
    <w:p>
      <w:pPr>
        <w:pStyle w:val="Heading3"/>
      </w:pPr>
      <w:bookmarkStart w:id="859" w:name="_Toc119"/>
      <w:r>
        <w:t>• بغية الراغب في شرح مرشدة الطالب / حساب /عربی</w:t>
      </w:r>
      <w:bookmarkEnd w:id="859"/>
    </w:p>
    <w:p>
      <w:pPr>
        <w:pStyle w:val="BookText"/>
      </w:pPr>
      <w:r>
        <w:rPr>
          <w:rFonts w:ascii="Times New Roman" w:hAnsi="Times New Roman" w:eastAsia="Times New Roman" w:cs="Times New Roman"/>
          <w:lang w:val="en-US" w:bidi="en-US"/>
          <w:color w:val="111111"/>
          <w:sz w:val="28"/>
          <w:szCs w:val="28"/>
          <w:rtl/>
        </w:rPr>
        <w:t xml:space="preserve">buyyat-ur ragib fi S.-i mursidat-it talib</w:t>
      </w:r>
    </w:p>
    <w:p>
      <w:pPr>
        <w:pStyle w:val="BookText"/>
      </w:pPr>
      <w:r>
        <w:rPr>
          <w:rFonts w:ascii="IRNazanin" w:hAnsi="IRNazanin" w:eastAsia="IRNazanin" w:cs="IRNazanin"/>
          <w:lang w:bidi="fa-IR"/>
          <w:color w:val="111111"/>
          <w:sz w:val="28"/>
          <w:szCs w:val="28"/>
          <w:rtl/>
        </w:rPr>
        <w:t xml:space="preserve">شنشوری، عبدالله بن محمد، ۹۳۵-۹۹۹ قمری</w:t>
      </w:r>
    </w:p>
    <w:p>
      <w:pPr>
        <w:pStyle w:val="BookText"/>
      </w:pPr>
      <w:r>
        <w:rPr>
          <w:rFonts w:ascii="Times New Roman" w:hAnsi="Times New Roman" w:eastAsia="Times New Roman" w:cs="Times New Roman"/>
          <w:lang w:val="en-US" w:bidi="en-US"/>
          <w:color w:val="111111"/>
          <w:sz w:val="28"/>
          <w:szCs w:val="28"/>
          <w:rtl/>
        </w:rPr>
        <w:t xml:space="preserve">šanšūrī, 'abd-ol-lāh ebn-e mohammad (1529-1591)</w:t>
      </w:r>
    </w:p>
    <w:p>
      <w:pPr>
        <w:pStyle w:val="BookText"/>
      </w:pPr>
      <w:r>
        <w:rPr>
          <w:rFonts w:ascii="IRNazanin" w:hAnsi="IRNazanin" w:eastAsia="IRNazanin" w:cs="IRNazanin"/>
          <w:lang w:bidi="fa-IR"/>
          <w:color w:val="111111"/>
          <w:sz w:val="28"/>
          <w:szCs w:val="28"/>
          <w:rtl/>
        </w:rPr>
        <w:t xml:space="preserve">برای شاگردان خود (دیباچه). متن از ابن الهائم است.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4" w:name="pg20363_209194"/>
    <w:bookmarkEnd w:id="44"/>
    <w:p>
      <w:pPr>
        <w:pStyle w:val="BookText"/>
      </w:pPr>
      <w:r>
        <w:rPr>
          <w:rFonts w:ascii="IRNazanin" w:hAnsi="IRNazanin" w:eastAsia="IRNazanin" w:cs="IRNazanin"/>
          <w:lang w:bidi="fa-IR"/>
          <w:color w:val="111111"/>
          <w:sz w:val="28"/>
          <w:szCs w:val="28"/>
          <w:rtl/>
        </w:rPr>
        <w:t xml:space="preserve">مخطوطات مصوره ۲۵؛ بروکلمان ۱۲۵/۲ ]</w:t>
      </w:r>
    </w:p>
    <w:p>
      <w:pPr>
        <w:pStyle w:val="BookText"/>
      </w:pPr>
      <w:r>
        <w:rPr>
          <w:rFonts w:ascii="IRNazanin" w:hAnsi="IRNazanin" w:eastAsia="IRNazanin" w:cs="IRNazanin"/>
          <w:lang w:bidi="fa-IR"/>
          <w:color w:val="111111"/>
          <w:sz w:val="28"/>
          <w:szCs w:val="28"/>
          <w:rtl/>
        </w:rPr>
        <w:t xml:space="preserve">هران؛ ملک؛ شماره نسخه: ۳۴۳۷/۳</w:t>
      </w:r>
    </w:p>
    <w:p>
      <w:pPr>
        <w:pStyle w:val="BookText"/>
      </w:pPr>
      <w:r>
        <w:rPr>
          <w:rFonts w:ascii="IRNazanin" w:hAnsi="IRNazanin" w:eastAsia="IRNazanin" w:cs="IRNazanin"/>
          <w:lang w:bidi="fa-IR"/>
          <w:color w:val="111111"/>
          <w:sz w:val="28"/>
          <w:szCs w:val="28"/>
          <w:rtl/>
        </w:rPr>
        <w:t xml:space="preserve">آغاز: الحمدلله حق حمده ... و بعد فيقول ... عبدالله بن الشيخ العلامة بهاء الدين محمد الشنتوری؛ انجام: او قسمة صحي و کسرا على صحیح و کسر ...</w:t>
      </w:r>
    </w:p>
    <w:p>
      <w:pPr>
        <w:pStyle w:val="BookText"/>
      </w:pPr>
      <w:r>
        <w:rPr>
          <w:rFonts w:ascii="IRNazanin" w:hAnsi="IRNazanin" w:eastAsia="IRNazanin" w:cs="IRNazanin"/>
          <w:lang w:bidi="fa-IR"/>
          <w:color w:val="111111"/>
          <w:sz w:val="28"/>
          <w:szCs w:val="28"/>
          <w:rtl/>
        </w:rPr>
        <w:t xml:space="preserve">خط: نسخ و نستعلیق، کا: بدر الدين محمد بن محمد مناشیری شافعی، بی تا؛ افتادگی: انجام کاغذ: پسته ای، جلد: رویه میشن سبز، ۹۰گ (۵پ -۹۴پ)، ۱۸ و ۲۳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سم [ف: ۴۱۵-۶ ]</w:t>
      </w:r>
    </w:p>
    <w:p>
      <w:pPr>
        <w:pStyle w:val="Heading3"/>
      </w:pPr>
      <w:bookmarkStart w:id="860" w:name="_Toc120"/>
      <w:r>
        <w:t>• بغية الراغبين = احكام كثير الشك / فقه / عربی</w:t>
      </w:r>
      <w:bookmarkEnd w:id="860"/>
    </w:p>
    <w:p>
      <w:pPr>
        <w:pStyle w:val="BookText"/>
      </w:pPr>
      <w:r>
        <w:rPr>
          <w:rFonts w:ascii="Times New Roman" w:hAnsi="Times New Roman" w:eastAsia="Times New Roman" w:cs="Times New Roman"/>
          <w:lang w:val="en-US" w:bidi="en-US"/>
          <w:color w:val="111111"/>
          <w:sz w:val="28"/>
          <w:szCs w:val="28"/>
          <w:rtl/>
        </w:rPr>
        <w:t xml:space="preserve">buġyat-ur rāġibīn = ahkām-u katīr-iš šakk</w:t>
      </w:r>
    </w:p>
    <w:p>
      <w:pPr>
        <w:pStyle w:val="BookText"/>
      </w:pPr>
      <w:r>
        <w:rPr>
          <w:rFonts w:ascii="IRNazanin" w:hAnsi="IRNazanin" w:eastAsia="IRNazanin" w:cs="IRNazanin"/>
          <w:lang w:bidi="fa-IR"/>
          <w:color w:val="111111"/>
          <w:sz w:val="28"/>
          <w:szCs w:val="28"/>
          <w:rtl/>
        </w:rPr>
        <w:t xml:space="preserve">ابن فهد حلی، احمد بن محمد، ۷۵۷؟ -۸۴۱ قمری</w:t>
      </w:r>
    </w:p>
    <w:p>
      <w:pPr>
        <w:pStyle w:val="BookText"/>
      </w:pPr>
      <w:r>
        <w:rPr>
          <w:rFonts w:ascii="Times New Roman" w:hAnsi="Times New Roman" w:eastAsia="Times New Roman" w:cs="Times New Roman"/>
          <w:lang w:val="en-US" w:bidi="en-US"/>
          <w:color w:val="111111"/>
          <w:sz w:val="28"/>
          <w:szCs w:val="28"/>
          <w:rtl/>
        </w:rPr>
        <w:t xml:space="preserve">ebn-e fahad-e hellī, ahmad ebn-e mohammad (1357 1438)</w:t>
      </w:r>
    </w:p>
    <w:p>
      <w:pPr>
        <w:pStyle w:val="BookText"/>
      </w:pPr>
      <w:r>
        <w:rPr>
          <w:rFonts w:ascii="IRNazanin" w:hAnsi="IRNazanin" w:eastAsia="IRNazanin" w:cs="IRNazanin"/>
          <w:lang w:bidi="fa-IR"/>
          <w:color w:val="111111"/>
          <w:sz w:val="28"/>
          <w:szCs w:val="28"/>
          <w:rtl/>
        </w:rPr>
        <w:t xml:space="preserve">تاریخ تأليف: ۱۵ ذیحجه ۸۱۸ق رساله ای مختصر که در آن احکام شخص کثیر الشک در نماز به همراه مختصر ادله و استدلالی بیان شده است. شامل یک «مقدمه» و «قاعده» شامل شش «باب» و «تکمیل»..</w:t>
      </w:r>
    </w:p>
    <w:p>
      <w:pPr>
        <w:pStyle w:val="BookText"/>
      </w:pPr>
      <w:r>
        <w:rPr>
          <w:rFonts w:ascii="IRNazanin" w:hAnsi="IRNazanin" w:eastAsia="IRNazanin" w:cs="IRNazanin"/>
          <w:lang w:bidi="fa-IR"/>
          <w:color w:val="111111"/>
          <w:sz w:val="28"/>
          <w:szCs w:val="28"/>
          <w:rtl/>
        </w:rPr>
        <w:t xml:space="preserve">آغاز: الحمدلله المتعالی بوجوب وجوده عن الأضداد والانداد والمقدس لكماله الدال على الصاحبته والوالد والاولاد الذي لایدر که ... اما بعد فلما كان من اهم المهمات واولاها واجل المطالب واعلاها</w:t>
      </w:r>
    </w:p>
    <w:p>
      <w:pPr>
        <w:pStyle w:val="BookText"/>
      </w:pPr>
      <w:r>
        <w:rPr>
          <w:rFonts w:ascii="IRNazanin" w:hAnsi="IRNazanin" w:eastAsia="IRNazanin" w:cs="IRNazanin"/>
          <w:lang w:bidi="fa-IR"/>
          <w:color w:val="111111"/>
          <w:sz w:val="28"/>
          <w:szCs w:val="28"/>
          <w:rtl/>
        </w:rPr>
        <w:t xml:space="preserve">انجام: اذا لم يكن من أولي الألباب المجتهدين فليس المعصوم الا من عصمه الله عزوجل من عباده المؤمنین و مقربی حضرته المكرمين، تمت</w:t>
      </w:r>
    </w:p>
    <w:p>
      <w:pPr>
        <w:pStyle w:val="BookText"/>
      </w:pPr>
      <w:r>
        <w:rPr>
          <w:rFonts w:ascii="IRNazanin" w:hAnsi="IRNazanin" w:eastAsia="IRNazanin" w:cs="IRNazanin"/>
          <w:lang w:bidi="fa-IR"/>
          <w:color w:val="111111"/>
          <w:sz w:val="28"/>
          <w:szCs w:val="28"/>
          <w:rtl/>
        </w:rPr>
        <w:t xml:space="preserve">۱. قم؛ مسجد اعظم؛ شماره نسخه: ۳۰۵۱/۶</w:t>
      </w:r>
    </w:p>
    <w:p>
      <w:pPr>
        <w:pStyle w:val="BookText"/>
      </w:pPr>
      <w:r>
        <w:rPr>
          <w:rFonts w:ascii="IRNazanin" w:hAnsi="IRNazanin" w:eastAsia="IRNazanin" w:cs="IRNazanin"/>
          <w:lang w:bidi="fa-IR"/>
          <w:color w:val="111111"/>
          <w:sz w:val="28"/>
          <w:szCs w:val="28"/>
          <w:rtl/>
        </w:rPr>
        <w:t xml:space="preserve">آغاز: برابر؛ انجام: و ثانيهما أن الظن ترجح احد الطرفين اعني الطرف الوجود وطرف العدم في الدهر ترجيحا غير مانع من التبعیض و بالاخير لخرج اعتقاد الجازم ...</w:t>
      </w:r>
    </w:p>
    <w:p>
      <w:pPr>
        <w:pStyle w:val="BookText"/>
      </w:pPr>
      <w:r>
        <w:rPr>
          <w:rFonts w:ascii="IRNazanin" w:hAnsi="IRNazanin" w:eastAsia="IRNazanin" w:cs="IRNazanin"/>
          <w:lang w:bidi="fa-IR"/>
          <w:color w:val="111111"/>
          <w:sz w:val="28"/>
          <w:szCs w:val="28"/>
          <w:rtl/>
        </w:rPr>
        <w:t xml:space="preserve">نام مؤلف به استناد فهرست مدرسه نواب ص ۱۶۸ ذکر شد؛ خط: نستعلیق، كا: لطف الله بن أنوشروان، تا: قرن ۱۰؛ مصحح، در لابه لای نسخه فواید فقهی در سؤال و جواب و احادیث و در ادامه نیز فوایدی از همان کاتب آمده؛ ۲گ، ۱۶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آف مخ: ۱-۶۸]</w:t>
      </w:r>
    </w:p>
    <w:p>
      <w:pPr>
        <w:pStyle w:val="BookText"/>
      </w:pPr>
      <w:r>
        <w:rPr>
          <w:rFonts w:ascii="IRNazanin" w:hAnsi="IRNazanin" w:eastAsia="IRNazanin" w:cs="IRNazanin"/>
          <w:lang w:bidi="fa-IR"/>
          <w:color w:val="111111"/>
          <w:sz w:val="28"/>
          <w:szCs w:val="28"/>
          <w:rtl/>
        </w:rPr>
        <w:t xml:space="preserve">۲. تهران؛ ملک؛ شماره نسخه: ۲۷۰۶/۴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نام مؤلف به استناد فهرست مدرسه نواب ص ۱۶۸ ذکر شد؛ خط: نسخ، بی کا، تا قرن ۱۲؛ کاغذ: ترمه، جلد: میشن آلبالویی لایی، ۳۵گ (۴۹پ -۸۳ر)، ۱۴ و ۱۸ سطر، اندازه: ۱۸/۶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[ف: ۶-۹۶]</w:t>
      </w:r>
    </w:p>
    <w:p>
      <w:pPr>
        <w:pStyle w:val="BookText"/>
      </w:pPr>
      <w:r>
        <w:rPr>
          <w:rFonts w:ascii="IRNazanin" w:hAnsi="IRNazanin" w:eastAsia="IRNazanin" w:cs="IRNazanin"/>
          <w:lang w:bidi="fa-IR"/>
          <w:color w:val="111111"/>
          <w:sz w:val="28"/>
          <w:szCs w:val="28"/>
          <w:rtl/>
        </w:rPr>
        <w:t xml:space="preserve">٣. مشهد؛ نواب؛ شماره نسخه: ۱۸۸/۵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زیبا، بی کا، بی تا، به شیوه هندی، در پشت صفحه اول این رساله آمده: «قد نظر فيه احقر الطلبه الى ربه المجيد محمد مکی بن محمد بن شمس الدين الحسن زين الدين من ذرية الشريف السعيد الشريف شمس الدين محمد بن مکی المطلبی العاملی قدس سره، سنه ۱۱۷۲ق»؛ جلد: عنابی ضربی، ۱۶ص (۴۱ ۵۶)، ۳۲ سطر [ف: ۱۶۸]</w:t>
      </w:r>
    </w:p>
    <w:p>
      <w:pPr>
        <w:pStyle w:val="Heading3"/>
      </w:pPr>
      <w:bookmarkStart w:id="861" w:name="_Toc121"/>
      <w:r>
        <w:t>• بغية الطالب / رجال / عربی</w:t>
      </w:r>
      <w:bookmarkEnd w:id="861"/>
    </w:p>
    <w:p>
      <w:pPr>
        <w:pStyle w:val="BookText"/>
      </w:pPr>
      <w:r>
        <w:rPr>
          <w:rFonts w:ascii="Times New Roman" w:hAnsi="Times New Roman" w:eastAsia="Times New Roman" w:cs="Times New Roman"/>
          <w:lang w:val="en-US" w:bidi="en-US"/>
          <w:color w:val="111111"/>
          <w:sz w:val="28"/>
          <w:szCs w:val="28"/>
          <w:rtl/>
        </w:rPr>
        <w:t xml:space="preserve">bugyat-ut talib</w:t>
      </w:r>
    </w:p>
    <w:p>
      <w:pPr>
        <w:pStyle w:val="BookText"/>
      </w:pPr>
      <w:r>
        <w:rPr>
          <w:rFonts w:ascii="IRNazanin" w:hAnsi="IRNazanin" w:eastAsia="IRNazanin" w:cs="IRNazanin"/>
          <w:lang w:bidi="fa-IR"/>
          <w:color w:val="111111"/>
          <w:sz w:val="28"/>
          <w:szCs w:val="28"/>
          <w:rtl/>
        </w:rPr>
        <w:t xml:space="preserve">اهدل، طاهر بن حسین، ۹۱۴-۹۹۸ قمری</w:t>
      </w:r>
    </w:p>
    <w:p>
      <w:pPr>
        <w:pStyle w:val="BookText"/>
      </w:pPr>
      <w:r>
        <w:rPr>
          <w:rFonts w:ascii="Times New Roman" w:hAnsi="Times New Roman" w:eastAsia="Times New Roman" w:cs="Times New Roman"/>
          <w:lang w:val="en-US" w:bidi="en-US"/>
          <w:color w:val="111111"/>
          <w:sz w:val="28"/>
          <w:szCs w:val="28"/>
          <w:rtl/>
        </w:rPr>
        <w:t xml:space="preserve">ahdal, tāher ebn-e hoseyn (1509-1590)</w:t>
      </w:r>
    </w:p>
    <w:p>
      <w:pPr>
        <w:pStyle w:val="BookText"/>
      </w:pPr>
      <w:r>
        <w:rPr>
          <w:rFonts w:ascii="IRNazanin" w:hAnsi="IRNazanin" w:eastAsia="IRNazanin" w:cs="IRNazanin"/>
          <w:lang w:bidi="fa-IR"/>
          <w:color w:val="111111"/>
          <w:sz w:val="28"/>
          <w:szCs w:val="28"/>
          <w:rtl/>
        </w:rPr>
        <w:t xml:space="preserve">کتاب مختصری است درباره انساب و اولاد امیر مؤمنان حضرت علی که از کتاب ابو زکریا یحیی بن ابوبکر عامری ضمن دو فصل» و یک «خاتمه» انتخاب و نگاشته شده است. در ایضاح المكنون (ج ۱ص ۱۸۸) از محمد بن طاهر ابن بحر حسني يمنی (۱۰۸۳ق) دانسته است ولی در نسخه عکسی مرعشی به نام اهدل تصریح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کرمانشاه؛ جلیلی؛ شماره نسخه: ۱۱۵</w:t>
      </w:r>
    </w:p>
    <w:p>
      <w:pPr>
        <w:pStyle w:val="BookText"/>
      </w:pPr>
      <w:r>
        <w:rPr>
          <w:rFonts w:ascii="IRNazanin" w:hAnsi="IRNazanin" w:eastAsia="IRNazanin" w:cs="IRNazanin"/>
          <w:lang w:bidi="fa-IR"/>
          <w:color w:val="111111"/>
          <w:sz w:val="28"/>
          <w:szCs w:val="28"/>
          <w:rtl/>
        </w:rPr>
        <w:t xml:space="preserve">آغاز: الحمدلله حمدا يوافي نعمه و يكافی مزيده و الصلوة و السلام على سيدنا محمد و آله و صحبه الكرام؛ انجام: و انما اشتبهت عليه النزول هذه الشبهة و الله الموفق للصواب واليه الرغبة في العفو و المآب ... و قد نسختها من نسخت نسخت من نسخة نسخت من نسخة نسخت تاریخها سنه ستة و اربعین و تسعمائة منقوله من خط السيد الفخار بن محمد بن فخار</w:t>
      </w:r>
    </w:p>
    <w:p>
      <w:pPr>
        <w:pStyle w:val="BookText"/>
      </w:pPr>
      <w:r>
        <w:rPr>
          <w:rFonts w:ascii="IRNazanin" w:hAnsi="IRNazanin" w:eastAsia="IRNazanin" w:cs="IRNazanin"/>
          <w:lang w:bidi="fa-IR"/>
          <w:color w:val="111111"/>
          <w:sz w:val="28"/>
          <w:szCs w:val="28"/>
          <w:rtl/>
        </w:rPr>
        <w:t xml:space="preserve">خط: نسخ عربی، بی کا، تا: نیمه رجب ۱۰۹۲ق؛ تملك: على بن شیخ صالح بن زین الدین احسایی؛ کاغذ: نخودی فرنگی، جلد: تیماج تریاکی، ۳۵ گ، ۲۲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۴۴]</w:t>
      </w:r>
    </w:p>
    <w:p>
      <w:pPr>
        <w:pStyle w:val="BookText"/>
      </w:pPr>
      <w:r>
        <w:rPr>
          <w:rFonts w:ascii="IRNazanin" w:hAnsi="IRNazanin" w:eastAsia="IRNazanin" w:cs="IRNazanin"/>
          <w:lang w:bidi="fa-IR"/>
          <w:color w:val="111111"/>
          <w:sz w:val="28"/>
          <w:szCs w:val="28"/>
          <w:rtl/>
        </w:rPr>
        <w:t xml:space="preserve">۲. قم؛ مرعشی؛ شماره نسخه: ۱۵۱۵/۲</w:t>
      </w:r>
    </w:p>
    <w:p>
      <w:pPr>
        <w:pStyle w:val="BookText"/>
      </w:pPr>
      <w:r>
        <w:rPr>
          <w:rFonts w:ascii="IRNazanin" w:hAnsi="IRNazanin" w:eastAsia="IRNazanin" w:cs="IRNazanin"/>
          <w:lang w:bidi="fa-IR"/>
          <w:color w:val="111111"/>
          <w:sz w:val="28"/>
          <w:szCs w:val="28"/>
          <w:rtl/>
        </w:rPr>
        <w:t xml:space="preserve">عکسی آغاز: بسمله. و به نستعن الحمد لله رب العالمين يقول العبد الفقير الى كرم الله عزوجل الطاهرين حسين بن عبدالرحمن الأهدل أصلح الله سريرته و نور بصيرته امین الحمد لله الذي رفع أهل بيت محمد صلى الله عليه و آله و سلم اعلا المراتب خط: نسخ، بی کا، تا: قرن ۱۲؛ رکابه دار، مصحح؛ ۲۰ص (۷-۲۶)، ۲۹-۲۵ سطر [عکسی ف: ۴-۴۲۶]</w:t>
      </w:r>
    </w:p>
    <w:p>
      <w:pPr>
        <w:pStyle w:val="Heading3"/>
      </w:pPr>
      <w:bookmarkStart w:id="862" w:name="_Toc122"/>
      <w:r>
        <w:t>• بغية الطالب في ایمان ابی طالب / كلام و اعتقادات / عربی</w:t>
      </w:r>
      <w:bookmarkEnd w:id="862"/>
    </w:p>
    <w:p>
      <w:pPr>
        <w:pStyle w:val="BookText"/>
      </w:pPr>
      <w:r>
        <w:rPr>
          <w:rFonts w:ascii="Times New Roman" w:hAnsi="Times New Roman" w:eastAsia="Times New Roman" w:cs="Times New Roman"/>
          <w:lang w:val="en-US" w:bidi="en-US"/>
          <w:color w:val="111111"/>
          <w:sz w:val="28"/>
          <w:szCs w:val="28"/>
          <w:rtl/>
        </w:rPr>
        <w:t xml:space="preserve">buyyat-ut talib fi Iman-i abi-talib</w:t>
      </w:r>
    </w:p>
    <w:p>
      <w:pPr>
        <w:pStyle w:val="BookText"/>
      </w:pPr>
      <w:r>
        <w:rPr>
          <w:rFonts w:ascii="IRNazanin" w:hAnsi="IRNazanin" w:eastAsia="IRNazanin" w:cs="IRNazanin"/>
          <w:lang w:bidi="fa-IR"/>
          <w:color w:val="111111"/>
          <w:sz w:val="28"/>
          <w:szCs w:val="28"/>
          <w:rtl/>
        </w:rPr>
        <w:t xml:space="preserve">برزنجی، محمد بن عبدالرسول، ۱۰۴۰-۱۱۰۳ قمری</w:t>
      </w:r>
    </w:p>
    <w:p>
      <w:pPr>
        <w:pStyle w:val="BookText"/>
      </w:pPr>
      <w:r>
        <w:rPr>
          <w:rFonts w:ascii="Times New Roman" w:hAnsi="Times New Roman" w:eastAsia="Times New Roman" w:cs="Times New Roman"/>
          <w:lang w:val="en-US" w:bidi="en-US"/>
          <w:color w:val="111111"/>
          <w:sz w:val="28"/>
          <w:szCs w:val="28"/>
          <w:rtl/>
        </w:rPr>
        <w:t xml:space="preserve">barzanjī, mohammad ebn-e ‘abd-or-rasūl (1631-1692)</w:t>
      </w:r>
    </w:p>
    <w:p>
      <w:pPr>
        <w:pStyle w:val="BookText"/>
      </w:pPr>
      <w:r>
        <w:rPr>
          <w:rFonts w:ascii="IRNazanin" w:hAnsi="IRNazanin" w:eastAsia="IRNazanin" w:cs="IRNazanin"/>
          <w:lang w:bidi="fa-IR"/>
          <w:color w:val="111111"/>
          <w:sz w:val="28"/>
          <w:szCs w:val="28"/>
          <w:rtl/>
        </w:rPr>
        <w:t xml:space="preserve">در اثبات ایمان حضرت ابوطالب والد ماجد حضرت امیر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5" w:name="pg20363_209195"/>
    <w:bookmarkEnd w:id="45"/>
    <w:p>
      <w:pPr>
        <w:pStyle w:val="BookText"/>
      </w:pPr>
      <w:r>
        <w:rPr>
          <w:rFonts w:ascii="IRNazanin" w:hAnsi="IRNazanin" w:eastAsia="IRNazanin" w:cs="IRNazanin"/>
          <w:lang w:bidi="fa-IR"/>
          <w:color w:val="111111"/>
          <w:sz w:val="28"/>
          <w:szCs w:val="28"/>
          <w:rtl/>
        </w:rPr>
        <w:t xml:space="preserve">المؤمنین علی (عليه السلام).</w:t>
      </w:r>
    </w:p>
    <w:p>
      <w:pPr>
        <w:pStyle w:val="BookText"/>
      </w:pPr>
      <w:r>
        <w:rPr>
          <w:rFonts w:ascii="IRNazanin" w:hAnsi="IRNazanin" w:eastAsia="IRNazanin" w:cs="IRNazanin"/>
          <w:lang w:bidi="fa-IR"/>
          <w:color w:val="111111"/>
          <w:sz w:val="28"/>
          <w:szCs w:val="28"/>
          <w:rtl/>
        </w:rPr>
        <w:t xml:space="preserve">تهران؛ مجلس؛ شماره نسخه: ۱۵۵۰۹</w:t>
      </w:r>
    </w:p>
    <w:p>
      <w:pPr>
        <w:pStyle w:val="BookText"/>
      </w:pPr>
      <w:r>
        <w:rPr>
          <w:rFonts w:ascii="IRNazanin" w:hAnsi="IRNazanin" w:eastAsia="IRNazanin" w:cs="IRNazanin"/>
          <w:lang w:bidi="fa-IR"/>
          <w:color w:val="111111"/>
          <w:sz w:val="28"/>
          <w:szCs w:val="28"/>
          <w:rtl/>
        </w:rPr>
        <w:t xml:space="preserve">آغاز: بسم الله الرحمن الرحیم ملهم الصواب لذوي الألباب، الحمد الله رب العالمين ... اما بعد فانا لما اثبتنا نجاة الوالدين الشريفين بالادلة الثابتة ورودنا شبهات المعارضين ... في رسالة سميناها سداد الدين و سداد الدين احببنا أن تؤلف أخرى في أثبات نجاة عمه ابی طالب تتميما للفائدة؛ انجام: ختم الله لنا بالخير و الحسنی و فتح بنور منا العين الوسنا، امین.</w:t>
      </w:r>
    </w:p>
    <w:p>
      <w:pPr>
        <w:pStyle w:val="BookText"/>
      </w:pPr>
      <w:r>
        <w:rPr>
          <w:rFonts w:ascii="IRNazanin" w:hAnsi="IRNazanin" w:eastAsia="IRNazanin" w:cs="IRNazanin"/>
          <w:lang w:bidi="fa-IR"/>
          <w:color w:val="111111"/>
          <w:sz w:val="28"/>
          <w:szCs w:val="28"/>
          <w:rtl/>
        </w:rPr>
        <w:t xml:space="preserve">خط: نسخ، كان محمد سعید بن حسين قرشی کوکنی مدنی نقشبندی، تا: ۲۸ جمادی الثانی ۱۱۰۱ق، جا: دمشق شام؛ صورت اجازه مؤلف به شیخ عبدالرحمن خطيب نقل شده و سپس برای تأكيد اجازه، نسخه را مؤلف به خطيب هبه کرده است، بنابراین از صحه نظر مصنف گذشته است، خطیب مزبور نیز پس از استفادده آن را به نقیب سادات بعلبک اجازه روایت داده و نسخه را به جهت تحقق یافتن اجازه به او بخشیده است. این اجازه به خط خطیب در اواسط شعبان سال ۱۱۰۱ ثبت شده، اشعاری به فارسی به نظم کاتب آن و مالک نسخه لطفعلی بن محمد کاظم صدرالافاضل در اثبات ایمان ابوطالب(عليه السلام) و فهرستی مختصر از کتاب هایی که در ایمان حضرت ابوطالب تالیف شده و او در کتابخانه دارد؛ تملک: صدر الافاضل در رجب ۱۳۲۳؛ جلد: چرم قهوه ای، ۱۸ گ، ۲۵ سطر، اندازه: ۱۴/۹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۲۰/۵ سم [ف: ۴۳-۱۳۲]</w:t>
      </w:r>
    </w:p>
    <w:p>
      <w:pPr>
        <w:pStyle w:val="Heading3"/>
      </w:pPr>
      <w:bookmarkStart w:id="863" w:name="_Toc123"/>
      <w:r>
        <w:t>• بغية الطالب في شرح المكاسب / فقه / عربی</w:t>
      </w:r>
      <w:bookmarkEnd w:id="863"/>
    </w:p>
    <w:p>
      <w:pPr>
        <w:pStyle w:val="BookText"/>
      </w:pPr>
      <w:r>
        <w:rPr>
          <w:rFonts w:ascii="Times New Roman" w:hAnsi="Times New Roman" w:eastAsia="Times New Roman" w:cs="Times New Roman"/>
          <w:lang w:val="en-US" w:bidi="en-US"/>
          <w:color w:val="111111"/>
          <w:sz w:val="28"/>
          <w:szCs w:val="28"/>
          <w:rtl/>
        </w:rPr>
        <w:t xml:space="preserve">bugyat-ut talib fi S.-il makasib</w:t>
      </w:r>
    </w:p>
    <w:p>
      <w:pPr>
        <w:pStyle w:val="BookText"/>
      </w:pPr>
      <w:r>
        <w:rPr>
          <w:rFonts w:ascii="IRNazanin" w:hAnsi="IRNazanin" w:eastAsia="IRNazanin" w:cs="IRNazanin"/>
          <w:lang w:bidi="fa-IR"/>
          <w:color w:val="111111"/>
          <w:sz w:val="28"/>
          <w:szCs w:val="28"/>
          <w:rtl/>
        </w:rPr>
        <w:t xml:space="preserve">اشکوری، ابوالقاسم بن معصوم، ۱۳۲۵ قمری</w:t>
      </w:r>
    </w:p>
    <w:p>
      <w:pPr>
        <w:pStyle w:val="BookText"/>
      </w:pPr>
      <w:r>
        <w:rPr>
          <w:rFonts w:ascii="Times New Roman" w:hAnsi="Times New Roman" w:eastAsia="Times New Roman" w:cs="Times New Roman"/>
          <w:lang w:val="en-US" w:bidi="en-US"/>
          <w:color w:val="111111"/>
          <w:sz w:val="28"/>
          <w:szCs w:val="28"/>
          <w:rtl/>
        </w:rPr>
        <w:t xml:space="preserve">eškavarī, ab-ol-qāsem ebn-e ma‘sūm (-1907)</w:t>
      </w:r>
    </w:p>
    <w:p>
      <w:pPr>
        <w:pStyle w:val="BookText"/>
      </w:pPr>
      <w:r>
        <w:rPr>
          <w:rFonts w:ascii="IRNazanin" w:hAnsi="IRNazanin" w:eastAsia="IRNazanin" w:cs="IRNazanin"/>
          <w:lang w:bidi="fa-IR"/>
          <w:color w:val="111111"/>
          <w:sz w:val="28"/>
          <w:szCs w:val="28"/>
          <w:rtl/>
        </w:rPr>
        <w:t xml:space="preserve">وابسته به: المكاسب = المتاجر؛ انصاری، مرتضی بن محمد امین (۱۲۸۱-۱۲۱۴)</w:t>
      </w:r>
    </w:p>
    <w:p>
      <w:pPr>
        <w:pStyle w:val="BookText"/>
      </w:pPr>
      <w:r>
        <w:rPr>
          <w:rFonts w:ascii="IRNazanin" w:hAnsi="IRNazanin" w:eastAsia="IRNazanin" w:cs="IRNazanin"/>
          <w:lang w:bidi="fa-IR"/>
          <w:color w:val="111111"/>
          <w:sz w:val="28"/>
          <w:szCs w:val="28"/>
          <w:rtl/>
        </w:rPr>
        <w:t xml:space="preserve">کتاب بغية الطالب في شرح المكاسب یا بغية المكاسب شرحی است بر کتاب مکاسب شیخ مرتضی بن محمد امین انصاری (قرن ۱۳) نسخه حاضر مشتمل بر شرح کتاب بیع می باشد که پس از «جواهر العقول في شرح فرائد الاصول» خود ساخته است.</w:t>
      </w:r>
    </w:p>
    <w:p>
      <w:pPr>
        <w:pStyle w:val="BookText"/>
      </w:pPr>
      <w:r>
        <w:rPr>
          <w:rFonts w:ascii="IRNazanin" w:hAnsi="IRNazanin" w:eastAsia="IRNazanin" w:cs="IRNazanin"/>
          <w:lang w:bidi="fa-IR"/>
          <w:color w:val="111111"/>
          <w:sz w:val="28"/>
          <w:szCs w:val="28"/>
          <w:rtl/>
        </w:rPr>
        <w:t xml:space="preserve">آغاز: بسمله و حمدله ... و بعد فيقول العبد ... ابوالقاسم الاشکوری ... بعد ما فرغت من تأليف جواهر العقول ... خطر ببالی ان اشرح کتاب المكاسب</w:t>
      </w:r>
    </w:p>
    <w:p>
      <w:pPr>
        <w:pStyle w:val="BookText"/>
      </w:pPr>
      <w:r>
        <w:rPr>
          <w:rFonts w:ascii="IRNazanin" w:hAnsi="IRNazanin" w:eastAsia="IRNazanin" w:cs="IRNazanin"/>
          <w:lang w:bidi="fa-IR"/>
          <w:color w:val="111111"/>
          <w:sz w:val="28"/>
          <w:szCs w:val="28"/>
          <w:rtl/>
        </w:rPr>
        <w:t xml:space="preserve">چاپ: طهران، سنگی، ۱۳۲۲ق، رحلی، ۳۸۱ص</w:t>
      </w:r>
    </w:p>
    <w:p>
      <w:pPr>
        <w:pStyle w:val="BookText"/>
      </w:pPr>
      <w:r>
        <w:rPr>
          <w:rFonts w:ascii="IRNazanin" w:hAnsi="IRNazanin" w:eastAsia="IRNazanin" w:cs="IRNazanin"/>
          <w:lang w:bidi="fa-IR"/>
          <w:color w:val="111111"/>
          <w:sz w:val="28"/>
          <w:szCs w:val="28"/>
          <w:rtl/>
        </w:rPr>
        <w:t xml:space="preserve">[ريحانة الادب ۱۳۴/۱ ؛ نشریه ۱۰۷/۷ ؛ الذریعه ۱۳۳/۳ و ۲۷۲/۵ و ۲۱۷/۶ ؛ اعلام الشيعه ۷۶/۱ ؛ مشار عربی، ص</w:t>
      </w:r>
    </w:p>
    <w:p>
      <w:pPr>
        <w:pStyle w:val="BookText"/>
      </w:pPr>
      <w:r>
        <w:rPr>
          <w:rFonts w:ascii="IRNazanin" w:hAnsi="IRNazanin" w:eastAsia="IRNazanin" w:cs="IRNazanin"/>
          <w:lang w:bidi="fa-IR"/>
          <w:color w:val="111111"/>
          <w:sz w:val="28"/>
          <w:szCs w:val="28"/>
          <w:rtl/>
        </w:rPr>
        <w:t xml:space="preserve">۱۲۹]</w:t>
      </w:r>
    </w:p>
    <w:p>
      <w:pPr>
        <w:pStyle w:val="BookText"/>
      </w:pPr>
      <w:r>
        <w:rPr>
          <w:rFonts w:ascii="IRNazanin" w:hAnsi="IRNazanin" w:eastAsia="IRNazanin" w:cs="IRNazanin"/>
          <w:lang w:bidi="fa-IR"/>
          <w:color w:val="111111"/>
          <w:sz w:val="28"/>
          <w:szCs w:val="28"/>
          <w:rtl/>
        </w:rPr>
        <w:t xml:space="preserve">۱. قم؛ حجتیه؛ شماره نسخه: ۵۳۰/۲</w:t>
      </w:r>
    </w:p>
    <w:p>
      <w:pPr>
        <w:pStyle w:val="BookText"/>
      </w:pPr>
      <w:r>
        <w:rPr>
          <w:rFonts w:ascii="IRNazanin" w:hAnsi="IRNazanin" w:eastAsia="IRNazanin" w:cs="IRNazanin"/>
          <w:lang w:bidi="fa-IR"/>
          <w:color w:val="111111"/>
          <w:sz w:val="28"/>
          <w:szCs w:val="28"/>
          <w:rtl/>
        </w:rPr>
        <w:t xml:space="preserve">بخش بیع؛ خط: نسخ و نستعلیق، کا: حاج شیخ علی اکبر نهاوندی، تا: ۱۳۱۰ و ۱۳۱۲ق [ف: ۱۱۲]</w:t>
      </w:r>
    </w:p>
    <w:p>
      <w:pPr>
        <w:pStyle w:val="BookText"/>
      </w:pPr>
      <w:r>
        <w:rPr>
          <w:rFonts w:ascii="IRNazanin" w:hAnsi="IRNazanin" w:eastAsia="IRNazanin" w:cs="IRNazanin"/>
          <w:lang w:bidi="fa-IR"/>
          <w:color w:val="111111"/>
          <w:sz w:val="28"/>
          <w:szCs w:val="28"/>
          <w:rtl/>
        </w:rPr>
        <w:t xml:space="preserve">۲. تهران؛ ملی؛ شماره نسخه: ۳۲۳۰</w:t>
      </w:r>
    </w:p>
    <w:p>
      <w:pPr>
        <w:pStyle w:val="BookText"/>
      </w:pPr>
      <w:r>
        <w:rPr>
          <w:rFonts w:ascii="IRNazanin" w:hAnsi="IRNazanin" w:eastAsia="IRNazanin" w:cs="IRNazanin"/>
          <w:lang w:bidi="fa-IR"/>
          <w:color w:val="111111"/>
          <w:sz w:val="28"/>
          <w:szCs w:val="28"/>
          <w:rtl/>
        </w:rPr>
        <w:t xml:space="preserve">آغاز: برابر؛ انجام: و ان كان الثمن كذا زائد على المعتاد .... فاحسن الأقوال قول الشهيد حشره الله مع الشهداء هذا آخر الجزء الثاني من بغية المكاسب خط: نسخ، بی کا، تا: ۱۳۱۳ق؛ کاغذ: فرنگی شکری و نخودی،</w:t>
      </w:r>
    </w:p>
    <w:p>
      <w:pPr>
        <w:pStyle w:val="BookText"/>
      </w:pPr>
      <w:r>
        <w:rPr>
          <w:rFonts w:ascii="IRNazanin" w:hAnsi="IRNazanin" w:eastAsia="IRNazanin" w:cs="IRNazanin"/>
          <w:lang w:bidi="fa-IR"/>
          <w:color w:val="111111"/>
          <w:sz w:val="28"/>
          <w:szCs w:val="28"/>
          <w:rtl/>
        </w:rPr>
        <w:t xml:space="preserve">جلد: تیماج اناری ضربی مجدول مقوایی، ۳۷۷گ، ۲۰ سطر ( ۱۴/۷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۲۱/۲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۱۵-۳۵]</w:t>
      </w:r>
    </w:p>
    <w:p>
      <w:pPr>
        <w:pStyle w:val="BookText"/>
      </w:pPr>
      <w:r>
        <w:rPr>
          <w:rFonts w:ascii="IRNazanin" w:hAnsi="IRNazanin" w:eastAsia="IRNazanin" w:cs="IRNazanin"/>
          <w:lang w:bidi="fa-IR"/>
          <w:color w:val="111111"/>
          <w:sz w:val="28"/>
          <w:szCs w:val="28"/>
          <w:rtl/>
        </w:rPr>
        <w:t xml:space="preserve">تهران؛ مفتاح؛ شماره نسخه: ۲۶۱ همان نسخه بالا [نشریه: ۷-۱۰۷]</w:t>
      </w:r>
    </w:p>
    <w:p>
      <w:pPr>
        <w:pStyle w:val="Heading3"/>
      </w:pPr>
      <w:bookmarkStart w:id="864" w:name="_Toc124"/>
      <w:r>
        <w:t>• بغية الطالب في معرفة الضمير المطلوب / هیئت / عربی</w:t>
      </w:r>
      <w:bookmarkEnd w:id="864"/>
    </w:p>
    <w:p>
      <w:pPr>
        <w:pStyle w:val="BookText"/>
      </w:pPr>
      <w:r>
        <w:rPr>
          <w:rFonts w:ascii="Times New Roman" w:hAnsi="Times New Roman" w:eastAsia="Times New Roman" w:cs="Times New Roman"/>
          <w:lang w:val="en-US" w:bidi="en-US"/>
          <w:color w:val="111111"/>
          <w:sz w:val="28"/>
          <w:szCs w:val="28"/>
          <w:rtl/>
        </w:rPr>
        <w:t xml:space="preserve">bugyat-ut talib fi marifat-id damir-il matlab</w:t>
      </w:r>
    </w:p>
    <w:p>
      <w:pPr>
        <w:pStyle w:val="BookText"/>
      </w:pPr>
      <w:r>
        <w:rPr>
          <w:rFonts w:ascii="IRNazanin" w:hAnsi="IRNazanin" w:eastAsia="IRNazanin" w:cs="IRNazanin"/>
          <w:lang w:bidi="fa-IR"/>
          <w:color w:val="111111"/>
          <w:sz w:val="28"/>
          <w:szCs w:val="28"/>
          <w:rtl/>
        </w:rPr>
        <w:t xml:space="preserve">ابو معشر فلکی، جعفر بن محمد، ۱۷۲-۲۷۲ قمری</w:t>
      </w:r>
    </w:p>
    <w:p>
      <w:pPr>
        <w:pStyle w:val="BookText"/>
      </w:pPr>
      <w:r>
        <w:rPr>
          <w:rFonts w:ascii="Times New Roman" w:hAnsi="Times New Roman" w:eastAsia="Times New Roman" w:cs="Times New Roman"/>
          <w:lang w:val="en-US" w:bidi="en-US"/>
          <w:color w:val="111111"/>
          <w:sz w:val="28"/>
          <w:szCs w:val="28"/>
          <w:rtl/>
        </w:rPr>
        <w:t xml:space="preserve">abū-ma“šar-e falakī, ja'far ebn-e mohammad (789-886)</w:t>
      </w:r>
    </w:p>
    <w:p>
      <w:pPr>
        <w:pStyle w:val="BookText"/>
      </w:pPr>
      <w:r>
        <w:rPr>
          <w:rFonts w:ascii="IRNazanin" w:hAnsi="IRNazanin" w:eastAsia="IRNazanin" w:cs="IRNazanin"/>
          <w:lang w:bidi="fa-IR"/>
          <w:color w:val="111111"/>
          <w:sz w:val="28"/>
          <w:szCs w:val="28"/>
          <w:rtl/>
        </w:rPr>
        <w:t xml:space="preserve">در صفحه عنوان نسخه ما از ابا معشر فلکی دانسته شده و در پیشگویی ستاره شماران است از روی دوازده برج. آغاز: بسمله. الحمدلله الذي خلق الانسان من سلالة من طين ... احسن الخالقين. القول على البرج الاول و هو برج الحمل و المريخ ناري وله من اشكال الرمل الجودلة قال الحكيم ابشری ایها السائلة بشكل سعید و رزق جديد و عمر مزید مدید.</w:t>
      </w:r>
    </w:p>
    <w:p>
      <w:pPr>
        <w:pStyle w:val="BookText"/>
      </w:pPr>
      <w:r>
        <w:rPr>
          <w:rFonts w:ascii="IRNazanin" w:hAnsi="IRNazanin" w:eastAsia="IRNazanin" w:cs="IRNazanin"/>
          <w:lang w:bidi="fa-IR"/>
          <w:color w:val="111111"/>
          <w:sz w:val="28"/>
          <w:szCs w:val="28"/>
          <w:rtl/>
        </w:rPr>
        <w:t xml:space="preserve">چاپ: مصر، چاپ سنگی، ۱۲۸۰ق؛ مصر، ۱۳۲۸ و ۱۳۳۲ق.</w:t>
      </w:r>
    </w:p>
    <w:p>
      <w:pPr>
        <w:pStyle w:val="BookText"/>
      </w:pPr>
      <w:r>
        <w:rPr>
          <w:rFonts w:ascii="IRNazanin" w:hAnsi="IRNazanin" w:eastAsia="IRNazanin" w:cs="IRNazanin"/>
          <w:lang w:bidi="fa-IR"/>
          <w:color w:val="111111"/>
          <w:sz w:val="28"/>
          <w:szCs w:val="28"/>
          <w:rtl/>
        </w:rPr>
        <w:t xml:space="preserve">تهران؛ دانشگاه؛ شماره نسخه: ۱۲۲۲</w:t>
      </w:r>
    </w:p>
    <w:p>
      <w:pPr>
        <w:pStyle w:val="BookText"/>
      </w:pPr>
      <w:r>
        <w:rPr>
          <w:rFonts w:ascii="IRNazanin" w:hAnsi="IRNazanin" w:eastAsia="IRNazanin" w:cs="IRNazanin"/>
          <w:lang w:bidi="fa-IR"/>
          <w:color w:val="111111"/>
          <w:sz w:val="28"/>
          <w:szCs w:val="28"/>
          <w:rtl/>
        </w:rPr>
        <w:t xml:space="preserve">آغاز: برابر انجام: مع الزوح فيروح دم النجاسة و يأتي دم النفاس ولا يأتي الاخير . خط: نسخ، بی کا، بی تا؛ مجدول؛ در ۲ر قرعه رمل جعفر صادق ع است؛ کاغذ: فرنگی، جلد: تیماج سرخ مقوایی، ۷۹گ ( ۲۰پ - ۷۹ر)، ۱۵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 اندازه: ۱۵/۵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۶-۲۴۴۱ ]</w:t>
      </w:r>
    </w:p>
    <w:p>
      <w:pPr>
        <w:pStyle w:val="Heading3"/>
      </w:pPr>
      <w:bookmarkStart w:id="865" w:name="_Toc125"/>
      <w:r>
        <w:t>• بغية الطالب في معرفة المفروض و الواجب / فقه / عربی</w:t>
      </w:r>
      <w:bookmarkEnd w:id="865"/>
    </w:p>
    <w:p>
      <w:pPr>
        <w:pStyle w:val="BookText"/>
      </w:pPr>
      <w:r>
        <w:rPr>
          <w:rFonts w:ascii="Times New Roman" w:hAnsi="Times New Roman" w:eastAsia="Times New Roman" w:cs="Times New Roman"/>
          <w:lang w:val="en-US" w:bidi="en-US"/>
          <w:color w:val="111111"/>
          <w:sz w:val="28"/>
          <w:szCs w:val="28"/>
          <w:rtl/>
        </w:rPr>
        <w:t xml:space="preserve">bugyat-uț țālib fī ma'rifat-il mafrūd wa-l wājib</w:t>
      </w:r>
    </w:p>
    <w:p>
      <w:pPr>
        <w:pStyle w:val="BookText"/>
      </w:pPr>
      <w:r>
        <w:rPr>
          <w:rFonts w:ascii="IRNazanin" w:hAnsi="IRNazanin" w:eastAsia="IRNazanin" w:cs="IRNazanin"/>
          <w:lang w:bidi="fa-IR"/>
          <w:color w:val="111111"/>
          <w:sz w:val="28"/>
          <w:szCs w:val="28"/>
          <w:rtl/>
        </w:rPr>
        <w:t xml:space="preserve">کاشف الغطاء، جعفر بن خضر، ۱۱۵۴-۱۲۲۸ قمری</w:t>
      </w:r>
    </w:p>
    <w:p>
      <w:pPr>
        <w:pStyle w:val="BookText"/>
      </w:pPr>
      <w:r>
        <w:rPr>
          <w:rFonts w:ascii="Times New Roman" w:hAnsi="Times New Roman" w:eastAsia="Times New Roman" w:cs="Times New Roman"/>
          <w:lang w:val="en-US" w:bidi="en-US"/>
          <w:color w:val="111111"/>
          <w:sz w:val="28"/>
          <w:szCs w:val="28"/>
          <w:rtl/>
        </w:rPr>
        <w:t xml:space="preserve">kasef-ol-qeta', ja'far ebn-e xezr (1742-1813)</w:t>
      </w:r>
    </w:p>
    <w:p>
      <w:pPr>
        <w:pStyle w:val="BookText"/>
      </w:pPr>
      <w:r>
        <w:rPr>
          <w:rFonts w:ascii="IRNazanin" w:hAnsi="IRNazanin" w:eastAsia="IRNazanin" w:cs="IRNazanin"/>
          <w:lang w:bidi="fa-IR"/>
          <w:color w:val="111111"/>
          <w:sz w:val="28"/>
          <w:szCs w:val="28"/>
          <w:rtl/>
        </w:rPr>
        <w:t xml:space="preserve">رساله مختصر فتوایی است در دو مطلب»: ۱. اصول ایمان، ۲. فروع دین، فقط احکام طهارت و صلاة. فرزند مؤلف شیخ حسن کاشف الغطاء تكمله ای بر این رساله افزوده در احکام صوم و اعتکاف با عنوان «تكملة البغية» که در بیشتر نسخه ها نیامده است. شیخ اسدالله دزفولی (-۱۲۳۷ق) آن را به فارسی ترجمه کرده و تحفة الراغب» نامیده و فرزند مؤلف شیخ موسی بن جعفر کاشف الغطاء آن را با عنوان «منية الراغب» شرح کرده است.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بسمله الحمدلله الذي اسس قواعد الاحكام و رفع عالم الاسلام ... و بعد فقد سألني جمع من الأتقياء ... ان اكتب لهم رسالة محتوية على اصول الواجبات انجام: و يستحب الجبر عقيب كل مقصورة على استحبابه بعد كل فريضة يقول سبحان الله و الحمد لله ولا اله الا الله و الله اكبر مرة قبل التسبيح او بعده و الله ولي التوفيق و الحمدلله رب العالمین</w:t>
      </w:r>
    </w:p>
    <w:p>
      <w:pPr>
        <w:pStyle w:val="BookText"/>
      </w:pPr>
      <w:r>
        <w:rPr>
          <w:rFonts w:ascii="IRNazanin" w:hAnsi="IRNazanin" w:eastAsia="IRNazanin" w:cs="IRNazanin"/>
          <w:lang w:bidi="fa-IR"/>
          <w:color w:val="111111"/>
          <w:sz w:val="28"/>
          <w:szCs w:val="28"/>
          <w:rtl/>
        </w:rPr>
        <w:t xml:space="preserve">[الذريعة ۱۳۳/۳ و ۱۳۴ رقم ۴۵۱؛ مكتبة امير المومنین ۱۸۸/۱ ]</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تعليقة على بغية الطالب؛ کاظمی، اسدالله بن اسماعیل (۱۱۸۶ ۱۲۳۷)؛</w:t>
      </w:r>
    </w:p>
    <w:p>
      <w:pPr>
        <w:pStyle w:val="BookText"/>
      </w:pPr>
      <w:r>
        <w:rPr>
          <w:rFonts w:ascii="IRNazanin" w:hAnsi="IRNazanin" w:eastAsia="IRNazanin" w:cs="IRNazanin"/>
          <w:lang w:bidi="fa-IR"/>
          <w:color w:val="111111"/>
          <w:sz w:val="28"/>
          <w:szCs w:val="28"/>
          <w:rtl/>
        </w:rPr>
        <w:t xml:space="preserve">۲- تحفة الراغب = ترجمه بغية الطالب في معرفة المفروض و الواجب؛ کاظمی، اسدالله بن اسماعیل (۱۱۸۶-۱۲۳۷) ۳- منية الراغب في شرح بغية الطالب، کاشف الغطاء، موسی بن جعفر (۱۲۴۳-)</w:t>
      </w:r>
    </w:p>
    <w:p>
      <w:pPr>
        <w:pStyle w:val="BookText"/>
      </w:pPr>
      <w:r>
        <w:rPr>
          <w:rFonts w:ascii="IRNazanin" w:hAnsi="IRNazanin" w:eastAsia="IRNazanin" w:cs="IRNazanin"/>
          <w:lang w:bidi="fa-IR"/>
          <w:color w:val="111111"/>
          <w:sz w:val="28"/>
          <w:szCs w:val="28"/>
          <w:rtl/>
        </w:rPr>
        <w:t xml:space="preserve">٤- تكملة بغية الطالب؛ آل کاشف الغطاء، حسن بن جعفر (۱۳۰۱ -۱۲۶۲ )</w:t>
      </w:r>
    </w:p>
    <w:p>
      <w:pPr>
        <w:pStyle w:val="BookText"/>
      </w:pPr>
      <w:r>
        <w:rPr>
          <w:rFonts w:ascii="IRNazanin" w:hAnsi="IRNazanin" w:eastAsia="IRNazanin" w:cs="IRNazanin"/>
          <w:lang w:bidi="fa-IR"/>
          <w:color w:val="111111"/>
          <w:sz w:val="28"/>
          <w:szCs w:val="28"/>
          <w:rtl/>
        </w:rPr>
        <w:t xml:space="preserve">5- بغية الطالب في معرفة المفروض و الواجب (ترجمه)؛ بهبهانی، محمود بن محمد علی (۱۲۰۰-۱۲۷۱)</w:t>
      </w:r>
    </w:p>
    <w:p>
      <w:pPr>
        <w:pStyle w:val="BookText"/>
      </w:pPr>
      <w:r>
        <w:rPr>
          <w:rFonts w:ascii="IRNazanin" w:hAnsi="IRNazanin" w:eastAsia="IRNazanin" w:cs="IRNazanin"/>
          <w:lang w:bidi="fa-IR"/>
          <w:color w:val="111111"/>
          <w:sz w:val="28"/>
          <w:szCs w:val="28"/>
          <w:rtl/>
        </w:rPr>
        <w:t xml:space="preserve">6- حاشية بغية الطالب في معرفة المفروض و الواجب؛ آل کاشف الغطاء، محمد رضا بن موسی (-۱۲۸۱)</w:t>
      </w:r>
    </w:p>
    <w:p>
      <w:pPr>
        <w:pStyle w:val="BookText"/>
      </w:pPr>
      <w:r>
        <w:rPr>
          <w:rFonts w:ascii="Amiri" w:hAnsi="Amiri" w:eastAsia="Amiri" w:cs="Amiri"/>
          <w:lang w:bidi="ar-SA"/>
          <w:color w:val="111111"/>
          <w:sz w:val="28"/>
          <w:szCs w:val="28"/>
          <w:rtl/>
        </w:rPr>
        <w:t xml:space="preserve">۷- بغية الطالب في معرفة المفروض و الواجب (ترجمه)</w:t>
      </w:r>
    </w:p>
    <w:p>
      <w:pPr>
        <w:pStyle w:val="BookText"/>
      </w:pPr>
      <w:r>
        <w:rPr>
          <w:rFonts w:ascii="IRNazanin" w:hAnsi="IRNazanin" w:eastAsia="IRNazanin" w:cs="IRNazanin"/>
          <w:lang w:bidi="fa-IR"/>
          <w:color w:val="111111"/>
          <w:sz w:val="28"/>
          <w:szCs w:val="28"/>
          <w:rtl/>
        </w:rPr>
        <w:t xml:space="preserve">۸- بهجة الراغب الى شرح بغية الطالب؛ ربیعی نجفی، محمد بن يونس</w:t>
      </w:r>
    </w:p>
    <w:p>
      <w:pPr>
        <w:pStyle w:val="BookText"/>
      </w:pPr>
      <w:r>
        <w:rPr>
          <w:rFonts w:ascii="IRNazanin" w:hAnsi="IRNazanin" w:eastAsia="IRNazanin" w:cs="IRNazanin"/>
          <w:lang w:bidi="fa-IR"/>
          <w:color w:val="111111"/>
          <w:sz w:val="28"/>
          <w:szCs w:val="28"/>
          <w:rtl/>
        </w:rPr>
        <w:t xml:space="preserve">۹- بغية الطالب في معرفة المفروض و الواجب (ترجمه)؛ خزائیلی، جعفر</w:t>
      </w:r>
    </w:p>
    <w:p>
      <w:pPr>
        <w:pStyle w:val="BookText"/>
      </w:pPr>
      <w:r>
        <w:rPr>
          <w:rFonts w:ascii="IRNazanin" w:hAnsi="IRNazanin" w:eastAsia="IRNazanin" w:cs="IRNazanin"/>
          <w:lang w:bidi="fa-IR"/>
          <w:color w:val="111111"/>
          <w:sz w:val="28"/>
          <w:szCs w:val="28"/>
          <w:rtl/>
        </w:rPr>
        <w:t xml:space="preserve">۱. تهران؛ ملک؛ شماره نسخه: ندارد</w:t>
      </w:r>
    </w:p>
    <w:p>
      <w:pPr>
        <w:pStyle w:val="BookText"/>
      </w:pPr>
      <w:r>
        <w:rPr>
          <w:rFonts w:ascii="IRNazanin" w:hAnsi="IRNazanin" w:eastAsia="IRNazanin" w:cs="IRNazanin"/>
          <w:lang w:bidi="fa-IR"/>
          <w:color w:val="111111"/>
          <w:sz w:val="28"/>
          <w:szCs w:val="28"/>
          <w:rtl/>
        </w:rPr>
        <w:t xml:space="preserve">خط: نسخ، بی کا، تا: قرن ۱۲؛ کاغذ: فستقی، جلد: میشن سیاه لایی، ۱۶۶گ، ۱۴ سطر، اندازه: ۱۵/۸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۱۱/۲ سم [ف: ]</w:t>
      </w:r>
    </w:p>
    <w:p>
      <w:pPr>
        <w:pStyle w:val="BookText"/>
      </w:pPr>
      <w:r>
        <w:rPr>
          <w:rFonts w:ascii="IRNazanin" w:hAnsi="IRNazanin" w:eastAsia="IRNazanin" w:cs="IRNazanin"/>
          <w:lang w:bidi="fa-IR"/>
          <w:color w:val="111111"/>
          <w:sz w:val="28"/>
          <w:szCs w:val="28"/>
          <w:rtl/>
        </w:rPr>
        <w:t xml:space="preserve">۲. یزد؛ وزیری؛ شماره نسخه: ۱۴۵۲/۴</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کا: محمد رشید پسر محمد حکیم حسنی، تا: پنج شنبه ۲۶ ذیحجه ۱۱۰۲ق، جان مکه؛ کاغذ: اصفهانی، ۵گ (۱۲۰ -۱۲۴)، ۱۴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[ف: ۳-۹۶۳]</w:t>
      </w:r>
    </w:p>
    <w:p>
      <w:pPr>
        <w:pStyle w:val="BookText"/>
      </w:pPr>
      <w:r>
        <w:rPr>
          <w:rFonts w:ascii="IRNazanin" w:hAnsi="IRNazanin" w:eastAsia="IRNazanin" w:cs="IRNazanin"/>
          <w:lang w:bidi="fa-IR"/>
          <w:color w:val="111111"/>
          <w:sz w:val="28"/>
          <w:szCs w:val="28"/>
          <w:rtl/>
        </w:rPr>
        <w:t xml:space="preserve">۳. بیرجند؛ دیانی؛ شماره نسخه: ۱۶۳</w:t>
      </w:r>
    </w:p>
    <w:p>
      <w:pPr>
        <w:pStyle w:val="BookText"/>
      </w:pPr>
      <w:r>
        <w:rPr>
          <w:rFonts w:ascii="IRNazanin" w:hAnsi="IRNazanin" w:eastAsia="IRNazanin" w:cs="IRNazanin"/>
          <w:lang w:bidi="fa-IR"/>
          <w:color w:val="111111"/>
          <w:sz w:val="28"/>
          <w:szCs w:val="28"/>
          <w:rtl/>
        </w:rPr>
        <w:t xml:space="preserve">خط: نسخ، بی کا، تا: قرن ۱۳؛ جلد: تیماج مشکی بدون مقوا، ۸۶گ، ۱۶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۱۲۴]</w:t>
      </w:r>
    </w:p>
    <w:p>
      <w:pPr>
        <w:pStyle w:val="BookText"/>
      </w:pPr>
      <w:r>
        <w:rPr>
          <w:rFonts w:ascii="IRNazanin" w:hAnsi="IRNazanin" w:eastAsia="IRNazanin" w:cs="IRNazanin"/>
          <w:lang w:bidi="fa-IR"/>
          <w:color w:val="111111"/>
          <w:sz w:val="28"/>
          <w:szCs w:val="28"/>
          <w:rtl/>
        </w:rPr>
        <w:t xml:space="preserve">۴. تهران؛ مجلس؛ شماره نسخه: ۴۲۳-طباطبائی</w:t>
      </w:r>
    </w:p>
    <w:p>
      <w:pPr>
        <w:pStyle w:val="BookText"/>
      </w:pPr>
      <w:r>
        <w:rPr>
          <w:rFonts w:ascii="IRNazanin" w:hAnsi="IRNazanin" w:eastAsia="IRNazanin" w:cs="IRNazanin"/>
          <w:lang w:bidi="fa-IR"/>
          <w:color w:val="111111"/>
          <w:sz w:val="28"/>
          <w:szCs w:val="28"/>
          <w:rtl/>
        </w:rPr>
        <w:t xml:space="preserve">آغاز و انجام: برابر خط: نسخ، بی کا، تا: قرن ۱۳ کاغذ: فرنگی، جلد: تیماج مشکی، ۹۴گی، ۱۳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۲۴-۲۸۰]</w:t>
      </w:r>
    </w:p>
    <w:p>
      <w:pPr>
        <w:pStyle w:val="BookText"/>
      </w:pPr>
      <w:r>
        <w:rPr>
          <w:rFonts w:ascii="IRNazanin" w:hAnsi="IRNazanin" w:eastAsia="IRNazanin" w:cs="IRNazanin"/>
          <w:lang w:bidi="fa-IR"/>
          <w:color w:val="111111"/>
          <w:sz w:val="28"/>
          <w:szCs w:val="28"/>
          <w:rtl/>
        </w:rPr>
        <w:t xml:space="preserve">۵. تهران؛ حقوق؛ شماره نسخه: ۶۱/۱</w:t>
      </w:r>
    </w:p>
    <w:p>
      <w:pPr>
        <w:pStyle w:val="BookText"/>
      </w:pPr>
      <w:r>
        <w:rPr>
          <w:rFonts w:ascii="IRNazanin" w:hAnsi="IRNazanin" w:eastAsia="IRNazanin" w:cs="IRNazanin"/>
          <w:lang w:bidi="fa-IR"/>
          <w:color w:val="111111"/>
          <w:sz w:val="28"/>
          <w:szCs w:val="28"/>
          <w:rtl/>
        </w:rPr>
        <w:t xml:space="preserve">خط: نسخ، بی کا، تا: قرن ۱۳؛ محشی، با نسخه شیخ اسدالله مقابله شده؛ کاغذ: فرنگی، جلد: تیماج قهوه ای، ۱۲۵گ، ۱۷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۲۶۰]</w:t>
      </w:r>
    </w:p>
    <w:p>
      <w:pPr>
        <w:pStyle w:val="BookText"/>
      </w:pPr>
      <w:r>
        <w:rPr>
          <w:rFonts w:ascii="IRNazanin" w:hAnsi="IRNazanin" w:eastAsia="IRNazanin" w:cs="IRNazanin"/>
          <w:lang w:bidi="fa-IR"/>
          <w:color w:val="111111"/>
          <w:sz w:val="28"/>
          <w:szCs w:val="28"/>
          <w:rtl/>
        </w:rPr>
        <w:t xml:space="preserve">۶. مشهد؛ رضوی؛ شماره نسخه: ۱۹۵۶۶</w:t>
      </w:r>
    </w:p>
    <w:p>
      <w:pPr>
        <w:pStyle w:val="BookText"/>
      </w:pPr>
      <w:r>
        <w:rPr>
          <w:rFonts w:ascii="IRNazanin" w:hAnsi="IRNazanin" w:eastAsia="IRNazanin" w:cs="IRNazanin"/>
          <w:lang w:bidi="fa-IR"/>
          <w:color w:val="111111"/>
          <w:sz w:val="28"/>
          <w:szCs w:val="28"/>
          <w:rtl/>
        </w:rPr>
        <w:t xml:space="preserve">آغاز و انجام: برابر مشتمل بر سه مطلب به شرح ذيل: الف: في أصول الإيمان، ب: في احكام التقليد، ج: في فروع الدين؛ خط: نسخ، بی کا، تا: نیمه دوم قرن ۱۳؛ مصحح؛ اهدایی: رهبری، خرداد ۱۳۷۳، کاغذ: حنایی، جلد: تیماج یک لا، ۱۲۰گ، ۱۰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سم [اهدائی رهبر: ۳-۱۱۱]</w:t>
      </w:r>
    </w:p>
    <w:p>
      <w:pPr>
        <w:pStyle w:val="BookText"/>
      </w:pPr>
      <w:r>
        <w:rPr>
          <w:rFonts w:ascii="IRNazanin" w:hAnsi="IRNazanin" w:eastAsia="IRNazanin" w:cs="IRNazanin"/>
          <w:lang w:bidi="fa-IR"/>
          <w:color w:val="111111"/>
          <w:sz w:val="28"/>
          <w:szCs w:val="28"/>
          <w:rtl/>
        </w:rPr>
        <w:t xml:space="preserve">۷. تهران؛ مجلس؛ شماره نسخه: ۴۲۳ ط</w:t>
      </w:r>
    </w:p>
    <w:p>
      <w:pPr>
        <w:pStyle w:val="BookText"/>
      </w:pPr>
      <w:r>
        <w:rPr>
          <w:rFonts w:ascii="IRNazanin" w:hAnsi="IRNazanin" w:eastAsia="IRNazanin" w:cs="IRNazanin"/>
          <w:lang w:bidi="fa-IR"/>
          <w:color w:val="111111"/>
          <w:sz w:val="28"/>
          <w:szCs w:val="28"/>
          <w:rtl/>
        </w:rPr>
        <w:t xml:space="preserve">خط: نسخ، بی کا، تا: قرن ۱۳ [مختصر ف: ۱۱۰]</w:t>
      </w:r>
    </w:p>
    <w:p>
      <w:pPr>
        <w:pStyle w:val="BookText"/>
      </w:pPr>
      <w:r>
        <w:rPr>
          <w:rFonts w:ascii="IRNazanin" w:hAnsi="IRNazanin" w:eastAsia="IRNazanin" w:cs="IRNazanin"/>
          <w:lang w:bidi="fa-IR"/>
          <w:color w:val="111111"/>
          <w:sz w:val="28"/>
          <w:szCs w:val="28"/>
          <w:rtl/>
        </w:rPr>
        <w:t xml:space="preserve">۸. تهران؛ مجلس؛ شماره نسخه: ۱۵۶۰۱</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تا: قرن ۱۳؛ در صفحه اول این بیت کتابت شده: اشتراکج گردنا دانم چه خواهی کردنا *** در میان پنبه زار و پنبه خواهی خوردنا»؛ مهر: «عبده محمد باقر» (مربع)؛ جلد: چرم قهوه ای، ۱۰۲گ، ۱۶ سطر، اندازه: ۱۶/۴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۱۱/۲ سم [ف: ۴۳-۱۸۲]</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مجلس؛ شماره نسخه: ۱۵۳۰۰</w:t>
      </w:r>
    </w:p>
    <w:p>
      <w:pPr>
        <w:pStyle w:val="BookText"/>
      </w:pPr>
      <w:r>
        <w:rPr>
          <w:rFonts w:ascii="IRNazanin" w:hAnsi="IRNazanin" w:eastAsia="IRNazanin" w:cs="IRNazanin"/>
          <w:lang w:bidi="fa-IR"/>
          <w:color w:val="111111"/>
          <w:sz w:val="28"/>
          <w:szCs w:val="28"/>
          <w:rtl/>
        </w:rPr>
        <w:t xml:space="preserve">خط: نسخ، بی کا، تا: قرن ۱۳ [مختصر ف: ۱۱۰]</w:t>
      </w:r>
    </w:p>
    <w:p>
      <w:pPr>
        <w:pStyle w:val="BookText"/>
      </w:pPr>
      <w:r>
        <w:rPr>
          <w:rFonts w:ascii="IRNazanin" w:hAnsi="IRNazanin" w:eastAsia="IRNazanin" w:cs="IRNazanin"/>
          <w:lang w:bidi="fa-IR"/>
          <w:color w:val="111111"/>
          <w:sz w:val="28"/>
          <w:szCs w:val="28"/>
          <w:rtl/>
        </w:rPr>
        <w:t xml:space="preserve">۱۰. مشهد؛ میبدی، شماره نسخه: ۳۵۳</w:t>
      </w:r>
    </w:p>
    <w:p>
      <w:pPr>
        <w:pStyle w:val="BookText"/>
      </w:pPr>
      <w:r>
        <w:rPr>
          <w:rFonts w:ascii="IRNazanin" w:hAnsi="IRNazanin" w:eastAsia="IRNazanin" w:cs="IRNazanin"/>
          <w:lang w:bidi="fa-IR"/>
          <w:color w:val="111111"/>
          <w:sz w:val="28"/>
          <w:szCs w:val="28"/>
          <w:rtl/>
        </w:rPr>
        <w:t xml:space="preserve">تكمله بغيه از شیخ حسن فرزند مؤلف با این نسخه ضمیمه شده و ناتمام است؛ خط: نسخ، كا: على مختار بن میرزا حسین نجفی، تا: قرن ۱۳؛ جلد: تیماج مشکی بدون مقوا، ۱۱۳گ، ۱۹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۲-۶۱]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اصفهان؛ مدرسه صدر بازار؛ شماره نسخه: ۱۹۵/۲</w:t>
      </w:r>
    </w:p>
    <w:p>
      <w:pPr>
        <w:pStyle w:val="BookText"/>
      </w:pPr>
      <w:r>
        <w:rPr>
          <w:rFonts w:ascii="IRNazanin" w:hAnsi="IRNazanin" w:eastAsia="IRNazanin" w:cs="IRNazanin"/>
          <w:lang w:bidi="fa-IR"/>
          <w:color w:val="111111"/>
          <w:sz w:val="28"/>
          <w:szCs w:val="28"/>
          <w:rtl/>
        </w:rPr>
        <w:t xml:space="preserve">آغاز: فالأقرب عدم اجراء الحكم عليها قبل تداولها و تعارفها ما لو تداولت عند بعض کفی ذلک في جرى الحكم عند الباقين؛ انجام: و ان لم يسمعها الأجانب كما أفتى به الأصحاب و نقل عليه الاجماع و دلت عليه رواية قرب الاسناد خط: نسخ، بی کا، تا: قرن ۱۳؛ افتادگی: آغاز و انجام؛ مصحح؛ جلد: تیماج قرمز ضربی، ۱۵۸گ (۶۸ر -۲۲۵پ)،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۱-۱۳۷]</w:t>
      </w:r>
    </w:p>
    <w:p>
      <w:pPr>
        <w:pStyle w:val="BookText"/>
      </w:pPr>
      <w:r>
        <w:rPr>
          <w:rFonts w:ascii="IRNazanin" w:hAnsi="IRNazanin" w:eastAsia="IRNazanin" w:cs="IRNazanin"/>
          <w:lang w:bidi="fa-IR"/>
          <w:color w:val="111111"/>
          <w:sz w:val="28"/>
          <w:szCs w:val="28"/>
          <w:rtl/>
        </w:rPr>
        <w:t xml:space="preserve">۱۲. مشهد؛ گوهرشاد؛ شماره نسخه: ۱۶۸۷/۲</w:t>
      </w:r>
    </w:p>
    <w:p>
      <w:pPr>
        <w:pStyle w:val="BookText"/>
      </w:pPr>
      <w:r>
        <w:rPr>
          <w:rFonts w:ascii="Amiri" w:hAnsi="Amiri" w:eastAsia="Amiri" w:cs="Amiri"/>
          <w:lang w:bidi="ar-SA"/>
          <w:color w:val="111111"/>
          <w:sz w:val="28"/>
          <w:szCs w:val="28"/>
          <w:rtl/>
        </w:rPr>
        <w:t xml:space="preserve">آغاز: بسمله، المطلب الثاني في فروع الدين؛ انجام: برابر</w:t>
      </w:r>
    </w:p>
    <w:p>
      <w:pPr>
        <w:pStyle w:val="BookText"/>
      </w:pPr>
      <w:r>
        <w:rPr>
          <w:rFonts w:ascii="IRNazanin" w:hAnsi="IRNazanin" w:eastAsia="IRNazanin" w:cs="IRNazanin"/>
          <w:lang w:bidi="fa-IR"/>
          <w:color w:val="111111"/>
          <w:sz w:val="28"/>
          <w:szCs w:val="28"/>
          <w:rtl/>
        </w:rPr>
        <w:t xml:space="preserve">فاقد مقدمه است و موجودی از مطلب دوم تا پایان صلات مسافر می باشد؛ خط: نستعلیق مخلوط به شکسته، بی کا، تا: قرن ۱۳؛ افتادگی: آغاز، کاغذ: شکری آهار مهره، ۳۸، ۱۸-۲۰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[ف: ۵-۱۰۴]</w:t>
      </w:r>
    </w:p>
    <w:p>
      <w:pPr>
        <w:pStyle w:val="BookText"/>
      </w:pPr>
      <w:r>
        <w:rPr>
          <w:rFonts w:ascii="IRNazanin" w:hAnsi="IRNazanin" w:eastAsia="IRNazanin" w:cs="IRNazanin"/>
          <w:lang w:bidi="fa-IR"/>
          <w:color w:val="111111"/>
          <w:sz w:val="28"/>
          <w:szCs w:val="28"/>
          <w:rtl/>
        </w:rPr>
        <w:t xml:space="preserve">۱۳. قم؛ مرعشی؛ شماره نسخه: ۱۳۸۵۴/۱</w:t>
      </w:r>
    </w:p>
    <w:p>
      <w:pPr>
        <w:pStyle w:val="BookText"/>
      </w:pPr>
      <w:r>
        <w:rPr>
          <w:rFonts w:ascii="IRNazanin" w:hAnsi="IRNazanin" w:eastAsia="IRNazanin" w:cs="IRNazanin"/>
          <w:lang w:bidi="fa-IR"/>
          <w:color w:val="111111"/>
          <w:sz w:val="28"/>
          <w:szCs w:val="28"/>
          <w:rtl/>
        </w:rPr>
        <w:t xml:space="preserve">آغاز و انجام: برابر خط: نسخ، بی کا، تا: قرن ۱۳، ترقيمه: «تمت الصلوتية للشيخ على زید ... في غرة شعبان المعظم»، محشی با نشان «محمد حسن سلمه الله»، مصحح؛ کاغذ: فرنگی، ۹۸گ (آپ -۹۸پ)، ۱۴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سم [ف: ۳۵-۲۰۰)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۱۴. قم؛ مرعشی؛ شماره نسخه: ۱۵۱۴۳/۱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سید جعفر بن محمد جعفر حسینی، تا: قرن ۱۳؛ مصحح، محشی، مقابله شده با نشان «بلغ»؛ مهر: «عبده حسين بن محمد» (بیضی)؛ کاغذ: فرنگی، ۷۸گ (۱-۷۸)، ۱۲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۳۸-۴۳۵]</w:t>
      </w:r>
    </w:p>
    <w:p>
      <w:pPr>
        <w:pStyle w:val="BookText"/>
      </w:pPr>
      <w:r>
        <w:rPr>
          <w:rFonts w:ascii="IRNazanin" w:hAnsi="IRNazanin" w:eastAsia="IRNazanin" w:cs="IRNazanin"/>
          <w:lang w:bidi="fa-IR"/>
          <w:color w:val="111111"/>
          <w:sz w:val="28"/>
          <w:szCs w:val="28"/>
          <w:rtl/>
        </w:rPr>
        <w:t xml:space="preserve">۱۵. مشهد: رضوی، شماره نسخه: ۳۸۰۶۰</w:t>
      </w:r>
    </w:p>
    <w:p>
      <w:pPr>
        <w:pStyle w:val="BookText"/>
      </w:pPr>
      <w:r>
        <w:rPr>
          <w:rFonts w:ascii="IRNazanin" w:hAnsi="IRNazanin" w:eastAsia="IRNazanin" w:cs="IRNazanin"/>
          <w:lang w:bidi="fa-IR"/>
          <w:color w:val="111111"/>
          <w:sz w:val="28"/>
          <w:szCs w:val="28"/>
          <w:rtl/>
        </w:rPr>
        <w:t xml:space="preserve">آغاز: بسمله. المطلب الثاني في فروع الدين و اصولها خمسة الصلوة و الصوم و الزکوة؛ انجام: برابر خط: نسخ، بی کا، تا: قرن ۱۳؛ اهدائی: رهبری، مهر ۱۳۸۶؛ کاغذ: نخودی آهار مهره فرنگی، جلد: تیماج مشکی، ۶۲گ، ۱۴سطر، اندازه: ۱۴/۸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سم اهدائی رهبر: ۳-۱۱۲]</w:t>
      </w:r>
    </w:p>
    <w:p>
      <w:pPr>
        <w:pStyle w:val="BookText"/>
      </w:pPr>
      <w:r>
        <w:rPr>
          <w:rFonts w:ascii="IRNazanin" w:hAnsi="IRNazanin" w:eastAsia="IRNazanin" w:cs="IRNazanin"/>
          <w:lang w:bidi="fa-IR"/>
          <w:color w:val="111111"/>
          <w:sz w:val="28"/>
          <w:szCs w:val="28"/>
          <w:rtl/>
        </w:rPr>
        <w:t xml:space="preserve">۱۶. اصفهان؛ عمومی اصفهان (فرهنگ سابق)؛ شماره نسخه: ۳۰۸۴</w:t>
      </w:r>
    </w:p>
    <w:p>
      <w:pPr>
        <w:pStyle w:val="BookText"/>
      </w:pPr>
      <w:r>
        <w:rPr>
          <w:rFonts w:ascii="IRNazanin" w:hAnsi="IRNazanin" w:eastAsia="IRNazanin" w:cs="IRNazanin"/>
          <w:lang w:bidi="fa-IR"/>
          <w:color w:val="111111"/>
          <w:sz w:val="28"/>
          <w:szCs w:val="28"/>
          <w:rtl/>
        </w:rPr>
        <w:t xml:space="preserve">از اول طهارة تا آخر صلوة؛ خط: نسخ، كا: محمد شريف بن حجی [حاجی علی محمد خراسانی الاصل، تا: قرن ۱۳؛ به انضمام دو حدیث در اخبار ملاحم؛ کاغذ: فرنگی، جلد: تیماج زرد، ۱۲۳ص، ۱۱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[ف: ۱-۱۹۲]</w:t>
      </w:r>
    </w:p>
    <w:p>
      <w:pPr>
        <w:pStyle w:val="BookText"/>
      </w:pPr>
      <w:r>
        <w:rPr>
          <w:rFonts w:ascii="IRNazanin" w:hAnsi="IRNazanin" w:eastAsia="IRNazanin" w:cs="IRNazanin"/>
          <w:lang w:bidi="fa-IR"/>
          <w:color w:val="111111"/>
          <w:sz w:val="28"/>
          <w:szCs w:val="28"/>
          <w:rtl/>
        </w:rPr>
        <w:t xml:space="preserve">۱۷. قم: مرکز احیاء؛ شماره نسخه: ۲۵۶۸</w:t>
      </w:r>
    </w:p>
    <w:p>
      <w:pPr>
        <w:pStyle w:val="BookText"/>
      </w:pPr>
      <w:r>
        <w:rPr>
          <w:rFonts w:ascii="IRNazanin" w:hAnsi="IRNazanin" w:eastAsia="IRNazanin" w:cs="IRNazanin"/>
          <w:lang w:bidi="fa-IR"/>
          <w:color w:val="111111"/>
          <w:sz w:val="28"/>
          <w:szCs w:val="28"/>
          <w:rtl/>
        </w:rPr>
        <w:t xml:space="preserve">آغاز: برابر؛ انجام: ففي وجوب خروجها الى المنزل للاعتداد أو وجوب اعتدادها في المسجد مدة الاعتكاف قولان. خط: نسخ، بی کا، تا: قرن ۱۳؛ مصحح توسط فرزند مؤلف «على بن جعفر» و مهر نام وی «على بن جعفر» (مربع)؛ جلد: تیماج مشکی ضربی بدون مقوا، ۱۶۹گ، ۱۳ سطر، اندازه: 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۱۵/۵ سم [محدث ارموی مخ: ۱-۲۵۷]</w:t>
      </w:r>
    </w:p>
    <w:p>
      <w:pPr>
        <w:pStyle w:val="BookText"/>
      </w:pPr>
      <w:r>
        <w:rPr>
          <w:rFonts w:ascii="IRNazanin" w:hAnsi="IRNazanin" w:eastAsia="IRNazanin" w:cs="IRNazanin"/>
          <w:lang w:bidi="fa-IR"/>
          <w:color w:val="111111"/>
          <w:sz w:val="28"/>
          <w:szCs w:val="28"/>
          <w:rtl/>
        </w:rPr>
        <w:t xml:space="preserve">۱۸. قم: مرکز احیاء؛ شماره نسخه: ۲۶۷۵/۲</w:t>
      </w:r>
    </w:p>
    <w:p>
      <w:pPr>
        <w:pStyle w:val="BookText"/>
      </w:pPr>
      <w:r>
        <w:rPr>
          <w:rFonts w:ascii="IRNazanin" w:hAnsi="IRNazanin" w:eastAsia="IRNazanin" w:cs="IRNazanin"/>
          <w:lang w:bidi="fa-IR"/>
          <w:color w:val="111111"/>
          <w:sz w:val="28"/>
          <w:szCs w:val="28"/>
          <w:rtl/>
        </w:rPr>
        <w:t xml:space="preserve">خط: نسخ و نستعلیق، بی کا، تا: قرن ۱۳؛ مصحح، با علامت بلاغ؛ مهر: «عبده الراجی محمد علی بن محمد حسين الواعظ» (بیضی)؛ جلد: تیماج مشکی بدون مقوا، ۵۱گ (۳۲پ -۸۲پ)، ۱۷ سطر، اندازه: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۱۹/۵ سم [محدث ارموی مخ: ۱-۲۵۸]</w:t>
      </w:r>
    </w:p>
    <w:p>
      <w:pPr>
        <w:pStyle w:val="BookText"/>
      </w:pPr>
      <w:r>
        <w:rPr>
          <w:rFonts w:ascii="IRNazanin" w:hAnsi="IRNazanin" w:eastAsia="IRNazanin" w:cs="IRNazanin"/>
          <w:lang w:bidi="fa-IR"/>
          <w:color w:val="111111"/>
          <w:sz w:val="28"/>
          <w:szCs w:val="28"/>
          <w:rtl/>
        </w:rPr>
        <w:t xml:space="preserve">۱۹. قم، گلپایگانی؛ شماره نسخه: ۵۳۱۷/۱ - ۲۶/۱۹۷</w:t>
      </w:r>
    </w:p>
    <w:p>
      <w:pPr>
        <w:pStyle w:val="BookText"/>
      </w:pPr>
      <w:r>
        <w:rPr>
          <w:rFonts w:ascii="Amiri" w:hAnsi="Amiri" w:eastAsia="Amiri" w:cs="Amiri"/>
          <w:lang w:bidi="ar-SA"/>
          <w:color w:val="111111"/>
          <w:sz w:val="28"/>
          <w:szCs w:val="28"/>
          <w:rtl/>
        </w:rPr>
        <w:t xml:space="preserve">آغاز: الازمان و الأيام أن يشركوني في صالح الدعاء و يسئل الله ان يجزيني على تأليفها خير الجزاء و سميتها بغية الطالب في معرفة الفرض والواجب؛ انجام: ثانيها أن لا يكون من ... و يستثنى منه ما كان من الانسان او من حيوان صغير لالحم فيه كالبق و الذباب.</w:t>
      </w:r>
    </w:p>
    <w:p>
      <w:pPr>
        <w:pStyle w:val="BookText"/>
      </w:pPr>
      <w:r>
        <w:rPr>
          <w:rFonts w:ascii="IRNazanin" w:hAnsi="IRNazanin" w:eastAsia="IRNazanin" w:cs="IRNazanin"/>
          <w:lang w:bidi="fa-IR"/>
          <w:color w:val="111111"/>
          <w:sz w:val="28"/>
          <w:szCs w:val="28"/>
          <w:rtl/>
        </w:rPr>
        <w:t xml:space="preserve">خط: نسخ، بی کا، تا: قرن ۱۳؛ افتادگی: انجام؛ جلد: تیماج مشکی، ضربی مجدول، ۱۷، ۱۸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۲-۶۲۷]</w:t>
      </w:r>
    </w:p>
    <w:p>
      <w:pPr>
        <w:pStyle w:val="BookText"/>
      </w:pPr>
      <w:r>
        <w:rPr>
          <w:rFonts w:ascii="IRNazanin" w:hAnsi="IRNazanin" w:eastAsia="IRNazanin" w:cs="IRNazanin"/>
          <w:lang w:bidi="fa-IR"/>
          <w:color w:val="111111"/>
          <w:sz w:val="28"/>
          <w:szCs w:val="28"/>
          <w:rtl/>
        </w:rPr>
        <w:t xml:space="preserve">۲۰. تهران؛ مجلس؛ شماره نسخه: ۴۵۸۸</w:t>
      </w:r>
    </w:p>
    <w:p>
      <w:pPr>
        <w:pStyle w:val="BookText"/>
      </w:pPr>
      <w:r>
        <w:rPr>
          <w:rFonts w:ascii="IRNazanin" w:hAnsi="IRNazanin" w:eastAsia="IRNazanin" w:cs="IRNazanin"/>
          <w:lang w:bidi="fa-IR"/>
          <w:color w:val="111111"/>
          <w:sz w:val="28"/>
          <w:szCs w:val="28"/>
          <w:rtl/>
        </w:rPr>
        <w:t xml:space="preserve">آغاز و انجام: برابر خط: نسخ، كا: عبد الله بن سید محمد رضا شبر، تا: چهارشنبه ۱۹ ربیع الاول ۱۲۱۱ق؛ مهر: نصرالله تقوی، عبدالله بن سید محمد رضا شبر (كاتب)؛ کاغذ: فرنگی، جلد: تیماج یک لا قرمز، ۶۲ ، ۱۷ سطر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سم [ف: ۱۲-۲۸۶]</w:t>
      </w:r>
    </w:p>
    <w:p>
      <w:pPr>
        <w:pStyle w:val="BookText"/>
      </w:pPr>
      <w:r>
        <w:rPr>
          <w:rFonts w:ascii="IRNazanin" w:hAnsi="IRNazanin" w:eastAsia="IRNazanin" w:cs="IRNazanin"/>
          <w:lang w:bidi="fa-IR"/>
          <w:color w:val="111111"/>
          <w:sz w:val="28"/>
          <w:szCs w:val="28"/>
          <w:rtl/>
        </w:rPr>
        <w:t xml:space="preserve">۲۱. قم: مرکز احیاء؛ شماره نسخه: ۴۲۱۳/۱</w:t>
      </w:r>
    </w:p>
    <w:p>
      <w:pPr>
        <w:pStyle w:val="BookText"/>
      </w:pPr>
      <w:r>
        <w:rPr>
          <w:rFonts w:ascii="IRNazanin" w:hAnsi="IRNazanin" w:eastAsia="IRNazanin" w:cs="IRNazanin"/>
          <w:lang w:bidi="fa-IR"/>
          <w:color w:val="111111"/>
          <w:sz w:val="28"/>
          <w:szCs w:val="28"/>
          <w:rtl/>
        </w:rPr>
        <w:t xml:space="preserve">آغاز: برابر؛ انجام: ففي وجوب خروجها الى المنزل للاعتداد أو وجوب اعتدادها في المسجد مدة الاعتكاف قولان. خط: نستعلیق، كا: فضلعلی بن درویش محمد تقی نوری نائینی، تا: ذیقعده ۱۲۱۱ق، جان اصفهان؛ مصحح، محشی با عناوین «میرزا ابوالقاسم قمی دام ظله»؛ وقفنامه کتاب از فضلعلی بن درویش محمد تقی نوری به سال ۱۲۲۶ با مهر «عبده الراجی فضلعلی» (بیضوی)؛ جلد: تیماج قهوه ای بدون مقوا، ۴۳گ (۱پ -۴۳ر)، ۱۷ سطر، اندازه: ۱۱/۵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۱۷/۵ سم (محدث ارموی مخ: ۱-۲۵۸]</w:t>
      </w:r>
    </w:p>
    <w:p>
      <w:pPr>
        <w:pStyle w:val="BookText"/>
      </w:pPr>
      <w:r>
        <w:rPr>
          <w:rFonts w:ascii="IRNazanin" w:hAnsi="IRNazanin" w:eastAsia="IRNazanin" w:cs="IRNazanin"/>
          <w:lang w:bidi="fa-IR"/>
          <w:color w:val="111111"/>
          <w:sz w:val="28"/>
          <w:szCs w:val="28"/>
          <w:rtl/>
        </w:rPr>
        <w:t xml:space="preserve">۲۲. قم؛ مهدوی (کتابخانه)؛ شماره نسخه: بدون شماره</w:t>
      </w:r>
    </w:p>
    <w:p>
      <w:pPr>
        <w:pStyle w:val="BookText"/>
      </w:pPr>
      <w:r>
        <w:rPr>
          <w:rFonts w:ascii="IRNazanin" w:hAnsi="IRNazanin" w:eastAsia="IRNazanin" w:cs="IRNazanin"/>
          <w:lang w:bidi="fa-IR"/>
          <w:color w:val="111111"/>
          <w:sz w:val="28"/>
          <w:szCs w:val="28"/>
          <w:rtl/>
        </w:rPr>
        <w:t xml:space="preserve">بی کا، تا: ۱۲۱۲ ق [ تراثنا: س ۱۸ش ۱ و ۲-۲۰۶]</w:t>
      </w:r>
    </w:p>
    <w:p>
      <w:pPr>
        <w:pStyle w:val="BookText"/>
      </w:pPr>
      <w:r>
        <w:rPr>
          <w:rFonts w:ascii="IRNazanin" w:hAnsi="IRNazanin" w:eastAsia="IRNazanin" w:cs="IRNazanin"/>
          <w:lang w:bidi="fa-IR"/>
          <w:color w:val="111111"/>
          <w:sz w:val="28"/>
          <w:szCs w:val="28"/>
          <w:rtl/>
        </w:rPr>
        <w:t xml:space="preserve">۲۳. قم؛ مرعشی؛ شماره نسخه: ۶۰۲/۱</w:t>
      </w:r>
    </w:p>
    <w:p>
      <w:pPr>
        <w:pStyle w:val="BookText"/>
      </w:pPr>
      <w:r>
        <w:rPr>
          <w:rFonts w:ascii="IRNazanin" w:hAnsi="IRNazanin" w:eastAsia="IRNazanin" w:cs="IRNazanin"/>
          <w:lang w:bidi="fa-IR"/>
          <w:color w:val="111111"/>
          <w:sz w:val="28"/>
          <w:szCs w:val="28"/>
          <w:rtl/>
        </w:rPr>
        <w:t xml:space="preserve">آغاز و انجام: برابر خط: نسخ، كا: محمد علی بن محمد بن تقی بن محمد مهدی هرندی اصفهانی، تا: ۲۰ جمادی الثانی ۱۲۱۴ق؛ مصحح، کتاب را ناسخ به اتفاق محمد علی ابن محمد محسن بن محمد باقر بن محمد مهدی هرندی اصفهانی در نجف اشرف به تاریخ دوشنبه ۱۸ ربیع الاول ۱۲۲۸ مقابله نموده اند؛ مهر: «المتوكل على الله عبدالرحیم ابن محمد رضا الشريف» (بیضی)؛ جلد: تیماج قرمز، ۴۷گ (۳-۱۴۹)،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۱۹۵۲]</w:t>
      </w:r>
    </w:p>
    <w:p>
      <w:pPr>
        <w:pStyle w:val="BookText"/>
      </w:pPr>
      <w:r>
        <w:rPr>
          <w:rFonts w:ascii="IRNazanin" w:hAnsi="IRNazanin" w:eastAsia="IRNazanin" w:cs="IRNazanin"/>
          <w:lang w:bidi="fa-IR"/>
          <w:color w:val="111111"/>
          <w:sz w:val="28"/>
          <w:szCs w:val="28"/>
          <w:rtl/>
        </w:rPr>
        <w:t xml:space="preserve">۲۴. قم؛ مرعشی؛ شماره نسخه: ۱۰۳۵۱</w:t>
      </w:r>
    </w:p>
    <w:p>
      <w:pPr>
        <w:pStyle w:val="BookText"/>
      </w:pPr>
      <w:r>
        <w:rPr>
          <w:rFonts w:ascii="IRNazanin" w:hAnsi="IRNazanin" w:eastAsia="IRNazanin" w:cs="IRNazanin"/>
          <w:lang w:bidi="fa-IR"/>
          <w:color w:val="111111"/>
          <w:sz w:val="28"/>
          <w:szCs w:val="28"/>
          <w:rtl/>
        </w:rPr>
        <w:t xml:space="preserve">خط: نسخ، بی کا، تا: پنج شنبه از جمادی الاول ۱۲۱۷ق؛ جلد: تیماج مشکی بدون مقوا، ۶۵گ، ۱۵ سطر، اندازه: ۱۱/۵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۱۵/۵سم [ف: ۲۶-۲۹۲]</w:t>
      </w:r>
    </w:p>
    <w:p>
      <w:pPr>
        <w:pStyle w:val="BookText"/>
      </w:pPr>
      <w:r>
        <w:rPr>
          <w:rFonts w:ascii="IRNazanin" w:hAnsi="IRNazanin" w:eastAsia="IRNazanin" w:cs="IRNazanin"/>
          <w:lang w:bidi="fa-IR"/>
          <w:color w:val="111111"/>
          <w:sz w:val="28"/>
          <w:szCs w:val="28"/>
          <w:rtl/>
        </w:rPr>
        <w:t xml:space="preserve">۲۵. قم؛ مرعشی؛ شماره نسخه: ۱۵۳۹</w:t>
      </w:r>
    </w:p>
    <w:p>
      <w:pPr>
        <w:pStyle w:val="BookText"/>
      </w:pPr>
      <w:r>
        <w:rPr>
          <w:rFonts w:ascii="IRNazanin" w:hAnsi="IRNazanin" w:eastAsia="IRNazanin" w:cs="IRNazanin"/>
          <w:lang w:bidi="fa-IR"/>
          <w:color w:val="111111"/>
          <w:sz w:val="28"/>
          <w:szCs w:val="28"/>
          <w:rtl/>
        </w:rPr>
        <w:t xml:space="preserve">خط: نسخ، كا: عبد الله بن أحمد خرداوي اجد حفصى بحرانی، تا: ۲۰ ذیقعده ۱۲۱۷ق؛ ناسخ در پایان نسخه نام «النفحة القدسية في احكام الصلاة اليومية» به این کتاب داده، مجدول؛ جلد: مقوایی عطف تیماج مشکی، ۵۹، ۱۵ سطر، اندازه:۲۱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۴-۳۳۹]</w:t>
      </w:r>
    </w:p>
    <w:p>
      <w:pPr>
        <w:pStyle w:val="BookText"/>
      </w:pPr>
      <w:r>
        <w:rPr>
          <w:rFonts w:ascii="IRNazanin" w:hAnsi="IRNazanin" w:eastAsia="IRNazanin" w:cs="IRNazanin"/>
          <w:lang w:bidi="fa-IR"/>
          <w:color w:val="111111"/>
          <w:sz w:val="28"/>
          <w:szCs w:val="28"/>
          <w:rtl/>
        </w:rPr>
        <w:t xml:space="preserve">۲۶. مشهد؛ رضوی؛ شماره نسخه: ۲۷۵۴۴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خفی، بی کا، تا: ۱۲۱۹ق؛ کاغذ: شکری سرخی، جلد: تیماج، ۱۷ سطر ( ۱۱/۴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۶/۸ )، قطع: رقعی، اندازه: ۱۴/۷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۹/۶ سم [رایانه]</w:t>
      </w:r>
    </w:p>
    <w:p>
      <w:pPr>
        <w:pStyle w:val="BookText"/>
      </w:pPr>
      <w:r>
        <w:rPr>
          <w:rFonts w:ascii="IRNazanin" w:hAnsi="IRNazanin" w:eastAsia="IRNazanin" w:cs="IRNazanin"/>
          <w:lang w:bidi="fa-IR"/>
          <w:color w:val="111111"/>
          <w:sz w:val="28"/>
          <w:szCs w:val="28"/>
          <w:rtl/>
        </w:rPr>
        <w:t xml:space="preserve">۲۷. کرمانشاه؛ فيض مهدوی (کتابخانه)؛ شماره نسخه: بدون شماره /۵</w:t>
      </w:r>
    </w:p>
    <w:p>
      <w:pPr>
        <w:pStyle w:val="BookText"/>
      </w:pPr>
      <w:r>
        <w:rPr>
          <w:rFonts w:ascii="IRNazanin" w:hAnsi="IRNazanin" w:eastAsia="IRNazanin" w:cs="IRNazanin"/>
          <w:lang w:bidi="fa-IR"/>
          <w:color w:val="111111"/>
          <w:sz w:val="28"/>
          <w:szCs w:val="28"/>
          <w:rtl/>
        </w:rPr>
        <w:t xml:space="preserve">کا: محمد علی بن محراب دستجردو کی، تا: جمعه شوال ۱۲۱۹ق [تراثنا: س ۲ ۴-۴۸]</w:t>
      </w:r>
    </w:p>
    <w:p>
      <w:pPr>
        <w:pStyle w:val="BookText"/>
      </w:pPr>
      <w:r>
        <w:rPr>
          <w:rFonts w:ascii="IRNazanin" w:hAnsi="IRNazanin" w:eastAsia="IRNazanin" w:cs="IRNazanin"/>
          <w:lang w:bidi="fa-IR"/>
          <w:color w:val="111111"/>
          <w:sz w:val="28"/>
          <w:szCs w:val="28"/>
          <w:rtl/>
        </w:rPr>
        <w:t xml:space="preserve">۲۸. قم؛ مرعشی؛ شماره نسخه: ۵۴۲۶/۲</w:t>
      </w:r>
    </w:p>
    <w:p>
      <w:pPr>
        <w:pStyle w:val="BookText"/>
      </w:pPr>
      <w:r>
        <w:rPr>
          <w:rFonts w:ascii="IRNazanin" w:hAnsi="IRNazanin" w:eastAsia="IRNazanin" w:cs="IRNazanin"/>
          <w:lang w:bidi="fa-IR"/>
          <w:color w:val="111111"/>
          <w:sz w:val="28"/>
          <w:szCs w:val="28"/>
          <w:rtl/>
        </w:rPr>
        <w:t xml:space="preserve">خط: نسخ، كا: احمد بن على بن احمد بن على بحرانی، تا: ۱۲۱۹ق؛ مجدول؛ جلد: تیماج قرمز بدون مقوا، ۶۲گ (۶۱پ۔ ۱۲۲ر)، ۱۵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سم [ف: ۱۴-۲۱۱]</w:t>
      </w:r>
    </w:p>
    <w:p>
      <w:pPr>
        <w:pStyle w:val="BookText"/>
      </w:pPr>
      <w:r>
        <w:rPr>
          <w:rFonts w:ascii="IRNazanin" w:hAnsi="IRNazanin" w:eastAsia="IRNazanin" w:cs="IRNazanin"/>
          <w:lang w:bidi="fa-IR"/>
          <w:color w:val="111111"/>
          <w:sz w:val="28"/>
          <w:szCs w:val="28"/>
          <w:rtl/>
        </w:rPr>
        <w:t xml:space="preserve">۲۹. قزوین؛ امام صادق؛ شماره نسخه: ۱۷۴/۱</w:t>
      </w:r>
    </w:p>
    <w:p>
      <w:pPr>
        <w:pStyle w:val="BookText"/>
      </w:pPr>
      <w:r>
        <w:rPr>
          <w:rFonts w:ascii="IRNazanin" w:hAnsi="IRNazanin" w:eastAsia="IRNazanin" w:cs="IRNazanin"/>
          <w:lang w:bidi="fa-IR"/>
          <w:color w:val="111111"/>
          <w:sz w:val="28"/>
          <w:szCs w:val="28"/>
          <w:rtl/>
        </w:rPr>
        <w:t xml:space="preserve">آغاز: برابر؛ انجام: و هكذا الحال بالنسبة الى جميع ما فيه قيل وقال و قد مرت الاشاره بالتفصيل و هو حسبی و نعم الوكيل.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نسخ، كا: نور الدين بن ملا حسن، تا: سه شنبه ۱۱ ربیع الاول ۱۲۲۱ق؛ جلد: مقوا، ۷۵گ، ۲۴ سطر [ف: ۱-۳۳۴]</w:t>
      </w:r>
    </w:p>
    <w:p>
      <w:pPr>
        <w:pStyle w:val="BookText"/>
      </w:pPr>
      <w:r>
        <w:rPr>
          <w:rFonts w:ascii="IRNazanin" w:hAnsi="IRNazanin" w:eastAsia="IRNazanin" w:cs="IRNazanin"/>
          <w:lang w:bidi="fa-IR"/>
          <w:color w:val="111111"/>
          <w:sz w:val="28"/>
          <w:szCs w:val="28"/>
          <w:rtl/>
        </w:rPr>
        <w:t xml:space="preserve">۳۰. يزد؛ وزیری؛ شماره نسخه: ۲۴۸۴/۲</w:t>
      </w:r>
    </w:p>
    <w:p>
      <w:pPr>
        <w:pStyle w:val="BookText"/>
      </w:pPr>
      <w:r>
        <w:rPr>
          <w:rFonts w:ascii="IRNazanin" w:hAnsi="IRNazanin" w:eastAsia="IRNazanin" w:cs="IRNazanin"/>
          <w:lang w:bidi="fa-IR"/>
          <w:color w:val="111111"/>
          <w:sz w:val="28"/>
          <w:szCs w:val="28"/>
          <w:rtl/>
        </w:rPr>
        <w:t xml:space="preserve">کا: حسین بن عبد الباقی، تا: ۱۲۲۲ق؛ اهدایی: وزیری؛ کاغذ: اصفهانی، جلد: تیماج مشکی یک لایی، ۵۶گ (۶۸-۱۲۳)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سم [ف: ۴-۱۳۱۲]</w:t>
      </w:r>
    </w:p>
    <w:p>
      <w:pPr>
        <w:pStyle w:val="BookText"/>
      </w:pPr>
      <w:r>
        <w:rPr>
          <w:rFonts w:ascii="IRNazanin" w:hAnsi="IRNazanin" w:eastAsia="IRNazanin" w:cs="IRNazanin"/>
          <w:lang w:bidi="fa-IR"/>
          <w:color w:val="111111"/>
          <w:sz w:val="28"/>
          <w:szCs w:val="28"/>
          <w:rtl/>
        </w:rPr>
        <w:t xml:space="preserve">۳۱. قم؛ فاضل قائینی؛ شماره نسخه: بدون شماره</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کا: احمد بن محمد نبی بجستانی، تا: ۱۲۲۴قل تراثناس ۱۳ ش ۱-۱۳۸]</w:t>
      </w:r>
    </w:p>
    <w:p>
      <w:pPr>
        <w:pStyle w:val="BookText"/>
      </w:pPr>
      <w:r>
        <w:rPr>
          <w:rFonts w:ascii="IRNazanin" w:hAnsi="IRNazanin" w:eastAsia="IRNazanin" w:cs="IRNazanin"/>
          <w:lang w:bidi="fa-IR"/>
          <w:color w:val="111111"/>
          <w:sz w:val="28"/>
          <w:szCs w:val="28"/>
          <w:rtl/>
        </w:rPr>
        <w:t xml:space="preserve">۳۲. قم؛ گلپایگانی؛ شماره نسخه: ۶۸۱۴/۱ - ۳۴/۱۸۴</w:t>
      </w:r>
    </w:p>
    <w:p>
      <w:pPr>
        <w:pStyle w:val="BookText"/>
      </w:pPr>
      <w:r>
        <w:rPr>
          <w:rFonts w:ascii="IRNazanin" w:hAnsi="IRNazanin" w:eastAsia="IRNazanin" w:cs="IRNazanin"/>
          <w:lang w:bidi="fa-IR"/>
          <w:color w:val="111111"/>
          <w:sz w:val="28"/>
          <w:szCs w:val="28"/>
          <w:rtl/>
        </w:rPr>
        <w:t xml:space="preserve">آغاز و انجام: برابر خط: نسخ و نستعلیق، بی کا، تا: غره شعبان ۱۲۲۴ق؛ مصحح؛ جلد: تیماج قهوه ای، ۱۰۳گ، ۱۴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سم [ف: ۲-۶۲۷]</w:t>
      </w:r>
    </w:p>
    <w:p>
      <w:pPr>
        <w:pStyle w:val="BookText"/>
      </w:pPr>
      <w:r>
        <w:rPr>
          <w:rFonts w:ascii="IRNazanin" w:hAnsi="IRNazanin" w:eastAsia="IRNazanin" w:cs="IRNazanin"/>
          <w:lang w:bidi="fa-IR"/>
          <w:color w:val="111111"/>
          <w:sz w:val="28"/>
          <w:szCs w:val="28"/>
          <w:rtl/>
        </w:rPr>
        <w:t xml:space="preserve">۳۳. قم؛ طبسی؛ شماره نسخه: ۴۹۰</w:t>
      </w:r>
    </w:p>
    <w:p>
      <w:pPr>
        <w:pStyle w:val="BookText"/>
      </w:pPr>
      <w:r>
        <w:rPr>
          <w:rFonts w:ascii="IRNazanin" w:hAnsi="IRNazanin" w:eastAsia="IRNazanin" w:cs="IRNazanin"/>
          <w:lang w:bidi="fa-IR"/>
          <w:color w:val="111111"/>
          <w:sz w:val="28"/>
          <w:szCs w:val="28"/>
          <w:rtl/>
        </w:rPr>
        <w:t xml:space="preserve">آغاز و انجام: برابر خط: نستعلیق، کا: محمد رحيم بن محمد سلیم لنكر کنانی، تا: ۱۶ شوال ۱۲۲۶ق؛ مصحح؛ جلد: مقوای آبی عطف پارچه، ۸۰گ، ۱۲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سم [ف مخ: ۱-۷۴]</w:t>
      </w:r>
    </w:p>
    <w:p>
      <w:pPr>
        <w:pStyle w:val="BookText"/>
      </w:pPr>
      <w:r>
        <w:rPr>
          <w:rFonts w:ascii="IRNazanin" w:hAnsi="IRNazanin" w:eastAsia="IRNazanin" w:cs="IRNazanin"/>
          <w:lang w:bidi="fa-IR"/>
          <w:color w:val="111111"/>
          <w:sz w:val="28"/>
          <w:szCs w:val="28"/>
          <w:rtl/>
        </w:rPr>
        <w:t xml:space="preserve">۳۴. قم؛ گلپایگانی؛ شماره نسخه: ۳۱۴۵/۱ - ۱۶/۱۵۵</w:t>
      </w:r>
    </w:p>
    <w:p>
      <w:pPr>
        <w:pStyle w:val="BookText"/>
      </w:pPr>
      <w:r>
        <w:rPr>
          <w:rFonts w:ascii="IRNazanin" w:hAnsi="IRNazanin" w:eastAsia="IRNazanin" w:cs="IRNazanin"/>
          <w:lang w:bidi="fa-IR"/>
          <w:color w:val="111111"/>
          <w:sz w:val="28"/>
          <w:szCs w:val="28"/>
          <w:rtl/>
        </w:rPr>
        <w:t xml:space="preserve">آغاز و انجام: برابر خط: تحریری، کا: ملا محمد صومعه سرایی از محال فومن گیلان، تا: ۱۲۲۶ق؛ مقوا مشکی عطف تیماج سرخ؛ ۳۸، ۱۶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۲-۶۲۷]</w:t>
      </w:r>
    </w:p>
    <w:p>
      <w:pPr>
        <w:pStyle w:val="BookText"/>
      </w:pPr>
      <w:r>
        <w:rPr>
          <w:rFonts w:ascii="IRNazanin" w:hAnsi="IRNazanin" w:eastAsia="IRNazanin" w:cs="IRNazanin"/>
          <w:lang w:bidi="fa-IR"/>
          <w:color w:val="111111"/>
          <w:sz w:val="28"/>
          <w:szCs w:val="28"/>
          <w:rtl/>
        </w:rPr>
        <w:t xml:space="preserve">۳۵. قم؛ روحانی، مهدی؛ شماره نسخه: ۱۳/۱</w:t>
      </w:r>
    </w:p>
    <w:p>
      <w:pPr>
        <w:pStyle w:val="BookText"/>
      </w:pPr>
      <w:r>
        <w:rPr>
          <w:rFonts w:ascii="IRNazanin" w:hAnsi="IRNazanin" w:eastAsia="IRNazanin" w:cs="IRNazanin"/>
          <w:lang w:bidi="fa-IR"/>
          <w:color w:val="111111"/>
          <w:sz w:val="28"/>
          <w:szCs w:val="28"/>
          <w:rtl/>
        </w:rPr>
        <w:t xml:space="preserve">خط: نسخ، كا: احمد بن سید حیدر ... نورالدین الموسوی، تا: ۱۲۲۶ق؛ افتادگی: آغاز (برگ اول) [چند نسخه -ف: ۴۴۷]</w:t>
      </w:r>
    </w:p>
    <w:p>
      <w:pPr>
        <w:pStyle w:val="BookText"/>
      </w:pPr>
      <w:r>
        <w:rPr>
          <w:rFonts w:ascii="IRNazanin" w:hAnsi="IRNazanin" w:eastAsia="IRNazanin" w:cs="IRNazanin"/>
          <w:lang w:bidi="fa-IR"/>
          <w:color w:val="111111"/>
          <w:sz w:val="28"/>
          <w:szCs w:val="28"/>
          <w:rtl/>
        </w:rPr>
        <w:t xml:space="preserve">۳۶. قم؛ فیضیه؛ شماره نسخه: ۱۴۴۲</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كا: هاشم بن ملاحیدر، تا: ۱۲۲۶ق؛ ۴۳گ، ۱۴سطر، اندازه: ۲۰۶۱۵سم [ف: ۱-۳۳]</w:t>
      </w:r>
    </w:p>
    <w:p>
      <w:pPr>
        <w:pStyle w:val="BookText"/>
      </w:pPr>
      <w:r>
        <w:rPr>
          <w:rFonts w:ascii="IRNazanin" w:hAnsi="IRNazanin" w:eastAsia="IRNazanin" w:cs="IRNazanin"/>
          <w:lang w:bidi="fa-IR"/>
          <w:color w:val="111111"/>
          <w:sz w:val="28"/>
          <w:szCs w:val="28"/>
          <w:rtl/>
        </w:rPr>
        <w:t xml:space="preserve">۳۷. تهران؛ مجلس؛ شماره نسخه: ۵۳۷۴/۲</w:t>
      </w:r>
    </w:p>
    <w:p>
      <w:pPr>
        <w:pStyle w:val="BookText"/>
      </w:pPr>
      <w:r>
        <w:rPr>
          <w:rFonts w:ascii="IRNazanin" w:hAnsi="IRNazanin" w:eastAsia="IRNazanin" w:cs="IRNazanin"/>
          <w:lang w:bidi="fa-IR"/>
          <w:color w:val="111111"/>
          <w:sz w:val="28"/>
          <w:szCs w:val="28"/>
          <w:rtl/>
        </w:rPr>
        <w:t xml:space="preserve">خط: نسخ، كا: على، تا: ۱۲۲۷ق، کاغذ: فرنگی، جلد: تیماج مشکی یک لا، ۶۳گ (۲۳پ -۸۵ر)، ۱۷سطر [ف: ۱۶-۲۸۲]</w:t>
      </w:r>
    </w:p>
    <w:p>
      <w:pPr>
        <w:pStyle w:val="BookText"/>
      </w:pPr>
      <w:r>
        <w:rPr>
          <w:rFonts w:ascii="IRNazanin" w:hAnsi="IRNazanin" w:eastAsia="IRNazanin" w:cs="IRNazanin"/>
          <w:lang w:bidi="fa-IR"/>
          <w:color w:val="111111"/>
          <w:sz w:val="28"/>
          <w:szCs w:val="28"/>
          <w:rtl/>
        </w:rPr>
        <w:t xml:space="preserve">۳۸. تهران؛ سپهسالار؛ شماره نسخه: ۵۹۰۷</w:t>
      </w:r>
    </w:p>
    <w:p>
      <w:pPr>
        <w:pStyle w:val="BookText"/>
      </w:pPr>
      <w:r>
        <w:rPr>
          <w:rFonts w:ascii="IRNazanin" w:hAnsi="IRNazanin" w:eastAsia="IRNazanin" w:cs="IRNazanin"/>
          <w:lang w:bidi="fa-IR"/>
          <w:color w:val="111111"/>
          <w:sz w:val="28"/>
          <w:szCs w:val="28"/>
          <w:rtl/>
        </w:rPr>
        <w:t xml:space="preserve">آغاز و انجام: برابر خط: نستعلیق، بی کا، تا: رجب ۱۲۳۲ق؛ کاغذ: فرنگی کبود، جلد: تیماج مشکی یک لا، ۶۰گ، ۱۶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سم [ف: ۲۵۶-۳ ]</w:t>
      </w:r>
    </w:p>
    <w:p>
      <w:pPr>
        <w:pStyle w:val="BookText"/>
      </w:pPr>
      <w:r>
        <w:rPr>
          <w:rFonts w:ascii="Amiri" w:hAnsi="Amiri" w:eastAsia="Amiri" w:cs="Amiri"/>
          <w:lang w:bidi="ar-SA"/>
          <w:color w:val="111111"/>
          <w:sz w:val="28"/>
          <w:szCs w:val="28"/>
          <w:rtl/>
        </w:rPr>
        <w:t xml:space="preserve">۳۹. مشهد؛ الهيات، شماره نسخه: ۳۹</w:t>
      </w:r>
    </w:p>
    <w:p>
      <w:pPr>
        <w:pStyle w:val="BookText"/>
      </w:pPr>
      <w:r>
        <w:rPr>
          <w:rFonts w:ascii="IRNazanin" w:hAnsi="IRNazanin" w:eastAsia="IRNazanin" w:cs="IRNazanin"/>
          <w:lang w:bidi="fa-IR"/>
          <w:color w:val="111111"/>
          <w:sz w:val="28"/>
          <w:szCs w:val="28"/>
          <w:rtl/>
        </w:rPr>
        <w:t xml:space="preserve">آغاز: برابر؛ انجام: وقد مرت ان الاشارة اليه بالتفصيل وهو حسبی ونعم الوكيل تم هذا الكتاب</w:t>
      </w:r>
    </w:p>
    <w:p>
      <w:pPr>
        <w:pStyle w:val="BookText"/>
      </w:pPr>
      <w:r>
        <w:rPr>
          <w:rFonts w:ascii="IRNazanin" w:hAnsi="IRNazanin" w:eastAsia="IRNazanin" w:cs="IRNazanin"/>
          <w:lang w:bidi="fa-IR"/>
          <w:color w:val="111111"/>
          <w:sz w:val="28"/>
          <w:szCs w:val="28"/>
          <w:rtl/>
        </w:rPr>
        <w:t xml:space="preserve">خط: نستعلیق، كا: ابوالحسن بن ملاگلطر قرجه داغی، تا: ۸ ربیع الثانی ۱۲۳۵ق؛ مهر: کاتب «الواثق بالله الغني عبده ابوالحسن قرجه داغی»؛ جلد: تیماج قهوه ای ضربی، ۱۲۴ گ، ۱۵ سطر (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۴/۵ )، قطع: ربعی، اندازه:</w:t>
      </w:r>
    </w:p>
    <w:p>
      <w:pPr>
        <w:pStyle w:val="BookText"/>
      </w:pPr>
      <w:r>
        <w:rPr>
          <w:rFonts w:ascii="IRNazanin" w:hAnsi="IRNazanin" w:eastAsia="IRNazanin" w:cs="IRNazanin"/>
          <w:lang w:bidi="fa-IR"/>
          <w:color w:val="111111"/>
          <w:sz w:val="28"/>
          <w:szCs w:val="28"/>
          <w:rtl/>
        </w:rPr>
        <w:t xml:space="preserve">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سم [ف: ۱-۲۲]</w:t>
      </w:r>
    </w:p>
    <w:p>
      <w:pPr>
        <w:pStyle w:val="BookText"/>
      </w:pPr>
      <w:r>
        <w:rPr>
          <w:rFonts w:ascii="IRNazanin" w:hAnsi="IRNazanin" w:eastAsia="IRNazanin" w:cs="IRNazanin"/>
          <w:lang w:bidi="fa-IR"/>
          <w:color w:val="111111"/>
          <w:sz w:val="28"/>
          <w:szCs w:val="28"/>
          <w:rtl/>
        </w:rPr>
        <w:t xml:space="preserve">۴۰. تهران؛ حقوق؛ شماره نسخه: ۲۴۰/۱ -ج</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حسین بن احمد بن سليمان حسینی حلبی، تا: پنج شنبه جمادى الأول ۱۲۳۵ق؛ شیخ موسی پسر مؤلف به این نسخه نگریسته و در هر کجا در فتوای در مخالفت مخالفت داشت نشان داد و در پایان به خط خود این نکته را نوشت؛ کاغذ: فرنگی، جلد: تیماج مشکی مقوایی، ۶۴گ (۱پ-۶۴ر)، ۱۴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۲۶۰]</w:t>
      </w:r>
    </w:p>
    <w:p>
      <w:pPr>
        <w:pStyle w:val="BookText"/>
      </w:pPr>
      <w:r>
        <w:rPr>
          <w:rFonts w:ascii="IRNazanin" w:hAnsi="IRNazanin" w:eastAsia="IRNazanin" w:cs="IRNazanin"/>
          <w:lang w:bidi="fa-IR"/>
          <w:color w:val="111111"/>
          <w:sz w:val="28"/>
          <w:szCs w:val="28"/>
          <w:rtl/>
        </w:rPr>
        <w:t xml:space="preserve">۴۱. مشهد؛ مولوی؛ شماره نسخه: ۳۹</w:t>
      </w:r>
    </w:p>
    <w:p>
      <w:pPr>
        <w:pStyle w:val="BookText"/>
      </w:pPr>
      <w:r>
        <w:rPr>
          <w:rFonts w:ascii="IRNazanin" w:hAnsi="IRNazanin" w:eastAsia="IRNazanin" w:cs="IRNazanin"/>
          <w:lang w:bidi="fa-IR"/>
          <w:color w:val="111111"/>
          <w:sz w:val="28"/>
          <w:szCs w:val="28"/>
          <w:rtl/>
        </w:rPr>
        <w:t xml:space="preserve">خط: نستعلیق، کا: ابوالحسن بن ملاگلطر قرچه داغی، تا: ربيع الثانی ۱۲۳۵ق؛ جلد: تیماج قهوه ای، ۱۵ سطر، قطع: ربعی [نشریه: ۵-۱۳]</w:t>
      </w:r>
    </w:p>
    <w:p>
      <w:pPr>
        <w:pStyle w:val="BookText"/>
      </w:pPr>
      <w:r>
        <w:rPr>
          <w:rFonts w:ascii="Amiri" w:hAnsi="Amiri" w:eastAsia="Amiri" w:cs="Amiri"/>
          <w:lang w:bidi="ar-SA"/>
          <w:color w:val="111111"/>
          <w:sz w:val="28"/>
          <w:szCs w:val="28"/>
          <w:rtl/>
        </w:rPr>
        <w:t xml:space="preserve">۴۲. اصفهان، مكتبة الزهراء؛ شماره نسخه: ۲۹</w:t>
      </w:r>
    </w:p>
    <w:p>
      <w:pPr>
        <w:pStyle w:val="BookText"/>
      </w:pPr>
      <w:r>
        <w:rPr>
          <w:rFonts w:ascii="Amiri" w:hAnsi="Amiri" w:eastAsia="Amiri" w:cs="Amiri"/>
          <w:lang w:bidi="ar-SA"/>
          <w:color w:val="111111"/>
          <w:sz w:val="28"/>
          <w:szCs w:val="28"/>
          <w:rtl/>
        </w:rPr>
        <w:t xml:space="preserve">آغاز: في صالح الدعاء و يسئلوا الله أن يجزيتي على تأليفها خير الجزآء</w:t>
      </w:r>
    </w:p>
    <w:p>
      <w:pPr>
        <w:pStyle w:val="BookText"/>
      </w:pPr>
      <w:r>
        <w:rPr>
          <w:rFonts w:ascii="IRNazanin" w:hAnsi="IRNazanin" w:eastAsia="IRNazanin" w:cs="IRNazanin"/>
          <w:lang w:bidi="fa-IR"/>
          <w:color w:val="111111"/>
          <w:sz w:val="28"/>
          <w:szCs w:val="28"/>
          <w:rtl/>
        </w:rPr>
        <w:t xml:space="preserve">خط: نسخ، كا: محمد هاشم بن محمد حسین اصفهانی، تا: ۱۲۳۹ق؛ افتادگی: آغاز؛ ۹۵ گ، ۱۲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[ف: ۳۲]</w:t>
      </w:r>
    </w:p>
    <w:p>
      <w:pPr>
        <w:pStyle w:val="BookText"/>
      </w:pPr>
      <w:r>
        <w:rPr>
          <w:rFonts w:ascii="IRNazanin" w:hAnsi="IRNazanin" w:eastAsia="IRNazanin" w:cs="IRNazanin"/>
          <w:lang w:bidi="fa-IR"/>
          <w:color w:val="111111"/>
          <w:sz w:val="28"/>
          <w:szCs w:val="28"/>
          <w:rtl/>
        </w:rPr>
        <w:t xml:space="preserve">۴۳. قم، گلپایگانی؛ شماره نسخه: ۲۵۲۴- ۱۳/۲۰۴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رجبعلی بن محمد اصفهانی کربلائی، تا: ۲۲ جمادی الثانی ۱۲۳۹ق، جان اصفهان؛ جلد: گالینگور آبی، ۹۸ گ، ۱۲-۹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۲-۶۲۷]</w:t>
      </w:r>
    </w:p>
    <w:p>
      <w:pPr>
        <w:pStyle w:val="BookText"/>
      </w:pPr>
      <w:r>
        <w:rPr>
          <w:rFonts w:ascii="IRNazanin" w:hAnsi="IRNazanin" w:eastAsia="IRNazanin" w:cs="IRNazanin"/>
          <w:lang w:bidi="fa-IR"/>
          <w:color w:val="111111"/>
          <w:sz w:val="28"/>
          <w:szCs w:val="28"/>
          <w:rtl/>
        </w:rPr>
        <w:t xml:space="preserve">۴۴. تهران؛ ملی؛ شماره نسخه: ۴۳۴۶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۱۲۴۰ق؛ مصحح، کاغذ: فرنگی نخودی، جلد: مقوایی با روکش کاغذی شطرنجی آبی و سفید عطف و گوشه ها تیماج قهوه ای روشن، ۵۸گ، ۱۷سطر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۱۸-۳۱۵]</w:t>
      </w:r>
    </w:p>
    <w:p>
      <w:pPr>
        <w:pStyle w:val="BookText"/>
      </w:pPr>
      <w:r>
        <w:rPr>
          <w:rFonts w:ascii="IRNazanin" w:hAnsi="IRNazanin" w:eastAsia="IRNazanin" w:cs="IRNazanin"/>
          <w:lang w:bidi="fa-IR"/>
          <w:color w:val="111111"/>
          <w:sz w:val="28"/>
          <w:szCs w:val="28"/>
          <w:rtl/>
        </w:rPr>
        <w:t xml:space="preserve">۴۵. تبریز؛ تربیت؛ شماره نسخه: ۲۵۲</w:t>
      </w:r>
    </w:p>
    <w:p>
      <w:pPr>
        <w:pStyle w:val="BookText"/>
      </w:pPr>
      <w:r>
        <w:rPr>
          <w:rFonts w:ascii="IRNazanin" w:hAnsi="IRNazanin" w:eastAsia="IRNazanin" w:cs="IRNazanin"/>
          <w:lang w:bidi="fa-IR"/>
          <w:color w:val="111111"/>
          <w:sz w:val="28"/>
          <w:szCs w:val="28"/>
          <w:rtl/>
        </w:rPr>
        <w:t xml:space="preserve">از ابتداء طهارت تا آخر صلوة می باشد و پسر بزرگش شیخ حسن تكمله ای در احکام صوم و اعتکاف نوشته و بدان ملحق کرده؛ خط: نسخ، بی کا، تا: ۱۲۴۲ق، مصحح. [ف: ۲۸]</w:t>
      </w:r>
    </w:p>
    <w:p>
      <w:pPr>
        <w:pStyle w:val="BookText"/>
      </w:pPr>
      <w:r>
        <w:rPr>
          <w:rFonts w:ascii="IRNazanin" w:hAnsi="IRNazanin" w:eastAsia="IRNazanin" w:cs="IRNazanin"/>
          <w:lang w:bidi="fa-IR"/>
          <w:color w:val="111111"/>
          <w:sz w:val="28"/>
          <w:szCs w:val="28"/>
          <w:rtl/>
        </w:rPr>
        <w:t xml:space="preserve">۴۶. تهران؛ سپهسالار؛ شماره نسخه: ۷۴۴۸</w:t>
      </w:r>
    </w:p>
    <w:p>
      <w:pPr>
        <w:pStyle w:val="BookText"/>
      </w:pPr>
      <w:r>
        <w:rPr>
          <w:rFonts w:ascii="IRNazanin" w:hAnsi="IRNazanin" w:eastAsia="IRNazanin" w:cs="IRNazanin"/>
          <w:lang w:bidi="fa-IR"/>
          <w:color w:val="111111"/>
          <w:sz w:val="28"/>
          <w:szCs w:val="28"/>
          <w:rtl/>
        </w:rPr>
        <w:t xml:space="preserve">کامل و پس از آن تکلمه آن نوشته شده؛ خط: نسخ، كا: سید عبدالوهاب بن ابوالقاسم حسینی، تا: چهارشنبه ۱ ربیع الاول ۱۲۴۲ق؛ متن در ۲پ -۷۱ر و تكمله در ۷۲-۱۲۳؛ کاغذ: فرنگی سفید، جلد: تیماج مشکی مقوا، ۱۲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سم [ف: ۳-۲۵۷]</w:t>
      </w:r>
    </w:p>
    <w:p>
      <w:pPr>
        <w:pStyle w:val="BookText"/>
      </w:pPr>
      <w:r>
        <w:rPr>
          <w:rFonts w:ascii="IRNazanin" w:hAnsi="IRNazanin" w:eastAsia="IRNazanin" w:cs="IRNazanin"/>
          <w:lang w:bidi="fa-IR"/>
          <w:color w:val="111111"/>
          <w:sz w:val="28"/>
          <w:szCs w:val="28"/>
          <w:rtl/>
        </w:rPr>
        <w:t xml:space="preserve">۴۷. خوی؛ نمازی؛ شماره نسخه: ۶۳۶/۱</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تا: غره شعبان ۱۲۴۳ق، مصحح، مقابله شده؛ جلد: تیماج قهوه ای، ۱۶۹ص،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 [ف: ۳۴۴]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 مرکز احیاء؛ شماره نسخه: ۸۷۵/۱</w:t>
      </w:r>
    </w:p>
    <w:p>
      <w:pPr>
        <w:pStyle w:val="BookText"/>
      </w:pPr>
      <w:r>
        <w:rPr>
          <w:rFonts w:ascii="IRNazanin" w:hAnsi="IRNazanin" w:eastAsia="IRNazanin" w:cs="IRNazanin"/>
          <w:lang w:bidi="fa-IR"/>
          <w:color w:val="111111"/>
          <w:sz w:val="28"/>
          <w:szCs w:val="28"/>
          <w:rtl/>
        </w:rPr>
        <w:t xml:space="preserve">نسخه اصلی: همان نسخه بالا [عکسی ف: ۳-۶۶]</w:t>
      </w:r>
    </w:p>
    <w:p>
      <w:pPr>
        <w:pStyle w:val="BookText"/>
      </w:pPr>
      <w:r>
        <w:rPr>
          <w:rFonts w:ascii="IRNazanin" w:hAnsi="IRNazanin" w:eastAsia="IRNazanin" w:cs="IRNazanin"/>
          <w:lang w:bidi="fa-IR"/>
          <w:color w:val="111111"/>
          <w:sz w:val="28"/>
          <w:szCs w:val="28"/>
          <w:rtl/>
        </w:rPr>
        <w:t xml:space="preserve">۴۸. قم؛ مرعشی؛ شماره نسخه: ۲۰۰۹/۱</w:t>
      </w:r>
    </w:p>
    <w:p>
      <w:pPr>
        <w:pStyle w:val="BookText"/>
      </w:pPr>
      <w:r>
        <w:rPr>
          <w:rFonts w:ascii="IRNazanin" w:hAnsi="IRNazanin" w:eastAsia="IRNazanin" w:cs="IRNazanin"/>
          <w:lang w:bidi="fa-IR"/>
          <w:color w:val="111111"/>
          <w:sz w:val="28"/>
          <w:szCs w:val="28"/>
          <w:rtl/>
        </w:rPr>
        <w:t xml:space="preserve">خط: نسخ، كا: جعفر قلی بن عبدالعلی، تا: سه شنبه ۱۴ صفر ۱۲۴۳ق؛ جلد: مقوایی عطف تیماج قهوه ای، ۶۷گ (۱پ-۶۷ر)، ۲۰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۶-۱۲]</w:t>
      </w:r>
    </w:p>
    <w:p>
      <w:pPr>
        <w:pStyle w:val="BookText"/>
      </w:pPr>
      <w:r>
        <w:rPr>
          <w:rFonts w:ascii="IRNazanin" w:hAnsi="IRNazanin" w:eastAsia="IRNazanin" w:cs="IRNazanin"/>
          <w:lang w:bidi="fa-IR"/>
          <w:color w:val="111111"/>
          <w:sz w:val="28"/>
          <w:szCs w:val="28"/>
          <w:rtl/>
        </w:rPr>
        <w:t xml:space="preserve">۴۹. قم؛ مرکز احیاء؛ شماره نسخه: ۲۴۶۳</w:t>
      </w:r>
    </w:p>
    <w:p>
      <w:pPr>
        <w:pStyle w:val="BookText"/>
      </w:pPr>
      <w:r>
        <w:rPr>
          <w:rFonts w:ascii="IRNazanin" w:hAnsi="IRNazanin" w:eastAsia="IRNazanin" w:cs="IRNazanin"/>
          <w:lang w:bidi="fa-IR"/>
          <w:color w:val="111111"/>
          <w:sz w:val="28"/>
          <w:szCs w:val="28"/>
          <w:rtl/>
        </w:rPr>
        <w:t xml:space="preserve">نسخه اصل: کتابخانه در نجف اشرف. مشتمل بر تكمله ای است که فرزند مؤلف در صوم و اعتکاف بر کتاب نگاشته؛ خط: نسخ، کا: محمد بن على حویزی، تا: جمعه آخر جمادی الثانی ۱۲۴۳ق؛ مجدول، دارای تعلیقاتی با رمز «م»؛ تملك: محمد حسن بن محمد صالح كبه به سال ۱۳۰۱؛ ۲۹۶ص [عکسی ف: ۷-۷۵]</w:t>
      </w:r>
    </w:p>
    <w:p>
      <w:pPr>
        <w:pStyle w:val="BookText"/>
      </w:pPr>
      <w:r>
        <w:rPr>
          <w:rFonts w:ascii="IRNazanin" w:hAnsi="IRNazanin" w:eastAsia="IRNazanin" w:cs="IRNazanin"/>
          <w:lang w:bidi="fa-IR"/>
          <w:color w:val="111111"/>
          <w:sz w:val="28"/>
          <w:szCs w:val="28"/>
          <w:rtl/>
        </w:rPr>
        <w:t xml:space="preserve">۵۰. تهران، دانشگاه؛ شماره نسخه: ۵۰۴۳/۱</w:t>
      </w:r>
    </w:p>
    <w:p>
      <w:pPr>
        <w:pStyle w:val="BookText"/>
      </w:pPr>
      <w:r>
        <w:rPr>
          <w:rFonts w:ascii="IRNazanin" w:hAnsi="IRNazanin" w:eastAsia="IRNazanin" w:cs="IRNazanin"/>
          <w:lang w:bidi="fa-IR"/>
          <w:color w:val="111111"/>
          <w:sz w:val="28"/>
          <w:szCs w:val="28"/>
          <w:rtl/>
        </w:rPr>
        <w:t xml:space="preserve">خط: نسخ، كا: على اشرف مراغی، تا: ۱۲۴۳ق، نوشته از روی اصل مؤلف؛ کاغذ: فرنگی، جلد: تیماج قهوه ای با جدول، ۴۳گ (1ر -۴۳پ)، ۱۸ سطر (۶/۵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۱۲/۵)، قطع: جیبی،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۱۵-۴۰۹۵]</w:t>
      </w:r>
    </w:p>
    <w:p>
      <w:pPr>
        <w:pStyle w:val="BookText"/>
      </w:pPr>
      <w:r>
        <w:rPr>
          <w:rFonts w:ascii="IRNazanin" w:hAnsi="IRNazanin" w:eastAsia="IRNazanin" w:cs="IRNazanin"/>
          <w:lang w:bidi="fa-IR"/>
          <w:color w:val="111111"/>
          <w:sz w:val="28"/>
          <w:szCs w:val="28"/>
          <w:rtl/>
        </w:rPr>
        <w:t xml:space="preserve">۵۱. تهران؛ ملی؛ شماره نسخه: ۶۹۲۷</w:t>
      </w:r>
    </w:p>
    <w:p>
      <w:pPr>
        <w:pStyle w:val="BookText"/>
      </w:pPr>
      <w:r>
        <w:rPr>
          <w:rFonts w:ascii="Amiri" w:hAnsi="Amiri" w:eastAsia="Amiri" w:cs="Amiri"/>
          <w:lang w:bidi="ar-SA"/>
          <w:color w:val="111111"/>
          <w:sz w:val="28"/>
          <w:szCs w:val="28"/>
          <w:rtl/>
        </w:rPr>
        <w:t xml:space="preserve">آغاز: برابر؛ انجام: ففي وجوب خروجها الى المنزل للاعتداد او وجوب اعتدادها في المسجد مده الاعتكاف قولان</w:t>
      </w:r>
    </w:p>
    <w:p>
      <w:pPr>
        <w:pStyle w:val="BookText"/>
      </w:pPr>
      <w:r>
        <w:rPr>
          <w:rFonts w:ascii="IRNazanin" w:hAnsi="IRNazanin" w:eastAsia="IRNazanin" w:cs="IRNazanin"/>
          <w:lang w:bidi="fa-IR"/>
          <w:color w:val="111111"/>
          <w:sz w:val="28"/>
          <w:szCs w:val="28"/>
          <w:rtl/>
        </w:rPr>
        <w:t xml:space="preserve">دارای تكمله فرزند مؤلف؛ خط: نسخ متوسط، كا: میرزا محمد بن على اكبر، تا: سه شنبه ۷ جمادی الاول ۱۲۴۶ق؛ مصحح؛ مهر: «الموكل على الله عبده هدایت» (مربع)؛ خریداری شده از محمودی؛ کاغذ: فرنگی نخودی آهار مهره، جلد: تیماج قهوه ای، یک لا، ۱۱۳گ، ۱۵ سطر (۱۱۷۷)،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سم [رایانه]</w:t>
      </w:r>
    </w:p>
    <w:p>
      <w:pPr>
        <w:pStyle w:val="BookText"/>
      </w:pPr>
      <w:r>
        <w:rPr>
          <w:rFonts w:ascii="IRNazanin" w:hAnsi="IRNazanin" w:eastAsia="IRNazanin" w:cs="IRNazanin"/>
          <w:lang w:bidi="fa-IR"/>
          <w:color w:val="111111"/>
          <w:sz w:val="28"/>
          <w:szCs w:val="28"/>
          <w:rtl/>
        </w:rPr>
        <w:t xml:space="preserve">۵۲. تبریز؛ تربیت؛ شماره نسخه: ۳۷</w:t>
      </w:r>
    </w:p>
    <w:p>
      <w:pPr>
        <w:pStyle w:val="BookText"/>
      </w:pPr>
      <w:r>
        <w:rPr>
          <w:rFonts w:ascii="IRNazanin" w:hAnsi="IRNazanin" w:eastAsia="IRNazanin" w:cs="IRNazanin"/>
          <w:lang w:bidi="fa-IR"/>
          <w:color w:val="111111"/>
          <w:sz w:val="28"/>
          <w:szCs w:val="28"/>
          <w:rtl/>
        </w:rPr>
        <w:t xml:space="preserve">بی کا، بی تا؛ در پشت ورق آخر کتاب تاریخ تولد نوزادی به سال ۱۲۴۶ نوشته شده [ف: ۲۸]</w:t>
      </w:r>
    </w:p>
    <w:p>
      <w:pPr>
        <w:pStyle w:val="BookText"/>
      </w:pPr>
      <w:r>
        <w:rPr>
          <w:rFonts w:ascii="IRNazanin" w:hAnsi="IRNazanin" w:eastAsia="IRNazanin" w:cs="IRNazanin"/>
          <w:lang w:bidi="fa-IR"/>
          <w:color w:val="111111"/>
          <w:sz w:val="28"/>
          <w:szCs w:val="28"/>
          <w:rtl/>
        </w:rPr>
        <w:t xml:space="preserve">۵۳. مشهد؛ رضوی؛ شماره نسخه: ض۱۳۵۱۴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على بن رحیم نیری، تا: ربيع الثانی ۱۲۵۰ق؛ افتادگی: انجام؛ در همان سال در نجف اشرف تصحیح و مقابله شده؛ کاغذ: نخودی، جلد: تیماج مشکی یک لا، ۴۸گ، ۲۰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۲۰-۶۴]</w:t>
      </w:r>
    </w:p>
    <w:p>
      <w:pPr>
        <w:pStyle w:val="BookText"/>
      </w:pPr>
      <w:r>
        <w:rPr>
          <w:rFonts w:ascii="IRNazanin" w:hAnsi="IRNazanin" w:eastAsia="IRNazanin" w:cs="IRNazanin"/>
          <w:lang w:bidi="fa-IR"/>
          <w:color w:val="111111"/>
          <w:sz w:val="28"/>
          <w:szCs w:val="28"/>
          <w:rtl/>
        </w:rPr>
        <w:t xml:space="preserve">۵۴. تهران؛ مجلس؛ شماره نسخه: ۱۴۷۲۴/۱</w:t>
      </w:r>
    </w:p>
    <w:p>
      <w:pPr>
        <w:pStyle w:val="BookText"/>
      </w:pPr>
      <w:r>
        <w:rPr>
          <w:rFonts w:ascii="IRNazanin" w:hAnsi="IRNazanin" w:eastAsia="IRNazanin" w:cs="IRNazanin"/>
          <w:lang w:bidi="fa-IR"/>
          <w:color w:val="111111"/>
          <w:sz w:val="28"/>
          <w:szCs w:val="28"/>
          <w:rtl/>
        </w:rPr>
        <w:t xml:space="preserve">آغاز: برابر خط: نسخ مایل به نستعلیق، كا: حسین سبزواری، تا: یک شنبه ۱۲۵۱ق، جا: نجف اشرف؛ در آغاز نسخه مطلبی درباره قاعده عسر و حرج به نقل از بعضی تلامذه شیخ علی کاشف الغطاء (نجفی) ذکر شده، محشی به امضای «عبدالله»، امضای مقابله و تصریح به دقت در انجام مقابله شده، پایان «بلغ المقابلة الى هنا مع غاية الاحتياط»؛ یادداشتی فقهی به سال ۱۲۵۱، یادداشت انتقال کتاب به عبدالعزيز بن محمد شریف، مطلبی از محمود حنفی در« وقعة كربلاء»؛ جلد: تیماج مشکی بدون مقوا ضربی گرهی، ۱۶۰گ (۴پ -۱۶۳ر)، ۱۵ سطر، اندازه: 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۱۵/۶سم [ف: ۴۱-۱۸۰]</w:t>
      </w:r>
    </w:p>
    <w:p>
      <w:pPr>
        <w:pStyle w:val="BookText"/>
      </w:pPr>
      <w:r>
        <w:rPr>
          <w:rFonts w:ascii="IRNazanin" w:hAnsi="IRNazanin" w:eastAsia="IRNazanin" w:cs="IRNazanin"/>
          <w:lang w:bidi="fa-IR"/>
          <w:color w:val="111111"/>
          <w:sz w:val="28"/>
          <w:szCs w:val="28"/>
          <w:rtl/>
        </w:rPr>
        <w:t xml:space="preserve">۵۵. قم، گلپایگانی؛ شماره نسخه: ۱۶۴۶- ۹/۱۹۶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هادي بن عبد الکریم کو کدی گلپایگانی، تا: یک شنبه ۹ صفر ۱۲۵۱ق؛ تملک: اسد الله بن سید احمد گلپایگانی با مهر وی؛ جلد: تیماج قهوه ای، ۹۱گ، ۱۴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سم [ف: ۲-۶۲۶]</w:t>
      </w:r>
    </w:p>
    <w:p>
      <w:pPr>
        <w:pStyle w:val="BookText"/>
      </w:pPr>
      <w:r>
        <w:rPr>
          <w:rFonts w:ascii="IRNazanin" w:hAnsi="IRNazanin" w:eastAsia="IRNazanin" w:cs="IRNazanin"/>
          <w:lang w:bidi="fa-IR"/>
          <w:color w:val="111111"/>
          <w:sz w:val="28"/>
          <w:szCs w:val="28"/>
          <w:rtl/>
        </w:rPr>
        <w:t xml:space="preserve">۵۶. قم؛ مرعشی؛ شماره نسخه: ۱۰۷۶۲/۱</w:t>
      </w:r>
    </w:p>
    <w:p>
      <w:pPr>
        <w:pStyle w:val="BookText"/>
      </w:pPr>
      <w:r>
        <w:rPr>
          <w:rFonts w:ascii="IRNazanin" w:hAnsi="IRNazanin" w:eastAsia="IRNazanin" w:cs="IRNazanin"/>
          <w:lang w:bidi="fa-IR"/>
          <w:color w:val="111111"/>
          <w:sz w:val="28"/>
          <w:szCs w:val="28"/>
          <w:rtl/>
        </w:rPr>
        <w:t xml:space="preserve">خط: نسخ و نستعلیق، بی کا، تا: ۱۲۵۳ق؛ قطع: وزيري [میراث شهاب: س وش ۲-۳۴]</w:t>
      </w:r>
    </w:p>
    <w:p>
      <w:pPr>
        <w:pStyle w:val="BookText"/>
      </w:pPr>
      <w:r>
        <w:rPr>
          <w:rFonts w:ascii="IRNazanin" w:hAnsi="IRNazanin" w:eastAsia="IRNazanin" w:cs="IRNazanin"/>
          <w:lang w:bidi="fa-IR"/>
          <w:color w:val="111111"/>
          <w:sz w:val="28"/>
          <w:szCs w:val="28"/>
          <w:rtl/>
        </w:rPr>
        <w:t xml:space="preserve">۵۷. تهران؛ ملی؛ شماره نسخه: ۱۸۲۰۱</w:t>
      </w:r>
    </w:p>
    <w:p>
      <w:pPr>
        <w:pStyle w:val="BookText"/>
      </w:pPr>
      <w:r>
        <w:rPr>
          <w:rFonts w:ascii="IRNazanin" w:hAnsi="IRNazanin" w:eastAsia="IRNazanin" w:cs="IRNazanin"/>
          <w:lang w:bidi="fa-IR"/>
          <w:color w:val="111111"/>
          <w:sz w:val="28"/>
          <w:szCs w:val="28"/>
          <w:rtl/>
        </w:rPr>
        <w:t xml:space="preserve">بی کا، تا: ۱۲۶۴ق؛ انتقالی از کتابخانه پهلوی - مجموعه نوازی؛ اندازه: ۲۰/۴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[رایانه]</w:t>
      </w:r>
    </w:p>
    <w:p>
      <w:pPr>
        <w:pStyle w:val="BookText"/>
      </w:pPr>
      <w:r>
        <w:rPr>
          <w:rFonts w:ascii="IRNazanin" w:hAnsi="IRNazanin" w:eastAsia="IRNazanin" w:cs="IRNazanin"/>
          <w:lang w:bidi="fa-IR"/>
          <w:color w:val="111111"/>
          <w:sz w:val="28"/>
          <w:szCs w:val="28"/>
          <w:rtl/>
        </w:rPr>
        <w:t xml:space="preserve">۵۸. چالوس؛ امام صادق شماره نسخه: ۳۲۹</w:t>
      </w:r>
    </w:p>
    <w:p>
      <w:pPr>
        <w:pStyle w:val="BookText"/>
      </w:pPr>
      <w:r>
        <w:rPr>
          <w:rFonts w:ascii="IRNazanin" w:hAnsi="IRNazanin" w:eastAsia="IRNazanin" w:cs="IRNazanin"/>
          <w:lang w:bidi="fa-IR"/>
          <w:color w:val="111111"/>
          <w:sz w:val="28"/>
          <w:szCs w:val="28"/>
          <w:rtl/>
        </w:rPr>
        <w:t xml:space="preserve">آغاز: برابر؛ انجام: هكذا الحال بالنسبة إلى جميع ما فيه قیل و قال و قد مرت اشارة بالتفصيل و هو حسبی و نعم الوكيل خط: نسخ، كان على بن مختار، تا: ۱۲۶۵ق؛ جلد: تیماج سیاه، ۴۱گ، ۱۳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[ف: ۴۲]</w:t>
      </w:r>
    </w:p>
    <w:p>
      <w:pPr>
        <w:pStyle w:val="BookText"/>
      </w:pPr>
      <w:r>
        <w:rPr>
          <w:rFonts w:ascii="IRNazanin" w:hAnsi="IRNazanin" w:eastAsia="IRNazanin" w:cs="IRNazanin"/>
          <w:lang w:bidi="fa-IR"/>
          <w:color w:val="111111"/>
          <w:sz w:val="28"/>
          <w:szCs w:val="28"/>
          <w:rtl/>
        </w:rPr>
        <w:t xml:space="preserve">۵۹. یزد؛ وزیری؛ شماره نسخه: ۲۴۹۷</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کامل؛ خط: نسخ، كا: محمد بن محمد باقر، تا: شوال ۱۲۷۲ق؛ اهدایی: وزیری؛ کاغذ: ترمه، جلد: تیماج مشکی نرم، ۵۹گ، ۱۶ سطر (۱۱۶۵)،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[ف: ۴-۱۳۱۸]</w:t>
      </w:r>
    </w:p>
    <w:p>
      <w:pPr>
        <w:pStyle w:val="BookText"/>
      </w:pPr>
      <w:r>
        <w:rPr>
          <w:rFonts w:ascii="IRNazanin" w:hAnsi="IRNazanin" w:eastAsia="IRNazanin" w:cs="IRNazanin"/>
          <w:lang w:bidi="fa-IR"/>
          <w:color w:val="111111"/>
          <w:sz w:val="28"/>
          <w:szCs w:val="28"/>
          <w:rtl/>
        </w:rPr>
        <w:t xml:space="preserve">۶۰. قم؛ مرعشی؛ شماره نسخه: ۱۰۷۷۷</w:t>
      </w:r>
    </w:p>
    <w:p>
      <w:pPr>
        <w:pStyle w:val="BookText"/>
      </w:pPr>
      <w:r>
        <w:rPr>
          <w:rFonts w:ascii="IRNazanin" w:hAnsi="IRNazanin" w:eastAsia="IRNazanin" w:cs="IRNazanin"/>
          <w:lang w:bidi="fa-IR"/>
          <w:color w:val="111111"/>
          <w:sz w:val="28"/>
          <w:szCs w:val="28"/>
          <w:rtl/>
        </w:rPr>
        <w:t xml:space="preserve">خط: نسخ، بی کا، تا: ۱۳۱۹ق، مصحح: قطع: وزیری کوچک [میراث شهاب: س وش ۲-۵]</w:t>
      </w:r>
    </w:p>
    <w:p>
      <w:pPr>
        <w:pStyle w:val="BookText"/>
      </w:pPr>
      <w:r>
        <w:rPr>
          <w:rFonts w:ascii="IRNazanin" w:hAnsi="IRNazanin" w:eastAsia="IRNazanin" w:cs="IRNazanin"/>
          <w:lang w:bidi="fa-IR"/>
          <w:color w:val="111111"/>
          <w:sz w:val="28"/>
          <w:szCs w:val="28"/>
          <w:rtl/>
        </w:rPr>
        <w:t xml:space="preserve">۶۱. تهران؛ مجلس؛ شماره نسخه: ۱۳۱۸۱</w:t>
      </w:r>
    </w:p>
    <w:p>
      <w:pPr>
        <w:pStyle w:val="BookText"/>
      </w:pPr>
      <w:r>
        <w:rPr>
          <w:rFonts w:ascii="IRNazanin" w:hAnsi="IRNazanin" w:eastAsia="IRNazanin" w:cs="IRNazanin"/>
          <w:lang w:bidi="fa-IR"/>
          <w:color w:val="111111"/>
          <w:sz w:val="28"/>
          <w:szCs w:val="28"/>
          <w:rtl/>
        </w:rPr>
        <w:t xml:space="preserve">خط: نسخ، بی کا، بی تا؛ جلد: تیماج قهوه ای مجدول، ۴۶گ، ۲۰ سطر، اندازه: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۲۰/۵سم [ف: ۳۶-۲۷۰]</w:t>
      </w:r>
    </w:p>
    <w:p>
      <w:pPr>
        <w:pStyle w:val="BookText"/>
      </w:pPr>
      <w:r>
        <w:rPr>
          <w:rFonts w:ascii="IRNazanin" w:hAnsi="IRNazanin" w:eastAsia="IRNazanin" w:cs="IRNazanin"/>
          <w:lang w:bidi="fa-IR"/>
          <w:color w:val="111111"/>
          <w:sz w:val="28"/>
          <w:szCs w:val="28"/>
          <w:rtl/>
        </w:rPr>
        <w:t xml:space="preserve">۶۲. قم؛ مرعشی؛ شماره نسخه: ۱۶۹۴</w:t>
      </w:r>
    </w:p>
    <w:p>
      <w:pPr>
        <w:pStyle w:val="BookText"/>
      </w:pPr>
      <w:r>
        <w:rPr>
          <w:rFonts w:ascii="IRNazanin" w:hAnsi="IRNazanin" w:eastAsia="IRNazanin" w:cs="IRNazanin"/>
          <w:lang w:bidi="fa-IR"/>
          <w:color w:val="111111"/>
          <w:sz w:val="28"/>
          <w:szCs w:val="28"/>
          <w:rtl/>
        </w:rPr>
        <w:t xml:space="preserve">خط: نسخ، بی کا، بی تا؛ با حواشی شیخ مرتضی انصاری به نشانی «م»؛ جلد: تیماج قهوه ای بدون مقوا، ۹۴گ، ۱۵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[ف: ۵-۸۹]</w:t>
      </w:r>
    </w:p>
    <w:p>
      <w:pPr>
        <w:pStyle w:val="BookText"/>
      </w:pPr>
      <w:r>
        <w:rPr>
          <w:rFonts w:ascii="IRNazanin" w:hAnsi="IRNazanin" w:eastAsia="IRNazanin" w:cs="IRNazanin"/>
          <w:lang w:bidi="fa-IR"/>
          <w:color w:val="111111"/>
          <w:sz w:val="28"/>
          <w:szCs w:val="28"/>
          <w:rtl/>
        </w:rPr>
        <w:t xml:space="preserve">۶۳. قم؛ حجتیه؛ شماره نسخه: ۵۹۹</w:t>
      </w:r>
    </w:p>
    <w:p>
      <w:pPr>
        <w:pStyle w:val="BookText"/>
      </w:pPr>
      <w:r>
        <w:rPr>
          <w:rFonts w:ascii="IRNazanin" w:hAnsi="IRNazanin" w:eastAsia="IRNazanin" w:cs="IRNazanin"/>
          <w:lang w:bidi="fa-IR"/>
          <w:color w:val="111111"/>
          <w:sz w:val="28"/>
          <w:szCs w:val="28"/>
          <w:rtl/>
        </w:rPr>
        <w:t xml:space="preserve">خط: نسخ، بی کا، بی تا؛ بخش اول این رساله را که در اصول عقائد است ندارد [ف: ۳۹]</w:t>
      </w:r>
    </w:p>
    <w:p>
      <w:pPr>
        <w:pStyle w:val="BookText"/>
      </w:pPr>
      <w:r>
        <w:rPr>
          <w:rFonts w:ascii="IRNazanin" w:hAnsi="IRNazanin" w:eastAsia="IRNazanin" w:cs="IRNazanin"/>
          <w:lang w:bidi="fa-IR"/>
          <w:color w:val="111111"/>
          <w:sz w:val="28"/>
          <w:szCs w:val="28"/>
          <w:rtl/>
        </w:rPr>
        <w:t xml:space="preserve">۶۴. قم؛ مرعشی؛ شماره نسخه: ۱۰۴۴۱/۱</w:t>
      </w:r>
    </w:p>
    <w:p>
      <w:pPr>
        <w:pStyle w:val="BookText"/>
      </w:pPr>
      <w:r>
        <w:rPr>
          <w:rFonts w:ascii="IRNazanin" w:hAnsi="IRNazanin" w:eastAsia="IRNazanin" w:cs="IRNazanin"/>
          <w:lang w:bidi="fa-IR"/>
          <w:color w:val="111111"/>
          <w:sz w:val="28"/>
          <w:szCs w:val="28"/>
          <w:rtl/>
        </w:rPr>
        <w:t xml:space="preserve">کان ابوالحسن بن سید محمد نبی، تا: عصر مؤلف؛ مصحح، مقابله شده؛ قطع: جيبي [میراث شهاب: س ۸ش ۴-۶۹]</w:t>
      </w:r>
    </w:p>
    <w:p>
      <w:pPr>
        <w:pStyle w:val="BookText"/>
      </w:pPr>
      <w:r>
        <w:rPr>
          <w:rFonts w:ascii="IRNazanin" w:hAnsi="IRNazanin" w:eastAsia="IRNazanin" w:cs="IRNazanin"/>
          <w:lang w:bidi="fa-IR"/>
          <w:color w:val="111111"/>
          <w:sz w:val="28"/>
          <w:szCs w:val="28"/>
          <w:rtl/>
        </w:rPr>
        <w:t xml:space="preserve">۶۵. قم؛ گلپایگانی؛ شماره نسخه: ۸۵۴۸/۳ - ۵۷/۲۱۸</w:t>
      </w:r>
    </w:p>
    <w:p>
      <w:pPr>
        <w:pStyle w:val="BookText"/>
      </w:pPr>
      <w:r>
        <w:rPr>
          <w:rFonts w:ascii="Amiri" w:hAnsi="Amiri" w:eastAsia="Amiri" w:cs="Amiri"/>
          <w:lang w:bidi="ar-SA"/>
          <w:color w:val="111111"/>
          <w:sz w:val="28"/>
          <w:szCs w:val="28"/>
          <w:rtl/>
        </w:rPr>
        <w:t xml:space="preserve">آغاز : كل ذلك مع الاعادة ولو بني على سبق سابق فقدمه ثم ظهر لاحقا او بالعكس صح على الاصح؛ انجام: برابر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6" w:name="pg20363_209200"/>
    <w:bookmarkEnd w:id="46"/>
    <w:p>
      <w:pPr>
        <w:pStyle w:val="BookText"/>
      </w:pPr>
      <w:r>
        <w:rPr>
          <w:rFonts w:ascii="IRNazanin" w:hAnsi="IRNazanin" w:eastAsia="IRNazanin" w:cs="IRNazanin"/>
          <w:lang w:bidi="fa-IR"/>
          <w:color w:val="111111"/>
          <w:sz w:val="28"/>
          <w:szCs w:val="28"/>
          <w:rtl/>
        </w:rPr>
        <w:t xml:space="preserve">خط: نسخ، كا: مرتضی بن محمد زکی موسوی، در ایام طفولیت قبل از تکلیف نوشته، بی تا؛ افتادگی: آغاز، ۶۴ص (۸۵-۱۴۸)، ۱۳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[ف: ۲-۶۲۷]</w:t>
      </w:r>
    </w:p>
    <w:p>
      <w:pPr>
        <w:pStyle w:val="BookText"/>
      </w:pPr>
      <w:r>
        <w:rPr>
          <w:rFonts w:ascii="IRNazanin" w:hAnsi="IRNazanin" w:eastAsia="IRNazanin" w:cs="IRNazanin"/>
          <w:lang w:bidi="fa-IR"/>
          <w:color w:val="111111"/>
          <w:sz w:val="28"/>
          <w:szCs w:val="28"/>
          <w:rtl/>
        </w:rPr>
        <w:t xml:space="preserve">۶۶. قم؛ مسجد اعظم؛ شماره نسخه: ۵۴۶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جلد: گالینگور سبز، عطف تیماج زرشکی، ۷۱گ، ۱۷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مخ: ۱-۲۷۶)</w:t>
      </w:r>
    </w:p>
    <w:p>
      <w:pPr>
        <w:pStyle w:val="BookText"/>
      </w:pPr>
      <w:r>
        <w:rPr>
          <w:rFonts w:ascii="IRNazanin" w:hAnsi="IRNazanin" w:eastAsia="IRNazanin" w:cs="IRNazanin"/>
          <w:lang w:bidi="fa-IR"/>
          <w:color w:val="111111"/>
          <w:sz w:val="28"/>
          <w:szCs w:val="28"/>
          <w:rtl/>
        </w:rPr>
        <w:t xml:space="preserve">۶۷. قزوین؛ امام صادق؛ شماره نسخه: ۵۱۶/۱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بی کا، بی تا؛ جلد: گالینگور سرخ [ف: ۱-۴۰۳]</w:t>
      </w:r>
    </w:p>
    <w:p>
      <w:pPr>
        <w:pStyle w:val="BookText"/>
      </w:pPr>
      <w:r>
        <w:rPr>
          <w:rFonts w:ascii="IRNazanin" w:hAnsi="IRNazanin" w:eastAsia="IRNazanin" w:cs="IRNazanin"/>
          <w:lang w:bidi="fa-IR"/>
          <w:color w:val="111111"/>
          <w:sz w:val="28"/>
          <w:szCs w:val="28"/>
          <w:rtl/>
        </w:rPr>
        <w:t xml:space="preserve">۶۸. تهران؛ سپهسالار؛ شماره نسخه: ۶۸۵۶/۲</w:t>
      </w:r>
    </w:p>
    <w:p>
      <w:pPr>
        <w:pStyle w:val="BookText"/>
      </w:pPr>
      <w:r>
        <w:rPr>
          <w:rFonts w:ascii="IRNazanin" w:hAnsi="IRNazanin" w:eastAsia="IRNazanin" w:cs="IRNazanin"/>
          <w:lang w:bidi="fa-IR"/>
          <w:color w:val="111111"/>
          <w:sz w:val="28"/>
          <w:szCs w:val="28"/>
          <w:rtl/>
        </w:rPr>
        <w:t xml:space="preserve">انجام: و من دخل عليه الوقت خط: نسخ، بی کا، بی تا؛ افتادگی: انجام؛ کاغذ: فرنگی، جلد: مقوا، ۴۴گ (۱۱۱-۱۵۴پ)، ۱۸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۳-۲۵۷]</w:t>
      </w:r>
    </w:p>
    <w:p>
      <w:pPr>
        <w:pStyle w:val="BookText"/>
      </w:pPr>
      <w:r>
        <w:rPr>
          <w:rFonts w:ascii="IRNazanin" w:hAnsi="IRNazanin" w:eastAsia="IRNazanin" w:cs="IRNazanin"/>
          <w:lang w:bidi="fa-IR"/>
          <w:color w:val="111111"/>
          <w:sz w:val="28"/>
          <w:szCs w:val="28"/>
          <w:rtl/>
        </w:rPr>
        <w:t xml:space="preserve">۶۹. قم؛ مرعشی؛ شماره نسخه: ۹۶۸۴</w:t>
      </w:r>
    </w:p>
    <w:p>
      <w:pPr>
        <w:pStyle w:val="BookText"/>
      </w:pPr>
      <w:r>
        <w:rPr>
          <w:rFonts w:ascii="IRNazanin" w:hAnsi="IRNazanin" w:eastAsia="IRNazanin" w:cs="IRNazanin"/>
          <w:lang w:bidi="fa-IR"/>
          <w:color w:val="111111"/>
          <w:sz w:val="28"/>
          <w:szCs w:val="28"/>
          <w:rtl/>
        </w:rPr>
        <w:t xml:space="preserve">از طهارت تا اعتکاف؛ خط: نسخ، بی کا، بی تا؛ مصحح؛ تملك: ریحان الله موسوی بتاريخ رجب ۱۳۱۹ با مهر</w:t>
      </w:r>
    </w:p>
    <w:p>
      <w:pPr>
        <w:pStyle w:val="BookText"/>
      </w:pPr>
      <w:r>
        <w:rPr>
          <w:rFonts w:ascii="IRNazanin" w:hAnsi="IRNazanin" w:eastAsia="IRNazanin" w:cs="IRNazanin"/>
          <w:lang w:bidi="fa-IR"/>
          <w:color w:val="111111"/>
          <w:sz w:val="28"/>
          <w:szCs w:val="28"/>
          <w:rtl/>
        </w:rPr>
        <w:t xml:space="preserve">«العبد ریحان الله الموسوی» (بیضوی)؛ جلد: مقوایی عطف تیماج قهوه ای، ۱۴۵گ، ۱۳ سطر، اندازه: 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۱۵/۵ سم [ف: ۲۵-۵۳]</w:t>
      </w:r>
    </w:p>
    <w:p>
      <w:pPr>
        <w:pStyle w:val="BookText"/>
      </w:pPr>
      <w:r>
        <w:rPr>
          <w:rFonts w:ascii="IRNazanin" w:hAnsi="IRNazanin" w:eastAsia="IRNazanin" w:cs="IRNazanin"/>
          <w:lang w:bidi="fa-IR"/>
          <w:color w:val="111111"/>
          <w:sz w:val="28"/>
          <w:szCs w:val="28"/>
          <w:rtl/>
        </w:rPr>
        <w:t xml:space="preserve">۷۰. قم؛ گلپایگانی شماره نسخه: ۲۹۷۱/۱ - ۱۵/۲۲۱</w:t>
      </w:r>
    </w:p>
    <w:p>
      <w:pPr>
        <w:pStyle w:val="BookText"/>
      </w:pPr>
      <w:r>
        <w:rPr>
          <w:rFonts w:ascii="Amiri" w:hAnsi="Amiri" w:eastAsia="Amiri" w:cs="Amiri"/>
          <w:lang w:bidi="ar-SA"/>
          <w:color w:val="111111"/>
          <w:sz w:val="28"/>
          <w:szCs w:val="28"/>
          <w:rtl/>
        </w:rPr>
        <w:t xml:space="preserve">آغاز: برابر؛ انجام: ما يبطل الصلوة عمدا و سهوا و منه الحدث و استدبار القبله ... و مع السهو و الغلط تصح الصلوة و يلزم في السهو بعدها سجود السهو و الاحوط</w:t>
      </w:r>
    </w:p>
    <w:p>
      <w:pPr>
        <w:pStyle w:val="BookText"/>
      </w:pPr>
      <w:r>
        <w:rPr>
          <w:rFonts w:ascii="IRNazanin" w:hAnsi="IRNazanin" w:eastAsia="IRNazanin" w:cs="IRNazanin"/>
          <w:lang w:bidi="fa-IR"/>
          <w:color w:val="111111"/>
          <w:sz w:val="28"/>
          <w:szCs w:val="28"/>
          <w:rtl/>
        </w:rPr>
        <w:t xml:space="preserve">خط: نسخ، بی کا، بی تا؛ افتادگی: انجام؛ جلد: تیماج مشکی ضربی مجدول گرهی، ۴۸گی، ۱۴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۲-۶۲۷]</w:t>
      </w:r>
    </w:p>
    <w:p>
      <w:pPr>
        <w:pStyle w:val="Heading3"/>
      </w:pPr>
      <w:bookmarkStart w:id="866" w:name="_Toc126"/>
      <w:r>
        <w:t>• بغية الطالب في معرفة المفروض و الواجب (ترجمه) / فقه / فارسی</w:t>
      </w:r>
      <w:bookmarkEnd w:id="866"/>
    </w:p>
    <w:p>
      <w:pPr>
        <w:pStyle w:val="BookText"/>
      </w:pPr>
      <w:r>
        <w:rPr>
          <w:rFonts w:ascii="Times New Roman" w:hAnsi="Times New Roman" w:eastAsia="Times New Roman" w:cs="Times New Roman"/>
          <w:lang w:val="en-US" w:bidi="en-US"/>
          <w:color w:val="111111"/>
          <w:sz w:val="28"/>
          <w:szCs w:val="28"/>
          <w:rtl/>
        </w:rPr>
        <w:t xml:space="preserve">bugyat-ut talib fi marifat-il mafrud wa-i wajib (t.)</w:t>
      </w:r>
    </w:p>
    <w:p>
      <w:pPr>
        <w:pStyle w:val="BookText"/>
      </w:pPr>
      <w:r>
        <w:rPr>
          <w:rFonts w:ascii="IRNazanin" w:hAnsi="IRNazanin" w:eastAsia="IRNazanin" w:cs="IRNazanin"/>
          <w:lang w:bidi="fa-IR"/>
          <w:color w:val="111111"/>
          <w:sz w:val="28"/>
          <w:szCs w:val="28"/>
          <w:rtl/>
        </w:rPr>
        <w:t xml:space="preserve">بهبهانی، محمود بن محمد علی، ۱۲۰۰-۱۲۷۱ قمری</w:t>
      </w:r>
    </w:p>
    <w:p>
      <w:pPr>
        <w:pStyle w:val="BookText"/>
      </w:pPr>
      <w:r>
        <w:rPr>
          <w:rFonts w:ascii="Times New Roman" w:hAnsi="Times New Roman" w:eastAsia="Times New Roman" w:cs="Times New Roman"/>
          <w:lang w:val="en-US" w:bidi="en-US"/>
          <w:color w:val="111111"/>
          <w:sz w:val="28"/>
          <w:szCs w:val="28"/>
          <w:rtl/>
        </w:rPr>
        <w:t xml:space="preserve">behbahānī, mahmūd ebn-e mohammad ‘alī (1786 1855)</w:t>
      </w:r>
    </w:p>
    <w:p>
      <w:pPr>
        <w:pStyle w:val="BookText"/>
      </w:pPr>
      <w:r>
        <w:rPr>
          <w:rFonts w:ascii="IRNazanin" w:hAnsi="IRNazanin" w:eastAsia="IRNazanin" w:cs="IRNazanin"/>
          <w:lang w:bidi="fa-IR"/>
          <w:color w:val="111111"/>
          <w:sz w:val="28"/>
          <w:szCs w:val="28"/>
          <w:rtl/>
        </w:rPr>
        <w:t xml:space="preserve">وابسته به: بغية الطالب في معرفة المفروض و الواجب؛ کاشف الغطاء، جعفر بن خضر (۱۱۵۴-۱۲۲۸)</w:t>
      </w:r>
    </w:p>
    <w:p>
      <w:pPr>
        <w:pStyle w:val="BookText"/>
      </w:pPr>
      <w:r>
        <w:rPr>
          <w:rFonts w:ascii="IRNazanin" w:hAnsi="IRNazanin" w:eastAsia="IRNazanin" w:cs="IRNazanin"/>
          <w:lang w:bidi="fa-IR"/>
          <w:color w:val="111111"/>
          <w:sz w:val="28"/>
          <w:szCs w:val="28"/>
          <w:rtl/>
        </w:rPr>
        <w:t xml:space="preserve">به دستور: محمد علی میرزا قاجار</w:t>
      </w:r>
    </w:p>
    <w:p>
      <w:pPr>
        <w:pStyle w:val="BookText"/>
      </w:pPr>
      <w:r>
        <w:rPr>
          <w:rFonts w:ascii="IRNazanin" w:hAnsi="IRNazanin" w:eastAsia="IRNazanin" w:cs="IRNazanin"/>
          <w:lang w:bidi="fa-IR"/>
          <w:color w:val="111111"/>
          <w:sz w:val="28"/>
          <w:szCs w:val="28"/>
          <w:rtl/>
        </w:rPr>
        <w:t xml:space="preserve">ترجمه تحت اللفظی نیکویی است از رساله «بغية الطالب في معرفة المفروض و الواجب» شیخ جعفر کاشف الغطاء نجفی.</w:t>
      </w:r>
    </w:p>
    <w:p>
      <w:pPr>
        <w:pStyle w:val="BookText"/>
      </w:pPr>
      <w:r>
        <w:rPr>
          <w:rFonts w:ascii="IRNazanin" w:hAnsi="IRNazanin" w:eastAsia="IRNazanin" w:cs="IRNazanin"/>
          <w:lang w:bidi="fa-IR"/>
          <w:color w:val="111111"/>
          <w:sz w:val="28"/>
          <w:szCs w:val="28"/>
          <w:rtl/>
        </w:rPr>
        <w:t xml:space="preserve">مشهد؛ میبدی؛ شماره نسخه: ۱۵۹</w:t>
      </w:r>
    </w:p>
    <w:p>
      <w:pPr>
        <w:pStyle w:val="BookText"/>
      </w:pPr>
      <w:r>
        <w:rPr>
          <w:rFonts w:ascii="IRNazanin" w:hAnsi="IRNazanin" w:eastAsia="IRNazanin" w:cs="IRNazanin"/>
          <w:lang w:bidi="fa-IR"/>
          <w:color w:val="111111"/>
          <w:sz w:val="28"/>
          <w:szCs w:val="28"/>
          <w:rtl/>
        </w:rPr>
        <w:t xml:space="preserve">آغاز: الحمدلله الذي فضل مداد العلماء على دماء الشهداء ... اما بعد از حمد و ثناء واجب الوجود و فیاض الجود مبدع اشیاء و خالق ارض و سماء؛ انجام: تا اوان ظهور صاحب العصر و الزمان عليه صلوات الرحمن محمد و آله سادات الانس و الجان.</w:t>
      </w:r>
    </w:p>
    <w:p>
      <w:pPr>
        <w:pStyle w:val="BookText"/>
      </w:pPr>
      <w:r>
        <w:rPr>
          <w:rFonts w:ascii="IRNazanin" w:hAnsi="IRNazanin" w:eastAsia="IRNazanin" w:cs="IRNazanin"/>
          <w:lang w:bidi="fa-IR"/>
          <w:color w:val="111111"/>
          <w:sz w:val="28"/>
          <w:szCs w:val="28"/>
          <w:rtl/>
        </w:rPr>
        <w:t xml:space="preserve">خط: نسخ، بی کا، تا: شوال ۱۲۲۵ق؛ جلد: تیماج مشکی ضربی، ۱۰۹گ، ۱۵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۱-۱۳۰]</w:t>
      </w:r>
    </w:p>
    <w:p>
      <w:pPr>
        <w:pStyle w:val="Heading3"/>
      </w:pPr>
      <w:bookmarkStart w:id="867" w:name="_Toc127"/>
      <w:r>
        <w:t>• بغية الطالب في معرفة المفروض و الواجب (ترجمه) / فقه / فارسی</w:t>
      </w:r>
      <w:bookmarkEnd w:id="867"/>
    </w:p>
    <w:p>
      <w:pPr>
        <w:pStyle w:val="BookText"/>
      </w:pPr>
      <w:r>
        <w:rPr>
          <w:rFonts w:ascii="Times New Roman" w:hAnsi="Times New Roman" w:eastAsia="Times New Roman" w:cs="Times New Roman"/>
          <w:lang w:val="en-US" w:bidi="en-US"/>
          <w:color w:val="111111"/>
          <w:sz w:val="28"/>
          <w:szCs w:val="28"/>
          <w:rtl/>
        </w:rPr>
        <w:t xml:space="preserve">bugyat-uț țālib fī ma'rifat-il mafrūd wa-l wājib (t.)</w:t>
      </w:r>
    </w:p>
    <w:p>
      <w:pPr>
        <w:pStyle w:val="BookText"/>
      </w:pPr>
      <w:r>
        <w:rPr>
          <w:rFonts w:ascii="IRNazanin" w:hAnsi="IRNazanin" w:eastAsia="IRNazanin" w:cs="IRNazanin"/>
          <w:lang w:bidi="fa-IR"/>
          <w:color w:val="111111"/>
          <w:sz w:val="28"/>
          <w:szCs w:val="28"/>
          <w:rtl/>
        </w:rPr>
        <w:t xml:space="preserve">شیخ علی، ق۱۳ قمری</w:t>
      </w:r>
    </w:p>
    <w:p>
      <w:pPr>
        <w:pStyle w:val="BookText"/>
      </w:pPr>
      <w:r>
        <w:rPr>
          <w:rFonts w:ascii="Times New Roman" w:hAnsi="Times New Roman" w:eastAsia="Times New Roman" w:cs="Times New Roman"/>
          <w:lang w:val="en-US" w:bidi="en-US"/>
          <w:color w:val="111111"/>
          <w:sz w:val="28"/>
          <w:szCs w:val="28"/>
          <w:rtl/>
        </w:rPr>
        <w:t xml:space="preserve">sayx ali (- 19c)</w:t>
      </w:r>
    </w:p>
    <w:p>
      <w:pPr>
        <w:pStyle w:val="BookText"/>
      </w:pPr>
      <w:r>
        <w:rPr>
          <w:rFonts w:ascii="IRNazanin" w:hAnsi="IRNazanin" w:eastAsia="IRNazanin" w:cs="IRNazanin"/>
          <w:lang w:bidi="fa-IR"/>
          <w:color w:val="111111"/>
          <w:sz w:val="28"/>
          <w:szCs w:val="28"/>
          <w:rtl/>
        </w:rPr>
        <w:t xml:space="preserve">گروهی از مسلمانان از آقا شیخ علی درباره مفروض و واجب سؤالی می کنند و او در پاسخ آنان این کتاب را در سه مطلب که شامل «ایمان؛ آداب؛ دینداری» و «تعیین فرائض اسلامی است» تأليف می نماید.</w:t>
      </w:r>
    </w:p>
    <w:p>
      <w:pPr>
        <w:pStyle w:val="BookText"/>
      </w:pPr>
      <w:r>
        <w:rPr>
          <w:rFonts w:ascii="IRNazanin" w:hAnsi="IRNazanin" w:eastAsia="IRNazanin" w:cs="IRNazanin"/>
          <w:lang w:bidi="fa-IR"/>
          <w:color w:val="111111"/>
          <w:sz w:val="28"/>
          <w:szCs w:val="28"/>
          <w:rtl/>
        </w:rPr>
        <w:t xml:space="preserve">تهران؛ ملی؛ شماره نسخه: ۶۴۰</w:t>
      </w:r>
    </w:p>
    <w:p>
      <w:pPr>
        <w:pStyle w:val="BookText"/>
      </w:pPr>
      <w:r>
        <w:rPr>
          <w:rFonts w:ascii="IRNazanin" w:hAnsi="IRNazanin" w:eastAsia="IRNazanin" w:cs="IRNazanin"/>
          <w:lang w:bidi="fa-IR"/>
          <w:color w:val="111111"/>
          <w:sz w:val="28"/>
          <w:szCs w:val="28"/>
          <w:rtl/>
        </w:rPr>
        <w:t xml:space="preserve">آغاز: بسمله، الحمدلله الذي اسس قواعد الاحکام و رفع دعائم الاسلام و مميز لعباده الحلال من الحرام؛ انجام: و اما بعد از ایام مذکوره پس مرخص است در سفر کردن و کراهتی در آن نیست. تمت كتاب خط: نسخ، كاتب = مؤلف (ظاهر)، تا: قرن ۱۳، جان محتملا آذربایجان؛ کاغذ: فرنگی، جلد: تیماج قهوه ای یک لا، ۱۳۶گ، ۲۲ سطر (۱۵۹)،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۲-۱۴۷]</w:t>
      </w:r>
    </w:p>
    <w:p>
      <w:pPr>
        <w:pStyle w:val="Heading3"/>
      </w:pPr>
      <w:bookmarkStart w:id="868" w:name="_Toc128"/>
      <w:r>
        <w:t>• بغية الطالب في معرفة المفروض و الواجب (ترجمه) / فقه / فارسی</w:t>
      </w:r>
      <w:bookmarkEnd w:id="868"/>
    </w:p>
    <w:p>
      <w:pPr>
        <w:pStyle w:val="BookText"/>
      </w:pPr>
      <w:r>
        <w:rPr>
          <w:rFonts w:ascii="Times New Roman" w:hAnsi="Times New Roman" w:eastAsia="Times New Roman" w:cs="Times New Roman"/>
          <w:lang w:val="en-US" w:bidi="en-US"/>
          <w:color w:val="111111"/>
          <w:sz w:val="28"/>
          <w:szCs w:val="28"/>
          <w:rtl/>
        </w:rPr>
        <w:t xml:space="preserve">bugyat-uț țālib fi ma'rifat-il mafrūd wa-l wājib (t.)</w:t>
      </w:r>
    </w:p>
    <w:p>
      <w:pPr>
        <w:pStyle w:val="BookText"/>
      </w:pPr>
      <w:r>
        <w:rPr>
          <w:rFonts w:ascii="IRNazanin" w:hAnsi="IRNazanin" w:eastAsia="IRNazanin" w:cs="IRNazanin"/>
          <w:lang w:bidi="fa-IR"/>
          <w:color w:val="111111"/>
          <w:sz w:val="28"/>
          <w:szCs w:val="28"/>
          <w:rtl/>
        </w:rPr>
        <w:t xml:space="preserve">خزائیلی، جعفر</w:t>
      </w:r>
    </w:p>
    <w:p>
      <w:pPr>
        <w:pStyle w:val="BookText"/>
      </w:pPr>
      <w:r>
        <w:rPr>
          <w:rFonts w:ascii="Times New Roman" w:hAnsi="Times New Roman" w:eastAsia="Times New Roman" w:cs="Times New Roman"/>
          <w:lang w:val="en-US" w:bidi="en-US"/>
          <w:color w:val="111111"/>
          <w:sz w:val="28"/>
          <w:szCs w:val="28"/>
          <w:rtl/>
        </w:rPr>
        <w:t xml:space="preserve">xazā’īlī, ja far</w:t>
      </w:r>
    </w:p>
    <w:p>
      <w:pPr>
        <w:pStyle w:val="BookText"/>
      </w:pPr>
      <w:r>
        <w:rPr>
          <w:rFonts w:ascii="IRNazanin" w:hAnsi="IRNazanin" w:eastAsia="IRNazanin" w:cs="IRNazanin"/>
          <w:lang w:bidi="fa-IR"/>
          <w:color w:val="111111"/>
          <w:sz w:val="28"/>
          <w:szCs w:val="28"/>
          <w:rtl/>
        </w:rPr>
        <w:t xml:space="preserve">وابسته به: بغية الطالب في معرفة المفروض و الواجب کاشف الغطاء، جعفر بن خضر (۱۱۵۴-۱۲۲۸)</w:t>
      </w:r>
    </w:p>
    <w:p>
      <w:pPr>
        <w:pStyle w:val="BookText"/>
      </w:pPr>
      <w:r>
        <w:rPr>
          <w:rFonts w:ascii="IRNazanin" w:hAnsi="IRNazanin" w:eastAsia="IRNazanin" w:cs="IRNazanin"/>
          <w:lang w:bidi="fa-IR"/>
          <w:color w:val="111111"/>
          <w:sz w:val="28"/>
          <w:szCs w:val="28"/>
          <w:rtl/>
        </w:rPr>
        <w:t xml:space="preserve">ترجمه ای است از کتاب «بغية الطالب في معرفة المفروض و الواجب» شیخ جعفر کاشف الغطاء. گرچه این ترجمه در فهرست به جعفر خزائیلی نسبت داده شده است، ولی آغاز و انجام آن بر آغاز و انجام ترجمه اسدالله بن اسماعیل کاظمی با عنوان «تحفة الراغب» منطبق است و احتمالا همان است.</w:t>
      </w:r>
    </w:p>
    <w:p>
      <w:pPr>
        <w:pStyle w:val="BookText"/>
      </w:pPr>
      <w:r>
        <w:rPr>
          <w:rFonts w:ascii="IRNazanin" w:hAnsi="IRNazanin" w:eastAsia="IRNazanin" w:cs="IRNazanin"/>
          <w:lang w:bidi="fa-IR"/>
          <w:color w:val="111111"/>
          <w:sz w:val="28"/>
          <w:szCs w:val="28"/>
          <w:rtl/>
        </w:rPr>
        <w:t xml:space="preserve">آغاز: الحمدلله الذي اسس قواعد الاحکام ... اما بعد سوال کردند جمعی از پرهیزکاران ... و مسمی گرانیدم آن را به بغية الطالب در شناختن مفروض و واجب</w:t>
      </w:r>
    </w:p>
    <w:p>
      <w:pPr>
        <w:pStyle w:val="BookText"/>
      </w:pPr>
      <w:r>
        <w:rPr>
          <w:rFonts w:ascii="IRNazanin" w:hAnsi="IRNazanin" w:eastAsia="IRNazanin" w:cs="IRNazanin"/>
          <w:lang w:bidi="fa-IR"/>
          <w:color w:val="111111"/>
          <w:sz w:val="28"/>
          <w:szCs w:val="28"/>
          <w:rtl/>
        </w:rPr>
        <w:t xml:space="preserve">انجام: و جایز است که آن را قبل از تسبيح فاطمه زهرا (سلام الله علیها) بگوید یا بعد از آن تمت الكتاب</w:t>
      </w:r>
    </w:p>
    <w:p>
      <w:pPr>
        <w:pStyle w:val="BookText"/>
      </w:pPr>
      <w:r>
        <w:rPr>
          <w:rFonts w:ascii="Amiri" w:hAnsi="Amiri" w:eastAsia="Amiri" w:cs="Amiri"/>
          <w:lang w:bidi="ar-SA"/>
          <w:color w:val="111111"/>
          <w:sz w:val="28"/>
          <w:szCs w:val="28"/>
          <w:rtl/>
        </w:rPr>
        <w:t xml:space="preserve">[الذريعة ۸۴/۴]</w:t>
      </w:r>
    </w:p>
    <w:p>
      <w:pPr>
        <w:pStyle w:val="BookText"/>
      </w:pPr>
      <w:r>
        <w:rPr>
          <w:rFonts w:ascii="IRNazanin" w:hAnsi="IRNazanin" w:eastAsia="IRNazanin" w:cs="IRNazanin"/>
          <w:lang w:bidi="fa-IR"/>
          <w:color w:val="111111"/>
          <w:sz w:val="28"/>
          <w:szCs w:val="28"/>
          <w:rtl/>
        </w:rPr>
        <w:t xml:space="preserve">خوی؛ ملا على خوئی (شریف)؛ شماره نسخه: ۲۶</w:t>
      </w:r>
    </w:p>
    <w:p>
      <w:pPr>
        <w:pStyle w:val="BookText"/>
      </w:pPr>
      <w:r>
        <w:rPr>
          <w:rFonts w:ascii="IRNazanin" w:hAnsi="IRNazanin" w:eastAsia="IRNazanin" w:cs="IRNazanin"/>
          <w:lang w:bidi="fa-IR"/>
          <w:color w:val="111111"/>
          <w:sz w:val="28"/>
          <w:szCs w:val="28"/>
          <w:rtl/>
        </w:rPr>
        <w:t xml:space="preserve">آغاز و انجام: برابر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7" w:name="pg20363_209201"/>
    <w:bookmarkEnd w:id="47"/>
    <w:p>
      <w:pPr>
        <w:pStyle w:val="BookText"/>
      </w:pPr>
      <w:r>
        <w:rPr>
          <w:rFonts w:ascii="IRNazanin" w:hAnsi="IRNazanin" w:eastAsia="IRNazanin" w:cs="IRNazanin"/>
          <w:lang w:bidi="fa-IR"/>
          <w:color w:val="111111"/>
          <w:sz w:val="28"/>
          <w:szCs w:val="28"/>
          <w:rtl/>
        </w:rPr>
        <w:t xml:space="preserve">خط: نسخ، بی کا، تا: ۱۲۳۰ق؛ جلد: تیماج قهوه ای ضربی با ترنج مجدول، ۹۰گ، ۱۷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w:t>
      </w:r>
    </w:p>
    <w:p>
      <w:pPr>
        <w:pStyle w:val="BookText"/>
      </w:pPr>
      <w:r>
        <w:rPr>
          <w:rFonts w:ascii="IRNazanin" w:hAnsi="IRNazanin" w:eastAsia="IRNazanin" w:cs="IRNazanin"/>
          <w:lang w:bidi="fa-IR"/>
          <w:color w:val="111111"/>
          <w:sz w:val="28"/>
          <w:szCs w:val="28"/>
          <w:rtl/>
        </w:rPr>
        <w:t xml:space="preserve">[اوراق عتیق: ۱-۱۳۰]</w:t>
      </w:r>
    </w:p>
    <w:p>
      <w:pPr>
        <w:pStyle w:val="Heading3"/>
      </w:pPr>
      <w:bookmarkStart w:id="869" w:name="_Toc129"/>
      <w:r>
        <w:t>•بغية الطالب في معرفة المفروض و الواجب (ترجمه) / فقه / فارسی</w:t>
      </w:r>
      <w:bookmarkEnd w:id="869"/>
    </w:p>
    <w:p>
      <w:pPr>
        <w:pStyle w:val="BookText"/>
      </w:pPr>
      <w:r>
        <w:rPr>
          <w:rFonts w:ascii="Times New Roman" w:hAnsi="Times New Roman" w:eastAsia="Times New Roman" w:cs="Times New Roman"/>
          <w:lang w:val="en-US" w:bidi="en-US"/>
          <w:color w:val="111111"/>
          <w:sz w:val="28"/>
          <w:szCs w:val="28"/>
          <w:rtl/>
        </w:rPr>
        <w:t xml:space="preserve">buzyat-ut talib fi marifat-il mafraid wa-i wajib (t.)</w:t>
      </w:r>
    </w:p>
    <w:p>
      <w:pPr>
        <w:pStyle w:val="BookText"/>
      </w:pPr>
      <w:r>
        <w:rPr>
          <w:rFonts w:ascii="IRNazanin" w:hAnsi="IRNazanin" w:eastAsia="IRNazanin" w:cs="IRNazanin"/>
          <w:lang w:bidi="fa-IR"/>
          <w:color w:val="111111"/>
          <w:sz w:val="28"/>
          <w:szCs w:val="28"/>
          <w:rtl/>
        </w:rPr>
        <w:t xml:space="preserve">وابسته به: بغية الطالب في معرفة المفروض و الواجب؛ کاشف الغطاء، جعفر بن خضر (۱۱۵۴-۱۲۲۸)</w:t>
      </w:r>
    </w:p>
    <w:p>
      <w:pPr>
        <w:pStyle w:val="BookText"/>
      </w:pPr>
      <w:r>
        <w:rPr>
          <w:rFonts w:ascii="IRNazanin" w:hAnsi="IRNazanin" w:eastAsia="IRNazanin" w:cs="IRNazanin"/>
          <w:lang w:bidi="fa-IR"/>
          <w:color w:val="111111"/>
          <w:sz w:val="28"/>
          <w:szCs w:val="28"/>
          <w:rtl/>
        </w:rPr>
        <w:t xml:space="preserve">از چند ترجمه «بغية الطالب» سراغ داریم که عبارت است از: تحفة الراغب از کاظمی، اسدالله بن اسماعیل (۱۱۸۶-۱۲۳۷) که مشهورترین آن است؛ ترجمه بهبهانی، محمود بن محمد على (۱۲۰۰- ۱۲۷۱)؛ و ترجمه ای از خزائیلی، جعفر. نسخه های زیر در فهارس بدون نام مترجم و بدون ذکر آغاز و انجام معرفی شده اند و لذا تشخیص اینکه کدام ترجمه اند ممکن نشد.</w:t>
      </w:r>
    </w:p>
    <w:p>
      <w:pPr>
        <w:pStyle w:val="BookText"/>
      </w:pPr>
      <w:r>
        <w:rPr>
          <w:rFonts w:ascii="IRNazanin" w:hAnsi="IRNazanin" w:eastAsia="IRNazanin" w:cs="IRNazanin"/>
          <w:lang w:bidi="fa-IR"/>
          <w:color w:val="111111"/>
          <w:sz w:val="28"/>
          <w:szCs w:val="28"/>
          <w:rtl/>
        </w:rPr>
        <w:t xml:space="preserve">۱. تهران؛ دانشگاه؛ شماره نسخه: ۸۹۱۹</w:t>
      </w:r>
    </w:p>
    <w:p>
      <w:pPr>
        <w:pStyle w:val="BookText"/>
      </w:pPr>
      <w:r>
        <w:rPr>
          <w:rFonts w:ascii="IRNazanin" w:hAnsi="IRNazanin" w:eastAsia="IRNazanin" w:cs="IRNazanin"/>
          <w:lang w:bidi="fa-IR"/>
          <w:color w:val="111111"/>
          <w:sz w:val="28"/>
          <w:szCs w:val="28"/>
          <w:rtl/>
        </w:rPr>
        <w:t xml:space="preserve">خط: نستعلیق، بی کا، تا: ۱ رجب ۱۲۲۴ق، کاغذ: فرنگی، جلد: تیماج تریاکی ضربی کرد سیاه، ۱۱۸گ، ۱۳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قطع: بغلی،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۸سم [ف: ۱۷-۲۵۰]</w:t>
      </w:r>
    </w:p>
    <w:p>
      <w:pPr>
        <w:pStyle w:val="BookText"/>
      </w:pPr>
      <w:r>
        <w:rPr>
          <w:rFonts w:ascii="IRNazanin" w:hAnsi="IRNazanin" w:eastAsia="IRNazanin" w:cs="IRNazanin"/>
          <w:lang w:bidi="fa-IR"/>
          <w:color w:val="111111"/>
          <w:sz w:val="28"/>
          <w:szCs w:val="28"/>
          <w:rtl/>
        </w:rPr>
        <w:t xml:space="preserve">۲. تبریز؛ قاضی طباطبائی، شماره نسخه: بدون شماره/1</w:t>
      </w:r>
    </w:p>
    <w:p>
      <w:pPr>
        <w:pStyle w:val="BookText"/>
      </w:pPr>
      <w:r>
        <w:rPr>
          <w:rFonts w:ascii="IRNazanin" w:hAnsi="IRNazanin" w:eastAsia="IRNazanin" w:cs="IRNazanin"/>
          <w:lang w:bidi="fa-IR"/>
          <w:color w:val="111111"/>
          <w:sz w:val="28"/>
          <w:szCs w:val="28"/>
          <w:rtl/>
        </w:rPr>
        <w:t xml:space="preserve">بی کا، تا: ۱۲۴۲ق (نشریه: ۷-۵۱۹]</w:t>
      </w:r>
    </w:p>
    <w:p>
      <w:pPr>
        <w:pStyle w:val="BookText"/>
      </w:pPr>
      <w:r>
        <w:rPr>
          <w:rFonts w:ascii="IRNazanin" w:hAnsi="IRNazanin" w:eastAsia="IRNazanin" w:cs="IRNazanin"/>
          <w:lang w:bidi="fa-IR"/>
          <w:color w:val="111111"/>
          <w:sz w:val="28"/>
          <w:szCs w:val="28"/>
          <w:rtl/>
        </w:rPr>
        <w:t xml:space="preserve">٣. تهران؛ ملی؛ شماره نسخه: ۱۵۷۲۹</w:t>
      </w:r>
    </w:p>
    <w:p>
      <w:pPr>
        <w:pStyle w:val="BookText"/>
      </w:pPr>
      <w:r>
        <w:rPr>
          <w:rFonts w:ascii="IRNazanin" w:hAnsi="IRNazanin" w:eastAsia="IRNazanin" w:cs="IRNazanin"/>
          <w:lang w:bidi="fa-IR"/>
          <w:color w:val="111111"/>
          <w:sz w:val="28"/>
          <w:szCs w:val="28"/>
          <w:rtl/>
        </w:rPr>
        <w:t xml:space="preserve">آغاز: چنانکه دیگران گمراه شدند و بلغزد پای او از طریق حق چنانکه دیگران؛ انجام: ما بین دو بعض از دو سوره و نه اکتفا کردن به بعض سوره و در خط: نسخ، بی کا، بی تا، افتادگی: آغاز و انجام؛ مصحح؛ کاغذ: فرنگی نخودی، ۶۳، ۱۵ سطر ( ۱۰/۷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[رایانه ]</w:t>
      </w:r>
    </w:p>
    <w:p>
      <w:pPr>
        <w:pStyle w:val="Heading3"/>
      </w:pPr>
      <w:bookmarkStart w:id="870" w:name="_Toc130"/>
      <w:r>
        <w:t>• بغية الطالب فيمن رآی الامام الغائب = تذكرة الطالب فيمن رای الامام الغائب / تاریخ / فارسی</w:t>
      </w:r>
      <w:bookmarkEnd w:id="870"/>
    </w:p>
    <w:p>
      <w:pPr>
        <w:pStyle w:val="BookText"/>
      </w:pPr>
      <w:r>
        <w:rPr>
          <w:rFonts w:ascii="Times New Roman" w:hAnsi="Times New Roman" w:eastAsia="Times New Roman" w:cs="Times New Roman"/>
          <w:lang w:val="en-US" w:bidi="en-US"/>
          <w:color w:val="111111"/>
          <w:sz w:val="28"/>
          <w:szCs w:val="28"/>
          <w:rtl/>
        </w:rPr>
        <w:t xml:space="preserve">bugyat-ut talib fi-man ra'a imam-al ga'ib = tadkirat-ut talib fi-man ra'a imam-al ga'ib</w:t>
      </w:r>
    </w:p>
    <w:p>
      <w:pPr>
        <w:pStyle w:val="BookText"/>
      </w:pPr>
      <w:r>
        <w:rPr>
          <w:rFonts w:ascii="IRNazanin" w:hAnsi="IRNazanin" w:eastAsia="IRNazanin" w:cs="IRNazanin"/>
          <w:lang w:bidi="fa-IR"/>
          <w:color w:val="111111"/>
          <w:sz w:val="28"/>
          <w:szCs w:val="28"/>
          <w:rtl/>
        </w:rPr>
        <w:t xml:space="preserve">بیرجندی، محمد باقر بن محمد حسن، ۱۲۷۶- ۱۳۵۲ قمری</w:t>
      </w:r>
    </w:p>
    <w:p>
      <w:pPr>
        <w:pStyle w:val="BookText"/>
      </w:pPr>
      <w:r>
        <w:rPr>
          <w:rFonts w:ascii="Times New Roman" w:hAnsi="Times New Roman" w:eastAsia="Times New Roman" w:cs="Times New Roman"/>
          <w:lang w:val="en-US" w:bidi="en-US"/>
          <w:color w:val="111111"/>
          <w:sz w:val="28"/>
          <w:szCs w:val="28"/>
          <w:rtl/>
        </w:rPr>
        <w:t xml:space="preserve">bīrjandī, mohammad bāger ebn-e mohammad hasan (1860-1934)</w:t>
      </w:r>
    </w:p>
    <w:p>
      <w:pPr>
        <w:pStyle w:val="BookText"/>
      </w:pPr>
      <w:r>
        <w:rPr>
          <w:rFonts w:ascii="IRNazanin" w:hAnsi="IRNazanin" w:eastAsia="IRNazanin" w:cs="IRNazanin"/>
          <w:lang w:bidi="fa-IR"/>
          <w:color w:val="111111"/>
          <w:sz w:val="28"/>
          <w:szCs w:val="28"/>
          <w:rtl/>
        </w:rPr>
        <w:t xml:space="preserve">چند« فصل» است در گزارش از آنان که از ولادت حضرت حجت (عجل الله تعالی فرجه) اطلاع داده یا آن حضرت را دیده اند، با مختصری از احوال آن جناب و احادیث و روایات مربوط به وی که به درخواست بعضی از برادران دینی تألیف شده است.</w:t>
      </w:r>
    </w:p>
    <w:p>
      <w:pPr>
        <w:pStyle w:val="BookText"/>
      </w:pPr>
      <w:r>
        <w:rPr>
          <w:rFonts w:ascii="IRNazanin" w:hAnsi="IRNazanin" w:eastAsia="IRNazanin" w:cs="IRNazanin"/>
          <w:lang w:bidi="fa-IR"/>
          <w:color w:val="111111"/>
          <w:sz w:val="28"/>
          <w:szCs w:val="28"/>
          <w:rtl/>
        </w:rPr>
        <w:t xml:space="preserve">آغاز: الحمدلله الذي نور قلوبنا بمعرفة الامام الهمام القائم و الصمصام البتار المنتقم المحجوب عن ابصار الاغیار</w:t>
      </w:r>
    </w:p>
    <w:p>
      <w:pPr>
        <w:pStyle w:val="BookText"/>
      </w:pPr>
      <w:r>
        <w:rPr>
          <w:rFonts w:ascii="IRNazanin" w:hAnsi="IRNazanin" w:eastAsia="IRNazanin" w:cs="IRNazanin"/>
          <w:lang w:bidi="fa-IR"/>
          <w:color w:val="111111"/>
          <w:sz w:val="28"/>
          <w:szCs w:val="28"/>
          <w:rtl/>
        </w:rPr>
        <w:t xml:space="preserve">چاپ: مشهد، ۱۳۴۲ق</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۳۴۱۳</w:t>
      </w:r>
    </w:p>
    <w:p>
      <w:pPr>
        <w:pStyle w:val="BookText"/>
      </w:pPr>
      <w:r>
        <w:rPr>
          <w:rFonts w:ascii="IRNazanin" w:hAnsi="IRNazanin" w:eastAsia="IRNazanin" w:cs="IRNazanin"/>
          <w:lang w:bidi="fa-IR"/>
          <w:color w:val="111111"/>
          <w:sz w:val="28"/>
          <w:szCs w:val="28"/>
          <w:rtl/>
        </w:rPr>
        <w:t xml:space="preserve">آغاز: برابر؛ انجام: بسیار ز آنچه گفته شده از علائمش *** بنموده روی در سر باقی شتاب کن</w:t>
      </w:r>
    </w:p>
    <w:p>
      <w:pPr>
        <w:pStyle w:val="BookText"/>
      </w:pPr>
      <w:r>
        <w:rPr>
          <w:rFonts w:ascii="IRNazanin" w:hAnsi="IRNazanin" w:eastAsia="IRNazanin" w:cs="IRNazanin"/>
          <w:lang w:bidi="fa-IR"/>
          <w:color w:val="111111"/>
          <w:sz w:val="28"/>
          <w:szCs w:val="28"/>
          <w:rtl/>
        </w:rPr>
        <w:t xml:space="preserve">خط: نستعلیق، کاتب = مؤلف، بی تا؛ با افزودگی هایی در حاشیه؛ جلد: مقوایی عطف تیماج مشکی، ۸۰گ، مختلف السطر،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۹-۱۹۶]</w:t>
      </w:r>
    </w:p>
    <w:p>
      <w:pPr>
        <w:pStyle w:val="BookText"/>
      </w:pPr>
      <w:r>
        <w:rPr>
          <w:rFonts w:ascii="IRNazanin" w:hAnsi="IRNazanin" w:eastAsia="IRNazanin" w:cs="IRNazanin"/>
          <w:lang w:bidi="fa-IR"/>
          <w:color w:val="111111"/>
          <w:sz w:val="28"/>
          <w:szCs w:val="28"/>
          <w:rtl/>
        </w:rPr>
        <w:t xml:space="preserve">۲. قم؛ مرعشی؛ شماره نسخه: ۳۴۱۷/۲</w:t>
      </w:r>
    </w:p>
    <w:p>
      <w:pPr>
        <w:pStyle w:val="BookText"/>
      </w:pPr>
      <w:r>
        <w:rPr>
          <w:rFonts w:ascii="IRNazanin" w:hAnsi="IRNazanin" w:eastAsia="IRNazanin" w:cs="IRNazanin"/>
          <w:lang w:bidi="fa-IR"/>
          <w:color w:val="111111"/>
          <w:sz w:val="28"/>
          <w:szCs w:val="28"/>
          <w:rtl/>
        </w:rPr>
        <w:t xml:space="preserve">خط: نسخ، كا: محمد حسین چهکندو کی، بی تا؛ بخط مؤلف تصحیح و اضافه شده؛ جلد: تیماج قرمز بدون مقوا، ۶۳گ (۴۲پ -۱۰۴ر)،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۹-۲۰۲]</w:t>
      </w:r>
    </w:p>
    <w:p>
      <w:pPr>
        <w:pStyle w:val="Heading3"/>
      </w:pPr>
      <w:bookmarkStart w:id="871" w:name="_Toc131"/>
      <w:r>
        <w:t>• بغية الطالبين في تعليق القوانين / اصول فقه / عربی</w:t>
      </w:r>
      <w:bookmarkEnd w:id="871"/>
    </w:p>
    <w:p>
      <w:pPr>
        <w:pStyle w:val="BookText"/>
      </w:pPr>
      <w:r>
        <w:rPr>
          <w:rFonts w:ascii="Times New Roman" w:hAnsi="Times New Roman" w:eastAsia="Times New Roman" w:cs="Times New Roman"/>
          <w:lang w:val="en-US" w:bidi="en-US"/>
          <w:color w:val="111111"/>
          <w:sz w:val="28"/>
          <w:szCs w:val="28"/>
          <w:rtl/>
        </w:rPr>
        <w:t xml:space="preserve">bugyat-ut talibin fi ta'liq-il qawanin</w:t>
      </w:r>
    </w:p>
    <w:p>
      <w:pPr>
        <w:pStyle w:val="BookText"/>
      </w:pPr>
      <w:r>
        <w:rPr>
          <w:rFonts w:ascii="IRNazanin" w:hAnsi="IRNazanin" w:eastAsia="IRNazanin" w:cs="IRNazanin"/>
          <w:lang w:bidi="fa-IR"/>
          <w:color w:val="111111"/>
          <w:sz w:val="28"/>
          <w:szCs w:val="28"/>
          <w:rtl/>
        </w:rPr>
        <w:t xml:space="preserve">یزدی اردکانی، محمد رضا بن عبد الله، ق۱۴ قمری</w:t>
      </w:r>
    </w:p>
    <w:p>
      <w:pPr>
        <w:pStyle w:val="BookText"/>
      </w:pPr>
      <w:r>
        <w:rPr>
          <w:rFonts w:ascii="Times New Roman" w:hAnsi="Times New Roman" w:eastAsia="Times New Roman" w:cs="Times New Roman"/>
          <w:lang w:val="en-US" w:bidi="en-US"/>
          <w:color w:val="111111"/>
          <w:sz w:val="28"/>
          <w:szCs w:val="28"/>
          <w:rtl/>
        </w:rPr>
        <w:t xml:space="preserve">yazdī ārdakānī, mohammad rezā ebn-e ‘abd-ol-lāh ( 20c)</w:t>
      </w:r>
    </w:p>
    <w:p>
      <w:pPr>
        <w:pStyle w:val="BookText"/>
      </w:pPr>
      <w:r>
        <w:rPr>
          <w:rFonts w:ascii="IRNazanin" w:hAnsi="IRNazanin" w:eastAsia="IRNazanin" w:cs="IRNazanin"/>
          <w:lang w:bidi="fa-IR"/>
          <w:color w:val="111111"/>
          <w:sz w:val="28"/>
          <w:szCs w:val="28"/>
          <w:rtl/>
        </w:rPr>
        <w:t xml:space="preserve">وابسته به: القوانين المحكمة في الأصول = قوانين الاصول؛ میرزای قمی، ابوالقاسم بن محمد حسن (۱۱۵۱-۱۲۳۱)</w:t>
      </w:r>
    </w:p>
    <w:p>
      <w:pPr>
        <w:pStyle w:val="BookText"/>
      </w:pPr>
      <w:r>
        <w:rPr>
          <w:rFonts w:ascii="IRNazanin" w:hAnsi="IRNazanin" w:eastAsia="IRNazanin" w:cs="IRNazanin"/>
          <w:lang w:bidi="fa-IR"/>
          <w:color w:val="111111"/>
          <w:sz w:val="28"/>
          <w:szCs w:val="28"/>
          <w:rtl/>
        </w:rPr>
        <w:t xml:space="preserve">شرحی است با عناوین «قوله قوله» بر کتاب «القوانين المحكمة» میرزای قمی.</w:t>
      </w:r>
    </w:p>
    <w:p>
      <w:pPr>
        <w:pStyle w:val="BookText"/>
      </w:pPr>
      <w:r>
        <w:rPr>
          <w:rFonts w:ascii="IRNazanin" w:hAnsi="IRNazanin" w:eastAsia="IRNazanin" w:cs="IRNazanin"/>
          <w:lang w:bidi="fa-IR"/>
          <w:color w:val="111111"/>
          <w:sz w:val="28"/>
          <w:szCs w:val="28"/>
          <w:rtl/>
        </w:rPr>
        <w:t xml:space="preserve">اردکان یزد؛ امام صادق شماره نسخه: ۳۰۴</w:t>
      </w:r>
    </w:p>
    <w:p>
      <w:pPr>
        <w:pStyle w:val="BookText"/>
      </w:pPr>
      <w:r>
        <w:rPr>
          <w:rFonts w:ascii="Amiri" w:hAnsi="Amiri" w:eastAsia="Amiri" w:cs="Amiri"/>
          <w:lang w:bidi="ar-SA"/>
          <w:color w:val="111111"/>
          <w:sz w:val="28"/>
          <w:szCs w:val="28"/>
          <w:rtl/>
        </w:rPr>
        <w:t xml:space="preserve">آغاز: الحمدلله رب العالمين ... قوله الباب الاول لما رتب القوانين على مقدمة و ابواب و خاتمة و شرع في ذكر الاول شرع في البواقي</w:t>
      </w:r>
    </w:p>
    <w:p>
      <w:pPr>
        <w:pStyle w:val="BookText"/>
      </w:pPr>
      <w:r>
        <w:rPr>
          <w:rFonts w:ascii="IRNazanin" w:hAnsi="IRNazanin" w:eastAsia="IRNazanin" w:cs="IRNazanin"/>
          <w:lang w:bidi="fa-IR"/>
          <w:color w:val="111111"/>
          <w:sz w:val="28"/>
          <w:szCs w:val="28"/>
          <w:rtl/>
        </w:rPr>
        <w:t xml:space="preserve">نسخه حاضر جزء دوم و به روز دوشنبه از جمادی الاول ۱۲۸۲ تأليف آن پایان یافته است؛ خط: نسخ زیبا، کاتب = مؤلف، بی تا؛ مصحح؛ جلد: تیماج قهوه ای بدون مقوا، ۲۷۳ گ، مختلف السطر،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سم [ف: ۲-۴۸]</w:t>
      </w:r>
    </w:p>
    <w:p>
      <w:pPr>
        <w:pStyle w:val="Heading3"/>
      </w:pPr>
      <w:bookmarkStart w:id="872" w:name="_Toc132"/>
      <w:r>
        <w:t>• بغية الطالبين في مناقب الخلفاء الراشدين (منتخب) / فضایل و مناقب /عربی</w:t>
      </w:r>
      <w:bookmarkEnd w:id="872"/>
    </w:p>
    <w:p>
      <w:pPr>
        <w:pStyle w:val="BookText"/>
      </w:pPr>
      <w:r>
        <w:rPr>
          <w:rFonts w:ascii="Times New Roman" w:hAnsi="Times New Roman" w:eastAsia="Times New Roman" w:cs="Times New Roman"/>
          <w:lang w:val="en-US" w:bidi="en-US"/>
          <w:color w:val="111111"/>
          <w:sz w:val="28"/>
          <w:szCs w:val="28"/>
          <w:rtl/>
        </w:rPr>
        <w:t xml:space="preserve">bugyat-uț țālibīn fī manāqib-il xulafā’-ir rāšidīn (mn.)</w:t>
      </w:r>
    </w:p>
    <w:p>
      <w:pPr>
        <w:pStyle w:val="BookText"/>
      </w:pPr>
      <w:r>
        <w:rPr>
          <w:rFonts w:ascii="IRNazanin" w:hAnsi="IRNazanin" w:eastAsia="IRNazanin" w:cs="IRNazanin"/>
          <w:lang w:bidi="fa-IR"/>
          <w:color w:val="111111"/>
          <w:sz w:val="28"/>
          <w:szCs w:val="28"/>
          <w:rtl/>
        </w:rPr>
        <w:t xml:space="preserve">کنجی، محمد بن يوسف،-۶۵۸ قمری</w:t>
      </w:r>
    </w:p>
    <w:p>
      <w:pPr>
        <w:pStyle w:val="BookText"/>
      </w:pPr>
      <w:r>
        <w:rPr>
          <w:rFonts w:ascii="Times New Roman" w:hAnsi="Times New Roman" w:eastAsia="Times New Roman" w:cs="Times New Roman"/>
          <w:lang w:val="en-US" w:bidi="en-US"/>
          <w:color w:val="111111"/>
          <w:sz w:val="28"/>
          <w:szCs w:val="28"/>
          <w:rtl/>
        </w:rPr>
        <w:t xml:space="preserve">kanjī, mohammad ebn-e yūsof (- 1261)</w:t>
      </w:r>
    </w:p>
    <w:p>
      <w:pPr>
        <w:pStyle w:val="BookText"/>
      </w:pPr>
      <w:r>
        <w:rPr>
          <w:rFonts w:ascii="IRNazanin" w:hAnsi="IRNazanin" w:eastAsia="IRNazanin" w:cs="IRNazanin"/>
          <w:lang w:bidi="fa-IR"/>
          <w:color w:val="111111"/>
          <w:sz w:val="28"/>
          <w:szCs w:val="28"/>
          <w:rtl/>
        </w:rPr>
        <w:t xml:space="preserve">شامل بخش های مربوط به فضائل امير المؤمنین</w:t>
      </w:r>
    </w:p>
    <w:p>
      <w:pPr>
        <w:pStyle w:val="BookText"/>
      </w:pPr>
      <w:r>
        <w:rPr>
          <w:rFonts w:ascii="IRNazanin" w:hAnsi="IRNazanin" w:eastAsia="IRNazanin" w:cs="IRNazanin"/>
          <w:lang w:bidi="fa-IR"/>
          <w:color w:val="111111"/>
          <w:sz w:val="28"/>
          <w:szCs w:val="28"/>
          <w:rtl/>
        </w:rPr>
        <w:t xml:space="preserve">تهران؛ مجلس؛ شماره نسخه: ۸۹۳۲/۹</w:t>
      </w:r>
    </w:p>
    <w:p>
      <w:pPr>
        <w:pStyle w:val="BookText"/>
      </w:pPr>
      <w:r>
        <w:rPr>
          <w:rFonts w:ascii="IRNazanin" w:hAnsi="IRNazanin" w:eastAsia="IRNazanin" w:cs="IRNazanin"/>
          <w:lang w:bidi="fa-IR"/>
          <w:color w:val="111111"/>
          <w:sz w:val="28"/>
          <w:szCs w:val="28"/>
          <w:rtl/>
        </w:rPr>
        <w:t xml:space="preserve">آغاز: من الجزء الثاني من كتاب بغية الطالبين في مناقب الخلفاء الراشدين للشيخ محمد بن يوسف بن محمد الشافعي عن الزبير عن سعید القرشي قال كنا جلوسا عند سعید بن المسيب؛ انجام: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8" w:name="pg20363_209202"/>
    <w:bookmarkEnd w:id="48"/>
    <w:p>
      <w:pPr>
        <w:pStyle w:val="BookText"/>
      </w:pPr>
      <w:r>
        <w:rPr>
          <w:rFonts w:ascii="IRNazanin" w:hAnsi="IRNazanin" w:eastAsia="IRNazanin" w:cs="IRNazanin"/>
          <w:lang w:bidi="fa-IR"/>
          <w:color w:val="111111"/>
          <w:sz w:val="28"/>
          <w:szCs w:val="28"/>
          <w:rtl/>
        </w:rPr>
        <w:t xml:space="preserve">اختلفوا فصار حزب ابلیس. اخرجه في المستدرک ایضا و قال هذا حديث صحيح الإسناد ولم يخرجاه.</w:t>
      </w:r>
    </w:p>
    <w:p>
      <w:pPr>
        <w:pStyle w:val="BookText"/>
      </w:pPr>
      <w:r>
        <w:rPr>
          <w:rFonts w:ascii="IRNazanin" w:hAnsi="IRNazanin" w:eastAsia="IRNazanin" w:cs="IRNazanin"/>
          <w:lang w:bidi="fa-IR"/>
          <w:color w:val="111111"/>
          <w:sz w:val="28"/>
          <w:szCs w:val="28"/>
          <w:rtl/>
        </w:rPr>
        <w:t xml:space="preserve">خط: نسخ تحریری، كا: محمد بن علی بن حسن جباعی، تا: شنبه ۱۸ شوال ۸۵۲ق؛ در صفحه ۳۹ جباعی نوشته: «حاشية بخط ولد المصنف» که نشان می دهد نسخه مورد استفاده او یادداشت های پسر مؤلف را داشته است؛ کاغذ: نخودی آهار مهره، جلد: میشن بنفش، ۱۱ص (۳۸-۴۸)،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۱۸/۲ سم [ف: ۲۹/۱ -۳۸۲]</w:t>
      </w:r>
    </w:p>
    <w:p>
      <w:pPr>
        <w:pStyle w:val="Heading3"/>
      </w:pPr>
      <w:bookmarkStart w:id="873" w:name="_Toc133"/>
      <w:r>
        <w:t>• بغية الطالبين لبيان المشايخ المحققين = الوريقات / تراجم / عربی</w:t>
      </w:r>
      <w:bookmarkEnd w:id="873"/>
    </w:p>
    <w:p>
      <w:pPr>
        <w:pStyle w:val="BookText"/>
      </w:pPr>
      <w:r>
        <w:rPr>
          <w:rFonts w:ascii="Times New Roman" w:hAnsi="Times New Roman" w:eastAsia="Times New Roman" w:cs="Times New Roman"/>
          <w:lang w:val="en-US" w:bidi="en-US"/>
          <w:color w:val="111111"/>
          <w:sz w:val="28"/>
          <w:szCs w:val="28"/>
          <w:rtl/>
        </w:rPr>
        <w:t xml:space="preserve">bugyat-uț țālibīn li-bayān-il mašāyix-il muhaqqiqīn = al-warīqāt</w:t>
      </w:r>
    </w:p>
    <w:p>
      <w:pPr>
        <w:pStyle w:val="BookText"/>
      </w:pPr>
      <w:r>
        <w:rPr>
          <w:rFonts w:ascii="IRNazanin" w:hAnsi="IRNazanin" w:eastAsia="IRNazanin" w:cs="IRNazanin"/>
          <w:lang w:bidi="fa-IR"/>
          <w:color w:val="111111"/>
          <w:sz w:val="28"/>
          <w:szCs w:val="28"/>
          <w:rtl/>
        </w:rPr>
        <w:t xml:space="preserve">تخلی، احمد بن محمد، ۱۰۴۴؟ - ۱۱۳۰ قمری</w:t>
      </w:r>
    </w:p>
    <w:p>
      <w:pPr>
        <w:pStyle w:val="BookText"/>
      </w:pPr>
      <w:r>
        <w:rPr>
          <w:rFonts w:ascii="Times New Roman" w:hAnsi="Times New Roman" w:eastAsia="Times New Roman" w:cs="Times New Roman"/>
          <w:lang w:val="en-US" w:bidi="en-US"/>
          <w:color w:val="111111"/>
          <w:sz w:val="28"/>
          <w:szCs w:val="28"/>
          <w:rtl/>
        </w:rPr>
        <w:t xml:space="preserve">naxlī, ahmad ebn-e mohammad (1635-1718)</w:t>
      </w:r>
    </w:p>
    <w:p>
      <w:pPr>
        <w:pStyle w:val="BookText"/>
      </w:pPr>
      <w:r>
        <w:rPr>
          <w:rFonts w:ascii="IRNazanin" w:hAnsi="IRNazanin" w:eastAsia="IRNazanin" w:cs="IRNazanin"/>
          <w:lang w:bidi="fa-IR"/>
          <w:color w:val="111111"/>
          <w:sz w:val="28"/>
          <w:szCs w:val="28"/>
          <w:rtl/>
        </w:rPr>
        <w:t xml:space="preserve">این رساله تذکره مشایخ صوفیه است و مؤلف آن بنا به تصریح خود، صاحب طریقه نقشبندیه است.</w:t>
      </w:r>
    </w:p>
    <w:p>
      <w:pPr>
        <w:pStyle w:val="BookText"/>
      </w:pPr>
      <w:r>
        <w:rPr>
          <w:rFonts w:ascii="IRNazanin" w:hAnsi="IRNazanin" w:eastAsia="IRNazanin" w:cs="IRNazanin"/>
          <w:lang w:bidi="fa-IR"/>
          <w:color w:val="111111"/>
          <w:sz w:val="28"/>
          <w:szCs w:val="28"/>
          <w:rtl/>
        </w:rPr>
        <w:t xml:space="preserve">آغاز: الحمدلله الذي عز جلاله فلا تدرکه الأفهام و سما کماله فلا تحيط به الأوهام ...</w:t>
      </w:r>
    </w:p>
    <w:p>
      <w:pPr>
        <w:pStyle w:val="BookText"/>
      </w:pPr>
      <w:r>
        <w:rPr>
          <w:rFonts w:ascii="IRNazanin" w:hAnsi="IRNazanin" w:eastAsia="IRNazanin" w:cs="IRNazanin"/>
          <w:lang w:bidi="fa-IR"/>
          <w:color w:val="111111"/>
          <w:sz w:val="28"/>
          <w:szCs w:val="28"/>
          <w:rtl/>
        </w:rPr>
        <w:t xml:space="preserve">چاپ: حیدر آباد، مطبعة دائرة المعارف النظامية، ۸۴ص، ۱۳۲۸ق.[ ایضاح المكنون ۱۸۸/1 ]</w:t>
      </w:r>
    </w:p>
    <w:p>
      <w:pPr>
        <w:pStyle w:val="BookText"/>
      </w:pPr>
      <w:r>
        <w:rPr>
          <w:rFonts w:ascii="IRNazanin" w:hAnsi="IRNazanin" w:eastAsia="IRNazanin" w:cs="IRNazanin"/>
          <w:lang w:bidi="fa-IR"/>
          <w:color w:val="111111"/>
          <w:sz w:val="28"/>
          <w:szCs w:val="28"/>
          <w:rtl/>
        </w:rPr>
        <w:t xml:space="preserve">۱. تهران؛ مجلس؛ شماره نسخه: ۱۲۵۵ ط</w:t>
      </w:r>
    </w:p>
    <w:p>
      <w:pPr>
        <w:pStyle w:val="BookText"/>
      </w:pPr>
      <w:r>
        <w:rPr>
          <w:rFonts w:ascii="IRNazanin" w:hAnsi="IRNazanin" w:eastAsia="IRNazanin" w:cs="IRNazanin"/>
          <w:lang w:bidi="fa-IR"/>
          <w:color w:val="111111"/>
          <w:sz w:val="28"/>
          <w:szCs w:val="28"/>
          <w:rtl/>
        </w:rPr>
        <w:t xml:space="preserve">آغاز: شرايع الملل السالفة بعد ما ابرق صيب الجهل و بعد فيقول العبد (مؤلف) قد سنح للخاطر العاطل ... أن أكر المشهورين المحققين من مشایخی؛ انجام: صلى الله عليه جل جلاله *** ما طاف بالبيت العتيق مكبر ... و كان تمام هذه الوريقات ... لا ارضی بواحدة حتى اضيف اليها الف آمينا.</w:t>
      </w:r>
    </w:p>
    <w:p>
      <w:pPr>
        <w:pStyle w:val="BookText"/>
      </w:pPr>
      <w:r>
        <w:rPr>
          <w:rFonts w:ascii="IRNazanin" w:hAnsi="IRNazanin" w:eastAsia="IRNazanin" w:cs="IRNazanin"/>
          <w:lang w:bidi="fa-IR"/>
          <w:color w:val="111111"/>
          <w:sz w:val="28"/>
          <w:szCs w:val="28"/>
          <w:rtl/>
        </w:rPr>
        <w:t xml:space="preserve">خط: نسخ، بی کا، تا: قرن ۱۲؛ افتادگی: آغاز؛ مجدول؛ کاغذ: فرنگی، جلد: تیماج زرشکی دو لایه با ترنج و نیم ترنج و لچک ضربی و حاشیه منگنه با نقش گل و بوته، ۶۴ گی، ۱۵سطر، قطع: نیم خشتی، اندازه: ۱۲/۵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۲۴/۲ -۱۸۸]</w:t>
      </w:r>
    </w:p>
    <w:p>
      <w:pPr>
        <w:pStyle w:val="BookText"/>
      </w:pPr>
      <w:r>
        <w:rPr>
          <w:rFonts w:ascii="IRNazanin" w:hAnsi="IRNazanin" w:eastAsia="IRNazanin" w:cs="IRNazanin"/>
          <w:lang w:bidi="fa-IR"/>
          <w:color w:val="111111"/>
          <w:sz w:val="28"/>
          <w:szCs w:val="28"/>
          <w:rtl/>
        </w:rPr>
        <w:t xml:space="preserve">۲. قم؛ مرعشی؛ شماره نسخه: ۱۱۳۱۴/۲۵</w:t>
      </w:r>
    </w:p>
    <w:p>
      <w:pPr>
        <w:pStyle w:val="BookText"/>
      </w:pPr>
      <w:r>
        <w:rPr>
          <w:rFonts w:ascii="IRNazanin" w:hAnsi="IRNazanin" w:eastAsia="IRNazanin" w:cs="IRNazanin"/>
          <w:lang w:bidi="fa-IR"/>
          <w:color w:val="111111"/>
          <w:sz w:val="28"/>
          <w:szCs w:val="28"/>
          <w:rtl/>
        </w:rPr>
        <w:t xml:space="preserve">آغاز: و بعد قال أحمد بن محمد الشهير بالنخلي المكي قد سنح للخاطر العاطل و الفكر الذي هو عن الصواب حائل؛ انجام: من طريق الباطن لا من طريق الظاهر لان وفاة الشيخ با یزید قبل وفاة الشيخ</w:t>
      </w:r>
    </w:p>
    <w:p>
      <w:pPr>
        <w:pStyle w:val="BookText"/>
      </w:pPr>
      <w:r>
        <w:rPr>
          <w:rFonts w:ascii="IRNazanin" w:hAnsi="IRNazanin" w:eastAsia="IRNazanin" w:cs="IRNazanin"/>
          <w:lang w:bidi="fa-IR"/>
          <w:color w:val="111111"/>
          <w:sz w:val="28"/>
          <w:szCs w:val="28"/>
          <w:rtl/>
        </w:rPr>
        <w:t xml:space="preserve">خط: نستعلیق شکسته تحریری، بی کا، تا: قرن ۱۳؛ افتادگی: انجام؛ محشی؛ کاغذ: فرنگی نخودی، اگ (۲۷۰)، ۲۰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سم [ف: ۲۸-۴۹۳]</w:t>
      </w:r>
    </w:p>
    <w:p>
      <w:pPr>
        <w:pStyle w:val="Heading3"/>
      </w:pPr>
      <w:bookmarkStart w:id="874" w:name="_Toc134"/>
      <w:r>
        <w:t>• بغية الطالبين لصحة طريقة المجتهدين / اصول فقه / عربی</w:t>
      </w:r>
      <w:bookmarkEnd w:id="874"/>
    </w:p>
    <w:p>
      <w:pPr>
        <w:pStyle w:val="BookText"/>
      </w:pPr>
      <w:r>
        <w:rPr>
          <w:rFonts w:ascii="Times New Roman" w:hAnsi="Times New Roman" w:eastAsia="Times New Roman" w:cs="Times New Roman"/>
          <w:lang w:val="en-US" w:bidi="en-US"/>
          <w:color w:val="111111"/>
          <w:sz w:val="28"/>
          <w:szCs w:val="28"/>
          <w:rtl/>
        </w:rPr>
        <w:t xml:space="preserve">bu8yat-ut talibin li-sihhat-i tariqat-il mujtahidin</w:t>
      </w:r>
    </w:p>
    <w:p>
      <w:pPr>
        <w:pStyle w:val="BookText"/>
      </w:pPr>
      <w:r>
        <w:rPr>
          <w:rFonts w:ascii="IRNazanin" w:hAnsi="IRNazanin" w:eastAsia="IRNazanin" w:cs="IRNazanin"/>
          <w:lang w:bidi="fa-IR"/>
          <w:color w:val="111111"/>
          <w:sz w:val="28"/>
          <w:szCs w:val="28"/>
          <w:rtl/>
        </w:rPr>
        <w:t xml:space="preserve">شبر، عبدالله بن محمد رضا، ۱۱۸۸؟ - ۱۲۴۲ قمری</w:t>
      </w:r>
    </w:p>
    <w:p>
      <w:pPr>
        <w:pStyle w:val="BookText"/>
      </w:pPr>
      <w:r>
        <w:rPr>
          <w:rFonts w:ascii="Times New Roman" w:hAnsi="Times New Roman" w:eastAsia="Times New Roman" w:cs="Times New Roman"/>
          <w:lang w:val="en-US" w:bidi="en-US"/>
          <w:color w:val="111111"/>
          <w:sz w:val="28"/>
          <w:szCs w:val="28"/>
          <w:rtl/>
        </w:rPr>
        <w:t xml:space="preserve">šobbar, “abd-ol-lāh ebn-e mohammad rezā (1774-1827)</w:t>
      </w:r>
    </w:p>
    <w:p>
      <w:pPr>
        <w:pStyle w:val="BookText"/>
      </w:pPr>
      <w:r>
        <w:rPr>
          <w:rFonts w:ascii="IRNazanin" w:hAnsi="IRNazanin" w:eastAsia="IRNazanin" w:cs="IRNazanin"/>
          <w:lang w:bidi="fa-IR"/>
          <w:color w:val="111111"/>
          <w:sz w:val="28"/>
          <w:szCs w:val="28"/>
          <w:rtl/>
        </w:rPr>
        <w:t xml:space="preserve">این کتاب درباره مسائل مورد اختلاف بين علماء اخباری و اصولی و اثبات صحت طریقت علماء اصول است، دارای پنج «مبحث» و هر مبحث دارای چند «فصل» و «اصل» است: مبحث ١. الكتاب (حجیت ظواهر کتاب)؛ ۲. السنه؛ ۳. الاجماع؛ ۴. الأدلة العقليه؛ ۵. الاجتهاد و التقليد دارای ۴ «فصل» و یک «اصل». در آن از کتاب منية المحصلین خویش یاد می کند.</w:t>
      </w:r>
    </w:p>
    <w:p>
      <w:pPr>
        <w:pStyle w:val="BookText"/>
      </w:pPr>
      <w:r>
        <w:rPr>
          <w:rFonts w:ascii="IRNazanin" w:hAnsi="IRNazanin" w:eastAsia="IRNazanin" w:cs="IRNazanin"/>
          <w:lang w:bidi="fa-IR"/>
          <w:color w:val="111111"/>
          <w:sz w:val="28"/>
          <w:szCs w:val="28"/>
          <w:rtl/>
        </w:rPr>
        <w:t xml:space="preserve">آغاز: بسمله و به نستعين، الحمد لله الذي نزه قلوب المجتهدين في معرفة احكامه من ظلمات الجهل و الشبهات ... اما بعد فيقول قليل البضاعة هذه تحقیقات صافية و ترقیات شافية[ الذريعه ۱۳۵: ۲ کشف الحجب: ۸۷]</w:t>
      </w:r>
    </w:p>
    <w:p>
      <w:pPr>
        <w:pStyle w:val="BookText"/>
      </w:pPr>
      <w:r>
        <w:rPr>
          <w:rFonts w:ascii="IRNazanin" w:hAnsi="IRNazanin" w:eastAsia="IRNazanin" w:cs="IRNazanin"/>
          <w:lang w:bidi="fa-IR"/>
          <w:color w:val="111111"/>
          <w:sz w:val="28"/>
          <w:szCs w:val="28"/>
          <w:rtl/>
        </w:rPr>
        <w:t xml:space="preserve">۱. تهران؛ مجلس؛ شماره نسخه: ۳۹۷۲</w:t>
      </w:r>
    </w:p>
    <w:p>
      <w:pPr>
        <w:pStyle w:val="BookText"/>
      </w:pPr>
      <w:r>
        <w:rPr>
          <w:rFonts w:ascii="IRNazanin" w:hAnsi="IRNazanin" w:eastAsia="IRNazanin" w:cs="IRNazanin"/>
          <w:lang w:bidi="fa-IR"/>
          <w:color w:val="111111"/>
          <w:sz w:val="28"/>
          <w:szCs w:val="28"/>
          <w:rtl/>
        </w:rPr>
        <w:t xml:space="preserve">آغاز: برابر؛ انجام: و اما الاخبار الاخيرة التي ظاهرها الاطلاق الدالة على أن من لم يعرف شيئا ... لاشي عليه و أن ما لا يعلمون لايؤاخذون عليه فيمكن حملها على الغافل او على من لم تبلغه الدعوة حتى لا ينافي الأخبار السابقة خط: نسخ، بی کا، تا: قرن ۱۳؛ مصحح؛ مهر: «الواثق بالله الغني عبدالله الحسینی» (بیضوی و بزرگ)؛ کاغذ رنگی سفید، جلد: تیماج قرمز، ۲۲۶ص، ۱۷ سطر، قطع: رقعی، اندازه: ۱۱/۵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۱۶/۵ سم [ف: ۱۰-۲۱۱۱]</w:t>
      </w:r>
    </w:p>
    <w:p>
      <w:pPr>
        <w:pStyle w:val="BookText"/>
      </w:pPr>
      <w:r>
        <w:rPr>
          <w:rFonts w:ascii="IRNazanin" w:hAnsi="IRNazanin" w:eastAsia="IRNazanin" w:cs="IRNazanin"/>
          <w:lang w:bidi="fa-IR"/>
          <w:color w:val="111111"/>
          <w:sz w:val="28"/>
          <w:szCs w:val="28"/>
          <w:rtl/>
        </w:rPr>
        <w:t xml:space="preserve">۲. تهران؛ ملی؛ شماره نسخه: ۱۵۹۸/۴</w:t>
      </w:r>
    </w:p>
    <w:p>
      <w:pPr>
        <w:pStyle w:val="BookText"/>
      </w:pPr>
      <w:r>
        <w:rPr>
          <w:rFonts w:ascii="IRNazanin" w:hAnsi="IRNazanin" w:eastAsia="IRNazanin" w:cs="IRNazanin"/>
          <w:lang w:bidi="fa-IR"/>
          <w:color w:val="111111"/>
          <w:sz w:val="28"/>
          <w:szCs w:val="28"/>
          <w:rtl/>
        </w:rPr>
        <w:t xml:space="preserve">آغاز: برابر؛ انجام: فيمكن حملها على الغافل او على من لم تبلغه الدعوة حتى لا تنا في الاخبار السابقة. | خط: نسخ، كا: محمد جعفر خورانی، تا: ۱۲۷۱ق؛ کاغذ: فرنگی، جلد: مقوایی، تیماج تریاکی با ترنج و نیم ترنج لچکی ضربی کوبیده حاشیه منگنه، ۱۷۵ص (۲۶۹- ۴۴۳)، ۱۹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۱۰-۱۳۰]</w:t>
      </w:r>
    </w:p>
    <w:p>
      <w:pPr>
        <w:pStyle w:val="Heading3"/>
      </w:pPr>
      <w:bookmarkStart w:id="875" w:name="_Toc135"/>
      <w:r>
        <w:t>• بغية الطالبين و حجة المطببین / طب /عربی</w:t>
      </w:r>
      <w:bookmarkEnd w:id="875"/>
    </w:p>
    <w:p>
      <w:pPr>
        <w:pStyle w:val="BookText"/>
      </w:pPr>
      <w:r>
        <w:rPr>
          <w:rFonts w:ascii="Times New Roman" w:hAnsi="Times New Roman" w:eastAsia="Times New Roman" w:cs="Times New Roman"/>
          <w:lang w:val="en-US" w:bidi="en-US"/>
          <w:color w:val="111111"/>
          <w:sz w:val="28"/>
          <w:szCs w:val="28"/>
          <w:rtl/>
        </w:rPr>
        <w:t xml:space="preserve">bugyat-uț țālibīn wa hujjat-ul muțabbibīn</w:t>
      </w:r>
    </w:p>
    <w:p>
      <w:pPr>
        <w:pStyle w:val="BookText"/>
      </w:pPr>
      <w:r>
        <w:rPr>
          <w:rFonts w:ascii="IRNazanin" w:hAnsi="IRNazanin" w:eastAsia="IRNazanin" w:cs="IRNazanin"/>
          <w:lang w:bidi="fa-IR"/>
          <w:color w:val="111111"/>
          <w:sz w:val="28"/>
          <w:szCs w:val="28"/>
          <w:rtl/>
        </w:rPr>
        <w:t xml:space="preserve">تهران؛ مجلس؛ شماره نسخه: ۱۶۱۳۱</w:t>
      </w:r>
    </w:p>
    <w:p>
      <w:pPr>
        <w:pStyle w:val="BookText"/>
      </w:pPr>
      <w:r>
        <w:rPr>
          <w:rFonts w:ascii="IRNazanin" w:hAnsi="IRNazanin" w:eastAsia="IRNazanin" w:cs="IRNazanin"/>
          <w:lang w:bidi="fa-IR"/>
          <w:color w:val="111111"/>
          <w:sz w:val="28"/>
          <w:szCs w:val="28"/>
          <w:rtl/>
        </w:rPr>
        <w:t xml:space="preserve">خط: نسخ، بی کا، تا: قرن ۷؛ سطر، قطع: وزیری [د.ث. مجلس ]</w:t>
      </w:r>
    </w:p>
    <w:p>
      <w:pPr>
        <w:pStyle w:val="Heading3"/>
      </w:pPr>
      <w:bookmarkStart w:id="876" w:name="_Toc136"/>
      <w:r>
        <w:t>• بغية الطلاب في معرفة الأنساب / انساب / عربی</w:t>
      </w:r>
      <w:bookmarkEnd w:id="876"/>
    </w:p>
    <w:p>
      <w:pPr>
        <w:pStyle w:val="BookText"/>
      </w:pPr>
      <w:r>
        <w:rPr>
          <w:rFonts w:ascii="Times New Roman" w:hAnsi="Times New Roman" w:eastAsia="Times New Roman" w:cs="Times New Roman"/>
          <w:lang w:val="en-US" w:bidi="en-US"/>
          <w:color w:val="111111"/>
          <w:sz w:val="28"/>
          <w:szCs w:val="28"/>
          <w:rtl/>
        </w:rPr>
        <w:t xml:space="preserve">bugyat-uț țullāb fi ma'rifat-il ansāb</w:t>
      </w:r>
    </w:p>
    <w:p>
      <w:pPr>
        <w:pStyle w:val="BookText"/>
      </w:pPr>
      <w:r>
        <w:rPr>
          <w:rFonts w:ascii="IRNazanin" w:hAnsi="IRNazanin" w:eastAsia="IRNazanin" w:cs="IRNazanin"/>
          <w:lang w:bidi="fa-IR"/>
          <w:color w:val="111111"/>
          <w:sz w:val="28"/>
          <w:szCs w:val="28"/>
          <w:rtl/>
        </w:rPr>
        <w:t xml:space="preserve">کتابی است در انساب سادات يمن که در صفحه عنوان، به نام فوق ثبت گردیده است. مؤلف در آغاز مطالبی در تاریخ انبیا از حضرت نوح (علیه السلام) تا پیامبر خاتم (صلی الله علیه وآله وسلم)آورده و پس از آن با خطبه ای جدید، به ذكر نسب خاندان های سادات در یمن پرداخته است. آغاز بخش مذکور: «بسمله. الحمدلله الذي فرق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9" w:name="pg20363_209203"/>
    <w:bookmarkEnd w:id="49"/>
    <w:p>
      <w:pPr>
        <w:pStyle w:val="BookText"/>
      </w:pPr>
      <w:r>
        <w:rPr>
          <w:rFonts w:ascii="IRNazanin" w:hAnsi="IRNazanin" w:eastAsia="IRNazanin" w:cs="IRNazanin"/>
          <w:lang w:bidi="fa-IR"/>
          <w:color w:val="111111"/>
          <w:sz w:val="28"/>
          <w:szCs w:val="28"/>
          <w:rtl/>
        </w:rPr>
        <w:t xml:space="preserve">بین الاضداد و دل على الخير و الرشاد و زجر عن الغي و الفساد و أكمل حجته على العباد». احتمالا این کتاب شرح بر مشجری در انساب باشد، چنانکه در انجامه آمده: «تم المشجر المبارک صبيح يوم الجمعة لعله ۵ ربيع الآخر سنة ۱۱۸۵ من الهجرة النبوية على شارعها أفضل الصلوة و التسليم ..».</w:t>
      </w:r>
    </w:p>
    <w:p>
      <w:pPr>
        <w:pStyle w:val="BookText"/>
      </w:pPr>
      <w:r>
        <w:rPr>
          <w:rFonts w:ascii="IRNazanin" w:hAnsi="IRNazanin" w:eastAsia="IRNazanin" w:cs="IRNazanin"/>
          <w:lang w:bidi="fa-IR"/>
          <w:color w:val="111111"/>
          <w:sz w:val="28"/>
          <w:szCs w:val="28"/>
          <w:rtl/>
        </w:rPr>
        <w:t xml:space="preserve">قم؛ مرعشی؛ شماره نسخه: ۱۲۳۹/۳</w:t>
      </w:r>
    </w:p>
    <w:p>
      <w:pPr>
        <w:pStyle w:val="BookText"/>
      </w:pPr>
      <w:r>
        <w:rPr>
          <w:rFonts w:ascii="IRNazanin" w:hAnsi="IRNazanin" w:eastAsia="IRNazanin" w:cs="IRNazanin"/>
          <w:lang w:bidi="fa-IR"/>
          <w:color w:val="111111"/>
          <w:sz w:val="28"/>
          <w:szCs w:val="28"/>
          <w:rtl/>
        </w:rPr>
        <w:t xml:space="preserve">آغاز: بسمله. و به العون و الثقة، الحمدلله رب العالمین و صلی الله على سيدنا محمد و آله الطيبين الطاهرین و صحبه الراشدين المنتجبین و بعد فهذه نبذة منتقاة من التواريخ السالفة في معرفة الآبا و الأجداد ... فأول ما نذكر نوح (علیه السلام)؛ انجام: عمرو بن معوية المعروف سبأ، و الله سبحانه و تعالى أعلم و أحكم. تم المشجر المبارک ... و الحمدلله أولا و آخرا و ظاهر و باطنا.</w:t>
      </w:r>
    </w:p>
    <w:p>
      <w:pPr>
        <w:pStyle w:val="BookText"/>
      </w:pPr>
      <w:r>
        <w:rPr>
          <w:rFonts w:ascii="IRNazanin" w:hAnsi="IRNazanin" w:eastAsia="IRNazanin" w:cs="IRNazanin"/>
          <w:lang w:bidi="fa-IR"/>
          <w:color w:val="111111"/>
          <w:sz w:val="28"/>
          <w:szCs w:val="28"/>
          <w:rtl/>
        </w:rPr>
        <w:t xml:space="preserve">خط: نسخ، بی کا، بی تا؛ ۷۳ص (۹۷-۱۶۹)، ۲۹ سطر [عکسی ف: ۵۳۸-۳ ]</w:t>
      </w:r>
    </w:p>
    <w:p>
      <w:pPr>
        <w:pStyle w:val="Heading3"/>
      </w:pPr>
      <w:bookmarkStart w:id="877" w:name="_Toc137"/>
      <w:r>
        <w:t>• بغية الطلب في تاريخ حلب = زبدة الحلب من تاريخ حلب / تاریخ / عربی</w:t>
      </w:r>
      <w:bookmarkEnd w:id="877"/>
    </w:p>
    <w:p>
      <w:pPr>
        <w:pStyle w:val="BookText"/>
      </w:pPr>
      <w:r>
        <w:rPr>
          <w:rFonts w:ascii="Times New Roman" w:hAnsi="Times New Roman" w:eastAsia="Times New Roman" w:cs="Times New Roman"/>
          <w:lang w:val="en-US" w:bidi="en-US"/>
          <w:color w:val="111111"/>
          <w:sz w:val="28"/>
          <w:szCs w:val="28"/>
          <w:rtl/>
        </w:rPr>
        <w:t xml:space="preserve">bugyat-ut talab fi tarix-i halab = Zubdat-ul halab min tarix-i halab</w:t>
      </w:r>
    </w:p>
    <w:p>
      <w:pPr>
        <w:pStyle w:val="BookText"/>
      </w:pPr>
      <w:r>
        <w:rPr>
          <w:rFonts w:ascii="IRNazanin" w:hAnsi="IRNazanin" w:eastAsia="IRNazanin" w:cs="IRNazanin"/>
          <w:lang w:bidi="fa-IR"/>
          <w:color w:val="111111"/>
          <w:sz w:val="28"/>
          <w:szCs w:val="28"/>
          <w:rtl/>
        </w:rPr>
        <w:t xml:space="preserve">ابن عدیم، عمر بن احمد، ۵۸۸- ۶۶۰ قمری</w:t>
      </w:r>
    </w:p>
    <w:p>
      <w:pPr>
        <w:pStyle w:val="BookText"/>
      </w:pPr>
      <w:r>
        <w:rPr>
          <w:rFonts w:ascii="Times New Roman" w:hAnsi="Times New Roman" w:eastAsia="Times New Roman" w:cs="Times New Roman"/>
          <w:lang w:val="en-US" w:bidi="en-US"/>
          <w:color w:val="111111"/>
          <w:sz w:val="28"/>
          <w:szCs w:val="28"/>
          <w:rtl/>
        </w:rPr>
        <w:t xml:space="preserve">ebn-e ‘adīm, ‘omar ebn-e ahmad (1193-1262)</w:t>
      </w:r>
    </w:p>
    <w:p>
      <w:pPr>
        <w:pStyle w:val="BookText"/>
      </w:pPr>
      <w:r>
        <w:rPr>
          <w:rFonts w:ascii="IRNazanin" w:hAnsi="IRNazanin" w:eastAsia="IRNazanin" w:cs="IRNazanin"/>
          <w:lang w:bidi="fa-IR"/>
          <w:color w:val="111111"/>
          <w:sz w:val="28"/>
          <w:szCs w:val="28"/>
          <w:rtl/>
        </w:rPr>
        <w:t xml:space="preserve">کتاب مفصلی است در تاریخ حلب، به ترتیب حروف معجم. حاجی خلیفه و بروکلمان، این کتاب را در ده مجلد، نوشته اند. سنگین در مقدمه ای که بر مجلد اول چاپ عکسی کتاب نوشته، احتمال می دهد که این تاریخ در سی یا چهل مجلد تأليف شده باشد و آنچه تا کنون از آن به دست آمده حدود ده مجلد است که شاید یک سوم کتاب باشد.</w:t>
      </w:r>
    </w:p>
    <w:p>
      <w:pPr>
        <w:pStyle w:val="BookText"/>
      </w:pPr>
      <w:r>
        <w:rPr>
          <w:rFonts w:ascii="IRNazanin" w:hAnsi="IRNazanin" w:eastAsia="IRNazanin" w:cs="IRNazanin"/>
          <w:lang w:bidi="fa-IR"/>
          <w:color w:val="111111"/>
          <w:sz w:val="28"/>
          <w:szCs w:val="28"/>
          <w:rtl/>
        </w:rPr>
        <w:t xml:space="preserve">چاپ: دمشق، المعهد الفرنسي، الجزء الثالث، تحقیق سامی الدهان، الطبعة الأولى، ۱۹۶۸م، ۳۰۶ص؛ مجلد اول این کتاب، به طور فاکسی میل از روی نسخه ایاصوفيا، به شماره ۳۰۳۶ توسط «معهد تاريخ العلوم العربية و الاسلامية» در ۱۴۰۶ هـ در فرانکفورت چاپ شده است.</w:t>
      </w:r>
    </w:p>
    <w:p>
      <w:pPr>
        <w:pStyle w:val="BookText"/>
      </w:pPr>
      <w:r>
        <w:rPr>
          <w:rFonts w:ascii="IRNazanin" w:hAnsi="IRNazanin" w:eastAsia="IRNazanin" w:cs="IRNazanin"/>
          <w:lang w:bidi="fa-IR"/>
          <w:color w:val="111111"/>
          <w:sz w:val="28"/>
          <w:szCs w:val="28"/>
          <w:rtl/>
        </w:rPr>
        <w:t xml:space="preserve">[ الاعلام زرکلی ۴۰/۵ ؛ معجم المؤلفين ۲۷۵/۷ و ۲۷۶؛ کشف الظنون ۲۴۹/۱ ؛ ذخائر التراث العربی ۱۷۹/۱ ؛ بروکلمان، ذیل ۵۶۸/۱ ؛ فهرست المخطوطات المصورة تاريخ ۴۷/۱ و ۲۰/۲ و ۳۶/۳]</w:t>
      </w:r>
    </w:p>
    <w:p>
      <w:pPr>
        <w:pStyle w:val="BookText"/>
      </w:pPr>
      <w:r>
        <w:rPr>
          <w:rFonts w:ascii="IRNazanin" w:hAnsi="IRNazanin" w:eastAsia="IRNazanin" w:cs="IRNazanin"/>
          <w:lang w:bidi="fa-IR"/>
          <w:color w:val="111111"/>
          <w:sz w:val="28"/>
          <w:szCs w:val="28"/>
          <w:rtl/>
        </w:rPr>
        <w:t xml:space="preserve">شرح و حواشی: 1- بغية الطلب في تاريخ حلب (مختصر)</w:t>
      </w:r>
    </w:p>
    <w:p>
      <w:pPr>
        <w:pStyle w:val="BookText"/>
      </w:pPr>
      <w:r>
        <w:rPr>
          <w:rFonts w:ascii="IRNazanin" w:hAnsi="IRNazanin" w:eastAsia="IRNazanin" w:cs="IRNazanin"/>
          <w:lang w:bidi="fa-IR"/>
          <w:color w:val="111111"/>
          <w:sz w:val="28"/>
          <w:szCs w:val="28"/>
          <w:rtl/>
        </w:rPr>
        <w:t xml:space="preserve">۱. قم: مرکز احیاء؛ شماره نسخه: ۱۳۰۸</w:t>
      </w:r>
    </w:p>
    <w:p>
      <w:pPr>
        <w:pStyle w:val="BookText"/>
      </w:pPr>
      <w:r>
        <w:rPr>
          <w:rFonts w:ascii="IRNazanin" w:hAnsi="IRNazanin" w:eastAsia="IRNazanin" w:cs="IRNazanin"/>
          <w:lang w:bidi="fa-IR"/>
          <w:color w:val="111111"/>
          <w:sz w:val="28"/>
          <w:szCs w:val="28"/>
          <w:rtl/>
        </w:rPr>
        <w:t xml:space="preserve">آغاز: الحسين بن عبدالله الخادم مولى الحسن بن عرفة بن يزيد العبدی رابط بعين زربدة مدة مديدة</w:t>
      </w:r>
    </w:p>
    <w:p>
      <w:pPr>
        <w:pStyle w:val="BookText"/>
      </w:pPr>
      <w:r>
        <w:rPr>
          <w:rFonts w:ascii="IRNazanin" w:hAnsi="IRNazanin" w:eastAsia="IRNazanin" w:cs="IRNazanin"/>
          <w:lang w:bidi="fa-IR"/>
          <w:color w:val="111111"/>
          <w:sz w:val="28"/>
          <w:szCs w:val="28"/>
          <w:rtl/>
        </w:rPr>
        <w:t xml:space="preserve">نسخه اصل: کتابخانه احمد ثالث ترکیه ۲۹۲۵. جلد پنجم؛ خط: نسخ، كا: احمد بن علم اقسماوی، تا: دوشنبه ۲۶ ربیع الثانی ۷۱۸ق؛ مصحح، محشی؛ تملک: محمد بن محمد بن سابق حنفی به تاریخ چهارشنبه ۱۹ ربیع الثانی ۸۵۶؛ مهر وقف و امضای سلطان محمود خان خادم حرمین شریفین؛ وقف نسخه بر خانقاه ناصریه؛ ۶۵۲ص [عکسی ف: ۴-۱۳۱]</w:t>
      </w:r>
    </w:p>
    <w:p>
      <w:pPr>
        <w:pStyle w:val="BookText"/>
      </w:pPr>
      <w:r>
        <w:rPr>
          <w:rFonts w:ascii="IRNazanin" w:hAnsi="IRNazanin" w:eastAsia="IRNazanin" w:cs="IRNazanin"/>
          <w:lang w:bidi="fa-IR"/>
          <w:color w:val="111111"/>
          <w:sz w:val="28"/>
          <w:szCs w:val="28"/>
          <w:rtl/>
        </w:rPr>
        <w:t xml:space="preserve">۲. قم؛ مرعشی؛ شماره نسخه: ۵۱۳ عکسی</w:t>
      </w:r>
    </w:p>
    <w:p>
      <w:pPr>
        <w:pStyle w:val="BookText"/>
      </w:pPr>
      <w:r>
        <w:rPr>
          <w:rFonts w:ascii="IRNazanin" w:hAnsi="IRNazanin" w:eastAsia="IRNazanin" w:cs="IRNazanin"/>
          <w:lang w:bidi="fa-IR"/>
          <w:color w:val="111111"/>
          <w:sz w:val="28"/>
          <w:szCs w:val="28"/>
          <w:rtl/>
        </w:rPr>
        <w:t xml:space="preserve">آغاز: خالد بن الحرث بن ابی خالد قيس بن خلدة بن مخلد؛ انجام: التي دخلت قلبک برویتک ایانا في مسجد الجامع او كما قال.</w:t>
      </w:r>
    </w:p>
    <w:p>
      <w:pPr>
        <w:pStyle w:val="BookText"/>
      </w:pPr>
      <w:r>
        <w:rPr>
          <w:rFonts w:ascii="IRNazanin" w:hAnsi="IRNazanin" w:eastAsia="IRNazanin" w:cs="IRNazanin"/>
          <w:lang w:bidi="fa-IR"/>
          <w:color w:val="111111"/>
          <w:sz w:val="28"/>
          <w:szCs w:val="28"/>
          <w:rtl/>
        </w:rPr>
        <w:t xml:space="preserve">نسخه اصل: سلطان احمد سوم-استانبول، بشماره ۲۹۲۵/۵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فهرست خطی عربی طوپ قاپی ۵۲۴/۳ ). این نسخه از خالد بن الحرس شروع و به ترجمه دعلج بن احمد بن دعلج ختم می شود؛ خط: نسخ، بی کا، تا: احتمالا در نیمه اول قرن ۱۹؛ مصحح، محشی؛ تملک: محمد بن محمد بن سابق حنفی به تاریخ ۸۵۶ق؛ ۳۴۴گ، ۱۷سطر</w:t>
      </w:r>
    </w:p>
    <w:p>
      <w:pPr>
        <w:pStyle w:val="BookText"/>
      </w:pPr>
      <w:r>
        <w:rPr>
          <w:rFonts w:ascii="IRNazanin" w:hAnsi="IRNazanin" w:eastAsia="IRNazanin" w:cs="IRNazanin"/>
          <w:lang w:bidi="fa-IR"/>
          <w:color w:val="111111"/>
          <w:sz w:val="28"/>
          <w:szCs w:val="28"/>
          <w:rtl/>
        </w:rPr>
        <w:t xml:space="preserve">[عکسی ف: ۲-۱۳]</w:t>
      </w:r>
    </w:p>
    <w:p>
      <w:pPr>
        <w:pStyle w:val="BookText"/>
      </w:pPr>
      <w:r>
        <w:rPr>
          <w:rFonts w:ascii="IRNazanin" w:hAnsi="IRNazanin" w:eastAsia="IRNazanin" w:cs="IRNazanin"/>
          <w:lang w:bidi="fa-IR"/>
          <w:color w:val="111111"/>
          <w:sz w:val="28"/>
          <w:szCs w:val="28"/>
          <w:rtl/>
        </w:rPr>
        <w:t xml:space="preserve">٣. قم؛ مرعشی؛ شماره نسخه: ۵۸۹عکسی</w:t>
      </w:r>
    </w:p>
    <w:p>
      <w:pPr>
        <w:pStyle w:val="BookText"/>
      </w:pPr>
      <w:r>
        <w:rPr>
          <w:rFonts w:ascii="IRNazanin" w:hAnsi="IRNazanin" w:eastAsia="IRNazanin" w:cs="IRNazanin"/>
          <w:lang w:bidi="fa-IR"/>
          <w:color w:val="111111"/>
          <w:sz w:val="28"/>
          <w:szCs w:val="28"/>
          <w:rtl/>
        </w:rPr>
        <w:t xml:space="preserve">آغاز: احمد بن محمد بن متوية ابو جعفر المرور وذي المعروف بکا کو.؛ انجام: مسلم بن الحجاج يقول: ابو يعقوب اسحق بن منصور ... سمع يحيى بن سعيد وابن عیینه و ابن ابی فدیک و ابن نمیر</w:t>
      </w:r>
    </w:p>
    <w:p>
      <w:pPr>
        <w:pStyle w:val="BookText"/>
      </w:pPr>
      <w:r>
        <w:rPr>
          <w:rFonts w:ascii="IRNazanin" w:hAnsi="IRNazanin" w:eastAsia="IRNazanin" w:cs="IRNazanin"/>
          <w:lang w:bidi="fa-IR"/>
          <w:color w:val="111111"/>
          <w:sz w:val="28"/>
          <w:szCs w:val="28"/>
          <w:rtl/>
        </w:rPr>
        <w:t xml:space="preserve">نسخه اصل: از نسخه سلطان احمد ثالث استانبول، ش ۲۹۲۵/۲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فهرست عربی طوپ قاپی ۵۲۳/۳ ). این نسخه، ظاهرة جلد دوم، از ترجمه «احمد بن محمد متوية» شروع و تقریبا به آخر ترجمه «اسحق بن منصور المروزی» ختم می شود؛ خط: نسخ، بی کا، تا: احتمالا قرن ۹؛ افتادگی: انجام؛ مصحح، محشی؛ ۳۰۰گ، ۱۷سطر</w:t>
      </w:r>
    </w:p>
    <w:p>
      <w:pPr>
        <w:pStyle w:val="BookText"/>
      </w:pPr>
      <w:r>
        <w:rPr>
          <w:rFonts w:ascii="IRNazanin" w:hAnsi="IRNazanin" w:eastAsia="IRNazanin" w:cs="IRNazanin"/>
          <w:lang w:bidi="fa-IR"/>
          <w:color w:val="111111"/>
          <w:sz w:val="28"/>
          <w:szCs w:val="28"/>
          <w:rtl/>
        </w:rPr>
        <w:t xml:space="preserve">[عکسی ف: ۲-۷۸]</w:t>
      </w:r>
    </w:p>
    <w:p>
      <w:pPr>
        <w:pStyle w:val="BookText"/>
      </w:pPr>
      <w:r>
        <w:rPr>
          <w:rFonts w:ascii="IRNazanin" w:hAnsi="IRNazanin" w:eastAsia="IRNazanin" w:cs="IRNazanin"/>
          <w:lang w:bidi="fa-IR"/>
          <w:color w:val="111111"/>
          <w:sz w:val="28"/>
          <w:szCs w:val="28"/>
          <w:rtl/>
        </w:rPr>
        <w:t xml:space="preserve">۴. تهران، دانشگاه؛ شماره نسخه: ۱۴۷-ف</w:t>
      </w:r>
    </w:p>
    <w:p>
      <w:pPr>
        <w:pStyle w:val="BookText"/>
      </w:pPr>
      <w:r>
        <w:rPr>
          <w:rFonts w:ascii="IRNazanin" w:hAnsi="IRNazanin" w:eastAsia="IRNazanin" w:cs="IRNazanin"/>
          <w:lang w:bidi="fa-IR"/>
          <w:color w:val="111111"/>
          <w:sz w:val="28"/>
          <w:szCs w:val="28"/>
          <w:rtl/>
        </w:rPr>
        <w:t xml:space="preserve">نسخه اصل: فيض الله افندی ش ۱۴۰۴. از سرگذشت حجاج بن هشام و حجاج بن یوسف تا پایان جزو ۱؛ خط: نسخ، بی کا، بی تا؛ افتادگی: انجام؛ [فیلمها ف: ۱-۲۹۱]</w:t>
      </w:r>
    </w:p>
    <w:p>
      <w:pPr>
        <w:pStyle w:val="BookText"/>
      </w:pPr>
      <w:r>
        <w:rPr>
          <w:rFonts w:ascii="IRNazanin" w:hAnsi="IRNazanin" w:eastAsia="IRNazanin" w:cs="IRNazanin"/>
          <w:lang w:bidi="fa-IR"/>
          <w:color w:val="111111"/>
          <w:sz w:val="28"/>
          <w:szCs w:val="28"/>
          <w:rtl/>
        </w:rPr>
        <w:t xml:space="preserve">تهران؛ مینوی؛ شماره نسخه: ۲۶۳ بخش ۳ و ۲۶۴ بخش۳ همان نسخه بالا [ف: ۱۳۲]</w:t>
      </w:r>
    </w:p>
    <w:p>
      <w:pPr>
        <w:pStyle w:val="Heading3"/>
      </w:pPr>
      <w:bookmarkStart w:id="878" w:name="_Toc138"/>
      <w:r>
        <w:t>• بغية الطلب في تاريخ حلب (مختصر) / تاریخ عربی</w:t>
      </w:r>
      <w:bookmarkEnd w:id="878"/>
    </w:p>
    <w:p>
      <w:pPr>
        <w:pStyle w:val="BookText"/>
      </w:pPr>
      <w:r>
        <w:rPr>
          <w:rFonts w:ascii="Times New Roman" w:hAnsi="Times New Roman" w:eastAsia="Times New Roman" w:cs="Times New Roman"/>
          <w:lang w:val="en-US" w:bidi="en-US"/>
          <w:color w:val="111111"/>
          <w:sz w:val="28"/>
          <w:szCs w:val="28"/>
          <w:rtl/>
        </w:rPr>
        <w:t xml:space="preserve">bugyat-ut talab fi tarix-i halab (muxtasar)</w:t>
      </w:r>
    </w:p>
    <w:p>
      <w:pPr>
        <w:pStyle w:val="BookText"/>
      </w:pPr>
      <w:r>
        <w:rPr>
          <w:rFonts w:ascii="IRNazanin" w:hAnsi="IRNazanin" w:eastAsia="IRNazanin" w:cs="IRNazanin"/>
          <w:lang w:bidi="fa-IR"/>
          <w:color w:val="111111"/>
          <w:sz w:val="28"/>
          <w:szCs w:val="28"/>
          <w:rtl/>
        </w:rPr>
        <w:t xml:space="preserve">وابسته به: بغية الطلب في تاريخ حلب = زبدة الحلب من تاريخ حلب؛ ابن عدیم، عمر بن احمد (۵۸۸- ۶۶۰)</w:t>
      </w:r>
    </w:p>
    <w:p>
      <w:pPr>
        <w:pStyle w:val="BookText"/>
      </w:pPr>
      <w:r>
        <w:rPr>
          <w:rFonts w:ascii="IRNazanin" w:hAnsi="IRNazanin" w:eastAsia="IRNazanin" w:cs="IRNazanin"/>
          <w:lang w:bidi="fa-IR"/>
          <w:color w:val="111111"/>
          <w:sz w:val="28"/>
          <w:szCs w:val="28"/>
          <w:rtl/>
        </w:rPr>
        <w:t xml:space="preserve">تهران؛ ملک؛ شماره نسخه: ۳۶۳۰/۴</w:t>
      </w:r>
    </w:p>
    <w:p>
      <w:pPr>
        <w:pStyle w:val="BookText"/>
      </w:pPr>
      <w:r>
        <w:rPr>
          <w:rFonts w:ascii="IRNazanin" w:hAnsi="IRNazanin" w:eastAsia="IRNazanin" w:cs="IRNazanin"/>
          <w:lang w:bidi="fa-IR"/>
          <w:color w:val="111111"/>
          <w:sz w:val="28"/>
          <w:szCs w:val="28"/>
          <w:rtl/>
        </w:rPr>
        <w:t xml:space="preserve">خط: نسخ، كا: قاسم عبدالله، بی تا [ف: ۷-۷]</w:t>
      </w:r>
    </w:p>
    <w:p>
      <w:pPr>
        <w:pStyle w:val="Heading3"/>
      </w:pPr>
      <w:bookmarkStart w:id="879" w:name="_Toc139"/>
      <w:r>
        <w:t>• بغية العلماء و الرواة = ذیل رفع الإصر عن قضاة</w:t>
      </w:r>
      <w:bookmarkEnd w:id="879"/>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0" w:name="pg20363_209204"/>
    <w:bookmarkEnd w:id="50"/>
    <w:p>
      <w:pPr>
        <w:pStyle w:val="Heading3"/>
      </w:pPr>
      <w:bookmarkStart w:id="880" w:name="_Toc140"/>
      <w:r>
        <w:t>•مصر / تراجم / عربی</w:t>
      </w:r>
      <w:bookmarkEnd w:id="880"/>
    </w:p>
    <w:p>
      <w:pPr>
        <w:pStyle w:val="BookText"/>
      </w:pPr>
      <w:r>
        <w:rPr>
          <w:rFonts w:ascii="Times New Roman" w:hAnsi="Times New Roman" w:eastAsia="Times New Roman" w:cs="Times New Roman"/>
          <w:lang w:val="en-US" w:bidi="en-US"/>
          <w:color w:val="111111"/>
          <w:sz w:val="28"/>
          <w:szCs w:val="28"/>
          <w:rtl/>
        </w:rPr>
        <w:t xml:space="preserve">bugyat-ul ‘ulamā’ wa-r ruwāt = dayl-u raf*-il işr 'an quďāt-i mișr</w:t>
      </w:r>
    </w:p>
    <w:p>
      <w:pPr>
        <w:pStyle w:val="BookText"/>
      </w:pPr>
      <w:r>
        <w:rPr>
          <w:rFonts w:ascii="IRNazanin" w:hAnsi="IRNazanin" w:eastAsia="IRNazanin" w:cs="IRNazanin"/>
          <w:lang w:bidi="fa-IR"/>
          <w:color w:val="111111"/>
          <w:sz w:val="28"/>
          <w:szCs w:val="28"/>
          <w:rtl/>
        </w:rPr>
        <w:t xml:space="preserve">سخاوی، محمد بن عبدالرحمن، ۸۳۱-۹۰۲ قمری</w:t>
      </w:r>
    </w:p>
    <w:p>
      <w:pPr>
        <w:pStyle w:val="BookText"/>
      </w:pPr>
      <w:r>
        <w:rPr>
          <w:rFonts w:ascii="Times New Roman" w:hAnsi="Times New Roman" w:eastAsia="Times New Roman" w:cs="Times New Roman"/>
          <w:lang w:val="en-US" w:bidi="en-US"/>
          <w:color w:val="111111"/>
          <w:sz w:val="28"/>
          <w:szCs w:val="28"/>
          <w:rtl/>
        </w:rPr>
        <w:t xml:space="preserve">saxāvī, mohammad ebn-e ‘abd-or-rahmān (1428-1497)</w:t>
      </w:r>
    </w:p>
    <w:p>
      <w:pPr>
        <w:pStyle w:val="BookText"/>
      </w:pPr>
      <w:r>
        <w:rPr>
          <w:rFonts w:ascii="IRNazanin" w:hAnsi="IRNazanin" w:eastAsia="IRNazanin" w:cs="IRNazanin"/>
          <w:lang w:bidi="fa-IR"/>
          <w:color w:val="111111"/>
          <w:sz w:val="28"/>
          <w:szCs w:val="28"/>
          <w:rtl/>
        </w:rPr>
        <w:t xml:space="preserve">ذیل و تكمله ای است بر کتاب استادش احمد بن علی کنانی مشهور به «ابن حجر عسقلانی» (۸۵۲ق) موسوم به «رفع الاصر عن قضاة مصر» که در آن شرح حال متولیان امر قضاوت در مصر از زمان فتح مصر به دست مسلمانان تا عصر ابن حجر به ترتیب طبقات سال ها و در هر طبقه، به ترتیب الفبا درج شده است. قابل ذکر است که ابن حجر، خود ۲۲ سال صاحب منصب قضاوت بوده است. سخاوی در این ذیل، شرح حال ۴۹ تن از کسانی را که پس از ابن حجر می زیستند یا معاصر با او بودند ولی نامشان در «رفع الاصر» نیامده یا این که اسمی از آنها به میان آمده ولی شرح حال تفصیلی شان بیان نشده آورده است و همان گونه که در پایان نسخه حاضر کاتب به نقل از خط وی آورده، این ذیل را «بغية العلماء و الرواة في الذيل على كتاب شيخي في القضاة» نامیده است. وی در ضمن شرح حال افراد، ترجمه فرزندان و بعضا پدران و اجدادشان را نیز بیان نموده و در مناسبت های گوناگون، مباحث نحوی، فقهی و مانند آنها را مطرح کرده و به بررسی اقوال علما پرداخته است. اسامی قضات مترجم در «ذیل رفع الاصر» عبارتند از: 1. برهان الدين ابراهيم ابن الديری، ۲. احمد ابراهیم کنانی عسقلانی، ۳. احمد بن احمد انصاری خزوجی، ۴. احمد بن احمد اسيوطی، ۵. احمد بن عبدالله کنانی عسقلانی (ابن حجر)، ۶. احمد بن محمد اذرعی، ۹. احمد بن ناصر باعونی دمشقی، ۱۰. احمد بن نصرالله کرمانی، ۱۱. حسن بن على حصنی حموی، ۱۲. سعد بن محمد بن الديري نابلسی، ۱۳. زکریا بن محمد انصاری، ۱۴. سليمان بن ابی العزا ذرعی، ۱۵. صالح بن عمر کنانی عسقلانی، ۱۶. عبدالله بن شریک، ۱۷. عبد القادر دمیری، ۱۸. على بن محمد آدمی، ۱۹. علی بن محمود سلمى حموی، ۲۰. علی بن محمد سخاوی، ۲۱. على بن يوسف مصری، ۲۲. عمر بن ابی بکر محمد، ۲۳. عمر بن عبدالوهاب، ۲۴. عمر بن محمد رازی، ۲۵. محمد بن احمد كحکاوی، ۲۶. محمد بن احمد بساطی، ۲۷. محمد بن احمد اسدی، ۲۸. محمد بن احمد تنسی، ۲۹. محمد بن احمد شافعی، ۳۰. محمد بن اسحاق سلمي مناوی، ۳۱. محمد بن ابی بکر مالکی، ۳۲. محمد بن عبیدالله کریزی، ۳۳. محمد بن عثمان کرادی، ۳۴. محمد بن على قایانی، ۳۵. محمد بن عمار مصری، ۳۶. محمد بن عمرو حلبی، ۳۷. محمد بن عمر قاهری، ۳۸. محمد بن ابی بکر سدرش، ۳۹. محمد بن محمد مصری، ۴۰. محمد بن محمد کنانی، ۴۱. محمد بن محمد بن صافی، ۴۲. محمد بن محمد شافعی، ۴۳. محمد بن محمد بغدادی، ۴۴. محمد بن محمد شافعی، ۴۵. محمد بن محمد بن شهاب غازی، ۴۶. محمد بن محمد حنفی، ۴۷. محمود بن احمد عنتابی، ۴۸. يحيى بن محمد عناوی، ۴۹. محمد بن احمد احمد بن مزهد.</w:t>
      </w:r>
    </w:p>
    <w:p>
      <w:pPr>
        <w:pStyle w:val="BookText"/>
      </w:pPr>
      <w:r>
        <w:rPr>
          <w:rFonts w:ascii="IRNazanin" w:hAnsi="IRNazanin" w:eastAsia="IRNazanin" w:cs="IRNazanin"/>
          <w:lang w:bidi="fa-IR"/>
          <w:color w:val="111111"/>
          <w:sz w:val="28"/>
          <w:szCs w:val="28"/>
          <w:rtl/>
        </w:rPr>
        <w:t xml:space="preserve">چاپ: قاهره، الدار المصرية للتأليف و الترجمة، محقق جودة هلال و محمد محمود صبيح، چاپ اول، ۱۳۸۵ق، ۴۸۸۰۴۰ص. کشف الظنون، ج ۱، ص ۹۰۹]</w:t>
      </w:r>
    </w:p>
    <w:p>
      <w:pPr>
        <w:pStyle w:val="BookText"/>
      </w:pPr>
      <w:r>
        <w:rPr>
          <w:rFonts w:ascii="IRNazanin" w:hAnsi="IRNazanin" w:eastAsia="IRNazanin" w:cs="IRNazanin"/>
          <w:lang w:bidi="fa-IR"/>
          <w:color w:val="111111"/>
          <w:sz w:val="28"/>
          <w:szCs w:val="28"/>
          <w:rtl/>
        </w:rPr>
        <w:t xml:space="preserve">قم؛ مرعشی؛ شماره نسخه: ۱۰۰۳ عکسی</w:t>
      </w:r>
    </w:p>
    <w:p>
      <w:pPr>
        <w:pStyle w:val="BookText"/>
      </w:pPr>
      <w:r>
        <w:rPr>
          <w:rFonts w:ascii="IRNazanin" w:hAnsi="IRNazanin" w:eastAsia="IRNazanin" w:cs="IRNazanin"/>
          <w:lang w:bidi="fa-IR"/>
          <w:color w:val="111111"/>
          <w:sz w:val="28"/>
          <w:szCs w:val="28"/>
          <w:rtl/>
        </w:rPr>
        <w:t xml:space="preserve">آغاز: بسمله قال سيدنا الحافظ العمدة خادم السنة النبوية شمس الدين ابو الخیر محمد بن الشيخ العلامة عبد الرحمن بن ابی بکر المقرى السخاوي المصري القاهري رحمه الله تعالى الحمدلله الحكيم العدل الشامل كلا من خلقه بالجود و الفضل ... و بعد فهذا جزء افردت فيه بالذكر من تأخر عن شيخنا من كبار القضاة بالقاهرة و مصر كذا من كان بزمنه ممن لم يره بأصله مسطورة أو اثبته و لكن طوى أكثر خبره لكونه لم يكن عنده مشهورة .. و رتبته</w:t>
      </w:r>
    </w:p>
    <w:p>
      <w:pPr>
        <w:pStyle w:val="BookText"/>
      </w:pPr>
      <w:r>
        <w:rPr>
          <w:rFonts w:ascii="IRNazanin" w:hAnsi="IRNazanin" w:eastAsia="IRNazanin" w:cs="IRNazanin"/>
          <w:lang w:bidi="fa-IR"/>
          <w:color w:val="111111"/>
          <w:sz w:val="28"/>
          <w:szCs w:val="28"/>
          <w:rtl/>
        </w:rPr>
        <w:t xml:space="preserve">كأصله الترتيب المألوف على الحروف؛ انجام: ثم دفن بتربته و لم يلبث أن استقر ولده البدری محمد في وظيفته و صلى الله على سیدنا محمد و آله و صحبه و سلم 3خط: نسخ، كان احمد بن ابی بکر نسفی مالکی، تا: سه شنبه ۱۴ شوال ۹۷۳ق؛ بلاغ مطالعه و قرائت به تاریخ ۱۰۳۸ ق در آخر نسخه؛ عبارت «وقف کتابخانه مدرسه محمودیه» و مهر «وقف کتابخانه مدرسه محمودیه في المدينة المنورة» (بیضوی)؛ ۱۷۰ص، ۲۷ سطر [عکسی ف: ۳-۱۸]</w:t>
      </w:r>
    </w:p>
    <w:p>
      <w:pPr>
        <w:pStyle w:val="Heading3"/>
      </w:pPr>
      <w:bookmarkStart w:id="881" w:name="_Toc141"/>
      <w:r>
        <w:t>• بغية الفحول في شرح زبدة الاصول / اصول فقه / عربی</w:t>
      </w:r>
      <w:bookmarkEnd w:id="881"/>
    </w:p>
    <w:p>
      <w:pPr>
        <w:pStyle w:val="BookText"/>
      </w:pPr>
      <w:r>
        <w:rPr>
          <w:rFonts w:ascii="Times New Roman" w:hAnsi="Times New Roman" w:eastAsia="Times New Roman" w:cs="Times New Roman"/>
          <w:lang w:val="en-US" w:bidi="en-US"/>
          <w:color w:val="111111"/>
          <w:sz w:val="28"/>
          <w:szCs w:val="28"/>
          <w:rtl/>
        </w:rPr>
        <w:t xml:space="preserve">bugyat-ul fuhul fī š.-i zubdat-il usūl</w:t>
      </w:r>
    </w:p>
    <w:p>
      <w:pPr>
        <w:pStyle w:val="BookText"/>
      </w:pPr>
      <w:r>
        <w:rPr>
          <w:rFonts w:ascii="IRNazanin" w:hAnsi="IRNazanin" w:eastAsia="IRNazanin" w:cs="IRNazanin"/>
          <w:lang w:bidi="fa-IR"/>
          <w:color w:val="111111"/>
          <w:sz w:val="28"/>
          <w:szCs w:val="28"/>
          <w:rtl/>
        </w:rPr>
        <w:t xml:space="preserve">برغانی قزوینی، عبدالوهاب بن محمد صالح - ۱۲۵۰ قمری</w:t>
      </w:r>
    </w:p>
    <w:p>
      <w:pPr>
        <w:pStyle w:val="BookText"/>
      </w:pPr>
      <w:r>
        <w:rPr>
          <w:rFonts w:ascii="Times New Roman" w:hAnsi="Times New Roman" w:eastAsia="Times New Roman" w:cs="Times New Roman"/>
          <w:lang w:val="en-US" w:bidi="en-US"/>
          <w:color w:val="111111"/>
          <w:sz w:val="28"/>
          <w:szCs w:val="28"/>
          <w:rtl/>
        </w:rPr>
        <w:t xml:space="preserve">baraqānī qazvīnī, “abd-ol-vahhāb ebn-e mohammad saleh (- 1835)</w:t>
      </w:r>
    </w:p>
    <w:p>
      <w:pPr>
        <w:pStyle w:val="BookText"/>
      </w:pPr>
      <w:r>
        <w:rPr>
          <w:rFonts w:ascii="IRNazanin" w:hAnsi="IRNazanin" w:eastAsia="IRNazanin" w:cs="IRNazanin"/>
          <w:lang w:bidi="fa-IR"/>
          <w:color w:val="111111"/>
          <w:sz w:val="28"/>
          <w:szCs w:val="28"/>
          <w:rtl/>
        </w:rPr>
        <w:t xml:space="preserve">وابسته به: زبدة الاصول؛ شیخ بهائی، محمد بن حسين (۹۵۳ -1030)</w:t>
      </w:r>
    </w:p>
    <w:p>
      <w:pPr>
        <w:pStyle w:val="BookText"/>
      </w:pPr>
      <w:r>
        <w:rPr>
          <w:rFonts w:ascii="IRNazanin" w:hAnsi="IRNazanin" w:eastAsia="IRNazanin" w:cs="IRNazanin"/>
          <w:lang w:bidi="fa-IR"/>
          <w:color w:val="111111"/>
          <w:sz w:val="28"/>
          <w:szCs w:val="28"/>
          <w:rtl/>
        </w:rPr>
        <w:t xml:space="preserve">اهداء به: برای برادرش شیخ موسی</w:t>
      </w:r>
    </w:p>
    <w:p>
      <w:pPr>
        <w:pStyle w:val="BookText"/>
      </w:pPr>
      <w:r>
        <w:rPr>
          <w:rFonts w:ascii="IRNazanin" w:hAnsi="IRNazanin" w:eastAsia="IRNazanin" w:cs="IRNazanin"/>
          <w:lang w:bidi="fa-IR"/>
          <w:color w:val="111111"/>
          <w:sz w:val="28"/>
          <w:szCs w:val="28"/>
          <w:rtl/>
        </w:rPr>
        <w:t xml:space="preserve">تاريخ تأليف: آغاز ۱۲۵۸ و پایان ۵ شعبان ۱۲۵۸؛ محل تأليف: کربلا</w:t>
      </w:r>
    </w:p>
    <w:p>
      <w:pPr>
        <w:pStyle w:val="BookText"/>
      </w:pPr>
      <w:r>
        <w:rPr>
          <w:rFonts w:ascii="IRNazanin" w:hAnsi="IRNazanin" w:eastAsia="IRNazanin" w:cs="IRNazanin"/>
          <w:lang w:bidi="fa-IR"/>
          <w:color w:val="111111"/>
          <w:sz w:val="28"/>
          <w:szCs w:val="28"/>
          <w:rtl/>
        </w:rPr>
        <w:t xml:space="preserve">شرحی است مزجی بر زبدة الاصول شیخ بهائی.</w:t>
      </w:r>
    </w:p>
    <w:p>
      <w:pPr>
        <w:pStyle w:val="BookText"/>
      </w:pPr>
      <w:r>
        <w:rPr>
          <w:rFonts w:ascii="IRNazanin" w:hAnsi="IRNazanin" w:eastAsia="IRNazanin" w:cs="IRNazanin"/>
          <w:lang w:bidi="fa-IR"/>
          <w:color w:val="111111"/>
          <w:sz w:val="28"/>
          <w:szCs w:val="28"/>
          <w:rtl/>
        </w:rPr>
        <w:t xml:space="preserve">تهران؛ سپهسالار؛ شماره نسخه: ۶۲۱۵</w:t>
      </w:r>
    </w:p>
    <w:p>
      <w:pPr>
        <w:pStyle w:val="BookText"/>
      </w:pPr>
      <w:r>
        <w:rPr>
          <w:rFonts w:ascii="IRNazanin" w:hAnsi="IRNazanin" w:eastAsia="IRNazanin" w:cs="IRNazanin"/>
          <w:lang w:bidi="fa-IR"/>
          <w:color w:val="111111"/>
          <w:sz w:val="28"/>
          <w:szCs w:val="28"/>
          <w:rtl/>
        </w:rPr>
        <w:t xml:space="preserve">آغاز: بسمله ... الحمدلله الذي وفقنا لعرف ريعان الشباب في الوصول الى الأصول ... اما بعد؛ فيقول عبد الوهاب رضوان الدين بن محمد صالح القزوینی ... اني لما رأيت اقبال الناس بكتاب «زبدة الاصول» و لاسيما اخی ...... الشيخ موسى فاحببت ان اشرحها ... و سميته ببغية الفحول في شرح زبدة الاصول؛ انجام: بل طریق النجاة في الاخرى و الأولى ... في مشهد الحسين ... كما هو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1" w:name="pg20363_209205"/>
    <w:bookmarkEnd w:id="51"/>
    <w:p>
      <w:pPr>
        <w:pStyle w:val="BookText"/>
      </w:pPr>
      <w:r>
        <w:rPr>
          <w:rFonts w:ascii="Amiri" w:hAnsi="Amiri" w:eastAsia="Amiri" w:cs="Amiri"/>
          <w:lang w:bidi="ar-SA"/>
          <w:color w:val="111111"/>
          <w:sz w:val="28"/>
          <w:szCs w:val="28"/>
          <w:rtl/>
        </w:rPr>
        <w:t xml:space="preserve">مستحقه ۱۲۵۸. اللهم صل ... دائمة باقية.</w:t>
      </w:r>
    </w:p>
    <w:p>
      <w:pPr>
        <w:pStyle w:val="BookText"/>
      </w:pPr>
      <w:r>
        <w:rPr>
          <w:rFonts w:ascii="IRNazanin" w:hAnsi="IRNazanin" w:eastAsia="IRNazanin" w:cs="IRNazanin"/>
          <w:lang w:bidi="fa-IR"/>
          <w:color w:val="111111"/>
          <w:sz w:val="28"/>
          <w:szCs w:val="28"/>
          <w:rtl/>
        </w:rPr>
        <w:t xml:space="preserve">خط: نسخ، كاتب = مؤلف، تا: ۱۲۵۸، جان کربلا؛ به گواهی تصحیح و خط زدگی و تغییرهای بسیار نسخه اصل است؛ کاغذ: فرنگی سفید، جلد: تیماج مشکی ضربی، ۲۰۲گ، ۲۰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۳-۲۵۷]</w:t>
      </w:r>
    </w:p>
    <w:p>
      <w:pPr>
        <w:pStyle w:val="Heading3"/>
      </w:pPr>
      <w:bookmarkStart w:id="882" w:name="_Toc142"/>
      <w:r>
        <w:t>• بغية الفلاحين و الاشجار المثمرة و الرياحين / کشاورزی -عربی</w:t>
      </w:r>
      <w:bookmarkEnd w:id="882"/>
    </w:p>
    <w:p>
      <w:pPr>
        <w:pStyle w:val="BookText"/>
      </w:pPr>
      <w:r>
        <w:rPr>
          <w:rFonts w:ascii="Times New Roman" w:hAnsi="Times New Roman" w:eastAsia="Times New Roman" w:cs="Times New Roman"/>
          <w:lang w:val="en-US" w:bidi="en-US"/>
          <w:color w:val="111111"/>
          <w:sz w:val="28"/>
          <w:szCs w:val="28"/>
          <w:rtl/>
        </w:rPr>
        <w:t xml:space="preserve">bugyat-ul fallāhīn wa-l ašjār-ul mutmara wa-r rayāḥīn</w:t>
      </w:r>
    </w:p>
    <w:p>
      <w:pPr>
        <w:pStyle w:val="BookText"/>
      </w:pPr>
      <w:r>
        <w:rPr>
          <w:rFonts w:ascii="IRNazanin" w:hAnsi="IRNazanin" w:eastAsia="IRNazanin" w:cs="IRNazanin"/>
          <w:lang w:bidi="fa-IR"/>
          <w:color w:val="111111"/>
          <w:sz w:val="28"/>
          <w:szCs w:val="28"/>
          <w:rtl/>
        </w:rPr>
        <w:t xml:space="preserve">غسانی، عباس بن علی،-۷۷۸ قمری</w:t>
      </w:r>
    </w:p>
    <w:p>
      <w:pPr>
        <w:pStyle w:val="BookText"/>
      </w:pPr>
      <w:r>
        <w:rPr>
          <w:rFonts w:ascii="Times New Roman" w:hAnsi="Times New Roman" w:eastAsia="Times New Roman" w:cs="Times New Roman"/>
          <w:lang w:val="en-US" w:bidi="en-US"/>
          <w:color w:val="111111"/>
          <w:sz w:val="28"/>
          <w:szCs w:val="28"/>
          <w:rtl/>
        </w:rPr>
        <w:t xml:space="preserve">qassānī, “abbās ebn-e ‘alī (-1377)</w:t>
      </w:r>
    </w:p>
    <w:p>
      <w:pPr>
        <w:pStyle w:val="BookText"/>
      </w:pPr>
      <w:r>
        <w:rPr>
          <w:rFonts w:ascii="IRNazanin" w:hAnsi="IRNazanin" w:eastAsia="IRNazanin" w:cs="IRNazanin"/>
          <w:lang w:bidi="fa-IR"/>
          <w:color w:val="111111"/>
          <w:sz w:val="28"/>
          <w:szCs w:val="28"/>
          <w:rtl/>
        </w:rPr>
        <w:t xml:space="preserve">کتابی در باب زراعت و غرس گیاهان و فوائد و منافع و طبایع و مضار انواع میوه ها و طرق دفع آفات از آنها بر اساس مؤلفاتی از قبيل «الاشارة في العمارة» از تصانیف پدرش الملک المجاهد سيف الدين على (- ۷۶۴) و «ملح الملاحة في معرفة الفلاحة» از تصانيف جدش الملك الاشرف [كذا في النسخة صريحا واضحا یعنی با اضافه</w:t>
      </w:r>
    </w:p>
    <w:p>
      <w:pPr>
        <w:pStyle w:val="BookText"/>
      </w:pPr>
      <w:r>
        <w:rPr>
          <w:rFonts w:ascii="IRNazanin" w:hAnsi="IRNazanin" w:eastAsia="IRNazanin" w:cs="IRNazanin"/>
          <w:lang w:bidi="fa-IR"/>
          <w:color w:val="111111"/>
          <w:sz w:val="28"/>
          <w:szCs w:val="28"/>
          <w:rtl/>
        </w:rPr>
        <w:t xml:space="preserve">«جدی» به الملك الأشرف، ولی از مراجعه به کتب تواریخ معلوم می شود که این شخص في الواقع برادر جد مؤلف یعنی برادر الملك المؤید یعنی عموی پدر مؤلف است، و او را نیز مانند عموم افراد و ملوک فاضل سلسله غسانی تألیفات متعددی است در موضوعات مختلف علوم از طب و نجوم و اسطرلاب و بیطاری و انساب و رجال و فنون ادب و غیره از جمله کتاب «المعتمد في الأدوية المفردة» ] و «الفلاحة الرومية» و الفلاحة النبطية» و غیره، و چنان که در ترجمه احوالش مسطور است او را به جز این کتاب تألیفات دیگری نیز بوده که طابع کتاب «العسجد المسبوک و الجوهر المحكوك في طبقات الخلفاء و الملوک» در مقدمه خود بدون این که ذکر این کتاب را به میان بیاورد آنها را تعداد نموده است. کتاب مشتمل است بر«مقدمه» و شانزده «باب» و «خاتمه»: مقدمه: در بیان مطالب متنوع و کلی در باب نباتات و بیان اقوال افلاطون و ارسطو و دیگران از اصحاب فلاحت؛ باب ۱. الارضین و صفاتها و ما يستدل به على جيدها و ردیها؛ ۲. فيما يستمد به الارضون؛ ۳. ذكر المياه و ما يستدل به عليها و علامات المواضع التي يكون فيها؛ ۴. اختیار الارض و اصلاحها؛ ۵. اوقات الفلاحة و ما يحتاج اليه من امورها؛ ۶. الزروع؛ 7. القطائی؛ ۸ البقول و الخضروات؛ ۹. البزور المتخذة لاصلاح الاطعمة؛ ۱۰. الرياحين و ما شاكلها؛ ۱۱. الأشجار المثمرة؛ ۱۲. تثمير الأشجار و اصلاحها بعد هدمها؛ ۱۳. ترکیب الاشجار بعضها في بعض و ما يتركب منها و الاخبار عن معرفة الاقاليم السبعة و اهويتها و طبايعها؛ ۱۴. الخواص؛ ۱۵. دفع الآفات عن الزروع؛ ۱۶. تحتوي على خاتمة تشتمل على فوائد شتى على سبيل الاختصار.</w:t>
      </w:r>
    </w:p>
    <w:p>
      <w:pPr>
        <w:pStyle w:val="BookText"/>
      </w:pPr>
      <w:r>
        <w:rPr>
          <w:rFonts w:ascii="IRNazanin" w:hAnsi="IRNazanin" w:eastAsia="IRNazanin" w:cs="IRNazanin"/>
          <w:lang w:bidi="fa-IR"/>
          <w:color w:val="111111"/>
          <w:sz w:val="28"/>
          <w:szCs w:val="28"/>
          <w:rtl/>
        </w:rPr>
        <w:t xml:space="preserve">مشهد؛ رضوی؛ شماره نسخه: ۲۲۵۸۴</w:t>
      </w:r>
    </w:p>
    <w:p>
      <w:pPr>
        <w:pStyle w:val="BookText"/>
      </w:pPr>
      <w:r>
        <w:rPr>
          <w:rFonts w:ascii="IRNazanin" w:hAnsi="IRNazanin" w:eastAsia="IRNazanin" w:cs="IRNazanin"/>
          <w:lang w:bidi="fa-IR"/>
          <w:color w:val="111111"/>
          <w:sz w:val="28"/>
          <w:szCs w:val="28"/>
          <w:rtl/>
        </w:rPr>
        <w:t xml:space="preserve">آغاز: بسمله الحمدلله حامی حوزة بلاده بملوک اجتباهم لحراسة عباده (بعد از هشت سطر) اما بعد فان قلم القدر اذا جرى بتأييد الله تعالى للعبد و اسعاده و خصه بتوفيقه و ارشاده الهمه اکتساب الامور و السجايا الحميدة و الزمه بالمزايا الشريفة المجيدة و انه لما تولانی الله تعالی بعین عنايته في اصداره و ایراده و حبانی من خفى الطافه باسداء طارق احسانه و تلاده و اتانی زمام ذلك كله فاذعن الى الاقبال باصحابه و انقياده و المطلب المطلوب من شکر سبيل احسانه السابغ تأليف كتاب يكون جواهر معرفته ازین لعارفيه من جلاء العقود، انجام: و كل اقلیم منسوب إلى کو کب من الكواكب السبعة بحيثما او جبته التجربة على الأمر الأكثر الاقليم الأول لزحل.</w:t>
      </w:r>
    </w:p>
    <w:p>
      <w:pPr>
        <w:pStyle w:val="BookText"/>
      </w:pPr>
      <w:r>
        <w:rPr>
          <w:rFonts w:ascii="IRNazanin" w:hAnsi="IRNazanin" w:eastAsia="IRNazanin" w:cs="IRNazanin"/>
          <w:lang w:bidi="fa-IR"/>
          <w:color w:val="111111"/>
          <w:sz w:val="28"/>
          <w:szCs w:val="28"/>
          <w:rtl/>
        </w:rPr>
        <w:t xml:space="preserve">خط: نسخ، بی کا، تا: ۱۱۹۵ق؛ مجدول؛ واقف: حاج سید عبدالباقی آیت اللهی شیرازی، اسفند ۱۳۷۴؛ کاغذ: نخودی ضخیم، جلد: مقوا عطف و سجاف چرم و لبه دار، ۳۵-۲۷ سطر، اندازه: 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۱۹-۶۳۳]</w:t>
      </w:r>
    </w:p>
    <w:p>
      <w:pPr>
        <w:pStyle w:val="Heading3"/>
      </w:pPr>
      <w:bookmarkStart w:id="883" w:name="_Toc143"/>
      <w:r>
        <w:t>• بغية القاری المجيد من طلاب القرآن المجيد / علوم قرآن-عربی</w:t>
      </w:r>
      <w:bookmarkEnd w:id="883"/>
    </w:p>
    <w:p>
      <w:pPr>
        <w:pStyle w:val="BookText"/>
      </w:pPr>
      <w:r>
        <w:rPr>
          <w:rFonts w:ascii="Times New Roman" w:hAnsi="Times New Roman" w:eastAsia="Times New Roman" w:cs="Times New Roman"/>
          <w:lang w:val="en-US" w:bidi="en-US"/>
          <w:color w:val="111111"/>
          <w:sz w:val="28"/>
          <w:szCs w:val="28"/>
          <w:rtl/>
        </w:rPr>
        <w:t xml:space="preserve">bugyat-ul qārī-yil majīd min țullāb-il qur'ān-il majīd</w:t>
      </w:r>
    </w:p>
    <w:p>
      <w:pPr>
        <w:pStyle w:val="BookText"/>
      </w:pPr>
      <w:r>
        <w:rPr>
          <w:rFonts w:ascii="IRNazanin" w:hAnsi="IRNazanin" w:eastAsia="IRNazanin" w:cs="IRNazanin"/>
          <w:lang w:bidi="fa-IR"/>
          <w:color w:val="111111"/>
          <w:sz w:val="28"/>
          <w:szCs w:val="28"/>
          <w:rtl/>
        </w:rPr>
        <w:t xml:space="preserve">زبیدی، عبدالباقی بن عبدالله، ق ۱۱ قمری</w:t>
      </w:r>
    </w:p>
    <w:p>
      <w:pPr>
        <w:pStyle w:val="BookText"/>
      </w:pPr>
      <w:r>
        <w:rPr>
          <w:rFonts w:ascii="Times New Roman" w:hAnsi="Times New Roman" w:eastAsia="Times New Roman" w:cs="Times New Roman"/>
          <w:lang w:val="en-US" w:bidi="en-US"/>
          <w:color w:val="111111"/>
          <w:sz w:val="28"/>
          <w:szCs w:val="28"/>
          <w:rtl/>
        </w:rPr>
        <w:t xml:space="preserve">zobaydī, ‘abd-ol-bāqī ebn-e 'abd-ol-lāh (- 17c)</w:t>
      </w:r>
    </w:p>
    <w:p>
      <w:pPr>
        <w:pStyle w:val="BookText"/>
      </w:pPr>
      <w:r>
        <w:rPr>
          <w:rFonts w:ascii="IRNazanin" w:hAnsi="IRNazanin" w:eastAsia="IRNazanin" w:cs="IRNazanin"/>
          <w:lang w:bidi="fa-IR"/>
          <w:color w:val="111111"/>
          <w:sz w:val="28"/>
          <w:szCs w:val="28"/>
          <w:rtl/>
        </w:rPr>
        <w:t xml:space="preserve">تاریخ تأليف: دوشنبه 7 ذیقعده 1005ق عدد آیه های قرآن و اختلافات ائمه حجاز و عراق و شام در آن، مکی و مدنی بودن سوره ها، فواصل سور، عدد ركوعات و انواع وقف های قرآنی و دیگر مطالب را در این کتاب جمع آوری کرده است. مؤلف كتاب «الجامع المفيد لطالب القران» امام مقری ابو محمد عبدالله بن عمر بن ورد هلالی مذحجی شافعی مقدسی را نیز در ضمن کتابش گزیده کرده است.</w:t>
      </w:r>
    </w:p>
    <w:p>
      <w:pPr>
        <w:pStyle w:val="BookText"/>
      </w:pPr>
      <w:r>
        <w:rPr>
          <w:rFonts w:ascii="IRNazanin" w:hAnsi="IRNazanin" w:eastAsia="IRNazanin" w:cs="IRNazanin"/>
          <w:lang w:bidi="fa-IR"/>
          <w:color w:val="111111"/>
          <w:sz w:val="28"/>
          <w:szCs w:val="28"/>
          <w:rtl/>
        </w:rPr>
        <w:t xml:space="preserve">[ فهرست نسخه های عربی لینچی ص ۸۷-۸۸]</w:t>
      </w:r>
    </w:p>
    <w:p>
      <w:pPr>
        <w:pStyle w:val="BookText"/>
      </w:pPr>
      <w:r>
        <w:rPr>
          <w:rFonts w:ascii="IRNazanin" w:hAnsi="IRNazanin" w:eastAsia="IRNazanin" w:cs="IRNazanin"/>
          <w:lang w:bidi="fa-IR"/>
          <w:color w:val="111111"/>
          <w:sz w:val="28"/>
          <w:szCs w:val="28"/>
          <w:rtl/>
        </w:rPr>
        <w:t xml:space="preserve">قم: مرکز احیاء؛ شماره نسخه: ۴۴۹</w:t>
      </w:r>
    </w:p>
    <w:p>
      <w:pPr>
        <w:pStyle w:val="BookText"/>
      </w:pPr>
      <w:r>
        <w:rPr>
          <w:rFonts w:ascii="IRNazanin" w:hAnsi="IRNazanin" w:eastAsia="IRNazanin" w:cs="IRNazanin"/>
          <w:lang w:bidi="fa-IR"/>
          <w:color w:val="111111"/>
          <w:sz w:val="28"/>
          <w:szCs w:val="28"/>
          <w:rtl/>
        </w:rPr>
        <w:t xml:space="preserve">آغاز: الحمد لله رب العالمين ... و بعد فهذه نبذة في عدد آی القرآن و کلمه و حروفه و معرفة و قوفه و خموسه و عشوره نسخه اصل: كتابخانه آکادمی لینچی رم ۴۷؛ خط: نسخ، بی کا، تا: ۲۵ ذیقعده ۱۱۸۵ق؛ مصحح، محشی؛ در برگی آخر اسامی قراء سبعه مذکور در شاطبيه آمده؛ ۲۴۵ص [عکسی ف: ۲-۴۴]</w:t>
      </w:r>
    </w:p>
    <w:p>
      <w:pPr>
        <w:pStyle w:val="Heading3"/>
      </w:pPr>
      <w:bookmarkStart w:id="884" w:name="_Toc144"/>
      <w:r>
        <w:t>• بغية القاصد في مشكلات القواعد / حساب /عربی</w:t>
      </w:r>
      <w:bookmarkEnd w:id="884"/>
    </w:p>
    <w:p>
      <w:pPr>
        <w:pStyle w:val="BookText"/>
      </w:pPr>
      <w:r>
        <w:rPr>
          <w:rFonts w:ascii="Times New Roman" w:hAnsi="Times New Roman" w:eastAsia="Times New Roman" w:cs="Times New Roman"/>
          <w:lang w:val="en-US" w:bidi="en-US"/>
          <w:color w:val="111111"/>
          <w:sz w:val="28"/>
          <w:szCs w:val="28"/>
          <w:rtl/>
        </w:rPr>
        <w:t xml:space="preserve">bugyat-ul qasid fi muskilat-il qawaid</w:t>
      </w:r>
    </w:p>
    <w:p>
      <w:pPr>
        <w:pStyle w:val="BookText"/>
      </w:pPr>
      <w:r>
        <w:rPr>
          <w:rFonts w:ascii="IRNazanin" w:hAnsi="IRNazanin" w:eastAsia="IRNazanin" w:cs="IRNazanin"/>
          <w:lang w:bidi="fa-IR"/>
          <w:color w:val="111111"/>
          <w:sz w:val="28"/>
          <w:szCs w:val="28"/>
          <w:rtl/>
        </w:rPr>
        <w:t xml:space="preserve">سربهاری، قاسم بن عبدالحق، ق۱۰ قمری</w:t>
      </w:r>
    </w:p>
    <w:p>
      <w:pPr>
        <w:pStyle w:val="BookText"/>
      </w:pPr>
      <w:r>
        <w:rPr>
          <w:rFonts w:ascii="Times New Roman" w:hAnsi="Times New Roman" w:eastAsia="Times New Roman" w:cs="Times New Roman"/>
          <w:lang w:val="en-US" w:bidi="en-US"/>
          <w:color w:val="111111"/>
          <w:sz w:val="28"/>
          <w:szCs w:val="28"/>
          <w:rtl/>
        </w:rPr>
        <w:t xml:space="preserve">sarbahārī, qāsem ebn-e ‘abd-ol-haqq (- 16c)</w:t>
      </w:r>
    </w:p>
    <w:p>
      <w:pPr>
        <w:pStyle w:val="BookText"/>
      </w:pPr>
      <w:r>
        <w:rPr>
          <w:rFonts w:ascii="IRNazanin" w:hAnsi="IRNazanin" w:eastAsia="IRNazanin" w:cs="IRNazanin"/>
          <w:lang w:bidi="fa-IR"/>
          <w:color w:val="111111"/>
          <w:sz w:val="28"/>
          <w:szCs w:val="28"/>
          <w:rtl/>
        </w:rPr>
        <w:t xml:space="preserve">وابسته به: قواعد الأحكام في معرفة (مسائل الحلال و الحرام؛ علامه حلی، حسن بن یوسف (۶۴۸-۷۲۶)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2" w:name="pg20363_209206"/>
    <w:bookmarkEnd w:id="52"/>
    <w:p>
      <w:pPr>
        <w:pStyle w:val="BookText"/>
      </w:pPr>
      <w:r>
        <w:rPr>
          <w:rFonts w:ascii="IRNazanin" w:hAnsi="IRNazanin" w:eastAsia="IRNazanin" w:cs="IRNazanin"/>
          <w:lang w:bidi="fa-IR"/>
          <w:color w:val="111111"/>
          <w:sz w:val="28"/>
          <w:szCs w:val="28"/>
          <w:rtl/>
        </w:rPr>
        <w:t xml:space="preserve">تاریخ تأليف: یک شنبه ۱۰ شوال ۹۶۶ق؛ محل تألیف: اردبیل شرح و بسط مسائل حسابی مشکل کتاب «قواعد الأحكام» علامه حلی، تنظیم شده برای آنان که به قواعد مراجعه می کنند تا نیاز به مراجعه منابع مختلف نداشته باشند. بیشتر مسائل این کتاب مربوط به تقسیم ارث و حقوق وارثان می باشد و در پایان مسئله ای افزوده شده است در تکمیل</w:t>
      </w:r>
    </w:p>
    <w:p>
      <w:pPr>
        <w:pStyle w:val="BookText"/>
      </w:pPr>
      <w:r>
        <w:rPr>
          <w:rFonts w:ascii="IRNazanin" w:hAnsi="IRNazanin" w:eastAsia="IRNazanin" w:cs="IRNazanin"/>
          <w:lang w:bidi="fa-IR"/>
          <w:color w:val="111111"/>
          <w:sz w:val="28"/>
          <w:szCs w:val="28"/>
          <w:rtl/>
        </w:rPr>
        <w:t xml:space="preserve">«مناسخات» خواجه نصیر الدين طوسی. در آغاز این کتاب سیزده «مقدمه» است دارای قواعد و فوائد در کلیات مسائل علم حساب که شناخت آنها در حل مشکلات ریاضی لازم می باشد.</w:t>
      </w:r>
    </w:p>
    <w:p>
      <w:pPr>
        <w:pStyle w:val="BookText"/>
      </w:pPr>
      <w:r>
        <w:rPr>
          <w:rFonts w:ascii="IRNazanin" w:hAnsi="IRNazanin" w:eastAsia="IRNazanin" w:cs="IRNazanin"/>
          <w:lang w:bidi="fa-IR"/>
          <w:color w:val="111111"/>
          <w:sz w:val="28"/>
          <w:szCs w:val="28"/>
          <w:rtl/>
        </w:rPr>
        <w:t xml:space="preserve">قم: مرکز احیاء؛ شماره نسخه: ۱۹۵۷</w:t>
      </w:r>
    </w:p>
    <w:p>
      <w:pPr>
        <w:pStyle w:val="BookText"/>
      </w:pPr>
      <w:r>
        <w:rPr>
          <w:rFonts w:ascii="Amiri" w:hAnsi="Amiri" w:eastAsia="Amiri" w:cs="Amiri"/>
          <w:lang w:bidi="ar-SA"/>
          <w:color w:val="111111"/>
          <w:sz w:val="28"/>
          <w:szCs w:val="28"/>
          <w:rtl/>
        </w:rPr>
        <w:t xml:space="preserve">آغاز: الحمدلله الذي شرف نوع الانسان و خصه بفضيلتي العقل و النطق من بين الحيوان و جعلها ذريعة يتوصل بها إلى مآربه؛ انجام: هذا ما قاله السيد العلامة ... في كتابه الموسوم بالأنوار المضية في الحكمة الشرعية.</w:t>
      </w:r>
    </w:p>
    <w:p>
      <w:pPr>
        <w:pStyle w:val="BookText"/>
      </w:pPr>
      <w:r>
        <w:rPr>
          <w:rFonts w:ascii="IRNazanin" w:hAnsi="IRNazanin" w:eastAsia="IRNazanin" w:cs="IRNazanin"/>
          <w:lang w:bidi="fa-IR"/>
          <w:color w:val="111111"/>
          <w:sz w:val="28"/>
          <w:szCs w:val="28"/>
          <w:rtl/>
        </w:rPr>
        <w:t xml:space="preserve">خط: نسخ، كاتب = مؤلف، بی تا، تملك: على بن نور الدين محمد غفاری کاشانی؛ مهر: «الراضى بقضاء الغني محمد جعفر الحسینی الرضوی» (بیضوی)، «العبد محمد جعفر الحسینی الرضوی» (مربع)؛ جلد: مقوایی عطف تیماج قهوه ای، ۱۷۲ گی، ۱۹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۵-۳۸۷]</w:t>
      </w:r>
    </w:p>
    <w:p>
      <w:pPr>
        <w:pStyle w:val="Heading3"/>
      </w:pPr>
      <w:bookmarkStart w:id="885" w:name="_Toc145"/>
      <w:r>
        <w:t>• بغية المرتاح الى طلب الارباح / مواعظ / عربی</w:t>
      </w:r>
      <w:bookmarkEnd w:id="885"/>
    </w:p>
    <w:p>
      <w:pPr>
        <w:pStyle w:val="BookText"/>
      </w:pPr>
      <w:r>
        <w:rPr>
          <w:rFonts w:ascii="Times New Roman" w:hAnsi="Times New Roman" w:eastAsia="Times New Roman" w:cs="Times New Roman"/>
          <w:lang w:val="en-US" w:bidi="en-US"/>
          <w:color w:val="111111"/>
          <w:sz w:val="28"/>
          <w:szCs w:val="28"/>
          <w:rtl/>
        </w:rPr>
        <w:t xml:space="preserve">bugyat-ul murtāḥ ilā talab-il arbāḥ</w:t>
      </w:r>
    </w:p>
    <w:p>
      <w:pPr>
        <w:pStyle w:val="BookText"/>
      </w:pPr>
      <w:r>
        <w:rPr>
          <w:rFonts w:ascii="IRNazanin" w:hAnsi="IRNazanin" w:eastAsia="IRNazanin" w:cs="IRNazanin"/>
          <w:lang w:bidi="fa-IR"/>
          <w:color w:val="111111"/>
          <w:sz w:val="28"/>
          <w:szCs w:val="28"/>
          <w:rtl/>
        </w:rPr>
        <w:t xml:space="preserve">زرندی، محمد بن يوسف، ۶۹۳-۷۵۰ ؟ قمری</w:t>
      </w:r>
    </w:p>
    <w:p>
      <w:pPr>
        <w:pStyle w:val="BookText"/>
      </w:pPr>
      <w:r>
        <w:rPr>
          <w:rFonts w:ascii="Times New Roman" w:hAnsi="Times New Roman" w:eastAsia="Times New Roman" w:cs="Times New Roman"/>
          <w:lang w:val="en-US" w:bidi="en-US"/>
          <w:color w:val="111111"/>
          <w:sz w:val="28"/>
          <w:szCs w:val="28"/>
          <w:rtl/>
        </w:rPr>
        <w:t xml:space="preserve">zarandī, mohammad ebn-e yūsof (1294-1350)</w:t>
      </w:r>
    </w:p>
    <w:p>
      <w:pPr>
        <w:pStyle w:val="BookText"/>
      </w:pPr>
      <w:r>
        <w:rPr>
          <w:rFonts w:ascii="IRNazanin" w:hAnsi="IRNazanin" w:eastAsia="IRNazanin" w:cs="IRNazanin"/>
          <w:lang w:bidi="fa-IR"/>
          <w:color w:val="111111"/>
          <w:sz w:val="28"/>
          <w:szCs w:val="28"/>
          <w:rtl/>
        </w:rPr>
        <w:t xml:space="preserve">کتابی است مشتمل بر شرح چهل حدیث در مواعظ که مؤلف، اول تأليف آن را جهت نصیحت بعضی از سلاطین شروع نموده، لیکن برای اینکه فایده آن عام باشد آن را در نصیحت جميع حکام و ولات مسلمین قرار داده است. مؤلف، احادیث را غالب از «صحیح بخاری» و «مسلم» و «جامع ترمذی» آورده و اسناد خود را تا مؤلف هر کدام از این سه کتاب ذکر می کند. [کشف الظنون ۲۵۰/۱ ؛ معجم المؤلفين ۱۲۴/۱۲ ]</w:t>
      </w:r>
    </w:p>
    <w:p>
      <w:pPr>
        <w:pStyle w:val="BookText"/>
      </w:pPr>
      <w:r>
        <w:rPr>
          <w:rFonts w:ascii="IRNazanin" w:hAnsi="IRNazanin" w:eastAsia="IRNazanin" w:cs="IRNazanin"/>
          <w:lang w:bidi="fa-IR"/>
          <w:color w:val="111111"/>
          <w:sz w:val="28"/>
          <w:szCs w:val="28"/>
          <w:rtl/>
        </w:rPr>
        <w:t xml:space="preserve">قم؛ مرعشی؛ شماره نسخه: ۹۳۰ عکسی</w:t>
      </w:r>
    </w:p>
    <w:p>
      <w:pPr>
        <w:pStyle w:val="BookText"/>
      </w:pPr>
      <w:r>
        <w:rPr>
          <w:rFonts w:ascii="IRNazanin" w:hAnsi="IRNazanin" w:eastAsia="IRNazanin" w:cs="IRNazanin"/>
          <w:lang w:bidi="fa-IR"/>
          <w:color w:val="111111"/>
          <w:sz w:val="28"/>
          <w:szCs w:val="28"/>
          <w:rtl/>
        </w:rPr>
        <w:t xml:space="preserve">آغاز: الحمدلله المؤمن السلام ... و بعد يقول ...... ابو عبدالله محمد بن یوسف بن الحسن بن محمود الزرندی ... سميتها: بغية المرتاح الى طلب الارباح في نصح السلاطين و ولاة المسلمين و الحكام الراغبين في الفلاح؛ انجام: فهذا آخر الأربعين و ما وشحتها به من طرف الآثار و الاشعار وحليتها به من الحكايات و الآداب و المواعظ و الاذكار .. و الحمدلله رب العالمین و صلوته على سيدنا محمد خاتم النبيين و على آله</w:t>
      </w:r>
    </w:p>
    <w:p>
      <w:pPr>
        <w:pStyle w:val="BookText"/>
      </w:pPr>
      <w:r>
        <w:rPr>
          <w:rFonts w:ascii="IRNazanin" w:hAnsi="IRNazanin" w:eastAsia="IRNazanin" w:cs="IRNazanin"/>
          <w:lang w:bidi="fa-IR"/>
          <w:color w:val="111111"/>
          <w:sz w:val="28"/>
          <w:szCs w:val="28"/>
          <w:rtl/>
        </w:rPr>
        <w:t xml:space="preserve">نسخه اصل: چستربیتی، ش ۳۸۲۳ (اربری، فهرست خطی عربی ۲۲/۴)؛ خط: نسخ، كا: شیخ محمد شماعی، تا: جمعه ۲۲ ربیع الاول ۸۴۲ق؛ مصحح، محشی؛ ۱۲۶ گی، ۲۳ سطر [عکسی ف: ۲-۴۱۰]</w:t>
      </w:r>
    </w:p>
    <w:p>
      <w:pPr>
        <w:pStyle w:val="Heading3"/>
      </w:pPr>
      <w:bookmarkStart w:id="886" w:name="_Toc146"/>
      <w:r>
        <w:t>• بغية المريد في الكشف عن أحوال الشيخ الشهيد / تراجم / عربی</w:t>
      </w:r>
      <w:bookmarkEnd w:id="886"/>
    </w:p>
    <w:p>
      <w:pPr>
        <w:pStyle w:val="BookText"/>
      </w:pPr>
      <w:r>
        <w:rPr>
          <w:rFonts w:ascii="Times New Roman" w:hAnsi="Times New Roman" w:eastAsia="Times New Roman" w:cs="Times New Roman"/>
          <w:lang w:val="en-US" w:bidi="en-US"/>
          <w:color w:val="111111"/>
          <w:sz w:val="28"/>
          <w:szCs w:val="28"/>
          <w:rtl/>
        </w:rPr>
        <w:t xml:space="preserve">bugyat-ul murīd fi-1 kašf'an ahwāl-iš šayx-iš šahīd</w:t>
      </w:r>
    </w:p>
    <w:p>
      <w:pPr>
        <w:pStyle w:val="BookText"/>
      </w:pPr>
      <w:r>
        <w:rPr>
          <w:rFonts w:ascii="IRNazanin" w:hAnsi="IRNazanin" w:eastAsia="IRNazanin" w:cs="IRNazanin"/>
          <w:lang w:bidi="fa-IR"/>
          <w:color w:val="111111"/>
          <w:sz w:val="28"/>
          <w:szCs w:val="28"/>
          <w:rtl/>
        </w:rPr>
        <w:t xml:space="preserve">عودی جزینی، محمد بن علی، ق ۱۰ قمری</w:t>
      </w:r>
    </w:p>
    <w:p>
      <w:pPr>
        <w:pStyle w:val="BookText"/>
      </w:pPr>
      <w:r>
        <w:rPr>
          <w:rFonts w:ascii="Times New Roman" w:hAnsi="Times New Roman" w:eastAsia="Times New Roman" w:cs="Times New Roman"/>
          <w:lang w:val="en-US" w:bidi="en-US"/>
          <w:color w:val="111111"/>
          <w:sz w:val="28"/>
          <w:szCs w:val="28"/>
          <w:rtl/>
        </w:rPr>
        <w:t xml:space="preserve">‘ūdī jozaynī, mohammad ebn-e ‘alī (- 16c)</w:t>
      </w:r>
    </w:p>
    <w:p>
      <w:pPr>
        <w:pStyle w:val="BookText"/>
      </w:pPr>
      <w:r>
        <w:rPr>
          <w:rFonts w:ascii="IRNazanin" w:hAnsi="IRNazanin" w:eastAsia="IRNazanin" w:cs="IRNazanin"/>
          <w:lang w:bidi="fa-IR"/>
          <w:color w:val="111111"/>
          <w:sz w:val="28"/>
          <w:szCs w:val="28"/>
          <w:rtl/>
        </w:rPr>
        <w:t xml:space="preserve">زندگی نامه شهید ثانی از هنگام ولادت تا زمان شهادت است. مؤلف از شاگردان نزدیک شهید ثانی و پیوسته ملازم وي بوده است، متأسفانه بیشتر فصل های این کتاب از میان رفته، فقط بخشی اندکی از آن را نوه شهید ثانی، علی بن محمد بن حسن عاملی به دست آورده و در کتاب الدر المنصور، درج نموده و ترجمه جد خود حسن بن زين الدين و عده ای از علما را از خاندان شهید ثانی ضمیمه آن نموده است. دارای یک «مقدمه» و ۱۰ «فصل» و «خاتمه» است: المقدمة: في وصفه بالكمال على الاطلاق و اشتمل عليه من مكارم الأخلاق؛ فصل 1. مولده و ما اعقبه من ختم كتاب الله و ترتیب شروعه في تحصيل العلوم؛ ۲. ظهور اجتهاده و تعداد مصنفاته؛ ۳. تعداد أصحابه و فضلاء تلامذته؛ ۴. ذكر أمره في الكتابة و ما له فيها من الآيات و محاسن الكرامات؛ ۵. تعداد زوجاته و عدد اولاده؛ ۶. محاسن الرسائل البليغة و الانشاآت الفصيحة؛ 7. ذكر القصائد التي مدح بها في الزمان و من مدحه من أهل هذا الشأن؛ ۸ ذكر ما عرض له من الاخاویف؛ 9. مقتله و خاتمظ أجله، ۱۰. اضطراب الاخبار في تحقيق الاحوال بعد أخذه من الحجاز الى الروم؛ الخاتمة: في المراثی و الندب و ما وقع بعد فقده من الكرب و بیان من رثاه. آغاز: الحمد لله رافع درجات العلماء ... و بعد فان احق ما اودع في الطروس و توجهت اليه النفوس من فن التواريخ المحفوظه والسير الملحوظة.</w:t>
      </w:r>
    </w:p>
    <w:p>
      <w:pPr>
        <w:pStyle w:val="BookText"/>
      </w:pPr>
      <w:r>
        <w:rPr>
          <w:rFonts w:ascii="Amiri" w:hAnsi="Amiri" w:eastAsia="Amiri" w:cs="Amiri"/>
          <w:lang w:bidi="ar-SA"/>
          <w:color w:val="111111"/>
          <w:sz w:val="28"/>
          <w:szCs w:val="28"/>
          <w:rtl/>
        </w:rPr>
        <w:t xml:space="preserve">[ الذريعة ۱۳۶/۳ و ۱۳۷]</w:t>
      </w:r>
    </w:p>
    <w:p>
      <w:pPr>
        <w:pStyle w:val="BookText"/>
      </w:pPr>
      <w:r>
        <w:rPr>
          <w:rFonts w:ascii="IRNazanin" w:hAnsi="IRNazanin" w:eastAsia="IRNazanin" w:cs="IRNazanin"/>
          <w:lang w:bidi="fa-IR"/>
          <w:color w:val="111111"/>
          <w:sz w:val="28"/>
          <w:szCs w:val="28"/>
          <w:rtl/>
        </w:rPr>
        <w:t xml:space="preserve">۱. قم؛ مرعشی؛ شماره نسخه: ۱۳۱۶۸/۴</w:t>
      </w:r>
    </w:p>
    <w:p>
      <w:pPr>
        <w:pStyle w:val="BookText"/>
      </w:pPr>
      <w:r>
        <w:rPr>
          <w:rFonts w:ascii="Amiri" w:hAnsi="Amiri" w:eastAsia="Amiri" w:cs="Amiri"/>
          <w:lang w:bidi="ar-SA"/>
          <w:color w:val="111111"/>
          <w:sz w:val="28"/>
          <w:szCs w:val="28"/>
          <w:rtl/>
        </w:rPr>
        <w:t xml:space="preserve">آغاز: برابر؛ انجام: هذا و حزني عليهم لا انقضاء له *** حتى اراهم عيانا حينما نزلوا. و هذا آخر ما وجد من هذا التاريخ و الحمد لله اولا و آخرا.</w:t>
      </w:r>
    </w:p>
    <w:p>
      <w:pPr>
        <w:pStyle w:val="BookText"/>
      </w:pPr>
      <w:r>
        <w:rPr>
          <w:rFonts w:ascii="IRNazanin" w:hAnsi="IRNazanin" w:eastAsia="IRNazanin" w:cs="IRNazanin"/>
          <w:lang w:bidi="fa-IR"/>
          <w:color w:val="111111"/>
          <w:sz w:val="28"/>
          <w:szCs w:val="28"/>
          <w:rtl/>
        </w:rPr>
        <w:t xml:space="preserve">خط: نسخ، كا: مولی عبدالله افندی، تا: قرن ۱۲؛ مصحح؛ تملک: « نصر الله بن حسین حسینی»؛ کاغذ: فرنگی آهار مهره، ۲۹گ (۱۵۳پ-۱۸۱پ)، ۱۸ سطر، اندازه: ۱۵عن أحوال الشيخ الشهيد / ۸/۵ سم [ف: ۳۳-۳۲۸]</w:t>
      </w:r>
    </w:p>
    <w:p>
      <w:pPr>
        <w:pStyle w:val="BookText"/>
      </w:pPr>
      <w:r>
        <w:rPr>
          <w:rFonts w:ascii="IRNazanin" w:hAnsi="IRNazanin" w:eastAsia="IRNazanin" w:cs="IRNazanin"/>
          <w:lang w:bidi="fa-IR"/>
          <w:color w:val="111111"/>
          <w:sz w:val="28"/>
          <w:szCs w:val="28"/>
          <w:rtl/>
        </w:rPr>
        <w:t xml:space="preserve">۲. تهران؛ مجلس؛ شماره نسخه: ۸۹۶۵/۲</w:t>
      </w:r>
    </w:p>
    <w:p>
      <w:pPr>
        <w:pStyle w:val="BookText"/>
      </w:pPr>
      <w:r>
        <w:rPr>
          <w:rFonts w:ascii="Amiri" w:hAnsi="Amiri" w:eastAsia="Amiri" w:cs="Amiri"/>
          <w:lang w:bidi="ar-SA"/>
          <w:color w:val="111111"/>
          <w:sz w:val="28"/>
          <w:szCs w:val="28"/>
          <w:rtl/>
        </w:rPr>
        <w:t xml:space="preserve">آغاز: برابر؛ انجام: الفصل الثالث في ذكر اصحابه و فضلاء تلامذته الذي قراء وا عليه ... حسين بن الصايغ العاملي ادام الله توفيقه قراء عليه و سمع جملة نافعة من العلوم في المعقول و المنقول و الأدب و غير ذلك</w:t>
      </w:r>
    </w:p>
    <w:p>
      <w:pPr>
        <w:pStyle w:val="BookText"/>
      </w:pPr>
      <w:r>
        <w:rPr>
          <w:rFonts w:ascii="IRNazanin" w:hAnsi="IRNazanin" w:eastAsia="IRNazanin" w:cs="IRNazanin"/>
          <w:lang w:bidi="fa-IR"/>
          <w:color w:val="111111"/>
          <w:sz w:val="28"/>
          <w:szCs w:val="28"/>
          <w:rtl/>
        </w:rPr>
        <w:t xml:space="preserve">خط: نسخ، كا: محمد بن على بن ثابت حسینی، تا: ۱۶ ذیقعده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3" w:name="pg20363_209207"/>
    <w:bookmarkEnd w:id="53"/>
    <w:p>
      <w:pPr>
        <w:pStyle w:val="BookText"/>
      </w:pPr>
      <w:r>
        <w:rPr>
          <w:rFonts w:ascii="IRNazanin" w:hAnsi="IRNazanin" w:eastAsia="IRNazanin" w:cs="IRNazanin"/>
          <w:lang w:bidi="fa-IR"/>
          <w:color w:val="111111"/>
          <w:sz w:val="28"/>
          <w:szCs w:val="28"/>
          <w:rtl/>
        </w:rPr>
        <w:t xml:space="preserve">۱۱۱۰ق؛ افتادگی: انجام؛ کاغذ: نخودی آهار مهره، جلد: تیماج مشکی، ۳۷گی (۸۰ پ- ۱۱۶پ)، ۱۵ سطر (۱۲۶۶)، اندازه: ۱۸/۲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سم [ف: ۲۹/۱ -۴۸۸]</w:t>
      </w:r>
    </w:p>
    <w:p>
      <w:pPr>
        <w:pStyle w:val="BookText"/>
      </w:pPr>
      <w:r>
        <w:rPr>
          <w:rFonts w:ascii="IRNazanin" w:hAnsi="IRNazanin" w:eastAsia="IRNazanin" w:cs="IRNazanin"/>
          <w:lang w:bidi="fa-IR"/>
          <w:color w:val="111111"/>
          <w:sz w:val="28"/>
          <w:szCs w:val="28"/>
          <w:rtl/>
        </w:rPr>
        <w:t xml:space="preserve">٣. قم: مرکز احیاء؛ شماره نسخه: ۲۸۳۶</w:t>
      </w:r>
    </w:p>
    <w:p>
      <w:pPr>
        <w:pStyle w:val="BookText"/>
      </w:pPr>
      <w:r>
        <w:rPr>
          <w:rFonts w:ascii="IRNazanin" w:hAnsi="IRNazanin" w:eastAsia="IRNazanin" w:cs="IRNazanin"/>
          <w:lang w:bidi="fa-IR"/>
          <w:color w:val="111111"/>
          <w:sz w:val="28"/>
          <w:szCs w:val="28"/>
          <w:rtl/>
        </w:rPr>
        <w:t xml:space="preserve">آغاز: برابر؛ انجام: وكم رفعت مضافا للهوان كما *** خفضت كل لبيب مفرد علم خط: نستعلیق، کا: محمد مؤمن بن حاج محمد قاسمی جزائری، تا: ۱۱۱۱ق؛ مصحح، محشی، در چند برگ اول شرح حال بیضاوی با ایراداتی بر تفسیر وی و شرح حال مرحوم شیخ مفید و نقل بعضی مناظرات وی آمده و ظاهرا این کتاب بخشی از کتاب «ربيع الابرار» کاتب باشد که در بیان احوال علماء و شعراء نگاشته است؛ وقفنامه ای با مهر «رب محمد نجني بحق علی» (بیضوی) و «محمد على» (بیضوی)؛ جلد: تیماج مشکی بدون مقوا، ۹۰گ، ۱۹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[محدث ارموی مخ: ۱-۲۵۸]</w:t>
      </w:r>
    </w:p>
    <w:p>
      <w:pPr>
        <w:pStyle w:val="BookText"/>
      </w:pPr>
      <w:r>
        <w:rPr>
          <w:rFonts w:ascii="IRNazanin" w:hAnsi="IRNazanin" w:eastAsia="IRNazanin" w:cs="IRNazanin"/>
          <w:lang w:bidi="fa-IR"/>
          <w:color w:val="111111"/>
          <w:sz w:val="28"/>
          <w:szCs w:val="28"/>
          <w:rtl/>
        </w:rPr>
        <w:t xml:space="preserve">۴. تهران، دانشگاه؛ شماره نسخه: ۴۶۴۳/۲</w:t>
      </w:r>
    </w:p>
    <w:p>
      <w:pPr>
        <w:pStyle w:val="BookText"/>
      </w:pPr>
      <w:r>
        <w:rPr>
          <w:rFonts w:ascii="IRNazanin" w:hAnsi="IRNazanin" w:eastAsia="IRNazanin" w:cs="IRNazanin"/>
          <w:lang w:bidi="fa-IR"/>
          <w:color w:val="111111"/>
          <w:sz w:val="28"/>
          <w:szCs w:val="28"/>
          <w:rtl/>
        </w:rPr>
        <w:t xml:space="preserve">آغاز: برابر؛ انجام: و الصبر على هذا المصاب و الاجر عليها. خط: نسخ و نستعلیق، کا: عبدالله بن عنایت الله، بی تا؛ کاغذ: فرنگی، جلد: پارچه سرخ گوشه ها و عطف تیماج مشکی، ۴۲ص ( ۵۶-۱۵ )، چلیپا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سم [ف: ۱۴-۳۵۷۸]</w:t>
      </w:r>
    </w:p>
    <w:p>
      <w:pPr>
        <w:pStyle w:val="Heading3"/>
      </w:pPr>
      <w:bookmarkStart w:id="887" w:name="_Toc147"/>
      <w:r>
        <w:t>• بغية المريد و أنيس الفرید / انساب / عربی</w:t>
      </w:r>
      <w:bookmarkEnd w:id="887"/>
    </w:p>
    <w:p>
      <w:pPr>
        <w:pStyle w:val="BookText"/>
      </w:pPr>
      <w:r>
        <w:rPr>
          <w:rFonts w:ascii="Times New Roman" w:hAnsi="Times New Roman" w:eastAsia="Times New Roman" w:cs="Times New Roman"/>
          <w:lang w:val="en-US" w:bidi="en-US"/>
          <w:color w:val="111111"/>
          <w:sz w:val="28"/>
          <w:szCs w:val="28"/>
          <w:rtl/>
        </w:rPr>
        <w:t xml:space="preserve">bugyat-ul murīd wa ’anīs-ul farīd</w:t>
      </w:r>
    </w:p>
    <w:p>
      <w:pPr>
        <w:pStyle w:val="BookText"/>
      </w:pPr>
      <w:r>
        <w:rPr>
          <w:rFonts w:ascii="IRNazanin" w:hAnsi="IRNazanin" w:eastAsia="IRNazanin" w:cs="IRNazanin"/>
          <w:lang w:bidi="fa-IR"/>
          <w:color w:val="111111"/>
          <w:sz w:val="28"/>
          <w:szCs w:val="28"/>
          <w:rtl/>
        </w:rPr>
        <w:t xml:space="preserve">حسنی یمانی، عامر بن محمد، ۱۱۳۵ قمری</w:t>
      </w:r>
    </w:p>
    <w:p>
      <w:pPr>
        <w:pStyle w:val="BookText"/>
      </w:pPr>
      <w:r>
        <w:rPr>
          <w:rFonts w:ascii="Times New Roman" w:hAnsi="Times New Roman" w:eastAsia="Times New Roman" w:cs="Times New Roman"/>
          <w:lang w:val="en-US" w:bidi="en-US"/>
          <w:color w:val="111111"/>
          <w:sz w:val="28"/>
          <w:szCs w:val="28"/>
          <w:rtl/>
        </w:rPr>
        <w:t xml:space="preserve">hasanī yamānī, tāmer ebn-e mohammad (- 1723)</w:t>
      </w:r>
    </w:p>
    <w:p>
      <w:pPr>
        <w:pStyle w:val="BookText"/>
      </w:pPr>
      <w:r>
        <w:rPr>
          <w:rFonts w:ascii="IRNazanin" w:hAnsi="IRNazanin" w:eastAsia="IRNazanin" w:cs="IRNazanin"/>
          <w:lang w:bidi="fa-IR"/>
          <w:color w:val="111111"/>
          <w:sz w:val="28"/>
          <w:szCs w:val="28"/>
          <w:rtl/>
        </w:rPr>
        <w:t xml:space="preserve">تاريخ تأليف: ۱۱۲۶ق کتابی است درباره انساب ذریه سید علی بن محمد املحي بن على رشید (-۹۷۷ق) نگاشته و حوادث تا سال ۱۱۳۰ق را در آن آورده است و به خصوص تراجم آل امام منصور قاسم بن محمد (- ۱۰۲۹ق) را مدنظر داشته است. در مصادر التراث اليمني في المتحف البريطاني (ص ۱۰۴-۱۰۵) درباره موضوع و محتوای این اثر چنین آمده است: «کتاب كما أثبت في عنوانه في ذرية و أنساب السيد علي بن محمد بن على الرشيد الأملحي الحسني و من نشأ معهم و عاصرهم من السادة و العلماء و الفضلاء و السيد على بن محمد بن على بن الرشيد الأمحلی (من شام صعدة ) المتوفى سنة ۹۷۷ه هوجد فرع من فروع الأئمة الذين كان أولهم حفيد السيد علي بن محمد، الامام المنصور بالله القاسم بن محمد الذي حكم سنة (۱۰۰۶-۱۰۲۹هـ) و كان من نسله أئمة حكموا رغم الصراع مع الاتراك حتى زمن المؤلف و کتابته هذا التاريخ سنة ۱۱۲۶هـ كانت غاية المؤلف من وضع هذا الكتاب أن يذكر أنساب الفرع الهاشمي الذي ينتمي اليه لكنه في حقيقة الأمر يحوي مادة كثيرة و هامة في تاريخ اليمن في هذه الحقبة المضطربة و غير المعروفة تماما. و بالرغم من أن المؤلف ذكر أنه صنف الكتاب سنة ۱۱۲۶ هـ فانه قد ساق من الأخبار و الحوادث ما يعود إلى ما بعد هذا التاريخ كحصار «المهدی صاحب المواهب» ووفاته التي حددها في الخامس من رمضان سنة ۱۱۳۰هـ و حوادث أخرى لعل آخرها في ۲۴ شعبان من نفس العام. و تناول في المقدمة أهمية السلالة العلوية مشيرا الى اعتماده على مصادر أربعة أساسية هي (نورالانوار و منهج الأبرار للسيد أحمد بن محمد بم على الرضی) و (کتاب فخر الدين عبد الله بن على المؤيدي المعروف بأبي علامة) و (عمدة الطالب في أنساب أبي طالب للشريف ابن عنبه) و كذلك (ما كتبه الشريف المسهودی).</w:t>
      </w:r>
    </w:p>
    <w:p>
      <w:pPr>
        <w:pStyle w:val="BookText"/>
      </w:pPr>
      <w:r>
        <w:rPr>
          <w:rFonts w:ascii="Amiri" w:hAnsi="Amiri" w:eastAsia="Amiri" w:cs="Amiri"/>
          <w:lang w:bidi="ar-SA"/>
          <w:color w:val="111111"/>
          <w:sz w:val="28"/>
          <w:szCs w:val="28"/>
          <w:rtl/>
        </w:rPr>
        <w:t xml:space="preserve">و أخذ في استعراض نسب سادة اليمن و بشكل خاص اولاد الامام القاسم بن ابراهيم الرسي (ت ۲۴۶هـ). و هكذا تشكل الأنساب و سيرة من ذكرهم من الأئمة المعاصرين أمثال الامام يحيى شرف الدين (ت ۹۶۵هـ) و بنه المطهر (ت ۹۸۰هـ) و من تلاهم في القرن العاشر أو ما تلاه حتى ۱۱۲۶ هـ جوهر الكتاب و معظم مادته. و قد أضاف معلومات و أخبارا مفيدة عن سيرة المنصور بالله القاسم بن محمد و عرض أحداث عصره».</w:t>
      </w:r>
    </w:p>
    <w:p>
      <w:pPr>
        <w:pStyle w:val="BookText"/>
      </w:pPr>
      <w:r>
        <w:rPr>
          <w:rFonts w:ascii="IRNazanin" w:hAnsi="IRNazanin" w:eastAsia="IRNazanin" w:cs="IRNazanin"/>
          <w:lang w:bidi="fa-IR"/>
          <w:color w:val="111111"/>
          <w:sz w:val="28"/>
          <w:szCs w:val="28"/>
          <w:rtl/>
        </w:rPr>
        <w:t xml:space="preserve">نسخه های خطی از این کتاب در کتابخانه های یمن فراوان است و استاد محمد بن محمد شعیی آنرا تحقیق کرده و استاد احمد بن محمد شامی تعلیقاتی بر آن نگاشته و قرار است در جده به چاپ برسد. «حافظیان»</w:t>
      </w:r>
    </w:p>
    <w:p>
      <w:pPr>
        <w:pStyle w:val="BookText"/>
      </w:pPr>
      <w:r>
        <w:rPr>
          <w:rFonts w:ascii="IRNazanin" w:hAnsi="IRNazanin" w:eastAsia="IRNazanin" w:cs="IRNazanin"/>
          <w:lang w:bidi="fa-IR"/>
          <w:color w:val="111111"/>
          <w:sz w:val="28"/>
          <w:szCs w:val="28"/>
          <w:rtl/>
        </w:rPr>
        <w:t xml:space="preserve">آغاز: الحمدلله الذي هو على تغاير الأزمنه اله محمود، ... و بعد فانه لما طرق سمعی من بعض ابناء السادة الاعلام اهل الوقت يسأل عن نسب بعض اهله ...</w:t>
      </w:r>
    </w:p>
    <w:p>
      <w:pPr>
        <w:pStyle w:val="BookText"/>
      </w:pPr>
      <w:r>
        <w:rPr>
          <w:rFonts w:ascii="Amiri" w:hAnsi="Amiri" w:eastAsia="Amiri" w:cs="Amiri"/>
          <w:lang w:bidi="ar-SA"/>
          <w:color w:val="111111"/>
          <w:sz w:val="28"/>
          <w:szCs w:val="28"/>
          <w:rtl/>
        </w:rPr>
        <w:t xml:space="preserve">انجام: فهم مشايخ العلوم و مرجع الحلوم و اليهم يرجع ... المهمات و يستنزل الخيرات و البركات ...</w:t>
      </w:r>
    </w:p>
    <w:p>
      <w:pPr>
        <w:pStyle w:val="BookText"/>
      </w:pPr>
      <w:r>
        <w:rPr>
          <w:rFonts w:ascii="Amiri" w:hAnsi="Amiri" w:eastAsia="Amiri" w:cs="Amiri"/>
          <w:lang w:bidi="ar-SA"/>
          <w:color w:val="111111"/>
          <w:sz w:val="28"/>
          <w:szCs w:val="28"/>
          <w:rtl/>
        </w:rPr>
        <w:t xml:space="preserve">[ملحق البدر الطالع /۱۱۰؛ فهرس مخطوطات بعض المكتبات الخاصة في اليمن ۱۲۷ و ۲۲۲؛ فهرس المخطوطات اليمنية لدار المخطوطات و المكتبة الغربية بالجامع الكبير ۱۴۳۳/۲ -۱۴۳۴؛ مؤلفات الزيدية ۲۱۱/۱ ؛ مصادر التراث</w:t>
      </w:r>
    </w:p>
    <w:p>
      <w:pPr>
        <w:pStyle w:val="BookText"/>
      </w:pPr>
      <w:r>
        <w:rPr>
          <w:rFonts w:ascii="Amiri" w:hAnsi="Amiri" w:eastAsia="Amiri" w:cs="Amiri"/>
          <w:lang w:bidi="ar-SA"/>
          <w:color w:val="111111"/>
          <w:sz w:val="28"/>
          <w:szCs w:val="28"/>
          <w:rtl/>
        </w:rPr>
        <w:t xml:space="preserve">في المكتبات الخاصة في اليمن۵۱۷/۱ و ۲۳۲ و ۱۶۶ و ۵۷۱/۲ و ۶۳۳؛ مصادر التراث اليمني في المتحف البريطاني: ۱۰۴-۱۰۵؛ مصادر الفكر الاسلامي في اليمن ۵۲۳-۵۲۴]</w:t>
      </w:r>
    </w:p>
    <w:p>
      <w:pPr>
        <w:pStyle w:val="BookText"/>
      </w:pPr>
      <w:r>
        <w:rPr>
          <w:rFonts w:ascii="IRNazanin" w:hAnsi="IRNazanin" w:eastAsia="IRNazanin" w:cs="IRNazanin"/>
          <w:lang w:bidi="fa-IR"/>
          <w:color w:val="111111"/>
          <w:sz w:val="28"/>
          <w:szCs w:val="28"/>
          <w:rtl/>
        </w:rPr>
        <w:t xml:space="preserve">۱. قم؛ مرعشی؛ شماره نسخه: ۶۴۴عکسی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نسخه اصل: موزه بریتانیا، ش .۳۷۱۹</w:t>
      </w:r>
      <w:r>
        <w:rPr>
          <w:rFonts w:ascii="Times New Roman" w:hAnsi="Times New Roman" w:eastAsia="Times New Roman" w:cs="Times New Roman"/>
          <w:lang w:val="en-US" w:bidi="en-US"/>
          <w:color w:val="111111"/>
          <w:sz w:val="28"/>
          <w:szCs w:val="28"/>
          <w:rtl/>
        </w:rPr>
        <w:t xml:space="preserve">Or (</w:t>
      </w:r>
      <w:r>
        <w:rPr>
          <w:rFonts w:ascii="IRNazanin" w:hAnsi="IRNazanin" w:eastAsia="IRNazanin" w:cs="IRNazanin"/>
          <w:lang w:bidi="fa-IR"/>
          <w:color w:val="111111"/>
          <w:sz w:val="28"/>
          <w:szCs w:val="28"/>
          <w:rtl/>
        </w:rPr>
        <w:t xml:space="preserve">ریو، فهرست عربی همانجا/ ۳۳۸)؛ خط: نسخ، كا: احمد بن محمد بن اسماعیل بن محمد بن أحمد طشی، تا: پنج شنبه ۵ صفر ۱۲۹۰ق؛ از روی نسخه مصنف، مصحح؛ ۱۸۶ گ، ۲۳سطر [عکسی ف: ۲-۱۲۴]</w:t>
      </w:r>
    </w:p>
    <w:p>
      <w:pPr>
        <w:pStyle w:val="BookText"/>
      </w:pPr>
      <w:r>
        <w:rPr>
          <w:rFonts w:ascii="IRNazanin" w:hAnsi="IRNazanin" w:eastAsia="IRNazanin" w:cs="IRNazanin"/>
          <w:lang w:bidi="fa-IR"/>
          <w:color w:val="111111"/>
          <w:sz w:val="28"/>
          <w:szCs w:val="28"/>
          <w:rtl/>
        </w:rPr>
        <w:t xml:space="preserve">۲. قم؛ مرعشی؛ شماره نسخه: ۱۸۶۴</w:t>
      </w:r>
    </w:p>
    <w:p>
      <w:pPr>
        <w:pStyle w:val="BookText"/>
      </w:pPr>
      <w:r>
        <w:rPr>
          <w:rFonts w:ascii="Amiri" w:hAnsi="Amiri" w:eastAsia="Amiri" w:cs="Amiri"/>
          <w:lang w:bidi="ar-SA"/>
          <w:color w:val="111111"/>
          <w:sz w:val="28"/>
          <w:szCs w:val="28"/>
          <w:rtl/>
        </w:rPr>
        <w:t xml:space="preserve">آغاز و انجام: برابر؛ و الى هنا انتهت النسخة المباركة المسما ببغية المريد و انس الفريد.</w:t>
      </w:r>
    </w:p>
    <w:p>
      <w:pPr>
        <w:pStyle w:val="BookText"/>
      </w:pPr>
      <w:r>
        <w:rPr>
          <w:rFonts w:ascii="IRNazanin" w:hAnsi="IRNazanin" w:eastAsia="IRNazanin" w:cs="IRNazanin"/>
          <w:lang w:bidi="fa-IR"/>
          <w:color w:val="111111"/>
          <w:sz w:val="28"/>
          <w:szCs w:val="28"/>
          <w:rtl/>
        </w:rPr>
        <w:t xml:space="preserve">نسخه اصل: در یکی از کتابخانه های یمن؛ خط: نسخ، كا: محمد بن على بن علی بن عبدالعزيز ذماری زیدی، تا: جمعه ۲ ذیقعده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4" w:name="pg20363_209208"/>
    <w:bookmarkEnd w:id="54"/>
    <w:p>
      <w:pPr>
        <w:pStyle w:val="BookText"/>
      </w:pPr>
      <w:r>
        <w:rPr>
          <w:rFonts w:ascii="IRNazanin" w:hAnsi="IRNazanin" w:eastAsia="IRNazanin" w:cs="IRNazanin"/>
          <w:lang w:bidi="fa-IR"/>
          <w:color w:val="111111"/>
          <w:sz w:val="28"/>
          <w:szCs w:val="28"/>
          <w:rtl/>
        </w:rPr>
        <w:t xml:space="preserve">۱۳۴۴ق؛ مجدول، بخشی از انجامه کاتب: «... نقلت هذه النسخة عن نسخة منقولة من الامام المزبورة بخط المصنف رحمه الله و ایای و آبایی ... بخط أفقر عباد الله تعالي اليه المعول في جميع مهاته عليه محمد بن على بن على بن عبدالعزيز الذماري بلدا و وطنا و العدلی اعتقادا و الزیدی مذهبا ...»، در آخر نسخه فایده ای درباره کرامات امام مهدی احمد بن يحيی و چند بیت به عربی؛ این تصویر را عبدالله على مطهر دیلمی به تاریخ ۲ رمضان ۱۴۱۸ در ذمار يمن به کتابخانه آیت الله مرعشی نجفی ره اهداء کرده؛ ۵۳۲ص، ۲۲ سطر [عکسی ف: ۵-۲۸۴]</w:t>
      </w:r>
    </w:p>
    <w:p>
      <w:pPr>
        <w:pStyle w:val="BookText"/>
      </w:pPr>
      <w:r>
        <w:rPr>
          <w:rFonts w:ascii="IRNazanin" w:hAnsi="IRNazanin" w:eastAsia="IRNazanin" w:cs="IRNazanin"/>
          <w:lang w:bidi="fa-IR"/>
          <w:color w:val="111111"/>
          <w:sz w:val="28"/>
          <w:szCs w:val="28"/>
          <w:rtl/>
        </w:rPr>
        <w:t xml:space="preserve">٣. قم؛ مرعشی؛ شماره نسخه: ۷۷۰عکسی</w:t>
      </w:r>
    </w:p>
    <w:p>
      <w:pPr>
        <w:pStyle w:val="BookText"/>
      </w:pPr>
      <w:r>
        <w:rPr>
          <w:rFonts w:ascii="IRNazanin" w:hAnsi="IRNazanin" w:eastAsia="IRNazanin" w:cs="IRNazanin"/>
          <w:lang w:bidi="fa-IR"/>
          <w:color w:val="111111"/>
          <w:sz w:val="28"/>
          <w:szCs w:val="28"/>
          <w:rtl/>
        </w:rPr>
        <w:t xml:space="preserve">خط: نسخ، كا: محمد بن عبدالله بن على ملقب به حجازی زیدی، تا: جمعه ۱۶ ربیع الاول ۱۳۹۵ق؛ مصحح، و با نسخه ام توسط کاتب وصفی الاسلام احمد بن يحيى بن احمد مقابله شده؛ ۳۲۴گ، مختلف السطر [عکسی ف: ۲-۲۴۹]</w:t>
      </w:r>
    </w:p>
    <w:p>
      <w:pPr>
        <w:pStyle w:val="Heading3"/>
      </w:pPr>
      <w:bookmarkStart w:id="888" w:name="_Toc148"/>
      <w:r>
        <w:t>• بغية المستعجل / شعر، تاریخ / عربی</w:t>
      </w:r>
      <w:bookmarkEnd w:id="888"/>
    </w:p>
    <w:p>
      <w:pPr>
        <w:pStyle w:val="BookText"/>
      </w:pPr>
      <w:r>
        <w:rPr>
          <w:rFonts w:ascii="Times New Roman" w:hAnsi="Times New Roman" w:eastAsia="Times New Roman" w:cs="Times New Roman"/>
          <w:lang w:val="en-US" w:bidi="en-US"/>
          <w:color w:val="111111"/>
          <w:sz w:val="28"/>
          <w:szCs w:val="28"/>
          <w:rtl/>
        </w:rPr>
        <w:t xml:space="preserve">bugyat-ul mustaʻjal</w:t>
      </w:r>
    </w:p>
    <w:p>
      <w:pPr>
        <w:pStyle w:val="BookText"/>
      </w:pPr>
      <w:r>
        <w:rPr>
          <w:rFonts w:ascii="IRNazanin" w:hAnsi="IRNazanin" w:eastAsia="IRNazanin" w:cs="IRNazanin"/>
          <w:lang w:bidi="fa-IR"/>
          <w:color w:val="111111"/>
          <w:sz w:val="28"/>
          <w:szCs w:val="28"/>
          <w:rtl/>
        </w:rPr>
        <w:t xml:space="preserve">علی بن عبدالملک بن بصلا</w:t>
      </w:r>
    </w:p>
    <w:p>
      <w:pPr>
        <w:pStyle w:val="BookText"/>
      </w:pPr>
      <w:r>
        <w:rPr>
          <w:rFonts w:ascii="Times New Roman" w:hAnsi="Times New Roman" w:eastAsia="Times New Roman" w:cs="Times New Roman"/>
          <w:lang w:val="en-US" w:bidi="en-US"/>
          <w:color w:val="111111"/>
          <w:sz w:val="28"/>
          <w:szCs w:val="28"/>
          <w:rtl/>
        </w:rPr>
        <w:t xml:space="preserve">‘alī ebn-e 'abd-ol-malek ebn-e baslā</w:t>
      </w:r>
    </w:p>
    <w:p>
      <w:pPr>
        <w:pStyle w:val="BookText"/>
      </w:pPr>
      <w:r>
        <w:rPr>
          <w:rFonts w:ascii="IRNazanin" w:hAnsi="IRNazanin" w:eastAsia="IRNazanin" w:cs="IRNazanin"/>
          <w:lang w:bidi="fa-IR"/>
          <w:color w:val="111111"/>
          <w:sz w:val="28"/>
          <w:szCs w:val="28"/>
          <w:rtl/>
        </w:rPr>
        <w:t xml:space="preserve">ارجوزه ای است در هفتاد و نه بیت در تاریخ خلفای راشدین و بنی امیه و بني العباس تا روز گار مستعصم عباسی و در آغاز آن اشاره ای است به نسب و تاریخ حضرت پیامبر اکرم(صلی الله علیه وآله وسلم). آغاز: الحمدلله و صلی الله *** على التهامي الذي اصطفاه / محمد و آله الأطهار *** و صحبه الأماجد الأخيار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ملک؛ شماره نسخه: ۶۰۴/۱۰۴</w:t>
      </w:r>
    </w:p>
    <w:p>
      <w:pPr>
        <w:pStyle w:val="BookText"/>
      </w:pPr>
      <w:r>
        <w:rPr>
          <w:rFonts w:ascii="IRNazanin" w:hAnsi="IRNazanin" w:eastAsia="IRNazanin" w:cs="IRNazanin"/>
          <w:lang w:bidi="fa-IR"/>
          <w:color w:val="111111"/>
          <w:sz w:val="28"/>
          <w:szCs w:val="28"/>
          <w:rtl/>
        </w:rPr>
        <w:t xml:space="preserve">خط: نسخ، كا: شمس الدين محمد بن علی بن حسن جباعی، تا: قرن ۹، ۳ص (۳۸۱-۳۸۳) [ف: ۵-۱۱۲]</w:t>
      </w:r>
    </w:p>
    <w:p>
      <w:pPr>
        <w:pStyle w:val="BookText"/>
      </w:pPr>
      <w:r>
        <w:rPr>
          <w:rFonts w:ascii="IRNazanin" w:hAnsi="IRNazanin" w:eastAsia="IRNazanin" w:cs="IRNazanin"/>
          <w:lang w:bidi="fa-IR"/>
          <w:color w:val="111111"/>
          <w:sz w:val="28"/>
          <w:szCs w:val="28"/>
          <w:rtl/>
        </w:rPr>
        <w:t xml:space="preserve">۲. قم؛ مرعشی؛ شماره نسخه:۱۲۶۷۷/۲۲</w:t>
      </w:r>
    </w:p>
    <w:p>
      <w:pPr>
        <w:pStyle w:val="BookText"/>
      </w:pPr>
      <w:r>
        <w:rPr>
          <w:rFonts w:ascii="Amiri" w:hAnsi="Amiri" w:eastAsia="Amiri" w:cs="Amiri"/>
          <w:lang w:bidi="ar-SA"/>
          <w:color w:val="111111"/>
          <w:sz w:val="28"/>
          <w:szCs w:val="28"/>
          <w:rtl/>
        </w:rPr>
        <w:t xml:space="preserve">آغاز: برابر؛ انجام: ثم أتي من بعد المعتصم *** ادام امام بره منسجم. مبلغا في الا...</w:t>
      </w:r>
    </w:p>
    <w:p>
      <w:pPr>
        <w:pStyle w:val="BookText"/>
      </w:pPr>
      <w:r>
        <w:rPr>
          <w:rFonts w:ascii="IRNazanin" w:hAnsi="IRNazanin" w:eastAsia="IRNazanin" w:cs="IRNazanin"/>
          <w:lang w:bidi="fa-IR"/>
          <w:color w:val="111111"/>
          <w:sz w:val="28"/>
          <w:szCs w:val="28"/>
          <w:rtl/>
        </w:rPr>
        <w:t xml:space="preserve">خط: نستعلیق، بی کا، تا: قرن ۱۲؛ مصحح، رکابه دار؛ کاغذ: شرقی، کگ (۱۴۴-۱۴۵)، ۲۱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۷سم [ف: ۳۲-۲۱۱]</w:t>
      </w:r>
    </w:p>
    <w:p>
      <w:pPr>
        <w:pStyle w:val="BookText"/>
      </w:pPr>
      <w:r>
        <w:rPr>
          <w:rFonts w:ascii="IRNazanin" w:hAnsi="IRNazanin" w:eastAsia="IRNazanin" w:cs="IRNazanin"/>
          <w:lang w:bidi="fa-IR"/>
          <w:color w:val="111111"/>
          <w:sz w:val="28"/>
          <w:szCs w:val="28"/>
          <w:rtl/>
        </w:rPr>
        <w:t xml:space="preserve">٣. قم؛ مرعشی؛ شماره نسخه: ۹۸۸۵/۱</w:t>
      </w:r>
    </w:p>
    <w:p>
      <w:pPr>
        <w:pStyle w:val="BookText"/>
      </w:pPr>
      <w:r>
        <w:rPr>
          <w:rFonts w:ascii="IRNazanin" w:hAnsi="IRNazanin" w:eastAsia="IRNazanin" w:cs="IRNazanin"/>
          <w:lang w:bidi="fa-IR"/>
          <w:color w:val="111111"/>
          <w:sz w:val="28"/>
          <w:szCs w:val="28"/>
          <w:rtl/>
        </w:rPr>
        <w:t xml:space="preserve">آغاز: برابر؛ انجام: مبلغا في الامر اذ برتبته *** ما يشتهي مهنئا بدولته خط: نسخ و نستعلیق، بی کا، بی تا، جلد: ترمه عطف گالینگور نیلی، ۳گ (۱۲ر-۱۴پ)،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سم [ف: ۲۵-۱۸۳]</w:t>
      </w:r>
    </w:p>
    <w:p>
      <w:pPr>
        <w:pStyle w:val="Heading3"/>
      </w:pPr>
      <w:bookmarkStart w:id="889" w:name="_Toc149"/>
      <w:r>
        <w:t>• بغية المستفيد في أخبار مدينة زبيد / تاریخ / عربی</w:t>
      </w:r>
      <w:bookmarkEnd w:id="889"/>
    </w:p>
    <w:p>
      <w:pPr>
        <w:pStyle w:val="BookText"/>
      </w:pPr>
      <w:r>
        <w:rPr>
          <w:rFonts w:ascii="Times New Roman" w:hAnsi="Times New Roman" w:eastAsia="Times New Roman" w:cs="Times New Roman"/>
          <w:lang w:val="en-US" w:bidi="en-US"/>
          <w:color w:val="111111"/>
          <w:sz w:val="28"/>
          <w:szCs w:val="28"/>
          <w:rtl/>
        </w:rPr>
        <w:t xml:space="preserve">bugyat-ul mustafīd fi’axbār-i madīnat-i zubayd</w:t>
      </w:r>
    </w:p>
    <w:p>
      <w:pPr>
        <w:pStyle w:val="BookText"/>
      </w:pPr>
      <w:r>
        <w:rPr>
          <w:rFonts w:ascii="IRNazanin" w:hAnsi="IRNazanin" w:eastAsia="IRNazanin" w:cs="IRNazanin"/>
          <w:lang w:bidi="fa-IR"/>
          <w:color w:val="111111"/>
          <w:sz w:val="28"/>
          <w:szCs w:val="28"/>
          <w:rtl/>
        </w:rPr>
        <w:t xml:space="preserve">ابن دیبع، عبدالرحمن بن على، ۸۶۶-۹۴۴ قمری</w:t>
      </w:r>
    </w:p>
    <w:p>
      <w:pPr>
        <w:pStyle w:val="BookText"/>
      </w:pPr>
      <w:r>
        <w:rPr>
          <w:rFonts w:ascii="Times New Roman" w:hAnsi="Times New Roman" w:eastAsia="Times New Roman" w:cs="Times New Roman"/>
          <w:lang w:val="en-US" w:bidi="en-US"/>
          <w:color w:val="111111"/>
          <w:sz w:val="28"/>
          <w:szCs w:val="28"/>
          <w:rtl/>
        </w:rPr>
        <w:t xml:space="preserve">ebn-e dayba', 'abd-or-rahmān ebn-e 'alī (1462-1538)</w:t>
      </w:r>
    </w:p>
    <w:p>
      <w:pPr>
        <w:pStyle w:val="BookText"/>
      </w:pPr>
      <w:r>
        <w:rPr>
          <w:rFonts w:ascii="IRNazanin" w:hAnsi="IRNazanin" w:eastAsia="IRNazanin" w:cs="IRNazanin"/>
          <w:lang w:bidi="fa-IR"/>
          <w:color w:val="111111"/>
          <w:sz w:val="28"/>
          <w:szCs w:val="28"/>
          <w:rtl/>
        </w:rPr>
        <w:t xml:space="preserve">تاریخ شهر زبید از بلاد یمن است از ابتدای تأسیس آن تا اواخر قرن نهم هجری. در یک «مقدمه» و ده «باب»: المقدمة: في ذكر اليمن و فضله و اسلام اهله؛ باب ۱. ذكر مدينة زبيد و فضلها؛ ۲. ذكر تملک بنی زیاد؛ 3. ذکر ملوک الحبشه باليمن من آل نجاح؛ ۴. ذكر وزراء آل نجاح؛ ۵. ذكر قيام السيد علي بن مهدی ... و زوال ملك الحبشة و انقضاء دولتهم؛ ۶. ذكر دولة بنی ابوب و اول دخولهم اليمن؛ 7. ذكر دولة الملوک بنی رسول الغسانيين باليمن؛ ۸ ذكر الدولة الغراء الطاهرية؛ ۹. ذكر الدولة السعيدة المباركة الحميدة المنصورية؛ ۱۰. ذكر دولة مولانا ... عامر ابن عبد الوهاب بن داود بن طاهر ..</w:t>
      </w:r>
    </w:p>
    <w:p>
      <w:pPr>
        <w:pStyle w:val="BookText"/>
      </w:pPr>
      <w:r>
        <w:rPr>
          <w:rFonts w:ascii="Amiri" w:hAnsi="Amiri" w:eastAsia="Amiri" w:cs="Amiri"/>
          <w:lang w:bidi="ar-SA"/>
          <w:color w:val="111111"/>
          <w:sz w:val="28"/>
          <w:szCs w:val="28"/>
          <w:rtl/>
        </w:rPr>
        <w:t xml:space="preserve">آغاز: الحمدلله رب العالمين، الذي علمنا ما لم نكن به عالمين، و فهمنا علوم الأولين و الآخرين.</w:t>
      </w:r>
    </w:p>
    <w:p>
      <w:pPr>
        <w:pStyle w:val="BookText"/>
      </w:pPr>
      <w:r>
        <w:rPr>
          <w:rFonts w:ascii="IRNazanin" w:hAnsi="IRNazanin" w:eastAsia="IRNazanin" w:cs="IRNazanin"/>
          <w:lang w:bidi="fa-IR"/>
          <w:color w:val="111111"/>
          <w:sz w:val="28"/>
          <w:szCs w:val="28"/>
          <w:rtl/>
        </w:rPr>
        <w:t xml:space="preserve">چاپ: در بون، ۳۰۰ص، ۱۸۲۸م؛ صنعاء، محقق: عبدالله الحبشی، مركز الدراسات و البحوث اليمنی، ۱۹۷۹م،بیروت، دار العودة، ۲۳۳ص، ۱۹۷۹م.</w:t>
      </w:r>
    </w:p>
    <w:p>
      <w:pPr>
        <w:pStyle w:val="BookText"/>
      </w:pPr>
      <w:r>
        <w:rPr>
          <w:rFonts w:ascii="IRNazanin" w:hAnsi="IRNazanin" w:eastAsia="IRNazanin" w:cs="IRNazanin"/>
          <w:lang w:bidi="fa-IR"/>
          <w:color w:val="111111"/>
          <w:sz w:val="28"/>
          <w:szCs w:val="28"/>
          <w:rtl/>
        </w:rPr>
        <w:t xml:space="preserve">[ بروکلمان ۲/(۴۰۱) ۵۲۷]</w:t>
      </w:r>
    </w:p>
    <w:p>
      <w:pPr>
        <w:pStyle w:val="BookText"/>
      </w:pPr>
      <w:r>
        <w:rPr>
          <w:rFonts w:ascii="IRNazanin" w:hAnsi="IRNazanin" w:eastAsia="IRNazanin" w:cs="IRNazanin"/>
          <w:lang w:bidi="fa-IR"/>
          <w:color w:val="111111"/>
          <w:sz w:val="28"/>
          <w:szCs w:val="28"/>
          <w:rtl/>
        </w:rPr>
        <w:t xml:space="preserve">قم؛ مرعشی؛ شماره نسخه: ۷۹۶عکسی</w:t>
      </w:r>
    </w:p>
    <w:p>
      <w:pPr>
        <w:pStyle w:val="BookText"/>
      </w:pPr>
      <w:r>
        <w:rPr>
          <w:rFonts w:ascii="IRNazanin" w:hAnsi="IRNazanin" w:eastAsia="IRNazanin" w:cs="IRNazanin"/>
          <w:lang w:bidi="fa-IR"/>
          <w:color w:val="111111"/>
          <w:sz w:val="28"/>
          <w:szCs w:val="28"/>
          <w:rtl/>
        </w:rPr>
        <w:t xml:space="preserve">آغاز: برابر؛ انجام: و يجعل كلمة الملك باقية فيه، و في عقبه الى يوم الدين آمین آمین.</w:t>
      </w:r>
    </w:p>
    <w:p>
      <w:pPr>
        <w:pStyle w:val="BookText"/>
      </w:pPr>
      <w:r>
        <w:rPr>
          <w:rFonts w:ascii="IRNazanin" w:hAnsi="IRNazanin" w:eastAsia="IRNazanin" w:cs="IRNazanin"/>
          <w:lang w:bidi="fa-IR"/>
          <w:color w:val="111111"/>
          <w:sz w:val="28"/>
          <w:szCs w:val="28"/>
          <w:rtl/>
        </w:rPr>
        <w:t xml:space="preserve">آمین آمین لا ارضی بواحدة -حتى اضيف اليها الف امین .</w:t>
      </w:r>
    </w:p>
    <w:p>
      <w:pPr>
        <w:pStyle w:val="BookText"/>
      </w:pPr>
      <w:r>
        <w:rPr>
          <w:rFonts w:ascii="IRNazanin" w:hAnsi="IRNazanin" w:eastAsia="IRNazanin" w:cs="IRNazanin"/>
          <w:lang w:bidi="fa-IR"/>
          <w:color w:val="111111"/>
          <w:sz w:val="28"/>
          <w:szCs w:val="28"/>
          <w:rtl/>
        </w:rPr>
        <w:t xml:space="preserve">نسخه اصل: چستربیتی، ش ۳۷۴۹ (اربری، فهرست خطی عربی ۱۰۵/۳ )؛ خط: نسخ، بی کا، تا: قرن ۱۱، در پایان تاریخ روز یکشنبه بیستم صفر ۹۰۳ هـ ثبت شده که شاید تاریخ فراغت مؤلف، از تأليف باشد؛ ۹۲گ، ۲۳ سطر[عکسی ف: ۲-۲۷۲]</w:t>
      </w:r>
    </w:p>
    <w:p>
      <w:pPr>
        <w:pStyle w:val="Heading3"/>
      </w:pPr>
      <w:bookmarkStart w:id="890" w:name="_Toc150"/>
      <w:r>
        <w:t>• بغية المطالب على حاشية المكاسب / فقه / عربی</w:t>
      </w:r>
      <w:bookmarkEnd w:id="890"/>
    </w:p>
    <w:p>
      <w:pPr>
        <w:pStyle w:val="BookText"/>
      </w:pPr>
      <w:r>
        <w:rPr>
          <w:rFonts w:ascii="Times New Roman" w:hAnsi="Times New Roman" w:eastAsia="Times New Roman" w:cs="Times New Roman"/>
          <w:lang w:val="en-US" w:bidi="en-US"/>
          <w:color w:val="111111"/>
          <w:sz w:val="28"/>
          <w:szCs w:val="28"/>
          <w:rtl/>
        </w:rPr>
        <w:t xml:space="preserve">buġyat-ul mațālib ‘alā hāšīyat-il makāsib</w:t>
      </w:r>
    </w:p>
    <w:p>
      <w:pPr>
        <w:pStyle w:val="BookText"/>
      </w:pPr>
      <w:r>
        <w:rPr>
          <w:rFonts w:ascii="IRNazanin" w:hAnsi="IRNazanin" w:eastAsia="IRNazanin" w:cs="IRNazanin"/>
          <w:lang w:bidi="fa-IR"/>
          <w:color w:val="111111"/>
          <w:sz w:val="28"/>
          <w:szCs w:val="28"/>
          <w:rtl/>
        </w:rPr>
        <w:t xml:space="preserve">موسوی قزوینی، محمد باقر بن محمد علی، ق۱۴ قمری</w:t>
      </w:r>
    </w:p>
    <w:p>
      <w:pPr>
        <w:pStyle w:val="BookText"/>
      </w:pPr>
      <w:r>
        <w:rPr>
          <w:rFonts w:ascii="Times New Roman" w:hAnsi="Times New Roman" w:eastAsia="Times New Roman" w:cs="Times New Roman"/>
          <w:lang w:val="en-US" w:bidi="en-US"/>
          <w:color w:val="111111"/>
          <w:sz w:val="28"/>
          <w:szCs w:val="28"/>
          <w:rtl/>
        </w:rPr>
        <w:t xml:space="preserve">mūsavī qazvīnī, mohammad bāqer ebn-e mohammad al (- 20c</w:t>
      </w:r>
    </w:p>
    <w:p>
      <w:pPr>
        <w:pStyle w:val="BookText"/>
      </w:pPr>
      <w:r>
        <w:rPr>
          <w:rFonts w:ascii="IRNazanin" w:hAnsi="IRNazanin" w:eastAsia="IRNazanin" w:cs="IRNazanin"/>
          <w:lang w:bidi="fa-IR"/>
          <w:color w:val="111111"/>
          <w:sz w:val="28"/>
          <w:szCs w:val="28"/>
          <w:rtl/>
        </w:rPr>
        <w:t xml:space="preserve">وابسته به: حاشية المكاسب؛ رشتی، حبیب الله بن محمد على (۱۳۱۲-۱۲۳۴)</w:t>
      </w:r>
    </w:p>
    <w:p>
      <w:pPr>
        <w:pStyle w:val="BookText"/>
      </w:pPr>
      <w:r>
        <w:rPr>
          <w:rFonts w:ascii="IRNazanin" w:hAnsi="IRNazanin" w:eastAsia="IRNazanin" w:cs="IRNazanin"/>
          <w:lang w:bidi="fa-IR"/>
          <w:color w:val="111111"/>
          <w:sz w:val="28"/>
          <w:szCs w:val="28"/>
          <w:rtl/>
        </w:rPr>
        <w:t xml:space="preserve">تاریخ تأليف: ۱۳۰۶ (جزء اول) و ۱۳۰۹ ق (جزء دوم)؛ محل تأليف: نجف اشرف</w:t>
      </w:r>
    </w:p>
    <w:p>
      <w:pPr>
        <w:pStyle w:val="BookText"/>
      </w:pPr>
      <w:r>
        <w:rPr>
          <w:rFonts w:ascii="IRNazanin" w:hAnsi="IRNazanin" w:eastAsia="IRNazanin" w:cs="IRNazanin"/>
          <w:lang w:bidi="fa-IR"/>
          <w:color w:val="111111"/>
          <w:sz w:val="28"/>
          <w:szCs w:val="28"/>
          <w:rtl/>
        </w:rPr>
        <w:t xml:space="preserve">تقریرات درس استادش میرزا حبیب الله رشتی بر مکاسب شیخ انصاری را در کتاب حاضر در سه جزء گرد آورده است. مؤلف در دو جا به نام کتاب اشاره نموده است.</w:t>
      </w:r>
    </w:p>
    <w:p>
      <w:pPr>
        <w:pStyle w:val="BookText"/>
      </w:pPr>
      <w:r>
        <w:rPr>
          <w:rFonts w:ascii="IRNazanin" w:hAnsi="IRNazanin" w:eastAsia="IRNazanin" w:cs="IRNazanin"/>
          <w:lang w:bidi="fa-IR"/>
          <w:color w:val="111111"/>
          <w:sz w:val="28"/>
          <w:szCs w:val="28"/>
          <w:rtl/>
        </w:rPr>
        <w:t xml:space="preserve">قم: مرکز احیاء؛ شماره نسخه: ۱۷۵۲</w:t>
      </w:r>
    </w:p>
    <w:p>
      <w:pPr>
        <w:pStyle w:val="BookText"/>
      </w:pPr>
      <w:r>
        <w:rPr>
          <w:rFonts w:ascii="IRNazanin" w:hAnsi="IRNazanin" w:eastAsia="IRNazanin" w:cs="IRNazanin"/>
          <w:lang w:bidi="fa-IR"/>
          <w:color w:val="111111"/>
          <w:sz w:val="28"/>
          <w:szCs w:val="28"/>
          <w:rtl/>
        </w:rPr>
        <w:t xml:space="preserve">آغاز: قوله مبادلة مال بمال، ما ذكره اللغويون کاکثر تعاریف الفقهاء مثل تملیک عین بعوض و نقل الملك إلى غيره و انتقال عین مملوكة من شخص إلى غيره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5" w:name="pg20363_209209"/>
    <w:bookmarkEnd w:id="55"/>
    <w:p>
      <w:pPr>
        <w:pStyle w:val="BookText"/>
      </w:pPr>
      <w:r>
        <w:rPr>
          <w:rFonts w:ascii="IRNazanin" w:hAnsi="IRNazanin" w:eastAsia="IRNazanin" w:cs="IRNazanin"/>
          <w:lang w:bidi="fa-IR"/>
          <w:color w:val="111111"/>
          <w:sz w:val="28"/>
          <w:szCs w:val="28"/>
          <w:rtl/>
        </w:rPr>
        <w:t xml:space="preserve">نسخه اصل: کتابخانه خاندان مؤلف - قزوین؛ خط: نستعلیق، کاتب = مؤلف، تا: ۱۳۰۶ق، (پایان جزء اول)، ۷ رمضان ۱۳۰۹ (پایان جزء دوم)؛ یادداشتی از مؤلف درباره کتاب حاضر با مهر «محمد باقر الموسوی» (بیضوی)؛ ۷۷۹ص [عکسی ف: ۵-۲۰۷]</w:t>
      </w:r>
    </w:p>
    <w:p>
      <w:pPr>
        <w:pStyle w:val="Heading3"/>
      </w:pPr>
      <w:bookmarkStart w:id="891" w:name="_Toc151"/>
      <w:r>
        <w:t>• بغية الواعظ في الحكايات و المواعظ / آداب و سنن / عربی</w:t>
      </w:r>
      <w:bookmarkEnd w:id="891"/>
    </w:p>
    <w:p>
      <w:pPr>
        <w:pStyle w:val="BookText"/>
      </w:pPr>
      <w:r>
        <w:rPr>
          <w:rFonts w:ascii="Times New Roman" w:hAnsi="Times New Roman" w:eastAsia="Times New Roman" w:cs="Times New Roman"/>
          <w:lang w:val="en-US" w:bidi="en-US"/>
          <w:color w:val="111111"/>
          <w:sz w:val="28"/>
          <w:szCs w:val="28"/>
          <w:rtl/>
        </w:rPr>
        <w:t xml:space="preserve">bugyat-ul wā‘iz fi-l șikāyāt wa-l mawāʻiz</w:t>
      </w:r>
    </w:p>
    <w:p>
      <w:pPr>
        <w:pStyle w:val="BookText"/>
      </w:pPr>
      <w:r>
        <w:rPr>
          <w:rFonts w:ascii="IRNazanin" w:hAnsi="IRNazanin" w:eastAsia="IRNazanin" w:cs="IRNazanin"/>
          <w:lang w:bidi="fa-IR"/>
          <w:color w:val="111111"/>
          <w:sz w:val="28"/>
          <w:szCs w:val="28"/>
          <w:rtl/>
        </w:rPr>
        <w:t xml:space="preserve">ملاحنفی، ابوبکر بن محمد، ق۱۳ قمری</w:t>
      </w:r>
    </w:p>
    <w:p>
      <w:pPr>
        <w:pStyle w:val="BookText"/>
      </w:pPr>
      <w:r>
        <w:rPr>
          <w:rFonts w:ascii="Times New Roman" w:hAnsi="Times New Roman" w:eastAsia="Times New Roman" w:cs="Times New Roman"/>
          <w:lang w:val="en-US" w:bidi="en-US"/>
          <w:color w:val="111111"/>
          <w:sz w:val="28"/>
          <w:szCs w:val="28"/>
          <w:rtl/>
        </w:rPr>
        <w:t xml:space="preserve">mollā hanafī, ābū-bakr ebn-e mohammad (- 19c)</w:t>
      </w:r>
    </w:p>
    <w:p>
      <w:pPr>
        <w:pStyle w:val="BookText"/>
      </w:pPr>
      <w:r>
        <w:rPr>
          <w:rFonts w:ascii="IRNazanin" w:hAnsi="IRNazanin" w:eastAsia="IRNazanin" w:cs="IRNazanin"/>
          <w:lang w:bidi="fa-IR"/>
          <w:color w:val="111111"/>
          <w:sz w:val="28"/>
          <w:szCs w:val="28"/>
          <w:rtl/>
        </w:rPr>
        <w:t xml:space="preserve">کتابی است مفصل در مواعظ و حکایات و احادیث اهل سنت، که مؤلف، کتاب «مورد العذب» تأليف ابن الجوزی (-۵۹۷) را با افزودگیهایی گرد آورده است. و مشتمل بر ۲۲ «فصل» می باشد، مؤلف صاحب کتاب «مختصر التبصرة ابن جوزی» و «حادي الأنام إلى دار السلام» نیز می باشد و در احساء در گذشته است.</w:t>
      </w:r>
    </w:p>
    <w:p>
      <w:pPr>
        <w:pStyle w:val="BookText"/>
      </w:pPr>
      <w:r>
        <w:rPr>
          <w:rFonts w:ascii="Amiri" w:hAnsi="Amiri" w:eastAsia="Amiri" w:cs="Amiri"/>
          <w:lang w:bidi="ar-SA"/>
          <w:color w:val="111111"/>
          <w:sz w:val="28"/>
          <w:szCs w:val="28"/>
          <w:rtl/>
        </w:rPr>
        <w:t xml:space="preserve">[ معجم المؤلفين ۷۵/۳ ]</w:t>
      </w:r>
    </w:p>
    <w:p>
      <w:pPr>
        <w:pStyle w:val="BookText"/>
      </w:pPr>
      <w:r>
        <w:rPr>
          <w:rFonts w:ascii="IRNazanin" w:hAnsi="IRNazanin" w:eastAsia="IRNazanin" w:cs="IRNazanin"/>
          <w:lang w:bidi="fa-IR"/>
          <w:color w:val="111111"/>
          <w:sz w:val="28"/>
          <w:szCs w:val="28"/>
          <w:rtl/>
        </w:rPr>
        <w:t xml:space="preserve">قم؛ مرعشی؛ شماره نسخه: ۱۲۵۳۴</w:t>
      </w:r>
    </w:p>
    <w:p>
      <w:pPr>
        <w:pStyle w:val="BookText"/>
      </w:pPr>
      <w:r>
        <w:rPr>
          <w:rFonts w:ascii="IRNazanin" w:hAnsi="IRNazanin" w:eastAsia="IRNazanin" w:cs="IRNazanin"/>
          <w:lang w:bidi="fa-IR"/>
          <w:color w:val="111111"/>
          <w:sz w:val="28"/>
          <w:szCs w:val="28"/>
          <w:rtl/>
        </w:rPr>
        <w:t xml:space="preserve">آغاز: الحمدلله الذي أيقظ قلوب العالمین بطاعته من سنة الغفلة و وفقهم للاستعداد ليوم المعاد، انجام: يا ريح الشمال قتلني قلب المشوق و لاشواقه تفجعی یا من أعماه الهوى فاستوى عنده</w:t>
      </w:r>
    </w:p>
    <w:p>
      <w:pPr>
        <w:pStyle w:val="BookText"/>
      </w:pPr>
      <w:r>
        <w:rPr>
          <w:rFonts w:ascii="IRNazanin" w:hAnsi="IRNazanin" w:eastAsia="IRNazanin" w:cs="IRNazanin"/>
          <w:lang w:bidi="fa-IR"/>
          <w:color w:val="111111"/>
          <w:sz w:val="28"/>
          <w:szCs w:val="28"/>
          <w:rtl/>
        </w:rPr>
        <w:t xml:space="preserve">خط: نسخ، بی کا، تا: قرن ۱۳؛ افتادگی: انجام؛ کاغذ: فرنگی، جلد: تیماج يشمی مجدول، ۱۰۰گ، ۱۵-۱۶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۳۱-۵۸۶]</w:t>
      </w:r>
    </w:p>
    <w:p>
      <w:pPr>
        <w:pStyle w:val="Heading3"/>
      </w:pPr>
      <w:bookmarkStart w:id="892" w:name="_Toc152"/>
      <w:r>
        <w:t>• بغية الوعاة في طبقات اللغويين و النحاة / رجال، تراجم / عربی</w:t>
      </w:r>
      <w:bookmarkEnd w:id="892"/>
    </w:p>
    <w:p>
      <w:pPr>
        <w:pStyle w:val="BookText"/>
      </w:pPr>
      <w:r>
        <w:rPr>
          <w:rFonts w:ascii="Times New Roman" w:hAnsi="Times New Roman" w:eastAsia="Times New Roman" w:cs="Times New Roman"/>
          <w:lang w:val="en-US" w:bidi="en-US"/>
          <w:color w:val="111111"/>
          <w:sz w:val="28"/>
          <w:szCs w:val="28"/>
          <w:rtl/>
        </w:rPr>
        <w:t xml:space="preserve">bu8yat-ul wu'at fi tabaqat-il lugawiyyin wa-n nuhat</w:t>
      </w:r>
    </w:p>
    <w:p>
      <w:pPr>
        <w:pStyle w:val="BookText"/>
      </w:pPr>
      <w:r>
        <w:rPr>
          <w:rFonts w:ascii="IRNazanin" w:hAnsi="IRNazanin" w:eastAsia="IRNazanin" w:cs="IRNazanin"/>
          <w:lang w:bidi="fa-IR"/>
          <w:color w:val="111111"/>
          <w:sz w:val="28"/>
          <w:szCs w:val="28"/>
          <w:rtl/>
        </w:rPr>
        <w:t xml:space="preserve">سیوطی، عبدالرحمن بن ابی بکر، ۸۴۹-۹۱۱ قمری</w:t>
      </w:r>
    </w:p>
    <w:p>
      <w:pPr>
        <w:pStyle w:val="BookText"/>
      </w:pPr>
      <w:r>
        <w:rPr>
          <w:rFonts w:ascii="Times New Roman" w:hAnsi="Times New Roman" w:eastAsia="Times New Roman" w:cs="Times New Roman"/>
          <w:lang w:val="en-US" w:bidi="en-US"/>
          <w:color w:val="111111"/>
          <w:sz w:val="28"/>
          <w:szCs w:val="28"/>
          <w:rtl/>
        </w:rPr>
        <w:t xml:space="preserve">soyūtī, 'abd-or-rahmān ebn-e abī-bakr (1446-1506)</w:t>
      </w:r>
    </w:p>
    <w:p>
      <w:pPr>
        <w:pStyle w:val="BookText"/>
      </w:pPr>
      <w:r>
        <w:rPr>
          <w:rFonts w:ascii="IRNazanin" w:hAnsi="IRNazanin" w:eastAsia="IRNazanin" w:cs="IRNazanin"/>
          <w:lang w:bidi="fa-IR"/>
          <w:color w:val="111111"/>
          <w:sz w:val="28"/>
          <w:szCs w:val="28"/>
          <w:rtl/>
        </w:rPr>
        <w:t xml:space="preserve">تاریخ تأليف: ۸۶۸ق</w:t>
      </w:r>
    </w:p>
    <w:p>
      <w:pPr>
        <w:pStyle w:val="BookText"/>
      </w:pPr>
      <w:r>
        <w:rPr>
          <w:rFonts w:ascii="IRNazanin" w:hAnsi="IRNazanin" w:eastAsia="IRNazanin" w:cs="IRNazanin"/>
          <w:lang w:bidi="fa-IR"/>
          <w:color w:val="111111"/>
          <w:sz w:val="28"/>
          <w:szCs w:val="28"/>
          <w:rtl/>
        </w:rPr>
        <w:t xml:space="preserve">کتاب جامعی در شرح حال طبقات نحويان است، زیرا با مطالعه کتاب های تألیف شده مهمی چون «طبقات النحاه البصريين» نوشته ابوسعید سیرافی، «مراتب النحويين» از ابوطیب حلبی لغوی، «طبقات النحاة» تأليف ابوبکر محمد بن حسن زبیدی، «البلغة في طبقات ائمه اللغة» اثر قاضی مجدالدین فیروزآبادی او را اقناع نساخت، لذا پس از مطالعه حدود سیصد جلد کتاب از تألیفات بزرگان بر این امر مبادرت کرد و این کتاب گرانسنگ را در شرح حال و بیوگرافی آنان نگاشت. نویسنده ابتدا به عنوان تیمن اسامی نحویان موسوم به محمد و احمد را آورده و سپس به ترتیب حروف هجا به ترجمه سایر طبقات پرداخت که از زمان تأليف تا کنون مورد استفاده همگان است.</w:t>
      </w:r>
    </w:p>
    <w:p>
      <w:pPr>
        <w:pStyle w:val="BookText"/>
      </w:pPr>
      <w:r>
        <w:rPr>
          <w:rFonts w:ascii="IRNazanin" w:hAnsi="IRNazanin" w:eastAsia="IRNazanin" w:cs="IRNazanin"/>
          <w:lang w:bidi="fa-IR"/>
          <w:color w:val="111111"/>
          <w:sz w:val="28"/>
          <w:szCs w:val="28"/>
          <w:rtl/>
        </w:rPr>
        <w:t xml:space="preserve">آغاز: الحمدلله خالق الوجود و معدمه و مانح الفضل و ملهمه ... اما بعد فاني منذ نشأت و انا نشوق إلى كتاب بجمع اخبار النحويين لمزيد اختصاصی بهذا الفن اذ هو اول فنونی.</w:t>
      </w:r>
    </w:p>
    <w:p>
      <w:pPr>
        <w:pStyle w:val="BookText"/>
      </w:pPr>
      <w:r>
        <w:rPr>
          <w:rFonts w:ascii="IRNazanin" w:hAnsi="IRNazanin" w:eastAsia="IRNazanin" w:cs="IRNazanin"/>
          <w:lang w:bidi="fa-IR"/>
          <w:color w:val="111111"/>
          <w:sz w:val="28"/>
          <w:szCs w:val="28"/>
          <w:rtl/>
        </w:rPr>
        <w:t xml:space="preserve">چاپ: القاهرة، مطبعة دار التأليف، تحقیق محمد ابوالفضل ابراهیم، ۱۹۶۵-۶۴ م، در دو جزء، ۶۰۳۰۶۰۷ص</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 ۳۰۰۴</w:t>
      </w:r>
    </w:p>
    <w:p>
      <w:pPr>
        <w:pStyle w:val="BookText"/>
      </w:pPr>
      <w:r>
        <w:rPr>
          <w:rFonts w:ascii="IRNazanin" w:hAnsi="IRNazanin" w:eastAsia="IRNazanin" w:cs="IRNazanin"/>
          <w:lang w:bidi="fa-IR"/>
          <w:color w:val="111111"/>
          <w:sz w:val="28"/>
          <w:szCs w:val="28"/>
          <w:rtl/>
        </w:rPr>
        <w:t xml:space="preserve">خط: نسخ، كا: یحیی بن ابی النصر بن حامد، تا: پنج شنبه ۱۹ ربیع الثانی ۱۰۲۵ق؛ تملک: شیخ خضر، محمد بن عيسى بن ابراهیم کورانی حسینی، حسن اصفهانی، تاریخ های تملک ۱۶ صفر ۱۲۶۲ و ۱۲۵۵ و ۱۱۷۰ و ۱۰۳۷ دارد؛ کاغذ: سمرقندی، جلد: تیماج مشکی ضربی زرکوب مقوایی، ۱۹۷گی، ۳۱ سطر (۱۲/۵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اندازه: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۱۰-۱۹۳۲]</w:t>
      </w:r>
    </w:p>
    <w:p>
      <w:pPr>
        <w:pStyle w:val="BookText"/>
      </w:pPr>
      <w:r>
        <w:rPr>
          <w:rFonts w:ascii="IRNazanin" w:hAnsi="IRNazanin" w:eastAsia="IRNazanin" w:cs="IRNazanin"/>
          <w:lang w:bidi="fa-IR"/>
          <w:color w:val="111111"/>
          <w:sz w:val="28"/>
          <w:szCs w:val="28"/>
          <w:rtl/>
        </w:rPr>
        <w:t xml:space="preserve">۲. تهران؛ مجلس؛ شماره نسخه: ۸۵۸۳</w:t>
      </w:r>
    </w:p>
    <w:p>
      <w:pPr>
        <w:pStyle w:val="BookText"/>
      </w:pPr>
      <w:r>
        <w:rPr>
          <w:rFonts w:ascii="IRNazanin" w:hAnsi="IRNazanin" w:eastAsia="IRNazanin" w:cs="IRNazanin"/>
          <w:lang w:bidi="fa-IR"/>
          <w:color w:val="111111"/>
          <w:sz w:val="28"/>
          <w:szCs w:val="28"/>
          <w:rtl/>
        </w:rPr>
        <w:t xml:space="preserve">خط: نسخ، بی کا، تا: قرن ۱۳؛ مجدول؛ تملکی به سال ۱۳۴۰ق با مهر «ابو عبدالله» (مربع) و مهر «من کتب ... عبدالله الزنجانی» (بیضوی بزرگ)؛ جلد: تیماج قهوه ای ضربی با ترنج و سرترنج و لچکی دار، ۲۱۲ گی، ۲۷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۲۹/۵سم [ف: ۲۸-۱۳۶]</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سپهسالار؛ شماره نسخه: ۱۵۶۱</w:t>
      </w:r>
    </w:p>
    <w:p>
      <w:pPr>
        <w:pStyle w:val="BookText"/>
      </w:pPr>
      <w:r>
        <w:rPr>
          <w:rFonts w:ascii="IRNazanin" w:hAnsi="IRNazanin" w:eastAsia="IRNazanin" w:cs="IRNazanin"/>
          <w:lang w:bidi="fa-IR"/>
          <w:color w:val="111111"/>
          <w:sz w:val="28"/>
          <w:szCs w:val="28"/>
          <w:rtl/>
        </w:rPr>
        <w:t xml:space="preserve">خط: نسخ، كا: حسين بن محسن سپاهانی، تا: سه شنبه ۱۴ ربیع الأول ۱۲۴۸ق؛ کاغذ: فرنگی نخودی آهار مهره، جلد: تیماج تریاکی مقوایی ضربی، ۲۷۸ گ، ۲۴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۲۵۸-۳ ]</w:t>
      </w:r>
    </w:p>
    <w:p>
      <w:pPr>
        <w:pStyle w:val="BookText"/>
      </w:pPr>
      <w:r>
        <w:rPr>
          <w:rFonts w:ascii="IRNazanin" w:hAnsi="IRNazanin" w:eastAsia="IRNazanin" w:cs="IRNazanin"/>
          <w:lang w:bidi="fa-IR"/>
          <w:color w:val="111111"/>
          <w:sz w:val="28"/>
          <w:szCs w:val="28"/>
          <w:rtl/>
        </w:rPr>
        <w:t xml:space="preserve">۴. مشهد؛ رضوی؛ شماره نسخه: ۱۰۸۶۶</w:t>
      </w:r>
    </w:p>
    <w:p>
      <w:pPr>
        <w:pStyle w:val="BookText"/>
      </w:pPr>
      <w:r>
        <w:rPr>
          <w:rFonts w:ascii="IRNazanin" w:hAnsi="IRNazanin" w:eastAsia="IRNazanin" w:cs="IRNazanin"/>
          <w:lang w:bidi="fa-IR"/>
          <w:color w:val="111111"/>
          <w:sz w:val="28"/>
          <w:szCs w:val="28"/>
          <w:rtl/>
        </w:rPr>
        <w:t xml:space="preserve">آغاز: برابر؛ انجام: و معجم الأدبا لياقوت الحموي و النضار لابی حيان الى غير ذلك من المعاجم و التعاليق التي لاتحصى و الله اسئل التوفيق لما يرضيه و الهداية ... سنة احدي و سبعین و ثمانماية خط: نسخ، بی کا، تا: دوشنبه ۱۰ شوال ۱۲۷۴ق؛ واقف: محمد ایرانی مجرد، بهمن ۱۳۵۰؛ کاغذ: نخودی آهار مهره، جلد: تیماج ماشی ضربی با ترنج و سر ترنج و لچکی، ۲۱۷گ، ۲۷ سطر،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۲۷-۸۹]</w:t>
      </w:r>
    </w:p>
    <w:p>
      <w:pPr>
        <w:pStyle w:val="BookText"/>
      </w:pPr>
      <w:r>
        <w:rPr>
          <w:rFonts w:ascii="Amiri" w:hAnsi="Amiri" w:eastAsia="Amiri" w:cs="Amiri"/>
          <w:lang w:bidi="ar-SA"/>
          <w:color w:val="111111"/>
          <w:sz w:val="28"/>
          <w:szCs w:val="28"/>
          <w:rtl/>
        </w:rPr>
        <w:t xml:space="preserve">← بقاء الآثار في تكملة ليالي الاخبار ← فهرست لآلى الاخبار</w:t>
      </w:r>
    </w:p>
    <w:p>
      <w:pPr>
        <w:pStyle w:val="Heading3"/>
      </w:pPr>
      <w:bookmarkStart w:id="893" w:name="_Toc153"/>
      <w:r>
        <w:t>• بقاء اجساد ائمه (علیهم السلام) در قبور (رساله) / متفرقه / عربی</w:t>
      </w:r>
      <w:bookmarkEnd w:id="893"/>
    </w:p>
    <w:p>
      <w:pPr>
        <w:pStyle w:val="BookText"/>
      </w:pPr>
      <w:r>
        <w:rPr>
          <w:rFonts w:ascii="Times New Roman" w:hAnsi="Times New Roman" w:eastAsia="Times New Roman" w:cs="Times New Roman"/>
          <w:lang w:val="en-US" w:bidi="en-US"/>
          <w:color w:val="111111"/>
          <w:sz w:val="28"/>
          <w:szCs w:val="28"/>
          <w:rtl/>
        </w:rPr>
        <w:t xml:space="preserve">baqā'-e ajsād-e a’emme dar qobūr (r.)</w:t>
      </w:r>
    </w:p>
    <w:p>
      <w:pPr>
        <w:pStyle w:val="BookText"/>
      </w:pPr>
      <w:r>
        <w:rPr>
          <w:rFonts w:ascii="IRNazanin" w:hAnsi="IRNazanin" w:eastAsia="IRNazanin" w:cs="IRNazanin"/>
          <w:lang w:bidi="fa-IR"/>
          <w:color w:val="111111"/>
          <w:sz w:val="28"/>
          <w:szCs w:val="28"/>
          <w:rtl/>
        </w:rPr>
        <w:t xml:space="preserve">حسینی اصفهانی، محمد مهدي بن هدایت الله، ۱۱۵۲ ۱۲۱۸ قمری</w:t>
      </w:r>
    </w:p>
    <w:p>
      <w:pPr>
        <w:pStyle w:val="BookText"/>
      </w:pPr>
      <w:r>
        <w:rPr>
          <w:rFonts w:ascii="Times New Roman" w:hAnsi="Times New Roman" w:eastAsia="Times New Roman" w:cs="Times New Roman"/>
          <w:lang w:val="en-US" w:bidi="en-US"/>
          <w:color w:val="111111"/>
          <w:sz w:val="28"/>
          <w:szCs w:val="28"/>
          <w:rtl/>
        </w:rPr>
        <w:t xml:space="preserve">hoseynī esfahānī, mohammad mahdī ebn-e hedāyat-ol lah (1740-1804)</w:t>
      </w:r>
    </w:p>
    <w:p>
      <w:pPr>
        <w:pStyle w:val="BookText"/>
      </w:pPr>
      <w:r>
        <w:rPr>
          <w:rFonts w:ascii="IRNazanin" w:hAnsi="IRNazanin" w:eastAsia="IRNazanin" w:cs="IRNazanin"/>
          <w:lang w:bidi="fa-IR"/>
          <w:color w:val="111111"/>
          <w:sz w:val="28"/>
          <w:szCs w:val="28"/>
          <w:rtl/>
        </w:rPr>
        <w:t xml:space="preserve">تاریخ تأليف: 1217ق این رساله در «مطلع الشمس»، «نجوم السماء» و «اعیان الشیعه» که ترجمه مصنف را دارند یاد نشده.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6" w:name="pg20363_209210"/>
    <w:bookmarkEnd w:id="56"/>
    <w:p>
      <w:pPr>
        <w:pStyle w:val="BookText"/>
      </w:pPr>
      <w:r>
        <w:rPr>
          <w:rFonts w:ascii="IRNazanin" w:hAnsi="IRNazanin" w:eastAsia="IRNazanin" w:cs="IRNazanin"/>
          <w:lang w:bidi="fa-IR"/>
          <w:color w:val="111111"/>
          <w:sz w:val="28"/>
          <w:szCs w:val="28"/>
          <w:rtl/>
        </w:rPr>
        <w:t xml:space="preserve">تهران؛ مجلس؛ شماره نسخه: ۱۸۰۴/۷</w:t>
      </w:r>
    </w:p>
    <w:p>
      <w:pPr>
        <w:pStyle w:val="BookText"/>
      </w:pPr>
      <w:r>
        <w:rPr>
          <w:rFonts w:ascii="IRNazanin" w:hAnsi="IRNazanin" w:eastAsia="IRNazanin" w:cs="IRNazanin"/>
          <w:lang w:bidi="fa-IR"/>
          <w:color w:val="111111"/>
          <w:sz w:val="28"/>
          <w:szCs w:val="28"/>
          <w:rtl/>
        </w:rPr>
        <w:t xml:space="preserve">آغاز: بسم الله الرحمن الرحيم وبه نستعين، مسئله المشهور بین المتاخرین آن اجساد المعصومين عليهم الصلوات من رب العالمین في قبور هم الشريفه و نقل عن المفيد و الشيخ الكراجکی ان اجسادهم؛ انجام: و باقي الائمه علیهم صلوات من ربهم و رحمته حرره بن هدایت الله محمد مهدی الحسینی الموسوی عفی عنهما في شهر شعبان، سنه ۱۲۱۲</w:t>
      </w:r>
    </w:p>
    <w:p>
      <w:pPr>
        <w:pStyle w:val="BookText"/>
      </w:pPr>
      <w:r>
        <w:rPr>
          <w:rFonts w:ascii="IRNazanin" w:hAnsi="IRNazanin" w:eastAsia="IRNazanin" w:cs="IRNazanin"/>
          <w:lang w:bidi="fa-IR"/>
          <w:color w:val="111111"/>
          <w:sz w:val="28"/>
          <w:szCs w:val="28"/>
          <w:rtl/>
        </w:rPr>
        <w:t xml:space="preserve">بی کا، بی تا؛ ۴ص (۲۰۸-۲۱۱)، قطع: خشتی،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۹-۳۲۲]</w:t>
      </w:r>
    </w:p>
    <w:p>
      <w:pPr>
        <w:pStyle w:val="Heading3"/>
      </w:pPr>
      <w:bookmarkStart w:id="894" w:name="_Toc154"/>
      <w:r>
        <w:t>• بقاء جثة الأنبياء و الأئمة( عليهم السلام )في قبورهم / کلام و اعتقادات / عربی</w:t>
      </w:r>
      <w:bookmarkEnd w:id="894"/>
    </w:p>
    <w:p>
      <w:pPr>
        <w:pStyle w:val="BookText"/>
      </w:pPr>
      <w:r>
        <w:rPr>
          <w:rFonts w:ascii="Times New Roman" w:hAnsi="Times New Roman" w:eastAsia="Times New Roman" w:cs="Times New Roman"/>
          <w:lang w:val="en-US" w:bidi="en-US"/>
          <w:color w:val="111111"/>
          <w:sz w:val="28"/>
          <w:szCs w:val="28"/>
          <w:rtl/>
        </w:rPr>
        <w:t xml:space="preserve">baqā'-ul juttat-il anbīyā’ wa-l a'imma ‘alay-him-us salam fi qubur-i-him</w:t>
      </w:r>
    </w:p>
    <w:p>
      <w:pPr>
        <w:pStyle w:val="BookText"/>
      </w:pPr>
      <w:r>
        <w:rPr>
          <w:rFonts w:ascii="IRNazanin" w:hAnsi="IRNazanin" w:eastAsia="IRNazanin" w:cs="IRNazanin"/>
          <w:lang w:bidi="fa-IR"/>
          <w:color w:val="111111"/>
          <w:sz w:val="28"/>
          <w:szCs w:val="28"/>
          <w:rtl/>
        </w:rPr>
        <w:t xml:space="preserve">احسائی، احمد بن زین الدین، ۱۱۶۶-۱۲۴۱ ؟ قمری</w:t>
      </w:r>
    </w:p>
    <w:p>
      <w:pPr>
        <w:pStyle w:val="BookText"/>
      </w:pPr>
      <w:r>
        <w:rPr>
          <w:rFonts w:ascii="Times New Roman" w:hAnsi="Times New Roman" w:eastAsia="Times New Roman" w:cs="Times New Roman"/>
          <w:lang w:val="en-US" w:bidi="en-US"/>
          <w:color w:val="111111"/>
          <w:sz w:val="28"/>
          <w:szCs w:val="28"/>
          <w:rtl/>
        </w:rPr>
        <w:t xml:space="preserve">ahsāʻī, ahmad ebn-e zayn-od-dīn (1753-1826)</w:t>
      </w:r>
    </w:p>
    <w:p>
      <w:pPr>
        <w:pStyle w:val="BookText"/>
      </w:pPr>
      <w:r>
        <w:rPr>
          <w:rFonts w:ascii="IRNazanin" w:hAnsi="IRNazanin" w:eastAsia="IRNazanin" w:cs="IRNazanin"/>
          <w:lang w:bidi="fa-IR"/>
          <w:color w:val="111111"/>
          <w:sz w:val="28"/>
          <w:szCs w:val="28"/>
          <w:rtl/>
        </w:rPr>
        <w:t xml:space="preserve">جواب سؤالاتی درباره «بقای اجساد امامان» در خاکجایشان و نیز اینکه آیا ایشان زائران را می بینند یا نه. آغاز: في اختلاف الروايات في بقاء اجسادهم (علیهم السلام) في القبر منها ما يدل على أن اجسادهم في حفرهم و منها ما يدل على انهم الايبقون في قبورهم الأساعة او ثلاثة ايام. قال الشيخ (قدس سره) في الجواب و الذي اعرف و اعتقدان مدلول النوعين من الأخبار صحيحة انجام: اجسادهم في السماء و في قبورهم و حفرهم المعلومة التي تأتي اليها زوار شيعتهم المؤمنين. و صلى الله على محمد و آله الطاهرین.</w:t>
      </w:r>
    </w:p>
    <w:p>
      <w:pPr>
        <w:pStyle w:val="BookText"/>
      </w:pPr>
      <w:r>
        <w:rPr>
          <w:rFonts w:ascii="IRNazanin" w:hAnsi="IRNazanin" w:eastAsia="IRNazanin" w:cs="IRNazanin"/>
          <w:lang w:bidi="fa-IR"/>
          <w:color w:val="111111"/>
          <w:sz w:val="28"/>
          <w:szCs w:val="28"/>
          <w:rtl/>
        </w:rPr>
        <w:t xml:space="preserve">[الذریعه ۶۴/۱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 ۲۲۰۵۴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عبدالله خراسانی، تا: قرن ۱۳؛ کاغذ: نخودی، جلد: مقوا، ۲۱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[رایانه]</w:t>
      </w:r>
    </w:p>
    <w:p>
      <w:pPr>
        <w:pStyle w:val="BookText"/>
      </w:pPr>
      <w:r>
        <w:rPr>
          <w:rFonts w:ascii="IRNazanin" w:hAnsi="IRNazanin" w:eastAsia="IRNazanin" w:cs="IRNazanin"/>
          <w:lang w:bidi="fa-IR"/>
          <w:color w:val="111111"/>
          <w:sz w:val="28"/>
          <w:szCs w:val="28"/>
          <w:rtl/>
        </w:rPr>
        <w:t xml:space="preserve">۲. تهران؛ دائرة المعارف، شماره نسخه: ۱۶۷۰/۷ -عکسی</w:t>
      </w:r>
    </w:p>
    <w:p>
      <w:pPr>
        <w:pStyle w:val="BookText"/>
      </w:pPr>
      <w:r>
        <w:rPr>
          <w:rFonts w:ascii="Amiri" w:hAnsi="Amiri" w:eastAsia="Amiri" w:cs="Amiri"/>
          <w:lang w:bidi="ar-SA"/>
          <w:color w:val="111111"/>
          <w:sz w:val="28"/>
          <w:szCs w:val="28"/>
          <w:rtl/>
        </w:rPr>
        <w:t xml:space="preserve">آغاز و انجام: برابر قد وقع الفراغ في يوم الثالث صفر المظفر ۱۲۶۱ .</w:t>
      </w:r>
    </w:p>
    <w:p>
      <w:pPr>
        <w:pStyle w:val="BookText"/>
      </w:pPr>
      <w:r>
        <w:rPr>
          <w:rFonts w:ascii="IRNazanin" w:hAnsi="IRNazanin" w:eastAsia="IRNazanin" w:cs="IRNazanin"/>
          <w:lang w:bidi="fa-IR"/>
          <w:color w:val="111111"/>
          <w:sz w:val="28"/>
          <w:szCs w:val="28"/>
          <w:rtl/>
        </w:rPr>
        <w:t xml:space="preserve">خط: نسخ خوش، کا: محمد رسول بن محمد حسن، تا: ۳ صفر ۱۲۶۱ق؛ ۳ص (۲۷-۲۹) [عکسی ف: ۱-۵۳]</w:t>
      </w:r>
    </w:p>
    <w:p>
      <w:pPr>
        <w:pStyle w:val="BookText"/>
      </w:pPr>
      <w:r>
        <w:rPr>
          <w:rFonts w:ascii="IRNazanin" w:hAnsi="IRNazanin" w:eastAsia="IRNazanin" w:cs="IRNazanin"/>
          <w:lang w:bidi="fa-IR"/>
          <w:color w:val="111111"/>
          <w:sz w:val="28"/>
          <w:szCs w:val="28"/>
          <w:rtl/>
        </w:rPr>
        <w:t xml:space="preserve">٣. مشهد؛ شیخ علی حیدر، شماره نسخه: ۵۵۷/۶</w:t>
      </w:r>
    </w:p>
    <w:p>
      <w:pPr>
        <w:pStyle w:val="BookText"/>
      </w:pPr>
      <w:r>
        <w:rPr>
          <w:rFonts w:ascii="IRNazanin" w:hAnsi="IRNazanin" w:eastAsia="IRNazanin" w:cs="IRNazanin"/>
          <w:lang w:bidi="fa-IR"/>
          <w:color w:val="111111"/>
          <w:sz w:val="28"/>
          <w:szCs w:val="28"/>
          <w:rtl/>
        </w:rPr>
        <w:t xml:space="preserve">آغاز: الحمدلله ... انه قد بعث إلى الشيخ الأجل .. بمسائل پرید جوابها على حال؛ انجام: یعنی توجهها اليه و هذا انشاء الله تعالی مما لااشكال فيه و الحمدلله رب العالمين</w:t>
      </w:r>
    </w:p>
    <w:p>
      <w:pPr>
        <w:pStyle w:val="BookText"/>
      </w:pPr>
      <w:r>
        <w:rPr>
          <w:rFonts w:ascii="IRNazanin" w:hAnsi="IRNazanin" w:eastAsia="IRNazanin" w:cs="IRNazanin"/>
          <w:lang w:bidi="fa-IR"/>
          <w:color w:val="111111"/>
          <w:sz w:val="28"/>
          <w:szCs w:val="28"/>
          <w:rtl/>
        </w:rPr>
        <w:t xml:space="preserve">خط: نستعلیق، بی کا، بی تا؛ ۵گ (۱۸۸-۱۹۲پ)، ۲۰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 [مؤید: ۲-۶۳]</w:t>
      </w:r>
    </w:p>
    <w:p>
      <w:pPr>
        <w:pStyle w:val="Heading3"/>
      </w:pPr>
      <w:bookmarkStart w:id="895" w:name="_Toc155"/>
      <w:r>
        <w:t>• بقاء الصور النوعية و فنائها (مقالة في) / فلسفه / فارسی</w:t>
      </w:r>
      <w:bookmarkEnd w:id="895"/>
    </w:p>
    <w:p>
      <w:pPr>
        <w:pStyle w:val="BookText"/>
      </w:pPr>
      <w:r>
        <w:rPr>
          <w:rFonts w:ascii="Times New Roman" w:hAnsi="Times New Roman" w:eastAsia="Times New Roman" w:cs="Times New Roman"/>
          <w:lang w:val="en-US" w:bidi="en-US"/>
          <w:color w:val="111111"/>
          <w:sz w:val="28"/>
          <w:szCs w:val="28"/>
          <w:rtl/>
        </w:rPr>
        <w:t xml:space="preserve">baqā'-u Şuwar-in naw‘īya wa fanā?-u-hā (mq.-un fi)</w:t>
      </w:r>
    </w:p>
    <w:p>
      <w:pPr>
        <w:pStyle w:val="BookText"/>
      </w:pPr>
      <w:r>
        <w:rPr>
          <w:rFonts w:ascii="IRNazanin" w:hAnsi="IRNazanin" w:eastAsia="IRNazanin" w:cs="IRNazanin"/>
          <w:lang w:bidi="fa-IR"/>
          <w:color w:val="111111"/>
          <w:sz w:val="28"/>
          <w:szCs w:val="28"/>
          <w:rtl/>
        </w:rPr>
        <w:t xml:space="preserve">تهرانی رازی، قوام الدین محمد، ۱۰۹۳ ؟ قمری</w:t>
      </w:r>
    </w:p>
    <w:p>
      <w:pPr>
        <w:pStyle w:val="BookText"/>
      </w:pPr>
      <w:r>
        <w:rPr>
          <w:rFonts w:ascii="Times New Roman" w:hAnsi="Times New Roman" w:eastAsia="Times New Roman" w:cs="Times New Roman"/>
          <w:lang w:val="en-US" w:bidi="en-US"/>
          <w:color w:val="111111"/>
          <w:sz w:val="28"/>
          <w:szCs w:val="28"/>
          <w:rtl/>
        </w:rPr>
        <w:t xml:space="preserve">tehrānī rāzī, qavām-od-dīn mohammad (- 1682)</w:t>
      </w:r>
    </w:p>
    <w:p>
      <w:pPr>
        <w:pStyle w:val="BookText"/>
      </w:pPr>
      <w:r>
        <w:rPr>
          <w:rFonts w:ascii="IRNazanin" w:hAnsi="IRNazanin" w:eastAsia="IRNazanin" w:cs="IRNazanin"/>
          <w:lang w:bidi="fa-IR"/>
          <w:color w:val="111111"/>
          <w:sz w:val="28"/>
          <w:szCs w:val="28"/>
          <w:rtl/>
        </w:rPr>
        <w:t xml:space="preserve">تهران؛ دانشگاه؛ شماره نسخه: ۳۹۰۱/۱۱</w:t>
      </w:r>
    </w:p>
    <w:p>
      <w:pPr>
        <w:pStyle w:val="BookText"/>
      </w:pPr>
      <w:r>
        <w:rPr>
          <w:rFonts w:ascii="IRNazanin" w:hAnsi="IRNazanin" w:eastAsia="IRNazanin" w:cs="IRNazanin"/>
          <w:lang w:bidi="fa-IR"/>
          <w:color w:val="111111"/>
          <w:sz w:val="28"/>
          <w:szCs w:val="28"/>
          <w:rtl/>
        </w:rPr>
        <w:t xml:space="preserve">آغاز: بدانکه این مسئله یعنی بقای صور نوعيه عناصر و عدم بقای آن مطمح انظار و مطرح افکار است؛ انجام: لهذا ناتمام و بی صورت است و الله اعلم میر قوام الدین محمد رحمه الله تعالی. خط: نستعلیق، کا: محمد مؤمن جديد الاسلام کشمیری، تا: قرن ۱۱؛ پس ازین (ص ۶0) سه بند فلسفی است به عربی درباره معنی طبیعی و اثبات زمان و چهار گونه حرکت جز قسري آن دو تای نخستین از سماع طبیعی است؛ کاغذ: فرنگی، جلد: تیماج عنابی ضربی، ۳ص (۵۷-۵۹)، سطور چلیپا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۱۲-۲۸۹۰]</w:t>
      </w:r>
    </w:p>
    <w:p>
      <w:pPr>
        <w:pStyle w:val="BookText"/>
      </w:pPr>
      <w:r>
        <w:rPr>
          <w:rFonts w:ascii="Amiri" w:hAnsi="Amiri" w:eastAsia="Amiri" w:cs="Amiri"/>
          <w:lang w:bidi="ar-SA"/>
          <w:color w:val="111111"/>
          <w:sz w:val="28"/>
          <w:szCs w:val="28"/>
          <w:rtl/>
        </w:rPr>
        <w:t xml:space="preserve">←البقاء على تقليد المجتهد بعد موته ← البقاء على تقليد الميت</w:t>
      </w:r>
    </w:p>
    <w:p>
      <w:pPr>
        <w:pStyle w:val="Heading3"/>
      </w:pPr>
      <w:bookmarkStart w:id="896" w:name="_Toc156"/>
      <w:r>
        <w:t>• البقاء على تقليد الميت / اصول فقه / عربی</w:t>
      </w:r>
      <w:bookmarkEnd w:id="896"/>
    </w:p>
    <w:p>
      <w:pPr>
        <w:pStyle w:val="BookText"/>
      </w:pPr>
      <w:r>
        <w:rPr>
          <w:rFonts w:ascii="Times New Roman" w:hAnsi="Times New Roman" w:eastAsia="Times New Roman" w:cs="Times New Roman"/>
          <w:lang w:val="en-US" w:bidi="en-US"/>
          <w:color w:val="111111"/>
          <w:sz w:val="28"/>
          <w:szCs w:val="28"/>
          <w:rtl/>
        </w:rPr>
        <w:t xml:space="preserve">al-baqā’ ‘alā taqlīd-il mayyit</w:t>
      </w:r>
    </w:p>
    <w:p>
      <w:pPr>
        <w:pStyle w:val="BookText"/>
      </w:pPr>
      <w:r>
        <w:rPr>
          <w:rFonts w:ascii="IRNazanin" w:hAnsi="IRNazanin" w:eastAsia="IRNazanin" w:cs="IRNazanin"/>
          <w:lang w:bidi="fa-IR"/>
          <w:color w:val="111111"/>
          <w:sz w:val="28"/>
          <w:szCs w:val="28"/>
          <w:rtl/>
        </w:rPr>
        <w:t xml:space="preserve">یزدی، محمد تقی بن ابیطالب، -۱۲۶۷ قمری</w:t>
      </w:r>
    </w:p>
    <w:p>
      <w:pPr>
        <w:pStyle w:val="BookText"/>
      </w:pPr>
      <w:r>
        <w:rPr>
          <w:rFonts w:ascii="Times New Roman" w:hAnsi="Times New Roman" w:eastAsia="Times New Roman" w:cs="Times New Roman"/>
          <w:lang w:val="en-US" w:bidi="en-US"/>
          <w:color w:val="111111"/>
          <w:sz w:val="28"/>
          <w:szCs w:val="28"/>
          <w:rtl/>
        </w:rPr>
        <w:t xml:space="preserve">yazdī, mohammad taqī ebn-e abītāleb (- 1851)</w:t>
      </w:r>
    </w:p>
    <w:p>
      <w:pPr>
        <w:pStyle w:val="BookText"/>
      </w:pPr>
      <w:r>
        <w:rPr>
          <w:rFonts w:ascii="IRNazanin" w:hAnsi="IRNazanin" w:eastAsia="IRNazanin" w:cs="IRNazanin"/>
          <w:lang w:bidi="fa-IR"/>
          <w:color w:val="111111"/>
          <w:sz w:val="28"/>
          <w:szCs w:val="28"/>
          <w:rtl/>
        </w:rPr>
        <w:t xml:space="preserve">رساله وجوب بقاء بر تقلید مجتهد پیشین در حکم های خلافی و جمع میان فتواهای دو مجتهد.</w:t>
      </w:r>
    </w:p>
    <w:p>
      <w:pPr>
        <w:pStyle w:val="BookText"/>
      </w:pPr>
      <w:r>
        <w:rPr>
          <w:rFonts w:ascii="IRNazanin" w:hAnsi="IRNazanin" w:eastAsia="IRNazanin" w:cs="IRNazanin"/>
          <w:lang w:bidi="fa-IR"/>
          <w:color w:val="111111"/>
          <w:sz w:val="28"/>
          <w:szCs w:val="28"/>
          <w:rtl/>
        </w:rPr>
        <w:t xml:space="preserve">تهران؛ دانشگاه؛ شماره نسخه: ۳/ ۹۰۰</w:t>
      </w:r>
    </w:p>
    <w:p>
      <w:pPr>
        <w:pStyle w:val="BookText"/>
      </w:pPr>
      <w:r>
        <w:rPr>
          <w:rFonts w:ascii="IRNazanin" w:hAnsi="IRNazanin" w:eastAsia="IRNazanin" w:cs="IRNazanin"/>
          <w:lang w:bidi="fa-IR"/>
          <w:color w:val="111111"/>
          <w:sz w:val="28"/>
          <w:szCs w:val="28"/>
          <w:rtl/>
        </w:rPr>
        <w:t xml:space="preserve">آغاز: بسمله الحمد لوليه و الصلوة على نبيه و وصيه و بعد يقول ... محمد تقی بن ابی طالب اليزدي الاردکانی: الحق وجوب البقاء على تقليد من قلده من المجتهدين في الأحكام.؛ انجام: بل ربما يكون الظن مع من قلده فيما قلده فيه في بعض الاحيان او بعض الموارد خط: نسخ، بی کا، بی تا؛ کاغذ: فرنگی، جلد: تیماج سرخ ضربی مقوایی، ۴گ (۱۲۰ الف -۱۲۳ب)؛ ۲۵سطر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۱۷/۵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سم [ف: ۱۶۹۶۵]</w:t>
      </w:r>
    </w:p>
    <w:p>
      <w:pPr>
        <w:pStyle w:val="Heading3"/>
      </w:pPr>
      <w:bookmarkStart w:id="897" w:name="_Toc157"/>
      <w:r>
        <w:t>• البقاء على تقليد الميت / فقه / عربی</w:t>
      </w:r>
      <w:bookmarkEnd w:id="897"/>
    </w:p>
    <w:p>
      <w:pPr>
        <w:pStyle w:val="BookText"/>
      </w:pPr>
      <w:r>
        <w:rPr>
          <w:rFonts w:ascii="Times New Roman" w:hAnsi="Times New Roman" w:eastAsia="Times New Roman" w:cs="Times New Roman"/>
          <w:lang w:val="en-US" w:bidi="en-US"/>
          <w:color w:val="111111"/>
          <w:sz w:val="28"/>
          <w:szCs w:val="28"/>
          <w:rtl/>
        </w:rPr>
        <w:t xml:space="preserve">al-baqā' 'alā taqlīd-il mayyit</w:t>
      </w:r>
    </w:p>
    <w:p>
      <w:pPr>
        <w:pStyle w:val="BookText"/>
      </w:pPr>
      <w:r>
        <w:rPr>
          <w:rFonts w:ascii="IRNazanin" w:hAnsi="IRNazanin" w:eastAsia="IRNazanin" w:cs="IRNazanin"/>
          <w:lang w:bidi="fa-IR"/>
          <w:color w:val="111111"/>
          <w:sz w:val="28"/>
          <w:szCs w:val="28"/>
          <w:rtl/>
        </w:rPr>
        <w:t xml:space="preserve">عبد الغني بن محمد رضا، ق۱۳ قمری</w:t>
      </w:r>
    </w:p>
    <w:p>
      <w:pPr>
        <w:pStyle w:val="BookText"/>
      </w:pPr>
      <w:r>
        <w:rPr>
          <w:rFonts w:ascii="Times New Roman" w:hAnsi="Times New Roman" w:eastAsia="Times New Roman" w:cs="Times New Roman"/>
          <w:lang w:val="en-US" w:bidi="en-US"/>
          <w:color w:val="111111"/>
          <w:sz w:val="28"/>
          <w:szCs w:val="28"/>
          <w:rtl/>
        </w:rPr>
        <w:t xml:space="preserve">‘abd-ol-qanī ebn-e mohammad rezā (- 19c)</w:t>
      </w:r>
    </w:p>
    <w:p>
      <w:pPr>
        <w:pStyle w:val="BookText"/>
      </w:pPr>
      <w:r>
        <w:rPr>
          <w:rFonts w:ascii="IRNazanin" w:hAnsi="IRNazanin" w:eastAsia="IRNazanin" w:cs="IRNazanin"/>
          <w:lang w:bidi="fa-IR"/>
          <w:color w:val="111111"/>
          <w:sz w:val="28"/>
          <w:szCs w:val="28"/>
          <w:rtl/>
        </w:rPr>
        <w:t xml:space="preserve">تاریخ تأليف: ۱۹ ذیقعده ۱۲۸۳ق</w:t>
      </w:r>
    </w:p>
    <w:p>
      <w:pPr>
        <w:pStyle w:val="BookText"/>
      </w:pPr>
      <w:r>
        <w:rPr>
          <w:rFonts w:ascii="IRNazanin" w:hAnsi="IRNazanin" w:eastAsia="IRNazanin" w:cs="IRNazanin"/>
          <w:lang w:bidi="fa-IR"/>
          <w:color w:val="111111"/>
          <w:sz w:val="28"/>
          <w:szCs w:val="28"/>
          <w:rtl/>
        </w:rPr>
        <w:t xml:space="preserve">رساله استدلالی است در این که اگر کسی از مجتهدی تقلید کند و پس از مرگش به دیگری رجوع کرده که بقاء بر تقلید را جایز می داند، در حال بقاء آیا می تواند در مسائلی که بدانها عمل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7" w:name="pg20363_209211"/>
    <w:bookmarkEnd w:id="57"/>
    <w:p>
      <w:pPr>
        <w:pStyle w:val="BookText"/>
      </w:pPr>
      <w:r>
        <w:rPr>
          <w:rFonts w:ascii="IRNazanin" w:hAnsi="IRNazanin" w:eastAsia="IRNazanin" w:cs="IRNazanin"/>
          <w:lang w:bidi="fa-IR"/>
          <w:color w:val="111111"/>
          <w:sz w:val="28"/>
          <w:szCs w:val="28"/>
          <w:rtl/>
        </w:rPr>
        <w:t xml:space="preserve">نکرده از مجتهد مرده تقلید کند؟</w:t>
      </w:r>
    </w:p>
    <w:p>
      <w:pPr>
        <w:pStyle w:val="BookText"/>
      </w:pPr>
      <w:r>
        <w:rPr>
          <w:rFonts w:ascii="IRNazanin" w:hAnsi="IRNazanin" w:eastAsia="IRNazanin" w:cs="IRNazanin"/>
          <w:lang w:bidi="fa-IR"/>
          <w:color w:val="111111"/>
          <w:sz w:val="28"/>
          <w:szCs w:val="28"/>
          <w:rtl/>
        </w:rPr>
        <w:t xml:space="preserve">قم؛ مرعشی؛ شماره نسخه: ۵۱۷۶/۴</w:t>
      </w:r>
    </w:p>
    <w:p>
      <w:pPr>
        <w:pStyle w:val="BookText"/>
      </w:pPr>
      <w:r>
        <w:rPr>
          <w:rFonts w:ascii="Amiri" w:hAnsi="Amiri" w:eastAsia="Amiri" w:cs="Amiri"/>
          <w:lang w:bidi="ar-SA"/>
          <w:color w:val="111111"/>
          <w:sz w:val="28"/>
          <w:szCs w:val="28"/>
          <w:rtl/>
        </w:rPr>
        <w:t xml:space="preserve">آغاز: السؤال اذا أخذ العامى عن مجتهد حال حياته جملة من المسائل ولم يتفق أن يعمل بمقتضى ما أخذه منه؛ انجام: عليه و آله من الصلوات و التحيات ما يزيد على عدد القطر و الشجر و الاتحويه الفكر</w:t>
      </w:r>
    </w:p>
    <w:p>
      <w:pPr>
        <w:pStyle w:val="BookText"/>
      </w:pPr>
      <w:r>
        <w:rPr>
          <w:rFonts w:ascii="IRNazanin" w:hAnsi="IRNazanin" w:eastAsia="IRNazanin" w:cs="IRNazanin"/>
          <w:lang w:bidi="fa-IR"/>
          <w:color w:val="111111"/>
          <w:sz w:val="28"/>
          <w:szCs w:val="28"/>
          <w:rtl/>
        </w:rPr>
        <w:t xml:space="preserve">خط: نستعلیق، کاتب = مؤلف، بی تا؛ مصحح؛ جلد: تیماج سبز بدون مقوا، ۶گ (۶۲ر -۶۷پ)، ۱۷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۳۸۱-۱۳ ]</w:t>
      </w:r>
    </w:p>
    <w:p>
      <w:pPr>
        <w:pStyle w:val="Heading3"/>
      </w:pPr>
      <w:bookmarkStart w:id="898" w:name="_Toc158"/>
      <w:r>
        <w:t>• البقاء على تقليد الميت / فقه / عربی</w:t>
      </w:r>
      <w:bookmarkEnd w:id="898"/>
    </w:p>
    <w:p>
      <w:pPr>
        <w:pStyle w:val="BookText"/>
      </w:pPr>
      <w:r>
        <w:rPr>
          <w:rFonts w:ascii="Times New Roman" w:hAnsi="Times New Roman" w:eastAsia="Times New Roman" w:cs="Times New Roman"/>
          <w:lang w:val="en-US" w:bidi="en-US"/>
          <w:color w:val="111111"/>
          <w:sz w:val="28"/>
          <w:szCs w:val="28"/>
          <w:rtl/>
        </w:rPr>
        <w:t xml:space="preserve">al-baqā’ ‘alā taqlīd-il mayyit</w:t>
      </w:r>
    </w:p>
    <w:p>
      <w:pPr>
        <w:pStyle w:val="BookText"/>
      </w:pPr>
      <w:r>
        <w:rPr>
          <w:rFonts w:ascii="IRNazanin" w:hAnsi="IRNazanin" w:eastAsia="IRNazanin" w:cs="IRNazanin"/>
          <w:lang w:bidi="fa-IR"/>
          <w:color w:val="111111"/>
          <w:sz w:val="28"/>
          <w:szCs w:val="28"/>
          <w:rtl/>
        </w:rPr>
        <w:t xml:space="preserve">قزوینی، عبدالوهاب بن محمد علی، ق۱۳ قمری</w:t>
      </w:r>
    </w:p>
    <w:p>
      <w:pPr>
        <w:pStyle w:val="BookText"/>
      </w:pPr>
      <w:r>
        <w:rPr>
          <w:rFonts w:ascii="Times New Roman" w:hAnsi="Times New Roman" w:eastAsia="Times New Roman" w:cs="Times New Roman"/>
          <w:lang w:val="en-US" w:bidi="en-US"/>
          <w:color w:val="111111"/>
          <w:sz w:val="28"/>
          <w:szCs w:val="28"/>
          <w:rtl/>
        </w:rPr>
        <w:t xml:space="preserve">qazvīnī, 'abd-ol-vahhāb ebn-e mohammad ‘alī (- 19c)</w:t>
      </w:r>
    </w:p>
    <w:p>
      <w:pPr>
        <w:pStyle w:val="BookText"/>
      </w:pPr>
      <w:r>
        <w:rPr>
          <w:rFonts w:ascii="IRNazanin" w:hAnsi="IRNazanin" w:eastAsia="IRNazanin" w:cs="IRNazanin"/>
          <w:lang w:bidi="fa-IR"/>
          <w:color w:val="111111"/>
          <w:sz w:val="28"/>
          <w:szCs w:val="28"/>
          <w:rtl/>
        </w:rPr>
        <w:t xml:space="preserve">تهران؛ دانشگاه؛ شماره نسخه:</w:t>
      </w:r>
    </w:p>
    <w:p>
      <w:pPr>
        <w:pStyle w:val="BookText"/>
      </w:pPr>
      <w:r>
        <w:rPr>
          <w:rFonts w:ascii="IRNazanin" w:hAnsi="IRNazanin" w:eastAsia="IRNazanin" w:cs="IRNazanin"/>
          <w:lang w:bidi="fa-IR"/>
          <w:color w:val="111111"/>
          <w:sz w:val="28"/>
          <w:szCs w:val="28"/>
          <w:rtl/>
        </w:rPr>
        <w:t xml:space="preserve">۵۹۳۲/۸ البقاء على تقليد المجتهد بعد موته جایز ام لا، کاتب = مؤلف، تا:</w:t>
      </w:r>
    </w:p>
    <w:p>
      <w:pPr>
        <w:pStyle w:val="BookText"/>
      </w:pPr>
      <w:r>
        <w:rPr>
          <w:rFonts w:ascii="IRNazanin" w:hAnsi="IRNazanin" w:eastAsia="IRNazanin" w:cs="IRNazanin"/>
          <w:lang w:bidi="fa-IR"/>
          <w:color w:val="111111"/>
          <w:sz w:val="28"/>
          <w:szCs w:val="28"/>
          <w:rtl/>
        </w:rPr>
        <w:t xml:space="preserve">جمادی الاول ۱۲۴۲ق؛ مصحح؛ کاغذ: فرنگی، جلد: تیماج حنایی ضربی مقوایی، ۱۲گی (۱۹۸پ-۲۰۹پ)، ۱۸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قطع: رحلی،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۱۶-۱۶۰]</w:t>
      </w:r>
    </w:p>
    <w:p>
      <w:pPr>
        <w:pStyle w:val="Heading3"/>
      </w:pPr>
      <w:bookmarkStart w:id="899" w:name="_Toc159"/>
      <w:r>
        <w:t>•البقاء على تقليد الميت / فقه / عربی</w:t>
      </w:r>
      <w:bookmarkEnd w:id="899"/>
    </w:p>
    <w:p>
      <w:pPr>
        <w:pStyle w:val="BookText"/>
      </w:pPr>
      <w:r>
        <w:rPr>
          <w:rFonts w:ascii="Times New Roman" w:hAnsi="Times New Roman" w:eastAsia="Times New Roman" w:cs="Times New Roman"/>
          <w:lang w:val="en-US" w:bidi="en-US"/>
          <w:color w:val="111111"/>
          <w:sz w:val="28"/>
          <w:szCs w:val="28"/>
          <w:rtl/>
        </w:rPr>
        <w:t xml:space="preserve">al-baqā’ ‘alā taqlīd-il mayyit</w:t>
      </w:r>
    </w:p>
    <w:p>
      <w:pPr>
        <w:pStyle w:val="BookText"/>
      </w:pPr>
      <w:r>
        <w:rPr>
          <w:rFonts w:ascii="IRNazanin" w:hAnsi="IRNazanin" w:eastAsia="IRNazanin" w:cs="IRNazanin"/>
          <w:lang w:bidi="fa-IR"/>
          <w:color w:val="111111"/>
          <w:sz w:val="28"/>
          <w:szCs w:val="28"/>
          <w:rtl/>
        </w:rPr>
        <w:t xml:space="preserve">قمی، سید اسماعیل، ق۱۳ قمری</w:t>
      </w:r>
    </w:p>
    <w:p>
      <w:pPr>
        <w:pStyle w:val="BookText"/>
      </w:pPr>
      <w:r>
        <w:rPr>
          <w:rFonts w:ascii="Times New Roman" w:hAnsi="Times New Roman" w:eastAsia="Times New Roman" w:cs="Times New Roman"/>
          <w:lang w:val="en-US" w:bidi="en-US"/>
          <w:color w:val="111111"/>
          <w:sz w:val="28"/>
          <w:szCs w:val="28"/>
          <w:rtl/>
        </w:rPr>
        <w:t xml:space="preserve">qomi, seyyed esma'il (- 19c)</w:t>
      </w:r>
    </w:p>
    <w:p>
      <w:pPr>
        <w:pStyle w:val="BookText"/>
      </w:pPr>
      <w:r>
        <w:rPr>
          <w:rFonts w:ascii="IRNazanin" w:hAnsi="IRNazanin" w:eastAsia="IRNazanin" w:cs="IRNazanin"/>
          <w:lang w:bidi="fa-IR"/>
          <w:color w:val="111111"/>
          <w:sz w:val="28"/>
          <w:szCs w:val="28"/>
          <w:rtl/>
        </w:rPr>
        <w:t xml:space="preserve">در این رساله مختصر استدلال می شود بر اینکه می توان از مجتهدی که عامی از وی تقلید می کرده پس از مرگش نیز بر تقلید خود باقی بماند. این رساله در اثر پرسشی که پس از درگذشت میرزای قمی از مؤلف شده است.</w:t>
      </w:r>
    </w:p>
    <w:p>
      <w:pPr>
        <w:pStyle w:val="BookText"/>
      </w:pPr>
      <w:r>
        <w:rPr>
          <w:rFonts w:ascii="IRNazanin" w:hAnsi="IRNazanin" w:eastAsia="IRNazanin" w:cs="IRNazanin"/>
          <w:lang w:bidi="fa-IR"/>
          <w:color w:val="111111"/>
          <w:sz w:val="28"/>
          <w:szCs w:val="28"/>
          <w:rtl/>
        </w:rPr>
        <w:t xml:space="preserve">قم؛ مرعشی؛ شماره نسخه: ۶۰۵۲/۴</w:t>
      </w:r>
    </w:p>
    <w:p>
      <w:pPr>
        <w:pStyle w:val="BookText"/>
      </w:pPr>
      <w:r>
        <w:rPr>
          <w:rFonts w:ascii="Amiri" w:hAnsi="Amiri" w:eastAsia="Amiri" w:cs="Amiri"/>
          <w:lang w:bidi="ar-SA"/>
          <w:color w:val="111111"/>
          <w:sz w:val="28"/>
          <w:szCs w:val="28"/>
          <w:rtl/>
        </w:rPr>
        <w:t xml:space="preserve">آغاز: الحمدلله رب العالمين ... اما بعد فنقول لما أبتلينا لقصورنا في عصرنا هذا بالحرمان عن فيض ظهور الحجة الأصلية القائمة؛ انجام: بل كانت متحدثة في عصر العلامة كما يظهر من تدوينها هو في كتبه لا غير، و الحمدلله أولا و آخرا و ظاهرا و باطنا .</w:t>
      </w:r>
    </w:p>
    <w:p>
      <w:pPr>
        <w:pStyle w:val="BookText"/>
      </w:pPr>
      <w:r>
        <w:rPr>
          <w:rFonts w:ascii="IRNazanin" w:hAnsi="IRNazanin" w:eastAsia="IRNazanin" w:cs="IRNazanin"/>
          <w:lang w:bidi="fa-IR"/>
          <w:color w:val="111111"/>
          <w:sz w:val="28"/>
          <w:szCs w:val="28"/>
          <w:rtl/>
        </w:rPr>
        <w:t xml:space="preserve">خط: نسخ، كا: سید حسن بن میر زین العابدین ساکن قم، تا: ۱۴ ربيع الثانی ۱۲۴۲ق؛ جلد: گالینگور مشکی، ۱۲گ (۶۳پ۔ ۷۴پ)، اندازه: 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۱۴/۵ سم [ف: ۱۶-۵۴]</w:t>
      </w:r>
    </w:p>
    <w:p>
      <w:pPr>
        <w:pStyle w:val="Heading3"/>
      </w:pPr>
      <w:bookmarkStart w:id="900" w:name="_Toc160"/>
      <w:r>
        <w:t>• البقاء على تقليد الميت / فقه / عربی</w:t>
      </w:r>
      <w:bookmarkEnd w:id="900"/>
    </w:p>
    <w:p>
      <w:pPr>
        <w:pStyle w:val="BookText"/>
      </w:pPr>
      <w:r>
        <w:rPr>
          <w:rFonts w:ascii="Times New Roman" w:hAnsi="Times New Roman" w:eastAsia="Times New Roman" w:cs="Times New Roman"/>
          <w:lang w:val="en-US" w:bidi="en-US"/>
          <w:color w:val="111111"/>
          <w:sz w:val="28"/>
          <w:szCs w:val="28"/>
          <w:rtl/>
        </w:rPr>
        <w:t xml:space="preserve">al-baqā’ ‘alā taqlīd-il mayyit</w:t>
      </w:r>
    </w:p>
    <w:p>
      <w:pPr>
        <w:pStyle w:val="BookText"/>
      </w:pPr>
      <w:r>
        <w:rPr>
          <w:rFonts w:ascii="IRNazanin" w:hAnsi="IRNazanin" w:eastAsia="IRNazanin" w:cs="IRNazanin"/>
          <w:lang w:bidi="fa-IR"/>
          <w:color w:val="111111"/>
          <w:sz w:val="28"/>
          <w:szCs w:val="28"/>
          <w:rtl/>
        </w:rPr>
        <w:t xml:space="preserve">موسوی، محمد حسین بن محمد، ق ۱۳ قمری</w:t>
      </w:r>
    </w:p>
    <w:p>
      <w:pPr>
        <w:pStyle w:val="BookText"/>
      </w:pPr>
      <w:r>
        <w:rPr>
          <w:rFonts w:ascii="Times New Roman" w:hAnsi="Times New Roman" w:eastAsia="Times New Roman" w:cs="Times New Roman"/>
          <w:lang w:val="en-US" w:bidi="en-US"/>
          <w:color w:val="111111"/>
          <w:sz w:val="28"/>
          <w:szCs w:val="28"/>
          <w:rtl/>
        </w:rPr>
        <w:t xml:space="preserve">mūsavī, mohammad hoseyn ebn-e mohammad (- 19c)</w:t>
      </w:r>
    </w:p>
    <w:p>
      <w:pPr>
        <w:pStyle w:val="BookText"/>
      </w:pPr>
      <w:r>
        <w:rPr>
          <w:rFonts w:ascii="IRNazanin" w:hAnsi="IRNazanin" w:eastAsia="IRNazanin" w:cs="IRNazanin"/>
          <w:lang w:bidi="fa-IR"/>
          <w:color w:val="111111"/>
          <w:sz w:val="28"/>
          <w:szCs w:val="28"/>
          <w:rtl/>
        </w:rPr>
        <w:t xml:space="preserve">رساله استدلالی در باره مسأله تقلید میت است، مؤلف مسأله را به سه صورت طرح نموده که هر کدام از آنها مبتنی بر آراء گروهی از فقها است و سپس ادله هر گروه را بررسی و نقد کرده است؛ آن سه صورت عبارت است از: ۱. حرمت بقاء بر تقلید میت؛ ۲. وجوب بقاء بر تقلید میت؛ 3. تخيير.</w:t>
      </w:r>
    </w:p>
    <w:p>
      <w:pPr>
        <w:pStyle w:val="BookText"/>
      </w:pPr>
      <w:r>
        <w:rPr>
          <w:rFonts w:ascii="IRNazanin" w:hAnsi="IRNazanin" w:eastAsia="IRNazanin" w:cs="IRNazanin"/>
          <w:lang w:bidi="fa-IR"/>
          <w:color w:val="111111"/>
          <w:sz w:val="28"/>
          <w:szCs w:val="28"/>
          <w:rtl/>
        </w:rPr>
        <w:t xml:space="preserve">قم؛ مرعشی؛ شماره نسخه: ۱۱۳۲۷/۱</w:t>
      </w:r>
    </w:p>
    <w:p>
      <w:pPr>
        <w:pStyle w:val="BookText"/>
      </w:pPr>
      <w:r>
        <w:rPr>
          <w:rFonts w:ascii="IRNazanin" w:hAnsi="IRNazanin" w:eastAsia="IRNazanin" w:cs="IRNazanin"/>
          <w:lang w:bidi="fa-IR"/>
          <w:color w:val="111111"/>
          <w:sz w:val="28"/>
          <w:szCs w:val="28"/>
          <w:rtl/>
        </w:rPr>
        <w:t xml:space="preserve">آغاز: اعلم أن من المسائل المشهورة و الفروع المتكررة الحاجة و الذكر في مسالة البقاء على تقليد المجتهد الحي؛ انجام: ما يدل على جواز العدول في مسئلتمنا مطلقا و حيث من الله على عبده الفقير المقر بالذنوب خط: نستعلیق تحریری، کاتب = مؤلف، تا: قرن ۱۳؛ محشی؛ کاغذ: فرنگی، لاگ (۱- ۷)، ۲۴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سم [ف: ۵۱۹-۲۸ ]</w:t>
      </w:r>
    </w:p>
    <w:p>
      <w:pPr>
        <w:pStyle w:val="Heading3"/>
      </w:pPr>
      <w:bookmarkStart w:id="901" w:name="_Toc161"/>
      <w:r>
        <w:t>• البقاء على تقليد الميت / فقه / عربی</w:t>
      </w:r>
      <w:bookmarkEnd w:id="901"/>
    </w:p>
    <w:p>
      <w:pPr>
        <w:pStyle w:val="BookText"/>
      </w:pPr>
      <w:r>
        <w:rPr>
          <w:rFonts w:ascii="Times New Roman" w:hAnsi="Times New Roman" w:eastAsia="Times New Roman" w:cs="Times New Roman"/>
          <w:lang w:val="en-US" w:bidi="en-US"/>
          <w:color w:val="111111"/>
          <w:sz w:val="28"/>
          <w:szCs w:val="28"/>
          <w:rtl/>
        </w:rPr>
        <w:t xml:space="preserve">al-baqā' 'alā taqlīd-il mayyit</w:t>
      </w:r>
    </w:p>
    <w:p>
      <w:pPr>
        <w:pStyle w:val="BookText"/>
      </w:pPr>
      <w:r>
        <w:rPr>
          <w:rFonts w:ascii="Amiri" w:hAnsi="Amiri" w:eastAsia="Amiri" w:cs="Amiri"/>
          <w:lang w:bidi="ar-SA"/>
          <w:color w:val="111111"/>
          <w:sz w:val="28"/>
          <w:szCs w:val="28"/>
          <w:rtl/>
        </w:rPr>
        <w:t xml:space="preserve">فائدة مكملة و شجرة مثمرة في هذه المسئلة ايضا.</w:t>
      </w:r>
    </w:p>
    <w:p>
      <w:pPr>
        <w:pStyle w:val="BookText"/>
      </w:pPr>
      <w:r>
        <w:rPr>
          <w:rFonts w:ascii="IRNazanin" w:hAnsi="IRNazanin" w:eastAsia="IRNazanin" w:cs="IRNazanin"/>
          <w:lang w:bidi="fa-IR"/>
          <w:color w:val="111111"/>
          <w:sz w:val="28"/>
          <w:szCs w:val="28"/>
          <w:rtl/>
        </w:rPr>
        <w:t xml:space="preserve">تهران، دانشگاه؛ شماره نسخه:</w:t>
      </w:r>
    </w:p>
    <w:p>
      <w:pPr>
        <w:pStyle w:val="BookText"/>
      </w:pPr>
      <w:r>
        <w:rPr>
          <w:rFonts w:ascii="IRNazanin" w:hAnsi="IRNazanin" w:eastAsia="IRNazanin" w:cs="IRNazanin"/>
          <w:lang w:bidi="fa-IR"/>
          <w:color w:val="111111"/>
          <w:sz w:val="28"/>
          <w:szCs w:val="28"/>
          <w:rtl/>
        </w:rPr>
        <w:t xml:space="preserve">۵۹۳۲/۱۰ کا: بیابانکی قزوینی، تا: ۷ محرم ۱۲۴۳ق؛ کاغذ: فرنگی، جلد: تیماج حنایی ضربی مقوایی، ۸گ (۲۱۴ -۲۲۱پ)، ۱۸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قطع: رحلی،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۱۶-۱۶۱]</w:t>
      </w:r>
    </w:p>
    <w:p>
      <w:pPr>
        <w:pStyle w:val="Heading3"/>
      </w:pPr>
      <w:bookmarkStart w:id="902" w:name="_Toc162"/>
      <w:r>
        <w:t>• بقاء المواليد / هیئت / فارسی</w:t>
      </w:r>
      <w:bookmarkEnd w:id="902"/>
    </w:p>
    <w:p>
      <w:pPr>
        <w:pStyle w:val="BookText"/>
      </w:pPr>
      <w:r>
        <w:rPr>
          <w:rFonts w:ascii="Times New Roman" w:hAnsi="Times New Roman" w:eastAsia="Times New Roman" w:cs="Times New Roman"/>
          <w:lang w:val="en-US" w:bidi="en-US"/>
          <w:color w:val="111111"/>
          <w:sz w:val="28"/>
          <w:szCs w:val="28"/>
          <w:rtl/>
        </w:rPr>
        <w:t xml:space="preserve">baqā'-ol mavālīd</w:t>
      </w:r>
    </w:p>
    <w:p>
      <w:pPr>
        <w:pStyle w:val="BookText"/>
      </w:pPr>
      <w:r>
        <w:rPr>
          <w:rFonts w:ascii="IRNazanin" w:hAnsi="IRNazanin" w:eastAsia="IRNazanin" w:cs="IRNazanin"/>
          <w:lang w:bidi="fa-IR"/>
          <w:color w:val="111111"/>
          <w:sz w:val="28"/>
          <w:szCs w:val="28"/>
          <w:rtl/>
        </w:rPr>
        <w:t xml:space="preserve">رمال شیرازی، ناصر بن حیدر، ق۷ قمری</w:t>
      </w:r>
    </w:p>
    <w:p>
      <w:pPr>
        <w:pStyle w:val="BookText"/>
      </w:pPr>
      <w:r>
        <w:rPr>
          <w:rFonts w:ascii="Times New Roman" w:hAnsi="Times New Roman" w:eastAsia="Times New Roman" w:cs="Times New Roman"/>
          <w:lang w:val="en-US" w:bidi="en-US"/>
          <w:color w:val="111111"/>
          <w:sz w:val="28"/>
          <w:szCs w:val="28"/>
          <w:rtl/>
        </w:rPr>
        <w:t xml:space="preserve">rammāl šīrāzī, nāser ebn-e heydar (- 13c)</w:t>
      </w:r>
    </w:p>
    <w:p>
      <w:pPr>
        <w:pStyle w:val="BookText"/>
      </w:pPr>
      <w:r>
        <w:rPr>
          <w:rFonts w:ascii="IRNazanin" w:hAnsi="IRNazanin" w:eastAsia="IRNazanin" w:cs="IRNazanin"/>
          <w:lang w:bidi="fa-IR"/>
          <w:color w:val="111111"/>
          <w:sz w:val="28"/>
          <w:szCs w:val="28"/>
          <w:rtl/>
        </w:rPr>
        <w:t xml:space="preserve">تاریخ تأليف: ۶۸۰ق</w:t>
      </w:r>
    </w:p>
    <w:p>
      <w:pPr>
        <w:pStyle w:val="BookText"/>
      </w:pPr>
      <w:r>
        <w:rPr>
          <w:rFonts w:ascii="IRNazanin" w:hAnsi="IRNazanin" w:eastAsia="IRNazanin" w:cs="IRNazanin"/>
          <w:lang w:bidi="fa-IR"/>
          <w:color w:val="111111"/>
          <w:sz w:val="28"/>
          <w:szCs w:val="28"/>
          <w:rtl/>
        </w:rPr>
        <w:t xml:space="preserve">در سه «فصل»</w:t>
      </w:r>
    </w:p>
    <w:p>
      <w:pPr>
        <w:pStyle w:val="BookText"/>
      </w:pPr>
      <w:r>
        <w:rPr>
          <w:rFonts w:ascii="IRNazanin" w:hAnsi="IRNazanin" w:eastAsia="IRNazanin" w:cs="IRNazanin"/>
          <w:lang w:bidi="fa-IR"/>
          <w:color w:val="111111"/>
          <w:sz w:val="28"/>
          <w:szCs w:val="28"/>
          <w:rtl/>
        </w:rPr>
        <w:t xml:space="preserve">مشهد؛ رضوی؛ شماره نسخه: ۵۶۳۲/۷</w:t>
      </w:r>
    </w:p>
    <w:p>
      <w:pPr>
        <w:pStyle w:val="BookText"/>
      </w:pPr>
      <w:r>
        <w:rPr>
          <w:rFonts w:ascii="IRNazanin" w:hAnsi="IRNazanin" w:eastAsia="IRNazanin" w:cs="IRNazanin"/>
          <w:lang w:bidi="fa-IR"/>
          <w:color w:val="111111"/>
          <w:sz w:val="28"/>
          <w:szCs w:val="28"/>
          <w:rtl/>
        </w:rPr>
        <w:t xml:space="preserve">آغاز: بسمله، الرسالة في بقا المواليد وفيه ثلاثة فصول، الفصل الاول في الهيلاج و معرفة القمر، قال ملك الحکما بطلیموس صاحب المجسطی؛ انجام: جدول تعدیل ایام است و بعبارت: «تم و کمل» پایان می پذیرد.</w:t>
      </w:r>
    </w:p>
    <w:p>
      <w:pPr>
        <w:pStyle w:val="BookText"/>
      </w:pPr>
      <w:r>
        <w:rPr>
          <w:rFonts w:ascii="IRNazanin" w:hAnsi="IRNazanin" w:eastAsia="IRNazanin" w:cs="IRNazanin"/>
          <w:lang w:bidi="fa-IR"/>
          <w:color w:val="111111"/>
          <w:sz w:val="28"/>
          <w:szCs w:val="28"/>
          <w:rtl/>
        </w:rPr>
        <w:t xml:space="preserve">خط: نسخ، کاتب = مؤلف، تا: ۶۸۰ق ؛ کاغذ:حنایی، جلد:چرمی عنابی ضربی، ۱۱ص (۹۰-۱۰۰)، اندازه: ۲۱/۸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۸-۴۳۹]</w:t>
      </w:r>
    </w:p>
    <w:p>
      <w:pPr>
        <w:pStyle w:val="BookText"/>
      </w:pPr>
      <w:r>
        <w:rPr>
          <w:rFonts w:ascii="Amiri" w:hAnsi="Amiri" w:eastAsia="Amiri" w:cs="Amiri"/>
          <w:lang w:bidi="ar-SA"/>
          <w:color w:val="111111"/>
          <w:sz w:val="28"/>
          <w:szCs w:val="28"/>
          <w:rtl/>
        </w:rPr>
        <w:t xml:space="preserve">← بقاء النبي و الوصى بعد الموت في الأرض أو رفعهما إلى السماء (رسالة في)← اثبات وجود الانبياء و الأوصياء في قبورهم ← بقاء النفس← الرد على من قال «إن الانسان يفني بعد الموت»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8" w:name="pg20363_209212"/>
    <w:bookmarkEnd w:id="58"/>
    <w:p>
      <w:pPr>
        <w:pStyle w:val="BookText"/>
      </w:pPr>
      <w:r>
        <w:rPr>
          <w:rFonts w:ascii="IRNazanin" w:hAnsi="IRNazanin" w:eastAsia="IRNazanin" w:cs="IRNazanin"/>
          <w:lang w:bidi="fa-IR"/>
          <w:color w:val="111111"/>
          <w:sz w:val="28"/>
          <w:szCs w:val="28"/>
          <w:rtl/>
        </w:rPr>
        <w:t xml:space="preserve">← بقاء النفس← بقاء النفس</w:t>
      </w:r>
    </w:p>
    <w:p>
      <w:pPr>
        <w:pStyle w:val="BookText"/>
      </w:pPr>
      <w:r>
        <w:rPr>
          <w:rFonts w:ascii="Amiri" w:hAnsi="Amiri" w:eastAsia="Amiri" w:cs="Amiri"/>
          <w:lang w:bidi="ar-SA"/>
          <w:color w:val="111111"/>
          <w:sz w:val="28"/>
          <w:szCs w:val="28"/>
          <w:rtl/>
        </w:rPr>
        <w:t xml:space="preserve">← ازلية النفس و بقائها ← النفس</w:t>
      </w:r>
    </w:p>
    <w:p>
      <w:pPr>
        <w:pStyle w:val="Heading3"/>
      </w:pPr>
      <w:bookmarkStart w:id="903" w:name="_Toc163"/>
      <w:r>
        <w:t>• بقاء النفس / فلسفه / عربی</w:t>
      </w:r>
      <w:bookmarkEnd w:id="903"/>
    </w:p>
    <w:p>
      <w:pPr>
        <w:pStyle w:val="BookText"/>
      </w:pPr>
      <w:r>
        <w:rPr>
          <w:rFonts w:ascii="Times New Roman" w:hAnsi="Times New Roman" w:eastAsia="Times New Roman" w:cs="Times New Roman"/>
          <w:lang w:val="en-US" w:bidi="en-US"/>
          <w:color w:val="111111"/>
          <w:sz w:val="28"/>
          <w:szCs w:val="28"/>
          <w:rtl/>
        </w:rPr>
        <w:t xml:space="preserve">baqā'-un nafs</w:t>
      </w:r>
    </w:p>
    <w:p>
      <w:pPr>
        <w:pStyle w:val="BookText"/>
      </w:pPr>
      <w:r>
        <w:rPr>
          <w:rFonts w:ascii="IRNazanin" w:hAnsi="IRNazanin" w:eastAsia="IRNazanin" w:cs="IRNazanin"/>
          <w:lang w:bidi="fa-IR"/>
          <w:color w:val="111111"/>
          <w:sz w:val="28"/>
          <w:szCs w:val="28"/>
          <w:rtl/>
        </w:rPr>
        <w:t xml:space="preserve">بابا افضل کاشانی، محمد بن حسین، -۶۶۷ ؟ قمری</w:t>
      </w:r>
    </w:p>
    <w:p>
      <w:pPr>
        <w:pStyle w:val="BookText"/>
      </w:pPr>
      <w:r>
        <w:rPr>
          <w:rFonts w:ascii="Times New Roman" w:hAnsi="Times New Roman" w:eastAsia="Times New Roman" w:cs="Times New Roman"/>
          <w:lang w:val="en-US" w:bidi="en-US"/>
          <w:color w:val="111111"/>
          <w:sz w:val="28"/>
          <w:szCs w:val="28"/>
          <w:rtl/>
        </w:rPr>
        <w:t xml:space="preserve">bābā afzal-e kāšānī, mohammad ebn-e hoseyn (- 1269)</w:t>
      </w:r>
    </w:p>
    <w:p>
      <w:pPr>
        <w:pStyle w:val="BookText"/>
      </w:pPr>
      <w:r>
        <w:rPr>
          <w:rFonts w:ascii="IRNazanin" w:hAnsi="IRNazanin" w:eastAsia="IRNazanin" w:cs="IRNazanin"/>
          <w:lang w:bidi="fa-IR"/>
          <w:color w:val="111111"/>
          <w:sz w:val="28"/>
          <w:szCs w:val="28"/>
          <w:rtl/>
        </w:rPr>
        <w:t xml:space="preserve">در پایندگی روان</w:t>
      </w:r>
    </w:p>
    <w:p>
      <w:pPr>
        <w:pStyle w:val="BookText"/>
      </w:pPr>
      <w:r>
        <w:rPr>
          <w:rFonts w:ascii="IRNazanin" w:hAnsi="IRNazanin" w:eastAsia="IRNazanin" w:cs="IRNazanin"/>
          <w:lang w:bidi="fa-IR"/>
          <w:color w:val="111111"/>
          <w:sz w:val="28"/>
          <w:szCs w:val="28"/>
          <w:rtl/>
        </w:rPr>
        <w:t xml:space="preserve">تهران؛ دانشگاه؛ شماره نسخه: ۴۳۱/۱۱</w:t>
      </w:r>
    </w:p>
    <w:p>
      <w:pPr>
        <w:pStyle w:val="BookText"/>
      </w:pPr>
      <w:r>
        <w:rPr>
          <w:rFonts w:ascii="Amiri" w:hAnsi="Amiri" w:eastAsia="Amiri" w:cs="Amiri"/>
          <w:lang w:bidi="ar-SA"/>
          <w:color w:val="111111"/>
          <w:sz w:val="28"/>
          <w:szCs w:val="28"/>
          <w:rtl/>
        </w:rPr>
        <w:t xml:space="preserve">آغاز: النفس الدراكة تمنع أن تفسد بفساد البدن و تموت بموته.؛ انجام: و ليس بعد هذه الرتبة رتبة اخرى.</w:t>
      </w:r>
    </w:p>
    <w:p>
      <w:pPr>
        <w:pStyle w:val="BookText"/>
      </w:pPr>
      <w:r>
        <w:rPr>
          <w:rFonts w:ascii="IRNazanin" w:hAnsi="IRNazanin" w:eastAsia="IRNazanin" w:cs="IRNazanin"/>
          <w:lang w:bidi="fa-IR"/>
          <w:color w:val="111111"/>
          <w:sz w:val="28"/>
          <w:szCs w:val="28"/>
          <w:rtl/>
        </w:rPr>
        <w:t xml:space="preserve">بی کا، بی تا؛ اص (۱۵۲) [ف: ۳-۳۳۳]</w:t>
      </w:r>
    </w:p>
    <w:p>
      <w:pPr>
        <w:pStyle w:val="Heading3"/>
      </w:pPr>
      <w:bookmarkStart w:id="904" w:name="_Toc164"/>
      <w:r>
        <w:t>• بقاء نفس / فلسفه / فارسی</w:t>
      </w:r>
      <w:bookmarkEnd w:id="904"/>
    </w:p>
    <w:p>
      <w:pPr>
        <w:pStyle w:val="BookText"/>
      </w:pPr>
      <w:r>
        <w:rPr>
          <w:rFonts w:ascii="Times New Roman" w:hAnsi="Times New Roman" w:eastAsia="Times New Roman" w:cs="Times New Roman"/>
          <w:lang w:val="en-US" w:bidi="en-US"/>
          <w:color w:val="111111"/>
          <w:sz w:val="28"/>
          <w:szCs w:val="28"/>
          <w:rtl/>
        </w:rPr>
        <w:t xml:space="preserve">baqā'-on nafs</w:t>
      </w:r>
    </w:p>
    <w:p>
      <w:pPr>
        <w:pStyle w:val="BookText"/>
      </w:pPr>
      <w:r>
        <w:rPr>
          <w:rFonts w:ascii="IRNazanin" w:hAnsi="IRNazanin" w:eastAsia="IRNazanin" w:cs="IRNazanin"/>
          <w:lang w:bidi="fa-IR"/>
          <w:color w:val="111111"/>
          <w:sz w:val="28"/>
          <w:szCs w:val="28"/>
          <w:rtl/>
        </w:rPr>
        <w:t xml:space="preserve">امام جمعه خوئی، محمد امین بن یحیی،-۱۳۶۷ ؟ قمری</w:t>
      </w:r>
    </w:p>
    <w:p>
      <w:pPr>
        <w:pStyle w:val="BookText"/>
      </w:pPr>
      <w:r>
        <w:rPr>
          <w:rFonts w:ascii="Times New Roman" w:hAnsi="Times New Roman" w:eastAsia="Times New Roman" w:cs="Times New Roman"/>
          <w:lang w:val="en-US" w:bidi="en-US"/>
          <w:color w:val="111111"/>
          <w:sz w:val="28"/>
          <w:szCs w:val="28"/>
          <w:rtl/>
        </w:rPr>
        <w:t xml:space="preserve">emam jome xuil, mohammad amin ebn-e yahya - 1948)</w:t>
      </w:r>
    </w:p>
    <w:p>
      <w:pPr>
        <w:pStyle w:val="BookText"/>
      </w:pPr>
      <w:r>
        <w:rPr>
          <w:rFonts w:ascii="IRNazanin" w:hAnsi="IRNazanin" w:eastAsia="IRNazanin" w:cs="IRNazanin"/>
          <w:lang w:bidi="fa-IR"/>
          <w:color w:val="111111"/>
          <w:sz w:val="28"/>
          <w:szCs w:val="28"/>
          <w:rtl/>
        </w:rPr>
        <w:t xml:space="preserve">رساله ای است در بقاء نفس بعد از متلاشی شدن جسم که به درخواست عده ای از جوانان معاصر مؤلف تألیف شده است آغاز: و بعد در این اوان بعضی از جوانهای عصری که بفضل و ادب معهود و مشهود و آثار خیر و صلاح از پیشانی ایشان هویدا بود از اینجانب خواستند</w:t>
      </w:r>
    </w:p>
    <w:p>
      <w:pPr>
        <w:pStyle w:val="BookText"/>
      </w:pPr>
      <w:r>
        <w:rPr>
          <w:rFonts w:ascii="Amiri" w:hAnsi="Amiri" w:eastAsia="Amiri" w:cs="Amiri"/>
          <w:lang w:bidi="ar-SA"/>
          <w:color w:val="111111"/>
          <w:sz w:val="28"/>
          <w:szCs w:val="28"/>
          <w:rtl/>
        </w:rPr>
        <w:t xml:space="preserve">[ طبقات اعلام الشيعة (نقباء البشر) ۱۸۲]</w:t>
      </w:r>
    </w:p>
    <w:p>
      <w:pPr>
        <w:pStyle w:val="BookText"/>
      </w:pPr>
      <w:r>
        <w:rPr>
          <w:rFonts w:ascii="IRNazanin" w:hAnsi="IRNazanin" w:eastAsia="IRNazanin" w:cs="IRNazanin"/>
          <w:lang w:bidi="fa-IR"/>
          <w:color w:val="111111"/>
          <w:sz w:val="28"/>
          <w:szCs w:val="28"/>
          <w:rtl/>
        </w:rPr>
        <w:t xml:space="preserve">۱. قم: مرعشی؛ شماره نسخه: ۱۲۲۲۸/۱۰</w:t>
      </w:r>
    </w:p>
    <w:p>
      <w:pPr>
        <w:pStyle w:val="BookText"/>
      </w:pPr>
      <w:r>
        <w:rPr>
          <w:rFonts w:ascii="IRNazanin" w:hAnsi="IRNazanin" w:eastAsia="IRNazanin" w:cs="IRNazanin"/>
          <w:lang w:bidi="fa-IR"/>
          <w:color w:val="111111"/>
          <w:sz w:val="28"/>
          <w:szCs w:val="28"/>
          <w:rtl/>
        </w:rPr>
        <w:t xml:space="preserve">آغاز: برابر؛ انجام: لكن در طرف فساد نمی توان این تصویر کرد زیرا که با فساد نفس بدنی باقی نیست بالاتفاق پس نمی توان این دو مرحله را قیاس بهمدیگر کرد پس نقص مزبور وارد نیست خط: شکسته نستعلیق، کاتب = مؤلف، تا: قرن ۱۴؛ بعد از این رساله، افزودگی هایی در موضوعات متنوع از جمله خطبه، نامه، عقدنامه، اشعار و مطالب متفرقه دیگر از برگ ۶۴ تا ۸۸ آمده است؛ کاغذ: فرنگی، ۹گ (۵۵-۶۳)، ۱۹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۷سم اف: ۳۱-۴۸)</w:t>
      </w:r>
    </w:p>
    <w:p>
      <w:pPr>
        <w:pStyle w:val="BookText"/>
      </w:pPr>
      <w:r>
        <w:rPr>
          <w:rFonts w:ascii="IRNazanin" w:hAnsi="IRNazanin" w:eastAsia="IRNazanin" w:cs="IRNazanin"/>
          <w:lang w:bidi="fa-IR"/>
          <w:color w:val="111111"/>
          <w:sz w:val="28"/>
          <w:szCs w:val="28"/>
          <w:rtl/>
        </w:rPr>
        <w:t xml:space="preserve">۲. قم؛ مرعشی؛ شماره نسخه: ۱۲۲۲۸/۱۲</w:t>
      </w:r>
    </w:p>
    <w:p>
      <w:pPr>
        <w:pStyle w:val="BookText"/>
      </w:pPr>
      <w:r>
        <w:rPr>
          <w:rFonts w:ascii="IRNazanin" w:hAnsi="IRNazanin" w:eastAsia="IRNazanin" w:cs="IRNazanin"/>
          <w:lang w:bidi="fa-IR"/>
          <w:color w:val="111111"/>
          <w:sz w:val="28"/>
          <w:szCs w:val="28"/>
          <w:rtl/>
        </w:rPr>
        <w:t xml:space="preserve">آغاز: برابر؛ انجام: پس فرد مزبور خیری است مجرد از وضع و خیر و قبول می کند صور عقلیه را</w:t>
      </w:r>
    </w:p>
    <w:p>
      <w:pPr>
        <w:pStyle w:val="BookText"/>
      </w:pPr>
      <w:r>
        <w:rPr>
          <w:rFonts w:ascii="IRNazanin" w:hAnsi="IRNazanin" w:eastAsia="IRNazanin" w:cs="IRNazanin"/>
          <w:lang w:bidi="fa-IR"/>
          <w:color w:val="111111"/>
          <w:sz w:val="28"/>
          <w:szCs w:val="28"/>
          <w:rtl/>
        </w:rPr>
        <w:t xml:space="preserve">خط شکسته نستعلیق، کاتب = مؤلف، تا: قرن ۱۴؛ افتادگی: انجام؛ مصحح، نسخه مسوده رساله ارجاعی است؛ کاغذ: دفتری خط دار، جلد: تیماج سورمه ای ضربی با ترنج گل و بوته، ۱۱گ ( ۱۰۷-۹۷ )، ۲۰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 [ف: ۳۱-۵۰]</w:t>
      </w:r>
    </w:p>
    <w:p>
      <w:pPr>
        <w:pStyle w:val="Heading3"/>
      </w:pPr>
      <w:bookmarkStart w:id="905" w:name="_Toc165"/>
      <w:r>
        <w:t>• بقاء نفس انسانی / فلسفه / فارسی</w:t>
      </w:r>
      <w:bookmarkEnd w:id="905"/>
    </w:p>
    <w:p>
      <w:pPr>
        <w:pStyle w:val="BookText"/>
      </w:pPr>
      <w:r>
        <w:rPr>
          <w:rFonts w:ascii="Times New Roman" w:hAnsi="Times New Roman" w:eastAsia="Times New Roman" w:cs="Times New Roman"/>
          <w:lang w:val="en-US" w:bidi="en-US"/>
          <w:color w:val="111111"/>
          <w:sz w:val="28"/>
          <w:szCs w:val="28"/>
          <w:rtl/>
        </w:rPr>
        <w:t xml:space="preserve">baqā'-e nafs-e ensānī</w:t>
      </w:r>
    </w:p>
    <w:p>
      <w:pPr>
        <w:pStyle w:val="BookText"/>
      </w:pPr>
      <w:r>
        <w:rPr>
          <w:rFonts w:ascii="IRNazanin" w:hAnsi="IRNazanin" w:eastAsia="IRNazanin" w:cs="IRNazanin"/>
          <w:lang w:bidi="fa-IR"/>
          <w:color w:val="111111"/>
          <w:sz w:val="28"/>
          <w:szCs w:val="28"/>
          <w:rtl/>
        </w:rPr>
        <w:t xml:space="preserve">یزد؛ وزیری؛ شماره نسخه: ۱۴۰۵/۴</w:t>
      </w:r>
    </w:p>
    <w:p>
      <w:pPr>
        <w:pStyle w:val="BookText"/>
      </w:pPr>
      <w:r>
        <w:rPr>
          <w:rFonts w:ascii="IRNazanin" w:hAnsi="IRNazanin" w:eastAsia="IRNazanin" w:cs="IRNazanin"/>
          <w:lang w:bidi="fa-IR"/>
          <w:color w:val="111111"/>
          <w:sz w:val="28"/>
          <w:szCs w:val="28"/>
          <w:rtl/>
        </w:rPr>
        <w:t xml:space="preserve">آغاز: بسمله ... در دلایل بر بقای آنچه از انجیل بر می آید</w:t>
      </w:r>
    </w:p>
    <w:p>
      <w:pPr>
        <w:pStyle w:val="BookText"/>
      </w:pPr>
      <w:r>
        <w:rPr>
          <w:rFonts w:ascii="IRNazanin" w:hAnsi="IRNazanin" w:eastAsia="IRNazanin" w:cs="IRNazanin"/>
          <w:lang w:bidi="fa-IR"/>
          <w:color w:val="111111"/>
          <w:sz w:val="28"/>
          <w:szCs w:val="28"/>
          <w:rtl/>
        </w:rPr>
        <w:t xml:space="preserve">خط: نسخ، بی کا، تا: قرن ۱۳، کاغذ: فرنگی، جلد: تیماج آلبالویی، ۱۶گ (۱۶۴-۱۷۹)، ۱۵ سطر (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 اندازه: ۱۰/۵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۳-۹۵۱]</w:t>
      </w:r>
    </w:p>
    <w:p>
      <w:pPr>
        <w:pStyle w:val="BookText"/>
      </w:pPr>
      <w:r>
        <w:rPr>
          <w:rFonts w:ascii="Amiri" w:hAnsi="Amiri" w:eastAsia="Amiri" w:cs="Amiri"/>
          <w:lang w:bidi="ar-SA"/>
          <w:color w:val="111111"/>
          <w:sz w:val="28"/>
          <w:szCs w:val="28"/>
          <w:rtl/>
        </w:rPr>
        <w:t xml:space="preserve">» بقاء النفس الإنسانية» بقاء النفس بعد خراب البدن</w:t>
      </w:r>
    </w:p>
    <w:p>
      <w:pPr>
        <w:pStyle w:val="BookText"/>
      </w:pPr>
      <w:r>
        <w:rPr>
          <w:rFonts w:ascii="IRNazanin" w:hAnsi="IRNazanin" w:eastAsia="IRNazanin" w:cs="IRNazanin"/>
          <w:lang w:bidi="fa-IR"/>
          <w:color w:val="111111"/>
          <w:sz w:val="28"/>
          <w:szCs w:val="28"/>
          <w:rtl/>
        </w:rPr>
        <w:t xml:space="preserve">» بقاء النفس بعد بوار البدن» بقاء النفس بعد خراب البدن</w:t>
      </w:r>
    </w:p>
    <w:p>
      <w:pPr>
        <w:pStyle w:val="Heading3"/>
      </w:pPr>
      <w:bookmarkStart w:id="906" w:name="_Toc166"/>
      <w:r>
        <w:t>• بقاء النفس بعد خراب البدن = بقاء النفس الإنسانية = بقاء النفس بعد فناء الجسد = بقاء النفس بعد بوار البدن / فلسفه / عربی</w:t>
      </w:r>
      <w:bookmarkEnd w:id="906"/>
    </w:p>
    <w:p>
      <w:pPr>
        <w:pStyle w:val="BookText"/>
      </w:pPr>
      <w:r>
        <w:rPr>
          <w:rFonts w:ascii="Times New Roman" w:hAnsi="Times New Roman" w:eastAsia="Times New Roman" w:cs="Times New Roman"/>
          <w:lang w:val="en-US" w:bidi="en-US"/>
          <w:color w:val="111111"/>
          <w:sz w:val="28"/>
          <w:szCs w:val="28"/>
          <w:rtl/>
        </w:rPr>
        <w:t xml:space="preserve">baqa'-un nafs ba'd-a xarab-il badan = baqa'-un nafs-il insānīyya</w:t>
      </w:r>
    </w:p>
    <w:p>
      <w:pPr>
        <w:pStyle w:val="BookText"/>
      </w:pPr>
      <w:r>
        <w:rPr>
          <w:rFonts w:ascii="IRNazanin" w:hAnsi="IRNazanin" w:eastAsia="IRNazanin" w:cs="IRNazanin"/>
          <w:lang w:bidi="fa-IR"/>
          <w:color w:val="111111"/>
          <w:sz w:val="28"/>
          <w:szCs w:val="28"/>
          <w:rtl/>
        </w:rPr>
        <w:t xml:space="preserve">نصیر الدین طوسی، محمد بن محمد، ۵۹۷-۶۷۲ قمری</w:t>
      </w:r>
    </w:p>
    <w:p>
      <w:pPr>
        <w:pStyle w:val="BookText"/>
      </w:pPr>
      <w:r>
        <w:rPr>
          <w:rFonts w:ascii="Times New Roman" w:hAnsi="Times New Roman" w:eastAsia="Times New Roman" w:cs="Times New Roman"/>
          <w:lang w:val="en-US" w:bidi="en-US"/>
          <w:color w:val="111111"/>
          <w:sz w:val="28"/>
          <w:szCs w:val="28"/>
          <w:rtl/>
        </w:rPr>
        <w:t xml:space="preserve">nasīr-od-dīn-e tūsī, mohammad ebn-e mohammad (1201-1274)</w:t>
      </w:r>
    </w:p>
    <w:p>
      <w:pPr>
        <w:pStyle w:val="BookText"/>
      </w:pPr>
      <w:r>
        <w:rPr>
          <w:rFonts w:ascii="IRNazanin" w:hAnsi="IRNazanin" w:eastAsia="IRNazanin" w:cs="IRNazanin"/>
          <w:lang w:bidi="fa-IR"/>
          <w:color w:val="111111"/>
          <w:sz w:val="28"/>
          <w:szCs w:val="28"/>
          <w:rtl/>
        </w:rPr>
        <w:t xml:space="preserve">به درخواست: موید الدین عرضی</w:t>
      </w:r>
    </w:p>
    <w:p>
      <w:pPr>
        <w:pStyle w:val="BookText"/>
      </w:pPr>
      <w:r>
        <w:rPr>
          <w:rFonts w:ascii="IRNazanin" w:hAnsi="IRNazanin" w:eastAsia="IRNazanin" w:cs="IRNazanin"/>
          <w:lang w:bidi="fa-IR"/>
          <w:color w:val="111111"/>
          <w:sz w:val="28"/>
          <w:szCs w:val="28"/>
          <w:rtl/>
        </w:rPr>
        <w:t xml:space="preserve">این رساله به نام های «رساله در بقاء نفس انسانی» و «بقاء النفس بعد فناء الجسد» و «بقاء النفس بعد خراب البدن» و «بقاء النفس بعد بوار البدن» آمده است. خواجه رساله را به در خواست مؤيد الدين عرضی که از همکاران وی در بستن رصد مراغه بوده، تألیف کرده است. نام این رساله را ابن شاکر در کتاب فوات الوفيات در فهرست مؤلفات خواجه یاد کرده است. مدرس رضوی از رساله ای با عنوان «رساله بقاء النفس» یاد می کند که با توجه به آغازی که نقل کرده، همین رساله است و چرا جدا دیده معلوم نیست.</w:t>
      </w:r>
    </w:p>
    <w:p>
      <w:pPr>
        <w:pStyle w:val="BookText"/>
      </w:pPr>
      <w:r>
        <w:rPr>
          <w:rFonts w:ascii="IRNazanin" w:hAnsi="IRNazanin" w:eastAsia="IRNazanin" w:cs="IRNazanin"/>
          <w:lang w:bidi="fa-IR"/>
          <w:color w:val="111111"/>
          <w:sz w:val="28"/>
          <w:szCs w:val="28"/>
          <w:rtl/>
        </w:rPr>
        <w:t xml:space="preserve">آغاز: قال علامة العالم نصير الملة و الدين رسم المولى العالم الفاضل (نسخه آستانه: رسم المولى الصدر الكبير) مؤيد الدولة و الدين نتيجة الحكماء الاكابر، قدوة المهندسين المدققين، ادام الله رفعته و حرس بهجته _ ان اكتب شيئا مما افاد الحكماء المحققون في بقاء النفس الإنسانية بعد بوار البدن فما وجدت بدا من امتثال مرسومه وان كنت قليل البضاعة في هذه الصناعة ... فاقول: ان الموجودات تنقسم الى ما له وضع و الى ما لا وضع له البتة و نعنی بالوضع الكون في جهة من الجهات او حيز من الاحياز بحيث يمكن أن يشار الى الموصوف به اشارة حسية ...</w:t>
      </w:r>
    </w:p>
    <w:p>
      <w:pPr>
        <w:pStyle w:val="BookText"/>
      </w:pPr>
      <w:r>
        <w:rPr>
          <w:rFonts w:ascii="IRNazanin" w:hAnsi="IRNazanin" w:eastAsia="IRNazanin" w:cs="IRNazanin"/>
          <w:lang w:bidi="fa-IR"/>
          <w:color w:val="111111"/>
          <w:sz w:val="28"/>
          <w:szCs w:val="28"/>
          <w:rtl/>
        </w:rPr>
        <w:t xml:space="preserve">انجام: فان قيل: لو كانت النفس مركبة من حال و محل کالجسم الجار عليها العدم قلنا: لا يجوز العدم ... الذي هو المحل و نحن نعني بالنفس ذلك الجزء دون ما يحل فيه فان النفس كما تقرر شيئ و يرتسم فيها كثير من الصور بحیث محدث فيها و يزول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عنها و هي لا ينعدم بانعدامها و اذا ثبت أن النفس ليست بصورة البدن و لا يعرض حال فيه ولا بمركبه من حال و محل، ثبت آن الفناء لا يجوز عليها فهذا ما حضرني في الوقت مع اشتغال القلب مما استفدته من كلام العلماء في هذا الباب و الله اعلم بحقيقة الحال.</w:t>
      </w:r>
    </w:p>
    <w:p>
      <w:pPr>
        <w:pStyle w:val="BookText"/>
      </w:pPr>
      <w:r>
        <w:rPr>
          <w:rFonts w:ascii="IRNazanin" w:hAnsi="IRNazanin" w:eastAsia="IRNazanin" w:cs="IRNazanin"/>
          <w:lang w:bidi="fa-IR"/>
          <w:color w:val="111111"/>
          <w:sz w:val="28"/>
          <w:szCs w:val="28"/>
          <w:rtl/>
        </w:rPr>
        <w:t xml:space="preserve">چاپ: به کوشش مرحوم حاج میرزا ابو عبدالله زنجانی (متوفی ۱۳۶۰ق)، با شرحی به نام رساله نفس ارسطو، ۱۳۴۲ق، ۴۹ص؛ در نهایت تلخيص المحصل همراه با چند رساله دیگر خواجه نیز چاپ شده است؛ آقای زین العابدین کیا نژاد متن رساله و شرح آن را به فارسی نقل کرده و ابتدا در مجله جلوه و سپس مستق؟ به نام «بقاء روح پس از مرگ» در طهران طبع شده است.</w:t>
      </w:r>
    </w:p>
    <w:p>
      <w:pPr>
        <w:pStyle w:val="BookText"/>
      </w:pPr>
      <w:r>
        <w:rPr>
          <w:rFonts w:ascii="IRNazanin" w:hAnsi="IRNazanin" w:eastAsia="IRNazanin" w:cs="IRNazanin"/>
          <w:lang w:bidi="fa-IR"/>
          <w:color w:val="111111"/>
          <w:sz w:val="28"/>
          <w:szCs w:val="28"/>
          <w:rtl/>
        </w:rPr>
        <w:t xml:space="preserve">[ذخائر التراث العربي الاسلامی ۶۶۶/۲ ؛ احوال و آثار خواجه مدرس رضوی ۴۶۰؛ کشف الحجب ۴۲۷]</w:t>
      </w:r>
    </w:p>
    <w:p>
      <w:pPr>
        <w:pStyle w:val="BookText"/>
      </w:pPr>
      <w:r>
        <w:rPr>
          <w:rFonts w:ascii="IRNazanin" w:hAnsi="IRNazanin" w:eastAsia="IRNazanin" w:cs="IRNazanin"/>
          <w:lang w:bidi="fa-IR"/>
          <w:color w:val="111111"/>
          <w:sz w:val="28"/>
          <w:szCs w:val="28"/>
          <w:rtl/>
        </w:rPr>
        <w:t xml:space="preserve">١. مشهد؛ رضوی؛ شماره نسخه: ۶۸۶۶/۲</w:t>
      </w:r>
    </w:p>
    <w:p>
      <w:pPr>
        <w:pStyle w:val="BookText"/>
      </w:pPr>
      <w:r>
        <w:rPr>
          <w:rFonts w:ascii="IRNazanin" w:hAnsi="IRNazanin" w:eastAsia="IRNazanin" w:cs="IRNazanin"/>
          <w:lang w:bidi="fa-IR"/>
          <w:color w:val="111111"/>
          <w:sz w:val="28"/>
          <w:szCs w:val="28"/>
          <w:rtl/>
        </w:rPr>
        <w:t xml:space="preserve">این رساله را آقای مدرس رضوی در احوال و آثار خواجه معرفی کرده اند و در فهرست نامی از آن برده نشده و به دلیل اهمیت آن اضافه گردید؛ خط: نسخ، بی کا، تا: ۷۵۴ق [ف: ]</w:t>
      </w:r>
    </w:p>
    <w:p>
      <w:pPr>
        <w:pStyle w:val="BookText"/>
      </w:pPr>
      <w:r>
        <w:rPr>
          <w:rFonts w:ascii="IRNazanin" w:hAnsi="IRNazanin" w:eastAsia="IRNazanin" w:cs="IRNazanin"/>
          <w:lang w:bidi="fa-IR"/>
          <w:color w:val="111111"/>
          <w:sz w:val="28"/>
          <w:szCs w:val="28"/>
          <w:rtl/>
        </w:rPr>
        <w:t xml:space="preserve">۲. تهران: دانشگاه؛ شماره نسخه: ۱۹۵/۱۵۵ -ف</w:t>
      </w:r>
    </w:p>
    <w:p>
      <w:pPr>
        <w:pStyle w:val="BookText"/>
      </w:pPr>
      <w:r>
        <w:rPr>
          <w:rFonts w:ascii="IRNazanin" w:hAnsi="IRNazanin" w:eastAsia="IRNazanin" w:cs="IRNazanin"/>
          <w:lang w:bidi="fa-IR"/>
          <w:color w:val="111111"/>
          <w:sz w:val="28"/>
          <w:szCs w:val="28"/>
          <w:rtl/>
        </w:rPr>
        <w:t xml:space="preserve">نسخه اصل: حمديه ش ۱۴۴۷؛ بی کا، تا: با تاریخ ۷۵۵ق؛ در هامش است [فیلمها ف: ۱-۴۳۲]</w:t>
      </w:r>
    </w:p>
    <w:p>
      <w:pPr>
        <w:pStyle w:val="BookText"/>
      </w:pPr>
      <w:r>
        <w:rPr>
          <w:rFonts w:ascii="IRNazanin" w:hAnsi="IRNazanin" w:eastAsia="IRNazanin" w:cs="IRNazanin"/>
          <w:lang w:bidi="fa-IR"/>
          <w:color w:val="111111"/>
          <w:sz w:val="28"/>
          <w:szCs w:val="28"/>
          <w:rtl/>
        </w:rPr>
        <w:t xml:space="preserve">٣. قم، گلپایگانی؛ شماره نسخه: ۶۸۷۹/۲۰ - ۳۵/۵۹</w:t>
      </w:r>
    </w:p>
    <w:p>
      <w:pPr>
        <w:pStyle w:val="BookText"/>
      </w:pPr>
      <w:r>
        <w:rPr>
          <w:rFonts w:ascii="IRNazanin" w:hAnsi="IRNazanin" w:eastAsia="IRNazanin" w:cs="IRNazanin"/>
          <w:lang w:bidi="fa-IR"/>
          <w:color w:val="111111"/>
          <w:sz w:val="28"/>
          <w:szCs w:val="28"/>
          <w:rtl/>
        </w:rPr>
        <w:t xml:space="preserve">آغاز و انجام: برابر خط: نستعلیق، بی کا، تا: قرن ۱۰؛ جلد: تیماج قهوه ای، ۳گ، ۲۱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۲-۶۲۸]</w:t>
      </w:r>
    </w:p>
    <w:p>
      <w:pPr>
        <w:pStyle w:val="BookText"/>
      </w:pPr>
      <w:r>
        <w:rPr>
          <w:rFonts w:ascii="IRNazanin" w:hAnsi="IRNazanin" w:eastAsia="IRNazanin" w:cs="IRNazanin"/>
          <w:lang w:bidi="fa-IR"/>
          <w:color w:val="111111"/>
          <w:sz w:val="28"/>
          <w:szCs w:val="28"/>
          <w:rtl/>
        </w:rPr>
        <w:t xml:space="preserve">۴. قم؛ مرعشی؛ شماره نسخه: ۱۴۵۷۶/۱۸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۱۰؛ مصحح، کاغذ: شرقی، ۴گ (۱۸۸پ-۱۹۱ر)، ۲۰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w:t>
      </w:r>
    </w:p>
    <w:p>
      <w:pPr>
        <w:pStyle w:val="BookText"/>
      </w:pPr>
      <w:r>
        <w:rPr>
          <w:rFonts w:ascii="IRNazanin" w:hAnsi="IRNazanin" w:eastAsia="IRNazanin" w:cs="IRNazanin"/>
          <w:lang w:bidi="fa-IR"/>
          <w:color w:val="111111"/>
          <w:sz w:val="28"/>
          <w:szCs w:val="28"/>
          <w:rtl/>
        </w:rPr>
        <w:t xml:space="preserve">سم [ف: ۳۶-۶۲۵]</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مرعشی؛ شماره نسخه: ۱۴۳۴۵/۱</w:t>
      </w:r>
    </w:p>
    <w:p>
      <w:pPr>
        <w:pStyle w:val="BookText"/>
      </w:pPr>
      <w:r>
        <w:rPr>
          <w:rFonts w:ascii="IRNazanin" w:hAnsi="IRNazanin" w:eastAsia="IRNazanin" w:cs="IRNazanin"/>
          <w:lang w:bidi="fa-IR"/>
          <w:color w:val="111111"/>
          <w:sz w:val="28"/>
          <w:szCs w:val="28"/>
          <w:rtl/>
        </w:rPr>
        <w:t xml:space="preserve">آغاز: برابر؛ انجام: فإن رآه خالية عن السهو و الخطا، فذلك من یمین همته العالية و إلا فالعذر واصح مما مر ذكره و أختم الكلامم هنا و لله الحمد ملهم العقل و مفيد الخير خط: نستعلیق، کا: جلال بن محمود متطبب، تا: ۹۱۳ق؛ کاغذ: شرقی، ۳گ (1-3)، ۲۱ سطر،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۳۶-۲۳۳]</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مجلس؛ شماره نسخه: ۱۰۰۵۵/۳۳</w:t>
      </w:r>
    </w:p>
    <w:p>
      <w:pPr>
        <w:pStyle w:val="BookText"/>
      </w:pPr>
      <w:r>
        <w:rPr>
          <w:rFonts w:ascii="IRNazanin" w:hAnsi="IRNazanin" w:eastAsia="IRNazanin" w:cs="IRNazanin"/>
          <w:lang w:bidi="fa-IR"/>
          <w:color w:val="111111"/>
          <w:sz w:val="28"/>
          <w:szCs w:val="28"/>
          <w:rtl/>
        </w:rPr>
        <w:t xml:space="preserve">آغاز: برابر؛ انجام: و هو اعلم و احكم و العلم عنده و لا يعلم الغيب الاهو ... تم بالخير خط: نسخ و نستعلیق، بی کا، تا: قرن ۱۱؛ مصحح؛ مجدول زرین و مرصع ؛ جلد: تیماج قهوه ای، مجدول، عطف و حاشیه تیماج قرمز، ۴ص (۳۲۹-۳۳۲)،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سم [ف: ۳۲-۷۱]</w:t>
      </w:r>
    </w:p>
    <w:p>
      <w:pPr>
        <w:pStyle w:val="BookText"/>
      </w:pPr>
      <w:r>
        <w:rPr>
          <w:rFonts w:ascii="IRNazanin" w:hAnsi="IRNazanin" w:eastAsia="IRNazanin" w:cs="IRNazanin"/>
          <w:lang w:bidi="fa-IR"/>
          <w:color w:val="111111"/>
          <w:sz w:val="28"/>
          <w:szCs w:val="28"/>
          <w:rtl/>
        </w:rPr>
        <w:t xml:space="preserve">۷. تهران؛ بیانی، مهدی (دکتر)؛ شماره نسخه: ۲۳۷/۲۸</w:t>
      </w:r>
    </w:p>
    <w:p>
      <w:pPr>
        <w:pStyle w:val="BookText"/>
      </w:pPr>
      <w:r>
        <w:rPr>
          <w:rFonts w:ascii="IRNazanin" w:hAnsi="IRNazanin" w:eastAsia="IRNazanin" w:cs="IRNazanin"/>
          <w:lang w:bidi="fa-IR"/>
          <w:color w:val="111111"/>
          <w:sz w:val="28"/>
          <w:szCs w:val="28"/>
          <w:rtl/>
        </w:rPr>
        <w:t xml:space="preserve">بی کا، تا: قرن ۱۱؛ قطع: ربعی [نشریه: ۶-۶۹۴]</w:t>
      </w:r>
    </w:p>
    <w:p>
      <w:pPr>
        <w:pStyle w:val="BookText"/>
      </w:pPr>
      <w:r>
        <w:rPr>
          <w:rFonts w:ascii="IRNazanin" w:hAnsi="IRNazanin" w:eastAsia="IRNazanin" w:cs="IRNazanin"/>
          <w:lang w:bidi="fa-IR"/>
          <w:color w:val="111111"/>
          <w:sz w:val="28"/>
          <w:szCs w:val="28"/>
          <w:rtl/>
        </w:rPr>
        <w:t xml:space="preserve">۸. تهران: دانشگاه؛ شماره نسخه: ۳۴۴۳/۵</w:t>
      </w:r>
    </w:p>
    <w:p>
      <w:pPr>
        <w:pStyle w:val="BookText"/>
      </w:pPr>
      <w:r>
        <w:rPr>
          <w:rFonts w:ascii="IRNazanin" w:hAnsi="IRNazanin" w:eastAsia="IRNazanin" w:cs="IRNazanin"/>
          <w:lang w:bidi="fa-IR"/>
          <w:color w:val="111111"/>
          <w:sz w:val="28"/>
          <w:szCs w:val="28"/>
          <w:rtl/>
        </w:rPr>
        <w:t xml:space="preserve">خط: نستعلیق، بی کا، تا: قرن ۱۱، کاغذ: سپاهانی و فرنگی، جلد: تیماج زرد ضربی مقوایی، ۸گ (۱۳۳ - ۱۴۰)، ۱۳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۱۱-۲۴۵۳]</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دانشگاه؛ شماره نسخه: ۳۹۰۱/۱</w:t>
      </w:r>
    </w:p>
    <w:p>
      <w:pPr>
        <w:pStyle w:val="BookText"/>
      </w:pPr>
      <w:r>
        <w:rPr>
          <w:rFonts w:ascii="IRNazanin" w:hAnsi="IRNazanin" w:eastAsia="IRNazanin" w:cs="IRNazanin"/>
          <w:lang w:bidi="fa-IR"/>
          <w:color w:val="111111"/>
          <w:sz w:val="28"/>
          <w:szCs w:val="28"/>
          <w:rtl/>
        </w:rPr>
        <w:t xml:space="preserve">خط: نستعلیق، کا: محمد مؤمن جديد الاسلام کشمیری، تا: قرن ۱۱؛ کاغذ: فرنگی، جلد: تیماج عنابی ضربی، ۲ ص (۱-۲)، چلیپا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۱۲-۲۸۸۸]</w:t>
      </w:r>
    </w:p>
    <w:p>
      <w:pPr>
        <w:pStyle w:val="BookText"/>
      </w:pPr>
      <w:r>
        <w:rPr>
          <w:rFonts w:ascii="IRNazanin" w:hAnsi="IRNazanin" w:eastAsia="IRNazanin" w:cs="IRNazanin"/>
          <w:lang w:bidi="fa-IR"/>
          <w:color w:val="111111"/>
          <w:sz w:val="28"/>
          <w:szCs w:val="28"/>
          <w:rtl/>
        </w:rPr>
        <w:t xml:space="preserve">۱۰. تهران؛ مجلس؛ شماره نسخه: ۵۲۸۳/۴۰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۱۱؛ ۳ص (۹۹ر -۹۹پ و ۱۰۰ر) [ف:۱۹۱-۱۶]</w:t>
      </w:r>
    </w:p>
    <w:p>
      <w:pPr>
        <w:pStyle w:val="BookText"/>
      </w:pPr>
      <w:r>
        <w:rPr>
          <w:rFonts w:ascii="IRNazanin" w:hAnsi="IRNazanin" w:eastAsia="IRNazanin" w:cs="IRNazanin"/>
          <w:lang w:bidi="fa-IR"/>
          <w:color w:val="111111"/>
          <w:sz w:val="28"/>
          <w:szCs w:val="28"/>
          <w:rtl/>
        </w:rPr>
        <w:t xml:space="preserve">۱۱. همدان؛ مدرسه غرب؛ شماره نسخه: ۱۱۸۷/۴۶</w:t>
      </w:r>
    </w:p>
    <w:p>
      <w:pPr>
        <w:pStyle w:val="BookText"/>
      </w:pPr>
      <w:r>
        <w:rPr>
          <w:rFonts w:ascii="IRNazanin" w:hAnsi="IRNazanin" w:eastAsia="IRNazanin" w:cs="IRNazanin"/>
          <w:lang w:bidi="fa-IR"/>
          <w:color w:val="111111"/>
          <w:sz w:val="28"/>
          <w:szCs w:val="28"/>
          <w:rtl/>
        </w:rPr>
        <w:t xml:space="preserve">خط: نسخ، بی کا، تا: قرن ۱۰ و ۱۱؛ با سر لوحهای زرین؛ کاغذ: اصفهانی نازک، ۳گی ۲۲۰-۲۲۲پ)، ۴۲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[رشت و همدان: ف: ۱۴۷۴]</w:t>
      </w:r>
    </w:p>
    <w:p>
      <w:pPr>
        <w:pStyle w:val="BookText"/>
      </w:pPr>
      <w:r>
        <w:rPr>
          <w:rFonts w:ascii="IRNazanin" w:hAnsi="IRNazanin" w:eastAsia="IRNazanin" w:cs="IRNazanin"/>
          <w:lang w:bidi="fa-IR"/>
          <w:color w:val="111111"/>
          <w:sz w:val="28"/>
          <w:szCs w:val="28"/>
          <w:rtl/>
        </w:rPr>
        <w:t xml:space="preserve">۱۲. تهران؛ مجلس؛ شماره نسخه: ۲۹۳۸/۲۰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بی کا، تا: قرن ۱۱؛ کاغذ: اصفهانی، جلد: تیماج مهر قرمز، ۵ص (۱۴۰-۱۴۴)، ۲۰ سطر، قطع: رقعی،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۱۰-۳۵۸]</w:t>
      </w:r>
    </w:p>
    <w:p>
      <w:pPr>
        <w:pStyle w:val="BookText"/>
      </w:pPr>
      <w:r>
        <w:rPr>
          <w:rFonts w:ascii="IRNazanin" w:hAnsi="IRNazanin" w:eastAsia="IRNazanin" w:cs="IRNazanin"/>
          <w:lang w:bidi="fa-IR"/>
          <w:color w:val="111111"/>
          <w:sz w:val="28"/>
          <w:szCs w:val="28"/>
          <w:rtl/>
        </w:rPr>
        <w:t xml:space="preserve">۱۳. تهران، دانشگاه؛ شماره نسخه: ۸۷۶/۱۰</w:t>
      </w:r>
    </w:p>
    <w:p>
      <w:pPr>
        <w:pStyle w:val="BookText"/>
      </w:pPr>
      <w:r>
        <w:rPr>
          <w:rFonts w:ascii="IRNazanin" w:hAnsi="IRNazanin" w:eastAsia="IRNazanin" w:cs="IRNazanin"/>
          <w:lang w:bidi="fa-IR"/>
          <w:color w:val="111111"/>
          <w:sz w:val="28"/>
          <w:szCs w:val="28"/>
          <w:rtl/>
        </w:rPr>
        <w:t xml:space="preserve">خط: شکسته نستعلیق، بی کا، تا: شب دوشنبه ربيع الاول ۱۰۳۶ق؛ گ (۷۶ب تا ۸۱ الف)[ف: ۳-۱۶۲]</w:t>
      </w:r>
    </w:p>
    <w:p>
      <w:pPr>
        <w:pStyle w:val="BookText"/>
      </w:pPr>
      <w:r>
        <w:rPr>
          <w:rFonts w:ascii="IRNazanin" w:hAnsi="IRNazanin" w:eastAsia="IRNazanin" w:cs="IRNazanin"/>
          <w:lang w:bidi="fa-IR"/>
          <w:color w:val="111111"/>
          <w:sz w:val="28"/>
          <w:szCs w:val="28"/>
          <w:rtl/>
        </w:rPr>
        <w:t xml:space="preserve">۱۴. تهران؛ مجلس؛ شماره نسخه: ۱۲۱۹/۱۳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ریز، بی کا، تا: ۱۰۴۶ق، کاغذ: فرنگی نازک و کهنه، جلد: تیماج مشکی، ۴ص (۱۶۹-۱۷۲)، ۲۳ سطر، قطع: وزیری اندازه: ۱۲/۵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 سم [ف: ۴-۱۴۶]</w:t>
      </w:r>
    </w:p>
    <w:p>
      <w:pPr>
        <w:pStyle w:val="BookText"/>
      </w:pPr>
      <w:r>
        <w:rPr>
          <w:rFonts w:ascii="IRNazanin" w:hAnsi="IRNazanin" w:eastAsia="IRNazanin" w:cs="IRNazanin"/>
          <w:lang w:bidi="fa-IR"/>
          <w:color w:val="111111"/>
          <w:sz w:val="28"/>
          <w:szCs w:val="28"/>
          <w:rtl/>
        </w:rPr>
        <w:t xml:space="preserve">۱۵. قم؛ مرعشی؛ شماره نسخه: ۵۱۰۱/۷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باقر بن محمد تقی (علامه مجلسی)، تا: ۱۰۵۷ق، جان اصفهان؛ کاغذ: شرقی نخودی، جلد: تیماج قهوه ای بدون مقوا، ۴گ (۶۱پ -۶۴پ)،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۱۳-۳۰۵]</w:t>
      </w:r>
    </w:p>
    <w:p>
      <w:pPr>
        <w:pStyle w:val="BookText"/>
      </w:pPr>
      <w:r>
        <w:rPr>
          <w:rFonts w:ascii="IRNazanin" w:hAnsi="IRNazanin" w:eastAsia="IRNazanin" w:cs="IRNazanin"/>
          <w:lang w:bidi="fa-IR"/>
          <w:color w:val="111111"/>
          <w:sz w:val="28"/>
          <w:szCs w:val="28"/>
          <w:rtl/>
        </w:rPr>
        <w:t xml:space="preserve">۱۶. تهران، دانشگاه؛ شماره نسخه: ۶۶۱۶/۳۲</w:t>
      </w:r>
    </w:p>
    <w:p>
      <w:pPr>
        <w:pStyle w:val="BookText"/>
      </w:pPr>
      <w:r>
        <w:rPr>
          <w:rFonts w:ascii="IRNazanin" w:hAnsi="IRNazanin" w:eastAsia="IRNazanin" w:cs="IRNazanin"/>
          <w:lang w:bidi="fa-IR"/>
          <w:color w:val="111111"/>
          <w:sz w:val="28"/>
          <w:szCs w:val="28"/>
          <w:rtl/>
        </w:rPr>
        <w:t xml:space="preserve">خط: نستعلیق، بی کا، تا: ۱۰۷۱ق، کاغذ: سپاهانی، جلد: تیماج تریاکی ضربی مقوایی، ۲گ (۱۲۲پ -۱۲۳پ)، ۲۷ سطر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قطع: رحلی،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۱۶-۳۱۱]</w:t>
      </w:r>
    </w:p>
    <w:p>
      <w:pPr>
        <w:pStyle w:val="BookText"/>
      </w:pPr>
      <w:r>
        <w:rPr>
          <w:rFonts w:ascii="IRNazanin" w:hAnsi="IRNazanin" w:eastAsia="IRNazanin" w:cs="IRNazanin"/>
          <w:lang w:bidi="fa-IR"/>
          <w:color w:val="111111"/>
          <w:sz w:val="28"/>
          <w:szCs w:val="28"/>
          <w:rtl/>
        </w:rPr>
        <w:t xml:space="preserve">۱۷. تهران؛ مجلس؛ شماره نسخه: ۱۵۵۳۶/۱۵</w:t>
      </w:r>
    </w:p>
    <w:p>
      <w:pPr>
        <w:pStyle w:val="BookText"/>
      </w:pPr>
      <w:r>
        <w:rPr>
          <w:rFonts w:ascii="IRNazanin" w:hAnsi="IRNazanin" w:eastAsia="IRNazanin" w:cs="IRNazanin"/>
          <w:lang w:bidi="fa-IR"/>
          <w:color w:val="111111"/>
          <w:sz w:val="28"/>
          <w:szCs w:val="28"/>
          <w:rtl/>
        </w:rPr>
        <w:t xml:space="preserve">آغاز: برابر خط: نستعلیق، کا: محمد رضا بن حمید، تا با تاریخ ۱۰۸۹ق؛ جلد: تیماج كرم، عطف و لبه ها تیماج قهوه ای درون روکش کاغذی آبی، ۵ ص (۱۵۱–۱۵۵)، ۱۴-۱۹ سطر، اندازه: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۲۰/۸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۱۵/۸ سم [ف: ۴۳-۱۴۹]</w:t>
      </w:r>
    </w:p>
    <w:p>
      <w:pPr>
        <w:pStyle w:val="BookText"/>
      </w:pPr>
      <w:r>
        <w:rPr>
          <w:rFonts w:ascii="IRNazanin" w:hAnsi="IRNazanin" w:eastAsia="IRNazanin" w:cs="IRNazanin"/>
          <w:lang w:bidi="fa-IR"/>
          <w:color w:val="111111"/>
          <w:sz w:val="28"/>
          <w:szCs w:val="28"/>
          <w:rtl/>
        </w:rPr>
        <w:t xml:space="preserve">۱۸. مشهد؛ رضوی؛ شماره نسخه: ض ۱۲۰۲۴</w:t>
      </w:r>
    </w:p>
    <w:p>
      <w:pPr>
        <w:pStyle w:val="BookText"/>
      </w:pPr>
      <w:r>
        <w:rPr>
          <w:rFonts w:ascii="IRNazanin" w:hAnsi="IRNazanin" w:eastAsia="IRNazanin" w:cs="IRNazanin"/>
          <w:lang w:bidi="fa-IR"/>
          <w:color w:val="111111"/>
          <w:sz w:val="28"/>
          <w:szCs w:val="28"/>
          <w:rtl/>
        </w:rPr>
        <w:t xml:space="preserve">خط: نستعلیق، بی کا، تا: ۱۰۹۲ق [الفبائی: 90]</w:t>
      </w:r>
    </w:p>
    <w:p>
      <w:pPr>
        <w:pStyle w:val="BookText"/>
      </w:pPr>
      <w:r>
        <w:rPr>
          <w:rFonts w:ascii="IRNazanin" w:hAnsi="IRNazanin" w:eastAsia="IRNazanin" w:cs="IRNazanin"/>
          <w:lang w:bidi="fa-IR"/>
          <w:color w:val="111111"/>
          <w:sz w:val="28"/>
          <w:szCs w:val="28"/>
          <w:rtl/>
        </w:rPr>
        <w:t xml:space="preserve">۱۹. مشهد؛ رضوی؛ شماره نسخه: ۱۲۰۸۴/۲</w:t>
      </w:r>
    </w:p>
    <w:p>
      <w:pPr>
        <w:pStyle w:val="BookText"/>
      </w:pPr>
      <w:r>
        <w:rPr>
          <w:rFonts w:ascii="IRNazanin" w:hAnsi="IRNazanin" w:eastAsia="IRNazanin" w:cs="IRNazanin"/>
          <w:lang w:bidi="fa-IR"/>
          <w:color w:val="111111"/>
          <w:sz w:val="28"/>
          <w:szCs w:val="28"/>
          <w:rtl/>
        </w:rPr>
        <w:t xml:space="preserve">خط: نستعلیق خوش، بی کا، تا: ۱۰۹۲ق، دارای پیشانی؛ کاغذ: آهار مهره حنایی و شکری، جلد: تیماج خرمایی، ۱۱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۱۱-۳۱۹]</w:t>
      </w:r>
    </w:p>
    <w:p>
      <w:pPr>
        <w:pStyle w:val="BookText"/>
      </w:pPr>
      <w:r>
        <w:rPr>
          <w:rFonts w:ascii="IRNazanin" w:hAnsi="IRNazanin" w:eastAsia="IRNazanin" w:cs="IRNazanin"/>
          <w:lang w:bidi="fa-IR"/>
          <w:color w:val="111111"/>
          <w:sz w:val="28"/>
          <w:szCs w:val="28"/>
          <w:rtl/>
        </w:rPr>
        <w:t xml:space="preserve">۲۰. قم؛ مرکز احیاء؛ شماره نسخه: ۴۰۵۰/۲۱</w:t>
      </w:r>
    </w:p>
    <w:p>
      <w:pPr>
        <w:pStyle w:val="BookText"/>
      </w:pPr>
      <w:r>
        <w:rPr>
          <w:rFonts w:ascii="Amiri" w:hAnsi="Amiri" w:eastAsia="Amiri" w:cs="Amiri"/>
          <w:lang w:bidi="ar-SA"/>
          <w:color w:val="111111"/>
          <w:sz w:val="28"/>
          <w:szCs w:val="28"/>
          <w:rtl/>
        </w:rPr>
        <w:t xml:space="preserve">آغاز: برابر؛ انجام: و اذا ثبت أن النفس ليست تصورة للبدن و الاعرض حال فيه و لابحركته من حال و محل ثبت أن الفناء لايجوز عليها البتة.</w:t>
      </w:r>
    </w:p>
    <w:p>
      <w:pPr>
        <w:pStyle w:val="BookText"/>
      </w:pPr>
      <w:r>
        <w:rPr>
          <w:rFonts w:ascii="IRNazanin" w:hAnsi="IRNazanin" w:eastAsia="IRNazanin" w:cs="IRNazanin"/>
          <w:lang w:bidi="fa-IR"/>
          <w:color w:val="111111"/>
          <w:sz w:val="28"/>
          <w:szCs w:val="28"/>
          <w:rtl/>
        </w:rPr>
        <w:t xml:space="preserve">خط: نستعلیق، بی کا، تا: قرن ۱۲؛ فاقد جلد، ۲گ (۸۳پ -۸۴پ)، اندازه: ۱۲/۵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سم [محدث ارموی مخ: ۱-۲۵۹]</w:t>
      </w:r>
    </w:p>
    <w:p>
      <w:pPr>
        <w:pStyle w:val="BookText"/>
      </w:pPr>
      <w:r>
        <w:rPr>
          <w:rFonts w:ascii="IRNazanin" w:hAnsi="IRNazanin" w:eastAsia="IRNazanin" w:cs="IRNazanin"/>
          <w:lang w:bidi="fa-IR"/>
          <w:color w:val="111111"/>
          <w:sz w:val="28"/>
          <w:szCs w:val="28"/>
          <w:rtl/>
        </w:rPr>
        <w:t xml:space="preserve">۲۱. مشهد؛ رضوی؛ شماره نسخه: ۲۱۲۶۴</w:t>
      </w:r>
    </w:p>
    <w:p>
      <w:pPr>
        <w:pStyle w:val="BookText"/>
      </w:pPr>
      <w:r>
        <w:rPr>
          <w:rFonts w:ascii="IRNazanin" w:hAnsi="IRNazanin" w:eastAsia="IRNazanin" w:cs="IRNazanin"/>
          <w:lang w:bidi="fa-IR"/>
          <w:color w:val="111111"/>
          <w:sz w:val="28"/>
          <w:szCs w:val="28"/>
          <w:rtl/>
        </w:rPr>
        <w:t xml:space="preserve">آغاز: رساله في بقاء النفس لنصير الملل و الدين محمد بن الطوسی؛ انجام: محل واحد في زمان واحد من جهته واحده المضافان خط: نستعلیق شکسته، بی کا، تا: ۱۱۰۲ق؛ اهدایی: رهبری، ۱۳۷۳؛ کاغذ: شکری، جلد: تیماج، ۲۱سطر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[رایانه]</w:t>
      </w:r>
    </w:p>
    <w:p>
      <w:pPr>
        <w:pStyle w:val="BookText"/>
      </w:pPr>
      <w:r>
        <w:rPr>
          <w:rFonts w:ascii="IRNazanin" w:hAnsi="IRNazanin" w:eastAsia="IRNazanin" w:cs="IRNazanin"/>
          <w:lang w:bidi="fa-IR"/>
          <w:color w:val="111111"/>
          <w:sz w:val="28"/>
          <w:szCs w:val="28"/>
          <w:rtl/>
        </w:rPr>
        <w:t xml:space="preserve">۲۲. تهران؛ مجلس؛ شماره نسخه: ۱۲۰۷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تا: ذیحجه ۱۲۳۳ق؛ ۳ص (۸۴-۸۶) [ف: ۴-۲۰۶]</w:t>
      </w:r>
    </w:p>
    <w:p>
      <w:pPr>
        <w:pStyle w:val="BookText"/>
      </w:pPr>
      <w:r>
        <w:rPr>
          <w:rFonts w:ascii="IRNazanin" w:hAnsi="IRNazanin" w:eastAsia="IRNazanin" w:cs="IRNazanin"/>
          <w:lang w:bidi="fa-IR"/>
          <w:color w:val="111111"/>
          <w:sz w:val="28"/>
          <w:szCs w:val="28"/>
          <w:rtl/>
        </w:rPr>
        <w:t xml:space="preserve">۲۳. قم؛ مرعشی؛ شماره نسخه: ۱۰۰۴۸/۱</w:t>
      </w:r>
    </w:p>
    <w:p>
      <w:pPr>
        <w:pStyle w:val="BookText"/>
      </w:pPr>
      <w:r>
        <w:rPr>
          <w:rFonts w:ascii="IRNazanin" w:hAnsi="IRNazanin" w:eastAsia="IRNazanin" w:cs="IRNazanin"/>
          <w:lang w:bidi="fa-IR"/>
          <w:color w:val="111111"/>
          <w:sz w:val="28"/>
          <w:szCs w:val="28"/>
          <w:rtl/>
        </w:rPr>
        <w:t xml:space="preserve">خط: نستعلیق، كا: فرج الله بن هاشم حسینی علوی فاطمی، تا: ذیحجه ۱۲۹۳ق؛ قطع: جانمازی آمیراث شهاب: س ش ۲-۱۷]</w:t>
      </w:r>
    </w:p>
    <w:p>
      <w:pPr>
        <w:pStyle w:val="BookText"/>
      </w:pPr>
      <w:r>
        <w:rPr>
          <w:rFonts w:ascii="IRNazanin" w:hAnsi="IRNazanin" w:eastAsia="IRNazanin" w:cs="IRNazanin"/>
          <w:lang w:bidi="fa-IR"/>
          <w:color w:val="111111"/>
          <w:sz w:val="28"/>
          <w:szCs w:val="28"/>
          <w:rtl/>
        </w:rPr>
        <w:t xml:space="preserve">۲۴. قم؛ مرکز احیاء؛ شماره نسخه: ۱۷۸۰/۹</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نسخه اصل: کتابخانه مدرسه بروجردی - کرمانشاه ۱۱۹؛ خط: نسخ، کا: محمد باقر بن محمد حسن بروجنی، تا: با تاریخ ۱۲۹۵ق؛ ۴ص (۲۳۴-۲۳۷) [عکسی ف: ۵-۲۴۱]</w:t>
      </w:r>
    </w:p>
    <w:p>
      <w:pPr>
        <w:pStyle w:val="BookText"/>
      </w:pPr>
      <w:r>
        <w:rPr>
          <w:rFonts w:ascii="IRNazanin" w:hAnsi="IRNazanin" w:eastAsia="IRNazanin" w:cs="IRNazanin"/>
          <w:lang w:bidi="fa-IR"/>
          <w:color w:val="111111"/>
          <w:sz w:val="28"/>
          <w:szCs w:val="28"/>
          <w:rtl/>
        </w:rPr>
        <w:t xml:space="preserve">۲۵. قم؛ طبسی؛ شماره نسخه: ۳۱۴/۱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سعید حسینی حائری، تا: اواخر ربيع الثانی ۱۳۳۶ق، جلد: تیماج قهوه ای، مجدول گرهی با ترنج و سرترنج، ۵گ، ۱۷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مخ: ۱-۷۵)</w:t>
      </w:r>
    </w:p>
    <w:p>
      <w:pPr>
        <w:pStyle w:val="BookText"/>
      </w:pPr>
      <w:r>
        <w:rPr>
          <w:rFonts w:ascii="IRNazanin" w:hAnsi="IRNazanin" w:eastAsia="IRNazanin" w:cs="IRNazanin"/>
          <w:lang w:bidi="fa-IR"/>
          <w:color w:val="111111"/>
          <w:sz w:val="28"/>
          <w:szCs w:val="28"/>
          <w:rtl/>
        </w:rPr>
        <w:t xml:space="preserve">۲۶. تهران؛ مجلس؛ شماره نسخه: ۱۰۰۰۵/۶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تحریری، بی کا، تا: ۱۳۳۶ق؛ جلد: تیماج مشکی، ۳ص (۵۷ ۵۹)، ۲۰-۱۹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۳۲-۱۷]</w:t>
      </w:r>
    </w:p>
    <w:p>
      <w:pPr>
        <w:pStyle w:val="BookText"/>
      </w:pPr>
      <w:r>
        <w:rPr>
          <w:rFonts w:ascii="IRNazanin" w:hAnsi="IRNazanin" w:eastAsia="IRNazanin" w:cs="IRNazanin"/>
          <w:lang w:bidi="fa-IR"/>
          <w:color w:val="111111"/>
          <w:sz w:val="28"/>
          <w:szCs w:val="28"/>
          <w:rtl/>
        </w:rPr>
        <w:t xml:space="preserve">۲۷. قم؛ مرعشی؛ شماره نسخه: ۱۳/۱۵ ۱۵1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سید اسدالله صفوی ماسالی مصطفوی، تا: ۱۳۶۳ق؛ کاغذ: فرنگی، ۲گی (۵۱-۵۲)، ۲۳ سطر، اندازه: ۱۴۶۸سم [ف: ۳۰۲-۳۸ ]</w:t>
      </w:r>
    </w:p>
    <w:p>
      <w:pPr>
        <w:pStyle w:val="BookText"/>
      </w:pPr>
      <w:r>
        <w:rPr>
          <w:rFonts w:ascii="IRNazanin" w:hAnsi="IRNazanin" w:eastAsia="IRNazanin" w:cs="IRNazanin"/>
          <w:lang w:bidi="fa-IR"/>
          <w:color w:val="111111"/>
          <w:sz w:val="28"/>
          <w:szCs w:val="28"/>
          <w:rtl/>
        </w:rPr>
        <w:t xml:space="preserve">۲۸. تهران؛ مجلس؛ شماره نسخه: ۱۹۲۴/۶</w:t>
      </w:r>
    </w:p>
    <w:p>
      <w:pPr>
        <w:pStyle w:val="BookText"/>
      </w:pPr>
      <w:r>
        <w:rPr>
          <w:rFonts w:ascii="IRNazanin" w:hAnsi="IRNazanin" w:eastAsia="IRNazanin" w:cs="IRNazanin"/>
          <w:lang w:bidi="fa-IR"/>
          <w:color w:val="111111"/>
          <w:sz w:val="28"/>
          <w:szCs w:val="28"/>
          <w:rtl/>
        </w:rPr>
        <w:t xml:space="preserve">آغاز و انجام: برابر؛ فلنعم المجلس الحالي المؤيدى ادام الله ايامه فيه، فان رآه خیاليا عن السو و الخطا فذلك من يمن همته العالية و الا فلنعذر ... مما ذكره ... الكلام عنها و لله الحمد ملهم العقل و مفيض الخير و الصلوة و السلام على سيدنا محمد و آله اجمعين الطيبين الطاهرین (در روز جمعه که يوم بیماری بود تحریر افتاد، ربیع الاول ۱۳۱۰) خط: شکسته نستعلیق، بی کا، تا: ۱۳۱۰ق؛ کاغذ: فرنگی آبی، ۸ص ( ۷۹-۷۲ )، ۱۴ سطر، قطع: نیم خشتی، اندازه: ۱۳/۵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۲۰/۵سم [ف: ۶۲۳-۹ ]</w:t>
      </w:r>
    </w:p>
    <w:p>
      <w:pPr>
        <w:pStyle w:val="BookText"/>
      </w:pPr>
      <w:r>
        <w:rPr>
          <w:rFonts w:ascii="IRNazanin" w:hAnsi="IRNazanin" w:eastAsia="IRNazanin" w:cs="IRNazanin"/>
          <w:lang w:bidi="fa-IR"/>
          <w:color w:val="111111"/>
          <w:sz w:val="28"/>
          <w:szCs w:val="28"/>
          <w:rtl/>
        </w:rPr>
        <w:t xml:space="preserve">۲۹. تهران، دانشگاه؛ شماره نسخه: ۸۷۱/۲۲</w:t>
      </w:r>
    </w:p>
    <w:p>
      <w:pPr>
        <w:pStyle w:val="BookText"/>
      </w:pPr>
      <w:r>
        <w:rPr>
          <w:rFonts w:ascii="IRNazanin" w:hAnsi="IRNazanin" w:eastAsia="IRNazanin" w:cs="IRNazanin"/>
          <w:lang w:bidi="fa-IR"/>
          <w:color w:val="111111"/>
          <w:sz w:val="28"/>
          <w:szCs w:val="28"/>
          <w:rtl/>
        </w:rPr>
        <w:t xml:space="preserve">خط: تعليق، كا: محمد علی، تا: ۱۲۹۹ - ۱۳۰۱ ق ؛ ۴گ (۱۶۱ الف تا ۱۶۴ب) [ف: ۳-۱۶۲]</w:t>
      </w:r>
    </w:p>
    <w:p>
      <w:pPr>
        <w:pStyle w:val="BookText"/>
      </w:pPr>
      <w:r>
        <w:rPr>
          <w:rFonts w:ascii="IRNazanin" w:hAnsi="IRNazanin" w:eastAsia="IRNazanin" w:cs="IRNazanin"/>
          <w:lang w:bidi="fa-IR"/>
          <w:color w:val="111111"/>
          <w:sz w:val="28"/>
          <w:szCs w:val="28"/>
          <w:rtl/>
        </w:rPr>
        <w:t xml:space="preserve">۳۰. کرمانشاه؛ مدرسه آية الله بروجردی؛ شماره نسخه: ۱۱۹/۶ خط: نسخ خوب، کا: محمد باقر بن محمد حسن بروجنی، بی تا؛ جلد: تیماج مشکی، ۳گ (۱۳۰ - ۱۳۲پ)، ۲۳ سطر، اندازه: ۱۳/۵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۹۴]</w:t>
      </w:r>
    </w:p>
    <w:p>
      <w:pPr>
        <w:pStyle w:val="BookText"/>
      </w:pPr>
      <w:r>
        <w:rPr>
          <w:rFonts w:ascii="IRNazanin" w:hAnsi="IRNazanin" w:eastAsia="IRNazanin" w:cs="IRNazanin"/>
          <w:lang w:bidi="fa-IR"/>
          <w:color w:val="111111"/>
          <w:sz w:val="28"/>
          <w:szCs w:val="28"/>
          <w:rtl/>
        </w:rPr>
        <w:t xml:space="preserve">۳۱. تهران، دانشگاه، شماره نسخه: ۶۴۳/۲۶</w:t>
      </w:r>
    </w:p>
    <w:p>
      <w:pPr>
        <w:pStyle w:val="BookText"/>
      </w:pPr>
      <w:r>
        <w:rPr>
          <w:rFonts w:ascii="IRNazanin" w:hAnsi="IRNazanin" w:eastAsia="IRNazanin" w:cs="IRNazanin"/>
          <w:lang w:bidi="fa-IR"/>
          <w:color w:val="111111"/>
          <w:sz w:val="28"/>
          <w:szCs w:val="28"/>
          <w:rtl/>
        </w:rPr>
        <w:t xml:space="preserve">-ف نسخه اصل: بغداد لي وهبی ش ۲۰۲۳؛ خط: نستعلیق، بی کا، بی تا؛ گ (۱۴۷پ -۱۴۹پ) [فیلمها ف: ۱-۵۱۸]</w:t>
      </w:r>
    </w:p>
    <w:p>
      <w:pPr>
        <w:pStyle w:val="BookText"/>
      </w:pPr>
      <w:r>
        <w:rPr>
          <w:rFonts w:ascii="IRNazanin" w:hAnsi="IRNazanin" w:eastAsia="IRNazanin" w:cs="IRNazanin"/>
          <w:lang w:bidi="fa-IR"/>
          <w:color w:val="111111"/>
          <w:sz w:val="28"/>
          <w:szCs w:val="28"/>
          <w:rtl/>
        </w:rPr>
        <w:t xml:space="preserve">۳۲. تهران؛ دانشگاه؛ شماره نسخه: ۳۱۵۲/۶</w:t>
      </w:r>
    </w:p>
    <w:p>
      <w:pPr>
        <w:pStyle w:val="BookText"/>
      </w:pPr>
      <w:r>
        <w:rPr>
          <w:rFonts w:ascii="IRNazanin" w:hAnsi="IRNazanin" w:eastAsia="IRNazanin" w:cs="IRNazanin"/>
          <w:lang w:bidi="fa-IR"/>
          <w:color w:val="111111"/>
          <w:sz w:val="28"/>
          <w:szCs w:val="28"/>
          <w:rtl/>
        </w:rPr>
        <w:t xml:space="preserve">کا: مرتضی موسوی خوانساری، بی تا، کاغذ: فرنگی، جلد: تیماج سرخ ضربی مقوایی، ۶گ (۱۰۵-۱۱۰)، ۱۹ سطر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سم [ف: ۱۱-۲۱۰۸]</w:t>
      </w:r>
    </w:p>
    <w:p>
      <w:pPr>
        <w:pStyle w:val="BookText"/>
      </w:pPr>
      <w:r>
        <w:rPr>
          <w:rFonts w:ascii="IRNazanin" w:hAnsi="IRNazanin" w:eastAsia="IRNazanin" w:cs="IRNazanin"/>
          <w:lang w:bidi="fa-IR"/>
          <w:color w:val="111111"/>
          <w:sz w:val="28"/>
          <w:szCs w:val="28"/>
          <w:rtl/>
        </w:rPr>
        <w:t xml:space="preserve">۳۳. مشهد؛ ادبیات؛ شماره نسخه: ۲۲۸/۷</w:t>
      </w:r>
    </w:p>
    <w:p>
      <w:pPr>
        <w:pStyle w:val="BookText"/>
      </w:pPr>
      <w:r>
        <w:rPr>
          <w:rFonts w:ascii="IRNazanin" w:hAnsi="IRNazanin" w:eastAsia="IRNazanin" w:cs="IRNazanin"/>
          <w:lang w:bidi="fa-IR"/>
          <w:color w:val="111111"/>
          <w:sz w:val="28"/>
          <w:szCs w:val="28"/>
          <w:rtl/>
        </w:rPr>
        <w:t xml:space="preserve">فرخ خط: نسخ و نستعلیق، بی کا، بی تا، کاغذ: سپاهانی، جلد: تیماج سوخته عطف و لبه تیماج قهوه ای، ۴ ص (۱۲-۱۵)، قطع: رقعی، اندازه: ۱۱/۵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۱۹/۵ سم [ف: ۲۰۸]</w:t>
      </w:r>
    </w:p>
    <w:p>
      <w:pPr>
        <w:pStyle w:val="BookText"/>
      </w:pPr>
      <w:r>
        <w:rPr>
          <w:rFonts w:ascii="IRNazanin" w:hAnsi="IRNazanin" w:eastAsia="IRNazanin" w:cs="IRNazanin"/>
          <w:lang w:bidi="fa-IR"/>
          <w:color w:val="111111"/>
          <w:sz w:val="28"/>
          <w:szCs w:val="28"/>
          <w:rtl/>
        </w:rPr>
        <w:t xml:space="preserve">۳۴. تهران؛ دانشگاه؛ شماره نسخه: ۸۶۳/۲</w:t>
      </w:r>
    </w:p>
    <w:p>
      <w:pPr>
        <w:pStyle w:val="BookText"/>
      </w:pPr>
      <w:r>
        <w:rPr>
          <w:rFonts w:ascii="IRNazanin" w:hAnsi="IRNazanin" w:eastAsia="IRNazanin" w:cs="IRNazanin"/>
          <w:lang w:bidi="fa-IR"/>
          <w:color w:val="111111"/>
          <w:sz w:val="28"/>
          <w:szCs w:val="28"/>
          <w:rtl/>
        </w:rPr>
        <w:t xml:space="preserve">خط: شکسته تعليق، بی کا، بی تا؛ وگ ( وب تا برگ 17 الف). [ف: ۳-۱۶۱] ۳۵. شیراز؛ محلاتی، صدرالدین؛ شماره نسخه: ۱۷/۲۳ بی کا، بی تا [نشریه: ۵-۲۷۳]</w:t>
      </w:r>
    </w:p>
    <w:p>
      <w:pPr>
        <w:pStyle w:val="BookText"/>
      </w:pPr>
      <w:r>
        <w:rPr>
          <w:rFonts w:ascii="IRNazanin" w:hAnsi="IRNazanin" w:eastAsia="IRNazanin" w:cs="IRNazanin"/>
          <w:lang w:bidi="fa-IR"/>
          <w:color w:val="111111"/>
          <w:sz w:val="28"/>
          <w:szCs w:val="28"/>
          <w:rtl/>
        </w:rPr>
        <w:t xml:space="preserve">۳۶. اصفهان، دانشگاه؛ شماره نسخه: ۶۸۰/۹</w:t>
      </w:r>
    </w:p>
    <w:p>
      <w:pPr>
        <w:pStyle w:val="BookText"/>
      </w:pPr>
      <w:r>
        <w:rPr>
          <w:rFonts w:ascii="IRNazanin" w:hAnsi="IRNazanin" w:eastAsia="IRNazanin" w:cs="IRNazanin"/>
          <w:lang w:bidi="fa-IR"/>
          <w:color w:val="111111"/>
          <w:sz w:val="28"/>
          <w:szCs w:val="28"/>
          <w:rtl/>
        </w:rPr>
        <w:t xml:space="preserve">بی کا، بی تا؛ ۲گ (۲عر -۶۳پ)، اندازه: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۲۶/۵سم [ف: ۲-۵۲۶]</w:t>
      </w:r>
    </w:p>
    <w:p>
      <w:pPr>
        <w:pStyle w:val="BookText"/>
      </w:pPr>
      <w:r>
        <w:rPr>
          <w:rFonts w:ascii="IRNazanin" w:hAnsi="IRNazanin" w:eastAsia="IRNazanin" w:cs="IRNazanin"/>
          <w:lang w:bidi="fa-IR"/>
          <w:color w:val="111111"/>
          <w:sz w:val="28"/>
          <w:szCs w:val="28"/>
          <w:rtl/>
        </w:rPr>
        <w:t xml:space="preserve">← بقاء النفس بعد فناء الجسد ← بقاء النفس بعد خراب البدن</w:t>
      </w:r>
    </w:p>
    <w:p>
      <w:pPr>
        <w:pStyle w:val="BookText"/>
      </w:pPr>
      <w:r>
        <w:rPr>
          <w:rFonts w:ascii="Amiri" w:hAnsi="Amiri" w:eastAsia="Amiri" w:cs="Amiri"/>
          <w:lang w:bidi="ar-SA"/>
          <w:color w:val="111111"/>
          <w:sz w:val="28"/>
          <w:szCs w:val="28"/>
          <w:rtl/>
        </w:rPr>
        <w:t xml:space="preserve">←بقاء النفس الناطقة ← الجمل من الأدلة المحققة لبقاء النفس الناطقة</w:t>
      </w:r>
    </w:p>
    <w:p>
      <w:pPr>
        <w:pStyle w:val="BookText"/>
      </w:pPr>
      <w:r>
        <w:rPr>
          <w:rFonts w:ascii="Amiri" w:hAnsi="Amiri" w:eastAsia="Amiri" w:cs="Amiri"/>
          <w:lang w:bidi="ar-SA"/>
          <w:color w:val="111111"/>
          <w:sz w:val="28"/>
          <w:szCs w:val="28"/>
          <w:rtl/>
        </w:rPr>
        <w:t xml:space="preserve">← بقاء النفس الناطقة (ترجمه) ← الجمل من الأدلة المحققة لبقاء النفس الناطقة (ترجمه)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9" w:name="pg20363_209215"/>
    <w:bookmarkEnd w:id="59"/>
    <w:p>
      <w:pPr>
        <w:pStyle w:val="Heading3"/>
      </w:pPr>
      <w:bookmarkStart w:id="907" w:name="_Toc167"/>
      <w:r>
        <w:t>•الناطقة من الانسان / فلسفه / عربی</w:t>
      </w:r>
      <w:bookmarkEnd w:id="907"/>
    </w:p>
    <w:p>
      <w:pPr>
        <w:pStyle w:val="BookText"/>
      </w:pPr>
      <w:r>
        <w:rPr>
          <w:rFonts w:ascii="Times New Roman" w:hAnsi="Times New Roman" w:eastAsia="Times New Roman" w:cs="Times New Roman"/>
          <w:lang w:val="en-US" w:bidi="en-US"/>
          <w:color w:val="111111"/>
          <w:sz w:val="28"/>
          <w:szCs w:val="28"/>
          <w:rtl/>
        </w:rPr>
        <w:t xml:space="preserve">baqā'-un nafs-in nāțiqa min-al insān</w:t>
      </w:r>
    </w:p>
    <w:p>
      <w:pPr>
        <w:pStyle w:val="BookText"/>
      </w:pPr>
      <w:r>
        <w:rPr>
          <w:rFonts w:ascii="IRNazanin" w:hAnsi="IRNazanin" w:eastAsia="IRNazanin" w:cs="IRNazanin"/>
          <w:lang w:bidi="fa-IR"/>
          <w:color w:val="111111"/>
          <w:sz w:val="28"/>
          <w:szCs w:val="28"/>
          <w:rtl/>
        </w:rPr>
        <w:t xml:space="preserve">ابن خمار، حسن بن سوار، ۳۸۱-۴۸۹ قمری</w:t>
      </w:r>
    </w:p>
    <w:p>
      <w:pPr>
        <w:pStyle w:val="BookText"/>
      </w:pPr>
      <w:r>
        <w:rPr>
          <w:rFonts w:ascii="Times New Roman" w:hAnsi="Times New Roman" w:eastAsia="Times New Roman" w:cs="Times New Roman"/>
          <w:lang w:val="en-US" w:bidi="en-US"/>
          <w:color w:val="111111"/>
          <w:sz w:val="28"/>
          <w:szCs w:val="28"/>
          <w:rtl/>
        </w:rPr>
        <w:t xml:space="preserve">ebn-e xammār, hasan ebn-e savār (992-1097)</w:t>
      </w:r>
    </w:p>
    <w:p>
      <w:pPr>
        <w:pStyle w:val="BookText"/>
      </w:pPr>
      <w:r>
        <w:rPr>
          <w:rFonts w:ascii="IRNazanin" w:hAnsi="IRNazanin" w:eastAsia="IRNazanin" w:cs="IRNazanin"/>
          <w:lang w:bidi="fa-IR"/>
          <w:color w:val="111111"/>
          <w:sz w:val="28"/>
          <w:szCs w:val="28"/>
          <w:rtl/>
        </w:rPr>
        <w:t xml:space="preserve">تهران؛ مجلس؛ شماره نسخه: ۶۹۰۶/۲</w:t>
      </w:r>
    </w:p>
    <w:p>
      <w:pPr>
        <w:pStyle w:val="BookText"/>
      </w:pPr>
      <w:r>
        <w:rPr>
          <w:rFonts w:ascii="IRNazanin" w:hAnsi="IRNazanin" w:eastAsia="IRNazanin" w:cs="IRNazanin"/>
          <w:lang w:bidi="fa-IR"/>
          <w:color w:val="111111"/>
          <w:sz w:val="28"/>
          <w:szCs w:val="28"/>
          <w:rtl/>
        </w:rPr>
        <w:t xml:space="preserve">آغاز: قال ان ارسطوطاليس لما قال في كتاب النفس في المقالة الأولى منه فاما العقل فيشبه أن يكون جوهر اما يكون في الشيء و الايفسد فانه لو كان يفسد لكان حريا بذلك خاصة عن الكلال الذي يكون في الشيخوخة؛ انجام: و بما قلناه من صحة نظمها نتيجته وهي أن النفس الناطقة من الانسان غير فاسدة و ابدية و هو الذي اردنا بیانه.</w:t>
      </w:r>
    </w:p>
    <w:p>
      <w:pPr>
        <w:pStyle w:val="BookText"/>
      </w:pPr>
      <w:r>
        <w:rPr>
          <w:rFonts w:ascii="IRNazanin" w:hAnsi="IRNazanin" w:eastAsia="IRNazanin" w:cs="IRNazanin"/>
          <w:lang w:bidi="fa-IR"/>
          <w:color w:val="111111"/>
          <w:sz w:val="28"/>
          <w:szCs w:val="28"/>
          <w:rtl/>
        </w:rPr>
        <w:t xml:space="preserve">كا: عبدالباقی تبریزی مولوی، بی تاب؛ مصحح؛ جلد: تیماج قهوه ای، عطف و دور ترمیمی، ۸گ (۱۲ر-۱۹ر)، ۱۷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۲۰-۳۳۷]</w:t>
      </w:r>
    </w:p>
    <w:p>
      <w:pPr>
        <w:pStyle w:val="BookText"/>
      </w:pPr>
      <w:r>
        <w:rPr>
          <w:rFonts w:ascii="Amiri" w:hAnsi="Amiri" w:eastAsia="Amiri" w:cs="Amiri"/>
          <w:lang w:bidi="ar-SA"/>
          <w:color w:val="111111"/>
          <w:sz w:val="28"/>
          <w:szCs w:val="28"/>
          <w:rtl/>
        </w:rPr>
        <w:t xml:space="preserve">←بقايا الأطياب في تتمة الكنى و الالقاب ← حدائق الشريعة في تراجم علماء الشيعة</w:t>
      </w:r>
    </w:p>
    <w:p>
      <w:pPr>
        <w:pStyle w:val="Heading3"/>
      </w:pPr>
      <w:bookmarkStart w:id="908" w:name="_Toc168"/>
      <w:r>
        <w:t>•بقای نفس عاقله = جدائی جان و تن = بقای نفس ناطقه / فلسفه / فارسی</w:t>
      </w:r>
      <w:bookmarkEnd w:id="908"/>
    </w:p>
    <w:p>
      <w:pPr>
        <w:pStyle w:val="BookText"/>
      </w:pPr>
      <w:r>
        <w:rPr>
          <w:rFonts w:ascii="Times New Roman" w:hAnsi="Times New Roman" w:eastAsia="Times New Roman" w:cs="Times New Roman"/>
          <w:lang w:val="en-US" w:bidi="en-US"/>
          <w:color w:val="111111"/>
          <w:sz w:val="28"/>
          <w:szCs w:val="28"/>
          <w:rtl/>
        </w:rPr>
        <w:t xml:space="preserve">baqā-ye nafs-e ‘āqele = jodā’1-ye jān va tan = baqā-ye nafs-e nāteqe</w:t>
      </w:r>
    </w:p>
    <w:p>
      <w:pPr>
        <w:pStyle w:val="BookText"/>
      </w:pPr>
      <w:r>
        <w:rPr>
          <w:rFonts w:ascii="IRNazanin" w:hAnsi="IRNazanin" w:eastAsia="IRNazanin" w:cs="IRNazanin"/>
          <w:lang w:bidi="fa-IR"/>
          <w:color w:val="111111"/>
          <w:sz w:val="28"/>
          <w:szCs w:val="28"/>
          <w:rtl/>
        </w:rPr>
        <w:t xml:space="preserve">بابا افضل کاشانی، محمد بن حسین، -۶۶۷؟ قمری</w:t>
      </w:r>
    </w:p>
    <w:p>
      <w:pPr>
        <w:pStyle w:val="BookText"/>
      </w:pPr>
      <w:r>
        <w:rPr>
          <w:rFonts w:ascii="Times New Roman" w:hAnsi="Times New Roman" w:eastAsia="Times New Roman" w:cs="Times New Roman"/>
          <w:lang w:val="en-US" w:bidi="en-US"/>
          <w:color w:val="111111"/>
          <w:sz w:val="28"/>
          <w:szCs w:val="28"/>
          <w:rtl/>
        </w:rPr>
        <w:t xml:space="preserve">bābā afzal-e kāšānī, mohammad ebn-e hoseyn (- 1269)</w:t>
      </w:r>
    </w:p>
    <w:p>
      <w:pPr>
        <w:pStyle w:val="BookText"/>
      </w:pPr>
      <w:r>
        <w:rPr>
          <w:rFonts w:ascii="IRNazanin" w:hAnsi="IRNazanin" w:eastAsia="IRNazanin" w:cs="IRNazanin"/>
          <w:lang w:bidi="fa-IR"/>
          <w:color w:val="111111"/>
          <w:sz w:val="28"/>
          <w:szCs w:val="28"/>
          <w:rtl/>
        </w:rPr>
        <w:t xml:space="preserve">گفتاری کوتاه است درباره نحوه جدایی انواع نفوس (نباتی، حیوانی و انسانی) از جسم، و اینکه چون نفس عاقله فاقد آلت است، با از بین رفتن آلت جسمانی نه خود نفس عاقله و نه فعلش باطل نمی گردد.</w:t>
      </w:r>
    </w:p>
    <w:p>
      <w:pPr>
        <w:pStyle w:val="BookText"/>
      </w:pPr>
      <w:r>
        <w:rPr>
          <w:rFonts w:ascii="IRNazanin" w:hAnsi="IRNazanin" w:eastAsia="IRNazanin" w:cs="IRNazanin"/>
          <w:lang w:bidi="fa-IR"/>
          <w:color w:val="111111"/>
          <w:sz w:val="28"/>
          <w:szCs w:val="28"/>
          <w:rtl/>
        </w:rPr>
        <w:t xml:space="preserve">آغاز: بدان که جمله نفوس اعني نفوس نباتی و نفوس حیوانی و نفوس مردم همه جدایند از اجسام، جدایی عقلي، لكن هریکی را جدایی بگونه ای بود: اما نفس نباتی از جسم نبات جداست</w:t>
      </w:r>
    </w:p>
    <w:p>
      <w:pPr>
        <w:pStyle w:val="BookText"/>
      </w:pPr>
      <w:r>
        <w:rPr>
          <w:rFonts w:ascii="IRNazanin" w:hAnsi="IRNazanin" w:eastAsia="IRNazanin" w:cs="IRNazanin"/>
          <w:lang w:bidi="fa-IR"/>
          <w:color w:val="111111"/>
          <w:sz w:val="28"/>
          <w:szCs w:val="28"/>
          <w:rtl/>
        </w:rPr>
        <w:t xml:space="preserve">انجام: چون آلت جسمانی باطل گردد و تباه، تفس عاقله نه خود باطل گردد و نه فعلش، و نه تباه شود. و لله الحمد حمد الشاکرین، الصلاة على محمد و آله الطاهرين اجمعين و سلم تسليما كثيرا.</w:t>
      </w:r>
    </w:p>
    <w:p>
      <w:pPr>
        <w:pStyle w:val="BookText"/>
      </w:pPr>
      <w:r>
        <w:rPr>
          <w:rFonts w:ascii="IRNazanin" w:hAnsi="IRNazanin" w:eastAsia="IRNazanin" w:cs="IRNazanin"/>
          <w:lang w:bidi="fa-IR"/>
          <w:color w:val="111111"/>
          <w:sz w:val="28"/>
          <w:szCs w:val="28"/>
          <w:rtl/>
        </w:rPr>
        <w:t xml:space="preserve">چاپ: مصنفات افضل الدين محمد مرقی کاشانی، به تصحیح مجتبی مینوی و یحیی مهدوی (تهران، خوارزمی: ۱۳۶۶ (چاپ دوم)) (ص ۶۲۲-۶۲۳)</w:t>
      </w:r>
    </w:p>
    <w:p>
      <w:pPr>
        <w:pStyle w:val="BookText"/>
      </w:pPr>
      <w:r>
        <w:rPr>
          <w:rFonts w:ascii="IRNazanin" w:hAnsi="IRNazanin" w:eastAsia="IRNazanin" w:cs="IRNazanin"/>
          <w:lang w:bidi="fa-IR"/>
          <w:color w:val="111111"/>
          <w:sz w:val="28"/>
          <w:szCs w:val="28"/>
          <w:rtl/>
        </w:rPr>
        <w:t xml:space="preserve">[فهرستواره منزوی ۱۲۷/۶ ]</w:t>
      </w:r>
    </w:p>
    <w:p>
      <w:pPr>
        <w:pStyle w:val="BookText"/>
      </w:pPr>
      <w:r>
        <w:rPr>
          <w:rFonts w:ascii="IRNazanin" w:hAnsi="IRNazanin" w:eastAsia="IRNazanin" w:cs="IRNazanin"/>
          <w:lang w:bidi="fa-IR"/>
          <w:color w:val="111111"/>
          <w:sz w:val="28"/>
          <w:szCs w:val="28"/>
          <w:rtl/>
        </w:rPr>
        <w:t xml:space="preserve">۱. تهران؛ مجلس؛ شماره نسخه: ۴۰۱۳/۱۳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فهرست به نام دو فایده از بابا افضل کاشی آمده؛ خط: نستعلیق، بی کا، تا: قرن ۷ كاغذ: سمرقندی، ۳گ (۸۴پ -۸۶ ر)، اندازه: ۱۶/۵۶۸ سم [ف: ۱۱-۱۸]</w:t>
      </w:r>
    </w:p>
    <w:p>
      <w:pPr>
        <w:pStyle w:val="BookText"/>
      </w:pPr>
      <w:r>
        <w:rPr>
          <w:rFonts w:ascii="IRNazanin" w:hAnsi="IRNazanin" w:eastAsia="IRNazanin" w:cs="IRNazanin"/>
          <w:lang w:bidi="fa-IR"/>
          <w:color w:val="111111"/>
          <w:sz w:val="28"/>
          <w:szCs w:val="28"/>
          <w:rtl/>
        </w:rPr>
        <w:t xml:space="preserve">۲. تهران؛ ادبیات؛ شماره نسخه: ۱۴۵/۱۶</w:t>
      </w:r>
    </w:p>
    <w:p>
      <w:pPr>
        <w:pStyle w:val="BookText"/>
      </w:pPr>
      <w:r>
        <w:rPr>
          <w:rFonts w:ascii="IRNazanin" w:hAnsi="IRNazanin" w:eastAsia="IRNazanin" w:cs="IRNazanin"/>
          <w:lang w:bidi="fa-IR"/>
          <w:color w:val="111111"/>
          <w:sz w:val="28"/>
          <w:szCs w:val="28"/>
          <w:rtl/>
        </w:rPr>
        <w:t xml:space="preserve">حکمت شماره ۶ چاپ شده؛ خط: نسخ، بی کا، تا: قرن ۹ و ۱۰؛ جلد: تیماج مشکی یک لا، قطع : وزیری (ف: ۲-۴۳]</w:t>
      </w:r>
    </w:p>
    <w:p>
      <w:pPr>
        <w:pStyle w:val="BookText"/>
      </w:pPr>
      <w:r>
        <w:rPr>
          <w:rFonts w:ascii="IRNazanin" w:hAnsi="IRNazanin" w:eastAsia="IRNazanin" w:cs="IRNazanin"/>
          <w:lang w:bidi="fa-IR"/>
          <w:color w:val="111111"/>
          <w:sz w:val="28"/>
          <w:szCs w:val="28"/>
          <w:rtl/>
        </w:rPr>
        <w:t xml:space="preserve">٣. تهران؛ دانشگاه؛ شماره نسخه: ۲۴۰۱/۱۶/۱</w:t>
      </w:r>
    </w:p>
    <w:p>
      <w:pPr>
        <w:pStyle w:val="BookText"/>
      </w:pPr>
      <w:r>
        <w:rPr>
          <w:rFonts w:ascii="IRNazanin" w:hAnsi="IRNazanin" w:eastAsia="IRNazanin" w:cs="IRNazanin"/>
          <w:lang w:bidi="fa-IR"/>
          <w:color w:val="111111"/>
          <w:sz w:val="28"/>
          <w:szCs w:val="28"/>
          <w:rtl/>
        </w:rPr>
        <w:t xml:space="preserve">آغاز: نفوس نباتی و حیوانی؛</w:t>
      </w:r>
    </w:p>
    <w:p>
      <w:pPr>
        <w:pStyle w:val="BookText"/>
      </w:pPr>
      <w:r>
        <w:rPr>
          <w:rFonts w:ascii="IRNazanin" w:hAnsi="IRNazanin" w:eastAsia="IRNazanin" w:cs="IRNazanin"/>
          <w:lang w:bidi="fa-IR"/>
          <w:color w:val="111111"/>
          <w:sz w:val="28"/>
          <w:szCs w:val="28"/>
          <w:rtl/>
        </w:rPr>
        <w:t xml:space="preserve">خط: نستعلیق، کا: رضا بن موسی کشمیری، تا قرن ۱۱، جان طوس؛ کاغذ: سپاهانی، جلد: تیماج عنابی ضربی زرکوب مقوایی، ۲۸ سطر (۱۳/۵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۱۹/۵)،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۹-۱۰۱۴]</w:t>
      </w:r>
    </w:p>
    <w:p>
      <w:pPr>
        <w:pStyle w:val="BookText"/>
      </w:pPr>
      <w:r>
        <w:rPr>
          <w:rFonts w:ascii="IRNazanin" w:hAnsi="IRNazanin" w:eastAsia="IRNazanin" w:cs="IRNazanin"/>
          <w:lang w:bidi="fa-IR"/>
          <w:color w:val="111111"/>
          <w:sz w:val="28"/>
          <w:szCs w:val="28"/>
          <w:rtl/>
        </w:rPr>
        <w:t xml:space="preserve">۴. تهران؛ ملک؛ شماره نسخه: ۴۱۹۱/۲۳</w:t>
      </w:r>
    </w:p>
    <w:p>
      <w:pPr>
        <w:pStyle w:val="BookText"/>
      </w:pPr>
      <w:r>
        <w:rPr>
          <w:rFonts w:ascii="IRNazanin" w:hAnsi="IRNazanin" w:eastAsia="IRNazanin" w:cs="IRNazanin"/>
          <w:lang w:bidi="fa-IR"/>
          <w:color w:val="111111"/>
          <w:sz w:val="28"/>
          <w:szCs w:val="28"/>
          <w:rtl/>
        </w:rPr>
        <w:t xml:space="preserve">آغاز و انجام: برابر خط: نستعلیق، بی کا، تا: قرن ۱۱، کاغذ: ترمه، ۲گ (۱۸۵پ ۱۸۶ر)، ۱۷ سطر، اندازه: ۱۰/۶</w:t>
      </w:r>
    </w:p>
    <w:p>
      <w:pPr>
        <w:pStyle w:val="BookText"/>
      </w:pP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۱۸/۸ سم [ف: ۷-۲۴۸]</w:t>
      </w:r>
    </w:p>
    <w:p>
      <w:pPr>
        <w:pStyle w:val="BookText"/>
      </w:pPr>
      <w:r>
        <w:rPr>
          <w:rFonts w:ascii="IRNazanin" w:hAnsi="IRNazanin" w:eastAsia="IRNazanin" w:cs="IRNazanin"/>
          <w:lang w:bidi="fa-IR"/>
          <w:color w:val="111111"/>
          <w:sz w:val="28"/>
          <w:szCs w:val="28"/>
          <w:rtl/>
        </w:rPr>
        <w:t xml:space="preserve">۵. تهران: ملک؛ شماره نسخه: ۴۱۹۱/۲</w:t>
      </w:r>
    </w:p>
    <w:p>
      <w:pPr>
        <w:pStyle w:val="BookText"/>
      </w:pPr>
      <w:r>
        <w:rPr>
          <w:rFonts w:ascii="IRNazanin" w:hAnsi="IRNazanin" w:eastAsia="IRNazanin" w:cs="IRNazanin"/>
          <w:lang w:bidi="fa-IR"/>
          <w:color w:val="111111"/>
          <w:sz w:val="28"/>
          <w:szCs w:val="28"/>
          <w:rtl/>
        </w:rPr>
        <w:t xml:space="preserve">آغاز و انجام: برابر خط: نستعلیق، بی کا، تا: قرن ۱۱؛ کاغذ: ترمه، ۲گی (۳۰-۳۱ر)، ۱۱ سطر، اندازه: ۱۰/۶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۱۸/۸</w:t>
      </w:r>
    </w:p>
    <w:p>
      <w:pPr>
        <w:pStyle w:val="BookText"/>
      </w:pPr>
      <w:r>
        <w:rPr>
          <w:rFonts w:ascii="IRNazanin" w:hAnsi="IRNazanin" w:eastAsia="IRNazanin" w:cs="IRNazanin"/>
          <w:lang w:bidi="fa-IR"/>
          <w:color w:val="111111"/>
          <w:sz w:val="28"/>
          <w:szCs w:val="28"/>
          <w:rtl/>
        </w:rPr>
        <w:t xml:space="preserve">سم [ف: ۷-۲۴۳]</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مجلس؛ شماره نسخه: ۳۹۸۲/۲۲</w:t>
      </w:r>
    </w:p>
    <w:p>
      <w:pPr>
        <w:pStyle w:val="BookText"/>
      </w:pPr>
      <w:r>
        <w:rPr>
          <w:rFonts w:ascii="IRNazanin" w:hAnsi="IRNazanin" w:eastAsia="IRNazanin" w:cs="IRNazanin"/>
          <w:lang w:bidi="fa-IR"/>
          <w:color w:val="111111"/>
          <w:sz w:val="28"/>
          <w:szCs w:val="28"/>
          <w:rtl/>
        </w:rPr>
        <w:t xml:space="preserve">در فهرست با عنوان «پایندگی نفس» آمده؛ خط: نسخ، بی کا، تا: قرن ۱۱؛ کاغذ: اصفهان شکری آهار مهره دار، جلد: تیماج قرمز، ۴ص (۳۳۳-۳۳۶)، ۱۶ سطر، قطع: رقعی،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۲۱۴۹-۱۰ ]</w:t>
      </w:r>
    </w:p>
    <w:p>
      <w:pPr>
        <w:pStyle w:val="BookText"/>
      </w:pPr>
      <w:r>
        <w:rPr>
          <w:rFonts w:ascii="IRNazanin" w:hAnsi="IRNazanin" w:eastAsia="IRNazanin" w:cs="IRNazanin"/>
          <w:lang w:bidi="fa-IR"/>
          <w:color w:val="111111"/>
          <w:sz w:val="28"/>
          <w:szCs w:val="28"/>
          <w:rtl/>
        </w:rPr>
        <w:t xml:space="preserve">۷. تهران؛ دانشگاه؛ شماره نسخه: ۲۴۰۱/۱۹/۱</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کا: رضا بن موسی کشمیری، تا: قرن ۱۱، جا: طوس؛ کاغذ: سپاهانی، جلد: تیماج عنابی، ۲۸ سطر</w:t>
      </w:r>
    </w:p>
    <w:p>
      <w:pPr>
        <w:pStyle w:val="BookText"/>
      </w:pPr>
      <w:r>
        <w:rPr>
          <w:rFonts w:ascii="IRNazanin" w:hAnsi="IRNazanin" w:eastAsia="IRNazanin" w:cs="IRNazanin"/>
          <w:lang w:bidi="fa-IR"/>
          <w:color w:val="111111"/>
          <w:sz w:val="28"/>
          <w:szCs w:val="28"/>
          <w:rtl/>
        </w:rPr>
        <w:t xml:space="preserve">(۱۳/۵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۱۹/۵)،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۹-۱۰۱۵]</w:t>
      </w:r>
    </w:p>
    <w:p>
      <w:pPr>
        <w:pStyle w:val="BookText"/>
      </w:pPr>
      <w:r>
        <w:rPr>
          <w:rFonts w:ascii="IRNazanin" w:hAnsi="IRNazanin" w:eastAsia="IRNazanin" w:cs="IRNazanin"/>
          <w:lang w:bidi="fa-IR"/>
          <w:color w:val="111111"/>
          <w:sz w:val="28"/>
          <w:szCs w:val="28"/>
          <w:rtl/>
        </w:rPr>
        <w:t xml:space="preserve">۸. تهران، ملک؛ شماره نسخه: ۴۵۸۵/۷</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شکسته نستعلیق، کا: محمد حسین بن سعدی لاهیجانی، تا: ۱۰۵۷ق؛ کاغذ: ترمه، جلد: میشن تابه تا قهوه ای و آلبالویی، ۱۷۷ سطر، اندازه: ۲۰/۱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[ف: ۷-۴۳۵]</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مجلس؛ شماره نسخه: ۵۱۸۰/۲۵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۱۰۶۹ق؛ ۲گ (۲۷۴-۲۷۵) [ف: ۱۵- ۳۳۰]</w:t>
      </w:r>
    </w:p>
    <w:p>
      <w:pPr>
        <w:pStyle w:val="BookText"/>
      </w:pPr>
      <w:r>
        <w:rPr>
          <w:rFonts w:ascii="IRNazanin" w:hAnsi="IRNazanin" w:eastAsia="IRNazanin" w:cs="IRNazanin"/>
          <w:lang w:bidi="fa-IR"/>
          <w:color w:val="111111"/>
          <w:sz w:val="28"/>
          <w:szCs w:val="28"/>
          <w:rtl/>
        </w:rPr>
        <w:t xml:space="preserve">۱۰. تهران؛ مجلس؛ شماره نسخه: ۱۰۱۲۴/۱۱</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و نستعلیق، بی کا، تا: با تاریخ ۱۲۲۱ق؛ ۲ص (۷۵-۷۶ متن و حاشیه)، قطع: بیاضی،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سم [ف: ۳۲-۱۵۵]</w:t>
      </w:r>
    </w:p>
    <w:p>
      <w:pPr>
        <w:pStyle w:val="BookText"/>
      </w:pPr>
      <w:r>
        <w:rPr>
          <w:rFonts w:ascii="IRNazanin" w:hAnsi="IRNazanin" w:eastAsia="IRNazanin" w:cs="IRNazanin"/>
          <w:lang w:bidi="fa-IR"/>
          <w:color w:val="111111"/>
          <w:sz w:val="28"/>
          <w:szCs w:val="28"/>
          <w:rtl/>
        </w:rPr>
        <w:t xml:space="preserve">۱۱. تهران؛ ملی؛ شماره نسخه: ۲۴۵۴/۶/۱</w:t>
      </w:r>
    </w:p>
    <w:p>
      <w:pPr>
        <w:pStyle w:val="BookText"/>
      </w:pPr>
      <w:r>
        <w:rPr>
          <w:rFonts w:ascii="IRNazanin" w:hAnsi="IRNazanin" w:eastAsia="IRNazanin" w:cs="IRNazanin"/>
          <w:lang w:bidi="fa-IR"/>
          <w:color w:val="111111"/>
          <w:sz w:val="28"/>
          <w:szCs w:val="28"/>
          <w:rtl/>
        </w:rPr>
        <w:t xml:space="preserve">آغاز: برابر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0" w:name="pg20363_209216"/>
    <w:bookmarkEnd w:id="60"/>
    <w:p>
      <w:pPr>
        <w:pStyle w:val="BookText"/>
      </w:pPr>
      <w:r>
        <w:rPr>
          <w:rFonts w:ascii="IRNazanin" w:hAnsi="IRNazanin" w:eastAsia="IRNazanin" w:cs="IRNazanin"/>
          <w:lang w:bidi="fa-IR"/>
          <w:color w:val="111111"/>
          <w:sz w:val="28"/>
          <w:szCs w:val="28"/>
          <w:rtl/>
        </w:rPr>
        <w:t xml:space="preserve">خط: شکسته نستعلیق، كان محمد خان، تا: ۱۳۳۳ق، جا: طهران؛ کاغذ: فرنگی، خط دار (پستی)، جلد: مقوایی، رویه کاغذی عطف، و گوشه تیماج مشکی، از صفحه ۲۳۵، ۱۶ سطر (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۵-۵۹۶]</w:t>
      </w:r>
    </w:p>
    <w:p>
      <w:pPr>
        <w:pStyle w:val="BookText"/>
      </w:pPr>
      <w:r>
        <w:rPr>
          <w:rFonts w:ascii="IRNazanin" w:hAnsi="IRNazanin" w:eastAsia="IRNazanin" w:cs="IRNazanin"/>
          <w:lang w:bidi="fa-IR"/>
          <w:color w:val="111111"/>
          <w:sz w:val="28"/>
          <w:szCs w:val="28"/>
          <w:rtl/>
        </w:rPr>
        <w:t xml:space="preserve">۱۲. تهران؛ مجلس؛ شماره نسخه: ۵۰۳۱/۱</w:t>
      </w:r>
    </w:p>
    <w:p>
      <w:pPr>
        <w:pStyle w:val="BookText"/>
      </w:pPr>
      <w:r>
        <w:rPr>
          <w:rFonts w:ascii="IRNazanin" w:hAnsi="IRNazanin" w:eastAsia="IRNazanin" w:cs="IRNazanin"/>
          <w:lang w:bidi="fa-IR"/>
          <w:color w:val="111111"/>
          <w:sz w:val="28"/>
          <w:szCs w:val="28"/>
          <w:rtl/>
        </w:rPr>
        <w:t xml:space="preserve">آغاز و انجام: برابر خ</w:t>
      </w:r>
    </w:p>
    <w:p>
      <w:pPr>
        <w:pStyle w:val="BookText"/>
      </w:pPr>
      <w:r>
        <w:rPr>
          <w:rFonts w:ascii="IRNazanin" w:hAnsi="IRNazanin" w:eastAsia="IRNazanin" w:cs="IRNazanin"/>
          <w:lang w:bidi="fa-IR"/>
          <w:color w:val="111111"/>
          <w:sz w:val="28"/>
          <w:szCs w:val="28"/>
          <w:rtl/>
        </w:rPr>
        <w:t xml:space="preserve">ط: نسخ خوب، كا: محمد على متخلص بعبرت نائینی، تا: دوشنبه ۱۳ ذیقعده ۱۳۴۷ق، به دستور حاج سید نصرالله تقوی؛ مصحح، مقابله شده؛ کاغذ: فرنگی، جلد: تیماج مشکی ضربی، ۲ص (۲-۳)، ۱۸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۱۴-۳۳۶]</w:t>
      </w:r>
    </w:p>
    <w:p>
      <w:pPr>
        <w:pStyle w:val="BookText"/>
      </w:pPr>
      <w:r>
        <w:rPr>
          <w:rFonts w:ascii="IRNazanin" w:hAnsi="IRNazanin" w:eastAsia="IRNazanin" w:cs="IRNazanin"/>
          <w:lang w:bidi="fa-IR"/>
          <w:color w:val="111111"/>
          <w:sz w:val="28"/>
          <w:szCs w:val="28"/>
          <w:rtl/>
        </w:rPr>
        <w:t xml:space="preserve">۱۳. تهران؛ مجلس؛ شماره نسخه: ۵۰۳۱/۱۳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خوب، کا: محمد على متخلص به عبرت نائینی، تا: دوشنبه ۱۳ ذیقعده ۱۳۴۷ق؛ کاغذ: فرنگی، جلد: تیماج مشکی ضربی، ۲ص (۴۲-۴۳)، ۱۸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۳۴۱-۱۴ ]</w:t>
      </w:r>
    </w:p>
    <w:p>
      <w:pPr>
        <w:pStyle w:val="BookText"/>
      </w:pPr>
      <w:r>
        <w:rPr>
          <w:rFonts w:ascii="IRNazanin" w:hAnsi="IRNazanin" w:eastAsia="IRNazanin" w:cs="IRNazanin"/>
          <w:lang w:bidi="fa-IR"/>
          <w:color w:val="111111"/>
          <w:sz w:val="28"/>
          <w:szCs w:val="28"/>
          <w:rtl/>
        </w:rPr>
        <w:t xml:space="preserve">۱۴. تهران؛ مجلس؛ شماره نسخه: ۴۸۰۵/۱۲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کاغذ: سپاهانی، جلد: تیماج قرمز، ۴۹گ، اندازه: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۱۳-۲۰۸]</w:t>
      </w:r>
    </w:p>
    <w:p>
      <w:pPr>
        <w:pStyle w:val="BookText"/>
      </w:pPr>
      <w:r>
        <w:rPr>
          <w:rFonts w:ascii="IRNazanin" w:hAnsi="IRNazanin" w:eastAsia="IRNazanin" w:cs="IRNazanin"/>
          <w:lang w:bidi="fa-IR"/>
          <w:color w:val="111111"/>
          <w:sz w:val="28"/>
          <w:szCs w:val="28"/>
          <w:rtl/>
        </w:rPr>
        <w:t xml:space="preserve">۱۵. تهران؛ مجلس؛ شماره نسخه: ۱۸۲۴/۵</w:t>
      </w:r>
    </w:p>
    <w:p>
      <w:pPr>
        <w:pStyle w:val="BookText"/>
      </w:pPr>
      <w:r>
        <w:rPr>
          <w:rFonts w:ascii="IRNazanin" w:hAnsi="IRNazanin" w:eastAsia="IRNazanin" w:cs="IRNazanin"/>
          <w:lang w:bidi="fa-IR"/>
          <w:color w:val="111111"/>
          <w:sz w:val="28"/>
          <w:szCs w:val="28"/>
          <w:rtl/>
        </w:rPr>
        <w:t xml:space="preserve">آغاز: برابر؛ انجام: و واجب شده باشد یکی از روی عمل که مجاهدت عبادت از آن است و دیگر از روی علم که تجرید عبارت از آن است و الله الموفق و المعين خط: نستعلیق، بی کا، بی تا، کاغذ: آهار مهره شکری رنگ، جلد: تیماج قهوه ای، ۲۲ص (۲۰۶-۲۲۷)، ۱۵ سطر، قطع: رقعی،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۹-۴۴۴]</w:t>
      </w:r>
    </w:p>
    <w:p>
      <w:pPr>
        <w:pStyle w:val="BookText"/>
      </w:pPr>
      <w:r>
        <w:rPr>
          <w:rFonts w:ascii="IRNazanin" w:hAnsi="IRNazanin" w:eastAsia="IRNazanin" w:cs="IRNazanin"/>
          <w:lang w:bidi="fa-IR"/>
          <w:color w:val="111111"/>
          <w:sz w:val="28"/>
          <w:szCs w:val="28"/>
          <w:rtl/>
        </w:rPr>
        <w:t xml:space="preserve">۱۶. تهران؛ مجلس؛ شماره نسخه: ۶۲۳/۴</w:t>
      </w:r>
    </w:p>
    <w:p>
      <w:pPr>
        <w:pStyle w:val="BookText"/>
      </w:pPr>
      <w:r>
        <w:rPr>
          <w:rFonts w:ascii="IRNazanin" w:hAnsi="IRNazanin" w:eastAsia="IRNazanin" w:cs="IRNazanin"/>
          <w:lang w:bidi="fa-IR"/>
          <w:color w:val="111111"/>
          <w:sz w:val="28"/>
          <w:szCs w:val="28"/>
          <w:rtl/>
        </w:rPr>
        <w:t xml:space="preserve">بی کا، بی تا؛ ۱۲سطر، قطع: وزیری، اندازه: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 سم [ف: ۲-۳۸۳]</w:t>
      </w:r>
    </w:p>
    <w:p>
      <w:pPr>
        <w:pStyle w:val="BookText"/>
      </w:pPr>
      <w:r>
        <w:rPr>
          <w:rFonts w:ascii="IRNazanin" w:hAnsi="IRNazanin" w:eastAsia="IRNazanin" w:cs="IRNazanin"/>
          <w:lang w:bidi="fa-IR"/>
          <w:color w:val="111111"/>
          <w:sz w:val="28"/>
          <w:szCs w:val="28"/>
          <w:rtl/>
        </w:rPr>
        <w:t xml:space="preserve">۱۷. تهران، دانشگاه؛ شماره نسخه: ۴۲۸/۱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بی تا؛ ۲گ ( آپ -۲ر) [ف: ۳-۳۳۰]</w:t>
      </w:r>
    </w:p>
    <w:p>
      <w:pPr>
        <w:pStyle w:val="BookText"/>
      </w:pPr>
      <w:r>
        <w:rPr>
          <w:rFonts w:ascii="IRNazanin" w:hAnsi="IRNazanin" w:eastAsia="IRNazanin" w:cs="IRNazanin"/>
          <w:lang w:bidi="fa-IR"/>
          <w:color w:val="111111"/>
          <w:sz w:val="28"/>
          <w:szCs w:val="28"/>
          <w:rtl/>
        </w:rPr>
        <w:t xml:space="preserve">۱۸. قم؛ مسجد اعظم؛ شماره نسخه: ۲۴/۲</w:t>
      </w:r>
    </w:p>
    <w:p>
      <w:pPr>
        <w:pStyle w:val="BookText"/>
      </w:pPr>
      <w:r>
        <w:rPr>
          <w:rFonts w:ascii="IRNazanin" w:hAnsi="IRNazanin" w:eastAsia="IRNazanin" w:cs="IRNazanin"/>
          <w:lang w:bidi="fa-IR"/>
          <w:color w:val="111111"/>
          <w:sz w:val="28"/>
          <w:szCs w:val="28"/>
          <w:rtl/>
        </w:rPr>
        <w:t xml:space="preserve">آغاز: برابر؛ انجام: وانکه به خود داناست انتهای همه اوست در انتهای موجودات. آن کیست که آگاه زمن وخود است *** بیزار زکفر ودین واز نیک وبد است / کارش نه چو عقل ونفس داد و ستد است *** آگاه بدو عقل و خود آگه به خود است خط: نسخ، بی کا، بی تا؛ جلد: تیماج قهوه ای روشن مجدول عطف تیماج زرشکی مذهب، ۳گ، ۲۷ سطر،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مخ: ۱۴۳۰ -۴ ]</w:t>
      </w:r>
    </w:p>
    <w:p>
      <w:pPr>
        <w:pStyle w:val="BookText"/>
      </w:pPr>
      <w:r>
        <w:rPr>
          <w:rFonts w:ascii="IRNazanin" w:hAnsi="IRNazanin" w:eastAsia="IRNazanin" w:cs="IRNazanin"/>
          <w:lang w:bidi="fa-IR"/>
          <w:color w:val="111111"/>
          <w:sz w:val="28"/>
          <w:szCs w:val="28"/>
          <w:rtl/>
        </w:rPr>
        <w:t xml:space="preserve">۱۹. تهران؛ سپهسالار؛ شماره نسخه: ۲۹۱۲/۴۶</w:t>
      </w:r>
    </w:p>
    <w:p>
      <w:pPr>
        <w:pStyle w:val="BookText"/>
      </w:pPr>
      <w:r>
        <w:rPr>
          <w:rFonts w:ascii="IRNazanin" w:hAnsi="IRNazanin" w:eastAsia="IRNazanin" w:cs="IRNazanin"/>
          <w:lang w:bidi="fa-IR"/>
          <w:color w:val="111111"/>
          <w:sz w:val="28"/>
          <w:szCs w:val="28"/>
          <w:rtl/>
        </w:rPr>
        <w:t xml:space="preserve">بی کا، بی تا، اگ (۱۴۴ ر) [ف: ۵-۴۶۱]</w:t>
      </w:r>
    </w:p>
    <w:p>
      <w:pPr>
        <w:pStyle w:val="BookText"/>
      </w:pPr>
      <w:r>
        <w:rPr>
          <w:rFonts w:ascii="IRNazanin" w:hAnsi="IRNazanin" w:eastAsia="IRNazanin" w:cs="IRNazanin"/>
          <w:lang w:bidi="fa-IR"/>
          <w:color w:val="111111"/>
          <w:sz w:val="28"/>
          <w:szCs w:val="28"/>
          <w:rtl/>
        </w:rPr>
        <w:t xml:space="preserve">۲۰. مشهد؛ رضوی؛ شماره نسخه: ۵۹۷۴/۹</w:t>
      </w:r>
    </w:p>
    <w:p>
      <w:pPr>
        <w:pStyle w:val="BookText"/>
      </w:pPr>
      <w:r>
        <w:rPr>
          <w:rFonts w:ascii="IRNazanin" w:hAnsi="IRNazanin" w:eastAsia="IRNazanin" w:cs="IRNazanin"/>
          <w:lang w:bidi="fa-IR"/>
          <w:color w:val="111111"/>
          <w:sz w:val="28"/>
          <w:szCs w:val="28"/>
          <w:rtl/>
        </w:rPr>
        <w:t xml:space="preserve">انجام: برابر</w:t>
      </w:r>
    </w:p>
    <w:p>
      <w:pPr>
        <w:pStyle w:val="BookText"/>
      </w:pPr>
      <w:r>
        <w:rPr>
          <w:rFonts w:ascii="IRNazanin" w:hAnsi="IRNazanin" w:eastAsia="IRNazanin" w:cs="IRNazanin"/>
          <w:lang w:bidi="fa-IR"/>
          <w:color w:val="111111"/>
          <w:sz w:val="28"/>
          <w:szCs w:val="28"/>
          <w:rtl/>
        </w:rPr>
        <w:t xml:space="preserve">خط: نستعلیق، بی کا، بی تا، در فهرست با شماره ۵۹۷۵ و در ضمن عنوان «جواب مراسله شمس الدين و مسائل» آمده؛ واقف: نائینی؛ کاغذ: نخودی، جلد: مقوا با عطف و گوشه پارچه، اگ، اندازه: ۴۳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۶-۴۰۴]</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تهران، دانشگاه؛ شماره نسخه: ۲۲۶۷۱۶/۳</w:t>
      </w:r>
    </w:p>
    <w:p>
      <w:pPr>
        <w:pStyle w:val="BookText"/>
      </w:pPr>
      <w:r>
        <w:rPr>
          <w:rFonts w:ascii="IRNazanin" w:hAnsi="IRNazanin" w:eastAsia="IRNazanin" w:cs="IRNazanin"/>
          <w:lang w:bidi="fa-IR"/>
          <w:color w:val="111111"/>
          <w:sz w:val="28"/>
          <w:szCs w:val="28"/>
          <w:rtl/>
        </w:rPr>
        <w:t xml:space="preserve">خط: نستعلیق، بی کا، بی تا؛ کاغذ: فرنگی، جلد: تیماج تریاکی گرد، اندازه: ۱۸/۵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۲۸/۵سم [ف: ۹-۹۱۸]</w:t>
      </w:r>
    </w:p>
    <w:p>
      <w:pPr>
        <w:pStyle w:val="BookText"/>
      </w:pPr>
      <w:r>
        <w:rPr>
          <w:rFonts w:ascii="IRNazanin" w:hAnsi="IRNazanin" w:eastAsia="IRNazanin" w:cs="IRNazanin"/>
          <w:lang w:bidi="fa-IR"/>
          <w:color w:val="111111"/>
          <w:sz w:val="28"/>
          <w:szCs w:val="28"/>
          <w:rtl/>
        </w:rPr>
        <w:t xml:space="preserve">۲۲. تهران، دانشگاه؛ شماره نسخه: ۲۲۶۷/۶/۱۴</w:t>
      </w:r>
    </w:p>
    <w:p>
      <w:pPr>
        <w:pStyle w:val="BookText"/>
      </w:pPr>
      <w:r>
        <w:rPr>
          <w:rFonts w:ascii="IRNazanin" w:hAnsi="IRNazanin" w:eastAsia="IRNazanin" w:cs="IRNazanin"/>
          <w:lang w:bidi="fa-IR"/>
          <w:color w:val="111111"/>
          <w:sz w:val="28"/>
          <w:szCs w:val="28"/>
          <w:rtl/>
        </w:rPr>
        <w:t xml:space="preserve">شماره ۶ چاپی؛ خط: نستعلیق، بی کا، بی تا، در هامش جایی بین ۱۱پ -۱۴ر؛ کاغذ: فرنگی، جلد: تیماج تریاکی</w:t>
      </w:r>
    </w:p>
    <w:p>
      <w:pPr>
        <w:pStyle w:val="BookText"/>
      </w:pPr>
      <w:r>
        <w:rPr>
          <w:rFonts w:ascii="IRNazanin" w:hAnsi="IRNazanin" w:eastAsia="IRNazanin" w:cs="IRNazanin"/>
          <w:lang w:bidi="fa-IR"/>
          <w:color w:val="111111"/>
          <w:sz w:val="28"/>
          <w:szCs w:val="28"/>
          <w:rtl/>
        </w:rPr>
        <w:t xml:space="preserve">گرد، اندازه: ۱۸/۵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۲۸/۵ سم [ف: ۹-۹۱۸]</w:t>
      </w:r>
    </w:p>
    <w:p>
      <w:pPr>
        <w:pStyle w:val="BookText"/>
      </w:pPr>
      <w:r>
        <w:rPr>
          <w:rFonts w:ascii="IRNazanin" w:hAnsi="IRNazanin" w:eastAsia="IRNazanin" w:cs="IRNazanin"/>
          <w:lang w:bidi="fa-IR"/>
          <w:color w:val="111111"/>
          <w:sz w:val="28"/>
          <w:szCs w:val="28"/>
          <w:rtl/>
        </w:rPr>
        <w:t xml:space="preserve">۲۳. مشهد؛ رضوی؛ شماره نسخه: ۲۲۴۹۷</w:t>
      </w:r>
    </w:p>
    <w:p>
      <w:pPr>
        <w:pStyle w:val="BookText"/>
      </w:pPr>
      <w:r>
        <w:rPr>
          <w:rFonts w:ascii="IRNazanin" w:hAnsi="IRNazanin" w:eastAsia="IRNazanin" w:cs="IRNazanin"/>
          <w:lang w:bidi="fa-IR"/>
          <w:color w:val="111111"/>
          <w:sz w:val="28"/>
          <w:szCs w:val="28"/>
          <w:rtl/>
        </w:rPr>
        <w:t xml:space="preserve">آغاز و انجام: برابر خط: نستعلیق، بی کا، بی تا [رایانه ]</w:t>
      </w:r>
    </w:p>
    <w:p>
      <w:pPr>
        <w:pStyle w:val="BookText"/>
      </w:pPr>
      <w:r>
        <w:rPr>
          <w:rFonts w:ascii="IRNazanin" w:hAnsi="IRNazanin" w:eastAsia="IRNazanin" w:cs="IRNazanin"/>
          <w:lang w:bidi="fa-IR"/>
          <w:color w:val="111111"/>
          <w:sz w:val="28"/>
          <w:szCs w:val="28"/>
          <w:rtl/>
        </w:rPr>
        <w:t xml:space="preserve">← بقای نفس ناطقه ←بقای نفس عاقله</w:t>
      </w:r>
    </w:p>
    <w:p>
      <w:pPr>
        <w:pStyle w:val="Heading3"/>
      </w:pPr>
      <w:bookmarkStart w:id="909" w:name="_Toc169"/>
      <w:r>
        <w:t>• بقية الأنساب من ذكر الأصحاب / تراجم / فارسی</w:t>
      </w:r>
      <w:bookmarkEnd w:id="909"/>
    </w:p>
    <w:p>
      <w:pPr>
        <w:pStyle w:val="BookText"/>
      </w:pPr>
      <w:r>
        <w:rPr>
          <w:rFonts w:ascii="Times New Roman" w:hAnsi="Times New Roman" w:eastAsia="Times New Roman" w:cs="Times New Roman"/>
          <w:lang w:val="en-US" w:bidi="en-US"/>
          <w:color w:val="111111"/>
          <w:sz w:val="28"/>
          <w:szCs w:val="28"/>
          <w:rtl/>
        </w:rPr>
        <w:t xml:space="preserve">baqiyyat-ul ansab min dikr-il ashab</w:t>
      </w:r>
    </w:p>
    <w:p>
      <w:pPr>
        <w:pStyle w:val="BookText"/>
      </w:pPr>
      <w:r>
        <w:rPr>
          <w:rFonts w:ascii="IRNazanin" w:hAnsi="IRNazanin" w:eastAsia="IRNazanin" w:cs="IRNazanin"/>
          <w:lang w:bidi="fa-IR"/>
          <w:color w:val="111111"/>
          <w:sz w:val="28"/>
          <w:szCs w:val="28"/>
          <w:rtl/>
        </w:rPr>
        <w:t xml:space="preserve">شیرازی، ابراهیم بن زین العابدین</w:t>
      </w:r>
    </w:p>
    <w:p>
      <w:pPr>
        <w:pStyle w:val="BookText"/>
      </w:pPr>
      <w:r>
        <w:rPr>
          <w:rFonts w:ascii="Times New Roman" w:hAnsi="Times New Roman" w:eastAsia="Times New Roman" w:cs="Times New Roman"/>
          <w:lang w:val="en-US" w:bidi="en-US"/>
          <w:color w:val="111111"/>
          <w:sz w:val="28"/>
          <w:szCs w:val="28"/>
          <w:rtl/>
        </w:rPr>
        <w:t xml:space="preserve">šīrāzī, ebrāhīm ebn-e zayn-ol-‘ābedīn</w:t>
      </w:r>
    </w:p>
    <w:p>
      <w:pPr>
        <w:pStyle w:val="BookText"/>
      </w:pPr>
      <w:r>
        <w:rPr>
          <w:rFonts w:ascii="IRNazanin" w:hAnsi="IRNazanin" w:eastAsia="IRNazanin" w:cs="IRNazanin"/>
          <w:lang w:bidi="fa-IR"/>
          <w:color w:val="111111"/>
          <w:sz w:val="28"/>
          <w:szCs w:val="28"/>
          <w:rtl/>
        </w:rPr>
        <w:t xml:space="preserve">تکلمه ای است بر کتاب «مرآة الأحوال» آقا احمد بن محمد على بهبهانی کرمانشاهی، در احوال و تواریخ آل آقا (فرزندان وحید بهبهانی) که ذکرشان در مرآة به اختصار رفته بود، مشتمل بر هشت «فصل» و یک «خاتمه» می باشد ولی در نسخه حاضر فقط این فصل ها آمده است: ۱. ذكر احوال اولاد و احفاد آقا؛ ۲. احوال مولانا آقا احمد؛ ۳. احوال آقا محمد اسماعيل؛ ۴. احوال آقا محمود بهبهانی؛ ۵. احوال همشیره آقائی.</w:t>
      </w:r>
    </w:p>
    <w:p>
      <w:pPr>
        <w:pStyle w:val="BookText"/>
      </w:pPr>
      <w:r>
        <w:rPr>
          <w:rFonts w:ascii="IRNazanin" w:hAnsi="IRNazanin" w:eastAsia="IRNazanin" w:cs="IRNazanin"/>
          <w:lang w:bidi="fa-IR"/>
          <w:color w:val="111111"/>
          <w:sz w:val="28"/>
          <w:szCs w:val="28"/>
          <w:rtl/>
        </w:rPr>
        <w:t xml:space="preserve">مشهد؛ میبدی: شماره نسخه: ۱۸۹/۱</w:t>
      </w:r>
    </w:p>
    <w:p>
      <w:pPr>
        <w:pStyle w:val="BookText"/>
      </w:pPr>
      <w:r>
        <w:rPr>
          <w:rFonts w:ascii="IRNazanin" w:hAnsi="IRNazanin" w:eastAsia="IRNazanin" w:cs="IRNazanin"/>
          <w:lang w:bidi="fa-IR"/>
          <w:color w:val="111111"/>
          <w:sz w:val="28"/>
          <w:szCs w:val="28"/>
          <w:rtl/>
        </w:rPr>
        <w:t xml:space="preserve">آغاز: دل خسته اجل گشته سوخته گداخته دست شکسته پا از محافل دوستان کشیده بر خاک مذلت نشسته خط: نسخ، بی کا، بی تا، در حواشی صفحه ها استاد هادی ارفع کرمانشاهی یادداشت های تاریخی سودمندی نوشته؛ جلد: تیماج قهوه ای بدون مقوا، ۲۵گ (۱پ -۲۵ر)، اندازه: ۱۵/۵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۱-۱۴۹]</w:t>
      </w:r>
    </w:p>
    <w:p>
      <w:pPr>
        <w:pStyle w:val="Heading3"/>
      </w:pPr>
      <w:bookmarkStart w:id="910" w:name="_Toc170"/>
      <w:r>
        <w:t>• بقية ديوان / شعر / عربی</w:t>
      </w:r>
      <w:bookmarkEnd w:id="910"/>
    </w:p>
    <w:p>
      <w:pPr>
        <w:pStyle w:val="BookText"/>
      </w:pPr>
      <w:r>
        <w:rPr>
          <w:rFonts w:ascii="Times New Roman" w:hAnsi="Times New Roman" w:eastAsia="Times New Roman" w:cs="Times New Roman"/>
          <w:lang w:val="en-US" w:bidi="en-US"/>
          <w:color w:val="111111"/>
          <w:sz w:val="28"/>
          <w:szCs w:val="28"/>
          <w:rtl/>
        </w:rPr>
        <w:t xml:space="preserve">baqīyyat-u d.</w:t>
      </w:r>
    </w:p>
    <w:p>
      <w:pPr>
        <w:pStyle w:val="BookText"/>
      </w:pPr>
      <w:r>
        <w:rPr>
          <w:rFonts w:ascii="IRNazanin" w:hAnsi="IRNazanin" w:eastAsia="IRNazanin" w:cs="IRNazanin"/>
          <w:lang w:bidi="fa-IR"/>
          <w:color w:val="111111"/>
          <w:sz w:val="28"/>
          <w:szCs w:val="28"/>
          <w:rtl/>
        </w:rPr>
        <w:t xml:space="preserve">محار، عمر بن مسعود،-۷۱۱ قمری</w:t>
      </w:r>
    </w:p>
    <w:p>
      <w:pPr>
        <w:pStyle w:val="BookText"/>
      </w:pPr>
      <w:r>
        <w:rPr>
          <w:rFonts w:ascii="Times New Roman" w:hAnsi="Times New Roman" w:eastAsia="Times New Roman" w:cs="Times New Roman"/>
          <w:lang w:val="en-US" w:bidi="en-US"/>
          <w:color w:val="111111"/>
          <w:sz w:val="28"/>
          <w:szCs w:val="28"/>
          <w:rtl/>
        </w:rPr>
        <w:t xml:space="preserve">mahhār, 'omar ebn-e mas‘ūd (- 1312)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1" w:name="pg20363_209217"/>
    <w:bookmarkEnd w:id="61"/>
    <w:p>
      <w:pPr>
        <w:pStyle w:val="BookText"/>
      </w:pPr>
      <w:r>
        <w:rPr>
          <w:rFonts w:ascii="IRNazanin" w:hAnsi="IRNazanin" w:eastAsia="IRNazanin" w:cs="IRNazanin"/>
          <w:lang w:bidi="fa-IR"/>
          <w:color w:val="111111"/>
          <w:sz w:val="28"/>
          <w:szCs w:val="28"/>
          <w:rtl/>
        </w:rPr>
        <w:t xml:space="preserve">تهران؛ دانشگاه؛ شماره نسخه: ۱۶۱۲/۱۰۵ و ۱۶۱۲/۱۰۸ -ف</w:t>
      </w:r>
    </w:p>
    <w:p>
      <w:pPr>
        <w:pStyle w:val="BookText"/>
      </w:pPr>
      <w:r>
        <w:rPr>
          <w:rFonts w:ascii="IRNazanin" w:hAnsi="IRNazanin" w:eastAsia="IRNazanin" w:cs="IRNazanin"/>
          <w:lang w:bidi="fa-IR"/>
          <w:color w:val="111111"/>
          <w:sz w:val="28"/>
          <w:szCs w:val="28"/>
          <w:rtl/>
        </w:rPr>
        <w:t xml:space="preserve">نسخه اصل: نسخه ش ۲۱۶ کتابخانه تقوی که اکنون در با شماره ۴۵۵۹ در کتابخانه مجلس شورا است بیشتر رساله های این مجموعه در فهرست مجلس معرفی نشده است و با عنوان جنگ یا دیوان آمده است ؛ كا: عبدالحی، تا: ۸۲۲ق، جان ماردین در شمال عراق؛ کاغذ: سمرقندی، جلد: تیماج قهوه ای ضربی [فیلمها ف: 1 -۶۲۳ ]</w:t>
      </w:r>
    </w:p>
    <w:p>
      <w:pPr>
        <w:pStyle w:val="Heading3"/>
      </w:pPr>
      <w:bookmarkStart w:id="911" w:name="_Toc171"/>
      <w:r>
        <w:t>• بقية الله خير بعد الفناء في السير / عرفان و تصوف / عربی</w:t>
      </w:r>
      <w:bookmarkEnd w:id="911"/>
    </w:p>
    <w:p>
      <w:pPr>
        <w:pStyle w:val="BookText"/>
      </w:pPr>
      <w:r>
        <w:rPr>
          <w:rFonts w:ascii="Times New Roman" w:hAnsi="Times New Roman" w:eastAsia="Times New Roman" w:cs="Times New Roman"/>
          <w:lang w:val="en-US" w:bidi="en-US"/>
          <w:color w:val="111111"/>
          <w:sz w:val="28"/>
          <w:szCs w:val="28"/>
          <w:rtl/>
        </w:rPr>
        <w:t xml:space="preserve">baqīyyat-ul lāh xayr-un ba'd-al fanā' fi-s sayr</w:t>
      </w:r>
    </w:p>
    <w:p>
      <w:pPr>
        <w:pStyle w:val="BookText"/>
      </w:pPr>
      <w:r>
        <w:rPr>
          <w:rFonts w:ascii="IRNazanin" w:hAnsi="IRNazanin" w:eastAsia="IRNazanin" w:cs="IRNazanin"/>
          <w:lang w:bidi="fa-IR"/>
          <w:color w:val="111111"/>
          <w:sz w:val="28"/>
          <w:szCs w:val="28"/>
          <w:rtl/>
        </w:rPr>
        <w:t xml:space="preserve">نابلسي، عبد الغني بن اسماعیل، ۱۰۵۰-۱۱۴۳ قمری</w:t>
      </w:r>
    </w:p>
    <w:p>
      <w:pPr>
        <w:pStyle w:val="BookText"/>
      </w:pPr>
      <w:r>
        <w:rPr>
          <w:rFonts w:ascii="Times New Roman" w:hAnsi="Times New Roman" w:eastAsia="Times New Roman" w:cs="Times New Roman"/>
          <w:lang w:val="en-US" w:bidi="en-US"/>
          <w:color w:val="111111"/>
          <w:sz w:val="28"/>
          <w:szCs w:val="28"/>
          <w:rtl/>
        </w:rPr>
        <w:t xml:space="preserve">nābolosī, 'abd-ol-qanī ebn-e esmāʻīl (1641-1731)</w:t>
      </w:r>
    </w:p>
    <w:p>
      <w:pPr>
        <w:pStyle w:val="BookText"/>
      </w:pPr>
      <w:r>
        <w:rPr>
          <w:rFonts w:ascii="IRNazanin" w:hAnsi="IRNazanin" w:eastAsia="IRNazanin" w:cs="IRNazanin"/>
          <w:lang w:bidi="fa-IR"/>
          <w:color w:val="111111"/>
          <w:sz w:val="28"/>
          <w:szCs w:val="28"/>
          <w:rtl/>
        </w:rPr>
        <w:t xml:space="preserve">تاریخ تأليف: ۶ جمادی الاول ۱۱۲۴ق رساله ای است کوتاه در شرح ابیات پنج گانه مؤلف: «حروف المباني و المعاني تنزهت *** مقاصدها التي لم تكن تقرى / فان رمت یا اولی سواک محققا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علیک بک افهم منصفا انک الاخرى / و فوق مقام القصد للكل مقصد ***اليك اتی باعة اذا جئته شبرا / تحقق باثار الاواني مجانبا *** بروق المعانی فالعظيم بنا احرى / علیک سلام الله يا طالب الهدی *** مدالدهر ما مالت غصون الحماسکرا. این رساله به درخواست برخی از دوستان سراینده نگاشته است.</w:t>
      </w:r>
    </w:p>
    <w:p>
      <w:pPr>
        <w:pStyle w:val="BookText"/>
      </w:pPr>
      <w:r>
        <w:rPr>
          <w:rFonts w:ascii="IRNazanin" w:hAnsi="IRNazanin" w:eastAsia="IRNazanin" w:cs="IRNazanin"/>
          <w:lang w:bidi="fa-IR"/>
          <w:color w:val="111111"/>
          <w:sz w:val="28"/>
          <w:szCs w:val="28"/>
          <w:rtl/>
        </w:rPr>
        <w:t xml:space="preserve">آغاز: الحمدلله و سلام على عباده الذين اصطفى من اهل الصدق و الوفا ... اما بعد، فقد طلب مني بعض الاحبة الأعزة حفظه الله تعالی رب العزة أن شرح هذه الأبيات الخمسة</w:t>
      </w:r>
    </w:p>
    <w:p>
      <w:pPr>
        <w:pStyle w:val="BookText"/>
      </w:pPr>
      <w:r>
        <w:rPr>
          <w:rFonts w:ascii="IRNazanin" w:hAnsi="IRNazanin" w:eastAsia="IRNazanin" w:cs="IRNazanin"/>
          <w:lang w:bidi="fa-IR"/>
          <w:color w:val="111111"/>
          <w:sz w:val="28"/>
          <w:szCs w:val="28"/>
          <w:rtl/>
        </w:rPr>
        <w:t xml:space="preserve">[ایضاح المكنون ۱۹۱/۱ ؛ هدية العارفین ۵۹۰/۱ ؛ معجم المؤلفين ۲۷۱/۵ ]</w:t>
      </w:r>
    </w:p>
    <w:p>
      <w:pPr>
        <w:pStyle w:val="BookText"/>
      </w:pPr>
      <w:r>
        <w:rPr>
          <w:rFonts w:ascii="IRNazanin" w:hAnsi="IRNazanin" w:eastAsia="IRNazanin" w:cs="IRNazanin"/>
          <w:lang w:bidi="fa-IR"/>
          <w:color w:val="111111"/>
          <w:sz w:val="28"/>
          <w:szCs w:val="28"/>
          <w:rtl/>
        </w:rPr>
        <w:t xml:space="preserve">قم؛ مرعشی؛ شماره نسخه: ۱۳۷۰۴/۹</w:t>
      </w:r>
    </w:p>
    <w:p>
      <w:pPr>
        <w:pStyle w:val="BookText"/>
      </w:pPr>
      <w:r>
        <w:rPr>
          <w:rFonts w:ascii="IRNazanin" w:hAnsi="IRNazanin" w:eastAsia="IRNazanin" w:cs="IRNazanin"/>
          <w:lang w:bidi="fa-IR"/>
          <w:color w:val="111111"/>
          <w:sz w:val="28"/>
          <w:szCs w:val="28"/>
          <w:rtl/>
        </w:rPr>
        <w:t xml:space="preserve">آغاز: الحمدلله و سلام على عباده الذين اصطفى من اهل الصدق و الوفا ... اما بعد، فقد طلب مني بعض الاحبة الأعزة حفظه الله تعالی رب العزة أن شرح هذه الأبيات الخمسة؛ انجام: و الحمدلله على كل حال و صلی الله على سيدنا محمد و جميع الآل</w:t>
      </w:r>
    </w:p>
    <w:p>
      <w:pPr>
        <w:pStyle w:val="BookText"/>
      </w:pPr>
      <w:r>
        <w:rPr>
          <w:rFonts w:ascii="IRNazanin" w:hAnsi="IRNazanin" w:eastAsia="IRNazanin" w:cs="IRNazanin"/>
          <w:lang w:bidi="fa-IR"/>
          <w:color w:val="111111"/>
          <w:sz w:val="28"/>
          <w:szCs w:val="28"/>
          <w:rtl/>
        </w:rPr>
        <w:t xml:space="preserve">خط: نسخ، کا: محيي الدين بن قاسم نبکی، تا: ۱۱۹۶ق؛ کاغذ:فرنگی، گ (۱۱۰-۱۱۵)، ۲۵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۸سم [ف: ۳۴- ۶۳۰]</w:t>
      </w:r>
    </w:p>
    <w:p>
      <w:pPr>
        <w:pStyle w:val="Heading3"/>
      </w:pPr>
      <w:bookmarkStart w:id="912" w:name="_Toc172"/>
      <w:r>
        <w:t>• بقية النقية / تراجم / فارسی</w:t>
      </w:r>
      <w:bookmarkEnd w:id="912"/>
    </w:p>
    <w:p>
      <w:pPr>
        <w:pStyle w:val="BookText"/>
      </w:pPr>
      <w:r>
        <w:rPr>
          <w:rFonts w:ascii="Times New Roman" w:hAnsi="Times New Roman" w:eastAsia="Times New Roman" w:cs="Times New Roman"/>
          <w:lang w:val="en-US" w:bidi="en-US"/>
          <w:color w:val="111111"/>
          <w:sz w:val="28"/>
          <w:szCs w:val="28"/>
          <w:rtl/>
        </w:rPr>
        <w:t xml:space="preserve">baqīyyat-on naqīyya</w:t>
      </w:r>
    </w:p>
    <w:p>
      <w:pPr>
        <w:pStyle w:val="BookText"/>
      </w:pPr>
      <w:r>
        <w:rPr>
          <w:rFonts w:ascii="IRNazanin" w:hAnsi="IRNazanin" w:eastAsia="IRNazanin" w:cs="IRNazanin"/>
          <w:lang w:bidi="fa-IR"/>
          <w:color w:val="111111"/>
          <w:sz w:val="28"/>
          <w:szCs w:val="28"/>
          <w:rtl/>
        </w:rPr>
        <w:t xml:space="preserve">شیخ زاده فایض نیمردانی، ق ۱۰ قمری</w:t>
      </w:r>
    </w:p>
    <w:p>
      <w:pPr>
        <w:pStyle w:val="BookText"/>
      </w:pPr>
      <w:r>
        <w:rPr>
          <w:rFonts w:ascii="Times New Roman" w:hAnsi="Times New Roman" w:eastAsia="Times New Roman" w:cs="Times New Roman"/>
          <w:lang w:val="en-US" w:bidi="en-US"/>
          <w:color w:val="111111"/>
          <w:sz w:val="28"/>
          <w:szCs w:val="28"/>
          <w:rtl/>
        </w:rPr>
        <w:t xml:space="preserve">šeyx-zāde fāyez-e nīmardānī (- 160)</w:t>
      </w:r>
    </w:p>
    <w:p>
      <w:pPr>
        <w:pStyle w:val="BookText"/>
      </w:pPr>
      <w:r>
        <w:rPr>
          <w:rFonts w:ascii="IRNazanin" w:hAnsi="IRNazanin" w:eastAsia="IRNazanin" w:cs="IRNazanin"/>
          <w:lang w:bidi="fa-IR"/>
          <w:color w:val="111111"/>
          <w:sz w:val="28"/>
          <w:szCs w:val="28"/>
          <w:rtl/>
        </w:rPr>
        <w:t xml:space="preserve">وابسته به: مجالس النفائس؛ امیر علیشیر نوائی، علیشیر بن کی چکنه (۸۴۴-۹۰۶)</w:t>
      </w:r>
    </w:p>
    <w:p>
      <w:pPr>
        <w:pStyle w:val="BookText"/>
      </w:pPr>
      <w:r>
        <w:rPr>
          <w:rFonts w:ascii="IRNazanin" w:hAnsi="IRNazanin" w:eastAsia="IRNazanin" w:cs="IRNazanin"/>
          <w:lang w:bidi="fa-IR"/>
          <w:color w:val="111111"/>
          <w:sz w:val="28"/>
          <w:szCs w:val="28"/>
          <w:rtl/>
        </w:rPr>
        <w:t xml:space="preserve">تاریخ تأليف: ۹۶۱ق</w:t>
      </w:r>
    </w:p>
    <w:p>
      <w:pPr>
        <w:pStyle w:val="BookText"/>
      </w:pPr>
      <w:r>
        <w:rPr>
          <w:rFonts w:ascii="IRNazanin" w:hAnsi="IRNazanin" w:eastAsia="IRNazanin" w:cs="IRNazanin"/>
          <w:lang w:bidi="fa-IR"/>
          <w:color w:val="111111"/>
          <w:sz w:val="28"/>
          <w:szCs w:val="28"/>
          <w:rtl/>
        </w:rPr>
        <w:t xml:space="preserve">«تذکره مجالس النفایس» که به زبان ترکی جغتایی به قلم امیر علی شیر نوایی وزیر با تدبیر سلطان حسین میرزا بایقرا نوشته شده است تا کنون دو ترجمه فارسی از آن در دست بود که هر دو را آقای علی اصغر حکمت به چاپ رسانده است، ولی نسخه ما غیر از این دو است و دارای فزونی هایی است که در آن دو ترجمه نیست و مترجم نسخه ما شخصی به نام «شیخ زاده فایض نیمردانی» که کتابت نسخه هم به وسیله او انجام پذیرفته آن را به سال ۹۶۱ هجری ترجمه و به نام «بقية النقية» معنون گردانیده است.</w:t>
      </w:r>
    </w:p>
    <w:p>
      <w:pPr>
        <w:pStyle w:val="BookText"/>
      </w:pPr>
      <w:r>
        <w:rPr>
          <w:rFonts w:ascii="IRNazanin" w:hAnsi="IRNazanin" w:eastAsia="IRNazanin" w:cs="IRNazanin"/>
          <w:lang w:bidi="fa-IR"/>
          <w:color w:val="111111"/>
          <w:sz w:val="28"/>
          <w:szCs w:val="28"/>
          <w:rtl/>
        </w:rPr>
        <w:t xml:space="preserve">ساری؛ طاهری شهاب؛ شماره نسخه: ۲۲۴/۱</w:t>
      </w:r>
    </w:p>
    <w:p>
      <w:pPr>
        <w:pStyle w:val="BookText"/>
      </w:pPr>
      <w:r>
        <w:rPr>
          <w:rFonts w:ascii="IRNazanin" w:hAnsi="IRNazanin" w:eastAsia="IRNazanin" w:cs="IRNazanin"/>
          <w:lang w:bidi="fa-IR"/>
          <w:color w:val="111111"/>
          <w:sz w:val="28"/>
          <w:szCs w:val="28"/>
          <w:rtl/>
        </w:rPr>
        <w:t xml:space="preserve">آغاز: اگر چه این طرز سخن که مشتمل بر تذکره اکابر شعرای سابقه و محتوی بر ایرادا ماجد فضلای سالفه تواند بود مخصوص است به غفران نصاب مرحمت انتساب امير دولتشاه بن قاضی بختی شاه اسفراینی ...... اما این امیر کبیر را طبع شریف بذكر اکابر این عصر و افاضل این دهر مبادرت نموده و چون لغت ترکی جبلی ذات آن حضرت بوده ... و اکثر اعزه اصحاب و بیشتر اجله احباب ازین فواید بعلت امر مذکور مایوس و مرحوم می نموده اند، سیما متر جم این مقاله و مسود این رساله اقل عبادالله جرما و اقويهم جرما الراجی بتوفيق السبحانی معروبه شیخ زاده فایض نیمردانی در حل معنی این لغات کوشیده و مبانی معانی آن را بعنوان فارسی با بعضی تصرفات بایراد رسانیده ... و تسمیه آن به (بقية النقية) مناسب نمود؛ انجام: الحمد الله على الطاف نعمه و اصناف کرمه که خامه عنبر شمامه چنانچه در بدایت این رقم توفیق یافت همچنان بنهایت این کتابت تایید پذیرفت. قد تم کتابتی بعون الوهاب. ترجمه این کلام در تاریخ سنه ۹۶۱ باختتام انجامید و هو الهادي إلى سبيل الرشاد.</w:t>
      </w:r>
    </w:p>
    <w:p>
      <w:pPr>
        <w:pStyle w:val="BookText"/>
      </w:pPr>
      <w:r>
        <w:rPr>
          <w:rFonts w:ascii="IRNazanin" w:hAnsi="IRNazanin" w:eastAsia="IRNazanin" w:cs="IRNazanin"/>
          <w:lang w:bidi="fa-IR"/>
          <w:color w:val="111111"/>
          <w:sz w:val="28"/>
          <w:szCs w:val="28"/>
          <w:rtl/>
        </w:rPr>
        <w:t xml:space="preserve">خط: نستعلیق، کاتب = مؤلف، تا: قرن ۱۰؛ کاغذ: سمرقندی، ۳۶ص، ۲۸ سطر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[نشریه: ۶-۶۳۱]</w:t>
      </w:r>
    </w:p>
    <w:p>
      <w:pPr>
        <w:pStyle w:val="Heading3"/>
      </w:pPr>
      <w:bookmarkStart w:id="913" w:name="_Toc173"/>
      <w:r>
        <w:t>• البقيع / تاریخ عربی</w:t>
      </w:r>
      <w:bookmarkEnd w:id="913"/>
    </w:p>
    <w:p>
      <w:pPr>
        <w:pStyle w:val="BookText"/>
      </w:pPr>
      <w:r>
        <w:rPr>
          <w:rFonts w:ascii="Times New Roman" w:hAnsi="Times New Roman" w:eastAsia="Times New Roman" w:cs="Times New Roman"/>
          <w:lang w:val="en-US" w:bidi="en-US"/>
          <w:color w:val="111111"/>
          <w:sz w:val="28"/>
          <w:szCs w:val="28"/>
          <w:rtl/>
        </w:rPr>
        <w:t xml:space="preserve">al-baqī“</w:t>
      </w:r>
    </w:p>
    <w:p>
      <w:pPr>
        <w:pStyle w:val="BookText"/>
      </w:pPr>
      <w:r>
        <w:rPr>
          <w:rFonts w:ascii="IRNazanin" w:hAnsi="IRNazanin" w:eastAsia="IRNazanin" w:cs="IRNazanin"/>
          <w:lang w:bidi="fa-IR"/>
          <w:color w:val="111111"/>
          <w:sz w:val="28"/>
          <w:szCs w:val="28"/>
          <w:rtl/>
        </w:rPr>
        <w:t xml:space="preserve">عبد الله</w:t>
      </w:r>
    </w:p>
    <w:p>
      <w:pPr>
        <w:pStyle w:val="BookText"/>
      </w:pPr>
      <w:r>
        <w:rPr>
          <w:rFonts w:ascii="Times New Roman" w:hAnsi="Times New Roman" w:eastAsia="Times New Roman" w:cs="Times New Roman"/>
          <w:lang w:val="en-US" w:bidi="en-US"/>
          <w:color w:val="111111"/>
          <w:sz w:val="28"/>
          <w:szCs w:val="28"/>
          <w:rtl/>
        </w:rPr>
        <w:t xml:space="preserve">abd-ol-lah</w:t>
      </w:r>
    </w:p>
    <w:p>
      <w:pPr>
        <w:pStyle w:val="BookText"/>
      </w:pPr>
      <w:r>
        <w:rPr>
          <w:rFonts w:ascii="IRNazanin" w:hAnsi="IRNazanin" w:eastAsia="IRNazanin" w:cs="IRNazanin"/>
          <w:lang w:bidi="fa-IR"/>
          <w:color w:val="111111"/>
          <w:sz w:val="28"/>
          <w:szCs w:val="28"/>
          <w:rtl/>
        </w:rPr>
        <w:t xml:space="preserve">اصفهان، دانشگاه؛ شماره نسخه:</w:t>
      </w:r>
    </w:p>
    <w:p>
      <w:pPr>
        <w:pStyle w:val="BookText"/>
      </w:pPr>
      <w:r>
        <w:rPr>
          <w:rFonts w:ascii="IRNazanin" w:hAnsi="IRNazanin" w:eastAsia="IRNazanin" w:cs="IRNazanin"/>
          <w:lang w:bidi="fa-IR"/>
          <w:color w:val="111111"/>
          <w:sz w:val="28"/>
          <w:szCs w:val="28"/>
          <w:rtl/>
        </w:rPr>
        <w:t xml:space="preserve">۲۵۹/۲ خط: نسخ، بی کا، تا: قرن ۱۱؛ کاغذ: سپاهانی [نشریه: ۱۱-۹۳۴]</w:t>
      </w:r>
    </w:p>
    <w:p>
      <w:pPr>
        <w:pStyle w:val="Heading3"/>
      </w:pPr>
      <w:bookmarkStart w:id="914" w:name="_Toc174"/>
      <w:r>
        <w:t>•بقیه نقيه / شعر / فارسی</w:t>
      </w:r>
      <w:bookmarkEnd w:id="914"/>
    </w:p>
    <w:p>
      <w:pPr>
        <w:pStyle w:val="BookText"/>
      </w:pPr>
      <w:r>
        <w:rPr>
          <w:rFonts w:ascii="Times New Roman" w:hAnsi="Times New Roman" w:eastAsia="Times New Roman" w:cs="Times New Roman"/>
          <w:lang w:val="en-US" w:bidi="en-US"/>
          <w:color w:val="111111"/>
          <w:sz w:val="28"/>
          <w:szCs w:val="28"/>
          <w:rtl/>
        </w:rPr>
        <w:t xml:space="preserve">baqiyye-ye naqiyye</w:t>
      </w:r>
    </w:p>
    <w:p>
      <w:pPr>
        <w:pStyle w:val="BookText"/>
      </w:pPr>
      <w:r>
        <w:rPr>
          <w:rFonts w:ascii="IRNazanin" w:hAnsi="IRNazanin" w:eastAsia="IRNazanin" w:cs="IRNazanin"/>
          <w:lang w:bidi="fa-IR"/>
          <w:color w:val="111111"/>
          <w:sz w:val="28"/>
          <w:szCs w:val="28"/>
          <w:rtl/>
        </w:rPr>
        <w:t xml:space="preserve">امیر خسرو، خسرو بن محمود، ۶۵۱-۷۲۵ قمری</w:t>
      </w:r>
    </w:p>
    <w:p>
      <w:pPr>
        <w:pStyle w:val="BookText"/>
      </w:pPr>
      <w:r>
        <w:rPr>
          <w:rFonts w:ascii="Times New Roman" w:hAnsi="Times New Roman" w:eastAsia="Times New Roman" w:cs="Times New Roman"/>
          <w:lang w:val="en-US" w:bidi="en-US"/>
          <w:color w:val="111111"/>
          <w:sz w:val="28"/>
          <w:szCs w:val="28"/>
          <w:rtl/>
        </w:rPr>
        <w:t xml:space="preserve">amir xosrow, xosrow ebn-e mahmud (1254-1326)</w:t>
      </w:r>
    </w:p>
    <w:p>
      <w:pPr>
        <w:pStyle w:val="BookText"/>
      </w:pPr>
      <w:r>
        <w:rPr>
          <w:rFonts w:ascii="IRNazanin" w:hAnsi="IRNazanin" w:eastAsia="IRNazanin" w:cs="IRNazanin"/>
          <w:lang w:bidi="fa-IR"/>
          <w:color w:val="111111"/>
          <w:sz w:val="28"/>
          <w:szCs w:val="28"/>
          <w:rtl/>
        </w:rPr>
        <w:t xml:space="preserve">آغاز: از ورق منیر ماه و زورق مستنير خورشید بدان نمونه تنویر فرمود که ارواح و اختران را آنجا رقم ادراک میان گسسته ... بقیه ایست نقيه ز فیض طبع من این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که چون طبایع افلاک محکم است و متین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2" w:name="pg20363_209218"/>
    <w:bookmarkEnd w:id="62"/>
    <w:p>
      <w:pPr>
        <w:pStyle w:val="BookText"/>
      </w:pPr>
      <w:r>
        <w:rPr>
          <w:rFonts w:ascii="IRNazanin" w:hAnsi="IRNazanin" w:eastAsia="IRNazanin" w:cs="IRNazanin"/>
          <w:lang w:bidi="fa-IR"/>
          <w:color w:val="111111"/>
          <w:sz w:val="28"/>
          <w:szCs w:val="28"/>
          <w:rtl/>
        </w:rPr>
        <w:t xml:space="preserve">۱. تهران؛ سلطنتی؛ شماره نسخه: ۸۸۳/۱</w:t>
      </w:r>
    </w:p>
    <w:p>
      <w:pPr>
        <w:pStyle w:val="BookText"/>
      </w:pPr>
      <w:r>
        <w:rPr>
          <w:rFonts w:ascii="IRNazanin" w:hAnsi="IRNazanin" w:eastAsia="IRNazanin" w:cs="IRNazanin"/>
          <w:lang w:bidi="fa-IR"/>
          <w:color w:val="111111"/>
          <w:sz w:val="28"/>
          <w:szCs w:val="28"/>
          <w:rtl/>
        </w:rPr>
        <w:t xml:space="preserve">آغاز: برابر؛ انجام آن یار کر وصل از او کم امید بود*** آمد ز سفر که خانه جاوید بود / از گرمی خور پوست روشن شده بود*** سک نیست که سلخ مه ز خورشید بود؟</w:t>
      </w:r>
    </w:p>
    <w:p>
      <w:pPr>
        <w:pStyle w:val="BookText"/>
      </w:pPr>
      <w:r>
        <w:rPr>
          <w:rFonts w:ascii="IRNazanin" w:hAnsi="IRNazanin" w:eastAsia="IRNazanin" w:cs="IRNazanin"/>
          <w:lang w:bidi="fa-IR"/>
          <w:color w:val="111111"/>
          <w:sz w:val="28"/>
          <w:szCs w:val="28"/>
          <w:rtl/>
        </w:rPr>
        <w:t xml:space="preserve">با مقدمه مفصل منثور که در متن نگاشته شده است؛ خط: نستعلیق متوسط، كا: عبدالله كاتب اصفهانی، تا: ۸۶۲ق؛ کاغذ: اصفهانی، جلد: مقوای ابره میشن تیماج مشکی متن و یک حاشیه کتیبه ای ضربی طلاپوش گل برجسته، قطع: نیم ورقی،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۴-۱۰۲۵]</w:t>
      </w:r>
    </w:p>
    <w:p>
      <w:pPr>
        <w:pStyle w:val="BookText"/>
      </w:pPr>
      <w:r>
        <w:rPr>
          <w:rFonts w:ascii="IRNazanin" w:hAnsi="IRNazanin" w:eastAsia="IRNazanin" w:cs="IRNazanin"/>
          <w:lang w:bidi="fa-IR"/>
          <w:color w:val="111111"/>
          <w:sz w:val="28"/>
          <w:szCs w:val="28"/>
          <w:rtl/>
        </w:rPr>
        <w:t xml:space="preserve">۲. تهران؛ سلطنتی؛ شماره نسخه: ۳۹۲/۳</w:t>
      </w:r>
    </w:p>
    <w:p>
      <w:pPr>
        <w:pStyle w:val="BookText"/>
      </w:pPr>
      <w:r>
        <w:rPr>
          <w:rFonts w:ascii="IRNazanin" w:hAnsi="IRNazanin" w:eastAsia="IRNazanin" w:cs="IRNazanin"/>
          <w:lang w:bidi="fa-IR"/>
          <w:color w:val="111111"/>
          <w:sz w:val="28"/>
          <w:szCs w:val="28"/>
          <w:rtl/>
        </w:rPr>
        <w:t xml:space="preserve">خط: نستعلیق، کا: قطب شیرازی، تا: ۸۹۴ق؛ مجدول، دارای ۶ سر لوح و ۹ سرفصل مذهب مرصع ممتاز؛ مهر: مشیرالسلطنه، حسین بن هدایت الله محمد رضا الحسینی، ناصرالدین شاه قاجار ۱۲۷۴؛ کاغذ: اصفهانی، جلد: مقوای روکش میشن پشمی وسط ترنج و چهار سر ترنج و نیم ترنج و چهار لچکی و حاشیه منگنهای کار محمد باقر ۱۲۴۰، ۱۹ سطر در متن ۴۰ نیم سطر در حاشیه، قطع : وزیری،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۳-۴۱]</w:t>
      </w:r>
    </w:p>
    <w:p>
      <w:pPr>
        <w:pStyle w:val="BookText"/>
      </w:pPr>
      <w:r>
        <w:rPr>
          <w:rFonts w:ascii="IRNazanin" w:hAnsi="IRNazanin" w:eastAsia="IRNazanin" w:cs="IRNazanin"/>
          <w:lang w:bidi="fa-IR"/>
          <w:color w:val="111111"/>
          <w:sz w:val="28"/>
          <w:szCs w:val="28"/>
          <w:rtl/>
        </w:rPr>
        <w:t xml:space="preserve">٣. مشهد؛ رضوی؛ شماره نسخه: ۴۹۱۰/۴</w:t>
      </w:r>
    </w:p>
    <w:p>
      <w:pPr>
        <w:pStyle w:val="BookText"/>
      </w:pPr>
      <w:r>
        <w:rPr>
          <w:rFonts w:ascii="IRNazanin" w:hAnsi="IRNazanin" w:eastAsia="IRNazanin" w:cs="IRNazanin"/>
          <w:lang w:bidi="fa-IR"/>
          <w:color w:val="111111"/>
          <w:sz w:val="28"/>
          <w:szCs w:val="28"/>
          <w:rtl/>
        </w:rPr>
        <w:t xml:space="preserve">آغاز: برابر؛ انجام: بر گیر و اندر آب روان کن سفینه ها *** در پیش این سفینه که بر آب دیگرست / این بنده پروری که از باران رحمتت *** در قعر بحر کرده شده در و گوهرست نسخه ما دیباچه منثور ندارد؛ خط: نستعلیق بسیار مغلوط هند، بی کا، تا: قرن ۱۰؛ واقف: نابینی؛ کاغذ: نخودی، ۴۳ سطر (۱۰/۸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[ف: ۷-۶۷۵]</w:t>
      </w:r>
    </w:p>
    <w:p>
      <w:pPr>
        <w:pStyle w:val="BookText"/>
      </w:pPr>
      <w:r>
        <w:rPr>
          <w:rFonts w:ascii="IRNazanin" w:hAnsi="IRNazanin" w:eastAsia="IRNazanin" w:cs="IRNazanin"/>
          <w:lang w:bidi="fa-IR"/>
          <w:color w:val="111111"/>
          <w:sz w:val="28"/>
          <w:szCs w:val="28"/>
          <w:rtl/>
        </w:rPr>
        <w:t xml:space="preserve">۴. تهران: مجلس؛ شماره نسخه: ۱۶۲۲۱</w:t>
      </w:r>
    </w:p>
    <w:p>
      <w:pPr>
        <w:pStyle w:val="BookText"/>
      </w:pPr>
      <w:r>
        <w:rPr>
          <w:rFonts w:ascii="IRNazanin" w:hAnsi="IRNazanin" w:eastAsia="IRNazanin" w:cs="IRNazanin"/>
          <w:lang w:bidi="fa-IR"/>
          <w:color w:val="111111"/>
          <w:sz w:val="28"/>
          <w:szCs w:val="28"/>
          <w:rtl/>
        </w:rPr>
        <w:t xml:space="preserve">خط: نستعلیق، بی کا، تا: قرن ۱۱ [مختصر ف: ۱۱۰]</w:t>
      </w:r>
    </w:p>
    <w:p>
      <w:pPr>
        <w:pStyle w:val="BookText"/>
      </w:pPr>
      <w:r>
        <w:rPr>
          <w:rFonts w:ascii="IRNazanin" w:hAnsi="IRNazanin" w:eastAsia="IRNazanin" w:cs="IRNazanin"/>
          <w:lang w:bidi="fa-IR"/>
          <w:color w:val="111111"/>
          <w:sz w:val="28"/>
          <w:szCs w:val="28"/>
          <w:rtl/>
        </w:rPr>
        <w:t xml:space="preserve">۵. تهران؛ سلطنتی؛ شماره نسخه: ۴۰۱/۶</w:t>
      </w:r>
    </w:p>
    <w:p>
      <w:pPr>
        <w:pStyle w:val="BookText"/>
      </w:pPr>
      <w:r>
        <w:rPr>
          <w:rFonts w:ascii="IRNazanin" w:hAnsi="IRNazanin" w:eastAsia="IRNazanin" w:cs="IRNazanin"/>
          <w:lang w:bidi="fa-IR"/>
          <w:color w:val="111111"/>
          <w:sz w:val="28"/>
          <w:szCs w:val="28"/>
          <w:rtl/>
        </w:rPr>
        <w:t xml:space="preserve">خط: نستعلیق، بی کا، بی تا، دارای یادداشت هایی بدین شرح: «کلیات امیر خسرو دهلوی قطع بزرگ با سایر صفاین نسخ ۱۰۶۴ داخل عرض خزانه عامره شد»، «بتاریخ شهر شعبان ۱۰۹۷ داخل عرض خزانه شد»، «بتاریخ شهر ربيع الأول ۱۱۰۷ داخل عرض خزانه عامره شد»، سنوات فوق الذکر مربوط به دوران پادشاهان صفوی است و جمع دار کتابخانه آقا مشفق نامی بوده است، یادداشت به این شرح «مطابق ثبت کتابچه کتابخانه مبارکه است با نشان امهار. حسین بن هدایت الله -محمد رضا الحسینی -مشیر السلطنه ۱۳۲۲»، مجدول، کمند کشی، یک سرلوح مذهب مرصع بسیار خوب، شامل ۲۱ سرفصل مذهب مرصع به طرح های مختلف؛ مهر: عبده احمد، علی بن ابیطالب، محمود، ناصر الدین شاه؛ کاغذ: اصفهانی شکری رنگ، جلد: مقوای روکش چرم ساغری مشکی مجدول زرین، ۲۵ سطر، قطع: نیم ورقی حجیم، اندازه: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۳۰سم [ف: ۳-۵۲]</w:t>
      </w:r>
    </w:p>
    <w:p>
      <w:pPr>
        <w:pStyle w:val="BookText"/>
      </w:pPr>
      <w:r>
        <w:rPr>
          <w:rFonts w:ascii="IRNazanin" w:hAnsi="IRNazanin" w:eastAsia="IRNazanin" w:cs="IRNazanin"/>
          <w:lang w:bidi="fa-IR"/>
          <w:color w:val="111111"/>
          <w:sz w:val="28"/>
          <w:szCs w:val="28"/>
          <w:rtl/>
        </w:rPr>
        <w:t xml:space="preserve">۶. تهران؛ ملک؛ شماره نسخه: ۳۶۸۰/۷</w:t>
      </w:r>
    </w:p>
    <w:p>
      <w:pPr>
        <w:pStyle w:val="BookText"/>
      </w:pPr>
      <w:r>
        <w:rPr>
          <w:rFonts w:ascii="IRNazanin" w:hAnsi="IRNazanin" w:eastAsia="IRNazanin" w:cs="IRNazanin"/>
          <w:lang w:bidi="fa-IR"/>
          <w:color w:val="111111"/>
          <w:sz w:val="28"/>
          <w:szCs w:val="28"/>
          <w:rtl/>
        </w:rPr>
        <w:t xml:space="preserve">نسبت خط و کتابت از بقیه و نقيه؛ خط: شکسته نستعلیق، کا: میرزا</w:t>
      </w:r>
    </w:p>
    <w:p>
      <w:pPr>
        <w:pStyle w:val="BookText"/>
      </w:pPr>
      <w:r>
        <w:rPr>
          <w:rFonts w:ascii="IRNazanin" w:hAnsi="IRNazanin" w:eastAsia="IRNazanin" w:cs="IRNazanin"/>
          <w:lang w:bidi="fa-IR"/>
          <w:color w:val="111111"/>
          <w:sz w:val="28"/>
          <w:szCs w:val="28"/>
          <w:rtl/>
        </w:rPr>
        <w:t xml:space="preserve">حسن کرمانی، تا: قرن ۱۲ [ف: ۷-۱۹]</w:t>
      </w:r>
    </w:p>
    <w:p>
      <w:pPr>
        <w:pStyle w:val="Heading3"/>
      </w:pPr>
      <w:bookmarkStart w:id="915" w:name="_Toc175"/>
      <w:r>
        <w:t>• بكاء العالمين على مصاب الحسين عليه السلام / تاریخ / عربی</w:t>
      </w:r>
      <w:bookmarkEnd w:id="915"/>
    </w:p>
    <w:p>
      <w:pPr>
        <w:pStyle w:val="BookText"/>
      </w:pPr>
      <w:r>
        <w:rPr>
          <w:rFonts w:ascii="Times New Roman" w:hAnsi="Times New Roman" w:eastAsia="Times New Roman" w:cs="Times New Roman"/>
          <w:lang w:val="en-US" w:bidi="en-US"/>
          <w:color w:val="111111"/>
          <w:sz w:val="28"/>
          <w:szCs w:val="28"/>
          <w:rtl/>
        </w:rPr>
        <w:t xml:space="preserve">bukā”-ul ‘ālamin ‘alā masāb-il husayn ‘alay-hi-s-salām</w:t>
      </w:r>
    </w:p>
    <w:p>
      <w:pPr>
        <w:pStyle w:val="BookText"/>
      </w:pPr>
      <w:r>
        <w:rPr>
          <w:rFonts w:ascii="IRNazanin" w:hAnsi="IRNazanin" w:eastAsia="IRNazanin" w:cs="IRNazanin"/>
          <w:lang w:bidi="fa-IR"/>
          <w:color w:val="111111"/>
          <w:sz w:val="28"/>
          <w:szCs w:val="28"/>
          <w:rtl/>
        </w:rPr>
        <w:t xml:space="preserve">کزازی، محمد رفیع بن عبدالمحمد، ق ۱۴ قمری</w:t>
      </w:r>
    </w:p>
    <w:p>
      <w:pPr>
        <w:pStyle w:val="BookText"/>
      </w:pPr>
      <w:r>
        <w:rPr>
          <w:rFonts w:ascii="Times New Roman" w:hAnsi="Times New Roman" w:eastAsia="Times New Roman" w:cs="Times New Roman"/>
          <w:lang w:val="en-US" w:bidi="en-US"/>
          <w:color w:val="111111"/>
          <w:sz w:val="28"/>
          <w:szCs w:val="28"/>
          <w:rtl/>
        </w:rPr>
        <w:t xml:space="preserve">kazzāzī, mohammad rafi“ ebn-e 'abd-ol-mohammad ( 20c)</w:t>
      </w:r>
    </w:p>
    <w:p>
      <w:pPr>
        <w:pStyle w:val="BookText"/>
      </w:pPr>
      <w:r>
        <w:rPr>
          <w:rFonts w:ascii="IRNazanin" w:hAnsi="IRNazanin" w:eastAsia="IRNazanin" w:cs="IRNazanin"/>
          <w:lang w:bidi="fa-IR"/>
          <w:color w:val="111111"/>
          <w:sz w:val="28"/>
          <w:szCs w:val="28"/>
          <w:rtl/>
        </w:rPr>
        <w:t xml:space="preserve">تاریخ تألیف: شب عید غدیر ذیحجه ۱۲۹۵ق</w:t>
      </w:r>
    </w:p>
    <w:p>
      <w:pPr>
        <w:pStyle w:val="BookText"/>
      </w:pPr>
      <w:r>
        <w:rPr>
          <w:rFonts w:ascii="IRNazanin" w:hAnsi="IRNazanin" w:eastAsia="IRNazanin" w:cs="IRNazanin"/>
          <w:lang w:bidi="fa-IR"/>
          <w:color w:val="111111"/>
          <w:sz w:val="28"/>
          <w:szCs w:val="28"/>
          <w:rtl/>
        </w:rPr>
        <w:t xml:space="preserve">در تاریخ تولد تا شهادت امام حسين عليه السلام و مصائب ایشان مشتمل بر «مقدمه» و سه «باب» و «خاتمه». آغاز: الحمدلله الذي جعلنا من أمة خاتم الانبياء والمرسلين ففضلنا على سائر الأمم ومن علينا بأن جعلنا من شيعة على بن ابیطالب».</w:t>
      </w:r>
    </w:p>
    <w:p>
      <w:pPr>
        <w:pStyle w:val="BookText"/>
      </w:pPr>
      <w:r>
        <w:rPr>
          <w:rFonts w:ascii="Amiri" w:hAnsi="Amiri" w:eastAsia="Amiri" w:cs="Amiri"/>
          <w:lang w:bidi="ar-SA"/>
          <w:color w:val="111111"/>
          <w:sz w:val="28"/>
          <w:szCs w:val="28"/>
          <w:rtl/>
        </w:rPr>
        <w:t xml:space="preserve">[ الذريعة ۱۳۹/۳ ]</w:t>
      </w:r>
    </w:p>
    <w:p>
      <w:pPr>
        <w:pStyle w:val="BookText"/>
      </w:pPr>
      <w:r>
        <w:rPr>
          <w:rFonts w:ascii="IRNazanin" w:hAnsi="IRNazanin" w:eastAsia="IRNazanin" w:cs="IRNazanin"/>
          <w:lang w:bidi="fa-IR"/>
          <w:color w:val="111111"/>
          <w:sz w:val="28"/>
          <w:szCs w:val="28"/>
          <w:rtl/>
        </w:rPr>
        <w:t xml:space="preserve">۱. تهران؛ مجلس؛ شماره نسخه: ۱۶۳۷۲ ض</w:t>
      </w:r>
    </w:p>
    <w:p>
      <w:pPr>
        <w:pStyle w:val="BookText"/>
      </w:pPr>
      <w:r>
        <w:rPr>
          <w:rFonts w:ascii="IRNazanin" w:hAnsi="IRNazanin" w:eastAsia="IRNazanin" w:cs="IRNazanin"/>
          <w:lang w:bidi="fa-IR"/>
          <w:color w:val="111111"/>
          <w:sz w:val="28"/>
          <w:szCs w:val="28"/>
          <w:rtl/>
        </w:rPr>
        <w:t xml:space="preserve">بی کا، تا: قرن ۱۳ [د.ث. مجلس]</w:t>
      </w:r>
    </w:p>
    <w:p>
      <w:pPr>
        <w:pStyle w:val="BookText"/>
      </w:pPr>
      <w:r>
        <w:rPr>
          <w:rFonts w:ascii="IRNazanin" w:hAnsi="IRNazanin" w:eastAsia="IRNazanin" w:cs="IRNazanin"/>
          <w:lang w:bidi="fa-IR"/>
          <w:color w:val="111111"/>
          <w:sz w:val="28"/>
          <w:szCs w:val="28"/>
          <w:rtl/>
        </w:rPr>
        <w:t xml:space="preserve">۲. قم: مرکز احیاء؛ شماره نسخه: ۲۷۷۶</w:t>
      </w:r>
    </w:p>
    <w:p>
      <w:pPr>
        <w:pStyle w:val="BookText"/>
      </w:pPr>
      <w:r>
        <w:rPr>
          <w:rFonts w:ascii="IRNazanin" w:hAnsi="IRNazanin" w:eastAsia="IRNazanin" w:cs="IRNazanin"/>
          <w:lang w:bidi="fa-IR"/>
          <w:color w:val="111111"/>
          <w:sz w:val="28"/>
          <w:szCs w:val="28"/>
          <w:rtl/>
        </w:rPr>
        <w:t xml:space="preserve">آغاز: برابر؛ انجام: وطول الخلود فيها وصيرنا الى من يقبل المتقین آمین</w:t>
      </w:r>
    </w:p>
    <w:p>
      <w:pPr>
        <w:pStyle w:val="BookText"/>
      </w:pPr>
      <w:r>
        <w:rPr>
          <w:rFonts w:ascii="IRNazanin" w:hAnsi="IRNazanin" w:eastAsia="IRNazanin" w:cs="IRNazanin"/>
          <w:lang w:bidi="fa-IR"/>
          <w:color w:val="111111"/>
          <w:sz w:val="28"/>
          <w:szCs w:val="28"/>
          <w:rtl/>
        </w:rPr>
        <w:t xml:space="preserve">خط: نسخ، بی کا، تا: در عصر مؤلف قرن ۱۳؛ مصحح، محشی، در برگ آخر خوابی به نقل از مؤلف بسال ۱۲۹۵ و مصادر مؤلف آمده؛ تملك: «عباس مشهور به واعظ مازندرانی» در رمضان ۱۲۹۸ با مهر بیضوی نام وی؛ جلد: تیاج قرمز ضربی، ۲۹۳، ۲۲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(محدث ارموی مخ: ۱-۲۵۹)</w:t>
      </w:r>
    </w:p>
    <w:p>
      <w:pPr>
        <w:pStyle w:val="Heading3"/>
      </w:pPr>
      <w:bookmarkStart w:id="916" w:name="_Toc176"/>
      <w:r>
        <w:t>• بكاء العين / تاریخ معصومین / فارسی</w:t>
      </w:r>
      <w:bookmarkEnd w:id="916"/>
    </w:p>
    <w:p>
      <w:pPr>
        <w:pStyle w:val="BookText"/>
      </w:pPr>
      <w:r>
        <w:rPr>
          <w:rFonts w:ascii="Times New Roman" w:hAnsi="Times New Roman" w:eastAsia="Times New Roman" w:cs="Times New Roman"/>
          <w:lang w:val="en-US" w:bidi="en-US"/>
          <w:color w:val="111111"/>
          <w:sz w:val="28"/>
          <w:szCs w:val="28"/>
          <w:rtl/>
        </w:rPr>
        <w:t xml:space="preserve">bokā’-ol ‘ayn</w:t>
      </w:r>
    </w:p>
    <w:p>
      <w:pPr>
        <w:pStyle w:val="BookText"/>
      </w:pPr>
      <w:r>
        <w:rPr>
          <w:rFonts w:ascii="IRNazanin" w:hAnsi="IRNazanin" w:eastAsia="IRNazanin" w:cs="IRNazanin"/>
          <w:lang w:bidi="fa-IR"/>
          <w:color w:val="111111"/>
          <w:sz w:val="28"/>
          <w:szCs w:val="28"/>
          <w:rtl/>
        </w:rPr>
        <w:t xml:space="preserve">موسوی، علی بن محمد رحیم، ق ۱۴ قمری</w:t>
      </w:r>
    </w:p>
    <w:p>
      <w:pPr>
        <w:pStyle w:val="BookText"/>
      </w:pPr>
      <w:r>
        <w:rPr>
          <w:rFonts w:ascii="Times New Roman" w:hAnsi="Times New Roman" w:eastAsia="Times New Roman" w:cs="Times New Roman"/>
          <w:lang w:val="en-US" w:bidi="en-US"/>
          <w:color w:val="111111"/>
          <w:sz w:val="28"/>
          <w:szCs w:val="28"/>
          <w:rtl/>
        </w:rPr>
        <w:t xml:space="preserve">mūsavī, ‘alī ebn-e mohammad rahīm (- 20c)</w:t>
      </w:r>
    </w:p>
    <w:p>
      <w:pPr>
        <w:pStyle w:val="BookText"/>
      </w:pPr>
      <w:r>
        <w:rPr>
          <w:rFonts w:ascii="IRNazanin" w:hAnsi="IRNazanin" w:eastAsia="IRNazanin" w:cs="IRNazanin"/>
          <w:lang w:bidi="fa-IR"/>
          <w:color w:val="111111"/>
          <w:sz w:val="28"/>
          <w:szCs w:val="28"/>
          <w:rtl/>
        </w:rPr>
        <w:t xml:space="preserve">تاریخ تأليف: چهارشنبه دهه اول شوال ۱۳۰۳ق؛ محل تأليف: مشهد مقدس</w:t>
      </w:r>
    </w:p>
    <w:p>
      <w:pPr>
        <w:pStyle w:val="BookText"/>
      </w:pPr>
      <w:r>
        <w:rPr>
          <w:rFonts w:ascii="IRNazanin" w:hAnsi="IRNazanin" w:eastAsia="IRNazanin" w:cs="IRNazanin"/>
          <w:lang w:bidi="fa-IR"/>
          <w:color w:val="111111"/>
          <w:sz w:val="28"/>
          <w:szCs w:val="28"/>
          <w:rtl/>
        </w:rPr>
        <w:t xml:space="preserve">در اسرار شهادت امام حسین(عليه السلام)و پاره ای از فضائل و مناقب آن حضرت به نظم و نثر و به روش عرفانی با شواهدی از احادیث و روایات. گویا این جزء قطعه ای از کتاب باشد و درباره امام حسن(عليه السلام)نیز جزئی دیگر بوده، و نامی که ذکر شد روی برگ اول به خطی نو نوشته شده است و باید تحقیق شود.</w:t>
      </w:r>
    </w:p>
    <w:p>
      <w:pPr>
        <w:pStyle w:val="BookText"/>
      </w:pPr>
      <w:r>
        <w:rPr>
          <w:rFonts w:ascii="IRNazanin" w:hAnsi="IRNazanin" w:eastAsia="IRNazanin" w:cs="IRNazanin"/>
          <w:lang w:bidi="fa-IR"/>
          <w:color w:val="111111"/>
          <w:sz w:val="28"/>
          <w:szCs w:val="28"/>
          <w:rtl/>
        </w:rPr>
        <w:t xml:space="preserve">[فهرستواره منزوی ۱۵۶۲/۳ ]</w:t>
      </w:r>
    </w:p>
    <w:p>
      <w:pPr>
        <w:pStyle w:val="BookText"/>
      </w:pPr>
      <w:r>
        <w:rPr>
          <w:rFonts w:ascii="IRNazanin" w:hAnsi="IRNazanin" w:eastAsia="IRNazanin" w:cs="IRNazanin"/>
          <w:lang w:bidi="fa-IR"/>
          <w:color w:val="111111"/>
          <w:sz w:val="28"/>
          <w:szCs w:val="28"/>
          <w:rtl/>
        </w:rPr>
        <w:t xml:space="preserve">قم؛ مرعشی؛ شماره نسخه: ۶۵۸۲</w:t>
      </w:r>
    </w:p>
    <w:p>
      <w:pPr>
        <w:pStyle w:val="BookText"/>
      </w:pPr>
      <w:r>
        <w:rPr>
          <w:rFonts w:ascii="IRNazanin" w:hAnsi="IRNazanin" w:eastAsia="IRNazanin" w:cs="IRNazanin"/>
          <w:lang w:bidi="fa-IR"/>
          <w:color w:val="111111"/>
          <w:sz w:val="28"/>
          <w:szCs w:val="28"/>
          <w:rtl/>
        </w:rPr>
        <w:t xml:space="preserve">آغاز: اللهم صل على الحسين بن على المظلوم ... حدیث از امام دوم شد تمام بیا بشنو اکنون نسیم امام؛ انجام: لا جرم از این جهت رفع صوت ببكاء و نحيب و جهر قول در مرثیه و شهيق نزد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3" w:name="pg20363_209219"/>
    <w:bookmarkEnd w:id="63"/>
    <w:p>
      <w:pPr>
        <w:pStyle w:val="BookText"/>
      </w:pPr>
      <w:r>
        <w:rPr>
          <w:rFonts w:ascii="IRNazanin" w:hAnsi="IRNazanin" w:eastAsia="IRNazanin" w:cs="IRNazanin"/>
          <w:lang w:bidi="fa-IR"/>
          <w:color w:val="111111"/>
          <w:sz w:val="28"/>
          <w:szCs w:val="28"/>
          <w:rtl/>
        </w:rPr>
        <w:t xml:space="preserve">ذکر مصیبت و بلیت آنجناب واجب گردید</w:t>
      </w:r>
    </w:p>
    <w:p>
      <w:pPr>
        <w:pStyle w:val="BookText"/>
      </w:pPr>
      <w:r>
        <w:rPr>
          <w:rFonts w:ascii="IRNazanin" w:hAnsi="IRNazanin" w:eastAsia="IRNazanin" w:cs="IRNazanin"/>
          <w:lang w:bidi="fa-IR"/>
          <w:color w:val="111111"/>
          <w:sz w:val="28"/>
          <w:szCs w:val="28"/>
          <w:rtl/>
        </w:rPr>
        <w:t xml:space="preserve">خط: نسخ و نستعلیق، کاتب = مؤلف، بی تا، دارای اشعاری گویا  از مؤلف و به خط وی؛ جلد: مقوایی عطف تیماج قهوه ای، ۱۳۰ گ، ۹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۱۷-۱۵۸]</w:t>
      </w:r>
    </w:p>
    <w:p>
      <w:pPr>
        <w:pStyle w:val="Heading3"/>
      </w:pPr>
      <w:bookmarkStart w:id="917" w:name="_Toc177"/>
      <w:r>
        <w:t>• البكاء على الحسين (عليه السلام)/ مراثی / عربی</w:t>
      </w:r>
      <w:bookmarkEnd w:id="917"/>
    </w:p>
    <w:p>
      <w:pPr>
        <w:pStyle w:val="BookText"/>
      </w:pPr>
      <w:r>
        <w:rPr>
          <w:rFonts w:ascii="Times New Roman" w:hAnsi="Times New Roman" w:eastAsia="Times New Roman" w:cs="Times New Roman"/>
          <w:lang w:val="en-US" w:bidi="en-US"/>
          <w:color w:val="111111"/>
          <w:sz w:val="28"/>
          <w:szCs w:val="28"/>
          <w:rtl/>
        </w:rPr>
        <w:t xml:space="preserve">al-bukā’ ‘ala-1 husayn</w:t>
      </w:r>
    </w:p>
    <w:p>
      <w:pPr>
        <w:pStyle w:val="BookText"/>
      </w:pPr>
      <w:r>
        <w:rPr>
          <w:rFonts w:ascii="IRNazanin" w:hAnsi="IRNazanin" w:eastAsia="IRNazanin" w:cs="IRNazanin"/>
          <w:lang w:bidi="fa-IR"/>
          <w:color w:val="111111"/>
          <w:sz w:val="28"/>
          <w:szCs w:val="28"/>
          <w:rtl/>
        </w:rPr>
        <w:t xml:space="preserve">امیر حسن بن عبد النبي، ق ۱۲ قمری</w:t>
      </w:r>
    </w:p>
    <w:p>
      <w:pPr>
        <w:pStyle w:val="BookText"/>
      </w:pPr>
      <w:r>
        <w:rPr>
          <w:rFonts w:ascii="Times New Roman" w:hAnsi="Times New Roman" w:eastAsia="Times New Roman" w:cs="Times New Roman"/>
          <w:lang w:val="en-US" w:bidi="en-US"/>
          <w:color w:val="111111"/>
          <w:sz w:val="28"/>
          <w:szCs w:val="28"/>
          <w:rtl/>
        </w:rPr>
        <w:t xml:space="preserve">amīr hasan-e-bn-e 'abd-on-nabī (- 18c)</w:t>
      </w:r>
    </w:p>
    <w:p>
      <w:pPr>
        <w:pStyle w:val="BookText"/>
      </w:pPr>
      <w:r>
        <w:rPr>
          <w:rFonts w:ascii="IRNazanin" w:hAnsi="IRNazanin" w:eastAsia="IRNazanin" w:cs="IRNazanin"/>
          <w:lang w:bidi="fa-IR"/>
          <w:color w:val="111111"/>
          <w:sz w:val="28"/>
          <w:szCs w:val="28"/>
          <w:rtl/>
        </w:rPr>
        <w:t xml:space="preserve">کتابی در بیان ثواب گریه و حزن بر مصایب امام حسین(عليه السلام) با استناد به روایات ائمه اطهار(عليه السلام) است.</w:t>
      </w:r>
    </w:p>
    <w:p>
      <w:pPr>
        <w:pStyle w:val="BookText"/>
      </w:pPr>
      <w:r>
        <w:rPr>
          <w:rFonts w:ascii="IRNazanin" w:hAnsi="IRNazanin" w:eastAsia="IRNazanin" w:cs="IRNazanin"/>
          <w:lang w:bidi="fa-IR"/>
          <w:color w:val="111111"/>
          <w:sz w:val="28"/>
          <w:szCs w:val="28"/>
          <w:rtl/>
        </w:rPr>
        <w:t xml:space="preserve">مشهد؛ رضوی؛ شماره نسخه: ۳۶۷۰۹</w:t>
      </w:r>
    </w:p>
    <w:p>
      <w:pPr>
        <w:pStyle w:val="BookText"/>
      </w:pPr>
      <w:r>
        <w:rPr>
          <w:rFonts w:ascii="IRNazanin" w:hAnsi="IRNazanin" w:eastAsia="IRNazanin" w:cs="IRNazanin"/>
          <w:lang w:bidi="fa-IR"/>
          <w:color w:val="111111"/>
          <w:sz w:val="28"/>
          <w:szCs w:val="28"/>
          <w:rtl/>
        </w:rPr>
        <w:t xml:space="preserve">آغاز: بسمله. في تفسير القمي عن السجاد عليه السلام قال ایما مؤمن دمعت عيناه لقتل الحسين؛ انجام: فخرت السفينة اذا جرت تشق الماء مع صوت هذه الأحاديث</w:t>
      </w:r>
    </w:p>
    <w:p>
      <w:pPr>
        <w:pStyle w:val="BookText"/>
      </w:pPr>
      <w:r>
        <w:rPr>
          <w:rFonts w:ascii="IRNazanin" w:hAnsi="IRNazanin" w:eastAsia="IRNazanin" w:cs="IRNazanin"/>
          <w:lang w:bidi="fa-IR"/>
          <w:color w:val="111111"/>
          <w:sz w:val="28"/>
          <w:szCs w:val="28"/>
          <w:rtl/>
        </w:rPr>
        <w:t xml:space="preserve">خط: نسخ، كا: محمد بن الهدی، تا: ربيع الأول ۱۱۳۳ق؛ ضمیمه: مذیل است به نه برگ در اخبار در مورد عاشورا؛ اهدایی: رهبری، مهر ۱۳۸۶؛ کاغذ: نخودی آهار مهره، جلد: تیماج مشکی ضربی با ترنج و دو سر ترنج و حواشی زنجیره ای ضربی، ۷۸گ، ۱۶سطر، اندازه: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۲۰سم[ اهدائی رهبر: ۲ اخبار ۱-۱۷۴]</w:t>
      </w:r>
    </w:p>
    <w:p>
      <w:pPr>
        <w:pStyle w:val="BookText"/>
      </w:pPr>
      <w:r>
        <w:rPr>
          <w:rFonts w:ascii="IRNazanin" w:hAnsi="IRNazanin" w:eastAsia="IRNazanin" w:cs="IRNazanin"/>
          <w:lang w:bidi="fa-IR"/>
          <w:color w:val="111111"/>
          <w:sz w:val="28"/>
          <w:szCs w:val="28"/>
          <w:rtl/>
        </w:rPr>
        <w:t xml:space="preserve">← بکاییه ←بابا آدم</w:t>
      </w:r>
    </w:p>
    <w:p>
      <w:pPr>
        <w:pStyle w:val="BookText"/>
      </w:pPr>
      <w:r>
        <w:rPr>
          <w:rFonts w:ascii="IRNazanin" w:hAnsi="IRNazanin" w:eastAsia="IRNazanin" w:cs="IRNazanin"/>
          <w:lang w:bidi="fa-IR"/>
          <w:color w:val="111111"/>
          <w:sz w:val="28"/>
          <w:szCs w:val="28"/>
          <w:rtl/>
        </w:rPr>
        <w:t xml:space="preserve">← بکتاش نامه← گلستان ارم</w:t>
      </w:r>
    </w:p>
    <w:p>
      <w:pPr>
        <w:pStyle w:val="BookText"/>
      </w:pPr>
      <w:r>
        <w:rPr>
          <w:rFonts w:ascii="IRNazanin" w:hAnsi="IRNazanin" w:eastAsia="IRNazanin" w:cs="IRNazanin"/>
          <w:lang w:bidi="fa-IR"/>
          <w:color w:val="111111"/>
          <w:sz w:val="28"/>
          <w:szCs w:val="28"/>
          <w:rtl/>
        </w:rPr>
        <w:t xml:space="preserve">← بکر و تغلب← حرب البسوس بین بكر و تغلب</w:t>
      </w:r>
    </w:p>
    <w:p>
      <w:pPr>
        <w:pStyle w:val="Heading3"/>
      </w:pPr>
      <w:bookmarkStart w:id="918" w:name="_Toc178"/>
      <w:r>
        <w:t>• البلاء / شعر / فارسی</w:t>
      </w:r>
      <w:bookmarkEnd w:id="918"/>
    </w:p>
    <w:p>
      <w:pPr>
        <w:pStyle w:val="BookText"/>
      </w:pPr>
      <w:r>
        <w:rPr>
          <w:rFonts w:ascii="Times New Roman" w:hAnsi="Times New Roman" w:eastAsia="Times New Roman" w:cs="Times New Roman"/>
          <w:lang w:val="en-US" w:bidi="en-US"/>
          <w:color w:val="111111"/>
          <w:sz w:val="28"/>
          <w:szCs w:val="28"/>
          <w:rtl/>
        </w:rPr>
        <w:t xml:space="preserve">al-balā'</w:t>
      </w:r>
    </w:p>
    <w:p>
      <w:pPr>
        <w:pStyle w:val="BookText"/>
      </w:pPr>
      <w:r>
        <w:rPr>
          <w:rFonts w:ascii="IRNazanin" w:hAnsi="IRNazanin" w:eastAsia="IRNazanin" w:cs="IRNazanin"/>
          <w:lang w:bidi="fa-IR"/>
          <w:color w:val="111111"/>
          <w:sz w:val="28"/>
          <w:szCs w:val="28"/>
          <w:rtl/>
        </w:rPr>
        <w:t xml:space="preserve">انجدانی، علی بن يعقوب، ق۱۴ قمری</w:t>
      </w:r>
    </w:p>
    <w:p>
      <w:pPr>
        <w:pStyle w:val="BookText"/>
      </w:pPr>
      <w:r>
        <w:rPr>
          <w:rFonts w:ascii="Times New Roman" w:hAnsi="Times New Roman" w:eastAsia="Times New Roman" w:cs="Times New Roman"/>
          <w:lang w:val="en-US" w:bidi="en-US"/>
          <w:color w:val="111111"/>
          <w:sz w:val="28"/>
          <w:szCs w:val="28"/>
          <w:rtl/>
        </w:rPr>
        <w:t xml:space="preserve">anjodānī, ‘ali ebn-e ya qūb (- 20c)</w:t>
      </w:r>
    </w:p>
    <w:p>
      <w:pPr>
        <w:pStyle w:val="BookText"/>
      </w:pPr>
      <w:r>
        <w:rPr>
          <w:rFonts w:ascii="IRNazanin" w:hAnsi="IRNazanin" w:eastAsia="IRNazanin" w:cs="IRNazanin"/>
          <w:lang w:bidi="fa-IR"/>
          <w:color w:val="111111"/>
          <w:sz w:val="28"/>
          <w:szCs w:val="28"/>
          <w:rtl/>
        </w:rPr>
        <w:t xml:space="preserve">تاریخ تأليف: ۱۳۱۱ - ۱۳۱۳</w:t>
      </w:r>
    </w:p>
    <w:p>
      <w:pPr>
        <w:pStyle w:val="BookText"/>
      </w:pPr>
      <w:r>
        <w:rPr>
          <w:rFonts w:ascii="IRNazanin" w:hAnsi="IRNazanin" w:eastAsia="IRNazanin" w:cs="IRNazanin"/>
          <w:lang w:bidi="fa-IR"/>
          <w:color w:val="111111"/>
          <w:sz w:val="28"/>
          <w:szCs w:val="28"/>
          <w:rtl/>
        </w:rPr>
        <w:t xml:space="preserve">دیوانی است آمیخته با مثنوی مولوی در مناقب حسین(عليه السلام) با پند و اندرز از حسن علی بن يعقوب انجدانی سلطان آبادی در صد «مجلس» با دیباچه های منثور و در پایان قصیده ای است درباره تیر خوردن ناصرالدین شاه و ستایش میرزا علی اصغر خان اتابک.</w:t>
      </w:r>
    </w:p>
    <w:p>
      <w:pPr>
        <w:pStyle w:val="BookText"/>
      </w:pPr>
      <w:r>
        <w:rPr>
          <w:rFonts w:ascii="IRNazanin" w:hAnsi="IRNazanin" w:eastAsia="IRNazanin" w:cs="IRNazanin"/>
          <w:lang w:bidi="fa-IR"/>
          <w:color w:val="111111"/>
          <w:sz w:val="28"/>
          <w:szCs w:val="28"/>
          <w:rtl/>
        </w:rPr>
        <w:t xml:space="preserve">تهران؛ دانشگاه؛ شماره نسخه: ۲۸۸۳</w:t>
      </w:r>
    </w:p>
    <w:p>
      <w:pPr>
        <w:pStyle w:val="BookText"/>
      </w:pPr>
      <w:r>
        <w:rPr>
          <w:rFonts w:ascii="IRNazanin" w:hAnsi="IRNazanin" w:eastAsia="IRNazanin" w:cs="IRNazanin"/>
          <w:lang w:bidi="fa-IR"/>
          <w:color w:val="111111"/>
          <w:sz w:val="28"/>
          <w:szCs w:val="28"/>
          <w:rtl/>
        </w:rPr>
        <w:t xml:space="preserve">آغاز: نیست ممکن را چو جز فقر و فنا *** خوش بود گفتن که لا احصی ثنا / در پس هر حمد حمدى مختفی است *** داند این راهر که راجانی صفی است؛ انجام: صدر را باشد صدرات مستدام *** لطف عامش شامل هر خاص و عام</w:t>
      </w:r>
    </w:p>
    <w:p>
      <w:pPr>
        <w:pStyle w:val="BookText"/>
      </w:pPr>
      <w:r>
        <w:rPr>
          <w:rFonts w:ascii="IRNazanin" w:hAnsi="IRNazanin" w:eastAsia="IRNazanin" w:cs="IRNazanin"/>
          <w:lang w:bidi="fa-IR"/>
          <w:color w:val="111111"/>
          <w:sz w:val="28"/>
          <w:szCs w:val="28"/>
          <w:rtl/>
        </w:rPr>
        <w:t xml:space="preserve">خط: نستعلیق، كا: شفیع بن حاجی میرزا حسین قلی فراهانی، تا: ۱۳۱۳ق؛ کاغذ: فرنگی، جلد: تیماج سبز مقوایی، ۲۳۸ گ، ۱۴ سطر (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۱۰-۱۷۲۸]</w:t>
      </w:r>
    </w:p>
    <w:p>
      <w:pPr>
        <w:pStyle w:val="Heading3"/>
      </w:pPr>
      <w:bookmarkStart w:id="919" w:name="_Toc179"/>
      <w:r>
        <w:t>• بلاء و ابتلا / تاریخ معصومین / فارسی</w:t>
      </w:r>
      <w:bookmarkEnd w:id="919"/>
    </w:p>
    <w:p>
      <w:pPr>
        <w:pStyle w:val="BookText"/>
      </w:pPr>
      <w:r>
        <w:rPr>
          <w:rFonts w:ascii="Times New Roman" w:hAnsi="Times New Roman" w:eastAsia="Times New Roman" w:cs="Times New Roman"/>
          <w:lang w:val="en-US" w:bidi="en-US"/>
          <w:color w:val="111111"/>
          <w:sz w:val="28"/>
          <w:szCs w:val="28"/>
          <w:rtl/>
        </w:rPr>
        <w:t xml:space="preserve">balā' va ebtelā</w:t>
      </w:r>
    </w:p>
    <w:p>
      <w:pPr>
        <w:pStyle w:val="BookText"/>
      </w:pPr>
      <w:r>
        <w:rPr>
          <w:rFonts w:ascii="IRNazanin" w:hAnsi="IRNazanin" w:eastAsia="IRNazanin" w:cs="IRNazanin"/>
          <w:lang w:bidi="fa-IR"/>
          <w:color w:val="111111"/>
          <w:sz w:val="28"/>
          <w:szCs w:val="28"/>
          <w:rtl/>
        </w:rPr>
        <w:t xml:space="preserve">زنوزی، علی بن محمد حسن، ق۱۳ قمری</w:t>
      </w:r>
    </w:p>
    <w:p>
      <w:pPr>
        <w:pStyle w:val="BookText"/>
      </w:pPr>
      <w:r>
        <w:rPr>
          <w:rFonts w:ascii="Times New Roman" w:hAnsi="Times New Roman" w:eastAsia="Times New Roman" w:cs="Times New Roman"/>
          <w:lang w:val="en-US" w:bidi="en-US"/>
          <w:color w:val="111111"/>
          <w:sz w:val="28"/>
          <w:szCs w:val="28"/>
          <w:rtl/>
        </w:rPr>
        <w:t xml:space="preserve">zonāzī, ‘alī ebn-e mohammad hasan (- 19c)</w:t>
      </w:r>
    </w:p>
    <w:p>
      <w:pPr>
        <w:pStyle w:val="BookText"/>
      </w:pPr>
      <w:r>
        <w:rPr>
          <w:rFonts w:ascii="IRNazanin" w:hAnsi="IRNazanin" w:eastAsia="IRNazanin" w:cs="IRNazanin"/>
          <w:lang w:bidi="fa-IR"/>
          <w:color w:val="111111"/>
          <w:sz w:val="28"/>
          <w:szCs w:val="28"/>
          <w:rtl/>
        </w:rPr>
        <w:t xml:space="preserve">درباره واقعه کربلا و حکمت آن.</w:t>
      </w:r>
    </w:p>
    <w:p>
      <w:pPr>
        <w:pStyle w:val="BookText"/>
      </w:pPr>
      <w:r>
        <w:rPr>
          <w:rFonts w:ascii="IRNazanin" w:hAnsi="IRNazanin" w:eastAsia="IRNazanin" w:cs="IRNazanin"/>
          <w:lang w:bidi="fa-IR"/>
          <w:color w:val="111111"/>
          <w:sz w:val="28"/>
          <w:szCs w:val="28"/>
          <w:rtl/>
        </w:rPr>
        <w:t xml:space="preserve">[فهرستواره منزوی ۱۵۶۲/۳ ]</w:t>
      </w:r>
    </w:p>
    <w:p>
      <w:pPr>
        <w:pStyle w:val="BookText"/>
      </w:pPr>
      <w:r>
        <w:rPr>
          <w:rFonts w:ascii="IRNazanin" w:hAnsi="IRNazanin" w:eastAsia="IRNazanin" w:cs="IRNazanin"/>
          <w:lang w:bidi="fa-IR"/>
          <w:color w:val="111111"/>
          <w:sz w:val="28"/>
          <w:szCs w:val="28"/>
          <w:rtl/>
        </w:rPr>
        <w:t xml:space="preserve">تهران، دانشگاه؛ شماره نسخه: ۲۹۸۲/۸</w:t>
      </w:r>
    </w:p>
    <w:p>
      <w:pPr>
        <w:pStyle w:val="BookText"/>
      </w:pPr>
      <w:r>
        <w:rPr>
          <w:rFonts w:ascii="IRNazanin" w:hAnsi="IRNazanin" w:eastAsia="IRNazanin" w:cs="IRNazanin"/>
          <w:lang w:bidi="fa-IR"/>
          <w:color w:val="111111"/>
          <w:sz w:val="28"/>
          <w:szCs w:val="28"/>
          <w:rtl/>
        </w:rPr>
        <w:t xml:space="preserve">آغاز: بسمله. الحمدلله و سلام على عباده ... چنین گوید علی ... الخوئی مختصری است در معرفت بلاد [و] فواید بلاد و بیان محل بلاد و شرح احوال زمین کربلا و اهل بلاد و ذکر درجات ایشان.؛ انجام: و الله يهدي إلى الصراط المستقیم.</w:t>
      </w:r>
    </w:p>
    <w:p>
      <w:pPr>
        <w:pStyle w:val="BookText"/>
      </w:pPr>
      <w:r>
        <w:rPr>
          <w:rFonts w:ascii="IRNazanin" w:hAnsi="IRNazanin" w:eastAsia="IRNazanin" w:cs="IRNazanin"/>
          <w:lang w:bidi="fa-IR"/>
          <w:color w:val="111111"/>
          <w:sz w:val="28"/>
          <w:szCs w:val="28"/>
          <w:rtl/>
        </w:rPr>
        <w:t xml:space="preserve">خط: نسخ، بی کا، بی تا؛ کاغذ: فرنگی، جلد: تیماج مشکی ضربی مقوایی، ۲۳۹گ (۱- ۲۳۹ هامش)، ۲۰ سطر (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۲۱/۵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۱۰-۱۸۹۶]</w:t>
      </w:r>
    </w:p>
    <w:p>
      <w:pPr>
        <w:pStyle w:val="Heading3"/>
      </w:pPr>
      <w:bookmarkStart w:id="920" w:name="_Toc180"/>
      <w:r>
        <w:t>• بلابل القلاقل / تفسير / فارسی</w:t>
      </w:r>
      <w:bookmarkEnd w:id="920"/>
    </w:p>
    <w:p>
      <w:pPr>
        <w:pStyle w:val="BookText"/>
      </w:pPr>
      <w:r>
        <w:rPr>
          <w:rFonts w:ascii="Times New Roman" w:hAnsi="Times New Roman" w:eastAsia="Times New Roman" w:cs="Times New Roman"/>
          <w:lang w:val="en-US" w:bidi="en-US"/>
          <w:color w:val="111111"/>
          <w:sz w:val="28"/>
          <w:szCs w:val="28"/>
          <w:rtl/>
        </w:rPr>
        <w:t xml:space="preserve">balābel-ol qalāqel</w:t>
      </w:r>
    </w:p>
    <w:p>
      <w:pPr>
        <w:pStyle w:val="BookText"/>
      </w:pPr>
      <w:r>
        <w:rPr>
          <w:rFonts w:ascii="IRNazanin" w:hAnsi="IRNazanin" w:eastAsia="IRNazanin" w:cs="IRNazanin"/>
          <w:lang w:bidi="fa-IR"/>
          <w:color w:val="111111"/>
          <w:sz w:val="28"/>
          <w:szCs w:val="28"/>
          <w:rtl/>
        </w:rPr>
        <w:t xml:space="preserve">واعظ حسنی، محمود بن محمد، ق۷ قمری</w:t>
      </w:r>
    </w:p>
    <w:p>
      <w:pPr>
        <w:pStyle w:val="BookText"/>
      </w:pPr>
      <w:r>
        <w:rPr>
          <w:rFonts w:ascii="Times New Roman" w:hAnsi="Times New Roman" w:eastAsia="Times New Roman" w:cs="Times New Roman"/>
          <w:lang w:val="en-US" w:bidi="en-US"/>
          <w:color w:val="111111"/>
          <w:sz w:val="28"/>
          <w:szCs w:val="28"/>
          <w:rtl/>
        </w:rPr>
        <w:t xml:space="preserve">vā“ez-e hasanī, mahmūd ebn-e mohammad (- 13c)</w:t>
      </w:r>
    </w:p>
    <w:p>
      <w:pPr>
        <w:pStyle w:val="BookText"/>
      </w:pPr>
      <w:r>
        <w:rPr>
          <w:rFonts w:ascii="IRNazanin" w:hAnsi="IRNazanin" w:eastAsia="IRNazanin" w:cs="IRNazanin"/>
          <w:lang w:bidi="fa-IR"/>
          <w:color w:val="111111"/>
          <w:sz w:val="28"/>
          <w:szCs w:val="28"/>
          <w:rtl/>
        </w:rPr>
        <w:t xml:space="preserve">ترجمه و تفسیر مختصری است به ترتیب سوره های قرآن کریم، برای آیه هایی که با لفظ «قل» شروع شده یا در آن این لفظ آمده است. در پاره ای از آیات درباره مطالبی اعتقادی به روش شیعی نیز گفتگو شده و مشتمل بر رد و ایرادهایی می باشد.</w:t>
      </w:r>
    </w:p>
    <w:p>
      <w:pPr>
        <w:pStyle w:val="BookText"/>
      </w:pPr>
      <w:r>
        <w:rPr>
          <w:rFonts w:ascii="IRNazanin" w:hAnsi="IRNazanin" w:eastAsia="IRNazanin" w:cs="IRNazanin"/>
          <w:lang w:bidi="fa-IR"/>
          <w:color w:val="111111"/>
          <w:sz w:val="28"/>
          <w:szCs w:val="28"/>
          <w:rtl/>
        </w:rPr>
        <w:t xml:space="preserve">قم؛ مرعشی؛ شماره نسخه: ۵۴۴۰</w:t>
      </w:r>
    </w:p>
    <w:p>
      <w:pPr>
        <w:pStyle w:val="BookText"/>
      </w:pPr>
      <w:r>
        <w:rPr>
          <w:rFonts w:ascii="IRNazanin" w:hAnsi="IRNazanin" w:eastAsia="IRNazanin" w:cs="IRNazanin"/>
          <w:lang w:bidi="fa-IR"/>
          <w:color w:val="111111"/>
          <w:sz w:val="28"/>
          <w:szCs w:val="28"/>
          <w:rtl/>
        </w:rPr>
        <w:t xml:space="preserve">آغاز: شکر و سپاس خدای را که ما را بواسطه قرآن مجید و کلام</w:t>
      </w:r>
    </w:p>
    <w:p>
      <w:pPr>
        <w:pStyle w:val="BookText"/>
      </w:pPr>
      <w:r>
        <w:rPr>
          <w:rFonts w:ascii="IRNazanin" w:hAnsi="IRNazanin" w:eastAsia="IRNazanin" w:cs="IRNazanin"/>
          <w:lang w:bidi="fa-IR"/>
          <w:color w:val="111111"/>
          <w:sz w:val="28"/>
          <w:szCs w:val="28"/>
          <w:rtl/>
        </w:rPr>
        <w:t xml:space="preserve">حمید راه نمود و بمصقل أوامر و نواهی این آینه دل ما را بزدود؛ انجام: و از ناس بنجم مراد مقران اند و عطفه على المعوذ منهم يدل عليه، و الله اعلم و احكم ...</w:t>
      </w:r>
    </w:p>
    <w:p>
      <w:pPr>
        <w:pStyle w:val="BookText"/>
      </w:pPr>
      <w:r>
        <w:rPr>
          <w:rFonts w:ascii="IRNazanin" w:hAnsi="IRNazanin" w:eastAsia="IRNazanin" w:cs="IRNazanin"/>
          <w:lang w:bidi="fa-IR"/>
          <w:color w:val="111111"/>
          <w:sz w:val="28"/>
          <w:szCs w:val="28"/>
          <w:rtl/>
        </w:rPr>
        <w:t xml:space="preserve">خط: نسخ، كا: ابوالمفاخر على بن ابى المكارم محمود بن محمد ابي المكارم الحسني الواعظ (فرزند مؤلف)، تا: سه شنبه 9 شوال ۷۲۰ ق، جا: فاروق از کوره اصطخر؛ تملک: محمد بن حیدر، محمد بن محمد بن محمد حسنی معروف به جلال علائی ابن الطويل به تاریخ جمادی الاول ۷۲۴، و فرزندش مرتضی بن محمد بن محمد طویل</w:t>
      </w:r>
    </w:p>
    <w:p>
      <w:pPr>
        <w:pStyle w:val="BookText"/>
      </w:pPr>
      <w:r>
        <w:rPr>
          <w:rFonts w:ascii="IRNazanin" w:hAnsi="IRNazanin" w:eastAsia="IRNazanin" w:cs="IRNazanin"/>
          <w:lang w:bidi="fa-IR"/>
          <w:color w:val="111111"/>
          <w:sz w:val="28"/>
          <w:szCs w:val="28"/>
          <w:rtl/>
        </w:rPr>
        <w:t xml:space="preserve">حسنی به تاریخ محرم ۷۵۹، نصر الله حسنی حسینی، ابوالخیر محمد بن محمد بن محمد بن محمد حائری قاری به تاریخ ذیحجه ۹۳۱؛ مهر: «لك البهاء كله» (بیضوی)؛ جلد: مقوایی عطف تیماج قهوه ای، ۱۸۷ ، ۲۵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۱۴-۲۲۱]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4" w:name="pg20363_209220"/>
    <w:bookmarkEnd w:id="64"/>
    <w:p>
      <w:pPr>
        <w:pStyle w:val="BookText"/>
      </w:pPr>
      <w:r>
        <w:rPr>
          <w:rFonts w:ascii="IRNazanin" w:hAnsi="IRNazanin" w:eastAsia="IRNazanin" w:cs="IRNazanin"/>
          <w:lang w:bidi="fa-IR"/>
          <w:color w:val="111111"/>
          <w:sz w:val="28"/>
          <w:szCs w:val="28"/>
          <w:rtl/>
        </w:rPr>
        <w:t xml:space="preserve">← بلاغات النساء ← المنثور و المنظوم</w:t>
      </w:r>
    </w:p>
    <w:p>
      <w:pPr>
        <w:pStyle w:val="Heading3"/>
      </w:pPr>
      <w:bookmarkStart w:id="921" w:name="_Toc181"/>
      <w:r>
        <w:t>• البلاعة / كيميا / عربی</w:t>
      </w:r>
      <w:bookmarkEnd w:id="921"/>
    </w:p>
    <w:p>
      <w:pPr>
        <w:pStyle w:val="BookText"/>
      </w:pPr>
      <w:r>
        <w:rPr>
          <w:rFonts w:ascii="Times New Roman" w:hAnsi="Times New Roman" w:eastAsia="Times New Roman" w:cs="Times New Roman"/>
          <w:lang w:val="en-US" w:bidi="en-US"/>
          <w:color w:val="111111"/>
          <w:sz w:val="28"/>
          <w:szCs w:val="28"/>
          <w:rtl/>
        </w:rPr>
        <w:t xml:space="preserve">al-ballāʻa</w:t>
      </w:r>
    </w:p>
    <w:p>
      <w:pPr>
        <w:pStyle w:val="BookText"/>
      </w:pPr>
      <w:r>
        <w:rPr>
          <w:rFonts w:ascii="IRNazanin" w:hAnsi="IRNazanin" w:eastAsia="IRNazanin" w:cs="IRNazanin"/>
          <w:lang w:bidi="fa-IR"/>
          <w:color w:val="111111"/>
          <w:sz w:val="28"/>
          <w:szCs w:val="28"/>
          <w:rtl/>
        </w:rPr>
        <w:t xml:space="preserve">جابر بن حیان، ۱۲۰-۱۹۸ ؟ قمری</w:t>
      </w:r>
    </w:p>
    <w:p>
      <w:pPr>
        <w:pStyle w:val="BookText"/>
      </w:pPr>
      <w:r>
        <w:rPr>
          <w:rFonts w:ascii="Times New Roman" w:hAnsi="Times New Roman" w:eastAsia="Times New Roman" w:cs="Times New Roman"/>
          <w:lang w:val="en-US" w:bidi="en-US"/>
          <w:color w:val="111111"/>
          <w:sz w:val="28"/>
          <w:szCs w:val="28"/>
          <w:rtl/>
        </w:rPr>
        <w:t xml:space="preserve">jāber ebn-e hayyān (739-814)</w:t>
      </w:r>
    </w:p>
    <w:p>
      <w:pPr>
        <w:pStyle w:val="BookText"/>
      </w:pPr>
      <w:r>
        <w:rPr>
          <w:rFonts w:ascii="IRNazanin" w:hAnsi="IRNazanin" w:eastAsia="IRNazanin" w:cs="IRNazanin"/>
          <w:lang w:bidi="fa-IR"/>
          <w:color w:val="111111"/>
          <w:sz w:val="28"/>
          <w:szCs w:val="28"/>
          <w:rtl/>
        </w:rPr>
        <w:t xml:space="preserve">تهران؛ مجلس؛ شماره نسخه: ۹۰۱۱/۱۳</w:t>
      </w:r>
    </w:p>
    <w:p>
      <w:pPr>
        <w:pStyle w:val="BookText"/>
      </w:pPr>
      <w:r>
        <w:rPr>
          <w:rFonts w:ascii="IRNazanin" w:hAnsi="IRNazanin" w:eastAsia="IRNazanin" w:cs="IRNazanin"/>
          <w:lang w:bidi="fa-IR"/>
          <w:color w:val="111111"/>
          <w:sz w:val="28"/>
          <w:szCs w:val="28"/>
          <w:rtl/>
        </w:rPr>
        <w:t xml:space="preserve">آغاز: الحمدلله شكرا كما هو اهله نحمده حمدا ابدا و نحن نسئله المزيد من فضله انه ولي ذلك و القادر عليه. و بعد فقد سبق لنا قبل کتابنا هذا اثنا عشر كتابة في الحيوان و في كتابنا هذا ايضا شیء من تدبير الحيوان علی ایتلاف النسق في التدبير في ذلك و قد سمیت کتابی هذا كتاب البلاغة و معناه بلاغة هذا التدبير الذي في هذا الكتاب و انا اشرح فيه طريق من ذكر الشعر و دبره و عما بها انجام: و استوفى في كل واحد من هذه فهذا آخر ما يتكلم به في هذا المعنى في هذه الكتب ان شاء الله عزوجل</w:t>
      </w:r>
    </w:p>
    <w:p>
      <w:pPr>
        <w:pStyle w:val="BookText"/>
      </w:pPr>
      <w:r>
        <w:rPr>
          <w:rFonts w:ascii="IRNazanin" w:hAnsi="IRNazanin" w:eastAsia="IRNazanin" w:cs="IRNazanin"/>
          <w:lang w:bidi="fa-IR"/>
          <w:color w:val="111111"/>
          <w:sz w:val="28"/>
          <w:szCs w:val="28"/>
          <w:rtl/>
        </w:rPr>
        <w:t xml:space="preserve">خط: نسخ، بی کا، تا: صفر ۱۲۸۸ق؛ کاغذ: فرنگی شکری آهار مهره، جلد: تیماج قهوه ای ضربی با ترنج و سرترنج عطف و سجاف تیماج مشکی، ۲گ (۴۶ر -۴۷پ)، ۱۹ سطر (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اندازه: ۱۳/۷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۲۲/۳سم</w:t>
      </w:r>
    </w:p>
    <w:p>
      <w:pPr>
        <w:pStyle w:val="BookText"/>
      </w:pPr>
      <w:r>
        <w:rPr>
          <w:rFonts w:ascii="IRNazanin" w:hAnsi="IRNazanin" w:eastAsia="IRNazanin" w:cs="IRNazanin"/>
          <w:lang w:bidi="fa-IR"/>
          <w:color w:val="111111"/>
          <w:sz w:val="28"/>
          <w:szCs w:val="28"/>
          <w:rtl/>
        </w:rPr>
        <w:t xml:space="preserve">[ف: ۲۹/۲-۶۱۳]</w:t>
      </w:r>
    </w:p>
    <w:p>
      <w:pPr>
        <w:pStyle w:val="Heading3"/>
      </w:pPr>
      <w:bookmarkStart w:id="922" w:name="_Toc182"/>
      <w:r>
        <w:t>• بلاغت / بلاغت / فارسی</w:t>
      </w:r>
      <w:bookmarkEnd w:id="922"/>
    </w:p>
    <w:p>
      <w:pPr>
        <w:pStyle w:val="BookText"/>
      </w:pPr>
      <w:r>
        <w:rPr>
          <w:rFonts w:ascii="Times New Roman" w:hAnsi="Times New Roman" w:eastAsia="Times New Roman" w:cs="Times New Roman"/>
          <w:lang w:val="en-US" w:bidi="en-US"/>
          <w:color w:val="111111"/>
          <w:sz w:val="28"/>
          <w:szCs w:val="28"/>
          <w:rtl/>
        </w:rPr>
        <w:t xml:space="preserve">asās-ul fadi</w:t>
      </w:r>
    </w:p>
    <w:p>
      <w:pPr>
        <w:pStyle w:val="BookText"/>
      </w:pPr>
      <w:r>
        <w:rPr>
          <w:rFonts w:ascii="IRNazanin" w:hAnsi="IRNazanin" w:eastAsia="IRNazanin" w:cs="IRNazanin"/>
          <w:lang w:bidi="fa-IR"/>
          <w:color w:val="111111"/>
          <w:sz w:val="28"/>
          <w:szCs w:val="28"/>
          <w:rtl/>
        </w:rPr>
        <w:t xml:space="preserve">قندزی، محمود بن محمد، ق۹ قمری</w:t>
      </w:r>
    </w:p>
    <w:p>
      <w:pPr>
        <w:pStyle w:val="BookText"/>
      </w:pPr>
      <w:r>
        <w:rPr>
          <w:rFonts w:ascii="Times New Roman" w:hAnsi="Times New Roman" w:eastAsia="Times New Roman" w:cs="Times New Roman"/>
          <w:lang w:val="en-US" w:bidi="en-US"/>
          <w:color w:val="111111"/>
          <w:sz w:val="28"/>
          <w:szCs w:val="28"/>
          <w:rtl/>
        </w:rPr>
        <w:t xml:space="preserve">qondozī, mahmūd ebn-e mohammad (- 15c)</w:t>
      </w:r>
    </w:p>
    <w:p>
      <w:pPr>
        <w:pStyle w:val="BookText"/>
      </w:pPr>
      <w:r>
        <w:rPr>
          <w:rFonts w:ascii="IRNazanin" w:hAnsi="IRNazanin" w:eastAsia="IRNazanin" w:cs="IRNazanin"/>
          <w:lang w:bidi="fa-IR"/>
          <w:color w:val="111111"/>
          <w:sz w:val="28"/>
          <w:szCs w:val="28"/>
          <w:rtl/>
        </w:rPr>
        <w:t xml:space="preserve">کتاب مفصلی درباره فنون ثلاثه بلاغت و معایب کلام از قرن وق، تنظیم شده در دو «بحر»: ۱. المحاسن؛ ۲. بيان المعایب. کتاب تأثیر زیادی از «تلخیص المفتاح محمد بن عبدالرحمن بن عمر خطيب دمشق (-۷۳۹ق) پذیرفته و در موارد متعددی هم از آن یاد کرده است. علاوه بر او این کسان هم یاد شده است: سکاکی، زمخشری، حریری، کافی، الشارع العلامة و العالم المحقق سعد الدين تفتازانی، بساطی، مولينا الامام معين الدين المعمرانی، رشیدی ، شمس، الانصاری، شیخ عبدالله، ابوالفرج ساوی، فردوسی، عنصری، انوری، معزی، نظامس، خاقانی ثنائی، سعدی، سلمان، فرخی، خجندی، ملک الشرق شهید، و طواط، ظخير فاریابی، بساطی، رودکی و جز آنها. از آن جا که چند برگ آغازین نسخه افتاده، نام و نشان کتاب و مؤلف در ابتدای نسخه نیست. اما نویسنده در برگ ۱۶۵ر وپ در توضیح صنعت «اطراد» نام خودش را آورده است: «اطراد و آن آوردن اسماء ممدوح یا غیر ممدوحست و آباء او بر ترتیب ولادت چنانچ با سخولت و روانی همچو آب جاری باشد ... مثال دیگر: امیر محمد شاه قندزی برای من از قندز در سال احدى عشرین و ثمانمای (در دهلی) قصیده ای ارسال فرموده اولش این است.</w:t>
      </w:r>
    </w:p>
    <w:p>
      <w:pPr>
        <w:pStyle w:val="BookText"/>
      </w:pPr>
      <w:r>
        <w:rPr>
          <w:rFonts w:ascii="IRNazanin" w:hAnsi="IRNazanin" w:eastAsia="IRNazanin" w:cs="IRNazanin"/>
          <w:lang w:bidi="fa-IR"/>
          <w:color w:val="111111"/>
          <w:sz w:val="28"/>
          <w:szCs w:val="28"/>
          <w:rtl/>
        </w:rPr>
        <w:t xml:space="preserve">شعر: آن كو به جاه چون پدر و پدر جد آمدست *** محمود بن محمد بن احمد آمدست. و من نیز برای او قصیده ای فرستادم مطلعش این است: شعر: دهان جود و سخاوت سپهر عز و علا *** محمد بن حميد بن احمد بن علا». نویسنده خود اشعاری هم در معما دارد و بدانها اشاره کرده و گفته: «و نیز معماهایی دارم که از آن دو گان نام و بیشتر از آن می خیزد و ابیات مهمل و مبهم نگشته و در گمان من این است که شاید کسی دیگر برین نوع نگفته باشد لعدم اسماع» (۲۴۷ر -۲۴۷پ). از نام کتاب و مؤلف در منابع دیگر اطلاعی به دست نیامد و به نظر می رسد نسخه منحصر باشد. با شواهد فارسی و عربی فراوان. در نسخه این عناوین و مطالب دیده می شود: البحر الأول: في المحاسن، فصاحت، بلاغت، سلاست، جزالت، تشبيه، الحقيقة و المجاز، استعارات، تمثیل، الكناية، تعریض، تلویح، اطباق، القول في علم البديع، وجوه معنوی، مطابقه (تضاد و طباق و تطبیق)، تذبیح، تناسب، لزوم ما يلزم، تشابه الأطراف، ایهام تناسب، مشاكله، ارصاد، عکس و تبدیل، رجوع، توریه، استخدام، لف و نشر، جمع و تفریق و تقسيم، مبالغه، مذهب کلامی، حسن تعلیل، تأكيد المدح بما يشبه الذم، تأكيد الذم بما يشبه المدح، استتباع، ادماج، محتمل الضدين، تجاهل العارف، تعجب، اطراد، قول به موجب، توفير الدواعی، التفات، سؤال، ترجمة اللفظ، تفسیر، تحميل واقعه، ذوالمعنيين، ذو الوجهين، محسنات لفظية، تجنيس، رد العجز على الصدر، سجع، قافیه، موشح، اعنات، ردیف، براعت استهلال، اعتراض الكلام من قبل التمام، تنسبق الصفات، سياقة الاعداد، ایراد المعطوفات، ارسال الامثال، امتناع، سهل ممتنع، مستزاد، مسمط، مصغر، ترجيع، لغز، معما، ملمع، متلون، مثلث، بساط، مربع، مدور، مسلسل، النظم و النثر معا، مشجر، شعر اندر شعر، مجزو، متفرع، استدراک، مسطح، مجسم، مصرع، مصور، طرح، مقطع، موصل، متحلی، عاطل، خيفا، رقطا، حسن المطلع، حسن المختم، حسن تخلص، حسن طلب، حامل موقوف، مفتح، مفلق، مخلی؛ البحر الثاني: في بيان المعایب، تنافر، غرابت، مخالفت قیاس، کراهت در سمع، ضعف تأليف، تعقید، کثرت تکرار، تتابع اضافات، فک اضافه، حشو و تطویل، افراط. انقطاع، اخلال، اسقاط، تشبیه، اقوا، اظهار، ایطا، تحریک ساکن، تسکین متحرک، تشدید مخفف، تخفیف مشدد، توصیف، اکفاء، شایگان، سرقت و اخذ.</w:t>
      </w:r>
    </w:p>
    <w:p>
      <w:pPr>
        <w:pStyle w:val="BookText"/>
      </w:pPr>
      <w:r>
        <w:rPr>
          <w:rFonts w:ascii="IRNazanin" w:hAnsi="IRNazanin" w:eastAsia="IRNazanin" w:cs="IRNazanin"/>
          <w:lang w:bidi="fa-IR"/>
          <w:color w:val="111111"/>
          <w:sz w:val="28"/>
          <w:szCs w:val="28"/>
          <w:rtl/>
        </w:rPr>
        <w:t xml:space="preserve">تهران؛ مجلس؛ شماره نسخه: ۸۸۲۰</w:t>
      </w:r>
    </w:p>
    <w:p>
      <w:pPr>
        <w:pStyle w:val="BookText"/>
      </w:pPr>
      <w:r>
        <w:rPr>
          <w:rFonts w:ascii="IRNazanin" w:hAnsi="IRNazanin" w:eastAsia="IRNazanin" w:cs="IRNazanin"/>
          <w:lang w:bidi="fa-IR"/>
          <w:color w:val="111111"/>
          <w:sz w:val="28"/>
          <w:szCs w:val="28"/>
          <w:rtl/>
        </w:rPr>
        <w:t xml:space="preserve">آغاز: بالشنجرف ليكون فهرست الكتاب عند المطالعة: شعر: منگر کی تمام او دو بهرست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بنگر که دو بهر او دو بحرست. و انا اسال الله النفع لجاهدیه والنفع لجاحديه و بعون الله استعين و هو نعم المولى و المعين. [البح]ر الاول في المحاسن. بدانک قائل اشعار و راوی اوصاف را می باید تا در صنعت لفظ وجودت معنی بشتابد و از فصاحت و بلاغت و سلاست و جزالت دریابد و همة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5" w:name="pg20363_209221"/>
    <w:bookmarkEnd w:id="65"/>
    <w:p>
      <w:pPr>
        <w:pStyle w:val="BookText"/>
      </w:pPr>
      <w:r>
        <w:rPr>
          <w:rFonts w:ascii="IRNazanin" w:hAnsi="IRNazanin" w:eastAsia="IRNazanin" w:cs="IRNazanin"/>
          <w:lang w:bidi="fa-IR"/>
          <w:color w:val="111111"/>
          <w:sz w:val="28"/>
          <w:szCs w:val="28"/>
          <w:rtl/>
        </w:rPr>
        <w:t xml:space="preserve">به ارتفاع سخن مقصور دارد و از معایب آن کی موجب انحطاطست امتناع آورد؛ انجام: هیهات لا ياتي الزمان بمثله *** آن الزمان بمثله لبخيل. و قال أبو الطيب. شعر: اعدى الزمان سخاؤه فسخا به.</w:t>
      </w:r>
    </w:p>
    <w:p>
      <w:pPr>
        <w:pStyle w:val="BookText"/>
      </w:pPr>
      <w:r>
        <w:rPr>
          <w:rFonts w:ascii="IRNazanin" w:hAnsi="IRNazanin" w:eastAsia="IRNazanin" w:cs="IRNazanin"/>
          <w:lang w:bidi="fa-IR"/>
          <w:color w:val="111111"/>
          <w:sz w:val="28"/>
          <w:szCs w:val="28"/>
          <w:rtl/>
        </w:rPr>
        <w:t xml:space="preserve">خط: نسخ تعلیق، کاتب = مؤلف، تا: قرن ۹، افتادگی: آغاز و انجام؛ محشی به عربی و فارسی با خطی کهن نزدیک به زمان کتابت نسخه، بنا بر برگ شماری کهن نسخه ۱۲ برگ از آغاز کتاب افتاده، این یادداشت ها آمده است: گفته ای از شیخ الاسلام انصاری، کیفیت احتضار از قول محقق، روایتی از پیامبر(صلی الله علیه وآله وسلم)کراهت بول در آب، معمای کلمه اجنه، معنای آیه أن الله لايحب المسرفين، دو حدیث پزشکی در درمان تب اور امام صادق(عليه السلام) و امام رضا(عليه السلام) چند دعا و حرز برای حاجات مختلف، روایتی از پیامبر(صلی الله علیه وآله وسلم) فایدهای منطقی، معنای کلمه قرآن و عمر؛ خریداری از باقر ترقی؛ کاغذ: حنایی آهار مهره نازک، جلد: تیماج مشکی مجدول یک لا، ۳۲۸گ، ۱۱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۵/۵ )، اندازه: ۲۱/۴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سم [ف: ۲۹/۱-۴۳]</w:t>
      </w:r>
    </w:p>
    <w:p>
      <w:pPr>
        <w:pStyle w:val="Heading3"/>
      </w:pPr>
      <w:bookmarkStart w:id="923" w:name="_Toc183"/>
      <w:r>
        <w:t>• بلاغت / ادبیات فارسی</w:t>
      </w:r>
      <w:bookmarkEnd w:id="923"/>
    </w:p>
    <w:p>
      <w:pPr>
        <w:pStyle w:val="BookText"/>
      </w:pPr>
      <w:r>
        <w:rPr>
          <w:rFonts w:ascii="Times New Roman" w:hAnsi="Times New Roman" w:eastAsia="Times New Roman" w:cs="Times New Roman"/>
          <w:lang w:val="en-US" w:bidi="en-US"/>
          <w:color w:val="111111"/>
          <w:sz w:val="28"/>
          <w:szCs w:val="28"/>
          <w:rtl/>
        </w:rPr>
        <w:t xml:space="preserve">balāqat</w:t>
      </w:r>
    </w:p>
    <w:p>
      <w:pPr>
        <w:pStyle w:val="BookText"/>
      </w:pPr>
      <w:r>
        <w:rPr>
          <w:rFonts w:ascii="IRNazanin" w:hAnsi="IRNazanin" w:eastAsia="IRNazanin" w:cs="IRNazanin"/>
          <w:lang w:bidi="fa-IR"/>
          <w:color w:val="111111"/>
          <w:sz w:val="28"/>
          <w:szCs w:val="28"/>
          <w:rtl/>
        </w:rPr>
        <w:t xml:space="preserve">عصام الدين اسفراینی، ابراهیم بن محمد، ۸۷۳-۹۵۱ ؟ قمری</w:t>
      </w:r>
    </w:p>
    <w:p>
      <w:pPr>
        <w:pStyle w:val="BookText"/>
      </w:pPr>
      <w:r>
        <w:rPr>
          <w:rFonts w:ascii="Times New Roman" w:hAnsi="Times New Roman" w:eastAsia="Times New Roman" w:cs="Times New Roman"/>
          <w:lang w:val="en-US" w:bidi="en-US"/>
          <w:color w:val="111111"/>
          <w:sz w:val="28"/>
          <w:szCs w:val="28"/>
          <w:rtl/>
        </w:rPr>
        <w:t xml:space="preserve">‘esām-od-dīn-e esfarāyenī, ebrāhīm ebn-e mohammad (1469-1545)</w:t>
      </w:r>
    </w:p>
    <w:p>
      <w:pPr>
        <w:pStyle w:val="BookText"/>
      </w:pPr>
      <w:r>
        <w:rPr>
          <w:rFonts w:ascii="IRNazanin" w:hAnsi="IRNazanin" w:eastAsia="IRNazanin" w:cs="IRNazanin"/>
          <w:lang w:bidi="fa-IR"/>
          <w:color w:val="111111"/>
          <w:sz w:val="28"/>
          <w:szCs w:val="28"/>
          <w:rtl/>
        </w:rPr>
        <w:t xml:space="preserve">در «مقدمه» و چند ساقه».</w:t>
      </w:r>
    </w:p>
    <w:p>
      <w:pPr>
        <w:pStyle w:val="BookText"/>
      </w:pPr>
      <w:r>
        <w:rPr>
          <w:rFonts w:ascii="IRNazanin" w:hAnsi="IRNazanin" w:eastAsia="IRNazanin" w:cs="IRNazanin"/>
          <w:lang w:bidi="fa-IR"/>
          <w:color w:val="111111"/>
          <w:sz w:val="28"/>
          <w:szCs w:val="28"/>
          <w:rtl/>
        </w:rPr>
        <w:t xml:space="preserve">تهران، دانشگاه؛ شماره نسخه: ۱۹۹۸/۶ -ف</w:t>
      </w:r>
    </w:p>
    <w:p>
      <w:pPr>
        <w:pStyle w:val="BookText"/>
      </w:pPr>
      <w:r>
        <w:rPr>
          <w:rFonts w:ascii="IRNazanin" w:hAnsi="IRNazanin" w:eastAsia="IRNazanin" w:cs="IRNazanin"/>
          <w:lang w:bidi="fa-IR"/>
          <w:color w:val="111111"/>
          <w:sz w:val="28"/>
          <w:szCs w:val="28"/>
          <w:rtl/>
        </w:rPr>
        <w:t xml:space="preserve">نسخه اصل: از اسکوپیه ۶۴</w:t>
      </w:r>
      <w:r>
        <w:rPr>
          <w:rFonts w:ascii="Times New Roman" w:hAnsi="Times New Roman" w:eastAsia="Times New Roman" w:cs="Times New Roman"/>
          <w:lang w:val="en-US" w:bidi="en-US"/>
          <w:color w:val="111111"/>
          <w:sz w:val="28"/>
          <w:szCs w:val="28"/>
          <w:rtl/>
        </w:rPr>
        <w:t xml:space="preserve">M.S.P. II </w:t>
      </w:r>
      <w:r>
        <w:rPr>
          <w:rFonts w:ascii="IRNazanin" w:hAnsi="IRNazanin" w:eastAsia="IRNazanin" w:cs="IRNazanin"/>
          <w:lang w:bidi="fa-IR"/>
          <w:color w:val="111111"/>
          <w:sz w:val="28"/>
          <w:szCs w:val="28"/>
          <w:rtl/>
        </w:rPr>
        <w:t xml:space="preserve">چند نسخه از کتابخانه های یوگسلاوی؛ بی کا، تا: اواخر ربيع الثانی ۱۰۶۱ق؛ ۲۱گ [فيلمها ف: ۱-۶۳۴]</w:t>
      </w:r>
    </w:p>
    <w:p>
      <w:pPr>
        <w:pStyle w:val="Heading3"/>
      </w:pPr>
      <w:bookmarkStart w:id="924" w:name="_Toc184"/>
      <w:r>
        <w:t>• بلاغت / بلاغت / فارسی</w:t>
      </w:r>
      <w:bookmarkEnd w:id="924"/>
    </w:p>
    <w:p>
      <w:pPr>
        <w:pStyle w:val="BookText"/>
      </w:pPr>
      <w:r>
        <w:rPr>
          <w:rFonts w:ascii="Times New Roman" w:hAnsi="Times New Roman" w:eastAsia="Times New Roman" w:cs="Times New Roman"/>
          <w:lang w:val="en-US" w:bidi="en-US"/>
          <w:color w:val="111111"/>
          <w:sz w:val="28"/>
          <w:szCs w:val="28"/>
          <w:rtl/>
        </w:rPr>
        <w:t xml:space="preserve">balāqat</w:t>
      </w:r>
    </w:p>
    <w:p>
      <w:pPr>
        <w:pStyle w:val="BookText"/>
      </w:pPr>
      <w:r>
        <w:rPr>
          <w:rFonts w:ascii="IRNazanin" w:hAnsi="IRNazanin" w:eastAsia="IRNazanin" w:cs="IRNazanin"/>
          <w:lang w:bidi="fa-IR"/>
          <w:color w:val="111111"/>
          <w:sz w:val="28"/>
          <w:szCs w:val="28"/>
          <w:rtl/>
        </w:rPr>
        <w:t xml:space="preserve">شربتدار اصفهانی، ابراهیم بن محمد، ق ۱۲ قمری</w:t>
      </w:r>
    </w:p>
    <w:p>
      <w:pPr>
        <w:pStyle w:val="BookText"/>
      </w:pPr>
      <w:r>
        <w:rPr>
          <w:rFonts w:ascii="Times New Roman" w:hAnsi="Times New Roman" w:eastAsia="Times New Roman" w:cs="Times New Roman"/>
          <w:lang w:val="en-US" w:bidi="en-US"/>
          <w:color w:val="111111"/>
          <w:sz w:val="28"/>
          <w:szCs w:val="28"/>
          <w:rtl/>
        </w:rPr>
        <w:t xml:space="preserve">šarbatdār-e esfahānī, ebrāhīm ebn-e mohammad (- 180)</w:t>
      </w:r>
    </w:p>
    <w:p>
      <w:pPr>
        <w:pStyle w:val="BookText"/>
      </w:pPr>
      <w:r>
        <w:rPr>
          <w:rFonts w:ascii="IRNazanin" w:hAnsi="IRNazanin" w:eastAsia="IRNazanin" w:cs="IRNazanin"/>
          <w:lang w:bidi="fa-IR"/>
          <w:color w:val="111111"/>
          <w:sz w:val="28"/>
          <w:szCs w:val="28"/>
          <w:rtl/>
        </w:rPr>
        <w:t xml:space="preserve">تاريخ تألیف: ۱۴ جمادی الاول ۱۱۳۳ق</w:t>
      </w:r>
    </w:p>
    <w:p>
      <w:pPr>
        <w:pStyle w:val="BookText"/>
      </w:pPr>
      <w:r>
        <w:rPr>
          <w:rFonts w:ascii="IRNazanin" w:hAnsi="IRNazanin" w:eastAsia="IRNazanin" w:cs="IRNazanin"/>
          <w:lang w:bidi="fa-IR"/>
          <w:color w:val="111111"/>
          <w:sz w:val="28"/>
          <w:szCs w:val="28"/>
          <w:rtl/>
        </w:rPr>
        <w:t xml:space="preserve">در سه مطلب»: معانی در پنج «فصل»؛ بیان در سه «باب»؛ بدیع در دو «فصل».</w:t>
      </w:r>
    </w:p>
    <w:p>
      <w:pPr>
        <w:pStyle w:val="BookText"/>
      </w:pPr>
      <w:r>
        <w:rPr>
          <w:rFonts w:ascii="IRNazanin" w:hAnsi="IRNazanin" w:eastAsia="IRNazanin" w:cs="IRNazanin"/>
          <w:lang w:bidi="fa-IR"/>
          <w:color w:val="111111"/>
          <w:sz w:val="28"/>
          <w:szCs w:val="28"/>
          <w:rtl/>
        </w:rPr>
        <w:t xml:space="preserve">تهران؛ دانشگاه؛ شماره نسخه: ۳۹۸۶/۷</w:t>
      </w:r>
    </w:p>
    <w:p>
      <w:pPr>
        <w:pStyle w:val="BookText"/>
      </w:pPr>
      <w:r>
        <w:rPr>
          <w:rFonts w:ascii="IRNazanin" w:hAnsi="IRNazanin" w:eastAsia="IRNazanin" w:cs="IRNazanin"/>
          <w:lang w:bidi="fa-IR"/>
          <w:color w:val="111111"/>
          <w:sz w:val="28"/>
          <w:szCs w:val="28"/>
          <w:rtl/>
        </w:rPr>
        <w:t xml:space="preserve">آغاز: حمدی که سزاوار درگاه خداوند جهان ... تواند بود ارفع از آن و عالی از تقریر بیان است؛ انجام: فتم مقاصدی بعون الملک المنان.</w:t>
      </w:r>
    </w:p>
    <w:p>
      <w:pPr>
        <w:pStyle w:val="BookText"/>
      </w:pPr>
      <w:r>
        <w:rPr>
          <w:rFonts w:ascii="IRNazanin" w:hAnsi="IRNazanin" w:eastAsia="IRNazanin" w:cs="IRNazanin"/>
          <w:lang w:bidi="fa-IR"/>
          <w:color w:val="111111"/>
          <w:sz w:val="28"/>
          <w:szCs w:val="28"/>
          <w:rtl/>
        </w:rPr>
        <w:t xml:space="preserve">خط: نستعلیق، کاتب = مؤلف، بی تا، کاغذ: سپاهانی، جلد: تیماج</w:t>
      </w:r>
    </w:p>
    <w:p>
      <w:pPr>
        <w:pStyle w:val="BookText"/>
      </w:pPr>
      <w:r>
        <w:rPr>
          <w:rFonts w:ascii="IRNazanin" w:hAnsi="IRNazanin" w:eastAsia="IRNazanin" w:cs="IRNazanin"/>
          <w:lang w:bidi="fa-IR"/>
          <w:color w:val="111111"/>
          <w:sz w:val="28"/>
          <w:szCs w:val="28"/>
          <w:rtl/>
        </w:rPr>
        <w:t xml:space="preserve">تریاکی مقوایی، ۲۴ص (۲۲۲-۲۴۵)، ۲۴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۱۲-۲۹۸۱]</w:t>
      </w:r>
    </w:p>
    <w:p>
      <w:pPr>
        <w:pStyle w:val="Heading3"/>
      </w:pPr>
      <w:bookmarkStart w:id="925" w:name="_Toc185"/>
      <w:r>
        <w:t>• بلاغت / معانی بیان / فارسی</w:t>
      </w:r>
      <w:bookmarkEnd w:id="925"/>
    </w:p>
    <w:p>
      <w:pPr>
        <w:pStyle w:val="BookText"/>
      </w:pPr>
      <w:r>
        <w:rPr>
          <w:rFonts w:ascii="Times New Roman" w:hAnsi="Times New Roman" w:eastAsia="Times New Roman" w:cs="Times New Roman"/>
          <w:lang w:val="en-US" w:bidi="en-US"/>
          <w:color w:val="111111"/>
          <w:sz w:val="28"/>
          <w:szCs w:val="28"/>
          <w:rtl/>
        </w:rPr>
        <w:t xml:space="preserve">balāqat</w:t>
      </w:r>
    </w:p>
    <w:p>
      <w:pPr>
        <w:pStyle w:val="BookText"/>
      </w:pPr>
      <w:r>
        <w:rPr>
          <w:rFonts w:ascii="IRNazanin" w:hAnsi="IRNazanin" w:eastAsia="IRNazanin" w:cs="IRNazanin"/>
          <w:lang w:bidi="fa-IR"/>
          <w:color w:val="111111"/>
          <w:sz w:val="28"/>
          <w:szCs w:val="28"/>
          <w:rtl/>
        </w:rPr>
        <w:t xml:space="preserve">موسوی شیرازی، محمد رضا، ق۱۳ قمری</w:t>
      </w:r>
    </w:p>
    <w:p>
      <w:pPr>
        <w:pStyle w:val="BookText"/>
      </w:pPr>
      <w:r>
        <w:rPr>
          <w:rFonts w:ascii="Times New Roman" w:hAnsi="Times New Roman" w:eastAsia="Times New Roman" w:cs="Times New Roman"/>
          <w:lang w:val="en-US" w:bidi="en-US"/>
          <w:color w:val="111111"/>
          <w:sz w:val="28"/>
          <w:szCs w:val="28"/>
          <w:rtl/>
        </w:rPr>
        <w:t xml:space="preserve">mūsavī šīrāzī, mohammad rezā (- 19c)</w:t>
      </w:r>
    </w:p>
    <w:p>
      <w:pPr>
        <w:pStyle w:val="BookText"/>
      </w:pPr>
      <w:r>
        <w:rPr>
          <w:rFonts w:ascii="IRNazanin" w:hAnsi="IRNazanin" w:eastAsia="IRNazanin" w:cs="IRNazanin"/>
          <w:lang w:bidi="fa-IR"/>
          <w:color w:val="111111"/>
          <w:sz w:val="28"/>
          <w:szCs w:val="28"/>
          <w:rtl/>
        </w:rPr>
        <w:t xml:space="preserve">در معانی و بیان و بدیع و آن را پس از «زبدة العلوم» نگاشته است. فارسی و عربی در هم می باشد و انشاء آن سخت بد است. نام نگارنده در دیباچه هست.</w:t>
      </w:r>
    </w:p>
    <w:p>
      <w:pPr>
        <w:pStyle w:val="BookText"/>
      </w:pPr>
      <w:r>
        <w:rPr>
          <w:rFonts w:ascii="IRNazanin" w:hAnsi="IRNazanin" w:eastAsia="IRNazanin" w:cs="IRNazanin"/>
          <w:lang w:bidi="fa-IR"/>
          <w:color w:val="111111"/>
          <w:sz w:val="28"/>
          <w:szCs w:val="28"/>
          <w:rtl/>
        </w:rPr>
        <w:t xml:space="preserve">تهران؛ سپهسالار؛ شماره نسخه: ۷۳۷۸/۳</w:t>
      </w:r>
    </w:p>
    <w:p>
      <w:pPr>
        <w:pStyle w:val="BookText"/>
      </w:pPr>
      <w:r>
        <w:rPr>
          <w:rFonts w:ascii="IRNazanin" w:hAnsi="IRNazanin" w:eastAsia="IRNazanin" w:cs="IRNazanin"/>
          <w:lang w:bidi="fa-IR"/>
          <w:color w:val="111111"/>
          <w:sz w:val="28"/>
          <w:szCs w:val="28"/>
          <w:rtl/>
        </w:rPr>
        <w:t xml:space="preserve">آغاز: الحمدلله رب ما تري و مالا ترى من تحت الثرى الى فوق الثريا؛ انجام: و معدوم النفع بعدم وجود آن شیئی و صلى الله على ... الطاهرين ...</w:t>
      </w:r>
    </w:p>
    <w:p>
      <w:pPr>
        <w:pStyle w:val="BookText"/>
      </w:pPr>
      <w:r>
        <w:rPr>
          <w:rFonts w:ascii="IRNazanin" w:hAnsi="IRNazanin" w:eastAsia="IRNazanin" w:cs="IRNazanin"/>
          <w:lang w:bidi="fa-IR"/>
          <w:color w:val="111111"/>
          <w:sz w:val="28"/>
          <w:szCs w:val="28"/>
          <w:rtl/>
        </w:rPr>
        <w:t xml:space="preserve">بی کا، بی تا، کاغذ: فرنگی، جلد: تیماج حنایی مقوایی، ۹۷گ (۷۸پ -۱۷۴پ)، ۱۶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۳-۲۵۹]</w:t>
      </w:r>
    </w:p>
    <w:p>
      <w:pPr>
        <w:pStyle w:val="Heading3"/>
      </w:pPr>
      <w:bookmarkStart w:id="926" w:name="_Toc186"/>
      <w:r>
        <w:t>• بلاغت / بلاغت / فارسی</w:t>
      </w:r>
      <w:bookmarkEnd w:id="926"/>
    </w:p>
    <w:p>
      <w:pPr>
        <w:pStyle w:val="BookText"/>
      </w:pPr>
      <w:r>
        <w:rPr>
          <w:rFonts w:ascii="Times New Roman" w:hAnsi="Times New Roman" w:eastAsia="Times New Roman" w:cs="Times New Roman"/>
          <w:lang w:val="en-US" w:bidi="en-US"/>
          <w:color w:val="111111"/>
          <w:sz w:val="28"/>
          <w:szCs w:val="28"/>
          <w:rtl/>
        </w:rPr>
        <w:t xml:space="preserve">balāqat</w:t>
      </w:r>
    </w:p>
    <w:p>
      <w:pPr>
        <w:pStyle w:val="BookText"/>
      </w:pPr>
      <w:r>
        <w:rPr>
          <w:rFonts w:ascii="IRNazanin" w:hAnsi="IRNazanin" w:eastAsia="IRNazanin" w:cs="IRNazanin"/>
          <w:lang w:bidi="fa-IR"/>
          <w:color w:val="111111"/>
          <w:sz w:val="28"/>
          <w:szCs w:val="28"/>
          <w:rtl/>
        </w:rPr>
        <w:t xml:space="preserve">فروغی، ابوالحسن، ۱۲۶۳-۱۳۳۸ شمسی</w:t>
      </w:r>
    </w:p>
    <w:p>
      <w:pPr>
        <w:pStyle w:val="BookText"/>
      </w:pPr>
      <w:r>
        <w:rPr>
          <w:rFonts w:ascii="Times New Roman" w:hAnsi="Times New Roman" w:eastAsia="Times New Roman" w:cs="Times New Roman"/>
          <w:lang w:val="en-US" w:bidi="en-US"/>
          <w:color w:val="111111"/>
          <w:sz w:val="28"/>
          <w:szCs w:val="28"/>
          <w:rtl/>
        </w:rPr>
        <w:t xml:space="preserve">foruqi, ab-ol-hasan (1884-1959)</w:t>
      </w:r>
    </w:p>
    <w:p>
      <w:pPr>
        <w:pStyle w:val="BookText"/>
      </w:pPr>
      <w:r>
        <w:rPr>
          <w:rFonts w:ascii="IRNazanin" w:hAnsi="IRNazanin" w:eastAsia="IRNazanin" w:cs="IRNazanin"/>
          <w:lang w:bidi="fa-IR"/>
          <w:color w:val="111111"/>
          <w:sz w:val="28"/>
          <w:szCs w:val="28"/>
          <w:rtl/>
        </w:rPr>
        <w:t xml:space="preserve">مباحثی است درباره معانی برگرفته از کتابی مفصل تر از همو.</w:t>
      </w:r>
    </w:p>
    <w:p>
      <w:pPr>
        <w:pStyle w:val="BookText"/>
      </w:pPr>
      <w:r>
        <w:rPr>
          <w:rFonts w:ascii="IRNazanin" w:hAnsi="IRNazanin" w:eastAsia="IRNazanin" w:cs="IRNazanin"/>
          <w:lang w:bidi="fa-IR"/>
          <w:color w:val="111111"/>
          <w:sz w:val="28"/>
          <w:szCs w:val="28"/>
          <w:rtl/>
        </w:rPr>
        <w:t xml:space="preserve">تهران؛ دانشگاه؛ شماره نسخه: ۱۰۸۶۸/۴</w:t>
      </w:r>
    </w:p>
    <w:p>
      <w:pPr>
        <w:pStyle w:val="BookText"/>
      </w:pPr>
      <w:r>
        <w:rPr>
          <w:rFonts w:ascii="IRNazanin" w:hAnsi="IRNazanin" w:eastAsia="IRNazanin" w:cs="IRNazanin"/>
          <w:lang w:bidi="fa-IR"/>
          <w:color w:val="111111"/>
          <w:sz w:val="28"/>
          <w:szCs w:val="28"/>
          <w:rtl/>
        </w:rPr>
        <w:t xml:space="preserve">آغاز: خواهی در صورتی که خود یقین داری که راست می گوید، انجام و در این این آیه مبارکه و لو كان بهم خصاصة تتمیمی است که افاده مبالغه در احسان می نماید</w:t>
      </w:r>
    </w:p>
    <w:p>
      <w:pPr>
        <w:pStyle w:val="BookText"/>
      </w:pPr>
      <w:r>
        <w:rPr>
          <w:rFonts w:ascii="IRNazanin" w:hAnsi="IRNazanin" w:eastAsia="IRNazanin" w:cs="IRNazanin"/>
          <w:lang w:bidi="fa-IR"/>
          <w:color w:val="111111"/>
          <w:sz w:val="28"/>
          <w:szCs w:val="28"/>
          <w:rtl/>
        </w:rPr>
        <w:t xml:space="preserve">خط: نستعلیق، کاتب = مؤلف، تا: قرن ۱۴؛ افتادگی: آغاز؛ بنا بر برگ شماری نسخه، این رساله ۵۳ صفحه از آغاز ندارد؛ جلد: مقوا، ۲۲گ (۴۳ر -۶۴پ)،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۲۰-۴۴۵]</w:t>
      </w:r>
    </w:p>
    <w:p>
      <w:pPr>
        <w:pStyle w:val="Heading3"/>
      </w:pPr>
      <w:bookmarkStart w:id="927" w:name="_Toc187"/>
      <w:r>
        <w:t>• بلاغت / بلاغت / فارسی</w:t>
      </w:r>
      <w:bookmarkEnd w:id="927"/>
    </w:p>
    <w:p>
      <w:pPr>
        <w:pStyle w:val="BookText"/>
      </w:pPr>
      <w:r>
        <w:rPr>
          <w:rFonts w:ascii="Times New Roman" w:hAnsi="Times New Roman" w:eastAsia="Times New Roman" w:cs="Times New Roman"/>
          <w:lang w:val="en-US" w:bidi="en-US"/>
          <w:color w:val="111111"/>
          <w:sz w:val="28"/>
          <w:szCs w:val="28"/>
          <w:rtl/>
        </w:rPr>
        <w:t xml:space="preserve">balāqat</w:t>
      </w:r>
    </w:p>
    <w:p>
      <w:pPr>
        <w:pStyle w:val="BookText"/>
      </w:pPr>
      <w:r>
        <w:rPr>
          <w:rFonts w:ascii="IRNazanin" w:hAnsi="IRNazanin" w:eastAsia="IRNazanin" w:cs="IRNazanin"/>
          <w:lang w:bidi="fa-IR"/>
          <w:color w:val="111111"/>
          <w:sz w:val="28"/>
          <w:szCs w:val="28"/>
          <w:rtl/>
        </w:rPr>
        <w:t xml:space="preserve">تهرانی، محمد حسن بن عباسقلی، ق۱۴ قمری</w:t>
      </w:r>
    </w:p>
    <w:p>
      <w:pPr>
        <w:pStyle w:val="BookText"/>
      </w:pPr>
      <w:r>
        <w:rPr>
          <w:rFonts w:ascii="Times New Roman" w:hAnsi="Times New Roman" w:eastAsia="Times New Roman" w:cs="Times New Roman"/>
          <w:lang w:val="en-US" w:bidi="en-US"/>
          <w:color w:val="111111"/>
          <w:sz w:val="28"/>
          <w:szCs w:val="28"/>
          <w:rtl/>
        </w:rPr>
        <w:t xml:space="preserve">tehrānī, mohammad hasan ebn-e 'abbās-qolī (- 20c)</w:t>
      </w:r>
    </w:p>
    <w:p>
      <w:pPr>
        <w:pStyle w:val="BookText"/>
      </w:pPr>
      <w:r>
        <w:rPr>
          <w:rFonts w:ascii="IRNazanin" w:hAnsi="IRNazanin" w:eastAsia="IRNazanin" w:cs="IRNazanin"/>
          <w:lang w:bidi="fa-IR"/>
          <w:color w:val="111111"/>
          <w:sz w:val="28"/>
          <w:szCs w:val="28"/>
          <w:rtl/>
        </w:rPr>
        <w:t xml:space="preserve">رساله مختصری است درباره علم معانی و بیان و بدیع با قلمی روان و سلیس که مثال هایی از اشعار عربی و فارسی آورده است.</w:t>
      </w:r>
    </w:p>
    <w:p>
      <w:pPr>
        <w:pStyle w:val="BookText"/>
      </w:pPr>
      <w:r>
        <w:rPr>
          <w:rFonts w:ascii="IRNazanin" w:hAnsi="IRNazanin" w:eastAsia="IRNazanin" w:cs="IRNazanin"/>
          <w:lang w:bidi="fa-IR"/>
          <w:color w:val="111111"/>
          <w:sz w:val="28"/>
          <w:szCs w:val="28"/>
          <w:rtl/>
        </w:rPr>
        <w:t xml:space="preserve">قم؛ مسجد اعظم؛ شماره نسخه: ۱۲۶۰/۱</w:t>
      </w:r>
    </w:p>
    <w:p>
      <w:pPr>
        <w:pStyle w:val="BookText"/>
      </w:pPr>
      <w:r>
        <w:rPr>
          <w:rFonts w:ascii="IRNazanin" w:hAnsi="IRNazanin" w:eastAsia="IRNazanin" w:cs="IRNazanin"/>
          <w:lang w:bidi="fa-IR"/>
          <w:color w:val="111111"/>
          <w:sz w:val="28"/>
          <w:szCs w:val="28"/>
          <w:rtl/>
        </w:rPr>
        <w:t xml:space="preserve">آغاز: بسمله. الحمدلله رب العالمين ..... و بعد پوشیده نیست که از آنگاه که تاج و تخت خسروی ... احمد شاه قاجار خلد الله ملکه و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6" w:name="pg20363_209222"/>
    <w:bookmarkEnd w:id="66"/>
    <w:p>
      <w:pPr>
        <w:pStyle w:val="BookText"/>
      </w:pPr>
      <w:r>
        <w:rPr>
          <w:rFonts w:ascii="IRNazanin" w:hAnsi="IRNazanin" w:eastAsia="IRNazanin" w:cs="IRNazanin"/>
          <w:lang w:bidi="fa-IR"/>
          <w:color w:val="111111"/>
          <w:sz w:val="28"/>
          <w:szCs w:val="28"/>
          <w:rtl/>
        </w:rPr>
        <w:t xml:space="preserve">دولته مباهی و مزین گردیده ... ادبیات هر لغت عبارت است از بعضی امور وجودی؛ انجام: مثال بحر جدید و قریب و مشاكل را از کتب مبسوطه باید جست.</w:t>
      </w:r>
    </w:p>
    <w:p>
      <w:pPr>
        <w:pStyle w:val="BookText"/>
      </w:pPr>
      <w:r>
        <w:rPr>
          <w:rFonts w:ascii="IRNazanin" w:hAnsi="IRNazanin" w:eastAsia="IRNazanin" w:cs="IRNazanin"/>
          <w:lang w:bidi="fa-IR"/>
          <w:color w:val="111111"/>
          <w:sz w:val="28"/>
          <w:szCs w:val="28"/>
          <w:rtl/>
        </w:rPr>
        <w:t xml:space="preserve">خط: نستعلیق، کاتب = مؤلف، تا: ۸ ربیع الثانی ۱۳۲۸ق؛ جلد: مقوا، ۳۶گ،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مخ: ۳-۱۳۹۱]</w:t>
      </w:r>
    </w:p>
    <w:p>
      <w:pPr>
        <w:pStyle w:val="Heading3"/>
      </w:pPr>
      <w:bookmarkStart w:id="928" w:name="_Toc188"/>
      <w:r>
        <w:t>• البلاغة / بلاغت / عربی</w:t>
      </w:r>
      <w:bookmarkEnd w:id="928"/>
    </w:p>
    <w:p>
      <w:pPr>
        <w:pStyle w:val="BookText"/>
      </w:pPr>
      <w:r>
        <w:rPr>
          <w:rFonts w:ascii="Times New Roman" w:hAnsi="Times New Roman" w:eastAsia="Times New Roman" w:cs="Times New Roman"/>
          <w:lang w:val="en-US" w:bidi="en-US"/>
          <w:color w:val="111111"/>
          <w:sz w:val="28"/>
          <w:szCs w:val="28"/>
          <w:rtl/>
        </w:rPr>
        <w:t xml:space="preserve">al-balāja</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IRNazanin" w:hAnsi="IRNazanin" w:eastAsia="IRNazanin" w:cs="IRNazanin"/>
          <w:lang w:bidi="fa-IR"/>
          <w:color w:val="111111"/>
          <w:sz w:val="28"/>
          <w:szCs w:val="28"/>
          <w:rtl/>
        </w:rPr>
        <w:t xml:space="preserve">۱. تهران؛ ملک؛ شماره نسخه: ۱۶۶۶/۹</w:t>
      </w:r>
    </w:p>
    <w:p>
      <w:pPr>
        <w:pStyle w:val="BookText"/>
      </w:pPr>
      <w:r>
        <w:rPr>
          <w:rFonts w:ascii="IRNazanin" w:hAnsi="IRNazanin" w:eastAsia="IRNazanin" w:cs="IRNazanin"/>
          <w:lang w:bidi="fa-IR"/>
          <w:color w:val="111111"/>
          <w:sz w:val="28"/>
          <w:szCs w:val="28"/>
          <w:rtl/>
        </w:rPr>
        <w:t xml:space="preserve">بخشی از کتابی و از تشبیهات آغاز می شود و می رسد به سرقت؛ خط: نستعلیق، بی کا، بی تا؛ ۴گ (۴۴ر -۴۷پ) [ف: ۵-۳۲۴]</w:t>
      </w:r>
    </w:p>
    <w:p>
      <w:pPr>
        <w:pStyle w:val="BookText"/>
      </w:pPr>
      <w:r>
        <w:rPr>
          <w:rFonts w:ascii="IRNazanin" w:hAnsi="IRNazanin" w:eastAsia="IRNazanin" w:cs="IRNazanin"/>
          <w:lang w:bidi="fa-IR"/>
          <w:color w:val="111111"/>
          <w:sz w:val="28"/>
          <w:szCs w:val="28"/>
          <w:rtl/>
        </w:rPr>
        <w:t xml:space="preserve">۲. مشهد، شیخ علی حیدر، شماره نسخه: ۱۸۴/۱</w:t>
      </w:r>
    </w:p>
    <w:p>
      <w:pPr>
        <w:pStyle w:val="BookText"/>
      </w:pPr>
      <w:r>
        <w:rPr>
          <w:rFonts w:ascii="IRNazanin" w:hAnsi="IRNazanin" w:eastAsia="IRNazanin" w:cs="IRNazanin"/>
          <w:lang w:bidi="fa-IR"/>
          <w:color w:val="111111"/>
          <w:sz w:val="28"/>
          <w:szCs w:val="28"/>
          <w:rtl/>
        </w:rPr>
        <w:t xml:space="preserve">آغاز: بعد الحمد و الثناء فهذه مختصر في علم البلاغة ألفتها من قوادح الأفكار؛ انجام: ان الشجاعة و المروة و الندى *** في قبة ضربت علی ابن الحشرج</w:t>
      </w:r>
    </w:p>
    <w:p>
      <w:pPr>
        <w:pStyle w:val="BookText"/>
      </w:pPr>
      <w:r>
        <w:rPr>
          <w:rFonts w:ascii="IRNazanin" w:hAnsi="IRNazanin" w:eastAsia="IRNazanin" w:cs="IRNazanin"/>
          <w:lang w:bidi="fa-IR"/>
          <w:color w:val="111111"/>
          <w:sz w:val="28"/>
          <w:szCs w:val="28"/>
          <w:rtl/>
        </w:rPr>
        <w:t xml:space="preserve">الفها على ترتيب مختصر المعاني للتفتازانی؛ کاتب = مؤلف، تا: جمعه ۲۶ ربیع الثانی ۱۳۳۹ق؛ جلد: چرم زرد، ۲۵گ (۱پ۔ ۲۵پ)، اندازه: ۲۱</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۱۳/۵ سم [مؤيد: ۱-۱۷۹]</w:t>
      </w:r>
    </w:p>
    <w:p>
      <w:pPr>
        <w:pStyle w:val="BookText"/>
      </w:pPr>
      <w:r>
        <w:rPr>
          <w:rFonts w:ascii="IRNazanin" w:hAnsi="IRNazanin" w:eastAsia="IRNazanin" w:cs="IRNazanin"/>
          <w:lang w:bidi="fa-IR"/>
          <w:color w:val="111111"/>
          <w:sz w:val="28"/>
          <w:szCs w:val="28"/>
          <w:rtl/>
        </w:rPr>
        <w:t xml:space="preserve">٣. قم؛ مرعشی؛ شماره نسخه: ۱۰۹۹</w:t>
      </w:r>
    </w:p>
    <w:p>
      <w:pPr>
        <w:pStyle w:val="BookText"/>
      </w:pPr>
      <w:r>
        <w:rPr>
          <w:rFonts w:ascii="IRNazanin" w:hAnsi="IRNazanin" w:eastAsia="IRNazanin" w:cs="IRNazanin"/>
          <w:lang w:bidi="fa-IR"/>
          <w:color w:val="111111"/>
          <w:sz w:val="28"/>
          <w:szCs w:val="28"/>
          <w:rtl/>
        </w:rPr>
        <w:t xml:space="preserve">آغاز: بسمله هذه رسالة تخبر عن شأن البلاغة و أقسامها و تنطق برسوم شرایط الفصاحة و أحكامها يشتمل ألفاظها في المقالات على الست ...... الفصل الأول من المقالة الأولى في ذكر الصوت و التأليف تبارك من خلق هذا العالم كما وافق علمه؛ انجام: فأما اذا اتصلت بأوائلها و أوساطها فانها يكون على هذا الرسم دائرة مقادیر الحروف بأوائل الكلمات و أوساطها ... و حسن توفيقه برحمتک یا أرحم الراحمين.</w:t>
      </w:r>
    </w:p>
    <w:p>
      <w:pPr>
        <w:pStyle w:val="BookText"/>
      </w:pPr>
      <w:r>
        <w:rPr>
          <w:rFonts w:ascii="IRNazanin" w:hAnsi="IRNazanin" w:eastAsia="IRNazanin" w:cs="IRNazanin"/>
          <w:lang w:bidi="fa-IR"/>
          <w:color w:val="111111"/>
          <w:sz w:val="28"/>
          <w:szCs w:val="28"/>
          <w:rtl/>
        </w:rPr>
        <w:t xml:space="preserve">نسخه اصل: کتابخانه چستربیتی، ایرلند جنوبی، ش ۳۷۸۵. رساله مختصری است در علم بلاغت، شامل شش مقاله و هر مقاله در چهار فصل. مؤلف با استفاده از جدول ها و دوایر به بیان اقسام بلاغت و شرایط فصاحت و احکام آن پرداخته است. عناوین مقالات و فصول: مقاله ۱. فصل ۱) ذكر الصوت و التأليف، ۲) ترکیب اللفظ، 3) الفرق بين الكلام و اللفظ، ۴) الآلات و الأدوات، مقاله ۲. فصل ۱) ذكر العلامات و تسوية الأدوات على حجة الميزان، ۲) الأمثلة الدالة، 3) الأسماء و الأفعال، ۴) موضوعات الكلام، مقاله ۳. فصل ۱) ذكر أصناف الكلام، ۲) وصف البلاغة، 3) بلاغة اللسان، ۴) أقسام العبارات، مقاله ۴. فصل 1) ذکر حلاوة اللفظ، ۲) استقامة المعنی، ۳) وجوه الألفاظ و العبارات و المعانی، ۴) أساس الكلام و قواعده و محيطه، مقاله ۵. فصل ۱) ذکر شرایط البلاغة، ۲) أصناف البلاغة، 3) ألقاب البلاغة، ۴) نظم السجع، مقاله ۶. فصل ۱) ذكر محاسن الكلام، ۲) أنواع الألفاظ، 3) أنواع التشبيهات، ۴) صور الحروف. نام رساله در صفحه عنوان نسخه «رسالة البلاغة المشجرة» درج شده و این رساله همراه با رساله «غرة الالفاظ و نزهة الإلحافظ» از محمد بن محمد کاتب سمرقندی در یک مجموعه قرار دارند. مؤلف رساله شناخته نشد. آربری مدعی شده که این نسخه در قرن ششم کتابت شده و منحصر به فرد است؛ خط: نسخ، بی کا، تا: گویا از قرن ۶ و یا قرن ۷؛ همراه با جداول و دوایر و اشکال هندسی؛ ۶۲ص، ۱۵سطر [عکسی ف: ۳-۱۹۹]</w:t>
      </w:r>
    </w:p>
    <w:p>
      <w:pPr>
        <w:pStyle w:val="BookText"/>
      </w:pPr>
      <w:r>
        <w:rPr>
          <w:rFonts w:ascii="IRNazanin" w:hAnsi="IRNazanin" w:eastAsia="IRNazanin" w:cs="IRNazanin"/>
          <w:lang w:bidi="fa-IR"/>
          <w:color w:val="111111"/>
          <w:sz w:val="28"/>
          <w:szCs w:val="28"/>
          <w:rtl/>
        </w:rPr>
        <w:t xml:space="preserve">۴. تهران، دانشگاه؛ شماره نسخه: ۳۸۶۸/۲</w:t>
      </w:r>
    </w:p>
    <w:p>
      <w:pPr>
        <w:pStyle w:val="BookText"/>
      </w:pPr>
      <w:r>
        <w:rPr>
          <w:rFonts w:ascii="IRNazanin" w:hAnsi="IRNazanin" w:eastAsia="IRNazanin" w:cs="IRNazanin"/>
          <w:lang w:bidi="fa-IR"/>
          <w:color w:val="111111"/>
          <w:sz w:val="28"/>
          <w:szCs w:val="28"/>
          <w:rtl/>
        </w:rPr>
        <w:t xml:space="preserve">آغاز: الله اعناق الآمال من كل بلد سحيق يعفر في فنائه جباه الصيد.. و امتثالا له حين امر بتلخيص مستودعاته و تجريدها ... و هو مرتب على مقدمة و فصلين؛ انجام: كانه عنى المصنف له لازالت امور العالمين منتظمة برايه و اقطار المشارق و المغارب منورة بروائه و الحمد حق حمده و الصلوة على نبيه محمد و آله الطيبين الطاهرين اجمعين فرغ من تحريره لنفسه و تحقيقه ... محمد بن حسن بن محمد الحسيني المشتهر بالموصلی ... في ربيع الاخر لسنة ست و سبعین و سبعمائة الهجرية.</w:t>
      </w:r>
    </w:p>
    <w:p>
      <w:pPr>
        <w:pStyle w:val="BookText"/>
      </w:pPr>
      <w:r>
        <w:rPr>
          <w:rFonts w:ascii="IRNazanin" w:hAnsi="IRNazanin" w:eastAsia="IRNazanin" w:cs="IRNazanin"/>
          <w:lang w:bidi="fa-IR"/>
          <w:color w:val="111111"/>
          <w:sz w:val="28"/>
          <w:szCs w:val="28"/>
          <w:rtl/>
        </w:rPr>
        <w:t xml:space="preserve">در دو «فصل» است: علم معانی، با عنوانها «قانون» و چهار «فن» و « نوع»، علم بیان در چهار «اصل»: تشبيه، مجاز، استعاره، کنایه، سپس علم بدیع است در دو قسم: معنوی و لفظی، رساله کوتاه و گزیده بسیار شیوایی است؛ خط: نسخ، كا: محمد بن حسن بن محمد حسینی موصلی، تان ربيع الثانی ۷۷۶ق؛ افتادگی: آغاز؛ کاغذ: سمرقندی، جلد: تیماج مشکی، ۴۵گ (ور -۵۳پ)، ۹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۱۲-۲۸۴۷]</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گلپایگانی؛ شماره نسخه: ۷۷۰۰- ۳۹/۸۰</w:t>
      </w:r>
    </w:p>
    <w:p>
      <w:pPr>
        <w:pStyle w:val="BookText"/>
      </w:pPr>
      <w:r>
        <w:rPr>
          <w:rFonts w:ascii="IRNazanin" w:hAnsi="IRNazanin" w:eastAsia="IRNazanin" w:cs="IRNazanin"/>
          <w:lang w:bidi="fa-IR"/>
          <w:color w:val="111111"/>
          <w:sz w:val="28"/>
          <w:szCs w:val="28"/>
          <w:rtl/>
        </w:rPr>
        <w:t xml:space="preserve">آغاز: و لايرد العامل و المقتضی فان قلت قد فسر كلمة بالحرف او حركة فلم يجعلها موصولة بل موصوفة؛ انجام: الا أن يقال المرادنا يكون العمدة فيما وضع له تقرير الفاعل على صفة فقط فيتجدان العبارة لاتساعد</w:t>
      </w:r>
    </w:p>
    <w:p>
      <w:pPr>
        <w:pStyle w:val="BookText"/>
      </w:pPr>
      <w:r>
        <w:rPr>
          <w:rFonts w:ascii="IRNazanin" w:hAnsi="IRNazanin" w:eastAsia="IRNazanin" w:cs="IRNazanin"/>
          <w:lang w:bidi="fa-IR"/>
          <w:color w:val="111111"/>
          <w:sz w:val="28"/>
          <w:szCs w:val="28"/>
          <w:rtl/>
        </w:rPr>
        <w:t xml:space="preserve">حاشیه ای است بر متنی در معانی و بیان شامل مباحث متعدد، مباحث موجود: بحث الجمع، بحث مفعول مالم يسم فاعله، بحث المصدار، بحث تعدد الخبر، بحث معنى الشرط، اسم الإشارة، بحث الأصوات، بحث المركبات، بحث الكنايات، المعرفة والنكرة، مبحث اسماء العدد، بحث المجموع، بحث جمع التكسير و العلة، بحث المصدر، بحث اسم الفاعل، بحث اسم المعفول و بحث افعال الناقصة؛ خط: نستعلیق، بی کا، تا: قرن ۱۱؛ افتادگی: آغاز؛ مصحح؛ جلد: مقوا با عطف گالینگور قهوه ای، ۲۴گ، ۲۱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۴-۲۰۲۶]</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مجلس؛ شماره نسخه: ۹۲۵۸/۳۱</w:t>
      </w:r>
    </w:p>
    <w:p>
      <w:pPr>
        <w:pStyle w:val="BookText"/>
      </w:pPr>
      <w:r>
        <w:rPr>
          <w:rFonts w:ascii="IRNazanin" w:hAnsi="IRNazanin" w:eastAsia="IRNazanin" w:cs="IRNazanin"/>
          <w:lang w:bidi="fa-IR"/>
          <w:color w:val="111111"/>
          <w:sz w:val="28"/>
          <w:szCs w:val="28"/>
          <w:rtl/>
        </w:rPr>
        <w:t xml:space="preserve">فقط دیباجه کتاب است؛ خط: نسخ تحریری، بی کا، تا: قرن ۱۳؛ اگی (۹۳ - ۹۳ر) [مختصر ف: ۶۵۸]</w:t>
      </w:r>
    </w:p>
    <w:p>
      <w:pPr>
        <w:pStyle w:val="BookText"/>
      </w:pPr>
      <w:r>
        <w:rPr>
          <w:rFonts w:ascii="IRNazanin" w:hAnsi="IRNazanin" w:eastAsia="IRNazanin" w:cs="IRNazanin"/>
          <w:lang w:bidi="fa-IR"/>
          <w:color w:val="111111"/>
          <w:sz w:val="28"/>
          <w:szCs w:val="28"/>
          <w:rtl/>
        </w:rPr>
        <w:t xml:space="preserve">۷. تهران: مجلس؛ شماره نسخه: ۱۲۳۵/۲</w:t>
      </w:r>
    </w:p>
    <w:p>
      <w:pPr>
        <w:pStyle w:val="BookText"/>
      </w:pPr>
      <w:r>
        <w:rPr>
          <w:rFonts w:ascii="Amiri" w:hAnsi="Amiri" w:eastAsia="Amiri" w:cs="Amiri"/>
          <w:lang w:bidi="ar-SA"/>
          <w:color w:val="111111"/>
          <w:sz w:val="28"/>
          <w:szCs w:val="28"/>
          <w:rtl/>
        </w:rPr>
        <w:t xml:space="preserve">عنوانها «فصل»ها و «قواعد»: الفصل الثاني في الاشتقاق، الفصل الثالث في رد العجز الفصل الرابع في القلب باز الفصل الثاني في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7" w:name="pg20363_209223"/>
    <w:bookmarkEnd w:id="67"/>
    <w:p>
      <w:pPr>
        <w:pStyle w:val="BookText"/>
      </w:pPr>
      <w:r>
        <w:rPr>
          <w:rFonts w:ascii="IRNazanin" w:hAnsi="IRNazanin" w:eastAsia="IRNazanin" w:cs="IRNazanin"/>
          <w:lang w:bidi="fa-IR"/>
          <w:color w:val="111111"/>
          <w:sz w:val="28"/>
          <w:szCs w:val="28"/>
          <w:rtl/>
        </w:rPr>
        <w:t xml:space="preserve">تضمین المزدوج، الفصل الثالث في الترصيع، الركن الثالث ما يتعلق بالدلالة اللفظية، القاعدة الأولى في احكام الخبر وفيه ستة عشر فصلا، الفصل التاسع في ان حكم المبتدأ و الخبر، القاعدة الثانية في الحقيقه و المجاز (۱۴ فصل)، القاعده الثالثه في التشبيه و فيه اربعه ابواب، القاعدة الرابعة في الاستعارة ، القاعدة الخامسة (۳ فصل)، الجملة الثانية في النظم (باب)، در پایان الباب الثالث في الفصل و الوصل است (۵ فصل). از دو سطر پیش از الفصل الثانی في الاشتقاق تا شش سطر پیش از الفصل الثاني في امثلة ما يترک العاطف لشدة اتصال احدى الجملتين موكدة للتي قبلها اوصفه لها؛ خط: نسخ، بی کا، بی تا، کاغذ: سفید، جلد: تیماج سبز و مقوایی نو، ۱۷۲ ص (۱۷-۱۸۸) [سنا: ف: ۲-۱۷۷]</w:t>
      </w:r>
    </w:p>
    <w:p>
      <w:pPr>
        <w:pStyle w:val="Heading3"/>
      </w:pPr>
      <w:bookmarkStart w:id="929" w:name="_Toc189"/>
      <w:r>
        <w:t>• البلاغة / بلاغت / فارسی</w:t>
      </w:r>
      <w:bookmarkEnd w:id="929"/>
    </w:p>
    <w:p>
      <w:pPr>
        <w:pStyle w:val="BookText"/>
      </w:pPr>
      <w:r>
        <w:rPr>
          <w:rFonts w:ascii="Times New Roman" w:hAnsi="Times New Roman" w:eastAsia="Times New Roman" w:cs="Times New Roman"/>
          <w:lang w:val="en-US" w:bidi="en-US"/>
          <w:color w:val="111111"/>
          <w:sz w:val="28"/>
          <w:szCs w:val="28"/>
          <w:rtl/>
        </w:rPr>
        <w:t xml:space="preserve">al-balāga</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IRNazanin" w:hAnsi="IRNazanin" w:eastAsia="IRNazanin" w:cs="IRNazanin"/>
          <w:lang w:bidi="fa-IR"/>
          <w:color w:val="111111"/>
          <w:sz w:val="28"/>
          <w:szCs w:val="28"/>
          <w:rtl/>
        </w:rPr>
        <w:t xml:space="preserve">۱. تهران، دانشگاه؛ شماره نسخه: ۶۰۵۶/۲</w:t>
      </w:r>
    </w:p>
    <w:p>
      <w:pPr>
        <w:pStyle w:val="BookText"/>
      </w:pPr>
      <w:r>
        <w:rPr>
          <w:rFonts w:ascii="IRNazanin" w:hAnsi="IRNazanin" w:eastAsia="IRNazanin" w:cs="IRNazanin"/>
          <w:lang w:bidi="fa-IR"/>
          <w:color w:val="111111"/>
          <w:sz w:val="28"/>
          <w:szCs w:val="28"/>
          <w:rtl/>
        </w:rPr>
        <w:t xml:space="preserve">آغاز: روضه سیم در صنایعی که مرجع اليه آن الفاظ و معانی است؛ انجام: العام عبارت از آن است که متکلم تمام معانی کلام دیگری اخذ نماید به الفاظ آنکس ... و این عبارت از آنست. خط: نستعلیق هندی، بی کا، تا: قرن ۱۱؛ افتادگی: آغاز و انجام؛ کاغذ: هندی، جلد: مقوا عطف تیماج حنایی، ۳۹گ (۲۳-۶۱پ)، ۲۰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قطع: ربعی،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۱۶-۱۸۸]</w:t>
      </w:r>
    </w:p>
    <w:p>
      <w:pPr>
        <w:pStyle w:val="BookText"/>
      </w:pPr>
      <w:r>
        <w:rPr>
          <w:rFonts w:ascii="IRNazanin" w:hAnsi="IRNazanin" w:eastAsia="IRNazanin" w:cs="IRNazanin"/>
          <w:lang w:bidi="fa-IR"/>
          <w:color w:val="111111"/>
          <w:sz w:val="28"/>
          <w:szCs w:val="28"/>
          <w:rtl/>
        </w:rPr>
        <w:t xml:space="preserve">۲. تهران؛ ملک؛ شماره نسخه: ۵۶۹۱</w:t>
      </w:r>
    </w:p>
    <w:p>
      <w:pPr>
        <w:pStyle w:val="BookText"/>
      </w:pPr>
      <w:r>
        <w:rPr>
          <w:rFonts w:ascii="IRNazanin" w:hAnsi="IRNazanin" w:eastAsia="IRNazanin" w:cs="IRNazanin"/>
          <w:lang w:bidi="fa-IR"/>
          <w:color w:val="111111"/>
          <w:sz w:val="28"/>
          <w:szCs w:val="28"/>
          <w:rtl/>
        </w:rPr>
        <w:t xml:space="preserve">آغاز باشد مثال از قول فرزدق؛ بیت: و ما مثله في الناس ... معنی بیت آنست که نیست مثل ممدوح؛ انجام: و آن کلامی منظوم را گویند که هریک بیت آن منقسم شود</w:t>
      </w:r>
    </w:p>
    <w:p>
      <w:pPr>
        <w:pStyle w:val="BookText"/>
      </w:pPr>
      <w:r>
        <w:rPr>
          <w:rFonts w:ascii="IRNazanin" w:hAnsi="IRNazanin" w:eastAsia="IRNazanin" w:cs="IRNazanin"/>
          <w:lang w:bidi="fa-IR"/>
          <w:color w:val="111111"/>
          <w:sz w:val="28"/>
          <w:szCs w:val="28"/>
          <w:rtl/>
        </w:rPr>
        <w:t xml:space="preserve">به شکل تقریرات است در علوم ادبی (بلاغت و بديع) و شعرهای فارسی و عربی در آن آمده؛ خط: نستعلیق، بی کا، تا: قرن ۱۳؛ افتادگی: آغاز و انجام کاغذ: کاغذ فرنگی آهار مهره، ۷۳گ، ۱۳ سطر، اندازه: ۱۷/۱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۱۰/۸ سم [ف: ۲-۵۹]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 ۸۸۵۸/۷</w:t>
      </w:r>
    </w:p>
    <w:p>
      <w:pPr>
        <w:pStyle w:val="BookText"/>
      </w:pPr>
      <w:r>
        <w:rPr>
          <w:rFonts w:ascii="IRNazanin" w:hAnsi="IRNazanin" w:eastAsia="IRNazanin" w:cs="IRNazanin"/>
          <w:lang w:bidi="fa-IR"/>
          <w:color w:val="111111"/>
          <w:sz w:val="28"/>
          <w:szCs w:val="28"/>
          <w:rtl/>
        </w:rPr>
        <w:t xml:space="preserve">آغاز: ملک الشعرا استاد قوامی گنجه فرماید ترجمه اسامی الصناعات في طريق السحر و دقايق الشعر. حسن المطلع و الترصيع؛ انجام: نوع السادس نارد از خدمت تو بیرون سر</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ور چه بشکافیش ز نیزه چو مار. قسم الثانی دشمنان را بهداوری و خلاف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با تقاضای گنبد دوار. دو برگی از کتابی در بلاغت که در انتهای نسخه صحافی شده است؛ خط: نسخ خوش، بی کا، تا: ۱۳۰۲ق؛ افتادگی: آغاز و انجام کاغذ: فرنگی حنایی آهار مهره، جلد: تیماج زیتونی مجدول، ۲گ (۹۰ر-۹۱ر)، ۱۵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۲۹/۱ -۱۵۹]</w:t>
      </w:r>
    </w:p>
    <w:p>
      <w:pPr>
        <w:pStyle w:val="Heading3"/>
      </w:pPr>
      <w:bookmarkStart w:id="930" w:name="_Toc190"/>
      <w:r>
        <w:t>• بلاغت (مختصر) / بلاغت</w:t>
      </w:r>
      <w:bookmarkEnd w:id="930"/>
    </w:p>
    <w:p>
      <w:pPr>
        <w:pStyle w:val="BookText"/>
      </w:pPr>
      <w:r>
        <w:rPr>
          <w:rFonts w:ascii="Times New Roman" w:hAnsi="Times New Roman" w:eastAsia="Times New Roman" w:cs="Times New Roman"/>
          <w:lang w:val="en-US" w:bidi="en-US"/>
          <w:color w:val="111111"/>
          <w:sz w:val="28"/>
          <w:szCs w:val="28"/>
          <w:rtl/>
        </w:rPr>
        <w:t xml:space="preserve">balāqat (mx.)</w:t>
      </w:r>
    </w:p>
    <w:p>
      <w:pPr>
        <w:pStyle w:val="BookText"/>
      </w:pPr>
      <w:r>
        <w:rPr>
          <w:rFonts w:ascii="IRNazanin" w:hAnsi="IRNazanin" w:eastAsia="IRNazanin" w:cs="IRNazanin"/>
          <w:lang w:bidi="fa-IR"/>
          <w:color w:val="111111"/>
          <w:sz w:val="28"/>
          <w:szCs w:val="28"/>
          <w:rtl/>
        </w:rPr>
        <w:t xml:space="preserve">قم: مرکز مطالعات؛ شماره نسخه: ۹۳۷/۵</w:t>
      </w:r>
    </w:p>
    <w:p>
      <w:pPr>
        <w:pStyle w:val="BookText"/>
      </w:pPr>
      <w:r>
        <w:rPr>
          <w:rFonts w:ascii="IRNazanin" w:hAnsi="IRNazanin" w:eastAsia="IRNazanin" w:cs="IRNazanin"/>
          <w:lang w:bidi="fa-IR"/>
          <w:color w:val="111111"/>
          <w:sz w:val="28"/>
          <w:szCs w:val="28"/>
          <w:rtl/>
        </w:rPr>
        <w:t xml:space="preserve">خط: نستعلیق، بی کا، تا: ۱۹ جمادی الاول ۱۳۰۷ق؛ جلد: مقوا عطف و گوشه تیماج قهوهای، ۴ گی، ۱۵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۲-۲۰۷]</w:t>
      </w:r>
    </w:p>
    <w:p>
      <w:pPr>
        <w:pStyle w:val="Heading3"/>
      </w:pPr>
      <w:bookmarkStart w:id="931" w:name="_Toc191"/>
      <w:r>
        <w:t>• البلاغة (منظومه) / شعر، بلاغت / عربی</w:t>
      </w:r>
      <w:bookmarkEnd w:id="931"/>
    </w:p>
    <w:p>
      <w:pPr>
        <w:pStyle w:val="BookText"/>
      </w:pPr>
      <w:r>
        <w:rPr>
          <w:rFonts w:ascii="Times New Roman" w:hAnsi="Times New Roman" w:eastAsia="Times New Roman" w:cs="Times New Roman"/>
          <w:lang w:val="en-US" w:bidi="en-US"/>
          <w:color w:val="111111"/>
          <w:sz w:val="28"/>
          <w:szCs w:val="28"/>
          <w:rtl/>
        </w:rPr>
        <w:t xml:space="preserve">balaga (mnz.)</w:t>
      </w:r>
    </w:p>
    <w:p>
      <w:pPr>
        <w:pStyle w:val="BookText"/>
      </w:pPr>
      <w:r>
        <w:rPr>
          <w:rFonts w:ascii="IRNazanin" w:hAnsi="IRNazanin" w:eastAsia="IRNazanin" w:cs="IRNazanin"/>
          <w:lang w:bidi="fa-IR"/>
          <w:color w:val="111111"/>
          <w:sz w:val="28"/>
          <w:szCs w:val="28"/>
          <w:rtl/>
        </w:rPr>
        <w:t xml:space="preserve">؟ حسینی قزوینی، محمد تقی</w:t>
      </w:r>
    </w:p>
    <w:p>
      <w:pPr>
        <w:pStyle w:val="BookText"/>
      </w:pPr>
      <w:r>
        <w:rPr>
          <w:rFonts w:ascii="Times New Roman" w:hAnsi="Times New Roman" w:eastAsia="Times New Roman" w:cs="Times New Roman"/>
          <w:lang w:val="en-US" w:bidi="en-US"/>
          <w:color w:val="111111"/>
          <w:sz w:val="28"/>
          <w:szCs w:val="28"/>
          <w:rtl/>
        </w:rPr>
        <w:t xml:space="preserve">hoseynī qazvīnī, mohammad taqī</w:t>
      </w:r>
    </w:p>
    <w:p>
      <w:pPr>
        <w:pStyle w:val="BookText"/>
      </w:pPr>
      <w:r>
        <w:rPr>
          <w:rFonts w:ascii="IRNazanin" w:hAnsi="IRNazanin" w:eastAsia="IRNazanin" w:cs="IRNazanin"/>
          <w:lang w:bidi="fa-IR"/>
          <w:color w:val="111111"/>
          <w:sz w:val="28"/>
          <w:szCs w:val="28"/>
          <w:rtl/>
        </w:rPr>
        <w:t xml:space="preserve">احتمالا از میر محمد تقی حسینی قزوینی باشد. آغاز: الحمدلله الذي أفصح عن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سر البيان من بدائع المنن / أبهى أطائب التحيات على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شمس الشموس في المعالی و العلی</w:t>
      </w:r>
    </w:p>
    <w:p>
      <w:pPr>
        <w:pStyle w:val="BookText"/>
      </w:pPr>
      <w:r>
        <w:rPr>
          <w:rFonts w:ascii="IRNazanin" w:hAnsi="IRNazanin" w:eastAsia="IRNazanin" w:cs="IRNazanin"/>
          <w:lang w:bidi="fa-IR"/>
          <w:color w:val="111111"/>
          <w:sz w:val="28"/>
          <w:szCs w:val="28"/>
          <w:rtl/>
        </w:rPr>
        <w:t xml:space="preserve">قم؛ مرعشی؛ شماره نسخه: ۸۲۷۷/۵</w:t>
      </w:r>
    </w:p>
    <w:p>
      <w:pPr>
        <w:pStyle w:val="BookText"/>
      </w:pPr>
      <w:r>
        <w:rPr>
          <w:rFonts w:ascii="IRNazanin" w:hAnsi="IRNazanin" w:eastAsia="IRNazanin" w:cs="IRNazanin"/>
          <w:lang w:bidi="fa-IR"/>
          <w:color w:val="111111"/>
          <w:sz w:val="28"/>
          <w:szCs w:val="28"/>
          <w:rtl/>
        </w:rPr>
        <w:t xml:space="preserve">آغاز: برابر؛ انجام: أو لتوقع انتقا الشرط بما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يقلعه من أصله اذ علما خط: نسخ و نستعلیق، بی کا، بی تا؛ جلد: تیماج قهوه ای بدون مقوا، ۱۲گ (۴۲پ -۵۳پ)،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۲۱-۲۳۸]</w:t>
      </w:r>
    </w:p>
    <w:p>
      <w:pPr>
        <w:pStyle w:val="Heading3"/>
      </w:pPr>
      <w:bookmarkStart w:id="932" w:name="_Toc192"/>
      <w:r>
        <w:t>• البلاغة و المنطق / چند دانشی / عربی</w:t>
      </w:r>
      <w:bookmarkEnd w:id="932"/>
    </w:p>
    <w:p>
      <w:pPr>
        <w:pStyle w:val="BookText"/>
      </w:pPr>
      <w:r>
        <w:rPr>
          <w:rFonts w:ascii="Times New Roman" w:hAnsi="Times New Roman" w:eastAsia="Times New Roman" w:cs="Times New Roman"/>
          <w:lang w:val="en-US" w:bidi="en-US"/>
          <w:color w:val="111111"/>
          <w:sz w:val="28"/>
          <w:szCs w:val="28"/>
          <w:rtl/>
        </w:rPr>
        <w:t xml:space="preserve">al-balāga wa-l mantiq</w:t>
      </w:r>
    </w:p>
    <w:p>
      <w:pPr>
        <w:pStyle w:val="BookText"/>
      </w:pPr>
      <w:r>
        <w:rPr>
          <w:rFonts w:ascii="IRNazanin" w:hAnsi="IRNazanin" w:eastAsia="IRNazanin" w:cs="IRNazanin"/>
          <w:lang w:bidi="fa-IR"/>
          <w:color w:val="111111"/>
          <w:sz w:val="28"/>
          <w:szCs w:val="28"/>
          <w:rtl/>
        </w:rPr>
        <w:t xml:space="preserve">تهران؛ مجلس؛ شماره نسخه: ۱۴۹۷۱/۴</w:t>
      </w:r>
    </w:p>
    <w:p>
      <w:pPr>
        <w:pStyle w:val="BookText"/>
      </w:pPr>
      <w:r>
        <w:rPr>
          <w:rFonts w:ascii="IRNazanin" w:hAnsi="IRNazanin" w:eastAsia="IRNazanin" w:cs="IRNazanin"/>
          <w:lang w:bidi="fa-IR"/>
          <w:color w:val="111111"/>
          <w:sz w:val="28"/>
          <w:szCs w:val="28"/>
          <w:rtl/>
        </w:rPr>
        <w:t xml:space="preserve">چند فائده بلاغی و منطقی از میر سید شریف، میرزا جان شیرازی؛ خط: نسخ، بی کا، تا: قرن ۱۹۱۱گ (۱۱۹ر - ۱۱۹پ) (مختصر ف: ۲۶۰]</w:t>
      </w:r>
    </w:p>
    <w:p>
      <w:pPr>
        <w:pStyle w:val="Heading3"/>
      </w:pPr>
      <w:bookmarkStart w:id="933" w:name="_Toc193"/>
      <w:r>
        <w:t>•البلاغ المبین (ترجمه) / كلام و اعتقادات / فارسی</w:t>
      </w:r>
      <w:bookmarkEnd w:id="933"/>
    </w:p>
    <w:p>
      <w:pPr>
        <w:pStyle w:val="BookText"/>
      </w:pPr>
      <w:r>
        <w:rPr>
          <w:rFonts w:ascii="Times New Roman" w:hAnsi="Times New Roman" w:eastAsia="Times New Roman" w:cs="Times New Roman"/>
          <w:lang w:val="en-US" w:bidi="en-US"/>
          <w:color w:val="111111"/>
          <w:sz w:val="28"/>
          <w:szCs w:val="28"/>
          <w:rtl/>
        </w:rPr>
        <w:t xml:space="preserve">balag-ul mubin (t.)</w:t>
      </w:r>
    </w:p>
    <w:p>
      <w:pPr>
        <w:pStyle w:val="BookText"/>
      </w:pPr>
      <w:r>
        <w:rPr>
          <w:rFonts w:ascii="IRNazanin" w:hAnsi="IRNazanin" w:eastAsia="IRNazanin" w:cs="IRNazanin"/>
          <w:lang w:bidi="fa-IR"/>
          <w:color w:val="111111"/>
          <w:sz w:val="28"/>
          <w:szCs w:val="28"/>
          <w:rtl/>
        </w:rPr>
        <w:t xml:space="preserve">رساله مختصر روانی است به طور گفتگوی «عبدالله بارمزی» در اثبات صانع. اصل عربی از علامه شیخ محمد جواد بلاغی، مترجم شناخته نشد.</w:t>
      </w:r>
    </w:p>
    <w:p>
      <w:pPr>
        <w:pStyle w:val="BookText"/>
      </w:pPr>
      <w:r>
        <w:rPr>
          <w:rFonts w:ascii="IRNazanin" w:hAnsi="IRNazanin" w:eastAsia="IRNazanin" w:cs="IRNazanin"/>
          <w:lang w:bidi="fa-IR"/>
          <w:color w:val="111111"/>
          <w:sz w:val="28"/>
          <w:szCs w:val="28"/>
          <w:rtl/>
        </w:rPr>
        <w:t xml:space="preserve">مشهد؛ رضوی؛ شماره نسخه: ۹۴۱۲</w:t>
      </w:r>
    </w:p>
    <w:p>
      <w:pPr>
        <w:pStyle w:val="BookText"/>
      </w:pPr>
      <w:r>
        <w:rPr>
          <w:rFonts w:ascii="IRNazanin" w:hAnsi="IRNazanin" w:eastAsia="IRNazanin" w:cs="IRNazanin"/>
          <w:lang w:bidi="fa-IR"/>
          <w:color w:val="111111"/>
          <w:sz w:val="28"/>
          <w:szCs w:val="28"/>
          <w:rtl/>
        </w:rPr>
        <w:t xml:space="preserve">آغاز: (پس از خطبه:) لسان حال و تمثیل مقال است عبدالله مرحله این نشأت ما را جمع نموده بمسافری.؛ انجام: که ستمکش چه شبی داشت. بی کا، بی تا؛ واقف: حسین قوام لاری، مهر ۱۳۴۴، کاغذ: مشقی، ۲۲گ،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۱۱-۶۳]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8" w:name="pg20363_209224"/>
    <w:bookmarkEnd w:id="68"/>
    <w:p>
      <w:pPr>
        <w:pStyle w:val="BookText"/>
      </w:pPr>
      <w:r>
        <w:rPr>
          <w:rFonts w:ascii="IRNazanin" w:hAnsi="IRNazanin" w:eastAsia="IRNazanin" w:cs="IRNazanin"/>
          <w:lang w:bidi="fa-IR"/>
          <w:color w:val="111111"/>
          <w:sz w:val="28"/>
          <w:szCs w:val="28"/>
          <w:rtl/>
        </w:rPr>
        <w:t xml:space="preserve">← البلاغ المبين في اصول الدين ←البرهان المبين في اصول الدین</w:t>
      </w:r>
    </w:p>
    <w:p>
      <w:pPr>
        <w:pStyle w:val="Heading3"/>
      </w:pPr>
      <w:bookmarkStart w:id="934" w:name="_Toc194"/>
      <w:r>
        <w:t>• البلاغ و النهاية في التوحید / کلام و اعتقادات / عربی</w:t>
      </w:r>
      <w:bookmarkEnd w:id="934"/>
    </w:p>
    <w:p>
      <w:pPr>
        <w:pStyle w:val="BookText"/>
      </w:pPr>
      <w:r>
        <w:rPr>
          <w:rFonts w:ascii="Times New Roman" w:hAnsi="Times New Roman" w:eastAsia="Times New Roman" w:cs="Times New Roman"/>
          <w:lang w:val="en-US" w:bidi="en-US"/>
          <w:color w:val="111111"/>
          <w:sz w:val="28"/>
          <w:szCs w:val="28"/>
          <w:rtl/>
        </w:rPr>
        <w:t xml:space="preserve">al-balāj wa-n nihāya fi-t tawḥīd</w:t>
      </w:r>
    </w:p>
    <w:p>
      <w:pPr>
        <w:pStyle w:val="BookText"/>
      </w:pPr>
      <w:r>
        <w:rPr>
          <w:rFonts w:ascii="IRNazanin" w:hAnsi="IRNazanin" w:eastAsia="IRNazanin" w:cs="IRNazanin"/>
          <w:lang w:bidi="fa-IR"/>
          <w:color w:val="111111"/>
          <w:sz w:val="28"/>
          <w:szCs w:val="28"/>
          <w:rtl/>
        </w:rPr>
        <w:t xml:space="preserve">هادي المستجيبين، حمزة بن على،-۴۳۳ قمری</w:t>
      </w:r>
    </w:p>
    <w:p>
      <w:pPr>
        <w:pStyle w:val="BookText"/>
      </w:pPr>
      <w:r>
        <w:rPr>
          <w:rFonts w:ascii="Times New Roman" w:hAnsi="Times New Roman" w:eastAsia="Times New Roman" w:cs="Times New Roman"/>
          <w:lang w:val="en-US" w:bidi="en-US"/>
          <w:color w:val="111111"/>
          <w:sz w:val="28"/>
          <w:szCs w:val="28"/>
          <w:rtl/>
        </w:rPr>
        <w:t xml:space="preserve">hādī-yol-mostajībīn, hamzat-ebn-e ‘alī (- 1042)</w:t>
      </w:r>
    </w:p>
    <w:p>
      <w:pPr>
        <w:pStyle w:val="BookText"/>
      </w:pPr>
      <w:r>
        <w:rPr>
          <w:rFonts w:ascii="IRNazanin" w:hAnsi="IRNazanin" w:eastAsia="IRNazanin" w:cs="IRNazanin"/>
          <w:lang w:bidi="fa-IR"/>
          <w:color w:val="111111"/>
          <w:sz w:val="28"/>
          <w:szCs w:val="28"/>
          <w:rtl/>
        </w:rPr>
        <w:t xml:space="preserve">تاریخ تأليف: محرم ۴۰۹ق</w:t>
      </w:r>
    </w:p>
    <w:p>
      <w:pPr>
        <w:pStyle w:val="BookText"/>
      </w:pPr>
      <w:r>
        <w:rPr>
          <w:rFonts w:ascii="IRNazanin" w:hAnsi="IRNazanin" w:eastAsia="IRNazanin" w:cs="IRNazanin"/>
          <w:lang w:bidi="fa-IR"/>
          <w:color w:val="111111"/>
          <w:sz w:val="28"/>
          <w:szCs w:val="28"/>
          <w:rtl/>
        </w:rPr>
        <w:t xml:space="preserve">ابلاغ نامه ای است دینی که در آن مطالب توحیدی از قبیل دوری از کذب و تشویق به صدق، مطابق مذهب در روز همراه با دیگر اصول اعتقادی بیان شده و نیز بشارت هایی به موحدین دارد. این رساله را هادی المستجيبين در ماه محرم سال دوم از سالهای قائم الزمان (۱۴۰۹ق) از روی نسخه قائم الزمان بدون هرگونه تحریف و تبدیلی کتابت نموده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۹۰۸۶/۹</w:t>
      </w:r>
    </w:p>
    <w:p>
      <w:pPr>
        <w:pStyle w:val="BookText"/>
      </w:pPr>
      <w:r>
        <w:rPr>
          <w:rFonts w:ascii="IRNazanin" w:hAnsi="IRNazanin" w:eastAsia="IRNazanin" w:cs="IRNazanin"/>
          <w:lang w:bidi="fa-IR"/>
          <w:color w:val="111111"/>
          <w:sz w:val="28"/>
          <w:szCs w:val="28"/>
          <w:rtl/>
        </w:rPr>
        <w:t xml:space="preserve">آغاز: رسالة البلاغ و النهاية في التوحيد الى كافة الموحدين المتبربين من التلحيد. تأليف عبد مولانا جل ذكره هلدی المستجيبين المنتقم من المشركين بسيف مولانا جل ذكره رفع نسختها الى الحضرة اللاهوتية بيده في شهر المحرم الثاني من سنينة المباركة نسخت عن قايم الزمان بغير تحيرف و لا تبديل.. قد سمعتم معاشر الموحدين لمولانا سبحانه العابدین له وحده دون غيره الطالبين؛ انجام: و تجازي كل نفس بما كسبت و هم لا يظلمون. والحمد امولانا وحده لا شريك له و حسبنا للمولی و نعم النصير المعين و كتب نسختها في شهر المحرم الثاني من سنين عبد مولانا جل ذكره حمزة ابن علی ابن احمد هادي المستجيبين المنتقم من المشركين بسيف مولانا جل ذكره و شدة سلطانه وحده. تمت رسالة البلاغ و النهاية بمحمد مولانا و منه.</w:t>
      </w:r>
    </w:p>
    <w:p>
      <w:pPr>
        <w:pStyle w:val="BookText"/>
      </w:pPr>
      <w:r>
        <w:rPr>
          <w:rFonts w:ascii="IRNazanin" w:hAnsi="IRNazanin" w:eastAsia="IRNazanin" w:cs="IRNazanin"/>
          <w:lang w:bidi="fa-IR"/>
          <w:color w:val="111111"/>
          <w:sz w:val="28"/>
          <w:szCs w:val="28"/>
          <w:rtl/>
        </w:rPr>
        <w:t xml:space="preserve">خط: نسخ کهن معرب، بی کا، تا: قرن ۷ كاغذ: نخودی آهار مهره ضخیم، جلد: تیماج ضربی با ترنج و جدول های گرهدار، ۹گ (۴۰ر -۴۸پ)، ۱۳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۱۸/۸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۱۲/۷ سم [ف: ۷۲۸-۲۹/۲ ]</w:t>
      </w:r>
    </w:p>
    <w:p>
      <w:pPr>
        <w:pStyle w:val="BookText"/>
      </w:pPr>
      <w:r>
        <w:rPr>
          <w:rFonts w:ascii="IRNazanin" w:hAnsi="IRNazanin" w:eastAsia="IRNazanin" w:cs="IRNazanin"/>
          <w:lang w:bidi="fa-IR"/>
          <w:color w:val="111111"/>
          <w:sz w:val="28"/>
          <w:szCs w:val="28"/>
          <w:rtl/>
        </w:rPr>
        <w:t xml:space="preserve">۲. قم: مرکز احیاء؛ شماره نسخه: ۷۷۲/۹</w:t>
      </w:r>
    </w:p>
    <w:p>
      <w:pPr>
        <w:pStyle w:val="BookText"/>
      </w:pPr>
      <w:r>
        <w:rPr>
          <w:rFonts w:ascii="IRNazanin" w:hAnsi="IRNazanin" w:eastAsia="IRNazanin" w:cs="IRNazanin"/>
          <w:lang w:bidi="fa-IR"/>
          <w:color w:val="111111"/>
          <w:sz w:val="28"/>
          <w:szCs w:val="28"/>
          <w:rtl/>
        </w:rPr>
        <w:t xml:space="preserve">آغاز: توكلت على مولانا عال كل العلل و مبدع القديم و الأزل و ناسخ الشرايع و الملل سبحانه و تعالی عن مقالات السفل نسخه اصل: کتابخانه واتیکان -رم ۹۰۹؛ خط: نسخ معرب درشت، بی کا، تا: قرن ۱۲؛ ۲۲گ (۹۱-۱۱۲)</w:t>
      </w:r>
    </w:p>
    <w:p>
      <w:pPr>
        <w:pStyle w:val="BookText"/>
      </w:pPr>
      <w:r>
        <w:rPr>
          <w:rFonts w:ascii="IRNazanin" w:hAnsi="IRNazanin" w:eastAsia="IRNazanin" w:cs="IRNazanin"/>
          <w:lang w:bidi="fa-IR"/>
          <w:color w:val="111111"/>
          <w:sz w:val="28"/>
          <w:szCs w:val="28"/>
          <w:rtl/>
        </w:rPr>
        <w:t xml:space="preserve">[عکسی ف: ۲-۴۵۰]</w:t>
      </w:r>
    </w:p>
    <w:p>
      <w:pPr>
        <w:pStyle w:val="Heading3"/>
      </w:pPr>
      <w:bookmarkStart w:id="935" w:name="_Toc195"/>
      <w:r>
        <w:t>• بلبلستان / ادبیات / فارسی</w:t>
      </w:r>
      <w:bookmarkEnd w:id="935"/>
    </w:p>
    <w:p>
      <w:pPr>
        <w:pStyle w:val="BookText"/>
      </w:pPr>
      <w:r>
        <w:rPr>
          <w:rFonts w:ascii="Times New Roman" w:hAnsi="Times New Roman" w:eastAsia="Times New Roman" w:cs="Times New Roman"/>
          <w:lang w:val="en-US" w:bidi="en-US"/>
          <w:color w:val="111111"/>
          <w:sz w:val="28"/>
          <w:szCs w:val="28"/>
          <w:rtl/>
        </w:rPr>
        <w:t xml:space="preserve">bolbolestān</w:t>
      </w:r>
    </w:p>
    <w:p>
      <w:pPr>
        <w:pStyle w:val="BookText"/>
      </w:pPr>
      <w:r>
        <w:rPr>
          <w:rFonts w:ascii="IRNazanin" w:hAnsi="IRNazanin" w:eastAsia="IRNazanin" w:cs="IRNazanin"/>
          <w:lang w:bidi="fa-IR"/>
          <w:color w:val="111111"/>
          <w:sz w:val="28"/>
          <w:szCs w:val="28"/>
          <w:rtl/>
        </w:rPr>
        <w:t xml:space="preserve">فوزی مستاری، - ۱۱۶۰ قمری</w:t>
      </w:r>
    </w:p>
    <w:p>
      <w:pPr>
        <w:pStyle w:val="BookText"/>
      </w:pPr>
      <w:r>
        <w:rPr>
          <w:rFonts w:ascii="Times New Roman" w:hAnsi="Times New Roman" w:eastAsia="Times New Roman" w:cs="Times New Roman"/>
          <w:lang w:val="en-US" w:bidi="en-US"/>
          <w:color w:val="111111"/>
          <w:sz w:val="28"/>
          <w:szCs w:val="28"/>
          <w:rtl/>
        </w:rPr>
        <w:t xml:space="preserve">fawzī mostārī (- 1747)</w:t>
      </w:r>
    </w:p>
    <w:p>
      <w:pPr>
        <w:pStyle w:val="BookText"/>
      </w:pPr>
      <w:r>
        <w:rPr>
          <w:rFonts w:ascii="IRNazanin" w:hAnsi="IRNazanin" w:eastAsia="IRNazanin" w:cs="IRNazanin"/>
          <w:lang w:bidi="fa-IR"/>
          <w:color w:val="111111"/>
          <w:sz w:val="28"/>
          <w:szCs w:val="28"/>
          <w:rtl/>
        </w:rPr>
        <w:t xml:space="preserve">مانند گلستان و بوستان سعدی و بهارستان جامی و نگارستان کمال پاشا و سنبلستان شیخ شجاع است در شش جلد هر یک هشت «آیینه».</w:t>
      </w:r>
    </w:p>
    <w:p>
      <w:pPr>
        <w:pStyle w:val="BookText"/>
      </w:pPr>
      <w:r>
        <w:rPr>
          <w:rFonts w:ascii="Amiri" w:hAnsi="Amiri" w:eastAsia="Amiri" w:cs="Amiri"/>
          <w:lang w:bidi="ar-SA"/>
          <w:color w:val="111111"/>
          <w:sz w:val="28"/>
          <w:szCs w:val="28"/>
          <w:rtl/>
        </w:rPr>
        <w:t xml:space="preserve">[ الذريعة ۸۵۱/۹ ]</w:t>
      </w:r>
    </w:p>
    <w:p>
      <w:pPr>
        <w:pStyle w:val="BookText"/>
      </w:pPr>
      <w:r>
        <w:rPr>
          <w:rFonts w:ascii="IRNazanin" w:hAnsi="IRNazanin" w:eastAsia="IRNazanin" w:cs="IRNazanin"/>
          <w:lang w:bidi="fa-IR"/>
          <w:color w:val="111111"/>
          <w:sz w:val="28"/>
          <w:szCs w:val="28"/>
          <w:rtl/>
        </w:rPr>
        <w:t xml:space="preserve">تهران؛ دانشگاه؛ شماره نسخه: ۱۳۷۷ -ف</w:t>
      </w:r>
    </w:p>
    <w:p>
      <w:pPr>
        <w:pStyle w:val="BookText"/>
      </w:pPr>
      <w:r>
        <w:rPr>
          <w:rFonts w:ascii="IRNazanin" w:hAnsi="IRNazanin" w:eastAsia="IRNazanin" w:cs="IRNazanin"/>
          <w:lang w:bidi="fa-IR"/>
          <w:color w:val="111111"/>
          <w:sz w:val="28"/>
          <w:szCs w:val="28"/>
          <w:rtl/>
        </w:rPr>
        <w:t xml:space="preserve">نسخه اصل: آکادمی علوم و هنرهای شهر زغرب (زاگرب) یوگسلاوی ش ۱۸۳۱</w:t>
      </w:r>
      <w:r>
        <w:rPr>
          <w:rFonts w:ascii="Times New Roman" w:hAnsi="Times New Roman" w:eastAsia="Times New Roman" w:cs="Times New Roman"/>
          <w:lang w:val="en-US" w:bidi="en-US"/>
          <w:color w:val="111111"/>
          <w:sz w:val="28"/>
          <w:szCs w:val="28"/>
          <w:rtl/>
        </w:rPr>
        <w:t xml:space="preserve">C/DP </w:t>
      </w:r>
      <w:r>
        <w:rPr>
          <w:rFonts w:ascii="IRNazanin" w:hAnsi="IRNazanin" w:eastAsia="IRNazanin" w:cs="IRNazanin"/>
          <w:lang w:bidi="fa-IR"/>
          <w:color w:val="111111"/>
          <w:sz w:val="28"/>
          <w:szCs w:val="28"/>
          <w:rtl/>
        </w:rPr>
        <w:t xml:space="preserve">؛ خط: نسخ، كا: مصطفى بن صالح نعیمی مستاری، تا: ۱۱۶۳ق؛ تملك: کاتب، تملکی دیگر در ۱۲۳۱؛ ۵۰ گ [فیلمها ف: ۱-۲۲]</w:t>
      </w:r>
    </w:p>
    <w:p>
      <w:pPr>
        <w:pStyle w:val="Heading3"/>
      </w:pPr>
      <w:bookmarkStart w:id="936" w:name="_Toc196"/>
      <w:r>
        <w:t>• بلبل الغرام الكاشف عن لسان الانسجام / شعر / عربی</w:t>
      </w:r>
      <w:bookmarkEnd w:id="936"/>
    </w:p>
    <w:p>
      <w:pPr>
        <w:pStyle w:val="BookText"/>
      </w:pPr>
      <w:r>
        <w:rPr>
          <w:rFonts w:ascii="Times New Roman" w:hAnsi="Times New Roman" w:eastAsia="Times New Roman" w:cs="Times New Roman"/>
          <w:lang w:val="en-US" w:bidi="en-US"/>
          <w:color w:val="111111"/>
          <w:sz w:val="28"/>
          <w:szCs w:val="28"/>
          <w:rtl/>
        </w:rPr>
        <w:t xml:space="preserve">bulbul-ul garām-il kāšif ‘an lisān-il insijām</w:t>
      </w:r>
    </w:p>
    <w:p>
      <w:pPr>
        <w:pStyle w:val="BookText"/>
      </w:pPr>
      <w:r>
        <w:rPr>
          <w:rFonts w:ascii="IRNazanin" w:hAnsi="IRNazanin" w:eastAsia="IRNazanin" w:cs="IRNazanin"/>
          <w:lang w:bidi="fa-IR"/>
          <w:color w:val="111111"/>
          <w:sz w:val="28"/>
          <w:szCs w:val="28"/>
          <w:rtl/>
        </w:rPr>
        <w:t xml:space="preserve">فارسی دمشقی، عمر بن محمد</w:t>
      </w:r>
    </w:p>
    <w:p>
      <w:pPr>
        <w:pStyle w:val="BookText"/>
      </w:pPr>
      <w:r>
        <w:rPr>
          <w:rFonts w:ascii="Times New Roman" w:hAnsi="Times New Roman" w:eastAsia="Times New Roman" w:cs="Times New Roman"/>
          <w:lang w:val="en-US" w:bidi="en-US"/>
          <w:color w:val="111111"/>
          <w:sz w:val="28"/>
          <w:szCs w:val="28"/>
          <w:rtl/>
        </w:rPr>
        <w:t xml:space="preserve">fārsī damešqī, “omar ebn-e mohammad</w:t>
      </w:r>
    </w:p>
    <w:p>
      <w:pPr>
        <w:pStyle w:val="BookText"/>
      </w:pPr>
      <w:r>
        <w:rPr>
          <w:rFonts w:ascii="IRNazanin" w:hAnsi="IRNazanin" w:eastAsia="IRNazanin" w:cs="IRNazanin"/>
          <w:lang w:bidi="fa-IR"/>
          <w:color w:val="111111"/>
          <w:sz w:val="28"/>
          <w:szCs w:val="28"/>
          <w:rtl/>
        </w:rPr>
        <w:t xml:space="preserve">وابسته به: دیوان حاجری = دیوان حسام اربلی؛ حسام اربلی، عیسی بن سنجر (۵۸۲-۶۳۲ق)</w:t>
      </w:r>
    </w:p>
    <w:p>
      <w:pPr>
        <w:pStyle w:val="BookText"/>
      </w:pPr>
      <w:r>
        <w:rPr>
          <w:rFonts w:ascii="IRNazanin" w:hAnsi="IRNazanin" w:eastAsia="IRNazanin" w:cs="IRNazanin"/>
          <w:lang w:bidi="fa-IR"/>
          <w:color w:val="111111"/>
          <w:sz w:val="28"/>
          <w:szCs w:val="28"/>
          <w:rtl/>
        </w:rPr>
        <w:t xml:space="preserve">گزیده دیوان امیر حسام الدین عیسی بن سنجر بن بهرام اربلی معروف به حاجری، گرد آوری عمر بن محمد بن عمر بن خواجه على فارسی دمشقی. وی اشعار حاجری را به این هفت «بخش» (فصل) مرتب کرده: ۱. مدح و غزل، ۲. قصایدی که شاعر در زندان سروده، ۳. مخمسات، ۴. مفردات، ۵. هجويات، ۶. رباعیات، ۷. مواليا. دیوان حاجری در ۱۲۸۰ در مصر چاپ شده. معجم المطبوعات ۷۳۲؛ فهرست دارالکتب ظاهریه (شعر) ۱۳۰؛ قاهره، (ذیل ٣ ج ۲ چاپ ۱۹۳۴) ۱۰۱ و ۱۳۷ و ۲۵/۳ ]</w:t>
      </w:r>
    </w:p>
    <w:p>
      <w:pPr>
        <w:pStyle w:val="BookText"/>
      </w:pPr>
      <w:r>
        <w:rPr>
          <w:rFonts w:ascii="IRNazanin" w:hAnsi="IRNazanin" w:eastAsia="IRNazanin" w:cs="IRNazanin"/>
          <w:lang w:bidi="fa-IR"/>
          <w:color w:val="111111"/>
          <w:sz w:val="28"/>
          <w:szCs w:val="28"/>
          <w:rtl/>
        </w:rPr>
        <w:t xml:space="preserve">تهران؛ مجلس؛ شماره نسخه: ۵۷۸۰/۲</w:t>
      </w:r>
    </w:p>
    <w:p>
      <w:pPr>
        <w:pStyle w:val="BookText"/>
      </w:pPr>
      <w:r>
        <w:rPr>
          <w:rFonts w:ascii="IRNazanin" w:hAnsi="IRNazanin" w:eastAsia="IRNazanin" w:cs="IRNazanin"/>
          <w:lang w:bidi="fa-IR"/>
          <w:color w:val="111111"/>
          <w:sz w:val="28"/>
          <w:szCs w:val="28"/>
          <w:rtl/>
        </w:rPr>
        <w:t xml:space="preserve">آغاز: الحمدلله المقدس في ذاته ... و بعد فهذا، مما قاله الأمير الأجل ... عیسی بن سنجر ... المعروف بالحاجرى فقال حرف الباء: في امان حللت و رجب*** ایها الراحل المقيم بقلبي؛ انجام: (رباعی) روح المحب الذي يهواك قد شابت ***رفقا بها مثل ذوب الشمع قد ذابت / و ذا المعنا ظنونه فيك قد خابت *** باغ الكسا و على الشمس اتكل غابت. تم المنتخب من ديوان الحاجرى من الغزل</w:t>
      </w:r>
    </w:p>
    <w:p>
      <w:pPr>
        <w:pStyle w:val="BookText"/>
      </w:pPr>
      <w:r>
        <w:rPr>
          <w:rFonts w:ascii="IRNazanin" w:hAnsi="IRNazanin" w:eastAsia="IRNazanin" w:cs="IRNazanin"/>
          <w:lang w:bidi="fa-IR"/>
          <w:color w:val="111111"/>
          <w:sz w:val="28"/>
          <w:szCs w:val="28"/>
          <w:rtl/>
        </w:rPr>
        <w:t xml:space="preserve">نسخه حاضر گزیده ای از بخش غزليات و قصائد زندان (حبسیات) و مخمسات و رباعیات او است (هر چند نویسنده نسخه نوشته که تنها منتخب غزلیات است)؛ خط: نسخ، بی کا، تا: قرن ۱۳؛ کاغذ: فرنگی آهار مهره دار، جلد: تیماج عنابی یک لا، ۱۷ سطر، قطع: رحلی،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۱۷-۲۱۴]</w:t>
      </w:r>
    </w:p>
    <w:p>
      <w:pPr>
        <w:pStyle w:val="Heading3"/>
      </w:pPr>
      <w:bookmarkStart w:id="937" w:name="_Toc197"/>
      <w:r>
        <w:t>• بلبل نامه / شعر / فارسی</w:t>
      </w:r>
      <w:bookmarkEnd w:id="937"/>
    </w:p>
    <w:p>
      <w:pPr>
        <w:pStyle w:val="BookText"/>
      </w:pPr>
      <w:r>
        <w:rPr>
          <w:rFonts w:ascii="Times New Roman" w:hAnsi="Times New Roman" w:eastAsia="Times New Roman" w:cs="Times New Roman"/>
          <w:lang w:val="en-US" w:bidi="en-US"/>
          <w:color w:val="111111"/>
          <w:sz w:val="28"/>
          <w:szCs w:val="28"/>
          <w:rtl/>
        </w:rPr>
        <w:t xml:space="preserve">bolbol-name</w:t>
      </w:r>
    </w:p>
    <w:p>
      <w:pPr>
        <w:pStyle w:val="BookText"/>
      </w:pPr>
      <w:r>
        <w:rPr>
          <w:rFonts w:ascii="IRNazanin" w:hAnsi="IRNazanin" w:eastAsia="IRNazanin" w:cs="IRNazanin"/>
          <w:lang w:bidi="fa-IR"/>
          <w:color w:val="111111"/>
          <w:sz w:val="28"/>
          <w:szCs w:val="28"/>
          <w:rtl/>
        </w:rPr>
        <w:t xml:space="preserve">عطار، محمد بن ابراهیم، ۵۳۷؟ -۶۲۷؟ قمری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9" w:name="pg20363_209225"/>
    <w:bookmarkEnd w:id="69"/>
    <w:p>
      <w:pPr>
        <w:pStyle w:val="BookText"/>
      </w:pPr>
      <w:r>
        <w:rPr>
          <w:rFonts w:ascii="Times New Roman" w:hAnsi="Times New Roman" w:eastAsia="Times New Roman" w:cs="Times New Roman"/>
          <w:lang w:val="en-US" w:bidi="en-US"/>
          <w:color w:val="111111"/>
          <w:sz w:val="28"/>
          <w:szCs w:val="28"/>
          <w:rtl/>
        </w:rPr>
        <w:t xml:space="preserve">‘attār, mohammad ebn-e ebrāhīm (1143-1230)</w:t>
      </w:r>
    </w:p>
    <w:p>
      <w:pPr>
        <w:pStyle w:val="BookText"/>
      </w:pPr>
      <w:r>
        <w:rPr>
          <w:rFonts w:ascii="IRNazanin" w:hAnsi="IRNazanin" w:eastAsia="IRNazanin" w:cs="IRNazanin"/>
          <w:lang w:bidi="fa-IR"/>
          <w:color w:val="111111"/>
          <w:sz w:val="28"/>
          <w:szCs w:val="28"/>
          <w:rtl/>
        </w:rPr>
        <w:t xml:space="preserve">مثنویی است عرفانی در حدود ۶۰۰ بیت، در آن رفتن مرغان نزد سلیمان و محاکمه و پیروزی بلبل در دادگاه و نصیحت او به مرغان آمده است. آغاز آن در نسخه ها گوناگون است</w:t>
      </w:r>
    </w:p>
    <w:p>
      <w:pPr>
        <w:pStyle w:val="BookText"/>
      </w:pPr>
      <w:r>
        <w:rPr>
          <w:rFonts w:ascii="IRNazanin" w:hAnsi="IRNazanin" w:eastAsia="IRNazanin" w:cs="IRNazanin"/>
          <w:lang w:bidi="fa-IR"/>
          <w:color w:val="111111"/>
          <w:sz w:val="28"/>
          <w:szCs w:val="28"/>
          <w:rtl/>
        </w:rPr>
        <w:t xml:space="preserve">آغاز: قلم بردار راز دل بیان کن *** سر آغازش به نام غیب دان کن / خداوندی که جز وی کسی نباید *** که تا بر بندگان روزی فزاید</w:t>
      </w:r>
    </w:p>
    <w:p>
      <w:pPr>
        <w:pStyle w:val="BookText"/>
      </w:pPr>
      <w:r>
        <w:rPr>
          <w:rFonts w:ascii="IRNazanin" w:hAnsi="IRNazanin" w:eastAsia="IRNazanin" w:cs="IRNazanin"/>
          <w:lang w:bidi="fa-IR"/>
          <w:color w:val="111111"/>
          <w:sz w:val="28"/>
          <w:szCs w:val="28"/>
          <w:rtl/>
        </w:rPr>
        <w:t xml:space="preserve">[الذريعة ۱۲۷/۱۹ ؛ نسخه های منزوی ۲۶۶۱/۴ و ۲۶۶۰/۴ ؛ فهرستواره منزوی ۳۰۵-۳۰۲/۱۰ ]</w:t>
      </w:r>
    </w:p>
    <w:p>
      <w:pPr>
        <w:pStyle w:val="BookText"/>
      </w:pPr>
      <w:r>
        <w:rPr>
          <w:rFonts w:ascii="IRNazanin" w:hAnsi="IRNazanin" w:eastAsia="IRNazanin" w:cs="IRNazanin"/>
          <w:lang w:bidi="fa-IR"/>
          <w:color w:val="111111"/>
          <w:sz w:val="28"/>
          <w:szCs w:val="28"/>
          <w:rtl/>
        </w:rPr>
        <w:t xml:space="preserve">۱. تهران، دانشگاه؛ شماره نسخه: ۱۰۴/۳ -ف</w:t>
      </w:r>
    </w:p>
    <w:p>
      <w:pPr>
        <w:pStyle w:val="BookText"/>
      </w:pPr>
      <w:r>
        <w:rPr>
          <w:rFonts w:ascii="IRNazanin" w:hAnsi="IRNazanin" w:eastAsia="IRNazanin" w:cs="IRNazanin"/>
          <w:lang w:bidi="fa-IR"/>
          <w:color w:val="111111"/>
          <w:sz w:val="28"/>
          <w:szCs w:val="28"/>
          <w:rtl/>
        </w:rPr>
        <w:t xml:space="preserve">نسخه اصل: عاطف افندی ش ۲۲۴۱؛ خط: نستعلیق، بی کا، تا: چهارشنبه ۴ ذیقعده ۸۲۸ق؛ ۱۶گ (۴۴۶-۴۶۱)، ۲۳ سطر [فيلمها ف: ۱-۴۰۸]</w:t>
      </w:r>
    </w:p>
    <w:p>
      <w:pPr>
        <w:pStyle w:val="BookText"/>
      </w:pPr>
      <w:r>
        <w:rPr>
          <w:rFonts w:ascii="IRNazanin" w:hAnsi="IRNazanin" w:eastAsia="IRNazanin" w:cs="IRNazanin"/>
          <w:lang w:bidi="fa-IR"/>
          <w:color w:val="111111"/>
          <w:sz w:val="28"/>
          <w:szCs w:val="28"/>
          <w:rtl/>
        </w:rPr>
        <w:t xml:space="preserve">۲. تهران؛ ملک؛ شماره نسخه: ۵۰۶۲/۱۴</w:t>
      </w:r>
    </w:p>
    <w:p>
      <w:pPr>
        <w:pStyle w:val="BookText"/>
      </w:pPr>
      <w:r>
        <w:rPr>
          <w:rFonts w:ascii="IRNazanin" w:hAnsi="IRNazanin" w:eastAsia="IRNazanin" w:cs="IRNazanin"/>
          <w:lang w:bidi="fa-IR"/>
          <w:color w:val="111111"/>
          <w:sz w:val="28"/>
          <w:szCs w:val="28"/>
          <w:rtl/>
        </w:rPr>
        <w:t xml:space="preserve">خط: نستعلیق، بی کا، تا: ۹۴۶ق؛ کاغذ: ترمه، جلد: رویه ساغری سیاه، ۵۵گ (۶۶۶-۷۲۰ر)، اندازه: ۲۹/۲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سم [ف: ۴-۶۶۳]</w:t>
      </w:r>
    </w:p>
    <w:p>
      <w:pPr>
        <w:pStyle w:val="BookText"/>
      </w:pPr>
      <w:r>
        <w:rPr>
          <w:rFonts w:ascii="IRNazanin" w:hAnsi="IRNazanin" w:eastAsia="IRNazanin" w:cs="IRNazanin"/>
          <w:lang w:bidi="fa-IR"/>
          <w:color w:val="111111"/>
          <w:sz w:val="28"/>
          <w:szCs w:val="28"/>
          <w:rtl/>
        </w:rPr>
        <w:t xml:space="preserve">٣. قم؛ مرعشی؛ شماره نسخه: ۹۶۱۵/۲</w:t>
      </w:r>
    </w:p>
    <w:p>
      <w:pPr>
        <w:pStyle w:val="BookText"/>
      </w:pPr>
      <w:r>
        <w:rPr>
          <w:rFonts w:ascii="IRNazanin" w:hAnsi="IRNazanin" w:eastAsia="IRNazanin" w:cs="IRNazanin"/>
          <w:lang w:bidi="fa-IR"/>
          <w:color w:val="111111"/>
          <w:sz w:val="28"/>
          <w:szCs w:val="28"/>
          <w:rtl/>
        </w:rPr>
        <w:t xml:space="preserve">آغاز: برابر؛ انجام: چو بگشایم بیک نکته زبان را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به بندم نطق مرغ بوستان را</w:t>
      </w:r>
    </w:p>
    <w:p>
      <w:pPr>
        <w:pStyle w:val="BookText"/>
      </w:pPr>
      <w:r>
        <w:rPr>
          <w:rFonts w:ascii="IRNazanin" w:hAnsi="IRNazanin" w:eastAsia="IRNazanin" w:cs="IRNazanin"/>
          <w:lang w:bidi="fa-IR"/>
          <w:color w:val="111111"/>
          <w:sz w:val="28"/>
          <w:szCs w:val="28"/>
          <w:rtl/>
        </w:rPr>
        <w:t xml:space="preserve">خط: نسخ، بی کا، تا: ۱۴۶ق؛ جلد: تیماج مشکی، ۱۰گ (۵۵ر - ۶۴ر)، ۲۴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۲۵-۱۲]</w:t>
      </w:r>
    </w:p>
    <w:p>
      <w:pPr>
        <w:pStyle w:val="BookText"/>
      </w:pPr>
      <w:r>
        <w:rPr>
          <w:rFonts w:ascii="IRNazanin" w:hAnsi="IRNazanin" w:eastAsia="IRNazanin" w:cs="IRNazanin"/>
          <w:lang w:bidi="fa-IR"/>
          <w:color w:val="111111"/>
          <w:sz w:val="28"/>
          <w:szCs w:val="28"/>
          <w:rtl/>
        </w:rPr>
        <w:t xml:space="preserve">۴. قم؛ مسجد اعظم؛ شماره نسخه: ۴۱۳۳/۲</w:t>
      </w:r>
    </w:p>
    <w:p>
      <w:pPr>
        <w:pStyle w:val="BookText"/>
      </w:pPr>
      <w:r>
        <w:rPr>
          <w:rFonts w:ascii="IRNazanin" w:hAnsi="IRNazanin" w:eastAsia="IRNazanin" w:cs="IRNazanin"/>
          <w:lang w:bidi="fa-IR"/>
          <w:color w:val="111111"/>
          <w:sz w:val="28"/>
          <w:szCs w:val="28"/>
          <w:rtl/>
        </w:rPr>
        <w:t xml:space="preserve">آغاز: برابر؛ انجام: اگر با من به گرد من کنی کار *** به ما ماند تا قیامت کار من زار / تو آن کن کز خداوندیت آید *** که از ما جز خطا وسهو ناید خط: نستعلیق، بی کا، تا: جمعه ۱۴ رمضان ۹۷۸ق؛ مجدول؛ جلد: گالینگور سبز عطف تیماج زرشکی، ۶۰گ، ۱۵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مخ: ۱-۲۷۶]</w:t>
      </w:r>
    </w:p>
    <w:p>
      <w:pPr>
        <w:pStyle w:val="BookText"/>
      </w:pPr>
      <w:r>
        <w:rPr>
          <w:rFonts w:ascii="IRNazanin" w:hAnsi="IRNazanin" w:eastAsia="IRNazanin" w:cs="IRNazanin"/>
          <w:lang w:bidi="fa-IR"/>
          <w:color w:val="111111"/>
          <w:sz w:val="28"/>
          <w:szCs w:val="28"/>
          <w:rtl/>
        </w:rPr>
        <w:t xml:space="preserve">۵. تهران: نوربخش، شماره نسخه: ۷۱۴/۱</w:t>
      </w:r>
    </w:p>
    <w:p>
      <w:pPr>
        <w:pStyle w:val="BookText"/>
      </w:pPr>
      <w:r>
        <w:rPr>
          <w:rFonts w:ascii="IRNazanin" w:hAnsi="IRNazanin" w:eastAsia="IRNazanin" w:cs="IRNazanin"/>
          <w:lang w:bidi="fa-IR"/>
          <w:color w:val="111111"/>
          <w:sz w:val="28"/>
          <w:szCs w:val="28"/>
          <w:rtl/>
        </w:rPr>
        <w:t xml:space="preserve">آغاز: برابر؛ انجام: زبند دست عقلش پای بگشای *** بفرق سر پی سر راه پیمای خط: نستعلیق، كا: عبدالقادر کرکوکی، تا: ۱۲۷۹ق، جان قسطنطنیه؛ کاغذ: فرنگی، جلد: تیماج قرمز، ۴۰ص (۲-۴۱)، ۲۳ سطر، قطع: رقعی،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(نشریه: ۱۳-۸۶]</w:t>
      </w:r>
    </w:p>
    <w:p>
      <w:pPr>
        <w:pStyle w:val="BookText"/>
      </w:pPr>
      <w:r>
        <w:rPr>
          <w:rFonts w:ascii="IRNazanin" w:hAnsi="IRNazanin" w:eastAsia="IRNazanin" w:cs="IRNazanin"/>
          <w:lang w:bidi="fa-IR"/>
          <w:color w:val="111111"/>
          <w:sz w:val="28"/>
          <w:szCs w:val="28"/>
          <w:rtl/>
        </w:rPr>
        <w:t xml:space="preserve">. قم، مسجد اعظم؛ شماره نسخه: ۳۷۷۷/۱</w:t>
      </w:r>
    </w:p>
    <w:p>
      <w:pPr>
        <w:pStyle w:val="BookText"/>
      </w:pPr>
      <w:r>
        <w:rPr>
          <w:rFonts w:ascii="IRNazanin" w:hAnsi="IRNazanin" w:eastAsia="IRNazanin" w:cs="IRNazanin"/>
          <w:lang w:bidi="fa-IR"/>
          <w:color w:val="111111"/>
          <w:sz w:val="28"/>
          <w:szCs w:val="28"/>
          <w:rtl/>
        </w:rPr>
        <w:t xml:space="preserve">آغاز: برابر؛ انجام: مرا با تو سخن اول زذا تست*** به آخر ماجرا اندر صفات است / زهی عطار خوش گفتاری باشی *** زعمر خویش برخورداری باشی خط: نستعلیق، بی کا، بی تا، مجدول؛ جلد: پارچه، ۱۳ گ، ۱۳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[ف مخ: ۱-۲۷۶]</w:t>
      </w:r>
    </w:p>
    <w:p>
      <w:pPr>
        <w:pStyle w:val="BookText"/>
      </w:pPr>
      <w:r>
        <w:rPr>
          <w:rFonts w:ascii="IRNazanin" w:hAnsi="IRNazanin" w:eastAsia="IRNazanin" w:cs="IRNazanin"/>
          <w:lang w:bidi="fa-IR"/>
          <w:color w:val="111111"/>
          <w:sz w:val="28"/>
          <w:szCs w:val="28"/>
          <w:rtl/>
        </w:rPr>
        <w:t xml:space="preserve">۷. تهران؛ مجلس؛ شماره نسخه: ۴۴۳/۴</w:t>
      </w:r>
    </w:p>
    <w:p>
      <w:pPr>
        <w:pStyle w:val="BookText"/>
      </w:pPr>
      <w:r>
        <w:rPr>
          <w:rFonts w:ascii="IRNazanin" w:hAnsi="IRNazanin" w:eastAsia="IRNazanin" w:cs="IRNazanin"/>
          <w:lang w:bidi="fa-IR"/>
          <w:color w:val="111111"/>
          <w:sz w:val="28"/>
          <w:szCs w:val="28"/>
          <w:rtl/>
        </w:rPr>
        <w:t xml:space="preserve">آغاز: قلم بردار راز عیان کن *** سر آغازش بنام غیب دان کن</w:t>
      </w:r>
    </w:p>
    <w:p>
      <w:pPr>
        <w:pStyle w:val="BookText"/>
      </w:pPr>
      <w:r>
        <w:rPr>
          <w:rFonts w:ascii="IRNazanin" w:hAnsi="IRNazanin" w:eastAsia="IRNazanin" w:cs="IRNazanin"/>
          <w:lang w:bidi="fa-IR"/>
          <w:color w:val="111111"/>
          <w:sz w:val="28"/>
          <w:szCs w:val="28"/>
          <w:rtl/>
        </w:rPr>
        <w:t xml:space="preserve">خط: نستعلیق، بی کا، بی تا؛ مجدول؛ ۵۰ سطر، قطع: رحلی،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۲-۲۶۰]</w:t>
      </w:r>
    </w:p>
    <w:p>
      <w:pPr>
        <w:pStyle w:val="BookText"/>
      </w:pPr>
      <w:r>
        <w:rPr>
          <w:rFonts w:ascii="IRNazanin" w:hAnsi="IRNazanin" w:eastAsia="IRNazanin" w:cs="IRNazanin"/>
          <w:lang w:bidi="fa-IR"/>
          <w:color w:val="111111"/>
          <w:sz w:val="28"/>
          <w:szCs w:val="28"/>
          <w:rtl/>
        </w:rPr>
        <w:t xml:space="preserve">۸. همدان؛ مدرسه غرب؛ شماره نسخه: ۶۱۸/۳</w:t>
      </w:r>
    </w:p>
    <w:p>
      <w:pPr>
        <w:pStyle w:val="BookText"/>
      </w:pPr>
      <w:r>
        <w:rPr>
          <w:rFonts w:ascii="IRNazanin" w:hAnsi="IRNazanin" w:eastAsia="IRNazanin" w:cs="IRNazanin"/>
          <w:lang w:bidi="fa-IR"/>
          <w:color w:val="111111"/>
          <w:sz w:val="28"/>
          <w:szCs w:val="28"/>
          <w:rtl/>
        </w:rPr>
        <w:t xml:space="preserve">بی کا، بی تا؛ قطع: خشتی (رشت و همدان: ف: ۱۴۱۸]</w:t>
      </w:r>
    </w:p>
    <w:p>
      <w:pPr>
        <w:pStyle w:val="BookText"/>
      </w:pPr>
      <w:r>
        <w:rPr>
          <w:rFonts w:ascii="IRNazanin" w:hAnsi="IRNazanin" w:eastAsia="IRNazanin" w:cs="IRNazanin"/>
          <w:lang w:bidi="fa-IR"/>
          <w:color w:val="111111"/>
          <w:sz w:val="28"/>
          <w:szCs w:val="28"/>
          <w:rtl/>
        </w:rPr>
        <w:t xml:space="preserve">09 تهران؛ مجلس؛ شماره نسخه: ۸۱۶۷/۱</w:t>
      </w:r>
    </w:p>
    <w:p>
      <w:pPr>
        <w:pStyle w:val="BookText"/>
      </w:pPr>
      <w:r>
        <w:rPr>
          <w:rFonts w:ascii="IRNazanin" w:hAnsi="IRNazanin" w:eastAsia="IRNazanin" w:cs="IRNazanin"/>
          <w:lang w:bidi="fa-IR"/>
          <w:color w:val="111111"/>
          <w:sz w:val="28"/>
          <w:szCs w:val="28"/>
          <w:rtl/>
        </w:rPr>
        <w:t xml:space="preserve">آغاز: نکردم پند استادان فراموش *** مرا آن پند شد چون حلقه در گوشژ / ببر از من امید رستگاری *** بجز مردن دگر کاری نداری؛ انجام: چباک آخر بلندی را ز پستی *** همی گویند بیهوده خرافات ... این چهار برگ ناقص پس از بررسی بسیار، شناسایی شد. از منظومه مزبور که از آن عطار نیشابوری نیست و از عطار دیگری نسخه های فراوانی باقی است؛ خط: نستعلیق، بی کا، بی تا، افتادگی: آغاز و انجام؛ جلد: مقوایی با روکش پارچه گل دوزی شده ماشینی دارای عطف و لبه های تیماج سبز سیر با جدول گرهی ضربی، ۴گ (ار-پ)، اندازه: ۲۱/۳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۲۷/۱ -۲۹۸ ]</w:t>
      </w:r>
    </w:p>
    <w:p>
      <w:pPr>
        <w:pStyle w:val="BookText"/>
      </w:pPr>
      <w:r>
        <w:rPr>
          <w:rFonts w:ascii="IRNazanin" w:hAnsi="IRNazanin" w:eastAsia="IRNazanin" w:cs="IRNazanin"/>
          <w:lang w:bidi="fa-IR"/>
          <w:color w:val="111111"/>
          <w:sz w:val="28"/>
          <w:szCs w:val="28"/>
          <w:rtl/>
        </w:rPr>
        <w:t xml:space="preserve">۱۰. تهران؛ مجلس؛ شماره نسخه: ۱۱۴۸/۳</w:t>
      </w:r>
    </w:p>
    <w:p>
      <w:pPr>
        <w:pStyle w:val="BookText"/>
      </w:pPr>
      <w:r>
        <w:rPr>
          <w:rFonts w:ascii="IRNazanin" w:hAnsi="IRNazanin" w:eastAsia="IRNazanin" w:cs="IRNazanin"/>
          <w:lang w:bidi="fa-IR"/>
          <w:color w:val="111111"/>
          <w:sz w:val="28"/>
          <w:szCs w:val="28"/>
          <w:rtl/>
        </w:rPr>
        <w:t xml:space="preserve">آغاز: ۱- زبلبل نامه بیتی چند گویم جواب معرفت آمد بجویم ۲ قلم بردار راز عیان کن سر آغازش بنام غیب دان کن ۳-بنام خداوند بی چون و چند منزه دانش از تقطیع و پیوند بی کا، بی تا؛ ۳۴ص (۷۹۹-۸۳۲) [ف: ۳-۴۰۴]</w:t>
      </w:r>
    </w:p>
    <w:p>
      <w:pPr>
        <w:pStyle w:val="Heading3"/>
      </w:pPr>
      <w:bookmarkStart w:id="938" w:name="_Toc198"/>
      <w:r>
        <w:t>• بلبل نامه / شعر / فارسی</w:t>
      </w:r>
      <w:bookmarkEnd w:id="938"/>
    </w:p>
    <w:p>
      <w:pPr>
        <w:pStyle w:val="BookText"/>
      </w:pPr>
      <w:r>
        <w:rPr>
          <w:rFonts w:ascii="Times New Roman" w:hAnsi="Times New Roman" w:eastAsia="Times New Roman" w:cs="Times New Roman"/>
          <w:lang w:val="en-US" w:bidi="en-US"/>
          <w:color w:val="111111"/>
          <w:sz w:val="28"/>
          <w:szCs w:val="28"/>
          <w:rtl/>
        </w:rPr>
        <w:t xml:space="preserve">bolbol-nāme</w:t>
      </w:r>
    </w:p>
    <w:p>
      <w:pPr>
        <w:pStyle w:val="BookText"/>
      </w:pPr>
      <w:r>
        <w:rPr>
          <w:rFonts w:ascii="IRNazanin" w:hAnsi="IRNazanin" w:eastAsia="IRNazanin" w:cs="IRNazanin"/>
          <w:lang w:bidi="fa-IR"/>
          <w:color w:val="111111"/>
          <w:sz w:val="28"/>
          <w:szCs w:val="28"/>
          <w:rtl/>
        </w:rPr>
        <w:t xml:space="preserve">گیلانی پومنی، علی، ق ۱۰ قمری</w:t>
      </w:r>
    </w:p>
    <w:p>
      <w:pPr>
        <w:pStyle w:val="BookText"/>
      </w:pPr>
      <w:r>
        <w:rPr>
          <w:rFonts w:ascii="Times New Roman" w:hAnsi="Times New Roman" w:eastAsia="Times New Roman" w:cs="Times New Roman"/>
          <w:lang w:val="en-US" w:bidi="en-US"/>
          <w:color w:val="111111"/>
          <w:sz w:val="28"/>
          <w:szCs w:val="28"/>
          <w:rtl/>
        </w:rPr>
        <w:t xml:space="preserve">gīlānī pūmanī, ‘alī (- 16c)</w:t>
      </w:r>
    </w:p>
    <w:p>
      <w:pPr>
        <w:pStyle w:val="BookText"/>
      </w:pPr>
      <w:r>
        <w:rPr>
          <w:rFonts w:ascii="IRNazanin" w:hAnsi="IRNazanin" w:eastAsia="IRNazanin" w:cs="IRNazanin"/>
          <w:lang w:bidi="fa-IR"/>
          <w:color w:val="111111"/>
          <w:sz w:val="28"/>
          <w:szCs w:val="28"/>
          <w:rtl/>
        </w:rPr>
        <w:t xml:space="preserve">در حلب در ۱۹۰۱ بیت به سال ۹۵۷ ساخته است. دو قصیده و یک رباعی و چند بیت هم در نسخه هست.</w:t>
      </w:r>
    </w:p>
    <w:p>
      <w:pPr>
        <w:pStyle w:val="BookText"/>
      </w:pPr>
      <w:r>
        <w:rPr>
          <w:rFonts w:ascii="IRNazanin" w:hAnsi="IRNazanin" w:eastAsia="IRNazanin" w:cs="IRNazanin"/>
          <w:lang w:bidi="fa-IR"/>
          <w:color w:val="111111"/>
          <w:sz w:val="28"/>
          <w:szCs w:val="28"/>
          <w:rtl/>
        </w:rPr>
        <w:t xml:space="preserve">آغاز: الحمد لرب الأرض و الافلاک *** خلاق وجود آدم از خاک (فهرستواره)</w:t>
      </w:r>
    </w:p>
    <w:p>
      <w:pPr>
        <w:pStyle w:val="BookText"/>
      </w:pPr>
      <w:r>
        <w:rPr>
          <w:rFonts w:ascii="IRNazanin" w:hAnsi="IRNazanin" w:eastAsia="IRNazanin" w:cs="IRNazanin"/>
          <w:lang w:bidi="fa-IR"/>
          <w:color w:val="111111"/>
          <w:sz w:val="28"/>
          <w:szCs w:val="28"/>
          <w:rtl/>
        </w:rPr>
        <w:t xml:space="preserve">[فهرستواره ۳۰۵/۱۰ )</w:t>
      </w:r>
    </w:p>
    <w:p>
      <w:pPr>
        <w:pStyle w:val="BookText"/>
      </w:pPr>
      <w:r>
        <w:rPr>
          <w:rFonts w:ascii="IRNazanin" w:hAnsi="IRNazanin" w:eastAsia="IRNazanin" w:cs="IRNazanin"/>
          <w:lang w:bidi="fa-IR"/>
          <w:color w:val="111111"/>
          <w:sz w:val="28"/>
          <w:szCs w:val="28"/>
          <w:rtl/>
        </w:rPr>
        <w:t xml:space="preserve">تهران؛ دانشگاه؛ شماره نسخه: ۲۶۸۷-ف</w:t>
      </w:r>
    </w:p>
    <w:p>
      <w:pPr>
        <w:pStyle w:val="BookText"/>
      </w:pPr>
      <w:r>
        <w:rPr>
          <w:rFonts w:ascii="IRNazanin" w:hAnsi="IRNazanin" w:eastAsia="IRNazanin" w:cs="IRNazanin"/>
          <w:lang w:bidi="fa-IR"/>
          <w:color w:val="111111"/>
          <w:sz w:val="28"/>
          <w:szCs w:val="28"/>
          <w:rtl/>
        </w:rPr>
        <w:t xml:space="preserve">نسخه اصل: دار الكتب المصريه ۶ ادب فارسی م (۶۵/ف ۹۲۴۹)؛ خط: نستعلیق، بی کا، بی تا؛ با سرلوح زرین و جدول و طلاکاری؛ با تملک ۱۱۵۱، در مهر گردی چنین آمده است: «مجلد دهم از کتب اشعار دیوان علی گیلانی پومنی در شهر حلب گفته شد در سال نهصد و پنجاه و هفت»؛ ۳۸ گ، ۱۵ سطر (۲۰۱۲) [فيلمها ف: ۱-۲۲]</w:t>
      </w:r>
    </w:p>
    <w:p>
      <w:pPr>
        <w:pStyle w:val="Heading3"/>
      </w:pPr>
      <w:bookmarkStart w:id="939" w:name="_Toc199"/>
      <w:r>
        <w:t>• بلبل و پروانه / شعر / فارسی</w:t>
      </w:r>
      <w:bookmarkEnd w:id="939"/>
    </w:p>
    <w:p>
      <w:pPr>
        <w:pStyle w:val="BookText"/>
      </w:pPr>
      <w:r>
        <w:rPr>
          <w:rFonts w:ascii="Times New Roman" w:hAnsi="Times New Roman" w:eastAsia="Times New Roman" w:cs="Times New Roman"/>
          <w:lang w:val="en-US" w:bidi="en-US"/>
          <w:color w:val="111111"/>
          <w:sz w:val="28"/>
          <w:szCs w:val="28"/>
          <w:rtl/>
        </w:rPr>
        <w:t xml:space="preserve">bolbol va parvāne</w:t>
      </w:r>
    </w:p>
    <w:p>
      <w:pPr>
        <w:pStyle w:val="BookText"/>
      </w:pPr>
      <w:r>
        <w:rPr>
          <w:rFonts w:ascii="IRNazanin" w:hAnsi="IRNazanin" w:eastAsia="IRNazanin" w:cs="IRNazanin"/>
          <w:lang w:bidi="fa-IR"/>
          <w:color w:val="111111"/>
          <w:sz w:val="28"/>
          <w:szCs w:val="28"/>
          <w:rtl/>
        </w:rPr>
        <w:t xml:space="preserve">تهران: دانشگاه؛ شماره نسخه: ۴۷۲۴/۳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0" w:name="pg20363_209226"/>
    <w:bookmarkEnd w:id="70"/>
    <w:p>
      <w:pPr>
        <w:pStyle w:val="BookText"/>
      </w:pPr>
      <w:r>
        <w:rPr>
          <w:rFonts w:ascii="IRNazanin" w:hAnsi="IRNazanin" w:eastAsia="IRNazanin" w:cs="IRNazanin"/>
          <w:lang w:bidi="fa-IR"/>
          <w:color w:val="111111"/>
          <w:sz w:val="28"/>
          <w:szCs w:val="28"/>
          <w:rtl/>
        </w:rPr>
        <w:t xml:space="preserve">آغاز: شبی بلبل ز گلشن کرد پرواز *** بمحفل گشت با پروانه دمساز انجام: فنا شد از در دام هوس چند *** بشهد آلوده خود را چون مگس قند / براه عشق گامی چند بر گیر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بجان از آتش پروانه در گیر</w:t>
      </w:r>
    </w:p>
    <w:p>
      <w:pPr>
        <w:pStyle w:val="BookText"/>
      </w:pPr>
      <w:r>
        <w:rPr>
          <w:rFonts w:ascii="IRNazanin" w:hAnsi="IRNazanin" w:eastAsia="IRNazanin" w:cs="IRNazanin"/>
          <w:lang w:bidi="fa-IR"/>
          <w:color w:val="111111"/>
          <w:sz w:val="28"/>
          <w:szCs w:val="28"/>
          <w:rtl/>
        </w:rPr>
        <w:t xml:space="preserve">خط: نستعلیق، بی کا، تا: ۱۲۵۱ق؛ کاغذ: فرنگی، جلد: شميز قهوهای عطف پارچه سبز، ۳ص (۱۲-۱۴)، ۱۵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۱۴-۳۶۶۹]</w:t>
      </w:r>
    </w:p>
    <w:p>
      <w:pPr>
        <w:pStyle w:val="Heading3"/>
      </w:pPr>
      <w:bookmarkStart w:id="940" w:name="_Toc200"/>
      <w:r>
        <w:t>• بلبلیه (رساله) / ادبیات / ترکی</w:t>
      </w:r>
      <w:bookmarkEnd w:id="940"/>
    </w:p>
    <w:p>
      <w:pPr>
        <w:pStyle w:val="BookText"/>
      </w:pPr>
      <w:r>
        <w:rPr>
          <w:rFonts w:ascii="Times New Roman" w:hAnsi="Times New Roman" w:eastAsia="Times New Roman" w:cs="Times New Roman"/>
          <w:lang w:val="en-US" w:bidi="en-US"/>
          <w:color w:val="111111"/>
          <w:sz w:val="28"/>
          <w:szCs w:val="28"/>
          <w:rtl/>
        </w:rPr>
        <w:t xml:space="preserve">bolbolīye (r.)</w:t>
      </w:r>
    </w:p>
    <w:p>
      <w:pPr>
        <w:pStyle w:val="BookText"/>
      </w:pPr>
      <w:r>
        <w:rPr>
          <w:rFonts w:ascii="IRNazanin" w:hAnsi="IRNazanin" w:eastAsia="IRNazanin" w:cs="IRNazanin"/>
          <w:lang w:bidi="fa-IR"/>
          <w:color w:val="111111"/>
          <w:sz w:val="28"/>
          <w:szCs w:val="28"/>
          <w:rtl/>
        </w:rPr>
        <w:t xml:space="preserve">فوادی، ق ۱۱ قمری</w:t>
      </w:r>
    </w:p>
    <w:p>
      <w:pPr>
        <w:pStyle w:val="BookText"/>
      </w:pPr>
      <w:r>
        <w:rPr>
          <w:rFonts w:ascii="Times New Roman" w:hAnsi="Times New Roman" w:eastAsia="Times New Roman" w:cs="Times New Roman"/>
          <w:lang w:val="en-US" w:bidi="en-US"/>
          <w:color w:val="111111"/>
          <w:sz w:val="28"/>
          <w:szCs w:val="28"/>
          <w:rtl/>
        </w:rPr>
        <w:t xml:space="preserve">fo'adi (- 17c)</w:t>
      </w:r>
    </w:p>
    <w:p>
      <w:pPr>
        <w:pStyle w:val="BookText"/>
      </w:pPr>
      <w:r>
        <w:rPr>
          <w:rFonts w:ascii="IRNazanin" w:hAnsi="IRNazanin" w:eastAsia="IRNazanin" w:cs="IRNazanin"/>
          <w:lang w:bidi="fa-IR"/>
          <w:color w:val="111111"/>
          <w:sz w:val="28"/>
          <w:szCs w:val="28"/>
          <w:rtl/>
        </w:rPr>
        <w:t xml:space="preserve">تبریز؛ ملی؛ شماره نسخه: ۲۹۲۲</w:t>
      </w:r>
    </w:p>
    <w:p>
      <w:pPr>
        <w:pStyle w:val="BookText"/>
      </w:pPr>
      <w:r>
        <w:rPr>
          <w:rFonts w:ascii="IRNazanin" w:hAnsi="IRNazanin" w:eastAsia="IRNazanin" w:cs="IRNazanin"/>
          <w:lang w:bidi="fa-IR"/>
          <w:color w:val="111111"/>
          <w:sz w:val="28"/>
          <w:szCs w:val="28"/>
          <w:rtl/>
        </w:rPr>
        <w:t xml:space="preserve">آغاز: جان گلستاننه گلد کده نظام *** بلبلیه دله اولدی الهام؛ انجام: جمالگ اوله نور گله اگه سین *** بو سريله انگ قيل آخرین خیر</w:t>
      </w:r>
    </w:p>
    <w:p>
      <w:pPr>
        <w:pStyle w:val="BookText"/>
      </w:pPr>
      <w:r>
        <w:rPr>
          <w:rFonts w:ascii="IRNazanin" w:hAnsi="IRNazanin" w:eastAsia="IRNazanin" w:cs="IRNazanin"/>
          <w:lang w:bidi="fa-IR"/>
          <w:color w:val="111111"/>
          <w:sz w:val="28"/>
          <w:szCs w:val="28"/>
          <w:rtl/>
        </w:rPr>
        <w:t xml:space="preserve">خط: نستعلیق، كا: ظ: خود شاعر ، تا: ۱۰۳۳ق؛ با جواب شیخ سنان در رد شیخ برمق و مثنوی «داعی» در یک مجلد؛ جلد: چرمی پوسیده، ۳۵گ، ۱۷-۱۹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سم [ف: ۲-۷۱۸]</w:t>
      </w:r>
    </w:p>
    <w:p>
      <w:pPr>
        <w:pStyle w:val="Heading3"/>
      </w:pPr>
      <w:bookmarkStart w:id="941" w:name="_Toc201"/>
      <w:r>
        <w:t>• بلخیه (رساله) / تراجم / فارسی</w:t>
      </w:r>
      <w:bookmarkEnd w:id="941"/>
    </w:p>
    <w:p>
      <w:pPr>
        <w:pStyle w:val="BookText"/>
      </w:pPr>
      <w:r>
        <w:rPr>
          <w:rFonts w:ascii="Times New Roman" w:hAnsi="Times New Roman" w:eastAsia="Times New Roman" w:cs="Times New Roman"/>
          <w:lang w:val="en-US" w:bidi="en-US"/>
          <w:color w:val="111111"/>
          <w:sz w:val="28"/>
          <w:szCs w:val="28"/>
          <w:rtl/>
        </w:rPr>
        <w:t xml:space="preserve">balxīye (r.)</w:t>
      </w:r>
    </w:p>
    <w:p>
      <w:pPr>
        <w:pStyle w:val="BookText"/>
      </w:pPr>
      <w:r>
        <w:rPr>
          <w:rFonts w:ascii="IRNazanin" w:hAnsi="IRNazanin" w:eastAsia="IRNazanin" w:cs="IRNazanin"/>
          <w:lang w:bidi="fa-IR"/>
          <w:color w:val="111111"/>
          <w:sz w:val="28"/>
          <w:szCs w:val="28"/>
          <w:rtl/>
        </w:rPr>
        <w:t xml:space="preserve">اورسنجی، محمد صالح بن عبدالرحمن</w:t>
      </w:r>
    </w:p>
    <w:p>
      <w:pPr>
        <w:pStyle w:val="BookText"/>
      </w:pPr>
      <w:r>
        <w:rPr>
          <w:rFonts w:ascii="Times New Roman" w:hAnsi="Times New Roman" w:eastAsia="Times New Roman" w:cs="Times New Roman"/>
          <w:lang w:val="en-US" w:bidi="en-US"/>
          <w:color w:val="111111"/>
          <w:sz w:val="28"/>
          <w:szCs w:val="28"/>
          <w:rtl/>
        </w:rPr>
        <w:t xml:space="preserve">orsanjī, mohammad sāleh ebn-e 'abd-or-rahmān</w:t>
      </w:r>
    </w:p>
    <w:p>
      <w:pPr>
        <w:pStyle w:val="BookText"/>
      </w:pPr>
      <w:r>
        <w:rPr>
          <w:rFonts w:ascii="IRNazanin" w:hAnsi="IRNazanin" w:eastAsia="IRNazanin" w:cs="IRNazanin"/>
          <w:lang w:bidi="fa-IR"/>
          <w:color w:val="111111"/>
          <w:sz w:val="28"/>
          <w:szCs w:val="28"/>
          <w:rtl/>
        </w:rPr>
        <w:t xml:space="preserve">به دستور: عبدالمومن خان ابن عبدالله خان بهادر بن اسکندر خان سلطان مؤلف آن را در احوال اکابران بلخ ساخته است و همان هفتاد مشایخ بلخ است از محمد بن عبدالله علوی تا شیخ الاسلام یونس بن طاهر.</w:t>
      </w:r>
    </w:p>
    <w:p>
      <w:pPr>
        <w:pStyle w:val="BookText"/>
      </w:pPr>
      <w:r>
        <w:rPr>
          <w:rFonts w:ascii="IRNazanin" w:hAnsi="IRNazanin" w:eastAsia="IRNazanin" w:cs="IRNazanin"/>
          <w:lang w:bidi="fa-IR"/>
          <w:color w:val="111111"/>
          <w:sz w:val="28"/>
          <w:szCs w:val="28"/>
          <w:rtl/>
        </w:rPr>
        <w:t xml:space="preserve">تهران، دانشگاه؛ شماره نسخه: ۶۵۵۷</w:t>
      </w:r>
    </w:p>
    <w:p>
      <w:pPr>
        <w:pStyle w:val="BookText"/>
      </w:pPr>
      <w:r>
        <w:rPr>
          <w:rFonts w:ascii="IRNazanin" w:hAnsi="IRNazanin" w:eastAsia="IRNazanin" w:cs="IRNazanin"/>
          <w:lang w:bidi="fa-IR"/>
          <w:color w:val="111111"/>
          <w:sz w:val="28"/>
          <w:szCs w:val="28"/>
          <w:rtl/>
        </w:rPr>
        <w:t xml:space="preserve">آغاز: بسمله، حمد له ... اما بعد می گوید بنده گنه کار محمد صالح بن امیر عبدالرحمن بن شیخ خلیل الله اورسنجی البدخشی؛ انجام: و اگر بد باشم بدیشان بخشای و صلى الله على خير خلقه ... آمین.</w:t>
      </w:r>
    </w:p>
    <w:p>
      <w:pPr>
        <w:pStyle w:val="BookText"/>
      </w:pPr>
      <w:r>
        <w:rPr>
          <w:rFonts w:ascii="IRNazanin" w:hAnsi="IRNazanin" w:eastAsia="IRNazanin" w:cs="IRNazanin"/>
          <w:lang w:bidi="fa-IR"/>
          <w:color w:val="111111"/>
          <w:sz w:val="28"/>
          <w:szCs w:val="28"/>
          <w:rtl/>
        </w:rPr>
        <w:t xml:space="preserve">خط: نستعلیق، بی کا، تا: قرن ۱۴، نستعليق تاجیکی؛ کاغذ: فرنگی، جلد: مقوا، عطف تیماج زرد، ۶۸گ، ۱۳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قطع: خشتی،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۱۶-۲۹۷]</w:t>
      </w:r>
    </w:p>
    <w:p>
      <w:pPr>
        <w:pStyle w:val="Heading3"/>
      </w:pPr>
      <w:bookmarkStart w:id="942" w:name="_Toc202"/>
      <w:r>
        <w:t>• البلد الامین فی اصول الدین اکلام و اعتقادات، شعر عربی</w:t>
      </w:r>
      <w:bookmarkEnd w:id="942"/>
    </w:p>
    <w:p>
      <w:pPr>
        <w:pStyle w:val="BookText"/>
      </w:pPr>
      <w:r>
        <w:rPr>
          <w:rFonts w:ascii="Times New Roman" w:hAnsi="Times New Roman" w:eastAsia="Times New Roman" w:cs="Times New Roman"/>
          <w:lang w:val="en-US" w:bidi="en-US"/>
          <w:color w:val="111111"/>
          <w:sz w:val="28"/>
          <w:szCs w:val="28"/>
          <w:rtl/>
        </w:rPr>
        <w:t xml:space="preserve">al-balad-ul amin fi usul-id din</w:t>
      </w:r>
    </w:p>
    <w:p>
      <w:pPr>
        <w:pStyle w:val="BookText"/>
      </w:pPr>
      <w:r>
        <w:rPr>
          <w:rFonts w:ascii="IRNazanin" w:hAnsi="IRNazanin" w:eastAsia="IRNazanin" w:cs="IRNazanin"/>
          <w:lang w:bidi="fa-IR"/>
          <w:color w:val="111111"/>
          <w:sz w:val="28"/>
          <w:szCs w:val="28"/>
          <w:rtl/>
        </w:rPr>
        <w:t xml:space="preserve">کشفی، جعفر بن ابی اسحاق، ۱۱۸۹-۱۲۶۷ قمری</w:t>
      </w:r>
    </w:p>
    <w:p>
      <w:pPr>
        <w:pStyle w:val="BookText"/>
      </w:pPr>
      <w:r>
        <w:rPr>
          <w:rFonts w:ascii="Times New Roman" w:hAnsi="Times New Roman" w:eastAsia="Times New Roman" w:cs="Times New Roman"/>
          <w:lang w:val="en-US" w:bidi="en-US"/>
          <w:color w:val="111111"/>
          <w:sz w:val="28"/>
          <w:szCs w:val="28"/>
          <w:rtl/>
        </w:rPr>
        <w:t xml:space="preserve">kašfī, ja'far ebn-e abī-eshāq (1775-1851)</w:t>
      </w:r>
    </w:p>
    <w:p>
      <w:pPr>
        <w:pStyle w:val="BookText"/>
      </w:pPr>
      <w:r>
        <w:rPr>
          <w:rFonts w:ascii="IRNazanin" w:hAnsi="IRNazanin" w:eastAsia="IRNazanin" w:cs="IRNazanin"/>
          <w:lang w:bidi="fa-IR"/>
          <w:color w:val="111111"/>
          <w:sz w:val="28"/>
          <w:szCs w:val="28"/>
          <w:rtl/>
        </w:rPr>
        <w:t xml:space="preserve">وابسته به: اجابة المضطرين في بيان الأصول و فروع الدين؛ کشفی، جعفر بن ابی اسحاق (۱۱۸۹-۱۲۶۷) تاریخ تأليف: ۱۲۱۰ق؛ محل تألیف: نجف اشرف ارجوزه ای است کلامی که مؤلف كتاب خود «اجابة المضطرين» را به نظم در آورده و در یک «مقدمه» در بداهة الوجود و پنج «فصل»: التوحيد، الصفات الثبوتية، النبوة، الائمة الاثني عشر، المعاد البرزخ با عنوان های «زبدة». در ۴۹۶ بیت ساخته است.</w:t>
      </w:r>
    </w:p>
    <w:p>
      <w:pPr>
        <w:pStyle w:val="BookText"/>
      </w:pPr>
      <w:r>
        <w:rPr>
          <w:rFonts w:ascii="Amiri" w:hAnsi="Amiri" w:eastAsia="Amiri" w:cs="Amiri"/>
          <w:lang w:bidi="ar-SA"/>
          <w:color w:val="111111"/>
          <w:sz w:val="28"/>
          <w:szCs w:val="28"/>
          <w:rtl/>
        </w:rPr>
        <w:t xml:space="preserve">آغاز: بسم القديم الملك العلام *** انا فتحناه عقدة الكلام ... بعد فهذا نخبة العقول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و زبدة الكلام في الأصول / حررته في النجف الغرى *** مشرفا بالمرتضی علی / سميته بالبلد الامين *** في البحث عن علم اصول الدين ... انجام: و الحمدلله على الاتمام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حمدا يكون لازم الدوام / والختم في غبرى الغرى الغرا *** مرقد سرالله آی الكبرى</w:t>
      </w:r>
    </w:p>
    <w:p>
      <w:pPr>
        <w:pStyle w:val="BookText"/>
      </w:pPr>
      <w:r>
        <w:rPr>
          <w:rFonts w:ascii="IRNazanin" w:hAnsi="IRNazanin" w:eastAsia="IRNazanin" w:cs="IRNazanin"/>
          <w:lang w:bidi="fa-IR"/>
          <w:color w:val="111111"/>
          <w:sz w:val="28"/>
          <w:szCs w:val="28"/>
          <w:rtl/>
        </w:rPr>
        <w:t xml:space="preserve">[الذريعة ۱۴۴/۳ رقم ۴۹۴؛ ریحانة الادب ۶۰/۵ ؛ اعيان الشيعة ۸۵/۴]</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الحصن الحصين في شرح البلد الامین؛ اصطهباناتی، ابوالحسن بن اسماعیل (۱۲۵۰-۱۳۳۸)</w:t>
      </w:r>
    </w:p>
    <w:p>
      <w:pPr>
        <w:pStyle w:val="BookText"/>
      </w:pPr>
      <w:r>
        <w:rPr>
          <w:rFonts w:ascii="IRNazanin" w:hAnsi="IRNazanin" w:eastAsia="IRNazanin" w:cs="IRNazanin"/>
          <w:lang w:bidi="fa-IR"/>
          <w:color w:val="111111"/>
          <w:sz w:val="28"/>
          <w:szCs w:val="28"/>
          <w:rtl/>
        </w:rPr>
        <w:t xml:space="preserve">١. یزد؛ وزیری؛ شماره نسخه: ۱۴۵۳/۲</w:t>
      </w:r>
    </w:p>
    <w:p>
      <w:pPr>
        <w:pStyle w:val="BookText"/>
      </w:pPr>
      <w:r>
        <w:rPr>
          <w:rFonts w:ascii="IRNazanin" w:hAnsi="IRNazanin" w:eastAsia="IRNazanin" w:cs="IRNazanin"/>
          <w:lang w:bidi="fa-IR"/>
          <w:color w:val="111111"/>
          <w:sz w:val="28"/>
          <w:szCs w:val="28"/>
          <w:rtl/>
        </w:rPr>
        <w:t xml:space="preserve">آغاز: برابر خط: نسخ، بی کا، تا: قرن ۱۲؛ کاغذ: فرنگی، جلد: چرمی یک لایی نارنجی، مگ (۶۰-۶۴)، ۱۳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 اندازه: ۱۶۶۱۰سم [ف: ۳-۹۶۳]</w:t>
      </w:r>
    </w:p>
    <w:p>
      <w:pPr>
        <w:pStyle w:val="BookText"/>
      </w:pPr>
      <w:r>
        <w:rPr>
          <w:rFonts w:ascii="IRNazanin" w:hAnsi="IRNazanin" w:eastAsia="IRNazanin" w:cs="IRNazanin"/>
          <w:lang w:bidi="fa-IR"/>
          <w:color w:val="111111"/>
          <w:sz w:val="28"/>
          <w:szCs w:val="28"/>
          <w:rtl/>
        </w:rPr>
        <w:t xml:space="preserve">۲. تهران؛ مجلس؛ شماره نسخه: ۱۰۲۱/۵ -طباطبائی</w:t>
      </w:r>
    </w:p>
    <w:p>
      <w:pPr>
        <w:pStyle w:val="BookText"/>
      </w:pPr>
      <w:r>
        <w:rPr>
          <w:rFonts w:ascii="IRNazanin" w:hAnsi="IRNazanin" w:eastAsia="IRNazanin" w:cs="IRNazanin"/>
          <w:lang w:bidi="fa-IR"/>
          <w:color w:val="111111"/>
          <w:sz w:val="28"/>
          <w:szCs w:val="28"/>
          <w:rtl/>
        </w:rPr>
        <w:t xml:space="preserve">آغاز: برابر؛ انجام: و بعدها یا ثابت الايمان*** لاتصغ للاوهام و الهذيان</w:t>
      </w:r>
    </w:p>
    <w:p>
      <w:pPr>
        <w:pStyle w:val="BookText"/>
      </w:pPr>
      <w:r>
        <w:rPr>
          <w:rFonts w:ascii="IRNazanin" w:hAnsi="IRNazanin" w:eastAsia="IRNazanin" w:cs="IRNazanin"/>
          <w:lang w:bidi="fa-IR"/>
          <w:color w:val="111111"/>
          <w:sz w:val="28"/>
          <w:szCs w:val="28"/>
          <w:rtl/>
        </w:rPr>
        <w:t xml:space="preserve">خط: نسخ، بی کا، تا: قرن ۱۳؛ افتادگی: انجام؛ کاغذ: فرنگی سفید، جلد: تیماج مشکی، ۵۰ص (۵۹-۱۰۸)، ۱۹سطر، قطع: رقعی،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۲۳-۳۰۹]</w:t>
      </w:r>
    </w:p>
    <w:p>
      <w:pPr>
        <w:pStyle w:val="BookText"/>
      </w:pPr>
      <w:r>
        <w:rPr>
          <w:rFonts w:ascii="IRNazanin" w:hAnsi="IRNazanin" w:eastAsia="IRNazanin" w:cs="IRNazanin"/>
          <w:lang w:bidi="fa-IR"/>
          <w:color w:val="111111"/>
          <w:sz w:val="28"/>
          <w:szCs w:val="28"/>
          <w:rtl/>
        </w:rPr>
        <w:t xml:space="preserve">٣. قم؛ مرعشی؛ شماره نسخه: ۱۳۱۰۷/۴</w:t>
      </w:r>
    </w:p>
    <w:p>
      <w:pPr>
        <w:pStyle w:val="BookText"/>
      </w:pPr>
      <w:r>
        <w:rPr>
          <w:rFonts w:ascii="IRNazanin" w:hAnsi="IRNazanin" w:eastAsia="IRNazanin" w:cs="IRNazanin"/>
          <w:lang w:bidi="fa-IR"/>
          <w:color w:val="111111"/>
          <w:sz w:val="28"/>
          <w:szCs w:val="28"/>
          <w:rtl/>
        </w:rPr>
        <w:t xml:space="preserve">آغاز: برابر؛ انجام: ليأخذ المظلوم من حقوقه *** من ظالميه و ذوي عقوقه / و من بظلم قتل الرجعة له *** لاذمة حتى يتم أجله خط: نسخ، بی کا، تا: قرن ۱۳؛ مصحح، محشی با نشان «منه»، افزودگی هایی در شرح «الحمد لله رب العالمين، فضیلت دعا و احادیث متفرقه» بعد از انجام کاغذ: فرنگی، ۱۲گ (۲۰۵پ۔ ۲۱۶ر)، ۱۸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۶سم [ف: ۳۳-۲۱۶]</w:t>
      </w:r>
    </w:p>
    <w:p>
      <w:pPr>
        <w:pStyle w:val="BookText"/>
      </w:pPr>
      <w:r>
        <w:rPr>
          <w:rFonts w:ascii="IRNazanin" w:hAnsi="IRNazanin" w:eastAsia="IRNazanin" w:cs="IRNazanin"/>
          <w:lang w:bidi="fa-IR"/>
          <w:color w:val="111111"/>
          <w:sz w:val="28"/>
          <w:szCs w:val="28"/>
          <w:rtl/>
        </w:rPr>
        <w:t xml:space="preserve">۴. قم؛ معصومیه؛ شماره نسخه: ۶۸۹/۴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۱۳؛ جلد: تیماج قهوه ای، ۲۲گی/ (۷۷پ۔ ۹۸ر)، ابعاد متن: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۲-۳۳۰]</w:t>
      </w:r>
    </w:p>
    <w:p>
      <w:pPr>
        <w:pStyle w:val="BookText"/>
      </w:pPr>
      <w:r>
        <w:rPr>
          <w:rFonts w:ascii="IRNazanin" w:hAnsi="IRNazanin" w:eastAsia="IRNazanin" w:cs="IRNazanin"/>
          <w:lang w:bidi="fa-IR"/>
          <w:color w:val="111111"/>
          <w:sz w:val="28"/>
          <w:szCs w:val="28"/>
          <w:rtl/>
        </w:rPr>
        <w:t xml:space="preserve">۵. قم: مرکز احیاء؛ شماره نسخه: ۴۲۲۰/۶</w:t>
      </w:r>
    </w:p>
    <w:p>
      <w:pPr>
        <w:pStyle w:val="BookText"/>
      </w:pPr>
      <w:r>
        <w:rPr>
          <w:rFonts w:ascii="IRNazanin" w:hAnsi="IRNazanin" w:eastAsia="IRNazanin" w:cs="IRNazanin"/>
          <w:lang w:bidi="fa-IR"/>
          <w:color w:val="111111"/>
          <w:sz w:val="28"/>
          <w:szCs w:val="28"/>
          <w:rtl/>
        </w:rPr>
        <w:t xml:space="preserve">آغاز و انجام: برابر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نسخ، بی کا، تا: قرن ۱۳؛ تمامی اشعار بازیرنویس فارسی به خط نستعلیق، در چند برگ پایانی کتاب خطبه بدون الف امیر المؤمنین(عليه السلام)و چندین خطبه متفرقه و دوازده امامی آمده که تمامی با زیرنویس فارسی ترجمه شده؛ جلد: تیماج مشکی، ۲۹گ ( ۲۴۵-۲۱۷ ر)، ۸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سم[محدث ارموی</w:t>
      </w:r>
    </w:p>
    <w:p>
      <w:pPr>
        <w:pStyle w:val="BookText"/>
      </w:pPr>
      <w:r>
        <w:rPr>
          <w:rFonts w:ascii="IRNazanin" w:hAnsi="IRNazanin" w:eastAsia="IRNazanin" w:cs="IRNazanin"/>
          <w:lang w:bidi="fa-IR"/>
          <w:color w:val="111111"/>
          <w:sz w:val="28"/>
          <w:szCs w:val="28"/>
          <w:rtl/>
        </w:rPr>
        <w:t xml:space="preserve">مخ: ۲۶۰-۱ ]</w:t>
      </w:r>
    </w:p>
    <w:p>
      <w:pPr>
        <w:pStyle w:val="BookText"/>
      </w:pPr>
      <w:r>
        <w:rPr>
          <w:rFonts w:ascii="IRNazanin" w:hAnsi="IRNazanin" w:eastAsia="IRNazanin" w:cs="IRNazanin"/>
          <w:lang w:bidi="fa-IR"/>
          <w:color w:val="111111"/>
          <w:sz w:val="28"/>
          <w:szCs w:val="28"/>
          <w:rtl/>
        </w:rPr>
        <w:t xml:space="preserve">۶. قم؛ مرعشی؛ شماره نسخه: ۶۰۲۴/۲</w:t>
      </w:r>
    </w:p>
    <w:p>
      <w:pPr>
        <w:pStyle w:val="BookText"/>
      </w:pPr>
      <w:r>
        <w:rPr>
          <w:rFonts w:ascii="IRNazanin" w:hAnsi="IRNazanin" w:eastAsia="IRNazanin" w:cs="IRNazanin"/>
          <w:lang w:bidi="fa-IR"/>
          <w:color w:val="111111"/>
          <w:sz w:val="28"/>
          <w:szCs w:val="28"/>
          <w:rtl/>
        </w:rPr>
        <w:t xml:space="preserve">خط: نسخ، كا: ابو القاسم بن محمد باقر اصفهانی، تا: ۱۲۲۲ق، جان نجف اشرف؛ محشى؛ جلد: تیماج قهوه ای، ۲۹گ (۲۳پ۔ ۵۱پ)،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۸سم [ف: ۱۶-۲۲]</w:t>
      </w:r>
    </w:p>
    <w:p>
      <w:pPr>
        <w:pStyle w:val="BookText"/>
      </w:pPr>
      <w:r>
        <w:rPr>
          <w:rFonts w:ascii="IRNazanin" w:hAnsi="IRNazanin" w:eastAsia="IRNazanin" w:cs="IRNazanin"/>
          <w:lang w:bidi="fa-IR"/>
          <w:color w:val="111111"/>
          <w:sz w:val="28"/>
          <w:szCs w:val="28"/>
          <w:rtl/>
        </w:rPr>
        <w:t xml:space="preserve">۷. شیراز؛ علامه طباطبائی، شماره نسخه: ۱۷۲۳/۴</w:t>
      </w:r>
    </w:p>
    <w:p>
      <w:pPr>
        <w:pStyle w:val="BookText"/>
      </w:pPr>
      <w:r>
        <w:rPr>
          <w:rFonts w:ascii="IRNazanin" w:hAnsi="IRNazanin" w:eastAsia="IRNazanin" w:cs="IRNazanin"/>
          <w:lang w:bidi="fa-IR"/>
          <w:color w:val="111111"/>
          <w:sz w:val="28"/>
          <w:szCs w:val="28"/>
          <w:rtl/>
        </w:rPr>
        <w:t xml:space="preserve">خط: نسخ، بی کا، تا: ۱۲۲۷ق، ۲۵گ (۶۹-۹۳)،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نسخه پژوهی: ۳-۱۷۳]</w:t>
      </w:r>
    </w:p>
    <w:p>
      <w:pPr>
        <w:pStyle w:val="BookText"/>
      </w:pPr>
      <w:r>
        <w:rPr>
          <w:rFonts w:ascii="IRNazanin" w:hAnsi="IRNazanin" w:eastAsia="IRNazanin" w:cs="IRNazanin"/>
          <w:lang w:bidi="fa-IR"/>
          <w:color w:val="111111"/>
          <w:sz w:val="28"/>
          <w:szCs w:val="28"/>
          <w:rtl/>
        </w:rPr>
        <w:t xml:space="preserve">۸. مشهد؛ رضوی؛ شماره نسخه: ۲۷۵۶۶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۱۲۳۱ق [رایانه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شیراز؛ شاهچراغ؛ شماره نسخه: ۲۳۹۷/۵</w:t>
      </w:r>
    </w:p>
    <w:p>
      <w:pPr>
        <w:pStyle w:val="BookText"/>
      </w:pPr>
      <w:r>
        <w:rPr>
          <w:rFonts w:ascii="IRNazanin" w:hAnsi="IRNazanin" w:eastAsia="IRNazanin" w:cs="IRNazanin"/>
          <w:lang w:bidi="fa-IR"/>
          <w:color w:val="111111"/>
          <w:sz w:val="28"/>
          <w:szCs w:val="28"/>
          <w:rtl/>
        </w:rPr>
        <w:t xml:space="preserve">خط: نسخ، بی کا، تا: ۱۲۳۶ق؛ ۱۱گ (۶۲پ -۷۲)،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۳-۱۲۴]</w:t>
      </w:r>
    </w:p>
    <w:p>
      <w:pPr>
        <w:pStyle w:val="BookText"/>
      </w:pPr>
      <w:r>
        <w:rPr>
          <w:rFonts w:ascii="IRNazanin" w:hAnsi="IRNazanin" w:eastAsia="IRNazanin" w:cs="IRNazanin"/>
          <w:lang w:bidi="fa-IR"/>
          <w:color w:val="111111"/>
          <w:sz w:val="28"/>
          <w:szCs w:val="28"/>
          <w:rtl/>
        </w:rPr>
        <w:t xml:space="preserve">۱۰. یزد؛ مدرسی؛ شماره نسخه: بدون شماره/۲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تحریری، بی کا، تا: ۱۲۴۱ق؛ جلد: تیماج مشکی، ۳۷گ ( ۶۵-۲۹ )، ۱۲سطر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[میراث اسلامی: ۸-۴۶۱]</w:t>
      </w:r>
    </w:p>
    <w:p>
      <w:pPr>
        <w:pStyle w:val="BookText"/>
      </w:pPr>
      <w:r>
        <w:rPr>
          <w:rFonts w:ascii="IRNazanin" w:hAnsi="IRNazanin" w:eastAsia="IRNazanin" w:cs="IRNazanin"/>
          <w:lang w:bidi="fa-IR"/>
          <w:color w:val="111111"/>
          <w:sz w:val="28"/>
          <w:szCs w:val="28"/>
          <w:rtl/>
        </w:rPr>
        <w:t xml:space="preserve">۱۱. قم؛ مرعشی؛ شماره نسخه: ۶۶۸۶/۱</w:t>
      </w:r>
    </w:p>
    <w:p>
      <w:pPr>
        <w:pStyle w:val="BookText"/>
      </w:pPr>
      <w:r>
        <w:rPr>
          <w:rFonts w:ascii="IRNazanin" w:hAnsi="IRNazanin" w:eastAsia="IRNazanin" w:cs="IRNazanin"/>
          <w:lang w:bidi="fa-IR"/>
          <w:color w:val="111111"/>
          <w:sz w:val="28"/>
          <w:szCs w:val="28"/>
          <w:rtl/>
        </w:rPr>
        <w:t xml:space="preserve">خط: نسخ، كا: محمد بن علی اصغر مشهدی، تا: ۱۲۴۳ق؛ جلد: مقوایی عطف تیماج قهوه ای، ۱۴گ (۱پ -۱۴پ)،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۲۴۵-۱۷]</w:t>
      </w:r>
    </w:p>
    <w:p>
      <w:pPr>
        <w:pStyle w:val="BookText"/>
      </w:pPr>
      <w:r>
        <w:rPr>
          <w:rFonts w:ascii="IRNazanin" w:hAnsi="IRNazanin" w:eastAsia="IRNazanin" w:cs="IRNazanin"/>
          <w:lang w:bidi="fa-IR"/>
          <w:color w:val="111111"/>
          <w:sz w:val="28"/>
          <w:szCs w:val="28"/>
          <w:rtl/>
        </w:rPr>
        <w:t xml:space="preserve">۱۲. یزد؛ وزیری؛ شماره نسخه: ۱۳۵/۵</w:t>
      </w:r>
    </w:p>
    <w:p>
      <w:pPr>
        <w:pStyle w:val="BookText"/>
      </w:pPr>
      <w:r>
        <w:rPr>
          <w:rFonts w:ascii="IRNazanin" w:hAnsi="IRNazanin" w:eastAsia="IRNazanin" w:cs="IRNazanin"/>
          <w:lang w:bidi="fa-IR"/>
          <w:color w:val="111111"/>
          <w:sz w:val="28"/>
          <w:szCs w:val="28"/>
          <w:rtl/>
        </w:rPr>
        <w:t xml:space="preserve">آغاز و انجام: برابر خط: نسخ، كان على نقی کاتب کازرونی، تا: محرم و صفر ۱۲۴۵ق؛ اهدایی: سید عباس نبویان؛ کاغذ: فرنگی، جلد: مقوایی تیماج تریاکی، ۵، ۲۷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اندازه: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۱-۱۷۵]</w:t>
      </w:r>
    </w:p>
    <w:p>
      <w:pPr>
        <w:pStyle w:val="BookText"/>
      </w:pPr>
      <w:r>
        <w:rPr>
          <w:rFonts w:ascii="IRNazanin" w:hAnsi="IRNazanin" w:eastAsia="IRNazanin" w:cs="IRNazanin"/>
          <w:lang w:bidi="fa-IR"/>
          <w:color w:val="111111"/>
          <w:sz w:val="28"/>
          <w:szCs w:val="28"/>
          <w:rtl/>
        </w:rPr>
        <w:t xml:space="preserve">۱۳. قم؛ مرعشی؛ شماره نسخه: ۶۰۴/۱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بن على، تا: ۲۴ صفر ۱۲۴۷ق؛ جلد: تیماج قهوه ای بدون مقوا، ۱۷گ (۱پ -۱۷پ)،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سم [ف: ۲-۱۹۹]</w:t>
      </w:r>
    </w:p>
    <w:p>
      <w:pPr>
        <w:pStyle w:val="BookText"/>
      </w:pPr>
      <w:r>
        <w:rPr>
          <w:rFonts w:ascii="IRNazanin" w:hAnsi="IRNazanin" w:eastAsia="IRNazanin" w:cs="IRNazanin"/>
          <w:lang w:bidi="fa-IR"/>
          <w:color w:val="111111"/>
          <w:sz w:val="28"/>
          <w:szCs w:val="28"/>
          <w:rtl/>
        </w:rPr>
        <w:t xml:space="preserve">۱۴. مشهد؛ رضوی؛ شماره نسخه: ۷۲۸۷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ابو الحسن، تا: ۱۲۵۱ق؛ وگی، ۱۸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۱۱-۴۹]</w:t>
      </w:r>
    </w:p>
    <w:p>
      <w:pPr>
        <w:pStyle w:val="BookText"/>
      </w:pPr>
      <w:r>
        <w:rPr>
          <w:rFonts w:ascii="IRNazanin" w:hAnsi="IRNazanin" w:eastAsia="IRNazanin" w:cs="IRNazanin"/>
          <w:lang w:bidi="fa-IR"/>
          <w:color w:val="111111"/>
          <w:sz w:val="28"/>
          <w:szCs w:val="28"/>
          <w:rtl/>
        </w:rPr>
        <w:t xml:space="preserve">۱۵. تهران: دانشگاه؛ شماره نسخه: ۷۲۰۶/۲</w:t>
      </w:r>
    </w:p>
    <w:p>
      <w:pPr>
        <w:pStyle w:val="BookText"/>
      </w:pPr>
      <w:r>
        <w:rPr>
          <w:rFonts w:ascii="IRNazanin" w:hAnsi="IRNazanin" w:eastAsia="IRNazanin" w:cs="IRNazanin"/>
          <w:lang w:bidi="fa-IR"/>
          <w:color w:val="111111"/>
          <w:sz w:val="28"/>
          <w:szCs w:val="28"/>
          <w:rtl/>
        </w:rPr>
        <w:t xml:space="preserve">خط: نسخ و نستعلیق، كان محمد تقی یزدی، تا: ۲۶ ربیع الثانی ۱۲۵۱ق؛ کاغذ: فرنگی، جلد: تیماج قهوه ای ضربی مقوایی، ۱۹گ (۱۶پ -۳۴ر)، قطع: ربعی،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۱۶-۴۸۷]</w:t>
      </w:r>
    </w:p>
    <w:p>
      <w:pPr>
        <w:pStyle w:val="BookText"/>
      </w:pPr>
      <w:r>
        <w:rPr>
          <w:rFonts w:ascii="IRNazanin" w:hAnsi="IRNazanin" w:eastAsia="IRNazanin" w:cs="IRNazanin"/>
          <w:lang w:bidi="fa-IR"/>
          <w:color w:val="111111"/>
          <w:sz w:val="28"/>
          <w:szCs w:val="28"/>
          <w:rtl/>
        </w:rPr>
        <w:t xml:space="preserve">۱۶. مشهد؛ شیخ علی حیدر؛ شماره نسخه: ۶۲۳/۲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بیش از ۳۰۰ بیت نیست؛ خط: نسخ، بی کا، تا: رمضان ۱۲۵۴ق؛ جلد: چرم زرد، ۲۹گ (۶۸پ -۹۶پ)،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سم [مؤید: ۱۳۳-۲ ]</w:t>
      </w:r>
    </w:p>
    <w:p>
      <w:pPr>
        <w:pStyle w:val="BookText"/>
      </w:pPr>
      <w:r>
        <w:rPr>
          <w:rFonts w:ascii="IRNazanin" w:hAnsi="IRNazanin" w:eastAsia="IRNazanin" w:cs="IRNazanin"/>
          <w:lang w:bidi="fa-IR"/>
          <w:color w:val="111111"/>
          <w:sz w:val="28"/>
          <w:szCs w:val="28"/>
          <w:rtl/>
        </w:rPr>
        <w:t xml:space="preserve">۱۷. کرمانشاه؛ میبدی (خاندان)؛ شماره نسخه: ۸/۱</w:t>
      </w:r>
    </w:p>
    <w:p>
      <w:pPr>
        <w:pStyle w:val="BookText"/>
      </w:pPr>
      <w:r>
        <w:rPr>
          <w:rFonts w:ascii="IRNazanin" w:hAnsi="IRNazanin" w:eastAsia="IRNazanin" w:cs="IRNazanin"/>
          <w:lang w:bidi="fa-IR"/>
          <w:color w:val="111111"/>
          <w:sz w:val="28"/>
          <w:szCs w:val="28"/>
          <w:rtl/>
        </w:rPr>
        <w:t xml:space="preserve">خط: نسخ، كا: هادي بن مهدی، تا: ۲۰ ذیحجه ۱۲۵۵ق؛ جلد: تیماج مشکی، ۱۶گ (۲پ -۱۷ر)، ۱۷سطر،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سم [ف: ۱۵]</w:t>
      </w:r>
    </w:p>
    <w:p>
      <w:pPr>
        <w:pStyle w:val="BookText"/>
      </w:pPr>
      <w:r>
        <w:rPr>
          <w:rFonts w:ascii="IRNazanin" w:hAnsi="IRNazanin" w:eastAsia="IRNazanin" w:cs="IRNazanin"/>
          <w:lang w:bidi="fa-IR"/>
          <w:color w:val="111111"/>
          <w:sz w:val="28"/>
          <w:szCs w:val="28"/>
          <w:rtl/>
        </w:rPr>
        <w:t xml:space="preserve">۱۸. قم؛ مرعشی؛ شماره نسخه: ۶۶۳۷/۳</w:t>
      </w:r>
    </w:p>
    <w:p>
      <w:pPr>
        <w:pStyle w:val="BookText"/>
      </w:pPr>
      <w:r>
        <w:rPr>
          <w:rFonts w:ascii="IRNazanin" w:hAnsi="IRNazanin" w:eastAsia="IRNazanin" w:cs="IRNazanin"/>
          <w:lang w:bidi="fa-IR"/>
          <w:color w:val="111111"/>
          <w:sz w:val="28"/>
          <w:szCs w:val="28"/>
          <w:rtl/>
        </w:rPr>
        <w:t xml:space="preserve">خط: نسخ، كا: مهدی بن اسماعيل حسینی، تا: ۱۲۵۹ق؛ جلد: تیماج قهوه ای بدون مقوا، ۲۰گ (۷۱ر-۹۰پ)،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۱۷-۲۰۶]</w:t>
      </w:r>
    </w:p>
    <w:p>
      <w:pPr>
        <w:pStyle w:val="BookText"/>
      </w:pPr>
      <w:r>
        <w:rPr>
          <w:rFonts w:ascii="IRNazanin" w:hAnsi="IRNazanin" w:eastAsia="IRNazanin" w:cs="IRNazanin"/>
          <w:lang w:bidi="fa-IR"/>
          <w:color w:val="111111"/>
          <w:sz w:val="28"/>
          <w:szCs w:val="28"/>
          <w:rtl/>
        </w:rPr>
        <w:t xml:space="preserve">۱۹. تهران، دانشگاه؛ شماره نسخه: ۵۲۰۰/۱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۱۲۶۱ق؛ کاغذ: فرنگی، جلد: تیماج مشکی، ۲۶گ (۱پ -۲۶ر)، ابعاد متن: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 قطع: ربعی،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۱۵-۴۱۴۸]</w:t>
      </w:r>
    </w:p>
    <w:p>
      <w:pPr>
        <w:pStyle w:val="BookText"/>
      </w:pPr>
      <w:r>
        <w:rPr>
          <w:rFonts w:ascii="IRNazanin" w:hAnsi="IRNazanin" w:eastAsia="IRNazanin" w:cs="IRNazanin"/>
          <w:lang w:bidi="fa-IR"/>
          <w:color w:val="111111"/>
          <w:sz w:val="28"/>
          <w:szCs w:val="28"/>
          <w:rtl/>
        </w:rPr>
        <w:t xml:space="preserve">۲۰. قم؛ مرعشی؛ شماره نسخه: ۱۲۳۴۵/۲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پنج شنبه ۹ جمادی الاول ۱۲۶۱ق؛ مصحح، وبيت شعر از خوانساری نامی که در پاسخ رباعی ابن حجر که در رد امام زمان سروده است در آغاز وجود دارد؛ ۲۰گ (۴۸-۶۷)، ۱۴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سم [ف: ۳۱-۲۳۴]</w:t>
      </w:r>
    </w:p>
    <w:p>
      <w:pPr>
        <w:pStyle w:val="BookText"/>
      </w:pPr>
      <w:r>
        <w:rPr>
          <w:rFonts w:ascii="IRNazanin" w:hAnsi="IRNazanin" w:eastAsia="IRNazanin" w:cs="IRNazanin"/>
          <w:lang w:bidi="fa-IR"/>
          <w:color w:val="111111"/>
          <w:sz w:val="28"/>
          <w:szCs w:val="28"/>
          <w:rtl/>
        </w:rPr>
        <w:t xml:space="preserve">۲۱. تهران؛ مجلس؛ شماره نسخه: ۶۰۹/۶</w:t>
      </w:r>
    </w:p>
    <w:p>
      <w:pPr>
        <w:pStyle w:val="BookText"/>
      </w:pPr>
      <w:r>
        <w:rPr>
          <w:rFonts w:ascii="IRNazanin" w:hAnsi="IRNazanin" w:eastAsia="IRNazanin" w:cs="IRNazanin"/>
          <w:lang w:bidi="fa-IR"/>
          <w:color w:val="111111"/>
          <w:sz w:val="28"/>
          <w:szCs w:val="28"/>
          <w:rtl/>
        </w:rPr>
        <w:t xml:space="preserve">خط: نسخ، بی کا، تا: ۱۲۷۸ق؛ ۳۰ سطر، قطع: وزیری،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۲-۳۶۳]</w:t>
      </w:r>
    </w:p>
    <w:p>
      <w:pPr>
        <w:pStyle w:val="BookText"/>
      </w:pPr>
      <w:r>
        <w:rPr>
          <w:rFonts w:ascii="IRNazanin" w:hAnsi="IRNazanin" w:eastAsia="IRNazanin" w:cs="IRNazanin"/>
          <w:lang w:bidi="fa-IR"/>
          <w:color w:val="111111"/>
          <w:sz w:val="28"/>
          <w:szCs w:val="28"/>
          <w:rtl/>
        </w:rPr>
        <w:t xml:space="preserve">۲۲. قم؛ مرعشی؛ شماره نسخه: ۱۱۴۸۸/۲</w:t>
      </w:r>
    </w:p>
    <w:p>
      <w:pPr>
        <w:pStyle w:val="BookText"/>
      </w:pPr>
      <w:r>
        <w:rPr>
          <w:rFonts w:ascii="IRNazanin" w:hAnsi="IRNazanin" w:eastAsia="IRNazanin" w:cs="IRNazanin"/>
          <w:lang w:bidi="fa-IR"/>
          <w:color w:val="111111"/>
          <w:sz w:val="28"/>
          <w:szCs w:val="28"/>
          <w:rtl/>
        </w:rPr>
        <w:t xml:space="preserve">آغاز و انجام: برابر خط: نسخ خوش، كا: محمد تقی فرزند عبدالغفور، تا: ۲۵ صفر ۱۲۷۹ق؛ مصحح، در پایان رساله چند بیت در مدح حضرت ولی عصر (عجل الله تعالی فرجه الشریف) از مؤلف آمده است؛ کاغذ: فرنگی نیلی، جلد: تیماج زرد، یک لا، ۲۳گ (۱۷- ۳۹)، ۱۲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۲۹-۱۱۶]</w:t>
      </w:r>
    </w:p>
    <w:p>
      <w:pPr>
        <w:pStyle w:val="BookText"/>
      </w:pPr>
      <w:r>
        <w:rPr>
          <w:rFonts w:ascii="IRNazanin" w:hAnsi="IRNazanin" w:eastAsia="IRNazanin" w:cs="IRNazanin"/>
          <w:lang w:bidi="fa-IR"/>
          <w:color w:val="111111"/>
          <w:sz w:val="28"/>
          <w:szCs w:val="28"/>
          <w:rtl/>
        </w:rPr>
        <w:t xml:space="preserve">۲۳. قم؛ مرعشی؛ شماره نسخه: ۲۷۵۴/۱۰</w:t>
      </w:r>
    </w:p>
    <w:p>
      <w:pPr>
        <w:pStyle w:val="BookText"/>
      </w:pPr>
      <w:r>
        <w:rPr>
          <w:rFonts w:ascii="IRNazanin" w:hAnsi="IRNazanin" w:eastAsia="IRNazanin" w:cs="IRNazanin"/>
          <w:lang w:bidi="fa-IR"/>
          <w:color w:val="111111"/>
          <w:sz w:val="28"/>
          <w:szCs w:val="28"/>
          <w:rtl/>
        </w:rPr>
        <w:t xml:space="preserve">خط: نستعلیق، کا: محمد بن زین العابدین الموسوی، تا: ۱۸ صفر ۱۲۸۳ق؛ جلد: مقوایی عطف تیماج قهوه ای، ۱۶گی (۱۳۲پ ۱۴۷ر)،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۷-۳۱۲]</w:t>
      </w:r>
    </w:p>
    <w:p>
      <w:pPr>
        <w:pStyle w:val="BookText"/>
      </w:pPr>
      <w:r>
        <w:rPr>
          <w:rFonts w:ascii="IRNazanin" w:hAnsi="IRNazanin" w:eastAsia="IRNazanin" w:cs="IRNazanin"/>
          <w:lang w:bidi="fa-IR"/>
          <w:color w:val="111111"/>
          <w:sz w:val="28"/>
          <w:szCs w:val="28"/>
          <w:rtl/>
        </w:rPr>
        <w:t xml:space="preserve">۲۴. تهران؛ مجلس؛ شماره نسخه: ۸۲۶۲/۱۴</w:t>
      </w:r>
    </w:p>
    <w:p>
      <w:pPr>
        <w:pStyle w:val="BookText"/>
      </w:pPr>
      <w:r>
        <w:rPr>
          <w:rFonts w:ascii="IRNazanin" w:hAnsi="IRNazanin" w:eastAsia="IRNazanin" w:cs="IRNazanin"/>
          <w:lang w:bidi="fa-IR"/>
          <w:color w:val="111111"/>
          <w:sz w:val="28"/>
          <w:szCs w:val="28"/>
          <w:rtl/>
        </w:rPr>
        <w:t xml:space="preserve">آغاز و انجام: برابر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1" w:name="pg20363_209228"/>
    <w:bookmarkEnd w:id="71"/>
    <w:p>
      <w:pPr>
        <w:pStyle w:val="BookText"/>
      </w:pPr>
      <w:r>
        <w:rPr>
          <w:rFonts w:ascii="IRNazanin" w:hAnsi="IRNazanin" w:eastAsia="IRNazanin" w:cs="IRNazanin"/>
          <w:lang w:bidi="fa-IR"/>
          <w:color w:val="111111"/>
          <w:sz w:val="28"/>
          <w:szCs w:val="28"/>
          <w:rtl/>
        </w:rPr>
        <w:t xml:space="preserve">خط: نسخ، كا: احمد وقار شیرازی، تا: ۱۲۹۷ق؛ جلد: تیماج قرمز، مجدول گرهی زرین، ۵گ (۱۲۷ ر-۱۳۱پ)، ۲۶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۲۷/۲ -۳۹]</w:t>
      </w:r>
    </w:p>
    <w:p>
      <w:pPr>
        <w:pStyle w:val="BookText"/>
      </w:pPr>
      <w:r>
        <w:rPr>
          <w:rFonts w:ascii="IRNazanin" w:hAnsi="IRNazanin" w:eastAsia="IRNazanin" w:cs="IRNazanin"/>
          <w:lang w:bidi="fa-IR"/>
          <w:color w:val="111111"/>
          <w:sz w:val="28"/>
          <w:szCs w:val="28"/>
          <w:rtl/>
        </w:rPr>
        <w:t xml:space="preserve">۲۵. قم؛ مرعشی؛ شماره نسخه: ۱۴۰۷۰/۵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زیبا، كا: احمد بن حسن موسوی، تا: ۲۳ صفر ۱۳۰۶ق؛ محشي با نشان «۱۲)، در انجام عبارت «فرغ من تصحيفه كاتبه و مالكه احمد بن حسن الموسوي في لار اواخر شعبان المعظم سنة ۱۳۰۶» آمده؛ کاغذ: فرنگی، ۴۲گ (۱۳۰-۱۷۱پ)، ۱۱ سطر،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۶سم [ف: ۳۵-۵۶۶]</w:t>
      </w:r>
    </w:p>
    <w:p>
      <w:pPr>
        <w:pStyle w:val="BookText"/>
      </w:pPr>
      <w:r>
        <w:rPr>
          <w:rFonts w:ascii="IRNazanin" w:hAnsi="IRNazanin" w:eastAsia="IRNazanin" w:cs="IRNazanin"/>
          <w:lang w:bidi="fa-IR"/>
          <w:color w:val="111111"/>
          <w:sz w:val="28"/>
          <w:szCs w:val="28"/>
          <w:rtl/>
        </w:rPr>
        <w:t xml:space="preserve">۲۶. قم؛ گلپایگانی؛ شماره نسخه: ۲۶۲۰/۱ -۱۴/۷۰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حسن نیستانی، تا: 3 جمادی الثانی ۱۳۲۰ق؛ جلد: مقوای سبز عطف پارچه، ۱۳ گی، ۲۰-۲۱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۲-۶۲۹]</w:t>
      </w:r>
    </w:p>
    <w:p>
      <w:pPr>
        <w:pStyle w:val="BookText"/>
      </w:pPr>
      <w:r>
        <w:rPr>
          <w:rFonts w:ascii="IRNazanin" w:hAnsi="IRNazanin" w:eastAsia="IRNazanin" w:cs="IRNazanin"/>
          <w:lang w:bidi="fa-IR"/>
          <w:color w:val="111111"/>
          <w:sz w:val="28"/>
          <w:szCs w:val="28"/>
          <w:rtl/>
        </w:rPr>
        <w:t xml:space="preserve">۲۷. اصفهان؛ سید کشفی؛ شماره نسخه: ۲ مجموعه بدون شماره۸</w:t>
      </w:r>
    </w:p>
    <w:p>
      <w:pPr>
        <w:pStyle w:val="BookText"/>
      </w:pPr>
      <w:r>
        <w:rPr>
          <w:rFonts w:ascii="IRNazanin" w:hAnsi="IRNazanin" w:eastAsia="IRNazanin" w:cs="IRNazanin"/>
          <w:lang w:bidi="fa-IR"/>
          <w:color w:val="111111"/>
          <w:sz w:val="28"/>
          <w:szCs w:val="28"/>
          <w:rtl/>
        </w:rPr>
        <w:t xml:space="preserve">كا: سید روح الله کشفی، تا: ۲۴ جمادی الثانی ۱۳۶۶ق [دليل المخطوطات: ۱-۴۹]</w:t>
      </w:r>
    </w:p>
    <w:p>
      <w:pPr>
        <w:pStyle w:val="BookText"/>
      </w:pPr>
      <w:r>
        <w:rPr>
          <w:rFonts w:ascii="IRNazanin" w:hAnsi="IRNazanin" w:eastAsia="IRNazanin" w:cs="IRNazanin"/>
          <w:lang w:bidi="fa-IR"/>
          <w:color w:val="111111"/>
          <w:sz w:val="28"/>
          <w:szCs w:val="28"/>
          <w:rtl/>
        </w:rPr>
        <w:t xml:space="preserve">۲۸. قم؛ گلپایگانی؛ شماره نسخه: ۳۶۵۸/۱ - ۱۸/۱۷۸</w:t>
      </w:r>
    </w:p>
    <w:p>
      <w:pPr>
        <w:pStyle w:val="BookText"/>
      </w:pPr>
      <w:r>
        <w:rPr>
          <w:rFonts w:ascii="Amiri" w:hAnsi="Amiri" w:eastAsia="Amiri" w:cs="Amiri"/>
          <w:lang w:bidi="ar-SA"/>
          <w:color w:val="111111"/>
          <w:sz w:val="28"/>
          <w:szCs w:val="28"/>
          <w:rtl/>
        </w:rPr>
        <w:t xml:space="preserve">آغاز: برابر، انجام: كمثل تشويق أو التخويف *** فواجب هذا على اللطيف</w:t>
      </w:r>
    </w:p>
    <w:p>
      <w:pPr>
        <w:pStyle w:val="BookText"/>
      </w:pPr>
      <w:r>
        <w:rPr>
          <w:rFonts w:ascii="IRNazanin" w:hAnsi="IRNazanin" w:eastAsia="IRNazanin" w:cs="IRNazanin"/>
          <w:lang w:bidi="fa-IR"/>
          <w:color w:val="111111"/>
          <w:sz w:val="28"/>
          <w:szCs w:val="28"/>
          <w:rtl/>
        </w:rPr>
        <w:t xml:space="preserve">خط: نسخ، بی کا، بی تا؛ جلد: تیماج مشکی مجدول گرهی، ۷گ، ۱۲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۲-۶۲۹]</w:t>
      </w:r>
    </w:p>
    <w:p>
      <w:pPr>
        <w:pStyle w:val="BookText"/>
      </w:pPr>
      <w:r>
        <w:rPr>
          <w:rFonts w:ascii="IRNazanin" w:hAnsi="IRNazanin" w:eastAsia="IRNazanin" w:cs="IRNazanin"/>
          <w:lang w:bidi="fa-IR"/>
          <w:color w:val="111111"/>
          <w:sz w:val="28"/>
          <w:szCs w:val="28"/>
          <w:rtl/>
        </w:rPr>
        <w:t xml:space="preserve">۲۹. خوانسار؛ فاضل؛ شماره نسخه: ۱۲۷/۶</w:t>
      </w:r>
    </w:p>
    <w:p>
      <w:pPr>
        <w:pStyle w:val="BookText"/>
      </w:pPr>
      <w:r>
        <w:rPr>
          <w:rFonts w:ascii="IRNazanin" w:hAnsi="IRNazanin" w:eastAsia="IRNazanin" w:cs="IRNazanin"/>
          <w:lang w:bidi="fa-IR"/>
          <w:color w:val="111111"/>
          <w:sz w:val="28"/>
          <w:szCs w:val="28"/>
          <w:rtl/>
        </w:rPr>
        <w:t xml:space="preserve">خط: نسخ، بی کا، بی تا، در چند برگ آخر رساله منطق «سید جعفر کشفی» دوباره تکرار شده و همراه با مسوده یک قباله، در بین رسالات و کتب مطالب متفرقه ای آمده بدین شرح: قاعده شیخ نجم الدین در طريق سلوك إلى الله، اشعار، خصال كلب و تطبیق آن با مراتب عرفان، روایتی از پیغمبر اکرم(صلی الله علیه وآله وسلم)در سفارش به حضرت علی(عليه السلام)و یادداشتی در مخاطبه نفس، دعای مظلوم بر ظالم، تعویذات، مسوده قباله نکاح و ... مهر: «عبده الراجی نعمت الله بن محمد ...» (مربع)؛ جلد: تیماج سبز، بدون مقوا،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۱-۹۲]</w:t>
      </w:r>
    </w:p>
    <w:p>
      <w:pPr>
        <w:pStyle w:val="BookText"/>
      </w:pPr>
      <w:r>
        <w:rPr>
          <w:rFonts w:ascii="IRNazanin" w:hAnsi="IRNazanin" w:eastAsia="IRNazanin" w:cs="IRNazanin"/>
          <w:lang w:bidi="fa-IR"/>
          <w:color w:val="111111"/>
          <w:sz w:val="28"/>
          <w:szCs w:val="28"/>
          <w:rtl/>
        </w:rPr>
        <w:t xml:space="preserve">۳۰. تهران؛ ملی؛ شماره نسخه: ۴۶۰۴/۲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کاغذ: فرنگی نخودی، جلد: تیماج مشکی مقوایی ضربی مجدول میان جداول بوته های ریسه ای، ۱۱گ ( ۳۵-۲۵ )، ۱۴ سطر (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۱۹-۲۴۶]</w:t>
      </w:r>
    </w:p>
    <w:p>
      <w:pPr>
        <w:pStyle w:val="BookText"/>
      </w:pPr>
      <w:r>
        <w:rPr>
          <w:rFonts w:ascii="IRNazanin" w:hAnsi="IRNazanin" w:eastAsia="IRNazanin" w:cs="IRNazanin"/>
          <w:lang w:bidi="fa-IR"/>
          <w:color w:val="111111"/>
          <w:sz w:val="28"/>
          <w:szCs w:val="28"/>
          <w:rtl/>
        </w:rPr>
        <w:t xml:space="preserve">۳۱. یزد؛ وزیری؛ شماره نسخه: ۲۴۴۰/۲</w:t>
      </w:r>
    </w:p>
    <w:p>
      <w:pPr>
        <w:pStyle w:val="BookText"/>
      </w:pPr>
      <w:r>
        <w:rPr>
          <w:rFonts w:ascii="IRNazanin" w:hAnsi="IRNazanin" w:eastAsia="IRNazanin" w:cs="IRNazanin"/>
          <w:lang w:bidi="fa-IR"/>
          <w:color w:val="111111"/>
          <w:sz w:val="28"/>
          <w:szCs w:val="28"/>
          <w:rtl/>
        </w:rPr>
        <w:t xml:space="preserve">خط: نسخ، بی کا، بی تا؛ اهدایی: حاج غلامحسين صالح زاده؛ کاغذ: فرنگی، جلد: تیماج مشکی، ۲۳گ (۱۸-۴۰)، ۱۲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۴-۱۲۹۴]</w:t>
      </w:r>
    </w:p>
    <w:p>
      <w:pPr>
        <w:pStyle w:val="BookText"/>
      </w:pPr>
      <w:r>
        <w:rPr>
          <w:rFonts w:ascii="IRNazanin" w:hAnsi="IRNazanin" w:eastAsia="IRNazanin" w:cs="IRNazanin"/>
          <w:lang w:bidi="fa-IR"/>
          <w:color w:val="111111"/>
          <w:sz w:val="28"/>
          <w:szCs w:val="28"/>
          <w:rtl/>
        </w:rPr>
        <w:t xml:space="preserve">۳۲. قم؛ فیضیه؛ شماره نسخه: ۱۲۴۶/۴</w:t>
      </w:r>
    </w:p>
    <w:p>
      <w:pPr>
        <w:pStyle w:val="BookText"/>
      </w:pPr>
      <w:r>
        <w:rPr>
          <w:rFonts w:ascii="IRNazanin" w:hAnsi="IRNazanin" w:eastAsia="IRNazanin" w:cs="IRNazanin"/>
          <w:lang w:bidi="fa-IR"/>
          <w:color w:val="111111"/>
          <w:sz w:val="28"/>
          <w:szCs w:val="28"/>
          <w:rtl/>
        </w:rPr>
        <w:t xml:space="preserve">خط: نسخ و نستعلیق، بی کا، بی تا؛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اف: ۳-۷۴]</w:t>
      </w:r>
    </w:p>
    <w:p>
      <w:pPr>
        <w:pStyle w:val="BookText"/>
      </w:pPr>
      <w:r>
        <w:rPr>
          <w:rFonts w:ascii="IRNazanin" w:hAnsi="IRNazanin" w:eastAsia="IRNazanin" w:cs="IRNazanin"/>
          <w:lang w:bidi="fa-IR"/>
          <w:color w:val="111111"/>
          <w:sz w:val="28"/>
          <w:szCs w:val="28"/>
          <w:rtl/>
        </w:rPr>
        <w:t xml:space="preserve">۳۳. تهران؛ مجلس؛ شماره نسخه: ۱۳۱۷۱/۲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جلد: تیماج مشکی، ۲۱گ (۶۳پ -۸۳ر)، ۱۳ سطر [ف: ۳۶-۲۶۳]</w:t>
      </w:r>
    </w:p>
    <w:p>
      <w:pPr>
        <w:pStyle w:val="BookText"/>
      </w:pPr>
      <w:r>
        <w:rPr>
          <w:rFonts w:ascii="IRNazanin" w:hAnsi="IRNazanin" w:eastAsia="IRNazanin" w:cs="IRNazanin"/>
          <w:lang w:bidi="fa-IR"/>
          <w:color w:val="111111"/>
          <w:sz w:val="28"/>
          <w:szCs w:val="28"/>
          <w:rtl/>
        </w:rPr>
        <w:t xml:space="preserve">۳۴. قم؛ مرعشی؛ شماره نسخه: ۶۲۸۹/۳</w:t>
      </w:r>
    </w:p>
    <w:p>
      <w:pPr>
        <w:pStyle w:val="BookText"/>
      </w:pPr>
      <w:r>
        <w:rPr>
          <w:rFonts w:ascii="IRNazanin" w:hAnsi="IRNazanin" w:eastAsia="IRNazanin" w:cs="IRNazanin"/>
          <w:lang w:bidi="fa-IR"/>
          <w:color w:val="111111"/>
          <w:sz w:val="28"/>
          <w:szCs w:val="28"/>
          <w:rtl/>
        </w:rPr>
        <w:t xml:space="preserve">انجام: الاتحاد هو بالضروره *** ممتنع أعنی به صیروره خط: نسخ و نستعلیق، بی کا، بی تا؛ افتادگی: انجام؛ جلد: تیماج قهوه ای، ۲گ (۳۰-۳۱پ)،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۱۶-۲۶۱]</w:t>
      </w:r>
    </w:p>
    <w:p>
      <w:pPr>
        <w:pStyle w:val="BookText"/>
      </w:pPr>
      <w:r>
        <w:rPr>
          <w:rFonts w:ascii="IRNazanin" w:hAnsi="IRNazanin" w:eastAsia="IRNazanin" w:cs="IRNazanin"/>
          <w:lang w:bidi="fa-IR"/>
          <w:color w:val="111111"/>
          <w:sz w:val="28"/>
          <w:szCs w:val="28"/>
          <w:rtl/>
        </w:rPr>
        <w:t xml:space="preserve">۳۵. قم؛ مرعشی؛ شماره نسخه: ۷۳۴۴/۳</w:t>
      </w:r>
    </w:p>
    <w:p>
      <w:pPr>
        <w:pStyle w:val="BookText"/>
      </w:pPr>
      <w:r>
        <w:rPr>
          <w:rFonts w:ascii="IRNazanin" w:hAnsi="IRNazanin" w:eastAsia="IRNazanin" w:cs="IRNazanin"/>
          <w:lang w:bidi="fa-IR"/>
          <w:color w:val="111111"/>
          <w:sz w:val="28"/>
          <w:szCs w:val="28"/>
          <w:rtl/>
        </w:rPr>
        <w:t xml:space="preserve">خط: نسخ، بی کا، بی تا، جلد: تیماج مشکی بدون مقوا، ۲۵گ (۸۹ر-۱۱۳پ)،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۱۹-۱۴۴]</w:t>
      </w:r>
    </w:p>
    <w:p>
      <w:pPr>
        <w:pStyle w:val="BookText"/>
      </w:pPr>
      <w:r>
        <w:rPr>
          <w:rFonts w:ascii="IRNazanin" w:hAnsi="IRNazanin" w:eastAsia="IRNazanin" w:cs="IRNazanin"/>
          <w:lang w:bidi="fa-IR"/>
          <w:color w:val="111111"/>
          <w:sz w:val="28"/>
          <w:szCs w:val="28"/>
          <w:rtl/>
        </w:rPr>
        <w:t xml:space="preserve">۳۶. قم؛ مرعشی؛ شماره نسخه: ۴۳۶۱/۴</w:t>
      </w:r>
    </w:p>
    <w:p>
      <w:pPr>
        <w:pStyle w:val="BookText"/>
      </w:pPr>
      <w:r>
        <w:rPr>
          <w:rFonts w:ascii="IRNazanin" w:hAnsi="IRNazanin" w:eastAsia="IRNazanin" w:cs="IRNazanin"/>
          <w:lang w:bidi="fa-IR"/>
          <w:color w:val="111111"/>
          <w:sz w:val="28"/>
          <w:szCs w:val="28"/>
          <w:rtl/>
        </w:rPr>
        <w:t xml:space="preserve">خط: نستعلیق، بی کا، بی تا؛ جلد: تیماج قرمز بدون مقوا، ۲۳گ (۷۹پ-۱۰۱ر)،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سم [ف: ۱۱-۳۵۹]</w:t>
      </w:r>
    </w:p>
    <w:p>
      <w:pPr>
        <w:pStyle w:val="Heading3"/>
      </w:pPr>
      <w:bookmarkStart w:id="943" w:name="_Toc203"/>
      <w:r>
        <w:t>• البلد الامین و الدرع الحصين / دعا / عربی</w:t>
      </w:r>
      <w:bookmarkEnd w:id="943"/>
    </w:p>
    <w:p>
      <w:pPr>
        <w:pStyle w:val="BookText"/>
      </w:pPr>
      <w:r>
        <w:rPr>
          <w:rFonts w:ascii="Times New Roman" w:hAnsi="Times New Roman" w:eastAsia="Times New Roman" w:cs="Times New Roman"/>
          <w:lang w:val="en-US" w:bidi="en-US"/>
          <w:color w:val="111111"/>
          <w:sz w:val="28"/>
          <w:szCs w:val="28"/>
          <w:rtl/>
        </w:rPr>
        <w:t xml:space="preserve">al-balad-ul amīn wa-d dar“-ul ḥaşīn</w:t>
      </w:r>
    </w:p>
    <w:p>
      <w:pPr>
        <w:pStyle w:val="BookText"/>
      </w:pPr>
      <w:r>
        <w:rPr>
          <w:rFonts w:ascii="IRNazanin" w:hAnsi="IRNazanin" w:eastAsia="IRNazanin" w:cs="IRNazanin"/>
          <w:lang w:bidi="fa-IR"/>
          <w:color w:val="111111"/>
          <w:sz w:val="28"/>
          <w:szCs w:val="28"/>
          <w:rtl/>
        </w:rPr>
        <w:t xml:space="preserve">کفعمی، ابراهیم بن على، ۸۴۰-۹۰۵ قمری</w:t>
      </w:r>
    </w:p>
    <w:p>
      <w:pPr>
        <w:pStyle w:val="BookText"/>
      </w:pPr>
      <w:r>
        <w:rPr>
          <w:rFonts w:ascii="Times New Roman" w:hAnsi="Times New Roman" w:eastAsia="Times New Roman" w:cs="Times New Roman"/>
          <w:lang w:val="en-US" w:bidi="en-US"/>
          <w:color w:val="111111"/>
          <w:sz w:val="28"/>
          <w:szCs w:val="28"/>
          <w:rtl/>
        </w:rPr>
        <w:t xml:space="preserve">kaf* amī, ebrāhīm ebn-e ‘alī (1437-1500)</w:t>
      </w:r>
    </w:p>
    <w:p>
      <w:pPr>
        <w:pStyle w:val="BookText"/>
      </w:pPr>
      <w:r>
        <w:rPr>
          <w:rFonts w:ascii="IRNazanin" w:hAnsi="IRNazanin" w:eastAsia="IRNazanin" w:cs="IRNazanin"/>
          <w:lang w:bidi="fa-IR"/>
          <w:color w:val="111111"/>
          <w:sz w:val="28"/>
          <w:szCs w:val="28"/>
          <w:rtl/>
        </w:rPr>
        <w:t xml:space="preserve">تاریخ تأليف: ۲۰ شوال ۸۶۸ق</w:t>
      </w:r>
    </w:p>
    <w:p>
      <w:pPr>
        <w:pStyle w:val="BookText"/>
      </w:pPr>
      <w:r>
        <w:rPr>
          <w:rFonts w:ascii="IRNazanin" w:hAnsi="IRNazanin" w:eastAsia="IRNazanin" w:cs="IRNazanin"/>
          <w:lang w:bidi="fa-IR"/>
          <w:color w:val="111111"/>
          <w:sz w:val="28"/>
          <w:szCs w:val="28"/>
          <w:rtl/>
        </w:rPr>
        <w:t xml:space="preserve">از منابع شیعی شامل ادعیه و اعمال و اوراد و اذکار و حرزها و تعويذها و استخاره ها و استغاثه ها و زیارت ها و دعاهای سال و ماه و هفته و ساعات روز است. او چند تأليف در این موضوع دارد و این کتاب را پیش از کتاب معروف خود به نام «الجنة الواقية» معروف به مصباح نگاشته و از آن نیز بزرگ تر و مبسوط تر است چون همه آنچه در مصباح آمده را شامل می شود با زیاداتی از جمله دعاهای صحیفه سجادیه و شرحی که بر آن نوشته و شرح اسماء الحسنی و محاسبة النفس و غیر اینها از دعاهای مبسوط. مؤلف در تألیف این کتاب از ۲۵۸ کتاب استفاده و نقل مطلب نموده اسامی آنها را پس از صحیفه سجادیه» ذکر نموده است.</w:t>
      </w:r>
    </w:p>
    <w:p>
      <w:pPr>
        <w:pStyle w:val="BookText"/>
      </w:pPr>
      <w:r>
        <w:rPr>
          <w:rFonts w:ascii="IRNazanin" w:hAnsi="IRNazanin" w:eastAsia="IRNazanin" w:cs="IRNazanin"/>
          <w:lang w:bidi="fa-IR"/>
          <w:color w:val="111111"/>
          <w:sz w:val="28"/>
          <w:szCs w:val="28"/>
          <w:rtl/>
        </w:rPr>
        <w:t xml:space="preserve">آغاز: بسمله، اللهم وفق لاكماله بمحمد و کرام آله من استعان بغير الله ذل الحمدلله الذي جعل الدعاء سلما نرتقي به اعلى المراتب و وسيلة إلى اقتناء غرر المحامد .. و بعد فهذا كتاب محتو على عوذ و دعوات و تسابيح و زیارات انجام: من واظب على قرائته بنية عقد اللسان انعقدت عنه جميع الألسن فلايتكلم في حقة الا بخير و الحمدلله رب العالمين.</w:t>
      </w:r>
    </w:p>
    <w:p>
      <w:pPr>
        <w:pStyle w:val="BookText"/>
      </w:pPr>
      <w:r>
        <w:rPr>
          <w:rFonts w:ascii="IRNazanin" w:hAnsi="IRNazanin" w:eastAsia="IRNazanin" w:cs="IRNazanin"/>
          <w:lang w:bidi="fa-IR"/>
          <w:color w:val="111111"/>
          <w:sz w:val="28"/>
          <w:szCs w:val="28"/>
          <w:rtl/>
        </w:rPr>
        <w:t xml:space="preserve">چاپ: تهران، ۱۳۸۳ق، سنگی؛ البلد الأمين، چاپ تهران، نشر مکتبة الصدوق</w:t>
      </w:r>
    </w:p>
    <w:p>
      <w:pPr>
        <w:pStyle w:val="BookText"/>
      </w:pPr>
      <w:r>
        <w:rPr>
          <w:rFonts w:ascii="IRNazanin" w:hAnsi="IRNazanin" w:eastAsia="IRNazanin" w:cs="IRNazanin"/>
          <w:lang w:bidi="fa-IR"/>
          <w:color w:val="111111"/>
          <w:sz w:val="28"/>
          <w:szCs w:val="28"/>
          <w:rtl/>
        </w:rPr>
        <w:t xml:space="preserve">[الذريعة ۱۴۳/۳ ؛ ریحانة الادب: ۶۹/۵ ؛ مشار ۱۳۱]</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١- البلد الامین (ترجمه)؛ کربلائی، داود بن محمد (-۱۲)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 بلد الامین (ترجمه)</w:t>
      </w:r>
    </w:p>
    <w:p>
      <w:pPr>
        <w:pStyle w:val="BookText"/>
      </w:pPr>
      <w:r>
        <w:rPr>
          <w:rFonts w:ascii="IRNazanin" w:hAnsi="IRNazanin" w:eastAsia="IRNazanin" w:cs="IRNazanin"/>
          <w:lang w:bidi="fa-IR"/>
          <w:color w:val="111111"/>
          <w:sz w:val="28"/>
          <w:szCs w:val="28"/>
          <w:rtl/>
        </w:rPr>
        <w:t xml:space="preserve">۱. تهران: مفتاح؛ شماره نسخه: ۱۳۴۳</w:t>
      </w:r>
    </w:p>
    <w:p>
      <w:pPr>
        <w:pStyle w:val="BookText"/>
      </w:pPr>
      <w:r>
        <w:rPr>
          <w:rFonts w:ascii="IRNazanin" w:hAnsi="IRNazanin" w:eastAsia="IRNazanin" w:cs="IRNazanin"/>
          <w:lang w:bidi="fa-IR"/>
          <w:color w:val="111111"/>
          <w:sz w:val="28"/>
          <w:szCs w:val="28"/>
          <w:rtl/>
        </w:rPr>
        <w:t xml:space="preserve">خط: نسخ، بی کا، تا: قرن ۱۰؛ مجدول، با سرلوح و حاشیه سازی و طلا کاری و سه پیشانی؛ فرهاد میرزا آن را در ۱۲۹۳ به فرزندش عبدالعلی میرزا داده؛ مهر: «بنده شاه ولایت عباس»؛ جلد: قلمدانی العابی زمینه مشکی با گل و بوته زرین درون سرخ زرکوب، قطع: اربعی [نشریه: ۷-۱۰۸]</w:t>
      </w:r>
    </w:p>
    <w:p>
      <w:pPr>
        <w:pStyle w:val="BookText"/>
      </w:pPr>
      <w:r>
        <w:rPr>
          <w:rFonts w:ascii="IRNazanin" w:hAnsi="IRNazanin" w:eastAsia="IRNazanin" w:cs="IRNazanin"/>
          <w:lang w:bidi="fa-IR"/>
          <w:color w:val="111111"/>
          <w:sz w:val="28"/>
          <w:szCs w:val="28"/>
          <w:rtl/>
        </w:rPr>
        <w:t xml:space="preserve">۲. تهران: مفتاح، شماره نسخه: ۱۳۴۲</w:t>
      </w:r>
    </w:p>
    <w:p>
      <w:pPr>
        <w:pStyle w:val="BookText"/>
      </w:pPr>
      <w:r>
        <w:rPr>
          <w:rFonts w:ascii="IRNazanin" w:hAnsi="IRNazanin" w:eastAsia="IRNazanin" w:cs="IRNazanin"/>
          <w:lang w:bidi="fa-IR"/>
          <w:color w:val="111111"/>
          <w:sz w:val="28"/>
          <w:szCs w:val="28"/>
          <w:rtl/>
        </w:rPr>
        <w:t xml:space="preserve">خط: نسخ، بی کا، تا: قرن ۱۰ و ۱۱؛ مجدول زر و لاجورد، با سرلوح و طلاکاری، دو پیشانی و یک سرلوح دیگر در آغاز محاسبة  النفس؛ جلد: سوخته زرکوب رحلی کوچک [ نشریه: ۷-۱۰۸]</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مفتاح؛ شماره نسخه: ۱۱۸</w:t>
      </w:r>
    </w:p>
    <w:p>
      <w:pPr>
        <w:pStyle w:val="BookText"/>
      </w:pPr>
      <w:r>
        <w:rPr>
          <w:rFonts w:ascii="IRNazanin" w:hAnsi="IRNazanin" w:eastAsia="IRNazanin" w:cs="IRNazanin"/>
          <w:lang w:bidi="fa-IR"/>
          <w:color w:val="111111"/>
          <w:sz w:val="28"/>
          <w:szCs w:val="28"/>
          <w:rtl/>
        </w:rPr>
        <w:t xml:space="preserve">خط: نسخ، بی کا، تا: قرن ۱۱؛ با سرلوح و حاشیه سازی، محشی با نشان «منه ره»؛ جلد: تیماج ضربی زرکوب ترنجی، قطع: وزیری [نشریه: ۷-۱۰۸]</w:t>
      </w:r>
    </w:p>
    <w:p>
      <w:pPr>
        <w:pStyle w:val="BookText"/>
      </w:pPr>
      <w:r>
        <w:rPr>
          <w:rFonts w:ascii="IRNazanin" w:hAnsi="IRNazanin" w:eastAsia="IRNazanin" w:cs="IRNazanin"/>
          <w:lang w:bidi="fa-IR"/>
          <w:color w:val="111111"/>
          <w:sz w:val="28"/>
          <w:szCs w:val="28"/>
          <w:rtl/>
        </w:rPr>
        <w:t xml:space="preserve">۴. مشهد؛ گوهرشاد؛ شماره نسخه: ۱۳۵۶</w:t>
      </w:r>
    </w:p>
    <w:p>
      <w:pPr>
        <w:pStyle w:val="BookText"/>
      </w:pPr>
      <w:r>
        <w:rPr>
          <w:rFonts w:ascii="IRNazanin" w:hAnsi="IRNazanin" w:eastAsia="IRNazanin" w:cs="IRNazanin"/>
          <w:lang w:bidi="fa-IR"/>
          <w:color w:val="111111"/>
          <w:sz w:val="28"/>
          <w:szCs w:val="28"/>
          <w:rtl/>
        </w:rPr>
        <w:t xml:space="preserve">آغاز: برابر، انجام: قوله ان رحمت الله قريب من المحسنين و صلی الله على سيدنا محمد و آله و صحبه و سلم.</w:t>
      </w:r>
    </w:p>
    <w:p>
      <w:pPr>
        <w:pStyle w:val="BookText"/>
      </w:pPr>
      <w:r>
        <w:rPr>
          <w:rFonts w:ascii="IRNazanin" w:hAnsi="IRNazanin" w:eastAsia="IRNazanin" w:cs="IRNazanin"/>
          <w:lang w:bidi="fa-IR"/>
          <w:color w:val="111111"/>
          <w:sz w:val="28"/>
          <w:szCs w:val="28"/>
          <w:rtl/>
        </w:rPr>
        <w:t xml:space="preserve">خط: نسخ زیبا، بی کا، تا: قرن ۱۱؛ دارای یک سرلوح، مجدول کمند صفحات زرین و مشکی، معلق به حواشی</w:t>
      </w:r>
    </w:p>
    <w:p>
      <w:pPr>
        <w:pStyle w:val="BookText"/>
      </w:pPr>
      <w:r>
        <w:rPr>
          <w:rFonts w:ascii="IRNazanin" w:hAnsi="IRNazanin" w:eastAsia="IRNazanin" w:cs="IRNazanin"/>
          <w:lang w:bidi="fa-IR"/>
          <w:color w:val="111111"/>
          <w:sz w:val="28"/>
          <w:szCs w:val="28"/>
          <w:rtl/>
        </w:rPr>
        <w:t xml:space="preserve">«ابن باقر رحمه الله -جوهری، مهج و ...» به کاغذ: ترمه، جلد: تیماج مشکی، ۲۱ سطر ( ۱۵/۵۶۸ )،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۴-۱۹۴۹]</w:t>
      </w:r>
    </w:p>
    <w:p>
      <w:pPr>
        <w:pStyle w:val="BookText"/>
      </w:pPr>
      <w:r>
        <w:rPr>
          <w:rFonts w:ascii="IRNazanin" w:hAnsi="IRNazanin" w:eastAsia="IRNazanin" w:cs="IRNazanin"/>
          <w:lang w:bidi="fa-IR"/>
          <w:color w:val="111111"/>
          <w:sz w:val="28"/>
          <w:szCs w:val="28"/>
          <w:rtl/>
        </w:rPr>
        <w:t xml:space="preserve">۵. تهران؛ مجلس؛ شماره نسخه: ۴۴۷۸/۱</w:t>
      </w:r>
    </w:p>
    <w:p>
      <w:pPr>
        <w:pStyle w:val="BookText"/>
      </w:pPr>
      <w:r>
        <w:rPr>
          <w:rFonts w:ascii="IRNazanin" w:hAnsi="IRNazanin" w:eastAsia="IRNazanin" w:cs="IRNazanin"/>
          <w:lang w:bidi="fa-IR"/>
          <w:color w:val="111111"/>
          <w:sz w:val="28"/>
          <w:szCs w:val="28"/>
          <w:rtl/>
        </w:rPr>
        <w:t xml:space="preserve">آغاز: برابر؛ انجام: و قل: الحمد لله الذي لم يتخذ و لدا و لم يكن له شريک في الملك و لم يكن له ولی من الذل و يكبره تكبيرا. ثم التهليل و الحمد لله. خط: نسخ، كا: بهاء الدين محمد، تا: قرن ۱۱؛ دارای یک سرلوح، مجدول، محشی به علامت «منه»؛ کاغذ: اصفهانی، جلد: تیماج ضربی تریاکی با ترنج و اطراف</w:t>
      </w:r>
    </w:p>
    <w:p>
      <w:pPr>
        <w:pStyle w:val="BookText"/>
      </w:pPr>
      <w:r>
        <w:rPr>
          <w:rFonts w:ascii="IRNazanin" w:hAnsi="IRNazanin" w:eastAsia="IRNazanin" w:cs="IRNazanin"/>
          <w:lang w:bidi="fa-IR"/>
          <w:color w:val="111111"/>
          <w:sz w:val="28"/>
          <w:szCs w:val="28"/>
          <w:rtl/>
        </w:rPr>
        <w:t xml:space="preserve">گل و بوته بزر، ۳۷۷گ (1 -۱۳۷۷)، ۱۹ سطر (۱۹۷۸)، اندازه: ۱۶/۵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۲۸/۵ سم [ف: ۱۲-۱۵۶]</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ملی؛ شماره نسخه: ۳۰۲۸/۱</w:t>
      </w:r>
    </w:p>
    <w:p>
      <w:pPr>
        <w:pStyle w:val="BookText"/>
      </w:pPr>
      <w:r>
        <w:rPr>
          <w:rFonts w:ascii="IRNazanin" w:hAnsi="IRNazanin" w:eastAsia="IRNazanin" w:cs="IRNazanin"/>
          <w:lang w:bidi="fa-IR"/>
          <w:color w:val="111111"/>
          <w:sz w:val="28"/>
          <w:szCs w:val="28"/>
          <w:rtl/>
        </w:rPr>
        <w:t xml:space="preserve">خط: نسخ جلی، بی کا، تا: قرن ۱۱، کاغذ: دولت آبادی شکری، جلد: تیماج مشکی مقوایی سوخت مذهب ترنج و نیم ترنج و لچک گل و بوته دار با زمینه طلایی مجدول به زر، ۴۱۸گی (۵پ - ۴۲۲)، ۲۰ سطر (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۱۴-۱۴۰]</w:t>
      </w:r>
    </w:p>
    <w:p>
      <w:pPr>
        <w:pStyle w:val="BookText"/>
      </w:pPr>
      <w:r>
        <w:rPr>
          <w:rFonts w:ascii="IRNazanin" w:hAnsi="IRNazanin" w:eastAsia="IRNazanin" w:cs="IRNazanin"/>
          <w:lang w:bidi="fa-IR"/>
          <w:color w:val="111111"/>
          <w:sz w:val="28"/>
          <w:szCs w:val="28"/>
          <w:rtl/>
        </w:rPr>
        <w:t xml:space="preserve">۷. تهران؛ مجلس؛ شماره نسخه: ۱۲۳۶۳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معرب، كا: محمد اسماعیل شیرازی بن تاج الدين حسن، تا: ذیقعده ۱۰۱۰ق؛ مجدول مرصع مذهب محرر، با سرلوح مزدوج مرصع با نقش گل و بوته مرصع مذهب؛ تملك: میرزا ابراهیم خان سهام الملک به تاریخ ۱۲۸۶؛ جلد: تیماج، مشکی، مجدول، با نقوش مذهب، ۵۱۹گ، ۱۹ 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۳۵-۳۲۴]</w:t>
      </w:r>
    </w:p>
    <w:p>
      <w:pPr>
        <w:pStyle w:val="BookText"/>
      </w:pPr>
      <w:r>
        <w:rPr>
          <w:rFonts w:ascii="IRNazanin" w:hAnsi="IRNazanin" w:eastAsia="IRNazanin" w:cs="IRNazanin"/>
          <w:lang w:bidi="fa-IR"/>
          <w:color w:val="111111"/>
          <w:sz w:val="28"/>
          <w:szCs w:val="28"/>
          <w:rtl/>
        </w:rPr>
        <w:t xml:space="preserve">۸. قم؛ مرعشی؛ شماره نسخه: ۱۳۰۶۷</w:t>
      </w:r>
    </w:p>
    <w:p>
      <w:pPr>
        <w:pStyle w:val="BookText"/>
      </w:pPr>
      <w:r>
        <w:rPr>
          <w:rFonts w:ascii="Amiri" w:hAnsi="Amiri" w:eastAsia="Amiri" w:cs="Amiri"/>
          <w:lang w:bidi="ar-SA"/>
          <w:color w:val="111111"/>
          <w:sz w:val="28"/>
          <w:szCs w:val="28"/>
          <w:rtl/>
        </w:rPr>
        <w:t xml:space="preserve">آغاز: برابر؛ انجام: و لا تأمني و لا يأمن مكر الله الا القوم الخاسرون، و الحمد لله رب العالمين.</w:t>
      </w:r>
    </w:p>
    <w:p>
      <w:pPr>
        <w:pStyle w:val="BookText"/>
      </w:pPr>
      <w:r>
        <w:rPr>
          <w:rFonts w:ascii="IRNazanin" w:hAnsi="IRNazanin" w:eastAsia="IRNazanin" w:cs="IRNazanin"/>
          <w:lang w:bidi="fa-IR"/>
          <w:color w:val="111111"/>
          <w:sz w:val="28"/>
          <w:szCs w:val="28"/>
          <w:rtl/>
        </w:rPr>
        <w:t xml:space="preserve">خط: نسخ زیبا، كا: سرور بن عبدالله، تا: ربيع الاول ۱۰۳۸ق؛ از روی نسخه اصل به خط مؤلف بدون واسطه کتابت شده، دارای سر لوح مرصع، مجدول، با کمند طلایی و قرمز، مصحح، محشی، دارای شمسه های نقره ای؛ مهر: «لا اله الا الله الملک الحق المبين عبده یحیی بن محمد» (مربع)، «محمد و العترة الطاهرة شفيع يحيی في الآخرة» (بیضی)، «ابن محمد شفیع يحیی» (بیضی)، «شريف محمد، شفيع محمد شفيع» (بیضی)؛ کاغذ: شرقی، جلد: تیماج قهوه ای ضربی عطف مشکی، ۵۰۱گ، ابعاد متن: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۲۷/۵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سم [ف: ۳۳-۱۲۶]</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مشهد؛ رضوی؛ شماره نسخه: ۷۴۷۲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صادق بن شیخ بهاء الدين، تا: سه شنبه ۲۴ محرم ۱۰۸۲ق؛ تاریخ تصحیح و مقابله: شنبه ۱۸ ربیع الاول همان سال، مجدول به تحریر و طلا و تحریر، صفحه اول دارای یک سرلوح؛ ۵۵۴گ، ۱۸ سطر،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۶-۲۱۶]</w:t>
      </w:r>
    </w:p>
    <w:p>
      <w:pPr>
        <w:pStyle w:val="BookText"/>
      </w:pPr>
      <w:r>
        <w:rPr>
          <w:rFonts w:ascii="IRNazanin" w:hAnsi="IRNazanin" w:eastAsia="IRNazanin" w:cs="IRNazanin"/>
          <w:lang w:bidi="fa-IR"/>
          <w:color w:val="111111"/>
          <w:sz w:val="28"/>
          <w:szCs w:val="28"/>
          <w:rtl/>
        </w:rPr>
        <w:t xml:space="preserve">۱۰. تهران؛ مجلس؛ شماره نسخه: ۱۲۴۱۴</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معرب، كا: محمد بن محمد امین طالقانی، تا: ۱۰۸۴ق؛ مجدول مذهب، با سرلوح مزدوج مرصع مذهب؛ به وسیله ابراهيم بن علی بن حسن بن محمد بن صالح مقابله و تصحیح شده؛ جلد: تیماج زیتونی ضربی شمسه مجدول، ۳۲۳گی، ۲۳ سطر،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سم [ف: ۳۵-۳۶۹]</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مشهد؛ رضوی؛ شماره نسخه: ۶۹۵۲</w:t>
      </w:r>
    </w:p>
    <w:p>
      <w:pPr>
        <w:pStyle w:val="BookText"/>
      </w:pPr>
      <w:r>
        <w:rPr>
          <w:rFonts w:ascii="Amiri" w:hAnsi="Amiri" w:eastAsia="Amiri" w:cs="Amiri"/>
          <w:lang w:bidi="ar-SA"/>
          <w:color w:val="111111"/>
          <w:sz w:val="28"/>
          <w:szCs w:val="28"/>
          <w:rtl/>
        </w:rPr>
        <w:t xml:space="preserve">آغاز: برابر؛ انجام: و آله الطيبين الطاهرين و حسبنا الله و نعم الوكيل.</w:t>
      </w:r>
    </w:p>
    <w:p>
      <w:pPr>
        <w:pStyle w:val="BookText"/>
      </w:pPr>
      <w:r>
        <w:rPr>
          <w:rFonts w:ascii="IRNazanin" w:hAnsi="IRNazanin" w:eastAsia="IRNazanin" w:cs="IRNazanin"/>
          <w:lang w:bidi="fa-IR"/>
          <w:color w:val="111111"/>
          <w:sz w:val="28"/>
          <w:szCs w:val="28"/>
          <w:rtl/>
        </w:rPr>
        <w:t xml:space="preserve">تا آخر رساله (مقام الأسنی) را دارد؛ خط: نسخ، كا: حسن بن احمد بن على، تا: اواسط رجب ۱۰۹۰ق، جا: مدرسه نظامیه شیراز؛ مصحح، مقابله شده با تاریخ ختم مقابله ۱۰۹۰، محشی، دارای یک سرلوح کوچک، صفحه اول و دوم مجدول به طلا و تحریر؛ واقف: ملكزاده کوثر؛ ۵۴۰گ، 19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۲۱۷-۶ ]</w:t>
      </w:r>
    </w:p>
    <w:p>
      <w:pPr>
        <w:pStyle w:val="BookText"/>
      </w:pPr>
      <w:r>
        <w:rPr>
          <w:rFonts w:ascii="IRNazanin" w:hAnsi="IRNazanin" w:eastAsia="IRNazanin" w:cs="IRNazanin"/>
          <w:lang w:bidi="fa-IR"/>
          <w:color w:val="111111"/>
          <w:sz w:val="28"/>
          <w:szCs w:val="28"/>
          <w:rtl/>
        </w:rPr>
        <w:t xml:space="preserve">۱۲. قم؛ مرعشی؛ شماره نسخه: ۱۱۹۶۱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ممتاز، كا: محمد مسیح فرزند محمد حسین، شریفی فسوی، تا: دوشنبه ۱۹ رجب ۱۰۹۲ق؛ مصحح، محشی با نشان ۱۲۰»، نام کتاب به اشتباه در داخل سرلوح، مصباح کفعمی نوشته شده، نسخه بسیار نفیس و خوش خط و خوش تذهیب، دارای یک سرلوح، مجدول، مذهب، دارای کمند زرین؛ دارای یک تملک به سال ۱۲۰۵ق؛ کاغذ: فرنگی آهار مهره، جلد: تیماج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قهوه ای، ضربی با ترنج و سرترنج گل و بوته زمینه طلایی عطف و مغزی تیماج قهوه ای روشن، ۵۷۵گ، ۱۷ سطر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۳۰-۲۵۹]</w:t>
      </w:r>
    </w:p>
    <w:p>
      <w:pPr>
        <w:pStyle w:val="BookText"/>
      </w:pPr>
      <w:r>
        <w:rPr>
          <w:rFonts w:ascii="IRNazanin" w:hAnsi="IRNazanin" w:eastAsia="IRNazanin" w:cs="IRNazanin"/>
          <w:lang w:bidi="fa-IR"/>
          <w:color w:val="111111"/>
          <w:sz w:val="28"/>
          <w:szCs w:val="28"/>
          <w:rtl/>
        </w:rPr>
        <w:t xml:space="preserve">۱۳. تهران؛ مجلس؛ شماره نسخه: ۳۱ خوئی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 شرف الدين كاتب جهرمی پسر شیخ محمد ابراهیم معلم، تا: ۱۰۹۸ق؛ تملک: ملک فرهاد میرزا؛ دارای کتبیه مذهبی، مجدول، مذهب؛ کاغذ: بخارائی، جلد: ساغری سبز داری ترنج و گوشه و لچکی کنده و گل و بوته کاری شده با طلا، ۸۹۸ص، ۲۰ سطر، اندازه: 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۷-۲۸]</w:t>
      </w:r>
    </w:p>
    <w:p>
      <w:pPr>
        <w:pStyle w:val="BookText"/>
      </w:pPr>
      <w:r>
        <w:rPr>
          <w:rFonts w:ascii="IRNazanin" w:hAnsi="IRNazanin" w:eastAsia="IRNazanin" w:cs="IRNazanin"/>
          <w:lang w:bidi="fa-IR"/>
          <w:color w:val="111111"/>
          <w:sz w:val="28"/>
          <w:szCs w:val="28"/>
          <w:rtl/>
        </w:rPr>
        <w:t xml:space="preserve">۱۴. تهران؛ مجلس؛ شماره نسخه: ۱۴۸۳۴</w:t>
      </w:r>
    </w:p>
    <w:p>
      <w:pPr>
        <w:pStyle w:val="BookText"/>
      </w:pPr>
      <w:r>
        <w:rPr>
          <w:rFonts w:ascii="IRNazanin" w:hAnsi="IRNazanin" w:eastAsia="IRNazanin" w:cs="IRNazanin"/>
          <w:lang w:bidi="fa-IR"/>
          <w:color w:val="111111"/>
          <w:sz w:val="28"/>
          <w:szCs w:val="28"/>
          <w:rtl/>
        </w:rPr>
        <w:t xml:space="preserve">انجام: و باسمائك الذي اذا دعيت بها اجبت و اذا سئلت بها اعطيت خط: نسخ ممتاز، بی کا، تا: قرن ۱۲؛ افتادگی: انجام؛ مجدول، مصحح، محشي اكثر منقول از مؤلف؛ جلد: تیماج دو رویه، رو مشکی درون قهوه ای، ۳۳۱گی، ۱۸ سطر، اندازه: ۲۷/۸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 [ف: ۲۳۶-۴۱ ]</w:t>
      </w:r>
    </w:p>
    <w:p>
      <w:pPr>
        <w:pStyle w:val="BookText"/>
      </w:pPr>
      <w:r>
        <w:rPr>
          <w:rFonts w:ascii="IRNazanin" w:hAnsi="IRNazanin" w:eastAsia="IRNazanin" w:cs="IRNazanin"/>
          <w:lang w:bidi="fa-IR"/>
          <w:color w:val="111111"/>
          <w:sz w:val="28"/>
          <w:szCs w:val="28"/>
          <w:rtl/>
        </w:rPr>
        <w:t xml:space="preserve">۱۵. شیراز؛ علامه طباطبائی؛ شماره نسخه: ۱۵۸۱</w:t>
      </w:r>
    </w:p>
    <w:p>
      <w:pPr>
        <w:pStyle w:val="BookText"/>
      </w:pPr>
      <w:r>
        <w:rPr>
          <w:rFonts w:ascii="IRNazanin" w:hAnsi="IRNazanin" w:eastAsia="IRNazanin" w:cs="IRNazanin"/>
          <w:lang w:bidi="fa-IR"/>
          <w:color w:val="111111"/>
          <w:sz w:val="28"/>
          <w:szCs w:val="28"/>
          <w:rtl/>
        </w:rPr>
        <w:t xml:space="preserve">خط: نسخ، بی کا، تا قرن ۱۲؛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سم (نسخه پژوهی: ۲-۱۱۹]</w:t>
      </w:r>
    </w:p>
    <w:p>
      <w:pPr>
        <w:pStyle w:val="BookText"/>
      </w:pPr>
      <w:r>
        <w:rPr>
          <w:rFonts w:ascii="IRNazanin" w:hAnsi="IRNazanin" w:eastAsia="IRNazanin" w:cs="IRNazanin"/>
          <w:lang w:bidi="fa-IR"/>
          <w:color w:val="111111"/>
          <w:sz w:val="28"/>
          <w:szCs w:val="28"/>
          <w:rtl/>
        </w:rPr>
        <w:t xml:space="preserve">۱۶. یزد؛ وزیری؛ شماره نسخه: ۶۳۹</w:t>
      </w:r>
    </w:p>
    <w:p>
      <w:pPr>
        <w:pStyle w:val="BookText"/>
      </w:pPr>
      <w:r>
        <w:rPr>
          <w:rFonts w:ascii="IRNazanin" w:hAnsi="IRNazanin" w:eastAsia="IRNazanin" w:cs="IRNazanin"/>
          <w:lang w:bidi="fa-IR"/>
          <w:color w:val="111111"/>
          <w:sz w:val="28"/>
          <w:szCs w:val="28"/>
          <w:rtl/>
        </w:rPr>
        <w:t xml:space="preserve">آغاز: مشكورة و نوافلنا مبرورة وقلوبنا بذكرك معمورة و نفوسنا بطاعتك مسرورة؛ انجام: برابر خط: نسخ زیبا، بی کا، تا: اواخر قرن ۱۲؛ نشانه «بلغ المقابله»؛ کاغذ: حنایی اصفهانی، جلد: پارچه عطف چرم قرمز، ۳۹۹ گ، ۲۱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۲-۵۴۳]</w:t>
      </w:r>
    </w:p>
    <w:p>
      <w:pPr>
        <w:pStyle w:val="BookText"/>
      </w:pPr>
      <w:r>
        <w:rPr>
          <w:rFonts w:ascii="IRNazanin" w:hAnsi="IRNazanin" w:eastAsia="IRNazanin" w:cs="IRNazanin"/>
          <w:lang w:bidi="fa-IR"/>
          <w:color w:val="111111"/>
          <w:sz w:val="28"/>
          <w:szCs w:val="28"/>
          <w:rtl/>
        </w:rPr>
        <w:t xml:space="preserve">۱۷. تهران؛ مجلس؛ شماره نسخه: ۳۰ خوئی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صائم رازی، تا: ۱۱۰۲ق، به امر آخوند شرفا؛ محشي از مصنف با نشان «منه»؛ کاغذ: سمرقندی، جلد: تیماج ضربی قرمز برگردان دار، ۸۶۸ص، ۲۱ سطر، قطع: رحلی،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۷-۲۸]</w:t>
      </w:r>
    </w:p>
    <w:p>
      <w:pPr>
        <w:pStyle w:val="BookText"/>
      </w:pPr>
      <w:r>
        <w:rPr>
          <w:rFonts w:ascii="IRNazanin" w:hAnsi="IRNazanin" w:eastAsia="IRNazanin" w:cs="IRNazanin"/>
          <w:lang w:bidi="fa-IR"/>
          <w:color w:val="111111"/>
          <w:sz w:val="28"/>
          <w:szCs w:val="28"/>
          <w:rtl/>
        </w:rPr>
        <w:t xml:space="preserve">۱۸. تهران؛ مجلس؛ شماره نسخه:۱۲۴۷۵/۱</w:t>
      </w:r>
    </w:p>
    <w:p>
      <w:pPr>
        <w:pStyle w:val="BookText"/>
      </w:pPr>
      <w:r>
        <w:rPr>
          <w:rFonts w:ascii="IRNazanin" w:hAnsi="IRNazanin" w:eastAsia="IRNazanin" w:cs="IRNazanin"/>
          <w:lang w:bidi="fa-IR"/>
          <w:color w:val="111111"/>
          <w:sz w:val="28"/>
          <w:szCs w:val="28"/>
          <w:rtl/>
        </w:rPr>
        <w:t xml:space="preserve">خط: نسخ، بی کا، تا: چهارشنبه ۳ محرم ۱۱۰۳ق؛ مجدول مرصع محرر؛ جلد: روغنی دورو، با نقش گل و بوته مرصع مذهبی سوخت، ترنج با سر با نقش گل و بوته، مجدول، لچکی، ۴۱۹ص (۴۱۹-۱ )، ۱۹ سطر، اندازه: ۱۱/۵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۱۹/۵ سم [ف: ۳۵-۴۳۰]</w:t>
      </w:r>
    </w:p>
    <w:p>
      <w:pPr>
        <w:pStyle w:val="BookText"/>
      </w:pPr>
      <w:r>
        <w:rPr>
          <w:rFonts w:ascii="IRNazanin" w:hAnsi="IRNazanin" w:eastAsia="IRNazanin" w:cs="IRNazanin"/>
          <w:lang w:bidi="fa-IR"/>
          <w:color w:val="111111"/>
          <w:sz w:val="28"/>
          <w:szCs w:val="28"/>
          <w:rtl/>
        </w:rPr>
        <w:t xml:space="preserve">۱۹. قم؛ گلپایگانی؛ شماره نسخه: ۶۸۳۴- ۳۵/۱۴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معرب، كا: شیخ حسین، تا: ۱۱۰۳ق؛ مجدول محرر مذهب، دارای سرلوح مزدوج مذهب و مرصع، محشی با حواشی منه رها»؛ جلد: روغنی دورو مجدول مذهب با نقش گل وبوته</w:t>
      </w:r>
    </w:p>
    <w:p>
      <w:pPr>
        <w:pStyle w:val="BookText"/>
      </w:pPr>
      <w:r>
        <w:rPr>
          <w:rFonts w:ascii="IRNazanin" w:hAnsi="IRNazanin" w:eastAsia="IRNazanin" w:cs="IRNazanin"/>
          <w:lang w:bidi="fa-IR"/>
          <w:color w:val="111111"/>
          <w:sz w:val="28"/>
          <w:szCs w:val="28"/>
          <w:rtl/>
        </w:rPr>
        <w:t xml:space="preserve">الوان و پرنده، ۴۲۵ گ، ۲۱ سطر،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۲-۶۲۹]</w:t>
      </w:r>
    </w:p>
    <w:p>
      <w:pPr>
        <w:pStyle w:val="BookText"/>
      </w:pPr>
      <w:r>
        <w:rPr>
          <w:rFonts w:ascii="IRNazanin" w:hAnsi="IRNazanin" w:eastAsia="IRNazanin" w:cs="IRNazanin"/>
          <w:lang w:bidi="fa-IR"/>
          <w:color w:val="111111"/>
          <w:sz w:val="28"/>
          <w:szCs w:val="28"/>
          <w:rtl/>
        </w:rPr>
        <w:t xml:space="preserve">۲۰. تهران؛ سلطنتی؛ شماره نسخه: ۱۱۶۵</w:t>
      </w:r>
    </w:p>
    <w:p>
      <w:pPr>
        <w:pStyle w:val="BookText"/>
      </w:pPr>
      <w:r>
        <w:rPr>
          <w:rFonts w:ascii="IRNazanin" w:hAnsi="IRNazanin" w:eastAsia="IRNazanin" w:cs="IRNazanin"/>
          <w:lang w:bidi="fa-IR"/>
          <w:color w:val="111111"/>
          <w:sz w:val="28"/>
          <w:szCs w:val="28"/>
          <w:rtl/>
        </w:rPr>
        <w:t xml:space="preserve">آغاز: برابر؛ انجام: والحمدلله رب العالمين وصلى الله على محمد رسوله خاتم النبین و سید المرسلين و على آله النبين و عترته الطاهرين وسلم تسلما كثيرا</w:t>
      </w:r>
    </w:p>
    <w:p>
      <w:pPr>
        <w:pStyle w:val="BookText"/>
      </w:pPr>
      <w:r>
        <w:rPr>
          <w:rFonts w:ascii="IRNazanin" w:hAnsi="IRNazanin" w:eastAsia="IRNazanin" w:cs="IRNazanin"/>
          <w:lang w:bidi="fa-IR"/>
          <w:color w:val="111111"/>
          <w:sz w:val="28"/>
          <w:szCs w:val="28"/>
          <w:rtl/>
        </w:rPr>
        <w:t xml:space="preserve">خط: نسخ متوسط خفي، كا: اشرف بن معین الدین، تا: ذیقعده ۱۱۰۸ق، مجدول، یک سرلوح مذهب مرصع به طرح گنبد؛ مهر: علی اکبر بن حسین الحسینی؛ کاغذ: اصفهانی، جلد: مقوای روکش تیماج مشکی، ۸۲۲ص، ۲۱ و ۲۳ سطر، قطع: وزیری،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سم [ف: ۱-۸۵)</w:t>
      </w:r>
    </w:p>
    <w:p>
      <w:pPr>
        <w:pStyle w:val="BookText"/>
      </w:pPr>
      <w:r>
        <w:rPr>
          <w:rFonts w:ascii="IRNazanin" w:hAnsi="IRNazanin" w:eastAsia="IRNazanin" w:cs="IRNazanin"/>
          <w:lang w:bidi="fa-IR"/>
          <w:color w:val="111111"/>
          <w:sz w:val="28"/>
          <w:szCs w:val="28"/>
          <w:rtl/>
        </w:rPr>
        <w:t xml:space="preserve">۲۱. تهران، دانشگاه؛ شماره نسخه: ۱۰۶۶۷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خط: نسخ معرب، بی کا، تا: ۱۱۲۳ق، انجامه: «تم الكتاب بعون الملک الوهاب ۱۱۲۰»، مصحح، محشی با نشان «منه رحمه الله»، در ابتدای نسخه آن را مصباح کفعمی از شیخ طوسی دانسته اند؛ تملک: نعمت الله احقاقی در ۱۳۴۸ق، یادداشت کتابخانه محمد کریم اشراق جهرم ۱۳۵۵؛ مهر: «رحمت الله» (بیضوی) و مهر: «لا اله الا الله ... العالمين» (بیضوی)، «شهربانو ۱۱۴۷» (بیضوی)؛ جلد: تیماج زیتونی، درون کاغذ ابر و باد، ۳۴۸گ، ۲۱ سطر (۱۰/۵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۲۰/۵ )، اندازه: ۱۸/۵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۲۹/۵ سم [ف: ۲۰-۱۵۸]</w:t>
      </w:r>
    </w:p>
    <w:p>
      <w:pPr>
        <w:pStyle w:val="BookText"/>
      </w:pPr>
      <w:r>
        <w:rPr>
          <w:rFonts w:ascii="IRNazanin" w:hAnsi="IRNazanin" w:eastAsia="IRNazanin" w:cs="IRNazanin"/>
          <w:lang w:bidi="fa-IR"/>
          <w:color w:val="111111"/>
          <w:sz w:val="28"/>
          <w:szCs w:val="28"/>
          <w:rtl/>
        </w:rPr>
        <w:t xml:space="preserve">۲۲. مشهد، شیخ علی حیدر؛ شماره نسخه: ۸۰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شاه محمود الحسینی، تا: سلخ جمادی الثانی ۱۱۲۵ق؛ دارای سرلوح مذهب؛ تملك: الحاج محمد معصوم؛ جلد: چرم مشکی طلاکاری شده و دارای نقش، ۴۵۰ گ، ۲۱سطر، اندازه: ۱۸/۵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۲۹/۵ سم (مؤید: ۳-۶۴۱]</w:t>
      </w:r>
    </w:p>
    <w:p>
      <w:pPr>
        <w:pStyle w:val="BookText"/>
      </w:pPr>
      <w:r>
        <w:rPr>
          <w:rFonts w:ascii="IRNazanin" w:hAnsi="IRNazanin" w:eastAsia="IRNazanin" w:cs="IRNazanin"/>
          <w:lang w:bidi="fa-IR"/>
          <w:color w:val="111111"/>
          <w:sz w:val="28"/>
          <w:szCs w:val="28"/>
          <w:rtl/>
        </w:rPr>
        <w:t xml:space="preserve">۲۳. مشهد؛ رضوی؛ شماره نسخه: ۷۴۷۳</w:t>
      </w:r>
    </w:p>
    <w:p>
      <w:pPr>
        <w:pStyle w:val="BookText"/>
      </w:pPr>
      <w:r>
        <w:rPr>
          <w:rFonts w:ascii="IRNazanin" w:hAnsi="IRNazanin" w:eastAsia="IRNazanin" w:cs="IRNazanin"/>
          <w:lang w:bidi="fa-IR"/>
          <w:color w:val="111111"/>
          <w:sz w:val="28"/>
          <w:szCs w:val="28"/>
          <w:rtl/>
        </w:rPr>
        <w:t xml:space="preserve">آغاز: برابر؛ انجام: و اله اجمعين خط: نسخ، كان على بن كرم الله شهير باسکندری، تا: سه شنبه شعبان ۱۱۲۶ق؛ این نسخه (فوائد الشريفة) و هم حواشی تعلیقی مؤلف را ندارد، نسخه را رمضان بن ابوالحسن در اواخر محرم ۱۲۱۷ تصحیح و مقابله کرده، دارای یک سرلوح، مجدول بتحرير و طلا و تحریر و طلا لاجورد؛ ۴۲۶گ، ۲۱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۶-۲۱۷]</w:t>
      </w:r>
    </w:p>
    <w:p>
      <w:pPr>
        <w:pStyle w:val="BookText"/>
      </w:pPr>
      <w:r>
        <w:rPr>
          <w:rFonts w:ascii="IRNazanin" w:hAnsi="IRNazanin" w:eastAsia="IRNazanin" w:cs="IRNazanin"/>
          <w:lang w:bidi="fa-IR"/>
          <w:color w:val="111111"/>
          <w:sz w:val="28"/>
          <w:szCs w:val="28"/>
          <w:rtl/>
        </w:rPr>
        <w:t xml:space="preserve">۲۴. تهران؛ دائرة المعارف؛ شماره نسخه: ۱۶۴۴- عکسی</w:t>
      </w:r>
    </w:p>
    <w:p>
      <w:pPr>
        <w:pStyle w:val="BookText"/>
      </w:pPr>
      <w:r>
        <w:rPr>
          <w:rFonts w:ascii="IRNazanin" w:hAnsi="IRNazanin" w:eastAsia="IRNazanin" w:cs="IRNazanin"/>
          <w:lang w:bidi="fa-IR"/>
          <w:color w:val="111111"/>
          <w:sz w:val="28"/>
          <w:szCs w:val="28"/>
          <w:rtl/>
        </w:rPr>
        <w:t xml:space="preserve">آغاز: برابر؛ انجام: و هي كزجاجة المصباح عند الاستبصاح و ذلك لعشرين بقين من شهر شوال ختم بالخير و الافاضل. خط: نسخ خوش معرب، بی کا، بی تا؛ با تاریخ «قد طالعته ۱۱۸۲» (پایان)؛ با سرلوح بسیار زیبا، جدولبندی ۵ راه، کمند ۲ راه؛ وقفنامه کتاب با نشان مهر چهار گوش ۱۲۴۳؛ ۷۴۷ص، ۲۳ سطر(۲۰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[عکسی ف: ۱-۵۳]</w:t>
      </w:r>
    </w:p>
    <w:p>
      <w:pPr>
        <w:pStyle w:val="BookText"/>
      </w:pPr>
      <w:r>
        <w:rPr>
          <w:rFonts w:ascii="IRNazanin" w:hAnsi="IRNazanin" w:eastAsia="IRNazanin" w:cs="IRNazanin"/>
          <w:lang w:bidi="fa-IR"/>
          <w:color w:val="111111"/>
          <w:sz w:val="28"/>
          <w:szCs w:val="28"/>
          <w:rtl/>
        </w:rPr>
        <w:t xml:space="preserve">۲۵. تهران؛ مروی؛ شماره نسخه: ۶۰۰</w:t>
      </w:r>
    </w:p>
    <w:p>
      <w:pPr>
        <w:pStyle w:val="BookText"/>
      </w:pPr>
      <w:r>
        <w:rPr>
          <w:rFonts w:ascii="IRNazanin" w:hAnsi="IRNazanin" w:eastAsia="IRNazanin" w:cs="IRNazanin"/>
          <w:lang w:bidi="fa-IR"/>
          <w:color w:val="111111"/>
          <w:sz w:val="28"/>
          <w:szCs w:val="28"/>
          <w:rtl/>
        </w:rPr>
        <w:t xml:space="preserve">بی کا، بی تاب با سرلوح و جدول های زرین؛ در سال ۱۹۹۷ محمد محسن شیرازی مشهور به آقا بابا ابن ملاابو تراب تمام کتاب را به خواسته علی قلی خان مقابله و اعراب گذاری کرده؛ جلد: روغنی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2" w:name="pg20363_209231"/>
    <w:bookmarkEnd w:id="72"/>
    <w:p>
      <w:pPr>
        <w:pStyle w:val="BookText"/>
      </w:pPr>
      <w:r>
        <w:rPr>
          <w:rFonts w:ascii="IRNazanin" w:hAnsi="IRNazanin" w:eastAsia="IRNazanin" w:cs="IRNazanin"/>
          <w:lang w:bidi="fa-IR"/>
          <w:color w:val="111111"/>
          <w:sz w:val="28"/>
          <w:szCs w:val="28"/>
          <w:rtl/>
        </w:rPr>
        <w:t xml:space="preserve">نفیس [ف: ۷۸]</w:t>
      </w:r>
    </w:p>
    <w:p>
      <w:pPr>
        <w:pStyle w:val="BookText"/>
      </w:pPr>
      <w:r>
        <w:rPr>
          <w:rFonts w:ascii="IRNazanin" w:hAnsi="IRNazanin" w:eastAsia="IRNazanin" w:cs="IRNazanin"/>
          <w:lang w:bidi="fa-IR"/>
          <w:color w:val="111111"/>
          <w:sz w:val="28"/>
          <w:szCs w:val="28"/>
          <w:rtl/>
        </w:rPr>
        <w:t xml:space="preserve">۲۶. قم؛ مرعشی؛ شماره نسخه: ۱۳۰۰۵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زیبا، بی کا، تا: قرن ۱۳؛ دارای سر لوح بسیار زیبای مرصع از دوره زندیه، دارای کتیبه مذهب، مجدول به طلا و لاجورد، دارای کمند طلا و مشکی و رکابه، محشی با نشان «منه رحمه الله، محمد رضا»، ترقيمه: «على يد الفقير ... این حیدر، فتحعلی بروجردی»؛ کاغذ: شرقی آهار مهره، جلد: ساغری مشکی ضربی با ترنج، سر ترنج و لچک گل و بوته و کتبیه های گل و بوته قهوه ای و طلایی، ۴۹۲گ، ۲۱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۳۳-۱۸]</w:t>
      </w:r>
    </w:p>
    <w:p>
      <w:pPr>
        <w:pStyle w:val="BookText"/>
      </w:pPr>
      <w:r>
        <w:rPr>
          <w:rFonts w:ascii="IRNazanin" w:hAnsi="IRNazanin" w:eastAsia="IRNazanin" w:cs="IRNazanin"/>
          <w:lang w:bidi="fa-IR"/>
          <w:color w:val="111111"/>
          <w:sz w:val="28"/>
          <w:szCs w:val="28"/>
          <w:rtl/>
        </w:rPr>
        <w:t xml:space="preserve">۲۷. تهران؛ شهشهانی ، حسین؛ شماره نسخه: بدون شماره</w:t>
      </w:r>
    </w:p>
    <w:p>
      <w:pPr>
        <w:pStyle w:val="BookText"/>
      </w:pPr>
      <w:r>
        <w:rPr>
          <w:rFonts w:ascii="IRNazanin" w:hAnsi="IRNazanin" w:eastAsia="IRNazanin" w:cs="IRNazanin"/>
          <w:lang w:bidi="fa-IR"/>
          <w:color w:val="111111"/>
          <w:sz w:val="28"/>
          <w:szCs w:val="28"/>
          <w:rtl/>
        </w:rPr>
        <w:t xml:space="preserve">بی کا، تا: ۱۲۲۷ ق [میراث اسلامی: ۵-۶۰۴]</w:t>
      </w:r>
    </w:p>
    <w:p>
      <w:pPr>
        <w:pStyle w:val="BookText"/>
      </w:pPr>
      <w:r>
        <w:rPr>
          <w:rFonts w:ascii="IRNazanin" w:hAnsi="IRNazanin" w:eastAsia="IRNazanin" w:cs="IRNazanin"/>
          <w:lang w:bidi="fa-IR"/>
          <w:color w:val="111111"/>
          <w:sz w:val="28"/>
          <w:szCs w:val="28"/>
          <w:rtl/>
        </w:rPr>
        <w:t xml:space="preserve">۲۸. مشهد؛ شیخ علی حیدر؛ شماره نسخه: ۸۱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مبين بن محمد رضی فراهانی، بی تا؛ با سرلوح مذهب، مصحح، محشی، در برگ اول یادداشتی به خط محمد رضائی استر آبادی، مهر: «محمد على ۱۲۳۳) (مربع)؛ جلد: چرم سیاه نقشه دار، ۴۲۷گ، ۲۱ سطر،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(مؤید: ۳-۶۴۲]</w:t>
      </w:r>
    </w:p>
    <w:p>
      <w:pPr>
        <w:pStyle w:val="BookText"/>
      </w:pPr>
      <w:r>
        <w:rPr>
          <w:rFonts w:ascii="IRNazanin" w:hAnsi="IRNazanin" w:eastAsia="IRNazanin" w:cs="IRNazanin"/>
          <w:lang w:bidi="fa-IR"/>
          <w:color w:val="111111"/>
          <w:sz w:val="28"/>
          <w:szCs w:val="28"/>
          <w:rtl/>
        </w:rPr>
        <w:t xml:space="preserve">۲۹. تهران؛ سلطنتی؛ شماره نسخه: ۱۱۶۸</w:t>
      </w:r>
    </w:p>
    <w:p>
      <w:pPr>
        <w:pStyle w:val="BookText"/>
      </w:pPr>
      <w:r>
        <w:rPr>
          <w:rFonts w:ascii="Amiri" w:hAnsi="Amiri" w:eastAsia="Amiri" w:cs="Amiri"/>
          <w:lang w:bidi="ar-SA"/>
          <w:color w:val="111111"/>
          <w:sz w:val="28"/>
          <w:szCs w:val="28"/>
          <w:rtl/>
        </w:rPr>
        <w:t xml:space="preserve">آغاز: برابر؛ انجام: و لاحول ولا وقوة الا بالله العلى العظيم</w:t>
      </w:r>
    </w:p>
    <w:p>
      <w:pPr>
        <w:pStyle w:val="BookText"/>
      </w:pPr>
      <w:r>
        <w:rPr>
          <w:rFonts w:ascii="IRNazanin" w:hAnsi="IRNazanin" w:eastAsia="IRNazanin" w:cs="IRNazanin"/>
          <w:lang w:bidi="fa-IR"/>
          <w:color w:val="111111"/>
          <w:sz w:val="28"/>
          <w:szCs w:val="28"/>
          <w:rtl/>
        </w:rPr>
        <w:t xml:space="preserve">مجموعه ای است از رساله بلدالامین و الدرع الحصين، صحیفه كامله سجادیه، ذكر فهرست مدارک و کتب فقهی و دینی، رساله محاسبة النفس اللوامه و تنبيه الروح النوامه؛ شرح رساله ابي الفتوح شهاب الدين السهروردى المقتول بحلب رحمة الله المسمى بكتاب الدعوات الأسماء؛ خط: نسخ خوش، بی کا، بی تا؛ مجدول مذهب، یک سرلوح مذهب مرصع؛ مهر: حسین بن هدایت الله، محمد رضا الحسینی، ناصرالدین شاه کاغذ: ترمه، جلد: مقوای روکش تیماج مشکی ساده وسط ترنج و دو سرترنج و چهار لچکی ضربی جاسازی شده گل برجسته طلایی حاشیه مجدول دانه تسبیحی زرین، ۹۴۴ص، ۲۳ سطر، قطع: وزیری،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[ف: ۱-۸۷]</w:t>
      </w:r>
    </w:p>
    <w:p>
      <w:pPr>
        <w:pStyle w:val="BookText"/>
      </w:pPr>
      <w:r>
        <w:rPr>
          <w:rFonts w:ascii="IRNazanin" w:hAnsi="IRNazanin" w:eastAsia="IRNazanin" w:cs="IRNazanin"/>
          <w:lang w:bidi="fa-IR"/>
          <w:color w:val="111111"/>
          <w:sz w:val="28"/>
          <w:szCs w:val="28"/>
          <w:rtl/>
        </w:rPr>
        <w:t xml:space="preserve">۳۰. تهران؛ ملک؛ شماره نسخه: ۱۴۵</w:t>
      </w:r>
    </w:p>
    <w:p>
      <w:pPr>
        <w:pStyle w:val="BookText"/>
      </w:pPr>
      <w:r>
        <w:rPr>
          <w:rFonts w:ascii="IRNazanin" w:hAnsi="IRNazanin" w:eastAsia="IRNazanin" w:cs="IRNazanin"/>
          <w:lang w:bidi="fa-IR"/>
          <w:color w:val="111111"/>
          <w:sz w:val="28"/>
          <w:szCs w:val="28"/>
          <w:rtl/>
        </w:rPr>
        <w:t xml:space="preserve">خط: نسخ، بی کا، بی تا؛ محشی؛ کاغذ: ترمه سمرقندی، جلد: روغنی زمینه تریاکی، ۴۱۶گ، ۲۱ سطر، اندازه: ۲۶/۲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۱-۷۳]</w:t>
      </w:r>
    </w:p>
    <w:p>
      <w:pPr>
        <w:pStyle w:val="BookText"/>
      </w:pPr>
      <w:r>
        <w:rPr>
          <w:rFonts w:ascii="IRNazanin" w:hAnsi="IRNazanin" w:eastAsia="IRNazanin" w:cs="IRNazanin"/>
          <w:lang w:bidi="fa-IR"/>
          <w:color w:val="111111"/>
          <w:sz w:val="28"/>
          <w:szCs w:val="28"/>
          <w:rtl/>
        </w:rPr>
        <w:t xml:space="preserve">۳۱. تهران؛ ملک، شماره نسخه: ۱۶۵</w:t>
      </w:r>
    </w:p>
    <w:p>
      <w:pPr>
        <w:pStyle w:val="BookText"/>
      </w:pPr>
      <w:r>
        <w:rPr>
          <w:rFonts w:ascii="IRNazanin" w:hAnsi="IRNazanin" w:eastAsia="IRNazanin" w:cs="IRNazanin"/>
          <w:lang w:bidi="fa-IR"/>
          <w:color w:val="111111"/>
          <w:sz w:val="28"/>
          <w:szCs w:val="28"/>
          <w:rtl/>
        </w:rPr>
        <w:t xml:space="preserve">خط: نسخ، بی کا، بی تا؛ با سرلوح و دو جدولی؛ کاغذ: ترمه، جلد: ساغری ضربی رنگی درون تیماج سرخ، ۳۹۳گ، ۲۱ سطر، اندازه: ۱۶/۷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۲۸/۵ سم [ف: ۱-۷۳]</w:t>
      </w:r>
    </w:p>
    <w:p>
      <w:pPr>
        <w:pStyle w:val="BookText"/>
      </w:pPr>
      <w:r>
        <w:rPr>
          <w:rFonts w:ascii="IRNazanin" w:hAnsi="IRNazanin" w:eastAsia="IRNazanin" w:cs="IRNazanin"/>
          <w:lang w:bidi="fa-IR"/>
          <w:color w:val="111111"/>
          <w:sz w:val="28"/>
          <w:szCs w:val="28"/>
          <w:rtl/>
        </w:rPr>
        <w:t xml:space="preserve">۳۲. تهران؛ ملک؛ شماره نسخه: ۶۰۷۵/۳۵</w:t>
      </w:r>
    </w:p>
    <w:p>
      <w:pPr>
        <w:pStyle w:val="BookText"/>
      </w:pPr>
      <w:r>
        <w:rPr>
          <w:rFonts w:ascii="IRNazanin" w:hAnsi="IRNazanin" w:eastAsia="IRNazanin" w:cs="IRNazanin"/>
          <w:lang w:bidi="fa-IR"/>
          <w:color w:val="111111"/>
          <w:sz w:val="28"/>
          <w:szCs w:val="28"/>
          <w:rtl/>
        </w:rPr>
        <w:t xml:space="preserve">بی کا، بی تاب کاغذ: رنگارنگ سپاهانی، جلد: میشن لایی قهوهای مغزیدار [ف: ۹-۱۳۸]</w:t>
      </w:r>
    </w:p>
    <w:p>
      <w:pPr>
        <w:pStyle w:val="BookText"/>
      </w:pPr>
      <w:r>
        <w:rPr>
          <w:rFonts w:ascii="IRNazanin" w:hAnsi="IRNazanin" w:eastAsia="IRNazanin" w:cs="IRNazanin"/>
          <w:lang w:bidi="fa-IR"/>
          <w:color w:val="111111"/>
          <w:sz w:val="28"/>
          <w:szCs w:val="28"/>
          <w:rtl/>
        </w:rPr>
        <w:t xml:space="preserve">۳۳. تهران؛ مجلس؛ شماره نسخه: ۱۲۶۵۴</w:t>
      </w:r>
    </w:p>
    <w:p>
      <w:pPr>
        <w:pStyle w:val="BookText"/>
      </w:pPr>
      <w:r>
        <w:rPr>
          <w:rFonts w:ascii="IRNazanin" w:hAnsi="IRNazanin" w:eastAsia="IRNazanin" w:cs="IRNazanin"/>
          <w:lang w:bidi="fa-IR"/>
          <w:color w:val="111111"/>
          <w:sz w:val="28"/>
          <w:szCs w:val="28"/>
          <w:rtl/>
        </w:rPr>
        <w:t xml:space="preserve">خط: نسخ خوانا، بی کا، بی تا؛ محشی به امضاء «منه رحمه الله»؛ مهر: «محمد جواد» (بیضوی) متعلق به فرزند شیخ الاسلام فضل الله زنجانی، «حسنعلی اکبرنیا» (بیضوی)؛ جلد: تیماج، سبز، عطف تیماج قهوه ای، ۱۷۲گ، ۱۹ سطر،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۳۶-۲۲۰]</w:t>
      </w:r>
    </w:p>
    <w:p>
      <w:pPr>
        <w:pStyle w:val="Heading3"/>
      </w:pPr>
      <w:bookmarkStart w:id="944" w:name="_Toc204"/>
      <w:r>
        <w:t>• البلد الامین (ترجمه) / دعا / فارسی</w:t>
      </w:r>
      <w:bookmarkEnd w:id="944"/>
    </w:p>
    <w:p>
      <w:pPr>
        <w:pStyle w:val="BookText"/>
      </w:pPr>
      <w:r>
        <w:rPr>
          <w:rFonts w:ascii="Times New Roman" w:hAnsi="Times New Roman" w:eastAsia="Times New Roman" w:cs="Times New Roman"/>
          <w:lang w:val="en-US" w:bidi="en-US"/>
          <w:color w:val="111111"/>
          <w:sz w:val="28"/>
          <w:szCs w:val="28"/>
          <w:rtl/>
        </w:rPr>
        <w:t xml:space="preserve">al-balad-ul amīn (t.)</w:t>
      </w:r>
    </w:p>
    <w:p>
      <w:pPr>
        <w:pStyle w:val="BookText"/>
      </w:pPr>
      <w:r>
        <w:rPr>
          <w:rFonts w:ascii="IRNazanin" w:hAnsi="IRNazanin" w:eastAsia="IRNazanin" w:cs="IRNazanin"/>
          <w:lang w:bidi="fa-IR"/>
          <w:color w:val="111111"/>
          <w:sz w:val="28"/>
          <w:szCs w:val="28"/>
          <w:rtl/>
        </w:rPr>
        <w:t xml:space="preserve">کربلائی، داود بن محمد، ق ۱۲ قمری</w:t>
      </w:r>
    </w:p>
    <w:p>
      <w:pPr>
        <w:pStyle w:val="BookText"/>
      </w:pPr>
      <w:r>
        <w:rPr>
          <w:rFonts w:ascii="Times New Roman" w:hAnsi="Times New Roman" w:eastAsia="Times New Roman" w:cs="Times New Roman"/>
          <w:lang w:val="en-US" w:bidi="en-US"/>
          <w:color w:val="111111"/>
          <w:sz w:val="28"/>
          <w:szCs w:val="28"/>
          <w:rtl/>
        </w:rPr>
        <w:t xml:space="preserve">karbalail, davud ebn-e mohammad (- 18c)</w:t>
      </w:r>
    </w:p>
    <w:p>
      <w:pPr>
        <w:pStyle w:val="BookText"/>
      </w:pPr>
      <w:r>
        <w:rPr>
          <w:rFonts w:ascii="IRNazanin" w:hAnsi="IRNazanin" w:eastAsia="IRNazanin" w:cs="IRNazanin"/>
          <w:lang w:bidi="fa-IR"/>
          <w:color w:val="111111"/>
          <w:sz w:val="28"/>
          <w:szCs w:val="28"/>
          <w:rtl/>
        </w:rPr>
        <w:t xml:space="preserve">وابسته به: البلد الأمين و الدرع الحصين؛ کفعمی، ابراهیم بن على (۹۰۵-۸۴۰)</w:t>
      </w:r>
    </w:p>
    <w:p>
      <w:pPr>
        <w:pStyle w:val="BookText"/>
      </w:pPr>
      <w:r>
        <w:rPr>
          <w:rFonts w:ascii="IRNazanin" w:hAnsi="IRNazanin" w:eastAsia="IRNazanin" w:cs="IRNazanin"/>
          <w:lang w:bidi="fa-IR"/>
          <w:color w:val="111111"/>
          <w:sz w:val="28"/>
          <w:szCs w:val="28"/>
          <w:rtl/>
        </w:rPr>
        <w:t xml:space="preserve">اهداء به: شاه سلطان حسین صفوی</w:t>
      </w:r>
    </w:p>
    <w:p>
      <w:pPr>
        <w:pStyle w:val="BookText"/>
      </w:pPr>
      <w:r>
        <w:rPr>
          <w:rFonts w:ascii="IRNazanin" w:hAnsi="IRNazanin" w:eastAsia="IRNazanin" w:cs="IRNazanin"/>
          <w:lang w:bidi="fa-IR"/>
          <w:color w:val="111111"/>
          <w:sz w:val="28"/>
          <w:szCs w:val="28"/>
          <w:rtl/>
        </w:rPr>
        <w:t xml:space="preserve">در الذریعه (ج ۴) دو ترجمه دیگر از این کتاب نام برده که آن دو نیز به فرمان شاه سلطان حسین ترجمه شده. مترجم از فضلاء نیمه اول قرن ۱۲ ق است. شیوه ترجمه: «کتاب که مسمی است به بلد الأمين از تألیفات شیخ فاضل کامل عالم عامل خير صالح متقی پارسا شیخ ابراهیم کفعمی رحمة الله عليه را بلغت فارسی ترجمه نماید از ورود فرمان لازم الاذعان اني القى الى كتاب کریم از زبان جان شنیده و حسب الامر الاعلى متوجه انفاذ فرمان و الانشان گردیده و برهنمونی هدایت بیغایت یهدی الله لنوره من يشاء بذل جهد خویشتن را مصروف نموده عبارت متن را تحت اللفظ ترجمه نموده و هر جا که محتاج به توضیح باشد در حاشیه مرقوم میشود برموز منه و آنچه از حاشیه کتاب است بلغت فارسی ترجمه میشود و رمزش من الحاشیه است».</w:t>
      </w:r>
    </w:p>
    <w:p>
      <w:pPr>
        <w:pStyle w:val="BookText"/>
      </w:pPr>
      <w:r>
        <w:rPr>
          <w:rFonts w:ascii="IRNazanin" w:hAnsi="IRNazanin" w:eastAsia="IRNazanin" w:cs="IRNazanin"/>
          <w:lang w:bidi="fa-IR"/>
          <w:color w:val="111111"/>
          <w:sz w:val="28"/>
          <w:szCs w:val="28"/>
          <w:rtl/>
        </w:rPr>
        <w:t xml:space="preserve">آغاز: الحمدلله الذي جعل العباده وسيلة لنيل السعاده العظمی و ذريعة لادراك الفوز الجهل في الاخرة.</w:t>
      </w:r>
    </w:p>
    <w:p>
      <w:pPr>
        <w:pStyle w:val="BookText"/>
      </w:pPr>
      <w:r>
        <w:rPr>
          <w:rFonts w:ascii="IRNazanin" w:hAnsi="IRNazanin" w:eastAsia="IRNazanin" w:cs="IRNazanin"/>
          <w:lang w:bidi="fa-IR"/>
          <w:color w:val="111111"/>
          <w:sz w:val="28"/>
          <w:szCs w:val="28"/>
          <w:rtl/>
        </w:rPr>
        <w:t xml:space="preserve">[الذریعه ۸۴/۴ ؛ فهرستواره منزوی ۲۰۱/۷]</w:t>
      </w:r>
    </w:p>
    <w:p>
      <w:pPr>
        <w:pStyle w:val="BookText"/>
      </w:pPr>
      <w:r>
        <w:rPr>
          <w:rFonts w:ascii="IRNazanin" w:hAnsi="IRNazanin" w:eastAsia="IRNazanin" w:cs="IRNazanin"/>
          <w:lang w:bidi="fa-IR"/>
          <w:color w:val="111111"/>
          <w:sz w:val="28"/>
          <w:szCs w:val="28"/>
          <w:rtl/>
        </w:rPr>
        <w:t xml:space="preserve">۱. تهران: دانشگاه؛ شماره نسخه: ۳۴</w:t>
      </w:r>
    </w:p>
    <w:p>
      <w:pPr>
        <w:pStyle w:val="BookText"/>
      </w:pPr>
      <w:r>
        <w:rPr>
          <w:rFonts w:ascii="IRNazanin" w:hAnsi="IRNazanin" w:eastAsia="IRNazanin" w:cs="IRNazanin"/>
          <w:lang w:bidi="fa-IR"/>
          <w:color w:val="111111"/>
          <w:sz w:val="28"/>
          <w:szCs w:val="28"/>
          <w:rtl/>
        </w:rPr>
        <w:t xml:space="preserve">آغاز: برابر؛ انجام: جزء اول: پس هر که نماز کند در شب اول ماه سی رکعت جلد اول از دو جلد کتاب؛ خط: نسخ و نستعلیق، کاتب = مؤلف، بی تا؛ محشی با نشان «منه» و «من الحاشية» و مقصود از آن حاشیه کفعمی بر اصل عربی این کتاب می باشد؛ جلد: روغنی، ۳۴۹گ، ۲۰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۲۷/۵سم [ف: ۱-۳۵]</w:t>
      </w:r>
    </w:p>
    <w:p>
      <w:pPr>
        <w:pStyle w:val="BookText"/>
      </w:pPr>
      <w:r>
        <w:rPr>
          <w:rFonts w:ascii="IRNazanin" w:hAnsi="IRNazanin" w:eastAsia="IRNazanin" w:cs="IRNazanin"/>
          <w:lang w:bidi="fa-IR"/>
          <w:color w:val="111111"/>
          <w:sz w:val="28"/>
          <w:szCs w:val="28"/>
          <w:rtl/>
        </w:rPr>
        <w:t xml:space="preserve">۲. تهران، دانشگاه؛ شماره نسخه: ۳۵</w:t>
      </w:r>
    </w:p>
    <w:p>
      <w:pPr>
        <w:pStyle w:val="BookText"/>
      </w:pPr>
      <w:r>
        <w:rPr>
          <w:rFonts w:ascii="IRNazanin" w:hAnsi="IRNazanin" w:eastAsia="IRNazanin" w:cs="IRNazanin"/>
          <w:lang w:bidi="fa-IR"/>
          <w:color w:val="111111"/>
          <w:sz w:val="28"/>
          <w:szCs w:val="28"/>
          <w:rtl/>
        </w:rPr>
        <w:t xml:space="preserve">جلد دوم ؛ خط: نسخ و نستعلیق، کاتب = مؤلف، بی تا؛ محشی با نشان «منه» و «من الحاشية» که مقصود حاشیه های نگارنده</w:t>
      </w:r>
    </w:p>
    <w:p>
      <w:pPr>
        <w:pStyle w:val="BookText"/>
      </w:pPr>
      <w:r>
        <w:rPr>
          <w:rFonts w:ascii="IRNazanin" w:hAnsi="IRNazanin" w:eastAsia="IRNazanin" w:cs="IRNazanin"/>
          <w:lang w:bidi="fa-IR"/>
          <w:color w:val="111111"/>
          <w:sz w:val="28"/>
          <w:szCs w:val="28"/>
          <w:rtl/>
        </w:rPr>
        <w:t xml:space="preserve">کفعمی) بر اصل عربی است؛ جلد: روغنی و در حواشی آن حدیث و خبر نوشته شده، ۴۱۴گ، ۲۰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اندازه: ۲۷/۵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۱-۳۶]</w:t>
      </w:r>
    </w:p>
    <w:p>
      <w:pPr>
        <w:pStyle w:val="BookText"/>
      </w:pPr>
      <w:r>
        <w:rPr>
          <w:rFonts w:ascii="IRNazanin" w:hAnsi="IRNazanin" w:eastAsia="IRNazanin" w:cs="IRNazanin"/>
          <w:lang w:bidi="fa-IR"/>
          <w:color w:val="111111"/>
          <w:sz w:val="28"/>
          <w:szCs w:val="28"/>
          <w:rtl/>
        </w:rPr>
        <w:t xml:space="preserve">٣. مشهد؛ رضوی؛ شماره نسخه: ۲۰۲۶۸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3" w:name="pg20363_209232"/>
    <w:bookmarkEnd w:id="73"/>
    <w:p>
      <w:pPr>
        <w:pStyle w:val="BookText"/>
      </w:pPr>
      <w:r>
        <w:rPr>
          <w:rFonts w:ascii="IRNazanin" w:hAnsi="IRNazanin" w:eastAsia="IRNazanin" w:cs="IRNazanin"/>
          <w:lang w:bidi="fa-IR"/>
          <w:color w:val="111111"/>
          <w:sz w:val="28"/>
          <w:szCs w:val="28"/>
          <w:rtl/>
        </w:rPr>
        <w:t xml:space="preserve">آغاز: برابر؛ انجام: اگر چه در بسیاری مانند ریک بیابان باشد عالج باشد و هر حاجتی که از حق تعالی طلب کند البته بر می آورد.</w:t>
      </w:r>
    </w:p>
    <w:p>
      <w:pPr>
        <w:pStyle w:val="BookText"/>
      </w:pPr>
      <w:r>
        <w:rPr>
          <w:rFonts w:ascii="IRNazanin" w:hAnsi="IRNazanin" w:eastAsia="IRNazanin" w:cs="IRNazanin"/>
          <w:lang w:bidi="fa-IR"/>
          <w:color w:val="111111"/>
          <w:sz w:val="28"/>
          <w:szCs w:val="28"/>
          <w:rtl/>
        </w:rPr>
        <w:t xml:space="preserve">از آغاز کتاب تا اول عمل سنه؛ خط: نسخ، كاتب = مؤلف (احتمالا)، بی تا؛ متفرقاتی از کتب: منتخب طریحی و بحر المحبة غزالی و نورالانوار به خط سید هاشم بن محمد الموسوی در ۲۰ شوال ۱۳۲۰؛ اهدایی: رهبری، خرداد ۱۳۷۳، کاغذ: فرنگی شکری، جلد: تیماج خرمایی، ۲۰۷گ، ۱۲ سطر،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۱۵-۱۵۳]</w:t>
      </w:r>
    </w:p>
    <w:p>
      <w:pPr>
        <w:pStyle w:val="BookText"/>
      </w:pPr>
      <w:r>
        <w:rPr>
          <w:rFonts w:ascii="IRNazanin" w:hAnsi="IRNazanin" w:eastAsia="IRNazanin" w:cs="IRNazanin"/>
          <w:lang w:bidi="fa-IR"/>
          <w:color w:val="111111"/>
          <w:sz w:val="28"/>
          <w:szCs w:val="28"/>
          <w:rtl/>
        </w:rPr>
        <w:t xml:space="preserve">۴. تهران؛ سلطنتی؛ شماره نسخه: ۳</w:t>
      </w:r>
    </w:p>
    <w:p>
      <w:pPr>
        <w:pStyle w:val="BookText"/>
      </w:pPr>
      <w:r>
        <w:rPr>
          <w:rFonts w:ascii="IRNazanin" w:hAnsi="IRNazanin" w:eastAsia="IRNazanin" w:cs="IRNazanin"/>
          <w:lang w:bidi="fa-IR"/>
          <w:color w:val="111111"/>
          <w:sz w:val="28"/>
          <w:szCs w:val="28"/>
          <w:rtl/>
        </w:rPr>
        <w:t xml:space="preserve">آغاز: بسم الله الرحمن الرحیم. بلد امینی که عافیت و جمعیت خاطر را از تزلزل اختلال در پناه آرد؛ انجام: فراغ از تألیف این کتاب در بیستم ماه شوال از سال ۸۶۸ هجری قمری واقع شده و چون به آمر سلاطين العرب و العجم الخاقان السلطان بن السلطان بن السلطان و الخاقان بن الخاقان بن الخاقان ابو النصر شاه سلطان حسين الصفوي الموسوی الحسینی بهادر خان این کتاب مستطاب بلغت فارسی در آمد و فراغ از آن در خاتمه شهر رجب المرجب از سال یکهزار و صد و بیست هجری موافق لفظ عاية الامال اتفاق افتاد.</w:t>
      </w:r>
    </w:p>
    <w:p>
      <w:pPr>
        <w:pStyle w:val="BookText"/>
      </w:pPr>
      <w:r>
        <w:rPr>
          <w:rFonts w:ascii="IRNazanin" w:hAnsi="IRNazanin" w:eastAsia="IRNazanin" w:cs="IRNazanin"/>
          <w:lang w:bidi="fa-IR"/>
          <w:color w:val="111111"/>
          <w:sz w:val="28"/>
          <w:szCs w:val="28"/>
          <w:rtl/>
        </w:rPr>
        <w:t xml:space="preserve">خط: نسخ خوش، بی کا، تا: ۱۱۲۰ق؛ انتقالی از قصر بلور، مجدول، مذهب، کمند کشی با حواشی مذهب به طرح اسلیمی، یک سرلوح مذهب بطرح کنگره ای، یک کتیبه مذهب؛ کاغذ: ترمه متن و حاشیه شده غبار طلاپوش، جلد: چرمی ساغری ضربی مشکی با ترنج و دو سرترنج و چهار لچک ترنج ضربی متن طلایی، ۸۸۴ص، ۲۱ سطر، قطع: وزیری،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۲۹/۵سم [ف: ۱۰۸-۱]</w:t>
      </w:r>
    </w:p>
    <w:p>
      <w:pPr>
        <w:pStyle w:val="BookText"/>
      </w:pPr>
      <w:r>
        <w:rPr>
          <w:rFonts w:ascii="IRNazanin" w:hAnsi="IRNazanin" w:eastAsia="IRNazanin" w:cs="IRNazanin"/>
          <w:lang w:bidi="fa-IR"/>
          <w:color w:val="111111"/>
          <w:sz w:val="28"/>
          <w:szCs w:val="28"/>
          <w:rtl/>
        </w:rPr>
        <w:t xml:space="preserve">۵. مشهد؛ رضوی؛ شماره نسخه: ۵۴۹/۱</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کا: میرزا محمد تقی غضنفری خوانساری فرزند سید هاشم موسوی، تا: قرن ۱۴؛ قطع: رحلي [اهدائی ف: ۲۶۵]</w:t>
      </w:r>
    </w:p>
    <w:p>
      <w:pPr>
        <w:pStyle w:val="Heading3"/>
      </w:pPr>
      <w:bookmarkStart w:id="945" w:name="_Toc205"/>
      <w:r>
        <w:t>• بلد الامین (ترجمه) / دعا / فارسی</w:t>
      </w:r>
      <w:bookmarkEnd w:id="945"/>
    </w:p>
    <w:p>
      <w:pPr>
        <w:pStyle w:val="BookText"/>
      </w:pPr>
      <w:r>
        <w:rPr>
          <w:rFonts w:ascii="Times New Roman" w:hAnsi="Times New Roman" w:eastAsia="Times New Roman" w:cs="Times New Roman"/>
          <w:lang w:val="en-US" w:bidi="en-US"/>
          <w:color w:val="111111"/>
          <w:sz w:val="28"/>
          <w:szCs w:val="28"/>
          <w:rtl/>
        </w:rPr>
        <w:t xml:space="preserve">balad-ul amīn (t.)</w:t>
      </w:r>
    </w:p>
    <w:p>
      <w:pPr>
        <w:pStyle w:val="BookText"/>
      </w:pPr>
      <w:r>
        <w:rPr>
          <w:rFonts w:ascii="Amiri" w:hAnsi="Amiri" w:eastAsia="Amiri" w:cs="Amiri"/>
          <w:lang w:bidi="ar-SA"/>
          <w:color w:val="111111"/>
          <w:sz w:val="28"/>
          <w:szCs w:val="28"/>
          <w:rtl/>
        </w:rPr>
        <w:t xml:space="preserve">وابسته به: البلد الأمين و الدرع الحصين؛ كفعمي، ابراهيم بن على (۹۰۵-۸۴۰)</w:t>
      </w:r>
    </w:p>
    <w:p>
      <w:pPr>
        <w:pStyle w:val="BookText"/>
      </w:pPr>
      <w:r>
        <w:rPr>
          <w:rFonts w:ascii="IRNazanin" w:hAnsi="IRNazanin" w:eastAsia="IRNazanin" w:cs="IRNazanin"/>
          <w:lang w:bidi="fa-IR"/>
          <w:color w:val="111111"/>
          <w:sz w:val="28"/>
          <w:szCs w:val="28"/>
          <w:rtl/>
        </w:rPr>
        <w:t xml:space="preserve">قم، مؤسسه آية الله بروجردی؛ شماره نسخه: ۳۰۵</w:t>
      </w:r>
    </w:p>
    <w:p>
      <w:pPr>
        <w:pStyle w:val="BookText"/>
      </w:pPr>
      <w:r>
        <w:rPr>
          <w:rFonts w:ascii="IRNazanin" w:hAnsi="IRNazanin" w:eastAsia="IRNazanin" w:cs="IRNazanin"/>
          <w:lang w:bidi="fa-IR"/>
          <w:color w:val="111111"/>
          <w:sz w:val="28"/>
          <w:szCs w:val="28"/>
          <w:rtl/>
        </w:rPr>
        <w:t xml:space="preserve">نیمه دوم کتاب؛ خط: نسخ معرب، بی کا، تا: قرن ۱۱؛ ترجمه فارسی زیر نویس است، مصحح؛ تملك: جمال الدین طباطبائی به تاریخ ۱۳۲۳ با مهر بیضوی وي؛ جلد: تیماج قهوه ای، ۲۱۸گ، مختلف السطر، اندازه: ۱۶/۵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۲۴/۵سم [ف: ۱-۱۸۰]</w:t>
      </w:r>
    </w:p>
    <w:p>
      <w:pPr>
        <w:pStyle w:val="Heading3"/>
      </w:pPr>
      <w:bookmarkStart w:id="946" w:name="_Toc206"/>
      <w:r>
        <w:t>• البلدان (مختصر) / جغرافيا / عربی</w:t>
      </w:r>
      <w:bookmarkEnd w:id="946"/>
    </w:p>
    <w:p>
      <w:pPr>
        <w:pStyle w:val="BookText"/>
      </w:pPr>
      <w:r>
        <w:rPr>
          <w:rFonts w:ascii="Times New Roman" w:hAnsi="Times New Roman" w:eastAsia="Times New Roman" w:cs="Times New Roman"/>
          <w:lang w:val="en-US" w:bidi="en-US"/>
          <w:color w:val="111111"/>
          <w:sz w:val="28"/>
          <w:szCs w:val="28"/>
          <w:rtl/>
        </w:rPr>
        <w:t xml:space="preserve">al-buldān (muxtaşar)</w:t>
      </w:r>
    </w:p>
    <w:p>
      <w:pPr>
        <w:pStyle w:val="BookText"/>
      </w:pPr>
      <w:r>
        <w:rPr>
          <w:rFonts w:ascii="IRNazanin" w:hAnsi="IRNazanin" w:eastAsia="IRNazanin" w:cs="IRNazanin"/>
          <w:lang w:bidi="fa-IR"/>
          <w:color w:val="111111"/>
          <w:sz w:val="28"/>
          <w:szCs w:val="28"/>
          <w:rtl/>
        </w:rPr>
        <w:t xml:space="preserve">ابن فقيه، احمد بن محمد، - ۳۶۵ قمری</w:t>
      </w:r>
    </w:p>
    <w:p>
      <w:pPr>
        <w:pStyle w:val="BookText"/>
      </w:pPr>
      <w:r>
        <w:rPr>
          <w:rFonts w:ascii="Times New Roman" w:hAnsi="Times New Roman" w:eastAsia="Times New Roman" w:cs="Times New Roman"/>
          <w:lang w:val="en-US" w:bidi="en-US"/>
          <w:color w:val="111111"/>
          <w:sz w:val="28"/>
          <w:szCs w:val="28"/>
          <w:rtl/>
        </w:rPr>
        <w:t xml:space="preserve">ebn-e faqih, ahmad ebn-e mohammad (- 976)</w:t>
      </w:r>
    </w:p>
    <w:p>
      <w:pPr>
        <w:pStyle w:val="BookText"/>
      </w:pPr>
      <w:r>
        <w:rPr>
          <w:rFonts w:ascii="IRNazanin" w:hAnsi="IRNazanin" w:eastAsia="IRNazanin" w:cs="IRNazanin"/>
          <w:lang w:bidi="fa-IR"/>
          <w:color w:val="111111"/>
          <w:sz w:val="28"/>
          <w:szCs w:val="28"/>
          <w:rtl/>
        </w:rPr>
        <w:t xml:space="preserve">در اخبار بلدان و عجائب آنها و بیان خصوصیات جغرافیائی هر منطقه با اشاره به مختصری از آداب و رسوم آن منطقه، اصل این کتاب نیز از خود مؤلف است. چاپ: لیدن، ۳۶۵ و ۶۷، ۱۸۸۵م.</w:t>
      </w:r>
    </w:p>
    <w:p>
      <w:pPr>
        <w:pStyle w:val="BookText"/>
      </w:pPr>
      <w:r>
        <w:rPr>
          <w:rFonts w:ascii="IRNazanin" w:hAnsi="IRNazanin" w:eastAsia="IRNazanin" w:cs="IRNazanin"/>
          <w:lang w:bidi="fa-IR"/>
          <w:color w:val="111111"/>
          <w:sz w:val="28"/>
          <w:szCs w:val="28"/>
          <w:rtl/>
        </w:rPr>
        <w:t xml:space="preserve">[ الاعلام زرکلی ۲۰۸/۱ ]</w:t>
      </w:r>
    </w:p>
    <w:p>
      <w:pPr>
        <w:pStyle w:val="BookText"/>
      </w:pPr>
      <w:r>
        <w:rPr>
          <w:rFonts w:ascii="IRNazanin" w:hAnsi="IRNazanin" w:eastAsia="IRNazanin" w:cs="IRNazanin"/>
          <w:lang w:bidi="fa-IR"/>
          <w:color w:val="111111"/>
          <w:sz w:val="28"/>
          <w:szCs w:val="28"/>
          <w:rtl/>
        </w:rPr>
        <w:t xml:space="preserve">قم: مرکز احیاء؛ شماره نسخه: ۲۷۱۰</w:t>
      </w:r>
    </w:p>
    <w:p>
      <w:pPr>
        <w:pStyle w:val="BookText"/>
      </w:pPr>
      <w:r>
        <w:rPr>
          <w:rFonts w:ascii="IRNazanin" w:hAnsi="IRNazanin" w:eastAsia="IRNazanin" w:cs="IRNazanin"/>
          <w:lang w:bidi="fa-IR"/>
          <w:color w:val="111111"/>
          <w:sz w:val="28"/>
          <w:szCs w:val="28"/>
          <w:rtl/>
        </w:rPr>
        <w:t xml:space="preserve">آغاز: قال قال الفضل بن يحيى الناس اربع طبقات الملوک قدمهم الاستحقاق و وزراء فضلهم الفطنة والرأي، انجام و مسلمون في اخلاق النصارى و اما اهل الشام فليس يعرفون.</w:t>
      </w:r>
    </w:p>
    <w:p>
      <w:pPr>
        <w:pStyle w:val="BookText"/>
      </w:pPr>
      <w:r>
        <w:rPr>
          <w:rFonts w:ascii="IRNazanin" w:hAnsi="IRNazanin" w:eastAsia="IRNazanin" w:cs="IRNazanin"/>
          <w:lang w:bidi="fa-IR"/>
          <w:color w:val="111111"/>
          <w:sz w:val="28"/>
          <w:szCs w:val="28"/>
          <w:rtl/>
        </w:rPr>
        <w:t xml:space="preserve">خط: نسخ، بی کا، تا: قرن ۱۱؛ افتادگی: انجام؛ مصحح، بعضی اوراق بازنویسی شده؛ جلد: تیماج مشکی، ۳۳۲گ، ۱۳ سطر [محدث ارموی مخ: ۳-۱۴۰۷]</w:t>
      </w:r>
    </w:p>
    <w:p>
      <w:pPr>
        <w:pStyle w:val="BookText"/>
      </w:pPr>
      <w:r>
        <w:rPr>
          <w:rFonts w:ascii="Amiri" w:hAnsi="Amiri" w:eastAsia="Amiri" w:cs="Amiri"/>
          <w:lang w:bidi="ar-SA"/>
          <w:color w:val="111111"/>
          <w:sz w:val="28"/>
          <w:szCs w:val="28"/>
          <w:rtl/>
        </w:rPr>
        <w:t xml:space="preserve">← البلغة ← الأقطاب القطبية</w:t>
      </w:r>
    </w:p>
    <w:p>
      <w:pPr>
        <w:pStyle w:val="Heading3"/>
      </w:pPr>
      <w:bookmarkStart w:id="947" w:name="_Toc207"/>
      <w:r>
        <w:t>• بلغة أهل النظر في معنى الثقل و الاصغر / حديث أعربی</w:t>
      </w:r>
      <w:bookmarkEnd w:id="947"/>
    </w:p>
    <w:p>
      <w:pPr>
        <w:pStyle w:val="BookText"/>
      </w:pPr>
      <w:r>
        <w:rPr>
          <w:rFonts w:ascii="Times New Roman" w:hAnsi="Times New Roman" w:eastAsia="Times New Roman" w:cs="Times New Roman"/>
          <w:lang w:val="en-US" w:bidi="en-US"/>
          <w:color w:val="111111"/>
          <w:sz w:val="28"/>
          <w:szCs w:val="28"/>
          <w:rtl/>
        </w:rPr>
        <w:t xml:space="preserve">balagat-u ahl-in nazar fi ma‘na-t taqal wa-l așgar</w:t>
      </w:r>
    </w:p>
    <w:p>
      <w:pPr>
        <w:pStyle w:val="BookText"/>
      </w:pPr>
      <w:r>
        <w:rPr>
          <w:rFonts w:ascii="IRNazanin" w:hAnsi="IRNazanin" w:eastAsia="IRNazanin" w:cs="IRNazanin"/>
          <w:lang w:bidi="fa-IR"/>
          <w:color w:val="111111"/>
          <w:sz w:val="28"/>
          <w:szCs w:val="28"/>
          <w:rtl/>
        </w:rPr>
        <w:t xml:space="preserve">آل عصفور، محمد علی بن محمد نقی، ۱۲۸۹-۱۳۵۰ قمری</w:t>
      </w:r>
    </w:p>
    <w:p>
      <w:pPr>
        <w:pStyle w:val="BookText"/>
      </w:pPr>
      <w:r>
        <w:rPr>
          <w:rFonts w:ascii="Times New Roman" w:hAnsi="Times New Roman" w:eastAsia="Times New Roman" w:cs="Times New Roman"/>
          <w:lang w:val="en-US" w:bidi="en-US"/>
          <w:color w:val="111111"/>
          <w:sz w:val="28"/>
          <w:szCs w:val="28"/>
          <w:rtl/>
        </w:rPr>
        <w:t xml:space="preserve">āl-e "osfūr, mohammad ‘alī ebn-e mohammad naqī (1872-1932)</w:t>
      </w:r>
    </w:p>
    <w:p>
      <w:pPr>
        <w:pStyle w:val="BookText"/>
      </w:pPr>
      <w:r>
        <w:rPr>
          <w:rFonts w:ascii="IRNazanin" w:hAnsi="IRNazanin" w:eastAsia="IRNazanin" w:cs="IRNazanin"/>
          <w:lang w:bidi="fa-IR"/>
          <w:color w:val="111111"/>
          <w:sz w:val="28"/>
          <w:szCs w:val="28"/>
          <w:rtl/>
        </w:rPr>
        <w:t xml:space="preserve">مشهد؛ رضوی؛ شماره نسخه: ۱۷۹۷۱</w:t>
      </w:r>
    </w:p>
    <w:p>
      <w:pPr>
        <w:pStyle w:val="BookText"/>
      </w:pPr>
      <w:r>
        <w:rPr>
          <w:rFonts w:ascii="IRNazanin" w:hAnsi="IRNazanin" w:eastAsia="IRNazanin" w:cs="IRNazanin"/>
          <w:lang w:bidi="fa-IR"/>
          <w:color w:val="111111"/>
          <w:sz w:val="28"/>
          <w:szCs w:val="28"/>
          <w:rtl/>
        </w:rPr>
        <w:t xml:space="preserve">آغاز: بسمله، الحمد لله الذي شرف العلماء بالعلم، انجام: فيكون ایضا مظهر الصفات ... حرره محمد على آل عصفور خط: نسخه تحریری، کاتب = مؤلف، تا: ۱۳۳۰ق؛ اهدایی: سازمان حج و اوقاف، آبان ۱۳۶۹؛ کاغذ: حنایی، جلد: مقوا، ۱۳۱گ [رایانه ]</w:t>
      </w:r>
    </w:p>
    <w:p>
      <w:pPr>
        <w:pStyle w:val="Heading3"/>
      </w:pPr>
      <w:bookmarkStart w:id="948" w:name="_Toc208"/>
      <w:r>
        <w:t>• البلغة (ترجمه) / لغت / فارسی</w:t>
      </w:r>
      <w:bookmarkEnd w:id="948"/>
    </w:p>
    <w:p>
      <w:pPr>
        <w:pStyle w:val="BookText"/>
      </w:pPr>
      <w:r>
        <w:rPr>
          <w:rFonts w:ascii="Times New Roman" w:hAnsi="Times New Roman" w:eastAsia="Times New Roman" w:cs="Times New Roman"/>
          <w:lang w:val="en-US" w:bidi="en-US"/>
          <w:color w:val="111111"/>
          <w:sz w:val="28"/>
          <w:szCs w:val="28"/>
          <w:rtl/>
        </w:rPr>
        <w:t xml:space="preserve">al-balaga (t.)</w:t>
      </w:r>
    </w:p>
    <w:p>
      <w:pPr>
        <w:pStyle w:val="BookText"/>
      </w:pPr>
      <w:r>
        <w:rPr>
          <w:rFonts w:ascii="IRNazanin" w:hAnsi="IRNazanin" w:eastAsia="IRNazanin" w:cs="IRNazanin"/>
          <w:lang w:bidi="fa-IR"/>
          <w:color w:val="111111"/>
          <w:sz w:val="28"/>
          <w:szCs w:val="28"/>
          <w:rtl/>
        </w:rPr>
        <w:t xml:space="preserve">وابسته به: البلغة المترجمة في اللغة؛ کردی نیشابوری، یعقوب بن احمد (-۴۷۴ق) ترجمه واژه های مشکل کتاب بلغه است.</w:t>
      </w:r>
    </w:p>
    <w:p>
      <w:pPr>
        <w:pStyle w:val="BookText"/>
      </w:pPr>
      <w:r>
        <w:rPr>
          <w:rFonts w:ascii="IRNazanin" w:hAnsi="IRNazanin" w:eastAsia="IRNazanin" w:cs="IRNazanin"/>
          <w:lang w:bidi="fa-IR"/>
          <w:color w:val="111111"/>
          <w:sz w:val="28"/>
          <w:szCs w:val="28"/>
          <w:rtl/>
        </w:rPr>
        <w:t xml:space="preserve">تهران؛ ملک، شماره نسخه: ۵۸۳۹/۱</w:t>
      </w:r>
    </w:p>
    <w:p>
      <w:pPr>
        <w:pStyle w:val="BookText"/>
      </w:pPr>
      <w:r>
        <w:rPr>
          <w:rFonts w:ascii="IRNazanin" w:hAnsi="IRNazanin" w:eastAsia="IRNazanin" w:cs="IRNazanin"/>
          <w:lang w:bidi="fa-IR"/>
          <w:color w:val="111111"/>
          <w:sz w:val="28"/>
          <w:szCs w:val="28"/>
          <w:rtl/>
        </w:rPr>
        <w:t xml:space="preserve">آغاز: عجب ماند و فرا مردمان نماند که من نیكوام و مصر باو سنی یعنی شوهر او را زنی دیگر باشد؛ انجام: المشجرة تره دوع الكبائر فله یعنی رشه الشهرق جرخ. تمت مشکلات البلغة من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4" w:name="pg20363_209233"/>
    <w:bookmarkEnd w:id="74"/>
    <w:p>
      <w:pPr>
        <w:pStyle w:val="BookText"/>
      </w:pPr>
      <w:r>
        <w:rPr>
          <w:rFonts w:ascii="IRNazanin" w:hAnsi="IRNazanin" w:eastAsia="IRNazanin" w:cs="IRNazanin"/>
          <w:lang w:bidi="fa-IR"/>
          <w:color w:val="111111"/>
          <w:sz w:val="28"/>
          <w:szCs w:val="28"/>
          <w:rtl/>
        </w:rPr>
        <w:t xml:space="preserve">نسخة سقيمة بخط مولانا خاتم الطافی جمال</w:t>
      </w:r>
    </w:p>
    <w:p>
      <w:pPr>
        <w:pStyle w:val="BookText"/>
      </w:pPr>
      <w:r>
        <w:rPr>
          <w:rFonts w:ascii="IRNazanin" w:hAnsi="IRNazanin" w:eastAsia="IRNazanin" w:cs="IRNazanin"/>
          <w:lang w:bidi="fa-IR"/>
          <w:color w:val="111111"/>
          <w:sz w:val="28"/>
          <w:szCs w:val="28"/>
          <w:rtl/>
        </w:rPr>
        <w:t xml:space="preserve">خط: نسخ نزدیک به نستعلیق، بی کا، بی تا، جلد: میشن لایی قهوه ای، ۴گ (۱ر-۴ر)، ۱۷ سطر، اندازه: ۱۴/۲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۱۸/۷ سم [ف: ۹-۶۴]</w:t>
      </w:r>
    </w:p>
    <w:p>
      <w:pPr>
        <w:pStyle w:val="Heading3"/>
      </w:pPr>
      <w:bookmarkStart w:id="949" w:name="_Toc209"/>
      <w:r>
        <w:t>• بلغة الغواص في الأكوان الى معنى الاخلاص في معرفة الانسان / کلام و اعتقادات / عربی</w:t>
      </w:r>
      <w:bookmarkEnd w:id="949"/>
    </w:p>
    <w:p>
      <w:pPr>
        <w:pStyle w:val="BookText"/>
      </w:pPr>
      <w:r>
        <w:rPr>
          <w:rFonts w:ascii="Times New Roman" w:hAnsi="Times New Roman" w:eastAsia="Times New Roman" w:cs="Times New Roman"/>
          <w:lang w:val="en-US" w:bidi="en-US"/>
          <w:color w:val="111111"/>
          <w:sz w:val="28"/>
          <w:szCs w:val="28"/>
          <w:rtl/>
        </w:rPr>
        <w:t xml:space="preserve">balagat-ul gawwās fi-l akwān ilā ma‘na-l ixlās fi ma`rifat-il insān</w:t>
      </w:r>
    </w:p>
    <w:p>
      <w:pPr>
        <w:pStyle w:val="BookText"/>
      </w:pPr>
      <w:r>
        <w:rPr>
          <w:rFonts w:ascii="IRNazanin" w:hAnsi="IRNazanin" w:eastAsia="IRNazanin" w:cs="IRNazanin"/>
          <w:lang w:bidi="fa-IR"/>
          <w:color w:val="111111"/>
          <w:sz w:val="28"/>
          <w:szCs w:val="28"/>
          <w:rtl/>
        </w:rPr>
        <w:t xml:space="preserve">قم؛ زنجانی (آية الله)؛ شماره نسخه:</w:t>
      </w:r>
    </w:p>
    <w:p>
      <w:pPr>
        <w:pStyle w:val="BookText"/>
      </w:pPr>
      <w:r>
        <w:rPr>
          <w:rFonts w:ascii="IRNazanin" w:hAnsi="IRNazanin" w:eastAsia="IRNazanin" w:cs="IRNazanin"/>
          <w:lang w:bidi="fa-IR"/>
          <w:color w:val="111111"/>
          <w:sz w:val="28"/>
          <w:szCs w:val="28"/>
          <w:rtl/>
        </w:rPr>
        <w:t xml:space="preserve">۷۴/۹ خط: نسخ، کا: محمد بن سليمان مشتهر به مشتاق، تا: جمعه ۱ ذیقعده ۱۰۳۰ق، جا: مشهد رضوی؛ قطع: وزیری[ چند نسخه ف: ۲۱۸]</w:t>
      </w:r>
    </w:p>
    <w:p>
      <w:pPr>
        <w:pStyle w:val="BookText"/>
      </w:pPr>
      <w:r>
        <w:rPr>
          <w:rFonts w:ascii="Amiri" w:hAnsi="Amiri" w:eastAsia="Amiri" w:cs="Amiri"/>
          <w:lang w:bidi="ar-SA"/>
          <w:color w:val="111111"/>
          <w:sz w:val="28"/>
          <w:szCs w:val="28"/>
          <w:rtl/>
        </w:rPr>
        <w:t xml:space="preserve">← البلغة في اعتبار اذن الامام في شرعية صلاة الجمعة ← صلاة الجمعة</w:t>
      </w:r>
    </w:p>
    <w:p>
      <w:pPr>
        <w:pStyle w:val="Heading3"/>
      </w:pPr>
      <w:bookmarkStart w:id="950" w:name="_Toc210"/>
      <w:r>
        <w:t>• البلغة في البلاغة (منظومة في) / بلاغت / عربی</w:t>
      </w:r>
      <w:bookmarkEnd w:id="950"/>
    </w:p>
    <w:p>
      <w:pPr>
        <w:pStyle w:val="BookText"/>
      </w:pPr>
      <w:r>
        <w:rPr>
          <w:rFonts w:ascii="Times New Roman" w:hAnsi="Times New Roman" w:eastAsia="Times New Roman" w:cs="Times New Roman"/>
          <w:lang w:val="en-US" w:bidi="en-US"/>
          <w:color w:val="111111"/>
          <w:sz w:val="28"/>
          <w:szCs w:val="28"/>
          <w:rtl/>
        </w:rPr>
        <w:t xml:space="preserve">al-balaga fi-l balaga (mnz-un fi)</w:t>
      </w:r>
    </w:p>
    <w:p>
      <w:pPr>
        <w:pStyle w:val="BookText"/>
      </w:pPr>
      <w:r>
        <w:rPr>
          <w:rFonts w:ascii="IRNazanin" w:hAnsi="IRNazanin" w:eastAsia="IRNazanin" w:cs="IRNazanin"/>
          <w:lang w:bidi="fa-IR"/>
          <w:color w:val="111111"/>
          <w:sz w:val="28"/>
          <w:szCs w:val="28"/>
          <w:rtl/>
        </w:rPr>
        <w:t xml:space="preserve">سماوی، محمد بن محمد طاهر، ۱۲۹۲- ۱۳۷۰ قمری</w:t>
      </w:r>
    </w:p>
    <w:p>
      <w:pPr>
        <w:pStyle w:val="BookText"/>
      </w:pPr>
      <w:r>
        <w:rPr>
          <w:rFonts w:ascii="Times New Roman" w:hAnsi="Times New Roman" w:eastAsia="Times New Roman" w:cs="Times New Roman"/>
          <w:lang w:val="en-US" w:bidi="en-US"/>
          <w:color w:val="111111"/>
          <w:sz w:val="28"/>
          <w:szCs w:val="28"/>
          <w:rtl/>
        </w:rPr>
        <w:t xml:space="preserve">samāvī, mohammad ebn-e mohammad tāher (1875 1951)</w:t>
      </w:r>
    </w:p>
    <w:p>
      <w:pPr>
        <w:pStyle w:val="BookText"/>
      </w:pPr>
      <w:r>
        <w:rPr>
          <w:rFonts w:ascii="IRNazanin" w:hAnsi="IRNazanin" w:eastAsia="IRNazanin" w:cs="IRNazanin"/>
          <w:lang w:bidi="fa-IR"/>
          <w:color w:val="111111"/>
          <w:sz w:val="28"/>
          <w:szCs w:val="28"/>
          <w:rtl/>
        </w:rPr>
        <w:t xml:space="preserve">ارجوزه ای است در ۳۰۰ بیت در علوم بلاغت.</w:t>
      </w:r>
    </w:p>
    <w:p>
      <w:pPr>
        <w:pStyle w:val="BookText"/>
      </w:pPr>
      <w:r>
        <w:rPr>
          <w:rFonts w:ascii="IRNazanin" w:hAnsi="IRNazanin" w:eastAsia="IRNazanin" w:cs="IRNazanin"/>
          <w:lang w:bidi="fa-IR"/>
          <w:color w:val="111111"/>
          <w:sz w:val="28"/>
          <w:szCs w:val="28"/>
          <w:rtl/>
        </w:rPr>
        <w:t xml:space="preserve">تهران؛ مجلس؛ شماره نسخه: ۱۵۷۷۵/۸</w:t>
      </w:r>
    </w:p>
    <w:p>
      <w:pPr>
        <w:pStyle w:val="BookText"/>
      </w:pPr>
      <w:r>
        <w:rPr>
          <w:rFonts w:ascii="IRNazanin" w:hAnsi="IRNazanin" w:eastAsia="IRNazanin" w:cs="IRNazanin"/>
          <w:lang w:bidi="fa-IR"/>
          <w:color w:val="111111"/>
          <w:sz w:val="28"/>
          <w:szCs w:val="28"/>
          <w:rtl/>
        </w:rPr>
        <w:t xml:space="preserve">آغاز: الحمدلله الذي قد انعما ** و علم الانسان ما لم يعلما؛ انجام: و آله الأطهار خیر آل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و صحبه معادن الكمال خط: نسخ، كاتب = مؤلف، تا: سلخ ربيع الثانی ۱۳۱۹ق، جان سماوه؛ جلد: تیماج فرنگی، ۸گ (۶۱ر -۶۸پ)، ۲۵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۴۴-۵۹]</w:t>
      </w:r>
    </w:p>
    <w:p>
      <w:pPr>
        <w:pStyle w:val="BookText"/>
      </w:pPr>
      <w:r>
        <w:rPr>
          <w:rFonts w:ascii="Amiri" w:hAnsi="Amiri" w:eastAsia="Amiri" w:cs="Amiri"/>
          <w:lang w:bidi="ar-SA"/>
          <w:color w:val="111111"/>
          <w:sz w:val="28"/>
          <w:szCs w:val="28"/>
          <w:rtl/>
        </w:rPr>
        <w:t xml:space="preserve">← البلغة في الحكمة← الأقطاب القطبية</w:t>
      </w:r>
    </w:p>
    <w:p>
      <w:pPr>
        <w:pStyle w:val="Heading3"/>
      </w:pPr>
      <w:bookmarkStart w:id="951" w:name="_Toc211"/>
      <w:r>
        <w:t>• البلغة المترجمة في اللغة / لغت / عربی، فارسی</w:t>
      </w:r>
      <w:bookmarkEnd w:id="951"/>
    </w:p>
    <w:p>
      <w:pPr>
        <w:pStyle w:val="BookText"/>
      </w:pPr>
      <w:r>
        <w:rPr>
          <w:rFonts w:ascii="Times New Roman" w:hAnsi="Times New Roman" w:eastAsia="Times New Roman" w:cs="Times New Roman"/>
          <w:lang w:val="en-US" w:bidi="en-US"/>
          <w:color w:val="111111"/>
          <w:sz w:val="28"/>
          <w:szCs w:val="28"/>
          <w:rtl/>
        </w:rPr>
        <w:t xml:space="preserve">al-balagat-ul mutarjima fi-1 luga</w:t>
      </w:r>
    </w:p>
    <w:p>
      <w:pPr>
        <w:pStyle w:val="BookText"/>
      </w:pPr>
      <w:r>
        <w:rPr>
          <w:rFonts w:ascii="IRNazanin" w:hAnsi="IRNazanin" w:eastAsia="IRNazanin" w:cs="IRNazanin"/>
          <w:lang w:bidi="fa-IR"/>
          <w:color w:val="111111"/>
          <w:sz w:val="28"/>
          <w:szCs w:val="28"/>
          <w:rtl/>
        </w:rPr>
        <w:t xml:space="preserve">کردی نیشابوری، یعقوب بن احمد، -۴۷۴ قمری</w:t>
      </w:r>
    </w:p>
    <w:p>
      <w:pPr>
        <w:pStyle w:val="BookText"/>
      </w:pPr>
      <w:r>
        <w:rPr>
          <w:rFonts w:ascii="Times New Roman" w:hAnsi="Times New Roman" w:eastAsia="Times New Roman" w:cs="Times New Roman"/>
          <w:lang w:val="en-US" w:bidi="en-US"/>
          <w:color w:val="111111"/>
          <w:sz w:val="28"/>
          <w:szCs w:val="28"/>
          <w:rtl/>
        </w:rPr>
        <w:t xml:space="preserve">kordī neyšābūrī, ya qūb ebn-e ahmad (- 1082)</w:t>
      </w:r>
    </w:p>
    <w:p>
      <w:pPr>
        <w:pStyle w:val="BookText"/>
      </w:pPr>
      <w:r>
        <w:rPr>
          <w:rFonts w:ascii="IRNazanin" w:hAnsi="IRNazanin" w:eastAsia="IRNazanin" w:cs="IRNazanin"/>
          <w:lang w:bidi="fa-IR"/>
          <w:color w:val="111111"/>
          <w:sz w:val="28"/>
          <w:szCs w:val="28"/>
          <w:rtl/>
        </w:rPr>
        <w:t xml:space="preserve">تاریخ تأليف: یکشنبه ۲ ربیع الثانی ۴۳۷ق در ترجمه لغات عربی به فارسی، مؤلف کتاب را در چهل «باب» تدوین نموده و هر باب مشتمل بر چند «فصل» می باشد، هر بابی دارای عنوان کلی بوده و در هر فصلی به ترجمه لغات مربوط به آن می پردازد. مؤلف گوید که چند سالی پیش از این آن را آغاز کرده بودم ولی گرفتاری ها نمی گذاشت تا این که به شیخ الامام قاضي القضاة ابو محمد عبدالله بن الحسين رحمة الله رسیدم و توانستم آن را به انجام برسانم.</w:t>
      </w:r>
    </w:p>
    <w:p>
      <w:pPr>
        <w:pStyle w:val="BookText"/>
      </w:pPr>
      <w:r>
        <w:rPr>
          <w:rFonts w:ascii="IRNazanin" w:hAnsi="IRNazanin" w:eastAsia="IRNazanin" w:cs="IRNazanin"/>
          <w:lang w:bidi="fa-IR"/>
          <w:color w:val="111111"/>
          <w:sz w:val="28"/>
          <w:szCs w:val="28"/>
          <w:rtl/>
        </w:rPr>
        <w:t xml:space="preserve">چاپ: به تصحیح مجتبی مینوی، تهران، بنیاد فرهنگ ایرانی، ۱۳۵۵</w:t>
      </w:r>
    </w:p>
    <w:p>
      <w:pPr>
        <w:pStyle w:val="BookText"/>
      </w:pPr>
      <w:r>
        <w:rPr>
          <w:rFonts w:ascii="IRNazanin" w:hAnsi="IRNazanin" w:eastAsia="IRNazanin" w:cs="IRNazanin"/>
          <w:lang w:bidi="fa-IR"/>
          <w:color w:val="111111"/>
          <w:sz w:val="28"/>
          <w:szCs w:val="28"/>
          <w:rtl/>
        </w:rPr>
        <w:t xml:space="preserve">۱. تهران؛ مطالعات فرهنگی؛ شماره نسخه: ع ۷۵</w:t>
      </w:r>
    </w:p>
    <w:p>
      <w:pPr>
        <w:pStyle w:val="BookText"/>
      </w:pPr>
      <w:r>
        <w:rPr>
          <w:rFonts w:ascii="IRNazanin" w:hAnsi="IRNazanin" w:eastAsia="IRNazanin" w:cs="IRNazanin"/>
          <w:lang w:bidi="fa-IR"/>
          <w:color w:val="111111"/>
          <w:sz w:val="28"/>
          <w:szCs w:val="28"/>
          <w:rtl/>
        </w:rPr>
        <w:t xml:space="preserve">نسخه اصل: گوتا ۸۲۴؛ بی کا، تا: ۵۳۱ ق [فهرستواره مینوی: ۱۶۲]</w:t>
      </w:r>
    </w:p>
    <w:p>
      <w:pPr>
        <w:pStyle w:val="BookText"/>
      </w:pPr>
      <w:r>
        <w:rPr>
          <w:rFonts w:ascii="IRNazanin" w:hAnsi="IRNazanin" w:eastAsia="IRNazanin" w:cs="IRNazanin"/>
          <w:lang w:bidi="fa-IR"/>
          <w:color w:val="111111"/>
          <w:sz w:val="28"/>
          <w:szCs w:val="28"/>
          <w:rtl/>
        </w:rPr>
        <w:t xml:space="preserve">۲. تهران؛ مجلس؛ شماره نسخه: ۵۳۵/۱</w:t>
      </w:r>
    </w:p>
    <w:p>
      <w:pPr>
        <w:pStyle w:val="BookText"/>
      </w:pPr>
      <w:r>
        <w:rPr>
          <w:rFonts w:ascii="IRNazanin" w:hAnsi="IRNazanin" w:eastAsia="IRNazanin" w:cs="IRNazanin"/>
          <w:lang w:bidi="fa-IR"/>
          <w:color w:val="111111"/>
          <w:sz w:val="28"/>
          <w:szCs w:val="28"/>
          <w:rtl/>
        </w:rPr>
        <w:t xml:space="preserve">آغاز: فصل في ذكر الراس و صفاته، الراس سر الاروس و الروس ج؛ انجام: و الله سبحانه حسبی و عليه توكلی و به حولي و منه توفيقي لما يزلف من رحمته بمنه و رافته دیباچه را ندارد و در فهرست باب ها آغاز می شود از «الباب السابع في ذكر الجماعات و القطع من اشياء مختلفة»؛ خط: نسخ، بی کا، تا: قرن ۷؛ کاغذ: سفید، جلد: تیماج سرخ مقوایی نو، ۱۷۲ص (1 -۱۷۲)، ۱۴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[سنا: ف: ۱-۳۴۱)</w:t>
      </w:r>
    </w:p>
    <w:p>
      <w:pPr>
        <w:pStyle w:val="BookText"/>
      </w:pPr>
      <w:r>
        <w:rPr>
          <w:rFonts w:ascii="IRNazanin" w:hAnsi="IRNazanin" w:eastAsia="IRNazanin" w:cs="IRNazanin"/>
          <w:lang w:bidi="fa-IR"/>
          <w:color w:val="111111"/>
          <w:sz w:val="28"/>
          <w:szCs w:val="28"/>
          <w:rtl/>
        </w:rPr>
        <w:t xml:space="preserve">تهران؛ مطالعات فرهنگی؛ شماره نسخه: ف ۷۶ (ع ۱۶۶)</w:t>
      </w:r>
    </w:p>
    <w:p>
      <w:pPr>
        <w:pStyle w:val="BookText"/>
      </w:pPr>
      <w:r>
        <w:rPr>
          <w:rFonts w:ascii="IRNazanin" w:hAnsi="IRNazanin" w:eastAsia="IRNazanin" w:cs="IRNazanin"/>
          <w:lang w:bidi="fa-IR"/>
          <w:color w:val="111111"/>
          <w:sz w:val="28"/>
          <w:szCs w:val="28"/>
          <w:rtl/>
        </w:rPr>
        <w:t xml:space="preserve">نسخه اصل: همان نسخه بالا [فهرستواره مینوی: ۱۶۲]</w:t>
      </w:r>
    </w:p>
    <w:p>
      <w:pPr>
        <w:pStyle w:val="BookText"/>
      </w:pPr>
      <w:r>
        <w:rPr>
          <w:rFonts w:ascii="IRNazanin" w:hAnsi="IRNazanin" w:eastAsia="IRNazanin" w:cs="IRNazanin"/>
          <w:lang w:bidi="fa-IR"/>
          <w:color w:val="111111"/>
          <w:sz w:val="28"/>
          <w:szCs w:val="28"/>
          <w:rtl/>
        </w:rPr>
        <w:t xml:space="preserve">تهران؛ مینوی؛ شماره نسخه: ۱۱۴/۱</w:t>
      </w:r>
    </w:p>
    <w:p>
      <w:pPr>
        <w:pStyle w:val="BookText"/>
      </w:pPr>
      <w:r>
        <w:rPr>
          <w:rFonts w:ascii="IRNazanin" w:hAnsi="IRNazanin" w:eastAsia="IRNazanin" w:cs="IRNazanin"/>
          <w:lang w:bidi="fa-IR"/>
          <w:color w:val="111111"/>
          <w:sz w:val="28"/>
          <w:szCs w:val="28"/>
          <w:rtl/>
        </w:rPr>
        <w:t xml:space="preserve">بخش ۳ نسخه اصل: همان نسخه بالا [ف: ۱۰۸]</w:t>
      </w:r>
    </w:p>
    <w:p>
      <w:pPr>
        <w:pStyle w:val="BookText"/>
      </w:pPr>
      <w:r>
        <w:rPr>
          <w:rFonts w:ascii="IRNazanin" w:hAnsi="IRNazanin" w:eastAsia="IRNazanin" w:cs="IRNazanin"/>
          <w:lang w:bidi="fa-IR"/>
          <w:color w:val="111111"/>
          <w:sz w:val="28"/>
          <w:szCs w:val="28"/>
          <w:rtl/>
        </w:rPr>
        <w:t xml:space="preserve">تهران؛ دانشگاه؛ شماره نسخه: ۳۴۹۹/۱</w:t>
      </w:r>
    </w:p>
    <w:p>
      <w:pPr>
        <w:pStyle w:val="BookText"/>
      </w:pPr>
      <w:r>
        <w:rPr>
          <w:rFonts w:ascii="Amiri" w:hAnsi="Amiri" w:eastAsia="Amiri" w:cs="Amiri"/>
          <w:lang w:bidi="ar-SA"/>
          <w:color w:val="111111"/>
          <w:sz w:val="28"/>
          <w:szCs w:val="28"/>
          <w:rtl/>
        </w:rPr>
        <w:t xml:space="preserve">نسخه اصل: همان نسخه بالا [فيلمها ف: ۲-۱۵۵]</w:t>
      </w:r>
    </w:p>
    <w:p>
      <w:pPr>
        <w:pStyle w:val="BookText"/>
      </w:pPr>
      <w:r>
        <w:rPr>
          <w:rFonts w:ascii="IRNazanin" w:hAnsi="IRNazanin" w:eastAsia="IRNazanin" w:cs="IRNazanin"/>
          <w:lang w:bidi="fa-IR"/>
          <w:color w:val="111111"/>
          <w:sz w:val="28"/>
          <w:szCs w:val="28"/>
          <w:rtl/>
        </w:rPr>
        <w:t xml:space="preserve">قم؛ مرعشی؛ شماره نسخه: ۳۵/۱</w:t>
      </w:r>
    </w:p>
    <w:p>
      <w:pPr>
        <w:pStyle w:val="BookText"/>
      </w:pPr>
      <w:r>
        <w:rPr>
          <w:rFonts w:ascii="IRNazanin" w:hAnsi="IRNazanin" w:eastAsia="IRNazanin" w:cs="IRNazanin"/>
          <w:lang w:bidi="fa-IR"/>
          <w:color w:val="111111"/>
          <w:sz w:val="28"/>
          <w:szCs w:val="28"/>
          <w:rtl/>
        </w:rPr>
        <w:t xml:space="preserve">عکسی نسخه اصل: همان نسخه بالا [عکسی ف: ۱-۳۷]</w:t>
      </w:r>
    </w:p>
    <w:p>
      <w:pPr>
        <w:pStyle w:val="BookText"/>
      </w:pPr>
      <w:r>
        <w:rPr>
          <w:rFonts w:ascii="IRNazanin" w:hAnsi="IRNazanin" w:eastAsia="IRNazanin" w:cs="IRNazanin"/>
          <w:lang w:bidi="fa-IR"/>
          <w:color w:val="111111"/>
          <w:sz w:val="28"/>
          <w:szCs w:val="28"/>
          <w:rtl/>
        </w:rPr>
        <w:t xml:space="preserve">٣. تهران؛ دانشگاه؛ شماره نسخه: -۸۷ف</w:t>
      </w:r>
    </w:p>
    <w:p>
      <w:pPr>
        <w:pStyle w:val="BookText"/>
      </w:pPr>
      <w:r>
        <w:rPr>
          <w:rFonts w:ascii="IRNazanin" w:hAnsi="IRNazanin" w:eastAsia="IRNazanin" w:cs="IRNazanin"/>
          <w:lang w:bidi="fa-IR"/>
          <w:color w:val="111111"/>
          <w:sz w:val="28"/>
          <w:szCs w:val="28"/>
          <w:rtl/>
        </w:rPr>
        <w:t xml:space="preserve">نسخه اصل: آماسیه بایزید ش ۹۵۴. در فهرست بدون نام مؤلف است؛ خط: نسخ، كا: محمد بن حسن بن حاجی رازی، تا: جمادی الثانی ۶۵۴ق؛ ۱۱۰ گ، ۱۷ سطر [فیلمها ف: ۱-۲۳]</w:t>
      </w:r>
    </w:p>
    <w:p>
      <w:pPr>
        <w:pStyle w:val="BookText"/>
      </w:pPr>
      <w:r>
        <w:rPr>
          <w:rFonts w:ascii="IRNazanin" w:hAnsi="IRNazanin" w:eastAsia="IRNazanin" w:cs="IRNazanin"/>
          <w:lang w:bidi="fa-IR"/>
          <w:color w:val="111111"/>
          <w:sz w:val="28"/>
          <w:szCs w:val="28"/>
          <w:rtl/>
        </w:rPr>
        <w:t xml:space="preserve">تهران؛ مینوی؛ شماره نسخه: ۵۴ بخش ۳</w:t>
      </w:r>
    </w:p>
    <w:p>
      <w:pPr>
        <w:pStyle w:val="BookText"/>
      </w:pPr>
      <w:r>
        <w:rPr>
          <w:rFonts w:ascii="IRNazanin" w:hAnsi="IRNazanin" w:eastAsia="IRNazanin" w:cs="IRNazanin"/>
          <w:lang w:bidi="fa-IR"/>
          <w:color w:val="111111"/>
          <w:sz w:val="28"/>
          <w:szCs w:val="28"/>
          <w:rtl/>
        </w:rPr>
        <w:t xml:space="preserve">نسخه اصل: همان نسخه اصل بالا [ف: ۹۷]</w:t>
      </w:r>
    </w:p>
    <w:p>
      <w:pPr>
        <w:pStyle w:val="BookText"/>
      </w:pPr>
      <w:r>
        <w:rPr>
          <w:rFonts w:ascii="IRNazanin" w:hAnsi="IRNazanin" w:eastAsia="IRNazanin" w:cs="IRNazanin"/>
          <w:lang w:bidi="fa-IR"/>
          <w:color w:val="111111"/>
          <w:sz w:val="28"/>
          <w:szCs w:val="28"/>
          <w:rtl/>
        </w:rPr>
        <w:t xml:space="preserve">۴. تهران؛ مطالعات فرهنگی؛ شماره نسخه: ع ۷۴</w:t>
      </w:r>
    </w:p>
    <w:p>
      <w:pPr>
        <w:pStyle w:val="BookText"/>
      </w:pPr>
      <w:r>
        <w:rPr>
          <w:rFonts w:ascii="IRNazanin" w:hAnsi="IRNazanin" w:eastAsia="IRNazanin" w:cs="IRNazanin"/>
          <w:lang w:bidi="fa-IR"/>
          <w:color w:val="111111"/>
          <w:sz w:val="28"/>
          <w:szCs w:val="28"/>
          <w:rtl/>
        </w:rPr>
        <w:t xml:space="preserve">نسخه اصل: ایاصوفيا بایزید ۹۵۴؛ بی کا، تا: ۶۵۴ق [فهرستواره مینوی: ۱۶۲]</w:t>
      </w:r>
    </w:p>
    <w:p>
      <w:pPr>
        <w:pStyle w:val="BookText"/>
      </w:pPr>
      <w:r>
        <w:rPr>
          <w:rFonts w:ascii="IRNazanin" w:hAnsi="IRNazanin" w:eastAsia="IRNazanin" w:cs="IRNazanin"/>
          <w:lang w:bidi="fa-IR"/>
          <w:color w:val="111111"/>
          <w:sz w:val="28"/>
          <w:szCs w:val="28"/>
          <w:rtl/>
        </w:rPr>
        <w:t xml:space="preserve">۵. تهران، دانشگاه؛ شماره نسخه: ۳۴۳۳/۱ - ف</w:t>
      </w:r>
    </w:p>
    <w:p>
      <w:pPr>
        <w:pStyle w:val="BookText"/>
      </w:pPr>
      <w:r>
        <w:rPr>
          <w:rFonts w:ascii="IRNazanin" w:hAnsi="IRNazanin" w:eastAsia="IRNazanin" w:cs="IRNazanin"/>
          <w:lang w:bidi="fa-IR"/>
          <w:color w:val="111111"/>
          <w:sz w:val="28"/>
          <w:szCs w:val="28"/>
          <w:rtl/>
        </w:rPr>
        <w:t xml:space="preserve">نسخه اصل: چستربیتی ۳۰۵ (۷۱/۳ )؛ خط: نسخ، كا: عبدالملک بن ابراهيم بن عبدالرحمان قفالی، تا: ۲۴ شوال ۶۶۸ق؛ از روی اصل نوشته مؤلف و خوانده بر او و تصحیح شده [فیلمها ف: ۲-۱۴۲]</w:t>
      </w:r>
    </w:p>
    <w:p>
      <w:pPr>
        <w:pStyle w:val="BookText"/>
      </w:pPr>
      <w:r>
        <w:rPr>
          <w:rFonts w:ascii="IRNazanin" w:hAnsi="IRNazanin" w:eastAsia="IRNazanin" w:cs="IRNazanin"/>
          <w:lang w:bidi="fa-IR"/>
          <w:color w:val="111111"/>
          <w:sz w:val="28"/>
          <w:szCs w:val="28"/>
          <w:rtl/>
        </w:rPr>
        <w:t xml:space="preserve">تهران؛ مطالعات فرهنگی؛ شماره نسخه: ف ۷۹/۱ و ف ۸۰/۱</w:t>
      </w:r>
    </w:p>
    <w:p>
      <w:pPr>
        <w:pStyle w:val="BookText"/>
      </w:pPr>
      <w:r>
        <w:rPr>
          <w:rFonts w:ascii="IRNazanin" w:hAnsi="IRNazanin" w:eastAsia="IRNazanin" w:cs="IRNazanin"/>
          <w:lang w:bidi="fa-IR"/>
          <w:color w:val="111111"/>
          <w:sz w:val="28"/>
          <w:szCs w:val="28"/>
          <w:rtl/>
        </w:rPr>
        <w:t xml:space="preserve">نسخه اصل: همان نسخه بالا [فهرستواره مینوی: ۱۸۳]</w:t>
      </w:r>
    </w:p>
    <w:p>
      <w:pPr>
        <w:pStyle w:val="BookText"/>
      </w:pPr>
      <w:r>
        <w:rPr>
          <w:rFonts w:ascii="IRNazanin" w:hAnsi="IRNazanin" w:eastAsia="IRNazanin" w:cs="IRNazanin"/>
          <w:lang w:bidi="fa-IR"/>
          <w:color w:val="111111"/>
          <w:sz w:val="28"/>
          <w:szCs w:val="28"/>
          <w:rtl/>
        </w:rPr>
        <w:t xml:space="preserve">تهران؛ مینوی؛ شماره نسخه: ۵۶ بخش ۳</w:t>
      </w:r>
    </w:p>
    <w:p>
      <w:pPr>
        <w:pStyle w:val="BookText"/>
      </w:pPr>
      <w:r>
        <w:rPr>
          <w:rFonts w:ascii="IRNazanin" w:hAnsi="IRNazanin" w:eastAsia="IRNazanin" w:cs="IRNazanin"/>
          <w:lang w:bidi="fa-IR"/>
          <w:color w:val="111111"/>
          <w:sz w:val="28"/>
          <w:szCs w:val="28"/>
          <w:rtl/>
        </w:rPr>
        <w:t xml:space="preserve">نسخه اصل: همان نسخه اصل بالا. البلغة است با تتمه کتاب البلغة از ابوالحسن علی بن احمد فنجکردی دارای ۸۴ واژه و المصادر و مقدمة الأدوات هر دو از گمنام و هر چهار با برابرهای فارسی است؛ تملک: نوح بن مصیص قاضی توصیه [ف: ۹۷]</w:t>
      </w:r>
    </w:p>
    <w:p>
      <w:pPr>
        <w:pStyle w:val="BookText"/>
      </w:pPr>
      <w:r>
        <w:rPr>
          <w:rFonts w:ascii="IRNazanin" w:hAnsi="IRNazanin" w:eastAsia="IRNazanin" w:cs="IRNazanin"/>
          <w:lang w:bidi="fa-IR"/>
          <w:color w:val="111111"/>
          <w:sz w:val="28"/>
          <w:szCs w:val="28"/>
          <w:rtl/>
        </w:rPr>
        <w:t xml:space="preserve">تهران؛ مینوی؛ شماره نسخه: ۳۸۶بخش ۳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5" w:name="pg20363_209234"/>
    <w:bookmarkEnd w:id="75"/>
    <w:p>
      <w:pPr>
        <w:pStyle w:val="BookText"/>
      </w:pPr>
      <w:r>
        <w:rPr>
          <w:rFonts w:ascii="IRNazanin" w:hAnsi="IRNazanin" w:eastAsia="IRNazanin" w:cs="IRNazanin"/>
          <w:lang w:bidi="fa-IR"/>
          <w:color w:val="111111"/>
          <w:sz w:val="28"/>
          <w:szCs w:val="28"/>
          <w:rtl/>
        </w:rPr>
        <w:t xml:space="preserve">نسخه اصل: چستر بیتی ۳۰۵ و ۳۰۸ و ۳۲۲ [ف: ۱۵۶]</w:t>
      </w:r>
    </w:p>
    <w:p>
      <w:pPr>
        <w:pStyle w:val="BookText"/>
      </w:pPr>
      <w:r>
        <w:rPr>
          <w:rFonts w:ascii="IRNazanin" w:hAnsi="IRNazanin" w:eastAsia="IRNazanin" w:cs="IRNazanin"/>
          <w:lang w:bidi="fa-IR"/>
          <w:color w:val="111111"/>
          <w:sz w:val="28"/>
          <w:szCs w:val="28"/>
          <w:rtl/>
        </w:rPr>
        <w:t xml:space="preserve">۶. تهران، دانشگاه؛ شماره نسخه: ۷۹۲-ف</w:t>
      </w:r>
    </w:p>
    <w:p>
      <w:pPr>
        <w:pStyle w:val="BookText"/>
      </w:pPr>
      <w:r>
        <w:rPr>
          <w:rFonts w:ascii="IRNazanin" w:hAnsi="IRNazanin" w:eastAsia="IRNazanin" w:cs="IRNazanin"/>
          <w:lang w:bidi="fa-IR"/>
          <w:color w:val="111111"/>
          <w:sz w:val="28"/>
          <w:szCs w:val="28"/>
          <w:rtl/>
        </w:rPr>
        <w:t xml:space="preserve">نسخه اصل: گوتا ۵۳۱/۱ (۴۰۲)؛ خط: نسخ، بی کا، تا: سه شنبه ۱۹ ربیع الاول ۸۲۴ق؛ ۷۷گ [فیلمها ف: ۱-۲۳]</w:t>
      </w:r>
    </w:p>
    <w:p>
      <w:pPr>
        <w:pStyle w:val="BookText"/>
      </w:pPr>
      <w:r>
        <w:rPr>
          <w:rFonts w:ascii="IRNazanin" w:hAnsi="IRNazanin" w:eastAsia="IRNazanin" w:cs="IRNazanin"/>
          <w:lang w:bidi="fa-IR"/>
          <w:color w:val="111111"/>
          <w:sz w:val="28"/>
          <w:szCs w:val="28"/>
          <w:rtl/>
        </w:rPr>
        <w:t xml:space="preserve">تهران؛ مینوی؛ شماره نسخه: ۵۵بخش۳</w:t>
      </w:r>
    </w:p>
    <w:p>
      <w:pPr>
        <w:pStyle w:val="BookText"/>
      </w:pPr>
      <w:r>
        <w:rPr>
          <w:rFonts w:ascii="IRNazanin" w:hAnsi="IRNazanin" w:eastAsia="IRNazanin" w:cs="IRNazanin"/>
          <w:lang w:bidi="fa-IR"/>
          <w:color w:val="111111"/>
          <w:sz w:val="28"/>
          <w:szCs w:val="28"/>
          <w:rtl/>
        </w:rPr>
        <w:t xml:space="preserve">همان نسخه بالا [ف: ۹۷]</w:t>
      </w:r>
    </w:p>
    <w:p>
      <w:pPr>
        <w:pStyle w:val="Heading3"/>
      </w:pPr>
      <w:bookmarkStart w:id="952" w:name="_Toc212"/>
      <w:r>
        <w:t>• بلغة المحتاج في مناسك الحاج / فقه / عربی</w:t>
      </w:r>
      <w:bookmarkEnd w:id="952"/>
    </w:p>
    <w:p>
      <w:pPr>
        <w:pStyle w:val="BookText"/>
      </w:pPr>
      <w:r>
        <w:rPr>
          <w:rFonts w:ascii="Times New Roman" w:hAnsi="Times New Roman" w:eastAsia="Times New Roman" w:cs="Times New Roman"/>
          <w:lang w:val="en-US" w:bidi="en-US"/>
          <w:color w:val="111111"/>
          <w:sz w:val="28"/>
          <w:szCs w:val="28"/>
          <w:rtl/>
        </w:rPr>
        <w:t xml:space="preserve">balagat-ul muhtaj fi manasik-il haj</w:t>
      </w:r>
    </w:p>
    <w:p>
      <w:pPr>
        <w:pStyle w:val="BookText"/>
      </w:pPr>
      <w:r>
        <w:rPr>
          <w:rFonts w:ascii="IRNazanin" w:hAnsi="IRNazanin" w:eastAsia="IRNazanin" w:cs="IRNazanin"/>
          <w:lang w:bidi="fa-IR"/>
          <w:color w:val="111111"/>
          <w:sz w:val="28"/>
          <w:szCs w:val="28"/>
          <w:rtl/>
        </w:rPr>
        <w:t xml:space="preserve">سیوطی، عبدالرحمن بن ابی بکر، ۸۴۹-۹۱۱ قمری</w:t>
      </w:r>
    </w:p>
    <w:p>
      <w:pPr>
        <w:pStyle w:val="BookText"/>
      </w:pPr>
      <w:r>
        <w:rPr>
          <w:rFonts w:ascii="Times New Roman" w:hAnsi="Times New Roman" w:eastAsia="Times New Roman" w:cs="Times New Roman"/>
          <w:lang w:val="en-US" w:bidi="en-US"/>
          <w:color w:val="111111"/>
          <w:sz w:val="28"/>
          <w:szCs w:val="28"/>
          <w:rtl/>
        </w:rPr>
        <w:t xml:space="preserve">soyūtī, ‘abd-or-rahmān ebn-e abī-bakr (1446-1506)</w:t>
      </w:r>
    </w:p>
    <w:p>
      <w:pPr>
        <w:pStyle w:val="BookText"/>
      </w:pPr>
      <w:r>
        <w:rPr>
          <w:rFonts w:ascii="IRNazanin" w:hAnsi="IRNazanin" w:eastAsia="IRNazanin" w:cs="IRNazanin"/>
          <w:lang w:bidi="fa-IR"/>
          <w:color w:val="111111"/>
          <w:sz w:val="28"/>
          <w:szCs w:val="28"/>
          <w:rtl/>
        </w:rPr>
        <w:t xml:space="preserve">تاریخ تألیف: شب دوشنبه ۱۸ جمادی الثانی ۸۷۱ق در این رساله واجبات و مستحبات حج بیان شده است.</w:t>
      </w:r>
    </w:p>
    <w:p>
      <w:pPr>
        <w:pStyle w:val="BookText"/>
      </w:pPr>
      <w:r>
        <w:rPr>
          <w:rFonts w:ascii="IRNazanin" w:hAnsi="IRNazanin" w:eastAsia="IRNazanin" w:cs="IRNazanin"/>
          <w:lang w:bidi="fa-IR"/>
          <w:color w:val="111111"/>
          <w:sz w:val="28"/>
          <w:szCs w:val="28"/>
          <w:rtl/>
        </w:rPr>
        <w:t xml:space="preserve">مشهد؛ رضوی؛ شماره نسخه: ۲۲۱۸۹</w:t>
      </w:r>
    </w:p>
    <w:p>
      <w:pPr>
        <w:pStyle w:val="BookText"/>
      </w:pPr>
      <w:r>
        <w:rPr>
          <w:rFonts w:ascii="IRNazanin" w:hAnsi="IRNazanin" w:eastAsia="IRNazanin" w:cs="IRNazanin"/>
          <w:lang w:bidi="fa-IR"/>
          <w:color w:val="111111"/>
          <w:sz w:val="28"/>
          <w:szCs w:val="28"/>
          <w:rtl/>
        </w:rPr>
        <w:t xml:space="preserve">آغاز: بسمله، الحمدلله و الصلاة و السلام على رسول الله اذا وصل قاصد النسك الى الميقات حرم أن يجاوزه بغير احرام؛ انجام: و ردنا سالمين عامين إلى ساعين (كذا) غانمين ... هذا آخر بلغة ... احدی و سبعین و ثمانمائة</w:t>
      </w:r>
    </w:p>
    <w:p>
      <w:pPr>
        <w:pStyle w:val="BookText"/>
      </w:pPr>
      <w:r>
        <w:rPr>
          <w:rFonts w:ascii="IRNazanin" w:hAnsi="IRNazanin" w:eastAsia="IRNazanin" w:cs="IRNazanin"/>
          <w:lang w:bidi="fa-IR"/>
          <w:color w:val="111111"/>
          <w:sz w:val="28"/>
          <w:szCs w:val="28"/>
          <w:rtl/>
        </w:rPr>
        <w:t xml:space="preserve">خط: نسخ، كا: زکریا بن محمد شافعی، تا: قرن ۱۱؛ نسخه توسط عبد الحميد بن حامد بن عسکری حسینی سامانی در کشمیر تصحیح و مقابله شده، مجدول، دارای کمند به لاجورد؛ اهدایی: رهبری، فروردین ۱۳۷۴؛ کاغذ: نباتی آهاری، جلد: مقوا، ۴گ، ۲۴ سطر،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[اهدائی رهبر: ۲۱/۱ -۱۸۸]</w:t>
      </w:r>
    </w:p>
    <w:p>
      <w:pPr>
        <w:pStyle w:val="Heading3"/>
      </w:pPr>
      <w:bookmarkStart w:id="953" w:name="_Toc213"/>
      <w:r>
        <w:t>• بلغة المحدثين / رجال / عربی</w:t>
      </w:r>
      <w:bookmarkEnd w:id="953"/>
    </w:p>
    <w:p>
      <w:pPr>
        <w:pStyle w:val="BookText"/>
      </w:pPr>
      <w:r>
        <w:rPr>
          <w:rFonts w:ascii="Times New Roman" w:hAnsi="Times New Roman" w:eastAsia="Times New Roman" w:cs="Times New Roman"/>
          <w:lang w:val="en-US" w:bidi="en-US"/>
          <w:color w:val="111111"/>
          <w:sz w:val="28"/>
          <w:szCs w:val="28"/>
          <w:rtl/>
        </w:rPr>
        <w:t xml:space="preserve">balagat-ul muhadditīn</w:t>
      </w:r>
    </w:p>
    <w:p>
      <w:pPr>
        <w:pStyle w:val="BookText"/>
      </w:pPr>
      <w:r>
        <w:rPr>
          <w:rFonts w:ascii="IRNazanin" w:hAnsi="IRNazanin" w:eastAsia="IRNazanin" w:cs="IRNazanin"/>
          <w:lang w:bidi="fa-IR"/>
          <w:color w:val="111111"/>
          <w:sz w:val="28"/>
          <w:szCs w:val="28"/>
          <w:rtl/>
        </w:rPr>
        <w:t xml:space="preserve">بحرانی، سلیمان بن عبد الله، ۱۰۷۵؟ -۱۱۲۱ قمری</w:t>
      </w:r>
    </w:p>
    <w:p>
      <w:pPr>
        <w:pStyle w:val="BookText"/>
      </w:pPr>
      <w:r>
        <w:rPr>
          <w:rFonts w:ascii="Times New Roman" w:hAnsi="Times New Roman" w:eastAsia="Times New Roman" w:cs="Times New Roman"/>
          <w:lang w:val="en-US" w:bidi="en-US"/>
          <w:color w:val="111111"/>
          <w:sz w:val="28"/>
          <w:szCs w:val="28"/>
          <w:rtl/>
        </w:rPr>
        <w:t xml:space="preserve">bahrānī, soleymān ebn-e 'abd-ol-lāh (1665-1710)</w:t>
      </w:r>
    </w:p>
    <w:p>
      <w:pPr>
        <w:pStyle w:val="BookText"/>
      </w:pPr>
      <w:r>
        <w:rPr>
          <w:rFonts w:ascii="IRNazanin" w:hAnsi="IRNazanin" w:eastAsia="IRNazanin" w:cs="IRNazanin"/>
          <w:lang w:bidi="fa-IR"/>
          <w:color w:val="111111"/>
          <w:sz w:val="28"/>
          <w:szCs w:val="28"/>
          <w:rtl/>
        </w:rPr>
        <w:t xml:space="preserve">تاریخ تأليف: 8 صفر 1112ق</w:t>
      </w:r>
    </w:p>
    <w:p>
      <w:pPr>
        <w:pStyle w:val="BookText"/>
      </w:pPr>
      <w:r>
        <w:rPr>
          <w:rFonts w:ascii="IRNazanin" w:hAnsi="IRNazanin" w:eastAsia="IRNazanin" w:cs="IRNazanin"/>
          <w:lang w:bidi="fa-IR"/>
          <w:color w:val="111111"/>
          <w:sz w:val="28"/>
          <w:szCs w:val="28"/>
          <w:rtl/>
        </w:rPr>
        <w:t xml:space="preserve">مؤلف، پس از تأليف مقداری از کتاب «معراج اهل الكمال» خود، خواست کتابی بسیار مختصر درباره موثقين از رجال تأليف کند بدون گفتگوهای مفصل و شامل ملخص آرائش تا کمکی باشد از برای کسانی که با حدیث سر و کار دارند.</w:t>
      </w:r>
    </w:p>
    <w:p>
      <w:pPr>
        <w:pStyle w:val="BookText"/>
      </w:pPr>
      <w:r>
        <w:rPr>
          <w:rFonts w:ascii="Amiri" w:hAnsi="Amiri" w:eastAsia="Amiri" w:cs="Amiri"/>
          <w:lang w:bidi="ar-SA"/>
          <w:color w:val="111111"/>
          <w:sz w:val="28"/>
          <w:szCs w:val="28"/>
          <w:rtl/>
        </w:rPr>
        <w:t xml:space="preserve">آغاز: الحمدلله الذي جعل تفاوت مراتب الرجال و ارتقاء هم الى معارج الكمال على قدر روايتهم.</w:t>
      </w:r>
    </w:p>
    <w:p>
      <w:pPr>
        <w:pStyle w:val="BookText"/>
      </w:pPr>
      <w:r>
        <w:rPr>
          <w:rFonts w:ascii="IRNazanin" w:hAnsi="IRNazanin" w:eastAsia="IRNazanin" w:cs="IRNazanin"/>
          <w:lang w:bidi="fa-IR"/>
          <w:color w:val="111111"/>
          <w:sz w:val="28"/>
          <w:szCs w:val="28"/>
          <w:rtl/>
        </w:rPr>
        <w:t xml:space="preserve">انجام: و سيأتي بسط البحث فيه في ترجمته في حرف الباء من کتاب معراج اهل الكمال ...</w:t>
      </w:r>
    </w:p>
    <w:p>
      <w:pPr>
        <w:pStyle w:val="BookText"/>
      </w:pPr>
      <w:r>
        <w:rPr>
          <w:rFonts w:ascii="IRNazanin" w:hAnsi="IRNazanin" w:eastAsia="IRNazanin" w:cs="IRNazanin"/>
          <w:lang w:bidi="fa-IR"/>
          <w:color w:val="111111"/>
          <w:sz w:val="28"/>
          <w:szCs w:val="28"/>
          <w:rtl/>
        </w:rPr>
        <w:t xml:space="preserve">چاپ: قم، ۱۴۱۲ق</w:t>
      </w:r>
    </w:p>
    <w:p>
      <w:pPr>
        <w:pStyle w:val="BookText"/>
      </w:pPr>
      <w:r>
        <w:rPr>
          <w:rFonts w:ascii="Amiri" w:hAnsi="Amiri" w:eastAsia="Amiri" w:cs="Amiri"/>
          <w:lang w:bidi="ar-SA"/>
          <w:color w:val="111111"/>
          <w:sz w:val="28"/>
          <w:szCs w:val="28"/>
          <w:rtl/>
        </w:rPr>
        <w:t xml:space="preserve">[الذريعه ۱۴۶/۳ و ۱۴۸ س ۱۲]</w:t>
      </w:r>
    </w:p>
    <w:p>
      <w:pPr>
        <w:pStyle w:val="BookText"/>
      </w:pPr>
      <w:r>
        <w:rPr>
          <w:rFonts w:ascii="IRNazanin" w:hAnsi="IRNazanin" w:eastAsia="IRNazanin" w:cs="IRNazanin"/>
          <w:lang w:bidi="fa-IR"/>
          <w:color w:val="111111"/>
          <w:sz w:val="28"/>
          <w:szCs w:val="28"/>
          <w:rtl/>
        </w:rPr>
        <w:t xml:space="preserve">۱. قم؛ مرعشی؛ شماره نسخه: ۴۳۶۰/۲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۱۲، در عصر مؤلف؛ جلد: مقوایی عطف تیماج قهوه ای، ۴۱گی (۲۱۰-۲۵۰پ)، ۱۲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[ف: ۱۱-۳۵۸]</w:t>
      </w:r>
    </w:p>
    <w:p>
      <w:pPr>
        <w:pStyle w:val="BookText"/>
      </w:pPr>
      <w:r>
        <w:rPr>
          <w:rFonts w:ascii="IRNazanin" w:hAnsi="IRNazanin" w:eastAsia="IRNazanin" w:cs="IRNazanin"/>
          <w:lang w:bidi="fa-IR"/>
          <w:color w:val="111111"/>
          <w:sz w:val="28"/>
          <w:szCs w:val="28"/>
          <w:rtl/>
        </w:rPr>
        <w:t xml:space="preserve">۲. شیراز؛ امام عصر؛ شماره نسخه: ۲۳۳/۲</w:t>
      </w:r>
    </w:p>
    <w:p>
      <w:pPr>
        <w:pStyle w:val="BookText"/>
      </w:pPr>
      <w:r>
        <w:rPr>
          <w:rFonts w:ascii="IRNazanin" w:hAnsi="IRNazanin" w:eastAsia="IRNazanin" w:cs="IRNazanin"/>
          <w:lang w:bidi="fa-IR"/>
          <w:color w:val="111111"/>
          <w:sz w:val="28"/>
          <w:szCs w:val="28"/>
          <w:rtl/>
        </w:rPr>
        <w:t xml:space="preserve">خط: نسخ، كا: حاجی بن شريف بهبهانی، تا: قرن ۱۲، ۳۴گ ( ۸۶-۵۳ )،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۱-۱۰۴]</w:t>
      </w:r>
    </w:p>
    <w:p>
      <w:pPr>
        <w:pStyle w:val="BookText"/>
      </w:pPr>
      <w:r>
        <w:rPr>
          <w:rFonts w:ascii="IRNazanin" w:hAnsi="IRNazanin" w:eastAsia="IRNazanin" w:cs="IRNazanin"/>
          <w:lang w:bidi="fa-IR"/>
          <w:color w:val="111111"/>
          <w:sz w:val="28"/>
          <w:szCs w:val="28"/>
          <w:rtl/>
        </w:rPr>
        <w:t xml:space="preserve">٣. شیراز؛ علامه طباطبائی، شماره نسخه: ۶۴۸/۱</w:t>
      </w:r>
    </w:p>
    <w:p>
      <w:pPr>
        <w:pStyle w:val="BookText"/>
      </w:pPr>
      <w:r>
        <w:rPr>
          <w:rFonts w:ascii="IRNazanin" w:hAnsi="IRNazanin" w:eastAsia="IRNazanin" w:cs="IRNazanin"/>
          <w:lang w:bidi="fa-IR"/>
          <w:color w:val="111111"/>
          <w:sz w:val="28"/>
          <w:szCs w:val="28"/>
          <w:rtl/>
        </w:rPr>
        <w:t xml:space="preserve">خط: نستعلیق، كا: على بن احمد بن على بن نوح بحرانی، تا: شوال ۱۱۱۵ق؛ مصحح؛ ۱۳گی (۱-۱۳ر)، اندازه:</w:t>
      </w:r>
    </w:p>
    <w:p>
      <w:pPr>
        <w:pStyle w:val="BookText"/>
      </w:pPr>
      <w:r>
        <w:rPr>
          <w:rFonts w:ascii="IRNazanin" w:hAnsi="IRNazanin" w:eastAsia="IRNazanin" w:cs="IRNazanin"/>
          <w:lang w:bidi="fa-IR"/>
          <w:color w:val="111111"/>
          <w:sz w:val="28"/>
          <w:szCs w:val="28"/>
          <w:rtl/>
        </w:rPr>
        <w:t xml:space="preserve">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[نسخه پژوهی: ۳-۱۱۱]</w:t>
      </w:r>
    </w:p>
    <w:p>
      <w:pPr>
        <w:pStyle w:val="BookText"/>
      </w:pPr>
      <w:r>
        <w:rPr>
          <w:rFonts w:ascii="IRNazanin" w:hAnsi="IRNazanin" w:eastAsia="IRNazanin" w:cs="IRNazanin"/>
          <w:lang w:bidi="fa-IR"/>
          <w:color w:val="111111"/>
          <w:sz w:val="28"/>
          <w:szCs w:val="28"/>
          <w:rtl/>
        </w:rPr>
        <w:t xml:space="preserve">۴. قم؛ مفتی الشیعه؛ شماره نسخه: ۲۵/۲</w:t>
      </w:r>
    </w:p>
    <w:p>
      <w:pPr>
        <w:pStyle w:val="BookText"/>
      </w:pPr>
      <w:r>
        <w:rPr>
          <w:rFonts w:ascii="IRNazanin" w:hAnsi="IRNazanin" w:eastAsia="IRNazanin" w:cs="IRNazanin"/>
          <w:lang w:bidi="fa-IR"/>
          <w:color w:val="111111"/>
          <w:sz w:val="28"/>
          <w:szCs w:val="28"/>
          <w:rtl/>
        </w:rPr>
        <w:t xml:space="preserve">خط: نسخ، كا: سید ابوالقاسم (محرر) نجفی اصفهانی، تا: ۱۳۳۹ق؛ جلد: تیماج قرمز، ۱۲گ (۲۲۱-۲۳۲)، ۱۹- ۲۰ سطر، اندازه: 20/5</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۱۳]</w:t>
      </w:r>
    </w:p>
    <w:p>
      <w:pPr>
        <w:pStyle w:val="BookText"/>
      </w:pPr>
      <w:r>
        <w:rPr>
          <w:rFonts w:ascii="IRNazanin" w:hAnsi="IRNazanin" w:eastAsia="IRNazanin" w:cs="IRNazanin"/>
          <w:lang w:bidi="fa-IR"/>
          <w:color w:val="111111"/>
          <w:sz w:val="28"/>
          <w:szCs w:val="28"/>
          <w:rtl/>
        </w:rPr>
        <w:t xml:space="preserve">← بلقیس نامه ← سلیمان و بلقيس</w:t>
      </w:r>
    </w:p>
    <w:p>
      <w:pPr>
        <w:pStyle w:val="BookText"/>
      </w:pPr>
      <w:r>
        <w:rPr>
          <w:rFonts w:ascii="IRNazanin" w:hAnsi="IRNazanin" w:eastAsia="IRNazanin" w:cs="IRNazanin"/>
          <w:lang w:bidi="fa-IR"/>
          <w:color w:val="111111"/>
          <w:sz w:val="28"/>
          <w:szCs w:val="28"/>
          <w:rtl/>
        </w:rPr>
        <w:t xml:space="preserve">← بلقیس و سلیمان ← سلیمان و بلقیس</w:t>
      </w:r>
    </w:p>
    <w:p>
      <w:pPr>
        <w:pStyle w:val="Heading3"/>
      </w:pPr>
      <w:bookmarkStart w:id="954" w:name="_Toc214"/>
      <w:r>
        <w:t>• بلقیس و سلیمان / شعر، تاریخ پیامبران / فارسی</w:t>
      </w:r>
      <w:bookmarkEnd w:id="954"/>
    </w:p>
    <w:p>
      <w:pPr>
        <w:pStyle w:val="BookText"/>
      </w:pPr>
      <w:r>
        <w:rPr>
          <w:rFonts w:ascii="Times New Roman" w:hAnsi="Times New Roman" w:eastAsia="Times New Roman" w:cs="Times New Roman"/>
          <w:lang w:val="en-US" w:bidi="en-US"/>
          <w:color w:val="111111"/>
          <w:sz w:val="28"/>
          <w:szCs w:val="28"/>
          <w:rtl/>
        </w:rPr>
        <w:t xml:space="preserve">belqeys va soleymān</w:t>
      </w:r>
    </w:p>
    <w:p>
      <w:pPr>
        <w:pStyle w:val="BookText"/>
      </w:pPr>
      <w:r>
        <w:rPr>
          <w:rFonts w:ascii="IRNazanin" w:hAnsi="IRNazanin" w:eastAsia="IRNazanin" w:cs="IRNazanin"/>
          <w:lang w:bidi="fa-IR"/>
          <w:color w:val="111111"/>
          <w:sz w:val="28"/>
          <w:szCs w:val="28"/>
          <w:rtl/>
        </w:rPr>
        <w:t xml:space="preserve">حیاتی گیلانی، -۱۰۲۸ قمری</w:t>
      </w:r>
    </w:p>
    <w:p>
      <w:pPr>
        <w:pStyle w:val="BookText"/>
      </w:pPr>
      <w:r>
        <w:rPr>
          <w:rFonts w:ascii="Times New Roman" w:hAnsi="Times New Roman" w:eastAsia="Times New Roman" w:cs="Times New Roman"/>
          <w:lang w:val="en-US" w:bidi="en-US"/>
          <w:color w:val="111111"/>
          <w:sz w:val="28"/>
          <w:szCs w:val="28"/>
          <w:rtl/>
        </w:rPr>
        <w:t xml:space="preserve">hayātī gīlānī (- 1619)</w:t>
      </w:r>
    </w:p>
    <w:p>
      <w:pPr>
        <w:pStyle w:val="BookText"/>
      </w:pPr>
      <w:r>
        <w:rPr>
          <w:rFonts w:ascii="IRNazanin" w:hAnsi="IRNazanin" w:eastAsia="IRNazanin" w:cs="IRNazanin"/>
          <w:lang w:bidi="fa-IR"/>
          <w:color w:val="111111"/>
          <w:sz w:val="28"/>
          <w:szCs w:val="28"/>
          <w:rtl/>
        </w:rPr>
        <w:t xml:space="preserve">مثنوی درباره قصه سلیمان و داستان مور و ملخ و سیمرغ و هدهد و بارگاه بلقیس و نامه های متبادله میان آنان که به شعر در آمده و در آن از نورالدین جهانگیر پادشاه ستایش شده است.</w:t>
      </w:r>
    </w:p>
    <w:p>
      <w:pPr>
        <w:pStyle w:val="BookText"/>
      </w:pPr>
      <w:r>
        <w:rPr>
          <w:rFonts w:ascii="IRNazanin" w:hAnsi="IRNazanin" w:eastAsia="IRNazanin" w:cs="IRNazanin"/>
          <w:lang w:bidi="fa-IR"/>
          <w:color w:val="111111"/>
          <w:sz w:val="28"/>
          <w:szCs w:val="28"/>
          <w:rtl/>
        </w:rPr>
        <w:t xml:space="preserve">[ الذريعة ۱۴۸/۲ و ۱۲۰۱/۹ و ۴۰۴/۹ و ۲۲۷/۱۲ ؛ فهرستواره منزوی ۱۵۶۲/۳ و 306/10]</w:t>
      </w:r>
    </w:p>
    <w:p>
      <w:pPr>
        <w:pStyle w:val="BookText"/>
      </w:pPr>
      <w:r>
        <w:rPr>
          <w:rFonts w:ascii="IRNazanin" w:hAnsi="IRNazanin" w:eastAsia="IRNazanin" w:cs="IRNazanin"/>
          <w:lang w:bidi="fa-IR"/>
          <w:color w:val="111111"/>
          <w:sz w:val="28"/>
          <w:szCs w:val="28"/>
          <w:rtl/>
        </w:rPr>
        <w:t xml:space="preserve">تهران، ملک، شماره نسخه: ۵۵۶۵/۲</w:t>
      </w:r>
    </w:p>
    <w:p>
      <w:pPr>
        <w:pStyle w:val="BookText"/>
      </w:pPr>
      <w:r>
        <w:rPr>
          <w:rFonts w:ascii="IRNazanin" w:hAnsi="IRNazanin" w:eastAsia="IRNazanin" w:cs="IRNazanin"/>
          <w:lang w:bidi="fa-IR"/>
          <w:color w:val="111111"/>
          <w:sz w:val="28"/>
          <w:szCs w:val="28"/>
          <w:rtl/>
        </w:rPr>
        <w:t xml:space="preserve">آغاز: در این گفتگو در قفل و بندست *** هزاران جان در این آتش سپندست؛ انجام: ز کاكل هر یکی دامی به راهی *** گرفته در شکنج زلف ماهی خط: نستعلیق، بی کا، تا: اواخر قرن ۱۰؛ افتادگی: آغاز و انجام؛ کاغذ: ترمه سمرقندی نازک، جلد: میشن قهوه ای ضربی، ۱۲۳گ (۱۵۱ر-۲۷۳پ)، ۱۶ سطر، اندازه: ۲۱/۸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۱۲/۸ سم [ف: ۸-۴۲۲]</w:t>
      </w:r>
    </w:p>
    <w:p>
      <w:pPr>
        <w:pStyle w:val="BookText"/>
      </w:pPr>
      <w:r>
        <w:rPr>
          <w:rFonts w:ascii="IRNazanin" w:hAnsi="IRNazanin" w:eastAsia="IRNazanin" w:cs="IRNazanin"/>
          <w:lang w:bidi="fa-IR"/>
          <w:color w:val="111111"/>
          <w:sz w:val="28"/>
          <w:szCs w:val="28"/>
          <w:rtl/>
        </w:rPr>
        <w:t xml:space="preserve">← بلوای هند ← شورش هندوستان</w:t>
      </w:r>
    </w:p>
    <w:p>
      <w:pPr>
        <w:pStyle w:val="BookText"/>
      </w:pPr>
      <w:r>
        <w:rPr>
          <w:rFonts w:ascii="IRNazanin" w:hAnsi="IRNazanin" w:eastAsia="IRNazanin" w:cs="IRNazanin"/>
          <w:lang w:bidi="fa-IR"/>
          <w:color w:val="111111"/>
          <w:sz w:val="28"/>
          <w:szCs w:val="28"/>
          <w:rtl/>
        </w:rPr>
        <w:t xml:space="preserve">← بلوای هند و داستان خانم انگلیسی ← سرگذشت خانم انگلیسی در بلوای هندوستان</w:t>
      </w:r>
    </w:p>
    <w:p>
      <w:pPr>
        <w:pStyle w:val="BookText"/>
      </w:pPr>
      <w:r>
        <w:rPr>
          <w:rFonts w:ascii="Amiri" w:hAnsi="Amiri" w:eastAsia="Amiri" w:cs="Amiri"/>
          <w:lang w:bidi="ar-SA"/>
          <w:color w:val="111111"/>
          <w:sz w:val="28"/>
          <w:szCs w:val="28"/>
          <w:rtl/>
        </w:rPr>
        <w:t xml:space="preserve">← البلوغ←ما يعلم به البلوغ</w:t>
      </w:r>
    </w:p>
    <w:p>
      <w:pPr>
        <w:pStyle w:val="Heading3"/>
      </w:pPr>
      <w:bookmarkStart w:id="955" w:name="_Toc215"/>
      <w:r>
        <w:t>• بلوغ الآداب في الطائف العتاب / ادبیات /عربی</w:t>
      </w:r>
      <w:bookmarkEnd w:id="955"/>
    </w:p>
    <w:p>
      <w:pPr>
        <w:pStyle w:val="BookText"/>
      </w:pPr>
      <w:r>
        <w:rPr>
          <w:rFonts w:ascii="Times New Roman" w:hAnsi="Times New Roman" w:eastAsia="Times New Roman" w:cs="Times New Roman"/>
          <w:lang w:val="en-US" w:bidi="en-US"/>
          <w:color w:val="111111"/>
          <w:sz w:val="28"/>
          <w:szCs w:val="28"/>
          <w:rtl/>
        </w:rPr>
        <w:t xml:space="preserve">bulūg-ul ādāb fī latā’if-il ‘itāb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6" w:name="pg20363_209235"/>
    <w:bookmarkEnd w:id="76"/>
    <w:p>
      <w:pPr>
        <w:pStyle w:val="BookText"/>
      </w:pPr>
      <w:r>
        <w:rPr>
          <w:rFonts w:ascii="IRNazanin" w:hAnsi="IRNazanin" w:eastAsia="IRNazanin" w:cs="IRNazanin"/>
          <w:lang w:bidi="fa-IR"/>
          <w:color w:val="111111"/>
          <w:sz w:val="28"/>
          <w:szCs w:val="28"/>
          <w:rtl/>
        </w:rPr>
        <w:t xml:space="preserve">مقری، محمد بن احمد، ق ۱۰ قمری</w:t>
      </w:r>
    </w:p>
    <w:p>
      <w:pPr>
        <w:pStyle w:val="BookText"/>
      </w:pPr>
      <w:r>
        <w:rPr>
          <w:rFonts w:ascii="Times New Roman" w:hAnsi="Times New Roman" w:eastAsia="Times New Roman" w:cs="Times New Roman"/>
          <w:lang w:val="en-US" w:bidi="en-US"/>
          <w:color w:val="111111"/>
          <w:sz w:val="28"/>
          <w:szCs w:val="28"/>
          <w:rtl/>
        </w:rPr>
        <w:t xml:space="preserve">maqrī, mohammad ebn-e ahmad (- 16c)</w:t>
      </w:r>
    </w:p>
    <w:p>
      <w:pPr>
        <w:pStyle w:val="BookText"/>
      </w:pPr>
      <w:r>
        <w:rPr>
          <w:rFonts w:ascii="IRNazanin" w:hAnsi="IRNazanin" w:eastAsia="IRNazanin" w:cs="IRNazanin"/>
          <w:lang w:bidi="fa-IR"/>
          <w:color w:val="111111"/>
          <w:sz w:val="28"/>
          <w:szCs w:val="28"/>
          <w:rtl/>
        </w:rPr>
        <w:t xml:space="preserve">در یازده« فصل».</w:t>
      </w:r>
    </w:p>
    <w:p>
      <w:pPr>
        <w:pStyle w:val="BookText"/>
      </w:pPr>
      <w:r>
        <w:rPr>
          <w:rFonts w:ascii="Amiri" w:hAnsi="Amiri" w:eastAsia="Amiri" w:cs="Amiri"/>
          <w:lang w:bidi="ar-SA"/>
          <w:color w:val="111111"/>
          <w:sz w:val="28"/>
          <w:szCs w:val="28"/>
          <w:rtl/>
        </w:rPr>
        <w:t xml:space="preserve">[ المخطوطات المصورة ۴۳۱/۱ ]</w:t>
      </w:r>
    </w:p>
    <w:p>
      <w:pPr>
        <w:pStyle w:val="BookText"/>
      </w:pPr>
      <w:r>
        <w:rPr>
          <w:rFonts w:ascii="IRNazanin" w:hAnsi="IRNazanin" w:eastAsia="IRNazanin" w:cs="IRNazanin"/>
          <w:lang w:bidi="fa-IR"/>
          <w:color w:val="111111"/>
          <w:sz w:val="28"/>
          <w:szCs w:val="28"/>
          <w:rtl/>
        </w:rPr>
        <w:t xml:space="preserve">تهران؛ ملک؛ شماره نسخه: ۸۵۲/۲</w:t>
      </w:r>
    </w:p>
    <w:p>
      <w:pPr>
        <w:pStyle w:val="BookText"/>
      </w:pPr>
      <w:r>
        <w:rPr>
          <w:rFonts w:ascii="IRNazanin" w:hAnsi="IRNazanin" w:eastAsia="IRNazanin" w:cs="IRNazanin"/>
          <w:lang w:bidi="fa-IR"/>
          <w:color w:val="111111"/>
          <w:sz w:val="28"/>
          <w:szCs w:val="28"/>
          <w:rtl/>
        </w:rPr>
        <w:t xml:space="preserve">کاتب = مؤلف، تا: یک شنبه ۱۸ محرم ۹۹۷ق؛ مجدول؛ کاغذ: دولت آبادی، جلد: میشن قهوه ای ضربی، ۶۶گ (۴۹پ -۱۱۴ر)، ۲۱ سطر، اندازه: ۱۷/۸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۱۳/۷ سم [ف: ۵-۲۱۰]</w:t>
      </w:r>
    </w:p>
    <w:p>
      <w:pPr>
        <w:pStyle w:val="BookText"/>
      </w:pPr>
      <w:r>
        <w:rPr>
          <w:rFonts w:ascii="Amiri" w:hAnsi="Amiri" w:eastAsia="Amiri" w:cs="Amiri"/>
          <w:lang w:bidi="ar-SA"/>
          <w:color w:val="111111"/>
          <w:sz w:val="28"/>
          <w:szCs w:val="28"/>
          <w:rtl/>
        </w:rPr>
        <w:t xml:space="preserve">← بلوغ الارب ← الاستعارة</w:t>
      </w:r>
    </w:p>
    <w:p>
      <w:pPr>
        <w:pStyle w:val="Heading3"/>
      </w:pPr>
      <w:bookmarkStart w:id="956" w:name="_Toc216"/>
      <w:r>
        <w:t>• بلوغ الامة للمحة الأئمة / رجال / عربی</w:t>
      </w:r>
      <w:bookmarkEnd w:id="956"/>
    </w:p>
    <w:p>
      <w:pPr>
        <w:pStyle w:val="BookText"/>
      </w:pPr>
      <w:r>
        <w:rPr>
          <w:rFonts w:ascii="Times New Roman" w:hAnsi="Times New Roman" w:eastAsia="Times New Roman" w:cs="Times New Roman"/>
          <w:lang w:val="en-US" w:bidi="en-US"/>
          <w:color w:val="111111"/>
          <w:sz w:val="28"/>
          <w:szCs w:val="28"/>
          <w:rtl/>
        </w:rPr>
        <w:t xml:space="preserve">bulug-ul umma li-lamhat-il a'imma</w:t>
      </w:r>
    </w:p>
    <w:p>
      <w:pPr>
        <w:pStyle w:val="BookText"/>
      </w:pPr>
      <w:r>
        <w:rPr>
          <w:rFonts w:ascii="IRNazanin" w:hAnsi="IRNazanin" w:eastAsia="IRNazanin" w:cs="IRNazanin"/>
          <w:lang w:bidi="fa-IR"/>
          <w:color w:val="111111"/>
          <w:sz w:val="28"/>
          <w:szCs w:val="28"/>
          <w:rtl/>
        </w:rPr>
        <w:t xml:space="preserve">سماوی، محمد بن محمد طاهر، ۱۲۹۲- ۱۳۷۰ قمری</w:t>
      </w:r>
    </w:p>
    <w:p>
      <w:pPr>
        <w:pStyle w:val="BookText"/>
      </w:pPr>
      <w:r>
        <w:rPr>
          <w:rFonts w:ascii="Times New Roman" w:hAnsi="Times New Roman" w:eastAsia="Times New Roman" w:cs="Times New Roman"/>
          <w:lang w:val="en-US" w:bidi="en-US"/>
          <w:color w:val="111111"/>
          <w:sz w:val="28"/>
          <w:szCs w:val="28"/>
          <w:rtl/>
        </w:rPr>
        <w:t xml:space="preserve">samāvī, mohammad ebn-e mohammad tāher (1875 1951)</w:t>
      </w:r>
    </w:p>
    <w:p>
      <w:pPr>
        <w:pStyle w:val="BookText"/>
      </w:pPr>
      <w:r>
        <w:rPr>
          <w:rFonts w:ascii="IRNazanin" w:hAnsi="IRNazanin" w:eastAsia="IRNazanin" w:cs="IRNazanin"/>
          <w:lang w:bidi="fa-IR"/>
          <w:color w:val="111111"/>
          <w:sz w:val="28"/>
          <w:szCs w:val="28"/>
          <w:rtl/>
        </w:rPr>
        <w:t xml:space="preserve">ارجوزه ای است در ۱۵۰ بیت که شرح حال و نسب هر یک از چهارده معصوم (علیه السلام) را به اختصار در «لمحه) خاص آنان آورده است.</w:t>
      </w:r>
    </w:p>
    <w:p>
      <w:pPr>
        <w:pStyle w:val="BookText"/>
      </w:pPr>
      <w:r>
        <w:rPr>
          <w:rFonts w:ascii="IRNazanin" w:hAnsi="IRNazanin" w:eastAsia="IRNazanin" w:cs="IRNazanin"/>
          <w:lang w:bidi="fa-IR"/>
          <w:color w:val="111111"/>
          <w:sz w:val="28"/>
          <w:szCs w:val="28"/>
          <w:rtl/>
        </w:rPr>
        <w:t xml:space="preserve">تهران؛ مجلس؛ شماره نسخه: ۱۵۷۷۵/۱0</w:t>
      </w:r>
    </w:p>
    <w:p>
      <w:pPr>
        <w:pStyle w:val="BookText"/>
      </w:pPr>
      <w:r>
        <w:rPr>
          <w:rFonts w:ascii="Amiri" w:hAnsi="Amiri" w:eastAsia="Amiri" w:cs="Amiri"/>
          <w:lang w:bidi="ar-SA"/>
          <w:color w:val="111111"/>
          <w:sz w:val="28"/>
          <w:szCs w:val="28"/>
          <w:rtl/>
        </w:rPr>
        <w:t xml:space="preserve">آغاز: الحمدلله العظيم الأمجد *** ثم الصلاة للنبي احمد؛ انجام: و برضاء الله عني من انا *** من من أنا حق اقول من انا</w:t>
      </w:r>
    </w:p>
    <w:p>
      <w:pPr>
        <w:pStyle w:val="BookText"/>
      </w:pPr>
      <w:r>
        <w:rPr>
          <w:rFonts w:ascii="IRNazanin" w:hAnsi="IRNazanin" w:eastAsia="IRNazanin" w:cs="IRNazanin"/>
          <w:lang w:bidi="fa-IR"/>
          <w:color w:val="111111"/>
          <w:sz w:val="28"/>
          <w:szCs w:val="28"/>
          <w:rtl/>
        </w:rPr>
        <w:t xml:space="preserve">خط: نسخ، كاتب = مؤلف، تا: ۲۶ شعبان ۱۳۱۹ق؛ جلد: تیماج فرنگی، ۴گ(۷۴ر- ۷۷ر)، ۲۵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۴۴-۵۹]</w:t>
      </w:r>
    </w:p>
    <w:p>
      <w:pPr>
        <w:pStyle w:val="Heading3"/>
      </w:pPr>
      <w:bookmarkStart w:id="957" w:name="_Toc217"/>
      <w:r>
        <w:t>• بلوغ المآرب في قص الشوارب / حديث / عربی</w:t>
      </w:r>
      <w:bookmarkEnd w:id="957"/>
    </w:p>
    <w:p>
      <w:pPr>
        <w:pStyle w:val="BookText"/>
      </w:pPr>
      <w:r>
        <w:rPr>
          <w:rFonts w:ascii="Times New Roman" w:hAnsi="Times New Roman" w:eastAsia="Times New Roman" w:cs="Times New Roman"/>
          <w:lang w:val="en-US" w:bidi="en-US"/>
          <w:color w:val="111111"/>
          <w:sz w:val="28"/>
          <w:szCs w:val="28"/>
          <w:rtl/>
        </w:rPr>
        <w:t xml:space="preserve">bulūg-ul ma’ārib fī qaşs-iš šawārib</w:t>
      </w:r>
    </w:p>
    <w:p>
      <w:pPr>
        <w:pStyle w:val="BookText"/>
      </w:pPr>
      <w:r>
        <w:rPr>
          <w:rFonts w:ascii="IRNazanin" w:hAnsi="IRNazanin" w:eastAsia="IRNazanin" w:cs="IRNazanin"/>
          <w:lang w:bidi="fa-IR"/>
          <w:color w:val="111111"/>
          <w:sz w:val="28"/>
          <w:szCs w:val="28"/>
          <w:rtl/>
        </w:rPr>
        <w:t xml:space="preserve">سیوطی، عبدالرحمن بن ابی بکر، ۸۴۹-۹۱۱ قمری</w:t>
      </w:r>
    </w:p>
    <w:p>
      <w:pPr>
        <w:pStyle w:val="BookText"/>
      </w:pPr>
      <w:r>
        <w:rPr>
          <w:rFonts w:ascii="Times New Roman" w:hAnsi="Times New Roman" w:eastAsia="Times New Roman" w:cs="Times New Roman"/>
          <w:lang w:val="en-US" w:bidi="en-US"/>
          <w:color w:val="111111"/>
          <w:sz w:val="28"/>
          <w:szCs w:val="28"/>
          <w:rtl/>
        </w:rPr>
        <w:t xml:space="preserve">soyūtī, ‘abd-or-rahmān ebn-e abī-bakr (1446-1506)</w:t>
      </w:r>
    </w:p>
    <w:p>
      <w:pPr>
        <w:pStyle w:val="BookText"/>
      </w:pPr>
      <w:r>
        <w:rPr>
          <w:rFonts w:ascii="IRNazanin" w:hAnsi="IRNazanin" w:eastAsia="IRNazanin" w:cs="IRNazanin"/>
          <w:lang w:bidi="fa-IR"/>
          <w:color w:val="111111"/>
          <w:sz w:val="28"/>
          <w:szCs w:val="28"/>
          <w:rtl/>
        </w:rPr>
        <w:t xml:space="preserve">احادیث و روایت هایی که از حضرت پیامبر اکرم(صلی الله علیه وآله وسلم)درباره آداب گرفتن شارب، روایت شده در این رساله گرد آورده شده است.</w:t>
      </w:r>
    </w:p>
    <w:p>
      <w:pPr>
        <w:pStyle w:val="BookText"/>
      </w:pPr>
      <w:r>
        <w:rPr>
          <w:rFonts w:ascii="IRNazanin" w:hAnsi="IRNazanin" w:eastAsia="IRNazanin" w:cs="IRNazanin"/>
          <w:lang w:bidi="fa-IR"/>
          <w:color w:val="111111"/>
          <w:sz w:val="28"/>
          <w:szCs w:val="28"/>
          <w:rtl/>
        </w:rPr>
        <w:t xml:space="preserve">آغاز: الحمدلله و کفی ... أخرج البخاری و مسلم عن ابن عمر عن النبي صلى الله عليه و سلم</w:t>
      </w:r>
    </w:p>
    <w:p>
      <w:pPr>
        <w:pStyle w:val="BookText"/>
      </w:pPr>
      <w:r>
        <w:rPr>
          <w:rFonts w:ascii="Amiri" w:hAnsi="Amiri" w:eastAsia="Amiri" w:cs="Amiri"/>
          <w:lang w:bidi="ar-SA"/>
          <w:color w:val="111111"/>
          <w:sz w:val="28"/>
          <w:szCs w:val="28"/>
          <w:rtl/>
        </w:rPr>
        <w:t xml:space="preserve">انجام: قال رأيت عبدالله بن عمر قد احفى شاربه حتى كأنه قد نتفه.</w:t>
      </w:r>
    </w:p>
    <w:p>
      <w:pPr>
        <w:pStyle w:val="BookText"/>
      </w:pPr>
      <w:r>
        <w:rPr>
          <w:rFonts w:ascii="IRNazanin" w:hAnsi="IRNazanin" w:eastAsia="IRNazanin" w:cs="IRNazanin"/>
          <w:lang w:bidi="fa-IR"/>
          <w:color w:val="111111"/>
          <w:sz w:val="28"/>
          <w:szCs w:val="28"/>
          <w:rtl/>
        </w:rPr>
        <w:t xml:space="preserve">چاپ: لاهور، مطبع محمدی، چاپ سنگی، مص، در ضمن رسائل سیوطی چاپ شده.</w:t>
      </w:r>
    </w:p>
    <w:p>
      <w:pPr>
        <w:pStyle w:val="BookText"/>
      </w:pPr>
      <w:r>
        <w:rPr>
          <w:rFonts w:ascii="Amiri" w:hAnsi="Amiri" w:eastAsia="Amiri" w:cs="Amiri"/>
          <w:lang w:bidi="ar-SA"/>
          <w:color w:val="111111"/>
          <w:sz w:val="28"/>
          <w:szCs w:val="28"/>
          <w:rtl/>
        </w:rPr>
        <w:t xml:space="preserve">[الأوقاف العامة بغداد ۵۸۷/۱ ]</w:t>
      </w:r>
    </w:p>
    <w:p>
      <w:pPr>
        <w:pStyle w:val="BookText"/>
      </w:pPr>
      <w:r>
        <w:rPr>
          <w:rFonts w:ascii="IRNazanin" w:hAnsi="IRNazanin" w:eastAsia="IRNazanin" w:cs="IRNazanin"/>
          <w:lang w:bidi="fa-IR"/>
          <w:color w:val="111111"/>
          <w:sz w:val="28"/>
          <w:szCs w:val="28"/>
          <w:rtl/>
        </w:rPr>
        <w:t xml:space="preserve">قم؛ مرعشی؛ شماره نسخه: ۲۳۴۳/۸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زیبا بسیار مغلوط، بی کا، بی تا؛ مجدول؛ کاغذ: ترمه، جلد: مقوایی عطف تیماج قهوه ای، ۲گ (۵۹ر -۶۰ر)، ۲۱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۶-۳۲۲]</w:t>
      </w:r>
    </w:p>
    <w:p>
      <w:pPr>
        <w:pStyle w:val="Heading3"/>
      </w:pPr>
      <w:bookmarkStart w:id="958" w:name="_Toc218"/>
      <w:r>
        <w:t>•بلوغ المراد من فضل سید العباد في تخميس بانت سعاد / شعر / عربی</w:t>
      </w:r>
      <w:bookmarkEnd w:id="958"/>
    </w:p>
    <w:p>
      <w:pPr>
        <w:pStyle w:val="BookText"/>
      </w:pPr>
      <w:r>
        <w:rPr>
          <w:rFonts w:ascii="Times New Roman" w:hAnsi="Times New Roman" w:eastAsia="Times New Roman" w:cs="Times New Roman"/>
          <w:lang w:val="en-US" w:bidi="en-US"/>
          <w:color w:val="111111"/>
          <w:sz w:val="28"/>
          <w:szCs w:val="28"/>
          <w:rtl/>
        </w:rPr>
        <w:t xml:space="preserve">bulūg-ul murād min fadi-i sayyid-il ‘ibād fi taxmīs-i banat su'ad</w:t>
      </w:r>
    </w:p>
    <w:p>
      <w:pPr>
        <w:pStyle w:val="BookText"/>
      </w:pPr>
      <w:r>
        <w:rPr>
          <w:rFonts w:ascii="IRNazanin" w:hAnsi="IRNazanin" w:eastAsia="IRNazanin" w:cs="IRNazanin"/>
          <w:lang w:bidi="fa-IR"/>
          <w:color w:val="111111"/>
          <w:sz w:val="28"/>
          <w:szCs w:val="28"/>
          <w:rtl/>
        </w:rPr>
        <w:t xml:space="preserve">اشرفی، خلیل</w:t>
      </w:r>
    </w:p>
    <w:p>
      <w:pPr>
        <w:pStyle w:val="BookText"/>
      </w:pPr>
      <w:r>
        <w:rPr>
          <w:rFonts w:ascii="Times New Roman" w:hAnsi="Times New Roman" w:eastAsia="Times New Roman" w:cs="Times New Roman"/>
          <w:lang w:val="en-US" w:bidi="en-US"/>
          <w:color w:val="111111"/>
          <w:sz w:val="28"/>
          <w:szCs w:val="28"/>
          <w:rtl/>
        </w:rPr>
        <w:t xml:space="preserve">ašrafī, xalīl</w:t>
      </w:r>
    </w:p>
    <w:p>
      <w:pPr>
        <w:pStyle w:val="BookText"/>
      </w:pPr>
      <w:r>
        <w:rPr>
          <w:rFonts w:ascii="IRNazanin" w:hAnsi="IRNazanin" w:eastAsia="IRNazanin" w:cs="IRNazanin"/>
          <w:lang w:bidi="fa-IR"/>
          <w:color w:val="111111"/>
          <w:sz w:val="28"/>
          <w:szCs w:val="28"/>
          <w:rtl/>
        </w:rPr>
        <w:t xml:space="preserve">وابسته به: قصيدة بانت سعاد؛ کعب بن زهير (۲۶-)</w:t>
      </w:r>
    </w:p>
    <w:p>
      <w:pPr>
        <w:pStyle w:val="BookText"/>
      </w:pPr>
      <w:r>
        <w:rPr>
          <w:rFonts w:ascii="IRNazanin" w:hAnsi="IRNazanin" w:eastAsia="IRNazanin" w:cs="IRNazanin"/>
          <w:lang w:bidi="fa-IR"/>
          <w:color w:val="111111"/>
          <w:sz w:val="28"/>
          <w:szCs w:val="28"/>
          <w:rtl/>
        </w:rPr>
        <w:t xml:space="preserve">مؤلف چندین بار به زیارت خانه خدا و مدینه مشرف شده است. در سفری به همراه امیر الحاج مصری به زیارت رفته و پس از زیارت قصد بازگشت داشته که امیر الحاج به وی اجازه مراجعت نداده، لهذا به تخميس قصیده برده پرداخته و بعد از خوابی که پیامبر را دیده امیر الحاج اجازه داده است که باز گردند.</w:t>
      </w:r>
    </w:p>
    <w:p>
      <w:pPr>
        <w:pStyle w:val="BookText"/>
      </w:pPr>
      <w:r>
        <w:rPr>
          <w:rFonts w:ascii="Amiri" w:hAnsi="Amiri" w:eastAsia="Amiri" w:cs="Amiri"/>
          <w:lang w:bidi="ar-SA"/>
          <w:color w:val="111111"/>
          <w:sz w:val="28"/>
          <w:szCs w:val="28"/>
          <w:rtl/>
        </w:rPr>
        <w:t xml:space="preserve">آغاز: الحمدلله بكل لسان بعدد عدد الأنفاس في جميع الاحيان حمدا يليق بجلال عظمته كما اثنى على نفسه في التوراة و الانجيل و الفرقان ... بانت سعاد فقلبي اليوم مبتول *** و فيه شوق الى الاحباب موصول / من وجدهم في طوى الأحشاء معلول *** قد زاد جبا فلا يلهيه تحويل -متيم اثرها لم يفد مكبول</w:t>
      </w:r>
    </w:p>
    <w:p>
      <w:pPr>
        <w:pStyle w:val="BookText"/>
      </w:pPr>
      <w:r>
        <w:rPr>
          <w:rFonts w:ascii="Amiri" w:hAnsi="Amiri" w:eastAsia="Amiri" w:cs="Amiri"/>
          <w:lang w:bidi="ar-SA"/>
          <w:color w:val="111111"/>
          <w:sz w:val="28"/>
          <w:szCs w:val="28"/>
          <w:rtl/>
        </w:rPr>
        <w:t xml:space="preserve">[ الأوقاف العامة ۱۰۳/3 ]</w:t>
      </w:r>
    </w:p>
    <w:p>
      <w:pPr>
        <w:pStyle w:val="BookText"/>
      </w:pPr>
      <w:r>
        <w:rPr>
          <w:rFonts w:ascii="IRNazanin" w:hAnsi="IRNazanin" w:eastAsia="IRNazanin" w:cs="IRNazanin"/>
          <w:lang w:bidi="fa-IR"/>
          <w:color w:val="111111"/>
          <w:sz w:val="28"/>
          <w:szCs w:val="28"/>
          <w:rtl/>
        </w:rPr>
        <w:t xml:space="preserve">١. یزد؛ سریزدی؛ شماره نسخه: ۱۵/۴</w:t>
      </w:r>
    </w:p>
    <w:p>
      <w:pPr>
        <w:pStyle w:val="BookText"/>
      </w:pPr>
      <w:r>
        <w:rPr>
          <w:rFonts w:ascii="Amiri" w:hAnsi="Amiri" w:eastAsia="Amiri" w:cs="Amiri"/>
          <w:lang w:bidi="ar-SA"/>
          <w:color w:val="111111"/>
          <w:sz w:val="28"/>
          <w:szCs w:val="28"/>
          <w:rtl/>
        </w:rPr>
        <w:t xml:space="preserve">آغاز: برابر، انجام: قد أخلصوا طاعة من نصر دينهم *** و ليس غل مقيم في صدورهم و ما لهم عن حياض الموت تهليل</w:t>
      </w:r>
    </w:p>
    <w:p>
      <w:pPr>
        <w:pStyle w:val="BookText"/>
      </w:pPr>
      <w:r>
        <w:rPr>
          <w:rFonts w:ascii="IRNazanin" w:hAnsi="IRNazanin" w:eastAsia="IRNazanin" w:cs="IRNazanin"/>
          <w:lang w:bidi="fa-IR"/>
          <w:color w:val="111111"/>
          <w:sz w:val="28"/>
          <w:szCs w:val="28"/>
          <w:rtl/>
        </w:rPr>
        <w:t xml:space="preserve">خط: نسخ زیبا، كان ابراهيم بن عبدالرحمن ناسخ طرابلسی حنفی نزيل صالحيه دمشق، تا: قرن ۹، جا: صالحیه دمشق؛ جلد: تیماج قهوه ای سوخته ضربی، ۶گ (۷۰ر-۷۵پ)،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۳۱/۵سم [ف: ۱-۱۷]</w:t>
      </w:r>
    </w:p>
    <w:p>
      <w:pPr>
        <w:pStyle w:val="BookText"/>
      </w:pPr>
      <w:r>
        <w:rPr>
          <w:rFonts w:ascii="IRNazanin" w:hAnsi="IRNazanin" w:eastAsia="IRNazanin" w:cs="IRNazanin"/>
          <w:lang w:bidi="fa-IR"/>
          <w:color w:val="111111"/>
          <w:sz w:val="28"/>
          <w:szCs w:val="28"/>
          <w:rtl/>
        </w:rPr>
        <w:t xml:space="preserve">۲. یزد؛ محمود آبادی، میرزا حسن؛ شماره نسخه: ۳۰/۴</w:t>
      </w:r>
    </w:p>
    <w:p>
      <w:pPr>
        <w:pStyle w:val="BookText"/>
      </w:pPr>
      <w:r>
        <w:rPr>
          <w:rFonts w:ascii="IRNazanin" w:hAnsi="IRNazanin" w:eastAsia="IRNazanin" w:cs="IRNazanin"/>
          <w:lang w:bidi="fa-IR"/>
          <w:color w:val="111111"/>
          <w:sz w:val="28"/>
          <w:szCs w:val="28"/>
          <w:rtl/>
        </w:rPr>
        <w:t xml:space="preserve">بی کا، بی تا، قطع: رحلی (نشريه: ۴-۴۵۶]</w:t>
      </w:r>
    </w:p>
    <w:p>
      <w:pPr>
        <w:pStyle w:val="Heading3"/>
      </w:pPr>
      <w:bookmarkStart w:id="959" w:name="_Toc219"/>
      <w:r>
        <w:t>• بلوغ المرام / عربی</w:t>
      </w:r>
      <w:bookmarkEnd w:id="959"/>
    </w:p>
    <w:p>
      <w:pPr>
        <w:pStyle w:val="BookText"/>
      </w:pPr>
      <w:r>
        <w:rPr>
          <w:rFonts w:ascii="Times New Roman" w:hAnsi="Times New Roman" w:eastAsia="Times New Roman" w:cs="Times New Roman"/>
          <w:lang w:val="en-US" w:bidi="en-US"/>
          <w:color w:val="111111"/>
          <w:sz w:val="28"/>
          <w:szCs w:val="28"/>
          <w:rtl/>
        </w:rPr>
        <w:t xml:space="preserve">bulūg-ul marām</w:t>
      </w:r>
    </w:p>
    <w:p>
      <w:pPr>
        <w:pStyle w:val="BookText"/>
      </w:pPr>
      <w:r>
        <w:rPr>
          <w:rFonts w:ascii="IRNazanin" w:hAnsi="IRNazanin" w:eastAsia="IRNazanin" w:cs="IRNazanin"/>
          <w:lang w:bidi="fa-IR"/>
          <w:color w:val="111111"/>
          <w:sz w:val="28"/>
          <w:szCs w:val="28"/>
          <w:rtl/>
        </w:rPr>
        <w:t xml:space="preserve">حنفی، ابوبکر علی بن عبدالله</w:t>
      </w:r>
    </w:p>
    <w:p>
      <w:pPr>
        <w:pStyle w:val="BookText"/>
      </w:pPr>
      <w:r>
        <w:rPr>
          <w:rFonts w:ascii="Times New Roman" w:hAnsi="Times New Roman" w:eastAsia="Times New Roman" w:cs="Times New Roman"/>
          <w:lang w:val="en-US" w:bidi="en-US"/>
          <w:color w:val="111111"/>
          <w:sz w:val="28"/>
          <w:szCs w:val="28"/>
          <w:rtl/>
        </w:rPr>
        <w:t xml:space="preserve">hanafī, abū-bakr ‘alī ebn-e 'abd-ol-lāh</w:t>
      </w:r>
    </w:p>
    <w:p>
      <w:pPr>
        <w:pStyle w:val="BookText"/>
      </w:pPr>
      <w:r>
        <w:rPr>
          <w:rFonts w:ascii="IRNazanin" w:hAnsi="IRNazanin" w:eastAsia="IRNazanin" w:cs="IRNazanin"/>
          <w:lang w:bidi="fa-IR"/>
          <w:color w:val="111111"/>
          <w:sz w:val="28"/>
          <w:szCs w:val="28"/>
          <w:rtl/>
        </w:rPr>
        <w:t xml:space="preserve">مشهد؛ رضوی؛ شماره نسخه:۲۲۱۷۸</w:t>
      </w:r>
    </w:p>
    <w:p>
      <w:pPr>
        <w:pStyle w:val="BookText"/>
      </w:pPr>
      <w:r>
        <w:rPr>
          <w:rFonts w:ascii="IRNazanin" w:hAnsi="IRNazanin" w:eastAsia="IRNazanin" w:cs="IRNazanin"/>
          <w:lang w:bidi="fa-IR"/>
          <w:color w:val="111111"/>
          <w:sz w:val="28"/>
          <w:szCs w:val="28"/>
          <w:rtl/>
        </w:rPr>
        <w:t xml:space="preserve">آغاز: بسمله، الحمدلله و کفی و سلام على عباده الذين اصطفی؛ انجام: فاكلنا حتى و استوقنا انتهى سنه ۱۱۱۵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7" w:name="pg20363_209236"/>
    <w:bookmarkEnd w:id="77"/>
    <w:p>
      <w:pPr>
        <w:pStyle w:val="BookText"/>
      </w:pPr>
      <w:r>
        <w:rPr>
          <w:rFonts w:ascii="IRNazanin" w:hAnsi="IRNazanin" w:eastAsia="IRNazanin" w:cs="IRNazanin"/>
          <w:lang w:bidi="fa-IR"/>
          <w:color w:val="111111"/>
          <w:sz w:val="28"/>
          <w:szCs w:val="28"/>
          <w:rtl/>
        </w:rPr>
        <w:t xml:space="preserve">خط: نسخ، بی کا، تا: ۱۱۱۵ق [رایانه]</w:t>
      </w:r>
    </w:p>
    <w:p>
      <w:pPr>
        <w:pStyle w:val="Heading3"/>
      </w:pPr>
      <w:bookmarkStart w:id="960" w:name="_Toc220"/>
      <w:r>
        <w:t>• بلوغ المرام في تاريخ دولة مولانا الباشا بهرام / تاریخ /عربی</w:t>
      </w:r>
      <w:bookmarkEnd w:id="960"/>
    </w:p>
    <w:p>
      <w:pPr>
        <w:pStyle w:val="BookText"/>
      </w:pPr>
      <w:r>
        <w:rPr>
          <w:rFonts w:ascii="Times New Roman" w:hAnsi="Times New Roman" w:eastAsia="Times New Roman" w:cs="Times New Roman"/>
          <w:lang w:val="en-US" w:bidi="en-US"/>
          <w:color w:val="111111"/>
          <w:sz w:val="28"/>
          <w:szCs w:val="28"/>
          <w:rtl/>
        </w:rPr>
        <w:t xml:space="preserve">bulūg-ul marām fi tārīx-i dawlat-i mawlā-nā al-bāšā</w:t>
      </w:r>
    </w:p>
    <w:p>
      <w:pPr>
        <w:pStyle w:val="BookText"/>
      </w:pPr>
      <w:r>
        <w:rPr>
          <w:rFonts w:ascii="Times New Roman" w:hAnsi="Times New Roman" w:eastAsia="Times New Roman" w:cs="Times New Roman"/>
          <w:lang w:val="en-US" w:bidi="en-US"/>
          <w:color w:val="111111"/>
          <w:sz w:val="28"/>
          <w:szCs w:val="28"/>
          <w:rtl/>
        </w:rPr>
        <w:t xml:space="preserve">bahrām</w:t>
      </w:r>
    </w:p>
    <w:p>
      <w:pPr>
        <w:pStyle w:val="BookText"/>
      </w:pPr>
      <w:r>
        <w:rPr>
          <w:rFonts w:ascii="IRNazanin" w:hAnsi="IRNazanin" w:eastAsia="IRNazanin" w:cs="IRNazanin"/>
          <w:lang w:bidi="fa-IR"/>
          <w:color w:val="111111"/>
          <w:sz w:val="28"/>
          <w:szCs w:val="28"/>
          <w:rtl/>
        </w:rPr>
        <w:t xml:space="preserve">مطیب، محمد بن یحیی،-۹۹۰ قمری</w:t>
      </w:r>
    </w:p>
    <w:p>
      <w:pPr>
        <w:pStyle w:val="BookText"/>
      </w:pPr>
      <w:r>
        <w:rPr>
          <w:rFonts w:ascii="Times New Roman" w:hAnsi="Times New Roman" w:eastAsia="Times New Roman" w:cs="Times New Roman"/>
          <w:lang w:val="en-US" w:bidi="en-US"/>
          <w:color w:val="111111"/>
          <w:sz w:val="28"/>
          <w:szCs w:val="28"/>
          <w:rtl/>
        </w:rPr>
        <w:t xml:space="preserve">motayyeb, mohammad ebn-e yahyā (- 1582)</w:t>
      </w:r>
    </w:p>
    <w:p>
      <w:pPr>
        <w:pStyle w:val="BookText"/>
      </w:pPr>
      <w:r>
        <w:rPr>
          <w:rFonts w:ascii="IRNazanin" w:hAnsi="IRNazanin" w:eastAsia="IRNazanin" w:cs="IRNazanin"/>
          <w:lang w:bidi="fa-IR"/>
          <w:color w:val="111111"/>
          <w:sz w:val="28"/>
          <w:szCs w:val="28"/>
          <w:rtl/>
        </w:rPr>
        <w:t xml:space="preserve">تاریخ یمن در زمان حکمرانی عثمانی ها است که پاشا بهرام حاکم یمن از طرف حکومت عثمانی بود. مؤلف از علمای حنفی در زبید بوده و شرح حال فرزندش احمد بن محمد بن یحیی (متوفی ۱۰۲۸ق) در «خلاصة الأثر» (۲۹۲/۱ ) آمده است.</w:t>
      </w:r>
    </w:p>
    <w:p>
      <w:pPr>
        <w:pStyle w:val="BookText"/>
      </w:pPr>
      <w:r>
        <w:rPr>
          <w:rFonts w:ascii="IRNazanin" w:hAnsi="IRNazanin" w:eastAsia="IRNazanin" w:cs="IRNazanin"/>
          <w:lang w:bidi="fa-IR"/>
          <w:color w:val="111111"/>
          <w:sz w:val="28"/>
          <w:szCs w:val="28"/>
          <w:rtl/>
        </w:rPr>
        <w:t xml:space="preserve">رساله حاضر در شش «باب» دارای فصول، حوادث سال های ۹۷۷ تا ۹۸۲ ق را در بردارد و تتمهای در بیان بخشی از محاسن حاکم مذکور آورده است.</w:t>
      </w:r>
    </w:p>
    <w:p>
      <w:pPr>
        <w:pStyle w:val="BookText"/>
      </w:pPr>
      <w:r>
        <w:rPr>
          <w:rFonts w:ascii="IRNazanin" w:hAnsi="IRNazanin" w:eastAsia="IRNazanin" w:cs="IRNazanin"/>
          <w:lang w:bidi="fa-IR"/>
          <w:color w:val="111111"/>
          <w:sz w:val="28"/>
          <w:szCs w:val="28"/>
          <w:rtl/>
        </w:rPr>
        <w:t xml:space="preserve">[الاعلام زرکلی ۱۴۱/۷ ؛ مصادر الفكر الاسلامي في اليمن ۵۰۸]</w:t>
      </w:r>
    </w:p>
    <w:p>
      <w:pPr>
        <w:pStyle w:val="BookText"/>
      </w:pPr>
      <w:r>
        <w:rPr>
          <w:rFonts w:ascii="IRNazanin" w:hAnsi="IRNazanin" w:eastAsia="IRNazanin" w:cs="IRNazanin"/>
          <w:lang w:bidi="fa-IR"/>
          <w:color w:val="111111"/>
          <w:sz w:val="28"/>
          <w:szCs w:val="28"/>
          <w:rtl/>
        </w:rPr>
        <w:t xml:space="preserve">قم؛ مرعشی؛ شماره نسخه: ۱۲۴۳/۳</w:t>
      </w:r>
    </w:p>
    <w:p>
      <w:pPr>
        <w:pStyle w:val="BookText"/>
      </w:pPr>
      <w:r>
        <w:rPr>
          <w:rFonts w:ascii="IRNazanin" w:hAnsi="IRNazanin" w:eastAsia="IRNazanin" w:cs="IRNazanin"/>
          <w:lang w:bidi="fa-IR"/>
          <w:color w:val="111111"/>
          <w:sz w:val="28"/>
          <w:szCs w:val="28"/>
          <w:rtl/>
        </w:rPr>
        <w:t xml:space="preserve">آغاز: بسملة. الحمدلله الذي اطلع انوار العدل و مهد احکامه و عمر قواعد الفضل و احكم نظامه و رفع منار الامن ... و بعد فهذا كتاب صغير الحجم بديع النظم عزیز الرسم قریب الفهم جمعت فيه تاريخ بعض ایام الدولة العادلة العثمانية باليمن المعمور و ما وقع به في تلك الأيام من الفتح المشهور</w:t>
      </w:r>
    </w:p>
    <w:p>
      <w:pPr>
        <w:pStyle w:val="BookText"/>
      </w:pPr>
      <w:r>
        <w:rPr>
          <w:rFonts w:ascii="IRNazanin" w:hAnsi="IRNazanin" w:eastAsia="IRNazanin" w:cs="IRNazanin"/>
          <w:lang w:bidi="fa-IR"/>
          <w:color w:val="111111"/>
          <w:sz w:val="28"/>
          <w:szCs w:val="28"/>
          <w:rtl/>
        </w:rPr>
        <w:t xml:space="preserve">بی کا، بی تا، ۴۴ص (۴۵-۸۸)، ۱۳ سطر [عکسی ف: ۳-۵۴۳]</w:t>
      </w:r>
    </w:p>
    <w:p>
      <w:pPr>
        <w:pStyle w:val="Heading3"/>
      </w:pPr>
      <w:bookmarkStart w:id="961" w:name="_Toc221"/>
      <w:r>
        <w:t>• بلوغ المرام في معرفة اقسام العام / تقویم / عربی</w:t>
      </w:r>
      <w:bookmarkEnd w:id="961"/>
    </w:p>
    <w:p>
      <w:pPr>
        <w:pStyle w:val="BookText"/>
      </w:pPr>
      <w:r>
        <w:rPr>
          <w:rFonts w:ascii="Times New Roman" w:hAnsi="Times New Roman" w:eastAsia="Times New Roman" w:cs="Times New Roman"/>
          <w:lang w:val="en-US" w:bidi="en-US"/>
          <w:color w:val="111111"/>
          <w:sz w:val="28"/>
          <w:szCs w:val="28"/>
          <w:rtl/>
        </w:rPr>
        <w:t xml:space="preserve">bulūg-ul marām fi maʼrifat-i aqsām-il ‘ām</w:t>
      </w:r>
    </w:p>
    <w:p>
      <w:pPr>
        <w:pStyle w:val="BookText"/>
      </w:pPr>
      <w:r>
        <w:rPr>
          <w:rFonts w:ascii="IRNazanin" w:hAnsi="IRNazanin" w:eastAsia="IRNazanin" w:cs="IRNazanin"/>
          <w:lang w:bidi="fa-IR"/>
          <w:color w:val="111111"/>
          <w:sz w:val="28"/>
          <w:szCs w:val="28"/>
          <w:rtl/>
        </w:rPr>
        <w:t xml:space="preserve">تاریخ تأليف: ۱۰۶۹ق؛ محل تألیف: بصره</w:t>
      </w:r>
    </w:p>
    <w:p>
      <w:pPr>
        <w:pStyle w:val="BookText"/>
      </w:pPr>
      <w:r>
        <w:rPr>
          <w:rFonts w:ascii="IRNazanin" w:hAnsi="IRNazanin" w:eastAsia="IRNazanin" w:cs="IRNazanin"/>
          <w:lang w:bidi="fa-IR"/>
          <w:color w:val="111111"/>
          <w:sz w:val="28"/>
          <w:szCs w:val="28"/>
          <w:rtl/>
        </w:rPr>
        <w:t xml:space="preserve">در علم تقویم و معرفت حساب سال که در زمان وزارت حسین پاشا علی پاشا ولد افراسیاب پاشا تألیف شده است، مشتمل بر یک «مقدمه»، ۴ «فصل» و یک «خاتمه».</w:t>
      </w:r>
    </w:p>
    <w:p>
      <w:pPr>
        <w:pStyle w:val="BookText"/>
      </w:pPr>
      <w:r>
        <w:rPr>
          <w:rFonts w:ascii="IRNazanin" w:hAnsi="IRNazanin" w:eastAsia="IRNazanin" w:cs="IRNazanin"/>
          <w:lang w:bidi="fa-IR"/>
          <w:color w:val="111111"/>
          <w:sz w:val="28"/>
          <w:szCs w:val="28"/>
          <w:rtl/>
        </w:rPr>
        <w:t xml:space="preserve">شیراز؛ علامه طباطبائی؛ شماره نسخه: ۷۹/۳</w:t>
      </w:r>
    </w:p>
    <w:p>
      <w:pPr>
        <w:pStyle w:val="BookText"/>
      </w:pPr>
      <w:r>
        <w:rPr>
          <w:rFonts w:ascii="IRNazanin" w:hAnsi="IRNazanin" w:eastAsia="IRNazanin" w:cs="IRNazanin"/>
          <w:lang w:bidi="fa-IR"/>
          <w:color w:val="111111"/>
          <w:sz w:val="28"/>
          <w:szCs w:val="28"/>
          <w:rtl/>
        </w:rPr>
        <w:t xml:space="preserve">آغاز: الحمدلله وحده وصلى الله على من لانبی بعده</w:t>
      </w:r>
    </w:p>
    <w:p>
      <w:pPr>
        <w:pStyle w:val="BookText"/>
      </w:pPr>
      <w:r>
        <w:rPr>
          <w:rFonts w:ascii="IRNazanin" w:hAnsi="IRNazanin" w:eastAsia="IRNazanin" w:cs="IRNazanin"/>
          <w:lang w:bidi="fa-IR"/>
          <w:color w:val="111111"/>
          <w:sz w:val="28"/>
          <w:szCs w:val="28"/>
          <w:rtl/>
        </w:rPr>
        <w:t xml:space="preserve">کا: محمد فقيه شريف بن شرافت پناه محمد لطیف نیریزی، بی تا؛ ۱۶گ (۱۳-۲۸)،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سم [نسخه پژوهی: ۳-۷۸]</w:t>
      </w:r>
    </w:p>
    <w:p>
      <w:pPr>
        <w:pStyle w:val="Heading3"/>
      </w:pPr>
      <w:bookmarkStart w:id="962" w:name="_Toc222"/>
      <w:r>
        <w:t>•بلوغ المرام من ادلة الأحكام / حديث / عربی</w:t>
      </w:r>
      <w:bookmarkEnd w:id="962"/>
    </w:p>
    <w:p>
      <w:pPr>
        <w:pStyle w:val="BookText"/>
      </w:pPr>
      <w:r>
        <w:rPr>
          <w:rFonts w:ascii="Times New Roman" w:hAnsi="Times New Roman" w:eastAsia="Times New Roman" w:cs="Times New Roman"/>
          <w:lang w:val="en-US" w:bidi="en-US"/>
          <w:color w:val="111111"/>
          <w:sz w:val="28"/>
          <w:szCs w:val="28"/>
          <w:rtl/>
        </w:rPr>
        <w:t xml:space="preserve">bulūg-ul marām min adillat-il ’ahkām</w:t>
      </w:r>
    </w:p>
    <w:p>
      <w:pPr>
        <w:pStyle w:val="BookText"/>
      </w:pPr>
      <w:r>
        <w:rPr>
          <w:rFonts w:ascii="IRNazanin" w:hAnsi="IRNazanin" w:eastAsia="IRNazanin" w:cs="IRNazanin"/>
          <w:lang w:bidi="fa-IR"/>
          <w:color w:val="111111"/>
          <w:sz w:val="28"/>
          <w:szCs w:val="28"/>
          <w:rtl/>
        </w:rPr>
        <w:t xml:space="preserve">ابن حجر عسقلانی، احمد بن علی، ۷۳۳-۸۵۲ قمری</w:t>
      </w:r>
    </w:p>
    <w:p>
      <w:pPr>
        <w:pStyle w:val="BookText"/>
      </w:pPr>
      <w:r>
        <w:rPr>
          <w:rFonts w:ascii="Times New Roman" w:hAnsi="Times New Roman" w:eastAsia="Times New Roman" w:cs="Times New Roman"/>
          <w:lang w:val="en-US" w:bidi="en-US"/>
          <w:color w:val="111111"/>
          <w:sz w:val="28"/>
          <w:szCs w:val="28"/>
          <w:rtl/>
        </w:rPr>
        <w:t xml:space="preserve">ebn-e hajar-e 'asqalānī, ahmad ebn-e ‘alī (1333-1449)</w:t>
      </w:r>
    </w:p>
    <w:p>
      <w:pPr>
        <w:pStyle w:val="BookText"/>
      </w:pPr>
      <w:r>
        <w:rPr>
          <w:rFonts w:ascii="IRNazanin" w:hAnsi="IRNazanin" w:eastAsia="IRNazanin" w:cs="IRNazanin"/>
          <w:lang w:bidi="fa-IR"/>
          <w:color w:val="111111"/>
          <w:sz w:val="28"/>
          <w:szCs w:val="28"/>
          <w:rtl/>
        </w:rPr>
        <w:t xml:space="preserve">روایتی از پیامبر اکرم (صلی الله علیه وآله وسلم)که در بیان احکام وارد شده گرد آورده و پس از نقل هر حدیث، هر یک از ائمه اهل سنت که  آن را تخریج کرده اند بیان کرده و تضعیف یا تصحیح سندی آنان را نیز متذکر می شود. ترتیب این کتاب به روش کتب فقهی و در ابواب متعدد است.</w:t>
      </w:r>
    </w:p>
    <w:p>
      <w:pPr>
        <w:pStyle w:val="BookText"/>
      </w:pPr>
      <w:r>
        <w:rPr>
          <w:rFonts w:ascii="Amiri" w:hAnsi="Amiri" w:eastAsia="Amiri" w:cs="Amiri"/>
          <w:lang w:bidi="ar-SA"/>
          <w:color w:val="111111"/>
          <w:sz w:val="28"/>
          <w:szCs w:val="28"/>
          <w:rtl/>
        </w:rPr>
        <w:t xml:space="preserve">آغاز: الحمدلله على نعمة الظاهرة و الباطنة قديمة و حديثة و الصلاة و السلام على نبيه و رسوله محمد و آله و صحبه الذين ساروا في نصرة دينه.</w:t>
      </w:r>
    </w:p>
    <w:p>
      <w:pPr>
        <w:pStyle w:val="BookText"/>
      </w:pPr>
      <w:r>
        <w:rPr>
          <w:rFonts w:ascii="IRNazanin" w:hAnsi="IRNazanin" w:eastAsia="IRNazanin" w:cs="IRNazanin"/>
          <w:lang w:bidi="fa-IR"/>
          <w:color w:val="111111"/>
          <w:sz w:val="28"/>
          <w:szCs w:val="28"/>
          <w:rtl/>
        </w:rPr>
        <w:t xml:space="preserve">چاپ: تحقيق رضوان محمد رضوان، بیروت، دار المتاب العربی؛ قاهرة، مسطبعة السنة المحمدية، ۱۹۵۴م، ۲۷۸ص، نشره: رضولن محمد رضوان؛ چاپ سنگی، لكنهو ۱۲۵۳ق، چاپ سنگی لاهور ۱۸۸۸م؛ هند ۱۳۱۲م، التمدن الصناعيه ۱۳۲۰ ص ۲۸۰.</w:t>
      </w:r>
    </w:p>
    <w:p>
      <w:pPr>
        <w:pStyle w:val="BookText"/>
      </w:pPr>
      <w:r>
        <w:rPr>
          <w:rFonts w:ascii="IRNazanin" w:hAnsi="IRNazanin" w:eastAsia="IRNazanin" w:cs="IRNazanin"/>
          <w:lang w:bidi="fa-IR"/>
          <w:color w:val="111111"/>
          <w:sz w:val="28"/>
          <w:szCs w:val="28"/>
          <w:rtl/>
        </w:rPr>
        <w:t xml:space="preserve">[ کشف الظنون ۲۵۴/۱ ؛ فهرست کتابهای عربی لینچی ص ۹۲-۹۳؛ معجم المطبوعات ۷۸/۱ -۷۹؛ معجم المؤلفين ۲۰/۲ ]</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Amiri" w:hAnsi="Amiri" w:eastAsia="Amiri" w:cs="Amiri"/>
          <w:lang w:bidi="ar-SA"/>
          <w:color w:val="111111"/>
          <w:sz w:val="28"/>
          <w:szCs w:val="28"/>
          <w:rtl/>
        </w:rPr>
        <w:t xml:space="preserve">1- منحة الكرام بشرح بلوغ المرام؛ ابن شاهين، يوسف بن شاهين (۸۹۹-۸۲۸)</w:t>
      </w:r>
    </w:p>
    <w:p>
      <w:pPr>
        <w:pStyle w:val="BookText"/>
      </w:pPr>
      <w:r>
        <w:rPr>
          <w:rFonts w:ascii="IRNazanin" w:hAnsi="IRNazanin" w:eastAsia="IRNazanin" w:cs="IRNazanin"/>
          <w:lang w:bidi="fa-IR"/>
          <w:color w:val="111111"/>
          <w:sz w:val="28"/>
          <w:szCs w:val="28"/>
          <w:rtl/>
        </w:rPr>
        <w:t xml:space="preserve">قم، مرکز احیاء؛ شماره نسخه: ۳۰۴</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نسخه اصلی: کتابخانه آکادمی لینچی -رم ۵۰ روسی ۳۵۱؛ خط: نسخ، بی کا، تا: احتمالا قرن ۱۲؛ در ابتدای نسخه منظومه ای در ۳۳ بیت درباره توحید ثبت شده است؛ ۲۹۴ص [عکسی ف: ۱-۳۶۳]</w:t>
      </w:r>
    </w:p>
    <w:p>
      <w:pPr>
        <w:pStyle w:val="Heading3"/>
      </w:pPr>
      <w:bookmarkStart w:id="963" w:name="_Toc223"/>
      <w:r>
        <w:t>• بلوغ المرام من سیرة ابن هشام / تاریخ پیامبر اکرم (صلی الله علیه وآله وسلم) - عربی</w:t>
      </w:r>
      <w:bookmarkEnd w:id="963"/>
    </w:p>
    <w:p>
      <w:pPr>
        <w:pStyle w:val="BookText"/>
      </w:pPr>
      <w:r>
        <w:rPr>
          <w:rFonts w:ascii="Times New Roman" w:hAnsi="Times New Roman" w:eastAsia="Times New Roman" w:cs="Times New Roman"/>
          <w:lang w:val="en-US" w:bidi="en-US"/>
          <w:color w:val="111111"/>
          <w:sz w:val="28"/>
          <w:szCs w:val="28"/>
          <w:rtl/>
        </w:rPr>
        <w:t xml:space="preserve">bulūg-ul marām min sīrat-i ibn-i hišām</w:t>
      </w:r>
    </w:p>
    <w:p>
      <w:pPr>
        <w:pStyle w:val="BookText"/>
      </w:pPr>
      <w:r>
        <w:rPr>
          <w:rFonts w:ascii="IRNazanin" w:hAnsi="IRNazanin" w:eastAsia="IRNazanin" w:cs="IRNazanin"/>
          <w:lang w:bidi="fa-IR"/>
          <w:color w:val="111111"/>
          <w:sz w:val="28"/>
          <w:szCs w:val="28"/>
          <w:rtl/>
        </w:rPr>
        <w:t xml:space="preserve">ابن حجة، تقي الدين بن على، ۷۶۷-۸۳۷ قمری</w:t>
      </w:r>
    </w:p>
    <w:p>
      <w:pPr>
        <w:pStyle w:val="BookText"/>
      </w:pPr>
      <w:r>
        <w:rPr>
          <w:rFonts w:ascii="Times New Roman" w:hAnsi="Times New Roman" w:eastAsia="Times New Roman" w:cs="Times New Roman"/>
          <w:lang w:val="en-US" w:bidi="en-US"/>
          <w:color w:val="111111"/>
          <w:sz w:val="28"/>
          <w:szCs w:val="28"/>
          <w:rtl/>
        </w:rPr>
        <w:t xml:space="preserve">ebn-e hejja, taqi-yod-dīn ebn-e 'alī (1366-1434)</w:t>
      </w:r>
    </w:p>
    <w:p>
      <w:pPr>
        <w:pStyle w:val="BookText"/>
      </w:pPr>
      <w:r>
        <w:rPr>
          <w:rFonts w:ascii="IRNazanin" w:hAnsi="IRNazanin" w:eastAsia="IRNazanin" w:cs="IRNazanin"/>
          <w:lang w:bidi="fa-IR"/>
          <w:color w:val="111111"/>
          <w:sz w:val="28"/>
          <w:szCs w:val="28"/>
          <w:rtl/>
        </w:rPr>
        <w:t xml:space="preserve">وابسته به: السيرة النبوية؛ ابن هشام، عبدالملک بن هشام (۲۱۳)| تهذیب و اضافاتی است بر سیره ابن هشام با ذکر مطالبی از عبدالرحمن سهیلی (-۵۸۱) از شارحان سیره ابن هشام، با اضافانی از مؤلف خصوصا در مورد اشعار، و در پایان قصیده خود را که در مدح پیامبر(صلی الله علیه وآله وسلم)سروده به نام «امان الخائف» آورده است.</w:t>
      </w:r>
    </w:p>
    <w:p>
      <w:pPr>
        <w:pStyle w:val="BookText"/>
      </w:pPr>
      <w:r>
        <w:rPr>
          <w:rFonts w:ascii="IRNazanin" w:hAnsi="IRNazanin" w:eastAsia="IRNazanin" w:cs="IRNazanin"/>
          <w:lang w:bidi="fa-IR"/>
          <w:color w:val="111111"/>
          <w:sz w:val="28"/>
          <w:szCs w:val="28"/>
          <w:rtl/>
        </w:rPr>
        <w:t xml:space="preserve">[ الاعلام زرکلی ۶۷/۲ ]</w:t>
      </w:r>
    </w:p>
    <w:p>
      <w:pPr>
        <w:pStyle w:val="BookText"/>
      </w:pPr>
      <w:r>
        <w:rPr>
          <w:rFonts w:ascii="IRNazanin" w:hAnsi="IRNazanin" w:eastAsia="IRNazanin" w:cs="IRNazanin"/>
          <w:lang w:bidi="fa-IR"/>
          <w:color w:val="111111"/>
          <w:sz w:val="28"/>
          <w:szCs w:val="28"/>
          <w:rtl/>
        </w:rPr>
        <w:t xml:space="preserve">قم: مرکز احیاء؛ شماره نسخه: ۱۶۱۷</w:t>
      </w:r>
    </w:p>
    <w:p>
      <w:pPr>
        <w:pStyle w:val="BookText"/>
      </w:pPr>
      <w:r>
        <w:rPr>
          <w:rFonts w:ascii="IRNazanin" w:hAnsi="IRNazanin" w:eastAsia="IRNazanin" w:cs="IRNazanin"/>
          <w:lang w:bidi="fa-IR"/>
          <w:color w:val="111111"/>
          <w:sz w:val="28"/>
          <w:szCs w:val="28"/>
          <w:rtl/>
        </w:rPr>
        <w:t xml:space="preserve">آغاز: قال ابن اسحاق و حدثني ابي اسحاق بن يسار و غیره من اهل العلم عن اشياخ من الأنصار</w:t>
      </w:r>
    </w:p>
    <w:p>
      <w:pPr>
        <w:pStyle w:val="BookText"/>
      </w:pPr>
      <w:r>
        <w:rPr>
          <w:rFonts w:ascii="IRNazanin" w:hAnsi="IRNazanin" w:eastAsia="IRNazanin" w:cs="IRNazanin"/>
          <w:lang w:bidi="fa-IR"/>
          <w:color w:val="111111"/>
          <w:sz w:val="28"/>
          <w:szCs w:val="28"/>
          <w:rtl/>
        </w:rPr>
        <w:t xml:space="preserve">نسخه اصل: کتابخانه آکادمی لینچی -رم ۷۶. نیمه دوم کتاب می باشد؛ خط: نسخ معرب، كا: محمد بن محمد بن شرف تقوی حموی، تا: مستهل رجب ۸۳۳ق؛ مصحح، محشی، دارای لوح زیبا و تیموری، در صفحه اول مطالبی به زبان ایتالیائی درباره کتاب؛ تملک: «احمد بن حسن المتولي على وقف العوری» به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8" w:name="pg20363_209237"/>
    <w:bookmarkEnd w:id="78"/>
    <w:p>
      <w:pPr>
        <w:pStyle w:val="BookText"/>
      </w:pPr>
      <w:r>
        <w:rPr>
          <w:rFonts w:ascii="IRNazanin" w:hAnsi="IRNazanin" w:eastAsia="IRNazanin" w:cs="IRNazanin"/>
          <w:lang w:bidi="fa-IR"/>
          <w:color w:val="111111"/>
          <w:sz w:val="28"/>
          <w:szCs w:val="28"/>
          <w:rtl/>
        </w:rPr>
        <w:t xml:space="preserve">سال ۱۱۵۶، «محمد بن احمد» با مهر «عبده محمد» (بیضوی)؛ ۵۲۲ص [عکسی ف: ۵-۴۶]</w:t>
      </w:r>
    </w:p>
    <w:p>
      <w:pPr>
        <w:pStyle w:val="Heading3"/>
      </w:pPr>
      <w:bookmarkStart w:id="964" w:name="_Toc224"/>
      <w:r>
        <w:t>•بلوغ و حریت / عرفان و تصوف / فارسی</w:t>
      </w:r>
      <w:bookmarkEnd w:id="964"/>
    </w:p>
    <w:p>
      <w:pPr>
        <w:pStyle w:val="BookText"/>
      </w:pPr>
      <w:r>
        <w:rPr>
          <w:rFonts w:ascii="Times New Roman" w:hAnsi="Times New Roman" w:eastAsia="Times New Roman" w:cs="Times New Roman"/>
          <w:lang w:val="en-US" w:bidi="en-US"/>
          <w:color w:val="111111"/>
          <w:sz w:val="28"/>
          <w:szCs w:val="28"/>
          <w:rtl/>
        </w:rPr>
        <w:t xml:space="preserve">bolūq va horrīyat</w:t>
      </w:r>
    </w:p>
    <w:p>
      <w:pPr>
        <w:pStyle w:val="BookText"/>
      </w:pPr>
      <w:r>
        <w:rPr>
          <w:rFonts w:ascii="IRNazanin" w:hAnsi="IRNazanin" w:eastAsia="IRNazanin" w:cs="IRNazanin"/>
          <w:lang w:bidi="fa-IR"/>
          <w:color w:val="111111"/>
          <w:sz w:val="28"/>
          <w:szCs w:val="28"/>
          <w:rtl/>
        </w:rPr>
        <w:t xml:space="preserve">نسفی، عزیز الدین بن محمد، ق۷ قمری</w:t>
      </w:r>
    </w:p>
    <w:p>
      <w:pPr>
        <w:pStyle w:val="BookText"/>
      </w:pPr>
      <w:r>
        <w:rPr>
          <w:rFonts w:ascii="Times New Roman" w:hAnsi="Times New Roman" w:eastAsia="Times New Roman" w:cs="Times New Roman"/>
          <w:lang w:val="en-US" w:bidi="en-US"/>
          <w:color w:val="111111"/>
          <w:sz w:val="28"/>
          <w:szCs w:val="28"/>
          <w:rtl/>
        </w:rPr>
        <w:t xml:space="preserve">nasafī, “azīz-od-dīn ebn-e mohammad (- 13c)</w:t>
      </w:r>
    </w:p>
    <w:p>
      <w:pPr>
        <w:pStyle w:val="BookText"/>
      </w:pPr>
      <w:r>
        <w:rPr>
          <w:rFonts w:ascii="IRNazanin" w:hAnsi="IRNazanin" w:eastAsia="IRNazanin" w:cs="IRNazanin"/>
          <w:lang w:bidi="fa-IR"/>
          <w:color w:val="111111"/>
          <w:sz w:val="28"/>
          <w:szCs w:val="28"/>
          <w:rtl/>
        </w:rPr>
        <w:t xml:space="preserve">رساله نهم از مجموعه انسان کامل است. وی به بلوغ و حریت اهمیت ویژه ای می داده و کمال انسانی را در بلوغ و حریت می داند. با سربندهای «ای در ویش» در ۳ «فصل» 1. معنی بلوغ و حریت؛ ۲. بلوغ و حدیث آدمی؛ ۳. خاتمه این رساله.</w:t>
      </w:r>
    </w:p>
    <w:p>
      <w:pPr>
        <w:pStyle w:val="BookText"/>
      </w:pPr>
      <w:r>
        <w:rPr>
          <w:rFonts w:ascii="IRNazanin" w:hAnsi="IRNazanin" w:eastAsia="IRNazanin" w:cs="IRNazanin"/>
          <w:lang w:bidi="fa-IR"/>
          <w:color w:val="111111"/>
          <w:sz w:val="28"/>
          <w:szCs w:val="28"/>
          <w:rtl/>
        </w:rPr>
        <w:t xml:space="preserve">آغاز: حمد له. اما بعد چنین گوید ... از این بیچاره درخواست کردند که می باید در بلوغ و حریت رساله جمع کنید و بیان کنید که بلوغ و حریت چیست</w:t>
      </w:r>
    </w:p>
    <w:p>
      <w:pPr>
        <w:pStyle w:val="BookText"/>
      </w:pPr>
      <w:r>
        <w:rPr>
          <w:rFonts w:ascii="IRNazanin" w:hAnsi="IRNazanin" w:eastAsia="IRNazanin" w:cs="IRNazanin"/>
          <w:lang w:bidi="fa-IR"/>
          <w:color w:val="111111"/>
          <w:sz w:val="28"/>
          <w:szCs w:val="28"/>
          <w:rtl/>
        </w:rPr>
        <w:t xml:space="preserve">انجام: و بلوغ عیان دیگران کرده اند، و ما نیز در جای های دیگر ذکر اینها کرده ایم. تکرار نکردیم. و الحمد لله رب العالمين.</w:t>
      </w:r>
    </w:p>
    <w:p>
      <w:pPr>
        <w:pStyle w:val="BookText"/>
      </w:pPr>
      <w:r>
        <w:rPr>
          <w:rFonts w:ascii="IRNazanin" w:hAnsi="IRNazanin" w:eastAsia="IRNazanin" w:cs="IRNazanin"/>
          <w:lang w:bidi="fa-IR"/>
          <w:color w:val="111111"/>
          <w:sz w:val="28"/>
          <w:szCs w:val="28"/>
          <w:rtl/>
        </w:rPr>
        <w:t xml:space="preserve">چاپ: در کتاب الانسان الكامل، به تحقيق ماریژان موله (تهران، طهوری: ۱۳۷۹ (چاپ پنجم)</w:t>
      </w:r>
    </w:p>
    <w:p>
      <w:pPr>
        <w:pStyle w:val="BookText"/>
      </w:pPr>
      <w:r>
        <w:rPr>
          <w:rFonts w:ascii="IRNazanin" w:hAnsi="IRNazanin" w:eastAsia="IRNazanin" w:cs="IRNazanin"/>
          <w:lang w:bidi="fa-IR"/>
          <w:color w:val="111111"/>
          <w:sz w:val="28"/>
          <w:szCs w:val="28"/>
          <w:rtl/>
        </w:rPr>
        <w:t xml:space="preserve">[ نسخه های منزوی ۱۰۶۴/۲ ؛ فهرستواره منزوی ۱۵۵/۷ ]</w:t>
      </w:r>
    </w:p>
    <w:p>
      <w:pPr>
        <w:pStyle w:val="BookText"/>
      </w:pPr>
      <w:r>
        <w:rPr>
          <w:rFonts w:ascii="IRNazanin" w:hAnsi="IRNazanin" w:eastAsia="IRNazanin" w:cs="IRNazanin"/>
          <w:lang w:bidi="fa-IR"/>
          <w:color w:val="111111"/>
          <w:sz w:val="28"/>
          <w:szCs w:val="28"/>
          <w:rtl/>
        </w:rPr>
        <w:t xml:space="preserve">۱. تهران؛ دانشگاه؛ شماره نسخه: ۲۹۵۸/۴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۱۰؛ جلد: تیماج سبز ضربی مقوایی درون سرخ، ۴گی (۱۵۵-۱۵۸)، ۲۱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۱۰-۱۸۵۴]</w:t>
      </w:r>
    </w:p>
    <w:p>
      <w:pPr>
        <w:pStyle w:val="BookText"/>
      </w:pPr>
      <w:r>
        <w:rPr>
          <w:rFonts w:ascii="IRNazanin" w:hAnsi="IRNazanin" w:eastAsia="IRNazanin" w:cs="IRNazanin"/>
          <w:lang w:bidi="fa-IR"/>
          <w:color w:val="111111"/>
          <w:sz w:val="28"/>
          <w:szCs w:val="28"/>
          <w:rtl/>
        </w:rPr>
        <w:t xml:space="preserve">۲. تهران؛ ملک؛ شماره نسخه: ۴۰۴۵/۱۳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دو فصل؛ خط: نسخ، بی کا، تا: ۱۰۷۵ق؛ کاغذ: آهار مهره فرنگی، جلد: رویه میشن سیاه، ۱۸ سطر، اندازه: ۲۲/۲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۱۵/۷ سم [ف: ۷-۱۶۸]</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سپهسالار؛ شماره نسخه: ۱۳۱۶/۱۴</w:t>
      </w:r>
    </w:p>
    <w:p>
      <w:pPr>
        <w:pStyle w:val="BookText"/>
      </w:pPr>
      <w:r>
        <w:rPr>
          <w:rFonts w:ascii="IRNazanin" w:hAnsi="IRNazanin" w:eastAsia="IRNazanin" w:cs="IRNazanin"/>
          <w:lang w:bidi="fa-IR"/>
          <w:color w:val="111111"/>
          <w:sz w:val="28"/>
          <w:szCs w:val="28"/>
          <w:rtl/>
        </w:rPr>
        <w:t xml:space="preserve">آغاز و انجام: برابر خط: نسخ، كا: حیدر علی، تا: شوال ۱۲۸۰ق، جا؛ تهران؛ مصحح اما پرغلط؛ کاغذ: فرنگی سفید آهار مهره، جلد: مقوایی، ۲۲گ ( ۱۸۹-۱۶۸ پ)، ۱۵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 [ف: ۵-۵۰]</w:t>
      </w:r>
    </w:p>
    <w:p>
      <w:pPr>
        <w:pStyle w:val="BookText"/>
      </w:pPr>
      <w:r>
        <w:rPr>
          <w:rFonts w:ascii="IRNazanin" w:hAnsi="IRNazanin" w:eastAsia="IRNazanin" w:cs="IRNazanin"/>
          <w:lang w:bidi="fa-IR"/>
          <w:color w:val="111111"/>
          <w:sz w:val="28"/>
          <w:szCs w:val="28"/>
          <w:rtl/>
        </w:rPr>
        <w:t xml:space="preserve">۴. قم؛ مرعشی؛ شماره نسخه: ۸۰۱۳/۱۴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زیبا، بی کا، تا: ربيع الثانی ۱۲۸۵ق؛ جلد: تیماج قهوه ای، ۳گ (۱۵۵ر -۱۵۷)، ۱۳ سطر، اندازه:</w:t>
      </w:r>
    </w:p>
    <w:p>
      <w:pPr>
        <w:pStyle w:val="BookText"/>
      </w:pPr>
      <w:r>
        <w:rPr>
          <w:rFonts w:ascii="IRNazanin" w:hAnsi="IRNazanin" w:eastAsia="IRNazanin" w:cs="IRNazanin"/>
          <w:lang w:bidi="fa-IR"/>
          <w:color w:val="111111"/>
          <w:sz w:val="28"/>
          <w:szCs w:val="28"/>
          <w:rtl/>
        </w:rPr>
        <w:t xml:space="preserve">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۱۷/۵ سم [ف: ۲۱-۱۹]</w:t>
      </w:r>
    </w:p>
    <w:p>
      <w:pPr>
        <w:pStyle w:val="BookText"/>
      </w:pPr>
      <w:r>
        <w:rPr>
          <w:rFonts w:ascii="IRNazanin" w:hAnsi="IRNazanin" w:eastAsia="IRNazanin" w:cs="IRNazanin"/>
          <w:lang w:bidi="fa-IR"/>
          <w:color w:val="111111"/>
          <w:sz w:val="28"/>
          <w:szCs w:val="28"/>
          <w:rtl/>
        </w:rPr>
        <w:t xml:space="preserve">۵. تهران؛ مجلس؛ شماره نسخه: ۴۹۴۹/۱۲</w:t>
      </w:r>
    </w:p>
    <w:p>
      <w:pPr>
        <w:pStyle w:val="BookText"/>
      </w:pPr>
      <w:r>
        <w:rPr>
          <w:rFonts w:ascii="IRNazanin" w:hAnsi="IRNazanin" w:eastAsia="IRNazanin" w:cs="IRNazanin"/>
          <w:lang w:bidi="fa-IR"/>
          <w:color w:val="111111"/>
          <w:sz w:val="28"/>
          <w:szCs w:val="28"/>
          <w:rtl/>
        </w:rPr>
        <w:t xml:space="preserve">آغاز: برابر؛ انجام: ای درویش غرض ما درین رساله بیان بلوغ و حریت آدمی بود بشرح گفته شد، و بیان بلوغ اسلام و ایمان و ایقان و عیان دیگران کرده اند ... الحمدلله ظاهر و باطنا و اولا و آخرا</w:t>
      </w:r>
    </w:p>
    <w:p>
      <w:pPr>
        <w:pStyle w:val="BookText"/>
      </w:pPr>
      <w:r>
        <w:rPr>
          <w:rFonts w:ascii="IRNazanin" w:hAnsi="IRNazanin" w:eastAsia="IRNazanin" w:cs="IRNazanin"/>
          <w:lang w:bidi="fa-IR"/>
          <w:color w:val="111111"/>
          <w:sz w:val="28"/>
          <w:szCs w:val="28"/>
          <w:rtl/>
        </w:rPr>
        <w:t xml:space="preserve">با دگرگونی هایی مطابق است با (ص ۱۳۱-۱۳۱) همان مجموعه چاپی؛ خط: شکسته نستعلیق، کا: محمد جواد بن محمد حسین الطبيب الطهراني (نجم الحكماء)، تا: ۱۳۱۴ق؛ کاغذ: فرنگی، جلد: تیماج سرخ یک لا، ۲گ (۵۸ر -۵۹پ)، ۱۵ سطر (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۱۴-۲۱۶]</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مجلس؛ شماره نسخه: ۹۹۴/۱۴ -طباطبائی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کاغذ: فرنگی، ۳ص (۱۲۵-۱۲۷)، قطع: وزیری، اندازه: ۱۳/۵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۲۳-۲۸۶]</w:t>
      </w:r>
    </w:p>
    <w:p>
      <w:pPr>
        <w:pStyle w:val="Heading3"/>
      </w:pPr>
      <w:bookmarkStart w:id="965" w:name="_Toc225"/>
      <w:r>
        <w:t>• بلوغ الوطر و محک النظر / علوم غریبه / عربی</w:t>
      </w:r>
      <w:bookmarkEnd w:id="965"/>
    </w:p>
    <w:p>
      <w:pPr>
        <w:pStyle w:val="BookText"/>
      </w:pPr>
      <w:r>
        <w:rPr>
          <w:rFonts w:ascii="Times New Roman" w:hAnsi="Times New Roman" w:eastAsia="Times New Roman" w:cs="Times New Roman"/>
          <w:lang w:val="en-US" w:bidi="en-US"/>
          <w:color w:val="111111"/>
          <w:sz w:val="28"/>
          <w:szCs w:val="28"/>
          <w:rtl/>
        </w:rPr>
        <w:t xml:space="preserve">bulug-ul watar wa mahak-un nazar</w:t>
      </w:r>
    </w:p>
    <w:p>
      <w:pPr>
        <w:pStyle w:val="BookText"/>
      </w:pPr>
      <w:r>
        <w:rPr>
          <w:rFonts w:ascii="IRNazanin" w:hAnsi="IRNazanin" w:eastAsia="IRNazanin" w:cs="IRNazanin"/>
          <w:lang w:bidi="fa-IR"/>
          <w:color w:val="111111"/>
          <w:sz w:val="28"/>
          <w:szCs w:val="28"/>
          <w:rtl/>
        </w:rPr>
        <w:t xml:space="preserve">تهران؛ مهدوی؛ شماره نسخه: ۴۵۰/۵</w:t>
      </w:r>
    </w:p>
    <w:p>
      <w:pPr>
        <w:pStyle w:val="BookText"/>
      </w:pPr>
      <w:r>
        <w:rPr>
          <w:rFonts w:ascii="IRNazanin" w:hAnsi="IRNazanin" w:eastAsia="IRNazanin" w:cs="IRNazanin"/>
          <w:lang w:bidi="fa-IR"/>
          <w:color w:val="111111"/>
          <w:sz w:val="28"/>
          <w:szCs w:val="28"/>
          <w:rtl/>
        </w:rPr>
        <w:t xml:space="preserve">خط: نسخ عربی، بی کا، تا: قرن ۱۲ نشریه: ۲-۱۱۸]</w:t>
      </w:r>
    </w:p>
    <w:p>
      <w:pPr>
        <w:pStyle w:val="BookText"/>
      </w:pPr>
      <w:r>
        <w:rPr>
          <w:rFonts w:ascii="IRNazanin" w:hAnsi="IRNazanin" w:eastAsia="IRNazanin" w:cs="IRNazanin"/>
          <w:lang w:bidi="fa-IR"/>
          <w:color w:val="111111"/>
          <w:sz w:val="28"/>
          <w:szCs w:val="28"/>
          <w:rtl/>
        </w:rPr>
        <w:t xml:space="preserve">← بلوغیه ← فرق بلوغ کمال و کمال بلوغ</w:t>
      </w:r>
    </w:p>
    <w:p>
      <w:pPr>
        <w:pStyle w:val="Heading3"/>
      </w:pPr>
      <w:bookmarkStart w:id="966" w:name="_Toc226"/>
      <w:r>
        <w:t>• بلوهر و بوداسف = یوز اسف و بلوهر / داستان / عربی</w:t>
      </w:r>
      <w:bookmarkEnd w:id="966"/>
    </w:p>
    <w:p>
      <w:pPr>
        <w:pStyle w:val="BookText"/>
      </w:pPr>
      <w:r>
        <w:rPr>
          <w:rFonts w:ascii="Times New Roman" w:hAnsi="Times New Roman" w:eastAsia="Times New Roman" w:cs="Times New Roman"/>
          <w:lang w:val="en-US" w:bidi="en-US"/>
          <w:color w:val="111111"/>
          <w:sz w:val="28"/>
          <w:szCs w:val="28"/>
          <w:rtl/>
        </w:rPr>
        <w:t xml:space="preserve">belūhar va būdāsaf = yūzāsaf va belūhar</w:t>
      </w:r>
    </w:p>
    <w:p>
      <w:pPr>
        <w:pStyle w:val="BookText"/>
      </w:pPr>
      <w:r>
        <w:rPr>
          <w:rFonts w:ascii="IRNazanin" w:hAnsi="IRNazanin" w:eastAsia="IRNazanin" w:cs="IRNazanin"/>
          <w:lang w:bidi="fa-IR"/>
          <w:color w:val="111111"/>
          <w:sz w:val="28"/>
          <w:szCs w:val="28"/>
          <w:rtl/>
        </w:rPr>
        <w:t xml:space="preserve">شیخ صدوق، محمد بن علی، ۳۱۱؟ -۳۸۱ قمری</w:t>
      </w:r>
    </w:p>
    <w:p>
      <w:pPr>
        <w:pStyle w:val="BookText"/>
      </w:pPr>
      <w:r>
        <w:rPr>
          <w:rFonts w:ascii="Times New Roman" w:hAnsi="Times New Roman" w:eastAsia="Times New Roman" w:cs="Times New Roman"/>
          <w:lang w:val="en-US" w:bidi="en-US"/>
          <w:color w:val="111111"/>
          <w:sz w:val="28"/>
          <w:szCs w:val="28"/>
          <w:rtl/>
        </w:rPr>
        <w:t xml:space="preserve">šeyx-e sadūq, mohammad ebn-e ‘alī (924-992)</w:t>
      </w:r>
    </w:p>
    <w:p>
      <w:pPr>
        <w:pStyle w:val="BookText"/>
      </w:pPr>
      <w:r>
        <w:rPr>
          <w:rFonts w:ascii="IRNazanin" w:hAnsi="IRNazanin" w:eastAsia="IRNazanin" w:cs="IRNazanin"/>
          <w:lang w:bidi="fa-IR"/>
          <w:color w:val="111111"/>
          <w:sz w:val="28"/>
          <w:szCs w:val="28"/>
          <w:rtl/>
        </w:rPr>
        <w:t xml:space="preserve">چاپ: ایران، سنگی، بدون کاتب، ۱۲۸۰، وزیری، ۵۰ص</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١- بلوهر و بوداسف = يوزاسف و بلوهر؛ حسینی، محمد مسیح بن احمد (-۱۲)</w:t>
      </w:r>
    </w:p>
    <w:p>
      <w:pPr>
        <w:pStyle w:val="BookText"/>
      </w:pPr>
      <w:r>
        <w:rPr>
          <w:rFonts w:ascii="IRNazanin" w:hAnsi="IRNazanin" w:eastAsia="IRNazanin" w:cs="IRNazanin"/>
          <w:lang w:bidi="fa-IR"/>
          <w:color w:val="111111"/>
          <w:sz w:val="28"/>
          <w:szCs w:val="28"/>
          <w:rtl/>
        </w:rPr>
        <w:t xml:space="preserve">رشت؛ جمعیت نشر فرهنگ؛ شماره نسخه: ۳۰/۵</w:t>
      </w:r>
    </w:p>
    <w:p>
      <w:pPr>
        <w:pStyle w:val="BookText"/>
      </w:pPr>
      <w:r>
        <w:rPr>
          <w:rFonts w:ascii="IRNazanin" w:hAnsi="IRNazanin" w:eastAsia="IRNazanin" w:cs="IRNazanin"/>
          <w:lang w:bidi="fa-IR"/>
          <w:color w:val="111111"/>
          <w:sz w:val="28"/>
          <w:szCs w:val="28"/>
          <w:rtl/>
        </w:rPr>
        <w:t xml:space="preserve">بی کا، تا: ۱۷ محرم ۱۳۰۴ ق [رشت و همدان: ف: ۱۱۹۲]</w:t>
      </w:r>
    </w:p>
    <w:p>
      <w:pPr>
        <w:pStyle w:val="Heading3"/>
      </w:pPr>
      <w:bookmarkStart w:id="967" w:name="_Toc227"/>
      <w:r>
        <w:t>• بلوهر و بوداسف = یوزاسف و بلوهر / داستان / فارسی</w:t>
      </w:r>
      <w:bookmarkEnd w:id="967"/>
    </w:p>
    <w:p>
      <w:pPr>
        <w:pStyle w:val="BookText"/>
      </w:pPr>
      <w:r>
        <w:rPr>
          <w:rFonts w:ascii="Times New Roman" w:hAnsi="Times New Roman" w:eastAsia="Times New Roman" w:cs="Times New Roman"/>
          <w:lang w:val="en-US" w:bidi="en-US"/>
          <w:color w:val="111111"/>
          <w:sz w:val="28"/>
          <w:szCs w:val="28"/>
          <w:rtl/>
        </w:rPr>
        <w:t xml:space="preserve">belūhar va būdāsaf = yūzāsaf va belūhar</w:t>
      </w:r>
    </w:p>
    <w:p>
      <w:pPr>
        <w:pStyle w:val="BookText"/>
      </w:pPr>
      <w:r>
        <w:rPr>
          <w:rFonts w:ascii="IRNazanin" w:hAnsi="IRNazanin" w:eastAsia="IRNazanin" w:cs="IRNazanin"/>
          <w:lang w:bidi="fa-IR"/>
          <w:color w:val="111111"/>
          <w:sz w:val="28"/>
          <w:szCs w:val="28"/>
          <w:rtl/>
        </w:rPr>
        <w:t xml:space="preserve">نظام تبریزی، علی بن محمد، ۷۴۰ق -۹ قمری</w:t>
      </w:r>
    </w:p>
    <w:p>
      <w:pPr>
        <w:pStyle w:val="BookText"/>
      </w:pPr>
      <w:r>
        <w:rPr>
          <w:rFonts w:ascii="Times New Roman" w:hAnsi="Times New Roman" w:eastAsia="Times New Roman" w:cs="Times New Roman"/>
          <w:lang w:val="en-US" w:bidi="en-US"/>
          <w:color w:val="111111"/>
          <w:sz w:val="28"/>
          <w:szCs w:val="28"/>
          <w:rtl/>
        </w:rPr>
        <w:t xml:space="preserve">nezām-e tabrīzī, ‘alī ebn-e mohammad (1340-15c)</w:t>
      </w:r>
    </w:p>
    <w:p>
      <w:pPr>
        <w:pStyle w:val="BookText"/>
      </w:pPr>
      <w:r>
        <w:rPr>
          <w:rFonts w:ascii="IRNazanin" w:hAnsi="IRNazanin" w:eastAsia="IRNazanin" w:cs="IRNazanin"/>
          <w:lang w:bidi="fa-IR"/>
          <w:color w:val="111111"/>
          <w:sz w:val="28"/>
          <w:szCs w:val="28"/>
          <w:rtl/>
        </w:rPr>
        <w:t xml:space="preserve">از نظام شنب غازانی شامی که در فهارس بیشتر به نام «داستان بوذاسف و بلوهر» شناخته شده است.</w:t>
      </w:r>
    </w:p>
    <w:p>
      <w:pPr>
        <w:pStyle w:val="BookText"/>
      </w:pPr>
      <w:r>
        <w:rPr>
          <w:rFonts w:ascii="IRNazanin" w:hAnsi="IRNazanin" w:eastAsia="IRNazanin" w:cs="IRNazanin"/>
          <w:lang w:bidi="fa-IR"/>
          <w:color w:val="111111"/>
          <w:sz w:val="28"/>
          <w:szCs w:val="28"/>
          <w:rtl/>
        </w:rPr>
        <w:t xml:space="preserve">چاپ: تهران، نشر میراث مکتوب، به تصحیح محمد روشن، ۱۳۸۱ش</w:t>
      </w:r>
    </w:p>
    <w:p>
      <w:pPr>
        <w:pStyle w:val="BookText"/>
      </w:pPr>
      <w:r>
        <w:rPr>
          <w:rFonts w:ascii="IRNazanin" w:hAnsi="IRNazanin" w:eastAsia="IRNazanin" w:cs="IRNazanin"/>
          <w:lang w:bidi="fa-IR"/>
          <w:color w:val="111111"/>
          <w:sz w:val="28"/>
          <w:szCs w:val="28"/>
          <w:rtl/>
        </w:rPr>
        <w:t xml:space="preserve">تهران؛ ملک؛ شماره نسخه: ۴۱۸۷</w:t>
      </w:r>
    </w:p>
    <w:p>
      <w:pPr>
        <w:pStyle w:val="BookText"/>
      </w:pPr>
      <w:r>
        <w:rPr>
          <w:rFonts w:ascii="IRNazanin" w:hAnsi="IRNazanin" w:eastAsia="IRNazanin" w:cs="IRNazanin"/>
          <w:lang w:bidi="fa-IR"/>
          <w:color w:val="111111"/>
          <w:sz w:val="28"/>
          <w:szCs w:val="28"/>
          <w:rtl/>
        </w:rPr>
        <w:t xml:space="preserve">خط: نسخ، كان محمد بن محمد بن ابی طالب معروف به همام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9" w:name="pg20363_209238"/>
    <w:bookmarkEnd w:id="79"/>
    <w:p>
      <w:pPr>
        <w:pStyle w:val="BookText"/>
      </w:pPr>
      <w:r>
        <w:rPr>
          <w:rFonts w:ascii="IRNazanin" w:hAnsi="IRNazanin" w:eastAsia="IRNazanin" w:cs="IRNazanin"/>
          <w:lang w:bidi="fa-IR"/>
          <w:color w:val="111111"/>
          <w:sz w:val="28"/>
          <w:szCs w:val="28"/>
          <w:rtl/>
        </w:rPr>
        <w:t xml:space="preserve">طبيب، تا: نیمه ذیقعده ۸۱۰ق؛ کاغذ: کاغذ ترمه، جلد: میشن سیاه ضربی، ۱۲۳، ۱۹ سطر، اندازه: ۱۶/۳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۲-۵۹]</w:t>
      </w:r>
    </w:p>
    <w:p>
      <w:pPr>
        <w:pStyle w:val="Heading3"/>
      </w:pPr>
      <w:bookmarkStart w:id="968" w:name="_Toc228"/>
      <w:r>
        <w:t>•بلوهر و بوداسف = یوزاسف و بلوهر / داستان / فارسی</w:t>
      </w:r>
      <w:bookmarkEnd w:id="968"/>
    </w:p>
    <w:p>
      <w:pPr>
        <w:pStyle w:val="BookText"/>
      </w:pPr>
      <w:r>
        <w:rPr>
          <w:rFonts w:ascii="Times New Roman" w:hAnsi="Times New Roman" w:eastAsia="Times New Roman" w:cs="Times New Roman"/>
          <w:lang w:val="en-US" w:bidi="en-US"/>
          <w:color w:val="111111"/>
          <w:sz w:val="28"/>
          <w:szCs w:val="28"/>
          <w:rtl/>
        </w:rPr>
        <w:t xml:space="preserve">belūhar va būdāsaf = yūzāsaf va belūhar</w:t>
      </w:r>
    </w:p>
    <w:p>
      <w:pPr>
        <w:pStyle w:val="BookText"/>
      </w:pPr>
      <w:r>
        <w:rPr>
          <w:rFonts w:ascii="IRNazanin" w:hAnsi="IRNazanin" w:eastAsia="IRNazanin" w:cs="IRNazanin"/>
          <w:lang w:bidi="fa-IR"/>
          <w:color w:val="111111"/>
          <w:sz w:val="28"/>
          <w:szCs w:val="28"/>
          <w:rtl/>
        </w:rPr>
        <w:t xml:space="preserve">مجلسی، محمد باقر بن محمد تقی، ۱۰۳۷-۱۱۱۰ قمری</w:t>
      </w:r>
    </w:p>
    <w:p>
      <w:pPr>
        <w:pStyle w:val="BookText"/>
      </w:pPr>
      <w:r>
        <w:rPr>
          <w:rFonts w:ascii="Times New Roman" w:hAnsi="Times New Roman" w:eastAsia="Times New Roman" w:cs="Times New Roman"/>
          <w:lang w:val="en-US" w:bidi="en-US"/>
          <w:color w:val="111111"/>
          <w:sz w:val="28"/>
          <w:szCs w:val="28"/>
          <w:rtl/>
        </w:rPr>
        <w:t xml:space="preserve">majlesī, mohammad bāqer ebn-e mohammad taqī (1628–1699)</w:t>
      </w:r>
    </w:p>
    <w:p>
      <w:pPr>
        <w:pStyle w:val="BookText"/>
      </w:pPr>
      <w:r>
        <w:rPr>
          <w:rFonts w:ascii="IRNazanin" w:hAnsi="IRNazanin" w:eastAsia="IRNazanin" w:cs="IRNazanin"/>
          <w:lang w:bidi="fa-IR"/>
          <w:color w:val="111111"/>
          <w:sz w:val="28"/>
          <w:szCs w:val="28"/>
          <w:rtl/>
        </w:rPr>
        <w:t xml:space="preserve">وابسته به: اكمال الدين و اتمام النعمة = کمال الدین و تمام النعمة في اثبات الغيبة و كشف الحيرة؛ شیخ صدوق، محمد بن على (۳۸۱-۳۱۱)</w:t>
      </w:r>
    </w:p>
    <w:p>
      <w:pPr>
        <w:pStyle w:val="BookText"/>
      </w:pPr>
      <w:r>
        <w:rPr>
          <w:rFonts w:ascii="IRNazanin" w:hAnsi="IRNazanin" w:eastAsia="IRNazanin" w:cs="IRNazanin"/>
          <w:lang w:bidi="fa-IR"/>
          <w:color w:val="111111"/>
          <w:sz w:val="28"/>
          <w:szCs w:val="28"/>
          <w:rtl/>
        </w:rPr>
        <w:t xml:space="preserve">داستانی است برگرفته از تعالیم بودا در بدگویی از دنیا، این کتاب داستان آفرینش بودا پیامبر هندست که ایرانیان مضمون آن را از هندیان اقتباس کرده اند و به نام های مختلف و زبانهای مختلف نگارش یافته است، ابن بابویه (-۳۸۱هق.) در کتاب خود «اكمال الدين و اتمام النعمة»، آن را از محمد بن زکریای رازی (-۳۱۱ق.) می داند. مرحوم مجلسی در پایان جلد هفدهم بحار الانوار عربی آن را آورده و سپس همان تحریر را خود به فارسی در آورده و در عین الحیات» خود گنجانده است. آغاز: در کتاب کمال الدین و تمام النعمه به سند خود از محمد بن زکریا روایت کرده است که پادشاهی بود در ممالک هندوستان با لشکر فراوان و مملکت وسیع و مهابت عظیم.</w:t>
      </w:r>
    </w:p>
    <w:p>
      <w:pPr>
        <w:pStyle w:val="BookText"/>
      </w:pPr>
      <w:r>
        <w:rPr>
          <w:rFonts w:ascii="IRNazanin" w:hAnsi="IRNazanin" w:eastAsia="IRNazanin" w:cs="IRNazanin"/>
          <w:lang w:bidi="fa-IR"/>
          <w:color w:val="111111"/>
          <w:sz w:val="28"/>
          <w:szCs w:val="28"/>
          <w:rtl/>
        </w:rPr>
        <w:t xml:space="preserve">انجام: دیده بینا و گوش شنوا و زبان به حقایق و معارف گویا کرامت فرماید تا از این معارف و حکمت ها منتفع گردند. تمت.</w:t>
      </w:r>
    </w:p>
    <w:p>
      <w:pPr>
        <w:pStyle w:val="BookText"/>
      </w:pPr>
      <w:r>
        <w:rPr>
          <w:rFonts w:ascii="IRNazanin" w:hAnsi="IRNazanin" w:eastAsia="IRNazanin" w:cs="IRNazanin"/>
          <w:lang w:bidi="fa-IR"/>
          <w:color w:val="111111"/>
          <w:sz w:val="28"/>
          <w:szCs w:val="28"/>
          <w:rtl/>
        </w:rPr>
        <w:t xml:space="preserve">[ الذريعة ۱۴۹/۳ ؛ و الذريعة ۱۲۸/۴ ؛ نسخه های منزوی ۳۶۶۱/۵ ؛ فهرست فارسی مشار ۷۹۲/1 ]</w:t>
      </w:r>
    </w:p>
    <w:p>
      <w:pPr>
        <w:pStyle w:val="BookText"/>
      </w:pPr>
      <w:r>
        <w:rPr>
          <w:rFonts w:ascii="IRNazanin" w:hAnsi="IRNazanin" w:eastAsia="IRNazanin" w:cs="IRNazanin"/>
          <w:lang w:bidi="fa-IR"/>
          <w:color w:val="111111"/>
          <w:sz w:val="28"/>
          <w:szCs w:val="28"/>
          <w:rtl/>
        </w:rPr>
        <w:t xml:space="preserve">۱. تهران؛ مجلس؛ شماره نسخه: ۱۱۱۶/۱</w:t>
      </w:r>
    </w:p>
    <w:p>
      <w:pPr>
        <w:pStyle w:val="BookText"/>
      </w:pPr>
      <w:r>
        <w:rPr>
          <w:rFonts w:ascii="IRNazanin" w:hAnsi="IRNazanin" w:eastAsia="IRNazanin" w:cs="IRNazanin"/>
          <w:lang w:bidi="fa-IR"/>
          <w:color w:val="111111"/>
          <w:sz w:val="28"/>
          <w:szCs w:val="28"/>
          <w:rtl/>
        </w:rPr>
        <w:t xml:space="preserve">خط: نستعلیق، بی کا، تا: قرن ۱۰؛ افتادگی: آغاز؛ مجدول؛ کاغذ: سفید، جلد: تیماج مشکی ضربی و مقوایی، ۴۰ص (۱-۴۰)، ابعاد متن: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[سنا: ف: ۲-۱۲۲]</w:t>
      </w:r>
    </w:p>
    <w:p>
      <w:pPr>
        <w:pStyle w:val="BookText"/>
      </w:pPr>
      <w:r>
        <w:rPr>
          <w:rFonts w:ascii="IRNazanin" w:hAnsi="IRNazanin" w:eastAsia="IRNazanin" w:cs="IRNazanin"/>
          <w:lang w:bidi="fa-IR"/>
          <w:color w:val="111111"/>
          <w:sz w:val="28"/>
          <w:szCs w:val="28"/>
          <w:rtl/>
        </w:rPr>
        <w:t xml:space="preserve">۲. قم؛ مرکز احیاء؛ شماره نسخه: ۳۹۳۲</w:t>
      </w:r>
    </w:p>
    <w:p>
      <w:pPr>
        <w:pStyle w:val="BookText"/>
      </w:pPr>
      <w:r>
        <w:rPr>
          <w:rFonts w:ascii="IRNazanin" w:hAnsi="IRNazanin" w:eastAsia="IRNazanin" w:cs="IRNazanin"/>
          <w:lang w:bidi="fa-IR"/>
          <w:color w:val="111111"/>
          <w:sz w:val="28"/>
          <w:szCs w:val="28"/>
          <w:rtl/>
        </w:rPr>
        <w:t xml:space="preserve">آغاز: لآلی حمد و جواهر ثنا تحفه بارگاه جلال کبریا حکیمی که الواح ارواح قابله نوع بشر را که مظهر غرائب صنع قضا و قدر است</w:t>
      </w:r>
    </w:p>
    <w:p>
      <w:pPr>
        <w:pStyle w:val="BookText"/>
      </w:pPr>
      <w:r>
        <w:rPr>
          <w:rFonts w:ascii="IRNazanin" w:hAnsi="IRNazanin" w:eastAsia="IRNazanin" w:cs="IRNazanin"/>
          <w:lang w:bidi="fa-IR"/>
          <w:color w:val="111111"/>
          <w:sz w:val="28"/>
          <w:szCs w:val="28"/>
          <w:rtl/>
        </w:rPr>
        <w:t xml:space="preserve">نسخه حاضر در آغاز با دیگر نسخه ها متفاوت و مؤلف آن نیز عبدالله بن محمد تقی بن مقصود على مجلسی می باشد و در انجام با دیگر نسخه ها یکسان است؛ خط: نستعلیق، بی کا، تا: قرن ۱۲؛ مجدول، دارای سرلوح زرین؛ جلد: تیماج دورو، رو مشکی ضربی، پشت جگری سوخته، ۸۳گی، ۱۴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[محدث ارموی مخ: ۱-۲۶۱]</w:t>
      </w:r>
    </w:p>
    <w:p>
      <w:pPr>
        <w:pStyle w:val="BookText"/>
      </w:pPr>
      <w:r>
        <w:rPr>
          <w:rFonts w:ascii="IRNazanin" w:hAnsi="IRNazanin" w:eastAsia="IRNazanin" w:cs="IRNazanin"/>
          <w:lang w:bidi="fa-IR"/>
          <w:color w:val="111111"/>
          <w:sz w:val="28"/>
          <w:szCs w:val="28"/>
          <w:rtl/>
        </w:rPr>
        <w:t xml:space="preserve">٣. تهران؛ عبدالعظیم؛ شماره نسخه: ۷۱۶/۳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۱۴ ربیع الثانی ۱۱۱۱ق؛ مصحح، با علامت بلاغ؛ ۵۷گ، ۱۷ سطر، اندازه: ۱۴/۵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۱-۷۶]</w:t>
      </w:r>
    </w:p>
    <w:p>
      <w:pPr>
        <w:pStyle w:val="BookText"/>
      </w:pPr>
      <w:r>
        <w:rPr>
          <w:rFonts w:ascii="IRNazanin" w:hAnsi="IRNazanin" w:eastAsia="IRNazanin" w:cs="IRNazanin"/>
          <w:lang w:bidi="fa-IR"/>
          <w:color w:val="111111"/>
          <w:sz w:val="28"/>
          <w:szCs w:val="28"/>
          <w:rtl/>
        </w:rPr>
        <w:t xml:space="preserve">۴. قم؛ مرکز احیاء؛ شماره نسخه: ۲۸۴۴</w:t>
      </w:r>
    </w:p>
    <w:p>
      <w:pPr>
        <w:pStyle w:val="BookText"/>
      </w:pPr>
      <w:r>
        <w:rPr>
          <w:rFonts w:ascii="IRNazanin" w:hAnsi="IRNazanin" w:eastAsia="IRNazanin" w:cs="IRNazanin"/>
          <w:lang w:bidi="fa-IR"/>
          <w:color w:val="111111"/>
          <w:sz w:val="28"/>
          <w:szCs w:val="28"/>
          <w:rtl/>
        </w:rPr>
        <w:t xml:space="preserve">خط: نستعلیق، كا: نلادوه ول بن کصکر، تا: پنج شنبه ۲۷ جمادی الأول ۱۲۳۹ق؛ در برگ اول و آخر ادعیه ای به سال ۱۲۴۶؛ جلد: تیماج مشکی بدون مقوا، ۷۳گی، ۱۵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سم [ محدث ارموی مخ: ۱-۲۶۱] ۵. مشهد؛ رضوی، شماره نسخه: ۳۷۵۹۵</w:t>
      </w:r>
    </w:p>
    <w:p>
      <w:pPr>
        <w:pStyle w:val="BookText"/>
      </w:pPr>
      <w:r>
        <w:rPr>
          <w:rFonts w:ascii="IRNazanin" w:hAnsi="IRNazanin" w:eastAsia="IRNazanin" w:cs="IRNazanin"/>
          <w:lang w:bidi="fa-IR"/>
          <w:color w:val="111111"/>
          <w:sz w:val="28"/>
          <w:szCs w:val="28"/>
          <w:rtl/>
        </w:rPr>
        <w:t xml:space="preserve">آغاز: برابر؛ انجام: گوش شنوایی و دیده بینایی به همه امتان پیغمبر (صلی الله علیه وآله وسلم)کرامت فرماید بجاه محمد و آله الطيبين الطاهرين خط: نستعلیق، بی کا، تا: ۱۲۵۷ق؛ اهدایی: رهبری، مهر ۱۳۸۶؛ کاغذ: فرنگی نخودی آهار مهره، جلد: مقوا، رویه گالینگور سرخ، عطف و گوشه ها تیماج مشکی، ۵۲گ (۲۱۲پ -۲۶۳ر)، ۱۵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۱۴سم[اهدائی رهبر: ۸-۴۸۴]</w:t>
      </w:r>
    </w:p>
    <w:p>
      <w:pPr>
        <w:pStyle w:val="BookText"/>
      </w:pPr>
      <w:r>
        <w:rPr>
          <w:rFonts w:ascii="IRNazanin" w:hAnsi="IRNazanin" w:eastAsia="IRNazanin" w:cs="IRNazanin"/>
          <w:lang w:bidi="fa-IR"/>
          <w:color w:val="111111"/>
          <w:sz w:val="28"/>
          <w:szCs w:val="28"/>
          <w:rtl/>
        </w:rPr>
        <w:t xml:space="preserve">۶. قم: مرکز احیاء؛ شماره نسخه: ۲۱۷۸/۱</w:t>
      </w:r>
    </w:p>
    <w:p>
      <w:pPr>
        <w:pStyle w:val="BookText"/>
      </w:pPr>
      <w:r>
        <w:rPr>
          <w:rFonts w:ascii="IRNazanin" w:hAnsi="IRNazanin" w:eastAsia="IRNazanin" w:cs="IRNazanin"/>
          <w:lang w:bidi="fa-IR"/>
          <w:color w:val="111111"/>
          <w:sz w:val="28"/>
          <w:szCs w:val="28"/>
          <w:rtl/>
        </w:rPr>
        <w:t xml:space="preserve">آغاز: تمثيل دوم در ذکر تمثیلاتی که مشتمل است بر توضيح عیبهای بسیار از دنیا و در این مقام قصه بلوهر و بوذاسف که مشتمل بر حکم شریفه، انجام: و زبان بحقایق و معارف گویا کرامت فرماید تا از این معارف و حکمتها منتفع گردند بمحمد وآله الطيبين</w:t>
      </w:r>
    </w:p>
    <w:p>
      <w:pPr>
        <w:pStyle w:val="BookText"/>
      </w:pPr>
      <w:r>
        <w:rPr>
          <w:rFonts w:ascii="IRNazanin" w:hAnsi="IRNazanin" w:eastAsia="IRNazanin" w:cs="IRNazanin"/>
          <w:lang w:bidi="fa-IR"/>
          <w:color w:val="111111"/>
          <w:sz w:val="28"/>
          <w:szCs w:val="28"/>
          <w:rtl/>
        </w:rPr>
        <w:t xml:space="preserve">خط: نستعلیق، کا: محمد رضا بن زین الدین بن محمد رضا تبریزی، تا: غره جمادی الثانی ۱۲۶۵ق؛ جلد: تیماج مشکی بدون مقوا، ۴۴گ (۳-۴۶پ)، ۲۳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[محدث ارموی مخ: ۱- ۲۶۰]</w:t>
      </w:r>
    </w:p>
    <w:p>
      <w:pPr>
        <w:pStyle w:val="BookText"/>
      </w:pPr>
      <w:r>
        <w:rPr>
          <w:rFonts w:ascii="IRNazanin" w:hAnsi="IRNazanin" w:eastAsia="IRNazanin" w:cs="IRNazanin"/>
          <w:lang w:bidi="fa-IR"/>
          <w:color w:val="111111"/>
          <w:sz w:val="28"/>
          <w:szCs w:val="28"/>
          <w:rtl/>
        </w:rPr>
        <w:t xml:space="preserve">۷. مشهد؛ رضوی؛ شماره نسخه: ۱۵۸۴۵/۲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کتابتی، کا: محمد شفیع بن محمد على نجار، تان ذیحجه ۱۲۷۱ق، جان قریه فرار از توابع دارالسباط کلات نادری؛ کاغذ: نخودی، جلد: تیماج، ۱۲۸ص (۱۲۷-۲۵۴)، اندازه: ۲۱/۳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 [ف: ۱۷-۱۲۴]</w:t>
      </w:r>
    </w:p>
    <w:p>
      <w:pPr>
        <w:pStyle w:val="BookText"/>
      </w:pPr>
      <w:r>
        <w:rPr>
          <w:rFonts w:ascii="IRNazanin" w:hAnsi="IRNazanin" w:eastAsia="IRNazanin" w:cs="IRNazanin"/>
          <w:lang w:bidi="fa-IR"/>
          <w:color w:val="111111"/>
          <w:sz w:val="28"/>
          <w:szCs w:val="28"/>
          <w:rtl/>
        </w:rPr>
        <w:t xml:space="preserve">۸. تهران؛ مدارک فرهنگی؛ شماره نسخه: ۱۱۰/۲</w:t>
      </w:r>
    </w:p>
    <w:p>
      <w:pPr>
        <w:pStyle w:val="BookText"/>
      </w:pPr>
      <w:r>
        <w:rPr>
          <w:rFonts w:ascii="IRNazanin" w:hAnsi="IRNazanin" w:eastAsia="IRNazanin" w:cs="IRNazanin"/>
          <w:lang w:bidi="fa-IR"/>
          <w:color w:val="111111"/>
          <w:sz w:val="28"/>
          <w:szCs w:val="28"/>
          <w:rtl/>
        </w:rPr>
        <w:t xml:space="preserve">آغاز: نسخه: بسمله ... این کتابیست از قصه یوزاسف و بلو هر که جناب مجلسی در کتاب؛ انجام: خود را از مرکب انداخت برای دو مرد پست بیقدر پس خط: شکسته نستعلیق متوسط، بی کا، بی تا، افتادگی: انجام؛ کاغذ: فرنگی حنایی و شکری، جلد: مقوایی روکش کاغذ ابره عطف تیماج حنایی، ۲۳گ (۹۶-۱۱۸ر)،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آف: ۱۰۴]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مجلس؛ شماره نسخه: ۱۶۹۶۲</w:t>
      </w:r>
    </w:p>
    <w:p>
      <w:pPr>
        <w:pStyle w:val="BookText"/>
      </w:pPr>
      <w:r>
        <w:rPr>
          <w:rFonts w:ascii="IRNazanin" w:hAnsi="IRNazanin" w:eastAsia="IRNazanin" w:cs="IRNazanin"/>
          <w:lang w:bidi="fa-IR"/>
          <w:color w:val="111111"/>
          <w:sz w:val="28"/>
          <w:szCs w:val="28"/>
          <w:rtl/>
        </w:rPr>
        <w:t xml:space="preserve">آغاز: هیچ بگوش او نرسیده بود و اما قوت عقل و صحت فهم و رای او بمرتبه ای بود که خلایق را در عجب و حیرت می افکن و پدر در حال او متردد بود؛ انجام: و امر کرد ... تا برای مدفن او مکانی بنا کند پس پای خویش بکشید و سر بجانب مغرب کرد و روی بمشرق و جان بداد. رحمه الله و بركاته عليه. و السلام.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0" w:name="pg20363_209239"/>
    <w:bookmarkEnd w:id="80"/>
    <w:p>
      <w:pPr>
        <w:pStyle w:val="BookText"/>
      </w:pPr>
      <w:r>
        <w:rPr>
          <w:rFonts w:ascii="IRNazanin" w:hAnsi="IRNazanin" w:eastAsia="IRNazanin" w:cs="IRNazanin"/>
          <w:lang w:bidi="fa-IR"/>
          <w:color w:val="111111"/>
          <w:sz w:val="28"/>
          <w:szCs w:val="28"/>
          <w:rtl/>
        </w:rPr>
        <w:t xml:space="preserve">ظاهرة غير از ترجمه ای است که علامه مجلسی از این داستان در عین الحیات آورده است؛ خط: نستعلیق تحریری، بی کا، بی تا؛ افتادگی: آغاز؛ مهر: «عبد الجواد» (بیضی)؛ جلد: مقوایی با روکش پارچه ای سفید و ته بندی چرم، ۱۳۰ص، ۱۵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۴۷/۱ -۸۸]</w:t>
      </w:r>
    </w:p>
    <w:p>
      <w:pPr>
        <w:pStyle w:val="BookText"/>
      </w:pPr>
      <w:r>
        <w:rPr>
          <w:rFonts w:ascii="IRNazanin" w:hAnsi="IRNazanin" w:eastAsia="IRNazanin" w:cs="IRNazanin"/>
          <w:lang w:bidi="fa-IR"/>
          <w:color w:val="111111"/>
          <w:sz w:val="28"/>
          <w:szCs w:val="28"/>
          <w:rtl/>
        </w:rPr>
        <w:t xml:space="preserve">۱۰. کاشان؛ عاطفی، حسن؛ شماره نسخه: بدون شماره</w:t>
      </w:r>
    </w:p>
    <w:p>
      <w:pPr>
        <w:pStyle w:val="BookText"/>
      </w:pPr>
      <w:r>
        <w:rPr>
          <w:rFonts w:ascii="IRNazanin" w:hAnsi="IRNazanin" w:eastAsia="IRNazanin" w:cs="IRNazanin"/>
          <w:lang w:bidi="fa-IR"/>
          <w:color w:val="111111"/>
          <w:sz w:val="28"/>
          <w:szCs w:val="28"/>
          <w:rtl/>
        </w:rPr>
        <w:t xml:space="preserve">خط: شکسته نستعلیق، بی کا، بی تا، جلد: گالینگور سرمه ای،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[نشریه: ۷-۷۲۴]</w:t>
      </w:r>
    </w:p>
    <w:p>
      <w:pPr>
        <w:pStyle w:val="BookText"/>
      </w:pPr>
      <w:r>
        <w:rPr>
          <w:rFonts w:ascii="IRNazanin" w:hAnsi="IRNazanin" w:eastAsia="IRNazanin" w:cs="IRNazanin"/>
          <w:lang w:bidi="fa-IR"/>
          <w:color w:val="111111"/>
          <w:sz w:val="28"/>
          <w:szCs w:val="28"/>
          <w:rtl/>
        </w:rPr>
        <w:t xml:space="preserve">۱۱. قم؛ مرکز احیاء؛ شماره نسخه: ۲۱۲۷/۳</w:t>
      </w:r>
    </w:p>
    <w:p>
      <w:pPr>
        <w:pStyle w:val="BookText"/>
      </w:pPr>
      <w:r>
        <w:rPr>
          <w:rFonts w:ascii="IRNazanin" w:hAnsi="IRNazanin" w:eastAsia="IRNazanin" w:cs="IRNazanin"/>
          <w:lang w:bidi="fa-IR"/>
          <w:color w:val="111111"/>
          <w:sz w:val="28"/>
          <w:szCs w:val="28"/>
          <w:rtl/>
        </w:rPr>
        <w:t xml:space="preserve">آغاز: تمثيل دوم در ذکر تمثیلاتی که مشتمل است بر توضیح عیبهای بسیار از دنیا و در این مقام قصه بلوهر و بوذاسف که مشتمل بر حکم شریفه؛ انجام: و هرگز او را جاهی و منزلتی در دنیا نبوده و هرگز مالک بهره ای از زمین نکشته پس ای پسر پادشاه دنیا را خانه خود مدان ....</w:t>
      </w:r>
    </w:p>
    <w:p>
      <w:pPr>
        <w:pStyle w:val="BookText"/>
      </w:pPr>
      <w:r>
        <w:rPr>
          <w:rFonts w:ascii="IRNazanin" w:hAnsi="IRNazanin" w:eastAsia="IRNazanin" w:cs="IRNazanin"/>
          <w:lang w:bidi="fa-IR"/>
          <w:color w:val="111111"/>
          <w:sz w:val="28"/>
          <w:szCs w:val="28"/>
          <w:rtl/>
        </w:rPr>
        <w:t xml:space="preserve">نسخه اصل: کتابخانه مدرسه جعفریه زهان؛ خط: نستعلیق، کا: محمد على بن ابو تراب بمرودی، بی تا، افتادگی: انجام؛ ۷۰ص [ ۴۱۸-۳۴۹ ] [عکسی ف: ۶-۱۵۱]</w:t>
      </w:r>
    </w:p>
    <w:p>
      <w:pPr>
        <w:pStyle w:val="BookText"/>
      </w:pPr>
      <w:r>
        <w:rPr>
          <w:rFonts w:ascii="IRNazanin" w:hAnsi="IRNazanin" w:eastAsia="IRNazanin" w:cs="IRNazanin"/>
          <w:lang w:bidi="fa-IR"/>
          <w:color w:val="111111"/>
          <w:sz w:val="28"/>
          <w:szCs w:val="28"/>
          <w:rtl/>
        </w:rPr>
        <w:t xml:space="preserve">۱۲. تهران؛ دانشگاه؛ شماره نسخه: ۷۴۸۰/۳</w:t>
      </w:r>
    </w:p>
    <w:p>
      <w:pPr>
        <w:pStyle w:val="BookText"/>
      </w:pPr>
      <w:r>
        <w:rPr>
          <w:rFonts w:ascii="IRNazanin" w:hAnsi="IRNazanin" w:eastAsia="IRNazanin" w:cs="IRNazanin"/>
          <w:lang w:bidi="fa-IR"/>
          <w:color w:val="111111"/>
          <w:sz w:val="28"/>
          <w:szCs w:val="28"/>
          <w:rtl/>
        </w:rPr>
        <w:t xml:space="preserve">خط: نستعلیق، بی کا، بی تا، کاغذ: سپاهانی، جلد: تیماج مشکی ضربی ترنجی مقوایی، ۱۱۳گ (۲۲۱-۳۳۳)، ۱۵ سطر (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قطع: ربعی،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۱۶-۵۸۶]</w:t>
      </w:r>
    </w:p>
    <w:p>
      <w:pPr>
        <w:pStyle w:val="BookText"/>
      </w:pPr>
      <w:r>
        <w:rPr>
          <w:rFonts w:ascii="IRNazanin" w:hAnsi="IRNazanin" w:eastAsia="IRNazanin" w:cs="IRNazanin"/>
          <w:lang w:bidi="fa-IR"/>
          <w:color w:val="111111"/>
          <w:sz w:val="28"/>
          <w:szCs w:val="28"/>
          <w:rtl/>
        </w:rPr>
        <w:t xml:space="preserve">۱۳. تهران؛ مجلس؛ شماره نسخه: ۲۹۱/۹</w:t>
      </w:r>
    </w:p>
    <w:p>
      <w:pPr>
        <w:pStyle w:val="BookText"/>
      </w:pPr>
      <w:r>
        <w:rPr>
          <w:rFonts w:ascii="IRNazanin" w:hAnsi="IRNazanin" w:eastAsia="IRNazanin" w:cs="IRNazanin"/>
          <w:lang w:bidi="fa-IR"/>
          <w:color w:val="111111"/>
          <w:sz w:val="28"/>
          <w:szCs w:val="28"/>
          <w:rtl/>
        </w:rPr>
        <w:t xml:space="preserve">-فیروز بخشی از کتاب عين الحيات مجلسی است با عنوان: «تمثيل دهم در ذکر تمثیلاتی ... و در این مقام قصه بلوهر و بوداسف که مشتمل است بر حکم شريفه انبیا ...؟ بی کا، بی تا، کاغذ: آهار مهره، جلد: تیماج مشکی، ۵۵ص (۱۶۴-۲۱۸)، قطع: رحلی،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۲۱-۲۷۴]</w:t>
      </w:r>
    </w:p>
    <w:p>
      <w:pPr>
        <w:pStyle w:val="BookText"/>
      </w:pPr>
      <w:r>
        <w:rPr>
          <w:rFonts w:ascii="IRNazanin" w:hAnsi="IRNazanin" w:eastAsia="IRNazanin" w:cs="IRNazanin"/>
          <w:lang w:bidi="fa-IR"/>
          <w:color w:val="111111"/>
          <w:sz w:val="28"/>
          <w:szCs w:val="28"/>
          <w:rtl/>
        </w:rPr>
        <w:t xml:space="preserve">۱۴. قم؛ مسجد اعظم؛ شماره نسخه: ۱۵۵۷/۶</w:t>
      </w:r>
    </w:p>
    <w:p>
      <w:pPr>
        <w:pStyle w:val="BookText"/>
      </w:pPr>
      <w:r>
        <w:rPr>
          <w:rFonts w:ascii="IRNazanin" w:hAnsi="IRNazanin" w:eastAsia="IRNazanin" w:cs="IRNazanin"/>
          <w:lang w:bidi="fa-IR"/>
          <w:color w:val="111111"/>
          <w:sz w:val="28"/>
          <w:szCs w:val="28"/>
          <w:rtl/>
        </w:rPr>
        <w:t xml:space="preserve">آغاز: برابر؛ انجام: چون به نزدیک آمد چشمه دید در نهایت صفا و پاکیزگی و درختی مشاهده نمود در غایت نیکویی و رعنایی که هرگز به آن خوبی درخت ندیده بود و آن درخت شاخهای بسیار داشت و چون میوه.</w:t>
      </w:r>
    </w:p>
    <w:p>
      <w:pPr>
        <w:pStyle w:val="BookText"/>
      </w:pPr>
      <w:r>
        <w:rPr>
          <w:rFonts w:ascii="IRNazanin" w:hAnsi="IRNazanin" w:eastAsia="IRNazanin" w:cs="IRNazanin"/>
          <w:lang w:bidi="fa-IR"/>
          <w:color w:val="111111"/>
          <w:sz w:val="28"/>
          <w:szCs w:val="28"/>
          <w:rtl/>
        </w:rPr>
        <w:t xml:space="preserve">خط: نستعلیق، بی کا، بی تا؛ افتادگی: انجام؛ در پایان دو حکایت درباره ابوحنیفه و ابن جوزی مذکور است؛ جلد: تیماج قهوه ای بدون مقوا، ۱۵گ، ۲۳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سم (ف مخ: ۱-۲۷۷]</w:t>
      </w:r>
    </w:p>
    <w:p>
      <w:pPr>
        <w:pStyle w:val="Heading3"/>
      </w:pPr>
      <w:bookmarkStart w:id="969" w:name="_Toc229"/>
      <w:r>
        <w:t>• بلوهر و بوداسف = یوزاسف و بلوهر / داستان / فارسی</w:t>
      </w:r>
      <w:bookmarkEnd w:id="969"/>
    </w:p>
    <w:p>
      <w:pPr>
        <w:pStyle w:val="BookText"/>
      </w:pPr>
      <w:r>
        <w:rPr>
          <w:rFonts w:ascii="Times New Roman" w:hAnsi="Times New Roman" w:eastAsia="Times New Roman" w:cs="Times New Roman"/>
          <w:lang w:val="en-US" w:bidi="en-US"/>
          <w:color w:val="111111"/>
          <w:sz w:val="28"/>
          <w:szCs w:val="28"/>
          <w:rtl/>
        </w:rPr>
        <w:t xml:space="preserve">belūhar va būdāsaf=yūzāsaf va belūhar</w:t>
      </w:r>
    </w:p>
    <w:p>
      <w:pPr>
        <w:pStyle w:val="BookText"/>
      </w:pPr>
      <w:r>
        <w:rPr>
          <w:rFonts w:ascii="IRNazanin" w:hAnsi="IRNazanin" w:eastAsia="IRNazanin" w:cs="IRNazanin"/>
          <w:lang w:bidi="fa-IR"/>
          <w:color w:val="111111"/>
          <w:sz w:val="28"/>
          <w:szCs w:val="28"/>
          <w:rtl/>
        </w:rPr>
        <w:t xml:space="preserve">حسینی، محمد مسیح بن احمد، ق ۱۲ قمری</w:t>
      </w:r>
    </w:p>
    <w:p>
      <w:pPr>
        <w:pStyle w:val="BookText"/>
      </w:pPr>
      <w:r>
        <w:rPr>
          <w:rFonts w:ascii="Times New Roman" w:hAnsi="Times New Roman" w:eastAsia="Times New Roman" w:cs="Times New Roman"/>
          <w:lang w:val="en-US" w:bidi="en-US"/>
          <w:color w:val="111111"/>
          <w:sz w:val="28"/>
          <w:szCs w:val="28"/>
          <w:rtl/>
        </w:rPr>
        <w:t xml:space="preserve">hoseynī, mohammad masīh ebn-e ahmad (- 18c)</w:t>
      </w:r>
    </w:p>
    <w:p>
      <w:pPr>
        <w:pStyle w:val="BookText"/>
      </w:pPr>
      <w:r>
        <w:rPr>
          <w:rFonts w:ascii="IRNazanin" w:hAnsi="IRNazanin" w:eastAsia="IRNazanin" w:cs="IRNazanin"/>
          <w:lang w:bidi="fa-IR"/>
          <w:color w:val="111111"/>
          <w:sz w:val="28"/>
          <w:szCs w:val="28"/>
          <w:rtl/>
        </w:rPr>
        <w:t xml:space="preserve">وابسته به: بلوهر و بوداسف = يوزاسف و بلوهر؛ شیخ صدوق، محمد بن علی (۳۱۱-۳۸۱)</w:t>
      </w:r>
    </w:p>
    <w:p>
      <w:pPr>
        <w:pStyle w:val="BookText"/>
      </w:pPr>
      <w:r>
        <w:rPr>
          <w:rFonts w:ascii="IRNazanin" w:hAnsi="IRNazanin" w:eastAsia="IRNazanin" w:cs="IRNazanin"/>
          <w:lang w:bidi="fa-IR"/>
          <w:color w:val="111111"/>
          <w:sz w:val="28"/>
          <w:szCs w:val="28"/>
          <w:rtl/>
        </w:rPr>
        <w:t xml:space="preserve">مترجم می گوید: چون کتاب «اكمال الدين و اتمام النعمة» که از مؤلفات ... ابو جعفر محمد بن على بن الحسين بن موسی بن بابویه قمی ممتاز بود از سایر کتب در رشاقت ترتیب و کثرت معانی و رسم الفاظ و ترکیب ... بنابراین لازم دانست که فصل مذکور را مشروع نماید به شرحی که آسان تر داند طريق وصول به جواهر نفیسه آن پس بعون الله سبحانه عنان عنایت را به جانب آن شرح معطوف ساخت». سپس او عبارات اکمال الدین را می آورد و ترجمه می کند و موضوع آن همان داستان بودای اسلامی شده است و در آن نشان داده می شود که چگونه بودا به حقیقت راه یافت.</w:t>
      </w:r>
    </w:p>
    <w:p>
      <w:pPr>
        <w:pStyle w:val="BookText"/>
      </w:pPr>
      <w:r>
        <w:rPr>
          <w:rFonts w:ascii="IRNazanin" w:hAnsi="IRNazanin" w:eastAsia="IRNazanin" w:cs="IRNazanin"/>
          <w:lang w:bidi="fa-IR"/>
          <w:color w:val="111111"/>
          <w:sz w:val="28"/>
          <w:szCs w:val="28"/>
          <w:rtl/>
        </w:rPr>
        <w:t xml:space="preserve">آغاز: بسمله، حمدة لا لانه هو بالحمد حقیق اذ ارشدنا إلى رموز التدقيق</w:t>
      </w:r>
    </w:p>
    <w:p>
      <w:pPr>
        <w:pStyle w:val="BookText"/>
      </w:pPr>
      <w:r>
        <w:rPr>
          <w:rFonts w:ascii="IRNazanin" w:hAnsi="IRNazanin" w:eastAsia="IRNazanin" w:cs="IRNazanin"/>
          <w:lang w:bidi="fa-IR"/>
          <w:color w:val="111111"/>
          <w:sz w:val="28"/>
          <w:szCs w:val="28"/>
          <w:rtl/>
        </w:rPr>
        <w:t xml:space="preserve">انجام: آن کسانی که جدا نشود از تو یکساعت در دنیا و آخرت بحق محمد و آل پاکش عليهم السلام</w:t>
      </w:r>
    </w:p>
    <w:p>
      <w:pPr>
        <w:pStyle w:val="BookText"/>
      </w:pPr>
      <w:r>
        <w:rPr>
          <w:rFonts w:ascii="IRNazanin" w:hAnsi="IRNazanin" w:eastAsia="IRNazanin" w:cs="IRNazanin"/>
          <w:lang w:bidi="fa-IR"/>
          <w:color w:val="111111"/>
          <w:sz w:val="28"/>
          <w:szCs w:val="28"/>
          <w:rtl/>
        </w:rPr>
        <w:t xml:space="preserve">تهران؛ ملی؛ شماره نسخه: ۲۹۸۴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کا: قرجقای سلیمانی بن قرجقای، تا: ۱۰۸۷ق، جا: قريه طقرود از توابع قم؛ محمد زمان بیک فرزند کاتب؛ کاغذ: فرنگی، جلد: مقوایی، تیماج مشکی، ترنج و نیم ترنج، حواشی منگنه، ۱۵۷گ، ۱۵سطر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۶-۷۳۸]</w:t>
      </w:r>
    </w:p>
    <w:p>
      <w:pPr>
        <w:pStyle w:val="Heading3"/>
      </w:pPr>
      <w:bookmarkStart w:id="970" w:name="_Toc230"/>
      <w:r>
        <w:t>•بلوهر و بوداسف = یوزاسف و بلوهر / داستان / فارسی</w:t>
      </w:r>
      <w:bookmarkEnd w:id="970"/>
    </w:p>
    <w:p>
      <w:pPr>
        <w:pStyle w:val="BookText"/>
      </w:pPr>
      <w:r>
        <w:rPr>
          <w:rFonts w:ascii="Times New Roman" w:hAnsi="Times New Roman" w:eastAsia="Times New Roman" w:cs="Times New Roman"/>
          <w:lang w:val="en-US" w:bidi="en-US"/>
          <w:color w:val="111111"/>
          <w:sz w:val="28"/>
          <w:szCs w:val="28"/>
          <w:rtl/>
        </w:rPr>
        <w:t xml:space="preserve">belūhar va būdāsaf = yūzāsaf va belūhar</w:t>
      </w:r>
    </w:p>
    <w:p>
      <w:pPr>
        <w:pStyle w:val="BookText"/>
      </w:pPr>
      <w:r>
        <w:rPr>
          <w:rFonts w:ascii="IRNazanin" w:hAnsi="IRNazanin" w:eastAsia="IRNazanin" w:cs="IRNazanin"/>
          <w:lang w:bidi="fa-IR"/>
          <w:color w:val="111111"/>
          <w:sz w:val="28"/>
          <w:szCs w:val="28"/>
          <w:rtl/>
        </w:rPr>
        <w:t xml:space="preserve">ابن الندیم در الفهرست آن را زمره ترجمه های هندی به عربی و با عنوان های بوتاسف و بلوهر و بردانیه آورده است و می گوید که ابان بن عبدالحمید لاحقی آن را به نظم عربی در آورد. تعاليم بوداست در بدگویی از جهان و داستان هایی از فسق و فجور و ستم شاه هند.</w:t>
      </w:r>
    </w:p>
    <w:p>
      <w:pPr>
        <w:pStyle w:val="BookText"/>
      </w:pPr>
      <w:r>
        <w:rPr>
          <w:rFonts w:ascii="IRNazanin" w:hAnsi="IRNazanin" w:eastAsia="IRNazanin" w:cs="IRNazanin"/>
          <w:lang w:bidi="fa-IR"/>
          <w:color w:val="111111"/>
          <w:sz w:val="28"/>
          <w:szCs w:val="28"/>
          <w:rtl/>
        </w:rPr>
        <w:t xml:space="preserve">چاپ: ایران، سنگی، ۱۲۸۰ق، وزیری، ۵۰ص (صص ۲۵۸-۳۰۷)[ فهرستواره منزوی ۲۹۰/۱ ؛ مشار فارسی، ج ۱، ص ۷۹۲]</w:t>
      </w:r>
    </w:p>
    <w:p>
      <w:pPr>
        <w:pStyle w:val="BookText"/>
      </w:pPr>
      <w:r>
        <w:rPr>
          <w:rFonts w:ascii="IRNazanin" w:hAnsi="IRNazanin" w:eastAsia="IRNazanin" w:cs="IRNazanin"/>
          <w:lang w:bidi="fa-IR"/>
          <w:color w:val="111111"/>
          <w:sz w:val="28"/>
          <w:szCs w:val="28"/>
          <w:rtl/>
        </w:rPr>
        <w:t xml:space="preserve">نسخه ها همانند نیستند:</w:t>
      </w:r>
    </w:p>
    <w:p>
      <w:pPr>
        <w:pStyle w:val="BookText"/>
      </w:pPr>
      <w:r>
        <w:rPr>
          <w:rFonts w:ascii="IRNazanin" w:hAnsi="IRNazanin" w:eastAsia="IRNazanin" w:cs="IRNazanin"/>
          <w:lang w:bidi="fa-IR"/>
          <w:color w:val="111111"/>
          <w:sz w:val="28"/>
          <w:szCs w:val="28"/>
          <w:rtl/>
        </w:rPr>
        <w:t xml:space="preserve">۱. تهران: نوربخش: شماره نسخه: ۴۹</w:t>
      </w:r>
    </w:p>
    <w:p>
      <w:pPr>
        <w:pStyle w:val="BookText"/>
      </w:pPr>
      <w:r>
        <w:rPr>
          <w:rFonts w:ascii="IRNazanin" w:hAnsi="IRNazanin" w:eastAsia="IRNazanin" w:cs="IRNazanin"/>
          <w:lang w:bidi="fa-IR"/>
          <w:color w:val="111111"/>
          <w:sz w:val="28"/>
          <w:szCs w:val="28"/>
          <w:rtl/>
        </w:rPr>
        <w:t xml:space="preserve">آغاز: در ذکر تمثیلاتی چند که مشتمل بر توضیح عیبهای بسیار از دنیا؛ انجام: تا برای او مکانی بنا کنند ....... و جان بداد .... و السلام. خط: نستعلیق زیبا، بی کا، تا: قرن ۹؛ مرحوم ذوالریاستین در پایان نسخه چنین نوشته است: «بسمه تعالی، این نسخه شریفه را فقیر در ده سال پیش، از مرحوم حاج میرزا محمد رضای صحاف به مبلغ ۲۰ ریال ابتیاع نمودم و در این تاریخ آقای کلینی اخوی زاده آن مرحوم جلد و اصلاح و صحافی نمودند. حرره العبد ذوالریاستین نعمة اللهي في الثالث من شهر صفر الخير سنه ۱۳۶۳ هـ ق»، با سرلوح؛ مهر: «عبده على اكبر»، «عبده محمد حسین»، «بنده آل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محمد حسین» ۱۰۷۱؛ کاغذ: الوان گوناگون، جلد: تیماج مشکی مقوایی، ۱۴۰ص، ۱۶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۱-۶۰]</w:t>
      </w:r>
    </w:p>
    <w:p>
      <w:pPr>
        <w:pStyle w:val="BookText"/>
      </w:pPr>
      <w:r>
        <w:rPr>
          <w:rFonts w:ascii="IRNazanin" w:hAnsi="IRNazanin" w:eastAsia="IRNazanin" w:cs="IRNazanin"/>
          <w:lang w:bidi="fa-IR"/>
          <w:color w:val="111111"/>
          <w:sz w:val="28"/>
          <w:szCs w:val="28"/>
          <w:rtl/>
        </w:rPr>
        <w:t xml:space="preserve">۲. تهران؛ مجلس؛ شماره نسخه: ۴۱۰۸</w:t>
      </w:r>
    </w:p>
    <w:p>
      <w:pPr>
        <w:pStyle w:val="BookText"/>
      </w:pPr>
      <w:r>
        <w:rPr>
          <w:rFonts w:ascii="IRNazanin" w:hAnsi="IRNazanin" w:eastAsia="IRNazanin" w:cs="IRNazanin"/>
          <w:lang w:bidi="fa-IR"/>
          <w:color w:val="111111"/>
          <w:sz w:val="28"/>
          <w:szCs w:val="28"/>
          <w:rtl/>
        </w:rPr>
        <w:t xml:space="preserve">آغاز: (سوخته) منی و از اعیان اهل مملکتی و از اشراف و اما جدی در پیش من چرا رسوا نمودی خود را و ضایع کردی و خوار نمودی اهل خود را و چه باعث شد ترا که متتبع شدی اهل خسارة و بطالت را تا خود را گردانیدی؛ انجام: مگر بایمان و عمل بخيرات و ترک شهوات پس فكر و تفکر مضحکه نمایید ای ملک اشراف در آنچه استماع نمودید و فهم و درک کنید و اعتبار ...</w:t>
      </w:r>
    </w:p>
    <w:p>
      <w:pPr>
        <w:pStyle w:val="BookText"/>
      </w:pPr>
      <w:r>
        <w:rPr>
          <w:rFonts w:ascii="IRNazanin" w:hAnsi="IRNazanin" w:eastAsia="IRNazanin" w:cs="IRNazanin"/>
          <w:lang w:bidi="fa-IR"/>
          <w:color w:val="111111"/>
          <w:sz w:val="28"/>
          <w:szCs w:val="28"/>
          <w:rtl/>
        </w:rPr>
        <w:t xml:space="preserve">از افسانه های کهن آمیخته با تعالیم بودا؛ خط: نستعلیق، بی کا، تا: قرن ۱۱؛ افتادگی: آغاز و انجام؛ ۶ مجلس مینیاتور رنگارنگ زیبا، مجدول؛ کاغذ: سپاهانی، جلد: تیماج سوخته، ۱۵گ، ۱۵ سطر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۱۱-۱۰۴]</w:t>
      </w:r>
    </w:p>
    <w:p>
      <w:pPr>
        <w:pStyle w:val="BookText"/>
      </w:pPr>
      <w:r>
        <w:rPr>
          <w:rFonts w:ascii="IRNazanin" w:hAnsi="IRNazanin" w:eastAsia="IRNazanin" w:cs="IRNazanin"/>
          <w:lang w:bidi="fa-IR"/>
          <w:color w:val="111111"/>
          <w:sz w:val="28"/>
          <w:szCs w:val="28"/>
          <w:rtl/>
        </w:rPr>
        <w:t xml:space="preserve">٣. تهران؛ مجلس؛ شماره نسخه: ۱۳۴۴۳/۶</w:t>
      </w:r>
    </w:p>
    <w:p>
      <w:pPr>
        <w:pStyle w:val="BookText"/>
      </w:pPr>
      <w:r>
        <w:rPr>
          <w:rFonts w:ascii="IRNazanin" w:hAnsi="IRNazanin" w:eastAsia="IRNazanin" w:cs="IRNazanin"/>
          <w:lang w:bidi="fa-IR"/>
          <w:color w:val="111111"/>
          <w:sz w:val="28"/>
          <w:szCs w:val="28"/>
          <w:rtl/>
        </w:rPr>
        <w:t xml:space="preserve">آغاز: بسمله ... اما بعد قال الشيخ الجليل ثقة الاسلام ابو جعفر محمد بن علی بن حسین بن موسی ... به ترجمه این حکایات طويله شریفه مشتمله بر لطایف حکم و امثال و نوادر علوم و اخبار در نسخه حاضر داستان بلوهر به نقل از کتاب «کمال الدین شیخ صدوق توسط محمد صالح بن حاج باقر قزوینی به فارسی ترجمه شده است؛ بی کا، تا: قرن ۱۱؛ مجدول و مذهب و شنگرف؛ جلد: گالینگور، سرخ عطف تیماج، ۵۶ص (۵۲-۱۰۷)، اندازه: 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۳۶-۳۷۸]</w:t>
      </w:r>
    </w:p>
    <w:p>
      <w:pPr>
        <w:pStyle w:val="BookText"/>
      </w:pPr>
      <w:r>
        <w:rPr>
          <w:rFonts w:ascii="IRNazanin" w:hAnsi="IRNazanin" w:eastAsia="IRNazanin" w:cs="IRNazanin"/>
          <w:lang w:bidi="fa-IR"/>
          <w:color w:val="111111"/>
          <w:sz w:val="28"/>
          <w:szCs w:val="28"/>
          <w:rtl/>
        </w:rPr>
        <w:t xml:space="preserve">۴. شیراز؛ شاهچراغ؛ شماره نسخه: ۷۹۶/۱</w:t>
      </w:r>
    </w:p>
    <w:p>
      <w:pPr>
        <w:pStyle w:val="BookText"/>
      </w:pPr>
      <w:r>
        <w:rPr>
          <w:rFonts w:ascii="IRNazanin" w:hAnsi="IRNazanin" w:eastAsia="IRNazanin" w:cs="IRNazanin"/>
          <w:lang w:bidi="fa-IR"/>
          <w:color w:val="111111"/>
          <w:sz w:val="28"/>
          <w:szCs w:val="28"/>
          <w:rtl/>
        </w:rPr>
        <w:t xml:space="preserve">خط: نسخ، كا: عبد الوهاب ابن قاسم رازی، تا: ۱۰۳۱ق؛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۳-۱۲۹]</w:t>
      </w:r>
    </w:p>
    <w:p>
      <w:pPr>
        <w:pStyle w:val="BookText"/>
      </w:pPr>
      <w:r>
        <w:rPr>
          <w:rFonts w:ascii="IRNazanin" w:hAnsi="IRNazanin" w:eastAsia="IRNazanin" w:cs="IRNazanin"/>
          <w:lang w:bidi="fa-IR"/>
          <w:color w:val="111111"/>
          <w:sz w:val="28"/>
          <w:szCs w:val="28"/>
          <w:rtl/>
        </w:rPr>
        <w:t xml:space="preserve">۵. تهران، فرمانفرمائیان، حافظ (دکتر)؛ شماره نسخه: بدون شماره/۱۵</w:t>
      </w:r>
    </w:p>
    <w:p>
      <w:pPr>
        <w:pStyle w:val="BookText"/>
      </w:pPr>
      <w:r>
        <w:rPr>
          <w:rFonts w:ascii="IRNazanin" w:hAnsi="IRNazanin" w:eastAsia="IRNazanin" w:cs="IRNazanin"/>
          <w:lang w:bidi="fa-IR"/>
          <w:color w:val="111111"/>
          <w:sz w:val="28"/>
          <w:szCs w:val="28"/>
          <w:rtl/>
        </w:rPr>
        <w:t xml:space="preserve">بی کا، تا: جمادی الثانی ۱۰۸۷ق؛ افتادگی: آغاز؛ جلد: تیماج مشکی زرکوب مقوایی، ربعی، ۱۸گی (در متن ۱۲۱-ر۳۸) [نشریه: ۵۵۲-۷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دانشگاه؛ شماره نسخه: ۳۷۴۳/۱۵ -ف</w:t>
      </w:r>
    </w:p>
    <w:p>
      <w:pPr>
        <w:pStyle w:val="BookText"/>
      </w:pPr>
      <w:r>
        <w:rPr>
          <w:rFonts w:ascii="IRNazanin" w:hAnsi="IRNazanin" w:eastAsia="IRNazanin" w:cs="IRNazanin"/>
          <w:lang w:bidi="fa-IR"/>
          <w:color w:val="111111"/>
          <w:sz w:val="28"/>
          <w:szCs w:val="28"/>
          <w:rtl/>
        </w:rPr>
        <w:t xml:space="preserve">خط: نستعلیق، بی کا، تا: جمادی الثانی ۱۰۸۷ق؛ افتادگی: آغاز؛</w:t>
      </w:r>
    </w:p>
    <w:p>
      <w:pPr>
        <w:pStyle w:val="BookText"/>
      </w:pPr>
      <w:r>
        <w:rPr>
          <w:rFonts w:ascii="IRNazanin" w:hAnsi="IRNazanin" w:eastAsia="IRNazanin" w:cs="IRNazanin"/>
          <w:lang w:bidi="fa-IR"/>
          <w:color w:val="111111"/>
          <w:sz w:val="28"/>
          <w:szCs w:val="28"/>
          <w:rtl/>
        </w:rPr>
        <w:t xml:space="preserve">جلد: تیماج مشکی زرکوب مقوایی، ۱۸گ (در متن ۲۱-۱۳۸)، قطع: ربعی [فیلمها ف: ۲-۲۳۸]</w:t>
      </w:r>
    </w:p>
    <w:p>
      <w:pPr>
        <w:pStyle w:val="BookText"/>
      </w:pPr>
      <w:r>
        <w:rPr>
          <w:rFonts w:ascii="IRNazanin" w:hAnsi="IRNazanin" w:eastAsia="IRNazanin" w:cs="IRNazanin"/>
          <w:lang w:bidi="fa-IR"/>
          <w:color w:val="111111"/>
          <w:sz w:val="28"/>
          <w:szCs w:val="28"/>
          <w:rtl/>
        </w:rPr>
        <w:t xml:space="preserve">۷. تهران؛ ادبیات؛ شماره نسخه: ۱۴۳ - ج</w:t>
      </w:r>
    </w:p>
    <w:p>
      <w:pPr>
        <w:pStyle w:val="BookText"/>
      </w:pPr>
      <w:r>
        <w:rPr>
          <w:rFonts w:ascii="IRNazanin" w:hAnsi="IRNazanin" w:eastAsia="IRNazanin" w:cs="IRNazanin"/>
          <w:lang w:bidi="fa-IR"/>
          <w:color w:val="111111"/>
          <w:sz w:val="28"/>
          <w:szCs w:val="28"/>
          <w:rtl/>
        </w:rPr>
        <w:t xml:space="preserve">این داستان به روایت از ابن بابویه در این رساله فارسی آمده است در پایان آن هشت تمثیل است از اخبار شیعی. ترجمه فارسی سره این داستان از سید علی رضا ریحان از روی نوشته ابن بابویه و به نام بلوهر جداگانه در ۱۳۵۱ به چاپ رسیده؛ خط: نستعلیق، بی کا، تا: قرن ۱۲؛ کاغذ: فرنگی سفید و کبود، جلد: تیماج عنابی، ۶۱، ۱۷ سطر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۱-۲۳۱]</w:t>
      </w:r>
    </w:p>
    <w:p>
      <w:pPr>
        <w:pStyle w:val="BookText"/>
      </w:pPr>
      <w:r>
        <w:rPr>
          <w:rFonts w:ascii="IRNazanin" w:hAnsi="IRNazanin" w:eastAsia="IRNazanin" w:cs="IRNazanin"/>
          <w:lang w:bidi="fa-IR"/>
          <w:color w:val="111111"/>
          <w:sz w:val="28"/>
          <w:szCs w:val="28"/>
          <w:rtl/>
        </w:rPr>
        <w:t xml:space="preserve">تهران؛ دانشگاه؛ شماره نسخه: ۳۸۵۴-ف</w:t>
      </w:r>
    </w:p>
    <w:p>
      <w:pPr>
        <w:pStyle w:val="BookText"/>
      </w:pPr>
      <w:r>
        <w:rPr>
          <w:rFonts w:ascii="IRNazanin" w:hAnsi="IRNazanin" w:eastAsia="IRNazanin" w:cs="IRNazanin"/>
          <w:lang w:bidi="fa-IR"/>
          <w:color w:val="111111"/>
          <w:sz w:val="28"/>
          <w:szCs w:val="28"/>
          <w:rtl/>
        </w:rPr>
        <w:t xml:space="preserve">نسخه اصل: همان نسخه بالا [فیلمها ف: ۲-۲۷۰]</w:t>
      </w:r>
    </w:p>
    <w:p>
      <w:pPr>
        <w:pStyle w:val="BookText"/>
      </w:pPr>
      <w:r>
        <w:rPr>
          <w:rFonts w:ascii="IRNazanin" w:hAnsi="IRNazanin" w:eastAsia="IRNazanin" w:cs="IRNazanin"/>
          <w:lang w:bidi="fa-IR"/>
          <w:color w:val="111111"/>
          <w:sz w:val="28"/>
          <w:szCs w:val="28"/>
          <w:rtl/>
        </w:rPr>
        <w:t xml:space="preserve">۸. تهران؛ دانشگاه؛ شماره نسخه: ۴۳۰۹</w:t>
      </w:r>
    </w:p>
    <w:p>
      <w:pPr>
        <w:pStyle w:val="BookText"/>
      </w:pPr>
      <w:r>
        <w:rPr>
          <w:rFonts w:ascii="IRNazanin" w:hAnsi="IRNazanin" w:eastAsia="IRNazanin" w:cs="IRNazanin"/>
          <w:lang w:bidi="fa-IR"/>
          <w:color w:val="111111"/>
          <w:sz w:val="28"/>
          <w:szCs w:val="28"/>
          <w:rtl/>
        </w:rPr>
        <w:t xml:space="preserve">آغاز: بسمله. بعد از انشای محمد و ثنای نامتناهی ... بارگاه کبریا ... لوای مرحمت (در اینجا میان گی ۱ و ۲ افتاده) زمان و نوای دوران در زاویه عجز و ناتوانی نشاندی و بنان زبان بلاغت بیانش جواهر کلمات دلپذیر و سخنان بی نظیر در سلک عبارت آوردی؛ انجام: و تا بود قدم هست بسير بلاد و هدایت عباد می فرمود. ای خوش کسی که درره حق شد سبک عنان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چون گرد گشت بر اثر رهروان روان. اللهم وجه وجه قلوبنا الى اقتراف عوارف اصفیائک ..... و اوردنا منهل التوفيق ..... و ثبت اقدامنا على صراطك المستقيم و اختم لنا بخير انك انت العزيز الحكيم. سبک این تحریر کمی کهن تر است و جز آنچه چاپ شده و شعرهای فارسی مانند شعر صائب در آن آمده است؛ خط: نستعلیق، بی کا، تا: قرن ۱۲ و ۱۳؛ کاغذ: سپاهانی کبود، جلد: تیماج سبز مقوایی تازه، ۱۲۶، ۱۳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۱۳-۳۲۷۴]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قم؛ معصومیه؛ شماره نسخه: ۴۲/۲/۲ -۵۹۷۵</w:t>
      </w:r>
    </w:p>
    <w:p>
      <w:pPr>
        <w:pStyle w:val="BookText"/>
      </w:pPr>
      <w:r>
        <w:rPr>
          <w:rFonts w:ascii="IRNazanin" w:hAnsi="IRNazanin" w:eastAsia="IRNazanin" w:cs="IRNazanin"/>
          <w:lang w:bidi="fa-IR"/>
          <w:color w:val="111111"/>
          <w:sz w:val="28"/>
          <w:szCs w:val="28"/>
          <w:rtl/>
        </w:rPr>
        <w:t xml:space="preserve">از عين الحياة مجلسی؛ خط: نسخ، كا: خداداد بن محمد على دهنوی محمود آبادی برخواری، تا: دوشنبه ۲۳ شعبان ۱۲۲۷ق؛ کاغذ: فرنگی، جلد: تازه، ۳۲ سطر، قطع: رحلي [ آستانه قم:-۱۹۱]</w:t>
      </w:r>
    </w:p>
    <w:p>
      <w:pPr>
        <w:pStyle w:val="BookText"/>
      </w:pPr>
      <w:r>
        <w:rPr>
          <w:rFonts w:ascii="IRNazanin" w:hAnsi="IRNazanin" w:eastAsia="IRNazanin" w:cs="IRNazanin"/>
          <w:lang w:bidi="fa-IR"/>
          <w:color w:val="111111"/>
          <w:sz w:val="28"/>
          <w:szCs w:val="28"/>
          <w:rtl/>
        </w:rPr>
        <w:t xml:space="preserve">۱۰. نجف آباد؛ حججی؛ شماره نسخه: ۹۷/۱</w:t>
      </w:r>
    </w:p>
    <w:p>
      <w:pPr>
        <w:pStyle w:val="BookText"/>
      </w:pPr>
      <w:r>
        <w:rPr>
          <w:rFonts w:ascii="IRNazanin" w:hAnsi="IRNazanin" w:eastAsia="IRNazanin" w:cs="IRNazanin"/>
          <w:lang w:bidi="fa-IR"/>
          <w:color w:val="111111"/>
          <w:sz w:val="28"/>
          <w:szCs w:val="28"/>
          <w:rtl/>
        </w:rPr>
        <w:t xml:space="preserve">آغاز: بسمله. بعد از انشاء محمد و ثنای نامتناهی سزاوار بارگاه کبریایی پادشاهی که برقع الكبرياء ردائی متمکن گردید ... راویان روشن بیان چنین آورده اند که در ولایت هندوستان؛ انجام: تا بود بسير بلاد و هدایت عباد می فرمود، بیت: ای خوش کسی که در ره حق شد سبک عنان *** چون گردگشت بر اثر ره روان روان ... انک انت العزيز الحكيم</w:t>
      </w:r>
    </w:p>
    <w:p>
      <w:pPr>
        <w:pStyle w:val="BookText"/>
      </w:pPr>
      <w:r>
        <w:rPr>
          <w:rFonts w:ascii="IRNazanin" w:hAnsi="IRNazanin" w:eastAsia="IRNazanin" w:cs="IRNazanin"/>
          <w:lang w:bidi="fa-IR"/>
          <w:color w:val="111111"/>
          <w:sz w:val="28"/>
          <w:szCs w:val="28"/>
          <w:rtl/>
        </w:rPr>
        <w:t xml:space="preserve">در ابتدای نسخه آمده است: «کتاب بوذاسف و حکیم بلوهر گفته ملا مؤمن کرمانی» ؛ خط: نستعلیق، بی کا، تا: ۱۲۳۶ق، جان کرمان؛ جلد: مقوا با روکش کاغذی قهوه ای، عطف و گوشه پارچه قرمز، ۴۵گ (۱پ-۴۵ر)،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۱۴۹]</w:t>
      </w:r>
    </w:p>
    <w:p>
      <w:pPr>
        <w:pStyle w:val="BookText"/>
      </w:pPr>
      <w:r>
        <w:rPr>
          <w:rFonts w:ascii="IRNazanin" w:hAnsi="IRNazanin" w:eastAsia="IRNazanin" w:cs="IRNazanin"/>
          <w:lang w:bidi="fa-IR"/>
          <w:color w:val="111111"/>
          <w:sz w:val="28"/>
          <w:szCs w:val="28"/>
          <w:rtl/>
        </w:rPr>
        <w:t xml:space="preserve">۱۱. تهران؛ مجلس؛ شماره نسخه: ۳۲۰۱/۹</w:t>
      </w:r>
    </w:p>
    <w:p>
      <w:pPr>
        <w:pStyle w:val="BookText"/>
      </w:pPr>
      <w:r>
        <w:rPr>
          <w:rFonts w:ascii="IRNazanin" w:hAnsi="IRNazanin" w:eastAsia="IRNazanin" w:cs="IRNazanin"/>
          <w:lang w:bidi="fa-IR"/>
          <w:color w:val="111111"/>
          <w:sz w:val="28"/>
          <w:szCs w:val="28"/>
          <w:rtl/>
        </w:rPr>
        <w:t xml:space="preserve">آغاز: تمثیلی چند که پیشوایان دین در مذمت دنیا برای تنبیه غفلت زدگان ... در بیان آنکه هر چند آدمی بدنیا مشغول میگردد خلاص از آن دشوار است؛ انجام: و زبان بحقایق و معارف گویا کرامت فرماید تا از این معارف و حکمتها منتفع گردند در حین گرفتاری و زمان فقیری.</w:t>
      </w:r>
    </w:p>
    <w:p>
      <w:pPr>
        <w:pStyle w:val="BookText"/>
      </w:pPr>
      <w:r>
        <w:rPr>
          <w:rFonts w:ascii="IRNazanin" w:hAnsi="IRNazanin" w:eastAsia="IRNazanin" w:cs="IRNazanin"/>
          <w:lang w:bidi="fa-IR"/>
          <w:color w:val="111111"/>
          <w:sz w:val="28"/>
          <w:szCs w:val="28"/>
          <w:rtl/>
        </w:rPr>
        <w:t xml:space="preserve">این داستان را مجلسی در بحار و عین الحیات آورده و نسخه ما همان نوشته عین الحياة است. در آغاز تمثیلی چند در نكوهش دنیا در دو صفحه یاد شده و سپس دنباله آن داستان بلوهر و یوزاسف را می آورد؛ خط: نستعلیق، كان محمد صادق تفرشی، تا: ۲۵ رجب ۱۲۴۱ق، جا؛ تهران؛ کاغذ: فرنگی، جلد: مقوایی با عطف تیماج زرشکی، ۲ ص (۸۰-۸۱)، قطع: رحلی، اندازه: ۴۱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۱۰-۷۸۲]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1" w:name="pg20363_209241"/>
    <w:bookmarkEnd w:id="81"/>
    <w:p>
      <w:pPr>
        <w:pStyle w:val="BookText"/>
      </w:pPr>
      <w:r>
        <w:rPr>
          <w:rFonts w:ascii="IRNazanin" w:hAnsi="IRNazanin" w:eastAsia="IRNazanin" w:cs="IRNazanin"/>
          <w:lang w:bidi="fa-IR"/>
          <w:color w:val="111111"/>
          <w:sz w:val="28"/>
          <w:szCs w:val="28"/>
          <w:rtl/>
        </w:rPr>
        <w:t xml:space="preserve">۱۲. مشهد؛ گوهرشاد؛ شماره نسخه: ۳۱۸</w:t>
      </w:r>
    </w:p>
    <w:p>
      <w:pPr>
        <w:pStyle w:val="BookText"/>
      </w:pPr>
      <w:r>
        <w:rPr>
          <w:rFonts w:ascii="IRNazanin" w:hAnsi="IRNazanin" w:eastAsia="IRNazanin" w:cs="IRNazanin"/>
          <w:lang w:bidi="fa-IR"/>
          <w:color w:val="111111"/>
          <w:sz w:val="28"/>
          <w:szCs w:val="28"/>
          <w:rtl/>
        </w:rPr>
        <w:t xml:space="preserve">آغاز: بسمله باب سیوم در ذکر تمثیلات که مشتمل است بر توضيح عیبهای بسیار از دنیا</w:t>
      </w:r>
    </w:p>
    <w:p>
      <w:pPr>
        <w:pStyle w:val="BookText"/>
      </w:pPr>
      <w:r>
        <w:rPr>
          <w:rFonts w:ascii="IRNazanin" w:hAnsi="IRNazanin" w:eastAsia="IRNazanin" w:cs="IRNazanin"/>
          <w:lang w:bidi="fa-IR"/>
          <w:color w:val="111111"/>
          <w:sz w:val="28"/>
          <w:szCs w:val="28"/>
          <w:rtl/>
        </w:rPr>
        <w:t xml:space="preserve">داستانی است مأخوذ از تعالیم بودا در مذمت دنیا. شیخ صدوق در اكمال، عربی آن را آورده است و علامه مجلسی در عین الحیات، فارسی آن را نیز ذکر کرده است؛ خط: نستعلیق، بی کا، تا: ۱۲۴۹ق؛ تملک: رحیم حسینی مورخ ۱۲۸۰ ه ق؛ مهر: حاج سید سعید؛ جلد: تیماج قهوه ای، ۹۶گ، ۱۵ سطر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 اندازه: ۱۴/۵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۱-۲۶۵]</w:t>
      </w:r>
    </w:p>
    <w:p>
      <w:pPr>
        <w:pStyle w:val="BookText"/>
      </w:pPr>
      <w:r>
        <w:rPr>
          <w:rFonts w:ascii="IRNazanin" w:hAnsi="IRNazanin" w:eastAsia="IRNazanin" w:cs="IRNazanin"/>
          <w:lang w:bidi="fa-IR"/>
          <w:color w:val="111111"/>
          <w:sz w:val="28"/>
          <w:szCs w:val="28"/>
          <w:rtl/>
        </w:rPr>
        <w:t xml:space="preserve">۱۳. رشت؛ جمعیت نشر فرهنگ؛ شماره نسخه: ۱۰۹/۲ ح</w:t>
      </w:r>
    </w:p>
    <w:p>
      <w:pPr>
        <w:pStyle w:val="BookText"/>
      </w:pPr>
      <w:r>
        <w:rPr>
          <w:rFonts w:ascii="IRNazanin" w:hAnsi="IRNazanin" w:eastAsia="IRNazanin" w:cs="IRNazanin"/>
          <w:lang w:bidi="fa-IR"/>
          <w:color w:val="111111"/>
          <w:sz w:val="28"/>
          <w:szCs w:val="28"/>
          <w:rtl/>
        </w:rPr>
        <w:t xml:space="preserve">خط: شکسته نستعلیق، کا: محمد بن کربلائی محمد على، تا: ۱۲۶۶ق؛ جلد: چرمی، ۲۳ سطر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۲۱/۵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۳۲/۵سم رشت و همدان: ف: ۱۲۰۴]</w:t>
      </w:r>
    </w:p>
    <w:p>
      <w:pPr>
        <w:pStyle w:val="BookText"/>
      </w:pPr>
      <w:r>
        <w:rPr>
          <w:rFonts w:ascii="IRNazanin" w:hAnsi="IRNazanin" w:eastAsia="IRNazanin" w:cs="IRNazanin"/>
          <w:lang w:bidi="fa-IR"/>
          <w:color w:val="111111"/>
          <w:sz w:val="28"/>
          <w:szCs w:val="28"/>
          <w:rtl/>
        </w:rPr>
        <w:t xml:space="preserve">۱۴. همدان؛ مدرسه غرب؛ شماره نسخه: ۴۷۸۵</w:t>
      </w:r>
    </w:p>
    <w:p>
      <w:pPr>
        <w:pStyle w:val="BookText"/>
      </w:pPr>
      <w:r>
        <w:rPr>
          <w:rFonts w:ascii="IRNazanin" w:hAnsi="IRNazanin" w:eastAsia="IRNazanin" w:cs="IRNazanin"/>
          <w:lang w:bidi="fa-IR"/>
          <w:color w:val="111111"/>
          <w:sz w:val="28"/>
          <w:szCs w:val="28"/>
          <w:rtl/>
        </w:rPr>
        <w:t xml:space="preserve">خط: شکسته نستعلیق، کا: عبد الصمد رضوی همدانی، تا: جمعه ۳ شعبان ۱۲۷۱ق؛ قطع: ربعی رشت و همدان: ف: ۱۲۴۴]</w:t>
      </w:r>
    </w:p>
    <w:p>
      <w:pPr>
        <w:pStyle w:val="BookText"/>
      </w:pPr>
      <w:r>
        <w:rPr>
          <w:rFonts w:ascii="IRNazanin" w:hAnsi="IRNazanin" w:eastAsia="IRNazanin" w:cs="IRNazanin"/>
          <w:lang w:bidi="fa-IR"/>
          <w:color w:val="111111"/>
          <w:sz w:val="28"/>
          <w:szCs w:val="28"/>
          <w:rtl/>
        </w:rPr>
        <w:t xml:space="preserve">۱۵. قم؛ مسجد اعظم، شماره نسخه: ۲۱۰۶</w:t>
      </w:r>
    </w:p>
    <w:p>
      <w:pPr>
        <w:pStyle w:val="BookText"/>
      </w:pPr>
      <w:r>
        <w:rPr>
          <w:rFonts w:ascii="IRNazanin" w:hAnsi="IRNazanin" w:eastAsia="IRNazanin" w:cs="IRNazanin"/>
          <w:lang w:bidi="fa-IR"/>
          <w:color w:val="111111"/>
          <w:sz w:val="28"/>
          <w:szCs w:val="28"/>
          <w:rtl/>
        </w:rPr>
        <w:t xml:space="preserve">آغاز: حکایت یکی از اهل چهار محال با آنکه نزدیک به محال بود بدین نوع بیان حال میکرد که سالی در اصفهان چنان قحطی عظیم اتفاق افتاد که گدایان؛ انجام: نهان آمده در دل رنج گنج ***نیابد کس گنج نابرده رنج / تن آسائیت رنج بار آورد *** چه رنجش دهی گنج بار آورد خط: نستعلیق نازیبا، کا: محمد ولی میرزا، تا:۱۶ رجب ۱۳۲۲ق؛ جلد: مقوا اسلیمی، ۱۵۵گ، ۱۴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إف مخ: ۱-۴۹۴]</w:t>
      </w:r>
    </w:p>
    <w:p>
      <w:pPr>
        <w:pStyle w:val="BookText"/>
      </w:pPr>
      <w:r>
        <w:rPr>
          <w:rFonts w:ascii="IRNazanin" w:hAnsi="IRNazanin" w:eastAsia="IRNazanin" w:cs="IRNazanin"/>
          <w:lang w:bidi="fa-IR"/>
          <w:color w:val="111111"/>
          <w:sz w:val="28"/>
          <w:szCs w:val="28"/>
          <w:rtl/>
        </w:rPr>
        <w:t xml:space="preserve">۱۶. قم؛ مسجد اعظم، شماره نسخه: ۳۸۷۵</w:t>
      </w:r>
    </w:p>
    <w:p>
      <w:pPr>
        <w:pStyle w:val="BookText"/>
      </w:pPr>
      <w:r>
        <w:rPr>
          <w:rFonts w:ascii="IRNazanin" w:hAnsi="IRNazanin" w:eastAsia="IRNazanin" w:cs="IRNazanin"/>
          <w:lang w:bidi="fa-IR"/>
          <w:color w:val="111111"/>
          <w:sz w:val="28"/>
          <w:szCs w:val="28"/>
          <w:rtl/>
        </w:rPr>
        <w:t xml:space="preserve">آغاز: و ليكن فرزند پسر نمی شد او را و جميع فرزندان و دختر بودند و پیش از پادشاهی او امر دین در مملکت او شیوع تمام داشت و اهل دین بسیار بودند؛ انجام: پس وصیت کرد به او که قرایض الهی را در میان خود محافظت نمایند واز حق به باطل میل مکنید و امر فرمود که برای مدفن او عمارتی بسازند و سر خود را به جانب مغرب و پا را به جانب مشرق کرد و مرد</w:t>
      </w:r>
    </w:p>
    <w:p>
      <w:pPr>
        <w:pStyle w:val="BookText"/>
      </w:pPr>
      <w:r>
        <w:rPr>
          <w:rFonts w:ascii="IRNazanin" w:hAnsi="IRNazanin" w:eastAsia="IRNazanin" w:cs="IRNazanin"/>
          <w:lang w:bidi="fa-IR"/>
          <w:color w:val="111111"/>
          <w:sz w:val="28"/>
          <w:szCs w:val="28"/>
          <w:rtl/>
        </w:rPr>
        <w:t xml:space="preserve">خط: نسخ، بی کا، بی تا، افتادگی: آغاز؛ جلد: مقوا، ۴۳گ، ۲۳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مخ: ۱-۲۷۷]</w:t>
      </w:r>
    </w:p>
    <w:p>
      <w:pPr>
        <w:pStyle w:val="BookText"/>
      </w:pPr>
      <w:r>
        <w:rPr>
          <w:rFonts w:ascii="IRNazanin" w:hAnsi="IRNazanin" w:eastAsia="IRNazanin" w:cs="IRNazanin"/>
          <w:lang w:bidi="fa-IR"/>
          <w:color w:val="111111"/>
          <w:sz w:val="28"/>
          <w:szCs w:val="28"/>
          <w:rtl/>
        </w:rPr>
        <w:t xml:space="preserve">۱۷. قم؛ گلپایگانی؛ شماره نسخه: ۸۷۷۴/۵ - ۵۸/۲۲۴</w:t>
      </w:r>
    </w:p>
    <w:p>
      <w:pPr>
        <w:pStyle w:val="BookText"/>
      </w:pPr>
      <w:r>
        <w:rPr>
          <w:rFonts w:ascii="IRNazanin" w:hAnsi="IRNazanin" w:eastAsia="IRNazanin" w:cs="IRNazanin"/>
          <w:lang w:bidi="fa-IR"/>
          <w:color w:val="111111"/>
          <w:sz w:val="28"/>
          <w:szCs w:val="28"/>
          <w:rtl/>
        </w:rPr>
        <w:t xml:space="preserve">آغاز: بوذاسف گفت که بشنیدن این مثل بسی مسرور گردیدم از این باب مثل دگر بیان فرمای خط: نستعلیق، بی کا، بی تا؛ افتادگی: آغاز؛ ۲۷گ (۷۵-۹۱)،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۲-۶۳۰]</w:t>
      </w:r>
    </w:p>
    <w:p>
      <w:pPr>
        <w:pStyle w:val="BookText"/>
      </w:pPr>
      <w:r>
        <w:rPr>
          <w:rFonts w:ascii="IRNazanin" w:hAnsi="IRNazanin" w:eastAsia="IRNazanin" w:cs="IRNazanin"/>
          <w:lang w:bidi="fa-IR"/>
          <w:color w:val="111111"/>
          <w:sz w:val="28"/>
          <w:szCs w:val="28"/>
          <w:rtl/>
        </w:rPr>
        <w:t xml:space="preserve">۱۸. مشهد؛ شیخ علی حیدر؛ شماره نسخه: ۱۳۹۳/۳</w:t>
      </w:r>
    </w:p>
    <w:p>
      <w:pPr>
        <w:pStyle w:val="BookText"/>
      </w:pPr>
      <w:r>
        <w:rPr>
          <w:rFonts w:ascii="IRNazanin" w:hAnsi="IRNazanin" w:eastAsia="IRNazanin" w:cs="IRNazanin"/>
          <w:lang w:bidi="fa-IR"/>
          <w:color w:val="111111"/>
          <w:sz w:val="28"/>
          <w:szCs w:val="28"/>
          <w:rtl/>
        </w:rPr>
        <w:t xml:space="preserve">آغاز: در ذکر تمثیلات که مشتمل است بر توضیح عیب های بسیار از دنیا و در این مقام؛ انجام: و دیده بینا به همه امتان پیغمبر صلی الله عليه و آله کرامت فرماید بجاه محمد و آله الطاهرين</w:t>
      </w:r>
    </w:p>
    <w:p>
      <w:pPr>
        <w:pStyle w:val="BookText"/>
      </w:pPr>
      <w:r>
        <w:rPr>
          <w:rFonts w:ascii="IRNazanin" w:hAnsi="IRNazanin" w:eastAsia="IRNazanin" w:cs="IRNazanin"/>
          <w:lang w:bidi="fa-IR"/>
          <w:color w:val="111111"/>
          <w:sz w:val="28"/>
          <w:szCs w:val="28"/>
          <w:rtl/>
        </w:rPr>
        <w:t xml:space="preserve">قصه بلوهر حکیم با بوذاسف از داستان های قدیمی است؛ خط: نستعلیق، بی کا، بی تا؛ جلد: معمولی، ۵۳گ (211پ-263ر)،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(مؤید: ۳-۲۶۳]</w:t>
      </w:r>
    </w:p>
    <w:p>
      <w:pPr>
        <w:pStyle w:val="BookText"/>
      </w:pPr>
      <w:r>
        <w:rPr>
          <w:rFonts w:ascii="Amiri" w:hAnsi="Amiri" w:eastAsia="Amiri" w:cs="Amiri"/>
          <w:lang w:bidi="ar-SA"/>
          <w:color w:val="111111"/>
          <w:sz w:val="28"/>
          <w:szCs w:val="28"/>
          <w:rtl/>
        </w:rPr>
        <w:t xml:space="preserve">← بما عليه ان شاء الله المعتمد ← تحفه الوالد</w:t>
      </w:r>
    </w:p>
    <w:p>
      <w:pPr>
        <w:pStyle w:val="Heading3"/>
      </w:pPr>
      <w:bookmarkStart w:id="971" w:name="_Toc231"/>
      <w:r>
        <w:t>• بناء الأفعال = التصريف صرف / عربی</w:t>
      </w:r>
      <w:bookmarkEnd w:id="971"/>
    </w:p>
    <w:p>
      <w:pPr>
        <w:pStyle w:val="BookText"/>
      </w:pPr>
      <w:r>
        <w:rPr>
          <w:rFonts w:ascii="Times New Roman" w:hAnsi="Times New Roman" w:eastAsia="Times New Roman" w:cs="Times New Roman"/>
          <w:lang w:val="en-US" w:bidi="en-US"/>
          <w:color w:val="111111"/>
          <w:sz w:val="28"/>
          <w:szCs w:val="28"/>
          <w:rtl/>
        </w:rPr>
        <w:t xml:space="preserve">banā’-ul afʻāl = at-taşrīf</w:t>
      </w:r>
    </w:p>
    <w:p>
      <w:pPr>
        <w:pStyle w:val="BookText"/>
      </w:pPr>
      <w:r>
        <w:rPr>
          <w:rFonts w:ascii="IRNazanin" w:hAnsi="IRNazanin" w:eastAsia="IRNazanin" w:cs="IRNazanin"/>
          <w:lang w:bidi="fa-IR"/>
          <w:color w:val="111111"/>
          <w:sz w:val="28"/>
          <w:szCs w:val="28"/>
          <w:rtl/>
        </w:rPr>
        <w:t xml:space="preserve">سی و پنج «باب» در صیغه های ثلاثی و رباعی از افعال و مزید فيه همراه با مثال ها و توضیح است.</w:t>
      </w:r>
    </w:p>
    <w:p>
      <w:pPr>
        <w:pStyle w:val="BookText"/>
      </w:pPr>
      <w:r>
        <w:rPr>
          <w:rFonts w:ascii="Amiri" w:hAnsi="Amiri" w:eastAsia="Amiri" w:cs="Amiri"/>
          <w:lang w:bidi="ar-SA"/>
          <w:color w:val="111111"/>
          <w:sz w:val="28"/>
          <w:szCs w:val="28"/>
          <w:rtl/>
        </w:rPr>
        <w:t xml:space="preserve">آغاز: بسمله وبه نستعين اعلم ان ابواب التصريف خمسة وثلاثون باثا ستة منها للثلاثي المجرد باب اول فعل يفعل موزونه نصر ينصر وعلامته ان يكون عين فعله مفتوحاَ</w:t>
      </w:r>
    </w:p>
    <w:p>
      <w:pPr>
        <w:pStyle w:val="BookText"/>
      </w:pPr>
      <w:r>
        <w:rPr>
          <w:rFonts w:ascii="IRNazanin" w:hAnsi="IRNazanin" w:eastAsia="IRNazanin" w:cs="IRNazanin"/>
          <w:lang w:bidi="fa-IR"/>
          <w:color w:val="111111"/>
          <w:sz w:val="28"/>
          <w:szCs w:val="28"/>
          <w:rtl/>
        </w:rPr>
        <w:t xml:space="preserve">انجام: و هذه الأقسام سبعة يجمعها هذا البيت: صحیح است و مثال است و مضاعف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لفيف و ناقص و مهموز و اجوف. تم همانند:</w:t>
      </w:r>
    </w:p>
    <w:p>
      <w:pPr>
        <w:pStyle w:val="BookText"/>
      </w:pPr>
      <w:r>
        <w:rPr>
          <w:rFonts w:ascii="IRNazanin" w:hAnsi="IRNazanin" w:eastAsia="IRNazanin" w:cs="IRNazanin"/>
          <w:lang w:bidi="fa-IR"/>
          <w:color w:val="111111"/>
          <w:sz w:val="28"/>
          <w:szCs w:val="28"/>
          <w:rtl/>
        </w:rPr>
        <w:t xml:space="preserve">۱. قم؛ گلپایگانی؛ شماره نسخه: ۳۰۹۴/۴ - ۱۶/۱۰۴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خط: نسخ، بی کا، تا: ۱۰۲۲ق؛ جلد: تیماج سرخ، ۹گ، ۱۳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۲-۹۴۳]</w:t>
      </w:r>
    </w:p>
    <w:p>
      <w:pPr>
        <w:pStyle w:val="BookText"/>
      </w:pPr>
      <w:r>
        <w:rPr>
          <w:rFonts w:ascii="IRNazanin" w:hAnsi="IRNazanin" w:eastAsia="IRNazanin" w:cs="IRNazanin"/>
          <w:lang w:bidi="fa-IR"/>
          <w:color w:val="111111"/>
          <w:sz w:val="28"/>
          <w:szCs w:val="28"/>
          <w:rtl/>
        </w:rPr>
        <w:t xml:space="preserve">۲. قم؛ مسجد اعظم؛ شماره نسخه: ۳۴۱۰/۱</w:t>
      </w:r>
    </w:p>
    <w:p>
      <w:pPr>
        <w:pStyle w:val="BookText"/>
      </w:pPr>
      <w:r>
        <w:rPr>
          <w:rFonts w:ascii="IRNazanin" w:hAnsi="IRNazanin" w:eastAsia="IRNazanin" w:cs="IRNazanin"/>
          <w:lang w:bidi="fa-IR"/>
          <w:color w:val="111111"/>
          <w:sz w:val="28"/>
          <w:szCs w:val="28"/>
          <w:rtl/>
        </w:rPr>
        <w:t xml:space="preserve">آغاز: برابر؛ انجام: و هو الذي كان فيه حرفان من حروف العلة و هو على ضربين الفيف المفروق و هو الذي كان في مقابلة عينه و لامیه حرفان من هذا الحروف نحو طوی و شوی</w:t>
      </w:r>
    </w:p>
    <w:p>
      <w:pPr>
        <w:pStyle w:val="BookText"/>
      </w:pPr>
      <w:r>
        <w:rPr>
          <w:rFonts w:ascii="IRNazanin" w:hAnsi="IRNazanin" w:eastAsia="IRNazanin" w:cs="IRNazanin"/>
          <w:lang w:bidi="fa-IR"/>
          <w:color w:val="111111"/>
          <w:sz w:val="28"/>
          <w:szCs w:val="28"/>
          <w:rtl/>
        </w:rPr>
        <w:t xml:space="preserve">خط: نسخ، بی کا، تا: قرن ۱۳؛ افتادگی: انجام؛ جلد: مقوا سبز، ۱۶گ، ۷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مخ: ۳-۱۳۲۰]</w:t>
      </w:r>
    </w:p>
    <w:p>
      <w:pPr>
        <w:pStyle w:val="BookText"/>
      </w:pPr>
      <w:r>
        <w:rPr>
          <w:rFonts w:ascii="IRNazanin" w:hAnsi="IRNazanin" w:eastAsia="IRNazanin" w:cs="IRNazanin"/>
          <w:lang w:bidi="fa-IR"/>
          <w:color w:val="111111"/>
          <w:sz w:val="28"/>
          <w:szCs w:val="28"/>
          <w:rtl/>
        </w:rPr>
        <w:t xml:space="preserve">٣. قم؛ مرعشی؛ شماره نسخه: ۶۶۳۹/۳</w:t>
      </w:r>
    </w:p>
    <w:p>
      <w:pPr>
        <w:pStyle w:val="BookText"/>
      </w:pPr>
      <w:r>
        <w:rPr>
          <w:rFonts w:ascii="IRNazanin" w:hAnsi="IRNazanin" w:eastAsia="IRNazanin" w:cs="IRNazanin"/>
          <w:lang w:bidi="fa-IR"/>
          <w:color w:val="111111"/>
          <w:sz w:val="28"/>
          <w:szCs w:val="28"/>
          <w:rtl/>
        </w:rPr>
        <w:t xml:space="preserve">آغاز: برابر خط: نستعلیق، بی کا، تا: 3 جمادی الثانی ۱۲۳۸ق؛ مجدول؛ جلد: تیماج قهوهای عطف تیماج قرمز، ۱۰گ (۳۷-۴۶ر)،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۱۷-۲۰۷]</w:t>
      </w:r>
    </w:p>
    <w:p>
      <w:pPr>
        <w:pStyle w:val="BookText"/>
      </w:pPr>
      <w:r>
        <w:rPr>
          <w:rFonts w:ascii="IRNazanin" w:hAnsi="IRNazanin" w:eastAsia="IRNazanin" w:cs="IRNazanin"/>
          <w:lang w:bidi="fa-IR"/>
          <w:color w:val="111111"/>
          <w:sz w:val="28"/>
          <w:szCs w:val="28"/>
          <w:rtl/>
        </w:rPr>
        <w:t xml:space="preserve">۴. یزد؛ کاظمینی؛ شماره نسخه: ۴۰۸/۱</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تا: شعبان ۱۲۸۷ق، جان کر کوک؛ مصحح، محشى؛ جلد: مقوایی، عطف تیماج قهوه ای سوخته، ۶گ (1پ- ۶ر)،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۲-۱۰۲]</w:t>
      </w:r>
    </w:p>
    <w:p>
      <w:pPr>
        <w:pStyle w:val="BookText"/>
      </w:pPr>
      <w:r>
        <w:rPr>
          <w:rFonts w:ascii="IRNazanin" w:hAnsi="IRNazanin" w:eastAsia="IRNazanin" w:cs="IRNazanin"/>
          <w:lang w:bidi="fa-IR"/>
          <w:color w:val="111111"/>
          <w:sz w:val="28"/>
          <w:szCs w:val="28"/>
          <w:rtl/>
        </w:rPr>
        <w:t xml:space="preserve">۵. تهران؛ ادبیات؛ شماره نسخه: ۱۸۳/۲ -ج</w:t>
      </w:r>
    </w:p>
    <w:p>
      <w:pPr>
        <w:pStyle w:val="BookText"/>
      </w:pPr>
      <w:r>
        <w:rPr>
          <w:rFonts w:ascii="IRNazanin" w:hAnsi="IRNazanin" w:eastAsia="IRNazanin" w:cs="IRNazanin"/>
          <w:lang w:bidi="fa-IR"/>
          <w:color w:val="111111"/>
          <w:sz w:val="28"/>
          <w:szCs w:val="28"/>
          <w:rtl/>
        </w:rPr>
        <w:t xml:space="preserve">آغاز و انجام: برابر خط: نسخ، كا: رجبعلی بن کربلائی كاظم کوسه لاری سفیداری، تا: سه شنبه ۶ ربيع الأول ۱۳۰۰ق؛ محشی؛ ۲۰گ (۱۹پ-۳۸ر)، ۷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[ف: ۱-۱۲۹]</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قم؛ گلپایگانی؛ شماره نسخه: ۱ /۷۷۵۳- ۵۲/۹۳</w:t>
      </w:r>
    </w:p>
    <w:p>
      <w:pPr>
        <w:pStyle w:val="BookText"/>
      </w:pPr>
      <w:r>
        <w:rPr>
          <w:rFonts w:ascii="IRNazanin" w:hAnsi="IRNazanin" w:eastAsia="IRNazanin" w:cs="IRNazanin"/>
          <w:lang w:bidi="fa-IR"/>
          <w:color w:val="111111"/>
          <w:sz w:val="28"/>
          <w:szCs w:val="28"/>
          <w:rtl/>
        </w:rPr>
        <w:t xml:space="preserve">آغاز: برابر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2" w:name="pg20363_209242"/>
    <w:bookmarkEnd w:id="82"/>
    <w:p>
      <w:pPr>
        <w:pStyle w:val="BookText"/>
      </w:pPr>
      <w:r>
        <w:rPr>
          <w:rFonts w:ascii="IRNazanin" w:hAnsi="IRNazanin" w:eastAsia="IRNazanin" w:cs="IRNazanin"/>
          <w:lang w:bidi="fa-IR"/>
          <w:color w:val="111111"/>
          <w:sz w:val="28"/>
          <w:szCs w:val="28"/>
          <w:rtl/>
        </w:rPr>
        <w:t xml:space="preserve">خط: نسخ، بی کا، بی تا؛ افتادگی: انجام؛ ۶گی، ۱۴ و ۱۵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۱-۴۹۹]</w:t>
      </w:r>
    </w:p>
    <w:p>
      <w:pPr>
        <w:pStyle w:val="BookText"/>
      </w:pPr>
      <w:r>
        <w:rPr>
          <w:rFonts w:ascii="IRNazanin" w:hAnsi="IRNazanin" w:eastAsia="IRNazanin" w:cs="IRNazanin"/>
          <w:lang w:bidi="fa-IR"/>
          <w:color w:val="111111"/>
          <w:sz w:val="28"/>
          <w:szCs w:val="28"/>
          <w:rtl/>
        </w:rPr>
        <w:t xml:space="preserve">۷. قم، گلپایگانی؛ شماره نسخه: ۷۷۵۳/۳ - ۵۲/۹۳</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بی کا، بی تا؛ ۵گ، ۲۱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۲-۹۴۳]</w:t>
      </w:r>
    </w:p>
    <w:p>
      <w:pPr>
        <w:pStyle w:val="BookText"/>
      </w:pPr>
      <w:r>
        <w:rPr>
          <w:rFonts w:ascii="IRNazanin" w:hAnsi="IRNazanin" w:eastAsia="IRNazanin" w:cs="IRNazanin"/>
          <w:lang w:bidi="fa-IR"/>
          <w:color w:val="111111"/>
          <w:sz w:val="28"/>
          <w:szCs w:val="28"/>
          <w:rtl/>
        </w:rPr>
        <w:t xml:space="preserve">۸. قم؛ گلپایگانی؛ شماره نسخه: ۸۱۲۶/۴ -۵۵/۹۶</w:t>
      </w:r>
    </w:p>
    <w:p>
      <w:pPr>
        <w:pStyle w:val="BookText"/>
      </w:pPr>
      <w:r>
        <w:rPr>
          <w:rFonts w:ascii="IRNazanin" w:hAnsi="IRNazanin" w:eastAsia="IRNazanin" w:cs="IRNazanin"/>
          <w:lang w:bidi="fa-IR"/>
          <w:color w:val="111111"/>
          <w:sz w:val="28"/>
          <w:szCs w:val="28"/>
          <w:rtl/>
        </w:rPr>
        <w:t xml:space="preserve">آغاز: برابر خط: نستعلیق، بی کا، بی تا، ۶، ۹-۱۲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۲-۹۴۴]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قم؛ گلپایگانی؛ شماره نسخه: ۲۰۸۵/۳ - ۱۱/۱۸۵</w:t>
      </w:r>
    </w:p>
    <w:p>
      <w:pPr>
        <w:pStyle w:val="BookText"/>
      </w:pPr>
      <w:r>
        <w:rPr>
          <w:rFonts w:ascii="IRNazanin" w:hAnsi="IRNazanin" w:eastAsia="IRNazanin" w:cs="IRNazanin"/>
          <w:lang w:bidi="fa-IR"/>
          <w:color w:val="111111"/>
          <w:sz w:val="28"/>
          <w:szCs w:val="28"/>
          <w:rtl/>
        </w:rPr>
        <w:t xml:space="preserve">آغاز: الحمدلله صرف قلوبنا بالعلم و العرفان و الصلوة و السلام على نبيه محمود المبعوث بالرحمة و الاحسان و على آله و اصحابه ذوالامن و الامان و بعد اعلم ان ابواب التصريف خمسة و ثلاثون بابا انجام: انصربنا فعل تعجب نفس متكلم مع الغير معناسی نعجب پردم اندک ...</w:t>
      </w:r>
    </w:p>
    <w:p>
      <w:pPr>
        <w:pStyle w:val="BookText"/>
      </w:pPr>
      <w:r>
        <w:rPr>
          <w:rFonts w:ascii="IRNazanin" w:hAnsi="IRNazanin" w:eastAsia="IRNazanin" w:cs="IRNazanin"/>
          <w:lang w:bidi="fa-IR"/>
          <w:color w:val="111111"/>
          <w:sz w:val="28"/>
          <w:szCs w:val="28"/>
          <w:rtl/>
        </w:rPr>
        <w:t xml:space="preserve">خط ثلث، بی کا، بی تا؛ در حواشی به ترکی ترجمه است؛ جلد: تیماج سوخت با ترنج با سر و نقش گل و بوته داخل و سرترنجها و مذهب مجدول گرهی لولا دار، ۲۴گ، ۱۳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۲-۹۴۴]</w:t>
      </w:r>
    </w:p>
    <w:p>
      <w:pPr>
        <w:pStyle w:val="BookText"/>
      </w:pPr>
      <w:r>
        <w:rPr>
          <w:rFonts w:ascii="IRNazanin" w:hAnsi="IRNazanin" w:eastAsia="IRNazanin" w:cs="IRNazanin"/>
          <w:lang w:bidi="fa-IR"/>
          <w:color w:val="111111"/>
          <w:sz w:val="28"/>
          <w:szCs w:val="28"/>
          <w:rtl/>
        </w:rPr>
        <w:t xml:space="preserve">۱۰. قم؛ گلپایگانی؛ شماره نسخه: ۲۷۹۹/۴ - ۱۵/۳۹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جلد: گالینگور قهوه ای، وگ، ۱۵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۲-۹۴۳]</w:t>
      </w:r>
    </w:p>
    <w:p>
      <w:pPr>
        <w:pStyle w:val="BookText"/>
      </w:pPr>
      <w:r>
        <w:rPr>
          <w:rFonts w:ascii="IRNazanin" w:hAnsi="IRNazanin" w:eastAsia="IRNazanin" w:cs="IRNazanin"/>
          <w:lang w:bidi="fa-IR"/>
          <w:color w:val="111111"/>
          <w:sz w:val="28"/>
          <w:szCs w:val="28"/>
          <w:rtl/>
        </w:rPr>
        <w:t xml:space="preserve">۱۱. تهران؛ ملی؛ شماره نسخه: ۲۳۱۴/۴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کهن، بی کا، بی تا، کاغذ: فرنگی، جلد: تیماج سیاه ضربی مقوایی، وگ (۷۷-۸۵پ)، ۱۳ سطر (۱۲۸۴/۵ )،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۱۲-۲۳]</w:t>
      </w:r>
    </w:p>
    <w:p>
      <w:pPr>
        <w:pStyle w:val="Heading3"/>
      </w:pPr>
      <w:bookmarkStart w:id="972" w:name="_Toc232"/>
      <w:r>
        <w:t>• بناء المقالة الفاطمية في نقض الرسالة العثمانية / كلام</w:t>
      </w:r>
      <w:bookmarkEnd w:id="972"/>
    </w:p>
    <w:p>
      <w:pPr>
        <w:pStyle w:val="BookText"/>
      </w:pPr>
      <w:r>
        <w:rPr>
          <w:rFonts w:ascii="IRNazanin" w:hAnsi="IRNazanin" w:eastAsia="IRNazanin" w:cs="IRNazanin"/>
          <w:lang w:bidi="fa-IR"/>
          <w:color w:val="111111"/>
          <w:sz w:val="28"/>
          <w:szCs w:val="28"/>
          <w:rtl/>
        </w:rPr>
        <w:t xml:space="preserve">و اعتقادات / عربی </w:t>
      </w:r>
      <w:r>
        <w:rPr>
          <w:rFonts w:ascii="Times New Roman" w:hAnsi="Times New Roman" w:eastAsia="Times New Roman" w:cs="Times New Roman"/>
          <w:lang w:val="en-US" w:bidi="en-US"/>
          <w:color w:val="111111"/>
          <w:sz w:val="28"/>
          <w:szCs w:val="28"/>
          <w:rtl/>
        </w:rPr>
        <w:t xml:space="preserve">r.-il naqd-ir fi fatimiyya bana-ul maqalat-il ‘utmānīyya</w:t>
      </w:r>
    </w:p>
    <w:p>
      <w:pPr>
        <w:pStyle w:val="BookText"/>
      </w:pPr>
      <w:r>
        <w:rPr>
          <w:rFonts w:ascii="IRNazanin" w:hAnsi="IRNazanin" w:eastAsia="IRNazanin" w:cs="IRNazanin"/>
          <w:lang w:bidi="fa-IR"/>
          <w:color w:val="111111"/>
          <w:sz w:val="28"/>
          <w:szCs w:val="28"/>
          <w:rtl/>
        </w:rPr>
        <w:t xml:space="preserve">ابن طاوس، احمد بن موسی، ۶۷۳؟ قمری</w:t>
      </w:r>
    </w:p>
    <w:p>
      <w:pPr>
        <w:pStyle w:val="BookText"/>
      </w:pPr>
      <w:r>
        <w:rPr>
          <w:rFonts w:ascii="Times New Roman" w:hAnsi="Times New Roman" w:eastAsia="Times New Roman" w:cs="Times New Roman"/>
          <w:lang w:val="en-US" w:bidi="en-US"/>
          <w:color w:val="111111"/>
          <w:sz w:val="28"/>
          <w:szCs w:val="28"/>
          <w:rtl/>
        </w:rPr>
        <w:t xml:space="preserve">ebn-e tāvūs, ahmad ebn-e mūsā (- 1275)</w:t>
      </w:r>
    </w:p>
    <w:p>
      <w:pPr>
        <w:pStyle w:val="BookText"/>
      </w:pPr>
      <w:r>
        <w:rPr>
          <w:rFonts w:ascii="IRNazanin" w:hAnsi="IRNazanin" w:eastAsia="IRNazanin" w:cs="IRNazanin"/>
          <w:lang w:bidi="fa-IR"/>
          <w:color w:val="111111"/>
          <w:sz w:val="28"/>
          <w:szCs w:val="28"/>
          <w:rtl/>
        </w:rPr>
        <w:t xml:space="preserve">از ابوعثمان عمرو بن بحر جاحظ (۱۵۰-۲۵۵) دانشمند معتزلی کتابی به نام «کتاب العثمانية» به یادگار مانده که در آن از سخنان شیعیان خرده گرفته است. مسعودی در مروج الذهب (۲۵۳/۳ ) و ابن ندیم در فهرست به همین نام (بخش چاپ نشده آن از نسخه چستربیتی) و ابن ابی الحدید در شرح نهج البلاغه ( ۲۵۳/۳ ) از آن یاد کرده اند. ابو جعفر محمد بن عبدالله اسکافی سمرقندی ( ۲۴۰) در زمان زندگی جاحظ در برابر آن کتاب «نقض العثمانيه» نوشته است و بندهایی از این نقض را ابن ابی الحدید آورده است. ابن ندیم در سرگذشت اسکافی از این کتاب یاد ننموده ولی از کتاب «فضائل علی» او یاد کرده است. سید مرتضی در امالی (۱۹۴/۱ ) از عثمانیه یاد نکرده است و در شافي او و تلخيص طوسی از آن هم یادی از آن دیده نشد. خود جاحظ در حيوان» (۱۱/۱) و در کتاب «المعرفة» (ص ۲۶۱) از آن یاد کرده است. این هم گفته شود که ابن ندیم گذشته از «کتاب العثمانية» از «کتاب الرد على العثمانية» همو نیز یاد نمود. پس می توان گفت که جاحظ به روشی که در تألیفات خود داشته و برای خوشایند هر گروهی کتاب می نوشته است به سود رافضیان از همین کتاب در آن کتاب دوم خود خرده گرفته است با اینکه از نقضی که اسکافی بر عثمانيه او نوشته چندان خوشش نیامده است. شیخ مفید بغدادی شیعی کتاب «الرد على العثمانية للجاحظ» دارد (نجاشی ص ۲۸۴؛ الذريعه ۱۹۲/۱۰ ؛ فوائد رضویه). ابي احوص مصری متکلم (معالم ص</w:t>
      </w:r>
    </w:p>
    <w:p>
      <w:pPr>
        <w:pStyle w:val="BookText"/>
      </w:pPr>
      <w:r>
        <w:rPr>
          <w:rFonts w:ascii="IRNazanin" w:hAnsi="IRNazanin" w:eastAsia="IRNazanin" w:cs="IRNazanin"/>
          <w:lang w:bidi="fa-IR"/>
          <w:color w:val="111111"/>
          <w:sz w:val="28"/>
          <w:szCs w:val="28"/>
          <w:rtl/>
        </w:rPr>
        <w:t xml:space="preserve">۱۲۷؛ الذریعه ۲۱۱/۱۰ ) هم «الرد على العثمانية» دارد. ابن طاوس جمال الدين ابوالفضائل احمد بن موسی بن جعفر بن الطاوس فاطمی حسنی حلی فقیه اصولی ادیب (- ۶۷۳) در نقض همین کتاب عثمانیه جاحظ «کتاب بناء المقالة الفاطمية في نقض الرسالة العثمانية» نوشته و حسن بن على بن داود آن را نزدش خوانده و او بدو اجازه قرائت داده است. ابن طاووس در این کتاب، ضمن نقل گفته های جاحظ آنها را رد می کند. به جز این، ۹ رد دیگر هم</w:t>
      </w:r>
    </w:p>
    <w:p>
      <w:pPr>
        <w:pStyle w:val="BookText"/>
      </w:pPr>
      <w:r>
        <w:rPr>
          <w:rFonts w:ascii="IRNazanin" w:hAnsi="IRNazanin" w:eastAsia="IRNazanin" w:cs="IRNazanin"/>
          <w:lang w:bidi="fa-IR"/>
          <w:color w:val="111111"/>
          <w:sz w:val="28"/>
          <w:szCs w:val="28"/>
          <w:rtl/>
        </w:rPr>
        <w:t xml:space="preserve">بر کتاب جاحظ نوشته شده که مشخصات آنها در مقدمه چاپی بناء المقالة الفاطمية في نقض الرسالة العثمانية»، تحقیق سید علی عدنان غریفی، قم، مؤسسة آل البيت، آمده است.</w:t>
      </w:r>
    </w:p>
    <w:p>
      <w:pPr>
        <w:pStyle w:val="BookText"/>
      </w:pPr>
      <w:r>
        <w:rPr>
          <w:rFonts w:ascii="IRNazanin" w:hAnsi="IRNazanin" w:eastAsia="IRNazanin" w:cs="IRNazanin"/>
          <w:lang w:bidi="fa-IR"/>
          <w:color w:val="111111"/>
          <w:sz w:val="28"/>
          <w:szCs w:val="28"/>
          <w:rtl/>
        </w:rPr>
        <w:t xml:space="preserve">آغاز: بسمله. النازل على الخواطف با کف الشوارق و اشهد ان لا اله الا الله شهادة يفتح بنيانها أبواب المغالق</w:t>
      </w:r>
    </w:p>
    <w:p>
      <w:pPr>
        <w:pStyle w:val="BookText"/>
      </w:pPr>
      <w:r>
        <w:rPr>
          <w:rFonts w:ascii="IRNazanin" w:hAnsi="IRNazanin" w:eastAsia="IRNazanin" w:cs="IRNazanin"/>
          <w:lang w:bidi="fa-IR"/>
          <w:color w:val="111111"/>
          <w:sz w:val="28"/>
          <w:szCs w:val="28"/>
          <w:rtl/>
        </w:rPr>
        <w:t xml:space="preserve">انجام: و يعتنق البيض الرقاق فكاهة *** كأن شفار المشر في الخراید و کم لأمير المؤمنین مناقبة *** علت غلت لا يطيبها المكايد</w:t>
      </w:r>
    </w:p>
    <w:p>
      <w:pPr>
        <w:pStyle w:val="BookText"/>
      </w:pPr>
      <w:r>
        <w:rPr>
          <w:rFonts w:ascii="IRNazanin" w:hAnsi="IRNazanin" w:eastAsia="IRNazanin" w:cs="IRNazanin"/>
          <w:lang w:bidi="fa-IR"/>
          <w:color w:val="111111"/>
          <w:sz w:val="28"/>
          <w:szCs w:val="28"/>
          <w:rtl/>
        </w:rPr>
        <w:t xml:space="preserve">چاپ: بناء المقالة الفاطمية في نقض الرسالة العثمانية، تحقيق: سید على عدنان غریفی، قم، مؤسسة آل البيت، ۱۴۱۱ ق</w:t>
      </w:r>
    </w:p>
    <w:p>
      <w:pPr>
        <w:pStyle w:val="BookText"/>
      </w:pPr>
      <w:r>
        <w:rPr>
          <w:rFonts w:ascii="IRNazanin" w:hAnsi="IRNazanin" w:eastAsia="IRNazanin" w:cs="IRNazanin"/>
          <w:lang w:bidi="fa-IR"/>
          <w:color w:val="111111"/>
          <w:sz w:val="28"/>
          <w:szCs w:val="28"/>
          <w:rtl/>
        </w:rPr>
        <w:t xml:space="preserve">[الذريعه ۳/ ۱۵۰ و ۳۹۵/۲۱ ؛ هدية العارفین ۹۷/۱ ؛ خاتمه مستدرک الوسائل: ۴۳۳/۲ -۴۳۷؛ به صورت مفصل و جامع در فهرست نسخه های خطی دانشکده حقوق و علوم سیاسی و اقتصادی دانشگاه تهران: ۲۶۱-۲۷۹؛ حول تحقیق کتاب بناء المقالة الفاطمية في نقض الرسالة العثمانية، مجمع علمی عراقی ۷۵/۱ و ۳۲۸/۳ ]</w:t>
      </w:r>
    </w:p>
    <w:p>
      <w:pPr>
        <w:pStyle w:val="BookText"/>
      </w:pPr>
      <w:r>
        <w:rPr>
          <w:rFonts w:ascii="IRNazanin" w:hAnsi="IRNazanin" w:eastAsia="IRNazanin" w:cs="IRNazanin"/>
          <w:lang w:bidi="fa-IR"/>
          <w:color w:val="111111"/>
          <w:sz w:val="28"/>
          <w:szCs w:val="28"/>
          <w:rtl/>
        </w:rPr>
        <w:t xml:space="preserve">۱. تهران، دانشگاه؛ شماره نسخه: ۹۷۶-ف</w:t>
      </w:r>
    </w:p>
    <w:p>
      <w:pPr>
        <w:pStyle w:val="BookText"/>
      </w:pPr>
      <w:r>
        <w:rPr>
          <w:rFonts w:ascii="IRNazanin" w:hAnsi="IRNazanin" w:eastAsia="IRNazanin" w:cs="IRNazanin"/>
          <w:lang w:bidi="fa-IR"/>
          <w:color w:val="111111"/>
          <w:sz w:val="28"/>
          <w:szCs w:val="28"/>
          <w:rtl/>
        </w:rPr>
        <w:t xml:space="preserve">نسخه اصل: اوقاف بغداد ش ۶۷۷۷ (فهرست اسعد اطلس ص ۱۲۵)؛ كا: تقی الدین حسن بن على بن داود علی شاگرد او، تا: شوال ۶۶۵ق؛ با گواهی حاجی میرزا حسین بن محمد تقی نوری؛ ۲۰۰گی [فیلمها ف: ۱-۲۹۱]</w:t>
      </w:r>
    </w:p>
    <w:p>
      <w:pPr>
        <w:pStyle w:val="BookText"/>
      </w:pPr>
      <w:r>
        <w:rPr>
          <w:rFonts w:ascii="IRNazanin" w:hAnsi="IRNazanin" w:eastAsia="IRNazanin" w:cs="IRNazanin"/>
          <w:lang w:bidi="fa-IR"/>
          <w:color w:val="111111"/>
          <w:sz w:val="28"/>
          <w:szCs w:val="28"/>
          <w:rtl/>
        </w:rPr>
        <w:t xml:space="preserve">۲. تهران: مدرسه معمارباشی؛ شماره نسخه: ۸۵/۱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83" w:name="pg20363_209243"/>
    <w:bookmarkEnd w:id="83"/>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۱۰؛ ۱۶ سطر [ف: ۹۷]</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حقوق؛ شماره نسخه: ۷۰-د</w:t>
      </w:r>
    </w:p>
    <w:p>
      <w:pPr>
        <w:pStyle w:val="BookText"/>
      </w:pPr>
      <w:r>
        <w:rPr>
          <w:rFonts w:ascii="IRNazanin" w:hAnsi="IRNazanin" w:eastAsia="IRNazanin" w:cs="IRNazanin"/>
          <w:lang w:bidi="fa-IR"/>
          <w:color w:val="111111"/>
          <w:sz w:val="28"/>
          <w:szCs w:val="28"/>
          <w:rtl/>
        </w:rPr>
        <w:t xml:space="preserve">خط: نسخ، كا: حسین خادم کتابدار مشهد نجف، تا: محرم ۱۰۹۱ق؛ این نسخه نقص نسخه اصل بغداد را ندارد؛ تملك: مقبل بن حسن در کربلا در ۸ شعبان ۱۱۸۹، محمد علی بن محمد باقر سپاهانی بهبهانی در ۱۲۱۱، محمد جعفر بن محمد علی در ۱۲۱۸، غلام رضا بن محمد صادق سمیعی کرمانشاهی در ربيع الثانی ۱۳۵۴؛ کاغذ: سپاهانی نخودی، جلد: تیماج تریاکی ضربی مقوایی، ۱۴۱گی، ۱۵ سطر (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۲۶۱]</w:t>
      </w:r>
    </w:p>
    <w:p>
      <w:pPr>
        <w:pStyle w:val="BookText"/>
      </w:pPr>
      <w:r>
        <w:rPr>
          <w:rFonts w:ascii="IRNazanin" w:hAnsi="IRNazanin" w:eastAsia="IRNazanin" w:cs="IRNazanin"/>
          <w:lang w:bidi="fa-IR"/>
          <w:color w:val="111111"/>
          <w:sz w:val="28"/>
          <w:szCs w:val="28"/>
          <w:rtl/>
        </w:rPr>
        <w:t xml:space="preserve">تهران؛ دانشگاه؛ شماره نسخه: ۱۳۷۵-ف</w:t>
      </w:r>
    </w:p>
    <w:p>
      <w:pPr>
        <w:pStyle w:val="BookText"/>
      </w:pPr>
      <w:r>
        <w:rPr>
          <w:rFonts w:ascii="IRNazanin" w:hAnsi="IRNazanin" w:eastAsia="IRNazanin" w:cs="IRNazanin"/>
          <w:lang w:bidi="fa-IR"/>
          <w:color w:val="111111"/>
          <w:sz w:val="28"/>
          <w:szCs w:val="28"/>
          <w:rtl/>
        </w:rPr>
        <w:t xml:space="preserve">نسخه اصل: همان نسخه بالا [فیلمها ف: ۱-۲۹۱]</w:t>
      </w:r>
    </w:p>
    <w:p>
      <w:pPr>
        <w:pStyle w:val="BookText"/>
      </w:pPr>
      <w:r>
        <w:rPr>
          <w:rFonts w:ascii="IRNazanin" w:hAnsi="IRNazanin" w:eastAsia="IRNazanin" w:cs="IRNazanin"/>
          <w:lang w:bidi="fa-IR"/>
          <w:color w:val="111111"/>
          <w:sz w:val="28"/>
          <w:szCs w:val="28"/>
          <w:rtl/>
        </w:rPr>
        <w:t xml:space="preserve">۴. کرمانشاه؛ جلیلی؛ شماره نسخه: ۲۷۷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حسین بن شیخ محمد خادم حایری، تا: رمضان ۱۱۲۹ق؛ از نسخه مخطوط به قلم شاگرد مؤلف، حسن بن على بن داود حلى محرر ۶۶۵، نسخه مستنسخ منه بر مؤلف قرائت شده و در ظهر آن اجازه مؤلف کتابت شده، در این نسخه اجازات و قراءات نسخه اصل استكتاب شده؛ کاغذ: نخودی آهار مهره فرنگی، جلد: تیماج خرمایی، ۲۰۸ ص (۱-۲۰۸)، ۱۲ سطر، اندازه: ۱۰/۵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سم [ف: ۴۵]</w:t>
      </w:r>
    </w:p>
    <w:p>
      <w:pPr>
        <w:pStyle w:val="BookText"/>
      </w:pPr>
      <w:r>
        <w:rPr>
          <w:rFonts w:ascii="IRNazanin" w:hAnsi="IRNazanin" w:eastAsia="IRNazanin" w:cs="IRNazanin"/>
          <w:lang w:bidi="fa-IR"/>
          <w:color w:val="111111"/>
          <w:sz w:val="28"/>
          <w:szCs w:val="28"/>
          <w:rtl/>
        </w:rPr>
        <w:t xml:space="preserve">۵. کرمانشاه؛ نجومی؛ شماره نسخه: بدون شماره</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سید مرتضی بن جواد بن اسمعیل نجومی کرمانشاهی، تا: ۱۳۸۵ق، جا: نجف اشرف؛ از روی نسخه ای که جواد بن شیخ عبد الحمید در سوم شعبان ۱۳۳۶ آن را از روی نسخه نفیسی که به خط حسن بن على بن داود حلی صاحب رجال بوده و در شوال ۶۶۵ از کتابت آن فراغت یافته نوشته است، نسخه ابن داود قبلا در کتابخانه مسجد مرجان بغداد بوده و بعدا به مكتبه الاوقاف العامة في بغداد» منتقل شده است؛ ۱۷۶ص، ۲۰</w:t>
      </w:r>
    </w:p>
    <w:p>
      <w:pPr>
        <w:pStyle w:val="BookText"/>
      </w:pPr>
      <w:r>
        <w:rPr>
          <w:rFonts w:ascii="Amiri" w:hAnsi="Amiri" w:eastAsia="Amiri" w:cs="Amiri"/>
          <w:lang w:bidi="ar-SA"/>
          <w:color w:val="111111"/>
          <w:sz w:val="28"/>
          <w:szCs w:val="28"/>
          <w:rtl/>
        </w:rPr>
        <w:t xml:space="preserve">سطر [دليل المخطوطات: ۱-۲۱۹]</w:t>
      </w:r>
    </w:p>
    <w:p>
      <w:pPr>
        <w:pStyle w:val="BookText"/>
      </w:pPr>
      <w:r>
        <w:rPr>
          <w:rFonts w:ascii="IRNazanin" w:hAnsi="IRNazanin" w:eastAsia="IRNazanin" w:cs="IRNazanin"/>
          <w:lang w:bidi="fa-IR"/>
          <w:color w:val="111111"/>
          <w:sz w:val="28"/>
          <w:szCs w:val="28"/>
          <w:rtl/>
        </w:rPr>
        <w:t xml:space="preserve">قم؛ مرکز احیاء؛ شماره نسخه: ۱۶۱۶</w:t>
      </w:r>
    </w:p>
    <w:p>
      <w:pPr>
        <w:pStyle w:val="BookText"/>
      </w:pPr>
      <w:r>
        <w:rPr>
          <w:rFonts w:ascii="IRNazanin" w:hAnsi="IRNazanin" w:eastAsia="IRNazanin" w:cs="IRNazanin"/>
          <w:lang w:bidi="fa-IR"/>
          <w:color w:val="111111"/>
          <w:sz w:val="28"/>
          <w:szCs w:val="28"/>
          <w:rtl/>
        </w:rPr>
        <w:t xml:space="preserve">نسخه اصل: همان نسخه بالا [عکسی ف: ۵-۴۶]</w:t>
      </w:r>
    </w:p>
    <w:p>
      <w:pPr>
        <w:pStyle w:val="BookText"/>
      </w:pPr>
      <w:r>
        <w:rPr>
          <w:rFonts w:ascii="IRNazanin" w:hAnsi="IRNazanin" w:eastAsia="IRNazanin" w:cs="IRNazanin"/>
          <w:lang w:bidi="fa-IR"/>
          <w:color w:val="111111"/>
          <w:sz w:val="28"/>
          <w:szCs w:val="28"/>
          <w:rtl/>
        </w:rPr>
        <w:t xml:space="preserve">قم؛ مرعشی؛ شماره نسخه: ۴۶۳عکسی</w:t>
      </w:r>
    </w:p>
    <w:p>
      <w:pPr>
        <w:pStyle w:val="BookText"/>
      </w:pPr>
      <w:r>
        <w:rPr>
          <w:rFonts w:ascii="IRNazanin" w:hAnsi="IRNazanin" w:eastAsia="IRNazanin" w:cs="IRNazanin"/>
          <w:lang w:bidi="fa-IR"/>
          <w:color w:val="111111"/>
          <w:sz w:val="28"/>
          <w:szCs w:val="28"/>
          <w:rtl/>
        </w:rPr>
        <w:t xml:space="preserve">نسخه اصل: همان نسخه بالا [عکسی ف: ۱-۴۱۲]</w:t>
      </w:r>
    </w:p>
    <w:p>
      <w:pPr>
        <w:pStyle w:val="Heading3"/>
      </w:pPr>
      <w:bookmarkStart w:id="973" w:name="_Toc233"/>
      <w:r>
        <w:t>• البنات الصغيرة / متفرقه / عربی</w:t>
      </w:r>
      <w:bookmarkEnd w:id="973"/>
    </w:p>
    <w:p>
      <w:pPr>
        <w:pStyle w:val="BookText"/>
      </w:pPr>
      <w:r>
        <w:rPr>
          <w:rFonts w:ascii="Times New Roman" w:hAnsi="Times New Roman" w:eastAsia="Times New Roman" w:cs="Times New Roman"/>
          <w:lang w:val="en-US" w:bidi="en-US"/>
          <w:color w:val="111111"/>
          <w:sz w:val="28"/>
          <w:szCs w:val="28"/>
          <w:rtl/>
        </w:rPr>
        <w:t xml:space="preserve">banāt-uş Şaġīra</w:t>
      </w:r>
    </w:p>
    <w:p>
      <w:pPr>
        <w:pStyle w:val="BookText"/>
      </w:pPr>
      <w:r>
        <w:rPr>
          <w:rFonts w:ascii="IRNazanin" w:hAnsi="IRNazanin" w:eastAsia="IRNazanin" w:cs="IRNazanin"/>
          <w:lang w:bidi="fa-IR"/>
          <w:color w:val="111111"/>
          <w:sz w:val="28"/>
          <w:szCs w:val="28"/>
          <w:rtl/>
        </w:rPr>
        <w:t xml:space="preserve">هادي المستجيبين، حمزة بن على،-۴۳۳ قمری</w:t>
      </w:r>
    </w:p>
    <w:p>
      <w:pPr>
        <w:pStyle w:val="BookText"/>
      </w:pPr>
      <w:r>
        <w:rPr>
          <w:rFonts w:ascii="Times New Roman" w:hAnsi="Times New Roman" w:eastAsia="Times New Roman" w:cs="Times New Roman"/>
          <w:lang w:val="en-US" w:bidi="en-US"/>
          <w:color w:val="111111"/>
          <w:sz w:val="28"/>
          <w:szCs w:val="28"/>
          <w:rtl/>
        </w:rPr>
        <w:t xml:space="preserve">hādī-yol-mostajībīn, hamzat-ebn-e ‘alī (- 1042)</w:t>
      </w:r>
    </w:p>
    <w:p>
      <w:pPr>
        <w:pStyle w:val="BookText"/>
      </w:pPr>
      <w:r>
        <w:rPr>
          <w:rFonts w:ascii="IRNazanin" w:hAnsi="IRNazanin" w:eastAsia="IRNazanin" w:cs="IRNazanin"/>
          <w:lang w:bidi="fa-IR"/>
          <w:color w:val="111111"/>
          <w:sz w:val="28"/>
          <w:szCs w:val="28"/>
          <w:rtl/>
        </w:rPr>
        <w:t xml:space="preserve">شکوه ای است از دختران جوانی که میثاق ولی الزمان را شنیده و سپس سر پیچی کرده اند. مؤلف از آنها تبری جسته و می گوید: چنانچه توبه کنند باب توبه تا هفتم ماه صفر باز بوده والا آنها ملعون هستند.</w:t>
      </w:r>
    </w:p>
    <w:p>
      <w:pPr>
        <w:pStyle w:val="BookText"/>
      </w:pPr>
      <w:r>
        <w:rPr>
          <w:rFonts w:ascii="IRNazanin" w:hAnsi="IRNazanin" w:eastAsia="IRNazanin" w:cs="IRNazanin"/>
          <w:lang w:bidi="fa-IR"/>
          <w:color w:val="111111"/>
          <w:sz w:val="28"/>
          <w:szCs w:val="28"/>
          <w:rtl/>
        </w:rPr>
        <w:t xml:space="preserve">قم، مرکز احیاء؛ شماره نسخه: ۱۵۷۱/۱۶</w:t>
      </w:r>
    </w:p>
    <w:p>
      <w:pPr>
        <w:pStyle w:val="BookText"/>
      </w:pPr>
      <w:r>
        <w:rPr>
          <w:rFonts w:ascii="IRNazanin" w:hAnsi="IRNazanin" w:eastAsia="IRNazanin" w:cs="IRNazanin"/>
          <w:lang w:bidi="fa-IR"/>
          <w:color w:val="111111"/>
          <w:sz w:val="28"/>
          <w:szCs w:val="28"/>
          <w:rtl/>
        </w:rPr>
        <w:t xml:space="preserve">آغاز: توكلت على مولانا الاله ... ايتها البنات الغافلات الناسیات للحقق المدعيات قد وعظتكم من الزمن الطويل نسخه اصل: کتابخانه واتیکان -رم ۹۱۳؛ خط: نسخ معرب، بی کا، تا: قرن ۱۲، ۳ص (۲۱۹-۲۲۱) [عکسی ف: ۴-۴۱۳]</w:t>
      </w:r>
    </w:p>
    <w:p>
      <w:pPr>
        <w:pStyle w:val="Heading3"/>
      </w:pPr>
      <w:bookmarkStart w:id="974" w:name="_Toc234"/>
      <w:r>
        <w:t>• البنات الكبيرة / متفرقه / عربی</w:t>
      </w:r>
      <w:bookmarkEnd w:id="974"/>
    </w:p>
    <w:p>
      <w:pPr>
        <w:pStyle w:val="BookText"/>
      </w:pPr>
      <w:r>
        <w:rPr>
          <w:rFonts w:ascii="Times New Roman" w:hAnsi="Times New Roman" w:eastAsia="Times New Roman" w:cs="Times New Roman"/>
          <w:lang w:val="en-US" w:bidi="en-US"/>
          <w:color w:val="111111"/>
          <w:sz w:val="28"/>
          <w:szCs w:val="28"/>
          <w:rtl/>
        </w:rPr>
        <w:t xml:space="preserve">banāt-ul kabīra</w:t>
      </w:r>
    </w:p>
    <w:p>
      <w:pPr>
        <w:pStyle w:val="BookText"/>
      </w:pPr>
      <w:r>
        <w:rPr>
          <w:rFonts w:ascii="IRNazanin" w:hAnsi="IRNazanin" w:eastAsia="IRNazanin" w:cs="IRNazanin"/>
          <w:lang w:bidi="fa-IR"/>
          <w:color w:val="111111"/>
          <w:sz w:val="28"/>
          <w:szCs w:val="28"/>
          <w:rtl/>
        </w:rPr>
        <w:t xml:space="preserve">هادی المستجيبين، حمزة بن على،-۴۳۳ قمری</w:t>
      </w:r>
    </w:p>
    <w:p>
      <w:pPr>
        <w:pStyle w:val="BookText"/>
      </w:pPr>
      <w:r>
        <w:rPr>
          <w:rFonts w:ascii="Times New Roman" w:hAnsi="Times New Roman" w:eastAsia="Times New Roman" w:cs="Times New Roman"/>
          <w:lang w:val="en-US" w:bidi="en-US"/>
          <w:color w:val="111111"/>
          <w:sz w:val="28"/>
          <w:szCs w:val="28"/>
          <w:rtl/>
        </w:rPr>
        <w:t xml:space="preserve">hādī-yol-mostajībīn, hamzat-ebn-e 'alī (- 1042)</w:t>
      </w:r>
    </w:p>
    <w:p>
      <w:pPr>
        <w:pStyle w:val="BookText"/>
      </w:pPr>
      <w:r>
        <w:rPr>
          <w:rFonts w:ascii="IRNazanin" w:hAnsi="IRNazanin" w:eastAsia="IRNazanin" w:cs="IRNazanin"/>
          <w:lang w:bidi="fa-IR"/>
          <w:color w:val="111111"/>
          <w:sz w:val="28"/>
          <w:szCs w:val="28"/>
          <w:rtl/>
        </w:rPr>
        <w:t xml:space="preserve">به مؤلف خبر رسیده که عده ای از دختران صالحه مؤمنه تحت تاثیر حرف های زندیق فاسقی قرار گرفته اند. در این نامه آنها را مورد بازخواست قرار داده و از آنها می خواهد به رساله «الاعذار و الانذار» و دیگر نامه هایی که قبلا ارسال داشته توجه کنند. هادي المستجيبين در پایان نامه را بر تمامی اهالی قصرین و مصرين حجت می داند.</w:t>
      </w:r>
    </w:p>
    <w:p>
      <w:pPr>
        <w:pStyle w:val="BookText"/>
      </w:pPr>
      <w:r>
        <w:rPr>
          <w:rFonts w:ascii="IRNazanin" w:hAnsi="IRNazanin" w:eastAsia="IRNazanin" w:cs="IRNazanin"/>
          <w:lang w:bidi="fa-IR"/>
          <w:color w:val="111111"/>
          <w:sz w:val="28"/>
          <w:szCs w:val="28"/>
          <w:rtl/>
        </w:rPr>
        <w:t xml:space="preserve">قم، مرکز احیاء؛ شماره نسخه: ۱۵۷۱/۱۵</w:t>
      </w:r>
    </w:p>
    <w:p>
      <w:pPr>
        <w:pStyle w:val="BookText"/>
      </w:pPr>
      <w:r>
        <w:rPr>
          <w:rFonts w:ascii="IRNazanin" w:hAnsi="IRNazanin" w:eastAsia="IRNazanin" w:cs="IRNazanin"/>
          <w:lang w:bidi="fa-IR"/>
          <w:color w:val="111111"/>
          <w:sz w:val="28"/>
          <w:szCs w:val="28"/>
          <w:rtl/>
        </w:rPr>
        <w:t xml:space="preserve">آغاز: بلغنی ایتها البنات الصالحات المومنات الصينات ثبتكن الباري على طاعة وليه</w:t>
      </w:r>
    </w:p>
    <w:p>
      <w:pPr>
        <w:pStyle w:val="BookText"/>
      </w:pPr>
      <w:r>
        <w:rPr>
          <w:rFonts w:ascii="IRNazanin" w:hAnsi="IRNazanin" w:eastAsia="IRNazanin" w:cs="IRNazanin"/>
          <w:lang w:bidi="fa-IR"/>
          <w:color w:val="111111"/>
          <w:sz w:val="28"/>
          <w:szCs w:val="28"/>
          <w:rtl/>
        </w:rPr>
        <w:t xml:space="preserve">سخه اصل: کتابخانه واتیکان-رم ۹۱۳؛ خط: نسخ معرب، بی کا، تا: قرن ۱۲، ۶ص (۲۱۳-۲۱۸) [عکسی ف: ۴-۴۱۲]</w:t>
      </w:r>
    </w:p>
    <w:p>
      <w:pPr>
        <w:pStyle w:val="Heading3"/>
      </w:pPr>
      <w:bookmarkStart w:id="975" w:name="_Toc235"/>
      <w:r>
        <w:t>•بناهای غریبه قدیم / جغرافيا / فارسی</w:t>
      </w:r>
      <w:bookmarkEnd w:id="975"/>
    </w:p>
    <w:p>
      <w:pPr>
        <w:pStyle w:val="BookText"/>
      </w:pPr>
      <w:r>
        <w:rPr>
          <w:rFonts w:ascii="Times New Roman" w:hAnsi="Times New Roman" w:eastAsia="Times New Roman" w:cs="Times New Roman"/>
          <w:lang w:val="en-US" w:bidi="en-US"/>
          <w:color w:val="111111"/>
          <w:sz w:val="28"/>
          <w:szCs w:val="28"/>
          <w:rtl/>
        </w:rPr>
        <w:t xml:space="preserve">banāhā-ye qarībe-ye qadīm</w:t>
      </w:r>
    </w:p>
    <w:p>
      <w:pPr>
        <w:pStyle w:val="BookText"/>
      </w:pPr>
      <w:r>
        <w:rPr>
          <w:rFonts w:ascii="IRNazanin" w:hAnsi="IRNazanin" w:eastAsia="IRNazanin" w:cs="IRNazanin"/>
          <w:lang w:bidi="fa-IR"/>
          <w:color w:val="111111"/>
          <w:sz w:val="28"/>
          <w:szCs w:val="28"/>
          <w:rtl/>
        </w:rPr>
        <w:t xml:space="preserve">اعتضادالسلطنه، علیقلی بن فتحعلی، ۲۱۲۳۴-۱۲۹۸  قمری</w:t>
      </w:r>
    </w:p>
    <w:p>
      <w:pPr>
        <w:pStyle w:val="BookText"/>
      </w:pPr>
      <w:r>
        <w:rPr>
          <w:rFonts w:ascii="Times New Roman" w:hAnsi="Times New Roman" w:eastAsia="Times New Roman" w:cs="Times New Roman"/>
          <w:lang w:val="en-US" w:bidi="en-US"/>
          <w:color w:val="111111"/>
          <w:sz w:val="28"/>
          <w:szCs w:val="28"/>
          <w:rtl/>
        </w:rPr>
        <w:t xml:space="preserve">e'tezād-os-saltane, ‘alī-qolī ebn-e fath- alī (1819-1881)</w:t>
      </w:r>
    </w:p>
    <w:p>
      <w:pPr>
        <w:pStyle w:val="BookText"/>
      </w:pPr>
      <w:r>
        <w:rPr>
          <w:rFonts w:ascii="IRNazanin" w:hAnsi="IRNazanin" w:eastAsia="IRNazanin" w:cs="IRNazanin"/>
          <w:lang w:bidi="fa-IR"/>
          <w:color w:val="111111"/>
          <w:sz w:val="28"/>
          <w:szCs w:val="28"/>
          <w:rtl/>
        </w:rPr>
        <w:t xml:space="preserve">تهران؛ ملک؛ شماره نسخه: ۶۱۵۱/۸۹</w:t>
      </w:r>
    </w:p>
    <w:p>
      <w:pPr>
        <w:pStyle w:val="BookText"/>
      </w:pPr>
      <w:r>
        <w:rPr>
          <w:rFonts w:ascii="IRNazanin" w:hAnsi="IRNazanin" w:eastAsia="IRNazanin" w:cs="IRNazanin"/>
          <w:lang w:bidi="fa-IR"/>
          <w:color w:val="111111"/>
          <w:sz w:val="28"/>
          <w:szCs w:val="28"/>
          <w:rtl/>
        </w:rPr>
        <w:t xml:space="preserve">خط: نسخ، بی کا، تا: قرن ۱۳؛ اص (۲۷۱) [ف: ۹-۱۹۸)</w:t>
      </w:r>
    </w:p>
    <w:p>
      <w:pPr>
        <w:pStyle w:val="BookText"/>
      </w:pPr>
      <w:r>
        <w:rPr>
          <w:rFonts w:ascii="IRNazanin" w:hAnsi="IRNazanin" w:eastAsia="IRNazanin" w:cs="IRNazanin"/>
          <w:lang w:bidi="fa-IR"/>
          <w:color w:val="111111"/>
          <w:sz w:val="28"/>
          <w:szCs w:val="28"/>
          <w:rtl/>
        </w:rPr>
        <w:t xml:space="preserve">و بنای بت پرستی و آغاز آتش پرستی / تاریخ / فارسی</w:t>
      </w:r>
    </w:p>
    <w:p>
      <w:pPr>
        <w:pStyle w:val="BookText"/>
      </w:pPr>
      <w:r>
        <w:rPr>
          <w:rFonts w:ascii="Times New Roman" w:hAnsi="Times New Roman" w:eastAsia="Times New Roman" w:cs="Times New Roman"/>
          <w:lang w:val="en-US" w:bidi="en-US"/>
          <w:color w:val="111111"/>
          <w:sz w:val="28"/>
          <w:szCs w:val="28"/>
          <w:rtl/>
        </w:rPr>
        <w:t xml:space="preserve">banā-ye bot-parastī va āqāz-e ātaš-parasti</w:t>
      </w:r>
    </w:p>
    <w:p>
      <w:pPr>
        <w:pStyle w:val="BookText"/>
      </w:pPr>
      <w:r>
        <w:rPr>
          <w:rFonts w:ascii="IRNazanin" w:hAnsi="IRNazanin" w:eastAsia="IRNazanin" w:cs="IRNazanin"/>
          <w:lang w:bidi="fa-IR"/>
          <w:color w:val="111111"/>
          <w:sz w:val="28"/>
          <w:szCs w:val="28"/>
          <w:rtl/>
        </w:rPr>
        <w:t xml:space="preserve">تهران؛ ملک؛ شماره نسخه: ۲۸۴۲/۴۶</w:t>
      </w:r>
    </w:p>
    <w:p>
      <w:pPr>
        <w:pStyle w:val="BookText"/>
      </w:pPr>
      <w:r>
        <w:rPr>
          <w:rFonts w:ascii="IRNazanin" w:hAnsi="IRNazanin" w:eastAsia="IRNazanin" w:cs="IRNazanin"/>
          <w:lang w:bidi="fa-IR"/>
          <w:color w:val="111111"/>
          <w:sz w:val="28"/>
          <w:szCs w:val="28"/>
          <w:rtl/>
        </w:rPr>
        <w:t xml:space="preserve">کا: ابوالقاسم وفا، تا: قرن ۱۳ [ف: ۶-۱۳۴]</w:t>
      </w:r>
    </w:p>
    <w:p>
      <w:pPr>
        <w:pStyle w:val="Heading3"/>
      </w:pPr>
      <w:bookmarkStart w:id="976" w:name="_Toc236"/>
      <w:r>
        <w:t>• بنای عالی و دیدنی سرهنگ آباد اردستان = چهل ستون / تاریخ ایران / فارسی</w:t>
      </w:r>
      <w:bookmarkEnd w:id="976"/>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4" w:name="pg20363_209244"/>
    <w:bookmarkEnd w:id="84"/>
    <w:p>
      <w:pPr>
        <w:pStyle w:val="BookText"/>
      </w:pPr>
      <w:r>
        <w:rPr>
          <w:rFonts w:ascii="Times New Roman" w:hAnsi="Times New Roman" w:eastAsia="Times New Roman" w:cs="Times New Roman"/>
          <w:lang w:val="en-US" w:bidi="en-US"/>
          <w:color w:val="111111"/>
          <w:sz w:val="28"/>
          <w:szCs w:val="28"/>
          <w:rtl/>
        </w:rPr>
        <w:t xml:space="preserve">banā-ye 'ālī va dīdanī-ye sarhang-ābād-e ardestān = čehel-sotūn</w:t>
      </w:r>
    </w:p>
    <w:p>
      <w:pPr>
        <w:pStyle w:val="BookText"/>
      </w:pPr>
      <w:r>
        <w:rPr>
          <w:rFonts w:ascii="IRNazanin" w:hAnsi="IRNazanin" w:eastAsia="IRNazanin" w:cs="IRNazanin"/>
          <w:lang w:bidi="fa-IR"/>
          <w:color w:val="111111"/>
          <w:sz w:val="28"/>
          <w:szCs w:val="28"/>
          <w:rtl/>
        </w:rPr>
        <w:t xml:space="preserve">شفیعی اردستانی، مرتضی بن احمد، ق ۱۴ شمسی</w:t>
      </w:r>
    </w:p>
    <w:p>
      <w:pPr>
        <w:pStyle w:val="BookText"/>
      </w:pPr>
      <w:r>
        <w:rPr>
          <w:rFonts w:ascii="Times New Roman" w:hAnsi="Times New Roman" w:eastAsia="Times New Roman" w:cs="Times New Roman"/>
          <w:lang w:val="en-US" w:bidi="en-US"/>
          <w:color w:val="111111"/>
          <w:sz w:val="28"/>
          <w:szCs w:val="28"/>
          <w:rtl/>
        </w:rPr>
        <w:t xml:space="preserve">safi'i ardestani, morteza ebn-e ahmad (- 20c)</w:t>
      </w:r>
    </w:p>
    <w:p>
      <w:pPr>
        <w:pStyle w:val="BookText"/>
      </w:pPr>
      <w:r>
        <w:rPr>
          <w:rFonts w:ascii="IRNazanin" w:hAnsi="IRNazanin" w:eastAsia="IRNazanin" w:cs="IRNazanin"/>
          <w:lang w:bidi="fa-IR"/>
          <w:color w:val="111111"/>
          <w:sz w:val="28"/>
          <w:szCs w:val="28"/>
          <w:rtl/>
        </w:rPr>
        <w:t xml:space="preserve">تاریخ تأليف: دوشنبه ۲۱ جمادی الثانی ۱۴۱۹ق رساله ای است کوتاه در تاریخ و توصیف بنای عالی و دیدنی رؤسای سرهنگ آباد اردستان که چهل ستون نام دارد و در یکصد و نوزده سال پیش( از تاریخ تألیف این رساله) به صورت زیبایی ساخته شده است.</w:t>
      </w:r>
    </w:p>
    <w:p>
      <w:pPr>
        <w:pStyle w:val="BookText"/>
      </w:pPr>
      <w:r>
        <w:rPr>
          <w:rFonts w:ascii="IRNazanin" w:hAnsi="IRNazanin" w:eastAsia="IRNazanin" w:cs="IRNazanin"/>
          <w:lang w:bidi="fa-IR"/>
          <w:color w:val="111111"/>
          <w:sz w:val="28"/>
          <w:szCs w:val="28"/>
          <w:rtl/>
        </w:rPr>
        <w:t xml:space="preserve">قم؛ مرعشی؛ شماره نسخه: ۱۲۶۹۷</w:t>
      </w:r>
    </w:p>
    <w:p>
      <w:pPr>
        <w:pStyle w:val="BookText"/>
      </w:pPr>
      <w:r>
        <w:rPr>
          <w:rFonts w:ascii="IRNazanin" w:hAnsi="IRNazanin" w:eastAsia="IRNazanin" w:cs="IRNazanin"/>
          <w:lang w:bidi="fa-IR"/>
          <w:color w:val="111111"/>
          <w:sz w:val="28"/>
          <w:szCs w:val="28"/>
          <w:rtl/>
        </w:rPr>
        <w:t xml:space="preserve">آغاز: روستای سرهنگ آباد از توابع دهستان سفلای بخش زواره اردستان است، این روستا در منطقه کوهستانی و خوش آب و هوا.؛ انجام: سید سرهنگ آبادی به سال ۱۳۳۵ هجری قمری در آن روستا وفات یافته است.</w:t>
      </w:r>
    </w:p>
    <w:p>
      <w:pPr>
        <w:pStyle w:val="BookText"/>
      </w:pPr>
      <w:r>
        <w:rPr>
          <w:rFonts w:ascii="IRNazanin" w:hAnsi="IRNazanin" w:eastAsia="IRNazanin" w:cs="IRNazanin"/>
          <w:lang w:bidi="fa-IR"/>
          <w:color w:val="111111"/>
          <w:sz w:val="28"/>
          <w:szCs w:val="28"/>
          <w:rtl/>
        </w:rPr>
        <w:t xml:space="preserve">خط: نستعلیق، بی کا، تا: دوشنبه ۲۱ جمادی الثانی ۱۴۱۹ق؛ مجدول؛ کاغذ: ایرانی جدید (دفتری خط دار)، جلد: مقوای زرد با روکش پلاستیک، ۱۰گ، ۱۰ سطر (۱۷</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۱۶)،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۳۲-۲۸۳]</w:t>
      </w:r>
    </w:p>
    <w:p>
      <w:pPr>
        <w:pStyle w:val="Heading3"/>
      </w:pPr>
      <w:bookmarkStart w:id="977" w:name="_Toc237"/>
      <w:r>
        <w:t>•بنای مکه و بیت المقدس / جغرافيا / فارسی</w:t>
      </w:r>
      <w:bookmarkEnd w:id="977"/>
    </w:p>
    <w:p>
      <w:pPr>
        <w:pStyle w:val="BookText"/>
      </w:pPr>
      <w:r>
        <w:rPr>
          <w:rFonts w:ascii="Times New Roman" w:hAnsi="Times New Roman" w:eastAsia="Times New Roman" w:cs="Times New Roman"/>
          <w:lang w:val="en-US" w:bidi="en-US"/>
          <w:color w:val="111111"/>
          <w:sz w:val="28"/>
          <w:szCs w:val="28"/>
          <w:rtl/>
        </w:rPr>
        <w:t xml:space="preserve">banā-ye makke va beyt-ol-moqaddas</w:t>
      </w:r>
    </w:p>
    <w:p>
      <w:pPr>
        <w:pStyle w:val="BookText"/>
      </w:pPr>
      <w:r>
        <w:rPr>
          <w:rFonts w:ascii="IRNazanin" w:hAnsi="IRNazanin" w:eastAsia="IRNazanin" w:cs="IRNazanin"/>
          <w:lang w:bidi="fa-IR"/>
          <w:color w:val="111111"/>
          <w:sz w:val="28"/>
          <w:szCs w:val="28"/>
          <w:rtl/>
        </w:rPr>
        <w:t xml:space="preserve">اعتضادالسلطنه، علیقلی بن فتحعلی، ۲۱۲۳۴-۱۲۹۸  قمری</w:t>
      </w:r>
    </w:p>
    <w:p>
      <w:pPr>
        <w:pStyle w:val="BookText"/>
      </w:pPr>
      <w:r>
        <w:rPr>
          <w:rFonts w:ascii="Times New Roman" w:hAnsi="Times New Roman" w:eastAsia="Times New Roman" w:cs="Times New Roman"/>
          <w:lang w:val="en-US" w:bidi="en-US"/>
          <w:color w:val="111111"/>
          <w:sz w:val="28"/>
          <w:szCs w:val="28"/>
          <w:rtl/>
        </w:rPr>
        <w:t xml:space="preserve">e'tezād-os-saltane, ‘alī-qolī ebn-e fath-‘alī (1819-1881)</w:t>
      </w:r>
    </w:p>
    <w:p>
      <w:pPr>
        <w:pStyle w:val="BookText"/>
      </w:pPr>
      <w:r>
        <w:rPr>
          <w:rFonts w:ascii="IRNazanin" w:hAnsi="IRNazanin" w:eastAsia="IRNazanin" w:cs="IRNazanin"/>
          <w:lang w:bidi="fa-IR"/>
          <w:color w:val="111111"/>
          <w:sz w:val="28"/>
          <w:szCs w:val="28"/>
          <w:rtl/>
        </w:rPr>
        <w:t xml:space="preserve">تهران؛ ملک؛ شماره نسخه: ۶۱۵۱/۱۲</w:t>
      </w:r>
    </w:p>
    <w:p>
      <w:pPr>
        <w:pStyle w:val="BookText"/>
      </w:pPr>
      <w:r>
        <w:rPr>
          <w:rFonts w:ascii="IRNazanin" w:hAnsi="IRNazanin" w:eastAsia="IRNazanin" w:cs="IRNazanin"/>
          <w:lang w:bidi="fa-IR"/>
          <w:color w:val="111111"/>
          <w:sz w:val="28"/>
          <w:szCs w:val="28"/>
          <w:rtl/>
        </w:rPr>
        <w:t xml:space="preserve">خط: نسخ، بی کا، تا: قرن ۱۳ [ف: ۹-۱۹۵]</w:t>
      </w:r>
    </w:p>
    <w:p>
      <w:pPr>
        <w:pStyle w:val="Heading3"/>
      </w:pPr>
      <w:bookmarkStart w:id="978" w:name="_Toc238"/>
      <w:r>
        <w:t>• بنچاق معاملات و قبالات و نامه ها / اسناد / فارسی</w:t>
      </w:r>
      <w:bookmarkEnd w:id="978"/>
    </w:p>
    <w:p>
      <w:pPr>
        <w:pStyle w:val="BookText"/>
      </w:pPr>
      <w:r>
        <w:rPr>
          <w:rFonts w:ascii="Times New Roman" w:hAnsi="Times New Roman" w:eastAsia="Times New Roman" w:cs="Times New Roman"/>
          <w:lang w:val="en-US" w:bidi="en-US"/>
          <w:color w:val="111111"/>
          <w:sz w:val="28"/>
          <w:szCs w:val="28"/>
          <w:rtl/>
        </w:rPr>
        <w:t xml:space="preserve">bončāq-e mo‘āmelāt va qabālāt va nāme-hā</w:t>
      </w:r>
    </w:p>
    <w:p>
      <w:pPr>
        <w:pStyle w:val="BookText"/>
      </w:pPr>
      <w:r>
        <w:rPr>
          <w:rFonts w:ascii="IRNazanin" w:hAnsi="IRNazanin" w:eastAsia="IRNazanin" w:cs="IRNazanin"/>
          <w:lang w:bidi="fa-IR"/>
          <w:color w:val="111111"/>
          <w:sz w:val="28"/>
          <w:szCs w:val="28"/>
          <w:rtl/>
        </w:rPr>
        <w:t xml:space="preserve">بنچاق معاملات و قبالات و نامه ها که جداگانه فهرست خواهد شد.</w:t>
      </w:r>
    </w:p>
    <w:p>
      <w:pPr>
        <w:pStyle w:val="BookText"/>
      </w:pPr>
      <w:r>
        <w:rPr>
          <w:rFonts w:ascii="IRNazanin" w:hAnsi="IRNazanin" w:eastAsia="IRNazanin" w:cs="IRNazanin"/>
          <w:lang w:bidi="fa-IR"/>
          <w:color w:val="111111"/>
          <w:sz w:val="28"/>
          <w:szCs w:val="28"/>
          <w:rtl/>
        </w:rPr>
        <w:t xml:space="preserve">تهران؛ دانشگاه؛ شماره نسخه: ۸۷۴۵</w:t>
      </w:r>
    </w:p>
    <w:p>
      <w:pPr>
        <w:pStyle w:val="BookText"/>
      </w:pPr>
      <w:r>
        <w:rPr>
          <w:rFonts w:ascii="IRNazanin" w:hAnsi="IRNazanin" w:eastAsia="IRNazanin" w:cs="IRNazanin"/>
          <w:lang w:bidi="fa-IR"/>
          <w:color w:val="111111"/>
          <w:sz w:val="28"/>
          <w:szCs w:val="28"/>
          <w:rtl/>
        </w:rPr>
        <w:t xml:space="preserve">بی کا، بی تا [ف: ۱۷-۲۱۰]</w:t>
      </w:r>
    </w:p>
    <w:p>
      <w:pPr>
        <w:pStyle w:val="BookText"/>
      </w:pPr>
      <w:r>
        <w:rPr>
          <w:rFonts w:ascii="IRNazanin" w:hAnsi="IRNazanin" w:eastAsia="IRNazanin" w:cs="IRNazanin"/>
          <w:lang w:bidi="fa-IR"/>
          <w:color w:val="111111"/>
          <w:sz w:val="28"/>
          <w:szCs w:val="28"/>
          <w:rtl/>
        </w:rPr>
        <w:t xml:space="preserve">← بندگی ← آداب بندگی</w:t>
      </w:r>
    </w:p>
    <w:p>
      <w:pPr>
        <w:pStyle w:val="Heading3"/>
      </w:pPr>
      <w:bookmarkStart w:id="979" w:name="_Toc239"/>
      <w:r>
        <w:t>• بندهش آفرینش نامه = زند آگاهی / کلام و اعتقادات / فارسی</w:t>
      </w:r>
      <w:bookmarkEnd w:id="979"/>
    </w:p>
    <w:p>
      <w:pPr>
        <w:pStyle w:val="BookText"/>
      </w:pPr>
      <w:r>
        <w:rPr>
          <w:rFonts w:ascii="Times New Roman" w:hAnsi="Times New Roman" w:eastAsia="Times New Roman" w:cs="Times New Roman"/>
          <w:lang w:val="en-US" w:bidi="en-US"/>
          <w:color w:val="111111"/>
          <w:sz w:val="28"/>
          <w:szCs w:val="28"/>
          <w:rtl/>
        </w:rPr>
        <w:t xml:space="preserve">bondaheš-e āfarīneš-nāme = zand-āgāhī</w:t>
      </w:r>
    </w:p>
    <w:p>
      <w:pPr>
        <w:pStyle w:val="BookText"/>
      </w:pPr>
      <w:r>
        <w:rPr>
          <w:rFonts w:ascii="IRNazanin" w:hAnsi="IRNazanin" w:eastAsia="IRNazanin" w:cs="IRNazanin"/>
          <w:lang w:bidi="fa-IR"/>
          <w:color w:val="111111"/>
          <w:sz w:val="28"/>
          <w:szCs w:val="28"/>
          <w:rtl/>
        </w:rPr>
        <w:t xml:space="preserve">۱. تهران؛ مطالعات فرهنگی؛ شماره نسخه: ف۵</w:t>
      </w:r>
    </w:p>
    <w:p>
      <w:pPr>
        <w:pStyle w:val="BookText"/>
      </w:pPr>
      <w:r>
        <w:rPr>
          <w:rFonts w:ascii="IRNazanin" w:hAnsi="IRNazanin" w:eastAsia="IRNazanin" w:cs="IRNazanin"/>
          <w:lang w:bidi="fa-IR"/>
          <w:color w:val="111111"/>
          <w:sz w:val="28"/>
          <w:szCs w:val="28"/>
          <w:rtl/>
        </w:rPr>
        <w:t xml:space="preserve">چاپ فردیناند پوستی ( </w:t>
      </w:r>
      <w:r>
        <w:rPr>
          <w:rFonts w:ascii="Times New Roman" w:hAnsi="Times New Roman" w:eastAsia="Times New Roman" w:cs="Times New Roman"/>
          <w:lang w:val="en-US" w:bidi="en-US"/>
          <w:color w:val="111111"/>
          <w:sz w:val="28"/>
          <w:szCs w:val="28"/>
          <w:rtl/>
        </w:rPr>
        <w:t xml:space="preserve">F. Justi) </w:t>
      </w:r>
      <w:r>
        <w:rPr>
          <w:rFonts w:ascii="IRNazanin" w:hAnsi="IRNazanin" w:eastAsia="IRNazanin" w:cs="IRNazanin"/>
          <w:lang w:bidi="fa-IR"/>
          <w:color w:val="111111"/>
          <w:sz w:val="28"/>
          <w:szCs w:val="28"/>
          <w:rtl/>
        </w:rPr>
        <w:t xml:space="preserve">در لایپزیک در ۱۸۶۸؛ بی کا بی تاب (ع ۶۸ و ۶۹) [فهرستواره مینوی: ۱۶۳]</w:t>
      </w:r>
    </w:p>
    <w:p>
      <w:pPr>
        <w:pStyle w:val="BookText"/>
      </w:pPr>
      <w:r>
        <w:rPr>
          <w:rFonts w:ascii="IRNazanin" w:hAnsi="IRNazanin" w:eastAsia="IRNazanin" w:cs="IRNazanin"/>
          <w:lang w:bidi="fa-IR"/>
          <w:color w:val="111111"/>
          <w:sz w:val="28"/>
          <w:szCs w:val="28"/>
          <w:rtl/>
        </w:rPr>
        <w:t xml:space="preserve">۲. تهران: مطالعات فرهنگی؛ شماره نسخه: ف۴</w:t>
      </w:r>
    </w:p>
    <w:p>
      <w:pPr>
        <w:pStyle w:val="BookText"/>
      </w:pPr>
      <w:r>
        <w:rPr>
          <w:rFonts w:ascii="IRNazanin" w:hAnsi="IRNazanin" w:eastAsia="IRNazanin" w:cs="IRNazanin"/>
          <w:lang w:bidi="fa-IR"/>
          <w:color w:val="111111"/>
          <w:sz w:val="28"/>
          <w:szCs w:val="28"/>
          <w:rtl/>
        </w:rPr>
        <w:t xml:space="preserve">پاریس 2043 . </w:t>
      </w:r>
      <w:r>
        <w:rPr>
          <w:rFonts w:ascii="Times New Roman" w:hAnsi="Times New Roman" w:eastAsia="Times New Roman" w:cs="Times New Roman"/>
          <w:lang w:val="en-US" w:bidi="en-US"/>
          <w:color w:val="111111"/>
          <w:sz w:val="28"/>
          <w:szCs w:val="28"/>
          <w:rtl/>
        </w:rPr>
        <w:t xml:space="preserve">S. P (</w:t>
      </w:r>
      <w:r>
        <w:rPr>
          <w:rFonts w:ascii="IRNazanin" w:hAnsi="IRNazanin" w:eastAsia="IRNazanin" w:cs="IRNazanin"/>
          <w:lang w:bidi="fa-IR"/>
          <w:color w:val="111111"/>
          <w:sz w:val="28"/>
          <w:szCs w:val="28"/>
          <w:rtl/>
        </w:rPr>
        <w:t xml:space="preserve">بلوشه ۲۱۴/۴ ش ۲۲۷)؛ بی کا، بی تا [فهرستواره مینوی: ۱۶۳]</w:t>
      </w:r>
    </w:p>
    <w:p>
      <w:pPr>
        <w:pStyle w:val="Heading3"/>
      </w:pPr>
      <w:bookmarkStart w:id="980" w:name="_Toc240"/>
      <w:r>
        <w:t>• بندهشن / ادبیات / فارسی</w:t>
      </w:r>
      <w:bookmarkEnd w:id="980"/>
    </w:p>
    <w:p>
      <w:pPr>
        <w:pStyle w:val="BookText"/>
      </w:pPr>
      <w:r>
        <w:rPr>
          <w:rFonts w:ascii="Times New Roman" w:hAnsi="Times New Roman" w:eastAsia="Times New Roman" w:cs="Times New Roman"/>
          <w:lang w:val="en-US" w:bidi="en-US"/>
          <w:color w:val="111111"/>
          <w:sz w:val="28"/>
          <w:szCs w:val="28"/>
          <w:rtl/>
        </w:rPr>
        <w:t xml:space="preserve">bondahešn</w:t>
      </w:r>
    </w:p>
    <w:p>
      <w:pPr>
        <w:pStyle w:val="BookText"/>
      </w:pPr>
      <w:r>
        <w:rPr>
          <w:rFonts w:ascii="IRNazanin" w:hAnsi="IRNazanin" w:eastAsia="IRNazanin" w:cs="IRNazanin"/>
          <w:lang w:bidi="fa-IR"/>
          <w:color w:val="111111"/>
          <w:sz w:val="28"/>
          <w:szCs w:val="28"/>
          <w:rtl/>
        </w:rPr>
        <w:t xml:space="preserve">تهران؛ دانشگاه؛ شماره نسخه: ۱۲۷۹/۱- ف</w:t>
      </w:r>
    </w:p>
    <w:p>
      <w:pPr>
        <w:pStyle w:val="BookText"/>
      </w:pPr>
      <w:r>
        <w:rPr>
          <w:rFonts w:ascii="IRNazanin" w:hAnsi="IRNazanin" w:eastAsia="IRNazanin" w:cs="IRNazanin"/>
          <w:lang w:bidi="fa-IR"/>
          <w:color w:val="111111"/>
          <w:sz w:val="28"/>
          <w:szCs w:val="28"/>
          <w:rtl/>
        </w:rPr>
        <w:t xml:space="preserve">نسخه اصل: موزه بریتانیا 22378 .</w:t>
      </w:r>
      <w:r>
        <w:rPr>
          <w:rFonts w:ascii="Times New Roman" w:hAnsi="Times New Roman" w:eastAsia="Times New Roman" w:cs="Times New Roman"/>
          <w:lang w:val="en-US" w:bidi="en-US"/>
          <w:color w:val="111111"/>
          <w:sz w:val="28"/>
          <w:szCs w:val="28"/>
          <w:rtl/>
        </w:rPr>
        <w:t xml:space="preserve">Add (</w:t>
      </w:r>
      <w:r>
        <w:rPr>
          <w:rFonts w:ascii="IRNazanin" w:hAnsi="IRNazanin" w:eastAsia="IRNazanin" w:cs="IRNazanin"/>
          <w:lang w:bidi="fa-IR"/>
          <w:color w:val="111111"/>
          <w:sz w:val="28"/>
          <w:szCs w:val="28"/>
          <w:rtl/>
        </w:rPr>
        <w:t xml:space="preserve">ریو ۵۱)؛ خط: نستعلیق، بی کا، بی تا، ۱۶ سطر [فیلمها ف: ۱- ۵۸۹]</w:t>
      </w:r>
    </w:p>
    <w:p>
      <w:pPr>
        <w:pStyle w:val="Heading3"/>
      </w:pPr>
      <w:bookmarkStart w:id="981" w:name="_Toc241"/>
      <w:r>
        <w:t>•بندهشن (بندی از) / ادبیات / فارسی</w:t>
      </w:r>
      <w:bookmarkEnd w:id="981"/>
    </w:p>
    <w:p>
      <w:pPr>
        <w:pStyle w:val="BookText"/>
      </w:pPr>
      <w:r>
        <w:rPr>
          <w:rFonts w:ascii="Times New Roman" w:hAnsi="Times New Roman" w:eastAsia="Times New Roman" w:cs="Times New Roman"/>
          <w:lang w:val="en-US" w:bidi="en-US"/>
          <w:color w:val="111111"/>
          <w:sz w:val="28"/>
          <w:szCs w:val="28"/>
          <w:rtl/>
        </w:rPr>
        <w:t xml:space="preserve">bondahešn (bandī az)</w:t>
      </w:r>
    </w:p>
    <w:p>
      <w:pPr>
        <w:pStyle w:val="BookText"/>
      </w:pPr>
      <w:r>
        <w:rPr>
          <w:rFonts w:ascii="IRNazanin" w:hAnsi="IRNazanin" w:eastAsia="IRNazanin" w:cs="IRNazanin"/>
          <w:lang w:bidi="fa-IR"/>
          <w:color w:val="111111"/>
          <w:sz w:val="28"/>
          <w:szCs w:val="28"/>
          <w:rtl/>
        </w:rPr>
        <w:t xml:space="preserve">تهران؛ دانشگاه؛ شماره نسخه: ۹۱۴/۵ -ف</w:t>
      </w:r>
    </w:p>
    <w:p>
      <w:pPr>
        <w:pStyle w:val="BookText"/>
      </w:pPr>
      <w:r>
        <w:rPr>
          <w:rFonts w:ascii="IRNazanin" w:hAnsi="IRNazanin" w:eastAsia="IRNazanin" w:cs="IRNazanin"/>
          <w:lang w:bidi="fa-IR"/>
          <w:color w:val="111111"/>
          <w:sz w:val="28"/>
          <w:szCs w:val="28"/>
          <w:rtl/>
        </w:rPr>
        <w:t xml:space="preserve">نسخه اصل: پاریس 1022 . </w:t>
      </w:r>
      <w:r>
        <w:rPr>
          <w:rFonts w:ascii="Times New Roman" w:hAnsi="Times New Roman" w:eastAsia="Times New Roman" w:cs="Times New Roman"/>
          <w:lang w:val="en-US" w:bidi="en-US"/>
          <w:color w:val="111111"/>
          <w:sz w:val="28"/>
          <w:szCs w:val="28"/>
          <w:rtl/>
        </w:rPr>
        <w:t xml:space="preserve">S. P (</w:t>
      </w:r>
      <w:r>
        <w:rPr>
          <w:rFonts w:ascii="IRNazanin" w:hAnsi="IRNazanin" w:eastAsia="IRNazanin" w:cs="IRNazanin"/>
          <w:lang w:bidi="fa-IR"/>
          <w:color w:val="111111"/>
          <w:sz w:val="28"/>
          <w:szCs w:val="28"/>
          <w:rtl/>
        </w:rPr>
        <w:t xml:space="preserve">پلوشه ش ۲۰۹)؛ خط: نستعلیق، بی کا، بی تا؛ ۱۵ سطر [فیلمها ف: ۱-۵۴۷]</w:t>
      </w:r>
    </w:p>
    <w:p>
      <w:pPr>
        <w:pStyle w:val="Heading3"/>
      </w:pPr>
      <w:bookmarkStart w:id="982" w:name="_Toc242"/>
      <w:r>
        <w:t>• بندی از آقا محمد بیدآبادی / عرفان و تصوف / فارسی</w:t>
      </w:r>
      <w:bookmarkEnd w:id="982"/>
    </w:p>
    <w:p>
      <w:pPr>
        <w:pStyle w:val="BookText"/>
      </w:pPr>
      <w:r>
        <w:rPr>
          <w:rFonts w:ascii="Times New Roman" w:hAnsi="Times New Roman" w:eastAsia="Times New Roman" w:cs="Times New Roman"/>
          <w:lang w:val="en-US" w:bidi="en-US"/>
          <w:color w:val="111111"/>
          <w:sz w:val="28"/>
          <w:szCs w:val="28"/>
          <w:rtl/>
        </w:rPr>
        <w:t xml:space="preserve">bandī az āqā mohammad-e bīd-ābādī... .</w:t>
      </w:r>
    </w:p>
    <w:p>
      <w:pPr>
        <w:pStyle w:val="BookText"/>
      </w:pPr>
      <w:r>
        <w:rPr>
          <w:rFonts w:ascii="IRNazanin" w:hAnsi="IRNazanin" w:eastAsia="IRNazanin" w:cs="IRNazanin"/>
          <w:lang w:bidi="fa-IR"/>
          <w:color w:val="111111"/>
          <w:sz w:val="28"/>
          <w:szCs w:val="28"/>
          <w:rtl/>
        </w:rPr>
        <w:t xml:space="preserve">بید آبادی، محمد بن محمد رفیع،-۱۱۹۷ قمری</w:t>
      </w:r>
    </w:p>
    <w:p>
      <w:pPr>
        <w:pStyle w:val="BookText"/>
      </w:pPr>
      <w:r>
        <w:rPr>
          <w:rFonts w:ascii="Times New Roman" w:hAnsi="Times New Roman" w:eastAsia="Times New Roman" w:cs="Times New Roman"/>
          <w:lang w:val="en-US" w:bidi="en-US"/>
          <w:color w:val="111111"/>
          <w:sz w:val="28"/>
          <w:szCs w:val="28"/>
          <w:rtl/>
        </w:rPr>
        <w:t xml:space="preserve">bīd-ābādī, mohammad ebn-e mohammad rafi- (- 1783)</w:t>
      </w:r>
    </w:p>
    <w:p>
      <w:pPr>
        <w:pStyle w:val="BookText"/>
      </w:pPr>
      <w:r>
        <w:rPr>
          <w:rFonts w:ascii="IRNazanin" w:hAnsi="IRNazanin" w:eastAsia="IRNazanin" w:cs="IRNazanin"/>
          <w:lang w:bidi="fa-IR"/>
          <w:color w:val="111111"/>
          <w:sz w:val="28"/>
          <w:szCs w:val="28"/>
          <w:rtl/>
        </w:rPr>
        <w:t xml:space="preserve">تهران؛ ادبیات؛ شماره نسخه: ۲۶۷/۲۳ حکمت</w:t>
      </w:r>
    </w:p>
    <w:p>
      <w:pPr>
        <w:pStyle w:val="BookText"/>
      </w:pPr>
      <w:r>
        <w:rPr>
          <w:rFonts w:ascii="IRNazanin" w:hAnsi="IRNazanin" w:eastAsia="IRNazanin" w:cs="IRNazanin"/>
          <w:lang w:bidi="fa-IR"/>
          <w:color w:val="111111"/>
          <w:sz w:val="28"/>
          <w:szCs w:val="28"/>
          <w:rtl/>
        </w:rPr>
        <w:t xml:space="preserve">خط: نستعلیق، بی کا، تا: قرن ۱۴؛ جلد: مقوا عطف تیماج، قطع: ربعی [ف: ۲-۵۸]</w:t>
      </w:r>
    </w:p>
    <w:p>
      <w:pPr>
        <w:pStyle w:val="Heading3"/>
      </w:pPr>
      <w:bookmarkStart w:id="983" w:name="_Toc243"/>
      <w:r>
        <w:t>• بندی از ابوالعباس مستغفری / عربی</w:t>
      </w:r>
      <w:bookmarkEnd w:id="983"/>
    </w:p>
    <w:p>
      <w:pPr>
        <w:pStyle w:val="BookText"/>
      </w:pPr>
      <w:r>
        <w:rPr>
          <w:rFonts w:ascii="Times New Roman" w:hAnsi="Times New Roman" w:eastAsia="Times New Roman" w:cs="Times New Roman"/>
          <w:lang w:val="en-US" w:bidi="en-US"/>
          <w:color w:val="111111"/>
          <w:sz w:val="28"/>
          <w:szCs w:val="28"/>
          <w:rtl/>
        </w:rPr>
        <w:t xml:space="preserve">bandī az abo-l-'abbās-e mostaqferī</w:t>
      </w:r>
    </w:p>
    <w:p>
      <w:pPr>
        <w:pStyle w:val="BookText"/>
      </w:pPr>
      <w:r>
        <w:rPr>
          <w:rFonts w:ascii="IRNazanin" w:hAnsi="IRNazanin" w:eastAsia="IRNazanin" w:cs="IRNazanin"/>
          <w:lang w:bidi="fa-IR"/>
          <w:color w:val="111111"/>
          <w:sz w:val="28"/>
          <w:szCs w:val="28"/>
          <w:rtl/>
        </w:rPr>
        <w:t xml:space="preserve">مستغفری، جعفر بن محمد، ۳۵۰-۴۳۲ قمری</w:t>
      </w:r>
    </w:p>
    <w:p>
      <w:pPr>
        <w:pStyle w:val="BookText"/>
      </w:pPr>
      <w:r>
        <w:rPr>
          <w:rFonts w:ascii="Times New Roman" w:hAnsi="Times New Roman" w:eastAsia="Times New Roman" w:cs="Times New Roman"/>
          <w:lang w:val="en-US" w:bidi="en-US"/>
          <w:color w:val="111111"/>
          <w:sz w:val="28"/>
          <w:szCs w:val="28"/>
          <w:rtl/>
        </w:rPr>
        <w:t xml:space="preserve">mostaqferī, ja'far ebn-e mohammad (962-1041)</w:t>
      </w:r>
    </w:p>
    <w:p>
      <w:pPr>
        <w:pStyle w:val="BookText"/>
      </w:pPr>
      <w:r>
        <w:rPr>
          <w:rFonts w:ascii="IRNazanin" w:hAnsi="IRNazanin" w:eastAsia="IRNazanin" w:cs="IRNazanin"/>
          <w:lang w:bidi="fa-IR"/>
          <w:color w:val="111111"/>
          <w:sz w:val="28"/>
          <w:szCs w:val="28"/>
          <w:rtl/>
        </w:rPr>
        <w:t xml:space="preserve">تهران، دانشگاه؛ شماره نسخه: ۴۴۱/۳۵ -ف</w:t>
      </w:r>
    </w:p>
    <w:p>
      <w:pPr>
        <w:pStyle w:val="BookText"/>
      </w:pPr>
      <w:r>
        <w:rPr>
          <w:rFonts w:ascii="IRNazanin" w:hAnsi="IRNazanin" w:eastAsia="IRNazanin" w:cs="IRNazanin"/>
          <w:lang w:bidi="fa-IR"/>
          <w:color w:val="111111"/>
          <w:sz w:val="28"/>
          <w:szCs w:val="28"/>
          <w:rtl/>
        </w:rPr>
        <w:t xml:space="preserve">نسخه اصل: بایزید ولی الدین ش ۱۸۱۹؛ بی کا، تا: قرن ۹. اگ (۱۷۳) [فيلمها ف: ۱-۴۷۵]</w:t>
      </w:r>
    </w:p>
    <w:p>
      <w:pPr>
        <w:pStyle w:val="Heading3"/>
      </w:pPr>
      <w:bookmarkStart w:id="984" w:name="_Toc244"/>
      <w:r>
        <w:t>• بندی از امام زین الدین ابی الحسن علی بن عبدالرحمن بن حیدر حلبی / کیمیا / عربی</w:t>
      </w:r>
      <w:bookmarkEnd w:id="984"/>
    </w:p>
    <w:p>
      <w:pPr>
        <w:pStyle w:val="BookText"/>
      </w:pPr>
      <w:r>
        <w:rPr>
          <w:rFonts w:ascii="Times New Roman" w:hAnsi="Times New Roman" w:eastAsia="Times New Roman" w:cs="Times New Roman"/>
          <w:lang w:val="en-US" w:bidi="en-US"/>
          <w:color w:val="111111"/>
          <w:sz w:val="28"/>
          <w:szCs w:val="28"/>
          <w:rtl/>
        </w:rPr>
        <w:t xml:space="preserve">bandī az emām zayn-od-dīn abe-l-hasan‘alī ebn-e ‘abd-or-rahmān ebn-e heydar-e halabī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5" w:name="pg20363_209245"/>
    <w:bookmarkEnd w:id="85"/>
    <w:p>
      <w:pPr>
        <w:pStyle w:val="BookText"/>
      </w:pPr>
      <w:r>
        <w:rPr>
          <w:rFonts w:ascii="IRNazanin" w:hAnsi="IRNazanin" w:eastAsia="IRNazanin" w:cs="IRNazanin"/>
          <w:lang w:bidi="fa-IR"/>
          <w:color w:val="111111"/>
          <w:sz w:val="28"/>
          <w:szCs w:val="28"/>
          <w:rtl/>
        </w:rPr>
        <w:t xml:space="preserve">تهران؛ مهدوی؛ شماره نسخه: ۳۱۵/۴</w:t>
      </w:r>
    </w:p>
    <w:p>
      <w:pPr>
        <w:pStyle w:val="BookText"/>
      </w:pPr>
      <w:r>
        <w:rPr>
          <w:rFonts w:ascii="IRNazanin" w:hAnsi="IRNazanin" w:eastAsia="IRNazanin" w:cs="IRNazanin"/>
          <w:lang w:bidi="fa-IR"/>
          <w:color w:val="111111"/>
          <w:sz w:val="28"/>
          <w:szCs w:val="28"/>
          <w:rtl/>
        </w:rPr>
        <w:t xml:space="preserve">خط: نستعلیق، بی کا، تا: قرن ۱۱ [نشریه: ۲-۱۱۰]</w:t>
      </w:r>
    </w:p>
    <w:p>
      <w:pPr>
        <w:pStyle w:val="Heading3"/>
      </w:pPr>
      <w:bookmarkStart w:id="985" w:name="_Toc245"/>
      <w:r>
        <w:t>• بندی از خواجه طوسی به فارسی به روش اسماعیلی / کلام و اعتقادات / فارسی</w:t>
      </w:r>
      <w:bookmarkEnd w:id="985"/>
    </w:p>
    <w:p>
      <w:pPr>
        <w:pStyle w:val="BookText"/>
      </w:pPr>
      <w:r>
        <w:rPr>
          <w:rFonts w:ascii="Times New Roman" w:hAnsi="Times New Roman" w:eastAsia="Times New Roman" w:cs="Times New Roman"/>
          <w:lang w:val="en-US" w:bidi="en-US"/>
          <w:color w:val="111111"/>
          <w:sz w:val="28"/>
          <w:szCs w:val="28"/>
          <w:rtl/>
        </w:rPr>
        <w:t xml:space="preserve">bandī az xāje-ye tūsī be fārsī be raveš-e esmāʻīlī</w:t>
      </w:r>
    </w:p>
    <w:p>
      <w:pPr>
        <w:pStyle w:val="BookText"/>
      </w:pPr>
      <w:r>
        <w:rPr>
          <w:rFonts w:ascii="IRNazanin" w:hAnsi="IRNazanin" w:eastAsia="IRNazanin" w:cs="IRNazanin"/>
          <w:lang w:bidi="fa-IR"/>
          <w:color w:val="111111"/>
          <w:sz w:val="28"/>
          <w:szCs w:val="28"/>
          <w:rtl/>
        </w:rPr>
        <w:t xml:space="preserve">نصیر الدین طوسی، محمد بن محمد، ۵۹۷-۶۷۲ قمری</w:t>
      </w:r>
    </w:p>
    <w:p>
      <w:pPr>
        <w:pStyle w:val="BookText"/>
      </w:pPr>
      <w:r>
        <w:rPr>
          <w:rFonts w:ascii="Times New Roman" w:hAnsi="Times New Roman" w:eastAsia="Times New Roman" w:cs="Times New Roman"/>
          <w:lang w:val="en-US" w:bidi="en-US"/>
          <w:color w:val="111111"/>
          <w:sz w:val="28"/>
          <w:szCs w:val="28"/>
          <w:rtl/>
        </w:rPr>
        <w:t xml:space="preserve">nasīr-od-dīn-e tūsī, mohammad ebn-e mohammad (1201-1274)</w:t>
      </w:r>
    </w:p>
    <w:p>
      <w:pPr>
        <w:pStyle w:val="BookText"/>
      </w:pPr>
      <w:r>
        <w:rPr>
          <w:rFonts w:ascii="IRNazanin" w:hAnsi="IRNazanin" w:eastAsia="IRNazanin" w:cs="IRNazanin"/>
          <w:lang w:bidi="fa-IR"/>
          <w:color w:val="111111"/>
          <w:sz w:val="28"/>
          <w:szCs w:val="28"/>
          <w:rtl/>
        </w:rPr>
        <w:t xml:space="preserve">ضمن مجموعه ای که چند اثر منظوم و غیر منظوم اسماعیلی وجود دارد و هیچ توضیحی در فهرست راجع به این بند منقول از خواجه ندارد. جز اینکه معلوم نکرده که این فیلم از چه نسخه ای است. احتمالا همان فواید کوتاه و یا عبارات منسوب به خواجه نصیر است که به روش اسماعیلیه نگاشته شده و به خواجه نصیر نسبت داده اند.</w:t>
      </w:r>
    </w:p>
    <w:p>
      <w:pPr>
        <w:pStyle w:val="BookText"/>
      </w:pPr>
      <w:r>
        <w:rPr>
          <w:rFonts w:ascii="IRNazanin" w:hAnsi="IRNazanin" w:eastAsia="IRNazanin" w:cs="IRNazanin"/>
          <w:lang w:bidi="fa-IR"/>
          <w:color w:val="111111"/>
          <w:sz w:val="28"/>
          <w:szCs w:val="28"/>
          <w:rtl/>
        </w:rPr>
        <w:t xml:space="preserve">تهران؛ دانشگاه؛ شماره نسخه: ۲۸۳۵/۶ -ف</w:t>
      </w:r>
    </w:p>
    <w:p>
      <w:pPr>
        <w:pStyle w:val="BookText"/>
      </w:pPr>
      <w:r>
        <w:rPr>
          <w:rFonts w:ascii="IRNazanin" w:hAnsi="IRNazanin" w:eastAsia="IRNazanin" w:cs="IRNazanin"/>
          <w:lang w:bidi="fa-IR"/>
          <w:color w:val="111111"/>
          <w:sz w:val="28"/>
          <w:szCs w:val="28"/>
          <w:rtl/>
        </w:rPr>
        <w:t xml:space="preserve">بی کا، بی تا، قطع: وزیری (فیلمها ف: ۱-۷۳۵]</w:t>
      </w:r>
    </w:p>
    <w:p>
      <w:pPr>
        <w:pStyle w:val="Heading3"/>
      </w:pPr>
      <w:bookmarkStart w:id="986" w:name="_Toc246"/>
      <w:r>
        <w:t>• بندی از سعدالدین کاشغری / شعر / فارسی</w:t>
      </w:r>
      <w:bookmarkEnd w:id="986"/>
    </w:p>
    <w:p>
      <w:pPr>
        <w:pStyle w:val="BookText"/>
      </w:pPr>
      <w:r>
        <w:rPr>
          <w:rFonts w:ascii="Times New Roman" w:hAnsi="Times New Roman" w:eastAsia="Times New Roman" w:cs="Times New Roman"/>
          <w:lang w:val="en-US" w:bidi="en-US"/>
          <w:color w:val="111111"/>
          <w:sz w:val="28"/>
          <w:szCs w:val="28"/>
          <w:rtl/>
        </w:rPr>
        <w:t xml:space="preserve">bandī az sa'd-od-dīn-e kāšqarī</w:t>
      </w:r>
    </w:p>
    <w:p>
      <w:pPr>
        <w:pStyle w:val="BookText"/>
      </w:pPr>
      <w:r>
        <w:rPr>
          <w:rFonts w:ascii="IRNazanin" w:hAnsi="IRNazanin" w:eastAsia="IRNazanin" w:cs="IRNazanin"/>
          <w:lang w:bidi="fa-IR"/>
          <w:color w:val="111111"/>
          <w:sz w:val="28"/>
          <w:szCs w:val="28"/>
          <w:rtl/>
        </w:rPr>
        <w:t xml:space="preserve">کاشغری، سعدالدين، -۸۶۲ قمری</w:t>
      </w:r>
    </w:p>
    <w:p>
      <w:pPr>
        <w:pStyle w:val="BookText"/>
      </w:pPr>
      <w:r>
        <w:rPr>
          <w:rFonts w:ascii="Times New Roman" w:hAnsi="Times New Roman" w:eastAsia="Times New Roman" w:cs="Times New Roman"/>
          <w:lang w:val="en-US" w:bidi="en-US"/>
          <w:color w:val="111111"/>
          <w:sz w:val="28"/>
          <w:szCs w:val="28"/>
          <w:rtl/>
        </w:rPr>
        <w:t xml:space="preserve">kāšqarī, sa'd-od-dīn (- 1458)</w:t>
      </w:r>
    </w:p>
    <w:p>
      <w:pPr>
        <w:pStyle w:val="BookText"/>
      </w:pPr>
      <w:r>
        <w:rPr>
          <w:rFonts w:ascii="IRNazanin" w:hAnsi="IRNazanin" w:eastAsia="IRNazanin" w:cs="IRNazanin"/>
          <w:lang w:bidi="fa-IR"/>
          <w:color w:val="111111"/>
          <w:sz w:val="28"/>
          <w:szCs w:val="28"/>
          <w:rtl/>
        </w:rPr>
        <w:t xml:space="preserve">تهران؛ مفتاح؛ شماره نسخه: ۸۹۰/۷</w:t>
      </w:r>
    </w:p>
    <w:p>
      <w:pPr>
        <w:pStyle w:val="BookText"/>
      </w:pPr>
      <w:r>
        <w:rPr>
          <w:rFonts w:ascii="IRNazanin" w:hAnsi="IRNazanin" w:eastAsia="IRNazanin" w:cs="IRNazanin"/>
          <w:lang w:bidi="fa-IR"/>
          <w:color w:val="111111"/>
          <w:sz w:val="28"/>
          <w:szCs w:val="28"/>
          <w:rtl/>
        </w:rPr>
        <w:t xml:space="preserve">بی کا، بی تا، قطع: ربعی [نشریه: ۷-۲۶۲]</w:t>
      </w:r>
    </w:p>
    <w:p>
      <w:pPr>
        <w:pStyle w:val="Heading3"/>
      </w:pPr>
      <w:bookmarkStart w:id="987" w:name="_Toc247"/>
      <w:r>
        <w:t>• بندی برای محمد صادق / كلام و اعتقادات / فارسی</w:t>
      </w:r>
      <w:bookmarkEnd w:id="987"/>
    </w:p>
    <w:p>
      <w:pPr>
        <w:pStyle w:val="BookText"/>
      </w:pPr>
      <w:r>
        <w:rPr>
          <w:rFonts w:ascii="Times New Roman" w:hAnsi="Times New Roman" w:eastAsia="Times New Roman" w:cs="Times New Roman"/>
          <w:lang w:val="en-US" w:bidi="en-US"/>
          <w:color w:val="111111"/>
          <w:sz w:val="28"/>
          <w:szCs w:val="28"/>
          <w:rtl/>
        </w:rPr>
        <w:t xml:space="preserve">bandī barāye mohammad sādeq</w:t>
      </w:r>
    </w:p>
    <w:p>
      <w:pPr>
        <w:pStyle w:val="BookText"/>
      </w:pPr>
      <w:r>
        <w:rPr>
          <w:rFonts w:ascii="IRNazanin" w:hAnsi="IRNazanin" w:eastAsia="IRNazanin" w:cs="IRNazanin"/>
          <w:lang w:bidi="fa-IR"/>
          <w:color w:val="111111"/>
          <w:sz w:val="28"/>
          <w:szCs w:val="28"/>
          <w:rtl/>
        </w:rPr>
        <w:t xml:space="preserve">کرمانی، محمد کریم بن ابراهیم، ۱۲۲۵-۱۲۸۸ قمری</w:t>
      </w:r>
    </w:p>
    <w:p>
      <w:pPr>
        <w:pStyle w:val="BookText"/>
      </w:pPr>
      <w:r>
        <w:rPr>
          <w:rFonts w:ascii="Times New Roman" w:hAnsi="Times New Roman" w:eastAsia="Times New Roman" w:cs="Times New Roman"/>
          <w:lang w:val="en-US" w:bidi="en-US"/>
          <w:color w:val="111111"/>
          <w:sz w:val="28"/>
          <w:szCs w:val="28"/>
          <w:rtl/>
        </w:rPr>
        <w:t xml:space="preserve">(1810 -ebn-e ebrāhīm kermānī, mohammad karīm 1871)</w:t>
      </w:r>
    </w:p>
    <w:p>
      <w:pPr>
        <w:pStyle w:val="BookText"/>
      </w:pPr>
      <w:r>
        <w:rPr>
          <w:rFonts w:ascii="IRNazanin" w:hAnsi="IRNazanin" w:eastAsia="IRNazanin" w:cs="IRNazanin"/>
          <w:lang w:bidi="fa-IR"/>
          <w:color w:val="111111"/>
          <w:sz w:val="28"/>
          <w:szCs w:val="28"/>
          <w:rtl/>
        </w:rPr>
        <w:t xml:space="preserve">پس از این رساله عرفانی یک فائده است و پس از شرح خطبه تطنجيه پاسخ سید حسن است و فایده ای از آقا علی.</w:t>
      </w:r>
    </w:p>
    <w:p>
      <w:pPr>
        <w:pStyle w:val="BookText"/>
      </w:pPr>
      <w:r>
        <w:rPr>
          <w:rFonts w:ascii="IRNazanin" w:hAnsi="IRNazanin" w:eastAsia="IRNazanin" w:cs="IRNazanin"/>
          <w:lang w:bidi="fa-IR"/>
          <w:color w:val="111111"/>
          <w:sz w:val="28"/>
          <w:szCs w:val="28"/>
          <w:rtl/>
        </w:rPr>
        <w:t xml:space="preserve">تهران؛ سپهسالار؛ شماره نسخه: ۶۵۵۷/۴</w:t>
      </w:r>
    </w:p>
    <w:p>
      <w:pPr>
        <w:pStyle w:val="BookText"/>
      </w:pPr>
      <w:r>
        <w:rPr>
          <w:rFonts w:ascii="IRNazanin" w:hAnsi="IRNazanin" w:eastAsia="IRNazanin" w:cs="IRNazanin"/>
          <w:lang w:bidi="fa-IR"/>
          <w:color w:val="111111"/>
          <w:sz w:val="28"/>
          <w:szCs w:val="28"/>
          <w:rtl/>
        </w:rPr>
        <w:t xml:space="preserve">خط: نسخ، كا: محمد شفیع بن محمود ارموی، تا: ۱۲۹۹ق، جان کربلا؛ همراه آن یک رساله از زین العابدین بن محمد حسین کرمانی است که در ۱۴ ذیحجه ۱۲۹۱ نوشته شده، کاغذ: فرنگی سفید، جلد: تیماج مشکی ضربی مقوایی، ۱۶ سطر، اندازه: ۱۱/۵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۱۹/۵ سم [ف: ۵-۴۵]</w:t>
      </w:r>
    </w:p>
    <w:p>
      <w:pPr>
        <w:pStyle w:val="Heading3"/>
      </w:pPr>
      <w:bookmarkStart w:id="988" w:name="_Toc248"/>
      <w:r>
        <w:t>• بندی در سهام / هیئت / فارسی</w:t>
      </w:r>
      <w:bookmarkEnd w:id="988"/>
    </w:p>
    <w:p>
      <w:pPr>
        <w:pStyle w:val="BookText"/>
      </w:pPr>
      <w:r>
        <w:rPr>
          <w:rFonts w:ascii="Times New Roman" w:hAnsi="Times New Roman" w:eastAsia="Times New Roman" w:cs="Times New Roman"/>
          <w:lang w:val="en-US" w:bidi="en-US"/>
          <w:color w:val="111111"/>
          <w:sz w:val="28"/>
          <w:szCs w:val="28"/>
          <w:rtl/>
        </w:rPr>
        <w:t xml:space="preserve">bandī dar sahām</w:t>
      </w:r>
    </w:p>
    <w:p>
      <w:pPr>
        <w:pStyle w:val="BookText"/>
      </w:pPr>
      <w:r>
        <w:rPr>
          <w:rFonts w:ascii="IRNazanin" w:hAnsi="IRNazanin" w:eastAsia="IRNazanin" w:cs="IRNazanin"/>
          <w:lang w:bidi="fa-IR"/>
          <w:color w:val="111111"/>
          <w:sz w:val="28"/>
          <w:szCs w:val="28"/>
          <w:rtl/>
        </w:rPr>
        <w:t xml:space="preserve">ابو معشر فلکی، جعفر بن محمد، ۱۷۲-۲۷۲ قمری</w:t>
      </w:r>
    </w:p>
    <w:p>
      <w:pPr>
        <w:pStyle w:val="BookText"/>
      </w:pPr>
      <w:r>
        <w:rPr>
          <w:rFonts w:ascii="Times New Roman" w:hAnsi="Times New Roman" w:eastAsia="Times New Roman" w:cs="Times New Roman"/>
          <w:lang w:val="en-US" w:bidi="en-US"/>
          <w:color w:val="111111"/>
          <w:sz w:val="28"/>
          <w:szCs w:val="28"/>
          <w:rtl/>
        </w:rPr>
        <w:t xml:space="preserve">abū-ma šar-e falakī, ja'far ebn-e mohammad (789-886)</w:t>
      </w:r>
    </w:p>
    <w:p>
      <w:pPr>
        <w:pStyle w:val="BookText"/>
      </w:pPr>
      <w:r>
        <w:rPr>
          <w:rFonts w:ascii="IRNazanin" w:hAnsi="IRNazanin" w:eastAsia="IRNazanin" w:cs="IRNazanin"/>
          <w:lang w:bidi="fa-IR"/>
          <w:color w:val="111111"/>
          <w:sz w:val="28"/>
          <w:szCs w:val="28"/>
          <w:rtl/>
        </w:rPr>
        <w:t xml:space="preserve">کاشان؛ رضوی؛ شماره نسخه: ۷۷/۶</w:t>
      </w:r>
    </w:p>
    <w:p>
      <w:pPr>
        <w:pStyle w:val="BookText"/>
      </w:pPr>
      <w:r>
        <w:rPr>
          <w:rFonts w:ascii="IRNazanin" w:hAnsi="IRNazanin" w:eastAsia="IRNazanin" w:cs="IRNazanin"/>
          <w:lang w:bidi="fa-IR"/>
          <w:color w:val="111111"/>
          <w:sz w:val="28"/>
          <w:szCs w:val="28"/>
          <w:rtl/>
        </w:rPr>
        <w:t xml:space="preserve">بی کا، بی تا، نیم صفحه، قطع: ربعی [نشریه: ۷-۴۰]</w:t>
      </w:r>
    </w:p>
    <w:p>
      <w:pPr>
        <w:pStyle w:val="BookText"/>
      </w:pPr>
      <w:r>
        <w:rPr>
          <w:rFonts w:ascii="IRNazanin" w:hAnsi="IRNazanin" w:eastAsia="IRNazanin" w:cs="IRNazanin"/>
          <w:lang w:bidi="fa-IR"/>
          <w:color w:val="111111"/>
          <w:sz w:val="28"/>
          <w:szCs w:val="28"/>
          <w:rtl/>
        </w:rPr>
        <w:t xml:space="preserve">تهران؛ دانشگاه؛ شماره نسخه: ۳۵۴۲/۶ -ف</w:t>
      </w:r>
    </w:p>
    <w:p>
      <w:pPr>
        <w:pStyle w:val="BookText"/>
      </w:pPr>
      <w:r>
        <w:rPr>
          <w:rFonts w:ascii="Amiri" w:hAnsi="Amiri" w:eastAsia="Amiri" w:cs="Amiri"/>
          <w:lang w:bidi="ar-SA"/>
          <w:color w:val="111111"/>
          <w:sz w:val="28"/>
          <w:szCs w:val="28"/>
          <w:rtl/>
        </w:rPr>
        <w:t xml:space="preserve">نسخه اصل: همان نسخه بالا [فيلمها ف: ۲-۱۷۶]</w:t>
      </w:r>
    </w:p>
    <w:p>
      <w:pPr>
        <w:pStyle w:val="Heading3"/>
      </w:pPr>
      <w:bookmarkStart w:id="989" w:name="_Toc249"/>
      <w:r>
        <w:t>• بندی در صحت مبایعه / فقه / عربی</w:t>
      </w:r>
      <w:bookmarkEnd w:id="989"/>
    </w:p>
    <w:p>
      <w:pPr>
        <w:pStyle w:val="BookText"/>
      </w:pPr>
      <w:r>
        <w:rPr>
          <w:rFonts w:ascii="Times New Roman" w:hAnsi="Times New Roman" w:eastAsia="Times New Roman" w:cs="Times New Roman"/>
          <w:lang w:val="en-US" w:bidi="en-US"/>
          <w:color w:val="111111"/>
          <w:sz w:val="28"/>
          <w:szCs w:val="28"/>
          <w:rtl/>
        </w:rPr>
        <w:t xml:space="preserve">bandī dar sehhat-e mobāye'e</w:t>
      </w:r>
    </w:p>
    <w:p>
      <w:pPr>
        <w:pStyle w:val="BookText"/>
      </w:pPr>
      <w:r>
        <w:rPr>
          <w:rFonts w:ascii="IRNazanin" w:hAnsi="IRNazanin" w:eastAsia="IRNazanin" w:cs="IRNazanin"/>
          <w:lang w:bidi="fa-IR"/>
          <w:color w:val="111111"/>
          <w:sz w:val="28"/>
          <w:szCs w:val="28"/>
          <w:rtl/>
        </w:rPr>
        <w:t xml:space="preserve">مشهد؛ نواب؛ شماره نسخه: ۸/۱۴</w:t>
      </w:r>
    </w:p>
    <w:p>
      <w:pPr>
        <w:pStyle w:val="BookText"/>
      </w:pPr>
      <w:r>
        <w:rPr>
          <w:rFonts w:ascii="IRNazanin" w:hAnsi="IRNazanin" w:eastAsia="IRNazanin" w:cs="IRNazanin"/>
          <w:lang w:bidi="fa-IR"/>
          <w:color w:val="111111"/>
          <w:sz w:val="28"/>
          <w:szCs w:val="28"/>
          <w:rtl/>
        </w:rPr>
        <w:t xml:space="preserve">از فاضل معاصر حاج محمد جعفر استر آبادی برگ ۵۴؛ خط: نستعلیق، كا: سید صدرالدین عربی استر آبادی، بی تا؛ برگ ۵۵ و ۵۶ ادعیه؛ تملک:کاتب؛ کاغذ: نخودی رنگ، جلد: تیماج مشکی، گ (۵۴-۵۶)، ۱۴-۲۳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۲۱)</w:t>
      </w:r>
    </w:p>
    <w:p>
      <w:pPr>
        <w:pStyle w:val="Heading3"/>
      </w:pPr>
      <w:bookmarkStart w:id="990" w:name="_Toc250"/>
      <w:r>
        <w:t>• بندی در صفت حل / کیمیا / فارسی</w:t>
      </w:r>
      <w:bookmarkEnd w:id="990"/>
    </w:p>
    <w:p>
      <w:pPr>
        <w:pStyle w:val="BookText"/>
      </w:pPr>
      <w:r>
        <w:rPr>
          <w:rFonts w:ascii="Times New Roman" w:hAnsi="Times New Roman" w:eastAsia="Times New Roman" w:cs="Times New Roman"/>
          <w:lang w:val="en-US" w:bidi="en-US"/>
          <w:color w:val="111111"/>
          <w:sz w:val="28"/>
          <w:szCs w:val="28"/>
          <w:rtl/>
        </w:rPr>
        <w:t xml:space="preserve">bandī dar sefat-e hal</w:t>
      </w:r>
    </w:p>
    <w:p>
      <w:pPr>
        <w:pStyle w:val="BookText"/>
      </w:pPr>
      <w:r>
        <w:rPr>
          <w:rFonts w:ascii="IRNazanin" w:hAnsi="IRNazanin" w:eastAsia="IRNazanin" w:cs="IRNazanin"/>
          <w:lang w:bidi="fa-IR"/>
          <w:color w:val="111111"/>
          <w:sz w:val="28"/>
          <w:szCs w:val="28"/>
          <w:rtl/>
        </w:rPr>
        <w:t xml:space="preserve">میرفندرسکی، ابوالقاسم بن میرزا بزرگ، - ۱۰۵۰؟ قمری</w:t>
      </w:r>
    </w:p>
    <w:p>
      <w:pPr>
        <w:pStyle w:val="BookText"/>
      </w:pPr>
      <w:r>
        <w:rPr>
          <w:rFonts w:ascii="Times New Roman" w:hAnsi="Times New Roman" w:eastAsia="Times New Roman" w:cs="Times New Roman"/>
          <w:lang w:val="en-US" w:bidi="en-US"/>
          <w:color w:val="111111"/>
          <w:sz w:val="28"/>
          <w:szCs w:val="28"/>
          <w:rtl/>
        </w:rPr>
        <w:t xml:space="preserve">mīrfendereskī, ab-ol-qāsem ebn-e mīrzā bozorg ( 1641)</w:t>
      </w:r>
    </w:p>
    <w:p>
      <w:pPr>
        <w:pStyle w:val="BookText"/>
      </w:pPr>
      <w:r>
        <w:rPr>
          <w:rFonts w:ascii="Amiri" w:hAnsi="Amiri" w:eastAsia="Amiri" w:cs="Amiri"/>
          <w:lang w:bidi="ar-SA"/>
          <w:color w:val="111111"/>
          <w:sz w:val="28"/>
          <w:szCs w:val="28"/>
          <w:rtl/>
        </w:rPr>
        <w:t xml:space="preserve">مشهد؛ الهيات؛ شماره نسخه: ۱۹۳۲۳/۸</w:t>
      </w:r>
    </w:p>
    <w:p>
      <w:pPr>
        <w:pStyle w:val="BookText"/>
      </w:pPr>
      <w:r>
        <w:rPr>
          <w:rFonts w:ascii="IRNazanin" w:hAnsi="IRNazanin" w:eastAsia="IRNazanin" w:cs="IRNazanin"/>
          <w:lang w:bidi="fa-IR"/>
          <w:color w:val="111111"/>
          <w:sz w:val="28"/>
          <w:szCs w:val="28"/>
          <w:rtl/>
        </w:rPr>
        <w:t xml:space="preserve">بی کا، بی تا؛ مجدول به طلا و مشکی و آبی؛ کاغذ: ترمه، جلد: تیماج قهوه ای، اندازه: ۱۳/۵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۲-۳۹۸]</w:t>
      </w:r>
    </w:p>
    <w:p>
      <w:pPr>
        <w:pStyle w:val="Heading3"/>
      </w:pPr>
      <w:bookmarkStart w:id="991" w:name="_Toc251"/>
      <w:r>
        <w:t>• بندی در عدد ماهها و ... / عربی</w:t>
      </w:r>
      <w:bookmarkEnd w:id="991"/>
    </w:p>
    <w:p>
      <w:pPr>
        <w:pStyle w:val="BookText"/>
      </w:pPr>
      <w:r>
        <w:rPr>
          <w:rFonts w:ascii="Times New Roman" w:hAnsi="Times New Roman" w:eastAsia="Times New Roman" w:cs="Times New Roman"/>
          <w:lang w:val="en-US" w:bidi="en-US"/>
          <w:color w:val="111111"/>
          <w:sz w:val="28"/>
          <w:szCs w:val="28"/>
          <w:rtl/>
        </w:rPr>
        <w:t xml:space="preserve">bandī dar ‘adad-e māh-hā va ...</w:t>
      </w:r>
    </w:p>
    <w:p>
      <w:pPr>
        <w:pStyle w:val="BookText"/>
      </w:pPr>
      <w:r>
        <w:rPr>
          <w:rFonts w:ascii="IRNazanin" w:hAnsi="IRNazanin" w:eastAsia="IRNazanin" w:cs="IRNazanin"/>
          <w:lang w:bidi="fa-IR"/>
          <w:color w:val="111111"/>
          <w:sz w:val="28"/>
          <w:szCs w:val="28"/>
          <w:rtl/>
        </w:rPr>
        <w:t xml:space="preserve">مشهد؛ نواب، شماره نسخه: ۶/۱۰</w:t>
      </w:r>
    </w:p>
    <w:p>
      <w:pPr>
        <w:pStyle w:val="BookText"/>
      </w:pPr>
      <w:r>
        <w:rPr>
          <w:rFonts w:ascii="IRNazanin" w:hAnsi="IRNazanin" w:eastAsia="IRNazanin" w:cs="IRNazanin"/>
          <w:lang w:bidi="fa-IR"/>
          <w:color w:val="111111"/>
          <w:sz w:val="28"/>
          <w:szCs w:val="28"/>
          <w:rtl/>
        </w:rPr>
        <w:t xml:space="preserve">خط: نستعلیق، کا: محمد فاضل بن محمد مهدی مشهدی، تا: ۱۰۸۷ق؛ افتادگی: آغاز و انجام؛ دارای حواشی با نشان «عبدالنبي عفى عنه، منه رحمه الله ...»، مصحح؛ جلد: مقوا عطف میشن مشکی، اگ (۷۷پ - ۷۷ر)، ۱۶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۱۶]</w:t>
      </w:r>
    </w:p>
    <w:p>
      <w:pPr>
        <w:pStyle w:val="Heading3"/>
      </w:pPr>
      <w:bookmarkStart w:id="992" w:name="_Toc252"/>
      <w:r>
        <w:t>• بندی در عمل / كيميا / فارسی</w:t>
      </w:r>
      <w:bookmarkEnd w:id="992"/>
    </w:p>
    <w:p>
      <w:pPr>
        <w:pStyle w:val="BookText"/>
      </w:pPr>
      <w:r>
        <w:rPr>
          <w:rFonts w:ascii="Times New Roman" w:hAnsi="Times New Roman" w:eastAsia="Times New Roman" w:cs="Times New Roman"/>
          <w:lang w:val="en-US" w:bidi="en-US"/>
          <w:color w:val="111111"/>
          <w:sz w:val="28"/>
          <w:szCs w:val="28"/>
          <w:rtl/>
        </w:rPr>
        <w:t xml:space="preserve">bandī dar ‘amal</w:t>
      </w:r>
    </w:p>
    <w:p>
      <w:pPr>
        <w:pStyle w:val="BookText"/>
      </w:pPr>
      <w:r>
        <w:rPr>
          <w:rFonts w:ascii="IRNazanin" w:hAnsi="IRNazanin" w:eastAsia="IRNazanin" w:cs="IRNazanin"/>
          <w:lang w:bidi="fa-IR"/>
          <w:color w:val="111111"/>
          <w:sz w:val="28"/>
          <w:szCs w:val="28"/>
          <w:rtl/>
        </w:rPr>
        <w:t xml:space="preserve">بید آبادی، محمد بن محمد رفیع ،-۱۱۹۷ قمری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6" w:name="pg20363_209246"/>
    <w:bookmarkEnd w:id="86"/>
    <w:p>
      <w:pPr>
        <w:pStyle w:val="BookText"/>
      </w:pPr>
      <w:r>
        <w:rPr>
          <w:rFonts w:ascii="Times New Roman" w:hAnsi="Times New Roman" w:eastAsia="Times New Roman" w:cs="Times New Roman"/>
          <w:lang w:val="en-US" w:bidi="en-US"/>
          <w:color w:val="111111"/>
          <w:sz w:val="28"/>
          <w:szCs w:val="28"/>
          <w:rtl/>
        </w:rPr>
        <w:t xml:space="preserve">bīd-ābādī, mohammad ebn-e mohammad rafi“ (- 1783)</w:t>
      </w:r>
    </w:p>
    <w:p>
      <w:pPr>
        <w:pStyle w:val="BookText"/>
      </w:pPr>
      <w:r>
        <w:rPr>
          <w:rFonts w:ascii="IRNazanin" w:hAnsi="IRNazanin" w:eastAsia="IRNazanin" w:cs="IRNazanin"/>
          <w:lang w:bidi="fa-IR"/>
          <w:color w:val="111111"/>
          <w:sz w:val="28"/>
          <w:szCs w:val="28"/>
          <w:rtl/>
        </w:rPr>
        <w:t xml:space="preserve">مشهد؛ الهیات، شماره نسخه:۱۹۳۲۳/۹</w:t>
      </w:r>
    </w:p>
    <w:p>
      <w:pPr>
        <w:pStyle w:val="BookText"/>
      </w:pPr>
      <w:r>
        <w:rPr>
          <w:rFonts w:ascii="IRNazanin" w:hAnsi="IRNazanin" w:eastAsia="IRNazanin" w:cs="IRNazanin"/>
          <w:lang w:bidi="fa-IR"/>
          <w:color w:val="111111"/>
          <w:sz w:val="28"/>
          <w:szCs w:val="28"/>
          <w:rtl/>
        </w:rPr>
        <w:t xml:space="preserve">بی کا، بی تا، مجدول بطلا و مشکی و آبی، کاغذ ترمه؛ جلد: تیماج قهوه ای، اندازه: ۱۳/۵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۲-۳۹۸]</w:t>
      </w:r>
    </w:p>
    <w:p>
      <w:pPr>
        <w:pStyle w:val="Heading3"/>
      </w:pPr>
      <w:bookmarkStart w:id="993" w:name="_Toc253"/>
      <w:r>
        <w:t>• بندی در معنی دلیل شرعی</w:t>
      </w:r>
      <w:bookmarkEnd w:id="993"/>
    </w:p>
    <w:p>
      <w:pPr>
        <w:pStyle w:val="BookText"/>
      </w:pPr>
      <w:r>
        <w:rPr>
          <w:rFonts w:ascii="Times New Roman" w:hAnsi="Times New Roman" w:eastAsia="Times New Roman" w:cs="Times New Roman"/>
          <w:lang w:val="en-US" w:bidi="en-US"/>
          <w:color w:val="111111"/>
          <w:sz w:val="28"/>
          <w:szCs w:val="28"/>
          <w:rtl/>
        </w:rPr>
        <w:t xml:space="preserve">bandī dar ma‘nī-ye dalīl-e šarʻī</w:t>
      </w:r>
    </w:p>
    <w:p>
      <w:pPr>
        <w:pStyle w:val="BookText"/>
      </w:pPr>
      <w:r>
        <w:rPr>
          <w:rFonts w:ascii="IRNazanin" w:hAnsi="IRNazanin" w:eastAsia="IRNazanin" w:cs="IRNazanin"/>
          <w:lang w:bidi="fa-IR"/>
          <w:color w:val="111111"/>
          <w:sz w:val="28"/>
          <w:szCs w:val="28"/>
          <w:rtl/>
        </w:rPr>
        <w:t xml:space="preserve">مشهد؛ نواب، شماره نسخه: ۳۰۶/۱۳</w:t>
      </w:r>
    </w:p>
    <w:p>
      <w:pPr>
        <w:pStyle w:val="BookText"/>
      </w:pPr>
      <w:r>
        <w:rPr>
          <w:rFonts w:ascii="IRNazanin" w:hAnsi="IRNazanin" w:eastAsia="IRNazanin" w:cs="IRNazanin"/>
          <w:lang w:bidi="fa-IR"/>
          <w:color w:val="111111"/>
          <w:sz w:val="28"/>
          <w:szCs w:val="28"/>
          <w:rtl/>
        </w:rPr>
        <w:t xml:space="preserve">خط: نستعلیق، بی کا، تا: قرن ۱۳، جان کربلا و نجف؛ کاغذ: آهار مهره، جلد: تیماج قهوه ای، اص، ۲۱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۲۶۴]</w:t>
      </w:r>
    </w:p>
    <w:p>
      <w:pPr>
        <w:pStyle w:val="Heading3"/>
      </w:pPr>
      <w:bookmarkStart w:id="994" w:name="_Toc254"/>
      <w:r>
        <w:t>• بندی در مؤلفات شیخ حرعاملی</w:t>
      </w:r>
      <w:bookmarkEnd w:id="994"/>
    </w:p>
    <w:p>
      <w:pPr>
        <w:pStyle w:val="BookText"/>
      </w:pPr>
      <w:r>
        <w:rPr>
          <w:rFonts w:ascii="Times New Roman" w:hAnsi="Times New Roman" w:eastAsia="Times New Roman" w:cs="Times New Roman"/>
          <w:lang w:val="en-US" w:bidi="en-US"/>
          <w:color w:val="111111"/>
          <w:sz w:val="28"/>
          <w:szCs w:val="28"/>
          <w:rtl/>
        </w:rPr>
        <w:t xml:space="preserve">bandī dar mo'allafāt-e šeyx horr-e 'āmelī</w:t>
      </w:r>
    </w:p>
    <w:p>
      <w:pPr>
        <w:pStyle w:val="BookText"/>
      </w:pPr>
      <w:r>
        <w:rPr>
          <w:rFonts w:ascii="IRNazanin" w:hAnsi="IRNazanin" w:eastAsia="IRNazanin" w:cs="IRNazanin"/>
          <w:lang w:bidi="fa-IR"/>
          <w:color w:val="111111"/>
          <w:sz w:val="28"/>
          <w:szCs w:val="28"/>
          <w:rtl/>
        </w:rPr>
        <w:t xml:space="preserve">مشهد؛ نواب؛ شماره نسخه: ۴۵۲/۲</w:t>
      </w:r>
    </w:p>
    <w:p>
      <w:pPr>
        <w:pStyle w:val="BookText"/>
      </w:pPr>
      <w:r>
        <w:rPr>
          <w:rFonts w:ascii="IRNazanin" w:hAnsi="IRNazanin" w:eastAsia="IRNazanin" w:cs="IRNazanin"/>
          <w:lang w:bidi="fa-IR"/>
          <w:color w:val="111111"/>
          <w:sz w:val="28"/>
          <w:szCs w:val="28"/>
          <w:rtl/>
        </w:rPr>
        <w:t xml:space="preserve">خط: نسخ و نستعلیق مختلف، کا: محمد فاضل بن محمد مشهدی، تا: ۱۰۷۸ و ۱۰۸۱ق؛ واقف: حاج محمد مهدي فراش حرم؛ جلد: تیماج لایه ای مشکی، اص [ف: ۳۶۹]</w:t>
      </w:r>
    </w:p>
    <w:p>
      <w:pPr>
        <w:pStyle w:val="Heading3"/>
      </w:pPr>
      <w:bookmarkStart w:id="995" w:name="_Toc255"/>
      <w:r>
        <w:t>• بندی منقول از صلوة بحار الانوار مجلسی / فقه / عربی</w:t>
      </w:r>
      <w:bookmarkEnd w:id="995"/>
    </w:p>
    <w:p>
      <w:pPr>
        <w:pStyle w:val="BookText"/>
      </w:pPr>
      <w:r>
        <w:rPr>
          <w:rFonts w:ascii="Times New Roman" w:hAnsi="Times New Roman" w:eastAsia="Times New Roman" w:cs="Times New Roman"/>
          <w:lang w:val="en-US" w:bidi="en-US"/>
          <w:color w:val="111111"/>
          <w:sz w:val="28"/>
          <w:szCs w:val="28"/>
          <w:rtl/>
        </w:rPr>
        <w:t xml:space="preserve">bandī manqūl az salāt-e behār-ol anvār-e majlesī</w:t>
      </w:r>
    </w:p>
    <w:p>
      <w:pPr>
        <w:pStyle w:val="BookText"/>
      </w:pPr>
      <w:r>
        <w:rPr>
          <w:rFonts w:ascii="IRNazanin" w:hAnsi="IRNazanin" w:eastAsia="IRNazanin" w:cs="IRNazanin"/>
          <w:lang w:bidi="fa-IR"/>
          <w:color w:val="111111"/>
          <w:sz w:val="28"/>
          <w:szCs w:val="28"/>
          <w:rtl/>
        </w:rPr>
        <w:t xml:space="preserve">در مقدار انحراف شهرهای بزرگ از جهت قبله</w:t>
      </w:r>
    </w:p>
    <w:p>
      <w:pPr>
        <w:pStyle w:val="BookText"/>
      </w:pPr>
      <w:r>
        <w:rPr>
          <w:rFonts w:ascii="IRNazanin" w:hAnsi="IRNazanin" w:eastAsia="IRNazanin" w:cs="IRNazanin"/>
          <w:lang w:bidi="fa-IR"/>
          <w:color w:val="111111"/>
          <w:sz w:val="28"/>
          <w:szCs w:val="28"/>
          <w:rtl/>
        </w:rPr>
        <w:t xml:space="preserve">مشهد، نواب؛ شماره نسخه: ۱۳۳/۳</w:t>
      </w:r>
    </w:p>
    <w:p>
      <w:pPr>
        <w:pStyle w:val="BookText"/>
      </w:pPr>
      <w:r>
        <w:rPr>
          <w:rFonts w:ascii="IRNazanin" w:hAnsi="IRNazanin" w:eastAsia="IRNazanin" w:cs="IRNazanin"/>
          <w:lang w:bidi="fa-IR"/>
          <w:color w:val="111111"/>
          <w:sz w:val="28"/>
          <w:szCs w:val="28"/>
          <w:rtl/>
        </w:rPr>
        <w:t xml:space="preserve">خط: نسخ، كا: عبد الجواد بن محمد حسین بسطامی بیارجمندی، بی تا؛ کانب خادم امام رضا (عليه السلام)؛ در پشت صفحه اول آمده: امانت فاضل بسطامی» با مهر او با سجع «المتوكل على الله الغني عبده نوروز علی» (بیضی)؛ کاغذ: آهار مهره، جلد: تیماج مشکی، ۲۵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۱۲۸]</w:t>
      </w:r>
    </w:p>
    <w:p>
      <w:pPr>
        <w:pStyle w:val="Heading3"/>
      </w:pPr>
      <w:bookmarkStart w:id="996" w:name="_Toc256"/>
      <w:r>
        <w:t>• بندی منقول از طرائف سید بن طاووس و کتاب مطالب السؤل و عدد امامان ... با پاسخ آنها</w:t>
      </w:r>
      <w:bookmarkEnd w:id="996"/>
    </w:p>
    <w:p>
      <w:pPr>
        <w:pStyle w:val="BookText"/>
      </w:pPr>
      <w:r>
        <w:rPr>
          <w:rFonts w:ascii="Times New Roman" w:hAnsi="Times New Roman" w:eastAsia="Times New Roman" w:cs="Times New Roman"/>
          <w:lang w:val="en-US" w:bidi="en-US"/>
          <w:color w:val="111111"/>
          <w:sz w:val="28"/>
          <w:szCs w:val="28"/>
          <w:rtl/>
        </w:rPr>
        <w:t xml:space="preserve">bandī manqūl az tarā'ef-e seyyed ebn-e tāvūs va ketāb e matāleb-so'l- va ‘adad-e emāmān ... bā pāsox-e ānhā</w:t>
      </w:r>
    </w:p>
    <w:p>
      <w:pPr>
        <w:pStyle w:val="BookText"/>
      </w:pPr>
      <w:r>
        <w:rPr>
          <w:rFonts w:ascii="IRNazanin" w:hAnsi="IRNazanin" w:eastAsia="IRNazanin" w:cs="IRNazanin"/>
          <w:lang w:bidi="fa-IR"/>
          <w:color w:val="111111"/>
          <w:sz w:val="28"/>
          <w:szCs w:val="28"/>
          <w:rtl/>
        </w:rPr>
        <w:t xml:space="preserve">مشهد، نواب؛ شماره نسخه: ۱۷/۶</w:t>
      </w:r>
    </w:p>
    <w:p>
      <w:pPr>
        <w:pStyle w:val="BookText"/>
      </w:pPr>
      <w:r>
        <w:rPr>
          <w:rFonts w:ascii="IRNazanin" w:hAnsi="IRNazanin" w:eastAsia="IRNazanin" w:cs="IRNazanin"/>
          <w:lang w:bidi="fa-IR"/>
          <w:color w:val="111111"/>
          <w:sz w:val="28"/>
          <w:szCs w:val="28"/>
          <w:rtl/>
        </w:rPr>
        <w:t xml:space="preserve">خط: نسخ، بی کا، تا: قرن ۱۱؛ جلد: تیماج، ۲۱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 [ف: ۳۷]</w:t>
      </w:r>
    </w:p>
    <w:p>
      <w:pPr>
        <w:pStyle w:val="BookText"/>
      </w:pPr>
      <w:r>
        <w:rPr>
          <w:rFonts w:ascii="IRNazanin" w:hAnsi="IRNazanin" w:eastAsia="IRNazanin" w:cs="IRNazanin"/>
          <w:lang w:bidi="fa-IR"/>
          <w:color w:val="111111"/>
          <w:sz w:val="28"/>
          <w:szCs w:val="28"/>
          <w:rtl/>
        </w:rPr>
        <w:t xml:space="preserve">← بنگ و باده ← مناظره شراب و حشیش</w:t>
      </w:r>
    </w:p>
    <w:p>
      <w:pPr>
        <w:pStyle w:val="Heading3"/>
      </w:pPr>
      <w:bookmarkStart w:id="997" w:name="_Toc257"/>
      <w:r>
        <w:t>• بنگ و باده / شعر / ترکی</w:t>
      </w:r>
      <w:bookmarkEnd w:id="997"/>
    </w:p>
    <w:p>
      <w:pPr>
        <w:pStyle w:val="BookText"/>
      </w:pPr>
      <w:r>
        <w:rPr>
          <w:rFonts w:ascii="Times New Roman" w:hAnsi="Times New Roman" w:eastAsia="Times New Roman" w:cs="Times New Roman"/>
          <w:lang w:val="en-US" w:bidi="en-US"/>
          <w:color w:val="111111"/>
          <w:sz w:val="28"/>
          <w:szCs w:val="28"/>
          <w:rtl/>
        </w:rPr>
        <w:t xml:space="preserve">bang va bāde</w:t>
      </w:r>
    </w:p>
    <w:p>
      <w:pPr>
        <w:pStyle w:val="BookText"/>
      </w:pPr>
      <w:r>
        <w:rPr>
          <w:rFonts w:ascii="IRNazanin" w:hAnsi="IRNazanin" w:eastAsia="IRNazanin" w:cs="IRNazanin"/>
          <w:lang w:bidi="fa-IR"/>
          <w:color w:val="111111"/>
          <w:sz w:val="28"/>
          <w:szCs w:val="28"/>
          <w:rtl/>
        </w:rPr>
        <w:t xml:space="preserve">فضولی بغدادی، محمد بن سليمان، ۹۱۳؟ -۹۷۶؟ قمری</w:t>
      </w:r>
    </w:p>
    <w:p>
      <w:pPr>
        <w:pStyle w:val="BookText"/>
      </w:pPr>
      <w:r>
        <w:rPr>
          <w:rFonts w:ascii="Times New Roman" w:hAnsi="Times New Roman" w:eastAsia="Times New Roman" w:cs="Times New Roman"/>
          <w:lang w:val="en-US" w:bidi="en-US"/>
          <w:color w:val="111111"/>
          <w:sz w:val="28"/>
          <w:szCs w:val="28"/>
          <w:rtl/>
        </w:rPr>
        <w:t xml:space="preserve">fozūlī baqdādī, mohammad ebn-e soleymān (1508 1569)</w:t>
      </w:r>
    </w:p>
    <w:p>
      <w:pPr>
        <w:pStyle w:val="BookText"/>
      </w:pPr>
      <w:r>
        <w:rPr>
          <w:rFonts w:ascii="IRNazanin" w:hAnsi="IRNazanin" w:eastAsia="IRNazanin" w:cs="IRNazanin"/>
          <w:lang w:bidi="fa-IR"/>
          <w:color w:val="111111"/>
          <w:sz w:val="28"/>
          <w:szCs w:val="28"/>
          <w:rtl/>
        </w:rPr>
        <w:t xml:space="preserve">آغاز: بنگ و باده جناب فضولی رحمة الله، بسم الله الرحمن الرحیم. ای ویرن بزم کاینانه نسق *** بوراخان جام عشقه نشأة</w:t>
      </w:r>
    </w:p>
    <w:p>
      <w:pPr>
        <w:pStyle w:val="BookText"/>
      </w:pPr>
      <w:r>
        <w:rPr>
          <w:rFonts w:ascii="IRNazanin" w:hAnsi="IRNazanin" w:eastAsia="IRNazanin" w:cs="IRNazanin"/>
          <w:lang w:bidi="fa-IR"/>
          <w:color w:val="111111"/>
          <w:sz w:val="28"/>
          <w:szCs w:val="28"/>
          <w:rtl/>
        </w:rPr>
        <w:t xml:space="preserve">حق انجام: چون فضولی دورور بینم لقبيم *** عجب اولماز گر اولماسا ادبیم / وار امیدیم که عذریم اولا قبول *** اولميا بيله جزئیله مسؤل. تم بالخير و السلامه چاپ: به سال ۱۲۶۶ در تبریز و نیز در تاشکند چاپ گردیده است؛ ایران، سنگی، ۱۲۸۴، وزیری کوچک، ۱۵ص</w:t>
      </w:r>
    </w:p>
    <w:p>
      <w:pPr>
        <w:pStyle w:val="BookText"/>
      </w:pPr>
      <w:r>
        <w:rPr>
          <w:rFonts w:ascii="IRNazanin" w:hAnsi="IRNazanin" w:eastAsia="IRNazanin" w:cs="IRNazanin"/>
          <w:lang w:bidi="fa-IR"/>
          <w:color w:val="111111"/>
          <w:sz w:val="28"/>
          <w:szCs w:val="28"/>
          <w:rtl/>
        </w:rPr>
        <w:t xml:space="preserve">۱. تهران، دانشگاه؛ شماره نسخه: ۱۴۲۷/۲۸</w:t>
      </w:r>
    </w:p>
    <w:p>
      <w:pPr>
        <w:pStyle w:val="BookText"/>
      </w:pPr>
      <w:r>
        <w:rPr>
          <w:rFonts w:ascii="IRNazanin" w:hAnsi="IRNazanin" w:eastAsia="IRNazanin" w:cs="IRNazanin"/>
          <w:lang w:bidi="fa-IR"/>
          <w:color w:val="111111"/>
          <w:sz w:val="28"/>
          <w:szCs w:val="28"/>
          <w:rtl/>
        </w:rPr>
        <w:t xml:space="preserve">خط: نستعلیق، كا: امام قلی ایمانی غلام، تا: نیمه دوم قرن ۱۱؛ مجدول؛ کاغذ: سپاهانی متن و حاشیه، جلد: تیماج تریاکی ضربی زرکوب مقوایی، ۵گ (۴۵۱ر -۴۵۵ر)، ۲۰ سطر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۸-۱۰۱]</w:t>
      </w:r>
    </w:p>
    <w:p>
      <w:pPr>
        <w:pStyle w:val="BookText"/>
      </w:pPr>
      <w:r>
        <w:rPr>
          <w:rFonts w:ascii="IRNazanin" w:hAnsi="IRNazanin" w:eastAsia="IRNazanin" w:cs="IRNazanin"/>
          <w:lang w:bidi="fa-IR"/>
          <w:color w:val="111111"/>
          <w:sz w:val="28"/>
          <w:szCs w:val="28"/>
          <w:rtl/>
        </w:rPr>
        <w:t xml:space="preserve">۲. تهران؛ مجلس؛ شماره نسخه: ۱۴۶۶۵/۲</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شکسته نستعلیق، بی کا، تا: قرن ۱۴؛ جلد: تیماج قهوه ای روشن ضربی، ۱۹گی (۲۵پ-۴۳پ)، ۱۲سطر، اندازه: ۱۱/۷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۴۱-۱۴۹]</w:t>
      </w:r>
    </w:p>
    <w:p>
      <w:pPr>
        <w:pStyle w:val="BookText"/>
      </w:pPr>
      <w:r>
        <w:rPr>
          <w:rFonts w:ascii="IRNazanin" w:hAnsi="IRNazanin" w:eastAsia="IRNazanin" w:cs="IRNazanin"/>
          <w:lang w:bidi="fa-IR"/>
          <w:color w:val="111111"/>
          <w:sz w:val="28"/>
          <w:szCs w:val="28"/>
          <w:rtl/>
        </w:rPr>
        <w:t xml:space="preserve">٣. تبریز؛ ملی؛ شماره نسخه: ۱۲ر۳۲۲۵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تعلیق، بی کا، بی تا؛ مهر: «هاشم بن شمس الدين الموسوی»؛ کاغذ: فرنگی، جلد: چرمی سیاه، ۶گی، ۳۲-۳۶سطر،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۱-۱۳۲]</w:t>
      </w:r>
    </w:p>
    <w:p>
      <w:pPr>
        <w:pStyle w:val="BookText"/>
      </w:pPr>
      <w:r>
        <w:rPr>
          <w:rFonts w:ascii="IRNazanin" w:hAnsi="IRNazanin" w:eastAsia="IRNazanin" w:cs="IRNazanin"/>
          <w:lang w:bidi="fa-IR"/>
          <w:color w:val="111111"/>
          <w:sz w:val="28"/>
          <w:szCs w:val="28"/>
          <w:rtl/>
        </w:rPr>
        <w:t xml:space="preserve">۴. تهران؛ سپهسالار؛ شماره نسخه: ۳۰۵</w:t>
      </w:r>
    </w:p>
    <w:p>
      <w:pPr>
        <w:pStyle w:val="BookText"/>
      </w:pPr>
      <w:r>
        <w:rPr>
          <w:rFonts w:ascii="IRNazanin" w:hAnsi="IRNazanin" w:eastAsia="IRNazanin" w:cs="IRNazanin"/>
          <w:lang w:bidi="fa-IR"/>
          <w:color w:val="111111"/>
          <w:sz w:val="28"/>
          <w:szCs w:val="28"/>
          <w:rtl/>
        </w:rPr>
        <w:t xml:space="preserve">بی کا، بی تا [ف: ۲-۶۴۷]</w:t>
      </w:r>
    </w:p>
    <w:p>
      <w:pPr>
        <w:pStyle w:val="BookText"/>
      </w:pPr>
      <w:r>
        <w:rPr>
          <w:rFonts w:ascii="IRNazanin" w:hAnsi="IRNazanin" w:eastAsia="IRNazanin" w:cs="IRNazanin"/>
          <w:lang w:bidi="fa-IR"/>
          <w:color w:val="111111"/>
          <w:sz w:val="28"/>
          <w:szCs w:val="28"/>
          <w:rtl/>
        </w:rPr>
        <w:t xml:space="preserve">۵. تهران؛ سپهسالار؛ شماره نسخه: ۳۰۷</w:t>
      </w:r>
    </w:p>
    <w:p>
      <w:pPr>
        <w:pStyle w:val="BookText"/>
      </w:pPr>
      <w:r>
        <w:rPr>
          <w:rFonts w:ascii="IRNazanin" w:hAnsi="IRNazanin" w:eastAsia="IRNazanin" w:cs="IRNazanin"/>
          <w:lang w:bidi="fa-IR"/>
          <w:color w:val="111111"/>
          <w:sz w:val="28"/>
          <w:szCs w:val="28"/>
          <w:rtl/>
        </w:rPr>
        <w:t xml:space="preserve">بی کا، بی تا [ف: ۲-۶۴۷]</w:t>
      </w:r>
    </w:p>
    <w:p>
      <w:pPr>
        <w:pStyle w:val="Heading3"/>
      </w:pPr>
      <w:bookmarkStart w:id="998" w:name="_Toc258"/>
      <w:r>
        <w:t>• البنود = نبذة بنود / شعر / عربی</w:t>
      </w:r>
      <w:bookmarkEnd w:id="998"/>
    </w:p>
    <w:p>
      <w:pPr>
        <w:pStyle w:val="BookText"/>
      </w:pPr>
      <w:r>
        <w:rPr>
          <w:rFonts w:ascii="Times New Roman" w:hAnsi="Times New Roman" w:eastAsia="Times New Roman" w:cs="Times New Roman"/>
          <w:lang w:val="en-US" w:bidi="en-US"/>
          <w:color w:val="111111"/>
          <w:sz w:val="28"/>
          <w:szCs w:val="28"/>
          <w:rtl/>
        </w:rPr>
        <w:t xml:space="preserve">al-bunūd = nubdat-u bunūd</w:t>
      </w:r>
    </w:p>
    <w:p>
      <w:pPr>
        <w:pStyle w:val="BookText"/>
      </w:pPr>
      <w:r>
        <w:rPr>
          <w:rFonts w:ascii="IRNazanin" w:hAnsi="IRNazanin" w:eastAsia="IRNazanin" w:cs="IRNazanin"/>
          <w:lang w:bidi="fa-IR"/>
          <w:color w:val="111111"/>
          <w:sz w:val="28"/>
          <w:szCs w:val="28"/>
          <w:rtl/>
        </w:rPr>
        <w:t xml:space="preserve">موسوی جزائری، علی بن باليل، ق ۱۲ قمری</w:t>
      </w:r>
    </w:p>
    <w:p>
      <w:pPr>
        <w:pStyle w:val="BookText"/>
      </w:pPr>
      <w:r>
        <w:rPr>
          <w:rFonts w:ascii="Times New Roman" w:hAnsi="Times New Roman" w:eastAsia="Times New Roman" w:cs="Times New Roman"/>
          <w:lang w:val="en-US" w:bidi="en-US"/>
          <w:color w:val="111111"/>
          <w:sz w:val="28"/>
          <w:szCs w:val="28"/>
          <w:rtl/>
        </w:rPr>
        <w:t xml:space="preserve">mūsavī jazā’erī, ‘alī ebn-e bālayl (- 18c)</w:t>
      </w:r>
    </w:p>
    <w:p>
      <w:pPr>
        <w:pStyle w:val="BookText"/>
      </w:pPr>
      <w:r>
        <w:rPr>
          <w:rFonts w:ascii="IRNazanin" w:hAnsi="IRNazanin" w:eastAsia="IRNazanin" w:cs="IRNazanin"/>
          <w:lang w:bidi="fa-IR"/>
          <w:color w:val="111111"/>
          <w:sz w:val="28"/>
          <w:szCs w:val="28"/>
          <w:rtl/>
        </w:rPr>
        <w:t xml:space="preserve">کتابی ادبی- دینی است تشکیل شده از بندهای متعدد که تا بند یکصدم با عدد و از آن پس با حروف ابجد شماره خورده است در فهرست مرکز احیاء يكصد و پنجاه بند دانسته شده است).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7" w:name="pg20363_209247"/>
    <w:bookmarkEnd w:id="87"/>
    <w:p>
      <w:pPr>
        <w:pStyle w:val="BookText"/>
      </w:pPr>
      <w:r>
        <w:rPr>
          <w:rFonts w:ascii="IRNazanin" w:hAnsi="IRNazanin" w:eastAsia="IRNazanin" w:cs="IRNazanin"/>
          <w:lang w:bidi="fa-IR"/>
          <w:color w:val="111111"/>
          <w:sz w:val="28"/>
          <w:szCs w:val="28"/>
          <w:rtl/>
        </w:rPr>
        <w:t xml:space="preserve">مؤلف در دیباچه کتاب آن را در بحر رمل و در موضوعات غزل، مدح و توحيد معرفی کرده است که هر بند آن چهل کلمه دارد. از این کتاب و مؤلف آن به نوشته مرحوم مشكاة در آغاز نسخه، در کشکول شیخ یوسف بحرانی ذکری آمده است. آقا بزرگ از دو تألیف دیگر علی بن باليل به نام های «القلادة» و المستطاب في علم النحو» نام می برد که اولی را شیخ فتح الله کعبی (- ۱۱۳۰ ق) از معاصرین مؤلف شرح کرده است. همچنین از کتاب شعر دیگری از وی موسوم به «قلائد الغيد» آگاهی داریم که در مرکز احیاء قم عکسی از آن به همراه نسخه دیگری از نبذة بنود وجود دارد. (جواد بشری)</w:t>
      </w:r>
    </w:p>
    <w:p>
      <w:pPr>
        <w:pStyle w:val="BookText"/>
      </w:pPr>
      <w:r>
        <w:rPr>
          <w:rFonts w:ascii="IRNazanin" w:hAnsi="IRNazanin" w:eastAsia="IRNazanin" w:cs="IRNazanin"/>
          <w:lang w:bidi="fa-IR"/>
          <w:color w:val="111111"/>
          <w:sz w:val="28"/>
          <w:szCs w:val="28"/>
          <w:rtl/>
        </w:rPr>
        <w:t xml:space="preserve">آغاز: بسمله، الله احمد من خلق اللسان و علمه البيان و اصلی و اسلم على افضل نوع الانسان محمد و آله كنوز العرفان و مظاهر اسرار الفرقان علیه و علیهم صلوات الرحمن ما تعاقب الملوان. و بعد فيقول المفتقر الى رحمة ربه الغني على بن باليل الحسینی هذه نبذة بنود، نبذتها على بحر الرمل غزلا و مدحا و توحيدا و عممت بالغزل توصیفا و تشبیبا و تشوقا و نسیبا و قصرت المدح فيها على النبي و آله صلوات الله عليهم أجمعين و على القرآن العظيم و الذكر المبين مشيرا في بعضه الى غالب غزوات النبي و سيره و بعض كراماته ... و جعلت التوحيد بعون الملک الحميد كما يشتهى الراغب و يريد مشتملا على اصول المسائل الكلامية و ادلتها العقلية و على مسالة الحسن و القبح الأصولية على التبعية على نهج الطائفة الأمامية و نجد الفرقة الجعفرية من الشيعة الاثنی عشرية كثر الله اعدادهم و ... و قد وضعت كل بند منها علياربعین كلمة اما بكلمة الروى او بدونها الا ما طغى البصر عنه اسما كان او فعلا او حرفا جاء لمعنى على حرفين فصاعدا بانفراده کمن و الم وان وان و حتی ... مشيرا في كل بند من بنود الغزل و المدح اما الي مسئلة علمية أو صناعة بديعية او الى كل من الأمرين على العية</w:t>
      </w:r>
    </w:p>
    <w:p>
      <w:pPr>
        <w:pStyle w:val="BookText"/>
      </w:pPr>
      <w:r>
        <w:rPr>
          <w:rFonts w:ascii="IRNazanin" w:hAnsi="IRNazanin" w:eastAsia="IRNazanin" w:cs="IRNazanin"/>
          <w:lang w:bidi="fa-IR"/>
          <w:color w:val="111111"/>
          <w:sz w:val="28"/>
          <w:szCs w:val="28"/>
          <w:rtl/>
        </w:rPr>
        <w:t xml:space="preserve">انجام: العقل فكفر سیدی ذنبي و كن لي عدة في هذه الدار و في الاخری و دخرا.</w:t>
      </w:r>
    </w:p>
    <w:p>
      <w:pPr>
        <w:pStyle w:val="BookText"/>
      </w:pPr>
      <w:r>
        <w:rPr>
          <w:rFonts w:ascii="IRNazanin" w:hAnsi="IRNazanin" w:eastAsia="IRNazanin" w:cs="IRNazanin"/>
          <w:lang w:bidi="fa-IR"/>
          <w:color w:val="111111"/>
          <w:sz w:val="28"/>
          <w:szCs w:val="28"/>
          <w:rtl/>
        </w:rPr>
        <w:t xml:space="preserve">۱. تهران؛ مجلس؛ شماره نسخه: ۸۰۸۳/۱</w:t>
      </w:r>
    </w:p>
    <w:p>
      <w:pPr>
        <w:pStyle w:val="BookText"/>
      </w:pPr>
      <w:r>
        <w:rPr>
          <w:rFonts w:ascii="IRNazanin" w:hAnsi="IRNazanin" w:eastAsia="IRNazanin" w:cs="IRNazanin"/>
          <w:lang w:bidi="fa-IR"/>
          <w:color w:val="111111"/>
          <w:sz w:val="28"/>
          <w:szCs w:val="28"/>
          <w:rtl/>
        </w:rPr>
        <w:t xml:space="preserve">آغاز و انجام: برابر؛ [رقم:] تمت البنود بعون الملک المعبود ضحى يوم الاربعا لست بقین من ربيع الثانی سنه ۱۲۰۱ الحادية و المأتين بعد الألف من الهجرة بقلم العبد الجانی علی بن عبدالله بن حسین بن احمد بن جعفر بن على البربوري البحراني عفى عنهم اجمعین.</w:t>
      </w:r>
    </w:p>
    <w:p>
      <w:pPr>
        <w:pStyle w:val="BookText"/>
      </w:pPr>
      <w:r>
        <w:rPr>
          <w:rFonts w:ascii="IRNazanin" w:hAnsi="IRNazanin" w:eastAsia="IRNazanin" w:cs="IRNazanin"/>
          <w:lang w:bidi="fa-IR"/>
          <w:color w:val="111111"/>
          <w:sz w:val="28"/>
          <w:szCs w:val="28"/>
          <w:rtl/>
        </w:rPr>
        <w:t xml:space="preserve">خط: نسخ، كا: على بن عبدالله بن حسين بربوری بحرانی، تا: چهارشنبه ۲۴ ربیع الثانی ۱۲۰۱ق؛ رکابه دار، توضیحی به خط مرحوم مشكاة با خودکار آمده : ۱-دو کتاب است. اول بنود للسيد على ابالیل برای شناسایی کتاب و مؤلف آن رجوع شود بکشکول شیخ یوسف بحرانی. صاجب ذريعه این کتاب را ندیده و مؤلف آن را نشناخته است ۲- ديوان شعری است که عجالة نشناختم»؛ جلد: مقوایی با روکش تیماج حنایی سیر دارای جدول ساده ای در اطراف و ترنجی ضربی با نقوش گل و مرغ، ۵۷گ (۱پ -۵۷پ)، ۱۴ سطر، اندازه: ۱۶/۱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۱۱/۳ سم [ف: ۲۷/۱ -۱۴۹]</w:t>
      </w:r>
    </w:p>
    <w:p>
      <w:pPr>
        <w:pStyle w:val="BookText"/>
      </w:pPr>
      <w:r>
        <w:rPr>
          <w:rFonts w:ascii="IRNazanin" w:hAnsi="IRNazanin" w:eastAsia="IRNazanin" w:cs="IRNazanin"/>
          <w:lang w:bidi="fa-IR"/>
          <w:color w:val="111111"/>
          <w:sz w:val="28"/>
          <w:szCs w:val="28"/>
          <w:rtl/>
        </w:rPr>
        <w:t xml:space="preserve">۲. قم: مرکز احیاء؛ شماره نسخه: ۱۶۰۲/۲</w:t>
      </w:r>
    </w:p>
    <w:p>
      <w:pPr>
        <w:pStyle w:val="BookText"/>
      </w:pPr>
      <w:r>
        <w:rPr>
          <w:rFonts w:ascii="IRNazanin" w:hAnsi="IRNazanin" w:eastAsia="IRNazanin" w:cs="IRNazanin"/>
          <w:lang w:bidi="fa-IR"/>
          <w:color w:val="111111"/>
          <w:sz w:val="28"/>
          <w:szCs w:val="28"/>
          <w:rtl/>
        </w:rPr>
        <w:t xml:space="preserve">آغاز: برابر نسخه اصل: کتابخانه سید هادي آل باليل -قم؛ خط: نسخ، كان رضا بن صالح بن ابراهيم بن اسماعيل بن محمود بن ابراهيم بن على باليل موسوی، تا: 11 جمادی الاول ۱۳۴۶ق؛ ۲۳ ص (۸۵ ۱۰۷) [عکسی ف: ۵-۷]</w:t>
      </w:r>
    </w:p>
    <w:p>
      <w:pPr>
        <w:pStyle w:val="BookText"/>
      </w:pPr>
      <w:r>
        <w:rPr>
          <w:rFonts w:ascii="IRNazanin" w:hAnsi="IRNazanin" w:eastAsia="IRNazanin" w:cs="IRNazanin"/>
          <w:lang w:bidi="fa-IR"/>
          <w:color w:val="111111"/>
          <w:sz w:val="28"/>
          <w:szCs w:val="28"/>
          <w:rtl/>
        </w:rPr>
        <w:t xml:space="preserve">← بنیان البيان بهداية الرحمن ← البيان</w:t>
      </w:r>
    </w:p>
    <w:p>
      <w:pPr>
        <w:pStyle w:val="Heading3"/>
      </w:pPr>
      <w:bookmarkStart w:id="999" w:name="_Toc259"/>
      <w:r>
        <w:t>• بنیان رفیع در احوال خواجه ربیع / تراجم / فارسی</w:t>
      </w:r>
      <w:bookmarkEnd w:id="999"/>
    </w:p>
    <w:p>
      <w:pPr>
        <w:pStyle w:val="BookText"/>
      </w:pPr>
      <w:r>
        <w:rPr>
          <w:rFonts w:ascii="Times New Roman" w:hAnsi="Times New Roman" w:eastAsia="Times New Roman" w:cs="Times New Roman"/>
          <w:lang w:val="en-US" w:bidi="en-US"/>
          <w:color w:val="111111"/>
          <w:sz w:val="28"/>
          <w:szCs w:val="28"/>
          <w:rtl/>
        </w:rPr>
        <w:t xml:space="preserve">bonyān-e rafi' dar ahvāl-e xāje rabī*</w:t>
      </w:r>
    </w:p>
    <w:p>
      <w:pPr>
        <w:pStyle w:val="BookText"/>
      </w:pPr>
      <w:r>
        <w:rPr>
          <w:rFonts w:ascii="IRNazanin" w:hAnsi="IRNazanin" w:eastAsia="IRNazanin" w:cs="IRNazanin"/>
          <w:lang w:bidi="fa-IR"/>
          <w:color w:val="111111"/>
          <w:sz w:val="28"/>
          <w:szCs w:val="28"/>
          <w:rtl/>
        </w:rPr>
        <w:t xml:space="preserve">نهاوندی، علی اکبر بن محمد حسین، ۱۲۹۲-۱۳۶۹ قمری</w:t>
      </w:r>
    </w:p>
    <w:p>
      <w:pPr>
        <w:pStyle w:val="BookText"/>
      </w:pPr>
      <w:r>
        <w:rPr>
          <w:rFonts w:ascii="Times New Roman" w:hAnsi="Times New Roman" w:eastAsia="Times New Roman" w:cs="Times New Roman"/>
          <w:lang w:val="en-US" w:bidi="en-US"/>
          <w:color w:val="111111"/>
          <w:sz w:val="28"/>
          <w:szCs w:val="28"/>
          <w:rtl/>
        </w:rPr>
        <w:t xml:space="preserve">nahāvandī, “alī akbar ebn-e mohammad hoseyn (1875 1950)</w:t>
      </w:r>
    </w:p>
    <w:p>
      <w:pPr>
        <w:pStyle w:val="BookText"/>
      </w:pPr>
      <w:r>
        <w:rPr>
          <w:rFonts w:ascii="IRNazanin" w:hAnsi="IRNazanin" w:eastAsia="IRNazanin" w:cs="IRNazanin"/>
          <w:lang w:bidi="fa-IR"/>
          <w:color w:val="111111"/>
          <w:sz w:val="28"/>
          <w:szCs w:val="28"/>
          <w:rtl/>
        </w:rPr>
        <w:t xml:space="preserve">تاریخ تأليف: ۱۳۴۱</w:t>
      </w:r>
    </w:p>
    <w:p>
      <w:pPr>
        <w:pStyle w:val="BookText"/>
      </w:pPr>
      <w:r>
        <w:rPr>
          <w:rFonts w:ascii="IRNazanin" w:hAnsi="IRNazanin" w:eastAsia="IRNazanin" w:cs="IRNazanin"/>
          <w:lang w:bidi="fa-IR"/>
          <w:color w:val="111111"/>
          <w:sz w:val="28"/>
          <w:szCs w:val="28"/>
          <w:rtl/>
        </w:rPr>
        <w:t xml:space="preserve">چاپ: مشار فارسی، ج ۱، ص ۱۹۵؛ تهران، سنگی، ۱۳۴۸ق، وزیری بزرگ (خشتی)، ۳۲۴ص</w:t>
      </w:r>
    </w:p>
    <w:p>
      <w:pPr>
        <w:pStyle w:val="BookText"/>
      </w:pPr>
      <w:r>
        <w:rPr>
          <w:rFonts w:ascii="IRNazanin" w:hAnsi="IRNazanin" w:eastAsia="IRNazanin" w:cs="IRNazanin"/>
          <w:lang w:bidi="fa-IR"/>
          <w:color w:val="111111"/>
          <w:sz w:val="28"/>
          <w:szCs w:val="28"/>
          <w:rtl/>
        </w:rPr>
        <w:t xml:space="preserve">قم؛ حجتیه؛ شماره نسخه: ۵۴۰</w:t>
      </w:r>
    </w:p>
    <w:p>
      <w:pPr>
        <w:pStyle w:val="BookText"/>
      </w:pPr>
      <w:r>
        <w:rPr>
          <w:rFonts w:ascii="IRNazanin" w:hAnsi="IRNazanin" w:eastAsia="IRNazanin" w:cs="IRNazanin"/>
          <w:lang w:bidi="fa-IR"/>
          <w:color w:val="111111"/>
          <w:sz w:val="28"/>
          <w:szCs w:val="28"/>
          <w:rtl/>
        </w:rPr>
        <w:t xml:space="preserve">كاتب = مؤلف، بی تا [ف: 3]</w:t>
      </w:r>
    </w:p>
    <w:p>
      <w:pPr>
        <w:pStyle w:val="Heading3"/>
      </w:pPr>
      <w:bookmarkStart w:id="1000" w:name="_Toc260"/>
      <w:r>
        <w:t>• البنيان المرصوص / اصول فقه / عربی</w:t>
      </w:r>
      <w:bookmarkEnd w:id="1000"/>
    </w:p>
    <w:p>
      <w:pPr>
        <w:pStyle w:val="BookText"/>
      </w:pPr>
      <w:r>
        <w:rPr>
          <w:rFonts w:ascii="Times New Roman" w:hAnsi="Times New Roman" w:eastAsia="Times New Roman" w:cs="Times New Roman"/>
          <w:lang w:val="en-US" w:bidi="en-US"/>
          <w:color w:val="111111"/>
          <w:sz w:val="28"/>
          <w:szCs w:val="28"/>
          <w:rtl/>
        </w:rPr>
        <w:t xml:space="preserve">al-bunyan-ul marsus</w:t>
      </w:r>
    </w:p>
    <w:p>
      <w:pPr>
        <w:pStyle w:val="BookText"/>
      </w:pPr>
      <w:r>
        <w:rPr>
          <w:rFonts w:ascii="IRNazanin" w:hAnsi="IRNazanin" w:eastAsia="IRNazanin" w:cs="IRNazanin"/>
          <w:lang w:bidi="fa-IR"/>
          <w:color w:val="111111"/>
          <w:sz w:val="28"/>
          <w:szCs w:val="28"/>
          <w:rtl/>
        </w:rPr>
        <w:t xml:space="preserve">استر آبادی، محمد جعفر بن سيف الدين، ۱۱۹۸-۱۲۶۳ قمری</w:t>
      </w:r>
    </w:p>
    <w:p>
      <w:pPr>
        <w:pStyle w:val="BookText"/>
      </w:pPr>
      <w:r>
        <w:rPr>
          <w:rFonts w:ascii="Times New Roman" w:hAnsi="Times New Roman" w:eastAsia="Times New Roman" w:cs="Times New Roman"/>
          <w:lang w:val="en-US" w:bidi="en-US"/>
          <w:color w:val="111111"/>
          <w:sz w:val="28"/>
          <w:szCs w:val="28"/>
          <w:rtl/>
        </w:rPr>
        <w:t xml:space="preserve">estarābādī, mohammad ja'far ebn-e sayf-od-dīn (1784 1847)</w:t>
      </w:r>
    </w:p>
    <w:p>
      <w:pPr>
        <w:pStyle w:val="BookText"/>
      </w:pPr>
      <w:r>
        <w:rPr>
          <w:rFonts w:ascii="IRNazanin" w:hAnsi="IRNazanin" w:eastAsia="IRNazanin" w:cs="IRNazanin"/>
          <w:lang w:bidi="fa-IR"/>
          <w:color w:val="111111"/>
          <w:sz w:val="28"/>
          <w:szCs w:val="28"/>
          <w:rtl/>
        </w:rPr>
        <w:t xml:space="preserve">مشهد؛ رضوی؛ شماره نسخه: ۲۷۶۲۵</w:t>
      </w:r>
    </w:p>
    <w:p>
      <w:pPr>
        <w:pStyle w:val="BookText"/>
      </w:pPr>
      <w:r>
        <w:rPr>
          <w:rFonts w:ascii="Amiri" w:hAnsi="Amiri" w:eastAsia="Amiri" w:cs="Amiri"/>
          <w:lang w:bidi="ar-SA"/>
          <w:color w:val="111111"/>
          <w:sz w:val="28"/>
          <w:szCs w:val="28"/>
          <w:rtl/>
        </w:rPr>
        <w:t xml:space="preserve">آغاز: بسمله الحمدلله على بذل نعمة و الصلوة و السلام على رسوله ... فيقول العبد الواثق بلطف الله؛ انجام: التي هي نافعه في المنقول بل و المعقول و الصلوة و السلام ... سنه ۱۲۶۱</w:t>
      </w:r>
    </w:p>
    <w:p>
      <w:pPr>
        <w:pStyle w:val="BookText"/>
      </w:pPr>
      <w:r>
        <w:rPr>
          <w:rFonts w:ascii="IRNazanin" w:hAnsi="IRNazanin" w:eastAsia="IRNazanin" w:cs="IRNazanin"/>
          <w:lang w:bidi="fa-IR"/>
          <w:color w:val="111111"/>
          <w:sz w:val="28"/>
          <w:szCs w:val="28"/>
          <w:rtl/>
        </w:rPr>
        <w:t xml:space="preserve">خط: نستعلیق، کا: محمد علی بن محمد حسن کاشانی ارانی، تا: ۱۲۶۱ق، ضميمه نسخه ش ۲۷۲۶۳ [ رایانه ]</w:t>
      </w:r>
    </w:p>
    <w:p>
      <w:pPr>
        <w:pStyle w:val="Heading3"/>
      </w:pPr>
      <w:bookmarkStart w:id="1001" w:name="_Toc261"/>
      <w:r>
        <w:t>• البنيان المرصوص / اصول فقه / عربی</w:t>
      </w:r>
      <w:bookmarkEnd w:id="1001"/>
    </w:p>
    <w:p>
      <w:pPr>
        <w:pStyle w:val="BookText"/>
      </w:pPr>
      <w:r>
        <w:rPr>
          <w:rFonts w:ascii="Times New Roman" w:hAnsi="Times New Roman" w:eastAsia="Times New Roman" w:cs="Times New Roman"/>
          <w:lang w:val="en-US" w:bidi="en-US"/>
          <w:color w:val="111111"/>
          <w:sz w:val="28"/>
          <w:szCs w:val="28"/>
          <w:rtl/>
        </w:rPr>
        <w:t xml:space="preserve">bunyān-ul marṣūṣ</w:t>
      </w:r>
    </w:p>
    <w:p>
      <w:pPr>
        <w:pStyle w:val="BookText"/>
      </w:pPr>
      <w:r>
        <w:rPr>
          <w:rFonts w:ascii="IRNazanin" w:hAnsi="IRNazanin" w:eastAsia="IRNazanin" w:cs="IRNazanin"/>
          <w:lang w:bidi="fa-IR"/>
          <w:color w:val="111111"/>
          <w:sz w:val="28"/>
          <w:szCs w:val="28"/>
          <w:rtl/>
        </w:rPr>
        <w:t xml:space="preserve">استر آبادی، علی بن محمد جعفر، ۱۲۴۲-۱۳۱۵ قمری</w:t>
      </w:r>
    </w:p>
    <w:p>
      <w:pPr>
        <w:pStyle w:val="BookText"/>
      </w:pPr>
      <w:r>
        <w:rPr>
          <w:rFonts w:ascii="Times New Roman" w:hAnsi="Times New Roman" w:eastAsia="Times New Roman" w:cs="Times New Roman"/>
          <w:lang w:val="en-US" w:bidi="en-US"/>
          <w:color w:val="111111"/>
          <w:sz w:val="28"/>
          <w:szCs w:val="28"/>
          <w:rtl/>
        </w:rPr>
        <w:t xml:space="preserve">estarābādī, 'alī ebn-e mohammad ja'far (1827-1898)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8" w:name="pg20363_209248"/>
    <w:bookmarkEnd w:id="88"/>
    <w:p>
      <w:pPr>
        <w:pStyle w:val="BookText"/>
      </w:pPr>
      <w:r>
        <w:rPr>
          <w:rFonts w:ascii="IRNazanin" w:hAnsi="IRNazanin" w:eastAsia="IRNazanin" w:cs="IRNazanin"/>
          <w:lang w:bidi="fa-IR"/>
          <w:color w:val="111111"/>
          <w:sz w:val="28"/>
          <w:szCs w:val="28"/>
          <w:rtl/>
        </w:rPr>
        <w:t xml:space="preserve">تاریخ تأليف: «الغارس» = ۱۲۹۲</w:t>
      </w:r>
    </w:p>
    <w:p>
      <w:pPr>
        <w:pStyle w:val="BookText"/>
      </w:pPr>
      <w:r>
        <w:rPr>
          <w:rFonts w:ascii="IRNazanin" w:hAnsi="IRNazanin" w:eastAsia="IRNazanin" w:cs="IRNazanin"/>
          <w:lang w:bidi="fa-IR"/>
          <w:color w:val="111111"/>
          <w:sz w:val="28"/>
          <w:szCs w:val="28"/>
          <w:rtl/>
        </w:rPr>
        <w:t xml:space="preserve">مختصری است مقدمه مانند برای قواعد اصول فقه تا طالب آن در علم اصول بینا باشد، استفاده شده از گفته های پدرش و با الفاظ وی، در پنج «مطلب»: ۱. تعریف علم الاصول؛ ۲. معرفة موضوعه؛ ۳. معرفة محمول ذلك الموضوع؛ ۴. معرفة فائدته؛ ۵. بیان مدرکه.</w:t>
      </w:r>
    </w:p>
    <w:p>
      <w:pPr>
        <w:pStyle w:val="BookText"/>
      </w:pPr>
      <w:r>
        <w:rPr>
          <w:rFonts w:ascii="IRNazanin" w:hAnsi="IRNazanin" w:eastAsia="IRNazanin" w:cs="IRNazanin"/>
          <w:lang w:bidi="fa-IR"/>
          <w:color w:val="111111"/>
          <w:sz w:val="28"/>
          <w:szCs w:val="28"/>
          <w:rtl/>
        </w:rPr>
        <w:t xml:space="preserve">آغاز: الحمدلله على بذل نعمته و الصلاة و السلام على رسوله محمد و عترته، أما بعد فيقول العبد الواثق ... سیف الدین علی بن محمد جعفر الاسترابادی ... ان هذه رسالة سمعت مطالبها عن والدي العلامة دام ظله ... و سميتها البنيان المرصوص في بيان مقدمات الشروع في علم الاصول بالخصوص ...</w:t>
      </w:r>
    </w:p>
    <w:p>
      <w:pPr>
        <w:pStyle w:val="BookText"/>
      </w:pPr>
      <w:r>
        <w:rPr>
          <w:rFonts w:ascii="IRNazanin" w:hAnsi="IRNazanin" w:eastAsia="IRNazanin" w:cs="IRNazanin"/>
          <w:lang w:bidi="fa-IR"/>
          <w:color w:val="111111"/>
          <w:sz w:val="28"/>
          <w:szCs w:val="28"/>
          <w:rtl/>
        </w:rPr>
        <w:t xml:space="preserve">قم؛ مرعشی؛ شماره نسخه: ۴۰۲۳/۷</w:t>
      </w:r>
    </w:p>
    <w:p>
      <w:pPr>
        <w:pStyle w:val="BookText"/>
      </w:pPr>
      <w:r>
        <w:rPr>
          <w:rFonts w:ascii="Amiri" w:hAnsi="Amiri" w:eastAsia="Amiri" w:cs="Amiri"/>
          <w:lang w:bidi="ar-SA"/>
          <w:color w:val="111111"/>
          <w:sz w:val="28"/>
          <w:szCs w:val="28"/>
          <w:rtl/>
        </w:rPr>
        <w:t xml:space="preserve">آغاز: برابر؛ انجام: و كان ذلك بتأييد المؤيد الغارس في عام يسير اليه وصفه المعنوي و هو غارس ...</w:t>
      </w:r>
    </w:p>
    <w:p>
      <w:pPr>
        <w:pStyle w:val="BookText"/>
      </w:pPr>
      <w:r>
        <w:rPr>
          <w:rFonts w:ascii="IRNazanin" w:hAnsi="IRNazanin" w:eastAsia="IRNazanin" w:cs="IRNazanin"/>
          <w:lang w:bidi="fa-IR"/>
          <w:color w:val="111111"/>
          <w:sz w:val="28"/>
          <w:szCs w:val="28"/>
          <w:rtl/>
        </w:rPr>
        <w:t xml:space="preserve">خط: نسخ، كا: آقا بابا بن محمد مهدی شهمیرزادی، تا: ۱۲۵۵ق؛ مصحح، با علامت بلاغ؛ جلد: تیماج قهوه ای، ۹گ (۷۲ر-۸۰ر)، ۲۵ سطر،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۱۱-۲۶]</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تبریز؛ قاضی طباطبائی، شماره نسخه: بدون شماره ۶</w:t>
      </w:r>
    </w:p>
    <w:p>
      <w:pPr>
        <w:pStyle w:val="BookText"/>
      </w:pPr>
      <w:r>
        <w:rPr>
          <w:rFonts w:ascii="IRNazanin" w:hAnsi="IRNazanin" w:eastAsia="IRNazanin" w:cs="IRNazanin"/>
          <w:lang w:bidi="fa-IR"/>
          <w:color w:val="111111"/>
          <w:sz w:val="28"/>
          <w:szCs w:val="28"/>
          <w:rtl/>
        </w:rPr>
        <w:t xml:space="preserve">بی کا، بی تا [نشریه: ۷-۵۱۷]</w:t>
      </w:r>
    </w:p>
    <w:p>
      <w:pPr>
        <w:pStyle w:val="BookText"/>
      </w:pPr>
      <w:r>
        <w:rPr>
          <w:rFonts w:ascii="IRNazanin" w:hAnsi="IRNazanin" w:eastAsia="IRNazanin" w:cs="IRNazanin"/>
          <w:lang w:bidi="fa-IR"/>
          <w:color w:val="111111"/>
          <w:sz w:val="28"/>
          <w:szCs w:val="28"/>
          <w:rtl/>
        </w:rPr>
        <w:t xml:space="preserve">۴. تهران، حقوق، شماره نسخه: ۲۳/۲ -ب</w:t>
      </w:r>
    </w:p>
    <w:p>
      <w:pPr>
        <w:pStyle w:val="BookText"/>
      </w:pPr>
      <w:r>
        <w:rPr>
          <w:rFonts w:ascii="IRNazanin" w:hAnsi="IRNazanin" w:eastAsia="IRNazanin" w:cs="IRNazanin"/>
          <w:lang w:bidi="fa-IR"/>
          <w:color w:val="111111"/>
          <w:sz w:val="28"/>
          <w:szCs w:val="28"/>
          <w:rtl/>
        </w:rPr>
        <w:t xml:space="preserve">آغاز: برابر؛ انجام: وضعی و تکلیفی و كل منهما</w:t>
      </w:r>
    </w:p>
    <w:p>
      <w:pPr>
        <w:pStyle w:val="BookText"/>
      </w:pPr>
      <w:r>
        <w:rPr>
          <w:rFonts w:ascii="IRNazanin" w:hAnsi="IRNazanin" w:eastAsia="IRNazanin" w:cs="IRNazanin"/>
          <w:lang w:bidi="fa-IR"/>
          <w:color w:val="111111"/>
          <w:sz w:val="28"/>
          <w:szCs w:val="28"/>
          <w:rtl/>
        </w:rPr>
        <w:t xml:space="preserve">تا نیمه مطلب یکم بیشتر نوشته نشده؛ بی کا، بی تا؛ ۱۰۰گ (۲۲۷ر-۳۲۶پ) [ف: ۲۷۹]</w:t>
      </w:r>
    </w:p>
    <w:p>
      <w:pPr>
        <w:pStyle w:val="Heading3"/>
      </w:pPr>
      <w:bookmarkStart w:id="1002" w:name="_Toc262"/>
      <w:r>
        <w:t>• البنيان المرصوص بالبراهين و النصوص / اصول فقه / عربی</w:t>
      </w:r>
      <w:bookmarkEnd w:id="1002"/>
    </w:p>
    <w:p>
      <w:pPr>
        <w:pStyle w:val="BookText"/>
      </w:pPr>
      <w:r>
        <w:rPr>
          <w:rFonts w:ascii="Times New Roman" w:hAnsi="Times New Roman" w:eastAsia="Times New Roman" w:cs="Times New Roman"/>
          <w:lang w:val="en-US" w:bidi="en-US"/>
          <w:color w:val="111111"/>
          <w:sz w:val="28"/>
          <w:szCs w:val="28"/>
          <w:rtl/>
        </w:rPr>
        <w:t xml:space="preserve">al-bunyan-ul marsus bi-1-barahin wa-n nusus</w:t>
      </w:r>
    </w:p>
    <w:p>
      <w:pPr>
        <w:pStyle w:val="BookText"/>
      </w:pPr>
      <w:r>
        <w:rPr>
          <w:rFonts w:ascii="IRNazanin" w:hAnsi="IRNazanin" w:eastAsia="IRNazanin" w:cs="IRNazanin"/>
          <w:lang w:bidi="fa-IR"/>
          <w:color w:val="111111"/>
          <w:sz w:val="28"/>
          <w:szCs w:val="28"/>
          <w:rtl/>
        </w:rPr>
        <w:t xml:space="preserve">اخباری، محمد بن عبد النبی، ۱۱۷۸-۱۲۳۲ قمری</w:t>
      </w:r>
    </w:p>
    <w:p>
      <w:pPr>
        <w:pStyle w:val="BookText"/>
      </w:pPr>
      <w:r>
        <w:rPr>
          <w:rFonts w:ascii="Times New Roman" w:hAnsi="Times New Roman" w:eastAsia="Times New Roman" w:cs="Times New Roman"/>
          <w:lang w:val="en-US" w:bidi="en-US"/>
          <w:color w:val="111111"/>
          <w:sz w:val="28"/>
          <w:szCs w:val="28"/>
          <w:rtl/>
        </w:rPr>
        <w:t xml:space="preserve">axbārī, mohammad ebn-e ‘abd-on-nabī (1765-1817)</w:t>
      </w:r>
    </w:p>
    <w:p>
      <w:pPr>
        <w:pStyle w:val="BookText"/>
      </w:pPr>
      <w:r>
        <w:rPr>
          <w:rFonts w:ascii="IRNazanin" w:hAnsi="IRNazanin" w:eastAsia="IRNazanin" w:cs="IRNazanin"/>
          <w:lang w:bidi="fa-IR"/>
          <w:color w:val="111111"/>
          <w:sz w:val="28"/>
          <w:szCs w:val="28"/>
          <w:rtl/>
        </w:rPr>
        <w:t xml:space="preserve">تاریخ تأليف: چهارشنبه ۲۲ رمضان ۱۲۲۹؛ محل تأليف: مقابر قریش [الذریعه ۱۵۲/۳ ]</w:t>
      </w:r>
    </w:p>
    <w:p>
      <w:pPr>
        <w:pStyle w:val="BookText"/>
      </w:pPr>
      <w:r>
        <w:rPr>
          <w:rFonts w:ascii="IRNazanin" w:hAnsi="IRNazanin" w:eastAsia="IRNazanin" w:cs="IRNazanin"/>
          <w:lang w:bidi="fa-IR"/>
          <w:color w:val="111111"/>
          <w:sz w:val="28"/>
          <w:szCs w:val="28"/>
          <w:rtl/>
        </w:rPr>
        <w:t xml:space="preserve">شیراز؛ امام عصر؛ شماره نسخه: ۳۷۴/۱</w:t>
      </w:r>
    </w:p>
    <w:p>
      <w:pPr>
        <w:pStyle w:val="BookText"/>
      </w:pPr>
      <w:r>
        <w:rPr>
          <w:rFonts w:ascii="IRNazanin" w:hAnsi="IRNazanin" w:eastAsia="IRNazanin" w:cs="IRNazanin"/>
          <w:lang w:bidi="fa-IR"/>
          <w:color w:val="111111"/>
          <w:sz w:val="28"/>
          <w:szCs w:val="28"/>
          <w:rtl/>
        </w:rPr>
        <w:t xml:space="preserve">آغاز: بسمله، الحمد لله و سلام على عباده الذين اصطفی و بهد فهذه ميزان الهدی و مقباس التقى المسمى بالبنيان خط: نستعلیق، کا: احمد بن محمد بن احمد عرصی، تا: ۱۲۴۲ق، جان بندر بوشهر؛ ۱۲گ (۱-۱۲)،اندازه:۲۱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۱-۱۲۱]</w:t>
      </w:r>
    </w:p>
    <w:p>
      <w:pPr>
        <w:pStyle w:val="Heading3"/>
      </w:pPr>
      <w:bookmarkStart w:id="1003" w:name="_Toc263"/>
      <w:r>
        <w:t>•بوادي اللطائف بوادي الطائف/ تاریخ /عربی</w:t>
      </w:r>
      <w:bookmarkEnd w:id="1003"/>
    </w:p>
    <w:p>
      <w:pPr>
        <w:pStyle w:val="BookText"/>
      </w:pPr>
      <w:r>
        <w:rPr>
          <w:rFonts w:ascii="Times New Roman" w:hAnsi="Times New Roman" w:eastAsia="Times New Roman" w:cs="Times New Roman"/>
          <w:lang w:val="en-US" w:bidi="en-US"/>
          <w:color w:val="111111"/>
          <w:sz w:val="28"/>
          <w:szCs w:val="28"/>
          <w:rtl/>
        </w:rPr>
        <w:t xml:space="preserve">bawadi-1 lataif bawadi-e ta'if</w:t>
      </w:r>
    </w:p>
    <w:p>
      <w:pPr>
        <w:pStyle w:val="BookText"/>
      </w:pPr>
      <w:r>
        <w:rPr>
          <w:rFonts w:ascii="IRNazanin" w:hAnsi="IRNazanin" w:eastAsia="IRNazanin" w:cs="IRNazanin"/>
          <w:lang w:bidi="fa-IR"/>
          <w:color w:val="111111"/>
          <w:sz w:val="28"/>
          <w:szCs w:val="28"/>
          <w:rtl/>
        </w:rPr>
        <w:t xml:space="preserve">تاریخ تأليف: ۱۰۲۴ق</w:t>
      </w:r>
    </w:p>
    <w:p>
      <w:pPr>
        <w:pStyle w:val="BookText"/>
      </w:pPr>
      <w:r>
        <w:rPr>
          <w:rFonts w:ascii="IRNazanin" w:hAnsi="IRNazanin" w:eastAsia="IRNazanin" w:cs="IRNazanin"/>
          <w:lang w:bidi="fa-IR"/>
          <w:color w:val="111111"/>
          <w:sz w:val="28"/>
          <w:szCs w:val="28"/>
          <w:rtl/>
        </w:rPr>
        <w:t xml:space="preserve">نویسنده می گوید چون به ایام اقامت در مکه مقدر شد که پس از مدتی توقف در آنجا به طائف نیز سری بزنم و از آثار نبویه و مشهوره طائف و بقاع متبرکه آنجا زیارتی کنم به خصوص زیارت سیدنا عبدالله بن عباس و کسانی از صحابه که بدانجا مدفونند چون سعادت دیدار این سرزمین دست داد در قریه السلامة اقامت گزیدم و وقت خوش کردم و بر آن شدم بعضی از مشاهدات خود را که از واردات بود به قلم در آورم و تقدیم برادران دینی خود کنم. او سپس بدون مراعات و ترتیب آیات و احادیث چندی را بر حسب موقعیت حال خود تفسیر می کند و هر نوبت کلام خود را با «بسم الله الرحمن الرحیم» می آغازد. از بحث او بر می آید که او را مشرب عارفان و صوفیان بوده است.</w:t>
      </w:r>
    </w:p>
    <w:p>
      <w:pPr>
        <w:pStyle w:val="BookText"/>
      </w:pPr>
      <w:r>
        <w:rPr>
          <w:rFonts w:ascii="IRNazanin" w:hAnsi="IRNazanin" w:eastAsia="IRNazanin" w:cs="IRNazanin"/>
          <w:lang w:bidi="fa-IR"/>
          <w:color w:val="111111"/>
          <w:sz w:val="28"/>
          <w:szCs w:val="28"/>
          <w:rtl/>
        </w:rPr>
        <w:t xml:space="preserve">تهران؛ ملی؛ شماره نسخه: ۱۴۰۴/۷</w:t>
      </w:r>
    </w:p>
    <w:p>
      <w:pPr>
        <w:pStyle w:val="BookText"/>
      </w:pPr>
      <w:r>
        <w:rPr>
          <w:rFonts w:ascii="IRNazanin" w:hAnsi="IRNazanin" w:eastAsia="IRNazanin" w:cs="IRNazanin"/>
          <w:lang w:bidi="fa-IR"/>
          <w:color w:val="111111"/>
          <w:sz w:val="28"/>
          <w:szCs w:val="28"/>
          <w:rtl/>
        </w:rPr>
        <w:t xml:space="preserve">آغاز: بسمله، الحمدلله رب العالمین و صلی الله على سيدنا محمد و على آله؛ انجام: من وجه تخصیصها بالذكر فتامل و الله اعلم</w:t>
      </w:r>
    </w:p>
    <w:p>
      <w:pPr>
        <w:pStyle w:val="BookText"/>
      </w:pPr>
      <w:r>
        <w:rPr>
          <w:rFonts w:ascii="IRNazanin" w:hAnsi="IRNazanin" w:eastAsia="IRNazanin" w:cs="IRNazanin"/>
          <w:lang w:bidi="fa-IR"/>
          <w:color w:val="111111"/>
          <w:sz w:val="28"/>
          <w:szCs w:val="28"/>
          <w:rtl/>
        </w:rPr>
        <w:t xml:space="preserve">خط: نسخ، بی کا، تا: محتم قرن ۱۱؛ کاغذ: سمرقندی و ترمه جلد: تیماج تریاکی کوبیده عطف پارچه مشکی، ۲۵ص (۳۱۱ ۳۳۵)، ۲۱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سم [ف: ۹-۴۲۱]</w:t>
      </w:r>
    </w:p>
    <w:p>
      <w:pPr>
        <w:pStyle w:val="Heading3"/>
      </w:pPr>
      <w:bookmarkStart w:id="1004" w:name="_Toc264"/>
      <w:r>
        <w:t>• البوارق / عرفان و تصوف / فارسی</w:t>
      </w:r>
      <w:bookmarkEnd w:id="1004"/>
    </w:p>
    <w:p>
      <w:pPr>
        <w:pStyle w:val="BookText"/>
      </w:pPr>
      <w:r>
        <w:rPr>
          <w:rFonts w:ascii="Times New Roman" w:hAnsi="Times New Roman" w:eastAsia="Times New Roman" w:cs="Times New Roman"/>
          <w:lang w:val="en-US" w:bidi="en-US"/>
          <w:color w:val="111111"/>
          <w:sz w:val="28"/>
          <w:szCs w:val="28"/>
          <w:rtl/>
        </w:rPr>
        <w:t xml:space="preserve">al-bawāriq</w:t>
      </w:r>
    </w:p>
    <w:p>
      <w:pPr>
        <w:pStyle w:val="BookText"/>
      </w:pPr>
      <w:r>
        <w:rPr>
          <w:rFonts w:ascii="IRNazanin" w:hAnsi="IRNazanin" w:eastAsia="IRNazanin" w:cs="IRNazanin"/>
          <w:lang w:bidi="fa-IR"/>
          <w:color w:val="111111"/>
          <w:sz w:val="28"/>
          <w:szCs w:val="28"/>
          <w:rtl/>
        </w:rPr>
        <w:t xml:space="preserve">خواجگی شیرازی، محمد بن احمد، ق ۱۰ قمری</w:t>
      </w:r>
    </w:p>
    <w:p>
      <w:pPr>
        <w:pStyle w:val="BookText"/>
      </w:pPr>
      <w:r>
        <w:rPr>
          <w:rFonts w:ascii="Times New Roman" w:hAnsi="Times New Roman" w:eastAsia="Times New Roman" w:cs="Times New Roman"/>
          <w:lang w:val="en-US" w:bidi="en-US"/>
          <w:color w:val="111111"/>
          <w:sz w:val="28"/>
          <w:szCs w:val="28"/>
          <w:rtl/>
        </w:rPr>
        <w:t xml:space="preserve">xājagī-ye šīrāzī, mohammad ebn-e ahmad (- 16c)</w:t>
      </w:r>
    </w:p>
    <w:p>
      <w:pPr>
        <w:pStyle w:val="BookText"/>
      </w:pPr>
      <w:r>
        <w:rPr>
          <w:rFonts w:ascii="IRNazanin" w:hAnsi="IRNazanin" w:eastAsia="IRNazanin" w:cs="IRNazanin"/>
          <w:lang w:bidi="fa-IR"/>
          <w:color w:val="111111"/>
          <w:sz w:val="28"/>
          <w:szCs w:val="28"/>
          <w:rtl/>
        </w:rPr>
        <w:t xml:space="preserve">این رساله شامل سی «بارقه» است: ۱. محبت و عشق، ۲. شریعت و طریقت و حقیقت، ۳. حقیقت وقت، ۴. مقام، ۵. حال، ۶. خواطر، ۷. وارد، ۸ نفس النفس، ۹. شاهد، ۱۰. نفس، ... ۱۵. قرب و بعد، ... ۲۰. هیبت و انس، ... ۲۵. لوایح و لوامع و طالع، ... ۳۰. سماع و رقص. در صفحه سوم آمده است: «فقیری حقیر غریقی کریبی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ضعیفی نحیفی حریفی غریبی / ملقب بشمس و محمد بنام *** علم خواجگی اهل دل را غلام»</w:t>
      </w:r>
    </w:p>
    <w:p>
      <w:pPr>
        <w:pStyle w:val="BookText"/>
      </w:pPr>
      <w:r>
        <w:rPr>
          <w:rFonts w:ascii="IRNazanin" w:hAnsi="IRNazanin" w:eastAsia="IRNazanin" w:cs="IRNazanin"/>
          <w:lang w:bidi="fa-IR"/>
          <w:color w:val="111111"/>
          <w:sz w:val="28"/>
          <w:szCs w:val="28"/>
          <w:rtl/>
        </w:rPr>
        <w:t xml:space="preserve">مشهد، الهیات، شماره نسخه: ۲۱۹۷۹</w:t>
      </w:r>
    </w:p>
    <w:p>
      <w:pPr>
        <w:pStyle w:val="BookText"/>
      </w:pPr>
      <w:r>
        <w:rPr>
          <w:rFonts w:ascii="IRNazanin" w:hAnsi="IRNazanin" w:eastAsia="IRNazanin" w:cs="IRNazanin"/>
          <w:lang w:bidi="fa-IR"/>
          <w:color w:val="111111"/>
          <w:sz w:val="28"/>
          <w:szCs w:val="28"/>
          <w:rtl/>
        </w:rPr>
        <w:t xml:space="preserve">آغاز: بسمله يا رب يا رباه باسمک ابتدی ***بک اقتدی و بنور وجهك اهتدى ... آغاز کرده شد کتاب بوارق بعد اتمام کتاب طوارق بنام تو ای دارنده جهان؛ انجام: که خود را بر تو میبندم بسالوسی و زراقی تمت كتبه حسن آقا خادم الفقراء غلام محمد یوسف حسینی بتاریخ بیست و دوم ماه ربیع الاول سنه یکهزار و شصت و دو.</w:t>
      </w:r>
    </w:p>
    <w:p>
      <w:pPr>
        <w:pStyle w:val="BookText"/>
      </w:pPr>
      <w:r>
        <w:rPr>
          <w:rFonts w:ascii="IRNazanin" w:hAnsi="IRNazanin" w:eastAsia="IRNazanin" w:cs="IRNazanin"/>
          <w:lang w:bidi="fa-IR"/>
          <w:color w:val="111111"/>
          <w:sz w:val="28"/>
          <w:szCs w:val="28"/>
          <w:rtl/>
        </w:rPr>
        <w:t xml:space="preserve">خط: نستعلیق، كا: غلام محمد یوسف حسینی، تا: ۲۲ ربيع الثانی ۱۰۶۲ق؛ کاغذ: هندی، جلد: مقوا با روکش پارچه ای، ۵۰گ، ۱۷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اندازه: ۱۳/۵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۲۲/۵سم [ف: ۲-۶۴۷]</w:t>
      </w:r>
    </w:p>
    <w:p>
      <w:pPr>
        <w:pStyle w:val="Heading3"/>
      </w:pPr>
      <w:bookmarkStart w:id="1005" w:name="_Toc265"/>
      <w:r>
        <w:t>• البوارق / اصول فقه / عربی</w:t>
      </w:r>
      <w:bookmarkEnd w:id="1005"/>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9" w:name="pg20363_209249"/>
    <w:bookmarkEnd w:id="89"/>
    <w:p>
      <w:pPr>
        <w:pStyle w:val="BookText"/>
      </w:pPr>
      <w:r>
        <w:rPr>
          <w:rFonts w:ascii="Times New Roman" w:hAnsi="Times New Roman" w:eastAsia="Times New Roman" w:cs="Times New Roman"/>
          <w:lang w:val="en-US" w:bidi="en-US"/>
          <w:color w:val="111111"/>
          <w:sz w:val="28"/>
          <w:szCs w:val="28"/>
          <w:rtl/>
        </w:rPr>
        <w:t xml:space="preserve">al-bawāriq</w:t>
      </w:r>
    </w:p>
    <w:p>
      <w:pPr>
        <w:pStyle w:val="BookText"/>
      </w:pPr>
      <w:r>
        <w:rPr>
          <w:rFonts w:ascii="IRNazanin" w:hAnsi="IRNazanin" w:eastAsia="IRNazanin" w:cs="IRNazanin"/>
          <w:lang w:bidi="fa-IR"/>
          <w:color w:val="111111"/>
          <w:sz w:val="28"/>
          <w:szCs w:val="28"/>
          <w:rtl/>
        </w:rPr>
        <w:t xml:space="preserve">بارفروشی مازندرانی، محمد بن مقیم، ۱۱۹۶-۱۲۸۱ قمری</w:t>
      </w:r>
    </w:p>
    <w:p>
      <w:pPr>
        <w:pStyle w:val="BookText"/>
      </w:pPr>
      <w:r>
        <w:rPr>
          <w:rFonts w:ascii="Times New Roman" w:hAnsi="Times New Roman" w:eastAsia="Times New Roman" w:cs="Times New Roman"/>
          <w:lang w:val="en-US" w:bidi="en-US"/>
          <w:color w:val="111111"/>
          <w:sz w:val="28"/>
          <w:szCs w:val="28"/>
          <w:rtl/>
        </w:rPr>
        <w:t xml:space="preserve">bārforūšī māzandarānī, mohammad ebn-e moqīm (1782-1865)</w:t>
      </w:r>
    </w:p>
    <w:p>
      <w:pPr>
        <w:pStyle w:val="BookText"/>
      </w:pPr>
      <w:r>
        <w:rPr>
          <w:rFonts w:ascii="IRNazanin" w:hAnsi="IRNazanin" w:eastAsia="IRNazanin" w:cs="IRNazanin"/>
          <w:lang w:bidi="fa-IR"/>
          <w:color w:val="111111"/>
          <w:sz w:val="28"/>
          <w:szCs w:val="28"/>
          <w:rtl/>
        </w:rPr>
        <w:t xml:space="preserve">کتابی استدلالی و نسبتا مفصل در قواعدی از اصول فقه مشوب با مبادی کلامی و فلسفی، در چند «بارقه» است که این عناوین در این نسخه دیده می شود: ۲. الحسن و القبح العقليين؛ ۲. في آن الحسن و القبح ذاتیان؛ ۴. التلازم بين حكم العقل و الشرع؛ ۵. في أن أفعال الله تعالی معللة بالاغراض؛ ۶. في أنه لا يجوز خلو واقعة عن حكم من الأحكام؛ 7. في أن الأصل في الاشياء الاباحة؛ ۸ أصالة البراءة؛ ۹. حجية المظنة.</w:t>
      </w:r>
    </w:p>
    <w:p>
      <w:pPr>
        <w:pStyle w:val="BookText"/>
      </w:pPr>
      <w:r>
        <w:rPr>
          <w:rFonts w:ascii="IRNazanin" w:hAnsi="IRNazanin" w:eastAsia="IRNazanin" w:cs="IRNazanin"/>
          <w:lang w:bidi="fa-IR"/>
          <w:color w:val="111111"/>
          <w:sz w:val="28"/>
          <w:szCs w:val="28"/>
          <w:rtl/>
        </w:rPr>
        <w:t xml:space="preserve">قم؛ مرعشی؛ شماره نسخه: ۳۴۳۷/۱</w:t>
      </w:r>
    </w:p>
    <w:p>
      <w:pPr>
        <w:pStyle w:val="BookText"/>
      </w:pPr>
      <w:r>
        <w:rPr>
          <w:rFonts w:ascii="IRNazanin" w:hAnsi="IRNazanin" w:eastAsia="IRNazanin" w:cs="IRNazanin"/>
          <w:lang w:bidi="fa-IR"/>
          <w:color w:val="111111"/>
          <w:sz w:val="28"/>
          <w:szCs w:val="28"/>
          <w:rtl/>
        </w:rPr>
        <w:t xml:space="preserve">آغاز: تفصيلا و لو بطريق القاء الوصول لاستنباط الفروع فكل من العقل و العلم حجة مطلقا انجام: بارقة في حجية المظنة و أن سیدنا اركانها و أبطلنا أصالة حرمتها في تقليد الميت</w:t>
      </w:r>
    </w:p>
    <w:p>
      <w:pPr>
        <w:pStyle w:val="BookText"/>
      </w:pPr>
      <w:r>
        <w:rPr>
          <w:rFonts w:ascii="IRNazanin" w:hAnsi="IRNazanin" w:eastAsia="IRNazanin" w:cs="IRNazanin"/>
          <w:lang w:bidi="fa-IR"/>
          <w:color w:val="111111"/>
          <w:sz w:val="28"/>
          <w:szCs w:val="28"/>
          <w:rtl/>
        </w:rPr>
        <w:t xml:space="preserve">خط: نستعلیق نازیبا، كا: يعقوب بن مقيم بارفروشی مازندرانی بی تا؛ افتادگی: آغاز؛ جلد: تیماج قهوه ای، ۴۴گ (۱ر -۴۴پ)،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۹-۲۲۲]</w:t>
      </w:r>
    </w:p>
    <w:p>
      <w:pPr>
        <w:pStyle w:val="Heading3"/>
      </w:pPr>
      <w:bookmarkStart w:id="1006" w:name="_Toc266"/>
      <w:r>
        <w:t>• البوارق / تاریخ / عربی</w:t>
      </w:r>
      <w:bookmarkEnd w:id="1006"/>
    </w:p>
    <w:p>
      <w:pPr>
        <w:pStyle w:val="BookText"/>
      </w:pPr>
      <w:r>
        <w:rPr>
          <w:rFonts w:ascii="Times New Roman" w:hAnsi="Times New Roman" w:eastAsia="Times New Roman" w:cs="Times New Roman"/>
          <w:lang w:val="en-US" w:bidi="en-US"/>
          <w:color w:val="111111"/>
          <w:sz w:val="28"/>
          <w:szCs w:val="28"/>
          <w:rtl/>
        </w:rPr>
        <w:t xml:space="preserve">al-bawāriq</w:t>
      </w:r>
    </w:p>
    <w:p>
      <w:pPr>
        <w:pStyle w:val="BookText"/>
      </w:pPr>
      <w:r>
        <w:rPr>
          <w:rFonts w:ascii="IRNazanin" w:hAnsi="IRNazanin" w:eastAsia="IRNazanin" w:cs="IRNazanin"/>
          <w:lang w:bidi="fa-IR"/>
          <w:color w:val="111111"/>
          <w:sz w:val="28"/>
          <w:szCs w:val="28"/>
          <w:rtl/>
        </w:rPr>
        <w:t xml:space="preserve">حسینی قمی، محمد مهدی، قمری</w:t>
      </w:r>
    </w:p>
    <w:p>
      <w:pPr>
        <w:pStyle w:val="BookText"/>
      </w:pPr>
      <w:r>
        <w:rPr>
          <w:rFonts w:ascii="Times New Roman" w:hAnsi="Times New Roman" w:eastAsia="Times New Roman" w:cs="Times New Roman"/>
          <w:lang w:val="en-US" w:bidi="en-US"/>
          <w:color w:val="111111"/>
          <w:sz w:val="28"/>
          <w:szCs w:val="28"/>
          <w:rtl/>
        </w:rPr>
        <w:t xml:space="preserve">hoseynī qomī, mohammad mahdī</w:t>
      </w:r>
    </w:p>
    <w:p>
      <w:pPr>
        <w:pStyle w:val="BookText"/>
      </w:pPr>
      <w:r>
        <w:rPr>
          <w:rFonts w:ascii="IRNazanin" w:hAnsi="IRNazanin" w:eastAsia="IRNazanin" w:cs="IRNazanin"/>
          <w:lang w:bidi="fa-IR"/>
          <w:color w:val="111111"/>
          <w:sz w:val="28"/>
          <w:szCs w:val="28"/>
          <w:rtl/>
        </w:rPr>
        <w:t xml:space="preserve">رساله ای است در فضیلت قم و تاریخ مختصری از بقعه دخت موسی و احادیثی که در فضیلت قم رسیده است. در آن آمده: «هذه جملة أحاديث في فضيلة بلدة قم و اهلها على ما نقلها مولانا محمد باقر في بحار الانوار و غيره في كتابهم، فقال جامع الاحادیث محمد مهدی الحسینی القمي رحمه الله تعالی.»</w:t>
      </w:r>
    </w:p>
    <w:p>
      <w:pPr>
        <w:pStyle w:val="BookText"/>
      </w:pPr>
      <w:r>
        <w:rPr>
          <w:rFonts w:ascii="Amiri" w:hAnsi="Amiri" w:eastAsia="Amiri" w:cs="Amiri"/>
          <w:lang w:bidi="ar-SA"/>
          <w:color w:val="111111"/>
          <w:sz w:val="28"/>
          <w:szCs w:val="28"/>
          <w:rtl/>
        </w:rPr>
        <w:t xml:space="preserve">آغاز: بسمله الحمدلله رب العالمين و العاقبة للمتقين و الصلوة و السلام على محمد و آله الطيبين الطاهرين</w:t>
      </w:r>
    </w:p>
    <w:p>
      <w:pPr>
        <w:pStyle w:val="BookText"/>
      </w:pPr>
      <w:r>
        <w:rPr>
          <w:rFonts w:ascii="IRNazanin" w:hAnsi="IRNazanin" w:eastAsia="IRNazanin" w:cs="IRNazanin"/>
          <w:lang w:bidi="fa-IR"/>
          <w:color w:val="111111"/>
          <w:sz w:val="28"/>
          <w:szCs w:val="28"/>
          <w:rtl/>
        </w:rPr>
        <w:t xml:space="preserve">انجام: القبة المقدسه ثلثة قبور قبر الست فاطمه علیها السلام و قبر ام محمد و قبر ام اسحق جارية محمد بن موسی رحمهم الله</w:t>
      </w:r>
    </w:p>
    <w:p>
      <w:pPr>
        <w:pStyle w:val="BookText"/>
      </w:pPr>
      <w:r>
        <w:rPr>
          <w:rFonts w:ascii="IRNazanin" w:hAnsi="IRNazanin" w:eastAsia="IRNazanin" w:cs="IRNazanin"/>
          <w:lang w:bidi="fa-IR"/>
          <w:color w:val="111111"/>
          <w:sz w:val="28"/>
          <w:szCs w:val="28"/>
          <w:rtl/>
        </w:rPr>
        <w:t xml:space="preserve">۱. تهران؛ مجلس؛ شماره نسخه: ۴۹۲۷/۱</w:t>
      </w:r>
    </w:p>
    <w:p>
      <w:pPr>
        <w:pStyle w:val="BookText"/>
      </w:pPr>
      <w:r>
        <w:rPr>
          <w:rFonts w:ascii="IRNazanin" w:hAnsi="IRNazanin" w:eastAsia="IRNazanin" w:cs="IRNazanin"/>
          <w:lang w:bidi="fa-IR"/>
          <w:color w:val="111111"/>
          <w:sz w:val="28"/>
          <w:szCs w:val="28"/>
          <w:rtl/>
        </w:rPr>
        <w:t xml:space="preserve">آغاز و انجام: برابر خط ثلث، كا: على اكبر، تا: ۱۲۷۵ق؛ مجدول؛ کاغذ: فرنگی، جلد: تیماج قرمز، ۴۶ گی، ابعاد متن:</w:t>
      </w:r>
    </w:p>
    <w:p>
      <w:pPr>
        <w:pStyle w:val="BookText"/>
      </w:pPr>
      <w:r>
        <w:rPr>
          <w:rFonts w:ascii="IRNazanin" w:hAnsi="IRNazanin" w:eastAsia="IRNazanin" w:cs="IRNazanin"/>
          <w:lang w:bidi="fa-IR"/>
          <w:color w:val="111111"/>
          <w:sz w:val="28"/>
          <w:szCs w:val="28"/>
          <w:rtl/>
        </w:rPr>
        <w:t xml:space="preserve">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 سم [ف: ۱۴-۱۵۳]</w:t>
      </w:r>
    </w:p>
    <w:p>
      <w:pPr>
        <w:pStyle w:val="BookText"/>
      </w:pPr>
      <w:r>
        <w:rPr>
          <w:rFonts w:ascii="IRNazanin" w:hAnsi="IRNazanin" w:eastAsia="IRNazanin" w:cs="IRNazanin"/>
          <w:lang w:bidi="fa-IR"/>
          <w:color w:val="111111"/>
          <w:sz w:val="28"/>
          <w:szCs w:val="28"/>
          <w:rtl/>
        </w:rPr>
        <w:t xml:space="preserve">۲. تهران؛ سپهسالار؛ شماره نسخه: ۱۸۵۲</w:t>
      </w:r>
    </w:p>
    <w:p>
      <w:pPr>
        <w:pStyle w:val="BookText"/>
      </w:pPr>
      <w:r>
        <w:rPr>
          <w:rFonts w:ascii="IRNazanin" w:hAnsi="IRNazanin" w:eastAsia="IRNazanin" w:cs="IRNazanin"/>
          <w:lang w:bidi="fa-IR"/>
          <w:color w:val="111111"/>
          <w:sz w:val="28"/>
          <w:szCs w:val="28"/>
          <w:rtl/>
        </w:rPr>
        <w:t xml:space="preserve">آغاز و انجام: برابر خط: نسخ خوب، كا: على اكبر فيض، تا: ۱۲۸۹ق؛ برای تقدیم به شاهزاده اعتضادالسلطنه وزیر علوم آن عصر نوشته شده؛ واقف: سپهسالار؛ کاغذ: سمرقندی، جلد: تیماج، ۲۱ص، ۱۰ سطر، قطع: خشتی،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۱-۲۲۱]</w:t>
      </w:r>
    </w:p>
    <w:p>
      <w:pPr>
        <w:pStyle w:val="BookText"/>
      </w:pPr>
      <w:r>
        <w:rPr>
          <w:rFonts w:ascii="IRNazanin" w:hAnsi="IRNazanin" w:eastAsia="IRNazanin" w:cs="IRNazanin"/>
          <w:lang w:bidi="fa-IR"/>
          <w:color w:val="111111"/>
          <w:sz w:val="28"/>
          <w:szCs w:val="28"/>
          <w:rtl/>
        </w:rPr>
        <w:t xml:space="preserve">٣. قم؛ فیضیه؛ شماره نسخه: ۲۰۳۸/۵</w:t>
      </w:r>
    </w:p>
    <w:p>
      <w:pPr>
        <w:pStyle w:val="BookText"/>
      </w:pPr>
      <w:r>
        <w:rPr>
          <w:rFonts w:ascii="IRNazanin" w:hAnsi="IRNazanin" w:eastAsia="IRNazanin" w:cs="IRNazanin"/>
          <w:lang w:bidi="fa-IR"/>
          <w:color w:val="111111"/>
          <w:sz w:val="28"/>
          <w:szCs w:val="28"/>
          <w:rtl/>
        </w:rPr>
        <w:t xml:space="preserve">بی کا، بی تا،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۲-۱۷۰]</w:t>
      </w:r>
    </w:p>
    <w:p>
      <w:pPr>
        <w:pStyle w:val="Heading3"/>
      </w:pPr>
      <w:bookmarkStart w:id="1007" w:name="_Toc267"/>
      <w:r>
        <w:t>• البوارق / کیمیا / عربی</w:t>
      </w:r>
      <w:bookmarkEnd w:id="1007"/>
    </w:p>
    <w:p>
      <w:pPr>
        <w:pStyle w:val="BookText"/>
      </w:pPr>
      <w:r>
        <w:rPr>
          <w:rFonts w:ascii="Times New Roman" w:hAnsi="Times New Roman" w:eastAsia="Times New Roman" w:cs="Times New Roman"/>
          <w:lang w:val="en-US" w:bidi="en-US"/>
          <w:color w:val="111111"/>
          <w:sz w:val="28"/>
          <w:szCs w:val="28"/>
          <w:rtl/>
        </w:rPr>
        <w:t xml:space="preserve">al-bawāriq</w:t>
      </w:r>
    </w:p>
    <w:p>
      <w:pPr>
        <w:pStyle w:val="BookText"/>
      </w:pPr>
      <w:r>
        <w:rPr>
          <w:rFonts w:ascii="IRNazanin" w:hAnsi="IRNazanin" w:eastAsia="IRNazanin" w:cs="IRNazanin"/>
          <w:lang w:bidi="fa-IR"/>
          <w:color w:val="111111"/>
          <w:sz w:val="28"/>
          <w:szCs w:val="28"/>
          <w:rtl/>
        </w:rPr>
        <w:t xml:space="preserve">تهران، دانشگاه؛ شماره نسخه: ۴۱۱۷/۲</w:t>
      </w:r>
    </w:p>
    <w:p>
      <w:pPr>
        <w:pStyle w:val="BookText"/>
      </w:pPr>
      <w:r>
        <w:rPr>
          <w:rFonts w:ascii="IRNazanin" w:hAnsi="IRNazanin" w:eastAsia="IRNazanin" w:cs="IRNazanin"/>
          <w:lang w:bidi="fa-IR"/>
          <w:color w:val="111111"/>
          <w:sz w:val="28"/>
          <w:szCs w:val="28"/>
          <w:rtl/>
        </w:rPr>
        <w:t xml:space="preserve">آغاز: كتاب البوارق للحکیم سباح بن یوشع). بسمله. قال الحكيم سباح اعلم يابني ان اول ما يظهر لك بارقة التين في ساعة تركيبه.؟ انجام: فاطرح فيه الاكسير.</w:t>
      </w:r>
    </w:p>
    <w:p>
      <w:pPr>
        <w:pStyle w:val="BookText"/>
      </w:pPr>
      <w:r>
        <w:rPr>
          <w:rFonts w:ascii="IRNazanin" w:hAnsi="IRNazanin" w:eastAsia="IRNazanin" w:cs="IRNazanin"/>
          <w:lang w:bidi="fa-IR"/>
          <w:color w:val="111111"/>
          <w:sz w:val="28"/>
          <w:szCs w:val="28"/>
          <w:rtl/>
        </w:rPr>
        <w:t xml:space="preserve">بی کا، بی تا، افتادگی: انجام؛ کاغذ: سپاهانی، جلد: تیماج مشکی ضربی مقوایی گرد و عطف قهوه ای، وگ (آپ -۱۷پ)، ۱۹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۱۳-۳۰۹۵]</w:t>
      </w:r>
    </w:p>
    <w:p>
      <w:pPr>
        <w:pStyle w:val="Heading3"/>
      </w:pPr>
      <w:bookmarkStart w:id="1008" w:name="_Toc268"/>
      <w:r>
        <w:t>• بوارق الالماع في الرد على من يحرم السماع بالكتاب و السنة و الاجماع / فقه / عربی</w:t>
      </w:r>
      <w:bookmarkEnd w:id="1008"/>
    </w:p>
    <w:p>
      <w:pPr>
        <w:pStyle w:val="BookText"/>
      </w:pPr>
      <w:r>
        <w:rPr>
          <w:rFonts w:ascii="Times New Roman" w:hAnsi="Times New Roman" w:eastAsia="Times New Roman" w:cs="Times New Roman"/>
          <w:lang w:val="en-US" w:bidi="en-US"/>
          <w:color w:val="111111"/>
          <w:sz w:val="28"/>
          <w:szCs w:val="28"/>
          <w:rtl/>
        </w:rPr>
        <w:t xml:space="preserve">bawariq-ul alma fi-r radd 'ala man yuharrim-u-s samā' bi-l-k. wa-s sunna wa-l ijmā"</w:t>
      </w:r>
    </w:p>
    <w:p>
      <w:pPr>
        <w:pStyle w:val="BookText"/>
      </w:pPr>
      <w:r>
        <w:rPr>
          <w:rFonts w:ascii="IRNazanin" w:hAnsi="IRNazanin" w:eastAsia="IRNazanin" w:cs="IRNazanin"/>
          <w:lang w:bidi="fa-IR"/>
          <w:color w:val="111111"/>
          <w:sz w:val="28"/>
          <w:szCs w:val="28"/>
          <w:rtl/>
        </w:rPr>
        <w:t xml:space="preserve">طوسی، احمد بن محمد، ق۶ قمری</w:t>
      </w:r>
    </w:p>
    <w:p>
      <w:pPr>
        <w:pStyle w:val="BookText"/>
      </w:pPr>
      <w:r>
        <w:rPr>
          <w:rFonts w:ascii="Times New Roman" w:hAnsi="Times New Roman" w:eastAsia="Times New Roman" w:cs="Times New Roman"/>
          <w:lang w:val="en-US" w:bidi="en-US"/>
          <w:color w:val="111111"/>
          <w:sz w:val="28"/>
          <w:szCs w:val="28"/>
          <w:rtl/>
        </w:rPr>
        <w:t xml:space="preserve">tūsī, ahmad ebn-e mohammad (- 12c)</w:t>
      </w:r>
    </w:p>
    <w:p>
      <w:pPr>
        <w:pStyle w:val="BookText"/>
      </w:pPr>
      <w:r>
        <w:rPr>
          <w:rFonts w:ascii="IRNazanin" w:hAnsi="IRNazanin" w:eastAsia="IRNazanin" w:cs="IRNazanin"/>
          <w:lang w:bidi="fa-IR"/>
          <w:color w:val="111111"/>
          <w:sz w:val="28"/>
          <w:szCs w:val="28"/>
          <w:rtl/>
        </w:rPr>
        <w:t xml:space="preserve">چاپ: چاپ جمس روبسن ( </w:t>
      </w:r>
      <w:r>
        <w:rPr>
          <w:rFonts w:ascii="Times New Roman" w:hAnsi="Times New Roman" w:eastAsia="Times New Roman" w:cs="Times New Roman"/>
          <w:lang w:val="en-US" w:bidi="en-US"/>
          <w:color w:val="111111"/>
          <w:sz w:val="28"/>
          <w:szCs w:val="28"/>
          <w:rtl/>
        </w:rPr>
        <w:t xml:space="preserve">J. Robson) </w:t>
      </w:r>
      <w:r>
        <w:rPr>
          <w:rFonts w:ascii="IRNazanin" w:hAnsi="IRNazanin" w:eastAsia="IRNazanin" w:cs="IRNazanin"/>
          <w:lang w:bidi="fa-IR"/>
          <w:color w:val="111111"/>
          <w:sz w:val="28"/>
          <w:szCs w:val="28"/>
          <w:rtl/>
        </w:rPr>
        <w:t xml:space="preserve">در ۱۹۳۸ در لندن با دیباچه انگلیسی.</w:t>
      </w:r>
    </w:p>
    <w:p>
      <w:pPr>
        <w:pStyle w:val="BookText"/>
      </w:pPr>
      <w:r>
        <w:rPr>
          <w:rFonts w:ascii="IRNazanin" w:hAnsi="IRNazanin" w:eastAsia="IRNazanin" w:cs="IRNazanin"/>
          <w:lang w:bidi="fa-IR"/>
          <w:color w:val="111111"/>
          <w:sz w:val="28"/>
          <w:szCs w:val="28"/>
          <w:rtl/>
        </w:rPr>
        <w:t xml:space="preserve">[راهنمای کتاب ۶۶/۱۷ ؛ احمد مجاهد در مجموعه آثار فارسی احمد غزالی ص ۵۳۸ و دیباچه سماع و فتوت همین طوسی)</w:t>
      </w:r>
    </w:p>
    <w:p>
      <w:pPr>
        <w:pStyle w:val="BookText"/>
      </w:pPr>
      <w:r>
        <w:rPr>
          <w:rFonts w:ascii="IRNazanin" w:hAnsi="IRNazanin" w:eastAsia="IRNazanin" w:cs="IRNazanin"/>
          <w:lang w:bidi="fa-IR"/>
          <w:color w:val="111111"/>
          <w:sz w:val="28"/>
          <w:szCs w:val="28"/>
          <w:rtl/>
        </w:rPr>
        <w:t xml:space="preserve">تهران، دانشگاه؛ شماره نسخه: ۴۴۶۱/۲ -ف</w:t>
      </w:r>
    </w:p>
    <w:p>
      <w:pPr>
        <w:pStyle w:val="BookText"/>
      </w:pPr>
      <w:r>
        <w:rPr>
          <w:rFonts w:ascii="IRNazanin" w:hAnsi="IRNazanin" w:eastAsia="IRNazanin" w:cs="IRNazanin"/>
          <w:lang w:bidi="fa-IR"/>
          <w:color w:val="111111"/>
          <w:sz w:val="28"/>
          <w:szCs w:val="28"/>
          <w:rtl/>
        </w:rPr>
        <w:t xml:space="preserve">بی کا، بی تا [فیلمها ف: ۳-۵۰]</w:t>
      </w:r>
    </w:p>
    <w:p>
      <w:pPr>
        <w:pStyle w:val="Heading3"/>
      </w:pPr>
      <w:bookmarkStart w:id="1009" w:name="_Toc269"/>
      <w:r>
        <w:t>• البوارق الحيدرية / كلام و اعتقادات / عربی</w:t>
      </w:r>
      <w:bookmarkEnd w:id="1009"/>
    </w:p>
    <w:p>
      <w:pPr>
        <w:pStyle w:val="BookText"/>
      </w:pPr>
      <w:r>
        <w:rPr>
          <w:rFonts w:ascii="Times New Roman" w:hAnsi="Times New Roman" w:eastAsia="Times New Roman" w:cs="Times New Roman"/>
          <w:lang w:val="en-US" w:bidi="en-US"/>
          <w:color w:val="111111"/>
          <w:sz w:val="28"/>
          <w:szCs w:val="28"/>
          <w:rtl/>
        </w:rPr>
        <w:t xml:space="preserve">al-bawariq-ul hiydariyya</w:t>
      </w:r>
    </w:p>
    <w:p>
      <w:pPr>
        <w:pStyle w:val="BookText"/>
      </w:pPr>
      <w:r>
        <w:rPr>
          <w:rFonts w:ascii="IRNazanin" w:hAnsi="IRNazanin" w:eastAsia="IRNazanin" w:cs="IRNazanin"/>
          <w:lang w:bidi="fa-IR"/>
          <w:color w:val="111111"/>
          <w:sz w:val="28"/>
          <w:szCs w:val="28"/>
          <w:rtl/>
        </w:rPr>
        <w:t xml:space="preserve">شاهرودی خراسانی، محمد علی بن محمد کاظم، - ۱۲۹۳ قمری</w:t>
      </w:r>
    </w:p>
    <w:p>
      <w:pPr>
        <w:pStyle w:val="BookText"/>
      </w:pPr>
      <w:r>
        <w:rPr>
          <w:rFonts w:ascii="Times New Roman" w:hAnsi="Times New Roman" w:eastAsia="Times New Roman" w:cs="Times New Roman"/>
          <w:lang w:val="en-US" w:bidi="en-US"/>
          <w:color w:val="111111"/>
          <w:sz w:val="28"/>
          <w:szCs w:val="28"/>
          <w:rtl/>
        </w:rPr>
        <w:t xml:space="preserve">šāhrūdī xorāsānī, mohammad Salī ebn-e mohammad kazem (- 1876)</w:t>
      </w:r>
    </w:p>
    <w:p>
      <w:pPr>
        <w:pStyle w:val="BookText"/>
      </w:pPr>
      <w:r>
        <w:rPr>
          <w:rFonts w:ascii="IRNazanin" w:hAnsi="IRNazanin" w:eastAsia="IRNazanin" w:cs="IRNazanin"/>
          <w:lang w:bidi="fa-IR"/>
          <w:color w:val="111111"/>
          <w:sz w:val="28"/>
          <w:szCs w:val="28"/>
          <w:rtl/>
        </w:rPr>
        <w:t xml:space="preserve">تاريخ تألیف: سه شنبه دهه دوم محرم ۱۲۶۵ق</w:t>
      </w:r>
    </w:p>
    <w:p>
      <w:pPr>
        <w:pStyle w:val="BookText"/>
      </w:pPr>
      <w:r>
        <w:rPr>
          <w:rFonts w:ascii="IRNazanin" w:hAnsi="IRNazanin" w:eastAsia="IRNazanin" w:cs="IRNazanin"/>
          <w:lang w:bidi="fa-IR"/>
          <w:color w:val="111111"/>
          <w:sz w:val="28"/>
          <w:szCs w:val="28"/>
          <w:rtl/>
        </w:rPr>
        <w:t xml:space="preserve">کتابی درباره پاره ای از عقاید در توحید و نبوت و امامت به روش علمای فلسفه و کلام با اشاره به احادیث و روایات اهل بیت (عليه السلام)، و اثبات اینکه معصومین علت ایجاد می باشند، دارای یک «مقدمه» و چند «بارق» و یک «خاتمه».</w:t>
      </w:r>
    </w:p>
    <w:p>
      <w:pPr>
        <w:pStyle w:val="BookText"/>
      </w:pPr>
      <w:r>
        <w:rPr>
          <w:rFonts w:ascii="Amiri" w:hAnsi="Amiri" w:eastAsia="Amiri" w:cs="Amiri"/>
          <w:lang w:bidi="ar-SA"/>
          <w:color w:val="111111"/>
          <w:sz w:val="28"/>
          <w:szCs w:val="28"/>
          <w:rtl/>
        </w:rPr>
        <w:t xml:space="preserve">آغاز: الحمدلله جاعل الامكان لتمكين الاعيان من الاكوان و منزل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0" w:name="pg20363_209250"/>
    <w:bookmarkEnd w:id="90"/>
    <w:p>
      <w:pPr>
        <w:pStyle w:val="BookText"/>
      </w:pPr>
      <w:r>
        <w:rPr>
          <w:rFonts w:ascii="Amiri" w:hAnsi="Amiri" w:eastAsia="Amiri" w:cs="Amiri"/>
          <w:lang w:bidi="ar-SA"/>
          <w:color w:val="111111"/>
          <w:sz w:val="28"/>
          <w:szCs w:val="28"/>
          <w:rtl/>
        </w:rPr>
        <w:t xml:space="preserve">ماء الجود من سحائب الكرم ارض الامكان</w:t>
      </w:r>
    </w:p>
    <w:p>
      <w:pPr>
        <w:pStyle w:val="BookText"/>
      </w:pPr>
      <w:r>
        <w:rPr>
          <w:rFonts w:ascii="IRNazanin" w:hAnsi="IRNazanin" w:eastAsia="IRNazanin" w:cs="IRNazanin"/>
          <w:lang w:bidi="fa-IR"/>
          <w:color w:val="111111"/>
          <w:sz w:val="28"/>
          <w:szCs w:val="28"/>
          <w:rtl/>
        </w:rPr>
        <w:t xml:space="preserve">انجام: كما انهم ملعونون بلسانک و لسان أنبيائك في كل صحيفة و عذبهم بأشد العذاب</w:t>
      </w:r>
    </w:p>
    <w:p>
      <w:pPr>
        <w:pStyle w:val="BookText"/>
      </w:pPr>
      <w:r>
        <w:rPr>
          <w:rFonts w:ascii="IRNazanin" w:hAnsi="IRNazanin" w:eastAsia="IRNazanin" w:cs="IRNazanin"/>
          <w:lang w:bidi="fa-IR"/>
          <w:color w:val="111111"/>
          <w:sz w:val="28"/>
          <w:szCs w:val="28"/>
          <w:rtl/>
        </w:rPr>
        <w:t xml:space="preserve">[الذریعه ۱۵۳/۳ ]</w:t>
      </w:r>
    </w:p>
    <w:p>
      <w:pPr>
        <w:pStyle w:val="BookText"/>
      </w:pPr>
      <w:r>
        <w:rPr>
          <w:rFonts w:ascii="IRNazanin" w:hAnsi="IRNazanin" w:eastAsia="IRNazanin" w:cs="IRNazanin"/>
          <w:lang w:bidi="fa-IR"/>
          <w:color w:val="111111"/>
          <w:sz w:val="28"/>
          <w:szCs w:val="28"/>
          <w:rtl/>
        </w:rPr>
        <w:t xml:space="preserve">١. بیرجند؛ دیانی؛ شماره نسخه: ۱۳۴/۲</w:t>
      </w:r>
    </w:p>
    <w:p>
      <w:pPr>
        <w:pStyle w:val="BookText"/>
      </w:pPr>
      <w:r>
        <w:rPr>
          <w:rFonts w:ascii="IRNazanin" w:hAnsi="IRNazanin" w:eastAsia="IRNazanin" w:cs="IRNazanin"/>
          <w:lang w:bidi="fa-IR"/>
          <w:color w:val="111111"/>
          <w:sz w:val="28"/>
          <w:szCs w:val="28"/>
          <w:rtl/>
        </w:rPr>
        <w:t xml:space="preserve">انجام: و في الاية يا ايها النبي انا ارسلناک شاهدا و مبشرا و نذیرا و لاریب انهم نور الاول.</w:t>
      </w:r>
    </w:p>
    <w:p>
      <w:pPr>
        <w:pStyle w:val="BookText"/>
      </w:pPr>
      <w:r>
        <w:rPr>
          <w:rFonts w:ascii="IRNazanin" w:hAnsi="IRNazanin" w:eastAsia="IRNazanin" w:cs="IRNazanin"/>
          <w:lang w:bidi="fa-IR"/>
          <w:color w:val="111111"/>
          <w:sz w:val="28"/>
          <w:szCs w:val="28"/>
          <w:rtl/>
        </w:rPr>
        <w:t xml:space="preserve">خط: نستعلیق، بی کا، تا: قرن ۱۳؛ افتادگی: انجام؛ ۳۲گی (۴۹پ - ۸۰پ)،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۱۰۴]</w:t>
      </w:r>
    </w:p>
    <w:p>
      <w:pPr>
        <w:pStyle w:val="BookText"/>
      </w:pPr>
      <w:r>
        <w:rPr>
          <w:rFonts w:ascii="IRNazanin" w:hAnsi="IRNazanin" w:eastAsia="IRNazanin" w:cs="IRNazanin"/>
          <w:lang w:bidi="fa-IR"/>
          <w:color w:val="111111"/>
          <w:sz w:val="28"/>
          <w:szCs w:val="28"/>
          <w:rtl/>
        </w:rPr>
        <w:t xml:space="preserve">۲. مشهد؛ گوهرشاد؛ شماره نسخه: ۱۹۱۶/۱</w:t>
      </w:r>
    </w:p>
    <w:p>
      <w:pPr>
        <w:pStyle w:val="BookText"/>
      </w:pPr>
      <w:r>
        <w:rPr>
          <w:rFonts w:ascii="IRNazanin" w:hAnsi="IRNazanin" w:eastAsia="IRNazanin" w:cs="IRNazanin"/>
          <w:lang w:bidi="fa-IR"/>
          <w:color w:val="111111"/>
          <w:sz w:val="28"/>
          <w:szCs w:val="28"/>
          <w:rtl/>
        </w:rPr>
        <w:t xml:space="preserve">آغاز و انجام: برابر؛ و قد فرغ ... محمد على الخراسانی من تأليفه و تسویده سنة ۱۲۶۵.</w:t>
      </w:r>
    </w:p>
    <w:p>
      <w:pPr>
        <w:pStyle w:val="BookText"/>
      </w:pPr>
      <w:r>
        <w:rPr>
          <w:rFonts w:ascii="IRNazanin" w:hAnsi="IRNazanin" w:eastAsia="IRNazanin" w:cs="IRNazanin"/>
          <w:lang w:bidi="fa-IR"/>
          <w:color w:val="111111"/>
          <w:sz w:val="28"/>
          <w:szCs w:val="28"/>
          <w:rtl/>
        </w:rPr>
        <w:t xml:space="preserve">خط: نستعلیق، كا: آقا کوچک پسر ملا علی میقاتی شاهرودی، تا: جمعه ۱۵ ربیع الاول ۱۲۷۶ق؛ واقف: آقای غیاثی، ۱۳۳۷، کاغذ: نخودی آهار مهره، جلد: میشن یک لا قهوه ای، ۳۷گ، ۱۹ سطر، قطع : خشتی، اندازه: ۱۶/۵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۲۲/۵ سم [ چهار کتابخانه مشهدف: ۵-۳۰۲]</w:t>
      </w:r>
    </w:p>
    <w:p>
      <w:pPr>
        <w:pStyle w:val="BookText"/>
      </w:pPr>
      <w:r>
        <w:rPr>
          <w:rFonts w:ascii="IRNazanin" w:hAnsi="IRNazanin" w:eastAsia="IRNazanin" w:cs="IRNazanin"/>
          <w:lang w:bidi="fa-IR"/>
          <w:color w:val="111111"/>
          <w:sz w:val="28"/>
          <w:szCs w:val="28"/>
          <w:rtl/>
        </w:rPr>
        <w:t xml:space="preserve">٣. قم؛ مرعشی؛ شماره نسخه: ۸۸۰۳/۲</w:t>
      </w:r>
    </w:p>
    <w:p>
      <w:pPr>
        <w:pStyle w:val="BookText"/>
      </w:pPr>
      <w:r>
        <w:rPr>
          <w:rFonts w:ascii="IRNazanin" w:hAnsi="IRNazanin" w:eastAsia="IRNazanin" w:cs="IRNazanin"/>
          <w:lang w:bidi="fa-IR"/>
          <w:color w:val="111111"/>
          <w:sz w:val="28"/>
          <w:szCs w:val="28"/>
          <w:rtl/>
        </w:rPr>
        <w:t xml:space="preserve">خط: نسخ، كا: عبد الحسين بن محمد امین شرارة، بی تا؛ جلد: تیماج قرمز ضربی، ۲۳۶ گی، ۱۹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۲۳-۵]</w:t>
      </w:r>
    </w:p>
    <w:p>
      <w:pPr>
        <w:pStyle w:val="BookText"/>
      </w:pPr>
      <w:r>
        <w:rPr>
          <w:rFonts w:ascii="IRNazanin" w:hAnsi="IRNazanin" w:eastAsia="IRNazanin" w:cs="IRNazanin"/>
          <w:lang w:bidi="fa-IR"/>
          <w:color w:val="111111"/>
          <w:sz w:val="28"/>
          <w:szCs w:val="28"/>
          <w:rtl/>
        </w:rPr>
        <w:t xml:space="preserve">۴. قم؛ مرعشی؛ شماره نسخه: ۲۸۳۴/۲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جلد: مقوایی عطف تیماج قهوه ای، ۲۹گ (۱۸۳ر-۲۱۱پ)،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۸-۳۹]</w:t>
      </w:r>
    </w:p>
    <w:p>
      <w:pPr>
        <w:pStyle w:val="Heading3"/>
      </w:pPr>
      <w:bookmarkStart w:id="1010" w:name="_Toc270"/>
      <w:r>
        <w:t>• البوارق الخاطفة = رد الصواعق المحرقة / كلام و اعتقادات / عربی</w:t>
      </w:r>
      <w:bookmarkEnd w:id="1010"/>
    </w:p>
    <w:p>
      <w:pPr>
        <w:pStyle w:val="BookText"/>
      </w:pPr>
      <w:r>
        <w:rPr>
          <w:rFonts w:ascii="Times New Roman" w:hAnsi="Times New Roman" w:eastAsia="Times New Roman" w:cs="Times New Roman"/>
          <w:lang w:val="en-US" w:bidi="en-US"/>
          <w:color w:val="111111"/>
          <w:sz w:val="28"/>
          <w:szCs w:val="28"/>
          <w:rtl/>
        </w:rPr>
        <w:t xml:space="preserve">al-bawāriq-ul xāțifa</w:t>
      </w:r>
    </w:p>
    <w:p>
      <w:pPr>
        <w:pStyle w:val="BookText"/>
      </w:pPr>
      <w:r>
        <w:rPr>
          <w:rFonts w:ascii="IRNazanin" w:hAnsi="IRNazanin" w:eastAsia="IRNazanin" w:cs="IRNazanin"/>
          <w:lang w:bidi="fa-IR"/>
          <w:color w:val="111111"/>
          <w:sz w:val="28"/>
          <w:szCs w:val="28"/>
          <w:rtl/>
        </w:rPr>
        <w:t xml:space="preserve">وابسته به: الصواعق المحرقة على اهل الرفض و الزندقة؛ ابن حجر هیثمی، احمد بن محمد (۹۰۹-۹۷۳)</w:t>
      </w:r>
    </w:p>
    <w:p>
      <w:pPr>
        <w:pStyle w:val="BookText"/>
      </w:pPr>
      <w:r>
        <w:rPr>
          <w:rFonts w:ascii="IRNazanin" w:hAnsi="IRNazanin" w:eastAsia="IRNazanin" w:cs="IRNazanin"/>
          <w:lang w:bidi="fa-IR"/>
          <w:color w:val="111111"/>
          <w:sz w:val="28"/>
          <w:szCs w:val="28"/>
          <w:rtl/>
        </w:rPr>
        <w:t xml:space="preserve">این کتاب از مؤلفات تحقیقی و مفصل در امامت و احتجاج و رد بر کتاب «الصواعق المحرقة» ابن حجر هیثمی است. مطالب با عنوان «قال اقول» آمده است. وی در دیباچه این کتاب آورده که نواده قاضی نورالله مرعشی صاحب «احقاق الحق» است. به روایت الذريعة (۳: ۱۵۴ و ۱۴: ۲۳۸) مؤلف این کتاب نواده دختری قاضی نورالله و ظاهر نامش سید علی بن سید علاء الدوله ابن سید ضیاء الدین نورالله است. مؤلف از فضلاء امامیه در نیمه دوم قرن ۱۱ق مقیم هند و مؤلف كتابی فارسی در علم کلام به نام «شوارق» است.</w:t>
      </w:r>
    </w:p>
    <w:p>
      <w:pPr>
        <w:pStyle w:val="BookText"/>
      </w:pPr>
      <w:r>
        <w:rPr>
          <w:rFonts w:ascii="IRNazanin" w:hAnsi="IRNazanin" w:eastAsia="IRNazanin" w:cs="IRNazanin"/>
          <w:lang w:bidi="fa-IR"/>
          <w:color w:val="111111"/>
          <w:sz w:val="28"/>
          <w:szCs w:val="28"/>
          <w:rtl/>
        </w:rPr>
        <w:t xml:space="preserve">مشهد؛ رضوی؛ شماره نسخه: ۷۴۷۴</w:t>
      </w:r>
    </w:p>
    <w:p>
      <w:pPr>
        <w:pStyle w:val="BookText"/>
      </w:pPr>
      <w:r>
        <w:rPr>
          <w:rFonts w:ascii="IRNazanin" w:hAnsi="IRNazanin" w:eastAsia="IRNazanin" w:cs="IRNazanin"/>
          <w:lang w:bidi="fa-IR"/>
          <w:color w:val="111111"/>
          <w:sz w:val="28"/>
          <w:szCs w:val="28"/>
          <w:rtl/>
        </w:rPr>
        <w:t xml:space="preserve">آغاز: الحمدلله الذي أمطر على ابن حجر حجارة العذاب و طرقه بفطيس العقاب؛ انجام: فخسر هنالک المبطلون و يومئذ فليفرح المؤمنون.</w:t>
      </w:r>
    </w:p>
    <w:p>
      <w:pPr>
        <w:pStyle w:val="BookText"/>
      </w:pPr>
      <w:r>
        <w:rPr>
          <w:rFonts w:ascii="IRNazanin" w:hAnsi="IRNazanin" w:eastAsia="IRNazanin" w:cs="IRNazanin"/>
          <w:lang w:bidi="fa-IR"/>
          <w:color w:val="111111"/>
          <w:sz w:val="28"/>
          <w:szCs w:val="28"/>
          <w:rtl/>
        </w:rPr>
        <w:t xml:space="preserve">خط: نستعلیق، بی کا، بی تا، کاغذ: آهاری نخودی، جلد: تیماج، ۴۷۳گ، ۱۵ و ۱۷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۱۱-۴۹]</w:t>
      </w:r>
    </w:p>
    <w:p>
      <w:pPr>
        <w:pStyle w:val="Heading3"/>
      </w:pPr>
      <w:bookmarkStart w:id="1011" w:name="_Toc271"/>
      <w:r>
        <w:t>• البوارق في كشف معضلات الحقايق / اصول فقه / عربی</w:t>
      </w:r>
      <w:bookmarkEnd w:id="1011"/>
    </w:p>
    <w:p>
      <w:pPr>
        <w:pStyle w:val="BookText"/>
      </w:pPr>
      <w:r>
        <w:rPr>
          <w:rFonts w:ascii="Times New Roman" w:hAnsi="Times New Roman" w:eastAsia="Times New Roman" w:cs="Times New Roman"/>
          <w:lang w:val="en-US" w:bidi="en-US"/>
          <w:color w:val="111111"/>
          <w:sz w:val="28"/>
          <w:szCs w:val="28"/>
          <w:rtl/>
        </w:rPr>
        <w:t xml:space="preserve">al-bawāriq fī kašf-i mu'dalāt-il ḥaqāyiq</w:t>
      </w:r>
    </w:p>
    <w:p>
      <w:pPr>
        <w:pStyle w:val="BookText"/>
      </w:pPr>
      <w:r>
        <w:rPr>
          <w:rFonts w:ascii="IRNazanin" w:hAnsi="IRNazanin" w:eastAsia="IRNazanin" w:cs="IRNazanin"/>
          <w:lang w:bidi="fa-IR"/>
          <w:color w:val="111111"/>
          <w:sz w:val="28"/>
          <w:szCs w:val="28"/>
          <w:rtl/>
        </w:rPr>
        <w:t xml:space="preserve">هزار جریبی، محمد حسین بن محمد علی، ۱۲۳۵ق ۱۳ قمری</w:t>
      </w:r>
    </w:p>
    <w:p>
      <w:pPr>
        <w:pStyle w:val="BookText"/>
      </w:pPr>
      <w:r>
        <w:rPr>
          <w:rFonts w:ascii="Times New Roman" w:hAnsi="Times New Roman" w:eastAsia="Times New Roman" w:cs="Times New Roman"/>
          <w:lang w:val="en-US" w:bidi="en-US"/>
          <w:color w:val="111111"/>
          <w:sz w:val="28"/>
          <w:szCs w:val="28"/>
          <w:rtl/>
        </w:rPr>
        <w:t xml:space="preserve">hezār-jarībī, mohammad hoseyn ebn-e mohammad ‘alī (1820-19c)</w:t>
      </w:r>
    </w:p>
    <w:p>
      <w:pPr>
        <w:pStyle w:val="BookText"/>
      </w:pPr>
      <w:r>
        <w:rPr>
          <w:rFonts w:ascii="IRNazanin" w:hAnsi="IRNazanin" w:eastAsia="IRNazanin" w:cs="IRNazanin"/>
          <w:lang w:bidi="fa-IR"/>
          <w:color w:val="111111"/>
          <w:sz w:val="28"/>
          <w:szCs w:val="28"/>
          <w:rtl/>
        </w:rPr>
        <w:t xml:space="preserve">وابسته به: عوائد الايام من مهمات ادلة الأحكام؛ نراقی، احمد بن محمد مهدی (۱۲۴۵۱۱۸۵)</w:t>
      </w:r>
    </w:p>
    <w:p>
      <w:pPr>
        <w:pStyle w:val="BookText"/>
      </w:pPr>
      <w:r>
        <w:rPr>
          <w:rFonts w:ascii="Amiri" w:hAnsi="Amiri" w:eastAsia="Amiri" w:cs="Amiri"/>
          <w:lang w:bidi="ar-SA"/>
          <w:color w:val="111111"/>
          <w:sz w:val="28"/>
          <w:szCs w:val="28"/>
          <w:rtl/>
        </w:rPr>
        <w:t xml:space="preserve">تاريخ تأليف: آخر شعبان ۱۲۷۵ق</w:t>
      </w:r>
    </w:p>
    <w:p>
      <w:pPr>
        <w:pStyle w:val="BookText"/>
      </w:pPr>
      <w:r>
        <w:rPr>
          <w:rFonts w:ascii="IRNazanin" w:hAnsi="IRNazanin" w:eastAsia="IRNazanin" w:cs="IRNazanin"/>
          <w:lang w:bidi="fa-IR"/>
          <w:color w:val="111111"/>
          <w:sz w:val="28"/>
          <w:szCs w:val="28"/>
          <w:rtl/>
        </w:rPr>
        <w:t xml:space="preserve">کتاب رد و نقدی است بر دو مبحث: «حجیت ظن مطلق و تداخل اسباب» از کتاب «عوائد الأيام» ملا احمد نراقی. وی بعد از خطبه کتاب می نویسد: «اما بعد فيقول الغريق في بحار المعاصی محمد حسین بن محمد على النجفي المشتهر الابافی الأصقاع و الاقاصي و المدعو بنواب لدى الاعادی و الاحباب ان من سوانح الزمان اني وقعت من بلدة الأصفهان نحوا من خمسة عشر سنين ببلاد الجيهان اعاذنا الله من شر سفله هذه الأيام ... فبينما اطالع کتاب العوايد ... للطود العلم الباذخ ... الحاج ملا احمد الاكمل الأمجد الأوحد النراقی ... حيثما اختار مذهبا في اغلب الموارد ... رکنین جليلين من القواعد ... من تلك العوايد احدهما مسئلة حجية الظن المطلق الحق المحقق فاختار الظن الخاص الذي لا يذهب اليه الفاضل المحقق و جاوز الحد في الاستدلال و الرد بما يرد على كل سطر من اسطره الف ایراد و لما استقصی احزاب من الاصحاب کفخر الشيعه ... الأكمل الأجل من أن يمدحه مثلي المحقق التستری ادام الله ايام افاداته ... في رسالة منفردة في هذه المسئلة ما يليق عليه الاعتماد ... و يثبت منه حجية الظن المطلق ... الذي عليه مدار استنباط الاحكام و ثانيها مسئله عدم تداخل الاسباب الذي قل ما تعرض فضلا أن يستوفي تحقيقه الأصحاب الفحول في كتب الفقه و الأصول ... و كان الحق في نظري القاصر و الراجح في فكري العليل الفاتر عدم تداخل الاسباب بل عدم تصور التداخل اصلا و صاحب العواید تبعا لوالده العلامه و المحقق الخوانساری نورالله مراقدهم اصر على القول بالتداخل».</w:t>
      </w:r>
    </w:p>
    <w:p>
      <w:pPr>
        <w:pStyle w:val="BookText"/>
      </w:pPr>
      <w:r>
        <w:rPr>
          <w:rFonts w:ascii="IRNazanin" w:hAnsi="IRNazanin" w:eastAsia="IRNazanin" w:cs="IRNazanin"/>
          <w:lang w:bidi="fa-IR"/>
          <w:color w:val="111111"/>
          <w:sz w:val="28"/>
          <w:szCs w:val="28"/>
          <w:rtl/>
        </w:rPr>
        <w:t xml:space="preserve">مشهد؛ رضوی؛ شماره نسخه: ۹۶۶۷</w:t>
      </w:r>
    </w:p>
    <w:p>
      <w:pPr>
        <w:pStyle w:val="BookText"/>
      </w:pPr>
      <w:r>
        <w:rPr>
          <w:rFonts w:ascii="Amiri" w:hAnsi="Amiri" w:eastAsia="Amiri" w:cs="Amiri"/>
          <w:lang w:bidi="ar-SA"/>
          <w:color w:val="111111"/>
          <w:sz w:val="28"/>
          <w:szCs w:val="28"/>
          <w:rtl/>
        </w:rPr>
        <w:t xml:space="preserve">آغاز: الحمدلله على مواهبه العظيمة التي لا تحصى و مننه الجسميه اللتي في غاية القصوى الذي هيا لنا اسباب الوصول؛ انجام: صاحب النور المشارق البارق و المحيط بجميع السوابق و اللواحق و الحمدلله اولا و اخرا و ظاهرا و باطنا</w:t>
      </w:r>
    </w:p>
    <w:p>
      <w:pPr>
        <w:pStyle w:val="BookText"/>
      </w:pPr>
      <w:r>
        <w:rPr>
          <w:rFonts w:ascii="Amiri" w:hAnsi="Amiri" w:eastAsia="Amiri" w:cs="Amiri"/>
          <w:lang w:bidi="ar-SA"/>
          <w:color w:val="111111"/>
          <w:sz w:val="28"/>
          <w:szCs w:val="28"/>
          <w:rtl/>
        </w:rPr>
        <w:t xml:space="preserve">خط: نسخ، كاتب = مؤلف، تا: ۱۲۷۵ق؛ واقف: خان بابا مشار،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1" w:name="pg20363_209251"/>
    <w:bookmarkEnd w:id="91"/>
    <w:p>
      <w:pPr>
        <w:pStyle w:val="BookText"/>
      </w:pPr>
      <w:r>
        <w:rPr>
          <w:rFonts w:ascii="IRNazanin" w:hAnsi="IRNazanin" w:eastAsia="IRNazanin" w:cs="IRNazanin"/>
          <w:lang w:bidi="fa-IR"/>
          <w:color w:val="111111"/>
          <w:sz w:val="28"/>
          <w:szCs w:val="28"/>
          <w:rtl/>
        </w:rPr>
        <w:t xml:space="preserve">اردیبهشت ۱۳۴۶؛ کاغذ: فرنگی شکری، جلد: میشن خرمایی، ۱۴۳گ، ۲۱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۱۶-۵۴]</w:t>
      </w:r>
    </w:p>
    <w:p>
      <w:pPr>
        <w:pStyle w:val="Heading3"/>
      </w:pPr>
      <w:bookmarkStart w:id="1012" w:name="_Toc272"/>
      <w:r>
        <w:t>• البوارق اللامعة الواردة على الصواعق المحرقة / کلام و اعتقادات / عربی</w:t>
      </w:r>
      <w:bookmarkEnd w:id="1012"/>
    </w:p>
    <w:p>
      <w:pPr>
        <w:pStyle w:val="BookText"/>
      </w:pPr>
      <w:r>
        <w:rPr>
          <w:rFonts w:ascii="Times New Roman" w:hAnsi="Times New Roman" w:eastAsia="Times New Roman" w:cs="Times New Roman"/>
          <w:lang w:val="en-US" w:bidi="en-US"/>
          <w:color w:val="111111"/>
          <w:sz w:val="28"/>
          <w:szCs w:val="28"/>
          <w:rtl/>
        </w:rPr>
        <w:t xml:space="preserve">Şawā‘iq-il al-bawāriq-ul lāmi-at-il wārida ‘ala-ş muḥriqa</w:t>
      </w:r>
    </w:p>
    <w:p>
      <w:pPr>
        <w:pStyle w:val="BookText"/>
      </w:pPr>
      <w:r>
        <w:rPr>
          <w:rFonts w:ascii="IRNazanin" w:hAnsi="IRNazanin" w:eastAsia="IRNazanin" w:cs="IRNazanin"/>
          <w:lang w:bidi="fa-IR"/>
          <w:color w:val="111111"/>
          <w:sz w:val="28"/>
          <w:szCs w:val="28"/>
          <w:rtl/>
        </w:rPr>
        <w:t xml:space="preserve">نیر بروجردی، علی اصغر بن على اكبر، ۱۲۳۱-۱۳۰۰ قمری</w:t>
      </w:r>
    </w:p>
    <w:p>
      <w:pPr>
        <w:pStyle w:val="BookText"/>
      </w:pPr>
      <w:r>
        <w:rPr>
          <w:rFonts w:ascii="Times New Roman" w:hAnsi="Times New Roman" w:eastAsia="Times New Roman" w:cs="Times New Roman"/>
          <w:lang w:val="en-US" w:bidi="en-US"/>
          <w:color w:val="111111"/>
          <w:sz w:val="28"/>
          <w:szCs w:val="28"/>
          <w:rtl/>
        </w:rPr>
        <w:t xml:space="preserve">nayyer-e borūjerdī, ‘alī asqar ebn-e ‘alī akbar (1816 1883)</w:t>
      </w:r>
    </w:p>
    <w:p>
      <w:pPr>
        <w:pStyle w:val="BookText"/>
      </w:pPr>
      <w:r>
        <w:rPr>
          <w:rFonts w:ascii="IRNazanin" w:hAnsi="IRNazanin" w:eastAsia="IRNazanin" w:cs="IRNazanin"/>
          <w:lang w:bidi="fa-IR"/>
          <w:color w:val="111111"/>
          <w:sz w:val="28"/>
          <w:szCs w:val="28"/>
          <w:rtl/>
        </w:rPr>
        <w:t xml:space="preserve">وابسته به: الصواعق المحرقة على اهل الرفض و الزندقة؛ ابن حجر هیثمی، احمد بن محمد (۹۰۹-۹۷۳)</w:t>
      </w:r>
    </w:p>
    <w:p>
      <w:pPr>
        <w:pStyle w:val="BookText"/>
      </w:pPr>
      <w:r>
        <w:rPr>
          <w:rFonts w:ascii="IRNazanin" w:hAnsi="IRNazanin" w:eastAsia="IRNazanin" w:cs="IRNazanin"/>
          <w:lang w:bidi="fa-IR"/>
          <w:color w:val="111111"/>
          <w:sz w:val="28"/>
          <w:szCs w:val="28"/>
          <w:rtl/>
        </w:rPr>
        <w:t xml:space="preserve">مؤلف بعد از تألیف دیگرش به نام «سيف الشيعة» که در همین موضوع و به زبان فارسی بوده، نگاشته است. به شبهات دانشمندان اهل تسنن و ابن حجر در صواعق محرقه پاسخ می دهد و امامت امیر مؤمنان را با احادیث مورد قبول اهل تسنن اثبات می کند.</w:t>
      </w:r>
    </w:p>
    <w:p>
      <w:pPr>
        <w:pStyle w:val="BookText"/>
      </w:pPr>
      <w:r>
        <w:rPr>
          <w:rFonts w:ascii="IRNazanin" w:hAnsi="IRNazanin" w:eastAsia="IRNazanin" w:cs="IRNazanin"/>
          <w:lang w:bidi="fa-IR"/>
          <w:color w:val="111111"/>
          <w:sz w:val="28"/>
          <w:szCs w:val="28"/>
          <w:rtl/>
        </w:rPr>
        <w:t xml:space="preserve">تهران؛ مروی؛ شماره نسخه: ۷۳۹</w:t>
      </w:r>
    </w:p>
    <w:p>
      <w:pPr>
        <w:pStyle w:val="BookText"/>
      </w:pPr>
      <w:r>
        <w:rPr>
          <w:rFonts w:ascii="IRNazanin" w:hAnsi="IRNazanin" w:eastAsia="IRNazanin" w:cs="IRNazanin"/>
          <w:lang w:bidi="fa-IR"/>
          <w:color w:val="111111"/>
          <w:sz w:val="28"/>
          <w:szCs w:val="28"/>
          <w:rtl/>
        </w:rPr>
        <w:t xml:space="preserve">کاتب = مؤلف، بی تا، ۴۰۰گ، قطع: خشتی [ف: ۷۹]</w:t>
      </w:r>
    </w:p>
    <w:p>
      <w:pPr>
        <w:pStyle w:val="Heading3"/>
      </w:pPr>
      <w:bookmarkStart w:id="1013" w:name="_Toc273"/>
      <w:r>
        <w:t>• البوارق المحسنية / عربی</w:t>
      </w:r>
      <w:bookmarkEnd w:id="1013"/>
    </w:p>
    <w:p>
      <w:pPr>
        <w:pStyle w:val="BookText"/>
      </w:pPr>
      <w:r>
        <w:rPr>
          <w:rFonts w:ascii="Times New Roman" w:hAnsi="Times New Roman" w:eastAsia="Times New Roman" w:cs="Times New Roman"/>
          <w:lang w:val="en-US" w:bidi="en-US"/>
          <w:color w:val="111111"/>
          <w:sz w:val="28"/>
          <w:szCs w:val="28"/>
          <w:rtl/>
        </w:rPr>
        <w:t xml:space="preserve">al-bawāriq-ul muḥsinīyya</w:t>
      </w:r>
    </w:p>
    <w:p>
      <w:pPr>
        <w:pStyle w:val="BookText"/>
      </w:pPr>
      <w:r>
        <w:rPr>
          <w:rFonts w:ascii="IRNazanin" w:hAnsi="IRNazanin" w:eastAsia="IRNazanin" w:cs="IRNazanin"/>
          <w:lang w:bidi="fa-IR"/>
          <w:color w:val="111111"/>
          <w:sz w:val="28"/>
          <w:szCs w:val="28"/>
          <w:rtl/>
        </w:rPr>
        <w:t xml:space="preserve">ابن ابی جمهور، محمد بن علی، ۸۳۸؟ -۹۰۶؟ قمری</w:t>
      </w:r>
    </w:p>
    <w:p>
      <w:pPr>
        <w:pStyle w:val="BookText"/>
      </w:pPr>
      <w:r>
        <w:rPr>
          <w:rFonts w:ascii="Times New Roman" w:hAnsi="Times New Roman" w:eastAsia="Times New Roman" w:cs="Times New Roman"/>
          <w:lang w:val="en-US" w:bidi="en-US"/>
          <w:color w:val="111111"/>
          <w:sz w:val="28"/>
          <w:szCs w:val="28"/>
          <w:rtl/>
        </w:rPr>
        <w:t xml:space="preserve">ebn-e abī-jomhūr, mohammad ebn-e ‘alī (1435-1501)</w:t>
      </w:r>
    </w:p>
    <w:p>
      <w:pPr>
        <w:pStyle w:val="BookText"/>
      </w:pPr>
      <w:r>
        <w:rPr>
          <w:rFonts w:ascii="IRNazanin" w:hAnsi="IRNazanin" w:eastAsia="IRNazanin" w:cs="IRNazanin"/>
          <w:lang w:bidi="fa-IR"/>
          <w:color w:val="111111"/>
          <w:sz w:val="28"/>
          <w:szCs w:val="28"/>
          <w:rtl/>
        </w:rPr>
        <w:t xml:space="preserve">شرح «الدرة المستخرجة» است و هر دو از ابن ابی جمهور.</w:t>
      </w:r>
    </w:p>
    <w:p>
      <w:pPr>
        <w:pStyle w:val="BookText"/>
      </w:pPr>
      <w:r>
        <w:rPr>
          <w:rFonts w:ascii="IRNazanin" w:hAnsi="IRNazanin" w:eastAsia="IRNazanin" w:cs="IRNazanin"/>
          <w:lang w:bidi="fa-IR"/>
          <w:color w:val="111111"/>
          <w:sz w:val="28"/>
          <w:szCs w:val="28"/>
          <w:rtl/>
        </w:rPr>
        <w:t xml:space="preserve">تهران؛ مروی؛ شماره نسخه: ۸۷۴/۴</w:t>
      </w:r>
    </w:p>
    <w:p>
      <w:pPr>
        <w:pStyle w:val="BookText"/>
      </w:pPr>
      <w:r>
        <w:rPr>
          <w:rFonts w:ascii="IRNazanin" w:hAnsi="IRNazanin" w:eastAsia="IRNazanin" w:cs="IRNazanin"/>
          <w:lang w:bidi="fa-IR"/>
          <w:color w:val="111111"/>
          <w:sz w:val="28"/>
          <w:szCs w:val="28"/>
          <w:rtl/>
        </w:rPr>
        <w:t xml:space="preserve">بی کا، تا: ۸۹۰ق؛ از روی نسخه مؤلف؛ ۷۳گ، قطع: رقعي [ف: ۳۲۱]</w:t>
      </w:r>
    </w:p>
    <w:p>
      <w:pPr>
        <w:pStyle w:val="BookText"/>
      </w:pPr>
      <w:r>
        <w:rPr>
          <w:rFonts w:ascii="IRNazanin" w:hAnsi="IRNazanin" w:eastAsia="IRNazanin" w:cs="IRNazanin"/>
          <w:lang w:bidi="fa-IR"/>
          <w:color w:val="111111"/>
          <w:sz w:val="28"/>
          <w:szCs w:val="28"/>
          <w:rtl/>
        </w:rPr>
        <w:t xml:space="preserve">و بوارق مشرقة و صواعق محرقة / كلام و اعتقادات / فارسی</w:t>
      </w:r>
    </w:p>
    <w:p>
      <w:pPr>
        <w:pStyle w:val="BookText"/>
      </w:pPr>
      <w:r>
        <w:rPr>
          <w:rFonts w:ascii="Times New Roman" w:hAnsi="Times New Roman" w:eastAsia="Times New Roman" w:cs="Times New Roman"/>
          <w:lang w:val="en-US" w:bidi="en-US"/>
          <w:color w:val="111111"/>
          <w:sz w:val="28"/>
          <w:szCs w:val="28"/>
          <w:rtl/>
        </w:rPr>
        <w:t xml:space="preserve">bawariq-un musriqa wa Sawaiq-un muhriqa</w:t>
      </w:r>
    </w:p>
    <w:p>
      <w:pPr>
        <w:pStyle w:val="BookText"/>
      </w:pPr>
      <w:r>
        <w:rPr>
          <w:rFonts w:ascii="IRNazanin" w:hAnsi="IRNazanin" w:eastAsia="IRNazanin" w:cs="IRNazanin"/>
          <w:lang w:bidi="fa-IR"/>
          <w:color w:val="111111"/>
          <w:sz w:val="28"/>
          <w:szCs w:val="28"/>
          <w:rtl/>
        </w:rPr>
        <w:t xml:space="preserve">تفریشی، حسن، ق ۱۲ قمری</w:t>
      </w:r>
    </w:p>
    <w:p>
      <w:pPr>
        <w:pStyle w:val="BookText"/>
      </w:pPr>
      <w:r>
        <w:rPr>
          <w:rFonts w:ascii="Times New Roman" w:hAnsi="Times New Roman" w:eastAsia="Times New Roman" w:cs="Times New Roman"/>
          <w:lang w:val="en-US" w:bidi="en-US"/>
          <w:color w:val="111111"/>
          <w:sz w:val="28"/>
          <w:szCs w:val="28"/>
          <w:rtl/>
        </w:rPr>
        <w:t xml:space="preserve">tafrīšī, hasan (- 180)</w:t>
      </w:r>
    </w:p>
    <w:p>
      <w:pPr>
        <w:pStyle w:val="BookText"/>
      </w:pPr>
      <w:r>
        <w:rPr>
          <w:rFonts w:ascii="IRNazanin" w:hAnsi="IRNazanin" w:eastAsia="IRNazanin" w:cs="IRNazanin"/>
          <w:lang w:bidi="fa-IR"/>
          <w:color w:val="111111"/>
          <w:sz w:val="28"/>
          <w:szCs w:val="28"/>
          <w:rtl/>
        </w:rPr>
        <w:t xml:space="preserve">مؤلف طبق ادعایش عقاید و طریقی را که خودش حق می پنداشته تحت عنوان «بارقه) و مسلک حکمای متألهین را تحت عنوان «صاعقة» آورده و رد کرده است. عمده همت مصنف رد فلاسفه و حکمت متعالیه و قایلین به اصالت وجود و اشتراکی معنوی آن می باشد.</w:t>
      </w:r>
    </w:p>
    <w:p>
      <w:pPr>
        <w:pStyle w:val="BookText"/>
      </w:pPr>
      <w:r>
        <w:rPr>
          <w:rFonts w:ascii="IRNazanin" w:hAnsi="IRNazanin" w:eastAsia="IRNazanin" w:cs="IRNazanin"/>
          <w:lang w:bidi="fa-IR"/>
          <w:color w:val="111111"/>
          <w:sz w:val="28"/>
          <w:szCs w:val="28"/>
          <w:rtl/>
        </w:rPr>
        <w:t xml:space="preserve">آغاز: الحمدلله رب العالمين. و. و بعد این رساله ای است در تحقیق معرفت توحید اهل دین و تفضیح اوهام و جهالات معاندین.</w:t>
      </w:r>
    </w:p>
    <w:p>
      <w:pPr>
        <w:pStyle w:val="BookText"/>
      </w:pPr>
      <w:r>
        <w:rPr>
          <w:rFonts w:ascii="IRNazanin" w:hAnsi="IRNazanin" w:eastAsia="IRNazanin" w:cs="IRNazanin"/>
          <w:lang w:bidi="fa-IR"/>
          <w:color w:val="111111"/>
          <w:sz w:val="28"/>
          <w:szCs w:val="28"/>
          <w:rtl/>
        </w:rPr>
        <w:t xml:space="preserve">خوی؛ نمازی؛ شماره نسخه: ۷۱۱/۷</w:t>
      </w:r>
    </w:p>
    <w:p>
      <w:pPr>
        <w:pStyle w:val="BookText"/>
      </w:pPr>
      <w:r>
        <w:rPr>
          <w:rFonts w:ascii="IRNazanin" w:hAnsi="IRNazanin" w:eastAsia="IRNazanin" w:cs="IRNazanin"/>
          <w:lang w:bidi="fa-IR"/>
          <w:color w:val="111111"/>
          <w:sz w:val="28"/>
          <w:szCs w:val="28"/>
          <w:rtl/>
        </w:rPr>
        <w:t xml:space="preserve">آغاز: برابر؛ انجام: و به اعتبار صافی صادق و شهود صحيح صریح عالم شی واحد بسیطی است و مستند است به جاعل واحد بسیطی و الحمدلله الذي هدانا لهذا و ما كنا لنهتدي لولا أن هدانا الله.</w:t>
      </w:r>
    </w:p>
    <w:p>
      <w:pPr>
        <w:pStyle w:val="BookText"/>
      </w:pPr>
      <w:r>
        <w:rPr>
          <w:rFonts w:ascii="IRNazanin" w:hAnsi="IRNazanin" w:eastAsia="IRNazanin" w:cs="IRNazanin"/>
          <w:lang w:bidi="fa-IR"/>
          <w:color w:val="111111"/>
          <w:sz w:val="28"/>
          <w:szCs w:val="28"/>
          <w:rtl/>
        </w:rPr>
        <w:t xml:space="preserve">خط: نستعلیق، كا: سميع بن غلام علی قمی، تا: ۱۱۲۴ق، در حیات مؤلف، جان اصفهان؛ در اول نسخه مطلبی از مولانا عبدالرشید در وحدت وجود و بیان آن؛ جلد: تیماج مشکی، ۳۱ص (۱۳۸ - ۱۶۸)،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سم [ف: ۳۸۵]</w:t>
      </w:r>
    </w:p>
    <w:p>
      <w:pPr>
        <w:pStyle w:val="BookText"/>
      </w:pPr>
      <w:r>
        <w:rPr>
          <w:rFonts w:ascii="IRNazanin" w:hAnsi="IRNazanin" w:eastAsia="IRNazanin" w:cs="IRNazanin"/>
          <w:lang w:bidi="fa-IR"/>
          <w:color w:val="111111"/>
          <w:sz w:val="28"/>
          <w:szCs w:val="28"/>
          <w:rtl/>
        </w:rPr>
        <w:t xml:space="preserve">قم: مرکز احیاء؛ شماره نسخه: ۱۵۵۲/۷</w:t>
      </w:r>
    </w:p>
    <w:p>
      <w:pPr>
        <w:pStyle w:val="BookText"/>
      </w:pPr>
      <w:r>
        <w:rPr>
          <w:rFonts w:ascii="IRNazanin" w:hAnsi="IRNazanin" w:eastAsia="IRNazanin" w:cs="IRNazanin"/>
          <w:lang w:bidi="fa-IR"/>
          <w:color w:val="111111"/>
          <w:sz w:val="28"/>
          <w:szCs w:val="28"/>
          <w:rtl/>
        </w:rPr>
        <w:t xml:space="preserve">نسخه اصل: همان نسخه بالا [عکسی ف: ۴-۳۷۶]</w:t>
      </w:r>
    </w:p>
    <w:p>
      <w:pPr>
        <w:pStyle w:val="Heading3"/>
      </w:pPr>
      <w:bookmarkStart w:id="1014" w:name="_Toc274"/>
      <w:r>
        <w:t>• بوارق مشرقه در ترجمه الصواعق المحرقه / كلام و اعتقادات / فارسی</w:t>
      </w:r>
      <w:bookmarkEnd w:id="1014"/>
    </w:p>
    <w:p>
      <w:pPr>
        <w:pStyle w:val="BookText"/>
      </w:pPr>
      <w:r>
        <w:rPr>
          <w:rFonts w:ascii="Times New Roman" w:hAnsi="Times New Roman" w:eastAsia="Times New Roman" w:cs="Times New Roman"/>
          <w:lang w:val="en-US" w:bidi="en-US"/>
          <w:color w:val="111111"/>
          <w:sz w:val="28"/>
          <w:szCs w:val="28"/>
          <w:rtl/>
        </w:rPr>
        <w:t xml:space="preserve">bavāreq-e mošreqe dar t.-ye as-savā'eq-ol mohreqa</w:t>
      </w:r>
    </w:p>
    <w:p>
      <w:pPr>
        <w:pStyle w:val="BookText"/>
      </w:pPr>
      <w:r>
        <w:rPr>
          <w:rFonts w:ascii="IRNazanin" w:hAnsi="IRNazanin" w:eastAsia="IRNazanin" w:cs="IRNazanin"/>
          <w:lang w:bidi="fa-IR"/>
          <w:color w:val="111111"/>
          <w:sz w:val="28"/>
          <w:szCs w:val="28"/>
          <w:rtl/>
        </w:rPr>
        <w:t xml:space="preserve">حصاری لاهوری، محمد عوض، ق ۱۲ قمری</w:t>
      </w:r>
    </w:p>
    <w:p>
      <w:pPr>
        <w:pStyle w:val="BookText"/>
      </w:pPr>
      <w:r>
        <w:rPr>
          <w:rFonts w:ascii="Times New Roman" w:hAnsi="Times New Roman" w:eastAsia="Times New Roman" w:cs="Times New Roman"/>
          <w:lang w:val="en-US" w:bidi="en-US"/>
          <w:color w:val="111111"/>
          <w:sz w:val="28"/>
          <w:szCs w:val="28"/>
          <w:rtl/>
        </w:rPr>
        <w:t xml:space="preserve">hesārī lāhūrī, mohammad ‘avaz (- 18c)</w:t>
      </w:r>
    </w:p>
    <w:p>
      <w:pPr>
        <w:pStyle w:val="BookText"/>
      </w:pPr>
      <w:r>
        <w:rPr>
          <w:rFonts w:ascii="IRNazanin" w:hAnsi="IRNazanin" w:eastAsia="IRNazanin" w:cs="IRNazanin"/>
          <w:lang w:bidi="fa-IR"/>
          <w:color w:val="111111"/>
          <w:sz w:val="28"/>
          <w:szCs w:val="28"/>
          <w:rtl/>
        </w:rPr>
        <w:t xml:space="preserve">وابسته به: الصواعق المحرقة على اهل الرفض و الزندقة؛ ابن حجر هیثمی، احمد بن محمد (۹۰۹-۹۷۳)</w:t>
      </w:r>
    </w:p>
    <w:p>
      <w:pPr>
        <w:pStyle w:val="BookText"/>
      </w:pPr>
      <w:r>
        <w:rPr>
          <w:rFonts w:ascii="IRNazanin" w:hAnsi="IRNazanin" w:eastAsia="IRNazanin" w:cs="IRNazanin"/>
          <w:lang w:bidi="fa-IR"/>
          <w:color w:val="111111"/>
          <w:sz w:val="28"/>
          <w:szCs w:val="28"/>
          <w:rtl/>
        </w:rPr>
        <w:t xml:space="preserve">به دستور: قلندر خان</w:t>
      </w:r>
    </w:p>
    <w:p>
      <w:pPr>
        <w:pStyle w:val="BookText"/>
      </w:pPr>
      <w:r>
        <w:rPr>
          <w:rFonts w:ascii="IRNazanin" w:hAnsi="IRNazanin" w:eastAsia="IRNazanin" w:cs="IRNazanin"/>
          <w:lang w:bidi="fa-IR"/>
          <w:color w:val="111111"/>
          <w:sz w:val="28"/>
          <w:szCs w:val="28"/>
          <w:rtl/>
        </w:rPr>
        <w:t xml:space="preserve">تاریخ تأليف: جمعه ۹ شعبان ۱۱۳۴ق</w:t>
      </w:r>
    </w:p>
    <w:p>
      <w:pPr>
        <w:pStyle w:val="BookText"/>
      </w:pPr>
      <w:r>
        <w:rPr>
          <w:rFonts w:ascii="IRNazanin" w:hAnsi="IRNazanin" w:eastAsia="IRNazanin" w:cs="IRNazanin"/>
          <w:lang w:bidi="fa-IR"/>
          <w:color w:val="111111"/>
          <w:sz w:val="28"/>
          <w:szCs w:val="28"/>
          <w:rtl/>
        </w:rPr>
        <w:t xml:space="preserve">ترجمه و شرح مانندی است بر کتاب «الصواعق المحرقة» ابن حجر هیثمی (۹۷۴). در آغاز آن بعضی از فرق شیعه و عقاید آنان را بیان کرده است. این ترجمه و شرح به طور مزجی نگاشته شده و اصل عربی در آن نیز آمده است. آغاز: محامده حمیده مرحمیدی را که بشوارق مشرقه هدایت خود صدور اهل حق را گنجینه راز ساخته</w:t>
      </w:r>
    </w:p>
    <w:p>
      <w:pPr>
        <w:pStyle w:val="BookText"/>
      </w:pPr>
      <w:r>
        <w:rPr>
          <w:rFonts w:ascii="Amiri" w:hAnsi="Amiri" w:eastAsia="Amiri" w:cs="Amiri"/>
          <w:lang w:bidi="ar-SA"/>
          <w:color w:val="111111"/>
          <w:sz w:val="28"/>
          <w:szCs w:val="28"/>
          <w:rtl/>
        </w:rPr>
        <w:t xml:space="preserve">انجام: بود سال هجرت خير الأنام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يكهزار و یکصد و سی و چهار [فهرستواره منزوی ۳۹۲/۹ ]</w:t>
      </w:r>
    </w:p>
    <w:p>
      <w:pPr>
        <w:pStyle w:val="BookText"/>
      </w:pPr>
      <w:r>
        <w:rPr>
          <w:rFonts w:ascii="IRNazanin" w:hAnsi="IRNazanin" w:eastAsia="IRNazanin" w:cs="IRNazanin"/>
          <w:lang w:bidi="fa-IR"/>
          <w:color w:val="111111"/>
          <w:sz w:val="28"/>
          <w:szCs w:val="28"/>
          <w:rtl/>
        </w:rPr>
        <w:t xml:space="preserve">قم؛ مرعشی؛ شماره نسخه: ۶۴۹۳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عبد الرحمن بن ملا ولی محمد لاهوری، تا: نزدیک عصر مؤلف؛ مجدول، دارای سر لوح رنگین؛ جلد: گالینگور قهوه ای، ۴۰۷گ، ۲۵ سطر،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۸۴-۱۷ ]</w:t>
      </w:r>
    </w:p>
    <w:p>
      <w:pPr>
        <w:pStyle w:val="Heading3"/>
      </w:pPr>
      <w:bookmarkStart w:id="1015" w:name="_Toc275"/>
      <w:r>
        <w:t>• البوارق الملكوتية = الطلايع و البوارق / عرفان و تصوف / عربی</w:t>
      </w:r>
      <w:bookmarkEnd w:id="1015"/>
    </w:p>
    <w:p>
      <w:pPr>
        <w:pStyle w:val="BookText"/>
      </w:pPr>
      <w:r>
        <w:rPr>
          <w:rFonts w:ascii="Times New Roman" w:hAnsi="Times New Roman" w:eastAsia="Times New Roman" w:cs="Times New Roman"/>
          <w:lang w:val="en-US" w:bidi="en-US"/>
          <w:color w:val="111111"/>
          <w:sz w:val="28"/>
          <w:szCs w:val="28"/>
          <w:rtl/>
        </w:rPr>
        <w:t xml:space="preserve">al-bawāriq-ul malakūtīya = at-talāyi' wa-l bawāriq</w:t>
      </w:r>
    </w:p>
    <w:p>
      <w:pPr>
        <w:pStyle w:val="BookText"/>
      </w:pPr>
      <w:r>
        <w:rPr>
          <w:rFonts w:ascii="IRNazanin" w:hAnsi="IRNazanin" w:eastAsia="IRNazanin" w:cs="IRNazanin"/>
          <w:lang w:bidi="fa-IR"/>
          <w:color w:val="111111"/>
          <w:sz w:val="28"/>
          <w:szCs w:val="28"/>
          <w:rtl/>
        </w:rPr>
        <w:t xml:space="preserve">قاضی سعید قمی، محمد سعيد بن محمد مفید، ۱۰۴۹ ۱۱۰۳؟ قمری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qāzī sa'īd-e qomī, mohammad sa‘īd ebn-e mohammad mofid (1640-1692)</w:t>
      </w:r>
    </w:p>
    <w:p>
      <w:pPr>
        <w:pStyle w:val="BookText"/>
      </w:pPr>
      <w:r>
        <w:rPr>
          <w:rFonts w:ascii="IRNazanin" w:hAnsi="IRNazanin" w:eastAsia="IRNazanin" w:cs="IRNazanin"/>
          <w:lang w:bidi="fa-IR"/>
          <w:color w:val="111111"/>
          <w:sz w:val="28"/>
          <w:szCs w:val="28"/>
          <w:rtl/>
        </w:rPr>
        <w:t xml:space="preserve">تاریخ تأليف: ۲۱ رجب ۱۰۹۵ق؛ محل تأليف: اصفهان</w:t>
      </w:r>
    </w:p>
    <w:p>
      <w:pPr>
        <w:pStyle w:val="BookText"/>
      </w:pPr>
      <w:r>
        <w:rPr>
          <w:rFonts w:ascii="IRNazanin" w:hAnsi="IRNazanin" w:eastAsia="IRNazanin" w:cs="IRNazanin"/>
          <w:lang w:bidi="fa-IR"/>
          <w:color w:val="111111"/>
          <w:sz w:val="28"/>
          <w:szCs w:val="28"/>
          <w:rtl/>
        </w:rPr>
        <w:t xml:space="preserve">مقصود این رساله اثبات وجود صوری است برای موجودات هر یکی از عوالم: عقلی. مثالی و مادی، که متناسب حقیقت آن موجود می باشند و آن صورت های حقیقی امثال و اشباحی در عوالم نازله دارند. این رساله بخشی از مجموعه اربعينيات قاضی سعید قمی می باشد و قمی آن را در آغاز ۱۰۹۵ آغاز کرد دیباچه) و در روز یک شنبه سوم صفر ۱۱۰۲ در این مجموعه گذارده است و مشتمل بر ۶ «طلیعه» و هر طلیعه متضمن چندین «بارقه» است: الطليعه 1. فيما يلقي اليك بلسان المحصلين من الحكماء الالهيين؛ ۲. فيما يشرق من صبح القدم انواره فيلوح على هياكل اصحاب الهمم آثاره؛ ۳. فيما ينكشف من اسرار العارفين؛ ۴. فيما يلقى اليك بلسان اهل الله من خلص</w:t>
      </w:r>
    </w:p>
    <w:p>
      <w:pPr>
        <w:pStyle w:val="BookText"/>
      </w:pPr>
      <w:r>
        <w:rPr>
          <w:rFonts w:ascii="Amiri" w:hAnsi="Amiri" w:eastAsia="Amiri" w:cs="Amiri"/>
          <w:lang w:bidi="ar-SA"/>
          <w:color w:val="111111"/>
          <w:sz w:val="28"/>
          <w:szCs w:val="28"/>
          <w:rtl/>
        </w:rPr>
        <w:t xml:space="preserve">شيعة امير المؤمنين؛ ۵. فيما يلقى الى روعه بهذا البيان من تصوير الحقائق بالصور البر زخية ؛ ۶. فيما يلقي من علل التكاليف الواقعة في الأديان.</w:t>
      </w:r>
    </w:p>
    <w:p>
      <w:pPr>
        <w:pStyle w:val="BookText"/>
      </w:pPr>
      <w:r>
        <w:rPr>
          <w:rFonts w:ascii="IRNazanin" w:hAnsi="IRNazanin" w:eastAsia="IRNazanin" w:cs="IRNazanin"/>
          <w:lang w:bidi="fa-IR"/>
          <w:color w:val="111111"/>
          <w:sz w:val="28"/>
          <w:szCs w:val="28"/>
          <w:rtl/>
        </w:rPr>
        <w:t xml:space="preserve">آغاز: الرسالة العاشرة رسالة الطلائع و البوارق في تحقيق أن لكل حقيقة من الحقائق الامكانية صورة و ان احسنها الصورة الانسانية بسمله. اما بعد الحمدلله واهب العلم و الصور و الصلوة على خیر البشر و آله خير اهل البدو و الحضر فالفقير إلى الله الغني و المتمسك بحبل النبي و الوصي محمد المدعو بسعيد الشريف القمي ... يقول نحن نريد في هذه المقالة ... ان نبيين حقيقة مافتح لنا في الاستفتاح من علم خمس و تسعين من الألف الثاني في بلدة اصبهان ... من أن لكل موجود سواء كان في العالم العقلی او المثالي او الكوني صورة يقتضيها حقيقته و تطلبه ذاته ... و بالحرى أن نسیمها بالبوارق الملكوتية حيث ما نيها من انوار الهية تستقدمها طلائع نورية.</w:t>
      </w:r>
    </w:p>
    <w:p>
      <w:pPr>
        <w:pStyle w:val="BookText"/>
      </w:pPr>
      <w:r>
        <w:rPr>
          <w:rFonts w:ascii="IRNazanin" w:hAnsi="IRNazanin" w:eastAsia="IRNazanin" w:cs="IRNazanin"/>
          <w:lang w:bidi="fa-IR"/>
          <w:color w:val="111111"/>
          <w:sz w:val="28"/>
          <w:szCs w:val="28"/>
          <w:rtl/>
        </w:rPr>
        <w:t xml:space="preserve">انجام: و لنختم الكلام ... و الحمدلله. اتفق النقل إلى هذه المجموعة يوم الاحد ثالث شهر صفر ... سنة الف و مائة و اثنین حامد مصلية على يد مصنفه ... محمد المدعو بسعيد القاضي جعله الله من اهله و اعطاه مناه في نفسه و اولاده و اخوانه و الحمدلله اولا و آخرا و ظاهر و باطنا.</w:t>
      </w:r>
    </w:p>
    <w:p>
      <w:pPr>
        <w:pStyle w:val="BookText"/>
      </w:pPr>
      <w:r>
        <w:rPr>
          <w:rFonts w:ascii="IRNazanin" w:hAnsi="IRNazanin" w:eastAsia="IRNazanin" w:cs="IRNazanin"/>
          <w:lang w:bidi="fa-IR"/>
          <w:color w:val="111111"/>
          <w:sz w:val="28"/>
          <w:szCs w:val="28"/>
          <w:rtl/>
        </w:rPr>
        <w:t xml:space="preserve">[الذريعة 1: ۴۳۶، ۱۵: ۱۷۸، ۲۶: ۱۰۹؛ مقدمه آقای مشکوة بر کلید بهشت بر چاپ ۱۳۱۵ ص ک- کز)</w:t>
      </w:r>
    </w:p>
    <w:p>
      <w:pPr>
        <w:pStyle w:val="BookText"/>
      </w:pPr>
      <w:r>
        <w:rPr>
          <w:rFonts w:ascii="IRNazanin" w:hAnsi="IRNazanin" w:eastAsia="IRNazanin" w:cs="IRNazanin"/>
          <w:lang w:bidi="fa-IR"/>
          <w:color w:val="111111"/>
          <w:sz w:val="28"/>
          <w:szCs w:val="28"/>
          <w:rtl/>
        </w:rPr>
        <w:t xml:space="preserve">١. مشهد؛ رضوی؛ شماره نسخه: ۲۱۶۲۳</w:t>
      </w:r>
    </w:p>
    <w:p>
      <w:pPr>
        <w:pStyle w:val="BookText"/>
      </w:pPr>
      <w:r>
        <w:rPr>
          <w:rFonts w:ascii="Amiri" w:hAnsi="Amiri" w:eastAsia="Amiri" w:cs="Amiri"/>
          <w:lang w:bidi="ar-SA"/>
          <w:color w:val="111111"/>
          <w:sz w:val="28"/>
          <w:szCs w:val="28"/>
          <w:rtl/>
        </w:rPr>
        <w:t xml:space="preserve">آغاز: برابر؛ انجام: بان الساعه هي رجوع كل شي و مصير كل ضوء ... الا الى الله تصير الامور</w:t>
      </w:r>
    </w:p>
    <w:p>
      <w:pPr>
        <w:pStyle w:val="BookText"/>
      </w:pPr>
      <w:r>
        <w:rPr>
          <w:rFonts w:ascii="IRNazanin" w:hAnsi="IRNazanin" w:eastAsia="IRNazanin" w:cs="IRNazanin"/>
          <w:lang w:bidi="fa-IR"/>
          <w:color w:val="111111"/>
          <w:sz w:val="28"/>
          <w:szCs w:val="28"/>
          <w:rtl/>
        </w:rPr>
        <w:t xml:space="preserve">خط: نسخ و نستعلیق، بی کا، تا: ۱۱۰۰ق؛ اهدایی: رهبری، ۱۳۷۳؛ کاغذ: نخودی، جلد: تیماج، ۱۸ گی، ۳۸ سطر[ رایانه ]</w:t>
      </w:r>
    </w:p>
    <w:p>
      <w:pPr>
        <w:pStyle w:val="BookText"/>
      </w:pPr>
      <w:r>
        <w:rPr>
          <w:rFonts w:ascii="IRNazanin" w:hAnsi="IRNazanin" w:eastAsia="IRNazanin" w:cs="IRNazanin"/>
          <w:lang w:bidi="fa-IR"/>
          <w:color w:val="111111"/>
          <w:sz w:val="28"/>
          <w:szCs w:val="28"/>
          <w:rtl/>
        </w:rPr>
        <w:t xml:space="preserve">۲. تهران؛ ملک؛ شماره نسخه: ۵۷۶۱/۸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كان محمد علی بن مظفر حسین، تا: ۱۱۹۷ق، کاغذ: ترمه، جلد: میشن سبز، ۱۸گ (۲۸پ ۴۵ر)، ۲۵ سطر، اندازه: ۲۱/۴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۱۵/۶ سم [ف: ۹-۲۷]</w:t>
      </w:r>
    </w:p>
    <w:p>
      <w:pPr>
        <w:pStyle w:val="BookText"/>
      </w:pPr>
      <w:r>
        <w:rPr>
          <w:rFonts w:ascii="IRNazanin" w:hAnsi="IRNazanin" w:eastAsia="IRNazanin" w:cs="IRNazanin"/>
          <w:lang w:bidi="fa-IR"/>
          <w:color w:val="111111"/>
          <w:sz w:val="28"/>
          <w:szCs w:val="28"/>
          <w:rtl/>
        </w:rPr>
        <w:t xml:space="preserve">٣. تهران؛ مجلس؛ شماره نسخه: ۱۵/۱ خوئی</w:t>
      </w:r>
    </w:p>
    <w:p>
      <w:pPr>
        <w:pStyle w:val="BookText"/>
      </w:pPr>
      <w:r>
        <w:rPr>
          <w:rFonts w:ascii="Amiri" w:hAnsi="Amiri" w:eastAsia="Amiri" w:cs="Amiri"/>
          <w:lang w:bidi="ar-SA"/>
          <w:color w:val="111111"/>
          <w:sz w:val="28"/>
          <w:szCs w:val="28"/>
          <w:rtl/>
        </w:rPr>
        <w:t xml:space="preserve">آغاز: و في نعمة باقية و تقرب منه مرتبة من تمسك بحبل المقربين، انجام: بارقة أن الشيخ الرئيس مشائية الاسلام ... وقد تفردنا با ثبات هذا المطلب ... بعد الجهادية قوة بها.</w:t>
      </w:r>
    </w:p>
    <w:p>
      <w:pPr>
        <w:pStyle w:val="BookText"/>
      </w:pPr>
      <w:r>
        <w:rPr>
          <w:rFonts w:ascii="IRNazanin" w:hAnsi="IRNazanin" w:eastAsia="IRNazanin" w:cs="IRNazanin"/>
          <w:lang w:bidi="fa-IR"/>
          <w:color w:val="111111"/>
          <w:sz w:val="28"/>
          <w:szCs w:val="28"/>
          <w:rtl/>
        </w:rPr>
        <w:t xml:space="preserve">شماره بازیابی با توجه به ص</w:t>
      </w:r>
    </w:p>
    <w:p>
      <w:pPr>
        <w:pStyle w:val="BookText"/>
      </w:pPr>
      <w:r>
        <w:rPr>
          <w:rFonts w:ascii="IRNazanin" w:hAnsi="IRNazanin" w:eastAsia="IRNazanin" w:cs="IRNazanin"/>
          <w:lang w:bidi="fa-IR"/>
          <w:color w:val="111111"/>
          <w:sz w:val="28"/>
          <w:szCs w:val="28"/>
          <w:rtl/>
        </w:rPr>
        <w:t xml:space="preserve">۲۶۲ و ص ۴۳۷ اصلاح شد؛ بی کا تا: قرن ۱۳؛ کاغذ: فرنگی، جلد: تیماج بدون مقوا، ۳۶ص (۳۳۵ -۳۷۰)، قطع: خشتی،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۷-۲۹]</w:t>
      </w:r>
    </w:p>
    <w:p>
      <w:pPr>
        <w:pStyle w:val="BookText"/>
      </w:pPr>
      <w:r>
        <w:rPr>
          <w:rFonts w:ascii="Amiri" w:hAnsi="Amiri" w:eastAsia="Amiri" w:cs="Amiri"/>
          <w:lang w:bidi="ar-SA"/>
          <w:color w:val="111111"/>
          <w:sz w:val="28"/>
          <w:szCs w:val="28"/>
          <w:rtl/>
        </w:rPr>
        <w:t xml:space="preserve">۴. تهران: دائرة المعارف؛ شماره نسخه: ۹۶۵/۲</w:t>
      </w:r>
    </w:p>
    <w:p>
      <w:pPr>
        <w:pStyle w:val="BookText"/>
      </w:pPr>
      <w:r>
        <w:rPr>
          <w:rFonts w:ascii="IRNazanin" w:hAnsi="IRNazanin" w:eastAsia="IRNazanin" w:cs="IRNazanin"/>
          <w:lang w:bidi="fa-IR"/>
          <w:color w:val="111111"/>
          <w:sz w:val="28"/>
          <w:szCs w:val="28"/>
          <w:rtl/>
        </w:rPr>
        <w:t xml:space="preserve">آغاز: برابر؛ انجام: بل الكل هناك في الكل مضمر، فالنفس في عالمها مشتملة على كل الأشياء. خط: نستعلیق پخته، بی کا، تا: قرن ۱۳، ۴گ (۸۴-۸۷پ) [ف: ۲۲۰-۲]</w:t>
      </w:r>
    </w:p>
    <w:p>
      <w:pPr>
        <w:pStyle w:val="BookText"/>
      </w:pPr>
      <w:r>
        <w:rPr>
          <w:rFonts w:ascii="IRNazanin" w:hAnsi="IRNazanin" w:eastAsia="IRNazanin" w:cs="IRNazanin"/>
          <w:lang w:bidi="fa-IR"/>
          <w:color w:val="111111"/>
          <w:sz w:val="28"/>
          <w:szCs w:val="28"/>
          <w:rtl/>
        </w:rPr>
        <w:t xml:space="preserve">۵. تهران: مجلس؛ شماره نسخه: ۱۲۰۷/۳۱</w:t>
      </w:r>
    </w:p>
    <w:p>
      <w:pPr>
        <w:pStyle w:val="BookText"/>
      </w:pPr>
      <w:r>
        <w:rPr>
          <w:rFonts w:ascii="IRNazanin" w:hAnsi="IRNazanin" w:eastAsia="IRNazanin" w:cs="IRNazanin"/>
          <w:lang w:bidi="fa-IR"/>
          <w:color w:val="111111"/>
          <w:sz w:val="28"/>
          <w:szCs w:val="28"/>
          <w:rtl/>
        </w:rPr>
        <w:t xml:space="preserve">آغاز: برابر خط: نستعلیق، بی کا، تا: قرن ۱۳، ۳۳ص (۲۹۳-۳۲۵) [ف: ۴ جدید-۲۴]</w:t>
      </w:r>
    </w:p>
    <w:p>
      <w:pPr>
        <w:pStyle w:val="BookText"/>
      </w:pPr>
      <w:r>
        <w:rPr>
          <w:rFonts w:ascii="IRNazanin" w:hAnsi="IRNazanin" w:eastAsia="IRNazanin" w:cs="IRNazanin"/>
          <w:lang w:bidi="fa-IR"/>
          <w:color w:val="111111"/>
          <w:sz w:val="28"/>
          <w:szCs w:val="28"/>
          <w:rtl/>
        </w:rPr>
        <w:t xml:space="preserve">۶. اصفهان، دانشگاه؛ شماره نسخه: ۱۷۸/۳</w:t>
      </w:r>
    </w:p>
    <w:p>
      <w:pPr>
        <w:pStyle w:val="BookText"/>
      </w:pPr>
      <w:r>
        <w:rPr>
          <w:rFonts w:ascii="IRNazanin" w:hAnsi="IRNazanin" w:eastAsia="IRNazanin" w:cs="IRNazanin"/>
          <w:lang w:bidi="fa-IR"/>
          <w:color w:val="111111"/>
          <w:sz w:val="28"/>
          <w:szCs w:val="28"/>
          <w:rtl/>
        </w:rPr>
        <w:t xml:space="preserve">خط: نستعلیق، کا: هزار جریبی، تا: ۱۲۰۲ق؛ کاغذ: سپاهانی [نشریه: ۱۱-۹۳۰]</w:t>
      </w:r>
    </w:p>
    <w:p>
      <w:pPr>
        <w:pStyle w:val="BookText"/>
      </w:pPr>
      <w:r>
        <w:rPr>
          <w:rFonts w:ascii="IRNazanin" w:hAnsi="IRNazanin" w:eastAsia="IRNazanin" w:cs="IRNazanin"/>
          <w:lang w:bidi="fa-IR"/>
          <w:color w:val="111111"/>
          <w:sz w:val="28"/>
          <w:szCs w:val="28"/>
          <w:rtl/>
        </w:rPr>
        <w:t xml:space="preserve">۷. تهران: دانشگاه؛ شماره نسخه: ۹۷۱/۱۰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حسن فانی پسر حاج عبدالرسول حسینی زنوزی، تا: صفر ۱۲۰۶ق، جا: اصفهان؛ جلد: تیماج تریاکی ضربی، ۱۸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۶-۲۱۳۴]</w:t>
      </w:r>
    </w:p>
    <w:p>
      <w:pPr>
        <w:pStyle w:val="BookText"/>
      </w:pPr>
      <w:r>
        <w:rPr>
          <w:rFonts w:ascii="IRNazanin" w:hAnsi="IRNazanin" w:eastAsia="IRNazanin" w:cs="IRNazanin"/>
          <w:lang w:bidi="fa-IR"/>
          <w:color w:val="111111"/>
          <w:sz w:val="28"/>
          <w:szCs w:val="28"/>
          <w:rtl/>
        </w:rPr>
        <w:t xml:space="preserve">۸. همدان؛ مدرسه غرب، شماره نسخه: ۶۴۶/۱۸</w:t>
      </w:r>
    </w:p>
    <w:p>
      <w:pPr>
        <w:pStyle w:val="BookText"/>
      </w:pPr>
      <w:r>
        <w:rPr>
          <w:rFonts w:ascii="IRNazanin" w:hAnsi="IRNazanin" w:eastAsia="IRNazanin" w:cs="IRNazanin"/>
          <w:lang w:bidi="fa-IR"/>
          <w:color w:val="111111"/>
          <w:sz w:val="28"/>
          <w:szCs w:val="28"/>
          <w:rtl/>
        </w:rPr>
        <w:t xml:space="preserve">رساله دهم؛ خط: شکسته نستعلیق، کا: محمد باقر بن سر خوش افشار، تا: شوال ۱۲۱۷ق؛ ۵۱ص (۴۵۲-۵۰۲)، قطع: ربعی رشت و همدان: ف: ۱۴۲۷]</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دانشگاه؛ شماره نسخه: ۳۶۶۱/۸</w:t>
      </w:r>
    </w:p>
    <w:p>
      <w:pPr>
        <w:pStyle w:val="BookText"/>
      </w:pPr>
      <w:r>
        <w:rPr>
          <w:rFonts w:ascii="IRNazanin" w:hAnsi="IRNazanin" w:eastAsia="IRNazanin" w:cs="IRNazanin"/>
          <w:lang w:bidi="fa-IR"/>
          <w:color w:val="111111"/>
          <w:sz w:val="28"/>
          <w:szCs w:val="28"/>
          <w:rtl/>
        </w:rPr>
        <w:t xml:space="preserve">خط: شکسته نستعلیق، كا: كاظم بن عنایت الله، تا: پنج شنبه ۱۸ ربيع الثانی ۱۲۲۰ق، کاغذ: فرنگی، جلد: مقوا، ۲۲گ (۳۹پ - ۶۰ر)، ۱۴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[ف: ۱۲-۲۶۷۲]</w:t>
      </w:r>
    </w:p>
    <w:p>
      <w:pPr>
        <w:pStyle w:val="BookText"/>
      </w:pPr>
      <w:r>
        <w:rPr>
          <w:rFonts w:ascii="IRNazanin" w:hAnsi="IRNazanin" w:eastAsia="IRNazanin" w:cs="IRNazanin"/>
          <w:lang w:bidi="fa-IR"/>
          <w:color w:val="111111"/>
          <w:sz w:val="28"/>
          <w:szCs w:val="28"/>
          <w:rtl/>
        </w:rPr>
        <w:t xml:space="preserve">۱۰. تهران؛ ملک؛ شماره نسخه: ۱۶۸۷/۶</w:t>
      </w:r>
    </w:p>
    <w:p>
      <w:pPr>
        <w:pStyle w:val="BookText"/>
      </w:pPr>
      <w:r>
        <w:rPr>
          <w:rFonts w:ascii="IRNazanin" w:hAnsi="IRNazanin" w:eastAsia="IRNazanin" w:cs="IRNazanin"/>
          <w:lang w:bidi="fa-IR"/>
          <w:color w:val="111111"/>
          <w:sz w:val="28"/>
          <w:szCs w:val="28"/>
          <w:rtl/>
        </w:rPr>
        <w:t xml:space="preserve">خط: نستعلیق، کا: محمد اسماعيل بن علی اصغر موسوی هزار جریبی، تا: ۱۲۵۱ق [ف: ۵-۳۳۳]</w:t>
      </w:r>
    </w:p>
    <w:p>
      <w:pPr>
        <w:pStyle w:val="BookText"/>
      </w:pPr>
      <w:r>
        <w:rPr>
          <w:rFonts w:ascii="IRNazanin" w:hAnsi="IRNazanin" w:eastAsia="IRNazanin" w:cs="IRNazanin"/>
          <w:lang w:bidi="fa-IR"/>
          <w:color w:val="111111"/>
          <w:sz w:val="28"/>
          <w:szCs w:val="28"/>
          <w:rtl/>
        </w:rPr>
        <w:t xml:space="preserve">۱۱. تهران: مؤسسه مطالعات اسلامی؛ شماره نسخه: ۸۰/۲</w:t>
      </w:r>
    </w:p>
    <w:p>
      <w:pPr>
        <w:pStyle w:val="BookText"/>
      </w:pPr>
      <w:r>
        <w:rPr>
          <w:rFonts w:ascii="IRNazanin" w:hAnsi="IRNazanin" w:eastAsia="IRNazanin" w:cs="IRNazanin"/>
          <w:lang w:bidi="fa-IR"/>
          <w:color w:val="111111"/>
          <w:sz w:val="28"/>
          <w:szCs w:val="28"/>
          <w:rtl/>
        </w:rPr>
        <w:t xml:space="preserve">آغاز: برابر؛ انجام: وعدناک من الجواب فان فيما ذكرنا فصل الخطاب و الله اعلم بالصواب والحمدلله على ما هدانا لدينه و جعلنا من الموقنين بتوحيده ... و الصراط المستقیم</w:t>
      </w:r>
    </w:p>
    <w:p>
      <w:pPr>
        <w:pStyle w:val="BookText"/>
      </w:pPr>
      <w:r>
        <w:rPr>
          <w:rFonts w:ascii="IRNazanin" w:hAnsi="IRNazanin" w:eastAsia="IRNazanin" w:cs="IRNazanin"/>
          <w:lang w:bidi="fa-IR"/>
          <w:color w:val="111111"/>
          <w:sz w:val="28"/>
          <w:szCs w:val="28"/>
          <w:rtl/>
        </w:rPr>
        <w:t xml:space="preserve">خط: نستعلیق، کا: محمد قاسم لنکرانی، تا: ۱۲۵۳ق، جان اصفهان؛ در یک صفحه به خط شکسته خوش از مولانا خلیل قزوینی سوال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92" w:name="pg20363_209253"/>
    <w:bookmarkEnd w:id="92"/>
    <w:p>
      <w:pPr>
        <w:pStyle w:val="BookText"/>
      </w:pPr>
      <w:r>
        <w:rPr>
          <w:rFonts w:ascii="IRNazanin" w:hAnsi="IRNazanin" w:eastAsia="IRNazanin" w:cs="IRNazanin"/>
          <w:lang w:bidi="fa-IR"/>
          <w:color w:val="111111"/>
          <w:sz w:val="28"/>
          <w:szCs w:val="28"/>
          <w:rtl/>
        </w:rPr>
        <w:t xml:space="preserve">و جوابی در منطق نوشته شده؛ کاغذ: زرد نازک آهار زرده، جلد: تیماج قهوه یی نرم، ۳۳گ (۴۷پ -۷۹ر)، ۱۵ سطر (۱۲۸۶/۵ )،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۶۸]</w:t>
      </w:r>
    </w:p>
    <w:p>
      <w:pPr>
        <w:pStyle w:val="BookText"/>
      </w:pPr>
      <w:r>
        <w:rPr>
          <w:rFonts w:ascii="IRNazanin" w:hAnsi="IRNazanin" w:eastAsia="IRNazanin" w:cs="IRNazanin"/>
          <w:lang w:bidi="fa-IR"/>
          <w:color w:val="111111"/>
          <w:sz w:val="28"/>
          <w:szCs w:val="28"/>
          <w:rtl/>
        </w:rPr>
        <w:t xml:space="preserve">۱۲. تهران؛ ملک؛ شماره نسخه: ۲۳۴۲/۴</w:t>
      </w:r>
    </w:p>
    <w:p>
      <w:pPr>
        <w:pStyle w:val="BookText"/>
      </w:pPr>
      <w:r>
        <w:rPr>
          <w:rFonts w:ascii="IRNazanin" w:hAnsi="IRNazanin" w:eastAsia="IRNazanin" w:cs="IRNazanin"/>
          <w:lang w:bidi="fa-IR"/>
          <w:color w:val="111111"/>
          <w:sz w:val="28"/>
          <w:szCs w:val="28"/>
          <w:rtl/>
        </w:rPr>
        <w:t xml:space="preserve">بی کا، تا: پنج شنبه ۹ صفر ۱۲۵۹ق، جا: قزوین؛ کاغذ: پسته ای، جلد: میشن لایی قهوه ای، ۵۹گ (۶۲ر - ۱۲۰پ)، ۱۸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۵-۴۶۹]</w:t>
      </w:r>
    </w:p>
    <w:p>
      <w:pPr>
        <w:pStyle w:val="BookText"/>
      </w:pPr>
      <w:r>
        <w:rPr>
          <w:rFonts w:ascii="IRNazanin" w:hAnsi="IRNazanin" w:eastAsia="IRNazanin" w:cs="IRNazanin"/>
          <w:lang w:bidi="fa-IR"/>
          <w:color w:val="111111"/>
          <w:sz w:val="28"/>
          <w:szCs w:val="28"/>
          <w:rtl/>
        </w:rPr>
        <w:t xml:space="preserve">۱۳. تهران؛ الهیات؛ شماره نسخه: ۶۵۲/۵</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كا: محمد کاظم، تا: ۱۳۴۸ق، کاغذ: فرنگی سبز، جلد: مقوایی عطف میشن، ۵۷گ (۴۶پ -۱۰۲ر)، ۱۹ سطر (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۳۴۸]</w:t>
      </w:r>
    </w:p>
    <w:p>
      <w:pPr>
        <w:pStyle w:val="BookText"/>
      </w:pPr>
      <w:r>
        <w:rPr>
          <w:rFonts w:ascii="IRNazanin" w:hAnsi="IRNazanin" w:eastAsia="IRNazanin" w:cs="IRNazanin"/>
          <w:lang w:bidi="fa-IR"/>
          <w:color w:val="111111"/>
          <w:sz w:val="28"/>
          <w:szCs w:val="28"/>
          <w:rtl/>
        </w:rPr>
        <w:t xml:space="preserve">تهران؛ دائرة المعارف؛ شماره نسخه: ۴۳۸/۵ -عکسی</w:t>
      </w:r>
    </w:p>
    <w:p>
      <w:pPr>
        <w:pStyle w:val="BookText"/>
      </w:pPr>
      <w:r>
        <w:rPr>
          <w:rFonts w:ascii="IRNazanin" w:hAnsi="IRNazanin" w:eastAsia="IRNazanin" w:cs="IRNazanin"/>
          <w:lang w:bidi="fa-IR"/>
          <w:color w:val="111111"/>
          <w:sz w:val="28"/>
          <w:szCs w:val="28"/>
          <w:rtl/>
        </w:rPr>
        <w:t xml:space="preserve">نسخه اصل: همان نسخه بالا [عکسی ف: ۲-۱۸۹]</w:t>
      </w:r>
    </w:p>
    <w:p>
      <w:pPr>
        <w:pStyle w:val="BookText"/>
      </w:pPr>
      <w:r>
        <w:rPr>
          <w:rFonts w:ascii="IRNazanin" w:hAnsi="IRNazanin" w:eastAsia="IRNazanin" w:cs="IRNazanin"/>
          <w:lang w:bidi="fa-IR"/>
          <w:color w:val="111111"/>
          <w:sz w:val="28"/>
          <w:szCs w:val="28"/>
          <w:rtl/>
        </w:rPr>
        <w:t xml:space="preserve">۱۴. قم؛ مرعشی؛ شماره نسخه:۱۲۳۹۰/۴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كان أبي القاسم بن محمد بن ابراهيم بن صادق بن ابی طالب حسینی رازی لواسانی، تا: ۱۹ محرم ۱۳۵۰ق؛ کاغذ: فرنگی، ۳۱گ (۷۸-۴۸)، ۲۳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۳۱-۳۲۶)</w:t>
      </w:r>
    </w:p>
    <w:p>
      <w:pPr>
        <w:pStyle w:val="BookText"/>
      </w:pPr>
      <w:r>
        <w:rPr>
          <w:rFonts w:ascii="IRNazanin" w:hAnsi="IRNazanin" w:eastAsia="IRNazanin" w:cs="IRNazanin"/>
          <w:lang w:bidi="fa-IR"/>
          <w:color w:val="111111"/>
          <w:sz w:val="28"/>
          <w:szCs w:val="28"/>
          <w:rtl/>
        </w:rPr>
        <w:t xml:space="preserve">۱۵. قم؛ فیضیه؛ شماره نسخه: ۹۱۰</w:t>
      </w:r>
    </w:p>
    <w:p>
      <w:pPr>
        <w:pStyle w:val="BookText"/>
      </w:pPr>
      <w:r>
        <w:rPr>
          <w:rFonts w:ascii="IRNazanin" w:hAnsi="IRNazanin" w:eastAsia="IRNazanin" w:cs="IRNazanin"/>
          <w:lang w:bidi="fa-IR"/>
          <w:color w:val="111111"/>
          <w:sz w:val="28"/>
          <w:szCs w:val="28"/>
          <w:rtl/>
        </w:rPr>
        <w:t xml:space="preserve">آغاز: برابر؛ انجام: في مدرسة رضویه قم صانها الله من التصادم (۲۸ جمادی الثانی -۱۳۵۲) ۲۶ مهر باستانی(۱۳۱۲)</w:t>
      </w:r>
    </w:p>
    <w:p>
      <w:pPr>
        <w:pStyle w:val="BookText"/>
      </w:pPr>
      <w:r>
        <w:rPr>
          <w:rFonts w:ascii="IRNazanin" w:hAnsi="IRNazanin" w:eastAsia="IRNazanin" w:cs="IRNazanin"/>
          <w:lang w:bidi="fa-IR"/>
          <w:color w:val="111111"/>
          <w:sz w:val="28"/>
          <w:szCs w:val="28"/>
          <w:rtl/>
        </w:rPr>
        <w:t xml:space="preserve">خط: نسخ متوسط، بی کا، تا: ۲۸ جمادی الثانی ۲۶ مهر ۱۳۱۲ ۱۳۵۲ق، جا: قم، مدرسه رضویه؛ کاغذ: شکری، جلد: پارچه مشکی و مقوا، ۳۰۶ص، ۱۱سطر،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[فهرست عراقی: ۱-۲۸۸]</w:t>
      </w:r>
    </w:p>
    <w:p>
      <w:pPr>
        <w:pStyle w:val="BookText"/>
      </w:pPr>
      <w:r>
        <w:rPr>
          <w:rFonts w:ascii="IRNazanin" w:hAnsi="IRNazanin" w:eastAsia="IRNazanin" w:cs="IRNazanin"/>
          <w:lang w:bidi="fa-IR"/>
          <w:color w:val="111111"/>
          <w:sz w:val="28"/>
          <w:szCs w:val="28"/>
          <w:rtl/>
        </w:rPr>
        <w:t xml:space="preserve">۱۶. قم؛ فیضیه؛ شماره نسخه: ۱۷۸۳</w:t>
      </w:r>
    </w:p>
    <w:p>
      <w:pPr>
        <w:pStyle w:val="BookText"/>
      </w:pPr>
      <w:r>
        <w:rPr>
          <w:rFonts w:ascii="IRNazanin" w:hAnsi="IRNazanin" w:eastAsia="IRNazanin" w:cs="IRNazanin"/>
          <w:lang w:bidi="fa-IR"/>
          <w:color w:val="111111"/>
          <w:sz w:val="28"/>
          <w:szCs w:val="28"/>
          <w:rtl/>
        </w:rPr>
        <w:t xml:space="preserve">آغاز: برابر خط: نسخ، بی کا، تا: ۲۸ جمادی الثانی ۱۳۵۲ق، جا: قم مدرسه رضویه، به دستور حاج سید علم الهدی نقوی؛ ۱۵۴گ، ۱۱سطر،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سم [ف: ۱-۳۴]</w:t>
      </w:r>
    </w:p>
    <w:p>
      <w:pPr>
        <w:pStyle w:val="BookText"/>
      </w:pPr>
      <w:r>
        <w:rPr>
          <w:rFonts w:ascii="IRNazanin" w:hAnsi="IRNazanin" w:eastAsia="IRNazanin" w:cs="IRNazanin"/>
          <w:lang w:bidi="fa-IR"/>
          <w:color w:val="111111"/>
          <w:sz w:val="28"/>
          <w:szCs w:val="28"/>
          <w:rtl/>
        </w:rPr>
        <w:t xml:space="preserve">۱۷. مشهد؛ رضوی؛ شماره نسخه: ۲۰۸۰۴</w:t>
      </w:r>
    </w:p>
    <w:p>
      <w:pPr>
        <w:pStyle w:val="BookText"/>
      </w:pPr>
      <w:r>
        <w:rPr>
          <w:rFonts w:ascii="IRNazanin" w:hAnsi="IRNazanin" w:eastAsia="IRNazanin" w:cs="IRNazanin"/>
          <w:lang w:bidi="fa-IR"/>
          <w:color w:val="111111"/>
          <w:sz w:val="28"/>
          <w:szCs w:val="28"/>
          <w:rtl/>
        </w:rPr>
        <w:t xml:space="preserve">آغاز: برابر؛ انجام: هاجرها الف التحیه و الثاناء خط: نسخ، بی کا، تا: ۱۳۵۳ق؛ اهدایی: رهبری، خرداد ۱۳۷۳؛ کاغذ: نباتی، جلد: مقوا، ۳۷گ، ۱۴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[رایانه]</w:t>
      </w:r>
    </w:p>
    <w:p>
      <w:pPr>
        <w:pStyle w:val="BookText"/>
      </w:pPr>
      <w:r>
        <w:rPr>
          <w:rFonts w:ascii="IRNazanin" w:hAnsi="IRNazanin" w:eastAsia="IRNazanin" w:cs="IRNazanin"/>
          <w:lang w:bidi="fa-IR"/>
          <w:color w:val="111111"/>
          <w:sz w:val="28"/>
          <w:szCs w:val="28"/>
          <w:rtl/>
        </w:rPr>
        <w:t xml:space="preserve">۱۸. تبریز؛ قاضی طباطبائی؛ شماره نسخه: بدون شماره ۱۰</w:t>
      </w:r>
    </w:p>
    <w:p>
      <w:pPr>
        <w:pStyle w:val="BookText"/>
      </w:pPr>
      <w:r>
        <w:rPr>
          <w:rFonts w:ascii="IRNazanin" w:hAnsi="IRNazanin" w:eastAsia="IRNazanin" w:cs="IRNazanin"/>
          <w:lang w:bidi="fa-IR"/>
          <w:color w:val="111111"/>
          <w:sz w:val="28"/>
          <w:szCs w:val="28"/>
          <w:rtl/>
        </w:rPr>
        <w:t xml:space="preserve">بی کا، بی تا [ نشریه: ۷-۵۲۰]</w:t>
      </w:r>
    </w:p>
    <w:p>
      <w:pPr>
        <w:pStyle w:val="Heading3"/>
      </w:pPr>
      <w:bookmarkStart w:id="1016" w:name="_Toc276"/>
      <w:r>
        <w:t>البوارق الملكوتية في بيان الاسرار الجبروتية / كلام واعتقادات/عربی</w:t>
      </w:r>
      <w:bookmarkEnd w:id="1016"/>
    </w:p>
    <w:p>
      <w:pPr>
        <w:pStyle w:val="BookText"/>
      </w:pPr>
      <w:r>
        <w:rPr>
          <w:rFonts w:ascii="Times New Roman" w:hAnsi="Times New Roman" w:eastAsia="Times New Roman" w:cs="Times New Roman"/>
          <w:lang w:val="en-US" w:bidi="en-US"/>
          <w:color w:val="111111"/>
          <w:sz w:val="28"/>
          <w:szCs w:val="28"/>
          <w:rtl/>
        </w:rPr>
        <w:t xml:space="preserve">al-bawāriq-ul malakūtīya fi bayān-il asrār-il jabarūtīya</w:t>
      </w:r>
    </w:p>
    <w:p>
      <w:pPr>
        <w:pStyle w:val="BookText"/>
      </w:pPr>
      <w:r>
        <w:rPr>
          <w:rFonts w:ascii="IRNazanin" w:hAnsi="IRNazanin" w:eastAsia="IRNazanin" w:cs="IRNazanin"/>
          <w:lang w:bidi="fa-IR"/>
          <w:color w:val="111111"/>
          <w:sz w:val="28"/>
          <w:szCs w:val="28"/>
          <w:rtl/>
        </w:rPr>
        <w:t xml:space="preserve">حسینی، موسی بن فضل الله، ق۱۳ قمری</w:t>
      </w:r>
    </w:p>
    <w:p>
      <w:pPr>
        <w:pStyle w:val="BookText"/>
      </w:pPr>
      <w:r>
        <w:rPr>
          <w:rFonts w:ascii="Times New Roman" w:hAnsi="Times New Roman" w:eastAsia="Times New Roman" w:cs="Times New Roman"/>
          <w:lang w:val="en-US" w:bidi="en-US"/>
          <w:color w:val="111111"/>
          <w:sz w:val="28"/>
          <w:szCs w:val="28"/>
          <w:rtl/>
        </w:rPr>
        <w:t xml:space="preserve">hoseynī, mūsā ebn-e fazl-ol-lāh (- 19c)</w:t>
      </w:r>
    </w:p>
    <w:p>
      <w:pPr>
        <w:pStyle w:val="BookText"/>
      </w:pPr>
      <w:r>
        <w:rPr>
          <w:rFonts w:ascii="IRNazanin" w:hAnsi="IRNazanin" w:eastAsia="IRNazanin" w:cs="IRNazanin"/>
          <w:lang w:bidi="fa-IR"/>
          <w:color w:val="111111"/>
          <w:sz w:val="28"/>
          <w:szCs w:val="28"/>
          <w:rtl/>
        </w:rPr>
        <w:t xml:space="preserve">در یک «مقدمه» و چند «مقصد» در کلام شیعی.</w:t>
      </w:r>
    </w:p>
    <w:p>
      <w:pPr>
        <w:pStyle w:val="BookText"/>
      </w:pPr>
      <w:r>
        <w:rPr>
          <w:rFonts w:ascii="IRNazanin" w:hAnsi="IRNazanin" w:eastAsia="IRNazanin" w:cs="IRNazanin"/>
          <w:lang w:bidi="fa-IR"/>
          <w:color w:val="111111"/>
          <w:sz w:val="28"/>
          <w:szCs w:val="28"/>
          <w:rtl/>
        </w:rPr>
        <w:t xml:space="preserve">تهران؛ ملک؛ شماره نسخه: ۳۵۴۴/۵</w:t>
      </w:r>
    </w:p>
    <w:p>
      <w:pPr>
        <w:pStyle w:val="BookText"/>
      </w:pPr>
      <w:r>
        <w:rPr>
          <w:rFonts w:ascii="Amiri" w:hAnsi="Amiri" w:eastAsia="Amiri" w:cs="Amiri"/>
          <w:lang w:bidi="ar-SA"/>
          <w:color w:val="111111"/>
          <w:sz w:val="28"/>
          <w:szCs w:val="28"/>
          <w:rtl/>
        </w:rPr>
        <w:t xml:space="preserve">آغاز: احمد و اشكر الله ذي المن الجسيم و الطول العظيم؛ انجام: ولا يناطحم الهمام</w:t>
      </w:r>
    </w:p>
    <w:p>
      <w:pPr>
        <w:pStyle w:val="BookText"/>
      </w:pPr>
      <w:r>
        <w:rPr>
          <w:rFonts w:ascii="IRNazanin" w:hAnsi="IRNazanin" w:eastAsia="IRNazanin" w:cs="IRNazanin"/>
          <w:lang w:bidi="fa-IR"/>
          <w:color w:val="111111"/>
          <w:sz w:val="28"/>
          <w:szCs w:val="28"/>
          <w:rtl/>
        </w:rPr>
        <w:t xml:space="preserve">خط: نسخ و نستعلیق، بی کا، بی تا، کاغذ: فرنگی، جلد: میشن قرمز، ۱۱ و ۲۰ و ۲۴ سطر، اندازه: ۲۲/۸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۱۸/۱ سم [ف: ۶-۴۸۰ ]</w:t>
      </w:r>
    </w:p>
    <w:p>
      <w:pPr>
        <w:pStyle w:val="Heading3"/>
      </w:pPr>
      <w:bookmarkStart w:id="1017" w:name="_Toc277"/>
      <w:r>
        <w:t>• بوارق موبقه / کلام و اعتقادات / فارسی</w:t>
      </w:r>
      <w:bookmarkEnd w:id="1017"/>
    </w:p>
    <w:p>
      <w:pPr>
        <w:pStyle w:val="BookText"/>
      </w:pPr>
      <w:r>
        <w:rPr>
          <w:rFonts w:ascii="Times New Roman" w:hAnsi="Times New Roman" w:eastAsia="Times New Roman" w:cs="Times New Roman"/>
          <w:lang w:val="en-US" w:bidi="en-US"/>
          <w:color w:val="111111"/>
          <w:sz w:val="28"/>
          <w:szCs w:val="28"/>
          <w:rtl/>
        </w:rPr>
        <w:t xml:space="preserve">bavāreq-e mūbeqa</w:t>
      </w:r>
    </w:p>
    <w:p>
      <w:pPr>
        <w:pStyle w:val="BookText"/>
      </w:pPr>
      <w:r>
        <w:rPr>
          <w:rFonts w:ascii="IRNazanin" w:hAnsi="IRNazanin" w:eastAsia="IRNazanin" w:cs="IRNazanin"/>
          <w:lang w:bidi="fa-IR"/>
          <w:color w:val="111111"/>
          <w:sz w:val="28"/>
          <w:szCs w:val="28"/>
          <w:rtl/>
        </w:rPr>
        <w:t xml:space="preserve">سلطان العلماء، محمد بن دلدار علی، ۱۱۹۹-۱۲۸۴ قمری</w:t>
      </w:r>
    </w:p>
    <w:p>
      <w:pPr>
        <w:pStyle w:val="BookText"/>
      </w:pPr>
      <w:r>
        <w:rPr>
          <w:rFonts w:ascii="Times New Roman" w:hAnsi="Times New Roman" w:eastAsia="Times New Roman" w:cs="Times New Roman"/>
          <w:lang w:val="en-US" w:bidi="en-US"/>
          <w:color w:val="111111"/>
          <w:sz w:val="28"/>
          <w:szCs w:val="28"/>
          <w:rtl/>
        </w:rPr>
        <w:t xml:space="preserve">soltán-ol-“olamā”, mohammad ebn-e deldār ‘alī (1785 1868)</w:t>
      </w:r>
    </w:p>
    <w:p>
      <w:pPr>
        <w:pStyle w:val="BookText"/>
      </w:pPr>
      <w:r>
        <w:rPr>
          <w:rFonts w:ascii="IRNazanin" w:hAnsi="IRNazanin" w:eastAsia="IRNazanin" w:cs="IRNazanin"/>
          <w:lang w:bidi="fa-IR"/>
          <w:color w:val="111111"/>
          <w:sz w:val="28"/>
          <w:szCs w:val="28"/>
          <w:rtl/>
        </w:rPr>
        <w:t xml:space="preserve">وابسته به: تحفه اثنی عشریه = نصيحة المؤمنين و فضيحة الشياطين؛ دهلوی، عبدالعزيز بن احمد (۱۱۵۹- ۱۲۳۹) در رد باب هفتم «تحفه اثنی عشریه» شاه عبدالعزيز دهلوی است، در مسأله امامت نگاشته است.</w:t>
      </w:r>
    </w:p>
    <w:p>
      <w:pPr>
        <w:pStyle w:val="BookText"/>
      </w:pPr>
      <w:r>
        <w:rPr>
          <w:rFonts w:ascii="Amiri" w:hAnsi="Amiri" w:eastAsia="Amiri" w:cs="Amiri"/>
          <w:lang w:bidi="ar-SA"/>
          <w:color w:val="111111"/>
          <w:sz w:val="28"/>
          <w:szCs w:val="28"/>
          <w:rtl/>
        </w:rPr>
        <w:t xml:space="preserve">آغاز: بسمله الحمدلله على اكمال الدين و اتمام النعمة و ... العباد باقتضاء اهل البيت عن</w:t>
      </w:r>
    </w:p>
    <w:p>
      <w:pPr>
        <w:pStyle w:val="BookText"/>
      </w:pPr>
      <w:r>
        <w:rPr>
          <w:rFonts w:ascii="IRNazanin" w:hAnsi="IRNazanin" w:eastAsia="IRNazanin" w:cs="IRNazanin"/>
          <w:lang w:bidi="fa-IR"/>
          <w:color w:val="111111"/>
          <w:sz w:val="28"/>
          <w:szCs w:val="28"/>
          <w:rtl/>
        </w:rPr>
        <w:t xml:space="preserve">انجام: و هرگز رقبه خود را از ربقه تقلید به در نمی آرند (كذا) ... اللهم وال من والاهم. عاد من عاداهم</w:t>
      </w:r>
    </w:p>
    <w:p>
      <w:pPr>
        <w:pStyle w:val="BookText"/>
      </w:pPr>
      <w:r>
        <w:rPr>
          <w:rFonts w:ascii="IRNazanin" w:hAnsi="IRNazanin" w:eastAsia="IRNazanin" w:cs="IRNazanin"/>
          <w:lang w:bidi="fa-IR"/>
          <w:color w:val="111111"/>
          <w:sz w:val="28"/>
          <w:szCs w:val="28"/>
          <w:rtl/>
        </w:rPr>
        <w:t xml:space="preserve">چاپ: لکهنو، چاپ سنگی</w:t>
      </w:r>
    </w:p>
    <w:p>
      <w:pPr>
        <w:pStyle w:val="BookText"/>
      </w:pPr>
      <w:r>
        <w:rPr>
          <w:rFonts w:ascii="IRNazanin" w:hAnsi="IRNazanin" w:eastAsia="IRNazanin" w:cs="IRNazanin"/>
          <w:lang w:bidi="fa-IR"/>
          <w:color w:val="111111"/>
          <w:sz w:val="28"/>
          <w:szCs w:val="28"/>
          <w:rtl/>
        </w:rPr>
        <w:t xml:space="preserve">[فهرستواره منزوی ۱۵۵/۹ که تاریخ تألیف را به خطا ۱۳۱۹ دانسته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 ۱۸۶۶۱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بی کا، تا: ۱۲۶۷ق؛ محشی؛ مهر: کتابخانه ناصریه لکهنو قسم دوم كتب وقف کرده علامه حامد حسین صاحب ره؛ تملک: میر حامد حسین؛ واقف: علامه حامد حسین؛ کاغذ: حنایی، جلد: مقوا با عطف و گوشه تیماج، ۱۲۴گ، ۲۵ سطر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قطع: وزیری بزرگ،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[رایانه]</w:t>
      </w:r>
    </w:p>
    <w:p>
      <w:pPr>
        <w:pStyle w:val="BookText"/>
      </w:pPr>
      <w:r>
        <w:rPr>
          <w:rFonts w:ascii="IRNazanin" w:hAnsi="IRNazanin" w:eastAsia="IRNazanin" w:cs="IRNazanin"/>
          <w:lang w:bidi="fa-IR"/>
          <w:color w:val="111111"/>
          <w:sz w:val="28"/>
          <w:szCs w:val="28"/>
          <w:rtl/>
        </w:rPr>
        <w:t xml:space="preserve">۲. مشهد؛ رضوی؛ شماره نسخه: ۲۴۴۶۶</w:t>
      </w:r>
    </w:p>
    <w:p>
      <w:pPr>
        <w:pStyle w:val="BookText"/>
      </w:pPr>
      <w:r>
        <w:rPr>
          <w:rFonts w:ascii="IRNazanin" w:hAnsi="IRNazanin" w:eastAsia="IRNazanin" w:cs="IRNazanin"/>
          <w:lang w:bidi="fa-IR"/>
          <w:color w:val="111111"/>
          <w:sz w:val="28"/>
          <w:szCs w:val="28"/>
          <w:rtl/>
        </w:rPr>
        <w:t xml:space="preserve">آغاز: برابر؛ انجام: و سيعلم الذين ظلموا أي منقلب ينقلبون ... و الصلاة و السلام سنه ۱۲۸۲ خط: نستعلیق خفی، بی کا، بی تا، کاغذ: حنایی، جلد: مقوا با عطف و گوشه تیماج برون جلد مقوای رنگی با عطف و گوشه تیماج خرمایی، ۱۹ سطر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قطع: وزیری بزرگ، اندازه: ۲۹/۴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سم [رایانه]</w:t>
      </w:r>
    </w:p>
    <w:p>
      <w:pPr>
        <w:pStyle w:val="Heading3"/>
      </w:pPr>
      <w:bookmarkStart w:id="1018" w:name="_Toc278"/>
      <w:r>
        <w:t>•بوارق موبقه / كلام و اعتقادات / فارسی</w:t>
      </w:r>
      <w:bookmarkEnd w:id="1018"/>
    </w:p>
    <w:p>
      <w:pPr>
        <w:pStyle w:val="BookText"/>
      </w:pPr>
      <w:r>
        <w:rPr>
          <w:rFonts w:ascii="Times New Roman" w:hAnsi="Times New Roman" w:eastAsia="Times New Roman" w:cs="Times New Roman"/>
          <w:lang w:val="en-US" w:bidi="en-US"/>
          <w:color w:val="111111"/>
          <w:sz w:val="28"/>
          <w:szCs w:val="28"/>
          <w:rtl/>
        </w:rPr>
        <w:t xml:space="preserve">bavāreq-e mūbeqah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93" w:name="pg20363_209254"/>
    <w:bookmarkEnd w:id="93"/>
    <w:p>
      <w:pPr>
        <w:pStyle w:val="BookText"/>
      </w:pPr>
      <w:r>
        <w:rPr>
          <w:rFonts w:ascii="IRNazanin" w:hAnsi="IRNazanin" w:eastAsia="IRNazanin" w:cs="IRNazanin"/>
          <w:lang w:bidi="fa-IR"/>
          <w:color w:val="111111"/>
          <w:sz w:val="28"/>
          <w:szCs w:val="28"/>
          <w:rtl/>
        </w:rPr>
        <w:t xml:space="preserve">مشهد؛ رضوی؛ شماره نسخه: ۱۸۶۶۲</w:t>
      </w:r>
    </w:p>
    <w:p>
      <w:pPr>
        <w:pStyle w:val="BookText"/>
      </w:pPr>
      <w:r>
        <w:rPr>
          <w:rFonts w:ascii="Amiri" w:hAnsi="Amiri" w:eastAsia="Amiri" w:cs="Amiri"/>
          <w:lang w:bidi="ar-SA"/>
          <w:color w:val="111111"/>
          <w:sz w:val="28"/>
          <w:szCs w:val="28"/>
          <w:rtl/>
        </w:rPr>
        <w:t xml:space="preserve">آغاز: بسمله قال الناصب عليه ما عليه فقوله تعالى وعد الله الذين آمنوا انجام: فلله الحمد كما هو اهله و الصلوه على محمد و آله الطيبين الطاهرين ... سنه عشر بعد الألف</w:t>
      </w:r>
    </w:p>
    <w:p>
      <w:pPr>
        <w:pStyle w:val="BookText"/>
      </w:pPr>
      <w:r>
        <w:rPr>
          <w:rFonts w:ascii="IRNazanin" w:hAnsi="IRNazanin" w:eastAsia="IRNazanin" w:cs="IRNazanin"/>
          <w:lang w:bidi="fa-IR"/>
          <w:color w:val="111111"/>
          <w:sz w:val="28"/>
          <w:szCs w:val="28"/>
          <w:rtl/>
        </w:rPr>
        <w:t xml:space="preserve">خط: نستعلیق، بی کا، تا: ۱۲۱۹ق؛ کاغذ: حنایی، ۱۷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اندازه: ۲۶۸۱۸ سم [رایانه]</w:t>
      </w:r>
    </w:p>
    <w:p>
      <w:pPr>
        <w:pStyle w:val="Heading3"/>
      </w:pPr>
      <w:bookmarkStart w:id="1019" w:name="_Toc279"/>
      <w:r>
        <w:t>•البوارق النورية في اسرار الحقائق الظهورية / عرفان و تصوف / عربی</w:t>
      </w:r>
      <w:bookmarkEnd w:id="1019"/>
    </w:p>
    <w:p>
      <w:pPr>
        <w:pStyle w:val="BookText"/>
      </w:pPr>
      <w:r>
        <w:rPr>
          <w:rFonts w:ascii="Times New Roman" w:hAnsi="Times New Roman" w:eastAsia="Times New Roman" w:cs="Times New Roman"/>
          <w:lang w:val="en-US" w:bidi="en-US"/>
          <w:color w:val="111111"/>
          <w:sz w:val="28"/>
          <w:szCs w:val="28"/>
          <w:rtl/>
        </w:rPr>
        <w:t xml:space="preserve">al-bawāriq-un nūrīyya fi asrār-ul ḥaqā'iq-iz Zuhūrīya</w:t>
      </w:r>
    </w:p>
    <w:p>
      <w:pPr>
        <w:pStyle w:val="BookText"/>
      </w:pPr>
      <w:r>
        <w:rPr>
          <w:rFonts w:ascii="IRNazanin" w:hAnsi="IRNazanin" w:eastAsia="IRNazanin" w:cs="IRNazanin"/>
          <w:lang w:bidi="fa-IR"/>
          <w:color w:val="111111"/>
          <w:sz w:val="28"/>
          <w:szCs w:val="28"/>
          <w:rtl/>
        </w:rPr>
        <w:t xml:space="preserve">قتالي، عبدالحمید بن معین الدین محمد، ق ۱۲ قمری</w:t>
      </w:r>
    </w:p>
    <w:p>
      <w:pPr>
        <w:pStyle w:val="BookText"/>
      </w:pPr>
      <w:r>
        <w:rPr>
          <w:rFonts w:ascii="Times New Roman" w:hAnsi="Times New Roman" w:eastAsia="Times New Roman" w:cs="Times New Roman"/>
          <w:lang w:val="en-US" w:bidi="en-US"/>
          <w:color w:val="111111"/>
          <w:sz w:val="28"/>
          <w:szCs w:val="28"/>
          <w:rtl/>
        </w:rPr>
        <w:t xml:space="preserve">qetālī, 'abd-ol-hamīd ebn-e moʻīn-od-dīn mohammad (- 18c)</w:t>
      </w:r>
    </w:p>
    <w:p>
      <w:pPr>
        <w:pStyle w:val="BookText"/>
      </w:pPr>
      <w:r>
        <w:rPr>
          <w:rFonts w:ascii="IRNazanin" w:hAnsi="IRNazanin" w:eastAsia="IRNazanin" w:cs="IRNazanin"/>
          <w:lang w:bidi="fa-IR"/>
          <w:color w:val="111111"/>
          <w:sz w:val="28"/>
          <w:szCs w:val="28"/>
          <w:rtl/>
        </w:rPr>
        <w:t xml:space="preserve">در توحید و جهان و ارواح و نفوس و قیامت و ذکر و نماز، به روش عرفانی در هشت «بارقه» هر یک چند «لامعه»: بارقه ۱. بیان الوجود و تنزلاته و تحقیق عالم اللاهوت و فوائد شتی فيما يتعلق به و فيه لوامع ؛ ۲. الاسماء و الصفات؛ ۳. بیان عالم الملكوت و المثال و بيان النفس الناطقه و الروح المنفوخ؛ ۴. بيان الطبيعة الكلية و الهيولى و الصورة و الزمان و المكان و الحركة و السكون؛ ۵. بيان عالم الشهادة المسمى بعالم الناسوت و عالم الملک؛ ۶. المعاد و حشر الأجساد و بیان جزاء الأعمال ثوايا و عقابا و بیان الجنة و النار؛ ۷. اشغال الفقراء و اعمالهم و اسکابهم؛ 8 فيما يظهر للسالك في حال المراقبة من الانوار و غيرها. در آن از ارسطو و محمد نوربخش و جیلی و شیخ اکبریا ابن العربی که ماخذ عمده اوست و صدر المحققين في شرح الأصول و شیخ بهائی و از اثولجيا نقل شده است.</w:t>
      </w:r>
    </w:p>
    <w:p>
      <w:pPr>
        <w:pStyle w:val="BookText"/>
      </w:pPr>
      <w:r>
        <w:rPr>
          <w:rFonts w:ascii="IRNazanin" w:hAnsi="IRNazanin" w:eastAsia="IRNazanin" w:cs="IRNazanin"/>
          <w:lang w:bidi="fa-IR"/>
          <w:color w:val="111111"/>
          <w:sz w:val="28"/>
          <w:szCs w:val="28"/>
          <w:rtl/>
        </w:rPr>
        <w:t xml:space="preserve">آغاز: الحمدلله الذي تجلى عن هوية غیب ذاته إلى أحديته المطلقة بعلمه الأزلي المكنون العليم الذي راي ذاته المقدسة مستورة بسواتر العظمة و الكبرياء فاحب ان يظهر و يعرف فابدع بفيضه الاقدس اعیان الاشياء ... و بعد فهذه نكات عرفانية و اسرار ایقانية و معارف ذوقية.</w:t>
      </w:r>
    </w:p>
    <w:p>
      <w:pPr>
        <w:pStyle w:val="BookText"/>
      </w:pPr>
      <w:r>
        <w:rPr>
          <w:rFonts w:ascii="IRNazanin" w:hAnsi="IRNazanin" w:eastAsia="IRNazanin" w:cs="IRNazanin"/>
          <w:lang w:bidi="fa-IR"/>
          <w:color w:val="111111"/>
          <w:sz w:val="28"/>
          <w:szCs w:val="28"/>
          <w:rtl/>
        </w:rPr>
        <w:t xml:space="preserve">[ کشف الحجب 89، الذریعه ۳: ۱۵۴]</w:t>
      </w:r>
    </w:p>
    <w:p>
      <w:pPr>
        <w:pStyle w:val="BookText"/>
      </w:pPr>
      <w:r>
        <w:rPr>
          <w:rFonts w:ascii="IRNazanin" w:hAnsi="IRNazanin" w:eastAsia="IRNazanin" w:cs="IRNazanin"/>
          <w:lang w:bidi="fa-IR"/>
          <w:color w:val="111111"/>
          <w:sz w:val="28"/>
          <w:szCs w:val="28"/>
          <w:rtl/>
        </w:rPr>
        <w:t xml:space="preserve">۱. قم؛ مرعشی؛ شماره نسخه: ۳۴۰۳</w:t>
      </w:r>
    </w:p>
    <w:p>
      <w:pPr>
        <w:pStyle w:val="BookText"/>
      </w:pPr>
      <w:r>
        <w:rPr>
          <w:rFonts w:ascii="Amiri" w:hAnsi="Amiri" w:eastAsia="Amiri" w:cs="Amiri"/>
          <w:lang w:bidi="ar-SA"/>
          <w:color w:val="111111"/>
          <w:sz w:val="28"/>
          <w:szCs w:val="28"/>
          <w:rtl/>
        </w:rPr>
        <w:t xml:space="preserve">آغاز: الحمدلله الذي تجلى عن هوية غيب ذاته الى أحديته المطلقة بعلمه الأزلي المكنون؛ انجام: فالاحدية الواجبية منشأ الوجود المطلق و الواحدية الأسمائية اله العالم وجود مهية..</w:t>
      </w:r>
    </w:p>
    <w:p>
      <w:pPr>
        <w:pStyle w:val="BookText"/>
      </w:pPr>
      <w:r>
        <w:rPr>
          <w:rFonts w:ascii="IRNazanin" w:hAnsi="IRNazanin" w:eastAsia="IRNazanin" w:cs="IRNazanin"/>
          <w:lang w:bidi="fa-IR"/>
          <w:color w:val="111111"/>
          <w:sz w:val="28"/>
          <w:szCs w:val="28"/>
          <w:rtl/>
        </w:rPr>
        <w:t xml:space="preserve">خط: نسخ، بی کا، بی تا؛ جلد: مقوایی عطف گالینگور آبی، ۹۹گی، ۱۵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۹-۱۸۷]</w:t>
      </w:r>
    </w:p>
    <w:p>
      <w:pPr>
        <w:pStyle w:val="BookText"/>
      </w:pPr>
      <w:r>
        <w:rPr>
          <w:rFonts w:ascii="IRNazanin" w:hAnsi="IRNazanin" w:eastAsia="IRNazanin" w:cs="IRNazanin"/>
          <w:lang w:bidi="fa-IR"/>
          <w:color w:val="111111"/>
          <w:sz w:val="28"/>
          <w:szCs w:val="28"/>
          <w:rtl/>
        </w:rPr>
        <w:t xml:space="preserve">۲. مشهد؛ رضوی؛ شماره نسخه: ۱۸۶۶۳</w:t>
      </w:r>
    </w:p>
    <w:p>
      <w:pPr>
        <w:pStyle w:val="BookText"/>
      </w:pPr>
      <w:r>
        <w:rPr>
          <w:rFonts w:ascii="Amiri" w:hAnsi="Amiri" w:eastAsia="Amiri" w:cs="Amiri"/>
          <w:lang w:bidi="ar-SA"/>
          <w:color w:val="111111"/>
          <w:sz w:val="28"/>
          <w:szCs w:val="28"/>
          <w:rtl/>
        </w:rPr>
        <w:t xml:space="preserve">آغاز: برابر؛ انجام: بفضل الله وعونه و الحمدلله اولا وآخر ... و سلم تسليما كثيرا كثيرا</w:t>
      </w:r>
    </w:p>
    <w:p>
      <w:pPr>
        <w:pStyle w:val="BookText"/>
      </w:pPr>
      <w:r>
        <w:rPr>
          <w:rFonts w:ascii="IRNazanin" w:hAnsi="IRNazanin" w:eastAsia="IRNazanin" w:cs="IRNazanin"/>
          <w:lang w:bidi="fa-IR"/>
          <w:color w:val="111111"/>
          <w:sz w:val="28"/>
          <w:szCs w:val="28"/>
          <w:rtl/>
        </w:rPr>
        <w:t xml:space="preserve">خط: نستعلیق، بی کا، تا: قرن ۱۲؛ کاغذ: نخودی، جلد: مقوا، ۱۷ سطر (۱۵۷۸)،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[رایانه]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دانشگاه؛ شماره نسخه: ۸۰۷۵</w:t>
      </w:r>
    </w:p>
    <w:p>
      <w:pPr>
        <w:pStyle w:val="BookText"/>
      </w:pPr>
      <w:r>
        <w:rPr>
          <w:rFonts w:ascii="IRNazanin" w:hAnsi="IRNazanin" w:eastAsia="IRNazanin" w:cs="IRNazanin"/>
          <w:lang w:bidi="fa-IR"/>
          <w:color w:val="111111"/>
          <w:sz w:val="28"/>
          <w:szCs w:val="28"/>
          <w:rtl/>
        </w:rPr>
        <w:t xml:space="preserve">آغاز: برابر؛ انجام: الله العالم وجود او ماهية (گویا ناتمام)</w:t>
      </w:r>
    </w:p>
    <w:p>
      <w:pPr>
        <w:pStyle w:val="BookText"/>
      </w:pPr>
      <w:r>
        <w:rPr>
          <w:rFonts w:ascii="IRNazanin" w:hAnsi="IRNazanin" w:eastAsia="IRNazanin" w:cs="IRNazanin"/>
          <w:lang w:bidi="fa-IR"/>
          <w:color w:val="111111"/>
          <w:sz w:val="28"/>
          <w:szCs w:val="28"/>
          <w:rtl/>
        </w:rPr>
        <w:t xml:space="preserve">خط: نسخ، بی کا، تا: قرن ۱۳ و ۱۴؛ کاغذ: هندی، جلد: مقوا عطف تیماج سرخ، ۸۴گی (۲۰ برگ سفید)، ۱۹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 قطع: رحلی،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سم [ف: ۱۷-۲۳]</w:t>
      </w:r>
    </w:p>
    <w:p>
      <w:pPr>
        <w:pStyle w:val="BookText"/>
      </w:pPr>
      <w:r>
        <w:rPr>
          <w:rFonts w:ascii="IRNazanin" w:hAnsi="IRNazanin" w:eastAsia="IRNazanin" w:cs="IRNazanin"/>
          <w:lang w:bidi="fa-IR"/>
          <w:color w:val="111111"/>
          <w:sz w:val="28"/>
          <w:szCs w:val="28"/>
          <w:rtl/>
        </w:rPr>
        <w:t xml:space="preserve">← بواسیر » درمان بواسیر</w:t>
      </w:r>
    </w:p>
    <w:p>
      <w:pPr>
        <w:pStyle w:val="BookText"/>
      </w:pPr>
      <w:r>
        <w:rPr>
          <w:rFonts w:ascii="IRNazanin" w:hAnsi="IRNazanin" w:eastAsia="IRNazanin" w:cs="IRNazanin"/>
          <w:lang w:bidi="fa-IR"/>
          <w:color w:val="111111"/>
          <w:sz w:val="28"/>
          <w:szCs w:val="28"/>
          <w:rtl/>
        </w:rPr>
        <w:t xml:space="preserve">← بواسیر ← مرهم برای دفع بواسیر</w:t>
      </w:r>
    </w:p>
    <w:p>
      <w:pPr>
        <w:pStyle w:val="BookText"/>
      </w:pPr>
      <w:r>
        <w:rPr>
          <w:rFonts w:ascii="IRNazanin" w:hAnsi="IRNazanin" w:eastAsia="IRNazanin" w:cs="IRNazanin"/>
          <w:lang w:bidi="fa-IR"/>
          <w:color w:val="111111"/>
          <w:sz w:val="28"/>
          <w:szCs w:val="28"/>
          <w:rtl/>
        </w:rPr>
        <w:t xml:space="preserve">← بواسیر← مجل العسير في اقسام و علل البواسير</w:t>
      </w:r>
    </w:p>
    <w:p>
      <w:pPr>
        <w:pStyle w:val="BookText"/>
      </w:pPr>
      <w:r>
        <w:rPr>
          <w:rFonts w:ascii="IRNazanin" w:hAnsi="IRNazanin" w:eastAsia="IRNazanin" w:cs="IRNazanin"/>
          <w:lang w:bidi="fa-IR"/>
          <w:color w:val="111111"/>
          <w:sz w:val="28"/>
          <w:szCs w:val="28"/>
          <w:rtl/>
        </w:rPr>
        <w:t xml:space="preserve">← بواسیر ← معالجه بواسیر</w:t>
      </w:r>
    </w:p>
    <w:p>
      <w:pPr>
        <w:pStyle w:val="Heading3"/>
      </w:pPr>
      <w:bookmarkStart w:id="1020" w:name="_Toc280"/>
      <w:r>
        <w:t>•بواسیر و نواسير = نواصير اطب / فارسی</w:t>
      </w:r>
      <w:bookmarkEnd w:id="1020"/>
    </w:p>
    <w:p>
      <w:pPr>
        <w:pStyle w:val="BookText"/>
      </w:pPr>
      <w:r>
        <w:rPr>
          <w:rFonts w:ascii="IRNazanin" w:hAnsi="IRNazanin" w:eastAsia="IRNazanin" w:cs="IRNazanin"/>
          <w:lang w:bidi="fa-IR"/>
          <w:color w:val="111111"/>
          <w:sz w:val="28"/>
          <w:szCs w:val="28"/>
          <w:rtl/>
        </w:rPr>
        <w:t xml:space="preserve">نظام استر آبادی،-۹۲۱ قمری</w:t>
      </w:r>
    </w:p>
    <w:p>
      <w:pPr>
        <w:pStyle w:val="BookText"/>
      </w:pPr>
      <w:r>
        <w:rPr>
          <w:rFonts w:ascii="Times New Roman" w:hAnsi="Times New Roman" w:eastAsia="Times New Roman" w:cs="Times New Roman"/>
          <w:lang w:val="en-US" w:bidi="en-US"/>
          <w:color w:val="111111"/>
          <w:sz w:val="28"/>
          <w:szCs w:val="28"/>
          <w:rtl/>
        </w:rPr>
        <w:t xml:space="preserve">bavāsīr va navāsīr = navāsīr</w:t>
      </w:r>
    </w:p>
    <w:p>
      <w:pPr>
        <w:pStyle w:val="BookText"/>
      </w:pPr>
      <w:r>
        <w:rPr>
          <w:rFonts w:ascii="Times New Roman" w:hAnsi="Times New Roman" w:eastAsia="Times New Roman" w:cs="Times New Roman"/>
          <w:lang w:val="en-US" w:bidi="en-US"/>
          <w:color w:val="111111"/>
          <w:sz w:val="28"/>
          <w:szCs w:val="28"/>
          <w:rtl/>
        </w:rPr>
        <w:t xml:space="preserve">nezām-e estarābādī (- 1516)</w:t>
      </w:r>
    </w:p>
    <w:p>
      <w:pPr>
        <w:pStyle w:val="BookText"/>
      </w:pPr>
      <w:r>
        <w:rPr>
          <w:rFonts w:ascii="IRNazanin" w:hAnsi="IRNazanin" w:eastAsia="IRNazanin" w:cs="IRNazanin"/>
          <w:lang w:bidi="fa-IR"/>
          <w:color w:val="111111"/>
          <w:sz w:val="28"/>
          <w:szCs w:val="28"/>
          <w:rtl/>
        </w:rPr>
        <w:t xml:space="preserve">نویسنده می گوید یکی از دوستان صاحب کمال از من خواست تا درباره بواسیر و نواسیر مطلبی نویسم من بنا به درخواست او کتاب را در ده «فصل» بدین شرح پرداختم: ۱. رسم بواسیر و نواسير و ريح بواسیر و شقاق؛ ۲. اسباب این امراض چهار گانه؛ ٣. اصناف این امراض چهارگانه؛ ۴. علامات این امراض چهار گانه؛ ۵. معالجات این امراض</w:t>
      </w:r>
    </w:p>
    <w:p>
      <w:pPr>
        <w:pStyle w:val="BookText"/>
      </w:pPr>
      <w:r>
        <w:rPr>
          <w:rFonts w:ascii="IRNazanin" w:hAnsi="IRNazanin" w:eastAsia="IRNazanin" w:cs="IRNazanin"/>
          <w:lang w:bidi="fa-IR"/>
          <w:color w:val="111111"/>
          <w:sz w:val="28"/>
          <w:szCs w:val="28"/>
          <w:rtl/>
        </w:rPr>
        <w:t xml:space="preserve">چهار گانه به تصرفات داخلی؛ ۶. معالجات این امراض چهارگانه به تصرفات خارجی؛ ۷. تنقيه مقعد بر سبيل اجمالی از اورام و اسبرخاء و خروج مقعد و خارش مقعد؛ فصل ۸ چیزهایی که واجبست که از آن احتراز نماید درین امراض</w:t>
      </w:r>
    </w:p>
    <w:p>
      <w:pPr>
        <w:pStyle w:val="BookText"/>
      </w:pPr>
      <w:r>
        <w:rPr>
          <w:rFonts w:ascii="IRNazanin" w:hAnsi="IRNazanin" w:eastAsia="IRNazanin" w:cs="IRNazanin"/>
          <w:lang w:bidi="fa-IR"/>
          <w:color w:val="111111"/>
          <w:sz w:val="28"/>
          <w:szCs w:val="28"/>
          <w:rtl/>
        </w:rPr>
        <w:t xml:space="preserve">مذکوره؛ ۹. ادویه مفرده که تعلق باین امراض داشته باشد؛ ۱۰. مرکبات که تعلق به این امراض داشته باشد.</w:t>
      </w:r>
    </w:p>
    <w:p>
      <w:pPr>
        <w:pStyle w:val="BookText"/>
      </w:pPr>
      <w:r>
        <w:rPr>
          <w:rFonts w:ascii="Amiri" w:hAnsi="Amiri" w:eastAsia="Amiri" w:cs="Amiri"/>
          <w:lang w:bidi="ar-SA"/>
          <w:color w:val="111111"/>
          <w:sz w:val="28"/>
          <w:szCs w:val="28"/>
          <w:rtl/>
        </w:rPr>
        <w:t xml:space="preserve">آغاز: بسمله، الحمدلله الذي ابدع بفضله في الانسان عجائب</w:t>
      </w:r>
    </w:p>
    <w:p>
      <w:pPr>
        <w:pStyle w:val="BookText"/>
      </w:pPr>
      <w:r>
        <w:rPr>
          <w:rFonts w:ascii="IRNazanin" w:hAnsi="IRNazanin" w:eastAsia="IRNazanin" w:cs="IRNazanin"/>
          <w:lang w:bidi="fa-IR"/>
          <w:color w:val="111111"/>
          <w:sz w:val="28"/>
          <w:szCs w:val="28"/>
          <w:rtl/>
        </w:rPr>
        <w:t xml:space="preserve">انجام پایان: انبوبه از رصاص ... والله اعلم بالصواب</w:t>
      </w:r>
    </w:p>
    <w:p>
      <w:pPr>
        <w:pStyle w:val="BookText"/>
      </w:pPr>
      <w:r>
        <w:rPr>
          <w:rFonts w:ascii="IRNazanin" w:hAnsi="IRNazanin" w:eastAsia="IRNazanin" w:cs="IRNazanin"/>
          <w:lang w:bidi="fa-IR"/>
          <w:color w:val="111111"/>
          <w:sz w:val="28"/>
          <w:szCs w:val="28"/>
          <w:rtl/>
        </w:rPr>
        <w:t xml:space="preserve">[ فهرستواره منزوی ۳۳۱۷/۵ ]</w:t>
      </w:r>
    </w:p>
    <w:p>
      <w:pPr>
        <w:pStyle w:val="BookText"/>
      </w:pPr>
      <w:r>
        <w:rPr>
          <w:rFonts w:ascii="IRNazanin" w:hAnsi="IRNazanin" w:eastAsia="IRNazanin" w:cs="IRNazanin"/>
          <w:lang w:bidi="fa-IR"/>
          <w:color w:val="111111"/>
          <w:sz w:val="28"/>
          <w:szCs w:val="28"/>
          <w:rtl/>
        </w:rPr>
        <w:t xml:space="preserve">تهران؛ ملی؛ شماره نسخه: ۲۵۱۵/۱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کا: میر محمد رحيم حسینی، تا: ۱۱۳۴ق؛ کاغذ: بخارائی، جلد: تیماج قرمز یک لا، ۸۳ص (۱-۸۳)، ۱۴ سطر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۶-۱۷]</w:t>
      </w:r>
    </w:p>
    <w:p>
      <w:pPr>
        <w:pStyle w:val="Heading3"/>
      </w:pPr>
      <w:bookmarkStart w:id="1021" w:name="_Toc281"/>
      <w:r>
        <w:t>•بواطن الآيات / اخلاق / فارسی</w:t>
      </w:r>
      <w:bookmarkEnd w:id="1021"/>
    </w:p>
    <w:p>
      <w:pPr>
        <w:pStyle w:val="BookText"/>
      </w:pPr>
      <w:r>
        <w:rPr>
          <w:rFonts w:ascii="Times New Roman" w:hAnsi="Times New Roman" w:eastAsia="Times New Roman" w:cs="Times New Roman"/>
          <w:lang w:val="en-US" w:bidi="en-US"/>
          <w:color w:val="111111"/>
          <w:sz w:val="28"/>
          <w:szCs w:val="28"/>
          <w:rtl/>
        </w:rPr>
        <w:t xml:space="preserve">bavāten-ol āyāt</w:t>
      </w:r>
    </w:p>
    <w:p>
      <w:pPr>
        <w:pStyle w:val="BookText"/>
      </w:pPr>
      <w:r>
        <w:rPr>
          <w:rFonts w:ascii="IRNazanin" w:hAnsi="IRNazanin" w:eastAsia="IRNazanin" w:cs="IRNazanin"/>
          <w:lang w:bidi="fa-IR"/>
          <w:color w:val="111111"/>
          <w:sz w:val="28"/>
          <w:szCs w:val="28"/>
          <w:rtl/>
        </w:rPr>
        <w:t xml:space="preserve">مجالسی است که برای واعظان و اهل منبر تنظیم شده و در هر مجلس آیه ای عنوان می شود و درباره آن سخن می گوید. در پایان یکی از مجالس تاریخ بیستم شوال ۱۲۸۸ دیده می شود.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94" w:name="pg20363_209255"/>
    <w:bookmarkEnd w:id="94"/>
    <w:p>
      <w:pPr>
        <w:pStyle w:val="BookText"/>
      </w:pPr>
      <w:r>
        <w:rPr>
          <w:rFonts w:ascii="IRNazanin" w:hAnsi="IRNazanin" w:eastAsia="IRNazanin" w:cs="IRNazanin"/>
          <w:lang w:bidi="fa-IR"/>
          <w:color w:val="111111"/>
          <w:sz w:val="28"/>
          <w:szCs w:val="28"/>
          <w:rtl/>
        </w:rPr>
        <w:t xml:space="preserve">نامی که ذکر شد بر فراز صفحه اول با خطی جز خط اصل نوشته است. گویا مؤلف شیخ محمد جواد واعظ ملقب به سیف الشریعه و صدر الواعظین باشد که نام کتاب های کتابخانه اش روی برگی قبل از کتاب آمده است.</w:t>
      </w:r>
    </w:p>
    <w:p>
      <w:pPr>
        <w:pStyle w:val="BookText"/>
      </w:pPr>
      <w:r>
        <w:rPr>
          <w:rFonts w:ascii="IRNazanin" w:hAnsi="IRNazanin" w:eastAsia="IRNazanin" w:cs="IRNazanin"/>
          <w:lang w:bidi="fa-IR"/>
          <w:color w:val="111111"/>
          <w:sz w:val="28"/>
          <w:szCs w:val="28"/>
          <w:rtl/>
        </w:rPr>
        <w:t xml:space="preserve">قم؛ مرعشی؛ شماره نسخه: ۲۱۹۵</w:t>
      </w:r>
    </w:p>
    <w:p>
      <w:pPr>
        <w:pStyle w:val="BookText"/>
      </w:pPr>
      <w:r>
        <w:rPr>
          <w:rFonts w:ascii="IRNazanin" w:hAnsi="IRNazanin" w:eastAsia="IRNazanin" w:cs="IRNazanin"/>
          <w:lang w:bidi="fa-IR"/>
          <w:color w:val="111111"/>
          <w:sz w:val="28"/>
          <w:szCs w:val="28"/>
          <w:rtl/>
        </w:rPr>
        <w:t xml:space="preserve">آغاز: اللهم طهرنی من الدنس و الاقذار و صیرنی فيه من الكائنات الأقدار ... اولا بدانکه هر کس این دعا را بخواند؛ انجام: اما در مجلسی دیگر تا حکایت رفتن مادر وهب به میدان تا شهادت وهب را ... تا آخر حکایت والسلام تمام شد.</w:t>
      </w:r>
    </w:p>
    <w:p>
      <w:pPr>
        <w:pStyle w:val="BookText"/>
      </w:pPr>
      <w:r>
        <w:rPr>
          <w:rFonts w:ascii="IRNazanin" w:hAnsi="IRNazanin" w:eastAsia="IRNazanin" w:cs="IRNazanin"/>
          <w:lang w:bidi="fa-IR"/>
          <w:color w:val="111111"/>
          <w:sz w:val="28"/>
          <w:szCs w:val="28"/>
          <w:rtl/>
        </w:rPr>
        <w:t xml:space="preserve">خط: نستعلیق، کاتب = مؤلف، بی تا؛ مصحح؛ مهر: «شعاع» (بیضوی)؛ جلد: تیماج قرمز بدون مقوا، ۲۴۴گ، مختلف السطر،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سم [ف: ۶-۱۸۹]</w:t>
      </w:r>
    </w:p>
    <w:p>
      <w:pPr>
        <w:pStyle w:val="Heading3"/>
      </w:pPr>
      <w:bookmarkStart w:id="1022" w:name="_Toc282"/>
      <w:r>
        <w:t>•بودجه پست عثمانی (مختصر) / اقتصاد / فارسی</w:t>
      </w:r>
      <w:bookmarkEnd w:id="1022"/>
    </w:p>
    <w:p>
      <w:pPr>
        <w:pStyle w:val="BookText"/>
      </w:pPr>
      <w:r>
        <w:rPr>
          <w:rFonts w:ascii="Times New Roman" w:hAnsi="Times New Roman" w:eastAsia="Times New Roman" w:cs="Times New Roman"/>
          <w:lang w:val="en-US" w:bidi="en-US"/>
          <w:color w:val="111111"/>
          <w:sz w:val="28"/>
          <w:szCs w:val="28"/>
          <w:rtl/>
        </w:rPr>
        <w:t xml:space="preserve">būdje-ye post-e ‘osmānī (mx.)</w:t>
      </w:r>
    </w:p>
    <w:p>
      <w:pPr>
        <w:pStyle w:val="BookText"/>
      </w:pPr>
      <w:r>
        <w:rPr>
          <w:rFonts w:ascii="IRNazanin" w:hAnsi="IRNazanin" w:eastAsia="IRNazanin" w:cs="IRNazanin"/>
          <w:lang w:bidi="fa-IR"/>
          <w:color w:val="111111"/>
          <w:sz w:val="28"/>
          <w:szCs w:val="28"/>
          <w:rtl/>
        </w:rPr>
        <w:t xml:space="preserve">عارف منشی، محمد، ق۱۴ قمری</w:t>
      </w:r>
    </w:p>
    <w:p>
      <w:pPr>
        <w:pStyle w:val="BookText"/>
      </w:pPr>
      <w:r>
        <w:rPr>
          <w:rFonts w:ascii="Times New Roman" w:hAnsi="Times New Roman" w:eastAsia="Times New Roman" w:cs="Times New Roman"/>
          <w:lang w:val="en-US" w:bidi="en-US"/>
          <w:color w:val="111111"/>
          <w:sz w:val="28"/>
          <w:szCs w:val="28"/>
          <w:rtl/>
        </w:rPr>
        <w:t xml:space="preserve">‘āref-e monšī, mohammad (- 20c)</w:t>
      </w:r>
    </w:p>
    <w:p>
      <w:pPr>
        <w:pStyle w:val="BookText"/>
      </w:pPr>
      <w:r>
        <w:rPr>
          <w:rFonts w:ascii="IRNazanin" w:hAnsi="IRNazanin" w:eastAsia="IRNazanin" w:cs="IRNazanin"/>
          <w:lang w:bidi="fa-IR"/>
          <w:color w:val="111111"/>
          <w:sz w:val="28"/>
          <w:szCs w:val="28"/>
          <w:rtl/>
        </w:rPr>
        <w:t xml:space="preserve">تهران؛ مجلس؛ شماره نسخه: ۹۴۵۲/۱۲</w:t>
      </w:r>
    </w:p>
    <w:p>
      <w:pPr>
        <w:pStyle w:val="BookText"/>
      </w:pPr>
      <w:r>
        <w:rPr>
          <w:rFonts w:ascii="IRNazanin" w:hAnsi="IRNazanin" w:eastAsia="IRNazanin" w:cs="IRNazanin"/>
          <w:lang w:bidi="fa-IR"/>
          <w:color w:val="111111"/>
          <w:sz w:val="28"/>
          <w:szCs w:val="28"/>
          <w:rtl/>
        </w:rPr>
        <w:t xml:space="preserve">خط: نسخ، كاتب = مؤلف، تا: ۱ ربیع الاول ۱۳۰۱ق؛ ۷ص (۱۴۹۷ - ۱۵۰۳) [مختصر ف: ۳۳۴]</w:t>
      </w:r>
    </w:p>
    <w:p>
      <w:pPr>
        <w:pStyle w:val="BookText"/>
      </w:pPr>
      <w:r>
        <w:rPr>
          <w:rFonts w:ascii="IRNazanin" w:hAnsi="IRNazanin" w:eastAsia="IRNazanin" w:cs="IRNazanin"/>
          <w:lang w:bidi="fa-IR"/>
          <w:color w:val="111111"/>
          <w:sz w:val="28"/>
          <w:szCs w:val="28"/>
          <w:rtl/>
        </w:rPr>
        <w:t xml:space="preserve">و بودجه کل موقوفاتی آستان قدس رضوی (در سال ۱۳۳۴ خورشیدی) / تاریخ / فارسی</w:t>
      </w:r>
    </w:p>
    <w:p>
      <w:pPr>
        <w:pStyle w:val="BookText"/>
      </w:pPr>
      <w:r>
        <w:rPr>
          <w:rFonts w:ascii="Times New Roman" w:hAnsi="Times New Roman" w:eastAsia="Times New Roman" w:cs="Times New Roman"/>
          <w:lang w:val="en-US" w:bidi="en-US"/>
          <w:color w:val="111111"/>
          <w:sz w:val="28"/>
          <w:szCs w:val="28"/>
          <w:rtl/>
        </w:rPr>
        <w:t xml:space="preserve">būdje-ye koll-e mowqūfātī-ye āstān-e qods-e razavī (dar sāl-e 1334 xoršīdī)</w:t>
      </w:r>
    </w:p>
    <w:p>
      <w:pPr>
        <w:pStyle w:val="BookText"/>
      </w:pPr>
      <w:r>
        <w:rPr>
          <w:rFonts w:ascii="IRNazanin" w:hAnsi="IRNazanin" w:eastAsia="IRNazanin" w:cs="IRNazanin"/>
          <w:lang w:bidi="fa-IR"/>
          <w:color w:val="111111"/>
          <w:sz w:val="28"/>
          <w:szCs w:val="28"/>
          <w:rtl/>
        </w:rPr>
        <w:t xml:space="preserve">مشهد؛ رضوی؛ شماره نسخه: ۲۳۹۹۲</w:t>
      </w:r>
    </w:p>
    <w:p>
      <w:pPr>
        <w:pStyle w:val="BookText"/>
      </w:pPr>
      <w:r>
        <w:rPr>
          <w:rFonts w:ascii="IRNazanin" w:hAnsi="IRNazanin" w:eastAsia="IRNazanin" w:cs="IRNazanin"/>
          <w:lang w:bidi="fa-IR"/>
          <w:color w:val="111111"/>
          <w:sz w:val="28"/>
          <w:szCs w:val="28"/>
          <w:rtl/>
        </w:rPr>
        <w:t xml:space="preserve">آغاز: بسمله بسمه تعالی محضر مبارک مقام منيع تولیت؛ انجام: حضرت عباس (س) سرداب مقدس حضرت قائم شریفی حسینی، محمد؛ خط: نستعلیق تحریری، بی کا، تا: ۱۳۷۵ق؛ کاغذ: شکری، جلد: مقوا [رایانه]</w:t>
      </w:r>
    </w:p>
    <w:p>
      <w:pPr>
        <w:pStyle w:val="Heading3"/>
      </w:pPr>
      <w:bookmarkStart w:id="1023" w:name="_Toc283"/>
      <w:r>
        <w:t>•بودجه موقوفاتی آستان قدس رضوی / تاریخ / فارسی</w:t>
      </w:r>
      <w:bookmarkEnd w:id="1023"/>
    </w:p>
    <w:p>
      <w:pPr>
        <w:pStyle w:val="BookText"/>
      </w:pPr>
      <w:r>
        <w:rPr>
          <w:rFonts w:ascii="Times New Roman" w:hAnsi="Times New Roman" w:eastAsia="Times New Roman" w:cs="Times New Roman"/>
          <w:lang w:val="en-US" w:bidi="en-US"/>
          <w:color w:val="111111"/>
          <w:sz w:val="28"/>
          <w:szCs w:val="28"/>
          <w:rtl/>
        </w:rPr>
        <w:t xml:space="preserve">būdje-ye mowqūfātī-ye āstān-e qods-e razavī</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 ۲۲۵۵۶</w:t>
      </w:r>
    </w:p>
    <w:p>
      <w:pPr>
        <w:pStyle w:val="BookText"/>
      </w:pPr>
      <w:r>
        <w:rPr>
          <w:rFonts w:ascii="IRNazanin" w:hAnsi="IRNazanin" w:eastAsia="IRNazanin" w:cs="IRNazanin"/>
          <w:lang w:bidi="fa-IR"/>
          <w:color w:val="111111"/>
          <w:sz w:val="28"/>
          <w:szCs w:val="28"/>
          <w:rtl/>
        </w:rPr>
        <w:t xml:space="preserve">آغاز: بسمله بودجه موقوفاتی قابل مصرف انجام: بودجه کل آستان قدس ارائه گردد</w:t>
      </w:r>
    </w:p>
    <w:p>
      <w:pPr>
        <w:pStyle w:val="BookText"/>
      </w:pPr>
      <w:r>
        <w:rPr>
          <w:rFonts w:ascii="IRNazanin" w:hAnsi="IRNazanin" w:eastAsia="IRNazanin" w:cs="IRNazanin"/>
          <w:lang w:bidi="fa-IR"/>
          <w:color w:val="111111"/>
          <w:sz w:val="28"/>
          <w:szCs w:val="28"/>
          <w:rtl/>
        </w:rPr>
        <w:t xml:space="preserve">خط: نستعلیق شکسته، بی کا، تا: ۱۳۷۳ق، جا: مشهد؛ کاغذ: شکری، جلد: مخمل، اندازه: 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۴۵سم [رایانه]</w:t>
      </w:r>
    </w:p>
    <w:p>
      <w:pPr>
        <w:pStyle w:val="BookText"/>
      </w:pPr>
      <w:r>
        <w:rPr>
          <w:rFonts w:ascii="IRNazanin" w:hAnsi="IRNazanin" w:eastAsia="IRNazanin" w:cs="IRNazanin"/>
          <w:lang w:bidi="fa-IR"/>
          <w:color w:val="111111"/>
          <w:sz w:val="28"/>
          <w:szCs w:val="28"/>
          <w:rtl/>
        </w:rPr>
        <w:t xml:space="preserve">٢. مشهد؛ رضوی؛ شماره نسخه: ۲۲۵۵۷</w:t>
      </w:r>
    </w:p>
    <w:p>
      <w:pPr>
        <w:pStyle w:val="BookText"/>
      </w:pPr>
      <w:r>
        <w:rPr>
          <w:rFonts w:ascii="IRNazanin" w:hAnsi="IRNazanin" w:eastAsia="IRNazanin" w:cs="IRNazanin"/>
          <w:lang w:bidi="fa-IR"/>
          <w:color w:val="111111"/>
          <w:sz w:val="28"/>
          <w:szCs w:val="28"/>
          <w:rtl/>
        </w:rPr>
        <w:t xml:space="preserve">آغاز: بسمله تعالی محضر مبارک مقام منیع تولیت عظمی؛ انجام: تولیت عظمی آستان قدس رضوی بمصرف برسد خط: نستعلیق شکسته، بی کا، تا: ۱۳۷۴ق، جا: مشهد؛ کاغذ: شکری، جلد: مخمل، ۶ سطر،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۴۵سم [رایانه]</w:t>
      </w:r>
    </w:p>
    <w:p>
      <w:pPr>
        <w:pStyle w:val="Heading3"/>
      </w:pPr>
      <w:bookmarkStart w:id="1024" w:name="_Toc284"/>
      <w:r>
        <w:t>•بود و نبود همه چیز ... / عربی، فارسی</w:t>
      </w:r>
      <w:bookmarkEnd w:id="1024"/>
    </w:p>
    <w:p>
      <w:pPr>
        <w:pStyle w:val="BookText"/>
      </w:pPr>
      <w:r>
        <w:rPr>
          <w:rFonts w:ascii="Times New Roman" w:hAnsi="Times New Roman" w:eastAsia="Times New Roman" w:cs="Times New Roman"/>
          <w:lang w:val="en-US" w:bidi="en-US"/>
          <w:color w:val="111111"/>
          <w:sz w:val="28"/>
          <w:szCs w:val="28"/>
          <w:rtl/>
        </w:rPr>
        <w:t xml:space="preserve">būd va nabūd-e hame čīz ...</w:t>
      </w:r>
    </w:p>
    <w:p>
      <w:pPr>
        <w:pStyle w:val="BookText"/>
      </w:pPr>
      <w:r>
        <w:rPr>
          <w:rFonts w:ascii="IRNazanin" w:hAnsi="IRNazanin" w:eastAsia="IRNazanin" w:cs="IRNazanin"/>
          <w:lang w:bidi="fa-IR"/>
          <w:color w:val="111111"/>
          <w:sz w:val="28"/>
          <w:szCs w:val="28"/>
          <w:rtl/>
        </w:rPr>
        <w:t xml:space="preserve">کیاء گیلانی، احمد بن محمد، ق ۱۰ قمری</w:t>
      </w:r>
    </w:p>
    <w:p>
      <w:pPr>
        <w:pStyle w:val="BookText"/>
      </w:pPr>
      <w:r>
        <w:rPr>
          <w:rFonts w:ascii="Times New Roman" w:hAnsi="Times New Roman" w:eastAsia="Times New Roman" w:cs="Times New Roman"/>
          <w:lang w:val="en-US" w:bidi="en-US"/>
          <w:color w:val="111111"/>
          <w:sz w:val="28"/>
          <w:szCs w:val="28"/>
          <w:rtl/>
        </w:rPr>
        <w:t xml:space="preserve">kīyā’ gīlānī, ahmad ebn-e mohammad (- 16c)</w:t>
      </w:r>
    </w:p>
    <w:p>
      <w:pPr>
        <w:pStyle w:val="BookText"/>
      </w:pPr>
      <w:r>
        <w:rPr>
          <w:rFonts w:ascii="IRNazanin" w:hAnsi="IRNazanin" w:eastAsia="IRNazanin" w:cs="IRNazanin"/>
          <w:lang w:bidi="fa-IR"/>
          <w:color w:val="111111"/>
          <w:sz w:val="28"/>
          <w:szCs w:val="28"/>
          <w:rtl/>
        </w:rPr>
        <w:t xml:space="preserve">تاریخ تأليف: ذیحجه ۱۰۵۶</w:t>
      </w:r>
    </w:p>
    <w:p>
      <w:pPr>
        <w:pStyle w:val="BookText"/>
      </w:pPr>
      <w:r>
        <w:rPr>
          <w:rFonts w:ascii="IRNazanin" w:hAnsi="IRNazanin" w:eastAsia="IRNazanin" w:cs="IRNazanin"/>
          <w:lang w:bidi="fa-IR"/>
          <w:color w:val="111111"/>
          <w:sz w:val="28"/>
          <w:szCs w:val="28"/>
          <w:rtl/>
        </w:rPr>
        <w:t xml:space="preserve">رساله ای در این که بود و نبود همه چیز در یک ساعت است و آن هم پایه همه اعداد بی نهایت است.</w:t>
      </w:r>
    </w:p>
    <w:p>
      <w:pPr>
        <w:pStyle w:val="BookText"/>
      </w:pPr>
      <w:r>
        <w:rPr>
          <w:rFonts w:ascii="IRNazanin" w:hAnsi="IRNazanin" w:eastAsia="IRNazanin" w:cs="IRNazanin"/>
          <w:lang w:bidi="fa-IR"/>
          <w:color w:val="111111"/>
          <w:sz w:val="28"/>
          <w:szCs w:val="28"/>
          <w:rtl/>
        </w:rPr>
        <w:t xml:space="preserve">تهران؛ ملک؛ شماره نسخه: ۱۱۴۲/۱۸</w:t>
      </w:r>
    </w:p>
    <w:p>
      <w:pPr>
        <w:pStyle w:val="BookText"/>
      </w:pPr>
      <w:r>
        <w:rPr>
          <w:rFonts w:ascii="IRNazanin" w:hAnsi="IRNazanin" w:eastAsia="IRNazanin" w:cs="IRNazanin"/>
          <w:lang w:bidi="fa-IR"/>
          <w:color w:val="111111"/>
          <w:sz w:val="28"/>
          <w:szCs w:val="28"/>
          <w:rtl/>
        </w:rPr>
        <w:t xml:space="preserve">خط: نسخ، بی کا، تا: ۱۱۶۰ق؛ ۴گ (۶۶-۶۹ر) [ف: ۵-۲۳۸]</w:t>
      </w:r>
    </w:p>
    <w:p>
      <w:pPr>
        <w:pStyle w:val="Heading3"/>
      </w:pPr>
      <w:bookmarkStart w:id="1025" w:name="_Toc285"/>
      <w:r>
        <w:t>•بورق الحكماء / کیمیا / عربی</w:t>
      </w:r>
      <w:bookmarkEnd w:id="1025"/>
    </w:p>
    <w:p>
      <w:pPr>
        <w:pStyle w:val="BookText"/>
      </w:pPr>
      <w:r>
        <w:rPr>
          <w:rFonts w:ascii="Times New Roman" w:hAnsi="Times New Roman" w:eastAsia="Times New Roman" w:cs="Times New Roman"/>
          <w:lang w:val="en-US" w:bidi="en-US"/>
          <w:color w:val="111111"/>
          <w:sz w:val="28"/>
          <w:szCs w:val="28"/>
          <w:rtl/>
        </w:rPr>
        <w:t xml:space="preserve">bawraq-ul ḥukamā’</w:t>
      </w:r>
    </w:p>
    <w:p>
      <w:pPr>
        <w:pStyle w:val="BookText"/>
      </w:pPr>
      <w:r>
        <w:rPr>
          <w:rFonts w:ascii="IRNazanin" w:hAnsi="IRNazanin" w:eastAsia="IRNazanin" w:cs="IRNazanin"/>
          <w:lang w:bidi="fa-IR"/>
          <w:color w:val="111111"/>
          <w:sz w:val="28"/>
          <w:szCs w:val="28"/>
          <w:rtl/>
        </w:rPr>
        <w:t xml:space="preserve">تهران؛ ملی؛ شماره نسخه: ۲۲۹۶/۷</w:t>
      </w:r>
    </w:p>
    <w:p>
      <w:pPr>
        <w:pStyle w:val="BookText"/>
      </w:pPr>
      <w:r>
        <w:rPr>
          <w:rFonts w:ascii="IRNazanin" w:hAnsi="IRNazanin" w:eastAsia="IRNazanin" w:cs="IRNazanin"/>
          <w:lang w:bidi="fa-IR"/>
          <w:color w:val="111111"/>
          <w:sz w:val="28"/>
          <w:szCs w:val="28"/>
          <w:rtl/>
        </w:rPr>
        <w:t xml:space="preserve">خط: نستعلیق خوش، بی کا، تا: قرن ۱۳ کاغذ: اصفهانی، نخودی، جلد: مقوایی، رویه تیماج حنایی، دور آن ضربی فشاری، جدول و گل بوته ریز، اص (۸۲پ)، ۷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۱۱-۷۴۴]</w:t>
      </w:r>
    </w:p>
    <w:p>
      <w:pPr>
        <w:pStyle w:val="Heading3"/>
      </w:pPr>
      <w:bookmarkStart w:id="1026" w:name="_Toc286"/>
      <w:r>
        <w:t>•بوستان حشمت = حشمتية / شعر / فارسی</w:t>
      </w:r>
      <w:bookmarkEnd w:id="1026"/>
    </w:p>
    <w:p>
      <w:pPr>
        <w:pStyle w:val="BookText"/>
      </w:pPr>
      <w:r>
        <w:rPr>
          <w:rFonts w:ascii="Times New Roman" w:hAnsi="Times New Roman" w:eastAsia="Times New Roman" w:cs="Times New Roman"/>
          <w:lang w:val="en-US" w:bidi="en-US"/>
          <w:color w:val="111111"/>
          <w:sz w:val="28"/>
          <w:szCs w:val="28"/>
          <w:rtl/>
        </w:rPr>
        <w:t xml:space="preserve">būstān-e hešmat = hešmatīye</w:t>
      </w:r>
    </w:p>
    <w:p>
      <w:pPr>
        <w:pStyle w:val="BookText"/>
      </w:pPr>
      <w:r>
        <w:rPr>
          <w:rFonts w:ascii="IRNazanin" w:hAnsi="IRNazanin" w:eastAsia="IRNazanin" w:cs="IRNazanin"/>
          <w:lang w:bidi="fa-IR"/>
          <w:color w:val="111111"/>
          <w:sz w:val="28"/>
          <w:szCs w:val="28"/>
          <w:rtl/>
        </w:rPr>
        <w:t xml:space="preserve">حشمت، محمد شریف، ق ۱۴ قمری</w:t>
      </w:r>
    </w:p>
    <w:p>
      <w:pPr>
        <w:pStyle w:val="BookText"/>
      </w:pPr>
      <w:r>
        <w:rPr>
          <w:rFonts w:ascii="Times New Roman" w:hAnsi="Times New Roman" w:eastAsia="Times New Roman" w:cs="Times New Roman"/>
          <w:lang w:val="en-US" w:bidi="en-US"/>
          <w:color w:val="111111"/>
          <w:sz w:val="28"/>
          <w:szCs w:val="28"/>
          <w:rtl/>
        </w:rPr>
        <w:t xml:space="preserve">hešmat, mohammad šarīf (- 20c)</w:t>
      </w:r>
    </w:p>
    <w:p>
      <w:pPr>
        <w:pStyle w:val="BookText"/>
      </w:pPr>
      <w:r>
        <w:rPr>
          <w:rFonts w:ascii="IRNazanin" w:hAnsi="IRNazanin" w:eastAsia="IRNazanin" w:cs="IRNazanin"/>
          <w:lang w:bidi="fa-IR"/>
          <w:color w:val="111111"/>
          <w:sz w:val="28"/>
          <w:szCs w:val="28"/>
          <w:rtl/>
        </w:rPr>
        <w:t xml:space="preserve">اهداء به: ناصر الدین شاه قاجار</w:t>
      </w:r>
    </w:p>
    <w:p>
      <w:pPr>
        <w:pStyle w:val="BookText"/>
      </w:pPr>
      <w:r>
        <w:rPr>
          <w:rFonts w:ascii="IRNazanin" w:hAnsi="IRNazanin" w:eastAsia="IRNazanin" w:cs="IRNazanin"/>
          <w:lang w:bidi="fa-IR"/>
          <w:color w:val="111111"/>
          <w:sz w:val="28"/>
          <w:szCs w:val="28"/>
          <w:rtl/>
        </w:rPr>
        <w:t xml:space="preserve">تقلید بسیار ضعیفی از بوستان سعدی و سبک و شیوه های آن است که خود ناظم از این هماوردی نابرابر، پوزش خواسته است.</w:t>
      </w:r>
    </w:p>
    <w:p>
      <w:pPr>
        <w:pStyle w:val="BookText"/>
      </w:pPr>
      <w:r>
        <w:rPr>
          <w:rFonts w:ascii="IRNazanin" w:hAnsi="IRNazanin" w:eastAsia="IRNazanin" w:cs="IRNazanin"/>
          <w:lang w:bidi="fa-IR"/>
          <w:color w:val="111111"/>
          <w:sz w:val="28"/>
          <w:szCs w:val="28"/>
          <w:rtl/>
        </w:rPr>
        <w:t xml:space="preserve">آغاز: بنام حکیم که زد ز ابتدا </w:t>
      </w:r>
      <w:r>
        <w:rPr>
          <w:rFonts w:ascii="IRNazanin" w:hAnsi="IRNazanin" w:eastAsia="IRNazanin" w:cs="IRNazanin"/>
          <w:lang w:bidi="fa-IR"/>
          <w:color w:val="111111"/>
          <w:sz w:val="28"/>
          <w:szCs w:val="28"/>
          <w:b w:val="1"/>
          <w:bCs w:val="1"/>
          <w:i w:val="1"/>
          <w:iCs w:val="1"/>
          <w:rtl/>
        </w:rPr>
        <w:t xml:space="preserve">ز کلک مشیت رقم ماسوی / توانای بیمثل و شبه و نظير</w:t>
      </w:r>
      <w:r>
        <w:rPr>
          <w:rFonts w:ascii="IRNazanin" w:hAnsi="IRNazanin" w:eastAsia="IRNazanin" w:cs="IRNazanin"/>
          <w:lang w:bidi="fa-IR"/>
          <w:color w:val="111111"/>
          <w:sz w:val="28"/>
          <w:szCs w:val="28"/>
          <w:rtl/>
        </w:rPr>
        <w:t xml:space="preserve">که بر کفر و اسلام شد دستگیر انجام: عدوی تو در آتش قهر حق*** بسوزد چو از نار گلخن ورق [فهرستواره منزوی ۳۶۶/۱۰ ]</w:t>
      </w:r>
    </w:p>
    <w:p>
      <w:pPr>
        <w:pStyle w:val="BookText"/>
      </w:pPr>
      <w:r>
        <w:rPr>
          <w:rFonts w:ascii="IRNazanin" w:hAnsi="IRNazanin" w:eastAsia="IRNazanin" w:cs="IRNazanin"/>
          <w:lang w:bidi="fa-IR"/>
          <w:color w:val="111111"/>
          <w:sz w:val="28"/>
          <w:szCs w:val="28"/>
          <w:rtl/>
        </w:rPr>
        <w:t xml:space="preserve">قم؛ مرعشی؛ شماره نسخه: ۱۱۹۱۹/۵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یکشنبه ۶ جمادی الثانی ۱۳۰۳ق؛ بر فراز برگ آغاز نوشته: «این مسوده است و تصحیح نشده است»؛ کاغذ: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5" w:name="pg20363_209256"/>
    <w:bookmarkEnd w:id="95"/>
    <w:p>
      <w:pPr>
        <w:pStyle w:val="BookText"/>
      </w:pPr>
      <w:r>
        <w:rPr>
          <w:rFonts w:ascii="IRNazanin" w:hAnsi="IRNazanin" w:eastAsia="IRNazanin" w:cs="IRNazanin"/>
          <w:lang w:bidi="fa-IR"/>
          <w:color w:val="111111"/>
          <w:sz w:val="28"/>
          <w:szCs w:val="28"/>
          <w:rtl/>
        </w:rPr>
        <w:t xml:space="preserve">فرنگی نخودی، ۸۲گ (۱۱۵-۱۹۶)، ۲۲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۹سم [ف: ۳۰-۲۰۷]</w:t>
      </w:r>
    </w:p>
    <w:p>
      <w:pPr>
        <w:pStyle w:val="Heading3"/>
      </w:pPr>
      <w:bookmarkStart w:id="1027" w:name="_Toc287"/>
      <w:r>
        <w:t>•بوستان خیال = مطالع طالع / تراجم / فارسی</w:t>
      </w:r>
      <w:bookmarkEnd w:id="1027"/>
    </w:p>
    <w:p>
      <w:pPr>
        <w:pStyle w:val="BookText"/>
      </w:pPr>
      <w:r>
        <w:rPr>
          <w:rFonts w:ascii="IRNazanin" w:hAnsi="IRNazanin" w:eastAsia="IRNazanin" w:cs="IRNazanin"/>
          <w:lang w:bidi="fa-IR"/>
          <w:color w:val="111111"/>
          <w:sz w:val="28"/>
          <w:szCs w:val="28"/>
          <w:rtl/>
        </w:rPr>
        <w:t xml:space="preserve">ابدال رومی، بکتاش قلی، ق ۱۰ قمری</w:t>
      </w:r>
    </w:p>
    <w:p>
      <w:pPr>
        <w:pStyle w:val="BookText"/>
      </w:pPr>
      <w:r>
        <w:rPr>
          <w:rFonts w:ascii="Times New Roman" w:hAnsi="Times New Roman" w:eastAsia="Times New Roman" w:cs="Times New Roman"/>
          <w:lang w:val="en-US" w:bidi="en-US"/>
          <w:color w:val="111111"/>
          <w:sz w:val="28"/>
          <w:szCs w:val="28"/>
          <w:rtl/>
        </w:rPr>
        <w:t xml:space="preserve">būstān-e xīyāl = matāle‘-e tāle</w:t>
      </w:r>
    </w:p>
    <w:p>
      <w:pPr>
        <w:pStyle w:val="BookText"/>
      </w:pPr>
      <w:r>
        <w:rPr>
          <w:rFonts w:ascii="Times New Roman" w:hAnsi="Times New Roman" w:eastAsia="Times New Roman" w:cs="Times New Roman"/>
          <w:lang w:val="en-US" w:bidi="en-US"/>
          <w:color w:val="111111"/>
          <w:sz w:val="28"/>
          <w:szCs w:val="28"/>
          <w:rtl/>
        </w:rPr>
        <w:t xml:space="preserve">abdāl-e rūmī, baktāš-qolī (- 160)</w:t>
      </w:r>
    </w:p>
    <w:p>
      <w:pPr>
        <w:pStyle w:val="BookText"/>
      </w:pPr>
      <w:r>
        <w:rPr>
          <w:rFonts w:ascii="IRNazanin" w:hAnsi="IRNazanin" w:eastAsia="IRNazanin" w:cs="IRNazanin"/>
          <w:lang w:bidi="fa-IR"/>
          <w:color w:val="111111"/>
          <w:sz w:val="28"/>
          <w:szCs w:val="28"/>
          <w:rtl/>
        </w:rPr>
        <w:t xml:space="preserve">تاریخ تأليف: ۹۵۰ق</w:t>
      </w:r>
    </w:p>
    <w:p>
      <w:pPr>
        <w:pStyle w:val="BookText"/>
      </w:pPr>
      <w:r>
        <w:rPr>
          <w:rFonts w:ascii="IRNazanin" w:hAnsi="IRNazanin" w:eastAsia="IRNazanin" w:cs="IRNazanin"/>
          <w:lang w:bidi="fa-IR"/>
          <w:color w:val="111111"/>
          <w:sz w:val="28"/>
          <w:szCs w:val="28"/>
          <w:rtl/>
        </w:rPr>
        <w:t xml:space="preserve">تذکره ای است با دیباچه ای به نثر و ده بیتی از خود او و سپس شعرهای شاعران در توحيد و نعت پیامبر و ستایش امامان شیعی آنگاه آغاز غزلها است از هر شاعری به ترتیب تهجی از الف تا ياء و این کتاب برای سنجیدن سبک های شاعران با یکدیگر سودمند است. نام شاعرانی که شعرهای آنها در بسیاری از جاهای این کتاب آمده است: حرف الف: ابدال، ابن حسام، آتشی، ادهم، آذر بیگدلی، اسیری، اصلان، اصلی ، آفاق، افسری، آگاهی، الهامی، الهی، امامی، امینی، انسی، انوری، اوحدی، آهي، اهلی؛ حرف ب: بابر، باقی، باطنی، بدخشی، بساطی، بنائی، بیخودی، بیضائی، بیکسی، بصیری؛ حرف ت: تقی، تمنا؛ حرف ج: جدائی، جامی، جانقلی بیک، جانی، چاکری، جدائی، جمالی، جلالی؛ حرف ح: حاتمی، حالی، حافظ، حاصل، حسن حسام، حسین حسینی، حسبی، حریف میر حزنی، حکیمی، حلمی، حیدر، حیدری، حیرتی، حمید حمیدی، حیوانی، سلطان حسین میرزا؛ حرف خ: خاتم، خاقانی، خاکی، خرمی، خسرو، خسروک، خطایی، خلقی، خلیائی امیر محمد صالح، خواجو کرمانی؛ حرف دال: دائمی، داعی، دوائی، دوری، دهکی، دیوانه؛ حرف ذال: ذهنی، ذکری؛ حرف ر رامی، راهب، رحمانی، رحمی، میرزا رضا قلی، رفیق، رموزی، روحی، ریاضی؛ حرف ز: زلالی، زمانی، زلفی؛ حرف سين: ساغری، سایری، سایلی، سامی، سپاهی، سعدی، سبب، سقا، سلمان، سلیمان، سلمی، سلیمی، سهیلی، سها، سودا، سید، سیر کی، سیفی؛ حرف شین: شانی، شاهی، شرف الدين، شرفجهان، شربتی، شعوری، شکری، شکیبی، شوقانی، شوقی، شوریده، شوخی، شهودی، شهیدی، شهرتی، شیدا، شیخی، شمس؛ حرف صاد: صاغری، صافی، صالح، صالحی، صامت، صانعی، صباحی، صبوحی، صدقی، صنعی، صنفی، صهبا؛ حرف ضاد: ضمیری، ضیائی، ضيف؛ حرف ط: طالب، طاهر، طاهر، طبیب اصفهانی، طراز، طفیلی، طوطی، طوسی، طوفان، طلوعی؛ حرف ظ: ظاهر، ظاهری، ظلمی؛ حرف عين: عادل، عارف، عابد، عالم، عارض اصفهانی، عاشق، عادتی، عبدی، عبدالله، عرجی، عرفی، عراقی، عذری، عشقی، عصمت، عطار، على عماد، عوری، عیانی، عاجزی؛ حرف غين: غربتی، غریبی، غباری، غیرت، غزالی، غلامی، غیاث؛ حرف فا: فارغی، فانی، فخری، فدائی، فراقی، فردی، فریدون، فضلی، فغانی، فکری، بودجه پست - بوستان خیال ،فگاری، فهمی، فیضی، حرف قاف: قابل، امیر قاسم، قادری، قابلی، قانع، قبولی، قبطی، قنادی، قدسی، قدیمی، قضائی، قلانی، قلندر، قهاری؛ حرف کاف و گاف: کاتبی، كاتب، کابلی، کامی، کافی، کبودی، کاسبی، گدائی، گذاری، کریمی، کرمی، گلخنی، گلشنی، کلیم، کو کب؛ حرف لام: لسانی، لطف الله، لطفی؛ حرف میم: محتشم، محرمی، مجرمی، محبی، محیط، درویش مجید، میرزا محمد، مسیح، میر مشتاق، مقبل، مقیاس، مونس اصفهانی، موسی، میر حاج میرزا ملک، میر علی، مومن میرزا، مایلی، مانعی، مردمی، مزار، مشکی، مسکین، مهری، آ محمد باقر، مسعود، مراد، مسلمی، محنتی، میرم؛ حرف ن نادری، نارنجی، ناصحی، ناصر، نامی، نباتی، نجومی، نحوی، نرگسی، نزاری، نسیمی، نصرالله، نشاط، نقاش، نقدی، نظمی، نعیمی، نثاری، نیازی، نیازی احمد میرزا صفوی، نظیری، نهانی نوایی، نویدی؛ حرف واو: واحد، واحدی، واقفی، واهب، واصلی، وحشی، وصفي، وصلی، وفائی؛ حرف ها: هاتف هادی، هاشمی، هجری، همام، همتی، همایون، هلاکی، هلال، هلالی؛ حرف می: یادگار، یارگی، یاری، یتیمی، یحیی، یقینی يعقوب. این تذکره را عده ای اشتباها به سلطان محمد فخرى هراتی نسبت داده اند که تذکره ای به همین نام دارد اما تذكره وی غیر از این کتاب می باشد. آغاز: 1: بسمله. بعد از حمد و سپاس و شکر بی قیاس حضرت مهیمن متعال که منطق اهل قياس ... ۲: هو المستعان. بسمله و. بعد از وظایف حضرت وهاب على الاطلاق و لطایف مدح سلطان مقدسان آفاق این حقیر ... بکتاش قلی ابدال رومی نموده می آمد که این مجموعه که او را بوستان خیال نام نهادند سپهریست پر از کواکب ابکار معانی ... بخاطر رسیده مرا این خیال *** که اشعار چندی ز اهل کمال / کنم از سر صدق و اخلاص جمع *** فروغی دهم هر یکی را چو شمع / نهم نام آن بوستان خیال *** برم تحفه ای نزد ارباب حال انجام: هر چیز که زیر فلک از زشت و نکوست *** يكذره اگر میل دلت جانب اوست / از پرتو تو خورشید جمالش دوری *** آن ذره حجابست میان تو و دوست</w:t>
      </w:r>
    </w:p>
    <w:p>
      <w:pPr>
        <w:pStyle w:val="BookText"/>
      </w:pPr>
      <w:r>
        <w:rPr>
          <w:rFonts w:ascii="IRNazanin" w:hAnsi="IRNazanin" w:eastAsia="IRNazanin" w:cs="IRNazanin"/>
          <w:lang w:bidi="fa-IR"/>
          <w:color w:val="111111"/>
          <w:sz w:val="28"/>
          <w:szCs w:val="28"/>
          <w:rtl/>
        </w:rPr>
        <w:t xml:space="preserve">چاپ: به کوشش محمد علی کوشا ۱۳۷۶ شمسی</w:t>
      </w:r>
    </w:p>
    <w:p>
      <w:pPr>
        <w:pStyle w:val="BookText"/>
      </w:pPr>
      <w:r>
        <w:rPr>
          <w:rFonts w:ascii="IRNazanin" w:hAnsi="IRNazanin" w:eastAsia="IRNazanin" w:cs="IRNazanin"/>
          <w:lang w:bidi="fa-IR"/>
          <w:color w:val="111111"/>
          <w:sz w:val="28"/>
          <w:szCs w:val="28"/>
          <w:rtl/>
        </w:rPr>
        <w:t xml:space="preserve">نسخه های منزوی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۸/۴ ، ۵۲/۲۵؛ تاریخ تذکره های فارسی ۴۲۱/۱ ؛ [فهرستواره منزوی ۱۸5۶/۳ و ۳۶۶/۱۰ ]  ١. اراک؛ بیات، عبدالحسین؛ شماره نسخه: ۵/۲</w:t>
      </w:r>
    </w:p>
    <w:p>
      <w:pPr>
        <w:pStyle w:val="BookText"/>
      </w:pPr>
      <w:r>
        <w:rPr>
          <w:rFonts w:ascii="IRNazanin" w:hAnsi="IRNazanin" w:eastAsia="IRNazanin" w:cs="IRNazanin"/>
          <w:lang w:bidi="fa-IR"/>
          <w:color w:val="111111"/>
          <w:sz w:val="28"/>
          <w:szCs w:val="28"/>
          <w:rtl/>
        </w:rPr>
        <w:t xml:space="preserve">خط: نستعلیق، کا: پیر محمد کاتب، تا: ۹۷۷ق؛ دنباله مقدمه اش ساقط است؛ با یک سرلوح، کاتب در این نسخه نام شعرا را ننوشته؛ جلد: چرمی، قطع: وزيري [نشریه: ۶-۶۶]</w:t>
      </w:r>
    </w:p>
    <w:p>
      <w:pPr>
        <w:pStyle w:val="BookText"/>
      </w:pPr>
      <w:r>
        <w:rPr>
          <w:rFonts w:ascii="IRNazanin" w:hAnsi="IRNazanin" w:eastAsia="IRNazanin" w:cs="IRNazanin"/>
          <w:lang w:bidi="fa-IR"/>
          <w:color w:val="111111"/>
          <w:sz w:val="28"/>
          <w:szCs w:val="28"/>
          <w:rtl/>
        </w:rPr>
        <w:t xml:space="preserve">۲. تهران؛ مجلس؛ شماره نسخه: ۷۰۴۶</w:t>
      </w:r>
    </w:p>
    <w:p>
      <w:pPr>
        <w:pStyle w:val="BookText"/>
      </w:pPr>
      <w:r>
        <w:rPr>
          <w:rFonts w:ascii="IRNazanin" w:hAnsi="IRNazanin" w:eastAsia="IRNazanin" w:cs="IRNazanin"/>
          <w:lang w:bidi="fa-IR"/>
          <w:color w:val="111111"/>
          <w:sz w:val="28"/>
          <w:szCs w:val="28"/>
          <w:rtl/>
        </w:rPr>
        <w:t xml:space="preserve">آغاز: در آمد به خاطر ما این خیال *** که نظمی کنم جمع ز ارباب حال / کنم جمع از صدق و اخلاص جمع *** که باشد ببزم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6" w:name="pg20363_209257"/>
    <w:bookmarkEnd w:id="96"/>
    <w:p>
      <w:pPr>
        <w:pStyle w:val="BookText"/>
      </w:pPr>
      <w:r>
        <w:rPr>
          <w:rFonts w:ascii="IRNazanin" w:hAnsi="IRNazanin" w:eastAsia="IRNazanin" w:cs="IRNazanin"/>
          <w:lang w:bidi="fa-IR"/>
          <w:color w:val="111111"/>
          <w:sz w:val="28"/>
          <w:szCs w:val="28"/>
          <w:rtl/>
        </w:rPr>
        <w:t xml:space="preserve">بزرگان چو شمع؛ انجام: برابر</w:t>
      </w:r>
    </w:p>
    <w:p>
      <w:pPr>
        <w:pStyle w:val="BookText"/>
      </w:pPr>
      <w:r>
        <w:rPr>
          <w:rFonts w:ascii="IRNazanin" w:hAnsi="IRNazanin" w:eastAsia="IRNazanin" w:cs="IRNazanin"/>
          <w:lang w:bidi="fa-IR"/>
          <w:color w:val="111111"/>
          <w:sz w:val="28"/>
          <w:szCs w:val="28"/>
          <w:rtl/>
        </w:rPr>
        <w:t xml:space="preserve">خط: نستعلیق، بی کا، تا: اواخر محرم ۹۸۲ق؛ فاقد دیباچه منثور مؤلف، مجدول مذهب، دارای کتیبه مرصع مذهب؛ تملک: حسن بن حسین موسوی کاشانی به تاریخ ۱۱۳۰؛ جلد: تیماج قهوهای ضربی ترنج با سر با نقش گل و بوته، ۶۶گ، ۱۲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۲۵-۵۲]</w:t>
      </w:r>
    </w:p>
    <w:p>
      <w:pPr>
        <w:pStyle w:val="BookText"/>
      </w:pPr>
      <w:r>
        <w:rPr>
          <w:rFonts w:ascii="IRNazanin" w:hAnsi="IRNazanin" w:eastAsia="IRNazanin" w:cs="IRNazanin"/>
          <w:lang w:bidi="fa-IR"/>
          <w:color w:val="111111"/>
          <w:sz w:val="28"/>
          <w:szCs w:val="28"/>
          <w:rtl/>
        </w:rPr>
        <w:t xml:space="preserve">٣. قم؛ مسجد اعظم؛ شماره نسخه: ۳۴۴۶</w:t>
      </w:r>
    </w:p>
    <w:p>
      <w:pPr>
        <w:pStyle w:val="BookText"/>
      </w:pPr>
      <w:r>
        <w:rPr>
          <w:rFonts w:ascii="IRNazanin" w:hAnsi="IRNazanin" w:eastAsia="IRNazanin" w:cs="IRNazanin"/>
          <w:lang w:bidi="fa-IR"/>
          <w:color w:val="111111"/>
          <w:sz w:val="28"/>
          <w:szCs w:val="28"/>
          <w:rtl/>
        </w:rPr>
        <w:t xml:space="preserve">آغاز: نثار مرقد و مشهد معطر حضرت شاه ولایت و پناه اهل هدایت و عمده اهل فصاحت و زبده اهل بلاغت امیر المؤمنین علی ابن ابی طالب و ائمه معصومین باد؛ انجام: ظالم ار عادل نباشد خویش را ایمن مباش ***ز اصل فطرت سنگ را بالقوه اش مضمر ست / بار کش گر نیستی میکوش در ضعف بدن *** زانکه از بار گران آسوده است لاغرست خط: نستعلیق، بی کا، تا: قرن ۱۱؛ افتادگی: آغاز (برگ اول) و انجام؛ مجدول؛ جلد: تیماج سياه مجدول گرهی، ۷۵گ، ۱۵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مخ: ۱-۲۸۰]</w:t>
      </w:r>
    </w:p>
    <w:p>
      <w:pPr>
        <w:pStyle w:val="BookText"/>
      </w:pPr>
      <w:r>
        <w:rPr>
          <w:rFonts w:ascii="IRNazanin" w:hAnsi="IRNazanin" w:eastAsia="IRNazanin" w:cs="IRNazanin"/>
          <w:lang w:bidi="fa-IR"/>
          <w:color w:val="111111"/>
          <w:sz w:val="28"/>
          <w:szCs w:val="28"/>
          <w:rtl/>
        </w:rPr>
        <w:t xml:space="preserve">۴. تهران؛ دانشگاه؛ شماره نسخه: ۷۰۸۴/۲</w:t>
      </w:r>
    </w:p>
    <w:p>
      <w:pPr>
        <w:pStyle w:val="BookText"/>
      </w:pPr>
      <w:r>
        <w:rPr>
          <w:rFonts w:ascii="IRNazanin" w:hAnsi="IRNazanin" w:eastAsia="IRNazanin" w:cs="IRNazanin"/>
          <w:lang w:bidi="fa-IR"/>
          <w:color w:val="111111"/>
          <w:sz w:val="28"/>
          <w:szCs w:val="28"/>
          <w:rtl/>
        </w:rPr>
        <w:t xml:space="preserve">خط: نستعلیق، بی کا، تا: قرن ۱۱؛ کاغذ: سپاهانی، جلد: تیماج قهوه ای ترنجی مقوایی، ۱۹گ (۹-۲۷ر)، ۱۴ سطر</w:t>
      </w:r>
    </w:p>
    <w:p>
      <w:pPr>
        <w:pStyle w:val="BookText"/>
      </w:pPr>
      <w:r>
        <w:rPr>
          <w:rFonts w:ascii="IRNazanin" w:hAnsi="IRNazanin" w:eastAsia="IRNazanin" w:cs="IRNazanin"/>
          <w:lang w:bidi="fa-IR"/>
          <w:color w:val="111111"/>
          <w:sz w:val="28"/>
          <w:szCs w:val="28"/>
          <w:rtl/>
        </w:rPr>
        <w:t xml:space="preserve">(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 قطع: ربعی، اندازه: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[ف: ۱۶-۴۴۷]</w:t>
      </w:r>
    </w:p>
    <w:p>
      <w:pPr>
        <w:pStyle w:val="BookText"/>
      </w:pPr>
      <w:r>
        <w:rPr>
          <w:rFonts w:ascii="IRNazanin" w:hAnsi="IRNazanin" w:eastAsia="IRNazanin" w:cs="IRNazanin"/>
          <w:lang w:bidi="fa-IR"/>
          <w:color w:val="111111"/>
          <w:sz w:val="28"/>
          <w:szCs w:val="28"/>
          <w:rtl/>
        </w:rPr>
        <w:t xml:space="preserve">۵. تهران، دانشگاه؛ شماره نسخه: ۵۳۳۵/۱</w:t>
      </w:r>
    </w:p>
    <w:p>
      <w:pPr>
        <w:pStyle w:val="BookText"/>
      </w:pPr>
      <w:r>
        <w:rPr>
          <w:rFonts w:ascii="IRNazanin" w:hAnsi="IRNazanin" w:eastAsia="IRNazanin" w:cs="IRNazanin"/>
          <w:lang w:bidi="fa-IR"/>
          <w:color w:val="111111"/>
          <w:sz w:val="28"/>
          <w:szCs w:val="28"/>
          <w:rtl/>
        </w:rPr>
        <w:t xml:space="preserve">آغاز: برابر ۱؛ انجام: یا دیده بجای اوست یا خود او است. خط: نستعلیق، بی کا، تا: ۲۳ جمادی الثانی ۱۰۸۴ق، تاریخ «جویند ز بيكتش قلی آبدالم» (۱۰۱۶) دارد؛ کاغذ: سپاهانی، جلد: مقوا گرد تیماج سرخ، ۶۵گ (۱پ-۶۵ر)، ۱۵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۱۵-۴۲۰۷]</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دانشگاه؛ شماره نسخه: ۴۱۹۹/۱</w:t>
      </w:r>
    </w:p>
    <w:p>
      <w:pPr>
        <w:pStyle w:val="BookText"/>
      </w:pPr>
      <w:r>
        <w:rPr>
          <w:rFonts w:ascii="IRNazanin" w:hAnsi="IRNazanin" w:eastAsia="IRNazanin" w:cs="IRNazanin"/>
          <w:lang w:bidi="fa-IR"/>
          <w:color w:val="111111"/>
          <w:sz w:val="28"/>
          <w:szCs w:val="28"/>
          <w:rtl/>
        </w:rPr>
        <w:t xml:space="preserve">آغاز: برابر ۲</w:t>
      </w:r>
    </w:p>
    <w:p>
      <w:pPr>
        <w:pStyle w:val="BookText"/>
      </w:pPr>
      <w:r>
        <w:rPr>
          <w:rFonts w:ascii="IRNazanin" w:hAnsi="IRNazanin" w:eastAsia="IRNazanin" w:cs="IRNazanin"/>
          <w:lang w:bidi="fa-IR"/>
          <w:color w:val="111111"/>
          <w:sz w:val="28"/>
          <w:szCs w:val="28"/>
          <w:rtl/>
        </w:rPr>
        <w:t xml:space="preserve">خط: نستعلیق، بی کا، تا: پنج شنبه رجب ۱۲۲۵ق، جا: سپاهان، به خواهش دوستی؛ کاغذ: فرنگی، جلد: تیماج مشکی ضربی عطف قهوه ای، ۱۰۳گ (۱-۱۰۳)، ۲۰ سطر (۱۴۸۷)،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۱۳-۳۱۶۸]</w:t>
      </w:r>
    </w:p>
    <w:p>
      <w:pPr>
        <w:pStyle w:val="BookText"/>
      </w:pPr>
      <w:r>
        <w:rPr>
          <w:rFonts w:ascii="IRNazanin" w:hAnsi="IRNazanin" w:eastAsia="IRNazanin" w:cs="IRNazanin"/>
          <w:lang w:bidi="fa-IR"/>
          <w:color w:val="111111"/>
          <w:sz w:val="28"/>
          <w:szCs w:val="28"/>
          <w:rtl/>
        </w:rPr>
        <w:t xml:space="preserve">۷. تهران؛ مجلس؛ شماره نسخه: ۷۶۸۷/۱</w:t>
      </w:r>
    </w:p>
    <w:p>
      <w:pPr>
        <w:pStyle w:val="BookText"/>
      </w:pPr>
      <w:r>
        <w:rPr>
          <w:rFonts w:ascii="IRNazanin" w:hAnsi="IRNazanin" w:eastAsia="IRNazanin" w:cs="IRNazanin"/>
          <w:lang w:bidi="fa-IR"/>
          <w:color w:val="111111"/>
          <w:sz w:val="28"/>
          <w:szCs w:val="28"/>
          <w:rtl/>
        </w:rPr>
        <w:t xml:space="preserve">آغاز: برابر۱</w:t>
      </w:r>
    </w:p>
    <w:p>
      <w:pPr>
        <w:pStyle w:val="BookText"/>
      </w:pPr>
      <w:r>
        <w:rPr>
          <w:rFonts w:ascii="IRNazanin" w:hAnsi="IRNazanin" w:eastAsia="IRNazanin" w:cs="IRNazanin"/>
          <w:lang w:bidi="fa-IR"/>
          <w:color w:val="111111"/>
          <w:sz w:val="28"/>
          <w:szCs w:val="28"/>
          <w:rtl/>
        </w:rPr>
        <w:t xml:space="preserve">خط: نستعلیق، كا: اسماعیل سمنانی، تا: ۵ ربیع الثانی ۱۲۷۴ق؛ مجدول؛ جلد: تیماج قهوه ای مجدول پشت جلد اسلیمی، ۱۰۴ص (۱۰۴-۱ )، ۲۱ سطر، اندازه: ۱۴/۵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۲۶-۱۸۲]</w:t>
      </w:r>
    </w:p>
    <w:p>
      <w:pPr>
        <w:pStyle w:val="BookText"/>
      </w:pPr>
      <w:r>
        <w:rPr>
          <w:rFonts w:ascii="IRNazanin" w:hAnsi="IRNazanin" w:eastAsia="IRNazanin" w:cs="IRNazanin"/>
          <w:lang w:bidi="fa-IR"/>
          <w:color w:val="111111"/>
          <w:sz w:val="28"/>
          <w:szCs w:val="28"/>
          <w:rtl/>
        </w:rPr>
        <w:t xml:space="preserve">۸. تبریز؛ ملی؛ شماره نسخه: ۳۵۶۹/۳</w:t>
      </w:r>
    </w:p>
    <w:p>
      <w:pPr>
        <w:pStyle w:val="BookText"/>
      </w:pPr>
      <w:r>
        <w:rPr>
          <w:rFonts w:ascii="IRNazanin" w:hAnsi="IRNazanin" w:eastAsia="IRNazanin" w:cs="IRNazanin"/>
          <w:lang w:bidi="fa-IR"/>
          <w:color w:val="111111"/>
          <w:sz w:val="28"/>
          <w:szCs w:val="28"/>
          <w:rtl/>
        </w:rPr>
        <w:t xml:space="preserve">آغاز: بسمله. فایض گشته نثار مرق رو مشهد معطر شاه ولایت ... چنین گوید حقیر بی بضاعت و کم استطاعت ... و ... خواجه نظامی: بسم الله الرحمن الرحیم هست کلید در گنج حکیم؛ انجام: . حیرتی: جفا بسیار شد یاران وفا بسیار بایستی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جفایت هم خوش است اما نه این مقدار بایستی ....</w:t>
      </w:r>
    </w:p>
    <w:p>
      <w:pPr>
        <w:pStyle w:val="BookText"/>
      </w:pPr>
      <w:r>
        <w:rPr>
          <w:rFonts w:ascii="IRNazanin" w:hAnsi="IRNazanin" w:eastAsia="IRNazanin" w:cs="IRNazanin"/>
          <w:lang w:bidi="fa-IR"/>
          <w:color w:val="111111"/>
          <w:sz w:val="28"/>
          <w:szCs w:val="28"/>
          <w:rtl/>
        </w:rPr>
        <w:t xml:space="preserve">خط: نستعلیق، بی کا، بی تا؛ جلد: چرمی، ۱۷گ، ۱۴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۳-۱۲۷۳]</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دانشگاه؛ شماره نسخه: ۲۵۲۳/۱۰</w:t>
      </w:r>
    </w:p>
    <w:p>
      <w:pPr>
        <w:pStyle w:val="BookText"/>
      </w:pPr>
      <w:r>
        <w:rPr>
          <w:rFonts w:ascii="IRNazanin" w:hAnsi="IRNazanin" w:eastAsia="IRNazanin" w:cs="IRNazanin"/>
          <w:lang w:bidi="fa-IR"/>
          <w:color w:val="111111"/>
          <w:sz w:val="28"/>
          <w:szCs w:val="28"/>
          <w:rtl/>
        </w:rPr>
        <w:t xml:space="preserve">آغاز: برابر ۱؛ انجام: سخن دان با فهم زیبا بود</w:t>
      </w:r>
    </w:p>
    <w:p>
      <w:pPr>
        <w:pStyle w:val="BookText"/>
      </w:pPr>
      <w:r>
        <w:rPr>
          <w:rFonts w:ascii="IRNazanin" w:hAnsi="IRNazanin" w:eastAsia="IRNazanin" w:cs="IRNazanin"/>
          <w:lang w:bidi="fa-IR"/>
          <w:color w:val="111111"/>
          <w:sz w:val="28"/>
          <w:szCs w:val="28"/>
          <w:rtl/>
        </w:rPr>
        <w:t xml:space="preserve">خط: نسخ، كا: مذنب شاعر، بی تا؛ محشی؛ کاغذ: فرنگی، جلد: تیماج تریاکی مقوایی، ۴ ص (۵۷۹-۵۸۲)، ۱۰ سطر (۱۰/۵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۱۵/۵ )،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۹-۱۳۲۱]</w:t>
      </w:r>
    </w:p>
    <w:p>
      <w:pPr>
        <w:pStyle w:val="Heading3"/>
      </w:pPr>
      <w:bookmarkStart w:id="1028" w:name="_Toc288"/>
      <w:r>
        <w:t>•بوستان خیال = خورشید نامه / داستان / فارسی</w:t>
      </w:r>
      <w:bookmarkEnd w:id="1028"/>
    </w:p>
    <w:p>
      <w:pPr>
        <w:pStyle w:val="BookText"/>
      </w:pPr>
      <w:r>
        <w:rPr>
          <w:rFonts w:ascii="Times New Roman" w:hAnsi="Times New Roman" w:eastAsia="Times New Roman" w:cs="Times New Roman"/>
          <w:lang w:val="en-US" w:bidi="en-US"/>
          <w:color w:val="111111"/>
          <w:sz w:val="28"/>
          <w:szCs w:val="28"/>
          <w:rtl/>
        </w:rPr>
        <w:t xml:space="preserve">būstān-e xīyāl = xoršīd nāme</w:t>
      </w:r>
    </w:p>
    <w:p>
      <w:pPr>
        <w:pStyle w:val="BookText"/>
      </w:pPr>
      <w:r>
        <w:rPr>
          <w:rFonts w:ascii="IRNazanin" w:hAnsi="IRNazanin" w:eastAsia="IRNazanin" w:cs="IRNazanin"/>
          <w:lang w:bidi="fa-IR"/>
          <w:color w:val="111111"/>
          <w:sz w:val="28"/>
          <w:szCs w:val="28"/>
          <w:rtl/>
        </w:rPr>
        <w:t xml:space="preserve">خیال گجراتی، محمد تقی بن محمد غوث، -۱۱۷۳ ؟ قمری</w:t>
      </w:r>
    </w:p>
    <w:p>
      <w:pPr>
        <w:pStyle w:val="BookText"/>
      </w:pPr>
      <w:r>
        <w:rPr>
          <w:rFonts w:ascii="Times New Roman" w:hAnsi="Times New Roman" w:eastAsia="Times New Roman" w:cs="Times New Roman"/>
          <w:lang w:val="en-US" w:bidi="en-US"/>
          <w:color w:val="111111"/>
          <w:sz w:val="28"/>
          <w:szCs w:val="28"/>
          <w:rtl/>
        </w:rPr>
        <w:t xml:space="preserve">xīyāl-e gojrātī, mohammad taqī ebn-e mohammad qaws (- 1760)</w:t>
      </w:r>
    </w:p>
    <w:p>
      <w:pPr>
        <w:pStyle w:val="BookText"/>
      </w:pPr>
      <w:r>
        <w:rPr>
          <w:rFonts w:ascii="IRNazanin" w:hAnsi="IRNazanin" w:eastAsia="IRNazanin" w:cs="IRNazanin"/>
          <w:lang w:bidi="fa-IR"/>
          <w:color w:val="111111"/>
          <w:sz w:val="28"/>
          <w:szCs w:val="28"/>
          <w:rtl/>
        </w:rPr>
        <w:t xml:space="preserve">تاریخ تأليف: ۱۱۶۹ق؛ محل تأليف: مرشد آباد هند</w:t>
      </w:r>
    </w:p>
    <w:p>
      <w:pPr>
        <w:pStyle w:val="BookText"/>
      </w:pPr>
      <w:r>
        <w:rPr>
          <w:rFonts w:ascii="IRNazanin" w:hAnsi="IRNazanin" w:eastAsia="IRNazanin" w:cs="IRNazanin"/>
          <w:lang w:bidi="fa-IR"/>
          <w:color w:val="111111"/>
          <w:sz w:val="28"/>
          <w:szCs w:val="28"/>
          <w:rtl/>
        </w:rPr>
        <w:t xml:space="preserve">کتابی است مفصل (۱۷ جلد) در داستان ها و افسانه ها و دارای چند «گلستان» و هر گلستان خود چند «گلشن». نام چند تن از قهرمانان این داستان: شاهزاد معز الدين (شاهزاده ای که کتاب را بنام او نوشته) حکیم قیطاس، اقبال شاه، طاقی شاه، اشبوط، ضرون، ملکه گلعذار، نوبهار، آذر شاه، اسب شاه، مرطوب شاه، صار منكوس، ملکه سرو سهی، حکیم اخشيخان، سلطان اسماعیل، امیر نظام الدین، امیر ناصر الدین یکه تاز، خواجه شمس القمرين وزیر و امیر کبیر جهان سالار و خواجه شمس الدين. فراهم آورند این داستان گاه شیوه خالص داستان سرایی را ترک گفته و پاره ای از اطلاعات علمی، نجومی و تاریخی و جغرافی را با داستان می آمیزد و می کوشد که کار از بیهوده گی و خیالی بودن محض خارج گردد. مؤلف خود در اواخر گلستان دوم به این نکته اشارت دارد. نویسنده این داستان از رموز حمزه نیز یاد می کند: «این قدر که قلمی شد ... تحریر اسامی چندی پیش نیست قصه خوان مربوط في الجمله هم آن را ضبط می تواند کرد تا در مجالس جهت اظهار کمال، او را بکار آید و این قدر را مستمع هم با وجود عدم شوق به امثال هذا می تواند شنید و یاد گرفتن این اسامی چندان اشکال ندارد چه در رموز قصه حمزه بعضی از اسماء طولانی را ذکر کرده اند و قصه خانان آن را به حافظه سپرده اند و می گویند مانند سهلان بن سهل اژدها چشم کرگدن پیشانی، مناره گردن.» داستان سرا اشعاری نیز از خویشتن و از دیگران در داستان گنجانیده از جمله شاعرانی که نام آنان در این داستان آمده: نظامی، و مولوی است. (عبدالحسین حائری)</w:t>
      </w:r>
    </w:p>
    <w:p>
      <w:pPr>
        <w:pStyle w:val="BookText"/>
      </w:pPr>
      <w:r>
        <w:rPr>
          <w:rFonts w:ascii="IRNazanin" w:hAnsi="IRNazanin" w:eastAsia="IRNazanin" w:cs="IRNazanin"/>
          <w:lang w:bidi="fa-IR"/>
          <w:color w:val="111111"/>
          <w:sz w:val="28"/>
          <w:szCs w:val="28"/>
          <w:rtl/>
        </w:rPr>
        <w:t xml:space="preserve">چاپ: بخش هایی از آن به سال ۱۳۰۹ ق در بمبئی هند و ۱۳۳۶ق در لاهور و سال ۱۹۶۴م در پیشاور و اندکی از آن نیز در مجله ایران زمین (سال دوم و سوم، ۱۳۶۲-۱۳۶۳هـ) چاپ شده است.</w:t>
      </w:r>
    </w:p>
    <w:p>
      <w:pPr>
        <w:pStyle w:val="BookText"/>
      </w:pPr>
      <w:r>
        <w:rPr>
          <w:rFonts w:ascii="IRNazanin" w:hAnsi="IRNazanin" w:eastAsia="IRNazanin" w:cs="IRNazanin"/>
          <w:lang w:bidi="fa-IR"/>
          <w:color w:val="111111"/>
          <w:sz w:val="28"/>
          <w:szCs w:val="28"/>
          <w:rtl/>
        </w:rPr>
        <w:t xml:space="preserve">[الذريعة ۱۵۶/۳ ؛ دانشنامه جهان اسلام ۵۴۹/۴ ؛ نسخه های منزوی ۳۷۴۲/۵ ؛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مشترک پاکستان ۱۰۵۳/۶ ؛ فهرستواره منزوی ۲۹۱/۱ ؛ مشار فارسی ۷۹۴/۱ ؛ فرهنگ سخنوران /۱۹۹]</w:t>
      </w:r>
    </w:p>
    <w:p>
      <w:pPr>
        <w:pStyle w:val="BookText"/>
      </w:pPr>
      <w:r>
        <w:rPr>
          <w:rFonts w:ascii="IRNazanin" w:hAnsi="IRNazanin" w:eastAsia="IRNazanin" w:cs="IRNazanin"/>
          <w:lang w:bidi="fa-IR"/>
          <w:color w:val="111111"/>
          <w:sz w:val="28"/>
          <w:szCs w:val="28"/>
          <w:rtl/>
        </w:rPr>
        <w:t xml:space="preserve">۱. تهران؛ مجلس؛ شماره نسخه: ۳۹۷۴</w:t>
      </w:r>
    </w:p>
    <w:p>
      <w:pPr>
        <w:pStyle w:val="BookText"/>
      </w:pPr>
      <w:r>
        <w:rPr>
          <w:rFonts w:ascii="IRNazanin" w:hAnsi="IRNazanin" w:eastAsia="IRNazanin" w:cs="IRNazanin"/>
          <w:lang w:bidi="fa-IR"/>
          <w:color w:val="111111"/>
          <w:sz w:val="28"/>
          <w:szCs w:val="28"/>
          <w:rtl/>
        </w:rPr>
        <w:t xml:space="preserve">آغاز: حمدی که اگر تمام دریای روی زمین مرکب شود و جميع شاخهای درختان ربع مسكون قلمها گردد به تحریر آن وفا نکنند اگر کار را شروع در مطلب بر خود آسان سازیم بتحرير باقی قصه که در آخر گلشن دوم از گلستان اول از کتاب بوستان خیال به این روش زیب و زینت بخشیده اند میان روان شدن شاهزاده نامدار معزالدین فلک اقتدار بجناب ملک ظهورستان و کتخدائی آن شاهزاده عالی شأن با ناطقه را روشن بیان و مواصلات عاشقان با معشوقان.</w:t>
      </w:r>
    </w:p>
    <w:p>
      <w:pPr>
        <w:pStyle w:val="BookText"/>
      </w:pPr>
      <w:r>
        <w:rPr>
          <w:rFonts w:ascii="IRNazanin" w:hAnsi="IRNazanin" w:eastAsia="IRNazanin" w:cs="IRNazanin"/>
          <w:lang w:bidi="fa-IR"/>
          <w:color w:val="111111"/>
          <w:sz w:val="28"/>
          <w:szCs w:val="28"/>
          <w:rtl/>
        </w:rPr>
        <w:t xml:space="preserve">آغاز بخش دوم: به نام خدایی که از مشت خاک *** پدید آورد گوهر تابناک / به آن گوهر از لطف بی انتها *** فروغ خرد را نماید عطا. و بعد از حمد و سپاس حضرت ملک غلام و دعای از دیاد عمر و دولت و بقای سلطنت پادشاه اسلام محمدشاه پادشاه غازی خلدالله ملکه سلطانه. و ازدیاد عمر و دولت و اقبال نواب محمد اسحاق بهادر که حق تعالى مع بردران. مدارج رفعت و شوکت ترقی دارد شروع در دفتر سوم بهار دوم که معز نامه نام دارد نموده شد ذکر فرستادن شاهزاده معز الدين أبو المكارم ایلچی گری بجانب شهر فردوس و جبل اعلى نزد ابو عامر و ابو حاکم سابق برین رقم کرده کلک بلاغت آئین شده که آن شهریار بعد از تناول نمودن ثمره الفهم به تصفیه قلب مشغول است و بعد از آنکه از آنکار پرداخت شروع به خواندن کسب حکمت از تصانیف حضرت ادریس و اعفاذيمون مصری نمود.؛ انجام: بر پایان بخش اول: لمؤلفه: چو آلوده گردیده این داستان *** به احوال ناپاک آن ملحدان / شد آلوده این قصه محتشم *** به مذکور این خارودشت ستم / همان به که سازم سخن مختصر ***و گر هم نویسم نویسم ز سر / غرض چون ز جمشید کردم کلام *** کنم ختم گلزار در این مقام راوی گوید که چون سر رشته سخن بذکر جمشید کشید و این چند داستان به مذکور آن پلید آلوده گردید باید که گلزار اول از گلشن دوم از گلستان اول از کتاب بوستان خیال در اینجا ختم نمایم و از داستان صاحب قران نقاب از چهره شاهد مقصود در گذار دیگر برگشایم چنانکه باقی قصه پر غصه این پلید یعنی جمشید نیز در ضمن داستان های صاحب قران گیتی ستان یعنی شاهزاده معز الدین کامران مذکور خواهد شد و این گلزار مشتمل است بر ذکر رفتن صاحب قرآن به جبل الصفا-تا در جشن نوروز نشستن و تهیه خواندن لوح کردن و چون سخن به این مقام خواهد کشید بهار اول از کتاب بوستان خیال با تمام خواهد رسید.</w:t>
      </w:r>
    </w:p>
    <w:p>
      <w:pPr>
        <w:pStyle w:val="BookText"/>
      </w:pPr>
      <w:r>
        <w:rPr>
          <w:rFonts w:ascii="IRNazanin" w:hAnsi="IRNazanin" w:eastAsia="IRNazanin" w:cs="IRNazanin"/>
          <w:lang w:bidi="fa-IR"/>
          <w:color w:val="111111"/>
          <w:sz w:val="28"/>
          <w:szCs w:val="28"/>
          <w:rtl/>
        </w:rPr>
        <w:t xml:space="preserve">پایان کتاب: چون خواندن لوح و طلسم بيضا متضمن خواندن کتاب شاهنامه بزرگ یعنی تاريخ الاعظم است گلدسته بند این گلای رنگین یعنی مسود این اوراق - محمد تقی الجعفري الحسینی المتخلص به خیال است در این مقام ختم نماید و نقاب از چهره گلر خان مضامین باقیه در گلستان دوم و بهار سوم بر گشاید و خواندن لوح طلسم بیضا را مقدمه آن کتاب تاريخ الاعظم سازد و تتمه احوال خير مآل صاحب قرآن اکبر را در ضمن قصه صاحب قرآن اعظم بیان کند به این ترتیب که بعد هر چند داستان از این افسانه شیرین داستانی از این قصه رنگین نیز بر صفحه بیان خواهد کشید و خاطر دوستان را از تماشای گلهای تمام این بوستان خورمی (كذا) و تازگی خواهد بخشید و این گلستانرا مسمی بمعزنامه گردید امید که عزیز دلها گردد و گلستان دیگر چون بفرصت روزگار با تمام رسد بنام خورشید نامه علم شهرت بر افرازد و الله الموفق على الاتمام.</w:t>
      </w:r>
    </w:p>
    <w:p>
      <w:pPr>
        <w:pStyle w:val="BookText"/>
      </w:pPr>
      <w:r>
        <w:rPr>
          <w:rFonts w:ascii="IRNazanin" w:hAnsi="IRNazanin" w:eastAsia="IRNazanin" w:cs="IRNazanin"/>
          <w:lang w:bidi="fa-IR"/>
          <w:color w:val="111111"/>
          <w:sz w:val="28"/>
          <w:szCs w:val="28"/>
          <w:rtl/>
        </w:rPr>
        <w:t xml:space="preserve">دو بخش از کتاب معزنامه یا بوستان خیال است. بخش نخست (برگ ۱-۲۲۸ ب) گلشن دوم از گلستان اول و بخش دوم (برگ ۲۲۹ الف تا آخر نسخه) گلشن یا دفتر سوم گلستان اول و پایان گلستان اول (که بهار دوم نیز هست) خواهد بود؛ خط: نستعلیق، بی کا، تا: قرن ۱۱؛ دارای دو سر لوح مرصع و مذهب، مجدول مذهب، یادداشتی از محمد باقر بن محمد رحیم تبریزی مورخ ۱۱۶۴؛ کاغذ: خان بالغ آهار مهره، جلد: تیماج قهوه قرمز با سجاف</w:t>
      </w:r>
    </w:p>
    <w:p>
      <w:pPr>
        <w:pStyle w:val="BookText"/>
      </w:pPr>
      <w:r>
        <w:rPr>
          <w:rFonts w:ascii="IRNazanin" w:hAnsi="IRNazanin" w:eastAsia="IRNazanin" w:cs="IRNazanin"/>
          <w:lang w:bidi="fa-IR"/>
          <w:color w:val="111111"/>
          <w:sz w:val="28"/>
          <w:szCs w:val="28"/>
          <w:rtl/>
        </w:rPr>
        <w:t xml:space="preserve">تیماج، ۱۰۸۶ص، ۲۱ سطر، قطع: رحلی، اندازه: ۴۶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۱۰-۲۱۱۲]</w:t>
      </w:r>
    </w:p>
    <w:p>
      <w:pPr>
        <w:pStyle w:val="BookText"/>
      </w:pPr>
      <w:r>
        <w:rPr>
          <w:rFonts w:ascii="IRNazanin" w:hAnsi="IRNazanin" w:eastAsia="IRNazanin" w:cs="IRNazanin"/>
          <w:lang w:bidi="fa-IR"/>
          <w:color w:val="111111"/>
          <w:sz w:val="28"/>
          <w:szCs w:val="28"/>
          <w:rtl/>
        </w:rPr>
        <w:t xml:space="preserve">۲. قم؛ مرعشی؛ شماره نسخه: ۱۳۶۷۳</w:t>
      </w:r>
    </w:p>
    <w:p>
      <w:pPr>
        <w:pStyle w:val="BookText"/>
      </w:pPr>
      <w:r>
        <w:rPr>
          <w:rFonts w:ascii="IRNazanin" w:hAnsi="IRNazanin" w:eastAsia="IRNazanin" w:cs="IRNazanin"/>
          <w:lang w:bidi="fa-IR"/>
          <w:color w:val="111111"/>
          <w:sz w:val="28"/>
          <w:szCs w:val="28"/>
          <w:rtl/>
        </w:rPr>
        <w:t xml:space="preserve">آغاز: آغاز سطر دویم از جلد چهاردهم که مشتمل است بر دو فصل و مخبر بر احوال صاحبقران اعظم و متعلقان آنشهریار مكرم بوصال رسیدن ... راویان اخبار و ناقلان آثار ... سلطان فلک رخش شاهزاده خورشید تاج بخش؛ انجام: رفتن صاحب قران اعظم با حکیم بزرگ و صاحب قران اصغر با حکیم بزرگ ... در اندک زمانی آنرا نیز با تمام رسانیده ... و سلامتی</w:t>
      </w:r>
    </w:p>
    <w:p>
      <w:pPr>
        <w:pStyle w:val="BookText"/>
      </w:pPr>
      <w:r>
        <w:rPr>
          <w:rFonts w:ascii="IRNazanin" w:hAnsi="IRNazanin" w:eastAsia="IRNazanin" w:cs="IRNazanin"/>
          <w:lang w:bidi="fa-IR"/>
          <w:color w:val="111111"/>
          <w:sz w:val="28"/>
          <w:szCs w:val="28"/>
          <w:rtl/>
        </w:rPr>
        <w:t xml:space="preserve">این نسخه، سطر دوم از جلد چهاردهم است مشتمل بر دو فصل در احوال صاحبقران اعظم و متعلقان وی و در چند مورد به شاهنامه بزرگ نامیده شده است؛ خط: نستعلیق، بی کا، تا: قرن ۱۳؛ افتادگی: انجام؛ مصحح، محشی؛ کاغذ: شرقی، جلد: مشمعی مشکی، عطف: تیماج مشکی، ۳۰۶گ، ۲۳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 اندازه:30/5</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 [ف: ۳۴-۵۷۲]</w:t>
      </w:r>
    </w:p>
    <w:p>
      <w:pPr>
        <w:pStyle w:val="BookText"/>
      </w:pPr>
      <w:r>
        <w:rPr>
          <w:rFonts w:ascii="IRNazanin" w:hAnsi="IRNazanin" w:eastAsia="IRNazanin" w:cs="IRNazanin"/>
          <w:lang w:bidi="fa-IR"/>
          <w:color w:val="111111"/>
          <w:sz w:val="28"/>
          <w:szCs w:val="28"/>
          <w:rtl/>
        </w:rPr>
        <w:t xml:space="preserve">٣. تهران، دانشگاه؛ شماره نسخه: ۳۸۶۵/۱ -ف</w:t>
      </w:r>
    </w:p>
    <w:p>
      <w:pPr>
        <w:pStyle w:val="BookText"/>
      </w:pPr>
      <w:r>
        <w:rPr>
          <w:rFonts w:ascii="IRNazanin" w:hAnsi="IRNazanin" w:eastAsia="IRNazanin" w:cs="IRNazanin"/>
          <w:lang w:bidi="fa-IR"/>
          <w:color w:val="111111"/>
          <w:sz w:val="28"/>
          <w:szCs w:val="28"/>
          <w:rtl/>
        </w:rPr>
        <w:t xml:space="preserve">نسخه اصل: دیوان هند ش ۲۴۴۲؛ خط: نستعلیق، کا: ملاعبدالقادر بن عبدالله عرف براجی، تا: دوشنبه ۲۳ ذیحجه ۱۲۰۳ق، جان دارالارشاد قادری قلعه اسلام آباد (فیلمها ف: ۲-۲۷۲)</w:t>
      </w:r>
    </w:p>
    <w:p>
      <w:pPr>
        <w:pStyle w:val="BookText"/>
      </w:pPr>
      <w:r>
        <w:rPr>
          <w:rFonts w:ascii="IRNazanin" w:hAnsi="IRNazanin" w:eastAsia="IRNazanin" w:cs="IRNazanin"/>
          <w:lang w:bidi="fa-IR"/>
          <w:color w:val="111111"/>
          <w:sz w:val="28"/>
          <w:szCs w:val="28"/>
          <w:rtl/>
        </w:rPr>
        <w:t xml:space="preserve">۴. مشهد؛ رضوی؛ شماره نسخه: ۳۲۹۰۴</w:t>
      </w:r>
    </w:p>
    <w:p>
      <w:pPr>
        <w:pStyle w:val="BookText"/>
      </w:pPr>
      <w:r>
        <w:rPr>
          <w:rFonts w:ascii="IRNazanin" w:hAnsi="IRNazanin" w:eastAsia="IRNazanin" w:cs="IRNazanin"/>
          <w:lang w:bidi="fa-IR"/>
          <w:color w:val="111111"/>
          <w:sz w:val="28"/>
          <w:szCs w:val="28"/>
          <w:rtl/>
        </w:rPr>
        <w:t xml:space="preserve">آغاز: چنین کردم هر چند که در اول چیزها به خطر من رسید که به مجرد خوابی چگونه دیده و دانسته خود را در مهلکه اندازم؛ انجام: رنگین سیاق را چنان مناسب بود که این جلد را همین جا ... جلد دویم را که تمامی ... احوال صاحبقران ... شاهزاده ... الدين ... زیب و زینت بخشید. و التوفيق من الله الملک المجيد تمام شد جلد اول خورشید نامه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97" w:name="pg20363_209259"/>
    <w:bookmarkEnd w:id="97"/>
    <w:p>
      <w:pPr>
        <w:pStyle w:val="BookText"/>
      </w:pPr>
      <w:r>
        <w:rPr>
          <w:rFonts w:ascii="IRNazanin" w:hAnsi="IRNazanin" w:eastAsia="IRNazanin" w:cs="IRNazanin"/>
          <w:lang w:bidi="fa-IR"/>
          <w:color w:val="111111"/>
          <w:sz w:val="28"/>
          <w:szCs w:val="28"/>
          <w:rtl/>
        </w:rPr>
        <w:t xml:space="preserve">نسخه حاضر جلد دوم کتاب در احوال صاحبقران اعظم خورشید تاجبخش است که خورشید نامه نام گرفته است؛ خط: نستعلیق، بی کا، تا: دوشنبه ۷ ربيع الاول ۱۲۱۲ق؛ افتادگی: آغاز؛ اهدایی: رهبری، بهمن ۱۳۸۴؛ کاغذ: هندی نخودی لمینه شده، جلد: تیماج فرنگی زیتونی، زرکوب، ۱۶۷گ، ۱۶ سطر،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 سم [اهدائی رهبر: ۸-۴۸۵]</w:t>
      </w:r>
    </w:p>
    <w:p>
      <w:pPr>
        <w:pStyle w:val="BookText"/>
      </w:pPr>
      <w:r>
        <w:rPr>
          <w:rFonts w:ascii="IRNazanin" w:hAnsi="IRNazanin" w:eastAsia="IRNazanin" w:cs="IRNazanin"/>
          <w:lang w:bidi="fa-IR"/>
          <w:color w:val="111111"/>
          <w:sz w:val="28"/>
          <w:szCs w:val="28"/>
          <w:rtl/>
        </w:rPr>
        <w:t xml:space="preserve">۵. قم؛ فاضل قائینی؛ شماره نسخه: بدون شماره</w:t>
      </w:r>
    </w:p>
    <w:p>
      <w:pPr>
        <w:pStyle w:val="BookText"/>
      </w:pPr>
      <w:r>
        <w:rPr>
          <w:rFonts w:ascii="IRNazanin" w:hAnsi="IRNazanin" w:eastAsia="IRNazanin" w:cs="IRNazanin"/>
          <w:lang w:bidi="fa-IR"/>
          <w:color w:val="111111"/>
          <w:sz w:val="28"/>
          <w:szCs w:val="28"/>
          <w:rtl/>
        </w:rPr>
        <w:t xml:space="preserve">شامل جلد اول مسمی به «معز نامه» و جلد دوم مسمی به «گلستان في تاريخ صاحب قران الأكبر شاه زاده معزالدین»؛ بیکا: نوروز علی خان کیا، تا: ۱۲۷۰ (تراثنا: س ۱۳ ش ۱-۱۳۸]</w:t>
      </w:r>
    </w:p>
    <w:p>
      <w:pPr>
        <w:pStyle w:val="BookText"/>
      </w:pPr>
      <w:r>
        <w:rPr>
          <w:rFonts w:ascii="IRNazanin" w:hAnsi="IRNazanin" w:eastAsia="IRNazanin" w:cs="IRNazanin"/>
          <w:lang w:bidi="fa-IR"/>
          <w:color w:val="111111"/>
          <w:sz w:val="28"/>
          <w:szCs w:val="28"/>
          <w:rtl/>
        </w:rPr>
        <w:t xml:space="preserve">۶. قم؛ گلپایگانی؛ شماره نسخه: ۴۱۰- ۳/۳۰</w:t>
      </w:r>
    </w:p>
    <w:p>
      <w:pPr>
        <w:pStyle w:val="BookText"/>
      </w:pPr>
      <w:r>
        <w:rPr>
          <w:rFonts w:ascii="IRNazanin" w:hAnsi="IRNazanin" w:eastAsia="IRNazanin" w:cs="IRNazanin"/>
          <w:lang w:bidi="fa-IR"/>
          <w:color w:val="111111"/>
          <w:sz w:val="28"/>
          <w:szCs w:val="28"/>
          <w:rtl/>
        </w:rPr>
        <w:t xml:space="preserve">آغاز: بسمله بنام خدایی که از مشت خاک*** پدید آورد گوهر تابناک / بآن گوهر از لطف بی انتها *** فروغ خور را نماید عطا ... بعد از سپاس حضرت ملک العلام ونعت و درود بر سید انام بر اهلبیت کرام عليهم الصلوة و السلام و دعا از؛ انجام: محمد تقی الجعفري الحسيني المتخلص بخیال را چنان بخاطر گذشت که گلستان اول را از کتاب بوستان خیال در این مقام ختم نماید و نقاب از چهره گل رخان مضامین باقیه در گلستان دویم و بهار سوم که عبارت از بهار دویم بر گشاید ... و تتمه احوال خیر ... صاحبقران اکبر را در ضمن قصه صاحبقران اعظم بیان کند، لمنه و کریمه. گلستان اول؛ خط: نستعلیق، بی کا، بی تا، جلد: عطف و گوشه تیماج قهوه ای، پارچه سرخ، ۳۷۰گ، ۱۵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۶۳۲-۲ ]</w:t>
      </w:r>
    </w:p>
    <w:p>
      <w:pPr>
        <w:pStyle w:val="Heading3"/>
      </w:pPr>
      <w:bookmarkStart w:id="1029" w:name="_Toc289"/>
      <w:r>
        <w:t>•بوستان خیال / شعر / فارسی</w:t>
      </w:r>
      <w:bookmarkEnd w:id="1029"/>
    </w:p>
    <w:p>
      <w:pPr>
        <w:pStyle w:val="BookText"/>
      </w:pPr>
      <w:r>
        <w:rPr>
          <w:rFonts w:ascii="Times New Roman" w:hAnsi="Times New Roman" w:eastAsia="Times New Roman" w:cs="Times New Roman"/>
          <w:lang w:val="en-US" w:bidi="en-US"/>
          <w:color w:val="111111"/>
          <w:sz w:val="28"/>
          <w:szCs w:val="28"/>
          <w:rtl/>
        </w:rPr>
        <w:t xml:space="preserve">būstān-e xīyāl</w:t>
      </w:r>
    </w:p>
    <w:p>
      <w:pPr>
        <w:pStyle w:val="BookText"/>
      </w:pPr>
      <w:r>
        <w:rPr>
          <w:rFonts w:ascii="IRNazanin" w:hAnsi="IRNazanin" w:eastAsia="IRNazanin" w:cs="IRNazanin"/>
          <w:lang w:bidi="fa-IR"/>
          <w:color w:val="111111"/>
          <w:sz w:val="28"/>
          <w:szCs w:val="28"/>
          <w:rtl/>
        </w:rPr>
        <w:t xml:space="preserve">ابیاتی است انتخاب شده از دوران و مثنوی های شاعران فارسی گوی، تنظیم شده به ترتیب حروف قوافی آنها از حروف ألف تا ياء ابيات محمد الهی و ثنای رسالت پناهی که در آغاز مجموعه آمده و حدود یکهزار و پانصد بیت می باشد.</w:t>
      </w:r>
    </w:p>
    <w:p>
      <w:pPr>
        <w:pStyle w:val="BookText"/>
      </w:pPr>
      <w:r>
        <w:rPr>
          <w:rFonts w:ascii="IRNazanin" w:hAnsi="IRNazanin" w:eastAsia="IRNazanin" w:cs="IRNazanin"/>
          <w:lang w:bidi="fa-IR"/>
          <w:color w:val="111111"/>
          <w:sz w:val="28"/>
          <w:szCs w:val="28"/>
          <w:rtl/>
        </w:rPr>
        <w:t xml:space="preserve">آغاز: بعد از وظایف حمد و سپاس و شکر بی قیاس حضرت مهیمن متعال که منطق اهل قیل و قال و محققان علوم و افضال. انجام: ز هجر روی تو چندان که می کنم زاری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تو با وصال خودی جانا فراغی داری</w:t>
      </w:r>
    </w:p>
    <w:p>
      <w:pPr>
        <w:pStyle w:val="BookText"/>
      </w:pPr>
      <w:r>
        <w:rPr>
          <w:rFonts w:ascii="IRNazanin" w:hAnsi="IRNazanin" w:eastAsia="IRNazanin" w:cs="IRNazanin"/>
          <w:lang w:bidi="fa-IR"/>
          <w:color w:val="111111"/>
          <w:sz w:val="28"/>
          <w:szCs w:val="28"/>
          <w:rtl/>
        </w:rPr>
        <w:t xml:space="preserve">مشهد؛ میبدی؛ شماره نسخه: ۳۹۸</w:t>
      </w:r>
    </w:p>
    <w:p>
      <w:pPr>
        <w:pStyle w:val="BookText"/>
      </w:pPr>
      <w:r>
        <w:rPr>
          <w:rFonts w:ascii="IRNazanin" w:hAnsi="IRNazanin" w:eastAsia="IRNazanin" w:cs="IRNazanin"/>
          <w:lang w:bidi="fa-IR"/>
          <w:color w:val="111111"/>
          <w:sz w:val="28"/>
          <w:szCs w:val="28"/>
          <w:rtl/>
        </w:rPr>
        <w:t xml:space="preserve">آغاز: بعد از وظایف حمد و سپاس و شکر بی قیاس حضرت مهیمن متعال که منطق اهل قیل و قال و محققان علوم و افضال؛ انجام: ز هجر روی تو چندان که می کنم زاری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تو با وصال خودی جانا فراغی داری</w:t>
      </w:r>
    </w:p>
    <w:p>
      <w:pPr>
        <w:pStyle w:val="BookText"/>
      </w:pPr>
      <w:r>
        <w:rPr>
          <w:rFonts w:ascii="IRNazanin" w:hAnsi="IRNazanin" w:eastAsia="IRNazanin" w:cs="IRNazanin"/>
          <w:lang w:bidi="fa-IR"/>
          <w:color w:val="111111"/>
          <w:sz w:val="28"/>
          <w:szCs w:val="28"/>
          <w:rtl/>
        </w:rPr>
        <w:t xml:space="preserve">خط: نستعلیق هندی، بی کا، تا: قرن ۱۰؛ جلد: تیماج قرمز ضربی، ۵۶گ، ۱۳ سطر، اندازه: ۲۴/۵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۲-۹۳]</w:t>
      </w:r>
    </w:p>
    <w:p>
      <w:pPr>
        <w:pStyle w:val="Heading3"/>
      </w:pPr>
      <w:bookmarkStart w:id="1030" w:name="_Toc290"/>
      <w:r>
        <w:t>•بوستان خیال / شعر / فارسی</w:t>
      </w:r>
      <w:bookmarkEnd w:id="1030"/>
    </w:p>
    <w:p>
      <w:pPr>
        <w:pStyle w:val="BookText"/>
      </w:pPr>
      <w:r>
        <w:rPr>
          <w:rFonts w:ascii="Times New Roman" w:hAnsi="Times New Roman" w:eastAsia="Times New Roman" w:cs="Times New Roman"/>
          <w:lang w:val="en-US" w:bidi="en-US"/>
          <w:color w:val="111111"/>
          <w:sz w:val="28"/>
          <w:szCs w:val="28"/>
          <w:rtl/>
        </w:rPr>
        <w:t xml:space="preserve">būstān-e xīyāl</w:t>
      </w:r>
    </w:p>
    <w:p>
      <w:pPr>
        <w:pStyle w:val="BookText"/>
      </w:pPr>
      <w:r>
        <w:rPr>
          <w:rFonts w:ascii="IRNazanin" w:hAnsi="IRNazanin" w:eastAsia="IRNazanin" w:cs="IRNazanin"/>
          <w:lang w:bidi="fa-IR"/>
          <w:color w:val="111111"/>
          <w:sz w:val="28"/>
          <w:szCs w:val="28"/>
          <w:rtl/>
        </w:rPr>
        <w:t xml:space="preserve">تک بیتی هایی است به ترتیب حروف قافیه ها، گرد آورده شده برای مسابقه شعری، از حرف الف تا حرف ياء.</w:t>
      </w:r>
    </w:p>
    <w:p>
      <w:pPr>
        <w:pStyle w:val="BookText"/>
      </w:pPr>
      <w:r>
        <w:rPr>
          <w:rFonts w:ascii="IRNazanin" w:hAnsi="IRNazanin" w:eastAsia="IRNazanin" w:cs="IRNazanin"/>
          <w:lang w:bidi="fa-IR"/>
          <w:color w:val="111111"/>
          <w:sz w:val="28"/>
          <w:szCs w:val="28"/>
          <w:rtl/>
        </w:rPr>
        <w:t xml:space="preserve">مشهد؛ میبدی؛ شماره نسخه: ۴۴۵/۱</w:t>
      </w:r>
    </w:p>
    <w:p>
      <w:pPr>
        <w:pStyle w:val="BookText"/>
      </w:pPr>
      <w:r>
        <w:rPr>
          <w:rFonts w:ascii="IRNazanin" w:hAnsi="IRNazanin" w:eastAsia="IRNazanin" w:cs="IRNazanin"/>
          <w:lang w:bidi="fa-IR"/>
          <w:color w:val="111111"/>
          <w:sz w:val="28"/>
          <w:szCs w:val="28"/>
          <w:rtl/>
        </w:rPr>
        <w:t xml:space="preserve">آغاز: نصیحت می کنم هر شب دل دیوانه خود را *** که با هر کس مگو از بیخودی افسانه خود را</w:t>
      </w:r>
    </w:p>
    <w:p>
      <w:pPr>
        <w:pStyle w:val="BookText"/>
      </w:pPr>
      <w:r>
        <w:rPr>
          <w:rFonts w:ascii="IRNazanin" w:hAnsi="IRNazanin" w:eastAsia="IRNazanin" w:cs="IRNazanin"/>
          <w:lang w:bidi="fa-IR"/>
          <w:color w:val="111111"/>
          <w:sz w:val="28"/>
          <w:szCs w:val="28"/>
          <w:rtl/>
        </w:rPr>
        <w:t xml:space="preserve">خط: نستعلیق، بی کا، تا: قرن ۱۱؛ مجدول، دارای سرلوح؛ جلد: تیماج زرشکی سوخته ضربی، ۵۸گ (اپ-۵۸پ)، ۱۴ سطر، اندازه: ۱۰/۵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سم [ف: ۲-۱۲۵]</w:t>
      </w:r>
    </w:p>
    <w:p>
      <w:pPr>
        <w:pStyle w:val="Heading3"/>
      </w:pPr>
      <w:bookmarkStart w:id="1031" w:name="_Toc291"/>
      <w:r>
        <w:t>•بوستان خیال / تاریخ / فارسی</w:t>
      </w:r>
      <w:bookmarkEnd w:id="1031"/>
    </w:p>
    <w:p>
      <w:pPr>
        <w:pStyle w:val="BookText"/>
      </w:pPr>
      <w:r>
        <w:rPr>
          <w:rFonts w:ascii="Times New Roman" w:hAnsi="Times New Roman" w:eastAsia="Times New Roman" w:cs="Times New Roman"/>
          <w:lang w:val="en-US" w:bidi="en-US"/>
          <w:color w:val="111111"/>
          <w:sz w:val="28"/>
          <w:szCs w:val="28"/>
          <w:rtl/>
        </w:rPr>
        <w:t xml:space="preserve">būstān-e xīyāl</w:t>
      </w:r>
    </w:p>
    <w:p>
      <w:pPr>
        <w:pStyle w:val="BookText"/>
      </w:pPr>
      <w:r>
        <w:rPr>
          <w:rFonts w:ascii="IRNazanin" w:hAnsi="IRNazanin" w:eastAsia="IRNazanin" w:cs="IRNazanin"/>
          <w:lang w:bidi="fa-IR"/>
          <w:color w:val="111111"/>
          <w:sz w:val="28"/>
          <w:szCs w:val="28"/>
          <w:rtl/>
        </w:rPr>
        <w:t xml:space="preserve">از آغاز داستان رسیدن سلطان با خواتین و شاهزادگان با فریقیه و آراستن جشن تولد شاه زاده اسماعیل.</w:t>
      </w:r>
    </w:p>
    <w:p>
      <w:pPr>
        <w:pStyle w:val="BookText"/>
      </w:pPr>
      <w:r>
        <w:rPr>
          <w:rFonts w:ascii="IRNazanin" w:hAnsi="IRNazanin" w:eastAsia="IRNazanin" w:cs="IRNazanin"/>
          <w:lang w:bidi="fa-IR"/>
          <w:color w:val="111111"/>
          <w:sz w:val="28"/>
          <w:szCs w:val="28"/>
          <w:rtl/>
        </w:rPr>
        <w:t xml:space="preserve">مشهد؛ ادبیات، شماره نسخه: ۴۷ فرخ</w:t>
      </w:r>
    </w:p>
    <w:p>
      <w:pPr>
        <w:pStyle w:val="BookText"/>
      </w:pPr>
      <w:r>
        <w:rPr>
          <w:rFonts w:ascii="IRNazanin" w:hAnsi="IRNazanin" w:eastAsia="IRNazanin" w:cs="IRNazanin"/>
          <w:lang w:bidi="fa-IR"/>
          <w:color w:val="111111"/>
          <w:sz w:val="28"/>
          <w:szCs w:val="28"/>
          <w:rtl/>
        </w:rPr>
        <w:t xml:space="preserve">آغاز: بسمله تبارک الذی جعل في السماء بروجا و جعل ... زیبنده کلامی که کلمات رنگینش گلگونه رخسار شاهد سخن ... از اینجا می توان دانست که محمد رفیع واعظ که شهر بند ادراک ذاتش</w:t>
      </w:r>
    </w:p>
    <w:p>
      <w:pPr>
        <w:pStyle w:val="BookText"/>
      </w:pPr>
      <w:r>
        <w:rPr>
          <w:rFonts w:ascii="IRNazanin" w:hAnsi="IRNazanin" w:eastAsia="IRNazanin" w:cs="IRNazanin"/>
          <w:lang w:bidi="fa-IR"/>
          <w:color w:val="111111"/>
          <w:sz w:val="28"/>
          <w:szCs w:val="28"/>
          <w:rtl/>
        </w:rPr>
        <w:t xml:space="preserve">خط: نستعلیق به شیوه هندی، بی کا، بی تا، کاغذ: نخودی رنگ، جلد: تیماج قرمز، ۶۳۹ص، ۱۷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 قطع: رحلی اندازه: 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 سم [ف: ۱۵]</w:t>
      </w:r>
    </w:p>
    <w:p>
      <w:pPr>
        <w:pStyle w:val="Heading3"/>
      </w:pPr>
      <w:bookmarkStart w:id="1032" w:name="_Toc292"/>
      <w:r>
        <w:t>•بوستان سعدی / شعر / فارسی</w:t>
      </w:r>
      <w:bookmarkEnd w:id="1032"/>
    </w:p>
    <w:p>
      <w:pPr>
        <w:pStyle w:val="BookText"/>
      </w:pPr>
      <w:r>
        <w:rPr>
          <w:rFonts w:ascii="Times New Roman" w:hAnsi="Times New Roman" w:eastAsia="Times New Roman" w:cs="Times New Roman"/>
          <w:lang w:val="en-US" w:bidi="en-US"/>
          <w:color w:val="111111"/>
          <w:sz w:val="28"/>
          <w:szCs w:val="28"/>
          <w:rtl/>
        </w:rPr>
        <w:t xml:space="preserve">būstān-e sa'dī</w:t>
      </w:r>
    </w:p>
    <w:p>
      <w:pPr>
        <w:pStyle w:val="BookText"/>
      </w:pPr>
      <w:r>
        <w:rPr>
          <w:rFonts w:ascii="IRNazanin" w:hAnsi="IRNazanin" w:eastAsia="IRNazanin" w:cs="IRNazanin"/>
          <w:lang w:bidi="fa-IR"/>
          <w:color w:val="111111"/>
          <w:sz w:val="28"/>
          <w:szCs w:val="28"/>
          <w:rtl/>
        </w:rPr>
        <w:t xml:space="preserve">سعدی، مصلح بن عبدالله، -۶۹۱ ؟ قمری</w:t>
      </w:r>
    </w:p>
    <w:p>
      <w:pPr>
        <w:pStyle w:val="BookText"/>
      </w:pPr>
      <w:r>
        <w:rPr>
          <w:rFonts w:ascii="Times New Roman" w:hAnsi="Times New Roman" w:eastAsia="Times New Roman" w:cs="Times New Roman"/>
          <w:lang w:val="en-US" w:bidi="en-US"/>
          <w:color w:val="111111"/>
          <w:sz w:val="28"/>
          <w:szCs w:val="28"/>
          <w:rtl/>
        </w:rPr>
        <w:t xml:space="preserve">sa'dī, mosleh ebn-e 'abd-ol-lāh (- 1293)</w:t>
      </w:r>
    </w:p>
    <w:p>
      <w:pPr>
        <w:pStyle w:val="BookText"/>
      </w:pPr>
      <w:r>
        <w:rPr>
          <w:rFonts w:ascii="IRNazanin" w:hAnsi="IRNazanin" w:eastAsia="IRNazanin" w:cs="IRNazanin"/>
          <w:lang w:bidi="fa-IR"/>
          <w:color w:val="111111"/>
          <w:sz w:val="28"/>
          <w:szCs w:val="28"/>
          <w:rtl/>
        </w:rPr>
        <w:t xml:space="preserve">تاریخ تأليف: ۶۵۵ق</w:t>
      </w:r>
    </w:p>
    <w:p>
      <w:pPr>
        <w:pStyle w:val="BookText"/>
      </w:pPr>
      <w:r>
        <w:rPr>
          <w:rFonts w:ascii="IRNazanin" w:hAnsi="IRNazanin" w:eastAsia="IRNazanin" w:cs="IRNazanin"/>
          <w:lang w:bidi="fa-IR"/>
          <w:color w:val="111111"/>
          <w:sz w:val="28"/>
          <w:szCs w:val="28"/>
          <w:rtl/>
        </w:rPr>
        <w:t xml:space="preserve">مثنوی بسیار معروف و یکی از بهترین نمونه شعر اخلاقی فارسی در قرن هفتم در بحر تقارب در ۴۰۲۳ بیت که در ده «باب» سروده شده: ۱. عدل و تدبیر؛ ۲. احسان؛ ۳. عشق و دلباختگی؛ ۴. فروتنی؛ ۵. رضا؛ ۶. قناعت؛ ۷. تربیت؛ ۸ شکر؛ 4. توبه؛ ۱۰. مناجات. تاریخ سرودن بوستان را سعدی در این بیت به سال ۶۵۵ آورده: «از هجرت فزون بود پنجاه و پنج *** که پرور شد این نام بردار گنج»</w:t>
      </w:r>
    </w:p>
    <w:p>
      <w:pPr>
        <w:pStyle w:val="BookText"/>
      </w:pPr>
      <w:r>
        <w:rPr>
          <w:rFonts w:ascii="IRNazanin" w:hAnsi="IRNazanin" w:eastAsia="IRNazanin" w:cs="IRNazanin"/>
          <w:lang w:bidi="fa-IR"/>
          <w:color w:val="111111"/>
          <w:sz w:val="28"/>
          <w:szCs w:val="28"/>
          <w:rtl/>
        </w:rPr>
        <w:t xml:space="preserve">آغاز: به نام خداوند جان آفرین*** حکیم سخن بر زبان آفرین انجام: بضاعت نیاوردم الا امید ***خدایا ز عفوم مکن نا امید چاپ: مشار فارسی ۷۹۴/۱ (نشانی ۵۵ چاپ)؛ تهران، سنگی،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۱۳۲۲ق، رحلی، ۷۵ص (کلیات سعدی: صص ۷۶-۱۵۰)؛ بمبئی، سنگی، ۱۳۲۳، وزیری بزرگ، ۹۰ص</w:t>
      </w:r>
    </w:p>
    <w:p>
      <w:pPr>
        <w:pStyle w:val="BookText"/>
      </w:pPr>
      <w:r>
        <w:rPr>
          <w:rFonts w:ascii="IRNazanin" w:hAnsi="IRNazanin" w:eastAsia="IRNazanin" w:cs="IRNazanin"/>
          <w:lang w:bidi="fa-IR"/>
          <w:color w:val="111111"/>
          <w:sz w:val="28"/>
          <w:szCs w:val="28"/>
          <w:rtl/>
        </w:rPr>
        <w:t xml:space="preserve">[دنا ۵۳۵/۲ (۲۱۸ نسخه)؛ الذريعة ۴۴۵/۹ و ۱۵۵/۳ ؛ نسخه های منزوی ۱۸۶۱/۳ ؛ فهرست مشترک پاکستان</w:t>
      </w:r>
    </w:p>
    <w:p>
      <w:pPr>
        <w:pStyle w:val="BookText"/>
      </w:pPr>
      <w:r>
        <w:rPr>
          <w:rFonts w:ascii="IRNazanin" w:hAnsi="IRNazanin" w:eastAsia="IRNazanin" w:cs="IRNazanin"/>
          <w:lang w:bidi="fa-IR"/>
          <w:color w:val="111111"/>
          <w:sz w:val="28"/>
          <w:szCs w:val="28"/>
          <w:rtl/>
        </w:rPr>
        <w:t xml:space="preserve">۲۶۲/۷ -۲۸۶؛ الأوقاف العامة موصل ۱۵۴/۴ ؛ فهرستواره منزوی ۳۰۹/۱۰ ]</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شرح بوستان؛ سروری، مصطفی بن شعبان (۸۹۷-۹۶۹)</w:t>
      </w:r>
    </w:p>
    <w:p>
      <w:pPr>
        <w:pStyle w:val="BookText"/>
      </w:pPr>
      <w:r>
        <w:rPr>
          <w:rFonts w:ascii="Amiri" w:hAnsi="Amiri" w:eastAsia="Amiri" w:cs="Amiri"/>
          <w:lang w:bidi="ar-SA"/>
          <w:color w:val="111111"/>
          <w:sz w:val="28"/>
          <w:szCs w:val="28"/>
          <w:rtl/>
        </w:rPr>
        <w:t xml:space="preserve">۲- شرح بوستان؛ عبدالصمد بن كمال الدين (-۱۱)</w:t>
      </w:r>
    </w:p>
    <w:p>
      <w:pPr>
        <w:pStyle w:val="BookText"/>
      </w:pPr>
      <w:r>
        <w:rPr>
          <w:rFonts w:ascii="IRNazanin" w:hAnsi="IRNazanin" w:eastAsia="IRNazanin" w:cs="IRNazanin"/>
          <w:lang w:bidi="fa-IR"/>
          <w:color w:val="111111"/>
          <w:sz w:val="28"/>
          <w:szCs w:val="28"/>
          <w:rtl/>
        </w:rPr>
        <w:t xml:space="preserve">۳- شرح بوستان؛ سودی، محمد (-۱۰۰۰)</w:t>
      </w:r>
    </w:p>
    <w:p>
      <w:pPr>
        <w:pStyle w:val="BookText"/>
      </w:pPr>
      <w:r>
        <w:rPr>
          <w:rFonts w:ascii="IRNazanin" w:hAnsi="IRNazanin" w:eastAsia="IRNazanin" w:cs="IRNazanin"/>
          <w:lang w:bidi="fa-IR"/>
          <w:color w:val="111111"/>
          <w:sz w:val="28"/>
          <w:szCs w:val="28"/>
          <w:rtl/>
        </w:rPr>
        <w:t xml:space="preserve">4- شرح بوستان؛ شمعی برزینی، مصطفی (-۱۰۰۰)</w:t>
      </w:r>
    </w:p>
    <w:p>
      <w:pPr>
        <w:pStyle w:val="BookText"/>
      </w:pPr>
      <w:r>
        <w:rPr>
          <w:rFonts w:ascii="IRNazanin" w:hAnsi="IRNazanin" w:eastAsia="IRNazanin" w:cs="IRNazanin"/>
          <w:lang w:bidi="fa-IR"/>
          <w:color w:val="111111"/>
          <w:sz w:val="28"/>
          <w:szCs w:val="28"/>
          <w:rtl/>
        </w:rPr>
        <w:t xml:space="preserve">5- فرهنگ لغات بوستان سعدی</w:t>
      </w:r>
    </w:p>
    <w:p>
      <w:pPr>
        <w:pStyle w:val="BookText"/>
      </w:pPr>
      <w:r>
        <w:rPr>
          <w:rFonts w:ascii="IRNazanin" w:hAnsi="IRNazanin" w:eastAsia="IRNazanin" w:cs="IRNazanin"/>
          <w:lang w:bidi="fa-IR"/>
          <w:color w:val="111111"/>
          <w:sz w:val="28"/>
          <w:szCs w:val="28"/>
          <w:rtl/>
        </w:rPr>
        <w:t xml:space="preserve">6- شرح بوستان؛ هانسوی، عبد الواسع</w:t>
      </w:r>
    </w:p>
    <w:p>
      <w:pPr>
        <w:pStyle w:val="BookText"/>
      </w:pPr>
      <w:r>
        <w:rPr>
          <w:rFonts w:ascii="IRNazanin" w:hAnsi="IRNazanin" w:eastAsia="IRNazanin" w:cs="IRNazanin"/>
          <w:lang w:bidi="fa-IR"/>
          <w:color w:val="111111"/>
          <w:sz w:val="28"/>
          <w:szCs w:val="28"/>
          <w:rtl/>
        </w:rPr>
        <w:t xml:space="preserve">۷- بوستان سعدی (منتخب)</w:t>
      </w:r>
    </w:p>
    <w:p>
      <w:pPr>
        <w:pStyle w:val="BookText"/>
      </w:pPr>
      <w:r>
        <w:rPr>
          <w:rFonts w:ascii="IRNazanin" w:hAnsi="IRNazanin" w:eastAsia="IRNazanin" w:cs="IRNazanin"/>
          <w:lang w:bidi="fa-IR"/>
          <w:color w:val="111111"/>
          <w:sz w:val="28"/>
          <w:szCs w:val="28"/>
          <w:rtl/>
        </w:rPr>
        <w:t xml:space="preserve">۸- شرح بوستان</w:t>
      </w:r>
    </w:p>
    <w:p>
      <w:pPr>
        <w:pStyle w:val="BookText"/>
      </w:pPr>
      <w:r>
        <w:rPr>
          <w:rFonts w:ascii="IRNazanin" w:hAnsi="IRNazanin" w:eastAsia="IRNazanin" w:cs="IRNazanin"/>
          <w:lang w:bidi="fa-IR"/>
          <w:color w:val="111111"/>
          <w:sz w:val="28"/>
          <w:szCs w:val="28"/>
          <w:rtl/>
        </w:rPr>
        <w:t xml:space="preserve">۱. تهران؛ مجلس؛ شماره نسخه: ۲۵۷۱/۳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تعلیق، بی کا، تا: قرن ۱۸ کاغذ: متن سمرقندی، حاشیه ترمه اصفهانی، جلد: میشن سیاه، ترنج و سرترنج و لچکی سوخت گل و پرنده الوان، ۲۰۳گ (۲۰۹-۴۱۱)، ۲۱ سطر، اندازه: ۱۱/۵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۸-۲۸۶]</w:t>
      </w:r>
    </w:p>
    <w:p>
      <w:pPr>
        <w:pStyle w:val="BookText"/>
      </w:pPr>
      <w:r>
        <w:rPr>
          <w:rFonts w:ascii="IRNazanin" w:hAnsi="IRNazanin" w:eastAsia="IRNazanin" w:cs="IRNazanin"/>
          <w:lang w:bidi="fa-IR"/>
          <w:color w:val="111111"/>
          <w:sz w:val="28"/>
          <w:szCs w:val="28"/>
          <w:rtl/>
        </w:rPr>
        <w:t xml:space="preserve">۲. تهران؛ مجلس؛ شماره نسخه: ۲۵۷۰/۲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تعلیق، بی کا، تا: قرن ۱۸ کاغذ: سمرقندی سوراخ سوراخ شده، جلد: تیماج قهوه ای، ۱۵۴گ (۱۴۴-۲۹۷)، ۲۷ سطر، اندازه: ۱۱/۵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۱۹/۵ سم [ف: ۸-۲۸۲]</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 ۱۱۷۰۹</w:t>
      </w:r>
    </w:p>
    <w:p>
      <w:pPr>
        <w:pStyle w:val="BookText"/>
      </w:pPr>
      <w:r>
        <w:rPr>
          <w:rFonts w:ascii="IRNazanin" w:hAnsi="IRNazanin" w:eastAsia="IRNazanin" w:cs="IRNazanin"/>
          <w:lang w:bidi="fa-IR"/>
          <w:color w:val="111111"/>
          <w:sz w:val="28"/>
          <w:szCs w:val="28"/>
          <w:rtl/>
        </w:rPr>
        <w:t xml:space="preserve">عکسی؛ خط: نسخ، بی کا، تا: قرن ۸ [ مختصر ف: ۱۱۱]</w:t>
      </w:r>
    </w:p>
    <w:p>
      <w:pPr>
        <w:pStyle w:val="BookText"/>
      </w:pPr>
      <w:r>
        <w:rPr>
          <w:rFonts w:ascii="IRNazanin" w:hAnsi="IRNazanin" w:eastAsia="IRNazanin" w:cs="IRNazanin"/>
          <w:lang w:bidi="fa-IR"/>
          <w:color w:val="111111"/>
          <w:sz w:val="28"/>
          <w:szCs w:val="28"/>
          <w:rtl/>
        </w:rPr>
        <w:t xml:space="preserve">۴. تهران؛ دانشگاه؛ شماره نسخه: ۴۱۸۵/۲ -ف</w:t>
      </w:r>
    </w:p>
    <w:p>
      <w:pPr>
        <w:pStyle w:val="BookText"/>
      </w:pPr>
      <w:r>
        <w:rPr>
          <w:rFonts w:ascii="IRNazanin" w:hAnsi="IRNazanin" w:eastAsia="IRNazanin" w:cs="IRNazanin"/>
          <w:lang w:bidi="fa-IR"/>
          <w:color w:val="111111"/>
          <w:sz w:val="28"/>
          <w:szCs w:val="28"/>
          <w:rtl/>
        </w:rPr>
        <w:t xml:space="preserve">نسخه اصل: بنیاد مارتین بودمر </w:t>
      </w:r>
      <w:r>
        <w:rPr>
          <w:rFonts w:ascii="Times New Roman" w:hAnsi="Times New Roman" w:eastAsia="Times New Roman" w:cs="Times New Roman"/>
          <w:lang w:val="en-US" w:bidi="en-US"/>
          <w:color w:val="111111"/>
          <w:sz w:val="28"/>
          <w:szCs w:val="28"/>
          <w:rtl/>
        </w:rPr>
        <w:t xml:space="preserve">Boedemer </w:t>
      </w:r>
      <w:r>
        <w:rPr>
          <w:rFonts w:ascii="IRNazanin" w:hAnsi="IRNazanin" w:eastAsia="IRNazanin" w:cs="IRNazanin"/>
          <w:lang w:bidi="fa-IR"/>
          <w:color w:val="111111"/>
          <w:sz w:val="28"/>
          <w:szCs w:val="28"/>
          <w:rtl/>
        </w:rPr>
        <w:t xml:space="preserve">در ژنو؛ خط: نسخ، كان عبدالصمد بن محمد بن محمود بن خليفة بن عبد السلام بیضاوی، تا: صفر ۷۲۰ق [فیلمها ف: ۳-۲۸]</w:t>
      </w:r>
    </w:p>
    <w:p>
      <w:pPr>
        <w:pStyle w:val="BookText"/>
      </w:pPr>
      <w:r>
        <w:rPr>
          <w:rFonts w:ascii="IRNazanin" w:hAnsi="IRNazanin" w:eastAsia="IRNazanin" w:cs="IRNazanin"/>
          <w:lang w:bidi="fa-IR"/>
          <w:color w:val="111111"/>
          <w:sz w:val="28"/>
          <w:szCs w:val="28"/>
          <w:rtl/>
        </w:rPr>
        <w:t xml:space="preserve">۵. تهران؛ ملی؛ شماره نسخه: ۶۷-عکسی</w:t>
      </w:r>
    </w:p>
    <w:p>
      <w:pPr>
        <w:pStyle w:val="BookText"/>
      </w:pPr>
      <w:r>
        <w:rPr>
          <w:rFonts w:ascii="IRNazanin" w:hAnsi="IRNazanin" w:eastAsia="IRNazanin" w:cs="IRNazanin"/>
          <w:lang w:bidi="fa-IR"/>
          <w:color w:val="111111"/>
          <w:sz w:val="28"/>
          <w:szCs w:val="28"/>
          <w:rtl/>
        </w:rPr>
        <w:t xml:space="preserve">نسخه اصل: از کتابخانه دیوان هند؛ بی کا، تا: ۷۲۱ق (نشریه: ۲-۲۷۱]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ملی؛ شماره نسخه: ۶۶-عکسی</w:t>
      </w:r>
    </w:p>
    <w:p>
      <w:pPr>
        <w:pStyle w:val="BookText"/>
      </w:pPr>
      <w:r>
        <w:rPr>
          <w:rFonts w:ascii="IRNazanin" w:hAnsi="IRNazanin" w:eastAsia="IRNazanin" w:cs="IRNazanin"/>
          <w:lang w:bidi="fa-IR"/>
          <w:color w:val="111111"/>
          <w:sz w:val="28"/>
          <w:szCs w:val="28"/>
          <w:rtl/>
        </w:rPr>
        <w:t xml:space="preserve">نسخه اصل: از کتابخانه دیوان هند؛ بی کا، تا: ۷۲۸ق (نشریه: ۲-۲۷۱]</w:t>
      </w:r>
    </w:p>
    <w:p>
      <w:pPr>
        <w:pStyle w:val="BookText"/>
      </w:pPr>
      <w:r>
        <w:rPr>
          <w:rFonts w:ascii="IRNazanin" w:hAnsi="IRNazanin" w:eastAsia="IRNazanin" w:cs="IRNazanin"/>
          <w:lang w:bidi="fa-IR"/>
          <w:color w:val="111111"/>
          <w:sz w:val="28"/>
          <w:szCs w:val="28"/>
          <w:rtl/>
        </w:rPr>
        <w:t xml:space="preserve">۷. مشهد؛ رضوی؛ شماره نسخه: ۱۰۲۴۶</w:t>
      </w:r>
    </w:p>
    <w:p>
      <w:pPr>
        <w:pStyle w:val="BookText"/>
      </w:pPr>
      <w:r>
        <w:rPr>
          <w:rFonts w:ascii="IRNazanin" w:hAnsi="IRNazanin" w:eastAsia="IRNazanin" w:cs="IRNazanin"/>
          <w:lang w:bidi="fa-IR"/>
          <w:color w:val="111111"/>
          <w:sz w:val="28"/>
          <w:szCs w:val="28"/>
          <w:rtl/>
        </w:rPr>
        <w:t xml:space="preserve">خط: نستعلیق، کا: میر علی، تا: قرن ۹ [الفبائی: 90]</w:t>
      </w:r>
    </w:p>
    <w:p>
      <w:pPr>
        <w:pStyle w:val="BookText"/>
      </w:pPr>
      <w:r>
        <w:rPr>
          <w:rFonts w:ascii="IRNazanin" w:hAnsi="IRNazanin" w:eastAsia="IRNazanin" w:cs="IRNazanin"/>
          <w:lang w:bidi="fa-IR"/>
          <w:color w:val="111111"/>
          <w:sz w:val="28"/>
          <w:szCs w:val="28"/>
          <w:rtl/>
        </w:rPr>
        <w:t xml:space="preserve">۸. قم؛ مرکز احیاء؛ شماره نسخه: ۱۲۰۶/۲۶</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نسخه اصل: کتابخانه ایاصوفيا، استانبول ترکیه ۴۷۹۲؛ خط: نسخ، کا: اسعد بن علی بن محمد کاتب، تا: قرن وق؛ ۱۸۰ص (۱۳۲ -۳۱۱ در حاشیه) [عکسی ف: ۴-۲۵)</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ملک؛ شماره نسخه: ۴۷۰۰</w:t>
      </w:r>
    </w:p>
    <w:p>
      <w:pPr>
        <w:pStyle w:val="BookText"/>
      </w:pPr>
      <w:r>
        <w:rPr>
          <w:rFonts w:ascii="IRNazanin" w:hAnsi="IRNazanin" w:eastAsia="IRNazanin" w:cs="IRNazanin"/>
          <w:lang w:bidi="fa-IR"/>
          <w:color w:val="111111"/>
          <w:sz w:val="28"/>
          <w:szCs w:val="28"/>
          <w:rtl/>
        </w:rPr>
        <w:t xml:space="preserve">خط: نستعلیق، كا: سلطان علی مشهدی، تا: قرن ۹، مجدول به طلا؛ کاغذ: کاغذ متن ترمه حاشیه خطایی رنگارنگ، جلد: روغنی تشعیر با پشت معرق، ۱۲۷گ، ۱۲ سطر، اندازه: ۲۳/۲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۱۶/۱ سم ف: ۲-۵۹]</w:t>
      </w:r>
    </w:p>
    <w:p>
      <w:pPr>
        <w:pStyle w:val="BookText"/>
      </w:pPr>
      <w:r>
        <w:rPr>
          <w:rFonts w:ascii="IRNazanin" w:hAnsi="IRNazanin" w:eastAsia="IRNazanin" w:cs="IRNazanin"/>
          <w:lang w:bidi="fa-IR"/>
          <w:color w:val="111111"/>
          <w:sz w:val="28"/>
          <w:szCs w:val="28"/>
          <w:rtl/>
        </w:rPr>
        <w:t xml:space="preserve">۱۰. تهران؛ ملی؛ شماره نسخه: ۹۴۴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خط: نستعلیق، كا: سلطان محمد نور، تا: محتملا قرن ۱۹ مجدول، مذهب، با سرلوح؛ کاغذ: دولت آبادی، جلد: تیماج مشکی مقوایی، ۵۳گ، ۱۹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اندازه: ۱۷/۵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۲۴/۵سم [ف: ۲-۴۸۵]</w:t>
      </w:r>
    </w:p>
    <w:p>
      <w:pPr>
        <w:pStyle w:val="BookText"/>
      </w:pPr>
      <w:r>
        <w:rPr>
          <w:rFonts w:ascii="IRNazanin" w:hAnsi="IRNazanin" w:eastAsia="IRNazanin" w:cs="IRNazanin"/>
          <w:lang w:bidi="fa-IR"/>
          <w:color w:val="111111"/>
          <w:sz w:val="28"/>
          <w:szCs w:val="28"/>
          <w:rtl/>
        </w:rPr>
        <w:t xml:space="preserve">۱۱. تهران؛ مجلس؛ شماره نسخه: ۸۱۶۷/۱۹</w:t>
      </w:r>
    </w:p>
    <w:p>
      <w:pPr>
        <w:pStyle w:val="BookText"/>
      </w:pPr>
      <w:r>
        <w:rPr>
          <w:rFonts w:ascii="IRNazanin" w:hAnsi="IRNazanin" w:eastAsia="IRNazanin" w:cs="IRNazanin"/>
          <w:lang w:bidi="fa-IR"/>
          <w:color w:val="111111"/>
          <w:sz w:val="28"/>
          <w:szCs w:val="28"/>
          <w:rtl/>
        </w:rPr>
        <w:t xml:space="preserve">آغاز: شنیدم که در وقت نزع روان</w:t>
      </w:r>
      <w:r>
        <w:rPr>
          <w:rFonts w:ascii="IRNazanin" w:hAnsi="IRNazanin" w:eastAsia="IRNazanin" w:cs="IRNazanin"/>
          <w:lang w:bidi="fa-IR"/>
          <w:color w:val="111111"/>
          <w:sz w:val="28"/>
          <w:szCs w:val="28"/>
          <w:b w:val="1"/>
          <w:bCs w:val="1"/>
          <w:i w:val="1"/>
          <w:iCs w:val="1"/>
          <w:rtl/>
        </w:rPr>
        <w:t xml:space="preserve">بهرمز چنین گفت نوشیروان / که خاطر نگهدار درویش باش</w:t>
      </w:r>
      <w:r>
        <w:rPr>
          <w:rFonts w:ascii="IRNazanin" w:hAnsi="IRNazanin" w:eastAsia="IRNazanin" w:cs="IRNazanin"/>
          <w:lang w:bidi="fa-IR"/>
          <w:color w:val="111111"/>
          <w:sz w:val="28"/>
          <w:szCs w:val="28"/>
          <w:rtl/>
        </w:rPr>
        <w:t xml:space="preserve">نه در بند آسایش خویش باش؛ انجام: . خدا را که مانند و انباز و جفت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ندارد شنیدی که ترسا جگفت [= چه گفت ]/ رهایی نیابد کس از دست کس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گرفتار را چراه صبرست و بس</w:t>
      </w:r>
    </w:p>
    <w:p>
      <w:pPr>
        <w:pStyle w:val="BookText"/>
      </w:pPr>
      <w:r>
        <w:rPr>
          <w:rFonts w:ascii="IRNazanin" w:hAnsi="IRNazanin" w:eastAsia="IRNazanin" w:cs="IRNazanin"/>
          <w:lang w:bidi="fa-IR"/>
          <w:color w:val="111111"/>
          <w:sz w:val="28"/>
          <w:szCs w:val="28"/>
          <w:rtl/>
        </w:rPr>
        <w:t xml:space="preserve">این منتخب شامل حکایاتی از ابواب مختلف کتاب است که بدون اشاره به عنوان یا موضوع ابواب به دنبال هم آمده است؛ خط: نستعلیق، بی کا، تا: نیمه نخست قرن ۹؛ دارای کتیبه ای مرصع و مذهب، دارای گل و بوته ها و اسلیمی های زرین؛ جلد: مقوایی با روکش پارچه گل دوزی شده ماشینی دارای عطف و لبه های تیماج سبز سیر با جدول گرهی ضربی، ۴گ (۱۱۸ر-۱۲۱ر)، اندازه: ۲۱/۳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۲۷/۱ -۳۰۶]</w:t>
      </w:r>
    </w:p>
    <w:p>
      <w:pPr>
        <w:pStyle w:val="BookText"/>
      </w:pPr>
      <w:r>
        <w:rPr>
          <w:rFonts w:ascii="IRNazanin" w:hAnsi="IRNazanin" w:eastAsia="IRNazanin" w:cs="IRNazanin"/>
          <w:lang w:bidi="fa-IR"/>
          <w:color w:val="111111"/>
          <w:sz w:val="28"/>
          <w:szCs w:val="28"/>
          <w:rtl/>
        </w:rPr>
        <w:t xml:space="preserve">۱۲. تهران؛ مجلس؛ شماره نسخه: ۲۵۷۲/۶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تعلیق، بی کا، تا: ۸۰۵ق؛ کاغذ: ترمه سمرقندی، جلد: میشن زرشکی با ترنج و سرترنج منگنه، ۲۲۰گ (۱۵۰-۳۶۹)، ۱۹ 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سم [ف: ۸-۲۹۱]</w:t>
      </w:r>
    </w:p>
    <w:p>
      <w:pPr>
        <w:pStyle w:val="BookText"/>
      </w:pPr>
      <w:r>
        <w:rPr>
          <w:rFonts w:ascii="IRNazanin" w:hAnsi="IRNazanin" w:eastAsia="IRNazanin" w:cs="IRNazanin"/>
          <w:lang w:bidi="fa-IR"/>
          <w:color w:val="111111"/>
          <w:sz w:val="28"/>
          <w:szCs w:val="28"/>
          <w:rtl/>
        </w:rPr>
        <w:t xml:space="preserve">۱۳. تهران؛ سلطنتی؛ شماره نسخه: ۸۸۳/۸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متوسط، كا: عبدالله كاتب اصفهانی، تا: ۸۶۲ق، جان اصفهان موضع جورتان؛ کاغذ: اصفهانی، جلد: مقوای ابره میشن تیماج مشکی متن و یک حاشیه کتیبه ای ضربی طلاپوش گل برجسته، قطع: نیم ورقی،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۴-۱۰۲۸]</w:t>
      </w:r>
    </w:p>
    <w:p>
      <w:pPr>
        <w:pStyle w:val="BookText"/>
      </w:pPr>
      <w:r>
        <w:rPr>
          <w:rFonts w:ascii="IRNazanin" w:hAnsi="IRNazanin" w:eastAsia="IRNazanin" w:cs="IRNazanin"/>
          <w:lang w:bidi="fa-IR"/>
          <w:color w:val="111111"/>
          <w:sz w:val="28"/>
          <w:szCs w:val="28"/>
          <w:rtl/>
        </w:rPr>
        <w:t xml:space="preserve">۱۴. تهران؛ دانشگاه؛ شماره نسخه: ۲۷۰۲-ف</w:t>
      </w:r>
    </w:p>
    <w:p>
      <w:pPr>
        <w:pStyle w:val="BookText"/>
      </w:pPr>
      <w:r>
        <w:rPr>
          <w:rFonts w:ascii="IRNazanin" w:hAnsi="IRNazanin" w:eastAsia="IRNazanin" w:cs="IRNazanin"/>
          <w:lang w:bidi="fa-IR"/>
          <w:color w:val="111111"/>
          <w:sz w:val="28"/>
          <w:szCs w:val="28"/>
          <w:rtl/>
        </w:rPr>
        <w:t xml:space="preserve">نسخه اصل: در الكتب المصريه ش ۲۲ ادب فارسی؛ خط: نستعلیق، كا: سلطان على كاتب هروی، تا: اواخر رجب ۸۹۳ق؛ آراسته به نقش های هندسی رنگارنگ، با سرلوح زرین و رنگین زیبا، مجدول، با شش مینیاتور از کمال الدین بهزاد هروی مورخ ۸۹۳ -۸۹۴ با رقم «عمل العبد بهزاد» در چهار تای آنها، تذهیب از یاری هروی است، در پایان در یک برگ از شعرها خمسه نظامی گنجوی است نوشته محمد کاتب کرمانی؛ مهر: شاه عباس؛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۵۵گ، ۲۳ سطر (۲۱</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۱۷) [فيلمها ف: ۱-۲۳]</w:t>
      </w:r>
    </w:p>
    <w:p>
      <w:pPr>
        <w:pStyle w:val="BookText"/>
      </w:pPr>
      <w:r>
        <w:rPr>
          <w:rFonts w:ascii="IRNazanin" w:hAnsi="IRNazanin" w:eastAsia="IRNazanin" w:cs="IRNazanin"/>
          <w:lang w:bidi="fa-IR"/>
          <w:color w:val="111111"/>
          <w:sz w:val="28"/>
          <w:szCs w:val="28"/>
          <w:rtl/>
        </w:rPr>
        <w:t xml:space="preserve">۱۵. تهران؛ بیانی، مهدی (دکتر)؛ شماره نسخه: ۲۰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خوش، كا: کشوری، تا: ۸۹۶ق؛ كاتب از شعرای قرن نهم و صاحب ترجمه است. [نشریه: ۱-۱۰]</w:t>
      </w:r>
    </w:p>
    <w:p>
      <w:pPr>
        <w:pStyle w:val="BookText"/>
      </w:pPr>
      <w:r>
        <w:rPr>
          <w:rFonts w:ascii="IRNazanin" w:hAnsi="IRNazanin" w:eastAsia="IRNazanin" w:cs="IRNazanin"/>
          <w:lang w:bidi="fa-IR"/>
          <w:color w:val="111111"/>
          <w:sz w:val="28"/>
          <w:szCs w:val="28"/>
          <w:rtl/>
        </w:rPr>
        <w:t xml:space="preserve">۱۶. تهران؛ بیانی، مهدی (دکتر)؛ شماره نسخه: ۲۴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به ضمیمه گلستان؛ خط: نسخ، کا:شمس الدین شیرازی، تا: نیمه دوم قرن ۱۰؛ قسمت الحاقی به خط منعم الدین اوحدی (نشریه: ۱-۱۰]</w:t>
      </w:r>
    </w:p>
    <w:p>
      <w:pPr>
        <w:pStyle w:val="BookText"/>
      </w:pPr>
      <w:r>
        <w:rPr>
          <w:rFonts w:ascii="IRNazanin" w:hAnsi="IRNazanin" w:eastAsia="IRNazanin" w:cs="IRNazanin"/>
          <w:lang w:bidi="fa-IR"/>
          <w:color w:val="111111"/>
          <w:sz w:val="28"/>
          <w:szCs w:val="28"/>
          <w:rtl/>
        </w:rPr>
        <w:t xml:space="preserve">۱۷. تهران؛ ملک؛ شماره نسخه: ۵۶۱۸</w:t>
      </w:r>
    </w:p>
    <w:p>
      <w:pPr>
        <w:pStyle w:val="BookText"/>
      </w:pPr>
      <w:r>
        <w:rPr>
          <w:rFonts w:ascii="IRNazanin" w:hAnsi="IRNazanin" w:eastAsia="IRNazanin" w:cs="IRNazanin"/>
          <w:lang w:bidi="fa-IR"/>
          <w:color w:val="111111"/>
          <w:sz w:val="28"/>
          <w:szCs w:val="28"/>
          <w:rtl/>
        </w:rPr>
        <w:t xml:space="preserve">خط: نستعلیق خوش، كا: امیر کاتب شیرازی، تا: قرن ۱۰؛ با یک سرلوح طلا، دو صفحه تذهیب، مجدول، مذهب؛ کاغذ: کاغذ ترمه، جلد: ضربی و داخل معرق طلاپوش لبه دار، ۱۶۶گ، ۱۲ سطر، اندازه: ۲۲/۷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۲-۵۹]</w:t>
      </w:r>
    </w:p>
    <w:p>
      <w:pPr>
        <w:pStyle w:val="BookText"/>
      </w:pPr>
      <w:r>
        <w:rPr>
          <w:rFonts w:ascii="IRNazanin" w:hAnsi="IRNazanin" w:eastAsia="IRNazanin" w:cs="IRNazanin"/>
          <w:lang w:bidi="fa-IR"/>
          <w:color w:val="111111"/>
          <w:sz w:val="28"/>
          <w:szCs w:val="28"/>
          <w:rtl/>
        </w:rPr>
        <w:t xml:space="preserve">۱۸. تهران، دانشگاه؛ شماره نسخه: ۴۸۵۹</w:t>
      </w:r>
    </w:p>
    <w:p>
      <w:pPr>
        <w:pStyle w:val="BookText"/>
      </w:pPr>
      <w:r>
        <w:rPr>
          <w:rFonts w:ascii="IRNazanin" w:hAnsi="IRNazanin" w:eastAsia="IRNazanin" w:cs="IRNazanin"/>
          <w:lang w:bidi="fa-IR"/>
          <w:color w:val="111111"/>
          <w:sz w:val="28"/>
          <w:szCs w:val="28"/>
          <w:rtl/>
        </w:rPr>
        <w:t xml:space="preserve">خط: نستعلیق، بی کا، تا: قرن ۱۰؛ افتادگی: انجام؛ مجدول، دو مجلس تصویر رنگین دار، با دو سرلوح زرین؛ کاغذ: سمرقندی، جلد: تیماج قهوه ای ضربی مقوایی، ۱۴۳ گ، ۱۵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۱۴-۳۸۸۱]</w:t>
      </w:r>
    </w:p>
    <w:p>
      <w:pPr>
        <w:pStyle w:val="BookText"/>
      </w:pPr>
      <w:r>
        <w:rPr>
          <w:rFonts w:ascii="IRNazanin" w:hAnsi="IRNazanin" w:eastAsia="IRNazanin" w:cs="IRNazanin"/>
          <w:lang w:bidi="fa-IR"/>
          <w:color w:val="111111"/>
          <w:sz w:val="28"/>
          <w:szCs w:val="28"/>
          <w:rtl/>
        </w:rPr>
        <w:t xml:space="preserve">۱۹. تهران؛ مجلس؛ شماره نسخه: ۱۲۹۸</w:t>
      </w:r>
    </w:p>
    <w:p>
      <w:pPr>
        <w:pStyle w:val="BookText"/>
      </w:pPr>
      <w:r>
        <w:rPr>
          <w:rFonts w:ascii="IRNazanin" w:hAnsi="IRNazanin" w:eastAsia="IRNazanin" w:cs="IRNazanin"/>
          <w:lang w:bidi="fa-IR"/>
          <w:color w:val="111111"/>
          <w:sz w:val="28"/>
          <w:szCs w:val="28"/>
          <w:rtl/>
        </w:rPr>
        <w:t xml:space="preserve">خط: نستعلیق، كا: عبدی بن شیخ مرشد کاتب (نیشابوری)، تا: قرن ۱۰؛ مجدول، با سرلوح، دارای نه مجلس تصویر</w:t>
      </w:r>
    </w:p>
    <w:p>
      <w:pPr>
        <w:pStyle w:val="BookText"/>
      </w:pPr>
      <w:r>
        <w:rPr>
          <w:rFonts w:ascii="IRNazanin" w:hAnsi="IRNazanin" w:eastAsia="IRNazanin" w:cs="IRNazanin"/>
          <w:lang w:bidi="fa-IR"/>
          <w:color w:val="111111"/>
          <w:sz w:val="28"/>
          <w:szCs w:val="28"/>
          <w:rtl/>
        </w:rPr>
        <w:t xml:space="preserve">کاغذ: متن سفید، جلد: سوخت قهوه ای منقوش، درون تیماج آلبالویی زرکوب، ۱۸۰ گ، ۱۲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۴)، اندازه: ۱۸</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۱۰ سم [سنا: في: ۲۱۵-۲ ]</w:t>
      </w:r>
    </w:p>
    <w:p>
      <w:pPr>
        <w:pStyle w:val="BookText"/>
      </w:pPr>
      <w:r>
        <w:rPr>
          <w:rFonts w:ascii="IRNazanin" w:hAnsi="IRNazanin" w:eastAsia="IRNazanin" w:cs="IRNazanin"/>
          <w:lang w:bidi="fa-IR"/>
          <w:color w:val="111111"/>
          <w:sz w:val="28"/>
          <w:szCs w:val="28"/>
          <w:rtl/>
        </w:rPr>
        <w:t xml:space="preserve">۲۰. مشهد؛ رضوی؛ شماره نسخه: ۴۴۵۶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دودانگ استادانه، كا: عمادالحسنی، تا: اواخر قرن ۱۰؛ مجدول، دارای سرلوح زیبا، پشت سرلوح چنین نوشته است: این کتاب که پنجاه و دو ورقست، سوای یک ورق از خطوط خوب قبلة الكتاب عماد الحسنی است. العبد عليمحمد لواسانی ۱۲۶۱»، و این شخص میرزا علیمحمد صفای لواسانی است، یادداشت میرزا لطفعلی صدرالافاضل شیرازی متخلص به دانش و متوفی ۱۳۵۰ ق در تعریف نسخه به تاریخ ۱۳۳۵؛ واقف: نایینی؛</w:t>
      </w:r>
    </w:p>
    <w:p>
      <w:pPr>
        <w:pStyle w:val="BookText"/>
      </w:pPr>
      <w:r>
        <w:rPr>
          <w:rFonts w:ascii="IRNazanin" w:hAnsi="IRNazanin" w:eastAsia="IRNazanin" w:cs="IRNazanin"/>
          <w:lang w:bidi="fa-IR"/>
          <w:color w:val="111111"/>
          <w:sz w:val="28"/>
          <w:szCs w:val="28"/>
          <w:rtl/>
        </w:rPr>
        <w:t xml:space="preserve">کاغذ: ضخیم، جلد: تیماج مشکی، ۵۰گ، ۲۱ سطر چهار ستونی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۷-۲۱۹]</w:t>
      </w:r>
    </w:p>
    <w:p>
      <w:pPr>
        <w:pStyle w:val="BookText"/>
      </w:pPr>
      <w:r>
        <w:rPr>
          <w:rFonts w:ascii="IRNazanin" w:hAnsi="IRNazanin" w:eastAsia="IRNazanin" w:cs="IRNazanin"/>
          <w:lang w:bidi="fa-IR"/>
          <w:color w:val="111111"/>
          <w:sz w:val="28"/>
          <w:szCs w:val="28"/>
          <w:rtl/>
        </w:rPr>
        <w:t xml:space="preserve">۲۱. قم؛ مسجد اعظم؛ شماره نسخه: ۳۲۵۹</w:t>
      </w:r>
    </w:p>
    <w:p>
      <w:pPr>
        <w:pStyle w:val="BookText"/>
      </w:pPr>
      <w:r>
        <w:rPr>
          <w:rFonts w:ascii="IRNazanin" w:hAnsi="IRNazanin" w:eastAsia="IRNazanin" w:cs="IRNazanin"/>
          <w:lang w:bidi="fa-IR"/>
          <w:color w:val="111111"/>
          <w:sz w:val="28"/>
          <w:szCs w:val="28"/>
          <w:rtl/>
        </w:rPr>
        <w:t xml:space="preserve">آغاز: اتابک محمد شه نیک بخت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خداوند تاج وخداوند تخت / جوان و جوان بخت روشن ضمیر *** بدولت جوان و بتدبير پیر؛ انجام: نگویم بزرگی وجاههم ببخش*** فرومانده گی و ... ببخش / اگر باری اندک زلل داندم *** بنا بخردی شهره گرداندم خط: نستعلیق کهنه، بی کا، تا: قرن ۱۰؛ افتادگی: آغاز (دو برگ)؛ مجدول؛ جلد: تیماج قهوه ای با ترنج و با سر مجدول گرهی، ۱۴۹گ، ۱۴۹ سطر، اندازه:۲۱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مخ: ۱-۲۷۹]</w:t>
      </w:r>
    </w:p>
    <w:p>
      <w:pPr>
        <w:pStyle w:val="BookText"/>
      </w:pPr>
      <w:r>
        <w:rPr>
          <w:rFonts w:ascii="IRNazanin" w:hAnsi="IRNazanin" w:eastAsia="IRNazanin" w:cs="IRNazanin"/>
          <w:lang w:bidi="fa-IR"/>
          <w:color w:val="111111"/>
          <w:sz w:val="28"/>
          <w:szCs w:val="28"/>
          <w:rtl/>
        </w:rPr>
        <w:t xml:space="preserve">۲۲. تهران، سپهسالار؛ شماره نسخه: ۴۵۹</w:t>
      </w:r>
    </w:p>
    <w:p>
      <w:pPr>
        <w:pStyle w:val="BookText"/>
      </w:pPr>
      <w:r>
        <w:rPr>
          <w:rFonts w:ascii="IRNazanin" w:hAnsi="IRNazanin" w:eastAsia="IRNazanin" w:cs="IRNazanin"/>
          <w:lang w:bidi="fa-IR"/>
          <w:color w:val="111111"/>
          <w:sz w:val="28"/>
          <w:szCs w:val="28"/>
          <w:rtl/>
        </w:rPr>
        <w:t xml:space="preserve">گزیده ای است از بوستان سعدی؛ خط: نستعلیق زیبا، بی کا، تا: قرن ۱۰؛ در حاشیه آراسته با گل و بوته، با یک سرلوح؛ کاغذ: رنگارنگ، جلد: تیماج سبز مقوایی ضربی زرکوب، ۲۳گ، ۱۱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۴)،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۵-۶۵۸]</w:t>
      </w:r>
    </w:p>
    <w:p>
      <w:pPr>
        <w:pStyle w:val="BookText"/>
      </w:pPr>
      <w:r>
        <w:rPr>
          <w:rFonts w:ascii="IRNazanin" w:hAnsi="IRNazanin" w:eastAsia="IRNazanin" w:cs="IRNazanin"/>
          <w:lang w:bidi="fa-IR"/>
          <w:color w:val="111111"/>
          <w:sz w:val="28"/>
          <w:szCs w:val="28"/>
          <w:rtl/>
        </w:rPr>
        <w:t xml:space="preserve">۲۳. قم، گلپایگانی؛ شماره نسخه: ۷۸۸۱- ۳۹/۲۶۱</w:t>
      </w:r>
    </w:p>
    <w:p>
      <w:pPr>
        <w:pStyle w:val="BookText"/>
      </w:pPr>
      <w:r>
        <w:rPr>
          <w:rFonts w:ascii="IRNazanin" w:hAnsi="IRNazanin" w:eastAsia="IRNazanin" w:cs="IRNazanin"/>
          <w:lang w:bidi="fa-IR"/>
          <w:color w:val="111111"/>
          <w:sz w:val="28"/>
          <w:szCs w:val="28"/>
          <w:rtl/>
        </w:rPr>
        <w:t xml:space="preserve">آغاز: جوانمرد شاطر زمین بوسه داد*** ملک را ثنا گفت و تمکین نهاد / بدو گفت ای شاه با داد و هوش *** از این در سخنهای حاتم بنوش؛ انجام: زن بیخرد بر در و بام و کوی </w:t>
      </w:r>
      <w:r>
        <w:rPr>
          <w:rFonts w:ascii="IRNazanin" w:hAnsi="IRNazanin" w:eastAsia="IRNazanin" w:cs="IRNazanin"/>
          <w:lang w:bidi="fa-IR"/>
          <w:color w:val="111111"/>
          <w:sz w:val="28"/>
          <w:szCs w:val="28"/>
          <w:b w:val="1"/>
          <w:bCs w:val="1"/>
          <w:i w:val="1"/>
          <w:iCs w:val="1"/>
          <w:rtl/>
        </w:rPr>
        <w:t xml:space="preserve">همی کرد فریاد و می گفت شوی / بدو گفت مرد ای زن تلخ روی</w:t>
      </w:r>
      <w:r>
        <w:rPr>
          <w:rFonts w:ascii="IRNazanin" w:hAnsi="IRNazanin" w:eastAsia="IRNazanin" w:cs="IRNazanin"/>
          <w:lang w:bidi="fa-IR"/>
          <w:color w:val="111111"/>
          <w:sz w:val="28"/>
          <w:szCs w:val="28"/>
          <w:rtl/>
        </w:rPr>
        <w:t xml:space="preserve">تو گفتی که آزار ایشان مجوي</w:t>
      </w:r>
    </w:p>
    <w:p>
      <w:pPr>
        <w:pStyle w:val="BookText"/>
      </w:pPr>
      <w:r>
        <w:rPr>
          <w:rFonts w:ascii="IRNazanin" w:hAnsi="IRNazanin" w:eastAsia="IRNazanin" w:cs="IRNazanin"/>
          <w:lang w:bidi="fa-IR"/>
          <w:color w:val="111111"/>
          <w:sz w:val="28"/>
          <w:szCs w:val="28"/>
          <w:rtl/>
        </w:rPr>
        <w:t xml:space="preserve">خط: نستعلیق، بی کا، تا: قرن ۱۰؛ افتادگی: آغاز و وسط و انجام؛ جلد: مقوا عطف گالینگور قهوه ای، ۱۰۴، ۱۵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۲-۶۳۱]</w:t>
      </w:r>
    </w:p>
    <w:p>
      <w:pPr>
        <w:pStyle w:val="BookText"/>
      </w:pPr>
      <w:r>
        <w:rPr>
          <w:rFonts w:ascii="IRNazanin" w:hAnsi="IRNazanin" w:eastAsia="IRNazanin" w:cs="IRNazanin"/>
          <w:lang w:bidi="fa-IR"/>
          <w:color w:val="111111"/>
          <w:sz w:val="28"/>
          <w:szCs w:val="28"/>
          <w:rtl/>
        </w:rPr>
        <w:t xml:space="preserve">۲۴. تهران، دانشگاه؛ شماره نسخه: ۹۲۲۷</w:t>
      </w:r>
    </w:p>
    <w:p>
      <w:pPr>
        <w:pStyle w:val="BookText"/>
      </w:pPr>
      <w:r>
        <w:rPr>
          <w:rFonts w:ascii="IRNazanin" w:hAnsi="IRNazanin" w:eastAsia="IRNazanin" w:cs="IRNazanin"/>
          <w:lang w:bidi="fa-IR"/>
          <w:color w:val="111111"/>
          <w:sz w:val="28"/>
          <w:szCs w:val="28"/>
          <w:rtl/>
        </w:rPr>
        <w:t xml:space="preserve">خط: نستعلیق، بی کا، تا: قرن ۱۰؛ با پیشانی زرین و لاجوردی، مجدول؛ کاغذ: استانبولی، جلد: تیماج قهوه ای با ترنج و سر ترنج زرکوب، ۱۴۶گ، ۱۵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 قطع: بغلی،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۱۷-۳۲۵]</w:t>
      </w:r>
    </w:p>
    <w:p>
      <w:pPr>
        <w:pStyle w:val="BookText"/>
      </w:pPr>
      <w:r>
        <w:rPr>
          <w:rFonts w:ascii="IRNazanin" w:hAnsi="IRNazanin" w:eastAsia="IRNazanin" w:cs="IRNazanin"/>
          <w:lang w:bidi="fa-IR"/>
          <w:color w:val="111111"/>
          <w:sz w:val="28"/>
          <w:szCs w:val="28"/>
          <w:rtl/>
        </w:rPr>
        <w:t xml:space="preserve">۲۵. تهران؛ دانشگاه؛ شماره نسخه: ۹۲۸۰</w:t>
      </w:r>
    </w:p>
    <w:p>
      <w:pPr>
        <w:pStyle w:val="BookText"/>
      </w:pPr>
      <w:r>
        <w:rPr>
          <w:rFonts w:ascii="IRNazanin" w:hAnsi="IRNazanin" w:eastAsia="IRNazanin" w:cs="IRNazanin"/>
          <w:lang w:bidi="fa-IR"/>
          <w:color w:val="111111"/>
          <w:sz w:val="28"/>
          <w:szCs w:val="28"/>
          <w:rtl/>
        </w:rPr>
        <w:t xml:space="preserve">خط: نستعلیق، بی کا، تا: قرن ۱۰؛ مجدول زر و لاجورد، با پیشانی زرین و رنگین، از آن سلیم در ۱۲۰۱؛ وقف مدرسه سيف الله از غازی حاج آوريوس بک؛ کاغذ: سپاهانی، جلد: تیماج مشکی زرکوب مقوایی با لولا، ۱۴۳ گ، ۱۵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قطع: ربعی،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۱۷-۳۳۹]</w:t>
      </w:r>
    </w:p>
    <w:p>
      <w:pPr>
        <w:pStyle w:val="BookText"/>
      </w:pPr>
      <w:r>
        <w:rPr>
          <w:rFonts w:ascii="IRNazanin" w:hAnsi="IRNazanin" w:eastAsia="IRNazanin" w:cs="IRNazanin"/>
          <w:lang w:bidi="fa-IR"/>
          <w:color w:val="111111"/>
          <w:sz w:val="28"/>
          <w:szCs w:val="28"/>
          <w:rtl/>
        </w:rPr>
        <w:t xml:space="preserve">۲۶. قم، مرکز احیاء؛ شماره نسخه: ۶۳۷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۹۰۵ق؛ تملك: حاج حافظ افندی؛ جلد: تیماج قرمز ضربی، ۱۲۸گ، ۱۵ سطر، اندازه: ۱۱/۵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۱۶/۵سم [ف: ۲۹۲-۲ ]</w:t>
      </w:r>
    </w:p>
    <w:p>
      <w:pPr>
        <w:pStyle w:val="BookText"/>
      </w:pPr>
      <w:r>
        <w:rPr>
          <w:rFonts w:ascii="IRNazanin" w:hAnsi="IRNazanin" w:eastAsia="IRNazanin" w:cs="IRNazanin"/>
          <w:lang w:bidi="fa-IR"/>
          <w:color w:val="111111"/>
          <w:sz w:val="28"/>
          <w:szCs w:val="28"/>
          <w:rtl/>
        </w:rPr>
        <w:t xml:space="preserve">۲۷. تهران؛ سلطنتی؛ شماره نسخه: ۲۱۶۴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خط: نستعلیق زیبا و استوار، كا: میرعلی سلطانی، تا: ۹۰۷ق، جا: هرات؛ پنج مجلس مینیاتور آب و رنگ بسیار خوب، دارای کتیبه، به خط ثلث بسیار عالی رقم رفته: «به رسم کتابخانه خاقان العادل الاكرم الاعظم عبدالله بهادر خان في ۹۷۰»، دارای تصاویر به عنوان اشعار بوستان، مجدول، بعضی از صفحات چند لچکی مذهب میناسازی برای تفکیک ابیات؛ کاغذ: ختائی غبار زرافشان، ۳۶۴ص، ۱۲ سطر، قطع: وزیری،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۳-۵۰۴]</w:t>
      </w:r>
    </w:p>
    <w:p>
      <w:pPr>
        <w:pStyle w:val="BookText"/>
      </w:pPr>
      <w:r>
        <w:rPr>
          <w:rFonts w:ascii="IRNazanin" w:hAnsi="IRNazanin" w:eastAsia="IRNazanin" w:cs="IRNazanin"/>
          <w:lang w:bidi="fa-IR"/>
          <w:color w:val="111111"/>
          <w:sz w:val="28"/>
          <w:szCs w:val="28"/>
          <w:rtl/>
        </w:rPr>
        <w:t xml:space="preserve">۲۸. تهران؛ ملک؛ شماره نسخه: ۵۹۳۹</w:t>
      </w:r>
    </w:p>
    <w:p>
      <w:pPr>
        <w:pStyle w:val="BookText"/>
      </w:pPr>
      <w:r>
        <w:rPr>
          <w:rFonts w:ascii="IRNazanin" w:hAnsi="IRNazanin" w:eastAsia="IRNazanin" w:cs="IRNazanin"/>
          <w:lang w:bidi="fa-IR"/>
          <w:color w:val="111111"/>
          <w:sz w:val="28"/>
          <w:szCs w:val="28"/>
          <w:rtl/>
        </w:rPr>
        <w:t xml:space="preserve">خط: نستعلیق، كا: سلطانعلی مشهدی، تا: یک شنبه ۱۰ رجب ۹۱۴ق؛ دو صفحه اول مذهب، مجدول، عناوین روی زمینه طلا؛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تملک: لطف علی بن محمد کاظم صدرالافاضل مورخ ۱۳۱۱؛ کاغذ: کاغذ ترمه، ، جلد: میشن سیاه ضربی، ۱۴۶گ، ۱۵ سطر، اندازه: ۲۴/۶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۱۶/۸</w:t>
      </w:r>
    </w:p>
    <w:p>
      <w:pPr>
        <w:pStyle w:val="BookText"/>
      </w:pPr>
      <w:r>
        <w:rPr>
          <w:rFonts w:ascii="IRNazanin" w:hAnsi="IRNazanin" w:eastAsia="IRNazanin" w:cs="IRNazanin"/>
          <w:lang w:bidi="fa-IR"/>
          <w:color w:val="111111"/>
          <w:sz w:val="28"/>
          <w:szCs w:val="28"/>
          <w:rtl/>
        </w:rPr>
        <w:t xml:space="preserve">سم [ف: ۲-۶۰] ۲۹. تهران، دانشگاه؛ شماره نسخه: ۴۲۶۸</w:t>
      </w:r>
    </w:p>
    <w:p>
      <w:pPr>
        <w:pStyle w:val="BookText"/>
      </w:pPr>
      <w:r>
        <w:rPr>
          <w:rFonts w:ascii="IRNazanin" w:hAnsi="IRNazanin" w:eastAsia="IRNazanin" w:cs="IRNazanin"/>
          <w:lang w:bidi="fa-IR"/>
          <w:color w:val="111111"/>
          <w:sz w:val="28"/>
          <w:szCs w:val="28"/>
          <w:rtl/>
        </w:rPr>
        <w:t xml:space="preserve">خط: نستعلیق، کا: حاجی عزالدین، تا: ۹۱۷ق؛ با سرلوح زر و لاجورد و شنگرف، مجدول، کاغذ: سمرقندی، جلد: روغنی زرین ترنجی مقوایی درون قهوه ای، ۱۲۴گ، ۱۴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۱۳-۳۲۳۸]</w:t>
      </w:r>
    </w:p>
    <w:p>
      <w:pPr>
        <w:pStyle w:val="BookText"/>
      </w:pPr>
      <w:r>
        <w:rPr>
          <w:rFonts w:ascii="IRNazanin" w:hAnsi="IRNazanin" w:eastAsia="IRNazanin" w:cs="IRNazanin"/>
          <w:lang w:bidi="fa-IR"/>
          <w:color w:val="111111"/>
          <w:sz w:val="28"/>
          <w:szCs w:val="28"/>
          <w:rtl/>
        </w:rPr>
        <w:t xml:space="preserve">۳۰. تهران؛ مجلس؛ شماره نسخه: ۲۶۸</w:t>
      </w:r>
    </w:p>
    <w:p>
      <w:pPr>
        <w:pStyle w:val="BookText"/>
      </w:pPr>
      <w:r>
        <w:rPr>
          <w:rFonts w:ascii="IRNazanin" w:hAnsi="IRNazanin" w:eastAsia="IRNazanin" w:cs="IRNazanin"/>
          <w:lang w:bidi="fa-IR"/>
          <w:color w:val="111111"/>
          <w:sz w:val="28"/>
          <w:szCs w:val="28"/>
          <w:rtl/>
        </w:rPr>
        <w:t xml:space="preserve">خط: نستعلیق، كا: سلطان محمد خندان، تا: ۹۲۰ق؛ مجدول زر و لاجورد، با یک مجلس تصویر آبرنگ مینیاتور کار هرات، دو صفحه آغاز متن و حاشیه مذهب و مرصع بسیار زیبا کار هرات با گل و بوته و جدول زر و لاجورد و دو صفحه آخر آراسته؛ مهر: حبیب الله؛ نسخه مهدی بیانی؛ کاغذ: سفید، جلد: تیماج آلبالویی ضربی مقوایی نو، ۱۵۰گ، ۱۵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[سنا: ف: ۱-۱۳۰]</w:t>
      </w:r>
    </w:p>
    <w:p>
      <w:pPr>
        <w:pStyle w:val="BookText"/>
      </w:pPr>
      <w:r>
        <w:rPr>
          <w:rFonts w:ascii="IRNazanin" w:hAnsi="IRNazanin" w:eastAsia="IRNazanin" w:cs="IRNazanin"/>
          <w:lang w:bidi="fa-IR"/>
          <w:color w:val="111111"/>
          <w:sz w:val="28"/>
          <w:szCs w:val="28"/>
          <w:rtl/>
        </w:rPr>
        <w:t xml:space="preserve">تهران؛ بیانی، مهدی (دکتر)؛ شماره نسخه: ۲۱</w:t>
      </w:r>
    </w:p>
    <w:p>
      <w:pPr>
        <w:pStyle w:val="BookText"/>
      </w:pPr>
      <w:r>
        <w:rPr>
          <w:rFonts w:ascii="IRNazanin" w:hAnsi="IRNazanin" w:eastAsia="IRNazanin" w:cs="IRNazanin"/>
          <w:lang w:bidi="fa-IR"/>
          <w:color w:val="111111"/>
          <w:sz w:val="28"/>
          <w:szCs w:val="28"/>
          <w:rtl/>
        </w:rPr>
        <w:t xml:space="preserve">همان نسخه بالا [نشریه: ۱-۱۰]</w:t>
      </w:r>
    </w:p>
    <w:p>
      <w:pPr>
        <w:pStyle w:val="BookText"/>
      </w:pPr>
      <w:r>
        <w:rPr>
          <w:rFonts w:ascii="IRNazanin" w:hAnsi="IRNazanin" w:eastAsia="IRNazanin" w:cs="IRNazanin"/>
          <w:lang w:bidi="fa-IR"/>
          <w:color w:val="111111"/>
          <w:sz w:val="28"/>
          <w:szCs w:val="28"/>
          <w:rtl/>
        </w:rPr>
        <w:t xml:space="preserve">۳۱. مشهد؛ رضوی؛ شماره نسخه: ۱۵۹۵۳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خوش، كا: عبدالرشید دیلمی، تا: ربيع الثانی ۹۲۰ق؛ مجدول، دارای سرلوح مزدوج شرفه دار پر کار، دو صفحه اول تشعیر سازی با گل و برگ طلائی، محشی به حواشی و تفسیر و معانی اشعار؛ واگذاری بنیاد مستضعفان در شهریور ۱۳۶۷؛ کاغذ نباتی، جلد: تیماج زرشکی ضربی، ۱۴۳ گ، ۱۵ سطر، اندازه: ۲۳/۸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۱۴/۳ سم [ف: ۱۷-۳۲]</w:t>
      </w:r>
    </w:p>
    <w:p>
      <w:pPr>
        <w:pStyle w:val="BookText"/>
      </w:pPr>
      <w:r>
        <w:rPr>
          <w:rFonts w:ascii="IRNazanin" w:hAnsi="IRNazanin" w:eastAsia="IRNazanin" w:cs="IRNazanin"/>
          <w:lang w:bidi="fa-IR"/>
          <w:color w:val="111111"/>
          <w:sz w:val="28"/>
          <w:szCs w:val="28"/>
          <w:rtl/>
        </w:rPr>
        <w:t xml:space="preserve">۳۲. مشهد؛ رضوی؛ شماره نسخه: ۱۶۰۸۰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خوش، بی کا، تا: ۹۲۰ق؛ مجدول به زر تحریردار و سیاهی، دارای سرلوح منقش و مذهب؛ واگذاری بنیاد مستضعفان در شهریور ۱۳۶۷؛ کاغذ: حنایی، جلد: میشن دار چینی، ۱۸۰ گ، ۱۲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۱۷-۳۴]</w:t>
      </w:r>
    </w:p>
    <w:p>
      <w:pPr>
        <w:pStyle w:val="BookText"/>
      </w:pPr>
      <w:r>
        <w:rPr>
          <w:rFonts w:ascii="IRNazanin" w:hAnsi="IRNazanin" w:eastAsia="IRNazanin" w:cs="IRNazanin"/>
          <w:lang w:bidi="fa-IR"/>
          <w:color w:val="111111"/>
          <w:sz w:val="28"/>
          <w:szCs w:val="28"/>
          <w:rtl/>
        </w:rPr>
        <w:t xml:space="preserve">۳۳. تهران؛ مجلس؛ شماره نسخه: ۴۱۰۹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زیبا، كان محمد القوام کاتب، تا: ۹۲۱ق؛ با یک سرلوح زرین، محشی به زبان ترکی که برخی لغات را ترجمه کرده؛ مهر: «الراجی علی اصغر»، «محمد قاسم»؛ کاغذ: فرنگی، جلد: تیماج مشکی، ۱۳۱گ،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سم [ف: ۱۱-۱۰۴]</w:t>
      </w:r>
    </w:p>
    <w:p>
      <w:pPr>
        <w:pStyle w:val="BookText"/>
      </w:pPr>
      <w:r>
        <w:rPr>
          <w:rFonts w:ascii="IRNazanin" w:hAnsi="IRNazanin" w:eastAsia="IRNazanin" w:cs="IRNazanin"/>
          <w:lang w:bidi="fa-IR"/>
          <w:color w:val="111111"/>
          <w:sz w:val="28"/>
          <w:szCs w:val="28"/>
          <w:rtl/>
        </w:rPr>
        <w:t xml:space="preserve">۳۴. تهران؛ مجلس؛ شماره نسخه: ۱۹۰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خوش، كا: شاه محمود نیشابوری (زنده در ۹۷۲ تا ۹۸۹)، تا: ۹۲۳ق (نزدیک به بیست سالگی)؛ مجدول زر و لاجورد، دارای حاشیه سازی و بوته اندازی زرین و آراسته و مرصع کاغذ: سفید، متن سمرقندی و حاشیه دولت آبادی، جلد: میشن عنابی با ترنج و سرترنج، گوشه و کناره سوخت، زمینه فیروزه ای، ۴۶گ، ۱۴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[سنا: ف: ۹۲-۱ ]</w:t>
      </w:r>
    </w:p>
    <w:p>
      <w:pPr>
        <w:pStyle w:val="BookText"/>
      </w:pPr>
      <w:r>
        <w:rPr>
          <w:rFonts w:ascii="IRNazanin" w:hAnsi="IRNazanin" w:eastAsia="IRNazanin" w:cs="IRNazanin"/>
          <w:lang w:bidi="fa-IR"/>
          <w:color w:val="111111"/>
          <w:sz w:val="28"/>
          <w:szCs w:val="28"/>
          <w:rtl/>
        </w:rPr>
        <w:t xml:space="preserve">تهران؛ بیانی، مهدی (دکتر)، شماره نسخه: ۲۲</w:t>
      </w:r>
    </w:p>
    <w:p>
      <w:pPr>
        <w:pStyle w:val="BookText"/>
      </w:pPr>
      <w:r>
        <w:rPr>
          <w:rFonts w:ascii="IRNazanin" w:hAnsi="IRNazanin" w:eastAsia="IRNazanin" w:cs="IRNazanin"/>
          <w:lang w:bidi="fa-IR"/>
          <w:color w:val="111111"/>
          <w:sz w:val="28"/>
          <w:szCs w:val="28"/>
          <w:rtl/>
        </w:rPr>
        <w:t xml:space="preserve">همان نسخه بالا [نشریه: ۱-۱۰]</w:t>
      </w:r>
    </w:p>
    <w:p>
      <w:pPr>
        <w:pStyle w:val="BookText"/>
      </w:pPr>
      <w:r>
        <w:rPr>
          <w:rFonts w:ascii="IRNazanin" w:hAnsi="IRNazanin" w:eastAsia="IRNazanin" w:cs="IRNazanin"/>
          <w:lang w:bidi="fa-IR"/>
          <w:color w:val="111111"/>
          <w:sz w:val="28"/>
          <w:szCs w:val="28"/>
          <w:rtl/>
        </w:rPr>
        <w:t xml:space="preserve">۳۵. تهران؛ دانشگاه؛ شماره نسخه: ۱۰۶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زیبا، كا: عطار شیرازی، که گویا به مرشد عطار شیرازی نامبردار بوده و از صوفیان بنام سده دهم است، تا: ۹۳۰ق؛ با سرلوح بسیار خوب، مجدول، مذهب؛ کاغذ: ترمه، جلد: سوخته سیاه طلاکوب، ۱۸۰ گ، ۱۲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سم [ف: ۲-۱۰]</w:t>
      </w:r>
    </w:p>
    <w:p>
      <w:pPr>
        <w:pStyle w:val="BookText"/>
      </w:pPr>
      <w:r>
        <w:rPr>
          <w:rFonts w:ascii="IRNazanin" w:hAnsi="IRNazanin" w:eastAsia="IRNazanin" w:cs="IRNazanin"/>
          <w:lang w:bidi="fa-IR"/>
          <w:color w:val="111111"/>
          <w:sz w:val="28"/>
          <w:szCs w:val="28"/>
          <w:rtl/>
        </w:rPr>
        <w:t xml:space="preserve">۳۶. تهران؛ دانشگاه؛ شماره نسخه: ۱۰۳۲/۴ -ف</w:t>
      </w:r>
    </w:p>
    <w:p>
      <w:pPr>
        <w:pStyle w:val="BookText"/>
      </w:pPr>
      <w:r>
        <w:rPr>
          <w:rFonts w:ascii="IRNazanin" w:hAnsi="IRNazanin" w:eastAsia="IRNazanin" w:cs="IRNazanin"/>
          <w:lang w:bidi="fa-IR"/>
          <w:color w:val="111111"/>
          <w:sz w:val="28"/>
          <w:szCs w:val="28"/>
          <w:rtl/>
        </w:rPr>
        <w:t xml:space="preserve">نسخه اصل: بادلیان اوزلی ۱۲۵ (۱۶۱۹ و ۲۲۴۹ و ۱۹۶۰ و ۷۲۸ و ۱۶۰۹ و ۹۸۶)؛ خط: نستعلیق، بی کا، تا: شوال ۹۳۶ق، جان سبزوار؛ [فیلمها ف: ۱-۵۵۹]</w:t>
      </w:r>
    </w:p>
    <w:p>
      <w:pPr>
        <w:pStyle w:val="BookText"/>
      </w:pPr>
      <w:r>
        <w:rPr>
          <w:rFonts w:ascii="IRNazanin" w:hAnsi="IRNazanin" w:eastAsia="IRNazanin" w:cs="IRNazanin"/>
          <w:lang w:bidi="fa-IR"/>
          <w:color w:val="111111"/>
          <w:sz w:val="28"/>
          <w:szCs w:val="28"/>
          <w:rtl/>
        </w:rPr>
        <w:t xml:space="preserve">۳۷. تهران، دانشگاه؛ شماره نسخه: ۲۲۱۱/۱</w:t>
      </w:r>
    </w:p>
    <w:p>
      <w:pPr>
        <w:pStyle w:val="BookText"/>
      </w:pPr>
      <w:r>
        <w:rPr>
          <w:rFonts w:ascii="IRNazanin" w:hAnsi="IRNazanin" w:eastAsia="IRNazanin" w:cs="IRNazanin"/>
          <w:lang w:bidi="fa-IR"/>
          <w:color w:val="111111"/>
          <w:sz w:val="28"/>
          <w:szCs w:val="28"/>
          <w:rtl/>
        </w:rPr>
        <w:t xml:space="preserve">خط: نستعلیق، بی کا، تا: رمضان ۱۴۳ق، کاغذ: سپاهانی، جلد: مخمل بنفش، ۱۵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۹-۸۸۹]</w:t>
      </w:r>
    </w:p>
    <w:p>
      <w:pPr>
        <w:pStyle w:val="BookText"/>
      </w:pPr>
      <w:r>
        <w:rPr>
          <w:rFonts w:ascii="IRNazanin" w:hAnsi="IRNazanin" w:eastAsia="IRNazanin" w:cs="IRNazanin"/>
          <w:lang w:bidi="fa-IR"/>
          <w:color w:val="111111"/>
          <w:sz w:val="28"/>
          <w:szCs w:val="28"/>
          <w:rtl/>
        </w:rPr>
        <w:t xml:space="preserve">۳۸. تهران؛ ملی؛ شماره نسخه: ۲۲۸۱</w:t>
      </w:r>
    </w:p>
    <w:p>
      <w:pPr>
        <w:pStyle w:val="BookText"/>
      </w:pPr>
      <w:r>
        <w:rPr>
          <w:rFonts w:ascii="IRNazanin" w:hAnsi="IRNazanin" w:eastAsia="IRNazanin" w:cs="IRNazanin"/>
          <w:lang w:bidi="fa-IR"/>
          <w:color w:val="111111"/>
          <w:sz w:val="28"/>
          <w:szCs w:val="28"/>
          <w:rtl/>
        </w:rPr>
        <w:t xml:space="preserve">آغاز: برابر؛ انجام: جزين كاعتمادم بیاری تست*** امیدم بامرز گاری تست</w:t>
      </w:r>
    </w:p>
    <w:p>
      <w:pPr>
        <w:pStyle w:val="BookText"/>
      </w:pPr>
      <w:r>
        <w:rPr>
          <w:rFonts w:ascii="IRNazanin" w:hAnsi="IRNazanin" w:eastAsia="IRNazanin" w:cs="IRNazanin"/>
          <w:lang w:bidi="fa-IR"/>
          <w:color w:val="111111"/>
          <w:sz w:val="28"/>
          <w:szCs w:val="28"/>
          <w:rtl/>
        </w:rPr>
        <w:t xml:space="preserve">خط: نستعلیق، كا: عبدالله، تا: ۹۵۱ق؛ با سرلوح مذهب، مجدول؛ کاغذ: دولت آبادی، جلد: تیماج، تریاکی، ترنج و نیم ترنج، کوبیده، مقوایی، ۱۵۱گ، ۱۴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۵-۴۰۰]</w:t>
      </w:r>
    </w:p>
    <w:p>
      <w:pPr>
        <w:pStyle w:val="BookText"/>
      </w:pPr>
      <w:r>
        <w:rPr>
          <w:rFonts w:ascii="IRNazanin" w:hAnsi="IRNazanin" w:eastAsia="IRNazanin" w:cs="IRNazanin"/>
          <w:lang w:bidi="fa-IR"/>
          <w:color w:val="111111"/>
          <w:sz w:val="28"/>
          <w:szCs w:val="28"/>
          <w:rtl/>
        </w:rPr>
        <w:t xml:space="preserve">۳۹. تهران؛ مجلس؛ شماره نسخه: ۱۰۶۷</w:t>
      </w:r>
    </w:p>
    <w:p>
      <w:pPr>
        <w:pStyle w:val="BookText"/>
      </w:pPr>
      <w:r>
        <w:rPr>
          <w:rFonts w:ascii="IRNazanin" w:hAnsi="IRNazanin" w:eastAsia="IRNazanin" w:cs="IRNazanin"/>
          <w:lang w:bidi="fa-IR"/>
          <w:color w:val="111111"/>
          <w:sz w:val="28"/>
          <w:szCs w:val="28"/>
          <w:rtl/>
        </w:rPr>
        <w:t xml:space="preserve">خط: نستعلیق، بی کا، تا: ۹۵۱ق؛ افتادگی: آغاز؛ در زیر بعضی از اشعار ترجمه لغات به ترکی شده؛ مجدول؛ کاغذ: سفید، جلد: تیماج مشکی سوخت ضربی و مقوایی زرکوب با لولا، ۱۰۰گ، ۱۷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[سنا: ف: ۲-۱۱۲]</w:t>
      </w:r>
    </w:p>
    <w:p>
      <w:pPr>
        <w:pStyle w:val="BookText"/>
      </w:pPr>
      <w:r>
        <w:rPr>
          <w:rFonts w:ascii="IRNazanin" w:hAnsi="IRNazanin" w:eastAsia="IRNazanin" w:cs="IRNazanin"/>
          <w:lang w:bidi="fa-IR"/>
          <w:color w:val="111111"/>
          <w:sz w:val="28"/>
          <w:szCs w:val="28"/>
          <w:rtl/>
        </w:rPr>
        <w:t xml:space="preserve">۴۰. تهران، دانشگاه؛ شماره نسخه: ۸۱۰۷</w:t>
      </w:r>
    </w:p>
    <w:p>
      <w:pPr>
        <w:pStyle w:val="BookText"/>
      </w:pPr>
      <w:r>
        <w:rPr>
          <w:rFonts w:ascii="IRNazanin" w:hAnsi="IRNazanin" w:eastAsia="IRNazanin" w:cs="IRNazanin"/>
          <w:lang w:bidi="fa-IR"/>
          <w:color w:val="111111"/>
          <w:sz w:val="28"/>
          <w:szCs w:val="28"/>
          <w:rtl/>
        </w:rPr>
        <w:t xml:space="preserve">خط: نستعلیق، کا: حيدر حسینی سبزواری، تا: ۹۵۱ق؛ مجدول مذهب، حاشیه سازی شده به زر؛ تملك: احمد بن میر محمد على در ذیحجه ۱۲۵۲؛ مهر: علی خان بهادر در ۱۲۱۶؛ کاغذ: سمرقندی، جلد: مخمل به زر آراسته گرداگرد و عطف تيماج قهوه ای زرکوب مقوایی، ۱۷۵ گ، ۱۲ سطر (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 قطع: ربعی،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۱۷-۳۲]</w:t>
      </w:r>
    </w:p>
    <w:p>
      <w:pPr>
        <w:pStyle w:val="BookText"/>
      </w:pPr>
      <w:r>
        <w:rPr>
          <w:rFonts w:ascii="IRNazanin" w:hAnsi="IRNazanin" w:eastAsia="IRNazanin" w:cs="IRNazanin"/>
          <w:lang w:bidi="fa-IR"/>
          <w:color w:val="111111"/>
          <w:sz w:val="28"/>
          <w:szCs w:val="28"/>
          <w:rtl/>
        </w:rPr>
        <w:t xml:space="preserve">۴۱. تهران؛ مجلس؛ شماره نسخه: ۵۰۷۲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گویا گزیده ای است از آن؛ خط: نستعلیق زیبا، كا: شاه محمود خوشنویس، تا: ۹۵۲ق؛ با یک سرلوح زیبا، مجدول؛ کاغذ: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سپاهانی، جلد: ترمه و مغزی تیماج قهوه ای، ۲۰ گ، ۱۲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۱۱/۵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۱۸/۵ سم [ف: ۱۵-۳۲]</w:t>
      </w:r>
    </w:p>
    <w:p>
      <w:pPr>
        <w:pStyle w:val="BookText"/>
      </w:pPr>
      <w:r>
        <w:rPr>
          <w:rFonts w:ascii="IRNazanin" w:hAnsi="IRNazanin" w:eastAsia="IRNazanin" w:cs="IRNazanin"/>
          <w:lang w:bidi="fa-IR"/>
          <w:color w:val="111111"/>
          <w:sz w:val="28"/>
          <w:szCs w:val="28"/>
          <w:rtl/>
        </w:rPr>
        <w:t xml:space="preserve">۴۲. مشهد؛ رضوی؛ شماره نسخه: ۱۰۲۸۲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دویست و پنجاه بيت است از بوستان؛ خط: نستعلیق خوش، کا: محمود بن سلطانعلی، تا: ۹۵۴ق؛ دارای سرلوح مذهب مرصع کتیبه دار، مجدول به زر و لاجورد، دارای کتیبه بازوبندی، سه صفحه آخر دارای لچکی های متناظر و مختلف النقش؛ کاغذ: متن خانبالغ نخودی و الوان آهار مهره، حاشيه الوان، جلد: تیماج عنابی با ترنج زری، ۲۵گ،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۹-۸۷]</w:t>
      </w:r>
    </w:p>
    <w:p>
      <w:pPr>
        <w:pStyle w:val="BookText"/>
      </w:pPr>
      <w:r>
        <w:rPr>
          <w:rFonts w:ascii="IRNazanin" w:hAnsi="IRNazanin" w:eastAsia="IRNazanin" w:cs="IRNazanin"/>
          <w:lang w:bidi="fa-IR"/>
          <w:color w:val="111111"/>
          <w:sz w:val="28"/>
          <w:szCs w:val="28"/>
          <w:rtl/>
        </w:rPr>
        <w:t xml:space="preserve">۴۳. تهران؛ ملی؛ شماره نسخه: ۲۳۶۲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احمد بن اسحق، تا: ۱۵۶ق، جا: قسطنطنیه؛ سرلوحه مذهب، مجدول؛ کاغذ: دولت آبادی، جلد: تیماج مشکی با ترنج و نیم ترنج مقوایی، ۱۴۱گ، ۱۵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سم [ف: ۵-۴۸۴]</w:t>
      </w:r>
    </w:p>
    <w:p>
      <w:pPr>
        <w:pStyle w:val="BookText"/>
      </w:pPr>
      <w:r>
        <w:rPr>
          <w:rFonts w:ascii="IRNazanin" w:hAnsi="IRNazanin" w:eastAsia="IRNazanin" w:cs="IRNazanin"/>
          <w:lang w:bidi="fa-IR"/>
          <w:color w:val="111111"/>
          <w:sz w:val="28"/>
          <w:szCs w:val="28"/>
          <w:rtl/>
        </w:rPr>
        <w:t xml:space="preserve">۴۴. تهران: مجلس؛ شماره نسخه: ۱۳۸۱</w:t>
      </w:r>
    </w:p>
    <w:p>
      <w:pPr>
        <w:pStyle w:val="BookText"/>
      </w:pPr>
      <w:r>
        <w:rPr>
          <w:rFonts w:ascii="IRNazanin" w:hAnsi="IRNazanin" w:eastAsia="IRNazanin" w:cs="IRNazanin"/>
          <w:lang w:bidi="fa-IR"/>
          <w:color w:val="111111"/>
          <w:sz w:val="28"/>
          <w:szCs w:val="28"/>
          <w:rtl/>
        </w:rPr>
        <w:t xml:space="preserve">خط: نستعلیق، بی کا، تا: با تاریخ ۹۵۷ق، تذهیب محمود مذهب هروی در ۹۵۷ در مکه، مجدول زر و لاجورد و شنگرف؛ مهر: منصور السلطنه؛ کاغذ: سفید، جلد: روغنی بوته قلمکار، عطف و دور تیماج، ۱۴۷گ، ۱۳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[سنا: ف: ۲۴۰-۲ ]</w:t>
      </w:r>
    </w:p>
    <w:p>
      <w:pPr>
        <w:pStyle w:val="BookText"/>
      </w:pPr>
      <w:r>
        <w:rPr>
          <w:rFonts w:ascii="IRNazanin" w:hAnsi="IRNazanin" w:eastAsia="IRNazanin" w:cs="IRNazanin"/>
          <w:lang w:bidi="fa-IR"/>
          <w:color w:val="111111"/>
          <w:sz w:val="28"/>
          <w:szCs w:val="28"/>
          <w:rtl/>
        </w:rPr>
        <w:t xml:space="preserve">۴۵. مشهد؛ رضوی؛ شماره نسخه: ۱۰۲۹۴/۲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چهارصد و هشتاد و نه بیت است از بوستان سعدی؛ خط: نستعلیق، كا: محمد بهرام، تا: ۹۵۸ق؛ کاغذ: نخودی رنگ ضخیم، جلد: ضربی زری، ۱۱ سطر، اندازه: ۱۳/۵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۲۰/۵سم [ف: ۹-۳۲۶]</w:t>
      </w:r>
    </w:p>
    <w:p>
      <w:pPr>
        <w:pStyle w:val="BookText"/>
      </w:pPr>
      <w:r>
        <w:rPr>
          <w:rFonts w:ascii="IRNazanin" w:hAnsi="IRNazanin" w:eastAsia="IRNazanin" w:cs="IRNazanin"/>
          <w:lang w:bidi="fa-IR"/>
          <w:color w:val="111111"/>
          <w:sz w:val="28"/>
          <w:szCs w:val="28"/>
          <w:rtl/>
        </w:rPr>
        <w:t xml:space="preserve">مشهد، صحت، رضا (دکتر)؛ شماره نسخه: بدون شماره/۲</w:t>
      </w:r>
    </w:p>
    <w:p>
      <w:pPr>
        <w:pStyle w:val="BookText"/>
      </w:pPr>
      <w:r>
        <w:rPr>
          <w:rFonts w:ascii="IRNazanin" w:hAnsi="IRNazanin" w:eastAsia="IRNazanin" w:cs="IRNazanin"/>
          <w:lang w:bidi="fa-IR"/>
          <w:color w:val="111111"/>
          <w:sz w:val="28"/>
          <w:szCs w:val="28"/>
          <w:rtl/>
        </w:rPr>
        <w:t xml:space="preserve">همان نسخه بالا [نشریه: ۷-۵۶۰]</w:t>
      </w:r>
    </w:p>
    <w:p>
      <w:pPr>
        <w:pStyle w:val="BookText"/>
      </w:pPr>
      <w:r>
        <w:rPr>
          <w:rFonts w:ascii="IRNazanin" w:hAnsi="IRNazanin" w:eastAsia="IRNazanin" w:cs="IRNazanin"/>
          <w:lang w:bidi="fa-IR"/>
          <w:color w:val="111111"/>
          <w:sz w:val="28"/>
          <w:szCs w:val="28"/>
          <w:rtl/>
        </w:rPr>
        <w:t xml:space="preserve">۴۶. مشهد؛ رضوی؛ شماره نسخه: ۱۰۴۶۹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خوش، بی کا، تا: صفر ۹۵۹ق؛ با سرلوح زرین مرصع، مجدول مذهب؛ کاغذ: حنایی آهار مهره، جلد: میشن ضربی برجسته زرکوب مزین به ترنج و گل و برگ های اسلیمی دارای بالک (پاکتی)، ۱۵۳گ، ۱۴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۸۸-۹ ]</w:t>
      </w:r>
    </w:p>
    <w:p>
      <w:pPr>
        <w:pStyle w:val="BookText"/>
      </w:pPr>
      <w:r>
        <w:rPr>
          <w:rFonts w:ascii="IRNazanin" w:hAnsi="IRNazanin" w:eastAsia="IRNazanin" w:cs="IRNazanin"/>
          <w:lang w:bidi="fa-IR"/>
          <w:color w:val="111111"/>
          <w:sz w:val="28"/>
          <w:szCs w:val="28"/>
          <w:rtl/>
        </w:rPr>
        <w:t xml:space="preserve">۴۷. قم، گلپایگانی، شماره نسخه: ۶۷۶- ۴/۱۴۶</w:t>
      </w:r>
    </w:p>
    <w:p>
      <w:pPr>
        <w:pStyle w:val="BookText"/>
      </w:pPr>
      <w:r>
        <w:rPr>
          <w:rFonts w:ascii="IRNazanin" w:hAnsi="IRNazanin" w:eastAsia="IRNazanin" w:cs="IRNazanin"/>
          <w:lang w:bidi="fa-IR"/>
          <w:color w:val="111111"/>
          <w:sz w:val="28"/>
          <w:szCs w:val="28"/>
          <w:rtl/>
        </w:rPr>
        <w:t xml:space="preserve">آغاز: برابر، انجام: بضاعت نیاوردم الا امید</w:t>
      </w:r>
      <w:r>
        <w:rPr>
          <w:rFonts w:ascii="IRNazanin" w:hAnsi="IRNazanin" w:eastAsia="IRNazanin" w:cs="IRNazanin"/>
          <w:lang w:bidi="fa-IR"/>
          <w:color w:val="111111"/>
          <w:sz w:val="28"/>
          <w:szCs w:val="28"/>
          <w:b w:val="1"/>
          <w:bCs w:val="1"/>
          <w:i w:val="1"/>
          <w:iCs w:val="1"/>
          <w:rtl/>
        </w:rPr>
        <w:t xml:space="preserve">خدایا ز عفوم مکن نا امید / الهی گناه مرا از کرم</w:t>
      </w:r>
      <w:r>
        <w:rPr>
          <w:rFonts w:ascii="IRNazanin" w:hAnsi="IRNazanin" w:eastAsia="IRNazanin" w:cs="IRNazanin"/>
          <w:lang w:bidi="fa-IR"/>
          <w:color w:val="111111"/>
          <w:sz w:val="28"/>
          <w:szCs w:val="28"/>
          <w:rtl/>
        </w:rPr>
        <w:t xml:space="preserve">ببخشی به الطاف از بیش و کم</w:t>
      </w:r>
    </w:p>
    <w:p>
      <w:pPr>
        <w:pStyle w:val="BookText"/>
      </w:pPr>
      <w:r>
        <w:rPr>
          <w:rFonts w:ascii="IRNazanin" w:hAnsi="IRNazanin" w:eastAsia="IRNazanin" w:cs="IRNazanin"/>
          <w:lang w:bidi="fa-IR"/>
          <w:color w:val="111111"/>
          <w:sz w:val="28"/>
          <w:szCs w:val="28"/>
          <w:rtl/>
        </w:rPr>
        <w:t xml:space="preserve">خط: تعليق، كا: ولی بن فرهاد، تا: ۹۵۹ق؛ مجدول مذهب، با سرلوح مرصع، مصحح، محشی؛ جلد: تیماج قهوه ای با ترنج وسرترنج، ۱۳۵ گ، ۱۵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۲-۶۳۰]</w:t>
      </w:r>
    </w:p>
    <w:p>
      <w:pPr>
        <w:pStyle w:val="BookText"/>
      </w:pPr>
      <w:r>
        <w:rPr>
          <w:rFonts w:ascii="IRNazanin" w:hAnsi="IRNazanin" w:eastAsia="IRNazanin" w:cs="IRNazanin"/>
          <w:lang w:bidi="fa-IR"/>
          <w:color w:val="111111"/>
          <w:sz w:val="28"/>
          <w:szCs w:val="28"/>
          <w:rtl/>
        </w:rPr>
        <w:t xml:space="preserve">۴۸. تهران؛ سلطنتی؛ شماره نسخه: ۲۱۹۷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میر حسین حسینی کاتب سلطانی، تا: ۹۶۱ق؛ چهار مجلس مینیاتور آب و رنگ بسیار عالی، مجدول زرین، دو صفحه اول متن و حاشیه مذهب مرصع ممتاز سبک کار هرات، این نسخه در ضبط کتابخانه سلاطین تیموری هندوستان بوده و نشان امهار چند کتابدار ذکر با سنوات مختلف نمایان است، دارای یادداشتی از جهانگیر شاه به خط خود او «الله اکبر صبح پانزدهم بهمن ماه سنه ۱ موافق بیست و هفتم رمضان سنه ۱۰۱۴ داخل کتابخانه این نیازمند درگاه الهی شد. محرره نور الدين جهانگیر بن اکبر پادشاه غازی». (حرره صاحب قران ثانی)، در سنوات ۱۲۸۲ و ۱۳۲۲ داخل کتابخانه مبار که و از عرض گذشته است؛ کاغذ: سمرقندی نخودی رنگ، جلد: مقوای روکش چرم ساغری مشکی وسط ترنج و دو سرترنج و چهار گوشه زمینه چهره ای رنگ ضربی گل واسلیمی برجسته طلایی، ۳۱۴ص، ۱۴ سطر، قطع: وزیری متوسط، اندازه: ۲۳/۴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۳-۵۰۸]</w:t>
      </w:r>
    </w:p>
    <w:p>
      <w:pPr>
        <w:pStyle w:val="BookText"/>
      </w:pPr>
      <w:r>
        <w:rPr>
          <w:rFonts w:ascii="IRNazanin" w:hAnsi="IRNazanin" w:eastAsia="IRNazanin" w:cs="IRNazanin"/>
          <w:lang w:bidi="fa-IR"/>
          <w:color w:val="111111"/>
          <w:sz w:val="28"/>
          <w:szCs w:val="28"/>
          <w:rtl/>
        </w:rPr>
        <w:t xml:space="preserve">۴۹. تهران؛ مجلس؛ شماره نسخه: ۲۶۱</w:t>
      </w:r>
    </w:p>
    <w:p>
      <w:pPr>
        <w:pStyle w:val="BookText"/>
      </w:pPr>
      <w:r>
        <w:rPr>
          <w:rFonts w:ascii="IRNazanin" w:hAnsi="IRNazanin" w:eastAsia="IRNazanin" w:cs="IRNazanin"/>
          <w:lang w:bidi="fa-IR"/>
          <w:color w:val="111111"/>
          <w:sz w:val="28"/>
          <w:szCs w:val="28"/>
          <w:rtl/>
        </w:rPr>
        <w:t xml:space="preserve">این نسخه در فهرست با عنوان کلیات سعدی معرفی شده است؛ خط: نستعلیق، كان شاه محمود کاتب، تا: 1 ذیقعده ۹۶۳ق؛ مجدول، با طلااندازی و مرصع؛ با یادداشت خریداری ۱۳۴۹ و یادداشت شادروان بیانی در وصف نسخه است، با مهر مهدی، «۱۳۶۶»؛ کاغذ: سفید بخارایی، جلد: تیماج مشکی، عطف و گوشه و درون تیماج تریاکی یک لایی، ۱۶۲، ۱۷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[سنا: ف: ۱-۱۲۸]</w:t>
      </w:r>
    </w:p>
    <w:p>
      <w:pPr>
        <w:pStyle w:val="BookText"/>
      </w:pPr>
      <w:r>
        <w:rPr>
          <w:rFonts w:ascii="IRNazanin" w:hAnsi="IRNazanin" w:eastAsia="IRNazanin" w:cs="IRNazanin"/>
          <w:lang w:bidi="fa-IR"/>
          <w:color w:val="111111"/>
          <w:sz w:val="28"/>
          <w:szCs w:val="28"/>
          <w:rtl/>
        </w:rPr>
        <w:t xml:space="preserve">تهران؛ بیانی، مهدی (دکتر)، شماره نسخه: ۲۳</w:t>
      </w:r>
    </w:p>
    <w:p>
      <w:pPr>
        <w:pStyle w:val="BookText"/>
      </w:pPr>
      <w:r>
        <w:rPr>
          <w:rFonts w:ascii="IRNazanin" w:hAnsi="IRNazanin" w:eastAsia="IRNazanin" w:cs="IRNazanin"/>
          <w:lang w:bidi="fa-IR"/>
          <w:color w:val="111111"/>
          <w:sz w:val="28"/>
          <w:szCs w:val="28"/>
          <w:rtl/>
        </w:rPr>
        <w:t xml:space="preserve">همان نسخه بالا [نشریه: ۱-۱۰]</w:t>
      </w:r>
    </w:p>
    <w:p>
      <w:pPr>
        <w:pStyle w:val="BookText"/>
      </w:pPr>
      <w:r>
        <w:rPr>
          <w:rFonts w:ascii="IRNazanin" w:hAnsi="IRNazanin" w:eastAsia="IRNazanin" w:cs="IRNazanin"/>
          <w:lang w:bidi="fa-IR"/>
          <w:color w:val="111111"/>
          <w:sz w:val="28"/>
          <w:szCs w:val="28"/>
          <w:rtl/>
        </w:rPr>
        <w:t xml:space="preserve">۵۰. مشهد؛ رضوی؛ شماره نسخه: ۱۰۲۹۷/۱</w:t>
      </w:r>
    </w:p>
    <w:p>
      <w:pPr>
        <w:pStyle w:val="BookText"/>
      </w:pPr>
      <w:r>
        <w:rPr>
          <w:rFonts w:ascii="IRNazanin" w:hAnsi="IRNazanin" w:eastAsia="IRNazanin" w:cs="IRNazanin"/>
          <w:lang w:bidi="fa-IR"/>
          <w:color w:val="111111"/>
          <w:sz w:val="28"/>
          <w:szCs w:val="28"/>
          <w:rtl/>
        </w:rPr>
        <w:t xml:space="preserve">آغاز: یکی غله مرداد مه توده کرد</w:t>
      </w:r>
      <w:r>
        <w:rPr>
          <w:rFonts w:ascii="IRNazanin" w:hAnsi="IRNazanin" w:eastAsia="IRNazanin" w:cs="IRNazanin"/>
          <w:lang w:bidi="fa-IR"/>
          <w:color w:val="111111"/>
          <w:sz w:val="28"/>
          <w:szCs w:val="28"/>
          <w:b w:val="1"/>
          <w:bCs w:val="1"/>
          <w:i w:val="1"/>
          <w:iCs w:val="1"/>
          <w:rtl/>
        </w:rPr>
        <w:t xml:space="preserve">زتیمار دی خاطر آسوده کرد؛ انجام: کمال همنشین در من اثر کرد</w:t>
      </w:r>
      <w:r>
        <w:rPr>
          <w:rFonts w:ascii="IRNazanin" w:hAnsi="IRNazanin" w:eastAsia="IRNazanin" w:cs="IRNazanin"/>
          <w:lang w:bidi="fa-IR"/>
          <w:color w:val="111111"/>
          <w:sz w:val="28"/>
          <w:szCs w:val="28"/>
          <w:rtl/>
        </w:rPr>
        <w:t xml:space="preserve">و گرنه من همان خاکم که هستم</w:t>
      </w:r>
    </w:p>
    <w:p>
      <w:pPr>
        <w:pStyle w:val="BookText"/>
      </w:pPr>
      <w:r>
        <w:rPr>
          <w:rFonts w:ascii="IRNazanin" w:hAnsi="IRNazanin" w:eastAsia="IRNazanin" w:cs="IRNazanin"/>
          <w:lang w:bidi="fa-IR"/>
          <w:color w:val="111111"/>
          <w:sz w:val="28"/>
          <w:szCs w:val="28"/>
          <w:rtl/>
        </w:rPr>
        <w:t xml:space="preserve">منتخب؛ خط: نستعلیق ممتاز، كا: كمال الدین حسین حسینی هروی، تا: رجب ۹۶۶ق؛ مجدول بزر و لاجورد و تحریر؛ کاغذ: نخودی آهار مهره، جلد: تیماج،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۲۶/۵ سم [ف: ۹-۳۲۴]</w:t>
      </w:r>
    </w:p>
    <w:p>
      <w:pPr>
        <w:pStyle w:val="BookText"/>
      </w:pPr>
      <w:r>
        <w:rPr>
          <w:rFonts w:ascii="IRNazanin" w:hAnsi="IRNazanin" w:eastAsia="IRNazanin" w:cs="IRNazanin"/>
          <w:lang w:bidi="fa-IR"/>
          <w:color w:val="111111"/>
          <w:sz w:val="28"/>
          <w:szCs w:val="28"/>
          <w:rtl/>
        </w:rPr>
        <w:t xml:space="preserve">۵۱. تهران؛ سلطنتی؛ شماره نسخه: ۶۷۴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منتخبی است از بوستان ؛ خط: نستعلیق، كا: علی، تا: شعبان ۹۶۸ق؛ مجدول زرین، دارای ۲۳ سرفصل مذهب مرصع ممتاز، ۲۰ لچکی مذهب مرصع ممتاز، یک سرلوح مذهب مرصع مزدوج ممتاز،؛ تملک: محمد ولی میرزا ابن فتحعلیشاه قاجار در سال ۱۲۳۵ق و مهر وی به نام «محمد ولی»؛ مهر: کتابخانه دولت عليه ایران ۱۳۲۹؛ کاغذ: متن نخودی رنگ زرافشان حواشی الوان افشان، جلد: مقوای روکش میشن مشکی ترنج سازی و حاشیه کتیبه سازی ضربی طلاپوش بند رومی، ۴۶ص، ۱۱ سطر، قطع: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وزیری متوسط،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۱۵/۹ سم [ف: ۳-۵۲۴]</w:t>
      </w:r>
    </w:p>
    <w:p>
      <w:pPr>
        <w:pStyle w:val="BookText"/>
      </w:pPr>
      <w:r>
        <w:rPr>
          <w:rFonts w:ascii="IRNazanin" w:hAnsi="IRNazanin" w:eastAsia="IRNazanin" w:cs="IRNazanin"/>
          <w:lang w:bidi="fa-IR"/>
          <w:color w:val="111111"/>
          <w:sz w:val="28"/>
          <w:szCs w:val="28"/>
          <w:rtl/>
        </w:rPr>
        <w:t xml:space="preserve">۵۲. تهران؛ مفتاح؛ شماره نسخه: ۹۰۲</w:t>
      </w:r>
    </w:p>
    <w:p>
      <w:pPr>
        <w:pStyle w:val="BookText"/>
      </w:pPr>
      <w:r>
        <w:rPr>
          <w:rFonts w:ascii="IRNazanin" w:hAnsi="IRNazanin" w:eastAsia="IRNazanin" w:cs="IRNazanin"/>
          <w:lang w:bidi="fa-IR"/>
          <w:color w:val="111111"/>
          <w:sz w:val="28"/>
          <w:szCs w:val="28"/>
          <w:rtl/>
        </w:rPr>
        <w:t xml:space="preserve">خط: نستعلیق، کا: محیی، تا: رمضان ۹۷۰ق؛ مجدول، حاشیه رنگارنگ زرپاشی شده، حاشیه با گل و بوته، با سرلوح زرین؛ ۲۲گ، قطع: ربعی آنشریه: ۷-۱۰۸]</w:t>
      </w:r>
    </w:p>
    <w:p>
      <w:pPr>
        <w:pStyle w:val="BookText"/>
      </w:pPr>
      <w:r>
        <w:rPr>
          <w:rFonts w:ascii="IRNazanin" w:hAnsi="IRNazanin" w:eastAsia="IRNazanin" w:cs="IRNazanin"/>
          <w:lang w:bidi="fa-IR"/>
          <w:color w:val="111111"/>
          <w:sz w:val="28"/>
          <w:szCs w:val="28"/>
          <w:rtl/>
        </w:rPr>
        <w:t xml:space="preserve">۵۳. قم؛ مرعشی؛ شماره نسخه: ۱۴۰۹۵</w:t>
      </w:r>
    </w:p>
    <w:p>
      <w:pPr>
        <w:pStyle w:val="BookText"/>
      </w:pPr>
      <w:r>
        <w:rPr>
          <w:rFonts w:ascii="IRNazanin" w:hAnsi="IRNazanin" w:eastAsia="IRNazanin" w:cs="IRNazanin"/>
          <w:lang w:bidi="fa-IR"/>
          <w:color w:val="111111"/>
          <w:sz w:val="28"/>
          <w:szCs w:val="28"/>
          <w:rtl/>
        </w:rPr>
        <w:t xml:space="preserve">آغاز: برابر؛ انجام: حقیقت سراییست آراسته</w:t>
      </w:r>
      <w:r>
        <w:rPr>
          <w:rFonts w:ascii="IRNazanin" w:hAnsi="IRNazanin" w:eastAsia="IRNazanin" w:cs="IRNazanin"/>
          <w:lang w:bidi="fa-IR"/>
          <w:color w:val="111111"/>
          <w:sz w:val="28"/>
          <w:szCs w:val="28"/>
          <w:b w:val="1"/>
          <w:bCs w:val="1"/>
          <w:i w:val="1"/>
          <w:iCs w:val="1"/>
          <w:rtl/>
        </w:rPr>
        <w:t xml:space="preserve">هوا و هوس گرد برخاسته / نبینی که جایی که برخاست گرد</w:t>
      </w:r>
      <w:r>
        <w:rPr>
          <w:rFonts w:ascii="IRNazanin" w:hAnsi="IRNazanin" w:eastAsia="IRNazanin" w:cs="IRNazanin"/>
          <w:lang w:bidi="fa-IR"/>
          <w:color w:val="111111"/>
          <w:sz w:val="28"/>
          <w:szCs w:val="28"/>
          <w:rtl/>
        </w:rPr>
        <w:t xml:space="preserve"> نه بیند نظر گرچه بیناست مرد</w:t>
      </w:r>
    </w:p>
    <w:p>
      <w:pPr>
        <w:pStyle w:val="BookText"/>
      </w:pPr>
      <w:r>
        <w:rPr>
          <w:rFonts w:ascii="IRNazanin" w:hAnsi="IRNazanin" w:eastAsia="IRNazanin" w:cs="IRNazanin"/>
          <w:lang w:bidi="fa-IR"/>
          <w:color w:val="111111"/>
          <w:sz w:val="28"/>
          <w:szCs w:val="28"/>
          <w:rtl/>
        </w:rPr>
        <w:t xml:space="preserve">گزیده ای از بوستان؛ كا: میرعلی، تا: ذیقعده ۹۷۰ق؛ دارای یک سرلوح مرصع زیبا، آغاز هر مثنوی در کتیبه های مذهب و مرصع، مجدول، دارای کمند کشی؛ مهر: «علی بن محمد آقاسی» (بیضی)؛ تملک: عباسقلی خان سردار، مهدی بیانی در احوال و آثار خوش نویسان آخرین تاریخی را که برای درگذشت میر علی هروی آورده سال ۹۷۶ق می باشد و صحیح تر را ۹۵۱ق می داند لذا احتمال اینکه کاتب میرعلی هروی معروف باشد به نظر نمی رسد؛ کاغذ: شرقی، نوع جلد: تیماج مشکی مجدول با ترنج طلایی در وسط و سرترنج عطف و حاشیه ها تیماج قهوه ای، ۲۴گ، ۱۰ سطر (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۳۵-۶۰۵]</w:t>
      </w:r>
    </w:p>
    <w:p>
      <w:pPr>
        <w:pStyle w:val="BookText"/>
      </w:pPr>
      <w:r>
        <w:rPr>
          <w:rFonts w:ascii="IRNazanin" w:hAnsi="IRNazanin" w:eastAsia="IRNazanin" w:cs="IRNazanin"/>
          <w:lang w:bidi="fa-IR"/>
          <w:color w:val="111111"/>
          <w:sz w:val="28"/>
          <w:szCs w:val="28"/>
          <w:rtl/>
        </w:rPr>
        <w:t xml:space="preserve">۵۴. تهران؛ ملی؛ شماره نسخه: ۱۹۰۳۳</w:t>
      </w:r>
    </w:p>
    <w:p>
      <w:pPr>
        <w:pStyle w:val="BookText"/>
      </w:pPr>
      <w:r>
        <w:rPr>
          <w:rFonts w:ascii="IRNazanin" w:hAnsi="IRNazanin" w:eastAsia="IRNazanin" w:cs="IRNazanin"/>
          <w:lang w:bidi="fa-IR"/>
          <w:color w:val="111111"/>
          <w:sz w:val="28"/>
          <w:szCs w:val="28"/>
          <w:rtl/>
        </w:rPr>
        <w:t xml:space="preserve">کا: محمد بن علاء الدين، تا: ۹۷۵ق؛ انتقالی از کتابخانه پهلوی - مجموعه نوازی؛ اندازه: ۱۴/۳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۲۲/۱ سم [رایانه]</w:t>
      </w:r>
    </w:p>
    <w:p>
      <w:pPr>
        <w:pStyle w:val="BookText"/>
      </w:pPr>
      <w:r>
        <w:rPr>
          <w:rFonts w:ascii="IRNazanin" w:hAnsi="IRNazanin" w:eastAsia="IRNazanin" w:cs="IRNazanin"/>
          <w:lang w:bidi="fa-IR"/>
          <w:color w:val="111111"/>
          <w:sz w:val="28"/>
          <w:szCs w:val="28"/>
          <w:rtl/>
        </w:rPr>
        <w:t xml:space="preserve">۵۵. تهران؛ ملی؛ شماره نسخه: ۲۴۹۱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خوش، كان على الكاتب، تا: ۹۷۷ق، جا: هراة؛ صفحات اول و دوم تمام صفحه مذهب، مجدول؛ کاغذ: خطائی، جلد: روغنی، بوم تریاکی، گل و بوته نقاشی مقوایی، ۱۷۱ گ، ۱۲سطر کامل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۱۷/۵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۲۷/۵سم [ف: ۵-۶۶۴]</w:t>
      </w:r>
    </w:p>
    <w:p>
      <w:pPr>
        <w:pStyle w:val="BookText"/>
      </w:pPr>
      <w:r>
        <w:rPr>
          <w:rFonts w:ascii="IRNazanin" w:hAnsi="IRNazanin" w:eastAsia="IRNazanin" w:cs="IRNazanin"/>
          <w:lang w:bidi="fa-IR"/>
          <w:color w:val="111111"/>
          <w:sz w:val="28"/>
          <w:szCs w:val="28"/>
          <w:rtl/>
        </w:rPr>
        <w:t xml:space="preserve">۵۶. تهران؛ ملی؛ شماره نسخه: ۲۳۹۴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۹۸۶ق؛ با سرلوح مذهب، مجدول؛ کاغذ: دولت آبادی، جلد: تیماج مشکی مقوایی، ۱۵۵گ، ۱۲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۵-۵۱۰]</w:t>
      </w:r>
    </w:p>
    <w:p>
      <w:pPr>
        <w:pStyle w:val="BookText"/>
      </w:pPr>
      <w:r>
        <w:rPr>
          <w:rFonts w:ascii="IRNazanin" w:hAnsi="IRNazanin" w:eastAsia="IRNazanin" w:cs="IRNazanin"/>
          <w:lang w:bidi="fa-IR"/>
          <w:color w:val="111111"/>
          <w:sz w:val="28"/>
          <w:szCs w:val="28"/>
          <w:rtl/>
        </w:rPr>
        <w:t xml:space="preserve">۵۷. قم؛ مسجد اعظم؛ شماره نسخه: ۲۲۴۶</w:t>
      </w:r>
    </w:p>
    <w:p>
      <w:pPr>
        <w:pStyle w:val="BookText"/>
      </w:pPr>
      <w:r>
        <w:rPr>
          <w:rFonts w:ascii="IRNazanin" w:hAnsi="IRNazanin" w:eastAsia="IRNazanin" w:cs="IRNazanin"/>
          <w:lang w:bidi="fa-IR"/>
          <w:color w:val="111111"/>
          <w:sz w:val="28"/>
          <w:szCs w:val="28"/>
          <w:rtl/>
        </w:rPr>
        <w:t xml:space="preserve">آغاز: کریم السخایا جميل الشيم</w:t>
      </w:r>
      <w:r>
        <w:rPr>
          <w:rFonts w:ascii="IRNazanin" w:hAnsi="IRNazanin" w:eastAsia="IRNazanin" w:cs="IRNazanin"/>
          <w:lang w:bidi="fa-IR"/>
          <w:color w:val="111111"/>
          <w:sz w:val="28"/>
          <w:szCs w:val="28"/>
          <w:b w:val="1"/>
          <w:bCs w:val="1"/>
          <w:i w:val="1"/>
          <w:iCs w:val="1"/>
          <w:rtl/>
        </w:rPr>
        <w:t xml:space="preserve">بنى الورايا شفيع الأمم / امام رسل پیشوای سبیل</w:t>
      </w:r>
      <w:r>
        <w:rPr>
          <w:rFonts w:ascii="IRNazanin" w:hAnsi="IRNazanin" w:eastAsia="IRNazanin" w:cs="IRNazanin"/>
          <w:lang w:bidi="fa-IR"/>
          <w:color w:val="111111"/>
          <w:sz w:val="28"/>
          <w:szCs w:val="28"/>
          <w:rtl/>
        </w:rPr>
        <w:t xml:space="preserve">امین خدا مهبط جبرئیل؛ انجام: جز این کاعتمادم بیاری تست*** امیدم بآمرزکاری تست / بضاعت نیاوردم الا اميد***خدایا زعفوم مکن نا امید كان محمد ابو الوفای مشهدی، تا: سلخ محرم ۹۸۶ق؛ افتادگی: آغاز (یکی دو برگ)؛ مجدول سبز و زر و سیاه؛ مهر: «عبده محمد بن ابوالحسن» (بیضی)؛ جلد: تیماج قهوه ای با ترنج و با سر لچکی و مجدول، ۱۲۳، ۱۴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مخ: ۱-۲۷۸]</w:t>
      </w:r>
    </w:p>
    <w:p>
      <w:pPr>
        <w:pStyle w:val="BookText"/>
      </w:pPr>
      <w:r>
        <w:rPr>
          <w:rFonts w:ascii="IRNazanin" w:hAnsi="IRNazanin" w:eastAsia="IRNazanin" w:cs="IRNazanin"/>
          <w:lang w:bidi="fa-IR"/>
          <w:color w:val="111111"/>
          <w:sz w:val="28"/>
          <w:szCs w:val="28"/>
          <w:rtl/>
        </w:rPr>
        <w:t xml:space="preserve">۵۸. تهران؛ سلطنتی؛ شماره نسخه: ۳۹۰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منتخبی از اشعار بوستان سعدی؛ خط: نستعلیق عالی، کا: شاه قاسم کاتب، تا: رمضان ۹۹۶ق؛ مجدول، کمند کشی زرین، یک سرلوح به طرح محرابی مذهب مرصع خوب، یادداشت معمول زمان ورود به کتابخانه شاهنشاهی فتحعلیشاه قاجار در تاریخ ۱۲۲۲، یادداشت معمول از عرض گذشتی به حضور ناصرالدین شاه قاجار به تاریخ ۱۲۸۲؛ مهر: «لا اله الا الله الملك و الحق المبين ابو الحسن ۱۱۹۰)، «قوام الدين محمد بن محمد على الحسینی ۱۱۴۵»، «مشیر السلطنة ۱۳۲۲»، «ناصرالدین شاه قاجار ۱۲۷۴»؛ کاغذ: متن و حاشیه قطعه سازی الوان غبار زرافشان، جلد: مقوای روکش زرین گجراتی گلدار گل بهی رنگ حاشیه سجاف چرم لاکی، ۳۸ص، ۱۲ سطر، قطع: وزیری،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۱۶/۸ سم [سلطنتی ف: ۳-۵۲۶]</w:t>
      </w:r>
    </w:p>
    <w:p>
      <w:pPr>
        <w:pStyle w:val="BookText"/>
      </w:pPr>
      <w:r>
        <w:rPr>
          <w:rFonts w:ascii="IRNazanin" w:hAnsi="IRNazanin" w:eastAsia="IRNazanin" w:cs="IRNazanin"/>
          <w:lang w:bidi="fa-IR"/>
          <w:color w:val="111111"/>
          <w:sz w:val="28"/>
          <w:szCs w:val="28"/>
          <w:rtl/>
        </w:rPr>
        <w:t xml:space="preserve">۵۹. تهران: ملک؛ شماره نسخه: ۵۹۶۱/۳</w:t>
      </w:r>
    </w:p>
    <w:p>
      <w:pPr>
        <w:pStyle w:val="BookText"/>
      </w:pPr>
      <w:r>
        <w:rPr>
          <w:rFonts w:ascii="IRNazanin" w:hAnsi="IRNazanin" w:eastAsia="IRNazanin" w:cs="IRNazanin"/>
          <w:lang w:bidi="fa-IR"/>
          <w:color w:val="111111"/>
          <w:sz w:val="28"/>
          <w:szCs w:val="28"/>
          <w:rtl/>
        </w:rPr>
        <w:t xml:space="preserve">خط: نستعلیق خوش، كا: عبد الوهاب بن ابو المكارم حجازی، تا: محرم ۹۹۹ق؛ کاغذ: ختائی، جلد: میشن سبز، ۱۴ سطر[ف: ۹-۱۱۲]</w:t>
      </w:r>
    </w:p>
    <w:p>
      <w:pPr>
        <w:pStyle w:val="BookText"/>
      </w:pPr>
      <w:r>
        <w:rPr>
          <w:rFonts w:ascii="IRNazanin" w:hAnsi="IRNazanin" w:eastAsia="IRNazanin" w:cs="IRNazanin"/>
          <w:lang w:bidi="fa-IR"/>
          <w:color w:val="111111"/>
          <w:sz w:val="28"/>
          <w:szCs w:val="28"/>
          <w:rtl/>
        </w:rPr>
        <w:t xml:space="preserve">۶۰. تهران؛ مجلس؛ شماره نسخه: ۴۱۵۳</w:t>
      </w:r>
    </w:p>
    <w:p>
      <w:pPr>
        <w:pStyle w:val="BookText"/>
      </w:pPr>
      <w:r>
        <w:rPr>
          <w:rFonts w:ascii="IRNazanin" w:hAnsi="IRNazanin" w:eastAsia="IRNazanin" w:cs="IRNazanin"/>
          <w:lang w:bidi="fa-IR"/>
          <w:color w:val="111111"/>
          <w:sz w:val="28"/>
          <w:szCs w:val="28"/>
          <w:rtl/>
        </w:rPr>
        <w:t xml:space="preserve">آغاز: برابر؛ انجام: هزاران درود و هزاران سلام</w:t>
      </w:r>
      <w:r>
        <w:rPr>
          <w:rFonts w:ascii="IRNazanin" w:hAnsi="IRNazanin" w:eastAsia="IRNazanin" w:cs="IRNazanin"/>
          <w:lang w:bidi="fa-IR"/>
          <w:color w:val="111111"/>
          <w:sz w:val="28"/>
          <w:szCs w:val="28"/>
          <w:b w:val="1"/>
          <w:bCs w:val="1"/>
          <w:i w:val="1"/>
          <w:iCs w:val="1"/>
          <w:rtl/>
        </w:rPr>
        <w:t xml:space="preserve">ز ما بر محمد عليه السلام. (تمت الكتاب على يد عبدالواحد المشهدی)؛ آغاز کتابتم بانجام رسید</w:t>
      </w:r>
      <w:r>
        <w:rPr>
          <w:rFonts w:ascii="IRNazanin" w:hAnsi="IRNazanin" w:eastAsia="IRNazanin" w:cs="IRNazanin"/>
          <w:lang w:bidi="fa-IR"/>
          <w:color w:val="111111"/>
          <w:sz w:val="28"/>
          <w:szCs w:val="28"/>
          <w:rtl/>
        </w:rPr>
        <w:t xml:space="preserve">جان از غم و اندیشه بارام رسید / این نامه که نام صاحبش باقی باد***المنة لله که با تمام رسید خط: نستعلیق زیبا، كا: عبد الواحد مشهدی، تا: قرن ۱۱؛ با یک سرلوح، مجدول؛ کاغذ: سپاهانی، جلد: تیماج زرد طلاکوب، ۳۰۶گ، ۱۴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۱۱-۱۵۶]</w:t>
      </w:r>
    </w:p>
    <w:p>
      <w:pPr>
        <w:pStyle w:val="BookText"/>
      </w:pPr>
      <w:r>
        <w:rPr>
          <w:rFonts w:ascii="IRNazanin" w:hAnsi="IRNazanin" w:eastAsia="IRNazanin" w:cs="IRNazanin"/>
          <w:lang w:bidi="fa-IR"/>
          <w:color w:val="111111"/>
          <w:sz w:val="28"/>
          <w:szCs w:val="28"/>
          <w:rtl/>
        </w:rPr>
        <w:t xml:space="preserve">۶۱. تهران؛ مجلس؛ شماره نسخه: ۲۶۶۴/۵</w:t>
      </w:r>
    </w:p>
    <w:p>
      <w:pPr>
        <w:pStyle w:val="BookText"/>
      </w:pPr>
      <w:r>
        <w:rPr>
          <w:rFonts w:ascii="IRNazanin" w:hAnsi="IRNazanin" w:eastAsia="IRNazanin" w:cs="IRNazanin"/>
          <w:lang w:bidi="fa-IR"/>
          <w:color w:val="111111"/>
          <w:sz w:val="28"/>
          <w:szCs w:val="28"/>
          <w:rtl/>
        </w:rPr>
        <w:t xml:space="preserve">آغاز: که نتواند از پادشه عذر خواست.؛ انجام: برابر خط: نستعلیق کتابتی، بی کا، تا: قرن ۱۱؛ افتادگی: آغاز؛ مجدول کمند زر و سیاه؛ کاغذ: فرنگی، جلد: تیماج قهوه ای ترنج و سر ترنج منگنه، ۱۸۵گ (۲۶۱-۴۴۵)، ۳۰نیم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۲۸/۵سم [ف: ۸-۴۱۶]</w:t>
      </w:r>
    </w:p>
    <w:p>
      <w:pPr>
        <w:pStyle w:val="BookText"/>
      </w:pPr>
      <w:r>
        <w:rPr>
          <w:rFonts w:ascii="IRNazanin" w:hAnsi="IRNazanin" w:eastAsia="IRNazanin" w:cs="IRNazanin"/>
          <w:lang w:bidi="fa-IR"/>
          <w:color w:val="111111"/>
          <w:sz w:val="28"/>
          <w:szCs w:val="28"/>
          <w:rtl/>
        </w:rPr>
        <w:t xml:space="preserve">۶۲. قم؛ گلپایگانی؛ شماره نسخه: ۸۵۹۳- ۵۸/۴۳</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کامل؛ خط: تعليق، بی کا، تا: قرن ۱۱؛ ۱۴۷گ، ۱۴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۲-۶۳۱]</w:t>
      </w:r>
    </w:p>
    <w:p>
      <w:pPr>
        <w:pStyle w:val="BookText"/>
      </w:pPr>
      <w:r>
        <w:rPr>
          <w:rFonts w:ascii="IRNazanin" w:hAnsi="IRNazanin" w:eastAsia="IRNazanin" w:cs="IRNazanin"/>
          <w:lang w:bidi="fa-IR"/>
          <w:color w:val="111111"/>
          <w:sz w:val="28"/>
          <w:szCs w:val="28"/>
          <w:rtl/>
        </w:rPr>
        <w:t xml:space="preserve">۶۳. تهران؛ ملک؛ شماره نسخه: ۶۳۶۴</w:t>
      </w:r>
    </w:p>
    <w:p>
      <w:pPr>
        <w:pStyle w:val="BookText"/>
      </w:pPr>
      <w:r>
        <w:rPr>
          <w:rFonts w:ascii="IRNazanin" w:hAnsi="IRNazanin" w:eastAsia="IRNazanin" w:cs="IRNazanin"/>
          <w:lang w:bidi="fa-IR"/>
          <w:color w:val="111111"/>
          <w:sz w:val="28"/>
          <w:szCs w:val="28"/>
          <w:rtl/>
        </w:rPr>
        <w:t xml:space="preserve">خط شکسته نستعلیق، کا:محمد شفیع حسینی، تا: قرن ۱۱؛ مجدول، با کمند زر و مشکی؛ کاغذ: کاغذ متن ترمه اصفهانی، جلد: سبز جدید، ۱۰۱گ، ۱۷ سطر، اندازه: ۱۷/۴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۲-۶۰]</w:t>
      </w:r>
    </w:p>
    <w:p>
      <w:pPr>
        <w:pStyle w:val="BookText"/>
      </w:pPr>
      <w:r>
        <w:rPr>
          <w:rFonts w:ascii="IRNazanin" w:hAnsi="IRNazanin" w:eastAsia="IRNazanin" w:cs="IRNazanin"/>
          <w:lang w:bidi="fa-IR"/>
          <w:color w:val="111111"/>
          <w:sz w:val="28"/>
          <w:szCs w:val="28"/>
          <w:rtl/>
        </w:rPr>
        <w:t xml:space="preserve">۶۴. قم؛ گلپایگانی؛ شماره نسخه: ۸۱۰/۳ - ۵/۱۰۰</w:t>
      </w:r>
    </w:p>
    <w:p>
      <w:pPr>
        <w:pStyle w:val="BookText"/>
      </w:pPr>
      <w:r>
        <w:rPr>
          <w:rFonts w:ascii="IRNazanin" w:hAnsi="IRNazanin" w:eastAsia="IRNazanin" w:cs="IRNazanin"/>
          <w:lang w:bidi="fa-IR"/>
          <w:color w:val="111111"/>
          <w:sz w:val="28"/>
          <w:szCs w:val="28"/>
          <w:rtl/>
        </w:rPr>
        <w:t xml:space="preserve">آغاز شد ستم چون دهانت ناپدیدار*** بفرما یک ... قلم بر نامه چون دید اشکبارش</w:t>
      </w:r>
      <w:r>
        <w:rPr>
          <w:rFonts w:ascii="IRNazanin" w:hAnsi="IRNazanin" w:eastAsia="IRNazanin" w:cs="IRNazanin"/>
          <w:lang w:bidi="fa-IR"/>
          <w:color w:val="111111"/>
          <w:sz w:val="28"/>
          <w:szCs w:val="28"/>
          <w:b w:val="1"/>
          <w:bCs w:val="1"/>
          <w:i w:val="1"/>
          <w:iCs w:val="1"/>
          <w:rtl/>
        </w:rPr>
        <w:t xml:space="preserve">کمر بست از برای انجام: یکی گفت از نیان ملک را نهان</w:t>
      </w:r>
      <w:r>
        <w:rPr>
          <w:rFonts w:ascii="IRNazanin" w:hAnsi="IRNazanin" w:eastAsia="IRNazanin" w:cs="IRNazanin"/>
          <w:lang w:bidi="fa-IR"/>
          <w:color w:val="111111"/>
          <w:sz w:val="28"/>
          <w:szCs w:val="28"/>
          <w:rtl/>
        </w:rPr>
        <w:t xml:space="preserve">که ای حلقه در گوش حکمت جهان / پسندیدگان در بزرگی رسند***زما بندگات چه آمد پسند</w:t>
      </w:r>
    </w:p>
    <w:p>
      <w:pPr>
        <w:pStyle w:val="BookText"/>
      </w:pPr>
      <w:r>
        <w:rPr>
          <w:rFonts w:ascii="IRNazanin" w:hAnsi="IRNazanin" w:eastAsia="IRNazanin" w:cs="IRNazanin"/>
          <w:lang w:bidi="fa-IR"/>
          <w:color w:val="111111"/>
          <w:sz w:val="28"/>
          <w:szCs w:val="28"/>
          <w:rtl/>
        </w:rPr>
        <w:t xml:space="preserve">خط: نستعلیق، بی کا، تا: قرن ۱۱؛ افتادگی: آغاز و انجام؛ مجدول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مذهب؛ جلد: تیماج قهوه ای، ضربی مجدول طاقدار، ۳۸، ۱۲ -۱۴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۲-۶۳۱]</w:t>
      </w:r>
    </w:p>
    <w:p>
      <w:pPr>
        <w:pStyle w:val="BookText"/>
      </w:pPr>
      <w:r>
        <w:rPr>
          <w:rFonts w:ascii="IRNazanin" w:hAnsi="IRNazanin" w:eastAsia="IRNazanin" w:cs="IRNazanin"/>
          <w:lang w:bidi="fa-IR"/>
          <w:color w:val="111111"/>
          <w:sz w:val="28"/>
          <w:szCs w:val="28"/>
          <w:rtl/>
        </w:rPr>
        <w:t xml:space="preserve">۶۵. مشهد؛ رضوی؛ شماره نسخه: ۱۲۰۱۳</w:t>
      </w:r>
    </w:p>
    <w:p>
      <w:pPr>
        <w:pStyle w:val="BookText"/>
      </w:pPr>
      <w:r>
        <w:rPr>
          <w:rFonts w:ascii="IRNazanin" w:hAnsi="IRNazanin" w:eastAsia="IRNazanin" w:cs="IRNazanin"/>
          <w:lang w:bidi="fa-IR"/>
          <w:color w:val="111111"/>
          <w:sz w:val="28"/>
          <w:szCs w:val="28"/>
          <w:rtl/>
        </w:rPr>
        <w:t xml:space="preserve">آغاز: کریم السخايا (كذا) جمیل الشيم نبي البرايا شفيع الأمم؛ انجام: برابر؛ هزاران درود و هزاران سلام زما بر محمد عليه السلام تمت.</w:t>
      </w:r>
    </w:p>
    <w:p>
      <w:pPr>
        <w:pStyle w:val="BookText"/>
      </w:pPr>
      <w:r>
        <w:rPr>
          <w:rFonts w:ascii="IRNazanin" w:hAnsi="IRNazanin" w:eastAsia="IRNazanin" w:cs="IRNazanin"/>
          <w:lang w:bidi="fa-IR"/>
          <w:color w:val="111111"/>
          <w:sz w:val="28"/>
          <w:szCs w:val="28"/>
          <w:rtl/>
        </w:rPr>
        <w:t xml:space="preserve">خط: نستعلیق خوش، کا: میر محمد على كاتب، تا: قرن ۱۱؛ افتادگی: آغاز (۵ صفحه)؛ مجدول، دارای کمند، با یک سرلوح منقش و مذهب؛ واقف: سید جلال الدین تهرانی، مرداد ۱۳۶۱؛ کاغذ: حنایی کمرنگ، جلد: تیماج عنابی روغنی ضربی دارای یک ترنج و دو سر ترنج زرین جدول بندی به طلا، ۱۷۷گ، ۱۲ سطر، اندازه: ۲۳/۳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۱۷-۳۳]</w:t>
      </w:r>
    </w:p>
    <w:p>
      <w:pPr>
        <w:pStyle w:val="BookText"/>
      </w:pPr>
      <w:r>
        <w:rPr>
          <w:rFonts w:ascii="IRNazanin" w:hAnsi="IRNazanin" w:eastAsia="IRNazanin" w:cs="IRNazanin"/>
          <w:lang w:bidi="fa-IR"/>
          <w:color w:val="111111"/>
          <w:sz w:val="28"/>
          <w:szCs w:val="28"/>
          <w:rtl/>
        </w:rPr>
        <w:t xml:space="preserve">۶۶. مشهد؛ رضوی؛ شماره نسخه: ۴۴۵۷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w:t>
      </w:r>
    </w:p>
    <w:p>
      <w:pPr>
        <w:pStyle w:val="BookText"/>
      </w:pPr>
      <w:r>
        <w:rPr>
          <w:rFonts w:ascii="IRNazanin" w:hAnsi="IRNazanin" w:eastAsia="IRNazanin" w:cs="IRNazanin"/>
          <w:lang w:bidi="fa-IR"/>
          <w:color w:val="111111"/>
          <w:sz w:val="28"/>
          <w:szCs w:val="28"/>
          <w:rtl/>
        </w:rPr>
        <w:t xml:space="preserve">خوش، بی کا، تا: اوایل قرن ۱۱؛ دارای سرلوح متوسط، دو صفحه اول بين السطور طلااندازی دندان موشی، مجدول؛ واقف: نایینی. [رقم و تاریخ آخر نسخه نونویس و ساختگی است با عبارت ذیل: «در مشهد انور حسب الامر الاقدس الاعلى خلدالله السلطنة السنيه سمت تحریر یافت، بقلم داعی دولت كاتب الحضرة سلطان على المشهدي في الرابع و العشرين من شوال المکرم سنة اربعین و الف من الهجرة الميمونه». و در ذیل رقم مزبور این دو بیت با شنگرف و به خط نستعلیق خوش از همان جاعل رقم ساز مسطورست که: «حضور تو ای صدرشاه جهان</w:t>
      </w:r>
      <w:r>
        <w:rPr>
          <w:rFonts w:ascii="IRNazanin" w:hAnsi="IRNazanin" w:eastAsia="IRNazanin" w:cs="IRNazanin"/>
          <w:lang w:bidi="fa-IR"/>
          <w:color w:val="111111"/>
          <w:sz w:val="28"/>
          <w:szCs w:val="28"/>
          <w:b w:val="1"/>
          <w:bCs w:val="1"/>
          <w:i w:val="1"/>
          <w:iCs w:val="1"/>
          <w:rtl/>
        </w:rPr>
        <w:t xml:space="preserve">علی اصغر قدس پاک جان / شهنشه سلیمان و تو آصفش</w:t>
      </w:r>
      <w:r>
        <w:rPr>
          <w:rFonts w:ascii="IRNazanin" w:hAnsi="IRNazanin" w:eastAsia="IRNazanin" w:cs="IRNazanin"/>
          <w:lang w:bidi="fa-IR"/>
          <w:color w:val="111111"/>
          <w:sz w:val="28"/>
          <w:szCs w:val="28"/>
          <w:rtl/>
        </w:rPr>
        <w:t xml:space="preserve">صفا مورو این بوستان ارمغان. و مراد از علی اصغر قدسی میرزا علی اصغر خان اتابک متخلص به قدسی مقتول در ۱۳۲۷ ق است و صفا که ناظم قطعه و جاعل رقم است میرزا علیمحمد صفای لواسانی خطاط مشهور نیمه دوم قرن سیزدهم در گذشته به سال ۱۲۹۹ ق و مدفون در جوار مرقد حر بن یزید ریاحی است که بوستان نوشته دیگری را با جعل رقم سلطانعلی مشهدی به اتابک اهداء کرده و از شتابزدگی یا بی اطلاعی تاریخ کتابت بوستان را ۱۰۴۰ یعنی یکصد و بیست و یکسال پس از زمان سلطانعلی گذارده. چه سلطانعلی مشهدی به ضبط حبيب السير و سایر تواریخ و تذکرهای عصری در ۹۱۹ هجری وفات یافته است ، کاغذ: نوعی ترمه، جلد: تیماج عنابی، ۱۳۸ ، ۱۴ سطر ( ۱۹/۷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۱۷/۵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۷-۲۱۸]</w:t>
      </w:r>
    </w:p>
    <w:p>
      <w:pPr>
        <w:pStyle w:val="BookText"/>
      </w:pPr>
      <w:r>
        <w:rPr>
          <w:rFonts w:ascii="IRNazanin" w:hAnsi="IRNazanin" w:eastAsia="IRNazanin" w:cs="IRNazanin"/>
          <w:lang w:bidi="fa-IR"/>
          <w:color w:val="111111"/>
          <w:sz w:val="28"/>
          <w:szCs w:val="28"/>
          <w:rtl/>
        </w:rPr>
        <w:t xml:space="preserve">۶۷. تهران، دانشگاه؛ شماره نسخه: ۸۱۱۸</w:t>
      </w:r>
    </w:p>
    <w:p>
      <w:pPr>
        <w:pStyle w:val="BookText"/>
      </w:pPr>
      <w:r>
        <w:rPr>
          <w:rFonts w:ascii="IRNazanin" w:hAnsi="IRNazanin" w:eastAsia="IRNazanin" w:cs="IRNazanin"/>
          <w:lang w:bidi="fa-IR"/>
          <w:color w:val="111111"/>
          <w:sz w:val="28"/>
          <w:szCs w:val="28"/>
          <w:rtl/>
        </w:rPr>
        <w:t xml:space="preserve">خط: نستعلیق، بی کا، تا: قرن ۱۱؛ مجدول زر و لاجورد، با سرلوح؛ کاغذ: هندی، جلد: گالینگور، ۱۵۴گ، ۱۴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۴)،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سم [ف: ۱۷-۳۴]</w:t>
      </w:r>
    </w:p>
    <w:p>
      <w:pPr>
        <w:pStyle w:val="BookText"/>
      </w:pPr>
      <w:r>
        <w:rPr>
          <w:rFonts w:ascii="IRNazanin" w:hAnsi="IRNazanin" w:eastAsia="IRNazanin" w:cs="IRNazanin"/>
          <w:lang w:bidi="fa-IR"/>
          <w:color w:val="111111"/>
          <w:sz w:val="28"/>
          <w:szCs w:val="28"/>
          <w:rtl/>
        </w:rPr>
        <w:t xml:space="preserve">۶۸. تهران؛ دانشگاه؛ شماره نسخه: ۱۰۰۲۱</w:t>
      </w:r>
    </w:p>
    <w:p>
      <w:pPr>
        <w:pStyle w:val="BookText"/>
      </w:pPr>
      <w:r>
        <w:rPr>
          <w:rFonts w:ascii="IRNazanin" w:hAnsi="IRNazanin" w:eastAsia="IRNazanin" w:cs="IRNazanin"/>
          <w:lang w:bidi="fa-IR"/>
          <w:color w:val="111111"/>
          <w:sz w:val="28"/>
          <w:szCs w:val="28"/>
          <w:rtl/>
        </w:rPr>
        <w:t xml:space="preserve">خط: نستعلیق، بی کا، تا: قرن ۱۱؛ افتادگی: آغاز و انجام ؛کاغذ: سپاهانی، جلد: تیماج سبز تیره لایی، بغلی، ۱۲۹گ، ۱۴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۱۷-۵۲۶]</w:t>
      </w:r>
    </w:p>
    <w:p>
      <w:pPr>
        <w:pStyle w:val="BookText"/>
      </w:pPr>
      <w:r>
        <w:rPr>
          <w:rFonts w:ascii="IRNazanin" w:hAnsi="IRNazanin" w:eastAsia="IRNazanin" w:cs="IRNazanin"/>
          <w:lang w:bidi="fa-IR"/>
          <w:color w:val="111111"/>
          <w:sz w:val="28"/>
          <w:szCs w:val="28"/>
          <w:rtl/>
        </w:rPr>
        <w:t xml:space="preserve">۶۹. تهران؛ مهدوی؛ شماره نسخه: ۴۰</w:t>
      </w:r>
    </w:p>
    <w:p>
      <w:pPr>
        <w:pStyle w:val="BookText"/>
      </w:pPr>
      <w:r>
        <w:rPr>
          <w:rFonts w:ascii="IRNazanin" w:hAnsi="IRNazanin" w:eastAsia="IRNazanin" w:cs="IRNazanin"/>
          <w:lang w:bidi="fa-IR"/>
          <w:color w:val="111111"/>
          <w:sz w:val="28"/>
          <w:szCs w:val="28"/>
          <w:rtl/>
        </w:rPr>
        <w:t xml:space="preserve">گزیده؛ خط: نستعلیق، كا: بابا شاه سپاهانی (گویا)، تا: ۱۵ ربیع الاول ۱۰۰۰ق (نشریه: ۲-۶۴]</w:t>
      </w:r>
    </w:p>
    <w:p>
      <w:pPr>
        <w:pStyle w:val="BookText"/>
      </w:pPr>
      <w:r>
        <w:rPr>
          <w:rFonts w:ascii="IRNazanin" w:hAnsi="IRNazanin" w:eastAsia="IRNazanin" w:cs="IRNazanin"/>
          <w:lang w:bidi="fa-IR"/>
          <w:color w:val="111111"/>
          <w:sz w:val="28"/>
          <w:szCs w:val="28"/>
          <w:rtl/>
        </w:rPr>
        <w:t xml:space="preserve">۷۰. مشهد؛ رضوی؛ شماره نسخه: ۶۲۲</w:t>
      </w:r>
    </w:p>
    <w:p>
      <w:pPr>
        <w:pStyle w:val="BookText"/>
      </w:pPr>
      <w:r>
        <w:rPr>
          <w:rFonts w:ascii="IRNazanin" w:hAnsi="IRNazanin" w:eastAsia="IRNazanin" w:cs="IRNazanin"/>
          <w:lang w:bidi="fa-IR"/>
          <w:color w:val="111111"/>
          <w:sz w:val="28"/>
          <w:szCs w:val="28"/>
          <w:rtl/>
        </w:rPr>
        <w:t xml:space="preserve">بی کا، تا: قرن ۱۱؛ با سرلوح زرین؛ سطر، قطع: رقعي [اهدائی ف: ۶۷]</w:t>
      </w:r>
    </w:p>
    <w:p>
      <w:pPr>
        <w:pStyle w:val="BookText"/>
      </w:pPr>
      <w:r>
        <w:rPr>
          <w:rFonts w:ascii="IRNazanin" w:hAnsi="IRNazanin" w:eastAsia="IRNazanin" w:cs="IRNazanin"/>
          <w:lang w:bidi="fa-IR"/>
          <w:color w:val="111111"/>
          <w:sz w:val="28"/>
          <w:szCs w:val="28"/>
          <w:rtl/>
        </w:rPr>
        <w:t xml:space="preserve">۷۱. تهران؛ سلطنتی؛ شماره نسخه: ۳۸۸</w:t>
      </w:r>
    </w:p>
    <w:p>
      <w:pPr>
        <w:pStyle w:val="BookText"/>
      </w:pPr>
      <w:r>
        <w:rPr>
          <w:rFonts w:ascii="IRNazanin" w:hAnsi="IRNazanin" w:eastAsia="IRNazanin" w:cs="IRNazanin"/>
          <w:lang w:bidi="fa-IR"/>
          <w:color w:val="111111"/>
          <w:sz w:val="28"/>
          <w:szCs w:val="28"/>
          <w:rtl/>
        </w:rPr>
        <w:t xml:space="preserve">آغاز: برابر؛ انجام: عجب داری ار شرم آید زمن*** که شرمم همی آید از خویشتن / بخندان که یوسف بلا دید و بند***چو حکمتش قوی گشت و قدرش بلند</w:t>
      </w:r>
    </w:p>
    <w:p>
      <w:pPr>
        <w:pStyle w:val="BookText"/>
      </w:pPr>
      <w:r>
        <w:rPr>
          <w:rFonts w:ascii="IRNazanin" w:hAnsi="IRNazanin" w:eastAsia="IRNazanin" w:cs="IRNazanin"/>
          <w:lang w:bidi="fa-IR"/>
          <w:color w:val="111111"/>
          <w:sz w:val="28"/>
          <w:szCs w:val="28"/>
          <w:rtl/>
        </w:rPr>
        <w:t xml:space="preserve">خط: نستعلیق ممتاز، بی کا، تا: احتمالا قرن ۱۱ق؛ افتادگی: انجام (چند ورق)؛ مجدول، مذهب، کمنددار زرین، یک سرلوح مذهب مرصع عالی، بین اشعار مذهب به گل و پیچکهای ریسه ای زرین، کتیبه های بازوبندی دو طرف مذهب مرصع ؛ یادداشت معموله زمان ورود به کتابخانه شاهنشاهی فتحعلیشاه قاجار به تاریخ ۱۲۳۲؛ مهر: «عبده عبد الوهاب الموسوی»، «ليس بكاف عبده عبدالوهاب الموسوی»، «ناصرالدین شاه قاجار ۱۲۷۴»، حسین بن هدایت الله» «محمد رضا الحسینی» «مشير السلطنه ۱۳۲۲»؛ کاغذ: خانبالغ نخودی رنگ، جلد: (فقط یک پاره) مقوای روکش چرم ساغری مشکی حاشیه زنجیره طلائی. اندرون: تیماج عنابی حاشیه کتیبه ای بازوبندی بند رومی سوخت تحریر گل و بوته مشکی)، ۳۳۹، ۱۲ سطر، قطع: وزیری،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۲۶/۵سم [ف: ۳-۵۱۲]</w:t>
      </w:r>
    </w:p>
    <w:p>
      <w:pPr>
        <w:pStyle w:val="BookText"/>
      </w:pPr>
      <w:r>
        <w:rPr>
          <w:rFonts w:ascii="IRNazanin" w:hAnsi="IRNazanin" w:eastAsia="IRNazanin" w:cs="IRNazanin"/>
          <w:lang w:bidi="fa-IR"/>
          <w:color w:val="111111"/>
          <w:sz w:val="28"/>
          <w:szCs w:val="28"/>
          <w:rtl/>
        </w:rPr>
        <w:t xml:space="preserve">۷۲. یزد؛ جامع کبیر؛ شماره نسخه: ۱۷۷/۵</w:t>
      </w:r>
    </w:p>
    <w:p>
      <w:pPr>
        <w:pStyle w:val="BookText"/>
      </w:pPr>
      <w:r>
        <w:rPr>
          <w:rFonts w:ascii="IRNazanin" w:hAnsi="IRNazanin" w:eastAsia="IRNazanin" w:cs="IRNazanin"/>
          <w:lang w:bidi="fa-IR"/>
          <w:color w:val="111111"/>
          <w:sz w:val="28"/>
          <w:szCs w:val="28"/>
          <w:rtl/>
        </w:rPr>
        <w:t xml:space="preserve">خط: نستعلیق، بی کا، تا: قرن ۱۱، نسخه در زمانی که افغانها محاصره کرده بودند در ۱۰۶۷ خوانده شده ؛ قطع: رحلی بزرگ [نشریه: ۴-۴۰۷]</w:t>
      </w:r>
    </w:p>
    <w:p>
      <w:pPr>
        <w:pStyle w:val="BookText"/>
      </w:pPr>
      <w:r>
        <w:rPr>
          <w:rFonts w:ascii="IRNazanin" w:hAnsi="IRNazanin" w:eastAsia="IRNazanin" w:cs="IRNazanin"/>
          <w:lang w:bidi="fa-IR"/>
          <w:color w:val="111111"/>
          <w:sz w:val="28"/>
          <w:szCs w:val="28"/>
          <w:rtl/>
        </w:rPr>
        <w:t xml:space="preserve">۷۳. تهران، دانشگاه؛ شماره نسخه: ۸۹۳۴</w:t>
      </w:r>
    </w:p>
    <w:p>
      <w:pPr>
        <w:pStyle w:val="BookText"/>
      </w:pPr>
      <w:r>
        <w:rPr>
          <w:rFonts w:ascii="IRNazanin" w:hAnsi="IRNazanin" w:eastAsia="IRNazanin" w:cs="IRNazanin"/>
          <w:lang w:bidi="fa-IR"/>
          <w:color w:val="111111"/>
          <w:sz w:val="28"/>
          <w:szCs w:val="28"/>
          <w:rtl/>
        </w:rPr>
        <w:t xml:space="preserve">خط: نستعلیق هندی، كا: ابوالقاسم بن محمد بن قاسم، تا: ۷ شعبان ۱۰۰۱ق، جان جونپور در دارالكتب يوسف آلای بگی؛ افتادگی: آغاز؛ سه ستونی در پهنای صفحه کاغذ: هندی، جلد: تیماج تریاکی لایی با لولا، بغلی کلفت، ۴۱۹گ، ابعاد متن: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۹سم [ف: ۱۷-۲۵۴]</w:t>
      </w:r>
    </w:p>
    <w:p>
      <w:pPr>
        <w:pStyle w:val="BookText"/>
      </w:pPr>
      <w:r>
        <w:rPr>
          <w:rFonts w:ascii="IRNazanin" w:hAnsi="IRNazanin" w:eastAsia="IRNazanin" w:cs="IRNazanin"/>
          <w:lang w:bidi="fa-IR"/>
          <w:color w:val="111111"/>
          <w:sz w:val="28"/>
          <w:szCs w:val="28"/>
          <w:rtl/>
        </w:rPr>
        <w:t xml:space="preserve">۷۴. تهران، دانشگاه؛ شماره نسخه: ۷۷۶۶</w:t>
      </w:r>
    </w:p>
    <w:p>
      <w:pPr>
        <w:pStyle w:val="BookText"/>
      </w:pPr>
      <w:r>
        <w:rPr>
          <w:rFonts w:ascii="IRNazanin" w:hAnsi="IRNazanin" w:eastAsia="IRNazanin" w:cs="IRNazanin"/>
          <w:lang w:bidi="fa-IR"/>
          <w:color w:val="111111"/>
          <w:sz w:val="28"/>
          <w:szCs w:val="28"/>
          <w:rtl/>
        </w:rPr>
        <w:t xml:space="preserve">خط: نستعلیق خوش، کا: خوش نظر علی خان فاریضی، تا: دهه سوم محرم ۱۰۱۰ق؛ با سرلوح زرین و رنگارنگ، مجدول زرو لاجورد و شنگرف کاغذ: سپاهانی، جلد: مقوا، ۵۵گ، ۲۳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قطع: وزیری،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 سم [ف: ۱۶-۶۹۳]</w:t>
      </w:r>
    </w:p>
    <w:p>
      <w:pPr>
        <w:pStyle w:val="BookText"/>
      </w:pPr>
      <w:r>
        <w:rPr>
          <w:rFonts w:ascii="IRNazanin" w:hAnsi="IRNazanin" w:eastAsia="IRNazanin" w:cs="IRNazanin"/>
          <w:lang w:bidi="fa-IR"/>
          <w:color w:val="111111"/>
          <w:sz w:val="28"/>
          <w:szCs w:val="28"/>
          <w:rtl/>
        </w:rPr>
        <w:t xml:space="preserve">۷۵. تهران؛ مجلس؛ شماره نسخه: ۱۱۳۸/۸</w:t>
      </w:r>
    </w:p>
    <w:p>
      <w:pPr>
        <w:pStyle w:val="BookText"/>
      </w:pPr>
      <w:r>
        <w:rPr>
          <w:rFonts w:ascii="IRNazanin" w:hAnsi="IRNazanin" w:eastAsia="IRNazanin" w:cs="IRNazanin"/>
          <w:lang w:bidi="fa-IR"/>
          <w:color w:val="111111"/>
          <w:sz w:val="28"/>
          <w:szCs w:val="28"/>
          <w:rtl/>
        </w:rPr>
        <w:t xml:space="preserve">آغاز: کریما ببخشای بر حال ما*** که هستیم اسیر کمند بلا؛ انجام: منه دل بر این دیر نا پایدار ***ز سعدی همین یک سخن گوشدار</w:t>
      </w:r>
    </w:p>
    <w:p>
      <w:pPr>
        <w:pStyle w:val="BookText"/>
      </w:pPr>
      <w:r>
        <w:rPr>
          <w:rFonts w:ascii="IRNazanin" w:hAnsi="IRNazanin" w:eastAsia="IRNazanin" w:cs="IRNazanin"/>
          <w:lang w:bidi="fa-IR"/>
          <w:color w:val="111111"/>
          <w:sz w:val="28"/>
          <w:szCs w:val="28"/>
          <w:rtl/>
        </w:rPr>
        <w:t xml:space="preserve">بی کا، تا: ۱۰۱۰ق، ۸۴ص (۸۵-۱۶۸) [ف: ۳-۳۹۷]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۷۶. تهران؛ سلطنتی؛ شماره نسخه: ۳۹۹</w:t>
      </w:r>
    </w:p>
    <w:p>
      <w:pPr>
        <w:pStyle w:val="BookText"/>
      </w:pPr>
      <w:r>
        <w:rPr>
          <w:rFonts w:ascii="IRNazanin" w:hAnsi="IRNazanin" w:eastAsia="IRNazanin" w:cs="IRNazanin"/>
          <w:lang w:bidi="fa-IR"/>
          <w:color w:val="111111"/>
          <w:sz w:val="28"/>
          <w:szCs w:val="28"/>
          <w:rtl/>
        </w:rPr>
        <w:t xml:space="preserve">آغاز و انجام: برابر؛ در کتابخانه نواب کامیاب خانی عالیشاهی منبع الاحسانی صورت تحریر یافت غره شهر صفر ۱۰۱۴. كتبه شاه قاسم غفر ذنوبه و ستر عيوبه.</w:t>
      </w:r>
    </w:p>
    <w:p>
      <w:pPr>
        <w:pStyle w:val="BookText"/>
      </w:pPr>
      <w:r>
        <w:rPr>
          <w:rFonts w:ascii="IRNazanin" w:hAnsi="IRNazanin" w:eastAsia="IRNazanin" w:cs="IRNazanin"/>
          <w:lang w:bidi="fa-IR"/>
          <w:color w:val="111111"/>
          <w:sz w:val="28"/>
          <w:szCs w:val="28"/>
          <w:rtl/>
        </w:rPr>
        <w:t xml:space="preserve">قسمت اول کتاب از اول تا صفحه ۱۱۹ نونویس و تزئینات آن جدیدتر از اصل کتاب است؛ خط: نستعلیق جلی ممتاز، کا: شاه قاسم، تا: صفر ۱۰۱۴ق؛ مجدول، کمند کشی زرین، صفحه اول یک سرلوح مذهب مرصع بسیار خوب؛ مهر: «ناصرالدین شاه قاجار» «مشير السلطنه ۱۳۲۲»، «محمد رضا الحسینی»، «حسین بن هدایت الله» ؛ کاغذ: اصفهانی، جلد: مقوای روغنی بوم طلائی گل وبو ته میناسازی. یک حاشیه زمینه مشکی زنجیره طلائی. (اندرون: گلی رنگ ساده)، ۲۹۶ص، ۱۳ سطر، قطع: نیم ورقی، اندازه: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سم [ف: ۳-۵۱۶]</w:t>
      </w:r>
    </w:p>
    <w:p>
      <w:pPr>
        <w:pStyle w:val="BookText"/>
      </w:pPr>
      <w:r>
        <w:rPr>
          <w:rFonts w:ascii="IRNazanin" w:hAnsi="IRNazanin" w:eastAsia="IRNazanin" w:cs="IRNazanin"/>
          <w:lang w:bidi="fa-IR"/>
          <w:color w:val="111111"/>
          <w:sz w:val="28"/>
          <w:szCs w:val="28"/>
          <w:rtl/>
        </w:rPr>
        <w:t xml:space="preserve">۷۷. تهران؛ مجلس؛ شماره نسخه: ۱۵۸۳۱</w:t>
      </w:r>
    </w:p>
    <w:p>
      <w:pPr>
        <w:pStyle w:val="BookText"/>
      </w:pPr>
      <w:r>
        <w:rPr>
          <w:rFonts w:ascii="IRNazanin" w:hAnsi="IRNazanin" w:eastAsia="IRNazanin" w:cs="IRNazanin"/>
          <w:lang w:bidi="fa-IR"/>
          <w:color w:val="111111"/>
          <w:sz w:val="28"/>
          <w:szCs w:val="28"/>
          <w:rtl/>
        </w:rPr>
        <w:t xml:space="preserve">آغاز: و گر در دهد یک صلای کرم***عزازیل گوید نصیبی برم؛ انجام: برابر خط: نستعلیق ممتاز، كا: سلطان محمد نور، تا: ۱۰۲۲ق؛ افتادگی: آغاز؛ جلد: تیماج قهوه ای سوخت دورو، ۲۰۲گ، ۱۰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۴۴-۸۹]</w:t>
      </w:r>
    </w:p>
    <w:p>
      <w:pPr>
        <w:pStyle w:val="BookText"/>
      </w:pPr>
      <w:r>
        <w:rPr>
          <w:rFonts w:ascii="IRNazanin" w:hAnsi="IRNazanin" w:eastAsia="IRNazanin" w:cs="IRNazanin"/>
          <w:lang w:bidi="fa-IR"/>
          <w:color w:val="111111"/>
          <w:sz w:val="28"/>
          <w:szCs w:val="28"/>
          <w:rtl/>
        </w:rPr>
        <w:t xml:space="preserve">۷۸. تهران، دانشگاه؛ شماره نسخه: ۲۰۱۶/۲۲ -ف</w:t>
      </w:r>
    </w:p>
    <w:p>
      <w:pPr>
        <w:pStyle w:val="BookText"/>
      </w:pPr>
      <w:r>
        <w:rPr>
          <w:rFonts w:ascii="IRNazanin" w:hAnsi="IRNazanin" w:eastAsia="IRNazanin" w:cs="IRNazanin"/>
          <w:lang w:bidi="fa-IR"/>
          <w:color w:val="111111"/>
          <w:sz w:val="28"/>
          <w:szCs w:val="28"/>
          <w:rtl/>
        </w:rPr>
        <w:t xml:space="preserve">انجام: برابر</w:t>
      </w:r>
    </w:p>
    <w:p>
      <w:pPr>
        <w:pStyle w:val="BookText"/>
      </w:pPr>
      <w:r>
        <w:rPr>
          <w:rFonts w:ascii="IRNazanin" w:hAnsi="IRNazanin" w:eastAsia="IRNazanin" w:cs="IRNazanin"/>
          <w:lang w:bidi="fa-IR"/>
          <w:color w:val="111111"/>
          <w:sz w:val="28"/>
          <w:szCs w:val="28"/>
          <w:rtl/>
        </w:rPr>
        <w:t xml:space="preserve">نسخه اصل: آغاز و انجام چند نسخه از کتابخانه های یوگسلاوی؛ بی کا، تا: رجب بن موسی ۱۰۲۸ق [فیلمها ف: ۱-۶۳۷]</w:t>
      </w:r>
    </w:p>
    <w:p>
      <w:pPr>
        <w:pStyle w:val="BookText"/>
      </w:pPr>
      <w:r>
        <w:rPr>
          <w:rFonts w:ascii="IRNazanin" w:hAnsi="IRNazanin" w:eastAsia="IRNazanin" w:cs="IRNazanin"/>
          <w:lang w:bidi="fa-IR"/>
          <w:color w:val="111111"/>
          <w:sz w:val="28"/>
          <w:szCs w:val="28"/>
          <w:rtl/>
        </w:rPr>
        <w:t xml:space="preserve">۷۹. مشهد؛ رضوی؛ شماره نسخه: ۲۴۲۹۴</w:t>
      </w:r>
    </w:p>
    <w:p>
      <w:pPr>
        <w:pStyle w:val="BookText"/>
      </w:pPr>
      <w:r>
        <w:rPr>
          <w:rFonts w:ascii="IRNazanin" w:hAnsi="IRNazanin" w:eastAsia="IRNazanin" w:cs="IRNazanin"/>
          <w:lang w:bidi="fa-IR"/>
          <w:color w:val="111111"/>
          <w:sz w:val="28"/>
          <w:szCs w:val="28"/>
          <w:rtl/>
        </w:rPr>
        <w:t xml:space="preserve">آغاز: دگر بنده چابک نیاید بکار***عزیزش ندارد خداوندگار؛</w:t>
      </w:r>
    </w:p>
    <w:p>
      <w:pPr>
        <w:pStyle w:val="BookText"/>
      </w:pPr>
      <w:r>
        <w:rPr>
          <w:rFonts w:ascii="IRNazanin" w:hAnsi="IRNazanin" w:eastAsia="IRNazanin" w:cs="IRNazanin"/>
          <w:lang w:bidi="fa-IR"/>
          <w:color w:val="111111"/>
          <w:sz w:val="28"/>
          <w:szCs w:val="28"/>
          <w:rtl/>
        </w:rPr>
        <w:t xml:space="preserve">انجام: برابر</w:t>
      </w:r>
    </w:p>
    <w:p>
      <w:pPr>
        <w:pStyle w:val="BookText"/>
      </w:pPr>
      <w:r>
        <w:rPr>
          <w:rFonts w:ascii="IRNazanin" w:hAnsi="IRNazanin" w:eastAsia="IRNazanin" w:cs="IRNazanin"/>
          <w:lang w:bidi="fa-IR"/>
          <w:color w:val="111111"/>
          <w:sz w:val="28"/>
          <w:szCs w:val="28"/>
          <w:rtl/>
        </w:rPr>
        <w:t xml:space="preserve">خط: نستعلیق خفی، بی کا، تا: ۱۰ رمضان ۱۰۳۴ق؛ کاغذ: آبی، جلد: تیماج، ۱۳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۸/۸ )، قطع: وزیری کوچک،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[رایانه ]</w:t>
      </w:r>
    </w:p>
    <w:p>
      <w:pPr>
        <w:pStyle w:val="BookText"/>
      </w:pPr>
      <w:r>
        <w:rPr>
          <w:rFonts w:ascii="IRNazanin" w:hAnsi="IRNazanin" w:eastAsia="IRNazanin" w:cs="IRNazanin"/>
          <w:lang w:bidi="fa-IR"/>
          <w:color w:val="111111"/>
          <w:sz w:val="28"/>
          <w:szCs w:val="28"/>
          <w:rtl/>
        </w:rPr>
        <w:t xml:space="preserve">۸۰. تهران، دانشگاه؛ شماره نسخه: ۲۴۶۶/۳</w:t>
      </w:r>
    </w:p>
    <w:p>
      <w:pPr>
        <w:pStyle w:val="BookText"/>
      </w:pPr>
      <w:r>
        <w:rPr>
          <w:rFonts w:ascii="IRNazanin" w:hAnsi="IRNazanin" w:eastAsia="IRNazanin" w:cs="IRNazanin"/>
          <w:lang w:bidi="fa-IR"/>
          <w:color w:val="111111"/>
          <w:sz w:val="28"/>
          <w:szCs w:val="28"/>
          <w:rtl/>
        </w:rPr>
        <w:t xml:space="preserve">(گزیده است)؛ خط: نستعلیق، بی کا، تا: ۱۴ ربیع الاول ۱۰۴۵ق؛ کاغذ: سپاهانی، جلد: تیماج قهوه ای ضربی زرکوب مقوایی با الولا، ۸۷ص (۴۷-۱۳۳)، ابعاد متن: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۱۲۳۴-۹ ]</w:t>
      </w:r>
    </w:p>
    <w:p>
      <w:pPr>
        <w:pStyle w:val="BookText"/>
      </w:pPr>
      <w:r>
        <w:rPr>
          <w:rFonts w:ascii="IRNazanin" w:hAnsi="IRNazanin" w:eastAsia="IRNazanin" w:cs="IRNazanin"/>
          <w:lang w:bidi="fa-IR"/>
          <w:color w:val="111111"/>
          <w:sz w:val="28"/>
          <w:szCs w:val="28"/>
          <w:rtl/>
        </w:rPr>
        <w:t xml:space="preserve">۸۱. مشهد: رضوی، شماره نسخه: ۱۹۸۵۸</w:t>
      </w:r>
    </w:p>
    <w:p>
      <w:pPr>
        <w:pStyle w:val="BookText"/>
      </w:pPr>
      <w:r>
        <w:rPr>
          <w:rFonts w:ascii="IRNazanin" w:hAnsi="IRNazanin" w:eastAsia="IRNazanin" w:cs="IRNazanin"/>
          <w:lang w:bidi="fa-IR"/>
          <w:color w:val="111111"/>
          <w:sz w:val="28"/>
          <w:szCs w:val="28"/>
          <w:rtl/>
        </w:rPr>
        <w:t xml:space="preserve">آغاز: بسمله بنام جهاندار جان آفرین</w:t>
      </w:r>
    </w:p>
    <w:p>
      <w:pPr>
        <w:pStyle w:val="BookText"/>
      </w:pPr>
      <w:r>
        <w:rPr>
          <w:rFonts w:ascii="IRNazanin" w:hAnsi="IRNazanin" w:eastAsia="IRNazanin" w:cs="IRNazanin"/>
          <w:lang w:bidi="fa-IR"/>
          <w:color w:val="111111"/>
          <w:sz w:val="28"/>
          <w:szCs w:val="28"/>
          <w:rtl/>
        </w:rPr>
        <w:t xml:space="preserve">خط: نستعلیق، کا: محمد على بن زرین رقم، تا: ۲۹ رمضان ۱۰۴۹ق؛ اهدایی: رهبری، خرداد ۱۳۷۳؛ کاغذ: نخودی، جلد: گالینگور، ۲۰۱گ، ۱۱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[رایانه]</w:t>
      </w:r>
    </w:p>
    <w:p>
      <w:pPr>
        <w:pStyle w:val="BookText"/>
      </w:pPr>
      <w:r>
        <w:rPr>
          <w:rFonts w:ascii="IRNazanin" w:hAnsi="IRNazanin" w:eastAsia="IRNazanin" w:cs="IRNazanin"/>
          <w:lang w:bidi="fa-IR"/>
          <w:color w:val="111111"/>
          <w:sz w:val="28"/>
          <w:szCs w:val="28"/>
          <w:rtl/>
        </w:rPr>
        <w:t xml:space="preserve">۸۲. قم؛ مسجد اعظم، شماره نسخه: ۲۰۸۶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نازیبا، كا: حسین بن ابراهیم، تا: ۱۰۵۲ق، جان شهر سرای» مدرسه خسروبیک؛ مجدول، محشى؛ جلد: مقوا با روکش اسلیمی با عطف تیماج سیاه، ۱۳۰ گ، ۱۷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مخ: ۱-۲۷۸]</w:t>
      </w:r>
    </w:p>
    <w:p>
      <w:pPr>
        <w:pStyle w:val="BookText"/>
      </w:pPr>
      <w:r>
        <w:rPr>
          <w:rFonts w:ascii="IRNazanin" w:hAnsi="IRNazanin" w:eastAsia="IRNazanin" w:cs="IRNazanin"/>
          <w:lang w:bidi="fa-IR"/>
          <w:color w:val="111111"/>
          <w:sz w:val="28"/>
          <w:szCs w:val="28"/>
          <w:rtl/>
        </w:rPr>
        <w:t xml:space="preserve">۸۳. تهران؛ سلطنتی؛ شماره نسخه: ۲۳۵/۹</w:t>
      </w:r>
    </w:p>
    <w:p>
      <w:pPr>
        <w:pStyle w:val="BookText"/>
      </w:pPr>
      <w:r>
        <w:rPr>
          <w:rFonts w:ascii="IRNazanin" w:hAnsi="IRNazanin" w:eastAsia="IRNazanin" w:cs="IRNazanin"/>
          <w:lang w:bidi="fa-IR"/>
          <w:color w:val="111111"/>
          <w:sz w:val="28"/>
          <w:szCs w:val="28"/>
          <w:rtl/>
        </w:rPr>
        <w:t xml:space="preserve">خط: نستعلیق، کا: مقصود علی شیرازی، تا: ۱۰۷۰ق؛ نقاشی آب و رنگ، در حواشی کتیبه ای مذهب، اشعاری از صبا در مدیح فتحعلیشاه قاجار: جمشید تاجبخش شهنشاه کامکار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عنوان</w:t>
      </w:r>
    </w:p>
    <w:p>
      <w:pPr>
        <w:pStyle w:val="BookText"/>
      </w:pPr>
      <w:r>
        <w:rPr>
          <w:rFonts w:ascii="IRNazanin" w:hAnsi="IRNazanin" w:eastAsia="IRNazanin" w:cs="IRNazanin"/>
          <w:lang w:bidi="fa-IR"/>
          <w:color w:val="111111"/>
          <w:sz w:val="28"/>
          <w:szCs w:val="28"/>
          <w:rtl/>
        </w:rPr>
        <w:t xml:space="preserve">فرخجسته و دیوان احتشام / ... / فرمود تا مصوری از سلک بندگان*** بنگارد این دو جلد بدان کلک نغز کار / افکنده سر بمحفلشان زد صبا رقم*** زیبنده مجلس شعرای بزرگوار؛ کاغذ: دولت آبادی، جلد: مقوای روغنی که در هر پاره مجلد مجلس تصویری از شعرا و عرفان جامی، سنائی، مولانا سعدی، حافظ، انوری ابیوردی، کمال اسمعیل، نظامی، فردوسی، خاقانی، مولانا ملای روم، شیخ سعدی، قطع: وزیری، اندازه:۱۹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۳۱/۵سم [ف: ۵۷۲-۳]</w:t>
      </w:r>
    </w:p>
    <w:p>
      <w:pPr>
        <w:pStyle w:val="BookText"/>
      </w:pPr>
      <w:r>
        <w:rPr>
          <w:rFonts w:ascii="IRNazanin" w:hAnsi="IRNazanin" w:eastAsia="IRNazanin" w:cs="IRNazanin"/>
          <w:lang w:bidi="fa-IR"/>
          <w:color w:val="111111"/>
          <w:sz w:val="28"/>
          <w:szCs w:val="28"/>
          <w:rtl/>
        </w:rPr>
        <w:t xml:space="preserve">۸۴. تهران، دانشگاه؛ شماره نسخه: ۱۴۲۷/۲</w:t>
      </w:r>
    </w:p>
    <w:p>
      <w:pPr>
        <w:pStyle w:val="BookText"/>
      </w:pPr>
      <w:r>
        <w:rPr>
          <w:rFonts w:ascii="IRNazanin" w:hAnsi="IRNazanin" w:eastAsia="IRNazanin" w:cs="IRNazanin"/>
          <w:lang w:bidi="fa-IR"/>
          <w:color w:val="111111"/>
          <w:sz w:val="28"/>
          <w:szCs w:val="28"/>
          <w:rtl/>
        </w:rPr>
        <w:t xml:space="preserve">خط: نستعلیق، كا: امام قلی ایمان غلام، تا: محرم ۱۰۷۴ق، خط شريف. مجدول زر و لاجورد؛ کاغذ: سپاهانی متن و حاشیه، جلد: تیماج تریاک ضربی زرکوب مقوایی، ۵۰گی (۳۷ر -۸۶ر)، ۲۰ سطر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۸-۱۰۰]</w:t>
      </w:r>
    </w:p>
    <w:p>
      <w:pPr>
        <w:pStyle w:val="BookText"/>
      </w:pPr>
      <w:r>
        <w:rPr>
          <w:rFonts w:ascii="IRNazanin" w:hAnsi="IRNazanin" w:eastAsia="IRNazanin" w:cs="IRNazanin"/>
          <w:lang w:bidi="fa-IR"/>
          <w:color w:val="111111"/>
          <w:sz w:val="28"/>
          <w:szCs w:val="28"/>
          <w:rtl/>
        </w:rPr>
        <w:t xml:space="preserve">۸۵. قم؛ گلپایگانی؛ شماره نسخه: ۴۶۳۳- ۲۳/۱۵۳</w:t>
      </w:r>
    </w:p>
    <w:p>
      <w:pPr>
        <w:pStyle w:val="BookText"/>
      </w:pPr>
      <w:r>
        <w:rPr>
          <w:rFonts w:ascii="IRNazanin" w:hAnsi="IRNazanin" w:eastAsia="IRNazanin" w:cs="IRNazanin"/>
          <w:lang w:bidi="fa-IR"/>
          <w:color w:val="111111"/>
          <w:sz w:val="28"/>
          <w:szCs w:val="28"/>
          <w:rtl/>
        </w:rPr>
        <w:t xml:space="preserve">آغاز: به امرش وجود از عدم نقش بست</w:t>
      </w:r>
      <w:r>
        <w:rPr>
          <w:rFonts w:ascii="IRNazanin" w:hAnsi="IRNazanin" w:eastAsia="IRNazanin" w:cs="IRNazanin"/>
          <w:lang w:bidi="fa-IR"/>
          <w:color w:val="111111"/>
          <w:sz w:val="28"/>
          <w:szCs w:val="28"/>
          <w:b w:val="1"/>
          <w:bCs w:val="1"/>
          <w:i w:val="1"/>
          <w:iCs w:val="1"/>
          <w:rtl/>
        </w:rPr>
        <w:t xml:space="preserve">که بازش چنین کردی از نیست هست / اگر ره به كتم عدم در نبرد</w:t>
      </w:r>
      <w:r>
        <w:rPr>
          <w:rFonts w:ascii="IRNazanin" w:hAnsi="IRNazanin" w:eastAsia="IRNazanin" w:cs="IRNazanin"/>
          <w:lang w:bidi="fa-IR"/>
          <w:color w:val="111111"/>
          <w:sz w:val="28"/>
          <w:szCs w:val="28"/>
          <w:rtl/>
        </w:rPr>
        <w:t xml:space="preserve"> از آنجا به صحرای محشر ببرد؛ انجام: در خاتمت كتاب گوید بیا تا بر آریم کامی ز دل ... که جرم آید از بندگان در وجود. خط: نستعلیق، بی کا، تا: قرن ۱۲؛ افتادگی: آغاز و انجام؛ جلد: تیماج مشکی، ۱۳۸، ۱۴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سم [ف: ۲-۶۳۱]</w:t>
      </w:r>
    </w:p>
    <w:p>
      <w:pPr>
        <w:pStyle w:val="BookText"/>
      </w:pPr>
      <w:r>
        <w:rPr>
          <w:rFonts w:ascii="IRNazanin" w:hAnsi="IRNazanin" w:eastAsia="IRNazanin" w:cs="IRNazanin"/>
          <w:lang w:bidi="fa-IR"/>
          <w:color w:val="111111"/>
          <w:sz w:val="28"/>
          <w:szCs w:val="28"/>
          <w:rtl/>
        </w:rPr>
        <w:t xml:space="preserve">۸۶. تهران؛ ملک؛ شماره نسخه: ۴۸۶۰</w:t>
      </w:r>
    </w:p>
    <w:p>
      <w:pPr>
        <w:pStyle w:val="BookText"/>
      </w:pPr>
      <w:r>
        <w:rPr>
          <w:rFonts w:ascii="IRNazanin" w:hAnsi="IRNazanin" w:eastAsia="IRNazanin" w:cs="IRNazanin"/>
          <w:lang w:bidi="fa-IR"/>
          <w:color w:val="111111"/>
          <w:sz w:val="28"/>
          <w:szCs w:val="28"/>
          <w:rtl/>
        </w:rPr>
        <w:t xml:space="preserve">خط: نستعلیق، بی کا، تا: قرن ۱۲؛ افتادگی: آغاز و انجام؛ کاغذ: کاغذ ترمه هندی، جلد: میشن آلبالویی سیر ضربی، ۱۱۸گ، ۱۵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۱۱/۷ سم [ف: ۲-۵۹]</w:t>
      </w:r>
    </w:p>
    <w:p>
      <w:pPr>
        <w:pStyle w:val="BookText"/>
      </w:pPr>
      <w:r>
        <w:rPr>
          <w:rFonts w:ascii="IRNazanin" w:hAnsi="IRNazanin" w:eastAsia="IRNazanin" w:cs="IRNazanin"/>
          <w:lang w:bidi="fa-IR"/>
          <w:color w:val="111111"/>
          <w:sz w:val="28"/>
          <w:szCs w:val="28"/>
          <w:rtl/>
        </w:rPr>
        <w:t xml:space="preserve">۸۷. تهران؛ ادبیات؛ شماره نسخه: ۱۴۰ - ج</w:t>
      </w:r>
    </w:p>
    <w:p>
      <w:pPr>
        <w:pStyle w:val="BookText"/>
      </w:pPr>
      <w:r>
        <w:rPr>
          <w:rFonts w:ascii="IRNazanin" w:hAnsi="IRNazanin" w:eastAsia="IRNazanin" w:cs="IRNazanin"/>
          <w:lang w:bidi="fa-IR"/>
          <w:color w:val="111111"/>
          <w:sz w:val="28"/>
          <w:szCs w:val="28"/>
          <w:rtl/>
        </w:rPr>
        <w:t xml:space="preserve">خط: نستعلیق، بی کا، تا: قرن ۱۲؛ افتادگی: آغاز؛ مجدول؛ کاغذ: سپاهانی متن و حاشیه، جلد: روغنی مقوایی عطف تیماج مشکی، ۱۳۳گ، ۱۵ سطر (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۱-۴۷]</w:t>
      </w:r>
    </w:p>
    <w:p>
      <w:pPr>
        <w:pStyle w:val="BookText"/>
      </w:pPr>
      <w:r>
        <w:rPr>
          <w:rFonts w:ascii="IRNazanin" w:hAnsi="IRNazanin" w:eastAsia="IRNazanin" w:cs="IRNazanin"/>
          <w:lang w:bidi="fa-IR"/>
          <w:color w:val="111111"/>
          <w:sz w:val="28"/>
          <w:szCs w:val="28"/>
          <w:rtl/>
        </w:rPr>
        <w:t xml:space="preserve">۸۸. کاشان؛ عاطفی، حسن؛ شماره نسخه: بدون شماره</w:t>
      </w:r>
    </w:p>
    <w:p>
      <w:pPr>
        <w:pStyle w:val="BookText"/>
      </w:pPr>
      <w:r>
        <w:rPr>
          <w:rFonts w:ascii="IRNazanin" w:hAnsi="IRNazanin" w:eastAsia="IRNazanin" w:cs="IRNazanin"/>
          <w:lang w:bidi="fa-IR"/>
          <w:color w:val="111111"/>
          <w:sz w:val="28"/>
          <w:szCs w:val="28"/>
          <w:rtl/>
        </w:rPr>
        <w:t xml:space="preserve">خط: نستعلیق، بی کا، تا: قرن ۱۲؛ افتادگی: آغاز و انجام؛ کاغذ: فرنگی،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سم (نشریه: ۷-۷۲۴]</w:t>
      </w:r>
    </w:p>
    <w:p>
      <w:pPr>
        <w:pStyle w:val="BookText"/>
      </w:pPr>
      <w:r>
        <w:rPr>
          <w:rFonts w:ascii="IRNazanin" w:hAnsi="IRNazanin" w:eastAsia="IRNazanin" w:cs="IRNazanin"/>
          <w:lang w:bidi="fa-IR"/>
          <w:color w:val="111111"/>
          <w:sz w:val="28"/>
          <w:szCs w:val="28"/>
          <w:rtl/>
        </w:rPr>
        <w:t xml:space="preserve">۸۹. قم؛ گلپایگانی؛ شماره نسخه: ۴۳۵۳/۲ - ۲۲/۷۳</w:t>
      </w:r>
    </w:p>
    <w:p>
      <w:pPr>
        <w:pStyle w:val="BookText"/>
      </w:pPr>
      <w:r>
        <w:rPr>
          <w:rFonts w:ascii="IRNazanin" w:hAnsi="IRNazanin" w:eastAsia="IRNazanin" w:cs="IRNazanin"/>
          <w:lang w:bidi="fa-IR"/>
          <w:color w:val="111111"/>
          <w:sz w:val="28"/>
          <w:szCs w:val="28"/>
          <w:rtl/>
        </w:rPr>
        <w:t xml:space="preserve">آغاز: برابر؛ انجام: برابر؛ الهی گناه مرا از کرم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بخشی به الطاف از بیش و کم</w:t>
      </w:r>
    </w:p>
    <w:p>
      <w:pPr>
        <w:pStyle w:val="BookText"/>
      </w:pPr>
      <w:r>
        <w:rPr>
          <w:rFonts w:ascii="IRNazanin" w:hAnsi="IRNazanin" w:eastAsia="IRNazanin" w:cs="IRNazanin"/>
          <w:lang w:bidi="fa-IR"/>
          <w:color w:val="111111"/>
          <w:sz w:val="28"/>
          <w:szCs w:val="28"/>
          <w:rtl/>
        </w:rPr>
        <w:t xml:space="preserve">خط: نستعلیق شکسته، بی کا، تا: قرن ۱۲؛ جلد: تیماج مشکی، ۱۷۳گ، ۱۲ سطر، اندازه: ۲۰۱۴سم [ف: ۲-۶۳۱]</w:t>
      </w:r>
    </w:p>
    <w:p>
      <w:pPr>
        <w:pStyle w:val="BookText"/>
      </w:pPr>
      <w:r>
        <w:rPr>
          <w:rFonts w:ascii="IRNazanin" w:hAnsi="IRNazanin" w:eastAsia="IRNazanin" w:cs="IRNazanin"/>
          <w:lang w:bidi="fa-IR"/>
          <w:color w:val="111111"/>
          <w:sz w:val="28"/>
          <w:szCs w:val="28"/>
          <w:rtl/>
        </w:rPr>
        <w:t xml:space="preserve">۹۰. قم؛ مرعشی؛ شماره نسخه: ۹۲۰۵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۱۲؛ مجدول به زر و مشکی، دارای سر لوح مختصر؛ جلد: مقوایی عطف و حاشیه ها تیماج قهوه ای، ۱۴۵گ، ۱۵ 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۲۴-۷]</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مشهد؛ رضوی؛ شماره نسخه: ۲۰۰۳۰</w:t>
      </w:r>
    </w:p>
    <w:p>
      <w:pPr>
        <w:pStyle w:val="BookText"/>
      </w:pPr>
      <w:r>
        <w:rPr>
          <w:rFonts w:ascii="IRNazanin" w:hAnsi="IRNazanin" w:eastAsia="IRNazanin" w:cs="IRNazanin"/>
          <w:lang w:bidi="fa-IR"/>
          <w:color w:val="111111"/>
          <w:sz w:val="28"/>
          <w:szCs w:val="28"/>
          <w:rtl/>
        </w:rPr>
        <w:t xml:space="preserve">آغاز: برابر، انجام و اجعل قدره و ضاعف درجه بحق الحق و النبي المطلق خط: نستعلیق، کا: محمد بن هدایت الله لاهوری، تا: قرن ۱۲؛ کاغذ: نخودی، جلد: مقوا، ۱۵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۹سم [رایانه ]</w:t>
      </w:r>
    </w:p>
    <w:p>
      <w:pPr>
        <w:pStyle w:val="BookText"/>
      </w:pPr>
      <w:r>
        <w:rPr>
          <w:rFonts w:ascii="IRNazanin" w:hAnsi="IRNazanin" w:eastAsia="IRNazanin" w:cs="IRNazanin"/>
          <w:lang w:bidi="fa-IR"/>
          <w:color w:val="111111"/>
          <w:sz w:val="28"/>
          <w:szCs w:val="28"/>
          <w:rtl/>
        </w:rPr>
        <w:t xml:space="preserve">۹۲. قم؛ معصومیه؛ شماره نسخه: ۷۱/۳ -۵۹۴۸</w:t>
      </w:r>
    </w:p>
    <w:p>
      <w:pPr>
        <w:pStyle w:val="BookText"/>
      </w:pPr>
      <w:r>
        <w:rPr>
          <w:rFonts w:ascii="IRNazanin" w:hAnsi="IRNazanin" w:eastAsia="IRNazanin" w:cs="IRNazanin"/>
          <w:lang w:bidi="fa-IR"/>
          <w:color w:val="111111"/>
          <w:sz w:val="28"/>
          <w:szCs w:val="28"/>
          <w:rtl/>
        </w:rPr>
        <w:t xml:space="preserve">خط: نستعلیق، بی کا، تا: قرن ۱۲؛ با ده تصویر انسانی و جز آن به زر آراسته؛ کاغذ: سپاهانی، جلد: تیماج مشکی، با جدول زرین، ۱۳۰گ، ۱۵ سطر، قطع: وزيري [ آستانه قم:-۸۴]</w:t>
      </w:r>
    </w:p>
    <w:p>
      <w:pPr>
        <w:pStyle w:val="BookText"/>
      </w:pPr>
      <w:r>
        <w:rPr>
          <w:rFonts w:ascii="IRNazanin" w:hAnsi="IRNazanin" w:eastAsia="IRNazanin" w:cs="IRNazanin"/>
          <w:lang w:bidi="fa-IR"/>
          <w:color w:val="111111"/>
          <w:sz w:val="28"/>
          <w:szCs w:val="28"/>
          <w:rtl/>
        </w:rPr>
        <w:t xml:space="preserve">۹۳. تهران؛ دانشگاه؛ شماره نسخه: ۲۹۹۸</w:t>
      </w:r>
    </w:p>
    <w:p>
      <w:pPr>
        <w:pStyle w:val="BookText"/>
      </w:pPr>
      <w:r>
        <w:rPr>
          <w:rFonts w:ascii="IRNazanin" w:hAnsi="IRNazanin" w:eastAsia="IRNazanin" w:cs="IRNazanin"/>
          <w:lang w:bidi="fa-IR"/>
          <w:color w:val="111111"/>
          <w:sz w:val="28"/>
          <w:szCs w:val="28"/>
          <w:rtl/>
        </w:rPr>
        <w:t xml:space="preserve">خط: نستعلیق، بی کا، تا: قرن ۱۲؛ مجدول شنگرف و زر و لاجورد، سرلوح زرین و آراسته رنگارنگی کاغذ: فرنگی نخودی، جلد: روغنی با گل و بوته بسیار زیبا درون سرخ، ۱۱۸گ، ۱۱ سطر (۱۵۷۸)، اندازه: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۲۰/۵سم [ف: ۱۰-۱۹۲۰]</w:t>
      </w:r>
    </w:p>
    <w:p>
      <w:pPr>
        <w:pStyle w:val="BookText"/>
      </w:pPr>
      <w:r>
        <w:rPr>
          <w:rFonts w:ascii="IRNazanin" w:hAnsi="IRNazanin" w:eastAsia="IRNazanin" w:cs="IRNazanin"/>
          <w:lang w:bidi="fa-IR"/>
          <w:color w:val="111111"/>
          <w:sz w:val="28"/>
          <w:szCs w:val="28"/>
          <w:rtl/>
        </w:rPr>
        <w:t xml:space="preserve">۹۴. تهران؛ مفتاح، شماره نسخه: ۹۱۶</w:t>
      </w:r>
    </w:p>
    <w:p>
      <w:pPr>
        <w:pStyle w:val="BookText"/>
      </w:pPr>
      <w:r>
        <w:rPr>
          <w:rFonts w:ascii="IRNazanin" w:hAnsi="IRNazanin" w:eastAsia="IRNazanin" w:cs="IRNazanin"/>
          <w:lang w:bidi="fa-IR"/>
          <w:color w:val="111111"/>
          <w:sz w:val="28"/>
          <w:szCs w:val="28"/>
          <w:rtl/>
        </w:rPr>
        <w:t xml:space="preserve">گزیده است؛ خط: نستعلیق خوش، بی کا، تا: قرن ۱۲؛ جدول زر و لاجورد، با پیشانی زرین؛ ۱۲۹ گ، قطع: ربعی [نشریه: ۷-۱۰۸]</w:t>
      </w:r>
    </w:p>
    <w:p>
      <w:pPr>
        <w:pStyle w:val="BookText"/>
      </w:pPr>
      <w:r>
        <w:rPr>
          <w:rFonts w:ascii="IRNazanin" w:hAnsi="IRNazanin" w:eastAsia="IRNazanin" w:cs="IRNazanin"/>
          <w:lang w:bidi="fa-IR"/>
          <w:color w:val="111111"/>
          <w:sz w:val="28"/>
          <w:szCs w:val="28"/>
          <w:rtl/>
        </w:rPr>
        <w:t xml:space="preserve">۹۵. قم، مسجد اعظم؛ شماره نسخه: ۲۷۰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عبدالله بن يوسف، تا: ذیحجه ۱۱۲۷ق؛ محشی با نشان «س» که سودی می باشد؛ جلد: مقوا عطف پلاستیک، ۲۰۲گ، مختلف السطر،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مخ: ۱-۲۷۸]</w:t>
      </w:r>
    </w:p>
    <w:p>
      <w:pPr>
        <w:pStyle w:val="BookText"/>
      </w:pPr>
      <w:r>
        <w:rPr>
          <w:rFonts w:ascii="IRNazanin" w:hAnsi="IRNazanin" w:eastAsia="IRNazanin" w:cs="IRNazanin"/>
          <w:lang w:bidi="fa-IR"/>
          <w:color w:val="111111"/>
          <w:sz w:val="28"/>
          <w:szCs w:val="28"/>
          <w:rtl/>
        </w:rPr>
        <w:t xml:space="preserve">۹۶. تهران: ملک؛ شماره نسخه: ۴۹۴۷/۲</w:t>
      </w:r>
    </w:p>
    <w:p>
      <w:pPr>
        <w:pStyle w:val="BookText"/>
      </w:pPr>
      <w:r>
        <w:rPr>
          <w:rFonts w:ascii="IRNazanin" w:hAnsi="IRNazanin" w:eastAsia="IRNazanin" w:cs="IRNazanin"/>
          <w:lang w:bidi="fa-IR"/>
          <w:color w:val="111111"/>
          <w:sz w:val="28"/>
          <w:szCs w:val="28"/>
          <w:rtl/>
        </w:rPr>
        <w:t xml:space="preserve">خط: نستعلیق خوش، بی کا، تا: ۱۱۶۹ق؛ مجدول، مذهب؛ کاغذ: نوعی ترمه، جلد: روغنی گل و بوته زمینه زرد، ۱۱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۸-۱۴۱]</w:t>
      </w:r>
    </w:p>
    <w:p>
      <w:pPr>
        <w:pStyle w:val="BookText"/>
      </w:pPr>
      <w:r>
        <w:rPr>
          <w:rFonts w:ascii="IRNazanin" w:hAnsi="IRNazanin" w:eastAsia="IRNazanin" w:cs="IRNazanin"/>
          <w:lang w:bidi="fa-IR"/>
          <w:color w:val="111111"/>
          <w:sz w:val="28"/>
          <w:szCs w:val="28"/>
          <w:rtl/>
        </w:rPr>
        <w:t xml:space="preserve">۹۷. مشهد؛ گوهرشاد؛ شماره نسخه: ۲۰۵۱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۱۳؛ کاغذ: نخودی آهار مهره، جلد: میشن قهوه ای، ۱۹۷گ، ۱۱ سطر، قطع: ربعی، اندازه: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۱۷/۵ سم [ف: ۵- ۴۳۰]</w:t>
      </w:r>
    </w:p>
    <w:p>
      <w:pPr>
        <w:pStyle w:val="BookText"/>
      </w:pPr>
      <w:r>
        <w:rPr>
          <w:rFonts w:ascii="IRNazanin" w:hAnsi="IRNazanin" w:eastAsia="IRNazanin" w:cs="IRNazanin"/>
          <w:lang w:bidi="fa-IR"/>
          <w:color w:val="111111"/>
          <w:sz w:val="28"/>
          <w:szCs w:val="28"/>
          <w:rtl/>
        </w:rPr>
        <w:t xml:space="preserve">۹۸. اصفهان؛ ابوالبرکات، رضا، شماره نسخه: ۴۹</w:t>
      </w:r>
    </w:p>
    <w:p>
      <w:pPr>
        <w:pStyle w:val="BookText"/>
      </w:pPr>
      <w:r>
        <w:rPr>
          <w:rFonts w:ascii="IRNazanin" w:hAnsi="IRNazanin" w:eastAsia="IRNazanin" w:cs="IRNazanin"/>
          <w:lang w:bidi="fa-IR"/>
          <w:color w:val="111111"/>
          <w:sz w:val="28"/>
          <w:szCs w:val="28"/>
          <w:rtl/>
        </w:rPr>
        <w:t xml:space="preserve">خط: نستعلیق، بی کا، تا: قرن ۱۳؛ جلد: تیماج قهوه ای بدون مقوا، ۱۱۱ ، ۱۲سطر [سه کتابخانه اصفهان: ف: ۵۳]</w:t>
      </w:r>
    </w:p>
    <w:p>
      <w:pPr>
        <w:pStyle w:val="BookText"/>
      </w:pPr>
      <w:r>
        <w:rPr>
          <w:rFonts w:ascii="IRNazanin" w:hAnsi="IRNazanin" w:eastAsia="IRNazanin" w:cs="IRNazanin"/>
          <w:lang w:bidi="fa-IR"/>
          <w:color w:val="111111"/>
          <w:sz w:val="28"/>
          <w:szCs w:val="28"/>
          <w:rtl/>
        </w:rPr>
        <w:t xml:space="preserve">۹۹. تهران؛ سلطنتی؛ شماره نسخه: ۱۷۱۴/۲</w:t>
      </w:r>
    </w:p>
    <w:p>
      <w:pPr>
        <w:pStyle w:val="BookText"/>
      </w:pPr>
      <w:r>
        <w:rPr>
          <w:rFonts w:ascii="IRNazanin" w:hAnsi="IRNazanin" w:eastAsia="IRNazanin" w:cs="IRNazanin"/>
          <w:lang w:bidi="fa-IR"/>
          <w:color w:val="111111"/>
          <w:sz w:val="28"/>
          <w:szCs w:val="28"/>
          <w:rtl/>
        </w:rPr>
        <w:t xml:space="preserve">خط: نستعلیق، بی کا، تا: قرن ۱۳؛ کاغذ: فرنگی نباتی رنگ، جلد: مقوای روغنی بوم حنایی طلایی منقش به گل و برگ های تزئینی الوان در حاشیه باریک بوم مشکی دانه تسبیحی زرین بینهما یک حاشیه زمینه عنابی ریسه گل مینا، قطع: وزیری،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۳-۵۹۸]</w:t>
      </w:r>
    </w:p>
    <w:p>
      <w:pPr>
        <w:pStyle w:val="BookText"/>
      </w:pPr>
      <w:r>
        <w:rPr>
          <w:rFonts w:ascii="IRNazanin" w:hAnsi="IRNazanin" w:eastAsia="IRNazanin" w:cs="IRNazanin"/>
          <w:lang w:bidi="fa-IR"/>
          <w:color w:val="111111"/>
          <w:sz w:val="28"/>
          <w:szCs w:val="28"/>
          <w:rtl/>
        </w:rPr>
        <w:t xml:space="preserve">۱۰۰. تهران؛ سلطنتی، شماره نسخه: ۳۸۴/۱۰</w:t>
      </w:r>
    </w:p>
    <w:p>
      <w:pPr>
        <w:pStyle w:val="BookText"/>
      </w:pPr>
      <w:r>
        <w:rPr>
          <w:rFonts w:ascii="IRNazanin" w:hAnsi="IRNazanin" w:eastAsia="IRNazanin" w:cs="IRNazanin"/>
          <w:lang w:bidi="fa-IR"/>
          <w:color w:val="111111"/>
          <w:sz w:val="28"/>
          <w:szCs w:val="28"/>
          <w:rtl/>
        </w:rPr>
        <w:t xml:space="preserve">خط: شکسته نستعلیق خفی خوش، كا: میر محمد محسن اصفهانی ابن محمد محسن حسنی، تا: قرن ۱۳</w:t>
      </w:r>
    </w:p>
    <w:p>
      <w:pPr>
        <w:pStyle w:val="BookText"/>
      </w:pPr>
      <w:r>
        <w:rPr>
          <w:rFonts w:ascii="IRNazanin" w:hAnsi="IRNazanin" w:eastAsia="IRNazanin" w:cs="IRNazanin"/>
          <w:lang w:bidi="fa-IR"/>
          <w:color w:val="111111"/>
          <w:sz w:val="28"/>
          <w:szCs w:val="28"/>
          <w:rtl/>
        </w:rPr>
        <w:t xml:space="preserve">کاغذ: ترمه، جلد: مقوای روغنی بوم مرغشی قهوه ای سوخته منقش و مذهب به گل و برگ های الوان، قطع: وزیری،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 سم [ف: ۳-۵۳۸]</w:t>
      </w:r>
    </w:p>
    <w:p>
      <w:pPr>
        <w:pStyle w:val="BookText"/>
      </w:pPr>
      <w:r>
        <w:rPr>
          <w:rFonts w:ascii="IRNazanin" w:hAnsi="IRNazanin" w:eastAsia="IRNazanin" w:cs="IRNazanin"/>
          <w:lang w:bidi="fa-IR"/>
          <w:color w:val="111111"/>
          <w:sz w:val="28"/>
          <w:szCs w:val="28"/>
          <w:rtl/>
        </w:rPr>
        <w:t xml:space="preserve">۱۰۱. تهران، دانشگاه؛ شماره نسخه: ۶۱۷۲</w:t>
      </w:r>
    </w:p>
    <w:p>
      <w:pPr>
        <w:pStyle w:val="BookText"/>
      </w:pPr>
      <w:r>
        <w:rPr>
          <w:rFonts w:ascii="IRNazanin" w:hAnsi="IRNazanin" w:eastAsia="IRNazanin" w:cs="IRNazanin"/>
          <w:lang w:bidi="fa-IR"/>
          <w:color w:val="111111"/>
          <w:sz w:val="28"/>
          <w:szCs w:val="28"/>
          <w:rtl/>
        </w:rPr>
        <w:t xml:space="preserve">خط: نستعلیق، بی کا، تا: قرن ۱۳؛ افتادگی: آغاز؛ کاغذ: فرنگی، جلد: تیماج مشکی ترنجی مقوایی، ۱۵۴گی، ۱۲ سطر (۱۴۶۸)، قطع: ربعی،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۱۶-۲۱۱]</w:t>
      </w:r>
    </w:p>
    <w:p>
      <w:pPr>
        <w:pStyle w:val="BookText"/>
      </w:pPr>
      <w:r>
        <w:rPr>
          <w:rFonts w:ascii="IRNazanin" w:hAnsi="IRNazanin" w:eastAsia="IRNazanin" w:cs="IRNazanin"/>
          <w:lang w:bidi="fa-IR"/>
          <w:color w:val="111111"/>
          <w:sz w:val="28"/>
          <w:szCs w:val="28"/>
          <w:rtl/>
        </w:rPr>
        <w:t xml:space="preserve">۱۰۲. قم؛ گلپایگانی شماره نسخه: ۳۳۴۶- ۱۷/۲۲۶</w:t>
      </w:r>
    </w:p>
    <w:p>
      <w:pPr>
        <w:pStyle w:val="BookText"/>
      </w:pPr>
      <w:r>
        <w:rPr>
          <w:rFonts w:ascii="IRNazanin" w:hAnsi="IRNazanin" w:eastAsia="IRNazanin" w:cs="IRNazanin"/>
          <w:lang w:bidi="fa-IR"/>
          <w:color w:val="111111"/>
          <w:sz w:val="28"/>
          <w:szCs w:val="28"/>
          <w:rtl/>
        </w:rPr>
        <w:t xml:space="preserve">آغاز: ای نفس خرم باد صبا</w:t>
      </w:r>
      <w:r>
        <w:rPr>
          <w:rFonts w:ascii="IRNazanin" w:hAnsi="IRNazanin" w:eastAsia="IRNazanin" w:cs="IRNazanin"/>
          <w:lang w:bidi="fa-IR"/>
          <w:color w:val="111111"/>
          <w:sz w:val="28"/>
          <w:szCs w:val="28"/>
          <w:b w:val="1"/>
          <w:bCs w:val="1"/>
          <w:i w:val="1"/>
          <w:iCs w:val="1"/>
          <w:rtl/>
        </w:rPr>
        <w:t xml:space="preserve">از بریار آمده ای مرحبا / قافله شب چوشنیدی زروز</w:t>
      </w:r>
      <w:r>
        <w:rPr>
          <w:rFonts w:ascii="IRNazanin" w:hAnsi="IRNazanin" w:eastAsia="IRNazanin" w:cs="IRNazanin"/>
          <w:lang w:bidi="fa-IR"/>
          <w:color w:val="111111"/>
          <w:sz w:val="28"/>
          <w:szCs w:val="28"/>
          <w:rtl/>
        </w:rPr>
        <w:t xml:space="preserve">مرغ سلیمان چه خبر از سنا؛ انجام: بامدادان تا به شب رویت نپوش</w:t>
      </w:r>
      <w:r>
        <w:rPr>
          <w:rFonts w:ascii="IRNazanin" w:hAnsi="IRNazanin" w:eastAsia="IRNazanin" w:cs="IRNazanin"/>
          <w:lang w:bidi="fa-IR"/>
          <w:color w:val="111111"/>
          <w:sz w:val="28"/>
          <w:szCs w:val="28"/>
          <w:b w:val="1"/>
          <w:bCs w:val="1"/>
          <w:i w:val="1"/>
          <w:iCs w:val="1"/>
          <w:rtl/>
        </w:rPr>
        <w:t xml:space="preserve">تا بپوشانی جمال آفتاب / سعدیا گر دربرش خواهی چو چنگ</w:t>
      </w:r>
      <w:r>
        <w:rPr>
          <w:rFonts w:ascii="IRNazanin" w:hAnsi="IRNazanin" w:eastAsia="IRNazanin" w:cs="IRNazanin"/>
          <w:lang w:bidi="fa-IR"/>
          <w:color w:val="111111"/>
          <w:sz w:val="28"/>
          <w:szCs w:val="28"/>
          <w:rtl/>
        </w:rPr>
        <w:t xml:space="preserve">گوشمالت خورد باید چون رباب</w:t>
      </w:r>
    </w:p>
    <w:p>
      <w:pPr>
        <w:pStyle w:val="BookText"/>
      </w:pPr>
      <w:r>
        <w:rPr>
          <w:rFonts w:ascii="IRNazanin" w:hAnsi="IRNazanin" w:eastAsia="IRNazanin" w:cs="IRNazanin"/>
          <w:lang w:bidi="fa-IR"/>
          <w:color w:val="111111"/>
          <w:sz w:val="28"/>
          <w:szCs w:val="28"/>
          <w:rtl/>
        </w:rPr>
        <w:t xml:space="preserve">بی کا، تا: قرن ۱۳؛ مجدول؛ جلد: تیماج قهوه ای ضربی مجدول گرهی، ۱۲۵گ، ۸ سطر، قطع: بياض رقعی، اندازه: ۱۷۶۷ سم [ف: ۶۳۲-۲ ]</w:t>
      </w:r>
    </w:p>
    <w:p>
      <w:pPr>
        <w:pStyle w:val="BookText"/>
      </w:pPr>
      <w:r>
        <w:rPr>
          <w:rFonts w:ascii="IRNazanin" w:hAnsi="IRNazanin" w:eastAsia="IRNazanin" w:cs="IRNazanin"/>
          <w:lang w:bidi="fa-IR"/>
          <w:color w:val="111111"/>
          <w:sz w:val="28"/>
          <w:szCs w:val="28"/>
          <w:rtl/>
        </w:rPr>
        <w:t xml:space="preserve">۱۰۳. تهران؛ ملک؛ شماره نسخه: ۵۴۷۱</w:t>
      </w:r>
    </w:p>
    <w:p>
      <w:pPr>
        <w:pStyle w:val="BookText"/>
      </w:pPr>
      <w:r>
        <w:rPr>
          <w:rFonts w:ascii="IRNazanin" w:hAnsi="IRNazanin" w:eastAsia="IRNazanin" w:cs="IRNazanin"/>
          <w:lang w:bidi="fa-IR"/>
          <w:color w:val="111111"/>
          <w:sz w:val="28"/>
          <w:szCs w:val="28"/>
          <w:rtl/>
        </w:rPr>
        <w:t xml:space="preserve">خط: نستعلیق، بی کا، تا: قرن ۱۳؛ مجدول؛ کاغذ: کاغذ فرنگی آهار مهره، جلد: میشن قهوه ای، ۷۱گ، ۱۵ سطر، اندازه: ۲۶/۶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۱۷/۸ سم [ف: ۲-۵۹]</w:t>
      </w:r>
    </w:p>
    <w:p>
      <w:pPr>
        <w:pStyle w:val="BookText"/>
      </w:pPr>
      <w:r>
        <w:rPr>
          <w:rFonts w:ascii="IRNazanin" w:hAnsi="IRNazanin" w:eastAsia="IRNazanin" w:cs="IRNazanin"/>
          <w:lang w:bidi="fa-IR"/>
          <w:color w:val="111111"/>
          <w:sz w:val="28"/>
          <w:szCs w:val="28"/>
          <w:rtl/>
        </w:rPr>
        <w:t xml:space="preserve">۱۰۴. مشهد؛ رضوی؛ شماره نسخه: ۱۵۲۱۲</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کامل؛ خط: نستعلیق، بی کا، تا: ۱۲۰۰ق؛ کاغذ: شکری آهاری، جلد: میشن زرشکی، ۸۰گ، ۱۵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۱۷-۳۴]</w:t>
      </w:r>
    </w:p>
    <w:p>
      <w:pPr>
        <w:pStyle w:val="BookText"/>
      </w:pPr>
      <w:r>
        <w:rPr>
          <w:rFonts w:ascii="IRNazanin" w:hAnsi="IRNazanin" w:eastAsia="IRNazanin" w:cs="IRNazanin"/>
          <w:lang w:bidi="fa-IR"/>
          <w:color w:val="111111"/>
          <w:sz w:val="28"/>
          <w:szCs w:val="28"/>
          <w:rtl/>
        </w:rPr>
        <w:t xml:space="preserve">۱۰۵. مشهد؛ رضوی؛ شماره نسخه: ۱۰۶۷۰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بی کا، تا: قرن ۱۳؛ چهار ستونی، دارای سرلوح مذهب مرصع عمل مذهبان شیراز، حواشی دو صفحه اول و دوم دارای گل و بوته به شیوه اسلیمی، مجدول بزر، دارای تحریر و کمند؛ جلد: روغنی دو رو، ۷۴گ، ۱۳ سطر، قطع: رحلی،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۹-۹۰]</w:t>
      </w:r>
    </w:p>
    <w:p>
      <w:pPr>
        <w:pStyle w:val="BookText"/>
      </w:pPr>
      <w:r>
        <w:rPr>
          <w:rFonts w:ascii="IRNazanin" w:hAnsi="IRNazanin" w:eastAsia="IRNazanin" w:cs="IRNazanin"/>
          <w:lang w:bidi="fa-IR"/>
          <w:color w:val="111111"/>
          <w:sz w:val="28"/>
          <w:szCs w:val="28"/>
          <w:rtl/>
        </w:rPr>
        <w:t xml:space="preserve">۱۰۶. تهران، دانشگاه؛ شماره نسخه: ۱۰۸۹۶/۸</w:t>
      </w:r>
    </w:p>
    <w:p>
      <w:pPr>
        <w:pStyle w:val="BookText"/>
      </w:pPr>
      <w:r>
        <w:rPr>
          <w:rFonts w:ascii="IRNazanin" w:hAnsi="IRNazanin" w:eastAsia="IRNazanin" w:cs="IRNazanin"/>
          <w:lang w:bidi="fa-IR"/>
          <w:color w:val="111111"/>
          <w:sz w:val="28"/>
          <w:szCs w:val="28"/>
          <w:rtl/>
        </w:rPr>
        <w:t xml:space="preserve">خط: نستعلیق، بی کا، تا: قرن ۱۳؛ مجدول به زر و لاجورد و شنگرف؛ جلد: روغنی دورو، با ترنج و سرترنج و لچکی و جدول، با کتیبه بازوبندی دور تا دور آن، درون کتیبه غزلی از حافظ نوشته شده با تاریخ: «در يوم چهارشنبه هشتم شهر جمادی الاخرى مطابق اودئيل في سنة ۱۲۵۷» در هر دو دفه جلد. در دفه اول این غزل حافظ نوشته شده: سرو بالا بلند خوش رفتار *** دلبر نازنین دل رخسار. و در دفه دوم این غزل: دل شوق لبت مدام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یا رب ز لبت چه کام دارد، عطف تیماج تریاکی، ۵۷گ ( ۱۰۵-۴۹ ر)، مختلف السطر، اندازه: ۲۸/۵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سم [ف: ۲۰-۴۷۲]</w:t>
      </w:r>
    </w:p>
    <w:p>
      <w:pPr>
        <w:pStyle w:val="BookText"/>
      </w:pPr>
      <w:r>
        <w:rPr>
          <w:rFonts w:ascii="IRNazanin" w:hAnsi="IRNazanin" w:eastAsia="IRNazanin" w:cs="IRNazanin"/>
          <w:lang w:bidi="fa-IR"/>
          <w:color w:val="111111"/>
          <w:sz w:val="28"/>
          <w:szCs w:val="28"/>
          <w:rtl/>
        </w:rPr>
        <w:t xml:space="preserve">تهران؛ مفتاح؛ شماره نسخه: ۱۰۹۳</w:t>
      </w:r>
    </w:p>
    <w:p>
      <w:pPr>
        <w:pStyle w:val="BookText"/>
      </w:pPr>
      <w:r>
        <w:rPr>
          <w:rFonts w:ascii="IRNazanin" w:hAnsi="IRNazanin" w:eastAsia="IRNazanin" w:cs="IRNazanin"/>
          <w:lang w:bidi="fa-IR"/>
          <w:color w:val="111111"/>
          <w:sz w:val="28"/>
          <w:szCs w:val="28"/>
          <w:rtl/>
        </w:rPr>
        <w:t xml:space="preserve">همان نسخه بالا [نشریه: ۷-۱۰۸]</w:t>
      </w:r>
    </w:p>
    <w:p>
      <w:pPr>
        <w:pStyle w:val="BookText"/>
      </w:pPr>
      <w:r>
        <w:rPr>
          <w:rFonts w:ascii="IRNazanin" w:hAnsi="IRNazanin" w:eastAsia="IRNazanin" w:cs="IRNazanin"/>
          <w:lang w:bidi="fa-IR"/>
          <w:color w:val="111111"/>
          <w:sz w:val="28"/>
          <w:szCs w:val="28"/>
          <w:rtl/>
        </w:rPr>
        <w:t xml:space="preserve">۱۰۷. تهران: دانشگاه؛ شماره نسخه: ۱۰۹۲۸/۱</w:t>
      </w:r>
    </w:p>
    <w:p>
      <w:pPr>
        <w:pStyle w:val="BookText"/>
      </w:pPr>
      <w:r>
        <w:rPr>
          <w:rFonts w:ascii="IRNazanin" w:hAnsi="IRNazanin" w:eastAsia="IRNazanin" w:cs="IRNazanin"/>
          <w:lang w:bidi="fa-IR"/>
          <w:color w:val="111111"/>
          <w:sz w:val="28"/>
          <w:szCs w:val="28"/>
          <w:rtl/>
        </w:rPr>
        <w:t xml:space="preserve">آغاز: برابر؛ انجام: حکایت در معنی تواضع نیکمردان. شنیدم که فرزانه ای حق پرست به گریبان گرفتش یکی رند مست / از آن تیره دل مرد صافی درون*** قفا خورد و سر بر نکرد از نگون» خط: نستعلیق، بی کا، تا: قرن ۱۳؛ افتادگی: وسط و انجام؛ مجدول به زر و مشکی، باسر لوح مزدوج مذهب مرصع زیبا، دو صفحه اول حاشیه ها با نقش های گل و بوته اسلیمی؛ ۲۱گ، ۱۱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[ف: ۲۰-۵۰۵]</w:t>
      </w:r>
    </w:p>
    <w:p>
      <w:pPr>
        <w:pStyle w:val="BookText"/>
      </w:pPr>
      <w:r>
        <w:rPr>
          <w:rFonts w:ascii="IRNazanin" w:hAnsi="IRNazanin" w:eastAsia="IRNazanin" w:cs="IRNazanin"/>
          <w:lang w:bidi="fa-IR"/>
          <w:color w:val="111111"/>
          <w:sz w:val="28"/>
          <w:szCs w:val="28"/>
          <w:rtl/>
        </w:rPr>
        <w:t xml:space="preserve">۱۰۸. قم؛ مرعشی؛ شماره نسخه: ۱۰۳۹۲/۶</w:t>
      </w:r>
    </w:p>
    <w:p>
      <w:pPr>
        <w:pStyle w:val="BookText"/>
      </w:pPr>
      <w:r>
        <w:rPr>
          <w:rFonts w:ascii="IRNazanin" w:hAnsi="IRNazanin" w:eastAsia="IRNazanin" w:cs="IRNazanin"/>
          <w:lang w:bidi="fa-IR"/>
          <w:color w:val="111111"/>
          <w:sz w:val="28"/>
          <w:szCs w:val="28"/>
          <w:rtl/>
        </w:rPr>
        <w:t xml:space="preserve">مقالات منتخب؛ خط: نستعلیق، بی کا، تا: اوایل قرن ۱۳؛ قطع: رقعی بزرگ [میراث شهاب: س ۸ش ۴-۶۱]</w:t>
      </w:r>
    </w:p>
    <w:p>
      <w:pPr>
        <w:pStyle w:val="BookText"/>
      </w:pPr>
      <w:r>
        <w:rPr>
          <w:rFonts w:ascii="IRNazanin" w:hAnsi="IRNazanin" w:eastAsia="IRNazanin" w:cs="IRNazanin"/>
          <w:lang w:bidi="fa-IR"/>
          <w:color w:val="111111"/>
          <w:sz w:val="28"/>
          <w:szCs w:val="28"/>
          <w:rtl/>
        </w:rPr>
        <w:t xml:space="preserve">۱۰۹. مشهد؛ گوهرشاد؛ شماره نسخه: ۲۳۱۴/۲</w:t>
      </w:r>
    </w:p>
    <w:p>
      <w:pPr>
        <w:pStyle w:val="BookText"/>
      </w:pPr>
      <w:r>
        <w:rPr>
          <w:rFonts w:ascii="IRNazanin" w:hAnsi="IRNazanin" w:eastAsia="IRNazanin" w:cs="IRNazanin"/>
          <w:lang w:bidi="fa-IR"/>
          <w:color w:val="111111"/>
          <w:sz w:val="28"/>
          <w:szCs w:val="28"/>
          <w:rtl/>
        </w:rPr>
        <w:t xml:space="preserve">آغاز: برابر؛ انجام: گر عاقل هشیاری و ز دل خبرداری*** تا آدمیت گویم ورنه کم از انعامی.</w:t>
      </w:r>
    </w:p>
    <w:p>
      <w:pPr>
        <w:pStyle w:val="BookText"/>
      </w:pPr>
      <w:r>
        <w:rPr>
          <w:rFonts w:ascii="IRNazanin" w:hAnsi="IRNazanin" w:eastAsia="IRNazanin" w:cs="IRNazanin"/>
          <w:lang w:bidi="fa-IR"/>
          <w:color w:val="111111"/>
          <w:sz w:val="28"/>
          <w:szCs w:val="28"/>
          <w:rtl/>
        </w:rPr>
        <w:t xml:space="preserve">خط: نستعلیق، بی کا، تا: قرن ۱۳؛ افتادگی: انجام؛ مصدر است به: 1- منشآت شامل: نامه نگاری عرفانی و پاسخ آن، تهنیت نامه و جواب آن در رد استهزای میرزا محمد علی، ۲- اشعار پراکنده اخلاقی درباره عاقبت هرکار، در ظهور رشد در کتمان راز، در ریاضت و غیره، آغاز موجود: «بدریا در منافع بیشمار است ***اگر خواهی سلامت بر کنار است»، ۳- حکایات و لطائف، ۴- مطالب متفرقه کاغذ: نخودی، جلد: مقوا، رویه گالینگور، عطف و گوشه تیماج قهوه ای سوخت، اندازه: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۲۰ سم [ف: ۵-۶۷۵]</w:t>
      </w:r>
    </w:p>
    <w:p>
      <w:pPr>
        <w:pStyle w:val="BookText"/>
      </w:pPr>
      <w:r>
        <w:rPr>
          <w:rFonts w:ascii="IRNazanin" w:hAnsi="IRNazanin" w:eastAsia="IRNazanin" w:cs="IRNazanin"/>
          <w:lang w:bidi="fa-IR"/>
          <w:color w:val="111111"/>
          <w:sz w:val="28"/>
          <w:szCs w:val="28"/>
          <w:rtl/>
        </w:rPr>
        <w:t xml:space="preserve">۱۱۰. اصفهان؛ ابوالبرکات، رضا، شماره نسخه: ۵۲</w:t>
      </w:r>
    </w:p>
    <w:p>
      <w:pPr>
        <w:pStyle w:val="BookText"/>
      </w:pPr>
      <w:r>
        <w:rPr>
          <w:rFonts w:ascii="IRNazanin" w:hAnsi="IRNazanin" w:eastAsia="IRNazanin" w:cs="IRNazanin"/>
          <w:lang w:bidi="fa-IR"/>
          <w:color w:val="111111"/>
          <w:sz w:val="28"/>
          <w:szCs w:val="28"/>
          <w:rtl/>
        </w:rPr>
        <w:t xml:space="preserve">خط: نستعلیق، بی کا، تا: ۱۲۱۵ق؛ جلد: تیماج قهوه ای بدون مقوا، ۱۱گ، ۱۲سطر [سه کتابخانه اصفهان: ف: ۵۴]</w:t>
      </w:r>
    </w:p>
    <w:p>
      <w:pPr>
        <w:pStyle w:val="BookText"/>
      </w:pPr>
      <w:r>
        <w:rPr>
          <w:rFonts w:ascii="IRNazanin" w:hAnsi="IRNazanin" w:eastAsia="IRNazanin" w:cs="IRNazanin"/>
          <w:lang w:bidi="fa-IR"/>
          <w:color w:val="111111"/>
          <w:sz w:val="28"/>
          <w:szCs w:val="28"/>
          <w:rtl/>
        </w:rPr>
        <w:t xml:space="preserve">۱۱۱. تهران؛ الهیات؛ شماره نسخه: ۱۴۴/۱</w:t>
      </w:r>
    </w:p>
    <w:p>
      <w:pPr>
        <w:pStyle w:val="BookText"/>
      </w:pPr>
      <w:r>
        <w:rPr>
          <w:rFonts w:ascii="IRNazanin" w:hAnsi="IRNazanin" w:eastAsia="IRNazanin" w:cs="IRNazanin"/>
          <w:lang w:bidi="fa-IR"/>
          <w:color w:val="111111"/>
          <w:sz w:val="28"/>
          <w:szCs w:val="28"/>
          <w:rtl/>
        </w:rPr>
        <w:t xml:space="preserve">خط: نستعلیق، بی کا، تا: چهارشنبه ۱۷ ذیقعده ۱۲۱۷ق؛ کاغذ: فرنگی، جلد: تیماج قهوه ای ضربی مقوایی، ۹۱گ (۱ر-۹۱پ)، ۱۱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۲۴۶]</w:t>
      </w:r>
    </w:p>
    <w:p>
      <w:pPr>
        <w:pStyle w:val="BookText"/>
      </w:pPr>
      <w:r>
        <w:rPr>
          <w:rFonts w:ascii="Amiri" w:hAnsi="Amiri" w:eastAsia="Amiri" w:cs="Amiri"/>
          <w:lang w:bidi="ar-SA"/>
          <w:color w:val="111111"/>
          <w:sz w:val="28"/>
          <w:szCs w:val="28"/>
          <w:rtl/>
        </w:rPr>
        <w:t xml:space="preserve">۱۱۲. تهران؛ دائرة المعارف؛ شماره نسخه: ۹۱۲/۱</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شکسته تحریری، بی کا، تا: ۱۲۱۹ق؛ مجدول؛ جلد: مقوایی تازه ساز قهوه ای زرکوب، ۱۴۱گی (گی ار-۱۴۱پ)، ۱۵سطر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۱۵/۵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۲-۲۹)</w:t>
      </w:r>
    </w:p>
    <w:p>
      <w:pPr>
        <w:pStyle w:val="BookText"/>
      </w:pPr>
      <w:r>
        <w:rPr>
          <w:rFonts w:ascii="IRNazanin" w:hAnsi="IRNazanin" w:eastAsia="IRNazanin" w:cs="IRNazanin"/>
          <w:lang w:bidi="fa-IR"/>
          <w:color w:val="111111"/>
          <w:sz w:val="28"/>
          <w:szCs w:val="28"/>
          <w:rtl/>
        </w:rPr>
        <w:t xml:space="preserve">۱۱۳. تهران؛ ملی؛ شماره نسخه: ۱۸۶۹۶</w:t>
      </w:r>
    </w:p>
    <w:p>
      <w:pPr>
        <w:pStyle w:val="BookText"/>
      </w:pPr>
      <w:r>
        <w:rPr>
          <w:rFonts w:ascii="IRNazanin" w:hAnsi="IRNazanin" w:eastAsia="IRNazanin" w:cs="IRNazanin"/>
          <w:lang w:bidi="fa-IR"/>
          <w:color w:val="111111"/>
          <w:sz w:val="28"/>
          <w:szCs w:val="28"/>
          <w:rtl/>
        </w:rPr>
        <w:t xml:space="preserve">بی کا، تا: ۱۲۲۴ق؛ انتقالی از کتابخانه پهلوی - مجموعه نوازی؛ ۱۵۴گ، اندازه: ۱۵/۷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۲۱/۷ سم [رایانه]</w:t>
      </w:r>
    </w:p>
    <w:p>
      <w:pPr>
        <w:pStyle w:val="BookText"/>
      </w:pPr>
      <w:r>
        <w:rPr>
          <w:rFonts w:ascii="IRNazanin" w:hAnsi="IRNazanin" w:eastAsia="IRNazanin" w:cs="IRNazanin"/>
          <w:lang w:bidi="fa-IR"/>
          <w:color w:val="111111"/>
          <w:sz w:val="28"/>
          <w:szCs w:val="28"/>
          <w:rtl/>
        </w:rPr>
        <w:t xml:space="preserve">۱۱۴. مشهد؛ رضوی؛ شماره نسخه: ۲۶۶۴۱</w:t>
      </w:r>
    </w:p>
    <w:p>
      <w:pPr>
        <w:pStyle w:val="BookText"/>
      </w:pPr>
      <w:r>
        <w:rPr>
          <w:rFonts w:ascii="IRNazanin" w:hAnsi="IRNazanin" w:eastAsia="IRNazanin" w:cs="IRNazanin"/>
          <w:lang w:bidi="fa-IR"/>
          <w:color w:val="111111"/>
          <w:sz w:val="28"/>
          <w:szCs w:val="28"/>
          <w:rtl/>
        </w:rPr>
        <w:t xml:space="preserve">آغاز: نه گردنکشان را بگیرد به فور؛ انجام: عیب مکن ... بنویس به یادگار و بگذار</w:t>
      </w:r>
    </w:p>
    <w:p>
      <w:pPr>
        <w:pStyle w:val="BookText"/>
      </w:pPr>
      <w:r>
        <w:rPr>
          <w:rFonts w:ascii="IRNazanin" w:hAnsi="IRNazanin" w:eastAsia="IRNazanin" w:cs="IRNazanin"/>
          <w:lang w:bidi="fa-IR"/>
          <w:color w:val="111111"/>
          <w:sz w:val="28"/>
          <w:szCs w:val="28"/>
          <w:rtl/>
        </w:rPr>
        <w:t xml:space="preserve">خط: نستعلیق خفی، بی کا، تا: ۱۲۲۷ق؛ افتادگی: آغاز کاغذ: شکری، جلد: تیماج برون تیماج مشکی، ۱۵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 قطع: وزیری کوچک، اندازه: ۱۳/۵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۱۹/۵ سم [رایانه]</w:t>
      </w:r>
    </w:p>
    <w:p>
      <w:pPr>
        <w:pStyle w:val="BookText"/>
      </w:pPr>
      <w:r>
        <w:rPr>
          <w:rFonts w:ascii="IRNazanin" w:hAnsi="IRNazanin" w:eastAsia="IRNazanin" w:cs="IRNazanin"/>
          <w:lang w:bidi="fa-IR"/>
          <w:color w:val="111111"/>
          <w:sz w:val="28"/>
          <w:szCs w:val="28"/>
          <w:rtl/>
        </w:rPr>
        <w:t xml:space="preserve">۱۱۵. آران کاشان؛ محمد هلال؛ شماره نسخه: ۷۰/۲</w:t>
      </w:r>
    </w:p>
    <w:p>
      <w:pPr>
        <w:pStyle w:val="BookText"/>
      </w:pPr>
      <w:r>
        <w:rPr>
          <w:rFonts w:ascii="IRNazanin" w:hAnsi="IRNazanin" w:eastAsia="IRNazanin" w:cs="IRNazanin"/>
          <w:lang w:bidi="fa-IR"/>
          <w:color w:val="111111"/>
          <w:sz w:val="28"/>
          <w:szCs w:val="28"/>
          <w:rtl/>
        </w:rPr>
        <w:t xml:space="preserve">آغاز: طمع کرد در مال بازرگان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بلا ریخت بر جان بیچارگان .. (حکایت) یکی بر سر شاخه بن می برید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خداوند بستان نگه کرد و دید؛ انجام: برابر</w:t>
      </w:r>
    </w:p>
    <w:p>
      <w:pPr>
        <w:pStyle w:val="BookText"/>
      </w:pPr>
      <w:r>
        <w:rPr>
          <w:rFonts w:ascii="IRNazanin" w:hAnsi="IRNazanin" w:eastAsia="IRNazanin" w:cs="IRNazanin"/>
          <w:lang w:bidi="fa-IR"/>
          <w:color w:val="111111"/>
          <w:sz w:val="28"/>
          <w:szCs w:val="28"/>
          <w:rtl/>
        </w:rPr>
        <w:t xml:space="preserve">خط: نستعلیق، كان محمد صالح بن ملا عبدالله سیاوشانی قمی، تا: ۱۲۲۸ق؛ افتادگی: آغاز؛ جلد: گالینگور قهوه ای عطف تیماج، ۷۰گ، ۱۵ سطر،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مخ:-۲۲]</w:t>
      </w:r>
    </w:p>
    <w:p>
      <w:pPr>
        <w:pStyle w:val="BookText"/>
      </w:pPr>
      <w:r>
        <w:rPr>
          <w:rFonts w:ascii="IRNazanin" w:hAnsi="IRNazanin" w:eastAsia="IRNazanin" w:cs="IRNazanin"/>
          <w:lang w:bidi="fa-IR"/>
          <w:color w:val="111111"/>
          <w:sz w:val="28"/>
          <w:szCs w:val="28"/>
          <w:rtl/>
        </w:rPr>
        <w:t xml:space="preserve">۱۱۶. قم؛ معصومیه؛ شماره نسخه: ۱۷۸/۲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دوشنبه ۲۱ شعبان ۱۲۲۹ق؛ در حاشیه کتاب؛ جلد: گالینگور، دارای سرلوحه رنگین، فواصل و گوشه ها تزیینی [ف: ۱-۱۹۷]</w:t>
      </w:r>
    </w:p>
    <w:p>
      <w:pPr>
        <w:pStyle w:val="BookText"/>
      </w:pPr>
      <w:r>
        <w:rPr>
          <w:rFonts w:ascii="IRNazanin" w:hAnsi="IRNazanin" w:eastAsia="IRNazanin" w:cs="IRNazanin"/>
          <w:lang w:bidi="fa-IR"/>
          <w:color w:val="111111"/>
          <w:sz w:val="28"/>
          <w:szCs w:val="28"/>
          <w:rtl/>
        </w:rPr>
        <w:t xml:space="preserve">۱۱۷. تهران، سپهسالار؛ شماره نسخه: ۳۴۰</w:t>
      </w:r>
    </w:p>
    <w:p>
      <w:pPr>
        <w:pStyle w:val="BookText"/>
      </w:pPr>
      <w:r>
        <w:rPr>
          <w:rFonts w:ascii="IRNazanin" w:hAnsi="IRNazanin" w:eastAsia="IRNazanin" w:cs="IRNazanin"/>
          <w:lang w:bidi="fa-IR"/>
          <w:color w:val="111111"/>
          <w:sz w:val="28"/>
          <w:szCs w:val="28"/>
          <w:rtl/>
        </w:rPr>
        <w:t xml:space="preserve">خط: شکسته نستعلیق درشت، بی کا، تا: ۱۷ جمادی الثانی ۱۲۳۰ق، برای عباس بیک؛ مجدول، با یک سرلوح، صفحه پایان حاشیه سازی شده؛ کاغذ: فرنگی کلفت، جلد: روغنی گل و بوته، زمینه سرخ، درون روغنی گل و بوته زمینه قهوه ای، ۱۷۵ گ، ۱۲ سطر، اندازه: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۳-۲۶۰]</w:t>
      </w:r>
    </w:p>
    <w:p>
      <w:pPr>
        <w:pStyle w:val="BookText"/>
      </w:pPr>
      <w:r>
        <w:rPr>
          <w:rFonts w:ascii="IRNazanin" w:hAnsi="IRNazanin" w:eastAsia="IRNazanin" w:cs="IRNazanin"/>
          <w:lang w:bidi="fa-IR"/>
          <w:color w:val="111111"/>
          <w:sz w:val="28"/>
          <w:szCs w:val="28"/>
          <w:rtl/>
        </w:rPr>
        <w:t xml:space="preserve">۱۱۸. تهران: ملی؛ شماره نسخه: ۱۷۳۱۸</w:t>
      </w:r>
    </w:p>
    <w:p>
      <w:pPr>
        <w:pStyle w:val="BookText"/>
      </w:pPr>
      <w:r>
        <w:rPr>
          <w:rFonts w:ascii="IRNazanin" w:hAnsi="IRNazanin" w:eastAsia="IRNazanin" w:cs="IRNazanin"/>
          <w:lang w:bidi="fa-IR"/>
          <w:color w:val="111111"/>
          <w:sz w:val="28"/>
          <w:szCs w:val="28"/>
          <w:rtl/>
        </w:rPr>
        <w:t xml:space="preserve">کا: سید محمد على، تا: ۱۲۳۱ق؛ خریداری از محمد مهدی ابراهیمی؛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۱۲/۶ سم [رایانه ]</w:t>
      </w:r>
    </w:p>
    <w:p>
      <w:pPr>
        <w:pStyle w:val="BookText"/>
      </w:pPr>
      <w:r>
        <w:rPr>
          <w:rFonts w:ascii="IRNazanin" w:hAnsi="IRNazanin" w:eastAsia="IRNazanin" w:cs="IRNazanin"/>
          <w:lang w:bidi="fa-IR"/>
          <w:color w:val="111111"/>
          <w:sz w:val="28"/>
          <w:szCs w:val="28"/>
          <w:rtl/>
        </w:rPr>
        <w:t xml:space="preserve">۱۱۹. تهران؛ ملک؛ شماره نسخه: ۴۸۰۸/۲</w:t>
      </w:r>
    </w:p>
    <w:p>
      <w:pPr>
        <w:pStyle w:val="BookText"/>
      </w:pPr>
      <w:r>
        <w:rPr>
          <w:rFonts w:ascii="IRNazanin" w:hAnsi="IRNazanin" w:eastAsia="IRNazanin" w:cs="IRNazanin"/>
          <w:lang w:bidi="fa-IR"/>
          <w:color w:val="111111"/>
          <w:sz w:val="28"/>
          <w:szCs w:val="28"/>
          <w:rtl/>
        </w:rPr>
        <w:t xml:space="preserve">خط شکسته نستعلیق خوش، کا:سید محمد صادق، تا: ۱۲۳۳ق؛ در حاشیه ؛ کاغذ:فرنگی آهار مهره، جلد: ساغری سیاه ضربی ترنجدار گل و بوته الوان، ۱۴ سطر، اندازه: ۱۹/۹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۳۱/۶سم [ف: ۸-۹۹]</w:t>
      </w:r>
    </w:p>
    <w:p>
      <w:pPr>
        <w:pStyle w:val="BookText"/>
      </w:pPr>
      <w:r>
        <w:rPr>
          <w:rFonts w:ascii="IRNazanin" w:hAnsi="IRNazanin" w:eastAsia="IRNazanin" w:cs="IRNazanin"/>
          <w:lang w:bidi="fa-IR"/>
          <w:color w:val="111111"/>
          <w:sz w:val="28"/>
          <w:szCs w:val="28"/>
          <w:rtl/>
        </w:rPr>
        <w:t xml:space="preserve">۱۲۰. مشهد؛ رضوی؛ شماره نسخه: ۱۸۲۵۰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شکسته، كا: عبدالغفار بن عبدالوهاب تفرشی، تا: ۱۲۳۴ق؛ مجدول؛ واقف: آية الله دادمهر، تیرماه ۱۳۷۱؛ کاغذ: شکری فرنگی، جلد: تیماج قهوه ای ضربی، ۸۲گ، ۱۵ سطر، اندازه: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۱۹/۵ سم [ف: ۱۷-۳۵]</w:t>
      </w:r>
    </w:p>
    <w:p>
      <w:pPr>
        <w:pStyle w:val="BookText"/>
      </w:pPr>
      <w:r>
        <w:rPr>
          <w:rFonts w:ascii="IRNazanin" w:hAnsi="IRNazanin" w:eastAsia="IRNazanin" w:cs="IRNazanin"/>
          <w:lang w:bidi="fa-IR"/>
          <w:color w:val="111111"/>
          <w:sz w:val="28"/>
          <w:szCs w:val="28"/>
          <w:rtl/>
        </w:rPr>
        <w:t xml:space="preserve">۱۲۱. تهران؛ سلطنتی؛ شماره نسخه: ۱۷۲۵/۱۰</w:t>
      </w:r>
    </w:p>
    <w:p>
      <w:pPr>
        <w:pStyle w:val="BookText"/>
      </w:pPr>
      <w:r>
        <w:rPr>
          <w:rFonts w:ascii="IRNazanin" w:hAnsi="IRNazanin" w:eastAsia="IRNazanin" w:cs="IRNazanin"/>
          <w:lang w:bidi="fa-IR"/>
          <w:color w:val="111111"/>
          <w:sz w:val="28"/>
          <w:szCs w:val="28"/>
          <w:rtl/>
        </w:rPr>
        <w:t xml:space="preserve">خط: شکسته نستعلیق و ثلث، كا: اسمعیل، تا: ۱۲۳۵ق؛ کاغذ: ترمه، جلد: مقوای روکش چرم ساغری مشکی، قطع: وزیری، اندازه: ۱۵/۵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۲۴/۵ سم [ف: ۳-۶۰۰]</w:t>
      </w:r>
    </w:p>
    <w:p>
      <w:pPr>
        <w:pStyle w:val="BookText"/>
      </w:pPr>
      <w:r>
        <w:rPr>
          <w:rFonts w:ascii="IRNazanin" w:hAnsi="IRNazanin" w:eastAsia="IRNazanin" w:cs="IRNazanin"/>
          <w:lang w:bidi="fa-IR"/>
          <w:color w:val="111111"/>
          <w:sz w:val="28"/>
          <w:szCs w:val="28"/>
          <w:rtl/>
        </w:rPr>
        <w:t xml:space="preserve">۱۲۲. تهران؛ نوربخش، شماره نسخه: ۶۳۳</w:t>
      </w:r>
    </w:p>
    <w:p>
      <w:pPr>
        <w:pStyle w:val="BookText"/>
      </w:pPr>
      <w:r>
        <w:rPr>
          <w:rFonts w:ascii="IRNazanin" w:hAnsi="IRNazanin" w:eastAsia="IRNazanin" w:cs="IRNazanin"/>
          <w:lang w:bidi="fa-IR"/>
          <w:color w:val="111111"/>
          <w:sz w:val="28"/>
          <w:szCs w:val="28"/>
          <w:rtl/>
        </w:rPr>
        <w:t xml:space="preserve">بوستان؛ خط: نستعلیق هندی، بی کا، تا: ۱۲۳۷ق؛ افتادگی: آغاز؛ کاغذ: فرنگی، ۱۴۱ گ، ۱۵ سطر، قطع: رقعی، اندازه: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۲۰سم [نشریه: ۱۳-۲۸]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۱۲۳. تبریز؛ ملی؛ شماره نسخه: ۳۶۷۲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تعلیق، بی کا، تا: ذیقعده ۱۲۳۷ق؛ مجدول مذهب، با سرلوح مذهب و زیبا؛ چند فقره یادداشت تاریخ تولد به تاریخ های ۱۲۴۱ و ۱۲۴۶ و ۱۲۵۰؛ مهر: «عبده حسن الحسینی»، «یا حسین مظلوم ادر کنی»؛ جلد: روغنی گل و بوته اعلا، ۱۶۳گ، ۱۲سطر، اندازه: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[ف: ۱-۱۳۴]</w:t>
      </w:r>
    </w:p>
    <w:p>
      <w:pPr>
        <w:pStyle w:val="BookText"/>
      </w:pPr>
      <w:r>
        <w:rPr>
          <w:rFonts w:ascii="IRNazanin" w:hAnsi="IRNazanin" w:eastAsia="IRNazanin" w:cs="IRNazanin"/>
          <w:lang w:bidi="fa-IR"/>
          <w:color w:val="111111"/>
          <w:sz w:val="28"/>
          <w:szCs w:val="28"/>
          <w:rtl/>
        </w:rPr>
        <w:t xml:space="preserve">۱۲۴. رشت؛ جمعیت نشر فرهنگ؛ شماره نسخه: ۲۵۹ب</w:t>
      </w:r>
    </w:p>
    <w:p>
      <w:pPr>
        <w:pStyle w:val="BookText"/>
      </w:pPr>
      <w:r>
        <w:rPr>
          <w:rFonts w:ascii="IRNazanin" w:hAnsi="IRNazanin" w:eastAsia="IRNazanin" w:cs="IRNazanin"/>
          <w:lang w:bidi="fa-IR"/>
          <w:color w:val="111111"/>
          <w:sz w:val="28"/>
          <w:szCs w:val="28"/>
          <w:rtl/>
        </w:rPr>
        <w:t xml:space="preserve">خط شکسته نستعلیق، بی کا، تا: ۱۲۴۱ق، قطع: نیم خشتی باریک رشت و همدان: [ف: ۱۰۹۵]</w:t>
      </w:r>
    </w:p>
    <w:p>
      <w:pPr>
        <w:pStyle w:val="BookText"/>
      </w:pPr>
      <w:r>
        <w:rPr>
          <w:rFonts w:ascii="IRNazanin" w:hAnsi="IRNazanin" w:eastAsia="IRNazanin" w:cs="IRNazanin"/>
          <w:lang w:bidi="fa-IR"/>
          <w:color w:val="111111"/>
          <w:sz w:val="28"/>
          <w:szCs w:val="28"/>
          <w:rtl/>
        </w:rPr>
        <w:t xml:space="preserve">۱۲۵. مشهد؛ رضوی؛ شماره نسخه: ۱۴۲۰۶/۲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تا: شوال ۱۲۴۱ق؛ حواشی چلیپایی؛ واقف: سید محمد باقر مولوی عربشاهی سبزواری، محرم ۱۴۰۵؛ کاغذ: شکری آهاری، جلد: تیماج قهوه ای، ۱۴۴گ، ۱۵ سطر، اندازه: ۲۰/۸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۱۴/۳ سم [ف: ۱۷-۳۶۳]</w:t>
      </w:r>
    </w:p>
    <w:p>
      <w:pPr>
        <w:pStyle w:val="BookText"/>
      </w:pPr>
      <w:r>
        <w:rPr>
          <w:rFonts w:ascii="IRNazanin" w:hAnsi="IRNazanin" w:eastAsia="IRNazanin" w:cs="IRNazanin"/>
          <w:lang w:bidi="fa-IR"/>
          <w:color w:val="111111"/>
          <w:sz w:val="28"/>
          <w:szCs w:val="28"/>
          <w:rtl/>
        </w:rPr>
        <w:t xml:space="preserve">۱۲۶. تهران؛ سلطنتی؛ شماره نسخه: ۲۳۹/۴</w:t>
      </w:r>
    </w:p>
    <w:p>
      <w:pPr>
        <w:pStyle w:val="BookText"/>
      </w:pPr>
      <w:r>
        <w:rPr>
          <w:rFonts w:ascii="IRNazanin" w:hAnsi="IRNazanin" w:eastAsia="IRNazanin" w:cs="IRNazanin"/>
          <w:lang w:bidi="fa-IR"/>
          <w:color w:val="111111"/>
          <w:sz w:val="28"/>
          <w:szCs w:val="28"/>
          <w:rtl/>
        </w:rPr>
        <w:t xml:space="preserve">خط: نستعلیق ممتاز، کا: زین العابدین ابن حاج محمد جعفر شیرازی، تا: ۱۲۴۲ق؛ کاغذ: ترمه، جلد: مقوای روکش</w:t>
      </w:r>
    </w:p>
    <w:p>
      <w:pPr>
        <w:pStyle w:val="BookText"/>
      </w:pPr>
      <w:r>
        <w:rPr>
          <w:rFonts w:ascii="IRNazanin" w:hAnsi="IRNazanin" w:eastAsia="IRNazanin" w:cs="IRNazanin"/>
          <w:lang w:bidi="fa-IR"/>
          <w:color w:val="111111"/>
          <w:sz w:val="28"/>
          <w:szCs w:val="28"/>
          <w:rtl/>
        </w:rPr>
        <w:t xml:space="preserve">چرم ساغری مشکی، قطع: وزیری،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۳-۵۸۴]</w:t>
      </w:r>
    </w:p>
    <w:p>
      <w:pPr>
        <w:pStyle w:val="BookText"/>
      </w:pPr>
      <w:r>
        <w:rPr>
          <w:rFonts w:ascii="IRNazanin" w:hAnsi="IRNazanin" w:eastAsia="IRNazanin" w:cs="IRNazanin"/>
          <w:lang w:bidi="fa-IR"/>
          <w:color w:val="111111"/>
          <w:sz w:val="28"/>
          <w:szCs w:val="28"/>
          <w:rtl/>
        </w:rPr>
        <w:t xml:space="preserve">۱۲۷. قم؛ مرعشی؛ شماره نسخه: ۱۰۵۲۷/۷</w:t>
      </w:r>
    </w:p>
    <w:p>
      <w:pPr>
        <w:pStyle w:val="BookText"/>
      </w:pPr>
      <w:r>
        <w:rPr>
          <w:rFonts w:ascii="IRNazanin" w:hAnsi="IRNazanin" w:eastAsia="IRNazanin" w:cs="IRNazanin"/>
          <w:lang w:bidi="fa-IR"/>
          <w:color w:val="111111"/>
          <w:sz w:val="28"/>
          <w:szCs w:val="28"/>
          <w:rtl/>
        </w:rPr>
        <w:t xml:space="preserve">خط: نستعلیق، بی کا، تا: ۱۲۴۵ق؛ جلد: مقوایی ضربی عطف تیماج قرمز، ۶۷گ (۲۴۶-۳۱۲پ)، 19 سطر، اندازه:</w:t>
      </w:r>
    </w:p>
    <w:p>
      <w:pPr>
        <w:pStyle w:val="BookText"/>
      </w:pPr>
      <w:r>
        <w:rPr>
          <w:rFonts w:ascii="IRNazanin" w:hAnsi="IRNazanin" w:eastAsia="IRNazanin" w:cs="IRNazanin"/>
          <w:lang w:bidi="fa-IR"/>
          <w:color w:val="111111"/>
          <w:sz w:val="28"/>
          <w:szCs w:val="28"/>
          <w:rtl/>
        </w:rPr>
        <w:t xml:space="preserve">۱۶/۵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۲۹/۵سم [ف: ۲۷-۲۰]</w:t>
      </w:r>
    </w:p>
    <w:p>
      <w:pPr>
        <w:pStyle w:val="BookText"/>
      </w:pPr>
      <w:r>
        <w:rPr>
          <w:rFonts w:ascii="IRNazanin" w:hAnsi="IRNazanin" w:eastAsia="IRNazanin" w:cs="IRNazanin"/>
          <w:lang w:bidi="fa-IR"/>
          <w:color w:val="111111"/>
          <w:sz w:val="28"/>
          <w:szCs w:val="28"/>
          <w:rtl/>
        </w:rPr>
        <w:t xml:space="preserve">۱۲۸. تهران؛ ملک؛ شماره نسخه: ۵۰۶۷/۱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ابوالقاسم بن آقا عبدالرضای قزوینی، تا: ۱۲۴۷ق، جان دار العلم شیراز من محلات حیدری خانه؛ کاغذ: فستقی آبی، جلد: میشن سبز رنگ رفته، ۱۴۷گ (۱پ -۱۴۷پ)، ۲۳ سطر، اندازه: ۳۲/۳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۱۹/۳ سم [ف: ۸-۱۸۲]</w:t>
      </w:r>
    </w:p>
    <w:p>
      <w:pPr>
        <w:pStyle w:val="BookText"/>
      </w:pPr>
      <w:r>
        <w:rPr>
          <w:rFonts w:ascii="IRNazanin" w:hAnsi="IRNazanin" w:eastAsia="IRNazanin" w:cs="IRNazanin"/>
          <w:lang w:bidi="fa-IR"/>
          <w:color w:val="111111"/>
          <w:sz w:val="28"/>
          <w:szCs w:val="28"/>
          <w:rtl/>
        </w:rPr>
        <w:t xml:space="preserve">۱۲۹. قم: مرکز مطالعات؛ شماره نسخه: ۳/۲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زیبا، كا: ابن مرحوم ابوالحسن، تا: شنبه ۲۲ ذیحجه ۱۲۴۷ق، جا: اصفهان؛ جلد: روغنی با زمینه زرین، گل های الوان و جداول زرین، ۷۰گ (۴۱پ -۱۱۰ر متن و حاشیه)، ۱۰سطر،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۳۰سم [ف: ۱-۱۱] ۱۳۰</w:t>
      </w:r>
    </w:p>
    <w:p>
      <w:pPr>
        <w:pStyle w:val="BookText"/>
      </w:pPr>
      <w:r>
        <w:rPr>
          <w:rFonts w:ascii="IRNazanin" w:hAnsi="IRNazanin" w:eastAsia="IRNazanin" w:cs="IRNazanin"/>
          <w:lang w:bidi="fa-IR"/>
          <w:color w:val="111111"/>
          <w:sz w:val="28"/>
          <w:szCs w:val="28"/>
          <w:rtl/>
        </w:rPr>
        <w:t xml:space="preserve">. مشهد؛ رضوی؛ شماره نسخه: ۲۹۱۶۷</w:t>
      </w:r>
    </w:p>
    <w:p>
      <w:pPr>
        <w:pStyle w:val="BookText"/>
      </w:pPr>
      <w:r>
        <w:rPr>
          <w:rFonts w:ascii="IRNazanin" w:hAnsi="IRNazanin" w:eastAsia="IRNazanin" w:cs="IRNazanin"/>
          <w:lang w:bidi="fa-IR"/>
          <w:color w:val="111111"/>
          <w:sz w:val="28"/>
          <w:szCs w:val="28"/>
          <w:rtl/>
        </w:rPr>
        <w:t xml:space="preserve">آغاز: کسی ره سوی گنج قارون نبرد*** و گر ره برد باز بیرون نبرد خط: نستعلیق جلی، بی کا، تا: ۱۲۴۷ق؛ افتادگی: آغاز؛ کاغذ: نخودی، جلد: مقوا با روکش پارچه، ۱۱ سطر (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قطع: وزیری کوچک،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[رایانه]</w:t>
      </w:r>
    </w:p>
    <w:p>
      <w:pPr>
        <w:pStyle w:val="BookText"/>
      </w:pPr>
      <w:r>
        <w:rPr>
          <w:rFonts w:ascii="IRNazanin" w:hAnsi="IRNazanin" w:eastAsia="IRNazanin" w:cs="IRNazanin"/>
          <w:lang w:bidi="fa-IR"/>
          <w:color w:val="111111"/>
          <w:sz w:val="28"/>
          <w:szCs w:val="28"/>
          <w:rtl/>
        </w:rPr>
        <w:t xml:space="preserve">۱۳۱. تهران؛ ملی؛ شماره نسخه: ۲۷۵۰</w:t>
      </w:r>
    </w:p>
    <w:p>
      <w:pPr>
        <w:pStyle w:val="BookText"/>
      </w:pPr>
      <w:r>
        <w:rPr>
          <w:rFonts w:ascii="IRNazanin" w:hAnsi="IRNazanin" w:eastAsia="IRNazanin" w:cs="IRNazanin"/>
          <w:lang w:bidi="fa-IR"/>
          <w:color w:val="111111"/>
          <w:sz w:val="28"/>
          <w:szCs w:val="28"/>
          <w:rtl/>
        </w:rPr>
        <w:t xml:space="preserve">آغاز: وگر خشم گیرد بکردار زشت*** چه باز آمدی ماجری در نوشت؛ انجام: برابر</w:t>
      </w:r>
    </w:p>
    <w:p>
      <w:pPr>
        <w:pStyle w:val="BookText"/>
      </w:pPr>
      <w:r>
        <w:rPr>
          <w:rFonts w:ascii="IRNazanin" w:hAnsi="IRNazanin" w:eastAsia="IRNazanin" w:cs="IRNazanin"/>
          <w:lang w:bidi="fa-IR"/>
          <w:color w:val="111111"/>
          <w:sz w:val="28"/>
          <w:szCs w:val="28"/>
          <w:rtl/>
        </w:rPr>
        <w:t xml:space="preserve">خط: نستعلیق، بی کا، تا: ۱۲۵۰ق؛ افتادگی: آغاز؛ مجدول؛ کاغذ: فرنگی، جلد: تیماج مشکی، ۱۷۶گ، ۱۲سطر کامل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۱۱/۱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۱۷/۸ سم [ف: ۶-۳۶۱]</w:t>
      </w:r>
    </w:p>
    <w:p>
      <w:pPr>
        <w:pStyle w:val="BookText"/>
      </w:pPr>
      <w:r>
        <w:rPr>
          <w:rFonts w:ascii="IRNazanin" w:hAnsi="IRNazanin" w:eastAsia="IRNazanin" w:cs="IRNazanin"/>
          <w:lang w:bidi="fa-IR"/>
          <w:color w:val="111111"/>
          <w:sz w:val="28"/>
          <w:szCs w:val="28"/>
          <w:rtl/>
        </w:rPr>
        <w:t xml:space="preserve">۱۳۲. تهران؛ دانشگاه؛ شماره نسخه: ۴۵۴۱</w:t>
      </w:r>
    </w:p>
    <w:p>
      <w:pPr>
        <w:pStyle w:val="BookText"/>
      </w:pPr>
      <w:r>
        <w:rPr>
          <w:rFonts w:ascii="IRNazanin" w:hAnsi="IRNazanin" w:eastAsia="IRNazanin" w:cs="IRNazanin"/>
          <w:lang w:bidi="fa-IR"/>
          <w:color w:val="111111"/>
          <w:sz w:val="28"/>
          <w:szCs w:val="28"/>
          <w:rtl/>
        </w:rPr>
        <w:t xml:space="preserve">خط: نستعلیق، کا: محمد على گونابادی (جنابدی)، تا: رمضان ۱۲۵۱ق، در برگهای ۱ و ۲ و آخرین تاریخ کتابت آمده، خط در برگ های دیگر کهن تر و از قرن ۹ و ۱۰ شاید باشد، مجدول، با سرلوح زیبا؛ کاغذ: سپاهانی متن نخودی حاشیه زرد، جلد: روغنی زمینه قهوه ای و آراسته بگل و بوته زرین درون سرخ، ۱۵۰گ، ۱۴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۱۳-۳۴۸۷]</w:t>
      </w:r>
    </w:p>
    <w:p>
      <w:pPr>
        <w:pStyle w:val="BookText"/>
      </w:pPr>
      <w:r>
        <w:rPr>
          <w:rFonts w:ascii="IRNazanin" w:hAnsi="IRNazanin" w:eastAsia="IRNazanin" w:cs="IRNazanin"/>
          <w:lang w:bidi="fa-IR"/>
          <w:color w:val="111111"/>
          <w:sz w:val="28"/>
          <w:szCs w:val="28"/>
          <w:rtl/>
        </w:rPr>
        <w:t xml:space="preserve">۱۳۳. قم؛ مرکز مطالعات؛ شماره نسخه: ۷۳۰</w:t>
      </w:r>
    </w:p>
    <w:p>
      <w:pPr>
        <w:pStyle w:val="BookText"/>
      </w:pPr>
      <w:r>
        <w:rPr>
          <w:rFonts w:ascii="IRNazanin" w:hAnsi="IRNazanin" w:eastAsia="IRNazanin" w:cs="IRNazanin"/>
          <w:lang w:bidi="fa-IR"/>
          <w:color w:val="111111"/>
          <w:sz w:val="28"/>
          <w:szCs w:val="28"/>
          <w:rtl/>
        </w:rPr>
        <w:t xml:space="preserve">آغاز: بگفت آنچه بشنید از سر گذشت***بنفرت ز دیگر کسان در گذشت / در اندیشه دل با ملک رای زد </w:t>
      </w:r>
      <w:r>
        <w:rPr>
          <w:rFonts w:ascii="IRNazanin" w:hAnsi="IRNazanin" w:eastAsia="IRNazanin" w:cs="IRNazanin"/>
          <w:lang w:bidi="fa-IR"/>
          <w:color w:val="111111"/>
          <w:sz w:val="28"/>
          <w:szCs w:val="28"/>
          <w:b w:val="1"/>
          <w:bCs w:val="1"/>
          <w:i w:val="1"/>
          <w:iCs w:val="1"/>
          <w:rtl/>
        </w:rPr>
        <w:t xml:space="preserve">که دستور ملک اینچنین را نبرد؛ انجام: هزاران درود و هزاران سلام </w:t>
      </w:r>
      <w:r>
        <w:rPr>
          <w:rFonts w:ascii="Times New Roman" w:hAnsi="Times New Roman" w:eastAsia="Times New Roman" w:cs="Times New Roman"/>
          <w:lang w:val="en-US" w:bidi="en-US"/>
          <w:color w:val="111111"/>
          <w:sz w:val="28"/>
          <w:szCs w:val="28"/>
          <w:b w:val="1"/>
          <w:bCs w:val="1"/>
          <w:i w:val="1"/>
          <w:iCs w:val="1"/>
          <w:rtl/>
        </w:rPr>
        <w:t xml:space="preserve">×× </w:t>
      </w:r>
      <w:r>
        <w:rPr>
          <w:rFonts w:ascii="Amiri" w:hAnsi="Amiri" w:eastAsia="Amiri" w:cs="Amiri"/>
          <w:lang w:bidi="ar-SA"/>
          <w:color w:val="111111"/>
          <w:sz w:val="28"/>
          <w:szCs w:val="28"/>
          <w:b w:val="1"/>
          <w:bCs w:val="1"/>
          <w:i w:val="1"/>
          <w:iCs w:val="1"/>
          <w:rtl/>
        </w:rPr>
        <w:t xml:space="preserve">ز ما بر محمد عليه السلام / هزاران درود و هزاران هزار</w:t>
      </w:r>
      <w:r>
        <w:rPr>
          <w:rFonts w:ascii="IRNazanin" w:hAnsi="IRNazanin" w:eastAsia="IRNazanin" w:cs="IRNazanin"/>
          <w:lang w:bidi="fa-IR"/>
          <w:color w:val="111111"/>
          <w:sz w:val="28"/>
          <w:szCs w:val="28"/>
          <w:rtl/>
        </w:rPr>
        <w:t xml:space="preserve"> زما بر علی صاحب ذوالفقار .شامل حکایات، نصایح، مواعظ، و مناجات؛ خط: نستعلیق، بی کا، تا: چهارشنبه ۲۱ رجب ۱۲۵۲ق، برای عادل آقا علی بابا؛ افتادگی: آغاز (۳۳ صفحه)؛ فاقد جلد، ۶۶گ، ۱۴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۲-۲۰]</w:t>
      </w:r>
    </w:p>
    <w:p>
      <w:pPr>
        <w:pStyle w:val="BookText"/>
      </w:pPr>
      <w:r>
        <w:rPr>
          <w:rFonts w:ascii="IRNazanin" w:hAnsi="IRNazanin" w:eastAsia="IRNazanin" w:cs="IRNazanin"/>
          <w:lang w:bidi="fa-IR"/>
          <w:color w:val="111111"/>
          <w:sz w:val="28"/>
          <w:szCs w:val="28"/>
          <w:rtl/>
        </w:rPr>
        <w:t xml:space="preserve">۱۳۴. اصفهان، دانشگاه؛ شماره نسخه: ۷۳۳</w:t>
      </w:r>
    </w:p>
    <w:p>
      <w:pPr>
        <w:pStyle w:val="BookText"/>
      </w:pPr>
      <w:r>
        <w:rPr>
          <w:rFonts w:ascii="IRNazanin" w:hAnsi="IRNazanin" w:eastAsia="IRNazanin" w:cs="IRNazanin"/>
          <w:lang w:bidi="fa-IR"/>
          <w:color w:val="111111"/>
          <w:sz w:val="28"/>
          <w:szCs w:val="28"/>
          <w:rtl/>
        </w:rPr>
        <w:t xml:space="preserve">خط: نستعلیق، بی کا، تا: شنبه ۹ جمادی الاول ۱۲۵۳ق؛ اصل نسخه از قرن دهم می باشد و برخی از برگ های آن به این تاریخ بازنویسی شده، بخش قدیمی نسخه متن و حاشیه شده با برگ های الوان و برخی از آنها با نقش گل و بوته اسلیمی در حاشیه، صفحات قدیمی مجدول به آبی و زر و مشکی و شنگرف و فیروزه ای، مصحح؛ جلد: تیماج مشکی بدون مقوا، ۱۳۳گ، ۱۵سطر،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۲-۵۶۰]</w:t>
      </w:r>
    </w:p>
    <w:p>
      <w:pPr>
        <w:pStyle w:val="BookText"/>
      </w:pPr>
      <w:r>
        <w:rPr>
          <w:rFonts w:ascii="IRNazanin" w:hAnsi="IRNazanin" w:eastAsia="IRNazanin" w:cs="IRNazanin"/>
          <w:lang w:bidi="fa-IR"/>
          <w:color w:val="111111"/>
          <w:sz w:val="28"/>
          <w:szCs w:val="28"/>
          <w:rtl/>
        </w:rPr>
        <w:t xml:space="preserve">۱۳۵. تهران، سپهسالار؛ شماره نسخه: ۴۶۰</w:t>
      </w:r>
    </w:p>
    <w:p>
      <w:pPr>
        <w:pStyle w:val="BookText"/>
      </w:pPr>
      <w:r>
        <w:rPr>
          <w:rFonts w:ascii="IRNazanin" w:hAnsi="IRNazanin" w:eastAsia="IRNazanin" w:cs="IRNazanin"/>
          <w:lang w:bidi="fa-IR"/>
          <w:color w:val="111111"/>
          <w:sz w:val="28"/>
          <w:szCs w:val="28"/>
          <w:rtl/>
        </w:rPr>
        <w:t xml:space="preserve">خط: نستعلیق، كان على محمد شیرازی، تا: رجب ۱۲۵۳ق، جان شیراز؛ صفحات چهار ستونی و چلیپا؛ کاغذ: فرنگی سرخ، جلد: ترمه یک لا درون تیماج مشکی، ۷۰گ، ۱۳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سم [ف: ۳-۲۶۰]</w:t>
      </w:r>
    </w:p>
    <w:p>
      <w:pPr>
        <w:pStyle w:val="BookText"/>
      </w:pPr>
      <w:r>
        <w:rPr>
          <w:rFonts w:ascii="IRNazanin" w:hAnsi="IRNazanin" w:eastAsia="IRNazanin" w:cs="IRNazanin"/>
          <w:lang w:bidi="fa-IR"/>
          <w:color w:val="111111"/>
          <w:sz w:val="28"/>
          <w:szCs w:val="28"/>
          <w:rtl/>
        </w:rPr>
        <w:t xml:space="preserve">۱۳۶. قم؛ گلپایگانی؛ شماره نسخه: ۸۶۳۴- ۵۸/۸۴</w:t>
      </w:r>
    </w:p>
    <w:p>
      <w:pPr>
        <w:pStyle w:val="BookText"/>
      </w:pPr>
      <w:r>
        <w:rPr>
          <w:rFonts w:ascii="IRNazanin" w:hAnsi="IRNazanin" w:eastAsia="IRNazanin" w:cs="IRNazanin"/>
          <w:lang w:bidi="fa-IR"/>
          <w:color w:val="111111"/>
          <w:sz w:val="28"/>
          <w:szCs w:val="28"/>
          <w:rtl/>
        </w:rPr>
        <w:t xml:space="preserve">آغاز: برابر خط: شکسته، نستعلیق، بی کا، تا: ۱۲۵۵ق؛ ۱۳۲گ، ۱۵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۲-۶۳۱]</w:t>
      </w:r>
    </w:p>
    <w:p>
      <w:pPr>
        <w:pStyle w:val="BookText"/>
      </w:pPr>
      <w:r>
        <w:rPr>
          <w:rFonts w:ascii="IRNazanin" w:hAnsi="IRNazanin" w:eastAsia="IRNazanin" w:cs="IRNazanin"/>
          <w:lang w:bidi="fa-IR"/>
          <w:color w:val="111111"/>
          <w:sz w:val="28"/>
          <w:szCs w:val="28"/>
          <w:rtl/>
        </w:rPr>
        <w:t xml:space="preserve">۱۳۷. تهران؛ دائرة المعارف؛ شماره نسخه: فیلم</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زیبا، بی کا، تا: ۲۴ ربيع الأول ۱۲۵۷ق؛ یادداشت سلطانی که «این خط آقا میرزا محمود خلیلی است ... که به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تصدیق استادان بهتر از درویش نوشته»، در کلیات (برگ ۳۵پ۔ ۱۱۳پ) متن و سپس هامش. [ف: ۱-۳۶]</w:t>
      </w:r>
    </w:p>
    <w:p>
      <w:pPr>
        <w:pStyle w:val="BookText"/>
      </w:pPr>
      <w:r>
        <w:rPr>
          <w:rFonts w:ascii="IRNazanin" w:hAnsi="IRNazanin" w:eastAsia="IRNazanin" w:cs="IRNazanin"/>
          <w:lang w:bidi="fa-IR"/>
          <w:color w:val="111111"/>
          <w:sz w:val="28"/>
          <w:szCs w:val="28"/>
          <w:rtl/>
        </w:rPr>
        <w:t xml:space="preserve">۱۳۸. مشهد؛ الهیات؛ شماره نسخه: ۲۳۶۸۰</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خوش، كا: عباس علی بن سید میسر، تا: ۱۱ ذیقعده ۱۲۵۷ق، جا: بلده قمر نکر؛ دارای یک سرلوح زرین، در حواشی دو صفحه اول گل و بوته اندازی شده، مجدول، کمند مشکی؛ کاغذ: هندی، جلد: مقوا عطف و گوشه میشن مشکی با خط کشی زرین، ۱۴۷گ، ۱۵ سطر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اندازه: ۱۵/۵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۲۳/۵سم [ف: ۳-۹۶۷]</w:t>
      </w:r>
    </w:p>
    <w:p>
      <w:pPr>
        <w:pStyle w:val="BookText"/>
      </w:pPr>
      <w:r>
        <w:rPr>
          <w:rFonts w:ascii="IRNazanin" w:hAnsi="IRNazanin" w:eastAsia="IRNazanin" w:cs="IRNazanin"/>
          <w:lang w:bidi="fa-IR"/>
          <w:color w:val="111111"/>
          <w:sz w:val="28"/>
          <w:szCs w:val="28"/>
          <w:rtl/>
        </w:rPr>
        <w:t xml:space="preserve">۱۳۹. تهران؛ ملی؛ شماره نسخه: ۱۸۸۳۷</w:t>
      </w:r>
    </w:p>
    <w:p>
      <w:pPr>
        <w:pStyle w:val="BookText"/>
      </w:pPr>
      <w:r>
        <w:rPr>
          <w:rFonts w:ascii="IRNazanin" w:hAnsi="IRNazanin" w:eastAsia="IRNazanin" w:cs="IRNazanin"/>
          <w:lang w:bidi="fa-IR"/>
          <w:color w:val="111111"/>
          <w:sz w:val="28"/>
          <w:szCs w:val="28"/>
          <w:rtl/>
        </w:rPr>
        <w:t xml:space="preserve">بخشهایی از بوستان؛ كا: میر علی کاتب، تا: ۱۲۵۸ق؛ انتقالی از کتابخانه پهلوی - مجموعه نوازی؛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۱۲/۹ سم [رایانه]</w:t>
      </w:r>
    </w:p>
    <w:p>
      <w:pPr>
        <w:pStyle w:val="BookText"/>
      </w:pPr>
      <w:r>
        <w:rPr>
          <w:rFonts w:ascii="IRNazanin" w:hAnsi="IRNazanin" w:eastAsia="IRNazanin" w:cs="IRNazanin"/>
          <w:lang w:bidi="fa-IR"/>
          <w:color w:val="111111"/>
          <w:sz w:val="28"/>
          <w:szCs w:val="28"/>
          <w:rtl/>
        </w:rPr>
        <w:t xml:space="preserve">۱۴۰. خوانسار؛ فاضل، شماره نسخه: ۴۰۸</w:t>
      </w:r>
    </w:p>
    <w:p>
      <w:pPr>
        <w:pStyle w:val="BookText"/>
      </w:pPr>
      <w:r>
        <w:rPr>
          <w:rFonts w:ascii="IRNazanin" w:hAnsi="IRNazanin" w:eastAsia="IRNazanin" w:cs="IRNazanin"/>
          <w:lang w:bidi="fa-IR"/>
          <w:color w:val="111111"/>
          <w:sz w:val="28"/>
          <w:szCs w:val="28"/>
          <w:rtl/>
        </w:rPr>
        <w:t xml:space="preserve">خط: نستعلیق، کا: مهدی بن ملا عبدالشکور، تا: جمادی الاول ۱۲۵۹ق؛ مهر: «یا علی» (بیضوی)؛ جلد:تیماج مشکی عطف پارچه ای مشکی، ۶۹گ، ۱۶ سطر، اندازه: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۲۰/۵سم [ف: ۲-۸۶]</w:t>
      </w:r>
    </w:p>
    <w:p>
      <w:pPr>
        <w:pStyle w:val="BookText"/>
      </w:pPr>
      <w:r>
        <w:rPr>
          <w:rFonts w:ascii="IRNazanin" w:hAnsi="IRNazanin" w:eastAsia="IRNazanin" w:cs="IRNazanin"/>
          <w:lang w:bidi="fa-IR"/>
          <w:color w:val="111111"/>
          <w:sz w:val="28"/>
          <w:szCs w:val="28"/>
          <w:rtl/>
        </w:rPr>
        <w:t xml:space="preserve">۱۴۱. تهران؛ ملک؛ شماره نسخه: ۵۵۴۷</w:t>
      </w:r>
    </w:p>
    <w:p>
      <w:pPr>
        <w:pStyle w:val="BookText"/>
      </w:pPr>
      <w:r>
        <w:rPr>
          <w:rFonts w:ascii="IRNazanin" w:hAnsi="IRNazanin" w:eastAsia="IRNazanin" w:cs="IRNazanin"/>
          <w:lang w:bidi="fa-IR"/>
          <w:color w:val="111111"/>
          <w:sz w:val="28"/>
          <w:szCs w:val="28"/>
          <w:rtl/>
        </w:rPr>
        <w:t xml:space="preserve">خط: شکسته، نستعلیق، کا: محمد باقر یزدی، تا: ۱۲۶۰ق، جا: يزد؛ مجدول مذهب، دارای یک سرلوح مذهب؛ کاغذ: کاغذ ترمه جلد: میشن قهوه ای، ۱۴۰ گ، ۱۴ سطر، اندازه: ۱۴/۲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۲-۵۹]</w:t>
      </w:r>
    </w:p>
    <w:p>
      <w:pPr>
        <w:pStyle w:val="BookText"/>
      </w:pPr>
      <w:r>
        <w:rPr>
          <w:rFonts w:ascii="IRNazanin" w:hAnsi="IRNazanin" w:eastAsia="IRNazanin" w:cs="IRNazanin"/>
          <w:lang w:bidi="fa-IR"/>
          <w:color w:val="111111"/>
          <w:sz w:val="28"/>
          <w:szCs w:val="28"/>
          <w:rtl/>
        </w:rPr>
        <w:t xml:space="preserve">۱۴۲. تهران؛ سلطنتی؛ شماره نسخه: ۳۸۳/۱۰</w:t>
      </w:r>
    </w:p>
    <w:p>
      <w:pPr>
        <w:pStyle w:val="BookText"/>
      </w:pPr>
      <w:r>
        <w:rPr>
          <w:rFonts w:ascii="IRNazanin" w:hAnsi="IRNazanin" w:eastAsia="IRNazanin" w:cs="IRNazanin"/>
          <w:lang w:bidi="fa-IR"/>
          <w:color w:val="111111"/>
          <w:sz w:val="28"/>
          <w:szCs w:val="28"/>
          <w:rtl/>
        </w:rPr>
        <w:t xml:space="preserve">خط: شکسته نستعلیق خفی خوش، كا: سید علی شیرازی، تا: ۱۲۶۱ق؛ کاغذ: ترمه، جلد: مقوای روکش چرم ساغری قهوه ای با گل ترنج و لچک ترنج و حاشیه مذهب، ۲۱ سطر، قطع: وزیری، اندازه: ۱۸/۵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۲۸سم [ف: ۳-۵۳۵]</w:t>
      </w:r>
    </w:p>
    <w:p>
      <w:pPr>
        <w:pStyle w:val="BookText"/>
      </w:pPr>
      <w:r>
        <w:rPr>
          <w:rFonts w:ascii="IRNazanin" w:hAnsi="IRNazanin" w:eastAsia="IRNazanin" w:cs="IRNazanin"/>
          <w:lang w:bidi="fa-IR"/>
          <w:color w:val="111111"/>
          <w:sz w:val="28"/>
          <w:szCs w:val="28"/>
          <w:rtl/>
        </w:rPr>
        <w:t xml:space="preserve">۱۴۳. یزد؛ وزیری؛ شماره نسخه: ۱۴۳۱</w:t>
      </w:r>
    </w:p>
    <w:p>
      <w:pPr>
        <w:pStyle w:val="BookText"/>
      </w:pPr>
      <w:r>
        <w:rPr>
          <w:rFonts w:ascii="IRNazanin" w:hAnsi="IRNazanin" w:eastAsia="IRNazanin" w:cs="IRNazanin"/>
          <w:lang w:bidi="fa-IR"/>
          <w:color w:val="111111"/>
          <w:sz w:val="28"/>
          <w:szCs w:val="28"/>
          <w:rtl/>
        </w:rPr>
        <w:t xml:space="preserve">آغاز: دو کونش یکی قطره در بحر علم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گنه بیند و پرده پوشد بحلم</w:t>
      </w:r>
    </w:p>
    <w:p>
      <w:pPr>
        <w:pStyle w:val="BookText"/>
      </w:pPr>
      <w:r>
        <w:rPr>
          <w:rFonts w:ascii="IRNazanin" w:hAnsi="IRNazanin" w:eastAsia="IRNazanin" w:cs="IRNazanin"/>
          <w:lang w:bidi="fa-IR"/>
          <w:color w:val="111111"/>
          <w:sz w:val="28"/>
          <w:szCs w:val="28"/>
          <w:rtl/>
        </w:rPr>
        <w:t xml:space="preserve">خط: نستعلیق، كا: على محمد، تا: چهارشنبه رجب ۱۲۶۳ق؛ افتادگی: آغاز؛ اهدایی: وزیری؛ جلد: مقوایی کاغذ ابری، ۱۸۴گ، ۱۱ سطر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سم [ف: ۳-۹۵۸]</w:t>
      </w:r>
    </w:p>
    <w:p>
      <w:pPr>
        <w:pStyle w:val="BookText"/>
      </w:pPr>
      <w:r>
        <w:rPr>
          <w:rFonts w:ascii="IRNazanin" w:hAnsi="IRNazanin" w:eastAsia="IRNazanin" w:cs="IRNazanin"/>
          <w:lang w:bidi="fa-IR"/>
          <w:color w:val="111111"/>
          <w:sz w:val="28"/>
          <w:szCs w:val="28"/>
          <w:rtl/>
        </w:rPr>
        <w:t xml:space="preserve">۱۴۴. یزد؛ وزیری؛ شماره نسخه: ۳۳۸۰/۲</w:t>
      </w:r>
    </w:p>
    <w:p>
      <w:pPr>
        <w:pStyle w:val="BookText"/>
      </w:pPr>
      <w:r>
        <w:rPr>
          <w:rFonts w:ascii="IRNazanin" w:hAnsi="IRNazanin" w:eastAsia="IRNazanin" w:cs="IRNazanin"/>
          <w:lang w:bidi="fa-IR"/>
          <w:color w:val="111111"/>
          <w:sz w:val="28"/>
          <w:szCs w:val="28"/>
          <w:rtl/>
        </w:rPr>
        <w:t xml:space="preserve">آغاز پیش ما رسم شکستن نبود عهد و وفا را؛ انجام: صد جای دگر میوه شیرینی بر رسیده است</w:t>
      </w:r>
    </w:p>
    <w:p>
      <w:pPr>
        <w:pStyle w:val="BookText"/>
      </w:pPr>
      <w:r>
        <w:rPr>
          <w:rFonts w:ascii="IRNazanin" w:hAnsi="IRNazanin" w:eastAsia="IRNazanin" w:cs="IRNazanin"/>
          <w:lang w:bidi="fa-IR"/>
          <w:color w:val="111111"/>
          <w:sz w:val="28"/>
          <w:szCs w:val="28"/>
          <w:rtl/>
        </w:rPr>
        <w:t xml:space="preserve">خط: نستعليق تحریری، كا: محمد جعفر بن محمد هادی، تا: ۱۲۶۴ق؛ افتادگی: آغاز و انجام کاغذ: اصفهانی آهار مهره، جلد: تیماج مشکی، ۲۸ ص (۴۹-۷۶)، ۱۸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۱۳/۵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 سم [ف: ۵-۱۶۳۳]</w:t>
      </w:r>
    </w:p>
    <w:p>
      <w:pPr>
        <w:pStyle w:val="BookText"/>
      </w:pPr>
      <w:r>
        <w:rPr>
          <w:rFonts w:ascii="IRNazanin" w:hAnsi="IRNazanin" w:eastAsia="IRNazanin" w:cs="IRNazanin"/>
          <w:lang w:bidi="fa-IR"/>
          <w:color w:val="111111"/>
          <w:sz w:val="28"/>
          <w:szCs w:val="28"/>
          <w:rtl/>
        </w:rPr>
        <w:t xml:space="preserve">۱۴۵. شیراز؛ شاهچراغ؛ شماره نسخه: ۵۶۲</w:t>
      </w:r>
    </w:p>
    <w:p>
      <w:pPr>
        <w:pStyle w:val="BookText"/>
      </w:pPr>
      <w:r>
        <w:rPr>
          <w:rFonts w:ascii="IRNazanin" w:hAnsi="IRNazanin" w:eastAsia="IRNazanin" w:cs="IRNazanin"/>
          <w:lang w:bidi="fa-IR"/>
          <w:color w:val="111111"/>
          <w:sz w:val="28"/>
          <w:szCs w:val="28"/>
          <w:rtl/>
        </w:rPr>
        <w:t xml:space="preserve">خط: نستعلیق شکسته، كا: آقا خان، تا: چهارشنبه ۸ شوال ۱۲۶۷ق، برای شیخ محمد جعفر بحرینی؛ تملک: شریف الدوله عبدالحسین بن محمد جعفر بن محمد حسن بن محمد بن بهاء الدين بحرینی؛ ۹۰گ،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۳-۱۳]</w:t>
      </w:r>
    </w:p>
    <w:p>
      <w:pPr>
        <w:pStyle w:val="BookText"/>
      </w:pPr>
      <w:r>
        <w:rPr>
          <w:rFonts w:ascii="IRNazanin" w:hAnsi="IRNazanin" w:eastAsia="IRNazanin" w:cs="IRNazanin"/>
          <w:lang w:bidi="fa-IR"/>
          <w:color w:val="111111"/>
          <w:sz w:val="28"/>
          <w:szCs w:val="28"/>
          <w:rtl/>
        </w:rPr>
        <w:t xml:space="preserve">۱۴۶. تهران؛ سلطنتی؛ شماره نسخه: ۳۸۵/۲</w:t>
      </w:r>
    </w:p>
    <w:p>
      <w:pPr>
        <w:pStyle w:val="BookText"/>
      </w:pPr>
      <w:r>
        <w:rPr>
          <w:rFonts w:ascii="IRNazanin" w:hAnsi="IRNazanin" w:eastAsia="IRNazanin" w:cs="IRNazanin"/>
          <w:lang w:bidi="fa-IR"/>
          <w:color w:val="111111"/>
          <w:sz w:val="28"/>
          <w:szCs w:val="28"/>
          <w:rtl/>
        </w:rPr>
        <w:t xml:space="preserve">خط: نستعلیق، بی کا، تا: ۱۲۶۸ق؛ کاغذ: ترمه، جلد: مقوای روغنی بوم گل ماشی منقش به گل و غنچه و پروانه و بلبل و سنبل یک حاشیه زمینه لاکی نقطه نشان سفیداب حاشیه دیگر زمینه مشکی ریسه برگ پرطاووسی زرین، ۲۰ سطر، قطع: وزیری،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۳-۵۴۱]</w:t>
      </w:r>
    </w:p>
    <w:p>
      <w:pPr>
        <w:pStyle w:val="BookText"/>
      </w:pPr>
      <w:r>
        <w:rPr>
          <w:rFonts w:ascii="IRNazanin" w:hAnsi="IRNazanin" w:eastAsia="IRNazanin" w:cs="IRNazanin"/>
          <w:lang w:bidi="fa-IR"/>
          <w:color w:val="111111"/>
          <w:sz w:val="28"/>
          <w:szCs w:val="28"/>
          <w:rtl/>
        </w:rPr>
        <w:t xml:space="preserve">۱۴۷. آشتیان؛ حوزه علمیه؛ شماره نسخه: ۲۵ بخش یکم</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چهارشنبه ۱۱ جمادی الثانی ۱۲۷۱ق؛ مهر: «عبده ابراهیم» (بیضی)، «الله» (چهارگوش)؛ واقف: مرحوم على اکبر ادیب؛ کاغذ: لیمویی، جلد: تیماج قهوه ای با لایه مقوا، ۷۳گ، مختلف السطر، قطع: وزیری،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۶۵]</w:t>
      </w:r>
    </w:p>
    <w:p>
      <w:pPr>
        <w:pStyle w:val="BookText"/>
      </w:pPr>
      <w:r>
        <w:rPr>
          <w:rFonts w:ascii="IRNazanin" w:hAnsi="IRNazanin" w:eastAsia="IRNazanin" w:cs="IRNazanin"/>
          <w:lang w:bidi="fa-IR"/>
          <w:color w:val="111111"/>
          <w:sz w:val="28"/>
          <w:szCs w:val="28"/>
          <w:rtl/>
        </w:rPr>
        <w:t xml:space="preserve">۱۴۸. یزد؛ کاظمینی؛ شماره نسخه: ۸۵</w:t>
      </w:r>
    </w:p>
    <w:p>
      <w:pPr>
        <w:pStyle w:val="BookText"/>
      </w:pPr>
      <w:r>
        <w:rPr>
          <w:rFonts w:ascii="IRNazanin" w:hAnsi="IRNazanin" w:eastAsia="IRNazanin" w:cs="IRNazanin"/>
          <w:lang w:bidi="fa-IR"/>
          <w:color w:val="111111"/>
          <w:sz w:val="28"/>
          <w:szCs w:val="28"/>
          <w:rtl/>
        </w:rPr>
        <w:t xml:space="preserve">خط: نستعلیق، بی کا، تا: غره جمادی الثانی ۱۲۷۱ق؛ در اوراق پایانی کتاب اشعار مفصلی از سعدی و بعضا از حافظ، نور على شاه، کمال الدين اسماعيل ملقب به خلاق المعانی، مولوی، و مغربی و تاریخ تولدی به سال ۱۲۸۵؛ جلد: تیماج قهوه ای ضربی، ۱۸۲گ، ۱۵ سطر، اندازه: ۱۰/۵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۱-۸۹]</w:t>
      </w:r>
    </w:p>
    <w:p>
      <w:pPr>
        <w:pStyle w:val="BookText"/>
      </w:pPr>
      <w:r>
        <w:rPr>
          <w:rFonts w:ascii="IRNazanin" w:hAnsi="IRNazanin" w:eastAsia="IRNazanin" w:cs="IRNazanin"/>
          <w:lang w:bidi="fa-IR"/>
          <w:color w:val="111111"/>
          <w:sz w:val="28"/>
          <w:szCs w:val="28"/>
          <w:rtl/>
        </w:rPr>
        <w:t xml:space="preserve">۱۴۹. مشهد؛ گوهرشاد؛ شماره نسخه: ۳۴۵/۱۰</w:t>
      </w:r>
    </w:p>
    <w:p>
      <w:pPr>
        <w:pStyle w:val="BookText"/>
      </w:pPr>
      <w:r>
        <w:rPr>
          <w:rFonts w:ascii="IRNazanin" w:hAnsi="IRNazanin" w:eastAsia="IRNazanin" w:cs="IRNazanin"/>
          <w:lang w:bidi="fa-IR"/>
          <w:color w:val="111111"/>
          <w:sz w:val="28"/>
          <w:szCs w:val="28"/>
          <w:rtl/>
        </w:rPr>
        <w:t xml:space="preserve">از اول چند برگی بیش ندارد؛ خط: نستعلیق، بی کا، بی تا؛ با یادداشت مورخ ۱۲۷۲ق؛ مهر: حاج سید سعید؛ جلد: مقوا عطف پارچه، ۶گ (۹۲-۹۷)، ۱۷ سطر (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۱-۲۸۶]</w:t>
      </w:r>
    </w:p>
    <w:p>
      <w:pPr>
        <w:pStyle w:val="BookText"/>
      </w:pPr>
      <w:r>
        <w:rPr>
          <w:rFonts w:ascii="IRNazanin" w:hAnsi="IRNazanin" w:eastAsia="IRNazanin" w:cs="IRNazanin"/>
          <w:lang w:bidi="fa-IR"/>
          <w:color w:val="111111"/>
          <w:sz w:val="28"/>
          <w:szCs w:val="28"/>
          <w:rtl/>
        </w:rPr>
        <w:t xml:space="preserve">۱۵۰. تهران: ملی؛ شماره نسخه: ۱۷۶۷۳</w:t>
      </w:r>
    </w:p>
    <w:p>
      <w:pPr>
        <w:pStyle w:val="BookText"/>
      </w:pPr>
      <w:r>
        <w:rPr>
          <w:rFonts w:ascii="IRNazanin" w:hAnsi="IRNazanin" w:eastAsia="IRNazanin" w:cs="IRNazanin"/>
          <w:lang w:bidi="fa-IR"/>
          <w:color w:val="111111"/>
          <w:sz w:val="28"/>
          <w:szCs w:val="28"/>
          <w:rtl/>
        </w:rPr>
        <w:t xml:space="preserve">کا: آقا میرزا سید محمد، تا: ۱۲۷۳ق؛ انتقالی از کتابخانه پهلوی - مجموعه نوازی؛ ۱۰۴گ، اندازه: ۲۱/۸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۱۲/۳</w:t>
      </w:r>
    </w:p>
    <w:p>
      <w:pPr>
        <w:pStyle w:val="BookText"/>
      </w:pPr>
      <w:r>
        <w:rPr>
          <w:rFonts w:ascii="IRNazanin" w:hAnsi="IRNazanin" w:eastAsia="IRNazanin" w:cs="IRNazanin"/>
          <w:lang w:bidi="fa-IR"/>
          <w:color w:val="111111"/>
          <w:sz w:val="28"/>
          <w:szCs w:val="28"/>
          <w:rtl/>
        </w:rPr>
        <w:t xml:space="preserve">سم [رایانه]</w:t>
      </w:r>
    </w:p>
    <w:p>
      <w:pPr>
        <w:pStyle w:val="BookText"/>
      </w:pPr>
      <w:r>
        <w:rPr>
          <w:rFonts w:ascii="IRNazanin" w:hAnsi="IRNazanin" w:eastAsia="IRNazanin" w:cs="IRNazanin"/>
          <w:lang w:bidi="fa-IR"/>
          <w:color w:val="111111"/>
          <w:sz w:val="28"/>
          <w:szCs w:val="28"/>
          <w:rtl/>
        </w:rPr>
        <w:t xml:space="preserve">۱۵۱. مشهد: رضوی؛ شماره نسخه: ۴۴۵۸</w:t>
      </w:r>
    </w:p>
    <w:p>
      <w:pPr>
        <w:pStyle w:val="BookText"/>
      </w:pPr>
      <w:r>
        <w:rPr>
          <w:rFonts w:ascii="IRNazanin" w:hAnsi="IRNazanin" w:eastAsia="IRNazanin" w:cs="IRNazanin"/>
          <w:lang w:bidi="fa-IR"/>
          <w:color w:val="111111"/>
          <w:sz w:val="28"/>
          <w:szCs w:val="28"/>
          <w:rtl/>
        </w:rPr>
        <w:t xml:space="preserve">آغاز: بنام خداوند جان آفرین.؛ انجام: خدایا بعفوم مکن ناامید. خط: شکسته نستعلیق خوش، بی کا، تا: ۲ شعبان ۱۲۷۴ق؛ دارای سرلوح متوسط، مجدول و زر افشان، دو صفحه اول بين السطور طلااندازی؛ واقف: نایینی؛ کاغذ: فرنگی الوان، جلد: تیماج عنابی، ۱۴۸گ، ۱۲ سطر ( ۱۴/۸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 اندازه: ۱۳/۵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۲۱/۲۷ سم [ف: ۷-۲۲۰]</w:t>
      </w:r>
    </w:p>
    <w:p>
      <w:pPr>
        <w:pStyle w:val="BookText"/>
      </w:pPr>
      <w:r>
        <w:rPr>
          <w:rFonts w:ascii="IRNazanin" w:hAnsi="IRNazanin" w:eastAsia="IRNazanin" w:cs="IRNazanin"/>
          <w:lang w:bidi="fa-IR"/>
          <w:color w:val="111111"/>
          <w:sz w:val="28"/>
          <w:szCs w:val="28"/>
          <w:rtl/>
        </w:rPr>
        <w:t xml:space="preserve">۱۵۲. مراغه؛ عمومی؛ شماره نسخه: ۶۹</w:t>
      </w:r>
    </w:p>
    <w:p>
      <w:pPr>
        <w:pStyle w:val="BookText"/>
      </w:pPr>
      <w:r>
        <w:rPr>
          <w:rFonts w:ascii="IRNazanin" w:hAnsi="IRNazanin" w:eastAsia="IRNazanin" w:cs="IRNazanin"/>
          <w:lang w:bidi="fa-IR"/>
          <w:color w:val="111111"/>
          <w:sz w:val="28"/>
          <w:szCs w:val="28"/>
          <w:rtl/>
        </w:rPr>
        <w:t xml:space="preserve">آغاز: کریم السخایا جميل الشيم** نبي الوری یا شفيع الأمم؛</w:t>
      </w:r>
    </w:p>
    <w:p>
      <w:pPr>
        <w:pStyle w:val="BookText"/>
      </w:pPr>
      <w:r>
        <w:rPr>
          <w:rFonts w:ascii="IRNazanin" w:hAnsi="IRNazanin" w:eastAsia="IRNazanin" w:cs="IRNazanin"/>
          <w:lang w:bidi="fa-IR"/>
          <w:color w:val="111111"/>
          <w:sz w:val="28"/>
          <w:szCs w:val="28"/>
          <w:rtl/>
        </w:rPr>
        <w:t xml:space="preserve">انجام: برابر</w:t>
      </w:r>
    </w:p>
    <w:p>
      <w:pPr>
        <w:pStyle w:val="BookText"/>
      </w:pPr>
      <w:r>
        <w:rPr>
          <w:rFonts w:ascii="IRNazanin" w:hAnsi="IRNazanin" w:eastAsia="IRNazanin" w:cs="IRNazanin"/>
          <w:lang w:bidi="fa-IR"/>
          <w:color w:val="111111"/>
          <w:sz w:val="28"/>
          <w:szCs w:val="28"/>
          <w:rtl/>
        </w:rPr>
        <w:t xml:space="preserve">خط: نستعلیق، کا: کربلایی احمد مراغی، تا: ۱۲۷۵ق؛ افتادگی: آغاز؛ جلد: مقوا با روکش پارچه، ۷۶گ، ۹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سم [ف: ۱۷]</w:t>
      </w:r>
    </w:p>
    <w:p>
      <w:pPr>
        <w:pStyle w:val="BookText"/>
      </w:pPr>
      <w:r>
        <w:rPr>
          <w:rFonts w:ascii="IRNazanin" w:hAnsi="IRNazanin" w:eastAsia="IRNazanin" w:cs="IRNazanin"/>
          <w:lang w:bidi="fa-IR"/>
          <w:color w:val="111111"/>
          <w:sz w:val="28"/>
          <w:szCs w:val="28"/>
          <w:rtl/>
        </w:rPr>
        <w:t xml:space="preserve">۱۵۳. تهران؛ ملی؛ شماره نسخه: ۱۸۷۹۵</w:t>
      </w:r>
    </w:p>
    <w:p>
      <w:pPr>
        <w:pStyle w:val="BookText"/>
      </w:pPr>
      <w:r>
        <w:rPr>
          <w:rFonts w:ascii="IRNazanin" w:hAnsi="IRNazanin" w:eastAsia="IRNazanin" w:cs="IRNazanin"/>
          <w:lang w:bidi="fa-IR"/>
          <w:color w:val="111111"/>
          <w:sz w:val="28"/>
          <w:szCs w:val="28"/>
          <w:rtl/>
        </w:rPr>
        <w:t xml:space="preserve">بی کا، تا: ۱۲۷۶ق؛ انتقالی از کتابخانه پهلوی - مجموعه نوازی؛ ۳۸۱ص، اندازه: ۲۰/۴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سم [رایانه ]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۱۵۴. مشهد؛ شیخ علی حیدر؛ شماره نسخه: ۱۰۰۸/۱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علی بن میرزا محمد تفرشی، تا: چهارشنبه ۸ رمضان ۱۲۷۷ق؛ جلد: تیماج قهوه ای، ۱۴۳گ (۱پ۔ ۱۴۳پ)، ۱۵سطر، اندازه: ۲۲</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۱۷سم [مؤيد: ۳-۲۴]</w:t>
      </w:r>
    </w:p>
    <w:p>
      <w:pPr>
        <w:pStyle w:val="BookText"/>
      </w:pPr>
      <w:r>
        <w:rPr>
          <w:rFonts w:ascii="IRNazanin" w:hAnsi="IRNazanin" w:eastAsia="IRNazanin" w:cs="IRNazanin"/>
          <w:lang w:bidi="fa-IR"/>
          <w:color w:val="111111"/>
          <w:sz w:val="28"/>
          <w:szCs w:val="28"/>
          <w:rtl/>
        </w:rPr>
        <w:t xml:space="preserve">۱۵۵. تهران؛ مفتاح؛ شماره نسخه: ۱۱۴۸</w:t>
      </w:r>
    </w:p>
    <w:p>
      <w:pPr>
        <w:pStyle w:val="BookText"/>
      </w:pPr>
      <w:r>
        <w:rPr>
          <w:rFonts w:ascii="IRNazanin" w:hAnsi="IRNazanin" w:eastAsia="IRNazanin" w:cs="IRNazanin"/>
          <w:lang w:bidi="fa-IR"/>
          <w:color w:val="111111"/>
          <w:sz w:val="28"/>
          <w:szCs w:val="28"/>
          <w:rtl/>
        </w:rPr>
        <w:t xml:space="preserve">خط: نستعلیق، بی کا، تا: ۲۴ رجب ۱۲۷۸ق؛ محشی؛ قطع: رحلی نشریه: ۷-۱۰۸]</w:t>
      </w:r>
    </w:p>
    <w:p>
      <w:pPr>
        <w:pStyle w:val="BookText"/>
      </w:pPr>
      <w:r>
        <w:rPr>
          <w:rFonts w:ascii="IRNazanin" w:hAnsi="IRNazanin" w:eastAsia="IRNazanin" w:cs="IRNazanin"/>
          <w:lang w:bidi="fa-IR"/>
          <w:color w:val="111111"/>
          <w:sz w:val="28"/>
          <w:szCs w:val="28"/>
          <w:rtl/>
        </w:rPr>
        <w:t xml:space="preserve">۱۵۶. مشهد؛ رضوی، شماره نسخه: ۱۱۴۷۲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بی کا، تا: ۱۲۹۴ق؛ دارای سرلوح مرصع مذهب، سه کتیبه بازوبندی، دو صفحه اول و دوم مذهب متناظر، مجدول، مذهب، حاشیه گل و بوته به شیوه اسلیمی، دارای تحریر و کمند؛ واقف: عبدالحسین کشکولی؛ کاغذ: نباتی آهار مهره، جلد: میشن ضربی، ۱۶۵گ، ۱۳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۹-۹۱]</w:t>
      </w:r>
    </w:p>
    <w:p>
      <w:pPr>
        <w:pStyle w:val="BookText"/>
      </w:pPr>
      <w:r>
        <w:rPr>
          <w:rFonts w:ascii="IRNazanin" w:hAnsi="IRNazanin" w:eastAsia="IRNazanin" w:cs="IRNazanin"/>
          <w:lang w:bidi="fa-IR"/>
          <w:color w:val="111111"/>
          <w:sz w:val="28"/>
          <w:szCs w:val="28"/>
          <w:rtl/>
        </w:rPr>
        <w:t xml:space="preserve">۱۵۷. اصفهان؛ دانشگاه؛ شماره نسخه: ۷۲۹</w:t>
      </w:r>
    </w:p>
    <w:p>
      <w:pPr>
        <w:pStyle w:val="BookText"/>
      </w:pPr>
      <w:r>
        <w:rPr>
          <w:rFonts w:ascii="IRNazanin" w:hAnsi="IRNazanin" w:eastAsia="IRNazanin" w:cs="IRNazanin"/>
          <w:lang w:bidi="fa-IR"/>
          <w:color w:val="111111"/>
          <w:sz w:val="28"/>
          <w:szCs w:val="28"/>
          <w:rtl/>
        </w:rPr>
        <w:t xml:space="preserve">خط: شکسته نستعلیق، كا: علی قلی شریف اردکانی، تا: پنج شنبه ۱۶ صفر ۱۲۹۷ق، جهت ملا محمد جعفر بن حاجی محمد اردکانی؛ دارای سرلوح رنگین با حاشیه سازی گل و بوته به نقش اسلیمی، مجدول، محشی، در برگ پایانی یک بیت شعر فارسی به خط حیدر علی شیرازی به سال ۱۳۳۵؛ جلد: مقوایی با نقش ترنج و لچکی، عطف تیماج قهوه ای، ۱۶۵گ، ۱۳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۲-۵۵۷]</w:t>
      </w:r>
    </w:p>
    <w:p>
      <w:pPr>
        <w:pStyle w:val="BookText"/>
      </w:pPr>
      <w:r>
        <w:rPr>
          <w:rFonts w:ascii="IRNazanin" w:hAnsi="IRNazanin" w:eastAsia="IRNazanin" w:cs="IRNazanin"/>
          <w:lang w:bidi="fa-IR"/>
          <w:color w:val="111111"/>
          <w:sz w:val="28"/>
          <w:szCs w:val="28"/>
          <w:rtl/>
        </w:rPr>
        <w:t xml:space="preserve">۱۵۸. تهران؛ مجلس؛ شماره نسخه: ۸۱۷۳/۱۹</w:t>
      </w:r>
    </w:p>
    <w:p>
      <w:pPr>
        <w:pStyle w:val="BookText"/>
      </w:pPr>
      <w:r>
        <w:rPr>
          <w:rFonts w:ascii="IRNazanin" w:hAnsi="IRNazanin" w:eastAsia="IRNazanin" w:cs="IRNazanin"/>
          <w:lang w:bidi="fa-IR"/>
          <w:color w:val="111111"/>
          <w:sz w:val="28"/>
          <w:szCs w:val="28"/>
          <w:rtl/>
        </w:rPr>
        <w:t xml:space="preserve">آغاز: یکی ماه رخسار با فر و جاه </w:t>
      </w:r>
      <w:r>
        <w:rPr>
          <w:rFonts w:ascii="IRNazanin" w:hAnsi="IRNazanin" w:eastAsia="IRNazanin" w:cs="IRNazanin"/>
          <w:lang w:bidi="fa-IR"/>
          <w:color w:val="111111"/>
          <w:sz w:val="28"/>
          <w:szCs w:val="28"/>
          <w:b w:val="1"/>
          <w:bCs w:val="1"/>
          <w:i w:val="1"/>
          <w:iCs w:val="1"/>
          <w:rtl/>
        </w:rPr>
        <w:t xml:space="preserve">تنفر نمود از غلامی سیاه / کناره نمود آن بت بوالعجب</w:t>
      </w:r>
      <w:r>
        <w:rPr>
          <w:rFonts w:ascii="IRNazanin" w:hAnsi="IRNazanin" w:eastAsia="IRNazanin" w:cs="IRNazanin"/>
          <w:lang w:bidi="fa-IR"/>
          <w:color w:val="111111"/>
          <w:sz w:val="28"/>
          <w:szCs w:val="28"/>
          <w:rtl/>
        </w:rPr>
        <w:t xml:space="preserve"> بمانند روز از سیاهی شب؛ انجام: . من و تو سیاه و اگر روشنیم ***همه از گلستان یک گلشنیم</w:t>
      </w:r>
    </w:p>
    <w:p>
      <w:pPr>
        <w:pStyle w:val="BookText"/>
      </w:pPr>
      <w:r>
        <w:rPr>
          <w:rFonts w:ascii="IRNazanin" w:hAnsi="IRNazanin" w:eastAsia="IRNazanin" w:cs="IRNazanin"/>
          <w:lang w:bidi="fa-IR"/>
          <w:color w:val="111111"/>
          <w:sz w:val="28"/>
          <w:szCs w:val="28"/>
          <w:rtl/>
        </w:rPr>
        <w:t xml:space="preserve">حکایت = قطعه شعر مثنوی. در عنوانش نوشته: «حکایت گویا از شیخ باشد»؛ خط: شکسته نستعلیق، کا: صحبت الله خان ملقب به دبیر همایون، تا: آغاز قرن ۱۴؛ راسته و چلیپا، دارای رکابه؛ کاغذ: نازک کاهی شکننده، جلد: تیماج قهوه ای مجدول، ۲ص (۳۸- ۳۹)،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۱۳/۴ سم [ف: ۲۷/۱ -۳۲۳]</w:t>
      </w:r>
    </w:p>
    <w:p>
      <w:pPr>
        <w:pStyle w:val="BookText"/>
      </w:pPr>
      <w:r>
        <w:rPr>
          <w:rFonts w:ascii="IRNazanin" w:hAnsi="IRNazanin" w:eastAsia="IRNazanin" w:cs="IRNazanin"/>
          <w:lang w:bidi="fa-IR"/>
          <w:color w:val="111111"/>
          <w:sz w:val="28"/>
          <w:szCs w:val="28"/>
          <w:rtl/>
        </w:rPr>
        <w:t xml:space="preserve">۱۵۹. تهران، دانشگاه، شماره نسخه: ۸۸۶۲</w:t>
      </w:r>
    </w:p>
    <w:p>
      <w:pPr>
        <w:pStyle w:val="BookText"/>
      </w:pPr>
      <w:r>
        <w:rPr>
          <w:rFonts w:ascii="IRNazanin" w:hAnsi="IRNazanin" w:eastAsia="IRNazanin" w:cs="IRNazanin"/>
          <w:lang w:bidi="fa-IR"/>
          <w:color w:val="111111"/>
          <w:sz w:val="28"/>
          <w:szCs w:val="28"/>
          <w:rtl/>
        </w:rPr>
        <w:t xml:space="preserve">(گزیده است)؛ خط: نسخ، بی کا، تا: قرن ۱۳ و ۱۴؛ کاغذ: فرنگی، جلد: وزیری، ۳۲گ، ۱۹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قطع: وزیری،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۱۷-۲۳۷]</w:t>
      </w:r>
    </w:p>
    <w:p>
      <w:pPr>
        <w:pStyle w:val="BookText"/>
      </w:pPr>
      <w:r>
        <w:rPr>
          <w:rFonts w:ascii="IRNazanin" w:hAnsi="IRNazanin" w:eastAsia="IRNazanin" w:cs="IRNazanin"/>
          <w:lang w:bidi="fa-IR"/>
          <w:color w:val="111111"/>
          <w:sz w:val="28"/>
          <w:szCs w:val="28"/>
          <w:rtl/>
        </w:rPr>
        <w:t xml:space="preserve">۱۶۰. تهران: مجلس؛ شماره نسخه: ۵۷/۹</w:t>
      </w:r>
    </w:p>
    <w:p>
      <w:pPr>
        <w:pStyle w:val="BookText"/>
      </w:pPr>
      <w:r>
        <w:rPr>
          <w:rFonts w:ascii="IRNazanin" w:hAnsi="IRNazanin" w:eastAsia="IRNazanin" w:cs="IRNazanin"/>
          <w:lang w:bidi="fa-IR"/>
          <w:color w:val="111111"/>
          <w:sz w:val="28"/>
          <w:szCs w:val="28"/>
          <w:rtl/>
        </w:rPr>
        <w:t xml:space="preserve">فیروز اشعار پراکنده از بوستان؛ خط: نستعلیق، کا: میر سید علی تفرشی الشكرنویس ملقب به موثق لشکر، تا: قرن ۱۴؛ کاغذ: فرنگی، جلد: تیماج قرمز، ۲ص (۱۲۷-۱۲۸)، قطع: نیم خشتی، اندازه: ۱۲/۵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۲۱-۲۰۴]</w:t>
      </w:r>
    </w:p>
    <w:p>
      <w:pPr>
        <w:pStyle w:val="BookText"/>
      </w:pPr>
      <w:r>
        <w:rPr>
          <w:rFonts w:ascii="IRNazanin" w:hAnsi="IRNazanin" w:eastAsia="IRNazanin" w:cs="IRNazanin"/>
          <w:lang w:bidi="fa-IR"/>
          <w:color w:val="111111"/>
          <w:sz w:val="28"/>
          <w:szCs w:val="28"/>
          <w:rtl/>
        </w:rPr>
        <w:t xml:space="preserve">۱۶۱. مشهد؛ رضوی؛ شماره نسخه: ۶۸۳۹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هاشم قراگوزلو، تا: ۲ جمادی الاول ۱۳۲۴ق؛ واقف: درة السلطنه ملكزاده کوثر، آبان ۱۳۲۶؛ کاغذ: سفید فرنگی با افشان اکلیل، جلد: تیماج قهوه ای، ۱۸۳ گ، ۱۴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۷-۲۲۰]</w:t>
      </w:r>
    </w:p>
    <w:p>
      <w:pPr>
        <w:pStyle w:val="BookText"/>
      </w:pPr>
      <w:r>
        <w:rPr>
          <w:rFonts w:ascii="IRNazanin" w:hAnsi="IRNazanin" w:eastAsia="IRNazanin" w:cs="IRNazanin"/>
          <w:lang w:bidi="fa-IR"/>
          <w:color w:val="111111"/>
          <w:sz w:val="28"/>
          <w:szCs w:val="28"/>
          <w:rtl/>
        </w:rPr>
        <w:t xml:space="preserve">۱۶۲. قم، گلپایگانی شماره نسخه: ۳۰۶۰- ۱۶/۷۰</w:t>
      </w:r>
    </w:p>
    <w:p>
      <w:pPr>
        <w:pStyle w:val="BookText"/>
      </w:pPr>
      <w:r>
        <w:rPr>
          <w:rFonts w:ascii="IRNazanin" w:hAnsi="IRNazanin" w:eastAsia="IRNazanin" w:cs="IRNazanin"/>
          <w:lang w:bidi="fa-IR"/>
          <w:color w:val="111111"/>
          <w:sz w:val="28"/>
          <w:szCs w:val="28"/>
          <w:rtl/>
        </w:rPr>
        <w:t xml:space="preserve">آغاز: تولای مردان این پاکی بوم*** بر انگیختم خاطر از شام و روم / دریغ آمدم زین همه بوستان*** تهی دست رفتن بسوی دوستان؛ انجام: برابر خط: نستعلیق، كا: كاتب بخش نونویس سید هاشم حکیم ابن حاجی سید محمد، تا: قرن ۱۳؛ دو صفحه آخر نونویس در صفر ۱۳۲۴ق؛ مجدول مذهب؛ جلد: مقوا، ۹۲گ، ۱۵ سطر،اندازه:۲۲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۲-۶۳۱]</w:t>
      </w:r>
    </w:p>
    <w:p>
      <w:pPr>
        <w:pStyle w:val="BookText"/>
      </w:pPr>
      <w:r>
        <w:rPr>
          <w:rFonts w:ascii="IRNazanin" w:hAnsi="IRNazanin" w:eastAsia="IRNazanin" w:cs="IRNazanin"/>
          <w:lang w:bidi="fa-IR"/>
          <w:color w:val="111111"/>
          <w:sz w:val="28"/>
          <w:szCs w:val="28"/>
          <w:rtl/>
        </w:rPr>
        <w:t xml:space="preserve">۱۶۳. تهران؛ مجلس؛ شماره نسخه: ۲۶۹۰</w:t>
      </w:r>
    </w:p>
    <w:p>
      <w:pPr>
        <w:pStyle w:val="BookText"/>
      </w:pPr>
      <w:r>
        <w:rPr>
          <w:rFonts w:ascii="IRNazanin" w:hAnsi="IRNazanin" w:eastAsia="IRNazanin" w:cs="IRNazanin"/>
          <w:lang w:bidi="fa-IR"/>
          <w:color w:val="111111"/>
          <w:sz w:val="28"/>
          <w:szCs w:val="28"/>
          <w:rtl/>
        </w:rPr>
        <w:t xml:space="preserve">آغاز: کریما ببخشای بر حال ما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که هستیم اسیر کمند بلاي انجام: منه دل بر این دیر نا پایدار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ز سعدی همین یک سخن گوشدار خط: نستعلیق، كا: على نقی شریف شیرازی، تا: ۱۳۲۷ق؛ امضاء تقی دانش ضياء لشکر پشت برگ اول، مجدول، مذهب، کمند زر و لاجورد، با سرلوح مذهب مرصع کاغذ: ترمه اصفهانی، جلد: ترمه سفید عطف و حاشیه تیماج قرمز، ۲۳ص، ۱۰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 اندازه: ۱۱/۵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۱۸/۵ سم [ف: ۸-۴۶۰]</w:t>
      </w:r>
    </w:p>
    <w:p>
      <w:pPr>
        <w:pStyle w:val="BookText"/>
      </w:pPr>
      <w:r>
        <w:rPr>
          <w:rFonts w:ascii="IRNazanin" w:hAnsi="IRNazanin" w:eastAsia="IRNazanin" w:cs="IRNazanin"/>
          <w:lang w:bidi="fa-IR"/>
          <w:color w:val="111111"/>
          <w:sz w:val="28"/>
          <w:szCs w:val="28"/>
          <w:rtl/>
        </w:rPr>
        <w:t xml:space="preserve">۱۶۴. تهران: دانشسرای عالی - کتابخانه میرزا عبدالعظیم خان قریب گر کانی؛ شماره نسخه: ۱۲۹/۲</w:t>
      </w:r>
    </w:p>
    <w:p>
      <w:pPr>
        <w:pStyle w:val="BookText"/>
      </w:pPr>
      <w:r>
        <w:rPr>
          <w:rFonts w:ascii="IRNazanin" w:hAnsi="IRNazanin" w:eastAsia="IRNazanin" w:cs="IRNazanin"/>
          <w:lang w:bidi="fa-IR"/>
          <w:color w:val="111111"/>
          <w:sz w:val="28"/>
          <w:szCs w:val="28"/>
          <w:rtl/>
        </w:rPr>
        <w:t xml:space="preserve">خط: نستعلیق، بی کا، تا: سه شنبه ۶ محرم ۱۳۳۰ق؛ قطع: ربعی نشریه: ۵-۶۴۳]</w:t>
      </w:r>
    </w:p>
    <w:p>
      <w:pPr>
        <w:pStyle w:val="BookText"/>
      </w:pPr>
      <w:r>
        <w:rPr>
          <w:rFonts w:ascii="IRNazanin" w:hAnsi="IRNazanin" w:eastAsia="IRNazanin" w:cs="IRNazanin"/>
          <w:lang w:bidi="fa-IR"/>
          <w:color w:val="111111"/>
          <w:sz w:val="28"/>
          <w:szCs w:val="28"/>
          <w:rtl/>
        </w:rPr>
        <w:t xml:space="preserve">۱۶۵. تهران؛ سلطنتی؛ شماره نسخه: ۲۲۶۳</w:t>
      </w:r>
    </w:p>
    <w:p>
      <w:pPr>
        <w:pStyle w:val="BookText"/>
      </w:pPr>
      <w:r>
        <w:rPr>
          <w:rFonts w:ascii="IRNazanin" w:hAnsi="IRNazanin" w:eastAsia="IRNazanin" w:cs="IRNazanin"/>
          <w:lang w:bidi="fa-IR"/>
          <w:color w:val="111111"/>
          <w:sz w:val="28"/>
          <w:szCs w:val="28"/>
          <w:rtl/>
        </w:rPr>
        <w:t xml:space="preserve">آغاز و انجام: برابر؛ هو الاول و الاخر و الظاهر والباطن. چون همواره بندگان ثریا مکان مهر سپهر عقل و کیاست بدر منیر فهم و فراست ... میرزا ابراهیم خان قوام الملک پنجم ادام الله تعالی ... باین بنده قليل البضاعه ... على نقى الشريف البن المرحوم میرزا يوسف مذهب باشی اطاب الله ثراه اشارتی فرمود تا باستنساخ</w:t>
      </w:r>
    </w:p>
    <w:p>
      <w:pPr>
        <w:pStyle w:val="BookText"/>
      </w:pPr>
      <w:r>
        <w:rPr>
          <w:rFonts w:ascii="IRNazanin" w:hAnsi="IRNazanin" w:eastAsia="IRNazanin" w:cs="IRNazanin"/>
          <w:lang w:bidi="fa-IR"/>
          <w:color w:val="111111"/>
          <w:sz w:val="28"/>
          <w:szCs w:val="28"/>
          <w:rtl/>
        </w:rPr>
        <w:t xml:space="preserve">این نامه نامی و نسخه گرانی خامه گشایم و اتمامش را از خدای جهان مسئلت نمایم لهذا انگشت قبول بردیده هشتم و در مدت هفت ماهش نوشتم الحمدلله على الاختتام ... فيشهر جمادى الأولى سینه ۱۳۴۱</w:t>
      </w:r>
    </w:p>
    <w:p>
      <w:pPr>
        <w:pStyle w:val="BookText"/>
      </w:pPr>
      <w:r>
        <w:rPr>
          <w:rFonts w:ascii="IRNazanin" w:hAnsi="IRNazanin" w:eastAsia="IRNazanin" w:cs="IRNazanin"/>
          <w:lang w:bidi="fa-IR"/>
          <w:color w:val="111111"/>
          <w:sz w:val="28"/>
          <w:szCs w:val="28"/>
          <w:rtl/>
        </w:rPr>
        <w:t xml:space="preserve">خط: نستعلیق عالی، كا: على نقي الشريف ابن میرزا یوسف مذهب باشی، تا: ۱۳۴۱ق؛ مذهب (محمود مذهب باشی ۱۳۴۲)، تاریخ ورود به کتابخانه سلطنتی تیر ماه ۱۳۵۰، دو صفحه اول دارای حواشی گلکاری زرین با تحریر مشکی و مذهب و مرصع است با ترنجهای بسیار زیبای الوان، بین السطور این دو صفحه طلااندازی است، با سرلوح مذهب مرصع ممتاز سبک کار شیراز؛ کاغذ: ترمه آهار مهره، جلد: مقوای روغنی بوم مشکی مذهب به شاخه و پیچک و گل و برگهای طلایی خوشه انگور وسط ترنج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چهار گوشه زمینه تریاکی منقش و مذهب به گل و بوته و مرغ (اندرون: بوم مشکی وسط یک شاخه گل زنبق زرین در زیر ساقه گل به رنگ آبی و به خط نستعلیق چنین رقم رفته است «حسب الأمر حضرت مستطاب اجل اشرف آقای قوام الملک ابد ظله تعالی» و در همین موضع در پاره دوم چنین رقم رفته است «رقم احقر داعیان محمود مذهب باشی سنه ۱۳۴۲»)، ۳۱۸ص، ۱۴ سطر، قطع: وزیری،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 سم [ف: ۳-۵۱۰]</w:t>
      </w:r>
    </w:p>
    <w:p>
      <w:pPr>
        <w:pStyle w:val="BookText"/>
      </w:pPr>
      <w:r>
        <w:rPr>
          <w:rFonts w:ascii="IRNazanin" w:hAnsi="IRNazanin" w:eastAsia="IRNazanin" w:cs="IRNazanin"/>
          <w:lang w:bidi="fa-IR"/>
          <w:color w:val="111111"/>
          <w:sz w:val="28"/>
          <w:szCs w:val="28"/>
          <w:rtl/>
        </w:rPr>
        <w:t xml:space="preserve">۱۶۶. تهران؛ مجلس؛ شماره نسخه: ۱۴۵۸۷</w:t>
      </w:r>
    </w:p>
    <w:p>
      <w:pPr>
        <w:pStyle w:val="BookText"/>
      </w:pPr>
      <w:r>
        <w:rPr>
          <w:rFonts w:ascii="IRNazanin" w:hAnsi="IRNazanin" w:eastAsia="IRNazanin" w:cs="IRNazanin"/>
          <w:lang w:bidi="fa-IR"/>
          <w:color w:val="111111"/>
          <w:sz w:val="28"/>
          <w:szCs w:val="28"/>
          <w:rtl/>
        </w:rPr>
        <w:t xml:space="preserve">خط: نستعلیق زیبا، كا: علی نقی شریف سعدی شیرازی، تا: ۱۳۴۵ق؛ مجدول، مذهب؛ جلد: روغنی ممتاز حاشیه دار و قاب سازی شده به نقوش گیاهی، درون روغنی ساده با جدول طلایی، عطف تیماج قهوه ای، ۱۶۱گ، ۱۴سطر، اندازه: ۲۳/۳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۱۶/۴ سم [ف: ۴۱-۶۴]</w:t>
      </w:r>
    </w:p>
    <w:p>
      <w:pPr>
        <w:pStyle w:val="BookText"/>
      </w:pPr>
      <w:r>
        <w:rPr>
          <w:rFonts w:ascii="IRNazanin" w:hAnsi="IRNazanin" w:eastAsia="IRNazanin" w:cs="IRNazanin"/>
          <w:lang w:bidi="fa-IR"/>
          <w:color w:val="111111"/>
          <w:sz w:val="28"/>
          <w:szCs w:val="28"/>
          <w:rtl/>
        </w:rPr>
        <w:t xml:space="preserve">۱۶۷. تهران؛ مجلس؛ شماره نسخه: ۸۱۶۶/۳</w:t>
      </w:r>
    </w:p>
    <w:p>
      <w:pPr>
        <w:pStyle w:val="BookText"/>
      </w:pPr>
      <w:r>
        <w:rPr>
          <w:rFonts w:ascii="IRNazanin" w:hAnsi="IRNazanin" w:eastAsia="IRNazanin" w:cs="IRNazanin"/>
          <w:lang w:bidi="fa-IR"/>
          <w:color w:val="111111"/>
          <w:sz w:val="28"/>
          <w:szCs w:val="28"/>
          <w:rtl/>
        </w:rPr>
        <w:t xml:space="preserve">آغاز: در آن روز گر قول گویند و فعل*** اولوالعزم را جان بیارد بدل / بجایی که دهشت خورند انبیاء (كذا)***ز عذر گناهان چه داری بیا؛ انجام: برابر از بوستان، اوراق پراکنده ای در این نسخه موجود است که جابجا شده است. فهرست بخش های موجود: چهار صفحه از باب نهم (۱۱ر-۱۲پ)، سه صفحه از پایان باب هفتم با سرآغاز: مبین دلفریبش چو حور بهشت / کزان روی دیگر چو دیوست زشت ( ۱۶-۱۱۳ ر)، باب هشتم در شکر حق (۱۶ر)، باب هفتم در توبه و استغفار (۲۳ر)، حديث سيد المرسلین و خاتم النبيين محمد (۲۹ر)، سبب تأليف كتاب (۲۹پ)، فهرست كتاب بنظم ( ۶۳۰ر)، در مدح اتابک (۳۱)، باب اول در عدل و انصاف و تدبیر جهانداری (۱۳۲)، باب دوم در احسان (۱۴۲)، چند برگ پراکنده از باب عشق و جوانی، باب چهارم اندر تواضع بود (۶۵پ)، باب هفتم اندر گزارش تربیت (۸ر)، باب دهم در مناجات (۹۷ر) تا پایان برگ ۹۹پ به این خاتمه: «کس از من سیه نامه تر دیده نیست» که مصرع دوم آن در برگ ار دیده می شود: «که هیچم فعال پسندیده نیست»؛ خط: نستعلیق، بی کا، تا: رمضان؛ افتادگی: آغاز؛ ۹۰گ (۱ر و ۱۱ر - 99پ)، ۲۱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۱۱/۸ سم [ف: ۲۷/۱ -۲۹۶]</w:t>
      </w:r>
    </w:p>
    <w:p>
      <w:pPr>
        <w:pStyle w:val="BookText"/>
      </w:pPr>
      <w:r>
        <w:rPr>
          <w:rFonts w:ascii="IRNazanin" w:hAnsi="IRNazanin" w:eastAsia="IRNazanin" w:cs="IRNazanin"/>
          <w:lang w:bidi="fa-IR"/>
          <w:color w:val="111111"/>
          <w:sz w:val="28"/>
          <w:szCs w:val="28"/>
          <w:rtl/>
        </w:rPr>
        <w:t xml:space="preserve">۱۶۸. تهران؛ مینوی؛ شماره نسخه: ۱۳۹/۹ بخش۳ و ۱۳۸/۹ بخش ۳</w:t>
      </w:r>
    </w:p>
    <w:p>
      <w:pPr>
        <w:pStyle w:val="BookText"/>
      </w:pPr>
      <w:r>
        <w:rPr>
          <w:rFonts w:ascii="IRNazanin" w:hAnsi="IRNazanin" w:eastAsia="IRNazanin" w:cs="IRNazanin"/>
          <w:lang w:bidi="fa-IR"/>
          <w:color w:val="111111"/>
          <w:sz w:val="28"/>
          <w:szCs w:val="28"/>
          <w:rtl/>
        </w:rPr>
        <w:t xml:space="preserve">نسخه اصل: دانشگاه بمبئی؛ بی کا، بی تا [ف: ۱۱۱]</w:t>
      </w:r>
    </w:p>
    <w:p>
      <w:pPr>
        <w:pStyle w:val="BookText"/>
      </w:pPr>
      <w:r>
        <w:rPr>
          <w:rFonts w:ascii="IRNazanin" w:hAnsi="IRNazanin" w:eastAsia="IRNazanin" w:cs="IRNazanin"/>
          <w:lang w:bidi="fa-IR"/>
          <w:color w:val="111111"/>
          <w:sz w:val="28"/>
          <w:szCs w:val="28"/>
          <w:rtl/>
        </w:rPr>
        <w:t xml:space="preserve">۱۶۹. تهران؛ سلطنتی؛ شماره نسخه: ۳۸۹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خفی خوش، بی کا، بی تا، به خطی خوش و با تزئینات زیبا، یادداشتی است بدین شرح «کتاب بوستان سعدی خط شکسته به خط درویش عبدالمجید یا خط میرزا کوچک شیرازی در عرض کتابخانه مبار که گذشت ملاحظه شد»، مجدول، مذهب، کمند کشی، حواشی مذهب به گل و بوته های زرین با دندان موشی، یک سرلوح مذهب مرصع ممتاز به طرح محراب، در هر صفحه سه لچک مذهب مرصع ؛ مهر: «ناصرالدین شاه قاجار ۱۲۷۴»، مشيرالسلطنه ۱۳۲۲؛ کاغذ: فرنگی الوان آهار مهره، جلد: تیماج دولا عنابی سجاف حاشیه مشکی، ۱۸۴ ص، ۱۳ سطر در متن و ۲۲ نیم سطر در حواشی، قطع: ربعی،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۳-۵۱۴]</w:t>
      </w:r>
    </w:p>
    <w:p>
      <w:pPr>
        <w:pStyle w:val="BookText"/>
      </w:pPr>
      <w:r>
        <w:rPr>
          <w:rFonts w:ascii="IRNazanin" w:hAnsi="IRNazanin" w:eastAsia="IRNazanin" w:cs="IRNazanin"/>
          <w:lang w:bidi="fa-IR"/>
          <w:color w:val="111111"/>
          <w:sz w:val="28"/>
          <w:szCs w:val="28"/>
          <w:rtl/>
        </w:rPr>
        <w:t xml:space="preserve">۱۷۰. تهران؛ سلطنتی؛ شماره نسخه: ۲۱۸۹</w:t>
      </w:r>
    </w:p>
    <w:p>
      <w:pPr>
        <w:pStyle w:val="BookText"/>
      </w:pPr>
      <w:r>
        <w:rPr>
          <w:rFonts w:ascii="IRNazanin" w:hAnsi="IRNazanin" w:eastAsia="IRNazanin" w:cs="IRNazanin"/>
          <w:lang w:bidi="fa-IR"/>
          <w:color w:val="111111"/>
          <w:sz w:val="28"/>
          <w:szCs w:val="28"/>
          <w:rtl/>
        </w:rPr>
        <w:t xml:space="preserve">آغاز و انجام: برابر؛ آغاز ترجمه ترکی کلمات حضرت امیر المومنین علیه السلام. غضبك عن الحق مقحة ... دایم تیلاكان عیش و طرب ناخوشتور</w:t>
      </w:r>
      <w:r>
        <w:rPr>
          <w:rFonts w:ascii="IRNazanin" w:hAnsi="IRNazanin" w:eastAsia="IRNazanin" w:cs="IRNazanin"/>
          <w:lang w:bidi="fa-IR"/>
          <w:color w:val="111111"/>
          <w:sz w:val="28"/>
          <w:szCs w:val="28"/>
          <w:b w:val="1"/>
          <w:bCs w:val="1"/>
          <w:i w:val="1"/>
          <w:iCs w:val="1"/>
          <w:rtl/>
        </w:rPr>
        <w:t xml:space="preserve">نوش ایلاماكان رنج و تعب ناخوشتورا ایمن اويوبان بوعالم پرشرار</w:t>
      </w:r>
      <w:r>
        <w:rPr>
          <w:rFonts w:ascii="IRNazanin" w:hAnsi="IRNazanin" w:eastAsia="IRNazanin" w:cs="IRNazanin"/>
          <w:lang w:bidi="fa-IR"/>
          <w:color w:val="111111"/>
          <w:sz w:val="28"/>
          <w:szCs w:val="28"/>
          <w:rtl/>
        </w:rPr>
        <w:t xml:space="preserve">قيل خوابکهنکنی بخشی راق پستر ارا</w:t>
      </w:r>
    </w:p>
    <w:p>
      <w:pPr>
        <w:pStyle w:val="BookText"/>
      </w:pPr>
      <w:r>
        <w:rPr>
          <w:rFonts w:ascii="IRNazanin" w:hAnsi="IRNazanin" w:eastAsia="IRNazanin" w:cs="IRNazanin"/>
          <w:lang w:bidi="fa-IR"/>
          <w:color w:val="111111"/>
          <w:sz w:val="28"/>
          <w:szCs w:val="28"/>
          <w:rtl/>
        </w:rPr>
        <w:t xml:space="preserve">کامل؛ خط: نستعلیق، بی کا، بی تا این نسخه بسیار زیبا و خوش خط و نگار، با شش مجلس مینیاتور ممتاز، ۱۶ صفحه از کلمات علی بن ابیطالب با ترجمه منظوم ترکی به خط نستعلیق و قدیم تر از خط متن بوستان، متن صفحات حلکاری زرین و حواشی تشعیر سازی و مذهب بسیار عالی، مجدول، حواشی تماما تشعیر سازی و حلکاری و مذهب، دارای کتیبه های دو طرف مذهب مرصع، در میان هر صفحه شش سطر از آغاز بوستان نگارش یافته، در صفحات آخر بوستان بین ابیات در چند موضع لچکی های مذهب مرصع بسیار زیبا و ممتاز نقش، به سال های ۱۲۸۲ و ۱۳۲۲ به ترتیب از عرض کتابخانه ناصری و مظفری گذشته؛ کاغذ: سمرقندی نخودی، جلد: مقوای روغنی بوم تریاکی رنگ زرک منقش و مذهب به گل و بوته الوان وسط ترنج و دو سر ترنج تصویر نقاشی آب و رنگ نیم تنه یک زن جوان و در میان دو سر ترنج تصویر نقاشی پرنده در حاشیه زمینه تریاکی دانه تسبیحی زرین و بينهما یک حاشیه زمینه مشکی ریسه گل و برگ منقش و مذهب، ۳۳۷ص، ۱۲ سطر، قطع: وزیری حجیم،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۲۰/۱ سم [ف: ۳-۵۰۱]</w:t>
      </w:r>
    </w:p>
    <w:p>
      <w:pPr>
        <w:pStyle w:val="BookText"/>
      </w:pPr>
      <w:r>
        <w:rPr>
          <w:rFonts w:ascii="IRNazanin" w:hAnsi="IRNazanin" w:eastAsia="IRNazanin" w:cs="IRNazanin"/>
          <w:lang w:bidi="fa-IR"/>
          <w:color w:val="111111"/>
          <w:sz w:val="28"/>
          <w:szCs w:val="28"/>
          <w:rtl/>
        </w:rPr>
        <w:t xml:space="preserve">۱۷۱. تهران؛ سلطنتی؛ شماره نسخه: ۲۱۶۷</w:t>
      </w:r>
    </w:p>
    <w:p>
      <w:pPr>
        <w:pStyle w:val="BookText"/>
      </w:pPr>
      <w:r>
        <w:rPr>
          <w:rFonts w:ascii="IRNazanin" w:hAnsi="IRNazanin" w:eastAsia="IRNazanin" w:cs="IRNazanin"/>
          <w:lang w:bidi="fa-IR"/>
          <w:color w:val="111111"/>
          <w:sz w:val="28"/>
          <w:szCs w:val="28"/>
          <w:rtl/>
        </w:rPr>
        <w:t xml:space="preserve">آغاز: برابر؛ انجام: سراینده خود می نگردد خموش ***وليكن نه هر وقت باز است گوش / نه مرد سماست شهوت پرست ***کز آواز خوش خفته خیزد نه مست</w:t>
      </w:r>
    </w:p>
    <w:p>
      <w:pPr>
        <w:pStyle w:val="BookText"/>
      </w:pPr>
      <w:r>
        <w:rPr>
          <w:rFonts w:ascii="IRNazanin" w:hAnsi="IRNazanin" w:eastAsia="IRNazanin" w:cs="IRNazanin"/>
          <w:lang w:bidi="fa-IR"/>
          <w:color w:val="111111"/>
          <w:sz w:val="28"/>
          <w:szCs w:val="28"/>
          <w:rtl/>
        </w:rPr>
        <w:t xml:space="preserve">كتبه العبد شاه محمود النيشابوری غفر الله ذنوبه. تم</w:t>
      </w:r>
    </w:p>
    <w:p>
      <w:pPr>
        <w:pStyle w:val="BookText"/>
      </w:pPr>
      <w:r>
        <w:rPr>
          <w:rFonts w:ascii="IRNazanin" w:hAnsi="IRNazanin" w:eastAsia="IRNazanin" w:cs="IRNazanin"/>
          <w:lang w:bidi="fa-IR"/>
          <w:color w:val="111111"/>
          <w:sz w:val="28"/>
          <w:szCs w:val="28"/>
          <w:rtl/>
        </w:rPr>
        <w:t xml:space="preserve">منتخبی است از بوستان؛ خط: نستعلیق، كا: شاه محمود نیشابوری، بی تا؛ مجدول زرین، با سرلوح، یک سرفصل مذهب مرصع ممتاز کار هرات، دارای سه مجلس مینیاتور آب و رنگ ممتاز منقش و مزین است به سبک کار هرات و به شیوه عمل بهزاد، به سال های ۱۲۳۲ و ۱۲۸۲ و ۱۳۲۲ به ترتیب از عرض کتابخانه مبارکه فتحعلیشاه، ناصر الدین شاه و مظفرالدین شاه قاجار گذشته، نشان نام و القاب فتحعلیشاه در ترنج تزئینی؛ مهر: ناصر الدین شاه قاجار، میرزا مهدیخان نادری؛ کاغذ: بخارائی نخودی رنگ، جلد: مقوای ابره زری پشت گلی، ۲۰ ، ۱۰ سطر، قطع: نیم ربعی،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۱۰/۲ سم [ف: ۳-۵۰۶]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۱۷۲. تهران؛ سلطنتی؛ شماره نسخه: ۲۱۷۴/۱۰</w:t>
      </w:r>
    </w:p>
    <w:p>
      <w:pPr>
        <w:pStyle w:val="BookText"/>
      </w:pPr>
      <w:r>
        <w:rPr>
          <w:rFonts w:ascii="IRNazanin" w:hAnsi="IRNazanin" w:eastAsia="IRNazanin" w:cs="IRNazanin"/>
          <w:lang w:bidi="fa-IR"/>
          <w:color w:val="111111"/>
          <w:sz w:val="28"/>
          <w:szCs w:val="28"/>
          <w:rtl/>
        </w:rPr>
        <w:t xml:space="preserve">خط: نستعلیق زیبا ، كا: عبدالله بن شیخ رشید کاتب شیرازی، بی تا ۱۷ سطر به راست و ۱۲ نیم سطر به طریق مورب كتابت شده؛ کاغذ: دولت آبادی، جلد: مقوای روکش تیماج مشکی الولادار ضربی طلاپوش گل برجسته، قطع: وزیری حجیم،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۱۵/۸ سم [ف: ۳-۵۵۶]</w:t>
      </w:r>
    </w:p>
    <w:p>
      <w:pPr>
        <w:pStyle w:val="BookText"/>
      </w:pPr>
      <w:r>
        <w:rPr>
          <w:rFonts w:ascii="IRNazanin" w:hAnsi="IRNazanin" w:eastAsia="IRNazanin" w:cs="IRNazanin"/>
          <w:lang w:bidi="fa-IR"/>
          <w:color w:val="111111"/>
          <w:sz w:val="28"/>
          <w:szCs w:val="28"/>
          <w:rtl/>
        </w:rPr>
        <w:t xml:space="preserve">۱۷۳. تهران؛ سلطنتی؛ شماره نسخه: ۲۱۷۲/۱۰</w:t>
      </w:r>
    </w:p>
    <w:p>
      <w:pPr>
        <w:pStyle w:val="BookText"/>
      </w:pPr>
      <w:r>
        <w:rPr>
          <w:rFonts w:ascii="IRNazanin" w:hAnsi="IRNazanin" w:eastAsia="IRNazanin" w:cs="IRNazanin"/>
          <w:lang w:bidi="fa-IR"/>
          <w:color w:val="111111"/>
          <w:sz w:val="28"/>
          <w:szCs w:val="28"/>
          <w:rtl/>
        </w:rPr>
        <w:t xml:space="preserve">خط: نستعلیق خوب، بی کا، بی تا، کاغذ: اصفهانی، جلد: مقوای روکش چرم ساغری مشکی وسط سه گل ترنج و حاشیه مذهب، قطع : وزیری متوسط حجیم،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 سم [ف: ۳-۵۹۳]</w:t>
      </w:r>
    </w:p>
    <w:p>
      <w:pPr>
        <w:pStyle w:val="BookText"/>
      </w:pPr>
      <w:r>
        <w:rPr>
          <w:rFonts w:ascii="IRNazanin" w:hAnsi="IRNazanin" w:eastAsia="IRNazanin" w:cs="IRNazanin"/>
          <w:lang w:bidi="fa-IR"/>
          <w:color w:val="111111"/>
          <w:sz w:val="28"/>
          <w:szCs w:val="28"/>
          <w:rtl/>
        </w:rPr>
        <w:t xml:space="preserve">۱۷۴. شیراز؛ بغایری، عبدالرزاق؛ شماره نسخه: بدون شماره /۳</w:t>
      </w:r>
    </w:p>
    <w:p>
      <w:pPr>
        <w:pStyle w:val="BookText"/>
      </w:pPr>
      <w:r>
        <w:rPr>
          <w:rFonts w:ascii="IRNazanin" w:hAnsi="IRNazanin" w:eastAsia="IRNazanin" w:cs="IRNazanin"/>
          <w:lang w:bidi="fa-IR"/>
          <w:color w:val="111111"/>
          <w:sz w:val="28"/>
          <w:szCs w:val="28"/>
          <w:rtl/>
        </w:rPr>
        <w:t xml:space="preserve">بی کا، بی تا [میراث اسلامی: ۵-۵۷۵]</w:t>
      </w:r>
    </w:p>
    <w:p>
      <w:pPr>
        <w:pStyle w:val="BookText"/>
      </w:pPr>
      <w:r>
        <w:rPr>
          <w:rFonts w:ascii="IRNazanin" w:hAnsi="IRNazanin" w:eastAsia="IRNazanin" w:cs="IRNazanin"/>
          <w:lang w:bidi="fa-IR"/>
          <w:color w:val="111111"/>
          <w:sz w:val="28"/>
          <w:szCs w:val="28"/>
          <w:rtl/>
        </w:rPr>
        <w:t xml:space="preserve">۱۷۵. تهران؛ ملی؛ شماره نسخه: ۱۹۱۲۳</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اندازه: ۱۲/۴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۲۱/۷ سم [رایانه ]</w:t>
      </w:r>
    </w:p>
    <w:p>
      <w:pPr>
        <w:pStyle w:val="BookText"/>
      </w:pPr>
      <w:r>
        <w:rPr>
          <w:rFonts w:ascii="IRNazanin" w:hAnsi="IRNazanin" w:eastAsia="IRNazanin" w:cs="IRNazanin"/>
          <w:lang w:bidi="fa-IR"/>
          <w:color w:val="111111"/>
          <w:sz w:val="28"/>
          <w:szCs w:val="28"/>
          <w:rtl/>
        </w:rPr>
        <w:t xml:space="preserve">۱۷۶. تهران؛ ملی؛ شماره نسخه: ۱۹۰۲۰</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اندازه: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۲۲/۵ سم[ رایانه ]</w:t>
      </w:r>
    </w:p>
    <w:p>
      <w:pPr>
        <w:pStyle w:val="BookText"/>
      </w:pPr>
      <w:r>
        <w:rPr>
          <w:rFonts w:ascii="IRNazanin" w:hAnsi="IRNazanin" w:eastAsia="IRNazanin" w:cs="IRNazanin"/>
          <w:lang w:bidi="fa-IR"/>
          <w:color w:val="111111"/>
          <w:sz w:val="28"/>
          <w:szCs w:val="28"/>
          <w:rtl/>
        </w:rPr>
        <w:t xml:space="preserve">۱۷۷. تهران؛ ملی؛ شماره نسخه: ۱۷۹۳۲</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اندازه: ۲۲/۸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۱۳۹ سم (رایانه ]</w:t>
      </w:r>
    </w:p>
    <w:p>
      <w:pPr>
        <w:pStyle w:val="BookText"/>
      </w:pPr>
      <w:r>
        <w:rPr>
          <w:rFonts w:ascii="IRNazanin" w:hAnsi="IRNazanin" w:eastAsia="IRNazanin" w:cs="IRNazanin"/>
          <w:lang w:bidi="fa-IR"/>
          <w:color w:val="111111"/>
          <w:sz w:val="28"/>
          <w:szCs w:val="28"/>
          <w:rtl/>
        </w:rPr>
        <w:t xml:space="preserve">۱۷۸. شیراز؛ علامه طباطبائی؛ شماره نسخه: ۱۶۳۶/۵</w:t>
      </w:r>
    </w:p>
    <w:p>
      <w:pPr>
        <w:pStyle w:val="BookText"/>
      </w:pPr>
      <w:r>
        <w:rPr>
          <w:rFonts w:ascii="IRNazanin" w:hAnsi="IRNazanin" w:eastAsia="IRNazanin" w:cs="IRNazanin"/>
          <w:lang w:bidi="fa-IR"/>
          <w:color w:val="111111"/>
          <w:sz w:val="28"/>
          <w:szCs w:val="28"/>
          <w:rtl/>
        </w:rPr>
        <w:t xml:space="preserve">منتخب بوستان سعدی؛ خط: نستعلیق شکسته، بی کا، بی تا،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[نسخه پژوهی: ۳-۱۵۷]</w:t>
      </w:r>
    </w:p>
    <w:p>
      <w:pPr>
        <w:pStyle w:val="BookText"/>
      </w:pPr>
      <w:r>
        <w:rPr>
          <w:rFonts w:ascii="IRNazanin" w:hAnsi="IRNazanin" w:eastAsia="IRNazanin" w:cs="IRNazanin"/>
          <w:lang w:bidi="fa-IR"/>
          <w:color w:val="111111"/>
          <w:sz w:val="28"/>
          <w:szCs w:val="28"/>
          <w:rtl/>
        </w:rPr>
        <w:t xml:space="preserve">۱۷۹. تهران؛ ملی؛ شماره نسخه: ۱۹۱۱۰</w:t>
      </w:r>
    </w:p>
    <w:p>
      <w:pPr>
        <w:pStyle w:val="BookText"/>
      </w:pPr>
      <w:r>
        <w:rPr>
          <w:rFonts w:ascii="IRNazanin" w:hAnsi="IRNazanin" w:eastAsia="IRNazanin" w:cs="IRNazanin"/>
          <w:lang w:bidi="fa-IR"/>
          <w:color w:val="111111"/>
          <w:sz w:val="28"/>
          <w:szCs w:val="28"/>
          <w:rtl/>
        </w:rPr>
        <w:t xml:space="preserve">كا: مالك، بی تا انتقالی از کتابخانه پهلوی - مجموعه نوازی؛ اندازه: ۲۴/۳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 [رایانه]</w:t>
      </w:r>
    </w:p>
    <w:p>
      <w:pPr>
        <w:pStyle w:val="BookText"/>
      </w:pPr>
      <w:r>
        <w:rPr>
          <w:rFonts w:ascii="IRNazanin" w:hAnsi="IRNazanin" w:eastAsia="IRNazanin" w:cs="IRNazanin"/>
          <w:lang w:bidi="fa-IR"/>
          <w:color w:val="111111"/>
          <w:sz w:val="28"/>
          <w:szCs w:val="28"/>
          <w:rtl/>
        </w:rPr>
        <w:t xml:space="preserve">۱۸۰. تهران: ملی؛ شماره نسخه: ۱۸۹۱۳</w:t>
      </w:r>
    </w:p>
    <w:p>
      <w:pPr>
        <w:pStyle w:val="BookText"/>
      </w:pPr>
      <w:r>
        <w:rPr>
          <w:rFonts w:ascii="IRNazanin" w:hAnsi="IRNazanin" w:eastAsia="IRNazanin" w:cs="IRNazanin"/>
          <w:lang w:bidi="fa-IR"/>
          <w:color w:val="111111"/>
          <w:sz w:val="28"/>
          <w:szCs w:val="28"/>
          <w:rtl/>
        </w:rPr>
        <w:t xml:space="preserve">بخشی از بوستان سعدی؛ بی کا، بی تا؛ انتقالی از کتابخانه پهلوی - مجموعه نوازی؛ ۱۰۶گ، اندازه: ۱۲/۱</w:t>
      </w:r>
    </w:p>
    <w:p>
      <w:pPr>
        <w:pStyle w:val="BookText"/>
      </w:pP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۱۷/۵ سم [رایانه]</w:t>
      </w:r>
    </w:p>
    <w:p>
      <w:pPr>
        <w:pStyle w:val="BookText"/>
      </w:pPr>
      <w:r>
        <w:rPr>
          <w:rFonts w:ascii="IRNazanin" w:hAnsi="IRNazanin" w:eastAsia="IRNazanin" w:cs="IRNazanin"/>
          <w:lang w:bidi="fa-IR"/>
          <w:color w:val="111111"/>
          <w:sz w:val="28"/>
          <w:szCs w:val="28"/>
          <w:rtl/>
        </w:rPr>
        <w:t xml:space="preserve">۱۸۱. تهران؛ ملی؛ شماره نسخه: ۱۹۸۰۹</w:t>
      </w:r>
    </w:p>
    <w:p>
      <w:pPr>
        <w:pStyle w:val="BookText"/>
      </w:pPr>
      <w:r>
        <w:rPr>
          <w:rFonts w:ascii="IRNazanin" w:hAnsi="IRNazanin" w:eastAsia="IRNazanin" w:cs="IRNazanin"/>
          <w:lang w:bidi="fa-IR"/>
          <w:color w:val="111111"/>
          <w:sz w:val="28"/>
          <w:szCs w:val="28"/>
          <w:rtl/>
        </w:rPr>
        <w:t xml:space="preserve">بخشی از بوستان؛ بی کا، بی تا، خریداری از مصطفی حسینی [رایانه ]</w:t>
      </w:r>
    </w:p>
    <w:p>
      <w:pPr>
        <w:pStyle w:val="BookText"/>
      </w:pPr>
      <w:r>
        <w:rPr>
          <w:rFonts w:ascii="IRNazanin" w:hAnsi="IRNazanin" w:eastAsia="IRNazanin" w:cs="IRNazanin"/>
          <w:lang w:bidi="fa-IR"/>
          <w:color w:val="111111"/>
          <w:sz w:val="28"/>
          <w:szCs w:val="28"/>
          <w:rtl/>
        </w:rPr>
        <w:t xml:space="preserve">۱۸۲. تهران؛ ملی؛ شماره نسخه: ۲۵۵۹۷</w:t>
      </w:r>
    </w:p>
    <w:p>
      <w:pPr>
        <w:pStyle w:val="BookText"/>
      </w:pPr>
      <w:r>
        <w:rPr>
          <w:rFonts w:ascii="IRNazanin" w:hAnsi="IRNazanin" w:eastAsia="IRNazanin" w:cs="IRNazanin"/>
          <w:lang w:bidi="fa-IR"/>
          <w:color w:val="111111"/>
          <w:sz w:val="28"/>
          <w:szCs w:val="28"/>
          <w:rtl/>
        </w:rPr>
        <w:t xml:space="preserve">بی کا، بی تا، خریداری از امان الله (رایانه ]</w:t>
      </w:r>
    </w:p>
    <w:p>
      <w:pPr>
        <w:pStyle w:val="BookText"/>
      </w:pPr>
      <w:r>
        <w:rPr>
          <w:rFonts w:ascii="IRNazanin" w:hAnsi="IRNazanin" w:eastAsia="IRNazanin" w:cs="IRNazanin"/>
          <w:lang w:bidi="fa-IR"/>
          <w:color w:val="111111"/>
          <w:sz w:val="28"/>
          <w:szCs w:val="28"/>
          <w:rtl/>
        </w:rPr>
        <w:t xml:space="preserve">۱۸۳. تهران؛ ملی؛ شماره نسخه: ۱۵۷۶۳</w:t>
      </w:r>
    </w:p>
    <w:p>
      <w:pPr>
        <w:pStyle w:val="BookText"/>
      </w:pPr>
      <w:r>
        <w:rPr>
          <w:rFonts w:ascii="IRNazanin" w:hAnsi="IRNazanin" w:eastAsia="IRNazanin" w:cs="IRNazanin"/>
          <w:lang w:bidi="fa-IR"/>
          <w:color w:val="111111"/>
          <w:sz w:val="28"/>
          <w:szCs w:val="28"/>
          <w:rtl/>
        </w:rPr>
        <w:t xml:space="preserve">آغاز: گرفتم که خود خدمتی کرده نه پیوسته اقطاع او خورده؛ انجام: چه حکمت ضرورت بود کاب روی *** بریزند باری برین خاک کوی بخشی از بوستان سعدی؛ خط: نستعلیق متوسط، بی کا، بی تا؛ افتادگی: آغاز و انجام کاغذ: دولت آبادی، جلد: میشن قهوه ای تیره یک لا، ۲۱گ (۱پ -۲۱)، ۱۲-۱۳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 اندازه: ۱۰/۵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[رایانه]</w:t>
      </w:r>
    </w:p>
    <w:p>
      <w:pPr>
        <w:pStyle w:val="BookText"/>
      </w:pPr>
      <w:r>
        <w:rPr>
          <w:rFonts w:ascii="IRNazanin" w:hAnsi="IRNazanin" w:eastAsia="IRNazanin" w:cs="IRNazanin"/>
          <w:lang w:bidi="fa-IR"/>
          <w:color w:val="111111"/>
          <w:sz w:val="28"/>
          <w:szCs w:val="28"/>
          <w:rtl/>
        </w:rPr>
        <w:t xml:space="preserve">۱۸۴. تهران: ملی؛ شماره نسخه: ۱۶۸۵۲</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۱۴۴گ، اندازه: ۲۳/۳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۱۴/۳ سم [رایانه]</w:t>
      </w:r>
    </w:p>
    <w:p>
      <w:pPr>
        <w:pStyle w:val="BookText"/>
      </w:pPr>
      <w:r>
        <w:rPr>
          <w:rFonts w:ascii="IRNazanin" w:hAnsi="IRNazanin" w:eastAsia="IRNazanin" w:cs="IRNazanin"/>
          <w:lang w:bidi="fa-IR"/>
          <w:color w:val="111111"/>
          <w:sz w:val="28"/>
          <w:szCs w:val="28"/>
          <w:rtl/>
        </w:rPr>
        <w:t xml:space="preserve">۱۸۵. تهران؛ عبدالعظیم؛ شماره نسخه: ۵۸۵</w:t>
      </w:r>
    </w:p>
    <w:p>
      <w:pPr>
        <w:pStyle w:val="BookText"/>
      </w:pPr>
      <w:r>
        <w:rPr>
          <w:rFonts w:ascii="IRNazanin" w:hAnsi="IRNazanin" w:eastAsia="IRNazanin" w:cs="IRNazanin"/>
          <w:lang w:bidi="fa-IR"/>
          <w:color w:val="111111"/>
          <w:sz w:val="28"/>
          <w:szCs w:val="28"/>
          <w:rtl/>
        </w:rPr>
        <w:t xml:space="preserve">آغاز: ز مغرور دنیا ره دین مخواه ***خدا بینی از خویشتن بین مخواه / گرت جاه باید مکن چون خسان </w:t>
      </w:r>
      <w:r>
        <w:rPr>
          <w:rFonts w:ascii="IRNazanin" w:hAnsi="IRNazanin" w:eastAsia="IRNazanin" w:cs="IRNazanin"/>
          <w:lang w:bidi="fa-IR"/>
          <w:color w:val="111111"/>
          <w:sz w:val="28"/>
          <w:szCs w:val="28"/>
          <w:b w:val="1"/>
          <w:bCs w:val="1"/>
          <w:i w:val="1"/>
          <w:iCs w:val="1"/>
          <w:rtl/>
        </w:rPr>
        <w:t xml:space="preserve">به چشم حقارت نگه در کسان؛ انجام: قیامت که بازار مینو نهند</w:t>
      </w:r>
      <w:r>
        <w:rPr>
          <w:rFonts w:ascii="IRNazanin" w:hAnsi="IRNazanin" w:eastAsia="IRNazanin" w:cs="IRNazanin"/>
          <w:lang w:bidi="fa-IR"/>
          <w:color w:val="111111"/>
          <w:sz w:val="28"/>
          <w:szCs w:val="28"/>
          <w:rtl/>
        </w:rPr>
        <w:t xml:space="preserve">منازل به اعمال نیکو دهند / بضاعات چندان که آری بری ***و گر مفلسی شرمساری بری. از اواسط باب اول تا آغاز باب دهم؛ خط: نستعلیق، کا: محمد تقی بن محمد جواد كمال، بی تا؛ افتادگی: آغاز و وسط و انجام؛ به خط جدید تاریخ چهارشنبه ۳ شعبان ۱۲۰۷ درج شده است، مجدول ، مصحح، در ابتدای نسخه چند برگی از مناجات نامه خواجه عبدالله انصاری درج شده؛ جلد: گالینگور آبی، ۱۰۲گ، ۱۲ سطر، اندازه: 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۱۴/۵ سم [ف: ۱-۷۶]</w:t>
      </w:r>
    </w:p>
    <w:p>
      <w:pPr>
        <w:pStyle w:val="BookText"/>
      </w:pPr>
      <w:r>
        <w:rPr>
          <w:rFonts w:ascii="IRNazanin" w:hAnsi="IRNazanin" w:eastAsia="IRNazanin" w:cs="IRNazanin"/>
          <w:lang w:bidi="fa-IR"/>
          <w:color w:val="111111"/>
          <w:sz w:val="28"/>
          <w:szCs w:val="28"/>
          <w:rtl/>
        </w:rPr>
        <w:t xml:space="preserve">۱۸۶. تهران، ملی، شماره نسخه: ۱۸۷۶۰</w:t>
      </w:r>
    </w:p>
    <w:p>
      <w:pPr>
        <w:pStyle w:val="BookText"/>
      </w:pPr>
      <w:r>
        <w:rPr>
          <w:rFonts w:ascii="IRNazanin" w:hAnsi="IRNazanin" w:eastAsia="IRNazanin" w:cs="IRNazanin"/>
          <w:lang w:bidi="fa-IR"/>
          <w:color w:val="111111"/>
          <w:sz w:val="28"/>
          <w:szCs w:val="28"/>
          <w:rtl/>
        </w:rPr>
        <w:t xml:space="preserve">کا: میر محمد، بی تا؛ انتقالی از کتابخانه پهلوی - مجموعه نوازی؛ ۱۳۰گ، اندازه:۲۴/۱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 [رایانه]</w:t>
      </w:r>
    </w:p>
    <w:p>
      <w:pPr>
        <w:pStyle w:val="BookText"/>
      </w:pPr>
      <w:r>
        <w:rPr>
          <w:rFonts w:ascii="IRNazanin" w:hAnsi="IRNazanin" w:eastAsia="IRNazanin" w:cs="IRNazanin"/>
          <w:lang w:bidi="fa-IR"/>
          <w:color w:val="111111"/>
          <w:sz w:val="28"/>
          <w:szCs w:val="28"/>
          <w:rtl/>
        </w:rPr>
        <w:t xml:space="preserve">۱۸۷. رشت؛ جمعیت نشر فرهنگ؛ شماره نسخه: ۶۰ب</w:t>
      </w:r>
    </w:p>
    <w:p>
      <w:pPr>
        <w:pStyle w:val="BookText"/>
      </w:pPr>
      <w:r>
        <w:rPr>
          <w:rFonts w:ascii="IRNazanin" w:hAnsi="IRNazanin" w:eastAsia="IRNazanin" w:cs="IRNazanin"/>
          <w:lang w:bidi="fa-IR"/>
          <w:color w:val="111111"/>
          <w:sz w:val="28"/>
          <w:szCs w:val="28"/>
          <w:rtl/>
        </w:rPr>
        <w:t xml:space="preserve">خط: نستعلیق، بی کا، بی تا؛ افتادگی: آغاز و انجام؛ خط: نستعلیق تازه؛</w:t>
      </w:r>
    </w:p>
    <w:p>
      <w:pPr>
        <w:pStyle w:val="BookText"/>
      </w:pPr>
      <w:r>
        <w:rPr>
          <w:rFonts w:ascii="IRNazanin" w:hAnsi="IRNazanin" w:eastAsia="IRNazanin" w:cs="IRNazanin"/>
          <w:lang w:bidi="fa-IR"/>
          <w:color w:val="111111"/>
          <w:sz w:val="28"/>
          <w:szCs w:val="28"/>
          <w:rtl/>
        </w:rPr>
        <w:t xml:space="preserve">جلد: مقوا، ۱۳۷گ، ۱۴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۱۹/۵ سم [رشت و همدان: ف: ۱۰۹۵]</w:t>
      </w:r>
    </w:p>
    <w:p>
      <w:pPr>
        <w:pStyle w:val="BookText"/>
      </w:pPr>
      <w:r>
        <w:rPr>
          <w:rFonts w:ascii="IRNazanin" w:hAnsi="IRNazanin" w:eastAsia="IRNazanin" w:cs="IRNazanin"/>
          <w:lang w:bidi="fa-IR"/>
          <w:color w:val="111111"/>
          <w:sz w:val="28"/>
          <w:szCs w:val="28"/>
          <w:rtl/>
        </w:rPr>
        <w:t xml:space="preserve">۱۸۸. همدان؛ مدرسه غرب؛ شماره نسخه: ۱۷۰۹</w:t>
      </w:r>
    </w:p>
    <w:p>
      <w:pPr>
        <w:pStyle w:val="BookText"/>
      </w:pPr>
      <w:r>
        <w:rPr>
          <w:rFonts w:ascii="IRNazanin" w:hAnsi="IRNazanin" w:eastAsia="IRNazanin" w:cs="IRNazanin"/>
          <w:lang w:bidi="fa-IR"/>
          <w:color w:val="111111"/>
          <w:sz w:val="28"/>
          <w:szCs w:val="28"/>
          <w:rtl/>
        </w:rPr>
        <w:t xml:space="preserve">خط: شکسته نستعلیق، بی کا، بی تا، ناقص؛ سطر، قطع: خشتی کوچک رشت و همدان: ف: ۱۲۴۴]</w:t>
      </w:r>
    </w:p>
    <w:p>
      <w:pPr>
        <w:pStyle w:val="BookText"/>
      </w:pPr>
      <w:r>
        <w:rPr>
          <w:rFonts w:ascii="IRNazanin" w:hAnsi="IRNazanin" w:eastAsia="IRNazanin" w:cs="IRNazanin"/>
          <w:lang w:bidi="fa-IR"/>
          <w:color w:val="111111"/>
          <w:sz w:val="28"/>
          <w:szCs w:val="28"/>
          <w:rtl/>
        </w:rPr>
        <w:t xml:space="preserve">۱۸۹. تهران؛ مجلس؛ شماره نسخه: ۱۸۸۳۴</w:t>
      </w:r>
    </w:p>
    <w:p>
      <w:pPr>
        <w:pStyle w:val="BookText"/>
      </w:pPr>
      <w:r>
        <w:rPr>
          <w:rFonts w:ascii="IRNazanin" w:hAnsi="IRNazanin" w:eastAsia="IRNazanin" w:cs="IRNazanin"/>
          <w:lang w:bidi="fa-IR"/>
          <w:color w:val="111111"/>
          <w:sz w:val="28"/>
          <w:szCs w:val="28"/>
          <w:rtl/>
        </w:rPr>
        <w:t xml:space="preserve">تمام مجدول به طلا، نسبتا کهنه، خوش خط؛ بی کا، بیتا (د.ث. مجلس]</w:t>
      </w:r>
    </w:p>
    <w:p>
      <w:pPr>
        <w:pStyle w:val="BookText"/>
      </w:pPr>
      <w:r>
        <w:rPr>
          <w:rFonts w:ascii="IRNazanin" w:hAnsi="IRNazanin" w:eastAsia="IRNazanin" w:cs="IRNazanin"/>
          <w:lang w:bidi="fa-IR"/>
          <w:color w:val="111111"/>
          <w:sz w:val="28"/>
          <w:szCs w:val="28"/>
          <w:rtl/>
        </w:rPr>
        <w:t xml:space="preserve">۱۹۰. تهران، مجلس، شماره نسخه: ۱۷۵۶۷</w:t>
      </w:r>
    </w:p>
    <w:p>
      <w:pPr>
        <w:pStyle w:val="BookText"/>
      </w:pPr>
      <w:r>
        <w:rPr>
          <w:rFonts w:ascii="IRNazanin" w:hAnsi="IRNazanin" w:eastAsia="IRNazanin" w:cs="IRNazanin"/>
          <w:lang w:bidi="fa-IR"/>
          <w:color w:val="111111"/>
          <w:sz w:val="28"/>
          <w:szCs w:val="28"/>
          <w:rtl/>
        </w:rPr>
        <w:t xml:space="preserve">خط: نستعلیق ریز، بی کا، بی تا؛ مجدول، دارای یک سرلوح [د.ث. مجلس ]</w:t>
      </w:r>
    </w:p>
    <w:p>
      <w:pPr>
        <w:pStyle w:val="BookText"/>
      </w:pPr>
      <w:r>
        <w:rPr>
          <w:rFonts w:ascii="IRNazanin" w:hAnsi="IRNazanin" w:eastAsia="IRNazanin" w:cs="IRNazanin"/>
          <w:lang w:bidi="fa-IR"/>
          <w:color w:val="111111"/>
          <w:sz w:val="28"/>
          <w:szCs w:val="28"/>
          <w:rtl/>
        </w:rPr>
        <w:t xml:space="preserve">۱۹۱. تهران؛ ملی؛ شماره نسخه: ۱۹۰۰۵</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اندازه: ۱۴/۷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۲۳/۵ سم [رایانه]</w:t>
      </w:r>
    </w:p>
    <w:p>
      <w:pPr>
        <w:pStyle w:val="BookText"/>
      </w:pPr>
      <w:r>
        <w:rPr>
          <w:rFonts w:ascii="Amiri" w:hAnsi="Amiri" w:eastAsia="Amiri" w:cs="Amiri"/>
          <w:lang w:bidi="ar-SA"/>
          <w:color w:val="111111"/>
          <w:sz w:val="28"/>
          <w:szCs w:val="28"/>
          <w:rtl/>
        </w:rPr>
        <w:t xml:space="preserve">۱۹۲. تهران؛ مجلس؛ شماره نسخه: ۲۹۱/۲۴ - فيروز</w:t>
      </w:r>
    </w:p>
    <w:p>
      <w:pPr>
        <w:pStyle w:val="BookText"/>
      </w:pPr>
      <w:r>
        <w:rPr>
          <w:rFonts w:ascii="IRNazanin" w:hAnsi="IRNazanin" w:eastAsia="IRNazanin" w:cs="IRNazanin"/>
          <w:lang w:bidi="fa-IR"/>
          <w:color w:val="111111"/>
          <w:sz w:val="28"/>
          <w:szCs w:val="28"/>
          <w:rtl/>
        </w:rPr>
        <w:t xml:space="preserve">بی کا، بی تا؛ نسخه ای ناتمام کاغذ: مختلف آهار مهره، جلد: تیماج مشکی، ۳۲ص (۶۶۶-۶۹۷)، قطع: رحلی، اندازه: 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۲۱-۲۷۸]</w:t>
      </w:r>
    </w:p>
    <w:p>
      <w:pPr>
        <w:pStyle w:val="BookText"/>
      </w:pPr>
      <w:r>
        <w:rPr>
          <w:rFonts w:ascii="IRNazanin" w:hAnsi="IRNazanin" w:eastAsia="IRNazanin" w:cs="IRNazanin"/>
          <w:lang w:bidi="fa-IR"/>
          <w:color w:val="111111"/>
          <w:sz w:val="28"/>
          <w:szCs w:val="28"/>
          <w:rtl/>
        </w:rPr>
        <w:t xml:space="preserve">۱۹۳. تهران؛ مجلس؛ شماره نسخه: ۳۹۲۱/۸</w:t>
      </w:r>
    </w:p>
    <w:p>
      <w:pPr>
        <w:pStyle w:val="BookText"/>
      </w:pPr>
      <w:r>
        <w:rPr>
          <w:rFonts w:ascii="IRNazanin" w:hAnsi="IRNazanin" w:eastAsia="IRNazanin" w:cs="IRNazanin"/>
          <w:lang w:bidi="fa-IR"/>
          <w:color w:val="111111"/>
          <w:sz w:val="28"/>
          <w:szCs w:val="28"/>
          <w:rtl/>
        </w:rPr>
        <w:t xml:space="preserve">بخشی است از بوستان سعدی با این عنوان «در گوشه نشینی از ایذاء خلق»؛ بی کا، بی تا؛ کاغذ: شکری و سفید، جلد: تیماج مشکی، ۳ص (۷۰-۷۲)، قطع: رقعی،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۱۹۷۲-۱۰]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۱۹۴. مشهد؛ ادبیات، شماره نسخه: ۸۳ فرخ</w:t>
      </w:r>
    </w:p>
    <w:p>
      <w:pPr>
        <w:pStyle w:val="BookText"/>
      </w:pPr>
      <w:r>
        <w:rPr>
          <w:rFonts w:ascii="IRNazanin" w:hAnsi="IRNazanin" w:eastAsia="IRNazanin" w:cs="IRNazanin"/>
          <w:lang w:bidi="fa-IR"/>
          <w:color w:val="111111"/>
          <w:sz w:val="28"/>
          <w:szCs w:val="28"/>
          <w:rtl/>
        </w:rPr>
        <w:t xml:space="preserve">خط: نستعلیق شکسته، بی کا، بی تا، مجدول، مذهب، ستون بندی و کمند کشی، دارای سرلوح مرصع زمینه طلا، بین کمند و جدول صفحات اول و دوم گل و بوته اندازی شده با طلا؛ کاغذ: ترمه، جلد: تیماج عنابی با جدول و حاشیه طلا، ۱۲۷گ، ۱۴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 قطع: پستی،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 سم [ف: ۱۵]</w:t>
      </w:r>
    </w:p>
    <w:p>
      <w:pPr>
        <w:pStyle w:val="BookText"/>
      </w:pPr>
      <w:r>
        <w:rPr>
          <w:rFonts w:ascii="IRNazanin" w:hAnsi="IRNazanin" w:eastAsia="IRNazanin" w:cs="IRNazanin"/>
          <w:lang w:bidi="fa-IR"/>
          <w:color w:val="111111"/>
          <w:sz w:val="28"/>
          <w:szCs w:val="28"/>
          <w:rtl/>
        </w:rPr>
        <w:t xml:space="preserve">۱۹۵. بشرویه؛ امیر المؤمنین؛ شماره نسخه: ۱۵۴</w:t>
      </w:r>
    </w:p>
    <w:p>
      <w:pPr>
        <w:pStyle w:val="BookText"/>
      </w:pPr>
      <w:r>
        <w:rPr>
          <w:rFonts w:ascii="IRNazanin" w:hAnsi="IRNazanin" w:eastAsia="IRNazanin" w:cs="IRNazanin"/>
          <w:lang w:bidi="fa-IR"/>
          <w:color w:val="111111"/>
          <w:sz w:val="28"/>
          <w:szCs w:val="28"/>
          <w:rtl/>
        </w:rPr>
        <w:t xml:space="preserve">آغاز: که را ماند سیم و زر و گنج و مال *** بس از وی بچندی نشد پایمال / وز آن کس که خیری بماند روان </w:t>
      </w:r>
      <w:r>
        <w:rPr>
          <w:rFonts w:ascii="IRNazanin" w:hAnsi="IRNazanin" w:eastAsia="IRNazanin" w:cs="IRNazanin"/>
          <w:lang w:bidi="fa-IR"/>
          <w:color w:val="111111"/>
          <w:sz w:val="28"/>
          <w:szCs w:val="28"/>
          <w:b w:val="1"/>
          <w:bCs w:val="1"/>
          <w:i w:val="1"/>
          <w:iCs w:val="1"/>
          <w:rtl/>
        </w:rPr>
        <w:t xml:space="preserve">دمادم رسد رحمتش بر روان؛ انجام: که آن هر دو فعل زمیمند و زشت</w:t>
      </w:r>
      <w:r>
        <w:rPr>
          <w:rFonts w:ascii="IRNazanin" w:hAnsi="IRNazanin" w:eastAsia="IRNazanin" w:cs="IRNazanin"/>
          <w:lang w:bidi="fa-IR"/>
          <w:color w:val="111111"/>
          <w:sz w:val="28"/>
          <w:szCs w:val="28"/>
          <w:rtl/>
        </w:rPr>
        <w:t xml:space="preserve"> بود دور از آن هردو فرخ سرشت /و گر شرمست از دیده ناظر ست*** نه بی بصر غیب دان حاضر ست</w:t>
      </w:r>
    </w:p>
    <w:p>
      <w:pPr>
        <w:pStyle w:val="BookText"/>
      </w:pPr>
      <w:r>
        <w:rPr>
          <w:rFonts w:ascii="IRNazanin" w:hAnsi="IRNazanin" w:eastAsia="IRNazanin" w:cs="IRNazanin"/>
          <w:lang w:bidi="fa-IR"/>
          <w:color w:val="111111"/>
          <w:sz w:val="28"/>
          <w:szCs w:val="28"/>
          <w:rtl/>
        </w:rPr>
        <w:t xml:space="preserve">خط: نستعلیق، بی کا، بی تا، افتادگی: آغاز و انجام؛ مجدول مذهب؛ جلد: مقوای لایی با عطف پارچه، ۹۳، ۱۴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مخ]</w:t>
      </w:r>
    </w:p>
    <w:p>
      <w:pPr>
        <w:pStyle w:val="BookText"/>
      </w:pPr>
      <w:r>
        <w:rPr>
          <w:rFonts w:ascii="IRNazanin" w:hAnsi="IRNazanin" w:eastAsia="IRNazanin" w:cs="IRNazanin"/>
          <w:lang w:bidi="fa-IR"/>
          <w:color w:val="111111"/>
          <w:sz w:val="28"/>
          <w:szCs w:val="28"/>
          <w:rtl/>
        </w:rPr>
        <w:t xml:space="preserve">۱۹۶. تهران؛ سپهسالار؛ شماره نسخه: ۳۳۷/۲</w:t>
      </w:r>
    </w:p>
    <w:p>
      <w:pPr>
        <w:pStyle w:val="BookText"/>
      </w:pPr>
      <w:r>
        <w:rPr>
          <w:rFonts w:ascii="IRNazanin" w:hAnsi="IRNazanin" w:eastAsia="IRNazanin" w:cs="IRNazanin"/>
          <w:lang w:bidi="fa-IR"/>
          <w:color w:val="111111"/>
          <w:sz w:val="28"/>
          <w:szCs w:val="28"/>
          <w:rtl/>
        </w:rPr>
        <w:t xml:space="preserve">بی کا، بی تا، یک سرلوح زر و شنگرف و لاجورد؛ ۱۲۰گ (۹۴پ -۱۳ ۲ر) [ف: ۳-۲۶۰]</w:t>
      </w:r>
    </w:p>
    <w:p>
      <w:pPr>
        <w:pStyle w:val="BookText"/>
      </w:pPr>
      <w:r>
        <w:rPr>
          <w:rFonts w:ascii="IRNazanin" w:hAnsi="IRNazanin" w:eastAsia="IRNazanin" w:cs="IRNazanin"/>
          <w:lang w:bidi="fa-IR"/>
          <w:color w:val="111111"/>
          <w:sz w:val="28"/>
          <w:szCs w:val="28"/>
          <w:rtl/>
        </w:rPr>
        <w:t xml:space="preserve">۱۹۷. تبریز؛ ملی؛ شماره نسخه: ۳۰۳۶</w:t>
      </w:r>
    </w:p>
    <w:p>
      <w:pPr>
        <w:pStyle w:val="BookText"/>
      </w:pPr>
      <w:r>
        <w:rPr>
          <w:rFonts w:ascii="IRNazanin" w:hAnsi="IRNazanin" w:eastAsia="IRNazanin" w:cs="IRNazanin"/>
          <w:lang w:bidi="fa-IR"/>
          <w:color w:val="111111"/>
          <w:sz w:val="28"/>
          <w:szCs w:val="28"/>
          <w:rtl/>
        </w:rPr>
        <w:t xml:space="preserve">آغاز: برابر؛ انجام: آخرین حکایت از باب دوم «شنیدم که مستی زتاب نبید ..... الخ» خط: نسخ تعلیق، بی کا، بی تا، مجدول، مذهب، دارای سرلوح مذهب و زیبا؛ جلد: چرمی سرخ زرکوب، ۱۱۸گ، ۱۸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[ف: ۱-۱۳۳]</w:t>
      </w:r>
    </w:p>
    <w:p>
      <w:pPr>
        <w:pStyle w:val="BookText"/>
      </w:pPr>
      <w:r>
        <w:rPr>
          <w:rFonts w:ascii="IRNazanin" w:hAnsi="IRNazanin" w:eastAsia="IRNazanin" w:cs="IRNazanin"/>
          <w:lang w:bidi="fa-IR"/>
          <w:color w:val="111111"/>
          <w:sz w:val="28"/>
          <w:szCs w:val="28"/>
          <w:rtl/>
        </w:rPr>
        <w:t xml:space="preserve">۱۹۸. تهران؛ مجلس؛ شماره نسخه: ۷۸۹۱/۲</w:t>
      </w:r>
    </w:p>
    <w:p>
      <w:pPr>
        <w:pStyle w:val="BookText"/>
      </w:pPr>
      <w:r>
        <w:rPr>
          <w:rFonts w:ascii="IRNazanin" w:hAnsi="IRNazanin" w:eastAsia="IRNazanin" w:cs="IRNazanin"/>
          <w:lang w:bidi="fa-IR"/>
          <w:color w:val="111111"/>
          <w:sz w:val="28"/>
          <w:szCs w:val="28"/>
          <w:rtl/>
        </w:rPr>
        <w:t xml:space="preserve">آغاز: برابر؛ انجام: گرفتار در دست آن کینه توز***همین گفت با خود بزاری و سوز خط: نستعلیق، بی کا، بی تا، افتادگی: انجام؛ بی کا، بی تا، مجدول مذهب؛ جلد: تیماج قهوه ای ضربی، ۶۶گ (۷۲پ -۱۳۷پ)، ۱۷ سطر، اندازه: ۱۶/۵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۲۵/۵سم [ف: ۲۶-۳۷۱]</w:t>
      </w:r>
    </w:p>
    <w:p>
      <w:pPr>
        <w:pStyle w:val="BookText"/>
      </w:pPr>
      <w:r>
        <w:rPr>
          <w:rFonts w:ascii="IRNazanin" w:hAnsi="IRNazanin" w:eastAsia="IRNazanin" w:cs="IRNazanin"/>
          <w:lang w:bidi="fa-IR"/>
          <w:color w:val="111111"/>
          <w:sz w:val="28"/>
          <w:szCs w:val="28"/>
          <w:rtl/>
        </w:rPr>
        <w:t xml:space="preserve">۱۹۹. تهران؛ مجلس؛ شماره نسخه: ۱۴۱۹۹/۵</w:t>
      </w:r>
    </w:p>
    <w:p>
      <w:pPr>
        <w:pStyle w:val="BookText"/>
      </w:pPr>
      <w:r>
        <w:rPr>
          <w:rFonts w:ascii="IRNazanin" w:hAnsi="IRNazanin" w:eastAsia="IRNazanin" w:cs="IRNazanin"/>
          <w:lang w:bidi="fa-IR"/>
          <w:color w:val="111111"/>
          <w:sz w:val="28"/>
          <w:szCs w:val="28"/>
          <w:rtl/>
        </w:rPr>
        <w:t xml:space="preserve">منتخب؛ خط: شکسته نستعلیق، بی کا، بی تا؛ بی کا، بی تا، جلد: مقوایی، قهوه ای، عطف پارچه، ۲گ (۶۴ر -۶۵ر)،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۳۸-۲۷۳]</w:t>
      </w:r>
    </w:p>
    <w:p>
      <w:pPr>
        <w:pStyle w:val="BookText"/>
      </w:pPr>
      <w:r>
        <w:rPr>
          <w:rFonts w:ascii="IRNazanin" w:hAnsi="IRNazanin" w:eastAsia="IRNazanin" w:cs="IRNazanin"/>
          <w:lang w:bidi="fa-IR"/>
          <w:color w:val="111111"/>
          <w:sz w:val="28"/>
          <w:szCs w:val="28"/>
          <w:rtl/>
        </w:rPr>
        <w:t xml:space="preserve">۲۰۰. تهران؛ مجلس؛ شماره نسخه: ۱۳۹۵۹/۲</w:t>
      </w:r>
    </w:p>
    <w:p>
      <w:pPr>
        <w:pStyle w:val="BookText"/>
      </w:pPr>
      <w:r>
        <w:rPr>
          <w:rFonts w:ascii="IRNazanin" w:hAnsi="IRNazanin" w:eastAsia="IRNazanin" w:cs="IRNazanin"/>
          <w:lang w:bidi="fa-IR"/>
          <w:color w:val="111111"/>
          <w:sz w:val="28"/>
          <w:szCs w:val="28"/>
          <w:rtl/>
        </w:rPr>
        <w:t xml:space="preserve">بخشی از کتاب؛ خط: نستعلیق، بی کا، بی تا؛ مجدول؛ جلد: تیماج دورو قهوه ای سوخت ترنج با سر مذهب مجدول گرهی، ۴۴گ (حواشی برگهای ۳۹ر-۸۲ر) [ف: ۳۷-۵۵۷]</w:t>
      </w:r>
    </w:p>
    <w:p>
      <w:pPr>
        <w:pStyle w:val="BookText"/>
      </w:pPr>
      <w:r>
        <w:rPr>
          <w:rFonts w:ascii="IRNazanin" w:hAnsi="IRNazanin" w:eastAsia="IRNazanin" w:cs="IRNazanin"/>
          <w:lang w:bidi="fa-IR"/>
          <w:color w:val="111111"/>
          <w:sz w:val="28"/>
          <w:szCs w:val="28"/>
          <w:rtl/>
        </w:rPr>
        <w:t xml:space="preserve">۲۰۱. تهران، دانشگاه؛ شماره نسخه: ۱۶۰۶/۲ -ف</w:t>
      </w:r>
    </w:p>
    <w:p>
      <w:pPr>
        <w:pStyle w:val="BookText"/>
      </w:pPr>
      <w:r>
        <w:rPr>
          <w:rFonts w:ascii="IRNazanin" w:hAnsi="IRNazanin" w:eastAsia="IRNazanin" w:cs="IRNazanin"/>
          <w:lang w:bidi="fa-IR"/>
          <w:color w:val="111111"/>
          <w:sz w:val="28"/>
          <w:szCs w:val="28"/>
          <w:rtl/>
        </w:rPr>
        <w:t xml:space="preserve">بی کا، بی تا؛ درهامش و پایان نسخه [فيلمها ف: ۱-۶۱۵]</w:t>
      </w:r>
    </w:p>
    <w:p>
      <w:pPr>
        <w:pStyle w:val="BookText"/>
      </w:pPr>
      <w:r>
        <w:rPr>
          <w:rFonts w:ascii="IRNazanin" w:hAnsi="IRNazanin" w:eastAsia="IRNazanin" w:cs="IRNazanin"/>
          <w:lang w:bidi="fa-IR"/>
          <w:color w:val="111111"/>
          <w:sz w:val="28"/>
          <w:szCs w:val="28"/>
          <w:rtl/>
        </w:rPr>
        <w:t xml:space="preserve">۲۰۲. یزد؛ وزیری؛ شماره نسخه: ۲۸۱۶/۴</w:t>
      </w:r>
    </w:p>
    <w:p>
      <w:pPr>
        <w:pStyle w:val="BookText"/>
      </w:pPr>
      <w:r>
        <w:rPr>
          <w:rFonts w:ascii="IRNazanin" w:hAnsi="IRNazanin" w:eastAsia="IRNazanin" w:cs="IRNazanin"/>
          <w:lang w:bidi="fa-IR"/>
          <w:color w:val="111111"/>
          <w:sz w:val="28"/>
          <w:szCs w:val="28"/>
          <w:rtl/>
        </w:rPr>
        <w:t xml:space="preserve">خط: نستعلیق، بی کا، بی تا؛ اهدایی: وزیری؛ کاغذ: اصفهانی، جلد: مقوایی روکش کاغذ ابری عطف تیماج قرمز، ۲۲گ (۳۸-۵۹)، ۳۷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 اندازه: ۴۱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۴- ۱۴۳۹]</w:t>
      </w:r>
    </w:p>
    <w:p>
      <w:pPr>
        <w:pStyle w:val="BookText"/>
      </w:pPr>
      <w:r>
        <w:rPr>
          <w:rFonts w:ascii="IRNazanin" w:hAnsi="IRNazanin" w:eastAsia="IRNazanin" w:cs="IRNazanin"/>
          <w:lang w:bidi="fa-IR"/>
          <w:color w:val="111111"/>
          <w:sz w:val="28"/>
          <w:szCs w:val="28"/>
          <w:rtl/>
        </w:rPr>
        <w:t xml:space="preserve">۲۰۳. یزد: وزیری؛ شماره نسخه: ۳۲۲۶/۲</w:t>
      </w:r>
    </w:p>
    <w:p>
      <w:pPr>
        <w:pStyle w:val="BookText"/>
      </w:pPr>
      <w:r>
        <w:rPr>
          <w:rFonts w:ascii="IRNazanin" w:hAnsi="IRNazanin" w:eastAsia="IRNazanin" w:cs="IRNazanin"/>
          <w:lang w:bidi="fa-IR"/>
          <w:color w:val="111111"/>
          <w:sz w:val="28"/>
          <w:szCs w:val="28"/>
          <w:rtl/>
        </w:rPr>
        <w:t xml:space="preserve">انجام: تهیدست و امیدوار آمدم.</w:t>
      </w:r>
    </w:p>
    <w:p>
      <w:pPr>
        <w:pStyle w:val="BookText"/>
      </w:pPr>
      <w:r>
        <w:rPr>
          <w:rFonts w:ascii="IRNazanin" w:hAnsi="IRNazanin" w:eastAsia="IRNazanin" w:cs="IRNazanin"/>
          <w:lang w:bidi="fa-IR"/>
          <w:color w:val="111111"/>
          <w:sz w:val="28"/>
          <w:szCs w:val="28"/>
          <w:rtl/>
        </w:rPr>
        <w:t xml:space="preserve">خط: نستعلیق، بی کا، بی تا، افتادگی: انجام؛ محشی؛ کاغذ: اصفهانی کبود، جلد: کاغذ قرمز، ۸۰گ (۵۶-۱۳۵)،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۵-۱۵۷۹]</w:t>
      </w:r>
    </w:p>
    <w:p>
      <w:pPr>
        <w:pStyle w:val="BookText"/>
      </w:pPr>
      <w:r>
        <w:rPr>
          <w:rFonts w:ascii="IRNazanin" w:hAnsi="IRNazanin" w:eastAsia="IRNazanin" w:cs="IRNazanin"/>
          <w:lang w:bidi="fa-IR"/>
          <w:color w:val="111111"/>
          <w:sz w:val="28"/>
          <w:szCs w:val="28"/>
          <w:rtl/>
        </w:rPr>
        <w:t xml:space="preserve">۲۰۴. کاشان، فرهنگ و ارشاد؛ شماره نسخه: ۳۱</w:t>
      </w:r>
    </w:p>
    <w:p>
      <w:pPr>
        <w:pStyle w:val="BookText"/>
      </w:pPr>
      <w:r>
        <w:rPr>
          <w:rFonts w:ascii="IRNazanin" w:hAnsi="IRNazanin" w:eastAsia="IRNazanin" w:cs="IRNazanin"/>
          <w:lang w:bidi="fa-IR"/>
          <w:color w:val="111111"/>
          <w:sz w:val="28"/>
          <w:szCs w:val="28"/>
          <w:rtl/>
        </w:rPr>
        <w:t xml:space="preserve">بی کا، بیتا؛ افتادگی: انجام؛ ۸۶گ، ۱۴ 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۴۱]</w:t>
      </w:r>
    </w:p>
    <w:p>
      <w:pPr>
        <w:pStyle w:val="BookText"/>
      </w:pPr>
      <w:r>
        <w:rPr>
          <w:rFonts w:ascii="IRNazanin" w:hAnsi="IRNazanin" w:eastAsia="IRNazanin" w:cs="IRNazanin"/>
          <w:lang w:bidi="fa-IR"/>
          <w:color w:val="111111"/>
          <w:sz w:val="28"/>
          <w:szCs w:val="28"/>
          <w:rtl/>
        </w:rPr>
        <w:t xml:space="preserve">۲۰۵. تهران؛ ملی؛ شماره نسخه: ۲۷۴۳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دارای مقدمه و تعدادی از حکایات آن است؛ خط: نستعلیق، كا: محتماً میر عماد حسینی (خوشنویس معروف)، بی تا؛ با سرلوح مذهب، مجدول؛ کاغذ: متن دولت آبادی حاشیه فرنگی آبی، جلد: تیماج قرمز سجاف تیماج تریاکی یک لا، ۱۸گ، ۱۲سطر،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سم [ف: ۶-۳۵۳]</w:t>
      </w:r>
    </w:p>
    <w:p>
      <w:pPr>
        <w:pStyle w:val="BookText"/>
      </w:pPr>
      <w:r>
        <w:rPr>
          <w:rFonts w:ascii="IRNazanin" w:hAnsi="IRNazanin" w:eastAsia="IRNazanin" w:cs="IRNazanin"/>
          <w:lang w:bidi="fa-IR"/>
          <w:color w:val="111111"/>
          <w:sz w:val="28"/>
          <w:szCs w:val="28"/>
          <w:rtl/>
        </w:rPr>
        <w:t xml:space="preserve">۲۰۶. تهران، سپهسالار؛ شماره نسخه: ۳۹۹/۳</w:t>
      </w:r>
    </w:p>
    <w:p>
      <w:pPr>
        <w:pStyle w:val="BookText"/>
      </w:pPr>
      <w:r>
        <w:rPr>
          <w:rFonts w:ascii="IRNazanin" w:hAnsi="IRNazanin" w:eastAsia="IRNazanin" w:cs="IRNazanin"/>
          <w:lang w:bidi="fa-IR"/>
          <w:color w:val="111111"/>
          <w:sz w:val="28"/>
          <w:szCs w:val="28"/>
          <w:rtl/>
        </w:rPr>
        <w:t xml:space="preserve">بی کا، بی تا، کاغذ: سپاهانی، جلد: تیماج قهوه ای سوخت زر کوب مقوایی، ۶۱گ (۶۲پ - ۱۲۲پ)، ۱۴ سطر،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سم [ف: ۲۶۰-۳ ]</w:t>
      </w:r>
    </w:p>
    <w:p>
      <w:pPr>
        <w:pStyle w:val="BookText"/>
      </w:pPr>
      <w:r>
        <w:rPr>
          <w:rFonts w:ascii="IRNazanin" w:hAnsi="IRNazanin" w:eastAsia="IRNazanin" w:cs="IRNazanin"/>
          <w:lang w:bidi="fa-IR"/>
          <w:color w:val="111111"/>
          <w:sz w:val="28"/>
          <w:szCs w:val="28"/>
          <w:rtl/>
        </w:rPr>
        <w:t xml:space="preserve">۲۰۷. قم؛ مسجد اعظم؛ شماره نسخه: ۳۹۹۸</w:t>
      </w:r>
    </w:p>
    <w:p>
      <w:pPr>
        <w:pStyle w:val="BookText"/>
      </w:pPr>
      <w:r>
        <w:rPr>
          <w:rFonts w:ascii="IRNazanin" w:hAnsi="IRNazanin" w:eastAsia="IRNazanin" w:cs="IRNazanin"/>
          <w:lang w:bidi="fa-IR"/>
          <w:color w:val="111111"/>
          <w:sz w:val="28"/>
          <w:szCs w:val="28"/>
          <w:rtl/>
        </w:rPr>
        <w:t xml:space="preserve">آغاز: خجل باز گردیدن آغاز کرد*** که شرم آمدش بحث آن باز کرد / شنید از درون عارف آواز پای </w:t>
      </w:r>
      <w:r>
        <w:rPr>
          <w:rFonts w:ascii="IRNazanin" w:hAnsi="IRNazanin" w:eastAsia="IRNazanin" w:cs="IRNazanin"/>
          <w:lang w:bidi="fa-IR"/>
          <w:color w:val="111111"/>
          <w:sz w:val="28"/>
          <w:szCs w:val="28"/>
          <w:b w:val="1"/>
          <w:bCs w:val="1"/>
          <w:i w:val="1"/>
          <w:iCs w:val="1"/>
          <w:rtl/>
        </w:rPr>
        <w:t xml:space="preserve">بلا گفت بر درچه پایی در آی؛ انجام: نوشتم ندارم زحالم خبر</w:t>
      </w:r>
      <w:r>
        <w:rPr>
          <w:rFonts w:ascii="IRNazanin" w:hAnsi="IRNazanin" w:eastAsia="IRNazanin" w:cs="IRNazanin"/>
          <w:lang w:bidi="fa-IR"/>
          <w:color w:val="111111"/>
          <w:sz w:val="28"/>
          <w:szCs w:val="28"/>
          <w:rtl/>
        </w:rPr>
        <w:t xml:space="preserve"> که عمرم چه باشد چه آید به سر / الهی هر آن کس که این خط نوشت*** تو او را رسانی به باغ بهشت از باب چهارم تا پایان؛ خط: نستعلیق، بی کا، بی تا؛ مصحح، جلد: گالینگور سبز، عطف تیماج زرشکی، ۶۸، ۱۷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مخ: ۱-۲۷۹]</w:t>
      </w:r>
    </w:p>
    <w:p>
      <w:pPr>
        <w:pStyle w:val="BookText"/>
      </w:pPr>
      <w:r>
        <w:rPr>
          <w:rFonts w:ascii="IRNazanin" w:hAnsi="IRNazanin" w:eastAsia="IRNazanin" w:cs="IRNazanin"/>
          <w:lang w:bidi="fa-IR"/>
          <w:color w:val="111111"/>
          <w:sz w:val="28"/>
          <w:szCs w:val="28"/>
          <w:rtl/>
        </w:rPr>
        <w:t xml:space="preserve">۲۰۸. قم؛ مسجد اعظم؛ شماره نسخه: ۳۸۴۸</w:t>
      </w:r>
    </w:p>
    <w:p>
      <w:pPr>
        <w:pStyle w:val="BookText"/>
      </w:pPr>
      <w:r>
        <w:rPr>
          <w:rFonts w:ascii="IRNazanin" w:hAnsi="IRNazanin" w:eastAsia="IRNazanin" w:cs="IRNazanin"/>
          <w:lang w:bidi="fa-IR"/>
          <w:color w:val="111111"/>
          <w:sz w:val="28"/>
          <w:szCs w:val="28"/>
          <w:rtl/>
        </w:rPr>
        <w:t xml:space="preserve">آغاز: وگر ره به كتم عدم در برد</w:t>
      </w:r>
      <w:r>
        <w:rPr>
          <w:rFonts w:ascii="IRNazanin" w:hAnsi="IRNazanin" w:eastAsia="IRNazanin" w:cs="IRNazanin"/>
          <w:lang w:bidi="fa-IR"/>
          <w:color w:val="111111"/>
          <w:sz w:val="28"/>
          <w:szCs w:val="28"/>
          <w:b w:val="1"/>
          <w:bCs w:val="1"/>
          <w:i w:val="1"/>
          <w:iCs w:val="1"/>
          <w:rtl/>
        </w:rPr>
        <w:t xml:space="preserve">و ز آنجا به صحرای محشر برد / جهان متفق بر اللهيتش </w:t>
      </w:r>
      <w:r>
        <w:rPr>
          <w:rFonts w:ascii="IRNazanin" w:hAnsi="IRNazanin" w:eastAsia="IRNazanin" w:cs="IRNazanin"/>
          <w:lang w:bidi="fa-IR"/>
          <w:color w:val="111111"/>
          <w:sz w:val="28"/>
          <w:szCs w:val="28"/>
          <w:b w:val="1"/>
          <w:bCs w:val="1"/>
          <w:i w:val="1"/>
          <w:iCs w:val="1"/>
          <w:rtl/>
        </w:rPr>
        <w:t xml:space="preserve">فرو مانده در کنه ماهیتش؛ انجام: جز آن اعتمادم به یاری تست</w:t>
      </w:r>
      <w:r>
        <w:rPr>
          <w:rFonts w:ascii="IRNazanin" w:hAnsi="IRNazanin" w:eastAsia="IRNazanin" w:cs="IRNazanin"/>
          <w:lang w:bidi="fa-IR"/>
          <w:color w:val="111111"/>
          <w:sz w:val="28"/>
          <w:szCs w:val="28"/>
          <w:b w:val="1"/>
          <w:bCs w:val="1"/>
          <w:i w:val="1"/>
          <w:iCs w:val="1"/>
          <w:rtl/>
        </w:rPr>
        <w:t xml:space="preserve"> امیدم به آمرزگاری تست / بضاعت نیاوردم الا امید</w:t>
      </w:r>
      <w:r>
        <w:rPr>
          <w:rFonts w:ascii="IRNazanin" w:hAnsi="IRNazanin" w:eastAsia="IRNazanin" w:cs="IRNazanin"/>
          <w:lang w:bidi="fa-IR"/>
          <w:color w:val="111111"/>
          <w:sz w:val="28"/>
          <w:szCs w:val="28"/>
          <w:rtl/>
        </w:rPr>
        <w:t xml:space="preserve">خدایا زعفوم مکن نا امید خط: نستعلیق، بی کا، بی تا؛ افتادگی: آغاز؛ جلد: مقوا، ۱۱۳گ، ۱۶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مخ: ۱-۲۷۹]</w:t>
      </w:r>
    </w:p>
    <w:p>
      <w:pPr>
        <w:pStyle w:val="BookText"/>
      </w:pPr>
      <w:r>
        <w:rPr>
          <w:rFonts w:ascii="IRNazanin" w:hAnsi="IRNazanin" w:eastAsia="IRNazanin" w:cs="IRNazanin"/>
          <w:lang w:bidi="fa-IR"/>
          <w:color w:val="111111"/>
          <w:sz w:val="28"/>
          <w:szCs w:val="28"/>
          <w:rtl/>
        </w:rPr>
        <w:t xml:space="preserve">۲۰۹. قم؛ مسجد اعظم؛ شماره نسخه: ۱۱۷۷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قسمتی از بوستان؛ خط: نستعلیق، كا: عبدالله حسینی، بی تا، جلد: تیماج زرد بدون مقوا، مجدول، ۷۹گ، ۱۲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آف مخ: ۱-۲۷۸]</w:t>
      </w:r>
    </w:p>
    <w:p>
      <w:pPr>
        <w:pStyle w:val="BookText"/>
      </w:pPr>
      <w:r>
        <w:rPr>
          <w:rFonts w:ascii="IRNazanin" w:hAnsi="IRNazanin" w:eastAsia="IRNazanin" w:cs="IRNazanin"/>
          <w:lang w:bidi="fa-IR"/>
          <w:color w:val="111111"/>
          <w:sz w:val="28"/>
          <w:szCs w:val="28"/>
          <w:rtl/>
        </w:rPr>
        <w:t xml:space="preserve">۲۱۰. مشهد؛ رضوی؛ شماره نسخه: ۱۱۴۷۳</w:t>
      </w:r>
    </w:p>
    <w:p>
      <w:pPr>
        <w:pStyle w:val="BookText"/>
      </w:pPr>
      <w:r>
        <w:rPr>
          <w:rFonts w:ascii="IRNazanin" w:hAnsi="IRNazanin" w:eastAsia="IRNazanin" w:cs="IRNazanin"/>
          <w:lang w:bidi="fa-IR"/>
          <w:color w:val="111111"/>
          <w:sz w:val="28"/>
          <w:szCs w:val="28"/>
          <w:rtl/>
        </w:rPr>
        <w:t xml:space="preserve">آغاز: برابر؛ انجام: تو دانی ضمیر نهان بستگان*** تو مرهم نهی بر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 خستگان</w:t>
      </w:r>
    </w:p>
    <w:p>
      <w:pPr>
        <w:pStyle w:val="BookText"/>
      </w:pPr>
      <w:r>
        <w:rPr>
          <w:rFonts w:ascii="IRNazanin" w:hAnsi="IRNazanin" w:eastAsia="IRNazanin" w:cs="IRNazanin"/>
          <w:lang w:bidi="fa-IR"/>
          <w:color w:val="111111"/>
          <w:sz w:val="28"/>
          <w:szCs w:val="28"/>
          <w:rtl/>
        </w:rPr>
        <w:t xml:space="preserve">خط: شکسته نستعلیق، بی کا، بی تا، افتادگی: انجام (۴۸ بیت از آخر افتادگی دارد)؛ دارای سرلوح مذهب، دو صفحه اول و دوم طلا اندازی دندان موشی، حاشیه دو صفحه مزبور دارای گل و بوته به شیوه اسلیمی، مجدول، دارای کمند؛ کاغذ: نباتی خوش قلم آهار مهره، جلد: پارچه ای، ۱۶۲گ، ۱۳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۹-۸۹]</w:t>
      </w:r>
    </w:p>
    <w:p>
      <w:pPr>
        <w:pStyle w:val="BookText"/>
      </w:pPr>
      <w:r>
        <w:rPr>
          <w:rFonts w:ascii="IRNazanin" w:hAnsi="IRNazanin" w:eastAsia="IRNazanin" w:cs="IRNazanin"/>
          <w:lang w:bidi="fa-IR"/>
          <w:color w:val="111111"/>
          <w:sz w:val="28"/>
          <w:szCs w:val="28"/>
          <w:rtl/>
        </w:rPr>
        <w:t xml:space="preserve">۲۱۱. مشهد؛ رضوی؛ شماره نسخه: ۱۰۵۶۹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قوام شیرازی، بی تا، سرلوح مذهب مرصع بسیار عالی، دو صفحه اول و دوم دارای تشعیر، دارای کتیبه با زمینه زرین، مجدول؛ کاغذ: آهار مهره زرافشان، جلد: دو روی ضربی بوم طلا، ۱۷۰گ، قطع: وزیری، اندازه: ۲۳۴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۹۰-۹]</w:t>
      </w:r>
    </w:p>
    <w:p>
      <w:pPr>
        <w:pStyle w:val="BookText"/>
      </w:pPr>
      <w:r>
        <w:rPr>
          <w:rFonts w:ascii="IRNazanin" w:hAnsi="IRNazanin" w:eastAsia="IRNazanin" w:cs="IRNazanin"/>
          <w:lang w:bidi="fa-IR"/>
          <w:color w:val="111111"/>
          <w:sz w:val="28"/>
          <w:szCs w:val="28"/>
          <w:rtl/>
        </w:rPr>
        <w:t xml:space="preserve">۲۱۲. تهران: مدارک فرهنگی؛ شماره نسخه: ۴۱</w:t>
      </w:r>
    </w:p>
    <w:p>
      <w:pPr>
        <w:pStyle w:val="BookText"/>
      </w:pPr>
      <w:r>
        <w:rPr>
          <w:rFonts w:ascii="IRNazanin" w:hAnsi="IRNazanin" w:eastAsia="IRNazanin" w:cs="IRNazanin"/>
          <w:lang w:bidi="fa-IR"/>
          <w:color w:val="111111"/>
          <w:sz w:val="28"/>
          <w:szCs w:val="28"/>
          <w:rtl/>
        </w:rPr>
        <w:t xml:space="preserve">آغاز: برابر؛ انجام: دلم می دهد وقت وقت این امید*** که حق شرم دارد زموی سفید خط: نستعلیق متوسط، بی کا، بی تا، افتادگی: انجام؛ مصحح، محشی؛ کاغذ: فرنگی مایل به حنایی، جلد: کاغذی، ۱۴۴گ، ۱۵ سطر (۱۴۶۸)،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۴۰]</w:t>
      </w:r>
    </w:p>
    <w:p>
      <w:pPr>
        <w:pStyle w:val="BookText"/>
      </w:pPr>
      <w:r>
        <w:rPr>
          <w:rFonts w:ascii="IRNazanin" w:hAnsi="IRNazanin" w:eastAsia="IRNazanin" w:cs="IRNazanin"/>
          <w:lang w:bidi="fa-IR"/>
          <w:color w:val="111111"/>
          <w:sz w:val="28"/>
          <w:szCs w:val="28"/>
          <w:rtl/>
        </w:rPr>
        <w:t xml:space="preserve">۲۱۳. تهران: مجلس؛ شماره نسخه: ۷۷۷۳/۲</w:t>
      </w:r>
    </w:p>
    <w:p>
      <w:pPr>
        <w:pStyle w:val="BookText"/>
      </w:pPr>
      <w:r>
        <w:rPr>
          <w:rFonts w:ascii="IRNazanin" w:hAnsi="IRNazanin" w:eastAsia="IRNazanin" w:cs="IRNazanin"/>
          <w:lang w:bidi="fa-IR"/>
          <w:color w:val="111111"/>
          <w:sz w:val="28"/>
          <w:szCs w:val="28"/>
          <w:rtl/>
        </w:rPr>
        <w:t xml:space="preserve">آغاز: و گر ره به كتم عدم در برد</w:t>
      </w:r>
      <w:r>
        <w:rPr>
          <w:rFonts w:ascii="IRNazanin" w:hAnsi="IRNazanin" w:eastAsia="IRNazanin" w:cs="IRNazanin"/>
          <w:lang w:bidi="fa-IR"/>
          <w:color w:val="111111"/>
          <w:sz w:val="28"/>
          <w:szCs w:val="28"/>
          <w:b w:val="1"/>
          <w:bCs w:val="1"/>
          <w:i w:val="1"/>
          <w:iCs w:val="1"/>
          <w:rtl/>
        </w:rPr>
        <w:t xml:space="preserve">و ز آنجا به صحرای محشر برد / جهان متفق بر اللهيتش</w:t>
      </w:r>
      <w:r>
        <w:rPr>
          <w:rFonts w:ascii="IRNazanin" w:hAnsi="IRNazanin" w:eastAsia="IRNazanin" w:cs="IRNazanin"/>
          <w:lang w:bidi="fa-IR"/>
          <w:color w:val="111111"/>
          <w:sz w:val="28"/>
          <w:szCs w:val="28"/>
          <w:rtl/>
        </w:rPr>
        <w:t xml:space="preserve">فرو مانده در کنه ماهیتش؛ انجام: برابر</w:t>
      </w:r>
    </w:p>
    <w:p>
      <w:pPr>
        <w:pStyle w:val="BookText"/>
      </w:pPr>
      <w:r>
        <w:rPr>
          <w:rFonts w:ascii="IRNazanin" w:hAnsi="IRNazanin" w:eastAsia="IRNazanin" w:cs="IRNazanin"/>
          <w:lang w:bidi="fa-IR"/>
          <w:color w:val="111111"/>
          <w:sz w:val="28"/>
          <w:szCs w:val="28"/>
          <w:rtl/>
        </w:rPr>
        <w:t xml:space="preserve">خط: نسخ، بی کا، بی تا؛ افتادگی: آغاز؛ [ف: ۲۶-۲۵۷]</w:t>
      </w:r>
    </w:p>
    <w:p>
      <w:pPr>
        <w:pStyle w:val="BookText"/>
      </w:pPr>
      <w:r>
        <w:rPr>
          <w:rFonts w:ascii="IRNazanin" w:hAnsi="IRNazanin" w:eastAsia="IRNazanin" w:cs="IRNazanin"/>
          <w:lang w:bidi="fa-IR"/>
          <w:color w:val="111111"/>
          <w:sz w:val="28"/>
          <w:szCs w:val="28"/>
          <w:rtl/>
        </w:rPr>
        <w:t xml:space="preserve">۲۱۴. تهران؛ مجلس؛ شماره نسخه: ۲۳۴۵/۲</w:t>
      </w:r>
    </w:p>
    <w:p>
      <w:pPr>
        <w:pStyle w:val="BookText"/>
      </w:pPr>
      <w:r>
        <w:rPr>
          <w:rFonts w:ascii="IRNazanin" w:hAnsi="IRNazanin" w:eastAsia="IRNazanin" w:cs="IRNazanin"/>
          <w:lang w:bidi="fa-IR"/>
          <w:color w:val="111111"/>
          <w:sz w:val="28"/>
          <w:szCs w:val="28"/>
          <w:rtl/>
        </w:rPr>
        <w:t xml:space="preserve">آغاز: و گر ره به كتم عدم در برد</w:t>
      </w:r>
      <w:r>
        <w:rPr>
          <w:rFonts w:ascii="IRNazanin" w:hAnsi="IRNazanin" w:eastAsia="IRNazanin" w:cs="IRNazanin"/>
          <w:lang w:bidi="fa-IR"/>
          <w:color w:val="111111"/>
          <w:sz w:val="28"/>
          <w:szCs w:val="28"/>
          <w:b w:val="1"/>
          <w:bCs w:val="1"/>
          <w:i w:val="1"/>
          <w:iCs w:val="1"/>
          <w:rtl/>
        </w:rPr>
        <w:t xml:space="preserve">و ز آنجا به صحرای محشر برد/ جهان متفق بر اللهيتش</w:t>
      </w:r>
      <w:r>
        <w:rPr>
          <w:rFonts w:ascii="IRNazanin" w:hAnsi="IRNazanin" w:eastAsia="IRNazanin" w:cs="IRNazanin"/>
          <w:lang w:bidi="fa-IR"/>
          <w:color w:val="111111"/>
          <w:sz w:val="28"/>
          <w:szCs w:val="28"/>
          <w:rtl/>
        </w:rPr>
        <w:t xml:space="preserve">فرو مانده در کنه ماهیتش؛ انجام برابر</w:t>
      </w:r>
    </w:p>
    <w:p>
      <w:pPr>
        <w:pStyle w:val="BookText"/>
      </w:pPr>
      <w:r>
        <w:rPr>
          <w:rFonts w:ascii="IRNazanin" w:hAnsi="IRNazanin" w:eastAsia="IRNazanin" w:cs="IRNazanin"/>
          <w:lang w:bidi="fa-IR"/>
          <w:color w:val="111111"/>
          <w:sz w:val="28"/>
          <w:szCs w:val="28"/>
          <w:rtl/>
        </w:rPr>
        <w:t xml:space="preserve">منتخب؛ خط: نستعلیق، کا: محمد حسین، بی تا؛ افتادگی: آغاز؛ [ف: ۸-۵۷]</w:t>
      </w:r>
    </w:p>
    <w:p>
      <w:pPr>
        <w:pStyle w:val="BookText"/>
      </w:pPr>
      <w:r>
        <w:rPr>
          <w:rFonts w:ascii="IRNazanin" w:hAnsi="IRNazanin" w:eastAsia="IRNazanin" w:cs="IRNazanin"/>
          <w:lang w:bidi="fa-IR"/>
          <w:color w:val="111111"/>
          <w:sz w:val="28"/>
          <w:szCs w:val="28"/>
          <w:rtl/>
        </w:rPr>
        <w:t xml:space="preserve">۲۱۵. تهران؛ مجلس؛ شماره نسخه: ۱۳۹۳۴/۳۱</w:t>
      </w:r>
    </w:p>
    <w:p>
      <w:pPr>
        <w:pStyle w:val="BookText"/>
      </w:pPr>
      <w:r>
        <w:rPr>
          <w:rFonts w:ascii="IRNazanin" w:hAnsi="IRNazanin" w:eastAsia="IRNazanin" w:cs="IRNazanin"/>
          <w:lang w:bidi="fa-IR"/>
          <w:color w:val="111111"/>
          <w:sz w:val="28"/>
          <w:szCs w:val="28"/>
          <w:rtl/>
        </w:rPr>
        <w:t xml:space="preserve">بخشی از آن؛ خط: نستعلیق چلیپا، بی کا، بی تا؛ ۴گ (۸۳-۸۶پ) [ف: ۳۷-۵۲۳]</w:t>
      </w:r>
    </w:p>
    <w:p>
      <w:pPr>
        <w:pStyle w:val="BookText"/>
      </w:pPr>
      <w:r>
        <w:rPr>
          <w:rFonts w:ascii="IRNazanin" w:hAnsi="IRNazanin" w:eastAsia="IRNazanin" w:cs="IRNazanin"/>
          <w:lang w:bidi="fa-IR"/>
          <w:color w:val="111111"/>
          <w:sz w:val="28"/>
          <w:szCs w:val="28"/>
          <w:rtl/>
        </w:rPr>
        <w:t xml:space="preserve">۲۱۶. تهران؛ مجلس؛ شماره نسخه: ۲۹۷/۱</w:t>
      </w:r>
    </w:p>
    <w:p>
      <w:pPr>
        <w:pStyle w:val="BookText"/>
      </w:pPr>
      <w:r>
        <w:rPr>
          <w:rFonts w:ascii="Amiri" w:hAnsi="Amiri" w:eastAsia="Amiri" w:cs="Amiri"/>
          <w:lang w:bidi="ar-SA"/>
          <w:color w:val="111111"/>
          <w:sz w:val="28"/>
          <w:szCs w:val="28"/>
          <w:rtl/>
        </w:rPr>
        <w:t xml:space="preserve">آغاز و انجام: برابر؛ تمت الكتاب بعون الله حرره ... محمود الكاتب ۹۵۲</w:t>
      </w:r>
    </w:p>
    <w:p>
      <w:pPr>
        <w:pStyle w:val="BookText"/>
      </w:pPr>
      <w:r>
        <w:rPr>
          <w:rFonts w:ascii="IRNazanin" w:hAnsi="IRNazanin" w:eastAsia="IRNazanin" w:cs="IRNazanin"/>
          <w:lang w:bidi="fa-IR"/>
          <w:color w:val="111111"/>
          <w:sz w:val="28"/>
          <w:szCs w:val="28"/>
          <w:rtl/>
        </w:rPr>
        <w:t xml:space="preserve">بی کا، بی تا؛ افتادگی: آغاز؛ در حاشیه گلستان آمده [ف: ۲-۱۷۲]</w:t>
      </w:r>
    </w:p>
    <w:p>
      <w:pPr>
        <w:pStyle w:val="BookText"/>
      </w:pPr>
      <w:r>
        <w:rPr>
          <w:rFonts w:ascii="IRNazanin" w:hAnsi="IRNazanin" w:eastAsia="IRNazanin" w:cs="IRNazanin"/>
          <w:lang w:bidi="fa-IR"/>
          <w:color w:val="111111"/>
          <w:sz w:val="28"/>
          <w:szCs w:val="28"/>
          <w:rtl/>
        </w:rPr>
        <w:t xml:space="preserve">۲۱۷. تهران؛ سلطنتی؛ شماره نسخه: ۱۷۲۱</w:t>
      </w:r>
    </w:p>
    <w:p>
      <w:pPr>
        <w:pStyle w:val="BookText"/>
      </w:pPr>
      <w:r>
        <w:rPr>
          <w:rFonts w:ascii="IRNazanin" w:hAnsi="IRNazanin" w:eastAsia="IRNazanin" w:cs="IRNazanin"/>
          <w:lang w:bidi="fa-IR"/>
          <w:color w:val="111111"/>
          <w:sz w:val="28"/>
          <w:szCs w:val="28"/>
          <w:rtl/>
        </w:rPr>
        <w:t xml:space="preserve">آغاز: آغاز بوستان: بنام خداوند جان آفرین***حکیم سخن در زبان آفرین ... آغاز تحفة الملوک: الحمدلله رب العالمين و الصلوة و السلام على محمد و آله. اما بعد این رساله مشتمل است بر آنکه حکما از کتب قدما اختیار کرده اند و فواید بسیار در ضمن هر حرفی معلوم می شود ... آغاز مناجات خواجه عبدالله انصاری: الحمدلله رب العالمین و الصلوة و السلام على سيدنا محمد و آله اجمعين. بعد از حمد باری و نعت سید المرسلين ندیم حضرت باری خواجه عبدالله انصاری نور قبره می فرماید؛ انجام: پایان بوستان: بضاعت نیاوردم الا امید خدایا زعفوم مکن ناامید. پایان نسخه: در آنکه چهار چیز اصل سعادت دو جهانی و مراد ادب جاودانی است فرمان بردن خدا و رسول خشنودی پدر و مادر خدمت علما شفقت بر خلق خدا ...</w:t>
      </w:r>
    </w:p>
    <w:p>
      <w:pPr>
        <w:pStyle w:val="BookText"/>
      </w:pPr>
      <w:r>
        <w:rPr>
          <w:rFonts w:ascii="IRNazanin" w:hAnsi="IRNazanin" w:eastAsia="IRNazanin" w:cs="IRNazanin"/>
          <w:lang w:bidi="fa-IR"/>
          <w:color w:val="111111"/>
          <w:sz w:val="28"/>
          <w:szCs w:val="28"/>
          <w:rtl/>
        </w:rPr>
        <w:t xml:space="preserve">منتخبی از بوستان سعدی و مناجات خواجه عبدالله انصاری و تحفة الملوک؛ خط: نستعلیق عالی، بی کا، بی تا؛ مجدول زرین و رنگین، ۵۷ سه سرلوح مذهب مرصع مزدوج بسیار خوب، به سال های ۱۲۳۲ و ۱۲۸۲ به ترتیب از عرض کتابخانه مبارکه فتحعلیشاه و ناصرالدین شاه و مظفرالدین شاه قاجار گذشته؛ مهر ناصرالدین شاه قاجار و نام و القاب فتحعلیشاه قاجار؛ کاغذ: قطعه متن و حاشیه. متن نخودی غبار زرافشان. حواشی نی، جلد: مقوای روغنی بوم مشکی مذهب به شاخه و برگ مو وسط ترنج و دو سرترنج زمینه عنابی منقش به گل و برگ های الوان، ۷۰ص، ۵- ۱۲ سطر، قطع: ربعی، اندازه: ۲۳/۵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۳-۵۲۸]</w:t>
      </w:r>
    </w:p>
    <w:p>
      <w:pPr>
        <w:pStyle w:val="BookText"/>
      </w:pPr>
      <w:r>
        <w:rPr>
          <w:rFonts w:ascii="IRNazanin" w:hAnsi="IRNazanin" w:eastAsia="IRNazanin" w:cs="IRNazanin"/>
          <w:lang w:bidi="fa-IR"/>
          <w:color w:val="111111"/>
          <w:sz w:val="28"/>
          <w:szCs w:val="28"/>
          <w:rtl/>
        </w:rPr>
        <w:t xml:space="preserve">۲۱۸. تهران؛ سلطنتی؛ شماره نسخه: ۱۹۳۴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و پاکیزه؛ خط شکسته نستعلیق خوب، بی کا، بی تاب مجدول، مذهب، کمند کشی زرین، دو صفحه اول دارای حواشی مذهب منقش به اسلیمی و پیچک و گل های زرین و الوان، یک سرلوح مذهب مرصع مزدوج بسیار خوب، به سنوات ۱۲۸۲ و ۱۳۲۲ به ترتیب از عرض کتابخانه مبارکه گذشته؛ مهر: ناصر الدین شاه؛ کاغذ: اصفهانی ضخیم آهار مهره کشیده، جلد: مقوای روکش چرم ساغری مشکی وسط ترنج دو سر ترنج و چهار لچکی ضربی طلایی گل برجسته، ۲۷۵ ص، ۱۴ سطر، قطع: وزیری متوسط، اندازه: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۲۳/۵سم [ف: ۳-۵۱۸]</w:t>
      </w:r>
    </w:p>
    <w:p>
      <w:pPr>
        <w:pStyle w:val="BookText"/>
      </w:pPr>
      <w:r>
        <w:rPr>
          <w:rFonts w:ascii="IRNazanin" w:hAnsi="IRNazanin" w:eastAsia="IRNazanin" w:cs="IRNazanin"/>
          <w:lang w:bidi="fa-IR"/>
          <w:color w:val="111111"/>
          <w:sz w:val="28"/>
          <w:szCs w:val="28"/>
          <w:rtl/>
        </w:rPr>
        <w:t xml:space="preserve">۲۱۹. تهران؛ سلطنتی؛ شماره نسخه: ۴۰۰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خوش، بی کا، بی تا؛ مجدول، بعضی از صفحات منقش به گل و برگ و طیور، یک سرلوح مذهب مرصع ممتاز، در سال ۱۲۳۵ به ضبط کتابخانه محمود میرزا فرزند فتحعلیشاه قاجار در آمده، خط ناصرالدین شاه قاجار: «شب دوشنبه این کتاب را آقا محراب خواجه آورده و به قیمت پانزده تومان خریده شد في شهر صفر المظفر سنه ۱۲۶۷ در دارالخلافه طهران؛ مهر: ناصرالدین شاه قاجار، «حسین بن هدایت الله»، «رضا الحسینی»، مشير السلطنه»؛ کاغذ: متن سمرقندی زرافشان حاشیه قطعه الوان منقش، جلد: مقوای روغنی بوم قهوه ای مرغشی منقش به گل و برگهای الوان تزئینی با دو حاشیه زمینه مشکی دانه تسبیحی زرین، ۲۵۴ص، ۱۲ سطر، قطع: وزیری حجیم،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۳-۵۲۰]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98" w:name="pg20363_209276"/>
    <w:bookmarkEnd w:id="98"/>
    <w:p>
      <w:pPr>
        <w:pStyle w:val="BookText"/>
      </w:pPr>
      <w:r>
        <w:rPr>
          <w:rFonts w:ascii="IRNazanin" w:hAnsi="IRNazanin" w:eastAsia="IRNazanin" w:cs="IRNazanin"/>
          <w:lang w:bidi="fa-IR"/>
          <w:color w:val="111111"/>
          <w:sz w:val="28"/>
          <w:szCs w:val="28"/>
          <w:rtl/>
        </w:rPr>
        <w:t xml:space="preserve">۲۲۰. تهران؛ سلطنتی؛ شماره نسخه: ۳۹۵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منتخب؛ خط: نستعلیق خوب، كا: شاه محمود نیشابوری، تا: ربيع الاول؛ مجدول، یک سرلوح مزدوج مذهب مرصع بسیار خوب؛ فاقد صفحات ۹۶ و ۹۷ و ۱۵۴ و ۱۵۵ می باشد و به جای آنها چهار صفحه مجدول زرین بیاض</w:t>
      </w:r>
    </w:p>
    <w:p>
      <w:pPr>
        <w:pStyle w:val="BookText"/>
      </w:pPr>
      <w:r>
        <w:rPr>
          <w:rFonts w:ascii="IRNazanin" w:hAnsi="IRNazanin" w:eastAsia="IRNazanin" w:cs="IRNazanin"/>
          <w:lang w:bidi="fa-IR"/>
          <w:color w:val="111111"/>
          <w:sz w:val="28"/>
          <w:szCs w:val="28"/>
          <w:rtl/>
        </w:rPr>
        <w:t xml:space="preserve">است، در سال ۱۳۲۲ از عرض کتابخانه گذشته به سجع مهر «مشير السلطنة»، در آن آمده: «هو المالك بالاستحقاق. کتاب بوستان شیخ سعدی علیه الرحمه بخط شاه محمود نیشابوری در دارالخلافه طهران به مبلغ سی تومان اشرفی محمد شاهی ابتیاع گردید و داخل کتابخانه شد بتاریخ دوم شهر ذي الحجه ۱۲۶۴ حرره الداعي. سجع مهر فخر الأطباء»؛ کاغذ: متن کاغذ سمرقندی. حاشیه دولت آبادی الوان، جلد: مقوای روکش تیماج حنایی رنگ وسط ترنج دو سرترنج چهار لچک ترنج کاغذ طلائی ضربی، ۳۵۴ص، ۱۲ سطر، قطع: رقعی،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سم [ف: ۳-۵۲۲]</w:t>
      </w:r>
    </w:p>
    <w:p>
      <w:pPr>
        <w:pStyle w:val="BookText"/>
      </w:pPr>
      <w:r>
        <w:rPr>
          <w:rFonts w:ascii="IRNazanin" w:hAnsi="IRNazanin" w:eastAsia="IRNazanin" w:cs="IRNazanin"/>
          <w:lang w:bidi="fa-IR"/>
          <w:color w:val="111111"/>
          <w:sz w:val="28"/>
          <w:szCs w:val="28"/>
          <w:rtl/>
        </w:rPr>
        <w:t xml:space="preserve">۲۲۱. اراک؛ دهگان؛ شماره نسخه: ۱۳۴/۱۸</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افزون بر ۳۲۰ بیت؛ خط: نستعلیق، بی کا، بی تا، کاغذ: لیمویی، جلد: مقوا با رویه نایلون صورتی، ۱۶ص (۳۲۱-۳۳۶)،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[ف: ۱-۱۵۳]</w:t>
      </w:r>
    </w:p>
    <w:p>
      <w:pPr>
        <w:pStyle w:val="BookText"/>
      </w:pPr>
      <w:r>
        <w:rPr>
          <w:rFonts w:ascii="IRNazanin" w:hAnsi="IRNazanin" w:eastAsia="IRNazanin" w:cs="IRNazanin"/>
          <w:lang w:bidi="fa-IR"/>
          <w:color w:val="111111"/>
          <w:sz w:val="28"/>
          <w:szCs w:val="28"/>
          <w:rtl/>
        </w:rPr>
        <w:t xml:space="preserve">۲۲۲. اراک؛ دهگان؛ شماره نسخه: ۱۳۴/۲۳</w:t>
      </w:r>
    </w:p>
    <w:p>
      <w:pPr>
        <w:pStyle w:val="BookText"/>
      </w:pPr>
      <w:r>
        <w:rPr>
          <w:rFonts w:ascii="IRNazanin" w:hAnsi="IRNazanin" w:eastAsia="IRNazanin" w:cs="IRNazanin"/>
          <w:lang w:bidi="fa-IR"/>
          <w:color w:val="111111"/>
          <w:sz w:val="28"/>
          <w:szCs w:val="28"/>
          <w:rtl/>
        </w:rPr>
        <w:t xml:space="preserve">آغاز: سپاس و حمد بی پایان خدا را*** که صنعش در وجود آورد ما را اشعاری از بوستان؛ بی کا، بی تا، کاغذ: لیموئی، جلد: مقوا با رویه نایلون صورتی، ۲۷ص (متن و حاشیه ۴۹۶-۵۲۲)،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[ف: ۱-۱۵۵]</w:t>
      </w:r>
    </w:p>
    <w:p>
      <w:pPr>
        <w:pStyle w:val="BookText"/>
      </w:pPr>
      <w:r>
        <w:rPr>
          <w:rFonts w:ascii="IRNazanin" w:hAnsi="IRNazanin" w:eastAsia="IRNazanin" w:cs="IRNazanin"/>
          <w:lang w:bidi="fa-IR"/>
          <w:color w:val="111111"/>
          <w:sz w:val="28"/>
          <w:szCs w:val="28"/>
          <w:rtl/>
        </w:rPr>
        <w:t xml:space="preserve">۲۲۳. مشهد؛ رضوی؛ شماره نسخه: ۲۸۶۰۶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جلی، بی کا، بی تا، دارای کتیبه و سرلوح مرصع و مزدوج، مجدول، دارای کمند به لاجورد؛ کاغذ: نخودی، جلد: تیماج زرکوب مزین به حاشیه گلبرگی زرکوب، ۱۳ سطر ( ۲۶/۲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قطع: رحلی کوچک،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٣۶/۲ سم [رایانه]</w:t>
      </w:r>
    </w:p>
    <w:p>
      <w:pPr>
        <w:pStyle w:val="BookText"/>
      </w:pPr>
      <w:r>
        <w:rPr>
          <w:rFonts w:ascii="IRNazanin" w:hAnsi="IRNazanin" w:eastAsia="IRNazanin" w:cs="IRNazanin"/>
          <w:lang w:bidi="fa-IR"/>
          <w:color w:val="111111"/>
          <w:sz w:val="28"/>
          <w:szCs w:val="28"/>
          <w:rtl/>
        </w:rPr>
        <w:t xml:space="preserve">۲۲۴. مشهد؛ رضوی؛ شماره نسخه: ۲۷۷۶۷</w:t>
      </w:r>
    </w:p>
    <w:p>
      <w:pPr>
        <w:pStyle w:val="BookText"/>
      </w:pPr>
      <w:r>
        <w:rPr>
          <w:rFonts w:ascii="IRNazanin" w:hAnsi="IRNazanin" w:eastAsia="IRNazanin" w:cs="IRNazanin"/>
          <w:lang w:bidi="fa-IR"/>
          <w:color w:val="111111"/>
          <w:sz w:val="28"/>
          <w:szCs w:val="28"/>
          <w:rtl/>
        </w:rPr>
        <w:t xml:space="preserve">آغاز: برابر؛ انجام گرفتم که دزدان طهور کنند ببازوی مردی شکم پر کنم</w:t>
      </w:r>
    </w:p>
    <w:p>
      <w:pPr>
        <w:pStyle w:val="BookText"/>
      </w:pPr>
      <w:r>
        <w:rPr>
          <w:rFonts w:ascii="IRNazanin" w:hAnsi="IRNazanin" w:eastAsia="IRNazanin" w:cs="IRNazanin"/>
          <w:lang w:bidi="fa-IR"/>
          <w:color w:val="111111"/>
          <w:sz w:val="28"/>
          <w:szCs w:val="28"/>
          <w:rtl/>
        </w:rPr>
        <w:t xml:space="preserve">خط: نستعلیق خفی، بی کا، بی تا، افتادگی: انجام؛ کاغذ: حنایی، جلد: مشمع، ۱۲ سطر (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قطع: وزیری کوچک، اندازه: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۲۰/۵ سم [رایانه]</w:t>
      </w:r>
    </w:p>
    <w:p>
      <w:pPr>
        <w:pStyle w:val="BookText"/>
      </w:pPr>
      <w:r>
        <w:rPr>
          <w:rFonts w:ascii="IRNazanin" w:hAnsi="IRNazanin" w:eastAsia="IRNazanin" w:cs="IRNazanin"/>
          <w:lang w:bidi="fa-IR"/>
          <w:color w:val="111111"/>
          <w:sz w:val="28"/>
          <w:szCs w:val="28"/>
          <w:rtl/>
        </w:rPr>
        <w:t xml:space="preserve">۲۲۵. مشهد؛ رضوی؛ شماره نسخه: ۲۶۳۲۷</w:t>
      </w:r>
    </w:p>
    <w:p>
      <w:pPr>
        <w:pStyle w:val="BookText"/>
      </w:pPr>
      <w:r>
        <w:rPr>
          <w:rFonts w:ascii="IRNazanin" w:hAnsi="IRNazanin" w:eastAsia="IRNazanin" w:cs="IRNazanin"/>
          <w:lang w:bidi="fa-IR"/>
          <w:color w:val="111111"/>
          <w:sz w:val="28"/>
          <w:szCs w:val="28"/>
          <w:rtl/>
        </w:rPr>
        <w:t xml:space="preserve">آغاز: برابر؛ انجام: امیدم به آمرزگاری تست خط: نستعلیق خفی، بی کا، بی تا، تملك: امیر زاهدی علی محمد بن محمد بن اسماعیل؛ کاغذ: نخودی سرخی، جلد: تیماج زرکوب عنابی دارای ترنج و سرترنج، مختلف السطر، قطع:</w:t>
      </w:r>
    </w:p>
    <w:p>
      <w:pPr>
        <w:pStyle w:val="BookText"/>
      </w:pPr>
      <w:r>
        <w:rPr>
          <w:rFonts w:ascii="IRNazanin" w:hAnsi="IRNazanin" w:eastAsia="IRNazanin" w:cs="IRNazanin"/>
          <w:lang w:bidi="fa-IR"/>
          <w:color w:val="111111"/>
          <w:sz w:val="28"/>
          <w:szCs w:val="28"/>
          <w:rtl/>
        </w:rPr>
        <w:t xml:space="preserve">وزیری، اندازه: ۱۷/۵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سم [رایانه]</w:t>
      </w:r>
    </w:p>
    <w:p>
      <w:pPr>
        <w:pStyle w:val="Heading3"/>
      </w:pPr>
      <w:bookmarkStart w:id="1033" w:name="_Toc293"/>
      <w:r>
        <w:t>•بوستان سعدی (ترجمه) / شعر، ادبیات / ترکی</w:t>
      </w:r>
      <w:bookmarkEnd w:id="1033"/>
    </w:p>
    <w:p>
      <w:pPr>
        <w:pStyle w:val="BookText"/>
      </w:pPr>
      <w:r>
        <w:rPr>
          <w:rFonts w:ascii="Times New Roman" w:hAnsi="Times New Roman" w:eastAsia="Times New Roman" w:cs="Times New Roman"/>
          <w:lang w:val="en-US" w:bidi="en-US"/>
          <w:color w:val="111111"/>
          <w:sz w:val="28"/>
          <w:szCs w:val="28"/>
          <w:rtl/>
        </w:rPr>
        <w:t xml:space="preserve">būstān-e sa'dī (t.)</w:t>
      </w:r>
    </w:p>
    <w:p>
      <w:pPr>
        <w:pStyle w:val="BookText"/>
      </w:pPr>
      <w:r>
        <w:rPr>
          <w:rFonts w:ascii="IRNazanin" w:hAnsi="IRNazanin" w:eastAsia="IRNazanin" w:cs="IRNazanin"/>
          <w:lang w:bidi="fa-IR"/>
          <w:color w:val="111111"/>
          <w:sz w:val="28"/>
          <w:szCs w:val="28"/>
          <w:rtl/>
        </w:rPr>
        <w:t xml:space="preserve">وابسته به: بوستان سعدی، سعدی، مصلح بن عبدالله (-۶۹۱ق)</w:t>
      </w:r>
    </w:p>
    <w:p>
      <w:pPr>
        <w:pStyle w:val="BookText"/>
      </w:pPr>
      <w:r>
        <w:rPr>
          <w:rFonts w:ascii="IRNazanin" w:hAnsi="IRNazanin" w:eastAsia="IRNazanin" w:cs="IRNazanin"/>
          <w:lang w:bidi="fa-IR"/>
          <w:color w:val="111111"/>
          <w:sz w:val="28"/>
          <w:szCs w:val="28"/>
          <w:rtl/>
        </w:rPr>
        <w:t xml:space="preserve">ترجمه ترکی یکی از دانشمندان ترک.</w:t>
      </w:r>
    </w:p>
    <w:p>
      <w:pPr>
        <w:pStyle w:val="BookText"/>
      </w:pPr>
      <w:r>
        <w:rPr>
          <w:rFonts w:ascii="IRNazanin" w:hAnsi="IRNazanin" w:eastAsia="IRNazanin" w:cs="IRNazanin"/>
          <w:lang w:bidi="fa-IR"/>
          <w:color w:val="111111"/>
          <w:sz w:val="28"/>
          <w:szCs w:val="28"/>
          <w:rtl/>
        </w:rPr>
        <w:t xml:space="preserve">تهران؛ ملی؛ شماره نسخه: ۱۹۰۶۳</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اندازه: ۱۸/۲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۱۰/۸ سم [رایانه]</w:t>
      </w:r>
    </w:p>
    <w:p>
      <w:pPr>
        <w:pStyle w:val="Heading3"/>
      </w:pPr>
      <w:bookmarkStart w:id="1034" w:name="_Toc294"/>
      <w:r>
        <w:t>•بوستان سعدی (منتخب) / شعر / فارسی</w:t>
      </w:r>
      <w:bookmarkEnd w:id="1034"/>
    </w:p>
    <w:p>
      <w:pPr>
        <w:pStyle w:val="BookText"/>
      </w:pPr>
      <w:r>
        <w:rPr>
          <w:rFonts w:ascii="Times New Roman" w:hAnsi="Times New Roman" w:eastAsia="Times New Roman" w:cs="Times New Roman"/>
          <w:lang w:val="en-US" w:bidi="en-US"/>
          <w:color w:val="111111"/>
          <w:sz w:val="28"/>
          <w:szCs w:val="28"/>
          <w:rtl/>
        </w:rPr>
        <w:t xml:space="preserve">būstān-e sa'dī (mn.)</w:t>
      </w:r>
    </w:p>
    <w:p>
      <w:pPr>
        <w:pStyle w:val="BookText"/>
      </w:pPr>
      <w:r>
        <w:rPr>
          <w:rFonts w:ascii="IRNazanin" w:hAnsi="IRNazanin" w:eastAsia="IRNazanin" w:cs="IRNazanin"/>
          <w:lang w:bidi="fa-IR"/>
          <w:color w:val="111111"/>
          <w:sz w:val="28"/>
          <w:szCs w:val="28"/>
          <w:rtl/>
        </w:rPr>
        <w:t xml:space="preserve">ذوالقدر، خلیل، ق ۱۱ قمری</w:t>
      </w:r>
    </w:p>
    <w:p>
      <w:pPr>
        <w:pStyle w:val="BookText"/>
      </w:pPr>
      <w:r>
        <w:rPr>
          <w:rFonts w:ascii="Times New Roman" w:hAnsi="Times New Roman" w:eastAsia="Times New Roman" w:cs="Times New Roman"/>
          <w:lang w:val="en-US" w:bidi="en-US"/>
          <w:color w:val="111111"/>
          <w:sz w:val="28"/>
          <w:szCs w:val="28"/>
          <w:rtl/>
        </w:rPr>
        <w:t xml:space="preserve">Z0-l-qadr, Xalil - 17c)</w:t>
      </w:r>
    </w:p>
    <w:p>
      <w:pPr>
        <w:pStyle w:val="BookText"/>
      </w:pPr>
      <w:r>
        <w:rPr>
          <w:rFonts w:ascii="IRNazanin" w:hAnsi="IRNazanin" w:eastAsia="IRNazanin" w:cs="IRNazanin"/>
          <w:lang w:bidi="fa-IR"/>
          <w:color w:val="111111"/>
          <w:sz w:val="28"/>
          <w:szCs w:val="28"/>
          <w:rtl/>
        </w:rPr>
        <w:t xml:space="preserve">وابسته به: بوستان سعدی؛ سعدی، مصلح بن عبدالله (-۶۹۱ق)</w:t>
      </w:r>
    </w:p>
    <w:p>
      <w:pPr>
        <w:pStyle w:val="BookText"/>
      </w:pPr>
      <w:r>
        <w:rPr>
          <w:rFonts w:ascii="IRNazanin" w:hAnsi="IRNazanin" w:eastAsia="IRNazanin" w:cs="IRNazanin"/>
          <w:lang w:bidi="fa-IR"/>
          <w:color w:val="111111"/>
          <w:sz w:val="28"/>
          <w:szCs w:val="28"/>
          <w:rtl/>
        </w:rPr>
        <w:t xml:space="preserve">تهران؛ مجلس؛ شماره نسخه: ۸۹۴۸/۶۹</w:t>
      </w:r>
    </w:p>
    <w:p>
      <w:pPr>
        <w:pStyle w:val="BookText"/>
      </w:pPr>
      <w:r>
        <w:rPr>
          <w:rFonts w:ascii="IRNazanin" w:hAnsi="IRNazanin" w:eastAsia="IRNazanin" w:cs="IRNazanin"/>
          <w:lang w:bidi="fa-IR"/>
          <w:color w:val="111111"/>
          <w:sz w:val="28"/>
          <w:szCs w:val="28"/>
          <w:rtl/>
        </w:rPr>
        <w:t xml:space="preserve">آغاز: به نام خداوند جان آفرین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حکیم سخن در زبان آفرین / خداوند بخشنده دستگیر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کریم خطابخش پوزش پذیر؛ انجام: محال است گر سر برین در نهی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که باز آیدت دست حاجت تهی خط: نستعلیق شکسته، کاتب = مؤلف، تا: ۱۰۵۴ق، جا: احمد آباد گجرات؛ کاغذ: الوان آهار مهره، جلد: تیماج قهوه ای ضربی با ترنج و سرترنج، اندازه جدول: 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۲۳/۵، ۸گ (۳۵۶پ - ۳۶۳پ)، اندازه: ۲۶/۴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۱۴/۴ سم [ف: ۲۹/۱-۴۴۵]</w:t>
      </w:r>
    </w:p>
    <w:p>
      <w:pPr>
        <w:pStyle w:val="Heading3"/>
      </w:pPr>
      <w:bookmarkStart w:id="1035" w:name="_Toc295"/>
      <w:r>
        <w:t>•بوستان الصنايع = بساتين الخاقان / تراجم / فارسی</w:t>
      </w:r>
      <w:bookmarkEnd w:id="1035"/>
    </w:p>
    <w:p>
      <w:pPr>
        <w:pStyle w:val="BookText"/>
      </w:pPr>
      <w:r>
        <w:rPr>
          <w:rFonts w:ascii="Times New Roman" w:hAnsi="Times New Roman" w:eastAsia="Times New Roman" w:cs="Times New Roman"/>
          <w:lang w:val="en-US" w:bidi="en-US"/>
          <w:color w:val="111111"/>
          <w:sz w:val="28"/>
          <w:szCs w:val="28"/>
          <w:rtl/>
        </w:rPr>
        <w:t xml:space="preserve">būstān-os sanāye“ = basātīn-ol xāqān</w:t>
      </w:r>
    </w:p>
    <w:p>
      <w:pPr>
        <w:pStyle w:val="BookText"/>
      </w:pPr>
      <w:r>
        <w:rPr>
          <w:rFonts w:ascii="IRNazanin" w:hAnsi="IRNazanin" w:eastAsia="IRNazanin" w:cs="IRNazanin"/>
          <w:lang w:bidi="fa-IR"/>
          <w:color w:val="111111"/>
          <w:sz w:val="28"/>
          <w:szCs w:val="28"/>
          <w:rtl/>
        </w:rPr>
        <w:t xml:space="preserve">شهره قاجار، علیرضا بن فتحعلیشاه، ۱۴۱۸ق ۱۳ قمری</w:t>
      </w:r>
    </w:p>
    <w:p>
      <w:pPr>
        <w:pStyle w:val="BookText"/>
      </w:pPr>
      <w:r>
        <w:rPr>
          <w:rFonts w:ascii="Times New Roman" w:hAnsi="Times New Roman" w:eastAsia="Times New Roman" w:cs="Times New Roman"/>
          <w:lang w:val="en-US" w:bidi="en-US"/>
          <w:color w:val="111111"/>
          <w:sz w:val="28"/>
          <w:szCs w:val="28"/>
          <w:rtl/>
        </w:rPr>
        <w:t xml:space="preserve">šohre qājār, ‘alī-rezā ebn-e fath-‘alī-šāh (1804-190)</w:t>
      </w:r>
    </w:p>
    <w:p>
      <w:pPr>
        <w:pStyle w:val="BookText"/>
      </w:pPr>
      <w:r>
        <w:rPr>
          <w:rFonts w:ascii="IRNazanin" w:hAnsi="IRNazanin" w:eastAsia="IRNazanin" w:cs="IRNazanin"/>
          <w:lang w:bidi="fa-IR"/>
          <w:color w:val="111111"/>
          <w:sz w:val="28"/>
          <w:szCs w:val="28"/>
          <w:rtl/>
        </w:rPr>
        <w:t xml:space="preserve">بخشی از تذکره مفصل «بساتين الخاقانيه» است که در پنج بخش تأليف شده و مشتمل بر احوال و آثار شاعران قصیده سرا قدیم و جدید تا عصر مؤلف می باشد. عناوین هر یک از بخش های پنج گانه «بساتين الخاقانيه» چنین است: ۱. بستان العشاق، در ذکر غزل سرایان؛ ۲. بستان البدایع، در ذکر قطعه گویان؛ ۳. بستان الفضائل، در ذکر قصیده سرایان؛ ۴. بستان المعارف، در ذکر مثنوی سرایان؛ ۵. بستان الصنایع، در ذکر رباعی سرایان.</w:t>
      </w:r>
    </w:p>
    <w:p>
      <w:pPr>
        <w:pStyle w:val="BookText"/>
      </w:pPr>
      <w:r>
        <w:rPr>
          <w:rFonts w:ascii="IRNazanin" w:hAnsi="IRNazanin" w:eastAsia="IRNazanin" w:cs="IRNazanin"/>
          <w:lang w:bidi="fa-IR"/>
          <w:color w:val="111111"/>
          <w:sz w:val="28"/>
          <w:szCs w:val="28"/>
          <w:rtl/>
        </w:rPr>
        <w:t xml:space="preserve">در این بخش شرح حال یکصد و سی تن از قصیده سرایان قدیم و جدید به ترتیب حروف آغاز نام یا شهرت آنان آمده پس از آن قصاید آنان به ترتیب حروف قوافی نقل می شود.</w:t>
      </w:r>
    </w:p>
    <w:p>
      <w:pPr>
        <w:pStyle w:val="BookText"/>
      </w:pPr>
      <w:r>
        <w:rPr>
          <w:rFonts w:ascii="IRNazanin" w:hAnsi="IRNazanin" w:eastAsia="IRNazanin" w:cs="IRNazanin"/>
          <w:lang w:bidi="fa-IR"/>
          <w:color w:val="111111"/>
          <w:sz w:val="28"/>
          <w:szCs w:val="28"/>
          <w:rtl/>
        </w:rPr>
        <w:t xml:space="preserve">آغاز: بسمله، سخن آفرینی را سپاس درخور است که از آفرینش یک سخن بدو حرف چهارده دفتر ارض و سما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99" w:name="pg20363_209277"/>
    <w:bookmarkEnd w:id="99"/>
    <w:p>
      <w:pPr>
        <w:pStyle w:val="BookText"/>
      </w:pPr>
      <w:r>
        <w:rPr>
          <w:rFonts w:ascii="IRNazanin" w:hAnsi="IRNazanin" w:eastAsia="IRNazanin" w:cs="IRNazanin"/>
          <w:lang w:bidi="fa-IR"/>
          <w:color w:val="111111"/>
          <w:sz w:val="28"/>
          <w:szCs w:val="28"/>
          <w:rtl/>
        </w:rPr>
        <w:t xml:space="preserve">انجام: در هستی خویش گر نمانی جزوی</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خود را همه جا نظر کنی کل کردی</w:t>
      </w:r>
    </w:p>
    <w:p>
      <w:pPr>
        <w:pStyle w:val="BookText"/>
      </w:pPr>
      <w:r>
        <w:rPr>
          <w:rFonts w:ascii="IRNazanin" w:hAnsi="IRNazanin" w:eastAsia="IRNazanin" w:cs="IRNazanin"/>
          <w:lang w:bidi="fa-IR"/>
          <w:color w:val="111111"/>
          <w:sz w:val="28"/>
          <w:szCs w:val="28"/>
          <w:rtl/>
        </w:rPr>
        <w:t xml:space="preserve">۱. تهران؛ ملی؛ شماره نسخه: ۵۹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بد، بی کا، تا: دوشنبه ربيع الثانی ۱۲۵۰ق، جا؛ تهران؛آخر نسخه :«تمام شد جلد بوستان السنایع (کذا)جلد دوم بساطین (كذا) الخاقان بعون الله الملك المنان در روز دوشنبه دوازدهم شهر ربيع الثانی سنه ۱۲۵۰»، با سرلوح؛ کاغذ: دولت آبادی، جلد: روغنی، نقاشی گل و بوته، مجدول زر، بوم سیاه، مقوایی، ۲۱۸گ، ۱۲ سطر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۲۹/۵سم [ف: ۱-۵۰]</w:t>
      </w:r>
    </w:p>
    <w:p>
      <w:pPr>
        <w:pStyle w:val="BookText"/>
      </w:pPr>
      <w:r>
        <w:rPr>
          <w:rFonts w:ascii="IRNazanin" w:hAnsi="IRNazanin" w:eastAsia="IRNazanin" w:cs="IRNazanin"/>
          <w:lang w:bidi="fa-IR"/>
          <w:color w:val="111111"/>
          <w:sz w:val="28"/>
          <w:szCs w:val="28"/>
          <w:rtl/>
        </w:rPr>
        <w:t xml:space="preserve">تهران، دانشگاه؛ شماره نسخه: ۱۸۵۱-ف</w:t>
      </w:r>
    </w:p>
    <w:p>
      <w:pPr>
        <w:pStyle w:val="BookText"/>
      </w:pPr>
      <w:r>
        <w:rPr>
          <w:rFonts w:ascii="IRNazanin" w:hAnsi="IRNazanin" w:eastAsia="IRNazanin" w:cs="IRNazanin"/>
          <w:lang w:bidi="fa-IR"/>
          <w:color w:val="111111"/>
          <w:sz w:val="28"/>
          <w:szCs w:val="28"/>
          <w:rtl/>
        </w:rPr>
        <w:t xml:space="preserve">نسخه اصل: همان نسخه بالا [فیلمها ف: ۱-۲۳]</w:t>
      </w:r>
    </w:p>
    <w:p>
      <w:pPr>
        <w:pStyle w:val="BookText"/>
      </w:pPr>
      <w:r>
        <w:rPr>
          <w:rFonts w:ascii="IRNazanin" w:hAnsi="IRNazanin" w:eastAsia="IRNazanin" w:cs="IRNazanin"/>
          <w:lang w:bidi="fa-IR"/>
          <w:color w:val="111111"/>
          <w:sz w:val="28"/>
          <w:szCs w:val="28"/>
          <w:rtl/>
        </w:rPr>
        <w:t xml:space="preserve">۲. مشهد؛ میبدی؛ شماره نسخه: ۴۹۸</w:t>
      </w:r>
    </w:p>
    <w:p>
      <w:pPr>
        <w:pStyle w:val="BookText"/>
      </w:pPr>
      <w:r>
        <w:rPr>
          <w:rFonts w:ascii="IRNazanin" w:hAnsi="IRNazanin" w:eastAsia="IRNazanin" w:cs="IRNazanin"/>
          <w:lang w:bidi="fa-IR"/>
          <w:color w:val="111111"/>
          <w:sz w:val="28"/>
          <w:szCs w:val="28"/>
          <w:rtl/>
        </w:rPr>
        <w:t xml:space="preserve">آغاز: باب الألف، افسر -نام شریفش محمدرضا میرزا بطن و صلية مهین برادر و سرور حقیر است</w:t>
      </w:r>
    </w:p>
    <w:p>
      <w:pPr>
        <w:pStyle w:val="BookText"/>
      </w:pPr>
      <w:r>
        <w:rPr>
          <w:rFonts w:ascii="IRNazanin" w:hAnsi="IRNazanin" w:eastAsia="IRNazanin" w:cs="IRNazanin"/>
          <w:lang w:bidi="fa-IR"/>
          <w:color w:val="111111"/>
          <w:sz w:val="28"/>
          <w:szCs w:val="28"/>
          <w:rtl/>
        </w:rPr>
        <w:t xml:space="preserve">خط: نستعلیق، بی کا، بی تا؛ از عصر مؤلف؛ جلد: تیماج قهوه ای، ۵۶۰گ، مختلف السطر،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۲-۱۶۵]</w:t>
      </w:r>
    </w:p>
    <w:p>
      <w:pPr>
        <w:pStyle w:val="BookText"/>
      </w:pPr>
      <w:r>
        <w:rPr>
          <w:rFonts w:ascii="IRNazanin" w:hAnsi="IRNazanin" w:eastAsia="IRNazanin" w:cs="IRNazanin"/>
          <w:lang w:bidi="fa-IR"/>
          <w:color w:val="111111"/>
          <w:sz w:val="28"/>
          <w:szCs w:val="28"/>
          <w:rtl/>
        </w:rPr>
        <w:t xml:space="preserve">← بوستان قاسمی ← نیستان</w:t>
      </w:r>
    </w:p>
    <w:p>
      <w:pPr>
        <w:pStyle w:val="Heading3"/>
      </w:pPr>
      <w:bookmarkStart w:id="1036" w:name="_Toc296"/>
      <w:r>
        <w:t>•بوسه عذرا = کشف الاسرار و خسف الاشرار = بت رویین / داستان / فارسی</w:t>
      </w:r>
      <w:bookmarkEnd w:id="1036"/>
    </w:p>
    <w:p>
      <w:pPr>
        <w:pStyle w:val="BookText"/>
      </w:pPr>
      <w:r>
        <w:rPr>
          <w:rFonts w:ascii="Times New Roman" w:hAnsi="Times New Roman" w:eastAsia="Times New Roman" w:cs="Times New Roman"/>
          <w:lang w:val="en-US" w:bidi="en-US"/>
          <w:color w:val="111111"/>
          <w:sz w:val="28"/>
          <w:szCs w:val="28"/>
          <w:rtl/>
        </w:rPr>
        <w:t xml:space="preserve">būse-ye ‘azrā = kašf-ol asrār va xasf-ol ašrār = bot-e rūyīn</w:t>
      </w:r>
    </w:p>
    <w:p>
      <w:pPr>
        <w:pStyle w:val="BookText"/>
      </w:pPr>
      <w:r>
        <w:rPr>
          <w:rFonts w:ascii="IRNazanin" w:hAnsi="IRNazanin" w:eastAsia="IRNazanin" w:cs="IRNazanin"/>
          <w:lang w:bidi="fa-IR"/>
          <w:color w:val="111111"/>
          <w:sz w:val="28"/>
          <w:szCs w:val="28"/>
          <w:rtl/>
        </w:rPr>
        <w:t xml:space="preserve">حائری صدرالمعالی، حسین بن رضا، - ۱۳۳۶ قمری</w:t>
      </w:r>
    </w:p>
    <w:p>
      <w:pPr>
        <w:pStyle w:val="BookText"/>
      </w:pPr>
      <w:r>
        <w:rPr>
          <w:rFonts w:ascii="Times New Roman" w:hAnsi="Times New Roman" w:eastAsia="Times New Roman" w:cs="Times New Roman"/>
          <w:lang w:val="en-US" w:bidi="en-US"/>
          <w:color w:val="111111"/>
          <w:sz w:val="28"/>
          <w:szCs w:val="28"/>
          <w:rtl/>
        </w:rPr>
        <w:t xml:space="preserve">hā’erī sadr-ol-ma‘ālī, hoseyn ebn-e rezā (- 1918)</w:t>
      </w:r>
    </w:p>
    <w:p>
      <w:pPr>
        <w:pStyle w:val="BookText"/>
      </w:pPr>
      <w:r>
        <w:rPr>
          <w:rFonts w:ascii="IRNazanin" w:hAnsi="IRNazanin" w:eastAsia="IRNazanin" w:cs="IRNazanin"/>
          <w:lang w:bidi="fa-IR"/>
          <w:color w:val="111111"/>
          <w:sz w:val="28"/>
          <w:szCs w:val="28"/>
          <w:rtl/>
        </w:rPr>
        <w:t xml:space="preserve">اهداء به: ناصرالدین شاه قاجار (۱۲۶۴-۱۳۱۳ ق) و میرزا على اصغر امین السلطان صدر اعظم (۱۲۷۵-۱۳۲۵)</w:t>
      </w:r>
    </w:p>
    <w:p>
      <w:pPr>
        <w:pStyle w:val="BookText"/>
      </w:pPr>
      <w:r>
        <w:rPr>
          <w:rFonts w:ascii="IRNazanin" w:hAnsi="IRNazanin" w:eastAsia="IRNazanin" w:cs="IRNazanin"/>
          <w:lang w:bidi="fa-IR"/>
          <w:color w:val="111111"/>
          <w:sz w:val="28"/>
          <w:szCs w:val="28"/>
          <w:rtl/>
        </w:rPr>
        <w:t xml:space="preserve">این داستان (رمان) به قلم دانشمند انگلیسی «مسيو رنلدز» می باشد، زندگانی اشرافی و سیاسی بعضی از مناطق اروپا تشریح شده، و در هند به واسطه اداره روزنامه «امپریال پاپیه» به هندی ترجمه شده و از آن لغت به فارسی برگردانده شده است. در دو جلد می باشد، اول در پنجاه و سه باب، دوم در پنجاه و سه فصل. مترجم در ابتدا می نویسد: «و از صنف نگارنده های مشار اليهم است مسیور نلدز انگلیسی ... و از مآثر انيقه و مسطورات بديعه او یکی حکایتی است که به عنوان بت روئین یا بوسه عذرا نگاشته است. این حکایت ... در هندوستان در اداره روزنامه امپریال پاپیه که متعلق است به سید رجبعلی شاه از انگلیسی به هندی ترجمه شده داعی دولت ابد آیت قاهره سید حسین شیرازی مترجم روزنامجات و کتب هندوستان که به شرف عضویت دارالترجمه خاصه همایونی مفتخر است آن را از هندی به فارسی ترجمه کرد تا تقدیم آستان ... ناصرالدین شاه قاجار خلدالله ملکه و دولته نماید. امید که نزدیکان آن بارگاه ... خاصه شخص اول ایشان ... میرزا علی اصغر خان امین السلطان وزیر اعظم مدظله العالی به عین رضا و عنایت در آن بیند. چه مالکان کرامت و مردمان خیر خواه نیک بینند. این کتاب چهار جلد است و جلد اول آن مشتمل بر بیست و هفت باب ..»</w:t>
      </w:r>
    </w:p>
    <w:p>
      <w:pPr>
        <w:pStyle w:val="BookText"/>
      </w:pPr>
      <w:r>
        <w:rPr>
          <w:rFonts w:ascii="IRNazanin" w:hAnsi="IRNazanin" w:eastAsia="IRNazanin" w:cs="IRNazanin"/>
          <w:lang w:bidi="fa-IR"/>
          <w:color w:val="111111"/>
          <w:sz w:val="28"/>
          <w:szCs w:val="28"/>
          <w:rtl/>
        </w:rPr>
        <w:t xml:space="preserve">آغاز: بعد از ادای ستایش و ثنا و عرض نیایش و دعا محرر این سطور معروض ... باب اول در جنگل، داستان ما از ماه ژوئیه سال هزار و چهارصد و سی و پنج.</w:t>
      </w:r>
    </w:p>
    <w:p>
      <w:pPr>
        <w:pStyle w:val="BookText"/>
      </w:pPr>
      <w:r>
        <w:rPr>
          <w:rFonts w:ascii="IRNazanin" w:hAnsi="IRNazanin" w:eastAsia="IRNazanin" w:cs="IRNazanin"/>
          <w:lang w:bidi="fa-IR"/>
          <w:color w:val="111111"/>
          <w:sz w:val="28"/>
          <w:szCs w:val="28"/>
          <w:rtl/>
        </w:rPr>
        <w:t xml:space="preserve">چاپ: و به نام «بوسه عذرا» مکرر در ایران چاپ شده است</w:t>
      </w:r>
    </w:p>
    <w:p>
      <w:pPr>
        <w:pStyle w:val="BookText"/>
      </w:pPr>
      <w:r>
        <w:rPr>
          <w:rFonts w:ascii="IRNazanin" w:hAnsi="IRNazanin" w:eastAsia="IRNazanin" w:cs="IRNazanin"/>
          <w:lang w:bidi="fa-IR"/>
          <w:color w:val="111111"/>
          <w:sz w:val="28"/>
          <w:szCs w:val="28"/>
          <w:rtl/>
        </w:rPr>
        <w:t xml:space="preserve">[نسخه های منزوی ۳۷۳۷/۵ ؛ مشار فارسی ۷۹۸/۱ ؛ فهرستواره منزوی ۴۵۹/۱ ]</w:t>
      </w:r>
    </w:p>
    <w:p>
      <w:pPr>
        <w:pStyle w:val="BookText"/>
      </w:pPr>
      <w:r>
        <w:rPr>
          <w:rFonts w:ascii="IRNazanin" w:hAnsi="IRNazanin" w:eastAsia="IRNazanin" w:cs="IRNazanin"/>
          <w:lang w:bidi="fa-IR"/>
          <w:color w:val="111111"/>
          <w:sz w:val="28"/>
          <w:szCs w:val="28"/>
          <w:rtl/>
        </w:rPr>
        <w:t xml:space="preserve">۱. تهران: مجلس؛ شماره نسخه: ۱۳۱۸۹</w:t>
      </w:r>
    </w:p>
    <w:p>
      <w:pPr>
        <w:pStyle w:val="BookText"/>
      </w:pPr>
      <w:r>
        <w:rPr>
          <w:rFonts w:ascii="IRNazanin" w:hAnsi="IRNazanin" w:eastAsia="IRNazanin" w:cs="IRNazanin"/>
          <w:lang w:bidi="fa-IR"/>
          <w:color w:val="111111"/>
          <w:sz w:val="28"/>
          <w:szCs w:val="28"/>
          <w:rtl/>
        </w:rPr>
        <w:t xml:space="preserve">آغاز: برابر؛ انجام: كلوريا و انجيلا هم مهمیز بر مرکب زدند و در همین حال باز كلوريا آهی از دل بر کشیده گفت او از آن من است مال من است مراست</w:t>
      </w:r>
    </w:p>
    <w:p>
      <w:pPr>
        <w:pStyle w:val="BookText"/>
      </w:pPr>
      <w:r>
        <w:rPr>
          <w:rFonts w:ascii="IRNazanin" w:hAnsi="IRNazanin" w:eastAsia="IRNazanin" w:cs="IRNazanin"/>
          <w:lang w:bidi="fa-IR"/>
          <w:color w:val="111111"/>
          <w:sz w:val="28"/>
          <w:szCs w:val="28"/>
          <w:rtl/>
        </w:rPr>
        <w:t xml:space="preserve">جلد اول و شامل پنجاه و سه باب است. در ابتدای آن مقدمه ای به قلم مترجم در چهار صفحه و پس از آن فهرست مطالب جلد اول؛ خط: نستعلیق، کاتب = مؤلف، تا: شوال ۱۳۰۷ق؛ با سرلوح زیبای مرصع مذهب با نقش گل و بوته، مجدول مذهب مرصع محرر، دارای چنین تصویر؛ جلد: تیماج مشکی، شمسه مجدول مذهب،</w:t>
      </w:r>
    </w:p>
    <w:p>
      <w:pPr>
        <w:pStyle w:val="BookText"/>
      </w:pPr>
      <w:r>
        <w:rPr>
          <w:rFonts w:ascii="IRNazanin" w:hAnsi="IRNazanin" w:eastAsia="IRNazanin" w:cs="IRNazanin"/>
          <w:lang w:bidi="fa-IR"/>
          <w:color w:val="111111"/>
          <w:sz w:val="28"/>
          <w:szCs w:val="28"/>
          <w:rtl/>
        </w:rPr>
        <w:t xml:space="preserve">۲۶۶ گ، ۱۹ سطر چهار ستونی، اندازه: ۳۴←۲۱سم [ف: ۳۶-۲۷۶]</w:t>
      </w:r>
    </w:p>
    <w:p>
      <w:pPr>
        <w:pStyle w:val="BookText"/>
      </w:pPr>
      <w:r>
        <w:rPr>
          <w:rFonts w:ascii="IRNazanin" w:hAnsi="IRNazanin" w:eastAsia="IRNazanin" w:cs="IRNazanin"/>
          <w:lang w:bidi="fa-IR"/>
          <w:color w:val="111111"/>
          <w:sz w:val="28"/>
          <w:szCs w:val="28"/>
          <w:rtl/>
        </w:rPr>
        <w:t xml:space="preserve">۲. قم؛ مرعشی؛ شماره نسخه: ۶۰۱۶</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جلد اول و مشتمل بر پنجاه و سه باب؛ خط: نستعلیق زیبا، كان محمد بن حاجی محمد قلی قزوینی آشوری، تا: ذیحجه ۱۳۱۱ق؛ مجدول، با سر لوحه های زیبا؛ جلد: تیماج مشکی، ۲۴۵گ، ۱۸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۳۴/۵ سم [ف: ۱۶-۱۵]</w:t>
      </w:r>
    </w:p>
    <w:p>
      <w:pPr>
        <w:pStyle w:val="BookText"/>
      </w:pPr>
      <w:r>
        <w:rPr>
          <w:rFonts w:ascii="IRNazanin" w:hAnsi="IRNazanin" w:eastAsia="IRNazanin" w:cs="IRNazanin"/>
          <w:lang w:bidi="fa-IR"/>
          <w:color w:val="111111"/>
          <w:sz w:val="28"/>
          <w:szCs w:val="28"/>
          <w:rtl/>
        </w:rPr>
        <w:t xml:space="preserve">٣. قم؛ مرعشی؛ شماره نسخه: ۶۰۱۷</w:t>
      </w:r>
    </w:p>
    <w:p>
      <w:pPr>
        <w:pStyle w:val="BookText"/>
      </w:pPr>
      <w:r>
        <w:rPr>
          <w:rFonts w:ascii="IRNazanin" w:hAnsi="IRNazanin" w:eastAsia="IRNazanin" w:cs="IRNazanin"/>
          <w:lang w:bidi="fa-IR"/>
          <w:color w:val="111111"/>
          <w:sz w:val="28"/>
          <w:szCs w:val="28"/>
          <w:rtl/>
        </w:rPr>
        <w:t xml:space="preserve">جلد دوم دارای پنجاه و سه فصل؛ خط: نستعلیق زیبا، کا: محمد حسین ادیب اصفهانی ملقب به ذکاء الملک، تا: ذیحجه ۱۳۱۲ق؛ مجدول، دارای سرلوح زیبا؛ جلد: تیماج مشکی، ۲۵۱گ، ۱۸ سطر، اندازه: ۲۱</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۳۴/۵ سم [ف: ۱۶-۱۶]</w:t>
      </w:r>
    </w:p>
    <w:p>
      <w:pPr>
        <w:pStyle w:val="BookText"/>
      </w:pPr>
      <w:r>
        <w:rPr>
          <w:rFonts w:ascii="IRNazanin" w:hAnsi="IRNazanin" w:eastAsia="IRNazanin" w:cs="IRNazanin"/>
          <w:lang w:bidi="fa-IR"/>
          <w:color w:val="111111"/>
          <w:sz w:val="28"/>
          <w:szCs w:val="28"/>
          <w:rtl/>
        </w:rPr>
        <w:t xml:space="preserve">۴. قم؛ مرکز احیاء؛ شماره نسخه: ۷۹۱</w:t>
      </w:r>
    </w:p>
    <w:p>
      <w:pPr>
        <w:pStyle w:val="BookText"/>
      </w:pPr>
      <w:r>
        <w:rPr>
          <w:rFonts w:ascii="IRNazanin" w:hAnsi="IRNazanin" w:eastAsia="IRNazanin" w:cs="IRNazanin"/>
          <w:lang w:bidi="fa-IR"/>
          <w:color w:val="111111"/>
          <w:sz w:val="28"/>
          <w:szCs w:val="28"/>
          <w:rtl/>
        </w:rPr>
        <w:t xml:space="preserve">آغاز: جلد دوم: فصل اول در باب مهمانخانه، چون خسرو خاور یعنی آفتاب ضیا کستر آهنگ باختر کرده جلد دوم؛ خط: نستعلیق خوب، بی کا، تا: ۶ ربيع الأول ۱۳۱۵ق؛ مجدول، دارای سر لوح رنگین، چند تصویر قلمی از نسخه چاپی اصل انگلیسی، روی برگ اول کتاب را به آقای روحی بتاريخ سوم آذر ۱۳۱۲ تقدیم داشته اند؛ جلد: تیماج مشکی ضربی نفیس، ۲۵۳گ، ۱۹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۲-۴۴۹]</w:t>
      </w:r>
    </w:p>
    <w:p>
      <w:pPr>
        <w:pStyle w:val="BookText"/>
      </w:pPr>
      <w:r>
        <w:rPr>
          <w:rFonts w:ascii="IRNazanin" w:hAnsi="IRNazanin" w:eastAsia="IRNazanin" w:cs="IRNazanin"/>
          <w:lang w:bidi="fa-IR"/>
          <w:color w:val="111111"/>
          <w:sz w:val="28"/>
          <w:szCs w:val="28"/>
          <w:rtl/>
        </w:rPr>
        <w:t xml:space="preserve">۵. تهران؛ مجلس؛ شماره نسخه: ۱۳۱۹۰</w:t>
      </w:r>
    </w:p>
    <w:p>
      <w:pPr>
        <w:pStyle w:val="BookText"/>
      </w:pPr>
      <w:r>
        <w:rPr>
          <w:rFonts w:ascii="IRNazanin" w:hAnsi="IRNazanin" w:eastAsia="IRNazanin" w:cs="IRNazanin"/>
          <w:lang w:bidi="fa-IR"/>
          <w:color w:val="111111"/>
          <w:sz w:val="28"/>
          <w:szCs w:val="28"/>
          <w:rtl/>
        </w:rPr>
        <w:t xml:space="preserve">آغاز: فصل اول در باب مهمانخانه، چون خسرو خاور یعنی آفتاب ضیا گستر آهنگ باختر کرده در تپه های مغربی میل افول نمود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00" w:name="pg20363_209278"/>
    <w:bookmarkEnd w:id="100"/>
    <w:p>
      <w:pPr>
        <w:pStyle w:val="BookText"/>
      </w:pPr>
      <w:r>
        <w:rPr>
          <w:rFonts w:ascii="IRNazanin" w:hAnsi="IRNazanin" w:eastAsia="IRNazanin" w:cs="IRNazanin"/>
          <w:lang w:bidi="fa-IR"/>
          <w:color w:val="111111"/>
          <w:sz w:val="28"/>
          <w:szCs w:val="28"/>
          <w:rtl/>
        </w:rPr>
        <w:t xml:space="preserve">سواران نیز به مهمانخانه؛ انجام: كتات تمام شد و مشک ناب او را ختام گشت گوینده لب بست و خاموش نشست. أبعد سلیمی</w:t>
      </w:r>
    </w:p>
    <w:p>
      <w:pPr>
        <w:pStyle w:val="BookText"/>
      </w:pPr>
      <w:r>
        <w:rPr>
          <w:rFonts w:ascii="IRNazanin" w:hAnsi="IRNazanin" w:eastAsia="IRNazanin" w:cs="IRNazanin"/>
          <w:lang w:bidi="fa-IR"/>
          <w:color w:val="111111"/>
          <w:sz w:val="28"/>
          <w:szCs w:val="28"/>
          <w:rtl/>
        </w:rPr>
        <w:t xml:space="preserve">مطلب و مرام***و غیر هواها لوعة و غرام خط: نستعلیق زیبا، بی کا، بی تا، در پایان نسخه ابراهیم نوری اظهار نظر نموده که این نسخه به خط میرزا رضای کلهر است و به سرعت کتابت نموده، با سرلوح مزدوج مذهب مرصع با گل های الوان، دو صفحه اول طلااندازی دندان موشی و گل های مذهب، مجدول مذهب مرصع محرر، دارای چند تصویر؛ جلد: تیماج مشکی شمسه مجدول مذهب، ۲۵۸ گ، ۱۸ سطر،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۳۶-۲۷۶]</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دانشگاه؛ شماره نسخه: ۱۰۸۶۷/۱۵</w:t>
      </w:r>
    </w:p>
    <w:p>
      <w:pPr>
        <w:pStyle w:val="BookText"/>
      </w:pPr>
      <w:r>
        <w:rPr>
          <w:rFonts w:ascii="IRNazanin" w:hAnsi="IRNazanin" w:eastAsia="IRNazanin" w:cs="IRNazanin"/>
          <w:lang w:bidi="fa-IR"/>
          <w:color w:val="111111"/>
          <w:sz w:val="28"/>
          <w:szCs w:val="28"/>
          <w:rtl/>
        </w:rPr>
        <w:t xml:space="preserve">آغاز: بعد از ادای ستایش و ثنا بر بلغای سخن سرا که جمال قصص و روایات را به زیور مضامین رنگین و عبارات شیرین آرایش می دهند</w:t>
      </w:r>
    </w:p>
    <w:p>
      <w:pPr>
        <w:pStyle w:val="BookText"/>
      </w:pPr>
      <w:r>
        <w:rPr>
          <w:rFonts w:ascii="IRNazanin" w:hAnsi="IRNazanin" w:eastAsia="IRNazanin" w:cs="IRNazanin"/>
          <w:lang w:bidi="fa-IR"/>
          <w:color w:val="111111"/>
          <w:sz w:val="28"/>
          <w:szCs w:val="28"/>
          <w:rtl/>
        </w:rPr>
        <w:t xml:space="preserve">خط: نستعلیق شکسته، بی کا، بی تا، جلد: مقوا، ۲۴گ، مختلف السطر،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۳۶/۵سم [ف: ۲۰-۴۴۳]</w:t>
      </w:r>
    </w:p>
    <w:p>
      <w:pPr>
        <w:pStyle w:val="BookText"/>
      </w:pPr>
      <w:r>
        <w:rPr>
          <w:rFonts w:ascii="IRNazanin" w:hAnsi="IRNazanin" w:eastAsia="IRNazanin" w:cs="IRNazanin"/>
          <w:lang w:bidi="fa-IR"/>
          <w:color w:val="111111"/>
          <w:sz w:val="28"/>
          <w:szCs w:val="28"/>
          <w:rtl/>
        </w:rPr>
        <w:t xml:space="preserve">۷. قم؛ مرعشی؛ شماره نسخه: ۷۹۷۳</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زیبا، بی کا، بی تا؛ مجدول، دارای سرلوح؛ جلد: تیماج مشکی، ۲۹۳گ، ۱۹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۳۴سم [ف: ۲۰-۳۰۰]</w:t>
      </w:r>
    </w:p>
    <w:p>
      <w:pPr>
        <w:pStyle w:val="Heading3"/>
      </w:pPr>
      <w:bookmarkStart w:id="1037" w:name="_Toc297"/>
      <w:r>
        <w:t>•بو کالیسیس / متفرقه / عربی</w:t>
      </w:r>
      <w:bookmarkEnd w:id="1037"/>
    </w:p>
    <w:p>
      <w:pPr>
        <w:pStyle w:val="BookText"/>
      </w:pPr>
      <w:r>
        <w:rPr>
          <w:rFonts w:ascii="Times New Roman" w:hAnsi="Times New Roman" w:eastAsia="Times New Roman" w:cs="Times New Roman"/>
          <w:lang w:val="en-US" w:bidi="en-US"/>
          <w:color w:val="111111"/>
          <w:sz w:val="28"/>
          <w:szCs w:val="28"/>
          <w:rtl/>
        </w:rPr>
        <w:t xml:space="preserve">būkālīsīs</w:t>
      </w:r>
    </w:p>
    <w:p>
      <w:pPr>
        <w:pStyle w:val="BookText"/>
      </w:pPr>
      <w:r>
        <w:rPr>
          <w:rFonts w:ascii="IRNazanin" w:hAnsi="IRNazanin" w:eastAsia="IRNazanin" w:cs="IRNazanin"/>
          <w:lang w:bidi="fa-IR"/>
          <w:color w:val="111111"/>
          <w:sz w:val="28"/>
          <w:szCs w:val="28"/>
          <w:rtl/>
        </w:rPr>
        <w:t xml:space="preserve">يوحنا، ق ۱ میلادی</w:t>
      </w:r>
    </w:p>
    <w:p>
      <w:pPr>
        <w:pStyle w:val="BookText"/>
      </w:pPr>
      <w:r>
        <w:rPr>
          <w:rFonts w:ascii="Times New Roman" w:hAnsi="Times New Roman" w:eastAsia="Times New Roman" w:cs="Times New Roman"/>
          <w:lang w:val="en-US" w:bidi="en-US"/>
          <w:color w:val="111111"/>
          <w:sz w:val="28"/>
          <w:szCs w:val="28"/>
          <w:rtl/>
        </w:rPr>
        <w:t xml:space="preserve">yūhannā (- 1c)</w:t>
      </w:r>
    </w:p>
    <w:p>
      <w:pPr>
        <w:pStyle w:val="BookText"/>
      </w:pPr>
      <w:r>
        <w:rPr>
          <w:rFonts w:ascii="IRNazanin" w:hAnsi="IRNazanin" w:eastAsia="IRNazanin" w:cs="IRNazanin"/>
          <w:lang w:bidi="fa-IR"/>
          <w:color w:val="111111"/>
          <w:sz w:val="28"/>
          <w:szCs w:val="28"/>
          <w:rtl/>
        </w:rPr>
        <w:t xml:space="preserve">مقاله ای از یکی از حواریان حضرت عیسی (عليه السلام) درباره وقایع آینده است که از مطبوعات فرنگ نقل شده است.</w:t>
      </w:r>
    </w:p>
    <w:p>
      <w:pPr>
        <w:pStyle w:val="BookText"/>
      </w:pPr>
      <w:r>
        <w:rPr>
          <w:rFonts w:ascii="IRNazanin" w:hAnsi="IRNazanin" w:eastAsia="IRNazanin" w:cs="IRNazanin"/>
          <w:lang w:bidi="fa-IR"/>
          <w:color w:val="111111"/>
          <w:sz w:val="28"/>
          <w:szCs w:val="28"/>
          <w:rtl/>
        </w:rPr>
        <w:t xml:space="preserve">قم؛ مسجد اعظم؛ شماره نسخه: ۱۴۶/۵</w:t>
      </w:r>
    </w:p>
    <w:p>
      <w:pPr>
        <w:pStyle w:val="BookText"/>
      </w:pPr>
      <w:r>
        <w:rPr>
          <w:rFonts w:ascii="IRNazanin" w:hAnsi="IRNazanin" w:eastAsia="IRNazanin" w:cs="IRNazanin"/>
          <w:lang w:bidi="fa-IR"/>
          <w:color w:val="111111"/>
          <w:sz w:val="28"/>
          <w:szCs w:val="28"/>
          <w:rtl/>
        </w:rPr>
        <w:t xml:space="preserve">آغاز: جليان يسوع المسيح الذي اعطاء الله ليعلم عبيده مالذي يحب ان يكون سريعا اوسمه وارسله على يدي ملکه لعبده يوحنا الذي شهد بكلمة الله؛ انجام: هذه النبوة يسقط الله نصيبه من سفر الحياة ومن المدينة المقدسة ومن المكتوب في هذا السفر يقول الشاهد بهذه نعم انی آتی سریعا تعالی یا رب يسوع نعمه ربنا يسوع المسيح معكم جميعكم امین</w:t>
      </w:r>
    </w:p>
    <w:p>
      <w:pPr>
        <w:pStyle w:val="BookText"/>
      </w:pPr>
      <w:r>
        <w:rPr>
          <w:rFonts w:ascii="IRNazanin" w:hAnsi="IRNazanin" w:eastAsia="IRNazanin" w:cs="IRNazanin"/>
          <w:lang w:bidi="fa-IR"/>
          <w:color w:val="111111"/>
          <w:sz w:val="28"/>
          <w:szCs w:val="28"/>
          <w:rtl/>
        </w:rPr>
        <w:t xml:space="preserve">خط: نستعلیق، بی کا، بی تا؛ فائده ای در فهرست تورات و ملحقات آن در ص ۶۸؛ جلد: تیماج قهوه ای، ۶گ، ۲۶ سطر،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آف مخ: ۱-۲۸۱]</w:t>
      </w:r>
    </w:p>
    <w:p>
      <w:pPr>
        <w:pStyle w:val="BookText"/>
      </w:pPr>
      <w:r>
        <w:rPr>
          <w:rFonts w:ascii="IRNazanin" w:hAnsi="IRNazanin" w:eastAsia="IRNazanin" w:cs="IRNazanin"/>
          <w:lang w:bidi="fa-IR"/>
          <w:color w:val="111111"/>
          <w:sz w:val="28"/>
          <w:szCs w:val="28"/>
          <w:rtl/>
        </w:rPr>
        <w:t xml:space="preserve">←بول ← پاسخ طوسی درباره سخن حنین و ابن سینا درباره نضج و بول</w:t>
      </w:r>
    </w:p>
    <w:p>
      <w:pPr>
        <w:pStyle w:val="BookText"/>
      </w:pPr>
      <w:r>
        <w:rPr>
          <w:rFonts w:ascii="IRNazanin" w:hAnsi="IRNazanin" w:eastAsia="IRNazanin" w:cs="IRNazanin"/>
          <w:lang w:bidi="fa-IR"/>
          <w:color w:val="111111"/>
          <w:sz w:val="28"/>
          <w:szCs w:val="28"/>
          <w:rtl/>
        </w:rPr>
        <w:t xml:space="preserve">← البول ← المسائل</w:t>
      </w:r>
    </w:p>
    <w:p>
      <w:pPr>
        <w:pStyle w:val="BookText"/>
      </w:pPr>
      <w:r>
        <w:rPr>
          <w:rFonts w:ascii="IRNazanin" w:hAnsi="IRNazanin" w:eastAsia="IRNazanin" w:cs="IRNazanin"/>
          <w:lang w:bidi="fa-IR"/>
          <w:color w:val="111111"/>
          <w:sz w:val="28"/>
          <w:szCs w:val="28"/>
          <w:rtl/>
        </w:rPr>
        <w:t xml:space="preserve">← البول← تفسیر کتاب البول</w:t>
      </w:r>
    </w:p>
    <w:p>
      <w:pPr>
        <w:pStyle w:val="BookText"/>
      </w:pPr>
      <w:r>
        <w:rPr>
          <w:rFonts w:ascii="Amiri" w:hAnsi="Amiri" w:eastAsia="Amiri" w:cs="Amiri"/>
          <w:lang w:bidi="ar-SA"/>
          <w:color w:val="111111"/>
          <w:sz w:val="28"/>
          <w:szCs w:val="28"/>
          <w:rtl/>
        </w:rPr>
        <w:t xml:space="preserve">← البول ← القارورة</w:t>
      </w:r>
    </w:p>
    <w:p>
      <w:pPr>
        <w:pStyle w:val="Heading3"/>
      </w:pPr>
      <w:bookmarkStart w:id="1038" w:name="_Toc298"/>
      <w:r>
        <w:t>•البول / طب / عربی</w:t>
      </w:r>
      <w:bookmarkEnd w:id="1038"/>
    </w:p>
    <w:p>
      <w:pPr>
        <w:pStyle w:val="BookText"/>
      </w:pPr>
      <w:r>
        <w:rPr>
          <w:rFonts w:ascii="Times New Roman" w:hAnsi="Times New Roman" w:eastAsia="Times New Roman" w:cs="Times New Roman"/>
          <w:lang w:val="en-US" w:bidi="en-US"/>
          <w:color w:val="111111"/>
          <w:sz w:val="28"/>
          <w:szCs w:val="28"/>
          <w:rtl/>
        </w:rPr>
        <w:t xml:space="preserve">al-bawl</w:t>
      </w:r>
    </w:p>
    <w:p>
      <w:pPr>
        <w:pStyle w:val="BookText"/>
      </w:pPr>
      <w:r>
        <w:rPr>
          <w:rFonts w:ascii="IRNazanin" w:hAnsi="IRNazanin" w:eastAsia="IRNazanin" w:cs="IRNazanin"/>
          <w:lang w:bidi="fa-IR"/>
          <w:color w:val="111111"/>
          <w:sz w:val="28"/>
          <w:szCs w:val="28"/>
          <w:rtl/>
        </w:rPr>
        <w:t xml:space="preserve">حنين بن اسحاق، ۱۹۴- ۲۶۰ قمری</w:t>
      </w:r>
    </w:p>
    <w:p>
      <w:pPr>
        <w:pStyle w:val="BookText"/>
      </w:pPr>
      <w:r>
        <w:rPr>
          <w:rFonts w:ascii="Times New Roman" w:hAnsi="Times New Roman" w:eastAsia="Times New Roman" w:cs="Times New Roman"/>
          <w:lang w:val="en-US" w:bidi="en-US"/>
          <w:color w:val="111111"/>
          <w:sz w:val="28"/>
          <w:szCs w:val="28"/>
          <w:rtl/>
        </w:rPr>
        <w:t xml:space="preserve">honayn ebn-e eshāq (811-875)</w:t>
      </w:r>
    </w:p>
    <w:p>
      <w:pPr>
        <w:pStyle w:val="BookText"/>
      </w:pPr>
      <w:r>
        <w:rPr>
          <w:rFonts w:ascii="IRNazanin" w:hAnsi="IRNazanin" w:eastAsia="IRNazanin" w:cs="IRNazanin"/>
          <w:lang w:bidi="fa-IR"/>
          <w:color w:val="111111"/>
          <w:sz w:val="28"/>
          <w:szCs w:val="28"/>
          <w:rtl/>
        </w:rPr>
        <w:t xml:space="preserve">حنين بن اسحق مترجم معروف دوران ترجمه از کتب بقراط و جالینوس مطالبی چند درباره بول فراهم آورده و به صورت سؤال و جواب در این کتاب گرد هم عرضه کرده است.</w:t>
      </w:r>
    </w:p>
    <w:p>
      <w:pPr>
        <w:pStyle w:val="BookText"/>
      </w:pPr>
      <w:r>
        <w:rPr>
          <w:rFonts w:ascii="IRNazanin" w:hAnsi="IRNazanin" w:eastAsia="IRNazanin" w:cs="IRNazanin"/>
          <w:lang w:bidi="fa-IR"/>
          <w:color w:val="111111"/>
          <w:sz w:val="28"/>
          <w:szCs w:val="28"/>
          <w:rtl/>
        </w:rPr>
        <w:t xml:space="preserve">تهران؛ ملی؛ شماره نسخه: ۱۱۴۲/۳</w:t>
      </w:r>
    </w:p>
    <w:p>
      <w:pPr>
        <w:pStyle w:val="BookText"/>
      </w:pPr>
      <w:r>
        <w:rPr>
          <w:rFonts w:ascii="IRNazanin" w:hAnsi="IRNazanin" w:eastAsia="IRNazanin" w:cs="IRNazanin"/>
          <w:lang w:bidi="fa-IR"/>
          <w:color w:val="111111"/>
          <w:sz w:val="28"/>
          <w:szCs w:val="28"/>
          <w:rtl/>
        </w:rPr>
        <w:t xml:space="preserve">آغاز: بسمله و رب يسر، معانی استخرجها حنين بن اسحق؛ انجام على ما ذا يدل البول الغليظ الذي يرسب.</w:t>
      </w:r>
    </w:p>
    <w:p>
      <w:pPr>
        <w:pStyle w:val="BookText"/>
      </w:pPr>
      <w:r>
        <w:rPr>
          <w:rFonts w:ascii="IRNazanin" w:hAnsi="IRNazanin" w:eastAsia="IRNazanin" w:cs="IRNazanin"/>
          <w:lang w:bidi="fa-IR"/>
          <w:color w:val="111111"/>
          <w:sz w:val="28"/>
          <w:szCs w:val="28"/>
          <w:rtl/>
        </w:rPr>
        <w:t xml:space="preserve">خط: نسخ، بی کا، تا: محتملا قرن ۱۹ کاغذ: سمرقندی، جلد: مقوایی، رویه کاغذی فرنگی، گل و بوته دار، سجاف کاغذ طلایی، عطف چرمی، ۵ص (۱۲۱-۱۲۵)، ۲۷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۹-۱۳۳]</w:t>
      </w:r>
    </w:p>
    <w:p>
      <w:pPr>
        <w:pStyle w:val="Heading3"/>
      </w:pPr>
      <w:bookmarkStart w:id="1039" w:name="_Toc299"/>
      <w:r>
        <w:t>•البول / طب / عربی</w:t>
      </w:r>
      <w:bookmarkEnd w:id="1039"/>
    </w:p>
    <w:p>
      <w:pPr>
        <w:pStyle w:val="BookText"/>
      </w:pPr>
      <w:r>
        <w:rPr>
          <w:rFonts w:ascii="Times New Roman" w:hAnsi="Times New Roman" w:eastAsia="Times New Roman" w:cs="Times New Roman"/>
          <w:lang w:val="en-US" w:bidi="en-US"/>
          <w:color w:val="111111"/>
          <w:sz w:val="28"/>
          <w:szCs w:val="28"/>
          <w:rtl/>
        </w:rPr>
        <w:t xml:space="preserve">al-bawl</w:t>
      </w:r>
    </w:p>
    <w:p>
      <w:pPr>
        <w:pStyle w:val="BookText"/>
      </w:pPr>
      <w:r>
        <w:rPr>
          <w:rFonts w:ascii="IRNazanin" w:hAnsi="IRNazanin" w:eastAsia="IRNazanin" w:cs="IRNazanin"/>
          <w:lang w:bidi="fa-IR"/>
          <w:color w:val="111111"/>
          <w:sz w:val="28"/>
          <w:szCs w:val="28"/>
          <w:rtl/>
        </w:rPr>
        <w:t xml:space="preserve">ابن سینا، حسین بن عبد الله، ۳۷۰؟ -۴۲۸ قمری</w:t>
      </w:r>
    </w:p>
    <w:p>
      <w:pPr>
        <w:pStyle w:val="BookText"/>
      </w:pPr>
      <w:r>
        <w:rPr>
          <w:rFonts w:ascii="Times New Roman" w:hAnsi="Times New Roman" w:eastAsia="Times New Roman" w:cs="Times New Roman"/>
          <w:lang w:val="en-US" w:bidi="en-US"/>
          <w:color w:val="111111"/>
          <w:sz w:val="28"/>
          <w:szCs w:val="28"/>
          <w:rtl/>
        </w:rPr>
        <w:t xml:space="preserve">ebn-e sīnā, hoseyn ebn-e 'abd-ol-lāh (981-1038)</w:t>
      </w:r>
    </w:p>
    <w:p>
      <w:pPr>
        <w:pStyle w:val="BookText"/>
      </w:pPr>
      <w:r>
        <w:rPr>
          <w:rFonts w:ascii="IRNazanin" w:hAnsi="IRNazanin" w:eastAsia="IRNazanin" w:cs="IRNazanin"/>
          <w:lang w:bidi="fa-IR"/>
          <w:color w:val="111111"/>
          <w:sz w:val="28"/>
          <w:szCs w:val="28"/>
          <w:rtl/>
        </w:rPr>
        <w:t xml:space="preserve">تهران؛ سعید نفیسی؛ شماره نسخه: ۲۲/۸</w:t>
      </w:r>
    </w:p>
    <w:p>
      <w:pPr>
        <w:pStyle w:val="BookText"/>
      </w:pPr>
      <w:r>
        <w:rPr>
          <w:rFonts w:ascii="IRNazanin" w:hAnsi="IRNazanin" w:eastAsia="IRNazanin" w:cs="IRNazanin"/>
          <w:lang w:bidi="fa-IR"/>
          <w:color w:val="111111"/>
          <w:sz w:val="28"/>
          <w:szCs w:val="28"/>
          <w:rtl/>
        </w:rPr>
        <w:t xml:space="preserve">بی کا، بی تا [نشریه: ۷-۶۸۷]</w:t>
      </w:r>
    </w:p>
    <w:p>
      <w:pPr>
        <w:pStyle w:val="Heading3"/>
      </w:pPr>
      <w:bookmarkStart w:id="1040" w:name="_Toc300"/>
      <w:r>
        <w:t>•البول / طب / عربی</w:t>
      </w:r>
      <w:bookmarkEnd w:id="1040"/>
    </w:p>
    <w:p>
      <w:pPr>
        <w:pStyle w:val="BookText"/>
      </w:pPr>
      <w:r>
        <w:rPr>
          <w:rFonts w:ascii="Times New Roman" w:hAnsi="Times New Roman" w:eastAsia="Times New Roman" w:cs="Times New Roman"/>
          <w:lang w:val="en-US" w:bidi="en-US"/>
          <w:color w:val="111111"/>
          <w:sz w:val="28"/>
          <w:szCs w:val="28"/>
          <w:rtl/>
        </w:rPr>
        <w:t xml:space="preserve">al-bawl</w:t>
      </w:r>
    </w:p>
    <w:p>
      <w:pPr>
        <w:pStyle w:val="BookText"/>
      </w:pPr>
      <w:r>
        <w:rPr>
          <w:rFonts w:ascii="IRNazanin" w:hAnsi="IRNazanin" w:eastAsia="IRNazanin" w:cs="IRNazanin"/>
          <w:lang w:bidi="fa-IR"/>
          <w:color w:val="111111"/>
          <w:sz w:val="28"/>
          <w:szCs w:val="28"/>
          <w:rtl/>
        </w:rPr>
        <w:t xml:space="preserve">داستان جالینوس است به عیسی و سخن او پس از نگارش منافع الاعضاء.</w:t>
      </w:r>
    </w:p>
    <w:p>
      <w:pPr>
        <w:pStyle w:val="BookText"/>
      </w:pPr>
      <w:r>
        <w:rPr>
          <w:rFonts w:ascii="IRNazanin" w:hAnsi="IRNazanin" w:eastAsia="IRNazanin" w:cs="IRNazanin"/>
          <w:lang w:bidi="fa-IR"/>
          <w:color w:val="111111"/>
          <w:sz w:val="28"/>
          <w:szCs w:val="28"/>
          <w:rtl/>
        </w:rPr>
        <w:t xml:space="preserve">تهران؛ ملک؛ شماره نسخه: ۶۹۲/۶</w:t>
      </w:r>
    </w:p>
    <w:p>
      <w:pPr>
        <w:pStyle w:val="BookText"/>
      </w:pPr>
      <w:r>
        <w:rPr>
          <w:rFonts w:ascii="IRNazanin" w:hAnsi="IRNazanin" w:eastAsia="IRNazanin" w:cs="IRNazanin"/>
          <w:lang w:bidi="fa-IR"/>
          <w:color w:val="111111"/>
          <w:sz w:val="28"/>
          <w:szCs w:val="28"/>
          <w:rtl/>
        </w:rPr>
        <w:t xml:space="preserve">آغاز: اعلم أن البول الطبيعي الا ترجی و ربما زادت صفر ته قليلا او خفت و مالت الى البياض؛ انجام: فان خرج رقيقا و بقي على حاله دل على ضعف الطبيعة و قو، الفصل والله اعلم</w:t>
      </w:r>
    </w:p>
    <w:p>
      <w:pPr>
        <w:pStyle w:val="BookText"/>
      </w:pPr>
      <w:r>
        <w:rPr>
          <w:rFonts w:ascii="IRNazanin" w:hAnsi="IRNazanin" w:eastAsia="IRNazanin" w:cs="IRNazanin"/>
          <w:lang w:bidi="fa-IR"/>
          <w:color w:val="111111"/>
          <w:sz w:val="28"/>
          <w:szCs w:val="28"/>
          <w:rtl/>
        </w:rPr>
        <w:t xml:space="preserve">خط: نسخ، بی کا، تا: قرن ۱۹ کاغذ: دولت آبادی، جلد: قهوه ای ضربی لبه دار، کگ (۱۶۲پ -۱۶۳ر)، اندازه:</w:t>
      </w:r>
    </w:p>
    <w:p>
      <w:pPr>
        <w:pStyle w:val="BookText"/>
      </w:pPr>
      <w:r>
        <w:rPr>
          <w:rFonts w:ascii="IRNazanin" w:hAnsi="IRNazanin" w:eastAsia="IRNazanin" w:cs="IRNazanin"/>
          <w:lang w:bidi="fa-IR"/>
          <w:color w:val="111111"/>
          <w:sz w:val="28"/>
          <w:szCs w:val="28"/>
          <w:rtl/>
        </w:rPr>
        <w:t xml:space="preserve">۱۶/۹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۸/۶ سم [ف: ۱۵۳-۵]</w:t>
      </w:r>
    </w:p>
    <w:p>
      <w:pPr>
        <w:pStyle w:val="Heading3"/>
      </w:pPr>
      <w:bookmarkStart w:id="1041" w:name="_Toc301"/>
      <w:r>
        <w:t>•بول و غائط (فصلی در شناختن) / طب / فارسی</w:t>
      </w:r>
      <w:bookmarkEnd w:id="1041"/>
    </w:p>
    <w:p>
      <w:pPr>
        <w:pStyle w:val="BookText"/>
      </w:pPr>
      <w:r>
        <w:rPr>
          <w:rFonts w:ascii="Times New Roman" w:hAnsi="Times New Roman" w:eastAsia="Times New Roman" w:cs="Times New Roman"/>
          <w:lang w:val="en-US" w:bidi="en-US"/>
          <w:color w:val="111111"/>
          <w:sz w:val="28"/>
          <w:szCs w:val="28"/>
          <w:rtl/>
        </w:rPr>
        <w:t xml:space="preserve">bowl va qāyet (faslī dar šenāxtan-e)</w:t>
      </w:r>
    </w:p>
    <w:p>
      <w:pPr>
        <w:pStyle w:val="BookText"/>
      </w:pPr>
      <w:r>
        <w:rPr>
          <w:rFonts w:ascii="IRNazanin" w:hAnsi="IRNazanin" w:eastAsia="IRNazanin" w:cs="IRNazanin"/>
          <w:lang w:bidi="fa-IR"/>
          <w:color w:val="111111"/>
          <w:sz w:val="28"/>
          <w:szCs w:val="28"/>
          <w:rtl/>
        </w:rPr>
        <w:t xml:space="preserve">شامل مباحثی کوتاه درباره ضمادها و طلایی ها و سفوف و ... بخشی از کتابی می ماند.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01" w:name="pg20363_209279"/>
    <w:bookmarkEnd w:id="101"/>
    <w:p>
      <w:pPr>
        <w:pStyle w:val="BookText"/>
      </w:pPr>
      <w:r>
        <w:rPr>
          <w:rFonts w:ascii="IRNazanin" w:hAnsi="IRNazanin" w:eastAsia="IRNazanin" w:cs="IRNazanin"/>
          <w:lang w:bidi="fa-IR"/>
          <w:color w:val="111111"/>
          <w:sz w:val="28"/>
          <w:szCs w:val="28"/>
          <w:rtl/>
        </w:rPr>
        <w:t xml:space="preserve">ساری؛ عمومی؛ شماره نسخه: ۱۸۱</w:t>
      </w:r>
    </w:p>
    <w:p>
      <w:pPr>
        <w:pStyle w:val="BookText"/>
      </w:pPr>
      <w:r>
        <w:rPr>
          <w:rFonts w:ascii="IRNazanin" w:hAnsi="IRNazanin" w:eastAsia="IRNazanin" w:cs="IRNazanin"/>
          <w:lang w:bidi="fa-IR"/>
          <w:color w:val="111111"/>
          <w:sz w:val="28"/>
          <w:szCs w:val="28"/>
          <w:rtl/>
        </w:rPr>
        <w:t xml:space="preserve">آغاز: بسمله بول و غابط بدان که بر دو گونه است و بر دو گواه طبيب است؛ انجام: و حب سازند مقداری نخودی نخود</w:t>
      </w:r>
    </w:p>
    <w:p>
      <w:pPr>
        <w:pStyle w:val="BookText"/>
      </w:pPr>
      <w:r>
        <w:rPr>
          <w:rFonts w:ascii="IRNazanin" w:hAnsi="IRNazanin" w:eastAsia="IRNazanin" w:cs="IRNazanin"/>
          <w:lang w:bidi="fa-IR"/>
          <w:color w:val="111111"/>
          <w:sz w:val="28"/>
          <w:szCs w:val="28"/>
          <w:rtl/>
        </w:rPr>
        <w:t xml:space="preserve">خط: نستعلیق، بی کا، بی تا؛ بدون جلد؛ کاغذ: آهار مهره، ۸گ، ۱۳ سطر ( ۱۵/۵۷۹ )، اندازه: ۲۱۶۱۵سم [ف: ۱۳۹]</w:t>
      </w:r>
    </w:p>
    <w:p>
      <w:pPr>
        <w:pStyle w:val="Heading3"/>
      </w:pPr>
      <w:bookmarkStart w:id="1042" w:name="_Toc302"/>
      <w:r>
        <w:t>•بهاء التواریخ / تاریخ جهان / فارسی</w:t>
      </w:r>
      <w:bookmarkEnd w:id="1042"/>
    </w:p>
    <w:p>
      <w:pPr>
        <w:pStyle w:val="BookText"/>
      </w:pPr>
      <w:r>
        <w:rPr>
          <w:rFonts w:ascii="Times New Roman" w:hAnsi="Times New Roman" w:eastAsia="Times New Roman" w:cs="Times New Roman"/>
          <w:lang w:val="en-US" w:bidi="en-US"/>
          <w:color w:val="111111"/>
          <w:sz w:val="28"/>
          <w:szCs w:val="28"/>
          <w:rtl/>
        </w:rPr>
        <w:t xml:space="preserve">bahā'-ot tavārīx</w:t>
      </w:r>
    </w:p>
    <w:p>
      <w:pPr>
        <w:pStyle w:val="BookText"/>
      </w:pPr>
      <w:r>
        <w:rPr>
          <w:rFonts w:ascii="IRNazanin" w:hAnsi="IRNazanin" w:eastAsia="IRNazanin" w:cs="IRNazanin"/>
          <w:lang w:bidi="fa-IR"/>
          <w:color w:val="111111"/>
          <w:sz w:val="28"/>
          <w:szCs w:val="28"/>
          <w:rtl/>
        </w:rPr>
        <w:t xml:space="preserve">قاجار، محمد ولی بن فتحعلی، ق۱۳ قمری</w:t>
      </w:r>
    </w:p>
    <w:p>
      <w:pPr>
        <w:pStyle w:val="BookText"/>
      </w:pPr>
      <w:r>
        <w:rPr>
          <w:rFonts w:ascii="Times New Roman" w:hAnsi="Times New Roman" w:eastAsia="Times New Roman" w:cs="Times New Roman"/>
          <w:lang w:val="en-US" w:bidi="en-US"/>
          <w:color w:val="111111"/>
          <w:sz w:val="28"/>
          <w:szCs w:val="28"/>
          <w:rtl/>
        </w:rPr>
        <w:t xml:space="preserve">qājār, mohammad valī ebn-e fath-alī (- 19c)</w:t>
      </w:r>
    </w:p>
    <w:p>
      <w:pPr>
        <w:pStyle w:val="BookText"/>
      </w:pPr>
      <w:r>
        <w:rPr>
          <w:rFonts w:ascii="IRNazanin" w:hAnsi="IRNazanin" w:eastAsia="IRNazanin" w:cs="IRNazanin"/>
          <w:lang w:bidi="fa-IR"/>
          <w:color w:val="111111"/>
          <w:sz w:val="28"/>
          <w:szCs w:val="28"/>
          <w:rtl/>
        </w:rPr>
        <w:t xml:space="preserve">اهدا به: ناصر الدین شاه</w:t>
      </w:r>
    </w:p>
    <w:p>
      <w:pPr>
        <w:pStyle w:val="BookText"/>
      </w:pPr>
      <w:r>
        <w:rPr>
          <w:rFonts w:ascii="Amiri" w:hAnsi="Amiri" w:eastAsia="Amiri" w:cs="Amiri"/>
          <w:lang w:bidi="ar-SA"/>
          <w:color w:val="111111"/>
          <w:sz w:val="28"/>
          <w:szCs w:val="28"/>
          <w:rtl/>
        </w:rPr>
        <w:t xml:space="preserve">تاريخ تأليف: ۱۲۷۵ق</w:t>
      </w:r>
    </w:p>
    <w:p>
      <w:pPr>
        <w:pStyle w:val="BookText"/>
      </w:pPr>
      <w:r>
        <w:rPr>
          <w:rFonts w:ascii="IRNazanin" w:hAnsi="IRNazanin" w:eastAsia="IRNazanin" w:cs="IRNazanin"/>
          <w:lang w:bidi="fa-IR"/>
          <w:color w:val="111111"/>
          <w:sz w:val="28"/>
          <w:szCs w:val="28"/>
          <w:rtl/>
        </w:rPr>
        <w:t xml:space="preserve">تألیفی مبتنی بر کتب تاریخ و تفسیر عربی و فارسی است. آغاز: جلد ۱: أن خير كلمة يبتدأ بها الكلام ... اما بعد بر اصحاب بینش و ارباب دانش پوشیده نیست ...</w:t>
      </w:r>
    </w:p>
    <w:p>
      <w:pPr>
        <w:pStyle w:val="BookText"/>
      </w:pPr>
      <w:r>
        <w:rPr>
          <w:rFonts w:ascii="IRNazanin" w:hAnsi="IRNazanin" w:eastAsia="IRNazanin" w:cs="IRNazanin"/>
          <w:lang w:bidi="fa-IR"/>
          <w:color w:val="111111"/>
          <w:sz w:val="28"/>
          <w:szCs w:val="28"/>
          <w:rtl/>
        </w:rPr>
        <w:t xml:space="preserve">جلد ۲: ذكر بعضی از معایب و مثالب معاویه و عمرو عاص..، و قرب پنج هزار آدمی را در زیر گرفت .... بالصواب جلد ۳: السنة الاولى این سال را سنة الهجرية گویند ...</w:t>
      </w:r>
    </w:p>
    <w:p>
      <w:pPr>
        <w:pStyle w:val="BookText"/>
      </w:pPr>
      <w:r>
        <w:rPr>
          <w:rFonts w:ascii="IRNazanin" w:hAnsi="IRNazanin" w:eastAsia="IRNazanin" w:cs="IRNazanin"/>
          <w:lang w:bidi="fa-IR"/>
          <w:color w:val="111111"/>
          <w:sz w:val="28"/>
          <w:szCs w:val="28"/>
          <w:rtl/>
        </w:rPr>
        <w:t xml:space="preserve">جلد ۵: چهره آرای افکار ابکار اولوالابصار .. حمد خداوندی است ...</w:t>
      </w:r>
    </w:p>
    <w:p>
      <w:pPr>
        <w:pStyle w:val="BookText"/>
      </w:pPr>
      <w:r>
        <w:rPr>
          <w:rFonts w:ascii="IRNazanin" w:hAnsi="IRNazanin" w:eastAsia="IRNazanin" w:cs="IRNazanin"/>
          <w:lang w:bidi="fa-IR"/>
          <w:color w:val="111111"/>
          <w:sz w:val="28"/>
          <w:szCs w:val="28"/>
          <w:rtl/>
        </w:rPr>
        <w:t xml:space="preserve">[فهرستواره منزوی ۵۶۸/۱ ]</w:t>
      </w:r>
    </w:p>
    <w:p>
      <w:pPr>
        <w:pStyle w:val="BookText"/>
      </w:pPr>
      <w:r>
        <w:rPr>
          <w:rFonts w:ascii="IRNazanin" w:hAnsi="IRNazanin" w:eastAsia="IRNazanin" w:cs="IRNazanin"/>
          <w:lang w:bidi="fa-IR"/>
          <w:color w:val="111111"/>
          <w:sz w:val="28"/>
          <w:szCs w:val="28"/>
          <w:rtl/>
        </w:rPr>
        <w:t xml:space="preserve">۱. تهران؛ ملک؛ شماره نسخه: ۴۱۵۲</w:t>
      </w:r>
    </w:p>
    <w:p>
      <w:pPr>
        <w:pStyle w:val="BookText"/>
      </w:pPr>
      <w:r>
        <w:rPr>
          <w:rFonts w:ascii="IRNazanin" w:hAnsi="IRNazanin" w:eastAsia="IRNazanin" w:cs="IRNazanin"/>
          <w:lang w:bidi="fa-IR"/>
          <w:color w:val="111111"/>
          <w:sz w:val="28"/>
          <w:szCs w:val="28"/>
          <w:rtl/>
        </w:rPr>
        <w:t xml:space="preserve">آغاز: برابر ۵: انجام: دشمنانت را به بالین خاره و در پای خار.</w:t>
      </w:r>
    </w:p>
    <w:p>
      <w:pPr>
        <w:pStyle w:val="BookText"/>
      </w:pPr>
      <w:r>
        <w:rPr>
          <w:rFonts w:ascii="IRNazanin" w:hAnsi="IRNazanin" w:eastAsia="IRNazanin" w:cs="IRNazanin"/>
          <w:lang w:bidi="fa-IR"/>
          <w:color w:val="111111"/>
          <w:sz w:val="28"/>
          <w:szCs w:val="28"/>
          <w:rtl/>
        </w:rPr>
        <w:t xml:space="preserve">جلد پنجم (قسمتی)؛ خط: شکسته نستعلیق، کاتب = مؤلف، تا: دوشنبه ۸ محرم ۱۲۷۶ق، «در سنه ناقصه هجريه غرنو در ضحووی شهر ۵ تحریر به اینجا رسید»، ؛ کاغذ: کاغذ آهار مهره فرنگی، جلد: میشن قهوه ای</w:t>
      </w:r>
    </w:p>
    <w:p>
      <w:pPr>
        <w:pStyle w:val="BookText"/>
      </w:pPr>
      <w:r>
        <w:rPr>
          <w:rFonts w:ascii="IRNazanin" w:hAnsi="IRNazanin" w:eastAsia="IRNazanin" w:cs="IRNazanin"/>
          <w:lang w:bidi="fa-IR"/>
          <w:color w:val="111111"/>
          <w:sz w:val="28"/>
          <w:szCs w:val="28"/>
          <w:rtl/>
        </w:rPr>
        <w:t xml:space="preserve">روشن، ۲۱۲ گی، ۳۰ سطر، اندازه: ۳۸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۲۳/۱ سم [ف: ۲-۶۱]</w:t>
      </w:r>
    </w:p>
    <w:p>
      <w:pPr>
        <w:pStyle w:val="BookText"/>
      </w:pPr>
      <w:r>
        <w:rPr>
          <w:rFonts w:ascii="IRNazanin" w:hAnsi="IRNazanin" w:eastAsia="IRNazanin" w:cs="IRNazanin"/>
          <w:lang w:bidi="fa-IR"/>
          <w:color w:val="111111"/>
          <w:sz w:val="28"/>
          <w:szCs w:val="28"/>
          <w:rtl/>
        </w:rPr>
        <w:t xml:space="preserve">۲. تهران؛ ملک؛ شماره نسخه: ۴۱۵۳</w:t>
      </w:r>
    </w:p>
    <w:p>
      <w:pPr>
        <w:pStyle w:val="BookText"/>
      </w:pPr>
      <w:r>
        <w:rPr>
          <w:rFonts w:ascii="IRNazanin" w:hAnsi="IRNazanin" w:eastAsia="IRNazanin" w:cs="IRNazanin"/>
          <w:lang w:bidi="fa-IR"/>
          <w:color w:val="111111"/>
          <w:sz w:val="28"/>
          <w:szCs w:val="28"/>
          <w:rtl/>
        </w:rPr>
        <w:t xml:space="preserve">جلد دوم؛ خط: نستعلیق، بی کا، تا: قرن ۱۳؛ کاغذ: کاغذ آهار مهره، جلد: میشن قهوه ای روشن، ۳۸۰گ، ۲۹ سطر، اندازه: ۲۲/۶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۳۵/۱سم [ف: ۲-۶۱]</w:t>
      </w:r>
    </w:p>
    <w:p>
      <w:pPr>
        <w:pStyle w:val="BookText"/>
      </w:pPr>
      <w:r>
        <w:rPr>
          <w:rFonts w:ascii="IRNazanin" w:hAnsi="IRNazanin" w:eastAsia="IRNazanin" w:cs="IRNazanin"/>
          <w:lang w:bidi="fa-IR"/>
          <w:color w:val="111111"/>
          <w:sz w:val="28"/>
          <w:szCs w:val="28"/>
          <w:rtl/>
        </w:rPr>
        <w:t xml:space="preserve">٣. تهران؛ ملک؛ شماره نسخه: ۴۱۷۸</w:t>
      </w:r>
    </w:p>
    <w:p>
      <w:pPr>
        <w:pStyle w:val="BookText"/>
      </w:pPr>
      <w:r>
        <w:rPr>
          <w:rFonts w:ascii="IRNazanin" w:hAnsi="IRNazanin" w:eastAsia="IRNazanin" w:cs="IRNazanin"/>
          <w:lang w:bidi="fa-IR"/>
          <w:color w:val="111111"/>
          <w:sz w:val="28"/>
          <w:szCs w:val="28"/>
          <w:rtl/>
        </w:rPr>
        <w:t xml:space="preserve">از ابتدا تا فصل هشتم و در وصایای افلاطون؛ خط: نستعلیق، بی کا، تا: قرن ۱۳ کاغذ: کاغذ فرنگی آهار مهره، جلد: ساغری سبز ضربی، ۴۰۷گ، ۳۱ سطر، اندازه: ۲۱/۱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۳۴/۵سم [ف: ۲-۶۱]</w:t>
      </w:r>
    </w:p>
    <w:p>
      <w:pPr>
        <w:pStyle w:val="BookText"/>
      </w:pPr>
      <w:r>
        <w:rPr>
          <w:rFonts w:ascii="IRNazanin" w:hAnsi="IRNazanin" w:eastAsia="IRNazanin" w:cs="IRNazanin"/>
          <w:lang w:bidi="fa-IR"/>
          <w:color w:val="111111"/>
          <w:sz w:val="28"/>
          <w:szCs w:val="28"/>
          <w:rtl/>
        </w:rPr>
        <w:t xml:space="preserve">۴. تهران؛ ملک؛ شماره نسخه: ۴۱۵۱</w:t>
      </w:r>
    </w:p>
    <w:p>
      <w:pPr>
        <w:pStyle w:val="BookText"/>
      </w:pPr>
      <w:r>
        <w:rPr>
          <w:rFonts w:ascii="IRNazanin" w:hAnsi="IRNazanin" w:eastAsia="IRNazanin" w:cs="IRNazanin"/>
          <w:lang w:bidi="fa-IR"/>
          <w:color w:val="111111"/>
          <w:sz w:val="28"/>
          <w:szCs w:val="28"/>
          <w:rtl/>
        </w:rPr>
        <w:t xml:space="preserve">آغاز: برابر ۳؛ انجام: و به حسب ارث حکم دیه خنثی نیز چنین است ... و به نستعین.</w:t>
      </w:r>
    </w:p>
    <w:p>
      <w:pPr>
        <w:pStyle w:val="BookText"/>
      </w:pPr>
      <w:r>
        <w:rPr>
          <w:rFonts w:ascii="IRNazanin" w:hAnsi="IRNazanin" w:eastAsia="IRNazanin" w:cs="IRNazanin"/>
          <w:lang w:bidi="fa-IR"/>
          <w:color w:val="111111"/>
          <w:sz w:val="28"/>
          <w:szCs w:val="28"/>
          <w:rtl/>
        </w:rPr>
        <w:t xml:space="preserve">جلد سوم؛ خط: نستعلیق، كا: عبدالله فراهانی، تا: ۱۲۷۲ق؛ کاغذ: کاغذ فرنگی آهار مهره، جلد: میشن قهوه ای ضربی، مجدول، ۲۴۷گ، ۲۷ سطر، اندازه: ۳۴/۸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۲۲/۳ سم [ف: ۲-۶۰]</w:t>
      </w:r>
    </w:p>
    <w:p>
      <w:pPr>
        <w:pStyle w:val="BookText"/>
      </w:pPr>
      <w:r>
        <w:rPr>
          <w:rFonts w:ascii="IRNazanin" w:hAnsi="IRNazanin" w:eastAsia="IRNazanin" w:cs="IRNazanin"/>
          <w:lang w:bidi="fa-IR"/>
          <w:color w:val="111111"/>
          <w:sz w:val="28"/>
          <w:szCs w:val="28"/>
          <w:rtl/>
        </w:rPr>
        <w:t xml:space="preserve">۵. تهران: ملک؛ شماره نسخه: ۴۱۴۹</w:t>
      </w:r>
    </w:p>
    <w:p>
      <w:pPr>
        <w:pStyle w:val="BookText"/>
      </w:pPr>
      <w:r>
        <w:rPr>
          <w:rFonts w:ascii="IRNazanin" w:hAnsi="IRNazanin" w:eastAsia="IRNazanin" w:cs="IRNazanin"/>
          <w:lang w:bidi="fa-IR"/>
          <w:color w:val="111111"/>
          <w:sz w:val="28"/>
          <w:szCs w:val="28"/>
          <w:rtl/>
        </w:rPr>
        <w:t xml:space="preserve">آغاز: برابر ۱؛ انجام: حریص گرداناد، انه لطيف مجيب.</w:t>
      </w:r>
    </w:p>
    <w:p>
      <w:pPr>
        <w:pStyle w:val="BookText"/>
      </w:pPr>
      <w:r>
        <w:rPr>
          <w:rFonts w:ascii="IRNazanin" w:hAnsi="IRNazanin" w:eastAsia="IRNazanin" w:cs="IRNazanin"/>
          <w:lang w:bidi="fa-IR"/>
          <w:color w:val="111111"/>
          <w:sz w:val="28"/>
          <w:szCs w:val="28"/>
          <w:rtl/>
        </w:rPr>
        <w:t xml:space="preserve">جلد اول؛ خط: نسخ، كا: آقا بابا بن ملا مهدی شهمیرزادی، تا: دوشنبه ۸ محرم ۱۲۷۶ ق، به دستور بهاءالدوله؛ کاغذ: کاغذ آهار مهره فرنگی، جلد: میشن نارنجی سیر مجدول، ۵۲۷گ، ۳۱ سطر، اندازه: ۳۵/۵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۲-۶۰]</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ملک؛ شماره نسخه: ۴۱۵۰</w:t>
      </w:r>
    </w:p>
    <w:p>
      <w:pPr>
        <w:pStyle w:val="BookText"/>
      </w:pPr>
      <w:r>
        <w:rPr>
          <w:rFonts w:ascii="IRNazanin" w:hAnsi="IRNazanin" w:eastAsia="IRNazanin" w:cs="IRNazanin"/>
          <w:lang w:bidi="fa-IR"/>
          <w:color w:val="111111"/>
          <w:sz w:val="28"/>
          <w:szCs w:val="28"/>
          <w:rtl/>
        </w:rPr>
        <w:t xml:space="preserve">آغاز: برابر ۲</w:t>
      </w:r>
    </w:p>
    <w:p>
      <w:pPr>
        <w:pStyle w:val="BookText"/>
      </w:pPr>
      <w:r>
        <w:rPr>
          <w:rFonts w:ascii="IRNazanin" w:hAnsi="IRNazanin" w:eastAsia="IRNazanin" w:cs="IRNazanin"/>
          <w:lang w:bidi="fa-IR"/>
          <w:color w:val="111111"/>
          <w:sz w:val="28"/>
          <w:szCs w:val="28"/>
          <w:rtl/>
        </w:rPr>
        <w:t xml:space="preserve">جلد دوم؛ خط: نسخ، كا: آقا بابا شهمیرزادی، تا: ۲۱ جمادی الاول ۱۲۷۶ق؛ تملک: بهاء الدوله؛ کاغذ: کاغذ آهار مهره فرنگی، جلد: میشن نارنجی سیر، ۵۶۸گ، ۳۱ سطر، اندازه: ۲۲/۲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۳۴/۷سم [ف: ۱-۶۰]</w:t>
      </w:r>
    </w:p>
    <w:p>
      <w:pPr>
        <w:pStyle w:val="Heading3"/>
      </w:pPr>
      <w:bookmarkStart w:id="1043" w:name="_Toc303"/>
      <w:r>
        <w:t>•بهائیت / بهائیت / فارسی</w:t>
      </w:r>
      <w:bookmarkEnd w:id="1043"/>
    </w:p>
    <w:p>
      <w:pPr>
        <w:pStyle w:val="BookText"/>
      </w:pPr>
      <w:r>
        <w:rPr>
          <w:rFonts w:ascii="Times New Roman" w:hAnsi="Times New Roman" w:eastAsia="Times New Roman" w:cs="Times New Roman"/>
          <w:lang w:val="en-US" w:bidi="en-US"/>
          <w:color w:val="111111"/>
          <w:sz w:val="28"/>
          <w:szCs w:val="28"/>
          <w:rtl/>
        </w:rPr>
        <w:t xml:space="preserve">bahā'īyat</w:t>
      </w:r>
    </w:p>
    <w:p>
      <w:pPr>
        <w:pStyle w:val="BookText"/>
      </w:pPr>
      <w:r>
        <w:rPr>
          <w:rFonts w:ascii="IRNazanin" w:hAnsi="IRNazanin" w:eastAsia="IRNazanin" w:cs="IRNazanin"/>
          <w:lang w:bidi="fa-IR"/>
          <w:color w:val="111111"/>
          <w:sz w:val="28"/>
          <w:szCs w:val="28"/>
          <w:rtl/>
        </w:rPr>
        <w:t xml:space="preserve">؟ بهاء الله، حسینعلی بن میرزا بزرگ، ۱۲۳۳-۱۳۰۹ قمری</w:t>
      </w:r>
    </w:p>
    <w:p>
      <w:pPr>
        <w:pStyle w:val="BookText"/>
      </w:pPr>
      <w:r>
        <w:rPr>
          <w:rFonts w:ascii="Times New Roman" w:hAnsi="Times New Roman" w:eastAsia="Times New Roman" w:cs="Times New Roman"/>
          <w:lang w:val="en-US" w:bidi="en-US"/>
          <w:color w:val="111111"/>
          <w:sz w:val="28"/>
          <w:szCs w:val="28"/>
          <w:rtl/>
        </w:rPr>
        <w:t xml:space="preserve">bahā’-ol-lāh, hoseyn- alī ebn-e mīrzā bozorg (1818 1892)</w:t>
      </w:r>
    </w:p>
    <w:p>
      <w:pPr>
        <w:pStyle w:val="BookText"/>
      </w:pPr>
      <w:r>
        <w:rPr>
          <w:rFonts w:ascii="IRNazanin" w:hAnsi="IRNazanin" w:eastAsia="IRNazanin" w:cs="IRNazanin"/>
          <w:lang w:bidi="fa-IR"/>
          <w:color w:val="111111"/>
          <w:sz w:val="28"/>
          <w:szCs w:val="28"/>
          <w:rtl/>
        </w:rPr>
        <w:t xml:space="preserve">۱. قم؛ فیضیه؛ شماره نسخه: ۲۰۲۵/۳</w:t>
      </w:r>
    </w:p>
    <w:p>
      <w:pPr>
        <w:pStyle w:val="BookText"/>
      </w:pPr>
      <w:r>
        <w:rPr>
          <w:rFonts w:ascii="IRNazanin" w:hAnsi="IRNazanin" w:eastAsia="IRNazanin" w:cs="IRNazanin"/>
          <w:lang w:bidi="fa-IR"/>
          <w:color w:val="111111"/>
          <w:sz w:val="28"/>
          <w:szCs w:val="28"/>
          <w:rtl/>
        </w:rPr>
        <w:t xml:space="preserve">آغاز: بسم ربنا العلى الاعلى. ای مؤمن مهاجر عطش و ظمأغفلت را از سلسبيل قدس</w:t>
      </w:r>
    </w:p>
    <w:p>
      <w:pPr>
        <w:pStyle w:val="BookText"/>
      </w:pPr>
      <w:r>
        <w:rPr>
          <w:rFonts w:ascii="IRNazanin" w:hAnsi="IRNazanin" w:eastAsia="IRNazanin" w:cs="IRNazanin"/>
          <w:lang w:bidi="fa-IR"/>
          <w:color w:val="111111"/>
          <w:sz w:val="28"/>
          <w:szCs w:val="28"/>
          <w:rtl/>
        </w:rPr>
        <w:t xml:space="preserve">بندهایی به فارسی بابی کا، بی تابه ۳۲گی،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سم [ف: ۳-۱۶۹]</w:t>
      </w:r>
    </w:p>
    <w:p>
      <w:pPr>
        <w:pStyle w:val="BookText"/>
      </w:pPr>
      <w:r>
        <w:rPr>
          <w:rFonts w:ascii="IRNazanin" w:hAnsi="IRNazanin" w:eastAsia="IRNazanin" w:cs="IRNazanin"/>
          <w:lang w:bidi="fa-IR"/>
          <w:color w:val="111111"/>
          <w:sz w:val="28"/>
          <w:szCs w:val="28"/>
          <w:rtl/>
        </w:rPr>
        <w:t xml:space="preserve">۲. قم؛ فیضیه؛ شماره نسخه: ۲۰۲۵/۴</w:t>
      </w:r>
    </w:p>
    <w:p>
      <w:pPr>
        <w:pStyle w:val="BookText"/>
      </w:pPr>
      <w:r>
        <w:rPr>
          <w:rFonts w:ascii="IRNazanin" w:hAnsi="IRNazanin" w:eastAsia="IRNazanin" w:cs="IRNazanin"/>
          <w:lang w:bidi="fa-IR"/>
          <w:color w:val="111111"/>
          <w:sz w:val="28"/>
          <w:szCs w:val="28"/>
          <w:rtl/>
        </w:rPr>
        <w:t xml:space="preserve">آغاز: بسم ربنا المقتدر على ما كان و ما يكون. جوهر جواهر حمد و حقیقت</w:t>
      </w:r>
    </w:p>
    <w:p>
      <w:pPr>
        <w:pStyle w:val="BookText"/>
      </w:pPr>
      <w:r>
        <w:rPr>
          <w:rFonts w:ascii="IRNazanin" w:hAnsi="IRNazanin" w:eastAsia="IRNazanin" w:cs="IRNazanin"/>
          <w:lang w:bidi="fa-IR"/>
          <w:color w:val="111111"/>
          <w:sz w:val="28"/>
          <w:szCs w:val="28"/>
          <w:rtl/>
        </w:rPr>
        <w:t xml:space="preserve">بندی به فارسی؛ بی کا، بی تا، ۶گ،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سم [ف: ۳-۱۶۹]</w:t>
      </w:r>
    </w:p>
    <w:p>
      <w:pPr>
        <w:pStyle w:val="Heading3"/>
      </w:pPr>
      <w:bookmarkStart w:id="1044" w:name="_Toc304"/>
      <w:r>
        <w:t>•بهائیت / بهائیت / فارسی و عربی</w:t>
      </w:r>
      <w:bookmarkEnd w:id="1044"/>
    </w:p>
    <w:p>
      <w:pPr>
        <w:pStyle w:val="BookText"/>
      </w:pPr>
      <w:r>
        <w:rPr>
          <w:rFonts w:ascii="Times New Roman" w:hAnsi="Times New Roman" w:eastAsia="Times New Roman" w:cs="Times New Roman"/>
          <w:lang w:val="en-US" w:bidi="en-US"/>
          <w:color w:val="111111"/>
          <w:sz w:val="28"/>
          <w:szCs w:val="28"/>
          <w:rtl/>
        </w:rPr>
        <w:t xml:space="preserve">bahā'īyat</w:t>
      </w:r>
    </w:p>
    <w:p>
      <w:pPr>
        <w:pStyle w:val="BookText"/>
      </w:pPr>
      <w:r>
        <w:rPr>
          <w:rFonts w:ascii="IRNazanin" w:hAnsi="IRNazanin" w:eastAsia="IRNazanin" w:cs="IRNazanin"/>
          <w:lang w:bidi="fa-IR"/>
          <w:color w:val="111111"/>
          <w:sz w:val="28"/>
          <w:szCs w:val="28"/>
          <w:rtl/>
        </w:rPr>
        <w:t xml:space="preserve">ظاهرة غير همانند: 1. قم: مرکز مطالعات؛ شماره نسخه: ۳۱۳</w:t>
      </w:r>
    </w:p>
    <w:p>
      <w:pPr>
        <w:pStyle w:val="BookText"/>
      </w:pPr>
      <w:r>
        <w:rPr>
          <w:rFonts w:ascii="IRNazanin" w:hAnsi="IRNazanin" w:eastAsia="IRNazanin" w:cs="IRNazanin"/>
          <w:lang w:bidi="fa-IR"/>
          <w:color w:val="111111"/>
          <w:sz w:val="28"/>
          <w:szCs w:val="28"/>
          <w:rtl/>
        </w:rPr>
        <w:t xml:space="preserve">خط: نسخ و نستعلیق، کا: محمد حسن بن محمد صادق جرفاد قانی، تا: رمضان ۱۲۶۷ق؛ مجدول؛ فاقد</w:t>
      </w:r>
    </w:p>
    <w:p>
      <w:pPr>
        <w:pStyle w:val="BookText"/>
      </w:pPr>
      <w:r>
        <w:rPr>
          <w:rFonts w:ascii="IRNazanin" w:hAnsi="IRNazanin" w:eastAsia="IRNazanin" w:cs="IRNazanin"/>
          <w:lang w:bidi="fa-IR"/>
          <w:color w:val="111111"/>
          <w:sz w:val="28"/>
          <w:szCs w:val="28"/>
          <w:rtl/>
        </w:rPr>
        <w:t xml:space="preserve">جلد، ۱۶۸گ، مختلف السطر،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۱-۲۷۹]</w:t>
      </w:r>
    </w:p>
    <w:p>
      <w:pPr>
        <w:pStyle w:val="BookText"/>
      </w:pPr>
      <w:r>
        <w:rPr>
          <w:rFonts w:ascii="IRNazanin" w:hAnsi="IRNazanin" w:eastAsia="IRNazanin" w:cs="IRNazanin"/>
          <w:lang w:bidi="fa-IR"/>
          <w:color w:val="111111"/>
          <w:sz w:val="28"/>
          <w:szCs w:val="28"/>
          <w:rtl/>
        </w:rPr>
        <w:t xml:space="preserve">۲. قم؛ گلپایگانی؛ شماره نسخه: ۲۵۱۰- ۱۳/۱۹۰</w:t>
      </w:r>
    </w:p>
    <w:p>
      <w:pPr>
        <w:pStyle w:val="BookText"/>
      </w:pPr>
      <w:r>
        <w:rPr>
          <w:rFonts w:ascii="IRNazanin" w:hAnsi="IRNazanin" w:eastAsia="IRNazanin" w:cs="IRNazanin"/>
          <w:lang w:bidi="fa-IR"/>
          <w:color w:val="111111"/>
          <w:sz w:val="28"/>
          <w:szCs w:val="28"/>
          <w:rtl/>
        </w:rPr>
        <w:t xml:space="preserve">خط: نستعلیق، بی کا، تا: قرن ۱۴، جلد: مقوا با روکش پارچه</w:t>
      </w:r>
    </w:p>
    <w:p>
      <w:pPr>
        <w:pStyle w:val="BookText"/>
      </w:pPr>
      <w:r>
        <w:rPr>
          <w:rFonts w:ascii="IRNazanin" w:hAnsi="IRNazanin" w:eastAsia="IRNazanin" w:cs="IRNazanin"/>
          <w:lang w:bidi="fa-IR"/>
          <w:color w:val="111111"/>
          <w:sz w:val="28"/>
          <w:szCs w:val="28"/>
          <w:rtl/>
        </w:rPr>
        <w:t xml:space="preserve">مخمل، ۶۰گ، مختلف السطر،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۹سم [ف: ۶-۳۲۹۷]</w:t>
      </w:r>
    </w:p>
    <w:p>
      <w:pPr>
        <w:pStyle w:val="BookText"/>
      </w:pPr>
      <w:r>
        <w:rPr>
          <w:rFonts w:ascii="IRNazanin" w:hAnsi="IRNazanin" w:eastAsia="IRNazanin" w:cs="IRNazanin"/>
          <w:lang w:bidi="fa-IR"/>
          <w:color w:val="111111"/>
          <w:sz w:val="28"/>
          <w:szCs w:val="28"/>
          <w:rtl/>
        </w:rPr>
        <w:t xml:space="preserve">٣. تهران؛ فیاض: شماره نسخه: ۱۱۱</w:t>
      </w:r>
    </w:p>
    <w:p>
      <w:pPr>
        <w:pStyle w:val="BookText"/>
      </w:pPr>
      <w:r>
        <w:rPr>
          <w:rFonts w:ascii="IRNazanin" w:hAnsi="IRNazanin" w:eastAsia="IRNazanin" w:cs="IRNazanin"/>
          <w:lang w:bidi="fa-IR"/>
          <w:color w:val="111111"/>
          <w:sz w:val="28"/>
          <w:szCs w:val="28"/>
          <w:rtl/>
        </w:rPr>
        <w:t xml:space="preserve">بهائی (رساله) (ابن ذئب)؛ خط: نستعلیق، بی کا، تا: ۱۳۱۹ق (نشريه: [۶۹۷-۷ ]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02" w:name="pg20363_209280"/>
    <w:bookmarkEnd w:id="102"/>
    <w:p>
      <w:pPr>
        <w:pStyle w:val="BookText"/>
      </w:pPr>
      <w:r>
        <w:rPr>
          <w:rFonts w:ascii="IRNazanin" w:hAnsi="IRNazanin" w:eastAsia="IRNazanin" w:cs="IRNazanin"/>
          <w:lang w:bidi="fa-IR"/>
          <w:color w:val="111111"/>
          <w:sz w:val="28"/>
          <w:szCs w:val="28"/>
          <w:rtl/>
        </w:rPr>
        <w:t xml:space="preserve">۴. قم؛ گلپایگانی؛ شماره نسخه: ۲۱۰۷- ۱۱/۲۰۷</w:t>
      </w:r>
    </w:p>
    <w:p>
      <w:pPr>
        <w:pStyle w:val="BookText"/>
      </w:pPr>
      <w:r>
        <w:rPr>
          <w:rFonts w:ascii="IRNazanin" w:hAnsi="IRNazanin" w:eastAsia="IRNazanin" w:cs="IRNazanin"/>
          <w:lang w:bidi="fa-IR"/>
          <w:color w:val="111111"/>
          <w:sz w:val="28"/>
          <w:szCs w:val="28"/>
          <w:rtl/>
        </w:rPr>
        <w:t xml:space="preserve">بی کا، بی تا؛ ۴۷گ، ۱۲-۱۴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۶-۳۲۹۷]</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گلپایگانی؛ شماره نسخه: ۷۳۵۷- ۳۷/۱۴۷</w:t>
      </w:r>
    </w:p>
    <w:p>
      <w:pPr>
        <w:pStyle w:val="BookText"/>
      </w:pPr>
      <w:r>
        <w:rPr>
          <w:rFonts w:ascii="IRNazanin" w:hAnsi="IRNazanin" w:eastAsia="IRNazanin" w:cs="IRNazanin"/>
          <w:lang w:bidi="fa-IR"/>
          <w:color w:val="111111"/>
          <w:sz w:val="28"/>
          <w:szCs w:val="28"/>
          <w:rtl/>
        </w:rPr>
        <w:t xml:space="preserve">آغاز: بسمله في جواب من سئل عن تفسير سورة الحمد الحمد لله المتقدس عن نعت الموجودات؛ انجام: وما هو بظلام للعباد و کفی به وليا انه على كل شيء قديرا ... و الحمدلله رب العالمين</w:t>
      </w:r>
    </w:p>
    <w:p>
      <w:pPr>
        <w:pStyle w:val="BookText"/>
      </w:pPr>
      <w:r>
        <w:rPr>
          <w:rFonts w:ascii="IRNazanin" w:hAnsi="IRNazanin" w:eastAsia="IRNazanin" w:cs="IRNazanin"/>
          <w:lang w:bidi="fa-IR"/>
          <w:color w:val="111111"/>
          <w:sz w:val="28"/>
          <w:szCs w:val="28"/>
          <w:rtl/>
        </w:rPr>
        <w:t xml:space="preserve">خط: نسخ، بی کا، تا: ۱۳۰۸ق، جلد: تیماج قهوه ای مجدول با ترنج و سرترنج، ۱۹۱گ، ۱۵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۶-۳۲۹۷]</w:t>
      </w:r>
    </w:p>
    <w:p>
      <w:pPr>
        <w:pStyle w:val="BookText"/>
      </w:pPr>
      <w:r>
        <w:rPr>
          <w:rFonts w:ascii="IRNazanin" w:hAnsi="IRNazanin" w:eastAsia="IRNazanin" w:cs="IRNazanin"/>
          <w:lang w:bidi="fa-IR"/>
          <w:color w:val="111111"/>
          <w:sz w:val="28"/>
          <w:szCs w:val="28"/>
          <w:rtl/>
        </w:rPr>
        <w:t xml:space="preserve">۶. نجف آباد؛ حججی؛ شماره نسخه: ۱۲۶</w:t>
      </w:r>
    </w:p>
    <w:p>
      <w:pPr>
        <w:pStyle w:val="BookText"/>
      </w:pPr>
      <w:r>
        <w:rPr>
          <w:rFonts w:ascii="IRNazanin" w:hAnsi="IRNazanin" w:eastAsia="IRNazanin" w:cs="IRNazanin"/>
          <w:lang w:bidi="fa-IR"/>
          <w:color w:val="111111"/>
          <w:sz w:val="28"/>
          <w:szCs w:val="28"/>
          <w:rtl/>
        </w:rPr>
        <w:t xml:space="preserve">آغاز: بسمله. الحمدلله الذي بامره تجلجلت اللاهوتيات بكينونیاتها بها اليها فاجتمعت المجتمعات و افترقت المفترقات؛ انجام: سبیل الله في حقه بان شئت قلته على صراط مستقیم.</w:t>
      </w:r>
    </w:p>
    <w:p>
      <w:pPr>
        <w:pStyle w:val="BookText"/>
      </w:pPr>
      <w:r>
        <w:rPr>
          <w:rFonts w:ascii="IRNazanin" w:hAnsi="IRNazanin" w:eastAsia="IRNazanin" w:cs="IRNazanin"/>
          <w:lang w:bidi="fa-IR"/>
          <w:color w:val="111111"/>
          <w:sz w:val="28"/>
          <w:szCs w:val="28"/>
          <w:rtl/>
        </w:rPr>
        <w:t xml:space="preserve">خط: نستعلیق، بی کا، بی تا؛ كم نقطه؛ جلد: تیماج سرخ، ۲۳۵ گ، ۱۵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۱۹۰]</w:t>
      </w:r>
    </w:p>
    <w:p>
      <w:pPr>
        <w:pStyle w:val="BookText"/>
      </w:pPr>
      <w:r>
        <w:rPr>
          <w:rFonts w:ascii="IRNazanin" w:hAnsi="IRNazanin" w:eastAsia="IRNazanin" w:cs="IRNazanin"/>
          <w:lang w:bidi="fa-IR"/>
          <w:color w:val="111111"/>
          <w:sz w:val="28"/>
          <w:szCs w:val="28"/>
          <w:rtl/>
        </w:rPr>
        <w:t xml:space="preserve">۷. تهران؛ ملی؛ شماره نسخه: ۱۷۱۵۱</w:t>
      </w:r>
    </w:p>
    <w:p>
      <w:pPr>
        <w:pStyle w:val="BookText"/>
      </w:pPr>
      <w:r>
        <w:rPr>
          <w:rFonts w:ascii="IRNazanin" w:hAnsi="IRNazanin" w:eastAsia="IRNazanin" w:cs="IRNazanin"/>
          <w:lang w:bidi="fa-IR"/>
          <w:color w:val="111111"/>
          <w:sz w:val="28"/>
          <w:szCs w:val="28"/>
          <w:rtl/>
        </w:rPr>
        <w:t xml:space="preserve">ادعیه بهائیت؛ بی کا، بی تا، خریداری از امرالله صفری؛ سطر، اندازه: ۱۵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۲۱/۹ سم [رایانه] ۸. قم؛ گلپایگانی؛ شماره نسخه: ۶۶۲۷- ۳۳/۱۷۷</w:t>
      </w:r>
    </w:p>
    <w:p>
      <w:pPr>
        <w:pStyle w:val="BookText"/>
      </w:pPr>
      <w:r>
        <w:rPr>
          <w:rFonts w:ascii="IRNazanin" w:hAnsi="IRNazanin" w:eastAsia="IRNazanin" w:cs="IRNazanin"/>
          <w:lang w:bidi="fa-IR"/>
          <w:color w:val="111111"/>
          <w:sz w:val="28"/>
          <w:szCs w:val="28"/>
          <w:rtl/>
        </w:rPr>
        <w:t xml:space="preserve">آغاز: هو الله تعالی شانه الذکر و البيان الحمدلله الذي انزل الايات و اظهر البينات و انطق ام الکتاب؛ انجام: انه معه و يؤيده بالحق و انه على كل شيء قدير و البهاء عليكم.</w:t>
      </w:r>
    </w:p>
    <w:p>
      <w:pPr>
        <w:pStyle w:val="BookText"/>
      </w:pPr>
      <w:r>
        <w:rPr>
          <w:rFonts w:ascii="IRNazanin" w:hAnsi="IRNazanin" w:eastAsia="IRNazanin" w:cs="IRNazanin"/>
          <w:lang w:bidi="fa-IR"/>
          <w:color w:val="111111"/>
          <w:sz w:val="28"/>
          <w:szCs w:val="28"/>
          <w:rtl/>
        </w:rPr>
        <w:t xml:space="preserve">خط: نسخ و نستعلیق، بی کا، تا: قرن ۱۳ و ۱۴؛ جلد: تیماج مشکی، ۱۱۰گ، ۱۳ سطر، اندازه: ۱۳۷۱۰ سم [ف: ۶-۳۲۹۷]</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ملی؛ شماره نسخه: ۶۹۴۸</w:t>
      </w:r>
    </w:p>
    <w:p>
      <w:pPr>
        <w:pStyle w:val="BookText"/>
      </w:pPr>
      <w:r>
        <w:rPr>
          <w:rFonts w:ascii="IRNazanin" w:hAnsi="IRNazanin" w:eastAsia="IRNazanin" w:cs="IRNazanin"/>
          <w:lang w:bidi="fa-IR"/>
          <w:color w:val="111111"/>
          <w:sz w:val="28"/>
          <w:szCs w:val="28"/>
          <w:rtl/>
        </w:rPr>
        <w:t xml:space="preserve">آغاز: هو الله تعالی شانه العزیز در خصوص شخص معروف به باب و حقیقت احوال این طایفه روایات مختلفه و تفاصيل متبانیه در السن و افواه ناس و صحايف تاریخ و اوراق حوادث ایران و؛ انجام: با وجود این شهرت میان خلق به چنین نقمتی کشه شدند لكن حال مدتی است که عدالت پادشاهی رادع و مانع است و کسی جسارت چنین تعديات عظيم نتواند. انجامه: «بنده فانی و محتاج فضل و عنایت حضرت رحمانی علی اکبر روحانی میلانی باستنساخ این کتاب مبارکه سیا سیه نائل آمد سنه ۱۳۲۶ شمسی»</w:t>
      </w:r>
    </w:p>
    <w:p>
      <w:pPr>
        <w:pStyle w:val="BookText"/>
      </w:pPr>
      <w:r>
        <w:rPr>
          <w:rFonts w:ascii="IRNazanin" w:hAnsi="IRNazanin" w:eastAsia="IRNazanin" w:cs="IRNazanin"/>
          <w:lang w:bidi="fa-IR"/>
          <w:color w:val="111111"/>
          <w:sz w:val="28"/>
          <w:szCs w:val="28"/>
          <w:rtl/>
        </w:rPr>
        <w:t xml:space="preserve">مقاله شخصی سیاح که در تفصيل قضیه باب نوشته؛ خط: شکسته نستعلیق تحریری خوش، كا: علی اکبر روحانی، تا: ۱۳۲۶ق، حسب خواهش فرزند کاتب (فواد روحانی ۱۲۸۶-۱۳۸۲)؛ مصحح، خریداری از جعفر خادم؛ کاغذ: فرنگی نخودی، جلد: تیماج عنابی مقوایی، در عطف جداول و عنوان اثر به زر، ضربی، ۷۱گ، ۱۴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۴/۲ )، اندازه: 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۱۷/۵ سم [رایانه]</w:t>
      </w:r>
    </w:p>
    <w:p>
      <w:pPr>
        <w:pStyle w:val="BookText"/>
      </w:pPr>
      <w:r>
        <w:rPr>
          <w:rFonts w:ascii="IRNazanin" w:hAnsi="IRNazanin" w:eastAsia="IRNazanin" w:cs="IRNazanin"/>
          <w:lang w:bidi="fa-IR"/>
          <w:color w:val="111111"/>
          <w:sz w:val="28"/>
          <w:szCs w:val="28"/>
          <w:rtl/>
        </w:rPr>
        <w:t xml:space="preserve">۱۰. تهران؛ ملک؛ شماره نسخه: ۶۱۱۹/۳</w:t>
      </w:r>
    </w:p>
    <w:p>
      <w:pPr>
        <w:pStyle w:val="BookText"/>
      </w:pPr>
      <w:r>
        <w:rPr>
          <w:rFonts w:ascii="IRNazanin" w:hAnsi="IRNazanin" w:eastAsia="IRNazanin" w:cs="IRNazanin"/>
          <w:lang w:bidi="fa-IR"/>
          <w:color w:val="111111"/>
          <w:sz w:val="28"/>
          <w:szCs w:val="28"/>
          <w:rtl/>
        </w:rPr>
        <w:t xml:space="preserve">آغاز: هو الله تعالی. نسئل الله بان يبعث احدا من عباده و ينقطعه عن الامكان و يزين قلبه بطراز القوة ... و يمشي مسرعا الى مقر السلطان و اذ اورد مقر سريره ينزل في الخان و لايعاشر مع احد. و اذ ظهرت طلايع السلطنة يرفع الكتاب. و يقول قد ارسل من لدي المسجون ... و يسرع الى مقر الفداء؛ انجام: و نسئل الله أن يجعلك ناصرا لامره. و تختار لهم ما تختاره لنفسك انه لهو المقتدر المتعالي المهيمن القيوم</w:t>
      </w:r>
    </w:p>
    <w:p>
      <w:pPr>
        <w:pStyle w:val="BookText"/>
      </w:pPr>
      <w:r>
        <w:rPr>
          <w:rFonts w:ascii="IRNazanin" w:hAnsi="IRNazanin" w:eastAsia="IRNazanin" w:cs="IRNazanin"/>
          <w:lang w:bidi="fa-IR"/>
          <w:color w:val="111111"/>
          <w:sz w:val="28"/>
          <w:szCs w:val="28"/>
          <w:rtl/>
        </w:rPr>
        <w:t xml:space="preserve">خط: نسخ، بی کا، تا: قرن ۱۳؛ کاغذ: فرنگی رنگارنگ، جلد: میشن قهوه ای، ۲۳گ (۲۱پ -۴۳پ)، اندازه: ۱۲/۶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۹-۱۷۹]</w:t>
      </w:r>
    </w:p>
    <w:p>
      <w:pPr>
        <w:pStyle w:val="BookText"/>
      </w:pPr>
      <w:r>
        <w:rPr>
          <w:rFonts w:ascii="IRNazanin" w:hAnsi="IRNazanin" w:eastAsia="IRNazanin" w:cs="IRNazanin"/>
          <w:lang w:bidi="fa-IR"/>
          <w:color w:val="111111"/>
          <w:sz w:val="28"/>
          <w:szCs w:val="28"/>
          <w:rtl/>
        </w:rPr>
        <w:t xml:space="preserve">۱۱. تهران، ملک؛ شماره نسخه: ۶۱۲۱/۷</w:t>
      </w:r>
    </w:p>
    <w:p>
      <w:pPr>
        <w:pStyle w:val="BookText"/>
      </w:pPr>
      <w:r>
        <w:rPr>
          <w:rFonts w:ascii="IRNazanin" w:hAnsi="IRNazanin" w:eastAsia="IRNazanin" w:cs="IRNazanin"/>
          <w:lang w:bidi="fa-IR"/>
          <w:color w:val="111111"/>
          <w:sz w:val="28"/>
          <w:szCs w:val="28"/>
          <w:rtl/>
        </w:rPr>
        <w:t xml:space="preserve">آغاز: بنام خداوند یکتا عز توحيده قلم اعلى لازال سراسم احبای خود متحرک و جاری است؛ انجام: حرکت لسان الله الملك العزيز العليم لتسكن في نفسک و تفرج في ذاتك و تكون من الصابرين و المتوکلین</w:t>
      </w:r>
    </w:p>
    <w:p>
      <w:pPr>
        <w:pStyle w:val="BookText"/>
      </w:pPr>
      <w:r>
        <w:rPr>
          <w:rFonts w:ascii="IRNazanin" w:hAnsi="IRNazanin" w:eastAsia="IRNazanin" w:cs="IRNazanin"/>
          <w:lang w:bidi="fa-IR"/>
          <w:color w:val="111111"/>
          <w:sz w:val="28"/>
          <w:szCs w:val="28"/>
          <w:rtl/>
        </w:rPr>
        <w:t xml:space="preserve">خط: شکسته نستعلیق و نسخ، کا: حبیب الله ازغندی، تا: ۱۲۹۶ق؛ کاغذ: فرنگی سفید و صورتی و سبز و آبی، جلد: میشن قرمز، ۱۲گ (۱۰۲پ -۱۱۳پ)، ۱۵ سطر، اندازه: ۱۳/۴ ۲۱/۲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سم [ف: ۹ -۱۸۲]</w:t>
      </w:r>
    </w:p>
    <w:p>
      <w:pPr>
        <w:pStyle w:val="BookText"/>
      </w:pPr>
      <w:r>
        <w:rPr>
          <w:rFonts w:ascii="IRNazanin" w:hAnsi="IRNazanin" w:eastAsia="IRNazanin" w:cs="IRNazanin"/>
          <w:lang w:bidi="fa-IR"/>
          <w:color w:val="111111"/>
          <w:sz w:val="28"/>
          <w:szCs w:val="28"/>
          <w:rtl/>
        </w:rPr>
        <w:t xml:space="preserve">۱۲. تهران؛ خاکپور، اسدالله (خاندان)؛ شماره نسخه: ۳۹</w:t>
      </w:r>
    </w:p>
    <w:p>
      <w:pPr>
        <w:pStyle w:val="BookText"/>
      </w:pPr>
      <w:r>
        <w:rPr>
          <w:rFonts w:ascii="IRNazanin" w:hAnsi="IRNazanin" w:eastAsia="IRNazanin" w:cs="IRNazanin"/>
          <w:lang w:bidi="fa-IR"/>
          <w:color w:val="111111"/>
          <w:sz w:val="28"/>
          <w:szCs w:val="28"/>
          <w:rtl/>
        </w:rPr>
        <w:t xml:space="preserve">بی کا، بی تا [ نشریه: ۷-۵۶۷]</w:t>
      </w:r>
    </w:p>
    <w:p>
      <w:pPr>
        <w:pStyle w:val="BookText"/>
      </w:pPr>
      <w:r>
        <w:rPr>
          <w:rFonts w:ascii="IRNazanin" w:hAnsi="IRNazanin" w:eastAsia="IRNazanin" w:cs="IRNazanin"/>
          <w:lang w:bidi="fa-IR"/>
          <w:color w:val="111111"/>
          <w:sz w:val="28"/>
          <w:szCs w:val="28"/>
          <w:rtl/>
        </w:rPr>
        <w:t xml:space="preserve">۱۳. یزد؛ وزیری؛ شماره نسخه: ۳۶۴۷</w:t>
      </w:r>
    </w:p>
    <w:p>
      <w:pPr>
        <w:pStyle w:val="BookText"/>
      </w:pPr>
      <w:r>
        <w:rPr>
          <w:rFonts w:ascii="IRNazanin" w:hAnsi="IRNazanin" w:eastAsia="IRNazanin" w:cs="IRNazanin"/>
          <w:lang w:bidi="fa-IR"/>
          <w:color w:val="111111"/>
          <w:sz w:val="28"/>
          <w:szCs w:val="28"/>
          <w:rtl/>
        </w:rPr>
        <w:t xml:space="preserve">آغاز: اوست ظاهر و هویدا-جميع عالم بظهور حق جل جلاله موعود بوده اند و کتب قبل بر این مطلب بلند اعلى شاهد و گواه؛ انجام: الا انهم من الراسخين الحمدلله رب العالمين</w:t>
      </w:r>
    </w:p>
    <w:p>
      <w:pPr>
        <w:pStyle w:val="BookText"/>
      </w:pPr>
      <w:r>
        <w:rPr>
          <w:rFonts w:ascii="IRNazanin" w:hAnsi="IRNazanin" w:eastAsia="IRNazanin" w:cs="IRNazanin"/>
          <w:lang w:bidi="fa-IR"/>
          <w:color w:val="111111"/>
          <w:sz w:val="28"/>
          <w:szCs w:val="28"/>
          <w:rtl/>
        </w:rPr>
        <w:t xml:space="preserve">خط: نسخ، بی کا، بی تا، کاغذ: فرنگی، جلد: تیماج عنابی، ۲۱۵گ، ۱۴ سطر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۹سم [ف: ۵-۱۷۳۵]</w:t>
      </w:r>
    </w:p>
    <w:p>
      <w:pPr>
        <w:pStyle w:val="Heading3"/>
      </w:pPr>
      <w:bookmarkStart w:id="1045" w:name="_Toc305"/>
      <w:r>
        <w:t>•بهائیت و عدد نوزده / بهائیت / فارسی</w:t>
      </w:r>
      <w:bookmarkEnd w:id="1045"/>
    </w:p>
    <w:p>
      <w:pPr>
        <w:pStyle w:val="BookText"/>
      </w:pPr>
      <w:r>
        <w:rPr>
          <w:rFonts w:ascii="Times New Roman" w:hAnsi="Times New Roman" w:eastAsia="Times New Roman" w:cs="Times New Roman"/>
          <w:lang w:val="en-US" w:bidi="en-US"/>
          <w:color w:val="111111"/>
          <w:sz w:val="28"/>
          <w:szCs w:val="28"/>
          <w:rtl/>
        </w:rPr>
        <w:t xml:space="preserve">bahā'īyat va ‘adad-e nūzdah</w:t>
      </w:r>
    </w:p>
    <w:p>
      <w:pPr>
        <w:pStyle w:val="BookText"/>
      </w:pPr>
      <w:r>
        <w:rPr>
          <w:rFonts w:ascii="IRNazanin" w:hAnsi="IRNazanin" w:eastAsia="IRNazanin" w:cs="IRNazanin"/>
          <w:lang w:bidi="fa-IR"/>
          <w:color w:val="111111"/>
          <w:sz w:val="28"/>
          <w:szCs w:val="28"/>
          <w:rtl/>
        </w:rPr>
        <w:t xml:space="preserve">رساله ای راجع به مسلمانان، توبه نامه باب و عدد نوزده. مؤلف که احتمالا گرد آورنده این مجموعه است در این رساله راجع به مسلمانان، توبه نامه، باب و عدد نوزده که عدد مقدس بهائیان است بحث نموده و از مسلمانان به زشتی یاد کرده است.</w:t>
      </w:r>
    </w:p>
    <w:p>
      <w:pPr>
        <w:pStyle w:val="BookText"/>
      </w:pPr>
      <w:r>
        <w:rPr>
          <w:rFonts w:ascii="IRNazanin" w:hAnsi="IRNazanin" w:eastAsia="IRNazanin" w:cs="IRNazanin"/>
          <w:lang w:bidi="fa-IR"/>
          <w:color w:val="111111"/>
          <w:sz w:val="28"/>
          <w:szCs w:val="28"/>
          <w:rtl/>
        </w:rPr>
        <w:t xml:space="preserve">تهران؛ ملی؛ شماره نسخه: ۶۵۷۳</w:t>
      </w:r>
    </w:p>
    <w:p>
      <w:pPr>
        <w:pStyle w:val="BookText"/>
      </w:pPr>
      <w:r>
        <w:rPr>
          <w:rFonts w:ascii="IRNazanin" w:hAnsi="IRNazanin" w:eastAsia="IRNazanin" w:cs="IRNazanin"/>
          <w:lang w:bidi="fa-IR"/>
          <w:color w:val="111111"/>
          <w:sz w:val="28"/>
          <w:szCs w:val="28"/>
          <w:rtl/>
        </w:rPr>
        <w:t xml:space="preserve">آغاز: راجع به مسلمان حضرت محمد باقر میفرماید: ارتد الناس بعد رسول الله الا ثلاثه او اربعه یعنی که انجام: و زمام امور بکلی بکف میرزا تقی خان امیر کبیر افتاد و آن ملعون بالاخره حکم قتل حضرت را داد</w:t>
      </w:r>
    </w:p>
    <w:p>
      <w:pPr>
        <w:pStyle w:val="BookText"/>
      </w:pPr>
      <w:r>
        <w:rPr>
          <w:rFonts w:ascii="IRNazanin" w:hAnsi="IRNazanin" w:eastAsia="IRNazanin" w:cs="IRNazanin"/>
          <w:lang w:bidi="fa-IR"/>
          <w:color w:val="111111"/>
          <w:sz w:val="28"/>
          <w:szCs w:val="28"/>
          <w:rtl/>
        </w:rPr>
        <w:t xml:space="preserve">خط: نسخ، بی کا، تا: ۱۳۲۰ق؛ منتخب کتاب ایقان «جواهر الاسرار في معارج الأسفار» حسینعلی بن میرزا بزرگ بهاء الله ؛ کاغذ: کاغذی دفتری خطدار، جلد: مقوایی با روکش کاغذی نقشدار نارنجی تیره و روشن، عطف پارچه مشکی، ۱۴۱گ، ۲۳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سم [رایانه]</w:t>
      </w:r>
    </w:p>
    <w:p>
      <w:pPr>
        <w:pStyle w:val="Heading3"/>
      </w:pPr>
      <w:bookmarkStart w:id="1046" w:name="_Toc306"/>
      <w:r>
        <w:t>•بهائیگری / تاریخ ایران / فارسی</w:t>
      </w:r>
      <w:bookmarkEnd w:id="1046"/>
    </w:p>
    <w:p>
      <w:pPr>
        <w:pStyle w:val="BookText"/>
      </w:pPr>
      <w:r>
        <w:rPr>
          <w:rFonts w:ascii="Times New Roman" w:hAnsi="Times New Roman" w:eastAsia="Times New Roman" w:cs="Times New Roman"/>
          <w:lang w:val="en-US" w:bidi="en-US"/>
          <w:color w:val="111111"/>
          <w:sz w:val="28"/>
          <w:szCs w:val="28"/>
          <w:rtl/>
        </w:rPr>
        <w:t xml:space="preserve">bahā'īgarī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03" w:name="pg20363_209281"/>
    <w:bookmarkEnd w:id="103"/>
    <w:p>
      <w:pPr>
        <w:pStyle w:val="BookText"/>
      </w:pPr>
      <w:r>
        <w:rPr>
          <w:rFonts w:ascii="IRNazanin" w:hAnsi="IRNazanin" w:eastAsia="IRNazanin" w:cs="IRNazanin"/>
          <w:lang w:bidi="fa-IR"/>
          <w:color w:val="111111"/>
          <w:sz w:val="28"/>
          <w:szCs w:val="28"/>
          <w:rtl/>
        </w:rPr>
        <w:t xml:space="preserve">کسروی، احمد، ۱۲۶۹-۱۳۲۴ شمس</w:t>
      </w:r>
    </w:p>
    <w:p>
      <w:pPr>
        <w:pStyle w:val="BookText"/>
      </w:pPr>
      <w:r>
        <w:rPr>
          <w:rFonts w:ascii="Times New Roman" w:hAnsi="Times New Roman" w:eastAsia="Times New Roman" w:cs="Times New Roman"/>
          <w:lang w:val="en-US" w:bidi="en-US"/>
          <w:color w:val="111111"/>
          <w:sz w:val="28"/>
          <w:szCs w:val="28"/>
          <w:rtl/>
        </w:rPr>
        <w:t xml:space="preserve">kasravī, ahmad (1890-1945)</w:t>
      </w:r>
    </w:p>
    <w:p>
      <w:pPr>
        <w:pStyle w:val="BookText"/>
      </w:pPr>
      <w:r>
        <w:rPr>
          <w:rFonts w:ascii="IRNazanin" w:hAnsi="IRNazanin" w:eastAsia="IRNazanin" w:cs="IRNazanin"/>
          <w:lang w:bidi="fa-IR"/>
          <w:color w:val="111111"/>
          <w:sz w:val="28"/>
          <w:szCs w:val="28"/>
          <w:rtl/>
        </w:rPr>
        <w:t xml:space="preserve">تاریخ تأليف: ۱۳۲۳ شمسی</w:t>
      </w:r>
    </w:p>
    <w:p>
      <w:pPr>
        <w:pStyle w:val="BookText"/>
      </w:pPr>
      <w:r>
        <w:rPr>
          <w:rFonts w:ascii="IRNazanin" w:hAnsi="IRNazanin" w:eastAsia="IRNazanin" w:cs="IRNazanin"/>
          <w:lang w:bidi="fa-IR"/>
          <w:color w:val="111111"/>
          <w:sz w:val="28"/>
          <w:szCs w:val="28"/>
          <w:rtl/>
        </w:rPr>
        <w:t xml:space="preserve">چاپ: مشار فارسی ۸۰۱/۱ (۴ چاپ)</w:t>
      </w:r>
    </w:p>
    <w:p>
      <w:pPr>
        <w:pStyle w:val="BookText"/>
      </w:pPr>
      <w:r>
        <w:rPr>
          <w:rFonts w:ascii="IRNazanin" w:hAnsi="IRNazanin" w:eastAsia="IRNazanin" w:cs="IRNazanin"/>
          <w:lang w:bidi="fa-IR"/>
          <w:color w:val="111111"/>
          <w:sz w:val="28"/>
          <w:szCs w:val="28"/>
          <w:rtl/>
        </w:rPr>
        <w:t xml:space="preserve">تهران؛ دانشگاه؛ شماره نسخه: ۴۷۵۲/۱۰ -۴۷۵۴-ف</w:t>
      </w:r>
    </w:p>
    <w:p>
      <w:pPr>
        <w:pStyle w:val="BookText"/>
      </w:pPr>
      <w:r>
        <w:rPr>
          <w:rFonts w:ascii="IRNazanin" w:hAnsi="IRNazanin" w:eastAsia="IRNazanin" w:cs="IRNazanin"/>
          <w:lang w:bidi="fa-IR"/>
          <w:color w:val="111111"/>
          <w:sz w:val="28"/>
          <w:szCs w:val="28"/>
          <w:rtl/>
        </w:rPr>
        <w:t xml:space="preserve">بی کا، بی تا [فیلمها ف: ۳-۹۹]</w:t>
      </w:r>
    </w:p>
    <w:p>
      <w:pPr>
        <w:pStyle w:val="BookText"/>
      </w:pPr>
      <w:r>
        <w:rPr>
          <w:rFonts w:ascii="IRNazanin" w:hAnsi="IRNazanin" w:eastAsia="IRNazanin" w:cs="IRNazanin"/>
          <w:lang w:bidi="fa-IR"/>
          <w:color w:val="111111"/>
          <w:sz w:val="28"/>
          <w:szCs w:val="28"/>
          <w:rtl/>
        </w:rPr>
        <w:t xml:space="preserve">← بهادر شاه نامه← جنگ نامه</w:t>
      </w:r>
    </w:p>
    <w:p>
      <w:pPr>
        <w:pStyle w:val="BookText"/>
      </w:pPr>
      <w:r>
        <w:rPr>
          <w:rFonts w:ascii="IRNazanin" w:hAnsi="IRNazanin" w:eastAsia="IRNazanin" w:cs="IRNazanin"/>
          <w:lang w:bidi="fa-IR"/>
          <w:color w:val="111111"/>
          <w:sz w:val="28"/>
          <w:szCs w:val="28"/>
          <w:rtl/>
        </w:rPr>
        <w:t xml:space="preserve">← بهادر شاه نامه ← تاریخ بهادرشاهی</w:t>
      </w:r>
    </w:p>
    <w:p>
      <w:pPr>
        <w:pStyle w:val="Heading3"/>
      </w:pPr>
      <w:bookmarkStart w:id="1047" w:name="_Toc307"/>
      <w:r>
        <w:t>•بهار اغوان / شعر / فارسی</w:t>
      </w:r>
      <w:bookmarkEnd w:id="1047"/>
    </w:p>
    <w:p>
      <w:pPr>
        <w:pStyle w:val="BookText"/>
      </w:pPr>
      <w:r>
        <w:rPr>
          <w:rFonts w:ascii="Times New Roman" w:hAnsi="Times New Roman" w:eastAsia="Times New Roman" w:cs="Times New Roman"/>
          <w:lang w:val="en-US" w:bidi="en-US"/>
          <w:color w:val="111111"/>
          <w:sz w:val="28"/>
          <w:szCs w:val="28"/>
          <w:rtl/>
        </w:rPr>
        <w:t xml:space="preserve">bahār-e aqvān</w:t>
      </w:r>
    </w:p>
    <w:p>
      <w:pPr>
        <w:pStyle w:val="BookText"/>
      </w:pPr>
      <w:r>
        <w:rPr>
          <w:rFonts w:ascii="IRNazanin" w:hAnsi="IRNazanin" w:eastAsia="IRNazanin" w:cs="IRNazanin"/>
          <w:lang w:bidi="fa-IR"/>
          <w:color w:val="111111"/>
          <w:sz w:val="28"/>
          <w:szCs w:val="28"/>
          <w:rtl/>
        </w:rPr>
        <w:t xml:space="preserve">تهران؛ دانشگاه؛ شماره نسخه: ۲۹۴۶/۱ -ف</w:t>
      </w:r>
    </w:p>
    <w:p>
      <w:pPr>
        <w:pStyle w:val="BookText"/>
      </w:pPr>
      <w:r>
        <w:rPr>
          <w:rFonts w:ascii="IRNazanin" w:hAnsi="IRNazanin" w:eastAsia="IRNazanin" w:cs="IRNazanin"/>
          <w:lang w:bidi="fa-IR"/>
          <w:color w:val="111111"/>
          <w:sz w:val="28"/>
          <w:szCs w:val="28"/>
          <w:rtl/>
        </w:rPr>
        <w:t xml:space="preserve">نسخه اصل: بادلیان ۲۶۶۶، ۲۷</w:t>
      </w:r>
      <w:r>
        <w:rPr>
          <w:rFonts w:ascii="Times New Roman" w:hAnsi="Times New Roman" w:eastAsia="Times New Roman" w:cs="Times New Roman"/>
          <w:lang w:val="en-US" w:bidi="en-US"/>
          <w:color w:val="111111"/>
          <w:sz w:val="28"/>
          <w:szCs w:val="28"/>
          <w:rtl/>
        </w:rPr>
        <w:t xml:space="preserve">Pers (</w:t>
      </w:r>
      <w:r>
        <w:rPr>
          <w:rFonts w:ascii="IRNazanin" w:hAnsi="IRNazanin" w:eastAsia="IRNazanin" w:cs="IRNazanin"/>
          <w:lang w:bidi="fa-IR"/>
          <w:color w:val="111111"/>
          <w:sz w:val="28"/>
          <w:szCs w:val="28"/>
          <w:rtl/>
        </w:rPr>
        <w:t xml:space="preserve">فهرست ۴۶/۳ )؛ بی کا، بی تا [فیلمها ف: ۱-۷۴۳]</w:t>
      </w:r>
    </w:p>
    <w:p>
      <w:pPr>
        <w:pStyle w:val="Heading3"/>
      </w:pPr>
      <w:bookmarkStart w:id="1048" w:name="_Toc308"/>
      <w:r>
        <w:t>•بهار بدخشان / تراجم / فارسی</w:t>
      </w:r>
      <w:bookmarkEnd w:id="1048"/>
    </w:p>
    <w:p>
      <w:pPr>
        <w:pStyle w:val="BookText"/>
      </w:pPr>
      <w:r>
        <w:rPr>
          <w:rFonts w:ascii="Times New Roman" w:hAnsi="Times New Roman" w:eastAsia="Times New Roman" w:cs="Times New Roman"/>
          <w:lang w:val="en-US" w:bidi="en-US"/>
          <w:color w:val="111111"/>
          <w:sz w:val="28"/>
          <w:szCs w:val="28"/>
          <w:rtl/>
        </w:rPr>
        <w:t xml:space="preserve">bahār-e badaxšān</w:t>
      </w:r>
    </w:p>
    <w:p>
      <w:pPr>
        <w:pStyle w:val="BookText"/>
      </w:pPr>
      <w:r>
        <w:rPr>
          <w:rFonts w:ascii="IRNazanin" w:hAnsi="IRNazanin" w:eastAsia="IRNazanin" w:cs="IRNazanin"/>
          <w:lang w:bidi="fa-IR"/>
          <w:color w:val="111111"/>
          <w:sz w:val="28"/>
          <w:szCs w:val="28"/>
          <w:rtl/>
        </w:rPr>
        <w:t xml:space="preserve">حسینی بدخشی، عبدالکریم خان بن ایشان، ق۱۴ قمری</w:t>
      </w:r>
    </w:p>
    <w:p>
      <w:pPr>
        <w:pStyle w:val="BookText"/>
      </w:pPr>
      <w:r>
        <w:rPr>
          <w:rFonts w:ascii="Times New Roman" w:hAnsi="Times New Roman" w:eastAsia="Times New Roman" w:cs="Times New Roman"/>
          <w:lang w:val="en-US" w:bidi="en-US"/>
          <w:color w:val="111111"/>
          <w:sz w:val="28"/>
          <w:szCs w:val="28"/>
          <w:rtl/>
        </w:rPr>
        <w:t xml:space="preserve">hoseynī badaxšī, “abd-ol-karīm xān ebn-e īšān (- 20c)</w:t>
      </w:r>
    </w:p>
    <w:p>
      <w:pPr>
        <w:pStyle w:val="BookText"/>
      </w:pPr>
      <w:r>
        <w:rPr>
          <w:rFonts w:ascii="IRNazanin" w:hAnsi="IRNazanin" w:eastAsia="IRNazanin" w:cs="IRNazanin"/>
          <w:lang w:bidi="fa-IR"/>
          <w:color w:val="111111"/>
          <w:sz w:val="28"/>
          <w:szCs w:val="28"/>
          <w:rtl/>
        </w:rPr>
        <w:t xml:space="preserve">تاریخ تأليف: ۱۳۰۲ق</w:t>
      </w:r>
    </w:p>
    <w:p>
      <w:pPr>
        <w:pStyle w:val="BookText"/>
      </w:pPr>
      <w:r>
        <w:rPr>
          <w:rFonts w:ascii="IRNazanin" w:hAnsi="IRNazanin" w:eastAsia="IRNazanin" w:cs="IRNazanin"/>
          <w:lang w:bidi="fa-IR"/>
          <w:color w:val="111111"/>
          <w:sz w:val="28"/>
          <w:szCs w:val="28"/>
          <w:rtl/>
        </w:rPr>
        <w:t xml:space="preserve">تذکره شعراء است به ترتیب تهجی از امیر تا واصف.</w:t>
      </w:r>
    </w:p>
    <w:p>
      <w:pPr>
        <w:pStyle w:val="BookText"/>
      </w:pPr>
      <w:r>
        <w:rPr>
          <w:rFonts w:ascii="IRNazanin" w:hAnsi="IRNazanin" w:eastAsia="IRNazanin" w:cs="IRNazanin"/>
          <w:lang w:bidi="fa-IR"/>
          <w:color w:val="111111"/>
          <w:sz w:val="28"/>
          <w:szCs w:val="28"/>
          <w:rtl/>
        </w:rPr>
        <w:t xml:space="preserve">[ تاریخ تذکره های فارسی ۱۲۶]</w:t>
      </w:r>
    </w:p>
    <w:p>
      <w:pPr>
        <w:pStyle w:val="BookText"/>
      </w:pPr>
      <w:r>
        <w:rPr>
          <w:rFonts w:ascii="IRNazanin" w:hAnsi="IRNazanin" w:eastAsia="IRNazanin" w:cs="IRNazanin"/>
          <w:lang w:bidi="fa-IR"/>
          <w:color w:val="111111"/>
          <w:sz w:val="28"/>
          <w:szCs w:val="28"/>
          <w:rtl/>
        </w:rPr>
        <w:t xml:space="preserve">تهران؛ دانشگاه؛ شماره نسخه: ۶۵۵۹</w:t>
      </w:r>
    </w:p>
    <w:p>
      <w:pPr>
        <w:pStyle w:val="BookText"/>
      </w:pPr>
      <w:r>
        <w:rPr>
          <w:rFonts w:ascii="IRNazanin" w:hAnsi="IRNazanin" w:eastAsia="IRNazanin" w:cs="IRNazanin"/>
          <w:lang w:bidi="fa-IR"/>
          <w:color w:val="111111"/>
          <w:sz w:val="28"/>
          <w:szCs w:val="28"/>
          <w:rtl/>
        </w:rPr>
        <w:t xml:space="preserve">آغاز: تحائف نیازاتی که ارجاعش به جز درگاه الطاف دستگاه جناب بی نیازی مرجع دیگری نیست؛ انجام: واصف، میسزد درین درباه خدمتی نکردم لیک / اجر بی شمارم داد.</w:t>
      </w:r>
    </w:p>
    <w:p>
      <w:pPr>
        <w:pStyle w:val="BookText"/>
      </w:pPr>
      <w:r>
        <w:rPr>
          <w:rFonts w:ascii="IRNazanin" w:hAnsi="IRNazanin" w:eastAsia="IRNazanin" w:cs="IRNazanin"/>
          <w:lang w:bidi="fa-IR"/>
          <w:color w:val="111111"/>
          <w:sz w:val="28"/>
          <w:szCs w:val="28"/>
          <w:rtl/>
        </w:rPr>
        <w:t xml:space="preserve">نیمه تمام خط: نستعليق هندی، بی کا، تا: قرن ۱۳ و ۱۴؛ کاغذ: فرنگی، جلد: مقوا، عطف پارچه، ۲۰۰گ، ۱۶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قطع: خشتی،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۷سم [ف: ۱۶-۲۹۷]</w:t>
      </w:r>
    </w:p>
    <w:p>
      <w:pPr>
        <w:pStyle w:val="Heading3"/>
      </w:pPr>
      <w:bookmarkStart w:id="1049" w:name="_Toc309"/>
      <w:r>
        <w:t>•بهار بی خزان = تذکره بهار بی خزان / تراجم / فارسی</w:t>
      </w:r>
      <w:bookmarkEnd w:id="1049"/>
    </w:p>
    <w:p>
      <w:pPr>
        <w:pStyle w:val="BookText"/>
      </w:pPr>
      <w:r>
        <w:rPr>
          <w:rFonts w:ascii="Times New Roman" w:hAnsi="Times New Roman" w:eastAsia="Times New Roman" w:cs="Times New Roman"/>
          <w:lang w:val="en-US" w:bidi="en-US"/>
          <w:color w:val="111111"/>
          <w:sz w:val="28"/>
          <w:szCs w:val="28"/>
          <w:rtl/>
        </w:rPr>
        <w:t xml:space="preserve">bahār-e bī xazān = tazkere-ye bahār-e bī xazān</w:t>
      </w:r>
    </w:p>
    <w:p>
      <w:pPr>
        <w:pStyle w:val="BookText"/>
      </w:pPr>
      <w:r>
        <w:rPr>
          <w:rFonts w:ascii="IRNazanin" w:hAnsi="IRNazanin" w:eastAsia="IRNazanin" w:cs="IRNazanin"/>
          <w:lang w:bidi="fa-IR"/>
          <w:color w:val="111111"/>
          <w:sz w:val="28"/>
          <w:szCs w:val="28"/>
          <w:rtl/>
        </w:rPr>
        <w:t xml:space="preserve">کاکوری، احمد حسين بن عبدالحسیب، ۱۲۸۵؟ قمری</w:t>
      </w:r>
    </w:p>
    <w:p>
      <w:pPr>
        <w:pStyle w:val="BookText"/>
      </w:pPr>
      <w:r>
        <w:rPr>
          <w:rFonts w:ascii="Times New Roman" w:hAnsi="Times New Roman" w:eastAsia="Times New Roman" w:cs="Times New Roman"/>
          <w:lang w:val="en-US" w:bidi="en-US"/>
          <w:color w:val="111111"/>
          <w:sz w:val="28"/>
          <w:szCs w:val="28"/>
          <w:rtl/>
        </w:rPr>
        <w:t xml:space="preserve">kākūrī , ahmad hoseyn ben ‘abd-ol-hasīb (- 1869)</w:t>
      </w:r>
    </w:p>
    <w:p>
      <w:pPr>
        <w:pStyle w:val="BookText"/>
      </w:pPr>
      <w:r>
        <w:rPr>
          <w:rFonts w:ascii="IRNazanin" w:hAnsi="IRNazanin" w:eastAsia="IRNazanin" w:cs="IRNazanin"/>
          <w:lang w:bidi="fa-IR"/>
          <w:color w:val="111111"/>
          <w:sz w:val="28"/>
          <w:szCs w:val="28"/>
          <w:rtl/>
        </w:rPr>
        <w:t xml:space="preserve">تذکره شعرای ریخته گوی شبه قاره است، در دیباچه می گوید: «... احمد حسین متخلص به سحر در مذاق شعر طبع پریشان ساخته و خاطر شکفته و خندان را به حسن پرستی های گلر خان معنی تازه افروخته ... اکنون که جرعه کشی های صهبای این مذاق ... می خواست که کتابی بطور تذکره شعرای ریخته گویان ترتیب داده دلی خالی کند، فرصت وقت دست نمی داد و بتألیفات تذکره فارسی همت مصروف داشت، چون صورت اختامش حسب دلخواه جلوه گر شد این تذکره لطیف را که همچو اشعار رنگین خود روکش عبارات بهار بی خزان نام نهاده به تألیفش پرداخت و هر قدر اشعار شعرا که دم تحریر تذکره بیاد داشت داخل تذکره ساخت و فصلی جداگانه در خاتمه کتاب برای ذکر اشعار شعرای باقی ماندگان که نام و تخلص ایشان بلا ترتیب حروف تهجی باشد افزود ...»</w:t>
      </w:r>
    </w:p>
    <w:p>
      <w:pPr>
        <w:pStyle w:val="BookText"/>
      </w:pPr>
      <w:r>
        <w:rPr>
          <w:rFonts w:ascii="IRNazanin" w:hAnsi="IRNazanin" w:eastAsia="IRNazanin" w:cs="IRNazanin"/>
          <w:lang w:bidi="fa-IR"/>
          <w:color w:val="111111"/>
          <w:sz w:val="28"/>
          <w:szCs w:val="28"/>
          <w:rtl/>
        </w:rPr>
        <w:t xml:space="preserve">چاپ: این تذکره در سالهای ۱۳۸۸ و ۱۳۸۹ ق به چاپ رسیده است و در آن چهارده بیت غزل مؤلف به زبان اردو به یادگار مانده است.</w:t>
      </w:r>
    </w:p>
    <w:p>
      <w:pPr>
        <w:pStyle w:val="BookText"/>
      </w:pPr>
      <w:r>
        <w:rPr>
          <w:rFonts w:ascii="IRNazanin" w:hAnsi="IRNazanin" w:eastAsia="IRNazanin" w:cs="IRNazanin"/>
          <w:lang w:bidi="fa-IR"/>
          <w:color w:val="111111"/>
          <w:sz w:val="28"/>
          <w:szCs w:val="28"/>
          <w:rtl/>
        </w:rPr>
        <w:t xml:space="preserve">[دانشنامه ادب فارسی ۱۳۶۰/۴ ؛ فهرستواره منزوی ۱۸۵۷/۳ ]</w:t>
      </w:r>
    </w:p>
    <w:p>
      <w:pPr>
        <w:pStyle w:val="BookText"/>
      </w:pPr>
      <w:r>
        <w:rPr>
          <w:rFonts w:ascii="IRNazanin" w:hAnsi="IRNazanin" w:eastAsia="IRNazanin" w:cs="IRNazanin"/>
          <w:lang w:bidi="fa-IR"/>
          <w:color w:val="111111"/>
          <w:sz w:val="28"/>
          <w:szCs w:val="28"/>
          <w:rtl/>
        </w:rPr>
        <w:t xml:space="preserve">۱. قم؛ مرعشی؛ شماره نسخه: ۱۷۵۰</w:t>
      </w:r>
    </w:p>
    <w:p>
      <w:pPr>
        <w:pStyle w:val="BookText"/>
      </w:pPr>
      <w:r>
        <w:rPr>
          <w:rFonts w:ascii="IRNazanin" w:hAnsi="IRNazanin" w:eastAsia="IRNazanin" w:cs="IRNazanin"/>
          <w:lang w:bidi="fa-IR"/>
          <w:color w:val="111111"/>
          <w:sz w:val="28"/>
          <w:szCs w:val="28"/>
          <w:rtl/>
        </w:rPr>
        <w:t xml:space="preserve">آغاز: بسمله. تجلی افروزیهای طور سینای خیال به ثنای اعجاز پروازیست که دمسازان سرو نفس از یمن افضالش با صبح صفا پرست دعوی دلگرمی دارند</w:t>
      </w:r>
    </w:p>
    <w:p>
      <w:pPr>
        <w:pStyle w:val="BookText"/>
      </w:pPr>
      <w:r>
        <w:rPr>
          <w:rFonts w:ascii="IRNazanin" w:hAnsi="IRNazanin" w:eastAsia="IRNazanin" w:cs="IRNazanin"/>
          <w:lang w:bidi="fa-IR"/>
          <w:color w:val="111111"/>
          <w:sz w:val="28"/>
          <w:szCs w:val="28"/>
          <w:rtl/>
        </w:rPr>
        <w:t xml:space="preserve">نسخه اصل: کتابخانه ندوة العلماء، لكهنو، هند، شماره ۱۱ (ردیف ۱۰۳). بخشی از ابتدای نسخه را در بر دارد؛ خط: نستعلیق شکسته، بی کا، تا: قرن ۱۳: مجدول؛ ۱۵ص، ۱۰-۱۵ سطر [عکسی ف: ۱۹۶۵]</w:t>
      </w:r>
    </w:p>
    <w:p>
      <w:pPr>
        <w:pStyle w:val="BookText"/>
      </w:pPr>
      <w:r>
        <w:rPr>
          <w:rFonts w:ascii="IRNazanin" w:hAnsi="IRNazanin" w:eastAsia="IRNazanin" w:cs="IRNazanin"/>
          <w:lang w:bidi="fa-IR"/>
          <w:color w:val="111111"/>
          <w:sz w:val="28"/>
          <w:szCs w:val="28"/>
          <w:rtl/>
        </w:rPr>
        <w:t xml:space="preserve">۲. قم؛ مرعشی؛ شماره نسخه: ۱۷۵۱</w:t>
      </w:r>
    </w:p>
    <w:p>
      <w:pPr>
        <w:pStyle w:val="BookText"/>
      </w:pPr>
      <w:r>
        <w:rPr>
          <w:rFonts w:ascii="IRNazanin" w:hAnsi="IRNazanin" w:eastAsia="IRNazanin" w:cs="IRNazanin"/>
          <w:lang w:bidi="fa-IR"/>
          <w:color w:val="111111"/>
          <w:sz w:val="28"/>
          <w:szCs w:val="28"/>
          <w:rtl/>
        </w:rPr>
        <w:t xml:space="preserve">آغاز: ای بیمروت تو نهين آتاغش آجاتاهی اکثر</w:t>
      </w:r>
    </w:p>
    <w:p>
      <w:pPr>
        <w:pStyle w:val="BookText"/>
      </w:pPr>
      <w:r>
        <w:rPr>
          <w:rFonts w:ascii="IRNazanin" w:hAnsi="IRNazanin" w:eastAsia="IRNazanin" w:cs="IRNazanin"/>
          <w:lang w:bidi="fa-IR"/>
          <w:color w:val="111111"/>
          <w:sz w:val="28"/>
          <w:szCs w:val="28"/>
          <w:rtl/>
        </w:rPr>
        <w:t xml:space="preserve">نسخه اصل: کتابخانه ندوة العلماء، لكهنو، هند، شماره ۱۱ (ردیف ۱۰۳). این تصویر ادامه تصویر شماره ۱۷۵۰ است؛ خط: نستعلیق شکسته، بی کا، بی تا؛ مجدول، متن خط خوردگی دارد؛ ۸۰ص، ۱۵ سطر [عکسی ف: ۵-۱۹۸]</w:t>
      </w:r>
    </w:p>
    <w:p>
      <w:pPr>
        <w:pStyle w:val="Heading3"/>
      </w:pPr>
      <w:bookmarkStart w:id="1050" w:name="_Toc310"/>
      <w:r>
        <w:t>•بهار جاوید = جاوید بهار / شعر / فارسی</w:t>
      </w:r>
      <w:bookmarkEnd w:id="1050"/>
    </w:p>
    <w:p>
      <w:pPr>
        <w:pStyle w:val="BookText"/>
      </w:pPr>
      <w:r>
        <w:rPr>
          <w:rFonts w:ascii="Times New Roman" w:hAnsi="Times New Roman" w:eastAsia="Times New Roman" w:cs="Times New Roman"/>
          <w:lang w:val="en-US" w:bidi="en-US"/>
          <w:color w:val="111111"/>
          <w:sz w:val="28"/>
          <w:szCs w:val="28"/>
          <w:rtl/>
        </w:rPr>
        <w:t xml:space="preserve">bahār-e jāvīd = jāvīd-e bahār</w:t>
      </w:r>
    </w:p>
    <w:p>
      <w:pPr>
        <w:pStyle w:val="BookText"/>
      </w:pPr>
      <w:r>
        <w:rPr>
          <w:rFonts w:ascii="IRNazanin" w:hAnsi="IRNazanin" w:eastAsia="IRNazanin" w:cs="IRNazanin"/>
          <w:lang w:bidi="fa-IR"/>
          <w:color w:val="111111"/>
          <w:sz w:val="28"/>
          <w:szCs w:val="28"/>
          <w:rtl/>
        </w:rPr>
        <w:t xml:space="preserve">منیر لاهوری، منیر بن عبد المجيد، ۱۰۱۹-۱۰۵۴ قمری</w:t>
      </w:r>
    </w:p>
    <w:p>
      <w:pPr>
        <w:pStyle w:val="BookText"/>
      </w:pPr>
      <w:r>
        <w:rPr>
          <w:rFonts w:ascii="Times New Roman" w:hAnsi="Times New Roman" w:eastAsia="Times New Roman" w:cs="Times New Roman"/>
          <w:lang w:val="en-US" w:bidi="en-US"/>
          <w:color w:val="111111"/>
          <w:sz w:val="28"/>
          <w:szCs w:val="28"/>
          <w:rtl/>
        </w:rPr>
        <w:t xml:space="preserve">monīr-e lāhūrī, monīr ebn-e 'abd-ol-majīd (1611-1645)</w:t>
      </w:r>
    </w:p>
    <w:p>
      <w:pPr>
        <w:pStyle w:val="BookText"/>
      </w:pPr>
      <w:r>
        <w:rPr>
          <w:rFonts w:ascii="IRNazanin" w:hAnsi="IRNazanin" w:eastAsia="IRNazanin" w:cs="IRNazanin"/>
          <w:lang w:bidi="fa-IR"/>
          <w:color w:val="111111"/>
          <w:sz w:val="28"/>
          <w:szCs w:val="28"/>
          <w:rtl/>
        </w:rPr>
        <w:t xml:space="preserve">مثنوی است در وصف کشمیر و بهار کشمیر، در آن شاه پور میرزا اعتقاد خان (د ۱۰۶۰ ق / ۱۶۵۰م) فرزند میرزا غیاث بیگ اعتماد الدوله را ستایش کرده است. با این گونه سربندها: مناجات، نعت، سبب تأليف، وصف کشمیر، وصف شهر، وصف نگار بازدار، وصف کمانگر ماهرو، وصف بت نجار، بت بزاز، ساربان، نگار مرده شوی، بت سقا، مناظره کشمیر و سبزان کشمیر، سرمای کشمیر، خانه های چوبین کشمیر، مناظره باد و باران، آلات ساز و آهنگ، هوای کشمیر، زمین کشمیر، کوه پیر پنجال، کوه ماران و بسیار موضوع های دیگر از کشمیر.</w:t>
      </w:r>
    </w:p>
    <w:p>
      <w:pPr>
        <w:pStyle w:val="BookText"/>
      </w:pPr>
      <w:r>
        <w:rPr>
          <w:rFonts w:ascii="IRNazanin" w:hAnsi="IRNazanin" w:eastAsia="IRNazanin" w:cs="IRNazanin"/>
          <w:lang w:bidi="fa-IR"/>
          <w:color w:val="111111"/>
          <w:sz w:val="28"/>
          <w:szCs w:val="28"/>
          <w:rtl/>
        </w:rPr>
        <w:t xml:space="preserve">چاپ: در «شعرای کشمیر» چاپ شده است.</w:t>
      </w:r>
    </w:p>
    <w:p>
      <w:pPr>
        <w:pStyle w:val="BookText"/>
      </w:pPr>
      <w:r>
        <w:rPr>
          <w:rFonts w:ascii="IRNazanin" w:hAnsi="IRNazanin" w:eastAsia="IRNazanin" w:cs="IRNazanin"/>
          <w:lang w:bidi="fa-IR"/>
          <w:color w:val="111111"/>
          <w:sz w:val="28"/>
          <w:szCs w:val="28"/>
          <w:rtl/>
        </w:rPr>
        <w:t xml:space="preserve">[مشترک پاکستان ۴۰/۷ (۲نسخه)؛ شعرای کشمیر ۱۴۶۵/۳ -۱۵۴۶]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04" w:name="pg20363_209282"/>
    <w:bookmarkEnd w:id="104"/>
    <w:p>
      <w:pPr>
        <w:pStyle w:val="BookText"/>
      </w:pPr>
      <w:r>
        <w:rPr>
          <w:rFonts w:ascii="IRNazanin" w:hAnsi="IRNazanin" w:eastAsia="IRNazanin" w:cs="IRNazanin"/>
          <w:lang w:bidi="fa-IR"/>
          <w:color w:val="111111"/>
          <w:sz w:val="28"/>
          <w:szCs w:val="28"/>
          <w:rtl/>
        </w:rPr>
        <w:t xml:space="preserve">تهران؛ دائرة المعارف؛ شماره نسخه: ۳۱۳/۵ -عکسی</w:t>
      </w:r>
    </w:p>
    <w:p>
      <w:pPr>
        <w:pStyle w:val="BookText"/>
      </w:pPr>
      <w:r>
        <w:rPr>
          <w:rFonts w:ascii="IRNazanin" w:hAnsi="IRNazanin" w:eastAsia="IRNazanin" w:cs="IRNazanin"/>
          <w:lang w:bidi="fa-IR"/>
          <w:color w:val="111111"/>
          <w:sz w:val="28"/>
          <w:szCs w:val="28"/>
          <w:rtl/>
        </w:rPr>
        <w:t xml:space="preserve">آغاز: الهی بلبل گلشن پرستم*** گل گلزار نغمه، ده به دستم؛ انجام: سخن راز و شکفته روی امید ***«بهار» ش نام کردم ليك «جاوید»</w:t>
      </w:r>
    </w:p>
    <w:p>
      <w:pPr>
        <w:pStyle w:val="BookText"/>
      </w:pPr>
      <w:r>
        <w:rPr>
          <w:rFonts w:ascii="IRNazanin" w:hAnsi="IRNazanin" w:eastAsia="IRNazanin" w:cs="IRNazanin"/>
          <w:lang w:bidi="fa-IR"/>
          <w:color w:val="111111"/>
          <w:sz w:val="28"/>
          <w:szCs w:val="28"/>
          <w:rtl/>
        </w:rPr>
        <w:t xml:space="preserve">نسخه اصل: گنج بخش، ش ۱۱۲۳ (گنج ۱۵۵۲/۳ )؛ خط: نستعلیق خوش، كا: قاضی صدرالدین محمد، تا: قرن ۱۱؛ در «کلیات» او؛ ۴۳گ (۵۲-۹۴) [عکسی ف: ۲-۴۲]</w:t>
      </w:r>
    </w:p>
    <w:p>
      <w:pPr>
        <w:pStyle w:val="Heading3"/>
      </w:pPr>
      <w:bookmarkStart w:id="1051" w:name="_Toc311"/>
      <w:r>
        <w:t>•بهار دانش / داستان / فارسی</w:t>
      </w:r>
      <w:bookmarkEnd w:id="1051"/>
    </w:p>
    <w:p>
      <w:pPr>
        <w:pStyle w:val="BookText"/>
      </w:pPr>
      <w:r>
        <w:rPr>
          <w:rFonts w:ascii="Times New Roman" w:hAnsi="Times New Roman" w:eastAsia="Times New Roman" w:cs="Times New Roman"/>
          <w:lang w:val="en-US" w:bidi="en-US"/>
          <w:color w:val="111111"/>
          <w:sz w:val="28"/>
          <w:szCs w:val="28"/>
          <w:rtl/>
        </w:rPr>
        <w:t xml:space="preserve">bahār-e dāneš</w:t>
      </w:r>
    </w:p>
    <w:p>
      <w:pPr>
        <w:pStyle w:val="BookText"/>
      </w:pPr>
      <w:r>
        <w:rPr>
          <w:rFonts w:ascii="IRNazanin" w:hAnsi="IRNazanin" w:eastAsia="IRNazanin" w:cs="IRNazanin"/>
          <w:lang w:bidi="fa-IR"/>
          <w:color w:val="111111"/>
          <w:sz w:val="28"/>
          <w:szCs w:val="28"/>
          <w:rtl/>
        </w:rPr>
        <w:t xml:space="preserve">کنبو لاهوری، عنایت الله، ۱۰۱۷-۱۰۸۲ قمری</w:t>
      </w:r>
    </w:p>
    <w:p>
      <w:pPr>
        <w:pStyle w:val="BookText"/>
      </w:pPr>
      <w:r>
        <w:rPr>
          <w:rFonts w:ascii="Times New Roman" w:hAnsi="Times New Roman" w:eastAsia="Times New Roman" w:cs="Times New Roman"/>
          <w:lang w:val="en-US" w:bidi="en-US"/>
          <w:color w:val="111111"/>
          <w:sz w:val="28"/>
          <w:szCs w:val="28"/>
          <w:rtl/>
        </w:rPr>
        <w:t xml:space="preserve">kambū lāhūrī, 'enāyat-ol-lāh (1609-1672)</w:t>
      </w:r>
    </w:p>
    <w:p>
      <w:pPr>
        <w:pStyle w:val="BookText"/>
      </w:pPr>
      <w:r>
        <w:rPr>
          <w:rFonts w:ascii="IRNazanin" w:hAnsi="IRNazanin" w:eastAsia="IRNazanin" w:cs="IRNazanin"/>
          <w:lang w:bidi="fa-IR"/>
          <w:color w:val="111111"/>
          <w:sz w:val="28"/>
          <w:szCs w:val="28"/>
          <w:rtl/>
        </w:rPr>
        <w:t xml:space="preserve">اهدا به: شهاب الدين محمد ثانی شاه جهان پادشاه گورکانی هند تاريخ تأليف: ۱۰۶۱ق</w:t>
      </w:r>
    </w:p>
    <w:p>
      <w:pPr>
        <w:pStyle w:val="BookText"/>
      </w:pPr>
      <w:r>
        <w:rPr>
          <w:rFonts w:ascii="IRNazanin" w:hAnsi="IRNazanin" w:eastAsia="IRNazanin" w:cs="IRNazanin"/>
          <w:lang w:bidi="fa-IR"/>
          <w:color w:val="111111"/>
          <w:sz w:val="28"/>
          <w:szCs w:val="28"/>
          <w:rtl/>
        </w:rPr>
        <w:t xml:space="preserve">داستانی است عاشقانه و ادبی با نثری پر از استعاره و کنایه و تقریبا مسجع. موضوع آن معاشقه جهاندار شاه و بهره ور (مهرور) بانو بر اساس حکایات قدیم هندی می باشد که به تقلید از عیار دانش که تحریری از کلیله و دمنه است. ترتیب داده شده، مؤلف در حین سیر طبیعی داستان، افسانه های متعددی در پند و اندرزهایی از قبیل «بیوفایی زنان، کارهای سترگ را بی خوض آزمودن خطاست، دشمن را حقیر نتوان شمرد ...» نقل کرده است. رساله به دیباچه مولانا محمد صالح برادر و شاگرد مؤلف ابتدا می شود. چنانکه می گوید: «بر آن سر است که تحریر دیباچه این سواد اعظم قبول اقبال که خرد معنی پرور به بهار دانش موسوم ساخته ... پرورده حسن اعتقاد خاک راه آل محمد صالح که با آن جوهر پاک نسبت هم گوهری و شاگردی دارد. به زبان انگلیسی و آلمانی و فرانسوی ترجمه شده و حسنعلی عزت در زمان تیپو صاحب، آن را به رشته نظم کشیده است.</w:t>
      </w:r>
    </w:p>
    <w:p>
      <w:pPr>
        <w:pStyle w:val="BookText"/>
      </w:pPr>
      <w:r>
        <w:rPr>
          <w:rFonts w:ascii="IRNazanin" w:hAnsi="IRNazanin" w:eastAsia="IRNazanin" w:cs="IRNazanin"/>
          <w:lang w:bidi="fa-IR"/>
          <w:color w:val="111111"/>
          <w:sz w:val="28"/>
          <w:szCs w:val="28"/>
          <w:rtl/>
        </w:rPr>
        <w:t xml:space="preserve">آغاز: دبیا چه: بسمله فاتحه کتاب مستطاب آفرینش که پیرایه صحیفه ذاتش وبینش حمد خداوند خرد بخش سخن آفرین صورت برای معنی ایجاد و تکوین است ... متن: پیرایه ده دیباچه سخن، حمد حکیمی است که ملک معنی را به وساطت تیغ ناطقه مسخر معشر بشر گردانید ...</w:t>
      </w:r>
    </w:p>
    <w:p>
      <w:pPr>
        <w:pStyle w:val="BookText"/>
      </w:pPr>
      <w:r>
        <w:rPr>
          <w:rFonts w:ascii="IRNazanin" w:hAnsi="IRNazanin" w:eastAsia="IRNazanin" w:cs="IRNazanin"/>
          <w:lang w:bidi="fa-IR"/>
          <w:color w:val="111111"/>
          <w:sz w:val="28"/>
          <w:szCs w:val="28"/>
          <w:rtl/>
        </w:rPr>
        <w:t xml:space="preserve">انجام: سیه کاری مکن چون خامه خویش*** بشنو از چشم پر خون نامه خویش / زبان را گوشمال خاموشی ده ***که هست از برده کوی خاموشی به</w:t>
      </w:r>
    </w:p>
    <w:p>
      <w:pPr>
        <w:pStyle w:val="BookText"/>
      </w:pPr>
      <w:r>
        <w:rPr>
          <w:rFonts w:ascii="IRNazanin" w:hAnsi="IRNazanin" w:eastAsia="IRNazanin" w:cs="IRNazanin"/>
          <w:lang w:bidi="fa-IR"/>
          <w:color w:val="111111"/>
          <w:sz w:val="28"/>
          <w:szCs w:val="28"/>
          <w:rtl/>
        </w:rPr>
        <w:t xml:space="preserve">چاپ: در هند به سال ۱۲۶۱ و پس از آن بارها چاپ شده است؛ کانپور، سنگی، وزیری، ۴۵۰ص؛ بمبئی، ۱۲۹۳ق، ۲۸۸ص</w:t>
      </w:r>
    </w:p>
    <w:p>
      <w:pPr>
        <w:pStyle w:val="BookText"/>
      </w:pPr>
      <w:r>
        <w:rPr>
          <w:rFonts w:ascii="IRNazanin" w:hAnsi="IRNazanin" w:eastAsia="IRNazanin" w:cs="IRNazanin"/>
          <w:lang w:bidi="fa-IR"/>
          <w:color w:val="111111"/>
          <w:sz w:val="28"/>
          <w:szCs w:val="28"/>
          <w:rtl/>
        </w:rPr>
        <w:t xml:space="preserve">[نسخه های منزوی ۳۵۳۳/۵ ؛ فهرست مشترک پاکستان ۱۰۰۷/۷ و ۱۰۰۷/۶ ؛ الذريعة ۱۵۸/۳ ؛ مشار فارسی</w:t>
      </w:r>
    </w:p>
    <w:p>
      <w:pPr>
        <w:pStyle w:val="BookText"/>
      </w:pPr>
      <w:r>
        <w:rPr>
          <w:rFonts w:ascii="IRNazanin" w:hAnsi="IRNazanin" w:eastAsia="IRNazanin" w:cs="IRNazanin"/>
          <w:lang w:bidi="fa-IR"/>
          <w:color w:val="111111"/>
          <w:sz w:val="28"/>
          <w:szCs w:val="28"/>
          <w:rtl/>
        </w:rPr>
        <w:t xml:space="preserve">۸۰۳/۱ ؛ فهرستواره منزوی ۲۹۲/۱ ]</w:t>
      </w:r>
    </w:p>
    <w:p>
      <w:pPr>
        <w:pStyle w:val="BookText"/>
      </w:pPr>
      <w:r>
        <w:rPr>
          <w:rFonts w:ascii="IRNazanin" w:hAnsi="IRNazanin" w:eastAsia="IRNazanin" w:cs="IRNazanin"/>
          <w:lang w:bidi="fa-IR"/>
          <w:color w:val="111111"/>
          <w:sz w:val="28"/>
          <w:szCs w:val="28"/>
          <w:rtl/>
        </w:rPr>
        <w:t xml:space="preserve">١. مشهد؛ میبدی؛ شماره نسخه: ۱۳۷</w:t>
      </w:r>
    </w:p>
    <w:p>
      <w:pPr>
        <w:pStyle w:val="BookText"/>
      </w:pPr>
      <w:r>
        <w:rPr>
          <w:rFonts w:ascii="IRNazanin" w:hAnsi="IRNazanin" w:eastAsia="IRNazanin" w:cs="IRNazanin"/>
          <w:lang w:bidi="fa-IR"/>
          <w:color w:val="111111"/>
          <w:sz w:val="28"/>
          <w:szCs w:val="28"/>
          <w:rtl/>
        </w:rPr>
        <w:t xml:space="preserve">آغاز: همه از صنع تو مکان و مکین همه در امر تو زمان و زمین خط: نستعلیق هندی، بی کا، تا: ۹۰۳ق؛ افتادگی: آغاز؛ مجدول ۲۰۶گی، ۱۸ سطر، اندازه: ۲۸۶۱۷سم [ف: ۱-۱۱۶]</w:t>
      </w:r>
    </w:p>
    <w:p>
      <w:pPr>
        <w:pStyle w:val="BookText"/>
      </w:pPr>
      <w:r>
        <w:rPr>
          <w:rFonts w:ascii="IRNazanin" w:hAnsi="IRNazanin" w:eastAsia="IRNazanin" w:cs="IRNazanin"/>
          <w:lang w:bidi="fa-IR"/>
          <w:color w:val="111111"/>
          <w:sz w:val="28"/>
          <w:szCs w:val="28"/>
          <w:rtl/>
        </w:rPr>
        <w:t xml:space="preserve">۲. تهران؛ ملی؛ شماره نسخه: ۲۱۲۰۷ بی کا، تا: قرن ۱۱؛ خریداری از مصطفی حسینی[رایانه]</w:t>
      </w:r>
    </w:p>
    <w:p>
      <w:pPr>
        <w:pStyle w:val="BookText"/>
      </w:pPr>
      <w:r>
        <w:rPr>
          <w:rFonts w:ascii="IRNazanin" w:hAnsi="IRNazanin" w:eastAsia="IRNazanin" w:cs="IRNazanin"/>
          <w:lang w:bidi="fa-IR"/>
          <w:color w:val="111111"/>
          <w:sz w:val="28"/>
          <w:szCs w:val="28"/>
          <w:rtl/>
        </w:rPr>
        <w:t xml:space="preserve">٣. قم؛ مرعشی؛ شماره نسخه: ۷۶۹۳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۱۰۹۱ق؛ مجدول، دارای سر لوح رنگین؛ جلد: تیماج قهوه ای، ۲۰۶گ، ۱۹ سطر، اندازه: ۲۸/۵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۲۰-۷۵]</w:t>
      </w:r>
    </w:p>
    <w:p>
      <w:pPr>
        <w:pStyle w:val="BookText"/>
      </w:pPr>
      <w:r>
        <w:rPr>
          <w:rFonts w:ascii="IRNazanin" w:hAnsi="IRNazanin" w:eastAsia="IRNazanin" w:cs="IRNazanin"/>
          <w:lang w:bidi="fa-IR"/>
          <w:color w:val="111111"/>
          <w:sz w:val="28"/>
          <w:szCs w:val="28"/>
          <w:rtl/>
        </w:rPr>
        <w:t xml:space="preserve">۴. مشهد؛ رضوی، شماره نسخه: ۱۶۰۷۵</w:t>
      </w:r>
    </w:p>
    <w:p>
      <w:pPr>
        <w:pStyle w:val="BookText"/>
      </w:pPr>
      <w:r>
        <w:rPr>
          <w:rFonts w:ascii="IRNazanin" w:hAnsi="IRNazanin" w:eastAsia="IRNazanin" w:cs="IRNazanin"/>
          <w:lang w:bidi="fa-IR"/>
          <w:color w:val="111111"/>
          <w:sz w:val="28"/>
          <w:szCs w:val="28"/>
          <w:rtl/>
        </w:rPr>
        <w:t xml:space="preserve">آغاز: کیفیت شرایف صفات چنان گرهی بر زبان نیفتاده که شرح انجام: در همه کوی و مملکت آوازه در افتاد مرد و زن اهل برزن.</w:t>
      </w:r>
    </w:p>
    <w:p>
      <w:pPr>
        <w:pStyle w:val="BookText"/>
      </w:pPr>
      <w:r>
        <w:rPr>
          <w:rFonts w:ascii="IRNazanin" w:hAnsi="IRNazanin" w:eastAsia="IRNazanin" w:cs="IRNazanin"/>
          <w:lang w:bidi="fa-IR"/>
          <w:color w:val="111111"/>
          <w:sz w:val="28"/>
          <w:szCs w:val="28"/>
          <w:rtl/>
        </w:rPr>
        <w:t xml:space="preserve">خط: نستعلیق، بی کا، تا: قرن ۱۲؛ افتادگی: آغاز و انجام (از اواسط حدود ۳۵ صفحه و از انتها یک سوم کتاب ساقط شده)؛ واگذاری بنیاد مستضعفان در شهریور ۱۳۶۷؛ کاغذ: نخودی، جلد: اسقاطی، ۱۷۹گ، ۱۴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۱۷-۳۶]</w:t>
      </w:r>
    </w:p>
    <w:p>
      <w:pPr>
        <w:pStyle w:val="BookText"/>
      </w:pPr>
      <w:r>
        <w:rPr>
          <w:rFonts w:ascii="Amiri" w:hAnsi="Amiri" w:eastAsia="Amiri" w:cs="Amiri"/>
          <w:lang w:bidi="ar-SA"/>
          <w:color w:val="111111"/>
          <w:sz w:val="28"/>
          <w:szCs w:val="28"/>
          <w:rtl/>
        </w:rPr>
        <w:t xml:space="preserve">۵. تهران: دائرة المعارف؛ شماره نسخه: ۴۵۸</w:t>
      </w:r>
    </w:p>
    <w:p>
      <w:pPr>
        <w:pStyle w:val="BookText"/>
      </w:pPr>
      <w:r>
        <w:rPr>
          <w:rFonts w:ascii="IRNazanin" w:hAnsi="IRNazanin" w:eastAsia="IRNazanin" w:cs="IRNazanin"/>
          <w:lang w:bidi="fa-IR"/>
          <w:color w:val="111111"/>
          <w:sz w:val="28"/>
          <w:szCs w:val="28"/>
          <w:rtl/>
        </w:rPr>
        <w:t xml:space="preserve">آغاز: برابر؛ انجام: خار و خاشاک، ز بد کف ...</w:t>
      </w:r>
    </w:p>
    <w:p>
      <w:pPr>
        <w:pStyle w:val="BookText"/>
      </w:pPr>
      <w:r>
        <w:rPr>
          <w:rFonts w:ascii="IRNazanin" w:hAnsi="IRNazanin" w:eastAsia="IRNazanin" w:cs="IRNazanin"/>
          <w:lang w:bidi="fa-IR"/>
          <w:color w:val="111111"/>
          <w:sz w:val="28"/>
          <w:szCs w:val="28"/>
          <w:rtl/>
        </w:rPr>
        <w:t xml:space="preserve">خط: نستعلیق پخته، بی کا، تا: قرنهای ۱۱-۱۲؛ با واژه نامه ای در پایان، آغاز موجود: «... حیرت فرو رفته به صنعتهای رنگارنگ صانع »؛ جلد: مقوا، عطف پارچه، ۲۲۳ گ، ۱۵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۱-۳۶]</w:t>
      </w:r>
    </w:p>
    <w:p>
      <w:pPr>
        <w:pStyle w:val="BookText"/>
      </w:pPr>
      <w:r>
        <w:rPr>
          <w:rFonts w:ascii="IRNazanin" w:hAnsi="IRNazanin" w:eastAsia="IRNazanin" w:cs="IRNazanin"/>
          <w:lang w:bidi="fa-IR"/>
          <w:color w:val="111111"/>
          <w:sz w:val="28"/>
          <w:szCs w:val="28"/>
          <w:rtl/>
        </w:rPr>
        <w:t xml:space="preserve">۶. مشهد؛ الهیات؛ شماره نسخه: ۴۲</w:t>
      </w:r>
    </w:p>
    <w:p>
      <w:pPr>
        <w:pStyle w:val="BookText"/>
      </w:pPr>
      <w:r>
        <w:rPr>
          <w:rFonts w:ascii="IRNazanin" w:hAnsi="IRNazanin" w:eastAsia="IRNazanin" w:cs="IRNazanin"/>
          <w:lang w:bidi="fa-IR"/>
          <w:color w:val="111111"/>
          <w:sz w:val="28"/>
          <w:szCs w:val="28"/>
          <w:rtl/>
        </w:rPr>
        <w:t xml:space="preserve">خط: نستعلیق، بی کا، تا: قرن ۱۲، به شیوه هندی؛ ۱۹۱، ۱۶ و ۱۸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۱-۲۳]</w:t>
      </w:r>
    </w:p>
    <w:p>
      <w:pPr>
        <w:pStyle w:val="BookText"/>
      </w:pPr>
      <w:r>
        <w:rPr>
          <w:rFonts w:ascii="IRNazanin" w:hAnsi="IRNazanin" w:eastAsia="IRNazanin" w:cs="IRNazanin"/>
          <w:lang w:bidi="fa-IR"/>
          <w:color w:val="111111"/>
          <w:sz w:val="28"/>
          <w:szCs w:val="28"/>
          <w:rtl/>
        </w:rPr>
        <w:t xml:space="preserve">٧. مشهد؛ رضوی؛ شماره نسخه: ۴۱۷۵</w:t>
      </w:r>
    </w:p>
    <w:p>
      <w:pPr>
        <w:pStyle w:val="BookText"/>
      </w:pPr>
      <w:r>
        <w:rPr>
          <w:rFonts w:ascii="IRNazanin" w:hAnsi="IRNazanin" w:eastAsia="IRNazanin" w:cs="IRNazanin"/>
          <w:lang w:bidi="fa-IR"/>
          <w:color w:val="111111"/>
          <w:sz w:val="28"/>
          <w:szCs w:val="28"/>
          <w:rtl/>
        </w:rPr>
        <w:t xml:space="preserve">آغاز: برابر؛ انجام: جهان فضل و هنر بهنگام آرایش ابن نوآیین پیکر از مفلسی نقد معانی بمنزله. (ده سطر از خاتمه نسخه ما افتاده است). خط: نستعلیق هندی، بی کا، تا: قرن ۱۲؛ واقف: نایینی؛ کاغذ: کاهی، جلد: چرمی قهوه ای، ۱۷۱ ، ۲۳ سطر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۲۷/۵)،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سم [ف: ۷-۲۳]</w:t>
      </w:r>
    </w:p>
    <w:p>
      <w:pPr>
        <w:pStyle w:val="BookText"/>
      </w:pPr>
      <w:r>
        <w:rPr>
          <w:rFonts w:ascii="IRNazanin" w:hAnsi="IRNazanin" w:eastAsia="IRNazanin" w:cs="IRNazanin"/>
          <w:lang w:bidi="fa-IR"/>
          <w:color w:val="111111"/>
          <w:sz w:val="28"/>
          <w:szCs w:val="28"/>
          <w:rtl/>
        </w:rPr>
        <w:t xml:space="preserve">۸. تهران، دانشگاه؛ شماره نسخه: ۳۹۹۱</w:t>
      </w:r>
    </w:p>
    <w:p>
      <w:pPr>
        <w:pStyle w:val="BookText"/>
      </w:pPr>
      <w:r>
        <w:rPr>
          <w:rFonts w:ascii="IRNazanin" w:hAnsi="IRNazanin" w:eastAsia="IRNazanin" w:cs="IRNazanin"/>
          <w:lang w:bidi="fa-IR"/>
          <w:color w:val="111111"/>
          <w:sz w:val="28"/>
          <w:szCs w:val="28"/>
          <w:rtl/>
        </w:rPr>
        <w:t xml:space="preserve">خط: نستعلیق، بی کا، تا: قرن ۱۱ و ۱۲؛ افتادگی: آغاز و انجام (از پایان سه عنوان کم دارد)؛ مجدول؛ یادداشت ۱۲ ذیقعده ۱۲۹ (۱۲۰۹) و ۲۴ ربيع الثانی ۱۳۰۳ با مهر مصطفی ۱۱۵؛ کاغذ: هندی، جلد: تیماج سبز ضربی مقوایی، ۲۴۰گ، ۲۱ سطر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۱۲-۲۹۸۴]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قم؛ گلپایگانی شماره نسخه: ۲۹/۱۳۵۵۷۹۵</w:t>
      </w:r>
    </w:p>
    <w:p>
      <w:pPr>
        <w:pStyle w:val="BookText"/>
      </w:pPr>
      <w:r>
        <w:rPr>
          <w:rFonts w:ascii="IRNazanin" w:hAnsi="IRNazanin" w:eastAsia="IRNazanin" w:cs="IRNazanin"/>
          <w:lang w:bidi="fa-IR"/>
          <w:color w:val="111111"/>
          <w:sz w:val="28"/>
          <w:szCs w:val="28"/>
          <w:rtl/>
        </w:rPr>
        <w:t xml:space="preserve">آغاز: بیت: هیچ کس از مبدء فیاض بی قسمت نماند***از در صاحب سخا سائل نگردد بی نصیب. تمثيل: شدم روزی ز بهر سیر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باغ*** گلی دیدم شگفته در گلستان؛ انجام: نوشیروان در غضب شد و گفت نه پنداری که من او را در حالتی که متشکل به اشکال مختلفه می گردید نمی شناختم و حقیقت شعبده بازی او بر من ظاهر خط: نستعلیق، بی کا، تا: قرن ۱۲؛ جلد: مقوا، ۳۲گ، ۱۵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سم [ف: ۲-۶۳۴]</w:t>
      </w:r>
    </w:p>
    <w:p>
      <w:pPr>
        <w:pStyle w:val="BookText"/>
      </w:pPr>
      <w:r>
        <w:rPr>
          <w:rFonts w:ascii="IRNazanin" w:hAnsi="IRNazanin" w:eastAsia="IRNazanin" w:cs="IRNazanin"/>
          <w:lang w:bidi="fa-IR"/>
          <w:color w:val="111111"/>
          <w:sz w:val="28"/>
          <w:szCs w:val="28"/>
          <w:rtl/>
        </w:rPr>
        <w:t xml:space="preserve">۱۰. تهران؛ ملک؛ شماره نسخه: ۱۹۷۳</w:t>
      </w:r>
    </w:p>
    <w:p>
      <w:pPr>
        <w:pStyle w:val="BookText"/>
      </w:pPr>
      <w:r>
        <w:rPr>
          <w:rFonts w:ascii="IRNazanin" w:hAnsi="IRNazanin" w:eastAsia="IRNazanin" w:cs="IRNazanin"/>
          <w:lang w:bidi="fa-IR"/>
          <w:color w:val="111111"/>
          <w:sz w:val="28"/>
          <w:szCs w:val="28"/>
          <w:rtl/>
        </w:rPr>
        <w:t xml:space="preserve">خط: نستعلیق، بی کا، تا: قرن ۱۲ (سنه ۱۶۰ جلوس)؛ تملك: على اصغر حسینی در ۱۲۹۹؛ کاغذ: کاغذ ترمه، جلد: عطف و گوشه میشن سیاه رویه ابری فرنگی، ۲۷۹ گ، ۱۹ سطر، اندازه: ۲۶/۸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۱۶/۳ سم [ف: ۲-۶۱]</w:t>
      </w:r>
    </w:p>
    <w:p>
      <w:pPr>
        <w:pStyle w:val="BookText"/>
      </w:pPr>
      <w:r>
        <w:rPr>
          <w:rFonts w:ascii="IRNazanin" w:hAnsi="IRNazanin" w:eastAsia="IRNazanin" w:cs="IRNazanin"/>
          <w:lang w:bidi="fa-IR"/>
          <w:color w:val="111111"/>
          <w:sz w:val="28"/>
          <w:szCs w:val="28"/>
          <w:rtl/>
        </w:rPr>
        <w:t xml:space="preserve">۱۱. مشهد؛ رضوی؛ شماره نسخه: ۱۰۲۳۵</w:t>
      </w:r>
    </w:p>
    <w:p>
      <w:pPr>
        <w:pStyle w:val="BookText"/>
      </w:pPr>
      <w:r>
        <w:rPr>
          <w:rFonts w:ascii="IRNazanin" w:hAnsi="IRNazanin" w:eastAsia="IRNazanin" w:cs="IRNazanin"/>
          <w:lang w:bidi="fa-IR"/>
          <w:color w:val="111111"/>
          <w:sz w:val="28"/>
          <w:szCs w:val="28"/>
          <w:rtl/>
        </w:rPr>
        <w:t xml:space="preserve">آغاز و انجام: برابر خط: نستعلیق خوش، بی کا، تا: شنبه ۲ محرم ۱۱۱۵ ق؛ مجدول دارای کمند، دارای سرلوح، صفحات اول و دوم تمام مرصع و بين السطور طلااندازی، اطراف تصاویر پر کار، با شانزده تصویر رنگی زیبا به سبک هندی؛ کاغذ: کشمیری نخودی آهار مهره، جلد: میشن عنابی ضربی دو رویه مزین به شمسه و لچک ترنج های زرین زمینه مشکی عطف: تیماج عنابی، ۳۵۹ گ، ۱۴  سطر، اندازه: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۹-۹۲]</w:t>
      </w:r>
    </w:p>
    <w:p>
      <w:pPr>
        <w:pStyle w:val="BookText"/>
      </w:pPr>
      <w:r>
        <w:rPr>
          <w:rFonts w:ascii="IRNazanin" w:hAnsi="IRNazanin" w:eastAsia="IRNazanin" w:cs="IRNazanin"/>
          <w:lang w:bidi="fa-IR"/>
          <w:color w:val="111111"/>
          <w:sz w:val="28"/>
          <w:szCs w:val="28"/>
          <w:rtl/>
        </w:rPr>
        <w:t xml:space="preserve">۱۲. تهران، دانشگاه؛ شماره نسخه: ۳۹۹۷</w:t>
      </w:r>
    </w:p>
    <w:p>
      <w:pPr>
        <w:pStyle w:val="BookText"/>
      </w:pPr>
      <w:r>
        <w:rPr>
          <w:rFonts w:ascii="IRNazanin" w:hAnsi="IRNazanin" w:eastAsia="IRNazanin" w:cs="IRNazanin"/>
          <w:lang w:bidi="fa-IR"/>
          <w:color w:val="111111"/>
          <w:sz w:val="28"/>
          <w:szCs w:val="28"/>
          <w:rtl/>
        </w:rPr>
        <w:t xml:space="preserve">خط: نستعلیق، كا: غلام رسول پسر حافظ عبدالرحیم، تا: ۲ رجب ۱۱۲۰ق، زمان محمد شاه غاری؛ مجدول، سه عنوان «نقش بستن بهر و ربانو ...» و «بسر آمدن جام عمر جهاندار ...» و «فاتحه کتاب معنی ...» افزوده دارد؛ کاغذ: هندی، جلد: تیماج حنایی ضربی مقوایی، ۲۶۱گ، ۱۷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۱۲۔ ۲۹۸۸ ]</w:t>
      </w:r>
    </w:p>
    <w:p>
      <w:pPr>
        <w:pStyle w:val="BookText"/>
      </w:pPr>
      <w:r>
        <w:rPr>
          <w:rFonts w:ascii="IRNazanin" w:hAnsi="IRNazanin" w:eastAsia="IRNazanin" w:cs="IRNazanin"/>
          <w:lang w:bidi="fa-IR"/>
          <w:color w:val="111111"/>
          <w:sz w:val="28"/>
          <w:szCs w:val="28"/>
          <w:rtl/>
        </w:rPr>
        <w:t xml:space="preserve">۱۳. تهران: مجلس؛ شماره نسخه: ۷۹۰۰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شیخ غلام محی الدین ساکن حیدرآباد، تا: 11 رمضان ۱۱۷۶ق؛ تملك: محمد کریم بن علی اکبر بن فضل الله سلطان بن محمد سلطان، اهداء نسخه توسط کاتب به ابوالقاسم به تاریخ ۱۱۷۷؛ جلد: تیماج سرخ، سوخت، ۱۶۲گ، ۱۵ 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w:t>
      </w:r>
    </w:p>
    <w:p>
      <w:pPr>
        <w:pStyle w:val="BookText"/>
      </w:pPr>
      <w:r>
        <w:rPr>
          <w:rFonts w:ascii="IRNazanin" w:hAnsi="IRNazanin" w:eastAsia="IRNazanin" w:cs="IRNazanin"/>
          <w:lang w:bidi="fa-IR"/>
          <w:color w:val="111111"/>
          <w:sz w:val="28"/>
          <w:szCs w:val="28"/>
          <w:rtl/>
        </w:rPr>
        <w:t xml:space="preserve">سم [ف: ۲۶-۳۷۹]</w:t>
      </w:r>
    </w:p>
    <w:p>
      <w:pPr>
        <w:pStyle w:val="BookText"/>
      </w:pPr>
      <w:r>
        <w:rPr>
          <w:rFonts w:ascii="IRNazanin" w:hAnsi="IRNazanin" w:eastAsia="IRNazanin" w:cs="IRNazanin"/>
          <w:lang w:bidi="fa-IR"/>
          <w:color w:val="111111"/>
          <w:sz w:val="28"/>
          <w:szCs w:val="28"/>
          <w:rtl/>
        </w:rPr>
        <w:t xml:space="preserve">۱۴. مشهد؛ رضوی؛ شماره نسخه: ۱۲۳۱۶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۱۳؛ واقف: سید جلال الدین تهرانی، مرداد ۱۳۶۱؛ کاغذ: شکری فرنگی، جلد: تیماج خرمایی سیر، ۲۲۶گ، ۱۵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۲۹/۵سم [ف: ۱۷-۳۵]</w:t>
      </w:r>
    </w:p>
    <w:p>
      <w:pPr>
        <w:pStyle w:val="BookText"/>
      </w:pPr>
      <w:r>
        <w:rPr>
          <w:rFonts w:ascii="IRNazanin" w:hAnsi="IRNazanin" w:eastAsia="IRNazanin" w:cs="IRNazanin"/>
          <w:lang w:bidi="fa-IR"/>
          <w:color w:val="111111"/>
          <w:sz w:val="28"/>
          <w:szCs w:val="28"/>
          <w:rtl/>
        </w:rPr>
        <w:t xml:space="preserve">۱۵. مشهد؛ رضوی؛ شماره نسخه: ۱۶۴۶۲</w:t>
      </w:r>
    </w:p>
    <w:p>
      <w:pPr>
        <w:pStyle w:val="BookText"/>
      </w:pPr>
      <w:r>
        <w:rPr>
          <w:rFonts w:ascii="IRNazanin" w:hAnsi="IRNazanin" w:eastAsia="IRNazanin" w:cs="IRNazanin"/>
          <w:lang w:bidi="fa-IR"/>
          <w:color w:val="111111"/>
          <w:sz w:val="28"/>
          <w:szCs w:val="28"/>
          <w:rtl/>
        </w:rPr>
        <w:t xml:space="preserve">آغاز: برابر؛ انجام: در انجمن سامی یار دانسته اسباب نعمت و آلات را مشگری فراهم. خط شکسته نستعلیق به شیوه هندی، بی کا، تا: قرن ۱۳؛ افتادگی: انجام (حدود یک سوم کتاب از انتها ساقط شده)؛ مجدول؛ واگذاری بنیاد مستضعفان در شهریور ۱۳۶۷؛ کاغذ: حنایی موریانه خورده شدید، جلد: مقوایی، ۲۴۰گ، ۱۳ سطر، اندازه: ۲۳/۵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۱۷-۳۶]</w:t>
      </w:r>
    </w:p>
    <w:p>
      <w:pPr>
        <w:pStyle w:val="BookText"/>
      </w:pPr>
      <w:r>
        <w:rPr>
          <w:rFonts w:ascii="IRNazanin" w:hAnsi="IRNazanin" w:eastAsia="IRNazanin" w:cs="IRNazanin"/>
          <w:lang w:bidi="fa-IR"/>
          <w:color w:val="111111"/>
          <w:sz w:val="28"/>
          <w:szCs w:val="28"/>
          <w:rtl/>
        </w:rPr>
        <w:t xml:space="preserve">۱۶. قم؛ گلپایگانی؛ شماره نسخه: ۶۸۳۲- ۳۵/۱۲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۱۳؛ دارای تملکی به تاریخ ۱۲۸۷ ق؛ جلد: تیماج مشکی مجدول با ترنج و سرترنج، ۱۴۰ گ، ۱۹ سطر،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۲-۶۳۳]</w:t>
      </w:r>
    </w:p>
    <w:p>
      <w:pPr>
        <w:pStyle w:val="BookText"/>
      </w:pPr>
      <w:r>
        <w:rPr>
          <w:rFonts w:ascii="IRNazanin" w:hAnsi="IRNazanin" w:eastAsia="IRNazanin" w:cs="IRNazanin"/>
          <w:lang w:bidi="fa-IR"/>
          <w:color w:val="111111"/>
          <w:sz w:val="28"/>
          <w:szCs w:val="28"/>
          <w:rtl/>
        </w:rPr>
        <w:t xml:space="preserve">۱۷. تهران؛ ملی؛ شماره نسخه: ۱۷۰۰۵</w:t>
      </w:r>
    </w:p>
    <w:p>
      <w:pPr>
        <w:pStyle w:val="BookText"/>
      </w:pPr>
      <w:r>
        <w:rPr>
          <w:rFonts w:ascii="IRNazanin" w:hAnsi="IRNazanin" w:eastAsia="IRNazanin" w:cs="IRNazanin"/>
          <w:lang w:bidi="fa-IR"/>
          <w:color w:val="111111"/>
          <w:sz w:val="28"/>
          <w:szCs w:val="28"/>
          <w:rtl/>
        </w:rPr>
        <w:t xml:space="preserve">کا: محمد نصیر الدین بن شیخ محمود ابن عبد الواحد صدیقی، تا: قرن ۱۳؛ خریداری از بیژن پاینده آزاد؛ اندازه: ۱۷/۶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۳۱/۵سم [رایانه ]</w:t>
      </w:r>
    </w:p>
    <w:p>
      <w:pPr>
        <w:pStyle w:val="BookText"/>
      </w:pPr>
      <w:r>
        <w:rPr>
          <w:rFonts w:ascii="IRNazanin" w:hAnsi="IRNazanin" w:eastAsia="IRNazanin" w:cs="IRNazanin"/>
          <w:lang w:bidi="fa-IR"/>
          <w:color w:val="111111"/>
          <w:sz w:val="28"/>
          <w:szCs w:val="28"/>
          <w:rtl/>
        </w:rPr>
        <w:t xml:space="preserve">۱۸. مشهد؛ رضوی؛ شماره نسخه: ۳۵۴۷۶</w:t>
      </w:r>
    </w:p>
    <w:p>
      <w:pPr>
        <w:pStyle w:val="BookText"/>
      </w:pPr>
      <w:r>
        <w:rPr>
          <w:rFonts w:ascii="IRNazanin" w:hAnsi="IRNazanin" w:eastAsia="IRNazanin" w:cs="IRNazanin"/>
          <w:lang w:bidi="fa-IR"/>
          <w:color w:val="111111"/>
          <w:sz w:val="28"/>
          <w:szCs w:val="28"/>
          <w:rtl/>
        </w:rPr>
        <w:t xml:space="preserve">انجام: آغاز تحرک سلسله شناسای صورت بهره ... اگر سلطان کشور گشای دل و سپهدار</w:t>
      </w:r>
    </w:p>
    <w:p>
      <w:pPr>
        <w:pStyle w:val="BookText"/>
      </w:pPr>
      <w:r>
        <w:rPr>
          <w:rFonts w:ascii="IRNazanin" w:hAnsi="IRNazanin" w:eastAsia="IRNazanin" w:cs="IRNazanin"/>
          <w:lang w:bidi="fa-IR"/>
          <w:color w:val="111111"/>
          <w:sz w:val="28"/>
          <w:szCs w:val="28"/>
          <w:rtl/>
        </w:rPr>
        <w:t xml:space="preserve">خط: نستعلیق، بی کا، تا: قرن ۱۳؛ افتادگی: انجام؛ مصحح؛ اهدایی: رهبری، اردیبهشت ۱۳۸۶؛ کاغذ: کشمیری نخودی آهار مهره، جلد: تیماج فرنگی قهوه ای سوخته مجدول زر کوب، ۲۶۹گی، ۱۶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[اهدائی رهبر: ۸-۴۸۷]</w:t>
      </w:r>
    </w:p>
    <w:p>
      <w:pPr>
        <w:pStyle w:val="BookText"/>
      </w:pPr>
      <w:r>
        <w:rPr>
          <w:rFonts w:ascii="IRNazanin" w:hAnsi="IRNazanin" w:eastAsia="IRNazanin" w:cs="IRNazanin"/>
          <w:lang w:bidi="fa-IR"/>
          <w:color w:val="111111"/>
          <w:sz w:val="28"/>
          <w:szCs w:val="28"/>
          <w:rtl/>
        </w:rPr>
        <w:t xml:space="preserve">۱۹. مشهد؛ رضوی؛ شماره نسخه: ۳۵۰۵۴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۱۰ ربیع الثانی ۱۲۰۶ق؛ مجدول، با سرلوح مزدوج مذهب؛ اهدایی: رهبری، اردیبهشت ۱۳۸۶؛ کاغذ: نخودی آهار مهره، جلد: تیماج فرنگی قهوه ای روشن مجدول زرکوب، ۳۵۳گ، ۱۶ سطر، اندازه: ۱۱/۵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اهدائی رهبر: ۸-۴۸۶]</w:t>
      </w:r>
    </w:p>
    <w:p>
      <w:pPr>
        <w:pStyle w:val="BookText"/>
      </w:pPr>
      <w:r>
        <w:rPr>
          <w:rFonts w:ascii="IRNazanin" w:hAnsi="IRNazanin" w:eastAsia="IRNazanin" w:cs="IRNazanin"/>
          <w:lang w:bidi="fa-IR"/>
          <w:color w:val="111111"/>
          <w:sz w:val="28"/>
          <w:szCs w:val="28"/>
          <w:rtl/>
        </w:rPr>
        <w:t xml:space="preserve">۲۰. تهران، مجلس، شماره نسخه: ۷۸۴۹</w:t>
      </w:r>
    </w:p>
    <w:p>
      <w:pPr>
        <w:pStyle w:val="BookText"/>
      </w:pPr>
      <w:r>
        <w:rPr>
          <w:rFonts w:ascii="IRNazanin" w:hAnsi="IRNazanin" w:eastAsia="IRNazanin" w:cs="IRNazanin"/>
          <w:lang w:bidi="fa-IR"/>
          <w:color w:val="111111"/>
          <w:sz w:val="28"/>
          <w:szCs w:val="28"/>
          <w:rtl/>
        </w:rPr>
        <w:t xml:space="preserve">آغاز: برابر متن؛ انجام: برابر فاقد دیباچه؛ خط: نستعلیق، کا: بيده کس چند مشهور به همل، تا: شنبه ۳۰ ذیقعده ۱۲۱۷ق، جا: پیشاور؛ جلد: تیماج قهوه ای، ۳۷۰ گ، ۱۵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سم [ف: ۲۶-۳۳۱]</w:t>
      </w:r>
    </w:p>
    <w:p>
      <w:pPr>
        <w:pStyle w:val="BookText"/>
      </w:pPr>
      <w:r>
        <w:rPr>
          <w:rFonts w:ascii="IRNazanin" w:hAnsi="IRNazanin" w:eastAsia="IRNazanin" w:cs="IRNazanin"/>
          <w:lang w:bidi="fa-IR"/>
          <w:color w:val="111111"/>
          <w:sz w:val="28"/>
          <w:szCs w:val="28"/>
          <w:rtl/>
        </w:rPr>
        <w:t xml:space="preserve">۲۱. قم؛ مرعشی؛ شماره نسخه: ۱۵۰۱۶/۷</w:t>
      </w:r>
    </w:p>
    <w:p>
      <w:pPr>
        <w:pStyle w:val="BookText"/>
      </w:pPr>
      <w:r>
        <w:rPr>
          <w:rFonts w:ascii="IRNazanin" w:hAnsi="IRNazanin" w:eastAsia="IRNazanin" w:cs="IRNazanin"/>
          <w:lang w:bidi="fa-IR"/>
          <w:color w:val="111111"/>
          <w:sz w:val="28"/>
          <w:szCs w:val="28"/>
          <w:rtl/>
        </w:rPr>
        <w:t xml:space="preserve">آغاز: برابر؛ انجام: دو چیز حاصل عمر است نام نیک و ثواب ***ازین دو ورگذاری کل من عليها فان</w:t>
      </w:r>
    </w:p>
    <w:p>
      <w:pPr>
        <w:pStyle w:val="BookText"/>
      </w:pPr>
      <w:r>
        <w:rPr>
          <w:rFonts w:ascii="IRNazanin" w:hAnsi="IRNazanin" w:eastAsia="IRNazanin" w:cs="IRNazanin"/>
          <w:lang w:bidi="fa-IR"/>
          <w:color w:val="111111"/>
          <w:sz w:val="28"/>
          <w:szCs w:val="28"/>
          <w:rtl/>
        </w:rPr>
        <w:t xml:space="preserve">خط: نستعلیق، كا: عبد الصمد بن حاجی علی شیروانی، تا: ۲۲ رمضان ۱۲۲۷ق، محشی، مصحح، دارای مثنوی میرزا عبداللطيف اصفهانی در هجو میرزا آقای دفتر و مدت پادشاهی پادشاهان در انجام؛ مهر: «عبده الراجی محمد» (بیضی)؛ کاغذ: فرنگی، ۱۶۶گ ( ۲۹۵-۱۳۰ )، ۱۹-۱۷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۳۸-۵۲]</w:t>
      </w:r>
    </w:p>
    <w:p>
      <w:pPr>
        <w:pStyle w:val="BookText"/>
      </w:pPr>
      <w:r>
        <w:rPr>
          <w:rFonts w:ascii="IRNazanin" w:hAnsi="IRNazanin" w:eastAsia="IRNazanin" w:cs="IRNazanin"/>
          <w:lang w:bidi="fa-IR"/>
          <w:color w:val="111111"/>
          <w:sz w:val="28"/>
          <w:szCs w:val="28"/>
          <w:rtl/>
        </w:rPr>
        <w:t xml:space="preserve">۲۲. تهران؛ ملی؛ شماره نسخه: ۶۸۴۴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خوش، کا: محمد علی بن محمد مهدی هاشمی سمنانی، تا: ۱۲۳۲ق؛ مصحح، کاغذ: فرنگی نخودی، جلد: تیماج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یشمی، مقوایی، دارای ترنج و سرترنج با نقش گل و بوته، مجدول، میان جداول بوته های ریسه ای ضربی، ۲۱۸گ، ۱۷سطر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۲۱</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۳۰/۷ سم [رایانه ]</w:t>
      </w:r>
    </w:p>
    <w:p>
      <w:pPr>
        <w:pStyle w:val="BookText"/>
      </w:pPr>
      <w:r>
        <w:rPr>
          <w:rFonts w:ascii="IRNazanin" w:hAnsi="IRNazanin" w:eastAsia="IRNazanin" w:cs="IRNazanin"/>
          <w:lang w:bidi="fa-IR"/>
          <w:color w:val="111111"/>
          <w:sz w:val="28"/>
          <w:szCs w:val="28"/>
          <w:rtl/>
        </w:rPr>
        <w:t xml:space="preserve">۲۳. تهران؛ مجلس؛ شماره نسخه: ۱۲۶۴۲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یحیی حسینی تفرشي الاصل گیلانی المسکن، تا: دوشنبه ۱۴ ذیقعده ۱۲۴۶ق؛ مجدول محرر؛ جلد: ساغری، مشکی، ۱۰۳گ، ۲۵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سم [ف: ۳۶-۲۰۴)</w:t>
      </w:r>
    </w:p>
    <w:p>
      <w:pPr>
        <w:pStyle w:val="BookText"/>
      </w:pPr>
      <w:r>
        <w:rPr>
          <w:rFonts w:ascii="IRNazanin" w:hAnsi="IRNazanin" w:eastAsia="IRNazanin" w:cs="IRNazanin"/>
          <w:lang w:bidi="fa-IR"/>
          <w:color w:val="111111"/>
          <w:sz w:val="28"/>
          <w:szCs w:val="28"/>
          <w:rtl/>
        </w:rPr>
        <w:t xml:space="preserve">۲۴. قم؛ گلپایگانی، شماره نسخه: ۱۶۹۹- ۱۰/۹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از اول تا آخر؛ خط: نستعلیق، كا: عبدالوهاب شبیه ساز تهرانی متخلص به عزیز، ابن ابو طالب بن کربلائی اسماعیل بن محب على تهرانی، تا: ۱۲۴۹ق؛ جلد: تیماج قهوه ای سیر، ۱۴۹گ، ۲۱ سطر، اندازه: ۲۱/۵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۳۴/۵ سم [ف: ۲-۶۳۳]</w:t>
      </w:r>
    </w:p>
    <w:p>
      <w:pPr>
        <w:pStyle w:val="BookText"/>
      </w:pPr>
      <w:r>
        <w:rPr>
          <w:rFonts w:ascii="IRNazanin" w:hAnsi="IRNazanin" w:eastAsia="IRNazanin" w:cs="IRNazanin"/>
          <w:lang w:bidi="fa-IR"/>
          <w:color w:val="111111"/>
          <w:sz w:val="28"/>
          <w:szCs w:val="28"/>
          <w:rtl/>
        </w:rPr>
        <w:t xml:space="preserve">۲۵. قم؛ مسجد اعظم؛ شماره نسخه: ۳۱۰۴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۲۸ شوال ۱۲۶۱ق، جان شیراز؛ سرلوح بزرگ و ممتاز، مجدول؛ جلد: تیماج سرخ مجدول گرهی، ۲۶۳گ، ۱۷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مخ :۱-۲۸۱]</w:t>
      </w:r>
    </w:p>
    <w:p>
      <w:pPr>
        <w:pStyle w:val="BookText"/>
      </w:pPr>
      <w:r>
        <w:rPr>
          <w:rFonts w:ascii="IRNazanin" w:hAnsi="IRNazanin" w:eastAsia="IRNazanin" w:cs="IRNazanin"/>
          <w:lang w:bidi="fa-IR"/>
          <w:color w:val="111111"/>
          <w:sz w:val="28"/>
          <w:szCs w:val="28"/>
          <w:rtl/>
        </w:rPr>
        <w:t xml:space="preserve">۲۶. قم؛ گلپایگانی؛ شماره نسخه: ۴۷۹۸- ۲۴/۹۸</w:t>
      </w:r>
    </w:p>
    <w:p>
      <w:pPr>
        <w:pStyle w:val="BookText"/>
      </w:pPr>
      <w:r>
        <w:rPr>
          <w:rFonts w:ascii="IRNazanin" w:hAnsi="IRNazanin" w:eastAsia="IRNazanin" w:cs="IRNazanin"/>
          <w:lang w:bidi="fa-IR"/>
          <w:color w:val="111111"/>
          <w:sz w:val="28"/>
          <w:szCs w:val="28"/>
          <w:rtl/>
        </w:rPr>
        <w:t xml:space="preserve">آغاز: برابر؛ انجام: لطف کلامش دلپذیر و حلاوت معانی اش دامن گیر لاجرم به نگارش آن پرداخته بعون الله و توفيقه در احسن زمان و اسعد اوان سمت اختتام یافت. خط: نستعلیق، کا: محمد حسین بن حاجی محمد جعفر تاجر کاشانی، تا: جمعه ۲۸ ذیحجه ۱۲۷۰ق، جان کاشان؛ جلد: تیماج قهوه ای روشن ضربی مجدول گرهی مذهب، ۲۸۳گ، ۱۵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۲-۶۳۴]</w:t>
      </w:r>
    </w:p>
    <w:p>
      <w:pPr>
        <w:pStyle w:val="BookText"/>
      </w:pPr>
      <w:r>
        <w:rPr>
          <w:rFonts w:ascii="IRNazanin" w:hAnsi="IRNazanin" w:eastAsia="IRNazanin" w:cs="IRNazanin"/>
          <w:lang w:bidi="fa-IR"/>
          <w:color w:val="111111"/>
          <w:sz w:val="28"/>
          <w:szCs w:val="28"/>
          <w:rtl/>
        </w:rPr>
        <w:t xml:space="preserve">۲۷. تهران؛ مجلس؛ شماره نسخه: ۲۲۲۵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تحریری معمول هندوستان، بی کا، تا: ۶ ذیقعده ۱۲۸۱ق؛ کاغذ: هندی نازک و کلفت شکری آهار مهره معمول هندوستان، جلد: تیماج سبز داغ کرده، ۵۹۶ص، ۱۷سطر،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۶-۱۸۲]</w:t>
      </w:r>
    </w:p>
    <w:p>
      <w:pPr>
        <w:pStyle w:val="BookText"/>
      </w:pPr>
      <w:r>
        <w:rPr>
          <w:rFonts w:ascii="IRNazanin" w:hAnsi="IRNazanin" w:eastAsia="IRNazanin" w:cs="IRNazanin"/>
          <w:lang w:bidi="fa-IR"/>
          <w:color w:val="111111"/>
          <w:sz w:val="28"/>
          <w:szCs w:val="28"/>
          <w:rtl/>
        </w:rPr>
        <w:t xml:space="preserve">۲۸. کاشان؛ عاطفی، حسن؛ شماره نسخه: بدون شماره</w:t>
      </w:r>
    </w:p>
    <w:p>
      <w:pPr>
        <w:pStyle w:val="BookText"/>
      </w:pPr>
      <w:r>
        <w:rPr>
          <w:rFonts w:ascii="IRNazanin" w:hAnsi="IRNazanin" w:eastAsia="IRNazanin" w:cs="IRNazanin"/>
          <w:lang w:bidi="fa-IR"/>
          <w:color w:val="111111"/>
          <w:sz w:val="28"/>
          <w:szCs w:val="28"/>
          <w:rtl/>
        </w:rPr>
        <w:t xml:space="preserve">آغاز و انجام: برابر؛ تمت تمام شد شمشیر جان فرسای ؟ کاتب الكتاب مسمی بهار دانش عنایت محمد ناصر صدر امین گذر على آبادی کوتوالی بلده فرخنده ساز حرآباد (حدآباد؟) در عهد او بتاریخ بیست و هفتم ماه ربیع الثانی سنه ۱۲۸۳ بروز پنج شنبه بوقت سه بهر ساعت سعید تشرف اتمام رسانید.</w:t>
      </w:r>
    </w:p>
    <w:p>
      <w:pPr>
        <w:pStyle w:val="BookText"/>
      </w:pPr>
      <w:r>
        <w:rPr>
          <w:rFonts w:ascii="IRNazanin" w:hAnsi="IRNazanin" w:eastAsia="IRNazanin" w:cs="IRNazanin"/>
          <w:lang w:bidi="fa-IR"/>
          <w:color w:val="111111"/>
          <w:sz w:val="28"/>
          <w:szCs w:val="28"/>
          <w:rtl/>
        </w:rPr>
        <w:t xml:space="preserve">خط: شکسته نستعلیق هندی، كا: عنایت محمد ناصر صدر امینی، تا: پنج شنبه ۲۷ ربیع الثانی ۱۲۸۳ق؛ کاغذ: فرنگی، جلد: تیماج سبز[ نشریه: ۷-۷۲۴]</w:t>
      </w:r>
    </w:p>
    <w:p>
      <w:pPr>
        <w:pStyle w:val="BookText"/>
      </w:pPr>
      <w:r>
        <w:rPr>
          <w:rFonts w:ascii="IRNazanin" w:hAnsi="IRNazanin" w:eastAsia="IRNazanin" w:cs="IRNazanin"/>
          <w:lang w:bidi="fa-IR"/>
          <w:color w:val="111111"/>
          <w:sz w:val="28"/>
          <w:szCs w:val="28"/>
          <w:rtl/>
        </w:rPr>
        <w:t xml:space="preserve">۲۹. تهران؛ ملی؛ شماره نسخه: ۷۶۰۷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محمد ناصر صدر امین، تا: ۱۲۸۴ق؛ محشی؛ مهر: «حسن عاطفی»؛ کاغذ: اصفهانی نخودی، جلد: مقوایی، روکش تیماج سبز، مجدول، ۳برگ (۳۶، ۳۳، ۲۹۳)، ۱۱، ۱۳، ۱۴ و ۱۸ سطر (۱۰/۵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۱۷/۵ )، اندازه: ۲۲/۸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[رایانه]</w:t>
      </w:r>
    </w:p>
    <w:p>
      <w:pPr>
        <w:pStyle w:val="BookText"/>
      </w:pPr>
      <w:r>
        <w:rPr>
          <w:rFonts w:ascii="IRNazanin" w:hAnsi="IRNazanin" w:eastAsia="IRNazanin" w:cs="IRNazanin"/>
          <w:lang w:bidi="fa-IR"/>
          <w:color w:val="111111"/>
          <w:sz w:val="28"/>
          <w:szCs w:val="28"/>
          <w:rtl/>
        </w:rPr>
        <w:t xml:space="preserve">۳۰. تهران؛ ملی؛ شماره نسخه: ۲۷۲۱۷</w:t>
      </w:r>
    </w:p>
    <w:p>
      <w:pPr>
        <w:pStyle w:val="BookText"/>
      </w:pPr>
      <w:r>
        <w:rPr>
          <w:rFonts w:ascii="IRNazanin" w:hAnsi="IRNazanin" w:eastAsia="IRNazanin" w:cs="IRNazanin"/>
          <w:lang w:bidi="fa-IR"/>
          <w:color w:val="111111"/>
          <w:sz w:val="28"/>
          <w:szCs w:val="28"/>
          <w:rtl/>
        </w:rPr>
        <w:t xml:space="preserve">بی کا، بی تا، خریداری از رضا میدانی [رایانه]</w:t>
      </w:r>
    </w:p>
    <w:p>
      <w:pPr>
        <w:pStyle w:val="BookText"/>
      </w:pPr>
      <w:r>
        <w:rPr>
          <w:rFonts w:ascii="IRNazanin" w:hAnsi="IRNazanin" w:eastAsia="IRNazanin" w:cs="IRNazanin"/>
          <w:lang w:bidi="fa-IR"/>
          <w:color w:val="111111"/>
          <w:sz w:val="28"/>
          <w:szCs w:val="28"/>
          <w:rtl/>
        </w:rPr>
        <w:t xml:space="preserve">۳۱. تهران؛ ملی؛ شماره نسخه: ۲۷۱۸۵</w:t>
      </w:r>
    </w:p>
    <w:p>
      <w:pPr>
        <w:pStyle w:val="BookText"/>
      </w:pPr>
      <w:r>
        <w:rPr>
          <w:rFonts w:ascii="IRNazanin" w:hAnsi="IRNazanin" w:eastAsia="IRNazanin" w:cs="IRNazanin"/>
          <w:lang w:bidi="fa-IR"/>
          <w:color w:val="111111"/>
          <w:sz w:val="28"/>
          <w:szCs w:val="28"/>
          <w:rtl/>
        </w:rPr>
        <w:t xml:space="preserve">بی کا، بی تاب خریداری از رضا میدانی [رایانه]</w:t>
      </w:r>
    </w:p>
    <w:p>
      <w:pPr>
        <w:pStyle w:val="BookText"/>
      </w:pPr>
      <w:r>
        <w:rPr>
          <w:rFonts w:ascii="IRNazanin" w:hAnsi="IRNazanin" w:eastAsia="IRNazanin" w:cs="IRNazanin"/>
          <w:lang w:bidi="fa-IR"/>
          <w:color w:val="111111"/>
          <w:sz w:val="28"/>
          <w:szCs w:val="28"/>
          <w:rtl/>
        </w:rPr>
        <w:t xml:space="preserve">۳۲. تهران؛ ملی؛ شماره نسخه: ۲۷۱۹۷</w:t>
      </w:r>
    </w:p>
    <w:p>
      <w:pPr>
        <w:pStyle w:val="BookText"/>
      </w:pPr>
      <w:r>
        <w:rPr>
          <w:rFonts w:ascii="IRNazanin" w:hAnsi="IRNazanin" w:eastAsia="IRNazanin" w:cs="IRNazanin"/>
          <w:lang w:bidi="fa-IR"/>
          <w:color w:val="111111"/>
          <w:sz w:val="28"/>
          <w:szCs w:val="28"/>
          <w:rtl/>
        </w:rPr>
        <w:t xml:space="preserve">بی کا، بی تا، خریداری از رضا میدانی [رایانه ]</w:t>
      </w:r>
    </w:p>
    <w:p>
      <w:pPr>
        <w:pStyle w:val="BookText"/>
      </w:pPr>
      <w:r>
        <w:rPr>
          <w:rFonts w:ascii="IRNazanin" w:hAnsi="IRNazanin" w:eastAsia="IRNazanin" w:cs="IRNazanin"/>
          <w:lang w:bidi="fa-IR"/>
          <w:color w:val="111111"/>
          <w:sz w:val="28"/>
          <w:szCs w:val="28"/>
          <w:rtl/>
        </w:rPr>
        <w:t xml:space="preserve">۳۳. تهران؛ ملی؛ شماره نسخه: ۶۱۰۸</w:t>
      </w:r>
    </w:p>
    <w:p>
      <w:pPr>
        <w:pStyle w:val="BookText"/>
      </w:pPr>
      <w:r>
        <w:rPr>
          <w:rFonts w:ascii="IRNazanin" w:hAnsi="IRNazanin" w:eastAsia="IRNazanin" w:cs="IRNazanin"/>
          <w:lang w:bidi="fa-IR"/>
          <w:color w:val="111111"/>
          <w:sz w:val="28"/>
          <w:szCs w:val="28"/>
          <w:rtl/>
        </w:rPr>
        <w:t xml:space="preserve">آغاز: برابر؛ انجام: آن كل گرفته بی تحمل لا جرعه در پای ریخت آن طناز زمزمه ساز بباده ناز غارت که ... خط: نستعلیق، بی کا، بی تا، افتادگی: انجام؛ محشی؛ کاغذ: هندی نخودی و فرنگی نخودی، ۷۷گ، ۱۸ و ۲۰ سطر (۲۱۸۱۳ و ۱۹۶۱۲/۵ و ۲۱۶۱۳)، اندازه: ۲۳۶۱۵سم [رایانه]</w:t>
      </w:r>
    </w:p>
    <w:p>
      <w:pPr>
        <w:pStyle w:val="BookText"/>
      </w:pPr>
      <w:r>
        <w:rPr>
          <w:rFonts w:ascii="IRNazanin" w:hAnsi="IRNazanin" w:eastAsia="IRNazanin" w:cs="IRNazanin"/>
          <w:lang w:bidi="fa-IR"/>
          <w:color w:val="111111"/>
          <w:sz w:val="28"/>
          <w:szCs w:val="28"/>
          <w:rtl/>
        </w:rPr>
        <w:t xml:space="preserve">۳۴. مشهد؛ الهیات؛ شماره نسخه: ۴۱</w:t>
      </w:r>
    </w:p>
    <w:p>
      <w:pPr>
        <w:pStyle w:val="BookText"/>
      </w:pPr>
      <w:r>
        <w:rPr>
          <w:rFonts w:ascii="IRNazanin" w:hAnsi="IRNazanin" w:eastAsia="IRNazanin" w:cs="IRNazanin"/>
          <w:lang w:bidi="fa-IR"/>
          <w:color w:val="111111"/>
          <w:sz w:val="28"/>
          <w:szCs w:val="28"/>
          <w:rtl/>
        </w:rPr>
        <w:t xml:space="preserve">خط: نستعلیق، بی کا، بی تا، افتادگی: انجام؛ ۷۰گ، مختلف السطر،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۱-۲۳]</w:t>
      </w:r>
    </w:p>
    <w:p>
      <w:pPr>
        <w:pStyle w:val="BookText"/>
      </w:pPr>
      <w:r>
        <w:rPr>
          <w:rFonts w:ascii="IRNazanin" w:hAnsi="IRNazanin" w:eastAsia="IRNazanin" w:cs="IRNazanin"/>
          <w:lang w:bidi="fa-IR"/>
          <w:color w:val="111111"/>
          <w:sz w:val="28"/>
          <w:szCs w:val="28"/>
          <w:rtl/>
        </w:rPr>
        <w:t xml:space="preserve">۳۵. تهران؛ وزارت امور خارجه، شماره نسخه: ۲-۱۸</w:t>
      </w:r>
    </w:p>
    <w:p>
      <w:pPr>
        <w:pStyle w:val="BookText"/>
      </w:pPr>
      <w:r>
        <w:rPr>
          <w:rFonts w:ascii="IRNazanin" w:hAnsi="IRNazanin" w:eastAsia="IRNazanin" w:cs="IRNazanin"/>
          <w:lang w:bidi="fa-IR"/>
          <w:color w:val="111111"/>
          <w:sz w:val="28"/>
          <w:szCs w:val="28"/>
          <w:rtl/>
        </w:rPr>
        <w:t xml:space="preserve">بی کا، بی تا؛ خطی به خط دستنویس ناخوش «عبدالرزاق بن شیخ عبدالله قریشی» در «سنه احمد شاهی» تحریر شده؛ جلد: مقوایی سبز، ۶۲۷ص، اندازه: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۱۳۱]</w:t>
      </w:r>
    </w:p>
    <w:p>
      <w:pPr>
        <w:pStyle w:val="BookText"/>
      </w:pPr>
      <w:r>
        <w:rPr>
          <w:rFonts w:ascii="IRNazanin" w:hAnsi="IRNazanin" w:eastAsia="IRNazanin" w:cs="IRNazanin"/>
          <w:lang w:bidi="fa-IR"/>
          <w:color w:val="111111"/>
          <w:sz w:val="28"/>
          <w:szCs w:val="28"/>
          <w:rtl/>
        </w:rPr>
        <w:t xml:space="preserve">۳۶. تهران؛ وزارت امور خارجه؛ شماره نسخه: ۲-۲۰</w:t>
      </w:r>
    </w:p>
    <w:p>
      <w:pPr>
        <w:pStyle w:val="BookText"/>
      </w:pPr>
      <w:r>
        <w:rPr>
          <w:rFonts w:ascii="IRNazanin" w:hAnsi="IRNazanin" w:eastAsia="IRNazanin" w:cs="IRNazanin"/>
          <w:lang w:bidi="fa-IR"/>
          <w:color w:val="111111"/>
          <w:sz w:val="28"/>
          <w:szCs w:val="28"/>
          <w:rtl/>
        </w:rPr>
        <w:t xml:space="preserve">بی کا، بی تا؛ جلد: مقوایی قرمز شطرنجی، اندازه:۱۹</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۳۰سم [ف: ۱۳۲]</w:t>
      </w:r>
    </w:p>
    <w:p>
      <w:pPr>
        <w:pStyle w:val="BookText"/>
      </w:pPr>
      <w:r>
        <w:rPr>
          <w:rFonts w:ascii="IRNazanin" w:hAnsi="IRNazanin" w:eastAsia="IRNazanin" w:cs="IRNazanin"/>
          <w:lang w:bidi="fa-IR"/>
          <w:color w:val="111111"/>
          <w:sz w:val="28"/>
          <w:szCs w:val="28"/>
          <w:rtl/>
        </w:rPr>
        <w:t xml:space="preserve">۳۷. تهران؛ ملی؛ شماره نسخه: ۱۷۸۶۸</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۸۲گ، اندازه: ۱۳/۱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 ۲سم [رایانه]</w:t>
      </w:r>
    </w:p>
    <w:p>
      <w:pPr>
        <w:pStyle w:val="BookText"/>
      </w:pPr>
      <w:r>
        <w:rPr>
          <w:rFonts w:ascii="IRNazanin" w:hAnsi="IRNazanin" w:eastAsia="IRNazanin" w:cs="IRNazanin"/>
          <w:lang w:bidi="fa-IR"/>
          <w:color w:val="111111"/>
          <w:sz w:val="28"/>
          <w:szCs w:val="28"/>
          <w:rtl/>
        </w:rPr>
        <w:t xml:space="preserve">۳۸. مشهد؛ رضوی؛ شماره نسخه: ۲۸۶۱۹</w:t>
      </w:r>
    </w:p>
    <w:p>
      <w:pPr>
        <w:pStyle w:val="BookText"/>
      </w:pPr>
      <w:r>
        <w:rPr>
          <w:rFonts w:ascii="IRNazanin" w:hAnsi="IRNazanin" w:eastAsia="IRNazanin" w:cs="IRNazanin"/>
          <w:lang w:bidi="fa-IR"/>
          <w:color w:val="111111"/>
          <w:sz w:val="28"/>
          <w:szCs w:val="28"/>
          <w:rtl/>
        </w:rPr>
        <w:t xml:space="preserve">آغاز: آنست که ازین و ادعیه سر نهی کتی بل تقدیری که از گروه نسوان باشد پیرامونش نکرد زیرا که اهل؛ انجام: وقع و وقار است و نادانه او وسیله عزت و اعتبار</w:t>
      </w:r>
    </w:p>
    <w:p>
      <w:pPr>
        <w:pStyle w:val="BookText"/>
      </w:pPr>
      <w:r>
        <w:rPr>
          <w:rFonts w:ascii="IRNazanin" w:hAnsi="IRNazanin" w:eastAsia="IRNazanin" w:cs="IRNazanin"/>
          <w:lang w:bidi="fa-IR"/>
          <w:color w:val="111111"/>
          <w:sz w:val="28"/>
          <w:szCs w:val="28"/>
          <w:rtl/>
        </w:rPr>
        <w:t xml:space="preserve">خط: نستعلیق جلی، بی کا، بی تا، افتادگی: آغاز و انجام؛ کاغذ: نخودی، ۱۷ سطر ( ۱۷/۷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قطع: وزیری، اندازه: ۱۹/۲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۲۶/۵سم [رایانه ]</w:t>
      </w:r>
    </w:p>
    <w:p>
      <w:pPr>
        <w:pStyle w:val="BookText"/>
      </w:pPr>
      <w:r>
        <w:rPr>
          <w:rFonts w:ascii="IRNazanin" w:hAnsi="IRNazanin" w:eastAsia="IRNazanin" w:cs="IRNazanin"/>
          <w:lang w:bidi="fa-IR"/>
          <w:color w:val="111111"/>
          <w:sz w:val="28"/>
          <w:szCs w:val="28"/>
          <w:rtl/>
        </w:rPr>
        <w:t xml:space="preserve">۳۹. مشهد؛ رضوی؛ شماره نسخه: ۹۶۰۴</w:t>
      </w:r>
    </w:p>
    <w:p>
      <w:pPr>
        <w:pStyle w:val="BookText"/>
      </w:pPr>
      <w:r>
        <w:rPr>
          <w:rFonts w:ascii="IRNazanin" w:hAnsi="IRNazanin" w:eastAsia="IRNazanin" w:cs="IRNazanin"/>
          <w:lang w:bidi="fa-IR"/>
          <w:color w:val="111111"/>
          <w:sz w:val="28"/>
          <w:szCs w:val="28"/>
          <w:rtl/>
        </w:rPr>
        <w:t xml:space="preserve">آغاز: برابر؛ انجام: سر اطاعت بر خط تسلیم نهاده چون سایه به دنبال شاه شد سیل صلح را پذیره گشت و بقیه عمر از میکده مراد و خم خانه امید باده پیمای.</w:t>
      </w:r>
    </w:p>
    <w:p>
      <w:pPr>
        <w:pStyle w:val="BookText"/>
      </w:pPr>
      <w:r>
        <w:rPr>
          <w:rFonts w:ascii="IRNazanin" w:hAnsi="IRNazanin" w:eastAsia="IRNazanin" w:cs="IRNazanin"/>
          <w:lang w:bidi="fa-IR"/>
          <w:color w:val="111111"/>
          <w:sz w:val="28"/>
          <w:szCs w:val="28"/>
          <w:rtl/>
        </w:rPr>
        <w:t xml:space="preserve">خط: نستعلیق، بی کا، بی تاب افتادگی: انجام چند صفحه)؛ محشی؛ واقف: خان بابا مشار، اردیبهشت ۱۳۴۶؛ کاغذ: نخودی آهار مهره، جلد: تیماج مشکی، ۲۸۹گ، ۱۷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05" w:name="pg20363_209285"/>
    <w:bookmarkEnd w:id="105"/>
    <w:p>
      <w:pPr>
        <w:pStyle w:val="BookText"/>
      </w:pPr>
      <w:r>
        <w:rPr>
          <w:rFonts w:ascii="IRNazanin" w:hAnsi="IRNazanin" w:eastAsia="IRNazanin" w:cs="IRNazanin"/>
          <w:lang w:bidi="fa-IR"/>
          <w:color w:val="111111"/>
          <w:sz w:val="28"/>
          <w:szCs w:val="28"/>
          <w:rtl/>
        </w:rPr>
        <w:t xml:space="preserve">[ف: ۹-۹۱]</w:t>
      </w:r>
    </w:p>
    <w:p>
      <w:pPr>
        <w:pStyle w:val="BookText"/>
      </w:pPr>
      <w:r>
        <w:rPr>
          <w:rFonts w:ascii="IRNazanin" w:hAnsi="IRNazanin" w:eastAsia="IRNazanin" w:cs="IRNazanin"/>
          <w:lang w:bidi="fa-IR"/>
          <w:color w:val="111111"/>
          <w:sz w:val="28"/>
          <w:szCs w:val="28"/>
          <w:rtl/>
        </w:rPr>
        <w:t xml:space="preserve">۴۰. قم؛ گلپایگانی؛ شماره نسخه: ۲۷۹۸/۳ - ۱۵/۳۸</w:t>
      </w:r>
    </w:p>
    <w:p>
      <w:pPr>
        <w:pStyle w:val="BookText"/>
      </w:pPr>
      <w:r>
        <w:rPr>
          <w:rFonts w:ascii="IRNazanin" w:hAnsi="IRNazanin" w:eastAsia="IRNazanin" w:cs="IRNazanin"/>
          <w:lang w:bidi="fa-IR"/>
          <w:color w:val="111111"/>
          <w:sz w:val="28"/>
          <w:szCs w:val="28"/>
          <w:rtl/>
        </w:rPr>
        <w:t xml:space="preserve">آغاز: برابر؛ انجام: [عنوان:] رسیدن سنگ تفرقه از این آبگون حصار بر آبگینه جمعیت آن دو بیدل ... و از آن بی دل پرسید که بدین شکل و شمایل که در چاه زنخدانت یوسف کنعانی با آرزو زندانی می شود و در پیش</w:t>
      </w:r>
    </w:p>
    <w:p>
      <w:pPr>
        <w:pStyle w:val="BookText"/>
      </w:pPr>
      <w:r>
        <w:rPr>
          <w:rFonts w:ascii="IRNazanin" w:hAnsi="IRNazanin" w:eastAsia="IRNazanin" w:cs="IRNazanin"/>
          <w:lang w:bidi="fa-IR"/>
          <w:color w:val="111111"/>
          <w:sz w:val="28"/>
          <w:szCs w:val="28"/>
          <w:rtl/>
        </w:rPr>
        <w:t xml:space="preserve">خط: نستعلیق شکسته، بی کا، بی تا، افتادگی: انجام؛ جلد: مقوا سرخ، عطف و گوشه پارچه، ۸۶گ (۷۰ر-۱۵۵پ)، ۱۵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۲-۶۳۴]</w:t>
      </w:r>
    </w:p>
    <w:p>
      <w:pPr>
        <w:pStyle w:val="BookText"/>
      </w:pPr>
      <w:r>
        <w:rPr>
          <w:rFonts w:ascii="IRNazanin" w:hAnsi="IRNazanin" w:eastAsia="IRNazanin" w:cs="IRNazanin"/>
          <w:lang w:bidi="fa-IR"/>
          <w:color w:val="111111"/>
          <w:sz w:val="28"/>
          <w:szCs w:val="28"/>
          <w:rtl/>
        </w:rPr>
        <w:t xml:space="preserve">۴۱. تهران، دانشگاه؛ شماره نسخه: ۶۱۹۵/۳ -ف</w:t>
      </w:r>
    </w:p>
    <w:p>
      <w:pPr>
        <w:pStyle w:val="BookText"/>
      </w:pPr>
      <w:r>
        <w:rPr>
          <w:rFonts w:ascii="IRNazanin" w:hAnsi="IRNazanin" w:eastAsia="IRNazanin" w:cs="IRNazanin"/>
          <w:lang w:bidi="fa-IR"/>
          <w:color w:val="111111"/>
          <w:sz w:val="28"/>
          <w:szCs w:val="28"/>
          <w:rtl/>
        </w:rPr>
        <w:t xml:space="preserve">نسخه اصل: ش ۳۱۵ کتابخانه گنج بخش؛ بی کا، بی تا [فيلمها ف: ۲۰۹-۳]</w:t>
      </w:r>
    </w:p>
    <w:p>
      <w:pPr>
        <w:pStyle w:val="BookText"/>
      </w:pPr>
      <w:r>
        <w:rPr>
          <w:rFonts w:ascii="IRNazanin" w:hAnsi="IRNazanin" w:eastAsia="IRNazanin" w:cs="IRNazanin"/>
          <w:lang w:bidi="fa-IR"/>
          <w:color w:val="111111"/>
          <w:sz w:val="28"/>
          <w:szCs w:val="28"/>
          <w:rtl/>
        </w:rPr>
        <w:t xml:space="preserve">۴۲. تهران؛ مجلس؛ شماره نسخه: ۶۷۶</w:t>
      </w:r>
    </w:p>
    <w:p>
      <w:pPr>
        <w:pStyle w:val="BookText"/>
      </w:pPr>
      <w:r>
        <w:rPr>
          <w:rFonts w:ascii="IRNazanin" w:hAnsi="IRNazanin" w:eastAsia="IRNazanin" w:cs="IRNazanin"/>
          <w:lang w:bidi="fa-IR"/>
          <w:color w:val="111111"/>
          <w:sz w:val="28"/>
          <w:szCs w:val="28"/>
          <w:rtl/>
        </w:rPr>
        <w:t xml:space="preserve">آغاز: دیباج پیرایه ده دیباچه سخن حمد حکیمی است که ملک معنی را بوساطت تیغ ناطقه مسخر معشر بشر گردانیده</w:t>
      </w:r>
    </w:p>
    <w:p>
      <w:pPr>
        <w:pStyle w:val="BookText"/>
      </w:pPr>
      <w:r>
        <w:rPr>
          <w:rFonts w:ascii="IRNazanin" w:hAnsi="IRNazanin" w:eastAsia="IRNazanin" w:cs="IRNazanin"/>
          <w:lang w:bidi="fa-IR"/>
          <w:color w:val="111111"/>
          <w:sz w:val="28"/>
          <w:szCs w:val="28"/>
          <w:rtl/>
        </w:rPr>
        <w:t xml:space="preserve">خط: نستعلیق درشت خط، كان محمد اسحق متوطن بلخ، بی تا؛ دارای یک سرلوح؛ ۶۳۰گ، 11 سطر، قطع: رحلی،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۲-۴۲۸]</w:t>
      </w:r>
    </w:p>
    <w:p>
      <w:pPr>
        <w:pStyle w:val="Heading3"/>
      </w:pPr>
      <w:bookmarkStart w:id="1052" w:name="_Toc312"/>
      <w:r>
        <w:t>•بهار دانش / داستان / فارسی</w:t>
      </w:r>
      <w:bookmarkEnd w:id="1052"/>
    </w:p>
    <w:p>
      <w:pPr>
        <w:pStyle w:val="BookText"/>
      </w:pPr>
      <w:r>
        <w:rPr>
          <w:rFonts w:ascii="Times New Roman" w:hAnsi="Times New Roman" w:eastAsia="Times New Roman" w:cs="Times New Roman"/>
          <w:lang w:val="en-US" w:bidi="en-US"/>
          <w:color w:val="111111"/>
          <w:sz w:val="28"/>
          <w:szCs w:val="28"/>
          <w:rtl/>
        </w:rPr>
        <w:t xml:space="preserve">bahār-e dāneš</w:t>
      </w:r>
    </w:p>
    <w:p>
      <w:pPr>
        <w:pStyle w:val="BookText"/>
      </w:pPr>
      <w:r>
        <w:rPr>
          <w:rFonts w:ascii="IRNazanin" w:hAnsi="IRNazanin" w:eastAsia="IRNazanin" w:cs="IRNazanin"/>
          <w:lang w:bidi="fa-IR"/>
          <w:color w:val="111111"/>
          <w:sz w:val="28"/>
          <w:szCs w:val="28"/>
          <w:rtl/>
        </w:rPr>
        <w:t xml:space="preserve">تهران؛ دانشگاه؛ شماره نسخه: ۹۹۰-ف</w:t>
      </w:r>
    </w:p>
    <w:p>
      <w:pPr>
        <w:pStyle w:val="BookText"/>
      </w:pPr>
      <w:r>
        <w:rPr>
          <w:rFonts w:ascii="IRNazanin" w:hAnsi="IRNazanin" w:eastAsia="IRNazanin" w:cs="IRNazanin"/>
          <w:lang w:bidi="fa-IR"/>
          <w:color w:val="111111"/>
          <w:sz w:val="28"/>
          <w:szCs w:val="28"/>
          <w:rtl/>
        </w:rPr>
        <w:t xml:space="preserve">نسخه اصل: بادلیان از نسخه های فارسی موسسه هندوستان شماره ۱۴ در اکسفورد، فهرست بادلیان ج ۳ش ۲۸۳۵. باب دهم از بهار دانش در احوال شعرا؛ بی کا، بی تا [فيلمها ف: ۱-۲۳]</w:t>
      </w:r>
    </w:p>
    <w:p>
      <w:pPr>
        <w:pStyle w:val="Heading3"/>
      </w:pPr>
      <w:bookmarkStart w:id="1053" w:name="_Toc313"/>
      <w:r>
        <w:t>•بهارستان / ادبیات فارسی</w:t>
      </w:r>
      <w:bookmarkEnd w:id="1053"/>
    </w:p>
    <w:p>
      <w:pPr>
        <w:pStyle w:val="BookText"/>
      </w:pPr>
      <w:r>
        <w:rPr>
          <w:rFonts w:ascii="Times New Roman" w:hAnsi="Times New Roman" w:eastAsia="Times New Roman" w:cs="Times New Roman"/>
          <w:lang w:val="en-US" w:bidi="en-US"/>
          <w:color w:val="111111"/>
          <w:sz w:val="28"/>
          <w:szCs w:val="28"/>
          <w:rtl/>
        </w:rPr>
        <w:t xml:space="preserve">bahārestān</w:t>
      </w:r>
    </w:p>
    <w:p>
      <w:pPr>
        <w:pStyle w:val="BookText"/>
      </w:pPr>
      <w:r>
        <w:rPr>
          <w:rFonts w:ascii="IRNazanin" w:hAnsi="IRNazanin" w:eastAsia="IRNazanin" w:cs="IRNazanin"/>
          <w:lang w:bidi="fa-IR"/>
          <w:color w:val="111111"/>
          <w:sz w:val="28"/>
          <w:szCs w:val="28"/>
          <w:rtl/>
        </w:rPr>
        <w:t xml:space="preserve">جامی، عبدالرحمن بن احمد، ۸۱۷-۸۹۸ قمری</w:t>
      </w:r>
    </w:p>
    <w:p>
      <w:pPr>
        <w:pStyle w:val="BookText"/>
      </w:pPr>
      <w:r>
        <w:rPr>
          <w:rFonts w:ascii="Times New Roman" w:hAnsi="Times New Roman" w:eastAsia="Times New Roman" w:cs="Times New Roman"/>
          <w:lang w:val="en-US" w:bidi="en-US"/>
          <w:color w:val="111111"/>
          <w:sz w:val="28"/>
          <w:szCs w:val="28"/>
          <w:rtl/>
        </w:rPr>
        <w:t xml:space="preserve">jami, abd-or-rahman ebn-e ahmad (</w:t>
      </w:r>
      <w:r>
        <w:rPr>
          <w:rFonts w:ascii="IRNazanin" w:hAnsi="IRNazanin" w:eastAsia="IRNazanin" w:cs="IRNazanin"/>
          <w:lang w:bidi="fa-IR"/>
          <w:color w:val="111111"/>
          <w:sz w:val="28"/>
          <w:szCs w:val="28"/>
          <w:rtl/>
        </w:rPr>
        <w:t xml:space="preserve">۱۴۱۵-۱۴۹۳)</w:t>
      </w:r>
    </w:p>
    <w:p>
      <w:pPr>
        <w:pStyle w:val="BookText"/>
      </w:pPr>
      <w:r>
        <w:rPr>
          <w:rFonts w:ascii="IRNazanin" w:hAnsi="IRNazanin" w:eastAsia="IRNazanin" w:cs="IRNazanin"/>
          <w:lang w:bidi="fa-IR"/>
          <w:color w:val="111111"/>
          <w:sz w:val="28"/>
          <w:szCs w:val="28"/>
          <w:rtl/>
        </w:rPr>
        <w:t xml:space="preserve">اهدا به: برای فرزندش ضیاء الدین یوسف و به نام سلطان حسین میرزای بایقرا</w:t>
      </w:r>
    </w:p>
    <w:p>
      <w:pPr>
        <w:pStyle w:val="BookText"/>
      </w:pPr>
      <w:r>
        <w:rPr>
          <w:rFonts w:ascii="IRNazanin" w:hAnsi="IRNazanin" w:eastAsia="IRNazanin" w:cs="IRNazanin"/>
          <w:lang w:bidi="fa-IR"/>
          <w:color w:val="111111"/>
          <w:sz w:val="28"/>
          <w:szCs w:val="28"/>
          <w:rtl/>
        </w:rPr>
        <w:t xml:space="preserve">تاریخ تأليف: ۸۹۲ق</w:t>
      </w:r>
    </w:p>
    <w:p>
      <w:pPr>
        <w:pStyle w:val="BookText"/>
      </w:pPr>
      <w:r>
        <w:rPr>
          <w:rFonts w:ascii="IRNazanin" w:hAnsi="IRNazanin" w:eastAsia="IRNazanin" w:cs="IRNazanin"/>
          <w:lang w:bidi="fa-IR"/>
          <w:color w:val="111111"/>
          <w:sz w:val="28"/>
          <w:szCs w:val="28"/>
          <w:rtl/>
        </w:rPr>
        <w:t xml:space="preserve">اثر مشهور ادبی است که به اسلوب گلستان سعدی، برای فرزندش ضیاء الدین یوسف و به نام سلطان حسین میرزای بایقرا نوشته. عبدالرحمان جامی می گوید چون به فرزندم ضياء الدين یوسف زبان و ادب فارسی می آموختم کتاب گلستان مورد بحث ما بود این کتاب دلکش آنچنان بر ما اثر گذاشت که به خاطر رسید: تبرکا بانفاسه الشريفه و تبعا لاشعاره اللطيفه ورقی چند بر آن اسلوب ساخته شده و جزوی چند بر آن منوال پرداخته گردد لذا این بهارستان را به دوره سلطان حسین تیموری در هشت روضه پرداختم.» فهرست «روضه»های کتاب چنین</w:t>
      </w:r>
    </w:p>
    <w:p>
      <w:pPr>
        <w:pStyle w:val="BookText"/>
      </w:pPr>
      <w:r>
        <w:rPr>
          <w:rFonts w:ascii="IRNazanin" w:hAnsi="IRNazanin" w:eastAsia="IRNazanin" w:cs="IRNazanin"/>
          <w:lang w:bidi="fa-IR"/>
          <w:color w:val="111111"/>
          <w:sz w:val="28"/>
          <w:szCs w:val="28"/>
          <w:rtl/>
        </w:rPr>
        <w:t xml:space="preserve">است: ۱. نثر ریاحین جیده از بساتين دور بینان راه هدایت و صدرنشینان بارگاه ولایت؛ ۲. تشریح شقایق دقایق حكم؛ ۳. بیان شکفتن شکوفه های باغستان حکومت و ایالت که متضمن میوه های نصفت و عدالتست؛ ۴. وصف میوه بخشی درختان باغستان جود و کرم، ۵. تقرير رقت حال بلبلان چمن عشق و محبت؛ ۶. وزیدن نسائم ملاطفات و روایح مطایبات که غنچه البها را بخنداند؛ ۷. داستان مرغان قافیه سنج سرابستان سخنوری و طوطيان غزل سرای شکرستان نظم گستری؛ ۸ حکایتی چند از زبان احوال بی زبانان که خردمندان و نکته سنجان امثال آن وضع کرده اند. گزارش ترکی آن به نام «هداية العرفان» در سال ۱۲۵۲ ق در استانبول به چاپ رسیده است.</w:t>
      </w:r>
    </w:p>
    <w:p>
      <w:pPr>
        <w:pStyle w:val="BookText"/>
      </w:pPr>
      <w:r>
        <w:rPr>
          <w:rFonts w:ascii="IRNazanin" w:hAnsi="IRNazanin" w:eastAsia="IRNazanin" w:cs="IRNazanin"/>
          <w:lang w:bidi="fa-IR"/>
          <w:color w:val="111111"/>
          <w:sz w:val="28"/>
          <w:szCs w:val="28"/>
          <w:rtl/>
        </w:rPr>
        <w:t xml:space="preserve">آغاز: چو مرغ ذی بالی ز آغاز*** نه از نیروی حمد آید بپرواز ... اما بعد، نموده می شود چون در این وقت دلپسند فرزند ارجمند ضياء الدين يوسف ...</w:t>
      </w:r>
    </w:p>
    <w:p>
      <w:pPr>
        <w:pStyle w:val="BookText"/>
      </w:pPr>
      <w:r>
        <w:rPr>
          <w:rFonts w:ascii="IRNazanin" w:hAnsi="IRNazanin" w:eastAsia="IRNazanin" w:cs="IRNazanin"/>
          <w:lang w:bidi="fa-IR"/>
          <w:color w:val="111111"/>
          <w:sz w:val="28"/>
          <w:szCs w:val="28"/>
          <w:rtl/>
        </w:rPr>
        <w:t xml:space="preserve">انجام: بوقتی شد آخر که تاریخ هجرت*** شود نهصد از هشت بروی فزایی</w:t>
      </w:r>
    </w:p>
    <w:p>
      <w:pPr>
        <w:pStyle w:val="BookText"/>
      </w:pPr>
      <w:r>
        <w:rPr>
          <w:rFonts w:ascii="IRNazanin" w:hAnsi="IRNazanin" w:eastAsia="IRNazanin" w:cs="IRNazanin"/>
          <w:lang w:bidi="fa-IR"/>
          <w:color w:val="111111"/>
          <w:sz w:val="28"/>
          <w:szCs w:val="28"/>
          <w:rtl/>
        </w:rPr>
        <w:t xml:space="preserve">چاپ: مشار فارسی، ج ۱، صص۸۰۴-۸۰۵؛ دهلی، سنگی، ۱۳۲۷ق/۱۹۰۹م، وزیری، ۱۰۸ص؛ گانپور، ۱۳۲۱ ق./۱۹۰۳م، چاپ دوم)، وزیری، ۱۲۴+۲صص؛ طهران، سنگی، ۱۳۱۱ چاپ اول)، رقعی، ۱۴+۱۷۱صص</w:t>
      </w:r>
    </w:p>
    <w:p>
      <w:pPr>
        <w:pStyle w:val="BookText"/>
      </w:pPr>
      <w:r>
        <w:rPr>
          <w:rFonts w:ascii="IRNazanin" w:hAnsi="IRNazanin" w:eastAsia="IRNazanin" w:cs="IRNazanin"/>
          <w:lang w:bidi="fa-IR"/>
          <w:color w:val="111111"/>
          <w:sz w:val="28"/>
          <w:szCs w:val="28"/>
          <w:rtl/>
        </w:rPr>
        <w:t xml:space="preserve">[دنا ۵۴۵/۲ (۵۰ نسخه)؛ مثنوی هفت اورنگ جامی مقدمه از مرتضی مدرس گیلانی؛ نسخه های منزوی ۳۵۳۵/۵ ؛ الذريعة ۱۸۸/۹ ، ۱۱۰/۲۶ ؛ هدية العارفين ۵۳۴/۱ ؛ فهرستواره منزوی ۱۸۵۷/۳ ]</w:t>
      </w:r>
    </w:p>
    <w:p>
      <w:pPr>
        <w:pStyle w:val="BookText"/>
      </w:pPr>
      <w:r>
        <w:rPr>
          <w:rFonts w:ascii="IRNazanin" w:hAnsi="IRNazanin" w:eastAsia="IRNazanin" w:cs="IRNazanin"/>
          <w:lang w:bidi="fa-IR"/>
          <w:color w:val="111111"/>
          <w:sz w:val="28"/>
          <w:szCs w:val="28"/>
          <w:rtl/>
        </w:rPr>
        <w:t xml:space="preserve">شرح و حواشی: 1- شرح بهارستان؛ شمعی برزینی، مصطفی (-۱۰۰۰)</w:t>
      </w:r>
    </w:p>
    <w:p>
      <w:pPr>
        <w:pStyle w:val="BookText"/>
      </w:pPr>
      <w:r>
        <w:rPr>
          <w:rFonts w:ascii="IRNazanin" w:hAnsi="IRNazanin" w:eastAsia="IRNazanin" w:cs="IRNazanin"/>
          <w:lang w:bidi="fa-IR"/>
          <w:color w:val="111111"/>
          <w:sz w:val="28"/>
          <w:szCs w:val="28"/>
          <w:rtl/>
        </w:rPr>
        <w:t xml:space="preserve">۲- دیباچه در وصف بهارستان؛ جامی آشتیانی، علی اصغر (-۱۴)</w:t>
      </w:r>
    </w:p>
    <w:p>
      <w:pPr>
        <w:pStyle w:val="BookText"/>
      </w:pPr>
      <w:r>
        <w:rPr>
          <w:rFonts w:ascii="IRNazanin" w:hAnsi="IRNazanin" w:eastAsia="IRNazanin" w:cs="IRNazanin"/>
          <w:lang w:bidi="fa-IR"/>
          <w:color w:val="111111"/>
          <w:sz w:val="28"/>
          <w:szCs w:val="28"/>
          <w:rtl/>
        </w:rPr>
        <w:t xml:space="preserve">3- شرح بهارستان</w:t>
      </w:r>
    </w:p>
    <w:p>
      <w:pPr>
        <w:pStyle w:val="BookText"/>
      </w:pPr>
      <w:r>
        <w:rPr>
          <w:rFonts w:ascii="IRNazanin" w:hAnsi="IRNazanin" w:eastAsia="IRNazanin" w:cs="IRNazanin"/>
          <w:lang w:bidi="fa-IR"/>
          <w:color w:val="111111"/>
          <w:sz w:val="28"/>
          <w:szCs w:val="28"/>
          <w:rtl/>
        </w:rPr>
        <w:t xml:space="preserve">۱. تهران، ملک، شماره نسخه: ۴۷۹۵/۲۴</w:t>
      </w:r>
    </w:p>
    <w:p>
      <w:pPr>
        <w:pStyle w:val="BookText"/>
      </w:pPr>
      <w:r>
        <w:rPr>
          <w:rFonts w:ascii="IRNazanin" w:hAnsi="IRNazanin" w:eastAsia="IRNazanin" w:cs="IRNazanin"/>
          <w:lang w:bidi="fa-IR"/>
          <w:color w:val="111111"/>
          <w:sz w:val="28"/>
          <w:szCs w:val="28"/>
          <w:rtl/>
        </w:rPr>
        <w:t xml:space="preserve">آغاز: برابر؛ انجام: و بر این به مهر تازه بدل شده است، و دشمنی قدیم بدوستی جدید ...</w:t>
      </w:r>
    </w:p>
    <w:p>
      <w:pPr>
        <w:pStyle w:val="BookText"/>
      </w:pPr>
      <w:r>
        <w:rPr>
          <w:rFonts w:ascii="IRNazanin" w:hAnsi="IRNazanin" w:eastAsia="IRNazanin" w:cs="IRNazanin"/>
          <w:lang w:bidi="fa-IR"/>
          <w:color w:val="111111"/>
          <w:sz w:val="28"/>
          <w:szCs w:val="28"/>
          <w:rtl/>
        </w:rPr>
        <w:t xml:space="preserve">نسخه در روضه هشتم افتاده است؛ خط: نستعلیق، بی کا، تا: ۸۹۵ق؛ افتادگی: انجام کاغذ: نوعی ترمه، جلد: میشن قهوه ای روشن، ۲۱گ (۴۱۹پ۴۳۹پ)، ۳۱ سطر،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۲۵/۲ سم [ف: ۸-۹۸]</w:t>
      </w:r>
    </w:p>
    <w:p>
      <w:pPr>
        <w:pStyle w:val="BookText"/>
      </w:pPr>
      <w:r>
        <w:rPr>
          <w:rFonts w:ascii="Amiri" w:hAnsi="Amiri" w:eastAsia="Amiri" w:cs="Amiri"/>
          <w:lang w:bidi="ar-SA"/>
          <w:color w:val="111111"/>
          <w:sz w:val="28"/>
          <w:szCs w:val="28"/>
          <w:rtl/>
        </w:rPr>
        <w:t xml:space="preserve">۲. تهران؛ دائرة المعارف؛ شماره نسخه: ۴۳۹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پخته، كا: حسن بن حاجی صالح الجورلوی، تا: قرن ۱۰؛ مجدول، بخشی به ترکی، یادداشت هایی از مرگ سلطان محمود خان (۱۶ ربیع الثانی</w:t>
      </w:r>
    </w:p>
    <w:p>
      <w:pPr>
        <w:pStyle w:val="BookText"/>
      </w:pPr>
      <w:r>
        <w:rPr>
          <w:rFonts w:ascii="IRNazanin" w:hAnsi="IRNazanin" w:eastAsia="IRNazanin" w:cs="IRNazanin"/>
          <w:lang w:bidi="fa-IR"/>
          <w:color w:val="111111"/>
          <w:sz w:val="28"/>
          <w:szCs w:val="28"/>
          <w:rtl/>
        </w:rPr>
        <w:t xml:space="preserve">۱۲۵۵) و تخت نشینی سلطان عبدالحمید خان بن سلطان محمد خان (۱۲۵۵ق) که نشان می دهد در این تاریخ نسخه در عثمانی بوده است؛ مهر: «بنده خدا حسین»( دایره)؛ کاغذ: نخودی، جلد: تیماج قهوه ای تند سوخته با ضرب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طلایی، ۷۳گ، ۱۷سطر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اندازه: ۱۱/۵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۱-۳۶)</w:t>
      </w:r>
    </w:p>
    <w:p>
      <w:pPr>
        <w:pStyle w:val="BookText"/>
      </w:pPr>
      <w:r>
        <w:rPr>
          <w:rFonts w:ascii="IRNazanin" w:hAnsi="IRNazanin" w:eastAsia="IRNazanin" w:cs="IRNazanin"/>
          <w:lang w:bidi="fa-IR"/>
          <w:color w:val="111111"/>
          <w:sz w:val="28"/>
          <w:szCs w:val="28"/>
          <w:rtl/>
        </w:rPr>
        <w:t xml:space="preserve">٣. تهران؛ ملی؛ شماره نسخه: ۲۸۰۵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تا:محتملا قرن ۱۰؛ مجدول؛ در پشت صفحه اول آمد: «واقعه ناظمه و هو الفقير الجامی»؛ کاغذ: متن بخارائی، حاشیه فرنگی، جلد: مقوایی، رویه قلمدانی ریخته، عطف تیماج قهوه ای، ۹۸گ، ۱۷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۶-۴۲۳]</w:t>
      </w:r>
    </w:p>
    <w:p>
      <w:pPr>
        <w:pStyle w:val="BookText"/>
      </w:pPr>
      <w:r>
        <w:rPr>
          <w:rFonts w:ascii="IRNazanin" w:hAnsi="IRNazanin" w:eastAsia="IRNazanin" w:cs="IRNazanin"/>
          <w:lang w:bidi="fa-IR"/>
          <w:color w:val="111111"/>
          <w:sz w:val="28"/>
          <w:szCs w:val="28"/>
          <w:rtl/>
        </w:rPr>
        <w:t xml:space="preserve">۴. مشهد؛ رضوی؛ شماره نسخه: ۲۷۶۲۰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جلی ممتاز، بی کا، تا: قرن ۱۰؛ مجدول، با سرلوح ساده؛ تملك: وصی بنده خواجه محمد؛ کاغذ: نخودی سرخی، جلد: تیماج ضربی با ترنج و سرترنج و حاشیه زنجیره ای، ۱۳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قطع: وزیری، اندازه: ۲۴/۷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سم (رایانه)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مرعشی؛ شماره نسخه: ۷۱۲۰</w:t>
      </w:r>
    </w:p>
    <w:p>
      <w:pPr>
        <w:pStyle w:val="BookText"/>
      </w:pPr>
      <w:r>
        <w:rPr>
          <w:rFonts w:ascii="IRNazanin" w:hAnsi="IRNazanin" w:eastAsia="IRNazanin" w:cs="IRNazanin"/>
          <w:lang w:bidi="fa-IR"/>
          <w:color w:val="111111"/>
          <w:sz w:val="28"/>
          <w:szCs w:val="28"/>
          <w:rtl/>
        </w:rPr>
        <w:t xml:space="preserve">آغاز: برابر؛ انجام: چو به بینی ز آشنا عیبی*** گربه بیگانگان نگوئی به خط: نستعلیق زیبا، بی کا، تا: قرن ۱۰؛ افتادگی: انجام؛ مجدول به زر و مشکی و لاجورد، دارای سرلوح بی ارزش؛ جلد: تیماج قهوه ای، ۱۰۶گ، ۱۲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[ف: ۱۸-۲۷۴]</w:t>
      </w:r>
    </w:p>
    <w:p>
      <w:pPr>
        <w:pStyle w:val="BookText"/>
      </w:pPr>
      <w:r>
        <w:rPr>
          <w:rFonts w:ascii="IRNazanin" w:hAnsi="IRNazanin" w:eastAsia="IRNazanin" w:cs="IRNazanin"/>
          <w:lang w:bidi="fa-IR"/>
          <w:color w:val="111111"/>
          <w:sz w:val="28"/>
          <w:szCs w:val="28"/>
          <w:rtl/>
        </w:rPr>
        <w:t xml:space="preserve">۶. تهران؛ ملک؛ شماره نسخه: ۴۷۹۵/۲۴</w:t>
      </w:r>
    </w:p>
    <w:p>
      <w:pPr>
        <w:pStyle w:val="BookText"/>
      </w:pPr>
      <w:r>
        <w:rPr>
          <w:rFonts w:ascii="IRNazanin" w:hAnsi="IRNazanin" w:eastAsia="IRNazanin" w:cs="IRNazanin"/>
          <w:lang w:bidi="fa-IR"/>
          <w:color w:val="111111"/>
          <w:sz w:val="28"/>
          <w:szCs w:val="28"/>
          <w:rtl/>
        </w:rPr>
        <w:t xml:space="preserve">خط: نستعلیق، بی کا، تا: قرن ۱۰؛ کاغذ: ترمه، جلد: رویه میشن قهوه ای ضربی، ۲۱گ (۴۱۹پ - ۴۳۹پ)، ۳۱ سطر،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۲۵/۲ سم [ف: ۳-۶۳۳]</w:t>
      </w:r>
    </w:p>
    <w:p>
      <w:pPr>
        <w:pStyle w:val="BookText"/>
      </w:pPr>
      <w:r>
        <w:rPr>
          <w:rFonts w:ascii="IRNazanin" w:hAnsi="IRNazanin" w:eastAsia="IRNazanin" w:cs="IRNazanin"/>
          <w:lang w:bidi="fa-IR"/>
          <w:color w:val="111111"/>
          <w:sz w:val="28"/>
          <w:szCs w:val="28"/>
          <w:rtl/>
        </w:rPr>
        <w:t xml:space="preserve">۷. تهران؛ ملک؛ شماره نسخه: ۵۹۹۷/۳</w:t>
      </w:r>
    </w:p>
    <w:p>
      <w:pPr>
        <w:pStyle w:val="BookText"/>
      </w:pPr>
      <w:r>
        <w:rPr>
          <w:rFonts w:ascii="IRNazanin" w:hAnsi="IRNazanin" w:eastAsia="IRNazanin" w:cs="IRNazanin"/>
          <w:lang w:bidi="fa-IR"/>
          <w:color w:val="111111"/>
          <w:sz w:val="28"/>
          <w:szCs w:val="28"/>
          <w:rtl/>
        </w:rPr>
        <w:t xml:space="preserve">خط: نستعلیق، بی کا، تا: قرن ۱۰؛ کاغذ: ترمه، جلد: میشن قهوه ای سیر ضربی پشت معرق، ۲۷ سطر [ف: ۳-۶۳۴]</w:t>
      </w:r>
    </w:p>
    <w:p>
      <w:pPr>
        <w:pStyle w:val="BookText"/>
      </w:pPr>
      <w:r>
        <w:rPr>
          <w:rFonts w:ascii="IRNazanin" w:hAnsi="IRNazanin" w:eastAsia="IRNazanin" w:cs="IRNazanin"/>
          <w:lang w:bidi="fa-IR"/>
          <w:color w:val="111111"/>
          <w:sz w:val="28"/>
          <w:szCs w:val="28"/>
          <w:rtl/>
        </w:rPr>
        <w:t xml:space="preserve">۸. تهران؛ سلطنتی؛ شماره نسخه: ۳۱۳/۱۸</w:t>
      </w:r>
    </w:p>
    <w:p>
      <w:pPr>
        <w:pStyle w:val="BookText"/>
      </w:pPr>
      <w:r>
        <w:rPr>
          <w:rFonts w:ascii="IRNazanin" w:hAnsi="IRNazanin" w:eastAsia="IRNazanin" w:cs="IRNazanin"/>
          <w:lang w:bidi="fa-IR"/>
          <w:color w:val="111111"/>
          <w:sz w:val="28"/>
          <w:szCs w:val="28"/>
          <w:rtl/>
        </w:rPr>
        <w:t xml:space="preserve">خط: نستعلیق، کا: خواجه خواوند بن میرک، تا: قرن ۱۰؛ مجدول دارای یک شمسه مذهب مرصع ممتاز، دارای ۱۶ سرلوح مذهب مرصع بسیار عالی، یازده ۱۱ ترنج پروانه ای و سروی شکل مذهب مرصع بسیار عالی، دو صفحه مذهب مرصع بسیار، هفت صفحه از آغاز این کلیات شامل فهرست و اعلام کتاب نفحات الانس و نام عرفا و صوفیانی که در این کتاب از احوالات آنان بحث رفته است و همچنین نام ۳۴ نفر از زنان عارفه و شاعره از جمله رابعه عدويه - فاطمه بنت المثنی فاطمه نیشابوریه و ..، یادداشتی است به خط مرتضی قاجار ولد اسکندر میرزا ابن نائب السلطنة عباس میرزا که درباره حادثه وحشتناک زلزله شهر اسلامبول در ششم محرم الحرام سال ۱۳۱۲ شرح وافی نوشته اظهار می دارد که از تعداد سی هزار نفوس ایرانی مقیم شهر اسلامبول فقط یک طفل هنگام رفتن به مکتب بر اثر فرو ریختن دیوار کشته شده و بقیه سالم هستند. نویسنده برای اثبات یادداشت خود عین عبارات روزنامه اختر چاپ اسلامبول را نقل و می نویسد (روز سه شنبه پیش طرف ظهری در این شهر پایتخت بزرگی زلزله بسیار سخت  و هولناکی بوقوع رسیده موجب بسی خرابیها شد ... اصناف بازار از کسبه و تجار تماما از هول جان دكان و مکازه های خودشان را باز گذاشته فرار کردند حتی صرافان مملکت نیز نقود موجوده خودشان را بی صاحب گذاشته گریختند ... ) تحريرا في شانزدهم شهر صفر المظفر ۱۳۱۲ كتبه الاحقير مرتضی کتابدار بندگان حضرت اقدس ارفع والا ولیعهد سلطان مظفر الدین میرزا ارواحنا فدا بتاریخ فوق تحریر شد التماس دعا دارم؛ مهر: وليعهدی مظفرالدین شاه قاجار «بر ملكت ناصری ولیعهد بر رایت نصر حق مظفر -۱۲۸۲ نقش شیر و خورشید و شمشیر»، «بروز قیامت بلرزد جسد - محمد بفرياد جعفر رسد ۱۱۶۵»؛ کاغذ: بخارائی نباتی رنگ، جلد: مقوای روکش تیماج زیتونی مجدول منگنهای زرین، قطع: رحلی، ۲۳ و ۱۹ سطر، اندازه: ۴۳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۳-۲۳۵]</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سلطنتی؛ شماره نسخه: ۳۱۵/۱۴</w:t>
      </w:r>
    </w:p>
    <w:p>
      <w:pPr>
        <w:pStyle w:val="BookText"/>
      </w:pPr>
      <w:r>
        <w:rPr>
          <w:rFonts w:ascii="IRNazanin" w:hAnsi="IRNazanin" w:eastAsia="IRNazanin" w:cs="IRNazanin"/>
          <w:lang w:bidi="fa-IR"/>
          <w:color w:val="111111"/>
          <w:sz w:val="28"/>
          <w:szCs w:val="28"/>
          <w:rtl/>
        </w:rPr>
        <w:t xml:space="preserve">خط: نستعلیق، بی کا، تا: قرن ۱۰؛ دارای شرحی است به این مضمون که به موجب دستور فتحعلیشاه قاجار میرزا محمد شفیع صدر اعظم مربی و معلم شاهزاده محمود میرزا کتاب حاضر را به جهت شاهزاده مزبور در تاریخ ذیحجه ۱۲۳۰ ضبط نموده با سجع مهر محمود میرزا ... «چون طالع خسروی است مسعود / محمود آمد صفات محمود ۱۲۱۷»، دو صفحه مذهب، و در وسط هر یک ترنج خورشیدی مذهب مرصع عالی، مجدول، مذهب، سرآغاز رساله ها و مثنوی ها روی هم ۲۰ سرلوح مذهب مرصع عالی؛ مهر: مشير السلطنه ۱۳۲۲»، ناصر الدین شاه قاجار ۱۲۷۴؛ کاغذ: بخارائی شکری رنگ، جلد: مقوای روکش میشن تریاکی که متن و حاشیه تمامی ضربی گل برجسته طلایی، ۲۵ و ۲۷ سطر، قطع: رحلی،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۳۵/۵سم [ف: ۳-۲۴۰]</w:t>
      </w:r>
    </w:p>
    <w:p>
      <w:pPr>
        <w:pStyle w:val="BookText"/>
      </w:pPr>
      <w:r>
        <w:rPr>
          <w:rFonts w:ascii="IRNazanin" w:hAnsi="IRNazanin" w:eastAsia="IRNazanin" w:cs="IRNazanin"/>
          <w:lang w:bidi="fa-IR"/>
          <w:color w:val="111111"/>
          <w:sz w:val="28"/>
          <w:szCs w:val="28"/>
          <w:rtl/>
        </w:rPr>
        <w:t xml:space="preserve">۱۰. تهران: دانشگاه؛ شماره نسخه: ۴۵۹۷/۳ -ف</w:t>
      </w:r>
    </w:p>
    <w:p>
      <w:pPr>
        <w:pStyle w:val="BookText"/>
      </w:pPr>
      <w:r>
        <w:rPr>
          <w:rFonts w:ascii="IRNazanin" w:hAnsi="IRNazanin" w:eastAsia="IRNazanin" w:cs="IRNazanin"/>
          <w:lang w:bidi="fa-IR"/>
          <w:color w:val="111111"/>
          <w:sz w:val="28"/>
          <w:szCs w:val="28"/>
          <w:rtl/>
        </w:rPr>
        <w:t xml:space="preserve">نسخه اصل: آلمان 3459</w:t>
      </w:r>
    </w:p>
    <w:p>
      <w:pPr>
        <w:pStyle w:val="BookText"/>
      </w:pPr>
      <w:r>
        <w:rPr>
          <w:rFonts w:ascii="Times New Roman" w:hAnsi="Times New Roman" w:eastAsia="Times New Roman" w:cs="Times New Roman"/>
          <w:lang w:val="en-US" w:bidi="en-US"/>
          <w:color w:val="111111"/>
          <w:sz w:val="28"/>
          <w:szCs w:val="28"/>
          <w:rtl/>
        </w:rPr>
        <w:t xml:space="preserve">0r Oct</w:t>
      </w:r>
      <w:r>
        <w:rPr>
          <w:rFonts w:ascii="IRNazanin" w:hAnsi="IRNazanin" w:eastAsia="IRNazanin" w:cs="IRNazanin"/>
          <w:lang w:bidi="fa-IR"/>
          <w:color w:val="111111"/>
          <w:sz w:val="28"/>
          <w:szCs w:val="28"/>
          <w:rtl/>
        </w:rPr>
        <w:t xml:space="preserve">؛ خط: نستعلیق، بی کا، تا: 1 ذیحجه قرن ۱۰ فیلمها ف: ۳-۷۶]</w:t>
      </w:r>
    </w:p>
    <w:p>
      <w:pPr>
        <w:pStyle w:val="BookText"/>
      </w:pPr>
      <w:r>
        <w:rPr>
          <w:rFonts w:ascii="IRNazanin" w:hAnsi="IRNazanin" w:eastAsia="IRNazanin" w:cs="IRNazanin"/>
          <w:lang w:bidi="fa-IR"/>
          <w:color w:val="111111"/>
          <w:sz w:val="28"/>
          <w:szCs w:val="28"/>
          <w:rtl/>
        </w:rPr>
        <w:t xml:space="preserve">۱۱. تهران: مفتاح؛ شماره نسخه: ۵۸۵</w:t>
      </w:r>
    </w:p>
    <w:p>
      <w:pPr>
        <w:pStyle w:val="BookText"/>
      </w:pPr>
      <w:r>
        <w:rPr>
          <w:rFonts w:ascii="IRNazanin" w:hAnsi="IRNazanin" w:eastAsia="IRNazanin" w:cs="IRNazanin"/>
          <w:lang w:bidi="fa-IR"/>
          <w:color w:val="111111"/>
          <w:sz w:val="28"/>
          <w:szCs w:val="28"/>
          <w:rtl/>
        </w:rPr>
        <w:t xml:space="preserve">خط: نستعلیق، بی کا، تا: قرن ۹ و ۱۰؛ مجدول زر و لاجورد؛ قطع: اربعی. [نشریه: ۷-۱۰۸]</w:t>
      </w:r>
    </w:p>
    <w:p>
      <w:pPr>
        <w:pStyle w:val="BookText"/>
      </w:pPr>
      <w:r>
        <w:rPr>
          <w:rFonts w:ascii="IRNazanin" w:hAnsi="IRNazanin" w:eastAsia="IRNazanin" w:cs="IRNazanin"/>
          <w:lang w:bidi="fa-IR"/>
          <w:color w:val="111111"/>
          <w:sz w:val="28"/>
          <w:szCs w:val="28"/>
          <w:rtl/>
        </w:rPr>
        <w:t xml:space="preserve">۱۲. تهران؛ ملی؛ شماره نسخه: ۱۶۹۹۵</w:t>
      </w:r>
    </w:p>
    <w:p>
      <w:pPr>
        <w:pStyle w:val="BookText"/>
      </w:pPr>
      <w:r>
        <w:rPr>
          <w:rFonts w:ascii="IRNazanin" w:hAnsi="IRNazanin" w:eastAsia="IRNazanin" w:cs="IRNazanin"/>
          <w:lang w:bidi="fa-IR"/>
          <w:color w:val="111111"/>
          <w:sz w:val="28"/>
          <w:szCs w:val="28"/>
          <w:rtl/>
        </w:rPr>
        <w:t xml:space="preserve">بی کا، تا: ۹۰۸ق؛ انتقالی از کتابخانه پهلوی - مجموعه نوازی؛ ۱۰گ،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[رایانه]</w:t>
      </w:r>
    </w:p>
    <w:p>
      <w:pPr>
        <w:pStyle w:val="BookText"/>
      </w:pPr>
      <w:r>
        <w:rPr>
          <w:rFonts w:ascii="IRNazanin" w:hAnsi="IRNazanin" w:eastAsia="IRNazanin" w:cs="IRNazanin"/>
          <w:lang w:bidi="fa-IR"/>
          <w:color w:val="111111"/>
          <w:sz w:val="28"/>
          <w:szCs w:val="28"/>
          <w:rtl/>
        </w:rPr>
        <w:t xml:space="preserve">۱۳. تهران، دانشگاه؛ شماره نسخه: ۳۳۰۷</w:t>
      </w:r>
    </w:p>
    <w:p>
      <w:pPr>
        <w:pStyle w:val="BookText"/>
      </w:pPr>
      <w:r>
        <w:rPr>
          <w:rFonts w:ascii="IRNazanin" w:hAnsi="IRNazanin" w:eastAsia="IRNazanin" w:cs="IRNazanin"/>
          <w:lang w:bidi="fa-IR"/>
          <w:color w:val="111111"/>
          <w:sz w:val="28"/>
          <w:szCs w:val="28"/>
          <w:rtl/>
        </w:rPr>
        <w:t xml:space="preserve">خط: نستعلیق، بی کا، تا: ۱۸ شعبان ۹۱۸ق؛ افتادگی: آغاز؛ مجدول؛ کاغذ: سمرقندی، جلد: تیماج تریاکی ضربی زرکوب ترنجی، ۹۱گ، ۱۳ سطر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۱۱-۲۲۹۳]</w:t>
      </w:r>
    </w:p>
    <w:p>
      <w:pPr>
        <w:pStyle w:val="BookText"/>
      </w:pPr>
      <w:r>
        <w:rPr>
          <w:rFonts w:ascii="IRNazanin" w:hAnsi="IRNazanin" w:eastAsia="IRNazanin" w:cs="IRNazanin"/>
          <w:lang w:bidi="fa-IR"/>
          <w:color w:val="111111"/>
          <w:sz w:val="28"/>
          <w:szCs w:val="28"/>
          <w:rtl/>
        </w:rPr>
        <w:t xml:space="preserve">۱۴. تهران؛ دانشگاه؛ شماره نسخه: ۴۸۶۲</w:t>
      </w:r>
    </w:p>
    <w:p>
      <w:pPr>
        <w:pStyle w:val="BookText"/>
      </w:pPr>
      <w:r>
        <w:rPr>
          <w:rFonts w:ascii="IRNazanin" w:hAnsi="IRNazanin" w:eastAsia="IRNazanin" w:cs="IRNazanin"/>
          <w:lang w:bidi="fa-IR"/>
          <w:color w:val="111111"/>
          <w:sz w:val="28"/>
          <w:szCs w:val="28"/>
          <w:rtl/>
        </w:rPr>
        <w:t xml:space="preserve">خط: نستعلیق، کا: عل بن عیسی معروف به قنبرعلی یانیه وی، تا: صفر ۹۷۲ق؛ تملک احمد بن مصطفی؛ کاغذ: سمرقندی، جلد: مقوا، ۹۴، ۱۵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[ف: ۱۴-۳۸۸۳]</w:t>
      </w:r>
    </w:p>
    <w:p>
      <w:pPr>
        <w:pStyle w:val="BookText"/>
      </w:pPr>
      <w:r>
        <w:rPr>
          <w:rFonts w:ascii="IRNazanin" w:hAnsi="IRNazanin" w:eastAsia="IRNazanin" w:cs="IRNazanin"/>
          <w:lang w:bidi="fa-IR"/>
          <w:color w:val="111111"/>
          <w:sz w:val="28"/>
          <w:szCs w:val="28"/>
          <w:rtl/>
        </w:rPr>
        <w:t xml:space="preserve">۱۵. قم؛ گلپایگانی؛ شماره نسخه: ۱۶۸۷- ۹/۲۳۷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سه شنبه اواسط ربیع الثانی ۹۸۰ق؛ مجدول مصحح؛ جلد: تیماج قهوهای مجدول با ترنج وسر ترنج، ۱۳۹ گ، ۱۱ سطر،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سم [ف: ۲-۶۳۵]</w:t>
      </w:r>
    </w:p>
    <w:p>
      <w:pPr>
        <w:pStyle w:val="BookText"/>
      </w:pPr>
      <w:r>
        <w:rPr>
          <w:rFonts w:ascii="IRNazanin" w:hAnsi="IRNazanin" w:eastAsia="IRNazanin" w:cs="IRNazanin"/>
          <w:lang w:bidi="fa-IR"/>
          <w:color w:val="111111"/>
          <w:sz w:val="28"/>
          <w:szCs w:val="28"/>
          <w:rtl/>
        </w:rPr>
        <w:t xml:space="preserve">۱۶. تهران؛ ملک؛ شماره نسخه: ۵۷۲</w:t>
      </w:r>
    </w:p>
    <w:p>
      <w:pPr>
        <w:pStyle w:val="BookText"/>
      </w:pPr>
      <w:r>
        <w:rPr>
          <w:rFonts w:ascii="IRNazanin" w:hAnsi="IRNazanin" w:eastAsia="IRNazanin" w:cs="IRNazanin"/>
          <w:lang w:bidi="fa-IR"/>
          <w:color w:val="111111"/>
          <w:sz w:val="28"/>
          <w:szCs w:val="28"/>
          <w:rtl/>
        </w:rPr>
        <w:t xml:space="preserve">خط: نستعلیق، کا: محمد بن عثمان، تا: ۱۰ صفر ۹۸۶ق؛ دارای سرلوح، ؛ کاغذ: کاغذ ترمه، جلد: میشن لایی قهوه ای، ۱۱۰گ، ۱۳ سطر، اندازه: ۱۰/۳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۲-۶۱]</w:t>
      </w:r>
    </w:p>
    <w:p>
      <w:pPr>
        <w:pStyle w:val="BookText"/>
      </w:pPr>
      <w:r>
        <w:rPr>
          <w:rFonts w:ascii="IRNazanin" w:hAnsi="IRNazanin" w:eastAsia="IRNazanin" w:cs="IRNazanin"/>
          <w:lang w:bidi="fa-IR"/>
          <w:color w:val="111111"/>
          <w:sz w:val="28"/>
          <w:szCs w:val="28"/>
          <w:rtl/>
        </w:rPr>
        <w:t xml:space="preserve">تهران؛ دانشگاه؛ شماره نسخه: ۴۷۹۶-ف</w:t>
      </w:r>
    </w:p>
    <w:p>
      <w:pPr>
        <w:pStyle w:val="BookText"/>
      </w:pPr>
      <w:r>
        <w:rPr>
          <w:rFonts w:ascii="IRNazanin" w:hAnsi="IRNazanin" w:eastAsia="IRNazanin" w:cs="IRNazanin"/>
          <w:lang w:bidi="fa-IR"/>
          <w:color w:val="111111"/>
          <w:sz w:val="28"/>
          <w:szCs w:val="28"/>
          <w:rtl/>
        </w:rPr>
        <w:t xml:space="preserve">نسخه اصل: همان نسخه بالا [فیلمها ف: ۳-۱۰۷]</w:t>
      </w:r>
    </w:p>
    <w:p>
      <w:pPr>
        <w:pStyle w:val="BookText"/>
      </w:pPr>
      <w:r>
        <w:rPr>
          <w:rFonts w:ascii="IRNazanin" w:hAnsi="IRNazanin" w:eastAsia="IRNazanin" w:cs="IRNazanin"/>
          <w:lang w:bidi="fa-IR"/>
          <w:color w:val="111111"/>
          <w:sz w:val="28"/>
          <w:szCs w:val="28"/>
          <w:rtl/>
        </w:rPr>
        <w:t xml:space="preserve">۱۷. مشهد؛ رضوی؛ شماره نسخه: ۱۵۹۷۸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افضل، تا: ۹۸۷ق؛ مجدول، دارای سرلوح مذهب مزدوج؛ واگذاری بنیاد مستضعفان در شهریور ۱۳۶۷؛ کاغذ: حنایی کمرنگ، جلد: تیماج، ۱۰۳گ، ۱۲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۹/۴ سم [ف: ۱۷-۳۷]</w:t>
      </w:r>
    </w:p>
    <w:p>
      <w:pPr>
        <w:pStyle w:val="BookText"/>
      </w:pPr>
      <w:r>
        <w:rPr>
          <w:rFonts w:ascii="IRNazanin" w:hAnsi="IRNazanin" w:eastAsia="IRNazanin" w:cs="IRNazanin"/>
          <w:lang w:bidi="fa-IR"/>
          <w:color w:val="111111"/>
          <w:sz w:val="28"/>
          <w:szCs w:val="28"/>
          <w:rtl/>
        </w:rPr>
        <w:t xml:space="preserve">۱۸. قم؛ مرعشی؛ شماره نسخه: ۹۹۵۵</w:t>
      </w:r>
    </w:p>
    <w:p>
      <w:pPr>
        <w:pStyle w:val="BookText"/>
      </w:pPr>
      <w:r>
        <w:rPr>
          <w:rFonts w:ascii="IRNazanin" w:hAnsi="IRNazanin" w:eastAsia="IRNazanin" w:cs="IRNazanin"/>
          <w:lang w:bidi="fa-IR"/>
          <w:color w:val="111111"/>
          <w:sz w:val="28"/>
          <w:szCs w:val="28"/>
          <w:rtl/>
        </w:rPr>
        <w:t xml:space="preserve">خط: نسخ، بی کا، تا: قرن ۱۱، مجدول؛ جلد: تیماج قهوه ای بدون مقوا، ۹۴گ، ۱۷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۲۵-۲۳۱]</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اصفهان؛ دانشگاه؛ شماره نسخه: ۶۶۳</w:t>
      </w:r>
    </w:p>
    <w:p>
      <w:pPr>
        <w:pStyle w:val="BookText"/>
      </w:pPr>
      <w:r>
        <w:rPr>
          <w:rFonts w:ascii="IRNazanin" w:hAnsi="IRNazanin" w:eastAsia="IRNazanin" w:cs="IRNazanin"/>
          <w:lang w:bidi="fa-IR"/>
          <w:color w:val="111111"/>
          <w:sz w:val="28"/>
          <w:szCs w:val="28"/>
          <w:rtl/>
        </w:rPr>
        <w:t xml:space="preserve">انجام: در انبان و زبانش در طلب نان یک شبه جنبان</w:t>
      </w:r>
    </w:p>
    <w:p>
      <w:pPr>
        <w:pStyle w:val="BookText"/>
      </w:pPr>
      <w:r>
        <w:rPr>
          <w:rFonts w:ascii="IRNazanin" w:hAnsi="IRNazanin" w:eastAsia="IRNazanin" w:cs="IRNazanin"/>
          <w:lang w:bidi="fa-IR"/>
          <w:color w:val="111111"/>
          <w:sz w:val="28"/>
          <w:szCs w:val="28"/>
          <w:rtl/>
        </w:rPr>
        <w:t xml:space="preserve">خط: نستعلیق، بی کا، تا: قرن ۱۱؛ افتادگی: انجام؛ مصحح؛ جلد: مقوایی فرسوده عطف و دور تیماج قهوه ای، ۱۲۰گ، ۱۵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۲-۵۱۴]</w:t>
      </w:r>
    </w:p>
    <w:p>
      <w:pPr>
        <w:pStyle w:val="BookText"/>
      </w:pPr>
      <w:r>
        <w:rPr>
          <w:rFonts w:ascii="IRNazanin" w:hAnsi="IRNazanin" w:eastAsia="IRNazanin" w:cs="IRNazanin"/>
          <w:lang w:bidi="fa-IR"/>
          <w:color w:val="111111"/>
          <w:sz w:val="28"/>
          <w:szCs w:val="28"/>
          <w:rtl/>
        </w:rPr>
        <w:t xml:space="preserve">۲۰. مشهد؛ رضوی؛ شماره نسخه: ۱۴۳۳۴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رضوان بن عبد الله، تا: ۱۰۰۴ق؛ مذيل است به ترجیع بندهایی ناقص از شاعران متعدد بدین شرح: منسوب به حافظ (نامش چند مورد آمده است با این مطلع: «ای داده بباد دوستداری»، شیخ سعدی: «ای سرو بلند قامت دوست»، امیر قاسم: الا ای عشق عالم سوز بی غم»، «ای ذروه لامكان مكانت»، «ای زمینت آسمان عالم بالا شد»، «ما مریدان کوی خماریم»، «ماییم کشیده داغ شاهی»، مولانا جلال الدین رومی: «محرمی کن که راه بگذارم*** پرده از روی کار بر دارم»، شیخ فضل الله: «داریم نشان بی نشانی *** دانیم زبان بی زبانی»، او حدی: «در خرابات عاشقان کوییست»، «تا بكنون پرده نشین بود یار»، «در میکده با حریف قلاش»، ابدال: «این کیست که در میان جانست». آغاز ترجیع بندها: «ای داده بباد دوستداری*** اینست وفا و عهد و یاری»، انجام موجود: «بگشا ز دلم انا الحق عشق ۸۸ تا کشته شوم بدار منصور»؛ ۱۰۸گی مربوط به بهارستان + ۷۳ گ مربوط به ترجيع بندها؛ واقف: سید محمد باقر مولوی عربشاهی سبزواری، محرم ۱۴۰۵؛ کاغذ: نباتی، جلد: مقوایی</w:t>
      </w:r>
    </w:p>
    <w:p>
      <w:pPr>
        <w:pStyle w:val="BookText"/>
      </w:pPr>
      <w:r>
        <w:rPr>
          <w:rFonts w:ascii="IRNazanin" w:hAnsi="IRNazanin" w:eastAsia="IRNazanin" w:cs="IRNazanin"/>
          <w:lang w:bidi="fa-IR"/>
          <w:color w:val="111111"/>
          <w:sz w:val="28"/>
          <w:szCs w:val="28"/>
          <w:rtl/>
        </w:rPr>
        <w:t xml:space="preserve">با عطف و گوشه میشن، ۱۸۱ گی، ۱۱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۱۲/۶ سم [ف: ۱۷-۳۸]</w:t>
      </w:r>
    </w:p>
    <w:p>
      <w:pPr>
        <w:pStyle w:val="BookText"/>
      </w:pPr>
      <w:r>
        <w:rPr>
          <w:rFonts w:ascii="IRNazanin" w:hAnsi="IRNazanin" w:eastAsia="IRNazanin" w:cs="IRNazanin"/>
          <w:lang w:bidi="fa-IR"/>
          <w:color w:val="111111"/>
          <w:sz w:val="28"/>
          <w:szCs w:val="28"/>
          <w:rtl/>
        </w:rPr>
        <w:t xml:space="preserve">۲۱. تبریز؛ تربیت؛ شماره نسخه: ۱۱۹</w:t>
      </w:r>
    </w:p>
    <w:p>
      <w:pPr>
        <w:pStyle w:val="BookText"/>
      </w:pPr>
      <w:r>
        <w:rPr>
          <w:rFonts w:ascii="IRNazanin" w:hAnsi="IRNazanin" w:eastAsia="IRNazanin" w:cs="IRNazanin"/>
          <w:lang w:bidi="fa-IR"/>
          <w:color w:val="111111"/>
          <w:sz w:val="28"/>
          <w:szCs w:val="28"/>
          <w:rtl/>
        </w:rPr>
        <w:t xml:space="preserve">كا: شاه محمد بن فخر الدين على شهابی، تا: ۱۰۰۴ق، مجدول، مذهب، با سرلوح مذهب کوچک؛ اهدایی: مرحوم حاجی محمد على بادامچی. [ف: ۱۴۹]</w:t>
      </w:r>
    </w:p>
    <w:p>
      <w:pPr>
        <w:pStyle w:val="BookText"/>
      </w:pPr>
      <w:r>
        <w:rPr>
          <w:rFonts w:ascii="IRNazanin" w:hAnsi="IRNazanin" w:eastAsia="IRNazanin" w:cs="IRNazanin"/>
          <w:lang w:bidi="fa-IR"/>
          <w:color w:val="111111"/>
          <w:sz w:val="28"/>
          <w:szCs w:val="28"/>
          <w:rtl/>
        </w:rPr>
        <w:t xml:space="preserve">۲۲. مشهد؛ رضوی؛ شماره نسخه: ۴۴۵۹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ترک، كان على بن منصور، تا: جمادی الثانی ۱۰۰۷ق؛ لغات در حواشی به ترکی، مجدول؛ واقف: نایینی؛ کاغذ: شکری، جلد: پارچه ای عطف و گوشه چرمی، ۱۳۱گ، ۱۳ سطر ( ۱۱/۳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۵/۳ )، اندازه: ۱۱/۲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۱۷/۵ سم [ف: ۷-۲۲۰]</w:t>
      </w:r>
    </w:p>
    <w:p>
      <w:pPr>
        <w:pStyle w:val="BookText"/>
      </w:pPr>
      <w:r>
        <w:rPr>
          <w:rFonts w:ascii="IRNazanin" w:hAnsi="IRNazanin" w:eastAsia="IRNazanin" w:cs="IRNazanin"/>
          <w:lang w:bidi="fa-IR"/>
          <w:color w:val="111111"/>
          <w:sz w:val="28"/>
          <w:szCs w:val="28"/>
          <w:rtl/>
        </w:rPr>
        <w:t xml:space="preserve">۲۳. خوانسار؛ فاضل؛ شماره نسخه: ۳۷۲</w:t>
      </w:r>
    </w:p>
    <w:p>
      <w:pPr>
        <w:pStyle w:val="BookText"/>
      </w:pPr>
      <w:r>
        <w:rPr>
          <w:rFonts w:ascii="IRNazanin" w:hAnsi="IRNazanin" w:eastAsia="IRNazanin" w:cs="IRNazanin"/>
          <w:lang w:bidi="fa-IR"/>
          <w:color w:val="111111"/>
          <w:sz w:val="28"/>
          <w:szCs w:val="28"/>
          <w:rtl/>
        </w:rPr>
        <w:t xml:space="preserve">خط: نستعلیق، كا: مصطفی بن حسين محرم، تا: ۱۰۱۰ق؛ مصحح، محشی، چند بیت شعر از «کمال یاشارزاده افندی»؛ مهر: «عبده حسام الدين» (بیضوی)؛ جلد: مقوایی، ۸۰گ، ۱۷ سطر، اندازه: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۱۹/۵ سم [ف: ۲-۶۳]</w:t>
      </w:r>
    </w:p>
    <w:p>
      <w:pPr>
        <w:pStyle w:val="BookText"/>
      </w:pPr>
      <w:r>
        <w:rPr>
          <w:rFonts w:ascii="IRNazanin" w:hAnsi="IRNazanin" w:eastAsia="IRNazanin" w:cs="IRNazanin"/>
          <w:lang w:bidi="fa-IR"/>
          <w:color w:val="111111"/>
          <w:sz w:val="28"/>
          <w:szCs w:val="28"/>
          <w:rtl/>
        </w:rPr>
        <w:t xml:space="preserve">۲۴. تهران؛ مجلس؛ شماره نسخه: ۳۱۰۰/۲</w:t>
      </w:r>
    </w:p>
    <w:p>
      <w:pPr>
        <w:pStyle w:val="BookText"/>
      </w:pPr>
      <w:r>
        <w:rPr>
          <w:rFonts w:ascii="Amiri" w:hAnsi="Amiri" w:eastAsia="Amiri" w:cs="Amiri"/>
          <w:lang w:bidi="ar-SA"/>
          <w:color w:val="111111"/>
          <w:sz w:val="28"/>
          <w:szCs w:val="28"/>
          <w:rtl/>
        </w:rPr>
        <w:t xml:space="preserve">آغاز: برابر؛ انجام: محمد و آله البررة الكرام.</w:t>
      </w:r>
    </w:p>
    <w:p>
      <w:pPr>
        <w:pStyle w:val="BookText"/>
      </w:pPr>
      <w:r>
        <w:rPr>
          <w:rFonts w:ascii="IRNazanin" w:hAnsi="IRNazanin" w:eastAsia="IRNazanin" w:cs="IRNazanin"/>
          <w:lang w:bidi="fa-IR"/>
          <w:color w:val="111111"/>
          <w:sz w:val="28"/>
          <w:szCs w:val="28"/>
          <w:rtl/>
        </w:rPr>
        <w:t xml:space="preserve">خط: نستعلیق خوب، بی کا، تا: ۱۰۲۰ق؛ با سرلوح ضربی از طلا و لاجورد و زنگار و برنج؛ کاغذ: امیری شکری آهار مهره، جلد: میشن سیاه داغ دار، ۸۴ص (۱۱۷-۲۰۰)، ۲۳ سطر، قطع: خشتی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سم [ف: ۱۰-۶۵۱]</w:t>
      </w:r>
    </w:p>
    <w:p>
      <w:pPr>
        <w:pStyle w:val="BookText"/>
      </w:pPr>
      <w:r>
        <w:rPr>
          <w:rFonts w:ascii="IRNazanin" w:hAnsi="IRNazanin" w:eastAsia="IRNazanin" w:cs="IRNazanin"/>
          <w:lang w:bidi="fa-IR"/>
          <w:color w:val="111111"/>
          <w:sz w:val="28"/>
          <w:szCs w:val="28"/>
          <w:rtl/>
        </w:rPr>
        <w:t xml:space="preserve">۲۵. قم؛ مرعشی؛ شماره نسخه: ۱۲۷۵۷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عالی، کا: حسن بن محمد يكشهری، تا: ۱۰۳۰ق؛ به خط استاد حسن بن محمد یکشهری، دارای سر لوح مرصع عالی، بازوبندی و کنگره ای شکل در بالای آن، مجدول مذهب، با خطوط مزدوج، صفحات زرافشان، صفحه پایانی دارای تذهیب روی زمینه طلایی و لاجورد با خطوط اسلیمی، به نظر می رسد این نسخه در ترکیه و با دست خوشنویسی ترک، منسوب به «یکی شهر» کتابت و تذهیب شده؛ کاغذ: شرقی، جلد: دو رو، برون تیماج زرشکی با ترنج و سر ترنج و لچک طلائی، مجدول، عطف و لبه ها تیماج مشکی، ۹۸گ، ۱۳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1 ۴۲۷-۳۲ ]</w:t>
      </w:r>
    </w:p>
    <w:p>
      <w:pPr>
        <w:pStyle w:val="BookText"/>
      </w:pPr>
      <w:r>
        <w:rPr>
          <w:rFonts w:ascii="IRNazanin" w:hAnsi="IRNazanin" w:eastAsia="IRNazanin" w:cs="IRNazanin"/>
          <w:lang w:bidi="fa-IR"/>
          <w:color w:val="111111"/>
          <w:sz w:val="28"/>
          <w:szCs w:val="28"/>
          <w:rtl/>
        </w:rPr>
        <w:t xml:space="preserve">۲۶. تهران، دانشگاه؛ شماره نسخه: ۲۰۱۶/۵۰ -ف</w:t>
      </w:r>
    </w:p>
    <w:p>
      <w:pPr>
        <w:pStyle w:val="BookText"/>
      </w:pPr>
      <w:r>
        <w:rPr>
          <w:rFonts w:ascii="IRNazanin" w:hAnsi="IRNazanin" w:eastAsia="IRNazanin" w:cs="IRNazanin"/>
          <w:lang w:bidi="fa-IR"/>
          <w:color w:val="111111"/>
          <w:sz w:val="28"/>
          <w:szCs w:val="28"/>
          <w:rtl/>
        </w:rPr>
        <w:t xml:space="preserve">نسخه اصل: آغاز و انجام چند نسخه از کتابخانه های یوگسلاوی؛ کا: سليمان حسن سوخته، تا: نیمه های شوال ۱۰۳۱ق، جا: شهر سرای در قهوه قولاغوز [فیلمها ف: ۱-۶۴۰]</w:t>
      </w:r>
    </w:p>
    <w:p>
      <w:pPr>
        <w:pStyle w:val="BookText"/>
      </w:pPr>
      <w:r>
        <w:rPr>
          <w:rFonts w:ascii="IRNazanin" w:hAnsi="IRNazanin" w:eastAsia="IRNazanin" w:cs="IRNazanin"/>
          <w:lang w:bidi="fa-IR"/>
          <w:color w:val="111111"/>
          <w:sz w:val="28"/>
          <w:szCs w:val="28"/>
          <w:rtl/>
        </w:rPr>
        <w:t xml:space="preserve">۲۷. مشهد؛ رضوی؛ شماره نسخه: ۱۳۴۲۴۱۶</w:t>
      </w:r>
    </w:p>
    <w:p>
      <w:pPr>
        <w:pStyle w:val="BookText"/>
      </w:pPr>
      <w:r>
        <w:rPr>
          <w:rFonts w:ascii="IRNazanin" w:hAnsi="IRNazanin" w:eastAsia="IRNazanin" w:cs="IRNazanin"/>
          <w:lang w:bidi="fa-IR"/>
          <w:color w:val="111111"/>
          <w:sz w:val="28"/>
          <w:szCs w:val="28"/>
          <w:rtl/>
        </w:rPr>
        <w:t xml:space="preserve">آغاز: سید الطایفه جنید قدس الله سره میگوید حکايات المشایخ جند من جنود الله</w:t>
      </w:r>
    </w:p>
    <w:p>
      <w:pPr>
        <w:pStyle w:val="BookText"/>
      </w:pPr>
      <w:r>
        <w:rPr>
          <w:rFonts w:ascii="IRNazanin" w:hAnsi="IRNazanin" w:eastAsia="IRNazanin" w:cs="IRNazanin"/>
          <w:lang w:bidi="fa-IR"/>
          <w:color w:val="111111"/>
          <w:sz w:val="28"/>
          <w:szCs w:val="28"/>
          <w:rtl/>
        </w:rPr>
        <w:t xml:space="preserve">منتخب؛ خط: نستعلیق و شکسته و نسخ و تعليق، بی کا، تا: ۱۰۷۱ ۱۰۷۷؛ کاغذ: حنایی، جلد: تیماج مشکی، ۱۲ص (۱۰۴-۹۲)، اندازه: ۲۷/۶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۱۷-۴۰۸]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۲۸. اصفهان، دانشگاه؛ شماره نسخه: ۴۵</w:t>
      </w:r>
    </w:p>
    <w:p>
      <w:pPr>
        <w:pStyle w:val="BookText"/>
      </w:pPr>
      <w:r>
        <w:rPr>
          <w:rFonts w:ascii="IRNazanin" w:hAnsi="IRNazanin" w:eastAsia="IRNazanin" w:cs="IRNazanin"/>
          <w:lang w:bidi="fa-IR"/>
          <w:color w:val="111111"/>
          <w:sz w:val="28"/>
          <w:szCs w:val="28"/>
          <w:rtl/>
        </w:rPr>
        <w:t xml:space="preserve">خط: نستعلیق، بی کا، تا: قرن ۱۲؛ افتادگی: آغاز و انجام کاغذ: سپاهانی [نشریه: ۱۱-۸۸۵]</w:t>
      </w:r>
    </w:p>
    <w:p>
      <w:pPr>
        <w:pStyle w:val="BookText"/>
      </w:pPr>
      <w:r>
        <w:rPr>
          <w:rFonts w:ascii="IRNazanin" w:hAnsi="IRNazanin" w:eastAsia="IRNazanin" w:cs="IRNazanin"/>
          <w:lang w:bidi="fa-IR"/>
          <w:color w:val="111111"/>
          <w:sz w:val="28"/>
          <w:szCs w:val="28"/>
          <w:rtl/>
        </w:rPr>
        <w:t xml:space="preserve">۲۹. تهران؛ دائرة المعارف؛ شماره نسخه: ۲۷۶/۴ - عکسی</w:t>
      </w:r>
    </w:p>
    <w:p>
      <w:pPr>
        <w:pStyle w:val="BookText"/>
      </w:pPr>
      <w:r>
        <w:rPr>
          <w:rFonts w:ascii="IRNazanin" w:hAnsi="IRNazanin" w:eastAsia="IRNazanin" w:cs="IRNazanin"/>
          <w:lang w:bidi="fa-IR"/>
          <w:color w:val="111111"/>
          <w:sz w:val="28"/>
          <w:szCs w:val="28"/>
          <w:rtl/>
        </w:rPr>
        <w:t xml:space="preserve">نسخه اصل: گنج بخش، ش ۵۳۹۸ (گنج ۱۲۵۶/3 )؛ خط: نستعلیق شکسته، بی کا، تا: ۱۱۲۰ق؛ ۷۰گ (۸۲-۱۵۱) [عکسی ف: ۲-۴۳]</w:t>
      </w:r>
    </w:p>
    <w:p>
      <w:pPr>
        <w:pStyle w:val="BookText"/>
      </w:pPr>
      <w:r>
        <w:rPr>
          <w:rFonts w:ascii="IRNazanin" w:hAnsi="IRNazanin" w:eastAsia="IRNazanin" w:cs="IRNazanin"/>
          <w:lang w:bidi="fa-IR"/>
          <w:color w:val="111111"/>
          <w:sz w:val="28"/>
          <w:szCs w:val="28"/>
          <w:rtl/>
        </w:rPr>
        <w:t xml:space="preserve">۳۰. قم؛ گلپایگانی؛ شماره نسخه: ۱۳۶- ۱/۱۳۶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۱۳؛ جلد: تیماج مشکی ضربی مجدول، ۷۶گ، ۱۵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۲-۶۳۴]</w:t>
      </w:r>
    </w:p>
    <w:p>
      <w:pPr>
        <w:pStyle w:val="BookText"/>
      </w:pPr>
      <w:r>
        <w:rPr>
          <w:rFonts w:ascii="IRNazanin" w:hAnsi="IRNazanin" w:eastAsia="IRNazanin" w:cs="IRNazanin"/>
          <w:lang w:bidi="fa-IR"/>
          <w:color w:val="111111"/>
          <w:sz w:val="28"/>
          <w:szCs w:val="28"/>
          <w:rtl/>
        </w:rPr>
        <w:t xml:space="preserve">۳۱. تهران؛ مجلس؛ شماره نسخه: ۹۳۸۱/۱</w:t>
      </w:r>
    </w:p>
    <w:p>
      <w:pPr>
        <w:pStyle w:val="BookText"/>
      </w:pPr>
      <w:r>
        <w:rPr>
          <w:rFonts w:ascii="IRNazanin" w:hAnsi="IRNazanin" w:eastAsia="IRNazanin" w:cs="IRNazanin"/>
          <w:lang w:bidi="fa-IR"/>
          <w:color w:val="111111"/>
          <w:sz w:val="28"/>
          <w:szCs w:val="28"/>
          <w:rtl/>
        </w:rPr>
        <w:t xml:space="preserve">خط: نستعلیق، بی کا، تا: قرن ۱۳، جلد: تیماج مشکی، ۸۳گ (۱پ -۸۳پ)، ۱۳ سطر، اندازه: 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۱۵/۵ سم [ف: ۳۰-۱۰۱]</w:t>
      </w:r>
    </w:p>
    <w:p>
      <w:pPr>
        <w:pStyle w:val="BookText"/>
      </w:pPr>
      <w:r>
        <w:rPr>
          <w:rFonts w:ascii="IRNazanin" w:hAnsi="IRNazanin" w:eastAsia="IRNazanin" w:cs="IRNazanin"/>
          <w:lang w:bidi="fa-IR"/>
          <w:color w:val="111111"/>
          <w:sz w:val="28"/>
          <w:szCs w:val="28"/>
          <w:rtl/>
        </w:rPr>
        <w:t xml:space="preserve">۳۲. تهران، دانشسرای عالی - کتابخانه میرزا عبدالعظیم خان قریب گر کانی؛ شماره نسخه: ۹۴</w:t>
      </w:r>
    </w:p>
    <w:p>
      <w:pPr>
        <w:pStyle w:val="BookText"/>
      </w:pPr>
      <w:r>
        <w:rPr>
          <w:rFonts w:ascii="IRNazanin" w:hAnsi="IRNazanin" w:eastAsia="IRNazanin" w:cs="IRNazanin"/>
          <w:lang w:bidi="fa-IR"/>
          <w:color w:val="111111"/>
          <w:sz w:val="28"/>
          <w:szCs w:val="28"/>
          <w:rtl/>
        </w:rPr>
        <w:t xml:space="preserve">خط: نستعلیق، کا: مرتضی قلی، تا:۱۲۱۴ق؛ قطع: ربعی [نشریه: ۵-۶۱۹]</w:t>
      </w:r>
    </w:p>
    <w:p>
      <w:pPr>
        <w:pStyle w:val="BookText"/>
      </w:pPr>
      <w:r>
        <w:rPr>
          <w:rFonts w:ascii="IRNazanin" w:hAnsi="IRNazanin" w:eastAsia="IRNazanin" w:cs="IRNazanin"/>
          <w:lang w:bidi="fa-IR"/>
          <w:color w:val="111111"/>
          <w:sz w:val="28"/>
          <w:szCs w:val="28"/>
          <w:rtl/>
        </w:rPr>
        <w:t xml:space="preserve">۳۳. مشهد؛ رضوی؛ شماره نسخه: ۴۶۱۴/۵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شكر الله اردلانی سنندجی، تا: ۱۲۳۱ق، برای میرزا معصوم طبیب اصفهانی؛ کاغذ: سفید فرنگی آهار مهره، جلد: چرمی ضربی روشن قهوه ای، ابعاد متن: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 اندازه: ۲۱/۵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۳۱/۲ سم [ف: ۷-۶۷۱]</w:t>
      </w:r>
    </w:p>
    <w:p>
      <w:pPr>
        <w:pStyle w:val="BookText"/>
      </w:pPr>
      <w:r>
        <w:rPr>
          <w:rFonts w:ascii="IRNazanin" w:hAnsi="IRNazanin" w:eastAsia="IRNazanin" w:cs="IRNazanin"/>
          <w:lang w:bidi="fa-IR"/>
          <w:color w:val="111111"/>
          <w:sz w:val="28"/>
          <w:szCs w:val="28"/>
          <w:rtl/>
        </w:rPr>
        <w:t xml:space="preserve">۳۴. تهران؛ لغت نامه دهخدا؛ شماره نسخه: ۲۶۹/۲</w:t>
      </w:r>
    </w:p>
    <w:p>
      <w:pPr>
        <w:pStyle w:val="BookText"/>
      </w:pPr>
      <w:r>
        <w:rPr>
          <w:rFonts w:ascii="IRNazanin" w:hAnsi="IRNazanin" w:eastAsia="IRNazanin" w:cs="IRNazanin"/>
          <w:lang w:bidi="fa-IR"/>
          <w:color w:val="111111"/>
          <w:sz w:val="28"/>
          <w:szCs w:val="28"/>
          <w:rtl/>
        </w:rPr>
        <w:t xml:space="preserve">خط: نستعلیق، بی کا، تا: ۱۵ رجب ۱۲۴۰ق؛ افتادگی: آغاز؛ جلد: تیماج تریاکی، قطع: ربعی [نشریه: ۳-۴۰۵]</w:t>
      </w:r>
    </w:p>
    <w:p>
      <w:pPr>
        <w:pStyle w:val="BookText"/>
      </w:pPr>
      <w:r>
        <w:rPr>
          <w:rFonts w:ascii="IRNazanin" w:hAnsi="IRNazanin" w:eastAsia="IRNazanin" w:cs="IRNazanin"/>
          <w:lang w:bidi="fa-IR"/>
          <w:color w:val="111111"/>
          <w:sz w:val="28"/>
          <w:szCs w:val="28"/>
          <w:rtl/>
        </w:rPr>
        <w:t xml:space="preserve">۳۵. تهران؛ سپهسالار؛ شماره نسخه: ۲۷۲۲</w:t>
      </w:r>
    </w:p>
    <w:p>
      <w:pPr>
        <w:pStyle w:val="BookText"/>
      </w:pPr>
      <w:r>
        <w:rPr>
          <w:rFonts w:ascii="IRNazanin" w:hAnsi="IRNazanin" w:eastAsia="IRNazanin" w:cs="IRNazanin"/>
          <w:lang w:bidi="fa-IR"/>
          <w:color w:val="111111"/>
          <w:sz w:val="28"/>
          <w:szCs w:val="28"/>
          <w:rtl/>
        </w:rPr>
        <w:t xml:space="preserve">خط: نسخ، بی کا، تا: ۱۲۸۳ق؛ مالك: اعتضاد ۱۲۸۳ق؛ واقف: سپهسالار، ۱۲۹۷ق؛ کاغذ: فرنگی سفید، جلد: تیماج یک لا ضربی، ۷۰گ، ۱۸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۳-۲۶۱]</w:t>
      </w:r>
    </w:p>
    <w:p>
      <w:pPr>
        <w:pStyle w:val="BookText"/>
      </w:pPr>
      <w:r>
        <w:rPr>
          <w:rFonts w:ascii="Amiri" w:hAnsi="Amiri" w:eastAsia="Amiri" w:cs="Amiri"/>
          <w:lang w:bidi="ar-SA"/>
          <w:color w:val="111111"/>
          <w:sz w:val="28"/>
          <w:szCs w:val="28"/>
          <w:rtl/>
        </w:rPr>
        <w:t xml:space="preserve">۳۶. تهران؛ الهيات؛ شماره نسخه: ۱۹۷/۲</w:t>
      </w:r>
    </w:p>
    <w:p>
      <w:pPr>
        <w:pStyle w:val="BookText"/>
      </w:pPr>
      <w:r>
        <w:rPr>
          <w:rFonts w:ascii="IRNazanin" w:hAnsi="IRNazanin" w:eastAsia="IRNazanin" w:cs="IRNazanin"/>
          <w:lang w:bidi="fa-IR"/>
          <w:color w:val="111111"/>
          <w:sz w:val="28"/>
          <w:szCs w:val="28"/>
          <w:rtl/>
        </w:rPr>
        <w:t xml:space="preserve">خط: نستعلیق، بی کا، تا: ربيع الثانی ۱۲۸۸ق؛ کاغذ: فرنگی و کاهی، جلد: تیماج مشکی ضربی مقوایی، ۴۸گ (۱۷پ -۶۴ر)، ۱۷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۱۸۰]</w:t>
      </w:r>
    </w:p>
    <w:p>
      <w:pPr>
        <w:pStyle w:val="BookText"/>
      </w:pPr>
      <w:r>
        <w:rPr>
          <w:rFonts w:ascii="IRNazanin" w:hAnsi="IRNazanin" w:eastAsia="IRNazanin" w:cs="IRNazanin"/>
          <w:lang w:bidi="fa-IR"/>
          <w:color w:val="111111"/>
          <w:sz w:val="28"/>
          <w:szCs w:val="28"/>
          <w:rtl/>
        </w:rPr>
        <w:t xml:space="preserve">۳۷. شیراز؛ شاهچراغ؛ شماره نسخه: ۲۰۴۷</w:t>
      </w:r>
    </w:p>
    <w:p>
      <w:pPr>
        <w:pStyle w:val="BookText"/>
      </w:pPr>
      <w:r>
        <w:rPr>
          <w:rFonts w:ascii="IRNazanin" w:hAnsi="IRNazanin" w:eastAsia="IRNazanin" w:cs="IRNazanin"/>
          <w:lang w:bidi="fa-IR"/>
          <w:color w:val="111111"/>
          <w:sz w:val="28"/>
          <w:szCs w:val="28"/>
          <w:rtl/>
        </w:rPr>
        <w:t xml:space="preserve">خط: نستعلیق، بی کا، تا: جمادی الاول ۱۲۹۷ق؛ مجدول؛ جلد: گل مرغ، برگها آبی رنگ، ۱۱۷گ، اندازه: ۱۰/۵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13-3]</w:t>
      </w:r>
    </w:p>
    <w:p>
      <w:pPr>
        <w:pStyle w:val="BookText"/>
      </w:pPr>
      <w:r>
        <w:rPr>
          <w:rFonts w:ascii="IRNazanin" w:hAnsi="IRNazanin" w:eastAsia="IRNazanin" w:cs="IRNazanin"/>
          <w:lang w:bidi="fa-IR"/>
          <w:color w:val="111111"/>
          <w:sz w:val="28"/>
          <w:szCs w:val="28"/>
          <w:rtl/>
        </w:rPr>
        <w:t xml:space="preserve">۳۸. تهران؛ ادبیات؛ شماره نسخه: ۲۳۷/۲ - ج</w:t>
      </w:r>
    </w:p>
    <w:p>
      <w:pPr>
        <w:pStyle w:val="BookText"/>
      </w:pPr>
      <w:r>
        <w:rPr>
          <w:rFonts w:ascii="IRNazanin" w:hAnsi="IRNazanin" w:eastAsia="IRNazanin" w:cs="IRNazanin"/>
          <w:lang w:bidi="fa-IR"/>
          <w:color w:val="111111"/>
          <w:sz w:val="28"/>
          <w:szCs w:val="28"/>
          <w:rtl/>
        </w:rPr>
        <w:t xml:space="preserve">خط: نستعلیق، بی کا، تا: ۱۳۵۶ق؛ ۷۸گ (۲۲پ -99پ)؛ کاغذ: فرنگی، ۱۷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[ف: ۱-۴۷]</w:t>
      </w:r>
    </w:p>
    <w:p>
      <w:pPr>
        <w:pStyle w:val="BookText"/>
      </w:pPr>
      <w:r>
        <w:rPr>
          <w:rFonts w:ascii="IRNazanin" w:hAnsi="IRNazanin" w:eastAsia="IRNazanin" w:cs="IRNazanin"/>
          <w:lang w:bidi="fa-IR"/>
          <w:color w:val="111111"/>
          <w:sz w:val="28"/>
          <w:szCs w:val="28"/>
          <w:rtl/>
        </w:rPr>
        <w:t xml:space="preserve">۳۹. تهران؛ دانشسرای عالی - کتابخانه میرزا عبدالعظیم خان قريب گرکانی؛ شماره نسخه: ۱۰۸/۱</w:t>
      </w:r>
    </w:p>
    <w:p>
      <w:pPr>
        <w:pStyle w:val="BookText"/>
      </w:pPr>
      <w:r>
        <w:rPr>
          <w:rFonts w:ascii="IRNazanin" w:hAnsi="IRNazanin" w:eastAsia="IRNazanin" w:cs="IRNazanin"/>
          <w:lang w:bidi="fa-IR"/>
          <w:color w:val="111111"/>
          <w:sz w:val="28"/>
          <w:szCs w:val="28"/>
          <w:rtl/>
        </w:rPr>
        <w:t xml:space="preserve">خط: نستعلیق، بی کا، بی تا، قطع: ربعی [نشریه: ۵-۶۴۰]</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تهران؛ مجلس؛ شماره نسخه: ۶۷۷</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ریز، بی کا، بی تا، ۶۲گ، ۱۹ سطر، قطع: وزیری اندازه: ۱۵/۵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سم [ف: ۲-۴۲۸]</w:t>
      </w:r>
    </w:p>
    <w:p>
      <w:pPr>
        <w:pStyle w:val="BookText"/>
      </w:pPr>
      <w:r>
        <w:rPr>
          <w:rFonts w:ascii="IRNazanin" w:hAnsi="IRNazanin" w:eastAsia="IRNazanin" w:cs="IRNazanin"/>
          <w:lang w:bidi="fa-IR"/>
          <w:color w:val="111111"/>
          <w:sz w:val="28"/>
          <w:szCs w:val="28"/>
          <w:rtl/>
        </w:rPr>
        <w:t xml:space="preserve">۴۱. تهران؛ مجلس؛ شماره نسخه: ۱۳۶۴۶/۵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جلد: تیماج سرخ، ۳۹گ (۱۲۷پ - ۱۶۵پ)، ۲۳ سطر، اندازه: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۲۴/۵سم [ف: ۳۷-۱۷۵]</w:t>
      </w:r>
    </w:p>
    <w:p>
      <w:pPr>
        <w:pStyle w:val="BookText"/>
      </w:pPr>
      <w:r>
        <w:rPr>
          <w:rFonts w:ascii="IRNazanin" w:hAnsi="IRNazanin" w:eastAsia="IRNazanin" w:cs="IRNazanin"/>
          <w:lang w:bidi="fa-IR"/>
          <w:color w:val="111111"/>
          <w:sz w:val="28"/>
          <w:szCs w:val="28"/>
          <w:rtl/>
        </w:rPr>
        <w:t xml:space="preserve">۴۲. تهران؛ سپهسالار؛ شماره نسخه: ۲۹۵۰/۳</w:t>
      </w:r>
    </w:p>
    <w:p>
      <w:pPr>
        <w:pStyle w:val="BookText"/>
      </w:pPr>
      <w:r>
        <w:rPr>
          <w:rFonts w:ascii="IRNazanin" w:hAnsi="IRNazanin" w:eastAsia="IRNazanin" w:cs="IRNazanin"/>
          <w:lang w:bidi="fa-IR"/>
          <w:color w:val="111111"/>
          <w:sz w:val="28"/>
          <w:szCs w:val="28"/>
          <w:rtl/>
        </w:rPr>
        <w:t xml:space="preserve">بی کا، بی تا؛ افتادگی: انجام کاغذ: هندی، جلد: تیماج مشکی مقوایی، ۶۸گ (۱۲۷۰ -۳۳۷پ)، ۱۹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۲۶۱-۳ ]</w:t>
      </w:r>
    </w:p>
    <w:p>
      <w:pPr>
        <w:pStyle w:val="BookText"/>
      </w:pPr>
      <w:r>
        <w:rPr>
          <w:rFonts w:ascii="IRNazanin" w:hAnsi="IRNazanin" w:eastAsia="IRNazanin" w:cs="IRNazanin"/>
          <w:lang w:bidi="fa-IR"/>
          <w:color w:val="111111"/>
          <w:sz w:val="28"/>
          <w:szCs w:val="28"/>
          <w:rtl/>
        </w:rPr>
        <w:t xml:space="preserve">۴۳. قم، گلپایگانی؛ شماره نسخه: ۱۲۱۴- ۷/۱۱۴</w:t>
      </w:r>
    </w:p>
    <w:p>
      <w:pPr>
        <w:pStyle w:val="BookText"/>
      </w:pPr>
      <w:r>
        <w:rPr>
          <w:rFonts w:ascii="IRNazanin" w:hAnsi="IRNazanin" w:eastAsia="IRNazanin" w:cs="IRNazanin"/>
          <w:lang w:bidi="fa-IR"/>
          <w:color w:val="111111"/>
          <w:sz w:val="28"/>
          <w:szCs w:val="28"/>
          <w:rtl/>
        </w:rPr>
        <w:t xml:space="preserve">آغاز: برابر؛ انجام: مطایبه: شاعری پیش طبیب رفت و گفت چیزی در دل من ... وخنکی آن به بیرون سرایت می کرد و چون از دل خود بیرون دادی خلاص یافتی (قطعه) چه شعر هست آنکه نامشی چون زنادان</w:t>
      </w:r>
    </w:p>
    <w:p>
      <w:pPr>
        <w:pStyle w:val="BookText"/>
      </w:pPr>
      <w:r>
        <w:rPr>
          <w:rFonts w:ascii="IRNazanin" w:hAnsi="IRNazanin" w:eastAsia="IRNazanin" w:cs="IRNazanin"/>
          <w:lang w:bidi="fa-IR"/>
          <w:color w:val="111111"/>
          <w:sz w:val="28"/>
          <w:szCs w:val="28"/>
          <w:rtl/>
        </w:rPr>
        <w:t xml:space="preserve">خط: نستعلیق شکسته، بی کا، بی تا، افتادگی: انجام؛ جلد: تیماج مشکی، ۲۸گ، ۱۸-۲۰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۲-۶۳۵]</w:t>
      </w:r>
    </w:p>
    <w:p>
      <w:pPr>
        <w:pStyle w:val="BookText"/>
      </w:pPr>
      <w:r>
        <w:rPr>
          <w:rFonts w:ascii="IRNazanin" w:hAnsi="IRNazanin" w:eastAsia="IRNazanin" w:cs="IRNazanin"/>
          <w:lang w:bidi="fa-IR"/>
          <w:color w:val="111111"/>
          <w:sz w:val="28"/>
          <w:szCs w:val="28"/>
          <w:rtl/>
        </w:rPr>
        <w:t xml:space="preserve">۴۴. قم، گلپایگانی؛ شماره نسخه: ۸۳۰۳- ۵۶/۱۵۳</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از اول تا آخر؛ خط: نستعلیق، بی کا، بی تا؛ ۸۰، ۱۵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۲-۶۳۵]</w:t>
      </w:r>
    </w:p>
    <w:p>
      <w:pPr>
        <w:pStyle w:val="BookText"/>
      </w:pPr>
      <w:r>
        <w:rPr>
          <w:rFonts w:ascii="IRNazanin" w:hAnsi="IRNazanin" w:eastAsia="IRNazanin" w:cs="IRNazanin"/>
          <w:lang w:bidi="fa-IR"/>
          <w:color w:val="111111"/>
          <w:sz w:val="28"/>
          <w:szCs w:val="28"/>
          <w:rtl/>
        </w:rPr>
        <w:t xml:space="preserve">۴۵. مشهد؛ رضوی؛ شماره نسخه: ۴۴۹۳/۵۶</w:t>
      </w:r>
    </w:p>
    <w:p>
      <w:pPr>
        <w:pStyle w:val="BookText"/>
      </w:pPr>
      <w:r>
        <w:rPr>
          <w:rFonts w:ascii="IRNazanin" w:hAnsi="IRNazanin" w:eastAsia="IRNazanin" w:cs="IRNazanin"/>
          <w:lang w:bidi="fa-IR"/>
          <w:color w:val="111111"/>
          <w:sz w:val="28"/>
          <w:szCs w:val="28"/>
          <w:rtl/>
        </w:rPr>
        <w:t xml:space="preserve">الروضة الخامس في تقرير رقة الحال . در دنبال آن روضه ششم کتاب؛ کا: محمد جعفر شیرازی، بی تا، کاغذ: الوان، جلد: چرمی ماشی ضربی معرق، ۲۱ص (۸۷۳-۸۹۳)، اندازه: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۲۳/۵سم [ف: ۷-۵۹۷]</w:t>
      </w:r>
    </w:p>
    <w:p>
      <w:pPr>
        <w:pStyle w:val="BookText"/>
      </w:pPr>
      <w:r>
        <w:rPr>
          <w:rFonts w:ascii="IRNazanin" w:hAnsi="IRNazanin" w:eastAsia="IRNazanin" w:cs="IRNazanin"/>
          <w:lang w:bidi="fa-IR"/>
          <w:color w:val="111111"/>
          <w:sz w:val="28"/>
          <w:szCs w:val="28"/>
          <w:rtl/>
        </w:rPr>
        <w:t xml:space="preserve">۴۶. تهران؛ ملی؛ شماره نسخه: ۲۰۰۵۹</w:t>
      </w:r>
    </w:p>
    <w:p>
      <w:pPr>
        <w:pStyle w:val="BookText"/>
      </w:pPr>
      <w:r>
        <w:rPr>
          <w:rFonts w:ascii="IRNazanin" w:hAnsi="IRNazanin" w:eastAsia="IRNazanin" w:cs="IRNazanin"/>
          <w:lang w:bidi="fa-IR"/>
          <w:color w:val="111111"/>
          <w:sz w:val="28"/>
          <w:szCs w:val="28"/>
          <w:rtl/>
        </w:rPr>
        <w:t xml:space="preserve">بی کا، بی تا، خریداری از مهر دخت همایی [رایانه ]</w:t>
      </w:r>
    </w:p>
    <w:p>
      <w:pPr>
        <w:pStyle w:val="BookText"/>
      </w:pPr>
      <w:r>
        <w:rPr>
          <w:rFonts w:ascii="IRNazanin" w:hAnsi="IRNazanin" w:eastAsia="IRNazanin" w:cs="IRNazanin"/>
          <w:lang w:bidi="fa-IR"/>
          <w:color w:val="111111"/>
          <w:sz w:val="28"/>
          <w:szCs w:val="28"/>
          <w:rtl/>
        </w:rPr>
        <w:t xml:space="preserve">۴۷. تهران: ملی؛ شماره نسخه: ۲۰۰۶۱</w:t>
      </w:r>
    </w:p>
    <w:p>
      <w:pPr>
        <w:pStyle w:val="BookText"/>
      </w:pPr>
      <w:r>
        <w:rPr>
          <w:rFonts w:ascii="IRNazanin" w:hAnsi="IRNazanin" w:eastAsia="IRNazanin" w:cs="IRNazanin"/>
          <w:lang w:bidi="fa-IR"/>
          <w:color w:val="111111"/>
          <w:sz w:val="28"/>
          <w:szCs w:val="28"/>
          <w:rtl/>
        </w:rPr>
        <w:t xml:space="preserve">بی کا، بی تا، خریداری از مهردخت همایی [رایانه ]</w:t>
      </w:r>
    </w:p>
    <w:p>
      <w:pPr>
        <w:pStyle w:val="BookText"/>
      </w:pPr>
      <w:r>
        <w:rPr>
          <w:rFonts w:ascii="IRNazanin" w:hAnsi="IRNazanin" w:eastAsia="IRNazanin" w:cs="IRNazanin"/>
          <w:lang w:bidi="fa-IR"/>
          <w:color w:val="111111"/>
          <w:sz w:val="28"/>
          <w:szCs w:val="28"/>
          <w:rtl/>
        </w:rPr>
        <w:t xml:space="preserve">۴۸. تهران؛ سلطنتی؛ شماره نسخه: ۱۹۵۵</w:t>
      </w:r>
    </w:p>
    <w:p>
      <w:pPr>
        <w:pStyle w:val="BookText"/>
      </w:pPr>
      <w:r>
        <w:rPr>
          <w:rFonts w:ascii="IRNazanin" w:hAnsi="IRNazanin" w:eastAsia="IRNazanin" w:cs="IRNazanin"/>
          <w:lang w:bidi="fa-IR"/>
          <w:color w:val="111111"/>
          <w:sz w:val="28"/>
          <w:szCs w:val="28"/>
          <w:rtl/>
        </w:rPr>
        <w:t xml:space="preserve">آغاز: برابر؛ انجام: امید بکارم اخلاق مطالعه کنندگان آنکه بر خللی مطلع شوند بذیل عفو و اغماز بپوشند. چون به بینی ز آشنا عیبی</w:t>
      </w:r>
      <w:r>
        <w:rPr>
          <w:rFonts w:ascii="IRNazanin" w:hAnsi="IRNazanin" w:eastAsia="IRNazanin" w:cs="IRNazanin"/>
          <w:lang w:bidi="fa-IR"/>
          <w:color w:val="111111"/>
          <w:sz w:val="28"/>
          <w:szCs w:val="28"/>
          <w:b w:val="1"/>
          <w:bCs w:val="1"/>
          <w:i w:val="1"/>
          <w:iCs w:val="1"/>
          <w:rtl/>
        </w:rPr>
        <w:t xml:space="preserve">گر به بیگانگان نگوئی به / زانکه در کیش آخر اندیشان</w:t>
      </w:r>
      <w:r>
        <w:rPr>
          <w:rFonts w:ascii="IRNazanin" w:hAnsi="IRNazanin" w:eastAsia="IRNazanin" w:cs="IRNazanin"/>
          <w:lang w:bidi="fa-IR"/>
          <w:color w:val="111111"/>
          <w:sz w:val="28"/>
          <w:szCs w:val="28"/>
          <w:rtl/>
        </w:rPr>
        <w:t xml:space="preserve">عیب پوشی ز عیب جوئی به. مشقه الفقير الحقير حسن بیچاره.</w:t>
      </w:r>
    </w:p>
    <w:p>
      <w:pPr>
        <w:pStyle w:val="BookText"/>
      </w:pPr>
      <w:r>
        <w:rPr>
          <w:rFonts w:ascii="IRNazanin" w:hAnsi="IRNazanin" w:eastAsia="IRNazanin" w:cs="IRNazanin"/>
          <w:lang w:bidi="fa-IR"/>
          <w:color w:val="111111"/>
          <w:sz w:val="28"/>
          <w:szCs w:val="28"/>
          <w:rtl/>
        </w:rPr>
        <w:t xml:space="preserve">خط: نستعلیق متوسط، كا: حسن بیچاره، تا: بنظر می رسد که احتمالا در اوائل قرن دهم هجری قمری کتابت انجام گرفته؛ جلد ساز ملا بابائی به سال ۱۲۱۰ هجری قمری، مجدول زرین، یک کتیبه مذهب کار هرات؛ کاغذ: سمرقندی، جلد: مقوای روکش تیماج گل ماشی وسط یک گل ترنج و دو سر ترنج ضربی زمینه آلبالوئی رنگ، اندرون کاغذ زیتونی رنگ، ۱۲۱ ، ۱۵ سطر،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06" w:name="pg20363_209289"/>
    <w:bookmarkEnd w:id="106"/>
    <w:p>
      <w:pPr>
        <w:pStyle w:val="BookText"/>
      </w:pPr>
      <w:r>
        <w:rPr>
          <w:rFonts w:ascii="IRNazanin" w:hAnsi="IRNazanin" w:eastAsia="IRNazanin" w:cs="IRNazanin"/>
          <w:lang w:bidi="fa-IR"/>
          <w:color w:val="111111"/>
          <w:sz w:val="28"/>
          <w:szCs w:val="28"/>
          <w:rtl/>
        </w:rPr>
        <w:t xml:space="preserve">قطع : وزیری،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۲۴/۷سم [ف: ۷-۱۵۳]</w:t>
      </w:r>
    </w:p>
    <w:p>
      <w:pPr>
        <w:pStyle w:val="BookText"/>
      </w:pPr>
      <w:r>
        <w:rPr>
          <w:rFonts w:ascii="IRNazanin" w:hAnsi="IRNazanin" w:eastAsia="IRNazanin" w:cs="IRNazanin"/>
          <w:lang w:bidi="fa-IR"/>
          <w:color w:val="111111"/>
          <w:sz w:val="28"/>
          <w:szCs w:val="28"/>
          <w:rtl/>
        </w:rPr>
        <w:t xml:space="preserve">۴۹. تهران؛ سلطنتی؛ شماره نسخه: ۳۱۴/۲۶</w:t>
      </w:r>
    </w:p>
    <w:p>
      <w:pPr>
        <w:pStyle w:val="BookText"/>
      </w:pPr>
      <w:r>
        <w:rPr>
          <w:rFonts w:ascii="IRNazanin" w:hAnsi="IRNazanin" w:eastAsia="IRNazanin" w:cs="IRNazanin"/>
          <w:lang w:bidi="fa-IR"/>
          <w:color w:val="111111"/>
          <w:sz w:val="28"/>
          <w:szCs w:val="28"/>
          <w:rtl/>
        </w:rPr>
        <w:t xml:space="preserve">خط: نستعلیق، کا:ظهوری، بی تا؛ کاغذ: بخارائی شکری رنگ، جلد: مقوای روکش تیماج لاکی وسط ترنج دو سرترنج و چهار لچک منگنهای، قطع: رحلی حجیم، اندازه: ۳۶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۳-۲۴۹]</w:t>
      </w:r>
    </w:p>
    <w:p>
      <w:pPr>
        <w:pStyle w:val="Heading3"/>
      </w:pPr>
      <w:bookmarkStart w:id="1054" w:name="_Toc314"/>
      <w:r>
        <w:t>•بهارستان / تاریخ / فارسی</w:t>
      </w:r>
      <w:bookmarkEnd w:id="1054"/>
    </w:p>
    <w:p>
      <w:pPr>
        <w:pStyle w:val="BookText"/>
      </w:pPr>
      <w:r>
        <w:rPr>
          <w:rFonts w:ascii="Times New Roman" w:hAnsi="Times New Roman" w:eastAsia="Times New Roman" w:cs="Times New Roman"/>
          <w:lang w:val="en-US" w:bidi="en-US"/>
          <w:color w:val="111111"/>
          <w:sz w:val="28"/>
          <w:szCs w:val="28"/>
          <w:rtl/>
        </w:rPr>
        <w:t xml:space="preserve">bahārestan</w:t>
      </w:r>
    </w:p>
    <w:p>
      <w:pPr>
        <w:pStyle w:val="BookText"/>
      </w:pPr>
      <w:r>
        <w:rPr>
          <w:rFonts w:ascii="IRNazanin" w:hAnsi="IRNazanin" w:eastAsia="IRNazanin" w:cs="IRNazanin"/>
          <w:lang w:bidi="fa-IR"/>
          <w:color w:val="111111"/>
          <w:sz w:val="28"/>
          <w:szCs w:val="28"/>
          <w:rtl/>
        </w:rPr>
        <w:t xml:space="preserve">کشمیری، ذوالفقار، ق۱۳ قمری</w:t>
      </w:r>
    </w:p>
    <w:p>
      <w:pPr>
        <w:pStyle w:val="BookText"/>
      </w:pPr>
      <w:r>
        <w:rPr>
          <w:rFonts w:ascii="Times New Roman" w:hAnsi="Times New Roman" w:eastAsia="Times New Roman" w:cs="Times New Roman"/>
          <w:lang w:val="en-US" w:bidi="en-US"/>
          <w:color w:val="111111"/>
          <w:sz w:val="28"/>
          <w:szCs w:val="28"/>
          <w:rtl/>
        </w:rPr>
        <w:t xml:space="preserve">kešmīrī, zolfaqār (- 19c)</w:t>
      </w:r>
    </w:p>
    <w:p>
      <w:pPr>
        <w:pStyle w:val="BookText"/>
      </w:pPr>
      <w:r>
        <w:rPr>
          <w:rFonts w:ascii="IRNazanin" w:hAnsi="IRNazanin" w:eastAsia="IRNazanin" w:cs="IRNazanin"/>
          <w:lang w:bidi="fa-IR"/>
          <w:color w:val="111111"/>
          <w:sz w:val="28"/>
          <w:szCs w:val="28"/>
          <w:rtl/>
        </w:rPr>
        <w:t xml:space="preserve">مؤلف پس از آنکه نامه ای را که روز بیستم جمادی الثانی مطابق با هیجدهم اردیبهشت ماه به رضاقلی خان نامی که گویا همان رضا قلی خان هدایت امير الشعراء باشد نوشته نقل کرده است (و از آن نامه چنین بر می آید که در نیمه دوم قرن سیزدهم می زیسته است) کتاب خود را در پنج قسمت درباره زردشت و مزدک و مانی و بانو سجاح و مسلمه کاست کار (در نسخه: مسیله) و پس از آن خاتمه ای درباره ام تمیم نوشته و به جز عبارات عربی که نقل کرده همه کتاب را به فارسی سره پرداخته است.</w:t>
      </w:r>
    </w:p>
    <w:p>
      <w:pPr>
        <w:pStyle w:val="BookText"/>
      </w:pPr>
      <w:r>
        <w:rPr>
          <w:rFonts w:ascii="IRNazanin" w:hAnsi="IRNazanin" w:eastAsia="IRNazanin" w:cs="IRNazanin"/>
          <w:lang w:bidi="fa-IR"/>
          <w:color w:val="111111"/>
          <w:sz w:val="28"/>
          <w:szCs w:val="28"/>
          <w:rtl/>
        </w:rPr>
        <w:t xml:space="preserve">تهران؛ مجلس؛ شماره نسخه: ۲۷۸۹/۱</w:t>
      </w:r>
    </w:p>
    <w:p>
      <w:pPr>
        <w:pStyle w:val="BookText"/>
      </w:pPr>
      <w:r>
        <w:rPr>
          <w:rFonts w:ascii="IRNazanin" w:hAnsi="IRNazanin" w:eastAsia="IRNazanin" w:cs="IRNazanin"/>
          <w:lang w:bidi="fa-IR"/>
          <w:color w:val="111111"/>
          <w:sz w:val="28"/>
          <w:szCs w:val="28"/>
          <w:rtl/>
        </w:rPr>
        <w:t xml:space="preserve">آغاز: ستایش بهینه بیرون از؛ انجام: گذشته از بیش هیچ دم نزد.</w:t>
      </w:r>
    </w:p>
    <w:p>
      <w:pPr>
        <w:pStyle w:val="BookText"/>
      </w:pPr>
      <w:r>
        <w:rPr>
          <w:rFonts w:ascii="IRNazanin" w:hAnsi="IRNazanin" w:eastAsia="IRNazanin" w:cs="IRNazanin"/>
          <w:lang w:bidi="fa-IR"/>
          <w:color w:val="111111"/>
          <w:sz w:val="28"/>
          <w:szCs w:val="28"/>
          <w:rtl/>
        </w:rPr>
        <w:t xml:space="preserve">خط: نستعلیق تحریری، بی کا، تا: قرن ۱۳؛ مجدول؛ تملک: مرحوم فرهاد میرزا معتمد الدوله؛ کاغذ: فرنگی سفید آهار مهره؛ کاغذ: فرنگی سفید آهار مهره کرده، جلد: میشن سیاه داغ کرده، ۵۹ص (۵۹-۱ )، ۱۳ سطر، قطع: خشتی،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۳۹-۱۰]</w:t>
      </w:r>
    </w:p>
    <w:p>
      <w:pPr>
        <w:pStyle w:val="Heading3"/>
      </w:pPr>
      <w:bookmarkStart w:id="1055" w:name="_Toc315"/>
      <w:r>
        <w:t>•بهارستان / متفرقه / فارسی</w:t>
      </w:r>
      <w:bookmarkEnd w:id="1055"/>
    </w:p>
    <w:p>
      <w:pPr>
        <w:pStyle w:val="BookText"/>
      </w:pPr>
      <w:r>
        <w:rPr>
          <w:rFonts w:ascii="Times New Roman" w:hAnsi="Times New Roman" w:eastAsia="Times New Roman" w:cs="Times New Roman"/>
          <w:lang w:val="en-US" w:bidi="en-US"/>
          <w:color w:val="111111"/>
          <w:sz w:val="28"/>
          <w:szCs w:val="28"/>
          <w:rtl/>
        </w:rPr>
        <w:t xml:space="preserve">bahārestān</w:t>
      </w:r>
    </w:p>
    <w:p>
      <w:pPr>
        <w:pStyle w:val="BookText"/>
      </w:pPr>
      <w:r>
        <w:rPr>
          <w:rFonts w:ascii="IRNazanin" w:hAnsi="IRNazanin" w:eastAsia="IRNazanin" w:cs="IRNazanin"/>
          <w:lang w:bidi="fa-IR"/>
          <w:color w:val="111111"/>
          <w:sz w:val="28"/>
          <w:szCs w:val="28"/>
          <w:rtl/>
        </w:rPr>
        <w:t xml:space="preserve">قائم مقام فراهانی، علی اکبر بن علی، ۱۲۶۹-۱۳۲۹ قمری</w:t>
      </w:r>
    </w:p>
    <w:p>
      <w:pPr>
        <w:pStyle w:val="BookText"/>
      </w:pPr>
      <w:r>
        <w:rPr>
          <w:rFonts w:ascii="Times New Roman" w:hAnsi="Times New Roman" w:eastAsia="Times New Roman" w:cs="Times New Roman"/>
          <w:lang w:val="en-US" w:bidi="en-US"/>
          <w:color w:val="111111"/>
          <w:sz w:val="28"/>
          <w:szCs w:val="28"/>
          <w:rtl/>
        </w:rPr>
        <w:t xml:space="preserve">qā'em maqām-e farāhānī, “alī akbar ebn-e ‘alī (1853 1911)</w:t>
      </w:r>
    </w:p>
    <w:p>
      <w:pPr>
        <w:pStyle w:val="BookText"/>
      </w:pPr>
      <w:r>
        <w:rPr>
          <w:rFonts w:ascii="IRNazanin" w:hAnsi="IRNazanin" w:eastAsia="IRNazanin" w:cs="IRNazanin"/>
          <w:lang w:bidi="fa-IR"/>
          <w:color w:val="111111"/>
          <w:sz w:val="28"/>
          <w:szCs w:val="28"/>
          <w:rtl/>
        </w:rPr>
        <w:t xml:space="preserve">کتابی مانند گلستان سعدی است ولی داستان هایی از حوادث زمان خود مؤلف در آن آمده است؛ دارای چهار فصل»: ۱. محافل پادشاهان؛ ۲. فضل درویشان، ۳. محامد اخلاق و عواید حکمت؛ ۴. لوازم تربیت و مراسم صحبت</w:t>
      </w:r>
    </w:p>
    <w:p>
      <w:pPr>
        <w:pStyle w:val="BookText"/>
      </w:pPr>
      <w:r>
        <w:rPr>
          <w:rFonts w:ascii="IRNazanin" w:hAnsi="IRNazanin" w:eastAsia="IRNazanin" w:cs="IRNazanin"/>
          <w:lang w:bidi="fa-IR"/>
          <w:color w:val="111111"/>
          <w:sz w:val="28"/>
          <w:szCs w:val="28"/>
          <w:rtl/>
        </w:rPr>
        <w:t xml:space="preserve">تهران؛ دانشگاه؛ شماره نسخه: ۲۵۲۴</w:t>
      </w:r>
    </w:p>
    <w:p>
      <w:pPr>
        <w:pStyle w:val="BookText"/>
      </w:pPr>
      <w:r>
        <w:rPr>
          <w:rFonts w:ascii="IRNazanin" w:hAnsi="IRNazanin" w:eastAsia="IRNazanin" w:cs="IRNazanin"/>
          <w:lang w:bidi="fa-IR"/>
          <w:color w:val="111111"/>
          <w:sz w:val="28"/>
          <w:szCs w:val="28"/>
          <w:rtl/>
        </w:rPr>
        <w:t xml:space="preserve">آغاز: بمزيد امعان و شرط تانق نظری باید که حق سبحانه و تعالی بحسن صنع و یمن قدرت بساط افلاک بر آورد؛ انجام: خاتمة الكتاب بشكر و منت باری ... و در چشم دشمنان خار نماید عربيه فالحمد</w:t>
      </w:r>
    </w:p>
    <w:p>
      <w:pPr>
        <w:pStyle w:val="BookText"/>
      </w:pPr>
      <w:r>
        <w:rPr>
          <w:rFonts w:ascii="IRNazanin" w:hAnsi="IRNazanin" w:eastAsia="IRNazanin" w:cs="IRNazanin"/>
          <w:lang w:bidi="fa-IR"/>
          <w:color w:val="111111"/>
          <w:sz w:val="28"/>
          <w:szCs w:val="28"/>
          <w:rtl/>
        </w:rPr>
        <w:t xml:space="preserve">خط: نستعلیق، کاتب = مؤلف، تا: قرن ۱۳؛ افتادگی: انجام؛ اصل مؤلف و خط خوردگی دارد؛ کاغذ: فرنگی، جلد: مقوا، ۱۰۳گ، ۱۲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۹-۱۳۲۳]</w:t>
      </w:r>
    </w:p>
    <w:p>
      <w:pPr>
        <w:pStyle w:val="Heading3"/>
      </w:pPr>
      <w:bookmarkStart w:id="1056" w:name="_Toc316"/>
      <w:r>
        <w:t>•بهارستان / متفرقه / فارسی و عربی</w:t>
      </w:r>
      <w:bookmarkEnd w:id="1056"/>
    </w:p>
    <w:p>
      <w:pPr>
        <w:pStyle w:val="BookText"/>
      </w:pPr>
      <w:r>
        <w:rPr>
          <w:rFonts w:ascii="Times New Roman" w:hAnsi="Times New Roman" w:eastAsia="Times New Roman" w:cs="Times New Roman"/>
          <w:lang w:val="en-US" w:bidi="en-US"/>
          <w:color w:val="111111"/>
          <w:sz w:val="28"/>
          <w:szCs w:val="28"/>
          <w:rtl/>
        </w:rPr>
        <w:t xml:space="preserve">bahārestān</w:t>
      </w:r>
    </w:p>
    <w:p>
      <w:pPr>
        <w:pStyle w:val="BookText"/>
      </w:pPr>
      <w:r>
        <w:rPr>
          <w:rFonts w:ascii="IRNazanin" w:hAnsi="IRNazanin" w:eastAsia="IRNazanin" w:cs="IRNazanin"/>
          <w:lang w:bidi="fa-IR"/>
          <w:color w:val="111111"/>
          <w:sz w:val="28"/>
          <w:szCs w:val="28"/>
          <w:rtl/>
        </w:rPr>
        <w:t xml:space="preserve">قائم مقام فراهانی، علی اکبر بن علی، ۱۲۶۹-۱۳۲۹ قمری</w:t>
      </w:r>
    </w:p>
    <w:p>
      <w:pPr>
        <w:pStyle w:val="BookText"/>
      </w:pPr>
      <w:r>
        <w:rPr>
          <w:rFonts w:ascii="Times New Roman" w:hAnsi="Times New Roman" w:eastAsia="Times New Roman" w:cs="Times New Roman"/>
          <w:lang w:val="en-US" w:bidi="en-US"/>
          <w:color w:val="111111"/>
          <w:sz w:val="28"/>
          <w:szCs w:val="28"/>
          <w:rtl/>
        </w:rPr>
        <w:t xml:space="preserve">qā'em maqām-e farāhānī, ‘alī akbar ebn-e ‘alī (1853 1911)</w:t>
      </w:r>
    </w:p>
    <w:p>
      <w:pPr>
        <w:pStyle w:val="BookText"/>
      </w:pPr>
      <w:r>
        <w:rPr>
          <w:rFonts w:ascii="IRNazanin" w:hAnsi="IRNazanin" w:eastAsia="IRNazanin" w:cs="IRNazanin"/>
          <w:lang w:bidi="fa-IR"/>
          <w:color w:val="111111"/>
          <w:sz w:val="28"/>
          <w:szCs w:val="28"/>
          <w:rtl/>
        </w:rPr>
        <w:t xml:space="preserve">منتخباتی است از کتاب های عربی و فارسی در چند فصل» که آنچه به نظر مؤلف جالب و مفید بوده جمع کرده با عین عبارت های آنها. در یکی از نظمها تاریخ ۱۲۷۵ دیده می شود و عناوین فصول چنین است: فصل: في بدايع التفاسير و ما يتعلق بذلك؛ فصل: في الملتقطات من الرواشح السماوية؛ فصل: في الأخبار و الأحاديث؛ فصل: في الأدعية و المأثورة؛ فصل: في المنشورات البلغية الفائقة؛ فصل: في اللغة العربية و الفارسية؛ فصل: في ابيات المعاني و الألغاز و الأحاجی؛ فصل: في مسائل متفرقة من علوم مختلفة؛ فصل: في المحاضرات و الأجوبة الحسنة؛ فصل: في اشعار فارسية و عربية مستحسنة؛ فصل: فيما ترجم من الأشعار العربية بالفارسية؛ فصل: في نوادر تاريخية و فوائد</w:t>
      </w:r>
    </w:p>
    <w:p>
      <w:pPr>
        <w:pStyle w:val="BookText"/>
      </w:pPr>
      <w:r>
        <w:rPr>
          <w:rFonts w:ascii="Amiri" w:hAnsi="Amiri" w:eastAsia="Amiri" w:cs="Amiri"/>
          <w:lang w:bidi="ar-SA"/>
          <w:color w:val="111111"/>
          <w:sz w:val="28"/>
          <w:szCs w:val="28"/>
          <w:rtl/>
        </w:rPr>
        <w:t xml:space="preserve">جغرافية.</w:t>
      </w:r>
    </w:p>
    <w:p>
      <w:pPr>
        <w:pStyle w:val="BookText"/>
      </w:pPr>
      <w:r>
        <w:rPr>
          <w:rFonts w:ascii="IRNazanin" w:hAnsi="IRNazanin" w:eastAsia="IRNazanin" w:cs="IRNazanin"/>
          <w:lang w:bidi="fa-IR"/>
          <w:color w:val="111111"/>
          <w:sz w:val="28"/>
          <w:szCs w:val="28"/>
          <w:rtl/>
        </w:rPr>
        <w:t xml:space="preserve">قم؛ مرعشی؛ شماره نسخه: ۷۵۵۶</w:t>
      </w:r>
    </w:p>
    <w:p>
      <w:pPr>
        <w:pStyle w:val="BookText"/>
      </w:pPr>
      <w:r>
        <w:rPr>
          <w:rFonts w:ascii="Amiri" w:hAnsi="Amiri" w:eastAsia="Amiri" w:cs="Amiri"/>
          <w:lang w:bidi="ar-SA"/>
          <w:color w:val="111111"/>
          <w:sz w:val="28"/>
          <w:szCs w:val="28"/>
          <w:rtl/>
        </w:rPr>
        <w:t xml:space="preserve">آغاز: الحمدلله على نواله و الصلاة على محمد و آله، و بعد فهذه نبذة من اللباب احتويتها مما رويتها عن افاضل الأصحاب</w:t>
      </w:r>
    </w:p>
    <w:p>
      <w:pPr>
        <w:pStyle w:val="BookText"/>
      </w:pPr>
      <w:r>
        <w:rPr>
          <w:rFonts w:ascii="IRNazanin" w:hAnsi="IRNazanin" w:eastAsia="IRNazanin" w:cs="IRNazanin"/>
          <w:lang w:bidi="fa-IR"/>
          <w:color w:val="111111"/>
          <w:sz w:val="28"/>
          <w:szCs w:val="28"/>
          <w:rtl/>
        </w:rPr>
        <w:t xml:space="preserve">خط: نستعلیق، کاتب = مؤلف، بی تا، در حاشیه مطالبی افزوده شده و بعضی از آنها به خط دیگران؛ جلد: تیماج قرمز، ۲۷۹ گ، مختلف السطر،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۱۹-۳۶۲]</w:t>
      </w:r>
    </w:p>
    <w:p>
      <w:pPr>
        <w:pStyle w:val="Heading3"/>
      </w:pPr>
      <w:bookmarkStart w:id="1057" w:name="_Toc317"/>
      <w:r>
        <w:t>•بهارستان / تراجم / فارسی</w:t>
      </w:r>
      <w:bookmarkEnd w:id="1057"/>
    </w:p>
    <w:p>
      <w:pPr>
        <w:pStyle w:val="BookText"/>
      </w:pPr>
      <w:r>
        <w:rPr>
          <w:rFonts w:ascii="Times New Roman" w:hAnsi="Times New Roman" w:eastAsia="Times New Roman" w:cs="Times New Roman"/>
          <w:lang w:val="en-US" w:bidi="en-US"/>
          <w:color w:val="111111"/>
          <w:sz w:val="28"/>
          <w:szCs w:val="28"/>
          <w:rtl/>
        </w:rPr>
        <w:t xml:space="preserve">bahārestān</w:t>
      </w:r>
    </w:p>
    <w:p>
      <w:pPr>
        <w:pStyle w:val="BookText"/>
      </w:pPr>
      <w:r>
        <w:rPr>
          <w:rFonts w:ascii="IRNazanin" w:hAnsi="IRNazanin" w:eastAsia="IRNazanin" w:cs="IRNazanin"/>
          <w:lang w:bidi="fa-IR"/>
          <w:color w:val="111111"/>
          <w:sz w:val="28"/>
          <w:szCs w:val="28"/>
          <w:rtl/>
        </w:rPr>
        <w:t xml:space="preserve">آیتی قائنی، شیخ محمد حسین، ۱۳۱۰-۱۳۹۷ قمری</w:t>
      </w:r>
    </w:p>
    <w:p>
      <w:pPr>
        <w:pStyle w:val="BookText"/>
      </w:pPr>
      <w:r>
        <w:rPr>
          <w:rFonts w:ascii="Times New Roman" w:hAnsi="Times New Roman" w:eastAsia="Times New Roman" w:cs="Times New Roman"/>
          <w:lang w:val="en-US" w:bidi="en-US"/>
          <w:color w:val="111111"/>
          <w:sz w:val="28"/>
          <w:szCs w:val="28"/>
          <w:rtl/>
        </w:rPr>
        <w:t xml:space="preserve">āyatī qā'enī, šeyx mohammad hoseyn (1893-1977)</w:t>
      </w:r>
    </w:p>
    <w:p>
      <w:pPr>
        <w:pStyle w:val="BookText"/>
      </w:pPr>
      <w:r>
        <w:rPr>
          <w:rFonts w:ascii="IRNazanin" w:hAnsi="IRNazanin" w:eastAsia="IRNazanin" w:cs="IRNazanin"/>
          <w:lang w:bidi="fa-IR"/>
          <w:color w:val="111111"/>
          <w:sz w:val="28"/>
          <w:szCs w:val="28"/>
          <w:rtl/>
        </w:rPr>
        <w:t xml:space="preserve">تذکره شعرای قاین است که اشعار ۳۷ شاعر قاینی را در آن آورده است. این کتاب به نام بهارستان چاپ شده ولی در این نسخه از این نام نشانی نیست. نام، اشعار و سرگذشت این شعراء آمده: بوذرجمهر قاینی، ابوبکر قهپایی، کوشککی قاینی، حکیم ابو نصر محمد قاینی، هلال قاینی، نزاری قهستانی، حکیم شیونی، جلال الدین یوسف، ولی دشت بیاضی، سید علی واعظ قاینی، نورالله اسفراینی، سید محمد نوربخش، سید جعفر قاینی ، ابن حسام، شاه اسحق ولی، خواجه آصفی، ملا بلال شاخنی عبد اللطيف بیرجندی، منشی بمرودی، زرین قلم بمرودی،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07" w:name="pg20363_209290"/>
    <w:bookmarkEnd w:id="107"/>
    <w:p>
      <w:pPr>
        <w:pStyle w:val="BookText"/>
      </w:pPr>
      <w:r>
        <w:rPr>
          <w:rFonts w:ascii="IRNazanin" w:hAnsi="IRNazanin" w:eastAsia="IRNazanin" w:cs="IRNazanin"/>
          <w:lang w:bidi="fa-IR"/>
          <w:color w:val="111111"/>
          <w:sz w:val="28"/>
          <w:szCs w:val="28"/>
          <w:rtl/>
        </w:rPr>
        <w:t xml:space="preserve">صبوحی بیرجندی، اشراق بیرجندی، دانش بمرودی، درویش قاینی، فروغ بیرجندی، طوفان بیرجندی، شهاب سیستانی، سید ابو تراب، شیخ محمد هادی، سید اسماعیل سید دانی قاینی، وحشی بیرجندی، شیخ عبدالحسین واعظ، راغب بیرجندی، خیام بیرجندی، مؤلف، میرزا حبیب الله خراسانی، محمد باقر پدر مؤلف.</w:t>
      </w:r>
    </w:p>
    <w:p>
      <w:pPr>
        <w:pStyle w:val="BookText"/>
      </w:pPr>
      <w:r>
        <w:rPr>
          <w:rFonts w:ascii="IRNazanin" w:hAnsi="IRNazanin" w:eastAsia="IRNazanin" w:cs="IRNazanin"/>
          <w:lang w:bidi="fa-IR"/>
          <w:color w:val="111111"/>
          <w:sz w:val="28"/>
          <w:szCs w:val="28"/>
          <w:rtl/>
        </w:rPr>
        <w:t xml:space="preserve">آغاز: رب يسر ولا تعسر. تذکره شعرای قائنات درخشنده تر دری که از صدف بلاغت سفته ... گردد سپاس حکیمی است ... که خرد و عقل را در ممالک وجود بسلطنت و جهانداری برگماشته</w:t>
      </w:r>
    </w:p>
    <w:p>
      <w:pPr>
        <w:pStyle w:val="BookText"/>
      </w:pPr>
      <w:r>
        <w:rPr>
          <w:rFonts w:ascii="IRNazanin" w:hAnsi="IRNazanin" w:eastAsia="IRNazanin" w:cs="IRNazanin"/>
          <w:lang w:bidi="fa-IR"/>
          <w:color w:val="111111"/>
          <w:sz w:val="28"/>
          <w:szCs w:val="28"/>
          <w:rtl/>
        </w:rPr>
        <w:t xml:space="preserve">چاپ: تهران، ۱۳۲۷ش، ۳۹۳ص به نام بهارستان</w:t>
      </w:r>
    </w:p>
    <w:p>
      <w:pPr>
        <w:pStyle w:val="BookText"/>
      </w:pPr>
      <w:r>
        <w:rPr>
          <w:rFonts w:ascii="IRNazanin" w:hAnsi="IRNazanin" w:eastAsia="IRNazanin" w:cs="IRNazanin"/>
          <w:lang w:bidi="fa-IR"/>
          <w:color w:val="111111"/>
          <w:sz w:val="28"/>
          <w:szCs w:val="28"/>
          <w:rtl/>
        </w:rPr>
        <w:t xml:space="preserve">[دنا ۵۴۶/۲ ؛ مشار ۲۳۸؛ فهرستواره منزوی ۱۸۵۷/۳ و ۲۰۳۱/۳ ]</w:t>
      </w:r>
    </w:p>
    <w:p>
      <w:pPr>
        <w:pStyle w:val="BookText"/>
      </w:pPr>
      <w:r>
        <w:rPr>
          <w:rFonts w:ascii="IRNazanin" w:hAnsi="IRNazanin" w:eastAsia="IRNazanin" w:cs="IRNazanin"/>
          <w:lang w:bidi="fa-IR"/>
          <w:color w:val="111111"/>
          <w:sz w:val="28"/>
          <w:szCs w:val="28"/>
          <w:rtl/>
        </w:rPr>
        <w:t xml:space="preserve">تهران، دانشگاه؛ شماره نسخه: ۳۰۱۲</w:t>
      </w:r>
    </w:p>
    <w:p>
      <w:pPr>
        <w:pStyle w:val="BookText"/>
      </w:pPr>
      <w:r>
        <w:rPr>
          <w:rFonts w:ascii="IRNazanin" w:hAnsi="IRNazanin" w:eastAsia="IRNazanin" w:cs="IRNazanin"/>
          <w:lang w:bidi="fa-IR"/>
          <w:color w:val="111111"/>
          <w:sz w:val="28"/>
          <w:szCs w:val="28"/>
          <w:rtl/>
        </w:rPr>
        <w:t xml:space="preserve">آغاز: لناسخ النسخة. ز آب زر هر چند استيفا کنی*** حق وصفش کی تو استقصا کنی / زنگ قاین را نموده بر طرف</w:t>
      </w:r>
      <w:r>
        <w:rPr>
          <w:rFonts w:ascii="IRNazanin" w:hAnsi="IRNazanin" w:eastAsia="IRNazanin" w:cs="IRNazanin"/>
          <w:lang w:bidi="fa-IR"/>
          <w:color w:val="111111"/>
          <w:sz w:val="28"/>
          <w:szCs w:val="28"/>
          <w:b w:val="1"/>
          <w:bCs w:val="1"/>
          <w:i w:val="1"/>
          <w:iCs w:val="1"/>
          <w:rtl/>
        </w:rPr>
        <w:t xml:space="preserve">منبع فیض است و کانی از شرف . للشيخ عبد الحسين دام مجده: این تذکره مجموعه فضل و هنر است</w:t>
      </w:r>
      <w:r>
        <w:rPr>
          <w:rFonts w:ascii="IRNazanin" w:hAnsi="IRNazanin" w:eastAsia="IRNazanin" w:cs="IRNazanin"/>
          <w:lang w:bidi="fa-IR"/>
          <w:color w:val="111111"/>
          <w:sz w:val="28"/>
          <w:szCs w:val="28"/>
          <w:rtl/>
        </w:rPr>
        <w:t xml:space="preserve"> گنجی است که پر ز در و لعل و گهر است / ابنای وطن سزد بدو فخر کنند*** اما صدف حیف موجز و مختصر است. رب يسر ولا تعسر. تذکره شعرای قائنات درخشنده تر دری که از صدف بلاغت سفته ... گردد سپاس حکیمی است ... که خرد و عقل را در ممالک وجود بسلطنت و جهانداری برگماشته؛ انجام: قامتش خم بمثل چون پر کار آمد (لقد صار هذا آخرما اورد و افاد جناب المستطاب المؤلف ... و زلل از خویش دلریش مدفوع نکرده ... والسلام).</w:t>
      </w:r>
    </w:p>
    <w:p>
      <w:pPr>
        <w:pStyle w:val="BookText"/>
      </w:pPr>
      <w:r>
        <w:rPr>
          <w:rFonts w:ascii="IRNazanin" w:hAnsi="IRNazanin" w:eastAsia="IRNazanin" w:cs="IRNazanin"/>
          <w:lang w:bidi="fa-IR"/>
          <w:color w:val="111111"/>
          <w:sz w:val="28"/>
          <w:szCs w:val="28"/>
          <w:rtl/>
        </w:rPr>
        <w:t xml:space="preserve">خط: نسخ، كا: موسی بن کربلایی میرزا عبدالجواد چهکندولی، تا: ۲۴ جمادی الاول ۱۳۳۱ق؛ نسخه دومی است که او نوشته است؛ کاغذ: فرنگی، جلد: تیماج قهوه ای ضربی مقوایی، ۵۱گ، ۲۰ سطر (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۱۰-۱۹۴۹]</w:t>
      </w:r>
    </w:p>
    <w:p>
      <w:pPr>
        <w:pStyle w:val="Heading3"/>
      </w:pPr>
      <w:bookmarkStart w:id="1058" w:name="_Toc318"/>
      <w:r>
        <w:t>•بهارستان / ادبیات / فارسی</w:t>
      </w:r>
      <w:bookmarkEnd w:id="1058"/>
    </w:p>
    <w:p>
      <w:pPr>
        <w:pStyle w:val="BookText"/>
      </w:pPr>
      <w:r>
        <w:rPr>
          <w:rFonts w:ascii="Times New Roman" w:hAnsi="Times New Roman" w:eastAsia="Times New Roman" w:cs="Times New Roman"/>
          <w:lang w:val="en-US" w:bidi="en-US"/>
          <w:color w:val="111111"/>
          <w:sz w:val="28"/>
          <w:szCs w:val="28"/>
          <w:rtl/>
        </w:rPr>
        <w:t xml:space="preserve">bahārestān</w:t>
      </w:r>
    </w:p>
    <w:p>
      <w:pPr>
        <w:pStyle w:val="BookText"/>
      </w:pPr>
      <w:r>
        <w:rPr>
          <w:rFonts w:ascii="IRNazanin" w:hAnsi="IRNazanin" w:eastAsia="IRNazanin" w:cs="IRNazanin"/>
          <w:lang w:bidi="fa-IR"/>
          <w:color w:val="111111"/>
          <w:sz w:val="28"/>
          <w:szCs w:val="28"/>
          <w:rtl/>
        </w:rPr>
        <w:t xml:space="preserve">عبدالغني بن فیض الله</w:t>
      </w:r>
    </w:p>
    <w:p>
      <w:pPr>
        <w:pStyle w:val="BookText"/>
      </w:pPr>
      <w:r>
        <w:rPr>
          <w:rFonts w:ascii="Times New Roman" w:hAnsi="Times New Roman" w:eastAsia="Times New Roman" w:cs="Times New Roman"/>
          <w:lang w:val="en-US" w:bidi="en-US"/>
          <w:color w:val="111111"/>
          <w:sz w:val="28"/>
          <w:szCs w:val="28"/>
          <w:rtl/>
        </w:rPr>
        <w:t xml:space="preserve">‘abd-ol-qanī ebn-e feyz-ol-lāh</w:t>
      </w:r>
    </w:p>
    <w:p>
      <w:pPr>
        <w:pStyle w:val="BookText"/>
      </w:pPr>
      <w:r>
        <w:rPr>
          <w:rFonts w:ascii="IRNazanin" w:hAnsi="IRNazanin" w:eastAsia="IRNazanin" w:cs="IRNazanin"/>
          <w:lang w:bidi="fa-IR"/>
          <w:color w:val="111111"/>
          <w:sz w:val="28"/>
          <w:szCs w:val="28"/>
          <w:rtl/>
        </w:rPr>
        <w:t xml:space="preserve">وابسته به: گلستان سعدی؛ سعدی، مصلح بن عبدالله (-۶۹۱) اهداء به: میر نور الدين</w:t>
      </w:r>
    </w:p>
    <w:p>
      <w:pPr>
        <w:pStyle w:val="BookText"/>
      </w:pPr>
      <w:r>
        <w:rPr>
          <w:rFonts w:ascii="IRNazanin" w:hAnsi="IRNazanin" w:eastAsia="IRNazanin" w:cs="IRNazanin"/>
          <w:lang w:bidi="fa-IR"/>
          <w:color w:val="111111"/>
          <w:sz w:val="28"/>
          <w:szCs w:val="28"/>
          <w:rtl/>
        </w:rPr>
        <w:t xml:space="preserve">شرحی است بر لغات مشکله دیباچه و هشت باب «گلستان» شیخ مصلح الدین سعدی شیرازی که نخست عبارتی از آن را آورده سپس به شرح هر یک از واژه ها پرداخته است و در آن از کتاب قاموس، صراح، تاج، موید الفضلاء، کشف اللغات، کنز اللغات، الطايف اللغات، مدار الافاضل، فرهنگ شیخ ابراهیم فاروقی، دستور الاخوان، رشیدی، تحفة السعادات و غیره بهره برده است. این شرح به خواهش برخی از عزیزان نگاشته شده است.</w:t>
      </w:r>
    </w:p>
    <w:p>
      <w:pPr>
        <w:pStyle w:val="BookText"/>
      </w:pPr>
      <w:r>
        <w:rPr>
          <w:rFonts w:ascii="IRNazanin" w:hAnsi="IRNazanin" w:eastAsia="IRNazanin" w:cs="IRNazanin"/>
          <w:lang w:bidi="fa-IR"/>
          <w:color w:val="111111"/>
          <w:sz w:val="28"/>
          <w:szCs w:val="28"/>
          <w:rtl/>
        </w:rPr>
        <w:t xml:space="preserve">[دنا ۵۴۶/۲ ؛ فهرست مشترک ۱۰۷/۱۴ -۱۰۸؛ فهرست گنج بخش ۱۲۹۴/۳ ؛  الذریعه ۱۵۸/۳ ]</w:t>
      </w:r>
    </w:p>
    <w:p>
      <w:pPr>
        <w:pStyle w:val="BookText"/>
      </w:pPr>
      <w:r>
        <w:rPr>
          <w:rFonts w:ascii="IRNazanin" w:hAnsi="IRNazanin" w:eastAsia="IRNazanin" w:cs="IRNazanin"/>
          <w:lang w:bidi="fa-IR"/>
          <w:color w:val="111111"/>
          <w:sz w:val="28"/>
          <w:szCs w:val="28"/>
          <w:rtl/>
        </w:rPr>
        <w:t xml:space="preserve">قم: مرکز احیاء؛ شماره نسخه: ۲۰۲۳/۱</w:t>
      </w:r>
    </w:p>
    <w:p>
      <w:pPr>
        <w:pStyle w:val="BookText"/>
      </w:pPr>
      <w:r>
        <w:rPr>
          <w:rFonts w:ascii="IRNazanin" w:hAnsi="IRNazanin" w:eastAsia="IRNazanin" w:cs="IRNazanin"/>
          <w:lang w:bidi="fa-IR"/>
          <w:color w:val="111111"/>
          <w:sz w:val="28"/>
          <w:szCs w:val="28"/>
          <w:rtl/>
        </w:rPr>
        <w:t xml:space="preserve">آغاز : سپاس و ستایش مر مالک ملکی را که بنان لطفش گلستان چرخ نیلوفری را به ریاحین و ازهار و سیارات بیاراست نسخه اصل: کتابخانه گنج بخش - پاکستان ۱۴۱۹؛ خط: نستعلیق، كان محمد عظیم بن غلام خليل قوم نجار، تا: پنج شنبه ۱۵ محرم ۱۲۷۲ق؛ ۸۸ص (۵-۹۲) [عکسی ف: ۶-۴۰]</w:t>
      </w:r>
    </w:p>
    <w:p>
      <w:pPr>
        <w:pStyle w:val="Heading3"/>
      </w:pPr>
      <w:bookmarkStart w:id="1059" w:name="_Toc319"/>
      <w:r>
        <w:t>•بهارستان / گوناگون / فارسی</w:t>
      </w:r>
      <w:bookmarkEnd w:id="1059"/>
    </w:p>
    <w:p>
      <w:pPr>
        <w:pStyle w:val="BookText"/>
      </w:pPr>
      <w:r>
        <w:rPr>
          <w:rFonts w:ascii="Times New Roman" w:hAnsi="Times New Roman" w:eastAsia="Times New Roman" w:cs="Times New Roman"/>
          <w:lang w:val="en-US" w:bidi="en-US"/>
          <w:color w:val="111111"/>
          <w:sz w:val="28"/>
          <w:szCs w:val="28"/>
          <w:rtl/>
        </w:rPr>
        <w:t xml:space="preserve">bahārestan</w:t>
      </w:r>
    </w:p>
    <w:p>
      <w:pPr>
        <w:pStyle w:val="BookText"/>
      </w:pPr>
      <w:r>
        <w:rPr>
          <w:rFonts w:ascii="IRNazanin" w:hAnsi="IRNazanin" w:eastAsia="IRNazanin" w:cs="IRNazanin"/>
          <w:lang w:bidi="fa-IR"/>
          <w:color w:val="111111"/>
          <w:sz w:val="28"/>
          <w:szCs w:val="28"/>
          <w:rtl/>
        </w:rPr>
        <w:t xml:space="preserve">کلهر کرمانشاهی، محمد یوسف</w:t>
      </w:r>
    </w:p>
    <w:p>
      <w:pPr>
        <w:pStyle w:val="BookText"/>
      </w:pPr>
      <w:r>
        <w:rPr>
          <w:rFonts w:ascii="Times New Roman" w:hAnsi="Times New Roman" w:eastAsia="Times New Roman" w:cs="Times New Roman"/>
          <w:lang w:val="en-US" w:bidi="en-US"/>
          <w:color w:val="111111"/>
          <w:sz w:val="28"/>
          <w:szCs w:val="28"/>
          <w:rtl/>
        </w:rPr>
        <w:t xml:space="preserve">kalhor-e kermānšāhī, mohammad yūsof</w:t>
      </w:r>
    </w:p>
    <w:p>
      <w:pPr>
        <w:pStyle w:val="BookText"/>
      </w:pPr>
      <w:r>
        <w:rPr>
          <w:rFonts w:ascii="IRNazanin" w:hAnsi="IRNazanin" w:eastAsia="IRNazanin" w:cs="IRNazanin"/>
          <w:lang w:bidi="fa-IR"/>
          <w:color w:val="111111"/>
          <w:sz w:val="28"/>
          <w:szCs w:val="28"/>
          <w:rtl/>
        </w:rPr>
        <w:t xml:space="preserve">در دیباچه نام کتاب و مؤلف یاد شده و دارد «رساله نشأت مسمی به بهارستان» در چهار «خیابان» است: ۱. خطبه های عید، تسخیر سلیمانیه و کوی، ایان عاشورا، دیباچه بحر الالفاظ میرزا صادق، دیباچه نکاح منه؛ ۲. انهزام علی پاشا وزير بغداد، عريضه فتح نامه مشهد، مقدس، عریضه نایب الثانی در پاسخ فتحنامه، عریضه همودر وصل خلعت سلطانی، نیز او در پاسخ فتحنامه قلعه، عریضه بنواب شاهزاده محمود، دو عريبضه بحسن خان نواب، رقمی در فرستادن قشون بجناب وزیر بغداد؛ ۳. در مکاتیب که نخست چندین دیباچه است سپس در باب یکی از شعرای عبدالرحمن پاشا در فتح حرمین شریفین بوزير بغداد، در فتح روسیه، به برادر گرامی میرزا نامی، به مخدوم آقا محمد اسماعیل، به میرزا محمد تقی؛ ۴. رقعات به میرزا محمد تقی و محمد على خن و میرزا رضای دبیر و حسن خان بابا خان و معتمد الدوله، درباره شکستن دست حصرت باز نوشه شد، رقعه میرزا عبدالرسول، به میرزا محمد رضا، بملاعلی نوری، بوالی کردستان، محمد ولیخان، به صدراعظم، به محمد حسین خان، بخ محمد جعفر نواب، و شش نامه دیگر که دیوانی است و مخاطب در نسخه سفید مانده، سپس چهل نامه دیگر و اشعار فارسی است برخی با تخلص نشاط و گویا دنباله این رساله است و همه نامه ها به فارسی.</w:t>
      </w:r>
    </w:p>
    <w:p>
      <w:pPr>
        <w:pStyle w:val="BookText"/>
      </w:pPr>
      <w:r>
        <w:rPr>
          <w:rFonts w:ascii="IRNazanin" w:hAnsi="IRNazanin" w:eastAsia="IRNazanin" w:cs="IRNazanin"/>
          <w:lang w:bidi="fa-IR"/>
          <w:color w:val="111111"/>
          <w:sz w:val="28"/>
          <w:szCs w:val="28"/>
          <w:rtl/>
        </w:rPr>
        <w:t xml:space="preserve">تهران، ادبیات، شماره نسخه: ۳۱- د</w:t>
      </w:r>
    </w:p>
    <w:p>
      <w:pPr>
        <w:pStyle w:val="BookText"/>
      </w:pPr>
      <w:r>
        <w:rPr>
          <w:rFonts w:ascii="IRNazanin" w:hAnsi="IRNazanin" w:eastAsia="IRNazanin" w:cs="IRNazanin"/>
          <w:lang w:bidi="fa-IR"/>
          <w:color w:val="111111"/>
          <w:sz w:val="28"/>
          <w:szCs w:val="28"/>
          <w:rtl/>
        </w:rPr>
        <w:t xml:space="preserve">آغاز: نامه آغاز نسخه: این لآلی چند است بدستیاری غواص خامه از عمان فکر بر کنار آمد (گویا دیباچه مانندی بر این رساله است). آغاز رساله: بسمله. دیباچه دیوان بیاض فصاحت طبعان نکته سنج و کلید زبان نکته سنجانی ازلی گنج سخن یافته رنج مطلع رنگین ستایش باد و آفرین ناظم منظومه آسمان و زمین است</w:t>
      </w:r>
    </w:p>
    <w:p>
      <w:pPr>
        <w:pStyle w:val="BookText"/>
      </w:pPr>
      <w:r>
        <w:rPr>
          <w:rFonts w:ascii="IRNazanin" w:hAnsi="IRNazanin" w:eastAsia="IRNazanin" w:cs="IRNazanin"/>
          <w:lang w:bidi="fa-IR"/>
          <w:color w:val="111111"/>
          <w:sz w:val="28"/>
          <w:szCs w:val="28"/>
          <w:rtl/>
        </w:rPr>
        <w:t xml:space="preserve">خط: نستعلیق، بی کا، تا: قرن ۱۳؛ افتادگی: انجام؛ کاغذ: فرنگی، جلد: تیماج سرخ ضربی، ۱۳۷، ۱۴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۷۹)، اندازه: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08" w:name="pg20363_209291"/>
    <w:bookmarkEnd w:id="108"/>
    <w:p>
      <w:pPr>
        <w:pStyle w:val="BookText"/>
      </w:pPr>
      <w:r>
        <w:rPr>
          <w:rFonts w:ascii="IRNazanin" w:hAnsi="IRNazanin" w:eastAsia="IRNazanin" w:cs="IRNazanin"/>
          <w:lang w:bidi="fa-IR"/>
          <w:color w:val="111111"/>
          <w:sz w:val="28"/>
          <w:szCs w:val="28"/>
          <w:rtl/>
        </w:rPr>
        <w:t xml:space="preserve">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۱-۴۸)</w:t>
      </w:r>
    </w:p>
    <w:p>
      <w:pPr>
        <w:pStyle w:val="Heading3"/>
      </w:pPr>
      <w:bookmarkStart w:id="1060" w:name="_Toc320"/>
      <w:r>
        <w:t>•بهارستان عرفان و تصوف / فارسی</w:t>
      </w:r>
      <w:bookmarkEnd w:id="1060"/>
    </w:p>
    <w:p>
      <w:pPr>
        <w:pStyle w:val="BookText"/>
      </w:pPr>
      <w:r>
        <w:rPr>
          <w:rFonts w:ascii="Times New Roman" w:hAnsi="Times New Roman" w:eastAsia="Times New Roman" w:cs="Times New Roman"/>
          <w:lang w:val="en-US" w:bidi="en-US"/>
          <w:color w:val="111111"/>
          <w:sz w:val="28"/>
          <w:szCs w:val="28"/>
          <w:rtl/>
        </w:rPr>
        <w:t xml:space="preserve">Bahārestān</w:t>
      </w:r>
    </w:p>
    <w:p>
      <w:pPr>
        <w:pStyle w:val="BookText"/>
      </w:pPr>
      <w:r>
        <w:rPr>
          <w:rFonts w:ascii="IRNazanin" w:hAnsi="IRNazanin" w:eastAsia="IRNazanin" w:cs="IRNazanin"/>
          <w:lang w:bidi="fa-IR"/>
          <w:color w:val="111111"/>
          <w:sz w:val="28"/>
          <w:szCs w:val="28"/>
          <w:rtl/>
        </w:rPr>
        <w:t xml:space="preserve">در زمان مؤلف «اخلاق محسنی» کاشفی بسیار رونق داشته، مؤلف به دستور شاه عباس مشغول ترتيب آن بوده که بنای شاه بر آن می شود تا بابی در عشق و عاشقی بر آن بیفزاید، لذا مؤلف رساله حاضر را در این موضوع نگاشته و در آن به حکایات و اشعاری از قدما و معاصرین خود هم چون: نظیری، فیضی، صائب، عرفی، سحابی و اشعاری از خود با تخلص «راضی» استشهاد نموده است. نام کتاب به دست نیامد.</w:t>
      </w:r>
    </w:p>
    <w:p>
      <w:pPr>
        <w:pStyle w:val="BookText"/>
      </w:pPr>
      <w:r>
        <w:rPr>
          <w:rFonts w:ascii="IRNazanin" w:hAnsi="IRNazanin" w:eastAsia="IRNazanin" w:cs="IRNazanin"/>
          <w:lang w:bidi="fa-IR"/>
          <w:color w:val="111111"/>
          <w:sz w:val="28"/>
          <w:szCs w:val="28"/>
          <w:rtl/>
        </w:rPr>
        <w:t xml:space="preserve">تهران؛ مجلس؛ شماره نسخه: ۸۷۶۵</w:t>
      </w:r>
    </w:p>
    <w:p>
      <w:pPr>
        <w:pStyle w:val="BookText"/>
      </w:pPr>
      <w:r>
        <w:rPr>
          <w:rFonts w:ascii="IRNazanin" w:hAnsi="IRNazanin" w:eastAsia="IRNazanin" w:cs="IRNazanin"/>
          <w:lang w:bidi="fa-IR"/>
          <w:color w:val="111111"/>
          <w:sz w:val="28"/>
          <w:szCs w:val="28"/>
          <w:rtl/>
        </w:rPr>
        <w:t xml:space="preserve">آغاز: حمد بی حد خالق افلاک را </w:t>
      </w:r>
      <w:r>
        <w:rPr>
          <w:rFonts w:ascii="IRNazanin" w:hAnsi="IRNazanin" w:eastAsia="IRNazanin" w:cs="IRNazanin"/>
          <w:lang w:bidi="fa-IR"/>
          <w:color w:val="111111"/>
          <w:sz w:val="28"/>
          <w:szCs w:val="28"/>
          <w:b w:val="1"/>
          <w:bCs w:val="1"/>
          <w:i w:val="1"/>
          <w:iCs w:val="1"/>
          <w:rtl/>
        </w:rPr>
        <w:t xml:space="preserve">آنکه عشق آموخت مشتی خاک را. بر بیدار دلان خبردار و دقیقه شناسان هشیار پوشیده نخواهد بود که سلاطين نامدار که بدایع و دایع عاطفت کردگار و سایه لطف و مرحمت خالق لیل و نهارند؛ انجام: آفتاب معرفت را نقل نیست</w:t>
      </w:r>
      <w:r>
        <w:rPr>
          <w:rFonts w:ascii="IRNazanin" w:hAnsi="IRNazanin" w:eastAsia="IRNazanin" w:cs="IRNazanin"/>
          <w:lang w:bidi="fa-IR"/>
          <w:color w:val="111111"/>
          <w:sz w:val="28"/>
          <w:szCs w:val="28"/>
          <w:rtl/>
        </w:rPr>
        <w:t xml:space="preserve"> مشرق او غیر جان عقل نیست / خاصه خورشید کمالی کان سرست*** روز و شب کردار او روشنگر است</w:t>
      </w:r>
    </w:p>
    <w:p>
      <w:pPr>
        <w:pStyle w:val="BookText"/>
      </w:pPr>
      <w:r>
        <w:rPr>
          <w:rFonts w:ascii="IRNazanin" w:hAnsi="IRNazanin" w:eastAsia="IRNazanin" w:cs="IRNazanin"/>
          <w:lang w:bidi="fa-IR"/>
          <w:color w:val="111111"/>
          <w:sz w:val="28"/>
          <w:szCs w:val="28"/>
          <w:rtl/>
        </w:rPr>
        <w:t xml:space="preserve">خط: نستعلیق خوش، بی کا، تا: قرن ۱۲؛ مجدول، دارای سرلوح؛ مهر: «حسن علی خان بهادر جنگ ...» (مربع بزرگ)؛ جلد: گالینگور قرمز، ۷۳گ، ۱۴سطر،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سم [ف: ۲۸-۲۴۸]</w:t>
      </w:r>
    </w:p>
    <w:p>
      <w:pPr>
        <w:pStyle w:val="BookText"/>
      </w:pPr>
      <w:r>
        <w:rPr>
          <w:rFonts w:ascii="IRNazanin" w:hAnsi="IRNazanin" w:eastAsia="IRNazanin" w:cs="IRNazanin"/>
          <w:lang w:bidi="fa-IR"/>
          <w:color w:val="111111"/>
          <w:sz w:val="28"/>
          <w:szCs w:val="28"/>
          <w:rtl/>
        </w:rPr>
        <w:t xml:space="preserve">← بهارستان تهماسبی ← تاریخ بهارستان تهماسبی</w:t>
      </w:r>
    </w:p>
    <w:p>
      <w:pPr>
        <w:pStyle w:val="Heading3"/>
      </w:pPr>
      <w:bookmarkStart w:id="1061" w:name="_Toc321"/>
      <w:r>
        <w:t>• بهارستان سخن / تراجم / فارسی</w:t>
      </w:r>
      <w:bookmarkEnd w:id="1061"/>
    </w:p>
    <w:p>
      <w:pPr>
        <w:pStyle w:val="BookText"/>
      </w:pPr>
      <w:r>
        <w:rPr>
          <w:rFonts w:ascii="Times New Roman" w:hAnsi="Times New Roman" w:eastAsia="Times New Roman" w:cs="Times New Roman"/>
          <w:lang w:val="en-US" w:bidi="en-US"/>
          <w:color w:val="111111"/>
          <w:sz w:val="28"/>
          <w:szCs w:val="28"/>
          <w:rtl/>
        </w:rPr>
        <w:t xml:space="preserve">bahārestān-e soxan</w:t>
      </w:r>
    </w:p>
    <w:p>
      <w:pPr>
        <w:pStyle w:val="BookText"/>
      </w:pPr>
      <w:r>
        <w:rPr>
          <w:rFonts w:ascii="IRNazanin" w:hAnsi="IRNazanin" w:eastAsia="IRNazanin" w:cs="IRNazanin"/>
          <w:lang w:bidi="fa-IR"/>
          <w:color w:val="111111"/>
          <w:sz w:val="28"/>
          <w:szCs w:val="28"/>
          <w:rtl/>
        </w:rPr>
        <w:t xml:space="preserve">اورنگ آبادی، میر عبدالرزاق، ۱۱۱۱-۱۱۷۱ قمری</w:t>
      </w:r>
    </w:p>
    <w:p>
      <w:pPr>
        <w:pStyle w:val="BookText"/>
      </w:pPr>
      <w:r>
        <w:rPr>
          <w:rFonts w:ascii="Times New Roman" w:hAnsi="Times New Roman" w:eastAsia="Times New Roman" w:cs="Times New Roman"/>
          <w:lang w:val="en-US" w:bidi="en-US"/>
          <w:color w:val="111111"/>
          <w:sz w:val="28"/>
          <w:szCs w:val="28"/>
          <w:rtl/>
        </w:rPr>
        <w:t xml:space="preserve">owrangābādī, mīr 'abd-or-razzāq (1700-1758)</w:t>
      </w:r>
    </w:p>
    <w:p>
      <w:pPr>
        <w:pStyle w:val="BookText"/>
      </w:pPr>
      <w:r>
        <w:rPr>
          <w:rFonts w:ascii="IRNazanin" w:hAnsi="IRNazanin" w:eastAsia="IRNazanin" w:cs="IRNazanin"/>
          <w:lang w:bidi="fa-IR"/>
          <w:color w:val="111111"/>
          <w:sz w:val="28"/>
          <w:szCs w:val="28"/>
          <w:rtl/>
        </w:rPr>
        <w:t xml:space="preserve">تاریخ تأليف: ۱۱۶۰ق تذکره یک صد و بیست و دو تن از شعرای بزرگ فارسی زبان است با نمونه هایی از اشعار برگزیده آنان؛ این کتاب پس از کتاب دیگر مؤلف «موائد الفواید» تألیف شده است. دارای ۱ «مقدمه» در ۱۲</w:t>
      </w:r>
    </w:p>
    <w:p>
      <w:pPr>
        <w:pStyle w:val="BookText"/>
      </w:pPr>
      <w:r>
        <w:rPr>
          <w:rFonts w:ascii="IRNazanin" w:hAnsi="IRNazanin" w:eastAsia="IRNazanin" w:cs="IRNazanin"/>
          <w:lang w:bidi="fa-IR"/>
          <w:color w:val="111111"/>
          <w:sz w:val="28"/>
          <w:szCs w:val="28"/>
          <w:rtl/>
        </w:rPr>
        <w:t xml:space="preserve">«فصل» در کلام منظوم و عروض و قافیه و بلاغت و خط و املا و دستور لغت فارسی، فصل ۱۲ در احوال سرایندگان است که به ۵ «طبقه» و ۱ «خاتمه» بخشبندی شده است: طبقه ۱. از فردوسی تا خواجو، ۱۸ تن، ۲. از سلمان ساوجی تا نظام استر آبادی، ۱۷ تن، ۳. از بنائی تا نوعی خبوشانی، ۲۲ تن، ۴. میرزا جعفر آصفخان تا سلیم تهرانی، ۲۳ تن، ۵. از حکم سرمدی کاشانی تا محمد نعیم نصرت، ۴۱ تن؛ خاتمه، در سرایندگان دکن همروز گار نگارنده. آن را در ۱۱۶۰ ق به پایان برد و پس از مرگش فرزندان او میر عبدالحی خان صمصام الملك متخلص به صارم در آن دست برد و کامل ساخت و تاریخ انجام کار فرزند ۱۱۹۲ق بوده است.</w:t>
      </w:r>
    </w:p>
    <w:p>
      <w:pPr>
        <w:pStyle w:val="BookText"/>
      </w:pPr>
      <w:r>
        <w:rPr>
          <w:rFonts w:ascii="IRNazanin" w:hAnsi="IRNazanin" w:eastAsia="IRNazanin" w:cs="IRNazanin"/>
          <w:lang w:bidi="fa-IR"/>
          <w:color w:val="111111"/>
          <w:sz w:val="28"/>
          <w:szCs w:val="28"/>
          <w:rtl/>
        </w:rPr>
        <w:t xml:space="preserve">آغاز: طراوت بهارستان سخن به آبیاری ستایش حرف آفرینی است که عندلیب ناطقه را به ترانه خوشنوائی سخن مترنم ساخت انجام: راحت بیجا سراسر رنج بود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پائی چون خوابید صاحب بستر است</w:t>
      </w:r>
    </w:p>
    <w:p>
      <w:pPr>
        <w:pStyle w:val="BookText"/>
      </w:pPr>
      <w:r>
        <w:rPr>
          <w:rFonts w:ascii="IRNazanin" w:hAnsi="IRNazanin" w:eastAsia="IRNazanin" w:cs="IRNazanin"/>
          <w:lang w:bidi="fa-IR"/>
          <w:color w:val="111111"/>
          <w:sz w:val="28"/>
          <w:szCs w:val="28"/>
          <w:rtl/>
        </w:rPr>
        <w:t xml:space="preserve">چاپ: مدراس، ۱۹۵۸م، با مقدمه فارسی و انگلیسی چاپ شده [دنا ۵۴۶/۲ ؛ فهرستواره منزوی ۱۸۵۸/۳]</w:t>
      </w:r>
    </w:p>
    <w:p>
      <w:pPr>
        <w:pStyle w:val="BookText"/>
      </w:pPr>
      <w:r>
        <w:rPr>
          <w:rFonts w:ascii="IRNazanin" w:hAnsi="IRNazanin" w:eastAsia="IRNazanin" w:cs="IRNazanin"/>
          <w:lang w:bidi="fa-IR"/>
          <w:color w:val="111111"/>
          <w:sz w:val="28"/>
          <w:szCs w:val="28"/>
          <w:rtl/>
        </w:rPr>
        <w:t xml:space="preserve">قم؛ مرعشی؛ شماره نسخه: ۴۰۲۶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غوث محيي الدين بن احمد ابو تراب بن محمد حسین ابن نجم الدين حسن بن مولوی محمد حسین قادری، تا: پنج شنبه ۲ جمادی الاول ۱۲۴۸ق؛ مصحح؛ جلد: مقوایی عطف گالینگور قهوه ای، ۱۳۰ گ، ۲۱ سطر،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۱۱-۳۰]</w:t>
      </w:r>
    </w:p>
    <w:p>
      <w:pPr>
        <w:pStyle w:val="Heading3"/>
      </w:pPr>
      <w:bookmarkStart w:id="1062" w:name="_Toc322"/>
      <w:r>
        <w:t>•بهارستان علوم / چند دانشی / فارسی</w:t>
      </w:r>
      <w:bookmarkEnd w:id="1062"/>
    </w:p>
    <w:p>
      <w:pPr>
        <w:pStyle w:val="BookText"/>
      </w:pPr>
      <w:r>
        <w:rPr>
          <w:rFonts w:ascii="Times New Roman" w:hAnsi="Times New Roman" w:eastAsia="Times New Roman" w:cs="Times New Roman"/>
          <w:lang w:val="en-US" w:bidi="en-US"/>
          <w:color w:val="111111"/>
          <w:sz w:val="28"/>
          <w:szCs w:val="28"/>
          <w:rtl/>
        </w:rPr>
        <w:t xml:space="preserve">bahārestān-e 'olūm</w:t>
      </w:r>
    </w:p>
    <w:p>
      <w:pPr>
        <w:pStyle w:val="BookText"/>
      </w:pPr>
      <w:r>
        <w:rPr>
          <w:rFonts w:ascii="IRNazanin" w:hAnsi="IRNazanin" w:eastAsia="IRNazanin" w:cs="IRNazanin"/>
          <w:lang w:bidi="fa-IR"/>
          <w:color w:val="111111"/>
          <w:sz w:val="28"/>
          <w:szCs w:val="28"/>
          <w:rtl/>
        </w:rPr>
        <w:t xml:space="preserve">طالقانی، محمد تقی قطب، ق ۱۲ قمری</w:t>
      </w:r>
    </w:p>
    <w:p>
      <w:pPr>
        <w:pStyle w:val="BookText"/>
      </w:pPr>
      <w:r>
        <w:rPr>
          <w:rFonts w:ascii="Times New Roman" w:hAnsi="Times New Roman" w:eastAsia="Times New Roman" w:cs="Times New Roman"/>
          <w:lang w:val="en-US" w:bidi="en-US"/>
          <w:color w:val="111111"/>
          <w:sz w:val="28"/>
          <w:szCs w:val="28"/>
          <w:rtl/>
        </w:rPr>
        <w:t xml:space="preserve">tāleqānī, mohammad taqī qotb (- 180)</w:t>
      </w:r>
    </w:p>
    <w:p>
      <w:pPr>
        <w:pStyle w:val="BookText"/>
      </w:pPr>
      <w:r>
        <w:rPr>
          <w:rFonts w:ascii="IRNazanin" w:hAnsi="IRNazanin" w:eastAsia="IRNazanin" w:cs="IRNazanin"/>
          <w:lang w:bidi="fa-IR"/>
          <w:color w:val="111111"/>
          <w:sz w:val="28"/>
          <w:szCs w:val="28"/>
          <w:rtl/>
        </w:rPr>
        <w:t xml:space="preserve">اهداء به: میرزا محمد باقر حسنی حسینی</w:t>
      </w:r>
    </w:p>
    <w:p>
      <w:pPr>
        <w:pStyle w:val="BookText"/>
      </w:pPr>
      <w:r>
        <w:rPr>
          <w:rFonts w:ascii="IRNazanin" w:hAnsi="IRNazanin" w:eastAsia="IRNazanin" w:cs="IRNazanin"/>
          <w:lang w:bidi="fa-IR"/>
          <w:color w:val="111111"/>
          <w:sz w:val="28"/>
          <w:szCs w:val="28"/>
          <w:rtl/>
        </w:rPr>
        <w:t xml:space="preserve">کتابی است در کلیات علوم شامل سه «باب» در صرف و نحو و منطق و یک «خاتمه» در اشياء متفرقه. مؤلف تصریح می کند که این کتاب را در زمان شاه سلطان حسین به نام میرزا محمد باقر حسنی حسینی که از علمای روحانی زمان بوده است پرداخته است. مؤلف در این کتاب برخی از اشعار فارسی خود را آورده است.</w:t>
      </w:r>
    </w:p>
    <w:p>
      <w:pPr>
        <w:pStyle w:val="BookText"/>
      </w:pPr>
      <w:r>
        <w:rPr>
          <w:rFonts w:ascii="IRNazanin" w:hAnsi="IRNazanin" w:eastAsia="IRNazanin" w:cs="IRNazanin"/>
          <w:lang w:bidi="fa-IR"/>
          <w:color w:val="111111"/>
          <w:sz w:val="28"/>
          <w:szCs w:val="28"/>
          <w:rtl/>
        </w:rPr>
        <w:t xml:space="preserve">تهران؛ مجلس؛ شماره نسخه: ۲۱۸۷</w:t>
      </w:r>
    </w:p>
    <w:p>
      <w:pPr>
        <w:pStyle w:val="BookText"/>
      </w:pPr>
      <w:r>
        <w:rPr>
          <w:rFonts w:ascii="Amiri" w:hAnsi="Amiri" w:eastAsia="Amiri" w:cs="Amiri"/>
          <w:lang w:bidi="ar-SA"/>
          <w:color w:val="111111"/>
          <w:sz w:val="28"/>
          <w:szCs w:val="28"/>
          <w:rtl/>
        </w:rPr>
        <w:t xml:space="preserve">آغاز: الحمدلله الذي خلق ماسواه بقدرته الكامله؛ انجام: بهارستان علمش نام دادم.</w:t>
      </w:r>
    </w:p>
    <w:p>
      <w:pPr>
        <w:pStyle w:val="BookText"/>
      </w:pPr>
      <w:r>
        <w:rPr>
          <w:rFonts w:ascii="IRNazanin" w:hAnsi="IRNazanin" w:eastAsia="IRNazanin" w:cs="IRNazanin"/>
          <w:lang w:bidi="fa-IR"/>
          <w:color w:val="111111"/>
          <w:sz w:val="28"/>
          <w:szCs w:val="28"/>
          <w:rtl/>
        </w:rPr>
        <w:t xml:space="preserve">خط: نسخ تعليق، كاتب = مؤلف، تا: ۱۱۱۷ق؛ پایان آن رقم کرده: قد فرغ ... مؤلفها الفقير ... محمد تقي الطالقانی ... سنه ۱۱۱۷ .. کاغذ: امیری شکری آهار مهره، جلد: میشن تریاکی، ۲۱۱ص، ۱۵سطر،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سم آف: ۶-۱۵۱]</w:t>
      </w:r>
    </w:p>
    <w:p>
      <w:pPr>
        <w:pStyle w:val="BookText"/>
      </w:pPr>
      <w:r>
        <w:rPr>
          <w:rFonts w:ascii="IRNazanin" w:hAnsi="IRNazanin" w:eastAsia="IRNazanin" w:cs="IRNazanin"/>
          <w:lang w:bidi="fa-IR"/>
          <w:color w:val="111111"/>
          <w:sz w:val="28"/>
          <w:szCs w:val="28"/>
          <w:rtl/>
        </w:rPr>
        <w:t xml:space="preserve">← بهارستان معتمدی ← مدایح معتمدیه</w:t>
      </w:r>
    </w:p>
    <w:p>
      <w:pPr>
        <w:pStyle w:val="Heading3"/>
      </w:pPr>
      <w:bookmarkStart w:id="1063" w:name="_Toc323"/>
      <w:r>
        <w:t>•بهار سخن / ادبیات فارسی</w:t>
      </w:r>
      <w:bookmarkEnd w:id="1063"/>
    </w:p>
    <w:p>
      <w:pPr>
        <w:pStyle w:val="BookText"/>
      </w:pPr>
      <w:r>
        <w:rPr>
          <w:rFonts w:ascii="Times New Roman" w:hAnsi="Times New Roman" w:eastAsia="Times New Roman" w:cs="Times New Roman"/>
          <w:lang w:val="en-US" w:bidi="en-US"/>
          <w:color w:val="111111"/>
          <w:sz w:val="28"/>
          <w:szCs w:val="28"/>
          <w:rtl/>
        </w:rPr>
        <w:t xml:space="preserve">bahār-e soxan</w:t>
      </w:r>
    </w:p>
    <w:p>
      <w:pPr>
        <w:pStyle w:val="BookText"/>
      </w:pPr>
      <w:r>
        <w:rPr>
          <w:rFonts w:ascii="IRNazanin" w:hAnsi="IRNazanin" w:eastAsia="IRNazanin" w:cs="IRNazanin"/>
          <w:lang w:bidi="fa-IR"/>
          <w:color w:val="111111"/>
          <w:sz w:val="28"/>
          <w:szCs w:val="28"/>
          <w:rtl/>
        </w:rPr>
        <w:t xml:space="preserve">کنبو لاهوری، محمد صالح، ق ۱۱ قمری</w:t>
      </w:r>
    </w:p>
    <w:p>
      <w:pPr>
        <w:pStyle w:val="BookText"/>
      </w:pPr>
      <w:r>
        <w:rPr>
          <w:rFonts w:ascii="Times New Roman" w:hAnsi="Times New Roman" w:eastAsia="Times New Roman" w:cs="Times New Roman"/>
          <w:lang w:val="en-US" w:bidi="en-US"/>
          <w:color w:val="111111"/>
          <w:sz w:val="28"/>
          <w:szCs w:val="28"/>
          <w:rtl/>
        </w:rPr>
        <w:t xml:space="preserve">kanbū lāhūrī, mohammad sāleh (- 17c)</w:t>
      </w:r>
    </w:p>
    <w:p>
      <w:pPr>
        <w:pStyle w:val="BookText"/>
      </w:pPr>
      <w:r>
        <w:rPr>
          <w:rFonts w:ascii="IRNazanin" w:hAnsi="IRNazanin" w:eastAsia="IRNazanin" w:cs="IRNazanin"/>
          <w:lang w:bidi="fa-IR"/>
          <w:color w:val="111111"/>
          <w:sz w:val="28"/>
          <w:szCs w:val="28"/>
          <w:rtl/>
        </w:rPr>
        <w:t xml:space="preserve">تهران؛ دانشگاه؛ شماره نسخه: ۲۶۱۹/۷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09" w:name="pg20363_209292"/>
    <w:bookmarkEnd w:id="109"/>
    <w:p>
      <w:pPr>
        <w:pStyle w:val="BookText"/>
      </w:pPr>
      <w:r>
        <w:rPr>
          <w:rFonts w:ascii="IRNazanin" w:hAnsi="IRNazanin" w:eastAsia="IRNazanin" w:cs="IRNazanin"/>
          <w:lang w:bidi="fa-IR"/>
          <w:color w:val="111111"/>
          <w:sz w:val="28"/>
          <w:szCs w:val="28"/>
          <w:rtl/>
        </w:rPr>
        <w:t xml:space="preserve">آغاز: گویند مولاناء سوادی که سواد سخنش سرمه دیده اولی الابصار است از سواد احمد آباد خاسته؛ انجام: باین گویی وفا نکند</w:t>
      </w:r>
    </w:p>
    <w:p>
      <w:pPr>
        <w:pStyle w:val="BookText"/>
      </w:pPr>
      <w:r>
        <w:rPr>
          <w:rFonts w:ascii="IRNazanin" w:hAnsi="IRNazanin" w:eastAsia="IRNazanin" w:cs="IRNazanin"/>
          <w:lang w:bidi="fa-IR"/>
          <w:color w:val="111111"/>
          <w:sz w:val="28"/>
          <w:szCs w:val="28"/>
          <w:rtl/>
        </w:rPr>
        <w:t xml:space="preserve">دو بند نثر است از آن؛ خط: نستعلیق، بی کا، تا: ۸ جمادی الاول ۱۱۴۰ق، جان دولت خانه میرزا عیسی خان؛ کاغذ: سپاهانی، جلد: تیماج قهوه ای ضربی، ۳ص(۴۶۷-۴۶۹)، ۲۰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۹-۱۴۸۹]</w:t>
      </w:r>
    </w:p>
    <w:p>
      <w:pPr>
        <w:pStyle w:val="Heading3"/>
      </w:pPr>
      <w:bookmarkStart w:id="1064" w:name="_Toc324"/>
      <w:r>
        <w:t>•بهار عجم / لغت / فارسی</w:t>
      </w:r>
      <w:bookmarkEnd w:id="1064"/>
    </w:p>
    <w:p>
      <w:pPr>
        <w:pStyle w:val="BookText"/>
      </w:pPr>
      <w:r>
        <w:rPr>
          <w:rFonts w:ascii="Times New Roman" w:hAnsi="Times New Roman" w:eastAsia="Times New Roman" w:cs="Times New Roman"/>
          <w:lang w:val="en-US" w:bidi="en-US"/>
          <w:color w:val="111111"/>
          <w:sz w:val="28"/>
          <w:szCs w:val="28"/>
          <w:rtl/>
        </w:rPr>
        <w:t xml:space="preserve">bahār-e 'ajam</w:t>
      </w:r>
    </w:p>
    <w:p>
      <w:pPr>
        <w:pStyle w:val="BookText"/>
      </w:pPr>
      <w:r>
        <w:rPr>
          <w:rFonts w:ascii="IRNazanin" w:hAnsi="IRNazanin" w:eastAsia="IRNazanin" w:cs="IRNazanin"/>
          <w:lang w:bidi="fa-IR"/>
          <w:color w:val="111111"/>
          <w:sz w:val="28"/>
          <w:szCs w:val="28"/>
          <w:rtl/>
        </w:rPr>
        <w:t xml:space="preserve">بهار، پیک چند، ق ۱۲ قمری</w:t>
      </w:r>
    </w:p>
    <w:p>
      <w:pPr>
        <w:pStyle w:val="BookText"/>
      </w:pPr>
      <w:r>
        <w:rPr>
          <w:rFonts w:ascii="Times New Roman" w:hAnsi="Times New Roman" w:eastAsia="Times New Roman" w:cs="Times New Roman"/>
          <w:lang w:val="en-US" w:bidi="en-US"/>
          <w:color w:val="111111"/>
          <w:sz w:val="28"/>
          <w:szCs w:val="28"/>
          <w:rtl/>
        </w:rPr>
        <w:t xml:space="preserve">bahār, peyk čand (- 180)</w:t>
      </w:r>
    </w:p>
    <w:p>
      <w:pPr>
        <w:pStyle w:val="BookText"/>
      </w:pPr>
      <w:r>
        <w:rPr>
          <w:rFonts w:ascii="IRNazanin" w:hAnsi="IRNazanin" w:eastAsia="IRNazanin" w:cs="IRNazanin"/>
          <w:lang w:bidi="fa-IR"/>
          <w:color w:val="111111"/>
          <w:sz w:val="28"/>
          <w:szCs w:val="28"/>
          <w:rtl/>
        </w:rPr>
        <w:t xml:space="preserve">تاریخ تأليف: «یادگار حقیر فقیر بهار» = ۱۱۴۹ق</w:t>
      </w:r>
    </w:p>
    <w:p>
      <w:pPr>
        <w:pStyle w:val="BookText"/>
      </w:pPr>
      <w:r>
        <w:rPr>
          <w:rFonts w:ascii="IRNazanin" w:hAnsi="IRNazanin" w:eastAsia="IRNazanin" w:cs="IRNazanin"/>
          <w:lang w:bidi="fa-IR"/>
          <w:color w:val="111111"/>
          <w:sz w:val="28"/>
          <w:szCs w:val="28"/>
          <w:rtl/>
        </w:rPr>
        <w:t xml:space="preserve">در این فرهنگ که به ترتیب آغاز لغات در دو جلد تنظیم شده، واژه ها و الفاظ فارسی با شواهد شعری نسبتا زیاد از شاعران فصيح فارسی قدیم و متأخر، گزارش داده شده است. مؤلف هنگامی که ۵۳ سال از عمرش گذشته بود، به نگارش این فرهنگ پرداخت و از شیخ علی حزین گیلانی در سر آغاز آن با تجلیل به عنوان استادی یاد نموده است.</w:t>
      </w:r>
    </w:p>
    <w:p>
      <w:pPr>
        <w:pStyle w:val="BookText"/>
      </w:pPr>
      <w:r>
        <w:rPr>
          <w:rFonts w:ascii="IRNazanin" w:hAnsi="IRNazanin" w:eastAsia="IRNazanin" w:cs="IRNazanin"/>
          <w:lang w:bidi="fa-IR"/>
          <w:color w:val="111111"/>
          <w:sz w:val="28"/>
          <w:szCs w:val="28"/>
          <w:rtl/>
        </w:rPr>
        <w:t xml:space="preserve">آغاز: سپاس و ستایش داننده را که هر یکی از افراد انسان را باندازه استعداد بتشریف دانش و فرهنگ شرف اختصاص بخشید چاپ: کانپور، سنگی، ۱۳۱۶ق/۱۸۹۸م، چاپ اول، وزیری بزرگ، ۴۰۶ص</w:t>
      </w:r>
    </w:p>
    <w:p>
      <w:pPr>
        <w:pStyle w:val="BookText"/>
      </w:pPr>
      <w:r>
        <w:rPr>
          <w:rFonts w:ascii="IRNazanin" w:hAnsi="IRNazanin" w:eastAsia="IRNazanin" w:cs="IRNazanin"/>
          <w:lang w:bidi="fa-IR"/>
          <w:color w:val="111111"/>
          <w:sz w:val="28"/>
          <w:szCs w:val="28"/>
          <w:rtl/>
        </w:rPr>
        <w:t xml:space="preserve">[دنا ۵۴۶/۲ ؛ مشار فارسی، ج ۲، ص ۱۹۰۱]</w:t>
      </w:r>
    </w:p>
    <w:p>
      <w:pPr>
        <w:pStyle w:val="BookText"/>
      </w:pPr>
      <w:r>
        <w:rPr>
          <w:rFonts w:ascii="IRNazanin" w:hAnsi="IRNazanin" w:eastAsia="IRNazanin" w:cs="IRNazanin"/>
          <w:lang w:bidi="fa-IR"/>
          <w:color w:val="111111"/>
          <w:sz w:val="28"/>
          <w:szCs w:val="28"/>
          <w:rtl/>
        </w:rPr>
        <w:t xml:space="preserve">۱. تهران، دانشگاه؛ شماره نسخه: ۱۴۷۲-ف</w:t>
      </w:r>
    </w:p>
    <w:p>
      <w:pPr>
        <w:pStyle w:val="BookText"/>
      </w:pPr>
      <w:r>
        <w:rPr>
          <w:rFonts w:ascii="IRNazanin" w:hAnsi="IRNazanin" w:eastAsia="IRNazanin" w:cs="IRNazanin"/>
          <w:lang w:bidi="fa-IR"/>
          <w:color w:val="111111"/>
          <w:sz w:val="28"/>
          <w:szCs w:val="28"/>
          <w:rtl/>
        </w:rPr>
        <w:t xml:space="preserve">نسخه اصل: موزه بریتانیا .۲۵۹</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 خط: نستعلیق، بی کا، تا: ۱۱ رمضان ۱۲۵۱ق؛ ۱۴اگ [فیلمها ف: ۱-۲۳]</w:t>
      </w:r>
    </w:p>
    <w:p>
      <w:pPr>
        <w:pStyle w:val="BookText"/>
      </w:pPr>
      <w:r>
        <w:rPr>
          <w:rFonts w:ascii="IRNazanin" w:hAnsi="IRNazanin" w:eastAsia="IRNazanin" w:cs="IRNazanin"/>
          <w:lang w:bidi="fa-IR"/>
          <w:color w:val="111111"/>
          <w:sz w:val="28"/>
          <w:szCs w:val="28"/>
          <w:rtl/>
        </w:rPr>
        <w:t xml:space="preserve">۲. قم؛ مرعشی؛ شماره نسخه: ۵۰۶۳</w:t>
      </w:r>
    </w:p>
    <w:p>
      <w:pPr>
        <w:pStyle w:val="BookText"/>
      </w:pPr>
      <w:r>
        <w:rPr>
          <w:rFonts w:ascii="IRNazanin" w:hAnsi="IRNazanin" w:eastAsia="IRNazanin" w:cs="IRNazanin"/>
          <w:lang w:bidi="fa-IR"/>
          <w:color w:val="111111"/>
          <w:sz w:val="28"/>
          <w:szCs w:val="28"/>
          <w:rtl/>
        </w:rPr>
        <w:t xml:space="preserve">آغاز: برابر؛ انجام: دیل زبان دیلمز نمیدانی دلر چشمش حذر کنند</w:t>
      </w:r>
    </w:p>
    <w:p>
      <w:pPr>
        <w:pStyle w:val="BookText"/>
      </w:pPr>
      <w:r>
        <w:rPr>
          <w:rFonts w:ascii="IRNazanin" w:hAnsi="IRNazanin" w:eastAsia="IRNazanin" w:cs="IRNazanin"/>
          <w:lang w:bidi="fa-IR"/>
          <w:color w:val="111111"/>
          <w:sz w:val="28"/>
          <w:szCs w:val="28"/>
          <w:rtl/>
        </w:rPr>
        <w:t xml:space="preserve">جلد اول کتاب و تا حرف دال می باشد؛ خط: نستعلیق، بی کا، بی تا؛ افتادگی: انجام؛ جلد: مقوایی عطف تیماج قرمز، ۵۶۲گ، ۱۹ سطر، اندازه: 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۱۳- ۲۵۹]</w:t>
      </w:r>
    </w:p>
    <w:p>
      <w:pPr>
        <w:pStyle w:val="Heading3"/>
      </w:pPr>
      <w:bookmarkStart w:id="1065" w:name="_Toc325"/>
      <w:r>
        <w:t>•بهار معنی / نامه نگاری / فارسی</w:t>
      </w:r>
      <w:bookmarkEnd w:id="1065"/>
    </w:p>
    <w:p>
      <w:pPr>
        <w:pStyle w:val="BookText"/>
      </w:pPr>
      <w:r>
        <w:rPr>
          <w:rFonts w:ascii="Times New Roman" w:hAnsi="Times New Roman" w:eastAsia="Times New Roman" w:cs="Times New Roman"/>
          <w:lang w:val="en-US" w:bidi="en-US"/>
          <w:color w:val="111111"/>
          <w:sz w:val="28"/>
          <w:szCs w:val="28"/>
          <w:rtl/>
        </w:rPr>
        <w:t xml:space="preserve">bahār-e ma‘nī</w:t>
      </w:r>
    </w:p>
    <w:p>
      <w:pPr>
        <w:pStyle w:val="BookText"/>
      </w:pPr>
      <w:r>
        <w:rPr>
          <w:rFonts w:ascii="IRNazanin" w:hAnsi="IRNazanin" w:eastAsia="IRNazanin" w:cs="IRNazanin"/>
          <w:lang w:bidi="fa-IR"/>
          <w:color w:val="111111"/>
          <w:sz w:val="28"/>
          <w:szCs w:val="28"/>
          <w:rtl/>
        </w:rPr>
        <w:t xml:space="preserve">اندرجیت منشی، ق ۱۲ قمری</w:t>
      </w:r>
    </w:p>
    <w:p>
      <w:pPr>
        <w:pStyle w:val="BookText"/>
      </w:pPr>
      <w:r>
        <w:rPr>
          <w:rFonts w:ascii="Times New Roman" w:hAnsi="Times New Roman" w:eastAsia="Times New Roman" w:cs="Times New Roman"/>
          <w:lang w:val="en-US" w:bidi="en-US"/>
          <w:color w:val="111111"/>
          <w:sz w:val="28"/>
          <w:szCs w:val="28"/>
          <w:rtl/>
        </w:rPr>
        <w:t xml:space="preserve">andarjīt-e monšī (- 18c)</w:t>
      </w:r>
    </w:p>
    <w:p>
      <w:pPr>
        <w:pStyle w:val="BookText"/>
      </w:pPr>
      <w:r>
        <w:rPr>
          <w:rFonts w:ascii="IRNazanin" w:hAnsi="IRNazanin" w:eastAsia="IRNazanin" w:cs="IRNazanin"/>
          <w:lang w:bidi="fa-IR"/>
          <w:color w:val="111111"/>
          <w:sz w:val="28"/>
          <w:szCs w:val="28"/>
          <w:rtl/>
        </w:rPr>
        <w:t xml:space="preserve">مکاتیب و منشآت اندرجیت دهر هندی متوطن قصبه بكودر که مدتی در لاهور سمت منشیگری محمد عالم خان را داشته و در اصل این نسخه را ضمیمه غزلیات خود کرده بوده است.</w:t>
      </w:r>
    </w:p>
    <w:p>
      <w:pPr>
        <w:pStyle w:val="BookText"/>
      </w:pPr>
      <w:r>
        <w:rPr>
          <w:rFonts w:ascii="IRNazanin" w:hAnsi="IRNazanin" w:eastAsia="IRNazanin" w:cs="IRNazanin"/>
          <w:lang w:bidi="fa-IR"/>
          <w:color w:val="111111"/>
          <w:sz w:val="28"/>
          <w:szCs w:val="28"/>
          <w:rtl/>
        </w:rPr>
        <w:t xml:space="preserve">[دنا ۵۴۶/۲ ]</w:t>
      </w:r>
    </w:p>
    <w:p>
      <w:pPr>
        <w:pStyle w:val="BookText"/>
      </w:pPr>
      <w:r>
        <w:rPr>
          <w:rFonts w:ascii="IRNazanin" w:hAnsi="IRNazanin" w:eastAsia="IRNazanin" w:cs="IRNazanin"/>
          <w:lang w:bidi="fa-IR"/>
          <w:color w:val="111111"/>
          <w:sz w:val="28"/>
          <w:szCs w:val="28"/>
          <w:rtl/>
        </w:rPr>
        <w:t xml:space="preserve">مشهد؛ رضوی؛ شماره نسخه: ۷۱۳۳</w:t>
      </w:r>
    </w:p>
    <w:p>
      <w:pPr>
        <w:pStyle w:val="BookText"/>
      </w:pPr>
      <w:r>
        <w:rPr>
          <w:rFonts w:ascii="IRNazanin" w:hAnsi="IRNazanin" w:eastAsia="IRNazanin" w:cs="IRNazanin"/>
          <w:lang w:bidi="fa-IR"/>
          <w:color w:val="111111"/>
          <w:sz w:val="28"/>
          <w:szCs w:val="28"/>
          <w:rtl/>
        </w:rPr>
        <w:t xml:space="preserve">آغاز: بسمله، جوهر تيغ زبانهای نغمه طرازان انجمن صورت و فروغ آینه دلهای پرده شناسان خلوتکده معنی؛ انجام: بدستیاری خامه اعجاز رقم از گلستان تفکر چیده برشته عبارت دلاویز و استعارت لطافت.</w:t>
      </w:r>
    </w:p>
    <w:p>
      <w:pPr>
        <w:pStyle w:val="BookText"/>
      </w:pPr>
      <w:r>
        <w:rPr>
          <w:rFonts w:ascii="IRNazanin" w:hAnsi="IRNazanin" w:eastAsia="IRNazanin" w:cs="IRNazanin"/>
          <w:lang w:bidi="fa-IR"/>
          <w:color w:val="111111"/>
          <w:sz w:val="28"/>
          <w:szCs w:val="28"/>
          <w:rtl/>
        </w:rPr>
        <w:t xml:space="preserve">فقط شامل منشآت؛ خط: نستعلیق هندی، بی کا، تا: قرن ۱۲؛ افتادگی: انجام؛ کاغذ: نخودی، جلد: پارچه ای، ۸۳گ، ۱۳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۱۸/۴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۱۱/۸ سم [ف: ۷-۲۲۱]</w:t>
      </w:r>
    </w:p>
    <w:p>
      <w:pPr>
        <w:pStyle w:val="Heading3"/>
      </w:pPr>
      <w:bookmarkStart w:id="1066" w:name="_Toc326"/>
      <w:r>
        <w:t>•بهار نامه / ادبیات فارسی</w:t>
      </w:r>
      <w:bookmarkEnd w:id="1066"/>
    </w:p>
    <w:p>
      <w:pPr>
        <w:pStyle w:val="BookText"/>
      </w:pPr>
      <w:r>
        <w:rPr>
          <w:rFonts w:ascii="Times New Roman" w:hAnsi="Times New Roman" w:eastAsia="Times New Roman" w:cs="Times New Roman"/>
          <w:lang w:val="en-US" w:bidi="en-US"/>
          <w:color w:val="111111"/>
          <w:sz w:val="28"/>
          <w:szCs w:val="28"/>
          <w:rtl/>
        </w:rPr>
        <w:t xml:space="preserve">bahār-nāme</w:t>
      </w:r>
    </w:p>
    <w:p>
      <w:pPr>
        <w:pStyle w:val="BookText"/>
      </w:pPr>
      <w:r>
        <w:rPr>
          <w:rFonts w:ascii="IRNazanin" w:hAnsi="IRNazanin" w:eastAsia="IRNazanin" w:cs="IRNazanin"/>
          <w:lang w:bidi="fa-IR"/>
          <w:color w:val="111111"/>
          <w:sz w:val="28"/>
          <w:szCs w:val="28"/>
          <w:rtl/>
        </w:rPr>
        <w:t xml:space="preserve">وصاف الحضره، عبدالله بن فضل الله، ۶۶۳-۷۳۰؟ قمری</w:t>
      </w:r>
    </w:p>
    <w:p>
      <w:pPr>
        <w:pStyle w:val="BookText"/>
      </w:pPr>
      <w:r>
        <w:rPr>
          <w:rFonts w:ascii="Times New Roman" w:hAnsi="Times New Roman" w:eastAsia="Times New Roman" w:cs="Times New Roman"/>
          <w:lang w:val="en-US" w:bidi="en-US"/>
          <w:color w:val="111111"/>
          <w:sz w:val="28"/>
          <w:szCs w:val="28"/>
          <w:rtl/>
        </w:rPr>
        <w:t xml:space="preserve">vassāf-ol-hazra, “abd-ol-lāh ebn-e fazl-ol-lāh (1265 1330)</w:t>
      </w:r>
    </w:p>
    <w:p>
      <w:pPr>
        <w:pStyle w:val="BookText"/>
      </w:pPr>
      <w:r>
        <w:rPr>
          <w:rFonts w:ascii="IRNazanin" w:hAnsi="IRNazanin" w:eastAsia="IRNazanin" w:cs="IRNazanin"/>
          <w:lang w:bidi="fa-IR"/>
          <w:color w:val="111111"/>
          <w:sz w:val="28"/>
          <w:szCs w:val="28"/>
          <w:rtl/>
        </w:rPr>
        <w:t xml:space="preserve">آغاز: الحمد لله الذي يعيد الخضرة في العود اليابس من بعد فوتها و بآثار رحمته يحيى الأرض بعد موتها يزين عرصات العالم بانوار انوار الربيع و يهيج البلابل من لواعج اشواق الورد البديع ... اما بعد بر عاقله عقلای عالم پوشیده نماند که هر موجودی وحدانیت موجد را بنیتی وافی و مقیاسی کافی و دلیلی قاطع و برهانی ساطع است</w:t>
      </w:r>
    </w:p>
    <w:p>
      <w:pPr>
        <w:pStyle w:val="BookText"/>
      </w:pPr>
      <w:r>
        <w:rPr>
          <w:rFonts w:ascii="IRNazanin" w:hAnsi="IRNazanin" w:eastAsia="IRNazanin" w:cs="IRNazanin"/>
          <w:lang w:bidi="fa-IR"/>
          <w:color w:val="111111"/>
          <w:sz w:val="28"/>
          <w:szCs w:val="28"/>
          <w:rtl/>
        </w:rPr>
        <w:t xml:space="preserve">چاپ: با تحقیق عليرضا قوجه زاده، در میراث بهارستان، دفتر دوم، صص ۱۲۱-۱۵۴، تهران، کتابخانه مجلس شورای اسلامی، ۱۳۸۸ ش</w:t>
      </w:r>
    </w:p>
    <w:p>
      <w:pPr>
        <w:pStyle w:val="BookText"/>
      </w:pPr>
      <w:r>
        <w:rPr>
          <w:rFonts w:ascii="IRNazanin" w:hAnsi="IRNazanin" w:eastAsia="IRNazanin" w:cs="IRNazanin"/>
          <w:lang w:bidi="fa-IR"/>
          <w:color w:val="111111"/>
          <w:sz w:val="28"/>
          <w:szCs w:val="28"/>
          <w:rtl/>
        </w:rPr>
        <w:t xml:space="preserve">تهران؛ دانشگاه؛ شماره نسخه: ۱۱۲/۵ -ف</w:t>
      </w:r>
    </w:p>
    <w:p>
      <w:pPr>
        <w:pStyle w:val="BookText"/>
      </w:pPr>
      <w:r>
        <w:rPr>
          <w:rFonts w:ascii="IRNazanin" w:hAnsi="IRNazanin" w:eastAsia="IRNazanin" w:cs="IRNazanin"/>
          <w:lang w:bidi="fa-IR"/>
          <w:color w:val="111111"/>
          <w:sz w:val="28"/>
          <w:szCs w:val="28"/>
          <w:rtl/>
        </w:rPr>
        <w:t xml:space="preserve">نسخه اصل: ایاصوفيا ش ۲۶۲۰؛ خط: نستعلیق، بی کا، تا: ۸۷۴ق؛ ۲۷گ (۶۴-۹۰)، ۱۲ سطر [فيلمها ف: ۱-۴۱۱]</w:t>
      </w:r>
    </w:p>
    <w:p>
      <w:pPr>
        <w:pStyle w:val="BookText"/>
      </w:pPr>
      <w:r>
        <w:rPr>
          <w:rFonts w:ascii="IRNazanin" w:hAnsi="IRNazanin" w:eastAsia="IRNazanin" w:cs="IRNazanin"/>
          <w:lang w:bidi="fa-IR"/>
          <w:color w:val="111111"/>
          <w:sz w:val="28"/>
          <w:szCs w:val="28"/>
          <w:rtl/>
        </w:rPr>
        <w:t xml:space="preserve">← بهار و خزان ← پیر و جوان</w:t>
      </w:r>
    </w:p>
    <w:p>
      <w:pPr>
        <w:pStyle w:val="Heading3"/>
      </w:pPr>
      <w:bookmarkStart w:id="1067" w:name="_Toc327"/>
      <w:r>
        <w:t>•بهار و خزان / شعر / فارسی</w:t>
      </w:r>
      <w:bookmarkEnd w:id="1067"/>
    </w:p>
    <w:p>
      <w:pPr>
        <w:pStyle w:val="BookText"/>
      </w:pPr>
      <w:r>
        <w:rPr>
          <w:rFonts w:ascii="Times New Roman" w:hAnsi="Times New Roman" w:eastAsia="Times New Roman" w:cs="Times New Roman"/>
          <w:lang w:val="en-US" w:bidi="en-US"/>
          <w:color w:val="111111"/>
          <w:sz w:val="28"/>
          <w:szCs w:val="28"/>
          <w:rtl/>
        </w:rPr>
        <w:t xml:space="preserve">bahār va xazān</w:t>
      </w:r>
    </w:p>
    <w:p>
      <w:pPr>
        <w:pStyle w:val="BookText"/>
      </w:pPr>
      <w:r>
        <w:rPr>
          <w:rFonts w:ascii="IRNazanin" w:hAnsi="IRNazanin" w:eastAsia="IRNazanin" w:cs="IRNazanin"/>
          <w:lang w:bidi="fa-IR"/>
          <w:color w:val="111111"/>
          <w:sz w:val="28"/>
          <w:szCs w:val="28"/>
          <w:rtl/>
        </w:rPr>
        <w:t xml:space="preserve">مجتهد بروجردی، اسدالله بن زین العابدین، ق۱۳ قمری</w:t>
      </w:r>
    </w:p>
    <w:p>
      <w:pPr>
        <w:pStyle w:val="BookText"/>
      </w:pPr>
      <w:r>
        <w:rPr>
          <w:rFonts w:ascii="Times New Roman" w:hAnsi="Times New Roman" w:eastAsia="Times New Roman" w:cs="Times New Roman"/>
          <w:lang w:val="en-US" w:bidi="en-US"/>
          <w:color w:val="111111"/>
          <w:sz w:val="28"/>
          <w:szCs w:val="28"/>
          <w:rtl/>
        </w:rPr>
        <w:t xml:space="preserve">ebn-e zayn-ol mojtahed-e borūjerdī, asad-ol-lāh abedin (- 19c)</w:t>
      </w:r>
    </w:p>
    <w:p>
      <w:pPr>
        <w:pStyle w:val="BookText"/>
      </w:pPr>
      <w:r>
        <w:rPr>
          <w:rFonts w:ascii="IRNazanin" w:hAnsi="IRNazanin" w:eastAsia="IRNazanin" w:cs="IRNazanin"/>
          <w:lang w:bidi="fa-IR"/>
          <w:color w:val="111111"/>
          <w:sz w:val="28"/>
          <w:szCs w:val="28"/>
          <w:rtl/>
        </w:rPr>
        <w:t xml:space="preserve">منظومه ای است در ۹۹ بیت</w:t>
      </w:r>
    </w:p>
    <w:p>
      <w:pPr>
        <w:pStyle w:val="BookText"/>
      </w:pPr>
      <w:r>
        <w:rPr>
          <w:rFonts w:ascii="IRNazanin" w:hAnsi="IRNazanin" w:eastAsia="IRNazanin" w:cs="IRNazanin"/>
          <w:lang w:bidi="fa-IR"/>
          <w:color w:val="111111"/>
          <w:sz w:val="28"/>
          <w:szCs w:val="28"/>
          <w:rtl/>
        </w:rPr>
        <w:t xml:space="preserve">آغاز: دلا برخیز کا یام بهار است***ترشحهای ابر از هر کنار است اصلا زن ای صبا یوسف رخان را *** صلای عام زن پیر و جوان را</w:t>
      </w:r>
    </w:p>
    <w:p>
      <w:pPr>
        <w:pStyle w:val="BookText"/>
      </w:pPr>
      <w:r>
        <w:rPr>
          <w:rFonts w:ascii="IRNazanin" w:hAnsi="IRNazanin" w:eastAsia="IRNazanin" w:cs="IRNazanin"/>
          <w:lang w:bidi="fa-IR"/>
          <w:color w:val="111111"/>
          <w:sz w:val="28"/>
          <w:szCs w:val="28"/>
          <w:rtl/>
        </w:rPr>
        <w:t xml:space="preserve">انجام: خزان بگذشت سالک لب فروبند***دل عشاق را بگذار خورسند</w:t>
      </w:r>
    </w:p>
    <w:p>
      <w:pPr>
        <w:pStyle w:val="BookText"/>
      </w:pPr>
      <w:r>
        <w:rPr>
          <w:rFonts w:ascii="IRNazanin" w:hAnsi="IRNazanin" w:eastAsia="IRNazanin" w:cs="IRNazanin"/>
          <w:lang w:bidi="fa-IR"/>
          <w:color w:val="111111"/>
          <w:sz w:val="28"/>
          <w:szCs w:val="28"/>
          <w:rtl/>
        </w:rPr>
        <w:t xml:space="preserve">[دنا ۵۴۷/۲ ؛ فهرستواره ۳۷۶/۱۰ ]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10" w:name="pg20363_209293"/>
    <w:bookmarkEnd w:id="110"/>
    <w:p>
      <w:pPr>
        <w:pStyle w:val="BookText"/>
      </w:pPr>
      <w:r>
        <w:rPr>
          <w:rFonts w:ascii="IRNazanin" w:hAnsi="IRNazanin" w:eastAsia="IRNazanin" w:cs="IRNazanin"/>
          <w:lang w:bidi="fa-IR"/>
          <w:color w:val="111111"/>
          <w:sz w:val="28"/>
          <w:szCs w:val="28"/>
          <w:rtl/>
        </w:rPr>
        <w:t xml:space="preserve">۱. تهران؛ مجلس؛ شماره نسخه: ۱۵۵۷۷/۲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کاتب = مؤلف، تا: جمادی الثانی ۱۲۹۴ق؛ جلد: چرم قهوه ای روشن ضربی ترنج و سر ترنج دار، ۴ گ (9ر - ۱۲ر)، ۱۵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۴۳-۱۷۱]</w:t>
      </w:r>
    </w:p>
    <w:p>
      <w:pPr>
        <w:pStyle w:val="BookText"/>
      </w:pPr>
      <w:r>
        <w:rPr>
          <w:rFonts w:ascii="IRNazanin" w:hAnsi="IRNazanin" w:eastAsia="IRNazanin" w:cs="IRNazanin"/>
          <w:lang w:bidi="fa-IR"/>
          <w:color w:val="111111"/>
          <w:sz w:val="28"/>
          <w:szCs w:val="28"/>
          <w:rtl/>
        </w:rPr>
        <w:t xml:space="preserve">۲. تهران؛ ملک؛ شماره نسخه: ۶۱۹۶/۲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فضل الله بن آخوند ملازین العابدین بروجردی ملقب به شمس العلماء، تا: جمادی الاول ۱۳۱۴ق؛ کاغذ: فرنگی، جلد: قهوه ای لایی، اگ (۸پور)، ۲۵ سطر، اندازه: ۱۰/۸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۱۷/۷ سم [ف: ۹-۲۴۵]</w:t>
      </w:r>
    </w:p>
    <w:p>
      <w:pPr>
        <w:pStyle w:val="Heading3"/>
      </w:pPr>
      <w:bookmarkStart w:id="1068" w:name="_Toc328"/>
      <w:r>
        <w:t>•بهار و خزان / شعر، تاریخ معصومین / فارسی</w:t>
      </w:r>
      <w:bookmarkEnd w:id="1068"/>
    </w:p>
    <w:p>
      <w:pPr>
        <w:pStyle w:val="BookText"/>
      </w:pPr>
      <w:r>
        <w:rPr>
          <w:rFonts w:ascii="Times New Roman" w:hAnsi="Times New Roman" w:eastAsia="Times New Roman" w:cs="Times New Roman"/>
          <w:lang w:val="en-US" w:bidi="en-US"/>
          <w:color w:val="111111"/>
          <w:sz w:val="28"/>
          <w:szCs w:val="28"/>
          <w:rtl/>
        </w:rPr>
        <w:t xml:space="preserve">bahār va xazān</w:t>
      </w:r>
    </w:p>
    <w:p>
      <w:pPr>
        <w:pStyle w:val="BookText"/>
      </w:pPr>
      <w:r>
        <w:rPr>
          <w:rFonts w:ascii="IRNazanin" w:hAnsi="IRNazanin" w:eastAsia="IRNazanin" w:cs="IRNazanin"/>
          <w:lang w:bidi="fa-IR"/>
          <w:color w:val="111111"/>
          <w:sz w:val="28"/>
          <w:szCs w:val="28"/>
          <w:rtl/>
        </w:rPr>
        <w:t xml:space="preserve">خوانساری، احمد بن محمد رضا، -۱۳۲۳ قمری</w:t>
      </w:r>
    </w:p>
    <w:p>
      <w:pPr>
        <w:pStyle w:val="BookText"/>
      </w:pPr>
      <w:r>
        <w:rPr>
          <w:rFonts w:ascii="Times New Roman" w:hAnsi="Times New Roman" w:eastAsia="Times New Roman" w:cs="Times New Roman"/>
          <w:lang w:val="en-US" w:bidi="en-US"/>
          <w:color w:val="111111"/>
          <w:sz w:val="28"/>
          <w:szCs w:val="28"/>
          <w:rtl/>
        </w:rPr>
        <w:t xml:space="preserve">xānsārī, ahmad ebn-e mohammad rezā (- 1905)</w:t>
      </w:r>
    </w:p>
    <w:p>
      <w:pPr>
        <w:pStyle w:val="BookText"/>
      </w:pPr>
      <w:r>
        <w:rPr>
          <w:rFonts w:ascii="IRNazanin" w:hAnsi="IRNazanin" w:eastAsia="IRNazanin" w:cs="IRNazanin"/>
          <w:lang w:bidi="fa-IR"/>
          <w:color w:val="111111"/>
          <w:sz w:val="28"/>
          <w:szCs w:val="28"/>
          <w:rtl/>
        </w:rPr>
        <w:t xml:space="preserve">در سوگواری و منقبت خاندان پیامبر آمیخته با داستان یوسف و زلیخا. در آغاز نسخه ما آمده: «المجلد الثالث من مجلدات تذکره المصائب في المناقب و المصائب من آل ابی طالب و هو الموسوم بافارسیه بهار و خزان من مؤلفات و المتملکات اقل الذرات احمد بن محمد رضا الخوانساري المتخلص بمنظور» آغاز: حمد بيحمد مرخدا ای را سزاست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کویری از صفات ناسزا است / خالقی کز کاف و نون کرده عیان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سطح ارض و طارم هفت آسمان</w:t>
      </w:r>
    </w:p>
    <w:p>
      <w:pPr>
        <w:pStyle w:val="BookText"/>
      </w:pPr>
      <w:r>
        <w:rPr>
          <w:rFonts w:ascii="IRNazanin" w:hAnsi="IRNazanin" w:eastAsia="IRNazanin" w:cs="IRNazanin"/>
          <w:lang w:bidi="fa-IR"/>
          <w:color w:val="111111"/>
          <w:sz w:val="28"/>
          <w:szCs w:val="28"/>
          <w:rtl/>
        </w:rPr>
        <w:t xml:space="preserve">انجام: فرس (؟) بود سازم بیان آن داستان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از برای عاشقان صادقان</w:t>
      </w:r>
    </w:p>
    <w:p>
      <w:pPr>
        <w:pStyle w:val="BookText"/>
      </w:pPr>
      <w:r>
        <w:rPr>
          <w:rFonts w:ascii="IRNazanin" w:hAnsi="IRNazanin" w:eastAsia="IRNazanin" w:cs="IRNazanin"/>
          <w:lang w:bidi="fa-IR"/>
          <w:color w:val="111111"/>
          <w:sz w:val="28"/>
          <w:szCs w:val="28"/>
          <w:rtl/>
        </w:rPr>
        <w:t xml:space="preserve">[ دنا ۵۴۷/۲ ؛ فهرستواره منزوی ۱۵۶۳/۳ و ۳۷۷/۱۰ ؛ الذریعه ۱۱۱۱/۹ ]</w:t>
      </w:r>
    </w:p>
    <w:p>
      <w:pPr>
        <w:pStyle w:val="BookText"/>
      </w:pPr>
      <w:r>
        <w:rPr>
          <w:rFonts w:ascii="IRNazanin" w:hAnsi="IRNazanin" w:eastAsia="IRNazanin" w:cs="IRNazanin"/>
          <w:lang w:bidi="fa-IR"/>
          <w:color w:val="111111"/>
          <w:sz w:val="28"/>
          <w:szCs w:val="28"/>
          <w:rtl/>
        </w:rPr>
        <w:t xml:space="preserve">تهران؛ دانشگاه؛ شماره نسخه: ۲۸۴۱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کاتب = مؤلف، بی تا؛ مجدول؛ تاریخ تولد ۱۲۸۳ و ۱۲۸۶ در صفحه عنوان کاغذ: فرنگی، جلد: تیماج مشکی، ۴۸گ، ۱۵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۱۰-۱۶۸۵]</w:t>
      </w:r>
    </w:p>
    <w:p>
      <w:pPr>
        <w:pStyle w:val="Heading3"/>
      </w:pPr>
      <w:bookmarkStart w:id="1069" w:name="_Toc329"/>
      <w:r>
        <w:t>•بهار هجران / ادبیات فارسی</w:t>
      </w:r>
      <w:bookmarkEnd w:id="1069"/>
    </w:p>
    <w:p>
      <w:pPr>
        <w:pStyle w:val="BookText"/>
      </w:pPr>
      <w:r>
        <w:rPr>
          <w:rFonts w:ascii="Times New Roman" w:hAnsi="Times New Roman" w:eastAsia="Times New Roman" w:cs="Times New Roman"/>
          <w:lang w:val="en-US" w:bidi="en-US"/>
          <w:color w:val="111111"/>
          <w:sz w:val="28"/>
          <w:szCs w:val="28"/>
          <w:rtl/>
        </w:rPr>
        <w:t xml:space="preserve">bahār-e hejrān</w:t>
      </w:r>
    </w:p>
    <w:p>
      <w:pPr>
        <w:pStyle w:val="BookText"/>
      </w:pPr>
      <w:r>
        <w:rPr>
          <w:rFonts w:ascii="IRNazanin" w:hAnsi="IRNazanin" w:eastAsia="IRNazanin" w:cs="IRNazanin"/>
          <w:lang w:bidi="fa-IR"/>
          <w:color w:val="111111"/>
          <w:sz w:val="28"/>
          <w:szCs w:val="28"/>
          <w:rtl/>
        </w:rPr>
        <w:t xml:space="preserve">اختر هو گلوی، محمد صادق خان، ق۱۳ قمری</w:t>
      </w:r>
    </w:p>
    <w:p>
      <w:pPr>
        <w:pStyle w:val="BookText"/>
      </w:pPr>
      <w:r>
        <w:rPr>
          <w:rFonts w:ascii="Times New Roman" w:hAnsi="Times New Roman" w:eastAsia="Times New Roman" w:cs="Times New Roman"/>
          <w:lang w:val="en-US" w:bidi="en-US"/>
          <w:color w:val="111111"/>
          <w:sz w:val="28"/>
          <w:szCs w:val="28"/>
          <w:rtl/>
        </w:rPr>
        <w:t xml:space="preserve">axtar hūglavy, mohammad sādeq xān (- 19c)</w:t>
      </w:r>
    </w:p>
    <w:p>
      <w:pPr>
        <w:pStyle w:val="BookText"/>
      </w:pPr>
      <w:r>
        <w:rPr>
          <w:rFonts w:ascii="IRNazanin" w:hAnsi="IRNazanin" w:eastAsia="IRNazanin" w:cs="IRNazanin"/>
          <w:lang w:bidi="fa-IR"/>
          <w:color w:val="111111"/>
          <w:sz w:val="28"/>
          <w:szCs w:val="28"/>
          <w:rtl/>
        </w:rPr>
        <w:t xml:space="preserve">از «مخزن الجواهر» و انشائی به نام «هفت اختر» و «نور الانشاء» و آفتاب عالم تاب» او یاد شده است. در آغاز نام مؤلف و عنوان سوگ جنگ متخلص به حسین شاه جهان نوری و شاه غلام اعظم محمدی افل پسر شاه اجمل الله آبادی ستایش شده است. در دو تقریظ و ستایش که از آن کرده اند (نسخه ما) دو ماده تاریخ دیده می شود: ۱. دیدمش چو بهار هجران گفت حسین سال تصنيف «ماه اوج اختر» (۱۳۵۷)؛ ۲. گزیی تاریخ ترتیبش رقم كن افضلا***ای بود قایم بهار هجران صادقی</w:t>
      </w:r>
    </w:p>
    <w:p>
      <w:pPr>
        <w:pStyle w:val="BookText"/>
      </w:pPr>
      <w:r>
        <w:rPr>
          <w:rFonts w:ascii="IRNazanin" w:hAnsi="IRNazanin" w:eastAsia="IRNazanin" w:cs="IRNazanin"/>
          <w:lang w:bidi="fa-IR"/>
          <w:color w:val="111111"/>
          <w:sz w:val="28"/>
          <w:szCs w:val="28"/>
          <w:rtl/>
        </w:rPr>
        <w:t xml:space="preserve">تهران؛ دانشگاه؛ شماره نسخه: ۸۰۱۲</w:t>
      </w:r>
    </w:p>
    <w:p>
      <w:pPr>
        <w:pStyle w:val="BookText"/>
      </w:pPr>
      <w:r>
        <w:rPr>
          <w:rFonts w:ascii="IRNazanin" w:hAnsi="IRNazanin" w:eastAsia="IRNazanin" w:cs="IRNazanin"/>
          <w:lang w:bidi="fa-IR"/>
          <w:color w:val="111111"/>
          <w:sz w:val="28"/>
          <w:szCs w:val="28"/>
          <w:rtl/>
        </w:rPr>
        <w:t xml:space="preserve">آغاز: بسمله، چیدن گل خیر از بهارستان و ثنای نخل بند حديقه کون و مکان که ذاتش چون بوی گل در پرده نمک نهان به صفاتش گلشن طراز میر مکی بزم امکان انجام: امید از فیض و امتنان نخل بند حدایق امکان آنست که گلستان باطن ارباب ذوق ازین بهار هجران قضاوت پذیرد و بوستان دل اصحاب شوق از نسیم فرح افزایش طراوت گیر باد بحرمة سيدنا محمد الذي نور وجهه تجليات الجمال و الحمدلله العزيز المتعال.</w:t>
      </w:r>
    </w:p>
    <w:p>
      <w:pPr>
        <w:pStyle w:val="BookText"/>
      </w:pPr>
      <w:r>
        <w:rPr>
          <w:rFonts w:ascii="IRNazanin" w:hAnsi="IRNazanin" w:eastAsia="IRNazanin" w:cs="IRNazanin"/>
          <w:lang w:bidi="fa-IR"/>
          <w:color w:val="111111"/>
          <w:sz w:val="28"/>
          <w:szCs w:val="28"/>
          <w:rtl/>
        </w:rPr>
        <w:t xml:space="preserve">خط: نستعلیق، بی کا، تا: قرن ۱۳؛ مجدول؛ کاغذ: فرنگی، جلد: گالینگور عطف تیماج قهوه ای زرکوب نو، ۵۱گ، ۱۵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قطع: ربعی،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۱۷-۷]</w:t>
      </w:r>
    </w:p>
    <w:p>
      <w:pPr>
        <w:pStyle w:val="BookText"/>
      </w:pPr>
      <w:r>
        <w:rPr>
          <w:rFonts w:ascii="IRNazanin" w:hAnsi="IRNazanin" w:eastAsia="IRNazanin" w:cs="IRNazanin"/>
          <w:lang w:bidi="fa-IR"/>
          <w:color w:val="111111"/>
          <w:sz w:val="28"/>
          <w:szCs w:val="28"/>
          <w:rtl/>
        </w:rPr>
        <w:t xml:space="preserve">← بهاریات ← مشابهات</w:t>
      </w:r>
    </w:p>
    <w:p>
      <w:pPr>
        <w:pStyle w:val="BookText"/>
      </w:pPr>
      <w:r>
        <w:rPr>
          <w:rFonts w:ascii="IRNazanin" w:hAnsi="IRNazanin" w:eastAsia="IRNazanin" w:cs="IRNazanin"/>
          <w:lang w:bidi="fa-IR"/>
          <w:color w:val="111111"/>
          <w:sz w:val="28"/>
          <w:szCs w:val="28"/>
          <w:rtl/>
        </w:rPr>
        <w:t xml:space="preserve">← بهاریه ← پیر و جوان</w:t>
      </w:r>
    </w:p>
    <w:p>
      <w:pPr>
        <w:pStyle w:val="Heading3"/>
      </w:pPr>
      <w:bookmarkStart w:id="1070" w:name="_Toc330"/>
      <w:r>
        <w:t>•بهاریه / شعر / فارسی</w:t>
      </w:r>
      <w:bookmarkEnd w:id="1070"/>
    </w:p>
    <w:p>
      <w:pPr>
        <w:pStyle w:val="BookText"/>
      </w:pPr>
      <w:r>
        <w:rPr>
          <w:rFonts w:ascii="Times New Roman" w:hAnsi="Times New Roman" w:eastAsia="Times New Roman" w:cs="Times New Roman"/>
          <w:lang w:val="en-US" w:bidi="en-US"/>
          <w:color w:val="111111"/>
          <w:sz w:val="28"/>
          <w:szCs w:val="28"/>
          <w:rtl/>
        </w:rPr>
        <w:t xml:space="preserve">bahārīye</w:t>
      </w:r>
    </w:p>
    <w:p>
      <w:pPr>
        <w:pStyle w:val="BookText"/>
      </w:pPr>
      <w:r>
        <w:rPr>
          <w:rFonts w:ascii="IRNazanin" w:hAnsi="IRNazanin" w:eastAsia="IRNazanin" w:cs="IRNazanin"/>
          <w:lang w:bidi="fa-IR"/>
          <w:color w:val="111111"/>
          <w:sz w:val="28"/>
          <w:szCs w:val="28"/>
          <w:rtl/>
        </w:rPr>
        <w:t xml:space="preserve">مختاری غزنوی، عثمان بن عمر، ۴۷۴-۵۵۴ ؟ قمری</w:t>
      </w:r>
    </w:p>
    <w:p>
      <w:pPr>
        <w:pStyle w:val="BookText"/>
      </w:pPr>
      <w:r>
        <w:rPr>
          <w:rFonts w:ascii="Times New Roman" w:hAnsi="Times New Roman" w:eastAsia="Times New Roman" w:cs="Times New Roman"/>
          <w:lang w:val="en-US" w:bidi="en-US"/>
          <w:color w:val="111111"/>
          <w:sz w:val="28"/>
          <w:szCs w:val="28"/>
          <w:rtl/>
        </w:rPr>
        <w:t xml:space="preserve">moxtārī qaznavī, ‘osmān ebn-e ‘omar (1082-1160)</w:t>
      </w:r>
    </w:p>
    <w:p>
      <w:pPr>
        <w:pStyle w:val="BookText"/>
      </w:pPr>
      <w:r>
        <w:rPr>
          <w:rFonts w:ascii="IRNazanin" w:hAnsi="IRNazanin" w:eastAsia="IRNazanin" w:cs="IRNazanin"/>
          <w:lang w:bidi="fa-IR"/>
          <w:color w:val="111111"/>
          <w:sz w:val="28"/>
          <w:szCs w:val="28"/>
          <w:rtl/>
        </w:rPr>
        <w:t xml:space="preserve">آغاز: بهار آمد و گل ز گلبن دمید*** دگر تا به بلبل چه خواهد رسید انجام: مبر نام من گفتی ای نامور*** بیادم نماندست حرفی دگر</w:t>
      </w:r>
    </w:p>
    <w:p>
      <w:pPr>
        <w:pStyle w:val="BookText"/>
      </w:pPr>
      <w:r>
        <w:rPr>
          <w:rFonts w:ascii="IRNazanin" w:hAnsi="IRNazanin" w:eastAsia="IRNazanin" w:cs="IRNazanin"/>
          <w:lang w:bidi="fa-IR"/>
          <w:color w:val="111111"/>
          <w:sz w:val="28"/>
          <w:szCs w:val="28"/>
          <w:rtl/>
        </w:rPr>
        <w:t xml:space="preserve">مشهد؛ رضوی؛ شماره نسخه: ۱۰۹۲۱/۵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ریز متوسط، كا: فرج الله، تا: ۱۲۹۲ق؛ کاغذ: شکری آهار مهره، جلد: دو رویه، رو گل و بوته رنگ و روغنی، داخل گل و برگهای اسلیمی بر روی زمینه لاکی، ۱۲ سطر، اندازه: 12</w:t>
      </w: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سم [9-259]</w:t>
      </w:r>
    </w:p>
    <w:p>
      <w:pPr>
        <w:pStyle w:val="Heading3"/>
      </w:pPr>
      <w:bookmarkStart w:id="1071" w:name="_Toc331"/>
      <w:r>
        <w:t>•بهاریه = خزان و بهار / شعر / فارسی</w:t>
      </w:r>
      <w:bookmarkEnd w:id="1071"/>
    </w:p>
    <w:p>
      <w:pPr>
        <w:pStyle w:val="BookText"/>
      </w:pPr>
      <w:r>
        <w:rPr>
          <w:rFonts w:ascii="Times New Roman" w:hAnsi="Times New Roman" w:eastAsia="Times New Roman" w:cs="Times New Roman"/>
          <w:lang w:val="en-US" w:bidi="en-US"/>
          <w:color w:val="111111"/>
          <w:sz w:val="28"/>
          <w:szCs w:val="28"/>
          <w:rtl/>
        </w:rPr>
        <w:t xml:space="preserve">bahārīye = xazān va bahār</w:t>
      </w:r>
    </w:p>
    <w:p>
      <w:pPr>
        <w:pStyle w:val="BookText"/>
      </w:pPr>
      <w:r>
        <w:rPr>
          <w:rFonts w:ascii="IRNazanin" w:hAnsi="IRNazanin" w:eastAsia="IRNazanin" w:cs="IRNazanin"/>
          <w:lang w:bidi="fa-IR"/>
          <w:color w:val="111111"/>
          <w:sz w:val="28"/>
          <w:szCs w:val="28"/>
          <w:rtl/>
        </w:rPr>
        <w:t xml:space="preserve">ظهوری ترشیزی، نورالدین محمد، -۱۰۲۶؟ قمری</w:t>
      </w:r>
    </w:p>
    <w:p>
      <w:pPr>
        <w:pStyle w:val="BookText"/>
      </w:pPr>
      <w:r>
        <w:rPr>
          <w:rFonts w:ascii="Times New Roman" w:hAnsi="Times New Roman" w:eastAsia="Times New Roman" w:cs="Times New Roman"/>
          <w:lang w:val="en-US" w:bidi="en-US"/>
          <w:color w:val="111111"/>
          <w:sz w:val="28"/>
          <w:szCs w:val="28"/>
          <w:rtl/>
        </w:rPr>
        <w:t xml:space="preserve">zohūrī toršīzī, nūr-od-dīn mohammad (- 1617)</w:t>
      </w:r>
    </w:p>
    <w:p>
      <w:pPr>
        <w:pStyle w:val="BookText"/>
      </w:pPr>
      <w:r>
        <w:rPr>
          <w:rFonts w:ascii="IRNazanin" w:hAnsi="IRNazanin" w:eastAsia="IRNazanin" w:cs="IRNazanin"/>
          <w:lang w:bidi="fa-IR"/>
          <w:color w:val="111111"/>
          <w:sz w:val="28"/>
          <w:szCs w:val="28"/>
          <w:rtl/>
        </w:rPr>
        <w:t xml:space="preserve">آغاز: شوق هر کس را که در راه طلب سر می دهد***گر در آید اول از پا آخرش سر می دهد</w:t>
      </w:r>
    </w:p>
    <w:p>
      <w:pPr>
        <w:pStyle w:val="BookText"/>
      </w:pPr>
      <w:r>
        <w:rPr>
          <w:rFonts w:ascii="IRNazanin" w:hAnsi="IRNazanin" w:eastAsia="IRNazanin" w:cs="IRNazanin"/>
          <w:lang w:bidi="fa-IR"/>
          <w:color w:val="111111"/>
          <w:sz w:val="28"/>
          <w:szCs w:val="28"/>
          <w:rtl/>
        </w:rPr>
        <w:t xml:space="preserve">انجام: (ظهوری) زحد می برد گفتگو*** موفق با تمام گفتار باد/ بیا ساقی ای تلخ شیرین زبان***بخال لبم مهر نه بر دهان / که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11" w:name="pg20363_209294"/>
    <w:bookmarkEnd w:id="111"/>
    <w:p>
      <w:pPr>
        <w:pStyle w:val="BookText"/>
      </w:pPr>
      <w:r>
        <w:rPr>
          <w:rFonts w:ascii="IRNazanin" w:hAnsi="IRNazanin" w:eastAsia="IRNazanin" w:cs="IRNazanin"/>
          <w:lang w:bidi="fa-IR"/>
          <w:color w:val="111111"/>
          <w:sz w:val="28"/>
          <w:szCs w:val="28"/>
          <w:rtl/>
        </w:rPr>
        <w:t xml:space="preserve">گردد بحرفت سخنها تمام***چو در آخر نامه از و السلام</w:t>
      </w:r>
    </w:p>
    <w:p>
      <w:pPr>
        <w:pStyle w:val="BookText"/>
      </w:pPr>
      <w:r>
        <w:rPr>
          <w:rFonts w:ascii="IRNazanin" w:hAnsi="IRNazanin" w:eastAsia="IRNazanin" w:cs="IRNazanin"/>
          <w:lang w:bidi="fa-IR"/>
          <w:color w:val="111111"/>
          <w:sz w:val="28"/>
          <w:szCs w:val="28"/>
          <w:rtl/>
        </w:rPr>
        <w:t xml:space="preserve">[دنا ۵۴۷/۲ ؛ فهرستواره منزوی ۳۷۹/۱۰ ]</w:t>
      </w:r>
    </w:p>
    <w:p>
      <w:pPr>
        <w:pStyle w:val="BookText"/>
      </w:pPr>
      <w:r>
        <w:rPr>
          <w:rFonts w:ascii="IRNazanin" w:hAnsi="IRNazanin" w:eastAsia="IRNazanin" w:cs="IRNazanin"/>
          <w:lang w:bidi="fa-IR"/>
          <w:color w:val="111111"/>
          <w:sz w:val="28"/>
          <w:szCs w:val="28"/>
          <w:rtl/>
        </w:rPr>
        <w:t xml:space="preserve">۱. تهران؛ مجلس؛ شماره نسخه: ۵۱۶۷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۱۰۸۱ق؛ کاغذ: سپاهانی، جلد: تیماج سیاه، ۱۰۷گ، ۱۹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 اندازه: ۱۱/۵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۲۳/۵سم [ف: ۳۰۴-۱۵ ]</w:t>
      </w:r>
    </w:p>
    <w:p>
      <w:pPr>
        <w:pStyle w:val="BookText"/>
      </w:pPr>
      <w:r>
        <w:rPr>
          <w:rFonts w:ascii="IRNazanin" w:hAnsi="IRNazanin" w:eastAsia="IRNazanin" w:cs="IRNazanin"/>
          <w:lang w:bidi="fa-IR"/>
          <w:color w:val="111111"/>
          <w:sz w:val="28"/>
          <w:szCs w:val="28"/>
          <w:rtl/>
        </w:rPr>
        <w:t xml:space="preserve">٢. مشهد؛ رضوی؛ شماره نسخه: ۱۰۹۲۱/۸</w:t>
      </w:r>
    </w:p>
    <w:p>
      <w:pPr>
        <w:pStyle w:val="BookText"/>
      </w:pPr>
      <w:r>
        <w:rPr>
          <w:rFonts w:ascii="IRNazanin" w:hAnsi="IRNazanin" w:eastAsia="IRNazanin" w:cs="IRNazanin"/>
          <w:lang w:bidi="fa-IR"/>
          <w:color w:val="111111"/>
          <w:sz w:val="28"/>
          <w:szCs w:val="28"/>
          <w:rtl/>
        </w:rPr>
        <w:t xml:space="preserve">آغاز: بهار است و بی میحرامست زیست*** بر احوال زهاد باید گریست؛ انجام: اگر چشم زاهد نمی بود شور***بمیخانه می بردم او را بزور</w:t>
      </w:r>
    </w:p>
    <w:p>
      <w:pPr>
        <w:pStyle w:val="BookText"/>
      </w:pPr>
      <w:r>
        <w:rPr>
          <w:rFonts w:ascii="IRNazanin" w:hAnsi="IRNazanin" w:eastAsia="IRNazanin" w:cs="IRNazanin"/>
          <w:lang w:bidi="fa-IR"/>
          <w:color w:val="111111"/>
          <w:sz w:val="28"/>
          <w:szCs w:val="28"/>
          <w:rtl/>
        </w:rPr>
        <w:t xml:space="preserve">خط: نستعلیق ریز متوسط، كا: فرج الله، تا: ۱۲۹۲ق، کاغذ: شکری آهار مهره، جلد: دو رویه، رو گل و بوته رنگ و روغنی، ۱۲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۸سم [ف: ۹-۲۶۰]</w:t>
      </w:r>
    </w:p>
    <w:p>
      <w:pPr>
        <w:pStyle w:val="BookText"/>
      </w:pPr>
      <w:r>
        <w:rPr>
          <w:rFonts w:ascii="IRNazanin" w:hAnsi="IRNazanin" w:eastAsia="IRNazanin" w:cs="IRNazanin"/>
          <w:lang w:bidi="fa-IR"/>
          <w:color w:val="111111"/>
          <w:sz w:val="28"/>
          <w:szCs w:val="28"/>
          <w:rtl/>
        </w:rPr>
        <w:t xml:space="preserve">٣. تهران، دانشگاه؛ شماره نسخه: ۳۸۱۴/۶</w:t>
      </w:r>
    </w:p>
    <w:p>
      <w:pPr>
        <w:pStyle w:val="BookText"/>
      </w:pPr>
      <w:r>
        <w:rPr>
          <w:rFonts w:ascii="IRNazanin" w:hAnsi="IRNazanin" w:eastAsia="IRNazanin" w:cs="IRNazanin"/>
          <w:lang w:bidi="fa-IR"/>
          <w:color w:val="111111"/>
          <w:sz w:val="28"/>
          <w:szCs w:val="28"/>
          <w:rtl/>
        </w:rPr>
        <w:t xml:space="preserve">خط: نستعلیق، بی کا، بی تا، کاغذ: فرنگی، جلد: تیماج تریاکی، ۱۸ص (۱۶۹-۱۸۶)، ۱۴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۱۲ ۲۷۹۵ ]</w:t>
      </w:r>
    </w:p>
    <w:p>
      <w:pPr>
        <w:pStyle w:val="Heading3"/>
      </w:pPr>
      <w:bookmarkStart w:id="1072" w:name="_Toc332"/>
      <w:r>
        <w:t>•بهاریه / ادبیات / فارسی</w:t>
      </w:r>
      <w:bookmarkEnd w:id="1072"/>
    </w:p>
    <w:p>
      <w:pPr>
        <w:pStyle w:val="BookText"/>
      </w:pPr>
      <w:r>
        <w:rPr>
          <w:rFonts w:ascii="Times New Roman" w:hAnsi="Times New Roman" w:eastAsia="Times New Roman" w:cs="Times New Roman"/>
          <w:lang w:val="en-US" w:bidi="en-US"/>
          <w:color w:val="111111"/>
          <w:sz w:val="28"/>
          <w:szCs w:val="28"/>
          <w:rtl/>
        </w:rPr>
        <w:t xml:space="preserve">bahārīye</w:t>
      </w:r>
    </w:p>
    <w:p>
      <w:pPr>
        <w:pStyle w:val="BookText"/>
      </w:pPr>
      <w:r>
        <w:rPr>
          <w:rFonts w:ascii="IRNazanin" w:hAnsi="IRNazanin" w:eastAsia="IRNazanin" w:cs="IRNazanin"/>
          <w:lang w:bidi="fa-IR"/>
          <w:color w:val="111111"/>
          <w:sz w:val="28"/>
          <w:szCs w:val="28"/>
          <w:rtl/>
        </w:rPr>
        <w:t xml:space="preserve">محقق خوانساری، حسین بن محمد، ۱۰۱۶-۱۰۹۹ قمری</w:t>
      </w:r>
    </w:p>
    <w:p>
      <w:pPr>
        <w:pStyle w:val="BookText"/>
      </w:pPr>
      <w:r>
        <w:rPr>
          <w:rFonts w:ascii="Times New Roman" w:hAnsi="Times New Roman" w:eastAsia="Times New Roman" w:cs="Times New Roman"/>
          <w:lang w:val="en-US" w:bidi="en-US"/>
          <w:color w:val="111111"/>
          <w:sz w:val="28"/>
          <w:szCs w:val="28"/>
          <w:rtl/>
        </w:rPr>
        <w:t xml:space="preserve">mohaqqeq-e xānsārī, hoseyn ebn-e mohammad (1608 1688)</w:t>
      </w:r>
    </w:p>
    <w:p>
      <w:pPr>
        <w:pStyle w:val="BookText"/>
      </w:pPr>
      <w:r>
        <w:rPr>
          <w:rFonts w:ascii="IRNazanin" w:hAnsi="IRNazanin" w:eastAsia="IRNazanin" w:cs="IRNazanin"/>
          <w:lang w:bidi="fa-IR"/>
          <w:color w:val="111111"/>
          <w:sz w:val="28"/>
          <w:szCs w:val="28"/>
          <w:rtl/>
        </w:rPr>
        <w:t xml:space="preserve">فقره ای چند در تعریف بهار. آغاز: باز این چه جوانی و جمال است جهان را *** زین حال که نو گشت زمین را و زمان را. الحمدلله و المنة که این جان غمدیده سرد و گرم روزگار کشیده ... که مدتی مدید ... از بیداد شحنه دی چله نشین زاویه محنت و زندانی تنگنای مشقت گردیده بودند ... درین ایام سعادت فرجام که مرغان صبا ... آوازه نزول اجلال نوروز سلطانی در شش جهت در افکندند.</w:t>
      </w:r>
    </w:p>
    <w:p>
      <w:pPr>
        <w:pStyle w:val="BookText"/>
      </w:pPr>
      <w:r>
        <w:rPr>
          <w:rFonts w:ascii="IRNazanin" w:hAnsi="IRNazanin" w:eastAsia="IRNazanin" w:cs="IRNazanin"/>
          <w:lang w:bidi="fa-IR"/>
          <w:color w:val="111111"/>
          <w:sz w:val="28"/>
          <w:szCs w:val="28"/>
          <w:rtl/>
        </w:rPr>
        <w:t xml:space="preserve">انجام: با عطر فروشی شاخ نسرین اگر کسی از عود قماری دم زند باخته است و در هوای فرح بخش این چنین هر کز باده خواری پرهیز نماید ساخته است. بیت: حاشا که من بموسم گل ترک می میکنم *** من لاف عقل میزنم این کار کی کنم (تم)</w:t>
      </w:r>
    </w:p>
    <w:p>
      <w:pPr>
        <w:pStyle w:val="BookText"/>
      </w:pPr>
      <w:r>
        <w:rPr>
          <w:rFonts w:ascii="IRNazanin" w:hAnsi="IRNazanin" w:eastAsia="IRNazanin" w:cs="IRNazanin"/>
          <w:lang w:bidi="fa-IR"/>
          <w:color w:val="111111"/>
          <w:sz w:val="28"/>
          <w:szCs w:val="28"/>
          <w:rtl/>
        </w:rPr>
        <w:t xml:space="preserve">[دنا ۵۴۷/۲ (۳ نسخه)؛ نسخه های منزوی ۳۵۳۸/۵ که مؤلف آقا حسينا ذكر- شده؛ محقق خوانساری شرح حال و آثار ص ۱۴۸-۱۵۲]</w:t>
      </w:r>
    </w:p>
    <w:p>
      <w:pPr>
        <w:pStyle w:val="BookText"/>
      </w:pPr>
      <w:r>
        <w:rPr>
          <w:rFonts w:ascii="IRNazanin" w:hAnsi="IRNazanin" w:eastAsia="IRNazanin" w:cs="IRNazanin"/>
          <w:lang w:bidi="fa-IR"/>
          <w:color w:val="111111"/>
          <w:sz w:val="28"/>
          <w:szCs w:val="28"/>
          <w:rtl/>
        </w:rPr>
        <w:t xml:space="preserve">۱. تهران: مجلس؛ شماره نسخه: ۱۳۴۴۳/۵۶</w:t>
      </w:r>
    </w:p>
    <w:p>
      <w:pPr>
        <w:pStyle w:val="BookText"/>
      </w:pPr>
      <w:r>
        <w:rPr>
          <w:rFonts w:ascii="IRNazanin" w:hAnsi="IRNazanin" w:eastAsia="IRNazanin" w:cs="IRNazanin"/>
          <w:lang w:bidi="fa-IR"/>
          <w:color w:val="111111"/>
          <w:sz w:val="28"/>
          <w:szCs w:val="28"/>
          <w:rtl/>
        </w:rPr>
        <w:t xml:space="preserve">آغاز: برابر بی کا، تا: قرن ۱۱؛ مجدول مذهب؛ جلد: گالینگور، سرخ عطف</w:t>
      </w:r>
    </w:p>
    <w:p>
      <w:pPr>
        <w:pStyle w:val="BookText"/>
      </w:pPr>
      <w:r>
        <w:rPr>
          <w:rFonts w:ascii="IRNazanin" w:hAnsi="IRNazanin" w:eastAsia="IRNazanin" w:cs="IRNazanin"/>
          <w:lang w:bidi="fa-IR"/>
          <w:color w:val="111111"/>
          <w:sz w:val="28"/>
          <w:szCs w:val="28"/>
          <w:rtl/>
        </w:rPr>
        <w:t xml:space="preserve">تیماج، ۳ص (۳۰۹-۳۱۱)، اندازه: ۳۲۸۲۰سم [ف: ۳۶-۳۸۴]</w:t>
      </w:r>
    </w:p>
    <w:p>
      <w:pPr>
        <w:pStyle w:val="BookText"/>
      </w:pPr>
      <w:r>
        <w:rPr>
          <w:rFonts w:ascii="IRNazanin" w:hAnsi="IRNazanin" w:eastAsia="IRNazanin" w:cs="IRNazanin"/>
          <w:lang w:bidi="fa-IR"/>
          <w:color w:val="111111"/>
          <w:sz w:val="28"/>
          <w:szCs w:val="28"/>
          <w:rtl/>
        </w:rPr>
        <w:t xml:space="preserve">۲. تهران؛ مجلس؛ شماره نسخه: ۸۹۸۲/۱۰</w:t>
      </w:r>
    </w:p>
    <w:p>
      <w:pPr>
        <w:pStyle w:val="BookText"/>
      </w:pPr>
      <w:r>
        <w:rPr>
          <w:rFonts w:ascii="IRNazanin" w:hAnsi="IRNazanin" w:eastAsia="IRNazanin" w:cs="IRNazanin"/>
          <w:lang w:bidi="fa-IR"/>
          <w:color w:val="111111"/>
          <w:sz w:val="28"/>
          <w:szCs w:val="28"/>
          <w:rtl/>
        </w:rPr>
        <w:t xml:space="preserve">خط: نستعلیق، بی کا، تا: قرن ۱۱؛ سطور چلیپا؛ کاغذ: نخودی آهار مهره نازک، جلد: تیماج دو رو، بیرون قهوه ای ضربی با ترنج و سرترنج سجاف مشکی عطف میشن قهوه ای، ۳گ (۱۷۰ر ۱۷۲پ)، اندازه: ۲۲/۲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[ف: ۲۹/۱ -۵۵۰]</w:t>
      </w:r>
    </w:p>
    <w:p>
      <w:pPr>
        <w:pStyle w:val="BookText"/>
      </w:pPr>
      <w:r>
        <w:rPr>
          <w:rFonts w:ascii="IRNazanin" w:hAnsi="IRNazanin" w:eastAsia="IRNazanin" w:cs="IRNazanin"/>
          <w:lang w:bidi="fa-IR"/>
          <w:color w:val="111111"/>
          <w:sz w:val="28"/>
          <w:szCs w:val="28"/>
          <w:rtl/>
        </w:rPr>
        <w:t xml:space="preserve">٣. تهران؛ مجلس؛ شماره نسخه: ۸۹۰۸/۶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۱۱؛ کاغذ: نخودی آهار مهره، جلد: تیماج مشکی با ترنج هشت ضلعی در وسط و جدول یک لا با مهر صحاف درون ترنج به نقش: «الهی بحق نبی و ولی / نظر کن سوی محمد على ۱۱۷۱»، ۵ ص (۴۲-۴۶)، سطور چلیپا (۲۰۶۶)، قطع: بياضی، اندازه: ۲۴/۵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۹سم [ف: ۲۹/۱ -۲۹۴]</w:t>
      </w:r>
    </w:p>
    <w:p>
      <w:pPr>
        <w:pStyle w:val="BookText"/>
      </w:pPr>
      <w:r>
        <w:rPr>
          <w:rFonts w:ascii="IRNazanin" w:hAnsi="IRNazanin" w:eastAsia="IRNazanin" w:cs="IRNazanin"/>
          <w:lang w:bidi="fa-IR"/>
          <w:color w:val="111111"/>
          <w:sz w:val="28"/>
          <w:szCs w:val="28"/>
          <w:rtl/>
        </w:rPr>
        <w:t xml:space="preserve">۴. تهران: دانشگاه؛ شماره نسخه: ۶۷۱۰/۳۰</w:t>
      </w:r>
    </w:p>
    <w:p>
      <w:pPr>
        <w:pStyle w:val="BookText"/>
      </w:pPr>
      <w:r>
        <w:rPr>
          <w:rFonts w:ascii="IRNazanin" w:hAnsi="IRNazanin" w:eastAsia="IRNazanin" w:cs="IRNazanin"/>
          <w:lang w:bidi="fa-IR"/>
          <w:color w:val="111111"/>
          <w:sz w:val="28"/>
          <w:szCs w:val="28"/>
          <w:rtl/>
        </w:rPr>
        <w:t xml:space="preserve">خط: نستعلیق، کا: نصیر الدین محمد رضوی، تا: بین سال های ۱۰۶۴ تا ۱۰۹۶ق؛ ۳ص (۱۴۸-۱۵۰)[ف: ۱۶- ۳۳۹]</w:t>
      </w:r>
    </w:p>
    <w:p>
      <w:pPr>
        <w:pStyle w:val="BookText"/>
      </w:pPr>
      <w:r>
        <w:rPr>
          <w:rFonts w:ascii="IRNazanin" w:hAnsi="IRNazanin" w:eastAsia="IRNazanin" w:cs="IRNazanin"/>
          <w:lang w:bidi="fa-IR"/>
          <w:color w:val="111111"/>
          <w:sz w:val="28"/>
          <w:szCs w:val="28"/>
          <w:rtl/>
        </w:rPr>
        <w:t xml:space="preserve">قم، مرکز احیاء؛ شماره نسخه: ۱۳۵۶/۲۸</w:t>
      </w:r>
    </w:p>
    <w:p>
      <w:pPr>
        <w:pStyle w:val="BookText"/>
      </w:pPr>
      <w:r>
        <w:rPr>
          <w:rFonts w:ascii="IRNazanin" w:hAnsi="IRNazanin" w:eastAsia="IRNazanin" w:cs="IRNazanin"/>
          <w:lang w:bidi="fa-IR"/>
          <w:color w:val="111111"/>
          <w:sz w:val="28"/>
          <w:szCs w:val="28"/>
          <w:rtl/>
        </w:rPr>
        <w:t xml:space="preserve">ض نسخه اصل: همان نسخه بالا [عکسی ف: ۴-۱۷۶]</w:t>
      </w:r>
    </w:p>
    <w:p>
      <w:pPr>
        <w:pStyle w:val="BookText"/>
      </w:pPr>
      <w:r>
        <w:rPr>
          <w:rFonts w:ascii="IRNazanin" w:hAnsi="IRNazanin" w:eastAsia="IRNazanin" w:cs="IRNazanin"/>
          <w:lang w:bidi="fa-IR"/>
          <w:color w:val="111111"/>
          <w:sz w:val="28"/>
          <w:szCs w:val="28"/>
          <w:rtl/>
        </w:rPr>
        <w:t xml:space="preserve">۵. تهران؛ مجلس؛ شماره نسخه: ۹۶۰۹ ض</w:t>
      </w:r>
    </w:p>
    <w:p>
      <w:pPr>
        <w:pStyle w:val="BookText"/>
      </w:pPr>
      <w:r>
        <w:rPr>
          <w:rFonts w:ascii="IRNazanin" w:hAnsi="IRNazanin" w:eastAsia="IRNazanin" w:cs="IRNazanin"/>
          <w:lang w:bidi="fa-IR"/>
          <w:color w:val="111111"/>
          <w:sz w:val="28"/>
          <w:szCs w:val="28"/>
          <w:rtl/>
        </w:rPr>
        <w:t xml:space="preserve">خط: نسخ و نستعلیق، بی کا، تا: قرن ۱۲؛ مورب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۳۱-۱۲]</w:t>
      </w:r>
    </w:p>
    <w:p>
      <w:pPr>
        <w:pStyle w:val="BookText"/>
      </w:pPr>
      <w:r>
        <w:rPr>
          <w:rFonts w:ascii="IRNazanin" w:hAnsi="IRNazanin" w:eastAsia="IRNazanin" w:cs="IRNazanin"/>
          <w:lang w:bidi="fa-IR"/>
          <w:color w:val="111111"/>
          <w:sz w:val="28"/>
          <w:szCs w:val="28"/>
          <w:rtl/>
        </w:rPr>
        <w:t xml:space="preserve">6 . تهران؛ دانشگاه؛ شماره نسخه: ۲۴۵۴/۱۳</w:t>
      </w:r>
    </w:p>
    <w:p>
      <w:pPr>
        <w:pStyle w:val="BookText"/>
      </w:pPr>
      <w:r>
        <w:rPr>
          <w:rFonts w:ascii="IRNazanin" w:hAnsi="IRNazanin" w:eastAsia="IRNazanin" w:cs="IRNazanin"/>
          <w:lang w:bidi="fa-IR"/>
          <w:color w:val="111111"/>
          <w:sz w:val="28"/>
          <w:szCs w:val="28"/>
          <w:rtl/>
        </w:rPr>
        <w:t xml:space="preserve">در فهرست بدون نام مؤلف؛ خط: شکسته نستعلیق، کا: تحسين، تا: ۲۴ جمادی الاول ۱۱۰۱ق، جان دارابگرد شیراز؛ کاغذ: سپاهانی، جلد: تیماج تریاکی ضربی گرد مشکی، ۲ص (۱۲۶-۱۲۷)، ۲۵ سطر (۱۰/۵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۹-۱۱۸۹]</w:t>
      </w:r>
    </w:p>
    <w:p>
      <w:pPr>
        <w:pStyle w:val="BookText"/>
      </w:pPr>
      <w:r>
        <w:rPr>
          <w:rFonts w:ascii="IRNazanin" w:hAnsi="IRNazanin" w:eastAsia="IRNazanin" w:cs="IRNazanin"/>
          <w:lang w:bidi="fa-IR"/>
          <w:color w:val="111111"/>
          <w:sz w:val="28"/>
          <w:szCs w:val="28"/>
          <w:rtl/>
        </w:rPr>
        <w:t xml:space="preserve">۷. تهران؛ ملک؛ شماره نسخه: ۵۸۶۵/۹</w:t>
      </w:r>
    </w:p>
    <w:p>
      <w:pPr>
        <w:pStyle w:val="BookText"/>
      </w:pPr>
      <w:r>
        <w:rPr>
          <w:rFonts w:ascii="IRNazanin" w:hAnsi="IRNazanin" w:eastAsia="IRNazanin" w:cs="IRNazanin"/>
          <w:lang w:bidi="fa-IR"/>
          <w:color w:val="111111"/>
          <w:sz w:val="28"/>
          <w:szCs w:val="28"/>
          <w:rtl/>
        </w:rPr>
        <w:t xml:space="preserve">خط: شکسته نستعلیق، بی کا، تا: قرن ۱۳؛ کاغذ: ترمه، ۱۵ سطر، قطع: بياض رقعی،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سم [ف: ۹-۸۴]</w:t>
      </w:r>
    </w:p>
    <w:p>
      <w:pPr>
        <w:pStyle w:val="BookText"/>
      </w:pPr>
      <w:r>
        <w:rPr>
          <w:rFonts w:ascii="IRNazanin" w:hAnsi="IRNazanin" w:eastAsia="IRNazanin" w:cs="IRNazanin"/>
          <w:lang w:bidi="fa-IR"/>
          <w:color w:val="111111"/>
          <w:sz w:val="28"/>
          <w:szCs w:val="28"/>
          <w:rtl/>
        </w:rPr>
        <w:t xml:space="preserve">۸. تهران؛ دانشگاه؛ شماره نسخه: ۲۴۶۵/۲/۱۰</w:t>
      </w:r>
    </w:p>
    <w:p>
      <w:pPr>
        <w:pStyle w:val="BookText"/>
      </w:pPr>
      <w:r>
        <w:rPr>
          <w:rFonts w:ascii="IRNazanin" w:hAnsi="IRNazanin" w:eastAsia="IRNazanin" w:cs="IRNazanin"/>
          <w:lang w:bidi="fa-IR"/>
          <w:color w:val="111111"/>
          <w:sz w:val="28"/>
          <w:szCs w:val="28"/>
          <w:rtl/>
        </w:rPr>
        <w:t xml:space="preserve">بی کا، بی تا؛ کاغذ: سپاهانی، جلد: تیماج روغنی زرین با گل و بوته گرد، ۴ ص (۱۰۶-۱۰۹)، ۲۹ سطر (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سم [ف: ۹-۱۲۱۵]</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دانشگاه؛ شماره نسخه: ۱۹۹۷/۱۶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کاغذ: سپاهانی، جلد: مقوا عطف میشن، ۲گ (۷۵ر۷۶پ)، ۱۵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۲۴/۵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۸-۶۰۹]</w:t>
      </w:r>
    </w:p>
    <w:p>
      <w:pPr>
        <w:pStyle w:val="BookText"/>
      </w:pPr>
      <w:r>
        <w:rPr>
          <w:rFonts w:ascii="IRNazanin" w:hAnsi="IRNazanin" w:eastAsia="IRNazanin" w:cs="IRNazanin"/>
          <w:lang w:bidi="fa-IR"/>
          <w:color w:val="111111"/>
          <w:sz w:val="28"/>
          <w:szCs w:val="28"/>
          <w:rtl/>
        </w:rPr>
        <w:t xml:space="preserve">۱۰. تهران؛ مجلس؛ شماره نسخه: ۳۴۵۵/۹</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قسمتهای این نوشته پس و پیش است. در فهرست بدون نام مؤلف و با عنوان «منشآت» آمده؛ بی کا، بی تا؛ جلد: تیماج یک لا قرمز، ۱۵ص (۱۳-۲۷)، قطع: بیاضی،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12" w:name="pg20363_209295"/>
    <w:bookmarkEnd w:id="112"/>
    <w:p>
      <w:pPr>
        <w:pStyle w:val="BookText"/>
      </w:pPr>
      <w:r>
        <w:rPr>
          <w:rFonts w:ascii="IRNazanin" w:hAnsi="IRNazanin" w:eastAsia="IRNazanin" w:cs="IRNazanin"/>
          <w:lang w:bidi="fa-IR"/>
          <w:color w:val="111111"/>
          <w:sz w:val="28"/>
          <w:szCs w:val="28"/>
          <w:rtl/>
        </w:rPr>
        <w:t xml:space="preserve">۱۳۳۶-۱۰]</w:t>
      </w:r>
    </w:p>
    <w:p>
      <w:pPr>
        <w:pStyle w:val="Heading3"/>
      </w:pPr>
      <w:bookmarkStart w:id="1073" w:name="_Toc333"/>
      <w:r>
        <w:t>•بهاریه / شعر / فارسی</w:t>
      </w:r>
      <w:bookmarkEnd w:id="1073"/>
    </w:p>
    <w:p>
      <w:pPr>
        <w:pStyle w:val="BookText"/>
      </w:pPr>
      <w:r>
        <w:rPr>
          <w:rFonts w:ascii="Times New Roman" w:hAnsi="Times New Roman" w:eastAsia="Times New Roman" w:cs="Times New Roman"/>
          <w:lang w:val="en-US" w:bidi="en-US"/>
          <w:color w:val="111111"/>
          <w:sz w:val="28"/>
          <w:szCs w:val="28"/>
          <w:rtl/>
        </w:rPr>
        <w:t xml:space="preserve">bahārīye</w:t>
      </w:r>
    </w:p>
    <w:p>
      <w:pPr>
        <w:pStyle w:val="BookText"/>
      </w:pPr>
      <w:r>
        <w:rPr>
          <w:rFonts w:ascii="IRNazanin" w:hAnsi="IRNazanin" w:eastAsia="IRNazanin" w:cs="IRNazanin"/>
          <w:lang w:bidi="fa-IR"/>
          <w:color w:val="111111"/>
          <w:sz w:val="28"/>
          <w:szCs w:val="28"/>
          <w:rtl/>
        </w:rPr>
        <w:t xml:space="preserve">بیدل دهلوی، عبدالقادر بن عبد الخالق، ۱۰۵۴-۱۱۳۳ قمری</w:t>
      </w:r>
    </w:p>
    <w:p>
      <w:pPr>
        <w:pStyle w:val="BookText"/>
      </w:pPr>
      <w:r>
        <w:rPr>
          <w:rFonts w:ascii="Times New Roman" w:hAnsi="Times New Roman" w:eastAsia="Times New Roman" w:cs="Times New Roman"/>
          <w:lang w:val="en-US" w:bidi="en-US"/>
          <w:color w:val="111111"/>
          <w:sz w:val="28"/>
          <w:szCs w:val="28"/>
          <w:rtl/>
        </w:rPr>
        <w:t xml:space="preserve">bīdel-e dehlavī, 'abd-ol-qāder ebn-e 'abd-ol-xāleq (1645-1721)</w:t>
      </w:r>
    </w:p>
    <w:p>
      <w:pPr>
        <w:pStyle w:val="BookText"/>
      </w:pPr>
      <w:r>
        <w:rPr>
          <w:rFonts w:ascii="IRNazanin" w:hAnsi="IRNazanin" w:eastAsia="IRNazanin" w:cs="IRNazanin"/>
          <w:lang w:bidi="fa-IR"/>
          <w:color w:val="111111"/>
          <w:sz w:val="28"/>
          <w:szCs w:val="28"/>
          <w:rtl/>
        </w:rPr>
        <w:t xml:space="preserve">آغاز: بیار باده که در صید گاه عالم هوش***بهار می رسد از موج گل کمند بدوش</w:t>
      </w:r>
    </w:p>
    <w:p>
      <w:pPr>
        <w:pStyle w:val="BookText"/>
      </w:pPr>
      <w:r>
        <w:rPr>
          <w:rFonts w:ascii="IRNazanin" w:hAnsi="IRNazanin" w:eastAsia="IRNazanin" w:cs="IRNazanin"/>
          <w:lang w:bidi="fa-IR"/>
          <w:color w:val="111111"/>
          <w:sz w:val="28"/>
          <w:szCs w:val="28"/>
          <w:rtl/>
        </w:rPr>
        <w:t xml:space="preserve">دنا ۵۴۷/۲ ؛ فهرستواره منزوی ۳۷۹/۱۰ ]</w:t>
      </w:r>
    </w:p>
    <w:p>
      <w:pPr>
        <w:pStyle w:val="BookText"/>
      </w:pPr>
      <w:r>
        <w:rPr>
          <w:rFonts w:ascii="IRNazanin" w:hAnsi="IRNazanin" w:eastAsia="IRNazanin" w:cs="IRNazanin"/>
          <w:lang w:bidi="fa-IR"/>
          <w:color w:val="111111"/>
          <w:sz w:val="28"/>
          <w:szCs w:val="28"/>
          <w:rtl/>
        </w:rPr>
        <w:t xml:space="preserve">تهران؛ مجلس؛ شماره نسخه: ۱۴۲۰۹/۲۰۸</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کاتب = مؤلف، تا: قرن ۱۱؛ جلد: پارچه ای، سرخ، اص (۵۳۴)، ۲۱ سطر، اندازه: ۳۴۸۲۱سم [ف: ۳۸-۳۰۳)</w:t>
      </w:r>
    </w:p>
    <w:p>
      <w:pPr>
        <w:pStyle w:val="Heading3"/>
      </w:pPr>
      <w:bookmarkStart w:id="1074" w:name="_Toc334"/>
      <w:r>
        <w:t>•بهاریه = مسمط در مدح عباس افندی / شعر / فارسی</w:t>
      </w:r>
      <w:bookmarkEnd w:id="1074"/>
    </w:p>
    <w:p>
      <w:pPr>
        <w:pStyle w:val="BookText"/>
      </w:pPr>
      <w:r>
        <w:rPr>
          <w:rFonts w:ascii="Times New Roman" w:hAnsi="Times New Roman" w:eastAsia="Times New Roman" w:cs="Times New Roman"/>
          <w:lang w:val="en-US" w:bidi="en-US"/>
          <w:color w:val="111111"/>
          <w:sz w:val="28"/>
          <w:szCs w:val="28"/>
          <w:rtl/>
        </w:rPr>
        <w:t xml:space="preserve">bahārīye = mosammat dar madh-e ‘abbās afandī</w:t>
      </w:r>
    </w:p>
    <w:p>
      <w:pPr>
        <w:pStyle w:val="BookText"/>
      </w:pPr>
      <w:r>
        <w:rPr>
          <w:rFonts w:ascii="IRNazanin" w:hAnsi="IRNazanin" w:eastAsia="IRNazanin" w:cs="IRNazanin"/>
          <w:lang w:bidi="fa-IR"/>
          <w:color w:val="111111"/>
          <w:sz w:val="28"/>
          <w:szCs w:val="28"/>
          <w:rtl/>
        </w:rPr>
        <w:t xml:space="preserve">نعیم سدهی، محمد، ۱۲۷۲-۱۳۳۴ قمری</w:t>
      </w:r>
    </w:p>
    <w:p>
      <w:pPr>
        <w:pStyle w:val="BookText"/>
      </w:pPr>
      <w:r>
        <w:rPr>
          <w:rFonts w:ascii="Times New Roman" w:hAnsi="Times New Roman" w:eastAsia="Times New Roman" w:cs="Times New Roman"/>
          <w:lang w:val="en-US" w:bidi="en-US"/>
          <w:color w:val="111111"/>
          <w:sz w:val="28"/>
          <w:szCs w:val="28"/>
          <w:rtl/>
        </w:rPr>
        <w:t xml:space="preserve">na‘īm-e sadehī, mohammad (1856-1916)</w:t>
      </w:r>
    </w:p>
    <w:p>
      <w:pPr>
        <w:pStyle w:val="BookText"/>
      </w:pPr>
      <w:r>
        <w:rPr>
          <w:rFonts w:ascii="IRNazanin" w:hAnsi="IRNazanin" w:eastAsia="IRNazanin" w:cs="IRNazanin"/>
          <w:lang w:bidi="fa-IR"/>
          <w:color w:val="111111"/>
          <w:sz w:val="28"/>
          <w:szCs w:val="28"/>
          <w:rtl/>
        </w:rPr>
        <w:t xml:space="preserve">در این «مسمط مخمس» ۴۱ بندی ابیاتی در وصف فصل بهار و دوران شکوفایی مجدد درختان و گیاهان آمده و در ادامه به مدح عبدالبهاء عباس افندی فرزند ارشد میرزا حسینعلی ملقب به بهاء الله رهبر فرقه بهائیان پرداخته است. سراینده خود یکی از بهائیان بوده است.</w:t>
      </w:r>
    </w:p>
    <w:p>
      <w:pPr>
        <w:pStyle w:val="BookText"/>
      </w:pPr>
      <w:r>
        <w:rPr>
          <w:rFonts w:ascii="IRNazanin" w:hAnsi="IRNazanin" w:eastAsia="IRNazanin" w:cs="IRNazanin"/>
          <w:lang w:bidi="fa-IR"/>
          <w:color w:val="111111"/>
          <w:sz w:val="28"/>
          <w:szCs w:val="28"/>
          <w:rtl/>
        </w:rPr>
        <w:t xml:space="preserve">چاپ: دیوان سراینده در ۱۳۴۵ ق در بمبئی هند به چاپ رسیده[ نسخه های منزوی ۱۷۵۶/۲ ؛ مؤلفین کتب چاپی فارسی و عربی: ۶۳۶/۶ ]</w:t>
      </w:r>
    </w:p>
    <w:p>
      <w:pPr>
        <w:pStyle w:val="BookText"/>
      </w:pPr>
      <w:r>
        <w:rPr>
          <w:rFonts w:ascii="IRNazanin" w:hAnsi="IRNazanin" w:eastAsia="IRNazanin" w:cs="IRNazanin"/>
          <w:lang w:bidi="fa-IR"/>
          <w:color w:val="111111"/>
          <w:sz w:val="28"/>
          <w:szCs w:val="28"/>
          <w:rtl/>
        </w:rPr>
        <w:t xml:space="preserve">قم؛ مرعشی؛ شماره نسخه: ۱۳۸۰۵/۱۰</w:t>
      </w:r>
    </w:p>
    <w:p>
      <w:pPr>
        <w:pStyle w:val="BookText"/>
      </w:pPr>
      <w:r>
        <w:rPr>
          <w:rFonts w:ascii="IRNazanin" w:hAnsi="IRNazanin" w:eastAsia="IRNazanin" w:cs="IRNazanin"/>
          <w:lang w:bidi="fa-IR"/>
          <w:color w:val="111111"/>
          <w:sz w:val="28"/>
          <w:szCs w:val="28"/>
          <w:rtl/>
        </w:rPr>
        <w:t xml:space="preserve">آغاز: فر جوانی گرفت طفل رضيع بهار </w:t>
      </w:r>
      <w:r>
        <w:rPr>
          <w:rFonts w:ascii="IRNazanin" w:hAnsi="IRNazanin" w:eastAsia="IRNazanin" w:cs="IRNazanin"/>
          <w:lang w:bidi="fa-IR"/>
          <w:color w:val="111111"/>
          <w:sz w:val="28"/>
          <w:szCs w:val="28"/>
          <w:b w:val="1"/>
          <w:bCs w:val="1"/>
          <w:i w:val="1"/>
          <w:iCs w:val="1"/>
          <w:rtl/>
        </w:rPr>
        <w:t xml:space="preserve">لب ز لبن شست باز شکوفه شیر خوار / باز درختان شدند بارور و باردار</w:t>
      </w:r>
      <w:r>
        <w:rPr>
          <w:rFonts w:ascii="IRNazanin" w:hAnsi="IRNazanin" w:eastAsia="IRNazanin" w:cs="IRNazanin"/>
          <w:lang w:bidi="fa-IR"/>
          <w:color w:val="111111"/>
          <w:sz w:val="28"/>
          <w:szCs w:val="28"/>
          <w:rtl/>
        </w:rPr>
        <w:t xml:space="preserve">سر نهان هر چه داشت کرد عیان روزگار - تو کوئی امروز شد سر خدا آشکار؛ انجام: نعیم وصف حبیب برای احباب گفت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چو بین الاحباب بود تسقط الآداب گفت / ولی بتوصيف حق هر چه ز هر باب گفت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بعجز ما للتراب ورب الأرباب گفت بنده کجا پی برد بذات پروردگار</w:t>
      </w:r>
    </w:p>
    <w:p>
      <w:pPr>
        <w:pStyle w:val="BookText"/>
      </w:pPr>
      <w:r>
        <w:rPr>
          <w:rFonts w:ascii="IRNazanin" w:hAnsi="IRNazanin" w:eastAsia="IRNazanin" w:cs="IRNazanin"/>
          <w:lang w:bidi="fa-IR"/>
          <w:color w:val="111111"/>
          <w:sz w:val="28"/>
          <w:szCs w:val="28"/>
          <w:rtl/>
        </w:rPr>
        <w:t xml:space="preserve">خط: شکسته نستعلیق، كا: سيد الحكماء ابن حاجی میرزا علیمحمد حسینی لاریجانی، تا: غره صفر ۱۳۲۳ق، جا: طهران؛ در آغاز نسخه چنین آمده «بهاریه مسمط میرزا نعیم در مدح عباس افندی گفته همچه مسموع گردید»، پس از پایان مسمط در برگی عبارتی در مدح مدیر مالیه ورامین به خط کاتب نسخه (سيد الحكماء لاریجانی )</w:t>
      </w:r>
    </w:p>
    <w:p>
      <w:pPr>
        <w:pStyle w:val="BookText"/>
      </w:pPr>
      <w:r>
        <w:rPr>
          <w:rFonts w:ascii="IRNazanin" w:hAnsi="IRNazanin" w:eastAsia="IRNazanin" w:cs="IRNazanin"/>
          <w:lang w:bidi="fa-IR"/>
          <w:color w:val="111111"/>
          <w:sz w:val="28"/>
          <w:szCs w:val="28"/>
          <w:rtl/>
        </w:rPr>
        <w:t xml:space="preserve">در ۱۸ ربیع الثانی ۱۳۲۸ و نیز عبارتی از کلام وثوق الدین درباره معتضدالملک در باغ شمران که «بفرموده آقا میر سید حسن خان و در حضور ... ماليه ورامین، افخم الملک آقا میرزا غلام رضا خان در ۲۶ حوت ۱۳۳۶ ق در شهر ورامین» از سوی کاتب (سيد الحكماء لاریجانی) آمده، همچنین پنج بیت از رشیدالدین وطواط با این مطلع آمده است: «درین برف و سرما دو چیز است لايق*** شراب مروق رفیق موافق»؛ کاغذ: فرنگی، ۳گ (۷۰ر-۷۲پ)، ۲۱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سم [ف: ۳۵-۳۸ ]</w:t>
      </w:r>
    </w:p>
    <w:p>
      <w:pPr>
        <w:pStyle w:val="Heading3"/>
      </w:pPr>
      <w:bookmarkStart w:id="1075" w:name="_Toc335"/>
      <w:r>
        <w:t>•بهاریه / شعر / فارسی</w:t>
      </w:r>
      <w:bookmarkEnd w:id="1075"/>
    </w:p>
    <w:p>
      <w:pPr>
        <w:pStyle w:val="BookText"/>
      </w:pPr>
      <w:r>
        <w:rPr>
          <w:rFonts w:ascii="Times New Roman" w:hAnsi="Times New Roman" w:eastAsia="Times New Roman" w:cs="Times New Roman"/>
          <w:lang w:val="en-US" w:bidi="en-US"/>
          <w:color w:val="111111"/>
          <w:sz w:val="28"/>
          <w:szCs w:val="28"/>
          <w:rtl/>
        </w:rPr>
        <w:t xml:space="preserve">bahārīye</w:t>
      </w:r>
    </w:p>
    <w:p>
      <w:pPr>
        <w:pStyle w:val="BookText"/>
      </w:pPr>
      <w:r>
        <w:rPr>
          <w:rFonts w:ascii="IRNazanin" w:hAnsi="IRNazanin" w:eastAsia="IRNazanin" w:cs="IRNazanin"/>
          <w:lang w:bidi="fa-IR"/>
          <w:color w:val="111111"/>
          <w:sz w:val="28"/>
          <w:szCs w:val="28"/>
          <w:rtl/>
        </w:rPr>
        <w:t xml:space="preserve">در ذکر اشیاء خداوند، عالمیان را.</w:t>
      </w:r>
    </w:p>
    <w:p>
      <w:pPr>
        <w:pStyle w:val="BookText"/>
      </w:pPr>
      <w:r>
        <w:rPr>
          <w:rFonts w:ascii="IRNazanin" w:hAnsi="IRNazanin" w:eastAsia="IRNazanin" w:cs="IRNazanin"/>
          <w:lang w:bidi="fa-IR"/>
          <w:color w:val="111111"/>
          <w:sz w:val="28"/>
          <w:szCs w:val="28"/>
          <w:rtl/>
        </w:rPr>
        <w:t xml:space="preserve">مشهد؛ رضوی؛ شماره نسخه: ۱۰۹۲۱/۶</w:t>
      </w:r>
    </w:p>
    <w:p>
      <w:pPr>
        <w:pStyle w:val="BookText"/>
      </w:pPr>
      <w:r>
        <w:rPr>
          <w:rFonts w:ascii="IRNazanin" w:hAnsi="IRNazanin" w:eastAsia="IRNazanin" w:cs="IRNazanin"/>
          <w:lang w:bidi="fa-IR"/>
          <w:color w:val="111111"/>
          <w:sz w:val="28"/>
          <w:szCs w:val="28"/>
          <w:rtl/>
        </w:rPr>
        <w:t xml:space="preserve">آغاز: بازم اندر سر هوایی دیگر است</w:t>
      </w:r>
      <w:r>
        <w:rPr>
          <w:rFonts w:ascii="IRNazanin" w:hAnsi="IRNazanin" w:eastAsia="IRNazanin" w:cs="IRNazanin"/>
          <w:lang w:bidi="fa-IR"/>
          <w:color w:val="111111"/>
          <w:sz w:val="28"/>
          <w:szCs w:val="28"/>
          <w:b w:val="1"/>
          <w:bCs w:val="1"/>
          <w:i w:val="1"/>
          <w:iCs w:val="1"/>
          <w:rtl/>
        </w:rPr>
        <w:t xml:space="preserve">بازنایم را نوای دیگر است؛ انجام: ذات حق خود را صفاتش دور نیست</w:t>
      </w:r>
      <w:r>
        <w:rPr>
          <w:rFonts w:ascii="IRNazanin" w:hAnsi="IRNazanin" w:eastAsia="IRNazanin" w:cs="IRNazanin"/>
          <w:lang w:bidi="fa-IR"/>
          <w:color w:val="111111"/>
          <w:sz w:val="28"/>
          <w:szCs w:val="28"/>
          <w:rtl/>
        </w:rPr>
        <w:t xml:space="preserve">دور آن چشمی کورا نور نیست</w:t>
      </w:r>
    </w:p>
    <w:p>
      <w:pPr>
        <w:pStyle w:val="BookText"/>
      </w:pPr>
      <w:r>
        <w:rPr>
          <w:rFonts w:ascii="IRNazanin" w:hAnsi="IRNazanin" w:eastAsia="IRNazanin" w:cs="IRNazanin"/>
          <w:lang w:bidi="fa-IR"/>
          <w:color w:val="111111"/>
          <w:sz w:val="28"/>
          <w:szCs w:val="28"/>
          <w:rtl/>
        </w:rPr>
        <w:t xml:space="preserve">خط: نستعلیق ریز متوسط، كا: فرج الله، تا: ۱۲۹۲ق؛ کاغذ: شکری آهار مهره، جلد: دو رویه، رو گل و بوته رنگ و روغنی، ۱۲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۸سم [ف: ۹-۲۵۹]</w:t>
      </w:r>
    </w:p>
    <w:p>
      <w:pPr>
        <w:pStyle w:val="Heading3"/>
      </w:pPr>
      <w:bookmarkStart w:id="1076" w:name="_Toc336"/>
      <w:r>
        <w:t>• بهاریه / شعر / فارسی</w:t>
      </w:r>
      <w:bookmarkEnd w:id="1076"/>
    </w:p>
    <w:p>
      <w:pPr>
        <w:pStyle w:val="BookText"/>
      </w:pPr>
      <w:r>
        <w:rPr>
          <w:rFonts w:ascii="Times New Roman" w:hAnsi="Times New Roman" w:eastAsia="Times New Roman" w:cs="Times New Roman"/>
          <w:lang w:val="en-US" w:bidi="en-US"/>
          <w:color w:val="111111"/>
          <w:sz w:val="28"/>
          <w:szCs w:val="28"/>
          <w:rtl/>
        </w:rPr>
        <w:t xml:space="preserve">bahārīye</w:t>
      </w:r>
    </w:p>
    <w:p>
      <w:pPr>
        <w:pStyle w:val="BookText"/>
      </w:pPr>
      <w:r>
        <w:rPr>
          <w:rFonts w:ascii="IRNazanin" w:hAnsi="IRNazanin" w:eastAsia="IRNazanin" w:cs="IRNazanin"/>
          <w:lang w:bidi="fa-IR"/>
          <w:color w:val="111111"/>
          <w:sz w:val="28"/>
          <w:szCs w:val="28"/>
          <w:rtl/>
        </w:rPr>
        <w:t xml:space="preserve">این شعر هم که قصیده ای در وصف بهار است، گویا از همان سراینده منظومه قبلی [لیلی و مجنون که ناشناس است) باشد، زیرا در عنوان آن نوشته: «و له بهاریه، مجهول القائله». اشعار دیگری نیز از همو در ادامه آمده است.</w:t>
      </w:r>
    </w:p>
    <w:p>
      <w:pPr>
        <w:pStyle w:val="BookText"/>
      </w:pPr>
      <w:r>
        <w:rPr>
          <w:rFonts w:ascii="IRNazanin" w:hAnsi="IRNazanin" w:eastAsia="IRNazanin" w:cs="IRNazanin"/>
          <w:lang w:bidi="fa-IR"/>
          <w:color w:val="111111"/>
          <w:sz w:val="28"/>
          <w:szCs w:val="28"/>
          <w:rtl/>
        </w:rPr>
        <w:t xml:space="preserve">تهران؛ مجلس؛ شماره نسخه: ۸۱۷۳/۹۹</w:t>
      </w:r>
    </w:p>
    <w:p>
      <w:pPr>
        <w:pStyle w:val="BookText"/>
      </w:pPr>
      <w:r>
        <w:rPr>
          <w:rFonts w:ascii="IRNazanin" w:hAnsi="IRNazanin" w:eastAsia="IRNazanin" w:cs="IRNazanin"/>
          <w:lang w:bidi="fa-IR"/>
          <w:color w:val="111111"/>
          <w:sz w:val="28"/>
          <w:szCs w:val="28"/>
          <w:rtl/>
        </w:rPr>
        <w:t xml:space="preserve">آغاز: بهار آمد که از گلبن همی بانگ هزار آید***بهر ساعت خروش مرغ زار از مرغزار آید</w:t>
      </w:r>
    </w:p>
    <w:p>
      <w:pPr>
        <w:pStyle w:val="BookText"/>
      </w:pPr>
      <w:r>
        <w:rPr>
          <w:rFonts w:ascii="IRNazanin" w:hAnsi="IRNazanin" w:eastAsia="IRNazanin" w:cs="IRNazanin"/>
          <w:lang w:bidi="fa-IR"/>
          <w:color w:val="111111"/>
          <w:sz w:val="28"/>
          <w:szCs w:val="28"/>
          <w:rtl/>
        </w:rPr>
        <w:t xml:space="preserve">خط: شکسته نستعلیق، كا: صحبت الله خان ملقب به دبیر همایون، تا: آغاز قرن ۱۴؛ راسته و چلیپا، دارای رکابه؛ کاغذ: نازک کاهی شکننده، جلد: تیماج قهوه ای دارای دو ردیف جدول ساده در اطراف، ۲ص (۲۶۵-۲۶۶)،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۱۳/۴ سم [ف: ۲۷/۱ -۳۴۶]</w:t>
      </w:r>
    </w:p>
    <w:p>
      <w:pPr>
        <w:pStyle w:val="Heading3"/>
      </w:pPr>
      <w:bookmarkStart w:id="1077" w:name="_Toc337"/>
      <w:r>
        <w:t>• بهاگوترا (ترجمه) / كلام و اعتقادات / فارسی</w:t>
      </w:r>
      <w:bookmarkEnd w:id="1077"/>
    </w:p>
    <w:p>
      <w:pPr>
        <w:pStyle w:val="BookText"/>
      </w:pPr>
      <w:r>
        <w:rPr>
          <w:rFonts w:ascii="Times New Roman" w:hAnsi="Times New Roman" w:eastAsia="Times New Roman" w:cs="Times New Roman"/>
          <w:lang w:val="en-US" w:bidi="en-US"/>
          <w:color w:val="111111"/>
          <w:sz w:val="28"/>
          <w:szCs w:val="28"/>
          <w:rtl/>
        </w:rPr>
        <w:t xml:space="preserve">bahāgūtrā (t.)</w:t>
      </w:r>
    </w:p>
    <w:p>
      <w:pPr>
        <w:pStyle w:val="BookText"/>
      </w:pPr>
      <w:r>
        <w:rPr>
          <w:rFonts w:ascii="IRNazanin" w:hAnsi="IRNazanin" w:eastAsia="IRNazanin" w:cs="IRNazanin"/>
          <w:lang w:bidi="fa-IR"/>
          <w:color w:val="111111"/>
          <w:sz w:val="28"/>
          <w:szCs w:val="28"/>
          <w:rtl/>
        </w:rPr>
        <w:t xml:space="preserve">مشهد؛ رضوی؛ شماره نسخه: ۲۴۷۰۲</w:t>
      </w:r>
    </w:p>
    <w:p>
      <w:pPr>
        <w:pStyle w:val="BookText"/>
      </w:pPr>
      <w:r>
        <w:rPr>
          <w:rFonts w:ascii="IRNazanin" w:hAnsi="IRNazanin" w:eastAsia="IRNazanin" w:cs="IRNazanin"/>
          <w:lang w:bidi="fa-IR"/>
          <w:color w:val="111111"/>
          <w:sz w:val="28"/>
          <w:szCs w:val="28"/>
          <w:rtl/>
        </w:rPr>
        <w:t xml:space="preserve">آغاز: بسمله هنگامیکه راجه مرجهت نه دفتر از جمله؛ انجام: به اتمام رسید. نویسنده را نیست فردا امید</w:t>
      </w:r>
    </w:p>
    <w:p>
      <w:pPr>
        <w:pStyle w:val="BookText"/>
      </w:pPr>
      <w:r>
        <w:rPr>
          <w:rFonts w:ascii="IRNazanin" w:hAnsi="IRNazanin" w:eastAsia="IRNazanin" w:cs="IRNazanin"/>
          <w:lang w:bidi="fa-IR"/>
          <w:color w:val="111111"/>
          <w:sz w:val="28"/>
          <w:szCs w:val="28"/>
          <w:rtl/>
        </w:rPr>
        <w:t xml:space="preserve">خط: نستعلیق خفی، بی کا، تا: قرن ۱۲ کاغذ: نخودی سرخی، جلد: تیماج فرنگی، سطور چلیپایی تلفیقی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قطع: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13" w:name="pg20363_209296"/>
    <w:bookmarkEnd w:id="113"/>
    <w:p>
      <w:pPr>
        <w:pStyle w:val="BookText"/>
      </w:pPr>
      <w:r>
        <w:rPr>
          <w:rFonts w:ascii="IRNazanin" w:hAnsi="IRNazanin" w:eastAsia="IRNazanin" w:cs="IRNazanin"/>
          <w:lang w:bidi="fa-IR"/>
          <w:color w:val="111111"/>
          <w:sz w:val="28"/>
          <w:szCs w:val="28"/>
          <w:rtl/>
        </w:rPr>
        <w:t xml:space="preserve">وزیری کوچک،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۱۳/۳</w:t>
      </w:r>
    </w:p>
    <w:p>
      <w:pPr>
        <w:pStyle w:val="BookText"/>
      </w:pPr>
      <w:r>
        <w:rPr>
          <w:rFonts w:ascii="IRNazanin" w:hAnsi="IRNazanin" w:eastAsia="IRNazanin" w:cs="IRNazanin"/>
          <w:lang w:bidi="fa-IR"/>
          <w:color w:val="111111"/>
          <w:sz w:val="28"/>
          <w:szCs w:val="28"/>
          <w:rtl/>
        </w:rPr>
        <w:t xml:space="preserve">سم [رایانه]</w:t>
      </w:r>
    </w:p>
    <w:p>
      <w:pPr>
        <w:pStyle w:val="Heading3"/>
      </w:pPr>
      <w:bookmarkStart w:id="1078" w:name="_Toc338"/>
      <w:r>
        <w:t>•بها گوت گیتا / ادیان و مذاهب / فارسی</w:t>
      </w:r>
      <w:bookmarkEnd w:id="1078"/>
    </w:p>
    <w:p>
      <w:pPr>
        <w:pStyle w:val="BookText"/>
      </w:pPr>
      <w:r>
        <w:rPr>
          <w:rFonts w:ascii="Times New Roman" w:hAnsi="Times New Roman" w:eastAsia="Times New Roman" w:cs="Times New Roman"/>
          <w:lang w:val="en-US" w:bidi="en-US"/>
          <w:color w:val="111111"/>
          <w:sz w:val="28"/>
          <w:szCs w:val="28"/>
          <w:rtl/>
        </w:rPr>
        <w:t xml:space="preserve">bahā gūt gītā</w:t>
      </w:r>
    </w:p>
    <w:p>
      <w:pPr>
        <w:pStyle w:val="BookText"/>
      </w:pPr>
      <w:r>
        <w:rPr>
          <w:rFonts w:ascii="IRNazanin" w:hAnsi="IRNazanin" w:eastAsia="IRNazanin" w:cs="IRNazanin"/>
          <w:lang w:bidi="fa-IR"/>
          <w:color w:val="111111"/>
          <w:sz w:val="28"/>
          <w:szCs w:val="28"/>
          <w:rtl/>
        </w:rPr>
        <w:t xml:space="preserve">مشهد؛ رضوی؛ شماره نسخه: ۲۷۷۶۶</w:t>
      </w:r>
    </w:p>
    <w:p>
      <w:pPr>
        <w:pStyle w:val="BookText"/>
      </w:pPr>
      <w:r>
        <w:rPr>
          <w:rFonts w:ascii="IRNazanin" w:hAnsi="IRNazanin" w:eastAsia="IRNazanin" w:cs="IRNazanin"/>
          <w:lang w:bidi="fa-IR"/>
          <w:color w:val="111111"/>
          <w:sz w:val="28"/>
          <w:szCs w:val="28"/>
          <w:rtl/>
        </w:rPr>
        <w:t xml:space="preserve">آغاز: گفت که ای راجه ... بخاطر آوردند که او تار برای دور کردن ... زمین نمودیم؛ انجام: کماندار خواهند بود دنیا و ظفر و حکومت جاوید و عدل آنجا خواهد بود ... او یکتا دکایتری و کو بند خاطر باشد</w:t>
      </w:r>
    </w:p>
    <w:p>
      <w:pPr>
        <w:pStyle w:val="BookText"/>
      </w:pPr>
      <w:r>
        <w:rPr>
          <w:rFonts w:ascii="IRNazanin" w:hAnsi="IRNazanin" w:eastAsia="IRNazanin" w:cs="IRNazanin"/>
          <w:lang w:bidi="fa-IR"/>
          <w:color w:val="111111"/>
          <w:sz w:val="28"/>
          <w:szCs w:val="28"/>
          <w:rtl/>
        </w:rPr>
        <w:t xml:space="preserve">خط: نستعلیق خفی، بی کا، بی تا، افتادگی: آغاز و انجام؛ کاغذ: حنایی، جلد: تیماج، ۱۶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قطع: وزیری، اندازه:15</w:t>
      </w:r>
      <w:r>
        <w:rPr>
          <w:rFonts w:ascii="Times New Roman" w:hAnsi="Times New Roman" w:eastAsia="Times New Roman" w:cs="Times New Roman"/>
          <w:lang w:val="en-US" w:bidi="en-US"/>
          <w:color w:val="111111"/>
          <w:sz w:val="28"/>
          <w:szCs w:val="28"/>
          <w:rtl/>
        </w:rPr>
        <w:t xml:space="preserve">×22/5 </w:t>
      </w:r>
      <w:r>
        <w:rPr>
          <w:rFonts w:ascii="IRNazanin" w:hAnsi="IRNazanin" w:eastAsia="IRNazanin" w:cs="IRNazanin"/>
          <w:lang w:bidi="fa-IR"/>
          <w:color w:val="111111"/>
          <w:sz w:val="28"/>
          <w:szCs w:val="28"/>
          <w:rtl/>
        </w:rPr>
        <w:t xml:space="preserve">سم [رایانه]</w:t>
      </w:r>
    </w:p>
    <w:p>
      <w:pPr>
        <w:pStyle w:val="BookText"/>
      </w:pPr>
      <w:r>
        <w:rPr>
          <w:rFonts w:ascii="IRNazanin" w:hAnsi="IRNazanin" w:eastAsia="IRNazanin" w:cs="IRNazanin"/>
          <w:lang w:bidi="fa-IR"/>
          <w:color w:val="111111"/>
          <w:sz w:val="28"/>
          <w:szCs w:val="28"/>
          <w:rtl/>
        </w:rPr>
        <w:t xml:space="preserve">← البهبهانية ← اجوبة مسائل البهبهانی</w:t>
      </w:r>
    </w:p>
    <w:p>
      <w:pPr>
        <w:pStyle w:val="BookText"/>
      </w:pPr>
      <w:r>
        <w:rPr>
          <w:rFonts w:ascii="Amiri" w:hAnsi="Amiri" w:eastAsia="Amiri" w:cs="Amiri"/>
          <w:lang w:bidi="ar-SA"/>
          <w:color w:val="111111"/>
          <w:sz w:val="28"/>
          <w:szCs w:val="28"/>
          <w:rtl/>
        </w:rPr>
        <w:t xml:space="preserve">← بهجات الارواح و فرحات الاشباح ← بهجة الارواح و فرحة الاشباح</w:t>
      </w:r>
    </w:p>
    <w:p>
      <w:pPr>
        <w:pStyle w:val="Heading3"/>
      </w:pPr>
      <w:bookmarkStart w:id="1079" w:name="_Toc339"/>
      <w:r>
        <w:t>•البهجة / فقه، شعر / عربی</w:t>
      </w:r>
      <w:bookmarkEnd w:id="1079"/>
    </w:p>
    <w:p>
      <w:pPr>
        <w:pStyle w:val="BookText"/>
      </w:pPr>
      <w:r>
        <w:rPr>
          <w:rFonts w:ascii="Times New Roman" w:hAnsi="Times New Roman" w:eastAsia="Times New Roman" w:cs="Times New Roman"/>
          <w:lang w:val="en-US" w:bidi="en-US"/>
          <w:color w:val="111111"/>
          <w:sz w:val="28"/>
          <w:szCs w:val="28"/>
          <w:rtl/>
        </w:rPr>
        <w:t xml:space="preserve">al-bahja</w:t>
      </w:r>
    </w:p>
    <w:p>
      <w:pPr>
        <w:pStyle w:val="BookText"/>
      </w:pPr>
      <w:r>
        <w:rPr>
          <w:rFonts w:ascii="IRNazanin" w:hAnsi="IRNazanin" w:eastAsia="IRNazanin" w:cs="IRNazanin"/>
          <w:lang w:bidi="fa-IR"/>
          <w:color w:val="111111"/>
          <w:sz w:val="28"/>
          <w:szCs w:val="28"/>
          <w:rtl/>
        </w:rPr>
        <w:t xml:space="preserve">عراقی، محمد</w:t>
      </w:r>
    </w:p>
    <w:p>
      <w:pPr>
        <w:pStyle w:val="BookText"/>
      </w:pPr>
      <w:r>
        <w:rPr>
          <w:rFonts w:ascii="Times New Roman" w:hAnsi="Times New Roman" w:eastAsia="Times New Roman" w:cs="Times New Roman"/>
          <w:lang w:val="en-US" w:bidi="en-US"/>
          <w:color w:val="111111"/>
          <w:sz w:val="28"/>
          <w:szCs w:val="28"/>
          <w:rtl/>
        </w:rPr>
        <w:t xml:space="preserve">‘erāqī, mohammad</w:t>
      </w:r>
    </w:p>
    <w:p>
      <w:pPr>
        <w:pStyle w:val="BookText"/>
      </w:pPr>
      <w:r>
        <w:rPr>
          <w:rFonts w:ascii="IRNazanin" w:hAnsi="IRNazanin" w:eastAsia="IRNazanin" w:cs="IRNazanin"/>
          <w:lang w:bidi="fa-IR"/>
          <w:color w:val="111111"/>
          <w:sz w:val="28"/>
          <w:szCs w:val="28"/>
          <w:rtl/>
        </w:rPr>
        <w:t xml:space="preserve">کتابی است مختصر در فقه که به صورت منظوم آورده است.</w:t>
      </w:r>
    </w:p>
    <w:p>
      <w:pPr>
        <w:pStyle w:val="BookText"/>
      </w:pPr>
      <w:r>
        <w:rPr>
          <w:rFonts w:ascii="IRNazanin" w:hAnsi="IRNazanin" w:eastAsia="IRNazanin" w:cs="IRNazanin"/>
          <w:lang w:bidi="fa-IR"/>
          <w:color w:val="111111"/>
          <w:sz w:val="28"/>
          <w:szCs w:val="28"/>
          <w:rtl/>
        </w:rPr>
        <w:t xml:space="preserve">قم؛ مسجد اعظم؛ شماره نسخه: ۱۲۳۰</w:t>
      </w:r>
    </w:p>
    <w:p>
      <w:pPr>
        <w:pStyle w:val="BookText"/>
      </w:pPr>
      <w:r>
        <w:rPr>
          <w:rFonts w:ascii="IRNazanin" w:hAnsi="IRNazanin" w:eastAsia="IRNazanin" w:cs="IRNazanin"/>
          <w:lang w:bidi="fa-IR"/>
          <w:color w:val="111111"/>
          <w:sz w:val="28"/>
          <w:szCs w:val="28"/>
          <w:rtl/>
        </w:rPr>
        <w:t xml:space="preserve">آغاز: فصل في العقد و مقدماته: يندب للمحتاج ذي التأهب*** ان ينكح الولود ذات النسب؛ انجام: قلت وعن حجة الاسلام روی ***لايحصل العتق بدون آن نوی.</w:t>
      </w:r>
    </w:p>
    <w:p>
      <w:pPr>
        <w:pStyle w:val="BookText"/>
      </w:pPr>
      <w:r>
        <w:rPr>
          <w:rFonts w:ascii="IRNazanin" w:hAnsi="IRNazanin" w:eastAsia="IRNazanin" w:cs="IRNazanin"/>
          <w:lang w:bidi="fa-IR"/>
          <w:color w:val="111111"/>
          <w:sz w:val="28"/>
          <w:szCs w:val="28"/>
          <w:rtl/>
        </w:rPr>
        <w:t xml:space="preserve">از باب نکاح تا عتق؛ خط: نسخ، كا: على، تا: ۱۲۹۸ق؛ مهر: محمد حسن ۱۲۸۶» (مربع)؛ جلد: تیماج قهوه ای مجدول، ۷۹گ، ۱۲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مخ: ۱-۲۸۱]</w:t>
      </w:r>
    </w:p>
    <w:p>
      <w:pPr>
        <w:pStyle w:val="Heading3"/>
      </w:pPr>
      <w:bookmarkStart w:id="1080" w:name="_Toc340"/>
      <w:r>
        <w:t>•البهجة / منطق، شعر عربی</w:t>
      </w:r>
      <w:bookmarkEnd w:id="1080"/>
    </w:p>
    <w:p>
      <w:pPr>
        <w:pStyle w:val="BookText"/>
      </w:pPr>
      <w:r>
        <w:rPr>
          <w:rFonts w:ascii="Times New Roman" w:hAnsi="Times New Roman" w:eastAsia="Times New Roman" w:cs="Times New Roman"/>
          <w:lang w:val="en-US" w:bidi="en-US"/>
          <w:color w:val="111111"/>
          <w:sz w:val="28"/>
          <w:szCs w:val="28"/>
          <w:rtl/>
        </w:rPr>
        <w:t xml:space="preserve">al-bahja</w:t>
      </w:r>
    </w:p>
    <w:p>
      <w:pPr>
        <w:pStyle w:val="BookText"/>
      </w:pPr>
      <w:r>
        <w:rPr>
          <w:rFonts w:ascii="IRNazanin" w:hAnsi="IRNazanin" w:eastAsia="IRNazanin" w:cs="IRNazanin"/>
          <w:lang w:bidi="fa-IR"/>
          <w:color w:val="111111"/>
          <w:sz w:val="28"/>
          <w:szCs w:val="28"/>
          <w:rtl/>
        </w:rPr>
        <w:t xml:space="preserve">از: صالح. منظومه ای است در دویست و نه بیت و دارای غلط های ادبی و وزنی، در قواعد کلی علم منطق.</w:t>
      </w:r>
    </w:p>
    <w:p>
      <w:pPr>
        <w:pStyle w:val="BookText"/>
      </w:pPr>
      <w:r>
        <w:rPr>
          <w:rFonts w:ascii="IRNazanin" w:hAnsi="IRNazanin" w:eastAsia="IRNazanin" w:cs="IRNazanin"/>
          <w:lang w:bidi="fa-IR"/>
          <w:color w:val="111111"/>
          <w:sz w:val="28"/>
          <w:szCs w:val="28"/>
          <w:rtl/>
        </w:rPr>
        <w:t xml:space="preserve">مشهد؛ میبدی؛ شماره نسخه: ۲۳۰/۱</w:t>
      </w:r>
    </w:p>
    <w:p>
      <w:pPr>
        <w:pStyle w:val="BookText"/>
      </w:pPr>
      <w:r>
        <w:rPr>
          <w:rFonts w:ascii="IRNazanin" w:hAnsi="IRNazanin" w:eastAsia="IRNazanin" w:cs="IRNazanin"/>
          <w:lang w:bidi="fa-IR"/>
          <w:color w:val="111111"/>
          <w:sz w:val="28"/>
          <w:szCs w:val="28"/>
          <w:rtl/>
        </w:rPr>
        <w:t xml:space="preserve">آغاز: الحمدلله على نعمائه</w:t>
      </w:r>
      <w:r>
        <w:rPr>
          <w:rFonts w:ascii="Amiri" w:hAnsi="Amiri" w:eastAsia="Amiri" w:cs="Amiri"/>
          <w:lang w:bidi="ar-SA"/>
          <w:color w:val="111111"/>
          <w:sz w:val="28"/>
          <w:szCs w:val="28"/>
          <w:b w:val="1"/>
          <w:bCs w:val="1"/>
          <w:i w:val="1"/>
          <w:iCs w:val="1"/>
          <w:rtl/>
        </w:rPr>
        <w:t xml:space="preserve">و الشكر لله على آلائه / ثم الصلاة على احمد المختار</w:t>
      </w:r>
      <w:r>
        <w:rPr>
          <w:rFonts w:ascii="IRNazanin" w:hAnsi="IRNazanin" w:eastAsia="IRNazanin" w:cs="IRNazanin"/>
          <w:lang w:bidi="fa-IR"/>
          <w:color w:val="111111"/>
          <w:sz w:val="28"/>
          <w:szCs w:val="28"/>
          <w:rtl/>
        </w:rPr>
        <w:t xml:space="preserve"> و آله المنتخب الأبرار؛ انجام: ثم نصلی بالرسول المصطفى *** و آله الاثني عشر و المرتضی خط: نستعلیق، بی کا، تا: غره محرم ۱۲۱۸ق؛ جلد: تیماج مشکی بدون مقوا، ۳۶گ (۸پ -ر۴۳)،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۱-۱۸۱]</w:t>
      </w:r>
    </w:p>
    <w:p>
      <w:pPr>
        <w:pStyle w:val="Heading3"/>
      </w:pPr>
      <w:bookmarkStart w:id="1081" w:name="_Toc341"/>
      <w:r>
        <w:t>•بهجة الاحباب / شعر / فارسی</w:t>
      </w:r>
      <w:bookmarkEnd w:id="1081"/>
    </w:p>
    <w:p>
      <w:pPr>
        <w:pStyle w:val="BookText"/>
      </w:pPr>
      <w:r>
        <w:rPr>
          <w:rFonts w:ascii="Times New Roman" w:hAnsi="Times New Roman" w:eastAsia="Times New Roman" w:cs="Times New Roman"/>
          <w:lang w:val="en-US" w:bidi="en-US"/>
          <w:color w:val="111111"/>
          <w:sz w:val="28"/>
          <w:szCs w:val="28"/>
          <w:rtl/>
        </w:rPr>
        <w:t xml:space="preserve">bahjat-ol ahbāb</w:t>
      </w:r>
    </w:p>
    <w:p>
      <w:pPr>
        <w:pStyle w:val="BookText"/>
      </w:pPr>
      <w:r>
        <w:rPr>
          <w:rFonts w:ascii="IRNazanin" w:hAnsi="IRNazanin" w:eastAsia="IRNazanin" w:cs="IRNazanin"/>
          <w:lang w:bidi="fa-IR"/>
          <w:color w:val="111111"/>
          <w:sz w:val="28"/>
          <w:szCs w:val="28"/>
          <w:rtl/>
        </w:rPr>
        <w:t xml:space="preserve">خاموش یزدی، میرزا علیخان، ۱۳۷۹ قمری</w:t>
      </w:r>
    </w:p>
    <w:p>
      <w:pPr>
        <w:pStyle w:val="BookText"/>
      </w:pPr>
      <w:r>
        <w:rPr>
          <w:rFonts w:ascii="Times New Roman" w:hAnsi="Times New Roman" w:eastAsia="Times New Roman" w:cs="Times New Roman"/>
          <w:lang w:val="en-US" w:bidi="en-US"/>
          <w:color w:val="111111"/>
          <w:sz w:val="28"/>
          <w:szCs w:val="28"/>
          <w:rtl/>
        </w:rPr>
        <w:t xml:space="preserve">xāmūš-e yazdī, mīrzā 'alī-xan (- 1960)</w:t>
      </w:r>
    </w:p>
    <w:p>
      <w:pPr>
        <w:pStyle w:val="BookText"/>
      </w:pPr>
      <w:r>
        <w:rPr>
          <w:rFonts w:ascii="IRNazanin" w:hAnsi="IRNazanin" w:eastAsia="IRNazanin" w:cs="IRNazanin"/>
          <w:lang w:bidi="fa-IR"/>
          <w:color w:val="111111"/>
          <w:sz w:val="28"/>
          <w:szCs w:val="28"/>
          <w:rtl/>
        </w:rPr>
        <w:t xml:space="preserve">مشتمل بر قصایدی است که اغلب مختوم به ماده تاریخ می باشد.</w:t>
      </w:r>
    </w:p>
    <w:p>
      <w:pPr>
        <w:pStyle w:val="BookText"/>
      </w:pPr>
      <w:r>
        <w:rPr>
          <w:rFonts w:ascii="IRNazanin" w:hAnsi="IRNazanin" w:eastAsia="IRNazanin" w:cs="IRNazanin"/>
          <w:lang w:bidi="fa-IR"/>
          <w:color w:val="111111"/>
          <w:sz w:val="28"/>
          <w:szCs w:val="28"/>
          <w:rtl/>
        </w:rPr>
        <w:t xml:space="preserve">[دنا ۵۴۷/۲ ؛ فهرستواره منزوی ۳۸۰/۱۰ ]</w:t>
      </w:r>
    </w:p>
    <w:p>
      <w:pPr>
        <w:pStyle w:val="BookText"/>
      </w:pPr>
      <w:r>
        <w:rPr>
          <w:rFonts w:ascii="IRNazanin" w:hAnsi="IRNazanin" w:eastAsia="IRNazanin" w:cs="IRNazanin"/>
          <w:lang w:bidi="fa-IR"/>
          <w:color w:val="111111"/>
          <w:sz w:val="28"/>
          <w:szCs w:val="28"/>
          <w:rtl/>
        </w:rPr>
        <w:t xml:space="preserve">مشهد؛ رضوی؛ شماره نسخه: ۹۵۶۴</w:t>
      </w:r>
    </w:p>
    <w:p>
      <w:pPr>
        <w:pStyle w:val="BookText"/>
      </w:pPr>
      <w:r>
        <w:rPr>
          <w:rFonts w:ascii="IRNazanin" w:hAnsi="IRNazanin" w:eastAsia="IRNazanin" w:cs="IRNazanin"/>
          <w:lang w:bidi="fa-IR"/>
          <w:color w:val="111111"/>
          <w:sz w:val="28"/>
          <w:szCs w:val="28"/>
          <w:rtl/>
        </w:rPr>
        <w:t xml:space="preserve">آغاز: منت و حمد و سپاس ایزد یکتا*** داور دانای بی معاون و همتا؛ انجام: خاموش به یادگار تاریخ سرود***آرامگهش مینوی بادرگاه است خط شکسته نستعلیق، تحریری، كاتب = مؤلف، تا: ۱۳۷۷ق؛ واقف: میرزا علی خاموش، مرداد ۱۳۴۵ش؛ جلد: مقوایی با عطف تیماج قهوه ای، ۱۳۴گ، مختلف السطر،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۹۳-۹ ]</w:t>
      </w:r>
    </w:p>
    <w:p>
      <w:pPr>
        <w:pStyle w:val="Heading3"/>
      </w:pPr>
      <w:bookmarkStart w:id="1082" w:name="_Toc342"/>
      <w:r>
        <w:t>•بهجة الاحباب و سرور الأصحاب = بهجة القلوب / کلام و اعتقادات / فارسی</w:t>
      </w:r>
      <w:bookmarkEnd w:id="1082"/>
    </w:p>
    <w:p>
      <w:pPr>
        <w:pStyle w:val="BookText"/>
      </w:pPr>
      <w:r>
        <w:rPr>
          <w:rFonts w:ascii="Times New Roman" w:hAnsi="Times New Roman" w:eastAsia="Times New Roman" w:cs="Times New Roman"/>
          <w:lang w:val="en-US" w:bidi="en-US"/>
          <w:color w:val="111111"/>
          <w:sz w:val="28"/>
          <w:szCs w:val="28"/>
          <w:rtl/>
        </w:rPr>
        <w:t xml:space="preserve">bahjat-ol ahbāb va sorūr-ol ashāb = bahjat-ol qolūb</w:t>
      </w:r>
    </w:p>
    <w:p>
      <w:pPr>
        <w:pStyle w:val="BookText"/>
      </w:pPr>
      <w:r>
        <w:rPr>
          <w:rFonts w:ascii="IRNazanin" w:hAnsi="IRNazanin" w:eastAsia="IRNazanin" w:cs="IRNazanin"/>
          <w:lang w:bidi="fa-IR"/>
          <w:color w:val="111111"/>
          <w:sz w:val="28"/>
          <w:szCs w:val="28"/>
          <w:rtl/>
        </w:rPr>
        <w:t xml:space="preserve">ثقفی، علی بن محمد، ق۱۳ قمری</w:t>
      </w:r>
    </w:p>
    <w:p>
      <w:pPr>
        <w:pStyle w:val="BookText"/>
      </w:pPr>
      <w:r>
        <w:rPr>
          <w:rFonts w:ascii="Times New Roman" w:hAnsi="Times New Roman" w:eastAsia="Times New Roman" w:cs="Times New Roman"/>
          <w:lang w:val="en-US" w:bidi="en-US"/>
          <w:color w:val="111111"/>
          <w:sz w:val="28"/>
          <w:szCs w:val="28"/>
          <w:rtl/>
        </w:rPr>
        <w:t xml:space="preserve">saqafi , ‘alī ebn-e mohammad (- 19c)</w:t>
      </w:r>
    </w:p>
    <w:p>
      <w:pPr>
        <w:pStyle w:val="BookText"/>
      </w:pPr>
      <w:r>
        <w:rPr>
          <w:rFonts w:ascii="IRNazanin" w:hAnsi="IRNazanin" w:eastAsia="IRNazanin" w:cs="IRNazanin"/>
          <w:lang w:bidi="fa-IR"/>
          <w:color w:val="111111"/>
          <w:sz w:val="28"/>
          <w:szCs w:val="28"/>
          <w:rtl/>
        </w:rPr>
        <w:t xml:space="preserve">ترجمه و شرحی است بر منظومه غدیریه امیر محمد تقی حسینی که در اثبات امامت حضرت علی(عليه السلام) سروده است. اصل این منظومه به عربی است و شارح با آوردن یک بیت به ترجمه فارسی آن می پردازد و در اندک مواردی شرح مختصر نیز می دهد. این شرح را شارح در حال حیات ناظم نوشته است. وی در آغاز گوید: «امر فرمود استاد معظم و مولای مفخم ... امیر محمد تقی الحسینی ... که این ذره بیمقدار علی بن محمد تقی ... ترجمه نموده شود منظومه موسومه به مبار که به زبان فارسی که تا هر فارسی زبانی نیز از او بهره ور گردد و چون این نسخه شریف در نزد احباب محبوب و مزید سرور و مبهج قلوب ایشان گردیده بود لهذا مسمی به بهجة القلوب گردیده».</w:t>
      </w:r>
    </w:p>
    <w:p>
      <w:pPr>
        <w:pStyle w:val="BookText"/>
      </w:pPr>
      <w:r>
        <w:rPr>
          <w:rFonts w:ascii="IRNazanin" w:hAnsi="IRNazanin" w:eastAsia="IRNazanin" w:cs="IRNazanin"/>
          <w:lang w:bidi="fa-IR"/>
          <w:color w:val="111111"/>
          <w:sz w:val="28"/>
          <w:szCs w:val="28"/>
          <w:rtl/>
        </w:rPr>
        <w:t xml:space="preserve">آغاز: قصيده: الحمد لله و لا سواه*** فلا اله مطلقا الاهو .. شرح: الحمد الله و الصلوة ... و بعد چنین گوید احوج ... بسوی پروردگار خفی علی بن محمد ثقفی ... بنام خداوند بخشاینده وجود بهمه اشیاء</w:t>
      </w:r>
    </w:p>
    <w:p>
      <w:pPr>
        <w:pStyle w:val="BookText"/>
      </w:pPr>
      <w:r>
        <w:rPr>
          <w:rFonts w:ascii="IRNazanin" w:hAnsi="IRNazanin" w:eastAsia="IRNazanin" w:cs="IRNazanin"/>
          <w:lang w:bidi="fa-IR"/>
          <w:color w:val="111111"/>
          <w:sz w:val="28"/>
          <w:szCs w:val="28"/>
          <w:rtl/>
        </w:rPr>
        <w:t xml:space="preserve">انجام: انکاره انتقال سید الرسل*** وقوله يهذو و يهجر الرجل. انکار نمود موت پیغمبر را تا اینکه ... و نسبت حجر و هذیان داد به پیغمبر</w:t>
      </w:r>
    </w:p>
    <w:p>
      <w:pPr>
        <w:pStyle w:val="BookText"/>
      </w:pPr>
      <w:r>
        <w:rPr>
          <w:rFonts w:ascii="IRNazanin" w:hAnsi="IRNazanin" w:eastAsia="IRNazanin" w:cs="IRNazanin"/>
          <w:lang w:bidi="fa-IR"/>
          <w:color w:val="111111"/>
          <w:sz w:val="28"/>
          <w:szCs w:val="28"/>
          <w:rtl/>
        </w:rPr>
        <w:t xml:space="preserve">[دنا ۵۴۷/۲ ؛ مجلس ۱۰۲/۹ با عنوان «بهجة القلوب» که تحریر دیگری است از رساله با اندکی تغییراتی در بعضی موارد؛ فهرستواره منزوی ۱۵۵/۹ و ۳۸۱/۱۰ ]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14" w:name="pg20363_209297"/>
    <w:bookmarkEnd w:id="114"/>
    <w:p>
      <w:pPr>
        <w:pStyle w:val="BookText"/>
      </w:pPr>
      <w:r>
        <w:rPr>
          <w:rFonts w:ascii="IRNazanin" w:hAnsi="IRNazanin" w:eastAsia="IRNazanin" w:cs="IRNazanin"/>
          <w:lang w:bidi="fa-IR"/>
          <w:color w:val="111111"/>
          <w:sz w:val="28"/>
          <w:szCs w:val="28"/>
          <w:rtl/>
        </w:rPr>
        <w:t xml:space="preserve">۱. تهران؛ مجلس؛ شماره نسخه: ۱۳۸۸۲/۲</w:t>
      </w:r>
    </w:p>
    <w:p>
      <w:pPr>
        <w:pStyle w:val="BookText"/>
      </w:pPr>
      <w:r>
        <w:rPr>
          <w:rFonts w:ascii="IRNazanin" w:hAnsi="IRNazanin" w:eastAsia="IRNazanin" w:cs="IRNazanin"/>
          <w:lang w:bidi="fa-IR"/>
          <w:color w:val="111111"/>
          <w:sz w:val="28"/>
          <w:szCs w:val="28"/>
          <w:rtl/>
        </w:rPr>
        <w:t xml:space="preserve">آغاز: آغاز منظومه: الحمد لله ولا سواه</w:t>
      </w:r>
      <w:r>
        <w:rPr>
          <w:rFonts w:ascii="IRNazanin" w:hAnsi="IRNazanin" w:eastAsia="IRNazanin" w:cs="IRNazanin"/>
          <w:lang w:bidi="fa-IR"/>
          <w:color w:val="111111"/>
          <w:sz w:val="28"/>
          <w:szCs w:val="28"/>
          <w:b w:val="1"/>
          <w:bCs w:val="1"/>
          <w:i w:val="1"/>
          <w:iCs w:val="1"/>
          <w:rtl/>
        </w:rPr>
        <w:t xml:space="preserve">قلا اله مطلقا الا هو / اخترع الاعالم بانتظام</w:t>
      </w:r>
      <w:r>
        <w:rPr>
          <w:rFonts w:ascii="IRNazanin" w:hAnsi="IRNazanin" w:eastAsia="IRNazanin" w:cs="IRNazanin"/>
          <w:lang w:bidi="fa-IR"/>
          <w:color w:val="111111"/>
          <w:sz w:val="28"/>
          <w:szCs w:val="28"/>
          <w:rtl/>
        </w:rPr>
        <w:t xml:space="preserve"> منظمة باكمل النظام. آغاز: الحمد لله و کفی و سلام على عباده الذين اصطفی اما بعد امر فرمود استاد اعظم و مولای افخم نحریر علما و صنديد فضلا شيخ جليل امیر محمد تقی الحسینی ادام الله افضاله بالنبي والوصی به ذره بی مقدار و فقیر خاکسار ... که ترجمه نموده منظومه مرسومه مبارکه را که رشحه ای از فیوضات خامه مشكين ختامه آن جناب بود؛ انجام: انجام منظومه: بلمحة من الولايات ختم</w:t>
      </w:r>
      <w:r>
        <w:rPr>
          <w:rFonts w:ascii="IRNazanin" w:hAnsi="IRNazanin" w:eastAsia="IRNazanin" w:cs="IRNazanin"/>
          <w:lang w:bidi="fa-IR"/>
          <w:color w:val="111111"/>
          <w:sz w:val="28"/>
          <w:szCs w:val="28"/>
          <w:b w:val="1"/>
          <w:bCs w:val="1"/>
          <w:i w:val="1"/>
          <w:iCs w:val="1"/>
          <w:rtl/>
        </w:rPr>
        <w:t xml:space="preserve">حق حقایق الهدايات وتم / و انما اودعت في الكتاب</w:t>
      </w:r>
      <w:r>
        <w:rPr>
          <w:rFonts w:ascii="IRNazanin" w:hAnsi="IRNazanin" w:eastAsia="IRNazanin" w:cs="IRNazanin"/>
          <w:lang w:bidi="fa-IR"/>
          <w:color w:val="111111"/>
          <w:sz w:val="28"/>
          <w:szCs w:val="28"/>
          <w:rtl/>
        </w:rPr>
        <w:t xml:space="preserve">هدی و ذکری لاولی الباب. انجام: و هذا بصائر من ربكم و هدی و رحمة لقوم يؤمنون الحمد لله مصليا على رسول الله و آله الى الله ولا حول ولا قوة الا بالله العلى العظيم</w:t>
      </w:r>
    </w:p>
    <w:p>
      <w:pPr>
        <w:pStyle w:val="BookText"/>
      </w:pPr>
      <w:r>
        <w:rPr>
          <w:rFonts w:ascii="IRNazanin" w:hAnsi="IRNazanin" w:eastAsia="IRNazanin" w:cs="IRNazanin"/>
          <w:lang w:bidi="fa-IR"/>
          <w:color w:val="111111"/>
          <w:sz w:val="28"/>
          <w:szCs w:val="28"/>
          <w:rtl/>
        </w:rPr>
        <w:t xml:space="preserve">خط: نسخ، كا: ابو تراب حسینی، تا: چهارشنبه ۲۴ ربیع الثانی ۱۲۵۷ق؛ جلد: تیماج قهوه ای مجدول، ۳۰گ (۷۲پ-۱۰۱پ) [ف: ۳۷-۴۵۸]</w:t>
      </w:r>
    </w:p>
    <w:p>
      <w:pPr>
        <w:pStyle w:val="BookText"/>
      </w:pPr>
      <w:r>
        <w:rPr>
          <w:rFonts w:ascii="IRNazanin" w:hAnsi="IRNazanin" w:eastAsia="IRNazanin" w:cs="IRNazanin"/>
          <w:lang w:bidi="fa-IR"/>
          <w:color w:val="111111"/>
          <w:sz w:val="28"/>
          <w:szCs w:val="28"/>
          <w:rtl/>
        </w:rPr>
        <w:t xml:space="preserve">۲. تهران؛ مجلس؛ شماره نسخه: ۲۷۴۵/۵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بی کا، بی تا؛ کاغذ: گوناگون، جلد: تیماج عنابی مقوایی، ۱۶ص (۲۰۱-۲۱۶)، قطع: خشتی، اندازه:۱۸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۹-۱۰۲]</w:t>
      </w:r>
    </w:p>
    <w:p>
      <w:pPr>
        <w:pStyle w:val="Heading3"/>
      </w:pPr>
      <w:bookmarkStart w:id="1083" w:name="_Toc343"/>
      <w:r>
        <w:t>•بهجة الادیب و مهجة الأريب / ادبیات عربی</w:t>
      </w:r>
      <w:bookmarkEnd w:id="1083"/>
    </w:p>
    <w:p>
      <w:pPr>
        <w:pStyle w:val="BookText"/>
      </w:pPr>
      <w:r>
        <w:rPr>
          <w:rFonts w:ascii="Times New Roman" w:hAnsi="Times New Roman" w:eastAsia="Times New Roman" w:cs="Times New Roman"/>
          <w:lang w:val="en-US" w:bidi="en-US"/>
          <w:color w:val="111111"/>
          <w:sz w:val="28"/>
          <w:szCs w:val="28"/>
          <w:rtl/>
        </w:rPr>
        <w:t xml:space="preserve">bahjat-ul adīb wa muhjat-ul arīb</w:t>
      </w:r>
    </w:p>
    <w:p>
      <w:pPr>
        <w:pStyle w:val="BookText"/>
      </w:pPr>
      <w:r>
        <w:rPr>
          <w:rFonts w:ascii="IRNazanin" w:hAnsi="IRNazanin" w:eastAsia="IRNazanin" w:cs="IRNazanin"/>
          <w:lang w:bidi="fa-IR"/>
          <w:color w:val="111111"/>
          <w:sz w:val="28"/>
          <w:szCs w:val="28"/>
          <w:rtl/>
        </w:rPr>
        <w:t xml:space="preserve">در دو «باب»: ۱. منثورات، ۲. منظومات، هریک در چندین «فصل». جز «بهجة الاريب في الكتاب العزيز الغريب» علاء الدين ابوالحسن علی بن عثمان بن ابراهيم ماردینی ( - ۷۵۰ق) است.</w:t>
      </w:r>
    </w:p>
    <w:p>
      <w:pPr>
        <w:pStyle w:val="BookText"/>
      </w:pPr>
      <w:r>
        <w:rPr>
          <w:rFonts w:ascii="IRNazanin" w:hAnsi="IRNazanin" w:eastAsia="IRNazanin" w:cs="IRNazanin"/>
          <w:lang w:bidi="fa-IR"/>
          <w:color w:val="111111"/>
          <w:sz w:val="28"/>
          <w:szCs w:val="28"/>
          <w:rtl/>
        </w:rPr>
        <w:t xml:space="preserve">[بروکلمان ۶۴/۲ ، ذیل ۶۸/۲؛ دنا ۵۴۸/۲ ]</w:t>
      </w:r>
    </w:p>
    <w:p>
      <w:pPr>
        <w:pStyle w:val="BookText"/>
      </w:pPr>
      <w:r>
        <w:rPr>
          <w:rFonts w:ascii="IRNazanin" w:hAnsi="IRNazanin" w:eastAsia="IRNazanin" w:cs="IRNazanin"/>
          <w:lang w:bidi="fa-IR"/>
          <w:color w:val="111111"/>
          <w:sz w:val="28"/>
          <w:szCs w:val="28"/>
          <w:rtl/>
        </w:rPr>
        <w:t xml:space="preserve">تهران؛ ملک؛ شماره نسخه: ۵۴۷۹</w:t>
      </w:r>
    </w:p>
    <w:p>
      <w:pPr>
        <w:pStyle w:val="BookText"/>
      </w:pPr>
      <w:r>
        <w:rPr>
          <w:rFonts w:ascii="IRNazanin" w:hAnsi="IRNazanin" w:eastAsia="IRNazanin" w:cs="IRNazanin"/>
          <w:lang w:bidi="fa-IR"/>
          <w:color w:val="111111"/>
          <w:sz w:val="28"/>
          <w:szCs w:val="28"/>
          <w:rtl/>
        </w:rPr>
        <w:t xml:space="preserve">آغاز: بسمله، الحمدلله الذي انزل الكتاب و علمنا الحكم و الاداب حمدا يوصل الى المرام ... اما بعد فلما كان في الأدب فائقا على سایر المطالب واقعا منها موقع البدر من الكواكب؛ انجام: و لو لا کونكم في الناس كانوا هذاء كالكلام بلا مغار.</w:t>
      </w:r>
    </w:p>
    <w:p>
      <w:pPr>
        <w:pStyle w:val="BookText"/>
      </w:pPr>
      <w:r>
        <w:rPr>
          <w:rFonts w:ascii="IRNazanin" w:hAnsi="IRNazanin" w:eastAsia="IRNazanin" w:cs="IRNazanin"/>
          <w:lang w:bidi="fa-IR"/>
          <w:color w:val="111111"/>
          <w:sz w:val="28"/>
          <w:szCs w:val="28"/>
          <w:rtl/>
        </w:rPr>
        <w:t xml:space="preserve">خط: نسخ، كا: احمد وقار فرزند وصال شیرازی، تا: ذیحجه ۱۲۷۷ق؛ با کمند و جدول، با سرلوح زرین؛ کاغذ: فرنگی، جلد: رویه روغنی ترنج دار با گل و بوته درون گل نرگس، ۳۷۵گ، ۱۹ سطر، اندازه: ۲۱/۴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۱-۷۴]</w:t>
      </w:r>
    </w:p>
    <w:p>
      <w:pPr>
        <w:pStyle w:val="BookText"/>
      </w:pPr>
      <w:r>
        <w:rPr>
          <w:rFonts w:ascii="Amiri" w:hAnsi="Amiri" w:eastAsia="Amiri" w:cs="Amiri"/>
          <w:lang w:bidi="ar-SA"/>
          <w:color w:val="111111"/>
          <w:sz w:val="28"/>
          <w:szCs w:val="28"/>
          <w:rtl/>
        </w:rPr>
        <w:t xml:space="preserve">← بهجة الأرواح ← بهجت الروح و قوت الأرواح</w:t>
      </w:r>
    </w:p>
    <w:p>
      <w:pPr>
        <w:pStyle w:val="Heading3"/>
      </w:pPr>
      <w:bookmarkStart w:id="1084" w:name="_Toc344"/>
      <w:r>
        <w:t>•بهجة الارواح / تاریخ معصومین / عربی</w:t>
      </w:r>
      <w:bookmarkEnd w:id="1084"/>
    </w:p>
    <w:p>
      <w:pPr>
        <w:pStyle w:val="BookText"/>
      </w:pPr>
      <w:r>
        <w:rPr>
          <w:rFonts w:ascii="Times New Roman" w:hAnsi="Times New Roman" w:eastAsia="Times New Roman" w:cs="Times New Roman"/>
          <w:lang w:val="en-US" w:bidi="en-US"/>
          <w:color w:val="111111"/>
          <w:sz w:val="28"/>
          <w:szCs w:val="28"/>
          <w:rtl/>
        </w:rPr>
        <w:t xml:space="preserve">bahjat-ul arwāḥ</w:t>
      </w:r>
    </w:p>
    <w:p>
      <w:pPr>
        <w:pStyle w:val="BookText"/>
      </w:pPr>
      <w:r>
        <w:rPr>
          <w:rFonts w:ascii="IRNazanin" w:hAnsi="IRNazanin" w:eastAsia="IRNazanin" w:cs="IRNazanin"/>
          <w:lang w:bidi="fa-IR"/>
          <w:color w:val="111111"/>
          <w:sz w:val="28"/>
          <w:szCs w:val="28"/>
          <w:rtl/>
        </w:rPr>
        <w:t xml:space="preserve">بحرانی، محمد بن عبدالله، ق ۱۲ قمری</w:t>
      </w:r>
    </w:p>
    <w:p>
      <w:pPr>
        <w:pStyle w:val="BookText"/>
      </w:pPr>
      <w:r>
        <w:rPr>
          <w:rFonts w:ascii="Times New Roman" w:hAnsi="Times New Roman" w:eastAsia="Times New Roman" w:cs="Times New Roman"/>
          <w:lang w:val="en-US" w:bidi="en-US"/>
          <w:color w:val="111111"/>
          <w:sz w:val="28"/>
          <w:szCs w:val="28"/>
          <w:rtl/>
        </w:rPr>
        <w:t xml:space="preserve">bahrānī, mohammad ebn-e ‘abd-ol-lāh (- 180)</w:t>
      </w:r>
    </w:p>
    <w:p>
      <w:pPr>
        <w:pStyle w:val="BookText"/>
      </w:pPr>
      <w:r>
        <w:rPr>
          <w:rFonts w:ascii="IRNazanin" w:hAnsi="IRNazanin" w:eastAsia="IRNazanin" w:cs="IRNazanin"/>
          <w:lang w:bidi="fa-IR"/>
          <w:color w:val="111111"/>
          <w:sz w:val="28"/>
          <w:szCs w:val="28"/>
          <w:rtl/>
        </w:rPr>
        <w:t xml:space="preserve">اخباری است در میلاد امام حسین(عليه السلام) و مختصری در شجره طيبه ایشان و ذكر بعضی کرامات و معجزات و فضایل ایشان با حذف بیشتر سلسله اسانید و در عنوان «قال صاحب الحديث» و قال الراوی» با ذکر اشعاری در مدح حضرت در جای جای مطالب کتاب. نام مؤلف در کتاب نیامده، لكن به قرینه شباهت سبک نگارش کتاب به نظر می رسد مؤلف کتاب همان ابو العزيز محمد خطی نویسنده دو نسخه دیگر این مجموعه باشد. نام این کتاب در منابع ذکر نشده است لکن در ذیل کتب محمد خطی کتابی با موضوعی یکسان به نام «مولد الحسين (عليه السلام) آمده است که شاید همین نسخه حاضر باشد، لكن آغاز این نسخه در الذریعه (۲: ۲۰۹) علیرغم مشابهت در بعضی کلمات با آغاز این نسخه تفاوت دارد. صاحب الذریعه در طبقات (ق. ۱۲، ص. ۶۶۶) و (الذریعه ۲۳: ۲۷۵) به نسخه ای تحریر ۱۱۹۴ و ۱۱۹۵ق. اشاره می کند که در آن کتاب های «مولد الزهرا» و «مولد الحسین» و مولد الحسن» یا «منيته الطالب» و «مولد الحجة» یا «الذخيرة» از همین مؤلف و احادیث دیگری همچون حدیث «معراج النبی» آمده است. همچنین از کتاب «مولد الامیر» نوشته همین مؤلف در کتابخانه اردوبادی نام می برد.</w:t>
      </w:r>
    </w:p>
    <w:p>
      <w:pPr>
        <w:pStyle w:val="BookText"/>
      </w:pPr>
      <w:r>
        <w:rPr>
          <w:rFonts w:ascii="IRNazanin" w:hAnsi="IRNazanin" w:eastAsia="IRNazanin" w:cs="IRNazanin"/>
          <w:lang w:bidi="fa-IR"/>
          <w:color w:val="111111"/>
          <w:sz w:val="28"/>
          <w:szCs w:val="28"/>
          <w:rtl/>
        </w:rPr>
        <w:t xml:space="preserve">[دنا ۵۴۸/۲ ؛ الذریعه ۲۰۹/۲ و ۲۷۵/۲۳ ؛ طبقات اعلام الشيعه (ق. ۱۳ص. ۶۶۶)؛ معجم ما كتب عن الرسول (۹۸/۸ )]</w:t>
      </w:r>
    </w:p>
    <w:p>
      <w:pPr>
        <w:pStyle w:val="BookText"/>
      </w:pPr>
      <w:r>
        <w:rPr>
          <w:rFonts w:ascii="IRNazanin" w:hAnsi="IRNazanin" w:eastAsia="IRNazanin" w:cs="IRNazanin"/>
          <w:lang w:bidi="fa-IR"/>
          <w:color w:val="111111"/>
          <w:sz w:val="28"/>
          <w:szCs w:val="28"/>
          <w:rtl/>
        </w:rPr>
        <w:t xml:space="preserve">تهران؛ ملی؛ شماره نسخه: ۶۲۰۹</w:t>
      </w:r>
    </w:p>
    <w:p>
      <w:pPr>
        <w:pStyle w:val="BookText"/>
      </w:pPr>
      <w:r>
        <w:rPr>
          <w:rFonts w:ascii="IRNazanin" w:hAnsi="IRNazanin" w:eastAsia="IRNazanin" w:cs="IRNazanin"/>
          <w:lang w:bidi="fa-IR"/>
          <w:color w:val="111111"/>
          <w:sz w:val="28"/>
          <w:szCs w:val="28"/>
          <w:rtl/>
        </w:rPr>
        <w:t xml:space="preserve">آغاز: هذا مولد الامام الطاهر ... الحسين بن على ابی طالب ... بسمله. الحمدلله القديم فلا يقال منی كان العظيم فلا يحويه مكان المنزه عن الحدوث و الامکان احمد حمدا يملاء الميزان و صلی الله؛ انجام: و هذا خرما و ردناه و اردنا اثباته ... على التمام و الكمال و نستغفر الله عن الزيادة و النقصان و السهو و الغلط و النسيان انه غفور منان ... و صلی الله على محمد و آله الطيبين الطاهرين الى يوم الجزاء و الدين و قد وقف ...</w:t>
      </w:r>
    </w:p>
    <w:p>
      <w:pPr>
        <w:pStyle w:val="BookText"/>
      </w:pPr>
      <w:r>
        <w:rPr>
          <w:rFonts w:ascii="IRNazanin" w:hAnsi="IRNazanin" w:eastAsia="IRNazanin" w:cs="IRNazanin"/>
          <w:lang w:bidi="fa-IR"/>
          <w:color w:val="111111"/>
          <w:sz w:val="28"/>
          <w:szCs w:val="28"/>
          <w:rtl/>
        </w:rPr>
        <w:t xml:space="preserve">خط: تحریری، بی کا، تا: قرن ۱۴؛ کاغذ: فرنگی خط دار، جلد: مقوایی، روکش کاغذی منقوش، ۳۹گ (۱۲۰-۱۵۸پ)، ۱۲ ۱۴سطر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 اندازه: ۱۶/۵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۲۰/۵سم [رایانه]</w:t>
      </w:r>
    </w:p>
    <w:p>
      <w:pPr>
        <w:pStyle w:val="Heading3"/>
      </w:pPr>
      <w:bookmarkStart w:id="1085" w:name="_Toc345"/>
      <w:r>
        <w:t>•بهجة الارواح و فرحة الأشباح = بهجات الارواح و فرحات الاشباح / مواعظ / فارسی</w:t>
      </w:r>
      <w:bookmarkEnd w:id="1085"/>
    </w:p>
    <w:p>
      <w:pPr>
        <w:pStyle w:val="BookText"/>
      </w:pPr>
      <w:r>
        <w:rPr>
          <w:rFonts w:ascii="Times New Roman" w:hAnsi="Times New Roman" w:eastAsia="Times New Roman" w:cs="Times New Roman"/>
          <w:lang w:val="en-US" w:bidi="en-US"/>
          <w:color w:val="111111"/>
          <w:sz w:val="28"/>
          <w:szCs w:val="28"/>
          <w:rtl/>
        </w:rPr>
        <w:t xml:space="preserve">bahjat-ul arwāḥ wa farḥat-ul ašbāh = bahajāt-ul arwāḥ wa faraḥāt-ul ašbāh</w:t>
      </w:r>
    </w:p>
    <w:p>
      <w:pPr>
        <w:pStyle w:val="BookText"/>
      </w:pPr>
      <w:r>
        <w:rPr>
          <w:rFonts w:ascii="IRNazanin" w:hAnsi="IRNazanin" w:eastAsia="IRNazanin" w:cs="IRNazanin"/>
          <w:lang w:bidi="fa-IR"/>
          <w:color w:val="111111"/>
          <w:sz w:val="28"/>
          <w:szCs w:val="28"/>
          <w:rtl/>
        </w:rPr>
        <w:t xml:space="preserve">نصیر الاسلام، محمد علی بن حسین، ق ۱۴ قمری</w:t>
      </w:r>
    </w:p>
    <w:p>
      <w:pPr>
        <w:pStyle w:val="BookText"/>
      </w:pPr>
      <w:r>
        <w:rPr>
          <w:rFonts w:ascii="Times New Roman" w:hAnsi="Times New Roman" w:eastAsia="Times New Roman" w:cs="Times New Roman"/>
          <w:lang w:val="en-US" w:bidi="en-US"/>
          <w:color w:val="111111"/>
          <w:sz w:val="28"/>
          <w:szCs w:val="28"/>
          <w:rtl/>
        </w:rPr>
        <w:t xml:space="preserve">nsīr-ol-eslām, mohammad ‘alī ebn-e hoseyn (- 20c)</w:t>
      </w:r>
    </w:p>
    <w:p>
      <w:pPr>
        <w:pStyle w:val="BookText"/>
      </w:pPr>
      <w:r>
        <w:rPr>
          <w:rFonts w:ascii="IRNazanin" w:hAnsi="IRNazanin" w:eastAsia="IRNazanin" w:cs="IRNazanin"/>
          <w:lang w:bidi="fa-IR"/>
          <w:color w:val="111111"/>
          <w:sz w:val="28"/>
          <w:szCs w:val="28"/>
          <w:rtl/>
        </w:rPr>
        <w:t xml:space="preserve">تاریخ تأليف: ۲۲ جمادی الثانی ۱۳۴۶ق (جلد دوم)</w:t>
      </w:r>
    </w:p>
    <w:p>
      <w:pPr>
        <w:pStyle w:val="BookText"/>
      </w:pPr>
      <w:r>
        <w:rPr>
          <w:rFonts w:ascii="IRNazanin" w:hAnsi="IRNazanin" w:eastAsia="IRNazanin" w:cs="IRNazanin"/>
          <w:lang w:bidi="fa-IR"/>
          <w:color w:val="111111"/>
          <w:sz w:val="28"/>
          <w:szCs w:val="28"/>
          <w:rtl/>
        </w:rPr>
        <w:t xml:space="preserve">جنگی است منبری که به هنگام روضه خوانی و وعظ به کار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15" w:name="pg20363_209298"/>
    <w:bookmarkEnd w:id="115"/>
    <w:p>
      <w:pPr>
        <w:pStyle w:val="BookText"/>
      </w:pPr>
      <w:r>
        <w:rPr>
          <w:rFonts w:ascii="IRNazanin" w:hAnsi="IRNazanin" w:eastAsia="IRNazanin" w:cs="IRNazanin"/>
          <w:lang w:bidi="fa-IR"/>
          <w:color w:val="111111"/>
          <w:sz w:val="28"/>
          <w:szCs w:val="28"/>
          <w:rtl/>
        </w:rPr>
        <w:t xml:space="preserve">می رفته مطالب در مواعظ و نصایح و احادیث و مرثیه و اشعاری از خود او به صورت جدا. بعضی از آنها تحت عنوان «بهجة الأرواح» و عده ای تحت عنوان «فرحة الأشباح».</w:t>
      </w:r>
    </w:p>
    <w:p>
      <w:pPr>
        <w:pStyle w:val="BookText"/>
      </w:pPr>
      <w:r>
        <w:rPr>
          <w:rFonts w:ascii="IRNazanin" w:hAnsi="IRNazanin" w:eastAsia="IRNazanin" w:cs="IRNazanin"/>
          <w:lang w:bidi="fa-IR"/>
          <w:color w:val="111111"/>
          <w:sz w:val="28"/>
          <w:szCs w:val="28"/>
          <w:rtl/>
        </w:rPr>
        <w:t xml:space="preserve">[دنا ۵۴۸/۲ ؛ فهرستواره منزوی ۱۵۵/۹ ]</w:t>
      </w:r>
    </w:p>
    <w:p>
      <w:pPr>
        <w:pStyle w:val="BookText"/>
      </w:pPr>
      <w:r>
        <w:rPr>
          <w:rFonts w:ascii="IRNazanin" w:hAnsi="IRNazanin" w:eastAsia="IRNazanin" w:cs="IRNazanin"/>
          <w:lang w:bidi="fa-IR"/>
          <w:color w:val="111111"/>
          <w:sz w:val="28"/>
          <w:szCs w:val="28"/>
          <w:rtl/>
        </w:rPr>
        <w:t xml:space="preserve">مشهد؛ گوهرشاد؛ شماره نسخه: ۱۱۳۳</w:t>
      </w:r>
    </w:p>
    <w:p>
      <w:pPr>
        <w:pStyle w:val="BookText"/>
      </w:pPr>
      <w:r>
        <w:rPr>
          <w:rFonts w:ascii="IRNazanin" w:hAnsi="IRNazanin" w:eastAsia="IRNazanin" w:cs="IRNazanin"/>
          <w:lang w:bidi="fa-IR"/>
          <w:color w:val="111111"/>
          <w:sz w:val="28"/>
          <w:szCs w:val="28"/>
          <w:rtl/>
        </w:rPr>
        <w:t xml:space="preserve">آغاز: چنانچه حضرت صادق در مکالمه با زندیق می فرماید ... آغاز: بسمله حمدله و بعد چون بعون الله الملك العلام از تأليف جلد اول بهجات الارواح و فرحات الاشباح فراغت حاصل آمد شروع رفت در تأليف جلد ثانی؛ انجام: و دیگر آیات از این قبیل والحمدلله رب العالمين تمام شد.</w:t>
      </w:r>
    </w:p>
    <w:p>
      <w:pPr>
        <w:pStyle w:val="BookText"/>
      </w:pPr>
      <w:r>
        <w:rPr>
          <w:rFonts w:ascii="IRNazanin" w:hAnsi="IRNazanin" w:eastAsia="IRNazanin" w:cs="IRNazanin"/>
          <w:lang w:bidi="fa-IR"/>
          <w:color w:val="111111"/>
          <w:sz w:val="28"/>
          <w:szCs w:val="28"/>
          <w:rtl/>
        </w:rPr>
        <w:t xml:space="preserve">جلد دوم؛ خط: نستعلیق پست، کاتب = مؤلف، تا: ۲۲ جمادی الثانی ۱۳۴۶ق؛ افتادگی: آغاز؛ بیاضی شکل؛ مهر: حاج سید سعید؛ جلد: تیماج قهوه ای لایه ای، ۱۹-۲۰ سطر (۱۱/۵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۱۶/۵)، قطع: بياض رقعی،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۳-۱۵۷۵]</w:t>
      </w:r>
    </w:p>
    <w:p>
      <w:pPr>
        <w:pStyle w:val="BookText"/>
      </w:pPr>
      <w:r>
        <w:rPr>
          <w:rFonts w:ascii="IRNazanin" w:hAnsi="IRNazanin" w:eastAsia="IRNazanin" w:cs="IRNazanin"/>
          <w:lang w:bidi="fa-IR"/>
          <w:color w:val="111111"/>
          <w:sz w:val="28"/>
          <w:szCs w:val="28"/>
          <w:rtl/>
        </w:rPr>
        <w:t xml:space="preserve">مشهد، گوهرشاد؛ شماره نسخه: ۱۰۳۳</w:t>
      </w:r>
    </w:p>
    <w:p>
      <w:pPr>
        <w:pStyle w:val="BookText"/>
      </w:pPr>
      <w:r>
        <w:rPr>
          <w:rFonts w:ascii="IRNazanin" w:hAnsi="IRNazanin" w:eastAsia="IRNazanin" w:cs="IRNazanin"/>
          <w:lang w:bidi="fa-IR"/>
          <w:color w:val="111111"/>
          <w:sz w:val="28"/>
          <w:szCs w:val="28"/>
          <w:rtl/>
        </w:rPr>
        <w:t xml:space="preserve">آغاز: بسمله حماله بعد چنین گوید روسیاه بنده ملک علام میرزا  محمد على الشهير بنصیر الاسلام؛ انجام: بهمین علامت آن گوسفند نتاج میدهد.</w:t>
      </w:r>
    </w:p>
    <w:p>
      <w:pPr>
        <w:pStyle w:val="BookText"/>
      </w:pPr>
      <w:r>
        <w:rPr>
          <w:rFonts w:ascii="IRNazanin" w:hAnsi="IRNazanin" w:eastAsia="IRNazanin" w:cs="IRNazanin"/>
          <w:lang w:bidi="fa-IR"/>
          <w:color w:val="111111"/>
          <w:sz w:val="28"/>
          <w:szCs w:val="28"/>
          <w:rtl/>
        </w:rPr>
        <w:t xml:space="preserve">جلد اول؛ خط: نستعلیق شکسته، بی کا، تا: ۱۳۰۷ق؛ یادداشت صورت حساب نصیر الاسلام با حبیب الله بلوریان طبسی مورخ ۲۸ رمضان ۱۳۴۶ق الى اول ۱۳۰۷ شمسی، با مهر «بلوریان طبسی» (بادامی)؛ کاغذ: کاهی، جلد: تیماج عنابی لایه ای دوستون ۲۵ سطر، قطع: بياض رقعی،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۳-۱۴۱۳]</w:t>
      </w:r>
    </w:p>
    <w:p>
      <w:pPr>
        <w:pStyle w:val="Heading3"/>
      </w:pPr>
      <w:bookmarkStart w:id="1086" w:name="_Toc346"/>
      <w:r>
        <w:t>•بهجة الاسرار و معدن الأنوار / تراجم / عربی</w:t>
      </w:r>
      <w:bookmarkEnd w:id="1086"/>
    </w:p>
    <w:p>
      <w:pPr>
        <w:pStyle w:val="BookText"/>
      </w:pPr>
      <w:r>
        <w:rPr>
          <w:rFonts w:ascii="Times New Roman" w:hAnsi="Times New Roman" w:eastAsia="Times New Roman" w:cs="Times New Roman"/>
          <w:lang w:val="en-US" w:bidi="en-US"/>
          <w:color w:val="111111"/>
          <w:sz w:val="28"/>
          <w:szCs w:val="28"/>
          <w:rtl/>
        </w:rPr>
        <w:t xml:space="preserve">bahjat-ul asrār wa ma`dan-ul anwār</w:t>
      </w:r>
    </w:p>
    <w:p>
      <w:pPr>
        <w:pStyle w:val="BookText"/>
      </w:pPr>
      <w:r>
        <w:rPr>
          <w:rFonts w:ascii="IRNazanin" w:hAnsi="IRNazanin" w:eastAsia="IRNazanin" w:cs="IRNazanin"/>
          <w:lang w:bidi="fa-IR"/>
          <w:color w:val="111111"/>
          <w:sz w:val="28"/>
          <w:szCs w:val="28"/>
          <w:rtl/>
        </w:rPr>
        <w:t xml:space="preserve">ابن جهضم، علی بن یوسف، ۶۴۴؟ -۷۱۳قمری</w:t>
      </w:r>
    </w:p>
    <w:p>
      <w:pPr>
        <w:pStyle w:val="BookText"/>
      </w:pPr>
      <w:r>
        <w:rPr>
          <w:rFonts w:ascii="Times New Roman" w:hAnsi="Times New Roman" w:eastAsia="Times New Roman" w:cs="Times New Roman"/>
          <w:lang w:val="en-US" w:bidi="en-US"/>
          <w:color w:val="111111"/>
          <w:sz w:val="28"/>
          <w:szCs w:val="28"/>
          <w:rtl/>
        </w:rPr>
        <w:t xml:space="preserve">ebn-e jahzam, ‘alī-e bn-e yūsof (644-713)</w:t>
      </w:r>
    </w:p>
    <w:p>
      <w:pPr>
        <w:pStyle w:val="BookText"/>
      </w:pPr>
      <w:r>
        <w:rPr>
          <w:rFonts w:ascii="IRNazanin" w:hAnsi="IRNazanin" w:eastAsia="IRNazanin" w:cs="IRNazanin"/>
          <w:lang w:bidi="fa-IR"/>
          <w:color w:val="111111"/>
          <w:sz w:val="28"/>
          <w:szCs w:val="28"/>
          <w:rtl/>
        </w:rPr>
        <w:t xml:space="preserve">در مناقب گروهی از اقطاب و بزرگان صوفیه به روش روایتی با سلسله اسناد، مشتمل بر چهل و یک «باب» که باب اول آن در مناقب شیخ عبدالقادر گیلانی است که بیش از نیمی از کتاب را در بر گرفته و باب آخر در مناقب امام احمد بن حنبل می باشد. این کتاب بنا بگفته کشف الظنون ۲۵۶/۱ نزدیک سال ۶۶۰ تألیف شده است.</w:t>
      </w:r>
    </w:p>
    <w:p>
      <w:pPr>
        <w:pStyle w:val="BookText"/>
      </w:pPr>
      <w:r>
        <w:rPr>
          <w:rFonts w:ascii="IRNazanin" w:hAnsi="IRNazanin" w:eastAsia="IRNazanin" w:cs="IRNazanin"/>
          <w:lang w:bidi="fa-IR"/>
          <w:color w:val="111111"/>
          <w:sz w:val="28"/>
          <w:szCs w:val="28"/>
          <w:rtl/>
        </w:rPr>
        <w:t xml:space="preserve">آغاز: بسمله. الحمدلله و بالله التفتح، باب العون بابداء محامد الله كلها ... و بعد سئلت ان اجمع ما وقع لي من قول شیخنا شیخ الاسلام ... عبد القادر الجیلی ... رسميته بهجة الاسرار و معدن الانوار</w:t>
      </w:r>
    </w:p>
    <w:p>
      <w:pPr>
        <w:pStyle w:val="BookText"/>
      </w:pPr>
      <w:r>
        <w:rPr>
          <w:rFonts w:ascii="IRNazanin" w:hAnsi="IRNazanin" w:eastAsia="IRNazanin" w:cs="IRNazanin"/>
          <w:lang w:bidi="fa-IR"/>
          <w:color w:val="111111"/>
          <w:sz w:val="28"/>
          <w:szCs w:val="28"/>
          <w:rtl/>
        </w:rPr>
        <w:t xml:space="preserve">چاپ: مصر، ۱۳۰۱ ق و ۲۳۸ص، ۱۳۰۴ ق.</w:t>
      </w:r>
    </w:p>
    <w:p>
      <w:pPr>
        <w:pStyle w:val="BookText"/>
      </w:pPr>
      <w:r>
        <w:rPr>
          <w:rFonts w:ascii="IRNazanin" w:hAnsi="IRNazanin" w:eastAsia="IRNazanin" w:cs="IRNazanin"/>
          <w:lang w:bidi="fa-IR"/>
          <w:color w:val="111111"/>
          <w:sz w:val="28"/>
          <w:szCs w:val="28"/>
          <w:rtl/>
        </w:rPr>
        <w:t xml:space="preserve">[دنا ۵۴۸/۲ (۲ نسخه)؛ چلبی ۲۰۴/۱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حقوق؛ شماره نسخه: ۴۳-ج</w:t>
      </w:r>
    </w:p>
    <w:p>
      <w:pPr>
        <w:pStyle w:val="BookText"/>
      </w:pPr>
      <w:r>
        <w:rPr>
          <w:rFonts w:ascii="IRNazanin" w:hAnsi="IRNazanin" w:eastAsia="IRNazanin" w:cs="IRNazanin"/>
          <w:lang w:bidi="fa-IR"/>
          <w:color w:val="111111"/>
          <w:sz w:val="28"/>
          <w:szCs w:val="28"/>
          <w:rtl/>
        </w:rPr>
        <w:t xml:space="preserve">آغاز: برابر؛ انجام: و هو کتاب بهجة الاسرار و معدن الأنوار في مناقب سیدى الابرار ... محیی عبدالقادر الجیلی ... جمع ... على بن حریز بن معضاد بن فضل الشافعي .. و لهم اجمعین تم الكتاب بعون الوهاب ... آمین</w:t>
      </w:r>
    </w:p>
    <w:p>
      <w:pPr>
        <w:pStyle w:val="BookText"/>
      </w:pPr>
      <w:r>
        <w:rPr>
          <w:rFonts w:ascii="IRNazanin" w:hAnsi="IRNazanin" w:eastAsia="IRNazanin" w:cs="IRNazanin"/>
          <w:lang w:bidi="fa-IR"/>
          <w:color w:val="111111"/>
          <w:sz w:val="28"/>
          <w:szCs w:val="28"/>
          <w:rtl/>
        </w:rPr>
        <w:t xml:space="preserve">سرگذشت جیلی است که فصل نخستین آن باید باشد؛ خط: نسخ، بی کا، تا: قرن ۱۱؛ مجدول، با سرلوح ؛ کاغذ: سپاهانی، جلد: تیماج تریاکی ضربی مقوایی با برگردان، ۲۲۵گ، ۱۷سطر(۱۷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۲۸۰]</w:t>
      </w:r>
    </w:p>
    <w:p>
      <w:pPr>
        <w:pStyle w:val="BookText"/>
      </w:pPr>
      <w:r>
        <w:rPr>
          <w:rFonts w:ascii="IRNazanin" w:hAnsi="IRNazanin" w:eastAsia="IRNazanin" w:cs="IRNazanin"/>
          <w:lang w:bidi="fa-IR"/>
          <w:color w:val="111111"/>
          <w:sz w:val="28"/>
          <w:szCs w:val="28"/>
          <w:rtl/>
        </w:rPr>
        <w:t xml:space="preserve">۲. قم؛ مرعشی؛ شماره نسخه: ۷۲۳۸</w:t>
      </w:r>
    </w:p>
    <w:p>
      <w:pPr>
        <w:pStyle w:val="BookText"/>
      </w:pPr>
      <w:r>
        <w:rPr>
          <w:rFonts w:ascii="Amiri" w:hAnsi="Amiri" w:eastAsia="Amiri" w:cs="Amiri"/>
          <w:lang w:bidi="ar-SA"/>
          <w:color w:val="111111"/>
          <w:sz w:val="28"/>
          <w:szCs w:val="28"/>
          <w:rtl/>
        </w:rPr>
        <w:t xml:space="preserve">آغاز: برابر؛ انجام: ثم قال و الشيخ عبدالقادر حسرة لمن لم يره رضي الله عنه و أرضاه.</w:t>
      </w:r>
    </w:p>
    <w:p>
      <w:pPr>
        <w:pStyle w:val="BookText"/>
      </w:pPr>
      <w:r>
        <w:rPr>
          <w:rFonts w:ascii="IRNazanin" w:hAnsi="IRNazanin" w:eastAsia="IRNazanin" w:cs="IRNazanin"/>
          <w:lang w:bidi="fa-IR"/>
          <w:color w:val="111111"/>
          <w:sz w:val="28"/>
          <w:szCs w:val="28"/>
          <w:rtl/>
        </w:rPr>
        <w:t xml:space="preserve">خط: نسخ، کا: حبیب الله بن نصر الله قاضی، تا: پنج شنبه از جمادی الاول ۱۰۰۲ق؛ مجدول جلد: تیماج قهوه ای، ۳۳۱گ، ۱۹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۱۹-۳۹]</w:t>
      </w:r>
    </w:p>
    <w:p>
      <w:pPr>
        <w:pStyle w:val="Heading3"/>
      </w:pPr>
      <w:bookmarkStart w:id="1087" w:name="_Toc347"/>
      <w:r>
        <w:t>•بهجة الاسرار (ترجمه) / عرفان و تصوف / ترکی</w:t>
      </w:r>
      <w:bookmarkEnd w:id="1087"/>
    </w:p>
    <w:p>
      <w:pPr>
        <w:pStyle w:val="BookText"/>
      </w:pPr>
      <w:r>
        <w:rPr>
          <w:rFonts w:ascii="Times New Roman" w:hAnsi="Times New Roman" w:eastAsia="Times New Roman" w:cs="Times New Roman"/>
          <w:lang w:val="en-US" w:bidi="en-US"/>
          <w:color w:val="111111"/>
          <w:sz w:val="28"/>
          <w:szCs w:val="28"/>
          <w:rtl/>
        </w:rPr>
        <w:t xml:space="preserve">bahjat-ul asrār (t.)</w:t>
      </w:r>
    </w:p>
    <w:p>
      <w:pPr>
        <w:pStyle w:val="BookText"/>
      </w:pPr>
      <w:r>
        <w:rPr>
          <w:rFonts w:ascii="IRNazanin" w:hAnsi="IRNazanin" w:eastAsia="IRNazanin" w:cs="IRNazanin"/>
          <w:lang w:bidi="fa-IR"/>
          <w:color w:val="111111"/>
          <w:sz w:val="28"/>
          <w:szCs w:val="28"/>
          <w:rtl/>
        </w:rPr>
        <w:t xml:space="preserve">ادرنوی، حسین بن حسن، ق ۱۱ قمری</w:t>
      </w:r>
    </w:p>
    <w:p>
      <w:pPr>
        <w:pStyle w:val="BookText"/>
      </w:pPr>
      <w:r>
        <w:rPr>
          <w:rFonts w:ascii="Times New Roman" w:hAnsi="Times New Roman" w:eastAsia="Times New Roman" w:cs="Times New Roman"/>
          <w:lang w:val="en-US" w:bidi="en-US"/>
          <w:color w:val="111111"/>
          <w:sz w:val="28"/>
          <w:szCs w:val="28"/>
          <w:rtl/>
        </w:rPr>
        <w:t xml:space="preserve">adernavī, hoseyn ebn-e hasan (- 170)</w:t>
      </w:r>
    </w:p>
    <w:p>
      <w:pPr>
        <w:pStyle w:val="BookText"/>
      </w:pPr>
      <w:r>
        <w:rPr>
          <w:rFonts w:ascii="IRNazanin" w:hAnsi="IRNazanin" w:eastAsia="IRNazanin" w:cs="IRNazanin"/>
          <w:lang w:bidi="fa-IR"/>
          <w:color w:val="111111"/>
          <w:sz w:val="28"/>
          <w:szCs w:val="28"/>
          <w:rtl/>
        </w:rPr>
        <w:t xml:space="preserve">وابسته به: بهجة الاسرار و معدن الأنوار؛ ابن جهضم، على بن یوسف (۶۴۴-۷۱۳ق) اهداء به: سلطان محمد خان بن مراد خان عثمانی و وزیرش حسن پاشا</w:t>
      </w:r>
    </w:p>
    <w:p>
      <w:pPr>
        <w:pStyle w:val="BookText"/>
      </w:pPr>
      <w:r>
        <w:rPr>
          <w:rFonts w:ascii="IRNazanin" w:hAnsi="IRNazanin" w:eastAsia="IRNazanin" w:cs="IRNazanin"/>
          <w:lang w:bidi="fa-IR"/>
          <w:color w:val="111111"/>
          <w:sz w:val="28"/>
          <w:szCs w:val="28"/>
          <w:rtl/>
        </w:rPr>
        <w:t xml:space="preserve">بیوگرافی و مناقب شیخ عبدالقادر گیلانی، گرفته شده از کتاب بهجة الاسرار» با افزودگی های لازم از مترجم. این کتاب مشتمل بر یازده فصل» است: فصل: في ذكر نسب الشيخ و ولادته وصفاته؛ فصل: في ذكر بدئه؛ فصل: في أخذه الخرقة؛ فصل: في ذكر خلواته و تقیده و مجاهداته؛ فصل: في ذكر اخبار المشايخ عنه؛ فصل: في ذكر من حنا رأسه من المشايخ؛ فصل: في ذکر تعظيم الأولياء له؛ فصل: في ذكر طريق الشيخ؛ فصل: في ذکر اولاده و مشایخ عصره؛ فصل: في ذكر نساء عارفات؛ فصل: في ذكر كلمات أخبر بها الشيخ.</w:t>
      </w:r>
    </w:p>
    <w:p>
      <w:pPr>
        <w:pStyle w:val="BookText"/>
      </w:pPr>
      <w:r>
        <w:rPr>
          <w:rFonts w:ascii="IRNazanin" w:hAnsi="IRNazanin" w:eastAsia="IRNazanin" w:cs="IRNazanin"/>
          <w:lang w:bidi="fa-IR"/>
          <w:color w:val="111111"/>
          <w:sz w:val="28"/>
          <w:szCs w:val="28"/>
          <w:rtl/>
        </w:rPr>
        <w:t xml:space="preserve">[ دنا ۵۴۸/۲ ؛ فهرستواره منزوی ۱۴۲/۷ ]</w:t>
      </w:r>
    </w:p>
    <w:p>
      <w:pPr>
        <w:pStyle w:val="BookText"/>
      </w:pPr>
      <w:r>
        <w:rPr>
          <w:rFonts w:ascii="IRNazanin" w:hAnsi="IRNazanin" w:eastAsia="IRNazanin" w:cs="IRNazanin"/>
          <w:lang w:bidi="fa-IR"/>
          <w:color w:val="111111"/>
          <w:sz w:val="28"/>
          <w:szCs w:val="28"/>
          <w:rtl/>
        </w:rPr>
        <w:t xml:space="preserve">قم؛ مرعشی؛ شماره نسخه: ۲۸۵۹</w:t>
      </w:r>
    </w:p>
    <w:p>
      <w:pPr>
        <w:pStyle w:val="BookText"/>
      </w:pPr>
      <w:r>
        <w:rPr>
          <w:rFonts w:ascii="IRNazanin" w:hAnsi="IRNazanin" w:eastAsia="IRNazanin" w:cs="IRNazanin"/>
          <w:lang w:bidi="fa-IR"/>
          <w:color w:val="111111"/>
          <w:sz w:val="28"/>
          <w:szCs w:val="28"/>
          <w:rtl/>
        </w:rPr>
        <w:t xml:space="preserve">آغاز: بحرینک بر قطره سیله عصاة مؤمنین مغفور او لمشدر و دخی آل عظام و اولاد و اصحاب؛ انجام: قل لهم اتبعوني أهدكم سبيل الرشاد اتصل ثم انقطع ثم اتصل ثم انقطع ثم أوصل خط: نسخ معرب، كا: عمر وصفی خلوتی ازمیری، تا: رمضان ۱۲۷۶ق؛ افتادگی: آغاز؛ مجدول، پس از کتاب چند برگ در فضائل و عروج شیخ عبدالقادر؛ جلد: مقوایی عطف تیماج مشکی، ۲۹۷گ، ۱۵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۸-۶۲]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16" w:name="pg20363_209299"/>
    <w:bookmarkEnd w:id="116"/>
    <w:p>
      <w:pPr>
        <w:pStyle w:val="Heading3"/>
      </w:pPr>
      <w:bookmarkStart w:id="1088" w:name="_Toc348"/>
      <w:r>
        <w:t>•بهجت افزا / داستان / فارسی</w:t>
      </w:r>
      <w:bookmarkEnd w:id="1088"/>
    </w:p>
    <w:p>
      <w:pPr>
        <w:pStyle w:val="BookText"/>
      </w:pPr>
      <w:r>
        <w:rPr>
          <w:rFonts w:ascii="Times New Roman" w:hAnsi="Times New Roman" w:eastAsia="Times New Roman" w:cs="Times New Roman"/>
          <w:lang w:val="en-US" w:bidi="en-US"/>
          <w:color w:val="111111"/>
          <w:sz w:val="28"/>
          <w:szCs w:val="28"/>
          <w:rtl/>
        </w:rPr>
        <w:t xml:space="preserve">bahjat-afzā</w:t>
      </w:r>
    </w:p>
    <w:p>
      <w:pPr>
        <w:pStyle w:val="BookText"/>
      </w:pPr>
      <w:r>
        <w:rPr>
          <w:rFonts w:ascii="IRNazanin" w:hAnsi="IRNazanin" w:eastAsia="IRNazanin" w:cs="IRNazanin"/>
          <w:lang w:bidi="fa-IR"/>
          <w:color w:val="111111"/>
          <w:sz w:val="28"/>
          <w:szCs w:val="28"/>
          <w:rtl/>
        </w:rPr>
        <w:t xml:space="preserve">جربادقانی، محمد مهدی</w:t>
      </w:r>
    </w:p>
    <w:p>
      <w:pPr>
        <w:pStyle w:val="BookText"/>
      </w:pPr>
      <w:r>
        <w:rPr>
          <w:rFonts w:ascii="Times New Roman" w:hAnsi="Times New Roman" w:eastAsia="Times New Roman" w:cs="Times New Roman"/>
          <w:lang w:val="en-US" w:bidi="en-US"/>
          <w:color w:val="111111"/>
          <w:sz w:val="28"/>
          <w:szCs w:val="28"/>
          <w:rtl/>
        </w:rPr>
        <w:t xml:space="preserve">jorbādqānī, mohammad mahdī</w:t>
      </w:r>
    </w:p>
    <w:p>
      <w:pPr>
        <w:pStyle w:val="BookText"/>
      </w:pPr>
      <w:r>
        <w:rPr>
          <w:rFonts w:ascii="IRNazanin" w:hAnsi="IRNazanin" w:eastAsia="IRNazanin" w:cs="IRNazanin"/>
          <w:lang w:bidi="fa-IR"/>
          <w:color w:val="111111"/>
          <w:sz w:val="28"/>
          <w:szCs w:val="28"/>
          <w:rtl/>
        </w:rPr>
        <w:t xml:space="preserve">داستان عاشقی بدیع الزمان نیشابوری و پری زاد دختر پادشاه چین است. آغاز: طلوع صبح عبارات حکایات بهجة افزای نشاط ...</w:t>
      </w:r>
    </w:p>
    <w:p>
      <w:pPr>
        <w:pStyle w:val="BookText"/>
      </w:pPr>
      <w:r>
        <w:rPr>
          <w:rFonts w:ascii="IRNazanin" w:hAnsi="IRNazanin" w:eastAsia="IRNazanin" w:cs="IRNazanin"/>
          <w:lang w:bidi="fa-IR"/>
          <w:color w:val="111111"/>
          <w:sz w:val="28"/>
          <w:szCs w:val="28"/>
          <w:rtl/>
        </w:rPr>
        <w:t xml:space="preserve">[فهرستواره منزوی ۲۹۳/۱ ]</w:t>
      </w:r>
    </w:p>
    <w:p>
      <w:pPr>
        <w:pStyle w:val="BookText"/>
      </w:pPr>
      <w:r>
        <w:rPr>
          <w:rFonts w:ascii="IRNazanin" w:hAnsi="IRNazanin" w:eastAsia="IRNazanin" w:cs="IRNazanin"/>
          <w:lang w:bidi="fa-IR"/>
          <w:color w:val="111111"/>
          <w:sz w:val="28"/>
          <w:szCs w:val="28"/>
          <w:rtl/>
        </w:rPr>
        <w:t xml:space="preserve">تهران؛ ملک؛ شماره نسخه: ۲۹۰۳</w:t>
      </w:r>
    </w:p>
    <w:p>
      <w:pPr>
        <w:pStyle w:val="BookText"/>
      </w:pPr>
      <w:r>
        <w:rPr>
          <w:rFonts w:ascii="IRNazanin" w:hAnsi="IRNazanin" w:eastAsia="IRNazanin" w:cs="IRNazanin"/>
          <w:lang w:bidi="fa-IR"/>
          <w:color w:val="111111"/>
          <w:sz w:val="28"/>
          <w:szCs w:val="28"/>
          <w:rtl/>
        </w:rPr>
        <w:t xml:space="preserve">آغاز: طلوع صبح عبارات حكايات بهجة افزای نشاط؛ انجام: مصاحبان مشکل به شکل اصلی گشته در اطراف ... خط: شکسته، نستعلیق، بی کا، تا: قرن ۱۱؛ افتادگی: انجام؛ کاغذ: کاغذ ترمه، جلد: میشن لایی سیاه، ۶۵گ، ۱۹ سطر، اندازه: ۲۰/۸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۱۰/۷ سم [ف: ۲-۶۲]</w:t>
      </w:r>
    </w:p>
    <w:p>
      <w:pPr>
        <w:pStyle w:val="Heading3"/>
      </w:pPr>
      <w:bookmarkStart w:id="1089" w:name="_Toc349"/>
      <w:r>
        <w:t>•بهجة الالباب في علم الاسطرلاب / اسطرلاب /عربی</w:t>
      </w:r>
      <w:bookmarkEnd w:id="1089"/>
    </w:p>
    <w:p>
      <w:pPr>
        <w:pStyle w:val="BookText"/>
      </w:pPr>
      <w:r>
        <w:rPr>
          <w:rFonts w:ascii="Times New Roman" w:hAnsi="Times New Roman" w:eastAsia="Times New Roman" w:cs="Times New Roman"/>
          <w:lang w:val="en-US" w:bidi="en-US"/>
          <w:color w:val="111111"/>
          <w:sz w:val="28"/>
          <w:szCs w:val="28"/>
          <w:rtl/>
        </w:rPr>
        <w:t xml:space="preserve">bahjat-ul albab fi ilm-il usturlab</w:t>
      </w:r>
    </w:p>
    <w:p>
      <w:pPr>
        <w:pStyle w:val="BookText"/>
      </w:pPr>
      <w:r>
        <w:rPr>
          <w:rFonts w:ascii="IRNazanin" w:hAnsi="IRNazanin" w:eastAsia="IRNazanin" w:cs="IRNazanin"/>
          <w:lang w:bidi="fa-IR"/>
          <w:color w:val="111111"/>
          <w:sz w:val="28"/>
          <w:szCs w:val="28"/>
          <w:rtl/>
        </w:rPr>
        <w:t xml:space="preserve">؟ ابراهیم افندی،</w:t>
      </w:r>
    </w:p>
    <w:p>
      <w:pPr>
        <w:pStyle w:val="BookText"/>
      </w:pPr>
      <w:r>
        <w:rPr>
          <w:rFonts w:ascii="Times New Roman" w:hAnsi="Times New Roman" w:eastAsia="Times New Roman" w:cs="Times New Roman"/>
          <w:lang w:val="en-US" w:bidi="en-US"/>
          <w:color w:val="111111"/>
          <w:sz w:val="28"/>
          <w:szCs w:val="28"/>
          <w:rtl/>
        </w:rPr>
        <w:t xml:space="preserve">ebrāhīm afandī</w:t>
      </w:r>
    </w:p>
    <w:p>
      <w:pPr>
        <w:pStyle w:val="BookText"/>
      </w:pPr>
      <w:r>
        <w:rPr>
          <w:rFonts w:ascii="IRNazanin" w:hAnsi="IRNazanin" w:eastAsia="IRNazanin" w:cs="IRNazanin"/>
          <w:lang w:bidi="fa-IR"/>
          <w:color w:val="111111"/>
          <w:sz w:val="28"/>
          <w:szCs w:val="28"/>
          <w:rtl/>
        </w:rPr>
        <w:t xml:space="preserve">گویا از ابراهیم افندی یا عبدالحليم قيساری سلیمان زاده در یک مقدمه و هیجده «باب» و «خاتمه».</w:t>
      </w:r>
    </w:p>
    <w:p>
      <w:pPr>
        <w:pStyle w:val="BookText"/>
      </w:pPr>
      <w:r>
        <w:rPr>
          <w:rFonts w:ascii="IRNazanin" w:hAnsi="IRNazanin" w:eastAsia="IRNazanin" w:cs="IRNazanin"/>
          <w:lang w:bidi="fa-IR"/>
          <w:color w:val="111111"/>
          <w:sz w:val="28"/>
          <w:szCs w:val="28"/>
          <w:rtl/>
        </w:rPr>
        <w:t xml:space="preserve">[ بروکلمان ذیل ۴۸۷/۲ و ۱۰۱۷/۲ و ۱۰۲۱/۴۰ ]</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نضرة اللباب فی شرح بهجة الالباب في علم الاسطرلاب؛ حمیدی، محمد بن علی</w:t>
      </w:r>
    </w:p>
    <w:p>
      <w:pPr>
        <w:pStyle w:val="BookText"/>
      </w:pPr>
      <w:r>
        <w:rPr>
          <w:rFonts w:ascii="IRNazanin" w:hAnsi="IRNazanin" w:eastAsia="IRNazanin" w:cs="IRNazanin"/>
          <w:lang w:bidi="fa-IR"/>
          <w:color w:val="111111"/>
          <w:sz w:val="28"/>
          <w:szCs w:val="28"/>
          <w:rtl/>
        </w:rPr>
        <w:t xml:space="preserve">تهران؛ ملک؛ شماره نسخه: ۱۵۷۷/۳</w:t>
      </w:r>
    </w:p>
    <w:p>
      <w:pPr>
        <w:pStyle w:val="BookText"/>
      </w:pPr>
      <w:r>
        <w:rPr>
          <w:rFonts w:ascii="IRNazanin" w:hAnsi="IRNazanin" w:eastAsia="IRNazanin" w:cs="IRNazanin"/>
          <w:lang w:bidi="fa-IR"/>
          <w:color w:val="111111"/>
          <w:sz w:val="28"/>
          <w:szCs w:val="28"/>
          <w:rtl/>
        </w:rPr>
        <w:t xml:space="preserve">خط: نستعلیق، کا:عبدالله بن ابی الخیر، تا: با تاریخ ۱۲۷۷ و ۱۲۷۸ق؛ کاغذ: پسته ای، جلد: میشن لایی سیاه، ۱۹ سطر [ف: ۵-۲۹۸]</w:t>
      </w:r>
    </w:p>
    <w:p>
      <w:pPr>
        <w:pStyle w:val="Heading3"/>
      </w:pPr>
      <w:bookmarkStart w:id="1090" w:name="_Toc350"/>
      <w:r>
        <w:t>•بهجة الأمان / دعا / فارسی</w:t>
      </w:r>
      <w:bookmarkEnd w:id="1090"/>
    </w:p>
    <w:p>
      <w:pPr>
        <w:pStyle w:val="BookText"/>
      </w:pPr>
      <w:r>
        <w:rPr>
          <w:rFonts w:ascii="Times New Roman" w:hAnsi="Times New Roman" w:eastAsia="Times New Roman" w:cs="Times New Roman"/>
          <w:lang w:val="en-US" w:bidi="en-US"/>
          <w:color w:val="111111"/>
          <w:sz w:val="28"/>
          <w:szCs w:val="28"/>
          <w:rtl/>
        </w:rPr>
        <w:t xml:space="preserve">bahjat-ol amān</w:t>
      </w:r>
    </w:p>
    <w:p>
      <w:pPr>
        <w:pStyle w:val="BookText"/>
      </w:pPr>
      <w:r>
        <w:rPr>
          <w:rFonts w:ascii="IRNazanin" w:hAnsi="IRNazanin" w:eastAsia="IRNazanin" w:cs="IRNazanin"/>
          <w:lang w:bidi="fa-IR"/>
          <w:color w:val="111111"/>
          <w:sz w:val="28"/>
          <w:szCs w:val="28"/>
          <w:rtl/>
        </w:rPr>
        <w:t xml:space="preserve">در دعاهایی کوتاه که در کتاب های معتبر آمده و بعضی از تعقیبات نمازهای پنج گانه و اوراد و ختوماتی که برای رفع گرفتاری ها انجام داده می شوند در بیست و هفت «وسیله» و یک خاتمه): ۱. بعضی ادعیه به جهت قضا حوائج؛ ۲. بعضی ادعیه به جهت توسعه رزق؛ ۳. بعضی ادعیه به جهت قضای دین و قرض؛ ۴. استكشاف هموم و غموم و کروب؛ ۵. توبه و رد مظالم عباد؛ ۶. طلب عافیت؛ ۷. دفع اعادی و ظالمين؛ ۸ دفع خوف از اعداء و گرفتاری ها؛ ۹. دفع شر سلاطین؛ ۱۰. استخلاص مسجون و محبوس؛ ۱۱. استعاذه از شر شیاطین و جن؛ ۱۲. اصابت عين؛ ۱۳. دفع ضرر و ابطال اثر سحر؛ ۱۴. حفظ و حراست و استكفاء؛ ۱۵.</w:t>
      </w:r>
    </w:p>
    <w:p>
      <w:pPr>
        <w:pStyle w:val="BookText"/>
      </w:pPr>
      <w:r>
        <w:rPr>
          <w:rFonts w:ascii="IRNazanin" w:hAnsi="IRNazanin" w:eastAsia="IRNazanin" w:cs="IRNazanin"/>
          <w:lang w:bidi="fa-IR"/>
          <w:color w:val="111111"/>
          <w:sz w:val="28"/>
          <w:szCs w:val="28"/>
          <w:rtl/>
        </w:rPr>
        <w:t xml:space="preserve">دفع سباع و هوام و حشرات موذیه؛ ۱۶. ادعيه شبها و هنگام خواب و نوافل شب؛ ۱۷. ادعیه صبح و شام و ساعت های روز؛ ۱۸. تعقیبات مشتر که نمازهای یومیه؛ 19. سجده شکر و تعقیبات نماز صبح؛ ۲۰. تعقيبات فريضه ظهر؛ ۲۱. تعقيبات فريضه عصر؛ ۲۲. تعقيبات فريضه مغرب؛ ۲۳. تعقيبات فريضه عشا؛ ۲۴. اسماء حسنی و زیارات ائمه هدی؛ ۲۵. استشفا به تربت و ادعیه مرضی؛ ۲۶. طريقه و ادعیه استخاره؛ ۲۷. خاتمه: در ادعیه و فوائد متفرقه.</w:t>
      </w:r>
    </w:p>
    <w:p>
      <w:pPr>
        <w:pStyle w:val="BookText"/>
      </w:pPr>
      <w:r>
        <w:rPr>
          <w:rFonts w:ascii="IRNazanin" w:hAnsi="IRNazanin" w:eastAsia="IRNazanin" w:cs="IRNazanin"/>
          <w:lang w:bidi="fa-IR"/>
          <w:color w:val="111111"/>
          <w:sz w:val="28"/>
          <w:szCs w:val="28"/>
          <w:rtl/>
        </w:rPr>
        <w:t xml:space="preserve">قم؛ مرعشی؛ شماره نسخه:۱۰۵۸۸/۴</w:t>
      </w:r>
    </w:p>
    <w:p>
      <w:pPr>
        <w:pStyle w:val="BookText"/>
      </w:pPr>
      <w:r>
        <w:rPr>
          <w:rFonts w:ascii="IRNazanin" w:hAnsi="IRNazanin" w:eastAsia="IRNazanin" w:cs="IRNazanin"/>
          <w:lang w:bidi="fa-IR"/>
          <w:color w:val="111111"/>
          <w:sz w:val="28"/>
          <w:szCs w:val="28"/>
          <w:rtl/>
        </w:rPr>
        <w:t xml:space="preserve">آغاز: الحمدلله و الصلاة على عباده الذين اصطفی و بعد این رساله ایست مسمى ببهجة الأمان در ایراد بعضی از ادعیه</w:t>
      </w:r>
    </w:p>
    <w:p>
      <w:pPr>
        <w:pStyle w:val="BookText"/>
      </w:pPr>
      <w:r>
        <w:rPr>
          <w:rFonts w:ascii="IRNazanin" w:hAnsi="IRNazanin" w:eastAsia="IRNazanin" w:cs="IRNazanin"/>
          <w:lang w:bidi="fa-IR"/>
          <w:color w:val="111111"/>
          <w:sz w:val="28"/>
          <w:szCs w:val="28"/>
          <w:rtl/>
        </w:rPr>
        <w:t xml:space="preserve">از این کتاب فقط چهار برگ اول در این نسخه آمده؛ بی کا، تا: ۱۲۶۶ق؛ افتادگی: انجام؛ جلد: تیماج قهوه ای بدون مقوا، ۴گ (۱۱۳پ -۱۱۶پ)،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۲۷-۶۲]</w:t>
      </w:r>
    </w:p>
    <w:p>
      <w:pPr>
        <w:pStyle w:val="Heading3"/>
      </w:pPr>
      <w:bookmarkStart w:id="1091" w:name="_Toc351"/>
      <w:r>
        <w:t>•بهجة الانوار من حقيقة الاسرار / تفسير / عربی، فارسی</w:t>
      </w:r>
      <w:bookmarkEnd w:id="1091"/>
    </w:p>
    <w:p>
      <w:pPr>
        <w:pStyle w:val="BookText"/>
      </w:pPr>
      <w:r>
        <w:rPr>
          <w:rFonts w:ascii="Times New Roman" w:hAnsi="Times New Roman" w:eastAsia="Times New Roman" w:cs="Times New Roman"/>
          <w:lang w:val="en-US" w:bidi="en-US"/>
          <w:color w:val="111111"/>
          <w:sz w:val="28"/>
          <w:szCs w:val="28"/>
          <w:rtl/>
        </w:rPr>
        <w:t xml:space="preserve">bahjat-ul anwār min haqīqat-il asrār</w:t>
      </w:r>
    </w:p>
    <w:p>
      <w:pPr>
        <w:pStyle w:val="BookText"/>
      </w:pPr>
      <w:r>
        <w:rPr>
          <w:rFonts w:ascii="IRNazanin" w:hAnsi="IRNazanin" w:eastAsia="IRNazanin" w:cs="IRNazanin"/>
          <w:lang w:bidi="fa-IR"/>
          <w:color w:val="111111"/>
          <w:sz w:val="28"/>
          <w:szCs w:val="28"/>
          <w:rtl/>
        </w:rPr>
        <w:t xml:space="preserve">سقسینی، سلیمان بن داود، ق۶ قمری</w:t>
      </w:r>
    </w:p>
    <w:p>
      <w:pPr>
        <w:pStyle w:val="BookText"/>
      </w:pPr>
      <w:r>
        <w:rPr>
          <w:rFonts w:ascii="Times New Roman" w:hAnsi="Times New Roman" w:eastAsia="Times New Roman" w:cs="Times New Roman"/>
          <w:lang w:val="en-US" w:bidi="en-US"/>
          <w:color w:val="111111"/>
          <w:sz w:val="28"/>
          <w:szCs w:val="28"/>
          <w:rtl/>
        </w:rPr>
        <w:t xml:space="preserve">saqsīnī, soleymān ebn-e dāvūd (- 12c)</w:t>
      </w:r>
    </w:p>
    <w:p>
      <w:pPr>
        <w:pStyle w:val="BookText"/>
      </w:pPr>
      <w:r>
        <w:rPr>
          <w:rFonts w:ascii="IRNazanin" w:hAnsi="IRNazanin" w:eastAsia="IRNazanin" w:cs="IRNazanin"/>
          <w:lang w:bidi="fa-IR"/>
          <w:color w:val="111111"/>
          <w:sz w:val="28"/>
          <w:szCs w:val="28"/>
          <w:rtl/>
        </w:rPr>
        <w:t xml:space="preserve">عنوان «مجلس و حکایه» دارد و در مجلس ها از ابوالعلاء حامد بن ادریس قاضی بلغاری از میمون بن محمد بن معتمد مکحولی نسفی و از ابوبکر محمد بن عبدالله سرخستکی روایت شده است، مجلس های وعظ عارفانه است و آیات هم در آن تفسیر شده و پر است از اخبار، نام کتاب در دیباچه دیده می شود و در پایان بدان نام «زهرة الرياض» داده شده است. به عربی است و در آن عبارت فارسی از «فقیه» دیده می شود.</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١- زهرة الرياض و نزهة القلوب المراض؛ سقسینی، سلیمان بن داود ( -6)</w:t>
      </w:r>
    </w:p>
    <w:p>
      <w:pPr>
        <w:pStyle w:val="BookText"/>
      </w:pPr>
      <w:r>
        <w:rPr>
          <w:rFonts w:ascii="IRNazanin" w:hAnsi="IRNazanin" w:eastAsia="IRNazanin" w:cs="IRNazanin"/>
          <w:lang w:bidi="fa-IR"/>
          <w:color w:val="111111"/>
          <w:sz w:val="28"/>
          <w:szCs w:val="28"/>
          <w:rtl/>
        </w:rPr>
        <w:t xml:space="preserve">۱. تهران: دانشگاه؛ شماره نسخه: ۶۸۲۳/۱</w:t>
      </w:r>
    </w:p>
    <w:p>
      <w:pPr>
        <w:pStyle w:val="BookText"/>
      </w:pPr>
      <w:r>
        <w:rPr>
          <w:rFonts w:ascii="IRNazanin" w:hAnsi="IRNazanin" w:eastAsia="IRNazanin" w:cs="IRNazanin"/>
          <w:lang w:bidi="fa-IR"/>
          <w:color w:val="111111"/>
          <w:sz w:val="28"/>
          <w:szCs w:val="28"/>
          <w:rtl/>
        </w:rPr>
        <w:t xml:space="preserve">خط: نسخ، كان حسن بن محمد طالقانی، تا: چهارشنبه پایان جمادی الاول ۱۰۲۸ق، جان بندر مچلی پتن؛ کاغذ: سپاهانی، جلد: تیماج قهوه ای مقوایی، ۲۳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قطع: ربعی،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 سم [ف: ۱۶- ۳۷۰]</w:t>
      </w:r>
    </w:p>
    <w:p>
      <w:pPr>
        <w:pStyle w:val="BookText"/>
      </w:pPr>
      <w:r>
        <w:rPr>
          <w:rFonts w:ascii="IRNazanin" w:hAnsi="IRNazanin" w:eastAsia="IRNazanin" w:cs="IRNazanin"/>
          <w:lang w:bidi="fa-IR"/>
          <w:color w:val="111111"/>
          <w:sz w:val="28"/>
          <w:szCs w:val="28"/>
          <w:rtl/>
        </w:rPr>
        <w:t xml:space="preserve">۲. مشهد؛ رضوی؛ شماره نسخه: ۱۲۶۷۳</w:t>
      </w:r>
    </w:p>
    <w:p>
      <w:pPr>
        <w:pStyle w:val="BookText"/>
      </w:pPr>
      <w:r>
        <w:rPr>
          <w:rFonts w:ascii="IRNazanin" w:hAnsi="IRNazanin" w:eastAsia="IRNazanin" w:cs="IRNazanin"/>
          <w:lang w:bidi="fa-IR"/>
          <w:color w:val="111111"/>
          <w:sz w:val="28"/>
          <w:szCs w:val="28"/>
          <w:rtl/>
        </w:rPr>
        <w:t xml:space="preserve">آغاز: بسمله نقل من كتاب بهجة الانوار من خفياه الاسرار؛ انجام: من الظالمين ببعيد ... میرزا بابای انجدانی ...</w:t>
      </w:r>
    </w:p>
    <w:p>
      <w:pPr>
        <w:pStyle w:val="BookText"/>
      </w:pPr>
      <w:r>
        <w:rPr>
          <w:rFonts w:ascii="IRNazanin" w:hAnsi="IRNazanin" w:eastAsia="IRNazanin" w:cs="IRNazanin"/>
          <w:lang w:bidi="fa-IR"/>
          <w:color w:val="111111"/>
          <w:sz w:val="28"/>
          <w:szCs w:val="28"/>
          <w:rtl/>
        </w:rPr>
        <w:t xml:space="preserve">خط: نسخ، بی کا، تا: ۱۲۳۶ق؛ کاغذ: الوان، جلد: میشن، ۱۶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[رایانه]</w:t>
      </w:r>
    </w:p>
    <w:p>
      <w:pPr>
        <w:pStyle w:val="Heading3"/>
      </w:pPr>
      <w:bookmarkStart w:id="1092" w:name="_Toc352"/>
      <w:r>
        <w:t>•بهجة الاولياء / متفرقه / فارسی</w:t>
      </w:r>
      <w:bookmarkEnd w:id="1092"/>
    </w:p>
    <w:p>
      <w:pPr>
        <w:pStyle w:val="BookText"/>
      </w:pPr>
      <w:r>
        <w:rPr>
          <w:rFonts w:ascii="Times New Roman" w:hAnsi="Times New Roman" w:eastAsia="Times New Roman" w:cs="Times New Roman"/>
          <w:lang w:val="en-US" w:bidi="en-US"/>
          <w:color w:val="111111"/>
          <w:sz w:val="28"/>
          <w:szCs w:val="28"/>
          <w:rtl/>
        </w:rPr>
        <w:t xml:space="preserve">bahjat-ul owlīyā'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17" w:name="pg20363_209300"/>
    <w:bookmarkEnd w:id="117"/>
    <w:p>
      <w:pPr>
        <w:pStyle w:val="BookText"/>
      </w:pPr>
      <w:r>
        <w:rPr>
          <w:rFonts w:ascii="IRNazanin" w:hAnsi="IRNazanin" w:eastAsia="IRNazanin" w:cs="IRNazanin"/>
          <w:lang w:bidi="fa-IR"/>
          <w:color w:val="111111"/>
          <w:sz w:val="28"/>
          <w:szCs w:val="28"/>
          <w:rtl/>
        </w:rPr>
        <w:t xml:space="preserve">الماسی، محمد تقی بن کاظم، ۱۰۸۹-۱۱۵۹ قمری</w:t>
      </w:r>
    </w:p>
    <w:p>
      <w:pPr>
        <w:pStyle w:val="BookText"/>
      </w:pPr>
      <w:r>
        <w:rPr>
          <w:rFonts w:ascii="Times New Roman" w:hAnsi="Times New Roman" w:eastAsia="Times New Roman" w:cs="Times New Roman"/>
          <w:lang w:val="en-US" w:bidi="en-US"/>
          <w:color w:val="111111"/>
          <w:sz w:val="28"/>
          <w:szCs w:val="28"/>
          <w:rtl/>
        </w:rPr>
        <w:t xml:space="preserve">almāsī, mohammad taqī ebn-e kāzem (1678-1746)</w:t>
      </w:r>
    </w:p>
    <w:p>
      <w:pPr>
        <w:pStyle w:val="BookText"/>
      </w:pPr>
      <w:r>
        <w:rPr>
          <w:rFonts w:ascii="IRNazanin" w:hAnsi="IRNazanin" w:eastAsia="IRNazanin" w:cs="IRNazanin"/>
          <w:lang w:bidi="fa-IR"/>
          <w:color w:val="111111"/>
          <w:sz w:val="28"/>
          <w:szCs w:val="28"/>
          <w:rtl/>
        </w:rPr>
        <w:t xml:space="preserve">شرح دیدار شرفیاب شدگان به محضر امام زمان (عجل الله تعالی فرجه الشریف) را در یک «مقدمه» و سه «باب» و یک «خاتمه» برگزار نموده است.</w:t>
      </w:r>
    </w:p>
    <w:p>
      <w:pPr>
        <w:pStyle w:val="BookText"/>
      </w:pPr>
      <w:r>
        <w:rPr>
          <w:rFonts w:ascii="IRNazanin" w:hAnsi="IRNazanin" w:eastAsia="IRNazanin" w:cs="IRNazanin"/>
          <w:lang w:bidi="fa-IR"/>
          <w:color w:val="111111"/>
          <w:sz w:val="28"/>
          <w:szCs w:val="28"/>
          <w:rtl/>
        </w:rPr>
        <w:t xml:space="preserve">آغاز: الحمدلله الذي وفق بعض عباده الاضاء الشرف لقاء خاتم الاوصیاء و بقية خلفاء سيد الأنبياء وحجة الله و نوره في الارض و السماء و اظهر على بعضهم من معجزاته و ایاته</w:t>
      </w:r>
    </w:p>
    <w:p>
      <w:pPr>
        <w:pStyle w:val="BookText"/>
      </w:pPr>
      <w:r>
        <w:rPr>
          <w:rFonts w:ascii="IRNazanin" w:hAnsi="IRNazanin" w:eastAsia="IRNazanin" w:cs="IRNazanin"/>
          <w:lang w:bidi="fa-IR"/>
          <w:color w:val="111111"/>
          <w:sz w:val="28"/>
          <w:szCs w:val="28"/>
          <w:rtl/>
        </w:rPr>
        <w:t xml:space="preserve">انجام: چون نضله نزد سعد بن ابی وقاص آمد کیفیت حال را باز گفت سعدبه آن کوه رفت هر چند جست و جوی و تک و پوی نمود و بانکی نماز گفت دیگر از زریب خبری نشیند و اثری ندید</w:t>
      </w:r>
    </w:p>
    <w:p>
      <w:pPr>
        <w:pStyle w:val="BookText"/>
      </w:pPr>
      <w:r>
        <w:rPr>
          <w:rFonts w:ascii="IRNazanin" w:hAnsi="IRNazanin" w:eastAsia="IRNazanin" w:cs="IRNazanin"/>
          <w:lang w:bidi="fa-IR"/>
          <w:color w:val="111111"/>
          <w:sz w:val="28"/>
          <w:szCs w:val="28"/>
          <w:rtl/>
        </w:rPr>
        <w:t xml:space="preserve">[الذريعة ۱۶۰/۳ ؛ فهرستواره منزوی ۲۰۳۲/۳ و ۱۵۵/۹ ؛ ریحانة الادب ۱۶۸/۱ ]</w:t>
      </w:r>
    </w:p>
    <w:p>
      <w:pPr>
        <w:pStyle w:val="BookText"/>
      </w:pPr>
      <w:r>
        <w:rPr>
          <w:rFonts w:ascii="IRNazanin" w:hAnsi="IRNazanin" w:eastAsia="IRNazanin" w:cs="IRNazanin"/>
          <w:lang w:bidi="fa-IR"/>
          <w:color w:val="111111"/>
          <w:sz w:val="28"/>
          <w:szCs w:val="28"/>
          <w:rtl/>
        </w:rPr>
        <w:t xml:space="preserve">قم؛ مسجد اعظم؛ شماره نسخه: ۶۳۷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کاتب = مؤلف، بی تا، خط خوردگی دارد، مصحح؛ جلد: گالینگور سبز، عطف تیماج زرشکی، ۱۴۵ گ، مختلف السطر،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مخ: ۱-۲۸۲]</w:t>
      </w:r>
    </w:p>
    <w:p>
      <w:pPr>
        <w:pStyle w:val="Heading3"/>
      </w:pPr>
      <w:bookmarkStart w:id="1093" w:name="_Toc353"/>
      <w:r>
        <w:t>•البهجة البهية في اللغة التركية / لغت / عربی به ترکی</w:t>
      </w:r>
      <w:bookmarkEnd w:id="1093"/>
    </w:p>
    <w:p>
      <w:pPr>
        <w:pStyle w:val="BookText"/>
      </w:pPr>
      <w:r>
        <w:rPr>
          <w:rFonts w:ascii="Times New Roman" w:hAnsi="Times New Roman" w:eastAsia="Times New Roman" w:cs="Times New Roman"/>
          <w:lang w:val="en-US" w:bidi="en-US"/>
          <w:color w:val="111111"/>
          <w:sz w:val="28"/>
          <w:szCs w:val="28"/>
          <w:rtl/>
        </w:rPr>
        <w:t xml:space="preserve">bahjat-ul bahiyya fi-1 lugat-it turkiyya</w:t>
      </w:r>
    </w:p>
    <w:p>
      <w:pPr>
        <w:pStyle w:val="BookText"/>
      </w:pPr>
      <w:r>
        <w:rPr>
          <w:rFonts w:ascii="IRNazanin" w:hAnsi="IRNazanin" w:eastAsia="IRNazanin" w:cs="IRNazanin"/>
          <w:lang w:bidi="fa-IR"/>
          <w:color w:val="111111"/>
          <w:sz w:val="28"/>
          <w:szCs w:val="28"/>
          <w:rtl/>
        </w:rPr>
        <w:t xml:space="preserve">لغت نامه ای است که مؤلف به سبک «فقه اللغة» ثعالبی در یک مقدمه» و ده «باب» و «خاتمه» ای گرد آورده و در هر باب اسماء اصناف را ذکر کرده و در زیر آن به ترکی ترجمه نموده است: المقدمة: في ذكر اسماء الله تعالى و الانبياء و الملائکه و ما يناسب ذلك في الوجودات و المعادن و غیر ذلک؛ باب ۱. اسماء الآدميين و الاقارب و الاعضاء؛ باب ۲. المآكل و المشارب و الفواکه و غير ذلك؛ ۳. اسماء الملابس الموافقة للرجال و النساء؛ ۴. اسماء اله البيت و اله البحر و ما يناسب ذلك؛ ۵. اسماء الحيوانات من المركوب و الوحوش و الهموم و غير ذلك؛ ۶. اسماء الالوان و الصفات؛7. اسماء الطيور الأهلية و البرية؛ ۸ اسماء العدد و ترتيبه في الكلام؛ 9. الافعال الماضية و المضارعة و الامر و الفاظ التي تدخل في الكلام و يحتاج المتكلم اليها؛ ۱۰. اسماء ارباب الوظايف و الصفاع و الاسماء المتقاربة في الألفاظ المختلفة في المعنى و الكلام المركب الخاتمة: في الأسماء المتر كبة بين اللسان العربي و اللسان التركي و هي الاسماء المشهورة.</w:t>
      </w:r>
    </w:p>
    <w:p>
      <w:pPr>
        <w:pStyle w:val="BookText"/>
      </w:pPr>
      <w:r>
        <w:rPr>
          <w:rFonts w:ascii="IRNazanin" w:hAnsi="IRNazanin" w:eastAsia="IRNazanin" w:cs="IRNazanin"/>
          <w:lang w:bidi="fa-IR"/>
          <w:color w:val="111111"/>
          <w:sz w:val="28"/>
          <w:szCs w:val="28"/>
          <w:rtl/>
        </w:rPr>
        <w:t xml:space="preserve">تهران؛ مجلس؛ شماره نسخه: ۷۹۶۳/۱</w:t>
      </w:r>
    </w:p>
    <w:p>
      <w:pPr>
        <w:pStyle w:val="BookText"/>
      </w:pPr>
      <w:r>
        <w:rPr>
          <w:rFonts w:ascii="IRNazanin" w:hAnsi="IRNazanin" w:eastAsia="IRNazanin" w:cs="IRNazanin"/>
          <w:lang w:bidi="fa-IR"/>
          <w:color w:val="111111"/>
          <w:sz w:val="28"/>
          <w:szCs w:val="28"/>
          <w:rtl/>
        </w:rPr>
        <w:t xml:space="preserve">آغاز: الحمدلله الذي خلق الخلق على غير مثال و جعل على الوان المختلفة و الاشكال و افهم اهل كل لسان بمقال ... و بعد فهذه ترجمان قد عنيت لجمعه في اللغة التركية؛ انجام: على هذا القياس ... في ساير الأسماء الصنایع تذكر اسم صنفه و تزيد عليه الجيم و الياء في جميع الأسماء.</w:t>
      </w:r>
    </w:p>
    <w:p>
      <w:pPr>
        <w:pStyle w:val="BookText"/>
      </w:pPr>
      <w:r>
        <w:rPr>
          <w:rFonts w:ascii="IRNazanin" w:hAnsi="IRNazanin" w:eastAsia="IRNazanin" w:cs="IRNazanin"/>
          <w:lang w:bidi="fa-IR"/>
          <w:color w:val="111111"/>
          <w:sz w:val="28"/>
          <w:szCs w:val="28"/>
          <w:rtl/>
        </w:rPr>
        <w:t xml:space="preserve">خط: نسخ تحریری، بی کا، بی تا، افتادگی: انجام؛ جلد: گالینگور قهوه ای عطف تیماج، ۶۳، ۱۵ سطر، اندازه: ۱۵/۵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۲۶-۴۴۲]</w:t>
      </w:r>
    </w:p>
    <w:p>
      <w:pPr>
        <w:pStyle w:val="Heading3"/>
      </w:pPr>
      <w:bookmarkStart w:id="1094" w:name="_Toc354"/>
      <w:r>
        <w:t>•بهجة التواریخ / تاریخ جهان / فارسی</w:t>
      </w:r>
      <w:bookmarkEnd w:id="1094"/>
    </w:p>
    <w:p>
      <w:pPr>
        <w:pStyle w:val="BookText"/>
      </w:pPr>
      <w:r>
        <w:rPr>
          <w:rFonts w:ascii="Times New Roman" w:hAnsi="Times New Roman" w:eastAsia="Times New Roman" w:cs="Times New Roman"/>
          <w:lang w:val="en-US" w:bidi="en-US"/>
          <w:color w:val="111111"/>
          <w:sz w:val="28"/>
          <w:szCs w:val="28"/>
          <w:rtl/>
        </w:rPr>
        <w:t xml:space="preserve">bahjat-ot tavārīx</w:t>
      </w:r>
    </w:p>
    <w:p>
      <w:pPr>
        <w:pStyle w:val="BookText"/>
      </w:pPr>
      <w:r>
        <w:rPr>
          <w:rFonts w:ascii="IRNazanin" w:hAnsi="IRNazanin" w:eastAsia="IRNazanin" w:cs="IRNazanin"/>
          <w:lang w:bidi="fa-IR"/>
          <w:color w:val="111111"/>
          <w:sz w:val="28"/>
          <w:szCs w:val="28"/>
          <w:rtl/>
        </w:rPr>
        <w:t xml:space="preserve">زکی، شکرالله بن احمد، -۸۹۴ قمری</w:t>
      </w:r>
    </w:p>
    <w:p>
      <w:pPr>
        <w:pStyle w:val="BookText"/>
      </w:pPr>
      <w:r>
        <w:rPr>
          <w:rFonts w:ascii="Times New Roman" w:hAnsi="Times New Roman" w:eastAsia="Times New Roman" w:cs="Times New Roman"/>
          <w:lang w:val="en-US" w:bidi="en-US"/>
          <w:color w:val="111111"/>
          <w:sz w:val="28"/>
          <w:szCs w:val="28"/>
          <w:rtl/>
        </w:rPr>
        <w:t xml:space="preserve">zakī, šokr-ol-lāh ebn-e ahmad (- 1489)</w:t>
      </w:r>
    </w:p>
    <w:p>
      <w:pPr>
        <w:pStyle w:val="BookText"/>
      </w:pPr>
      <w:r>
        <w:rPr>
          <w:rFonts w:ascii="IRNazanin" w:hAnsi="IRNazanin" w:eastAsia="IRNazanin" w:cs="IRNazanin"/>
          <w:lang w:bidi="fa-IR"/>
          <w:color w:val="111111"/>
          <w:sz w:val="28"/>
          <w:szCs w:val="28"/>
          <w:rtl/>
        </w:rPr>
        <w:t xml:space="preserve">اهدا به: سلطان محمد بن مراد خان عثمانی</w:t>
      </w:r>
    </w:p>
    <w:p>
      <w:pPr>
        <w:pStyle w:val="BookText"/>
      </w:pPr>
      <w:r>
        <w:rPr>
          <w:rFonts w:ascii="IRNazanin" w:hAnsi="IRNazanin" w:eastAsia="IRNazanin" w:cs="IRNazanin"/>
          <w:lang w:bidi="fa-IR"/>
          <w:color w:val="111111"/>
          <w:sz w:val="28"/>
          <w:szCs w:val="28"/>
          <w:rtl/>
        </w:rPr>
        <w:t xml:space="preserve">تاریخ تأليف: ۸۴۱ یا ۸۶۱ یا ۸۵۲ق</w:t>
      </w:r>
    </w:p>
    <w:p>
      <w:pPr>
        <w:pStyle w:val="BookText"/>
      </w:pPr>
      <w:r>
        <w:rPr>
          <w:rFonts w:ascii="IRNazanin" w:hAnsi="IRNazanin" w:eastAsia="IRNazanin" w:cs="IRNazanin"/>
          <w:lang w:bidi="fa-IR"/>
          <w:color w:val="111111"/>
          <w:sz w:val="28"/>
          <w:szCs w:val="28"/>
          <w:rtl/>
        </w:rPr>
        <w:t xml:space="preserve">تاریخ عمومی است آمیخته به مطالبی از دانش های مختلف، مشتمل بر سیزده «باب» و بعضی از آنها دارای چند «فصل: باب .. بیان آفرینش جهان، در ۲ «گفتار»، یکم به گفته اهل تفسیر و حدیث، دوم از گفتار حكماء در چهارده «فصل» و دوازده مقالت» در جهان شناسی و جغرافیا و مردم شناسی؛ باب ۲. تواريخ بعضی مشاهیر انبیا؛ ۳. نسب پیامبر گرامی اسلام؛ ۴. میلاد و احوال آن حضرت در هفت فصل»؛ ۵. ازواج و خویشان آن حضرت؛ ۶. حالات عشره مبشره؛ ۷. حالات بعضی از صحابه؛ ۸ حالات ائمه مذاهب و بعضی امامان دیگر؛ ۹. مشاهير مشایخ طبقات؛ ۱۰. تاریخ مشاهير حكما يونان و سایر ادیان؛ ۱۱. تواریخ پادشاهان پیش از اسلام؛ ۱۲. تاریخ خلفای بنی امیه و عباسیه و علویه؛ ۱۳. تواریخ سلاطين آل عثمان.</w:t>
      </w:r>
    </w:p>
    <w:p>
      <w:pPr>
        <w:pStyle w:val="BookText"/>
      </w:pPr>
      <w:r>
        <w:rPr>
          <w:rFonts w:ascii="IRNazanin" w:hAnsi="IRNazanin" w:eastAsia="IRNazanin" w:cs="IRNazanin"/>
          <w:lang w:bidi="fa-IR"/>
          <w:color w:val="111111"/>
          <w:sz w:val="28"/>
          <w:szCs w:val="28"/>
          <w:rtl/>
        </w:rPr>
        <w:t xml:space="preserve">آغاز: 1. الحمدلله الذي برأ كل شيء ثم ارعاه و ذرأ كل حي ثم افناه ... اما بعد عرضه می دارد بنده ضعيف فقیر ... شكرالله بن الامام الاعز الأكرم شهاب الدین احمد ...</w:t>
      </w:r>
    </w:p>
    <w:p>
      <w:pPr>
        <w:pStyle w:val="BookText"/>
      </w:pPr>
      <w:r>
        <w:rPr>
          <w:rFonts w:ascii="IRNazanin" w:hAnsi="IRNazanin" w:eastAsia="IRNazanin" w:cs="IRNazanin"/>
          <w:lang w:bidi="fa-IR"/>
          <w:color w:val="111111"/>
          <w:sz w:val="28"/>
          <w:szCs w:val="28"/>
          <w:rtl/>
        </w:rPr>
        <w:t xml:space="preserve">۲: بسمله، این کتابرا از تفاسیر کلام رب العالمین جل جلاله و عم نواله و از کتب سته احادیث نبوی ...</w:t>
      </w:r>
    </w:p>
    <w:p>
      <w:pPr>
        <w:pStyle w:val="BookText"/>
      </w:pPr>
      <w:r>
        <w:rPr>
          <w:rFonts w:ascii="IRNazanin" w:hAnsi="IRNazanin" w:eastAsia="IRNazanin" w:cs="IRNazanin"/>
          <w:lang w:bidi="fa-IR"/>
          <w:color w:val="111111"/>
          <w:sz w:val="28"/>
          <w:szCs w:val="28"/>
          <w:rtl/>
        </w:rPr>
        <w:t xml:space="preserve">[دنا ۵۴۸/۲ (۱۲ نسخه)؛ نسخه های منزوی ۴۰۹۸/۶ -۴۰۹۹ (۸ نسخه)؛ فهرستواره منزوی ۵۶۸/۱ ؛ کشف الظنون ۲۵۷/۱ ؛ مشترک پاکستان ۱۳۴۹/۱۱ ؛ استوری ۹۱/۱ ، ۱۱۶۸؛ بر گل، فارسی ۵۱۹/۲ ؛ حاجی خلیفه</w:t>
      </w:r>
    </w:p>
    <w:p>
      <w:pPr>
        <w:pStyle w:val="BookText"/>
      </w:pPr>
      <w:r>
        <w:rPr>
          <w:rFonts w:ascii="IRNazanin" w:hAnsi="IRNazanin" w:eastAsia="IRNazanin" w:cs="IRNazanin"/>
          <w:lang w:bidi="fa-IR"/>
          <w:color w:val="111111"/>
          <w:sz w:val="28"/>
          <w:szCs w:val="28"/>
          <w:rtl/>
        </w:rPr>
        <w:t xml:space="preserve">۲۵۷/۱ ؛ بودلیان ۲۳/۱ ش ۳۴؛ ازبکستان، تاشکند ۲۲/۶ (۲ نسخه)؛ مغنيسا ۴۱۳؛ توپکاپی ۳۹/۱ (۲ نسخه)]</w:t>
      </w:r>
    </w:p>
    <w:p>
      <w:pPr>
        <w:pStyle w:val="BookText"/>
      </w:pPr>
      <w:r>
        <w:rPr>
          <w:rFonts w:ascii="IRNazanin" w:hAnsi="IRNazanin" w:eastAsia="IRNazanin" w:cs="IRNazanin"/>
          <w:lang w:bidi="fa-IR"/>
          <w:color w:val="111111"/>
          <w:sz w:val="28"/>
          <w:szCs w:val="28"/>
          <w:rtl/>
        </w:rPr>
        <w:t xml:space="preserve">۱. تهران: دائرة المعارف، شماره نسخه: ۲۴۰-عکسی</w:t>
      </w:r>
    </w:p>
    <w:p>
      <w:pPr>
        <w:pStyle w:val="BookText"/>
      </w:pPr>
      <w:r>
        <w:rPr>
          <w:rFonts w:ascii="IRNazanin" w:hAnsi="IRNazanin" w:eastAsia="IRNazanin" w:cs="IRNazanin"/>
          <w:lang w:bidi="fa-IR"/>
          <w:color w:val="111111"/>
          <w:sz w:val="28"/>
          <w:szCs w:val="28"/>
          <w:rtl/>
        </w:rPr>
        <w:t xml:space="preserve">آغاز: برابر ۱؛ انجام: خطا و خلل ظاهر گردد به ذیل عقو پوشند، و در آنچ قابل اصلاح است به اصلاح کوشند ... نسخه اصل: بودلیان، ش ۶۲۸ (مارش) (بودليان ۲۶/1 ش ۳۴)؛ خط: نسخ تحریری، کاتب = مؤلف، بی تا؛ ۲۲۷گ، ۱۷ سطر عکسی ف: ۲-۴۳]</w:t>
      </w:r>
    </w:p>
    <w:p>
      <w:pPr>
        <w:pStyle w:val="BookText"/>
      </w:pPr>
      <w:r>
        <w:rPr>
          <w:rFonts w:ascii="IRNazanin" w:hAnsi="IRNazanin" w:eastAsia="IRNazanin" w:cs="IRNazanin"/>
          <w:lang w:bidi="fa-IR"/>
          <w:color w:val="111111"/>
          <w:sz w:val="28"/>
          <w:szCs w:val="28"/>
          <w:rtl/>
        </w:rPr>
        <w:t xml:space="preserve">تهران؛ دانشگاه؛ شماره نسخه: ۱۰۰۵-ف</w:t>
      </w:r>
    </w:p>
    <w:p>
      <w:pPr>
        <w:pStyle w:val="BookText"/>
      </w:pPr>
      <w:r>
        <w:rPr>
          <w:rFonts w:ascii="IRNazanin" w:hAnsi="IRNazanin" w:eastAsia="IRNazanin" w:cs="IRNazanin"/>
          <w:lang w:bidi="fa-IR"/>
          <w:color w:val="111111"/>
          <w:sz w:val="28"/>
          <w:szCs w:val="28"/>
          <w:rtl/>
        </w:rPr>
        <w:t xml:space="preserve">نسخه اصل: همان نسخه بالا [فیلمها ف: ۱-۲۴]</w:t>
      </w:r>
    </w:p>
    <w:p>
      <w:pPr>
        <w:pStyle w:val="BookText"/>
      </w:pPr>
      <w:r>
        <w:rPr>
          <w:rFonts w:ascii="IRNazanin" w:hAnsi="IRNazanin" w:eastAsia="IRNazanin" w:cs="IRNazanin"/>
          <w:lang w:bidi="fa-IR"/>
          <w:color w:val="111111"/>
          <w:sz w:val="28"/>
          <w:szCs w:val="28"/>
          <w:rtl/>
        </w:rPr>
        <w:t xml:space="preserve">۲. قم؛ مرکز احیاء؛ شماره نسخه: ۱۶۴۳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18" w:name="pg20363_209301"/>
    <w:bookmarkEnd w:id="118"/>
    <w:p>
      <w:pPr>
        <w:pStyle w:val="BookText"/>
      </w:pPr>
      <w:r>
        <w:rPr>
          <w:rFonts w:ascii="IRNazanin" w:hAnsi="IRNazanin" w:eastAsia="IRNazanin" w:cs="IRNazanin"/>
          <w:lang w:bidi="fa-IR"/>
          <w:color w:val="111111"/>
          <w:sz w:val="28"/>
          <w:szCs w:val="28"/>
          <w:rtl/>
        </w:rPr>
        <w:t xml:space="preserve">آغاز: برابر۱</w:t>
      </w:r>
    </w:p>
    <w:p>
      <w:pPr>
        <w:pStyle w:val="BookText"/>
      </w:pPr>
      <w:r>
        <w:rPr>
          <w:rFonts w:ascii="IRNazanin" w:hAnsi="IRNazanin" w:eastAsia="IRNazanin" w:cs="IRNazanin"/>
          <w:lang w:bidi="fa-IR"/>
          <w:color w:val="111111"/>
          <w:sz w:val="28"/>
          <w:szCs w:val="28"/>
          <w:rtl/>
        </w:rPr>
        <w:t xml:space="preserve">نسخه اصل: کتابخانه شخصی ایران؛ خط: نستعلیق، بی کا، تان ۸۶۱ق (آن گونه که در آغاز کتاب ثبت شده ولی تاریخ پایان نسخه به علت سیاه بودن کاغذ واضح نیست)؛ مجدول؛ ۶۲۷ص عکسی ف: ۵-۸۶]</w:t>
      </w:r>
    </w:p>
    <w:p>
      <w:pPr>
        <w:pStyle w:val="BookText"/>
      </w:pPr>
      <w:r>
        <w:rPr>
          <w:rFonts w:ascii="IRNazanin" w:hAnsi="IRNazanin" w:eastAsia="IRNazanin" w:cs="IRNazanin"/>
          <w:lang w:bidi="fa-IR"/>
          <w:color w:val="111111"/>
          <w:sz w:val="28"/>
          <w:szCs w:val="28"/>
          <w:rtl/>
        </w:rPr>
        <w:t xml:space="preserve">٣. تهران؛ دانشگاه؛ شماره نسخه: ۳۴۸۷ع و ۳۴۸۸-۶ و ۳۷۶۷-ف</w:t>
      </w:r>
    </w:p>
    <w:p>
      <w:pPr>
        <w:pStyle w:val="BookText"/>
      </w:pPr>
      <w:r>
        <w:rPr>
          <w:rFonts w:ascii="IRNazanin" w:hAnsi="IRNazanin" w:eastAsia="IRNazanin" w:cs="IRNazanin"/>
          <w:lang w:bidi="fa-IR"/>
          <w:color w:val="111111"/>
          <w:sz w:val="28"/>
          <w:szCs w:val="28"/>
          <w:rtl/>
        </w:rPr>
        <w:t xml:space="preserve">نسخه اصل: موزه آسیایی آکادمی علوم شوروی، لنینگراد </w:t>
      </w:r>
      <w:r>
        <w:rPr>
          <w:rFonts w:ascii="Times New Roman" w:hAnsi="Times New Roman" w:eastAsia="Times New Roman" w:cs="Times New Roman"/>
          <w:lang w:val="en-US" w:bidi="en-US"/>
          <w:color w:val="111111"/>
          <w:sz w:val="28"/>
          <w:szCs w:val="28"/>
          <w:rtl/>
        </w:rPr>
        <w:t xml:space="preserve">OrC785 (</w:t>
      </w:r>
      <w:r>
        <w:rPr>
          <w:rFonts w:ascii="IRNazanin" w:hAnsi="IRNazanin" w:eastAsia="IRNazanin" w:cs="IRNazanin"/>
          <w:lang w:bidi="fa-IR"/>
          <w:color w:val="111111"/>
          <w:sz w:val="28"/>
          <w:szCs w:val="28"/>
          <w:rtl/>
        </w:rPr>
        <w:t xml:space="preserve">رزن 9)؛ خط: نسخ، كا: فرهاد بن شیر مرد خواجه، تا: پنجشنبه ۱۳ ربیع الثانی ۹۳۸ق؛ ۲۲۰گی [فیلمها ف: ۱-۲۴ و ۲-۲۴۵]</w:t>
      </w:r>
    </w:p>
    <w:p>
      <w:pPr>
        <w:pStyle w:val="BookText"/>
      </w:pPr>
      <w:r>
        <w:rPr>
          <w:rFonts w:ascii="IRNazanin" w:hAnsi="IRNazanin" w:eastAsia="IRNazanin" w:cs="IRNazanin"/>
          <w:lang w:bidi="fa-IR"/>
          <w:color w:val="111111"/>
          <w:sz w:val="28"/>
          <w:szCs w:val="28"/>
          <w:rtl/>
        </w:rPr>
        <w:t xml:space="preserve">تهران؛ ملی؛ شماره نسخه: عکسی بدون شماره</w:t>
      </w:r>
    </w:p>
    <w:p>
      <w:pPr>
        <w:pStyle w:val="BookText"/>
      </w:pPr>
      <w:r>
        <w:rPr>
          <w:rFonts w:ascii="IRNazanin" w:hAnsi="IRNazanin" w:eastAsia="IRNazanin" w:cs="IRNazanin"/>
          <w:lang w:bidi="fa-IR"/>
          <w:color w:val="111111"/>
          <w:sz w:val="28"/>
          <w:szCs w:val="28"/>
          <w:rtl/>
        </w:rPr>
        <w:t xml:space="preserve">نسخه اصل: همان نسخه اصل بالا [نشریه: ۳-۱۰۰]</w:t>
      </w:r>
    </w:p>
    <w:p>
      <w:pPr>
        <w:pStyle w:val="BookText"/>
      </w:pPr>
      <w:r>
        <w:rPr>
          <w:rFonts w:ascii="IRNazanin" w:hAnsi="IRNazanin" w:eastAsia="IRNazanin" w:cs="IRNazanin"/>
          <w:lang w:bidi="fa-IR"/>
          <w:color w:val="111111"/>
          <w:sz w:val="28"/>
          <w:szCs w:val="28"/>
          <w:rtl/>
        </w:rPr>
        <w:t xml:space="preserve">۴. تهران، دانشگاه؛ شماره نسخه: ۳۸۶۲-ف</w:t>
      </w:r>
    </w:p>
    <w:p>
      <w:pPr>
        <w:pStyle w:val="BookText"/>
      </w:pPr>
      <w:r>
        <w:rPr>
          <w:rFonts w:ascii="IRNazanin" w:hAnsi="IRNazanin" w:eastAsia="IRNazanin" w:cs="IRNazanin"/>
          <w:lang w:bidi="fa-IR"/>
          <w:color w:val="111111"/>
          <w:sz w:val="28"/>
          <w:szCs w:val="28"/>
          <w:rtl/>
        </w:rPr>
        <w:t xml:space="preserve">نسخه اصل: ترکیه با شماره ۱۱۵؛ خط: نستعلیق، كا: حاجی یحیی بن ولی بن تلميذ حاجی حسین بن عبدالحی، تا: محرم ۹۳۹ق فیلمها ف: ۲-۲۷۲]</w:t>
      </w:r>
    </w:p>
    <w:p>
      <w:pPr>
        <w:pStyle w:val="BookText"/>
      </w:pPr>
      <w:r>
        <w:rPr>
          <w:rFonts w:ascii="IRNazanin" w:hAnsi="IRNazanin" w:eastAsia="IRNazanin" w:cs="IRNazanin"/>
          <w:lang w:bidi="fa-IR"/>
          <w:color w:val="111111"/>
          <w:sz w:val="28"/>
          <w:szCs w:val="28"/>
          <w:rtl/>
        </w:rPr>
        <w:t xml:space="preserve">۵. تهران؛ ملی؛ شماره نسخه: ۳۷۶</w:t>
      </w:r>
    </w:p>
    <w:p>
      <w:pPr>
        <w:pStyle w:val="BookText"/>
      </w:pPr>
      <w:r>
        <w:rPr>
          <w:rFonts w:ascii="IRNazanin" w:hAnsi="IRNazanin" w:eastAsia="IRNazanin" w:cs="IRNazanin"/>
          <w:lang w:bidi="fa-IR"/>
          <w:color w:val="111111"/>
          <w:sz w:val="28"/>
          <w:szCs w:val="28"/>
          <w:rtl/>
        </w:rPr>
        <w:t xml:space="preserve">آغاز: برابر ۲؛ انجام: و هر آنچه قليل صلاح است باصلاح کوشند و الحمد لوليه و الصلوة على نبيه</w:t>
      </w:r>
    </w:p>
    <w:p>
      <w:pPr>
        <w:pStyle w:val="BookText"/>
      </w:pPr>
      <w:r>
        <w:rPr>
          <w:rFonts w:ascii="IRNazanin" w:hAnsi="IRNazanin" w:eastAsia="IRNazanin" w:cs="IRNazanin"/>
          <w:lang w:bidi="fa-IR"/>
          <w:color w:val="111111"/>
          <w:sz w:val="28"/>
          <w:szCs w:val="28"/>
          <w:rtl/>
        </w:rPr>
        <w:t xml:space="preserve">خط: نستعلیق، كا: فضل الله بن سفر بلغرادی، تا: شوال ۹۶۴ق؛ کاغذ: اصفهانی، جلد: تیماج قهوه ای و دور آن تیماج سبز، مقوایی با ترنج کوبیده، ۱۸۳ ، ۱۷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۲۰/۵سم [ف: ۱-۳۶۴]</w:t>
      </w:r>
    </w:p>
    <w:p>
      <w:pPr>
        <w:pStyle w:val="BookText"/>
      </w:pPr>
      <w:r>
        <w:rPr>
          <w:rFonts w:ascii="IRNazanin" w:hAnsi="IRNazanin" w:eastAsia="IRNazanin" w:cs="IRNazanin"/>
          <w:lang w:bidi="fa-IR"/>
          <w:color w:val="111111"/>
          <w:sz w:val="28"/>
          <w:szCs w:val="28"/>
          <w:rtl/>
        </w:rPr>
        <w:t xml:space="preserve">6 . تهران؛ ملک؛ شماره نسخه: ۳۸۶۲</w:t>
      </w:r>
    </w:p>
    <w:p>
      <w:pPr>
        <w:pStyle w:val="BookText"/>
      </w:pPr>
      <w:r>
        <w:rPr>
          <w:rFonts w:ascii="IRNazanin" w:hAnsi="IRNazanin" w:eastAsia="IRNazanin" w:cs="IRNazanin"/>
          <w:lang w:bidi="fa-IR"/>
          <w:color w:val="111111"/>
          <w:sz w:val="28"/>
          <w:szCs w:val="28"/>
          <w:rtl/>
        </w:rPr>
        <w:t xml:space="preserve">آغاز: برابر ۲</w:t>
      </w:r>
    </w:p>
    <w:p>
      <w:pPr>
        <w:pStyle w:val="BookText"/>
      </w:pPr>
      <w:r>
        <w:rPr>
          <w:rFonts w:ascii="IRNazanin" w:hAnsi="IRNazanin" w:eastAsia="IRNazanin" w:cs="IRNazanin"/>
          <w:lang w:bidi="fa-IR"/>
          <w:color w:val="111111"/>
          <w:sz w:val="28"/>
          <w:szCs w:val="28"/>
          <w:rtl/>
        </w:rPr>
        <w:t xml:space="preserve">خط: نسخ، بی کا، تا: قرن ۱۲؛ کاغذ: کاغذ فستقی، جلد: میشن قرمز مغزی میشن سبز، ۳۷۰گ، ۱۵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۱۵/۳ سم [ف: ۲-۶۲]</w:t>
      </w:r>
    </w:p>
    <w:p>
      <w:pPr>
        <w:pStyle w:val="BookText"/>
      </w:pPr>
      <w:r>
        <w:rPr>
          <w:rFonts w:ascii="IRNazanin" w:hAnsi="IRNazanin" w:eastAsia="IRNazanin" w:cs="IRNazanin"/>
          <w:lang w:bidi="fa-IR"/>
          <w:color w:val="111111"/>
          <w:sz w:val="28"/>
          <w:szCs w:val="28"/>
          <w:rtl/>
        </w:rPr>
        <w:t xml:space="preserve">۷. قم؛ مرعشی؛ شماره نسخه: ۷۲۸۹</w:t>
      </w:r>
    </w:p>
    <w:p>
      <w:pPr>
        <w:pStyle w:val="BookText"/>
      </w:pPr>
      <w:r>
        <w:rPr>
          <w:rFonts w:ascii="Amiri" w:hAnsi="Amiri" w:eastAsia="Amiri" w:cs="Amiri"/>
          <w:lang w:bidi="ar-SA"/>
          <w:color w:val="111111"/>
          <w:sz w:val="28"/>
          <w:szCs w:val="28"/>
          <w:rtl/>
        </w:rPr>
        <w:t xml:space="preserve">آغاز: برابر ۱؛ انجام: المخصوص بعناية الملك الرحمن سلطان محمد خان بن مراد خان اقدام نمود بر آن ...</w:t>
      </w:r>
    </w:p>
    <w:p>
      <w:pPr>
        <w:pStyle w:val="BookText"/>
      </w:pPr>
      <w:r>
        <w:rPr>
          <w:rFonts w:ascii="IRNazanin" w:hAnsi="IRNazanin" w:eastAsia="IRNazanin" w:cs="IRNazanin"/>
          <w:lang w:bidi="fa-IR"/>
          <w:color w:val="111111"/>
          <w:sz w:val="28"/>
          <w:szCs w:val="28"/>
          <w:rtl/>
        </w:rPr>
        <w:t xml:space="preserve">خط: نستعلیق، بی کا، بی تا، نزدیک به عصر مؤلف، مجدول، دارای دو تقریظ بر کتاب؛ جلد: تیماج قهوه ای، ۳۱۳گ، ۱۳ سطر، اندازه: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۱۷/۵ سم [ف: ۱۹-۷۶]</w:t>
      </w:r>
    </w:p>
    <w:p>
      <w:pPr>
        <w:pStyle w:val="Heading3"/>
      </w:pPr>
      <w:bookmarkStart w:id="1095" w:name="_Toc355"/>
      <w:r>
        <w:t>•بهجة الجلساء في تعريف الخمسة أهل الكساء / فضائل و مناقب ,شعر / عربی</w:t>
      </w:r>
      <w:bookmarkEnd w:id="1095"/>
    </w:p>
    <w:p>
      <w:pPr>
        <w:pStyle w:val="BookText"/>
      </w:pPr>
      <w:r>
        <w:rPr>
          <w:rFonts w:ascii="Times New Roman" w:hAnsi="Times New Roman" w:eastAsia="Times New Roman" w:cs="Times New Roman"/>
          <w:lang w:val="en-US" w:bidi="en-US"/>
          <w:color w:val="111111"/>
          <w:sz w:val="28"/>
          <w:szCs w:val="28"/>
          <w:rtl/>
        </w:rPr>
        <w:t xml:space="preserve">bahjat-ul julasā' fi taʻrīf-il xamsat-i 'ahl-il kasā'</w:t>
      </w:r>
    </w:p>
    <w:p>
      <w:pPr>
        <w:pStyle w:val="BookText"/>
      </w:pPr>
      <w:r>
        <w:rPr>
          <w:rFonts w:ascii="IRNazanin" w:hAnsi="IRNazanin" w:eastAsia="IRNazanin" w:cs="IRNazanin"/>
          <w:lang w:bidi="fa-IR"/>
          <w:color w:val="111111"/>
          <w:sz w:val="28"/>
          <w:szCs w:val="28"/>
          <w:rtl/>
        </w:rPr>
        <w:t xml:space="preserve">موصلی، خضر بن عطاء الله، -۱۰۰۷ قمری</w:t>
      </w:r>
    </w:p>
    <w:p>
      <w:pPr>
        <w:pStyle w:val="BookText"/>
      </w:pPr>
      <w:r>
        <w:rPr>
          <w:rFonts w:ascii="Times New Roman" w:hAnsi="Times New Roman" w:eastAsia="Times New Roman" w:cs="Times New Roman"/>
          <w:lang w:val="en-US" w:bidi="en-US"/>
          <w:color w:val="111111"/>
          <w:sz w:val="28"/>
          <w:szCs w:val="28"/>
          <w:rtl/>
        </w:rPr>
        <w:t xml:space="preserve">mūselī, xezr ebn-e 'atā’-ol-lāh (- 1599)</w:t>
      </w:r>
    </w:p>
    <w:p>
      <w:pPr>
        <w:pStyle w:val="BookText"/>
      </w:pPr>
      <w:r>
        <w:rPr>
          <w:rFonts w:ascii="IRNazanin" w:hAnsi="IRNazanin" w:eastAsia="IRNazanin" w:cs="IRNazanin"/>
          <w:lang w:bidi="fa-IR"/>
          <w:color w:val="111111"/>
          <w:sz w:val="28"/>
          <w:szCs w:val="28"/>
          <w:rtl/>
        </w:rPr>
        <w:t xml:space="preserve">اهداء به : حسن بن محمد ابی نمی</w:t>
      </w:r>
    </w:p>
    <w:p>
      <w:pPr>
        <w:pStyle w:val="BookText"/>
      </w:pPr>
      <w:r>
        <w:rPr>
          <w:rFonts w:ascii="IRNazanin" w:hAnsi="IRNazanin" w:eastAsia="IRNazanin" w:cs="IRNazanin"/>
          <w:lang w:bidi="fa-IR"/>
          <w:color w:val="111111"/>
          <w:sz w:val="28"/>
          <w:szCs w:val="28"/>
          <w:rtl/>
        </w:rPr>
        <w:t xml:space="preserve">تاریخ تأليف: یک شنبه ۱۳ شوال ۹۹۶ق</w:t>
      </w:r>
    </w:p>
    <w:p>
      <w:pPr>
        <w:pStyle w:val="BookText"/>
      </w:pPr>
      <w:r>
        <w:rPr>
          <w:rFonts w:ascii="IRNazanin" w:hAnsi="IRNazanin" w:eastAsia="IRNazanin" w:cs="IRNazanin"/>
          <w:lang w:bidi="fa-IR"/>
          <w:color w:val="111111"/>
          <w:sz w:val="28"/>
          <w:szCs w:val="28"/>
          <w:rtl/>
        </w:rPr>
        <w:t xml:space="preserve">از جوزه ای است بیش از ۱۱۵۰ بیت در فضایل و مناقب پنج تن اهل کساء (پیامبر اکرم، فاطمه زهرا، امیر مؤمنان، امام حسن و حضرت سید الشهداء عليهم صلوات الله).</w:t>
      </w:r>
    </w:p>
    <w:p>
      <w:pPr>
        <w:pStyle w:val="BookText"/>
      </w:pPr>
      <w:r>
        <w:rPr>
          <w:rFonts w:ascii="IRNazanin" w:hAnsi="IRNazanin" w:eastAsia="IRNazanin" w:cs="IRNazanin"/>
          <w:lang w:bidi="fa-IR"/>
          <w:color w:val="111111"/>
          <w:sz w:val="28"/>
          <w:szCs w:val="28"/>
          <w:rtl/>
        </w:rPr>
        <w:t xml:space="preserve">آغاز: الحمدلله الذي اجتبانی***بحب اهل البيت و اصطفانی / لان اكون مادحاً و خادماً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لهم و فيهم ناثرة و ناظم</w:t>
      </w:r>
    </w:p>
    <w:p>
      <w:pPr>
        <w:pStyle w:val="BookText"/>
      </w:pPr>
      <w:r>
        <w:rPr>
          <w:rFonts w:ascii="IRNazanin" w:hAnsi="IRNazanin" w:eastAsia="IRNazanin" w:cs="IRNazanin"/>
          <w:lang w:bidi="fa-IR"/>
          <w:color w:val="111111"/>
          <w:sz w:val="28"/>
          <w:szCs w:val="28"/>
          <w:rtl/>
        </w:rPr>
        <w:t xml:space="preserve">قم: مرکز احیاء؛ شماره نسخه: ۳۵۸/۱</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نسخه اصلی: کتابخانه سید محمد على روضاتی اصفهان؛ خط: نسخ، كا: احتمالأ على عصامی، بی تا، دارای تقریظ منظوم قاضی على بن جارالله ظهیری حنفی در ۶۰ بیت به تاریخ شوال ۹۹۶، تقریظ على عصامی (؟) در ۱۲ بیت، شیخ محمد نهنسی مصری شافعی نقشبندی به تاریخ دوشنبه 19 شوال ۹۹۶ در ۶۵ بیت؛ ۱۰۲ص (۴-۱۰۵) [عکسی ف: ۱-۴۱۶]</w:t>
      </w:r>
    </w:p>
    <w:p>
      <w:pPr>
        <w:pStyle w:val="Heading3"/>
      </w:pPr>
      <w:bookmarkStart w:id="1096" w:name="_Toc356"/>
      <w:r>
        <w:t>•بهجة الجمال و محجة الكمال فيما يجب على الأئمة و العمال / اخلاق / عربی</w:t>
      </w:r>
      <w:bookmarkEnd w:id="1096"/>
    </w:p>
    <w:p>
      <w:pPr>
        <w:pStyle w:val="BookText"/>
      </w:pPr>
      <w:r>
        <w:rPr>
          <w:rFonts w:ascii="Times New Roman" w:hAnsi="Times New Roman" w:eastAsia="Times New Roman" w:cs="Times New Roman"/>
          <w:lang w:val="en-US" w:bidi="en-US"/>
          <w:color w:val="111111"/>
          <w:sz w:val="28"/>
          <w:szCs w:val="28"/>
          <w:rtl/>
        </w:rPr>
        <w:t xml:space="preserve">bahjat-ul jamāl wa maħajjat-ul kamāl fi-mā yajib-u ‘ala-l 'a'immat-i wa-l ‘ummāl</w:t>
      </w:r>
    </w:p>
    <w:p>
      <w:pPr>
        <w:pStyle w:val="BookText"/>
      </w:pPr>
      <w:r>
        <w:rPr>
          <w:rFonts w:ascii="IRNazanin" w:hAnsi="IRNazanin" w:eastAsia="IRNazanin" w:cs="IRNazanin"/>
          <w:lang w:bidi="fa-IR"/>
          <w:color w:val="111111"/>
          <w:sz w:val="28"/>
          <w:szCs w:val="28"/>
          <w:rtl/>
        </w:rPr>
        <w:t xml:space="preserve">بهران، محمد بن یحیی، ۸۸۸-۹۵۷ قمری</w:t>
      </w:r>
    </w:p>
    <w:p>
      <w:pPr>
        <w:pStyle w:val="BookText"/>
      </w:pPr>
      <w:r>
        <w:rPr>
          <w:rFonts w:ascii="Times New Roman" w:hAnsi="Times New Roman" w:eastAsia="Times New Roman" w:cs="Times New Roman"/>
          <w:lang w:val="en-US" w:bidi="en-US"/>
          <w:color w:val="111111"/>
          <w:sz w:val="28"/>
          <w:szCs w:val="28"/>
          <w:rtl/>
        </w:rPr>
        <w:t xml:space="preserve">bahrān, mohammad ebn-e yahyā (1484-1550)</w:t>
      </w:r>
    </w:p>
    <w:p>
      <w:pPr>
        <w:pStyle w:val="BookText"/>
      </w:pPr>
      <w:r>
        <w:rPr>
          <w:rFonts w:ascii="IRNazanin" w:hAnsi="IRNazanin" w:eastAsia="IRNazanin" w:cs="IRNazanin"/>
          <w:lang w:bidi="fa-IR"/>
          <w:color w:val="111111"/>
          <w:sz w:val="28"/>
          <w:szCs w:val="28"/>
          <w:rtl/>
        </w:rPr>
        <w:t xml:space="preserve">کتابی اخلاقی مشتمل بر ذکر آیات و اخباری در تشويق واليان به رعایت آن و دارای هشت «باب»: ۱. ذكر آيات من محكم القرآن؛ ۲. بعض ما ورد من الأحاديث النبوية؛ ۳. الاخلاق و الآداب التي لها مزید اختصاص باهل الولايات؛ ۴. طرف من احوال الرسول و کریم اخلاقه؛ ۵. طرف من اخبار الخلفاء الراشدين؛ ۶. طرف من مقامات العلماء و الحكماء عند الخلفاء و الامراء؛ ۷. ذكر قصص و حكم و آداب متنوعة؛ ۸ بعض ما ورد في حق الامام على الرعية</w:t>
      </w:r>
    </w:p>
    <w:p>
      <w:pPr>
        <w:pStyle w:val="BookText"/>
      </w:pPr>
      <w:r>
        <w:rPr>
          <w:rFonts w:ascii="Amiri" w:hAnsi="Amiri" w:eastAsia="Amiri" w:cs="Amiri"/>
          <w:lang w:bidi="ar-SA"/>
          <w:color w:val="111111"/>
          <w:sz w:val="28"/>
          <w:szCs w:val="28"/>
          <w:rtl/>
        </w:rPr>
        <w:t xml:space="preserve">[دنا ۵۴۹/۲ ؛ مؤلفات الزيدية ۲۲۰/۱ ؛ اعلام المؤلفين الزيدية ص ۱۰۱۹]</w:t>
      </w:r>
    </w:p>
    <w:p>
      <w:pPr>
        <w:pStyle w:val="BookText"/>
      </w:pPr>
      <w:r>
        <w:rPr>
          <w:rFonts w:ascii="IRNazanin" w:hAnsi="IRNazanin" w:eastAsia="IRNazanin" w:cs="IRNazanin"/>
          <w:lang w:bidi="fa-IR"/>
          <w:color w:val="111111"/>
          <w:sz w:val="28"/>
          <w:szCs w:val="28"/>
          <w:rtl/>
        </w:rPr>
        <w:t xml:space="preserve">قم، مرکز احیاء؛ شماره نسخه: ۱۶۱۲/۲</w:t>
      </w:r>
    </w:p>
    <w:p>
      <w:pPr>
        <w:pStyle w:val="BookText"/>
      </w:pPr>
      <w:r>
        <w:rPr>
          <w:rFonts w:ascii="IRNazanin" w:hAnsi="IRNazanin" w:eastAsia="IRNazanin" w:cs="IRNazanin"/>
          <w:lang w:bidi="fa-IR"/>
          <w:color w:val="111111"/>
          <w:sz w:val="28"/>
          <w:szCs w:val="28"/>
          <w:rtl/>
        </w:rPr>
        <w:t xml:space="preserve">آغاز: الحمدلله الذي جعل ائمة الحق لدين الاسلام قوامة و الفرائد قلائد الاحکام و مصالح الانام نظام نسخه اصل: کتابخانه واتیکان -رم ۱۱۵۹؛ خط: نسخ، كا: هادی بن عبدالله بن داود بن محمد بن صلاح بن داود (كاتب تمامی نسب خود را تا امام هادى الى الحق يحیی بن الحسین آورده است،) تا: با تاریخ ۱۰۴۷ق؛ ۵۷ص (۱۰۱-۱۵۷)</w:t>
      </w:r>
    </w:p>
    <w:p>
      <w:pPr>
        <w:pStyle w:val="BookText"/>
      </w:pPr>
      <w:r>
        <w:rPr>
          <w:rFonts w:ascii="IRNazanin" w:hAnsi="IRNazanin" w:eastAsia="IRNazanin" w:cs="IRNazanin"/>
          <w:lang w:bidi="fa-IR"/>
          <w:color w:val="111111"/>
          <w:sz w:val="28"/>
          <w:szCs w:val="28"/>
          <w:rtl/>
        </w:rPr>
        <w:t xml:space="preserve">[عکسی ف: ۵-۲۷]</w:t>
      </w:r>
    </w:p>
    <w:p>
      <w:pPr>
        <w:pStyle w:val="Heading3"/>
      </w:pPr>
      <w:bookmarkStart w:id="1097" w:name="_Toc357"/>
      <w:r>
        <w:t>•بهجة الحدائق في شرح کلمات کلام الله الناطق / شرح حديث / عربی</w:t>
      </w:r>
      <w:bookmarkEnd w:id="1097"/>
    </w:p>
    <w:p>
      <w:pPr>
        <w:pStyle w:val="BookText"/>
      </w:pPr>
      <w:r>
        <w:rPr>
          <w:rFonts w:ascii="Times New Roman" w:hAnsi="Times New Roman" w:eastAsia="Times New Roman" w:cs="Times New Roman"/>
          <w:lang w:val="en-US" w:bidi="en-US"/>
          <w:color w:val="111111"/>
          <w:sz w:val="28"/>
          <w:szCs w:val="28"/>
          <w:rtl/>
        </w:rPr>
        <w:t xml:space="preserve">bahjat-ul ḥadā’iq fī š.-i kalamāt-i kalām-il lāh-in nāțiq</w:t>
      </w:r>
    </w:p>
    <w:p>
      <w:pPr>
        <w:pStyle w:val="BookText"/>
      </w:pPr>
      <w:r>
        <w:rPr>
          <w:rFonts w:ascii="IRNazanin" w:hAnsi="IRNazanin" w:eastAsia="IRNazanin" w:cs="IRNazanin"/>
          <w:lang w:bidi="fa-IR"/>
          <w:color w:val="111111"/>
          <w:sz w:val="28"/>
          <w:szCs w:val="28"/>
          <w:rtl/>
        </w:rPr>
        <w:t xml:space="preserve">گلستانه اصفهانی، محمد بن ابی تراب، - ۱۱۱۰ قمری</w:t>
      </w:r>
    </w:p>
    <w:p>
      <w:pPr>
        <w:pStyle w:val="BookText"/>
      </w:pPr>
      <w:r>
        <w:rPr>
          <w:rFonts w:ascii="Times New Roman" w:hAnsi="Times New Roman" w:eastAsia="Times New Roman" w:cs="Times New Roman"/>
          <w:lang w:val="en-US" w:bidi="en-US"/>
          <w:color w:val="111111"/>
          <w:sz w:val="28"/>
          <w:szCs w:val="28"/>
          <w:rtl/>
        </w:rPr>
        <w:t xml:space="preserve">golestāne esfahānī, mohammad ebn-e abī torāb ( 1699)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وابسته به: نهج البلاغة؛ شریف الرضی، محمد بن حسین (۳۵۹ -۴۰۶ )</w:t>
      </w:r>
    </w:p>
    <w:p>
      <w:pPr>
        <w:pStyle w:val="BookText"/>
      </w:pPr>
      <w:r>
        <w:rPr>
          <w:rFonts w:ascii="IRNazanin" w:hAnsi="IRNazanin" w:eastAsia="IRNazanin" w:cs="IRNazanin"/>
          <w:lang w:bidi="fa-IR"/>
          <w:color w:val="111111"/>
          <w:sz w:val="28"/>
          <w:szCs w:val="28"/>
          <w:rtl/>
        </w:rPr>
        <w:t xml:space="preserve">تاریخ تأليف: ۲۸ رمضان ۱۰۹۲ق</w:t>
      </w:r>
    </w:p>
    <w:p>
      <w:pPr>
        <w:pStyle w:val="BookText"/>
      </w:pPr>
      <w:r>
        <w:rPr>
          <w:rFonts w:ascii="IRNazanin" w:hAnsi="IRNazanin" w:eastAsia="IRNazanin" w:cs="IRNazanin"/>
          <w:lang w:bidi="fa-IR"/>
          <w:color w:val="111111"/>
          <w:sz w:val="28"/>
          <w:szCs w:val="28"/>
          <w:rtl/>
        </w:rPr>
        <w:t xml:space="preserve">مؤلف دو شرح بر «نهج البلاغه» دارد: کبیر، موسوم به «حدائق الحقایق» و صغير به نام «بهجة الحدائق». کتاب حدائق را تا «في ذم البصرة و اهلها» به طور مفصل پیش برد، احساس کرد که این شرح مورد استفاده همگان نیست لذا این شرح را به طور اختصار نگاشت. نویسنده ابتدا بندی از متن را با عناوین «اصل» آورده و سپس با عناوین «شرح» به توضیح و بیان مطالب مهم آن پرداخته است.</w:t>
      </w:r>
    </w:p>
    <w:p>
      <w:pPr>
        <w:pStyle w:val="BookText"/>
      </w:pPr>
      <w:r>
        <w:rPr>
          <w:rFonts w:ascii="IRNazanin" w:hAnsi="IRNazanin" w:eastAsia="IRNazanin" w:cs="IRNazanin"/>
          <w:lang w:bidi="fa-IR"/>
          <w:color w:val="111111"/>
          <w:sz w:val="28"/>
          <w:szCs w:val="28"/>
          <w:rtl/>
        </w:rPr>
        <w:t xml:space="preserve">آغاز: بسمله. الحمدلله الذي ابلج نهج البلاغة مناهج البلاغ ليكون للمستبصرین ... اما بعد فيقول المرتجی صنع ربه و غفرانه علاء الدين محمد بن ابی تراب</w:t>
      </w:r>
    </w:p>
    <w:p>
      <w:pPr>
        <w:pStyle w:val="BookText"/>
      </w:pPr>
      <w:r>
        <w:rPr>
          <w:rFonts w:ascii="IRNazanin" w:hAnsi="IRNazanin" w:eastAsia="IRNazanin" w:cs="IRNazanin"/>
          <w:lang w:bidi="fa-IR"/>
          <w:color w:val="111111"/>
          <w:sz w:val="28"/>
          <w:szCs w:val="28"/>
          <w:rtl/>
        </w:rPr>
        <w:t xml:space="preserve">[دنا ۵۴۹/۲ نسخه ها با حدائق الحقایق او که شرح مفصل اوست متاسفانه خلط شده؛ الذريعة ۱۶۱/۳ ؛ مكتبة امير المؤمنين ۴۲۷/۲ ]</w:t>
      </w:r>
    </w:p>
    <w:p>
      <w:pPr>
        <w:pStyle w:val="BookText"/>
      </w:pPr>
      <w:r>
        <w:rPr>
          <w:rFonts w:ascii="IRNazanin" w:hAnsi="IRNazanin" w:eastAsia="IRNazanin" w:cs="IRNazanin"/>
          <w:lang w:bidi="fa-IR"/>
          <w:color w:val="111111"/>
          <w:sz w:val="28"/>
          <w:szCs w:val="28"/>
          <w:rtl/>
        </w:rPr>
        <w:t xml:space="preserve">۱. تهران؛ الهیات؛ شماره نسخه: ۷۷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۱۱؛ نسخه از فخر الدین نزد صدرالمحققين امانت بوده است؛ کاغذ: اصفهانی، جلد: تیماج</w:t>
      </w:r>
    </w:p>
    <w:p>
      <w:pPr>
        <w:pStyle w:val="BookText"/>
      </w:pPr>
      <w:r>
        <w:rPr>
          <w:rFonts w:ascii="IRNazanin" w:hAnsi="IRNazanin" w:eastAsia="IRNazanin" w:cs="IRNazanin"/>
          <w:lang w:bidi="fa-IR"/>
          <w:color w:val="111111"/>
          <w:sz w:val="28"/>
          <w:szCs w:val="28"/>
          <w:rtl/>
        </w:rPr>
        <w:t xml:space="preserve">سرخ مقوایی، ۲۳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[ف: ۷۵۲]</w:t>
      </w:r>
    </w:p>
    <w:p>
      <w:pPr>
        <w:pStyle w:val="BookText"/>
      </w:pPr>
      <w:r>
        <w:rPr>
          <w:rFonts w:ascii="IRNazanin" w:hAnsi="IRNazanin" w:eastAsia="IRNazanin" w:cs="IRNazanin"/>
          <w:lang w:bidi="fa-IR"/>
          <w:color w:val="111111"/>
          <w:sz w:val="28"/>
          <w:szCs w:val="28"/>
          <w:rtl/>
        </w:rPr>
        <w:t xml:space="preserve">۲. تهران؛ ملک؛ شماره نسخه: ۶۱۳۹</w:t>
      </w:r>
    </w:p>
    <w:p>
      <w:pPr>
        <w:pStyle w:val="BookText"/>
      </w:pPr>
      <w:r>
        <w:rPr>
          <w:rFonts w:ascii="IRNazanin" w:hAnsi="IRNazanin" w:eastAsia="IRNazanin" w:cs="IRNazanin"/>
          <w:lang w:bidi="fa-IR"/>
          <w:color w:val="111111"/>
          <w:sz w:val="28"/>
          <w:szCs w:val="28"/>
          <w:rtl/>
        </w:rPr>
        <w:t xml:space="preserve">آغاز: برابر، انجام: و لعل الأول اظهر لفظ و الشفق بالتحريک الخوف، و ارعدت الأسماع لزبره الداعي إلى فصل الخطاب و مقايضة الجزاء و النكال و العقاب و نوال الثواب .</w:t>
      </w:r>
    </w:p>
    <w:p>
      <w:pPr>
        <w:pStyle w:val="BookText"/>
      </w:pPr>
      <w:r>
        <w:rPr>
          <w:rFonts w:ascii="IRNazanin" w:hAnsi="IRNazanin" w:eastAsia="IRNazanin" w:cs="IRNazanin"/>
          <w:lang w:bidi="fa-IR"/>
          <w:color w:val="111111"/>
          <w:sz w:val="28"/>
          <w:szCs w:val="28"/>
          <w:rtl/>
        </w:rPr>
        <w:t xml:space="preserve">خط: نسخ، بی کا، تا: ۱۱۱۱ق؛ مجدول؛ کاغذ: ترمه، جلد: ساغری مشکی، ۱۹۵، ۱۴ سطر، اندازه: ۲۴/۲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۱۶/۳ سم [ف: ۱-۷۴]</w:t>
      </w:r>
    </w:p>
    <w:p>
      <w:pPr>
        <w:pStyle w:val="BookText"/>
      </w:pPr>
      <w:r>
        <w:rPr>
          <w:rFonts w:ascii="IRNazanin" w:hAnsi="IRNazanin" w:eastAsia="IRNazanin" w:cs="IRNazanin"/>
          <w:lang w:bidi="fa-IR"/>
          <w:color w:val="111111"/>
          <w:sz w:val="28"/>
          <w:szCs w:val="28"/>
          <w:rtl/>
        </w:rPr>
        <w:t xml:space="preserve">٣. تهران؛ ملک؛ شماره نسخه: ۲۳۷۹</w:t>
      </w:r>
    </w:p>
    <w:p>
      <w:pPr>
        <w:pStyle w:val="BookText"/>
      </w:pPr>
      <w:r>
        <w:rPr>
          <w:rFonts w:ascii="IRNazanin" w:hAnsi="IRNazanin" w:eastAsia="IRNazanin" w:cs="IRNazanin"/>
          <w:lang w:bidi="fa-IR"/>
          <w:color w:val="111111"/>
          <w:sz w:val="28"/>
          <w:szCs w:val="28"/>
          <w:rtl/>
        </w:rPr>
        <w:t xml:space="preserve">آغاز: برابر، انجام: تم الشطر الأول من كتاب بهجة الحدائق في شرح کلمات کلام الله الناطق ... یا ارحم الراحمين فقط «شطر اول» را که در ۱۹ ربیع الاول ۱۰۹۲ تأليف شده؛ خط: نسخ، كا: ملا حاجی محمد بن ملا على حسن، تا: رجب ۱۱۳۶ق؛ کاغذ: ترمه، جلد: میشن لایی تریاکی، ۲۲۰گ، ۲۴ سطر، اندازه: ۲۳/۹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۱۷/۸ سم [ف: ۱-۷۴]</w:t>
      </w:r>
    </w:p>
    <w:p>
      <w:pPr>
        <w:pStyle w:val="BookText"/>
      </w:pPr>
      <w:r>
        <w:rPr>
          <w:rFonts w:ascii="IRNazanin" w:hAnsi="IRNazanin" w:eastAsia="IRNazanin" w:cs="IRNazanin"/>
          <w:lang w:bidi="fa-IR"/>
          <w:color w:val="111111"/>
          <w:sz w:val="28"/>
          <w:szCs w:val="28"/>
          <w:rtl/>
        </w:rPr>
        <w:t xml:space="preserve">۴. قم: مرکز احیاء؛ شماره نسخه: ۲۲۰۰</w:t>
      </w:r>
    </w:p>
    <w:p>
      <w:pPr>
        <w:pStyle w:val="BookText"/>
      </w:pPr>
      <w:r>
        <w:rPr>
          <w:rFonts w:ascii="IRNazanin" w:hAnsi="IRNazanin" w:eastAsia="IRNazanin" w:cs="IRNazanin"/>
          <w:lang w:bidi="fa-IR"/>
          <w:color w:val="111111"/>
          <w:sz w:val="28"/>
          <w:szCs w:val="28"/>
          <w:rtl/>
        </w:rPr>
        <w:t xml:space="preserve">آغاز: برابر؛ انجام: قبح الله المصقله فعل فعل الساده وفرفر العبيد تم الشطر الأول من كتاب ... خط: نستعلیق، بی کا، تا: قرن ۱۲ق؛ مصحح، محشی با عنوان الراقمه جعفر»؛ تملکی بدون نام با مهر «مرتضی بن آصف الحسینی» (بیضوی)؛ ۲۳۱، ۲۲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 سم محدث ارموی مخ: ف:۱-۲۶۱]</w:t>
      </w:r>
    </w:p>
    <w:p>
      <w:pPr>
        <w:pStyle w:val="BookText"/>
      </w:pPr>
      <w:r>
        <w:rPr>
          <w:rFonts w:ascii="IRNazanin" w:hAnsi="IRNazanin" w:eastAsia="IRNazanin" w:cs="IRNazanin"/>
          <w:lang w:bidi="fa-IR"/>
          <w:color w:val="111111"/>
          <w:sz w:val="28"/>
          <w:szCs w:val="28"/>
          <w:rtl/>
        </w:rPr>
        <w:t xml:space="preserve">۵. مشهد؛ رضوی؛ شماره نسخه: ۱۹۷۱۵</w:t>
      </w:r>
    </w:p>
    <w:p>
      <w:pPr>
        <w:pStyle w:val="BookText"/>
      </w:pPr>
      <w:r>
        <w:rPr>
          <w:rFonts w:ascii="IRNazanin" w:hAnsi="IRNazanin" w:eastAsia="IRNazanin" w:cs="IRNazanin"/>
          <w:lang w:bidi="fa-IR"/>
          <w:color w:val="111111"/>
          <w:sz w:val="28"/>
          <w:szCs w:val="28"/>
          <w:rtl/>
        </w:rPr>
        <w:t xml:space="preserve">آغاز: باب المختار من کتب امیر المومنین علیه السلام و رسائله الى اعدائه و امراء بلاده؛ انجام: و المراد الفصح و الشذوذ النفر و المراد عدم الاطلاع عليه قد اتفق الفراغ من تأليف كتاب بهجة الحدائق ... و تعاقبت الشهور و الاعوام خط: نسخ، بی کا، تا: قرن ۱۲ق؛ اهدایی: رهبری، خرداد ۱۳۷۳؛ جلد: بیرون و درون میشن قهوه ای لبه دار، ۱۳۰گ، ۲۳ 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۲۶ - ۱۴۰]</w:t>
      </w:r>
    </w:p>
    <w:p>
      <w:pPr>
        <w:pStyle w:val="BookText"/>
      </w:pPr>
      <w:r>
        <w:rPr>
          <w:rFonts w:ascii="IRNazanin" w:hAnsi="IRNazanin" w:eastAsia="IRNazanin" w:cs="IRNazanin"/>
          <w:lang w:bidi="fa-IR"/>
          <w:color w:val="111111"/>
          <w:sz w:val="28"/>
          <w:szCs w:val="28"/>
          <w:rtl/>
        </w:rPr>
        <w:t xml:space="preserve">۶. تهران؛ مجلس؛ شماره نسخه: ۱۳۷۶۲</w:t>
      </w:r>
    </w:p>
    <w:p>
      <w:pPr>
        <w:pStyle w:val="BookText"/>
      </w:pPr>
      <w:r>
        <w:rPr>
          <w:rFonts w:ascii="IRNazanin" w:hAnsi="IRNazanin" w:eastAsia="IRNazanin" w:cs="IRNazanin"/>
          <w:lang w:bidi="fa-IR"/>
          <w:color w:val="111111"/>
          <w:sz w:val="28"/>
          <w:szCs w:val="28"/>
          <w:rtl/>
        </w:rPr>
        <w:t xml:space="preserve">آغاز: برابر؛ انجام: قد ذكرها الشارح عبد الحميد بن ابی الحدید فيشرح قوله (علیه السلام) قبح الله مصقلة فعل فعل السادة و فر فرار العبيد تم الشطر الأول من كتاب بهجة الحدائق از آغاز کتاب تا خطبه «ومن كلام له و قد ارسل رجلا ن اصحابه يعلم له علم قوم منجند الكوفه ... فقال بعد لهم كما بعدت ثمود» را شامل است؛ خط: نسخ، بی کا، تا: ۱۶ جمادی الاول ۱۲۸۸ق؛ مهر: «محمد حسین گلستانه» (بیضوی)؛ جلد: تیماج سرخ سوخت ترنج با سر با نقش گل مجدول گرهی، ۲۴۱گ، ۲۳ سطر،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۳۷-۳۰۱]</w:t>
      </w:r>
    </w:p>
    <w:p>
      <w:pPr>
        <w:pStyle w:val="BookText"/>
      </w:pPr>
      <w:r>
        <w:rPr>
          <w:rFonts w:ascii="IRNazanin" w:hAnsi="IRNazanin" w:eastAsia="IRNazanin" w:cs="IRNazanin"/>
          <w:lang w:bidi="fa-IR"/>
          <w:color w:val="111111"/>
          <w:sz w:val="28"/>
          <w:szCs w:val="28"/>
          <w:rtl/>
        </w:rPr>
        <w:t xml:space="preserve">۷. قم؛ مرعشی؛ شماره نسخه: ۶۰۰۵</w:t>
      </w:r>
    </w:p>
    <w:p>
      <w:pPr>
        <w:pStyle w:val="BookText"/>
      </w:pPr>
      <w:r>
        <w:rPr>
          <w:rFonts w:ascii="IRNazanin" w:hAnsi="IRNazanin" w:eastAsia="IRNazanin" w:cs="IRNazanin"/>
          <w:lang w:bidi="fa-IR"/>
          <w:color w:val="111111"/>
          <w:sz w:val="28"/>
          <w:szCs w:val="28"/>
          <w:rtl/>
        </w:rPr>
        <w:t xml:space="preserve">بخش اول؛ خط: نسخ، كا: اسماعیل بن ابراهيم عامری سبزواری چشمی، بی تا؛ روی برگ اول وقفنامه کتاب و اینکه بانی صحافی آن محمد باقر بن محمد حسن بیرجندی به تاریخ رجب ۱۳۵۱ بوده، دیده می شود؛ جلد: تیماج سبز، ۲۵۶ گ، ۲۵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[ف: ۱۶-۷]</w:t>
      </w:r>
    </w:p>
    <w:p>
      <w:pPr>
        <w:pStyle w:val="BookText"/>
      </w:pPr>
      <w:r>
        <w:rPr>
          <w:rFonts w:ascii="IRNazanin" w:hAnsi="IRNazanin" w:eastAsia="IRNazanin" w:cs="IRNazanin"/>
          <w:lang w:bidi="fa-IR"/>
          <w:color w:val="111111"/>
          <w:sz w:val="28"/>
          <w:szCs w:val="28"/>
          <w:rtl/>
        </w:rPr>
        <w:t xml:space="preserve">۸. قم؛ مرعشی؛ شماره نسخه: ۹۱۳۷</w:t>
      </w:r>
    </w:p>
    <w:p>
      <w:pPr>
        <w:pStyle w:val="BookText"/>
      </w:pPr>
      <w:r>
        <w:rPr>
          <w:rFonts w:ascii="IRNazanin" w:hAnsi="IRNazanin" w:eastAsia="IRNazanin" w:cs="IRNazanin"/>
          <w:lang w:bidi="fa-IR"/>
          <w:color w:val="111111"/>
          <w:sz w:val="28"/>
          <w:szCs w:val="28"/>
          <w:rtl/>
        </w:rPr>
        <w:t xml:space="preserve">آغاز: احصاؤها بثمن میسور قریب التناول لا يعدمه احد لعمومه الوارد مع قلة العوائق عن الوصول الى واحد من أفراده خط: نسخ، بی کا، تا: در عصر مؤلف؛ افتادگی: آغاز؛ مصحح، کار مقابله آن توسط علاء الدين محمد بن سلیمان بسطامی به سال ۱۱۰۲ پایان یافته؛ جلد: تیماج مشکی، ۲۲۹، ۲۹ سطر، اندازه: ۱۹/۵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۲۹/۵ سم [ف: ۲۳-۲۷۱]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تبریز؛ ثقة الاسلام؛ شماره نسخه: بدون شماره</w:t>
      </w:r>
    </w:p>
    <w:p>
      <w:pPr>
        <w:pStyle w:val="BookText"/>
      </w:pPr>
      <w:r>
        <w:rPr>
          <w:rFonts w:ascii="IRNazanin" w:hAnsi="IRNazanin" w:eastAsia="IRNazanin" w:cs="IRNazanin"/>
          <w:lang w:bidi="fa-IR"/>
          <w:color w:val="111111"/>
          <w:sz w:val="28"/>
          <w:szCs w:val="28"/>
          <w:rtl/>
        </w:rPr>
        <w:t xml:space="preserve">بی کا، بی تا [نشریه: ۷-۵۳۲]</w:t>
      </w:r>
    </w:p>
    <w:p>
      <w:pPr>
        <w:pStyle w:val="BookText"/>
      </w:pPr>
      <w:r>
        <w:rPr>
          <w:rFonts w:ascii="IRNazanin" w:hAnsi="IRNazanin" w:eastAsia="IRNazanin" w:cs="IRNazanin"/>
          <w:lang w:bidi="fa-IR"/>
          <w:color w:val="111111"/>
          <w:sz w:val="28"/>
          <w:szCs w:val="28"/>
          <w:rtl/>
        </w:rPr>
        <w:t xml:space="preserve">۱۰. اصفهان؛ عمومی اصفهان (فرهنگ سابق)؛ شماره نسخه: ۵۳۱۲</w:t>
      </w:r>
    </w:p>
    <w:p>
      <w:pPr>
        <w:pStyle w:val="BookText"/>
      </w:pPr>
      <w:r>
        <w:rPr>
          <w:rFonts w:ascii="Amiri" w:hAnsi="Amiri" w:eastAsia="Amiri" w:cs="Amiri"/>
          <w:lang w:bidi="ar-SA"/>
          <w:color w:val="111111"/>
          <w:sz w:val="28"/>
          <w:szCs w:val="28"/>
          <w:rtl/>
        </w:rPr>
        <w:t xml:space="preserve">آغاز: الحمدلله ولى الألاء و كاشف الضراء ... اما بعد فهذه الجزء الثاني من كتاب بهجة الحدائق؛ انجام: و الشذود النفرر المراد عدم الاطلاع عليهت قد اتفق الفراغ من تأليف كتاب بهجة الحدائق</w:t>
      </w:r>
    </w:p>
    <w:p>
      <w:pPr>
        <w:pStyle w:val="BookText"/>
      </w:pPr>
      <w:r>
        <w:rPr>
          <w:rFonts w:ascii="IRNazanin" w:hAnsi="IRNazanin" w:eastAsia="IRNazanin" w:cs="IRNazanin"/>
          <w:lang w:bidi="fa-IR"/>
          <w:color w:val="111111"/>
          <w:sz w:val="28"/>
          <w:szCs w:val="28"/>
          <w:rtl/>
        </w:rPr>
        <w:t xml:space="preserve">جزء دوم، خط: نسخ، كان محمد صادق بن محمد على كاتب، بی تا؛ کاغذ: اصفهانی نازک، جلد: تیماج دو رنگ، ۴۹۱ص، ۲۳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 سم [ف: ۱-۱۹۲]</w:t>
      </w:r>
    </w:p>
    <w:p>
      <w:pPr>
        <w:pStyle w:val="BookText"/>
      </w:pPr>
      <w:r>
        <w:rPr>
          <w:rFonts w:ascii="IRNazanin" w:hAnsi="IRNazanin" w:eastAsia="IRNazanin" w:cs="IRNazanin"/>
          <w:lang w:bidi="fa-IR"/>
          <w:color w:val="111111"/>
          <w:sz w:val="28"/>
          <w:szCs w:val="28"/>
          <w:rtl/>
        </w:rPr>
        <w:t xml:space="preserve">۱۱. قم؛ مرعشی؛ شماره نسخه: ۱۰۸۹</w:t>
      </w:r>
    </w:p>
    <w:p>
      <w:pPr>
        <w:pStyle w:val="BookText"/>
      </w:pPr>
      <w:r>
        <w:rPr>
          <w:rFonts w:ascii="IRNazanin" w:hAnsi="IRNazanin" w:eastAsia="IRNazanin" w:cs="IRNazanin"/>
          <w:lang w:bidi="fa-IR"/>
          <w:color w:val="111111"/>
          <w:sz w:val="28"/>
          <w:szCs w:val="28"/>
          <w:rtl/>
        </w:rPr>
        <w:t xml:space="preserve">آغاز: برابر؛ انجام: و بها سمیت شرط السلطان لانهم جعلوا الانفسهم علامات يعرفون بها كذا قال أبو عبيد و حکی عن بعض.</w:t>
      </w:r>
    </w:p>
    <w:p>
      <w:pPr>
        <w:pStyle w:val="BookText"/>
      </w:pPr>
      <w:r>
        <w:rPr>
          <w:rFonts w:ascii="IRNazanin" w:hAnsi="IRNazanin" w:eastAsia="IRNazanin" w:cs="IRNazanin"/>
          <w:lang w:bidi="fa-IR"/>
          <w:color w:val="111111"/>
          <w:sz w:val="28"/>
          <w:szCs w:val="28"/>
          <w:rtl/>
        </w:rPr>
        <w:t xml:space="preserve">قسمت اول؛ خط: نسخ، بی کا، بی تا، افتادگی: انجام؛ تملك: محمد ابن رضی الدین هروی؛ جلد: مقوایی عطف تیماج قرمز،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19" w:name="pg20363_209303"/>
    <w:bookmarkEnd w:id="119"/>
    <w:p>
      <w:pPr>
        <w:pStyle w:val="BookText"/>
      </w:pPr>
      <w:r>
        <w:rPr>
          <w:rFonts w:ascii="IRNazanin" w:hAnsi="IRNazanin" w:eastAsia="IRNazanin" w:cs="IRNazanin"/>
          <w:lang w:bidi="fa-IR"/>
          <w:color w:val="111111"/>
          <w:sz w:val="28"/>
          <w:szCs w:val="28"/>
          <w:rtl/>
        </w:rPr>
        <w:t xml:space="preserve">۲۷۰ گ، ۲۶ سطر،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۳-۲۶۶]</w:t>
      </w:r>
    </w:p>
    <w:p>
      <w:pPr>
        <w:pStyle w:val="BookText"/>
      </w:pPr>
      <w:r>
        <w:rPr>
          <w:rFonts w:ascii="IRNazanin" w:hAnsi="IRNazanin" w:eastAsia="IRNazanin" w:cs="IRNazanin"/>
          <w:lang w:bidi="fa-IR"/>
          <w:color w:val="111111"/>
          <w:sz w:val="28"/>
          <w:szCs w:val="28"/>
          <w:rtl/>
        </w:rPr>
        <w:t xml:space="preserve">۱۲. قم؛ مرعشی؛ شماره نسخه: ۱۸۴۷</w:t>
      </w:r>
    </w:p>
    <w:p>
      <w:pPr>
        <w:pStyle w:val="BookText"/>
      </w:pPr>
      <w:r>
        <w:rPr>
          <w:rFonts w:ascii="IRNazanin" w:hAnsi="IRNazanin" w:eastAsia="IRNazanin" w:cs="IRNazanin"/>
          <w:lang w:bidi="fa-IR"/>
          <w:color w:val="111111"/>
          <w:sz w:val="28"/>
          <w:szCs w:val="28"/>
          <w:rtl/>
        </w:rPr>
        <w:t xml:space="preserve">قسم اول؛ خط: نسخ، بی کا، بی تا؛ مصحح، محشى؛ جلد: تیماج مشکی، ۲۳۷ گ، ۲۵ 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سم [ف: ۵-۲۳۲]</w:t>
      </w:r>
    </w:p>
    <w:p>
      <w:pPr>
        <w:pStyle w:val="Heading3"/>
      </w:pPr>
      <w:bookmarkStart w:id="1098" w:name="_Toc358"/>
      <w:r>
        <w:t>•بهجة الخاطر و نزهة الناظر / لغت عربی</w:t>
      </w:r>
      <w:bookmarkEnd w:id="1098"/>
    </w:p>
    <w:p>
      <w:pPr>
        <w:pStyle w:val="BookText"/>
      </w:pPr>
      <w:r>
        <w:rPr>
          <w:rFonts w:ascii="Times New Roman" w:hAnsi="Times New Roman" w:eastAsia="Times New Roman" w:cs="Times New Roman"/>
          <w:lang w:val="en-US" w:bidi="en-US"/>
          <w:color w:val="111111"/>
          <w:sz w:val="28"/>
          <w:szCs w:val="28"/>
          <w:rtl/>
        </w:rPr>
        <w:t xml:space="preserve">bahjat-ul xatir wa nuzhat-un nazir</w:t>
      </w:r>
    </w:p>
    <w:p>
      <w:pPr>
        <w:pStyle w:val="BookText"/>
      </w:pPr>
      <w:r>
        <w:rPr>
          <w:rFonts w:ascii="IRNazanin" w:hAnsi="IRNazanin" w:eastAsia="IRNazanin" w:cs="IRNazanin"/>
          <w:lang w:bidi="fa-IR"/>
          <w:color w:val="111111"/>
          <w:sz w:val="28"/>
          <w:szCs w:val="28"/>
          <w:rtl/>
        </w:rPr>
        <w:t xml:space="preserve">بحرانی، یحیی بن حسین، ق۱۰ قمری</w:t>
      </w:r>
    </w:p>
    <w:p>
      <w:pPr>
        <w:pStyle w:val="BookText"/>
      </w:pPr>
      <w:r>
        <w:rPr>
          <w:rFonts w:ascii="Times New Roman" w:hAnsi="Times New Roman" w:eastAsia="Times New Roman" w:cs="Times New Roman"/>
          <w:lang w:val="en-US" w:bidi="en-US"/>
          <w:color w:val="111111"/>
          <w:sz w:val="28"/>
          <w:szCs w:val="28"/>
          <w:rtl/>
        </w:rPr>
        <w:t xml:space="preserve">bahrānī, yahyā ebn-e hoseyn (- 160)</w:t>
      </w:r>
    </w:p>
    <w:p>
      <w:pPr>
        <w:pStyle w:val="BookText"/>
      </w:pPr>
      <w:r>
        <w:rPr>
          <w:rFonts w:ascii="IRNazanin" w:hAnsi="IRNazanin" w:eastAsia="IRNazanin" w:cs="IRNazanin"/>
          <w:lang w:bidi="fa-IR"/>
          <w:color w:val="111111"/>
          <w:sz w:val="28"/>
          <w:szCs w:val="28"/>
          <w:rtl/>
        </w:rPr>
        <w:t xml:space="preserve">تاریخ تأليف: ربيع الأول ۹۶۷ق</w:t>
      </w:r>
    </w:p>
    <w:p>
      <w:pPr>
        <w:pStyle w:val="BookText"/>
      </w:pPr>
      <w:r>
        <w:rPr>
          <w:rFonts w:ascii="IRNazanin" w:hAnsi="IRNazanin" w:eastAsia="IRNazanin" w:cs="IRNazanin"/>
          <w:lang w:bidi="fa-IR"/>
          <w:color w:val="111111"/>
          <w:sz w:val="28"/>
          <w:szCs w:val="28"/>
          <w:rtl/>
        </w:rPr>
        <w:t xml:space="preserve">رساله ای است مختصر در فرق بین کلماتی که در معنی ظاهرة مترادف اند ولی با یکدیگر متفاوت اند و ممکن است مورد اشتباه واقع گردند. پاره ای از فرقها که در این رساله ذکر شده فرق های اصطلاحی است نه لغوی، و مجموع واژه های ذکر شده در این رساله چهار صد واژه می باشد. این رساله را «الفرق بين الكلمتين» و «الفروق اللغوية» نیز نامیده اند.</w:t>
      </w:r>
    </w:p>
    <w:p>
      <w:pPr>
        <w:pStyle w:val="BookText"/>
      </w:pPr>
      <w:r>
        <w:rPr>
          <w:rFonts w:ascii="IRNazanin" w:hAnsi="IRNazanin" w:eastAsia="IRNazanin" w:cs="IRNazanin"/>
          <w:lang w:bidi="fa-IR"/>
          <w:color w:val="111111"/>
          <w:sz w:val="28"/>
          <w:szCs w:val="28"/>
          <w:rtl/>
        </w:rPr>
        <w:t xml:space="preserve">آغاز: بسمله حمدله ... فهذه رسالة في الفرق بين الكلمتين المتقاربتين في المعنى و المشتبهتين فيه معنی و ضعتها ... فيقول و بالله التوفيق الفرق بين التسمية و البسملة أن البسملة علم على ... الفرق بين الحمد و الشكر و الشكر ان الحمد لا يكون الا باللسان [دنا ۵۵۰/۲ (۶ نسخه)]</w:t>
      </w:r>
    </w:p>
    <w:p>
      <w:pPr>
        <w:pStyle w:val="BookText"/>
      </w:pPr>
      <w:r>
        <w:rPr>
          <w:rFonts w:ascii="IRNazanin" w:hAnsi="IRNazanin" w:eastAsia="IRNazanin" w:cs="IRNazanin"/>
          <w:lang w:bidi="fa-IR"/>
          <w:color w:val="111111"/>
          <w:sz w:val="28"/>
          <w:szCs w:val="28"/>
          <w:rtl/>
        </w:rPr>
        <w:t xml:space="preserve">۱. قم؛ استادی، رضا، شماره نسخه: نامعلوم</w:t>
      </w:r>
    </w:p>
    <w:p>
      <w:pPr>
        <w:pStyle w:val="BookText"/>
      </w:pPr>
      <w:r>
        <w:rPr>
          <w:rFonts w:ascii="IRNazanin" w:hAnsi="IRNazanin" w:eastAsia="IRNazanin" w:cs="IRNazanin"/>
          <w:lang w:bidi="fa-IR"/>
          <w:color w:val="111111"/>
          <w:sz w:val="28"/>
          <w:szCs w:val="28"/>
          <w:rtl/>
        </w:rPr>
        <w:t xml:space="preserve">خط: نسخ، كاتب = مؤلف، تا: ربيع الأول ۹۶۷ق؛ ۳۰گ، ۲۱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[صد و شصت نسخه: ۸</w:t>
      </w:r>
    </w:p>
    <w:p>
      <w:pPr>
        <w:pStyle w:val="BookText"/>
      </w:pPr>
      <w:r>
        <w:rPr>
          <w:rFonts w:ascii="IRNazanin" w:hAnsi="IRNazanin" w:eastAsia="IRNazanin" w:cs="IRNazanin"/>
          <w:lang w:bidi="fa-IR"/>
          <w:color w:val="111111"/>
          <w:sz w:val="28"/>
          <w:szCs w:val="28"/>
          <w:rtl/>
        </w:rPr>
        <w:t xml:space="preserve">۲. قم: مرکز احیاء؛ شماره نسخه: ۱۴۶۳/۱۳</w:t>
      </w:r>
    </w:p>
    <w:p>
      <w:pPr>
        <w:pStyle w:val="BookText"/>
      </w:pPr>
      <w:r>
        <w:rPr>
          <w:rFonts w:ascii="Amiri" w:hAnsi="Amiri" w:eastAsia="Amiri" w:cs="Amiri"/>
          <w:lang w:bidi="ar-SA"/>
          <w:color w:val="111111"/>
          <w:sz w:val="28"/>
          <w:szCs w:val="28"/>
          <w:rtl/>
        </w:rPr>
        <w:t xml:space="preserve">آغاز: برابر؛ انجام: الفرق بين الاسف و الغضب ان الاسف اشد الغضب، قال تعالى فلما آسفونا انتقمنا ..</w:t>
      </w:r>
    </w:p>
    <w:p>
      <w:pPr>
        <w:pStyle w:val="BookText"/>
      </w:pPr>
      <w:r>
        <w:rPr>
          <w:rFonts w:ascii="IRNazanin" w:hAnsi="IRNazanin" w:eastAsia="IRNazanin" w:cs="IRNazanin"/>
          <w:lang w:bidi="fa-IR"/>
          <w:color w:val="111111"/>
          <w:sz w:val="28"/>
          <w:szCs w:val="28"/>
          <w:rtl/>
        </w:rPr>
        <w:t xml:space="preserve">خط: نستعلیق، كا: علاء الدين محمد بن حسین حافظ قاری، تا: شعبان ۹۶۵ق؛ جلد: تیماج سبز، ۸گ (۹۴-۱۰۱پ)،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سم [ف: ۴-۲۹۷]</w:t>
      </w:r>
    </w:p>
    <w:p>
      <w:pPr>
        <w:pStyle w:val="BookText"/>
      </w:pPr>
      <w:r>
        <w:rPr>
          <w:rFonts w:ascii="IRNazanin" w:hAnsi="IRNazanin" w:eastAsia="IRNazanin" w:cs="IRNazanin"/>
          <w:lang w:bidi="fa-IR"/>
          <w:color w:val="111111"/>
          <w:sz w:val="28"/>
          <w:szCs w:val="28"/>
          <w:rtl/>
        </w:rPr>
        <w:t xml:space="preserve">٣. مشهد؛ رضوی؛ شماره نسخه: ۷۸۳۱</w:t>
      </w:r>
    </w:p>
    <w:p>
      <w:pPr>
        <w:pStyle w:val="BookText"/>
      </w:pPr>
      <w:r>
        <w:rPr>
          <w:rFonts w:ascii="Amiri" w:hAnsi="Amiri" w:eastAsia="Amiri" w:cs="Amiri"/>
          <w:lang w:bidi="ar-SA"/>
          <w:color w:val="111111"/>
          <w:sz w:val="28"/>
          <w:szCs w:val="28"/>
          <w:rtl/>
        </w:rPr>
        <w:t xml:space="preserve">آغاز: برابر؛ انجام: و يرفع ماضيه الجمله اربعمائه فرق و الحمدلله رب العالمين.</w:t>
      </w:r>
    </w:p>
    <w:p>
      <w:pPr>
        <w:pStyle w:val="BookText"/>
      </w:pPr>
      <w:r>
        <w:rPr>
          <w:rFonts w:ascii="IRNazanin" w:hAnsi="IRNazanin" w:eastAsia="IRNazanin" w:cs="IRNazanin"/>
          <w:lang w:bidi="fa-IR"/>
          <w:color w:val="111111"/>
          <w:sz w:val="28"/>
          <w:szCs w:val="28"/>
          <w:rtl/>
        </w:rPr>
        <w:t xml:space="preserve">در فهرست به نام الفرق بين الكلمتين آمده است؛ خط: نسخ، بی کا، تا: غره جمادی الاول ۱۰۸۵ق؛ کاغذ: حنایی سمرقندی، جلد: چرمی ضربی، ۲۴گ، ۱۷ سطر ( ۱۱/۷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اندازه: ۱۸/۲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۱۰/۶ سم [ف: ۱۳-۵۹]</w:t>
      </w:r>
    </w:p>
    <w:p>
      <w:pPr>
        <w:pStyle w:val="BookText"/>
      </w:pPr>
      <w:r>
        <w:rPr>
          <w:rFonts w:ascii="IRNazanin" w:hAnsi="IRNazanin" w:eastAsia="IRNazanin" w:cs="IRNazanin"/>
          <w:lang w:bidi="fa-IR"/>
          <w:color w:val="111111"/>
          <w:sz w:val="28"/>
          <w:szCs w:val="28"/>
          <w:rtl/>
        </w:rPr>
        <w:t xml:space="preserve">قم مرکز احیاء؛ شماره نسخه: ۲۴۳</w:t>
      </w:r>
    </w:p>
    <w:p>
      <w:pPr>
        <w:pStyle w:val="BookText"/>
      </w:pPr>
      <w:r>
        <w:rPr>
          <w:rFonts w:ascii="IRNazanin" w:hAnsi="IRNazanin" w:eastAsia="IRNazanin" w:cs="IRNazanin"/>
          <w:lang w:bidi="fa-IR"/>
          <w:color w:val="111111"/>
          <w:sz w:val="28"/>
          <w:szCs w:val="28"/>
          <w:rtl/>
        </w:rPr>
        <w:t xml:space="preserve">نسخه اصلی: همان نسخه بالا [عكسي ف: ۱-۲۷۷]</w:t>
      </w:r>
    </w:p>
    <w:p>
      <w:pPr>
        <w:pStyle w:val="BookText"/>
      </w:pPr>
      <w:r>
        <w:rPr>
          <w:rFonts w:ascii="IRNazanin" w:hAnsi="IRNazanin" w:eastAsia="IRNazanin" w:cs="IRNazanin"/>
          <w:lang w:bidi="fa-IR"/>
          <w:color w:val="111111"/>
          <w:sz w:val="28"/>
          <w:szCs w:val="28"/>
          <w:rtl/>
        </w:rPr>
        <w:t xml:space="preserve">۴. قم؛ مرعشی؛ شماره نسخه: ۳۰۵۰/۶</w:t>
      </w:r>
    </w:p>
    <w:p>
      <w:pPr>
        <w:pStyle w:val="BookText"/>
      </w:pPr>
      <w:r>
        <w:rPr>
          <w:rFonts w:ascii="Amiri" w:hAnsi="Amiri" w:eastAsia="Amiri" w:cs="Amiri"/>
          <w:lang w:bidi="ar-SA"/>
          <w:color w:val="111111"/>
          <w:sz w:val="28"/>
          <w:szCs w:val="28"/>
          <w:rtl/>
        </w:rPr>
        <w:t xml:space="preserve">آغاز: برابر؛ انجام: و منذ تجر ما مضى من الزمان و مذ تجر حاضر الزمان و يرفع ماضيه</w:t>
      </w:r>
    </w:p>
    <w:p>
      <w:pPr>
        <w:pStyle w:val="BookText"/>
      </w:pPr>
      <w:r>
        <w:rPr>
          <w:rFonts w:ascii="IRNazanin" w:hAnsi="IRNazanin" w:eastAsia="IRNazanin" w:cs="IRNazanin"/>
          <w:lang w:bidi="fa-IR"/>
          <w:color w:val="111111"/>
          <w:sz w:val="28"/>
          <w:szCs w:val="28"/>
          <w:rtl/>
        </w:rPr>
        <w:t xml:space="preserve">در فهرست با عنوان «الفرق اللغوية» و ناشناس؛ خط: نسخ، بی کا، تان ۱۱۳۱ق؛ ۲۳گ(۷۱ر-۹۳پ)، ۱۷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۸-۲۷۰]</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مرکز احیاء؛ شماره نسخه: ۲۳۲/۶</w:t>
      </w:r>
    </w:p>
    <w:p>
      <w:pPr>
        <w:pStyle w:val="BookText"/>
      </w:pPr>
      <w:r>
        <w:rPr>
          <w:rFonts w:ascii="IRNazanin" w:hAnsi="IRNazanin" w:eastAsia="IRNazanin" w:cs="IRNazanin"/>
          <w:lang w:bidi="fa-IR"/>
          <w:color w:val="111111"/>
          <w:sz w:val="28"/>
          <w:szCs w:val="28"/>
          <w:rtl/>
        </w:rPr>
        <w:t xml:space="preserve">نسخه اصل: همان نسخه بالا [عکسی ف: ۱-۲۶۳]</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دامغان؛ صادقیه؛ شماره نسخه: ۲۵۲/۲</w:t>
      </w:r>
    </w:p>
    <w:p>
      <w:pPr>
        <w:pStyle w:val="BookText"/>
      </w:pPr>
      <w:r>
        <w:rPr>
          <w:rFonts w:ascii="IRNazanin" w:hAnsi="IRNazanin" w:eastAsia="IRNazanin" w:cs="IRNazanin"/>
          <w:lang w:bidi="fa-IR"/>
          <w:color w:val="111111"/>
          <w:sz w:val="28"/>
          <w:szCs w:val="28"/>
          <w:rtl/>
        </w:rPr>
        <w:t xml:space="preserve">آغاز: الفرق بين المحال بالضم والمحال بالفتح ان المحال بالضم هو المستعمل في الكتب وبالفتح بعمنی لاشک؛ انجام: هو سؤال عن الشخص تمام شد ایاک ابوک ابیک لالولی یعنی نه صاحب من.</w:t>
      </w:r>
    </w:p>
    <w:p>
      <w:pPr>
        <w:pStyle w:val="BookText"/>
      </w:pPr>
      <w:r>
        <w:rPr>
          <w:rFonts w:ascii="IRNazanin" w:hAnsi="IRNazanin" w:eastAsia="IRNazanin" w:cs="IRNazanin"/>
          <w:lang w:bidi="fa-IR"/>
          <w:color w:val="111111"/>
          <w:sz w:val="28"/>
          <w:szCs w:val="28"/>
          <w:rtl/>
        </w:rPr>
        <w:t xml:space="preserve">در فهرست ناشناس، خط: نسخ و نستعلیق، بی کا، تا: ۱۲۱۵ق؛ مصحح، جلد: تیماج مشکی عطف پارچه ای، ۴ گ،</w:t>
      </w:r>
    </w:p>
    <w:p>
      <w:pPr>
        <w:pStyle w:val="BookText"/>
      </w:pPr>
      <w:r>
        <w:rPr>
          <w:rFonts w:ascii="IRNazanin" w:hAnsi="IRNazanin" w:eastAsia="IRNazanin" w:cs="IRNazanin"/>
          <w:lang w:bidi="fa-IR"/>
          <w:color w:val="111111"/>
          <w:sz w:val="28"/>
          <w:szCs w:val="28"/>
          <w:rtl/>
        </w:rPr>
        <w:t xml:space="preserve">اندازه:۲۱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مخ: ۱۴۱]</w:t>
      </w:r>
    </w:p>
    <w:p>
      <w:pPr>
        <w:pStyle w:val="BookText"/>
      </w:pPr>
      <w:r>
        <w:rPr>
          <w:rFonts w:ascii="IRNazanin" w:hAnsi="IRNazanin" w:eastAsia="IRNazanin" w:cs="IRNazanin"/>
          <w:lang w:bidi="fa-IR"/>
          <w:color w:val="111111"/>
          <w:sz w:val="28"/>
          <w:szCs w:val="28"/>
          <w:rtl/>
        </w:rPr>
        <w:t xml:space="preserve">۷. تهران؛ سپهسالار؛ شماره نسخه: ۵۱۸۴/۲</w:t>
      </w:r>
    </w:p>
    <w:p>
      <w:pPr>
        <w:pStyle w:val="BookText"/>
      </w:pPr>
      <w:r>
        <w:rPr>
          <w:rFonts w:ascii="IRNazanin" w:hAnsi="IRNazanin" w:eastAsia="IRNazanin" w:cs="IRNazanin"/>
          <w:lang w:bidi="fa-IR"/>
          <w:color w:val="111111"/>
          <w:sz w:val="28"/>
          <w:szCs w:val="28"/>
          <w:rtl/>
        </w:rPr>
        <w:t xml:space="preserve">آغاز: برابر؛ انجام: و الفرق بين مذومند آن مذمبني على السكون ... و منذ جر ما مضى من الزمان و حاضره (و مذ) تجر الزمان الحاضر و يرفع ماضيه .. الجملة اربعمأة مأة فرق . و الحمدلله رب ... المعصومين فقد تم هذه الفرق على ید کلاب (؟) ائمة المعصومین حسین بن حیدر ... في شهر محرم الحرام ۱۱۳۲.</w:t>
      </w:r>
    </w:p>
    <w:p>
      <w:pPr>
        <w:pStyle w:val="BookText"/>
      </w:pPr>
      <w:r>
        <w:rPr>
          <w:rFonts w:ascii="IRNazanin" w:hAnsi="IRNazanin" w:eastAsia="IRNazanin" w:cs="IRNazanin"/>
          <w:lang w:bidi="fa-IR"/>
          <w:color w:val="111111"/>
          <w:sz w:val="28"/>
          <w:szCs w:val="28"/>
          <w:rtl/>
        </w:rPr>
        <w:t xml:space="preserve">در فهرست ناشناس و با عنوان فروق اللغوية؛ خط: نستعلیق، بی کا، تا: ۱۱۳۲ق؛ کاغذ: اصفهانی، جلد: تیماج مشکی مقوایی، ۱۸گ، ( ۲۷۱-۲۵۳ )، ۲۱ 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۵-۳۶۸]</w:t>
      </w:r>
    </w:p>
    <w:p>
      <w:pPr>
        <w:pStyle w:val="BookText"/>
      </w:pPr>
      <w:r>
        <w:rPr>
          <w:rFonts w:ascii="IRNazanin" w:hAnsi="IRNazanin" w:eastAsia="IRNazanin" w:cs="IRNazanin"/>
          <w:lang w:bidi="fa-IR"/>
          <w:color w:val="111111"/>
          <w:sz w:val="28"/>
          <w:szCs w:val="28"/>
          <w:rtl/>
        </w:rPr>
        <w:t xml:space="preserve">۸. قم؛ مرعشی؛ شماره نسخه: ۲۷۹۶/۶</w:t>
      </w:r>
    </w:p>
    <w:p>
      <w:pPr>
        <w:pStyle w:val="BookText"/>
      </w:pPr>
      <w:r>
        <w:rPr>
          <w:rFonts w:ascii="Amiri" w:hAnsi="Amiri" w:eastAsia="Amiri" w:cs="Amiri"/>
          <w:lang w:bidi="ar-SA"/>
          <w:color w:val="111111"/>
          <w:sz w:val="28"/>
          <w:szCs w:val="28"/>
          <w:rtl/>
        </w:rPr>
        <w:t xml:space="preserve">آغاز: برابر؛ انجام: الفرق بين آن و أن فالأولى تعرف بنصب الفعل المضارع و الثانية بجزمه.</w:t>
      </w:r>
    </w:p>
    <w:p>
      <w:pPr>
        <w:pStyle w:val="BookText"/>
      </w:pPr>
      <w:r>
        <w:rPr>
          <w:rFonts w:ascii="IRNazanin" w:hAnsi="IRNazanin" w:eastAsia="IRNazanin" w:cs="IRNazanin"/>
          <w:lang w:bidi="fa-IR"/>
          <w:color w:val="111111"/>
          <w:sz w:val="28"/>
          <w:szCs w:val="28"/>
          <w:rtl/>
        </w:rPr>
        <w:t xml:space="preserve">خط: نسخ، بی کا، بی تا؛ مصحح، با علامت بلاغ؛ جلد: مقوایی عطف تیماج قهوه ای، ۲۹گ (۱۴۳پ-۱۷۱ 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۷-۳۶۳]</w:t>
      </w:r>
    </w:p>
    <w:p>
      <w:pPr>
        <w:pStyle w:val="BookText"/>
      </w:pPr>
      <w:r>
        <w:rPr>
          <w:rFonts w:ascii="IRNazanin" w:hAnsi="IRNazanin" w:eastAsia="IRNazanin" w:cs="IRNazanin"/>
          <w:lang w:bidi="fa-IR"/>
          <w:color w:val="111111"/>
          <w:sz w:val="28"/>
          <w:szCs w:val="28"/>
          <w:rtl/>
        </w:rPr>
        <w:t xml:space="preserve">قم: مرکز احیاء؛ شماره نسخه: ۲۳۵/۶</w:t>
      </w:r>
    </w:p>
    <w:p>
      <w:pPr>
        <w:pStyle w:val="BookText"/>
      </w:pPr>
      <w:r>
        <w:rPr>
          <w:rFonts w:ascii="IRNazanin" w:hAnsi="IRNazanin" w:eastAsia="IRNazanin" w:cs="IRNazanin"/>
          <w:lang w:bidi="fa-IR"/>
          <w:color w:val="111111"/>
          <w:sz w:val="28"/>
          <w:szCs w:val="28"/>
          <w:rtl/>
        </w:rPr>
        <w:t xml:space="preserve">نسخه اصل: همان نسخه بالا [عکسی ف: ۱-۲۶۷]</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مجلس؛ شماره نسخه: ۱۷۵۳۸ض</w:t>
      </w:r>
    </w:p>
    <w:p>
      <w:pPr>
        <w:pStyle w:val="BookText"/>
      </w:pPr>
      <w:r>
        <w:rPr>
          <w:rFonts w:ascii="IRNazanin" w:hAnsi="IRNazanin" w:eastAsia="IRNazanin" w:cs="IRNazanin"/>
          <w:lang w:bidi="fa-IR"/>
          <w:color w:val="111111"/>
          <w:sz w:val="28"/>
          <w:szCs w:val="28"/>
          <w:rtl/>
        </w:rPr>
        <w:t xml:space="preserve">در فهرست ناشناس، بی کا، بیتا (د.ث]</w:t>
      </w:r>
    </w:p>
    <w:p>
      <w:pPr>
        <w:pStyle w:val="Heading3"/>
      </w:pPr>
      <w:bookmarkStart w:id="1099" w:name="_Toc359"/>
      <w:r>
        <w:t>•بهجة الدارين في الامر بين الأمرين / فلسفه / عربی</w:t>
      </w:r>
      <w:bookmarkEnd w:id="1099"/>
    </w:p>
    <w:p>
      <w:pPr>
        <w:pStyle w:val="BookText"/>
      </w:pPr>
      <w:r>
        <w:rPr>
          <w:rFonts w:ascii="Times New Roman" w:hAnsi="Times New Roman" w:eastAsia="Times New Roman" w:cs="Times New Roman"/>
          <w:lang w:val="en-US" w:bidi="en-US"/>
          <w:color w:val="111111"/>
          <w:sz w:val="28"/>
          <w:szCs w:val="28"/>
          <w:rtl/>
        </w:rPr>
        <w:t xml:space="preserve">bahjat-ud dārayn fi-l amr bayn-al amrayn</w:t>
      </w:r>
    </w:p>
    <w:p>
      <w:pPr>
        <w:pStyle w:val="BookText"/>
      </w:pPr>
      <w:r>
        <w:rPr>
          <w:rFonts w:ascii="IRNazanin" w:hAnsi="IRNazanin" w:eastAsia="IRNazanin" w:cs="IRNazanin"/>
          <w:lang w:bidi="fa-IR"/>
          <w:color w:val="111111"/>
          <w:sz w:val="28"/>
          <w:szCs w:val="28"/>
          <w:rtl/>
        </w:rPr>
        <w:t xml:space="preserve">قمی، محمد طاهر بن محمد حسین، -۱۰۹۸ قمری</w:t>
      </w:r>
    </w:p>
    <w:p>
      <w:pPr>
        <w:pStyle w:val="BookText"/>
      </w:pPr>
      <w:r>
        <w:rPr>
          <w:rFonts w:ascii="Times New Roman" w:hAnsi="Times New Roman" w:eastAsia="Times New Roman" w:cs="Times New Roman"/>
          <w:lang w:val="en-US" w:bidi="en-US"/>
          <w:color w:val="111111"/>
          <w:sz w:val="28"/>
          <w:szCs w:val="28"/>
          <w:rtl/>
        </w:rPr>
        <w:t xml:space="preserve">qomī, mohammad tāher ebn-e mohammad hoseyn ( 1687)</w:t>
      </w:r>
    </w:p>
    <w:p>
      <w:pPr>
        <w:pStyle w:val="BookText"/>
      </w:pPr>
      <w:r>
        <w:rPr>
          <w:rFonts w:ascii="IRNazanin" w:hAnsi="IRNazanin" w:eastAsia="IRNazanin" w:cs="IRNazanin"/>
          <w:lang w:bidi="fa-IR"/>
          <w:color w:val="111111"/>
          <w:sz w:val="28"/>
          <w:szCs w:val="28"/>
          <w:rtl/>
        </w:rPr>
        <w:t xml:space="preserve">تاریخ تأليف: ذیقعده ۱۰۵۵ق؛ محل تألیف: قم</w:t>
      </w:r>
    </w:p>
    <w:p>
      <w:pPr>
        <w:pStyle w:val="BookText"/>
      </w:pPr>
      <w:r>
        <w:rPr>
          <w:rFonts w:ascii="IRNazanin" w:hAnsi="IRNazanin" w:eastAsia="IRNazanin" w:cs="IRNazanin"/>
          <w:lang w:bidi="fa-IR"/>
          <w:color w:val="111111"/>
          <w:sz w:val="28"/>
          <w:szCs w:val="28"/>
          <w:rtl/>
        </w:rPr>
        <w:t xml:space="preserve">پیرامون جبر و تفویض و دو شبهه مشكل فلسفی ترجیح بلامرجح و تخلف معلول از علت تامه، در یک «مقدمه» و دو «فصل» و یک «خاتمه»، با نقل بسیاری از گفته های فلاسفه و دانشمندان علم کلام. آغاز: الحمدلله الذي هدانا بمنه سواء سبيل اليقين و دلنا بلطفه على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20" w:name="pg20363_209304"/>
    <w:bookmarkEnd w:id="120"/>
    <w:p>
      <w:pPr>
        <w:pStyle w:val="BookText"/>
      </w:pPr>
      <w:r>
        <w:rPr>
          <w:rFonts w:ascii="IRNazanin" w:hAnsi="IRNazanin" w:eastAsia="IRNazanin" w:cs="IRNazanin"/>
          <w:lang w:bidi="fa-IR"/>
          <w:color w:val="111111"/>
          <w:sz w:val="28"/>
          <w:szCs w:val="28"/>
          <w:rtl/>
        </w:rPr>
        <w:t xml:space="preserve">أوضح طرق الدين و عصمنا من اتباع آراء المجادلين ... اما بعد، فهذا رسالة وجيزه في ابطال الجبر و التفويض و اثبات الأمر بین الأمرين ... صنفها .. محمد طاهر بن محمد حسین و سماها بهجة الدارين في الأمر بين الأمرين ... انجام: و لا ريب في أنها متواترة تواترة معنوية فيما ادعيناه و دلالتها صريحة فيما اخترناه، الحمدلله رب العالمين.</w:t>
      </w:r>
    </w:p>
    <w:p>
      <w:pPr>
        <w:pStyle w:val="BookText"/>
      </w:pPr>
      <w:r>
        <w:rPr>
          <w:rFonts w:ascii="Amiri" w:hAnsi="Amiri" w:eastAsia="Amiri" w:cs="Amiri"/>
          <w:lang w:bidi="ar-SA"/>
          <w:color w:val="111111"/>
          <w:sz w:val="28"/>
          <w:szCs w:val="28"/>
          <w:rtl/>
        </w:rPr>
        <w:t xml:space="preserve">[دنا ۵۵۰/۲ (۵ نسخه)؛ الذريعه ۱۶۲/۳ ؛ فهرستواره ۲۶۱۰/۴ «اوزان شرعيه» ]</w:t>
      </w:r>
    </w:p>
    <w:p>
      <w:pPr>
        <w:pStyle w:val="BookText"/>
      </w:pPr>
      <w:r>
        <w:rPr>
          <w:rFonts w:ascii="IRNazanin" w:hAnsi="IRNazanin" w:eastAsia="IRNazanin" w:cs="IRNazanin"/>
          <w:lang w:bidi="fa-IR"/>
          <w:color w:val="111111"/>
          <w:sz w:val="28"/>
          <w:szCs w:val="28"/>
          <w:rtl/>
        </w:rPr>
        <w:t xml:space="preserve">۱. قم؛ مرعشی؛ شماره نسخه: ۶۲۹۰/۱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علی، تا: پنج شنبه اواسط جمادی الاول ۱۰۷۲ق، جان ابهر؛ جلد: تیماج قهوه ای، ۲۴گ (آپ -۲۴پ)،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سم [ف: ۱۶-۲۶۲]</w:t>
      </w:r>
    </w:p>
    <w:p>
      <w:pPr>
        <w:pStyle w:val="BookText"/>
      </w:pPr>
      <w:r>
        <w:rPr>
          <w:rFonts w:ascii="IRNazanin" w:hAnsi="IRNazanin" w:eastAsia="IRNazanin" w:cs="IRNazanin"/>
          <w:lang w:bidi="fa-IR"/>
          <w:color w:val="111111"/>
          <w:sz w:val="28"/>
          <w:szCs w:val="28"/>
          <w:rtl/>
        </w:rPr>
        <w:t xml:space="preserve">۲. مشهد؛ مرتضوی؛ شماره نسخه: بدون شماره</w:t>
      </w:r>
    </w:p>
    <w:p>
      <w:pPr>
        <w:pStyle w:val="BookText"/>
      </w:pPr>
      <w:r>
        <w:rPr>
          <w:rFonts w:ascii="IRNazanin" w:hAnsi="IRNazanin" w:eastAsia="IRNazanin" w:cs="IRNazanin"/>
          <w:lang w:bidi="fa-IR"/>
          <w:color w:val="111111"/>
          <w:sz w:val="28"/>
          <w:szCs w:val="28"/>
          <w:rtl/>
        </w:rPr>
        <w:t xml:space="preserve">آغاز: برابر کا: محمد شفیع بن ناد على قمی، تا: جمادی الثانی ۱۰۸۶ق؛ ۷۸ص (۲۱۴-۲۹۱) [ف مخ:-۳۷]</w:t>
      </w:r>
    </w:p>
    <w:p>
      <w:pPr>
        <w:pStyle w:val="BookText"/>
      </w:pPr>
      <w:r>
        <w:rPr>
          <w:rFonts w:ascii="IRNazanin" w:hAnsi="IRNazanin" w:eastAsia="IRNazanin" w:cs="IRNazanin"/>
          <w:lang w:bidi="fa-IR"/>
          <w:color w:val="111111"/>
          <w:sz w:val="28"/>
          <w:szCs w:val="28"/>
          <w:rtl/>
        </w:rPr>
        <w:t xml:space="preserve">قم: مرکز احیاء؛ شماره نسخه: ۲۵۷۸/۲</w:t>
      </w:r>
    </w:p>
    <w:p>
      <w:pPr>
        <w:pStyle w:val="BookText"/>
      </w:pPr>
      <w:r>
        <w:rPr>
          <w:rFonts w:ascii="IRNazanin" w:hAnsi="IRNazanin" w:eastAsia="IRNazanin" w:cs="IRNazanin"/>
          <w:lang w:bidi="fa-IR"/>
          <w:color w:val="111111"/>
          <w:sz w:val="28"/>
          <w:szCs w:val="28"/>
          <w:rtl/>
        </w:rPr>
        <w:t xml:space="preserve">نسخه اصل: همان نسخه بالا [عکسی ف: ۷-۱۶۸]</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علوم پزشکی؛ شماره نسخه: ۲۷۷/۱۵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كان محمد کاظم حمامی پسر استاد میرزای اصفهانی، تا: سه شنبه ۲۷ ذیحجه ۱۱۱۱ق؛ ۸۲ص (۳۷۹-۴۶۰، ۱۷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سم (نشریه: ۳-۳۵۴]</w:t>
      </w:r>
    </w:p>
    <w:p>
      <w:pPr>
        <w:pStyle w:val="BookText"/>
      </w:pPr>
      <w:r>
        <w:rPr>
          <w:rFonts w:ascii="IRNazanin" w:hAnsi="IRNazanin" w:eastAsia="IRNazanin" w:cs="IRNazanin"/>
          <w:lang w:bidi="fa-IR"/>
          <w:color w:val="111111"/>
          <w:sz w:val="28"/>
          <w:szCs w:val="28"/>
          <w:rtl/>
        </w:rPr>
        <w:t xml:space="preserve">۴. تهران: دائرة المعارف، شماره نسخه: ۱۹۸۰/۱ -عکسی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بی کا، تا: شنبه ۲۷ صفر ۱۳۱۶ق؛ ۸۸ص (۲-۸۹) عکسی ف: ۱-۵۴]</w:t>
      </w:r>
    </w:p>
    <w:p>
      <w:pPr>
        <w:pStyle w:val="Heading3"/>
      </w:pPr>
      <w:bookmarkStart w:id="1100" w:name="_Toc360"/>
      <w:r>
        <w:t>•البهجة الرائقة في شرح الزهرة البارقة / لغت / عربی</w:t>
      </w:r>
      <w:bookmarkEnd w:id="1100"/>
    </w:p>
    <w:p>
      <w:pPr>
        <w:pStyle w:val="BookText"/>
      </w:pPr>
      <w:r>
        <w:rPr>
          <w:rFonts w:ascii="Times New Roman" w:hAnsi="Times New Roman" w:eastAsia="Times New Roman" w:cs="Times New Roman"/>
          <w:lang w:val="en-US" w:bidi="en-US"/>
          <w:color w:val="111111"/>
          <w:sz w:val="28"/>
          <w:szCs w:val="28"/>
          <w:rtl/>
        </w:rPr>
        <w:t xml:space="preserve">bahjat-ur rā’iqa fi š.-iz zuhrat-il bāriqa</w:t>
      </w:r>
    </w:p>
    <w:p>
      <w:pPr>
        <w:pStyle w:val="BookText"/>
      </w:pPr>
      <w:r>
        <w:rPr>
          <w:rFonts w:ascii="IRNazanin" w:hAnsi="IRNazanin" w:eastAsia="IRNazanin" w:cs="IRNazanin"/>
          <w:lang w:bidi="fa-IR"/>
          <w:color w:val="111111"/>
          <w:sz w:val="28"/>
          <w:szCs w:val="28"/>
          <w:rtl/>
        </w:rPr>
        <w:t xml:space="preserve">امام الحرمین همدانی، محمد بن عبدالوهاب،-۱۳۰۳ ؟ قمری</w:t>
      </w:r>
    </w:p>
    <w:p>
      <w:pPr>
        <w:pStyle w:val="BookText"/>
      </w:pPr>
      <w:r>
        <w:rPr>
          <w:rFonts w:ascii="Times New Roman" w:hAnsi="Times New Roman" w:eastAsia="Times New Roman" w:cs="Times New Roman"/>
          <w:lang w:val="en-US" w:bidi="en-US"/>
          <w:color w:val="111111"/>
          <w:sz w:val="28"/>
          <w:szCs w:val="28"/>
          <w:rtl/>
        </w:rPr>
        <w:t xml:space="preserve">emām-ol-harameyn-e hamedānī, mohammad ebn-e</w:t>
      </w:r>
    </w:p>
    <w:p>
      <w:pPr>
        <w:pStyle w:val="BookText"/>
      </w:pPr>
      <w:r>
        <w:rPr>
          <w:rFonts w:ascii="Times New Roman" w:hAnsi="Times New Roman" w:eastAsia="Times New Roman" w:cs="Times New Roman"/>
          <w:lang w:val="en-US" w:bidi="en-US"/>
          <w:color w:val="111111"/>
          <w:sz w:val="28"/>
          <w:szCs w:val="28"/>
          <w:rtl/>
        </w:rPr>
        <w:t xml:space="preserve">abd-ol-vahhab (- 1886)</w:t>
      </w:r>
    </w:p>
    <w:p>
      <w:pPr>
        <w:pStyle w:val="BookText"/>
      </w:pPr>
      <w:r>
        <w:rPr>
          <w:rFonts w:ascii="IRNazanin" w:hAnsi="IRNazanin" w:eastAsia="IRNazanin" w:cs="IRNazanin"/>
          <w:lang w:bidi="fa-IR"/>
          <w:color w:val="111111"/>
          <w:sz w:val="28"/>
          <w:szCs w:val="28"/>
          <w:rtl/>
        </w:rPr>
        <w:t xml:space="preserve">وابسته به: الزهرة البارقة؛ أمام الحرمین همدانی، محمد بن عبدالوهاب (-۱۳۰۳)</w:t>
      </w:r>
    </w:p>
    <w:p>
      <w:pPr>
        <w:pStyle w:val="BookText"/>
      </w:pPr>
      <w:r>
        <w:rPr>
          <w:rFonts w:ascii="IRNazanin" w:hAnsi="IRNazanin" w:eastAsia="IRNazanin" w:cs="IRNazanin"/>
          <w:lang w:bidi="fa-IR"/>
          <w:color w:val="111111"/>
          <w:sz w:val="28"/>
          <w:szCs w:val="28"/>
          <w:rtl/>
        </w:rPr>
        <w:t xml:space="preserve">گزارش ارجوزه خود اوست در لغت عربی که در ۱۲۸۱ق سروده بود. این ارجوزه در ۱ «مقدمه» و ۷ «باب» و هر باب در چند «فصل» است: مقدمه در حد لغت و لفظ و جز آن؛ باب ۱. وضع اركانه؛ ۲. المعارف الراجعة الى اللغة من حيث الاسناد؛ ۳. المعارف الراجعة الى اللغة من حيث الالفاظ؛ ۴. المعارف الراجعة الى اللغة من حيث المعنى؛ ۵. المعارف الراجعة إلى اللغة من حيث لطائفها؛ ۶. فيما يرجع الى حفظ اللغة و ضبط مفاريدها؛ ۷. فيما يرجع الى رجال اللغة.</w:t>
      </w:r>
    </w:p>
    <w:p>
      <w:pPr>
        <w:pStyle w:val="BookText"/>
      </w:pPr>
      <w:r>
        <w:rPr>
          <w:rFonts w:ascii="IRNazanin" w:hAnsi="IRNazanin" w:eastAsia="IRNazanin" w:cs="IRNazanin"/>
          <w:lang w:bidi="fa-IR"/>
          <w:color w:val="111111"/>
          <w:sz w:val="28"/>
          <w:szCs w:val="28"/>
          <w:rtl/>
        </w:rPr>
        <w:t xml:space="preserve">[الذریعه ۷۳/۱۲ «الزهرة البارقة»؛ دنا ۵۵۰/۲ ]</w:t>
      </w:r>
    </w:p>
    <w:p>
      <w:pPr>
        <w:pStyle w:val="BookText"/>
      </w:pPr>
      <w:r>
        <w:rPr>
          <w:rFonts w:ascii="IRNazanin" w:hAnsi="IRNazanin" w:eastAsia="IRNazanin" w:cs="IRNazanin"/>
          <w:lang w:bidi="fa-IR"/>
          <w:color w:val="111111"/>
          <w:sz w:val="28"/>
          <w:szCs w:val="28"/>
          <w:rtl/>
        </w:rPr>
        <w:t xml:space="preserve">تهران؛ دائرة المعارف، شماره نسخه: ۲۰۱۹/۲ -عکسی</w:t>
      </w:r>
    </w:p>
    <w:p>
      <w:pPr>
        <w:pStyle w:val="BookText"/>
      </w:pPr>
      <w:r>
        <w:rPr>
          <w:rFonts w:ascii="IRNazanin" w:hAnsi="IRNazanin" w:eastAsia="IRNazanin" w:cs="IRNazanin"/>
          <w:lang w:bidi="fa-IR"/>
          <w:color w:val="111111"/>
          <w:sz w:val="28"/>
          <w:szCs w:val="28"/>
          <w:rtl/>
        </w:rPr>
        <w:t xml:space="preserve">آغاز: آغاز مقدمه: اللفظ عرفا صوت احتوى على ... الحمدلله الذي علمنا حقایق اللغات و الهمنا دقايق البلاغات، و الصلاة ... اما بعد، فيقول الفقير إلى رحمة ربه الودود محمد بن تاج الحاج عبدالوهاب الهمداني المعروف بين أصحابه به ابن داود؛ انجام: مما سیتلی علیک مفصلا انشاء الله. فهذه مقاصد هي مسايل هذا العلم.</w:t>
      </w:r>
    </w:p>
    <w:p>
      <w:pPr>
        <w:pStyle w:val="BookText"/>
      </w:pPr>
      <w:r>
        <w:rPr>
          <w:rFonts w:ascii="IRNazanin" w:hAnsi="IRNazanin" w:eastAsia="IRNazanin" w:cs="IRNazanin"/>
          <w:lang w:bidi="fa-IR"/>
          <w:color w:val="111111"/>
          <w:sz w:val="28"/>
          <w:szCs w:val="28"/>
          <w:rtl/>
        </w:rPr>
        <w:t xml:space="preserve">خط: نستعلیق شکسته تحریری، بی کا، تا: ۱۳ یا آغاز ۱۴ق؛ افتادگی: انجام؛ ۶۲ص (۳۲-۹۳) [عکسی ف: ۱-۵۴]</w:t>
      </w:r>
    </w:p>
    <w:p>
      <w:pPr>
        <w:pStyle w:val="Heading3"/>
      </w:pPr>
      <w:bookmarkStart w:id="1101" w:name="_Toc361"/>
      <w:r>
        <w:t>•بهجة الراغب الى شرح بغية الطالب / فقه / عربی</w:t>
      </w:r>
      <w:bookmarkEnd w:id="1101"/>
    </w:p>
    <w:p>
      <w:pPr>
        <w:pStyle w:val="BookText"/>
      </w:pPr>
      <w:r>
        <w:rPr>
          <w:rFonts w:ascii="Times New Roman" w:hAnsi="Times New Roman" w:eastAsia="Times New Roman" w:cs="Times New Roman"/>
          <w:lang w:val="en-US" w:bidi="en-US"/>
          <w:color w:val="111111"/>
          <w:sz w:val="28"/>
          <w:szCs w:val="28"/>
          <w:rtl/>
        </w:rPr>
        <w:t xml:space="preserve">bahjat-ur ragib ilas.-i buggyat-it talib</w:t>
      </w:r>
    </w:p>
    <w:p>
      <w:pPr>
        <w:pStyle w:val="BookText"/>
      </w:pPr>
      <w:r>
        <w:rPr>
          <w:rFonts w:ascii="IRNazanin" w:hAnsi="IRNazanin" w:eastAsia="IRNazanin" w:cs="IRNazanin"/>
          <w:lang w:bidi="fa-IR"/>
          <w:color w:val="111111"/>
          <w:sz w:val="28"/>
          <w:szCs w:val="28"/>
          <w:rtl/>
        </w:rPr>
        <w:t xml:space="preserve">ربیعی نجفی، محمد بن يونس</w:t>
      </w:r>
    </w:p>
    <w:p>
      <w:pPr>
        <w:pStyle w:val="BookText"/>
      </w:pPr>
      <w:r>
        <w:rPr>
          <w:rFonts w:ascii="Times New Roman" w:hAnsi="Times New Roman" w:eastAsia="Times New Roman" w:cs="Times New Roman"/>
          <w:lang w:val="en-US" w:bidi="en-US"/>
          <w:color w:val="111111"/>
          <w:sz w:val="28"/>
          <w:szCs w:val="28"/>
          <w:rtl/>
        </w:rPr>
        <w:t xml:space="preserve">rabī'ī najafī, mohammad ebn-e yūnos</w:t>
      </w:r>
    </w:p>
    <w:p>
      <w:pPr>
        <w:pStyle w:val="BookText"/>
      </w:pPr>
      <w:r>
        <w:rPr>
          <w:rFonts w:ascii="IRNazanin" w:hAnsi="IRNazanin" w:eastAsia="IRNazanin" w:cs="IRNazanin"/>
          <w:lang w:bidi="fa-IR"/>
          <w:color w:val="111111"/>
          <w:sz w:val="28"/>
          <w:szCs w:val="28"/>
          <w:rtl/>
        </w:rPr>
        <w:t xml:space="preserve">وابسته به: بغية الطالب في معرفة المفروض و الواجب؛ کاشف الغطاء، جعفر بن خضر (۱۱۵۴-۱۲۲۸)</w:t>
      </w:r>
    </w:p>
    <w:p>
      <w:pPr>
        <w:pStyle w:val="BookText"/>
      </w:pPr>
      <w:r>
        <w:rPr>
          <w:rFonts w:ascii="IRNazanin" w:hAnsi="IRNazanin" w:eastAsia="IRNazanin" w:cs="IRNazanin"/>
          <w:lang w:bidi="fa-IR"/>
          <w:color w:val="111111"/>
          <w:sz w:val="28"/>
          <w:szCs w:val="28"/>
          <w:rtl/>
        </w:rPr>
        <w:t xml:space="preserve">شرحی مزجی و استدلالی بر کتاب «بغية الطالب في معرفة المفروض و الواجب» شیخ جعفر کاشف الغطاء است. این شرح با عناوین «قال قال» برگزار گردیده و در زمان حیات کاشف الغطاء نگاشته شده است.</w:t>
      </w:r>
    </w:p>
    <w:p>
      <w:pPr>
        <w:pStyle w:val="BookText"/>
      </w:pPr>
      <w:r>
        <w:rPr>
          <w:rFonts w:ascii="IRNazanin" w:hAnsi="IRNazanin" w:eastAsia="IRNazanin" w:cs="IRNazanin"/>
          <w:lang w:bidi="fa-IR"/>
          <w:color w:val="111111"/>
          <w:sz w:val="28"/>
          <w:szCs w:val="28"/>
          <w:rtl/>
        </w:rPr>
        <w:t xml:space="preserve">تهران؛ مجلس؛ شماره نسخه: ۷۴۱۶</w:t>
      </w:r>
    </w:p>
    <w:p>
      <w:pPr>
        <w:pStyle w:val="BookText"/>
      </w:pPr>
      <w:r>
        <w:rPr>
          <w:rFonts w:ascii="Amiri" w:hAnsi="Amiri" w:eastAsia="Amiri" w:cs="Amiri"/>
          <w:lang w:bidi="ar-SA"/>
          <w:color w:val="111111"/>
          <w:sz w:val="28"/>
          <w:szCs w:val="28"/>
          <w:rtl/>
        </w:rPr>
        <w:t xml:space="preserve">آغاز: الحمدلله الذي جعل الكتاب حجة للانام و مرجعا للخاص و العام، انجام: قال المنصف فالمتصل بالكر بمجرد زوال التغير لانه متى زال التغير حكمت المادة.</w:t>
      </w:r>
    </w:p>
    <w:p>
      <w:pPr>
        <w:pStyle w:val="BookText"/>
      </w:pPr>
      <w:r>
        <w:rPr>
          <w:rFonts w:ascii="IRNazanin" w:hAnsi="IRNazanin" w:eastAsia="IRNazanin" w:cs="IRNazanin"/>
          <w:lang w:bidi="fa-IR"/>
          <w:color w:val="111111"/>
          <w:sz w:val="28"/>
          <w:szCs w:val="28"/>
          <w:rtl/>
        </w:rPr>
        <w:t xml:space="preserve">خط: تحریری، کاتب = مؤلف، بی تا، تقریظ مرحوم کاشف الغطاء تقریظی به این عبارت: «لقد اجاد و افاد و جاء بما فوق المراد السالك اوضح سبيل الرشاد الموفق لتأييد و السداد الطاهر المطهر صاحب المحل الازهر و المقام الأنور في شرحه لرسالة الاقل الاحقر الجنيجاوي المسمى لصغر قدره بجعفر فيا له من شرح قد اوضح مبهماتها و ابرز غوامض مشكلاتها مع لفظ كالدر النضيد و جواهر معان وقعت موقع القلادة من الجيد نفع الله به الطالبین و عم نفعه بجيمع المؤمنین آمین»؛ جلد: مقوا، ۴۱گ، ۲۱ سطر، اندازه: ۱۵/۵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آف: ۲۵-۳۹۷]</w:t>
      </w:r>
    </w:p>
    <w:p>
      <w:pPr>
        <w:pStyle w:val="Heading3"/>
      </w:pPr>
      <w:bookmarkStart w:id="1102" w:name="_Toc362"/>
      <w:r>
        <w:t>•بهجة الروح / اخلاق / فارسی</w:t>
      </w:r>
      <w:bookmarkEnd w:id="1102"/>
    </w:p>
    <w:p>
      <w:pPr>
        <w:pStyle w:val="BookText"/>
      </w:pPr>
      <w:r>
        <w:rPr>
          <w:rFonts w:ascii="Times New Roman" w:hAnsi="Times New Roman" w:eastAsia="Times New Roman" w:cs="Times New Roman"/>
          <w:lang w:val="en-US" w:bidi="en-US"/>
          <w:color w:val="111111"/>
          <w:sz w:val="28"/>
          <w:szCs w:val="28"/>
          <w:rtl/>
        </w:rPr>
        <w:t xml:space="preserve">bahjat-or rūh</w:t>
      </w:r>
    </w:p>
    <w:p>
      <w:pPr>
        <w:pStyle w:val="BookText"/>
      </w:pPr>
      <w:r>
        <w:rPr>
          <w:rFonts w:ascii="IRNazanin" w:hAnsi="IRNazanin" w:eastAsia="IRNazanin" w:cs="IRNazanin"/>
          <w:lang w:bidi="fa-IR"/>
          <w:color w:val="111111"/>
          <w:sz w:val="28"/>
          <w:szCs w:val="28"/>
          <w:rtl/>
        </w:rPr>
        <w:t xml:space="preserve">روحی نیشابوری</w:t>
      </w:r>
    </w:p>
    <w:p>
      <w:pPr>
        <w:pStyle w:val="BookText"/>
      </w:pPr>
      <w:r>
        <w:rPr>
          <w:rFonts w:ascii="Times New Roman" w:hAnsi="Times New Roman" w:eastAsia="Times New Roman" w:cs="Times New Roman"/>
          <w:lang w:val="en-US" w:bidi="en-US"/>
          <w:color w:val="111111"/>
          <w:sz w:val="28"/>
          <w:szCs w:val="28"/>
          <w:rtl/>
        </w:rPr>
        <w:t xml:space="preserve">rūhī neyšābūrī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21" w:name="pg20363_209305"/>
    <w:bookmarkEnd w:id="121"/>
    <w:p>
      <w:pPr>
        <w:pStyle w:val="BookText"/>
      </w:pPr>
      <w:r>
        <w:rPr>
          <w:rFonts w:ascii="IRNazanin" w:hAnsi="IRNazanin" w:eastAsia="IRNazanin" w:cs="IRNazanin"/>
          <w:lang w:bidi="fa-IR"/>
          <w:color w:val="111111"/>
          <w:sz w:val="28"/>
          <w:szCs w:val="28"/>
          <w:rtl/>
        </w:rPr>
        <w:t xml:space="preserve">فصلی (در اخلاق و آداب معاشرت) از آن کتاب.</w:t>
      </w:r>
    </w:p>
    <w:p>
      <w:pPr>
        <w:pStyle w:val="BookText"/>
      </w:pPr>
      <w:r>
        <w:rPr>
          <w:rFonts w:ascii="IRNazanin" w:hAnsi="IRNazanin" w:eastAsia="IRNazanin" w:cs="IRNazanin"/>
          <w:lang w:bidi="fa-IR"/>
          <w:color w:val="111111"/>
          <w:sz w:val="28"/>
          <w:szCs w:val="28"/>
          <w:rtl/>
        </w:rPr>
        <w:t xml:space="preserve">تهران؛ نوربخش، شماره نسخه: ۸۶۸/۱۱</w:t>
      </w:r>
    </w:p>
    <w:p>
      <w:pPr>
        <w:pStyle w:val="BookText"/>
      </w:pPr>
      <w:r>
        <w:rPr>
          <w:rFonts w:ascii="IRNazanin" w:hAnsi="IRNazanin" w:eastAsia="IRNazanin" w:cs="IRNazanin"/>
          <w:lang w:bidi="fa-IR"/>
          <w:color w:val="111111"/>
          <w:sz w:val="28"/>
          <w:szCs w:val="28"/>
          <w:rtl/>
        </w:rPr>
        <w:t xml:space="preserve">آغاز: فصلی چند از کتاب بهجة الروح مولانا روحی نیشابوری مرقوم می شود. فصل اول در بیان سلوک بزرگی بی حسب و نسب و خودبینی و خودپسند و مقید به صدرنشینی؛ انجام: به غاية الغاية كریه و رکیک می باشد. زنهار بدان سلوک اندر عالم*** تا ننشینی در پس زانوی ندم / زنهار سلوک آن چنان کن که به دهر*** فارغ باشی زمحنت و غصه و غم</w:t>
      </w:r>
    </w:p>
    <w:p>
      <w:pPr>
        <w:pStyle w:val="BookText"/>
      </w:pPr>
      <w:r>
        <w:rPr>
          <w:rFonts w:ascii="IRNazanin" w:hAnsi="IRNazanin" w:eastAsia="IRNazanin" w:cs="IRNazanin"/>
          <w:lang w:bidi="fa-IR"/>
          <w:color w:val="111111"/>
          <w:sz w:val="28"/>
          <w:szCs w:val="28"/>
          <w:rtl/>
        </w:rPr>
        <w:t xml:space="preserve">خط: نستعلیق، كا: حيدر بن على بن اسماعیل کر کی، تا: قرن ۱۱؛ پس از برگ ۱۳ برگ یا برگهایی از دفتر افتاده و در برگ ۱۴ چند حدیث و چند بیت از سید حمیری است که گردآورنده این جنگ می گوید از خط جد خویش شیخ علی نقل کرده، قطعه ای از حکیم رکنا و نیز یک صفحه از یکی از منشآت است با این آغاز: بارقه توفیق ازلی و شعشعه هدایت لم یزلی که چراغ افروز خاطر قدسی مناظر است»؛ کاغذ: اصفهانی آبی و زرد، جلد: تیماج قهوه ای با ترنج و نیم ترنج گل و بوته دار و آب طلایی، قطع: نیم خشتی،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 سم (نشریه: ۱۳-۲۴۶]</w:t>
      </w:r>
    </w:p>
    <w:p>
      <w:pPr>
        <w:pStyle w:val="Heading3"/>
      </w:pPr>
      <w:bookmarkStart w:id="1103" w:name="_Toc363"/>
      <w:r>
        <w:t>•بهجت الروح و قوت الارواح = بهجة الأرواح / موسیقی / فارسی</w:t>
      </w:r>
      <w:bookmarkEnd w:id="1103"/>
    </w:p>
    <w:p>
      <w:pPr>
        <w:pStyle w:val="BookText"/>
      </w:pPr>
      <w:r>
        <w:rPr>
          <w:rFonts w:ascii="Times New Roman" w:hAnsi="Times New Roman" w:eastAsia="Times New Roman" w:cs="Times New Roman"/>
          <w:lang w:val="en-US" w:bidi="en-US"/>
          <w:color w:val="111111"/>
          <w:sz w:val="28"/>
          <w:szCs w:val="28"/>
          <w:rtl/>
        </w:rPr>
        <w:t xml:space="preserve">bahjat-or rūh va qovvat-ol arvāh = bahjat-ol arvāh</w:t>
      </w:r>
    </w:p>
    <w:p>
      <w:pPr>
        <w:pStyle w:val="BookText"/>
      </w:pPr>
      <w:r>
        <w:rPr>
          <w:rFonts w:ascii="IRNazanin" w:hAnsi="IRNazanin" w:eastAsia="IRNazanin" w:cs="IRNazanin"/>
          <w:lang w:bidi="fa-IR"/>
          <w:color w:val="111111"/>
          <w:sz w:val="28"/>
          <w:szCs w:val="28"/>
          <w:rtl/>
        </w:rPr>
        <w:t xml:space="preserve">جرجانی ، عبد المؤمن بن صفی الدین، ق ۵ قمری؟</w:t>
      </w:r>
    </w:p>
    <w:p>
      <w:pPr>
        <w:pStyle w:val="BookText"/>
      </w:pPr>
      <w:r>
        <w:rPr>
          <w:rFonts w:ascii="Times New Roman" w:hAnsi="Times New Roman" w:eastAsia="Times New Roman" w:cs="Times New Roman"/>
          <w:lang w:val="en-US" w:bidi="en-US"/>
          <w:color w:val="111111"/>
          <w:sz w:val="28"/>
          <w:szCs w:val="28"/>
          <w:rtl/>
        </w:rPr>
        <w:t xml:space="preserve">jorjānī, ‘abd-ol-mo’men ebn-e safī-od-dīn (-11c)</w:t>
      </w:r>
    </w:p>
    <w:p>
      <w:pPr>
        <w:pStyle w:val="BookText"/>
      </w:pPr>
      <w:r>
        <w:rPr>
          <w:rFonts w:ascii="IRNazanin" w:hAnsi="IRNazanin" w:eastAsia="IRNazanin" w:cs="IRNazanin"/>
          <w:lang w:bidi="fa-IR"/>
          <w:color w:val="111111"/>
          <w:sz w:val="28"/>
          <w:szCs w:val="28"/>
          <w:rtl/>
        </w:rPr>
        <w:t xml:space="preserve">نگارنده آن در دیباچه «عبد المؤمن بن صفي الدين بن اعز الدين بن محي الدين بن نعمة بن قابوس بن وشمگیر جرجانی» یاد شده که این نامه را برای محمود غزنوی (۳۸۸-۴۲۱) به نام «بهجة الأرواح» نوشته است. از خود نامه گذشته، از سبک پیداست که پس از آن روزگار نگاشته شده چه در آن از عطار نیشابوری (- ۶۱۷) یاد می شود و از «منطق الطیر» او می آورد و از شیخ العارفين نجم الدین صاحب فصوص روحانی نام می برد. نگارنده از امام فخر الدين طاوس هروی و کتابش به نام «تهجی موسیقی» و از فرزند خود ضياء الدين محمد يوسف و سعد الدين محيي آبادی و شمس الدین کازرونی و میر فخر الدين و اسحاق موصلی و سید حسین اخلاطی یاد کرده و همه را از استادان این هنر دانسته و همچنین از شيخ رئیس و غلام سلطان ملکشاه یاد کرده و در خاتمه بیتی به عربی از ارزقی شاعر آورده است و می گوید که باید این هنر را از بازاریان و پیشه وران و نادان ها و فقیهان و واعظان و زنان و غلامان درم خریده و احمقان مخنث و قرآن خوانان بد و مکاریان و قاضيان دور داشت و در پایان می گوید که این دانشمندان افزار موسیقی و طرب بساختند: افلاطون و ارسطو و جالینوس و بوعلی و اسحاق موصلی و ابن طائی و محمد امین طاوس. پیداست که نامه از صفي الدين عبد المؤمن بن يوسف بن فاخر بلخی ارموی آذربایگانی (۶۱۳-۶۹۳) نیست. (دانش پژوه)</w:t>
      </w:r>
    </w:p>
    <w:p>
      <w:pPr>
        <w:pStyle w:val="BookText"/>
      </w:pPr>
      <w:r>
        <w:rPr>
          <w:rFonts w:ascii="IRNazanin" w:hAnsi="IRNazanin" w:eastAsia="IRNazanin" w:cs="IRNazanin"/>
          <w:lang w:bidi="fa-IR"/>
          <w:color w:val="111111"/>
          <w:sz w:val="28"/>
          <w:szCs w:val="28"/>
          <w:rtl/>
        </w:rPr>
        <w:t xml:space="preserve">دکتر خانلری در پیشگفتار چاپی این کتاب می نویسد: «روزگار نگارش آن شناخته نیست، شاید از سده ۱۰ یا ۱۱ ق باشد. نام نگارنده و ممدوح آن هر دو ساختگی است» و سپس پیوندی میان این رساله و «رساله موسیقی خواجه عبدالرحمان غزنوی از سده دهم نشان می دهد. در تأیید مطلب چند نکته اهمیت دارد: 1. تاریخ فوت قابوس (-۴۰۳ق) و تاریخ فوت سلطان محمود (۴۲۲ق) است و اینکه عقب پنجم قابوس</w:t>
      </w:r>
    </w:p>
    <w:p>
      <w:pPr>
        <w:pStyle w:val="BookText"/>
      </w:pPr>
      <w:r>
        <w:rPr>
          <w:rFonts w:ascii="IRNazanin" w:hAnsi="IRNazanin" w:eastAsia="IRNazanin" w:cs="IRNazanin"/>
          <w:lang w:bidi="fa-IR"/>
          <w:color w:val="111111"/>
          <w:sz w:val="28"/>
          <w:szCs w:val="28"/>
          <w:rtl/>
        </w:rPr>
        <w:t xml:space="preserve">قبل از سال ۴۲۲ ق دست به تأليف كتاب بزند، غیر قابل قبول است؛ ۲. نثر فارسی متن کتاب، به هیچ وجه با نثر فارسی رایج در زمان غزنویان و بلکه بعد از آن، مطابقت ندارد؛ 3. جو اجتماعی زمان در عصر صفویه، احتمالا مؤلف را بر آن داشته تا تصنیف این کتاب را، مانند گناهی، به گذشتگان نسبت دهد! این کتاب ظاهرا از زبان عربی و یونانی به فارسی برگردانیده شده است. رساله ای است در علم موسیقی و دارای یک «مقدمه» و ۱۰ «باب» و «خاتمه»: مقدمه : در آنکه هر مقامی از چه استخراج کرده اند؛ باب ۱. مبداء این علم؛ ۲. اقاويل بعضی از حکماء؛ ۳. نسبت این علم به وجود انسان؛ ۴. نسبت این علم به كواكب سبعه؛ ۵. بخور اصول حرکات؛ ۶. بیان این علم في النظم؛ ۷. ترکیب پرده به حسب میر عطارد؛ ۸ مناسبت هر چه که نغمه گوید؛ ۹. بیان اینکه هر پرده چند با تکه بود؛ ۱۰. سلوک صاحب این علم با عامه؛ خاتمه: در نسبت پرده ها به کواکب و عناصر و فصول اربعه.</w:t>
      </w:r>
    </w:p>
    <w:p>
      <w:pPr>
        <w:pStyle w:val="BookText"/>
      </w:pPr>
      <w:r>
        <w:rPr>
          <w:rFonts w:ascii="IRNazanin" w:hAnsi="IRNazanin" w:eastAsia="IRNazanin" w:cs="IRNazanin"/>
          <w:lang w:bidi="fa-IR"/>
          <w:color w:val="111111"/>
          <w:sz w:val="28"/>
          <w:szCs w:val="28"/>
          <w:rtl/>
        </w:rPr>
        <w:t xml:space="preserve">آغاز: الحمدلله رب العالمین و الصلوة و السلام على خير خلقه مظهر لطف حقه محمد و آله الطاهرين أما بعد فهذه رسالة شريفة و جيزة الباهرة في العلوم الأدوار من قول الحكماء الفلسفة بدلايل المرضية المطبوعة یعنی این رساله ایست بزرگ قليل اللفظ كثير المعنى متبهر در علم موسیقی از کلام حکماء يونان ... اما بعد قال العبد الفقير ... عبد المؤمن بن صفي الدين بن عزالدين بن قابوس و شمگیر</w:t>
      </w:r>
    </w:p>
    <w:p>
      <w:pPr>
        <w:pStyle w:val="BookText"/>
      </w:pPr>
      <w:r>
        <w:rPr>
          <w:rFonts w:ascii="IRNazanin" w:hAnsi="IRNazanin" w:eastAsia="IRNazanin" w:cs="IRNazanin"/>
          <w:lang w:bidi="fa-IR"/>
          <w:color w:val="111111"/>
          <w:sz w:val="28"/>
          <w:szCs w:val="28"/>
          <w:rtl/>
        </w:rPr>
        <w:t xml:space="preserve">چاپ: به تصحیح و مقدمه هل. رابینو دی برگو ماله، تهران، سلسله انتشارات بنیاد فرهنگ ایران، ۱۳۴۶</w:t>
      </w:r>
    </w:p>
    <w:p>
      <w:pPr>
        <w:pStyle w:val="BookText"/>
      </w:pPr>
      <w:r>
        <w:rPr>
          <w:rFonts w:ascii="Amiri" w:hAnsi="Amiri" w:eastAsia="Amiri" w:cs="Amiri"/>
          <w:lang w:bidi="ar-SA"/>
          <w:color w:val="111111"/>
          <w:sz w:val="28"/>
          <w:szCs w:val="28"/>
          <w:rtl/>
        </w:rPr>
        <w:t xml:space="preserve">[دنا ۵۵۰/۲ (۲۶ نسخه)؛ الذريعة ۱۶۲/۳ ]</w:t>
      </w:r>
    </w:p>
    <w:p>
      <w:pPr>
        <w:pStyle w:val="BookText"/>
      </w:pPr>
      <w:r>
        <w:rPr>
          <w:rFonts w:ascii="IRNazanin" w:hAnsi="IRNazanin" w:eastAsia="IRNazanin" w:cs="IRNazanin"/>
          <w:lang w:bidi="fa-IR"/>
          <w:color w:val="111111"/>
          <w:sz w:val="28"/>
          <w:szCs w:val="28"/>
          <w:rtl/>
        </w:rPr>
        <w:t xml:space="preserve">۱. تهران: مجلس شورا؛ شماره نسخه: ۴۸۵۴/۲</w:t>
      </w:r>
    </w:p>
    <w:p>
      <w:pPr>
        <w:pStyle w:val="BookText"/>
      </w:pPr>
      <w:r>
        <w:rPr>
          <w:rFonts w:ascii="IRNazanin" w:hAnsi="IRNazanin" w:eastAsia="IRNazanin" w:cs="IRNazanin"/>
          <w:lang w:bidi="fa-IR"/>
          <w:color w:val="111111"/>
          <w:sz w:val="28"/>
          <w:szCs w:val="28"/>
          <w:rtl/>
        </w:rPr>
        <w:t xml:space="preserve">آغاز: برابر؛ انجام: باب در بیان ادوات و آلات طرب که هر کس از حکما کدام آلت طرب ساخته ...... في غرة شهر ربيع الثانی سنة ستة و اربعین و الف.</w:t>
      </w:r>
    </w:p>
    <w:p>
      <w:pPr>
        <w:pStyle w:val="BookText"/>
      </w:pPr>
      <w:r>
        <w:rPr>
          <w:rFonts w:ascii="IRNazanin" w:hAnsi="IRNazanin" w:eastAsia="IRNazanin" w:cs="IRNazanin"/>
          <w:lang w:bidi="fa-IR"/>
          <w:color w:val="111111"/>
          <w:sz w:val="28"/>
          <w:szCs w:val="28"/>
          <w:rtl/>
        </w:rPr>
        <w:t xml:space="preserve">خط: نستعلیق، كا: عين على، تا: ۱۰۴۶ق؛ دارای ۶ شكل و یک جدول از انتها، مقام های موسیقی را در این اشعار شرح داده است و در پایان نام ۱۲ مقام از مقام های موسیقی ذکر گردیده است؛ کاغذ: سپاهانی، جلد: تیماج مشکی مقوایی، ۲۴ص (۶۰-۸۴ )، ۱۴سطر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۱۳-۲۹۲]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22" w:name="pg20363_209306"/>
    <w:bookmarkEnd w:id="122"/>
    <w:p>
      <w:pPr>
        <w:pStyle w:val="BookText"/>
      </w:pPr>
      <w:r>
        <w:rPr>
          <w:rFonts w:ascii="IRNazanin" w:hAnsi="IRNazanin" w:eastAsia="IRNazanin" w:cs="IRNazanin"/>
          <w:lang w:bidi="fa-IR"/>
          <w:color w:val="111111"/>
          <w:sz w:val="28"/>
          <w:szCs w:val="28"/>
          <w:rtl/>
        </w:rPr>
        <w:t xml:space="preserve">۲. قم؛ مرعشی؛ شماره نسخه:۱۱۵۰۷</w:t>
      </w:r>
    </w:p>
    <w:p>
      <w:pPr>
        <w:pStyle w:val="BookText"/>
      </w:pPr>
      <w:r>
        <w:rPr>
          <w:rFonts w:ascii="IRNazanin" w:hAnsi="IRNazanin" w:eastAsia="IRNazanin" w:cs="IRNazanin"/>
          <w:lang w:bidi="fa-IR"/>
          <w:color w:val="111111"/>
          <w:sz w:val="28"/>
          <w:szCs w:val="28"/>
          <w:rtl/>
        </w:rPr>
        <w:t xml:space="preserve">آغاز: برابر؛ انجام: بی زمزمه عشق نخواهم بودن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تا دم زدن نفس مرا خواهد بود</w:t>
      </w:r>
    </w:p>
    <w:p>
      <w:pPr>
        <w:pStyle w:val="BookText"/>
      </w:pPr>
      <w:r>
        <w:rPr>
          <w:rFonts w:ascii="IRNazanin" w:hAnsi="IRNazanin" w:eastAsia="IRNazanin" w:cs="IRNazanin"/>
          <w:lang w:bidi="fa-IR"/>
          <w:color w:val="111111"/>
          <w:sz w:val="28"/>
          <w:szCs w:val="28"/>
          <w:rtl/>
        </w:rPr>
        <w:t xml:space="preserve">خط: نسخ و نستعلیق، بی کا، تا: شعبان ۱۰۷۹ق؛ مصحح، دو شکل نجومی مدور، خانه خانه و مجدول، بعد از برگهای ۱۵ و ۱۸ افتادگی دارد؛ مهر: «يا شفيع ... محشر» (بیضی)، «عمل دست محمد صالح» (بیضی)؛ کاغذ: فرنگی، جلد: میشن قهوه ای، ۲۴گ، ۱۱ سطر (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 قطع: ،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۲۹-۱۴۵]</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شورا؛ شماره نسخه: ۱۵۱۵/۱</w:t>
      </w:r>
    </w:p>
    <w:p>
      <w:pPr>
        <w:pStyle w:val="BookText"/>
      </w:pPr>
      <w:r>
        <w:rPr>
          <w:rFonts w:ascii="IRNazanin" w:hAnsi="IRNazanin" w:eastAsia="IRNazanin" w:cs="IRNazanin"/>
          <w:lang w:bidi="fa-IR"/>
          <w:color w:val="111111"/>
          <w:sz w:val="28"/>
          <w:szCs w:val="28"/>
          <w:rtl/>
        </w:rPr>
        <w:t xml:space="preserve">خط: نستعلیق، بی کا، تا: قرن ۱۲؛ کاغذ: سفید، جلد: تیماج سبز ضربی و مقوایی، ۴۴ص (۱-۴۴)، ۱۷ سطر [سنا: ف: ۲-۳۱۱]</w:t>
      </w:r>
    </w:p>
    <w:p>
      <w:pPr>
        <w:pStyle w:val="BookText"/>
      </w:pPr>
      <w:r>
        <w:rPr>
          <w:rFonts w:ascii="IRNazanin" w:hAnsi="IRNazanin" w:eastAsia="IRNazanin" w:cs="IRNazanin"/>
          <w:lang w:bidi="fa-IR"/>
          <w:color w:val="111111"/>
          <w:sz w:val="28"/>
          <w:szCs w:val="28"/>
          <w:rtl/>
        </w:rPr>
        <w:t xml:space="preserve">۴. تهران؛ مجلس شورا، شماره نسخه:۹۳/۳</w:t>
      </w:r>
    </w:p>
    <w:p>
      <w:pPr>
        <w:pStyle w:val="BookText"/>
      </w:pPr>
      <w:r>
        <w:rPr>
          <w:rFonts w:ascii="IRNazanin" w:hAnsi="IRNazanin" w:eastAsia="IRNazanin" w:cs="IRNazanin"/>
          <w:lang w:bidi="fa-IR"/>
          <w:color w:val="111111"/>
          <w:sz w:val="28"/>
          <w:szCs w:val="28"/>
          <w:rtl/>
        </w:rPr>
        <w:t xml:space="preserve">سرود خط: نسخ، بی کا، تا: ۱۲۳۶ق (نشریه: ۱۳-۴۳۲]</w:t>
      </w:r>
    </w:p>
    <w:p>
      <w:pPr>
        <w:pStyle w:val="BookText"/>
      </w:pPr>
      <w:r>
        <w:rPr>
          <w:rFonts w:ascii="IRNazanin" w:hAnsi="IRNazanin" w:eastAsia="IRNazanin" w:cs="IRNazanin"/>
          <w:lang w:bidi="fa-IR"/>
          <w:color w:val="111111"/>
          <w:sz w:val="28"/>
          <w:szCs w:val="28"/>
          <w:rtl/>
        </w:rPr>
        <w:t xml:space="preserve">۵. تهران؛ ملی ایران، شماره نسخه: ۲۷۱۲/۱</w:t>
      </w:r>
    </w:p>
    <w:p>
      <w:pPr>
        <w:pStyle w:val="BookText"/>
      </w:pPr>
      <w:r>
        <w:rPr>
          <w:rFonts w:ascii="IRNazanin" w:hAnsi="IRNazanin" w:eastAsia="IRNazanin" w:cs="IRNazanin"/>
          <w:lang w:bidi="fa-IR"/>
          <w:color w:val="111111"/>
          <w:sz w:val="28"/>
          <w:szCs w:val="28"/>
          <w:rtl/>
        </w:rPr>
        <w:t xml:space="preserve">آغاز: برابر؛ انجام: شش آواز و بیست و چهار بحر اصول است خط: نستعلیق، بی کا، تا: ۱۲۳۸ق؛ کاغذ: فرنگی، جلد: تیماج قرمز یک لا، ۲۹گ، ۱۱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۶- ۳۲۰]</w:t>
      </w:r>
    </w:p>
    <w:p>
      <w:pPr>
        <w:pStyle w:val="Heading3"/>
      </w:pPr>
      <w:bookmarkStart w:id="1104" w:name="_Toc364"/>
      <w:r>
        <w:t>•تهران؛ ملک؛ شماره نسخه ۱۶۴۸۰</w:t>
      </w:r>
      <w:bookmarkEnd w:id="1104"/>
    </w:p>
    <w:p>
      <w:pPr>
        <w:pStyle w:val="BookText"/>
      </w:pPr>
      <w:r>
        <w:rPr>
          <w:rFonts w:ascii="IRNazanin" w:hAnsi="IRNazanin" w:eastAsia="IRNazanin" w:cs="IRNazanin"/>
          <w:lang w:bidi="fa-IR"/>
          <w:color w:val="111111"/>
          <w:sz w:val="28"/>
          <w:szCs w:val="28"/>
          <w:rtl/>
        </w:rPr>
        <w:t xml:space="preserve">خط: نستعلیق، بی کا، تا: ۱۲۵۹ق؛ کاغذ: ، کاغذ فستقی، جلد: لایی پارچه، ۱۴ برگ، ۲۰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۱۵/۲ سم [ف: ۲-۶۳]</w:t>
      </w:r>
    </w:p>
    <w:p>
      <w:pPr>
        <w:pStyle w:val="BookText"/>
      </w:pPr>
      <w:r>
        <w:rPr>
          <w:rFonts w:ascii="IRNazanin" w:hAnsi="IRNazanin" w:eastAsia="IRNazanin" w:cs="IRNazanin"/>
          <w:lang w:bidi="fa-IR"/>
          <w:color w:val="111111"/>
          <w:sz w:val="28"/>
          <w:szCs w:val="28"/>
          <w:rtl/>
        </w:rPr>
        <w:t xml:space="preserve">۷. مشهد؛ آستان قدس رضوی؛ شماره نسخه: ۱۰۹۴۱/۱</w:t>
      </w:r>
    </w:p>
    <w:p>
      <w:pPr>
        <w:pStyle w:val="BookText"/>
      </w:pPr>
      <w:r>
        <w:rPr>
          <w:rFonts w:ascii="IRNazanin" w:hAnsi="IRNazanin" w:eastAsia="IRNazanin" w:cs="IRNazanin"/>
          <w:lang w:bidi="fa-IR"/>
          <w:color w:val="111111"/>
          <w:sz w:val="28"/>
          <w:szCs w:val="28"/>
          <w:rtl/>
        </w:rPr>
        <w:t xml:space="preserve">آغاز: برابر؛ انجام: این دایره از قول حکما در بیان دوازده مقام و بیست و چهار شعبه و چهل و هشت گوشه و شش آوازه و بیست چهار بحر اصول است.</w:t>
      </w:r>
    </w:p>
    <w:p>
      <w:pPr>
        <w:pStyle w:val="BookText"/>
      </w:pPr>
      <w:r>
        <w:rPr>
          <w:rFonts w:ascii="IRNazanin" w:hAnsi="IRNazanin" w:eastAsia="IRNazanin" w:cs="IRNazanin"/>
          <w:lang w:bidi="fa-IR"/>
          <w:color w:val="111111"/>
          <w:sz w:val="28"/>
          <w:szCs w:val="28"/>
          <w:rtl/>
        </w:rPr>
        <w:t xml:space="preserve">خط: نستعلیق خوش، بی کا، تا: ۱۲۷۰ق؛ کاغذ: فرنگی فستقی روشن، جلد: تیماج خرمایی، ۱۵ سطر ، قطع: ،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۱۸-۱۱۴]</w:t>
      </w:r>
    </w:p>
    <w:p>
      <w:pPr>
        <w:pStyle w:val="BookText"/>
      </w:pPr>
      <w:r>
        <w:rPr>
          <w:rFonts w:ascii="IRNazanin" w:hAnsi="IRNazanin" w:eastAsia="IRNazanin" w:cs="IRNazanin"/>
          <w:lang w:bidi="fa-IR"/>
          <w:color w:val="111111"/>
          <w:sz w:val="28"/>
          <w:szCs w:val="28"/>
          <w:rtl/>
        </w:rPr>
        <w:t xml:space="preserve">۸. مشهد: آستان قدس رضوی؛ شماره نسخه: ۱۲۲۷۱</w:t>
      </w:r>
    </w:p>
    <w:p>
      <w:pPr>
        <w:pStyle w:val="BookText"/>
      </w:pPr>
      <w:r>
        <w:rPr>
          <w:rFonts w:ascii="IRNazanin" w:hAnsi="IRNazanin" w:eastAsia="IRNazanin" w:cs="IRNazanin"/>
          <w:lang w:bidi="fa-IR"/>
          <w:color w:val="111111"/>
          <w:sz w:val="28"/>
          <w:szCs w:val="28"/>
          <w:rtl/>
        </w:rPr>
        <w:t xml:space="preserve">آغاز: برابر؛ انجام: تاقوت دم زدن مرا خواهد بود ... ذیحجه الحرام سنه ۱۲۹۷ خط: نستعلیق، بی کا، تا: ۱۲۷۹ق؛ کاغذ: حنایی، جلد: مقوا، ۱۲ سطر (۱۶۷۹) ، قطع: ،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(الفبائی: 91]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ملی ایران؛ شماره نسخه: ۲۱۴۸/۱</w:t>
      </w:r>
    </w:p>
    <w:p>
      <w:pPr>
        <w:pStyle w:val="BookText"/>
      </w:pPr>
      <w:r>
        <w:rPr>
          <w:rFonts w:ascii="IRNazanin" w:hAnsi="IRNazanin" w:eastAsia="IRNazanin" w:cs="IRNazanin"/>
          <w:lang w:bidi="fa-IR"/>
          <w:color w:val="111111"/>
          <w:sz w:val="28"/>
          <w:szCs w:val="28"/>
          <w:rtl/>
        </w:rPr>
        <w:t xml:space="preserve">آغاز: برابر؛ انجام: این دایره از قول حکماء در بیان دوازده مقام و بیست و چهار شعبه و چهل و هشت گوشه شش او از بیست و چهار بحر اصول است خط: نستعلیق، بی کا، تا: ۱۲۷۹ق، کاغذ: فرنگی، جلد: مقوایی رویه کاغذی عطف و گوشه تیماج قهوه ای، ۴۳ص، ۱۲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۵-۲۰۲]</w:t>
      </w:r>
    </w:p>
    <w:p>
      <w:pPr>
        <w:pStyle w:val="BookText"/>
      </w:pPr>
      <w:r>
        <w:rPr>
          <w:rFonts w:ascii="IRNazanin" w:hAnsi="IRNazanin" w:eastAsia="IRNazanin" w:cs="IRNazanin"/>
          <w:lang w:bidi="fa-IR"/>
          <w:color w:val="111111"/>
          <w:sz w:val="28"/>
          <w:szCs w:val="28"/>
          <w:rtl/>
        </w:rPr>
        <w:t xml:space="preserve">۱۰. تهران؛ ملی ایران، شماره نسخه:۲۳۰۷/۴</w:t>
      </w:r>
    </w:p>
    <w:p>
      <w:pPr>
        <w:pStyle w:val="BookText"/>
      </w:pPr>
      <w:r>
        <w:rPr>
          <w:rFonts w:ascii="IRNazanin" w:hAnsi="IRNazanin" w:eastAsia="IRNazanin" w:cs="IRNazanin"/>
          <w:lang w:bidi="fa-IR"/>
          <w:color w:val="111111"/>
          <w:sz w:val="28"/>
          <w:szCs w:val="28"/>
          <w:rtl/>
        </w:rPr>
        <w:t xml:space="preserve">آغاز: برابر؛ انجام: مخالف مغلوب مرکب و بیات همایون و نهفت نوروز عرب نوروز عجم خط: نسخ و نستعلیق، كا: كا: زین العابدين ابن احمد تبریزی، تا: ۱۲۸۲ق، کاغذ: فرنگی آبی، جلد: تیماج مقوایی، ۳۴ص، ۱۴ سطر(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۵-۴۲۸]</w:t>
      </w:r>
    </w:p>
    <w:p>
      <w:pPr>
        <w:pStyle w:val="BookText"/>
      </w:pPr>
      <w:r>
        <w:rPr>
          <w:rFonts w:ascii="IRNazanin" w:hAnsi="IRNazanin" w:eastAsia="IRNazanin" w:cs="IRNazanin"/>
          <w:lang w:bidi="fa-IR"/>
          <w:color w:val="111111"/>
          <w:sz w:val="28"/>
          <w:szCs w:val="28"/>
          <w:rtl/>
        </w:rPr>
        <w:t xml:space="preserve">۱۱. تهران، دانشگاه تهران؛ شماره نسخه:۱۹۹/۳</w:t>
      </w:r>
    </w:p>
    <w:p>
      <w:pPr>
        <w:pStyle w:val="BookText"/>
      </w:pPr>
      <w:r>
        <w:rPr>
          <w:rFonts w:ascii="IRNazanin" w:hAnsi="IRNazanin" w:eastAsia="IRNazanin" w:cs="IRNazanin"/>
          <w:lang w:bidi="fa-IR"/>
          <w:color w:val="111111"/>
          <w:sz w:val="28"/>
          <w:szCs w:val="28"/>
          <w:rtl/>
        </w:rPr>
        <w:t xml:space="preserve">آغاز: برابر ؛ انجام: بوسلیک، حسینی، حجاز، نوا، کوچک، بزرک، رهاوی. تمت الرسالة بعون الملک الوهاب. ؛ خط: نستعلیق، كا: كا: محمد علی، تا: ۱۲۸۷ق؛ در پایان دارد این دائره از قول حکما در بیان دوازده مقام و بیست و چهار شعبه و هشت گوشه و شش اداره و بیست و چهار بحر اصول»؛ کاغذ: فرنگی، جلد: تیماج زرد مقوایی تازه، ۷۸گ، ۱۲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۴-۸۳۹]</w:t>
      </w:r>
    </w:p>
    <w:p>
      <w:pPr>
        <w:pStyle w:val="BookText"/>
      </w:pPr>
      <w:r>
        <w:rPr>
          <w:rFonts w:ascii="IRNazanin" w:hAnsi="IRNazanin" w:eastAsia="IRNazanin" w:cs="IRNazanin"/>
          <w:lang w:bidi="fa-IR"/>
          <w:color w:val="111111"/>
          <w:sz w:val="28"/>
          <w:szCs w:val="28"/>
          <w:rtl/>
        </w:rPr>
        <w:t xml:space="preserve">۱۲. تهران؛ سپهسالار( شهید مطهری)؛ شماره نسخه:۶۹۸</w:t>
      </w:r>
    </w:p>
    <w:p>
      <w:pPr>
        <w:pStyle w:val="BookText"/>
      </w:pPr>
      <w:r>
        <w:rPr>
          <w:rFonts w:ascii="IRNazanin" w:hAnsi="IRNazanin" w:eastAsia="IRNazanin" w:cs="IRNazanin"/>
          <w:lang w:bidi="fa-IR"/>
          <w:color w:val="111111"/>
          <w:sz w:val="28"/>
          <w:szCs w:val="28"/>
          <w:rtl/>
        </w:rPr>
        <w:t xml:space="preserve">خط: نستعلیق، بی کا، تا: ۱۲۹۵ق؛ تصویر چند آلت موسیقی و یک دائرة مقام های موسیقی؛ کاغذ: فرنگی سفید، جلد: تیماج، ۲۹گ (۲پ - ۳۰ر)، ۱۴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۳-۲۶۲]</w:t>
      </w:r>
    </w:p>
    <w:p>
      <w:pPr>
        <w:pStyle w:val="BookText"/>
      </w:pPr>
      <w:r>
        <w:rPr>
          <w:rFonts w:ascii="IRNazanin" w:hAnsi="IRNazanin" w:eastAsia="IRNazanin" w:cs="IRNazanin"/>
          <w:lang w:bidi="fa-IR"/>
          <w:color w:val="111111"/>
          <w:sz w:val="28"/>
          <w:szCs w:val="28"/>
          <w:rtl/>
        </w:rPr>
        <w:t xml:space="preserve">۱۳. تهران؛ مجلس شورا؛ شماره نسخه: ۳۷۸/۱</w:t>
      </w:r>
    </w:p>
    <w:p>
      <w:pPr>
        <w:pStyle w:val="BookText"/>
      </w:pPr>
      <w:r>
        <w:rPr>
          <w:rFonts w:ascii="IRNazanin" w:hAnsi="IRNazanin" w:eastAsia="IRNazanin" w:cs="IRNazanin"/>
          <w:lang w:bidi="fa-IR"/>
          <w:color w:val="111111"/>
          <w:sz w:val="28"/>
          <w:szCs w:val="28"/>
          <w:rtl/>
        </w:rPr>
        <w:t xml:space="preserve">خط: نسخ، كا: رابینودی گوماله، تا: قرن ۱۴؛ در دو مجلد که برای چاپ آماده کرده بوده است؛ کاغذ: آبی خط دار، جلد: گالینگور، ۳۸برگ، ، ۲۳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 سطر ، قطع: ، اندازه: ۳۱۷۱۹سم [سنا: ف: ۱-۲۱۶]</w:t>
      </w:r>
    </w:p>
    <w:p>
      <w:pPr>
        <w:pStyle w:val="BookText"/>
      </w:pPr>
      <w:r>
        <w:rPr>
          <w:rFonts w:ascii="IRNazanin" w:hAnsi="IRNazanin" w:eastAsia="IRNazanin" w:cs="IRNazanin"/>
          <w:lang w:bidi="fa-IR"/>
          <w:color w:val="111111"/>
          <w:sz w:val="28"/>
          <w:szCs w:val="28"/>
          <w:rtl/>
        </w:rPr>
        <w:t xml:space="preserve">تهران؛ دانشگاه تهران شماره نسخه: ۶۰۱۱-عکس</w:t>
      </w:r>
    </w:p>
    <w:p>
      <w:pPr>
        <w:pStyle w:val="BookText"/>
      </w:pPr>
      <w:r>
        <w:rPr>
          <w:rFonts w:ascii="Amiri" w:hAnsi="Amiri" w:eastAsia="Amiri" w:cs="Amiri"/>
          <w:lang w:bidi="ar-SA"/>
          <w:color w:val="111111"/>
          <w:sz w:val="28"/>
          <w:szCs w:val="28"/>
          <w:rtl/>
        </w:rPr>
        <w:t xml:space="preserve">نسخه اصل: همان نسخه بالا [فيلمها ف: ۲-۲۳۷]</w:t>
      </w:r>
    </w:p>
    <w:p>
      <w:pPr>
        <w:pStyle w:val="BookText"/>
      </w:pPr>
      <w:r>
        <w:rPr>
          <w:rFonts w:ascii="IRNazanin" w:hAnsi="IRNazanin" w:eastAsia="IRNazanin" w:cs="IRNazanin"/>
          <w:lang w:bidi="fa-IR"/>
          <w:color w:val="111111"/>
          <w:sz w:val="28"/>
          <w:szCs w:val="28"/>
          <w:rtl/>
        </w:rPr>
        <w:t xml:space="preserve">تهران؛ کتابخانه (پژوهشگاه) مؤسسه مطالعات و تحقیقات فرهنگی؛ شماره نسخه:ف ۶ و ۷</w:t>
      </w:r>
    </w:p>
    <w:p>
      <w:pPr>
        <w:pStyle w:val="BookText"/>
      </w:pPr>
      <w:r>
        <w:rPr>
          <w:rFonts w:ascii="IRNazanin" w:hAnsi="IRNazanin" w:eastAsia="IRNazanin" w:cs="IRNazanin"/>
          <w:lang w:bidi="fa-IR"/>
          <w:color w:val="111111"/>
          <w:sz w:val="28"/>
          <w:szCs w:val="28"/>
          <w:rtl/>
        </w:rPr>
        <w:t xml:space="preserve">همان نسخه بالا [فهرستواره مینوی: ۱۶۳]</w:t>
      </w:r>
    </w:p>
    <w:p>
      <w:pPr>
        <w:pStyle w:val="BookText"/>
      </w:pPr>
      <w:r>
        <w:rPr>
          <w:rFonts w:ascii="IRNazanin" w:hAnsi="IRNazanin" w:eastAsia="IRNazanin" w:cs="IRNazanin"/>
          <w:lang w:bidi="fa-IR"/>
          <w:color w:val="111111"/>
          <w:sz w:val="28"/>
          <w:szCs w:val="28"/>
          <w:rtl/>
        </w:rPr>
        <w:t xml:space="preserve">۱۴. تهران، ملک؛ شماره نسخه: ۴۹۴/۵</w:t>
      </w:r>
    </w:p>
    <w:p>
      <w:pPr>
        <w:pStyle w:val="BookText"/>
      </w:pPr>
      <w:r>
        <w:rPr>
          <w:rFonts w:ascii="IRNazanin" w:hAnsi="IRNazanin" w:eastAsia="IRNazanin" w:cs="IRNazanin"/>
          <w:lang w:bidi="fa-IR"/>
          <w:color w:val="111111"/>
          <w:sz w:val="28"/>
          <w:szCs w:val="28"/>
          <w:rtl/>
        </w:rPr>
        <w:t xml:space="preserve">آغاز: و بعد چنین گوید (نام مؤلف) که چون طبع سلطان السلاطین سلطان محمود غزنوی را راغب و مایل بعلم شریف موسیقی دید؛ انجام: و هر گاه استادان خواسته باشند آزمایش کنند و قوت و قدرت یکدیگر معلوم کنند از آن معلوم کنند و السلام علی من اتبع الهدی</w:t>
      </w:r>
    </w:p>
    <w:p>
      <w:pPr>
        <w:pStyle w:val="BookText"/>
      </w:pPr>
      <w:r>
        <w:rPr>
          <w:rFonts w:ascii="IRNazanin" w:hAnsi="IRNazanin" w:eastAsia="IRNazanin" w:cs="IRNazanin"/>
          <w:lang w:bidi="fa-IR"/>
          <w:color w:val="111111"/>
          <w:sz w:val="28"/>
          <w:szCs w:val="28"/>
          <w:rtl/>
        </w:rPr>
        <w:t xml:space="preserve">خط: نستعلیق، بی کا، تا: قرن ۱۴؛ کاغذ: فرنگی، جلد: میشن مشکی، ۳۸ص (۲۳۹-۲۷۷)، ۱۹ سطر، اندازه:</w:t>
      </w:r>
    </w:p>
    <w:p>
      <w:pPr>
        <w:pStyle w:val="BookText"/>
      </w:pPr>
      <w:r>
        <w:rPr>
          <w:rFonts w:ascii="IRNazanin" w:hAnsi="IRNazanin" w:eastAsia="IRNazanin" w:cs="IRNazanin"/>
          <w:lang w:bidi="fa-IR"/>
          <w:color w:val="111111"/>
          <w:sz w:val="28"/>
          <w:szCs w:val="28"/>
          <w:rtl/>
        </w:rPr>
        <w:t xml:space="preserve">۲۱/۶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سم [ف: ۵-۴۵]</w:t>
      </w:r>
    </w:p>
    <w:p>
      <w:pPr>
        <w:pStyle w:val="BookText"/>
      </w:pPr>
      <w:r>
        <w:rPr>
          <w:rFonts w:ascii="IRNazanin" w:hAnsi="IRNazanin" w:eastAsia="IRNazanin" w:cs="IRNazanin"/>
          <w:lang w:bidi="fa-IR"/>
          <w:color w:val="111111"/>
          <w:sz w:val="28"/>
          <w:szCs w:val="28"/>
          <w:rtl/>
        </w:rPr>
        <w:t xml:space="preserve">تهران؛ دانشگاه تهران، شماره نسخه: ۳۰۱۱/۵ -ف</w:t>
      </w:r>
    </w:p>
    <w:p>
      <w:pPr>
        <w:pStyle w:val="BookText"/>
      </w:pPr>
      <w:r>
        <w:rPr>
          <w:rFonts w:ascii="Amiri" w:hAnsi="Amiri" w:eastAsia="Amiri" w:cs="Amiri"/>
          <w:lang w:bidi="ar-SA"/>
          <w:color w:val="111111"/>
          <w:sz w:val="28"/>
          <w:szCs w:val="28"/>
          <w:rtl/>
        </w:rPr>
        <w:t xml:space="preserve">نسخه اصل: همان نسخه بالا [فيلمها ف: ۱-۷۸۱]</w:t>
      </w:r>
    </w:p>
    <w:p>
      <w:pPr>
        <w:pStyle w:val="BookText"/>
      </w:pPr>
      <w:r>
        <w:rPr>
          <w:rFonts w:ascii="IRNazanin" w:hAnsi="IRNazanin" w:eastAsia="IRNazanin" w:cs="IRNazanin"/>
          <w:lang w:bidi="fa-IR"/>
          <w:color w:val="111111"/>
          <w:sz w:val="28"/>
          <w:szCs w:val="28"/>
          <w:rtl/>
        </w:rPr>
        <w:t xml:space="preserve">۱۵. مشهد؛ آستان قدس رضوی؛ شماره نسخه: ۱۲۲۴۳/۴</w:t>
      </w:r>
    </w:p>
    <w:p>
      <w:pPr>
        <w:pStyle w:val="BookText"/>
      </w:pPr>
      <w:r>
        <w:rPr>
          <w:rFonts w:ascii="IRNazanin" w:hAnsi="IRNazanin" w:eastAsia="IRNazanin" w:cs="IRNazanin"/>
          <w:lang w:bidi="fa-IR"/>
          <w:color w:val="111111"/>
          <w:sz w:val="28"/>
          <w:szCs w:val="28"/>
          <w:rtl/>
        </w:rPr>
        <w:t xml:space="preserve">آغاز: برابر ؛ انجام: و بیست و چهار بحر اصول است</w:t>
      </w:r>
    </w:p>
    <w:p>
      <w:pPr>
        <w:pStyle w:val="BookText"/>
      </w:pPr>
      <w:r>
        <w:rPr>
          <w:rFonts w:ascii="IRNazanin" w:hAnsi="IRNazanin" w:eastAsia="IRNazanin" w:cs="IRNazanin"/>
          <w:lang w:bidi="fa-IR"/>
          <w:color w:val="111111"/>
          <w:sz w:val="28"/>
          <w:szCs w:val="28"/>
          <w:rtl/>
        </w:rPr>
        <w:t xml:space="preserve">خط: نسخ و نستعلیق مخلوط به شکسته، کا: اسدالله منجم دودانگه هزار جریبی، تا: رجب ۱۳۰۶ق، جان تهران واقف: سید جلال الدین تهرانی، مرداد ۱۳۶۱، کاغذ: حنایی، جلد: تیماج ضربی، ۲۴ص (۸۵-۱۰۸)، ۱۷ سطر، اندازه: ۲۱/۵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۱۴/۵ سم [ف: ۱۷-۴۷۹]</w:t>
      </w:r>
    </w:p>
    <w:p>
      <w:pPr>
        <w:pStyle w:val="BookText"/>
      </w:pPr>
      <w:r>
        <w:rPr>
          <w:rFonts w:ascii="IRNazanin" w:hAnsi="IRNazanin" w:eastAsia="IRNazanin" w:cs="IRNazanin"/>
          <w:lang w:bidi="fa-IR"/>
          <w:color w:val="111111"/>
          <w:sz w:val="28"/>
          <w:szCs w:val="28"/>
          <w:rtl/>
        </w:rPr>
        <w:t xml:space="preserve">۱۶. تهران، دانشگاه تهران؛ شماره نسخه: ۵۸۶۹/۱</w:t>
      </w:r>
    </w:p>
    <w:p>
      <w:pPr>
        <w:pStyle w:val="BookText"/>
      </w:pPr>
      <w:r>
        <w:rPr>
          <w:rFonts w:ascii="IRNazanin" w:hAnsi="IRNazanin" w:eastAsia="IRNazanin" w:cs="IRNazanin"/>
          <w:lang w:bidi="fa-IR"/>
          <w:color w:val="111111"/>
          <w:sz w:val="28"/>
          <w:szCs w:val="28"/>
          <w:rtl/>
        </w:rPr>
        <w:t xml:space="preserve">خط: نستعلیق، كا: كا: معز سجادی، تا: ۱۳۱۴ق، کاغذ: فرنگی، جلد: مقوا، ۱۰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قطع: ربعی</w:t>
      </w:r>
    </w:p>
    <w:p>
      <w:pPr>
        <w:pStyle w:val="BookText"/>
      </w:pPr>
      <w:r>
        <w:rPr>
          <w:rFonts w:ascii="IRNazanin" w:hAnsi="IRNazanin" w:eastAsia="IRNazanin" w:cs="IRNazanin"/>
          <w:lang w:bidi="fa-IR"/>
          <w:color w:val="111111"/>
          <w:sz w:val="28"/>
          <w:szCs w:val="28"/>
          <w:rtl/>
        </w:rPr>
        <w:t xml:space="preserve">[ف: ۱۶-۱۱۵]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23" w:name="pg20363_209307"/>
    <w:bookmarkEnd w:id="123"/>
    <w:p>
      <w:pPr>
        <w:pStyle w:val="BookText"/>
      </w:pPr>
      <w:r>
        <w:rPr>
          <w:rFonts w:ascii="IRNazanin" w:hAnsi="IRNazanin" w:eastAsia="IRNazanin" w:cs="IRNazanin"/>
          <w:lang w:bidi="fa-IR"/>
          <w:color w:val="111111"/>
          <w:sz w:val="28"/>
          <w:szCs w:val="28"/>
          <w:rtl/>
        </w:rPr>
        <w:t xml:space="preserve">۱۷. تهران؛ مجلس شورا؛ شماره نسخه: ۳۴۵۵/۳۰۲</w:t>
      </w:r>
    </w:p>
    <w:p>
      <w:pPr>
        <w:pStyle w:val="BookText"/>
      </w:pPr>
      <w:r>
        <w:rPr>
          <w:rFonts w:ascii="IRNazanin" w:hAnsi="IRNazanin" w:eastAsia="IRNazanin" w:cs="IRNazanin"/>
          <w:lang w:bidi="fa-IR"/>
          <w:color w:val="111111"/>
          <w:sz w:val="28"/>
          <w:szCs w:val="28"/>
          <w:rtl/>
        </w:rPr>
        <w:t xml:space="preserve">آغاز: برابر؛ انجام: نوروز عرب نوروز عجم ... تمت الرساله ۱۶جمادی الاول سنه ۱۱۳۹ بی کا، بی تا؛ جلد: تیماج یک لا قرمز، ۲گ (۴۳۹-۴۴۰)، قطع: بیاضی،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۱۰-۱۳۸۱]</w:t>
      </w:r>
    </w:p>
    <w:p>
      <w:pPr>
        <w:pStyle w:val="BookText"/>
      </w:pPr>
      <w:r>
        <w:rPr>
          <w:rFonts w:ascii="IRNazanin" w:hAnsi="IRNazanin" w:eastAsia="IRNazanin" w:cs="IRNazanin"/>
          <w:lang w:bidi="fa-IR"/>
          <w:color w:val="111111"/>
          <w:sz w:val="28"/>
          <w:szCs w:val="28"/>
          <w:rtl/>
        </w:rPr>
        <w:t xml:space="preserve">۱۸. تهران؛ باقر رقت (ترقی)؛ شماره نسخه:بدون شماره/1</w:t>
      </w:r>
    </w:p>
    <w:p>
      <w:pPr>
        <w:pStyle w:val="BookText"/>
      </w:pPr>
      <w:r>
        <w:rPr>
          <w:rFonts w:ascii="IRNazanin" w:hAnsi="IRNazanin" w:eastAsia="IRNazanin" w:cs="IRNazanin"/>
          <w:lang w:bidi="fa-IR"/>
          <w:color w:val="111111"/>
          <w:sz w:val="28"/>
          <w:szCs w:val="28"/>
          <w:rtl/>
        </w:rPr>
        <w:t xml:space="preserve">بی کا، بی تا؛ از زبان تازی و یونانی به لفظ مسلسل فارسی نقل کردم ... و به ده باب و مقدمه و خاتمه پرداختم (میراث اسلامی: ۵-۶۲۵]</w:t>
      </w:r>
    </w:p>
    <w:p>
      <w:pPr>
        <w:pStyle w:val="BookText"/>
      </w:pPr>
      <w:r>
        <w:rPr>
          <w:rFonts w:ascii="IRNazanin" w:hAnsi="IRNazanin" w:eastAsia="IRNazanin" w:cs="IRNazanin"/>
          <w:lang w:bidi="fa-IR"/>
          <w:color w:val="111111"/>
          <w:sz w:val="28"/>
          <w:szCs w:val="28"/>
          <w:rtl/>
        </w:rPr>
        <w:t xml:space="preserve">۱۹. تهران؛ ملک؛ شماره نسخه: ۶۱۹۳/۱۲</w:t>
      </w:r>
    </w:p>
    <w:p>
      <w:pPr>
        <w:pStyle w:val="BookText"/>
      </w:pPr>
      <w:r>
        <w:rPr>
          <w:rFonts w:ascii="IRNazanin" w:hAnsi="IRNazanin" w:eastAsia="IRNazanin" w:cs="IRNazanin"/>
          <w:lang w:bidi="fa-IR"/>
          <w:color w:val="111111"/>
          <w:sz w:val="28"/>
          <w:szCs w:val="28"/>
          <w:rtl/>
        </w:rPr>
        <w:t xml:space="preserve">آغاز: برابر؛ انجام: و چهل و هشت گوشه و شش آوازه و بیست و چهار بحر اصول است (سپس یک دایره)</w:t>
      </w:r>
    </w:p>
    <w:p>
      <w:pPr>
        <w:pStyle w:val="BookText"/>
      </w:pPr>
      <w:r>
        <w:rPr>
          <w:rFonts w:ascii="IRNazanin" w:hAnsi="IRNazanin" w:eastAsia="IRNazanin" w:cs="IRNazanin"/>
          <w:lang w:bidi="fa-IR"/>
          <w:color w:val="111111"/>
          <w:sz w:val="28"/>
          <w:szCs w:val="28"/>
          <w:rtl/>
        </w:rPr>
        <w:t xml:space="preserve">خط: نستعلیق، بی کا، بی تا، کاغذ:فرنگی، جلد: میشن قهوه ای، ۱۷گ (۱۸۸پ ۲۰۵پ) ، ۱۷ سطر ، اندازه: ۱۷/۳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سم [ف: ۹-۲۴۱]</w:t>
      </w:r>
    </w:p>
    <w:p>
      <w:pPr>
        <w:pStyle w:val="BookText"/>
      </w:pPr>
      <w:r>
        <w:rPr>
          <w:rFonts w:ascii="IRNazanin" w:hAnsi="IRNazanin" w:eastAsia="IRNazanin" w:cs="IRNazanin"/>
          <w:lang w:bidi="fa-IR"/>
          <w:color w:val="111111"/>
          <w:sz w:val="28"/>
          <w:szCs w:val="28"/>
          <w:rtl/>
        </w:rPr>
        <w:t xml:space="preserve">۲۰. تهران؛ سپهسالار شهید مطهری)؛ شماره نسخه:۲۸۶۹/۵</w:t>
      </w:r>
    </w:p>
    <w:p>
      <w:pPr>
        <w:pStyle w:val="BookText"/>
      </w:pPr>
      <w:r>
        <w:rPr>
          <w:rFonts w:ascii="IRNazanin" w:hAnsi="IRNazanin" w:eastAsia="IRNazanin" w:cs="IRNazanin"/>
          <w:lang w:bidi="fa-IR"/>
          <w:color w:val="111111"/>
          <w:sz w:val="28"/>
          <w:szCs w:val="28"/>
          <w:rtl/>
        </w:rPr>
        <w:t xml:space="preserve">آغاز: برابر؛ انجام: نوروز عرب. نوروز عجم. شهناز. بی زمزمه عشق نخواهم بودن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تا دمزدن نفس مرا خواهد بود در فهرست ناشناس آمده؛ بی کا، بی تا؛ در حاشیه صفحه نخستین اعتضاد السلطنه درباره ساختگی بودن این کتاب سخنانی دارد؛ کاغذ: فرنگی سفید، جلد: تیماج سبز زرکوب مقوایی، ۲۲گ ( ۱۷۹-۱۵۸ پ)، ۱۲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 [ف: ۳-۲۶۱]</w:t>
      </w:r>
    </w:p>
    <w:p>
      <w:pPr>
        <w:pStyle w:val="BookText"/>
      </w:pPr>
      <w:r>
        <w:rPr>
          <w:rFonts w:ascii="IRNazanin" w:hAnsi="IRNazanin" w:eastAsia="IRNazanin" w:cs="IRNazanin"/>
          <w:lang w:bidi="fa-IR"/>
          <w:color w:val="111111"/>
          <w:sz w:val="28"/>
          <w:szCs w:val="28"/>
          <w:rtl/>
        </w:rPr>
        <w:t xml:space="preserve">۲۱. تهران، ملک؛ شماره نسخه: ۸۳۳/۱</w:t>
      </w:r>
    </w:p>
    <w:p>
      <w:pPr>
        <w:pStyle w:val="BookText"/>
      </w:pPr>
      <w:r>
        <w:rPr>
          <w:rFonts w:ascii="IRNazanin" w:hAnsi="IRNazanin" w:eastAsia="IRNazanin" w:cs="IRNazanin"/>
          <w:lang w:bidi="fa-IR"/>
          <w:color w:val="111111"/>
          <w:sz w:val="28"/>
          <w:szCs w:val="28"/>
          <w:rtl/>
        </w:rPr>
        <w:t xml:space="preserve">خط: نستعلیق، بی کا، بی تا، کاغذ: آهار مهره فرنگی، جلد: میشن قهوه ای نو، ۲۲گ (۱پ -۲۳پ)، ۱۲ سطر، اندازه: ۱۵/۶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۲۱/۷سم [ف: ۵-۲۰۴]</w:t>
      </w:r>
    </w:p>
    <w:p>
      <w:pPr>
        <w:pStyle w:val="Heading3"/>
      </w:pPr>
      <w:bookmarkStart w:id="1105" w:name="_Toc365"/>
      <w:r>
        <w:t>• بهجة الروح (ترجمه) / موسیقی / انگلیسی</w:t>
      </w:r>
      <w:bookmarkEnd w:id="1105"/>
    </w:p>
    <w:p>
      <w:pPr>
        <w:pStyle w:val="BookText"/>
      </w:pPr>
      <w:r>
        <w:rPr>
          <w:rFonts w:ascii="Times New Roman" w:hAnsi="Times New Roman" w:eastAsia="Times New Roman" w:cs="Times New Roman"/>
          <w:lang w:val="en-US" w:bidi="en-US"/>
          <w:color w:val="111111"/>
          <w:sz w:val="28"/>
          <w:szCs w:val="28"/>
          <w:rtl/>
        </w:rPr>
        <w:t xml:space="preserve">bahjat-or rūh (t.)</w:t>
      </w:r>
    </w:p>
    <w:p>
      <w:pPr>
        <w:pStyle w:val="BookText"/>
      </w:pPr>
      <w:r>
        <w:rPr>
          <w:rFonts w:ascii="IRNazanin" w:hAnsi="IRNazanin" w:eastAsia="IRNazanin" w:cs="IRNazanin"/>
          <w:lang w:bidi="fa-IR"/>
          <w:color w:val="111111"/>
          <w:sz w:val="28"/>
          <w:szCs w:val="28"/>
          <w:rtl/>
        </w:rPr>
        <w:t xml:space="preserve">جرجانی، عبد المؤمن بن صفی الدین، ق ۵ قمری</w:t>
      </w:r>
    </w:p>
    <w:p>
      <w:pPr>
        <w:pStyle w:val="BookText"/>
      </w:pPr>
      <w:r>
        <w:rPr>
          <w:rFonts w:ascii="Times New Roman" w:hAnsi="Times New Roman" w:eastAsia="Times New Roman" w:cs="Times New Roman"/>
          <w:lang w:val="en-US" w:bidi="en-US"/>
          <w:color w:val="111111"/>
          <w:sz w:val="28"/>
          <w:szCs w:val="28"/>
          <w:rtl/>
        </w:rPr>
        <w:t xml:space="preserve">jorjānī, ‘abd-ol-mo’men ebn-e safī-od-dīn (- 11c)</w:t>
      </w:r>
    </w:p>
    <w:p>
      <w:pPr>
        <w:pStyle w:val="BookText"/>
      </w:pPr>
      <w:r>
        <w:rPr>
          <w:rFonts w:ascii="IRNazanin" w:hAnsi="IRNazanin" w:eastAsia="IRNazanin" w:cs="IRNazanin"/>
          <w:lang w:bidi="fa-IR"/>
          <w:color w:val="111111"/>
          <w:sz w:val="28"/>
          <w:szCs w:val="28"/>
          <w:rtl/>
        </w:rPr>
        <w:t xml:space="preserve">مترجم: رابینو ، یاسنت لویی ۱۸۷۷- ۱۹۵۰ میلادی</w:t>
      </w:r>
    </w:p>
    <w:p>
      <w:pPr>
        <w:pStyle w:val="BookText"/>
      </w:pPr>
      <w:r>
        <w:rPr>
          <w:rFonts w:ascii="IRNazanin" w:hAnsi="IRNazanin" w:eastAsia="IRNazanin" w:cs="IRNazanin"/>
          <w:lang w:bidi="fa-IR"/>
          <w:color w:val="111111"/>
          <w:sz w:val="28"/>
          <w:szCs w:val="28"/>
          <w:rtl/>
        </w:rPr>
        <w:t xml:space="preserve">وابسته به: بهجت الروح و قوت الأرواح = بهجة الأرواح جرجانی، عبدالمؤمن بن صفي الدين (قرن ۵ قمری)  از رابینو در ۱۹۴۳</w:t>
      </w:r>
    </w:p>
    <w:p>
      <w:pPr>
        <w:pStyle w:val="BookText"/>
      </w:pPr>
      <w:r>
        <w:rPr>
          <w:rFonts w:ascii="IRNazanin" w:hAnsi="IRNazanin" w:eastAsia="IRNazanin" w:cs="IRNazanin"/>
          <w:lang w:bidi="fa-IR"/>
          <w:color w:val="111111"/>
          <w:sz w:val="28"/>
          <w:szCs w:val="28"/>
          <w:rtl/>
        </w:rPr>
        <w:t xml:space="preserve">تهران؛ مجلس؛ شماره نسخه: ۳۷۸/۲</w:t>
      </w:r>
    </w:p>
    <w:p>
      <w:pPr>
        <w:pStyle w:val="BookText"/>
      </w:pPr>
      <w:r>
        <w:rPr>
          <w:rFonts w:ascii="IRNazanin" w:hAnsi="IRNazanin" w:eastAsia="IRNazanin" w:cs="IRNazanin"/>
          <w:lang w:bidi="fa-IR"/>
          <w:color w:val="111111"/>
          <w:sz w:val="28"/>
          <w:szCs w:val="28"/>
          <w:rtl/>
        </w:rPr>
        <w:t xml:space="preserve">خط: نسخ، كا: رابینودی گوماله، بی تا؛ دیباچه آن در آغاز چاپ تهران ترجمه شده است؛ کاغذ سفید، جلد: مخمل قهوه ای مقوایی، ۷۵گ، ۳۶ سطر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[سنا: ف: ۱-۲۱۶]</w:t>
      </w:r>
    </w:p>
    <w:p>
      <w:pPr>
        <w:pStyle w:val="Heading3"/>
      </w:pPr>
      <w:bookmarkStart w:id="1106" w:name="_Toc366"/>
      <w:r>
        <w:t>•بهجة الرؤساء در علاج امراض النساء / طب / فارسی</w:t>
      </w:r>
      <w:bookmarkEnd w:id="1106"/>
    </w:p>
    <w:p>
      <w:pPr>
        <w:pStyle w:val="BookText"/>
      </w:pPr>
      <w:r>
        <w:rPr>
          <w:rFonts w:ascii="Times New Roman" w:hAnsi="Times New Roman" w:eastAsia="Times New Roman" w:cs="Times New Roman"/>
          <w:lang w:val="en-US" w:bidi="en-US"/>
          <w:color w:val="111111"/>
          <w:sz w:val="28"/>
          <w:szCs w:val="28"/>
          <w:rtl/>
        </w:rPr>
        <w:t xml:space="preserve">bahjat-or ro'asā' dar ‘alāj-e amrāz-e nesā’</w:t>
      </w:r>
    </w:p>
    <w:p>
      <w:pPr>
        <w:pStyle w:val="BookText"/>
      </w:pPr>
      <w:r>
        <w:rPr>
          <w:rFonts w:ascii="IRNazanin" w:hAnsi="IRNazanin" w:eastAsia="IRNazanin" w:cs="IRNazanin"/>
          <w:lang w:bidi="fa-IR"/>
          <w:color w:val="111111"/>
          <w:sz w:val="28"/>
          <w:szCs w:val="28"/>
          <w:rtl/>
        </w:rPr>
        <w:t xml:space="preserve">باید ترجمه باشد از بهجة الرؤساء في علاج امراض النساء احمد افندي بن حسن بن علی رشیدی حکیم مصری (-۱۲۸۲ ق) که در بولاق در ۱۲۶۰ به چاپ رسیده است؛ مشتمل است بر: فصل اول، در بیان امراض فرج، مشتمل بر پنج مقاله: مقاله ۱. امراض شفرين كبيرين در ده مبحث»: ۱) عدم شفرين كبيرين، ۲) التصاق شفرين كبيرين، ۳) جروح شفرين كبيرين، ۴) کوبیده شدن شفرین کبیرین، ۵) التهاب شفرین کبیرین، ۶) ادویماء شفرین کبیرین (قسمتی از استسقاء موضعی)، ۸) اكياس شفرين کبیرین، ۹) اورام ليفيه شفرين كبيرين، ۱۰) دوالی شفرين کبیرین؛ مقاله ۲. امراض شفرين صغرين در چهار «مبحث»: ۱) طول مفرط شفرين صغرين، ۲) التصاق شفرين صغرين، ۳) التهاب شفرين صغرين، ۴) اورام فطریه در شفرين صغرين؛ مقاله ٣. امراض بظر، در سه «مبحث»؛ ۱) طول بظر بافراط، ۲) التهاب بظر، 3) سرطان بظر؛ مقاله ۴. امراض مجرای بول در دو «مبحث»: ۱) انسداد مجرای بول، ۲) سرطان ابتدای مجرای بول؛ مقاله ۵. امراض عامه بر جميع اجزاء فرج در چهار «مبحث»: ۱) حمره فرج، ۲) حکه فرج، 3) قروح اکاله زهریه در فرج، ۴) تولدات زهریه در فرج؛ فصل ثانی در بیان امراض مهبل در نه مقاله: مقاله 1. عیوب متكونه در مهبل در پنج «مبحث»: ۱) ضيق مهبل خلقا و یا بر سبيل عرض (بقیه را ناقص است).</w:t>
      </w:r>
    </w:p>
    <w:p>
      <w:pPr>
        <w:pStyle w:val="BookText"/>
      </w:pPr>
      <w:r>
        <w:rPr>
          <w:rFonts w:ascii="IRNazanin" w:hAnsi="IRNazanin" w:eastAsia="IRNazanin" w:cs="IRNazanin"/>
          <w:lang w:bidi="fa-IR"/>
          <w:color w:val="111111"/>
          <w:sz w:val="28"/>
          <w:szCs w:val="28"/>
          <w:rtl/>
        </w:rPr>
        <w:t xml:space="preserve">تهران؛ علوم پزشکی؛ شماره نسخه: ۵۴</w:t>
      </w:r>
    </w:p>
    <w:p>
      <w:pPr>
        <w:pStyle w:val="BookText"/>
      </w:pPr>
      <w:r>
        <w:rPr>
          <w:rFonts w:ascii="IRNazanin" w:hAnsi="IRNazanin" w:eastAsia="IRNazanin" w:cs="IRNazanin"/>
          <w:lang w:bidi="fa-IR"/>
          <w:color w:val="111111"/>
          <w:sz w:val="28"/>
          <w:szCs w:val="28"/>
          <w:rtl/>
        </w:rPr>
        <w:t xml:space="preserve">آغاز: چون تما شد جمع نمودن و نوشتن این کتاب و تصحیح و پاکیزگی آن نامیده شد ببهجة الروسا در علاج امراض النسا؛ انجام: جدول است و آخرین کلمه آن: «سمیت و تریاقیست» می باشد.</w:t>
      </w:r>
    </w:p>
    <w:p>
      <w:pPr>
        <w:pStyle w:val="BookText"/>
      </w:pPr>
      <w:r>
        <w:rPr>
          <w:rFonts w:ascii="IRNazanin" w:hAnsi="IRNazanin" w:eastAsia="IRNazanin" w:cs="IRNazanin"/>
          <w:lang w:bidi="fa-IR"/>
          <w:color w:val="111111"/>
          <w:sz w:val="28"/>
          <w:szCs w:val="28"/>
          <w:rtl/>
        </w:rPr>
        <w:t xml:space="preserve">خط: نستعلیق، بی کا، تا: قرن ۱۳؛ افتادگی: آغاز؛ بیست و هشت کتاب در جدول طلا و آبی؛ ۲۶۴ ص، ۲۳ سطر، اندازه: 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[نشریه: ۳-۳۰۳]</w:t>
      </w:r>
    </w:p>
    <w:p>
      <w:pPr>
        <w:pStyle w:val="Heading3"/>
      </w:pPr>
      <w:bookmarkStart w:id="1107" w:name="_Toc367"/>
      <w:r>
        <w:t>•بهجة السنية في شرح دعوه الجلجلوتيه / دعا / عربی</w:t>
      </w:r>
      <w:bookmarkEnd w:id="1107"/>
    </w:p>
    <w:p>
      <w:pPr>
        <w:pStyle w:val="BookText"/>
      </w:pPr>
      <w:r>
        <w:rPr>
          <w:rFonts w:ascii="Times New Roman" w:hAnsi="Times New Roman" w:eastAsia="Times New Roman" w:cs="Times New Roman"/>
          <w:lang w:val="en-US" w:bidi="en-US"/>
          <w:color w:val="111111"/>
          <w:sz w:val="28"/>
          <w:szCs w:val="28"/>
          <w:rtl/>
        </w:rPr>
        <w:t xml:space="preserve">bahjat-us sanīyya fī š.-i da'wat-il juljulwtīyih</w:t>
      </w:r>
    </w:p>
    <w:p>
      <w:pPr>
        <w:pStyle w:val="BookText"/>
      </w:pPr>
      <w:r>
        <w:rPr>
          <w:rFonts w:ascii="IRNazanin" w:hAnsi="IRNazanin" w:eastAsia="IRNazanin" w:cs="IRNazanin"/>
          <w:lang w:bidi="fa-IR"/>
          <w:color w:val="111111"/>
          <w:sz w:val="28"/>
          <w:szCs w:val="28"/>
          <w:rtl/>
        </w:rPr>
        <w:t xml:space="preserve">اخلاطی، حسین بن علی، ق ۹ قمری</w:t>
      </w:r>
    </w:p>
    <w:p>
      <w:pPr>
        <w:pStyle w:val="BookText"/>
      </w:pPr>
      <w:r>
        <w:rPr>
          <w:rFonts w:ascii="Times New Roman" w:hAnsi="Times New Roman" w:eastAsia="Times New Roman" w:cs="Times New Roman"/>
          <w:lang w:val="en-US" w:bidi="en-US"/>
          <w:color w:val="111111"/>
          <w:sz w:val="28"/>
          <w:szCs w:val="28"/>
          <w:rtl/>
        </w:rPr>
        <w:t xml:space="preserve">axlātī, hoseyn ebn-e 'alī (- 15c)</w:t>
      </w:r>
    </w:p>
    <w:p>
      <w:pPr>
        <w:pStyle w:val="BookText"/>
      </w:pPr>
      <w:r>
        <w:rPr>
          <w:rFonts w:ascii="IRNazanin" w:hAnsi="IRNazanin" w:eastAsia="IRNazanin" w:cs="IRNazanin"/>
          <w:lang w:bidi="fa-IR"/>
          <w:color w:val="111111"/>
          <w:sz w:val="28"/>
          <w:szCs w:val="28"/>
          <w:rtl/>
        </w:rPr>
        <w:t xml:space="preserve">مشهد؛ رضوی؛ شماره نسخه: 16148</w:t>
      </w:r>
    </w:p>
    <w:p>
      <w:pPr>
        <w:pStyle w:val="BookText"/>
      </w:pPr>
      <w:r>
        <w:rPr>
          <w:rFonts w:ascii="Amiri" w:hAnsi="Amiri" w:eastAsia="Amiri" w:cs="Amiri"/>
          <w:lang w:bidi="ar-SA"/>
          <w:color w:val="111111"/>
          <w:sz w:val="28"/>
          <w:szCs w:val="28"/>
          <w:rtl/>
        </w:rPr>
        <w:t xml:space="preserve">آغاز: بسمله هذه البهجة السنيه في شرح دعوه الجلجلوتية؛ انجام: هذا بيان الدعوه مع شرح كل بيت على حدته بشرحه و منافعه</w:t>
      </w:r>
    </w:p>
    <w:p>
      <w:pPr>
        <w:pStyle w:val="BookText"/>
      </w:pPr>
      <w:r>
        <w:rPr>
          <w:rFonts w:ascii="IRNazanin" w:hAnsi="IRNazanin" w:eastAsia="IRNazanin" w:cs="IRNazanin"/>
          <w:lang w:bidi="fa-IR"/>
          <w:color w:val="111111"/>
          <w:sz w:val="28"/>
          <w:szCs w:val="28"/>
          <w:rtl/>
        </w:rPr>
        <w:t xml:space="preserve">خط: نسخ، كان محمد وسیم، تا: قرن ۱۳؛ کاغذ: نخودی، جلد: اسقاطی، اندازه: ۲۰۱۳سم [رایانه]</w:t>
      </w:r>
    </w:p>
    <w:p>
      <w:pPr>
        <w:pStyle w:val="Heading3"/>
      </w:pPr>
      <w:bookmarkStart w:id="1108" w:name="_Toc368"/>
      <w:r>
        <w:t>•بهجة الشعراء / تراجم / فارسی</w:t>
      </w:r>
      <w:bookmarkEnd w:id="1108"/>
    </w:p>
    <w:p>
      <w:pPr>
        <w:pStyle w:val="BookText"/>
      </w:pPr>
      <w:r>
        <w:rPr>
          <w:rFonts w:ascii="Times New Roman" w:hAnsi="Times New Roman" w:eastAsia="Times New Roman" w:cs="Times New Roman"/>
          <w:lang w:val="en-US" w:bidi="en-US"/>
          <w:color w:val="111111"/>
          <w:sz w:val="28"/>
          <w:szCs w:val="28"/>
          <w:rtl/>
        </w:rPr>
        <w:t xml:space="preserve">bahjat-oš šoʻarā'</w:t>
      </w:r>
    </w:p>
    <w:p>
      <w:pPr>
        <w:pStyle w:val="BookText"/>
      </w:pPr>
      <w:r>
        <w:rPr>
          <w:rFonts w:ascii="IRNazanin" w:hAnsi="IRNazanin" w:eastAsia="IRNazanin" w:cs="IRNazanin"/>
          <w:lang w:bidi="fa-IR"/>
          <w:color w:val="111111"/>
          <w:sz w:val="28"/>
          <w:szCs w:val="28"/>
          <w:rtl/>
        </w:rPr>
        <w:t xml:space="preserve">اسرار تبریزی، محمد کاظم بن محمد، ۱۲۶۵-۱۳۱۵ قمری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24" w:name="pg20363_209308"/>
    <w:bookmarkEnd w:id="124"/>
    <w:p>
      <w:pPr>
        <w:pStyle w:val="BookText"/>
      </w:pPr>
      <w:r>
        <w:rPr>
          <w:rFonts w:ascii="Times New Roman" w:hAnsi="Times New Roman" w:eastAsia="Times New Roman" w:cs="Times New Roman"/>
          <w:lang w:val="en-US" w:bidi="en-US"/>
          <w:color w:val="111111"/>
          <w:sz w:val="28"/>
          <w:szCs w:val="28"/>
          <w:rtl/>
        </w:rPr>
        <w:t xml:space="preserve">asrār-e tabrīzī, mohammad kāzem ebn-e mohammad (1849-1898)</w:t>
      </w:r>
    </w:p>
    <w:p>
      <w:pPr>
        <w:pStyle w:val="BookText"/>
      </w:pPr>
      <w:r>
        <w:rPr>
          <w:rFonts w:ascii="IRNazanin" w:hAnsi="IRNazanin" w:eastAsia="IRNazanin" w:cs="IRNazanin"/>
          <w:lang w:bidi="fa-IR"/>
          <w:color w:val="111111"/>
          <w:sz w:val="28"/>
          <w:szCs w:val="28"/>
          <w:rtl/>
        </w:rPr>
        <w:t xml:space="preserve">تاریخ تأليف: بین سالهای ۱۲۹۴-۱۲۹۹ق.</w:t>
      </w:r>
    </w:p>
    <w:p>
      <w:pPr>
        <w:pStyle w:val="BookText"/>
      </w:pPr>
      <w:r>
        <w:rPr>
          <w:rFonts w:ascii="IRNazanin" w:hAnsi="IRNazanin" w:eastAsia="IRNazanin" w:cs="IRNazanin"/>
          <w:lang w:bidi="fa-IR"/>
          <w:color w:val="111111"/>
          <w:sz w:val="28"/>
          <w:szCs w:val="28"/>
          <w:rtl/>
        </w:rPr>
        <w:t xml:space="preserve">شرح اشعار و زندگی سرایندگان بذله گو و شوخ طبعان آذربایجان که به پیروی از «تذكره يخچالیه) میرزا محمد على ندیم اصفهانی تألیف شده است. با آن که بیشتر این شعرا اشعار فارسی هم دارند اما «نگارنده این کتاب مبارک بنای این مجموعه را بر ترکی نهاده است. مؤلف بر آن بوده که از شعرای معاصر خود یاد کند: «و مخفی نماند هر شاعری که نگارنده کتاب در این مجموعه مبارک نام برده از شعرای معاصرین ماست. بدین معنی که همه اینها در عهد دولت قاجاریه ظهور نموده اند و شعرایی که در عهد ماضيه هم تخلص شعرای معاصرین ماست خواهم نمود». از این رو مؤلف بسیاری از کسانی که از آنها یاد کرده را دیده و سروده هایشان را از خودشان گرفته است. مثلا در شرح حال راغب می نویسد: «در حقيقة الأمر نگارنده این کتاب مبارک که عمرم به مرحله سی چهار رسیده و با بسیار از صاحبان ذوق ملاقات و مباحثه نموده ام». نام شعرای این تذکره چنین است: آتشی مراغه ای؟ ارشاد، کربلائی علی؛ اسماعیل؛ افسر اردوبادی، میرزا عبدالله ؛ اعمى؛ اشکریز، کربلائی حسینی؛ باقر دلاک؛ بلبل، کربلائی تقی دلال؛ پروانه، آخوند ملا تقی؛ بینوا؛ پرغم، میرزا احمد تبریزی؛ تالاندی مرندی؛ توپچی؛ ثاقب اهری؛ جودی، آخوند ملا ستار روضه خوان؛ جرتاب، صادق؛ حلیم هروی خلخالی، غفار؛ حسن سرابی؛ حقیر مرندی، حاجی میرزا عبدالغفار ماهوت فروش؛ خلیفه سرابی، محمد؛ خادم عطار؛ خیام ثانی؛ دلسوز تبریزی، کربلائی محمد امین؛ درویش بلبل؛ دلریش، کربلائی عسکر جورابچی؛ دلگیر، کربلائی محمد عطار؛ ذکری، کربلائی نجف بازار چی؛ راجی، حاجی ابوالحسن متوفی؛ ربیعی، میرزا عبدالعلی میانه ایی؛ راغب اهری، میرزا موسی اهری؛ رضا صراف؛ زهدی، کربلائی نوروز سبزی فروش؛ سرمست، آقا میرزا باقر کفری؛ سمطوری، سنتوری؛ سید نقاش، سید محسن سلطان؛ ساقی قصه خوان؛ سروری، کربلائی شکرالله؛ شکری، کربلائی کریم حكم آبادی؛ ساعی، میرزا ابوالقاسم؛ شاهد کودوشچی، کربلائی حسین بابا؛ شکوهی، کربلائی مهدی آینه ساز؛ شیدا، لطف الله؛ شاکر تبریزی ؛ شیخ علی اکبر؛ شايق ذاکر؛ شهباز تبریزی؛ صابری؛ صبوری، آقا میر عباس متوفی ۱۲۹۳ق؛ صفا، سید حسن؛ ضياء، کربلائی آقا عرقچین فروش پسر ملا محمد على؛طغرا، مشهدی حسین پسر محمد علی جورابچی؛ طلوعی، میرزا عبدالرسل؛ طالب محزون، ابوطالب؛ ظهوری، علی شهیر به عطار؛ عبقری، کربلائی رحیم امیر خیزی؛ عاجز مرندی، حاجی میرزا یوسف؛ غمدل دلمقانی؛ غشی چایچی؛ فدوی، ملا مهر على؛ فنای خویی، میرزا عبدالرسول؛ فارغ؛ فاخر، مشهدی احمد آقا بزاز؛ فایض؛ قدسی، ملا محمد تقی مکتبدار؛ قصير؛ قمری، میرزا محمد تقی؛ گلشن، حسین آقا ارموی؛ گنجی خویی، میرزا محمد صادق؛ كاشف؛ لعلى، آقا على ایروانی تبریزی؛ لاطف، مشهدی عسکر؛ مظطر، آقا میر یحیی؛ میر خویی فرزند میرزا عبدالرسول فنا؛ موبد، کربلایی اسماعيل عرقچین فروش؛ مهجور، کربلایی عبدالعی آهنگر؛ مجمر، میرزا محمد على؛ ملا کریم میرزا جبار؛ مظلوم، کربلائی ابراهیم؛ نباتی؛ ناجی؛ ناطق؛ هوشین؛ واقف، مشهدی محمد علی مینا گر؛ یوسف پالوده پز [ تاريخ تذکره های فارسی، ج ۱، ص ۱۳۰ - ۱۳۶ (همین نسخه را دیده است)]</w:t>
      </w:r>
    </w:p>
    <w:p>
      <w:pPr>
        <w:pStyle w:val="BookText"/>
      </w:pPr>
      <w:r>
        <w:rPr>
          <w:rFonts w:ascii="IRNazanin" w:hAnsi="IRNazanin" w:eastAsia="IRNazanin" w:cs="IRNazanin"/>
          <w:lang w:bidi="fa-IR"/>
          <w:color w:val="111111"/>
          <w:sz w:val="28"/>
          <w:szCs w:val="28"/>
          <w:rtl/>
        </w:rPr>
        <w:t xml:space="preserve">تهران؛ مجلس؛ شماره نسخه: ۹۱۷۴</w:t>
      </w:r>
    </w:p>
    <w:p>
      <w:pPr>
        <w:pStyle w:val="BookText"/>
      </w:pPr>
      <w:r>
        <w:rPr>
          <w:rFonts w:ascii="IRNazanin" w:hAnsi="IRNazanin" w:eastAsia="IRNazanin" w:cs="IRNazanin"/>
          <w:lang w:bidi="fa-IR"/>
          <w:color w:val="111111"/>
          <w:sz w:val="28"/>
          <w:szCs w:val="28"/>
          <w:rtl/>
        </w:rPr>
        <w:t xml:space="preserve">آغاز: سعادت ابدی و دیباجه کرامات سرمدی پادشاهی راست که طوطی ناطقه انسانی را در محاذات تكلم به ادای انمن البيان السحرة؛ انجام: زهر بادی چو کاهی گر بورزی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اگر کوهی به کاهی در نیرزی / سخن این بود دیگر جمله تزوير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تو خواهی رد کن خواهی که در گیر.</w:t>
      </w:r>
    </w:p>
    <w:p>
      <w:pPr>
        <w:pStyle w:val="BookText"/>
      </w:pPr>
      <w:r>
        <w:rPr>
          <w:rFonts w:ascii="IRNazanin" w:hAnsi="IRNazanin" w:eastAsia="IRNazanin" w:cs="IRNazanin"/>
          <w:lang w:bidi="fa-IR"/>
          <w:color w:val="111111"/>
          <w:sz w:val="28"/>
          <w:szCs w:val="28"/>
          <w:rtl/>
        </w:rPr>
        <w:t xml:space="preserve">خط: نستعلیق، کا: حسن حسینی، تا: ۱۰ صفر ۱۲۹۹ق، جا: طهران؛ نسخه مغلوط است، مطالبی از کتاب به خط جعفر سلطان القرایی و چند سطر به لاتین، مصحح، این نوشته ها گاهی استحسانی و ذوقی در رد و قبول برخی ابیات است و گاهی اضافاتی درباره مطالب متن، در مواردی هم اشتباهات مؤلف بر شمرده شده است (مثلا در وجه تسمیه تخلص عبقری در ص ۱۲۶ یا ص ۹ و ۱۹)، نویسنده این یادداشت ها مشخص نیست اما در یک جا تاریخ ۱۳۰۱ ق را پای نوشته های خود گذارده است (ص ۱۷ و ۲۱)؛ خریداری از جعفر سلطان القرایی؛ کاغذ: صنعتی شکری، جلد: تیماج قهوه ای ضربی با ترنج و سرترنج و جدول عطف چرمی، ۱۰۲گ، ۱۲سطر (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۱۶/۷ سم [ف: ۲۹/۲</w:t>
      </w:r>
    </w:p>
    <w:p>
      <w:pPr>
        <w:pStyle w:val="BookText"/>
      </w:pPr>
      <w:r>
        <w:rPr>
          <w:rFonts w:ascii="IRNazanin" w:hAnsi="IRNazanin" w:eastAsia="IRNazanin" w:cs="IRNazanin"/>
          <w:lang w:bidi="fa-IR"/>
          <w:color w:val="111111"/>
          <w:sz w:val="28"/>
          <w:szCs w:val="28"/>
          <w:rtl/>
        </w:rPr>
        <w:t xml:space="preserve">-۸۳۵]</w:t>
      </w:r>
    </w:p>
    <w:p>
      <w:pPr>
        <w:pStyle w:val="Heading3"/>
      </w:pPr>
      <w:bookmarkStart w:id="1109" w:name="_Toc369"/>
      <w:r>
        <w:t>•بهجة الشعراء = گلهای رنگارنگ / شعر / فارسی</w:t>
      </w:r>
      <w:bookmarkEnd w:id="1109"/>
    </w:p>
    <w:p>
      <w:pPr>
        <w:pStyle w:val="BookText"/>
      </w:pPr>
      <w:r>
        <w:rPr>
          <w:rFonts w:ascii="Times New Roman" w:hAnsi="Times New Roman" w:eastAsia="Times New Roman" w:cs="Times New Roman"/>
          <w:lang w:val="en-US" w:bidi="en-US"/>
          <w:color w:val="111111"/>
          <w:sz w:val="28"/>
          <w:szCs w:val="28"/>
          <w:rtl/>
        </w:rPr>
        <w:t xml:space="preserve">bahjat-oš šo‘arā' = gol-hā-ye rangārang </w:t>
      </w:r>
      <w:r>
        <w:rPr>
          <w:rFonts w:ascii="IRNazanin" w:hAnsi="IRNazanin" w:eastAsia="IRNazanin" w:cs="IRNazanin"/>
          <w:lang w:bidi="fa-IR"/>
          <w:color w:val="111111"/>
          <w:sz w:val="28"/>
          <w:szCs w:val="28"/>
          <w:rtl/>
        </w:rPr>
        <w:t xml:space="preserve">گزیده سروده هایی، بیشتر از فردوسی و نظامی گنجوی، سنایی و سعدی، سپس مجموعه سروده های تذکره گونه، کاری به مانند تذکره اسحاق بیگ عذری بیگدلی (مشترک ۱۰۶۵/۱ ) و بوستان خیال فخری هروی (مشترک ۲۰۵۶/۱۲ ).</w:t>
      </w:r>
    </w:p>
    <w:p>
      <w:pPr>
        <w:pStyle w:val="BookText"/>
      </w:pPr>
      <w:r>
        <w:rPr>
          <w:rFonts w:ascii="Amiri" w:hAnsi="Amiri" w:eastAsia="Amiri" w:cs="Amiri"/>
          <w:lang w:bidi="ar-SA"/>
          <w:color w:val="111111"/>
          <w:sz w:val="28"/>
          <w:szCs w:val="28"/>
          <w:rtl/>
        </w:rPr>
        <w:t xml:space="preserve">تهران؛ دائرة المعارف، شماره نسخه: ۱۷۱</w:t>
      </w:r>
    </w:p>
    <w:p>
      <w:pPr>
        <w:pStyle w:val="BookText"/>
      </w:pPr>
      <w:r>
        <w:rPr>
          <w:rFonts w:ascii="IRNazanin" w:hAnsi="IRNazanin" w:eastAsia="IRNazanin" w:cs="IRNazanin"/>
          <w:lang w:bidi="fa-IR"/>
          <w:color w:val="111111"/>
          <w:sz w:val="28"/>
          <w:szCs w:val="28"/>
          <w:rtl/>
        </w:rPr>
        <w:t xml:space="preserve">آغاز: بسمله، حمدله، صلات. اما بعد، به موجب حکم همایون ... به داد و به دانش به تاج و به تخت *** به فر و به مهر و به رای و به بخت؛ انجام: ای سنگدل صياد من تا چند بر یاد قفس*** سر زیر بال خود کشم در گوشه گلزارها</w:t>
      </w:r>
    </w:p>
    <w:p>
      <w:pPr>
        <w:pStyle w:val="BookText"/>
      </w:pPr>
      <w:r>
        <w:rPr>
          <w:rFonts w:ascii="IRNazanin" w:hAnsi="IRNazanin" w:eastAsia="IRNazanin" w:cs="IRNazanin"/>
          <w:lang w:bidi="fa-IR"/>
          <w:color w:val="111111"/>
          <w:sz w:val="28"/>
          <w:szCs w:val="28"/>
          <w:rtl/>
        </w:rPr>
        <w:t xml:space="preserve">در دیباچه ای الحاقی و به خامه دیگر که به اصالت و درستی آن نمی توان اعتماد کرد، آمده که این مجموعه را علی اصغر متخلص به ملک الشعراء، به دستور شاه عباس صفوی، از کتاب ها برگزیده، بهجت الشعراء و گلهای رنگارنگ نامیده است؛ خط: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25" w:name="pg20363_209309"/>
    <w:bookmarkEnd w:id="125"/>
    <w:p>
      <w:pPr>
        <w:pStyle w:val="BookText"/>
      </w:pPr>
      <w:r>
        <w:rPr>
          <w:rFonts w:ascii="IRNazanin" w:hAnsi="IRNazanin" w:eastAsia="IRNazanin" w:cs="IRNazanin"/>
          <w:lang w:bidi="fa-IR"/>
          <w:color w:val="111111"/>
          <w:sz w:val="28"/>
          <w:szCs w:val="28"/>
          <w:rtl/>
        </w:rPr>
        <w:t xml:space="preserve">نستعلیق تحریری، کا: دوم داعی تبریزی، تا: پنج شنبه ۲ رمضان ۱۲۴۰ق؛ با یادداشتی مورخ ۱۲۴۴ ق که نشان می دهد دارنده نسخه در خدمت فریدون میرزا و بهمن میرزا شاهزادگان قاجار بوده؛ کاغذ: آهار مهره، جلد: مقوا ابری، گوشه و عطف تیماج قهوه ای، ۱۲۴گ، ۱۵ سطر (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اندازه: ۱۴/۵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۲۰سم [ف: ۱-۳۷)</w:t>
      </w:r>
    </w:p>
    <w:p>
      <w:pPr>
        <w:pStyle w:val="Heading3"/>
      </w:pPr>
      <w:bookmarkStart w:id="1110" w:name="_Toc370"/>
      <w:r>
        <w:t>•بهجة الشيعة في نصرة الطريقة البهية / كلام و اعتقادات / عربی</w:t>
      </w:r>
      <w:bookmarkEnd w:id="1110"/>
    </w:p>
    <w:p>
      <w:pPr>
        <w:pStyle w:val="BookText"/>
      </w:pPr>
      <w:r>
        <w:rPr>
          <w:rFonts w:ascii="Times New Roman" w:hAnsi="Times New Roman" w:eastAsia="Times New Roman" w:cs="Times New Roman"/>
          <w:lang w:val="en-US" w:bidi="en-US"/>
          <w:color w:val="111111"/>
          <w:sz w:val="28"/>
          <w:szCs w:val="28"/>
          <w:rtl/>
        </w:rPr>
        <w:t xml:space="preserve">bahjat-us Sla fi nusrat-it tariqat-il bahiyya</w:t>
      </w:r>
    </w:p>
    <w:p>
      <w:pPr>
        <w:pStyle w:val="BookText"/>
      </w:pPr>
      <w:r>
        <w:rPr>
          <w:rFonts w:ascii="IRNazanin" w:hAnsi="IRNazanin" w:eastAsia="IRNazanin" w:cs="IRNazanin"/>
          <w:lang w:bidi="fa-IR"/>
          <w:color w:val="111111"/>
          <w:sz w:val="28"/>
          <w:szCs w:val="28"/>
          <w:rtl/>
        </w:rPr>
        <w:t xml:space="preserve">اصول دین پنج گانه را با استدلال مختصر و استفاده از آیات و احادیث رابا استدلال مختصر و استفاده از آیات و احادیث اهل بیت (علیهم السلام) نگاشته و بحث امامت را با تفصیل بیشتری بررسی کرده و در این بحث فقط از احادیث اهل سنت روایاتی آورده تا حجت بر همه مسلمانان تمام باشد.</w:t>
      </w:r>
    </w:p>
    <w:p>
      <w:pPr>
        <w:pStyle w:val="BookText"/>
      </w:pPr>
      <w:r>
        <w:rPr>
          <w:rFonts w:ascii="IRNazanin" w:hAnsi="IRNazanin" w:eastAsia="IRNazanin" w:cs="IRNazanin"/>
          <w:lang w:bidi="fa-IR"/>
          <w:color w:val="111111"/>
          <w:sz w:val="28"/>
          <w:szCs w:val="28"/>
          <w:rtl/>
        </w:rPr>
        <w:t xml:space="preserve">قم؛ مرعشی؛ شماره نسخه: ۶۴۱۵</w:t>
      </w:r>
    </w:p>
    <w:p>
      <w:pPr>
        <w:pStyle w:val="BookText"/>
      </w:pPr>
      <w:r>
        <w:rPr>
          <w:rFonts w:ascii="IRNazanin" w:hAnsi="IRNazanin" w:eastAsia="IRNazanin" w:cs="IRNazanin"/>
          <w:lang w:bidi="fa-IR"/>
          <w:color w:val="111111"/>
          <w:sz w:val="28"/>
          <w:szCs w:val="28"/>
          <w:rtl/>
        </w:rPr>
        <w:t xml:space="preserve">آغاز: انموذجا لذلك العلم و احترز عن الاطناب بئلا يمل الاحباب سوی مبحث الولاية؛ انجام: و ما فيها من انواع النعمة و النقمة و غير ذلك و يجب الاعتقاد.</w:t>
      </w:r>
    </w:p>
    <w:p>
      <w:pPr>
        <w:pStyle w:val="BookText"/>
      </w:pPr>
      <w:r>
        <w:rPr>
          <w:rFonts w:ascii="IRNazanin" w:hAnsi="IRNazanin" w:eastAsia="IRNazanin" w:cs="IRNazanin"/>
          <w:lang w:bidi="fa-IR"/>
          <w:color w:val="111111"/>
          <w:sz w:val="28"/>
          <w:szCs w:val="28"/>
          <w:rtl/>
        </w:rPr>
        <w:t xml:space="preserve">خط: نسخ، بی کا، تا: قرن ۱۲؛ افتادگی: انجام؛ مصحح، گویا نسخه ای که در درست بوده افتادگی هایی داشته که در نسخه ها سرایت کرده است؛ جلد: تیماج قرمز عطف تیماج قهوهای، ۱۰۶گ، ۲۱ سطر،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[ف: ۱۷-۲۲]</w:t>
      </w:r>
    </w:p>
    <w:p>
      <w:pPr>
        <w:pStyle w:val="Heading3"/>
      </w:pPr>
      <w:bookmarkStart w:id="1111" w:name="_Toc371"/>
      <w:r>
        <w:t>•بهجة الصفا / شرح حديث / عربی</w:t>
      </w:r>
      <w:bookmarkEnd w:id="1111"/>
    </w:p>
    <w:p>
      <w:pPr>
        <w:pStyle w:val="BookText"/>
      </w:pPr>
      <w:r>
        <w:rPr>
          <w:rFonts w:ascii="Times New Roman" w:hAnsi="Times New Roman" w:eastAsia="Times New Roman" w:cs="Times New Roman"/>
          <w:lang w:val="en-US" w:bidi="en-US"/>
          <w:color w:val="111111"/>
          <w:sz w:val="28"/>
          <w:szCs w:val="28"/>
          <w:rtl/>
        </w:rPr>
        <w:t xml:space="preserve">bahjat-uş Şafa</w:t>
      </w:r>
    </w:p>
    <w:p>
      <w:pPr>
        <w:pStyle w:val="BookText"/>
      </w:pPr>
      <w:r>
        <w:rPr>
          <w:rFonts w:ascii="IRNazanin" w:hAnsi="IRNazanin" w:eastAsia="IRNazanin" w:cs="IRNazanin"/>
          <w:lang w:bidi="fa-IR"/>
          <w:color w:val="111111"/>
          <w:sz w:val="28"/>
          <w:szCs w:val="28"/>
          <w:rtl/>
        </w:rPr>
        <w:t xml:space="preserve">محمد هادي بن محمد مهدی، قمری</w:t>
      </w:r>
    </w:p>
    <w:p>
      <w:pPr>
        <w:pStyle w:val="BookText"/>
      </w:pPr>
      <w:r>
        <w:rPr>
          <w:rFonts w:ascii="Times New Roman" w:hAnsi="Times New Roman" w:eastAsia="Times New Roman" w:cs="Times New Roman"/>
          <w:lang w:val="en-US" w:bidi="en-US"/>
          <w:color w:val="111111"/>
          <w:sz w:val="28"/>
          <w:szCs w:val="28"/>
          <w:rtl/>
        </w:rPr>
        <w:t xml:space="preserve">mohammad hādī ebn-e mohammad mahdī</w:t>
      </w:r>
    </w:p>
    <w:p>
      <w:pPr>
        <w:pStyle w:val="BookText"/>
      </w:pPr>
      <w:r>
        <w:rPr>
          <w:rFonts w:ascii="IRNazanin" w:hAnsi="IRNazanin" w:eastAsia="IRNazanin" w:cs="IRNazanin"/>
          <w:lang w:bidi="fa-IR"/>
          <w:color w:val="111111"/>
          <w:sz w:val="28"/>
          <w:szCs w:val="28"/>
          <w:rtl/>
        </w:rPr>
        <w:t xml:space="preserve">وابسته به: كتاب من لایحضره الفقيه = من لا يحضره الفقیه شیخ صدوق، محمد بن علی (۳۱۱-۳۸۱)</w:t>
      </w:r>
    </w:p>
    <w:p>
      <w:pPr>
        <w:pStyle w:val="BookText"/>
      </w:pPr>
      <w:r>
        <w:rPr>
          <w:rFonts w:ascii="IRNazanin" w:hAnsi="IRNazanin" w:eastAsia="IRNazanin" w:cs="IRNazanin"/>
          <w:lang w:bidi="fa-IR"/>
          <w:color w:val="111111"/>
          <w:sz w:val="28"/>
          <w:szCs w:val="28"/>
          <w:rtl/>
        </w:rPr>
        <w:t xml:space="preserve">شرح مزجی است بر کتاب «من لا يحضره الفقیه » شیخ صدوق.</w:t>
      </w:r>
    </w:p>
    <w:p>
      <w:pPr>
        <w:pStyle w:val="BookText"/>
      </w:pPr>
      <w:r>
        <w:rPr>
          <w:rFonts w:ascii="IRNazanin" w:hAnsi="IRNazanin" w:eastAsia="IRNazanin" w:cs="IRNazanin"/>
          <w:lang w:bidi="fa-IR"/>
          <w:color w:val="111111"/>
          <w:sz w:val="28"/>
          <w:szCs w:val="28"/>
          <w:rtl/>
        </w:rPr>
        <w:t xml:space="preserve">تبریز؛ خادم حسینی؛ شماره نسخه: ۲۳</w:t>
      </w:r>
    </w:p>
    <w:p>
      <w:pPr>
        <w:pStyle w:val="BookText"/>
      </w:pPr>
      <w:r>
        <w:rPr>
          <w:rFonts w:ascii="IRNazanin" w:hAnsi="IRNazanin" w:eastAsia="IRNazanin" w:cs="IRNazanin"/>
          <w:lang w:bidi="fa-IR"/>
          <w:color w:val="111111"/>
          <w:sz w:val="28"/>
          <w:szCs w:val="28"/>
          <w:rtl/>
        </w:rPr>
        <w:t xml:space="preserve">آغاز: الحمدلله المتعالی عن صفات المخلوقين المنزه عن نعوت الناعتين؛ انجام: اربعة اشهر لم اصل نافلة فقال ليس علیک قضا أن المريض ليس كالصحيح كلما غلب الله عليه فالله اولى بالعذر فيه جلد اول تا نیمه کتاب صلوة، از انجام ناتمام مانده است؛ خط: نسخ، بی کا، بی تا؛ جلد: تیماج قهوه ای، ۱۹۰گ، ۱۹ سطر، اندازه: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[اوراق عتیق: ۱-۹۰)</w:t>
      </w:r>
    </w:p>
    <w:p>
      <w:pPr>
        <w:pStyle w:val="Heading3"/>
      </w:pPr>
      <w:bookmarkStart w:id="1112" w:name="_Toc372"/>
      <w:r>
        <w:t>•بهجة الطالبين = شرح الكبرى في المنطق / منطق / فارسی</w:t>
      </w:r>
      <w:bookmarkEnd w:id="1112"/>
    </w:p>
    <w:p>
      <w:pPr>
        <w:pStyle w:val="BookText"/>
      </w:pPr>
      <w:r>
        <w:rPr>
          <w:rFonts w:ascii="Times New Roman" w:hAnsi="Times New Roman" w:eastAsia="Times New Roman" w:cs="Times New Roman"/>
          <w:lang w:val="en-US" w:bidi="en-US"/>
          <w:color w:val="111111"/>
          <w:sz w:val="28"/>
          <w:szCs w:val="28"/>
          <w:rtl/>
        </w:rPr>
        <w:t xml:space="preserve">bahjat-ot tālebīn = š.-e al-kobrā fe-l manteq</w:t>
      </w:r>
    </w:p>
    <w:p>
      <w:pPr>
        <w:pStyle w:val="BookText"/>
      </w:pPr>
      <w:r>
        <w:rPr>
          <w:rFonts w:ascii="IRNazanin" w:hAnsi="IRNazanin" w:eastAsia="IRNazanin" w:cs="IRNazanin"/>
          <w:lang w:bidi="fa-IR"/>
          <w:color w:val="111111"/>
          <w:sz w:val="28"/>
          <w:szCs w:val="28"/>
          <w:rtl/>
        </w:rPr>
        <w:t xml:space="preserve">حسینی یزدی، محمد بن محمود</w:t>
      </w:r>
    </w:p>
    <w:p>
      <w:pPr>
        <w:pStyle w:val="BookText"/>
      </w:pPr>
      <w:r>
        <w:rPr>
          <w:rFonts w:ascii="Times New Roman" w:hAnsi="Times New Roman" w:eastAsia="Times New Roman" w:cs="Times New Roman"/>
          <w:lang w:val="en-US" w:bidi="en-US"/>
          <w:color w:val="111111"/>
          <w:sz w:val="28"/>
          <w:szCs w:val="28"/>
          <w:rtl/>
        </w:rPr>
        <w:t xml:space="preserve">hoseynī-ye yazdī, mohammad ebn-e mahmūd</w:t>
      </w:r>
    </w:p>
    <w:p>
      <w:pPr>
        <w:pStyle w:val="BookText"/>
      </w:pPr>
      <w:r>
        <w:rPr>
          <w:rFonts w:ascii="IRNazanin" w:hAnsi="IRNazanin" w:eastAsia="IRNazanin" w:cs="IRNazanin"/>
          <w:lang w:bidi="fa-IR"/>
          <w:color w:val="111111"/>
          <w:sz w:val="28"/>
          <w:szCs w:val="28"/>
          <w:rtl/>
        </w:rPr>
        <w:t xml:space="preserve">وابسته به: کبری در منطق – الرسالة الكبرى في المنطق؛ جرجانی، علی بن محمد (۷۴۰-۸۱۶)</w:t>
      </w:r>
    </w:p>
    <w:p>
      <w:pPr>
        <w:pStyle w:val="BookText"/>
      </w:pPr>
      <w:r>
        <w:rPr>
          <w:rFonts w:ascii="IRNazanin" w:hAnsi="IRNazanin" w:eastAsia="IRNazanin" w:cs="IRNazanin"/>
          <w:lang w:bidi="fa-IR"/>
          <w:color w:val="111111"/>
          <w:sz w:val="28"/>
          <w:szCs w:val="28"/>
          <w:rtl/>
        </w:rPr>
        <w:t xml:space="preserve">شرح مختصری است با عناوین «قوله - قوله» بر رساله «کبری» میر سید شریف گرگانی که به خواهش بعضی از دوستانش تألیف شده و توضیحی با نقل اختلاف نظرها در بعضی از مسائل و ذكر شقوق و انواع آنچه را که مؤلف از مطالب بدانها اشارت دارد آغاز: بسمله الحمدلله الذي جعل المنطق آلة لابراز ما يعلم و صیر العقل ... این کلمات کلماتی است متعلق به رساله کبری به خواهش بعضی ... سميته بالبهجة الطالبين ... قوله بدانکه آدمی</w:t>
      </w:r>
    </w:p>
    <w:p>
      <w:pPr>
        <w:pStyle w:val="BookText"/>
      </w:pPr>
      <w:r>
        <w:rPr>
          <w:rFonts w:ascii="IRNazanin" w:hAnsi="IRNazanin" w:eastAsia="IRNazanin" w:cs="IRNazanin"/>
          <w:lang w:bidi="fa-IR"/>
          <w:color w:val="111111"/>
          <w:sz w:val="28"/>
          <w:szCs w:val="28"/>
          <w:rtl/>
        </w:rPr>
        <w:t xml:space="preserve">انجام: و اما از وضع احد الجزئين لازم نمی آید رفع دیگری زیرا که اجتماع هر دو با هم صحیح است</w:t>
      </w:r>
    </w:p>
    <w:p>
      <w:pPr>
        <w:pStyle w:val="BookText"/>
      </w:pPr>
      <w:r>
        <w:rPr>
          <w:rFonts w:ascii="IRNazanin" w:hAnsi="IRNazanin" w:eastAsia="IRNazanin" w:cs="IRNazanin"/>
          <w:lang w:bidi="fa-IR"/>
          <w:color w:val="111111"/>
          <w:sz w:val="28"/>
          <w:szCs w:val="28"/>
          <w:rtl/>
        </w:rPr>
        <w:t xml:space="preserve">چاپ: در هامش كبرى في المنطق در سال ۱۳۱۷ چاپ سنگی شده.</w:t>
      </w:r>
    </w:p>
    <w:p>
      <w:pPr>
        <w:pStyle w:val="BookText"/>
      </w:pPr>
      <w:r>
        <w:rPr>
          <w:rFonts w:ascii="IRNazanin" w:hAnsi="IRNazanin" w:eastAsia="IRNazanin" w:cs="IRNazanin"/>
          <w:lang w:bidi="fa-IR"/>
          <w:color w:val="111111"/>
          <w:sz w:val="28"/>
          <w:szCs w:val="28"/>
          <w:rtl/>
        </w:rPr>
        <w:t xml:space="preserve">[دنا ۵۵۲/۲ (۲۲ نسخه)؛ نسخه های منزوی ۱۴۹۳/۲ ]</w:t>
      </w:r>
    </w:p>
    <w:p>
      <w:pPr>
        <w:pStyle w:val="BookText"/>
      </w:pPr>
      <w:r>
        <w:rPr>
          <w:rFonts w:ascii="IRNazanin" w:hAnsi="IRNazanin" w:eastAsia="IRNazanin" w:cs="IRNazanin"/>
          <w:lang w:bidi="fa-IR"/>
          <w:color w:val="111111"/>
          <w:sz w:val="28"/>
          <w:szCs w:val="28"/>
          <w:rtl/>
        </w:rPr>
        <w:t xml:space="preserve">١. یزد؛ وزیری؛ شماره نسخه: ۱۳۸۴/۱</w:t>
      </w:r>
    </w:p>
    <w:p>
      <w:pPr>
        <w:pStyle w:val="BookText"/>
      </w:pPr>
      <w:r>
        <w:rPr>
          <w:rFonts w:ascii="IRNazanin" w:hAnsi="IRNazanin" w:eastAsia="IRNazanin" w:cs="IRNazanin"/>
          <w:lang w:bidi="fa-IR"/>
          <w:color w:val="111111"/>
          <w:sz w:val="28"/>
          <w:szCs w:val="28"/>
          <w:rtl/>
        </w:rPr>
        <w:t xml:space="preserve">خط: نستعلیق، بی کا، تا: قرن ۱۳؛ افتادگی: انجام؛ کاغذ: فرنگی، جلد: تیماج مشکی نرم، ۴۵گ، ابعاد متن: ۱۰۸۶،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[ف: ۳-۹۴۴]</w:t>
      </w:r>
    </w:p>
    <w:p>
      <w:pPr>
        <w:pStyle w:val="BookText"/>
      </w:pPr>
      <w:r>
        <w:rPr>
          <w:rFonts w:ascii="IRNazanin" w:hAnsi="IRNazanin" w:eastAsia="IRNazanin" w:cs="IRNazanin"/>
          <w:lang w:bidi="fa-IR"/>
          <w:color w:val="111111"/>
          <w:sz w:val="28"/>
          <w:szCs w:val="28"/>
          <w:rtl/>
        </w:rPr>
        <w:t xml:space="preserve">۲. قم؛ مرکز احیاء؛ شماره نسخه: ۱۸۰۸/۱</w:t>
      </w:r>
    </w:p>
    <w:p>
      <w:pPr>
        <w:pStyle w:val="BookText"/>
      </w:pPr>
      <w:r>
        <w:rPr>
          <w:rFonts w:ascii="IRNazanin" w:hAnsi="IRNazanin" w:eastAsia="IRNazanin" w:cs="IRNazanin"/>
          <w:lang w:bidi="fa-IR"/>
          <w:color w:val="111111"/>
          <w:sz w:val="28"/>
          <w:szCs w:val="28"/>
          <w:rtl/>
        </w:rPr>
        <w:t xml:space="preserve">آغاز: برابر خط: نسخ، كا: حسین بن محمد تبریزی، تا: قرن ۱۳؛ جلد: تیماج قرمز بدون مقوا، ۲۴گ (1پ -۲۴پ)، ۱۷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۵-۲۲۷]</w:t>
      </w:r>
    </w:p>
    <w:p>
      <w:pPr>
        <w:pStyle w:val="BookText"/>
      </w:pPr>
      <w:r>
        <w:rPr>
          <w:rFonts w:ascii="IRNazanin" w:hAnsi="IRNazanin" w:eastAsia="IRNazanin" w:cs="IRNazanin"/>
          <w:lang w:bidi="fa-IR"/>
          <w:color w:val="111111"/>
          <w:sz w:val="28"/>
          <w:szCs w:val="28"/>
          <w:rtl/>
        </w:rPr>
        <w:t xml:space="preserve">٣. تهران؛ ملک؛ شماره نسخه: ۱۷۰۶</w:t>
      </w:r>
    </w:p>
    <w:p>
      <w:pPr>
        <w:pStyle w:val="BookText"/>
      </w:pPr>
      <w:r>
        <w:rPr>
          <w:rFonts w:ascii="IRNazanin" w:hAnsi="IRNazanin" w:eastAsia="IRNazanin" w:cs="IRNazanin"/>
          <w:lang w:bidi="fa-IR"/>
          <w:color w:val="111111"/>
          <w:sz w:val="28"/>
          <w:szCs w:val="28"/>
          <w:rtl/>
        </w:rPr>
        <w:t xml:space="preserve">خط: نستعلیق، كا: عبد المجيد، تا: ۱۲۳۵ق؛ کاغذ: کاغذ فستقی آبی، جلد: میشن سیاه لایی، ۴۶ گ، ۱۱ سطر، اندازه: ۱۶/۶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۱۰/۶ سم [ف: ۲-۶۳]</w:t>
      </w:r>
    </w:p>
    <w:p>
      <w:pPr>
        <w:pStyle w:val="BookText"/>
      </w:pPr>
      <w:r>
        <w:rPr>
          <w:rFonts w:ascii="IRNazanin" w:hAnsi="IRNazanin" w:eastAsia="IRNazanin" w:cs="IRNazanin"/>
          <w:lang w:bidi="fa-IR"/>
          <w:color w:val="111111"/>
          <w:sz w:val="28"/>
          <w:szCs w:val="28"/>
          <w:rtl/>
        </w:rPr>
        <w:t xml:space="preserve">۴. یزد: وزیری؛ شماره نسخه: ۳۳۲۰/۲</w:t>
      </w:r>
    </w:p>
    <w:p>
      <w:pPr>
        <w:pStyle w:val="BookText"/>
      </w:pPr>
      <w:r>
        <w:rPr>
          <w:rFonts w:ascii="IRNazanin" w:hAnsi="IRNazanin" w:eastAsia="IRNazanin" w:cs="IRNazanin"/>
          <w:lang w:bidi="fa-IR"/>
          <w:color w:val="111111"/>
          <w:sz w:val="28"/>
          <w:szCs w:val="28"/>
          <w:rtl/>
        </w:rPr>
        <w:t xml:space="preserve">كا: سید ابوالقاسم فرزند سید سامع نصر آبادی یزدی، تا: ۱۲۴۳ق؛ کاغذ: اصفهانی، جلد: تیماج مشکی، ۳۲ (۲۶-۵۷)،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سم [ف: ۵-۱۶۱۴]</w:t>
      </w:r>
    </w:p>
    <w:p>
      <w:pPr>
        <w:pStyle w:val="BookText"/>
      </w:pPr>
      <w:r>
        <w:rPr>
          <w:rFonts w:ascii="IRNazanin" w:hAnsi="IRNazanin" w:eastAsia="IRNazanin" w:cs="IRNazanin"/>
          <w:lang w:bidi="fa-IR"/>
          <w:color w:val="111111"/>
          <w:sz w:val="28"/>
          <w:szCs w:val="28"/>
          <w:rtl/>
        </w:rPr>
        <w:t xml:space="preserve">۵. تهران، دانشگاه؛ شماره نسخه: ۵۵۵۹</w:t>
      </w:r>
    </w:p>
    <w:p>
      <w:pPr>
        <w:pStyle w:val="BookText"/>
      </w:pPr>
      <w:r>
        <w:rPr>
          <w:rFonts w:ascii="IRNazanin" w:hAnsi="IRNazanin" w:eastAsia="IRNazanin" w:cs="IRNazanin"/>
          <w:lang w:bidi="fa-IR"/>
          <w:color w:val="111111"/>
          <w:sz w:val="28"/>
          <w:szCs w:val="28"/>
          <w:rtl/>
        </w:rPr>
        <w:t xml:space="preserve">خط: نسخ، بی کا، تا: ۲۷ جمادی الاول ۱۲۴۴ق؛ کاغذ: کبود، جلد: تیماج مشکی، ۸۶گ، ۱۲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قطع: بغلی،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سم (ف: ۱۶-۳۵)</w:t>
      </w:r>
    </w:p>
    <w:p>
      <w:pPr>
        <w:pStyle w:val="BookText"/>
      </w:pPr>
      <w:r>
        <w:rPr>
          <w:rFonts w:ascii="IRNazanin" w:hAnsi="IRNazanin" w:eastAsia="IRNazanin" w:cs="IRNazanin"/>
          <w:lang w:bidi="fa-IR"/>
          <w:color w:val="111111"/>
          <w:sz w:val="28"/>
          <w:szCs w:val="28"/>
          <w:rtl/>
        </w:rPr>
        <w:t xml:space="preserve">4 . یزد؛ وزیری؛ شماره نسخه: ۱۴۶۹/۳</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كا: ابراهیم شریف پسر حاج محمد علی یزدی، تا: ۱۲۵۷ق؛ کاغذ: اصفهانی، جلد: تیماج مشکی، ۴۰ص (۱۱۳-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26" w:name="pg20363_209310"/>
    <w:bookmarkEnd w:id="126"/>
    <w:p>
      <w:pPr>
        <w:pStyle w:val="BookText"/>
      </w:pPr>
      <w:r>
        <w:rPr>
          <w:rFonts w:ascii="IRNazanin" w:hAnsi="IRNazanin" w:eastAsia="IRNazanin" w:cs="IRNazanin"/>
          <w:lang w:bidi="fa-IR"/>
          <w:color w:val="111111"/>
          <w:sz w:val="28"/>
          <w:szCs w:val="28"/>
          <w:rtl/>
        </w:rPr>
        <w:t xml:space="preserve">۱۵۲، ۱۶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[ف: ۳-۹۶۷]</w:t>
      </w:r>
    </w:p>
    <w:p>
      <w:pPr>
        <w:pStyle w:val="BookText"/>
      </w:pPr>
      <w:r>
        <w:rPr>
          <w:rFonts w:ascii="IRNazanin" w:hAnsi="IRNazanin" w:eastAsia="IRNazanin" w:cs="IRNazanin"/>
          <w:lang w:bidi="fa-IR"/>
          <w:color w:val="111111"/>
          <w:sz w:val="28"/>
          <w:szCs w:val="28"/>
          <w:rtl/>
        </w:rPr>
        <w:t xml:space="preserve">۷. قم؛ گلپایگانی؛ شماره نسخه: ۷۵۷۷- ۳۸/۱۹۷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میرزا رفیع بن محمد جعفر، تا: چهارشنبه جمادی الاول ۱۲۶۲ق؛ جلد: مقوا با عطف گالینگور قهوه ای، ۴۳گ، ۱۶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۲-۶۳۵]</w:t>
      </w:r>
    </w:p>
    <w:p>
      <w:pPr>
        <w:pStyle w:val="BookText"/>
      </w:pPr>
      <w:r>
        <w:rPr>
          <w:rFonts w:ascii="IRNazanin" w:hAnsi="IRNazanin" w:eastAsia="IRNazanin" w:cs="IRNazanin"/>
          <w:lang w:bidi="fa-IR"/>
          <w:color w:val="111111"/>
          <w:sz w:val="28"/>
          <w:szCs w:val="28"/>
          <w:rtl/>
        </w:rPr>
        <w:t xml:space="preserve">۸. قم؛ مرعشی؛ شماره نسخه: ۷۲۹۷/۳</w:t>
      </w:r>
    </w:p>
    <w:p>
      <w:pPr>
        <w:pStyle w:val="BookText"/>
      </w:pPr>
      <w:r>
        <w:rPr>
          <w:rFonts w:ascii="IRNazanin" w:hAnsi="IRNazanin" w:eastAsia="IRNazanin" w:cs="IRNazanin"/>
          <w:lang w:bidi="fa-IR"/>
          <w:color w:val="111111"/>
          <w:sz w:val="28"/>
          <w:szCs w:val="28"/>
          <w:rtl/>
        </w:rPr>
        <w:t xml:space="preserve">خط: نسخ، كا: زین العابدين بن قربانعلی بروجنی قهفر چی، تا: شنبه ۱۷ رجب ۱۲۷۳ق؛ جلد: تیماج قهوه ای، ۴۴گ (۱۴۱پ۔ ۱۸۴ر)،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۱۹-۸۹]</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تهران؛ دائرة المعارف؛ شماره نسخه: ۴۵۰/۱</w:t>
      </w:r>
    </w:p>
    <w:p>
      <w:pPr>
        <w:pStyle w:val="BookText"/>
      </w:pPr>
      <w:r>
        <w:rPr>
          <w:rFonts w:ascii="IRNazanin" w:hAnsi="IRNazanin" w:eastAsia="IRNazanin" w:cs="IRNazanin"/>
          <w:lang w:bidi="fa-IR"/>
          <w:color w:val="111111"/>
          <w:sz w:val="28"/>
          <w:szCs w:val="28"/>
          <w:rtl/>
        </w:rPr>
        <w:t xml:space="preserve">آغاز: برابر؛ انجام: و از وضع تالی رفع مقدم از وضع تالی وضع مقدم</w:t>
      </w:r>
    </w:p>
    <w:p>
      <w:pPr>
        <w:pStyle w:val="BookText"/>
      </w:pPr>
      <w:r>
        <w:rPr>
          <w:rFonts w:ascii="IRNazanin" w:hAnsi="IRNazanin" w:eastAsia="IRNazanin" w:cs="IRNazanin"/>
          <w:lang w:bidi="fa-IR"/>
          <w:color w:val="111111"/>
          <w:sz w:val="28"/>
          <w:szCs w:val="28"/>
          <w:rtl/>
        </w:rPr>
        <w:t xml:space="preserve">خط: نستعلیق پخته، کا: محمد تقی بن ملا ملک قاضی عسکر، تا: ۱۲۸۰ق؛ ۴۰گ (۱پ -۴۰پ) [ف: ۱-۳۷]</w:t>
      </w:r>
    </w:p>
    <w:p>
      <w:pPr>
        <w:pStyle w:val="BookText"/>
      </w:pPr>
      <w:r>
        <w:rPr>
          <w:rFonts w:ascii="IRNazanin" w:hAnsi="IRNazanin" w:eastAsia="IRNazanin" w:cs="IRNazanin"/>
          <w:lang w:bidi="fa-IR"/>
          <w:color w:val="111111"/>
          <w:sz w:val="28"/>
          <w:szCs w:val="28"/>
          <w:rtl/>
        </w:rPr>
        <w:t xml:space="preserve">۱۰. تهران؛ ملی؛ شماره نسخه: ۶۸۰۸</w:t>
      </w:r>
    </w:p>
    <w:p>
      <w:pPr>
        <w:pStyle w:val="BookText"/>
      </w:pPr>
      <w:r>
        <w:rPr>
          <w:rFonts w:ascii="IRNazanin" w:hAnsi="IRNazanin" w:eastAsia="IRNazanin" w:cs="IRNazanin"/>
          <w:lang w:bidi="fa-IR"/>
          <w:color w:val="111111"/>
          <w:sz w:val="28"/>
          <w:szCs w:val="28"/>
          <w:rtl/>
        </w:rPr>
        <w:t xml:space="preserve">انجام: برابر</w:t>
      </w:r>
    </w:p>
    <w:p>
      <w:pPr>
        <w:pStyle w:val="BookText"/>
      </w:pPr>
      <w:r>
        <w:rPr>
          <w:rFonts w:ascii="IRNazanin" w:hAnsi="IRNazanin" w:eastAsia="IRNazanin" w:cs="IRNazanin"/>
          <w:lang w:bidi="fa-IR"/>
          <w:color w:val="111111"/>
          <w:sz w:val="28"/>
          <w:szCs w:val="28"/>
          <w:rtl/>
        </w:rPr>
        <w:t xml:space="preserve">خط: نسخ، بی کا، تا: ۱۲۸۱ق؛ مصحح، کاغذ: فرنگی آبی، جلد: تیماج مشکی یک لا مجدول میان جداول بوته های ریسه ای، ۹۳گ (۳۳-۱۲۵)، ۸ سطر (۱۱۵)،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[رایانه]</w:t>
      </w:r>
    </w:p>
    <w:p>
      <w:pPr>
        <w:pStyle w:val="BookText"/>
      </w:pPr>
      <w:r>
        <w:rPr>
          <w:rFonts w:ascii="IRNazanin" w:hAnsi="IRNazanin" w:eastAsia="IRNazanin" w:cs="IRNazanin"/>
          <w:lang w:bidi="fa-IR"/>
          <w:color w:val="111111"/>
          <w:sz w:val="28"/>
          <w:szCs w:val="28"/>
          <w:rtl/>
        </w:rPr>
        <w:t xml:space="preserve">۱۱. قم؛ مرعشی؛ شماره نسخه: ۲۸۱۳/۵</w:t>
      </w:r>
    </w:p>
    <w:p>
      <w:pPr>
        <w:pStyle w:val="BookText"/>
      </w:pPr>
      <w:r>
        <w:rPr>
          <w:rFonts w:ascii="IRNazanin" w:hAnsi="IRNazanin" w:eastAsia="IRNazanin" w:cs="IRNazanin"/>
          <w:lang w:bidi="fa-IR"/>
          <w:color w:val="111111"/>
          <w:sz w:val="28"/>
          <w:szCs w:val="28"/>
          <w:rtl/>
        </w:rPr>
        <w:t xml:space="preserve">آغاز و انجام بر ابر</w:t>
      </w:r>
    </w:p>
    <w:p>
      <w:pPr>
        <w:pStyle w:val="BookText"/>
      </w:pPr>
      <w:r>
        <w:rPr>
          <w:rFonts w:ascii="IRNazanin" w:hAnsi="IRNazanin" w:eastAsia="IRNazanin" w:cs="IRNazanin"/>
          <w:lang w:bidi="fa-IR"/>
          <w:color w:val="111111"/>
          <w:sz w:val="28"/>
          <w:szCs w:val="28"/>
          <w:rtl/>
        </w:rPr>
        <w:t xml:space="preserve">خط: نستعلیق، کا: عبدالرزاق بن عبدالرحیم خلخالی، تا: دوشنبه محرم ۱۲۸۷ق، جان زنجان مدرسه سید؛ جلد: تیماج قهوه ای، ۲۳گ (۱۰۵-۱۲۷ر)،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۸-۱۶]</w:t>
      </w:r>
    </w:p>
    <w:p>
      <w:pPr>
        <w:pStyle w:val="BookText"/>
      </w:pPr>
      <w:r>
        <w:rPr>
          <w:rFonts w:ascii="IRNazanin" w:hAnsi="IRNazanin" w:eastAsia="IRNazanin" w:cs="IRNazanin"/>
          <w:lang w:bidi="fa-IR"/>
          <w:color w:val="111111"/>
          <w:sz w:val="28"/>
          <w:szCs w:val="28"/>
          <w:rtl/>
        </w:rPr>
        <w:t xml:space="preserve">۱۲. یزد؛ وزیری؛ شماره نسخه: ۱۳۱۷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حیران، تا: ربيع الثانی ۱۲۹۶ق؛ جلد: تیماج سبز، ۶۹گ، ۹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۳-۹۲۶]</w:t>
      </w:r>
    </w:p>
    <w:p>
      <w:pPr>
        <w:pStyle w:val="BookText"/>
      </w:pPr>
      <w:r>
        <w:rPr>
          <w:rFonts w:ascii="IRNazanin" w:hAnsi="IRNazanin" w:eastAsia="IRNazanin" w:cs="IRNazanin"/>
          <w:lang w:bidi="fa-IR"/>
          <w:color w:val="111111"/>
          <w:sz w:val="28"/>
          <w:szCs w:val="28"/>
          <w:rtl/>
        </w:rPr>
        <w:t xml:space="preserve">۱۳. زهان؛ مدرسه جعفریه زهان، شماره نسخه: ۱۳۴/۱</w:t>
      </w:r>
    </w:p>
    <w:p>
      <w:pPr>
        <w:pStyle w:val="BookText"/>
      </w:pPr>
      <w:r>
        <w:rPr>
          <w:rFonts w:ascii="IRNazanin" w:hAnsi="IRNazanin" w:eastAsia="IRNazanin" w:cs="IRNazanin"/>
          <w:lang w:bidi="fa-IR"/>
          <w:color w:val="111111"/>
          <w:sz w:val="28"/>
          <w:szCs w:val="28"/>
          <w:rtl/>
        </w:rPr>
        <w:t xml:space="preserve">خط: نسخ، كا: محمد مهدي بن ملامقدس بن محمد حسن بن عبدالنعيم زهانی، تا: پنج شنبه ذیقعده ۱۳۰۶ق، جا: قائن، مدرسه جعفریه؛ جلد: گالینگور مشکی، ۳۴گ (۳پ - ۳۶پ)، اندازه: ۱۱/۵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سم [ف: ۱۰۳]</w:t>
      </w:r>
    </w:p>
    <w:p>
      <w:pPr>
        <w:pStyle w:val="BookText"/>
      </w:pPr>
      <w:r>
        <w:rPr>
          <w:rFonts w:ascii="IRNazanin" w:hAnsi="IRNazanin" w:eastAsia="IRNazanin" w:cs="IRNazanin"/>
          <w:lang w:bidi="fa-IR"/>
          <w:color w:val="111111"/>
          <w:sz w:val="28"/>
          <w:szCs w:val="28"/>
          <w:rtl/>
        </w:rPr>
        <w:t xml:space="preserve">۱۴. تهران؛ چهل ستون؛ شماره نسخه: ۱۹۸</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كا: على اكبر، تا: ۲۷ شعبان ۱۳۱۸ق؛ ۴۰گ، قطع: بیاض رقعی (چند نسخه -ف: ۳۴۵]</w:t>
      </w:r>
    </w:p>
    <w:p>
      <w:pPr>
        <w:pStyle w:val="BookText"/>
      </w:pPr>
      <w:r>
        <w:rPr>
          <w:rFonts w:ascii="IRNazanin" w:hAnsi="IRNazanin" w:eastAsia="IRNazanin" w:cs="IRNazanin"/>
          <w:lang w:bidi="fa-IR"/>
          <w:color w:val="111111"/>
          <w:sz w:val="28"/>
          <w:szCs w:val="28"/>
          <w:rtl/>
        </w:rPr>
        <w:t xml:space="preserve">۱۵. قم: مرکز احیاء؛ شماره نسخه: ۱۶۶/۱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خوش، كا: دبیر اعلم، تا: ۲۷ رمضان ۱۳۴۱ق؛ جلد: مقوایی عطف پارچه قرمز، ۲۴گ، ۲۵ سطر، اندازه: ۱۱</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۱۷/۵ سم [ف: ۱-۲۳۵]</w:t>
      </w:r>
    </w:p>
    <w:p>
      <w:pPr>
        <w:pStyle w:val="BookText"/>
      </w:pPr>
      <w:r>
        <w:rPr>
          <w:rFonts w:ascii="IRNazanin" w:hAnsi="IRNazanin" w:eastAsia="IRNazanin" w:cs="IRNazanin"/>
          <w:lang w:bidi="fa-IR"/>
          <w:color w:val="111111"/>
          <w:sz w:val="28"/>
          <w:szCs w:val="28"/>
          <w:rtl/>
        </w:rPr>
        <w:t xml:space="preserve">۱۶. یزد؛ وزیری؛ شماره نسخه: ۴۰۴۸/۱</w:t>
      </w:r>
    </w:p>
    <w:p>
      <w:pPr>
        <w:pStyle w:val="BookText"/>
      </w:pPr>
      <w:r>
        <w:rPr>
          <w:rFonts w:ascii="IRNazanin" w:hAnsi="IRNazanin" w:eastAsia="IRNazanin" w:cs="IRNazanin"/>
          <w:lang w:bidi="fa-IR"/>
          <w:color w:val="111111"/>
          <w:sz w:val="28"/>
          <w:szCs w:val="28"/>
          <w:rtl/>
        </w:rPr>
        <w:t xml:space="preserve">بی کا، بی تا [ نشریه: ۱۳-۳۵۸]</w:t>
      </w:r>
    </w:p>
    <w:p>
      <w:pPr>
        <w:pStyle w:val="BookText"/>
      </w:pPr>
      <w:r>
        <w:rPr>
          <w:rFonts w:ascii="IRNazanin" w:hAnsi="IRNazanin" w:eastAsia="IRNazanin" w:cs="IRNazanin"/>
          <w:lang w:bidi="fa-IR"/>
          <w:color w:val="111111"/>
          <w:sz w:val="28"/>
          <w:szCs w:val="28"/>
          <w:rtl/>
        </w:rPr>
        <w:t xml:space="preserve">۱۷. تهران؛ شهشهانی ، حسین؛ شماره نسخه: بدون شماره</w:t>
      </w:r>
    </w:p>
    <w:p>
      <w:pPr>
        <w:pStyle w:val="BookText"/>
      </w:pPr>
      <w:r>
        <w:rPr>
          <w:rFonts w:ascii="IRNazanin" w:hAnsi="IRNazanin" w:eastAsia="IRNazanin" w:cs="IRNazanin"/>
          <w:lang w:bidi="fa-IR"/>
          <w:color w:val="111111"/>
          <w:sz w:val="28"/>
          <w:szCs w:val="28"/>
          <w:rtl/>
        </w:rPr>
        <w:t xml:space="preserve">كا: محمد حسینی یزدی، بی تا [میراث اسلامی: ۵-۵۹۶]</w:t>
      </w:r>
    </w:p>
    <w:p>
      <w:pPr>
        <w:pStyle w:val="BookText"/>
      </w:pPr>
      <w:r>
        <w:rPr>
          <w:rFonts w:ascii="IRNazanin" w:hAnsi="IRNazanin" w:eastAsia="IRNazanin" w:cs="IRNazanin"/>
          <w:lang w:bidi="fa-IR"/>
          <w:color w:val="111111"/>
          <w:sz w:val="28"/>
          <w:szCs w:val="28"/>
          <w:rtl/>
        </w:rPr>
        <w:t xml:space="preserve">۱۸. تهران؛ شهشهانی، حسین، شماره نسخه: بدون شماره</w:t>
      </w:r>
    </w:p>
    <w:p>
      <w:pPr>
        <w:pStyle w:val="BookText"/>
      </w:pPr>
      <w:r>
        <w:rPr>
          <w:rFonts w:ascii="IRNazanin" w:hAnsi="IRNazanin" w:eastAsia="IRNazanin" w:cs="IRNazanin"/>
          <w:lang w:bidi="fa-IR"/>
          <w:color w:val="111111"/>
          <w:sz w:val="28"/>
          <w:szCs w:val="28"/>
          <w:rtl/>
        </w:rPr>
        <w:t xml:space="preserve">كان محمد حسینی یزدی، بی تا [میراث اسلامی: ۵-۵۹۶]</w:t>
      </w:r>
    </w:p>
    <w:p>
      <w:pPr>
        <w:pStyle w:val="BookText"/>
      </w:pPr>
      <w:r>
        <w:rPr>
          <w:rFonts w:ascii="IRNazanin" w:hAnsi="IRNazanin" w:eastAsia="IRNazanin" w:cs="IRNazanin"/>
          <w:lang w:bidi="fa-IR"/>
          <w:color w:val="111111"/>
          <w:sz w:val="28"/>
          <w:szCs w:val="28"/>
          <w:rtl/>
        </w:rPr>
        <w:t xml:space="preserve">۱۹. تهران؛ شهشهانی ، حسین؛ شماره نسخه: بدون شماره</w:t>
      </w:r>
    </w:p>
    <w:p>
      <w:pPr>
        <w:pStyle w:val="BookText"/>
      </w:pPr>
      <w:r>
        <w:rPr>
          <w:rFonts w:ascii="IRNazanin" w:hAnsi="IRNazanin" w:eastAsia="IRNazanin" w:cs="IRNazanin"/>
          <w:lang w:bidi="fa-IR"/>
          <w:color w:val="111111"/>
          <w:sz w:val="28"/>
          <w:szCs w:val="28"/>
          <w:rtl/>
        </w:rPr>
        <w:t xml:space="preserve">بی کا، بی تا [میراث اسلامی: ۵-۶۰۶]</w:t>
      </w:r>
    </w:p>
    <w:p>
      <w:pPr>
        <w:pStyle w:val="BookText"/>
      </w:pPr>
      <w:r>
        <w:rPr>
          <w:rFonts w:ascii="IRNazanin" w:hAnsi="IRNazanin" w:eastAsia="IRNazanin" w:cs="IRNazanin"/>
          <w:lang w:bidi="fa-IR"/>
          <w:color w:val="111111"/>
          <w:sz w:val="28"/>
          <w:szCs w:val="28"/>
          <w:rtl/>
        </w:rPr>
        <w:t xml:space="preserve">۲۰. یزد؛ سریزدی؛ شماره نسخه: ۴۹/۲</w:t>
      </w:r>
    </w:p>
    <w:p>
      <w:pPr>
        <w:pStyle w:val="BookText"/>
      </w:pPr>
      <w:r>
        <w:rPr>
          <w:rFonts w:ascii="IRNazanin" w:hAnsi="IRNazanin" w:eastAsia="IRNazanin" w:cs="IRNazanin"/>
          <w:lang w:bidi="fa-IR"/>
          <w:color w:val="111111"/>
          <w:sz w:val="28"/>
          <w:szCs w:val="28"/>
          <w:rtl/>
        </w:rPr>
        <w:t xml:space="preserve">خط: نسخ، کا: محمد حسین بن ابوالحسن مجومردی، بی تا؛</w:t>
      </w:r>
    </w:p>
    <w:p>
      <w:pPr>
        <w:pStyle w:val="BookText"/>
      </w:pPr>
      <w:r>
        <w:rPr>
          <w:rFonts w:ascii="IRNazanin" w:hAnsi="IRNazanin" w:eastAsia="IRNazanin" w:cs="IRNazanin"/>
          <w:lang w:bidi="fa-IR"/>
          <w:color w:val="111111"/>
          <w:sz w:val="28"/>
          <w:szCs w:val="28"/>
          <w:rtl/>
        </w:rPr>
        <w:t xml:space="preserve">۱۸گ (۷۱پ-۸۸پ)،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۱-۴۶]</w:t>
      </w:r>
    </w:p>
    <w:p>
      <w:pPr>
        <w:pStyle w:val="BookText"/>
      </w:pPr>
      <w:r>
        <w:rPr>
          <w:rFonts w:ascii="IRNazanin" w:hAnsi="IRNazanin" w:eastAsia="IRNazanin" w:cs="IRNazanin"/>
          <w:lang w:bidi="fa-IR"/>
          <w:color w:val="111111"/>
          <w:sz w:val="28"/>
          <w:szCs w:val="28"/>
          <w:rtl/>
        </w:rPr>
        <w:t xml:space="preserve">۲۱. تهران؛ مروی؛ شماره نسخه: ۵۰۸/۳</w:t>
      </w:r>
    </w:p>
    <w:p>
      <w:pPr>
        <w:pStyle w:val="BookText"/>
      </w:pPr>
      <w:r>
        <w:rPr>
          <w:rFonts w:ascii="IRNazanin" w:hAnsi="IRNazanin" w:eastAsia="IRNazanin" w:cs="IRNazanin"/>
          <w:lang w:bidi="fa-IR"/>
          <w:color w:val="111111"/>
          <w:sz w:val="28"/>
          <w:szCs w:val="28"/>
          <w:rtl/>
        </w:rPr>
        <w:t xml:space="preserve">بی کا، بی تا، قطع: خشتی (مروي: في: ۲۸۳]</w:t>
      </w:r>
    </w:p>
    <w:p>
      <w:pPr>
        <w:pStyle w:val="BookText"/>
      </w:pPr>
      <w:r>
        <w:rPr>
          <w:rFonts w:ascii="IRNazanin" w:hAnsi="IRNazanin" w:eastAsia="IRNazanin" w:cs="IRNazanin"/>
          <w:lang w:bidi="fa-IR"/>
          <w:color w:val="111111"/>
          <w:sz w:val="28"/>
          <w:szCs w:val="28"/>
          <w:rtl/>
        </w:rPr>
        <w:t xml:space="preserve">۲۲. مشهد؛ رضوی؛ شماره نسخه: ۱۱۳۶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واقف: نائینی؛ ۳۱ گ، ۱۹ 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۴-۳۶۸]</w:t>
      </w:r>
    </w:p>
    <w:p>
      <w:pPr>
        <w:pStyle w:val="Heading3"/>
      </w:pPr>
      <w:bookmarkStart w:id="1113" w:name="_Toc373"/>
      <w:r>
        <w:t>•بهجة العالم / جغرافيا / فارسی</w:t>
      </w:r>
      <w:bookmarkEnd w:id="1113"/>
    </w:p>
    <w:p>
      <w:pPr>
        <w:pStyle w:val="BookText"/>
      </w:pPr>
      <w:r>
        <w:rPr>
          <w:rFonts w:ascii="Times New Roman" w:hAnsi="Times New Roman" w:eastAsia="Times New Roman" w:cs="Times New Roman"/>
          <w:lang w:val="en-US" w:bidi="en-US"/>
          <w:color w:val="111111"/>
          <w:sz w:val="28"/>
          <w:szCs w:val="28"/>
          <w:rtl/>
        </w:rPr>
        <w:t xml:space="preserve">bahjat-ol ‘ālam</w:t>
      </w:r>
    </w:p>
    <w:p>
      <w:pPr>
        <w:pStyle w:val="BookText"/>
      </w:pPr>
      <w:r>
        <w:rPr>
          <w:rFonts w:ascii="IRNazanin" w:hAnsi="IRNazanin" w:eastAsia="IRNazanin" w:cs="IRNazanin"/>
          <w:lang w:bidi="fa-IR"/>
          <w:color w:val="111111"/>
          <w:sz w:val="28"/>
          <w:szCs w:val="28"/>
          <w:rtl/>
        </w:rPr>
        <w:t xml:space="preserve">مهارت اصفهانی، ۱۱۲۴ قمری</w:t>
      </w:r>
    </w:p>
    <w:p>
      <w:pPr>
        <w:pStyle w:val="BookText"/>
      </w:pPr>
      <w:r>
        <w:rPr>
          <w:rFonts w:ascii="Times New Roman" w:hAnsi="Times New Roman" w:eastAsia="Times New Roman" w:cs="Times New Roman"/>
          <w:lang w:val="en-US" w:bidi="en-US"/>
          <w:color w:val="111111"/>
          <w:sz w:val="28"/>
          <w:szCs w:val="28"/>
          <w:rtl/>
        </w:rPr>
        <w:t xml:space="preserve">mahārat-e esfahānī (- 1712)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ملک؛ شماره نسخه: ۱۰۲۰/۱</w:t>
      </w:r>
    </w:p>
    <w:p>
      <w:pPr>
        <w:pStyle w:val="BookText"/>
      </w:pPr>
      <w:r>
        <w:rPr>
          <w:rFonts w:ascii="IRNazanin" w:hAnsi="IRNazanin" w:eastAsia="IRNazanin" w:cs="IRNazanin"/>
          <w:lang w:bidi="fa-IR"/>
          <w:color w:val="111111"/>
          <w:sz w:val="28"/>
          <w:szCs w:val="28"/>
          <w:rtl/>
        </w:rPr>
        <w:t xml:space="preserve">خط: نستعلیق، كا: غلام علی بیک امیر بیک، بی تا، کاغذ: ترمه جلد: میشن آلبالویی [ف: ۵-۲۲۳]</w:t>
      </w:r>
    </w:p>
    <w:p>
      <w:pPr>
        <w:pStyle w:val="BookText"/>
      </w:pPr>
      <w:r>
        <w:rPr>
          <w:rFonts w:ascii="IRNazanin" w:hAnsi="IRNazanin" w:eastAsia="IRNazanin" w:cs="IRNazanin"/>
          <w:lang w:bidi="fa-IR"/>
          <w:color w:val="111111"/>
          <w:sz w:val="28"/>
          <w:szCs w:val="28"/>
          <w:rtl/>
        </w:rPr>
        <w:t xml:space="preserve">۲. تهران، مرکز فرهنگی خراسان شماره نسخه: ۶۹عکسی</w:t>
      </w:r>
    </w:p>
    <w:p>
      <w:pPr>
        <w:pStyle w:val="BookText"/>
      </w:pPr>
      <w:r>
        <w:rPr>
          <w:rFonts w:ascii="IRNazanin" w:hAnsi="IRNazanin" w:eastAsia="IRNazanin" w:cs="IRNazanin"/>
          <w:lang w:bidi="fa-IR"/>
          <w:color w:val="111111"/>
          <w:sz w:val="28"/>
          <w:szCs w:val="28"/>
          <w:rtl/>
        </w:rPr>
        <w:t xml:space="preserve">خط: نستعلیق روشن، کا: محمد امین بک، بی تا؛ ۲۴۸گ [جنگ: ۴۴۵۱ ]</w:t>
      </w:r>
    </w:p>
    <w:p>
      <w:pPr>
        <w:pStyle w:val="Heading3"/>
      </w:pPr>
      <w:bookmarkStart w:id="1114" w:name="_Toc374"/>
      <w:r>
        <w:t>•بهجة الفتاوی / فقه / ترکی</w:t>
      </w:r>
      <w:bookmarkEnd w:id="1114"/>
    </w:p>
    <w:p>
      <w:pPr>
        <w:pStyle w:val="BookText"/>
      </w:pPr>
      <w:r>
        <w:rPr>
          <w:rFonts w:ascii="Times New Roman" w:hAnsi="Times New Roman" w:eastAsia="Times New Roman" w:cs="Times New Roman"/>
          <w:lang w:val="en-US" w:bidi="en-US"/>
          <w:color w:val="111111"/>
          <w:sz w:val="28"/>
          <w:szCs w:val="28"/>
          <w:rtl/>
        </w:rPr>
        <w:t xml:space="preserve">bahjat-ul fatāwā</w:t>
      </w:r>
    </w:p>
    <w:p>
      <w:pPr>
        <w:pStyle w:val="BookText"/>
      </w:pPr>
      <w:r>
        <w:rPr>
          <w:rFonts w:ascii="IRNazanin" w:hAnsi="IRNazanin" w:eastAsia="IRNazanin" w:cs="IRNazanin"/>
          <w:lang w:bidi="fa-IR"/>
          <w:color w:val="111111"/>
          <w:sz w:val="28"/>
          <w:szCs w:val="28"/>
          <w:rtl/>
        </w:rPr>
        <w:t xml:space="preserve">افندی یكیشهری، عبدالله</w:t>
      </w:r>
    </w:p>
    <w:p>
      <w:pPr>
        <w:pStyle w:val="BookText"/>
      </w:pPr>
      <w:r>
        <w:rPr>
          <w:rFonts w:ascii="Times New Roman" w:hAnsi="Times New Roman" w:eastAsia="Times New Roman" w:cs="Times New Roman"/>
          <w:lang w:val="en-US" w:bidi="en-US"/>
          <w:color w:val="111111"/>
          <w:sz w:val="28"/>
          <w:szCs w:val="28"/>
          <w:rtl/>
        </w:rPr>
        <w:t xml:space="preserve">afandī-ye yekīšahrī, 'abd-ol-lāh</w:t>
      </w:r>
    </w:p>
    <w:p>
      <w:pPr>
        <w:pStyle w:val="BookText"/>
      </w:pPr>
      <w:r>
        <w:rPr>
          <w:rFonts w:ascii="IRNazanin" w:hAnsi="IRNazanin" w:eastAsia="IRNazanin" w:cs="IRNazanin"/>
          <w:lang w:bidi="fa-IR"/>
          <w:color w:val="111111"/>
          <w:sz w:val="28"/>
          <w:szCs w:val="28"/>
          <w:rtl/>
        </w:rPr>
        <w:t xml:space="preserve">تاريخ تأليف: گویا فراهم آمده ۱۱۳۰ تا ۱۱۳۴</w:t>
      </w:r>
    </w:p>
    <w:p>
      <w:pPr>
        <w:pStyle w:val="BookText"/>
      </w:pPr>
      <w:r>
        <w:rPr>
          <w:rFonts w:ascii="IRNazanin" w:hAnsi="IRNazanin" w:eastAsia="IRNazanin" w:cs="IRNazanin"/>
          <w:lang w:bidi="fa-IR"/>
          <w:color w:val="111111"/>
          <w:sz w:val="28"/>
          <w:szCs w:val="28"/>
          <w:rtl/>
        </w:rPr>
        <w:t xml:space="preserve">کتابی فتوایی به صورت سوال و جواب است. مؤلف ابتدا به سؤالات اعتقادی و سپس به مسائل فقهی به ترتیب ابواب فقه عامه پاسخ داده است از زین الدین صدر العلماء ناصر الشريعة ابوالفضل عبدالله افندی یکیشهری مفتی عثمانیه، تحریر و ترتیب محمد فقهی عینی از اعتقادات تا میراث. (دانش پژوه)</w:t>
      </w:r>
    </w:p>
    <w:p>
      <w:pPr>
        <w:pStyle w:val="BookText"/>
      </w:pPr>
      <w:r>
        <w:rPr>
          <w:rFonts w:ascii="Amiri" w:hAnsi="Amiri" w:eastAsia="Amiri" w:cs="Amiri"/>
          <w:lang w:bidi="ar-SA"/>
          <w:color w:val="111111"/>
          <w:sz w:val="28"/>
          <w:szCs w:val="28"/>
          <w:rtl/>
        </w:rPr>
        <w:t xml:space="preserve">آغاز: الحمدلله الذي احكم احكام الشرع على احسن الترتيب و النظام و جعل علماء الشريعة</w:t>
      </w:r>
    </w:p>
    <w:p>
      <w:pPr>
        <w:pStyle w:val="BookText"/>
      </w:pPr>
      <w:r>
        <w:rPr>
          <w:rFonts w:ascii="IRNazanin" w:hAnsi="IRNazanin" w:eastAsia="IRNazanin" w:cs="IRNazanin"/>
          <w:lang w:bidi="fa-IR"/>
          <w:color w:val="111111"/>
          <w:sz w:val="28"/>
          <w:szCs w:val="28"/>
          <w:rtl/>
        </w:rPr>
        <w:t xml:space="preserve">[دنا ۵۵۲/۲ (۳ نسخه)؛ ایضاح المکنون: ج ۱ص ۲۰۲؛ قرطای ۳۱۰؛ الأوقاف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27" w:name="pg20363_209311"/>
    <w:bookmarkEnd w:id="127"/>
    <w:p>
      <w:pPr>
        <w:pStyle w:val="BookText"/>
      </w:pPr>
      <w:r>
        <w:rPr>
          <w:rFonts w:ascii="Amiri" w:hAnsi="Amiri" w:eastAsia="Amiri" w:cs="Amiri"/>
          <w:lang w:bidi="ar-SA"/>
          <w:color w:val="111111"/>
          <w:sz w:val="28"/>
          <w:szCs w:val="28"/>
          <w:rtl/>
        </w:rPr>
        <w:t xml:space="preserve">العامة بغداد ۵۶۶/۱ ]</w:t>
      </w:r>
    </w:p>
    <w:p>
      <w:pPr>
        <w:pStyle w:val="BookText"/>
      </w:pPr>
      <w:r>
        <w:rPr>
          <w:rFonts w:ascii="IRNazanin" w:hAnsi="IRNazanin" w:eastAsia="IRNazanin" w:cs="IRNazanin"/>
          <w:lang w:bidi="fa-IR"/>
          <w:color w:val="111111"/>
          <w:sz w:val="28"/>
          <w:szCs w:val="28"/>
          <w:rtl/>
        </w:rPr>
        <w:t xml:space="preserve">١. مشهد؛ رضوی؛ شماره نسخه: ۳۸۵۳۰</w:t>
      </w:r>
    </w:p>
    <w:p>
      <w:pPr>
        <w:pStyle w:val="BookText"/>
      </w:pPr>
      <w:r>
        <w:rPr>
          <w:rFonts w:ascii="IRNazanin" w:hAnsi="IRNazanin" w:eastAsia="IRNazanin" w:cs="IRNazanin"/>
          <w:lang w:bidi="fa-IR"/>
          <w:color w:val="111111"/>
          <w:sz w:val="28"/>
          <w:szCs w:val="28"/>
          <w:rtl/>
        </w:rPr>
        <w:t xml:space="preserve">آغاز: برابر؛ انجام: ایتمد کلرینی آخره تفويضدن عمر وی منعه قاسور اولومی جواب: اولماز</w:t>
      </w:r>
    </w:p>
    <w:p>
      <w:pPr>
        <w:pStyle w:val="BookText"/>
      </w:pPr>
      <w:r>
        <w:rPr>
          <w:rFonts w:ascii="IRNazanin" w:hAnsi="IRNazanin" w:eastAsia="IRNazanin" w:cs="IRNazanin"/>
          <w:lang w:bidi="fa-IR"/>
          <w:color w:val="111111"/>
          <w:sz w:val="28"/>
          <w:szCs w:val="28"/>
          <w:rtl/>
        </w:rPr>
        <w:t xml:space="preserve">خط: نستعلیق، کا: حسن بن مصطفی روسجقی، تا: جمعه اواخر ربيع الثانی ۱۱۶۴ق، صفحه نخست مجدول به زر و تحریر، در حاشیه مصادر مطلب را با عبارت عربی نوشته؛ علامت وقف و مهر «محمد حسین» (بیضوی)؛ اهدایی: رهبری، مهر ۱۳۸۶؛ کاغذ: نخودی آهار مهره، جلد: تیماج قهوه ای، ۲۷۱گ، ۳۵سطر،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[اهدائی رهبر: ۳-۱۱۳]</w:t>
      </w:r>
    </w:p>
    <w:p>
      <w:pPr>
        <w:pStyle w:val="BookText"/>
      </w:pPr>
      <w:r>
        <w:rPr>
          <w:rFonts w:ascii="IRNazanin" w:hAnsi="IRNazanin" w:eastAsia="IRNazanin" w:cs="IRNazanin"/>
          <w:lang w:bidi="fa-IR"/>
          <w:color w:val="111111"/>
          <w:sz w:val="28"/>
          <w:szCs w:val="28"/>
          <w:rtl/>
        </w:rPr>
        <w:t xml:space="preserve">مشهد؛ شیخ علی حیدر؛ شماره نسخه: ۱۵۰۴</w:t>
      </w:r>
    </w:p>
    <w:p>
      <w:pPr>
        <w:pStyle w:val="BookText"/>
      </w:pPr>
      <w:r>
        <w:rPr>
          <w:rFonts w:ascii="IRNazanin" w:hAnsi="IRNazanin" w:eastAsia="IRNazanin" w:cs="IRNazanin"/>
          <w:lang w:bidi="fa-IR"/>
          <w:color w:val="111111"/>
          <w:sz w:val="28"/>
          <w:szCs w:val="28"/>
          <w:rtl/>
        </w:rPr>
        <w:t xml:space="preserve">همان نسخه بالا [مؤید: ۳-۴۰۴]</w:t>
      </w:r>
    </w:p>
    <w:p>
      <w:pPr>
        <w:pStyle w:val="BookText"/>
      </w:pPr>
      <w:r>
        <w:rPr>
          <w:rFonts w:ascii="IRNazanin" w:hAnsi="IRNazanin" w:eastAsia="IRNazanin" w:cs="IRNazanin"/>
          <w:lang w:bidi="fa-IR"/>
          <w:color w:val="111111"/>
          <w:sz w:val="28"/>
          <w:szCs w:val="28"/>
          <w:rtl/>
        </w:rPr>
        <w:t xml:space="preserve">۲. تهران: دانشگاه؛ شماره نسخه: ۹۱۲۰</w:t>
      </w:r>
    </w:p>
    <w:p>
      <w:pPr>
        <w:pStyle w:val="BookText"/>
      </w:pPr>
      <w:r>
        <w:rPr>
          <w:rFonts w:ascii="IRNazanin" w:hAnsi="IRNazanin" w:eastAsia="IRNazanin" w:cs="IRNazanin"/>
          <w:lang w:bidi="fa-IR"/>
          <w:color w:val="111111"/>
          <w:sz w:val="28"/>
          <w:szCs w:val="28"/>
          <w:rtl/>
        </w:rPr>
        <w:t xml:space="preserve">خط: نستعليق ترک، بی کا، تا: ۲۱ ربیع الاول ۱۲۰۶ق، جا: کوی مدينة العشاق؛ تملک: سید مصطفی پسر ولی الدین ایجی ایلی در رمضان ۱۲۵۶؛ کاغذ: استانبولی، جلد: تیماج قهوه ای ضربی مقوایی، ۳۴۱گ، ۲۱ سطر (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قطع: ربعی،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۱۷-۲۹۸]</w:t>
      </w:r>
    </w:p>
    <w:p>
      <w:pPr>
        <w:pStyle w:val="BookText"/>
      </w:pPr>
      <w:r>
        <w:rPr>
          <w:rFonts w:ascii="IRNazanin" w:hAnsi="IRNazanin" w:eastAsia="IRNazanin" w:cs="IRNazanin"/>
          <w:lang w:bidi="fa-IR"/>
          <w:color w:val="111111"/>
          <w:sz w:val="28"/>
          <w:szCs w:val="28"/>
          <w:rtl/>
        </w:rPr>
        <w:t xml:space="preserve">٣. تهران، دانشگاه؛ شماره نسخه: ۹۱۲۷</w:t>
      </w:r>
    </w:p>
    <w:p>
      <w:pPr>
        <w:pStyle w:val="BookText"/>
      </w:pPr>
      <w:r>
        <w:rPr>
          <w:rFonts w:ascii="IRNazanin" w:hAnsi="IRNazanin" w:eastAsia="IRNazanin" w:cs="IRNazanin"/>
          <w:lang w:bidi="fa-IR"/>
          <w:color w:val="111111"/>
          <w:sz w:val="28"/>
          <w:szCs w:val="28"/>
          <w:rtl/>
        </w:rPr>
        <w:t xml:space="preserve">خط: نستعلیق ترک، کا: سيف الله بن على بن ابراهيم بن على کمال ار کری روم ایلی نایب شهر خعيله، تا: ۱۰ محرم ۱۲۱۸ق؛ افتادگی: آغاز؛ مجدول، محشی؛ تملک: عبدالرحمن راتب در ۱۲۲۲؛ کاغذ: استانبولی، فاقد جلد، ۳۱۹، ۲۵ سطر (۹/۵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۱۷/۵ )، اندازه: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۱۷-۲۹۹]</w:t>
      </w:r>
    </w:p>
    <w:p>
      <w:pPr>
        <w:pStyle w:val="Heading3"/>
      </w:pPr>
      <w:bookmarkStart w:id="1115" w:name="_Toc375"/>
      <w:r>
        <w:t>• بهجة الفتاوی / فقه / عربی</w:t>
      </w:r>
      <w:bookmarkEnd w:id="1115"/>
    </w:p>
    <w:p>
      <w:pPr>
        <w:pStyle w:val="BookText"/>
      </w:pPr>
      <w:r>
        <w:rPr>
          <w:rFonts w:ascii="Times New Roman" w:hAnsi="Times New Roman" w:eastAsia="Times New Roman" w:cs="Times New Roman"/>
          <w:lang w:val="en-US" w:bidi="en-US"/>
          <w:color w:val="111111"/>
          <w:sz w:val="28"/>
          <w:szCs w:val="28"/>
          <w:rtl/>
        </w:rPr>
        <w:t xml:space="preserve">bahjat-ul fatāwā</w:t>
      </w:r>
    </w:p>
    <w:p>
      <w:pPr>
        <w:pStyle w:val="BookText"/>
      </w:pPr>
      <w:r>
        <w:rPr>
          <w:rFonts w:ascii="Amiri" w:hAnsi="Amiri" w:eastAsia="Amiri" w:cs="Amiri"/>
          <w:lang w:bidi="ar-SA"/>
          <w:color w:val="111111"/>
          <w:sz w:val="28"/>
          <w:szCs w:val="28"/>
          <w:rtl/>
        </w:rPr>
        <w:t xml:space="preserve">تاريخ تأليف: ۱۱۶۶ق</w:t>
      </w:r>
    </w:p>
    <w:p>
      <w:pPr>
        <w:pStyle w:val="BookText"/>
      </w:pPr>
      <w:r>
        <w:rPr>
          <w:rFonts w:ascii="IRNazanin" w:hAnsi="IRNazanin" w:eastAsia="IRNazanin" w:cs="IRNazanin"/>
          <w:lang w:bidi="fa-IR"/>
          <w:color w:val="111111"/>
          <w:sz w:val="28"/>
          <w:szCs w:val="28"/>
          <w:rtl/>
        </w:rPr>
        <w:t xml:space="preserve">تصحيحها و ارجاع مسائلها الى مآخذها و تعیین اسامی الكتب المرجوع اليها مع بيان ابوابها و فصولها كما فعله شیخ الاسلام و مفتی الانام عبدالله المفتي بمساعدة فقهاء جهبذة كانه فهرست مطالبها. نام آن در آغاز فهرست آمده است و در دیباچه، متن در ۱۱۶۶ به بیاض آمده است، در دیباچه آمده است: «اردت ان ارد المسائل الى مآخذها و اعین اسامی الكتب مع ابوابها و فصولها».. ممکن است متن عربی کار عبدالله افندی باشد که در بالا معرفی شد.</w:t>
      </w:r>
    </w:p>
    <w:p>
      <w:pPr>
        <w:pStyle w:val="BookText"/>
      </w:pPr>
      <w:r>
        <w:rPr>
          <w:rFonts w:ascii="IRNazanin" w:hAnsi="IRNazanin" w:eastAsia="IRNazanin" w:cs="IRNazanin"/>
          <w:lang w:bidi="fa-IR"/>
          <w:color w:val="111111"/>
          <w:sz w:val="28"/>
          <w:szCs w:val="28"/>
          <w:rtl/>
        </w:rPr>
        <w:t xml:space="preserve">تهران، دانشگاه؛ شماره نسخه: ۹۴۴۹</w:t>
      </w:r>
    </w:p>
    <w:p>
      <w:pPr>
        <w:pStyle w:val="BookText"/>
      </w:pPr>
      <w:r>
        <w:rPr>
          <w:rFonts w:ascii="IRNazanin" w:hAnsi="IRNazanin" w:eastAsia="IRNazanin" w:cs="IRNazanin"/>
          <w:lang w:bidi="fa-IR"/>
          <w:color w:val="111111"/>
          <w:sz w:val="28"/>
          <w:szCs w:val="28"/>
          <w:rtl/>
        </w:rPr>
        <w:t xml:space="preserve">خط: نسخ، كا: سید محمد امین بن سید عمر ایوبی، تا: ۲۵ جمادی الاول ۱۱۸۲ق؛ مجدول، با پیشانی زرین و رنگین؛ کاغذ: استانبولی، جلد: تیماج قهوه ای زرکوب ترنجی مقوایی با لولا، ۱۶۵گی، ۲۳ سطر (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قطع: ربعی،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۳۷۱ -۱۷]</w:t>
      </w:r>
    </w:p>
    <w:p>
      <w:pPr>
        <w:pStyle w:val="Heading3"/>
      </w:pPr>
      <w:bookmarkStart w:id="1116" w:name="_Toc376"/>
      <w:r>
        <w:t>•البهجة في المنطق / فلسفه / عربی</w:t>
      </w:r>
      <w:bookmarkEnd w:id="1116"/>
    </w:p>
    <w:p>
      <w:pPr>
        <w:pStyle w:val="BookText"/>
      </w:pPr>
      <w:r>
        <w:rPr>
          <w:rFonts w:ascii="Times New Roman" w:hAnsi="Times New Roman" w:eastAsia="Times New Roman" w:cs="Times New Roman"/>
          <w:lang w:val="en-US" w:bidi="en-US"/>
          <w:color w:val="111111"/>
          <w:sz w:val="28"/>
          <w:szCs w:val="28"/>
          <w:rtl/>
        </w:rPr>
        <w:t xml:space="preserve">al-bahja fi-1 mantiq</w:t>
      </w:r>
    </w:p>
    <w:p>
      <w:pPr>
        <w:pStyle w:val="BookText"/>
      </w:pPr>
      <w:r>
        <w:rPr>
          <w:rFonts w:ascii="IRNazanin" w:hAnsi="IRNazanin" w:eastAsia="IRNazanin" w:cs="IRNazanin"/>
          <w:lang w:bidi="fa-IR"/>
          <w:color w:val="111111"/>
          <w:sz w:val="28"/>
          <w:szCs w:val="28"/>
          <w:rtl/>
        </w:rPr>
        <w:t xml:space="preserve">ابن سینا، حسین بن عبدالله، ۳۷۰؟ -۴۲۸ قمری</w:t>
      </w:r>
    </w:p>
    <w:p>
      <w:pPr>
        <w:pStyle w:val="BookText"/>
      </w:pPr>
      <w:r>
        <w:rPr>
          <w:rFonts w:ascii="Times New Roman" w:hAnsi="Times New Roman" w:eastAsia="Times New Roman" w:cs="Times New Roman"/>
          <w:lang w:val="en-US" w:bidi="en-US"/>
          <w:color w:val="111111"/>
          <w:sz w:val="28"/>
          <w:szCs w:val="28"/>
          <w:rtl/>
        </w:rPr>
        <w:t xml:space="preserve">ebn-e sīnā, hoseyn ebn-e “abd-ol-lāh (981-1038)</w:t>
      </w:r>
    </w:p>
    <w:p>
      <w:pPr>
        <w:pStyle w:val="BookText"/>
      </w:pPr>
      <w:r>
        <w:rPr>
          <w:rFonts w:ascii="IRNazanin" w:hAnsi="IRNazanin" w:eastAsia="IRNazanin" w:cs="IRNazanin"/>
          <w:lang w:bidi="fa-IR"/>
          <w:color w:val="111111"/>
          <w:sz w:val="28"/>
          <w:szCs w:val="28"/>
          <w:rtl/>
        </w:rPr>
        <w:t xml:space="preserve">یا چنانکه بر حاشیه صفحه نوشته شده است البهجة الظالة» خلاصه ای کوتاه در ۹ «باب» منطق است. مهدوی آن را ندیده و تنها از ارگین و قنواتی نقل کرده است. در منابع قدیمی معرفی آثار شیخ نیامده است.</w:t>
      </w:r>
    </w:p>
    <w:p>
      <w:pPr>
        <w:pStyle w:val="BookText"/>
      </w:pPr>
      <w:r>
        <w:rPr>
          <w:rFonts w:ascii="IRNazanin" w:hAnsi="IRNazanin" w:eastAsia="IRNazanin" w:cs="IRNazanin"/>
          <w:lang w:bidi="fa-IR"/>
          <w:color w:val="111111"/>
          <w:sz w:val="28"/>
          <w:szCs w:val="28"/>
          <w:rtl/>
        </w:rPr>
        <w:t xml:space="preserve">آغاز: بسملة. خير المبادي مازين بالحمد لواهب القوة على حمده، و الصلاة على نبيه محمد و آله. الكلام في هذا الكتاب يشتمل على معرفة المنطق ... و اقسامه تسعة: ايساغوجی، قاطیغو رياس ... الشعر</w:t>
      </w:r>
    </w:p>
    <w:p>
      <w:pPr>
        <w:pStyle w:val="BookText"/>
      </w:pPr>
      <w:r>
        <w:rPr>
          <w:rFonts w:ascii="IRNazanin" w:hAnsi="IRNazanin" w:eastAsia="IRNazanin" w:cs="IRNazanin"/>
          <w:lang w:bidi="fa-IR"/>
          <w:color w:val="111111"/>
          <w:sz w:val="28"/>
          <w:szCs w:val="28"/>
          <w:rtl/>
        </w:rPr>
        <w:t xml:space="preserve">انجام: يقول الخطيب في التعظيم: هو اول من فعل و ما اکثر ما فعل ... يقول كأني بعت يوسف بثمن بخس، و دللت على المسيح بثلاثين درهما. و قد ذكرنا كليات الكتب السبعة (التسعة) فلنختم الكتاب</w:t>
      </w:r>
    </w:p>
    <w:p>
      <w:pPr>
        <w:pStyle w:val="BookText"/>
      </w:pPr>
      <w:r>
        <w:rPr>
          <w:rFonts w:ascii="IRNazanin" w:hAnsi="IRNazanin" w:eastAsia="IRNazanin" w:cs="IRNazanin"/>
          <w:lang w:bidi="fa-IR"/>
          <w:color w:val="111111"/>
          <w:sz w:val="28"/>
          <w:szCs w:val="28"/>
          <w:rtl/>
        </w:rPr>
        <w:t xml:space="preserve">[دنا ۵۷۰/۲ ؛ مهدوی ص۵۳ش ۴۱]</w:t>
      </w:r>
    </w:p>
    <w:p>
      <w:pPr>
        <w:pStyle w:val="BookText"/>
      </w:pPr>
      <w:r>
        <w:rPr>
          <w:rFonts w:ascii="IRNazanin" w:hAnsi="IRNazanin" w:eastAsia="IRNazanin" w:cs="IRNazanin"/>
          <w:lang w:bidi="fa-IR"/>
          <w:color w:val="111111"/>
          <w:sz w:val="28"/>
          <w:szCs w:val="28"/>
          <w:rtl/>
        </w:rPr>
        <w:t xml:space="preserve">۱. تهران؛ دانشگاه؛ شماره نسخه: ۲۴۴۱/۹</w:t>
      </w:r>
    </w:p>
    <w:p>
      <w:pPr>
        <w:pStyle w:val="BookText"/>
      </w:pPr>
      <w:r>
        <w:rPr>
          <w:rFonts w:ascii="IRNazanin" w:hAnsi="IRNazanin" w:eastAsia="IRNazanin" w:cs="IRNazanin"/>
          <w:lang w:bidi="fa-IR"/>
          <w:color w:val="111111"/>
          <w:sz w:val="28"/>
          <w:szCs w:val="28"/>
          <w:rtl/>
        </w:rPr>
        <w:t xml:space="preserve">خط: نستعلیق، كان عبد الرشید، تا: چهارشنبه ۱۴ صفر ۱۰۵۲ق؛ کاغذ: سپاهانی، جلد: تیماج تریاکی ضربی زرکوب بیرون و درون، ۱۴ص (۱۰۶-۱۱۹)، ۲۵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اندازه: ۲۴/۵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 [ف: ۹-۱۱۲۰]</w:t>
      </w:r>
    </w:p>
    <w:p>
      <w:pPr>
        <w:pStyle w:val="BookText"/>
      </w:pPr>
      <w:r>
        <w:rPr>
          <w:rFonts w:ascii="IRNazanin" w:hAnsi="IRNazanin" w:eastAsia="IRNazanin" w:cs="IRNazanin"/>
          <w:lang w:bidi="fa-IR"/>
          <w:color w:val="111111"/>
          <w:sz w:val="28"/>
          <w:szCs w:val="28"/>
          <w:rtl/>
        </w:rPr>
        <w:t xml:space="preserve">۲. تهران؛ ملی؛ شماره نسخه: ۲۲۲۲/۶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تا: سه شنبه ۱۹ ذیحجه ۱۳۱۰ق، کاغذ: فرنگی، زرد، ۱۴گ (پ ۴۲-۲۹ پ)، ۱۷سطر [ف: ۱۱-۵۸۰]</w:t>
      </w:r>
    </w:p>
    <w:p>
      <w:pPr>
        <w:pStyle w:val="BookText"/>
      </w:pPr>
      <w:r>
        <w:rPr>
          <w:rFonts w:ascii="Amiri" w:hAnsi="Amiri" w:eastAsia="Amiri" w:cs="Amiri"/>
          <w:lang w:bidi="ar-SA"/>
          <w:color w:val="111111"/>
          <w:sz w:val="28"/>
          <w:szCs w:val="28"/>
          <w:rtl/>
        </w:rPr>
        <w:t xml:space="preserve">←بهجة القلوب← بهجة الاحباب و سرور الأصحاب</w:t>
      </w:r>
    </w:p>
    <w:p>
      <w:pPr>
        <w:pStyle w:val="Heading3"/>
      </w:pPr>
      <w:bookmarkStart w:id="1117" w:name="_Toc377"/>
      <w:r>
        <w:t>•بهجة القلوب / کیمیا / عربی</w:t>
      </w:r>
      <w:bookmarkEnd w:id="1117"/>
    </w:p>
    <w:p>
      <w:pPr>
        <w:pStyle w:val="BookText"/>
      </w:pPr>
      <w:r>
        <w:rPr>
          <w:rFonts w:ascii="Times New Roman" w:hAnsi="Times New Roman" w:eastAsia="Times New Roman" w:cs="Times New Roman"/>
          <w:lang w:val="en-US" w:bidi="en-US"/>
          <w:color w:val="111111"/>
          <w:sz w:val="28"/>
          <w:szCs w:val="28"/>
          <w:rtl/>
        </w:rPr>
        <w:t xml:space="preserve">bahjat-ol qolūb</w:t>
      </w:r>
    </w:p>
    <w:p>
      <w:pPr>
        <w:pStyle w:val="BookText"/>
      </w:pPr>
      <w:r>
        <w:rPr>
          <w:rFonts w:ascii="IRNazanin" w:hAnsi="IRNazanin" w:eastAsia="IRNazanin" w:cs="IRNazanin"/>
          <w:lang w:bidi="fa-IR"/>
          <w:color w:val="111111"/>
          <w:sz w:val="28"/>
          <w:szCs w:val="28"/>
          <w:rtl/>
        </w:rPr>
        <w:t xml:space="preserve">تهران؛ مجلس؛ شماره نسخه: ۱۵۹۳۷/۱۰</w:t>
      </w:r>
    </w:p>
    <w:p>
      <w:pPr>
        <w:pStyle w:val="BookText"/>
      </w:pPr>
      <w:r>
        <w:rPr>
          <w:rFonts w:ascii="IRNazanin" w:hAnsi="IRNazanin" w:eastAsia="IRNazanin" w:cs="IRNazanin"/>
          <w:lang w:bidi="fa-IR"/>
          <w:color w:val="111111"/>
          <w:sz w:val="28"/>
          <w:szCs w:val="28"/>
          <w:rtl/>
        </w:rPr>
        <w:t xml:space="preserve">آغاز: بسمله. حمدله. و الصلوة و السلام الاتمان علی محمد و آله الطاهرين اما بعد انا ذكرنا لك المطلب في كشف الاسرار؛ انجام: ان تجرية الاكسير من اليسير الى الكثير لا بالعكس فانه امر عسير و الله يصير كل عسير يسير.</w:t>
      </w:r>
    </w:p>
    <w:p>
      <w:pPr>
        <w:pStyle w:val="BookText"/>
      </w:pPr>
      <w:r>
        <w:rPr>
          <w:rFonts w:ascii="IRNazanin" w:hAnsi="IRNazanin" w:eastAsia="IRNazanin" w:cs="IRNazanin"/>
          <w:lang w:bidi="fa-IR"/>
          <w:color w:val="111111"/>
          <w:sz w:val="28"/>
          <w:szCs w:val="28"/>
          <w:rtl/>
        </w:rPr>
        <w:t xml:space="preserve">خط: نسخ، بی کا، بی تا؛ ركابه دارد؛ جلد: مقوا عطف پارچه، ۳۱ص (۵۳۹-۵۶۹)، ۱۷سطر،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۴۴-۱۴۴]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28" w:name="pg20363_209312"/>
    <w:bookmarkEnd w:id="128"/>
    <w:p>
      <w:pPr>
        <w:pStyle w:val="Heading3"/>
      </w:pPr>
      <w:bookmarkStart w:id="1118" w:name="_Toc378"/>
      <w:r>
        <w:t>•بهجت القلوب / فارسی</w:t>
      </w:r>
      <w:bookmarkEnd w:id="1118"/>
    </w:p>
    <w:p>
      <w:pPr>
        <w:pStyle w:val="BookText"/>
      </w:pPr>
      <w:r>
        <w:rPr>
          <w:rFonts w:ascii="Times New Roman" w:hAnsi="Times New Roman" w:eastAsia="Times New Roman" w:cs="Times New Roman"/>
          <w:lang w:val="en-US" w:bidi="en-US"/>
          <w:color w:val="111111"/>
          <w:sz w:val="28"/>
          <w:szCs w:val="28"/>
          <w:rtl/>
        </w:rPr>
        <w:t xml:space="preserve">bahjat-ol qolūb</w:t>
      </w:r>
    </w:p>
    <w:p>
      <w:pPr>
        <w:pStyle w:val="BookText"/>
      </w:pPr>
      <w:r>
        <w:rPr>
          <w:rFonts w:ascii="IRNazanin" w:hAnsi="IRNazanin" w:eastAsia="IRNazanin" w:cs="IRNazanin"/>
          <w:lang w:bidi="fa-IR"/>
          <w:color w:val="111111"/>
          <w:sz w:val="28"/>
          <w:szCs w:val="28"/>
          <w:rtl/>
        </w:rPr>
        <w:t xml:space="preserve">تهران؛ ملی؛ شماره نسخه: ۱۷۱۹۳</w:t>
      </w:r>
    </w:p>
    <w:p>
      <w:pPr>
        <w:pStyle w:val="BookText"/>
      </w:pPr>
      <w:r>
        <w:rPr>
          <w:rFonts w:ascii="IRNazanin" w:hAnsi="IRNazanin" w:eastAsia="IRNazanin" w:cs="IRNazanin"/>
          <w:lang w:bidi="fa-IR"/>
          <w:color w:val="111111"/>
          <w:sz w:val="28"/>
          <w:szCs w:val="28"/>
          <w:rtl/>
        </w:rPr>
        <w:t xml:space="preserve">بی کا، بی تا، خریداری از رسول فروزان کیا؛ اندازه:  ۲۲/۲۸۱۷/۲ سم (رایانه ]</w:t>
      </w:r>
    </w:p>
    <w:p>
      <w:pPr>
        <w:pStyle w:val="Heading3"/>
      </w:pPr>
      <w:bookmarkStart w:id="1119" w:name="_Toc379"/>
      <w:r>
        <w:t>•بهجة القلوب و سرور الفؤاد / فقه / فارسی</w:t>
      </w:r>
      <w:bookmarkEnd w:id="1119"/>
    </w:p>
    <w:p>
      <w:pPr>
        <w:pStyle w:val="BookText"/>
      </w:pPr>
      <w:r>
        <w:rPr>
          <w:rFonts w:ascii="Times New Roman" w:hAnsi="Times New Roman" w:eastAsia="Times New Roman" w:cs="Times New Roman"/>
          <w:lang w:val="en-US" w:bidi="en-US"/>
          <w:color w:val="111111"/>
          <w:sz w:val="28"/>
          <w:szCs w:val="28"/>
          <w:rtl/>
        </w:rPr>
        <w:t xml:space="preserve">bahjat-ol qolūb va sorūr-ol fo’ād</w:t>
      </w:r>
    </w:p>
    <w:p>
      <w:pPr>
        <w:pStyle w:val="BookText"/>
      </w:pPr>
      <w:r>
        <w:rPr>
          <w:rFonts w:ascii="IRNazanin" w:hAnsi="IRNazanin" w:eastAsia="IRNazanin" w:cs="IRNazanin"/>
          <w:lang w:bidi="fa-IR"/>
          <w:color w:val="111111"/>
          <w:sz w:val="28"/>
          <w:szCs w:val="28"/>
          <w:rtl/>
        </w:rPr>
        <w:t xml:space="preserve">حسینی، محمد اسماعيل بن محمد باقر، ق۱۳ قمری</w:t>
      </w:r>
    </w:p>
    <w:p>
      <w:pPr>
        <w:pStyle w:val="BookText"/>
      </w:pPr>
      <w:r>
        <w:rPr>
          <w:rFonts w:ascii="Times New Roman" w:hAnsi="Times New Roman" w:eastAsia="Times New Roman" w:cs="Times New Roman"/>
          <w:lang w:val="en-US" w:bidi="en-US"/>
          <w:color w:val="111111"/>
          <w:sz w:val="28"/>
          <w:szCs w:val="28"/>
          <w:rtl/>
        </w:rPr>
        <w:t xml:space="preserve">hoseynī, mohammad esmāʻīl ebn-e mohammad bāqer (- 19c)</w:t>
      </w:r>
    </w:p>
    <w:p>
      <w:pPr>
        <w:pStyle w:val="BookText"/>
      </w:pPr>
      <w:r>
        <w:rPr>
          <w:rFonts w:ascii="IRNazanin" w:hAnsi="IRNazanin" w:eastAsia="IRNazanin" w:cs="IRNazanin"/>
          <w:lang w:bidi="fa-IR"/>
          <w:color w:val="111111"/>
          <w:sz w:val="28"/>
          <w:szCs w:val="28"/>
          <w:rtl/>
        </w:rPr>
        <w:t xml:space="preserve">تاریخ تأليف: ۱۵ رجب ۱۲۳۳ق</w:t>
      </w:r>
    </w:p>
    <w:p>
      <w:pPr>
        <w:pStyle w:val="BookText"/>
      </w:pPr>
      <w:r>
        <w:rPr>
          <w:rFonts w:ascii="IRNazanin" w:hAnsi="IRNazanin" w:eastAsia="IRNazanin" w:cs="IRNazanin"/>
          <w:lang w:bidi="fa-IR"/>
          <w:color w:val="111111"/>
          <w:sz w:val="28"/>
          <w:szCs w:val="28"/>
          <w:rtl/>
        </w:rPr>
        <w:t xml:space="preserve">کتابی مفصل است در مورد انتقال پیکر مردگان به اماکن و مشاهد مقدسه، و بنا به تقاضای برخی از مؤمنین، دوستان و طلاب نگاشته شده. وی در مقدمه چنین آورده است: «هر چند این اقل سادات از روی احتیاط راه ترجیح مسائل عليه دينيه را بر خود مسدود ساخته و طریقه تقلید را پیش نهاد خود گردانیده اما چون مسئول ایشان مد الله عمر هم بسر حد کمال رسیده لازم دانسته که در این مسئله جلیله و بعضی از متفرعات جزیله آن به قدر الوسع جد و جهد نموده آنچه راحج آمده در سلک تحریر در آورده تا آنکه همگی آنام از خاص و عام از آن بهره مند گردند ...». این رساله در ۶ «فصل» و «خاتمه» ساخته شده: فصل 1. بدانکه علامه حلی رحمه الله در منتهی فرموده اند ... ۲. آنکه اخبارات و حکایات چند از ثقات بما رسیده .... ۳. آنکه در سلف و خلف متقدمین و متأخرین دین مبین .... ۴. آنکه حدیثی که از حضرت رسول(صلی الله علیه وآله وسلم) .... ۵. باید دانسته شود آنکه از جمله اموری که .... ۶. آنکه از جمله چیزهایی که منشأ دارد ...؟ خاتمه: چون در دیباچه این رساله عرض شد که ... .وی در پایان نسخه، فهرست كتاب ها و منابعی را که از آنها سود جسته و نیز فهرست نام عالمان را آورده و از تمام آنها با عبارت «اعلى الله مقاماتهم و نور الله ضرایحم» یاد کرده، چون: علامه مجلسی ( ۱۱۱۰ق)، میرزا ابوالقاسم قمی «میرزای قمی» (- ۱۲۳۱ق)، ملا مهدی نراقی (-۱۲۰۹ق)، شهید ثالث، مسودات والد علامه اش، میر محمد اسماعیل جد علامه اش، میر محمد صادق برادر بزرگش (البته از او در متن با عبارت «دام عزه و عمره» یاد کرده) و دیگران. وی شعر نیز می سروده است. نامی از او و کتابش در منابع موجود یافت نگردید.</w:t>
      </w:r>
    </w:p>
    <w:p>
      <w:pPr>
        <w:pStyle w:val="BookText"/>
      </w:pPr>
      <w:r>
        <w:rPr>
          <w:rFonts w:ascii="IRNazanin" w:hAnsi="IRNazanin" w:eastAsia="IRNazanin" w:cs="IRNazanin"/>
          <w:lang w:bidi="fa-IR"/>
          <w:color w:val="111111"/>
          <w:sz w:val="28"/>
          <w:szCs w:val="28"/>
          <w:rtl/>
        </w:rPr>
        <w:t xml:space="preserve">قم؛ مرعشی؛ شماره نسخه: ۱۵۰۹۷</w:t>
      </w:r>
    </w:p>
    <w:p>
      <w:pPr>
        <w:pStyle w:val="BookText"/>
      </w:pPr>
      <w:r>
        <w:rPr>
          <w:rFonts w:ascii="IRNazanin" w:hAnsi="IRNazanin" w:eastAsia="IRNazanin" w:cs="IRNazanin"/>
          <w:lang w:bidi="fa-IR"/>
          <w:color w:val="111111"/>
          <w:sz w:val="28"/>
          <w:szCs w:val="28"/>
          <w:rtl/>
        </w:rPr>
        <w:t xml:space="preserve">آغاز: الحمدلله الذي ارشدنا طريق الرشاد و هدانا سبيل الإرشاد ... اما بعد، پس بدرستی که بعضی از مؤمنین و برخی از مسلمین ... از این بنده خاکسار ... خواهش نمودند که چون درباره نقل نعش اموات بسوى مشاهد مقدسه و امکنه متبرکه بين الأنام من الخواص و لعوام سخنها مذکور گردیده؛ انجام: بعد حمد خدا و شکر جلی*** بر محمد درود لم يزلی / نعت بی حد و مدح بی پایان*** بر علی و آل پاک علی.</w:t>
      </w:r>
    </w:p>
    <w:p>
      <w:pPr>
        <w:pStyle w:val="BookText"/>
      </w:pPr>
      <w:r>
        <w:rPr>
          <w:rFonts w:ascii="IRNazanin" w:hAnsi="IRNazanin" w:eastAsia="IRNazanin" w:cs="IRNazanin"/>
          <w:lang w:bidi="fa-IR"/>
          <w:color w:val="111111"/>
          <w:sz w:val="28"/>
          <w:szCs w:val="28"/>
          <w:rtl/>
        </w:rPr>
        <w:t xml:space="preserve">خط: نسخ، كاتب = مؤلف، تا: ۱۵ رجب ۱۲۳۳ق؛ محشی با نشان منه و منه عفى عنه»، مصحح؛ کاغذ: فرنگی، جلد: تیماج زرشکی ضربی با ترنج و لچک، ۹۲، ۱۴-۱۵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سم [ف: ۳۸-۲۶۰]</w:t>
      </w:r>
    </w:p>
    <w:p>
      <w:pPr>
        <w:pStyle w:val="Heading3"/>
      </w:pPr>
      <w:bookmarkStart w:id="1120" w:name="_Toc380"/>
      <w:r>
        <w:t>•بهجة القلوب و قوت الارواح / موسیقی / فارسی</w:t>
      </w:r>
      <w:bookmarkEnd w:id="1120"/>
    </w:p>
    <w:p>
      <w:pPr>
        <w:pStyle w:val="BookText"/>
      </w:pPr>
      <w:r>
        <w:rPr>
          <w:rFonts w:ascii="Times New Roman" w:hAnsi="Times New Roman" w:eastAsia="Times New Roman" w:cs="Times New Roman"/>
          <w:lang w:val="en-US" w:bidi="en-US"/>
          <w:color w:val="111111"/>
          <w:sz w:val="28"/>
          <w:szCs w:val="28"/>
          <w:rtl/>
        </w:rPr>
        <w:t xml:space="preserve">bahjat-ol qolūb va qovvat-ol arvāh</w:t>
      </w:r>
    </w:p>
    <w:p>
      <w:pPr>
        <w:pStyle w:val="BookText"/>
      </w:pPr>
      <w:r>
        <w:rPr>
          <w:rFonts w:ascii="IRNazanin" w:hAnsi="IRNazanin" w:eastAsia="IRNazanin" w:cs="IRNazanin"/>
          <w:lang w:bidi="fa-IR"/>
          <w:color w:val="111111"/>
          <w:sz w:val="28"/>
          <w:szCs w:val="28"/>
          <w:rtl/>
        </w:rPr>
        <w:t xml:space="preserve">شیرازی، عبدالحسين بن مهدی</w:t>
      </w:r>
    </w:p>
    <w:p>
      <w:pPr>
        <w:pStyle w:val="BookText"/>
      </w:pPr>
      <w:r>
        <w:rPr>
          <w:rFonts w:ascii="Times New Roman" w:hAnsi="Times New Roman" w:eastAsia="Times New Roman" w:cs="Times New Roman"/>
          <w:lang w:val="en-US" w:bidi="en-US"/>
          <w:color w:val="111111"/>
          <w:sz w:val="28"/>
          <w:szCs w:val="28"/>
          <w:rtl/>
        </w:rPr>
        <w:t xml:space="preserve">šīrāzī, ‘abd-ol-hoseyn ebn-e mahdī</w:t>
      </w:r>
    </w:p>
    <w:p>
      <w:pPr>
        <w:pStyle w:val="BookText"/>
      </w:pPr>
      <w:r>
        <w:rPr>
          <w:rFonts w:ascii="IRNazanin" w:hAnsi="IRNazanin" w:eastAsia="IRNazanin" w:cs="IRNazanin"/>
          <w:lang w:bidi="fa-IR"/>
          <w:color w:val="111111"/>
          <w:sz w:val="28"/>
          <w:szCs w:val="28"/>
          <w:rtl/>
        </w:rPr>
        <w:t xml:space="preserve">گرفته از رساله ساختگی به نام صفی الدین در موسیقی. دنا ۵۵۳/۲</w:t>
      </w:r>
    </w:p>
    <w:p>
      <w:pPr>
        <w:pStyle w:val="BookText"/>
      </w:pPr>
      <w:r>
        <w:rPr>
          <w:rFonts w:ascii="IRNazanin" w:hAnsi="IRNazanin" w:eastAsia="IRNazanin" w:cs="IRNazanin"/>
          <w:lang w:bidi="fa-IR"/>
          <w:color w:val="111111"/>
          <w:sz w:val="28"/>
          <w:szCs w:val="28"/>
          <w:rtl/>
        </w:rPr>
        <w:t xml:space="preserve">؛ نسخه های منزوی ۳۸۸۸]</w:t>
      </w:r>
    </w:p>
    <w:p>
      <w:pPr>
        <w:pStyle w:val="BookText"/>
      </w:pPr>
      <w:r>
        <w:rPr>
          <w:rFonts w:ascii="IRNazanin" w:hAnsi="IRNazanin" w:eastAsia="IRNazanin" w:cs="IRNazanin"/>
          <w:lang w:bidi="fa-IR"/>
          <w:color w:val="111111"/>
          <w:sz w:val="28"/>
          <w:szCs w:val="28"/>
          <w:rtl/>
        </w:rPr>
        <w:t xml:space="preserve">تهران؛ مجلس؛ شماره نسخه: ۶/۲</w:t>
      </w:r>
    </w:p>
    <w:p>
      <w:pPr>
        <w:pStyle w:val="BookText"/>
      </w:pPr>
      <w:r>
        <w:rPr>
          <w:rFonts w:ascii="IRNazanin" w:hAnsi="IRNazanin" w:eastAsia="IRNazanin" w:cs="IRNazanin"/>
          <w:lang w:bidi="fa-IR"/>
          <w:color w:val="111111"/>
          <w:sz w:val="28"/>
          <w:szCs w:val="28"/>
          <w:rtl/>
        </w:rPr>
        <w:t xml:space="preserve">خط: نسخ، بی کا، تا: قرن ۱۲ و ۱۳؛ مهر: محمد ابراهیم حسینی؛ محشی؛ کاغذ: سفید و آبی، جلد: تیماج حنایی یک لایی، ۸۲ص ( ۱۱۳-۳۲ )، ۱۶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[سنا: ف: ۱-۳]</w:t>
      </w:r>
    </w:p>
    <w:p>
      <w:pPr>
        <w:pStyle w:val="Heading3"/>
      </w:pPr>
      <w:bookmarkStart w:id="1121" w:name="_Toc381"/>
      <w:r>
        <w:t>•بهجة القمر في مدح خیر البشر / شعر / عربی</w:t>
      </w:r>
      <w:bookmarkEnd w:id="1121"/>
    </w:p>
    <w:p>
      <w:pPr>
        <w:pStyle w:val="BookText"/>
      </w:pPr>
      <w:r>
        <w:rPr>
          <w:rFonts w:ascii="Times New Roman" w:hAnsi="Times New Roman" w:eastAsia="Times New Roman" w:cs="Times New Roman"/>
          <w:lang w:val="en-US" w:bidi="en-US"/>
          <w:color w:val="111111"/>
          <w:sz w:val="28"/>
          <w:szCs w:val="28"/>
          <w:rtl/>
        </w:rPr>
        <w:t xml:space="preserve">bahjat-ul qamar fī madh-i xayr-il bašar</w:t>
      </w:r>
    </w:p>
    <w:p>
      <w:pPr>
        <w:pStyle w:val="BookText"/>
      </w:pPr>
      <w:r>
        <w:rPr>
          <w:rFonts w:ascii="IRNazanin" w:hAnsi="IRNazanin" w:eastAsia="IRNazanin" w:cs="IRNazanin"/>
          <w:lang w:bidi="fa-IR"/>
          <w:color w:val="111111"/>
          <w:sz w:val="28"/>
          <w:szCs w:val="28"/>
          <w:rtl/>
        </w:rPr>
        <w:t xml:space="preserve">مقری، احمد بن اسماعیل، ق۸ قمری</w:t>
      </w:r>
    </w:p>
    <w:p>
      <w:pPr>
        <w:pStyle w:val="BookText"/>
      </w:pPr>
      <w:r>
        <w:rPr>
          <w:rFonts w:ascii="Times New Roman" w:hAnsi="Times New Roman" w:eastAsia="Times New Roman" w:cs="Times New Roman"/>
          <w:lang w:val="en-US" w:bidi="en-US"/>
          <w:color w:val="111111"/>
          <w:sz w:val="28"/>
          <w:szCs w:val="28"/>
          <w:rtl/>
        </w:rPr>
        <w:t xml:space="preserve">maqarrī, ahmad ebn-e esmāʻīl (- 14c)</w:t>
      </w:r>
    </w:p>
    <w:p>
      <w:pPr>
        <w:pStyle w:val="BookText"/>
      </w:pPr>
      <w:r>
        <w:rPr>
          <w:rFonts w:ascii="IRNazanin" w:hAnsi="IRNazanin" w:eastAsia="IRNazanin" w:cs="IRNazanin"/>
          <w:lang w:bidi="fa-IR"/>
          <w:color w:val="111111"/>
          <w:sz w:val="28"/>
          <w:szCs w:val="28"/>
          <w:rtl/>
        </w:rPr>
        <w:t xml:space="preserve">این دیوان با تخلص «المقری» مشتمل بر چند مخمس و مسدس و قصاید و دوبیتی می باشد در مدح حضرت پیامبر اکرم(صلی الله علیه وآله وسلم)و چند شعری در فضائل اهل بیت (علیه السلام). در زندگینامه ابن المقری گفته اند که دیوانی در مدح حضرت رسول دارد و باید تحقیق شود که این مجموعه دیوان همو است یا مقری دیگری است. این دیوان دارای دیباچه منشوری است.</w:t>
      </w:r>
    </w:p>
    <w:p>
      <w:pPr>
        <w:pStyle w:val="BookText"/>
      </w:pPr>
      <w:r>
        <w:rPr>
          <w:rFonts w:ascii="IRNazanin" w:hAnsi="IRNazanin" w:eastAsia="IRNazanin" w:cs="IRNazanin"/>
          <w:lang w:bidi="fa-IR"/>
          <w:color w:val="111111"/>
          <w:sz w:val="28"/>
          <w:szCs w:val="28"/>
          <w:rtl/>
        </w:rPr>
        <w:t xml:space="preserve">قم، مرکز احیاء؛ شماره نسخه: ۴۰۹</w:t>
      </w:r>
    </w:p>
    <w:p>
      <w:pPr>
        <w:pStyle w:val="BookText"/>
      </w:pPr>
      <w:r>
        <w:rPr>
          <w:rFonts w:ascii="IRNazanin" w:hAnsi="IRNazanin" w:eastAsia="IRNazanin" w:cs="IRNazanin"/>
          <w:lang w:bidi="fa-IR"/>
          <w:color w:val="111111"/>
          <w:sz w:val="28"/>
          <w:szCs w:val="28"/>
          <w:rtl/>
        </w:rPr>
        <w:t xml:space="preserve">آغاز: قلبي بحب رسول الله مجبول*** و خاطرى بمديح فيه مجبول / مولی به نالنا عزو تفضيل*** مدح الرسول لنا تاج و اکلیل*** و حبنا نهجه السامي هو السول خط: نسخ معرب، بی کا، تا: قرن ۱۲؛ افتادگی: انجام؛ فقط نیم صفحه آخر دیباچه منثور آن موجود است؛ جلد: تیماج مشکی، ۱۰۰گ، ۱۲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۲-۱۱]</w:t>
      </w:r>
    </w:p>
    <w:p>
      <w:pPr>
        <w:pStyle w:val="Heading3"/>
      </w:pPr>
      <w:bookmarkStart w:id="1122" w:name="_Toc382"/>
      <w:r>
        <w:t>•بهجة اللغات في تلخيص لهجة اللغات / لغت / ترکی و عربی</w:t>
      </w:r>
      <w:bookmarkEnd w:id="1122"/>
    </w:p>
    <w:p>
      <w:pPr>
        <w:pStyle w:val="BookText"/>
      </w:pPr>
      <w:r>
        <w:rPr>
          <w:rFonts w:ascii="Times New Roman" w:hAnsi="Times New Roman" w:eastAsia="Times New Roman" w:cs="Times New Roman"/>
          <w:lang w:val="en-US" w:bidi="en-US"/>
          <w:color w:val="111111"/>
          <w:sz w:val="28"/>
          <w:szCs w:val="28"/>
          <w:rtl/>
        </w:rPr>
        <w:t xml:space="preserve">bahjat-ul lugāt fi talxış-i lahjat-il lugāt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29" w:name="pg20363_209313"/>
    <w:bookmarkEnd w:id="129"/>
    <w:p>
      <w:pPr>
        <w:pStyle w:val="BookText"/>
      </w:pPr>
      <w:r>
        <w:rPr>
          <w:rFonts w:ascii="IRNazanin" w:hAnsi="IRNazanin" w:eastAsia="IRNazanin" w:cs="IRNazanin"/>
          <w:lang w:bidi="fa-IR"/>
          <w:color w:val="111111"/>
          <w:sz w:val="28"/>
          <w:szCs w:val="28"/>
          <w:rtl/>
        </w:rPr>
        <w:t xml:space="preserve">شیخ الاسلام رومی، محمد اسعد بن اسماعیل، -۱۱۶۶ قمری</w:t>
      </w:r>
    </w:p>
    <w:p>
      <w:pPr>
        <w:pStyle w:val="BookText"/>
      </w:pPr>
      <w:r>
        <w:rPr>
          <w:rFonts w:ascii="Times New Roman" w:hAnsi="Times New Roman" w:eastAsia="Times New Roman" w:cs="Times New Roman"/>
          <w:lang w:val="en-US" w:bidi="en-US"/>
          <w:color w:val="111111"/>
          <w:sz w:val="28"/>
          <w:szCs w:val="28"/>
          <w:rtl/>
        </w:rPr>
        <w:t xml:space="preserve">šayx-ol-eslām rūmī, mohammad as'ad ebn-e esmāʻīl ( 1753)</w:t>
      </w:r>
    </w:p>
    <w:p>
      <w:pPr>
        <w:pStyle w:val="BookText"/>
      </w:pPr>
      <w:r>
        <w:rPr>
          <w:rFonts w:ascii="IRNazanin" w:hAnsi="IRNazanin" w:eastAsia="IRNazanin" w:cs="IRNazanin"/>
          <w:lang w:bidi="fa-IR"/>
          <w:color w:val="111111"/>
          <w:sz w:val="28"/>
          <w:szCs w:val="28"/>
          <w:rtl/>
        </w:rPr>
        <w:t xml:space="preserve">اهداء به: محمود خان بن مصطفى بن محمد (۱۱۴۳-۱۱۶۸) تلخیصی است از لهجة اللغات مؤلف که آن را به جهت سلطان محمود خان تألیف کرده و شامل منتخبی از لغات و معانی الفاظ فارسی و ترکی و عربی به ترتیب حروف تهجی است.</w:t>
      </w:r>
    </w:p>
    <w:p>
      <w:pPr>
        <w:pStyle w:val="BookText"/>
      </w:pPr>
      <w:r>
        <w:rPr>
          <w:rFonts w:ascii="IRNazanin" w:hAnsi="IRNazanin" w:eastAsia="IRNazanin" w:cs="IRNazanin"/>
          <w:lang w:bidi="fa-IR"/>
          <w:color w:val="111111"/>
          <w:sz w:val="28"/>
          <w:szCs w:val="28"/>
          <w:rtl/>
        </w:rPr>
        <w:t xml:space="preserve">آغاز: بسمله سبحان من انطق مستحل السن اللمس ...</w:t>
      </w:r>
    </w:p>
    <w:p>
      <w:pPr>
        <w:pStyle w:val="BookText"/>
      </w:pPr>
      <w:r>
        <w:rPr>
          <w:rFonts w:ascii="IRNazanin" w:hAnsi="IRNazanin" w:eastAsia="IRNazanin" w:cs="IRNazanin"/>
          <w:lang w:bidi="fa-IR"/>
          <w:color w:val="111111"/>
          <w:sz w:val="28"/>
          <w:szCs w:val="28"/>
          <w:rtl/>
        </w:rPr>
        <w:t xml:space="preserve">چاپ: استانبول، ۱۲۱۶</w:t>
      </w:r>
    </w:p>
    <w:p>
      <w:pPr>
        <w:pStyle w:val="BookText"/>
      </w:pPr>
      <w:r>
        <w:rPr>
          <w:rFonts w:ascii="IRNazanin" w:hAnsi="IRNazanin" w:eastAsia="IRNazanin" w:cs="IRNazanin"/>
          <w:lang w:bidi="fa-IR"/>
          <w:color w:val="111111"/>
          <w:sz w:val="28"/>
          <w:szCs w:val="28"/>
          <w:rtl/>
        </w:rPr>
        <w:t xml:space="preserve">[ بلوشه ۱۳۵۲</w:t>
      </w:r>
      <w:r>
        <w:rPr>
          <w:rFonts w:ascii="Times New Roman" w:hAnsi="Times New Roman" w:eastAsia="Times New Roman" w:cs="Times New Roman"/>
          <w:lang w:val="en-US" w:bidi="en-US"/>
          <w:color w:val="111111"/>
          <w:sz w:val="28"/>
          <w:szCs w:val="28"/>
          <w:rtl/>
        </w:rPr>
        <w:t xml:space="preserve">S</w:t>
      </w:r>
      <w:r>
        <w:rPr>
          <w:rFonts w:ascii="IRNazanin" w:hAnsi="IRNazanin" w:eastAsia="IRNazanin" w:cs="IRNazanin"/>
          <w:lang w:bidi="fa-IR"/>
          <w:color w:val="111111"/>
          <w:sz w:val="28"/>
          <w:szCs w:val="28"/>
          <w:rtl/>
        </w:rPr>
        <w:t xml:space="preserve">؛ قرطای ۲۱۰۴ تا ۲۱۱۰؛ عثمانلی مؤلفاری ۱: ۲۳۸؛ ایضاح المكنون ۲۲۲/۱ ؛ دنا ۵۵۳/۲ ]</w:t>
      </w:r>
    </w:p>
    <w:p>
      <w:pPr>
        <w:pStyle w:val="BookText"/>
      </w:pPr>
      <w:r>
        <w:rPr>
          <w:rFonts w:ascii="IRNazanin" w:hAnsi="IRNazanin" w:eastAsia="IRNazanin" w:cs="IRNazanin"/>
          <w:lang w:bidi="fa-IR"/>
          <w:color w:val="111111"/>
          <w:sz w:val="28"/>
          <w:szCs w:val="28"/>
          <w:rtl/>
        </w:rPr>
        <w:t xml:space="preserve">۱. تهران: مجلس؛ شماره نسخه: ۸۲۱۸</w:t>
      </w:r>
    </w:p>
    <w:p>
      <w:pPr>
        <w:pStyle w:val="BookText"/>
      </w:pPr>
      <w:r>
        <w:rPr>
          <w:rFonts w:ascii="Amiri" w:hAnsi="Amiri" w:eastAsia="Amiri" w:cs="Amiri"/>
          <w:lang w:bidi="ar-SA"/>
          <w:color w:val="111111"/>
          <w:sz w:val="28"/>
          <w:szCs w:val="28"/>
          <w:rtl/>
        </w:rPr>
        <w:t xml:space="preserve">آغاز: برابر؛ انجام: ناظرا فيه يخرج الطيبات من فيه بعون الاله.</w:t>
      </w:r>
    </w:p>
    <w:p>
      <w:pPr>
        <w:pStyle w:val="BookText"/>
      </w:pPr>
      <w:r>
        <w:rPr>
          <w:rFonts w:ascii="IRNazanin" w:hAnsi="IRNazanin" w:eastAsia="IRNazanin" w:cs="IRNazanin"/>
          <w:lang w:bidi="fa-IR"/>
          <w:color w:val="111111"/>
          <w:sz w:val="28"/>
          <w:szCs w:val="28"/>
          <w:rtl/>
        </w:rPr>
        <w:t xml:space="preserve">خط: نسخ به شیوه ترکی عثمانی، بی کا، تا: قرن ۱۲؛ مجدول تملك: احمد صادق زیور کاتب حالت افندی به تاریخ ۱۲۲۹ق، عبدالحليم بن احمد بن محمود؛ جلد: تیماج يشمی، سوخت، ترنج، ۳۱۸گ، ۱۳ سطر، اندازه: ۱۶/۵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۲۷/۵ سم [ف: ۲۷/۲ -۱۶]</w:t>
      </w:r>
    </w:p>
    <w:p>
      <w:pPr>
        <w:pStyle w:val="BookText"/>
      </w:pPr>
      <w:r>
        <w:rPr>
          <w:rFonts w:ascii="IRNazanin" w:hAnsi="IRNazanin" w:eastAsia="IRNazanin" w:cs="IRNazanin"/>
          <w:lang w:bidi="fa-IR"/>
          <w:color w:val="111111"/>
          <w:sz w:val="28"/>
          <w:szCs w:val="28"/>
          <w:rtl/>
        </w:rPr>
        <w:t xml:space="preserve">۲. تهران؛ سلطنتی؛ شماره نسخه: ۱۳۵</w:t>
      </w:r>
    </w:p>
    <w:p>
      <w:pPr>
        <w:pStyle w:val="BookText"/>
      </w:pPr>
      <w:r>
        <w:rPr>
          <w:rFonts w:ascii="IRNazanin" w:hAnsi="IRNazanin" w:eastAsia="IRNazanin" w:cs="IRNazanin"/>
          <w:lang w:bidi="fa-IR"/>
          <w:color w:val="111111"/>
          <w:sz w:val="28"/>
          <w:szCs w:val="28"/>
          <w:rtl/>
        </w:rPr>
        <w:t xml:space="preserve">در فهرست ناشناس آمده؛ خط: نسخ به شیوه ترکی، كا: عثمان بن احمد، بی تا؛ مجدول، یک سرلوح مذهب مرصع به سبک ترکی، به سال های ۱۲۸۲ و ۱۳۲۲ به ترتیب از عرض</w:t>
      </w:r>
    </w:p>
    <w:p>
      <w:pPr>
        <w:pStyle w:val="BookText"/>
      </w:pPr>
      <w:r>
        <w:rPr>
          <w:rFonts w:ascii="IRNazanin" w:hAnsi="IRNazanin" w:eastAsia="IRNazanin" w:cs="IRNazanin"/>
          <w:lang w:bidi="fa-IR"/>
          <w:color w:val="111111"/>
          <w:sz w:val="28"/>
          <w:szCs w:val="28"/>
          <w:rtl/>
        </w:rPr>
        <w:t xml:space="preserve">کتابخانه مبارکه گذشته؛ مهر: ناصرالدین شاه قاجار؛ تملک: سليمان سالم افندی به تاریخ ۱۱۸۹ق، يوسف</w:t>
      </w:r>
    </w:p>
    <w:p>
      <w:pPr>
        <w:pStyle w:val="BookText"/>
      </w:pPr>
      <w:r>
        <w:rPr>
          <w:rFonts w:ascii="IRNazanin" w:hAnsi="IRNazanin" w:eastAsia="IRNazanin" w:cs="IRNazanin"/>
          <w:lang w:bidi="fa-IR"/>
          <w:color w:val="111111"/>
          <w:sz w:val="28"/>
          <w:szCs w:val="28"/>
          <w:rtl/>
        </w:rPr>
        <w:t xml:space="preserve">پاشا در ۱۲۰۰؛ کاغذ: فستقی، جلد: مقوای روغنی بوم قهوه ای سوخته زرک منقش به گل و بته الوان در حاشیه زمینه مشکی دانه تسبیحی زرین، ۶۳۷ص، ۱۹ سطر، قطع : وزیری متوسط،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۷-۱۵۵]</w:t>
      </w:r>
    </w:p>
    <w:p>
      <w:pPr>
        <w:pStyle w:val="BookText"/>
      </w:pPr>
      <w:r>
        <w:rPr>
          <w:rFonts w:ascii="Amiri" w:hAnsi="Amiri" w:eastAsia="Amiri" w:cs="Amiri"/>
          <w:lang w:bidi="ar-SA"/>
          <w:color w:val="111111"/>
          <w:sz w:val="28"/>
          <w:szCs w:val="28"/>
          <w:rtl/>
        </w:rPr>
        <w:t xml:space="preserve">← بهجة اللغة ← لغت اتراكيه</w:t>
      </w:r>
    </w:p>
    <w:p>
      <w:pPr>
        <w:pStyle w:val="Heading3"/>
      </w:pPr>
      <w:bookmarkStart w:id="1123" w:name="_Toc383"/>
      <w:r>
        <w:t>• بهجة المباهج في تلخيص مباهج المهج في مناهج الحجج / تاریخ معصومین / فارسی</w:t>
      </w:r>
      <w:bookmarkEnd w:id="1123"/>
    </w:p>
    <w:p>
      <w:pPr>
        <w:pStyle w:val="BookText"/>
      </w:pPr>
      <w:r>
        <w:rPr>
          <w:rFonts w:ascii="Times New Roman" w:hAnsi="Times New Roman" w:eastAsia="Times New Roman" w:cs="Times New Roman"/>
          <w:lang w:val="en-US" w:bidi="en-US"/>
          <w:color w:val="111111"/>
          <w:sz w:val="28"/>
          <w:szCs w:val="28"/>
          <w:rtl/>
        </w:rPr>
        <w:t xml:space="preserve">bahjat-ul mabāhij fī talxīş-i mabāhij-il muhaj fi manāhij-il þujaj</w:t>
      </w:r>
    </w:p>
    <w:p>
      <w:pPr>
        <w:pStyle w:val="BookText"/>
      </w:pPr>
      <w:r>
        <w:rPr>
          <w:rFonts w:ascii="IRNazanin" w:hAnsi="IRNazanin" w:eastAsia="IRNazanin" w:cs="IRNazanin"/>
          <w:lang w:bidi="fa-IR"/>
          <w:color w:val="111111"/>
          <w:sz w:val="28"/>
          <w:szCs w:val="28"/>
          <w:rtl/>
        </w:rPr>
        <w:t xml:space="preserve">شیعی سبزواری، حسن بن حسین، ۷۹۵ قمری</w:t>
      </w:r>
    </w:p>
    <w:p>
      <w:pPr>
        <w:pStyle w:val="BookText"/>
      </w:pPr>
      <w:r>
        <w:rPr>
          <w:rFonts w:ascii="Times New Roman" w:hAnsi="Times New Roman" w:eastAsia="Times New Roman" w:cs="Times New Roman"/>
          <w:lang w:val="en-US" w:bidi="en-US"/>
          <w:color w:val="111111"/>
          <w:sz w:val="28"/>
          <w:szCs w:val="28"/>
          <w:rtl/>
        </w:rPr>
        <w:t xml:space="preserve">šīʻī sabzevārī, hasan ebn-e hoseyn (- 1393)</w:t>
      </w:r>
    </w:p>
    <w:p>
      <w:pPr>
        <w:pStyle w:val="BookText"/>
      </w:pPr>
      <w:r>
        <w:rPr>
          <w:rFonts w:ascii="IRNazanin" w:hAnsi="IRNazanin" w:eastAsia="IRNazanin" w:cs="IRNazanin"/>
          <w:lang w:bidi="fa-IR"/>
          <w:color w:val="111111"/>
          <w:sz w:val="28"/>
          <w:szCs w:val="28"/>
          <w:rtl/>
        </w:rPr>
        <w:t xml:space="preserve">وابسته به مباهج المهج في مناهج الحجج؛ بیهقی نیشابوری کیدری، محمد بن حسین (6-)</w:t>
      </w:r>
    </w:p>
    <w:p>
      <w:pPr>
        <w:pStyle w:val="BookText"/>
      </w:pPr>
      <w:r>
        <w:rPr>
          <w:rFonts w:ascii="IRNazanin" w:hAnsi="IRNazanin" w:eastAsia="IRNazanin" w:cs="IRNazanin"/>
          <w:lang w:bidi="fa-IR"/>
          <w:color w:val="111111"/>
          <w:sz w:val="28"/>
          <w:szCs w:val="28"/>
          <w:rtl/>
        </w:rPr>
        <w:t xml:space="preserve">اهدا به: خواجه نظام الدین یحیی بن شمس الدین حیدر کرانی (۷۵۳-۷۵۹)</w:t>
      </w:r>
    </w:p>
    <w:p>
      <w:pPr>
        <w:pStyle w:val="BookText"/>
      </w:pPr>
      <w:r>
        <w:rPr>
          <w:rFonts w:ascii="IRNazanin" w:hAnsi="IRNazanin" w:eastAsia="IRNazanin" w:cs="IRNazanin"/>
          <w:lang w:bidi="fa-IR"/>
          <w:color w:val="111111"/>
          <w:sz w:val="28"/>
          <w:szCs w:val="28"/>
          <w:rtl/>
        </w:rPr>
        <w:t xml:space="preserve">این کتاب ترجمه و خلاصه «مباهج المهج» قطب الدین کیدری و در سیره و مناقب و غزوات و معجزات پیغمبر اکرم و خاندان عصمت(علیهم السلام)است و مترجم بر آن اخبار و مطالبی افزوده است. کتاب مرتب بر ۴۴ «فصل» است: فصل اول: «في ولادة النبي(صلی الله علیه وآله وسلم)روایت است از امام محمد باقر عليه السلم خازن علم نبوی و مبین حقایق دینی از پدرش و از جدش صلى الله عليه و آله فرمود من و برادرم على علیه السلم از یک نوریم در حضرت عنایت الهى الخ»؛ فصل آخر کتاب راجع به حضرت صاحب الامر (عجل الله تعالی فرجه) است: «فصل الرابع و الأربعون في ذكر طرف من صفاته و منازله روایت کرد محمد بن عبدالله الجعفري الحمیری از پدرش الخ».</w:t>
      </w:r>
    </w:p>
    <w:p>
      <w:pPr>
        <w:pStyle w:val="BookText"/>
      </w:pPr>
      <w:r>
        <w:rPr>
          <w:rFonts w:ascii="IRNazanin" w:hAnsi="IRNazanin" w:eastAsia="IRNazanin" w:cs="IRNazanin"/>
          <w:lang w:bidi="fa-IR"/>
          <w:color w:val="111111"/>
          <w:sz w:val="28"/>
          <w:szCs w:val="28"/>
          <w:rtl/>
        </w:rPr>
        <w:t xml:space="preserve">مؤلف خود در مقدمه گوید که مدتی بخاطر داشته که در فضایل ائمه(علیهم السلام) کتابی گرد آورد و چون به کتاب «مناهج المهج» تأليف قطب الدين ...... بن حسین کندری پی برده، کتاب خود را بنا بر آن ترتیب داده است. نام این کتاب، در کشف الحجب و الاستار (ص ۹۰ و ص ۵۵۷) «مناهج المنهج» ضبط شده ولی چون مؤلف، کتاب خود را به پیروی از آن کتاب اصل بهجة المباهج» نامیده است پیداست که ضبط «مباهج المهج» درست است و مؤلف كشف الحجب و الاستار به شبهه رفته است. در نام مؤلف «مباهج المهج» اینکه مؤلف آن کتاب، قطب الدین کیدری است یا کندری، صاحب روضات الجنات» سخنی مبسوط دارد و پس از نقل ادله هر دو نظر، خود کیدری( با یاء) را ترجیح داده و اقرب به صواب دانسته است. نسخه های بهجة المباهج در آغاز و انجام، تعداد فصل ها و حتی تعبیرات و کلمات، بسیار مختلف و متفاوت اند.</w:t>
      </w:r>
    </w:p>
    <w:p>
      <w:pPr>
        <w:pStyle w:val="BookText"/>
      </w:pPr>
      <w:r>
        <w:rPr>
          <w:rFonts w:ascii="IRNazanin" w:hAnsi="IRNazanin" w:eastAsia="IRNazanin" w:cs="IRNazanin"/>
          <w:lang w:bidi="fa-IR"/>
          <w:color w:val="111111"/>
          <w:sz w:val="28"/>
          <w:szCs w:val="28"/>
          <w:rtl/>
        </w:rPr>
        <w:t xml:space="preserve">آغاز: بسمله. و به نستعين حمد بی حد و ثنای بی عد آن خدای را که رواق معلق آسمان برافراشته و برداشته حکمت او است و این بسيط هامون و بساط نیلگون باز کشیده و آرمیده صنعت اوست ... مدتی بود که در خاطر این ضعيف ابو سعید حسن بن حسين شیعی سبزواری ... میگوید که در فضائل و معجزات سید الانبیاء و اهل بیتش ع کتابی جمع کند و کثرت عیال و اشغال مانع میشد که اتفاق افتاد که مطلع شد بر کتابی درین فن که مشتمل بود بر عذر (؟) فواید که شيخ الإمام علامه علماء الكرام قطب الدین و الاسلام محمد بن الحسين بن الحسن الكندري ... تصنیف کرده بود و آنرا مباهج المهج نام کرده از خدای توفیق خواست تا آنچه خلاصه آن بود از آن جمله که شبهه را مجال در وی محال بود اختیار کرد و از مکررات اجتناب نمود الا آنچه غرض از تکرار وی اظهار آن بود و این کتاب را بهجة المباهج نام نهاد و مفصل گردانید. آغاز منظوم: الهی از دل من بند بردار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مرا در بند چون و چند مگذار / الهی ساز آسان مشکلم را*** نما راهی به ملک جام دلم را</w:t>
      </w:r>
    </w:p>
    <w:p>
      <w:pPr>
        <w:pStyle w:val="BookText"/>
      </w:pPr>
      <w:r>
        <w:rPr>
          <w:rFonts w:ascii="IRNazanin" w:hAnsi="IRNazanin" w:eastAsia="IRNazanin" w:cs="IRNazanin"/>
          <w:lang w:bidi="fa-IR"/>
          <w:color w:val="111111"/>
          <w:sz w:val="28"/>
          <w:szCs w:val="28"/>
          <w:rtl/>
        </w:rPr>
        <w:t xml:space="preserve">انجام: ویرا بنواخت و آن نسخه در جهان فاش شد و الحمدلله رب العالمين.</w:t>
      </w:r>
    </w:p>
    <w:p>
      <w:pPr>
        <w:pStyle w:val="BookText"/>
      </w:pPr>
      <w:r>
        <w:rPr>
          <w:rFonts w:ascii="IRNazanin" w:hAnsi="IRNazanin" w:eastAsia="IRNazanin" w:cs="IRNazanin"/>
          <w:lang w:bidi="fa-IR"/>
          <w:color w:val="111111"/>
          <w:sz w:val="28"/>
          <w:szCs w:val="28"/>
          <w:rtl/>
        </w:rPr>
        <w:t xml:space="preserve">[الذريعة ۱۶۳/۳ و ۴۶/۱۹ ؛ روضات الجنات, ص ۱۷۰ و ۱۷۱ این کتاب را به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بهجة المناهج في تلخيص كتاب مناهج البهج ضبط کرده است؛ نسخه های منزوی ۴۴۲۰/۶ ؛ ادبیات فارسی بر مبنای تأليف استوری، بریگل ۵۵۳/۱ ؛ فهرستواره منزوی ۱۵۶۳/۳ ؛ معجم التراث الكلامی ۹۳/۲ ؛ دنا ۵۵۳/۲ -۵۵۴ (با دو عنوان)]</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١- کتیب معجزات = نظم بهجة المباهج، حیرتی تونی (-۹۶۲)</w:t>
      </w:r>
    </w:p>
    <w:p>
      <w:pPr>
        <w:pStyle w:val="BookText"/>
      </w:pPr>
      <w:r>
        <w:rPr>
          <w:rFonts w:ascii="IRNazanin" w:hAnsi="IRNazanin" w:eastAsia="IRNazanin" w:cs="IRNazanin"/>
          <w:lang w:bidi="fa-IR"/>
          <w:color w:val="111111"/>
          <w:sz w:val="28"/>
          <w:szCs w:val="28"/>
          <w:rtl/>
        </w:rPr>
        <w:t xml:space="preserve">۱. قم؛ مرعشی؛ شماره نسخه: ۱۲۲۰۸/۲</w:t>
      </w:r>
    </w:p>
    <w:p>
      <w:pPr>
        <w:pStyle w:val="BookText"/>
      </w:pPr>
      <w:r>
        <w:rPr>
          <w:rFonts w:ascii="IRNazanin" w:hAnsi="IRNazanin" w:eastAsia="IRNazanin" w:cs="IRNazanin"/>
          <w:lang w:bidi="fa-IR"/>
          <w:color w:val="111111"/>
          <w:sz w:val="28"/>
          <w:szCs w:val="28"/>
          <w:rtl/>
        </w:rPr>
        <w:t xml:space="preserve">آغاز: برابر؛ انجام: چون همه حاضر شدند، بالشی از برای رضا (عليه السلام ) گذاشتند و او بر آن نشست آنگه فرمود. خط: نستعلیق، بی کا، تا: قرن ۱۰؛ افتادگی: انجام؛ در حاشیه کتاب خلاصة الأخبار (نسخه قبلی) نوشته شد و در اوایل نسخه، افتادگی بسیار دارد ولی از حيث متن، بسیار دقیق و صحیح تر از نسخه های موجود می باشد؛ کاغذ: شرقی، جلد: تیماج قهوه ای ضربی، ۱۳۷گ (۱-۱۳۷)، ۵۰ سطر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اندازه: ۳۷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 سم [ف: ۲۰-۳۱ ]</w:t>
      </w:r>
    </w:p>
    <w:p>
      <w:pPr>
        <w:pStyle w:val="BookText"/>
      </w:pPr>
      <w:r>
        <w:rPr>
          <w:rFonts w:ascii="IRNazanin" w:hAnsi="IRNazanin" w:eastAsia="IRNazanin" w:cs="IRNazanin"/>
          <w:lang w:bidi="fa-IR"/>
          <w:color w:val="111111"/>
          <w:sz w:val="28"/>
          <w:szCs w:val="28"/>
          <w:rtl/>
        </w:rPr>
        <w:t xml:space="preserve">۲. شیراز؛ امام عصر؛ شماره نسخه: ۲۶۹</w:t>
      </w:r>
    </w:p>
    <w:p>
      <w:pPr>
        <w:pStyle w:val="BookText"/>
      </w:pPr>
      <w:r>
        <w:rPr>
          <w:rFonts w:ascii="IRNazanin" w:hAnsi="IRNazanin" w:eastAsia="IRNazanin" w:cs="IRNazanin"/>
          <w:lang w:bidi="fa-IR"/>
          <w:color w:val="111111"/>
          <w:sz w:val="28"/>
          <w:szCs w:val="28"/>
          <w:rtl/>
        </w:rPr>
        <w:t xml:space="preserve">خط: نسخ، بی کا، تا: قرن ۱۰؛ افتادگی: آغاز و انجام؛ هبه این نسخه توسط محمد باقر بن محمد حسینی به خواهرش، همراه با یک مهر به تاریخ ۱۲۳۱ آمده؛ ۳۶۸گ، اندازه: ۱۹/۵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۲۴/۵سم ف: ۱-۱۴]</w:t>
      </w:r>
    </w:p>
    <w:p>
      <w:pPr>
        <w:pStyle w:val="BookText"/>
      </w:pPr>
      <w:r>
        <w:rPr>
          <w:rFonts w:ascii="IRNazanin" w:hAnsi="IRNazanin" w:eastAsia="IRNazanin" w:cs="IRNazanin"/>
          <w:lang w:bidi="fa-IR"/>
          <w:color w:val="111111"/>
          <w:sz w:val="28"/>
          <w:szCs w:val="28"/>
          <w:rtl/>
        </w:rPr>
        <w:t xml:space="preserve">٣. تهران؛ مجلس؛ شماره نسخه: ۱۴۹۱۱</w:t>
      </w:r>
    </w:p>
    <w:p>
      <w:pPr>
        <w:pStyle w:val="BookText"/>
      </w:pPr>
      <w:r>
        <w:rPr>
          <w:rFonts w:ascii="IRNazanin" w:hAnsi="IRNazanin" w:eastAsia="IRNazanin" w:cs="IRNazanin"/>
          <w:lang w:bidi="fa-IR"/>
          <w:color w:val="111111"/>
          <w:sz w:val="28"/>
          <w:szCs w:val="28"/>
          <w:rtl/>
        </w:rPr>
        <w:t xml:space="preserve">خط: نستعلیق، بی کا، تا: قرن ۱۰ [مختصر ف: ۱۱۲]</w:t>
      </w:r>
    </w:p>
    <w:p>
      <w:pPr>
        <w:pStyle w:val="BookText"/>
      </w:pPr>
      <w:r>
        <w:rPr>
          <w:rFonts w:ascii="IRNazanin" w:hAnsi="IRNazanin" w:eastAsia="IRNazanin" w:cs="IRNazanin"/>
          <w:lang w:bidi="fa-IR"/>
          <w:color w:val="111111"/>
          <w:sz w:val="28"/>
          <w:szCs w:val="28"/>
          <w:rtl/>
        </w:rPr>
        <w:t xml:space="preserve">۴. تهران؛ مجلس؛ شماره نسخه: ۵۵۸</w:t>
      </w:r>
    </w:p>
    <w:p>
      <w:pPr>
        <w:pStyle w:val="BookText"/>
      </w:pPr>
      <w:r>
        <w:rPr>
          <w:rFonts w:ascii="IRNazanin" w:hAnsi="IRNazanin" w:eastAsia="IRNazanin" w:cs="IRNazanin"/>
          <w:lang w:bidi="fa-IR"/>
          <w:color w:val="111111"/>
          <w:sz w:val="28"/>
          <w:szCs w:val="28"/>
          <w:rtl/>
        </w:rPr>
        <w:t xml:space="preserve">خط: نستعلیق، کا: محمدرضا بن شمس الدين على مداح تونی، تا: سه شنبه نیمه ذیقعده ۹۰۳ق؛ مجدول، مذهب، با سرلوح، در آن آمده: «از بابت اموال آقا محرم که بتاريخ ۲۶ شهر ربيع الثانی سنه ۱۱۰۵ داخل عرض شده؛ مهر محمد على مورخ ۱۰۳۰»؛ کاغذ: سفید دولت آبادی، جلد: تیماج سبز مقوایی نو، ۲۱۳گ، ۲۳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[سنا: ف: ۱-۳۵۲]</w:t>
      </w:r>
    </w:p>
    <w:p>
      <w:pPr>
        <w:pStyle w:val="BookText"/>
      </w:pPr>
      <w:r>
        <w:rPr>
          <w:rFonts w:ascii="IRNazanin" w:hAnsi="IRNazanin" w:eastAsia="IRNazanin" w:cs="IRNazanin"/>
          <w:lang w:bidi="fa-IR"/>
          <w:color w:val="111111"/>
          <w:sz w:val="28"/>
          <w:szCs w:val="28"/>
          <w:rtl/>
        </w:rPr>
        <w:t xml:space="preserve">۵. تهران، دانشگاه؛ شماره نسخه: ۹۶۸</w:t>
      </w:r>
    </w:p>
    <w:p>
      <w:pPr>
        <w:pStyle w:val="BookText"/>
      </w:pPr>
      <w:r>
        <w:rPr>
          <w:rFonts w:ascii="IRNazanin" w:hAnsi="IRNazanin" w:eastAsia="IRNazanin" w:cs="IRNazanin"/>
          <w:lang w:bidi="fa-IR"/>
          <w:color w:val="111111"/>
          <w:sz w:val="28"/>
          <w:szCs w:val="28"/>
          <w:rtl/>
        </w:rPr>
        <w:t xml:space="preserve">آغاز: زده بودند درو جمع کرد این کتابرا بهجة المباهج نام نهاد و مفصل گردید و ما توفیقی الا بالله عليه؛ انجام: برابر خط: نسخ خوش، کا: امین بن حسن بن امین شعرانی، تا: ۲۰ رمضان ۹۳۵ق؛ افتادگی: آغاز (برابر با گی ار ش ۶۰۳ و نزدیک به یک صفحه از دیباچه را ندارد)؛ مجدول زرین؛ کاغذ: سمرقندی، جلد: تیماج قهوه ای مقوایی، ۹۹گ، ۲۴ سطر (۱۹</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۵)،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[ف: ۵-۱۱۹۲]</w:t>
      </w:r>
    </w:p>
    <w:p>
      <w:pPr>
        <w:pStyle w:val="BookText"/>
      </w:pPr>
      <w:r>
        <w:rPr>
          <w:rFonts w:ascii="IRNazanin" w:hAnsi="IRNazanin" w:eastAsia="IRNazanin" w:cs="IRNazanin"/>
          <w:lang w:bidi="fa-IR"/>
          <w:color w:val="111111"/>
          <w:sz w:val="28"/>
          <w:szCs w:val="28"/>
          <w:rtl/>
        </w:rPr>
        <w:t xml:space="preserve">۶. تهران؛ سلطنتی؛ شماره نسخه: ۷۷۳</w:t>
      </w:r>
    </w:p>
    <w:p>
      <w:pPr>
        <w:pStyle w:val="BookText"/>
      </w:pPr>
      <w:r>
        <w:rPr>
          <w:rFonts w:ascii="IRNazanin" w:hAnsi="IRNazanin" w:eastAsia="IRNazanin" w:cs="IRNazanin"/>
          <w:lang w:bidi="fa-IR"/>
          <w:color w:val="111111"/>
          <w:sz w:val="28"/>
          <w:szCs w:val="28"/>
          <w:rtl/>
        </w:rPr>
        <w:t xml:space="preserve">آغاز: فهرست کتاب بهجت المناهج و هو خمس و اربعون فصلا انجام: تمام شد کتاب بجهت المناهج در فضائل و معجزات سید الانبياء و اهل بیتش علیه و عليهم ... في يوم الاحد بیست و هفتم شهر جمادی الاول سنه احدی و خمسین و تسعمائه على يد العبد الضعيف .... جمال الدين المشهور بحسين الفخار</w:t>
      </w:r>
    </w:p>
    <w:p>
      <w:pPr>
        <w:pStyle w:val="BookText"/>
      </w:pPr>
      <w:r>
        <w:rPr>
          <w:rFonts w:ascii="IRNazanin" w:hAnsi="IRNazanin" w:eastAsia="IRNazanin" w:cs="IRNazanin"/>
          <w:lang w:bidi="fa-IR"/>
          <w:color w:val="111111"/>
          <w:sz w:val="28"/>
          <w:szCs w:val="28"/>
          <w:rtl/>
        </w:rPr>
        <w:t xml:space="preserve">خط: نسخ خوش، كا: جمال الدین مشهور به حسين الفخار، تا: ۲۷ جمادی الاول ۹۵۱ق؛ مجدول مذهب، دو صفحه تماما مذهب مرصع ممتاز، دو ترنج لوزی دور کنگره مذهب، یادداشت:« بتاریخ شهر ربيع الاول سنه ۱۹۶۳ در دارالسلطنه اصفهان کمترین خلایق بديع الزمان تركمان این کتاب را ابيتاع نمود»؛ مهر: المذنب بدیع الزمان»،</w:t>
      </w:r>
    </w:p>
    <w:p>
      <w:pPr>
        <w:pStyle w:val="BookText"/>
      </w:pPr>
      <w:r>
        <w:rPr>
          <w:rFonts w:ascii="IRNazanin" w:hAnsi="IRNazanin" w:eastAsia="IRNazanin" w:cs="IRNazanin"/>
          <w:lang w:bidi="fa-IR"/>
          <w:color w:val="111111"/>
          <w:sz w:val="28"/>
          <w:szCs w:val="28"/>
          <w:rtl/>
        </w:rPr>
        <w:t xml:space="preserve">«کتابخانه دولت علیه ایران ۱۳۲۹ شمسی»؛ کاغذ: بغدادی نخودی رنگ، جلد: مقوای روکش تیماج گلی رنگ ساده وسط گل هشت پر و طرفین و چهار گوشه جلد شش گل کوچک منگنهای زراندود با یک حاشیه، ۹۸۶ص، ۱۷ سطر،</w:t>
      </w:r>
    </w:p>
    <w:p>
      <w:pPr>
        <w:pStyle w:val="BookText"/>
      </w:pPr>
      <w:r>
        <w:rPr>
          <w:rFonts w:ascii="IRNazanin" w:hAnsi="IRNazanin" w:eastAsia="IRNazanin" w:cs="IRNazanin"/>
          <w:lang w:bidi="fa-IR"/>
          <w:color w:val="111111"/>
          <w:sz w:val="28"/>
          <w:szCs w:val="28"/>
          <w:rtl/>
        </w:rPr>
        <w:t xml:space="preserve">قطع : وزیری،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۱-۸۹]</w:t>
      </w:r>
    </w:p>
    <w:p>
      <w:pPr>
        <w:pStyle w:val="BookText"/>
      </w:pPr>
      <w:r>
        <w:rPr>
          <w:rFonts w:ascii="IRNazanin" w:hAnsi="IRNazanin" w:eastAsia="IRNazanin" w:cs="IRNazanin"/>
          <w:lang w:bidi="fa-IR"/>
          <w:color w:val="111111"/>
          <w:sz w:val="28"/>
          <w:szCs w:val="28"/>
          <w:rtl/>
        </w:rPr>
        <w:t xml:space="preserve">۷. تهران: مروی؛ شماره نسخه: ۴۳۵</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كا: غیاث الدین بن علاء الدين بن شمس الدين، تا: ۹۷۳ق؛ ۳۸۸گ، قطع: وزيري [ف: ۸۰]</w:t>
      </w:r>
    </w:p>
    <w:p>
      <w:pPr>
        <w:pStyle w:val="BookText"/>
      </w:pPr>
      <w:r>
        <w:rPr>
          <w:rFonts w:ascii="IRNazanin" w:hAnsi="IRNazanin" w:eastAsia="IRNazanin" w:cs="IRNazanin"/>
          <w:lang w:bidi="fa-IR"/>
          <w:color w:val="111111"/>
          <w:sz w:val="28"/>
          <w:szCs w:val="28"/>
          <w:rtl/>
        </w:rPr>
        <w:t xml:space="preserve">۸. تهران: دانشگاه؛ شماره نسخه: ۷۴۴۹</w:t>
      </w:r>
    </w:p>
    <w:p>
      <w:pPr>
        <w:pStyle w:val="BookText"/>
      </w:pPr>
      <w:r>
        <w:rPr>
          <w:rFonts w:ascii="IRNazanin" w:hAnsi="IRNazanin" w:eastAsia="IRNazanin" w:cs="IRNazanin"/>
          <w:lang w:bidi="fa-IR"/>
          <w:color w:val="111111"/>
          <w:sz w:val="28"/>
          <w:szCs w:val="28"/>
          <w:rtl/>
        </w:rPr>
        <w:t xml:space="preserve">خط: نسخ، بی کا، تا: قرن ۱۱؛ افتادگی: انجام (در فصل ۴۵ افتاده)؛ کاغذ: سپاهانی، جلد: تیماج تریاکی ترنجی مقوایی، ۷۸۳ص، ۱۷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قطع: خشتی، اندازه: ۱۷/۵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۲۳/۵ سم [ف: ۱۶-۵۷۵]</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دانشگاه؛ شماره نسخه: ۷۱۷۷/۵</w:t>
      </w:r>
    </w:p>
    <w:p>
      <w:pPr>
        <w:pStyle w:val="BookText"/>
      </w:pPr>
      <w:r>
        <w:rPr>
          <w:rFonts w:ascii="IRNazanin" w:hAnsi="IRNazanin" w:eastAsia="IRNazanin" w:cs="IRNazanin"/>
          <w:lang w:bidi="fa-IR"/>
          <w:color w:val="111111"/>
          <w:sz w:val="28"/>
          <w:szCs w:val="28"/>
          <w:rtl/>
        </w:rPr>
        <w:t xml:space="preserve">بندی از آن؛ خط: نستعلیق چلیپا، بی کا، تا: قرن ۱۱؛ کاغذ: سپاهانی، جلد: تیماج زرد ضربی لایی، ۸گ (۴۰-۴۷پ)،</w:t>
      </w:r>
    </w:p>
    <w:p>
      <w:pPr>
        <w:pStyle w:val="BookText"/>
      </w:pPr>
      <w:r>
        <w:rPr>
          <w:rFonts w:ascii="IRNazanin" w:hAnsi="IRNazanin" w:eastAsia="IRNazanin" w:cs="IRNazanin"/>
          <w:lang w:bidi="fa-IR"/>
          <w:color w:val="111111"/>
          <w:sz w:val="28"/>
          <w:szCs w:val="28"/>
          <w:rtl/>
        </w:rPr>
        <w:t xml:space="preserve">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۱۶-۴۷۵]</w:t>
      </w:r>
    </w:p>
    <w:p>
      <w:pPr>
        <w:pStyle w:val="BookText"/>
      </w:pPr>
      <w:r>
        <w:rPr>
          <w:rFonts w:ascii="IRNazanin" w:hAnsi="IRNazanin" w:eastAsia="IRNazanin" w:cs="IRNazanin"/>
          <w:lang w:bidi="fa-IR"/>
          <w:color w:val="111111"/>
          <w:sz w:val="28"/>
          <w:szCs w:val="28"/>
          <w:rtl/>
        </w:rPr>
        <w:t xml:space="preserve">۱۰. قم؛ مرعشی؛ شماره نسخه: ۹۴۲۳</w:t>
      </w:r>
    </w:p>
    <w:p>
      <w:pPr>
        <w:pStyle w:val="BookText"/>
      </w:pPr>
      <w:r>
        <w:rPr>
          <w:rFonts w:ascii="IRNazanin" w:hAnsi="IRNazanin" w:eastAsia="IRNazanin" w:cs="IRNazanin"/>
          <w:lang w:bidi="fa-IR"/>
          <w:color w:val="111111"/>
          <w:sz w:val="28"/>
          <w:szCs w:val="28"/>
          <w:rtl/>
        </w:rPr>
        <w:t xml:space="preserve">انجام: و علی بن موسی بده خرگواران بر کنار آن مدفونست.</w:t>
      </w:r>
    </w:p>
    <w:p>
      <w:pPr>
        <w:pStyle w:val="BookText"/>
      </w:pPr>
      <w:r>
        <w:rPr>
          <w:rFonts w:ascii="IRNazanin" w:hAnsi="IRNazanin" w:eastAsia="IRNazanin" w:cs="IRNazanin"/>
          <w:lang w:bidi="fa-IR"/>
          <w:color w:val="111111"/>
          <w:sz w:val="28"/>
          <w:szCs w:val="28"/>
          <w:rtl/>
        </w:rPr>
        <w:t xml:space="preserve">خط: نستعلیق، بی کا، تا قرن ۱۱؛ افتادگی: انجام؛ مصحح؛ جلد: تیماج مشکی، ۲۱۷گ، ۲۱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۲۷/۵ سم [ف: ۲۴-۱۹۳]</w:t>
      </w:r>
    </w:p>
    <w:p>
      <w:pPr>
        <w:pStyle w:val="BookText"/>
      </w:pPr>
      <w:r>
        <w:rPr>
          <w:rFonts w:ascii="IRNazanin" w:hAnsi="IRNazanin" w:eastAsia="IRNazanin" w:cs="IRNazanin"/>
          <w:lang w:bidi="fa-IR"/>
          <w:color w:val="111111"/>
          <w:sz w:val="28"/>
          <w:szCs w:val="28"/>
          <w:rtl/>
        </w:rPr>
        <w:t xml:space="preserve">۱۱. مشهد؛ رضوی؛ شماره نسخه: ۹۸۳۶</w:t>
      </w:r>
    </w:p>
    <w:p>
      <w:pPr>
        <w:pStyle w:val="BookText"/>
      </w:pPr>
      <w:r>
        <w:rPr>
          <w:rFonts w:ascii="IRNazanin" w:hAnsi="IRNazanin" w:eastAsia="IRNazanin" w:cs="IRNazanin"/>
          <w:lang w:bidi="fa-IR"/>
          <w:color w:val="111111"/>
          <w:sz w:val="28"/>
          <w:szCs w:val="28"/>
          <w:rtl/>
        </w:rPr>
        <w:t xml:space="preserve">آغاز: برابر؛ انجام: و زنان به سیرت مردان شوند و زنا و ربا آشکارا شود و دانشمندان دروغ زن</w:t>
      </w:r>
    </w:p>
    <w:p>
      <w:pPr>
        <w:pStyle w:val="BookText"/>
      </w:pPr>
      <w:r>
        <w:rPr>
          <w:rFonts w:ascii="IRNazanin" w:hAnsi="IRNazanin" w:eastAsia="IRNazanin" w:cs="IRNazanin"/>
          <w:lang w:bidi="fa-IR"/>
          <w:color w:val="111111"/>
          <w:sz w:val="28"/>
          <w:szCs w:val="28"/>
          <w:rtl/>
        </w:rPr>
        <w:t xml:space="preserve">خط: نستعلیق خوش، بی کا، تا: قرن ۱۱؛ واقف: خان بابا مشار، اردیبهشت ۱۳۴۶؛ کاغذ: نخودی آهار مهره، جلد: مقوا، عطف و گوشه میشن قهوه ای، ۲۷۲ گی، ۱۹ سطر، اندازه: ۲۴۸۱۶سم [ف: ۱۴۱-۲۶ ]</w:t>
      </w:r>
    </w:p>
    <w:p>
      <w:pPr>
        <w:pStyle w:val="BookText"/>
      </w:pPr>
      <w:r>
        <w:rPr>
          <w:rFonts w:ascii="IRNazanin" w:hAnsi="IRNazanin" w:eastAsia="IRNazanin" w:cs="IRNazanin"/>
          <w:lang w:bidi="fa-IR"/>
          <w:color w:val="111111"/>
          <w:sz w:val="28"/>
          <w:szCs w:val="28"/>
          <w:rtl/>
        </w:rPr>
        <w:t xml:space="preserve">۱۲. مشهد؛ گوهرشاد؛ شماره نسخه: ۱۸۴۸</w:t>
      </w:r>
    </w:p>
    <w:p>
      <w:pPr>
        <w:pStyle w:val="BookText"/>
      </w:pPr>
      <w:r>
        <w:rPr>
          <w:rFonts w:ascii="IRNazanin" w:hAnsi="IRNazanin" w:eastAsia="IRNazanin" w:cs="IRNazanin"/>
          <w:lang w:bidi="fa-IR"/>
          <w:color w:val="111111"/>
          <w:sz w:val="28"/>
          <w:szCs w:val="28"/>
          <w:rtl/>
        </w:rPr>
        <w:t xml:space="preserve">آغاز: خادمان خانه را چیزی دادم تا تمکین آن دادند که جائی باشم که می بینم آن را که حجر بر جای خود نهد</w:t>
      </w:r>
    </w:p>
    <w:p>
      <w:pPr>
        <w:pStyle w:val="BookText"/>
      </w:pPr>
      <w:r>
        <w:rPr>
          <w:rFonts w:ascii="IRNazanin" w:hAnsi="IRNazanin" w:eastAsia="IRNazanin" w:cs="IRNazanin"/>
          <w:lang w:bidi="fa-IR"/>
          <w:color w:val="111111"/>
          <w:sz w:val="28"/>
          <w:szCs w:val="28"/>
          <w:rtl/>
        </w:rPr>
        <w:t xml:space="preserve">خط: شکسته نستعلیق، بی کا، تا: قرن ۱۱؛ افتادگی: آغاز و انجام؛ واقف: سید سعید طباطبایی، ۱۳۳۲؛ کاغذ: نخودی آهار مهره، جلد: مقوا، عطف و گوشه تیماج قهوهای، ۳۰۴گ، ۱۹ سطر، اندازه: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۳۰سم [ف: ۵-۲۵۴]</w:t>
      </w:r>
    </w:p>
    <w:p>
      <w:pPr>
        <w:pStyle w:val="BookText"/>
      </w:pPr>
      <w:r>
        <w:rPr>
          <w:rFonts w:ascii="IRNazanin" w:hAnsi="IRNazanin" w:eastAsia="IRNazanin" w:cs="IRNazanin"/>
          <w:lang w:bidi="fa-IR"/>
          <w:color w:val="111111"/>
          <w:sz w:val="28"/>
          <w:szCs w:val="28"/>
          <w:rtl/>
        </w:rPr>
        <w:t xml:space="preserve">۱۳. تهران: مهدوی؛ شماره نسخه: ۱۷۰</w:t>
      </w:r>
    </w:p>
    <w:p>
      <w:pPr>
        <w:pStyle w:val="BookText"/>
      </w:pPr>
      <w:r>
        <w:rPr>
          <w:rFonts w:ascii="IRNazanin" w:hAnsi="IRNazanin" w:eastAsia="IRNazanin" w:cs="IRNazanin"/>
          <w:lang w:bidi="fa-IR"/>
          <w:color w:val="111111"/>
          <w:sz w:val="28"/>
          <w:szCs w:val="28"/>
          <w:rtl/>
        </w:rPr>
        <w:t xml:space="preserve">خط: نستعلیق، کا: کوچهر روحی کسوری، تا: قرن ۱۱ و ۱۲؛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کاغذ: سپاهانی (نشریه: ۲-۶۴]</w:t>
      </w:r>
    </w:p>
    <w:p>
      <w:pPr>
        <w:pStyle w:val="BookText"/>
      </w:pPr>
      <w:r>
        <w:rPr>
          <w:rFonts w:ascii="IRNazanin" w:hAnsi="IRNazanin" w:eastAsia="IRNazanin" w:cs="IRNazanin"/>
          <w:lang w:bidi="fa-IR"/>
          <w:color w:val="111111"/>
          <w:sz w:val="28"/>
          <w:szCs w:val="28"/>
          <w:rtl/>
        </w:rPr>
        <w:t xml:space="preserve">۱۴. تهران: مجلس؛ شماره نسخه: ۸۸۶۴/۶</w:t>
      </w:r>
    </w:p>
    <w:p>
      <w:pPr>
        <w:pStyle w:val="BookText"/>
      </w:pPr>
      <w:r>
        <w:rPr>
          <w:rFonts w:ascii="IRNazanin" w:hAnsi="IRNazanin" w:eastAsia="IRNazanin" w:cs="IRNazanin"/>
          <w:lang w:bidi="fa-IR"/>
          <w:color w:val="111111"/>
          <w:sz w:val="28"/>
          <w:szCs w:val="28"/>
          <w:rtl/>
        </w:rPr>
        <w:t xml:space="preserve">آغاز: من بهجة المباهج. ابوالفضل شبانی (كذا) روایت کرد که از عمار یاسر و ابورافع شنیدم که گفتند چون رسول می خواست که هجرت کند؛ انجام: و ترا بهشت بود خالص. گفتم بهشت بهتر است پس دست بر چشمم بود همچنان شد که بودم. تمت والسلام</w:t>
      </w:r>
    </w:p>
    <w:p>
      <w:pPr>
        <w:pStyle w:val="BookText"/>
      </w:pPr>
      <w:r>
        <w:rPr>
          <w:rFonts w:ascii="IRNazanin" w:hAnsi="IRNazanin" w:eastAsia="IRNazanin" w:cs="IRNazanin"/>
          <w:lang w:bidi="fa-IR"/>
          <w:color w:val="111111"/>
          <w:sz w:val="28"/>
          <w:szCs w:val="28"/>
          <w:rtl/>
        </w:rPr>
        <w:t xml:space="preserve">بخش کوتاهی از کتاب است؛ خط: نسخ و نستعلیق، بی کا، تا: قرن ۱۱؛ کاغذ: الوان آهار مهره، جلد: میشن عنابی مجدول یک لا، ۵گ (۸پ -۱۲ر)، ابعاد متن: ۱۷/۳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۸/۶ ، اندازه: ۲۷/۹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۱۵/۶ سم [ف: ۲۹/۱ -۱۶۸]</w:t>
      </w:r>
    </w:p>
    <w:p>
      <w:pPr>
        <w:pStyle w:val="BookText"/>
      </w:pPr>
      <w:r>
        <w:rPr>
          <w:rFonts w:ascii="IRNazanin" w:hAnsi="IRNazanin" w:eastAsia="IRNazanin" w:cs="IRNazanin"/>
          <w:lang w:bidi="fa-IR"/>
          <w:color w:val="111111"/>
          <w:sz w:val="28"/>
          <w:szCs w:val="28"/>
          <w:rtl/>
        </w:rPr>
        <w:t xml:space="preserve">۱۵. تهران: ملک، شماره نسخه: ۱۳۹۵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مؤمن گنابادی، تا: ۱۰۲۸ق؛ با سرلوح، مجدول به طلا کاغذ: کاغذ ترمه، جلد: میشن سیاه ضربی، ۳۰۸، ۲۰ سطر،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۲-۶۳]</w:t>
      </w:r>
    </w:p>
    <w:p>
      <w:pPr>
        <w:pStyle w:val="BookText"/>
      </w:pPr>
      <w:r>
        <w:rPr>
          <w:rFonts w:ascii="IRNazanin" w:hAnsi="IRNazanin" w:eastAsia="IRNazanin" w:cs="IRNazanin"/>
          <w:lang w:bidi="fa-IR"/>
          <w:color w:val="111111"/>
          <w:sz w:val="28"/>
          <w:szCs w:val="28"/>
          <w:rtl/>
        </w:rPr>
        <w:t xml:space="preserve">۱۶. قم؛ مرعشی؛ شماره نسخه: ۴۴۴۳</w:t>
      </w:r>
    </w:p>
    <w:p>
      <w:pPr>
        <w:pStyle w:val="BookText"/>
      </w:pPr>
      <w:r>
        <w:rPr>
          <w:rFonts w:ascii="IRNazanin" w:hAnsi="IRNazanin" w:eastAsia="IRNazanin" w:cs="IRNazanin"/>
          <w:lang w:bidi="fa-IR"/>
          <w:color w:val="111111"/>
          <w:sz w:val="28"/>
          <w:szCs w:val="28"/>
          <w:rtl/>
        </w:rPr>
        <w:t xml:space="preserve">آغاز: رسول در زیر درختی فرود آمد و موزه بکشید و چون خواست که موزه در پوشید؛ انجام: برابر</w:t>
      </w:r>
    </w:p>
    <w:p>
      <w:pPr>
        <w:pStyle w:val="BookText"/>
      </w:pPr>
      <w:r>
        <w:rPr>
          <w:rFonts w:ascii="IRNazanin" w:hAnsi="IRNazanin" w:eastAsia="IRNazanin" w:cs="IRNazanin"/>
          <w:lang w:bidi="fa-IR"/>
          <w:color w:val="111111"/>
          <w:sz w:val="28"/>
          <w:szCs w:val="28"/>
          <w:rtl/>
        </w:rPr>
        <w:t xml:space="preserve">خط: نسخ، كا: بهبود على بن عطاء الله خبر شانی، تا: ۷ محرم ۱۰۴۷ق؛ افتادگی: آغاز؛ جلد: تیماج قهوه ای، ۳۲۶گ، ۱۷ سطر، اندازه: ۱۸/۵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۲۲/۵سم [ف: ۱۲-۳۷]</w:t>
      </w:r>
    </w:p>
    <w:p>
      <w:pPr>
        <w:pStyle w:val="BookText"/>
      </w:pPr>
      <w:r>
        <w:rPr>
          <w:rFonts w:ascii="IRNazanin" w:hAnsi="IRNazanin" w:eastAsia="IRNazanin" w:cs="IRNazanin"/>
          <w:lang w:bidi="fa-IR"/>
          <w:color w:val="111111"/>
          <w:sz w:val="28"/>
          <w:szCs w:val="28"/>
          <w:rtl/>
        </w:rPr>
        <w:t xml:space="preserve">۱۷. مشهد؛ گوهرشاد؛ شماره نسخه: ۲۳۳۶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خط: نستعلیق، كا: علی اکبر حسینی، تا: 1 جمادی الثانی ۱۰۵۱ق؛ کاغذ: نخودی آهار مهره، جلد: تیماج مشکی با ترنج و حاشیه زنجیره ای زرین [ف: ۵-۶۹۰]</w:t>
      </w:r>
    </w:p>
    <w:p>
      <w:pPr>
        <w:pStyle w:val="BookText"/>
      </w:pPr>
      <w:r>
        <w:rPr>
          <w:rFonts w:ascii="IRNazanin" w:hAnsi="IRNazanin" w:eastAsia="IRNazanin" w:cs="IRNazanin"/>
          <w:lang w:bidi="fa-IR"/>
          <w:color w:val="111111"/>
          <w:sz w:val="28"/>
          <w:szCs w:val="28"/>
          <w:rtl/>
        </w:rPr>
        <w:t xml:space="preserve">۱۸. تهران: مجلس؛ شماره نسخه: ۵۶۵۶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تا: ۱۰۵۷ق؛ در سه برگ اضافی قبل از آغاز نوشته هایی است و از جمله یکی از کلبعلی نوری است مورخ ۱۰۹۹؛ کاغذ: اصفهانی، جلد: تیماج عنابی قهوه ای با سجاف عطف، ۸۶۰ص، ۱۶ سطر، قطع: خشتی، اندازه: ۱۳/۵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۲۰/۵۷سم [ف: ۱۷-۱۱۲]</w:t>
      </w:r>
    </w:p>
    <w:p>
      <w:pPr>
        <w:pStyle w:val="BookText"/>
      </w:pPr>
      <w:r>
        <w:rPr>
          <w:rFonts w:ascii="IRNazanin" w:hAnsi="IRNazanin" w:eastAsia="IRNazanin" w:cs="IRNazanin"/>
          <w:lang w:bidi="fa-IR"/>
          <w:color w:val="111111"/>
          <w:sz w:val="28"/>
          <w:szCs w:val="28"/>
          <w:rtl/>
        </w:rPr>
        <w:t xml:space="preserve">۱۹. قم؛ مرعشی؛ شماره نسخه: ۱۴۸۴۳/۲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قلی صفوی موسوی حسینی، تا: شنبه ۳ ذیحجه ۱۰۹۰ق، جا: اردبیل؛ مصحح؛ مهر بیضی در پشت برگ آغازین با عبارت «چون حک و اصلاح بی شمار درین نسخه واقع شده بود، دوباره نسخه مذکوره قلم زده شده به تاریخ شب دوشنبه سنة ۱۰۹۹ به اتمام رسید و آزار و مشقت بسیار کشید تا واضح شد» [ف: ۳۷-۴۵۲]</w:t>
      </w:r>
    </w:p>
    <w:p>
      <w:pPr>
        <w:pStyle w:val="BookText"/>
      </w:pPr>
      <w:r>
        <w:rPr>
          <w:rFonts w:ascii="IRNazanin" w:hAnsi="IRNazanin" w:eastAsia="IRNazanin" w:cs="IRNazanin"/>
          <w:lang w:bidi="fa-IR"/>
          <w:color w:val="111111"/>
          <w:sz w:val="28"/>
          <w:szCs w:val="28"/>
          <w:rtl/>
        </w:rPr>
        <w:t xml:space="preserve">۲۰. تهران؛ سپهسالار؛ شماره نسخه: ۵۳۲۷</w:t>
      </w:r>
    </w:p>
    <w:p>
      <w:pPr>
        <w:pStyle w:val="BookText"/>
      </w:pPr>
      <w:r>
        <w:rPr>
          <w:rFonts w:ascii="IRNazanin" w:hAnsi="IRNazanin" w:eastAsia="IRNazanin" w:cs="IRNazanin"/>
          <w:lang w:bidi="fa-IR"/>
          <w:color w:val="111111"/>
          <w:sz w:val="28"/>
          <w:szCs w:val="28"/>
          <w:rtl/>
        </w:rPr>
        <w:t xml:space="preserve">خط: نستعلیق، بی کا، تا: قرن ۱۲؛ افتادگی: آغاز و انجام کاغذ: فرنگی سفید، جلد: تیماج قهوه ای مقوایی، ۳۰۳، ۱۹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۳-۲۶۲]</w:t>
      </w:r>
    </w:p>
    <w:p>
      <w:pPr>
        <w:pStyle w:val="BookText"/>
      </w:pPr>
      <w:r>
        <w:rPr>
          <w:rFonts w:ascii="IRNazanin" w:hAnsi="IRNazanin" w:eastAsia="IRNazanin" w:cs="IRNazanin"/>
          <w:lang w:bidi="fa-IR"/>
          <w:color w:val="111111"/>
          <w:sz w:val="28"/>
          <w:szCs w:val="28"/>
          <w:rtl/>
        </w:rPr>
        <w:t xml:space="preserve">۲۱. مشهد؛ رضوی؛ شماره نسخه: ۱۴۰۶۶</w:t>
      </w:r>
    </w:p>
    <w:p>
      <w:pPr>
        <w:pStyle w:val="BookText"/>
      </w:pPr>
      <w:r>
        <w:rPr>
          <w:rFonts w:ascii="IRNazanin" w:hAnsi="IRNazanin" w:eastAsia="IRNazanin" w:cs="IRNazanin"/>
          <w:lang w:bidi="fa-IR"/>
          <w:color w:val="111111"/>
          <w:sz w:val="28"/>
          <w:szCs w:val="28"/>
          <w:rtl/>
        </w:rPr>
        <w:t xml:space="preserve">آغاز: گوسفندان وی می گردید و ایشان را همی چرانید.؛ انجام: مامال را تسلیم نکنیم مگر بنشانهای (كذا) می شناخته ایم از سیدنا حسن (علیه السلام). خط: نستعلیق، بی کا، تا: قرن ۱۲؛ افتادگی: آغاز (۲۰ ورق) و انجام (۶ ورق)؛ یک چهارم نیز کسر نویسی شده؛ واقف: فاضل خان، ۱۰۶۵؛ کاغذ: حنایی، جلد: تیماج مشکی، ۲۱۴گ، ۱۹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۱۷/۲ سم [ف: ۱۴-۱۲۱]</w:t>
      </w:r>
    </w:p>
    <w:p>
      <w:pPr>
        <w:pStyle w:val="BookText"/>
      </w:pPr>
      <w:r>
        <w:rPr>
          <w:rFonts w:ascii="IRNazanin" w:hAnsi="IRNazanin" w:eastAsia="IRNazanin" w:cs="IRNazanin"/>
          <w:lang w:bidi="fa-IR"/>
          <w:color w:val="111111"/>
          <w:sz w:val="28"/>
          <w:szCs w:val="28"/>
          <w:rtl/>
        </w:rPr>
        <w:t xml:space="preserve">۲۲. مشهد؛ گوهرشاد؛ شماره نسخه: ۳۹۴</w:t>
      </w:r>
    </w:p>
    <w:p>
      <w:pPr>
        <w:pStyle w:val="BookText"/>
      </w:pPr>
      <w:r>
        <w:rPr>
          <w:rFonts w:ascii="IRNazanin" w:hAnsi="IRNazanin" w:eastAsia="IRNazanin" w:cs="IRNazanin"/>
          <w:lang w:bidi="fa-IR"/>
          <w:color w:val="111111"/>
          <w:sz w:val="28"/>
          <w:szCs w:val="28"/>
          <w:rtl/>
        </w:rPr>
        <w:t xml:space="preserve">آغاز: برابر خط: نستعلیق خوش، بی کا، تا: قرن ۱۲؛ افتادگی: انجام؛ مهر: حاج سید سعید؛ جلد: تیماج لایه ای مشکی، ۵۵گ، ۱۷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۱-۳۲۶]</w:t>
      </w:r>
    </w:p>
    <w:p>
      <w:pPr>
        <w:pStyle w:val="BookText"/>
      </w:pPr>
      <w:r>
        <w:rPr>
          <w:rFonts w:ascii="IRNazanin" w:hAnsi="IRNazanin" w:eastAsia="IRNazanin" w:cs="IRNazanin"/>
          <w:lang w:bidi="fa-IR"/>
          <w:color w:val="111111"/>
          <w:sz w:val="28"/>
          <w:szCs w:val="28"/>
          <w:rtl/>
        </w:rPr>
        <w:t xml:space="preserve">۲۳. تهران؛ مجلس؛ شماره نسخه: ۸۰۱۰</w:t>
      </w:r>
    </w:p>
    <w:p>
      <w:pPr>
        <w:pStyle w:val="BookText"/>
      </w:pPr>
      <w:r>
        <w:rPr>
          <w:rFonts w:ascii="IRNazanin" w:hAnsi="IRNazanin" w:eastAsia="IRNazanin" w:cs="IRNazanin"/>
          <w:lang w:bidi="fa-IR"/>
          <w:color w:val="111111"/>
          <w:sz w:val="28"/>
          <w:szCs w:val="28"/>
          <w:rtl/>
        </w:rPr>
        <w:t xml:space="preserve">آغاز: برابر؛ انجام: و باشارت و فرمان الهی ... [وصالی شده کند انشاء الله تعالی. تمت الكتاب بعون الملک الوهاب و صلى الله على خیر خلقه محمد و آله اجمعين الطيبين الطاهرين برحمتک یا ارحم الراحمين.</w:t>
      </w:r>
    </w:p>
    <w:p>
      <w:pPr>
        <w:pStyle w:val="BookText"/>
      </w:pPr>
      <w:r>
        <w:rPr>
          <w:rFonts w:ascii="IRNazanin" w:hAnsi="IRNazanin" w:eastAsia="IRNazanin" w:cs="IRNazanin"/>
          <w:lang w:bidi="fa-IR"/>
          <w:color w:val="111111"/>
          <w:sz w:val="28"/>
          <w:szCs w:val="28"/>
          <w:rtl/>
        </w:rPr>
        <w:t xml:space="preserve">خط: نستعلیق تحریری، بی کا، تا: قرن ۱۲؛ دارای رکابه، یکی از مالکان نسخه به خط جدید روی صفحه عنوان نوشته: «چون اسم این کتاب مجهول بود و من نمی دانستم بصلاح خود اسم این کتاب را مفتاح المناقب على بن على طالب عليه الصلوة و السلام نهادم»؛ جلد: تیماج مقوایی با عطف چرم قهوه ای، ۲۶۱گ، ۱۹ سطر، اندازه: ۲۳/۸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۱۷/۲ سم [ف: ۲۷/۱ -۲۶]</w:t>
      </w:r>
    </w:p>
    <w:p>
      <w:pPr>
        <w:pStyle w:val="BookText"/>
      </w:pPr>
      <w:r>
        <w:rPr>
          <w:rFonts w:ascii="IRNazanin" w:hAnsi="IRNazanin" w:eastAsia="IRNazanin" w:cs="IRNazanin"/>
          <w:lang w:bidi="fa-IR"/>
          <w:color w:val="111111"/>
          <w:sz w:val="28"/>
          <w:szCs w:val="28"/>
          <w:rtl/>
        </w:rPr>
        <w:t xml:space="preserve">۲۴. مشهد؛ مدرسه آية الله خوئی؛ شماره نسخه: ۴۱۱</w:t>
      </w:r>
    </w:p>
    <w:p>
      <w:pPr>
        <w:pStyle w:val="BookText"/>
      </w:pPr>
      <w:r>
        <w:rPr>
          <w:rFonts w:ascii="IRNazanin" w:hAnsi="IRNazanin" w:eastAsia="IRNazanin" w:cs="IRNazanin"/>
          <w:lang w:bidi="fa-IR"/>
          <w:color w:val="111111"/>
          <w:sz w:val="28"/>
          <w:szCs w:val="28"/>
          <w:rtl/>
        </w:rPr>
        <w:t xml:space="preserve">بی کا، تا: قرن ۱۱ و ۱۲؛ افتادگی: انجام [اوراق عتیق: ۱-۲۴۲]</w:t>
      </w:r>
    </w:p>
    <w:p>
      <w:pPr>
        <w:pStyle w:val="BookText"/>
      </w:pPr>
      <w:r>
        <w:rPr>
          <w:rFonts w:ascii="Amiri" w:hAnsi="Amiri" w:eastAsia="Amiri" w:cs="Amiri"/>
          <w:lang w:bidi="ar-SA"/>
          <w:color w:val="111111"/>
          <w:sz w:val="28"/>
          <w:szCs w:val="28"/>
          <w:rtl/>
        </w:rPr>
        <w:t xml:space="preserve">۲۵. مشهد؛ الهيات؛ شماره نسخه: ۱۸۸۶۷</w:t>
      </w:r>
    </w:p>
    <w:p>
      <w:pPr>
        <w:pStyle w:val="BookText"/>
      </w:pPr>
      <w:r>
        <w:rPr>
          <w:rFonts w:ascii="IRNazanin" w:hAnsi="IRNazanin" w:eastAsia="IRNazanin" w:cs="IRNazanin"/>
          <w:lang w:bidi="fa-IR"/>
          <w:color w:val="111111"/>
          <w:sz w:val="28"/>
          <w:szCs w:val="28"/>
          <w:rtl/>
        </w:rPr>
        <w:t xml:space="preserve">آغاز: برابر؛ انجام: و چون از مواقعه فارغ شد من نور فاطمه را در شکم خود یافتم و اما کیفیت ولادت آنحضرت و معجزاتی که در آن وقت ظاهر شد در ابواب دیگر احوال و معجزات آنحضرت بیان خواهد شد ...</w:t>
      </w:r>
    </w:p>
    <w:p>
      <w:pPr>
        <w:pStyle w:val="BookText"/>
      </w:pPr>
      <w:r>
        <w:rPr>
          <w:rFonts w:ascii="IRNazanin" w:hAnsi="IRNazanin" w:eastAsia="IRNazanin" w:cs="IRNazanin"/>
          <w:lang w:bidi="fa-IR"/>
          <w:color w:val="111111"/>
          <w:sz w:val="28"/>
          <w:szCs w:val="28"/>
          <w:rtl/>
        </w:rPr>
        <w:t xml:space="preserve">خط: نستعلیق، كا: ابراهیم بن خسرو، تا: محرم ۱۱۰۱ق؛ نسخه حاضر از آغاز تا ولادت حضرت فاطمه زهرا (علیها السلام) را دارد و پس از آن تفسير بعضی از سوره های کوچک قرآن کریم آمده است که از تفسیر خلاصة المنهج نقل شده است وسیله ابراهیم بن خسرو متخلص به راقم در محرم ۱۱۰۱ق، یادداشت مورخ ۱۲ رمضان ۱۱۴۵ق؛ جلد: سوخته ضربی عطف میشن قهوه ای، ۱۲۲گ ( ۲۱۸+۹۷ )، ۱۷ و ۲۲ و ۲۵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۲۶/۵ سم [ف: ۲-۲۷۶]</w:t>
      </w:r>
    </w:p>
    <w:p>
      <w:pPr>
        <w:pStyle w:val="BookText"/>
      </w:pPr>
      <w:r>
        <w:rPr>
          <w:rFonts w:ascii="IRNazanin" w:hAnsi="IRNazanin" w:eastAsia="IRNazanin" w:cs="IRNazanin"/>
          <w:lang w:bidi="fa-IR"/>
          <w:color w:val="111111"/>
          <w:sz w:val="28"/>
          <w:szCs w:val="28"/>
          <w:rtl/>
        </w:rPr>
        <w:t xml:space="preserve">۲۶. کرمانشاه؛ نجومی؛ شماره نسخه: بدون شماره</w:t>
      </w:r>
    </w:p>
    <w:p>
      <w:pPr>
        <w:pStyle w:val="BookText"/>
      </w:pPr>
      <w:r>
        <w:rPr>
          <w:rFonts w:ascii="IRNazanin" w:hAnsi="IRNazanin" w:eastAsia="IRNazanin" w:cs="IRNazanin"/>
          <w:lang w:bidi="fa-IR"/>
          <w:color w:val="111111"/>
          <w:sz w:val="28"/>
          <w:szCs w:val="28"/>
          <w:rtl/>
        </w:rPr>
        <w:t xml:space="preserve">بی کا، تا: با تاریخ ۱۱۷۰ق؛ افتادگی: انجام؛ دارای یادداشت هایی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قدیمی ترین آنها تاریخ یکشنبه ۱۹ ذیحجه ۱۱۷۰ را دارد [دليل المخطوطات: ۱-۲۲۰]</w:t>
      </w:r>
    </w:p>
    <w:p>
      <w:pPr>
        <w:pStyle w:val="BookText"/>
      </w:pPr>
      <w:r>
        <w:rPr>
          <w:rFonts w:ascii="IRNazanin" w:hAnsi="IRNazanin" w:eastAsia="IRNazanin" w:cs="IRNazanin"/>
          <w:lang w:bidi="fa-IR"/>
          <w:color w:val="111111"/>
          <w:sz w:val="28"/>
          <w:szCs w:val="28"/>
          <w:rtl/>
        </w:rPr>
        <w:t xml:space="preserve">۲۷. نجف آباد؛ حججی؛ شماره نسخه: ۷</w:t>
      </w:r>
    </w:p>
    <w:p>
      <w:pPr>
        <w:pStyle w:val="BookText"/>
      </w:pPr>
      <w:r>
        <w:rPr>
          <w:rFonts w:ascii="IRNazanin" w:hAnsi="IRNazanin" w:eastAsia="IRNazanin" w:cs="IRNazanin"/>
          <w:lang w:bidi="fa-IR"/>
          <w:color w:val="111111"/>
          <w:sz w:val="28"/>
          <w:szCs w:val="28"/>
          <w:rtl/>
        </w:rPr>
        <w:t xml:space="preserve">آغاز: حضرة الهی پیش از آنکه آدم را آفرید بچهارده هزار سال چون حق تعالی آدم را بیافرید ... فصل في ذكر من آیاته و دلايله (ص) روایت است از آمنه بنت ابی سعد السهمی که گفت چون ابوطالب؛ انجام: ظهور کند انشاء الله تعالی و تقدس». تمت الكتاب</w:t>
      </w:r>
    </w:p>
    <w:p>
      <w:pPr>
        <w:pStyle w:val="BookText"/>
      </w:pPr>
      <w:r>
        <w:rPr>
          <w:rFonts w:ascii="IRNazanin" w:hAnsi="IRNazanin" w:eastAsia="IRNazanin" w:cs="IRNazanin"/>
          <w:lang w:bidi="fa-IR"/>
          <w:color w:val="111111"/>
          <w:sz w:val="28"/>
          <w:szCs w:val="28"/>
          <w:rtl/>
        </w:rPr>
        <w:t xml:space="preserve">خط: نسخ، كا: طاهر بن میر حاج بن علاء الدين بن امیر ... بن فصیح الدين بن علاء الدین حسینی ابهری جی اصفهان، تا: چهارشنبه ۸ صفر ۱۱۷۶ق، جا: جی اصفهان؛ مصحح؛ جلد: تیماج مشکی با ترنج و سر ترنج، عطف پارچه، ۲۲۰گ، ۱۹ 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۲۴]</w:t>
      </w:r>
    </w:p>
    <w:p>
      <w:pPr>
        <w:pStyle w:val="BookText"/>
      </w:pPr>
      <w:r>
        <w:rPr>
          <w:rFonts w:ascii="IRNazanin" w:hAnsi="IRNazanin" w:eastAsia="IRNazanin" w:cs="IRNazanin"/>
          <w:lang w:bidi="fa-IR"/>
          <w:color w:val="111111"/>
          <w:sz w:val="28"/>
          <w:szCs w:val="28"/>
          <w:rtl/>
        </w:rPr>
        <w:t xml:space="preserve">۲۸. قم؛ گلپایگانی؛ شماره نسخه: ۶۰۰۲- ۳۰/۷۲</w:t>
      </w:r>
    </w:p>
    <w:p>
      <w:pPr>
        <w:pStyle w:val="BookText"/>
      </w:pPr>
      <w:r>
        <w:rPr>
          <w:rFonts w:ascii="IRNazanin" w:hAnsi="IRNazanin" w:eastAsia="IRNazanin" w:cs="IRNazanin"/>
          <w:lang w:bidi="fa-IR"/>
          <w:color w:val="111111"/>
          <w:sz w:val="28"/>
          <w:szCs w:val="28"/>
          <w:rtl/>
        </w:rPr>
        <w:t xml:space="preserve">آغاز: هو غنى لا يفتقر ... فصل في ذكر طرف من آیاته و دلائله دوائیست از آمنه بنت ابی سعید السهمی که گفت جرف ابوطالب در نوبت نخستین که از شام باز آمد، انجام: فصل في ولادت امام الثاني عشر حجة الله خلقه ... آواز داد و گفت یا عمه ویرا فرا گیر و به نزد پدرش بر بس او را پیش وی بردم و بردست از «فصل في ذكر طرف من آیاته و دلائله» تا «فصل في ولادت الامام الثاني عشر حجة الله على خلقه كلمة الباقية لديه و الموعود باستخلافه في ارضه»؛ خط: نسخ، بی کا، تا: قرن ۱۲ و ۱۳؛ افتادگی: آغاز و انجام؛ جلد: گالینگور، سرخ، عطف طوسی، ۲۴۹گ، ۱۹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۲-۶۳۶]</w:t>
      </w:r>
    </w:p>
    <w:p>
      <w:pPr>
        <w:pStyle w:val="BookText"/>
      </w:pPr>
      <w:r>
        <w:rPr>
          <w:rFonts w:ascii="IRNazanin" w:hAnsi="IRNazanin" w:eastAsia="IRNazanin" w:cs="IRNazanin"/>
          <w:lang w:bidi="fa-IR"/>
          <w:color w:val="111111"/>
          <w:sz w:val="28"/>
          <w:szCs w:val="28"/>
          <w:rtl/>
        </w:rPr>
        <w:t xml:space="preserve">۲۹. مشهد؛ گوهرشاد؛ شماره نسخه: ۲۰۸</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تا: قرن ۱۳؛ افتادگی: انجام؛ دارای یک سرلوح کمکار؛ مهر: حاج سید سعید؛ کاغذ: فستقی و حنایی، جلد: مقوا با روکش مشمع سرخ عطف و گوشه پارچه قهوه ای، ۳۳۲گ، ۱۸ ۲۰ سطر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۲۰/۵)،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[ف: ۱-۱۷۹]</w:t>
      </w:r>
    </w:p>
    <w:p>
      <w:pPr>
        <w:pStyle w:val="BookText"/>
      </w:pPr>
      <w:r>
        <w:rPr>
          <w:rFonts w:ascii="IRNazanin" w:hAnsi="IRNazanin" w:eastAsia="IRNazanin" w:cs="IRNazanin"/>
          <w:lang w:bidi="fa-IR"/>
          <w:color w:val="111111"/>
          <w:sz w:val="28"/>
          <w:szCs w:val="28"/>
          <w:rtl/>
        </w:rPr>
        <w:t xml:space="preserve">۳۰. مشهد؛ گوهرشاد؛ شماره نسخه: ۱۴۶۱</w:t>
      </w:r>
    </w:p>
    <w:p>
      <w:pPr>
        <w:pStyle w:val="BookText"/>
      </w:pPr>
      <w:r>
        <w:rPr>
          <w:rFonts w:ascii="IRNazanin" w:hAnsi="IRNazanin" w:eastAsia="IRNazanin" w:cs="IRNazanin"/>
          <w:lang w:bidi="fa-IR"/>
          <w:color w:val="111111"/>
          <w:sz w:val="28"/>
          <w:szCs w:val="28"/>
          <w:rtl/>
        </w:rPr>
        <w:t xml:space="preserve">آغاز: آغاز کلام از آفريدن حضرت محمد(صلی الله علیه وآله وسلم)عندلیبان بوستان غرائب حکایات؛ انجام: چونکه بدین پایه رساندی کلام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به که کنم ختم سخن و السلام. تم. خط: نستعلیق، بی کا، تا: شنبه ۱۲ جمادی الثانی ۱۲۳۷ق؛ افتادگی: آغاز کاغذ: فرنگی، جلد: مقوا عطف پارچه مشکی، ۲۳ سطر (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سم [ف: ۴-۲۰۳۲]</w:t>
      </w:r>
    </w:p>
    <w:p>
      <w:pPr>
        <w:pStyle w:val="BookText"/>
      </w:pPr>
      <w:r>
        <w:rPr>
          <w:rFonts w:ascii="IRNazanin" w:hAnsi="IRNazanin" w:eastAsia="IRNazanin" w:cs="IRNazanin"/>
          <w:lang w:bidi="fa-IR"/>
          <w:color w:val="111111"/>
          <w:sz w:val="28"/>
          <w:szCs w:val="28"/>
          <w:rtl/>
        </w:rPr>
        <w:t xml:space="preserve">۳۱. قم؛ مرعشی؛ شماره نسخه: ۶۲۱۳</w:t>
      </w:r>
    </w:p>
    <w:p>
      <w:pPr>
        <w:pStyle w:val="BookText"/>
      </w:pPr>
      <w:r>
        <w:rPr>
          <w:rFonts w:ascii="IRNazanin" w:hAnsi="IRNazanin" w:eastAsia="IRNazanin" w:cs="IRNazanin"/>
          <w:lang w:bidi="fa-IR"/>
          <w:color w:val="111111"/>
          <w:sz w:val="28"/>
          <w:szCs w:val="28"/>
          <w:rtl/>
        </w:rPr>
        <w:t xml:space="preserve">خط: نستعلیق، كان محمد حسین بن محمد تفلیسی، تا: شوال ۱۲۳۸ق، بخواهش ملک محمد سلطان ولد خداداد سلطان؛ تملك: ریحان الله بن جعفر موسوی به تاریخ دوم ذیحجه ۱۳۲۰ با مهر «العبد ريحان الله الموسوی» (بیضوی)؛ جلد: تیماج مشکی، ۲۲۳، ۲۲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۵/۳۰سم [ف: ۱۶-۲۰۸]</w:t>
      </w:r>
    </w:p>
    <w:p>
      <w:pPr>
        <w:pStyle w:val="BookText"/>
      </w:pPr>
      <w:r>
        <w:rPr>
          <w:rFonts w:ascii="IRNazanin" w:hAnsi="IRNazanin" w:eastAsia="IRNazanin" w:cs="IRNazanin"/>
          <w:lang w:bidi="fa-IR"/>
          <w:color w:val="111111"/>
          <w:sz w:val="28"/>
          <w:szCs w:val="28"/>
          <w:rtl/>
        </w:rPr>
        <w:t xml:space="preserve">۳۲. تهران؛ دانشگاه؛ شماره نسخه: ۶۰۳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درشت، بی کا، بی تا؛ مجدول، با سرلوح زیبا؛ تملك: معتمد الملک پسر محمد قاسمخان قاجار در تهران به سال ۱۲۵۴؛ کاغذ: ترمه، جلد: تیماج زرد مقوایی، ۴۱۳گ، ۱۸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۲۹/۵)،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۳۷/۵سم [ف: ۱۱۹۱۵]</w:t>
      </w:r>
    </w:p>
    <w:p>
      <w:pPr>
        <w:pStyle w:val="BookText"/>
      </w:pPr>
      <w:r>
        <w:rPr>
          <w:rFonts w:ascii="IRNazanin" w:hAnsi="IRNazanin" w:eastAsia="IRNazanin" w:cs="IRNazanin"/>
          <w:lang w:bidi="fa-IR"/>
          <w:color w:val="111111"/>
          <w:sz w:val="28"/>
          <w:szCs w:val="28"/>
          <w:rtl/>
        </w:rPr>
        <w:t xml:space="preserve">۳۳. قم: مرکز مطالعات؛ شماره نسخه: ۱۸۰</w:t>
      </w:r>
    </w:p>
    <w:p>
      <w:pPr>
        <w:pStyle w:val="BookText"/>
      </w:pPr>
      <w:r>
        <w:rPr>
          <w:rFonts w:ascii="IRNazanin" w:hAnsi="IRNazanin" w:eastAsia="IRNazanin" w:cs="IRNazanin"/>
          <w:lang w:bidi="fa-IR"/>
          <w:color w:val="111111"/>
          <w:sz w:val="28"/>
          <w:szCs w:val="28"/>
          <w:rtl/>
        </w:rPr>
        <w:t xml:space="preserve">آغاز: برابر؛ انجام: که امام بر حق را باور نکند پس آن مرد عمانی عمود جهل من بر دست وی گوید معجز داود می خواهم فراری نماید گوید جادویی</w:t>
      </w:r>
    </w:p>
    <w:p>
      <w:pPr>
        <w:pStyle w:val="BookText"/>
      </w:pPr>
      <w:r>
        <w:rPr>
          <w:rFonts w:ascii="IRNazanin" w:hAnsi="IRNazanin" w:eastAsia="IRNazanin" w:cs="IRNazanin"/>
          <w:lang w:bidi="fa-IR"/>
          <w:color w:val="111111"/>
          <w:sz w:val="28"/>
          <w:szCs w:val="28"/>
          <w:rtl/>
        </w:rPr>
        <w:t xml:space="preserve">خط: نسخ زیبا، بی کا، بی تا، افتادگی: انجام (چند برگ)؛ واقف: عبدالجبار بن حاجی علی محمد خوئی، غره رجب ۱۲۵۴؛ جلد: تیماج، مشکی، ضربی، مجدول گرهی، ۴۲۹گ، ۲۱ سطر،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۱-۱۵۰]</w:t>
      </w:r>
    </w:p>
    <w:p>
      <w:pPr>
        <w:pStyle w:val="BookText"/>
      </w:pPr>
      <w:r>
        <w:rPr>
          <w:rFonts w:ascii="IRNazanin" w:hAnsi="IRNazanin" w:eastAsia="IRNazanin" w:cs="IRNazanin"/>
          <w:lang w:bidi="fa-IR"/>
          <w:color w:val="111111"/>
          <w:sz w:val="28"/>
          <w:szCs w:val="28"/>
          <w:rtl/>
        </w:rPr>
        <w:t xml:space="preserve">۳۴. مشهد؛ گوهرشاد؛ شماره نسخه: ۱۲۴۱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۱۲۵۸ق؛ از میان چند برگ کسر دارد؛ کاغذ: فرنگی، جلد: تیماج سرخ، ۲۴ سطر (۱۳/۵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 )،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۴-۱۸۷۰]</w:t>
      </w:r>
    </w:p>
    <w:p>
      <w:pPr>
        <w:pStyle w:val="BookText"/>
      </w:pPr>
      <w:r>
        <w:rPr>
          <w:rFonts w:ascii="IRNazanin" w:hAnsi="IRNazanin" w:eastAsia="IRNazanin" w:cs="IRNazanin"/>
          <w:lang w:bidi="fa-IR"/>
          <w:color w:val="111111"/>
          <w:sz w:val="28"/>
          <w:szCs w:val="28"/>
          <w:rtl/>
        </w:rPr>
        <w:t xml:space="preserve">۳۵. قم؛ مسجد اعظم، شماره نسخه: ۱۹۴۰</w:t>
      </w:r>
    </w:p>
    <w:p>
      <w:pPr>
        <w:pStyle w:val="BookText"/>
      </w:pPr>
      <w:r>
        <w:rPr>
          <w:rFonts w:ascii="IRNazanin" w:hAnsi="IRNazanin" w:eastAsia="IRNazanin" w:cs="IRNazanin"/>
          <w:lang w:bidi="fa-IR"/>
          <w:color w:val="111111"/>
          <w:sz w:val="28"/>
          <w:szCs w:val="28"/>
          <w:rtl/>
        </w:rPr>
        <w:t xml:space="preserve">آغاز: بسمله. و امت تو برخیزد گفتم چه نامی گفت محمود گفتم بچه کار آمده گفت بتزويج النور گفت آمده ام تا نوری را بنوری دهی؛ انجام: قایم قیام کند دست بر سر بندگان نهد ... پرسید که برج آسمان چند است گفت دوازده، گفت به حقیقت می دانستم .. تمام شد کتاب مناقب ائمه علیهم السلام.</w:t>
      </w:r>
    </w:p>
    <w:p>
      <w:pPr>
        <w:pStyle w:val="BookText"/>
      </w:pPr>
      <w:r>
        <w:rPr>
          <w:rFonts w:ascii="IRNazanin" w:hAnsi="IRNazanin" w:eastAsia="IRNazanin" w:cs="IRNazanin"/>
          <w:lang w:bidi="fa-IR"/>
          <w:color w:val="111111"/>
          <w:sz w:val="28"/>
          <w:szCs w:val="28"/>
          <w:rtl/>
        </w:rPr>
        <w:t xml:space="preserve">در فهرست جدید به خطا «مباهج المهج» کیدری دانسته شده؛ خط: تحریری، بی کا، تا: یک شنبه غره ذیقعده ۱۲۷۱ق؛ افتادگی: آغاز؛ مصحح، رکابه دار؛ جلد: تیماج مشکی عطف زرشکی ترنج و سر مجدول، ۵۶ص، ۱۶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مخ: ۴ ۱۶۷۸]</w:t>
      </w:r>
    </w:p>
    <w:p>
      <w:pPr>
        <w:pStyle w:val="BookText"/>
      </w:pPr>
      <w:r>
        <w:rPr>
          <w:rFonts w:ascii="IRNazanin" w:hAnsi="IRNazanin" w:eastAsia="IRNazanin" w:cs="IRNazanin"/>
          <w:lang w:bidi="fa-IR"/>
          <w:color w:val="111111"/>
          <w:sz w:val="28"/>
          <w:szCs w:val="28"/>
          <w:rtl/>
        </w:rPr>
        <w:t xml:space="preserve">قم، مرعشی؛ شماره نسخه: ۱۶۰۸</w:t>
      </w:r>
    </w:p>
    <w:p>
      <w:pPr>
        <w:pStyle w:val="BookText"/>
      </w:pPr>
      <w:r>
        <w:rPr>
          <w:rFonts w:ascii="IRNazanin" w:hAnsi="IRNazanin" w:eastAsia="IRNazanin" w:cs="IRNazanin"/>
          <w:lang w:bidi="fa-IR"/>
          <w:color w:val="111111"/>
          <w:sz w:val="28"/>
          <w:szCs w:val="28"/>
          <w:rtl/>
        </w:rPr>
        <w:t xml:space="preserve">نسخه اصل: همان نسخه بالا [عکسی ف: ۱۵-۵]</w:t>
      </w:r>
    </w:p>
    <w:p>
      <w:pPr>
        <w:pStyle w:val="BookText"/>
      </w:pPr>
      <w:r>
        <w:rPr>
          <w:rFonts w:ascii="IRNazanin" w:hAnsi="IRNazanin" w:eastAsia="IRNazanin" w:cs="IRNazanin"/>
          <w:lang w:bidi="fa-IR"/>
          <w:color w:val="111111"/>
          <w:sz w:val="28"/>
          <w:szCs w:val="28"/>
          <w:rtl/>
        </w:rPr>
        <w:t xml:space="preserve">۳۶. مشهد؛ رضوی؛ شماره نسخه: ۱۹۳۴</w:t>
      </w:r>
    </w:p>
    <w:p>
      <w:pPr>
        <w:pStyle w:val="BookText"/>
      </w:pPr>
      <w:r>
        <w:rPr>
          <w:rFonts w:ascii="IRNazanin" w:hAnsi="IRNazanin" w:eastAsia="IRNazanin" w:cs="IRNazanin"/>
          <w:lang w:bidi="fa-IR"/>
          <w:color w:val="111111"/>
          <w:sz w:val="28"/>
          <w:szCs w:val="28"/>
          <w:rtl/>
        </w:rPr>
        <w:t xml:space="preserve">آغاز: برابر؛ انجام: سلم تسليما دائما ابدا خط: نستعلیق، بی کا، بی تا؛ واقف: نائینی، مرداد ۱۳۱۱؛ کاغذ: نخودی، جلد: تیماج مشکی، ۲۷۴گ، ۱۹ سطر،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۵-۶۱]</w:t>
      </w:r>
    </w:p>
    <w:p>
      <w:pPr>
        <w:pStyle w:val="BookText"/>
      </w:pPr>
      <w:r>
        <w:rPr>
          <w:rFonts w:ascii="IRNazanin" w:hAnsi="IRNazanin" w:eastAsia="IRNazanin" w:cs="IRNazanin"/>
          <w:lang w:bidi="fa-IR"/>
          <w:color w:val="111111"/>
          <w:sz w:val="28"/>
          <w:szCs w:val="28"/>
          <w:rtl/>
        </w:rPr>
        <w:t xml:space="preserve">۳۷. مشهد؛ اصغر زاده؛ شماره نسخه: ۴</w:t>
      </w:r>
    </w:p>
    <w:p>
      <w:pPr>
        <w:pStyle w:val="BookText"/>
      </w:pPr>
      <w:r>
        <w:rPr>
          <w:rFonts w:ascii="IRNazanin" w:hAnsi="IRNazanin" w:eastAsia="IRNazanin" w:cs="IRNazanin"/>
          <w:lang w:bidi="fa-IR"/>
          <w:color w:val="111111"/>
          <w:sz w:val="28"/>
          <w:szCs w:val="28"/>
          <w:rtl/>
        </w:rPr>
        <w:t xml:space="preserve">بی کا، بی تا [نشریه: ۷-۷۶۹]</w:t>
      </w:r>
    </w:p>
    <w:p>
      <w:pPr>
        <w:pStyle w:val="BookText"/>
      </w:pPr>
      <w:r>
        <w:rPr>
          <w:rFonts w:ascii="IRNazanin" w:hAnsi="IRNazanin" w:eastAsia="IRNazanin" w:cs="IRNazanin"/>
          <w:lang w:bidi="fa-IR"/>
          <w:color w:val="111111"/>
          <w:sz w:val="28"/>
          <w:szCs w:val="28"/>
          <w:rtl/>
        </w:rPr>
        <w:t xml:space="preserve">۳۸. تهران؛ مجلس؛ شماره نسخه: ۲۲۷۱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بی کا، بی تا؛ مصحح، در صحیفه اول تذهيب ممتازی از طلا و لاجورد و شنگرف، مجدول، مذهب؛ کاغذ: سمرقندی شکری، جلد: تیماج سرمه ای طلا کوبی، ۵۸۸ص، ۲۳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30" w:name="pg20363_209317"/>
    <w:bookmarkEnd w:id="130"/>
    <w:p>
      <w:pPr>
        <w:pStyle w:val="BookText"/>
      </w:pPr>
      <w:r>
        <w:rPr>
          <w:rFonts w:ascii="IRNazanin" w:hAnsi="IRNazanin" w:eastAsia="IRNazanin" w:cs="IRNazanin"/>
          <w:lang w:bidi="fa-IR"/>
          <w:color w:val="111111"/>
          <w:sz w:val="28"/>
          <w:szCs w:val="28"/>
          <w:rtl/>
        </w:rPr>
        <w:t xml:space="preserve">سطر، اندازه: ۱۷/۵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۲۶/۵ سم [ف: ۶-۲۲۶]</w:t>
      </w:r>
    </w:p>
    <w:p>
      <w:pPr>
        <w:pStyle w:val="BookText"/>
      </w:pPr>
      <w:r>
        <w:rPr>
          <w:rFonts w:ascii="IRNazanin" w:hAnsi="IRNazanin" w:eastAsia="IRNazanin" w:cs="IRNazanin"/>
          <w:lang w:bidi="fa-IR"/>
          <w:color w:val="111111"/>
          <w:sz w:val="28"/>
          <w:szCs w:val="28"/>
          <w:rtl/>
        </w:rPr>
        <w:t xml:space="preserve">قم: مرکز احیاء؛ شماره نسخه: ۸۶۲</w:t>
      </w:r>
    </w:p>
    <w:p>
      <w:pPr>
        <w:pStyle w:val="BookText"/>
      </w:pPr>
      <w:r>
        <w:rPr>
          <w:rFonts w:ascii="IRNazanin" w:hAnsi="IRNazanin" w:eastAsia="IRNazanin" w:cs="IRNazanin"/>
          <w:lang w:bidi="fa-IR"/>
          <w:color w:val="111111"/>
          <w:sz w:val="28"/>
          <w:szCs w:val="28"/>
          <w:rtl/>
        </w:rPr>
        <w:t xml:space="preserve">نسخه اصلی: همان نسخه بالا [عکسی ف: ۳-۵۱]</w:t>
      </w:r>
    </w:p>
    <w:p>
      <w:pPr>
        <w:pStyle w:val="BookText"/>
      </w:pPr>
      <w:r>
        <w:rPr>
          <w:rFonts w:ascii="IRNazanin" w:hAnsi="IRNazanin" w:eastAsia="IRNazanin" w:cs="IRNazanin"/>
          <w:lang w:bidi="fa-IR"/>
          <w:color w:val="111111"/>
          <w:sz w:val="28"/>
          <w:szCs w:val="28"/>
          <w:rtl/>
        </w:rPr>
        <w:t xml:space="preserve">۳۹. تهران: دانشگاه؛ شماره نسخه: ۱۱۵۵-ف</w:t>
      </w:r>
    </w:p>
    <w:p>
      <w:pPr>
        <w:pStyle w:val="BookText"/>
      </w:pPr>
      <w:r>
        <w:rPr>
          <w:rFonts w:ascii="IRNazanin" w:hAnsi="IRNazanin" w:eastAsia="IRNazanin" w:cs="IRNazanin"/>
          <w:lang w:bidi="fa-IR"/>
          <w:color w:val="111111"/>
          <w:sz w:val="28"/>
          <w:szCs w:val="28"/>
          <w:rtl/>
        </w:rPr>
        <w:t xml:space="preserve">نسخه اصل: بادلیان ۲۱ و ينفيلد، خط: نستعلیق، بی کا، بی تا؛ ۳۲۱، ۱۹ سطر [فیلمها ف: ۱-۲۴]</w:t>
      </w:r>
    </w:p>
    <w:p>
      <w:pPr>
        <w:pStyle w:val="BookText"/>
      </w:pPr>
      <w:r>
        <w:rPr>
          <w:rFonts w:ascii="IRNazanin" w:hAnsi="IRNazanin" w:eastAsia="IRNazanin" w:cs="IRNazanin"/>
          <w:lang w:bidi="fa-IR"/>
          <w:color w:val="111111"/>
          <w:sz w:val="28"/>
          <w:szCs w:val="28"/>
          <w:rtl/>
        </w:rPr>
        <w:t xml:space="preserve">←بهجة المجالس و نزهة المجالس ← دیوان ارجانی</w:t>
      </w:r>
    </w:p>
    <w:p>
      <w:pPr>
        <w:pStyle w:val="Heading3"/>
      </w:pPr>
      <w:bookmarkStart w:id="1124" w:name="_Toc384"/>
      <w:r>
        <w:t>• بهجة المحافل في السير و المعجزات و الشمائل / تاریخ پیامبر اکرم(صلی الله علیه وآله وسلم) / عربی</w:t>
      </w:r>
      <w:bookmarkEnd w:id="1124"/>
    </w:p>
    <w:p>
      <w:pPr>
        <w:pStyle w:val="BookText"/>
      </w:pPr>
      <w:r>
        <w:rPr>
          <w:rFonts w:ascii="Times New Roman" w:hAnsi="Times New Roman" w:eastAsia="Times New Roman" w:cs="Times New Roman"/>
          <w:lang w:val="en-US" w:bidi="en-US"/>
          <w:color w:val="111111"/>
          <w:sz w:val="28"/>
          <w:szCs w:val="28"/>
          <w:rtl/>
        </w:rPr>
        <w:t xml:space="preserve">bahjat-ul maḥāfil fi-s sayr wa-l mu'jizāt wa-š šamā'il</w:t>
      </w:r>
    </w:p>
    <w:p>
      <w:pPr>
        <w:pStyle w:val="BookText"/>
      </w:pPr>
      <w:r>
        <w:rPr>
          <w:rFonts w:ascii="IRNazanin" w:hAnsi="IRNazanin" w:eastAsia="IRNazanin" w:cs="IRNazanin"/>
          <w:lang w:bidi="fa-IR"/>
          <w:color w:val="111111"/>
          <w:sz w:val="28"/>
          <w:szCs w:val="28"/>
          <w:rtl/>
        </w:rPr>
        <w:t xml:space="preserve">عامری، یحیی بن ابی بکر، ۸۱۶-۸۹۳ قمری</w:t>
      </w:r>
    </w:p>
    <w:p>
      <w:pPr>
        <w:pStyle w:val="BookText"/>
      </w:pPr>
      <w:r>
        <w:rPr>
          <w:rFonts w:ascii="Times New Roman" w:hAnsi="Times New Roman" w:eastAsia="Times New Roman" w:cs="Times New Roman"/>
          <w:lang w:val="en-US" w:bidi="en-US"/>
          <w:color w:val="111111"/>
          <w:sz w:val="28"/>
          <w:szCs w:val="28"/>
          <w:rtl/>
        </w:rPr>
        <w:t xml:space="preserve">‘āmerī, yahyā ebn-e abī-bakr (1414-1488)</w:t>
      </w:r>
    </w:p>
    <w:p>
      <w:pPr>
        <w:pStyle w:val="BookText"/>
      </w:pPr>
      <w:r>
        <w:rPr>
          <w:rFonts w:ascii="IRNazanin" w:hAnsi="IRNazanin" w:eastAsia="IRNazanin" w:cs="IRNazanin"/>
          <w:lang w:bidi="fa-IR"/>
          <w:color w:val="111111"/>
          <w:sz w:val="28"/>
          <w:szCs w:val="28"/>
          <w:rtl/>
        </w:rPr>
        <w:t xml:space="preserve">تاریخ تأليف: ۱۴ شعبان ۸۵۵ق</w:t>
      </w:r>
    </w:p>
    <w:p>
      <w:pPr>
        <w:pStyle w:val="BookText"/>
      </w:pPr>
      <w:r>
        <w:rPr>
          <w:rFonts w:ascii="IRNazanin" w:hAnsi="IRNazanin" w:eastAsia="IRNazanin" w:cs="IRNazanin"/>
          <w:lang w:bidi="fa-IR"/>
          <w:color w:val="111111"/>
          <w:sz w:val="28"/>
          <w:szCs w:val="28"/>
          <w:rtl/>
        </w:rPr>
        <w:t xml:space="preserve">کتاب مختصری است مشتمل بر سیره، و شمایل و فضایل پیامبر اکرم (صلی الله علیه وآله وسلم). در سه «قسم» و هر قسم دارای چند «باب»: قسم ۱. تلخيص سيرته(صلی الله علیه وآله وسلم)...، در شش باب؛ قسم ۲. اسمائه الكريمة ... و معجزاته و با هر آیاته، در چهار باب؛ قسم 3. شمايله و فضائله و اقوال و افعاله في جميع احواله، در سه باب.</w:t>
      </w:r>
    </w:p>
    <w:p>
      <w:pPr>
        <w:pStyle w:val="BookText"/>
      </w:pPr>
      <w:r>
        <w:rPr>
          <w:rFonts w:ascii="IRNazanin" w:hAnsi="IRNazanin" w:eastAsia="IRNazanin" w:cs="IRNazanin"/>
          <w:lang w:bidi="fa-IR"/>
          <w:color w:val="111111"/>
          <w:sz w:val="28"/>
          <w:szCs w:val="28"/>
          <w:rtl/>
        </w:rPr>
        <w:t xml:space="preserve">آغاز: الحمدلله الواحد البر الرحيم الفاطر الصمد العليم الذي بعث محمدا(صلی الله علیه وآله وسلم)بالحنفية السمحة والدين القويم ... و بعد فان من اجل ما ينبغي معرفته و تعريفه و ...</w:t>
      </w:r>
    </w:p>
    <w:p>
      <w:pPr>
        <w:pStyle w:val="BookText"/>
      </w:pPr>
      <w:r>
        <w:rPr>
          <w:rFonts w:ascii="IRNazanin" w:hAnsi="IRNazanin" w:eastAsia="IRNazanin" w:cs="IRNazanin"/>
          <w:lang w:bidi="fa-IR"/>
          <w:color w:val="111111"/>
          <w:sz w:val="28"/>
          <w:szCs w:val="28"/>
          <w:rtl/>
        </w:rPr>
        <w:t xml:space="preserve">چاپ: السعودية، دار المنهاج، تحقیق انور بن ابی بکر الشيخی، الطبعة الأولى، ۱۴۳۰</w:t>
      </w:r>
    </w:p>
    <w:p>
      <w:pPr>
        <w:pStyle w:val="BookText"/>
      </w:pPr>
      <w:r>
        <w:rPr>
          <w:rFonts w:ascii="IRNazanin" w:hAnsi="IRNazanin" w:eastAsia="IRNazanin" w:cs="IRNazanin"/>
          <w:lang w:bidi="fa-IR"/>
          <w:color w:val="111111"/>
          <w:sz w:val="28"/>
          <w:szCs w:val="28"/>
          <w:rtl/>
        </w:rPr>
        <w:t xml:space="preserve">[دنا ۵۵۴/۲ (۲ نسخه)؛ کشف الظنون ۲۵۸/۱ ؛ بروکلمان، ذیل ۲۲۵/۲ ؛ مخطوطات المصورة کویت، احمد سعید ۲۶۰/۱ ؛ سرکیس ۱۲۶۱/۲ با عنوان بهجة المحافل و بغية الأماثل في تلخيص السير و المعجزات و الشمائل» ]</w:t>
      </w:r>
    </w:p>
    <w:p>
      <w:pPr>
        <w:pStyle w:val="BookText"/>
      </w:pPr>
      <w:r>
        <w:rPr>
          <w:rFonts w:ascii="IRNazanin" w:hAnsi="IRNazanin" w:eastAsia="IRNazanin" w:cs="IRNazanin"/>
          <w:lang w:bidi="fa-IR"/>
          <w:color w:val="111111"/>
          <w:sz w:val="28"/>
          <w:szCs w:val="28"/>
          <w:rtl/>
        </w:rPr>
        <w:t xml:space="preserve">۱. قم؛ مرعشی؛ شماره نسخه: ۷۰۰عکسی</w:t>
      </w:r>
    </w:p>
    <w:p>
      <w:pPr>
        <w:pStyle w:val="BookText"/>
      </w:pPr>
      <w:r>
        <w:rPr>
          <w:rFonts w:ascii="IRNazanin" w:hAnsi="IRNazanin" w:eastAsia="IRNazanin" w:cs="IRNazanin"/>
          <w:lang w:bidi="fa-IR"/>
          <w:color w:val="111111"/>
          <w:sz w:val="28"/>
          <w:szCs w:val="28"/>
          <w:rtl/>
        </w:rPr>
        <w:t xml:space="preserve">آغاز: الواحد البر التواب، و صلی الله على سيدنا محمد الذي ... و ابصر به بعد العمی؛ انجام: قال المؤلف كان الله له: وهنا ... الكلام على الوجه الذي شرطناة ... انه هو الرب المعبود لا رب سواه ولا معبود الا اياه.</w:t>
      </w:r>
    </w:p>
    <w:p>
      <w:pPr>
        <w:pStyle w:val="BookText"/>
      </w:pPr>
      <w:r>
        <w:rPr>
          <w:rFonts w:ascii="IRNazanin" w:hAnsi="IRNazanin" w:eastAsia="IRNazanin" w:cs="IRNazanin"/>
          <w:lang w:bidi="fa-IR"/>
          <w:color w:val="111111"/>
          <w:sz w:val="28"/>
          <w:szCs w:val="28"/>
          <w:rtl/>
        </w:rPr>
        <w:t xml:space="preserve">نسخه اصل: چستربیتی، ش ۴۳۸۲ (اربری، فهرست خطی عربی ۱۱۹/۵ ). تمام کتاب، الا اینکه مختصری از خطبه آن افتاده؛ خط: نسخ، بی کا، تا: قرن ۱۰؛ افتادگی: آغاز و انجام؛ مصحح، محشی؛ ۳۰۱گ، ۱۹ سطر [عکسی ف: ۲-۱۸۴]</w:t>
      </w:r>
    </w:p>
    <w:p>
      <w:pPr>
        <w:pStyle w:val="BookText"/>
      </w:pPr>
      <w:r>
        <w:rPr>
          <w:rFonts w:ascii="IRNazanin" w:hAnsi="IRNazanin" w:eastAsia="IRNazanin" w:cs="IRNazanin"/>
          <w:lang w:bidi="fa-IR"/>
          <w:color w:val="111111"/>
          <w:sz w:val="28"/>
          <w:szCs w:val="28"/>
          <w:rtl/>
        </w:rPr>
        <w:t xml:space="preserve">۲. تهران: مجلس؛ شماره نسخه: ۱۴۱۲۶</w:t>
      </w:r>
    </w:p>
    <w:p>
      <w:pPr>
        <w:pStyle w:val="BookText"/>
      </w:pPr>
      <w:r>
        <w:rPr>
          <w:rFonts w:ascii="IRNazanin" w:hAnsi="IRNazanin" w:eastAsia="IRNazanin" w:cs="IRNazanin"/>
          <w:lang w:bidi="fa-IR"/>
          <w:color w:val="111111"/>
          <w:sz w:val="28"/>
          <w:szCs w:val="28"/>
          <w:rtl/>
        </w:rPr>
        <w:t xml:space="preserve">آغاز: برابر؛ انجام: انه هو الرب المعبود و الاله المقصود لأرب سواه و لا معبود الا اياه و هو حسبی و نعم الوكيل نعم المولی و نعم النصير ولا حول و لا قوة الا بالله العلى العظيم. خط: نستعلیق، کا: محمد برکت الله لكهنوی فرنگی محلی، بی تا؛ بعضی از عبارات خط خورده؛ جلد: تیماج، قهوه ای، عطف گالینگور، ۲۷۷گی، ۱۹ سطر، اندازه: ۱۶/۵</w:t>
      </w:r>
    </w:p>
    <w:p>
      <w:pPr>
        <w:pStyle w:val="BookText"/>
      </w:pP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۲۵/۵سم [ف: ۳۸-۱۶۱]</w:t>
      </w:r>
    </w:p>
    <w:p>
      <w:pPr>
        <w:pStyle w:val="BookText"/>
      </w:pPr>
      <w:r>
        <w:rPr>
          <w:rFonts w:ascii="Amiri" w:hAnsi="Amiri" w:eastAsia="Amiri" w:cs="Amiri"/>
          <w:lang w:bidi="ar-SA"/>
          <w:color w:val="111111"/>
          <w:sz w:val="28"/>
          <w:szCs w:val="28"/>
          <w:rtl/>
        </w:rPr>
        <w:t xml:space="preserve">←البهجة المرتضوية في شرح الدرة البهية← شرح الدرة البهية</w:t>
      </w:r>
    </w:p>
    <w:p>
      <w:pPr>
        <w:pStyle w:val="BookText"/>
      </w:pPr>
      <w:r>
        <w:rPr>
          <w:rFonts w:ascii="IRNazanin" w:hAnsi="IRNazanin" w:eastAsia="IRNazanin" w:cs="IRNazanin"/>
          <w:lang w:bidi="fa-IR"/>
          <w:color w:val="111111"/>
          <w:sz w:val="28"/>
          <w:szCs w:val="28"/>
          <w:rtl/>
        </w:rPr>
        <w:t xml:space="preserve">← بهجة المصطفی ← اشرف الانشاء</w:t>
      </w:r>
    </w:p>
    <w:p>
      <w:pPr>
        <w:pStyle w:val="Heading3"/>
      </w:pPr>
      <w:bookmarkStart w:id="1125" w:name="_Toc385"/>
      <w:r>
        <w:t>• البهجة المرضية = منظومه في اصول فقه / شعر، اصول فقه / عربی</w:t>
      </w:r>
      <w:bookmarkEnd w:id="1125"/>
    </w:p>
    <w:p>
      <w:pPr>
        <w:pStyle w:val="BookText"/>
      </w:pPr>
      <w:r>
        <w:rPr>
          <w:rFonts w:ascii="Times New Roman" w:hAnsi="Times New Roman" w:eastAsia="Times New Roman" w:cs="Times New Roman"/>
          <w:lang w:val="en-US" w:bidi="en-US"/>
          <w:color w:val="111111"/>
          <w:sz w:val="28"/>
          <w:szCs w:val="28"/>
          <w:rtl/>
        </w:rPr>
        <w:t xml:space="preserve">al-bahjat-ul mardiyya = manzumat-un fi usul-i fiqh</w:t>
      </w:r>
    </w:p>
    <w:p>
      <w:pPr>
        <w:pStyle w:val="BookText"/>
      </w:pPr>
      <w:r>
        <w:rPr>
          <w:rFonts w:ascii="IRNazanin" w:hAnsi="IRNazanin" w:eastAsia="IRNazanin" w:cs="IRNazanin"/>
          <w:lang w:bidi="fa-IR"/>
          <w:color w:val="111111"/>
          <w:sz w:val="28"/>
          <w:szCs w:val="28"/>
          <w:rtl/>
        </w:rPr>
        <w:t xml:space="preserve">آرانی کاشانی، علی بن حسن</w:t>
      </w:r>
    </w:p>
    <w:p>
      <w:pPr>
        <w:pStyle w:val="BookText"/>
      </w:pPr>
      <w:r>
        <w:rPr>
          <w:rFonts w:ascii="Times New Roman" w:hAnsi="Times New Roman" w:eastAsia="Times New Roman" w:cs="Times New Roman"/>
          <w:lang w:val="en-US" w:bidi="en-US"/>
          <w:color w:val="111111"/>
          <w:sz w:val="28"/>
          <w:szCs w:val="28"/>
          <w:rtl/>
        </w:rPr>
        <w:t xml:space="preserve">ārānī kāšānī, “alī ebn-e hasan</w:t>
      </w:r>
    </w:p>
    <w:p>
      <w:pPr>
        <w:pStyle w:val="BookText"/>
      </w:pPr>
      <w:r>
        <w:rPr>
          <w:rFonts w:ascii="IRNazanin" w:hAnsi="IRNazanin" w:eastAsia="IRNazanin" w:cs="IRNazanin"/>
          <w:lang w:bidi="fa-IR"/>
          <w:color w:val="111111"/>
          <w:sz w:val="28"/>
          <w:szCs w:val="28"/>
          <w:rtl/>
        </w:rPr>
        <w:t xml:space="preserve">منظومه ای در اصول فقه و شامل بر ۵۲۱ بیت است که در مقدمه البهجة المرضية» نامیده اش. در الذریعه گفته که نامش «الدرة البهية» است و خود او با نام «الغرة الجلية» آن را شرح کرده است و محتملا نام آن را از این شعر او برداشت کرده: «و بعد هذه درة بهيه ***للطالبين بهجة مرضية». ولی به قرینه نهایت آن باید نامش «البهجة المرضية» باشد.</w:t>
      </w:r>
    </w:p>
    <w:p>
      <w:pPr>
        <w:pStyle w:val="BookText"/>
      </w:pPr>
      <w:r>
        <w:rPr>
          <w:rFonts w:ascii="IRNazanin" w:hAnsi="IRNazanin" w:eastAsia="IRNazanin" w:cs="IRNazanin"/>
          <w:lang w:bidi="fa-IR"/>
          <w:color w:val="111111"/>
          <w:sz w:val="28"/>
          <w:szCs w:val="28"/>
          <w:rtl/>
        </w:rPr>
        <w:t xml:space="preserve">آغاز: يقول راجي الرب ذى الاحسان***علی بن الحسن الآرانی</w:t>
      </w:r>
    </w:p>
    <w:p>
      <w:pPr>
        <w:pStyle w:val="BookText"/>
      </w:pPr>
      <w:r>
        <w:rPr>
          <w:rFonts w:ascii="IRNazanin" w:hAnsi="IRNazanin" w:eastAsia="IRNazanin" w:cs="IRNazanin"/>
          <w:lang w:bidi="fa-IR"/>
          <w:color w:val="111111"/>
          <w:sz w:val="28"/>
          <w:szCs w:val="28"/>
          <w:rtl/>
        </w:rPr>
        <w:t xml:space="preserve">[ الذریعه ۴۵۹/۱ ؛ مكتبة امير المومنین ۸۴/1 ]</w:t>
      </w:r>
    </w:p>
    <w:p>
      <w:pPr>
        <w:pStyle w:val="BookText"/>
      </w:pPr>
      <w:r>
        <w:rPr>
          <w:rFonts w:ascii="IRNazanin" w:hAnsi="IRNazanin" w:eastAsia="IRNazanin" w:cs="IRNazanin"/>
          <w:lang w:bidi="fa-IR"/>
          <w:color w:val="111111"/>
          <w:sz w:val="28"/>
          <w:szCs w:val="28"/>
          <w:rtl/>
        </w:rPr>
        <w:t xml:space="preserve">تهران؛ مجلس؛ شماره نسخه: ۱۸۳۷۸ ض</w:t>
      </w:r>
    </w:p>
    <w:p>
      <w:pPr>
        <w:pStyle w:val="BookText"/>
      </w:pPr>
      <w:r>
        <w:rPr>
          <w:rFonts w:ascii="IRNazanin" w:hAnsi="IRNazanin" w:eastAsia="IRNazanin" w:cs="IRNazanin"/>
          <w:lang w:bidi="fa-IR"/>
          <w:color w:val="111111"/>
          <w:sz w:val="28"/>
          <w:szCs w:val="28"/>
          <w:rtl/>
        </w:rPr>
        <w:t xml:space="preserve">بی کا، تا: قرن ۱۳ [د.ث. مجلس]</w:t>
      </w:r>
    </w:p>
    <w:p>
      <w:pPr>
        <w:pStyle w:val="Heading3"/>
      </w:pPr>
      <w:bookmarkStart w:id="1126" w:name="_Toc386"/>
      <w:r>
        <w:t>• البهجة المرضية في شرح الألفية = شرح الفية ابن</w:t>
      </w:r>
      <w:bookmarkEnd w:id="1126"/>
    </w:p>
    <w:p>
      <w:pPr>
        <w:pStyle w:val="BookText"/>
      </w:pPr>
      <w:r>
        <w:rPr>
          <w:rFonts w:ascii="IRNazanin" w:hAnsi="IRNazanin" w:eastAsia="IRNazanin" w:cs="IRNazanin"/>
          <w:lang w:bidi="fa-IR"/>
          <w:color w:val="111111"/>
          <w:sz w:val="28"/>
          <w:szCs w:val="28"/>
          <w:rtl/>
        </w:rPr>
        <w:t xml:space="preserve">مالک = شرح الخلاصة في النحو / نحو /عربی</w:t>
      </w:r>
    </w:p>
    <w:p>
      <w:pPr>
        <w:pStyle w:val="BookText"/>
      </w:pPr>
      <w:r>
        <w:rPr>
          <w:rFonts w:ascii="Times New Roman" w:hAnsi="Times New Roman" w:eastAsia="Times New Roman" w:cs="Times New Roman"/>
          <w:lang w:val="en-US" w:bidi="en-US"/>
          <w:color w:val="111111"/>
          <w:sz w:val="28"/>
          <w:szCs w:val="28"/>
          <w:rtl/>
        </w:rPr>
        <w:t xml:space="preserve">al-bahjat-ul mardīyya fī š.-il alfiya = š.-u alfīyyat-i ibn i mālik = š.-u al-xulāșa fi-n naḥw</w:t>
      </w:r>
    </w:p>
    <w:p>
      <w:pPr>
        <w:pStyle w:val="BookText"/>
      </w:pPr>
      <w:r>
        <w:rPr>
          <w:rFonts w:ascii="IRNazanin" w:hAnsi="IRNazanin" w:eastAsia="IRNazanin" w:cs="IRNazanin"/>
          <w:lang w:bidi="fa-IR"/>
          <w:color w:val="111111"/>
          <w:sz w:val="28"/>
          <w:szCs w:val="28"/>
          <w:rtl/>
        </w:rPr>
        <w:t xml:space="preserve">سیوطی، عبدالرحمن بن ابی بکر، ۸۴۹-۹۱۱ قمری</w:t>
      </w:r>
    </w:p>
    <w:p>
      <w:pPr>
        <w:pStyle w:val="BookText"/>
      </w:pPr>
      <w:r>
        <w:rPr>
          <w:rFonts w:ascii="Times New Roman" w:hAnsi="Times New Roman" w:eastAsia="Times New Roman" w:cs="Times New Roman"/>
          <w:lang w:val="en-US" w:bidi="en-US"/>
          <w:color w:val="111111"/>
          <w:sz w:val="28"/>
          <w:szCs w:val="28"/>
          <w:rtl/>
        </w:rPr>
        <w:t xml:space="preserve">soyūtī, 'abd-or-rahmān ebn-e abī-bakr (1446-1506)</w:t>
      </w:r>
    </w:p>
    <w:p>
      <w:pPr>
        <w:pStyle w:val="BookText"/>
      </w:pPr>
      <w:r>
        <w:rPr>
          <w:rFonts w:ascii="IRNazanin" w:hAnsi="IRNazanin" w:eastAsia="IRNazanin" w:cs="IRNazanin"/>
          <w:lang w:bidi="fa-IR"/>
          <w:color w:val="111111"/>
          <w:sz w:val="28"/>
          <w:szCs w:val="28"/>
          <w:rtl/>
        </w:rPr>
        <w:t xml:space="preserve">وابسته به: الخلاصة في النحو = الفية ابن مالک = الألفية في النحو؛ ابن مالک، محمد بن عبدالله (۶۰۰-۶۷۲)</w:t>
      </w:r>
    </w:p>
    <w:p>
      <w:pPr>
        <w:pStyle w:val="BookText"/>
      </w:pPr>
      <w:r>
        <w:rPr>
          <w:rFonts w:ascii="IRNazanin" w:hAnsi="IRNazanin" w:eastAsia="IRNazanin" w:cs="IRNazanin"/>
          <w:lang w:bidi="fa-IR"/>
          <w:color w:val="111111"/>
          <w:sz w:val="28"/>
          <w:szCs w:val="28"/>
          <w:rtl/>
        </w:rPr>
        <w:t xml:space="preserve">شرح مزجی مختصر مشهوری است بر «الفية ابن مالك محمد بن عبدالله جیانی طائی است. این شرح را مؤلف خود «البهجة المرضية في شرح الألفيه» نامیده و میان طلاب و دانشجویان به مناسبت اشتهار مؤلف و شارح، به نام «سیوطی» مشهور گردیده و از شروح مزجی بسیار مفید می باشد و از بدو تأليف تاکنون تدریس و تعلیم آن معمول و بر آن حواشی متعدد نوشته شده است.</w:t>
      </w:r>
    </w:p>
    <w:p>
      <w:pPr>
        <w:pStyle w:val="BookText"/>
      </w:pPr>
      <w:r>
        <w:rPr>
          <w:rFonts w:ascii="IRNazanin" w:hAnsi="IRNazanin" w:eastAsia="IRNazanin" w:cs="IRNazanin"/>
          <w:lang w:bidi="fa-IR"/>
          <w:color w:val="111111"/>
          <w:sz w:val="28"/>
          <w:szCs w:val="28"/>
          <w:rtl/>
        </w:rPr>
        <w:t xml:space="preserve">آغاز: بسمله، احمد اللهم على نعمك و الائک و اصلی و اسلم على محمد خاتم انبیائك و على آله و صحبه و التابعين الى يوم لقائك ... اما بعد، فهذا شرح لطيف مزجته بالفية ابن مالک انجام: وقد قال ابن عباس رضي الله عنه ما اوتی عالم علما الاو هو شاب فالحمدلله الذي هدانا لهذا وما كنا لنهتدي لولا أن هدانا الله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اللهم صل على سيدنا محمد عبدك و رسولك النبي الأمي وعلى آله ... كما باركت على ابراهيم و على آل ابراهيم في العالمين انک حمید مجید و اختم لنا و اصلح لنا شأننا كله و افعل باخواننا و سائر المسلمين و الحمد لله رب العالمين وصلى الله على محمد و آله اجمعین.</w:t>
      </w:r>
    </w:p>
    <w:p>
      <w:pPr>
        <w:pStyle w:val="BookText"/>
      </w:pPr>
      <w:r>
        <w:rPr>
          <w:rFonts w:ascii="IRNazanin" w:hAnsi="IRNazanin" w:eastAsia="IRNazanin" w:cs="IRNazanin"/>
          <w:lang w:bidi="fa-IR"/>
          <w:color w:val="111111"/>
          <w:sz w:val="28"/>
          <w:szCs w:val="28"/>
          <w:rtl/>
        </w:rPr>
        <w:t xml:space="preserve">چاپ: مکرر در ایران و مصر و هندوستان چاپ شده است؛ تبریز، سنگی، ۱۲۹۲ق، وزیری، ۲۵۵ص؛ ۱۳۱۱ق، ۲۷۱ص؛ ایران، ۱۲۹۳ق، ایران، بی ناشر، ۱۲۸۶ق، ۲۵۷ص؛ ۱۳۰۴ق، رحلی؛ ۱۲۸۷ق؛ تهران، ۱۲۶۴ق، خشتی</w:t>
      </w:r>
    </w:p>
    <w:p>
      <w:pPr>
        <w:pStyle w:val="BookText"/>
      </w:pPr>
      <w:r>
        <w:rPr>
          <w:rFonts w:ascii="IRNazanin" w:hAnsi="IRNazanin" w:eastAsia="IRNazanin" w:cs="IRNazanin"/>
          <w:lang w:bidi="fa-IR"/>
          <w:color w:val="111111"/>
          <w:sz w:val="28"/>
          <w:szCs w:val="28"/>
          <w:rtl/>
        </w:rPr>
        <w:t xml:space="preserve">[دنا ۵۵۴/۲ (۵۸۰ نسخه)؛ کشف الظنون ۱۵۱/۱ -۱۵۵ و ۲۵۹/۱ ؛ مشار عربی ۱۳۴؛ ریحانة الادب ۱۴۹/۳ -۱۵۱؛ معجم المطبوعات ۱۰۷۶]</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١- شرح شواهد البهجة المرضية؛ سیوطی، عبدالرحمن بن ابی با (۹۱۱-۸۴۹)</w:t>
      </w:r>
    </w:p>
    <w:p>
      <w:pPr>
        <w:pStyle w:val="BookText"/>
      </w:pPr>
      <w:r>
        <w:rPr>
          <w:rFonts w:ascii="IRNazanin" w:hAnsi="IRNazanin" w:eastAsia="IRNazanin" w:cs="IRNazanin"/>
          <w:lang w:bidi="fa-IR"/>
          <w:color w:val="111111"/>
          <w:sz w:val="28"/>
          <w:szCs w:val="28"/>
          <w:rtl/>
        </w:rPr>
        <w:t xml:space="preserve">۲- حاشية البهجة المرضية في شرح الألفية؛ قزوینی، محمد بن مبارک (۹۶۶-)</w:t>
      </w:r>
    </w:p>
    <w:p>
      <w:pPr>
        <w:pStyle w:val="BookText"/>
      </w:pPr>
      <w:r>
        <w:rPr>
          <w:rFonts w:ascii="IRNazanin" w:hAnsi="IRNazanin" w:eastAsia="IRNazanin" w:cs="IRNazanin"/>
          <w:lang w:bidi="fa-IR"/>
          <w:color w:val="111111"/>
          <w:sz w:val="28"/>
          <w:szCs w:val="28"/>
          <w:rtl/>
        </w:rPr>
        <w:t xml:space="preserve">٣- حاشية البهجة المرضية في شرح الألفية = التعليقات الصالحية على شرح الألفية؛ احسائی، محمد صالح بن ابراهیم (-۱۱)</w:t>
      </w:r>
    </w:p>
    <w:p>
      <w:pPr>
        <w:pStyle w:val="BookText"/>
      </w:pPr>
      <w:r>
        <w:rPr>
          <w:rFonts w:ascii="IRNazanin" w:hAnsi="IRNazanin" w:eastAsia="IRNazanin" w:cs="IRNazanin"/>
          <w:lang w:bidi="fa-IR"/>
          <w:color w:val="111111"/>
          <w:sz w:val="28"/>
          <w:szCs w:val="28"/>
          <w:rtl/>
        </w:rPr>
        <w:t xml:space="preserve">4- شرح شواهد البهجة المرضية = شواهد سیوطی؛ اردبیلی، نظام الدين بن احمد (-۱۲)</w:t>
      </w:r>
    </w:p>
    <w:p>
      <w:pPr>
        <w:pStyle w:val="BookText"/>
      </w:pPr>
      <w:r>
        <w:rPr>
          <w:rFonts w:ascii="IRNazanin" w:hAnsi="IRNazanin" w:eastAsia="IRNazanin" w:cs="IRNazanin"/>
          <w:lang w:bidi="fa-IR"/>
          <w:color w:val="111111"/>
          <w:sz w:val="28"/>
          <w:szCs w:val="28"/>
          <w:rtl/>
        </w:rPr>
        <w:t xml:space="preserve">5- میزان الأدب في قواعد العرب؛ قزوینی، محمد يحيى بن محمد شفيع (-۱۲)</w:t>
      </w:r>
    </w:p>
    <w:p>
      <w:pPr>
        <w:pStyle w:val="BookText"/>
      </w:pPr>
      <w:r>
        <w:rPr>
          <w:rFonts w:ascii="IRNazanin" w:hAnsi="IRNazanin" w:eastAsia="IRNazanin" w:cs="IRNazanin"/>
          <w:lang w:bidi="fa-IR"/>
          <w:color w:val="111111"/>
          <w:sz w:val="28"/>
          <w:szCs w:val="28"/>
          <w:rtl/>
        </w:rPr>
        <w:t xml:space="preserve">6- شرح شواهد البهجة المرضية = شرح شواهد السيوطی؛ طبسی، محمود بن غلام علی (-۱۲)</w:t>
      </w:r>
    </w:p>
    <w:p>
      <w:pPr>
        <w:pStyle w:val="BookText"/>
      </w:pPr>
      <w:r>
        <w:rPr>
          <w:rFonts w:ascii="IRNazanin" w:hAnsi="IRNazanin" w:eastAsia="IRNazanin" w:cs="IRNazanin"/>
          <w:lang w:bidi="fa-IR"/>
          <w:color w:val="111111"/>
          <w:sz w:val="28"/>
          <w:szCs w:val="28"/>
          <w:rtl/>
        </w:rPr>
        <w:t xml:space="preserve">۷- حاشية البهجة المرضية في شرح الألفية؛ جیلانی، محمد رفیع بن فرج (-۱۱۶۰)</w:t>
      </w:r>
    </w:p>
    <w:p>
      <w:pPr>
        <w:pStyle w:val="BookText"/>
      </w:pPr>
      <w:r>
        <w:rPr>
          <w:rFonts w:ascii="IRNazanin" w:hAnsi="IRNazanin" w:eastAsia="IRNazanin" w:cs="IRNazanin"/>
          <w:lang w:bidi="fa-IR"/>
          <w:color w:val="111111"/>
          <w:sz w:val="28"/>
          <w:szCs w:val="28"/>
          <w:rtl/>
        </w:rPr>
        <w:t xml:space="preserve">۸- شرح شواهد البهجة المرضية في شرح الألفية = الشواهد الضيائية بفرویی؛ یزدی، محمد باقر بن محمد حسين (۱۳-)</w:t>
      </w:r>
    </w:p>
    <w:p>
      <w:pPr>
        <w:pStyle w:val="BookText"/>
      </w:pPr>
      <w:r>
        <w:rPr>
          <w:rFonts w:ascii="IRNazanin" w:hAnsi="IRNazanin" w:eastAsia="IRNazanin" w:cs="IRNazanin"/>
          <w:lang w:bidi="fa-IR"/>
          <w:color w:val="111111"/>
          <w:sz w:val="28"/>
          <w:szCs w:val="28"/>
          <w:rtl/>
        </w:rPr>
        <w:t xml:space="preserve">۹- حاشية البهجة المرضية في شرح الألفية؛ حسینی تنکابنی، محمد هاشم بن محمد حسين (۱۳-)</w:t>
      </w:r>
    </w:p>
    <w:p>
      <w:pPr>
        <w:pStyle w:val="BookText"/>
      </w:pPr>
      <w:r>
        <w:rPr>
          <w:rFonts w:ascii="IRNazanin" w:hAnsi="IRNazanin" w:eastAsia="IRNazanin" w:cs="IRNazanin"/>
          <w:lang w:bidi="fa-IR"/>
          <w:color w:val="111111"/>
          <w:sz w:val="28"/>
          <w:szCs w:val="28"/>
          <w:rtl/>
        </w:rPr>
        <w:t xml:space="preserve">۱۰- واضح المشكلات؛ سبزواری، محمد رضا (۱۳-)</w:t>
      </w:r>
    </w:p>
    <w:p>
      <w:pPr>
        <w:pStyle w:val="BookText"/>
      </w:pPr>
      <w:r>
        <w:rPr>
          <w:rFonts w:ascii="IRNazanin" w:hAnsi="IRNazanin" w:eastAsia="IRNazanin" w:cs="IRNazanin"/>
          <w:lang w:bidi="fa-IR"/>
          <w:color w:val="111111"/>
          <w:sz w:val="28"/>
          <w:szCs w:val="28"/>
          <w:rtl/>
        </w:rPr>
        <w:t xml:space="preserve">۱۱- حاشية البهجة المرضية في شرح الألفية؛ يزدی، محمد صادق بن محمد (-۱۳)</w:t>
      </w:r>
    </w:p>
    <w:p>
      <w:pPr>
        <w:pStyle w:val="BookText"/>
      </w:pPr>
      <w:r>
        <w:rPr>
          <w:rFonts w:ascii="IRNazanin" w:hAnsi="IRNazanin" w:eastAsia="IRNazanin" w:cs="IRNazanin"/>
          <w:lang w:bidi="fa-IR"/>
          <w:color w:val="111111"/>
          <w:sz w:val="28"/>
          <w:szCs w:val="28"/>
          <w:rtl/>
        </w:rPr>
        <w:t xml:space="preserve">۱۲- شرح شواهد البهجة المرضية = شواهد السيوطی؛ کرمانی، ابراهیم بن ابراهیم (-۱۳)</w:t>
      </w:r>
    </w:p>
    <w:p>
      <w:pPr>
        <w:pStyle w:val="BookText"/>
      </w:pPr>
      <w:r>
        <w:rPr>
          <w:rFonts w:ascii="IRNazanin" w:hAnsi="IRNazanin" w:eastAsia="IRNazanin" w:cs="IRNazanin"/>
          <w:lang w:bidi="fa-IR"/>
          <w:color w:val="111111"/>
          <w:sz w:val="28"/>
          <w:szCs w:val="28"/>
          <w:rtl/>
        </w:rPr>
        <w:t xml:space="preserve">۱۳- حاشية البهجة المرضية في شرح الألفية؛ قزوینی، میرزا یحیی ( -۱۳ )</w:t>
      </w:r>
    </w:p>
    <w:p>
      <w:pPr>
        <w:pStyle w:val="BookText"/>
      </w:pPr>
      <w:r>
        <w:rPr>
          <w:rFonts w:ascii="IRNazanin" w:hAnsi="IRNazanin" w:eastAsia="IRNazanin" w:cs="IRNazanin"/>
          <w:lang w:bidi="fa-IR"/>
          <w:color w:val="111111"/>
          <w:sz w:val="28"/>
          <w:szCs w:val="28"/>
          <w:rtl/>
        </w:rPr>
        <w:t xml:space="preserve">14- سر الصناعة؛ ابوالمخلد محمد بن يحيی (۱۳-)</w:t>
      </w:r>
    </w:p>
    <w:p>
      <w:pPr>
        <w:pStyle w:val="BookText"/>
      </w:pPr>
      <w:r>
        <w:rPr>
          <w:rFonts w:ascii="IRNazanin" w:hAnsi="IRNazanin" w:eastAsia="IRNazanin" w:cs="IRNazanin"/>
          <w:lang w:bidi="fa-IR"/>
          <w:color w:val="111111"/>
          <w:sz w:val="28"/>
          <w:szCs w:val="28"/>
          <w:rtl/>
        </w:rPr>
        <w:t xml:space="preserve">15- حاشية البهجة المرضية في شرح الألفية؛ يزدی، علی اکبر بن عبدالكريم (-۱۳)</w:t>
      </w:r>
    </w:p>
    <w:p>
      <w:pPr>
        <w:pStyle w:val="BookText"/>
      </w:pPr>
      <w:r>
        <w:rPr>
          <w:rFonts w:ascii="IRNazanin" w:hAnsi="IRNazanin" w:eastAsia="IRNazanin" w:cs="IRNazanin"/>
          <w:lang w:bidi="fa-IR"/>
          <w:color w:val="111111"/>
          <w:sz w:val="28"/>
          <w:szCs w:val="28"/>
          <w:rtl/>
        </w:rPr>
        <w:t xml:space="preserve">16- شرح الفية ابن مالك؛ لاهیجانی، ابو تراب بن محمد (۱۳-)</w:t>
      </w:r>
    </w:p>
    <w:p>
      <w:pPr>
        <w:pStyle w:val="BookText"/>
      </w:pPr>
      <w:r>
        <w:rPr>
          <w:rFonts w:ascii="IRNazanin" w:hAnsi="IRNazanin" w:eastAsia="IRNazanin" w:cs="IRNazanin"/>
          <w:lang w:bidi="fa-IR"/>
          <w:color w:val="111111"/>
          <w:sz w:val="28"/>
          <w:szCs w:val="28"/>
          <w:rtl/>
        </w:rPr>
        <w:t xml:space="preserve">۱۷- اللطائف الأبهية في شرح الألفية؛ لاهیجانی، ابو تراب بن محمد ( -۱۳ )</w:t>
      </w:r>
    </w:p>
    <w:p>
      <w:pPr>
        <w:pStyle w:val="BookText"/>
      </w:pPr>
      <w:r>
        <w:rPr>
          <w:rFonts w:ascii="IRNazanin" w:hAnsi="IRNazanin" w:eastAsia="IRNazanin" w:cs="IRNazanin"/>
          <w:lang w:bidi="fa-IR"/>
          <w:color w:val="111111"/>
          <w:sz w:val="28"/>
          <w:szCs w:val="28"/>
          <w:rtl/>
        </w:rPr>
        <w:t xml:space="preserve">۱۸- حاشية البهجة المرضية في شرح الألفية؛ کرمانشاهی، ابوالحسن بن حسین (۱۳-)</w:t>
      </w:r>
    </w:p>
    <w:p>
      <w:pPr>
        <w:pStyle w:val="BookText"/>
      </w:pPr>
      <w:r>
        <w:rPr>
          <w:rFonts w:ascii="IRNazanin" w:hAnsi="IRNazanin" w:eastAsia="IRNazanin" w:cs="IRNazanin"/>
          <w:lang w:bidi="fa-IR"/>
          <w:color w:val="111111"/>
          <w:sz w:val="28"/>
          <w:szCs w:val="28"/>
          <w:rtl/>
        </w:rPr>
        <w:t xml:space="preserve">۱۹- حاشية البهجة المرضية في شرح الألفية؛ کرمانشاهی، محمد محسن بن محمد سمیع (-۱۲۲۳)</w:t>
      </w:r>
    </w:p>
    <w:p>
      <w:pPr>
        <w:pStyle w:val="BookText"/>
      </w:pPr>
      <w:r>
        <w:rPr>
          <w:rFonts w:ascii="IRNazanin" w:hAnsi="IRNazanin" w:eastAsia="IRNazanin" w:cs="IRNazanin"/>
          <w:lang w:bidi="fa-IR"/>
          <w:color w:val="111111"/>
          <w:sz w:val="28"/>
          <w:szCs w:val="28"/>
          <w:rtl/>
        </w:rPr>
        <w:t xml:space="preserve">۲۰- حاشية البهجة المرضية في شرح الألفية؛ ابوطالب اصفهانی (- ۱۲۳۷ )</w:t>
      </w:r>
    </w:p>
    <w:p>
      <w:pPr>
        <w:pStyle w:val="BookText"/>
      </w:pPr>
      <w:r>
        <w:rPr>
          <w:rFonts w:ascii="IRNazanin" w:hAnsi="IRNazanin" w:eastAsia="IRNazanin" w:cs="IRNazanin"/>
          <w:lang w:bidi="fa-IR"/>
          <w:color w:val="111111"/>
          <w:sz w:val="28"/>
          <w:szCs w:val="28"/>
          <w:rtl/>
        </w:rPr>
        <w:t xml:space="preserve">۲۱- حاشية البهجة المرضية في شرح الألفية؛ هرندی، محمد بن محمد على (-۱۲۴۳)</w:t>
      </w:r>
    </w:p>
    <w:p>
      <w:pPr>
        <w:pStyle w:val="BookText"/>
      </w:pPr>
      <w:r>
        <w:rPr>
          <w:rFonts w:ascii="IRNazanin" w:hAnsi="IRNazanin" w:eastAsia="IRNazanin" w:cs="IRNazanin"/>
          <w:lang w:bidi="fa-IR"/>
          <w:color w:val="111111"/>
          <w:sz w:val="28"/>
          <w:szCs w:val="28"/>
          <w:rtl/>
        </w:rPr>
        <w:t xml:space="preserve">۲۲- حاشية البهجة المرضية في شرح الألفية؛ جیلانی، محمد رفیع بن رفيع (-۱۲۴۵)</w:t>
      </w:r>
    </w:p>
    <w:p>
      <w:pPr>
        <w:pStyle w:val="BookText"/>
      </w:pPr>
      <w:r>
        <w:rPr>
          <w:rFonts w:ascii="IRNazanin" w:hAnsi="IRNazanin" w:eastAsia="IRNazanin" w:cs="IRNazanin"/>
          <w:lang w:bidi="fa-IR"/>
          <w:color w:val="111111"/>
          <w:sz w:val="28"/>
          <w:szCs w:val="28"/>
          <w:rtl/>
        </w:rPr>
        <w:t xml:space="preserve">۲۳- حاشية البهجة المرضية في شرح الألفية؛ شفتی بید آبادی، محمد باقر بن محمد نقی (۱۱۷۵-۱۲۶۰)</w:t>
      </w:r>
    </w:p>
    <w:p>
      <w:pPr>
        <w:pStyle w:val="BookText"/>
      </w:pPr>
      <w:r>
        <w:rPr>
          <w:rFonts w:ascii="IRNazanin" w:hAnsi="IRNazanin" w:eastAsia="IRNazanin" w:cs="IRNazanin"/>
          <w:lang w:bidi="fa-IR"/>
          <w:color w:val="111111"/>
          <w:sz w:val="28"/>
          <w:szCs w:val="28"/>
          <w:rtl/>
        </w:rPr>
        <w:t xml:space="preserve">۲4 - الحلية اللامعة للبهجة المرضية = شرح بهجة المرضة؛ شفتی بید آبادی، محمد باقر بن محمد نقی (۱۱۷۵-۱۲۶۰)</w:t>
      </w:r>
    </w:p>
    <w:p>
      <w:pPr>
        <w:pStyle w:val="BookText"/>
      </w:pPr>
      <w:r>
        <w:rPr>
          <w:rFonts w:ascii="IRNazanin" w:hAnsi="IRNazanin" w:eastAsia="IRNazanin" w:cs="IRNazanin"/>
          <w:lang w:bidi="fa-IR"/>
          <w:color w:val="111111"/>
          <w:sz w:val="28"/>
          <w:szCs w:val="28"/>
          <w:rtl/>
        </w:rPr>
        <w:t xml:space="preserve">25- شرح البهجة المرضية في شرح الألفية؛ بناء یزدی، علی اکبر بن عبدالكریم (۱۲۸۵-)</w:t>
      </w:r>
    </w:p>
    <w:p>
      <w:pPr>
        <w:pStyle w:val="BookText"/>
      </w:pPr>
      <w:r>
        <w:rPr>
          <w:rFonts w:ascii="IRNazanin" w:hAnsi="IRNazanin" w:eastAsia="IRNazanin" w:cs="IRNazanin"/>
          <w:lang w:bidi="fa-IR"/>
          <w:color w:val="111111"/>
          <w:sz w:val="28"/>
          <w:szCs w:val="28"/>
          <w:rtl/>
        </w:rPr>
        <w:t xml:space="preserve">26- حاشية البهجة المرضية في شرح الألفية؛ سبزواری، هادی بن مهدی (۱۲۱۲-۱۲۸۹)</w:t>
      </w:r>
    </w:p>
    <w:p>
      <w:pPr>
        <w:pStyle w:val="BookText"/>
      </w:pPr>
      <w:r>
        <w:rPr>
          <w:rFonts w:ascii="Amiri" w:hAnsi="Amiri" w:eastAsia="Amiri" w:cs="Amiri"/>
          <w:lang w:bidi="ar-SA"/>
          <w:color w:val="111111"/>
          <w:sz w:val="28"/>
          <w:szCs w:val="28"/>
          <w:rtl/>
        </w:rPr>
        <w:t xml:space="preserve">۲۷- جامع الشواهد؛ مجتهد، عبد الحسين بن اصغر (-۱۴)</w:t>
      </w:r>
    </w:p>
    <w:p>
      <w:pPr>
        <w:pStyle w:val="BookText"/>
      </w:pPr>
      <w:r>
        <w:rPr>
          <w:rFonts w:ascii="IRNazanin" w:hAnsi="IRNazanin" w:eastAsia="IRNazanin" w:cs="IRNazanin"/>
          <w:lang w:bidi="fa-IR"/>
          <w:color w:val="111111"/>
          <w:sz w:val="28"/>
          <w:szCs w:val="28"/>
          <w:rtl/>
        </w:rPr>
        <w:t xml:space="preserve">۲۸- شواهد البهجة المرضية؛ رضوی همدانی، حسین بن عبد الصمد (-14)</w:t>
      </w:r>
    </w:p>
    <w:p>
      <w:pPr>
        <w:pStyle w:val="BookText"/>
      </w:pPr>
      <w:r>
        <w:rPr>
          <w:rFonts w:ascii="IRNazanin" w:hAnsi="IRNazanin" w:eastAsia="IRNazanin" w:cs="IRNazanin"/>
          <w:lang w:bidi="fa-IR"/>
          <w:color w:val="111111"/>
          <w:sz w:val="28"/>
          <w:szCs w:val="28"/>
          <w:rtl/>
        </w:rPr>
        <w:t xml:space="preserve">۲۹- حاشية البهجة المرضية في شرح الألفية؛ هرندی، عبدالعلی (۱۳۰۶-۱۲۲۲)</w:t>
      </w:r>
    </w:p>
    <w:p>
      <w:pPr>
        <w:pStyle w:val="BookText"/>
      </w:pPr>
      <w:r>
        <w:rPr>
          <w:rFonts w:ascii="IRNazanin" w:hAnsi="IRNazanin" w:eastAsia="IRNazanin" w:cs="IRNazanin"/>
          <w:lang w:bidi="fa-IR"/>
          <w:color w:val="111111"/>
          <w:sz w:val="28"/>
          <w:szCs w:val="28"/>
          <w:rtl/>
        </w:rPr>
        <w:t xml:space="preserve">۳۰- المختصر النكت في شرح البهجة المرضية؛ فاضل گروسی، عبد الحسين (۱۲۵۹-۱۳۷۴)</w:t>
      </w:r>
    </w:p>
    <w:p>
      <w:pPr>
        <w:pStyle w:val="BookText"/>
      </w:pPr>
      <w:r>
        <w:rPr>
          <w:rFonts w:ascii="IRNazanin" w:hAnsi="IRNazanin" w:eastAsia="IRNazanin" w:cs="IRNazanin"/>
          <w:lang w:bidi="fa-IR"/>
          <w:color w:val="111111"/>
          <w:sz w:val="28"/>
          <w:szCs w:val="28"/>
          <w:rtl/>
        </w:rPr>
        <w:t xml:space="preserve">۳۱- حاشية البهجة المرضية في شرح الألفية؛ بهاری همدانی، محمد باقر بن محمد جعفر (۱۲۷۷-۱۳۳۳)</w:t>
      </w:r>
    </w:p>
    <w:p>
      <w:pPr>
        <w:pStyle w:val="BookText"/>
      </w:pPr>
      <w:r>
        <w:rPr>
          <w:rFonts w:ascii="IRNazanin" w:hAnsi="IRNazanin" w:eastAsia="IRNazanin" w:cs="IRNazanin"/>
          <w:lang w:bidi="fa-IR"/>
          <w:color w:val="111111"/>
          <w:sz w:val="28"/>
          <w:szCs w:val="28"/>
          <w:rtl/>
        </w:rPr>
        <w:t xml:space="preserve">۳۲- شرح البهجة المرضية في شرح الألفية؛ بهبهانی ارگانی، محمود بن احمد (-۱۵)</w:t>
      </w:r>
    </w:p>
    <w:p>
      <w:pPr>
        <w:pStyle w:val="BookText"/>
      </w:pPr>
      <w:r>
        <w:rPr>
          <w:rFonts w:ascii="IRNazanin" w:hAnsi="IRNazanin" w:eastAsia="IRNazanin" w:cs="IRNazanin"/>
          <w:lang w:bidi="fa-IR"/>
          <w:color w:val="111111"/>
          <w:sz w:val="28"/>
          <w:szCs w:val="28"/>
          <w:rtl/>
        </w:rPr>
        <w:t xml:space="preserve">۳۳- شرح سیوطی</w:t>
      </w:r>
    </w:p>
    <w:p>
      <w:pPr>
        <w:pStyle w:val="BookText"/>
      </w:pPr>
      <w:r>
        <w:rPr>
          <w:rFonts w:ascii="Amiri" w:hAnsi="Amiri" w:eastAsia="Amiri" w:cs="Amiri"/>
          <w:lang w:bidi="ar-SA"/>
          <w:color w:val="111111"/>
          <w:sz w:val="28"/>
          <w:szCs w:val="28"/>
          <w:rtl/>
        </w:rPr>
        <w:t xml:space="preserve">34- شرح شواهد البهجة المرضية = شرح شواهد السيوطي</w:t>
      </w:r>
    </w:p>
    <w:p>
      <w:pPr>
        <w:pStyle w:val="BookText"/>
      </w:pPr>
      <w:r>
        <w:rPr>
          <w:rFonts w:ascii="Amiri" w:hAnsi="Amiri" w:eastAsia="Amiri" w:cs="Amiri"/>
          <w:lang w:bidi="ar-SA"/>
          <w:color w:val="111111"/>
          <w:sz w:val="28"/>
          <w:szCs w:val="28"/>
          <w:rtl/>
        </w:rPr>
        <w:t xml:space="preserve">35- شرح البهجة المرضية في شرح الألفية</w:t>
      </w:r>
    </w:p>
    <w:p>
      <w:pPr>
        <w:pStyle w:val="BookText"/>
      </w:pPr>
      <w:r>
        <w:rPr>
          <w:rFonts w:ascii="Amiri" w:hAnsi="Amiri" w:eastAsia="Amiri" w:cs="Amiri"/>
          <w:lang w:bidi="ar-SA"/>
          <w:color w:val="111111"/>
          <w:sz w:val="28"/>
          <w:szCs w:val="28"/>
          <w:rtl/>
        </w:rPr>
        <w:t xml:space="preserve">۳۶- شرح شواهد البهجة المرضية</w:t>
      </w:r>
    </w:p>
    <w:p>
      <w:pPr>
        <w:pStyle w:val="BookText"/>
      </w:pPr>
      <w:r>
        <w:rPr>
          <w:rFonts w:ascii="Amiri" w:hAnsi="Amiri" w:eastAsia="Amiri" w:cs="Amiri"/>
          <w:lang w:bidi="ar-SA"/>
          <w:color w:val="111111"/>
          <w:sz w:val="28"/>
          <w:szCs w:val="28"/>
          <w:rtl/>
        </w:rPr>
        <w:t xml:space="preserve">37-شرح شواهد البهجة المرضية</w:t>
      </w:r>
    </w:p>
    <w:p>
      <w:pPr>
        <w:pStyle w:val="BookText"/>
      </w:pPr>
      <w:r>
        <w:rPr>
          <w:rFonts w:ascii="Amiri" w:hAnsi="Amiri" w:eastAsia="Amiri" w:cs="Amiri"/>
          <w:lang w:bidi="ar-SA"/>
          <w:color w:val="111111"/>
          <w:sz w:val="28"/>
          <w:szCs w:val="28"/>
          <w:rtl/>
        </w:rPr>
        <w:t xml:space="preserve">۳۸- شرح البهجة المرضية في شرح الألفية؛ محمد بن الحاج</w:t>
      </w:r>
    </w:p>
    <w:p>
      <w:pPr>
        <w:pStyle w:val="BookText"/>
      </w:pPr>
      <w:r>
        <w:rPr>
          <w:rFonts w:ascii="Amiri" w:hAnsi="Amiri" w:eastAsia="Amiri" w:cs="Amiri"/>
          <w:lang w:bidi="ar-SA"/>
          <w:color w:val="111111"/>
          <w:sz w:val="28"/>
          <w:szCs w:val="28"/>
          <w:rtl/>
        </w:rPr>
        <w:t xml:space="preserve">۳۹- حاشية بهجة المرضية</w:t>
      </w:r>
    </w:p>
    <w:p>
      <w:pPr>
        <w:pStyle w:val="BookText"/>
      </w:pPr>
      <w:r>
        <w:rPr>
          <w:rFonts w:ascii="Amiri" w:hAnsi="Amiri" w:eastAsia="Amiri" w:cs="Amiri"/>
          <w:lang w:bidi="ar-SA"/>
          <w:color w:val="111111"/>
          <w:sz w:val="28"/>
          <w:szCs w:val="28"/>
          <w:rtl/>
        </w:rPr>
        <w:t xml:space="preserve">40- حاشية حكيم على السيوطي</w:t>
      </w:r>
    </w:p>
    <w:p>
      <w:pPr>
        <w:pStyle w:val="BookText"/>
      </w:pPr>
      <w:r>
        <w:rPr>
          <w:rFonts w:ascii="Amiri" w:hAnsi="Amiri" w:eastAsia="Amiri" w:cs="Amiri"/>
          <w:lang w:bidi="ar-SA"/>
          <w:color w:val="111111"/>
          <w:sz w:val="28"/>
          <w:szCs w:val="28"/>
          <w:rtl/>
        </w:rPr>
        <w:t xml:space="preserve">41- حاشية ابو طالب على السيوطي</w:t>
      </w:r>
    </w:p>
    <w:p>
      <w:pPr>
        <w:pStyle w:val="BookText"/>
      </w:pPr>
      <w:r>
        <w:rPr>
          <w:rFonts w:ascii="Amiri" w:hAnsi="Amiri" w:eastAsia="Amiri" w:cs="Amiri"/>
          <w:lang w:bidi="ar-SA"/>
          <w:color w:val="111111"/>
          <w:sz w:val="28"/>
          <w:szCs w:val="28"/>
          <w:rtl/>
        </w:rPr>
        <w:t xml:space="preserve">۶۲- حاشية البهجة المرضية في شرح الألفية</w:t>
      </w:r>
    </w:p>
    <w:p>
      <w:pPr>
        <w:pStyle w:val="BookText"/>
      </w:pPr>
      <w:r>
        <w:rPr>
          <w:rFonts w:ascii="IRNazanin" w:hAnsi="IRNazanin" w:eastAsia="IRNazanin" w:cs="IRNazanin"/>
          <w:lang w:bidi="fa-IR"/>
          <w:color w:val="111111"/>
          <w:sz w:val="28"/>
          <w:szCs w:val="28"/>
          <w:rtl/>
        </w:rPr>
        <w:t xml:space="preserve">43- حاشية البهجة المرضية في شرح الألفية؛ سید ابوالقاسم</w:t>
      </w:r>
    </w:p>
    <w:p>
      <w:pPr>
        <w:pStyle w:val="BookText"/>
      </w:pPr>
      <w:r>
        <w:rPr>
          <w:rFonts w:ascii="IRNazanin" w:hAnsi="IRNazanin" w:eastAsia="IRNazanin" w:cs="IRNazanin"/>
          <w:lang w:bidi="fa-IR"/>
          <w:color w:val="111111"/>
          <w:sz w:val="28"/>
          <w:szCs w:val="28"/>
          <w:rtl/>
        </w:rPr>
        <w:t xml:space="preserve">44- حاشية البهجة المرضية في شرح الألفية؛ سامنی ملایری، قاسم</w:t>
      </w:r>
    </w:p>
    <w:p>
      <w:pPr>
        <w:pStyle w:val="BookText"/>
      </w:pPr>
      <w:r>
        <w:rPr>
          <w:rFonts w:ascii="IRNazanin" w:hAnsi="IRNazanin" w:eastAsia="IRNazanin" w:cs="IRNazanin"/>
          <w:lang w:bidi="fa-IR"/>
          <w:color w:val="111111"/>
          <w:sz w:val="28"/>
          <w:szCs w:val="28"/>
          <w:rtl/>
        </w:rPr>
        <w:t xml:space="preserve">45- البهجة المرضية في شرح الألفية = سیوطی (ترجمه)</w:t>
      </w:r>
    </w:p>
    <w:p>
      <w:pPr>
        <w:pStyle w:val="BookText"/>
      </w:pPr>
      <w:r>
        <w:rPr>
          <w:rFonts w:ascii="Amiri" w:hAnsi="Amiri" w:eastAsia="Amiri" w:cs="Amiri"/>
          <w:lang w:bidi="ar-SA"/>
          <w:color w:val="111111"/>
          <w:sz w:val="28"/>
          <w:szCs w:val="28"/>
          <w:rtl/>
        </w:rPr>
        <w:t xml:space="preserve">46- تعليقات بهجة المرضية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 تعليقة على البهجة المرضية في شرح الألفية</w:t>
      </w:r>
    </w:p>
    <w:p>
      <w:pPr>
        <w:pStyle w:val="BookText"/>
      </w:pPr>
      <w:r>
        <w:rPr>
          <w:rFonts w:ascii="Amiri" w:hAnsi="Amiri" w:eastAsia="Amiri" w:cs="Amiri"/>
          <w:lang w:bidi="ar-SA"/>
          <w:color w:val="111111"/>
          <w:sz w:val="28"/>
          <w:szCs w:val="28"/>
          <w:rtl/>
        </w:rPr>
        <w:t xml:space="preserve">4۸- شواهد البهجة المرضية</w:t>
      </w:r>
    </w:p>
    <w:p>
      <w:pPr>
        <w:pStyle w:val="BookText"/>
      </w:pPr>
      <w:r>
        <w:rPr>
          <w:rFonts w:ascii="IRNazanin" w:hAnsi="IRNazanin" w:eastAsia="IRNazanin" w:cs="IRNazanin"/>
          <w:lang w:bidi="fa-IR"/>
          <w:color w:val="111111"/>
          <w:sz w:val="28"/>
          <w:szCs w:val="28"/>
          <w:rtl/>
        </w:rPr>
        <w:t xml:space="preserve">۱. قم؛ مدرسه رضویه؛ شماره نسخه: ۶۱</w:t>
      </w:r>
    </w:p>
    <w:p>
      <w:pPr>
        <w:pStyle w:val="BookText"/>
      </w:pPr>
      <w:r>
        <w:rPr>
          <w:rFonts w:ascii="IRNazanin" w:hAnsi="IRNazanin" w:eastAsia="IRNazanin" w:cs="IRNazanin"/>
          <w:lang w:bidi="fa-IR"/>
          <w:color w:val="111111"/>
          <w:sz w:val="28"/>
          <w:szCs w:val="28"/>
          <w:rtl/>
        </w:rPr>
        <w:t xml:space="preserve">خط: نسخ، بی کا، تا: قرن ۱۰؛ مصحح، محشی، برگ انجام نونویس علی اکبر ولد آخوند ملاحمد خطیب تونی است در ۲۱ صفر ۱۳۳۷؛ یادداشت وقف بر مدرسه بلده تون مورخ ۱۱۸۰؛ ۱۲۰گ، ۲۲ سطر، قطع: ربعی [چند نسخه -ف: ۱۲]</w:t>
      </w:r>
    </w:p>
    <w:p>
      <w:pPr>
        <w:pStyle w:val="BookText"/>
      </w:pPr>
      <w:r>
        <w:rPr>
          <w:rFonts w:ascii="IRNazanin" w:hAnsi="IRNazanin" w:eastAsia="IRNazanin" w:cs="IRNazanin"/>
          <w:lang w:bidi="fa-IR"/>
          <w:color w:val="111111"/>
          <w:sz w:val="28"/>
          <w:szCs w:val="28"/>
          <w:rtl/>
        </w:rPr>
        <w:t xml:space="preserve">۲. مشهد؛ مدرسه سلیمانیه؛ شماره نسخه: ۱۲۴</w:t>
      </w:r>
    </w:p>
    <w:p>
      <w:pPr>
        <w:pStyle w:val="BookText"/>
      </w:pPr>
      <w:r>
        <w:rPr>
          <w:rFonts w:ascii="IRNazanin" w:hAnsi="IRNazanin" w:eastAsia="IRNazanin" w:cs="IRNazanin"/>
          <w:lang w:bidi="fa-IR"/>
          <w:color w:val="111111"/>
          <w:sz w:val="28"/>
          <w:szCs w:val="28"/>
          <w:rtl/>
        </w:rPr>
        <w:t xml:space="preserve">خط: نسخ، بی کا، تا: قرن ۱۱؛ افتادگی: آغاز و انجام؛ قطع: خشتی چهار کتابخانه مشهدف: ۶]</w:t>
      </w:r>
    </w:p>
    <w:p>
      <w:pPr>
        <w:pStyle w:val="BookText"/>
      </w:pPr>
      <w:r>
        <w:rPr>
          <w:rFonts w:ascii="IRNazanin" w:hAnsi="IRNazanin" w:eastAsia="IRNazanin" w:cs="IRNazanin"/>
          <w:lang w:bidi="fa-IR"/>
          <w:color w:val="111111"/>
          <w:sz w:val="28"/>
          <w:szCs w:val="28"/>
          <w:rtl/>
        </w:rPr>
        <w:t xml:space="preserve">٣. تهران؛ ملی؛ شماره نسخه: ۳۱</w:t>
      </w:r>
    </w:p>
    <w:p>
      <w:pPr>
        <w:pStyle w:val="BookText"/>
      </w:pPr>
      <w:r>
        <w:rPr>
          <w:rFonts w:ascii="Amiri" w:hAnsi="Amiri" w:eastAsia="Amiri" w:cs="Amiri"/>
          <w:lang w:bidi="ar-SA"/>
          <w:color w:val="111111"/>
          <w:sz w:val="28"/>
          <w:szCs w:val="28"/>
          <w:rtl/>
        </w:rPr>
        <w:t xml:space="preserve">آغاز: احدها ... اسهل من حذف كل الثاني هي اخر العقل؛ انجام: و عدم تعرضه لتخصصها بالاوزان و المختصه بها عند تفصيل الاوزان</w:t>
      </w:r>
    </w:p>
    <w:p>
      <w:pPr>
        <w:pStyle w:val="BookText"/>
      </w:pPr>
      <w:r>
        <w:rPr>
          <w:rFonts w:ascii="IRNazanin" w:hAnsi="IRNazanin" w:eastAsia="IRNazanin" w:cs="IRNazanin"/>
          <w:lang w:bidi="fa-IR"/>
          <w:color w:val="111111"/>
          <w:sz w:val="28"/>
          <w:szCs w:val="28"/>
          <w:rtl/>
        </w:rPr>
        <w:t xml:space="preserve">خط: نسخ، بی کا، تا: قرن ۱۱؛ افتادگی: آغاز و انجام؛ کاغذ: اصفهانی، جلد: مقوایی، تیماج مشکی، ۳۰گ، ۱۹سطر (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 اندازه: 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۱۶/۵ سم [ف: ۷-۳۳]</w:t>
      </w:r>
    </w:p>
    <w:p>
      <w:pPr>
        <w:pStyle w:val="BookText"/>
      </w:pPr>
      <w:r>
        <w:rPr>
          <w:rFonts w:ascii="IRNazanin" w:hAnsi="IRNazanin" w:eastAsia="IRNazanin" w:cs="IRNazanin"/>
          <w:lang w:bidi="fa-IR"/>
          <w:color w:val="111111"/>
          <w:sz w:val="28"/>
          <w:szCs w:val="28"/>
          <w:rtl/>
        </w:rPr>
        <w:t xml:space="preserve">۴. یزد؛ وزیری؛ شماره نسخه: ۱۲۷۳</w:t>
      </w:r>
    </w:p>
    <w:p>
      <w:pPr>
        <w:pStyle w:val="BookText"/>
      </w:pPr>
      <w:r>
        <w:rPr>
          <w:rFonts w:ascii="IRNazanin" w:hAnsi="IRNazanin" w:eastAsia="IRNazanin" w:cs="IRNazanin"/>
          <w:lang w:bidi="fa-IR"/>
          <w:color w:val="111111"/>
          <w:sz w:val="28"/>
          <w:szCs w:val="28"/>
          <w:rtl/>
        </w:rPr>
        <w:t xml:space="preserve">خط: نسخ، بی کا، تا: قرن ۱۱؛ اهدایی: وزیری؛ کاغذ: سمرقندی، جلد: تیماج عنابی، ۱۵۵گ، ابعاد متن: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۳-۹۱۳]</w:t>
      </w:r>
    </w:p>
    <w:p>
      <w:pPr>
        <w:pStyle w:val="BookText"/>
      </w:pPr>
      <w:r>
        <w:rPr>
          <w:rFonts w:ascii="IRNazanin" w:hAnsi="IRNazanin" w:eastAsia="IRNazanin" w:cs="IRNazanin"/>
          <w:lang w:bidi="fa-IR"/>
          <w:color w:val="111111"/>
          <w:sz w:val="28"/>
          <w:szCs w:val="28"/>
          <w:rtl/>
        </w:rPr>
        <w:t xml:space="preserve">۵. قائن؛ مدرسه جعفریه؛ شماره نسخه: ۱۹۵</w:t>
      </w:r>
    </w:p>
    <w:p>
      <w:pPr>
        <w:pStyle w:val="BookText"/>
      </w:pPr>
      <w:r>
        <w:rPr>
          <w:rFonts w:ascii="IRNazanin" w:hAnsi="IRNazanin" w:eastAsia="IRNazanin" w:cs="IRNazanin"/>
          <w:lang w:bidi="fa-IR"/>
          <w:color w:val="111111"/>
          <w:sz w:val="28"/>
          <w:szCs w:val="28"/>
          <w:rtl/>
        </w:rPr>
        <w:t xml:space="preserve">آغاز: قصی ای الا بعد من غوامض المسائل فیصر واضحا بلفظ موجز</w:t>
      </w:r>
    </w:p>
    <w:p>
      <w:pPr>
        <w:pStyle w:val="BookText"/>
      </w:pPr>
      <w:r>
        <w:rPr>
          <w:rFonts w:ascii="IRNazanin" w:hAnsi="IRNazanin" w:eastAsia="IRNazanin" w:cs="IRNazanin"/>
          <w:lang w:bidi="fa-IR"/>
          <w:color w:val="111111"/>
          <w:sz w:val="28"/>
          <w:szCs w:val="28"/>
          <w:rtl/>
        </w:rPr>
        <w:t xml:space="preserve">خط: نسخ، بی کا، تا: قرن ۱۱؛ افتادگی: آغاز؛ مصحح، محشی؛ جلد: تیماج مشکی بدون مقوا، ۱۷۰، ۱۴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سم [کتابخانه های قائن: ف: ۱۶۸]</w:t>
      </w:r>
    </w:p>
    <w:p>
      <w:pPr>
        <w:pStyle w:val="BookText"/>
      </w:pPr>
      <w:r>
        <w:rPr>
          <w:rFonts w:ascii="IRNazanin" w:hAnsi="IRNazanin" w:eastAsia="IRNazanin" w:cs="IRNazanin"/>
          <w:lang w:bidi="fa-IR"/>
          <w:color w:val="111111"/>
          <w:sz w:val="28"/>
          <w:szCs w:val="28"/>
          <w:rtl/>
        </w:rPr>
        <w:t xml:space="preserve">۶. مشهد؛ رضوی؛ شماره نسخه: ۱۵۵۸۵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۱۱؛ محشی؛ کاغذ: حنایی، جلد: تیماج مشکی یک لا، ۱۳۷ گ، ۱۵ سطر، اندازه: ۱۸/۳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سم [ف: ۱۲-۳۲]</w:t>
      </w:r>
    </w:p>
    <w:p>
      <w:pPr>
        <w:pStyle w:val="BookText"/>
      </w:pPr>
      <w:r>
        <w:rPr>
          <w:rFonts w:ascii="IRNazanin" w:hAnsi="IRNazanin" w:eastAsia="IRNazanin" w:cs="IRNazanin"/>
          <w:lang w:bidi="fa-IR"/>
          <w:color w:val="111111"/>
          <w:sz w:val="28"/>
          <w:szCs w:val="28"/>
          <w:rtl/>
        </w:rPr>
        <w:t xml:space="preserve">۷. مشهد؛ رضوی؛ شماره نسخه: ۱۵۵۷۸</w:t>
      </w:r>
    </w:p>
    <w:p>
      <w:pPr>
        <w:pStyle w:val="BookText"/>
      </w:pPr>
      <w:r>
        <w:rPr>
          <w:rFonts w:ascii="IRNazanin" w:hAnsi="IRNazanin" w:eastAsia="IRNazanin" w:cs="IRNazanin"/>
          <w:lang w:bidi="fa-IR"/>
          <w:color w:val="111111"/>
          <w:sz w:val="28"/>
          <w:szCs w:val="28"/>
          <w:rtl/>
        </w:rPr>
        <w:t xml:space="preserve">آغاز: اتصاله بها قد كاد من طول البلا ان يمسحا؛ انجام: ای علامة من علاماته اما وزنه او زیاد ته کتبع مثال نخلي من البيع اصله.</w:t>
      </w:r>
    </w:p>
    <w:p>
      <w:pPr>
        <w:pStyle w:val="BookText"/>
      </w:pPr>
      <w:r>
        <w:rPr>
          <w:rFonts w:ascii="IRNazanin" w:hAnsi="IRNazanin" w:eastAsia="IRNazanin" w:cs="IRNazanin"/>
          <w:lang w:bidi="fa-IR"/>
          <w:color w:val="111111"/>
          <w:sz w:val="28"/>
          <w:szCs w:val="28"/>
          <w:rtl/>
        </w:rPr>
        <w:t xml:space="preserve">از اواخر قسم سوم از نواسخ تا اواسط باب ابدال؛ خط: نسخ، بی کا، تا: قرن ۱۱؛ افتادگی: آغاز و انجام؛ محشي منقول از ابن مصنف و شواهد سیوطی؛ کاغذ: حنایی و شکری، جلد: تیماج مشکی یک لا، ۹۸ گ، ۱۵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سم [ف: ۱۲-۳۲]</w:t>
      </w:r>
    </w:p>
    <w:p>
      <w:pPr>
        <w:pStyle w:val="BookText"/>
      </w:pPr>
      <w:r>
        <w:rPr>
          <w:rFonts w:ascii="IRNazanin" w:hAnsi="IRNazanin" w:eastAsia="IRNazanin" w:cs="IRNazanin"/>
          <w:lang w:bidi="fa-IR"/>
          <w:color w:val="111111"/>
          <w:sz w:val="28"/>
          <w:szCs w:val="28"/>
          <w:rtl/>
        </w:rPr>
        <w:t xml:space="preserve">۸. تهران، سپهسالار؛ شماره نسخه: ۳۱۸۴</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تا: قرن ۱۱؛ محشی؛ مهر: «عبده محمد سنجر الحسینی» (بادامی)، «عبده سنجر الحسینی ۱۱۰۶» (مربع)؛ واقف: از سپهسالار؛ کاغذ: سمرقندی، جلد: تیماج، ۱۳۵ص، ۱۵ سطر، قطع: اربعی، اندازه: ۱۱</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۱۵/۵ سم [ف: ۲-۳۳۹]</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مشهد؛ گوهرشاد؛ شماره نسخه: ۱۰۳۶</w:t>
      </w:r>
    </w:p>
    <w:p>
      <w:pPr>
        <w:pStyle w:val="BookText"/>
      </w:pPr>
      <w:r>
        <w:rPr>
          <w:rFonts w:ascii="IRNazanin" w:hAnsi="IRNazanin" w:eastAsia="IRNazanin" w:cs="IRNazanin"/>
          <w:lang w:bidi="fa-IR"/>
          <w:color w:val="111111"/>
          <w:sz w:val="28"/>
          <w:szCs w:val="28"/>
          <w:rtl/>
        </w:rPr>
        <w:t xml:space="preserve">خط: نسخ، بی کا، تا: قرن ۱۱؛ با حواشی «ابن المصنف» و دیگران؛</w:t>
      </w:r>
    </w:p>
    <w:p>
      <w:pPr>
        <w:pStyle w:val="BookText"/>
      </w:pPr>
      <w:r>
        <w:rPr>
          <w:rFonts w:ascii="IRNazanin" w:hAnsi="IRNazanin" w:eastAsia="IRNazanin" w:cs="IRNazanin"/>
          <w:lang w:bidi="fa-IR"/>
          <w:color w:val="111111"/>
          <w:sz w:val="28"/>
          <w:szCs w:val="28"/>
          <w:rtl/>
        </w:rPr>
        <w:t xml:space="preserve">۱۶ سطر، قطع: ربعی [چهار کتابخانه مشهدف: ۲۳۰]</w:t>
      </w:r>
    </w:p>
    <w:p>
      <w:pPr>
        <w:pStyle w:val="BookText"/>
      </w:pPr>
      <w:r>
        <w:rPr>
          <w:rFonts w:ascii="IRNazanin" w:hAnsi="IRNazanin" w:eastAsia="IRNazanin" w:cs="IRNazanin"/>
          <w:lang w:bidi="fa-IR"/>
          <w:color w:val="111111"/>
          <w:sz w:val="28"/>
          <w:szCs w:val="28"/>
          <w:rtl/>
        </w:rPr>
        <w:t xml:space="preserve">۱۰. مشهد، گوهرشاد؛ شماره نسخه: ۱۸۶۱</w:t>
      </w:r>
    </w:p>
    <w:p>
      <w:pPr>
        <w:pStyle w:val="BookText"/>
      </w:pPr>
      <w:r>
        <w:rPr>
          <w:rFonts w:ascii="IRNazanin" w:hAnsi="IRNazanin" w:eastAsia="IRNazanin" w:cs="IRNazanin"/>
          <w:lang w:bidi="fa-IR"/>
          <w:color w:val="111111"/>
          <w:sz w:val="28"/>
          <w:szCs w:val="28"/>
          <w:rtl/>
        </w:rPr>
        <w:t xml:space="preserve">خط: نستعلیق، بی کا، تا: قرن ۱۱؛ افتادگی: آغاز و انجام؛ 19 سطر، قطع: وزیری [چهار کتابخانه مشهدف: ۲۳۰]</w:t>
      </w:r>
    </w:p>
    <w:p>
      <w:pPr>
        <w:pStyle w:val="BookText"/>
      </w:pPr>
      <w:r>
        <w:rPr>
          <w:rFonts w:ascii="IRNazanin" w:hAnsi="IRNazanin" w:eastAsia="IRNazanin" w:cs="IRNazanin"/>
          <w:lang w:bidi="fa-IR"/>
          <w:color w:val="111111"/>
          <w:sz w:val="28"/>
          <w:szCs w:val="28"/>
          <w:rtl/>
        </w:rPr>
        <w:t xml:space="preserve">۱۱. مشهد؛ گوهرشاد؛ شماره نسخه: ۲۰۳۶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كان محمد مؤمن حسینی از غدی، تا: قرن ۱۱؛ محشی؛ کاغذ: نخودی، جلد: تیماج سوخت قهوه ای ضربی با ترنج و سر ترنج، ۱۵۰گ، ۱۴ و ۱۶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سم [ف: ۵-۴۱۶]</w:t>
      </w:r>
    </w:p>
    <w:p>
      <w:pPr>
        <w:pStyle w:val="BookText"/>
      </w:pPr>
      <w:r>
        <w:rPr>
          <w:rFonts w:ascii="IRNazanin" w:hAnsi="IRNazanin" w:eastAsia="IRNazanin" w:cs="IRNazanin"/>
          <w:lang w:bidi="fa-IR"/>
          <w:color w:val="111111"/>
          <w:sz w:val="28"/>
          <w:szCs w:val="28"/>
          <w:rtl/>
        </w:rPr>
        <w:t xml:space="preserve">۱۲. مشهد؛ رضوی؛ شماره نسخه: ۷۴۷۵</w:t>
      </w:r>
    </w:p>
    <w:p>
      <w:pPr>
        <w:pStyle w:val="BookText"/>
      </w:pPr>
      <w:r>
        <w:rPr>
          <w:rFonts w:ascii="IRNazanin" w:hAnsi="IRNazanin" w:eastAsia="IRNazanin" w:cs="IRNazanin"/>
          <w:lang w:bidi="fa-IR"/>
          <w:color w:val="111111"/>
          <w:sz w:val="28"/>
          <w:szCs w:val="28"/>
          <w:rtl/>
        </w:rPr>
        <w:t xml:space="preserve">آغاز و انجام: برابر خط: نسخ، بی کا، تا: ۱۰۲۱ق؛ محشی به زبان فارسی و عربی؛ کاغذ: نوعی ترمه، جلد: تیماج مشکی ساده گوشه چرم، ۱۵۲گ، ۱۵سطر،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۱۲-۲۴]</w:t>
      </w:r>
    </w:p>
    <w:p>
      <w:pPr>
        <w:pStyle w:val="BookText"/>
      </w:pPr>
      <w:r>
        <w:rPr>
          <w:rFonts w:ascii="IRNazanin" w:hAnsi="IRNazanin" w:eastAsia="IRNazanin" w:cs="IRNazanin"/>
          <w:lang w:bidi="fa-IR"/>
          <w:color w:val="111111"/>
          <w:sz w:val="28"/>
          <w:szCs w:val="28"/>
          <w:rtl/>
        </w:rPr>
        <w:t xml:space="preserve">۱۳. مشهد؛ رضوی؛ شماره نسخه: ۱۵۶۵۵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بی کا، تا: محرم ۱۰۲۷ق؛ محشي منقول از میرزا ابوطالب و ترکیب خالد و شواهد عینی؛ واقف: محمد مطهر، دی ۱۳۶۶؛ کاغذ: شکری آهار مهره، جلد: تیماج مشکی، ۲۵۲گ، ۱۲ سطر (۱۱</w:t>
      </w:r>
      <w:r>
        <w:rPr>
          <w:rFonts w:ascii="Times New Roman" w:hAnsi="Times New Roman" w:eastAsia="Times New Roman" w:cs="Times New Roman"/>
          <w:lang w:val="en-US" w:bidi="en-US"/>
          <w:color w:val="111111"/>
          <w:sz w:val="28"/>
          <w:szCs w:val="28"/>
          <w:rtl/>
        </w:rPr>
        <w:t xml:space="preserve">×5)</w:t>
      </w:r>
      <w:r>
        <w:rPr>
          <w:rFonts w:ascii="IRNazanin" w:hAnsi="IRNazanin" w:eastAsia="IRNazanin" w:cs="IRNazanin"/>
          <w:lang w:bidi="fa-IR"/>
          <w:color w:val="111111"/>
          <w:sz w:val="28"/>
          <w:szCs w:val="28"/>
          <w:rtl/>
        </w:rPr>
        <w:t xml:space="preserve">،اندازه:۲۱/۲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۱۲-۳۱]</w:t>
      </w:r>
    </w:p>
    <w:p>
      <w:pPr>
        <w:pStyle w:val="BookText"/>
      </w:pPr>
      <w:r>
        <w:rPr>
          <w:rFonts w:ascii="IRNazanin" w:hAnsi="IRNazanin" w:eastAsia="IRNazanin" w:cs="IRNazanin"/>
          <w:lang w:bidi="fa-IR"/>
          <w:color w:val="111111"/>
          <w:sz w:val="28"/>
          <w:szCs w:val="28"/>
          <w:rtl/>
        </w:rPr>
        <w:t xml:space="preserve">۱۴. قم؛ مسجد اعظم؛ شماره نسخه: ۶۷۹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كان شاه هارون بن میر شاه حسین حسینی، تا: شوال ۱۰۶۱ق، جا: مدرسه مهر خواسقان؛ جلد: تیماج زرشکی، ۱۴۸ گ،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مخ: ۱-۲۸۳]</w:t>
      </w:r>
    </w:p>
    <w:p>
      <w:pPr>
        <w:pStyle w:val="BookText"/>
      </w:pPr>
      <w:r>
        <w:rPr>
          <w:rFonts w:ascii="IRNazanin" w:hAnsi="IRNazanin" w:eastAsia="IRNazanin" w:cs="IRNazanin"/>
          <w:lang w:bidi="fa-IR"/>
          <w:color w:val="111111"/>
          <w:sz w:val="28"/>
          <w:szCs w:val="28"/>
          <w:rtl/>
        </w:rPr>
        <w:t xml:space="preserve">۱۵. قم؛ طبسی؛ شماره نسخه: ۲۲۳</w:t>
      </w:r>
    </w:p>
    <w:p>
      <w:pPr>
        <w:pStyle w:val="BookText"/>
      </w:pPr>
      <w:r>
        <w:rPr>
          <w:rFonts w:ascii="IRNazanin" w:hAnsi="IRNazanin" w:eastAsia="IRNazanin" w:cs="IRNazanin"/>
          <w:lang w:bidi="fa-IR"/>
          <w:color w:val="111111"/>
          <w:sz w:val="28"/>
          <w:szCs w:val="28"/>
          <w:rtl/>
        </w:rPr>
        <w:t xml:space="preserve">آغاز: قال في شرح الكافية والمراد سکوت المتكلم وقيل السامع ... وخرج به مالا يفيد كان قام مثلا؛ انجام: برابر خط: نسخ، كان محمد کاظم بن حسين هزار جریبی، تا: ذیقعده ۱۰۶۳ق؛ افتادگی: آغاز؛ محشی؛ جلد: تیماج قهوه ای، ۱۵۴گ، ۱۲ سطر، اندازه: ۱۹۶۱۲ سم [ف مخ: ۱-۷۶]</w:t>
      </w:r>
    </w:p>
    <w:p>
      <w:pPr>
        <w:pStyle w:val="BookText"/>
      </w:pPr>
      <w:r>
        <w:rPr>
          <w:rFonts w:ascii="IRNazanin" w:hAnsi="IRNazanin" w:eastAsia="IRNazanin" w:cs="IRNazanin"/>
          <w:lang w:bidi="fa-IR"/>
          <w:color w:val="111111"/>
          <w:sz w:val="28"/>
          <w:szCs w:val="28"/>
          <w:rtl/>
        </w:rPr>
        <w:t xml:space="preserve">۱۶. اصفهان؛ روضاتی؛ شماره نسخه: ۱۷۴</w:t>
      </w:r>
    </w:p>
    <w:p>
      <w:pPr>
        <w:pStyle w:val="BookText"/>
      </w:pPr>
      <w:r>
        <w:rPr>
          <w:rFonts w:ascii="IRNazanin" w:hAnsi="IRNazanin" w:eastAsia="IRNazanin" w:cs="IRNazanin"/>
          <w:lang w:bidi="fa-IR"/>
          <w:color w:val="111111"/>
          <w:sz w:val="28"/>
          <w:szCs w:val="28"/>
          <w:rtl/>
        </w:rPr>
        <w:t xml:space="preserve">خط: نسخ نازیبا، کا: موسی بن عبد الله بن خميس بن داود جزایری، تا: ۲۰ ربیع الثانی ۱۰۶۹ق؛ ۱۷ سطر، اندازه:</w:t>
      </w:r>
    </w:p>
    <w:p>
      <w:pPr>
        <w:pStyle w:val="BookText"/>
      </w:pPr>
      <w:r>
        <w:rPr>
          <w:rFonts w:ascii="IRNazanin" w:hAnsi="IRNazanin" w:eastAsia="IRNazanin" w:cs="IRNazanin"/>
          <w:lang w:bidi="fa-IR"/>
          <w:color w:val="111111"/>
          <w:sz w:val="28"/>
          <w:szCs w:val="28"/>
          <w:rtl/>
        </w:rPr>
        <w:t xml:space="preserve">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سم [ف: ۱۱۹]</w:t>
      </w:r>
    </w:p>
    <w:p>
      <w:pPr>
        <w:pStyle w:val="BookText"/>
      </w:pPr>
      <w:r>
        <w:rPr>
          <w:rFonts w:ascii="IRNazanin" w:hAnsi="IRNazanin" w:eastAsia="IRNazanin" w:cs="IRNazanin"/>
          <w:lang w:bidi="fa-IR"/>
          <w:color w:val="111111"/>
          <w:sz w:val="28"/>
          <w:szCs w:val="28"/>
          <w:rtl/>
        </w:rPr>
        <w:t xml:space="preserve">۱۷. اردکان یزد؛ امام صادق؛ شماره نسخه: ۲۹۵</w:t>
      </w:r>
    </w:p>
    <w:p>
      <w:pPr>
        <w:pStyle w:val="BookText"/>
      </w:pPr>
      <w:r>
        <w:rPr>
          <w:rFonts w:ascii="IRNazanin" w:hAnsi="IRNazanin" w:eastAsia="IRNazanin" w:cs="IRNazanin"/>
          <w:lang w:bidi="fa-IR"/>
          <w:color w:val="111111"/>
          <w:sz w:val="28"/>
          <w:szCs w:val="28"/>
          <w:rtl/>
        </w:rPr>
        <w:t xml:space="preserve">خط: نسخ، بی کا، تا: ۱۰۷۰ق؛ افتادگی: آغاز؛ مصحح، محشی؛ جلد: تیماج دورو، رو قهوه ای ضربی سوخته، ۱۵۲، ۱۶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۲-۴۱]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۱۸. شیراز؛ خانقاه احمدیه؛ شماره نسخه: ۱۲۹</w:t>
      </w:r>
    </w:p>
    <w:p>
      <w:pPr>
        <w:pStyle w:val="BookText"/>
      </w:pPr>
      <w:r>
        <w:rPr>
          <w:rFonts w:ascii="IRNazanin" w:hAnsi="IRNazanin" w:eastAsia="IRNazanin" w:cs="IRNazanin"/>
          <w:lang w:bidi="fa-IR"/>
          <w:color w:val="111111"/>
          <w:sz w:val="28"/>
          <w:szCs w:val="28"/>
          <w:rtl/>
        </w:rPr>
        <w:t xml:space="preserve">بی کا، تا: ۲۴ شوال ۱۰۸۰ق (نشریه: ۵-۲۱۰]</w:t>
      </w:r>
    </w:p>
    <w:p>
      <w:pPr>
        <w:pStyle w:val="BookText"/>
      </w:pPr>
      <w:r>
        <w:rPr>
          <w:rFonts w:ascii="IRNazanin" w:hAnsi="IRNazanin" w:eastAsia="IRNazanin" w:cs="IRNazanin"/>
          <w:lang w:bidi="fa-IR"/>
          <w:color w:val="111111"/>
          <w:sz w:val="28"/>
          <w:szCs w:val="28"/>
          <w:rtl/>
        </w:rPr>
        <w:t xml:space="preserve">۱۹. تهران؛ ملی؛ شماره نسخه: ۳۶۲۰</w:t>
      </w:r>
    </w:p>
    <w:p>
      <w:pPr>
        <w:pStyle w:val="BookText"/>
      </w:pPr>
      <w:r>
        <w:rPr>
          <w:rFonts w:ascii="IRNazanin" w:hAnsi="IRNazanin" w:eastAsia="IRNazanin" w:cs="IRNazanin"/>
          <w:lang w:bidi="fa-IR"/>
          <w:color w:val="111111"/>
          <w:sz w:val="28"/>
          <w:szCs w:val="28"/>
          <w:rtl/>
        </w:rPr>
        <w:t xml:space="preserve">خط: نسخ، كا: محمد هاشم، تا: ۱۰۸۲ق، جان مشهد مقدس؛ مصحح، محشی با نشانه های «شواهد»، «ابن عقیل»، «مکودی»، شرح التسهيل»، «ابن المصنف»، «خالد»؛ کاغذ: اصفهانی نخودی، جلد: تیماج قهوه ای ضربی با ترنج و سرترنج مقوایی، ۱۳۹گ، ۱۶ سطر، ابعاد متن: ۶/۵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۱۲/۵،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سم [ف: ۱۶-۲۰۳]</w:t>
      </w:r>
    </w:p>
    <w:p>
      <w:pPr>
        <w:pStyle w:val="BookText"/>
      </w:pPr>
      <w:r>
        <w:rPr>
          <w:rFonts w:ascii="IRNazanin" w:hAnsi="IRNazanin" w:eastAsia="IRNazanin" w:cs="IRNazanin"/>
          <w:lang w:bidi="fa-IR"/>
          <w:color w:val="111111"/>
          <w:sz w:val="28"/>
          <w:szCs w:val="28"/>
          <w:rtl/>
        </w:rPr>
        <w:t xml:space="preserve">۲۰. قم؛ گلپایگانی؛ شماره نسخه: ۴۳۱۱/۱ - ۲۲/۳۱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چهارشنبه ۸ جمادی الثانی ۱۰۸۳ق؛ جلد: تیماج قهوه ای ضربی مجدول گرهی با ترنج و سرترنج، ۸۹گ، ۲۳ 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۲-۶۳۸]</w:t>
      </w:r>
    </w:p>
    <w:p>
      <w:pPr>
        <w:pStyle w:val="BookText"/>
      </w:pPr>
      <w:r>
        <w:rPr>
          <w:rFonts w:ascii="IRNazanin" w:hAnsi="IRNazanin" w:eastAsia="IRNazanin" w:cs="IRNazanin"/>
          <w:lang w:bidi="fa-IR"/>
          <w:color w:val="111111"/>
          <w:sz w:val="28"/>
          <w:szCs w:val="28"/>
          <w:rtl/>
        </w:rPr>
        <w:t xml:space="preserve">۲۱. قم؛ گلپایگانی؛ شماره نسخه: ۵۵۲۹- ۲۷/۱۹۹</w:t>
      </w:r>
    </w:p>
    <w:p>
      <w:pPr>
        <w:pStyle w:val="BookText"/>
      </w:pPr>
      <w:r>
        <w:rPr>
          <w:rFonts w:ascii="Amiri" w:hAnsi="Amiri" w:eastAsia="Amiri" w:cs="Amiri"/>
          <w:lang w:bidi="ar-SA"/>
          <w:color w:val="111111"/>
          <w:sz w:val="28"/>
          <w:szCs w:val="28"/>
          <w:rtl/>
        </w:rPr>
        <w:t xml:space="preserve">آغاز: وخرج به ما لايفيد كان قام مثلا و استثنى منه في شرح التسهيل نقلا عن سيبويه و غيره؛ انجام: برابر</w:t>
      </w:r>
    </w:p>
    <w:p>
      <w:pPr>
        <w:pStyle w:val="BookText"/>
      </w:pPr>
      <w:r>
        <w:rPr>
          <w:rFonts w:ascii="IRNazanin" w:hAnsi="IRNazanin" w:eastAsia="IRNazanin" w:cs="IRNazanin"/>
          <w:lang w:bidi="fa-IR"/>
          <w:color w:val="111111"/>
          <w:sz w:val="28"/>
          <w:szCs w:val="28"/>
          <w:rtl/>
        </w:rPr>
        <w:t xml:space="preserve">خط: نسخ، كا: محمد تقی طبسی، تا: ذیحجه ۱۰۸۶ق؛ افتادگی: آغاز؛ محشی به نقل از ترکیب خالد و التصريح؛ جلد: مقوا، ۱۲۰ گ، ۱۵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۲-۶۴۲]</w:t>
      </w:r>
    </w:p>
    <w:p>
      <w:pPr>
        <w:pStyle w:val="BookText"/>
      </w:pPr>
      <w:r>
        <w:rPr>
          <w:rFonts w:ascii="IRNazanin" w:hAnsi="IRNazanin" w:eastAsia="IRNazanin" w:cs="IRNazanin"/>
          <w:lang w:bidi="fa-IR"/>
          <w:color w:val="111111"/>
          <w:sz w:val="28"/>
          <w:szCs w:val="28"/>
          <w:rtl/>
        </w:rPr>
        <w:t xml:space="preserve">۲۲. شیراز؛ علامه طباطبائی؛ شماره نسخه: ۷۳۵</w:t>
      </w:r>
    </w:p>
    <w:p>
      <w:pPr>
        <w:pStyle w:val="BookText"/>
      </w:pPr>
      <w:r>
        <w:rPr>
          <w:rFonts w:ascii="IRNazanin" w:hAnsi="IRNazanin" w:eastAsia="IRNazanin" w:cs="IRNazanin"/>
          <w:lang w:bidi="fa-IR"/>
          <w:color w:val="111111"/>
          <w:sz w:val="28"/>
          <w:szCs w:val="28"/>
          <w:rtl/>
        </w:rPr>
        <w:t xml:space="preserve">خط: نسخ، كا: قاضی سلطان محمد تقي ازغدی، تا: ۷ صفر ۱۰۸۶ق؛ اندازه: ۱۱/۵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۱۷/۵ سم (نسخه پژوهی: ۲-۱۱۹]</w:t>
      </w:r>
    </w:p>
    <w:p>
      <w:pPr>
        <w:pStyle w:val="BookText"/>
      </w:pPr>
      <w:r>
        <w:rPr>
          <w:rFonts w:ascii="IRNazanin" w:hAnsi="IRNazanin" w:eastAsia="IRNazanin" w:cs="IRNazanin"/>
          <w:lang w:bidi="fa-IR"/>
          <w:color w:val="111111"/>
          <w:sz w:val="28"/>
          <w:szCs w:val="28"/>
          <w:rtl/>
        </w:rPr>
        <w:t xml:space="preserve">۲۳. تهران؛ مروی؛ شماره نسخه: ۶۶۸/۱</w:t>
      </w:r>
    </w:p>
    <w:p>
      <w:pPr>
        <w:pStyle w:val="BookText"/>
      </w:pPr>
      <w:r>
        <w:rPr>
          <w:rFonts w:ascii="IRNazanin" w:hAnsi="IRNazanin" w:eastAsia="IRNazanin" w:cs="IRNazanin"/>
          <w:lang w:bidi="fa-IR"/>
          <w:color w:val="111111"/>
          <w:sz w:val="28"/>
          <w:szCs w:val="28"/>
          <w:rtl/>
        </w:rPr>
        <w:t xml:space="preserve">بی کا، تا: ۱۰۹۲ق؛ قطع: خشتی [ف: ۲۹۱]</w:t>
      </w:r>
    </w:p>
    <w:p>
      <w:pPr>
        <w:pStyle w:val="BookText"/>
      </w:pPr>
      <w:r>
        <w:rPr>
          <w:rFonts w:ascii="IRNazanin" w:hAnsi="IRNazanin" w:eastAsia="IRNazanin" w:cs="IRNazanin"/>
          <w:lang w:bidi="fa-IR"/>
          <w:color w:val="111111"/>
          <w:sz w:val="28"/>
          <w:szCs w:val="28"/>
          <w:rtl/>
        </w:rPr>
        <w:t xml:space="preserve">۲۴. قم؛ حجتیه؛ شماره نسخه: ۵۸۲</w:t>
      </w:r>
    </w:p>
    <w:p>
      <w:pPr>
        <w:pStyle w:val="BookText"/>
      </w:pPr>
      <w:r>
        <w:rPr>
          <w:rFonts w:ascii="IRNazanin" w:hAnsi="IRNazanin" w:eastAsia="IRNazanin" w:cs="IRNazanin"/>
          <w:lang w:bidi="fa-IR"/>
          <w:color w:val="111111"/>
          <w:sz w:val="28"/>
          <w:szCs w:val="28"/>
          <w:rtl/>
        </w:rPr>
        <w:t xml:space="preserve">خط: نستعلیق، بی کا، تا: ۱۰۹۵ق [ف: ۳۹]</w:t>
      </w:r>
    </w:p>
    <w:p>
      <w:pPr>
        <w:pStyle w:val="BookText"/>
      </w:pPr>
      <w:r>
        <w:rPr>
          <w:rFonts w:ascii="IRNazanin" w:hAnsi="IRNazanin" w:eastAsia="IRNazanin" w:cs="IRNazanin"/>
          <w:lang w:bidi="fa-IR"/>
          <w:color w:val="111111"/>
          <w:sz w:val="28"/>
          <w:szCs w:val="28"/>
          <w:rtl/>
        </w:rPr>
        <w:t xml:space="preserve">۲۵. مشهد؛ مدرسه میرزا جعفر؛ شماره نسخه: ۸۲/۱</w:t>
      </w:r>
    </w:p>
    <w:p>
      <w:pPr>
        <w:pStyle w:val="BookText"/>
      </w:pPr>
      <w:r>
        <w:rPr>
          <w:rFonts w:ascii="IRNazanin" w:hAnsi="IRNazanin" w:eastAsia="IRNazanin" w:cs="IRNazanin"/>
          <w:lang w:bidi="fa-IR"/>
          <w:color w:val="111111"/>
          <w:sz w:val="28"/>
          <w:szCs w:val="28"/>
          <w:rtl/>
        </w:rPr>
        <w:t xml:space="preserve">بی کا، تا: قرن ۱۲؛ قطع: خشتی [چهار کتابخانه مشهدف: ۴۰]</w:t>
      </w:r>
    </w:p>
    <w:p>
      <w:pPr>
        <w:pStyle w:val="BookText"/>
      </w:pPr>
      <w:r>
        <w:rPr>
          <w:rFonts w:ascii="IRNazanin" w:hAnsi="IRNazanin" w:eastAsia="IRNazanin" w:cs="IRNazanin"/>
          <w:lang w:bidi="fa-IR"/>
          <w:color w:val="111111"/>
          <w:sz w:val="28"/>
          <w:szCs w:val="28"/>
          <w:rtl/>
        </w:rPr>
        <w:t xml:space="preserve">۲۶. تهران؛ الهیات؛ شماره نسخه: ۱۵۸</w:t>
      </w:r>
    </w:p>
    <w:p>
      <w:pPr>
        <w:pStyle w:val="BookText"/>
      </w:pPr>
      <w:r>
        <w:rPr>
          <w:rFonts w:ascii="IRNazanin" w:hAnsi="IRNazanin" w:eastAsia="IRNazanin" w:cs="IRNazanin"/>
          <w:lang w:bidi="fa-IR"/>
          <w:color w:val="111111"/>
          <w:sz w:val="28"/>
          <w:szCs w:val="28"/>
          <w:rtl/>
        </w:rPr>
        <w:t xml:space="preserve">خط: نسخ، بی کا، تا: قرن ۱۲؛ کاغذ: فرنگی، جلد: تیماج سرخ ضربی مقوایی، ۱۹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[ف: ۷۵۲]</w:t>
      </w:r>
    </w:p>
    <w:p>
      <w:pPr>
        <w:pStyle w:val="BookText"/>
      </w:pPr>
      <w:r>
        <w:rPr>
          <w:rFonts w:ascii="IRNazanin" w:hAnsi="IRNazanin" w:eastAsia="IRNazanin" w:cs="IRNazanin"/>
          <w:lang w:bidi="fa-IR"/>
          <w:color w:val="111111"/>
          <w:sz w:val="28"/>
          <w:szCs w:val="28"/>
          <w:rtl/>
        </w:rPr>
        <w:t xml:space="preserve">۲۷. تهران؛ عبدالعظیم؛ شماره نسخه: ۳۹۶</w:t>
      </w:r>
    </w:p>
    <w:p>
      <w:pPr>
        <w:pStyle w:val="BookText"/>
      </w:pPr>
      <w:r>
        <w:rPr>
          <w:rFonts w:ascii="Amiri" w:hAnsi="Amiri" w:eastAsia="Amiri" w:cs="Amiri"/>
          <w:lang w:bidi="ar-SA"/>
          <w:color w:val="111111"/>
          <w:sz w:val="28"/>
          <w:szCs w:val="28"/>
          <w:rtl/>
        </w:rPr>
        <w:t xml:space="preserve">آغاز: برابر؛ انجام: في قوله انه ليس بمبنى لعدم الشبه ولا معرب لعدم تغيير حركته.</w:t>
      </w:r>
    </w:p>
    <w:p>
      <w:pPr>
        <w:pStyle w:val="BookText"/>
      </w:pPr>
      <w:r>
        <w:rPr>
          <w:rFonts w:ascii="IRNazanin" w:hAnsi="IRNazanin" w:eastAsia="IRNazanin" w:cs="IRNazanin"/>
          <w:lang w:bidi="fa-IR"/>
          <w:color w:val="111111"/>
          <w:sz w:val="28"/>
          <w:szCs w:val="28"/>
          <w:rtl/>
        </w:rPr>
        <w:t xml:space="preserve">خط: نسخ، بی کا، تا: قرن ۱۲؛ افتادگی: انجام؛ مجدول مذهب، محشی؛ واقف: آیت الله مرعشی نجفی؛ جلد: تیماج مشکی مجدول، ۹۸گ، ۱۳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۱-۷۸]</w:t>
      </w:r>
    </w:p>
    <w:p>
      <w:pPr>
        <w:pStyle w:val="BookText"/>
      </w:pPr>
      <w:r>
        <w:rPr>
          <w:rFonts w:ascii="IRNazanin" w:hAnsi="IRNazanin" w:eastAsia="IRNazanin" w:cs="IRNazanin"/>
          <w:lang w:bidi="fa-IR"/>
          <w:color w:val="111111"/>
          <w:sz w:val="28"/>
          <w:szCs w:val="28"/>
          <w:rtl/>
        </w:rPr>
        <w:t xml:space="preserve">۲۸. تهران؛ الهیات؛ شماره نسخه: ۴۴۶</w:t>
      </w:r>
    </w:p>
    <w:p>
      <w:pPr>
        <w:pStyle w:val="BookText"/>
      </w:pPr>
      <w:r>
        <w:rPr>
          <w:rFonts w:ascii="IRNazanin" w:hAnsi="IRNazanin" w:eastAsia="IRNazanin" w:cs="IRNazanin"/>
          <w:lang w:bidi="fa-IR"/>
          <w:color w:val="111111"/>
          <w:sz w:val="28"/>
          <w:szCs w:val="28"/>
          <w:rtl/>
        </w:rPr>
        <w:t xml:space="preserve">خط: نسخ، بی کا، تا: قرن ۱۲، ؛ محشی با نشان «تصریح، مطول، خالد، شرح مواقف، شرح رضی، شواهد، زکریا، فوائد، ابن ناظم، ابن عقیل، شرح موصل، شیخ زین العابدین، شیخ الاسلام، شرح صد، شواهد عینی، ابی طالب، صمدیه، متوسط، توضيح»؛ کاغذ: فرنگی، جلد: تیماج قهوه ای ضربی، ۱۱۸، ۱۷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۴۷۷]</w:t>
      </w:r>
    </w:p>
    <w:p>
      <w:pPr>
        <w:pStyle w:val="BookText"/>
      </w:pPr>
      <w:r>
        <w:rPr>
          <w:rFonts w:ascii="IRNazanin" w:hAnsi="IRNazanin" w:eastAsia="IRNazanin" w:cs="IRNazanin"/>
          <w:lang w:bidi="fa-IR"/>
          <w:color w:val="111111"/>
          <w:sz w:val="28"/>
          <w:szCs w:val="28"/>
          <w:rtl/>
        </w:rPr>
        <w:t xml:space="preserve">۲۹. یزد؛ وزیری؛ شماره نسخه: ۱۷۸۴</w:t>
      </w:r>
    </w:p>
    <w:p>
      <w:pPr>
        <w:pStyle w:val="BookText"/>
      </w:pPr>
      <w:r>
        <w:rPr>
          <w:rFonts w:ascii="IRNazanin" w:hAnsi="IRNazanin" w:eastAsia="IRNazanin" w:cs="IRNazanin"/>
          <w:lang w:bidi="fa-IR"/>
          <w:color w:val="111111"/>
          <w:sz w:val="28"/>
          <w:szCs w:val="28"/>
          <w:rtl/>
        </w:rPr>
        <w:t xml:space="preserve">خط: نسخ، بی کا، تا: قرن ۱۲؛ افتادگی: انجام؛ اهدایی: محمد جواد علميه؛ کاغذ: اصفهانی، جلد: مقوایی، ۱۸۰ گ، ۱۳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[ف: ۳-۱۰۵۴]</w:t>
      </w:r>
    </w:p>
    <w:p>
      <w:pPr>
        <w:pStyle w:val="BookText"/>
      </w:pPr>
      <w:r>
        <w:rPr>
          <w:rFonts w:ascii="IRNazanin" w:hAnsi="IRNazanin" w:eastAsia="IRNazanin" w:cs="IRNazanin"/>
          <w:lang w:bidi="fa-IR"/>
          <w:color w:val="111111"/>
          <w:sz w:val="28"/>
          <w:szCs w:val="28"/>
          <w:rtl/>
        </w:rPr>
        <w:t xml:space="preserve">۳۰. قم؛ گلپایگانی شماره نسخه: ۷۷۷۱- ۳۹/۱۵۱</w:t>
      </w:r>
    </w:p>
    <w:p>
      <w:pPr>
        <w:pStyle w:val="BookText"/>
      </w:pPr>
      <w:r>
        <w:rPr>
          <w:rFonts w:ascii="IRNazanin" w:hAnsi="IRNazanin" w:eastAsia="IRNazanin" w:cs="IRNazanin"/>
          <w:lang w:bidi="fa-IR"/>
          <w:color w:val="111111"/>
          <w:sz w:val="28"/>
          <w:szCs w:val="28"/>
          <w:rtl/>
        </w:rPr>
        <w:t xml:space="preserve">آغاز: وقال في حديث رواه الطبرانی ان الله اختار خلقه ... المستكملين الشرفا بفتح الشين بانتسابهم اليه؛ انجام: فقل فيه معدی بخلاف المبنى من المكسورها كمرضى و المعتل اللام</w:t>
      </w:r>
    </w:p>
    <w:p>
      <w:pPr>
        <w:pStyle w:val="BookText"/>
      </w:pPr>
      <w:r>
        <w:rPr>
          <w:rFonts w:ascii="IRNazanin" w:hAnsi="IRNazanin" w:eastAsia="IRNazanin" w:cs="IRNazanin"/>
          <w:lang w:bidi="fa-IR"/>
          <w:color w:val="111111"/>
          <w:sz w:val="28"/>
          <w:szCs w:val="28"/>
          <w:rtl/>
        </w:rPr>
        <w:t xml:space="preserve">خط: نستعلیق، بی کا، تا: قرن ۱۲؛ افتادگی: آغاز و انجام؛ جلد: مقوای سفید عطف گالینگور، ۱۲۸گ، ۱۵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۲-۶۴۴]</w:t>
      </w:r>
    </w:p>
    <w:p>
      <w:pPr>
        <w:pStyle w:val="BookText"/>
      </w:pPr>
      <w:r>
        <w:rPr>
          <w:rFonts w:ascii="IRNazanin" w:hAnsi="IRNazanin" w:eastAsia="IRNazanin" w:cs="IRNazanin"/>
          <w:lang w:bidi="fa-IR"/>
          <w:color w:val="111111"/>
          <w:sz w:val="28"/>
          <w:szCs w:val="28"/>
          <w:rtl/>
        </w:rPr>
        <w:t xml:space="preserve">۳۱. قم، گلپایگانی؛ شماره نسخه: ۴۷۴۴-۲۴/۴۴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۱۲، جلد: تیماج مشکی ضربی مجدول گرهی، ۹۱گ، ۱۹ سطر،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۲-۶۳۸]</w:t>
      </w:r>
    </w:p>
    <w:p>
      <w:pPr>
        <w:pStyle w:val="BookText"/>
      </w:pPr>
      <w:r>
        <w:rPr>
          <w:rFonts w:ascii="IRNazanin" w:hAnsi="IRNazanin" w:eastAsia="IRNazanin" w:cs="IRNazanin"/>
          <w:lang w:bidi="fa-IR"/>
          <w:color w:val="111111"/>
          <w:sz w:val="28"/>
          <w:szCs w:val="28"/>
          <w:rtl/>
        </w:rPr>
        <w:t xml:space="preserve">۳۲. قم، گلپایگانی شماره نسخه: ۶۷۰۹- ۳۴/۷۹</w:t>
      </w:r>
    </w:p>
    <w:p>
      <w:pPr>
        <w:pStyle w:val="BookText"/>
      </w:pPr>
      <w:r>
        <w:rPr>
          <w:rFonts w:ascii="IRNazanin" w:hAnsi="IRNazanin" w:eastAsia="IRNazanin" w:cs="IRNazanin"/>
          <w:lang w:bidi="fa-IR"/>
          <w:color w:val="111111"/>
          <w:sz w:val="28"/>
          <w:szCs w:val="28"/>
          <w:rtl/>
        </w:rPr>
        <w:t xml:space="preserve">آغاز: برابر؛ انجام: قبل اربعة اصول کبیصور فاصلان و هكذا همزة ميم يكونان زائدی آن سبقا ثلثة فقط خط: تحریری، بی کا، تا: قرن ۱۲؛ افتادگی: انجام؛ محشی منقول از «شرح التسهيل» و دیگر شروح؛ جلد: تیماج مشکی، ۱۰۰گ، ۱۳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۲-۶۴۱]</w:t>
      </w:r>
    </w:p>
    <w:p>
      <w:pPr>
        <w:pStyle w:val="BookText"/>
      </w:pPr>
      <w:r>
        <w:rPr>
          <w:rFonts w:ascii="IRNazanin" w:hAnsi="IRNazanin" w:eastAsia="IRNazanin" w:cs="IRNazanin"/>
          <w:lang w:bidi="fa-IR"/>
          <w:color w:val="111111"/>
          <w:sz w:val="28"/>
          <w:szCs w:val="28"/>
          <w:rtl/>
        </w:rPr>
        <w:t xml:space="preserve">۳۳. دامغان؛ قمر بنی هاشم؛ شماره نسخه: ۱۸۷</w:t>
      </w:r>
    </w:p>
    <w:p>
      <w:pPr>
        <w:pStyle w:val="BookText"/>
      </w:pPr>
      <w:r>
        <w:rPr>
          <w:rFonts w:ascii="IRNazanin" w:hAnsi="IRNazanin" w:eastAsia="IRNazanin" w:cs="IRNazanin"/>
          <w:lang w:bidi="fa-IR"/>
          <w:color w:val="111111"/>
          <w:sz w:val="28"/>
          <w:szCs w:val="28"/>
          <w:rtl/>
        </w:rPr>
        <w:t xml:space="preserve">آغاز: الدین محمد بن عبدالله بن مالك الطائي الاندلسي الجيانی الشافعی؛ انجام: برابر خط: نسخ، بی کا، تا قرن ۱۲؛ مصحح، محشى؛ تملک: عبدالحسین» به سال ۱۱۲۳؛ جلد: تیماج مشکی بدون مقوا، ۱۵۵گ، مختلف السطر،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سم [ف مخ: ۲۴]</w:t>
      </w:r>
    </w:p>
    <w:p>
      <w:pPr>
        <w:pStyle w:val="BookText"/>
      </w:pPr>
      <w:r>
        <w:rPr>
          <w:rFonts w:ascii="IRNazanin" w:hAnsi="IRNazanin" w:eastAsia="IRNazanin" w:cs="IRNazanin"/>
          <w:lang w:bidi="fa-IR"/>
          <w:color w:val="111111"/>
          <w:sz w:val="28"/>
          <w:szCs w:val="28"/>
          <w:rtl/>
        </w:rPr>
        <w:t xml:space="preserve">۳۴. تهران، سپهسالار؛ شماره نسخه: ۲۷۲ صدر</w:t>
      </w:r>
    </w:p>
    <w:p>
      <w:pPr>
        <w:pStyle w:val="BookText"/>
      </w:pPr>
      <w:r>
        <w:rPr>
          <w:rFonts w:ascii="IRNazanin" w:hAnsi="IRNazanin" w:eastAsia="IRNazanin" w:cs="IRNazanin"/>
          <w:lang w:bidi="fa-IR"/>
          <w:color w:val="111111"/>
          <w:sz w:val="28"/>
          <w:szCs w:val="28"/>
          <w:rtl/>
        </w:rPr>
        <w:t xml:space="preserve">آغاز: الرحمن الرحيم و زيد وصه بمعنی طلب سكوت ما و مسلمات و حينئذ و كل و جوار. وقف صدر خط: نسخ، بی کا، تا: قرن ۱۲؛ افتادگی: آغاز؛ کاغذ: فرنگی سفید، جلد: تیماج مشکی مقوایی، ۱۱۵گ، ۱۹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۳-۲۶۲]</w:t>
      </w:r>
    </w:p>
    <w:p>
      <w:pPr>
        <w:pStyle w:val="BookText"/>
      </w:pPr>
      <w:r>
        <w:rPr>
          <w:rFonts w:ascii="IRNazanin" w:hAnsi="IRNazanin" w:eastAsia="IRNazanin" w:cs="IRNazanin"/>
          <w:lang w:bidi="fa-IR"/>
          <w:color w:val="111111"/>
          <w:sz w:val="28"/>
          <w:szCs w:val="28"/>
          <w:rtl/>
        </w:rPr>
        <w:t xml:space="preserve">۳۵. تهران، سپهسالار؛ شماره نسخه: ۶۶۳۸/۲</w:t>
      </w:r>
    </w:p>
    <w:p>
      <w:pPr>
        <w:pStyle w:val="BookText"/>
      </w:pPr>
      <w:r>
        <w:rPr>
          <w:rFonts w:ascii="IRNazanin" w:hAnsi="IRNazanin" w:eastAsia="IRNazanin" w:cs="IRNazanin"/>
          <w:lang w:bidi="fa-IR"/>
          <w:color w:val="111111"/>
          <w:sz w:val="28"/>
          <w:szCs w:val="28"/>
          <w:rtl/>
        </w:rPr>
        <w:t xml:space="preserve">خط: نسخ، بی کا، تا: قرن ۱۲؛ محشی؛ کاغذ: فرنگی، ۸۸گ (۴۷پ -۱۳۴)، ۲۱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۳-۲۶۶]</w:t>
      </w:r>
    </w:p>
    <w:p>
      <w:pPr>
        <w:pStyle w:val="BookText"/>
      </w:pPr>
      <w:r>
        <w:rPr>
          <w:rFonts w:ascii="IRNazanin" w:hAnsi="IRNazanin" w:eastAsia="IRNazanin" w:cs="IRNazanin"/>
          <w:lang w:bidi="fa-IR"/>
          <w:color w:val="111111"/>
          <w:sz w:val="28"/>
          <w:szCs w:val="28"/>
          <w:rtl/>
        </w:rPr>
        <w:t xml:space="preserve">۳۶. تهران، سپهسالار؛ شماره نسخه: ۶۷۲۴/۲</w:t>
      </w:r>
    </w:p>
    <w:p>
      <w:pPr>
        <w:pStyle w:val="BookText"/>
      </w:pPr>
      <w:r>
        <w:rPr>
          <w:rFonts w:ascii="IRNazanin" w:hAnsi="IRNazanin" w:eastAsia="IRNazanin" w:cs="IRNazanin"/>
          <w:lang w:bidi="fa-IR"/>
          <w:color w:val="111111"/>
          <w:sz w:val="28"/>
          <w:szCs w:val="28"/>
          <w:rtl/>
        </w:rPr>
        <w:t xml:space="preserve">خط: نسخ، بی کا، تا: قرن ۱۲؛ ۶۸گ (۱۲۹-۱۹۶پ) [ف: ۳-۲۶۶]</w:t>
      </w:r>
    </w:p>
    <w:p>
      <w:pPr>
        <w:pStyle w:val="BookText"/>
      </w:pPr>
      <w:r>
        <w:rPr>
          <w:rFonts w:ascii="IRNazanin" w:hAnsi="IRNazanin" w:eastAsia="IRNazanin" w:cs="IRNazanin"/>
          <w:lang w:bidi="fa-IR"/>
          <w:color w:val="111111"/>
          <w:sz w:val="28"/>
          <w:szCs w:val="28"/>
          <w:rtl/>
        </w:rPr>
        <w:t xml:space="preserve">۳۷. مشهد؛ گوهرشاد؛ شماره نسخه: ۴۰۷</w:t>
      </w:r>
    </w:p>
    <w:p>
      <w:pPr>
        <w:pStyle w:val="BookText"/>
      </w:pPr>
      <w:r>
        <w:rPr>
          <w:rFonts w:ascii="IRNazanin" w:hAnsi="IRNazanin" w:eastAsia="IRNazanin" w:cs="IRNazanin"/>
          <w:lang w:bidi="fa-IR"/>
          <w:color w:val="111111"/>
          <w:sz w:val="28"/>
          <w:szCs w:val="28"/>
          <w:rtl/>
        </w:rPr>
        <w:t xml:space="preserve">خط: نسخ، بی کا، تا: قرن ۱۲؛ افتادگی: آغاز و انجام؛ مهر: حاج سید سعید؛ کاغذ: اصفهانی، جلد: مشمع لاجوردی عطف و گوشه پارچه، ۱۸۰ گ، ۱۸ سطر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۲۲/۵سم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 ۲-۵۱۶]</w:t>
      </w:r>
    </w:p>
    <w:p>
      <w:pPr>
        <w:pStyle w:val="BookText"/>
      </w:pPr>
      <w:r>
        <w:rPr>
          <w:rFonts w:ascii="IRNazanin" w:hAnsi="IRNazanin" w:eastAsia="IRNazanin" w:cs="IRNazanin"/>
          <w:lang w:bidi="fa-IR"/>
          <w:color w:val="111111"/>
          <w:sz w:val="28"/>
          <w:szCs w:val="28"/>
          <w:rtl/>
        </w:rPr>
        <w:t xml:space="preserve">۳۸. مشهد؛ گوهرشاد؛ شماره نسخه: ۹۸۹</w:t>
      </w:r>
    </w:p>
    <w:p>
      <w:pPr>
        <w:pStyle w:val="BookText"/>
      </w:pPr>
      <w:r>
        <w:rPr>
          <w:rFonts w:ascii="IRNazanin" w:hAnsi="IRNazanin" w:eastAsia="IRNazanin" w:cs="IRNazanin"/>
          <w:lang w:bidi="fa-IR"/>
          <w:color w:val="111111"/>
          <w:sz w:val="28"/>
          <w:szCs w:val="28"/>
          <w:rtl/>
        </w:rPr>
        <w:t xml:space="preserve">کامل؛ خط: نسخ، بی کا، تا: قرن ۱۲، توسط محمد حسن بن ملاحسین سبزواری کسر نویسی شده؛ مهر: حاج سید سعید؛ کاغذ: اصفهانی، جلد: تیماج قهوه ای، ۱۴ سطر (۶/۵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۱۲/۵)،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سم [ف: ۳-۱۳۵۶]</w:t>
      </w:r>
    </w:p>
    <w:p>
      <w:pPr>
        <w:pStyle w:val="BookText"/>
      </w:pPr>
      <w:r>
        <w:rPr>
          <w:rFonts w:ascii="IRNazanin" w:hAnsi="IRNazanin" w:eastAsia="IRNazanin" w:cs="IRNazanin"/>
          <w:lang w:bidi="fa-IR"/>
          <w:color w:val="111111"/>
          <w:sz w:val="28"/>
          <w:szCs w:val="28"/>
          <w:rtl/>
        </w:rPr>
        <w:t xml:space="preserve">۳۹. مشهد؛ رضوی؛ شماره نسخه: ۱۴۴۴۱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۱۲؛ محشی؛ واقف: سید محمد باقر سبزواری، محرم ۱۴۰۵؛ کاغذ: شکری، جلد: تیماج مشکی، ۱۲۳گ، ۱۶ سطر، اندازه: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۲۰/۵سم [ف: ۱۲-۳۱]</w:t>
      </w:r>
    </w:p>
    <w:p>
      <w:pPr>
        <w:pStyle w:val="BookText"/>
      </w:pPr>
      <w:r>
        <w:rPr>
          <w:rFonts w:ascii="IRNazanin" w:hAnsi="IRNazanin" w:eastAsia="IRNazanin" w:cs="IRNazanin"/>
          <w:lang w:bidi="fa-IR"/>
          <w:color w:val="111111"/>
          <w:sz w:val="28"/>
          <w:szCs w:val="28"/>
          <w:rtl/>
        </w:rPr>
        <w:t xml:space="preserve">۴۰. مشهد؛ رضوی؛ شماره نسخه: ۳۹۴۱</w:t>
      </w:r>
    </w:p>
    <w:p>
      <w:pPr>
        <w:pStyle w:val="BookText"/>
      </w:pPr>
      <w:r>
        <w:rPr>
          <w:rFonts w:ascii="IRNazanin" w:hAnsi="IRNazanin" w:eastAsia="IRNazanin" w:cs="IRNazanin"/>
          <w:lang w:bidi="fa-IR"/>
          <w:color w:val="111111"/>
          <w:sz w:val="28"/>
          <w:szCs w:val="28"/>
          <w:rtl/>
        </w:rPr>
        <w:t xml:space="preserve">آغاز: مالک ای اصفه بالجميل تعظيما له؛ انجام و ماضيين او مضارعین تلفيهما اى الشرط و جزاءه و محل الماضي.. از حدود سطر هفتم از ابتدای کتاب تا اواخر فصل مربوط به عوامل جزم؛ خط: نسخ، بی کا، تا: قرن ۱۲؛ افتادگی: آغاز و انجام تاریخ وقف: فروردین ۱۳۹۵؛ کاغذ: فستقی و حنایی آهار مهره، جلد: تیماج عنابی ساده، ۱۱۱گ، مختلف السطر،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۱۲-۲۸]</w:t>
      </w:r>
    </w:p>
    <w:p>
      <w:pPr>
        <w:pStyle w:val="BookText"/>
      </w:pPr>
      <w:r>
        <w:rPr>
          <w:rFonts w:ascii="IRNazanin" w:hAnsi="IRNazanin" w:eastAsia="IRNazanin" w:cs="IRNazanin"/>
          <w:lang w:bidi="fa-IR"/>
          <w:color w:val="111111"/>
          <w:sz w:val="28"/>
          <w:szCs w:val="28"/>
          <w:rtl/>
        </w:rPr>
        <w:t xml:space="preserve">۴۱. مشهد؛ رضوی؛ شماره نسخه: ۱۵۶۹۹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۱۲؛ جلد: تیماج، ۲۷۰ گ، ۸ سطر، اندازه: ۱۴/۲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۱۲-۳۲]</w:t>
      </w:r>
    </w:p>
    <w:p>
      <w:pPr>
        <w:pStyle w:val="BookText"/>
      </w:pPr>
      <w:r>
        <w:rPr>
          <w:rFonts w:ascii="IRNazanin" w:hAnsi="IRNazanin" w:eastAsia="IRNazanin" w:cs="IRNazanin"/>
          <w:lang w:bidi="fa-IR"/>
          <w:color w:val="111111"/>
          <w:sz w:val="28"/>
          <w:szCs w:val="28"/>
          <w:rtl/>
        </w:rPr>
        <w:t xml:space="preserve">۴۲. قم؛ معصومیه؛ شماره نسخه: ۶۰۱</w:t>
      </w:r>
    </w:p>
    <w:p>
      <w:pPr>
        <w:pStyle w:val="BookText"/>
      </w:pPr>
      <w:r>
        <w:rPr>
          <w:rFonts w:ascii="IRNazanin" w:hAnsi="IRNazanin" w:eastAsia="IRNazanin" w:cs="IRNazanin"/>
          <w:lang w:bidi="fa-IR"/>
          <w:color w:val="111111"/>
          <w:sz w:val="28"/>
          <w:szCs w:val="28"/>
          <w:rtl/>
        </w:rPr>
        <w:t xml:space="preserve">خط: نسخ، بی کا، تا: قرن ۱۲؛ افتادگی: آغاز و انجام؛ مصحح؛ جلد: تیماج مشکی، ۱۶۸گ، ۲۰ سطر (۱۵۷۷)،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۱۳سم[ف: ۲-۲۳۳]</w:t>
      </w:r>
    </w:p>
    <w:p>
      <w:pPr>
        <w:pStyle w:val="BookText"/>
      </w:pPr>
      <w:r>
        <w:rPr>
          <w:rFonts w:ascii="IRNazanin" w:hAnsi="IRNazanin" w:eastAsia="IRNazanin" w:cs="IRNazanin"/>
          <w:lang w:bidi="fa-IR"/>
          <w:color w:val="111111"/>
          <w:sz w:val="28"/>
          <w:szCs w:val="28"/>
          <w:rtl/>
        </w:rPr>
        <w:t xml:space="preserve">۴۳. کرمانشاه؛ جلیلی؛ شماره نسخه: ۲۲۵</w:t>
      </w:r>
    </w:p>
    <w:p>
      <w:pPr>
        <w:pStyle w:val="BookText"/>
      </w:pPr>
      <w:r>
        <w:rPr>
          <w:rFonts w:ascii="IRNazanin" w:hAnsi="IRNazanin" w:eastAsia="IRNazanin" w:cs="IRNazanin"/>
          <w:lang w:bidi="fa-IR"/>
          <w:color w:val="111111"/>
          <w:sz w:val="28"/>
          <w:szCs w:val="28"/>
          <w:rtl/>
        </w:rPr>
        <w:t xml:space="preserve">آغاز: او هنا بفتح الهاء و تشديد النون؛ انجام: برابر خط: نسخ، بی کا، تا: ذیحجه ۱۱۰۰ق؛ افتادگی: آغاز (از مبحث موصولات شروع می شود)؛ محشی؛ کاغذ: نخودی آهاری، جلد: تیماج خرمایی خوب، ۱۰۳ص (۱-۱۰۳)، ۱۸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۴۷]</w:t>
      </w:r>
    </w:p>
    <w:p>
      <w:pPr>
        <w:pStyle w:val="BookText"/>
      </w:pPr>
      <w:r>
        <w:rPr>
          <w:rFonts w:ascii="IRNazanin" w:hAnsi="IRNazanin" w:eastAsia="IRNazanin" w:cs="IRNazanin"/>
          <w:lang w:bidi="fa-IR"/>
          <w:color w:val="111111"/>
          <w:sz w:val="28"/>
          <w:szCs w:val="28"/>
          <w:rtl/>
        </w:rPr>
        <w:t xml:space="preserve">۴۴. یزد؛ وزیری؛ شماره نسخه: ۹۱۹</w:t>
      </w:r>
    </w:p>
    <w:p>
      <w:pPr>
        <w:pStyle w:val="BookText"/>
      </w:pPr>
      <w:r>
        <w:rPr>
          <w:rFonts w:ascii="IRNazanin" w:hAnsi="IRNazanin" w:eastAsia="IRNazanin" w:cs="IRNazanin"/>
          <w:lang w:bidi="fa-IR"/>
          <w:color w:val="111111"/>
          <w:sz w:val="28"/>
          <w:szCs w:val="28"/>
          <w:rtl/>
        </w:rPr>
        <w:t xml:space="preserve">آغاز: برابر؛ انجام: على خير نبی ارسله، ای ارسله الى الناس اليدعوهم ... خط: نسخ، بی کا، تا: قرن ۱۲؛ تملك: «مرتضی موسوی»؛ کاغذ: اصفهانی، جلد: مقوایی با تیماج مشکی، ۱۷۵ گ، ۱۵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۱۵</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[ف: ۲-۷۵۶]</w:t>
      </w:r>
    </w:p>
    <w:p>
      <w:pPr>
        <w:pStyle w:val="BookText"/>
      </w:pPr>
      <w:r>
        <w:rPr>
          <w:rFonts w:ascii="IRNazanin" w:hAnsi="IRNazanin" w:eastAsia="IRNazanin" w:cs="IRNazanin"/>
          <w:lang w:bidi="fa-IR"/>
          <w:color w:val="111111"/>
          <w:sz w:val="28"/>
          <w:szCs w:val="28"/>
          <w:rtl/>
        </w:rPr>
        <w:t xml:space="preserve">۴۵. مشهد؛ رضوی؛ شماره نسخه: ۶۲۶۳</w:t>
      </w:r>
    </w:p>
    <w:p>
      <w:pPr>
        <w:pStyle w:val="BookText"/>
      </w:pPr>
      <w:r>
        <w:rPr>
          <w:rFonts w:ascii="IRNazanin" w:hAnsi="IRNazanin" w:eastAsia="IRNazanin" w:cs="IRNazanin"/>
          <w:lang w:bidi="fa-IR"/>
          <w:color w:val="111111"/>
          <w:sz w:val="28"/>
          <w:szCs w:val="28"/>
          <w:rtl/>
        </w:rPr>
        <w:t xml:space="preserve">آغاز و انجام: برابر خط: نسخ، كا: محمدباقر، تا اواخر قرن ۱۲؛ محشی؛ کاغذ: شکری آهار مهره، جلد: تیماج، ۱۱۱، ۱۷ سطر، اندازه: ۲۱/۲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۱۲-۲۵]</w:t>
      </w:r>
    </w:p>
    <w:p>
      <w:pPr>
        <w:pStyle w:val="BookText"/>
      </w:pPr>
      <w:r>
        <w:rPr>
          <w:rFonts w:ascii="IRNazanin" w:hAnsi="IRNazanin" w:eastAsia="IRNazanin" w:cs="IRNazanin"/>
          <w:lang w:bidi="fa-IR"/>
          <w:color w:val="111111"/>
          <w:sz w:val="28"/>
          <w:szCs w:val="28"/>
          <w:rtl/>
        </w:rPr>
        <w:t xml:space="preserve">۴۶. مشهد؛ رضوی؛ شماره نسخه: ۱۰۳۲۶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بی کا، تا: قرن ۱۲؛ محشي منقول از شرح تصریح و شرح جامی و شرح ابن عقیل و میرشاهین شاه و غیره؛ واقف: حاذقی، آبان ۱۳۴۹؛ کاغذ: حنایی، جلد: پارچه، ۱۸۹گ، ۱۴سطر،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۱۲-۲۵]</w:t>
      </w:r>
    </w:p>
    <w:p>
      <w:pPr>
        <w:pStyle w:val="BookText"/>
      </w:pPr>
      <w:r>
        <w:rPr>
          <w:rFonts w:ascii="IRNazanin" w:hAnsi="IRNazanin" w:eastAsia="IRNazanin" w:cs="IRNazanin"/>
          <w:lang w:bidi="fa-IR"/>
          <w:color w:val="111111"/>
          <w:sz w:val="28"/>
          <w:szCs w:val="28"/>
          <w:rtl/>
        </w:rPr>
        <w:t xml:space="preserve">۴۷. مشهد؛ رضوی؛ شماره نسخه: ۶۶۲۷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اواخر قرن ۱۲؛ محشي منقول از شیخ بهائی و شرح تصریح و خفری و جامی و ابن عقیل و شرح شرح جامی؛ واقف: میر سیف الدین ترابی، آذر ۱۳۲۳؛ کاغذ: شکری آهار مهره، جلد: تیماج مشکی ضربی، ۱۱۷گ، ۱۷ سطر،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۱۲-۲۴]</w:t>
      </w:r>
    </w:p>
    <w:p>
      <w:pPr>
        <w:pStyle w:val="BookText"/>
      </w:pPr>
      <w:r>
        <w:rPr>
          <w:rFonts w:ascii="IRNazanin" w:hAnsi="IRNazanin" w:eastAsia="IRNazanin" w:cs="IRNazanin"/>
          <w:lang w:bidi="fa-IR"/>
          <w:color w:val="111111"/>
          <w:sz w:val="28"/>
          <w:szCs w:val="28"/>
          <w:rtl/>
        </w:rPr>
        <w:t xml:space="preserve">۴۸. مشهد؛ رضوی؛ شماره نسخه: ۹۹۹۵</w:t>
      </w:r>
    </w:p>
    <w:p>
      <w:pPr>
        <w:pStyle w:val="BookText"/>
      </w:pPr>
      <w:r>
        <w:rPr>
          <w:rFonts w:ascii="Amiri" w:hAnsi="Amiri" w:eastAsia="Amiri" w:cs="Amiri"/>
          <w:lang w:bidi="ar-SA"/>
          <w:color w:val="111111"/>
          <w:sz w:val="28"/>
          <w:szCs w:val="28"/>
          <w:rtl/>
        </w:rPr>
        <w:t xml:space="preserve">آغاز: برابر؛ انجام: و في القسم الاول بحث هل يلحق بما</w:t>
      </w:r>
    </w:p>
    <w:p>
      <w:pPr>
        <w:pStyle w:val="BookText"/>
      </w:pPr>
      <w:r>
        <w:rPr>
          <w:rFonts w:ascii="IRNazanin" w:hAnsi="IRNazanin" w:eastAsia="IRNazanin" w:cs="IRNazanin"/>
          <w:lang w:bidi="fa-IR"/>
          <w:color w:val="111111"/>
          <w:sz w:val="28"/>
          <w:szCs w:val="28"/>
          <w:rtl/>
        </w:rPr>
        <w:t xml:space="preserve">تا اوایل باب اماله؛ خط: نسخ، بی کا، تا: قرن ۱۲؛ افتادگی: انجام؛ محشی؛ واقف: دکتر شمس الدين جزائري. تاريخ وقف: شهریور ۱۳۴۸؛ کاغذ: حنایی، جلد: مقوا عطف و گوشه چرم، ۹۰گ، ۲۰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۱۲-۲۶]</w:t>
      </w:r>
    </w:p>
    <w:p>
      <w:pPr>
        <w:pStyle w:val="BookText"/>
      </w:pPr>
      <w:r>
        <w:rPr>
          <w:rFonts w:ascii="IRNazanin" w:hAnsi="IRNazanin" w:eastAsia="IRNazanin" w:cs="IRNazanin"/>
          <w:lang w:bidi="fa-IR"/>
          <w:color w:val="111111"/>
          <w:sz w:val="28"/>
          <w:szCs w:val="28"/>
          <w:rtl/>
        </w:rPr>
        <w:t xml:space="preserve">۴۹. مشهد؛ رضوی؛ شماره نسخه: ۱۱۸۸۲</w:t>
      </w:r>
    </w:p>
    <w:p>
      <w:pPr>
        <w:pStyle w:val="BookText"/>
      </w:pPr>
      <w:r>
        <w:rPr>
          <w:rFonts w:ascii="IRNazanin" w:hAnsi="IRNazanin" w:eastAsia="IRNazanin" w:cs="IRNazanin"/>
          <w:lang w:bidi="fa-IR"/>
          <w:color w:val="111111"/>
          <w:sz w:val="28"/>
          <w:szCs w:val="28"/>
          <w:rtl/>
        </w:rPr>
        <w:t xml:space="preserve">آغاز: متفقي اللفظ بزيادة الف او ياء و نون في آخره؛ انجام: و كان السابق أو السكون عارض کرویه مخفف رؤيه و قوی مخفف. خط: نسخ، بی کا، تا: اواسط قرن ۱۲؛ افتادگی: آغاز و انجام؛ تاریخ وقف: بهمن ۱۳۵۹، کاغذ: حنایی، جلد: تیماج یک لا، ۱۰۳گ، ۱۵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۱۲-۲۷]</w:t>
      </w:r>
    </w:p>
    <w:p>
      <w:pPr>
        <w:pStyle w:val="BookText"/>
      </w:pPr>
      <w:r>
        <w:rPr>
          <w:rFonts w:ascii="IRNazanin" w:hAnsi="IRNazanin" w:eastAsia="IRNazanin" w:cs="IRNazanin"/>
          <w:lang w:bidi="fa-IR"/>
          <w:color w:val="111111"/>
          <w:sz w:val="28"/>
          <w:szCs w:val="28"/>
          <w:rtl/>
        </w:rPr>
        <w:t xml:space="preserve">۵۰. مشهد؛ رضوی؛ شماره نسخه: ۱۴۷۵۰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۱۲؛ واقف: سید محمد باقر مولوی عربشاهی سبزواری، محرم ۱۴۰۵؛ کاغذ: حنایی آهار مهره، جلد: تیماج مشکی بسیار، ۸۷گ، ۲۰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۱۲-۲۹]</w:t>
      </w:r>
    </w:p>
    <w:p>
      <w:pPr>
        <w:pStyle w:val="BookText"/>
      </w:pPr>
      <w:r>
        <w:rPr>
          <w:rFonts w:ascii="IRNazanin" w:hAnsi="IRNazanin" w:eastAsia="IRNazanin" w:cs="IRNazanin"/>
          <w:lang w:bidi="fa-IR"/>
          <w:color w:val="111111"/>
          <w:sz w:val="28"/>
          <w:szCs w:val="28"/>
          <w:rtl/>
        </w:rPr>
        <w:t xml:space="preserve">۵۱. مشهد؛ رضوی؛ شماره نسخه: ۱۴۹۶۴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۱۲؛ واقف: سید محمد باقر مولوی عربشاهی سبزواری، محرم ۱۴۰۵؛ کاغذ: حنایی، جلد: تیماج مشکی یک لا، ۱۴۳گ، ۱۳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۱۲-۲۹]</w:t>
      </w:r>
    </w:p>
    <w:p>
      <w:pPr>
        <w:pStyle w:val="BookText"/>
      </w:pPr>
      <w:r>
        <w:rPr>
          <w:rFonts w:ascii="IRNazanin" w:hAnsi="IRNazanin" w:eastAsia="IRNazanin" w:cs="IRNazanin"/>
          <w:lang w:bidi="fa-IR"/>
          <w:color w:val="111111"/>
          <w:sz w:val="28"/>
          <w:szCs w:val="28"/>
          <w:rtl/>
        </w:rPr>
        <w:t xml:space="preserve">۵۲. تهران؛ ملی؛ شماره نسخه: ۲۰۶۲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حدود قرن ۱۲؛ افتادگی: وسط؛ مصحح، محشی؛ تملک: «ملک عبدالله العرج العقیدی»؛ کاغذ: نخودی، اصفهانی، جلد: مقوایی، با رویه کاغذ آبی و ته گالینگور، ۹۲گ، ۲۳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۱۱-۲۱۷]</w:t>
      </w:r>
    </w:p>
    <w:p>
      <w:pPr>
        <w:pStyle w:val="BookText"/>
      </w:pPr>
      <w:r>
        <w:rPr>
          <w:rFonts w:ascii="IRNazanin" w:hAnsi="IRNazanin" w:eastAsia="IRNazanin" w:cs="IRNazanin"/>
          <w:lang w:bidi="fa-IR"/>
          <w:color w:val="111111"/>
          <w:sz w:val="28"/>
          <w:szCs w:val="28"/>
          <w:rtl/>
        </w:rPr>
        <w:t xml:space="preserve">۵۳. تهران؛ دانشگاه؛ شماره نسخه: ۷۹۹۳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نسخ، بی کا، تا: قرن ۱۲؛ افتادگی: آغاز و انجام؛ محشی با نشان «منه، خالد، توضیح، شواهد»؛ کاغذ: سپاهانی، فاقد جلد، ۱۳۶گ، ۱۵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قطع: ربعی،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 سم [ف: ۱۶-۷۵۸]</w:t>
      </w:r>
    </w:p>
    <w:p>
      <w:pPr>
        <w:pStyle w:val="BookText"/>
      </w:pPr>
      <w:r>
        <w:rPr>
          <w:rFonts w:ascii="Amiri" w:hAnsi="Amiri" w:eastAsia="Amiri" w:cs="Amiri"/>
          <w:lang w:bidi="ar-SA"/>
          <w:color w:val="111111"/>
          <w:sz w:val="28"/>
          <w:szCs w:val="28"/>
          <w:rtl/>
        </w:rPr>
        <w:t xml:space="preserve">۵۴. تهران؛ دائرة المعارف، شماره نسخه: ۱۱۳۸/۲</w:t>
      </w:r>
    </w:p>
    <w:p>
      <w:pPr>
        <w:pStyle w:val="BookText"/>
      </w:pPr>
      <w:r>
        <w:rPr>
          <w:rFonts w:ascii="IRNazanin" w:hAnsi="IRNazanin" w:eastAsia="IRNazanin" w:cs="IRNazanin"/>
          <w:lang w:bidi="fa-IR"/>
          <w:color w:val="111111"/>
          <w:sz w:val="28"/>
          <w:szCs w:val="28"/>
          <w:rtl/>
        </w:rPr>
        <w:t xml:space="preserve">انجام: ملفوظ به او مقدر، لا لم ابتداء ... خط: نسخ پخته، بی کا، تا: قرن ۱۲؛ افتادگی: انجام؛ محشی؛ ۳۲گ (۱۸ر-۴۹پ) [ف: ۲-۳۰]</w:t>
      </w:r>
    </w:p>
    <w:p>
      <w:pPr>
        <w:pStyle w:val="BookText"/>
      </w:pPr>
      <w:r>
        <w:rPr>
          <w:rFonts w:ascii="IRNazanin" w:hAnsi="IRNazanin" w:eastAsia="IRNazanin" w:cs="IRNazanin"/>
          <w:lang w:bidi="fa-IR"/>
          <w:color w:val="111111"/>
          <w:sz w:val="28"/>
          <w:szCs w:val="28"/>
          <w:rtl/>
        </w:rPr>
        <w:t xml:space="preserve">۵۵. ساری؛ عمومی؛ شماره نسخه: ۱۴۳</w:t>
      </w:r>
    </w:p>
    <w:p>
      <w:pPr>
        <w:pStyle w:val="BookText"/>
      </w:pPr>
      <w:r>
        <w:rPr>
          <w:rFonts w:ascii="IRNazanin" w:hAnsi="IRNazanin" w:eastAsia="IRNazanin" w:cs="IRNazanin"/>
          <w:lang w:bidi="fa-IR"/>
          <w:color w:val="111111"/>
          <w:sz w:val="28"/>
          <w:szCs w:val="28"/>
          <w:rtl/>
        </w:rPr>
        <w:t xml:space="preserve">آغاز: بقوله يعين المسمى و هو فصل يخرج النكرات؛ انجام: فصل طا مفعول ثان تا افتعال مفعول اول اقوى رد بمعنی</w:t>
      </w:r>
    </w:p>
    <w:p>
      <w:pPr>
        <w:pStyle w:val="BookText"/>
      </w:pPr>
      <w:r>
        <w:rPr>
          <w:rFonts w:ascii="IRNazanin" w:hAnsi="IRNazanin" w:eastAsia="IRNazanin" w:cs="IRNazanin"/>
          <w:lang w:bidi="fa-IR"/>
          <w:color w:val="111111"/>
          <w:sz w:val="28"/>
          <w:szCs w:val="28"/>
          <w:rtl/>
        </w:rPr>
        <w:t xml:space="preserve">خط: نسخ خوش، بی کا، تا: قرن ۱۲؛ افتادگی: آغاز و انجام؛ محشى؛ بدون جلد؛ کاغذ: آهار مهره، ۳۱۵ ص، ۱۵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سم [ف: ۱۱۳]</w:t>
      </w:r>
    </w:p>
    <w:p>
      <w:pPr>
        <w:pStyle w:val="BookText"/>
      </w:pPr>
      <w:r>
        <w:rPr>
          <w:rFonts w:ascii="IRNazanin" w:hAnsi="IRNazanin" w:eastAsia="IRNazanin" w:cs="IRNazanin"/>
          <w:lang w:bidi="fa-IR"/>
          <w:color w:val="111111"/>
          <w:sz w:val="28"/>
          <w:szCs w:val="28"/>
          <w:rtl/>
        </w:rPr>
        <w:t xml:space="preserve">۵۶. اصفهان؛ مهدوی، مصلح الدین؛ شماره نسخه: ۶۴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نام مؤلف در فهرست ذکر نشده که به استناد آغاز نسخه تعیین شد؛ خط: نسخ، بی کا، تا: قرن ۱۲؛ جلد: تیماج قهوه ای ضربی، ۱۱۳گ، ۱۶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۷۲]</w:t>
      </w:r>
    </w:p>
    <w:p>
      <w:pPr>
        <w:pStyle w:val="BookText"/>
      </w:pPr>
      <w:r>
        <w:rPr>
          <w:rFonts w:ascii="IRNazanin" w:hAnsi="IRNazanin" w:eastAsia="IRNazanin" w:cs="IRNazanin"/>
          <w:lang w:bidi="fa-IR"/>
          <w:color w:val="111111"/>
          <w:sz w:val="28"/>
          <w:szCs w:val="28"/>
          <w:rtl/>
        </w:rPr>
        <w:t xml:space="preserve">۵۷. قم؛ دارالحدیث؛ شماره نسخه: ۲۴۸</w:t>
      </w:r>
    </w:p>
    <w:p>
      <w:pPr>
        <w:pStyle w:val="BookText"/>
      </w:pPr>
      <w:r>
        <w:rPr>
          <w:rFonts w:ascii="IRNazanin" w:hAnsi="IRNazanin" w:eastAsia="IRNazanin" w:cs="IRNazanin"/>
          <w:lang w:bidi="fa-IR"/>
          <w:color w:val="111111"/>
          <w:sz w:val="28"/>
          <w:szCs w:val="28"/>
          <w:rtl/>
        </w:rPr>
        <w:t xml:space="preserve">آغاز: و منفصل فأشار إلى الأول بقوله و ذو اتصال منه ما كان غير مستقل بنفسه و هو الذي لا يصلح لأن يبتدأ به و لا يصلح لأن يلی أي وقع بعد؛ انجام: برابر</w:t>
      </w:r>
    </w:p>
    <w:p>
      <w:pPr>
        <w:pStyle w:val="BookText"/>
      </w:pPr>
      <w:r>
        <w:rPr>
          <w:rFonts w:ascii="IRNazanin" w:hAnsi="IRNazanin" w:eastAsia="IRNazanin" w:cs="IRNazanin"/>
          <w:lang w:bidi="fa-IR"/>
          <w:color w:val="111111"/>
          <w:sz w:val="28"/>
          <w:szCs w:val="28"/>
          <w:rtl/>
        </w:rPr>
        <w:t xml:space="preserve">خط: نسخ، بی کا، تا: ۹ شوال ۱۱۰۰ق؛ افتادگی: آغاز؛ محشی با امضاهای «ابن عقیل»، «من الدرة المضيئة»، «قاضی زکریا»، مکودی»، «من الرضی»، «محمد حسین قاری» و «ابن نظام»؛ جلد: گالینگور، ۱۱۵گ، ۱۷سطر،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۱۳۷]</w:t>
      </w:r>
    </w:p>
    <w:p>
      <w:pPr>
        <w:pStyle w:val="BookText"/>
      </w:pPr>
      <w:r>
        <w:rPr>
          <w:rFonts w:ascii="IRNazanin" w:hAnsi="IRNazanin" w:eastAsia="IRNazanin" w:cs="IRNazanin"/>
          <w:lang w:bidi="fa-IR"/>
          <w:color w:val="111111"/>
          <w:sz w:val="28"/>
          <w:szCs w:val="28"/>
          <w:rtl/>
        </w:rPr>
        <w:t xml:space="preserve">۵۸. مشهد؛ مدرسه باقریه؛ شماره نسخه: ۲۵</w:t>
      </w:r>
    </w:p>
    <w:p>
      <w:pPr>
        <w:pStyle w:val="BookText"/>
      </w:pPr>
      <w:r>
        <w:rPr>
          <w:rFonts w:ascii="IRNazanin" w:hAnsi="IRNazanin" w:eastAsia="IRNazanin" w:cs="IRNazanin"/>
          <w:lang w:bidi="fa-IR"/>
          <w:color w:val="111111"/>
          <w:sz w:val="28"/>
          <w:szCs w:val="28"/>
          <w:rtl/>
        </w:rPr>
        <w:t xml:space="preserve">خط: نسخ، كا: محمد مهدی بن محمد صالح، تا: ۱۴ جمادی الثانی ۱۱۰۴ق؛ واقف: ملا مراد علی، شوال ۱۳۰۴؛ ۷ سطر، قطع: رقعی،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سم (تراثنا: س ش ۱-۷۷]</w:t>
      </w:r>
    </w:p>
    <w:p>
      <w:pPr>
        <w:pStyle w:val="BookText"/>
      </w:pPr>
      <w:r>
        <w:rPr>
          <w:rFonts w:ascii="IRNazanin" w:hAnsi="IRNazanin" w:eastAsia="IRNazanin" w:cs="IRNazanin"/>
          <w:lang w:bidi="fa-IR"/>
          <w:color w:val="111111"/>
          <w:sz w:val="28"/>
          <w:szCs w:val="28"/>
          <w:rtl/>
        </w:rPr>
        <w:t xml:space="preserve">۵۹. مشهد؛ رضوی؛ شماره نسخه: ۱۶۹۹۱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مهدی بن محمد صالح، تا: ۱۱۰۴ق؛ کاغذ: نخودی، جلد: تیماج، ۱۶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[رایانه]</w:t>
      </w:r>
    </w:p>
    <w:p>
      <w:pPr>
        <w:pStyle w:val="BookText"/>
      </w:pPr>
      <w:r>
        <w:rPr>
          <w:rFonts w:ascii="IRNazanin" w:hAnsi="IRNazanin" w:eastAsia="IRNazanin" w:cs="IRNazanin"/>
          <w:lang w:bidi="fa-IR"/>
          <w:color w:val="111111"/>
          <w:sz w:val="28"/>
          <w:szCs w:val="28"/>
          <w:rtl/>
        </w:rPr>
        <w:t xml:space="preserve">۶۰. دامغان؛ صادقیه؛ شماره نسخه: ۲۳۱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كان محمد علی بن امر على قوزبن نظام قوز، تان چهارشنبه ۷ شوال ۱۱۰۷ق؛ جلد: تیماج مشکی بدون مقوا، ۳۰۵گ، ۱۴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مخ: ۲۴]</w:t>
      </w:r>
    </w:p>
    <w:p>
      <w:pPr>
        <w:pStyle w:val="BookText"/>
      </w:pPr>
      <w:r>
        <w:rPr>
          <w:rFonts w:ascii="IRNazanin" w:hAnsi="IRNazanin" w:eastAsia="IRNazanin" w:cs="IRNazanin"/>
          <w:lang w:bidi="fa-IR"/>
          <w:color w:val="111111"/>
          <w:sz w:val="28"/>
          <w:szCs w:val="28"/>
          <w:rtl/>
        </w:rPr>
        <w:t xml:space="preserve">۶۱. مشهد؛ رضوی؛ شماره نسخه: ۲۲۹۴۹</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کا: محب علی قاینی، تا: ۱۱۰۸ق؛ کاغذ: نخودی، جلد: تیماج ضربی، ۱۵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[رایانه]</w:t>
      </w:r>
    </w:p>
    <w:p>
      <w:pPr>
        <w:pStyle w:val="BookText"/>
      </w:pPr>
      <w:r>
        <w:rPr>
          <w:rFonts w:ascii="IRNazanin" w:hAnsi="IRNazanin" w:eastAsia="IRNazanin" w:cs="IRNazanin"/>
          <w:lang w:bidi="fa-IR"/>
          <w:color w:val="111111"/>
          <w:sz w:val="28"/>
          <w:szCs w:val="28"/>
          <w:rtl/>
        </w:rPr>
        <w:t xml:space="preserve">۶۲. تهران؛ ملی؛ شماره نسخه: ۴۴۷۵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ابن خلیفه محمد بن محمد مقیم اهری، تا: ۱۱۱۴ق؛ مصحح، محشی با امضای «۱۲، خالد، محمد جعفر، ابن المصنف و ..»؛ کاغذ: فرنگی نخودی، جلد: تیماج قهوه ای مقوایی مجدول ضربی، ۱۳۰گ، ۱۷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۱۹-۹۰]</w:t>
      </w:r>
    </w:p>
    <w:p>
      <w:pPr>
        <w:pStyle w:val="BookText"/>
      </w:pPr>
      <w:r>
        <w:rPr>
          <w:rFonts w:ascii="IRNazanin" w:hAnsi="IRNazanin" w:eastAsia="IRNazanin" w:cs="IRNazanin"/>
          <w:lang w:bidi="fa-IR"/>
          <w:color w:val="111111"/>
          <w:sz w:val="28"/>
          <w:szCs w:val="28"/>
          <w:rtl/>
        </w:rPr>
        <w:t xml:space="preserve">۶۳. مشهد؛ الهیات؛ شماره نسخه: ۲۲۵۱۴</w:t>
      </w:r>
    </w:p>
    <w:p>
      <w:pPr>
        <w:pStyle w:val="BookText"/>
      </w:pPr>
      <w:r>
        <w:rPr>
          <w:rFonts w:ascii="IRNazanin" w:hAnsi="IRNazanin" w:eastAsia="IRNazanin" w:cs="IRNazanin"/>
          <w:lang w:bidi="fa-IR"/>
          <w:color w:val="111111"/>
          <w:sz w:val="28"/>
          <w:szCs w:val="28"/>
          <w:rtl/>
        </w:rPr>
        <w:t xml:space="preserve">خط: نسخ، كا: علی اصغر بن محمد حسین سبزواری، تا: ۱۱۱۶ق؛ افتادگی: انجام؛ تملک: حسن بن کربلائی محمد شریف سبزواری در ربيع الثانی ۱۱۵۶ق؛ جلد: مقوا عطف و گوشه تیماج قهوه ای، ۱۸ سطر (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۲-۷۱۱]</w:t>
      </w:r>
    </w:p>
    <w:p>
      <w:pPr>
        <w:pStyle w:val="BookText"/>
      </w:pPr>
      <w:r>
        <w:rPr>
          <w:rFonts w:ascii="IRNazanin" w:hAnsi="IRNazanin" w:eastAsia="IRNazanin" w:cs="IRNazanin"/>
          <w:lang w:bidi="fa-IR"/>
          <w:color w:val="111111"/>
          <w:sz w:val="28"/>
          <w:szCs w:val="28"/>
          <w:rtl/>
        </w:rPr>
        <w:t xml:space="preserve">۶۴. مشهد؛ مدیر شانه چی؛ شماره نسخه: ۱۴</w:t>
      </w:r>
    </w:p>
    <w:p>
      <w:pPr>
        <w:pStyle w:val="BookText"/>
      </w:pPr>
      <w:r>
        <w:rPr>
          <w:rFonts w:ascii="IRNazanin" w:hAnsi="IRNazanin" w:eastAsia="IRNazanin" w:cs="IRNazanin"/>
          <w:lang w:bidi="fa-IR"/>
          <w:color w:val="111111"/>
          <w:sz w:val="28"/>
          <w:szCs w:val="28"/>
          <w:rtl/>
        </w:rPr>
        <w:t xml:space="preserve">خط: نسخ زیبا، كا: علی اصغر بن حسین سبزواری، تا: ۱۱۱۶ق؛ قطع: ربعی [نشریه: ۵-۵۹۱]</w:t>
      </w:r>
    </w:p>
    <w:p>
      <w:pPr>
        <w:pStyle w:val="BookText"/>
      </w:pPr>
      <w:r>
        <w:rPr>
          <w:rFonts w:ascii="IRNazanin" w:hAnsi="IRNazanin" w:eastAsia="IRNazanin" w:cs="IRNazanin"/>
          <w:lang w:bidi="fa-IR"/>
          <w:color w:val="111111"/>
          <w:sz w:val="28"/>
          <w:szCs w:val="28"/>
          <w:rtl/>
        </w:rPr>
        <w:t xml:space="preserve">۶۵. مشهد؛ نواب؛ شماره نسخه: ۹۴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ابراهيم بن محمد يعقوب، تا: ۱۷ محرم ۱۱۱۹ق؛ واقف: حاج میرزا یوسف (حكیم باشی آستان قدس رضوی)، ۱۳۱۲ق؛ جلد: تیماج قهوه ای، ۱۲۴گ، ۱۸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۱۰۰]</w:t>
      </w:r>
    </w:p>
    <w:p>
      <w:pPr>
        <w:pStyle w:val="BookText"/>
      </w:pPr>
      <w:r>
        <w:rPr>
          <w:rFonts w:ascii="Amiri" w:hAnsi="Amiri" w:eastAsia="Amiri" w:cs="Amiri"/>
          <w:lang w:bidi="ar-SA"/>
          <w:color w:val="111111"/>
          <w:sz w:val="28"/>
          <w:szCs w:val="28"/>
          <w:rtl/>
        </w:rPr>
        <w:t xml:space="preserve">۶۶. تهران؛ الهيات؛ شماره نسخه: ۱۸۸/۱</w:t>
      </w:r>
    </w:p>
    <w:p>
      <w:pPr>
        <w:pStyle w:val="BookText"/>
      </w:pPr>
      <w:r>
        <w:rPr>
          <w:rFonts w:ascii="IRNazanin" w:hAnsi="IRNazanin" w:eastAsia="IRNazanin" w:cs="IRNazanin"/>
          <w:lang w:bidi="fa-IR"/>
          <w:color w:val="111111"/>
          <w:sz w:val="28"/>
          <w:szCs w:val="28"/>
          <w:rtl/>
        </w:rPr>
        <w:t xml:space="preserve">خط: نسخ، كا: حسن بن محمد تقی بن مقدمی، تا: صفر ۱۱۲۰ق؛ محشی با نشانه شواهد؛ کاغذ: فرنگی، جلد: تیماج قهوه ای ضربی مقوایی، ۱۲۲گ (۱پ -۱۲۲پ)، ۱۷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۱۴/۵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سم [ف: ۷۲۵]</w:t>
      </w:r>
    </w:p>
    <w:p>
      <w:pPr>
        <w:pStyle w:val="BookText"/>
      </w:pPr>
      <w:r>
        <w:rPr>
          <w:rFonts w:ascii="IRNazanin" w:hAnsi="IRNazanin" w:eastAsia="IRNazanin" w:cs="IRNazanin"/>
          <w:lang w:bidi="fa-IR"/>
          <w:color w:val="111111"/>
          <w:sz w:val="28"/>
          <w:szCs w:val="28"/>
          <w:rtl/>
        </w:rPr>
        <w:t xml:space="preserve">۶۷. کرمانشاه؛ میبدی (خاندان)؛ شماره نسخه: ۱۱</w:t>
      </w:r>
    </w:p>
    <w:p>
      <w:pPr>
        <w:pStyle w:val="BookText"/>
      </w:pPr>
      <w:r>
        <w:rPr>
          <w:rFonts w:ascii="IRNazanin" w:hAnsi="IRNazanin" w:eastAsia="IRNazanin" w:cs="IRNazanin"/>
          <w:lang w:bidi="fa-IR"/>
          <w:color w:val="111111"/>
          <w:sz w:val="28"/>
          <w:szCs w:val="28"/>
          <w:rtl/>
        </w:rPr>
        <w:t xml:space="preserve">خط: نسخ، بی کا، تا: ۱۱۲۲ق؛ مصحح، محشی؛ مهر: «لا اله الا الله الملك الحق المبين عبده محمد» (مربع)؛ جلد: تیماج قهوه ای، ۹۵ گی، ۱۷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سم [ف: ۱۷]</w:t>
      </w:r>
    </w:p>
    <w:p>
      <w:pPr>
        <w:pStyle w:val="BookText"/>
      </w:pPr>
      <w:r>
        <w:rPr>
          <w:rFonts w:ascii="IRNazanin" w:hAnsi="IRNazanin" w:eastAsia="IRNazanin" w:cs="IRNazanin"/>
          <w:lang w:bidi="fa-IR"/>
          <w:color w:val="111111"/>
          <w:sz w:val="28"/>
          <w:szCs w:val="28"/>
          <w:rtl/>
        </w:rPr>
        <w:t xml:space="preserve">۶۸. تهران؛ ملی؛ شماره نسخه: ۶۷۰۴</w:t>
      </w:r>
    </w:p>
    <w:p>
      <w:pPr>
        <w:pStyle w:val="BookText"/>
      </w:pPr>
      <w:r>
        <w:rPr>
          <w:rFonts w:ascii="IRNazanin" w:hAnsi="IRNazanin" w:eastAsia="IRNazanin" w:cs="IRNazanin"/>
          <w:lang w:bidi="fa-IR"/>
          <w:color w:val="111111"/>
          <w:sz w:val="28"/>
          <w:szCs w:val="28"/>
          <w:rtl/>
        </w:rPr>
        <w:t xml:space="preserve">خط: نسخ، كا: محمد جعفر طالقانی، تا: ۱۱۲۲ق، جا: بلده سید محله از محال تنکابن؛ مصحح، محشی؛ کاغذ: فرنگی آبی و نخودی، جلد: تیماج قهوه ای یک لا مجدول ضربی، ۱۱۵گ، ابعاد متن: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سم [رایانه]</w:t>
      </w:r>
    </w:p>
    <w:p>
      <w:pPr>
        <w:pStyle w:val="BookText"/>
      </w:pPr>
      <w:r>
        <w:rPr>
          <w:rFonts w:ascii="IRNazanin" w:hAnsi="IRNazanin" w:eastAsia="IRNazanin" w:cs="IRNazanin"/>
          <w:lang w:bidi="fa-IR"/>
          <w:color w:val="111111"/>
          <w:sz w:val="28"/>
          <w:szCs w:val="28"/>
          <w:rtl/>
        </w:rPr>
        <w:t xml:space="preserve">۶۹. تهران؛ سپهسالار؛ شماره نسخه: ۶۸۵۷</w:t>
      </w:r>
    </w:p>
    <w:p>
      <w:pPr>
        <w:pStyle w:val="BookText"/>
      </w:pPr>
      <w:r>
        <w:rPr>
          <w:rFonts w:ascii="IRNazanin" w:hAnsi="IRNazanin" w:eastAsia="IRNazanin" w:cs="IRNazanin"/>
          <w:lang w:bidi="fa-IR"/>
          <w:color w:val="111111"/>
          <w:sz w:val="28"/>
          <w:szCs w:val="28"/>
          <w:rtl/>
        </w:rPr>
        <w:t xml:space="preserve">خط: نسخ، كا: اسماعیل بن ابراهيم عامری سبزواری چشمی، تا: ذیحجه ۱۱۲۳ق، محمد سلیم خادم آن را مقابلت نمود، محشی؛ کاغذ: فرنگی، جلد: تیماج مشکی مقوایی کناره، ۱۳۴، ۱۶ 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۳-۲۶۶]</w:t>
      </w:r>
    </w:p>
    <w:p>
      <w:pPr>
        <w:pStyle w:val="BookText"/>
      </w:pPr>
      <w:r>
        <w:rPr>
          <w:rFonts w:ascii="IRNazanin" w:hAnsi="IRNazanin" w:eastAsia="IRNazanin" w:cs="IRNazanin"/>
          <w:lang w:bidi="fa-IR"/>
          <w:color w:val="111111"/>
          <w:sz w:val="28"/>
          <w:szCs w:val="28"/>
          <w:rtl/>
        </w:rPr>
        <w:t xml:space="preserve">۷۰. تهران، ملی؛ شماره نسخه: ۴۶۹۲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علی اصغر بن ملا حسن سبزواری، تا: ۱۱۲۳ق؛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مهر: احمد علوی؛ کاغذ: فرنگی نخودی، جلد: تیماج مشکی مقوایی ضربی با ترنج و سر ترنج، ۱۴۰گ، ۱۶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۱۹-۳۶۲]</w:t>
      </w:r>
    </w:p>
    <w:p>
      <w:pPr>
        <w:pStyle w:val="BookText"/>
      </w:pPr>
      <w:r>
        <w:rPr>
          <w:rFonts w:ascii="IRNazanin" w:hAnsi="IRNazanin" w:eastAsia="IRNazanin" w:cs="IRNazanin"/>
          <w:lang w:bidi="fa-IR"/>
          <w:color w:val="111111"/>
          <w:sz w:val="28"/>
          <w:szCs w:val="28"/>
          <w:rtl/>
        </w:rPr>
        <w:t xml:space="preserve">۷۱. تهران؛ ملی؛ شماره نسخه: ۳۳۶۶</w:t>
      </w:r>
    </w:p>
    <w:p>
      <w:pPr>
        <w:pStyle w:val="BookText"/>
      </w:pPr>
      <w:r>
        <w:rPr>
          <w:rFonts w:ascii="IRNazanin" w:hAnsi="IRNazanin" w:eastAsia="IRNazanin" w:cs="IRNazanin"/>
          <w:lang w:bidi="fa-IR"/>
          <w:color w:val="111111"/>
          <w:sz w:val="28"/>
          <w:szCs w:val="28"/>
          <w:rtl/>
        </w:rPr>
        <w:t xml:space="preserve">خط: نسخ، بی کا، تا: ۱۱۲۶ق؛ مصحح؛ کاغذ: فرنگی نخودی، جلد: تیماج مشکی یک لا ضربی مجدول، ۱۸۳ گ ،۱۳ سطر (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۱۵-۱۷۶]</w:t>
      </w:r>
    </w:p>
    <w:p>
      <w:pPr>
        <w:pStyle w:val="BookText"/>
      </w:pPr>
      <w:r>
        <w:rPr>
          <w:rFonts w:ascii="IRNazanin" w:hAnsi="IRNazanin" w:eastAsia="IRNazanin" w:cs="IRNazanin"/>
          <w:lang w:bidi="fa-IR"/>
          <w:color w:val="111111"/>
          <w:sz w:val="28"/>
          <w:szCs w:val="28"/>
          <w:rtl/>
        </w:rPr>
        <w:t xml:space="preserve">۷۲. تهران؛ ملی؛ شماره نسخه: ۴۳۸۳/۲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كان يحیی بن ملاعلی اکبر لاهیجانی، تا: ۱۱۲۷ق، کاغذ: فرنگی نخودی، جلد: تیماج قهوه ای روشن، مقوایی، دارای ترنج و سرترنج با نقش گل و بوته مجدول، ۷۳ص (حاشیه ۴-۷۶)،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۱۸-۳۵۸]</w:t>
      </w:r>
    </w:p>
    <w:p>
      <w:pPr>
        <w:pStyle w:val="BookText"/>
      </w:pPr>
      <w:r>
        <w:rPr>
          <w:rFonts w:ascii="IRNazanin" w:hAnsi="IRNazanin" w:eastAsia="IRNazanin" w:cs="IRNazanin"/>
          <w:lang w:bidi="fa-IR"/>
          <w:color w:val="111111"/>
          <w:sz w:val="28"/>
          <w:szCs w:val="28"/>
          <w:rtl/>
        </w:rPr>
        <w:t xml:space="preserve">۷۳. تهران؛ مجلس؛ شماره نسخه: ۱۱۶۰۴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کا: معصوم بن جعفر حسینی، تا: چهارشنبه ۲۹ رمضان ۱۱۲۷ق، جا: قريه جوارده؛ مصحح، محشی از تصریح و «ابن مصنف»؛ واقف: اشکوری؛ کاغذ: فرنگی، جلد: تیماج قهوه ای با ترنج و سرترنج، ۱۹۴، ۱۲۰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۳۴-۱۰]</w:t>
      </w:r>
    </w:p>
    <w:p>
      <w:pPr>
        <w:pStyle w:val="BookText"/>
      </w:pPr>
      <w:r>
        <w:rPr>
          <w:rFonts w:ascii="IRNazanin" w:hAnsi="IRNazanin" w:eastAsia="IRNazanin" w:cs="IRNazanin"/>
          <w:lang w:bidi="fa-IR"/>
          <w:color w:val="111111"/>
          <w:sz w:val="28"/>
          <w:szCs w:val="28"/>
          <w:rtl/>
        </w:rPr>
        <w:t xml:space="preserve">۷۴. قم؛ مرکز احیاء؛ شماره نسخه: ۲۵۶۱/۱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سلطان احمد بن حاجی محمد بقمچی، تا: ۱۹ ذیقعده ۱۱۳۱ق؛ مصحح، محشی؛ تملک: «ملا حسین بن ابو تراب) به سال ۱۲۵۵؛ یادداشتی در سال ۱۲۵۸ در مدرسه آقا بابا خان با مهر «عبده عبدالوهاب» (بیضوی)؛ جلد: تیماج مشکی مجدول ۹۳گ (۱پ-۹۳پ)، ۱۹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سم [محدث ارموی مخ: ۱-۲۶۲]</w:t>
      </w:r>
    </w:p>
    <w:p>
      <w:pPr>
        <w:pStyle w:val="BookText"/>
      </w:pPr>
      <w:r>
        <w:rPr>
          <w:rFonts w:ascii="IRNazanin" w:hAnsi="IRNazanin" w:eastAsia="IRNazanin" w:cs="IRNazanin"/>
          <w:lang w:bidi="fa-IR"/>
          <w:color w:val="111111"/>
          <w:sz w:val="28"/>
          <w:szCs w:val="28"/>
          <w:rtl/>
        </w:rPr>
        <w:t xml:space="preserve">۷۵. مشهد؛ گوهرشاد؛ شماره نسخه: ۲۰۲</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كا: مهدیقلی، تا: ۱۱۳۱ق؛ محشی؛ مهر: حاج سید سعید؛ جلد: تیماج عنابی، ۱۰۸گ، ۱۸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۱-۱۷۲]</w:t>
      </w:r>
    </w:p>
    <w:p>
      <w:pPr>
        <w:pStyle w:val="BookText"/>
      </w:pPr>
      <w:r>
        <w:rPr>
          <w:rFonts w:ascii="IRNazanin" w:hAnsi="IRNazanin" w:eastAsia="IRNazanin" w:cs="IRNazanin"/>
          <w:lang w:bidi="fa-IR"/>
          <w:color w:val="111111"/>
          <w:sz w:val="28"/>
          <w:szCs w:val="28"/>
          <w:rtl/>
        </w:rPr>
        <w:t xml:space="preserve">۷۶. مشهد؛ رضوی؛ شماره نسخه: ۸۲۵۰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جلی، كا: قاسم بن فتاح، تا: ۱۱۳۱ق؛ کاغذ: حنایی روشن، جلد: پارچه، ۱۳۳گ، ۱۶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۱۲-۲۷]</w:t>
      </w:r>
    </w:p>
    <w:p>
      <w:pPr>
        <w:pStyle w:val="BookText"/>
      </w:pPr>
      <w:r>
        <w:rPr>
          <w:rFonts w:ascii="IRNazanin" w:hAnsi="IRNazanin" w:eastAsia="IRNazanin" w:cs="IRNazanin"/>
          <w:lang w:bidi="fa-IR"/>
          <w:color w:val="111111"/>
          <w:sz w:val="28"/>
          <w:szCs w:val="28"/>
          <w:rtl/>
        </w:rPr>
        <w:t xml:space="preserve">۷۷. تهران؛ عبدالعظیم؛ شماره نسخه: ۳۳۸</w:t>
      </w:r>
    </w:p>
    <w:p>
      <w:pPr>
        <w:pStyle w:val="BookText"/>
      </w:pPr>
      <w:r>
        <w:rPr>
          <w:rFonts w:ascii="IRNazanin" w:hAnsi="IRNazanin" w:eastAsia="IRNazanin" w:cs="IRNazanin"/>
          <w:lang w:bidi="fa-IR"/>
          <w:color w:val="111111"/>
          <w:sz w:val="28"/>
          <w:szCs w:val="28"/>
          <w:rtl/>
        </w:rPr>
        <w:t xml:space="preserve">آغاز: بتبليغه فان أمر بذلک فرسول أيضا و لفظه بالتشديد من النبوة؛ انجام: برابر</w:t>
      </w:r>
    </w:p>
    <w:p>
      <w:pPr>
        <w:pStyle w:val="BookText"/>
      </w:pPr>
      <w:r>
        <w:rPr>
          <w:rFonts w:ascii="IRNazanin" w:hAnsi="IRNazanin" w:eastAsia="IRNazanin" w:cs="IRNazanin"/>
          <w:lang w:bidi="fa-IR"/>
          <w:color w:val="111111"/>
          <w:sz w:val="28"/>
          <w:szCs w:val="28"/>
          <w:rtl/>
        </w:rPr>
        <w:t xml:space="preserve">خط: نسخ، كا: عبدالرحيم بن ملا على محمد، تا: ۲ ذیحجه ۱۱۵۹ق؛ افتادگی: آغاز؛ محشی به نقل از شرح ابن ناظم و ابن عقيل؛ جلد: تیماج قهوه ای مجدول، ۱۱۹ ، ۱۸ سطر،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سم [ف: ۱-۷۷]</w:t>
      </w:r>
    </w:p>
    <w:p>
      <w:pPr>
        <w:pStyle w:val="BookText"/>
      </w:pPr>
      <w:r>
        <w:rPr>
          <w:rFonts w:ascii="IRNazanin" w:hAnsi="IRNazanin" w:eastAsia="IRNazanin" w:cs="IRNazanin"/>
          <w:lang w:bidi="fa-IR"/>
          <w:color w:val="111111"/>
          <w:sz w:val="28"/>
          <w:szCs w:val="28"/>
          <w:rtl/>
        </w:rPr>
        <w:t xml:space="preserve">۷۸. کرمانشاه؛ نجومی؛ شماره نسخه: بدون شماره</w:t>
      </w:r>
    </w:p>
    <w:p>
      <w:pPr>
        <w:pStyle w:val="BookText"/>
      </w:pPr>
      <w:r>
        <w:rPr>
          <w:rFonts w:ascii="IRNazanin" w:hAnsi="IRNazanin" w:eastAsia="IRNazanin" w:cs="IRNazanin"/>
          <w:lang w:bidi="fa-IR"/>
          <w:color w:val="111111"/>
          <w:sz w:val="28"/>
          <w:szCs w:val="28"/>
          <w:rtl/>
        </w:rPr>
        <w:t xml:space="preserve">کا: عبد على بن محمد بن حسن بن رمضان العطار، تا: ۱۱ شعبان ۱۱۷۲ق [دليل المخطوطات: ۱-۲۲۰]</w:t>
      </w:r>
    </w:p>
    <w:p>
      <w:pPr>
        <w:pStyle w:val="BookText"/>
      </w:pPr>
      <w:r>
        <w:rPr>
          <w:rFonts w:ascii="IRNazanin" w:hAnsi="IRNazanin" w:eastAsia="IRNazanin" w:cs="IRNazanin"/>
          <w:lang w:bidi="fa-IR"/>
          <w:color w:val="111111"/>
          <w:sz w:val="28"/>
          <w:szCs w:val="28"/>
          <w:rtl/>
        </w:rPr>
        <w:t xml:space="preserve">۷۹. تهران؛ مروی؛ شماره نسخه: ۵۸۴</w:t>
      </w:r>
    </w:p>
    <w:p>
      <w:pPr>
        <w:pStyle w:val="BookText"/>
      </w:pPr>
      <w:r>
        <w:rPr>
          <w:rFonts w:ascii="IRNazanin" w:hAnsi="IRNazanin" w:eastAsia="IRNazanin" w:cs="IRNazanin"/>
          <w:lang w:bidi="fa-IR"/>
          <w:color w:val="111111"/>
          <w:sz w:val="28"/>
          <w:szCs w:val="28"/>
          <w:rtl/>
        </w:rPr>
        <w:t xml:space="preserve">كان محمد علی بن محمد يوسف مازندرانی، تا: ۱۱۷۶ق؛ قطع: خشتی [ف: ۸۰]</w:t>
      </w:r>
    </w:p>
    <w:p>
      <w:pPr>
        <w:pStyle w:val="BookText"/>
      </w:pPr>
      <w:r>
        <w:rPr>
          <w:rFonts w:ascii="IRNazanin" w:hAnsi="IRNazanin" w:eastAsia="IRNazanin" w:cs="IRNazanin"/>
          <w:lang w:bidi="fa-IR"/>
          <w:color w:val="111111"/>
          <w:sz w:val="28"/>
          <w:szCs w:val="28"/>
          <w:rtl/>
        </w:rPr>
        <w:t xml:space="preserve">۸۰. تهران؛ ملی؛ شماره نسخه: ۲۵۰۳/۱</w:t>
      </w:r>
    </w:p>
    <w:p>
      <w:pPr>
        <w:pStyle w:val="BookText"/>
      </w:pPr>
      <w:r>
        <w:rPr>
          <w:rFonts w:ascii="IRNazanin" w:hAnsi="IRNazanin" w:eastAsia="IRNazanin" w:cs="IRNazanin"/>
          <w:lang w:bidi="fa-IR"/>
          <w:color w:val="111111"/>
          <w:sz w:val="28"/>
          <w:szCs w:val="28"/>
          <w:rtl/>
        </w:rPr>
        <w:t xml:space="preserve">خط: نستعلیق، كا: على محمد بن محمد عقیل فومنی، تا: ۱۱۷۸ق؛ افتادگی: وسط؛ کاغذ: فرنگی، جلد: تیماج حنایی مقوایی، ۳۹گ (۱پ -۳۹)،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۱۲- ۳۶۶ ]</w:t>
      </w:r>
    </w:p>
    <w:p>
      <w:pPr>
        <w:pStyle w:val="BookText"/>
      </w:pPr>
      <w:r>
        <w:rPr>
          <w:rFonts w:ascii="IRNazanin" w:hAnsi="IRNazanin" w:eastAsia="IRNazanin" w:cs="IRNazanin"/>
          <w:lang w:bidi="fa-IR"/>
          <w:color w:val="111111"/>
          <w:sz w:val="28"/>
          <w:szCs w:val="28"/>
          <w:rtl/>
        </w:rPr>
        <w:t xml:space="preserve">۸۱. همدان؛ مدرسه غرب؛ شماره نسخه: ۱۲۵۱</w:t>
      </w:r>
    </w:p>
    <w:p>
      <w:pPr>
        <w:pStyle w:val="BookText"/>
      </w:pPr>
      <w:r>
        <w:rPr>
          <w:rFonts w:ascii="IRNazanin" w:hAnsi="IRNazanin" w:eastAsia="IRNazanin" w:cs="IRNazanin"/>
          <w:lang w:bidi="fa-IR"/>
          <w:color w:val="111111"/>
          <w:sz w:val="28"/>
          <w:szCs w:val="28"/>
          <w:rtl/>
        </w:rPr>
        <w:t xml:space="preserve">خط: نستعلیق، كان عبد الله بن حسین شریف، تا: ۱۱۸۳ق؛ قطع: ربعي [رشت و همدان: ف: ۱۲۹۱]</w:t>
      </w:r>
    </w:p>
    <w:p>
      <w:pPr>
        <w:pStyle w:val="BookText"/>
      </w:pPr>
      <w:r>
        <w:rPr>
          <w:rFonts w:ascii="IRNazanin" w:hAnsi="IRNazanin" w:eastAsia="IRNazanin" w:cs="IRNazanin"/>
          <w:lang w:bidi="fa-IR"/>
          <w:color w:val="111111"/>
          <w:sz w:val="28"/>
          <w:szCs w:val="28"/>
          <w:rtl/>
        </w:rPr>
        <w:t xml:space="preserve">۸۲. قم، گلپایگانی؛ شماره نسخه: ۵۸۷۱- ۲۹/۲۱۱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لطف الله بن زین العابدین شریف نیریزی، تا: جمعه ۲۷ رمضان ۱۱۸۸ق، ۱۲۵ گ، ۱۳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۲-۶۳۸]</w:t>
      </w:r>
    </w:p>
    <w:p>
      <w:pPr>
        <w:pStyle w:val="BookText"/>
      </w:pPr>
      <w:r>
        <w:rPr>
          <w:rFonts w:ascii="IRNazanin" w:hAnsi="IRNazanin" w:eastAsia="IRNazanin" w:cs="IRNazanin"/>
          <w:lang w:bidi="fa-IR"/>
          <w:color w:val="111111"/>
          <w:sz w:val="28"/>
          <w:szCs w:val="28"/>
          <w:rtl/>
        </w:rPr>
        <w:t xml:space="preserve">۸۳. قم، گلپایگانی؛ شماره نسخه: ۴۶۷۶- ۲۳/۱۹۶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ابن عبدالله، تا: غره ربیع الاول ۱۱۹۳ق، جا:هرات؛ جلد: تیماج مشکی، ۱۸۱گ، ۱۳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۲-۶۴۰]</w:t>
      </w:r>
    </w:p>
    <w:p>
      <w:pPr>
        <w:pStyle w:val="BookText"/>
      </w:pPr>
      <w:r>
        <w:rPr>
          <w:rFonts w:ascii="IRNazanin" w:hAnsi="IRNazanin" w:eastAsia="IRNazanin" w:cs="IRNazanin"/>
          <w:lang w:bidi="fa-IR"/>
          <w:color w:val="111111"/>
          <w:sz w:val="28"/>
          <w:szCs w:val="28"/>
          <w:rtl/>
        </w:rPr>
        <w:t xml:space="preserve">۸۴. تهران؛ ملی؛ شماره نسخه: ۳۸۴۸</w:t>
      </w:r>
    </w:p>
    <w:p>
      <w:pPr>
        <w:pStyle w:val="BookText"/>
      </w:pPr>
      <w:r>
        <w:rPr>
          <w:rFonts w:ascii="Amiri" w:hAnsi="Amiri" w:eastAsia="Amiri" w:cs="Amiri"/>
          <w:lang w:bidi="ar-SA"/>
          <w:color w:val="111111"/>
          <w:sz w:val="28"/>
          <w:szCs w:val="28"/>
          <w:rtl/>
        </w:rPr>
        <w:t xml:space="preserve">آغاز: أصفه بالجميل تعظيما له؛ انجام: برابر</w:t>
      </w:r>
    </w:p>
    <w:p>
      <w:pPr>
        <w:pStyle w:val="BookText"/>
      </w:pPr>
      <w:r>
        <w:rPr>
          <w:rFonts w:ascii="IRNazanin" w:hAnsi="IRNazanin" w:eastAsia="IRNazanin" w:cs="IRNazanin"/>
          <w:lang w:bidi="fa-IR"/>
          <w:color w:val="111111"/>
          <w:sz w:val="28"/>
          <w:szCs w:val="28"/>
          <w:rtl/>
        </w:rPr>
        <w:t xml:space="preserve">خط: نسخ و نستعلیق زیبا، كان محمد صالح بن امیر ابوطالب حسینی، تا: ۱۱۹۳ق؛ افتادگی: آغاز (یک برگ)؛ محشی با نشان ابن المنصف، شرح و بی نشان؛ تاریخ وفات سید محمد ابراهیم شب سه شنبه ۱۹ جمادی الثانی ۱۲۶۷؛ کاغذ: نخودی اصفهانی، جلد: مقوا، رویه شومیز قهوه ای، ته تیماج سرخ، ۱۶۷گ، ۱۲ سطر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۱۷-۸۴]</w:t>
      </w:r>
    </w:p>
    <w:p>
      <w:pPr>
        <w:pStyle w:val="BookText"/>
      </w:pPr>
      <w:r>
        <w:rPr>
          <w:rFonts w:ascii="IRNazanin" w:hAnsi="IRNazanin" w:eastAsia="IRNazanin" w:cs="IRNazanin"/>
          <w:lang w:bidi="fa-IR"/>
          <w:color w:val="111111"/>
          <w:sz w:val="28"/>
          <w:szCs w:val="28"/>
          <w:rtl/>
        </w:rPr>
        <w:t xml:space="preserve">۸۵. شیراز؛ امام عصر؛ شماره نسخه: ۶۲</w:t>
      </w:r>
    </w:p>
    <w:p>
      <w:pPr>
        <w:pStyle w:val="BookText"/>
      </w:pPr>
      <w:r>
        <w:rPr>
          <w:rFonts w:ascii="IRNazanin" w:hAnsi="IRNazanin" w:eastAsia="IRNazanin" w:cs="IRNazanin"/>
          <w:lang w:bidi="fa-IR"/>
          <w:color w:val="111111"/>
          <w:sz w:val="28"/>
          <w:szCs w:val="28"/>
          <w:rtl/>
        </w:rPr>
        <w:t xml:space="preserve">خط: نسخ، بی کا، تا: دوشنبه از ذیحجه ۱۱۹۳ق؛ افتادگی: آغاز؛ ۱۰۴گ، ۱۷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۱۱/۵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۱-۱۵]</w:t>
      </w:r>
    </w:p>
    <w:p>
      <w:pPr>
        <w:pStyle w:val="BookText"/>
      </w:pPr>
      <w:r>
        <w:rPr>
          <w:rFonts w:ascii="IRNazanin" w:hAnsi="IRNazanin" w:eastAsia="IRNazanin" w:cs="IRNazanin"/>
          <w:lang w:bidi="fa-IR"/>
          <w:color w:val="111111"/>
          <w:sz w:val="28"/>
          <w:szCs w:val="28"/>
          <w:rtl/>
        </w:rPr>
        <w:t xml:space="preserve">۸۶. قم؛ حجتیه؛ شماره نسخه: ۱۵۷</w:t>
      </w:r>
    </w:p>
    <w:p>
      <w:pPr>
        <w:pStyle w:val="BookText"/>
      </w:pPr>
      <w:r>
        <w:rPr>
          <w:rFonts w:ascii="IRNazanin" w:hAnsi="IRNazanin" w:eastAsia="IRNazanin" w:cs="IRNazanin"/>
          <w:lang w:bidi="fa-IR"/>
          <w:color w:val="111111"/>
          <w:sz w:val="28"/>
          <w:szCs w:val="28"/>
          <w:rtl/>
        </w:rPr>
        <w:t xml:space="preserve">خط: نسخ، کا: محمد حسین بن نظر علی همدانی، تا:۱۱۹۳ق [ف: ۳۹]</w:t>
      </w:r>
    </w:p>
    <w:p>
      <w:pPr>
        <w:pStyle w:val="BookText"/>
      </w:pPr>
      <w:r>
        <w:rPr>
          <w:rFonts w:ascii="IRNazanin" w:hAnsi="IRNazanin" w:eastAsia="IRNazanin" w:cs="IRNazanin"/>
          <w:lang w:bidi="fa-IR"/>
          <w:color w:val="111111"/>
          <w:sz w:val="28"/>
          <w:szCs w:val="28"/>
          <w:rtl/>
        </w:rPr>
        <w:t xml:space="preserve">۸۷. تهران؛ ملی؛ شماره نسخه: ۶۲۷۱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تحریری، کا: نادعلی مازندرانی، تا: ۱۱۹۳ق، جان اصفهان، مدرسه نواب مستطاب حاجی محمد خان؛ مصحح، محشی با نشان های «شرح، تصریح، شواهد، منه، خالد، صحاح»؛ کاغذ: فرنگی نخودی آهار مهره، جلد: گالینگور مشکی، مقوایی، ۸۴گ، ۱۷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۱۳/۵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۲۰/۵ سم [رایانه]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۸۸. تهران؛ عبدالعظیم؛ شماره نسخه: ۱۴۲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ذیقعده ۱۱۹۴ق؛ مصحح، محشی با امضای «لمحرره حسن بن علی» و از دیگر شروح الفيه؛ واقف: على حمیدی، ۱۳۳۸/۳/۵ ؛ جلد: تیماج مصنوعی قهوه ای ترنجدار، ۱۲۶ ، ۱۳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۱-۷۸]</w:t>
      </w:r>
    </w:p>
    <w:p>
      <w:pPr>
        <w:pStyle w:val="BookText"/>
      </w:pPr>
      <w:r>
        <w:rPr>
          <w:rFonts w:ascii="IRNazanin" w:hAnsi="IRNazanin" w:eastAsia="IRNazanin" w:cs="IRNazanin"/>
          <w:lang w:bidi="fa-IR"/>
          <w:color w:val="111111"/>
          <w:sz w:val="28"/>
          <w:szCs w:val="28"/>
          <w:rtl/>
        </w:rPr>
        <w:t xml:space="preserve">۸۹. رشت؛ جمعیت نشر فرهنگ؛ شماره نسخه: ۵س</w:t>
      </w:r>
    </w:p>
    <w:p>
      <w:pPr>
        <w:pStyle w:val="BookText"/>
      </w:pPr>
      <w:r>
        <w:rPr>
          <w:rFonts w:ascii="IRNazanin" w:hAnsi="IRNazanin" w:eastAsia="IRNazanin" w:cs="IRNazanin"/>
          <w:lang w:bidi="fa-IR"/>
          <w:color w:val="111111"/>
          <w:sz w:val="28"/>
          <w:szCs w:val="28"/>
          <w:rtl/>
        </w:rPr>
        <w:t xml:space="preserve">خط: نسخ خوش، کا: محمد جعفر بن محمد تنکابنی، تا: ۱۱۹۴ق؛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[رشت و همدان: ف: ۱۰۹۵]</w:t>
      </w:r>
    </w:p>
    <w:p>
      <w:pPr>
        <w:pStyle w:val="BookText"/>
      </w:pPr>
      <w:r>
        <w:rPr>
          <w:rFonts w:ascii="IRNazanin" w:hAnsi="IRNazanin" w:eastAsia="IRNazanin" w:cs="IRNazanin"/>
          <w:lang w:bidi="fa-IR"/>
          <w:color w:val="111111"/>
          <w:sz w:val="28"/>
          <w:szCs w:val="28"/>
          <w:rtl/>
        </w:rPr>
        <w:t xml:space="preserve">۹۰. چالوس؛ امام صادق؛ شماره نسخه: ۶۰۸/۲</w:t>
      </w:r>
    </w:p>
    <w:p>
      <w:pPr>
        <w:pStyle w:val="BookText"/>
      </w:pPr>
      <w:r>
        <w:rPr>
          <w:rFonts w:ascii="IRNazanin" w:hAnsi="IRNazanin" w:eastAsia="IRNazanin" w:cs="IRNazanin"/>
          <w:lang w:bidi="fa-IR"/>
          <w:color w:val="111111"/>
          <w:sz w:val="28"/>
          <w:szCs w:val="28"/>
          <w:rtl/>
        </w:rPr>
        <w:t xml:space="preserve">خط: نسخ جلى، كا: ابوالقاسم بن شیخ صدر الدين بن ابی علی تنکابنی، تا: رمضان ۱۱۹۶ق؛ جلد: تیماج قهوه ای، ۱۵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۳۰۷]</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تهران؛ دائرة المعارف؛ شماره نسخه: ۵۹۲/۲</w:t>
      </w:r>
    </w:p>
    <w:p>
      <w:pPr>
        <w:pStyle w:val="BookText"/>
      </w:pPr>
      <w:r>
        <w:rPr>
          <w:rFonts w:ascii="IRNazanin" w:hAnsi="IRNazanin" w:eastAsia="IRNazanin" w:cs="IRNazanin"/>
          <w:lang w:bidi="fa-IR"/>
          <w:color w:val="111111"/>
          <w:sz w:val="28"/>
          <w:szCs w:val="28"/>
          <w:rtl/>
        </w:rPr>
        <w:t xml:space="preserve">انجام: برابر</w:t>
      </w:r>
    </w:p>
    <w:p>
      <w:pPr>
        <w:pStyle w:val="BookText"/>
      </w:pPr>
      <w:r>
        <w:rPr>
          <w:rFonts w:ascii="IRNazanin" w:hAnsi="IRNazanin" w:eastAsia="IRNazanin" w:cs="IRNazanin"/>
          <w:lang w:bidi="fa-IR"/>
          <w:color w:val="111111"/>
          <w:sz w:val="28"/>
          <w:szCs w:val="28"/>
          <w:rtl/>
        </w:rPr>
        <w:t xml:space="preserve">خط: نسخ پخته، كا: حسن بن نقد على، تا: شعبان ۱۱۹۶ق؛ افتادگی: آغاز؛ آغاز در دیباچه افتاده: «يهدي من يشاء إلى صراط مستقیم»؛ فاقد جلد، ۱۰۱گ (۸۴پ -۱۸۴پ)، ۱۸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۲-۳۰]</w:t>
      </w:r>
    </w:p>
    <w:p>
      <w:pPr>
        <w:pStyle w:val="BookText"/>
      </w:pPr>
      <w:r>
        <w:rPr>
          <w:rFonts w:ascii="IRNazanin" w:hAnsi="IRNazanin" w:eastAsia="IRNazanin" w:cs="IRNazanin"/>
          <w:lang w:bidi="fa-IR"/>
          <w:color w:val="111111"/>
          <w:sz w:val="28"/>
          <w:szCs w:val="28"/>
          <w:rtl/>
        </w:rPr>
        <w:t xml:space="preserve">۹۲. اصفهان؛ دانشگاه؛ شماره نسخه: ۳۳۹</w:t>
      </w:r>
    </w:p>
    <w:p>
      <w:pPr>
        <w:pStyle w:val="BookText"/>
      </w:pPr>
      <w:r>
        <w:rPr>
          <w:rFonts w:ascii="IRNazanin" w:hAnsi="IRNazanin" w:eastAsia="IRNazanin" w:cs="IRNazanin"/>
          <w:lang w:bidi="fa-IR"/>
          <w:color w:val="111111"/>
          <w:sz w:val="28"/>
          <w:szCs w:val="28"/>
          <w:rtl/>
        </w:rPr>
        <w:t xml:space="preserve">خط: نسخ، بی کا، تا: چهارشنبه ۲۴ صفر ۱۱۹۷ق؛ مجدول مصحح، محشی؛ جلد: تیماج مشکی، ۱۰۳گ، ۱۸سطر،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۱-۲۴۵]</w:t>
      </w:r>
    </w:p>
    <w:p>
      <w:pPr>
        <w:pStyle w:val="BookText"/>
      </w:pPr>
      <w:r>
        <w:rPr>
          <w:rFonts w:ascii="IRNazanin" w:hAnsi="IRNazanin" w:eastAsia="IRNazanin" w:cs="IRNazanin"/>
          <w:lang w:bidi="fa-IR"/>
          <w:color w:val="111111"/>
          <w:sz w:val="28"/>
          <w:szCs w:val="28"/>
          <w:rtl/>
        </w:rPr>
        <w:t xml:space="preserve">۹۳. چالوس؛ امام صادق؛ شماره نسخه: ۶۱۰</w:t>
      </w:r>
    </w:p>
    <w:p>
      <w:pPr>
        <w:pStyle w:val="BookText"/>
      </w:pPr>
      <w:r>
        <w:rPr>
          <w:rFonts w:ascii="IRNazanin" w:hAnsi="IRNazanin" w:eastAsia="IRNazanin" w:cs="IRNazanin"/>
          <w:lang w:bidi="fa-IR"/>
          <w:color w:val="111111"/>
          <w:sz w:val="28"/>
          <w:szCs w:val="28"/>
          <w:rtl/>
        </w:rPr>
        <w:t xml:space="preserve">بی کا، بی تا؛ مهر: «عبده عبد العالي الموسوی ۱۱۷۸» (مربع)؛ جلد: تيماج [ف: ۴۲]</w:t>
      </w:r>
    </w:p>
    <w:p>
      <w:pPr>
        <w:pStyle w:val="BookText"/>
      </w:pPr>
      <w:r>
        <w:rPr>
          <w:rFonts w:ascii="IRNazanin" w:hAnsi="IRNazanin" w:eastAsia="IRNazanin" w:cs="IRNazanin"/>
          <w:lang w:bidi="fa-IR"/>
          <w:color w:val="111111"/>
          <w:sz w:val="28"/>
          <w:szCs w:val="28"/>
          <w:rtl/>
        </w:rPr>
        <w:t xml:space="preserve">۹۴. تهران، دانشگاه؛ شماره نسخه: ۱۶۰۰</w:t>
      </w:r>
    </w:p>
    <w:p>
      <w:pPr>
        <w:pStyle w:val="BookText"/>
      </w:pPr>
      <w:r>
        <w:rPr>
          <w:rFonts w:ascii="IRNazanin" w:hAnsi="IRNazanin" w:eastAsia="IRNazanin" w:cs="IRNazanin"/>
          <w:lang w:bidi="fa-IR"/>
          <w:color w:val="111111"/>
          <w:sz w:val="28"/>
          <w:szCs w:val="28"/>
          <w:rtl/>
        </w:rPr>
        <w:t xml:space="preserve">خط: نستعلیق، كا: لطفعلی بن محمد مازندرانی، تا: ۱۱۹۹ق؛ افتادگی: انجام؛ محشی از شریف حسینی و چلبی و جز آنها؛ کاغذ: سپاهانی زرد، جلد: تیماج مشکی، ۱۲۹، ۱۶ سطر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۸-۱۹۷]</w:t>
      </w:r>
    </w:p>
    <w:p>
      <w:pPr>
        <w:pStyle w:val="BookText"/>
      </w:pPr>
      <w:r>
        <w:rPr>
          <w:rFonts w:ascii="IRNazanin" w:hAnsi="IRNazanin" w:eastAsia="IRNazanin" w:cs="IRNazanin"/>
          <w:lang w:bidi="fa-IR"/>
          <w:color w:val="111111"/>
          <w:sz w:val="28"/>
          <w:szCs w:val="28"/>
          <w:rtl/>
        </w:rPr>
        <w:t xml:space="preserve">۹۵. قائن، فرهنگ و ارشاد اسلامی قائن، شماره نسخه: ۱۲</w:t>
      </w:r>
    </w:p>
    <w:p>
      <w:pPr>
        <w:pStyle w:val="BookText"/>
      </w:pPr>
      <w:r>
        <w:rPr>
          <w:rFonts w:ascii="IRNazanin" w:hAnsi="IRNazanin" w:eastAsia="IRNazanin" w:cs="IRNazanin"/>
          <w:lang w:bidi="fa-IR"/>
          <w:color w:val="111111"/>
          <w:sz w:val="28"/>
          <w:szCs w:val="28"/>
          <w:rtl/>
        </w:rPr>
        <w:t xml:space="preserve">آغاز: قيل انه لاسف له في ذلك كالشبه الوضع بان يكون الاسم؛ انجام: ای بغير مرة يحصل لبعضهم و ذلك لا يحصل الا بما فعل خط: نسخ، بی کا، تا: قرن ۱۳؛ افتادگی: آغاز و انجام؛ محشى؛ جلد: مقوایی، ۱۳۰ گ، ۱۵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[كتابخانه های قائن: ف: ۲۱۹]</w:t>
      </w:r>
    </w:p>
    <w:p>
      <w:pPr>
        <w:pStyle w:val="BookText"/>
      </w:pPr>
      <w:r>
        <w:rPr>
          <w:rFonts w:ascii="IRNazanin" w:hAnsi="IRNazanin" w:eastAsia="IRNazanin" w:cs="IRNazanin"/>
          <w:lang w:bidi="fa-IR"/>
          <w:color w:val="111111"/>
          <w:sz w:val="28"/>
          <w:szCs w:val="28"/>
          <w:rtl/>
        </w:rPr>
        <w:t xml:space="preserve">۹۶. تهران؛ ادبیات؛ شماره نسخه: ۲۱۲ - ج</w:t>
      </w:r>
    </w:p>
    <w:p>
      <w:pPr>
        <w:pStyle w:val="BookText"/>
      </w:pPr>
      <w:r>
        <w:rPr>
          <w:rFonts w:ascii="IRNazanin" w:hAnsi="IRNazanin" w:eastAsia="IRNazanin" w:cs="IRNazanin"/>
          <w:lang w:bidi="fa-IR"/>
          <w:color w:val="111111"/>
          <w:sz w:val="28"/>
          <w:szCs w:val="28"/>
          <w:rtl/>
        </w:rPr>
        <w:t xml:space="preserve">خط: نسخ، بی کا، تا: قرن ۱۳ افتادگی: انجام؛ محشی؛ کاغذ: فرنگی، جلد: تیماج ضربی مقوایی، ۱۶۷گ، ۱۳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۱-۴۸]</w:t>
      </w:r>
    </w:p>
    <w:p>
      <w:pPr>
        <w:pStyle w:val="BookText"/>
      </w:pPr>
      <w:r>
        <w:rPr>
          <w:rFonts w:ascii="IRNazanin" w:hAnsi="IRNazanin" w:eastAsia="IRNazanin" w:cs="IRNazanin"/>
          <w:lang w:bidi="fa-IR"/>
          <w:color w:val="111111"/>
          <w:sz w:val="28"/>
          <w:szCs w:val="28"/>
          <w:rtl/>
        </w:rPr>
        <w:t xml:space="preserve">۹۷. تهران: نوربخش، شماره نسخه: ۸۶۱</w:t>
      </w:r>
    </w:p>
    <w:p>
      <w:pPr>
        <w:pStyle w:val="BookText"/>
      </w:pPr>
      <w:r>
        <w:rPr>
          <w:rFonts w:ascii="IRNazanin" w:hAnsi="IRNazanin" w:eastAsia="IRNazanin" w:cs="IRNazanin"/>
          <w:lang w:bidi="fa-IR"/>
          <w:color w:val="111111"/>
          <w:sz w:val="28"/>
          <w:szCs w:val="28"/>
          <w:rtl/>
        </w:rPr>
        <w:t xml:space="preserve">خط: نسخ، بی کا، تا: قرن ۱۲-۱۳؛ محشی؛ کاغذ: فرنگی آبی البهجة المرضية ۱۹۷ رنگی ضخیم، جلد: تیماج مشکی، ۸۲گ، ۱۸ سطر، قطع: خشتی،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[نشریه: ۱۳-۲۲۸]</w:t>
      </w:r>
    </w:p>
    <w:p>
      <w:pPr>
        <w:pStyle w:val="BookText"/>
      </w:pPr>
      <w:r>
        <w:rPr>
          <w:rFonts w:ascii="IRNazanin" w:hAnsi="IRNazanin" w:eastAsia="IRNazanin" w:cs="IRNazanin"/>
          <w:lang w:bidi="fa-IR"/>
          <w:color w:val="111111"/>
          <w:sz w:val="28"/>
          <w:szCs w:val="28"/>
          <w:rtl/>
        </w:rPr>
        <w:t xml:space="preserve">۹۸. تهران؛ ملی؛ شماره نسخه: ۴۰۰۹</w:t>
      </w:r>
    </w:p>
    <w:p>
      <w:pPr>
        <w:pStyle w:val="BookText"/>
      </w:pPr>
      <w:r>
        <w:rPr>
          <w:rFonts w:ascii="Amiri" w:hAnsi="Amiri" w:eastAsia="Amiri" w:cs="Amiri"/>
          <w:lang w:bidi="ar-SA"/>
          <w:color w:val="111111"/>
          <w:sz w:val="28"/>
          <w:szCs w:val="28"/>
          <w:rtl/>
        </w:rPr>
        <w:t xml:space="preserve">آغاز: مضافه الى غير ياء المتكلم بالو او و الالف؛ انجام: هل حروف الشرط آن ولو و اما لها صدر الكلام</w:t>
      </w:r>
    </w:p>
    <w:p>
      <w:pPr>
        <w:pStyle w:val="BookText"/>
      </w:pPr>
      <w:r>
        <w:rPr>
          <w:rFonts w:ascii="IRNazanin" w:hAnsi="IRNazanin" w:eastAsia="IRNazanin" w:cs="IRNazanin"/>
          <w:lang w:bidi="fa-IR"/>
          <w:color w:val="111111"/>
          <w:sz w:val="28"/>
          <w:szCs w:val="28"/>
          <w:rtl/>
        </w:rPr>
        <w:t xml:space="preserve">خط: نسخ خوش، بی کا، تا: قرن ۱۳؛ افتادگی: آغاز و انجام؛ کاغذ: اصفهانی نخودی، جلد: مقوا، رویه ابری گلگون، ۱۰۳گ (7ر -۱۰۱پ)، ۵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سم [ف: ۱۷-۳۰۴]</w:t>
      </w:r>
    </w:p>
    <w:p>
      <w:pPr>
        <w:pStyle w:val="BookText"/>
      </w:pPr>
      <w:r>
        <w:rPr>
          <w:rFonts w:ascii="IRNazanin" w:hAnsi="IRNazanin" w:eastAsia="IRNazanin" w:cs="IRNazanin"/>
          <w:lang w:bidi="fa-IR"/>
          <w:color w:val="111111"/>
          <w:sz w:val="28"/>
          <w:szCs w:val="28"/>
          <w:rtl/>
        </w:rPr>
        <w:t xml:space="preserve">۹۹. تهران؛ ملی؛ شماره نسخه: ۳۴۸۴</w:t>
      </w:r>
    </w:p>
    <w:p>
      <w:pPr>
        <w:pStyle w:val="BookText"/>
      </w:pPr>
      <w:r>
        <w:rPr>
          <w:rFonts w:ascii="IRNazanin" w:hAnsi="IRNazanin" w:eastAsia="IRNazanin" w:cs="IRNazanin"/>
          <w:lang w:bidi="fa-IR"/>
          <w:color w:val="111111"/>
          <w:sz w:val="28"/>
          <w:szCs w:val="28"/>
          <w:rtl/>
        </w:rPr>
        <w:t xml:space="preserve">خط: نسخ، بی کا، تا: ۱۲۰۰ق؛ کاغذ: فرنگی شکری، جلد: تیماج مشکی، یک لا، ضربی، مجدول، ۱۰۹گ، ۱۶ سطر (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۱۵-۲۹۲]</w:t>
      </w:r>
    </w:p>
    <w:p>
      <w:pPr>
        <w:pStyle w:val="BookText"/>
      </w:pPr>
      <w:r>
        <w:rPr>
          <w:rFonts w:ascii="IRNazanin" w:hAnsi="IRNazanin" w:eastAsia="IRNazanin" w:cs="IRNazanin"/>
          <w:lang w:bidi="fa-IR"/>
          <w:color w:val="111111"/>
          <w:sz w:val="28"/>
          <w:szCs w:val="28"/>
          <w:rtl/>
        </w:rPr>
        <w:t xml:space="preserve">۱۰۰. قم؛ گلپایگانی؛ شماره نسخه: ۴۵۷۹- ۲۳/۹۹</w:t>
      </w:r>
    </w:p>
    <w:p>
      <w:pPr>
        <w:pStyle w:val="BookText"/>
      </w:pPr>
      <w:r>
        <w:rPr>
          <w:rFonts w:ascii="Amiri" w:hAnsi="Amiri" w:eastAsia="Amiri" w:cs="Amiri"/>
          <w:lang w:bidi="ar-SA"/>
          <w:color w:val="111111"/>
          <w:sz w:val="28"/>
          <w:szCs w:val="28"/>
          <w:rtl/>
        </w:rPr>
        <w:t xml:space="preserve">آغاز: برابر؛ انجام: والعلم احكينه من بعد من وحذفها -ان عريت من عاطف بها اقترن فقد لمن قال جاء زيد من زيد ولمن قال رأيت.</w:t>
      </w:r>
    </w:p>
    <w:p>
      <w:pPr>
        <w:pStyle w:val="BookText"/>
      </w:pPr>
      <w:r>
        <w:rPr>
          <w:rFonts w:ascii="IRNazanin" w:hAnsi="IRNazanin" w:eastAsia="IRNazanin" w:cs="IRNazanin"/>
          <w:lang w:bidi="fa-IR"/>
          <w:color w:val="111111"/>
          <w:sz w:val="28"/>
          <w:szCs w:val="28"/>
          <w:rtl/>
        </w:rPr>
        <w:t xml:space="preserve">خط: نسخ، بی کا، تا: قرن ۱۳؛ افتادگی: انجام؛ جلد: مقوای سبز و کرم عطف تیماج مشکی، ۱۰۳گ، ۱۵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۲-۶۴۱]</w:t>
      </w:r>
    </w:p>
    <w:p>
      <w:pPr>
        <w:pStyle w:val="BookText"/>
      </w:pPr>
      <w:r>
        <w:rPr>
          <w:rFonts w:ascii="IRNazanin" w:hAnsi="IRNazanin" w:eastAsia="IRNazanin" w:cs="IRNazanin"/>
          <w:lang w:bidi="fa-IR"/>
          <w:color w:val="111111"/>
          <w:sz w:val="28"/>
          <w:szCs w:val="28"/>
          <w:rtl/>
        </w:rPr>
        <w:t xml:space="preserve">۱۰۱. قم؛ گلپایگانی؛ شماره نسخه: ۷۷۵۴- ۳۹/۱۳۴</w:t>
      </w:r>
    </w:p>
    <w:p>
      <w:pPr>
        <w:pStyle w:val="BookText"/>
      </w:pPr>
      <w:r>
        <w:rPr>
          <w:rFonts w:ascii="IRNazanin" w:hAnsi="IRNazanin" w:eastAsia="IRNazanin" w:cs="IRNazanin"/>
          <w:lang w:bidi="fa-IR"/>
          <w:color w:val="111111"/>
          <w:sz w:val="28"/>
          <w:szCs w:val="28"/>
          <w:rtl/>
        </w:rPr>
        <w:t xml:space="preserve">آغاز: الساكنين و كانت فتحة للخفة ... و الرفع و النصب اجعلن اعرابا لاسم نحوان زید قائم و فعل مضارع نحو يقوم و لن اهابا؛ انجام: فان كان فيها لابنصرف فبان يكون قبلهما اكثر من حرفين فان كان قبلهما حرفان ثانيها</w:t>
      </w:r>
    </w:p>
    <w:p>
      <w:pPr>
        <w:pStyle w:val="BookText"/>
      </w:pPr>
      <w:r>
        <w:rPr>
          <w:rFonts w:ascii="IRNazanin" w:hAnsi="IRNazanin" w:eastAsia="IRNazanin" w:cs="IRNazanin"/>
          <w:lang w:bidi="fa-IR"/>
          <w:color w:val="111111"/>
          <w:sz w:val="28"/>
          <w:szCs w:val="28"/>
          <w:rtl/>
        </w:rPr>
        <w:t xml:space="preserve">خط: نسخ، بی کا، تا: قرن ۱۳؛ افتادگی: آغاز و انجام؛ محشی؛ جلد: مقوای سفید عطف گالینگور، ۹۶گ، ۱۴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۲-۶۴۳]</w:t>
      </w:r>
    </w:p>
    <w:p>
      <w:pPr>
        <w:pStyle w:val="BookText"/>
      </w:pPr>
      <w:r>
        <w:rPr>
          <w:rFonts w:ascii="IRNazanin" w:hAnsi="IRNazanin" w:eastAsia="IRNazanin" w:cs="IRNazanin"/>
          <w:lang w:bidi="fa-IR"/>
          <w:color w:val="111111"/>
          <w:sz w:val="28"/>
          <w:szCs w:val="28"/>
          <w:rtl/>
        </w:rPr>
        <w:t xml:space="preserve">۱۰۲. قم، گلپایگانی؛ شماره نسخه: ۲۱۰۶- ۱۱/۲۰۶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۱۳، جلد: تیماج قهوه ای، ۱۱۱گ، ۱۵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۲-۶۴۰]</w:t>
      </w:r>
    </w:p>
    <w:p>
      <w:pPr>
        <w:pStyle w:val="BookText"/>
      </w:pPr>
      <w:r>
        <w:rPr>
          <w:rFonts w:ascii="IRNazanin" w:hAnsi="IRNazanin" w:eastAsia="IRNazanin" w:cs="IRNazanin"/>
          <w:lang w:bidi="fa-IR"/>
          <w:color w:val="111111"/>
          <w:sz w:val="28"/>
          <w:szCs w:val="28"/>
          <w:rtl/>
        </w:rPr>
        <w:t xml:space="preserve">۱۰۳. قم؛ گلپایگانی؛ شماره نسخه: ۷۲۸۰/۱ - ۳۷/۷۰</w:t>
      </w:r>
    </w:p>
    <w:p>
      <w:pPr>
        <w:pStyle w:val="BookText"/>
      </w:pPr>
      <w:r>
        <w:rPr>
          <w:rFonts w:ascii="IRNazanin" w:hAnsi="IRNazanin" w:eastAsia="IRNazanin" w:cs="IRNazanin"/>
          <w:lang w:bidi="fa-IR"/>
          <w:color w:val="111111"/>
          <w:sz w:val="28"/>
          <w:szCs w:val="28"/>
          <w:rtl/>
        </w:rPr>
        <w:t xml:space="preserve">آغاز: برابر، انجام: او خبرة مسندة لذى خبر نحو زید ضارب عمرو كان فلیس محبا ... آن زید مکرم عمرو خط: نسخ، كا: محمد علی حسینی، تا: قرن ۱۳؛ محش؛ مهر: کاتب عبده محمد علی الحسینی ۱۲۶۰» (بیضوی)؛ جلد: تیماج مشکی مجدول، ۸۰گ، ۱۳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۲-۶۴۰]</w:t>
      </w:r>
    </w:p>
    <w:p>
      <w:pPr>
        <w:pStyle w:val="BookText"/>
      </w:pPr>
      <w:r>
        <w:rPr>
          <w:rFonts w:ascii="IRNazanin" w:hAnsi="IRNazanin" w:eastAsia="IRNazanin" w:cs="IRNazanin"/>
          <w:lang w:bidi="fa-IR"/>
          <w:color w:val="111111"/>
          <w:sz w:val="28"/>
          <w:szCs w:val="28"/>
          <w:rtl/>
        </w:rPr>
        <w:t xml:space="preserve">۱۰۴. قم؛ گلپایگانی؛ شماره نسخه: ۷۳۱۰/۱ - ۳۷/۱۰۰</w:t>
      </w:r>
    </w:p>
    <w:p>
      <w:pPr>
        <w:pStyle w:val="BookText"/>
      </w:pPr>
      <w:r>
        <w:rPr>
          <w:rFonts w:ascii="IRNazanin" w:hAnsi="IRNazanin" w:eastAsia="IRNazanin" w:cs="IRNazanin"/>
          <w:lang w:bidi="fa-IR"/>
          <w:color w:val="111111"/>
          <w:sz w:val="28"/>
          <w:szCs w:val="28"/>
          <w:rtl/>
        </w:rPr>
        <w:t xml:space="preserve">آغاز: برابر؛ انجام: از تشکر وزاد في التسهيل اسم فعل الأمر کنزال وابو حيان في الارتشاف اسم فعل</w:t>
      </w:r>
    </w:p>
    <w:p>
      <w:pPr>
        <w:pStyle w:val="BookText"/>
      </w:pPr>
      <w:r>
        <w:rPr>
          <w:rFonts w:ascii="IRNazanin" w:hAnsi="IRNazanin" w:eastAsia="IRNazanin" w:cs="IRNazanin"/>
          <w:lang w:bidi="fa-IR"/>
          <w:color w:val="111111"/>
          <w:sz w:val="28"/>
          <w:szCs w:val="28"/>
          <w:rtl/>
        </w:rPr>
        <w:t xml:space="preserve">خط: نستعلیق، بی کا، تا: قرن ۱۳؛ افتادگی: انجام؛ جلد: تیماج قهوه ای مجدول با ترنج و سرترنج، ۱۵گ، ۱۴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۲-۶۴۱]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۱۰۵. قم؛ گلپایگانی شماره نسخه: ۴۱۸۰- ۲۱/۱۰۰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۱۳؛ جلد: تیماج مشکی عطف گالینگور قهوه ای، ۱۸۴گ، ۱۱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۲-۶۳۷]</w:t>
      </w:r>
    </w:p>
    <w:p>
      <w:pPr>
        <w:pStyle w:val="BookText"/>
      </w:pPr>
      <w:r>
        <w:rPr>
          <w:rFonts w:ascii="IRNazanin" w:hAnsi="IRNazanin" w:eastAsia="IRNazanin" w:cs="IRNazanin"/>
          <w:lang w:bidi="fa-IR"/>
          <w:color w:val="111111"/>
          <w:sz w:val="28"/>
          <w:szCs w:val="28"/>
          <w:rtl/>
        </w:rPr>
        <w:t xml:space="preserve">۱۰۶. قم، گلپایگانی شماره نسخه: ۶۷۰۶- ۳۴/۷۶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۱۳؛ محشی؛ جلد: تیماج مشکی، ۱۰۴ ، ۱۵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۲-۶۳۸]</w:t>
      </w:r>
    </w:p>
    <w:p>
      <w:pPr>
        <w:pStyle w:val="BookText"/>
      </w:pPr>
      <w:r>
        <w:rPr>
          <w:rFonts w:ascii="IRNazanin" w:hAnsi="IRNazanin" w:eastAsia="IRNazanin" w:cs="IRNazanin"/>
          <w:lang w:bidi="fa-IR"/>
          <w:color w:val="111111"/>
          <w:sz w:val="28"/>
          <w:szCs w:val="28"/>
          <w:rtl/>
        </w:rPr>
        <w:t xml:space="preserve">۱۰۷. دامغان؛ صادقیه؛ شماره نسخه: ۱۶۸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۱۳؛ جلد: تیماج مشکی ضربی بدون مقوا، ۱۶۵گ، ۱۹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سم [ف مخ: ۲۴]</w:t>
      </w:r>
    </w:p>
    <w:p>
      <w:pPr>
        <w:pStyle w:val="BookText"/>
      </w:pPr>
      <w:r>
        <w:rPr>
          <w:rFonts w:ascii="IRNazanin" w:hAnsi="IRNazanin" w:eastAsia="IRNazanin" w:cs="IRNazanin"/>
          <w:lang w:bidi="fa-IR"/>
          <w:color w:val="111111"/>
          <w:sz w:val="28"/>
          <w:szCs w:val="28"/>
          <w:rtl/>
        </w:rPr>
        <w:t xml:space="preserve">۱۰۸. دامغان؛ صادقیه؛ شماره نسخه: ۲۱۸</w:t>
      </w:r>
    </w:p>
    <w:p>
      <w:pPr>
        <w:pStyle w:val="BookText"/>
      </w:pPr>
      <w:r>
        <w:rPr>
          <w:rFonts w:ascii="IRNazanin" w:hAnsi="IRNazanin" w:eastAsia="IRNazanin" w:cs="IRNazanin"/>
          <w:lang w:bidi="fa-IR"/>
          <w:color w:val="111111"/>
          <w:sz w:val="28"/>
          <w:szCs w:val="28"/>
          <w:rtl/>
        </w:rPr>
        <w:t xml:space="preserve">آغاز: وهو مبنى لشبهه بالحرف في الوضع على حرف واحد ونا ایضا إسم لانه يسند اليه؛ انجام: أن لاتلحقه تاء التأنيث لا ماتلحقه من الصفات كارمل و هو الفقير ...</w:t>
      </w:r>
    </w:p>
    <w:p>
      <w:pPr>
        <w:pStyle w:val="BookText"/>
      </w:pPr>
      <w:r>
        <w:rPr>
          <w:rFonts w:ascii="IRNazanin" w:hAnsi="IRNazanin" w:eastAsia="IRNazanin" w:cs="IRNazanin"/>
          <w:lang w:bidi="fa-IR"/>
          <w:color w:val="111111"/>
          <w:sz w:val="28"/>
          <w:szCs w:val="28"/>
          <w:rtl/>
        </w:rPr>
        <w:t xml:space="preserve">خط: نسخ، بی کا، تا: قرن ۱۳؛ افتادگی: آغاز و انجام؛ مصحح، محشي بعضا از محمد على وفقه الله ؛ از موقوفات «شیخ محمدرضا خدایی»؛ جلد: تیماج مشکی عطف قهوه ای ترمیم شده، ۱۴۸ گ، مختلف السطر،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۲۰سم [ف مخ: ۲۴]</w:t>
      </w:r>
    </w:p>
    <w:p>
      <w:pPr>
        <w:pStyle w:val="BookText"/>
      </w:pPr>
      <w:r>
        <w:rPr>
          <w:rFonts w:ascii="IRNazanin" w:hAnsi="IRNazanin" w:eastAsia="IRNazanin" w:cs="IRNazanin"/>
          <w:lang w:bidi="fa-IR"/>
          <w:color w:val="111111"/>
          <w:sz w:val="28"/>
          <w:szCs w:val="28"/>
          <w:rtl/>
        </w:rPr>
        <w:t xml:space="preserve">۱۰۹. سمنان؛ مدرسه صادقیه؛ شماره نسخه: ۸</w:t>
      </w:r>
    </w:p>
    <w:p>
      <w:pPr>
        <w:pStyle w:val="BookText"/>
      </w:pPr>
      <w:r>
        <w:rPr>
          <w:rFonts w:ascii="Amiri" w:hAnsi="Amiri" w:eastAsia="Amiri" w:cs="Amiri"/>
          <w:lang w:bidi="ar-SA"/>
          <w:color w:val="111111"/>
          <w:sz w:val="28"/>
          <w:szCs w:val="28"/>
          <w:rtl/>
        </w:rPr>
        <w:t xml:space="preserve">آغاز: برابر؛ انجام: هذا ما ظهر لي في شرح هذا البيت ولم ار من يتعرض لذلك فاحمد الله و اشكره.</w:t>
      </w:r>
    </w:p>
    <w:p>
      <w:pPr>
        <w:pStyle w:val="BookText"/>
      </w:pPr>
      <w:r>
        <w:rPr>
          <w:rFonts w:ascii="IRNazanin" w:hAnsi="IRNazanin" w:eastAsia="IRNazanin" w:cs="IRNazanin"/>
          <w:lang w:bidi="fa-IR"/>
          <w:color w:val="111111"/>
          <w:sz w:val="28"/>
          <w:szCs w:val="28"/>
          <w:rtl/>
        </w:rPr>
        <w:t xml:space="preserve">خط: نسخ، بی کا، تا: قرن ۱۳؛ افتادگی: انجام؛ جلد: تیماج قهوه ای، ۱۰۷گی، ۱۶سطر، قطع: خشتی، اندازه: ۱۷/۵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سم [ف مخ]</w:t>
      </w:r>
    </w:p>
    <w:p>
      <w:pPr>
        <w:pStyle w:val="BookText"/>
      </w:pPr>
      <w:r>
        <w:rPr>
          <w:rFonts w:ascii="IRNazanin" w:hAnsi="IRNazanin" w:eastAsia="IRNazanin" w:cs="IRNazanin"/>
          <w:lang w:bidi="fa-IR"/>
          <w:color w:val="111111"/>
          <w:sz w:val="28"/>
          <w:szCs w:val="28"/>
          <w:rtl/>
        </w:rPr>
        <w:t xml:space="preserve">۱۱۰. دامغان؛ صادقیه؛ شماره نسخه: ۱۵۴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۱۳؛ واقف: ملا اسحاق رباطی، ۱۲۸۸؛ جلد: تیماج مشکی ضربی، ۷۸گ، مختلف السطر،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مخ: ۲۳]</w:t>
      </w:r>
    </w:p>
    <w:p>
      <w:pPr>
        <w:pStyle w:val="BookText"/>
      </w:pPr>
      <w:r>
        <w:rPr>
          <w:rFonts w:ascii="IRNazanin" w:hAnsi="IRNazanin" w:eastAsia="IRNazanin" w:cs="IRNazanin"/>
          <w:lang w:bidi="fa-IR"/>
          <w:color w:val="111111"/>
          <w:sz w:val="28"/>
          <w:szCs w:val="28"/>
          <w:rtl/>
        </w:rPr>
        <w:t xml:space="preserve">۱۱۱. قم؛ گلپایگانی؛ شماره نسخه: ۴۲۰۶/۱ - ۲۱/۱۲۶</w:t>
      </w:r>
    </w:p>
    <w:p>
      <w:pPr>
        <w:pStyle w:val="BookText"/>
      </w:pPr>
      <w:r>
        <w:rPr>
          <w:rFonts w:ascii="IRNazanin" w:hAnsi="IRNazanin" w:eastAsia="IRNazanin" w:cs="IRNazanin"/>
          <w:lang w:bidi="fa-IR"/>
          <w:color w:val="111111"/>
          <w:sz w:val="28"/>
          <w:szCs w:val="28"/>
          <w:rtl/>
        </w:rPr>
        <w:t xml:space="preserve">آغاز: برابر ؛ انجام: كذلك الهاء من خليته ونحوه في اتضال ... اتضالا اختار تبعا لجماعة منهم الريانی اذا خط: نسخ، بی کا، تا: قرن ۱۳؛ افتادگی: انجام؛ جلد: تیماج قهوه ای، ۱۴گ، ۲۱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۲-۶۴۰]</w:t>
      </w:r>
    </w:p>
    <w:p>
      <w:pPr>
        <w:pStyle w:val="BookText"/>
      </w:pPr>
      <w:r>
        <w:rPr>
          <w:rFonts w:ascii="IRNazanin" w:hAnsi="IRNazanin" w:eastAsia="IRNazanin" w:cs="IRNazanin"/>
          <w:lang w:bidi="fa-IR"/>
          <w:color w:val="111111"/>
          <w:sz w:val="28"/>
          <w:szCs w:val="28"/>
          <w:rtl/>
        </w:rPr>
        <w:t xml:space="preserve">۱۱۲. قم، گلپایگانی؛ شماره نسخه: ۶۰۱۷- ۳۰/۸۷</w:t>
      </w:r>
    </w:p>
    <w:p>
      <w:pPr>
        <w:pStyle w:val="BookText"/>
      </w:pPr>
      <w:r>
        <w:rPr>
          <w:rFonts w:ascii="IRNazanin" w:hAnsi="IRNazanin" w:eastAsia="IRNazanin" w:cs="IRNazanin"/>
          <w:lang w:bidi="fa-IR"/>
          <w:color w:val="111111"/>
          <w:sz w:val="28"/>
          <w:szCs w:val="28"/>
          <w:rtl/>
        </w:rPr>
        <w:t xml:space="preserve">آغاز: برابر؛ انجام: هذا باب جمع التكسير و هو كما يؤخذ من الطافيه ما ظهر ... مع فاعل بكسرة نحو کاهل و کواهل و فاعل صفة المؤنث نحو حایض و حوایض و صفة مالايعقل نحو.</w:t>
      </w:r>
    </w:p>
    <w:p>
      <w:pPr>
        <w:pStyle w:val="BookText"/>
      </w:pPr>
      <w:r>
        <w:rPr>
          <w:rFonts w:ascii="IRNazanin" w:hAnsi="IRNazanin" w:eastAsia="IRNazanin" w:cs="IRNazanin"/>
          <w:lang w:bidi="fa-IR"/>
          <w:color w:val="111111"/>
          <w:sz w:val="28"/>
          <w:szCs w:val="28"/>
          <w:rtl/>
        </w:rPr>
        <w:t xml:space="preserve">از اول تا باب جمع تكسير؛ خط: نستعلیق، بی کا، تا: قرن ۱۳؛ افتادگی: انجام؛ محشی به امضاء «كاتب» و «محمد باقر» به تاریخ ۱۳۱۷؛ ۱۰۹گ، ۱۷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۲-۶۴۱]</w:t>
      </w:r>
    </w:p>
    <w:p>
      <w:pPr>
        <w:pStyle w:val="BookText"/>
      </w:pPr>
      <w:r>
        <w:rPr>
          <w:rFonts w:ascii="IRNazanin" w:hAnsi="IRNazanin" w:eastAsia="IRNazanin" w:cs="IRNazanin"/>
          <w:lang w:bidi="fa-IR"/>
          <w:color w:val="111111"/>
          <w:sz w:val="28"/>
          <w:szCs w:val="28"/>
          <w:rtl/>
        </w:rPr>
        <w:t xml:space="preserve">۱۱۳. قم؛ گلپایگانی؛ شماره نسخه: ۶۰۰۹/۱ - ۳۰/۷۹</w:t>
      </w:r>
    </w:p>
    <w:p>
      <w:pPr>
        <w:pStyle w:val="BookText"/>
      </w:pPr>
      <w:r>
        <w:rPr>
          <w:rFonts w:ascii="IRNazanin" w:hAnsi="IRNazanin" w:eastAsia="IRNazanin" w:cs="IRNazanin"/>
          <w:lang w:bidi="fa-IR"/>
          <w:color w:val="111111"/>
          <w:sz w:val="28"/>
          <w:szCs w:val="28"/>
          <w:rtl/>
        </w:rPr>
        <w:t xml:space="preserve">آغاز: سیبویه لانه طالب له و قیل بالابتداء لانه اقتضاهما فعمل فيهما ... و الخبر هو الجزء المتم الفائدة مع مبتداء غير الوصف كالله؛ انجام: و الالف المبدلة محذوفة لالتقاء الساكنين بخلاف الساكن الالف كغلبان و نزوان واليا المشدده كغنوی و علوی و صح عین و مصدر على فعل بفتح العين.</w:t>
      </w:r>
    </w:p>
    <w:p>
      <w:pPr>
        <w:pStyle w:val="BookText"/>
      </w:pPr>
      <w:r>
        <w:rPr>
          <w:rFonts w:ascii="IRNazanin" w:hAnsi="IRNazanin" w:eastAsia="IRNazanin" w:cs="IRNazanin"/>
          <w:lang w:bidi="fa-IR"/>
          <w:color w:val="111111"/>
          <w:sz w:val="28"/>
          <w:szCs w:val="28"/>
          <w:rtl/>
        </w:rPr>
        <w:t xml:space="preserve">از بحث «مبتدا و خبر» تا «اعلال»؛ خط: نسخ، بی کا، تا: قرن ۱۳؛ افتادگی: آغاز و انجام؛ قسمت های مشکل در بین سطور ترجمه و شرح شده؛ جلد: مقوا، عطف گالینگور قهوه ای، ۹۰گ، ۱۷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۲-۶۴۳]</w:t>
      </w:r>
    </w:p>
    <w:p>
      <w:pPr>
        <w:pStyle w:val="BookText"/>
      </w:pPr>
      <w:r>
        <w:rPr>
          <w:rFonts w:ascii="IRNazanin" w:hAnsi="IRNazanin" w:eastAsia="IRNazanin" w:cs="IRNazanin"/>
          <w:lang w:bidi="fa-IR"/>
          <w:color w:val="111111"/>
          <w:sz w:val="28"/>
          <w:szCs w:val="28"/>
          <w:rtl/>
        </w:rPr>
        <w:t xml:space="preserve">۱۱۴. قم؛ گلپایگانی؛ شماره نسخه: ۲۱۴۶- ۱۲/۳۶</w:t>
      </w:r>
    </w:p>
    <w:p>
      <w:pPr>
        <w:pStyle w:val="BookText"/>
      </w:pPr>
      <w:r>
        <w:rPr>
          <w:rFonts w:ascii="IRNazanin" w:hAnsi="IRNazanin" w:eastAsia="IRNazanin" w:cs="IRNazanin"/>
          <w:lang w:bidi="fa-IR"/>
          <w:color w:val="111111"/>
          <w:sz w:val="28"/>
          <w:szCs w:val="28"/>
          <w:rtl/>
        </w:rPr>
        <w:t xml:space="preserve">آغاز: بالجميل تعظيما له واداء لبعض ما يحسب له والمراد ایجاده الالاخبار انه سيوجد مصليا بعد الحمد ای داعيا بالصلوة أي الرحمة على النبي هو انسان؛ انجام: و شذ فيما استوفي شروط الادغام مثل ... و اذا كان المثلان یاء ین لازما تحریک ثانيهما نحو حيى فاياه افکک و ادغم ای يجوز ذلك خط: نسخ، بی کا، تا: قرن ۱۳؛ افتادگی: آغاز و انجام؛ جلد: تیماج قهوه ای، ۱۸۵، ۱۴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۲-۶۴۳]</w:t>
      </w:r>
    </w:p>
    <w:p>
      <w:pPr>
        <w:pStyle w:val="BookText"/>
      </w:pPr>
      <w:r>
        <w:rPr>
          <w:rFonts w:ascii="IRNazanin" w:hAnsi="IRNazanin" w:eastAsia="IRNazanin" w:cs="IRNazanin"/>
          <w:lang w:bidi="fa-IR"/>
          <w:color w:val="111111"/>
          <w:sz w:val="28"/>
          <w:szCs w:val="28"/>
          <w:rtl/>
        </w:rPr>
        <w:t xml:space="preserve">۱۱۵. قم؛ گلپایگانی، شماره نسخه: ۷۸۹۶- ۵۳/۱۰۶</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تا: قرن ۱۳، ۱۳۳گ، ۱۴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۲-۶۳۹]</w:t>
      </w:r>
    </w:p>
    <w:p>
      <w:pPr>
        <w:pStyle w:val="BookText"/>
      </w:pPr>
      <w:r>
        <w:rPr>
          <w:rFonts w:ascii="IRNazanin" w:hAnsi="IRNazanin" w:eastAsia="IRNazanin" w:cs="IRNazanin"/>
          <w:lang w:bidi="fa-IR"/>
          <w:color w:val="111111"/>
          <w:sz w:val="28"/>
          <w:szCs w:val="28"/>
          <w:rtl/>
        </w:rPr>
        <w:t xml:space="preserve">۱۱۶. رشت؛ جمعیت نشر فرهنگ؛ شماره نسخه: ۴۰ب</w:t>
      </w:r>
    </w:p>
    <w:p>
      <w:pPr>
        <w:pStyle w:val="BookText"/>
      </w:pPr>
      <w:r>
        <w:rPr>
          <w:rFonts w:ascii="IRNazanin" w:hAnsi="IRNazanin" w:eastAsia="IRNazanin" w:cs="IRNazanin"/>
          <w:lang w:bidi="fa-IR"/>
          <w:color w:val="111111"/>
          <w:sz w:val="28"/>
          <w:szCs w:val="28"/>
          <w:rtl/>
        </w:rPr>
        <w:t xml:space="preserve">خط: شکسته نستعلیق، بی کا، تا: قرن ۱۳؛ افتادگی: آغاز؛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رشت و همدان: ف: ۱۰۹۵]</w:t>
      </w:r>
    </w:p>
    <w:p>
      <w:pPr>
        <w:pStyle w:val="BookText"/>
      </w:pPr>
      <w:r>
        <w:rPr>
          <w:rFonts w:ascii="IRNazanin" w:hAnsi="IRNazanin" w:eastAsia="IRNazanin" w:cs="IRNazanin"/>
          <w:lang w:bidi="fa-IR"/>
          <w:color w:val="111111"/>
          <w:sz w:val="28"/>
          <w:szCs w:val="28"/>
          <w:rtl/>
        </w:rPr>
        <w:t xml:space="preserve">۱۱۷. تهران، عبدالعظیم؛ شماره نسخه: ۲۰۹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مرتضی قلی بن محمد زنوزی، تا: قرن ۱۳؛ محشی؛ جلد: گالینگور مشکی مجدول با ترنج و لچکی ضربی، ۹۱گ، ۱۷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۲۹/۵سم [ف: ۱-۷۹]</w:t>
      </w:r>
    </w:p>
    <w:p>
      <w:pPr>
        <w:pStyle w:val="BookText"/>
      </w:pPr>
      <w:r>
        <w:rPr>
          <w:rFonts w:ascii="IRNazanin" w:hAnsi="IRNazanin" w:eastAsia="IRNazanin" w:cs="IRNazanin"/>
          <w:lang w:bidi="fa-IR"/>
          <w:color w:val="111111"/>
          <w:sz w:val="28"/>
          <w:szCs w:val="28"/>
          <w:rtl/>
        </w:rPr>
        <w:t xml:space="preserve">۱۱۸. تهران؛ عبدالعظیم؛ شماره نسخه: ۴۱۷</w:t>
      </w:r>
    </w:p>
    <w:p>
      <w:pPr>
        <w:pStyle w:val="BookText"/>
      </w:pPr>
      <w:r>
        <w:rPr>
          <w:rFonts w:ascii="Amiri" w:hAnsi="Amiri" w:eastAsia="Amiri" w:cs="Amiri"/>
          <w:lang w:bidi="ar-SA"/>
          <w:color w:val="111111"/>
          <w:sz w:val="28"/>
          <w:szCs w:val="28"/>
          <w:rtl/>
        </w:rPr>
        <w:t xml:space="preserve">آغاز: برابر؛ انجام: فحذفت اللام قلنا و ابنم هو ابن فزيدت.</w:t>
      </w:r>
    </w:p>
    <w:p>
      <w:pPr>
        <w:pStyle w:val="BookText"/>
      </w:pPr>
      <w:r>
        <w:rPr>
          <w:rFonts w:ascii="IRNazanin" w:hAnsi="IRNazanin" w:eastAsia="IRNazanin" w:cs="IRNazanin"/>
          <w:lang w:bidi="fa-IR"/>
          <w:color w:val="111111"/>
          <w:sz w:val="28"/>
          <w:szCs w:val="28"/>
          <w:rtl/>
        </w:rPr>
        <w:t xml:space="preserve">خط: نستعلیق، بی کا، تا: قرن ۱۳؛ افتادگی: انجام؛ مصحح، محشی؛ واقف: شیخ هادی اسکویی حائری، جلد: تیماج مشکی، ۱۲۸ گ، ۱۶ سطر، اندازه: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۱-۷۹]</w:t>
      </w:r>
    </w:p>
    <w:p>
      <w:pPr>
        <w:pStyle w:val="BookText"/>
      </w:pPr>
      <w:r>
        <w:rPr>
          <w:rFonts w:ascii="IRNazanin" w:hAnsi="IRNazanin" w:eastAsia="IRNazanin" w:cs="IRNazanin"/>
          <w:lang w:bidi="fa-IR"/>
          <w:color w:val="111111"/>
          <w:sz w:val="28"/>
          <w:szCs w:val="28"/>
          <w:rtl/>
        </w:rPr>
        <w:t xml:space="preserve">۱۱۹. یزد؛ وزیری؛ شماره نسخه: ۱۰۷۷</w:t>
      </w:r>
    </w:p>
    <w:p>
      <w:pPr>
        <w:pStyle w:val="BookText"/>
      </w:pPr>
      <w:r>
        <w:rPr>
          <w:rFonts w:ascii="IRNazanin" w:hAnsi="IRNazanin" w:eastAsia="IRNazanin" w:cs="IRNazanin"/>
          <w:lang w:bidi="fa-IR"/>
          <w:color w:val="111111"/>
          <w:sz w:val="28"/>
          <w:szCs w:val="28"/>
          <w:rtl/>
        </w:rPr>
        <w:t xml:space="preserve">نسخه کامل؛ خط: نسخ، كا: على بن عبدالعظیم، تا: قرن ۱۳؛ محشى؛ مهر تملک: «یا ابا عبدالله»، «عبده میرزا عبدالله»، «غلام على ابراهيم»، «محمد و علی ادرکنی»؛ اهدایی: على رضا وثوق؛ کاغذ: اصفهانی، جلد: مقوایی با تیماج مشکی، ۱۵۱گ، ۱۱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۳-۸۴۶]</w:t>
      </w:r>
    </w:p>
    <w:p>
      <w:pPr>
        <w:pStyle w:val="BookText"/>
      </w:pPr>
      <w:r>
        <w:rPr>
          <w:rFonts w:ascii="IRNazanin" w:hAnsi="IRNazanin" w:eastAsia="IRNazanin" w:cs="IRNazanin"/>
          <w:lang w:bidi="fa-IR"/>
          <w:color w:val="111111"/>
          <w:sz w:val="28"/>
          <w:szCs w:val="28"/>
          <w:rtl/>
        </w:rPr>
        <w:t xml:space="preserve">۱۲۰. یزد؛ وزیری؛ شماره نسخه: ۱۲۰۹</w:t>
      </w:r>
    </w:p>
    <w:p>
      <w:pPr>
        <w:pStyle w:val="BookText"/>
      </w:pPr>
      <w:r>
        <w:rPr>
          <w:rFonts w:ascii="IRNazanin" w:hAnsi="IRNazanin" w:eastAsia="IRNazanin" w:cs="IRNazanin"/>
          <w:lang w:bidi="fa-IR"/>
          <w:color w:val="111111"/>
          <w:sz w:val="28"/>
          <w:szCs w:val="28"/>
          <w:rtl/>
        </w:rPr>
        <w:t xml:space="preserve">خط: نسخ، بی کا، تا: قرن ۱۳؛ اهدایی: اخوان مصلایی؛ کاغذ: اصفهانی، جلد: تیماج مشکی یک لا، ۱۰۵گ، ۱۸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[ف: ۳-۸۹۶]</w:t>
      </w:r>
    </w:p>
    <w:p>
      <w:pPr>
        <w:pStyle w:val="BookText"/>
      </w:pPr>
      <w:r>
        <w:rPr>
          <w:rFonts w:ascii="IRNazanin" w:hAnsi="IRNazanin" w:eastAsia="IRNazanin" w:cs="IRNazanin"/>
          <w:lang w:bidi="fa-IR"/>
          <w:color w:val="111111"/>
          <w:sz w:val="28"/>
          <w:szCs w:val="28"/>
          <w:rtl/>
        </w:rPr>
        <w:t xml:space="preserve">۱۲۱. تهران: ملک؛ شماره نسخه: ۲۷۲۹/۱</w:t>
      </w:r>
    </w:p>
    <w:p>
      <w:pPr>
        <w:pStyle w:val="BookText"/>
      </w:pPr>
      <w:r>
        <w:rPr>
          <w:rFonts w:ascii="IRNazanin" w:hAnsi="IRNazanin" w:eastAsia="IRNazanin" w:cs="IRNazanin"/>
          <w:lang w:bidi="fa-IR"/>
          <w:color w:val="111111"/>
          <w:sz w:val="28"/>
          <w:szCs w:val="28"/>
          <w:rtl/>
        </w:rPr>
        <w:t xml:space="preserve">خط: نسخ، بی کا، تا: قرن ۱۳؛ کاغذ: پسته ای، جلد: میشن قهوه ای سیر، ۱۹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۶-۱۰۴]</w:t>
      </w:r>
    </w:p>
    <w:p>
      <w:pPr>
        <w:pStyle w:val="BookText"/>
      </w:pPr>
      <w:r>
        <w:rPr>
          <w:rFonts w:ascii="IRNazanin" w:hAnsi="IRNazanin" w:eastAsia="IRNazanin" w:cs="IRNazanin"/>
          <w:lang w:bidi="fa-IR"/>
          <w:color w:val="111111"/>
          <w:sz w:val="28"/>
          <w:szCs w:val="28"/>
          <w:rtl/>
        </w:rPr>
        <w:t xml:space="preserve">۱۲۲. کاشان؛ فرهنگ و ارشاد؛ شماره نسخه: ۹۶</w:t>
      </w:r>
    </w:p>
    <w:p>
      <w:pPr>
        <w:pStyle w:val="BookText"/>
      </w:pPr>
      <w:r>
        <w:rPr>
          <w:rFonts w:ascii="IRNazanin" w:hAnsi="IRNazanin" w:eastAsia="IRNazanin" w:cs="IRNazanin"/>
          <w:lang w:bidi="fa-IR"/>
          <w:color w:val="111111"/>
          <w:sz w:val="28"/>
          <w:szCs w:val="28"/>
          <w:rtl/>
        </w:rPr>
        <w:t xml:space="preserve">خط: نسخ، بی کا، تا: قرن ۱۳؛ دارای متفرقات به تاریخ ۱۲۰۲؛ جلد: تیماج مشکی بدون مقوا، ۸۷گ، مختلف السطر،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91]</w:t>
      </w:r>
    </w:p>
    <w:p>
      <w:pPr>
        <w:pStyle w:val="BookText"/>
      </w:pPr>
      <w:r>
        <w:rPr>
          <w:rFonts w:ascii="IRNazanin" w:hAnsi="IRNazanin" w:eastAsia="IRNazanin" w:cs="IRNazanin"/>
          <w:lang w:bidi="fa-IR"/>
          <w:color w:val="111111"/>
          <w:sz w:val="28"/>
          <w:szCs w:val="28"/>
          <w:rtl/>
        </w:rPr>
        <w:t xml:space="preserve">۱۲۳. یزد؛ وزیری؛ شماره نسخه: ۱۸۷۴</w:t>
      </w:r>
    </w:p>
    <w:p>
      <w:pPr>
        <w:pStyle w:val="BookText"/>
      </w:pPr>
      <w:r>
        <w:rPr>
          <w:rFonts w:ascii="IRNazanin" w:hAnsi="IRNazanin" w:eastAsia="IRNazanin" w:cs="IRNazanin"/>
          <w:lang w:bidi="fa-IR"/>
          <w:color w:val="111111"/>
          <w:sz w:val="28"/>
          <w:szCs w:val="28"/>
          <w:rtl/>
        </w:rPr>
        <w:t xml:space="preserve">آغاز: عدتها الف بيت اوالفان بناء على انه كل سطر بیت؛ انجام: و افتح وضم و اکسر من فعل ثلاثي مع فتح اوله نحو ضرب</w:t>
      </w:r>
    </w:p>
    <w:p>
      <w:pPr>
        <w:pStyle w:val="BookText"/>
      </w:pPr>
      <w:r>
        <w:rPr>
          <w:rFonts w:ascii="IRNazanin" w:hAnsi="IRNazanin" w:eastAsia="IRNazanin" w:cs="IRNazanin"/>
          <w:lang w:bidi="fa-IR"/>
          <w:color w:val="111111"/>
          <w:sz w:val="28"/>
          <w:szCs w:val="28"/>
          <w:rtl/>
        </w:rPr>
        <w:t xml:space="preserve">خط: نسخ، بی کا، تا قرن ۱۳؛ افتادگی: آغاز و انجام ؛ اهدایی: حاج غلام حسین صالح زاده؛ کاغذ: کبود آهار مهره، جلد: تیماج تریاکی، ۱۴۷گ، ۲۱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۳-۱۰۸۱]</w:t>
      </w:r>
    </w:p>
    <w:p>
      <w:pPr>
        <w:pStyle w:val="BookText"/>
      </w:pPr>
      <w:r>
        <w:rPr>
          <w:rFonts w:ascii="IRNazanin" w:hAnsi="IRNazanin" w:eastAsia="IRNazanin" w:cs="IRNazanin"/>
          <w:lang w:bidi="fa-IR"/>
          <w:color w:val="111111"/>
          <w:sz w:val="28"/>
          <w:szCs w:val="28"/>
          <w:rtl/>
        </w:rPr>
        <w:t xml:space="preserve">۱۲۴. تهران؛ ملک؛ شماره نسخه: ۲۹۲۹/۳</w:t>
      </w:r>
    </w:p>
    <w:p>
      <w:pPr>
        <w:pStyle w:val="BookText"/>
      </w:pPr>
      <w:r>
        <w:rPr>
          <w:rFonts w:ascii="IRNazanin" w:hAnsi="IRNazanin" w:eastAsia="IRNazanin" w:cs="IRNazanin"/>
          <w:lang w:bidi="fa-IR"/>
          <w:color w:val="111111"/>
          <w:sz w:val="28"/>
          <w:szCs w:val="28"/>
          <w:rtl/>
        </w:rPr>
        <w:t xml:space="preserve">تا نزدیک به پایان کنایات؛ خط: شکسته نستعلیق و نسخ، بی کا، تا: قرن ۱۳؛ کاغذ: پسته ای، جلد: مشکی لایی، ۹۶گ (۳۳پ۔ ۱۲۸پ)، ۱۶ سطر، اندازه: ۲۲/۶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۶-۱۶۶]</w:t>
      </w:r>
    </w:p>
    <w:p>
      <w:pPr>
        <w:pStyle w:val="BookText"/>
      </w:pPr>
      <w:r>
        <w:rPr>
          <w:rFonts w:ascii="IRNazanin" w:hAnsi="IRNazanin" w:eastAsia="IRNazanin" w:cs="IRNazanin"/>
          <w:lang w:bidi="fa-IR"/>
          <w:color w:val="111111"/>
          <w:sz w:val="28"/>
          <w:szCs w:val="28"/>
          <w:rtl/>
        </w:rPr>
        <w:t xml:space="preserve">۱۲۵. قم؛ حجتیه؛ شماره نسخه: ۴۱۵/۲</w:t>
      </w:r>
    </w:p>
    <w:p>
      <w:pPr>
        <w:pStyle w:val="BookText"/>
      </w:pPr>
      <w:r>
        <w:rPr>
          <w:rFonts w:ascii="IRNazanin" w:hAnsi="IRNazanin" w:eastAsia="IRNazanin" w:cs="IRNazanin"/>
          <w:lang w:bidi="fa-IR"/>
          <w:color w:val="111111"/>
          <w:sz w:val="28"/>
          <w:szCs w:val="28"/>
          <w:rtl/>
        </w:rPr>
        <w:t xml:space="preserve">بی کا، تا: قرن ۱۳ [ف: ۱۰۶]</w:t>
      </w:r>
    </w:p>
    <w:p>
      <w:pPr>
        <w:pStyle w:val="BookText"/>
      </w:pPr>
      <w:r>
        <w:rPr>
          <w:rFonts w:ascii="IRNazanin" w:hAnsi="IRNazanin" w:eastAsia="IRNazanin" w:cs="IRNazanin"/>
          <w:lang w:bidi="fa-IR"/>
          <w:color w:val="111111"/>
          <w:sz w:val="28"/>
          <w:szCs w:val="28"/>
          <w:rtl/>
        </w:rPr>
        <w:t xml:space="preserve">۱۲۶. اردکان یزد؛ امام صادق؛ شماره نسخه: ۲۹۷</w:t>
      </w:r>
    </w:p>
    <w:p>
      <w:pPr>
        <w:pStyle w:val="BookText"/>
      </w:pPr>
      <w:r>
        <w:rPr>
          <w:rFonts w:ascii="IRNazanin" w:hAnsi="IRNazanin" w:eastAsia="IRNazanin" w:cs="IRNazanin"/>
          <w:lang w:bidi="fa-IR"/>
          <w:color w:val="111111"/>
          <w:sz w:val="28"/>
          <w:szCs w:val="28"/>
          <w:rtl/>
        </w:rPr>
        <w:t xml:space="preserve">خط: نسخ، بی کا، تا: قرن ۱۳؛ افتادگی: انجام؛ جلد: تیماج مشکی، ۱۴۹گ، ۱۵ سطر، اندازه: ۱۴</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 سم [ف: ۲-۴۴]</w:t>
      </w:r>
    </w:p>
    <w:p>
      <w:pPr>
        <w:pStyle w:val="BookText"/>
      </w:pPr>
      <w:r>
        <w:rPr>
          <w:rFonts w:ascii="IRNazanin" w:hAnsi="IRNazanin" w:eastAsia="IRNazanin" w:cs="IRNazanin"/>
          <w:lang w:bidi="fa-IR"/>
          <w:color w:val="111111"/>
          <w:sz w:val="28"/>
          <w:szCs w:val="28"/>
          <w:rtl/>
        </w:rPr>
        <w:t xml:space="preserve">۱۲۷. مشهد؛ رضوی؛ شماره نسخه: ۲۵۴۸۵</w:t>
      </w:r>
    </w:p>
    <w:p>
      <w:pPr>
        <w:pStyle w:val="BookText"/>
      </w:pPr>
      <w:r>
        <w:rPr>
          <w:rFonts w:ascii="IRNazanin" w:hAnsi="IRNazanin" w:eastAsia="IRNazanin" w:cs="IRNazanin"/>
          <w:lang w:bidi="fa-IR"/>
          <w:color w:val="111111"/>
          <w:sz w:val="28"/>
          <w:szCs w:val="28"/>
          <w:rtl/>
        </w:rPr>
        <w:t xml:space="preserve">آغاز: و الملحق به بعكس ذاك ای بعكس نون الجمع؛ انجام: متجر با اواخر العبارة و خير ما قل و دل ...</w:t>
      </w:r>
    </w:p>
    <w:p>
      <w:pPr>
        <w:pStyle w:val="BookText"/>
      </w:pPr>
      <w:r>
        <w:rPr>
          <w:rFonts w:ascii="IRNazanin" w:hAnsi="IRNazanin" w:eastAsia="IRNazanin" w:cs="IRNazanin"/>
          <w:lang w:bidi="fa-IR"/>
          <w:color w:val="111111"/>
          <w:sz w:val="28"/>
          <w:szCs w:val="28"/>
          <w:rtl/>
        </w:rPr>
        <w:t xml:space="preserve">خط: نسخ خفی، بی کا، تا: قرن ۱۳؛ افتادگی: آغاز و انجام کاغذ: شکری سرخی، جلد: تیماج يكلا، ۱۳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قطع: وزیری کوچک، اندازه: ۱۵/۵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 سم [رایانه]</w:t>
      </w:r>
    </w:p>
    <w:p>
      <w:pPr>
        <w:pStyle w:val="BookText"/>
      </w:pPr>
      <w:r>
        <w:rPr>
          <w:rFonts w:ascii="IRNazanin" w:hAnsi="IRNazanin" w:eastAsia="IRNazanin" w:cs="IRNazanin"/>
          <w:lang w:bidi="fa-IR"/>
          <w:color w:val="111111"/>
          <w:sz w:val="28"/>
          <w:szCs w:val="28"/>
          <w:rtl/>
        </w:rPr>
        <w:t xml:space="preserve">۱۲۸. مشهد؛ رضوی؛ شماره نسخه: ۲۵۷۹۳</w:t>
      </w:r>
    </w:p>
    <w:p>
      <w:pPr>
        <w:pStyle w:val="BookText"/>
      </w:pPr>
      <w:r>
        <w:rPr>
          <w:rFonts w:ascii="Amiri" w:hAnsi="Amiri" w:eastAsia="Amiri" w:cs="Amiri"/>
          <w:lang w:bidi="ar-SA"/>
          <w:color w:val="111111"/>
          <w:sz w:val="28"/>
          <w:szCs w:val="28"/>
          <w:rtl/>
        </w:rPr>
        <w:t xml:space="preserve">آغاز: الموصولات الحرقية و ضعيفه في الكافية؛ انجام: بعد القلب في الياء الاخرى ...</w:t>
      </w:r>
    </w:p>
    <w:p>
      <w:pPr>
        <w:pStyle w:val="BookText"/>
      </w:pPr>
      <w:r>
        <w:rPr>
          <w:rFonts w:ascii="IRNazanin" w:hAnsi="IRNazanin" w:eastAsia="IRNazanin" w:cs="IRNazanin"/>
          <w:lang w:bidi="fa-IR"/>
          <w:color w:val="111111"/>
          <w:sz w:val="28"/>
          <w:szCs w:val="28"/>
          <w:rtl/>
        </w:rPr>
        <w:t xml:space="preserve">خط: نستعلیق خفی، بی کا، تا: قرن ۱۳؛ افتادگی: آغاز و انجام؛ کاغذ: فستقی، جلد: مقوا، ۱۴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 قطع: وزیری کوچک،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[رایانه]</w:t>
      </w:r>
    </w:p>
    <w:p>
      <w:pPr>
        <w:pStyle w:val="BookText"/>
      </w:pPr>
      <w:r>
        <w:rPr>
          <w:rFonts w:ascii="IRNazanin" w:hAnsi="IRNazanin" w:eastAsia="IRNazanin" w:cs="IRNazanin"/>
          <w:lang w:bidi="fa-IR"/>
          <w:color w:val="111111"/>
          <w:sz w:val="28"/>
          <w:szCs w:val="28"/>
          <w:rtl/>
        </w:rPr>
        <w:t xml:space="preserve">۱۲۹. مشهد؛ رضوی؛ شماره نسخه: ۱۹۱۳۵</w:t>
      </w:r>
    </w:p>
    <w:p>
      <w:pPr>
        <w:pStyle w:val="BookText"/>
      </w:pPr>
      <w:r>
        <w:rPr>
          <w:rFonts w:ascii="Amiri" w:hAnsi="Amiri" w:eastAsia="Amiri" w:cs="Amiri"/>
          <w:lang w:bidi="ar-SA"/>
          <w:color w:val="111111"/>
          <w:sz w:val="28"/>
          <w:szCs w:val="28"/>
          <w:rtl/>
        </w:rPr>
        <w:t xml:space="preserve">آغاز: برابر؛ انجام: انك انت الغفور الرحيم .... و احسن اليهما و اليه</w:t>
      </w:r>
    </w:p>
    <w:p>
      <w:pPr>
        <w:pStyle w:val="BookText"/>
      </w:pPr>
      <w:r>
        <w:rPr>
          <w:rFonts w:ascii="IRNazanin" w:hAnsi="IRNazanin" w:eastAsia="IRNazanin" w:cs="IRNazanin"/>
          <w:lang w:bidi="fa-IR"/>
          <w:color w:val="111111"/>
          <w:sz w:val="28"/>
          <w:szCs w:val="28"/>
          <w:rtl/>
        </w:rPr>
        <w:t xml:space="preserve">خط: نستعلیق خفی، بی کا، تا: قرن ۱۳؛ کاغذ: فستقی، جلد: تیماج ضربی، ۱۳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قطع: وزیری کوچک،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[رایانه]</w:t>
      </w:r>
    </w:p>
    <w:p>
      <w:pPr>
        <w:pStyle w:val="BookText"/>
      </w:pPr>
      <w:r>
        <w:rPr>
          <w:rFonts w:ascii="IRNazanin" w:hAnsi="IRNazanin" w:eastAsia="IRNazanin" w:cs="IRNazanin"/>
          <w:lang w:bidi="fa-IR"/>
          <w:color w:val="111111"/>
          <w:sz w:val="28"/>
          <w:szCs w:val="28"/>
          <w:rtl/>
        </w:rPr>
        <w:t xml:space="preserve">۱۳۰. مشهد؛ رضوی؛ شماره نسخه: ۲۷۱۸۸</w:t>
      </w:r>
    </w:p>
    <w:p>
      <w:pPr>
        <w:pStyle w:val="BookText"/>
      </w:pPr>
      <w:r>
        <w:rPr>
          <w:rFonts w:ascii="IRNazanin" w:hAnsi="IRNazanin" w:eastAsia="IRNazanin" w:cs="IRNazanin"/>
          <w:lang w:bidi="fa-IR"/>
          <w:color w:val="111111"/>
          <w:sz w:val="28"/>
          <w:szCs w:val="28"/>
          <w:rtl/>
        </w:rPr>
        <w:t xml:space="preserve">آغاز: برابر؛ انجام: مخمس و عشار و معشر و اجاز الكوفين و الزجاج قياسا ... و سباع و مسیح و ثمان</w:t>
      </w:r>
    </w:p>
    <w:p>
      <w:pPr>
        <w:pStyle w:val="BookText"/>
      </w:pPr>
      <w:r>
        <w:rPr>
          <w:rFonts w:ascii="IRNazanin" w:hAnsi="IRNazanin" w:eastAsia="IRNazanin" w:cs="IRNazanin"/>
          <w:lang w:bidi="fa-IR"/>
          <w:color w:val="111111"/>
          <w:sz w:val="28"/>
          <w:szCs w:val="28"/>
          <w:rtl/>
        </w:rPr>
        <w:t xml:space="preserve">خط: نسخ خفی، بی کا، تا: قرن ۱۳؛ افتادگی: انجام کاغذ: حنایی، جلد: تیماج ضربی قهوه ای و دارای ترنج و دو سرترنج با نقش گل و بوته، ۱۷ سطر (۱۰/۵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۱۵/۵)، قطع: وزیری کوچک،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[رایانه]</w:t>
      </w:r>
    </w:p>
    <w:p>
      <w:pPr>
        <w:pStyle w:val="BookText"/>
      </w:pPr>
      <w:r>
        <w:rPr>
          <w:rFonts w:ascii="IRNazanin" w:hAnsi="IRNazanin" w:eastAsia="IRNazanin" w:cs="IRNazanin"/>
          <w:lang w:bidi="fa-IR"/>
          <w:color w:val="111111"/>
          <w:sz w:val="28"/>
          <w:szCs w:val="28"/>
          <w:rtl/>
        </w:rPr>
        <w:t xml:space="preserve">۱۳۱. مشهد؛ رضوی؛ شماره نسخه: ۱۳۲۴۸</w:t>
      </w:r>
    </w:p>
    <w:p>
      <w:pPr>
        <w:pStyle w:val="BookText"/>
      </w:pPr>
      <w:r>
        <w:rPr>
          <w:rFonts w:ascii="IRNazanin" w:hAnsi="IRNazanin" w:eastAsia="IRNazanin" w:cs="IRNazanin"/>
          <w:lang w:bidi="fa-IR"/>
          <w:color w:val="111111"/>
          <w:sz w:val="28"/>
          <w:szCs w:val="28"/>
          <w:rtl/>
        </w:rPr>
        <w:t xml:space="preserve">از اوائل باب نکره و معرفه تا اواسط مبحث مفعول مطلق؛ خط: نستعلیق جلی، بی کا، تا: اواخر قرن ۱۳؛ افتادگی: آغاز و انجام؛ کاغذ: حنایی، جلد: پارچه، ۶۲گ، ۱۲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۹/۸ سم [ف: ۱۲-۲۸]</w:t>
      </w:r>
    </w:p>
    <w:p>
      <w:pPr>
        <w:pStyle w:val="BookText"/>
      </w:pPr>
      <w:r>
        <w:rPr>
          <w:rFonts w:ascii="IRNazanin" w:hAnsi="IRNazanin" w:eastAsia="IRNazanin" w:cs="IRNazanin"/>
          <w:lang w:bidi="fa-IR"/>
          <w:color w:val="111111"/>
          <w:sz w:val="28"/>
          <w:szCs w:val="28"/>
          <w:rtl/>
        </w:rPr>
        <w:t xml:space="preserve">۱۳۲. مشهد؛ رضوی؛ شماره نسخه: ۹۷۱۵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اوایل قرن ۱۳؛ محشی؛ واقف: خان بابا مشار، اردیبهشت ۱۳۴۶؛ کاغذ: شکری، جلد: تیماج مشکی یک لا، ۱۳۸، ۱۴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۱۲-۲۶]</w:t>
      </w:r>
    </w:p>
    <w:p>
      <w:pPr>
        <w:pStyle w:val="BookText"/>
      </w:pPr>
      <w:r>
        <w:rPr>
          <w:rFonts w:ascii="IRNazanin" w:hAnsi="IRNazanin" w:eastAsia="IRNazanin" w:cs="IRNazanin"/>
          <w:lang w:bidi="fa-IR"/>
          <w:color w:val="111111"/>
          <w:sz w:val="28"/>
          <w:szCs w:val="28"/>
          <w:rtl/>
        </w:rPr>
        <w:t xml:space="preserve">۱۳۳. مشهد؛ رضوی؛ شماره نسخه: ۱۱۶۹۴</w:t>
      </w:r>
    </w:p>
    <w:p>
      <w:pPr>
        <w:pStyle w:val="BookText"/>
      </w:pPr>
      <w:r>
        <w:rPr>
          <w:rFonts w:ascii="IRNazanin" w:hAnsi="IRNazanin" w:eastAsia="IRNazanin" w:cs="IRNazanin"/>
          <w:lang w:bidi="fa-IR"/>
          <w:color w:val="111111"/>
          <w:sz w:val="28"/>
          <w:szCs w:val="28"/>
          <w:rtl/>
        </w:rPr>
        <w:t xml:space="preserve">آغاز: برابر، انجام: ظلت بفتح الظاء فظلت بكسرها في ظللت بفتحها و کسرلام الاولى الماضي.</w:t>
      </w:r>
    </w:p>
    <w:p>
      <w:pPr>
        <w:pStyle w:val="BookText"/>
      </w:pPr>
      <w:r>
        <w:rPr>
          <w:rFonts w:ascii="IRNazanin" w:hAnsi="IRNazanin" w:eastAsia="IRNazanin" w:cs="IRNazanin"/>
          <w:lang w:bidi="fa-IR"/>
          <w:color w:val="111111"/>
          <w:sz w:val="28"/>
          <w:szCs w:val="28"/>
          <w:rtl/>
        </w:rPr>
        <w:t xml:space="preserve">خط: نسخ، بی کا، تا: اواسط قرن ۱۳؛ افتادگی: انجام؛ محشی؛ واقف: سید کاظم عصار، دی ۱۳۵۴، کاغذ: حنایی، جلد: تیماج، ۱۱۱گ، مختلف السطر،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۱۲-۲۶]</w:t>
      </w:r>
    </w:p>
    <w:p>
      <w:pPr>
        <w:pStyle w:val="BookText"/>
      </w:pPr>
      <w:r>
        <w:rPr>
          <w:rFonts w:ascii="IRNazanin" w:hAnsi="IRNazanin" w:eastAsia="IRNazanin" w:cs="IRNazanin"/>
          <w:lang w:bidi="fa-IR"/>
          <w:color w:val="111111"/>
          <w:sz w:val="28"/>
          <w:szCs w:val="28"/>
          <w:rtl/>
        </w:rPr>
        <w:t xml:space="preserve">۱۳۴. مشهد؛ رضوی؛ شماره نسخه: ۱۴۵۸۹</w:t>
      </w:r>
    </w:p>
    <w:p>
      <w:pPr>
        <w:pStyle w:val="BookText"/>
      </w:pPr>
      <w:r>
        <w:rPr>
          <w:rFonts w:ascii="Amiri" w:hAnsi="Amiri" w:eastAsia="Amiri" w:cs="Amiri"/>
          <w:lang w:bidi="ar-SA"/>
          <w:color w:val="111111"/>
          <w:sz w:val="28"/>
          <w:szCs w:val="28"/>
          <w:rtl/>
        </w:rPr>
        <w:t xml:space="preserve">آغاز: برابر؛ انجام: وليكن زوجك او منصوبا نحو والذين.</w:t>
      </w:r>
    </w:p>
    <w:p>
      <w:pPr>
        <w:pStyle w:val="BookText"/>
      </w:pPr>
      <w:r>
        <w:rPr>
          <w:rFonts w:ascii="IRNazanin" w:hAnsi="IRNazanin" w:eastAsia="IRNazanin" w:cs="IRNazanin"/>
          <w:lang w:bidi="fa-IR"/>
          <w:color w:val="111111"/>
          <w:sz w:val="28"/>
          <w:szCs w:val="28"/>
          <w:rtl/>
        </w:rPr>
        <w:t xml:space="preserve">خط: نسخ جلی، بی کا، تا: نیمه قرن ۱۳؛ افتادگی: انجام؛ واقف: سید محمد باقر سبزواری، محرم ۱۴۰۵؛ کاغذ: شکری و حنایی، جلد: مقوا، ۹۲، ۱۵ سطر، اندازه: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۲۰سم [ف: ۱۲-۲۳]</w:t>
      </w:r>
    </w:p>
    <w:p>
      <w:pPr>
        <w:pStyle w:val="BookText"/>
      </w:pPr>
      <w:r>
        <w:rPr>
          <w:rFonts w:ascii="IRNazanin" w:hAnsi="IRNazanin" w:eastAsia="IRNazanin" w:cs="IRNazanin"/>
          <w:lang w:bidi="fa-IR"/>
          <w:color w:val="111111"/>
          <w:sz w:val="28"/>
          <w:szCs w:val="28"/>
          <w:rtl/>
        </w:rPr>
        <w:t xml:space="preserve">۱۳۵. کرمانشاه؛ جلیلی؛ شماره نسخه: ۱۳۶</w:t>
      </w:r>
    </w:p>
    <w:p>
      <w:pPr>
        <w:pStyle w:val="BookText"/>
      </w:pPr>
      <w:r>
        <w:rPr>
          <w:rFonts w:ascii="Amiri" w:hAnsi="Amiri" w:eastAsia="Amiri" w:cs="Amiri"/>
          <w:lang w:bidi="ar-SA"/>
          <w:color w:val="111111"/>
          <w:sz w:val="28"/>
          <w:szCs w:val="28"/>
          <w:rtl/>
        </w:rPr>
        <w:t xml:space="preserve">انجام: كما في الصحاح قال الاسم</w:t>
      </w:r>
    </w:p>
    <w:p>
      <w:pPr>
        <w:pStyle w:val="BookText"/>
      </w:pPr>
      <w:r>
        <w:rPr>
          <w:rFonts w:ascii="IRNazanin" w:hAnsi="IRNazanin" w:eastAsia="IRNazanin" w:cs="IRNazanin"/>
          <w:lang w:bidi="fa-IR"/>
          <w:color w:val="111111"/>
          <w:sz w:val="28"/>
          <w:szCs w:val="28"/>
          <w:rtl/>
        </w:rPr>
        <w:t xml:space="preserve">از اول تا باب ادغام و ابدال؛ خط: نسخ، بی کا، تا: قرن ۱۳؛ محشی؛ کاغذ: فستقی آهار مهره فرنگی، جلد: مقوا عطف تیماج خرمایی و گوشه ها مشکی، ۲۱۷گ، ۱۱ سطر، اندازه: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۲۰سم [ف: ۴۸]</w:t>
      </w:r>
    </w:p>
    <w:p>
      <w:pPr>
        <w:pStyle w:val="BookText"/>
      </w:pPr>
      <w:r>
        <w:rPr>
          <w:rFonts w:ascii="IRNazanin" w:hAnsi="IRNazanin" w:eastAsia="IRNazanin" w:cs="IRNazanin"/>
          <w:lang w:bidi="fa-IR"/>
          <w:color w:val="111111"/>
          <w:sz w:val="28"/>
          <w:szCs w:val="28"/>
          <w:rtl/>
        </w:rPr>
        <w:t xml:space="preserve">۱۳۶. کرمانشاه؛ مدرسه آية الله بروجردی؛ شماره نسخه: ۵۲</w:t>
      </w:r>
    </w:p>
    <w:p>
      <w:pPr>
        <w:pStyle w:val="BookText"/>
      </w:pPr>
      <w:r>
        <w:rPr>
          <w:rFonts w:ascii="IRNazanin" w:hAnsi="IRNazanin" w:eastAsia="IRNazanin" w:cs="IRNazanin"/>
          <w:lang w:bidi="fa-IR"/>
          <w:color w:val="111111"/>
          <w:sz w:val="28"/>
          <w:szCs w:val="28"/>
          <w:rtl/>
        </w:rPr>
        <w:t xml:space="preserve">آغاز: ای غير ما ذكر معرفته و هي مضمر کهم و اسم اشارة نحو ذی و علم نحو دهند.؛</w:t>
      </w:r>
    </w:p>
    <w:p>
      <w:pPr>
        <w:pStyle w:val="BookText"/>
      </w:pPr>
      <w:r>
        <w:rPr>
          <w:rFonts w:ascii="IRNazanin" w:hAnsi="IRNazanin" w:eastAsia="IRNazanin" w:cs="IRNazanin"/>
          <w:lang w:bidi="fa-IR"/>
          <w:color w:val="111111"/>
          <w:sz w:val="28"/>
          <w:szCs w:val="28"/>
          <w:rtl/>
        </w:rPr>
        <w:t xml:space="preserve">خط: نستعلیق، كا: عبدالنبي، تا: دوشنبه ۳۰ ذیقعده قرن ۱۳؛ افتادگی: آغاز؛ مصحح، محشی بعضی از آنها به تاریخ ۱۲۲۵؛ ۱۶۰گ، ۱۱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 سم [ف: ۴۴]</w:t>
      </w:r>
    </w:p>
    <w:p>
      <w:pPr>
        <w:pStyle w:val="BookText"/>
      </w:pPr>
      <w:r>
        <w:rPr>
          <w:rFonts w:ascii="IRNazanin" w:hAnsi="IRNazanin" w:eastAsia="IRNazanin" w:cs="IRNazanin"/>
          <w:lang w:bidi="fa-IR"/>
          <w:color w:val="111111"/>
          <w:sz w:val="28"/>
          <w:szCs w:val="28"/>
          <w:rtl/>
        </w:rPr>
        <w:t xml:space="preserve">۱۳۷. قم؛ معصومیه؛ شماره نسخه: ۷۰۱</w:t>
      </w:r>
    </w:p>
    <w:p>
      <w:pPr>
        <w:pStyle w:val="BookText"/>
      </w:pPr>
      <w:r>
        <w:rPr>
          <w:rFonts w:ascii="IRNazanin" w:hAnsi="IRNazanin" w:eastAsia="IRNazanin" w:cs="IRNazanin"/>
          <w:lang w:bidi="fa-IR"/>
          <w:color w:val="111111"/>
          <w:sz w:val="28"/>
          <w:szCs w:val="28"/>
          <w:rtl/>
        </w:rPr>
        <w:t xml:space="preserve">خط: نسخ، بی کا، تا: قرن ۱۳؛ افتادگی: آغاز و انجام؛ فاقد جلد، ۸۲گ، ۱۵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۲-۳۴۳]</w:t>
      </w:r>
    </w:p>
    <w:p>
      <w:pPr>
        <w:pStyle w:val="BookText"/>
      </w:pPr>
      <w:r>
        <w:rPr>
          <w:rFonts w:ascii="IRNazanin" w:hAnsi="IRNazanin" w:eastAsia="IRNazanin" w:cs="IRNazanin"/>
          <w:lang w:bidi="fa-IR"/>
          <w:color w:val="111111"/>
          <w:sz w:val="28"/>
          <w:szCs w:val="28"/>
          <w:rtl/>
        </w:rPr>
        <w:t xml:space="preserve">۱۳۸. مشهد؛ رضوی؛ شماره نسخه: ۱۴۴۹۵</w:t>
      </w:r>
    </w:p>
    <w:p>
      <w:pPr>
        <w:pStyle w:val="BookText"/>
      </w:pPr>
      <w:r>
        <w:rPr>
          <w:rFonts w:ascii="IRNazanin" w:hAnsi="IRNazanin" w:eastAsia="IRNazanin" w:cs="IRNazanin"/>
          <w:lang w:bidi="fa-IR"/>
          <w:color w:val="111111"/>
          <w:sz w:val="28"/>
          <w:szCs w:val="28"/>
          <w:rtl/>
        </w:rPr>
        <w:t xml:space="preserve">آغاز: برابر ؛ انجام: فلا تقل فيه بصاری تمتنع العرب في استعمالهم و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نسخ، بی کا، تا: اواخر قرن ۱۳؛ افتادگی: انجام؛ واقف: سید محمد باقر سبزواری کاغذ: فستقی، جلد: تیماج مشکی یک لا، ۱۱۰، ۱۷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۱۲-۳۰]</w:t>
      </w:r>
    </w:p>
    <w:p>
      <w:pPr>
        <w:pStyle w:val="BookText"/>
      </w:pPr>
      <w:r>
        <w:rPr>
          <w:rFonts w:ascii="IRNazanin" w:hAnsi="IRNazanin" w:eastAsia="IRNazanin" w:cs="IRNazanin"/>
          <w:lang w:bidi="fa-IR"/>
          <w:color w:val="111111"/>
          <w:sz w:val="28"/>
          <w:szCs w:val="28"/>
          <w:rtl/>
        </w:rPr>
        <w:t xml:space="preserve">۱۳۹. مشهد؛ مدرسه آية الله خوئی؛ شماره نسخه: ۱۱۰</w:t>
      </w:r>
    </w:p>
    <w:p>
      <w:pPr>
        <w:pStyle w:val="BookText"/>
      </w:pPr>
      <w:r>
        <w:rPr>
          <w:rFonts w:ascii="IRNazanin" w:hAnsi="IRNazanin" w:eastAsia="IRNazanin" w:cs="IRNazanin"/>
          <w:lang w:bidi="fa-IR"/>
          <w:color w:val="111111"/>
          <w:sz w:val="28"/>
          <w:szCs w:val="28"/>
          <w:rtl/>
        </w:rPr>
        <w:t xml:space="preserve">خط: نسخ، بی کا، تا: قرن ۱۳؛ محشی؛ مهر: «الواثق بالله عبده عطاء الله» (بیضوی)، جلد: تیماج مشکی عطف و حواشی تیماج قهوه ای، ۱۱۳گ، ۱۴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۷۱]</w:t>
      </w:r>
    </w:p>
    <w:p>
      <w:pPr>
        <w:pStyle w:val="BookText"/>
      </w:pPr>
      <w:r>
        <w:rPr>
          <w:rFonts w:ascii="IRNazanin" w:hAnsi="IRNazanin" w:eastAsia="IRNazanin" w:cs="IRNazanin"/>
          <w:lang w:bidi="fa-IR"/>
          <w:color w:val="111111"/>
          <w:sz w:val="28"/>
          <w:szCs w:val="28"/>
          <w:rtl/>
        </w:rPr>
        <w:t xml:space="preserve">۱۴۰. قائن؛ مدرسه جعفریه؛ شماره نسخه: ۱۰۱</w:t>
      </w:r>
    </w:p>
    <w:p>
      <w:pPr>
        <w:pStyle w:val="BookText"/>
      </w:pPr>
      <w:r>
        <w:rPr>
          <w:rFonts w:ascii="IRNazanin" w:hAnsi="IRNazanin" w:eastAsia="IRNazanin" w:cs="IRNazanin"/>
          <w:lang w:bidi="fa-IR"/>
          <w:color w:val="111111"/>
          <w:sz w:val="28"/>
          <w:szCs w:val="28"/>
          <w:rtl/>
        </w:rPr>
        <w:t xml:space="preserve">خط: نسخ، بی کا، تا: قرن ۱۳؛ محشی؛ در برگ آخر مناجاتی از امام علی (علیه السلام) به خط «معصوم بن رضی حسینی» در ۲۳ شعبان ۱۳۳۳ با مهر وی «معصوم بن رضی الحسینی» (بیضوی)؛ جلد: تیماج مشکی، ۱۷۳گ، ۱۰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[كتابخانه های قائن: ف: ]</w:t>
      </w:r>
    </w:p>
    <w:p>
      <w:pPr>
        <w:pStyle w:val="BookText"/>
      </w:pPr>
      <w:r>
        <w:rPr>
          <w:rFonts w:ascii="IRNazanin" w:hAnsi="IRNazanin" w:eastAsia="IRNazanin" w:cs="IRNazanin"/>
          <w:lang w:bidi="fa-IR"/>
          <w:color w:val="111111"/>
          <w:sz w:val="28"/>
          <w:szCs w:val="28"/>
          <w:rtl/>
        </w:rPr>
        <w:t xml:space="preserve">۱۴۱. قائن؛ مدرسه جعفریه؛ شماره نسخه: ۱۲۷</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تا: قرن ۱۳؛ مصحح، محشی؛ وقف کتاب از« عبدالله ساقدری»، در جمادی الاول ۱۲۹۲ و وقف کتاب از «سید محمد علی صدیقی» و تاریخ تولدی به سال ۱۳۴۰، دربرگ آخر مناظره ى رأس الجالوت با امام رضا عليه السلام به خط «محمد على بن میرزا مصطفی بن میرزا صادق خان نوربخش قائنی خراسانی» به امر ملا محمد حسین در سال ۱۲۵۷؛ جلد: تیماج مشکی، ۱۳۳گ، ۱۴ سطر، اندازه:۲۱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[كتابخانه های قائن: ف:]</w:t>
      </w:r>
    </w:p>
    <w:p>
      <w:pPr>
        <w:pStyle w:val="BookText"/>
      </w:pPr>
      <w:r>
        <w:rPr>
          <w:rFonts w:ascii="IRNazanin" w:hAnsi="IRNazanin" w:eastAsia="IRNazanin" w:cs="IRNazanin"/>
          <w:lang w:bidi="fa-IR"/>
          <w:color w:val="111111"/>
          <w:sz w:val="28"/>
          <w:szCs w:val="28"/>
          <w:rtl/>
        </w:rPr>
        <w:t xml:space="preserve">۱۴۲. قم؛ طبسی؛ شماره نسخه: ۳۱۲</w:t>
      </w:r>
    </w:p>
    <w:p>
      <w:pPr>
        <w:pStyle w:val="BookText"/>
      </w:pPr>
      <w:r>
        <w:rPr>
          <w:rFonts w:ascii="IRNazanin" w:hAnsi="IRNazanin" w:eastAsia="IRNazanin" w:cs="IRNazanin"/>
          <w:lang w:bidi="fa-IR"/>
          <w:color w:val="111111"/>
          <w:sz w:val="28"/>
          <w:szCs w:val="28"/>
          <w:rtl/>
        </w:rPr>
        <w:t xml:space="preserve">آغاز: الرحمن الرحيم قال محمد هو الشيخ الامام ابو عبدالله جمال الدین محمد ابن عبدالله ابن مالک الطائي الاندلسي الجيانی الشافعی؛ انجام: قال اختاره الله تعالى يقال فلان خیره الله من خلقه وقدس الله كمال هذا الشرح المجرد موشحا من التحف و التنقيح بالوشی</w:t>
      </w:r>
    </w:p>
    <w:p>
      <w:pPr>
        <w:pStyle w:val="BookText"/>
      </w:pPr>
      <w:r>
        <w:rPr>
          <w:rFonts w:ascii="IRNazanin" w:hAnsi="IRNazanin" w:eastAsia="IRNazanin" w:cs="IRNazanin"/>
          <w:lang w:bidi="fa-IR"/>
          <w:color w:val="111111"/>
          <w:sz w:val="28"/>
          <w:szCs w:val="28"/>
          <w:rtl/>
        </w:rPr>
        <w:t xml:space="preserve">خط: نسخ، بی کا، تا: قرن ۱۳؛ افتادگی: آغاز و انجام؛ محشی از «التصريح»؛ جلد: تیماج قهوه ای، با روکش</w:t>
      </w:r>
    </w:p>
    <w:p>
      <w:pPr>
        <w:pStyle w:val="BookText"/>
      </w:pPr>
      <w:r>
        <w:rPr>
          <w:rFonts w:ascii="IRNazanin" w:hAnsi="IRNazanin" w:eastAsia="IRNazanin" w:cs="IRNazanin"/>
          <w:lang w:bidi="fa-IR"/>
          <w:color w:val="111111"/>
          <w:sz w:val="28"/>
          <w:szCs w:val="28"/>
          <w:rtl/>
        </w:rPr>
        <w:t xml:space="preserve">کاغذ آبی، ۱۳۴گ، ۱۴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مخ: ۱-۷۶]</w:t>
      </w:r>
    </w:p>
    <w:p>
      <w:pPr>
        <w:pStyle w:val="BookText"/>
      </w:pPr>
      <w:r>
        <w:rPr>
          <w:rFonts w:ascii="IRNazanin" w:hAnsi="IRNazanin" w:eastAsia="IRNazanin" w:cs="IRNazanin"/>
          <w:lang w:bidi="fa-IR"/>
          <w:color w:val="111111"/>
          <w:sz w:val="28"/>
          <w:szCs w:val="28"/>
          <w:rtl/>
        </w:rPr>
        <w:t xml:space="preserve">۱۴۳. تهران؛ سپهسالار؛ شماره نسخه: ۶۸۵۴</w:t>
      </w:r>
    </w:p>
    <w:p>
      <w:pPr>
        <w:pStyle w:val="BookText"/>
      </w:pPr>
      <w:r>
        <w:rPr>
          <w:rFonts w:ascii="IRNazanin" w:hAnsi="IRNazanin" w:eastAsia="IRNazanin" w:cs="IRNazanin"/>
          <w:lang w:bidi="fa-IR"/>
          <w:color w:val="111111"/>
          <w:sz w:val="28"/>
          <w:szCs w:val="28"/>
          <w:rtl/>
        </w:rPr>
        <w:t xml:space="preserve">خط: نسخ، بی کا، تا: قرن ۱۳؛ محشی؛ کاغذ: فرنگی کبود، جلد: تیماج مشکی مقوایی، ۱۶۶گ، ۱۴ سطر، اندازه:</w:t>
      </w:r>
    </w:p>
    <w:p>
      <w:pPr>
        <w:pStyle w:val="BookText"/>
      </w:pPr>
      <w:r>
        <w:rPr>
          <w:rFonts w:ascii="IRNazanin" w:hAnsi="IRNazanin" w:eastAsia="IRNazanin" w:cs="IRNazanin"/>
          <w:lang w:bidi="fa-IR"/>
          <w:color w:val="111111"/>
          <w:sz w:val="28"/>
          <w:szCs w:val="28"/>
          <w:rtl/>
        </w:rPr>
        <w:t xml:space="preserve">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۳-۲۶۶]</w:t>
      </w:r>
    </w:p>
    <w:p>
      <w:pPr>
        <w:pStyle w:val="BookText"/>
      </w:pPr>
      <w:r>
        <w:rPr>
          <w:rFonts w:ascii="IRNazanin" w:hAnsi="IRNazanin" w:eastAsia="IRNazanin" w:cs="IRNazanin"/>
          <w:lang w:bidi="fa-IR"/>
          <w:color w:val="111111"/>
          <w:sz w:val="28"/>
          <w:szCs w:val="28"/>
          <w:rtl/>
        </w:rPr>
        <w:t xml:space="preserve">۱۴۴. تهران؛ سپهسالار؛ شماره نسخه: ۶۸۵۵</w:t>
      </w:r>
    </w:p>
    <w:p>
      <w:pPr>
        <w:pStyle w:val="BookText"/>
      </w:pPr>
      <w:r>
        <w:rPr>
          <w:rFonts w:ascii="IRNazanin" w:hAnsi="IRNazanin" w:eastAsia="IRNazanin" w:cs="IRNazanin"/>
          <w:lang w:bidi="fa-IR"/>
          <w:color w:val="111111"/>
          <w:sz w:val="28"/>
          <w:szCs w:val="28"/>
          <w:rtl/>
        </w:rPr>
        <w:t xml:space="preserve">خط: نسخ، بی کا، تا: قرن ۱۳؛ افتادگی: انجام؛ کاغذ: فرنگی کبود، جلد: تیماج مشکی فرسوده مقوایی، ۱۴۰ گ، ۱۵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۳-۲۶۶]</w:t>
      </w:r>
    </w:p>
    <w:p>
      <w:pPr>
        <w:pStyle w:val="BookText"/>
      </w:pPr>
      <w:r>
        <w:rPr>
          <w:rFonts w:ascii="IRNazanin" w:hAnsi="IRNazanin" w:eastAsia="IRNazanin" w:cs="IRNazanin"/>
          <w:lang w:bidi="fa-IR"/>
          <w:color w:val="111111"/>
          <w:sz w:val="28"/>
          <w:szCs w:val="28"/>
          <w:rtl/>
        </w:rPr>
        <w:t xml:space="preserve">۱۴۵. قم؛ مسجد اعظم؛ شماره نسخه: ۲۴۹۴</w:t>
      </w:r>
    </w:p>
    <w:p>
      <w:pPr>
        <w:pStyle w:val="BookText"/>
      </w:pPr>
      <w:r>
        <w:rPr>
          <w:rFonts w:ascii="Amiri" w:hAnsi="Amiri" w:eastAsia="Amiri" w:cs="Amiri"/>
          <w:lang w:bidi="ar-SA"/>
          <w:color w:val="111111"/>
          <w:sz w:val="28"/>
          <w:szCs w:val="28"/>
          <w:rtl/>
        </w:rPr>
        <w:t xml:space="preserve">آغاز: برابر؛ انجام: الأول فان كان خارجة بان كان الاستثناء من موجب فما بعده كذلك ...</w:t>
      </w:r>
    </w:p>
    <w:p>
      <w:pPr>
        <w:pStyle w:val="BookText"/>
      </w:pPr>
      <w:r>
        <w:rPr>
          <w:rFonts w:ascii="IRNazanin" w:hAnsi="IRNazanin" w:eastAsia="IRNazanin" w:cs="IRNazanin"/>
          <w:lang w:bidi="fa-IR"/>
          <w:color w:val="111111"/>
          <w:sz w:val="28"/>
          <w:szCs w:val="28"/>
          <w:rtl/>
        </w:rPr>
        <w:t xml:space="preserve">بی کا، تا: قرن ۱۳؛ افتادگی: انجام؛ جلد: تیماج قهوه ای، ۶۵گ، ۱۵ سطر، اندازه:۲۱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مخ: ۱-۲۸۴]</w:t>
      </w:r>
    </w:p>
    <w:p>
      <w:pPr>
        <w:pStyle w:val="BookText"/>
      </w:pPr>
      <w:r>
        <w:rPr>
          <w:rFonts w:ascii="IRNazanin" w:hAnsi="IRNazanin" w:eastAsia="IRNazanin" w:cs="IRNazanin"/>
          <w:lang w:bidi="fa-IR"/>
          <w:color w:val="111111"/>
          <w:sz w:val="28"/>
          <w:szCs w:val="28"/>
          <w:rtl/>
        </w:rPr>
        <w:t xml:space="preserve">۱۴۶. قم؛ مسجد اعظم؛ شماره نسخه: ۲۲۲۲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۱۳؛ جلد: تیماج سبز، ۱۲۱گ، ۱۵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مخ: ۱-۲۸۴]</w:t>
      </w:r>
    </w:p>
    <w:p>
      <w:pPr>
        <w:pStyle w:val="BookText"/>
      </w:pPr>
      <w:r>
        <w:rPr>
          <w:rFonts w:ascii="IRNazanin" w:hAnsi="IRNazanin" w:eastAsia="IRNazanin" w:cs="IRNazanin"/>
          <w:lang w:bidi="fa-IR"/>
          <w:color w:val="111111"/>
          <w:sz w:val="28"/>
          <w:szCs w:val="28"/>
          <w:rtl/>
        </w:rPr>
        <w:t xml:space="preserve">۱۴۷. اصفهان، دانشگاه؛ شماره نسخه: ۳۴۴</w:t>
      </w:r>
    </w:p>
    <w:p>
      <w:pPr>
        <w:pStyle w:val="BookText"/>
      </w:pPr>
      <w:r>
        <w:rPr>
          <w:rFonts w:ascii="IRNazanin" w:hAnsi="IRNazanin" w:eastAsia="IRNazanin" w:cs="IRNazanin"/>
          <w:lang w:bidi="fa-IR"/>
          <w:color w:val="111111"/>
          <w:sz w:val="28"/>
          <w:szCs w:val="28"/>
          <w:rtl/>
        </w:rPr>
        <w:t xml:space="preserve">خط: نسخ، بی کا، تا: قرن ۱۳؛ افتادگی: آغاز؛ مصحح، محشی؛ جلد: بدون جلد، ۱۶۱گ، ۱۴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۱-۲۴۸]</w:t>
      </w:r>
    </w:p>
    <w:p>
      <w:pPr>
        <w:pStyle w:val="BookText"/>
      </w:pPr>
      <w:r>
        <w:rPr>
          <w:rFonts w:ascii="IRNazanin" w:hAnsi="IRNazanin" w:eastAsia="IRNazanin" w:cs="IRNazanin"/>
          <w:lang w:bidi="fa-IR"/>
          <w:color w:val="111111"/>
          <w:sz w:val="28"/>
          <w:szCs w:val="28"/>
          <w:rtl/>
        </w:rPr>
        <w:t xml:space="preserve">۱۴۸. تهران: مروی؛ شماره نسخه: ۷۷۵</w:t>
      </w:r>
    </w:p>
    <w:p>
      <w:pPr>
        <w:pStyle w:val="BookText"/>
      </w:pPr>
      <w:r>
        <w:rPr>
          <w:rFonts w:ascii="IRNazanin" w:hAnsi="IRNazanin" w:eastAsia="IRNazanin" w:cs="IRNazanin"/>
          <w:lang w:bidi="fa-IR"/>
          <w:color w:val="111111"/>
          <w:sz w:val="28"/>
          <w:szCs w:val="28"/>
          <w:rtl/>
        </w:rPr>
        <w:t xml:space="preserve">بی کا، تا: قرن ۱۳؛ قطع: خشتی [ف: ۸۰]</w:t>
      </w:r>
    </w:p>
    <w:p>
      <w:pPr>
        <w:pStyle w:val="BookText"/>
      </w:pPr>
      <w:r>
        <w:rPr>
          <w:rFonts w:ascii="IRNazanin" w:hAnsi="IRNazanin" w:eastAsia="IRNazanin" w:cs="IRNazanin"/>
          <w:lang w:bidi="fa-IR"/>
          <w:color w:val="111111"/>
          <w:sz w:val="28"/>
          <w:szCs w:val="28"/>
          <w:rtl/>
        </w:rPr>
        <w:t xml:space="preserve">۱۴۹. تهران: مروی؛ شماره نسخه: ۷۹۵</w:t>
      </w:r>
    </w:p>
    <w:p>
      <w:pPr>
        <w:pStyle w:val="BookText"/>
      </w:pPr>
      <w:r>
        <w:rPr>
          <w:rFonts w:ascii="IRNazanin" w:hAnsi="IRNazanin" w:eastAsia="IRNazanin" w:cs="IRNazanin"/>
          <w:lang w:bidi="fa-IR"/>
          <w:color w:val="111111"/>
          <w:sz w:val="28"/>
          <w:szCs w:val="28"/>
          <w:rtl/>
        </w:rPr>
        <w:t xml:space="preserve">بی کا، تا: قرن ۱۳؛ قطع: خشتی [ف: ۸۰]</w:t>
      </w:r>
    </w:p>
    <w:p>
      <w:pPr>
        <w:pStyle w:val="BookText"/>
      </w:pPr>
      <w:r>
        <w:rPr>
          <w:rFonts w:ascii="IRNazanin" w:hAnsi="IRNazanin" w:eastAsia="IRNazanin" w:cs="IRNazanin"/>
          <w:lang w:bidi="fa-IR"/>
          <w:color w:val="111111"/>
          <w:sz w:val="28"/>
          <w:szCs w:val="28"/>
          <w:rtl/>
        </w:rPr>
        <w:t xml:space="preserve">۱۵۰. تهران؛ مجلس؛ شماره نسخه: ۴۸۲/۱</w:t>
      </w:r>
    </w:p>
    <w:p>
      <w:pPr>
        <w:pStyle w:val="BookText"/>
      </w:pPr>
      <w:r>
        <w:rPr>
          <w:rFonts w:ascii="IRNazanin" w:hAnsi="IRNazanin" w:eastAsia="IRNazanin" w:cs="IRNazanin"/>
          <w:lang w:bidi="fa-IR"/>
          <w:color w:val="111111"/>
          <w:sz w:val="28"/>
          <w:szCs w:val="28"/>
          <w:rtl/>
        </w:rPr>
        <w:t xml:space="preserve">کر آغاز: برابر؛ انجام: تتمة: تبدل الجملة من الجملة نحو أمد كم ... انتم تقتلون و هل يقاس عليه أو يفتقر على السماع البصريون و المصنف على الثاني و الكوفيون عن الأول و أما من يمنعه سماعة و قياسا ... على ذلك لأنه ... خط: نسخ مایل به ثلث، بی کا، تا: قرن ۱۳؛ افتادگی: انجام؛ مصحح، محشی با نشانهای «ترکيب خالد، حاجی سید محمد باقر رشتی الاصل اصفهانی المسکن و ..»؛ تملك: «محمد حسین» با تاریخ ۱۲۸۹ق؛ کاغذ: فرنگی سفید آهار مهره، جلد: تیماج قهوه ای تیره، ۴۰گ (آپ - ۴۰پ)، ۱۵ سطر (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قطع: خشتی،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۲/ ۴۰-۲۸۱ ]</w:t>
      </w:r>
    </w:p>
    <w:p>
      <w:pPr>
        <w:pStyle w:val="BookText"/>
      </w:pPr>
      <w:r>
        <w:rPr>
          <w:rFonts w:ascii="IRNazanin" w:hAnsi="IRNazanin" w:eastAsia="IRNazanin" w:cs="IRNazanin"/>
          <w:lang w:bidi="fa-IR"/>
          <w:color w:val="111111"/>
          <w:sz w:val="28"/>
          <w:szCs w:val="28"/>
          <w:rtl/>
        </w:rPr>
        <w:t xml:space="preserve">۱۵۱. مشهد؛ رضوی؛ شماره نسخه: ۲۳۹۲۸</w:t>
      </w:r>
    </w:p>
    <w:p>
      <w:pPr>
        <w:pStyle w:val="BookText"/>
      </w:pPr>
      <w:r>
        <w:rPr>
          <w:rFonts w:ascii="IRNazanin" w:hAnsi="IRNazanin" w:eastAsia="IRNazanin" w:cs="IRNazanin"/>
          <w:lang w:bidi="fa-IR"/>
          <w:color w:val="111111"/>
          <w:sz w:val="28"/>
          <w:szCs w:val="28"/>
          <w:rtl/>
        </w:rPr>
        <w:t xml:space="preserve">آغاز: برابر؛ انجام: برحمتك يا ارحم الراحمين و اغفرلنا یا رب</w:t>
      </w:r>
    </w:p>
    <w:p>
      <w:pPr>
        <w:pStyle w:val="BookText"/>
      </w:pPr>
      <w:r>
        <w:rPr>
          <w:rFonts w:ascii="IRNazanin" w:hAnsi="IRNazanin" w:eastAsia="IRNazanin" w:cs="IRNazanin"/>
          <w:lang w:bidi="fa-IR"/>
          <w:color w:val="111111"/>
          <w:sz w:val="28"/>
          <w:szCs w:val="28"/>
          <w:rtl/>
        </w:rPr>
        <w:t xml:space="preserve">خط: نسخ، بی کا، تا: قرن ۱۳، کاغذ: نخودی، جلد: تیماج، ۱۴</w:t>
      </w:r>
    </w:p>
    <w:p>
      <w:pPr>
        <w:pStyle w:val="BookText"/>
      </w:pPr>
      <w:r>
        <w:rPr>
          <w:rFonts w:ascii="IRNazanin" w:hAnsi="IRNazanin" w:eastAsia="IRNazanin" w:cs="IRNazanin"/>
          <w:lang w:bidi="fa-IR"/>
          <w:color w:val="111111"/>
          <w:sz w:val="28"/>
          <w:szCs w:val="28"/>
          <w:rtl/>
        </w:rPr>
        <w:t xml:space="preserve">سطر (۱۳۶۷)، اندازه: ۲۱۶۱۴سم (رایانه)</w:t>
      </w:r>
    </w:p>
    <w:p>
      <w:pPr>
        <w:pStyle w:val="BookText"/>
      </w:pPr>
      <w:r>
        <w:rPr>
          <w:rFonts w:ascii="IRNazanin" w:hAnsi="IRNazanin" w:eastAsia="IRNazanin" w:cs="IRNazanin"/>
          <w:lang w:bidi="fa-IR"/>
          <w:color w:val="111111"/>
          <w:sz w:val="28"/>
          <w:szCs w:val="28"/>
          <w:rtl/>
        </w:rPr>
        <w:t xml:space="preserve">۱۵۲. مشهد؛ رضوی؛ شماره نسخه: ۱۸۱۳۱</w:t>
      </w:r>
    </w:p>
    <w:p>
      <w:pPr>
        <w:pStyle w:val="BookText"/>
      </w:pPr>
      <w:r>
        <w:rPr>
          <w:rFonts w:ascii="Amiri" w:hAnsi="Amiri" w:eastAsia="Amiri" w:cs="Amiri"/>
          <w:lang w:bidi="ar-SA"/>
          <w:color w:val="111111"/>
          <w:sz w:val="28"/>
          <w:szCs w:val="28"/>
          <w:rtl/>
        </w:rPr>
        <w:t xml:space="preserve">آغاز: برابر؛ انجام: موحشا من التحقيق و القبيح ... هذا الفن بعون</w:t>
      </w:r>
    </w:p>
    <w:p>
      <w:pPr>
        <w:pStyle w:val="BookText"/>
      </w:pPr>
      <w:r>
        <w:rPr>
          <w:rFonts w:ascii="IRNazanin" w:hAnsi="IRNazanin" w:eastAsia="IRNazanin" w:cs="IRNazanin"/>
          <w:lang w:bidi="fa-IR"/>
          <w:color w:val="111111"/>
          <w:sz w:val="28"/>
          <w:szCs w:val="28"/>
          <w:rtl/>
        </w:rPr>
        <w:t xml:space="preserve">خط: نسخ، بی کا، تا: قرن ۱۳؛ کاغذ: حنایی، جلد: تیماج، ۱۵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[رایانه]</w:t>
      </w:r>
    </w:p>
    <w:p>
      <w:pPr>
        <w:pStyle w:val="BookText"/>
      </w:pPr>
      <w:r>
        <w:rPr>
          <w:rFonts w:ascii="IRNazanin" w:hAnsi="IRNazanin" w:eastAsia="IRNazanin" w:cs="IRNazanin"/>
          <w:lang w:bidi="fa-IR"/>
          <w:color w:val="111111"/>
          <w:sz w:val="28"/>
          <w:szCs w:val="28"/>
          <w:rtl/>
        </w:rPr>
        <w:t xml:space="preserve">۱۵۳. مشهد؛ رضوی؛ شماره نسخه: ۲۱۰۱۳</w:t>
      </w:r>
    </w:p>
    <w:p>
      <w:pPr>
        <w:pStyle w:val="BookText"/>
      </w:pPr>
      <w:r>
        <w:rPr>
          <w:rFonts w:ascii="IRNazanin" w:hAnsi="IRNazanin" w:eastAsia="IRNazanin" w:cs="IRNazanin"/>
          <w:lang w:bidi="fa-IR"/>
          <w:color w:val="111111"/>
          <w:sz w:val="28"/>
          <w:szCs w:val="28"/>
          <w:rtl/>
        </w:rPr>
        <w:t xml:space="preserve">آغاز: برابر، انجام: و صلى الله على محمد و على آله و صحبه و سلم</w:t>
      </w:r>
    </w:p>
    <w:p>
      <w:pPr>
        <w:pStyle w:val="BookText"/>
      </w:pPr>
      <w:r>
        <w:rPr>
          <w:rFonts w:ascii="IRNazanin" w:hAnsi="IRNazanin" w:eastAsia="IRNazanin" w:cs="IRNazanin"/>
          <w:lang w:bidi="fa-IR"/>
          <w:color w:val="111111"/>
          <w:sz w:val="28"/>
          <w:szCs w:val="28"/>
          <w:rtl/>
        </w:rPr>
        <w:t xml:space="preserve">خط: نسخ، بی کا، تا: قرن ۱۳ کاغذ: نخودی، جلد: گالینگور، ۲۰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[رایانه]</w:t>
      </w:r>
    </w:p>
    <w:p>
      <w:pPr>
        <w:pStyle w:val="BookText"/>
      </w:pPr>
      <w:r>
        <w:rPr>
          <w:rFonts w:ascii="IRNazanin" w:hAnsi="IRNazanin" w:eastAsia="IRNazanin" w:cs="IRNazanin"/>
          <w:lang w:bidi="fa-IR"/>
          <w:color w:val="111111"/>
          <w:sz w:val="28"/>
          <w:szCs w:val="28"/>
          <w:rtl/>
        </w:rPr>
        <w:t xml:space="preserve">۱۵۴. مشهد؛ گوهرشاد؛ شماره نسخه: ۲۱۳۴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تحریری، بی کا، تا: قرن ۱۳؛ محشی؛ جلد: میشن یک لای قهوه ای [ف: ۵-۵۱۶]</w:t>
      </w:r>
    </w:p>
    <w:p>
      <w:pPr>
        <w:pStyle w:val="BookText"/>
      </w:pPr>
      <w:r>
        <w:rPr>
          <w:rFonts w:ascii="IRNazanin" w:hAnsi="IRNazanin" w:eastAsia="IRNazanin" w:cs="IRNazanin"/>
          <w:lang w:bidi="fa-IR"/>
          <w:color w:val="111111"/>
          <w:sz w:val="28"/>
          <w:szCs w:val="28"/>
          <w:rtl/>
        </w:rPr>
        <w:t xml:space="preserve">۱۵۵. مشهد؛ رضوی؛ شماره نسخه: ۲۷۲۶۷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برابر؛ انجام: الدوايق استعملنا الكفر فيما اذ ما الليل ... و قد قال ابن عباس ما ارنی عالم العلماء ... على سيدنا محمد (صلی الله علیه وآله وسلم)</w:t>
      </w:r>
    </w:p>
    <w:p>
      <w:pPr>
        <w:pStyle w:val="BookText"/>
      </w:pPr>
      <w:r>
        <w:rPr>
          <w:rFonts w:ascii="IRNazanin" w:hAnsi="IRNazanin" w:eastAsia="IRNazanin" w:cs="IRNazanin"/>
          <w:lang w:bidi="fa-IR"/>
          <w:color w:val="111111"/>
          <w:sz w:val="28"/>
          <w:szCs w:val="28"/>
          <w:rtl/>
        </w:rPr>
        <w:t xml:space="preserve">خط: نسخ، بی کا، تا: قرن ۱۳ [رایانه ]</w:t>
      </w:r>
    </w:p>
    <w:p>
      <w:pPr>
        <w:pStyle w:val="BookText"/>
      </w:pPr>
      <w:r>
        <w:rPr>
          <w:rFonts w:ascii="IRNazanin" w:hAnsi="IRNazanin" w:eastAsia="IRNazanin" w:cs="IRNazanin"/>
          <w:lang w:bidi="fa-IR"/>
          <w:color w:val="111111"/>
          <w:sz w:val="28"/>
          <w:szCs w:val="28"/>
          <w:rtl/>
        </w:rPr>
        <w:t xml:space="preserve">۱۵۶. اصفهان، دانشگاه؛ شماره نسخه: ۵۶۵</w:t>
      </w:r>
    </w:p>
    <w:p>
      <w:pPr>
        <w:pStyle w:val="BookText"/>
      </w:pPr>
      <w:r>
        <w:rPr>
          <w:rFonts w:ascii="IRNazanin" w:hAnsi="IRNazanin" w:eastAsia="IRNazanin" w:cs="IRNazanin"/>
          <w:lang w:bidi="fa-IR"/>
          <w:color w:val="111111"/>
          <w:sz w:val="28"/>
          <w:szCs w:val="28"/>
          <w:rtl/>
        </w:rPr>
        <w:t xml:space="preserve">خط: نسخ، بی کا، تا: قرن ۱۳؛ کاغذ: سپاهانی (نشریه: ۱۱-۸۸۵)</w:t>
      </w:r>
    </w:p>
    <w:p>
      <w:pPr>
        <w:pStyle w:val="BookText"/>
      </w:pPr>
      <w:r>
        <w:rPr>
          <w:rFonts w:ascii="IRNazanin" w:hAnsi="IRNazanin" w:eastAsia="IRNazanin" w:cs="IRNazanin"/>
          <w:lang w:bidi="fa-IR"/>
          <w:color w:val="111111"/>
          <w:sz w:val="28"/>
          <w:szCs w:val="28"/>
          <w:rtl/>
        </w:rPr>
        <w:t xml:space="preserve">۱۵۷. اصفهان؛ ابوالبرکات، رضا، شماره نسخه: ۷۴</w:t>
      </w:r>
    </w:p>
    <w:p>
      <w:pPr>
        <w:pStyle w:val="BookText"/>
      </w:pPr>
      <w:r>
        <w:rPr>
          <w:rFonts w:ascii="IRNazanin" w:hAnsi="IRNazanin" w:eastAsia="IRNazanin" w:cs="IRNazanin"/>
          <w:lang w:bidi="fa-IR"/>
          <w:color w:val="111111"/>
          <w:sz w:val="28"/>
          <w:szCs w:val="28"/>
          <w:rtl/>
        </w:rPr>
        <w:t xml:space="preserve">خط: نسخ، كا: ابو القاسم بن علی نقی حسینی، تا: قرن ۱۳؛ فاقد جلد، ۱۵۵گ، ۱۱سطر [سه کتابخانه اصفهان: ف: ۷۴]</w:t>
      </w:r>
    </w:p>
    <w:p>
      <w:pPr>
        <w:pStyle w:val="BookText"/>
      </w:pPr>
      <w:r>
        <w:rPr>
          <w:rFonts w:ascii="IRNazanin" w:hAnsi="IRNazanin" w:eastAsia="IRNazanin" w:cs="IRNazanin"/>
          <w:lang w:bidi="fa-IR"/>
          <w:color w:val="111111"/>
          <w:sz w:val="28"/>
          <w:szCs w:val="28"/>
          <w:rtl/>
        </w:rPr>
        <w:t xml:space="preserve">۱۵۸. اصفهان؛ ابوالبرکات، رضا، شماره نسخه: ۲۱</w:t>
      </w:r>
    </w:p>
    <w:p>
      <w:pPr>
        <w:pStyle w:val="BookText"/>
      </w:pPr>
      <w:r>
        <w:rPr>
          <w:rFonts w:ascii="IRNazanin" w:hAnsi="IRNazanin" w:eastAsia="IRNazanin" w:cs="IRNazanin"/>
          <w:lang w:bidi="fa-IR"/>
          <w:color w:val="111111"/>
          <w:sz w:val="28"/>
          <w:szCs w:val="28"/>
          <w:rtl/>
        </w:rPr>
        <w:t xml:space="preserve">خط: نسخ، بی کا، تا: قرن ۱۳ فاقد جلد، ۵۳گ، ۲۱ سطر [سه کتابخانه اصفهان: ف: ۲۷]</w:t>
      </w:r>
    </w:p>
    <w:p>
      <w:pPr>
        <w:pStyle w:val="BookText"/>
      </w:pPr>
      <w:r>
        <w:rPr>
          <w:rFonts w:ascii="IRNazanin" w:hAnsi="IRNazanin" w:eastAsia="IRNazanin" w:cs="IRNazanin"/>
          <w:lang w:bidi="fa-IR"/>
          <w:color w:val="111111"/>
          <w:sz w:val="28"/>
          <w:szCs w:val="28"/>
          <w:rtl/>
        </w:rPr>
        <w:t xml:space="preserve">۱۵۹. اصفهان؛ مدرسه صدر بازار، شماره نسخه: ۷۷۰</w:t>
      </w:r>
    </w:p>
    <w:p>
      <w:pPr>
        <w:pStyle w:val="BookText"/>
      </w:pPr>
      <w:r>
        <w:rPr>
          <w:rFonts w:ascii="IRNazanin" w:hAnsi="IRNazanin" w:eastAsia="IRNazanin" w:cs="IRNazanin"/>
          <w:lang w:bidi="fa-IR"/>
          <w:color w:val="111111"/>
          <w:sz w:val="28"/>
          <w:szCs w:val="28"/>
          <w:rtl/>
        </w:rPr>
        <w:t xml:space="preserve">خط: نسخ، بی کا، تا: قرن ۱۳؛ مصحح، محشی بعضا با عناوین « حرره عبد الوهاب ۱۲۸۹»، یادداشتی حدیثی در فضیلت عید غدیر به خط عبد الوهاب بن محمد مهدی موسوی به سال ۱۲۸۸ و یک رباعی به سال ۱۲۶۳، یادداشتی حدیثی به سال ۱۲۹۱ و یک بیت شعر فارسی به خط زین العابدين بن عبد الوهاب موسوی به سال ۱۳۰۳؛ مهر: «عبدالوهاب بن محمد مهدی الموسوی» (بیضوی)؛ اهدایی: سید علی نجف آبادی؛ جلد: بدون جلد، ۹۳ ، ۲۰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۳-۵۷۴]</w:t>
      </w:r>
    </w:p>
    <w:p>
      <w:pPr>
        <w:pStyle w:val="BookText"/>
      </w:pPr>
      <w:r>
        <w:rPr>
          <w:rFonts w:ascii="IRNazanin" w:hAnsi="IRNazanin" w:eastAsia="IRNazanin" w:cs="IRNazanin"/>
          <w:lang w:bidi="fa-IR"/>
          <w:color w:val="111111"/>
          <w:sz w:val="28"/>
          <w:szCs w:val="28"/>
          <w:rtl/>
        </w:rPr>
        <w:t xml:space="preserve">۱۶۰. تهران؛ مدرسه قنبر علی خان (حضرت ولی عصر)؛ شماره نسخه:32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كان عبد الرحيم، تا قرن ۱۳؛ مصحح، محشی، یادداشت درباره فرق بین صفت و نعت، حدیثی به نقل از فاضل مترجم مازندرانی رحمة الله، و بندی درباره فعل مضارع چند بیت عربی، چندین یادداشت امانت وسایل و صورت آنها مربوط به روزهای مختلف سال های ۱۲۶۵ و ۱۲۶۴ ق به خط سیاق؛ تملک: میرزا کلبعلی خلف مرحوم میرزا نظر على با مهر: «کلبعلی» بیضوی)؛ مهر: «عبده الراجي فضل الله ۱۲۳۴» (بیضوی)؛ واقف: شیخ حسن علمی زنجانی، جلد: تیماج قهوه ای، جدول دار، ۱۰۹گ، ۱۷ سطر [ف: ۵۴]</w:t>
      </w:r>
    </w:p>
    <w:p>
      <w:pPr>
        <w:pStyle w:val="BookText"/>
      </w:pPr>
      <w:r>
        <w:rPr>
          <w:rFonts w:ascii="Amiri" w:hAnsi="Amiri" w:eastAsia="Amiri" w:cs="Amiri"/>
          <w:lang w:bidi="ar-SA"/>
          <w:color w:val="111111"/>
          <w:sz w:val="28"/>
          <w:szCs w:val="28"/>
          <w:rtl/>
        </w:rPr>
        <w:t xml:space="preserve">۱۶۱. اصفهان؛ مكتبة الزهراء؛ شماره نسخه: ۱۲۳</w:t>
      </w:r>
    </w:p>
    <w:p>
      <w:pPr>
        <w:pStyle w:val="BookText"/>
      </w:pPr>
      <w:r>
        <w:rPr>
          <w:rFonts w:ascii="IRNazanin" w:hAnsi="IRNazanin" w:eastAsia="IRNazanin" w:cs="IRNazanin"/>
          <w:lang w:bidi="fa-IR"/>
          <w:color w:val="111111"/>
          <w:sz w:val="28"/>
          <w:szCs w:val="28"/>
          <w:rtl/>
        </w:rPr>
        <w:t xml:space="preserve">آغاز: صفة و صلة و حالا و خبرا تقول ركب رجل جاء نی هذا الذي ركب</w:t>
      </w:r>
    </w:p>
    <w:p>
      <w:pPr>
        <w:pStyle w:val="BookText"/>
      </w:pPr>
      <w:r>
        <w:rPr>
          <w:rFonts w:ascii="IRNazanin" w:hAnsi="IRNazanin" w:eastAsia="IRNazanin" w:cs="IRNazanin"/>
          <w:lang w:bidi="fa-IR"/>
          <w:color w:val="111111"/>
          <w:sz w:val="28"/>
          <w:szCs w:val="28"/>
          <w:rtl/>
        </w:rPr>
        <w:t xml:space="preserve">كا: كاتب ابن طالب، تا: جمعه ۲۵ شعبان ۱۲۰۰ق؛ افتادگی: آغاز؛ ۱۶۷گ، ۱۶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۸۱]</w:t>
      </w:r>
    </w:p>
    <w:p>
      <w:pPr>
        <w:pStyle w:val="BookText"/>
      </w:pPr>
      <w:r>
        <w:rPr>
          <w:rFonts w:ascii="IRNazanin" w:hAnsi="IRNazanin" w:eastAsia="IRNazanin" w:cs="IRNazanin"/>
          <w:lang w:bidi="fa-IR"/>
          <w:color w:val="111111"/>
          <w:sz w:val="28"/>
          <w:szCs w:val="28"/>
          <w:rtl/>
        </w:rPr>
        <w:t xml:space="preserve">۱۶۲. تهران؛ حوزه آستان حضرت عبدالعظیم؛ شماره نسخه: ۶۸</w:t>
      </w:r>
    </w:p>
    <w:p>
      <w:pPr>
        <w:pStyle w:val="BookText"/>
      </w:pPr>
      <w:r>
        <w:rPr>
          <w:rFonts w:ascii="IRNazanin" w:hAnsi="IRNazanin" w:eastAsia="IRNazanin" w:cs="IRNazanin"/>
          <w:lang w:bidi="fa-IR"/>
          <w:color w:val="111111"/>
          <w:sz w:val="28"/>
          <w:szCs w:val="28"/>
          <w:rtl/>
        </w:rPr>
        <w:t xml:space="preserve">انجام: اذا وقع خامسا عزل بمعنی حذف كقولك في المعتدي</w:t>
      </w:r>
    </w:p>
    <w:p>
      <w:pPr>
        <w:pStyle w:val="BookText"/>
      </w:pPr>
      <w:r>
        <w:rPr>
          <w:rFonts w:ascii="IRNazanin" w:hAnsi="IRNazanin" w:eastAsia="IRNazanin" w:cs="IRNazanin"/>
          <w:lang w:bidi="fa-IR"/>
          <w:color w:val="111111"/>
          <w:sz w:val="28"/>
          <w:szCs w:val="28"/>
          <w:rtl/>
        </w:rPr>
        <w:t xml:space="preserve">خط: نسخ و نستعلیق، بی کا، تا: قرن ۱۳؛ افتادگی: انجام؛ مصحح، محشی؛ ۹۴گ، ۱۲سطر،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18]</w:t>
      </w:r>
    </w:p>
    <w:p>
      <w:pPr>
        <w:pStyle w:val="BookText"/>
      </w:pPr>
      <w:r>
        <w:rPr>
          <w:rFonts w:ascii="IRNazanin" w:hAnsi="IRNazanin" w:eastAsia="IRNazanin" w:cs="IRNazanin"/>
          <w:lang w:bidi="fa-IR"/>
          <w:color w:val="111111"/>
          <w:sz w:val="28"/>
          <w:szCs w:val="28"/>
          <w:rtl/>
        </w:rPr>
        <w:t xml:space="preserve">۱۶۳. تهران: حوزه آستان حضرت عبدالعظیم؛ شماره نسخه: ۷۲</w:t>
      </w:r>
    </w:p>
    <w:p>
      <w:pPr>
        <w:pStyle w:val="BookText"/>
      </w:pPr>
      <w:r>
        <w:rPr>
          <w:rFonts w:ascii="IRNazanin" w:hAnsi="IRNazanin" w:eastAsia="IRNazanin" w:cs="IRNazanin"/>
          <w:lang w:bidi="fa-IR"/>
          <w:color w:val="111111"/>
          <w:sz w:val="28"/>
          <w:szCs w:val="28"/>
          <w:rtl/>
        </w:rPr>
        <w:t xml:space="preserve">خط: نسخ، بی کا، تا: قرن ۱۳؛ افتادگی: انجام؛ مهر: «عبده ابو تراب</w:t>
      </w:r>
    </w:p>
    <w:p>
      <w:pPr>
        <w:pStyle w:val="BookText"/>
      </w:pPr>
      <w:r>
        <w:rPr>
          <w:rFonts w:ascii="IRNazanin" w:hAnsi="IRNazanin" w:eastAsia="IRNazanin" w:cs="IRNazanin"/>
          <w:lang w:bidi="fa-IR"/>
          <w:color w:val="111111"/>
          <w:sz w:val="28"/>
          <w:szCs w:val="28"/>
          <w:rtl/>
        </w:rPr>
        <w:t xml:space="preserve">الحسنی الحسینی» (مربع)؛ جلد: تیماج قهوه ای مجدول با ترنج و سرترنج، ۴۰گ، ۱۴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۱۸]</w:t>
      </w:r>
    </w:p>
    <w:p>
      <w:pPr>
        <w:pStyle w:val="BookText"/>
      </w:pPr>
      <w:r>
        <w:rPr>
          <w:rFonts w:ascii="IRNazanin" w:hAnsi="IRNazanin" w:eastAsia="IRNazanin" w:cs="IRNazanin"/>
          <w:lang w:bidi="fa-IR"/>
          <w:color w:val="111111"/>
          <w:sz w:val="28"/>
          <w:szCs w:val="28"/>
          <w:rtl/>
        </w:rPr>
        <w:t xml:space="preserve">۱۶۴. ساری؛ عمومی؛ شماره نسخه: ۱۱۳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۱۳؛ کاغذ: فستقی، جلد: تیماج مشکی، ۲۴۰ ص، ۱۵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۹۲]</w:t>
      </w:r>
    </w:p>
    <w:p>
      <w:pPr>
        <w:pStyle w:val="BookText"/>
      </w:pPr>
      <w:r>
        <w:rPr>
          <w:rFonts w:ascii="IRNazanin" w:hAnsi="IRNazanin" w:eastAsia="IRNazanin" w:cs="IRNazanin"/>
          <w:lang w:bidi="fa-IR"/>
          <w:color w:val="111111"/>
          <w:sz w:val="28"/>
          <w:szCs w:val="28"/>
          <w:rtl/>
        </w:rPr>
        <w:t xml:space="preserve">۱۶۵. تهران، دانشگاه؛ شماره نسخه: ۷۶۳۹/۲</w:t>
      </w:r>
    </w:p>
    <w:p>
      <w:pPr>
        <w:pStyle w:val="BookText"/>
      </w:pPr>
      <w:r>
        <w:rPr>
          <w:rFonts w:ascii="IRNazanin" w:hAnsi="IRNazanin" w:eastAsia="IRNazanin" w:cs="IRNazanin"/>
          <w:lang w:bidi="fa-IR"/>
          <w:color w:val="111111"/>
          <w:sz w:val="28"/>
          <w:szCs w:val="28"/>
          <w:rtl/>
        </w:rPr>
        <w:t xml:space="preserve">بی کا، تا: قرن ۱۳؛ کاغذ: فرنگی، جلد: مقوا عطف تیماج تریاکی، ۲۷گ (۲۷-۵۳)، ۱۲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 سم [ف: ۶۶۲-۱۶ ]</w:t>
      </w:r>
    </w:p>
    <w:p>
      <w:pPr>
        <w:pStyle w:val="BookText"/>
      </w:pPr>
      <w:r>
        <w:rPr>
          <w:rFonts w:ascii="IRNazanin" w:hAnsi="IRNazanin" w:eastAsia="IRNazanin" w:cs="IRNazanin"/>
          <w:lang w:bidi="fa-IR"/>
          <w:color w:val="111111"/>
          <w:sz w:val="28"/>
          <w:szCs w:val="28"/>
          <w:rtl/>
        </w:rPr>
        <w:t xml:space="preserve">۱۶۶. تهران؛ مجلس؛ شماره نسخه: ۸۵۱۴</w:t>
      </w:r>
    </w:p>
    <w:p>
      <w:pPr>
        <w:pStyle w:val="BookText"/>
      </w:pPr>
      <w:r>
        <w:rPr>
          <w:rFonts w:ascii="IRNazanin" w:hAnsi="IRNazanin" w:eastAsia="IRNazanin" w:cs="IRNazanin"/>
          <w:lang w:bidi="fa-IR"/>
          <w:color w:val="111111"/>
          <w:sz w:val="28"/>
          <w:szCs w:val="28"/>
          <w:rtl/>
        </w:rPr>
        <w:t xml:space="preserve">آغاز: منهم بنی هاشم ثم اختار بنی هاشم فاختارنی فلم ازل خيارة من خیار و على آله ای أقاربه المؤمنين من بنی هاشم و المطلب؛ انجام: مصلية و مسلما على محمد خير نبی ارسلا ای ارسله الى الناس ليدعوهم إلى</w:t>
      </w:r>
    </w:p>
    <w:p>
      <w:pPr>
        <w:pStyle w:val="BookText"/>
      </w:pPr>
      <w:r>
        <w:rPr>
          <w:rFonts w:ascii="IRNazanin" w:hAnsi="IRNazanin" w:eastAsia="IRNazanin" w:cs="IRNazanin"/>
          <w:lang w:bidi="fa-IR"/>
          <w:color w:val="111111"/>
          <w:sz w:val="28"/>
          <w:szCs w:val="28"/>
          <w:rtl/>
        </w:rPr>
        <w:t xml:space="preserve">خط: نستعلیق، بی کا، تا: قرن ۱۳؛ افتادگی: آغاز و انجام؛ محشی؛ جلد: تیماج قهوه ای، ۹۵گ، مختلف السطر،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۲۸-۸۰]</w:t>
      </w:r>
    </w:p>
    <w:p>
      <w:pPr>
        <w:pStyle w:val="BookText"/>
      </w:pPr>
      <w:r>
        <w:rPr>
          <w:rFonts w:ascii="IRNazanin" w:hAnsi="IRNazanin" w:eastAsia="IRNazanin" w:cs="IRNazanin"/>
          <w:lang w:bidi="fa-IR"/>
          <w:color w:val="111111"/>
          <w:sz w:val="28"/>
          <w:szCs w:val="28"/>
          <w:rtl/>
        </w:rPr>
        <w:t xml:space="preserve">۱۶۷. اصفهان؛ مدرسه صدر بازار؛ شماره نسخه: ۶۸۱</w:t>
      </w:r>
    </w:p>
    <w:p>
      <w:pPr>
        <w:pStyle w:val="BookText"/>
      </w:pPr>
      <w:r>
        <w:rPr>
          <w:rFonts w:ascii="IRNazanin" w:hAnsi="IRNazanin" w:eastAsia="IRNazanin" w:cs="IRNazanin"/>
          <w:lang w:bidi="fa-IR"/>
          <w:color w:val="111111"/>
          <w:sz w:val="28"/>
          <w:szCs w:val="28"/>
          <w:rtl/>
        </w:rPr>
        <w:t xml:space="preserve">خط: نسخ، بی کا، تا: قرن ۱۳؛ مصحح، محشی؛ جلد: تیماج مشکی ضربی، ۸۰گ، مختلف السطر،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۳۳/۵سم [ف: ۲-۵۰۰]</w:t>
      </w:r>
    </w:p>
    <w:p>
      <w:pPr>
        <w:pStyle w:val="BookText"/>
      </w:pPr>
      <w:r>
        <w:rPr>
          <w:rFonts w:ascii="IRNazanin" w:hAnsi="IRNazanin" w:eastAsia="IRNazanin" w:cs="IRNazanin"/>
          <w:lang w:bidi="fa-IR"/>
          <w:color w:val="111111"/>
          <w:sz w:val="28"/>
          <w:szCs w:val="28"/>
          <w:rtl/>
        </w:rPr>
        <w:t xml:space="preserve">۱۶۸. یزد؛ سریزدی؛ شماره نسخه: ۲۵</w:t>
      </w:r>
    </w:p>
    <w:p>
      <w:pPr>
        <w:pStyle w:val="BookText"/>
      </w:pPr>
      <w:r>
        <w:rPr>
          <w:rFonts w:ascii="Amiri" w:hAnsi="Amiri" w:eastAsia="Amiri" w:cs="Amiri"/>
          <w:lang w:bidi="ar-SA"/>
          <w:color w:val="111111"/>
          <w:sz w:val="28"/>
          <w:szCs w:val="28"/>
          <w:rtl/>
        </w:rPr>
        <w:t xml:space="preserve">آغاز: شرح الكلام ما يتألف منه و هو الكلم الثلاث كلامنا معاشر النحويين؛ انجام: و ربما نقصت حرف أو زدت حرفا فحسبه الغبي اخلاط ..</w:t>
      </w:r>
    </w:p>
    <w:p>
      <w:pPr>
        <w:pStyle w:val="BookText"/>
      </w:pPr>
      <w:r>
        <w:rPr>
          <w:rFonts w:ascii="IRNazanin" w:hAnsi="IRNazanin" w:eastAsia="IRNazanin" w:cs="IRNazanin"/>
          <w:lang w:bidi="fa-IR"/>
          <w:color w:val="111111"/>
          <w:sz w:val="28"/>
          <w:szCs w:val="28"/>
          <w:rtl/>
        </w:rPr>
        <w:t xml:space="preserve">خط: نسخ، بی کا، تا: قرن ۱۳؛ افتادگی: آغاز و انجام؛ مصحح، محشی؛ جلد: تیماج مشکی ضربی، عطف تیماج قرمز، ۱۲۴گ، ۱۴سطر،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۱-۲۷]</w:t>
      </w:r>
    </w:p>
    <w:p>
      <w:pPr>
        <w:pStyle w:val="BookText"/>
      </w:pPr>
      <w:r>
        <w:rPr>
          <w:rFonts w:ascii="IRNazanin" w:hAnsi="IRNazanin" w:eastAsia="IRNazanin" w:cs="IRNazanin"/>
          <w:lang w:bidi="fa-IR"/>
          <w:color w:val="111111"/>
          <w:sz w:val="28"/>
          <w:szCs w:val="28"/>
          <w:rtl/>
        </w:rPr>
        <w:t xml:space="preserve">۱۶۹. قم: مؤسسه آية الله بروجردی؛ شماره نسخه: ۵۹۲</w:t>
      </w:r>
    </w:p>
    <w:p>
      <w:pPr>
        <w:pStyle w:val="BookText"/>
      </w:pPr>
      <w:r>
        <w:rPr>
          <w:rFonts w:ascii="Amiri" w:hAnsi="Amiri" w:eastAsia="Amiri" w:cs="Amiri"/>
          <w:lang w:bidi="ar-SA"/>
          <w:color w:val="111111"/>
          <w:sz w:val="28"/>
          <w:szCs w:val="28"/>
          <w:rtl/>
        </w:rPr>
        <w:t xml:space="preserve">آغاز: اعرابا و بناء و ما يعرف به ذواتها صحة و اعتلالا</w:t>
      </w:r>
    </w:p>
    <w:p>
      <w:pPr>
        <w:pStyle w:val="BookText"/>
      </w:pPr>
      <w:r>
        <w:rPr>
          <w:rFonts w:ascii="IRNazanin" w:hAnsi="IRNazanin" w:eastAsia="IRNazanin" w:cs="IRNazanin"/>
          <w:lang w:bidi="fa-IR"/>
          <w:color w:val="111111"/>
          <w:sz w:val="28"/>
          <w:szCs w:val="28"/>
          <w:rtl/>
        </w:rPr>
        <w:t xml:space="preserve">خط: نسخ، بی کا، تا: قرن ۱۳؛ افتادگی: آغاز؛ مصحح، محشی؛ جلد: تیماج مشکی، ۱۰۲گی، ۱۱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۳۷۳-۲ ]</w:t>
      </w:r>
    </w:p>
    <w:p>
      <w:pPr>
        <w:pStyle w:val="BookText"/>
      </w:pPr>
      <w:r>
        <w:rPr>
          <w:rFonts w:ascii="IRNazanin" w:hAnsi="IRNazanin" w:eastAsia="IRNazanin" w:cs="IRNazanin"/>
          <w:lang w:bidi="fa-IR"/>
          <w:color w:val="111111"/>
          <w:sz w:val="28"/>
          <w:szCs w:val="28"/>
          <w:rtl/>
        </w:rPr>
        <w:t xml:space="preserve">۱۷۰. شیراز؛ شاهچراغ؛ شماره نسخه: ۳۶۱/۱</w:t>
      </w:r>
    </w:p>
    <w:p>
      <w:pPr>
        <w:pStyle w:val="BookText"/>
      </w:pPr>
      <w:r>
        <w:rPr>
          <w:rFonts w:ascii="IRNazanin" w:hAnsi="IRNazanin" w:eastAsia="IRNazanin" w:cs="IRNazanin"/>
          <w:lang w:bidi="fa-IR"/>
          <w:color w:val="111111"/>
          <w:sz w:val="28"/>
          <w:szCs w:val="28"/>
          <w:rtl/>
        </w:rPr>
        <w:t xml:space="preserve">خط: نسخ، بی کا، تا: قرن ۱۳؛ محشى؛ ۱۴۷گ (۱ر-۱۴۷ر)،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۳-۱۰۱]</w:t>
      </w:r>
    </w:p>
    <w:p>
      <w:pPr>
        <w:pStyle w:val="BookText"/>
      </w:pPr>
      <w:r>
        <w:rPr>
          <w:rFonts w:ascii="IRNazanin" w:hAnsi="IRNazanin" w:eastAsia="IRNazanin" w:cs="IRNazanin"/>
          <w:lang w:bidi="fa-IR"/>
          <w:color w:val="111111"/>
          <w:sz w:val="28"/>
          <w:szCs w:val="28"/>
          <w:rtl/>
        </w:rPr>
        <w:t xml:space="preserve">۱۷۱. شیراز؛ شاهچراغ؛ شماره نسخه: ۴۹۰</w:t>
      </w:r>
    </w:p>
    <w:p>
      <w:pPr>
        <w:pStyle w:val="BookText"/>
      </w:pPr>
      <w:r>
        <w:rPr>
          <w:rFonts w:ascii="IRNazanin" w:hAnsi="IRNazanin" w:eastAsia="IRNazanin" w:cs="IRNazanin"/>
          <w:lang w:bidi="fa-IR"/>
          <w:color w:val="111111"/>
          <w:sz w:val="28"/>
          <w:szCs w:val="28"/>
          <w:rtl/>
        </w:rPr>
        <w:t xml:space="preserve">خط: نسخ، بی کا، تا: قرن ۱۳؛ افتادگی: آغاز و انجام؛ محشی ؛ ۱۹۳گ، اندازه: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۲۴/۵سم [ف: ۳-۱۴]</w:t>
      </w:r>
    </w:p>
    <w:p>
      <w:pPr>
        <w:pStyle w:val="BookText"/>
      </w:pPr>
      <w:r>
        <w:rPr>
          <w:rFonts w:ascii="IRNazanin" w:hAnsi="IRNazanin" w:eastAsia="IRNazanin" w:cs="IRNazanin"/>
          <w:lang w:bidi="fa-IR"/>
          <w:color w:val="111111"/>
          <w:sz w:val="28"/>
          <w:szCs w:val="28"/>
          <w:rtl/>
        </w:rPr>
        <w:t xml:space="preserve">۱۷۲. شیراز؛ شاهچراغ؛ شماره نسخه: ۵۰۵</w:t>
      </w:r>
    </w:p>
    <w:p>
      <w:pPr>
        <w:pStyle w:val="BookText"/>
      </w:pPr>
      <w:r>
        <w:rPr>
          <w:rFonts w:ascii="IRNazanin" w:hAnsi="IRNazanin" w:eastAsia="IRNazanin" w:cs="IRNazanin"/>
          <w:lang w:bidi="fa-IR"/>
          <w:color w:val="111111"/>
          <w:sz w:val="28"/>
          <w:szCs w:val="28"/>
          <w:rtl/>
        </w:rPr>
        <w:t xml:space="preserve">خط: نسخ، بی کا، تا: قرن ۱۳؛ افتادگی: انجام؛ ۱۵۴گ،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۳-۱۴]</w:t>
      </w:r>
    </w:p>
    <w:p>
      <w:pPr>
        <w:pStyle w:val="BookText"/>
      </w:pPr>
      <w:r>
        <w:rPr>
          <w:rFonts w:ascii="IRNazanin" w:hAnsi="IRNazanin" w:eastAsia="IRNazanin" w:cs="IRNazanin"/>
          <w:lang w:bidi="fa-IR"/>
          <w:color w:val="111111"/>
          <w:sz w:val="28"/>
          <w:szCs w:val="28"/>
          <w:rtl/>
        </w:rPr>
        <w:t xml:space="preserve">۱۷۳. شیراز؛ شاهچراغ؛ شماره نسخه: ۱۹۶۹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نسخ، بی کا، تا: قرن ۱۳؛ افتادگی: آغاز و انجام؛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۳-۱۴]</w:t>
      </w:r>
    </w:p>
    <w:p>
      <w:pPr>
        <w:pStyle w:val="BookText"/>
      </w:pPr>
      <w:r>
        <w:rPr>
          <w:rFonts w:ascii="IRNazanin" w:hAnsi="IRNazanin" w:eastAsia="IRNazanin" w:cs="IRNazanin"/>
          <w:lang w:bidi="fa-IR"/>
          <w:color w:val="111111"/>
          <w:sz w:val="28"/>
          <w:szCs w:val="28"/>
          <w:rtl/>
        </w:rPr>
        <w:t xml:space="preserve">۱۷۴. تهران؛ سپهسالار؛ شماره نسخه: ۳۱۹۷</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كا: حیدر علی، تا: ۱۲۰۱ق؛ محشی از میرزا ابوطالب و کتاب تصريح و جامع الشواهد و ابن عقیل و چلبی و بدون امضاء؛ واقف: سپهسالار؛ کاغذ: فرنگی، جلد: تیماج، ۱۲۷، ۱۶ سطر، قطع: خشتی،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۲-۳۳۸]</w:t>
      </w:r>
    </w:p>
    <w:p>
      <w:pPr>
        <w:pStyle w:val="BookText"/>
      </w:pPr>
      <w:r>
        <w:rPr>
          <w:rFonts w:ascii="IRNazanin" w:hAnsi="IRNazanin" w:eastAsia="IRNazanin" w:cs="IRNazanin"/>
          <w:lang w:bidi="fa-IR"/>
          <w:color w:val="111111"/>
          <w:sz w:val="28"/>
          <w:szCs w:val="28"/>
          <w:rtl/>
        </w:rPr>
        <w:t xml:space="preserve">۱۷۵. کاشان؛ جعفری؛ شماره نسخه: ۵۷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خط: نسخ، كا: حسینعلی بن لطفعلی مازندرانی نوری، تا: ۱۲۰۳ق، جان شیراز؛ جلد: تیماج قهوه ای، ۱۲۸گ، ۱۴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مخ]</w:t>
      </w:r>
    </w:p>
    <w:p>
      <w:pPr>
        <w:pStyle w:val="BookText"/>
      </w:pPr>
      <w:r>
        <w:rPr>
          <w:rFonts w:ascii="IRNazanin" w:hAnsi="IRNazanin" w:eastAsia="IRNazanin" w:cs="IRNazanin"/>
          <w:lang w:bidi="fa-IR"/>
          <w:color w:val="111111"/>
          <w:sz w:val="28"/>
          <w:szCs w:val="28"/>
          <w:rtl/>
        </w:rPr>
        <w:t xml:space="preserve">۱۷۶. اصفهان؛ دانشگاه؛ شماره نسخه: ۵۳۶/۲</w:t>
      </w:r>
    </w:p>
    <w:p>
      <w:pPr>
        <w:pStyle w:val="BookText"/>
      </w:pPr>
      <w:r>
        <w:rPr>
          <w:rFonts w:ascii="IRNazanin" w:hAnsi="IRNazanin" w:eastAsia="IRNazanin" w:cs="IRNazanin"/>
          <w:lang w:bidi="fa-IR"/>
          <w:color w:val="111111"/>
          <w:sz w:val="28"/>
          <w:szCs w:val="28"/>
          <w:rtl/>
        </w:rPr>
        <w:t xml:space="preserve">خط: نسخ و نستعلیق، کا: رمضانعلی ملقب به اسحاق، تا: با تاریخ ۱۲۰۳، جلد: تیماج مشکی، ۵۵گ (۵۴-۱۰۸پ)،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۲-۴۱۱]</w:t>
      </w:r>
    </w:p>
    <w:p>
      <w:pPr>
        <w:pStyle w:val="BookText"/>
      </w:pPr>
      <w:r>
        <w:rPr>
          <w:rFonts w:ascii="IRNazanin" w:hAnsi="IRNazanin" w:eastAsia="IRNazanin" w:cs="IRNazanin"/>
          <w:lang w:bidi="fa-IR"/>
          <w:color w:val="111111"/>
          <w:sz w:val="28"/>
          <w:szCs w:val="28"/>
          <w:rtl/>
        </w:rPr>
        <w:t xml:space="preserve">۱۷۷. شیراز؛ ملی؛ شماره نسخه: ۲۵-الف/۲۴۵</w:t>
      </w:r>
    </w:p>
    <w:p>
      <w:pPr>
        <w:pStyle w:val="BookText"/>
      </w:pPr>
      <w:r>
        <w:rPr>
          <w:rFonts w:ascii="IRNazanin" w:hAnsi="IRNazanin" w:eastAsia="IRNazanin" w:cs="IRNazanin"/>
          <w:lang w:bidi="fa-IR"/>
          <w:color w:val="111111"/>
          <w:sz w:val="28"/>
          <w:szCs w:val="28"/>
          <w:rtl/>
        </w:rPr>
        <w:t xml:space="preserve">انجام: قد فرغت هذا الكتاب تراب اقدام المومنین ابن محمد علی تبریزی صادق في شهر ربيع الثانی سنه ۱۲۰۵ خط: نسخ، كان صادق ابن محمد علی تبریزی، تا: ربيع الثانی ۱۲۰۵ق؛ محشی؛ کاغذ: فرنگی کلفت سفید، جلد: مقوا با تیماج قهوه ای، ۱۱۲، ۱۶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۱-۲۲۰]</w:t>
      </w:r>
    </w:p>
    <w:p>
      <w:pPr>
        <w:pStyle w:val="BookText"/>
      </w:pPr>
      <w:r>
        <w:rPr>
          <w:rFonts w:ascii="IRNazanin" w:hAnsi="IRNazanin" w:eastAsia="IRNazanin" w:cs="IRNazanin"/>
          <w:lang w:bidi="fa-IR"/>
          <w:color w:val="111111"/>
          <w:sz w:val="28"/>
          <w:szCs w:val="28"/>
          <w:rtl/>
        </w:rPr>
        <w:t xml:space="preserve">۱۷۸. مشهد؛ رضوی؛ شماره نسخه: ۲۲۷۸۶</w:t>
      </w:r>
    </w:p>
    <w:p>
      <w:pPr>
        <w:pStyle w:val="BookText"/>
      </w:pPr>
      <w:r>
        <w:rPr>
          <w:rFonts w:ascii="IRNazanin" w:hAnsi="IRNazanin" w:eastAsia="IRNazanin" w:cs="IRNazanin"/>
          <w:lang w:bidi="fa-IR"/>
          <w:color w:val="111111"/>
          <w:sz w:val="28"/>
          <w:szCs w:val="28"/>
          <w:rtl/>
        </w:rPr>
        <w:t xml:space="preserve">آغاز: مالک الطائي الاندلسي الجبانی الشافعی؛ انجام: الطيبين الطاهرين في شهر رمضان المعظم سنه ۱۲۰۵</w:t>
      </w:r>
    </w:p>
    <w:p>
      <w:pPr>
        <w:pStyle w:val="BookText"/>
      </w:pPr>
      <w:r>
        <w:rPr>
          <w:rFonts w:ascii="IRNazanin" w:hAnsi="IRNazanin" w:eastAsia="IRNazanin" w:cs="IRNazanin"/>
          <w:lang w:bidi="fa-IR"/>
          <w:color w:val="111111"/>
          <w:sz w:val="28"/>
          <w:szCs w:val="28"/>
          <w:rtl/>
        </w:rPr>
        <w:t xml:space="preserve">خط: نسخ، بی کا، تا: ۱۲۰۵ق؛ کاغذ: شکری، جلد: تیماج، ۱۳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[رایانه]</w:t>
      </w:r>
    </w:p>
    <w:p>
      <w:pPr>
        <w:pStyle w:val="BookText"/>
      </w:pPr>
      <w:r>
        <w:rPr>
          <w:rFonts w:ascii="IRNazanin" w:hAnsi="IRNazanin" w:eastAsia="IRNazanin" w:cs="IRNazanin"/>
          <w:lang w:bidi="fa-IR"/>
          <w:color w:val="111111"/>
          <w:sz w:val="28"/>
          <w:szCs w:val="28"/>
          <w:rtl/>
        </w:rPr>
        <w:t xml:space="preserve">۱۷۹. مشهد؛ رضوی؛ شماره نسخه: ۲۷۱۰۸</w:t>
      </w:r>
    </w:p>
    <w:p>
      <w:pPr>
        <w:pStyle w:val="BookText"/>
      </w:pPr>
      <w:r>
        <w:rPr>
          <w:rFonts w:ascii="Amiri" w:hAnsi="Amiri" w:eastAsia="Amiri" w:cs="Amiri"/>
          <w:lang w:bidi="ar-SA"/>
          <w:color w:val="111111"/>
          <w:sz w:val="28"/>
          <w:szCs w:val="28"/>
          <w:rtl/>
        </w:rPr>
        <w:t xml:space="preserve">آغاز: برابر؛ انجام: و من العلم العمل و جعلنا الله و اياكم من الراسخين في الامرين ... بنبيه خير البريه اجمعين و اله و عترته الطاهرين تمت ۱۲۰۶</w:t>
      </w:r>
    </w:p>
    <w:p>
      <w:pPr>
        <w:pStyle w:val="BookText"/>
      </w:pPr>
      <w:r>
        <w:rPr>
          <w:rFonts w:ascii="IRNazanin" w:hAnsi="IRNazanin" w:eastAsia="IRNazanin" w:cs="IRNazanin"/>
          <w:lang w:bidi="fa-IR"/>
          <w:color w:val="111111"/>
          <w:sz w:val="28"/>
          <w:szCs w:val="28"/>
          <w:rtl/>
        </w:rPr>
        <w:t xml:space="preserve">خط: نسخ خفی، بی کا، تا: ۱۲۰۶ق؛ کاغذ: شکری، جلد: تیماج، ۱۶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قطع: وزیری کوچک،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[رایانه]</w:t>
      </w:r>
    </w:p>
    <w:p>
      <w:pPr>
        <w:pStyle w:val="BookText"/>
      </w:pPr>
      <w:r>
        <w:rPr>
          <w:rFonts w:ascii="IRNazanin" w:hAnsi="IRNazanin" w:eastAsia="IRNazanin" w:cs="IRNazanin"/>
          <w:lang w:bidi="fa-IR"/>
          <w:color w:val="111111"/>
          <w:sz w:val="28"/>
          <w:szCs w:val="28"/>
          <w:rtl/>
        </w:rPr>
        <w:t xml:space="preserve">۱۸۰. یزد؛ وزیری؛ شماره نسخه: ۲۳۶۸</w:t>
      </w:r>
    </w:p>
    <w:p>
      <w:pPr>
        <w:pStyle w:val="BookText"/>
      </w:pPr>
      <w:r>
        <w:rPr>
          <w:rFonts w:ascii="IRNazanin" w:hAnsi="IRNazanin" w:eastAsia="IRNazanin" w:cs="IRNazanin"/>
          <w:lang w:bidi="fa-IR"/>
          <w:color w:val="111111"/>
          <w:sz w:val="28"/>
          <w:szCs w:val="28"/>
          <w:rtl/>
        </w:rPr>
        <w:t xml:space="preserve">خط: نسخ، کا: محمد بن محمد رضا، تا: رجب ۱۲۰۶ق؛ اهدایی: وزیری؛ کاغذ: اصفهانی، جلد: تیماج مشکی، ۱۲۲گ، ۱۹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سم [ف: ۴-۱۲۶۶]</w:t>
      </w:r>
    </w:p>
    <w:p>
      <w:pPr>
        <w:pStyle w:val="BookText"/>
      </w:pPr>
      <w:r>
        <w:rPr>
          <w:rFonts w:ascii="IRNazanin" w:hAnsi="IRNazanin" w:eastAsia="IRNazanin" w:cs="IRNazanin"/>
          <w:lang w:bidi="fa-IR"/>
          <w:color w:val="111111"/>
          <w:sz w:val="28"/>
          <w:szCs w:val="28"/>
          <w:rtl/>
        </w:rPr>
        <w:t xml:space="preserve">۱۸۱. قم؛ فیضیه؛ شماره نسخه: ۸۱۶</w:t>
      </w:r>
    </w:p>
    <w:p>
      <w:pPr>
        <w:pStyle w:val="BookText"/>
      </w:pPr>
      <w:r>
        <w:rPr>
          <w:rFonts w:ascii="IRNazanin" w:hAnsi="IRNazanin" w:eastAsia="IRNazanin" w:cs="IRNazanin"/>
          <w:lang w:bidi="fa-IR"/>
          <w:color w:val="111111"/>
          <w:sz w:val="28"/>
          <w:szCs w:val="28"/>
          <w:rtl/>
        </w:rPr>
        <w:t xml:space="preserve">خط: نسخ، بی کا، تا: ۱۲۰۷ق؛ ۱۰۷گ، ۱۷سطر،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۱-۳۴]</w:t>
      </w:r>
    </w:p>
    <w:p>
      <w:pPr>
        <w:pStyle w:val="BookText"/>
      </w:pPr>
      <w:r>
        <w:rPr>
          <w:rFonts w:ascii="IRNazanin" w:hAnsi="IRNazanin" w:eastAsia="IRNazanin" w:cs="IRNazanin"/>
          <w:lang w:bidi="fa-IR"/>
          <w:color w:val="111111"/>
          <w:sz w:val="28"/>
          <w:szCs w:val="28"/>
          <w:rtl/>
        </w:rPr>
        <w:t xml:space="preserve">۱۸۲. تهران؛ سپهسالار؛ شماره نسخه: ۳۱۹۶</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و نستعلیق، کا: محمد بن محمد شریف، تا: ۱۲۰۷ق؛ محشي از جامع الشواهد؛ واقف: سپهسالار؛ کاغذ: فرنگی آبی رنگ، جلد: تیماج، ۱۸۲ص، ۱۵ سطر، قطع: خشتی،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۲-۳۳۸]</w:t>
      </w:r>
    </w:p>
    <w:p>
      <w:pPr>
        <w:pStyle w:val="BookText"/>
      </w:pPr>
      <w:r>
        <w:rPr>
          <w:rFonts w:ascii="IRNazanin" w:hAnsi="IRNazanin" w:eastAsia="IRNazanin" w:cs="IRNazanin"/>
          <w:lang w:bidi="fa-IR"/>
          <w:color w:val="111111"/>
          <w:sz w:val="28"/>
          <w:szCs w:val="28"/>
          <w:rtl/>
        </w:rPr>
        <w:t xml:space="preserve">۱۸۳. تهران: ملی؛ شماره نسخه: ۳۱۷۰</w:t>
      </w:r>
    </w:p>
    <w:p>
      <w:pPr>
        <w:pStyle w:val="BookText"/>
      </w:pPr>
      <w:r>
        <w:rPr>
          <w:rFonts w:ascii="IRNazanin" w:hAnsi="IRNazanin" w:eastAsia="IRNazanin" w:cs="IRNazanin"/>
          <w:lang w:bidi="fa-IR"/>
          <w:color w:val="111111"/>
          <w:sz w:val="28"/>
          <w:szCs w:val="28"/>
          <w:rtl/>
        </w:rPr>
        <w:t xml:space="preserve">آغاز: قال في شرح الكافية و المراد سکوت المتكلم و قيل السامع ... و خرج به ما لا يفيد كان قام مثلا؛ انجام: برابر خط: نسخ، بی کا، تا: ۱۲۰۸ق؛ افتادگی: آغاز؛ محشی؛ جلد: تیماج تریاکی سوخته یک لا دارای جدول و منگنه ضربی، ۲۱۶گ، ۱۰ ۱۲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۲۰/۵سم [ف: ۱۴-۲۸۵)</w:t>
      </w:r>
    </w:p>
    <w:p>
      <w:pPr>
        <w:pStyle w:val="BookText"/>
      </w:pPr>
      <w:r>
        <w:rPr>
          <w:rFonts w:ascii="IRNazanin" w:hAnsi="IRNazanin" w:eastAsia="IRNazanin" w:cs="IRNazanin"/>
          <w:lang w:bidi="fa-IR"/>
          <w:color w:val="111111"/>
          <w:sz w:val="28"/>
          <w:szCs w:val="28"/>
          <w:rtl/>
        </w:rPr>
        <w:t xml:space="preserve">۱۸۴. دامغان؛ صادقیه؛ شماره نسخه: ۲۰۷</w:t>
      </w:r>
    </w:p>
    <w:p>
      <w:pPr>
        <w:pStyle w:val="BookText"/>
      </w:pPr>
      <w:r>
        <w:rPr>
          <w:rFonts w:ascii="Amiri" w:hAnsi="Amiri" w:eastAsia="Amiri" w:cs="Amiri"/>
          <w:lang w:bidi="ar-SA"/>
          <w:color w:val="111111"/>
          <w:sz w:val="28"/>
          <w:szCs w:val="28"/>
          <w:rtl/>
        </w:rPr>
        <w:t xml:space="preserve">آغاز: سبقت الى وضع كتابه وتدم عصره حائز أي جامع تفضيلا التفضيل السابق شرعاً وعرفاً</w:t>
      </w:r>
    </w:p>
    <w:p>
      <w:pPr>
        <w:pStyle w:val="BookText"/>
      </w:pPr>
      <w:r>
        <w:rPr>
          <w:rFonts w:ascii="IRNazanin" w:hAnsi="IRNazanin" w:eastAsia="IRNazanin" w:cs="IRNazanin"/>
          <w:lang w:bidi="fa-IR"/>
          <w:color w:val="111111"/>
          <w:sz w:val="28"/>
          <w:szCs w:val="28"/>
          <w:rtl/>
        </w:rPr>
        <w:t xml:space="preserve">خط: نسخ، بی کا، تا: غره ربيع الثانی ۱۲۰۸ق؛ افتادگی: آغاز و انجام؛ استكتاب شخصی است با مهر «عبده ابوالحسن» (مربع)، محشی؛ ۱۲۳ گ، ۱۹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مخ: ۲۴]</w:t>
      </w:r>
    </w:p>
    <w:p>
      <w:pPr>
        <w:pStyle w:val="BookText"/>
      </w:pPr>
      <w:r>
        <w:rPr>
          <w:rFonts w:ascii="IRNazanin" w:hAnsi="IRNazanin" w:eastAsia="IRNazanin" w:cs="IRNazanin"/>
          <w:lang w:bidi="fa-IR"/>
          <w:color w:val="111111"/>
          <w:sz w:val="28"/>
          <w:szCs w:val="28"/>
          <w:rtl/>
        </w:rPr>
        <w:t xml:space="preserve">۱۸۵. قم: مرکز مطالعات؛ شماره نسخه: ۳۸۲</w:t>
      </w:r>
    </w:p>
    <w:p>
      <w:pPr>
        <w:pStyle w:val="BookText"/>
      </w:pPr>
      <w:r>
        <w:rPr>
          <w:rFonts w:ascii="IRNazanin" w:hAnsi="IRNazanin" w:eastAsia="IRNazanin" w:cs="IRNazanin"/>
          <w:lang w:bidi="fa-IR"/>
          <w:color w:val="111111"/>
          <w:sz w:val="28"/>
          <w:szCs w:val="28"/>
          <w:rtl/>
        </w:rPr>
        <w:t xml:space="preserve">آغاز: الاليت مبطل اعمالا لزوال اختصاصها بالاسماء كقوله تعالی انما الله اله واحد</w:t>
      </w:r>
    </w:p>
    <w:p>
      <w:pPr>
        <w:pStyle w:val="BookText"/>
      </w:pPr>
      <w:r>
        <w:rPr>
          <w:rFonts w:ascii="IRNazanin" w:hAnsi="IRNazanin" w:eastAsia="IRNazanin" w:cs="IRNazanin"/>
          <w:lang w:bidi="fa-IR"/>
          <w:color w:val="111111"/>
          <w:sz w:val="28"/>
          <w:szCs w:val="28"/>
          <w:rtl/>
        </w:rPr>
        <w:t xml:space="preserve">خط: نسخ خوانا، بی کا، تا: چهارشنبه ۱۲ جمادی الثانی ۱۲۰۹ق؛ افتادگی: آغاز؛ محشى؛ فاقد جلد؛ ۷۱گ، ۱۹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۱-۳۲۹]</w:t>
      </w:r>
    </w:p>
    <w:p>
      <w:pPr>
        <w:pStyle w:val="BookText"/>
      </w:pPr>
      <w:r>
        <w:rPr>
          <w:rFonts w:ascii="IRNazanin" w:hAnsi="IRNazanin" w:eastAsia="IRNazanin" w:cs="IRNazanin"/>
          <w:lang w:bidi="fa-IR"/>
          <w:color w:val="111111"/>
          <w:sz w:val="28"/>
          <w:szCs w:val="28"/>
          <w:rtl/>
        </w:rPr>
        <w:t xml:space="preserve">۱۸۶. قم؛ دارالحدیث؛ شماره نسخه: ۳۸۶</w:t>
      </w:r>
    </w:p>
    <w:p>
      <w:pPr>
        <w:pStyle w:val="BookText"/>
      </w:pPr>
      <w:r>
        <w:rPr>
          <w:rFonts w:ascii="IRNazanin" w:hAnsi="IRNazanin" w:eastAsia="IRNazanin" w:cs="IRNazanin"/>
          <w:lang w:bidi="fa-IR"/>
          <w:color w:val="111111"/>
          <w:sz w:val="28"/>
          <w:szCs w:val="28"/>
          <w:rtl/>
        </w:rPr>
        <w:t xml:space="preserve">انجام: في وصف لمذكر عاقل على فاعل معتل اللام نحو رام و قاص ذو اطراد فعله بضمة ففتحة کرماة</w:t>
      </w:r>
    </w:p>
    <w:p>
      <w:pPr>
        <w:pStyle w:val="BookText"/>
      </w:pPr>
      <w:r>
        <w:rPr>
          <w:rFonts w:ascii="IRNazanin" w:hAnsi="IRNazanin" w:eastAsia="IRNazanin" w:cs="IRNazanin"/>
          <w:lang w:bidi="fa-IR"/>
          <w:color w:val="111111"/>
          <w:sz w:val="28"/>
          <w:szCs w:val="28"/>
          <w:rtl/>
        </w:rPr>
        <w:t xml:space="preserve">خط: نسخ، بی کا، تا: ۱۲۰۹ق؛ افتادگی: انجام؛ مصحح، محشى؛ جلد: تیماج عنابی سوخت، با ترنج با سر، مجدول گرهی، ۱۸۰ گ، ۱۲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۱۳۸]</w:t>
      </w:r>
    </w:p>
    <w:p>
      <w:pPr>
        <w:pStyle w:val="BookText"/>
      </w:pPr>
      <w:r>
        <w:rPr>
          <w:rFonts w:ascii="IRNazanin" w:hAnsi="IRNazanin" w:eastAsia="IRNazanin" w:cs="IRNazanin"/>
          <w:lang w:bidi="fa-IR"/>
          <w:color w:val="111111"/>
          <w:sz w:val="28"/>
          <w:szCs w:val="28"/>
          <w:rtl/>
        </w:rPr>
        <w:t xml:space="preserve">۱۸۷. یزد؛ مدرسی؛ شماره نسخه: بدون شماره</w:t>
      </w:r>
    </w:p>
    <w:p>
      <w:pPr>
        <w:pStyle w:val="BookText"/>
      </w:pPr>
      <w:r>
        <w:rPr>
          <w:rFonts w:ascii="IRNazanin" w:hAnsi="IRNazanin" w:eastAsia="IRNazanin" w:cs="IRNazanin"/>
          <w:lang w:bidi="fa-IR"/>
          <w:color w:val="111111"/>
          <w:sz w:val="28"/>
          <w:szCs w:val="28"/>
          <w:rtl/>
        </w:rPr>
        <w:t xml:space="preserve">آغاز: برابر، انجام: و صلی علی محمد و آله اجمعین آمین.</w:t>
      </w:r>
    </w:p>
    <w:p>
      <w:pPr>
        <w:pStyle w:val="BookText"/>
      </w:pPr>
      <w:r>
        <w:rPr>
          <w:rFonts w:ascii="IRNazanin" w:hAnsi="IRNazanin" w:eastAsia="IRNazanin" w:cs="IRNazanin"/>
          <w:lang w:bidi="fa-IR"/>
          <w:color w:val="111111"/>
          <w:sz w:val="28"/>
          <w:szCs w:val="28"/>
          <w:rtl/>
        </w:rPr>
        <w:t xml:space="preserve">خط: نسخ تحریری، بی کا، تا: سه شنبه ۱۷ جمادی الثانی ۱۲۱۰ق؛ جلد: ضربی ساده، ۱۴گ، ۱۸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میراث اسلامی: ۸-۴۳۴]</w:t>
      </w:r>
    </w:p>
    <w:p>
      <w:pPr>
        <w:pStyle w:val="BookText"/>
      </w:pPr>
      <w:r>
        <w:rPr>
          <w:rFonts w:ascii="IRNazanin" w:hAnsi="IRNazanin" w:eastAsia="IRNazanin" w:cs="IRNazanin"/>
          <w:lang w:bidi="fa-IR"/>
          <w:color w:val="111111"/>
          <w:sz w:val="28"/>
          <w:szCs w:val="28"/>
          <w:rtl/>
        </w:rPr>
        <w:t xml:space="preserve">۱۸۸. شیراز؛ ملی؛ شماره نسخه: ۵-شا۵۶</w:t>
      </w:r>
    </w:p>
    <w:p>
      <w:pPr>
        <w:pStyle w:val="BookText"/>
      </w:pPr>
      <w:r>
        <w:rPr>
          <w:rFonts w:ascii="IRNazanin" w:hAnsi="IRNazanin" w:eastAsia="IRNazanin" w:cs="IRNazanin"/>
          <w:lang w:bidi="fa-IR"/>
          <w:color w:val="111111"/>
          <w:sz w:val="28"/>
          <w:szCs w:val="28"/>
          <w:rtl/>
        </w:rPr>
        <w:t xml:space="preserve">انجام: تمت هذه الرساله الموسومه بشرح سیوطی ...</w:t>
      </w:r>
    </w:p>
    <w:p>
      <w:pPr>
        <w:pStyle w:val="BookText"/>
      </w:pPr>
      <w:r>
        <w:rPr>
          <w:rFonts w:ascii="IRNazanin" w:hAnsi="IRNazanin" w:eastAsia="IRNazanin" w:cs="IRNazanin"/>
          <w:lang w:bidi="fa-IR"/>
          <w:color w:val="111111"/>
          <w:sz w:val="28"/>
          <w:szCs w:val="28"/>
          <w:rtl/>
        </w:rPr>
        <w:t xml:space="preserve">خط: نسخ، كا: محمد بن عبدالصمد حسینی، تا: یکشنبه ۲۷ صفر ۱۲۱۰ق؛ محشی؛ کاغذ: فرنگی، جلد: مقوا با تیماج مشکی، ۱۴۸گ، ۱۳ سطر (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۱-۵۲]</w:t>
      </w:r>
    </w:p>
    <w:p>
      <w:pPr>
        <w:pStyle w:val="BookText"/>
      </w:pPr>
      <w:r>
        <w:rPr>
          <w:rFonts w:ascii="IRNazanin" w:hAnsi="IRNazanin" w:eastAsia="IRNazanin" w:cs="IRNazanin"/>
          <w:lang w:bidi="fa-IR"/>
          <w:color w:val="111111"/>
          <w:sz w:val="28"/>
          <w:szCs w:val="28"/>
          <w:rtl/>
        </w:rPr>
        <w:t xml:space="preserve">۱۸۹. قم؛ مسجد اعظم، شماره نسخه: ۱۲۰۵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شفیع بن محمد، تا: سه شنبه ۲۹ رجب ۱۲۱۰ق، جان خوی، مدرسه فخریه؛ جلد: تیماج مشکی با ترنج و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مجدول،۱۹۸گ، ۱۴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مخ: ۱-۲۸۳]</w:t>
      </w:r>
    </w:p>
    <w:p>
      <w:pPr>
        <w:pStyle w:val="BookText"/>
      </w:pPr>
      <w:r>
        <w:rPr>
          <w:rFonts w:ascii="IRNazanin" w:hAnsi="IRNazanin" w:eastAsia="IRNazanin" w:cs="IRNazanin"/>
          <w:lang w:bidi="fa-IR"/>
          <w:color w:val="111111"/>
          <w:sz w:val="28"/>
          <w:szCs w:val="28"/>
          <w:rtl/>
        </w:rPr>
        <w:t xml:space="preserve">۱۹۰. تهران: ملی؛ شماره نسخه: ۲۰۲۴</w:t>
      </w:r>
    </w:p>
    <w:p>
      <w:pPr>
        <w:pStyle w:val="BookText"/>
      </w:pPr>
      <w:r>
        <w:rPr>
          <w:rFonts w:ascii="IRNazanin" w:hAnsi="IRNazanin" w:eastAsia="IRNazanin" w:cs="IRNazanin"/>
          <w:lang w:bidi="fa-IR"/>
          <w:color w:val="111111"/>
          <w:sz w:val="28"/>
          <w:szCs w:val="28"/>
          <w:rtl/>
        </w:rPr>
        <w:t xml:space="preserve">خط: نسخ خوب، كان موسی الرضا بن ملا احمد، تا: سه شنبه ۱۷ ربیع الاول ۱۲۱۱ق؛ محشی با نشانهای «تصريح»، «ض»، «ص»؛ کاغذ: سفید فرنگی، جلد: تیماج مشکی مقوایی، ۱۱۸گ، ۱۷سطر (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۱۱-۱۰۳]</w:t>
      </w:r>
    </w:p>
    <w:p>
      <w:pPr>
        <w:pStyle w:val="BookText"/>
      </w:pPr>
      <w:r>
        <w:rPr>
          <w:rFonts w:ascii="IRNazanin" w:hAnsi="IRNazanin" w:eastAsia="IRNazanin" w:cs="IRNazanin"/>
          <w:lang w:bidi="fa-IR"/>
          <w:color w:val="111111"/>
          <w:sz w:val="28"/>
          <w:szCs w:val="28"/>
          <w:rtl/>
        </w:rPr>
        <w:t xml:space="preserve">۱۹۱. دامغان؛ صادقیه؛ شماره نسخه: ۱۶۴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زین العابدین بن تقی کدو غندی، تا: ۲۸ صفر ۱۲۱۱ق، جان تربت حیدریه؛ جلد: تیماج مشکی، ۱۰۴گ، مختلف السطر،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سم [ف مخ: ۲۳]</w:t>
      </w:r>
    </w:p>
    <w:p>
      <w:pPr>
        <w:pStyle w:val="BookText"/>
      </w:pPr>
      <w:r>
        <w:rPr>
          <w:rFonts w:ascii="IRNazanin" w:hAnsi="IRNazanin" w:eastAsia="IRNazanin" w:cs="IRNazanin"/>
          <w:lang w:bidi="fa-IR"/>
          <w:color w:val="111111"/>
          <w:sz w:val="28"/>
          <w:szCs w:val="28"/>
          <w:rtl/>
        </w:rPr>
        <w:t xml:space="preserve">۱۹۲. تهران: ملی؛ شماره نسخه: ۴۳۰۰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۱۲۱۲ق؛ مصحح، محشی با امضای «شواهد، نظام الدین و ...»؛ کاغذ: فرنگی نخودی، جلد: مقوایی با روکش کاغذی سفید که روی آن مطالبی نوشته شده، عطف پارچه ای سرمه ای، ۱۷۲گ، ۱۳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اندازه: ۱۵/۵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۲۰/۵سم [ف: ۲۶۴-۱۸ ]</w:t>
      </w:r>
    </w:p>
    <w:p>
      <w:pPr>
        <w:pStyle w:val="BookText"/>
      </w:pPr>
      <w:r>
        <w:rPr>
          <w:rFonts w:ascii="IRNazanin" w:hAnsi="IRNazanin" w:eastAsia="IRNazanin" w:cs="IRNazanin"/>
          <w:lang w:bidi="fa-IR"/>
          <w:color w:val="111111"/>
          <w:sz w:val="28"/>
          <w:szCs w:val="28"/>
          <w:rtl/>
        </w:rPr>
        <w:t xml:space="preserve">۱۹۳. قم؛ معصومیه؛ شماره نسخه: ۵۲۸</w:t>
      </w:r>
    </w:p>
    <w:p>
      <w:pPr>
        <w:pStyle w:val="BookText"/>
      </w:pPr>
      <w:r>
        <w:rPr>
          <w:rFonts w:ascii="IRNazanin" w:hAnsi="IRNazanin" w:eastAsia="IRNazanin" w:cs="IRNazanin"/>
          <w:lang w:bidi="fa-IR"/>
          <w:color w:val="111111"/>
          <w:sz w:val="28"/>
          <w:szCs w:val="28"/>
          <w:rtl/>
        </w:rPr>
        <w:t xml:space="preserve">آغاز: بتاء الفاعل سواء كانت المتكلم ام مخاطب ام مخاطبة نحو فعلت و بتاء التأنيث الساكنة نحوانت؛ انجام: برابر خط ثلث، كا: حسین بن صفر، تا: ۱۲۱۲ق؛ افتادگی: آغاز؛ مهر: «عبده الراجی محمد کاظم الموسوی» (بیضوی)، «المتوكل على الله عبده ابوالقاسم» (بیضوی)، «هو العلي الاكبر» (بیضوی)، «محمد حسین» (مربع)؛ تملك: محمد حسن بن ابو القاسم؛ جلد: تیماج مشکی، ۲۱۹گ، مختلف السطر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۲-۱۴۶]</w:t>
      </w:r>
    </w:p>
    <w:p>
      <w:pPr>
        <w:pStyle w:val="BookText"/>
      </w:pPr>
      <w:r>
        <w:rPr>
          <w:rFonts w:ascii="IRNazanin" w:hAnsi="IRNazanin" w:eastAsia="IRNazanin" w:cs="IRNazanin"/>
          <w:lang w:bidi="fa-IR"/>
          <w:color w:val="111111"/>
          <w:sz w:val="28"/>
          <w:szCs w:val="28"/>
          <w:rtl/>
        </w:rPr>
        <w:t xml:space="preserve">۱۹۴. مشهد؛ رضوی؛ شماره نسخه: ۱۸۱۸۰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بن ابراهیم عقیلی، تا: ۱۲۱۲ق؛ کاغذ: فستقی، ۱۵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[رایانه ]</w:t>
      </w:r>
    </w:p>
    <w:p>
      <w:pPr>
        <w:pStyle w:val="BookText"/>
      </w:pPr>
      <w:r>
        <w:rPr>
          <w:rFonts w:ascii="IRNazanin" w:hAnsi="IRNazanin" w:eastAsia="IRNazanin" w:cs="IRNazanin"/>
          <w:lang w:bidi="fa-IR"/>
          <w:color w:val="111111"/>
          <w:sz w:val="28"/>
          <w:szCs w:val="28"/>
          <w:rtl/>
        </w:rPr>
        <w:t xml:space="preserve">۱۹۵. تهران؛ ادبیات؛ شماره نسخه: ۲۲۹/۱</w:t>
      </w:r>
    </w:p>
    <w:p>
      <w:pPr>
        <w:pStyle w:val="BookText"/>
      </w:pPr>
      <w:r>
        <w:rPr>
          <w:rFonts w:ascii="IRNazanin" w:hAnsi="IRNazanin" w:eastAsia="IRNazanin" w:cs="IRNazanin"/>
          <w:lang w:bidi="fa-IR"/>
          <w:color w:val="111111"/>
          <w:sz w:val="28"/>
          <w:szCs w:val="28"/>
          <w:rtl/>
        </w:rPr>
        <w:t xml:space="preserve">خط: نسخ، كان محمد طاهر بن ملا علی اکبر سیری، تا: سه شنبه ۸ ربیع الاول ۱۲۱۳ ق [ف: ۳-۳۶]</w:t>
      </w:r>
    </w:p>
    <w:p>
      <w:pPr>
        <w:pStyle w:val="BookText"/>
      </w:pPr>
      <w:r>
        <w:rPr>
          <w:rFonts w:ascii="IRNazanin" w:hAnsi="IRNazanin" w:eastAsia="IRNazanin" w:cs="IRNazanin"/>
          <w:lang w:bidi="fa-IR"/>
          <w:color w:val="111111"/>
          <w:sz w:val="28"/>
          <w:szCs w:val="28"/>
          <w:rtl/>
        </w:rPr>
        <w:t xml:space="preserve">۱۹۶. شیراز؛ شاهچراغ؛ شماره نسخه: ۸۴۸/۱ خط نستعلیق، بی کا، تا:۱۲۱۴ق؛ اندازه: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۲۰/۵سم [ف: ۳-۱۱۷]</w:t>
      </w:r>
    </w:p>
    <w:p>
      <w:pPr>
        <w:pStyle w:val="BookText"/>
      </w:pPr>
      <w:r>
        <w:rPr>
          <w:rFonts w:ascii="IRNazanin" w:hAnsi="IRNazanin" w:eastAsia="IRNazanin" w:cs="IRNazanin"/>
          <w:lang w:bidi="fa-IR"/>
          <w:color w:val="111111"/>
          <w:sz w:val="28"/>
          <w:szCs w:val="28"/>
          <w:rtl/>
        </w:rPr>
        <w:t xml:space="preserve">۱۹۷. قم؛ دارالحدیث؛ شماره نسخه: ۲۰۲/۱</w:t>
      </w:r>
    </w:p>
    <w:p>
      <w:pPr>
        <w:pStyle w:val="BookText"/>
      </w:pPr>
      <w:r>
        <w:rPr>
          <w:rFonts w:ascii="IRNazanin" w:hAnsi="IRNazanin" w:eastAsia="IRNazanin" w:cs="IRNazanin"/>
          <w:lang w:bidi="fa-IR"/>
          <w:color w:val="111111"/>
          <w:sz w:val="28"/>
          <w:szCs w:val="28"/>
          <w:rtl/>
        </w:rPr>
        <w:t xml:space="preserve">خط: نسخ، كا: رحیم بن عبدالکریم بن عبدالرحیم، تا: سه شنبه ۱۱ ذیقعده ۱۲۱۴ق، جا:رشت؛ ۱۸۴گ(۱پ -۱۸۴)، ۱۴ سطر [ف: ۱۳۸]</w:t>
      </w:r>
    </w:p>
    <w:p>
      <w:pPr>
        <w:pStyle w:val="BookText"/>
      </w:pPr>
      <w:r>
        <w:rPr>
          <w:rFonts w:ascii="IRNazanin" w:hAnsi="IRNazanin" w:eastAsia="IRNazanin" w:cs="IRNazanin"/>
          <w:lang w:bidi="fa-IR"/>
          <w:color w:val="111111"/>
          <w:sz w:val="28"/>
          <w:szCs w:val="28"/>
          <w:rtl/>
        </w:rPr>
        <w:t xml:space="preserve">۱۹۸. مشهد؛ رضوی؛ شماره نسخه: ۱۸۰۷۵</w:t>
      </w:r>
    </w:p>
    <w:p>
      <w:pPr>
        <w:pStyle w:val="BookText"/>
      </w:pPr>
      <w:r>
        <w:rPr>
          <w:rFonts w:ascii="IRNazanin" w:hAnsi="IRNazanin" w:eastAsia="IRNazanin" w:cs="IRNazanin"/>
          <w:lang w:bidi="fa-IR"/>
          <w:color w:val="111111"/>
          <w:sz w:val="28"/>
          <w:szCs w:val="28"/>
          <w:rtl/>
        </w:rPr>
        <w:t xml:space="preserve">آغاز: برابر؛ انجام: تجاوز الله تعالی عن زلامه .. عليه و آله و سلم</w:t>
      </w:r>
    </w:p>
    <w:p>
      <w:pPr>
        <w:pStyle w:val="BookText"/>
      </w:pPr>
      <w:r>
        <w:rPr>
          <w:rFonts w:ascii="IRNazanin" w:hAnsi="IRNazanin" w:eastAsia="IRNazanin" w:cs="IRNazanin"/>
          <w:lang w:bidi="fa-IR"/>
          <w:color w:val="111111"/>
          <w:sz w:val="28"/>
          <w:szCs w:val="28"/>
          <w:rtl/>
        </w:rPr>
        <w:t xml:space="preserve">خط: نسخ، بی کا، تا: ۱۲۱۵ق؛ کاغذ: شکری، جلد: تیماج، ۱۵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[رایانه]</w:t>
      </w:r>
    </w:p>
    <w:p>
      <w:pPr>
        <w:pStyle w:val="BookText"/>
      </w:pPr>
      <w:r>
        <w:rPr>
          <w:rFonts w:ascii="IRNazanin" w:hAnsi="IRNazanin" w:eastAsia="IRNazanin" w:cs="IRNazanin"/>
          <w:lang w:bidi="fa-IR"/>
          <w:color w:val="111111"/>
          <w:sz w:val="28"/>
          <w:szCs w:val="28"/>
          <w:rtl/>
        </w:rPr>
        <w:t xml:space="preserve">۱۹۹. مشهد؛ رضوی؛ شماره نسخه: ۳۸۴۶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بن دوست محمد، تا: محرم ۱۲۱۵ق؛ محشي اكثر منقول از شرح تصریح و شرح ابن ناظم؛ واقف: حاج سید محمد، ۱۳۰۹، کاغذ: نخودی، جلد: پارچه، ۱۳۴گ، ۱۲ سطر، اندازه: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۲۰/۵ سم [ف: ۱۲-۲۴]</w:t>
      </w:r>
    </w:p>
    <w:p>
      <w:pPr>
        <w:pStyle w:val="BookText"/>
      </w:pPr>
      <w:r>
        <w:rPr>
          <w:rFonts w:ascii="IRNazanin" w:hAnsi="IRNazanin" w:eastAsia="IRNazanin" w:cs="IRNazanin"/>
          <w:lang w:bidi="fa-IR"/>
          <w:color w:val="111111"/>
          <w:sz w:val="28"/>
          <w:szCs w:val="28"/>
          <w:rtl/>
        </w:rPr>
        <w:t xml:space="preserve">۲۰۰. فردوس؛ مدرسه حبیبیه؛ شماره نسخه: ۴۵/۱</w:t>
      </w:r>
    </w:p>
    <w:p>
      <w:pPr>
        <w:pStyle w:val="BookText"/>
      </w:pPr>
      <w:r>
        <w:rPr>
          <w:rFonts w:ascii="IRNazanin" w:hAnsi="IRNazanin" w:eastAsia="IRNazanin" w:cs="IRNazanin"/>
          <w:lang w:bidi="fa-IR"/>
          <w:color w:val="111111"/>
          <w:sz w:val="28"/>
          <w:szCs w:val="28"/>
          <w:rtl/>
        </w:rPr>
        <w:t xml:space="preserve">آغاز: و مختص و هو على قسمين مختص بالاسماء نحو في و مختص بالافعال نحو لم و الفعل ينقسم الى ثلثة اقسام ماض و مضارع و امر و ذكر المصنف علاماتها مقدمة المضارع؛ انجام: برابر خط: نسخ، كا: اسماعيل بن محمد صادق، تا: ۱۲۱۶ق؛ افتادگی: آغاز؛ ۱۳۸گ(۱-۱۳۸ر)، ۱۷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مخ]</w:t>
      </w:r>
    </w:p>
    <w:p>
      <w:pPr>
        <w:pStyle w:val="BookText"/>
      </w:pPr>
      <w:r>
        <w:rPr>
          <w:rFonts w:ascii="IRNazanin" w:hAnsi="IRNazanin" w:eastAsia="IRNazanin" w:cs="IRNazanin"/>
          <w:lang w:bidi="fa-IR"/>
          <w:color w:val="111111"/>
          <w:sz w:val="28"/>
          <w:szCs w:val="28"/>
          <w:rtl/>
        </w:rPr>
        <w:t xml:space="preserve">۲۰۱. قم؛ حجتیه؛ شماره نسخه: ۳۵۵</w:t>
      </w:r>
    </w:p>
    <w:p>
      <w:pPr>
        <w:pStyle w:val="BookText"/>
      </w:pPr>
      <w:r>
        <w:rPr>
          <w:rFonts w:ascii="IRNazanin" w:hAnsi="IRNazanin" w:eastAsia="IRNazanin" w:cs="IRNazanin"/>
          <w:lang w:bidi="fa-IR"/>
          <w:color w:val="111111"/>
          <w:sz w:val="28"/>
          <w:szCs w:val="28"/>
          <w:rtl/>
        </w:rPr>
        <w:t xml:space="preserve">خط: نسخ، بی کا، تا: ۱۲۱۶ ق [ف: ۳۹]</w:t>
      </w:r>
    </w:p>
    <w:p>
      <w:pPr>
        <w:pStyle w:val="BookText"/>
      </w:pPr>
      <w:r>
        <w:rPr>
          <w:rFonts w:ascii="IRNazanin" w:hAnsi="IRNazanin" w:eastAsia="IRNazanin" w:cs="IRNazanin"/>
          <w:lang w:bidi="fa-IR"/>
          <w:color w:val="111111"/>
          <w:sz w:val="28"/>
          <w:szCs w:val="28"/>
          <w:rtl/>
        </w:rPr>
        <w:t xml:space="preserve">۲۰۲. مشهد؛ رضوی؛ شماره نسخه: ۱۹۱۱۳</w:t>
      </w:r>
    </w:p>
    <w:p>
      <w:pPr>
        <w:pStyle w:val="BookText"/>
      </w:pPr>
      <w:r>
        <w:rPr>
          <w:rFonts w:ascii="IRNazanin" w:hAnsi="IRNazanin" w:eastAsia="IRNazanin" w:cs="IRNazanin"/>
          <w:lang w:bidi="fa-IR"/>
          <w:color w:val="111111"/>
          <w:sz w:val="28"/>
          <w:szCs w:val="28"/>
          <w:rtl/>
        </w:rPr>
        <w:t xml:space="preserve">آغاز: برابر؛ انجام: و الفا مفتوحة فيها جمعا فعلا اسما كان او صفته خط: نسخ خفی، بی کا، تا: ۱۲۱۷ق؛ افتادگی: انجام کاغذ: فستقی، جلد: تیماج ضربی، ۱۷ سطر (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قطع: وزیری کوچک،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[رایانه]</w:t>
      </w:r>
    </w:p>
    <w:p>
      <w:pPr>
        <w:pStyle w:val="BookText"/>
      </w:pPr>
      <w:r>
        <w:rPr>
          <w:rFonts w:ascii="IRNazanin" w:hAnsi="IRNazanin" w:eastAsia="IRNazanin" w:cs="IRNazanin"/>
          <w:lang w:bidi="fa-IR"/>
          <w:color w:val="111111"/>
          <w:sz w:val="28"/>
          <w:szCs w:val="28"/>
          <w:rtl/>
        </w:rPr>
        <w:t xml:space="preserve">۲۰۳. دامغان؛ صادقیه؛ شماره نسخه: ۲۰۸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على اكبر بن کربلا على عسكرده ملائی، تا: غره ذیقعده ۱۲۱۷ق، جان استر آباد، مدرسه دارالشفاء؛ محشی؛ تملك: ملا محمد تقی بن کربلایی آقا بابا دامغانی» در رجب ۱۳۱۴؛ ۱۱۳گ، ۱۵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مخ: ۲۴]</w:t>
      </w:r>
    </w:p>
    <w:p>
      <w:pPr>
        <w:pStyle w:val="BookText"/>
      </w:pPr>
      <w:r>
        <w:rPr>
          <w:rFonts w:ascii="IRNazanin" w:hAnsi="IRNazanin" w:eastAsia="IRNazanin" w:cs="IRNazanin"/>
          <w:lang w:bidi="fa-IR"/>
          <w:color w:val="111111"/>
          <w:sz w:val="28"/>
          <w:szCs w:val="28"/>
          <w:rtl/>
        </w:rPr>
        <w:t xml:space="preserve">۲۰۴. کاشان؛ جعفری؛ شماره نسخه: ۷۹/۶</w:t>
      </w:r>
    </w:p>
    <w:p>
      <w:pPr>
        <w:pStyle w:val="BookText"/>
      </w:pPr>
      <w:r>
        <w:rPr>
          <w:rFonts w:ascii="IRNazanin" w:hAnsi="IRNazanin" w:eastAsia="IRNazanin" w:cs="IRNazanin"/>
          <w:lang w:bidi="fa-IR"/>
          <w:color w:val="111111"/>
          <w:sz w:val="28"/>
          <w:szCs w:val="28"/>
          <w:rtl/>
        </w:rPr>
        <w:t xml:space="preserve">آغاز و انجام: برابر خط: نستعلیق، بی کا، تا: ذیحجه ۱۲۱۷ق؛ جلد: گالینگور سرخ با عطف و گوشه تیماج قهوه ای، ۷۶گ،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مخ]</w:t>
      </w:r>
    </w:p>
    <w:p>
      <w:pPr>
        <w:pStyle w:val="BookText"/>
      </w:pPr>
      <w:r>
        <w:rPr>
          <w:rFonts w:ascii="IRNazanin" w:hAnsi="IRNazanin" w:eastAsia="IRNazanin" w:cs="IRNazanin"/>
          <w:lang w:bidi="fa-IR"/>
          <w:color w:val="111111"/>
          <w:sz w:val="28"/>
          <w:szCs w:val="28"/>
          <w:rtl/>
        </w:rPr>
        <w:t xml:space="preserve">۲۰۵. مشهد؛ گوهرشاد؛ شماره نسخه: ۲/ ۶۰۰</w:t>
      </w:r>
    </w:p>
    <w:p>
      <w:pPr>
        <w:pStyle w:val="BookText"/>
      </w:pPr>
      <w:r>
        <w:rPr>
          <w:rFonts w:ascii="IRNazanin" w:hAnsi="IRNazanin" w:eastAsia="IRNazanin" w:cs="IRNazanin"/>
          <w:lang w:bidi="fa-IR"/>
          <w:color w:val="111111"/>
          <w:sz w:val="28"/>
          <w:szCs w:val="28"/>
          <w:rtl/>
        </w:rPr>
        <w:t xml:space="preserve">خط: نسخ، كا: باقر بن محمد تونی، تا: ۱۲۱۷ق؛ افتادگی: آغاز؛ کاغذ: فستقی، جلد: تیماج قهوه ای، ۱۰۱گ (۲۱-۱۲۱)، ۱۵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۲-۷۱۸]</w:t>
      </w:r>
    </w:p>
    <w:p>
      <w:pPr>
        <w:pStyle w:val="BookText"/>
      </w:pPr>
      <w:r>
        <w:rPr>
          <w:rFonts w:ascii="IRNazanin" w:hAnsi="IRNazanin" w:eastAsia="IRNazanin" w:cs="IRNazanin"/>
          <w:lang w:bidi="fa-IR"/>
          <w:color w:val="111111"/>
          <w:sz w:val="28"/>
          <w:szCs w:val="28"/>
          <w:rtl/>
        </w:rPr>
        <w:t xml:space="preserve">۲۰۶. مشهد؛ رضوی؛ شماره نسخه: ۱۴۹۰۷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يوسف بن محمد شریف، تا: محرم ۱۲۱۷ق؛ محشی؛ واقف: سید محمد باقر مولوی عربشاهی سبزواری، محرم ۱۴۰۵؛ کاغذ: حنایی، ۱۰۸گ، ۲۰ سطر، اندازه: ۱۵/۸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۲۷/۵سم [ف: ۱۲-۲۵]</w:t>
      </w:r>
    </w:p>
    <w:p>
      <w:pPr>
        <w:pStyle w:val="BookText"/>
      </w:pPr>
      <w:r>
        <w:rPr>
          <w:rFonts w:ascii="IRNazanin" w:hAnsi="IRNazanin" w:eastAsia="IRNazanin" w:cs="IRNazanin"/>
          <w:lang w:bidi="fa-IR"/>
          <w:color w:val="111111"/>
          <w:sz w:val="28"/>
          <w:szCs w:val="28"/>
          <w:rtl/>
        </w:rPr>
        <w:t xml:space="preserve">۲۰۷. تهران: حوزه آستان حضرت عبدالعظیم؛ شماره نسخه: ۷۰/۱</w:t>
      </w:r>
    </w:p>
    <w:p>
      <w:pPr>
        <w:pStyle w:val="BookText"/>
      </w:pPr>
      <w:r>
        <w:rPr>
          <w:rFonts w:ascii="IRNazanin" w:hAnsi="IRNazanin" w:eastAsia="IRNazanin" w:cs="IRNazanin"/>
          <w:lang w:bidi="fa-IR"/>
          <w:color w:val="111111"/>
          <w:sz w:val="28"/>
          <w:szCs w:val="28"/>
          <w:rtl/>
        </w:rPr>
        <w:t xml:space="preserve">آغاز و انجام: برابر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نسخ، كا: عز الدين بن مشهدی قربانعلی دارده کاشفی، تا: ۲۴ رمضان ۱۲۱۷ق؛ جلد: تیماج مشکی مجدول گرهی، ۲۰۰گ (۱ر-۲۰۰پ)، ۱۳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۱۷]</w:t>
      </w:r>
    </w:p>
    <w:p>
      <w:pPr>
        <w:pStyle w:val="BookText"/>
      </w:pPr>
      <w:r>
        <w:rPr>
          <w:rFonts w:ascii="IRNazanin" w:hAnsi="IRNazanin" w:eastAsia="IRNazanin" w:cs="IRNazanin"/>
          <w:lang w:bidi="fa-IR"/>
          <w:color w:val="111111"/>
          <w:sz w:val="28"/>
          <w:szCs w:val="28"/>
          <w:rtl/>
        </w:rPr>
        <w:t xml:space="preserve">۲۰۸. مشهد؛ نواب؛ شماره نسخه: ۵۲۷/۱</w:t>
      </w:r>
    </w:p>
    <w:p>
      <w:pPr>
        <w:pStyle w:val="BookText"/>
      </w:pPr>
      <w:r>
        <w:rPr>
          <w:rFonts w:ascii="Amiri" w:hAnsi="Amiri" w:eastAsia="Amiri" w:cs="Amiri"/>
          <w:lang w:bidi="ar-SA"/>
          <w:color w:val="111111"/>
          <w:sz w:val="28"/>
          <w:szCs w:val="28"/>
          <w:rtl/>
        </w:rPr>
        <w:t xml:space="preserve">آغاز: بالفعل من وجهين و علله ابن الحاجب في أماليه بان السبه الواحد بالحرف؛ انجام: برابر</w:t>
      </w:r>
    </w:p>
    <w:p>
      <w:pPr>
        <w:pStyle w:val="BookText"/>
      </w:pPr>
      <w:r>
        <w:rPr>
          <w:rFonts w:ascii="IRNazanin" w:hAnsi="IRNazanin" w:eastAsia="IRNazanin" w:cs="IRNazanin"/>
          <w:lang w:bidi="fa-IR"/>
          <w:color w:val="111111"/>
          <w:sz w:val="28"/>
          <w:szCs w:val="28"/>
          <w:rtl/>
        </w:rPr>
        <w:t xml:space="preserve">خط: نسخ، كا: معصوم میمندی، تا: جمادی الاول ۱۲۱۷ق؛ افتادگی: آغاز؛ کاغذ: فستقی، فاقد جلد، ۹۲گ، ۱۵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سم [ف: ۴۳۵]</w:t>
      </w:r>
    </w:p>
    <w:p>
      <w:pPr>
        <w:pStyle w:val="BookText"/>
      </w:pPr>
      <w:r>
        <w:rPr>
          <w:rFonts w:ascii="IRNazanin" w:hAnsi="IRNazanin" w:eastAsia="IRNazanin" w:cs="IRNazanin"/>
          <w:lang w:bidi="fa-IR"/>
          <w:color w:val="111111"/>
          <w:sz w:val="28"/>
          <w:szCs w:val="28"/>
          <w:rtl/>
        </w:rPr>
        <w:t xml:space="preserve">۲۰۹. مشهد؛ رضوی؛ شماره نسخه: ۲۷۲۵۸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قاسم بن محمد قلی، تا: ۱۲۱۸ ق [رایانه ]</w:t>
      </w:r>
    </w:p>
    <w:p>
      <w:pPr>
        <w:pStyle w:val="BookText"/>
      </w:pPr>
      <w:r>
        <w:rPr>
          <w:rFonts w:ascii="IRNazanin" w:hAnsi="IRNazanin" w:eastAsia="IRNazanin" w:cs="IRNazanin"/>
          <w:lang w:bidi="fa-IR"/>
          <w:color w:val="111111"/>
          <w:sz w:val="28"/>
          <w:szCs w:val="28"/>
          <w:rtl/>
        </w:rPr>
        <w:t xml:space="preserve">۲۱۰. تهران؛ ملی؛ شماره نسخه: ۲۷۱۲۸</w:t>
      </w:r>
    </w:p>
    <w:p>
      <w:pPr>
        <w:pStyle w:val="BookText"/>
      </w:pPr>
      <w:r>
        <w:rPr>
          <w:rFonts w:ascii="IRNazanin" w:hAnsi="IRNazanin" w:eastAsia="IRNazanin" w:cs="IRNazanin"/>
          <w:lang w:bidi="fa-IR"/>
          <w:color w:val="111111"/>
          <w:sz w:val="28"/>
          <w:szCs w:val="28"/>
          <w:rtl/>
        </w:rPr>
        <w:t xml:space="preserve">بی کا، تا: ۱۲۱۸ق؛ خریداری از آزیتا نامجو [رایانه]</w:t>
      </w:r>
    </w:p>
    <w:p>
      <w:pPr>
        <w:pStyle w:val="BookText"/>
      </w:pPr>
      <w:r>
        <w:rPr>
          <w:rFonts w:ascii="IRNazanin" w:hAnsi="IRNazanin" w:eastAsia="IRNazanin" w:cs="IRNazanin"/>
          <w:lang w:bidi="fa-IR"/>
          <w:color w:val="111111"/>
          <w:sz w:val="28"/>
          <w:szCs w:val="28"/>
          <w:rtl/>
        </w:rPr>
        <w:t xml:space="preserve">۲۱۱. مشهد؛ گوهرشاد؛ شماره نسخه: ۷۵۵/۲</w:t>
      </w:r>
    </w:p>
    <w:p>
      <w:pPr>
        <w:pStyle w:val="BookText"/>
      </w:pPr>
      <w:r>
        <w:rPr>
          <w:rFonts w:ascii="IRNazanin" w:hAnsi="IRNazanin" w:eastAsia="IRNazanin" w:cs="IRNazanin"/>
          <w:lang w:bidi="fa-IR"/>
          <w:color w:val="111111"/>
          <w:sz w:val="28"/>
          <w:szCs w:val="28"/>
          <w:rtl/>
        </w:rPr>
        <w:t xml:space="preserve">خط: نسخ، بی کا، تا: سه شنبه ۱۹ ذیقعده ۱۲۱۸ق؛ محشی؛ کاغذ: آبی و نخودی رنگ، جلد: تیماج لایه ای قهوه ای، ۱۸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۲-۸۶۴]</w:t>
      </w:r>
    </w:p>
    <w:p>
      <w:pPr>
        <w:pStyle w:val="BookText"/>
      </w:pPr>
      <w:r>
        <w:rPr>
          <w:rFonts w:ascii="IRNazanin" w:hAnsi="IRNazanin" w:eastAsia="IRNazanin" w:cs="IRNazanin"/>
          <w:lang w:bidi="fa-IR"/>
          <w:color w:val="111111"/>
          <w:sz w:val="28"/>
          <w:szCs w:val="28"/>
          <w:rtl/>
        </w:rPr>
        <w:t xml:space="preserve">۲۱۲. شیراز؛ ملی؛ شماره نسخه: ۲-س/۵۷۸</w:t>
      </w:r>
    </w:p>
    <w:p>
      <w:pPr>
        <w:pStyle w:val="BookText"/>
      </w:pPr>
      <w:r>
        <w:rPr>
          <w:rFonts w:ascii="IRNazanin" w:hAnsi="IRNazanin" w:eastAsia="IRNazanin" w:cs="IRNazanin"/>
          <w:lang w:bidi="fa-IR"/>
          <w:color w:val="111111"/>
          <w:sz w:val="28"/>
          <w:szCs w:val="28"/>
          <w:rtl/>
        </w:rPr>
        <w:t xml:space="preserve">خط: نسخ، كا: عبد الله بن غلامعلی، تا: پنج شنبه ۲۲ شعبان ۱۲۱۸ق، جا: اصطهبانات، مدرسه ملا على شاه؛ محشی؛ کاغذ: فرنگی شکری، جلد: مقوا با تیماج مشکی، ۱۵۰گ، ۱۴ سطر (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۱۴/۵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۲-۱۶۶]</w:t>
      </w:r>
    </w:p>
    <w:p>
      <w:pPr>
        <w:pStyle w:val="BookText"/>
      </w:pPr>
      <w:r>
        <w:rPr>
          <w:rFonts w:ascii="IRNazanin" w:hAnsi="IRNazanin" w:eastAsia="IRNazanin" w:cs="IRNazanin"/>
          <w:lang w:bidi="fa-IR"/>
          <w:color w:val="111111"/>
          <w:sz w:val="28"/>
          <w:szCs w:val="28"/>
          <w:rtl/>
        </w:rPr>
        <w:t xml:space="preserve">۲۱۳. مشهد؛ شیخ علی حیدر؛ شماره نسخه: ۶۲۸</w:t>
      </w:r>
    </w:p>
    <w:p>
      <w:pPr>
        <w:pStyle w:val="BookText"/>
      </w:pPr>
      <w:r>
        <w:rPr>
          <w:rFonts w:ascii="IRNazanin" w:hAnsi="IRNazanin" w:eastAsia="IRNazanin" w:cs="IRNazanin"/>
          <w:lang w:bidi="fa-IR"/>
          <w:color w:val="111111"/>
          <w:sz w:val="28"/>
          <w:szCs w:val="28"/>
          <w:rtl/>
        </w:rPr>
        <w:t xml:space="preserve">خط: نستعلیق، كا: ابو تراب محمد بن صدرالدین فیضی مدعو به محمد فیضی، تا: پنج شنبه غره ذیقعده ۱۲۱۹ق؛ مصحح؛ جلد: عادی، ۱۳۹، ۱۱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سم (مؤید: ۱۳۸۲]</w:t>
      </w:r>
    </w:p>
    <w:p>
      <w:pPr>
        <w:pStyle w:val="BookText"/>
      </w:pPr>
      <w:r>
        <w:rPr>
          <w:rFonts w:ascii="IRNazanin" w:hAnsi="IRNazanin" w:eastAsia="IRNazanin" w:cs="IRNazanin"/>
          <w:lang w:bidi="fa-IR"/>
          <w:color w:val="111111"/>
          <w:sz w:val="28"/>
          <w:szCs w:val="28"/>
          <w:rtl/>
        </w:rPr>
        <w:t xml:space="preserve">۲۱۴. تهران؛ مجلس؛ شماره نسخه: ۱۸۱۶۷</w:t>
      </w:r>
    </w:p>
    <w:p>
      <w:pPr>
        <w:pStyle w:val="BookText"/>
      </w:pPr>
      <w:r>
        <w:rPr>
          <w:rFonts w:ascii="IRNazanin" w:hAnsi="IRNazanin" w:eastAsia="IRNazanin" w:cs="IRNazanin"/>
          <w:lang w:bidi="fa-IR"/>
          <w:color w:val="111111"/>
          <w:sz w:val="28"/>
          <w:szCs w:val="28"/>
          <w:rtl/>
        </w:rPr>
        <w:t xml:space="preserve">بی کا، تا: ۱۲۱۹ق؛ محشی با نشان «شيخ رفيع» و غیره [د.ث. مجلس ]</w:t>
      </w:r>
    </w:p>
    <w:p>
      <w:pPr>
        <w:pStyle w:val="BookText"/>
      </w:pPr>
      <w:r>
        <w:rPr>
          <w:rFonts w:ascii="IRNazanin" w:hAnsi="IRNazanin" w:eastAsia="IRNazanin" w:cs="IRNazanin"/>
          <w:lang w:bidi="fa-IR"/>
          <w:color w:val="111111"/>
          <w:sz w:val="28"/>
          <w:szCs w:val="28"/>
          <w:rtl/>
        </w:rPr>
        <w:t xml:space="preserve">۲۱۵. قم: مرکز مطالعات؛ شماره نسخه: ۶۱۳</w:t>
      </w:r>
    </w:p>
    <w:p>
      <w:pPr>
        <w:pStyle w:val="BookText"/>
      </w:pPr>
      <w:r>
        <w:rPr>
          <w:rFonts w:ascii="IRNazanin" w:hAnsi="IRNazanin" w:eastAsia="IRNazanin" w:cs="IRNazanin"/>
          <w:lang w:bidi="fa-IR"/>
          <w:color w:val="111111"/>
          <w:sz w:val="28"/>
          <w:szCs w:val="28"/>
          <w:rtl/>
        </w:rPr>
        <w:t xml:space="preserve">خط: نسخ خوب، بی کا، تان ربيع الثانی ۱۲۲۰ق؛ دارای علامات بلاغ، مصحح؛ مهر: «یا ارفع من كل رفيع» (بیضی)؛ جلد: مقوا، عطف و حاشیه تیماج، ۱۳۰ گ، ۱۶سطر،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۵۲۱-۱ ]</w:t>
      </w:r>
    </w:p>
    <w:p>
      <w:pPr>
        <w:pStyle w:val="BookText"/>
      </w:pPr>
      <w:r>
        <w:rPr>
          <w:rFonts w:ascii="IRNazanin" w:hAnsi="IRNazanin" w:eastAsia="IRNazanin" w:cs="IRNazanin"/>
          <w:lang w:bidi="fa-IR"/>
          <w:color w:val="111111"/>
          <w:sz w:val="28"/>
          <w:szCs w:val="28"/>
          <w:rtl/>
        </w:rPr>
        <w:t xml:space="preserve">۲۱۶. مشهد؛ الهیات؛ شماره نسخه: ۴۳</w:t>
      </w:r>
    </w:p>
    <w:p>
      <w:pPr>
        <w:pStyle w:val="BookText"/>
      </w:pPr>
      <w:r>
        <w:rPr>
          <w:rFonts w:ascii="IRNazanin" w:hAnsi="IRNazanin" w:eastAsia="IRNazanin" w:cs="IRNazanin"/>
          <w:lang w:bidi="fa-IR"/>
          <w:color w:val="111111"/>
          <w:sz w:val="28"/>
          <w:szCs w:val="28"/>
          <w:rtl/>
        </w:rPr>
        <w:t xml:space="preserve">خط: نسخ، كا: ملاحسين جيغانی، تا: ربيع الاول ۱۲۲۰ق؛ جلد: تیماج قهوه ای، ۹۵گ، ۱۶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۱-۲۴]</w:t>
      </w:r>
    </w:p>
    <w:p>
      <w:pPr>
        <w:pStyle w:val="BookText"/>
      </w:pPr>
      <w:r>
        <w:rPr>
          <w:rFonts w:ascii="IRNazanin" w:hAnsi="IRNazanin" w:eastAsia="IRNazanin" w:cs="IRNazanin"/>
          <w:lang w:bidi="fa-IR"/>
          <w:color w:val="111111"/>
          <w:sz w:val="28"/>
          <w:szCs w:val="28"/>
          <w:rtl/>
        </w:rPr>
        <w:t xml:space="preserve">۲۱۷. قم؛ مرعشی؛ شماره نسخه: ۱۱۷۸۸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محسن فرزند عبدالرحیم، تا: ۱۲۲۰ق؛ مصحح، محشى؛ مهر: «الراجی علی بن حسین بن محمد الحسینی» (بیضی)، یا علی بن الحسين» (بیضی)؛ کاغذ: فرنگی، آهار مهره، جلد: تیماج قهوه ای یک لا، ۱۰۲گی، ۱۹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۲۹-۵۹۵]</w:t>
      </w:r>
    </w:p>
    <w:p>
      <w:pPr>
        <w:pStyle w:val="BookText"/>
      </w:pPr>
      <w:r>
        <w:rPr>
          <w:rFonts w:ascii="IRNazanin" w:hAnsi="IRNazanin" w:eastAsia="IRNazanin" w:cs="IRNazanin"/>
          <w:lang w:bidi="fa-IR"/>
          <w:color w:val="111111"/>
          <w:sz w:val="28"/>
          <w:szCs w:val="28"/>
          <w:rtl/>
        </w:rPr>
        <w:t xml:space="preserve">۲۱۸. تهران: ملک؛ شماره نسخه: ۲۶۴۵</w:t>
      </w:r>
    </w:p>
    <w:p>
      <w:pPr>
        <w:pStyle w:val="BookText"/>
      </w:pPr>
      <w:r>
        <w:rPr>
          <w:rFonts w:ascii="IRNazanin" w:hAnsi="IRNazanin" w:eastAsia="IRNazanin" w:cs="IRNazanin"/>
          <w:lang w:bidi="fa-IR"/>
          <w:color w:val="111111"/>
          <w:sz w:val="28"/>
          <w:szCs w:val="28"/>
          <w:rtl/>
        </w:rPr>
        <w:t xml:space="preserve">خط: نسخ، بی کا، تا: ذیقعده ۱۲۲۱ق؛ کاغذ: فستقی، جلد: میشن سیاه لایی، ۱۵۴گ، ۱۶ سطر، اندازه: ۱۵/۵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۲۰/۷سم [ف: ۱-۷۵]</w:t>
      </w:r>
    </w:p>
    <w:p>
      <w:pPr>
        <w:pStyle w:val="BookText"/>
      </w:pPr>
      <w:r>
        <w:rPr>
          <w:rFonts w:ascii="IRNazanin" w:hAnsi="IRNazanin" w:eastAsia="IRNazanin" w:cs="IRNazanin"/>
          <w:lang w:bidi="fa-IR"/>
          <w:color w:val="111111"/>
          <w:sz w:val="28"/>
          <w:szCs w:val="28"/>
          <w:rtl/>
        </w:rPr>
        <w:t xml:space="preserve">۲۱۹. قم؛ حجتیه؛ شماره نسخه: ۲۶۰/۲</w:t>
      </w:r>
    </w:p>
    <w:p>
      <w:pPr>
        <w:pStyle w:val="BookText"/>
      </w:pPr>
      <w:r>
        <w:rPr>
          <w:rFonts w:ascii="IRNazanin" w:hAnsi="IRNazanin" w:eastAsia="IRNazanin" w:cs="IRNazanin"/>
          <w:lang w:bidi="fa-IR"/>
          <w:color w:val="111111"/>
          <w:sz w:val="28"/>
          <w:szCs w:val="28"/>
          <w:rtl/>
        </w:rPr>
        <w:t xml:space="preserve">خط: نستعلیق، بی کا، تا: ۱۲۲۱ق [ف: ۱۰۲]</w:t>
      </w:r>
    </w:p>
    <w:p>
      <w:pPr>
        <w:pStyle w:val="BookText"/>
      </w:pPr>
      <w:r>
        <w:rPr>
          <w:rFonts w:ascii="IRNazanin" w:hAnsi="IRNazanin" w:eastAsia="IRNazanin" w:cs="IRNazanin"/>
          <w:lang w:bidi="fa-IR"/>
          <w:color w:val="111111"/>
          <w:sz w:val="28"/>
          <w:szCs w:val="28"/>
          <w:rtl/>
        </w:rPr>
        <w:t xml:space="preserve">۲۲۰. تهران؛ مجلس؛ شماره نسخه: ۸۳۰۹</w:t>
      </w:r>
    </w:p>
    <w:p>
      <w:pPr>
        <w:pStyle w:val="BookText"/>
      </w:pPr>
      <w:r>
        <w:rPr>
          <w:rFonts w:ascii="IRNazanin" w:hAnsi="IRNazanin" w:eastAsia="IRNazanin" w:cs="IRNazanin"/>
          <w:lang w:bidi="fa-IR"/>
          <w:color w:val="111111"/>
          <w:sz w:val="28"/>
          <w:szCs w:val="28"/>
          <w:rtl/>
        </w:rPr>
        <w:t xml:space="preserve">آغاز: برابر؛ انجام: لقد جاء کم رسل ربنا بالحق ... كثر كثيرا</w:t>
      </w:r>
    </w:p>
    <w:p>
      <w:pPr>
        <w:pStyle w:val="BookText"/>
      </w:pPr>
      <w:r>
        <w:rPr>
          <w:rFonts w:ascii="IRNazanin" w:hAnsi="IRNazanin" w:eastAsia="IRNazanin" w:cs="IRNazanin"/>
          <w:lang w:bidi="fa-IR"/>
          <w:color w:val="111111"/>
          <w:sz w:val="28"/>
          <w:szCs w:val="28"/>
          <w:rtl/>
        </w:rPr>
        <w:t xml:space="preserve">خط: نسخ و نستعلیق، کا: یحیی بن محمد کازرونی، تا: ۱۲۲۱ق؛ مصحح، محشى؛ جلد: تیماج مشکی سوخت، ترنج با سر، مجدول، ۱۱۴، ۱۶ سطر، اندازه: ۲۱۸۱۵/۵ سم [ف: ۲۷/۲ -۵۹]</w:t>
      </w:r>
    </w:p>
    <w:p>
      <w:pPr>
        <w:pStyle w:val="BookText"/>
      </w:pPr>
      <w:r>
        <w:rPr>
          <w:rFonts w:ascii="IRNazanin" w:hAnsi="IRNazanin" w:eastAsia="IRNazanin" w:cs="IRNazanin"/>
          <w:lang w:bidi="fa-IR"/>
          <w:color w:val="111111"/>
          <w:sz w:val="28"/>
          <w:szCs w:val="28"/>
          <w:rtl/>
        </w:rPr>
        <w:t xml:space="preserve">۲۲۱. تهران؛ ملی؛ شماره نسخه: ۳۴۱۴</w:t>
      </w:r>
    </w:p>
    <w:p>
      <w:pPr>
        <w:pStyle w:val="BookText"/>
      </w:pPr>
      <w:r>
        <w:rPr>
          <w:rFonts w:ascii="IRNazanin" w:hAnsi="IRNazanin" w:eastAsia="IRNazanin" w:cs="IRNazanin"/>
          <w:lang w:bidi="fa-IR"/>
          <w:color w:val="111111"/>
          <w:sz w:val="28"/>
          <w:szCs w:val="28"/>
          <w:rtl/>
        </w:rPr>
        <w:t xml:space="preserve">خط: نسخ، كا: محمد علی بن عبدالكريم، تا: ۱۲۲۲ق؛ مصحح تملک: محمد جواد بن میر زین العابدین؛ کاغذ: فرنگی نخودی، جلد: تیماج مشکی مقوایی لبه ها تیماج زرشکی ضربی ترنج و سر ترنج لچک عطف تیماج سبز، ۱۶۹گ، ۱۵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۱۵-۲۲۷]</w:t>
      </w:r>
    </w:p>
    <w:p>
      <w:pPr>
        <w:pStyle w:val="BookText"/>
      </w:pPr>
      <w:r>
        <w:rPr>
          <w:rFonts w:ascii="IRNazanin" w:hAnsi="IRNazanin" w:eastAsia="IRNazanin" w:cs="IRNazanin"/>
          <w:lang w:bidi="fa-IR"/>
          <w:color w:val="111111"/>
          <w:sz w:val="28"/>
          <w:szCs w:val="28"/>
          <w:rtl/>
        </w:rPr>
        <w:t xml:space="preserve">۲۲۲. قم؛ گلپایگانی؛ شماره نسخه: ۸۱۸۲- ۵۶/۳۲</w:t>
      </w:r>
    </w:p>
    <w:p>
      <w:pPr>
        <w:pStyle w:val="BookText"/>
      </w:pPr>
      <w:r>
        <w:rPr>
          <w:rFonts w:ascii="IRNazanin" w:hAnsi="IRNazanin" w:eastAsia="IRNazanin" w:cs="IRNazanin"/>
          <w:lang w:bidi="fa-IR"/>
          <w:color w:val="111111"/>
          <w:sz w:val="28"/>
          <w:szCs w:val="28"/>
          <w:rtl/>
        </w:rPr>
        <w:t xml:space="preserve">آغاز: برابر از اول تا آخر؛ خط: نسخ، كا: محمد قلی بن حسین، تا: ۲۵ محرم ۱۲۲۲ق، ۱۳۳گ، ۱۷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۲- ۶۳۹]</w:t>
      </w:r>
    </w:p>
    <w:p>
      <w:pPr>
        <w:pStyle w:val="BookText"/>
      </w:pPr>
      <w:r>
        <w:rPr>
          <w:rFonts w:ascii="IRNazanin" w:hAnsi="IRNazanin" w:eastAsia="IRNazanin" w:cs="IRNazanin"/>
          <w:lang w:bidi="fa-IR"/>
          <w:color w:val="111111"/>
          <w:sz w:val="28"/>
          <w:szCs w:val="28"/>
          <w:rtl/>
        </w:rPr>
        <w:t xml:space="preserve">۲۲۳. دامغان؛ صادقیه؛ شماره نسخه: ۲۲۴/۱</w:t>
      </w:r>
    </w:p>
    <w:p>
      <w:pPr>
        <w:pStyle w:val="BookText"/>
      </w:pPr>
      <w:r>
        <w:rPr>
          <w:rFonts w:ascii="Amiri" w:hAnsi="Amiri" w:eastAsia="Amiri" w:cs="Amiri"/>
          <w:lang w:bidi="ar-SA"/>
          <w:color w:val="111111"/>
          <w:sz w:val="28"/>
          <w:szCs w:val="28"/>
          <w:rtl/>
        </w:rPr>
        <w:t xml:space="preserve">آغاز: محمد بن عبدالله بن مالك الطائي الاندلسي الجياني الشافعي أحمد ربي الله خير مالك؛ انجام: خبر مؤخر وجوبا عن الذي حال كونه مبتدأ قبل استقر وسوغ ذلك.</w:t>
      </w:r>
    </w:p>
    <w:p>
      <w:pPr>
        <w:pStyle w:val="BookText"/>
      </w:pPr>
      <w:r>
        <w:rPr>
          <w:rFonts w:ascii="IRNazanin" w:hAnsi="IRNazanin" w:eastAsia="IRNazanin" w:cs="IRNazanin"/>
          <w:lang w:bidi="fa-IR"/>
          <w:color w:val="111111"/>
          <w:sz w:val="28"/>
          <w:szCs w:val="28"/>
          <w:rtl/>
        </w:rPr>
        <w:t xml:space="preserve">تا اخبار به الذي وفروعه؛ خط: نسخ، كا: محمد باقر بن ملا قربانعلی هزار جریبی ساکن چهار دانگه، تا: شنبه ۲۷ ذیقعده ۱۲۲۳ق، جا: مدرسه سعید آباد؛ افتادگی: آغاز و انجام؛ مهر: «یا امام محمد باقر» (بیضی)؛ جلد: تیماج قهوه ای ضربی، ۱۲۰گ،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مخ: ۲۵]</w:t>
      </w:r>
    </w:p>
    <w:p>
      <w:pPr>
        <w:pStyle w:val="BookText"/>
      </w:pPr>
      <w:r>
        <w:rPr>
          <w:rFonts w:ascii="IRNazanin" w:hAnsi="IRNazanin" w:eastAsia="IRNazanin" w:cs="IRNazanin"/>
          <w:lang w:bidi="fa-IR"/>
          <w:color w:val="111111"/>
          <w:sz w:val="28"/>
          <w:szCs w:val="28"/>
          <w:rtl/>
        </w:rPr>
        <w:t xml:space="preserve">۲۲۴. تهران؛ ملی؛ شماره نسخه: ۳۳۶۴</w:t>
      </w:r>
    </w:p>
    <w:p>
      <w:pPr>
        <w:pStyle w:val="BookText"/>
      </w:pPr>
      <w:r>
        <w:rPr>
          <w:rFonts w:ascii="IRNazanin" w:hAnsi="IRNazanin" w:eastAsia="IRNazanin" w:cs="IRNazanin"/>
          <w:lang w:bidi="fa-IR"/>
          <w:color w:val="111111"/>
          <w:sz w:val="28"/>
          <w:szCs w:val="28"/>
          <w:rtl/>
        </w:rPr>
        <w:t xml:space="preserve">خط: نسخ، كا: صفر على بن ناد على فتح آبادی، تا: ۱۲۲۳ق؛ مصحح، کاغذ: فرنگی نخودی، جلد: تیماج قهوه ای مقوایی ضربی، ۱۴۶گ، ۱۵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۱۷۴-۱۵ ]</w:t>
      </w:r>
    </w:p>
    <w:p>
      <w:pPr>
        <w:pStyle w:val="BookText"/>
      </w:pPr>
      <w:r>
        <w:rPr>
          <w:rFonts w:ascii="IRNazanin" w:hAnsi="IRNazanin" w:eastAsia="IRNazanin" w:cs="IRNazanin"/>
          <w:lang w:bidi="fa-IR"/>
          <w:color w:val="111111"/>
          <w:sz w:val="28"/>
          <w:szCs w:val="28"/>
          <w:rtl/>
        </w:rPr>
        <w:t xml:space="preserve">۲۲۵. شیراز؛ ملی؛ شماره نسخه: ۱۱۳/۱</w:t>
      </w:r>
    </w:p>
    <w:p>
      <w:pPr>
        <w:pStyle w:val="BookText"/>
      </w:pPr>
      <w:r>
        <w:rPr>
          <w:rFonts w:ascii="IRNazanin" w:hAnsi="IRNazanin" w:eastAsia="IRNazanin" w:cs="IRNazanin"/>
          <w:lang w:bidi="fa-IR"/>
          <w:color w:val="111111"/>
          <w:sz w:val="28"/>
          <w:szCs w:val="28"/>
          <w:rtl/>
        </w:rPr>
        <w:t xml:space="preserve">انجام: تم هذا الشرح المسمى البهجة المرضيه کا المشهور بالسيوطي ...</w:t>
      </w:r>
    </w:p>
    <w:p>
      <w:pPr>
        <w:pStyle w:val="BookText"/>
      </w:pPr>
      <w:r>
        <w:rPr>
          <w:rFonts w:ascii="IRNazanin" w:hAnsi="IRNazanin" w:eastAsia="IRNazanin" w:cs="IRNazanin"/>
          <w:lang w:bidi="fa-IR"/>
          <w:color w:val="111111"/>
          <w:sz w:val="28"/>
          <w:szCs w:val="28"/>
          <w:rtl/>
        </w:rPr>
        <w:t xml:space="preserve">خط: نسخ، كا: قاسم، تا: جمعه آخر ربیع الاول ۱۲۲۳ق؛ محشی؛ کاغذ: فرنگی نازک سفید، ۱۰۶گ، ۱۹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سم [ف: ۱-۹۸]</w:t>
      </w:r>
    </w:p>
    <w:p>
      <w:pPr>
        <w:pStyle w:val="BookText"/>
      </w:pPr>
      <w:r>
        <w:rPr>
          <w:rFonts w:ascii="IRNazanin" w:hAnsi="IRNazanin" w:eastAsia="IRNazanin" w:cs="IRNazanin"/>
          <w:lang w:bidi="fa-IR"/>
          <w:color w:val="111111"/>
          <w:sz w:val="28"/>
          <w:szCs w:val="28"/>
          <w:rtl/>
        </w:rPr>
        <w:t xml:space="preserve">۲۲۶. شیراز؛ شاهچراغ؛ شماره نسخه: ۵۱۰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نسخ، كا: شرف الدین علی ابن مرحوم محمد حسن جهرمی، تا: دوشنبه ۲۳ جمادی الثانی ۱۲۲۳ق؛ محشی؛ ۱۳۲ گ، اندازه: ۱۵/۵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سم [ف: ۳-۱۴]</w:t>
      </w:r>
    </w:p>
    <w:p>
      <w:pPr>
        <w:pStyle w:val="BookText"/>
      </w:pPr>
      <w:r>
        <w:rPr>
          <w:rFonts w:ascii="IRNazanin" w:hAnsi="IRNazanin" w:eastAsia="IRNazanin" w:cs="IRNazanin"/>
          <w:lang w:bidi="fa-IR"/>
          <w:color w:val="111111"/>
          <w:sz w:val="28"/>
          <w:szCs w:val="28"/>
          <w:rtl/>
        </w:rPr>
        <w:t xml:space="preserve">۲۲۷. تهران؛ سپهسالار؛ شماره نسخه: ۳۱۹۳</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تا: ۱۲۲۴ق؛ افتادگی: انجام، اصل این نسخه ظاهرا در قرن یازدهم نگارش یافته، چند ورق از اول و آخر آن افتاده به سال ۱۲۲۴ آن را نوشته اند، محشی از شرح تسهیل و ابن ناظم و ابن عقیل و ابوطالب و انموذج و کشاف و رضی و تصریح و اشباه و نظائر و غیر از اینها؛ واقف: سپهسالار؛ کاغذ: سمرقندی، جلد: میشن، ۱۳۶ ص، ۱۵ سطر، قطع: ربعی،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۳۴۰-۲ ]</w:t>
      </w:r>
    </w:p>
    <w:p>
      <w:pPr>
        <w:pStyle w:val="BookText"/>
      </w:pPr>
      <w:r>
        <w:rPr>
          <w:rFonts w:ascii="IRNazanin" w:hAnsi="IRNazanin" w:eastAsia="IRNazanin" w:cs="IRNazanin"/>
          <w:lang w:bidi="fa-IR"/>
          <w:color w:val="111111"/>
          <w:sz w:val="28"/>
          <w:szCs w:val="28"/>
          <w:rtl/>
        </w:rPr>
        <w:t xml:space="preserve">۲۲۸. مشهد؛ رضوی؛ شماره نسخه: ۱۴۴۶۷</w:t>
      </w:r>
    </w:p>
    <w:p>
      <w:pPr>
        <w:pStyle w:val="BookText"/>
      </w:pPr>
      <w:r>
        <w:rPr>
          <w:rFonts w:ascii="IRNazanin" w:hAnsi="IRNazanin" w:eastAsia="IRNazanin" w:cs="IRNazanin"/>
          <w:lang w:bidi="fa-IR"/>
          <w:color w:val="111111"/>
          <w:sz w:val="28"/>
          <w:szCs w:val="28"/>
          <w:rtl/>
        </w:rPr>
        <w:t xml:space="preserve">آغاز و انجام: برابر خط: نسخ، كا: محمد حسین، تا: ۱۲۲۴ق؛ محشی؛ واقف: سید محمد باقر مولوی عربشاهی سبزواری، محرم ۱۴۰۵؛ کاغذ: شکری، جلد: تیماج مشکی یک لا، ۱۴۷گ، ۱۴ و ۱۵ سطر، اندازه: ۱۴/۵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۱۲ - ۳۰]</w:t>
      </w:r>
    </w:p>
    <w:p>
      <w:pPr>
        <w:pStyle w:val="BookText"/>
      </w:pPr>
      <w:r>
        <w:rPr>
          <w:rFonts w:ascii="IRNazanin" w:hAnsi="IRNazanin" w:eastAsia="IRNazanin" w:cs="IRNazanin"/>
          <w:lang w:bidi="fa-IR"/>
          <w:color w:val="111111"/>
          <w:sz w:val="28"/>
          <w:szCs w:val="28"/>
          <w:rtl/>
        </w:rPr>
        <w:t xml:space="preserve">۲۲۹. تهران: مجلس؛ شماره نسخه: ۱۹۴۲/۳</w:t>
      </w:r>
    </w:p>
    <w:p>
      <w:pPr>
        <w:pStyle w:val="BookText"/>
      </w:pPr>
      <w:r>
        <w:rPr>
          <w:rFonts w:ascii="IRNazanin" w:hAnsi="IRNazanin" w:eastAsia="IRNazanin" w:cs="IRNazanin"/>
          <w:lang w:bidi="fa-IR"/>
          <w:color w:val="111111"/>
          <w:sz w:val="28"/>
          <w:szCs w:val="28"/>
          <w:rtl/>
        </w:rPr>
        <w:t xml:space="preserve">آغاز و انجام: برابر خط: نسخ، بی کا، تا: ۱۲۲۵ق؛ کاغذ: فرنگی، جلد: تیماج قرمز، ۲۴۵ص (۱۳۲-۳۷۶)، ۱۶ سطر، قطع: خشتی،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۹- ۶۶۰]</w:t>
      </w:r>
    </w:p>
    <w:p>
      <w:pPr>
        <w:pStyle w:val="BookText"/>
      </w:pPr>
      <w:r>
        <w:rPr>
          <w:rFonts w:ascii="IRNazanin" w:hAnsi="IRNazanin" w:eastAsia="IRNazanin" w:cs="IRNazanin"/>
          <w:lang w:bidi="fa-IR"/>
          <w:color w:val="111111"/>
          <w:sz w:val="28"/>
          <w:szCs w:val="28"/>
          <w:rtl/>
        </w:rPr>
        <w:t xml:space="preserve">۲۳۰. قم؛ گلپایگانی؛ شماره نسخه: ۵۲۸۹/۱ - ۲۶/۱۶۹</w:t>
      </w:r>
    </w:p>
    <w:p>
      <w:pPr>
        <w:pStyle w:val="BookText"/>
      </w:pPr>
      <w:r>
        <w:rPr>
          <w:rFonts w:ascii="IRNazanin" w:hAnsi="IRNazanin" w:eastAsia="IRNazanin" w:cs="IRNazanin"/>
          <w:lang w:bidi="fa-IR"/>
          <w:color w:val="111111"/>
          <w:sz w:val="28"/>
          <w:szCs w:val="28"/>
          <w:rtl/>
        </w:rPr>
        <w:t xml:space="preserve">آغاز: قد خصص الفعل بان ينجز ما فلايجزم الاسم لامتناع دخول عامله علیه فارفع بضم وانصبن فتحا وجرا؛ انجام: برابر خط: نسخ، بی کا، تا: جمعه ۷ جمادی الثانی ۱۲۲۵ق؛ افتادگی: آغاز؛ جلد: مقوای لایی عطف پارچه ای، ۱۳۶، ۱۶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۲-۶۴۲]</w:t>
      </w:r>
    </w:p>
    <w:p>
      <w:pPr>
        <w:pStyle w:val="BookText"/>
      </w:pPr>
      <w:r>
        <w:rPr>
          <w:rFonts w:ascii="IRNazanin" w:hAnsi="IRNazanin" w:eastAsia="IRNazanin" w:cs="IRNazanin"/>
          <w:lang w:bidi="fa-IR"/>
          <w:color w:val="111111"/>
          <w:sz w:val="28"/>
          <w:szCs w:val="28"/>
          <w:rtl/>
        </w:rPr>
        <w:t xml:space="preserve">۲۳۱. قم، گلپایگانی شماره نسخه: ۴۹۹۸/۱ - ۲۵/۸۸</w:t>
      </w:r>
    </w:p>
    <w:p>
      <w:pPr>
        <w:pStyle w:val="BookText"/>
      </w:pPr>
      <w:r>
        <w:rPr>
          <w:rFonts w:ascii="IRNazanin" w:hAnsi="IRNazanin" w:eastAsia="IRNazanin" w:cs="IRNazanin"/>
          <w:lang w:bidi="fa-IR"/>
          <w:color w:val="111111"/>
          <w:sz w:val="28"/>
          <w:szCs w:val="28"/>
          <w:rtl/>
        </w:rPr>
        <w:t xml:space="preserve">آغاز: کلامنا لفظ مفید کاستقم *** واسم وفعل ثم حرف الكلم. مالیس بلفظ من الدوال الأربع کالاشارة والخط و غیره؛ انجام: برابر خط: نسخ و نستعلیق، بی کا، تا: پنج شنبه از ذیقعده ۱۲۲۵ق؛ افتادگی: آغاز؛ جلد: تیماج قهوه ای ضربی جدول دار، ۱۱۴گ، ۱۶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۲-۶۴۲]</w:t>
      </w:r>
    </w:p>
    <w:p>
      <w:pPr>
        <w:pStyle w:val="BookText"/>
      </w:pPr>
      <w:r>
        <w:rPr>
          <w:rFonts w:ascii="IRNazanin" w:hAnsi="IRNazanin" w:eastAsia="IRNazanin" w:cs="IRNazanin"/>
          <w:lang w:bidi="fa-IR"/>
          <w:color w:val="111111"/>
          <w:sz w:val="28"/>
          <w:szCs w:val="28"/>
          <w:rtl/>
        </w:rPr>
        <w:t xml:space="preserve">۲۳۲. قم؛ فیضیه؛ شماره نسخه: ۸۲۸</w:t>
      </w:r>
    </w:p>
    <w:p>
      <w:pPr>
        <w:pStyle w:val="BookText"/>
      </w:pPr>
      <w:r>
        <w:rPr>
          <w:rFonts w:ascii="IRNazanin" w:hAnsi="IRNazanin" w:eastAsia="IRNazanin" w:cs="IRNazanin"/>
          <w:lang w:bidi="fa-IR"/>
          <w:color w:val="111111"/>
          <w:sz w:val="28"/>
          <w:szCs w:val="28"/>
          <w:rtl/>
        </w:rPr>
        <w:t xml:space="preserve">خط: نستعلیق، کا: محمد نبی بن مشهدی ربیع اشتهاردی، تا: ۱۲۲۵ق، ۱۰۴ ، ۱۶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۱-۳۴]</w:t>
      </w:r>
    </w:p>
    <w:p>
      <w:pPr>
        <w:pStyle w:val="BookText"/>
      </w:pPr>
      <w:r>
        <w:rPr>
          <w:rFonts w:ascii="IRNazanin" w:hAnsi="IRNazanin" w:eastAsia="IRNazanin" w:cs="IRNazanin"/>
          <w:lang w:bidi="fa-IR"/>
          <w:color w:val="111111"/>
          <w:sz w:val="28"/>
          <w:szCs w:val="28"/>
          <w:rtl/>
        </w:rPr>
        <w:t xml:space="preserve">۲۳۳. قم، گلپایگانی شماره نسخه: ۲۲۳۱- ۱۲/۱۲۱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جمعه دهه سوم ربیع الاول ۱۲۲۶ق؛ با علامت بلاغ؛ جلد: مقوا عطف تیماج سبز، ۲۳۱ گ، ۱۱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۲-۶۳۷]</w:t>
      </w:r>
    </w:p>
    <w:p>
      <w:pPr>
        <w:pStyle w:val="BookText"/>
      </w:pPr>
      <w:r>
        <w:rPr>
          <w:rFonts w:ascii="IRNazanin" w:hAnsi="IRNazanin" w:eastAsia="IRNazanin" w:cs="IRNazanin"/>
          <w:lang w:bidi="fa-IR"/>
          <w:color w:val="111111"/>
          <w:sz w:val="28"/>
          <w:szCs w:val="28"/>
          <w:rtl/>
        </w:rPr>
        <w:t xml:space="preserve">۲۳۴. قم، گلپایگانی؛ شماره نسخه: ۵۶۹۱- ۲۹/۳۱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على بن عبدعلی هزار جریبی ساکن قریه کلیم، تا: ۱۲۲۶ق؛ جلد: تیماج مشکی ضربی مجدول گرهی، ۱۱۴، ۲۰ سطر، اندازه: ۲۷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۲-۶۳۸]</w:t>
      </w:r>
    </w:p>
    <w:p>
      <w:pPr>
        <w:pStyle w:val="BookText"/>
      </w:pPr>
      <w:r>
        <w:rPr>
          <w:rFonts w:ascii="IRNazanin" w:hAnsi="IRNazanin" w:eastAsia="IRNazanin" w:cs="IRNazanin"/>
          <w:lang w:bidi="fa-IR"/>
          <w:color w:val="111111"/>
          <w:sz w:val="28"/>
          <w:szCs w:val="28"/>
          <w:rtl/>
        </w:rPr>
        <w:t xml:space="preserve">۲۳۵. مشهد؛ رضوی؛ شماره نسخه: ۱۶۹۸۵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۱۲۲۶ق؛ کاغذ: نخودی، جلد: تیماج، ۱۹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[رایانه]</w:t>
      </w:r>
    </w:p>
    <w:p>
      <w:pPr>
        <w:pStyle w:val="BookText"/>
      </w:pPr>
      <w:r>
        <w:rPr>
          <w:rFonts w:ascii="IRNazanin" w:hAnsi="IRNazanin" w:eastAsia="IRNazanin" w:cs="IRNazanin"/>
          <w:lang w:bidi="fa-IR"/>
          <w:color w:val="111111"/>
          <w:sz w:val="28"/>
          <w:szCs w:val="28"/>
          <w:rtl/>
        </w:rPr>
        <w:t xml:space="preserve">۲۳۶. شیراز؛ ملی؛ شماره نسخه: ۱۰۷-ش/۴۱۳</w:t>
      </w:r>
    </w:p>
    <w:p>
      <w:pPr>
        <w:pStyle w:val="BookText"/>
      </w:pPr>
      <w:r>
        <w:rPr>
          <w:rFonts w:ascii="IRNazanin" w:hAnsi="IRNazanin" w:eastAsia="IRNazanin" w:cs="IRNazanin"/>
          <w:lang w:bidi="fa-IR"/>
          <w:color w:val="111111"/>
          <w:sz w:val="28"/>
          <w:szCs w:val="28"/>
          <w:rtl/>
        </w:rPr>
        <w:t xml:space="preserve">انجام: برابر خط: نسخ، كان محسن بن عبدالرحیم لاری، تا: ۱۲۲۶؛ جا: شیراز قریه دشتک از محال ابرج؛ محشی؛ کاغذ: فرنگی نخودی، جلد: مقوا با تیماج مشکی، ۱۱۴، ۱۷ سطر (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 اندازه:</w:t>
      </w:r>
    </w:p>
    <w:p>
      <w:pPr>
        <w:pStyle w:val="BookText"/>
      </w:pPr>
      <w:r>
        <w:rPr>
          <w:rFonts w:ascii="IRNazanin" w:hAnsi="IRNazanin" w:eastAsia="IRNazanin" w:cs="IRNazanin"/>
          <w:lang w:bidi="fa-IR"/>
          <w:color w:val="111111"/>
          <w:sz w:val="28"/>
          <w:szCs w:val="28"/>
          <w:rtl/>
        </w:rPr>
        <w:t xml:space="preserve">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سم [ف: ۲-۱۲]</w:t>
      </w:r>
    </w:p>
    <w:p>
      <w:pPr>
        <w:pStyle w:val="BookText"/>
      </w:pPr>
      <w:r>
        <w:rPr>
          <w:rFonts w:ascii="IRNazanin" w:hAnsi="IRNazanin" w:eastAsia="IRNazanin" w:cs="IRNazanin"/>
          <w:lang w:bidi="fa-IR"/>
          <w:color w:val="111111"/>
          <w:sz w:val="28"/>
          <w:szCs w:val="28"/>
          <w:rtl/>
        </w:rPr>
        <w:t xml:space="preserve">۲۳۷. تهران، دانشگاه؛ شماره نسخه: ۷۳۳۴</w:t>
      </w:r>
    </w:p>
    <w:p>
      <w:pPr>
        <w:pStyle w:val="BookText"/>
      </w:pPr>
      <w:r>
        <w:rPr>
          <w:rFonts w:ascii="IRNazanin" w:hAnsi="IRNazanin" w:eastAsia="IRNazanin" w:cs="IRNazanin"/>
          <w:lang w:bidi="fa-IR"/>
          <w:color w:val="111111"/>
          <w:sz w:val="28"/>
          <w:szCs w:val="28"/>
          <w:rtl/>
        </w:rPr>
        <w:t xml:space="preserve">خط: نسخ و نستعلیق، بی کا، تا: ۱۲۲۷ق؛ کاغذ: فرنگی کبود، جلد: نو، ۷۵، ۱۴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قطع: خشتی، اندازه:</w:t>
      </w:r>
    </w:p>
    <w:p>
      <w:pPr>
        <w:pStyle w:val="BookText"/>
      </w:pPr>
      <w:r>
        <w:rPr>
          <w:rFonts w:ascii="IRNazanin" w:hAnsi="IRNazanin" w:eastAsia="IRNazanin" w:cs="IRNazanin"/>
          <w:lang w:bidi="fa-IR"/>
          <w:color w:val="111111"/>
          <w:sz w:val="28"/>
          <w:szCs w:val="28"/>
          <w:rtl/>
        </w:rPr>
        <w:t xml:space="preserve">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۱۶-۵۱۵]</w:t>
      </w:r>
    </w:p>
    <w:p>
      <w:pPr>
        <w:pStyle w:val="BookText"/>
      </w:pPr>
      <w:r>
        <w:rPr>
          <w:rFonts w:ascii="IRNazanin" w:hAnsi="IRNazanin" w:eastAsia="IRNazanin" w:cs="IRNazanin"/>
          <w:lang w:bidi="fa-IR"/>
          <w:color w:val="111111"/>
          <w:sz w:val="28"/>
          <w:szCs w:val="28"/>
          <w:rtl/>
        </w:rPr>
        <w:t xml:space="preserve">۲۳۸. قم؛ معصومیه؛ شماره نسخه: ۷۵/۳/۴ -۵۹۴۴</w:t>
      </w:r>
    </w:p>
    <w:p>
      <w:pPr>
        <w:pStyle w:val="BookText"/>
      </w:pPr>
      <w:r>
        <w:rPr>
          <w:rFonts w:ascii="IRNazanin" w:hAnsi="IRNazanin" w:eastAsia="IRNazanin" w:cs="IRNazanin"/>
          <w:lang w:bidi="fa-IR"/>
          <w:color w:val="111111"/>
          <w:sz w:val="28"/>
          <w:szCs w:val="28"/>
          <w:rtl/>
        </w:rPr>
        <w:t xml:space="preserve">خط: نسخ، كا: محمد بن صادق خرو کی فاروجی، تا: ۱۲۲۷ق؛ کاغذ: فرنگی، جلد: تیماج مشکی عطف تریاکی، ۱۹ سطر، قطع: ربعی [ آستانه قم: ۱۹۶]</w:t>
      </w:r>
    </w:p>
    <w:p>
      <w:pPr>
        <w:pStyle w:val="BookText"/>
      </w:pPr>
      <w:r>
        <w:rPr>
          <w:rFonts w:ascii="IRNazanin" w:hAnsi="IRNazanin" w:eastAsia="IRNazanin" w:cs="IRNazanin"/>
          <w:lang w:bidi="fa-IR"/>
          <w:color w:val="111111"/>
          <w:sz w:val="28"/>
          <w:szCs w:val="28"/>
          <w:rtl/>
        </w:rPr>
        <w:t xml:space="preserve">۲۳۹. مشهد؛ رضوی؛ شماره نسخه: ۲۶۶۴۹</w:t>
      </w:r>
    </w:p>
    <w:p>
      <w:pPr>
        <w:pStyle w:val="BookText"/>
      </w:pPr>
      <w:r>
        <w:rPr>
          <w:rFonts w:ascii="IRNazanin" w:hAnsi="IRNazanin" w:eastAsia="IRNazanin" w:cs="IRNazanin"/>
          <w:lang w:bidi="fa-IR"/>
          <w:color w:val="111111"/>
          <w:sz w:val="28"/>
          <w:szCs w:val="28"/>
          <w:rtl/>
        </w:rPr>
        <w:t xml:space="preserve">آغاز: برابر؛ انجام: ابن المرحوم المغفور محمد المنشي الكرمانی خط: نسخ خفی، کا: ابن محمد منشی کرمانی، تا: ۱۲۲۷ق، کاغذ: فستقی، جلد: تیماج مشکی، ۱۵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قطع: وزیری کوچک،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[رایانه]</w:t>
      </w:r>
    </w:p>
    <w:p>
      <w:pPr>
        <w:pStyle w:val="BookText"/>
      </w:pPr>
      <w:r>
        <w:rPr>
          <w:rFonts w:ascii="IRNazanin" w:hAnsi="IRNazanin" w:eastAsia="IRNazanin" w:cs="IRNazanin"/>
          <w:lang w:bidi="fa-IR"/>
          <w:color w:val="111111"/>
          <w:sz w:val="28"/>
          <w:szCs w:val="28"/>
          <w:rtl/>
        </w:rPr>
        <w:t xml:space="preserve">۲۴۰. قزوین؛ امام صادق؛ شماره نسخه: ۲۶۷</w:t>
      </w:r>
    </w:p>
    <w:p>
      <w:pPr>
        <w:pStyle w:val="BookText"/>
      </w:pPr>
      <w:r>
        <w:rPr>
          <w:rFonts w:ascii="IRNazanin" w:hAnsi="IRNazanin" w:eastAsia="IRNazanin" w:cs="IRNazanin"/>
          <w:lang w:bidi="fa-IR"/>
          <w:color w:val="111111"/>
          <w:sz w:val="28"/>
          <w:szCs w:val="28"/>
          <w:rtl/>
        </w:rPr>
        <w:t xml:space="preserve">کامل؛ خط: نسخ، كا: حیدر علی بن ملا سبز على، تا: 1 ذیقعده ۱۲۲۷ق؛ جلد: مقوا، ۱۵۱گ، ۱۷ سطر [ف: ۱-۴۷] ۲۴۱. مشهد؛ مدرسه آية الله خوئی؛ شماره نسخه: ۱۰۸</w:t>
      </w:r>
    </w:p>
    <w:p>
      <w:pPr>
        <w:pStyle w:val="BookText"/>
      </w:pPr>
      <w:r>
        <w:rPr>
          <w:rFonts w:ascii="IRNazanin" w:hAnsi="IRNazanin" w:eastAsia="IRNazanin" w:cs="IRNazanin"/>
          <w:lang w:bidi="fa-IR"/>
          <w:color w:val="111111"/>
          <w:sz w:val="28"/>
          <w:szCs w:val="28"/>
          <w:rtl/>
        </w:rPr>
        <w:t xml:space="preserve">خط: نسخ، بی کا، تا: ۸ جمادی الاول ۱۲۲۷ق؛ افتادگی: آغاز؛ مصحح، محشی؛ جلد: تیماج مشکی، ۱۲۱گ، ۱۳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۷۱]</w:t>
      </w:r>
    </w:p>
    <w:p>
      <w:pPr>
        <w:pStyle w:val="BookText"/>
      </w:pPr>
      <w:r>
        <w:rPr>
          <w:rFonts w:ascii="IRNazanin" w:hAnsi="IRNazanin" w:eastAsia="IRNazanin" w:cs="IRNazanin"/>
          <w:lang w:bidi="fa-IR"/>
          <w:color w:val="111111"/>
          <w:sz w:val="28"/>
          <w:szCs w:val="28"/>
          <w:rtl/>
        </w:rPr>
        <w:t xml:space="preserve">۲۴۲. قزوین؛ امام صادق؛ شماره نسخه: ۲۱۵</w:t>
      </w:r>
    </w:p>
    <w:p>
      <w:pPr>
        <w:pStyle w:val="BookText"/>
      </w:pPr>
      <w:r>
        <w:rPr>
          <w:rFonts w:ascii="IRNazanin" w:hAnsi="IRNazanin" w:eastAsia="IRNazanin" w:cs="IRNazanin"/>
          <w:lang w:bidi="fa-IR"/>
          <w:color w:val="111111"/>
          <w:sz w:val="28"/>
          <w:szCs w:val="28"/>
          <w:rtl/>
        </w:rPr>
        <w:t xml:space="preserve">کامل؛ خط: نسخ، كا: احمد بن صالح، تا: محرم ۱۲۲۸ق، جا: قریه کله زرده مدرسه «افضل الفضلاء و اعلم العلماء شیخ الشيوخی شیخ عبد الصمد»؛ محشی؛ جلد: تیماج با مقوا، ۱۲۰گ، ۱۲ سطر [ف: ۱-۴۷]</w:t>
      </w:r>
    </w:p>
    <w:p>
      <w:pPr>
        <w:pStyle w:val="BookText"/>
      </w:pPr>
      <w:r>
        <w:rPr>
          <w:rFonts w:ascii="IRNazanin" w:hAnsi="IRNazanin" w:eastAsia="IRNazanin" w:cs="IRNazanin"/>
          <w:lang w:bidi="fa-IR"/>
          <w:color w:val="111111"/>
          <w:sz w:val="28"/>
          <w:szCs w:val="28"/>
          <w:rtl/>
        </w:rPr>
        <w:t xml:space="preserve">۲۴۳. مشهد؛ رضوی؛ شماره نسخه: ۲۸۶۳۱</w:t>
      </w:r>
    </w:p>
    <w:p>
      <w:pPr>
        <w:pStyle w:val="BookText"/>
      </w:pPr>
      <w:r>
        <w:rPr>
          <w:rFonts w:ascii="IRNazanin" w:hAnsi="IRNazanin" w:eastAsia="IRNazanin" w:cs="IRNazanin"/>
          <w:lang w:bidi="fa-IR"/>
          <w:color w:val="111111"/>
          <w:sz w:val="28"/>
          <w:szCs w:val="28"/>
          <w:rtl/>
        </w:rPr>
        <w:t xml:space="preserve">آغاز: برابر؛ انجام: فليس بالسائن شيئا له فقداتی المصنف في ...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آمین یا رب العالمين</w:t>
      </w:r>
    </w:p>
    <w:p>
      <w:pPr>
        <w:pStyle w:val="BookText"/>
      </w:pPr>
      <w:r>
        <w:rPr>
          <w:rFonts w:ascii="IRNazanin" w:hAnsi="IRNazanin" w:eastAsia="IRNazanin" w:cs="IRNazanin"/>
          <w:lang w:bidi="fa-IR"/>
          <w:color w:val="111111"/>
          <w:sz w:val="28"/>
          <w:szCs w:val="28"/>
          <w:rtl/>
        </w:rPr>
        <w:t xml:space="preserve">خط: نستعلیق جلی، بی کا، تا: ۱۲۲۸ق؛ وقف حضرت علی بن موسی الرضا (علیه السصلام) کتابخانه شخصی احمد شاهد؛ کاغذ: فستقی جلد: تیماج، ۱۷ سطر ( ۱۴/۲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قطع: وزیری کوچک، اندازه: ۱۴/۵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سم [رایانه]</w:t>
      </w:r>
    </w:p>
    <w:p>
      <w:pPr>
        <w:pStyle w:val="BookText"/>
      </w:pPr>
      <w:r>
        <w:rPr>
          <w:rFonts w:ascii="IRNazanin" w:hAnsi="IRNazanin" w:eastAsia="IRNazanin" w:cs="IRNazanin"/>
          <w:lang w:bidi="fa-IR"/>
          <w:color w:val="111111"/>
          <w:sz w:val="28"/>
          <w:szCs w:val="28"/>
          <w:rtl/>
        </w:rPr>
        <w:t xml:space="preserve">۲۴۴. تهران؛ ملک؛ شماره نسخه: ۳۰۰۹/۱</w:t>
      </w:r>
    </w:p>
    <w:p>
      <w:pPr>
        <w:pStyle w:val="BookText"/>
      </w:pPr>
      <w:r>
        <w:rPr>
          <w:rFonts w:ascii="IRNazanin" w:hAnsi="IRNazanin" w:eastAsia="IRNazanin" w:cs="IRNazanin"/>
          <w:lang w:bidi="fa-IR"/>
          <w:color w:val="111111"/>
          <w:sz w:val="28"/>
          <w:szCs w:val="28"/>
          <w:rtl/>
        </w:rPr>
        <w:t xml:space="preserve">خط: نسخ، بی کا، تا: ۱۲۲۸ق؛ کاغذ: پسته ای، جلد: میشن سیاه، ۱۵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۶-۱۸۸]</w:t>
      </w:r>
    </w:p>
    <w:p>
      <w:pPr>
        <w:pStyle w:val="BookText"/>
      </w:pPr>
      <w:r>
        <w:rPr>
          <w:rFonts w:ascii="IRNazanin" w:hAnsi="IRNazanin" w:eastAsia="IRNazanin" w:cs="IRNazanin"/>
          <w:lang w:bidi="fa-IR"/>
          <w:color w:val="111111"/>
          <w:sz w:val="28"/>
          <w:szCs w:val="28"/>
          <w:rtl/>
        </w:rPr>
        <w:t xml:space="preserve">۲۴۵. تهران، عبدالعظیم؛ شماره نسخه: ۶۵۷/۷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جمعه ۱۲۲۸ق، جا: قزوین، مدرسه پیغمبریه؛ ۱۱۳گ، ۱۵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۱-۷۸]</w:t>
      </w:r>
    </w:p>
    <w:p>
      <w:pPr>
        <w:pStyle w:val="BookText"/>
      </w:pPr>
      <w:r>
        <w:rPr>
          <w:rFonts w:ascii="IRNazanin" w:hAnsi="IRNazanin" w:eastAsia="IRNazanin" w:cs="IRNazanin"/>
          <w:lang w:bidi="fa-IR"/>
          <w:color w:val="111111"/>
          <w:sz w:val="28"/>
          <w:szCs w:val="28"/>
          <w:rtl/>
        </w:rPr>
        <w:t xml:space="preserve">۲۴۶. تهران؛ الهیات؛ شماره نسخه: ۱۰۲</w:t>
      </w:r>
    </w:p>
    <w:p>
      <w:pPr>
        <w:pStyle w:val="BookText"/>
      </w:pPr>
      <w:r>
        <w:rPr>
          <w:rFonts w:ascii="IRNazanin" w:hAnsi="IRNazanin" w:eastAsia="IRNazanin" w:cs="IRNazanin"/>
          <w:lang w:bidi="fa-IR"/>
          <w:color w:val="111111"/>
          <w:sz w:val="28"/>
          <w:szCs w:val="28"/>
          <w:rtl/>
        </w:rPr>
        <w:t xml:space="preserve">خط: نسخ، كا: عبدالحی بن سید عبدالرحمن، تا: ۳ رجب ۱۲۲۹ق؛ محشی با نشانه «محمد علی، تصریح، شواهد نظام الدین، مطول»؛ مهر: كاتب؛ کاغذ: فرنگی، جلد: تیماج قهوه یی ضربی مقوایی، ۱۷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[ف: ۷۵۲]</w:t>
      </w:r>
    </w:p>
    <w:p>
      <w:pPr>
        <w:pStyle w:val="BookText"/>
      </w:pPr>
      <w:r>
        <w:rPr>
          <w:rFonts w:ascii="Amiri" w:hAnsi="Amiri" w:eastAsia="Amiri" w:cs="Amiri"/>
          <w:lang w:bidi="ar-SA"/>
          <w:color w:val="111111"/>
          <w:sz w:val="28"/>
          <w:szCs w:val="28"/>
          <w:rtl/>
        </w:rPr>
        <w:t xml:space="preserve">۲۴۷. تهران؛ الهيات؛ شماره نسخه: ۱۳۱</w:t>
      </w:r>
    </w:p>
    <w:p>
      <w:pPr>
        <w:pStyle w:val="BookText"/>
      </w:pPr>
      <w:r>
        <w:rPr>
          <w:rFonts w:ascii="IRNazanin" w:hAnsi="IRNazanin" w:eastAsia="IRNazanin" w:cs="IRNazanin"/>
          <w:lang w:bidi="fa-IR"/>
          <w:color w:val="111111"/>
          <w:sz w:val="28"/>
          <w:szCs w:val="28"/>
          <w:rtl/>
        </w:rPr>
        <w:t xml:space="preserve">خط: نسخ، كا: حسینعلی دلازیانی پسر کربلائی مراغ، تا: ۱۲۲۹ق، جا: مدرسه صادق خان سمنانی؛ کاغذ: فرنگی سفید و آبی، جلد: تیماج مشکی، ۱۵ سطر (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[ف: ۷۵۲]</w:t>
      </w:r>
    </w:p>
    <w:p>
      <w:pPr>
        <w:pStyle w:val="BookText"/>
      </w:pPr>
      <w:r>
        <w:rPr>
          <w:rFonts w:ascii="IRNazanin" w:hAnsi="IRNazanin" w:eastAsia="IRNazanin" w:cs="IRNazanin"/>
          <w:lang w:bidi="fa-IR"/>
          <w:color w:val="111111"/>
          <w:sz w:val="28"/>
          <w:szCs w:val="28"/>
          <w:rtl/>
        </w:rPr>
        <w:t xml:space="preserve">۲۴۸. تهران؛ ملی؛ شماره نسخه: ۳۴۵۴</w:t>
      </w:r>
    </w:p>
    <w:p>
      <w:pPr>
        <w:pStyle w:val="BookText"/>
      </w:pPr>
      <w:r>
        <w:rPr>
          <w:rFonts w:ascii="IRNazanin" w:hAnsi="IRNazanin" w:eastAsia="IRNazanin" w:cs="IRNazanin"/>
          <w:lang w:bidi="fa-IR"/>
          <w:color w:val="111111"/>
          <w:sz w:val="28"/>
          <w:szCs w:val="28"/>
          <w:rtl/>
        </w:rPr>
        <w:t xml:space="preserve">خط: نسخ، كا: محمد باقر بن على اكبر بواناتی سوریه ای، تا: ۱۲۲۹ق؛ مجدول؛ مهر تملک: نجفعلی حسینی؛ کاغذ: فرنگی شکری، جلد: تیماج مشکی مقوایی ضربی جداول و منگنه، ۹۹گ، ۱۹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۱۵-۱۶۸]</w:t>
      </w:r>
    </w:p>
    <w:p>
      <w:pPr>
        <w:pStyle w:val="BookText"/>
      </w:pPr>
      <w:r>
        <w:rPr>
          <w:rFonts w:ascii="IRNazanin" w:hAnsi="IRNazanin" w:eastAsia="IRNazanin" w:cs="IRNazanin"/>
          <w:lang w:bidi="fa-IR"/>
          <w:color w:val="111111"/>
          <w:sz w:val="28"/>
          <w:szCs w:val="28"/>
          <w:rtl/>
        </w:rPr>
        <w:t xml:space="preserve">۲۴۹. قم؛ مرکز احیاء؛ شماره نسخه: ۳۶۶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ابو طالب بن ملا محمد قری، تا: یکشنبه ۲۴ ربیع الثانی ۱۲۲۹ق، جا: شیراز، مدرسه بابلیه؛ مصحح، محشی؛ جلد: مقوایی عطف پارچه قرمز، ۱۳۰گ، ۱۸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۱-۴۷۷]</w:t>
      </w:r>
    </w:p>
    <w:p>
      <w:pPr>
        <w:pStyle w:val="BookText"/>
      </w:pPr>
      <w:r>
        <w:rPr>
          <w:rFonts w:ascii="IRNazanin" w:hAnsi="IRNazanin" w:eastAsia="IRNazanin" w:cs="IRNazanin"/>
          <w:lang w:bidi="fa-IR"/>
          <w:color w:val="111111"/>
          <w:sz w:val="28"/>
          <w:szCs w:val="28"/>
          <w:rtl/>
        </w:rPr>
        <w:t xml:space="preserve">۲۵۰. مشهد: رضوی؛ شماره نسخه: ۳۸۴۵</w:t>
      </w:r>
    </w:p>
    <w:p>
      <w:pPr>
        <w:pStyle w:val="BookText"/>
      </w:pPr>
      <w:r>
        <w:rPr>
          <w:rFonts w:ascii="IRNazanin" w:hAnsi="IRNazanin" w:eastAsia="IRNazanin" w:cs="IRNazanin"/>
          <w:lang w:bidi="fa-IR"/>
          <w:color w:val="111111"/>
          <w:sz w:val="28"/>
          <w:szCs w:val="28"/>
          <w:rtl/>
        </w:rPr>
        <w:t xml:space="preserve">آغاز و انجام: برابر خط: نسخ، بی کا، تا: ۱۲۲۹ق؛ محشی؛ واقف: تاج ماه بیگم، ۱۲۶۲ق؛ کاغذ: شکری، جلد: پارچه، ۱۱۰گ، ۱۵ سطر (۶/۲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۱۲-۲۲ ]</w:t>
      </w:r>
    </w:p>
    <w:p>
      <w:pPr>
        <w:pStyle w:val="BookText"/>
      </w:pPr>
      <w:r>
        <w:rPr>
          <w:rFonts w:ascii="IRNazanin" w:hAnsi="IRNazanin" w:eastAsia="IRNazanin" w:cs="IRNazanin"/>
          <w:lang w:bidi="fa-IR"/>
          <w:color w:val="111111"/>
          <w:sz w:val="28"/>
          <w:szCs w:val="28"/>
          <w:rtl/>
        </w:rPr>
        <w:t xml:space="preserve">۲۵۱. مشهد: الهیات؛ شماره نسخه: ۷۶۸</w:t>
      </w:r>
    </w:p>
    <w:p>
      <w:pPr>
        <w:pStyle w:val="BookText"/>
      </w:pPr>
      <w:r>
        <w:rPr>
          <w:rFonts w:ascii="IRNazanin" w:hAnsi="IRNazanin" w:eastAsia="IRNazanin" w:cs="IRNazanin"/>
          <w:lang w:bidi="fa-IR"/>
          <w:color w:val="111111"/>
          <w:sz w:val="28"/>
          <w:szCs w:val="28"/>
          <w:rtl/>
        </w:rPr>
        <w:t xml:space="preserve">آغاز: برابر؛ انجام: و صلی الله على محمد و آله اجمعین آمین یا رب العالمين</w:t>
      </w:r>
    </w:p>
    <w:p>
      <w:pPr>
        <w:pStyle w:val="BookText"/>
      </w:pPr>
      <w:r>
        <w:rPr>
          <w:rFonts w:ascii="IRNazanin" w:hAnsi="IRNazanin" w:eastAsia="IRNazanin" w:cs="IRNazanin"/>
          <w:lang w:bidi="fa-IR"/>
          <w:color w:val="111111"/>
          <w:sz w:val="28"/>
          <w:szCs w:val="28"/>
          <w:rtl/>
        </w:rPr>
        <w:t xml:space="preserve">خط: نسخ، كا: محمد حسن بن ابراهیم خان رودی، تا: ۲۰ جمادی الثانی ۱۲۲۹ق، کاغذ نخودی؛ جلد: تیماج لایه ای مشکی، ۱۴۱، ۱۶ سطر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قطع: ربعی،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۱-۲۳]</w:t>
      </w:r>
    </w:p>
    <w:p>
      <w:pPr>
        <w:pStyle w:val="BookText"/>
      </w:pPr>
      <w:r>
        <w:rPr>
          <w:rFonts w:ascii="IRNazanin" w:hAnsi="IRNazanin" w:eastAsia="IRNazanin" w:cs="IRNazanin"/>
          <w:lang w:bidi="fa-IR"/>
          <w:color w:val="111111"/>
          <w:sz w:val="28"/>
          <w:szCs w:val="28"/>
          <w:rtl/>
        </w:rPr>
        <w:t xml:space="preserve">۲۵۲. مشهد؛ گوهرشاد؛ شماره نسخه: ۷۳۹</w:t>
      </w:r>
    </w:p>
    <w:p>
      <w:pPr>
        <w:pStyle w:val="BookText"/>
      </w:pPr>
      <w:r>
        <w:rPr>
          <w:rFonts w:ascii="IRNazanin" w:hAnsi="IRNazanin" w:eastAsia="IRNazanin" w:cs="IRNazanin"/>
          <w:lang w:bidi="fa-IR"/>
          <w:color w:val="111111"/>
          <w:sz w:val="28"/>
          <w:szCs w:val="28"/>
          <w:rtl/>
        </w:rPr>
        <w:t xml:space="preserve">خط: نسخ، كا: ابن محمد کنگی، تا: رجب ۱۲۲۹ق؛ افتادگی: آغاز (برگ اول)؛ مهر: حاج سید سعید؛ کاغذ: فرنگی، جلد: تیماج عنابی لایه ای، ۲۰ سطر (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۲۰۱۴سم [ف: ۸۵۱-۲ ]</w:t>
      </w:r>
    </w:p>
    <w:p>
      <w:pPr>
        <w:pStyle w:val="BookText"/>
      </w:pPr>
      <w:r>
        <w:rPr>
          <w:rFonts w:ascii="IRNazanin" w:hAnsi="IRNazanin" w:eastAsia="IRNazanin" w:cs="IRNazanin"/>
          <w:lang w:bidi="fa-IR"/>
          <w:color w:val="111111"/>
          <w:sz w:val="28"/>
          <w:szCs w:val="28"/>
          <w:rtl/>
        </w:rPr>
        <w:t xml:space="preserve">۲۵۳. مشهد؛ گوهرشاد؛ شماره نسخه: ۶۲۰/۲</w:t>
      </w:r>
    </w:p>
    <w:p>
      <w:pPr>
        <w:pStyle w:val="BookText"/>
      </w:pPr>
      <w:r>
        <w:rPr>
          <w:rFonts w:ascii="IRNazanin" w:hAnsi="IRNazanin" w:eastAsia="IRNazanin" w:cs="IRNazanin"/>
          <w:lang w:bidi="fa-IR"/>
          <w:color w:val="111111"/>
          <w:sz w:val="28"/>
          <w:szCs w:val="28"/>
          <w:rtl/>
        </w:rPr>
        <w:t xml:space="preserve">خط: نستعلیق، بی کا، تا: ربيع الثانی ۱۲۲۹ق؛ کاغذ: فستقی، جلد: تیماج قهوه ای ضربی، ۱۳۶ (۲۵-۱۶۰)، ۱۲ سطر (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۲-۷۳۴]</w:t>
      </w:r>
    </w:p>
    <w:p>
      <w:pPr>
        <w:pStyle w:val="BookText"/>
      </w:pPr>
      <w:r>
        <w:rPr>
          <w:rFonts w:ascii="IRNazanin" w:hAnsi="IRNazanin" w:eastAsia="IRNazanin" w:cs="IRNazanin"/>
          <w:lang w:bidi="fa-IR"/>
          <w:color w:val="111111"/>
          <w:sz w:val="28"/>
          <w:szCs w:val="28"/>
          <w:rtl/>
        </w:rPr>
        <w:t xml:space="preserve">۲۵۴. قم؛ مسجد اعظم؛ شماره نسخه: ۲۳۱۴</w:t>
      </w:r>
    </w:p>
    <w:p>
      <w:pPr>
        <w:pStyle w:val="BookText"/>
      </w:pPr>
      <w:r>
        <w:rPr>
          <w:rFonts w:ascii="IRNazanin" w:hAnsi="IRNazanin" w:eastAsia="IRNazanin" w:cs="IRNazanin"/>
          <w:lang w:bidi="fa-IR"/>
          <w:color w:val="111111"/>
          <w:sz w:val="28"/>
          <w:szCs w:val="28"/>
          <w:rtl/>
        </w:rPr>
        <w:t xml:space="preserve">انجام: برابر</w:t>
      </w:r>
    </w:p>
    <w:p>
      <w:pPr>
        <w:pStyle w:val="BookText"/>
      </w:pPr>
      <w:r>
        <w:rPr>
          <w:rFonts w:ascii="IRNazanin" w:hAnsi="IRNazanin" w:eastAsia="IRNazanin" w:cs="IRNazanin"/>
          <w:lang w:bidi="fa-IR"/>
          <w:color w:val="111111"/>
          <w:sz w:val="28"/>
          <w:szCs w:val="28"/>
          <w:rtl/>
        </w:rPr>
        <w:t xml:space="preserve">خط: نسخ، كا: میر اسمعيل بن میر علی حسینی ابرند آبادی، تان شوال ۱۲۳۰ق؛ افتادگی: آغاز (یک برگ)؛ مصحح، محشی؛ مهر: کاتب «عبده الراجی محمد اسمعيل الحسینی» (بیضی)، «عبده المذنب محمد باقر» (مربع)، «جعفر قلی خان» (بیضی)؛ ۱۶۴گ، ۱۶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مخ: ۱-۲۸۳]</w:t>
      </w:r>
    </w:p>
    <w:p>
      <w:pPr>
        <w:pStyle w:val="BookText"/>
      </w:pPr>
      <w:r>
        <w:rPr>
          <w:rFonts w:ascii="IRNazanin" w:hAnsi="IRNazanin" w:eastAsia="IRNazanin" w:cs="IRNazanin"/>
          <w:lang w:bidi="fa-IR"/>
          <w:color w:val="111111"/>
          <w:sz w:val="28"/>
          <w:szCs w:val="28"/>
          <w:rtl/>
        </w:rPr>
        <w:t xml:space="preserve">۲۵۵. مشهد؛ رضوی؛ شماره نسخه: ۱۲۶۴۸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خط: نسخ، کا: سید محمد قیری، تا: پنج شنبه ۹ جمادی الاول ۱۲۳۰ق، جان شیراز، مدرسه خانیه؛ محشی؛ واقف: حسین کی استوان، آبان ۱۳۴۸؛ کاغذ: شکری آهار مهره، جلد: تیماج مشکی، ۱۱۷گ، ۱۹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۱۲-۲۳]</w:t>
      </w:r>
    </w:p>
    <w:p>
      <w:pPr>
        <w:pStyle w:val="BookText"/>
      </w:pPr>
      <w:r>
        <w:rPr>
          <w:rFonts w:ascii="IRNazanin" w:hAnsi="IRNazanin" w:eastAsia="IRNazanin" w:cs="IRNazanin"/>
          <w:lang w:bidi="fa-IR"/>
          <w:color w:val="111111"/>
          <w:sz w:val="28"/>
          <w:szCs w:val="28"/>
          <w:rtl/>
        </w:rPr>
        <w:t xml:space="preserve">۲۵۶. مشهد؛ رضوی؛ شماره نسخه: ۱۵۲۲۱</w:t>
      </w:r>
    </w:p>
    <w:p>
      <w:pPr>
        <w:pStyle w:val="BookText"/>
      </w:pPr>
      <w:r>
        <w:rPr>
          <w:rFonts w:ascii="Amiri" w:hAnsi="Amiri" w:eastAsia="Amiri" w:cs="Amiri"/>
          <w:lang w:bidi="ar-SA"/>
          <w:color w:val="111111"/>
          <w:sz w:val="28"/>
          <w:szCs w:val="28"/>
          <w:rtl/>
        </w:rPr>
        <w:t xml:space="preserve">آغاز: بمعنى ظن نحو ضعيف النكاية اعداءه يخال الفرار.. انجام: برابر</w:t>
      </w:r>
    </w:p>
    <w:p>
      <w:pPr>
        <w:pStyle w:val="BookText"/>
      </w:pPr>
      <w:r>
        <w:rPr>
          <w:rFonts w:ascii="IRNazanin" w:hAnsi="IRNazanin" w:eastAsia="IRNazanin" w:cs="IRNazanin"/>
          <w:lang w:bidi="fa-IR"/>
          <w:color w:val="111111"/>
          <w:sz w:val="28"/>
          <w:szCs w:val="28"/>
          <w:rtl/>
        </w:rPr>
        <w:t xml:space="preserve">خط: نسخ، بی کا، تا: ۱۲۳۰ق؛ افتادگی: آغاز؛ محشی؛ کاغذ: فستقی، جلد: میشن ضربی، ۱۴۸ گ، ۱۷ سطر، اندازه: ۱۰/۱۷</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۲۰/۷سم [ف: ۱۲-۳۱]</w:t>
      </w:r>
    </w:p>
    <w:p>
      <w:pPr>
        <w:pStyle w:val="BookText"/>
      </w:pPr>
      <w:r>
        <w:rPr>
          <w:rFonts w:ascii="IRNazanin" w:hAnsi="IRNazanin" w:eastAsia="IRNazanin" w:cs="IRNazanin"/>
          <w:lang w:bidi="fa-IR"/>
          <w:color w:val="111111"/>
          <w:sz w:val="28"/>
          <w:szCs w:val="28"/>
          <w:rtl/>
        </w:rPr>
        <w:t xml:space="preserve">۲۵۷. تهران؛ ملی؛ شماره نسخه: ۴۳۵۱/۱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۱۲۳۰ق؛ مصحح، محشی؛ کاغذ: اصفهانی نخودی، جلد: تیماج تریاکی سوخته یک لا، ۸۰گی (۱پ -۸۰پ)، ۲۱ و ۲۳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و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۳۲۱-۱۸]</w:t>
      </w:r>
    </w:p>
    <w:p>
      <w:pPr>
        <w:pStyle w:val="BookText"/>
      </w:pPr>
      <w:r>
        <w:rPr>
          <w:rFonts w:ascii="IRNazanin" w:hAnsi="IRNazanin" w:eastAsia="IRNazanin" w:cs="IRNazanin"/>
          <w:lang w:bidi="fa-IR"/>
          <w:color w:val="111111"/>
          <w:sz w:val="28"/>
          <w:szCs w:val="28"/>
          <w:rtl/>
        </w:rPr>
        <w:t xml:space="preserve">۲۵۸. قم؛ حجتیه؛ شماره نسخه: ۲۵۷</w:t>
      </w:r>
    </w:p>
    <w:p>
      <w:pPr>
        <w:pStyle w:val="BookText"/>
      </w:pPr>
      <w:r>
        <w:rPr>
          <w:rFonts w:ascii="IRNazanin" w:hAnsi="IRNazanin" w:eastAsia="IRNazanin" w:cs="IRNazanin"/>
          <w:lang w:bidi="fa-IR"/>
          <w:color w:val="111111"/>
          <w:sz w:val="28"/>
          <w:szCs w:val="28"/>
          <w:rtl/>
        </w:rPr>
        <w:t xml:space="preserve">خط: نسخ، كا: خلیل بن سبز على دماوندی، تا: ۱۲۳۰ق [ف: ۳۹]</w:t>
      </w:r>
    </w:p>
    <w:p>
      <w:pPr>
        <w:pStyle w:val="BookText"/>
      </w:pPr>
      <w:r>
        <w:rPr>
          <w:rFonts w:ascii="IRNazanin" w:hAnsi="IRNazanin" w:eastAsia="IRNazanin" w:cs="IRNazanin"/>
          <w:lang w:bidi="fa-IR"/>
          <w:color w:val="111111"/>
          <w:sz w:val="28"/>
          <w:szCs w:val="28"/>
          <w:rtl/>
        </w:rPr>
        <w:t xml:space="preserve">۲۵۹. قم؛ حجتیه؛ شماره نسخه: ۱۵۸</w:t>
      </w:r>
    </w:p>
    <w:p>
      <w:pPr>
        <w:pStyle w:val="BookText"/>
      </w:pPr>
      <w:r>
        <w:rPr>
          <w:rFonts w:ascii="IRNazanin" w:hAnsi="IRNazanin" w:eastAsia="IRNazanin" w:cs="IRNazanin"/>
          <w:lang w:bidi="fa-IR"/>
          <w:color w:val="111111"/>
          <w:sz w:val="28"/>
          <w:szCs w:val="28"/>
          <w:rtl/>
        </w:rPr>
        <w:t xml:space="preserve">خط: نسخ، بی کا، تا: ۱۲۳۰ق [ف: ۳۹]</w:t>
      </w:r>
    </w:p>
    <w:p>
      <w:pPr>
        <w:pStyle w:val="BookText"/>
      </w:pPr>
      <w:r>
        <w:rPr>
          <w:rFonts w:ascii="IRNazanin" w:hAnsi="IRNazanin" w:eastAsia="IRNazanin" w:cs="IRNazanin"/>
          <w:lang w:bidi="fa-IR"/>
          <w:color w:val="111111"/>
          <w:sz w:val="28"/>
          <w:szCs w:val="28"/>
          <w:rtl/>
        </w:rPr>
        <w:t xml:space="preserve">۲۶۰. اصفهان؛ دانشگاه؛ شماره نسخه: ۲۵۲/۱</w:t>
      </w:r>
    </w:p>
    <w:p>
      <w:pPr>
        <w:pStyle w:val="BookText"/>
      </w:pPr>
      <w:r>
        <w:rPr>
          <w:rFonts w:ascii="IRNazanin" w:hAnsi="IRNazanin" w:eastAsia="IRNazanin" w:cs="IRNazanin"/>
          <w:lang w:bidi="fa-IR"/>
          <w:color w:val="111111"/>
          <w:sz w:val="28"/>
          <w:szCs w:val="28"/>
          <w:rtl/>
        </w:rPr>
        <w:t xml:space="preserve">خط: نسخ، كا: محمد على بن شیر علی، تا: جمعه ۱۲ رمضان ۱۲۳۰ق؛ مصحح، محشی برخی با عنوان «محمد حسین شیرازی»؛ جلد: تیماج قرمز، ۱۳۱گ (۲پ -۱۳۲ پ)، اندازه: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۱۵/۵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۱-۱۹۲]</w:t>
      </w:r>
    </w:p>
    <w:p>
      <w:pPr>
        <w:pStyle w:val="BookText"/>
      </w:pPr>
      <w:r>
        <w:rPr>
          <w:rFonts w:ascii="IRNazanin" w:hAnsi="IRNazanin" w:eastAsia="IRNazanin" w:cs="IRNazanin"/>
          <w:lang w:bidi="fa-IR"/>
          <w:color w:val="111111"/>
          <w:sz w:val="28"/>
          <w:szCs w:val="28"/>
          <w:rtl/>
        </w:rPr>
        <w:t xml:space="preserve">۲۶۱. اصفهان، دانشگاه؛ شماره نسخه: ۴۵۸/۱</w:t>
      </w:r>
    </w:p>
    <w:p>
      <w:pPr>
        <w:pStyle w:val="BookText"/>
      </w:pPr>
      <w:r>
        <w:rPr>
          <w:rFonts w:ascii="IRNazanin" w:hAnsi="IRNazanin" w:eastAsia="IRNazanin" w:cs="IRNazanin"/>
          <w:lang w:bidi="fa-IR"/>
          <w:color w:val="111111"/>
          <w:sz w:val="28"/>
          <w:szCs w:val="28"/>
          <w:rtl/>
        </w:rPr>
        <w:t xml:space="preserve">خط: نسخ، كا: محمد علی پسر شیر علی، تا: ۱۲ رمضان ۱۲۳۰ق، برای فرزندش علی محمد؛ کاغذ: فرنگی[ نشریه: ۱۱-۹۴۸]</w:t>
      </w:r>
    </w:p>
    <w:p>
      <w:pPr>
        <w:pStyle w:val="BookText"/>
      </w:pPr>
      <w:r>
        <w:rPr>
          <w:rFonts w:ascii="IRNazanin" w:hAnsi="IRNazanin" w:eastAsia="IRNazanin" w:cs="IRNazanin"/>
          <w:lang w:bidi="fa-IR"/>
          <w:color w:val="111111"/>
          <w:sz w:val="28"/>
          <w:szCs w:val="28"/>
          <w:rtl/>
        </w:rPr>
        <w:t xml:space="preserve">۲۶۲. زهان؛ مدرسه جعفریه زهان؛ شماره نسخه: ۱۰۳/۲</w:t>
      </w:r>
    </w:p>
    <w:p>
      <w:pPr>
        <w:pStyle w:val="BookText"/>
      </w:pPr>
      <w:r>
        <w:rPr>
          <w:rFonts w:ascii="IRNazanin" w:hAnsi="IRNazanin" w:eastAsia="IRNazanin" w:cs="IRNazanin"/>
          <w:lang w:bidi="fa-IR"/>
          <w:color w:val="111111"/>
          <w:sz w:val="28"/>
          <w:szCs w:val="28"/>
          <w:rtl/>
        </w:rPr>
        <w:t xml:space="preserve">خط: نسخ، كا: ابراهیم بن حسن جلیانی، تا: یکشنبه ۸ محرم ۱۲۳۱ق، جا: مشهد، مدرسه نواب؛ جلد: تیماج مشکی بدون مقوا، ۱۰۵گ (۹۴-۱۹۸پ)، ۱۷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۸۳]</w:t>
      </w:r>
    </w:p>
    <w:p>
      <w:pPr>
        <w:pStyle w:val="BookText"/>
      </w:pPr>
      <w:r>
        <w:rPr>
          <w:rFonts w:ascii="IRNazanin" w:hAnsi="IRNazanin" w:eastAsia="IRNazanin" w:cs="IRNazanin"/>
          <w:lang w:bidi="fa-IR"/>
          <w:color w:val="111111"/>
          <w:sz w:val="28"/>
          <w:szCs w:val="28"/>
          <w:rtl/>
        </w:rPr>
        <w:t xml:space="preserve">۲۶۳. چالوس؛ امام صادق؛ شماره نسخه: ۶۲۵/۱</w:t>
      </w:r>
    </w:p>
    <w:p>
      <w:pPr>
        <w:pStyle w:val="BookText"/>
      </w:pPr>
      <w:r>
        <w:rPr>
          <w:rFonts w:ascii="IRNazanin" w:hAnsi="IRNazanin" w:eastAsia="IRNazanin" w:cs="IRNazanin"/>
          <w:lang w:bidi="fa-IR"/>
          <w:color w:val="111111"/>
          <w:sz w:val="28"/>
          <w:szCs w:val="28"/>
          <w:rtl/>
        </w:rPr>
        <w:t xml:space="preserve">خط: نستعلیق، کا: عبد الله بن مهدی نوری دونایی، تا: ۱۲۳۱ق؛ محشى؛ جلد: تیماج قهوه ای،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۳۰۳]</w:t>
      </w:r>
    </w:p>
    <w:p>
      <w:pPr>
        <w:pStyle w:val="BookText"/>
      </w:pPr>
      <w:r>
        <w:rPr>
          <w:rFonts w:ascii="IRNazanin" w:hAnsi="IRNazanin" w:eastAsia="IRNazanin" w:cs="IRNazanin"/>
          <w:lang w:bidi="fa-IR"/>
          <w:color w:val="111111"/>
          <w:sz w:val="28"/>
          <w:szCs w:val="28"/>
          <w:rtl/>
        </w:rPr>
        <w:t xml:space="preserve">۲۶۴. تهران؛ ملی؛ شماره نسخه: ۱۰۲۴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۱۲۳۱ق؛ محشی؛ کاغذ: فرنگی (آبی)، جلد: مقوایی، کاغذی، عطف تیماج زرد، ۱۱۰گ، ۱۶سطر کامل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۱۴/۵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۹-۲۴]</w:t>
      </w:r>
    </w:p>
    <w:p>
      <w:pPr>
        <w:pStyle w:val="BookText"/>
      </w:pPr>
      <w:r>
        <w:rPr>
          <w:rFonts w:ascii="IRNazanin" w:hAnsi="IRNazanin" w:eastAsia="IRNazanin" w:cs="IRNazanin"/>
          <w:lang w:bidi="fa-IR"/>
          <w:color w:val="111111"/>
          <w:sz w:val="28"/>
          <w:szCs w:val="28"/>
          <w:rtl/>
        </w:rPr>
        <w:t xml:space="preserve">۲۶۵. یزد؛ وزیری؛ شماره نسخه: ۲۰۲۸/۱</w:t>
      </w:r>
    </w:p>
    <w:p>
      <w:pPr>
        <w:pStyle w:val="BookText"/>
      </w:pPr>
      <w:r>
        <w:rPr>
          <w:rFonts w:ascii="Amiri" w:hAnsi="Amiri" w:eastAsia="Amiri" w:cs="Amiri"/>
          <w:lang w:bidi="ar-SA"/>
          <w:color w:val="111111"/>
          <w:sz w:val="28"/>
          <w:szCs w:val="28"/>
          <w:rtl/>
        </w:rPr>
        <w:t xml:space="preserve">آغاز: لغيره كجملة الصلة و الجزاء و اسم و فعل حرف الكلم التي يتالف منها الكلام</w:t>
      </w:r>
    </w:p>
    <w:p>
      <w:pPr>
        <w:pStyle w:val="BookText"/>
      </w:pPr>
      <w:r>
        <w:rPr>
          <w:rFonts w:ascii="IRNazanin" w:hAnsi="IRNazanin" w:eastAsia="IRNazanin" w:cs="IRNazanin"/>
          <w:lang w:bidi="fa-IR"/>
          <w:color w:val="111111"/>
          <w:sz w:val="28"/>
          <w:szCs w:val="28"/>
          <w:rtl/>
        </w:rPr>
        <w:t xml:space="preserve">خط: نسخ، بی کا، تا: ۱۲۳۱ق؛ افتادگی: آغاز؛ اهدایی: شیخ محمد طاهری؛ کاغذ: اصفهانی، جلد: مقوایی با تیماج تریاکی، ۷۸گ (۷۸-۱ )، ۱۸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۲۰/۵سم [ف: ۴-۱۱۳۳]</w:t>
      </w:r>
    </w:p>
    <w:p>
      <w:pPr>
        <w:pStyle w:val="BookText"/>
      </w:pPr>
      <w:r>
        <w:rPr>
          <w:rFonts w:ascii="IRNazanin" w:hAnsi="IRNazanin" w:eastAsia="IRNazanin" w:cs="IRNazanin"/>
          <w:lang w:bidi="fa-IR"/>
          <w:color w:val="111111"/>
          <w:sz w:val="28"/>
          <w:szCs w:val="28"/>
          <w:rtl/>
        </w:rPr>
        <w:t xml:space="preserve">۲۶۶. تهران؛ چهل ستون؛ شماره نسخه: ۵۳</w:t>
      </w:r>
    </w:p>
    <w:p>
      <w:pPr>
        <w:pStyle w:val="BookText"/>
      </w:pPr>
      <w:r>
        <w:rPr>
          <w:rFonts w:ascii="IRNazanin" w:hAnsi="IRNazanin" w:eastAsia="IRNazanin" w:cs="IRNazanin"/>
          <w:lang w:bidi="fa-IR"/>
          <w:color w:val="111111"/>
          <w:sz w:val="28"/>
          <w:szCs w:val="28"/>
          <w:rtl/>
        </w:rPr>
        <w:t xml:space="preserve">خط: نسخ، بی کا، تا: ۱۲۳۱ق (چند نسخه -ف: ۳۱۴]</w:t>
      </w:r>
    </w:p>
    <w:p>
      <w:pPr>
        <w:pStyle w:val="BookText"/>
      </w:pPr>
      <w:r>
        <w:rPr>
          <w:rFonts w:ascii="IRNazanin" w:hAnsi="IRNazanin" w:eastAsia="IRNazanin" w:cs="IRNazanin"/>
          <w:lang w:bidi="fa-IR"/>
          <w:color w:val="111111"/>
          <w:sz w:val="28"/>
          <w:szCs w:val="28"/>
          <w:rtl/>
        </w:rPr>
        <w:t xml:space="preserve">۲۶۷. قم؛ فیضیه؛ شماره نسخه: ۸۲۹</w:t>
      </w:r>
    </w:p>
    <w:p>
      <w:pPr>
        <w:pStyle w:val="BookText"/>
      </w:pPr>
      <w:r>
        <w:rPr>
          <w:rFonts w:ascii="IRNazanin" w:hAnsi="IRNazanin" w:eastAsia="IRNazanin" w:cs="IRNazanin"/>
          <w:lang w:bidi="fa-IR"/>
          <w:color w:val="111111"/>
          <w:sz w:val="28"/>
          <w:szCs w:val="28"/>
          <w:rtl/>
        </w:rPr>
        <w:t xml:space="preserve">خط: نسخ، بی کا، تا: ۱۲۳۱ق؛ ۱۳۱ گ، ۱۵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۱-۳۴]</w:t>
      </w:r>
    </w:p>
    <w:p>
      <w:pPr>
        <w:pStyle w:val="BookText"/>
      </w:pPr>
      <w:r>
        <w:rPr>
          <w:rFonts w:ascii="IRNazanin" w:hAnsi="IRNazanin" w:eastAsia="IRNazanin" w:cs="IRNazanin"/>
          <w:lang w:bidi="fa-IR"/>
          <w:color w:val="111111"/>
          <w:sz w:val="28"/>
          <w:szCs w:val="28"/>
          <w:rtl/>
        </w:rPr>
        <w:t xml:space="preserve">۲۶۸. قم؛ مرعشی؛ شماره نسخه: ۵۳۹۴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حسین بن عبدالباقی حسینی اصفهانی، تا: پنج شنبه ۵ محرم ۱۲۳۱ق؛ محشی از ابو طالب در عصر وی؛ جلد: مقوایی عطف تیماج قهوه ای، ۱۶۵ گ، ۱۵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۱۴-۱۸۳]</w:t>
      </w:r>
    </w:p>
    <w:p>
      <w:pPr>
        <w:pStyle w:val="BookText"/>
      </w:pPr>
      <w:r>
        <w:rPr>
          <w:rFonts w:ascii="IRNazanin" w:hAnsi="IRNazanin" w:eastAsia="IRNazanin" w:cs="IRNazanin"/>
          <w:lang w:bidi="fa-IR"/>
          <w:color w:val="111111"/>
          <w:sz w:val="28"/>
          <w:szCs w:val="28"/>
          <w:rtl/>
        </w:rPr>
        <w:t xml:space="preserve">۲۶۹. یزد؛ وزیری؛ شماره نسخه: ۸۵۹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ابن كهف حاجی محمد علی زین العابدین، تا: ۱۲۳۲ق؛ اهدایی: وزیری؛ کاغذ: اصفهانی، جلد: تیماج تریاکی، ۸۰گ، ۱۸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[ف: ۲-۷۱۹]</w:t>
      </w:r>
    </w:p>
    <w:p>
      <w:pPr>
        <w:pStyle w:val="BookText"/>
      </w:pPr>
      <w:r>
        <w:rPr>
          <w:rFonts w:ascii="IRNazanin" w:hAnsi="IRNazanin" w:eastAsia="IRNazanin" w:cs="IRNazanin"/>
          <w:lang w:bidi="fa-IR"/>
          <w:color w:val="111111"/>
          <w:sz w:val="28"/>
          <w:szCs w:val="28"/>
          <w:rtl/>
        </w:rPr>
        <w:t xml:space="preserve">۲۷۰. همدان؛ مدرسه غرب؛ شماره نسخه: ۱۴۲۶</w:t>
      </w:r>
    </w:p>
    <w:p>
      <w:pPr>
        <w:pStyle w:val="BookText"/>
      </w:pPr>
      <w:r>
        <w:rPr>
          <w:rFonts w:ascii="IRNazanin" w:hAnsi="IRNazanin" w:eastAsia="IRNazanin" w:cs="IRNazanin"/>
          <w:lang w:bidi="fa-IR"/>
          <w:color w:val="111111"/>
          <w:sz w:val="28"/>
          <w:szCs w:val="28"/>
          <w:rtl/>
        </w:rPr>
        <w:t xml:space="preserve">خط: نسخ خوش، بی کا، تا: جمعه ۲۵ رجب ۱۲۳۲ق؛ قطع: ربعی رشت و همدان: ف: ۱۲۹۱]</w:t>
      </w:r>
    </w:p>
    <w:p>
      <w:pPr>
        <w:pStyle w:val="BookText"/>
      </w:pPr>
      <w:r>
        <w:rPr>
          <w:rFonts w:ascii="IRNazanin" w:hAnsi="IRNazanin" w:eastAsia="IRNazanin" w:cs="IRNazanin"/>
          <w:lang w:bidi="fa-IR"/>
          <w:color w:val="111111"/>
          <w:sz w:val="28"/>
          <w:szCs w:val="28"/>
          <w:rtl/>
        </w:rPr>
        <w:t xml:space="preserve">۲۷۱. تهران؛ ملی؛ شماره نسخه: ۳۶۳۴/۳</w:t>
      </w:r>
    </w:p>
    <w:p>
      <w:pPr>
        <w:pStyle w:val="BookText"/>
      </w:pPr>
      <w:r>
        <w:rPr>
          <w:rFonts w:ascii="IRNazanin" w:hAnsi="IRNazanin" w:eastAsia="IRNazanin" w:cs="IRNazanin"/>
          <w:lang w:bidi="fa-IR"/>
          <w:color w:val="111111"/>
          <w:sz w:val="28"/>
          <w:szCs w:val="28"/>
          <w:rtl/>
        </w:rPr>
        <w:t xml:space="preserve">خط: نسخ، كان عبد الوهاب، تا: ۱۲۳۲ق؛ مصحح، کاغذ: فرنگی نخودی، جلد: تیماج سیاه ضربی با ترنج و سرترنج با گل و بوته یک لا، ۱۱۳گی (۱۱پ -۱۲۳)، ۱۵ و ۱۶ سطر (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 اندازه: ۱۴/۵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۲۰سم [ف: ۱۶-۲۲۴]</w:t>
      </w:r>
    </w:p>
    <w:p>
      <w:pPr>
        <w:pStyle w:val="BookText"/>
      </w:pPr>
      <w:r>
        <w:rPr>
          <w:rFonts w:ascii="IRNazanin" w:hAnsi="IRNazanin" w:eastAsia="IRNazanin" w:cs="IRNazanin"/>
          <w:lang w:bidi="fa-IR"/>
          <w:color w:val="111111"/>
          <w:sz w:val="28"/>
          <w:szCs w:val="28"/>
          <w:rtl/>
        </w:rPr>
        <w:t xml:space="preserve">۲۷۲. قم؛ گلپایگانی؛ شماره نسخه: ۴۳۳۴- ۲۲/۵۴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ملک محمد بن کربلائی محمد علی ساکن تفرش، تا: سه شنبه از ذیعقده ۱۲۳۲ق؛ جلد: تیماج مشکی، ضربی مجدول ۱۶۹گ، ۱۴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۲-۶۳۸]</w:t>
      </w:r>
    </w:p>
    <w:p>
      <w:pPr>
        <w:pStyle w:val="BookText"/>
      </w:pPr>
      <w:r>
        <w:rPr>
          <w:rFonts w:ascii="IRNazanin" w:hAnsi="IRNazanin" w:eastAsia="IRNazanin" w:cs="IRNazanin"/>
          <w:lang w:bidi="fa-IR"/>
          <w:color w:val="111111"/>
          <w:sz w:val="28"/>
          <w:szCs w:val="28"/>
          <w:rtl/>
        </w:rPr>
        <w:t xml:space="preserve">۲۷۳. مشهد؛ رضوی؛ شماره نسخه: ۱۶۹۸۶</w:t>
      </w:r>
    </w:p>
    <w:p>
      <w:pPr>
        <w:pStyle w:val="BookText"/>
      </w:pPr>
      <w:r>
        <w:rPr>
          <w:rFonts w:ascii="IRNazanin" w:hAnsi="IRNazanin" w:eastAsia="IRNazanin" w:cs="IRNazanin"/>
          <w:lang w:bidi="fa-IR"/>
          <w:color w:val="111111"/>
          <w:sz w:val="28"/>
          <w:szCs w:val="28"/>
          <w:rtl/>
        </w:rPr>
        <w:t xml:space="preserve">آغاز: بسمله قال محمد هو الشيخ الامام ابو عبدالله جمال الدين؛ انجام: جرها الف سلام و تحیته في ... سنه ۱۲۳۲ خط: نسخ، كا: محمد على تودرواری، تا: ۱۲۳۲ق؛ کاغذ: حنایی، جلد: مقوا، ۱۵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۲۰۱۴سم [رایانه]</w:t>
      </w:r>
    </w:p>
    <w:p>
      <w:pPr>
        <w:pStyle w:val="BookText"/>
      </w:pPr>
      <w:r>
        <w:rPr>
          <w:rFonts w:ascii="IRNazanin" w:hAnsi="IRNazanin" w:eastAsia="IRNazanin" w:cs="IRNazanin"/>
          <w:lang w:bidi="fa-IR"/>
          <w:color w:val="111111"/>
          <w:sz w:val="28"/>
          <w:szCs w:val="28"/>
          <w:rtl/>
        </w:rPr>
        <w:t xml:space="preserve">۲۷۴. قم؛ گلپایگانی؛ شماره نسخه: ۴۱۹۶- ۲۱/۱۱۶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حسن بن نصیر سمیرانی (سمیرمی)، تا: ۱۹ رجب ۱۲۳۳ق، جا: دار السطنه اصفهان؛ جلد: تیماج مشکی ضربی مجدول گرهی، ۲۰۶گ، ۱۲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۲-۶۳۷]</w:t>
      </w:r>
    </w:p>
    <w:p>
      <w:pPr>
        <w:pStyle w:val="BookText"/>
      </w:pPr>
      <w:r>
        <w:rPr>
          <w:rFonts w:ascii="IRNazanin" w:hAnsi="IRNazanin" w:eastAsia="IRNazanin" w:cs="IRNazanin"/>
          <w:lang w:bidi="fa-IR"/>
          <w:color w:val="111111"/>
          <w:sz w:val="28"/>
          <w:szCs w:val="28"/>
          <w:rtl/>
        </w:rPr>
        <w:t xml:space="preserve">۲۷۵. تهران؛ ملی؛ شماره نسخه: ۴۰۱۰</w:t>
      </w:r>
    </w:p>
    <w:p>
      <w:pPr>
        <w:pStyle w:val="BookText"/>
      </w:pPr>
      <w:r>
        <w:rPr>
          <w:rFonts w:ascii="Amiri" w:hAnsi="Amiri" w:eastAsia="Amiri" w:cs="Amiri"/>
          <w:lang w:bidi="ar-SA"/>
          <w:color w:val="111111"/>
          <w:sz w:val="28"/>
          <w:szCs w:val="28"/>
          <w:rtl/>
        </w:rPr>
        <w:t xml:space="preserve">آغاز: لرفعه رتبه النبي على غيره من الخلق؛ انجام: اتفق الفراغ من تحريره للعبد المحتاج إلى رحمة ربه ...</w:t>
      </w:r>
    </w:p>
    <w:p>
      <w:pPr>
        <w:pStyle w:val="BookText"/>
      </w:pPr>
      <w:r>
        <w:rPr>
          <w:rFonts w:ascii="IRNazanin" w:hAnsi="IRNazanin" w:eastAsia="IRNazanin" w:cs="IRNazanin"/>
          <w:lang w:bidi="fa-IR"/>
          <w:color w:val="111111"/>
          <w:sz w:val="28"/>
          <w:szCs w:val="28"/>
          <w:rtl/>
        </w:rPr>
        <w:t xml:space="preserve">خط: نسخ، كان محمد باقر موسوی، تا: ۱۲۳۳ق؛ محشی با نشان ها آب، محمود موسوی، ابن عقيل؛ کاغذ: اصفهانی نخودی، جلد: جلد سمت راست: چرم عنابی سمت چپ: تیماج قهوه ای ته چرم سیاه، ۱۳۱گ، ۱۷سطر (۶/۷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۱۷-۳۰۵]</w:t>
      </w:r>
    </w:p>
    <w:p>
      <w:pPr>
        <w:pStyle w:val="BookText"/>
      </w:pPr>
      <w:r>
        <w:rPr>
          <w:rFonts w:ascii="IRNazanin" w:hAnsi="IRNazanin" w:eastAsia="IRNazanin" w:cs="IRNazanin"/>
          <w:lang w:bidi="fa-IR"/>
          <w:color w:val="111111"/>
          <w:sz w:val="28"/>
          <w:szCs w:val="28"/>
          <w:rtl/>
        </w:rPr>
        <w:t xml:space="preserve">۲۷۶. قم؛ مسجد اعظم، شماره نسخه: ۲۰۶۱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شعبان ۱۲۳۳ق؛ مصحح، محشی؛ جلد: تیماج زرشکی، ۱۶۲گ، ۱۴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مخ: ۱-۲۸۴]</w:t>
      </w:r>
    </w:p>
    <w:p>
      <w:pPr>
        <w:pStyle w:val="BookText"/>
      </w:pPr>
      <w:r>
        <w:rPr>
          <w:rFonts w:ascii="IRNazanin" w:hAnsi="IRNazanin" w:eastAsia="IRNazanin" w:cs="IRNazanin"/>
          <w:lang w:bidi="fa-IR"/>
          <w:color w:val="111111"/>
          <w:sz w:val="28"/>
          <w:szCs w:val="28"/>
          <w:rtl/>
        </w:rPr>
        <w:t xml:space="preserve">۲۷۷. مشهد؛ رضوی؛ شماره نسخه: ۱۳۳۷۲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جمادی الاول ۱۲۳۴ق؛ محشی؛ واقف: شیخ محمد معصومی، آذر ۱۳۶۲؛ کاغذ: الوان فستقی، جلد: تیماج، ۱۰۰گ، ۱۶سطر،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۱۲-۲۸]</w:t>
      </w:r>
    </w:p>
    <w:p>
      <w:pPr>
        <w:pStyle w:val="BookText"/>
      </w:pPr>
      <w:r>
        <w:rPr>
          <w:rFonts w:ascii="IRNazanin" w:hAnsi="IRNazanin" w:eastAsia="IRNazanin" w:cs="IRNazanin"/>
          <w:lang w:bidi="fa-IR"/>
          <w:color w:val="111111"/>
          <w:sz w:val="28"/>
          <w:szCs w:val="28"/>
          <w:rtl/>
        </w:rPr>
        <w:t xml:space="preserve">۲۷۸. قم؛ امام صادق؛ شماره نسخه: ۹۷/۱</w:t>
      </w:r>
    </w:p>
    <w:p>
      <w:pPr>
        <w:pStyle w:val="BookText"/>
      </w:pPr>
      <w:r>
        <w:rPr>
          <w:rFonts w:ascii="IRNazanin" w:hAnsi="IRNazanin" w:eastAsia="IRNazanin" w:cs="IRNazanin"/>
          <w:lang w:bidi="fa-IR"/>
          <w:color w:val="111111"/>
          <w:sz w:val="28"/>
          <w:szCs w:val="28"/>
          <w:rtl/>
        </w:rPr>
        <w:t xml:space="preserve">خط: نسخ، كان محمد رحيم بن محمد مراغی، تا: ۲۳ ربيع الأول ۱۲۳۴ق؛ محشی؛ تملک: رضا الموسوی به تاریخ نهم محرم ۱۲۹۹؛ جلد: تیماج مشکی، ۱۰۱گ (۱پ - ۱۰۱ر)، اندازه: ۱۸/۵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۲۶/۵سم [ف: ۷۷]</w:t>
      </w:r>
    </w:p>
    <w:p>
      <w:pPr>
        <w:pStyle w:val="BookText"/>
      </w:pPr>
      <w:r>
        <w:rPr>
          <w:rFonts w:ascii="IRNazanin" w:hAnsi="IRNazanin" w:eastAsia="IRNazanin" w:cs="IRNazanin"/>
          <w:lang w:bidi="fa-IR"/>
          <w:color w:val="111111"/>
          <w:sz w:val="28"/>
          <w:szCs w:val="28"/>
          <w:rtl/>
        </w:rPr>
        <w:t xml:space="preserve">۲۷۹. اصفهان؛ دانشگاه؛ شماره نسخه: ۴۱۹</w:t>
      </w:r>
    </w:p>
    <w:p>
      <w:pPr>
        <w:pStyle w:val="BookText"/>
      </w:pPr>
      <w:r>
        <w:rPr>
          <w:rFonts w:ascii="IRNazanin" w:hAnsi="IRNazanin" w:eastAsia="IRNazanin" w:cs="IRNazanin"/>
          <w:lang w:bidi="fa-IR"/>
          <w:color w:val="111111"/>
          <w:sz w:val="28"/>
          <w:szCs w:val="28"/>
          <w:rtl/>
        </w:rPr>
        <w:t xml:space="preserve">خط: نسخ، كا: سید هادی بن میر محمد صادق حسینی رامشه، تا: ۱۰ جمادی الاول ۱۲۳۴ق؛ مصحح، محشی؛ جلد: تیماج مشکی ضربی، ۹۷گ، ۱۵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۲-۳۴۲]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۲۸۰. چالوس؛ امام صادق؛ شماره نسخه: ۳۳۷</w:t>
      </w:r>
    </w:p>
    <w:p>
      <w:pPr>
        <w:pStyle w:val="BookText"/>
      </w:pPr>
      <w:r>
        <w:rPr>
          <w:rFonts w:ascii="IRNazanin" w:hAnsi="IRNazanin" w:eastAsia="IRNazanin" w:cs="IRNazanin"/>
          <w:lang w:bidi="fa-IR"/>
          <w:color w:val="111111"/>
          <w:sz w:val="28"/>
          <w:szCs w:val="28"/>
          <w:rtl/>
        </w:rPr>
        <w:t xml:space="preserve">کا: محمد اسماعيل نوری، تا: ۱۲۳۴ق، جا: ساكن قریه یالورود؛ [ف: ۴۲]</w:t>
      </w:r>
    </w:p>
    <w:p>
      <w:pPr>
        <w:pStyle w:val="BookText"/>
      </w:pPr>
      <w:r>
        <w:rPr>
          <w:rFonts w:ascii="IRNazanin" w:hAnsi="IRNazanin" w:eastAsia="IRNazanin" w:cs="IRNazanin"/>
          <w:lang w:bidi="fa-IR"/>
          <w:color w:val="111111"/>
          <w:sz w:val="28"/>
          <w:szCs w:val="28"/>
          <w:rtl/>
        </w:rPr>
        <w:t xml:space="preserve">۲۸۱. مشهد؛ رضوی؛ شماره نسخه: ۲۸۶۷۳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۱۲۳۵ق [رایانه ]</w:t>
      </w:r>
    </w:p>
    <w:p>
      <w:pPr>
        <w:pStyle w:val="BookText"/>
      </w:pPr>
      <w:r>
        <w:rPr>
          <w:rFonts w:ascii="IRNazanin" w:hAnsi="IRNazanin" w:eastAsia="IRNazanin" w:cs="IRNazanin"/>
          <w:lang w:bidi="fa-IR"/>
          <w:color w:val="111111"/>
          <w:sz w:val="28"/>
          <w:szCs w:val="28"/>
          <w:rtl/>
        </w:rPr>
        <w:t xml:space="preserve">۲۸۲. زهان؛ مدرسه جعفریه زهان، شماره نسخه: ۱۳۳/۲</w:t>
      </w:r>
    </w:p>
    <w:p>
      <w:pPr>
        <w:pStyle w:val="BookText"/>
      </w:pPr>
      <w:r>
        <w:rPr>
          <w:rFonts w:ascii="IRNazanin" w:hAnsi="IRNazanin" w:eastAsia="IRNazanin" w:cs="IRNazanin"/>
          <w:lang w:bidi="fa-IR"/>
          <w:color w:val="111111"/>
          <w:sz w:val="28"/>
          <w:szCs w:val="28"/>
          <w:rtl/>
        </w:rPr>
        <w:t xml:space="preserve">خط: نسخ، كا: عبدالله بن ملاحسن قائنی سرایانی، تا: ۱۹ شوال ۱۲۳۵ق؛ جلد: تیماج مشکی بدون مقوا، ۶۳گ (۶۴پ -۱۲۶پ)،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۱۰۳]</w:t>
      </w:r>
    </w:p>
    <w:p>
      <w:pPr>
        <w:pStyle w:val="BookText"/>
      </w:pPr>
      <w:r>
        <w:rPr>
          <w:rFonts w:ascii="IRNazanin" w:hAnsi="IRNazanin" w:eastAsia="IRNazanin" w:cs="IRNazanin"/>
          <w:lang w:bidi="fa-IR"/>
          <w:color w:val="111111"/>
          <w:sz w:val="28"/>
          <w:szCs w:val="28"/>
          <w:rtl/>
        </w:rPr>
        <w:t xml:space="preserve">۲۸۳. مشهد؛ رضوی؛ شماره نسخه: ۱۷۶۸۰</w:t>
      </w:r>
    </w:p>
    <w:p>
      <w:pPr>
        <w:pStyle w:val="BookText"/>
      </w:pPr>
      <w:r>
        <w:rPr>
          <w:rFonts w:ascii="IRNazanin" w:hAnsi="IRNazanin" w:eastAsia="IRNazanin" w:cs="IRNazanin"/>
          <w:lang w:bidi="fa-IR"/>
          <w:color w:val="111111"/>
          <w:sz w:val="28"/>
          <w:szCs w:val="28"/>
          <w:rtl/>
        </w:rPr>
        <w:t xml:space="preserve">آغاز: برابر؛؛ انجام: در روز ۵شنبه در مدرسه امام حسن عسکری در حجره ملامحمد حیدر فرائی سنه ۱۲۳۵ تمام کننده را خط: نستعلیق، كا: محمد حسن بن مهدی افرائی، تا: ۱۲۳۵ق؛ کاغذ: الوان، جلد: اسقاطی، ۱۵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[رایانه ]</w:t>
      </w:r>
    </w:p>
    <w:p>
      <w:pPr>
        <w:pStyle w:val="BookText"/>
      </w:pPr>
      <w:r>
        <w:rPr>
          <w:rFonts w:ascii="IRNazanin" w:hAnsi="IRNazanin" w:eastAsia="IRNazanin" w:cs="IRNazanin"/>
          <w:lang w:bidi="fa-IR"/>
          <w:color w:val="111111"/>
          <w:sz w:val="28"/>
          <w:szCs w:val="28"/>
          <w:rtl/>
        </w:rPr>
        <w:t xml:space="preserve">۲۸۴. تهران؛ سپهسالار؛ شماره نسخه: ۸۰۹۷</w:t>
      </w:r>
    </w:p>
    <w:p>
      <w:pPr>
        <w:pStyle w:val="BookText"/>
      </w:pPr>
      <w:r>
        <w:rPr>
          <w:rFonts w:ascii="IRNazanin" w:hAnsi="IRNazanin" w:eastAsia="IRNazanin" w:cs="IRNazanin"/>
          <w:lang w:bidi="fa-IR"/>
          <w:color w:val="111111"/>
          <w:sz w:val="28"/>
          <w:szCs w:val="28"/>
          <w:rtl/>
        </w:rPr>
        <w:t xml:space="preserve">خط: نسخ، كا: على رضا بن ملا عبدالله، تا: ۱۲۳۵ق؛ کاغذ: فرنگی سفید، جلد: تیماج مشکی مقوا، ۸۹گ، ابعاد متن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 اندازه: ۱۴/۵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۳-۲۶۷]</w:t>
      </w:r>
    </w:p>
    <w:p>
      <w:pPr>
        <w:pStyle w:val="BookText"/>
      </w:pPr>
      <w:r>
        <w:rPr>
          <w:rFonts w:ascii="IRNazanin" w:hAnsi="IRNazanin" w:eastAsia="IRNazanin" w:cs="IRNazanin"/>
          <w:lang w:bidi="fa-IR"/>
          <w:color w:val="111111"/>
          <w:sz w:val="28"/>
          <w:szCs w:val="28"/>
          <w:rtl/>
        </w:rPr>
        <w:t xml:space="preserve">۲۸۵. قم؛ گلپایگانی؛ شماره نسخه: ۸۴۳۵- ۵۷/۱۰۵</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تا: ۱۲۳۵ق، ۱۵۰گ، ۱۴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۲-۶۴۰]</w:t>
      </w:r>
    </w:p>
    <w:p>
      <w:pPr>
        <w:pStyle w:val="BookText"/>
      </w:pPr>
      <w:r>
        <w:rPr>
          <w:rFonts w:ascii="IRNazanin" w:hAnsi="IRNazanin" w:eastAsia="IRNazanin" w:cs="IRNazanin"/>
          <w:lang w:bidi="fa-IR"/>
          <w:color w:val="111111"/>
          <w:sz w:val="28"/>
          <w:szCs w:val="28"/>
          <w:rtl/>
        </w:rPr>
        <w:t xml:space="preserve">۲۸۶. قم، گلپایگانی؛ شماره نسخه: ۸۲۲۵- ۵۶/۷۵</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کامل؛ خط: نستعلیق، بی کا، تا: دوشنبه ۵ صفر ۱۲۳۵ق، ۱۳۵ گ، ۱۷-۱۵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۲-۶۳۹]</w:t>
      </w:r>
    </w:p>
    <w:p>
      <w:pPr>
        <w:pStyle w:val="BookText"/>
      </w:pPr>
      <w:r>
        <w:rPr>
          <w:rFonts w:ascii="IRNazanin" w:hAnsi="IRNazanin" w:eastAsia="IRNazanin" w:cs="IRNazanin"/>
          <w:lang w:bidi="fa-IR"/>
          <w:color w:val="111111"/>
          <w:sz w:val="28"/>
          <w:szCs w:val="28"/>
          <w:rtl/>
        </w:rPr>
        <w:t xml:space="preserve">۲۸۷. مشهد؛ رضوی؛ شماره نسخه: ۱۵۶۵۶/۳</w:t>
      </w:r>
    </w:p>
    <w:p>
      <w:pPr>
        <w:pStyle w:val="BookText"/>
      </w:pPr>
      <w:r>
        <w:rPr>
          <w:rFonts w:ascii="IRNazanin" w:hAnsi="IRNazanin" w:eastAsia="IRNazanin" w:cs="IRNazanin"/>
          <w:lang w:bidi="fa-IR"/>
          <w:color w:val="111111"/>
          <w:sz w:val="28"/>
          <w:szCs w:val="28"/>
          <w:rtl/>
        </w:rPr>
        <w:t xml:space="preserve">تا اوائل باب ابدال را بیشتر ندارد؛ خط: نسخ و نستعلیق، بی کا، تا: ۱۲۳۶ق؛ محشی؛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۱۲-۴۲۳]</w:t>
      </w:r>
    </w:p>
    <w:p>
      <w:pPr>
        <w:pStyle w:val="BookText"/>
      </w:pPr>
      <w:r>
        <w:rPr>
          <w:rFonts w:ascii="IRNazanin" w:hAnsi="IRNazanin" w:eastAsia="IRNazanin" w:cs="IRNazanin"/>
          <w:lang w:bidi="fa-IR"/>
          <w:color w:val="111111"/>
          <w:sz w:val="28"/>
          <w:szCs w:val="28"/>
          <w:rtl/>
        </w:rPr>
        <w:t xml:space="preserve">۲۸۸. تهران؛ وزارت امور خارجه؛ شماره نسخه: ۱-۴</w:t>
      </w:r>
    </w:p>
    <w:p>
      <w:pPr>
        <w:pStyle w:val="BookText"/>
      </w:pPr>
      <w:r>
        <w:rPr>
          <w:rFonts w:ascii="IRNazanin" w:hAnsi="IRNazanin" w:eastAsia="IRNazanin" w:cs="IRNazanin"/>
          <w:lang w:bidi="fa-IR"/>
          <w:color w:val="111111"/>
          <w:sz w:val="28"/>
          <w:szCs w:val="28"/>
          <w:rtl/>
        </w:rPr>
        <w:t xml:space="preserve">خط: نسخ خوش، كان أبو الحسن ابن علیرضا شهر بابکی (که به قول خود طلبه بوده)، بی تا، صفحه اول و دوم با حاشیه مذهب جدول بندی شده، محشی، با خط دستنویس به سال ۱۲۳۶ق؛ تملك: مرتضی فرزند محمد حسن در ۱۲۹۷ق؛رکن الدین آشتیانی آن را به کتابخانه وزارت امور خارجه اهداء کرده؛ جلد: چرمی به رنگ سیاه [ف: ۴۵ ]</w:t>
      </w:r>
    </w:p>
    <w:p>
      <w:pPr>
        <w:pStyle w:val="BookText"/>
      </w:pPr>
      <w:r>
        <w:rPr>
          <w:rFonts w:ascii="IRNazanin" w:hAnsi="IRNazanin" w:eastAsia="IRNazanin" w:cs="IRNazanin"/>
          <w:lang w:bidi="fa-IR"/>
          <w:color w:val="111111"/>
          <w:sz w:val="28"/>
          <w:szCs w:val="28"/>
          <w:rtl/>
        </w:rPr>
        <w:t xml:space="preserve">۲۸۹. قم: مرکز مطالعات؛ شماره نسخه: ۴۰۳</w:t>
      </w:r>
    </w:p>
    <w:p>
      <w:pPr>
        <w:pStyle w:val="BookText"/>
      </w:pPr>
      <w:r>
        <w:rPr>
          <w:rFonts w:ascii="IRNazanin" w:hAnsi="IRNazanin" w:eastAsia="IRNazanin" w:cs="IRNazanin"/>
          <w:lang w:bidi="fa-IR"/>
          <w:color w:val="111111"/>
          <w:sz w:val="28"/>
          <w:szCs w:val="28"/>
          <w:rtl/>
        </w:rPr>
        <w:t xml:space="preserve">خط: نستعلیق، کا: ملک محمد نوری ابن محمد کیا، تا: پنج شنبه از ذیحجه ۱۲۳۶ق؛ فاقد جلد؛ ۷۵گ، مختلف السطر،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۱-۳۴۰]</w:t>
      </w:r>
    </w:p>
    <w:p>
      <w:pPr>
        <w:pStyle w:val="BookText"/>
      </w:pPr>
      <w:r>
        <w:rPr>
          <w:rFonts w:ascii="IRNazanin" w:hAnsi="IRNazanin" w:eastAsia="IRNazanin" w:cs="IRNazanin"/>
          <w:lang w:bidi="fa-IR"/>
          <w:color w:val="111111"/>
          <w:sz w:val="28"/>
          <w:szCs w:val="28"/>
          <w:rtl/>
        </w:rPr>
        <w:t xml:space="preserve">۲۹۰. شیراز؛ شاهچراغ؛ شماره نسخه: ۶۸۸</w:t>
      </w:r>
    </w:p>
    <w:p>
      <w:pPr>
        <w:pStyle w:val="BookText"/>
      </w:pPr>
      <w:r>
        <w:rPr>
          <w:rFonts w:ascii="IRNazanin" w:hAnsi="IRNazanin" w:eastAsia="IRNazanin" w:cs="IRNazanin"/>
          <w:lang w:bidi="fa-IR"/>
          <w:color w:val="111111"/>
          <w:sz w:val="28"/>
          <w:szCs w:val="28"/>
          <w:rtl/>
        </w:rPr>
        <w:t xml:space="preserve">خط: نسخ، كا: عبدالصمد بن حاج محمد على نخجوانی، تا: ۱۸ صفر ۱۲۳۶ق؛ محشى؛ ۹۷گ، اندازه: ۱۷/۵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۳-۱۴]</w:t>
      </w:r>
    </w:p>
    <w:p>
      <w:pPr>
        <w:pStyle w:val="BookText"/>
      </w:pPr>
      <w:r>
        <w:rPr>
          <w:rFonts w:ascii="IRNazanin" w:hAnsi="IRNazanin" w:eastAsia="IRNazanin" w:cs="IRNazanin"/>
          <w:lang w:bidi="fa-IR"/>
          <w:color w:val="111111"/>
          <w:sz w:val="28"/>
          <w:szCs w:val="28"/>
          <w:rtl/>
        </w:rPr>
        <w:t xml:space="preserve">۲۹۱. یزد؛ سریزدی؛ شماره نسخه: ۴۶</w:t>
      </w:r>
    </w:p>
    <w:p>
      <w:pPr>
        <w:pStyle w:val="BookText"/>
      </w:pPr>
      <w:r>
        <w:rPr>
          <w:rFonts w:ascii="Amiri" w:hAnsi="Amiri" w:eastAsia="Amiri" w:cs="Amiri"/>
          <w:lang w:bidi="ar-SA"/>
          <w:color w:val="111111"/>
          <w:sz w:val="28"/>
          <w:szCs w:val="28"/>
          <w:rtl/>
        </w:rPr>
        <w:t xml:space="preserve">آغاز: أي أصفه بالجميل تعظيمة له واداء لبعض ما يجب له</w:t>
      </w:r>
    </w:p>
    <w:p>
      <w:pPr>
        <w:pStyle w:val="BookText"/>
      </w:pPr>
      <w:r>
        <w:rPr>
          <w:rFonts w:ascii="IRNazanin" w:hAnsi="IRNazanin" w:eastAsia="IRNazanin" w:cs="IRNazanin"/>
          <w:lang w:bidi="fa-IR"/>
          <w:color w:val="111111"/>
          <w:sz w:val="28"/>
          <w:szCs w:val="28"/>
          <w:rtl/>
        </w:rPr>
        <w:t xml:space="preserve">خط: نستعلیق، کا: سید عبد العاصي هاشمی، تا: محرم ۱۲۳۶ق؛ افتادگی: آغاز؛ مصحح، محشی؛ تملکی با مهر «محمدرضا» (مربع) و مهر «یا امام زین العابدین» (بیضوی)؛ جلد: تیماج قهوه ای ضربی، عطف تیماج قرمز، ۱۵۶گ، ۱۵ سطر، اندازه: ۲۲۶۱۵سم [ف: ۱-۴۴]</w:t>
      </w:r>
    </w:p>
    <w:p>
      <w:pPr>
        <w:pStyle w:val="BookText"/>
      </w:pPr>
      <w:r>
        <w:rPr>
          <w:rFonts w:ascii="IRNazanin" w:hAnsi="IRNazanin" w:eastAsia="IRNazanin" w:cs="IRNazanin"/>
          <w:lang w:bidi="fa-IR"/>
          <w:color w:val="111111"/>
          <w:sz w:val="28"/>
          <w:szCs w:val="28"/>
          <w:rtl/>
        </w:rPr>
        <w:t xml:space="preserve">۲۹۲. تهران؛ دانشگاه؛ شماره نسخه: ۱۰۰۱۴/۱</w:t>
      </w:r>
    </w:p>
    <w:p>
      <w:pPr>
        <w:pStyle w:val="BookText"/>
      </w:pPr>
      <w:r>
        <w:rPr>
          <w:rFonts w:ascii="IRNazanin" w:hAnsi="IRNazanin" w:eastAsia="IRNazanin" w:cs="IRNazanin"/>
          <w:lang w:bidi="fa-IR"/>
          <w:color w:val="111111"/>
          <w:sz w:val="28"/>
          <w:szCs w:val="28"/>
          <w:rtl/>
        </w:rPr>
        <w:t xml:space="preserve">خط: نستعلیق ریز، کا: محمد علی بن محمد جعفر، تا: پنج شنبه پایان رمضان ۱۲۳۶ق، جا: مدرسه سید احمد کزازی؛ کاغذ: فرنگی، فاقد جلد، ربعی، ۱۹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قطع: ربعی،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۱۷-۵۲۵]</w:t>
      </w:r>
    </w:p>
    <w:p>
      <w:pPr>
        <w:pStyle w:val="BookText"/>
      </w:pPr>
      <w:r>
        <w:rPr>
          <w:rFonts w:ascii="IRNazanin" w:hAnsi="IRNazanin" w:eastAsia="IRNazanin" w:cs="IRNazanin"/>
          <w:lang w:bidi="fa-IR"/>
          <w:color w:val="111111"/>
          <w:sz w:val="28"/>
          <w:szCs w:val="28"/>
          <w:rtl/>
        </w:rPr>
        <w:t xml:space="preserve">۲۹۳. مشهد؛ رضوی؛ شماره نسخه: ۲۷۳۳۹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غلامحسین الویری، تا: ۱۲۳۶ق. [رایانه ]</w:t>
      </w:r>
    </w:p>
    <w:p>
      <w:pPr>
        <w:pStyle w:val="BookText"/>
      </w:pPr>
      <w:r>
        <w:rPr>
          <w:rFonts w:ascii="IRNazanin" w:hAnsi="IRNazanin" w:eastAsia="IRNazanin" w:cs="IRNazanin"/>
          <w:lang w:bidi="fa-IR"/>
          <w:color w:val="111111"/>
          <w:sz w:val="28"/>
          <w:szCs w:val="28"/>
          <w:rtl/>
        </w:rPr>
        <w:t xml:space="preserve">۲۹۴. تهران؛ حوزه آستان حضرت عبدالعظیم؛ شماره نسخه: ۵۷/۱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احمد بن محمد رفیع نویسی، تا: محرم ۱۲۳۶ق، جان همدان؛ مصحح، محشی به نقل از «شرح شواهد» «عبدالحكيم» و ... جلد: تیماج قهوه ای مجدول گرهی، ۹۸گ (۱پ-۹۸پ)، ۱۵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۱۸]</w:t>
      </w:r>
    </w:p>
    <w:p>
      <w:pPr>
        <w:pStyle w:val="BookText"/>
      </w:pPr>
      <w:r>
        <w:rPr>
          <w:rFonts w:ascii="IRNazanin" w:hAnsi="IRNazanin" w:eastAsia="IRNazanin" w:cs="IRNazanin"/>
          <w:lang w:bidi="fa-IR"/>
          <w:color w:val="111111"/>
          <w:sz w:val="28"/>
          <w:szCs w:val="28"/>
          <w:rtl/>
        </w:rPr>
        <w:t xml:space="preserve">۲۹۵. تهران، وزارت امور خارجه؛ شماره نسخه: ۵۷۳۱</w:t>
      </w:r>
    </w:p>
    <w:p>
      <w:pPr>
        <w:pStyle w:val="BookText"/>
      </w:pPr>
      <w:r>
        <w:rPr>
          <w:rFonts w:ascii="IRNazanin" w:hAnsi="IRNazanin" w:eastAsia="IRNazanin" w:cs="IRNazanin"/>
          <w:lang w:bidi="fa-IR"/>
          <w:color w:val="111111"/>
          <w:sz w:val="28"/>
          <w:szCs w:val="28"/>
          <w:rtl/>
        </w:rPr>
        <w:t xml:space="preserve">انجام: قد اتفق الفراغ عن تسويد هذه الرساله الوافية بحل مشكلات الألفية في صبح يوم الاثنين العشرين من شهر محرم الحرام من شهور سنة ست و ثلاثين و مأتین بعد الألف المصطفوية عليه الف الثناء و التحية في سنة ۱۲۳۶ على يد الاضعف الاحقر إلى رحمة الله الملك المنان اقل الطلاب تراب نعال المحصلين بل لاشيء في الحقيقة ابوالحسن ابن علیرضا الشهر بابکی خط: نسخ، کا: ابو الحسن بن علیرضا شهر بابکی، تا: دوشنبه ۲۰ محرم ۱۲۳۶ق؛ محشی منقوله از ملا جلال و شواهد عینی و غیره؛ جلد: تیماج مشکی، ۱۶۲گ، ۱۴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w:t>
      </w:r>
    </w:p>
    <w:p>
      <w:pPr>
        <w:pStyle w:val="BookText"/>
      </w:pPr>
      <w:r>
        <w:rPr>
          <w:rFonts w:ascii="IRNazanin" w:hAnsi="IRNazanin" w:eastAsia="IRNazanin" w:cs="IRNazanin"/>
          <w:lang w:bidi="fa-IR"/>
          <w:color w:val="111111"/>
          <w:sz w:val="28"/>
          <w:szCs w:val="28"/>
          <w:rtl/>
        </w:rPr>
        <w:t xml:space="preserve">سم [نشریه: ۱-۷]</w:t>
      </w:r>
    </w:p>
    <w:p>
      <w:pPr>
        <w:pStyle w:val="BookText"/>
      </w:pPr>
      <w:r>
        <w:rPr>
          <w:rFonts w:ascii="IRNazanin" w:hAnsi="IRNazanin" w:eastAsia="IRNazanin" w:cs="IRNazanin"/>
          <w:lang w:bidi="fa-IR"/>
          <w:color w:val="111111"/>
          <w:sz w:val="28"/>
          <w:szCs w:val="28"/>
          <w:rtl/>
        </w:rPr>
        <w:t xml:space="preserve">۲۹۶. مشهد؛ مدرسه باقریه؛ شماره نسخه: ۲۶</w:t>
      </w:r>
    </w:p>
    <w:p>
      <w:pPr>
        <w:pStyle w:val="BookText"/>
      </w:pPr>
      <w:r>
        <w:rPr>
          <w:rFonts w:ascii="IRNazanin" w:hAnsi="IRNazanin" w:eastAsia="IRNazanin" w:cs="IRNazanin"/>
          <w:lang w:bidi="fa-IR"/>
          <w:color w:val="111111"/>
          <w:sz w:val="28"/>
          <w:szCs w:val="28"/>
          <w:rtl/>
        </w:rPr>
        <w:t xml:space="preserve">خط: نسخ، بی کا، تا: شوال ۱۲۳۷ق؛ کاغذ: فرنگی، ۱۵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(تراثنا: س ش ۱-۷۷)</w:t>
      </w:r>
    </w:p>
    <w:p>
      <w:pPr>
        <w:pStyle w:val="BookText"/>
      </w:pPr>
      <w:r>
        <w:rPr>
          <w:rFonts w:ascii="IRNazanin" w:hAnsi="IRNazanin" w:eastAsia="IRNazanin" w:cs="IRNazanin"/>
          <w:lang w:bidi="fa-IR"/>
          <w:color w:val="111111"/>
          <w:sz w:val="28"/>
          <w:szCs w:val="28"/>
          <w:rtl/>
        </w:rPr>
        <w:t xml:space="preserve">۲۹۷. مشهد؛ رضوی؛ شماره نسخه: ۱۶۹۸۸</w:t>
      </w:r>
    </w:p>
    <w:p>
      <w:pPr>
        <w:pStyle w:val="BookText"/>
      </w:pPr>
      <w:r>
        <w:rPr>
          <w:rFonts w:ascii="IRNazanin" w:hAnsi="IRNazanin" w:eastAsia="IRNazanin" w:cs="IRNazanin"/>
          <w:lang w:bidi="fa-IR"/>
          <w:color w:val="111111"/>
          <w:sz w:val="28"/>
          <w:szCs w:val="28"/>
          <w:rtl/>
        </w:rPr>
        <w:t xml:space="preserve">آغاز: برابر؛ انجام: لأشجر نیست ... لاشجر ... تمت الكتاب بعون الملك الوهاب.</w:t>
      </w:r>
    </w:p>
    <w:p>
      <w:pPr>
        <w:pStyle w:val="BookText"/>
      </w:pPr>
      <w:r>
        <w:rPr>
          <w:rFonts w:ascii="IRNazanin" w:hAnsi="IRNazanin" w:eastAsia="IRNazanin" w:cs="IRNazanin"/>
          <w:lang w:bidi="fa-IR"/>
          <w:color w:val="111111"/>
          <w:sz w:val="28"/>
          <w:szCs w:val="28"/>
          <w:rtl/>
        </w:rPr>
        <w:t xml:space="preserve">خط: نسخ، بی کا، تا: ۱۲۳۷ق؛ کاغذ: نخودی، جلد: میشن، ۱۶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[رایانه]</w:t>
      </w:r>
    </w:p>
    <w:p>
      <w:pPr>
        <w:pStyle w:val="BookText"/>
      </w:pPr>
      <w:r>
        <w:rPr>
          <w:rFonts w:ascii="IRNazanin" w:hAnsi="IRNazanin" w:eastAsia="IRNazanin" w:cs="IRNazanin"/>
          <w:lang w:bidi="fa-IR"/>
          <w:color w:val="111111"/>
          <w:sz w:val="28"/>
          <w:szCs w:val="28"/>
          <w:rtl/>
        </w:rPr>
        <w:t xml:space="preserve">۲۹۸. مراغه؛ عمومی؛ شماره نسخه: ۱۴۷</w:t>
      </w:r>
    </w:p>
    <w:p>
      <w:pPr>
        <w:pStyle w:val="BookText"/>
      </w:pPr>
      <w:r>
        <w:rPr>
          <w:rFonts w:ascii="IRNazanin" w:hAnsi="IRNazanin" w:eastAsia="IRNazanin" w:cs="IRNazanin"/>
          <w:lang w:bidi="fa-IR"/>
          <w:color w:val="111111"/>
          <w:sz w:val="28"/>
          <w:szCs w:val="28"/>
          <w:rtl/>
        </w:rPr>
        <w:t xml:space="preserve">آغاز و انجام: برابر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نسخ، كا: عبدالرحيم بن مشهدی جعفر مراغی، تا: ۱۲۳۷ق؛ جلد: تیماج قهوه ای با ترنج، ۱۱۸گ، ۲۱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۲۸سم [ف: ۱۸]</w:t>
      </w:r>
    </w:p>
    <w:p>
      <w:pPr>
        <w:pStyle w:val="BookText"/>
      </w:pPr>
      <w:r>
        <w:rPr>
          <w:rFonts w:ascii="IRNazanin" w:hAnsi="IRNazanin" w:eastAsia="IRNazanin" w:cs="IRNazanin"/>
          <w:lang w:bidi="fa-IR"/>
          <w:color w:val="111111"/>
          <w:sz w:val="28"/>
          <w:szCs w:val="28"/>
          <w:rtl/>
        </w:rPr>
        <w:t xml:space="preserve">۲۹۹. تهران؛ مجلس؛ شماره نسخه: ۵۶۴ طباطبائی</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كا: احمد بن حاجی علی، تا: ۱۲۳۷ق؛ محشی؛ کاغذ: فرنگی آهار مهره، جلد: تیماج مشکی، ۱۳۸، ۱۴سطر،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 [ف: ۲۴-۳۵۹]</w:t>
      </w:r>
    </w:p>
    <w:p>
      <w:pPr>
        <w:pStyle w:val="BookText"/>
      </w:pPr>
      <w:r>
        <w:rPr>
          <w:rFonts w:ascii="IRNazanin" w:hAnsi="IRNazanin" w:eastAsia="IRNazanin" w:cs="IRNazanin"/>
          <w:lang w:bidi="fa-IR"/>
          <w:color w:val="111111"/>
          <w:sz w:val="28"/>
          <w:szCs w:val="28"/>
          <w:rtl/>
        </w:rPr>
        <w:t xml:space="preserve">۳۰۰. مشهد؛ رضوی؛ شماره نسخه: ۱۶۹۸۹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۱۲۳۷ق؛ کاغذ: الوان، جلد: تیماج، ۱۵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رایانه ]</w:t>
      </w:r>
    </w:p>
    <w:p>
      <w:pPr>
        <w:pStyle w:val="BookText"/>
      </w:pPr>
      <w:r>
        <w:rPr>
          <w:rFonts w:ascii="IRNazanin" w:hAnsi="IRNazanin" w:eastAsia="IRNazanin" w:cs="IRNazanin"/>
          <w:lang w:bidi="fa-IR"/>
          <w:color w:val="111111"/>
          <w:sz w:val="28"/>
          <w:szCs w:val="28"/>
          <w:rtl/>
        </w:rPr>
        <w:t xml:space="preserve">۳۰۱. قم؛ طبسی؛ شماره نسخه: ۴۱۸</w:t>
      </w:r>
    </w:p>
    <w:p>
      <w:pPr>
        <w:pStyle w:val="BookText"/>
      </w:pPr>
      <w:r>
        <w:rPr>
          <w:rFonts w:ascii="IRNazanin" w:hAnsi="IRNazanin" w:eastAsia="IRNazanin" w:cs="IRNazanin"/>
          <w:lang w:bidi="fa-IR"/>
          <w:color w:val="111111"/>
          <w:sz w:val="28"/>
          <w:szCs w:val="28"/>
          <w:rtl/>
        </w:rPr>
        <w:t xml:space="preserve">آغاز و انجام: برابر خط: نسخ، بی کا، تا: ۱۲۳۷ق؛ محشی از شرح ابن عقيل؛ جلد: مقوا با روکش کاغذی قرمز عطف تیماج قهوه ای، ۱۰۷گ، ۲۰ سطر، اندازه: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مخ: ۱-۷۵]</w:t>
      </w:r>
    </w:p>
    <w:p>
      <w:pPr>
        <w:pStyle w:val="BookText"/>
      </w:pPr>
      <w:r>
        <w:rPr>
          <w:rFonts w:ascii="IRNazanin" w:hAnsi="IRNazanin" w:eastAsia="IRNazanin" w:cs="IRNazanin"/>
          <w:lang w:bidi="fa-IR"/>
          <w:color w:val="111111"/>
          <w:sz w:val="28"/>
          <w:szCs w:val="28"/>
          <w:rtl/>
        </w:rPr>
        <w:t xml:space="preserve">۳۰۲. قم؛ مسجد اعظم؛ شماره نسخه: ۲۰۵۴</w:t>
      </w:r>
    </w:p>
    <w:p>
      <w:pPr>
        <w:pStyle w:val="BookText"/>
      </w:pPr>
      <w:r>
        <w:rPr>
          <w:rFonts w:ascii="IRNazanin" w:hAnsi="IRNazanin" w:eastAsia="IRNazanin" w:cs="IRNazanin"/>
          <w:lang w:bidi="fa-IR"/>
          <w:color w:val="111111"/>
          <w:sz w:val="28"/>
          <w:szCs w:val="28"/>
          <w:rtl/>
        </w:rPr>
        <w:t xml:space="preserve">آغاز: برابر؛ انجام: هذا الذي فاق نظام الدر و الجوهر لاتعد حرفا منه او كلمة و للجياب بل أظهرو روض الذهن اذا شكل يبدوا بافكار لاتبدر فليس بالشاين شيئا ... و حسبنا الله ونعم الوكيل و لاحول ولاقوة الا بالله العلى العظيم خط: نسخ، كا: محمد حسین بن محمد امین وزوانی، تا: جمادی الثانی ۱۲۳۷ق؛ مصحح، محشی؛ یادداشتی از علی اکبر بن آقا حسین در ۱۲۷۸ق؛ جلد: تیماج سرخ، ۱۱۷گی، ۱۵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مخ: ۱-۲۸۴]</w:t>
      </w:r>
    </w:p>
    <w:p>
      <w:pPr>
        <w:pStyle w:val="BookText"/>
      </w:pPr>
      <w:r>
        <w:rPr>
          <w:rFonts w:ascii="IRNazanin" w:hAnsi="IRNazanin" w:eastAsia="IRNazanin" w:cs="IRNazanin"/>
          <w:lang w:bidi="fa-IR"/>
          <w:color w:val="111111"/>
          <w:sz w:val="28"/>
          <w:szCs w:val="28"/>
          <w:rtl/>
        </w:rPr>
        <w:t xml:space="preserve">۳۰۳. تهران؛ سپهسالار؛ شماره نسخه: ۳۱۹۴</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كا: محمد بن میر ذوالفقار کرمی، تا: ۱۲۳۸ق؛ کاغذ نسخه ساخت سال ۱۸۱۵م می باشد؛ واقف: سپهسالار؛ کاغذ: فرنگی آبی رنگ، جلد: تیماج، ۹۶ص، ۱۸ سطر، قطع: خشتی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۲-۳۳۹]</w:t>
      </w:r>
    </w:p>
    <w:p>
      <w:pPr>
        <w:pStyle w:val="BookText"/>
      </w:pPr>
      <w:r>
        <w:rPr>
          <w:rFonts w:ascii="IRNazanin" w:hAnsi="IRNazanin" w:eastAsia="IRNazanin" w:cs="IRNazanin"/>
          <w:lang w:bidi="fa-IR"/>
          <w:color w:val="111111"/>
          <w:sz w:val="28"/>
          <w:szCs w:val="28"/>
          <w:rtl/>
        </w:rPr>
        <w:t xml:space="preserve">۳۰۴. خوانسار، فاضل؛ شماره نسخه: ۳۷۵</w:t>
      </w:r>
    </w:p>
    <w:p>
      <w:pPr>
        <w:pStyle w:val="BookText"/>
      </w:pPr>
      <w:r>
        <w:rPr>
          <w:rFonts w:ascii="IRNazanin" w:hAnsi="IRNazanin" w:eastAsia="IRNazanin" w:cs="IRNazanin"/>
          <w:lang w:bidi="fa-IR"/>
          <w:color w:val="111111"/>
          <w:sz w:val="28"/>
          <w:szCs w:val="28"/>
          <w:rtl/>
        </w:rPr>
        <w:t xml:space="preserve">خط: چاپی، كا: على بن احمد موسوی، تا: ۱۲۳۸ق؛ مصحح، محشي با عبارت «باستعانة استادی ملا رمضان حفظه الله»؛ جلد: تیماج مشکی عطف پارچه ای، ۱۷۲گ، ۱۴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۲-۶۵]</w:t>
      </w:r>
    </w:p>
    <w:p>
      <w:pPr>
        <w:pStyle w:val="BookText"/>
      </w:pPr>
      <w:r>
        <w:rPr>
          <w:rFonts w:ascii="IRNazanin" w:hAnsi="IRNazanin" w:eastAsia="IRNazanin" w:cs="IRNazanin"/>
          <w:lang w:bidi="fa-IR"/>
          <w:color w:val="111111"/>
          <w:sz w:val="28"/>
          <w:szCs w:val="28"/>
          <w:rtl/>
        </w:rPr>
        <w:t xml:space="preserve">۳۰۵. مشهد؛ رضوی؛ شماره نسخه: ۱۴۴۶۸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كان غفار ابن سلطان احمد، تا: ۱۲۳۸ق، ؛ محشی؛ واقف: سید محمد باقر سبزواری کاغذ: شکری آهار مهره، جلد: تیماج مشکی یک لا، ۱۵۸گ، ۱۵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۳۰-۱۲ ]</w:t>
      </w:r>
    </w:p>
    <w:p>
      <w:pPr>
        <w:pStyle w:val="BookText"/>
      </w:pPr>
      <w:r>
        <w:rPr>
          <w:rFonts w:ascii="IRNazanin" w:hAnsi="IRNazanin" w:eastAsia="IRNazanin" w:cs="IRNazanin"/>
          <w:lang w:bidi="fa-IR"/>
          <w:color w:val="111111"/>
          <w:sz w:val="28"/>
          <w:szCs w:val="28"/>
          <w:rtl/>
        </w:rPr>
        <w:t xml:space="preserve">۳۰۶. تهران؛ ملی؛ شماره نسخه: ۳۰۱۱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كا: میر علی اصغر موسوی، تا: ۱۲۳۸ق؛ مصحح، محشی با امضای حکیم؛ کاغذ: فرنگی نخودی، جلد: تیماج مشکی، یک لا ضربی مجدول، عطف تیماج مشکی، ۸۱گ، ۲۰ سطر (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۱۴/۷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۲۰/۷سم [ف: ۱۴-۱۲۰]</w:t>
      </w:r>
    </w:p>
    <w:p>
      <w:pPr>
        <w:pStyle w:val="BookText"/>
      </w:pPr>
      <w:r>
        <w:rPr>
          <w:rFonts w:ascii="Amiri" w:hAnsi="Amiri" w:eastAsia="Amiri" w:cs="Amiri"/>
          <w:lang w:bidi="ar-SA"/>
          <w:color w:val="111111"/>
          <w:sz w:val="28"/>
          <w:szCs w:val="28"/>
          <w:rtl/>
        </w:rPr>
        <w:t xml:space="preserve">۳۰۷. تهران؛ دائرة المعارف؛ شماره نسخه: ۹۶۲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كا: ابن محمد علی محمد باقر، تا: دوشنبه ۲۸ رمضان ۱۲۳۸ق، جا: یکی حجره های مدرسه فاضلخان؛ محشی؛ کاغذ: فستقی سفید و آبی، جلد: تیماج مشکی مجدول یک لای ۱۶۲، ۱۷سطر (۱۰/۵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۱۴/۵)،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۲-۳۰]</w:t>
      </w:r>
    </w:p>
    <w:p>
      <w:pPr>
        <w:pStyle w:val="BookText"/>
      </w:pPr>
      <w:r>
        <w:rPr>
          <w:rFonts w:ascii="IRNazanin" w:hAnsi="IRNazanin" w:eastAsia="IRNazanin" w:cs="IRNazanin"/>
          <w:lang w:bidi="fa-IR"/>
          <w:color w:val="111111"/>
          <w:sz w:val="28"/>
          <w:szCs w:val="28"/>
          <w:rtl/>
        </w:rPr>
        <w:t xml:space="preserve">۳۰۸. تهران: دانشگاه، شماره نسخه: ۷۳۴۶</w:t>
      </w:r>
    </w:p>
    <w:p>
      <w:pPr>
        <w:pStyle w:val="BookText"/>
      </w:pPr>
      <w:r>
        <w:rPr>
          <w:rFonts w:ascii="IRNazanin" w:hAnsi="IRNazanin" w:eastAsia="IRNazanin" w:cs="IRNazanin"/>
          <w:lang w:bidi="fa-IR"/>
          <w:color w:val="111111"/>
          <w:sz w:val="28"/>
          <w:szCs w:val="28"/>
          <w:rtl/>
        </w:rPr>
        <w:t xml:space="preserve">خط: نسخ، كا: ملا محمد حسین بن آقا محمد باقر بن حاجی قاسم، تا: ۱۳ رجب ۱۲۳۸ق، برای محمد مهدی بن استاد زمان مسکر؛ کاغذ: فرنگی، جلد: نو، ۱۳۷ گ، ۱۴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قطع: خشتی، اندازه: ۱۸</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 سم [ف: ۱۶-۵۱۶]</w:t>
      </w:r>
    </w:p>
    <w:p>
      <w:pPr>
        <w:pStyle w:val="BookText"/>
      </w:pPr>
      <w:r>
        <w:rPr>
          <w:rFonts w:ascii="IRNazanin" w:hAnsi="IRNazanin" w:eastAsia="IRNazanin" w:cs="IRNazanin"/>
          <w:lang w:bidi="fa-IR"/>
          <w:color w:val="111111"/>
          <w:sz w:val="28"/>
          <w:szCs w:val="28"/>
          <w:rtl/>
        </w:rPr>
        <w:t xml:space="preserve">۳۰۹. تهران، دانشگاه؛ شماره نسخه: ۷۲۴۰</w:t>
      </w:r>
    </w:p>
    <w:p>
      <w:pPr>
        <w:pStyle w:val="BookText"/>
      </w:pPr>
      <w:r>
        <w:rPr>
          <w:rFonts w:ascii="IRNazanin" w:hAnsi="IRNazanin" w:eastAsia="IRNazanin" w:cs="IRNazanin"/>
          <w:lang w:bidi="fa-IR"/>
          <w:color w:val="111111"/>
          <w:sz w:val="28"/>
          <w:szCs w:val="28"/>
          <w:rtl/>
        </w:rPr>
        <w:t xml:space="preserve">خط: نسخ، كا: اسماعيل بن کربلایی ابراهیم زیاتی، تا: سه شنبه ۲۸ ربيع الثانی ۱۲۳۹ق، جا: استر آباد؛ با یادداشت ۲۷ ذیحجه ۱۲۷۹؛ کاغذ: فرنگی، جلد: نو، ۸۸گ، ۱۴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قطع: ربعی،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۱۶-۴۹۶)</w:t>
      </w:r>
    </w:p>
    <w:p>
      <w:pPr>
        <w:pStyle w:val="BookText"/>
      </w:pPr>
      <w:r>
        <w:rPr>
          <w:rFonts w:ascii="IRNazanin" w:hAnsi="IRNazanin" w:eastAsia="IRNazanin" w:cs="IRNazanin"/>
          <w:lang w:bidi="fa-IR"/>
          <w:color w:val="111111"/>
          <w:sz w:val="28"/>
          <w:szCs w:val="28"/>
          <w:rtl/>
        </w:rPr>
        <w:t xml:space="preserve">۳۱۰. تهران؛ دانشگاه؛ شماره نسخه: ۷۶۵۳</w:t>
      </w:r>
    </w:p>
    <w:p>
      <w:pPr>
        <w:pStyle w:val="BookText"/>
      </w:pPr>
      <w:r>
        <w:rPr>
          <w:rFonts w:ascii="IRNazanin" w:hAnsi="IRNazanin" w:eastAsia="IRNazanin" w:cs="IRNazanin"/>
          <w:lang w:bidi="fa-IR"/>
          <w:color w:val="111111"/>
          <w:sz w:val="28"/>
          <w:szCs w:val="28"/>
          <w:rtl/>
        </w:rPr>
        <w:t xml:space="preserve">خط: نسخ، بی کا، تا: ۱۲۳۹ق؛ کاغذ: فرنگی، جلد: تیماج مشکی مقوایی، ۸۵گ، ۱۳ سطر (۱۴۸۹)،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۱۶-۶۶۶]</w:t>
      </w:r>
    </w:p>
    <w:p>
      <w:pPr>
        <w:pStyle w:val="BookText"/>
      </w:pPr>
      <w:r>
        <w:rPr>
          <w:rFonts w:ascii="IRNazanin" w:hAnsi="IRNazanin" w:eastAsia="IRNazanin" w:cs="IRNazanin"/>
          <w:lang w:bidi="fa-IR"/>
          <w:color w:val="111111"/>
          <w:sz w:val="28"/>
          <w:szCs w:val="28"/>
          <w:rtl/>
        </w:rPr>
        <w:t xml:space="preserve">۳۱۱. قم، گلپایگانی؛ شماره نسخه: ۸۱۳۸/۱ - ۵۵/۱۰۸</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کامل؛ خط: نسخ، كا: بهرامعلی بن احمد على قزنچاهی، تا: جمادی الثانی ۱۲۳۹ق؛ ۱۱۴گ، ۱۵ و ۲۱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۲-۶۳۹]</w:t>
      </w:r>
    </w:p>
    <w:p>
      <w:pPr>
        <w:pStyle w:val="BookText"/>
      </w:pPr>
      <w:r>
        <w:rPr>
          <w:rFonts w:ascii="IRNazanin" w:hAnsi="IRNazanin" w:eastAsia="IRNazanin" w:cs="IRNazanin"/>
          <w:lang w:bidi="fa-IR"/>
          <w:color w:val="111111"/>
          <w:sz w:val="28"/>
          <w:szCs w:val="28"/>
          <w:rtl/>
        </w:rPr>
        <w:t xml:space="preserve">۳۱۲. قم، گلپایگانی؛ شماره نسخه: ۷۷۷۱- ۵۲/۱۱۱</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كا: محمد جعفر ولد مرحوم ملا عیسی افشار ساکن بلده هرات، تا: ۲۷ شوال ۱۲۴۰ق؛ ۱۰۵گ، ۱۸-۲۰-۲۱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سم [ف: ۲-۶۳۹]</w:t>
      </w:r>
    </w:p>
    <w:p>
      <w:pPr>
        <w:pStyle w:val="BookText"/>
      </w:pPr>
      <w:r>
        <w:rPr>
          <w:rFonts w:ascii="IRNazanin" w:hAnsi="IRNazanin" w:eastAsia="IRNazanin" w:cs="IRNazanin"/>
          <w:lang w:bidi="fa-IR"/>
          <w:color w:val="111111"/>
          <w:sz w:val="28"/>
          <w:szCs w:val="28"/>
          <w:rtl/>
        </w:rPr>
        <w:t xml:space="preserve">۳۱۳. کاشان؛ مدرسه سلطانی؛ شماره نسخه: ۱۹۲</w:t>
      </w:r>
    </w:p>
    <w:p>
      <w:pPr>
        <w:pStyle w:val="BookText"/>
      </w:pPr>
      <w:r>
        <w:rPr>
          <w:rFonts w:ascii="IRNazanin" w:hAnsi="IRNazanin" w:eastAsia="IRNazanin" w:cs="IRNazanin"/>
          <w:lang w:bidi="fa-IR"/>
          <w:color w:val="111111"/>
          <w:sz w:val="28"/>
          <w:szCs w:val="28"/>
          <w:rtl/>
        </w:rPr>
        <w:t xml:space="preserve">آغاز: ص قال محمد هو ابن مالک*** احمد ربي الله خير مالک ... ش الكلام المصطلح عليه عند النحويين عبارة عن اللفظ المفيد فائدة يحسن السكوت عليها فاللفظ جنس يشتمل؛ انجام: فاحمد الله مصليا على*** محمد خير نبی ارسلا / و آله الغر الكرام البررة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 صحبه المنتجبين الخيرة</w:t>
      </w:r>
    </w:p>
    <w:p>
      <w:pPr>
        <w:pStyle w:val="BookText"/>
      </w:pPr>
      <w:r>
        <w:rPr>
          <w:rFonts w:ascii="IRNazanin" w:hAnsi="IRNazanin" w:eastAsia="IRNazanin" w:cs="IRNazanin"/>
          <w:lang w:bidi="fa-IR"/>
          <w:color w:val="111111"/>
          <w:sz w:val="28"/>
          <w:szCs w:val="28"/>
          <w:rtl/>
        </w:rPr>
        <w:t xml:space="preserve">کامل؛ خط: نستعلیق، کا: سید صادق بن محمد کاشانی، تا: ۲۰ ربيع الثانی ۱۲۴۰ق، جا: کاشان، مدرسه حاجی میرزا جانی؛ مصحح،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محشى؛ جلد: تیماج قهوه ای مجدول ضربی، ۲۲۵ گ، ۱۵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مخ]</w:t>
      </w:r>
    </w:p>
    <w:p>
      <w:pPr>
        <w:pStyle w:val="BookText"/>
      </w:pPr>
      <w:r>
        <w:rPr>
          <w:rFonts w:ascii="IRNazanin" w:hAnsi="IRNazanin" w:eastAsia="IRNazanin" w:cs="IRNazanin"/>
          <w:lang w:bidi="fa-IR"/>
          <w:color w:val="111111"/>
          <w:sz w:val="28"/>
          <w:szCs w:val="28"/>
          <w:rtl/>
        </w:rPr>
        <w:t xml:space="preserve">۳۱۴. تهران؛ ملی؛ شماره نسخه: ۱۴۴۷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كا: ابراهيم بن سید کریم موسوی، تا: ۱۲۴۰ق؛ محشی؛ کاغذ: فرنگی، جلد: تیماج تریاکی روشن، مقوایی با ترنج و نیم ترنج کوبیده، ۱۴۲ گ، ۱۶سطر کامل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۹-۴۷۸]</w:t>
      </w:r>
    </w:p>
    <w:p>
      <w:pPr>
        <w:pStyle w:val="BookText"/>
      </w:pPr>
      <w:r>
        <w:rPr>
          <w:rFonts w:ascii="IRNazanin" w:hAnsi="IRNazanin" w:eastAsia="IRNazanin" w:cs="IRNazanin"/>
          <w:lang w:bidi="fa-IR"/>
          <w:color w:val="111111"/>
          <w:sz w:val="28"/>
          <w:szCs w:val="28"/>
          <w:rtl/>
        </w:rPr>
        <w:t xml:space="preserve">۳۱۵. قم: مرکز مطالعات؛ شماره نسخه: ۱۶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ابن میر اسدالله مراغی، تا: پنج شنبه ۲۹ جمادی الثانی ۱۲۴۰ق؛ مصحح، محشی؛ مهر: «عبده حسن ۱۲۶۳» (بیضی)؛ تملک: شهاب الدین بن رضى الحسینی الخلخالی که این نسخه را همراه با کتاب جامی که در مجلد واحد بوده در دوشنبه ۲۴ ربيع الثانی ۱۲۹۷ به چهارده شاهی سفید در تبریز خریداری کرده؛ جلد: تیماج، قهوه ای، مجدول، ۸۰گ، ۲۰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۱-۲۴]</w:t>
      </w:r>
    </w:p>
    <w:p>
      <w:pPr>
        <w:pStyle w:val="BookText"/>
      </w:pPr>
      <w:r>
        <w:rPr>
          <w:rFonts w:ascii="IRNazanin" w:hAnsi="IRNazanin" w:eastAsia="IRNazanin" w:cs="IRNazanin"/>
          <w:lang w:bidi="fa-IR"/>
          <w:color w:val="111111"/>
          <w:sz w:val="28"/>
          <w:szCs w:val="28"/>
          <w:rtl/>
        </w:rPr>
        <w:t xml:space="preserve">۳۱۶. قم؛ گلپایگانی؛ شماره نسخه: ۸۸۴۷/۲ - ۵۹/۶۷</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كا: محمد حسین بن محمد همدانی، تا: جمعه ۲۹ ذیقعده ۱۲۴۰ق، جان کرمانشاهان، مدرسه شاهزاده والا؛ ۹۶گ ( ۱۴۵-۵۰ )، ۱۸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۲-۶۴۰]</w:t>
      </w:r>
    </w:p>
    <w:p>
      <w:pPr>
        <w:pStyle w:val="BookText"/>
      </w:pPr>
      <w:r>
        <w:rPr>
          <w:rFonts w:ascii="IRNazanin" w:hAnsi="IRNazanin" w:eastAsia="IRNazanin" w:cs="IRNazanin"/>
          <w:lang w:bidi="fa-IR"/>
          <w:color w:val="111111"/>
          <w:sz w:val="28"/>
          <w:szCs w:val="28"/>
          <w:rtl/>
        </w:rPr>
        <w:t xml:space="preserve">۳۱۷. تهران؛ مروی؛ شماره نسخه: ۶۷۱</w:t>
      </w:r>
    </w:p>
    <w:p>
      <w:pPr>
        <w:pStyle w:val="BookText"/>
      </w:pPr>
      <w:r>
        <w:rPr>
          <w:rFonts w:ascii="IRNazanin" w:hAnsi="IRNazanin" w:eastAsia="IRNazanin" w:cs="IRNazanin"/>
          <w:lang w:bidi="fa-IR"/>
          <w:color w:val="111111"/>
          <w:sz w:val="28"/>
          <w:szCs w:val="28"/>
          <w:rtl/>
        </w:rPr>
        <w:t xml:space="preserve">بی کا، تا: ۱۲۴۰ق، قطع: خشتی [ف: ۸۰]</w:t>
      </w:r>
    </w:p>
    <w:p>
      <w:pPr>
        <w:pStyle w:val="BookText"/>
      </w:pPr>
      <w:r>
        <w:rPr>
          <w:rFonts w:ascii="IRNazanin" w:hAnsi="IRNazanin" w:eastAsia="IRNazanin" w:cs="IRNazanin"/>
          <w:lang w:bidi="fa-IR"/>
          <w:color w:val="111111"/>
          <w:sz w:val="28"/>
          <w:szCs w:val="28"/>
          <w:rtl/>
        </w:rPr>
        <w:t xml:space="preserve">۳۱۸. اصفهان؛ مدرسه صدر بازار؛ شماره نسخه: ۱۰۴</w:t>
      </w:r>
    </w:p>
    <w:p>
      <w:pPr>
        <w:pStyle w:val="BookText"/>
      </w:pPr>
      <w:r>
        <w:rPr>
          <w:rFonts w:ascii="IRNazanin" w:hAnsi="IRNazanin" w:eastAsia="IRNazanin" w:cs="IRNazanin"/>
          <w:lang w:bidi="fa-IR"/>
          <w:color w:val="111111"/>
          <w:sz w:val="28"/>
          <w:szCs w:val="28"/>
          <w:rtl/>
        </w:rPr>
        <w:t xml:space="preserve">خط: نسخ، کا: محمد علی بن محمود، تا: ۱۰ رجب ۱۲۴۱ق؛ مصحح، محشی؛ مهر: «افوض امرى الى الله عبده محمد تقی» (بیضی)؛ جلد: تیماج مشکی، ۹۰گ، ۱۹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۱-۷۹]</w:t>
      </w:r>
    </w:p>
    <w:p>
      <w:pPr>
        <w:pStyle w:val="BookText"/>
      </w:pPr>
      <w:r>
        <w:rPr>
          <w:rFonts w:ascii="IRNazanin" w:hAnsi="IRNazanin" w:eastAsia="IRNazanin" w:cs="IRNazanin"/>
          <w:lang w:bidi="fa-IR"/>
          <w:color w:val="111111"/>
          <w:sz w:val="28"/>
          <w:szCs w:val="28"/>
          <w:rtl/>
        </w:rPr>
        <w:t xml:space="preserve">۳۱۹. مشهد؛ رضوی؛ شماره نسخه: ۱۷۲۵۷</w:t>
      </w:r>
    </w:p>
    <w:p>
      <w:pPr>
        <w:pStyle w:val="BookText"/>
      </w:pPr>
      <w:r>
        <w:rPr>
          <w:rFonts w:ascii="IRNazanin" w:hAnsi="IRNazanin" w:eastAsia="IRNazanin" w:cs="IRNazanin"/>
          <w:lang w:bidi="fa-IR"/>
          <w:color w:val="111111"/>
          <w:sz w:val="28"/>
          <w:szCs w:val="28"/>
          <w:rtl/>
        </w:rPr>
        <w:t xml:space="preserve">آغاز: فدل على انها نزع منها ذالك ... البته وفي؛ انجام: اولو الالباب لما له ... صلى الله على محمد و آله اجمعین انك انت الغفور الرحيم خط: نسخ، بی کا، تا: ۱۲۴۱ق؛ کاغذ: ابی، جلد: تیماج ضربی، اندازه: ۲۰۱۵سم [رایانه]</w:t>
      </w:r>
    </w:p>
    <w:p>
      <w:pPr>
        <w:pStyle w:val="BookText"/>
      </w:pPr>
      <w:r>
        <w:rPr>
          <w:rFonts w:ascii="IRNazanin" w:hAnsi="IRNazanin" w:eastAsia="IRNazanin" w:cs="IRNazanin"/>
          <w:lang w:bidi="fa-IR"/>
          <w:color w:val="111111"/>
          <w:sz w:val="28"/>
          <w:szCs w:val="28"/>
          <w:rtl/>
        </w:rPr>
        <w:t xml:space="preserve">۳۲۰. قم؛ فیضیه؛ شماره نسخه: ۴۳۶</w:t>
      </w:r>
    </w:p>
    <w:p>
      <w:pPr>
        <w:pStyle w:val="BookText"/>
      </w:pPr>
      <w:r>
        <w:rPr>
          <w:rFonts w:ascii="IRNazanin" w:hAnsi="IRNazanin" w:eastAsia="IRNazanin" w:cs="IRNazanin"/>
          <w:lang w:bidi="fa-IR"/>
          <w:color w:val="111111"/>
          <w:sz w:val="28"/>
          <w:szCs w:val="28"/>
          <w:rtl/>
        </w:rPr>
        <w:t xml:space="preserve">خط: نسخ، كا: عبدالرحمن بن علی اصغر، تا: ۱۲۴۱ق، ۱۰۷گ، ۱۸سطر،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۱-۳۴]</w:t>
      </w:r>
    </w:p>
    <w:p>
      <w:pPr>
        <w:pStyle w:val="BookText"/>
      </w:pPr>
      <w:r>
        <w:rPr>
          <w:rFonts w:ascii="IRNazanin" w:hAnsi="IRNazanin" w:eastAsia="IRNazanin" w:cs="IRNazanin"/>
          <w:lang w:bidi="fa-IR"/>
          <w:color w:val="111111"/>
          <w:sz w:val="28"/>
          <w:szCs w:val="28"/>
          <w:rtl/>
        </w:rPr>
        <w:t xml:space="preserve">۳۲۱. اردکان یزد؛ امام صادق شماره نسخه: ۲۰۴</w:t>
      </w:r>
    </w:p>
    <w:p>
      <w:pPr>
        <w:pStyle w:val="BookText"/>
      </w:pPr>
      <w:r>
        <w:rPr>
          <w:rFonts w:ascii="IRNazanin" w:hAnsi="IRNazanin" w:eastAsia="IRNazanin" w:cs="IRNazanin"/>
          <w:lang w:bidi="fa-IR"/>
          <w:color w:val="111111"/>
          <w:sz w:val="28"/>
          <w:szCs w:val="28"/>
          <w:rtl/>
        </w:rPr>
        <w:t xml:space="preserve">خط: نسخ، كا:علی بن غلامرضا احمد آبادی، تا: ۲۳ رجب ۱۲۴۲ق؛ مصحح، محشی؛ یادداشت متفرقه به سال ۱۲۸۲؛ جلد: تیماج مشکی، ۱۱۳گ، ۱۵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۱-۱۹۸]</w:t>
      </w:r>
    </w:p>
    <w:p>
      <w:pPr>
        <w:pStyle w:val="BookText"/>
      </w:pPr>
      <w:r>
        <w:rPr>
          <w:rFonts w:ascii="IRNazanin" w:hAnsi="IRNazanin" w:eastAsia="IRNazanin" w:cs="IRNazanin"/>
          <w:lang w:bidi="fa-IR"/>
          <w:color w:val="111111"/>
          <w:sz w:val="28"/>
          <w:szCs w:val="28"/>
          <w:rtl/>
        </w:rPr>
        <w:t xml:space="preserve">۳۲۲. قزوین؛ امام صادق؛ شماره نسخه: ۲۳۶</w:t>
      </w:r>
    </w:p>
    <w:p>
      <w:pPr>
        <w:pStyle w:val="BookText"/>
      </w:pPr>
      <w:r>
        <w:rPr>
          <w:rFonts w:ascii="IRNazanin" w:hAnsi="IRNazanin" w:eastAsia="IRNazanin" w:cs="IRNazanin"/>
          <w:lang w:bidi="fa-IR"/>
          <w:color w:val="111111"/>
          <w:sz w:val="28"/>
          <w:szCs w:val="28"/>
          <w:rtl/>
        </w:rPr>
        <w:t xml:space="preserve">کامل؛ خط: نسخ، كا: اسدالله بن زین العابدین، تا: ۳ ربیع الاول ۱۲۴۲ق، جان قزوین، مدرسه جدید دار السلطنه؛ فاقد جلد، ۱۲۰گ، ۱۶ سطر [ف: ۱-۴۷]</w:t>
      </w:r>
    </w:p>
    <w:p>
      <w:pPr>
        <w:pStyle w:val="BookText"/>
      </w:pPr>
      <w:r>
        <w:rPr>
          <w:rFonts w:ascii="IRNazanin" w:hAnsi="IRNazanin" w:eastAsia="IRNazanin" w:cs="IRNazanin"/>
          <w:lang w:bidi="fa-IR"/>
          <w:color w:val="111111"/>
          <w:sz w:val="28"/>
          <w:szCs w:val="28"/>
          <w:rtl/>
        </w:rPr>
        <w:t xml:space="preserve">۳۲۳. بابل؛ خاتم الانبیاء؛ شماره نسخه: ۱۶۷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مقیم بن مشهدی زین العابدین، تا: صفر ۱۲۴۲ق؛ جلد: تیماج سوخت،۱۳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۱۱۶]</w:t>
      </w:r>
    </w:p>
    <w:p>
      <w:pPr>
        <w:pStyle w:val="BookText"/>
      </w:pPr>
      <w:r>
        <w:rPr>
          <w:rFonts w:ascii="IRNazanin" w:hAnsi="IRNazanin" w:eastAsia="IRNazanin" w:cs="IRNazanin"/>
          <w:lang w:bidi="fa-IR"/>
          <w:color w:val="111111"/>
          <w:sz w:val="28"/>
          <w:szCs w:val="28"/>
          <w:rtl/>
        </w:rPr>
        <w:t xml:space="preserve">۳۲۴. مشهد؛ رضوی؛ شماره نسخه: ۲۷۳۸۱</w:t>
      </w:r>
    </w:p>
    <w:p>
      <w:pPr>
        <w:pStyle w:val="BookText"/>
      </w:pPr>
      <w:r>
        <w:rPr>
          <w:rFonts w:ascii="IRNazanin" w:hAnsi="IRNazanin" w:eastAsia="IRNazanin" w:cs="IRNazanin"/>
          <w:lang w:bidi="fa-IR"/>
          <w:color w:val="111111"/>
          <w:sz w:val="28"/>
          <w:szCs w:val="28"/>
          <w:rtl/>
        </w:rPr>
        <w:t xml:space="preserve">آغاز: برابر، انجام و رزقنا بفضله وجوده سعاده الدارين بحق محمد خير البريه و اله اجمعین و عترت الطاهرين خط: نسخ، كا: ابوالقاسم بن استاد على تقی خیاط، تا: ۱۲۴۲ق [رایانه ]</w:t>
      </w:r>
    </w:p>
    <w:p>
      <w:pPr>
        <w:pStyle w:val="BookText"/>
      </w:pPr>
      <w:r>
        <w:rPr>
          <w:rFonts w:ascii="IRNazanin" w:hAnsi="IRNazanin" w:eastAsia="IRNazanin" w:cs="IRNazanin"/>
          <w:lang w:bidi="fa-IR"/>
          <w:color w:val="111111"/>
          <w:sz w:val="28"/>
          <w:szCs w:val="28"/>
          <w:rtl/>
        </w:rPr>
        <w:t xml:space="preserve">۳۲۵. تهران: دائرة المعارف؛ شماره نسخه: ۱۷۷۲-عکسی</w:t>
      </w:r>
    </w:p>
    <w:p>
      <w:pPr>
        <w:pStyle w:val="BookText"/>
      </w:pPr>
      <w:r>
        <w:rPr>
          <w:rFonts w:ascii="IRNazanin" w:hAnsi="IRNazanin" w:eastAsia="IRNazanin" w:cs="IRNazanin"/>
          <w:lang w:bidi="fa-IR"/>
          <w:color w:val="111111"/>
          <w:sz w:val="28"/>
          <w:szCs w:val="28"/>
          <w:rtl/>
        </w:rPr>
        <w:t xml:space="preserve">آغاز: برابر؛ انجام: يلوح الخط في القرطاس دهرة. و کاتبه رميم في الترابی. محمد مهدی غفر ذنوبه و ستر عيوبه سنة ۱۲۴۲ في شهر جمادی الثانی (مهر).</w:t>
      </w:r>
    </w:p>
    <w:p>
      <w:pPr>
        <w:pStyle w:val="BookText"/>
      </w:pPr>
      <w:r>
        <w:rPr>
          <w:rFonts w:ascii="IRNazanin" w:hAnsi="IRNazanin" w:eastAsia="IRNazanin" w:cs="IRNazanin"/>
          <w:lang w:bidi="fa-IR"/>
          <w:color w:val="111111"/>
          <w:sz w:val="28"/>
          <w:szCs w:val="28"/>
          <w:rtl/>
        </w:rPr>
        <w:t xml:space="preserve">خط: نسخ ثلث، كا: محمد مهدی، تا: جمادی الثانی ۱۲۴۲ق؛ تملك: محمد صادق ۱۳۹، ۳۳۱ص، ۱۶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[عکسی ف: ۱-۵۴]</w:t>
      </w:r>
    </w:p>
    <w:p>
      <w:pPr>
        <w:pStyle w:val="BookText"/>
      </w:pPr>
      <w:r>
        <w:rPr>
          <w:rFonts w:ascii="IRNazanin" w:hAnsi="IRNazanin" w:eastAsia="IRNazanin" w:cs="IRNazanin"/>
          <w:lang w:bidi="fa-IR"/>
          <w:color w:val="111111"/>
          <w:sz w:val="28"/>
          <w:szCs w:val="28"/>
          <w:rtl/>
        </w:rPr>
        <w:t xml:space="preserve">۳۲۶. چالوس؛ امام صادق؛ شماره نسخه: ۶۲۱</w:t>
      </w:r>
    </w:p>
    <w:p>
      <w:pPr>
        <w:pStyle w:val="BookText"/>
      </w:pPr>
      <w:r>
        <w:rPr>
          <w:rFonts w:ascii="IRNazanin" w:hAnsi="IRNazanin" w:eastAsia="IRNazanin" w:cs="IRNazanin"/>
          <w:lang w:bidi="fa-IR"/>
          <w:color w:val="111111"/>
          <w:sz w:val="28"/>
          <w:szCs w:val="28"/>
          <w:rtl/>
        </w:rPr>
        <w:t xml:space="preserve">بی کا، تا: ۱۲۴۲ق؛ جلد: تيماج [ف: ۴۲]</w:t>
      </w:r>
    </w:p>
    <w:p>
      <w:pPr>
        <w:pStyle w:val="BookText"/>
      </w:pPr>
      <w:r>
        <w:rPr>
          <w:rFonts w:ascii="IRNazanin" w:hAnsi="IRNazanin" w:eastAsia="IRNazanin" w:cs="IRNazanin"/>
          <w:lang w:bidi="fa-IR"/>
          <w:color w:val="111111"/>
          <w:sz w:val="28"/>
          <w:szCs w:val="28"/>
          <w:rtl/>
        </w:rPr>
        <w:t xml:space="preserve">۳۲۷. چالوس؛ امام صادق: شماره نسخه: ۶۱۹</w:t>
      </w:r>
    </w:p>
    <w:p>
      <w:pPr>
        <w:pStyle w:val="BookText"/>
      </w:pPr>
      <w:r>
        <w:rPr>
          <w:rFonts w:ascii="IRNazanin" w:hAnsi="IRNazanin" w:eastAsia="IRNazanin" w:cs="IRNazanin"/>
          <w:lang w:bidi="fa-IR"/>
          <w:color w:val="111111"/>
          <w:sz w:val="28"/>
          <w:szCs w:val="28"/>
          <w:rtl/>
        </w:rPr>
        <w:t xml:space="preserve">كا: عزيز الله بن محمد، تا: ۱۲۴۲ق؛ جلد: تیماج [ف: ۴۲]</w:t>
      </w:r>
    </w:p>
    <w:p>
      <w:pPr>
        <w:pStyle w:val="BookText"/>
      </w:pPr>
      <w:r>
        <w:rPr>
          <w:rFonts w:ascii="IRNazanin" w:hAnsi="IRNazanin" w:eastAsia="IRNazanin" w:cs="IRNazanin"/>
          <w:lang w:bidi="fa-IR"/>
          <w:color w:val="111111"/>
          <w:sz w:val="28"/>
          <w:szCs w:val="28"/>
          <w:rtl/>
        </w:rPr>
        <w:t xml:space="preserve">۳۲۸. چالوس؛ امام صادق؛ شماره نسخه: ۶۱۳</w:t>
      </w:r>
    </w:p>
    <w:p>
      <w:pPr>
        <w:pStyle w:val="BookText"/>
      </w:pPr>
      <w:r>
        <w:rPr>
          <w:rFonts w:ascii="Amiri" w:hAnsi="Amiri" w:eastAsia="Amiri" w:cs="Amiri"/>
          <w:lang w:bidi="ar-SA"/>
          <w:color w:val="111111"/>
          <w:sz w:val="28"/>
          <w:szCs w:val="28"/>
          <w:rtl/>
        </w:rPr>
        <w:t xml:space="preserve">كا: شفيع بن محمد، تا: ۱۲۴۳ق؛ جلد: تيماج [ف: ۴۲]</w:t>
      </w:r>
    </w:p>
    <w:p>
      <w:pPr>
        <w:pStyle w:val="BookText"/>
      </w:pPr>
      <w:r>
        <w:rPr>
          <w:rFonts w:ascii="IRNazanin" w:hAnsi="IRNazanin" w:eastAsia="IRNazanin" w:cs="IRNazanin"/>
          <w:lang w:bidi="fa-IR"/>
          <w:color w:val="111111"/>
          <w:sz w:val="28"/>
          <w:szCs w:val="28"/>
          <w:rtl/>
        </w:rPr>
        <w:t xml:space="preserve">۳۲۹. مشهد؛ نواب؛ شماره نسخه: ۶۲۱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ملاصادق نیشابوری، تا: ۱۲۴۳ق؛ کاغذ: فستقی جلد: تیماج مشکی، ۱۳۲گ، ۱۵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 اندازه: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۵۰۰]</w:t>
      </w:r>
    </w:p>
    <w:p>
      <w:pPr>
        <w:pStyle w:val="BookText"/>
      </w:pPr>
      <w:r>
        <w:rPr>
          <w:rFonts w:ascii="IRNazanin" w:hAnsi="IRNazanin" w:eastAsia="IRNazanin" w:cs="IRNazanin"/>
          <w:lang w:bidi="fa-IR"/>
          <w:color w:val="111111"/>
          <w:sz w:val="28"/>
          <w:szCs w:val="28"/>
          <w:rtl/>
        </w:rPr>
        <w:t xml:space="preserve">۳۳۰. تهران؛ مجلس؛ شماره نسخه: ۱۱۲۷۵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سلیم بن احمد تنکابنی، تا: ۱۲۴۳ق؛ جلد: گالینور قهوه ای، ۴۶ گ، ۱۵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۳۳/۲ -۵۹]</w:t>
      </w:r>
    </w:p>
    <w:p>
      <w:pPr>
        <w:pStyle w:val="BookText"/>
      </w:pPr>
      <w:r>
        <w:rPr>
          <w:rFonts w:ascii="IRNazanin" w:hAnsi="IRNazanin" w:eastAsia="IRNazanin" w:cs="IRNazanin"/>
          <w:lang w:bidi="fa-IR"/>
          <w:color w:val="111111"/>
          <w:sz w:val="28"/>
          <w:szCs w:val="28"/>
          <w:rtl/>
        </w:rPr>
        <w:t xml:space="preserve">۳۳۱. مشهد؛ رضوی؛ شماره نسخه: ۱۰۴۴</w:t>
      </w:r>
    </w:p>
    <w:p>
      <w:pPr>
        <w:pStyle w:val="BookText"/>
      </w:pPr>
      <w:r>
        <w:rPr>
          <w:rFonts w:ascii="IRNazanin" w:hAnsi="IRNazanin" w:eastAsia="IRNazanin" w:cs="IRNazanin"/>
          <w:lang w:bidi="fa-IR"/>
          <w:color w:val="111111"/>
          <w:sz w:val="28"/>
          <w:szCs w:val="28"/>
          <w:rtl/>
        </w:rPr>
        <w:t xml:space="preserve">بی کا، تا: ۱۲۴۳ق، قطع: خشتی اهدائی ف: ۶۷]</w:t>
      </w:r>
    </w:p>
    <w:p>
      <w:pPr>
        <w:pStyle w:val="BookText"/>
      </w:pPr>
      <w:r>
        <w:rPr>
          <w:rFonts w:ascii="IRNazanin" w:hAnsi="IRNazanin" w:eastAsia="IRNazanin" w:cs="IRNazanin"/>
          <w:lang w:bidi="fa-IR"/>
          <w:color w:val="111111"/>
          <w:sz w:val="28"/>
          <w:szCs w:val="28"/>
          <w:rtl/>
        </w:rPr>
        <w:t xml:space="preserve">۳۳۲. مشهد؛ رضوی؛ شماره نسخه: ۲۱۴۵۹</w:t>
      </w:r>
    </w:p>
    <w:p>
      <w:pPr>
        <w:pStyle w:val="BookText"/>
      </w:pPr>
      <w:r>
        <w:rPr>
          <w:rFonts w:ascii="Amiri" w:hAnsi="Amiri" w:eastAsia="Amiri" w:cs="Amiri"/>
          <w:lang w:bidi="ar-SA"/>
          <w:color w:val="111111"/>
          <w:sz w:val="28"/>
          <w:szCs w:val="28"/>
          <w:rtl/>
        </w:rPr>
        <w:t xml:space="preserve">آغاز: برابر؛ انجام: في شهر ذي الحجه الحرام في سنه ۱۲۴۳ في البوات</w:t>
      </w:r>
    </w:p>
    <w:p>
      <w:pPr>
        <w:pStyle w:val="BookText"/>
      </w:pPr>
      <w:r>
        <w:rPr>
          <w:rFonts w:ascii="IRNazanin" w:hAnsi="IRNazanin" w:eastAsia="IRNazanin" w:cs="IRNazanin"/>
          <w:lang w:bidi="fa-IR"/>
          <w:color w:val="111111"/>
          <w:sz w:val="28"/>
          <w:szCs w:val="28"/>
          <w:rtl/>
        </w:rPr>
        <w:t xml:space="preserve">خط: نسخ، بی کا، تا: ذیحجه ۱۲۴۳ق؛ کاغذ: شکری، جلد: تیماج، ۱۷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[رایانه] ۳۳۳. تهران؛ دائرة المعارف؛ شماره نسخه: ۱۰۵۶/۲</w:t>
      </w:r>
    </w:p>
    <w:p>
      <w:pPr>
        <w:pStyle w:val="BookText"/>
      </w:pPr>
      <w:r>
        <w:rPr>
          <w:rFonts w:ascii="IRNazanin" w:hAnsi="IRNazanin" w:eastAsia="IRNazanin" w:cs="IRNazanin"/>
          <w:lang w:bidi="fa-IR"/>
          <w:color w:val="111111"/>
          <w:sz w:val="28"/>
          <w:szCs w:val="28"/>
          <w:rtl/>
        </w:rPr>
        <w:t xml:space="preserve">خط: نستعلیق تحریری، كا: حسن بن محمد محسن، تا: ۲۵ ذیقعده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۱۲۴۳ق؛ با یادداشت صاحب الذریعه که نسخه به خامه عمویش محمد حسن بن حاج محسن تهرانی (د ۱۲۵۰ق) می باشد؛ اهدایی: علینقی منزوی؛ ۱۱۸گ (۵۴پ - ۱۷۱پ) [ف: ۲-۳۰ ]</w:t>
      </w:r>
    </w:p>
    <w:p>
      <w:pPr>
        <w:pStyle w:val="BookText"/>
      </w:pPr>
      <w:r>
        <w:rPr>
          <w:rFonts w:ascii="IRNazanin" w:hAnsi="IRNazanin" w:eastAsia="IRNazanin" w:cs="IRNazanin"/>
          <w:lang w:bidi="fa-IR"/>
          <w:color w:val="111111"/>
          <w:sz w:val="28"/>
          <w:szCs w:val="28"/>
          <w:rtl/>
        </w:rPr>
        <w:t xml:space="preserve">۳۳۴. مشهد: رضوی؛ شماره نسخه: ۱۴۸۵۳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۱۲۴۳ق؛ واقف: سید محمد باقر مولوی عربشاهی سبزواری، محرم ۱۴۰۵؛ کاغذ: شکری آهار مهره، جلد: تیماج مشکی، ۸۶گ، ۱۹سطر،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۲۹/۵ سم [ف: ۱۲-۲۹]</w:t>
      </w:r>
    </w:p>
    <w:p>
      <w:pPr>
        <w:pStyle w:val="BookText"/>
      </w:pPr>
      <w:r>
        <w:rPr>
          <w:rFonts w:ascii="IRNazanin" w:hAnsi="IRNazanin" w:eastAsia="IRNazanin" w:cs="IRNazanin"/>
          <w:lang w:bidi="fa-IR"/>
          <w:color w:val="111111"/>
          <w:sz w:val="28"/>
          <w:szCs w:val="28"/>
          <w:rtl/>
        </w:rPr>
        <w:t xml:space="preserve">۳۳۵. تهران؛ عبدالعظیم؛ شماره نسخه: ۶۷۴/۲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کا:عسکر، تا: شنبه ۳ جمادی الثانی ۱۲۴۳ق؛ مصحح، محشی؛ ۱۲۴گ، ۱۴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۱-۷۸]</w:t>
      </w:r>
    </w:p>
    <w:p>
      <w:pPr>
        <w:pStyle w:val="BookText"/>
      </w:pPr>
      <w:r>
        <w:rPr>
          <w:rFonts w:ascii="IRNazanin" w:hAnsi="IRNazanin" w:eastAsia="IRNazanin" w:cs="IRNazanin"/>
          <w:lang w:bidi="fa-IR"/>
          <w:color w:val="111111"/>
          <w:sz w:val="28"/>
          <w:szCs w:val="28"/>
          <w:rtl/>
        </w:rPr>
        <w:t xml:space="preserve">۳۳۶. مشهد؛ مدرسه خیرات خان، شماره نسخه: بدون شماره</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ملا صادق ولد حسین علی نیشابوری، تا: ۱۲۴۳ق؛ کاغذ: فستقی، جلد: تیماج مشکی، ۱۳۰ گ، ۱۵ سطر (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قطع: خشتی،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[رشت و همدان: ف: ۱۷۲۴]</w:t>
      </w:r>
    </w:p>
    <w:p>
      <w:pPr>
        <w:pStyle w:val="BookText"/>
      </w:pPr>
      <w:r>
        <w:rPr>
          <w:rFonts w:ascii="IRNazanin" w:hAnsi="IRNazanin" w:eastAsia="IRNazanin" w:cs="IRNazanin"/>
          <w:lang w:bidi="fa-IR"/>
          <w:color w:val="111111"/>
          <w:sz w:val="28"/>
          <w:szCs w:val="28"/>
          <w:rtl/>
        </w:rPr>
        <w:t xml:space="preserve">۳۳۷. تهران؛ ملی؛ شماره نسخه: ۱۷۸۹</w:t>
      </w:r>
    </w:p>
    <w:p>
      <w:pPr>
        <w:pStyle w:val="BookText"/>
      </w:pPr>
      <w:r>
        <w:rPr>
          <w:rFonts w:ascii="Amiri" w:hAnsi="Amiri" w:eastAsia="Amiri" w:cs="Amiri"/>
          <w:lang w:bidi="ar-SA"/>
          <w:color w:val="111111"/>
          <w:sz w:val="28"/>
          <w:szCs w:val="28"/>
          <w:rtl/>
        </w:rPr>
        <w:t xml:space="preserve">آغاز: برابر؛ انجام: في ابان الشباب و تميز عند صدور الوالألباب (كذا في النسخه).</w:t>
      </w:r>
    </w:p>
    <w:p>
      <w:pPr>
        <w:pStyle w:val="BookText"/>
      </w:pPr>
      <w:r>
        <w:rPr>
          <w:rFonts w:ascii="IRNazanin" w:hAnsi="IRNazanin" w:eastAsia="IRNazanin" w:cs="IRNazanin"/>
          <w:lang w:bidi="fa-IR"/>
          <w:color w:val="111111"/>
          <w:sz w:val="28"/>
          <w:szCs w:val="28"/>
          <w:rtl/>
        </w:rPr>
        <w:t xml:space="preserve">خط: نسخ، بی کا، تا: ۱۲۴۳ق، جان مسجد امام حسن عسکری؛ کاغذ: فرنگی، جلد: مقوایی میشن تریاکی با ترنج و نیم ترنج، ۱۷۲گ، ۱۴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۱۰-۳۷۲]</w:t>
      </w:r>
    </w:p>
    <w:p>
      <w:pPr>
        <w:pStyle w:val="BookText"/>
      </w:pPr>
      <w:r>
        <w:rPr>
          <w:rFonts w:ascii="IRNazanin" w:hAnsi="IRNazanin" w:eastAsia="IRNazanin" w:cs="IRNazanin"/>
          <w:lang w:bidi="fa-IR"/>
          <w:color w:val="111111"/>
          <w:sz w:val="28"/>
          <w:szCs w:val="28"/>
          <w:rtl/>
        </w:rPr>
        <w:t xml:space="preserve">۳۳۸. قم؛ گلپایگانی؛ شماره نسخه: ۵۶۰۳- ۲۸/۲۳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كان محمدعلی سیچانی ابن محمد شفیع آقاجانی، تان غره رجب ۱۲۴۳ق؛ جلد: تیماج عطف تیماج مشکی ترنج و سرترنج و لچکی سوخت مجدول گرهی، ۸۵گ، ۲۱ سطر،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۲-۶۳۸]</w:t>
      </w:r>
    </w:p>
    <w:p>
      <w:pPr>
        <w:pStyle w:val="BookText"/>
      </w:pPr>
      <w:r>
        <w:rPr>
          <w:rFonts w:ascii="IRNazanin" w:hAnsi="IRNazanin" w:eastAsia="IRNazanin" w:cs="IRNazanin"/>
          <w:lang w:bidi="fa-IR"/>
          <w:color w:val="111111"/>
          <w:sz w:val="28"/>
          <w:szCs w:val="28"/>
          <w:rtl/>
        </w:rPr>
        <w:t xml:space="preserve">۳۳۹. قم؛ گلپایگانی؛ شماره نسخه: ۴۹۷۳/۲ - ۲۵/۶۳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حسن بن کربلائی هاشم بروجنی، تا: دوشنبه ۱۱ ذیقعده ۱۲۴۳ق؛ جلد: مقوای لائی، ۱۱۳گ، ۱۹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۲-۶۳۸]</w:t>
      </w:r>
    </w:p>
    <w:p>
      <w:pPr>
        <w:pStyle w:val="BookText"/>
      </w:pPr>
      <w:r>
        <w:rPr>
          <w:rFonts w:ascii="IRNazanin" w:hAnsi="IRNazanin" w:eastAsia="IRNazanin" w:cs="IRNazanin"/>
          <w:lang w:bidi="fa-IR"/>
          <w:color w:val="111111"/>
          <w:sz w:val="28"/>
          <w:szCs w:val="28"/>
          <w:rtl/>
        </w:rPr>
        <w:t xml:space="preserve">۳۴۰. تهران؛ عبدالعظیم؛ شماره نسخه: ۷۰۹/۱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سید حسن برزون آبادی، تا: ۱۲۴۴ق؛ افتادگی: آغاز؛ مصحح، محشی؛ ۹۱گی (۷پ-۱۹۷)، ۱۴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۱-۷۸]</w:t>
      </w:r>
    </w:p>
    <w:p>
      <w:pPr>
        <w:pStyle w:val="BookText"/>
      </w:pPr>
      <w:r>
        <w:rPr>
          <w:rFonts w:ascii="IRNazanin" w:hAnsi="IRNazanin" w:eastAsia="IRNazanin" w:cs="IRNazanin"/>
          <w:lang w:bidi="fa-IR"/>
          <w:color w:val="111111"/>
          <w:sz w:val="28"/>
          <w:szCs w:val="28"/>
          <w:rtl/>
        </w:rPr>
        <w:t xml:space="preserve">۳۴۱. یزد؛ وزیری؛ شماره نسخه: ۱۲۱۰</w:t>
      </w:r>
    </w:p>
    <w:p>
      <w:pPr>
        <w:pStyle w:val="BookText"/>
      </w:pPr>
      <w:r>
        <w:rPr>
          <w:rFonts w:ascii="IRNazanin" w:hAnsi="IRNazanin" w:eastAsia="IRNazanin" w:cs="IRNazanin"/>
          <w:lang w:bidi="fa-IR"/>
          <w:color w:val="111111"/>
          <w:sz w:val="28"/>
          <w:szCs w:val="28"/>
          <w:rtl/>
        </w:rPr>
        <w:t xml:space="preserve">کامل؛ خط: نسخ، كان محمد على بندر آبادی، تا: ۲۲ جمادی الاول ۱۲۴۴ق؛ محشی؛ اهدایی: وزیری؛ کاغذ: اصفهانی، جلد: مقوایی با تیماج مشکی، ۱۲۳، ۱۵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۳-۸۹۶ ]</w:t>
      </w:r>
    </w:p>
    <w:p>
      <w:pPr>
        <w:pStyle w:val="BookText"/>
      </w:pPr>
      <w:r>
        <w:rPr>
          <w:rFonts w:ascii="IRNazanin" w:hAnsi="IRNazanin" w:eastAsia="IRNazanin" w:cs="IRNazanin"/>
          <w:lang w:bidi="fa-IR"/>
          <w:color w:val="111111"/>
          <w:sz w:val="28"/>
          <w:szCs w:val="28"/>
          <w:rtl/>
        </w:rPr>
        <w:t xml:space="preserve">۳۴۲. کرمانشاه؛ جلیلی؛ شماره نسخه: ۱۰۰</w:t>
      </w:r>
    </w:p>
    <w:p>
      <w:pPr>
        <w:pStyle w:val="BookText"/>
      </w:pPr>
      <w:r>
        <w:rPr>
          <w:rFonts w:ascii="IRNazanin" w:hAnsi="IRNazanin" w:eastAsia="IRNazanin" w:cs="IRNazanin"/>
          <w:lang w:bidi="fa-IR"/>
          <w:color w:val="111111"/>
          <w:sz w:val="28"/>
          <w:szCs w:val="28"/>
          <w:rtl/>
        </w:rPr>
        <w:t xml:space="preserve">آغاز و انجام: برابر خط: نسخ، كا: فتحعلی بن علی عسکر، تا: ۱۲۴۴ق؛ تملك: محمد حسين جلیلی در ۱۳۲۹؛ کاغذ: شکری آهار مهره فرنگی، جلد: تیماج عنابی ضربی، ۱۳۰ گ، ۱۵سطر،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۴۶]</w:t>
      </w:r>
    </w:p>
    <w:p>
      <w:pPr>
        <w:pStyle w:val="BookText"/>
      </w:pPr>
      <w:r>
        <w:rPr>
          <w:rFonts w:ascii="IRNazanin" w:hAnsi="IRNazanin" w:eastAsia="IRNazanin" w:cs="IRNazanin"/>
          <w:lang w:bidi="fa-IR"/>
          <w:color w:val="111111"/>
          <w:sz w:val="28"/>
          <w:szCs w:val="28"/>
          <w:rtl/>
        </w:rPr>
        <w:t xml:space="preserve">۳۴۳. تهران؛ سپهسالار؛ شماره نسخه: ۳۱۹۵</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كا: علی بن حسین کزازی، تا: ۱۲۴۴ق؛ محشی از ابن عقيل و ابن ناظم و خالد ازهری و جامی و بدون امضاء؛ واقف: سپهسالار؛ کاغذ: فرنگی، جلد: میشن، 99ص، ۱۷ سطر، قطع: خشتی، اندازه: ۱۵/۵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۲-۳۳۹]</w:t>
      </w:r>
    </w:p>
    <w:p>
      <w:pPr>
        <w:pStyle w:val="BookText"/>
      </w:pPr>
      <w:r>
        <w:rPr>
          <w:rFonts w:ascii="IRNazanin" w:hAnsi="IRNazanin" w:eastAsia="IRNazanin" w:cs="IRNazanin"/>
          <w:lang w:bidi="fa-IR"/>
          <w:color w:val="111111"/>
          <w:sz w:val="28"/>
          <w:szCs w:val="28"/>
          <w:rtl/>
        </w:rPr>
        <w:t xml:space="preserve">۳۴۴. خوانسار؛ مدرسه علوی، شماره نسخه: بدون شماره</w:t>
      </w:r>
    </w:p>
    <w:p>
      <w:pPr>
        <w:pStyle w:val="BookText"/>
      </w:pPr>
      <w:r>
        <w:rPr>
          <w:rFonts w:ascii="IRNazanin" w:hAnsi="IRNazanin" w:eastAsia="IRNazanin" w:cs="IRNazanin"/>
          <w:lang w:bidi="fa-IR"/>
          <w:color w:val="111111"/>
          <w:sz w:val="28"/>
          <w:szCs w:val="28"/>
          <w:rtl/>
        </w:rPr>
        <w:t xml:space="preserve">خط: نسخ درشت، كا: ابن محمد تقی، علی اکبر، تا: ۱۲۴۴ق؛ ۱۱۷گ، ۱۳ و ۱۸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[آینه پژوهش: سال ۴ش ۲۲-۹۹]</w:t>
      </w:r>
    </w:p>
    <w:p>
      <w:pPr>
        <w:pStyle w:val="BookText"/>
      </w:pPr>
      <w:r>
        <w:rPr>
          <w:rFonts w:ascii="IRNazanin" w:hAnsi="IRNazanin" w:eastAsia="IRNazanin" w:cs="IRNazanin"/>
          <w:lang w:bidi="fa-IR"/>
          <w:color w:val="111111"/>
          <w:sz w:val="28"/>
          <w:szCs w:val="28"/>
          <w:rtl/>
        </w:rPr>
        <w:t xml:space="preserve">۳۴۵. خوی؛ نمازی: شماره نسخه: ۸۷۷</w:t>
      </w:r>
    </w:p>
    <w:p>
      <w:pPr>
        <w:pStyle w:val="BookText"/>
      </w:pPr>
      <w:r>
        <w:rPr>
          <w:rFonts w:ascii="IRNazanin" w:hAnsi="IRNazanin" w:eastAsia="IRNazanin" w:cs="IRNazanin"/>
          <w:lang w:bidi="fa-IR"/>
          <w:color w:val="111111"/>
          <w:sz w:val="28"/>
          <w:szCs w:val="28"/>
          <w:rtl/>
        </w:rPr>
        <w:t xml:space="preserve">خط: نسخ، بی کا، تا: شوال ۱۲۴۵ق؛ جلد: تیماج مشکی، ۱۵۸گ، ۱۱ سطر، اندازه: ۱۸/۵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۲۸/۵ سم [میراث اسلامی: دفتر دهم -۷۶۲]</w:t>
      </w:r>
    </w:p>
    <w:p>
      <w:pPr>
        <w:pStyle w:val="BookText"/>
      </w:pPr>
      <w:r>
        <w:rPr>
          <w:rFonts w:ascii="IRNazanin" w:hAnsi="IRNazanin" w:eastAsia="IRNazanin" w:cs="IRNazanin"/>
          <w:lang w:bidi="fa-IR"/>
          <w:color w:val="111111"/>
          <w:sz w:val="28"/>
          <w:szCs w:val="28"/>
          <w:rtl/>
        </w:rPr>
        <w:t xml:space="preserve">۳۴۶. زهان؛ مدرسه جعفریه زهان؛ شماره نسخه: ۵۷</w:t>
      </w:r>
    </w:p>
    <w:p>
      <w:pPr>
        <w:pStyle w:val="BookText"/>
      </w:pPr>
      <w:r>
        <w:rPr>
          <w:rFonts w:ascii="IRNazanin" w:hAnsi="IRNazanin" w:eastAsia="IRNazanin" w:cs="IRNazanin"/>
          <w:lang w:bidi="fa-IR"/>
          <w:color w:val="111111"/>
          <w:sz w:val="28"/>
          <w:szCs w:val="28"/>
          <w:rtl/>
        </w:rPr>
        <w:t xml:space="preserve">خط: نسخ، كا: احمد بن حاجی اسماعیل خراسانی قائنی، تا: شوال ۱۲۴۵ق، جا؛ تهران، مدرسه مادرشاه؛ وقفنامه کتاب از کاتب به سال ۱۲۴۸؛ جلد: تیماج قهوه ای ضربی، ۱۳۱ ، ۱۶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۴۷]</w:t>
      </w:r>
    </w:p>
    <w:p>
      <w:pPr>
        <w:pStyle w:val="BookText"/>
      </w:pPr>
      <w:r>
        <w:rPr>
          <w:rFonts w:ascii="IRNazanin" w:hAnsi="IRNazanin" w:eastAsia="IRNazanin" w:cs="IRNazanin"/>
          <w:lang w:bidi="fa-IR"/>
          <w:color w:val="111111"/>
          <w:sz w:val="28"/>
          <w:szCs w:val="28"/>
          <w:rtl/>
        </w:rPr>
        <w:t xml:space="preserve">۳۴۷. قم، مؤسسه آية الله بروجردی؛ شماره نسخه: ۳۷۰</w:t>
      </w:r>
    </w:p>
    <w:p>
      <w:pPr>
        <w:pStyle w:val="BookText"/>
      </w:pPr>
      <w:r>
        <w:rPr>
          <w:rFonts w:ascii="IRNazanin" w:hAnsi="IRNazanin" w:eastAsia="IRNazanin" w:cs="IRNazanin"/>
          <w:lang w:bidi="fa-IR"/>
          <w:color w:val="111111"/>
          <w:sz w:val="28"/>
          <w:szCs w:val="28"/>
          <w:rtl/>
        </w:rPr>
        <w:t xml:space="preserve">خط: نسخ، كا: محمد بن شهباز بروجردی، تا: ۱۱ ذیقعده ۱۲۴۵ق؛ مصحح، یادداشتی نحوی و خط محمد باقر بن ابو طالب همدانی به تاریخ ۱۲۵۶؛ جلد: تیماج قهوه ای، ۱۱۹گ، ۱۹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۱-۲۲۲]</w:t>
      </w:r>
    </w:p>
    <w:p>
      <w:pPr>
        <w:pStyle w:val="BookText"/>
      </w:pPr>
      <w:r>
        <w:rPr>
          <w:rFonts w:ascii="IRNazanin" w:hAnsi="IRNazanin" w:eastAsia="IRNazanin" w:cs="IRNazanin"/>
          <w:lang w:bidi="fa-IR"/>
          <w:color w:val="111111"/>
          <w:sz w:val="28"/>
          <w:szCs w:val="28"/>
          <w:rtl/>
        </w:rPr>
        <w:t xml:space="preserve">۳۴۸. مشهد؛ رضوی؛ شماره نسخه: ۱۲۷۱۱/۴</w:t>
      </w:r>
    </w:p>
    <w:p>
      <w:pPr>
        <w:pStyle w:val="BookText"/>
      </w:pPr>
      <w:r>
        <w:rPr>
          <w:rFonts w:ascii="IRNazanin" w:hAnsi="IRNazanin" w:eastAsia="IRNazanin" w:cs="IRNazanin"/>
          <w:lang w:bidi="fa-IR"/>
          <w:color w:val="111111"/>
          <w:sz w:val="28"/>
          <w:szCs w:val="28"/>
          <w:rtl/>
        </w:rPr>
        <w:t xml:space="preserve">کامل؛ خط: نسخ، بی کا، تا: شوال ۱۲۴۵ق؛ کاغذ: شکری آهاری، جلد: مقوا، ۲۱ سطر،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w:t>
      </w:r>
    </w:p>
    <w:p>
      <w:pPr>
        <w:pStyle w:val="BookText"/>
      </w:pPr>
      <w:r>
        <w:rPr>
          <w:rFonts w:ascii="IRNazanin" w:hAnsi="IRNazanin" w:eastAsia="IRNazanin" w:cs="IRNazanin"/>
          <w:lang w:bidi="fa-IR"/>
          <w:color w:val="111111"/>
          <w:sz w:val="28"/>
          <w:szCs w:val="28"/>
          <w:rtl/>
        </w:rPr>
        <w:t xml:space="preserve">سم [ف: ۱۲-۳۵۰]</w:t>
      </w:r>
    </w:p>
    <w:p>
      <w:pPr>
        <w:pStyle w:val="BookText"/>
      </w:pPr>
      <w:r>
        <w:rPr>
          <w:rFonts w:ascii="IRNazanin" w:hAnsi="IRNazanin" w:eastAsia="IRNazanin" w:cs="IRNazanin"/>
          <w:lang w:bidi="fa-IR"/>
          <w:color w:val="111111"/>
          <w:sz w:val="28"/>
          <w:szCs w:val="28"/>
          <w:rtl/>
        </w:rPr>
        <w:t xml:space="preserve">۳۴۹. مشهد؛ مدرسه سلیمانیه؛ شماره نسخه: ۶۷</w:t>
      </w:r>
    </w:p>
    <w:p>
      <w:pPr>
        <w:pStyle w:val="BookText"/>
      </w:pPr>
      <w:r>
        <w:rPr>
          <w:rFonts w:ascii="IRNazanin" w:hAnsi="IRNazanin" w:eastAsia="IRNazanin" w:cs="IRNazanin"/>
          <w:lang w:bidi="fa-IR"/>
          <w:color w:val="111111"/>
          <w:sz w:val="28"/>
          <w:szCs w:val="28"/>
          <w:rtl/>
        </w:rPr>
        <w:t xml:space="preserve">خط: نسخ، بی کا، تا: ۱۲۴۵ق؛ قطع: خشتی [چهار کتابخانه مشهد - ف: ۶]</w:t>
      </w:r>
    </w:p>
    <w:p>
      <w:pPr>
        <w:pStyle w:val="BookText"/>
      </w:pPr>
      <w:r>
        <w:rPr>
          <w:rFonts w:ascii="IRNazanin" w:hAnsi="IRNazanin" w:eastAsia="IRNazanin" w:cs="IRNazanin"/>
          <w:lang w:bidi="fa-IR"/>
          <w:color w:val="111111"/>
          <w:sz w:val="28"/>
          <w:szCs w:val="28"/>
          <w:rtl/>
        </w:rPr>
        <w:t xml:space="preserve">۳۵۰. شیراز؛ شاهچراغ؛ شماره نسخه: ۲۴۶۹</w:t>
      </w:r>
    </w:p>
    <w:p>
      <w:pPr>
        <w:pStyle w:val="BookText"/>
      </w:pPr>
      <w:r>
        <w:rPr>
          <w:rFonts w:ascii="IRNazanin" w:hAnsi="IRNazanin" w:eastAsia="IRNazanin" w:cs="IRNazanin"/>
          <w:lang w:bidi="fa-IR"/>
          <w:color w:val="111111"/>
          <w:sz w:val="28"/>
          <w:szCs w:val="28"/>
          <w:rtl/>
        </w:rPr>
        <w:t xml:space="preserve">خط: نسخ، كا: محمد هادی، تا: ۷ محرم ۱۲۴۶ق؛ افتادگی: آغاز؛ محشی؛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۳-۱۴]</w:t>
      </w:r>
    </w:p>
    <w:p>
      <w:pPr>
        <w:pStyle w:val="BookText"/>
      </w:pPr>
      <w:r>
        <w:rPr>
          <w:rFonts w:ascii="IRNazanin" w:hAnsi="IRNazanin" w:eastAsia="IRNazanin" w:cs="IRNazanin"/>
          <w:lang w:bidi="fa-IR"/>
          <w:color w:val="111111"/>
          <w:sz w:val="28"/>
          <w:szCs w:val="28"/>
          <w:rtl/>
        </w:rPr>
        <w:t xml:space="preserve">۳۵۱. چالوس؛ امام صادق؛ شماره نسخه: ۲۹۵/۲</w:t>
      </w:r>
    </w:p>
    <w:p>
      <w:pPr>
        <w:pStyle w:val="BookText"/>
      </w:pPr>
      <w:r>
        <w:rPr>
          <w:rFonts w:ascii="IRNazanin" w:hAnsi="IRNazanin" w:eastAsia="IRNazanin" w:cs="IRNazanin"/>
          <w:lang w:bidi="fa-IR"/>
          <w:color w:val="111111"/>
          <w:sz w:val="28"/>
          <w:szCs w:val="28"/>
          <w:rtl/>
        </w:rPr>
        <w:t xml:space="preserve">خط: نسخ و نستعلیق، کا: محمدرضا کجوری، تا: ۱۲۴۷ق؛ جلد: تیماج سیاه،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۲۰۶]</w:t>
      </w:r>
    </w:p>
    <w:p>
      <w:pPr>
        <w:pStyle w:val="BookText"/>
      </w:pPr>
      <w:r>
        <w:rPr>
          <w:rFonts w:ascii="IRNazanin" w:hAnsi="IRNazanin" w:eastAsia="IRNazanin" w:cs="IRNazanin"/>
          <w:lang w:bidi="fa-IR"/>
          <w:color w:val="111111"/>
          <w:sz w:val="28"/>
          <w:szCs w:val="28"/>
          <w:rtl/>
        </w:rPr>
        <w:t xml:space="preserve">۳۵۲. قم؛ امام صادق؛ شماره نسخه: ۸۰</w:t>
      </w:r>
    </w:p>
    <w:p>
      <w:pPr>
        <w:pStyle w:val="BookText"/>
      </w:pPr>
      <w:r>
        <w:rPr>
          <w:rFonts w:ascii="IRNazanin" w:hAnsi="IRNazanin" w:eastAsia="IRNazanin" w:cs="IRNazanin"/>
          <w:lang w:bidi="fa-IR"/>
          <w:color w:val="111111"/>
          <w:sz w:val="28"/>
          <w:szCs w:val="28"/>
          <w:rtl/>
        </w:rPr>
        <w:t xml:space="preserve">خط: نسخ و نستعلیق، بی کا، تا: ۱۰ ربیع الثانی ۱۲۴۷ق؛ محشی؛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جلد: تیماج قهوه ای، ۱۹۹گ، مختلف السطر،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۶۸]</w:t>
      </w:r>
    </w:p>
    <w:p>
      <w:pPr>
        <w:pStyle w:val="BookText"/>
      </w:pPr>
      <w:r>
        <w:rPr>
          <w:rFonts w:ascii="IRNazanin" w:hAnsi="IRNazanin" w:eastAsia="IRNazanin" w:cs="IRNazanin"/>
          <w:lang w:bidi="fa-IR"/>
          <w:color w:val="111111"/>
          <w:sz w:val="28"/>
          <w:szCs w:val="28"/>
          <w:rtl/>
        </w:rPr>
        <w:t xml:space="preserve">۳۵۳. مشهد؛ رضوی؛ شماره نسخه: ۲۵۴۹۰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خفی، کا: محمد بن محمد رضائی روغنی، تا: ۱۲۴۷ق؛ کاغذ: نخودی، جلد: تیماج، ۱۴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قطع: وزیری کوچک،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[رایانه ]</w:t>
      </w:r>
    </w:p>
    <w:p>
      <w:pPr>
        <w:pStyle w:val="BookText"/>
      </w:pPr>
      <w:r>
        <w:rPr>
          <w:rFonts w:ascii="IRNazanin" w:hAnsi="IRNazanin" w:eastAsia="IRNazanin" w:cs="IRNazanin"/>
          <w:lang w:bidi="fa-IR"/>
          <w:color w:val="111111"/>
          <w:sz w:val="28"/>
          <w:szCs w:val="28"/>
          <w:rtl/>
        </w:rPr>
        <w:t xml:space="preserve">۳۵۴. مشهد؛ رضوی؛ شماره نسخه: ۲۹۴۴۲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جلی خوش، بی کا، تا: ۱۲۴۷ق؛ اهدایی: حاج شیخ محمد باقر سروقد رضوی؛ کاغذ: آبی، جلد: تیماج مزین به جداول خط کشی، ۱۳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۱۰/۴ )، قطع: وزیری کوچک، اندازه: ۱۴/۶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[رایانه]</w:t>
      </w:r>
    </w:p>
    <w:p>
      <w:pPr>
        <w:pStyle w:val="BookText"/>
      </w:pPr>
      <w:r>
        <w:rPr>
          <w:rFonts w:ascii="IRNazanin" w:hAnsi="IRNazanin" w:eastAsia="IRNazanin" w:cs="IRNazanin"/>
          <w:lang w:bidi="fa-IR"/>
          <w:color w:val="111111"/>
          <w:sz w:val="28"/>
          <w:szCs w:val="28"/>
          <w:rtl/>
        </w:rPr>
        <w:t xml:space="preserve">۳۵۵. تهران؛ ملی؛ شماره نسخه: ۳۶۲۸</w:t>
      </w:r>
    </w:p>
    <w:p>
      <w:pPr>
        <w:pStyle w:val="BookText"/>
      </w:pPr>
      <w:r>
        <w:rPr>
          <w:rFonts w:ascii="IRNazanin" w:hAnsi="IRNazanin" w:eastAsia="IRNazanin" w:cs="IRNazanin"/>
          <w:lang w:bidi="fa-IR"/>
          <w:color w:val="111111"/>
          <w:sz w:val="28"/>
          <w:szCs w:val="28"/>
          <w:rtl/>
        </w:rPr>
        <w:t xml:space="preserve">خط: نستعلیق، بی کا، تا: ۱۲۴۷ق؛ مصحح، محشی؛ مهر: «یا علی» (خشتی)، دبیرستان ملی محمدیه قم؛ کاغذ: فرنگی شکری، جلد: تیماج تریاکی ضربی جداول حاشیه ای با بوته های ریسه ای یک لا، ۱۲۰گ، ۱۵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۱۶-۲۱۶]</w:t>
      </w:r>
    </w:p>
    <w:p>
      <w:pPr>
        <w:pStyle w:val="BookText"/>
      </w:pPr>
      <w:r>
        <w:rPr>
          <w:rFonts w:ascii="IRNazanin" w:hAnsi="IRNazanin" w:eastAsia="IRNazanin" w:cs="IRNazanin"/>
          <w:lang w:bidi="fa-IR"/>
          <w:color w:val="111111"/>
          <w:sz w:val="28"/>
          <w:szCs w:val="28"/>
          <w:rtl/>
        </w:rPr>
        <w:t xml:space="preserve">۳۵۶. قائن، مدرسه جعفریه؛ شماره نسخه: ۷۳</w:t>
      </w:r>
    </w:p>
    <w:p>
      <w:pPr>
        <w:pStyle w:val="BookText"/>
      </w:pPr>
      <w:r>
        <w:rPr>
          <w:rFonts w:ascii="IRNazanin" w:hAnsi="IRNazanin" w:eastAsia="IRNazanin" w:cs="IRNazanin"/>
          <w:lang w:bidi="fa-IR"/>
          <w:color w:val="111111"/>
          <w:sz w:val="28"/>
          <w:szCs w:val="28"/>
          <w:rtl/>
        </w:rPr>
        <w:t xml:space="preserve">آغاز و انجام: برابر خط: نسخ، كا: محمد بن میرزا حسن، تا: ۱۲۴۷ق؛ مصحح، محشى؛ تملک: «محمد باقر بن ملا عبدالنبي روضه خوان» در سال ۱۲۵۰، «محمدرضا بن میرزا ابوالقاسم طباطبائی» با مهر «محمد رضا الطباطبائی» (بیضی)؛ واقف: محمد ابراهیم بن حاجی ملا محمد حسن واقعی، ۵ رجب ۱۳۶۱، بر طلاب مدرسه؛ جلد: مقوایی، عطف تیماج قرمز، ۱۲۲گ، ۱۵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[کتابخانه های قائن: ف: ]</w:t>
      </w:r>
    </w:p>
    <w:p>
      <w:pPr>
        <w:pStyle w:val="BookText"/>
      </w:pPr>
      <w:r>
        <w:rPr>
          <w:rFonts w:ascii="IRNazanin" w:hAnsi="IRNazanin" w:eastAsia="IRNazanin" w:cs="IRNazanin"/>
          <w:lang w:bidi="fa-IR"/>
          <w:color w:val="111111"/>
          <w:sz w:val="28"/>
          <w:szCs w:val="28"/>
          <w:rtl/>
        </w:rPr>
        <w:t xml:space="preserve">۳۵۷. قم: مرکز مطالعات؛ شماره نسخه: ۱۹۵</w:t>
      </w:r>
    </w:p>
    <w:p>
      <w:pPr>
        <w:pStyle w:val="BookText"/>
      </w:pPr>
      <w:r>
        <w:rPr>
          <w:rFonts w:ascii="IRNazanin" w:hAnsi="IRNazanin" w:eastAsia="IRNazanin" w:cs="IRNazanin"/>
          <w:lang w:bidi="fa-IR"/>
          <w:color w:val="111111"/>
          <w:sz w:val="28"/>
          <w:szCs w:val="28"/>
          <w:rtl/>
        </w:rPr>
        <w:t xml:space="preserve">خط: نسخ و نستعلیق، بی کا، بی تا، در صفحه اول سؤال و جوابی به نظم از رضاعی تونی در باره شعر خواجه حافظ که می گوید: «کشتی شکستگانیم ای باد شرطه برخیز» و چند بیت شعر عربی و فارسی دیگر، نوشته ای از على الدامغانی به تاریخ ۱۲۴۷؛ مهر: «و رفعناه مكانا عليا» (مربع)؛ جلد: تیماج، قهوه ای، سوخت، ترنج با سر، با نقش گل و بوته، مجدول گرهی، ۱۶۷گ، ۱۴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۱-۱۶۵]</w:t>
      </w:r>
    </w:p>
    <w:p>
      <w:pPr>
        <w:pStyle w:val="BookText"/>
      </w:pPr>
      <w:r>
        <w:rPr>
          <w:rFonts w:ascii="IRNazanin" w:hAnsi="IRNazanin" w:eastAsia="IRNazanin" w:cs="IRNazanin"/>
          <w:lang w:bidi="fa-IR"/>
          <w:color w:val="111111"/>
          <w:sz w:val="28"/>
          <w:szCs w:val="28"/>
          <w:rtl/>
        </w:rPr>
        <w:t xml:space="preserve">۳۵۸. قم؛ مسجد اعظم؛ شماره نسخه: ۹۱۰/۳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حسین بن علی عسکر، تا: یک شنبه جمادی الثانی ۱۲۴۸ق؛ مجدول؛ مهر: «محمد حسین بن علی عسکر» (مربع)؛ جلد: تیماج قهوه ای، مجدول گره ای، ۱۶۱گ،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آف مخ: ۱-۲۸۳]</w:t>
      </w:r>
    </w:p>
    <w:p>
      <w:pPr>
        <w:pStyle w:val="BookText"/>
      </w:pPr>
      <w:r>
        <w:rPr>
          <w:rFonts w:ascii="IRNazanin" w:hAnsi="IRNazanin" w:eastAsia="IRNazanin" w:cs="IRNazanin"/>
          <w:lang w:bidi="fa-IR"/>
          <w:color w:val="111111"/>
          <w:sz w:val="28"/>
          <w:szCs w:val="28"/>
          <w:rtl/>
        </w:rPr>
        <w:t xml:space="preserve">۳۵۹. بشرویه؛ امیرالمؤمنین؛ شماره نسخه: ۶۱</w:t>
      </w:r>
    </w:p>
    <w:p>
      <w:pPr>
        <w:pStyle w:val="BookText"/>
      </w:pPr>
      <w:r>
        <w:rPr>
          <w:rFonts w:ascii="Amiri" w:hAnsi="Amiri" w:eastAsia="Amiri" w:cs="Amiri"/>
          <w:lang w:bidi="ar-SA"/>
          <w:color w:val="111111"/>
          <w:sz w:val="28"/>
          <w:szCs w:val="28"/>
          <w:rtl/>
        </w:rPr>
        <w:t xml:space="preserve">آغاز: من الاعراب المحلي هو الكلمة بتمامها كانا و انت ... البيان لرب لكونه اوضح من المتبوع او بدل ... تقدم عليهم اعرب بحسب العوامل؛ انجام: و هذا آخر ما ارادنا في هذا المختصر و الحمدالله وكفى و صورة مؤلفة فتح الله ... وافق الفراغ منه</w:t>
      </w:r>
    </w:p>
    <w:p>
      <w:pPr>
        <w:pStyle w:val="BookText"/>
      </w:pPr>
      <w:r>
        <w:rPr>
          <w:rFonts w:ascii="IRNazanin" w:hAnsi="IRNazanin" w:eastAsia="IRNazanin" w:cs="IRNazanin"/>
          <w:lang w:bidi="fa-IR"/>
          <w:color w:val="111111"/>
          <w:sz w:val="28"/>
          <w:szCs w:val="28"/>
          <w:rtl/>
        </w:rPr>
        <w:t xml:space="preserve">خط: نسخ، كا: على بن ملا عبدالله نیگنانی، تا: ۶ رمضان ۱۲۴۸ق؛ افتادگی: آغاز؛ واقف: کربلایی سید حسن خوشخوان بر مدرسه بشرویه، در ۱۲ جمادی الاول ۱۳۹۰ ق جلد: تیماج حنایی، ۱۴۵گ، ۲۲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مخ]</w:t>
      </w:r>
    </w:p>
    <w:p>
      <w:pPr>
        <w:pStyle w:val="BookText"/>
      </w:pPr>
      <w:r>
        <w:rPr>
          <w:rFonts w:ascii="IRNazanin" w:hAnsi="IRNazanin" w:eastAsia="IRNazanin" w:cs="IRNazanin"/>
          <w:lang w:bidi="fa-IR"/>
          <w:color w:val="111111"/>
          <w:sz w:val="28"/>
          <w:szCs w:val="28"/>
          <w:rtl/>
        </w:rPr>
        <w:t xml:space="preserve">۳۶۰. تهران: ملی؛ شماره نسخه: ۴۲۶۱</w:t>
      </w:r>
    </w:p>
    <w:p>
      <w:pPr>
        <w:pStyle w:val="BookText"/>
      </w:pPr>
      <w:r>
        <w:rPr>
          <w:rFonts w:ascii="IRNazanin" w:hAnsi="IRNazanin" w:eastAsia="IRNazanin" w:cs="IRNazanin"/>
          <w:lang w:bidi="fa-IR"/>
          <w:color w:val="111111"/>
          <w:sz w:val="28"/>
          <w:szCs w:val="28"/>
          <w:rtl/>
        </w:rPr>
        <w:t xml:space="preserve">آغاز و انجام: برابر خط: نسخ خوش، كا: محمد حسن تبریزی، تا: ۱۲۴۸ق، جا شیراز، مدرسه منصوریه؛ مصحح، محشی با امضای سید محمد باقر، سید علیخان، ابن ناظم و ... کاغذ: فرنگی نخودی، جلد: تیماج قهوه ای مقوایی دارای ترنج و دو سر ترنج با نقش گل و بوته و جدول و منگنه ضربی، ۲۱۹گ، ۱۵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۱۸-۲۲۱]</w:t>
      </w:r>
    </w:p>
    <w:p>
      <w:pPr>
        <w:pStyle w:val="BookText"/>
      </w:pPr>
      <w:r>
        <w:rPr>
          <w:rFonts w:ascii="IRNazanin" w:hAnsi="IRNazanin" w:eastAsia="IRNazanin" w:cs="IRNazanin"/>
          <w:lang w:bidi="fa-IR"/>
          <w:color w:val="111111"/>
          <w:sz w:val="28"/>
          <w:szCs w:val="28"/>
          <w:rtl/>
        </w:rPr>
        <w:t xml:space="preserve">۳۶۱. قم؛ گلپایگانی؛ شماره نسخه: ۲۶۸۶- ۱۴/۱۳۶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شکسته، کا: محمدبن محمد حسن بروجنی، تا: ۸ محرم ۱۲۴۸ق؛ جلد: تیماج مشکی ضربی با ترنج و سرترنج و جدول گرهی، ۱۱۴، ۱۴-۱۵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۲-۶۳۷]</w:t>
      </w:r>
    </w:p>
    <w:p>
      <w:pPr>
        <w:pStyle w:val="BookText"/>
      </w:pPr>
      <w:r>
        <w:rPr>
          <w:rFonts w:ascii="IRNazanin" w:hAnsi="IRNazanin" w:eastAsia="IRNazanin" w:cs="IRNazanin"/>
          <w:lang w:bidi="fa-IR"/>
          <w:color w:val="111111"/>
          <w:sz w:val="28"/>
          <w:szCs w:val="28"/>
          <w:rtl/>
        </w:rPr>
        <w:t xml:space="preserve">۳۶۲. اصفهان؛ مدرسه صدر بازار؛ شماره نسخه: ۳۷۲</w:t>
      </w:r>
    </w:p>
    <w:p>
      <w:pPr>
        <w:pStyle w:val="BookText"/>
      </w:pPr>
      <w:r>
        <w:rPr>
          <w:rFonts w:ascii="IRNazanin" w:hAnsi="IRNazanin" w:eastAsia="IRNazanin" w:cs="IRNazanin"/>
          <w:lang w:bidi="fa-IR"/>
          <w:color w:val="111111"/>
          <w:sz w:val="28"/>
          <w:szCs w:val="28"/>
          <w:rtl/>
        </w:rPr>
        <w:t xml:space="preserve">خط: نسخ، كان محمد رضا بن میر زین العابدین موسوی، تا: چهارشنبه ۳ ربیع الاول ۱۲۴۸ق؛ مصحح، محشی؛ مهر: «عبده محمد حسين الطباطبائی» (بیضوی)، «عبده محمد حسین» (شکل مرغ)، «عبده محمد علی»؛ جلد: تیماج مشکی ضربی، ۱۴۷گ، ۱۷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سم [ف: ۲-۲۶۵]</w:t>
      </w:r>
    </w:p>
    <w:p>
      <w:pPr>
        <w:pStyle w:val="BookText"/>
      </w:pPr>
      <w:r>
        <w:rPr>
          <w:rFonts w:ascii="IRNazanin" w:hAnsi="IRNazanin" w:eastAsia="IRNazanin" w:cs="IRNazanin"/>
          <w:lang w:bidi="fa-IR"/>
          <w:color w:val="111111"/>
          <w:sz w:val="28"/>
          <w:szCs w:val="28"/>
          <w:rtl/>
        </w:rPr>
        <w:t xml:space="preserve">۳۶۳. تهران: دانشگاه، شماره نسخه: ۶۹۴۶</w:t>
      </w:r>
    </w:p>
    <w:p>
      <w:pPr>
        <w:pStyle w:val="BookText"/>
      </w:pPr>
      <w:r>
        <w:rPr>
          <w:rFonts w:ascii="IRNazanin" w:hAnsi="IRNazanin" w:eastAsia="IRNazanin" w:cs="IRNazanin"/>
          <w:lang w:bidi="fa-IR"/>
          <w:color w:val="111111"/>
          <w:sz w:val="28"/>
          <w:szCs w:val="28"/>
          <w:rtl/>
        </w:rPr>
        <w:t xml:space="preserve">خط: نسخ، كان آخوند ملا على زرند کی، تا: ۱۲۴۸ق؛ محشی؛ مهر: محمد تقی بن محمد باقر شریف یزدی؛ کاغذ: فرنگی، جلد: تیماج مشکی مقوایی، ۱۶۸گ، ۱۵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قطع: ربعی،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۱۶-۴۰۷]</w:t>
      </w:r>
    </w:p>
    <w:p>
      <w:pPr>
        <w:pStyle w:val="BookText"/>
      </w:pPr>
      <w:r>
        <w:rPr>
          <w:rFonts w:ascii="IRNazanin" w:hAnsi="IRNazanin" w:eastAsia="IRNazanin" w:cs="IRNazanin"/>
          <w:lang w:bidi="fa-IR"/>
          <w:color w:val="111111"/>
          <w:sz w:val="28"/>
          <w:szCs w:val="28"/>
          <w:rtl/>
        </w:rPr>
        <w:t xml:space="preserve">۳۶۴. شیراز؛ ثامنی، محمد رضا؛ شماره نسخه: ۸</w:t>
      </w:r>
    </w:p>
    <w:p>
      <w:pPr>
        <w:pStyle w:val="BookText"/>
      </w:pPr>
      <w:r>
        <w:rPr>
          <w:rFonts w:ascii="IRNazanin" w:hAnsi="IRNazanin" w:eastAsia="IRNazanin" w:cs="IRNazanin"/>
          <w:lang w:bidi="fa-IR"/>
          <w:color w:val="111111"/>
          <w:sz w:val="28"/>
          <w:szCs w:val="28"/>
          <w:rtl/>
        </w:rPr>
        <w:t xml:space="preserve">خط: نسخ، بی کا، تا: یک شنبه ۱۸ صفر ۱۲۴۹ق؛ افتادگی: آغاز؛ تملك: میرزا بابا موسوی حسنی طباطبائی ابن سید محمد شفیع با مهر «میرزا بابا الموسوی» (بیضی) در ذیقعده ۱۲۹۸ ق در حسینیه حاجی قوام الملک؛ جلد: تیماج مشکی ضربی، قطع: رقعي [اوراق عتیق: ۱-۲۶۸]</w:t>
      </w:r>
    </w:p>
    <w:p>
      <w:pPr>
        <w:pStyle w:val="BookText"/>
      </w:pPr>
      <w:r>
        <w:rPr>
          <w:rFonts w:ascii="IRNazanin" w:hAnsi="IRNazanin" w:eastAsia="IRNazanin" w:cs="IRNazanin"/>
          <w:lang w:bidi="fa-IR"/>
          <w:color w:val="111111"/>
          <w:sz w:val="28"/>
          <w:szCs w:val="28"/>
          <w:rtl/>
        </w:rPr>
        <w:t xml:space="preserve">۳۶۵. دامغان؛ قمر بنی هاشم؛ شماره نسخه: ۱۰۶</w:t>
      </w:r>
    </w:p>
    <w:p>
      <w:pPr>
        <w:pStyle w:val="BookText"/>
      </w:pPr>
      <w:r>
        <w:rPr>
          <w:rFonts w:ascii="IRNazanin" w:hAnsi="IRNazanin" w:eastAsia="IRNazanin" w:cs="IRNazanin"/>
          <w:lang w:bidi="fa-IR"/>
          <w:color w:val="111111"/>
          <w:sz w:val="28"/>
          <w:szCs w:val="28"/>
          <w:rtl/>
        </w:rPr>
        <w:t xml:space="preserve">آغاز: الدين محمد بن عبدالله بن مالک الطائي الاندلسي الجيانی الشافعی؛ انجام: برابر خط: نسخ، كا: محمد تقی بن کربلائی محمد حسین بن حاجی محمد، تا: ۱۲۴۹ق؛ افتادگی: آغاز؛ مصحح، محشی؛ ۱۴۰گ، ۱۴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۲۰سم إف مخ: ۲۴]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۳۶6. شیراز؛علامه طباطبائی؛شماره نسخه:737</w:t>
      </w:r>
    </w:p>
    <w:p>
      <w:pPr>
        <w:pStyle w:val="BookText"/>
      </w:pPr>
      <w:r>
        <w:rPr>
          <w:rFonts w:ascii="IRNazanin" w:hAnsi="IRNazanin" w:eastAsia="IRNazanin" w:cs="IRNazanin"/>
          <w:lang w:bidi="fa-IR"/>
          <w:color w:val="111111"/>
          <w:sz w:val="28"/>
          <w:szCs w:val="28"/>
          <w:rtl/>
        </w:rPr>
        <w:t xml:space="preserve">خط: نسخ، كا: محمد حسن بن محمد کاظم بواناتی، تا: ۱۵ ربیع الثانی ۱۲۴۹ق؛ محشی؛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(نسخه پژوهی: ۲-۱۱۹]</w:t>
      </w:r>
    </w:p>
    <w:p>
      <w:pPr>
        <w:pStyle w:val="BookText"/>
      </w:pPr>
      <w:r>
        <w:rPr>
          <w:rFonts w:ascii="IRNazanin" w:hAnsi="IRNazanin" w:eastAsia="IRNazanin" w:cs="IRNazanin"/>
          <w:lang w:bidi="fa-IR"/>
          <w:color w:val="111111"/>
          <w:sz w:val="28"/>
          <w:szCs w:val="28"/>
          <w:rtl/>
        </w:rPr>
        <w:t xml:space="preserve">۳۶۷. شیراز؛ امام عصر؛ شماره نسخه: ۲۸</w:t>
      </w:r>
    </w:p>
    <w:p>
      <w:pPr>
        <w:pStyle w:val="BookText"/>
      </w:pPr>
      <w:r>
        <w:rPr>
          <w:rFonts w:ascii="IRNazanin" w:hAnsi="IRNazanin" w:eastAsia="IRNazanin" w:cs="IRNazanin"/>
          <w:lang w:bidi="fa-IR"/>
          <w:color w:val="111111"/>
          <w:sz w:val="28"/>
          <w:szCs w:val="28"/>
          <w:rtl/>
        </w:rPr>
        <w:t xml:space="preserve">خط: نسخ، كا: رجبعلی بن صفر شیرازی، تا: ذیحجه ۱۲۵۰ق؛ محشی، این نسخه را کاتب برای مطالعه خودش نوشته؛ ۱۵۹گ، ۱۳ سطر (۶/۵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۱۲/۵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۱-۱۴]</w:t>
      </w:r>
    </w:p>
    <w:p>
      <w:pPr>
        <w:pStyle w:val="BookText"/>
      </w:pPr>
      <w:r>
        <w:rPr>
          <w:rFonts w:ascii="IRNazanin" w:hAnsi="IRNazanin" w:eastAsia="IRNazanin" w:cs="IRNazanin"/>
          <w:lang w:bidi="fa-IR"/>
          <w:color w:val="111111"/>
          <w:sz w:val="28"/>
          <w:szCs w:val="28"/>
          <w:rtl/>
        </w:rPr>
        <w:t xml:space="preserve">۳۶۸. رشت؛ جمعیت نشر فرهنگ؛ شماره نسخه: ۶س خط: نسخ، بی کا، تا: ۱۲۵۰ق؛ اندازه: ۱۵/۵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[رشت و همدان: ف: ۱۰۹۵]</w:t>
      </w:r>
    </w:p>
    <w:p>
      <w:pPr>
        <w:pStyle w:val="BookText"/>
      </w:pPr>
      <w:r>
        <w:rPr>
          <w:rFonts w:ascii="IRNazanin" w:hAnsi="IRNazanin" w:eastAsia="IRNazanin" w:cs="IRNazanin"/>
          <w:lang w:bidi="fa-IR"/>
          <w:color w:val="111111"/>
          <w:sz w:val="28"/>
          <w:szCs w:val="28"/>
          <w:rtl/>
        </w:rPr>
        <w:t xml:space="preserve">۳۶۹. قم؛ گلپایگانی؛ شماره نسخه: ۶۸۳۹- ۳۵/۱۹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حسن موسوی، تا: پنج شنبه جمادی الثانی ۱۲۵۰ق؛ محشی؛ جلد: تیماج مشکی، ۱۰۵گ، ۱۳ سطر،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۲- ۶۳۹]</w:t>
      </w:r>
    </w:p>
    <w:p>
      <w:pPr>
        <w:pStyle w:val="BookText"/>
      </w:pPr>
      <w:r>
        <w:rPr>
          <w:rFonts w:ascii="IRNazanin" w:hAnsi="IRNazanin" w:eastAsia="IRNazanin" w:cs="IRNazanin"/>
          <w:lang w:bidi="fa-IR"/>
          <w:color w:val="111111"/>
          <w:sz w:val="28"/>
          <w:szCs w:val="28"/>
          <w:rtl/>
        </w:rPr>
        <w:t xml:space="preserve">۳۷۰. چالوس؛ امام صادق؛ شماره نسخه: ۶۰۶/۱</w:t>
      </w:r>
    </w:p>
    <w:p>
      <w:pPr>
        <w:pStyle w:val="BookText"/>
      </w:pPr>
      <w:r>
        <w:rPr>
          <w:rFonts w:ascii="IRNazanin" w:hAnsi="IRNazanin" w:eastAsia="IRNazanin" w:cs="IRNazanin"/>
          <w:lang w:bidi="fa-IR"/>
          <w:color w:val="111111"/>
          <w:sz w:val="28"/>
          <w:szCs w:val="28"/>
          <w:rtl/>
        </w:rPr>
        <w:t xml:space="preserve">خط: نسخ، كا: محمد حسین، تا: ۱۲۵۰ق؛ مصحح، محشی؛ جلد: تیماج سیاه، ۱۷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۳۱۵]</w:t>
      </w:r>
    </w:p>
    <w:p>
      <w:pPr>
        <w:pStyle w:val="BookText"/>
      </w:pPr>
      <w:r>
        <w:rPr>
          <w:rFonts w:ascii="IRNazanin" w:hAnsi="IRNazanin" w:eastAsia="IRNazanin" w:cs="IRNazanin"/>
          <w:lang w:bidi="fa-IR"/>
          <w:color w:val="111111"/>
          <w:sz w:val="28"/>
          <w:szCs w:val="28"/>
          <w:rtl/>
        </w:rPr>
        <w:t xml:space="preserve">۳۷۱. تهران؛ ملی؛ شماره نسخه: ۳۷۲۳</w:t>
      </w:r>
    </w:p>
    <w:p>
      <w:pPr>
        <w:pStyle w:val="BookText"/>
      </w:pPr>
      <w:r>
        <w:rPr>
          <w:rFonts w:ascii="IRNazanin" w:hAnsi="IRNazanin" w:eastAsia="IRNazanin" w:cs="IRNazanin"/>
          <w:lang w:bidi="fa-IR"/>
          <w:color w:val="111111"/>
          <w:sz w:val="28"/>
          <w:szCs w:val="28"/>
          <w:rtl/>
        </w:rPr>
        <w:t xml:space="preserve">خط: نسخ، کا: حسن بن محمد قدیم ایروانی، تا: ۱۲۵۱ق؛ مصحح، محشی با نشانه های «ابن عقیل، ابن الحاج، میرزا رفیع، ابن ناظم، ملا محسن، جامی، عصام، قاسم و شواهد»؛ کاغذ: فرنگی نخودی، جلد: تیماج عنابی ضربی با ترنج و سرترنج با گل و بوته جداول حاشیه ای با بوته های ریسه ای مقوایی، ۱۲۶ گ، ۱۵سطر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۱۶-۳۳۸)</w:t>
      </w:r>
    </w:p>
    <w:p>
      <w:pPr>
        <w:pStyle w:val="BookText"/>
      </w:pPr>
      <w:r>
        <w:rPr>
          <w:rFonts w:ascii="IRNazanin" w:hAnsi="IRNazanin" w:eastAsia="IRNazanin" w:cs="IRNazanin"/>
          <w:lang w:bidi="fa-IR"/>
          <w:color w:val="111111"/>
          <w:sz w:val="28"/>
          <w:szCs w:val="28"/>
          <w:rtl/>
        </w:rPr>
        <w:t xml:space="preserve">۳۷۲. قم، مسجد اعظم؛ شماره نسخه: ۲۳۰۵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كان محمد طاهر بن محمد حسین، تا: ۱۲۵۱ق؛ مهر: «صح محمد حسین» (قطره ای شکل)؛ جلد: تیماج قهوه ای با ترنج و با سر مجدول گرهی، ۱۷۵گ، ۱۴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مخ: ۱-۲۸۳]</w:t>
      </w:r>
    </w:p>
    <w:p>
      <w:pPr>
        <w:pStyle w:val="BookText"/>
      </w:pPr>
      <w:r>
        <w:rPr>
          <w:rFonts w:ascii="IRNazanin" w:hAnsi="IRNazanin" w:eastAsia="IRNazanin" w:cs="IRNazanin"/>
          <w:lang w:bidi="fa-IR"/>
          <w:color w:val="111111"/>
          <w:sz w:val="28"/>
          <w:szCs w:val="28"/>
          <w:rtl/>
        </w:rPr>
        <w:t xml:space="preserve">۳۷۳. قم: گلپایگانی شماره نسخه: ۸۵۶۷- ۵۸/۱۷</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تا: ۱۲۵۱ق، ۱۲۷گ، ۱۴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۲-۶۴۰]</w:t>
      </w:r>
    </w:p>
    <w:p>
      <w:pPr>
        <w:pStyle w:val="BookText"/>
      </w:pPr>
      <w:r>
        <w:rPr>
          <w:rFonts w:ascii="IRNazanin" w:hAnsi="IRNazanin" w:eastAsia="IRNazanin" w:cs="IRNazanin"/>
          <w:lang w:bidi="fa-IR"/>
          <w:color w:val="111111"/>
          <w:sz w:val="28"/>
          <w:szCs w:val="28"/>
          <w:rtl/>
        </w:rPr>
        <w:t xml:space="preserve">۳۷۴. قم؛ معصومیه؛ شماره نسخه: ۶۷۸</w:t>
      </w:r>
    </w:p>
    <w:p>
      <w:pPr>
        <w:pStyle w:val="BookText"/>
      </w:pPr>
      <w:r>
        <w:rPr>
          <w:rFonts w:ascii="IRNazanin" w:hAnsi="IRNazanin" w:eastAsia="IRNazanin" w:cs="IRNazanin"/>
          <w:lang w:bidi="fa-IR"/>
          <w:color w:val="111111"/>
          <w:sz w:val="28"/>
          <w:szCs w:val="28"/>
          <w:rtl/>
        </w:rPr>
        <w:t xml:space="preserve">خط ثلث، كا: على اكبر بن کربلائی یحیی، تا: ۱۶ رمضان ۱۲۵۱ق؛ محشی؛ مهر: «هو العلي الاكبر» (بیضوی)، «محمد الشريف» (مربع)؛ تملک: علی اکبر بن محمد صادق ۱۲۹۷؛ جلد: تیماج مشکی، ۹۴گی، ۱۵ سطر (۱۵۷۸)،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۳۱۹-۲ ]</w:t>
      </w:r>
    </w:p>
    <w:p>
      <w:pPr>
        <w:pStyle w:val="BookText"/>
      </w:pPr>
      <w:r>
        <w:rPr>
          <w:rFonts w:ascii="IRNazanin" w:hAnsi="IRNazanin" w:eastAsia="IRNazanin" w:cs="IRNazanin"/>
          <w:lang w:bidi="fa-IR"/>
          <w:color w:val="111111"/>
          <w:sz w:val="28"/>
          <w:szCs w:val="28"/>
          <w:rtl/>
        </w:rPr>
        <w:t xml:space="preserve">۳۷۵. مشهد؛ رضوی؛ شماره نسخه: ۲۶۲۸۰</w:t>
      </w:r>
    </w:p>
    <w:p>
      <w:pPr>
        <w:pStyle w:val="BookText"/>
      </w:pPr>
      <w:r>
        <w:rPr>
          <w:rFonts w:ascii="IRNazanin" w:hAnsi="IRNazanin" w:eastAsia="IRNazanin" w:cs="IRNazanin"/>
          <w:lang w:bidi="fa-IR"/>
          <w:color w:val="111111"/>
          <w:sz w:val="28"/>
          <w:szCs w:val="28"/>
          <w:rtl/>
        </w:rPr>
        <w:t xml:space="preserve">آغاز: اول بگوید الحمدلله الذي لا يبقى ... اصلي على هذا الميت اوجوبه قربة إلى الله. انجام: و سل ربنا بالحق اللهم و صلى الله على محمد و آله اجمعين و الحمدلله رب العالمين سنه ۱۲۵۲ خط: نسخ خفی، بی کا، تا: ۱۲۵۲ق؛ افتادگی: آغاز؛ کاغذ: فستقی جلد: تیماج مشکی، ۱۴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قطع: وزیری، اندازه: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۲۰سم [رایانه]</w:t>
      </w:r>
    </w:p>
    <w:p>
      <w:pPr>
        <w:pStyle w:val="BookText"/>
      </w:pPr>
      <w:r>
        <w:rPr>
          <w:rFonts w:ascii="IRNazanin" w:hAnsi="IRNazanin" w:eastAsia="IRNazanin" w:cs="IRNazanin"/>
          <w:lang w:bidi="fa-IR"/>
          <w:color w:val="111111"/>
          <w:sz w:val="28"/>
          <w:szCs w:val="28"/>
          <w:rtl/>
        </w:rPr>
        <w:t xml:space="preserve">۳۷۶. تهران: حوزه آستان حضرت عبدالعظیم؛ شماره نسخه: ۴۱</w:t>
      </w:r>
    </w:p>
    <w:p>
      <w:pPr>
        <w:pStyle w:val="BookText"/>
      </w:pPr>
      <w:r>
        <w:rPr>
          <w:rFonts w:ascii="IRNazanin" w:hAnsi="IRNazanin" w:eastAsia="IRNazanin" w:cs="IRNazanin"/>
          <w:lang w:bidi="fa-IR"/>
          <w:color w:val="111111"/>
          <w:sz w:val="28"/>
          <w:szCs w:val="28"/>
          <w:rtl/>
        </w:rPr>
        <w:t xml:space="preserve">خط: نستعلیق، بی کا، تا: پنج شنبه ۱ ربیع الاول ۱۲۵۲ق؛ جلد: تیماج قهوه ای مجدول، ۱۵۰گ، ۱۲سطر، اندازه: ۱۷/۵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۱۸]</w:t>
      </w:r>
    </w:p>
    <w:p>
      <w:pPr>
        <w:pStyle w:val="BookText"/>
      </w:pPr>
      <w:r>
        <w:rPr>
          <w:rFonts w:ascii="IRNazanin" w:hAnsi="IRNazanin" w:eastAsia="IRNazanin" w:cs="IRNazanin"/>
          <w:lang w:bidi="fa-IR"/>
          <w:color w:val="111111"/>
          <w:sz w:val="28"/>
          <w:szCs w:val="28"/>
          <w:rtl/>
        </w:rPr>
        <w:t xml:space="preserve">۳۷۷. تهران؛ نوربخش؛ شماره نسخه: ۱۴۵</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انجام: من صلصال کالفخار ... بلطفه الرضية. خط: نسخ، كا: علی اکبر بن ملا عبدالله ابوالمکارم هونجانی، تا: ۷ ربیع الثانی ۱۲۵۲ق، کاغذ: ایرانی، جلد: تیماج زرد مقوایی، ۵۵۲ص، ۱۶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۱-۱۶۵]</w:t>
      </w:r>
    </w:p>
    <w:p>
      <w:pPr>
        <w:pStyle w:val="BookText"/>
      </w:pPr>
      <w:r>
        <w:rPr>
          <w:rFonts w:ascii="Amiri" w:hAnsi="Amiri" w:eastAsia="Amiri" w:cs="Amiri"/>
          <w:lang w:bidi="ar-SA"/>
          <w:color w:val="111111"/>
          <w:sz w:val="28"/>
          <w:szCs w:val="28"/>
          <w:rtl/>
        </w:rPr>
        <w:t xml:space="preserve">۳۷۸. تهران: دائرة المعارف؛ شماره نسخه: ۸۶۴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تحریری، بی کا، تا: غره ذیحجه ۱۲۵۳ق؛ محشی؛ کاغذ: آبی و مغز پسته ای، جلد: روغنی، ۱۰۷گ، ۱۴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۲-۳۰]</w:t>
      </w:r>
    </w:p>
    <w:p>
      <w:pPr>
        <w:pStyle w:val="BookText"/>
      </w:pPr>
      <w:r>
        <w:rPr>
          <w:rFonts w:ascii="IRNazanin" w:hAnsi="IRNazanin" w:eastAsia="IRNazanin" w:cs="IRNazanin"/>
          <w:lang w:bidi="fa-IR"/>
          <w:color w:val="111111"/>
          <w:sz w:val="28"/>
          <w:szCs w:val="28"/>
          <w:rtl/>
        </w:rPr>
        <w:t xml:space="preserve">۳۷۹. تهران، دانشگاه؛ شماره نسخه: ۷۶۷۴</w:t>
      </w:r>
    </w:p>
    <w:p>
      <w:pPr>
        <w:pStyle w:val="BookText"/>
      </w:pPr>
      <w:r>
        <w:rPr>
          <w:rFonts w:ascii="IRNazanin" w:hAnsi="IRNazanin" w:eastAsia="IRNazanin" w:cs="IRNazanin"/>
          <w:lang w:bidi="fa-IR"/>
          <w:color w:val="111111"/>
          <w:sz w:val="28"/>
          <w:szCs w:val="28"/>
          <w:rtl/>
        </w:rPr>
        <w:t xml:space="preserve">خط: نسخ، كا: على رضا بن ملا رستم على ساو شکلایی دو دانگهای در ساو شکلا، تا: ۱۲۵۳ق، جا: ساو شکلا؛ محشی؛ کاغذ: فرنگی، جلد: تیماج مشکی، ۱۳۲، ۱۵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قطع: ربعی،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۱۶-۶۶۸]</w:t>
      </w:r>
    </w:p>
    <w:p>
      <w:pPr>
        <w:pStyle w:val="BookText"/>
      </w:pPr>
      <w:r>
        <w:rPr>
          <w:rFonts w:ascii="IRNazanin" w:hAnsi="IRNazanin" w:eastAsia="IRNazanin" w:cs="IRNazanin"/>
          <w:lang w:bidi="fa-IR"/>
          <w:color w:val="111111"/>
          <w:sz w:val="28"/>
          <w:szCs w:val="28"/>
          <w:rtl/>
        </w:rPr>
        <w:t xml:space="preserve">۳۸۰. تهران؛ ملک؛ شماره نسخه: ۲۲۹۶</w:t>
      </w:r>
    </w:p>
    <w:p>
      <w:pPr>
        <w:pStyle w:val="BookText"/>
      </w:pPr>
      <w:r>
        <w:rPr>
          <w:rFonts w:ascii="IRNazanin" w:hAnsi="IRNazanin" w:eastAsia="IRNazanin" w:cs="IRNazanin"/>
          <w:lang w:bidi="fa-IR"/>
          <w:color w:val="111111"/>
          <w:sz w:val="28"/>
          <w:szCs w:val="28"/>
          <w:rtl/>
        </w:rPr>
        <w:t xml:space="preserve">خط: نسخ، بی کا، تا: ۱۲۵۳ق، جا: نو آباد عشق آباد؛ کاغذ: فستقی، جلد: میشن آلبالویی، ۱۰۴گ، ۲۲ سطر، اندازه:</w:t>
      </w:r>
    </w:p>
    <w:p>
      <w:pPr>
        <w:pStyle w:val="BookText"/>
      </w:pPr>
      <w:r>
        <w:rPr>
          <w:rFonts w:ascii="IRNazanin" w:hAnsi="IRNazanin" w:eastAsia="IRNazanin" w:cs="IRNazanin"/>
          <w:lang w:bidi="fa-IR"/>
          <w:color w:val="111111"/>
          <w:sz w:val="28"/>
          <w:szCs w:val="28"/>
          <w:rtl/>
        </w:rPr>
        <w:t xml:space="preserve">۲۰/۹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۱-۷۵]</w:t>
      </w:r>
    </w:p>
    <w:p>
      <w:pPr>
        <w:pStyle w:val="BookText"/>
      </w:pPr>
      <w:r>
        <w:rPr>
          <w:rFonts w:ascii="IRNazanin" w:hAnsi="IRNazanin" w:eastAsia="IRNazanin" w:cs="IRNazanin"/>
          <w:lang w:bidi="fa-IR"/>
          <w:color w:val="111111"/>
          <w:sz w:val="28"/>
          <w:szCs w:val="28"/>
          <w:rtl/>
        </w:rPr>
        <w:t xml:space="preserve">۳۸۱. بشرویه؛ امیر المؤمنین، شماره نسخه: ۴۴</w:t>
      </w:r>
    </w:p>
    <w:p>
      <w:pPr>
        <w:pStyle w:val="BookText"/>
      </w:pPr>
      <w:r>
        <w:rPr>
          <w:rFonts w:ascii="IRNazanin" w:hAnsi="IRNazanin" w:eastAsia="IRNazanin" w:cs="IRNazanin"/>
          <w:lang w:bidi="fa-IR"/>
          <w:color w:val="111111"/>
          <w:sz w:val="28"/>
          <w:szCs w:val="28"/>
          <w:rtl/>
        </w:rPr>
        <w:t xml:space="preserve">آغاز: برابر؛ انجام: و الجوهر لا تعد صرفا مه او كلمة و للخبيثات به اظهر و روض الذهن انا مشکل و بالانکار خط: نسخ، كا: ملا حمزه بن کربلایی ابوالحسن بن ملا محمد اسماعیل بشرویی، تا: جمعه ۲۸ ذیحجه ۱۲۵۴ق؛ مصحح، محشی؛ جلد: مقوای لایی با لبه تیماج قهوه ای، ۱۶ ، ۱۷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مخ]</w:t>
      </w:r>
    </w:p>
    <w:p>
      <w:pPr>
        <w:pStyle w:val="BookText"/>
      </w:pPr>
      <w:r>
        <w:rPr>
          <w:rFonts w:ascii="IRNazanin" w:hAnsi="IRNazanin" w:eastAsia="IRNazanin" w:cs="IRNazanin"/>
          <w:lang w:bidi="fa-IR"/>
          <w:color w:val="111111"/>
          <w:sz w:val="28"/>
          <w:szCs w:val="28"/>
          <w:rtl/>
        </w:rPr>
        <w:t xml:space="preserve">۳۸۲. تهران؛ مجلس؛ شماره نسخه: ۷۸۸۹</w:t>
      </w:r>
    </w:p>
    <w:p>
      <w:pPr>
        <w:pStyle w:val="BookText"/>
      </w:pPr>
      <w:r>
        <w:rPr>
          <w:rFonts w:ascii="IRNazanin" w:hAnsi="IRNazanin" w:eastAsia="IRNazanin" w:cs="IRNazanin"/>
          <w:lang w:bidi="fa-IR"/>
          <w:color w:val="111111"/>
          <w:sz w:val="28"/>
          <w:szCs w:val="28"/>
          <w:rtl/>
        </w:rPr>
        <w:t xml:space="preserve">خط: نستعلیق، بی کا، تا: سه شنبه ۱۷ ربیع الثانی ۱۲۵۴ق، بی کا کاتب برای فرزندش میرزا محمد نوشته؛ جلد: تیماج قهوه ای، ۹۳گ، ۲۰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۲۶-۳۷۰]</w:t>
      </w:r>
    </w:p>
    <w:p>
      <w:pPr>
        <w:pStyle w:val="BookText"/>
      </w:pPr>
      <w:r>
        <w:rPr>
          <w:rFonts w:ascii="IRNazanin" w:hAnsi="IRNazanin" w:eastAsia="IRNazanin" w:cs="IRNazanin"/>
          <w:lang w:bidi="fa-IR"/>
          <w:color w:val="111111"/>
          <w:sz w:val="28"/>
          <w:szCs w:val="28"/>
          <w:rtl/>
        </w:rPr>
        <w:t xml:space="preserve">۳۸۳. تهران؛ ملی؛ شماره نسخه: ۳۱۳۰</w:t>
      </w:r>
    </w:p>
    <w:p>
      <w:pPr>
        <w:pStyle w:val="BookText"/>
      </w:pPr>
      <w:r>
        <w:rPr>
          <w:rFonts w:ascii="IRNazanin" w:hAnsi="IRNazanin" w:eastAsia="IRNazanin" w:cs="IRNazanin"/>
          <w:lang w:bidi="fa-IR"/>
          <w:color w:val="111111"/>
          <w:sz w:val="28"/>
          <w:szCs w:val="28"/>
          <w:rtl/>
        </w:rPr>
        <w:t xml:space="preserve">خط: نسخ، كا: حسن بن ابوطالب خراسانی، تا: ۱۲۵۵ق؛ مصحح؛ کاغذ: فرنگی نخودی، جلد: تیماج تریاکی سوخته مقوایی عطف پارچه ای سرخابی، ۱۲۸گ، ۱۷سطر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اندازه: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 [ف: ۱۴-۲۴۶]</w:t>
      </w:r>
    </w:p>
    <w:p>
      <w:pPr>
        <w:pStyle w:val="BookText"/>
      </w:pPr>
      <w:r>
        <w:rPr>
          <w:rFonts w:ascii="IRNazanin" w:hAnsi="IRNazanin" w:eastAsia="IRNazanin" w:cs="IRNazanin"/>
          <w:lang w:bidi="fa-IR"/>
          <w:color w:val="111111"/>
          <w:sz w:val="28"/>
          <w:szCs w:val="28"/>
          <w:rtl/>
        </w:rPr>
        <w:t xml:space="preserve">۳۸۴. قم؛ گلپایگانی؛ شماره نسخه: ۷۲۸۳- ۳۷/۷۳</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کامل؛ خط: نسخ، بی کا، تا: سه شنبه ۶ ذیحجه ۱۲۵۵ق؛ محشی؛ جلد: تیماج مشکی با ترنج و سرترنج زرین، ۱۷۶، ۱۶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سم [ف: ۲-۶۳۹]</w:t>
      </w:r>
    </w:p>
    <w:p>
      <w:pPr>
        <w:pStyle w:val="BookText"/>
      </w:pPr>
      <w:r>
        <w:rPr>
          <w:rFonts w:ascii="IRNazanin" w:hAnsi="IRNazanin" w:eastAsia="IRNazanin" w:cs="IRNazanin"/>
          <w:lang w:bidi="fa-IR"/>
          <w:color w:val="111111"/>
          <w:sz w:val="28"/>
          <w:szCs w:val="28"/>
          <w:rtl/>
        </w:rPr>
        <w:t xml:space="preserve">۳۸۵. یزد؛ وزیری؛ شماره نسخه: ۳۲۷۳</w:t>
      </w:r>
    </w:p>
    <w:p>
      <w:pPr>
        <w:pStyle w:val="BookText"/>
      </w:pPr>
      <w:r>
        <w:rPr>
          <w:rFonts w:ascii="IRNazanin" w:hAnsi="IRNazanin" w:eastAsia="IRNazanin" w:cs="IRNazanin"/>
          <w:lang w:bidi="fa-IR"/>
          <w:color w:val="111111"/>
          <w:sz w:val="28"/>
          <w:szCs w:val="28"/>
          <w:rtl/>
        </w:rPr>
        <w:t xml:space="preserve">خط: نسخ، بی کا، تا: رجب ۱۲۵۵ق؛ اهدایی: وزیری؛ کاغذ: اصفهانی، جلد: مقوایی روکش تیماج تریاکی عطف تیماج زرد، ۱۸۳، ۱۲ سطر (۱۱۶۶/۵ )،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[ف: ۵-۱۵۹۶]</w:t>
      </w:r>
    </w:p>
    <w:p>
      <w:pPr>
        <w:pStyle w:val="BookText"/>
      </w:pPr>
      <w:r>
        <w:rPr>
          <w:rFonts w:ascii="IRNazanin" w:hAnsi="IRNazanin" w:eastAsia="IRNazanin" w:cs="IRNazanin"/>
          <w:lang w:bidi="fa-IR"/>
          <w:color w:val="111111"/>
          <w:sz w:val="28"/>
          <w:szCs w:val="28"/>
          <w:rtl/>
        </w:rPr>
        <w:t xml:space="preserve">۳۸۶. خوانسار؛ فاضل؛ شماره نسخه: ۴۰۶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على بن محمد قاسم خوانساری، تا: ۱۲۵۵ق؛ مصحح، محشی؛ مهر: «میرزا آقا بن محمد رضا» (بیضوی)، «الواثق بالله الغني عبده مبين» (بیضوی)؛ یادگاری محمد علی بن محمود رضوی خوانساری» و مهر «لا حول ولا قوة إل بالله استغفر الله» (مربع بزرگ)؛ تملک: «ملا محمد باقر بن ملا حسین خوانساری»؛ جلد: تیماج قرمز جگری، ۸۲گ، ۲۱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w:t>
      </w:r>
    </w:p>
    <w:p>
      <w:pPr>
        <w:pStyle w:val="BookText"/>
      </w:pPr>
      <w:r>
        <w:rPr>
          <w:rFonts w:ascii="IRNazanin" w:hAnsi="IRNazanin" w:eastAsia="IRNazanin" w:cs="IRNazanin"/>
          <w:lang w:bidi="fa-IR"/>
          <w:color w:val="111111"/>
          <w:sz w:val="28"/>
          <w:szCs w:val="28"/>
          <w:rtl/>
        </w:rPr>
        <w:t xml:space="preserve">۳۸۷. مراغه؛ عمومی؛ شماره نسخه: ۷۰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كان عزیز الله بن اسمعیل بیک خرقانی رودکی، تا: جمادی الاول ۱۲۵۵ق؛ جلد: روغنی و سوخت با ترنج وسط، ۱۱۲گ، ۱۸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۱۸]</w:t>
      </w:r>
    </w:p>
    <w:p>
      <w:pPr>
        <w:pStyle w:val="BookText"/>
      </w:pPr>
      <w:r>
        <w:rPr>
          <w:rFonts w:ascii="IRNazanin" w:hAnsi="IRNazanin" w:eastAsia="IRNazanin" w:cs="IRNazanin"/>
          <w:lang w:bidi="fa-IR"/>
          <w:color w:val="111111"/>
          <w:sz w:val="28"/>
          <w:szCs w:val="28"/>
          <w:rtl/>
        </w:rPr>
        <w:t xml:space="preserve">۳۸۸. قزوین؛ امام صادق؛ شماره نسخه: ۲۸۴</w:t>
      </w:r>
    </w:p>
    <w:p>
      <w:pPr>
        <w:pStyle w:val="BookText"/>
      </w:pPr>
      <w:r>
        <w:rPr>
          <w:rFonts w:ascii="IRNazanin" w:hAnsi="IRNazanin" w:eastAsia="IRNazanin" w:cs="IRNazanin"/>
          <w:lang w:bidi="fa-IR"/>
          <w:color w:val="111111"/>
          <w:sz w:val="28"/>
          <w:szCs w:val="28"/>
          <w:rtl/>
        </w:rPr>
        <w:t xml:space="preserve">کامل ؛ خط: نستعلیق، بی کا، تا: ۳ صفر ۱۲۵۶ق؛ جلد: تیماج قهوه ای، ۱۲۰گ، ۱۳ سطر [ف: ۱-۴۷]</w:t>
      </w:r>
    </w:p>
    <w:p>
      <w:pPr>
        <w:pStyle w:val="BookText"/>
      </w:pPr>
      <w:r>
        <w:rPr>
          <w:rFonts w:ascii="IRNazanin" w:hAnsi="IRNazanin" w:eastAsia="IRNazanin" w:cs="IRNazanin"/>
          <w:lang w:bidi="fa-IR"/>
          <w:color w:val="111111"/>
          <w:sz w:val="28"/>
          <w:szCs w:val="28"/>
          <w:rtl/>
        </w:rPr>
        <w:t xml:space="preserve">۳۸۹. شیراز؛ ملی؛ شماره نسخه: ۷۴۳</w:t>
      </w:r>
    </w:p>
    <w:p>
      <w:pPr>
        <w:pStyle w:val="BookText"/>
      </w:pPr>
      <w:r>
        <w:rPr>
          <w:rFonts w:ascii="IRNazanin" w:hAnsi="IRNazanin" w:eastAsia="IRNazanin" w:cs="IRNazanin"/>
          <w:lang w:bidi="fa-IR"/>
          <w:color w:val="111111"/>
          <w:sz w:val="28"/>
          <w:szCs w:val="28"/>
          <w:rtl/>
        </w:rPr>
        <w:t xml:space="preserve">انجام: برابر</w:t>
      </w:r>
    </w:p>
    <w:p>
      <w:pPr>
        <w:pStyle w:val="BookText"/>
      </w:pPr>
      <w:r>
        <w:rPr>
          <w:rFonts w:ascii="IRNazanin" w:hAnsi="IRNazanin" w:eastAsia="IRNazanin" w:cs="IRNazanin"/>
          <w:lang w:bidi="fa-IR"/>
          <w:color w:val="111111"/>
          <w:sz w:val="28"/>
          <w:szCs w:val="28"/>
          <w:rtl/>
        </w:rPr>
        <w:t xml:space="preserve">خط: نسخ، بی کا، تا: ۱۲۵۶ق؛ محشی؛ جلد: مقوا با کاغذ ساغری، ۱۳۸گ، ۱۴ سطر، اندازه: ۱۵/۵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۲-۳۲۹]</w:t>
      </w:r>
    </w:p>
    <w:p>
      <w:pPr>
        <w:pStyle w:val="BookText"/>
      </w:pPr>
      <w:r>
        <w:rPr>
          <w:rFonts w:ascii="IRNazanin" w:hAnsi="IRNazanin" w:eastAsia="IRNazanin" w:cs="IRNazanin"/>
          <w:lang w:bidi="fa-IR"/>
          <w:color w:val="111111"/>
          <w:sz w:val="28"/>
          <w:szCs w:val="28"/>
          <w:rtl/>
        </w:rPr>
        <w:t xml:space="preserve">۳۹۰. تهران؛ مجلس؛ شماره نسخه: ۵۹۷۲</w:t>
      </w:r>
    </w:p>
    <w:p>
      <w:pPr>
        <w:pStyle w:val="BookText"/>
      </w:pPr>
      <w:r>
        <w:rPr>
          <w:rFonts w:ascii="IRNazanin" w:hAnsi="IRNazanin" w:eastAsia="IRNazanin" w:cs="IRNazanin"/>
          <w:lang w:bidi="fa-IR"/>
          <w:color w:val="111111"/>
          <w:sz w:val="28"/>
          <w:szCs w:val="28"/>
          <w:rtl/>
        </w:rPr>
        <w:t xml:space="preserve">خط: نستعلیق، کا: محمد بن حاج میرزا آقاسی، تا: ۱۲۵۶ق؛ محشی؛ کاغذ: فرنگی سفید، جلد: تیماج قهوه ای یک لا، ۲۹۰ص، ۱۲ سطر، قطع: خشتی،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۱۷-۳۵۳]</w:t>
      </w:r>
    </w:p>
    <w:p>
      <w:pPr>
        <w:pStyle w:val="BookText"/>
      </w:pPr>
      <w:r>
        <w:rPr>
          <w:rFonts w:ascii="IRNazanin" w:hAnsi="IRNazanin" w:eastAsia="IRNazanin" w:cs="IRNazanin"/>
          <w:lang w:bidi="fa-IR"/>
          <w:color w:val="111111"/>
          <w:sz w:val="28"/>
          <w:szCs w:val="28"/>
          <w:rtl/>
        </w:rPr>
        <w:t xml:space="preserve">۳۹۱. تهران؛ مجلس؛ شماره نسخه: ۷۴۸۴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میرزا آقا ولد میرزا احمد قراباغی، تا: ۱۲۵۷ق؛ جلد: تیماج قرمز، ۱۵۴گ، ۱۳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۲۵-۴۵۴]</w:t>
      </w:r>
    </w:p>
    <w:p>
      <w:pPr>
        <w:pStyle w:val="BookText"/>
      </w:pPr>
      <w:r>
        <w:rPr>
          <w:rFonts w:ascii="IRNazanin" w:hAnsi="IRNazanin" w:eastAsia="IRNazanin" w:cs="IRNazanin"/>
          <w:lang w:bidi="fa-IR"/>
          <w:color w:val="111111"/>
          <w:sz w:val="28"/>
          <w:szCs w:val="28"/>
          <w:rtl/>
        </w:rPr>
        <w:t xml:space="preserve">۳۹۲. قم؛ گلپایگانی؛ شماره نسخه: ۲۶۱۴- ۱۴/۶۴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علی بن میرزا مصطفی بن میرزا صادق، تا: دوشنبه ۱۵ ربیع الثانی ۱۲۵۷ق؛ جلد: گالینگور قهوه ای، ۱۱۱گ، ۱۴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۲-۶۴۰]</w:t>
      </w:r>
    </w:p>
    <w:p>
      <w:pPr>
        <w:pStyle w:val="BookText"/>
      </w:pPr>
      <w:r>
        <w:rPr>
          <w:rFonts w:ascii="IRNazanin" w:hAnsi="IRNazanin" w:eastAsia="IRNazanin" w:cs="IRNazanin"/>
          <w:lang w:bidi="fa-IR"/>
          <w:color w:val="111111"/>
          <w:sz w:val="28"/>
          <w:szCs w:val="28"/>
          <w:rtl/>
        </w:rPr>
        <w:t xml:space="preserve">۳۹۳. قم؛ مرکز احیاء؛ شماره نسخه: ۱۰۵۶</w:t>
      </w:r>
    </w:p>
    <w:p>
      <w:pPr>
        <w:pStyle w:val="BookText"/>
      </w:pPr>
      <w:r>
        <w:rPr>
          <w:rFonts w:ascii="IRNazanin" w:hAnsi="IRNazanin" w:eastAsia="IRNazanin" w:cs="IRNazanin"/>
          <w:lang w:bidi="fa-IR"/>
          <w:color w:val="111111"/>
          <w:sz w:val="28"/>
          <w:szCs w:val="28"/>
          <w:rtl/>
        </w:rPr>
        <w:t xml:space="preserve">خط: نسخ، كا: على بن محمد بروجنی اصفهانی، تا: غره صفر ۱۲۵۷ ق تا رجب ۱۲۵۸، جا: اصفهان، مدرسه چهار باغ؛ مصحح، محشی بعضی آنها از شیخ رفیع گیلانی، چند یادداشت با مهر عبده علی مردان» (بیضوی) و «حسن بن ... على» (بیضوی)، جلد: تیماج مشکی، ۲۵۰گ، ۱۱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۳-۲۸۸]</w:t>
      </w:r>
    </w:p>
    <w:p>
      <w:pPr>
        <w:pStyle w:val="BookText"/>
      </w:pPr>
      <w:r>
        <w:rPr>
          <w:rFonts w:ascii="IRNazanin" w:hAnsi="IRNazanin" w:eastAsia="IRNazanin" w:cs="IRNazanin"/>
          <w:lang w:bidi="fa-IR"/>
          <w:color w:val="111111"/>
          <w:sz w:val="28"/>
          <w:szCs w:val="28"/>
          <w:rtl/>
        </w:rPr>
        <w:t xml:space="preserve">۳۹۴. مشهد؛ رضوی؛ شماره نسخه: ۱۶۸۲۸</w:t>
      </w:r>
    </w:p>
    <w:p>
      <w:pPr>
        <w:pStyle w:val="BookText"/>
      </w:pPr>
      <w:r>
        <w:rPr>
          <w:rFonts w:ascii="IRNazanin" w:hAnsi="IRNazanin" w:eastAsia="IRNazanin" w:cs="IRNazanin"/>
          <w:lang w:bidi="fa-IR"/>
          <w:color w:val="111111"/>
          <w:sz w:val="28"/>
          <w:szCs w:val="28"/>
          <w:rtl/>
        </w:rPr>
        <w:t xml:space="preserve">آغاز: و المفرد الجامد فارغ و ان يشتق؛ انجام: اللهم اغفرلی و لوالدي و لجميع المومنین ... رمضانعلی محمد على شهير باقابابا ساکن فروشان من ق</w:t>
      </w:r>
    </w:p>
    <w:p>
      <w:pPr>
        <w:pStyle w:val="BookText"/>
      </w:pPr>
      <w:r>
        <w:rPr>
          <w:rFonts w:ascii="IRNazanin" w:hAnsi="IRNazanin" w:eastAsia="IRNazanin" w:cs="IRNazanin"/>
          <w:lang w:bidi="fa-IR"/>
          <w:color w:val="111111"/>
          <w:sz w:val="28"/>
          <w:szCs w:val="28"/>
          <w:rtl/>
        </w:rPr>
        <w:t xml:space="preserve">خط: نسخ، کا: محمد على بن رمضانعلی آقا بابا، تا: ۱۲۵۷ق؛ افتادگی: آغاز؛ کاغذ: شکری، جلد: تیماج، ۱۴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[رایانه]</w:t>
      </w:r>
    </w:p>
    <w:p>
      <w:pPr>
        <w:pStyle w:val="BookText"/>
      </w:pPr>
      <w:r>
        <w:rPr>
          <w:rFonts w:ascii="IRNazanin" w:hAnsi="IRNazanin" w:eastAsia="IRNazanin" w:cs="IRNazanin"/>
          <w:lang w:bidi="fa-IR"/>
          <w:color w:val="111111"/>
          <w:sz w:val="28"/>
          <w:szCs w:val="28"/>
          <w:rtl/>
        </w:rPr>
        <w:t xml:space="preserve">۳۹۵. اصفهان؛ مهدوی، مصلح الدین؛ شماره نسخه: ۱۵۷</w:t>
      </w:r>
    </w:p>
    <w:p>
      <w:pPr>
        <w:pStyle w:val="BookText"/>
      </w:pPr>
      <w:r>
        <w:rPr>
          <w:rFonts w:ascii="IRNazanin" w:hAnsi="IRNazanin" w:eastAsia="IRNazanin" w:cs="IRNazanin"/>
          <w:lang w:bidi="fa-IR"/>
          <w:color w:val="111111"/>
          <w:sz w:val="28"/>
          <w:szCs w:val="28"/>
          <w:rtl/>
        </w:rPr>
        <w:t xml:space="preserve">خط: نسخ، كا: سید عبد الحميد بن سید حسین بن سید نقی، تا: ۱۲۵۷ق، جلد: مقوایی با روکش تیماج مشکی، ۱۶۹گ، ۱۳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۱۵۳]</w:t>
      </w:r>
    </w:p>
    <w:p>
      <w:pPr>
        <w:pStyle w:val="BookText"/>
      </w:pPr>
      <w:r>
        <w:rPr>
          <w:rFonts w:ascii="IRNazanin" w:hAnsi="IRNazanin" w:eastAsia="IRNazanin" w:cs="IRNazanin"/>
          <w:lang w:bidi="fa-IR"/>
          <w:color w:val="111111"/>
          <w:sz w:val="28"/>
          <w:szCs w:val="28"/>
          <w:rtl/>
        </w:rPr>
        <w:t xml:space="preserve">۳۹۶. مشهد؛ رضوی؛ شماره نسخه: ۲۴۹۷۹</w:t>
      </w:r>
    </w:p>
    <w:p>
      <w:pPr>
        <w:pStyle w:val="BookText"/>
      </w:pPr>
      <w:r>
        <w:rPr>
          <w:rFonts w:ascii="IRNazanin" w:hAnsi="IRNazanin" w:eastAsia="IRNazanin" w:cs="IRNazanin"/>
          <w:lang w:bidi="fa-IR"/>
          <w:color w:val="111111"/>
          <w:sz w:val="28"/>
          <w:szCs w:val="28"/>
          <w:rtl/>
        </w:rPr>
        <w:t xml:space="preserve">آغاز: برابر؛ انجام: یعنی میان الف و همزه ... سنه ۱۲۵۸ خط: نسخ خفی، بی کا، تا: ۱۲۵۸ق؛ المكتبة الخاصة للسيد كمال الدين الموسوی المرتضوی؛ کاغذ: شکری فرنگی، جلد: تیماج، 19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قطع: وزیری کوچک،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[رایانه ]</w:t>
      </w:r>
    </w:p>
    <w:p>
      <w:pPr>
        <w:pStyle w:val="BookText"/>
      </w:pPr>
      <w:r>
        <w:rPr>
          <w:rFonts w:ascii="IRNazanin" w:hAnsi="IRNazanin" w:eastAsia="IRNazanin" w:cs="IRNazanin"/>
          <w:lang w:bidi="fa-IR"/>
          <w:color w:val="111111"/>
          <w:sz w:val="28"/>
          <w:szCs w:val="28"/>
          <w:rtl/>
        </w:rPr>
        <w:t xml:space="preserve">۳۹۷. تهران؛ ملک؛ شماره نسخه: ۲۸۸۸/۱</w:t>
      </w:r>
    </w:p>
    <w:p>
      <w:pPr>
        <w:pStyle w:val="BookText"/>
      </w:pPr>
      <w:r>
        <w:rPr>
          <w:rFonts w:ascii="IRNazanin" w:hAnsi="IRNazanin" w:eastAsia="IRNazanin" w:cs="IRNazanin"/>
          <w:lang w:bidi="fa-IR"/>
          <w:color w:val="111111"/>
          <w:sz w:val="28"/>
          <w:szCs w:val="28"/>
          <w:rtl/>
        </w:rPr>
        <w:t xml:space="preserve">خط: نسخ، كان محمد ابراهیم خوانساری، تا: ۱۲۵۹ق؛ کاغذ: پسته ای، جلد: میشن قهوه ای ضربی مقوایی، ۱۵۸گی (۱۸پ۔ ۱۷۵ر)، ۲۸ سطر، اندازه: ۱۱/۷</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۶-۱۵۸]</w:t>
      </w:r>
    </w:p>
    <w:p>
      <w:pPr>
        <w:pStyle w:val="BookText"/>
      </w:pPr>
      <w:r>
        <w:rPr>
          <w:rFonts w:ascii="IRNazanin" w:hAnsi="IRNazanin" w:eastAsia="IRNazanin" w:cs="IRNazanin"/>
          <w:lang w:bidi="fa-IR"/>
          <w:color w:val="111111"/>
          <w:sz w:val="28"/>
          <w:szCs w:val="28"/>
          <w:rtl/>
        </w:rPr>
        <w:t xml:space="preserve">۳۹۸. تهران: ملی؛ شماره نسخه: ۲۲۴۵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بی کا، تا: ۱۰ ربیع الاول ۱۲۵۹ق؛ محشی با نشان عقیل»، «ابن عقیل»، «عبدالغفار» «شواهد»، «المحرره ۱۲۶۲ و ۱۲۶۳»، «محمود الكرمائی ۱۲۶۳»؛ مهر: «ابن حسن الموسوی» (چهار گوش)؛ کاغذ: فرنگی سپید شکری، جلد: تیماج زرد یک لا با جدول ضربی، ۱۴۷گی، ۱۶سطر [ف: ۱۱-۶۳۳]</w:t>
      </w:r>
    </w:p>
    <w:p>
      <w:pPr>
        <w:pStyle w:val="BookText"/>
      </w:pPr>
      <w:r>
        <w:rPr>
          <w:rFonts w:ascii="IRNazanin" w:hAnsi="IRNazanin" w:eastAsia="IRNazanin" w:cs="IRNazanin"/>
          <w:lang w:bidi="fa-IR"/>
          <w:color w:val="111111"/>
          <w:sz w:val="28"/>
          <w:szCs w:val="28"/>
          <w:rtl/>
        </w:rPr>
        <w:t xml:space="preserve">۳۹۹. یزد؛ وزیری؛ شماره نسخه: ۱۰۳۱</w:t>
      </w:r>
    </w:p>
    <w:p>
      <w:pPr>
        <w:pStyle w:val="BookText"/>
      </w:pPr>
      <w:r>
        <w:rPr>
          <w:rFonts w:ascii="IRNazanin" w:hAnsi="IRNazanin" w:eastAsia="IRNazanin" w:cs="IRNazanin"/>
          <w:lang w:bidi="fa-IR"/>
          <w:color w:val="111111"/>
          <w:sz w:val="28"/>
          <w:szCs w:val="28"/>
          <w:rtl/>
        </w:rPr>
        <w:t xml:space="preserve">خط: نسخ، كا: ابوالحسن بن آقا میرزا علی رضا، تا: ۱۲۵۹ق؛ افتادگی: آغاز؛ سه برگ پایان از شواهد اشعار سیوطی تأليف نظام الدين بن احمد اردبیلی دیده می شود؛ اهدائی: وزیری؛ کاغذ: اصفهانی، جلد: مقوایی تیماج تریاکی، ۱۷۳گ، ۱۵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۳-۸۲۸]</w:t>
      </w:r>
    </w:p>
    <w:p>
      <w:pPr>
        <w:pStyle w:val="BookText"/>
      </w:pPr>
      <w:r>
        <w:rPr>
          <w:rFonts w:ascii="IRNazanin" w:hAnsi="IRNazanin" w:eastAsia="IRNazanin" w:cs="IRNazanin"/>
          <w:lang w:bidi="fa-IR"/>
          <w:color w:val="111111"/>
          <w:sz w:val="28"/>
          <w:szCs w:val="28"/>
          <w:rtl/>
        </w:rPr>
        <w:t xml:space="preserve">۴۰۰. همدان؛ همراه، رضا، شماره نسخه: ۵</w:t>
      </w:r>
    </w:p>
    <w:p>
      <w:pPr>
        <w:pStyle w:val="BookText"/>
      </w:pPr>
      <w:r>
        <w:rPr>
          <w:rFonts w:ascii="IRNazanin" w:hAnsi="IRNazanin" w:eastAsia="IRNazanin" w:cs="IRNazanin"/>
          <w:lang w:bidi="fa-IR"/>
          <w:color w:val="111111"/>
          <w:sz w:val="28"/>
          <w:szCs w:val="28"/>
          <w:rtl/>
        </w:rPr>
        <w:t xml:space="preserve">خط: نسخ، بی کا، تا: جمادی الاول ۱۲۵۹ق؛ مهر: علی اکبر»؛ کاغذ: فرنگی،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[رشت و همدان: ف: ۱۶۸۸]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۴۰۱. سمنان؛ مدرسه صادقیه؛ شماره نسخه: ۲۳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عباسعلی بن محمد، تا: ۱۲۵۹ق؛ جلد: تیماج مشکی با روکش پلاستیک، ۱۰۱گ، ۱۴ سطر، قطع: خشتی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مخ]</w:t>
      </w:r>
    </w:p>
    <w:p>
      <w:pPr>
        <w:pStyle w:val="BookText"/>
      </w:pPr>
      <w:r>
        <w:rPr>
          <w:rFonts w:ascii="IRNazanin" w:hAnsi="IRNazanin" w:eastAsia="IRNazanin" w:cs="IRNazanin"/>
          <w:lang w:bidi="fa-IR"/>
          <w:color w:val="111111"/>
          <w:sz w:val="28"/>
          <w:szCs w:val="28"/>
          <w:rtl/>
        </w:rPr>
        <w:t xml:space="preserve">۴۰۲. اصفهان؛ مدرسه صدر بازار؛ شماره نسخه: ۲۹۷/۲</w:t>
      </w:r>
    </w:p>
    <w:p>
      <w:pPr>
        <w:pStyle w:val="BookText"/>
      </w:pPr>
      <w:r>
        <w:rPr>
          <w:rFonts w:ascii="IRNazanin" w:hAnsi="IRNazanin" w:eastAsia="IRNazanin" w:cs="IRNazanin"/>
          <w:lang w:bidi="fa-IR"/>
          <w:color w:val="111111"/>
          <w:sz w:val="28"/>
          <w:szCs w:val="28"/>
          <w:rtl/>
        </w:rPr>
        <w:t xml:space="preserve">خط: نسخ، بی کا، تا: پنج شنبه ۶ جمادی الثانی ۱۲۵۹ق؛ محشی؛ ۱۰۸گ (۱۸-۱۲۵پ)،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۱-۲۱۱]</w:t>
      </w:r>
    </w:p>
    <w:p>
      <w:pPr>
        <w:pStyle w:val="BookText"/>
      </w:pPr>
      <w:r>
        <w:rPr>
          <w:rFonts w:ascii="IRNazanin" w:hAnsi="IRNazanin" w:eastAsia="IRNazanin" w:cs="IRNazanin"/>
          <w:lang w:bidi="fa-IR"/>
          <w:color w:val="111111"/>
          <w:sz w:val="28"/>
          <w:szCs w:val="28"/>
          <w:rtl/>
        </w:rPr>
        <w:t xml:space="preserve">۴۰۳. تهران: حوزه آستان حضرت عبدالعظیم، شماره نسخه: ۶۳</w:t>
      </w:r>
    </w:p>
    <w:p>
      <w:pPr>
        <w:pStyle w:val="BookText"/>
      </w:pPr>
      <w:r>
        <w:rPr>
          <w:rFonts w:ascii="IRNazanin" w:hAnsi="IRNazanin" w:eastAsia="IRNazanin" w:cs="IRNazanin"/>
          <w:lang w:bidi="fa-IR"/>
          <w:color w:val="111111"/>
          <w:sz w:val="28"/>
          <w:szCs w:val="28"/>
          <w:rtl/>
        </w:rPr>
        <w:t xml:space="preserve">خط: نسخ، كا: محمد حسن بن محمد باقر حسنی حسینی، تا: پنج شنبه ۶ محرم ۱۲۶۰ق؛ چند تاریخ مربوط به حکومت قاجاریان ثبت شده از جمله وفات عباس میرزا در مشهد به سال یازدهم جمادی الاولی ۱۲۴۹ و صدارت میرزا آقا خان در ۲۵ محرم ۱۲۶۹، وفات محمد خان امیر نظام در ۲۶ رمضان ۱۲۵۷ و ...) جلد: تیماج مشکی مجدول با ترنج و سرترنج، ۷۹گ، ۱۸سطر،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۳۱سم [ف: ۱۸]</w:t>
      </w:r>
    </w:p>
    <w:p>
      <w:pPr>
        <w:pStyle w:val="BookText"/>
      </w:pPr>
      <w:r>
        <w:rPr>
          <w:rFonts w:ascii="IRNazanin" w:hAnsi="IRNazanin" w:eastAsia="IRNazanin" w:cs="IRNazanin"/>
          <w:lang w:bidi="fa-IR"/>
          <w:color w:val="111111"/>
          <w:sz w:val="28"/>
          <w:szCs w:val="28"/>
          <w:rtl/>
        </w:rPr>
        <w:t xml:space="preserve">۴۰۴. بابل؛ خاتم الانبیاء؛ شماره نسخه: ۱۹۸</w:t>
      </w:r>
    </w:p>
    <w:p>
      <w:pPr>
        <w:pStyle w:val="BookText"/>
      </w:pPr>
      <w:r>
        <w:rPr>
          <w:rFonts w:ascii="IRNazanin" w:hAnsi="IRNazanin" w:eastAsia="IRNazanin" w:cs="IRNazanin"/>
          <w:lang w:bidi="fa-IR"/>
          <w:color w:val="111111"/>
          <w:sz w:val="28"/>
          <w:szCs w:val="28"/>
          <w:rtl/>
        </w:rPr>
        <w:t xml:space="preserve">خط: نستعلیق، کا: محمد على سولدهی، تا: ۱۲۶۰ق، واقف: اسدالله مازندرانی نوری، غره شعبان ۱۲۶۲ق؛ جلد: تیماج تيماج قهوه ای، ۱۴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۱۳۷]</w:t>
      </w:r>
    </w:p>
    <w:p>
      <w:pPr>
        <w:pStyle w:val="BookText"/>
      </w:pPr>
      <w:r>
        <w:rPr>
          <w:rFonts w:ascii="IRNazanin" w:hAnsi="IRNazanin" w:eastAsia="IRNazanin" w:cs="IRNazanin"/>
          <w:lang w:bidi="fa-IR"/>
          <w:color w:val="111111"/>
          <w:sz w:val="28"/>
          <w:szCs w:val="28"/>
          <w:rtl/>
        </w:rPr>
        <w:t xml:space="preserve">۴۰۵. یزد؛ وزیری؛ شماره نسخه: ۱۳۷۸</w:t>
      </w:r>
    </w:p>
    <w:p>
      <w:pPr>
        <w:pStyle w:val="BookText"/>
      </w:pPr>
      <w:r>
        <w:rPr>
          <w:rFonts w:ascii="IRNazanin" w:hAnsi="IRNazanin" w:eastAsia="IRNazanin" w:cs="IRNazanin"/>
          <w:lang w:bidi="fa-IR"/>
          <w:color w:val="111111"/>
          <w:sz w:val="28"/>
          <w:szCs w:val="28"/>
          <w:rtl/>
        </w:rPr>
        <w:t xml:space="preserve">خط: نسخ، كا: محمد حسین بن محمد، تا: ربيع الثانی ۱۲۶۰ق؛ اهدایی: وزیری؛ کاغذ: اصفهانی، جلد: تیماج تریاکی، ۱۷۱گ، ۱۵ سطر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۹سم [ف: ۳-۹۴۳]</w:t>
      </w:r>
    </w:p>
    <w:p>
      <w:pPr>
        <w:pStyle w:val="BookText"/>
      </w:pPr>
      <w:r>
        <w:rPr>
          <w:rFonts w:ascii="IRNazanin" w:hAnsi="IRNazanin" w:eastAsia="IRNazanin" w:cs="IRNazanin"/>
          <w:lang w:bidi="fa-IR"/>
          <w:color w:val="111111"/>
          <w:sz w:val="28"/>
          <w:szCs w:val="28"/>
          <w:rtl/>
        </w:rPr>
        <w:t xml:space="preserve">۴۰۶. مشهد؛ رضوی؛ شماره نسخه: ۲۴۰۴۵</w:t>
      </w:r>
    </w:p>
    <w:p>
      <w:pPr>
        <w:pStyle w:val="BookText"/>
      </w:pPr>
      <w:r>
        <w:rPr>
          <w:rFonts w:ascii="IRNazanin" w:hAnsi="IRNazanin" w:eastAsia="IRNazanin" w:cs="IRNazanin"/>
          <w:lang w:bidi="fa-IR"/>
          <w:color w:val="111111"/>
          <w:sz w:val="28"/>
          <w:szCs w:val="28"/>
          <w:rtl/>
        </w:rPr>
        <w:t xml:space="preserve">آغاز: برابر؛ انجام: باری بیادگار بماند خط سیاه خط: نسخ، كا: ابراهيم بن هاشم ادراکی، تا: ۱۲۶۱ق؛ کاغذ: نباتی، جلد: مقوا، ۱۵ سطر (۱۷۶۷)،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[رایانه]</w:t>
      </w:r>
    </w:p>
    <w:p>
      <w:pPr>
        <w:pStyle w:val="BookText"/>
      </w:pPr>
      <w:r>
        <w:rPr>
          <w:rFonts w:ascii="IRNazanin" w:hAnsi="IRNazanin" w:eastAsia="IRNazanin" w:cs="IRNazanin"/>
          <w:lang w:bidi="fa-IR"/>
          <w:color w:val="111111"/>
          <w:sz w:val="28"/>
          <w:szCs w:val="28"/>
          <w:rtl/>
        </w:rPr>
        <w:t xml:space="preserve">۴۰۷. یزد؛ وزیری؛ شماره نسخه: ۳۱۰۴</w:t>
      </w:r>
    </w:p>
    <w:p>
      <w:pPr>
        <w:pStyle w:val="BookText"/>
      </w:pPr>
      <w:r>
        <w:rPr>
          <w:rFonts w:ascii="IRNazanin" w:hAnsi="IRNazanin" w:eastAsia="IRNazanin" w:cs="IRNazanin"/>
          <w:lang w:bidi="fa-IR"/>
          <w:color w:val="111111"/>
          <w:sz w:val="28"/>
          <w:szCs w:val="28"/>
          <w:rtl/>
        </w:rPr>
        <w:t xml:space="preserve">خط: نسخ، بی کا، تا: شوال ۱۲۶۱ق؛ محشی با نشانه «زکریا» و مرادی» و «میرزا ابوطالب» و «از هری» و «سید علی خان»؛ مهر تملك «محمد باقر»؛ کاغذ: اصفهانی آهار مهره، جلد: مقوایی با تیماج مشکی درون کاغذ چهره ای، ۱۲۰گ، ۱۵ سطر (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۵-۱۵۳۳]</w:t>
      </w:r>
    </w:p>
    <w:p>
      <w:pPr>
        <w:pStyle w:val="BookText"/>
      </w:pPr>
      <w:r>
        <w:rPr>
          <w:rFonts w:ascii="IRNazanin" w:hAnsi="IRNazanin" w:eastAsia="IRNazanin" w:cs="IRNazanin"/>
          <w:lang w:bidi="fa-IR"/>
          <w:color w:val="111111"/>
          <w:sz w:val="28"/>
          <w:szCs w:val="28"/>
          <w:rtl/>
        </w:rPr>
        <w:t xml:space="preserve">۴۰۸. تهران؛ الهیات؛ شماره نسخه: ۴۰</w:t>
      </w:r>
    </w:p>
    <w:p>
      <w:pPr>
        <w:pStyle w:val="BookText"/>
      </w:pPr>
      <w:r>
        <w:rPr>
          <w:rFonts w:ascii="IRNazanin" w:hAnsi="IRNazanin" w:eastAsia="IRNazanin" w:cs="IRNazanin"/>
          <w:lang w:bidi="fa-IR"/>
          <w:color w:val="111111"/>
          <w:sz w:val="28"/>
          <w:szCs w:val="28"/>
          <w:rtl/>
        </w:rPr>
        <w:t xml:space="preserve">خط: نسخ، كا: گماشته سر کار آقا غلامرضا، تا: دوشنبه ۱۲۶۱ق؛ تملک: میرزا علی با مهر سیف الله الحسینی؛ کاغذ: فرنگی، جلد: تیماج مشکی مقوایی، ۱۶۷گ، ۱۵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۴۷۷]</w:t>
      </w:r>
    </w:p>
    <w:p>
      <w:pPr>
        <w:pStyle w:val="BookText"/>
      </w:pPr>
      <w:r>
        <w:rPr>
          <w:rFonts w:ascii="IRNazanin" w:hAnsi="IRNazanin" w:eastAsia="IRNazanin" w:cs="IRNazanin"/>
          <w:lang w:bidi="fa-IR"/>
          <w:color w:val="111111"/>
          <w:sz w:val="28"/>
          <w:szCs w:val="28"/>
          <w:rtl/>
        </w:rPr>
        <w:t xml:space="preserve">۴۰۹. تبریز؛ ملی؛ شماره نسخه: ۲۸۲۲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پخته، کا: محمد تقی دزفولی، تا: ۱۲۶۱ق؛ جلد: چرمی ضربی نرم، ۷۲گ، ۱۹سطر،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۲-۸۴۴]</w:t>
      </w:r>
    </w:p>
    <w:p>
      <w:pPr>
        <w:pStyle w:val="BookText"/>
      </w:pPr>
      <w:r>
        <w:rPr>
          <w:rFonts w:ascii="IRNazanin" w:hAnsi="IRNazanin" w:eastAsia="IRNazanin" w:cs="IRNazanin"/>
          <w:lang w:bidi="fa-IR"/>
          <w:color w:val="111111"/>
          <w:sz w:val="28"/>
          <w:szCs w:val="28"/>
          <w:rtl/>
        </w:rPr>
        <w:t xml:space="preserve">۴۱۰. قم؛ گلپایگانی؛ شماره نسخه: ۴۲۰۵/۱ - ۲۱/۱۲۵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محمدرضا بن حاجی قاسم خوانساری، تا: دوشنبه و ذیقعده ۱۲۶۱ق؛ جلد: تیماج مشکی ضربی جدولدار، ۷۰گ، ۱۹ سطر، اندازه: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۲۰سم [ف: ۲-۶۳۸]</w:t>
      </w:r>
    </w:p>
    <w:p>
      <w:pPr>
        <w:pStyle w:val="BookText"/>
      </w:pPr>
      <w:r>
        <w:rPr>
          <w:rFonts w:ascii="IRNazanin" w:hAnsi="IRNazanin" w:eastAsia="IRNazanin" w:cs="IRNazanin"/>
          <w:lang w:bidi="fa-IR"/>
          <w:color w:val="111111"/>
          <w:sz w:val="28"/>
          <w:szCs w:val="28"/>
          <w:rtl/>
        </w:rPr>
        <w:t xml:space="preserve">۴۱۱. تهران: حوزه آستان حضرت عبدالعظیم؛ شماره نسخه: ۴۲</w:t>
      </w:r>
    </w:p>
    <w:p>
      <w:pPr>
        <w:pStyle w:val="BookText"/>
      </w:pPr>
      <w:r>
        <w:rPr>
          <w:rFonts w:ascii="IRNazanin" w:hAnsi="IRNazanin" w:eastAsia="IRNazanin" w:cs="IRNazanin"/>
          <w:lang w:bidi="fa-IR"/>
          <w:color w:val="111111"/>
          <w:sz w:val="28"/>
          <w:szCs w:val="28"/>
          <w:rtl/>
        </w:rPr>
        <w:t xml:space="preserve">خط: نسخ، كا: محمد قدیر بن ملا عبدالرحیم سولقانی، تا: جمادی الاول ۱۲۶۱ق؛ محشی به نقل از شروح الفيه؛ جلد: تیماج قهوه ای مجدول با ترنج و سرترنج، ۱۹۵ گ، ۱۲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۱۸]</w:t>
      </w:r>
    </w:p>
    <w:p>
      <w:pPr>
        <w:pStyle w:val="BookText"/>
      </w:pPr>
      <w:r>
        <w:rPr>
          <w:rFonts w:ascii="IRNazanin" w:hAnsi="IRNazanin" w:eastAsia="IRNazanin" w:cs="IRNazanin"/>
          <w:lang w:bidi="fa-IR"/>
          <w:color w:val="111111"/>
          <w:sz w:val="28"/>
          <w:szCs w:val="28"/>
          <w:rtl/>
        </w:rPr>
        <w:t xml:space="preserve">۴۱۲. چالوس؛ امام صادق؛ شماره نسخه: ۳۳۹/۱</w:t>
      </w:r>
    </w:p>
    <w:p>
      <w:pPr>
        <w:pStyle w:val="BookText"/>
      </w:pPr>
      <w:r>
        <w:rPr>
          <w:rFonts w:ascii="IRNazanin" w:hAnsi="IRNazanin" w:eastAsia="IRNazanin" w:cs="IRNazanin"/>
          <w:lang w:bidi="fa-IR"/>
          <w:color w:val="111111"/>
          <w:sz w:val="28"/>
          <w:szCs w:val="28"/>
          <w:rtl/>
        </w:rPr>
        <w:t xml:space="preserve">خط: نسخ، كا: على اكبر، تا: ۱۲۶۱ق؛ محشی؛ جلد: تیماج سیاه، ۱۴سطر،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۲۲۰]</w:t>
      </w:r>
    </w:p>
    <w:p>
      <w:pPr>
        <w:pStyle w:val="BookText"/>
      </w:pPr>
      <w:r>
        <w:rPr>
          <w:rFonts w:ascii="IRNazanin" w:hAnsi="IRNazanin" w:eastAsia="IRNazanin" w:cs="IRNazanin"/>
          <w:lang w:bidi="fa-IR"/>
          <w:color w:val="111111"/>
          <w:sz w:val="28"/>
          <w:szCs w:val="28"/>
          <w:rtl/>
        </w:rPr>
        <w:t xml:space="preserve">۴۱۳. قم؛ ارگانی بهبهانی؛ شماره نسخه: 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بی کا، تا: شعبان ۱۲۶۱ق؛ مصحح، محشی؛ مهر: «محمد باقر» (بیضوی)، «محمد علی الحسینی» (بیضوی)؛ جلد: قهوه ای با ترنج و سرترنج ضربی، ۱۴۶ گ، ۱۹ سطر،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۲۸]</w:t>
      </w:r>
    </w:p>
    <w:p>
      <w:pPr>
        <w:pStyle w:val="BookText"/>
      </w:pPr>
      <w:r>
        <w:rPr>
          <w:rFonts w:ascii="IRNazanin" w:hAnsi="IRNazanin" w:eastAsia="IRNazanin" w:cs="IRNazanin"/>
          <w:lang w:bidi="fa-IR"/>
          <w:color w:val="111111"/>
          <w:sz w:val="28"/>
          <w:szCs w:val="28"/>
          <w:rtl/>
        </w:rPr>
        <w:t xml:space="preserve">۴۱۴. قم؛ فاضل قائینی؛ شماره نسخه: بدون شماره</w:t>
      </w:r>
    </w:p>
    <w:p>
      <w:pPr>
        <w:pStyle w:val="BookText"/>
      </w:pPr>
      <w:r>
        <w:rPr>
          <w:rFonts w:ascii="IRNazanin" w:hAnsi="IRNazanin" w:eastAsia="IRNazanin" w:cs="IRNazanin"/>
          <w:lang w:bidi="fa-IR"/>
          <w:color w:val="111111"/>
          <w:sz w:val="28"/>
          <w:szCs w:val="28"/>
          <w:rtl/>
        </w:rPr>
        <w:t xml:space="preserve">بی کا، تا: ۱۲۶۱ق [تراثنا: س۱۳ش ۱-۱۳۸]</w:t>
      </w:r>
    </w:p>
    <w:p>
      <w:pPr>
        <w:pStyle w:val="BookText"/>
      </w:pPr>
      <w:r>
        <w:rPr>
          <w:rFonts w:ascii="IRNazanin" w:hAnsi="IRNazanin" w:eastAsia="IRNazanin" w:cs="IRNazanin"/>
          <w:lang w:bidi="fa-IR"/>
          <w:color w:val="111111"/>
          <w:sz w:val="28"/>
          <w:szCs w:val="28"/>
          <w:rtl/>
        </w:rPr>
        <w:t xml:space="preserve">۴۱۵. مشهد؛ نواب؛ شماره نسخه: ۶۹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ابراهیم، تا: ۱۲۶۱ق، جا: بار فروشی مدرسه گلشن؛ کاغذ: فرنگی، جلد: تیماج قهوه ای ضربی، ۹۹گ، ۱۷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۸۰]</w:t>
      </w:r>
    </w:p>
    <w:p>
      <w:pPr>
        <w:pStyle w:val="BookText"/>
      </w:pPr>
      <w:r>
        <w:rPr>
          <w:rFonts w:ascii="IRNazanin" w:hAnsi="IRNazanin" w:eastAsia="IRNazanin" w:cs="IRNazanin"/>
          <w:lang w:bidi="fa-IR"/>
          <w:color w:val="111111"/>
          <w:sz w:val="28"/>
          <w:szCs w:val="28"/>
          <w:rtl/>
        </w:rPr>
        <w:t xml:space="preserve">۴۱۶. خوی؛ نمازی؛ شماره نسخه: ۸۲۴</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كا: مرتضی بین مصطفى بن على اكبر بن حاجی عسکر بن صاروخان خویی، تا: دوشنبه ۲۵ محرم ۱۲۶۱ق؛ جلد: تیماج مشکی ضربی، ۱۵۶گ، ۱۵ سطر، اندازه: ۱۵/۵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میراث اسلامی: دفتر نهم -۸۵]</w:t>
      </w:r>
    </w:p>
    <w:p>
      <w:pPr>
        <w:pStyle w:val="BookText"/>
      </w:pPr>
      <w:r>
        <w:rPr>
          <w:rFonts w:ascii="IRNazanin" w:hAnsi="IRNazanin" w:eastAsia="IRNazanin" w:cs="IRNazanin"/>
          <w:lang w:bidi="fa-IR"/>
          <w:color w:val="111111"/>
          <w:sz w:val="28"/>
          <w:szCs w:val="28"/>
          <w:rtl/>
        </w:rPr>
        <w:t xml:space="preserve">۴۱۷. خوانسار؛ مدرسه علوی؛ شماره نسخه: بدون شماره</w:t>
      </w:r>
    </w:p>
    <w:p>
      <w:pPr>
        <w:pStyle w:val="BookText"/>
      </w:pPr>
      <w:r>
        <w:rPr>
          <w:rFonts w:ascii="IRNazanin" w:hAnsi="IRNazanin" w:eastAsia="IRNazanin" w:cs="IRNazanin"/>
          <w:lang w:bidi="fa-IR"/>
          <w:color w:val="111111"/>
          <w:sz w:val="28"/>
          <w:szCs w:val="28"/>
          <w:rtl/>
        </w:rPr>
        <w:t xml:space="preserve">خط: نسخ درشت، کا: ابن حسین، محمد موسوی، تا: ۱۲۶۲ق؛ ۱۱۸گ، ۱۵ سطر،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 [ آینه پژوهش: سال ۴ش ۲۲-۹۹]</w:t>
      </w:r>
    </w:p>
    <w:p>
      <w:pPr>
        <w:pStyle w:val="BookText"/>
      </w:pPr>
      <w:r>
        <w:rPr>
          <w:rFonts w:ascii="IRNazanin" w:hAnsi="IRNazanin" w:eastAsia="IRNazanin" w:cs="IRNazanin"/>
          <w:lang w:bidi="fa-IR"/>
          <w:color w:val="111111"/>
          <w:sz w:val="28"/>
          <w:szCs w:val="28"/>
          <w:rtl/>
        </w:rPr>
        <w:t xml:space="preserve">۴۱۸. قم؛ گلپایگانی؛ شماره نسخه: ۲۲۲۷/۱ - ۱۲/۱۱۷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رمضانعلی بن محمد مهدي (كاتب قسمتی از نسخه)، تا: پنج شنبه 19 ربيع الثانی ۱۲۶۲ق، ۲۱۰گ، ۱۲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۲-۶۳۷]</w:t>
      </w:r>
    </w:p>
    <w:p>
      <w:pPr>
        <w:pStyle w:val="BookText"/>
      </w:pPr>
      <w:r>
        <w:rPr>
          <w:rFonts w:ascii="IRNazanin" w:hAnsi="IRNazanin" w:eastAsia="IRNazanin" w:cs="IRNazanin"/>
          <w:lang w:bidi="fa-IR"/>
          <w:color w:val="111111"/>
          <w:sz w:val="28"/>
          <w:szCs w:val="28"/>
          <w:rtl/>
        </w:rPr>
        <w:t xml:space="preserve">۴۱۹. قم؛ گلپایگانی؛ شماره نسخه: ۲۳۵۰- ۱۳/۳۰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حسن بن حسن حسینی، تا: رمضان ۱۲۶۲ق؛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غزلی از حاج میرزا عبدالرحیم ششدهی فسائی حسینی متخلص به عشرت، تاریخ فوت ملا احمد اردبیلی و آقا سید ابراهیم بهبهانی در ۱۲۶۲ از مرض وبا، قطعه ای در جلوی فتحعلی شاه قاجار از فتحعلی صبا، قطعه ای در تاریخ فوت حاجی علی اکبر نایب الصدر؛ جلد: طبله رو تیماج مجدول گرهی ضربی طبله پشت مقوا عطف مشمای قهوه ای، ۱۵۴ گ، ۱۴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۶۳۷-۲ ]</w:t>
      </w:r>
    </w:p>
    <w:p>
      <w:pPr>
        <w:pStyle w:val="BookText"/>
      </w:pPr>
      <w:r>
        <w:rPr>
          <w:rFonts w:ascii="IRNazanin" w:hAnsi="IRNazanin" w:eastAsia="IRNazanin" w:cs="IRNazanin"/>
          <w:lang w:bidi="fa-IR"/>
          <w:color w:val="111111"/>
          <w:sz w:val="28"/>
          <w:szCs w:val="28"/>
          <w:rtl/>
        </w:rPr>
        <w:t xml:space="preserve">۴۲۰. تهران؛ ملی؛ شماره نسخه: ۲۷۳۶</w:t>
      </w:r>
    </w:p>
    <w:p>
      <w:pPr>
        <w:pStyle w:val="BookText"/>
      </w:pPr>
      <w:r>
        <w:rPr>
          <w:rFonts w:ascii="IRNazanin" w:hAnsi="IRNazanin" w:eastAsia="IRNazanin" w:cs="IRNazanin"/>
          <w:lang w:bidi="fa-IR"/>
          <w:color w:val="111111"/>
          <w:sz w:val="28"/>
          <w:szCs w:val="28"/>
          <w:rtl/>
        </w:rPr>
        <w:t xml:space="preserve">خط: نسخ، كا: میرزا محمد ابراهيم محمود کردار، تا: ۱۲۶۲ق؛ مصحح؛ کاغذ: فرنگی فستقی، جلد: گالینگور مقوایی عطف تیماج سرمه ای، ۱۹۹، ۱۴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۲۰۰-۱۳]</w:t>
      </w:r>
    </w:p>
    <w:p>
      <w:pPr>
        <w:pStyle w:val="BookText"/>
      </w:pPr>
      <w:r>
        <w:rPr>
          <w:rFonts w:ascii="IRNazanin" w:hAnsi="IRNazanin" w:eastAsia="IRNazanin" w:cs="IRNazanin"/>
          <w:lang w:bidi="fa-IR"/>
          <w:color w:val="111111"/>
          <w:sz w:val="28"/>
          <w:szCs w:val="28"/>
          <w:rtl/>
        </w:rPr>
        <w:t xml:space="preserve">۴۲۱. مشهد؛ رضوی؛ شماره نسخه: ۱۸۲۹۱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شعبان على سلطان آبادی، تا: ۱۲۶۲ق؛ کاغذ: شکری، ۱۴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[رایانه ]</w:t>
      </w:r>
    </w:p>
    <w:p>
      <w:pPr>
        <w:pStyle w:val="BookText"/>
      </w:pPr>
      <w:r>
        <w:rPr>
          <w:rFonts w:ascii="IRNazanin" w:hAnsi="IRNazanin" w:eastAsia="IRNazanin" w:cs="IRNazanin"/>
          <w:lang w:bidi="fa-IR"/>
          <w:color w:val="111111"/>
          <w:sz w:val="28"/>
          <w:szCs w:val="28"/>
          <w:rtl/>
        </w:rPr>
        <w:t xml:space="preserve">۴۲۲. قم؛ حجتیه؛ شماره نسخه: ۱۵۹</w:t>
      </w:r>
    </w:p>
    <w:p>
      <w:pPr>
        <w:pStyle w:val="BookText"/>
      </w:pPr>
      <w:r>
        <w:rPr>
          <w:rFonts w:ascii="IRNazanin" w:hAnsi="IRNazanin" w:eastAsia="IRNazanin" w:cs="IRNazanin"/>
          <w:lang w:bidi="fa-IR"/>
          <w:color w:val="111111"/>
          <w:sz w:val="28"/>
          <w:szCs w:val="28"/>
          <w:rtl/>
        </w:rPr>
        <w:t xml:space="preserve">خط: نسخ، بی کا، تا: ۱۲۶۲ق [ف: ۳۹]</w:t>
      </w:r>
    </w:p>
    <w:p>
      <w:pPr>
        <w:pStyle w:val="BookText"/>
      </w:pPr>
      <w:r>
        <w:rPr>
          <w:rFonts w:ascii="IRNazanin" w:hAnsi="IRNazanin" w:eastAsia="IRNazanin" w:cs="IRNazanin"/>
          <w:lang w:bidi="fa-IR"/>
          <w:color w:val="111111"/>
          <w:sz w:val="28"/>
          <w:szCs w:val="28"/>
          <w:rtl/>
        </w:rPr>
        <w:t xml:space="preserve">۴۲۳. قم؛ مسجد اعظم، شماره نسخه: ۲۵۰۴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میرزا محمد حسینی، تا: محرم ۱۲۶۲ق؛ جلد:</w:t>
      </w:r>
    </w:p>
    <w:p>
      <w:pPr>
        <w:pStyle w:val="BookText"/>
      </w:pPr>
      <w:r>
        <w:rPr>
          <w:rFonts w:ascii="IRNazanin" w:hAnsi="IRNazanin" w:eastAsia="IRNazanin" w:cs="IRNazanin"/>
          <w:lang w:bidi="fa-IR"/>
          <w:color w:val="111111"/>
          <w:sz w:val="28"/>
          <w:szCs w:val="28"/>
          <w:rtl/>
        </w:rPr>
        <w:t xml:space="preserve">تیماج سیاه، ۱۷۴ گ، ۱۴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مخ: ۱-۲۸۳]</w:t>
      </w:r>
    </w:p>
    <w:p>
      <w:pPr>
        <w:pStyle w:val="BookText"/>
      </w:pPr>
      <w:r>
        <w:rPr>
          <w:rFonts w:ascii="IRNazanin" w:hAnsi="IRNazanin" w:eastAsia="IRNazanin" w:cs="IRNazanin"/>
          <w:lang w:bidi="fa-IR"/>
          <w:color w:val="111111"/>
          <w:sz w:val="28"/>
          <w:szCs w:val="28"/>
          <w:rtl/>
        </w:rPr>
        <w:t xml:space="preserve">۴۲۴. قم، گلپایگانی؛ شماره نسخه: ۸۴۲۵/۱ - ۵۷/۹۵</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کامل؛ خط: نسخ، كا: محمد مهدی بن عباس کازرونی، تا: جمادی الاول ۱۲۶۲ق، ۹۰گ (۱-۹۰)، ۱۹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۲-۶۳۹]</w:t>
      </w:r>
    </w:p>
    <w:p>
      <w:pPr>
        <w:pStyle w:val="BookText"/>
      </w:pPr>
      <w:r>
        <w:rPr>
          <w:rFonts w:ascii="IRNazanin" w:hAnsi="IRNazanin" w:eastAsia="IRNazanin" w:cs="IRNazanin"/>
          <w:lang w:bidi="fa-IR"/>
          <w:color w:val="111111"/>
          <w:sz w:val="28"/>
          <w:szCs w:val="28"/>
          <w:rtl/>
        </w:rPr>
        <w:t xml:space="preserve">۴۲۵. مشهد؛ رضوی؛ شماره نسخه: ۲۹۳۱۲</w:t>
      </w:r>
    </w:p>
    <w:p>
      <w:pPr>
        <w:pStyle w:val="BookText"/>
      </w:pPr>
      <w:r>
        <w:rPr>
          <w:rFonts w:ascii="IRNazanin" w:hAnsi="IRNazanin" w:eastAsia="IRNazanin" w:cs="IRNazanin"/>
          <w:lang w:bidi="fa-IR"/>
          <w:color w:val="111111"/>
          <w:sz w:val="28"/>
          <w:szCs w:val="28"/>
          <w:rtl/>
        </w:rPr>
        <w:t xml:space="preserve">آغاز: برابر؛ انجام: من الالف کبويع و باء الساكنة مفردة في غير جميع كموس ...</w:t>
      </w:r>
    </w:p>
    <w:p>
      <w:pPr>
        <w:pStyle w:val="BookText"/>
      </w:pPr>
      <w:r>
        <w:rPr>
          <w:rFonts w:ascii="IRNazanin" w:hAnsi="IRNazanin" w:eastAsia="IRNazanin" w:cs="IRNazanin"/>
          <w:lang w:bidi="fa-IR"/>
          <w:color w:val="111111"/>
          <w:sz w:val="28"/>
          <w:szCs w:val="28"/>
          <w:rtl/>
        </w:rPr>
        <w:t xml:space="preserve">خط: نستعلیق جلی ممتاز، بی کا، تا: ۱۲۶۳ق؛ افتادگی: انجام؛ کاغذ الوان، جلد: گالینگور مزین به عطف و گوشه قهوهای سوخته، ۲۱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۱۶/۷)، قطع: وزیری،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[رایانه ]</w:t>
      </w:r>
    </w:p>
    <w:p>
      <w:pPr>
        <w:pStyle w:val="BookText"/>
      </w:pPr>
      <w:r>
        <w:rPr>
          <w:rFonts w:ascii="IRNazanin" w:hAnsi="IRNazanin" w:eastAsia="IRNazanin" w:cs="IRNazanin"/>
          <w:lang w:bidi="fa-IR"/>
          <w:color w:val="111111"/>
          <w:sz w:val="28"/>
          <w:szCs w:val="28"/>
          <w:rtl/>
        </w:rPr>
        <w:t xml:space="preserve">۴۲۶. مشهد: رضوی؛ شماره نسخه: ۱۲۸۱۶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خط: نستعلیق، بی کا، بی تا؛ صفحه آخر نونویس و به خط نسخ و مورخ به سال ۱۲۶۳؛ محشی؛ واقف: حسین کی استوان، آبان ۱۳۴۸؛ کاغذ: شکری، جلد: مقوا، ۱۳۴ گ، ۱۷ سطر،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۱۲-۲۳]</w:t>
      </w:r>
    </w:p>
    <w:p>
      <w:pPr>
        <w:pStyle w:val="BookText"/>
      </w:pPr>
      <w:r>
        <w:rPr>
          <w:rFonts w:ascii="IRNazanin" w:hAnsi="IRNazanin" w:eastAsia="IRNazanin" w:cs="IRNazanin"/>
          <w:lang w:bidi="fa-IR"/>
          <w:color w:val="111111"/>
          <w:sz w:val="28"/>
          <w:szCs w:val="28"/>
          <w:rtl/>
        </w:rPr>
        <w:t xml:space="preserve">۴۲۷. اصفهان، دانشگاه؛ شماره نسخه: ۴۶۱</w:t>
      </w:r>
    </w:p>
    <w:p>
      <w:pPr>
        <w:pStyle w:val="BookText"/>
      </w:pPr>
      <w:r>
        <w:rPr>
          <w:rFonts w:ascii="IRNazanin" w:hAnsi="IRNazanin" w:eastAsia="IRNazanin" w:cs="IRNazanin"/>
          <w:lang w:bidi="fa-IR"/>
          <w:color w:val="111111"/>
          <w:sz w:val="28"/>
          <w:szCs w:val="28"/>
          <w:rtl/>
        </w:rPr>
        <w:t xml:space="preserve">خط: نسخ، بی کا، تا: جمادی الثانی ۱۲۶۳ق؛ مصحح، محشی؛ مهر: یا علی ادرکنی» (بیضوی)، جلد: تیماج مشکی بدون مقوا و فرسوده، ۱۰۴گ، ۱۷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۲-۳۶۸]</w:t>
      </w:r>
    </w:p>
    <w:p>
      <w:pPr>
        <w:pStyle w:val="BookText"/>
      </w:pPr>
      <w:r>
        <w:rPr>
          <w:rFonts w:ascii="IRNazanin" w:hAnsi="IRNazanin" w:eastAsia="IRNazanin" w:cs="IRNazanin"/>
          <w:lang w:bidi="fa-IR"/>
          <w:color w:val="111111"/>
          <w:sz w:val="28"/>
          <w:szCs w:val="28"/>
          <w:rtl/>
        </w:rPr>
        <w:t xml:space="preserve">۴۲۸. دزفول؛ نبوی، سید محمد؛ شماره نسخه: بدون شماره</w:t>
      </w:r>
    </w:p>
    <w:p>
      <w:pPr>
        <w:pStyle w:val="BookText"/>
      </w:pPr>
      <w:r>
        <w:rPr>
          <w:rFonts w:ascii="IRNazanin" w:hAnsi="IRNazanin" w:eastAsia="IRNazanin" w:cs="IRNazanin"/>
          <w:lang w:bidi="fa-IR"/>
          <w:color w:val="111111"/>
          <w:sz w:val="28"/>
          <w:szCs w:val="28"/>
          <w:rtl/>
        </w:rPr>
        <w:t xml:space="preserve">کا: یوسف بن احمد لکانی، تا: ۱۲۶۳ ق [مخطوطات دزفول:-۱۱]</w:t>
      </w:r>
    </w:p>
    <w:p>
      <w:pPr>
        <w:pStyle w:val="BookText"/>
      </w:pPr>
      <w:r>
        <w:rPr>
          <w:rFonts w:ascii="IRNazanin" w:hAnsi="IRNazanin" w:eastAsia="IRNazanin" w:cs="IRNazanin"/>
          <w:lang w:bidi="fa-IR"/>
          <w:color w:val="111111"/>
          <w:sz w:val="28"/>
          <w:szCs w:val="28"/>
          <w:rtl/>
        </w:rPr>
        <w:t xml:space="preserve">۴۲۹. تهران: مجلس؛ شماره نسخه: ۱۱۶۰۶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علی بن محمد قاسم خوانساری، تا: جمادی الثانی ۱۲۶۴ق، مجدول، مصحح، محشی با امضای</w:t>
      </w:r>
    </w:p>
    <w:p>
      <w:pPr>
        <w:pStyle w:val="BookText"/>
      </w:pPr>
      <w:r>
        <w:rPr>
          <w:rFonts w:ascii="IRNazanin" w:hAnsi="IRNazanin" w:eastAsia="IRNazanin" w:cs="IRNazanin"/>
          <w:lang w:bidi="fa-IR"/>
          <w:color w:val="111111"/>
          <w:sz w:val="28"/>
          <w:szCs w:val="28"/>
          <w:rtl/>
        </w:rPr>
        <w:t xml:space="preserve">«تصریح»؛ تملک ۱۷ شعبان ۱۲۸۹ق؛ واقف: اشکوری؛ کاغذ: فرنگی، جلد: تیماج مجدول با ترنج و سرترنج و لچک، ۹۶گ، ۲۰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۳۴-۱۲]</w:t>
      </w:r>
    </w:p>
    <w:p>
      <w:pPr>
        <w:pStyle w:val="BookText"/>
      </w:pPr>
      <w:r>
        <w:rPr>
          <w:rFonts w:ascii="IRNazanin" w:hAnsi="IRNazanin" w:eastAsia="IRNazanin" w:cs="IRNazanin"/>
          <w:lang w:bidi="fa-IR"/>
          <w:color w:val="111111"/>
          <w:sz w:val="28"/>
          <w:szCs w:val="28"/>
          <w:rtl/>
        </w:rPr>
        <w:t xml:space="preserve">۴۳۰. مشهد؛ رضوی؛ شماره نسخه: ۱۸۱۶۳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نبی بن کل محمد استرآبادی، تا: ۱۲۶۴ق؛ کاغذ: نخودی، جلد: تیماج، ۱۱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[رایانه ]</w:t>
      </w:r>
    </w:p>
    <w:p>
      <w:pPr>
        <w:pStyle w:val="BookText"/>
      </w:pPr>
      <w:r>
        <w:rPr>
          <w:rFonts w:ascii="IRNazanin" w:hAnsi="IRNazanin" w:eastAsia="IRNazanin" w:cs="IRNazanin"/>
          <w:lang w:bidi="fa-IR"/>
          <w:color w:val="111111"/>
          <w:sz w:val="28"/>
          <w:szCs w:val="28"/>
          <w:rtl/>
        </w:rPr>
        <w:t xml:space="preserve">۴۳۱. یزد؛ وزیری؛ شماره نسخه: ۱۹۱۹</w:t>
      </w:r>
    </w:p>
    <w:p>
      <w:pPr>
        <w:pStyle w:val="BookText"/>
      </w:pPr>
      <w:r>
        <w:rPr>
          <w:rFonts w:ascii="IRNazanin" w:hAnsi="IRNazanin" w:eastAsia="IRNazanin" w:cs="IRNazanin"/>
          <w:lang w:bidi="fa-IR"/>
          <w:color w:val="111111"/>
          <w:sz w:val="28"/>
          <w:szCs w:val="28"/>
          <w:rtl/>
        </w:rPr>
        <w:t xml:space="preserve">کامل؛ خط: نسخ، كا: على بن ابوالحسن یزدی، تا: محرم ۱۲۶۴ق؛ اهدایی: وزیری؛ کاغذ: نوعی ترمه، جلد: مقوایی با تیماج مشکی، ۱۵۳، ۱۶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۳-۱۰۹۵]</w:t>
      </w:r>
    </w:p>
    <w:p>
      <w:pPr>
        <w:pStyle w:val="BookText"/>
      </w:pPr>
      <w:r>
        <w:rPr>
          <w:rFonts w:ascii="IRNazanin" w:hAnsi="IRNazanin" w:eastAsia="IRNazanin" w:cs="IRNazanin"/>
          <w:lang w:bidi="fa-IR"/>
          <w:color w:val="111111"/>
          <w:sz w:val="28"/>
          <w:szCs w:val="28"/>
          <w:rtl/>
        </w:rPr>
        <w:t xml:space="preserve">۴۳۲. یزد؛ وزیری؛ شماره نسخه: ۳۸۲۱</w:t>
      </w:r>
    </w:p>
    <w:p>
      <w:pPr>
        <w:pStyle w:val="BookText"/>
      </w:pPr>
      <w:r>
        <w:rPr>
          <w:rFonts w:ascii="IRNazanin" w:hAnsi="IRNazanin" w:eastAsia="IRNazanin" w:cs="IRNazanin"/>
          <w:lang w:bidi="fa-IR"/>
          <w:color w:val="111111"/>
          <w:sz w:val="28"/>
          <w:szCs w:val="28"/>
          <w:rtl/>
        </w:rPr>
        <w:t xml:space="preserve">خط: نستعلیق، بی کا، تا: جمادی الثانی ۱۲۶۴ق؛ اهدایی: میرزا على شریعتی؛ کاغذ: اصفهانی، جلد: تیماج مشکی، ۱۶۷گ، مختلف السطر،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۵-۱۸۰۹]</w:t>
      </w:r>
    </w:p>
    <w:p>
      <w:pPr>
        <w:pStyle w:val="BookText"/>
      </w:pPr>
      <w:r>
        <w:rPr>
          <w:rFonts w:ascii="IRNazanin" w:hAnsi="IRNazanin" w:eastAsia="IRNazanin" w:cs="IRNazanin"/>
          <w:lang w:bidi="fa-IR"/>
          <w:color w:val="111111"/>
          <w:sz w:val="28"/>
          <w:szCs w:val="28"/>
          <w:rtl/>
        </w:rPr>
        <w:t xml:space="preserve">۴۳۳. تهران؛ ملی؛ شماره نسخه: ۳۴۳۲/۱</w:t>
      </w:r>
    </w:p>
    <w:p>
      <w:pPr>
        <w:pStyle w:val="BookText"/>
      </w:pPr>
      <w:r>
        <w:rPr>
          <w:rFonts w:ascii="IRNazanin" w:hAnsi="IRNazanin" w:eastAsia="IRNazanin" w:cs="IRNazanin"/>
          <w:lang w:bidi="fa-IR"/>
          <w:color w:val="111111"/>
          <w:sz w:val="28"/>
          <w:szCs w:val="28"/>
          <w:rtl/>
        </w:rPr>
        <w:t xml:space="preserve">خط: نستعلیق، بی کا، تا: ۱۲۶۴ق؛ محشي از ابوطالب اصفهانی؛ کاغذ: فرنگی شکری، جلد: تیماج مشکی مقوایی ضربی با ترنج و سرترنج مجدول، ۱۱۰گ، ۱۵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w:t>
      </w:r>
    </w:p>
    <w:p>
      <w:pPr>
        <w:pStyle w:val="BookText"/>
      </w:pPr>
      <w:r>
        <w:rPr>
          <w:rFonts w:ascii="IRNazanin" w:hAnsi="IRNazanin" w:eastAsia="IRNazanin" w:cs="IRNazanin"/>
          <w:lang w:bidi="fa-IR"/>
          <w:color w:val="111111"/>
          <w:sz w:val="28"/>
          <w:szCs w:val="28"/>
          <w:rtl/>
        </w:rPr>
        <w:t xml:space="preserve">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۳۱/۵سم [ف: ۱۵-۲۴۷]</w:t>
      </w:r>
    </w:p>
    <w:p>
      <w:pPr>
        <w:pStyle w:val="BookText"/>
      </w:pPr>
      <w:r>
        <w:rPr>
          <w:rFonts w:ascii="IRNazanin" w:hAnsi="IRNazanin" w:eastAsia="IRNazanin" w:cs="IRNazanin"/>
          <w:lang w:bidi="fa-IR"/>
          <w:color w:val="111111"/>
          <w:sz w:val="28"/>
          <w:szCs w:val="28"/>
          <w:rtl/>
        </w:rPr>
        <w:t xml:space="preserve">۴۳۴. تهران؛ ملی؛ شماره نسخه: ۳۹۱۰/۱ ]</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زیبا، بی کا، تا: ۱۲۶۴ق؛ محشی با نشان «شواهد»، اندکی به صورت نقاشی طغرا و سروی، گل و بوته دارد؛ کاغذ: اصفهانی نخودی، جلد:مقوا رویه تیماج سرخ، ۶۶گی (3ر -۶۸پ)، ۱۷ سطر ( ۱۹/۲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۱۰/۷ )، اندازه: ۱۸/۵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۲۶/۵سم [ف: ۱۷-۱۶۱]</w:t>
      </w:r>
    </w:p>
    <w:p>
      <w:pPr>
        <w:pStyle w:val="BookText"/>
      </w:pPr>
      <w:r>
        <w:rPr>
          <w:rFonts w:ascii="IRNazanin" w:hAnsi="IRNazanin" w:eastAsia="IRNazanin" w:cs="IRNazanin"/>
          <w:lang w:bidi="fa-IR"/>
          <w:color w:val="111111"/>
          <w:sz w:val="28"/>
          <w:szCs w:val="28"/>
          <w:rtl/>
        </w:rPr>
        <w:t xml:space="preserve">۴۳۵. شیراز؛ مدرسه حکیم؛ شماره نسخه: بدون شماره</w:t>
      </w:r>
    </w:p>
    <w:p>
      <w:pPr>
        <w:pStyle w:val="BookText"/>
      </w:pPr>
      <w:r>
        <w:rPr>
          <w:rFonts w:ascii="IRNazanin" w:hAnsi="IRNazanin" w:eastAsia="IRNazanin" w:cs="IRNazanin"/>
          <w:lang w:bidi="fa-IR"/>
          <w:color w:val="111111"/>
          <w:sz w:val="28"/>
          <w:szCs w:val="28"/>
          <w:rtl/>
        </w:rPr>
        <w:t xml:space="preserve">خط: نسخ، كا: آقا بابا موسوی، تا: ۷ ربيع الاول ۱۲۶۴ق؛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[نسخه پژوهی: ۱-۴۴]</w:t>
      </w:r>
    </w:p>
    <w:p>
      <w:pPr>
        <w:pStyle w:val="BookText"/>
      </w:pPr>
      <w:r>
        <w:rPr>
          <w:rFonts w:ascii="IRNazanin" w:hAnsi="IRNazanin" w:eastAsia="IRNazanin" w:cs="IRNazanin"/>
          <w:lang w:bidi="fa-IR"/>
          <w:color w:val="111111"/>
          <w:sz w:val="28"/>
          <w:szCs w:val="28"/>
          <w:rtl/>
        </w:rPr>
        <w:t xml:space="preserve">۴۳۶. قم؛ گلپایگانی، شماره نسخه: ۵۰۶۸- ۲۵/۱۵۸</w:t>
      </w:r>
    </w:p>
    <w:p>
      <w:pPr>
        <w:pStyle w:val="BookText"/>
      </w:pPr>
      <w:r>
        <w:rPr>
          <w:rFonts w:ascii="IRNazanin" w:hAnsi="IRNazanin" w:eastAsia="IRNazanin" w:cs="IRNazanin"/>
          <w:lang w:bidi="fa-IR"/>
          <w:color w:val="111111"/>
          <w:sz w:val="28"/>
          <w:szCs w:val="28"/>
          <w:rtl/>
        </w:rPr>
        <w:t xml:space="preserve">آغاز: اقتضى تعجبا سواء كان بصيغة ما افعله وافعل به ام لاميز ناصب“ کا کرم؛ انجام: برابر</w:t>
      </w:r>
    </w:p>
    <w:p>
      <w:pPr>
        <w:pStyle w:val="BookText"/>
      </w:pPr>
      <w:r>
        <w:rPr>
          <w:rFonts w:ascii="IRNazanin" w:hAnsi="IRNazanin" w:eastAsia="IRNazanin" w:cs="IRNazanin"/>
          <w:lang w:bidi="fa-IR"/>
          <w:color w:val="111111"/>
          <w:sz w:val="28"/>
          <w:szCs w:val="28"/>
          <w:rtl/>
        </w:rPr>
        <w:t xml:space="preserve">خط: نسخ، بی کا، تا: چهار شنبه ۱۰ شعبان ۱۲۶۴ق؛ افتادگی: آغاز؛ جلد: تیماج مشکی، ۱۱۱گ، ۱۴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۲-۶۴۲]</w:t>
      </w:r>
    </w:p>
    <w:p>
      <w:pPr>
        <w:pStyle w:val="BookText"/>
      </w:pPr>
      <w:r>
        <w:rPr>
          <w:rFonts w:ascii="IRNazanin" w:hAnsi="IRNazanin" w:eastAsia="IRNazanin" w:cs="IRNazanin"/>
          <w:lang w:bidi="fa-IR"/>
          <w:color w:val="111111"/>
          <w:sz w:val="28"/>
          <w:szCs w:val="28"/>
          <w:rtl/>
        </w:rPr>
        <w:t xml:space="preserve">۴۳۷. یزد؛ وزیری؛ شماره نسخه: ۸۱۱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 کجد كل الجد و بعض كما في الكافية نحو ضربته بعض الضرب؛ انجام: برابر</w:t>
      </w:r>
    </w:p>
    <w:p>
      <w:pPr>
        <w:pStyle w:val="BookText"/>
      </w:pPr>
      <w:r>
        <w:rPr>
          <w:rFonts w:ascii="IRNazanin" w:hAnsi="IRNazanin" w:eastAsia="IRNazanin" w:cs="IRNazanin"/>
          <w:lang w:bidi="fa-IR"/>
          <w:color w:val="111111"/>
          <w:sz w:val="28"/>
          <w:szCs w:val="28"/>
          <w:rtl/>
        </w:rPr>
        <w:t xml:space="preserve">خط: نسخ، بی کا، تا: ۱۲۶۴ق؛ افتادگی: آغاز ؛ اهدایی: اخوان مصلایی؛ کاغذ: ترمه، جلد: مقوایی عطف پارچه آبی کمرنگ لفاف کاغذ سفید، ۱۵۱گ، ۱۲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۲-۶۸۹]</w:t>
      </w:r>
    </w:p>
    <w:p>
      <w:pPr>
        <w:pStyle w:val="BookText"/>
      </w:pPr>
      <w:r>
        <w:rPr>
          <w:rFonts w:ascii="IRNazanin" w:hAnsi="IRNazanin" w:eastAsia="IRNazanin" w:cs="IRNazanin"/>
          <w:lang w:bidi="fa-IR"/>
          <w:color w:val="111111"/>
          <w:sz w:val="28"/>
          <w:szCs w:val="28"/>
          <w:rtl/>
        </w:rPr>
        <w:t xml:space="preserve">۴۳۸. یزد؛ وزیری؛ شماره نسخه: ۸۲۲</w:t>
      </w:r>
    </w:p>
    <w:p>
      <w:pPr>
        <w:pStyle w:val="BookText"/>
      </w:pPr>
      <w:r>
        <w:rPr>
          <w:rFonts w:ascii="Amiri" w:hAnsi="Amiri" w:eastAsia="Amiri" w:cs="Amiri"/>
          <w:lang w:bidi="ar-SA"/>
          <w:color w:val="111111"/>
          <w:sz w:val="28"/>
          <w:szCs w:val="28"/>
          <w:rtl/>
        </w:rPr>
        <w:t xml:space="preserve">آغاز: برابر؛ انجام: و آله الكرام البررة و صحبه المنتخبين الخيرة.</w:t>
      </w:r>
    </w:p>
    <w:p>
      <w:pPr>
        <w:pStyle w:val="BookText"/>
      </w:pPr>
      <w:r>
        <w:rPr>
          <w:rFonts w:ascii="IRNazanin" w:hAnsi="IRNazanin" w:eastAsia="IRNazanin" w:cs="IRNazanin"/>
          <w:lang w:bidi="fa-IR"/>
          <w:color w:val="111111"/>
          <w:sz w:val="28"/>
          <w:szCs w:val="28"/>
          <w:rtl/>
        </w:rPr>
        <w:t xml:space="preserve">خط: نسخ، كا: غلامحسین بن حاج ملا کریم، تا: ۱۲۶۵ق؛ کاغذ: کبود اصفهانی، جلد: تیماج ماشی مقوایی عطف تیماج قرمز و مشکی، ۱۶۶گ، ۱۲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[ف: ۲-۶۹۸]</w:t>
      </w:r>
    </w:p>
    <w:p>
      <w:pPr>
        <w:pStyle w:val="BookText"/>
      </w:pPr>
      <w:r>
        <w:rPr>
          <w:rFonts w:ascii="IRNazanin" w:hAnsi="IRNazanin" w:eastAsia="IRNazanin" w:cs="IRNazanin"/>
          <w:lang w:bidi="fa-IR"/>
          <w:color w:val="111111"/>
          <w:sz w:val="28"/>
          <w:szCs w:val="28"/>
          <w:rtl/>
        </w:rPr>
        <w:t xml:space="preserve">۴۳۹. قم؛ گلپایگانی؛ شماره نسخه: ۴۱۷۶- ۲۱/۹۶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محمدباقر بن اسدالله حسینی، تا: شنبه ۱۰ صفر ۱۲۶۵ق، جان قریه وزيا مخواست از توابع لنجان؛ جلد: تیماج سرخ ضربی سوخت مجدول گرهی با ترنج و سرترنج عطف پارچه مشکی، ۱۲۲گ، ۱۵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۲-۶۳۷]</w:t>
      </w:r>
    </w:p>
    <w:p>
      <w:pPr>
        <w:pStyle w:val="BookText"/>
      </w:pPr>
      <w:r>
        <w:rPr>
          <w:rFonts w:ascii="IRNazanin" w:hAnsi="IRNazanin" w:eastAsia="IRNazanin" w:cs="IRNazanin"/>
          <w:lang w:bidi="fa-IR"/>
          <w:color w:val="111111"/>
          <w:sz w:val="28"/>
          <w:szCs w:val="28"/>
          <w:rtl/>
        </w:rPr>
        <w:t xml:space="preserve">۴۴۰. تهران؛ ملک؛ شماره نسخه: ۱۸۶۱/۲</w:t>
      </w:r>
    </w:p>
    <w:p>
      <w:pPr>
        <w:pStyle w:val="BookText"/>
      </w:pPr>
      <w:r>
        <w:rPr>
          <w:rFonts w:ascii="IRNazanin" w:hAnsi="IRNazanin" w:eastAsia="IRNazanin" w:cs="IRNazanin"/>
          <w:lang w:bidi="fa-IR"/>
          <w:color w:val="111111"/>
          <w:sz w:val="28"/>
          <w:szCs w:val="28"/>
          <w:rtl/>
        </w:rPr>
        <w:t xml:space="preserve">خط: نسخ، بی کا، تا: با تاریخ ۱۲۶۵ق؛ کاغذ: ترمه، جلد: میشن تریاکی نو، ۹۶گ (۶۲ر -۱۵۷ پ)، ۱۷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۵-۳۹۰]</w:t>
      </w:r>
    </w:p>
    <w:p>
      <w:pPr>
        <w:pStyle w:val="BookText"/>
      </w:pPr>
      <w:r>
        <w:rPr>
          <w:rFonts w:ascii="IRNazanin" w:hAnsi="IRNazanin" w:eastAsia="IRNazanin" w:cs="IRNazanin"/>
          <w:lang w:bidi="fa-IR"/>
          <w:color w:val="111111"/>
          <w:sz w:val="28"/>
          <w:szCs w:val="28"/>
          <w:rtl/>
        </w:rPr>
        <w:t xml:space="preserve">۴۴۱. مراغه؛ عمومی؛ شماره نسخه: ۱۵۹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على بن فرج، تا: ۱۲۶۵ق؛ جلد: تیماج سیاه، ۱۲۷، ۱۷ سطر،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۱۸)</w:t>
      </w:r>
    </w:p>
    <w:p>
      <w:pPr>
        <w:pStyle w:val="BookText"/>
      </w:pPr>
      <w:r>
        <w:rPr>
          <w:rFonts w:ascii="IRNazanin" w:hAnsi="IRNazanin" w:eastAsia="IRNazanin" w:cs="IRNazanin"/>
          <w:lang w:bidi="fa-IR"/>
          <w:color w:val="111111"/>
          <w:sz w:val="28"/>
          <w:szCs w:val="28"/>
          <w:rtl/>
        </w:rPr>
        <w:t xml:space="preserve">۴۴۲. چالوس؛ امام صادق؛ شماره نسخه: ۳۳۵</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Amiri" w:hAnsi="Amiri" w:eastAsia="Amiri" w:cs="Amiri"/>
          <w:lang w:bidi="ar-SA"/>
          <w:color w:val="111111"/>
          <w:sz w:val="28"/>
          <w:szCs w:val="28"/>
          <w:rtl/>
        </w:rPr>
        <w:t xml:space="preserve">خط: نسخ، كا: على بن مختار، تا: ۱۲۶۵ ق [ف: ۴۲]</w:t>
      </w:r>
    </w:p>
    <w:p>
      <w:pPr>
        <w:pStyle w:val="BookText"/>
      </w:pPr>
      <w:r>
        <w:rPr>
          <w:rFonts w:ascii="Amiri" w:hAnsi="Amiri" w:eastAsia="Amiri" w:cs="Amiri"/>
          <w:lang w:bidi="ar-SA"/>
          <w:color w:val="111111"/>
          <w:sz w:val="28"/>
          <w:szCs w:val="28"/>
          <w:rtl/>
        </w:rPr>
        <w:t xml:space="preserve">۴۴۳. تهران: دائرة المعارف، شماره نسخه: ۵۵۶/۱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پخته، بی کا، تا: ۱۲۶۶ق؛ محشی؛ ۱۵۵گ (1پ -۱۵۵پ)،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۲-۳۰]</w:t>
      </w:r>
    </w:p>
    <w:p>
      <w:pPr>
        <w:pStyle w:val="BookText"/>
      </w:pPr>
      <w:r>
        <w:rPr>
          <w:rFonts w:ascii="IRNazanin" w:hAnsi="IRNazanin" w:eastAsia="IRNazanin" w:cs="IRNazanin"/>
          <w:lang w:bidi="fa-IR"/>
          <w:color w:val="111111"/>
          <w:sz w:val="28"/>
          <w:szCs w:val="28"/>
          <w:rtl/>
        </w:rPr>
        <w:t xml:space="preserve">۴۴۴. یزد؛ وزیری؛ شماره نسخه: ۲۷۰۶</w:t>
      </w:r>
    </w:p>
    <w:p>
      <w:pPr>
        <w:pStyle w:val="BookText"/>
      </w:pPr>
      <w:r>
        <w:rPr>
          <w:rFonts w:ascii="IRNazanin" w:hAnsi="IRNazanin" w:eastAsia="IRNazanin" w:cs="IRNazanin"/>
          <w:lang w:bidi="fa-IR"/>
          <w:color w:val="111111"/>
          <w:sz w:val="28"/>
          <w:szCs w:val="28"/>
          <w:rtl/>
        </w:rPr>
        <w:t xml:space="preserve">خط: نسخ، كا: محمد حسن، تا: ۱۲۶۶ق؛ محشی؛ مهر: «و افوض امرى الى الله عبده ابو القاسم»؛ اهدایی: وزیری؛ کاغذ: اصفهانی، جلد: مقوایی با تیماج مشکی، ۱۴۰گ، ۱۶ سطر (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w:t>
      </w:r>
    </w:p>
    <w:p>
      <w:pPr>
        <w:pStyle w:val="BookText"/>
      </w:pPr>
      <w:r>
        <w:rPr>
          <w:rFonts w:ascii="IRNazanin" w:hAnsi="IRNazanin" w:eastAsia="IRNazanin" w:cs="IRNazanin"/>
          <w:lang w:bidi="fa-IR"/>
          <w:color w:val="111111"/>
          <w:sz w:val="28"/>
          <w:szCs w:val="28"/>
          <w:rtl/>
        </w:rPr>
        <w:t xml:space="preserve">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۴-۱۳۹۷]</w:t>
      </w:r>
    </w:p>
    <w:p>
      <w:pPr>
        <w:pStyle w:val="BookText"/>
      </w:pPr>
      <w:r>
        <w:rPr>
          <w:rFonts w:ascii="IRNazanin" w:hAnsi="IRNazanin" w:eastAsia="IRNazanin" w:cs="IRNazanin"/>
          <w:lang w:bidi="fa-IR"/>
          <w:color w:val="111111"/>
          <w:sz w:val="28"/>
          <w:szCs w:val="28"/>
          <w:rtl/>
        </w:rPr>
        <w:t xml:space="preserve">۴۴۵. شیراز؛ ملی؛ شماره نسخه: ۱-س/۳۹</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كان محمد رضا بن محمد رونیزی، تا: پنج شنبه ۲۷ شوال ۱۲۶۶ق؛ کاغذ: فرنگی سفید، جلد: مقوا با تیماج مشکی، ۱۶۴گ، ۱۴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 ۳۹]</w:t>
      </w:r>
    </w:p>
    <w:p>
      <w:pPr>
        <w:pStyle w:val="BookText"/>
      </w:pPr>
      <w:r>
        <w:rPr>
          <w:rFonts w:ascii="IRNazanin" w:hAnsi="IRNazanin" w:eastAsia="IRNazanin" w:cs="IRNazanin"/>
          <w:lang w:bidi="fa-IR"/>
          <w:color w:val="111111"/>
          <w:sz w:val="28"/>
          <w:szCs w:val="28"/>
          <w:rtl/>
        </w:rPr>
        <w:t xml:space="preserve">۴۴۶. تهران؛ حقوق؛ شماره نسخه: ۲۸۶-ج</w:t>
      </w:r>
    </w:p>
    <w:p>
      <w:pPr>
        <w:pStyle w:val="BookText"/>
      </w:pPr>
      <w:r>
        <w:rPr>
          <w:rFonts w:ascii="IRNazanin" w:hAnsi="IRNazanin" w:eastAsia="IRNazanin" w:cs="IRNazanin"/>
          <w:lang w:bidi="fa-IR"/>
          <w:color w:val="111111"/>
          <w:sz w:val="28"/>
          <w:szCs w:val="28"/>
          <w:rtl/>
        </w:rPr>
        <w:t xml:space="preserve">خط: نسخ، كا: محمد رضا بن ابی القاسم گلپایگانی، تا: ۱ جمادی الثانی ۱۲۶۶ق، جان سپاهان؛ کاغذ: فرنگی، جلد: تیماج حنایی مقوایی، ۱۲۳ ، ۱۶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۲۸۱]</w:t>
      </w:r>
    </w:p>
    <w:p>
      <w:pPr>
        <w:pStyle w:val="BookText"/>
      </w:pPr>
      <w:r>
        <w:rPr>
          <w:rFonts w:ascii="IRNazanin" w:hAnsi="IRNazanin" w:eastAsia="IRNazanin" w:cs="IRNazanin"/>
          <w:lang w:bidi="fa-IR"/>
          <w:color w:val="111111"/>
          <w:sz w:val="28"/>
          <w:szCs w:val="28"/>
          <w:rtl/>
        </w:rPr>
        <w:t xml:space="preserve">۴۴۷. قم؛ مرعشی؛ شماره نسخه: ۱۱۱۶۴/۱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يعقوب بن حاج ابراهیم، بروجردی، تا: ۲۸ محرم ۱۲۶۶ق؛ مصحح، محشی؛ ۶۹ (۱-۶۹)، ۲۰ سطر،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۲۸-۲۳۳]</w:t>
      </w:r>
    </w:p>
    <w:p>
      <w:pPr>
        <w:pStyle w:val="BookText"/>
      </w:pPr>
      <w:r>
        <w:rPr>
          <w:rFonts w:ascii="IRNazanin" w:hAnsi="IRNazanin" w:eastAsia="IRNazanin" w:cs="IRNazanin"/>
          <w:lang w:bidi="fa-IR"/>
          <w:color w:val="111111"/>
          <w:sz w:val="28"/>
          <w:szCs w:val="28"/>
          <w:rtl/>
        </w:rPr>
        <w:t xml:space="preserve">۴۴۸. قزوین؛ امام صادق؛ شماره نسخه: ۱۵۴</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کامل؛ خط: نسخ، بی کا، تا: ۱۲۶۶ق؛ جلد: تیماج قهوه ای مجدول، ۱۳۸، ۱۶ سطر [ف: ۱-۴۶]</w:t>
      </w:r>
    </w:p>
    <w:p>
      <w:pPr>
        <w:pStyle w:val="BookText"/>
      </w:pPr>
      <w:r>
        <w:rPr>
          <w:rFonts w:ascii="IRNazanin" w:hAnsi="IRNazanin" w:eastAsia="IRNazanin" w:cs="IRNazanin"/>
          <w:lang w:bidi="fa-IR"/>
          <w:color w:val="111111"/>
          <w:sz w:val="28"/>
          <w:szCs w:val="28"/>
          <w:rtl/>
        </w:rPr>
        <w:t xml:space="preserve">۴۴۹. مشهد؛ رضوی؛ شماره نسخه: ۸۴۵۹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كان محمد رضا کرکی (منسوب به کرکر از محال مرند)، تا: ۱۲۶۶ق؛ محشی؛ واقف: شیخ غلامعلی فالقی، آذر ۱۳۳۲، کاغذ: حنایی و مقداری ، جلد: تیماج دار چینی، ۱۵۰گ، ۱۵ سطر، اندازه: ۲۱/۴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w:t>
      </w:r>
    </w:p>
    <w:p>
      <w:pPr>
        <w:pStyle w:val="BookText"/>
      </w:pPr>
      <w:r>
        <w:rPr>
          <w:rFonts w:ascii="IRNazanin" w:hAnsi="IRNazanin" w:eastAsia="IRNazanin" w:cs="IRNazanin"/>
          <w:lang w:bidi="fa-IR"/>
          <w:color w:val="111111"/>
          <w:sz w:val="28"/>
          <w:szCs w:val="28"/>
          <w:rtl/>
        </w:rPr>
        <w:t xml:space="preserve">سم [ف: ۱۲-۲۷]</w:t>
      </w:r>
    </w:p>
    <w:p>
      <w:pPr>
        <w:pStyle w:val="BookText"/>
      </w:pPr>
      <w:r>
        <w:rPr>
          <w:rFonts w:ascii="IRNazanin" w:hAnsi="IRNazanin" w:eastAsia="IRNazanin" w:cs="IRNazanin"/>
          <w:lang w:bidi="fa-IR"/>
          <w:color w:val="111111"/>
          <w:sz w:val="28"/>
          <w:szCs w:val="28"/>
          <w:rtl/>
        </w:rPr>
        <w:t xml:space="preserve">۴۵۰. قم؛ مسجد اعظم؛ شماره نسخه: ۳۳۷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محمدبن محمد خان موسوی هزار جریبی، تا: ۱۲۶۶ق، جا: بارفروش مدرسه حاجی ابراهیم تفلیسی؛ مصحح؛ مهر: «عبده الراجي محمد الموسوي ۱۲۶۵» (بیضوی)؛ جلد: تیماج مشکی، ترنج باسر، مجدول گره ای، ۱۲۵گ، مختلف السطر،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مخ: ۱-۲۸۲]</w:t>
      </w:r>
    </w:p>
    <w:p>
      <w:pPr>
        <w:pStyle w:val="BookText"/>
      </w:pPr>
      <w:r>
        <w:rPr>
          <w:rFonts w:ascii="IRNazanin" w:hAnsi="IRNazanin" w:eastAsia="IRNazanin" w:cs="IRNazanin"/>
          <w:lang w:bidi="fa-IR"/>
          <w:color w:val="111111"/>
          <w:sz w:val="28"/>
          <w:szCs w:val="28"/>
          <w:rtl/>
        </w:rPr>
        <w:t xml:space="preserve">۴۵۱. بابل؛ خاتم الانبیاء؛ شماره نسخه: ۳۱۳/۲</w:t>
      </w:r>
    </w:p>
    <w:p>
      <w:pPr>
        <w:pStyle w:val="BookText"/>
      </w:pPr>
      <w:r>
        <w:rPr>
          <w:rFonts w:ascii="IRNazanin" w:hAnsi="IRNazanin" w:eastAsia="IRNazanin" w:cs="IRNazanin"/>
          <w:lang w:bidi="fa-IR"/>
          <w:color w:val="111111"/>
          <w:sz w:val="28"/>
          <w:szCs w:val="28"/>
          <w:rtl/>
        </w:rPr>
        <w:t xml:space="preserve">خط: نستعلیق، کا: محمد تقی بن محمد علی مازندرانی ساکن شوبکلا ملقب به لقب کیل، تا: ۱۲۶۶ق؛ محشی از ملا ولی الله مازندرانی؛ جلد: تیماج، ۱۴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سم [ف: ۲۲۳]</w:t>
      </w:r>
    </w:p>
    <w:p>
      <w:pPr>
        <w:pStyle w:val="BookText"/>
      </w:pPr>
      <w:r>
        <w:rPr>
          <w:rFonts w:ascii="IRNazanin" w:hAnsi="IRNazanin" w:eastAsia="IRNazanin" w:cs="IRNazanin"/>
          <w:lang w:bidi="fa-IR"/>
          <w:color w:val="111111"/>
          <w:sz w:val="28"/>
          <w:szCs w:val="28"/>
          <w:rtl/>
        </w:rPr>
        <w:t xml:space="preserve">۴۵۲. قم؛ مسجد اعظم، شماره نسخه: ۲۳۰۰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كا: لطفعلی بن محمد کریم، تا: ۱۲۶۷ق، جا: قزوین مدرسه جدید؛ مهر: كاتب «لطف نظر الهى لطف علی» (مربع)؛ جلد: تیماج قهوه ای مجدول، ۱۰۹گ، مختلف السطر،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مخ: ۱-۲۸۳]</w:t>
      </w:r>
    </w:p>
    <w:p>
      <w:pPr>
        <w:pStyle w:val="BookText"/>
      </w:pPr>
      <w:r>
        <w:rPr>
          <w:rFonts w:ascii="IRNazanin" w:hAnsi="IRNazanin" w:eastAsia="IRNazanin" w:cs="IRNazanin"/>
          <w:lang w:bidi="fa-IR"/>
          <w:color w:val="111111"/>
          <w:sz w:val="28"/>
          <w:szCs w:val="28"/>
          <w:rtl/>
        </w:rPr>
        <w:t xml:space="preserve">۴۵۳. قم؛ گلپایگانی؛ شماره نسخه: ۵۶۵۴- ۲۸/۷۴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على محمد بن حاجی احمد اشتهاردی، تا: غره محرم ۱۲۶۷ق؛ جلد: مقوایی لایی مشکی، ۱۰۴گی، ۱۷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۲-۶۳۸]</w:t>
      </w:r>
    </w:p>
    <w:p>
      <w:pPr>
        <w:pStyle w:val="BookText"/>
      </w:pPr>
      <w:r>
        <w:rPr>
          <w:rFonts w:ascii="IRNazanin" w:hAnsi="IRNazanin" w:eastAsia="IRNazanin" w:cs="IRNazanin"/>
          <w:lang w:bidi="fa-IR"/>
          <w:color w:val="111111"/>
          <w:sz w:val="28"/>
          <w:szCs w:val="28"/>
          <w:rtl/>
        </w:rPr>
        <w:t xml:space="preserve">۴۵۴. مشهد؛ رضوی؛ شماره نسخه: ۳۰۰۰۳</w:t>
      </w:r>
    </w:p>
    <w:p>
      <w:pPr>
        <w:pStyle w:val="BookText"/>
      </w:pPr>
      <w:r>
        <w:rPr>
          <w:rFonts w:ascii="IRNazanin" w:hAnsi="IRNazanin" w:eastAsia="IRNazanin" w:cs="IRNazanin"/>
          <w:lang w:bidi="fa-IR"/>
          <w:color w:val="111111"/>
          <w:sz w:val="28"/>
          <w:szCs w:val="28"/>
          <w:rtl/>
        </w:rPr>
        <w:t xml:space="preserve">آغاز: برابر؛ انجام: و السلام علی من اتبع الهدی ... بحق محمد و علی و فاطمه و الحسن و الحسین</w:t>
      </w:r>
    </w:p>
    <w:p>
      <w:pPr>
        <w:pStyle w:val="BookText"/>
      </w:pPr>
      <w:r>
        <w:rPr>
          <w:rFonts w:ascii="IRNazanin" w:hAnsi="IRNazanin" w:eastAsia="IRNazanin" w:cs="IRNazanin"/>
          <w:lang w:bidi="fa-IR"/>
          <w:color w:val="111111"/>
          <w:sz w:val="28"/>
          <w:szCs w:val="28"/>
          <w:rtl/>
        </w:rPr>
        <w:t xml:space="preserve">خط: نسخ، بی کا، تا: ۱۲۶۷ ق [رایانه ]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۴۵۵. اصفهان، دانشگاه؛ شماره نسخه: ۷۴۶</w:t>
      </w:r>
    </w:p>
    <w:p>
      <w:pPr>
        <w:pStyle w:val="BookText"/>
      </w:pPr>
      <w:r>
        <w:rPr>
          <w:rFonts w:ascii="IRNazanin" w:hAnsi="IRNazanin" w:eastAsia="IRNazanin" w:cs="IRNazanin"/>
          <w:lang w:bidi="fa-IR"/>
          <w:color w:val="111111"/>
          <w:sz w:val="28"/>
          <w:szCs w:val="28"/>
          <w:rtl/>
        </w:rPr>
        <w:t xml:space="preserve">خط: نسخ، بی کا، تا: یک شنبه ۲۲ محرم ۱۲۶۷ق؛ مصحح، محشى؛ تملک: شیخ علی اصغر؛ جلد: تیماج قهوه ای ضربی، ۱۷۶ گ، ۱۳ سطر، اندازه: ۱۵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 سم [ف: ۲-۵۶۸]</w:t>
      </w:r>
    </w:p>
    <w:p>
      <w:pPr>
        <w:pStyle w:val="BookText"/>
      </w:pPr>
      <w:r>
        <w:rPr>
          <w:rFonts w:ascii="IRNazanin" w:hAnsi="IRNazanin" w:eastAsia="IRNazanin" w:cs="IRNazanin"/>
          <w:lang w:bidi="fa-IR"/>
          <w:color w:val="111111"/>
          <w:sz w:val="28"/>
          <w:szCs w:val="28"/>
          <w:rtl/>
        </w:rPr>
        <w:t xml:space="preserve">۴۵۶. چالوس؛ امام صادق؛ شماره نسخه: ۶۲۳</w:t>
      </w:r>
    </w:p>
    <w:p>
      <w:pPr>
        <w:pStyle w:val="BookText"/>
      </w:pPr>
      <w:r>
        <w:rPr>
          <w:rFonts w:ascii="IRNazanin" w:hAnsi="IRNazanin" w:eastAsia="IRNazanin" w:cs="IRNazanin"/>
          <w:lang w:bidi="fa-IR"/>
          <w:color w:val="111111"/>
          <w:sz w:val="28"/>
          <w:szCs w:val="28"/>
          <w:rtl/>
        </w:rPr>
        <w:t xml:space="preserve">کا: رجب علی بن محمد صادق، تا: ۱۲۶۷ق؛ جلد: تیماج [ف: ۴۲]</w:t>
      </w:r>
    </w:p>
    <w:p>
      <w:pPr>
        <w:pStyle w:val="BookText"/>
      </w:pPr>
      <w:r>
        <w:rPr>
          <w:rFonts w:ascii="IRNazanin" w:hAnsi="IRNazanin" w:eastAsia="IRNazanin" w:cs="IRNazanin"/>
          <w:lang w:bidi="fa-IR"/>
          <w:color w:val="111111"/>
          <w:sz w:val="28"/>
          <w:szCs w:val="28"/>
          <w:rtl/>
        </w:rPr>
        <w:t xml:space="preserve">۴۵۷. چالوس؛ امام صادق؛ شماره نسخه: ۶۲۰</w:t>
      </w:r>
    </w:p>
    <w:p>
      <w:pPr>
        <w:pStyle w:val="BookText"/>
      </w:pPr>
      <w:r>
        <w:rPr>
          <w:rFonts w:ascii="IRNazanin" w:hAnsi="IRNazanin" w:eastAsia="IRNazanin" w:cs="IRNazanin"/>
          <w:lang w:bidi="fa-IR"/>
          <w:color w:val="111111"/>
          <w:sz w:val="28"/>
          <w:szCs w:val="28"/>
          <w:rtl/>
        </w:rPr>
        <w:t xml:space="preserve">کا: محمد ولی ملقب به نور، تا: ۱۲۶۷ق، جا: قریه پیمط؛ جلد: تيماج [ف: ۴۲]</w:t>
      </w:r>
    </w:p>
    <w:p>
      <w:pPr>
        <w:pStyle w:val="BookText"/>
      </w:pPr>
      <w:r>
        <w:rPr>
          <w:rFonts w:ascii="IRNazanin" w:hAnsi="IRNazanin" w:eastAsia="IRNazanin" w:cs="IRNazanin"/>
          <w:lang w:bidi="fa-IR"/>
          <w:color w:val="111111"/>
          <w:sz w:val="28"/>
          <w:szCs w:val="28"/>
          <w:rtl/>
        </w:rPr>
        <w:t xml:space="preserve">۴۵۸. مشهد؛ مدرسه باقریه؛ شماره نسخه: ۲۷</w:t>
      </w:r>
    </w:p>
    <w:p>
      <w:pPr>
        <w:pStyle w:val="BookText"/>
      </w:pPr>
      <w:r>
        <w:rPr>
          <w:rFonts w:ascii="IRNazanin" w:hAnsi="IRNazanin" w:eastAsia="IRNazanin" w:cs="IRNazanin"/>
          <w:lang w:bidi="fa-IR"/>
          <w:color w:val="111111"/>
          <w:sz w:val="28"/>
          <w:szCs w:val="28"/>
          <w:rtl/>
        </w:rPr>
        <w:t xml:space="preserve">خط: نسخ، كا: حسن بن ملا محمد خانی، تا: رجب ۱۲۶۸ق؛ واقف: محمد حسین صدر الحفاظ، ذیحجه ۱۲۸۵ق؛ ۱۶سطر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[تراثنا: س ش ۱-۷۷]</w:t>
      </w:r>
    </w:p>
    <w:p>
      <w:pPr>
        <w:pStyle w:val="BookText"/>
      </w:pPr>
      <w:r>
        <w:rPr>
          <w:rFonts w:ascii="IRNazanin" w:hAnsi="IRNazanin" w:eastAsia="IRNazanin" w:cs="IRNazanin"/>
          <w:lang w:bidi="fa-IR"/>
          <w:color w:val="111111"/>
          <w:sz w:val="28"/>
          <w:szCs w:val="28"/>
          <w:rtl/>
        </w:rPr>
        <w:t xml:space="preserve">۴۵۹. مشهد؛ رضوی؛ شماره نسخه: ۲۸۱۴۲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تحریری، کا: ملا میرزاخان، تا: ۱۲۶۸ق [رایانه]</w:t>
      </w:r>
    </w:p>
    <w:p>
      <w:pPr>
        <w:pStyle w:val="BookText"/>
      </w:pPr>
      <w:r>
        <w:rPr>
          <w:rFonts w:ascii="IRNazanin" w:hAnsi="IRNazanin" w:eastAsia="IRNazanin" w:cs="IRNazanin"/>
          <w:lang w:bidi="fa-IR"/>
          <w:color w:val="111111"/>
          <w:sz w:val="28"/>
          <w:szCs w:val="28"/>
          <w:rtl/>
        </w:rPr>
        <w:t xml:space="preserve">۴۶۰. دامغان؛ قمر بنی هاشم؛ شماره نسخه: ۱۳۲/۱</w:t>
      </w:r>
    </w:p>
    <w:p>
      <w:pPr>
        <w:pStyle w:val="BookText"/>
      </w:pPr>
      <w:r>
        <w:rPr>
          <w:rFonts w:ascii="IRNazanin" w:hAnsi="IRNazanin" w:eastAsia="IRNazanin" w:cs="IRNazanin"/>
          <w:lang w:bidi="fa-IR"/>
          <w:color w:val="111111"/>
          <w:sz w:val="28"/>
          <w:szCs w:val="28"/>
          <w:rtl/>
        </w:rPr>
        <w:t xml:space="preserve">آغاز: الدين محمد بن عبدالله بن مالک الطائي الاندلسي الجيانی الشافعی؛ انجام: برابر</w:t>
      </w:r>
    </w:p>
    <w:p>
      <w:pPr>
        <w:pStyle w:val="BookText"/>
      </w:pPr>
      <w:r>
        <w:rPr>
          <w:rFonts w:ascii="IRNazanin" w:hAnsi="IRNazanin" w:eastAsia="IRNazanin" w:cs="IRNazanin"/>
          <w:lang w:bidi="fa-IR"/>
          <w:color w:val="111111"/>
          <w:sz w:val="28"/>
          <w:szCs w:val="28"/>
          <w:rtl/>
        </w:rPr>
        <w:t xml:space="preserve">خط: نسخ، بی کا، تا: سلخ ذیقعده ۱۲۶۸ق، برای ملا علی اکبر بن کربلایی قاسم دامغانی؛ جلد: تیماج قهوه ای سوخته، ۱۰۲گ، مختلف السطر،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مخ: ۲۳]</w:t>
      </w:r>
    </w:p>
    <w:p>
      <w:pPr>
        <w:pStyle w:val="BookText"/>
      </w:pPr>
      <w:r>
        <w:rPr>
          <w:rFonts w:ascii="IRNazanin" w:hAnsi="IRNazanin" w:eastAsia="IRNazanin" w:cs="IRNazanin"/>
          <w:lang w:bidi="fa-IR"/>
          <w:color w:val="111111"/>
          <w:sz w:val="28"/>
          <w:szCs w:val="28"/>
          <w:rtl/>
        </w:rPr>
        <w:t xml:space="preserve">۴۶۱. دامغان؛ قمر بنی هاشم؛ شماره نسخه: ۲۱۰</w:t>
      </w:r>
    </w:p>
    <w:p>
      <w:pPr>
        <w:pStyle w:val="BookText"/>
      </w:pPr>
      <w:r>
        <w:rPr>
          <w:rFonts w:ascii="IRNazanin" w:hAnsi="IRNazanin" w:eastAsia="IRNazanin" w:cs="IRNazanin"/>
          <w:lang w:bidi="fa-IR"/>
          <w:color w:val="111111"/>
          <w:sz w:val="28"/>
          <w:szCs w:val="28"/>
          <w:rtl/>
        </w:rPr>
        <w:t xml:space="preserve">آغاز و انجام: برابر خط: نسخ، كا: محمد بن کربلایی ابراهیم یزدی، تا: پنج شنبه ۲۳ ربيع الثانی ۱۲۶۹ق، جا: مدرسه حاجی ابراهیم بارفروش؛ جلد: تیماج قهوه ای روشن ضربی، ۱۶۹گ، مختلف السطر،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مخ: ۲۴]</w:t>
      </w:r>
    </w:p>
    <w:p>
      <w:pPr>
        <w:pStyle w:val="BookText"/>
      </w:pPr>
      <w:r>
        <w:rPr>
          <w:rFonts w:ascii="IRNazanin" w:hAnsi="IRNazanin" w:eastAsia="IRNazanin" w:cs="IRNazanin"/>
          <w:lang w:bidi="fa-IR"/>
          <w:color w:val="111111"/>
          <w:sz w:val="28"/>
          <w:szCs w:val="28"/>
          <w:rtl/>
        </w:rPr>
        <w:t xml:space="preserve">۴۶۲. قم؛ فیضیه؛ شماره نسخه: ۱۴۵۶</w:t>
      </w:r>
    </w:p>
    <w:p>
      <w:pPr>
        <w:pStyle w:val="BookText"/>
      </w:pPr>
      <w:r>
        <w:rPr>
          <w:rFonts w:ascii="IRNazanin" w:hAnsi="IRNazanin" w:eastAsia="IRNazanin" w:cs="IRNazanin"/>
          <w:lang w:bidi="fa-IR"/>
          <w:color w:val="111111"/>
          <w:sz w:val="28"/>
          <w:szCs w:val="28"/>
          <w:rtl/>
        </w:rPr>
        <w:t xml:space="preserve">خط: نسخ، كا: رضا حسینی، تا: ۱۲۶۹ق؛ افتادگی: آغاز؛ ۱۶۰گ، ۱۴سطر،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۱-۳۵]</w:t>
      </w:r>
    </w:p>
    <w:p>
      <w:pPr>
        <w:pStyle w:val="BookText"/>
      </w:pPr>
      <w:r>
        <w:rPr>
          <w:rFonts w:ascii="IRNazanin" w:hAnsi="IRNazanin" w:eastAsia="IRNazanin" w:cs="IRNazanin"/>
          <w:lang w:bidi="fa-IR"/>
          <w:color w:val="111111"/>
          <w:sz w:val="28"/>
          <w:szCs w:val="28"/>
          <w:rtl/>
        </w:rPr>
        <w:t xml:space="preserve">۴۶۳. تهران؛ حوزه آستان حضرت عبدالعظیم؛ شماره نسخه: ۷۵/۴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بی کا، تا: با تاریخ ۱۲۶۹ق؛ جلد: تیماج قهوه ای مجدول گرهی، ۸۸گ (۸۱پ -۱۶۸ر)، ۱۵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۱۹]</w:t>
      </w:r>
    </w:p>
    <w:p>
      <w:pPr>
        <w:pStyle w:val="BookText"/>
      </w:pPr>
      <w:r>
        <w:rPr>
          <w:rFonts w:ascii="IRNazanin" w:hAnsi="IRNazanin" w:eastAsia="IRNazanin" w:cs="IRNazanin"/>
          <w:lang w:bidi="fa-IR"/>
          <w:color w:val="111111"/>
          <w:sz w:val="28"/>
          <w:szCs w:val="28"/>
          <w:rtl/>
        </w:rPr>
        <w:t xml:space="preserve">۴۶۴. تهران؛ ملی؛ شماره نسخه: ۲۰۸۲۹</w:t>
      </w:r>
    </w:p>
    <w:p>
      <w:pPr>
        <w:pStyle w:val="BookText"/>
      </w:pPr>
      <w:r>
        <w:rPr>
          <w:rFonts w:ascii="IRNazanin" w:hAnsi="IRNazanin" w:eastAsia="IRNazanin" w:cs="IRNazanin"/>
          <w:lang w:bidi="fa-IR"/>
          <w:color w:val="111111"/>
          <w:sz w:val="28"/>
          <w:szCs w:val="28"/>
          <w:rtl/>
        </w:rPr>
        <w:t xml:space="preserve">بی کا، تا: ۱۲۶۹ق؛ خریداری از محمد حسن نخعی مازندرانی [رایانه ]</w:t>
      </w:r>
    </w:p>
    <w:p>
      <w:pPr>
        <w:pStyle w:val="BookText"/>
      </w:pPr>
      <w:r>
        <w:rPr>
          <w:rFonts w:ascii="IRNazanin" w:hAnsi="IRNazanin" w:eastAsia="IRNazanin" w:cs="IRNazanin"/>
          <w:lang w:bidi="fa-IR"/>
          <w:color w:val="111111"/>
          <w:sz w:val="28"/>
          <w:szCs w:val="28"/>
          <w:rtl/>
        </w:rPr>
        <w:t xml:space="preserve">۴۶۵. چالوس؛ امام صادق؛ شماره نسخه: ۶۲۲</w:t>
      </w:r>
    </w:p>
    <w:p>
      <w:pPr>
        <w:pStyle w:val="BookText"/>
      </w:pPr>
      <w:r>
        <w:rPr>
          <w:rFonts w:ascii="IRNazanin" w:hAnsi="IRNazanin" w:eastAsia="IRNazanin" w:cs="IRNazanin"/>
          <w:lang w:bidi="fa-IR"/>
          <w:color w:val="111111"/>
          <w:sz w:val="28"/>
          <w:szCs w:val="28"/>
          <w:rtl/>
        </w:rPr>
        <w:t xml:space="preserve">كان محمد نبی بن ملا مهدیی رودکی الاصل، تا: ۱۲۷۱ق، جان تنکابن، مدرسه سلیمانیه؛ جلد: تيماج [ف: ۴۲]</w:t>
      </w:r>
    </w:p>
    <w:p>
      <w:pPr>
        <w:pStyle w:val="BookText"/>
      </w:pPr>
      <w:r>
        <w:rPr>
          <w:rFonts w:ascii="IRNazanin" w:hAnsi="IRNazanin" w:eastAsia="IRNazanin" w:cs="IRNazanin"/>
          <w:lang w:bidi="fa-IR"/>
          <w:color w:val="111111"/>
          <w:sz w:val="28"/>
          <w:szCs w:val="28"/>
          <w:rtl/>
        </w:rPr>
        <w:t xml:space="preserve">۴۶۶. یزد؛ کاظمینی؛ شماره نسخه: ۲۹۹</w:t>
      </w:r>
    </w:p>
    <w:p>
      <w:pPr>
        <w:pStyle w:val="BookText"/>
      </w:pPr>
      <w:r>
        <w:rPr>
          <w:rFonts w:ascii="IRNazanin" w:hAnsi="IRNazanin" w:eastAsia="IRNazanin" w:cs="IRNazanin"/>
          <w:lang w:bidi="fa-IR"/>
          <w:color w:val="111111"/>
          <w:sz w:val="28"/>
          <w:szCs w:val="28"/>
          <w:rtl/>
        </w:rPr>
        <w:t xml:space="preserve">خط: نسخ، بی کا، تا: جمعه ۳ ذیقعده ۱۲۷۱ق؛ مصحح، محشی، مقداری از رساله کبری در منطق به خط زین العابدین بن کربلایی عزیز خندایی به سال ۱۲۷۱ آمده؛ کاغذ: الوان، فاقد جلد، ۲۲۴گ، ۲۰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۲-۲۴]</w:t>
      </w:r>
    </w:p>
    <w:p>
      <w:pPr>
        <w:pStyle w:val="BookText"/>
      </w:pPr>
      <w:r>
        <w:rPr>
          <w:rFonts w:ascii="IRNazanin" w:hAnsi="IRNazanin" w:eastAsia="IRNazanin" w:cs="IRNazanin"/>
          <w:lang w:bidi="fa-IR"/>
          <w:color w:val="111111"/>
          <w:sz w:val="28"/>
          <w:szCs w:val="28"/>
          <w:rtl/>
        </w:rPr>
        <w:t xml:space="preserve">۴۶۷. قم؛ حجتیه؛ شماره نسخه: ۲۴۲</w:t>
      </w:r>
    </w:p>
    <w:p>
      <w:pPr>
        <w:pStyle w:val="BookText"/>
      </w:pPr>
      <w:r>
        <w:rPr>
          <w:rFonts w:ascii="IRNazanin" w:hAnsi="IRNazanin" w:eastAsia="IRNazanin" w:cs="IRNazanin"/>
          <w:lang w:bidi="fa-IR"/>
          <w:color w:val="111111"/>
          <w:sz w:val="28"/>
          <w:szCs w:val="28"/>
          <w:rtl/>
        </w:rPr>
        <w:t xml:space="preserve">خط: نسخ، بی کا، تا: ۱۲۷۱ ق [ف: ۳۹]</w:t>
      </w:r>
    </w:p>
    <w:p>
      <w:pPr>
        <w:pStyle w:val="BookText"/>
      </w:pPr>
      <w:r>
        <w:rPr>
          <w:rFonts w:ascii="IRNazanin" w:hAnsi="IRNazanin" w:eastAsia="IRNazanin" w:cs="IRNazanin"/>
          <w:lang w:bidi="fa-IR"/>
          <w:color w:val="111111"/>
          <w:sz w:val="28"/>
          <w:szCs w:val="28"/>
          <w:rtl/>
        </w:rPr>
        <w:t xml:space="preserve">۴۶۸. چالوس؛ امام صادق؛ شماره نسخه: ۳۳۸</w:t>
      </w:r>
    </w:p>
    <w:p>
      <w:pPr>
        <w:pStyle w:val="BookText"/>
      </w:pPr>
      <w:r>
        <w:rPr>
          <w:rFonts w:ascii="IRNazanin" w:hAnsi="IRNazanin" w:eastAsia="IRNazanin" w:cs="IRNazanin"/>
          <w:lang w:bidi="fa-IR"/>
          <w:color w:val="111111"/>
          <w:sz w:val="28"/>
          <w:szCs w:val="28"/>
          <w:rtl/>
        </w:rPr>
        <w:t xml:space="preserve">بی کا، بی تا؛ واقف: عبدالمناف بن يونس ساکن الیت کلارستاق، در ۱۲۷۱ق؛ مهر: «عبده الراجی عبدالجبار» (بیضوی)؛ جلد: تیماج [ف: ۴۲]</w:t>
      </w:r>
    </w:p>
    <w:p>
      <w:pPr>
        <w:pStyle w:val="BookText"/>
      </w:pPr>
      <w:r>
        <w:rPr>
          <w:rFonts w:ascii="IRNazanin" w:hAnsi="IRNazanin" w:eastAsia="IRNazanin" w:cs="IRNazanin"/>
          <w:lang w:bidi="fa-IR"/>
          <w:color w:val="111111"/>
          <w:sz w:val="28"/>
          <w:szCs w:val="28"/>
          <w:rtl/>
        </w:rPr>
        <w:t xml:space="preserve">۴۶۹. تهران؛ ملی؛ شماره نسخه: ۴۲۶۲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صادق بن حاجی علی اکبر شاهرودی، تا: ۱۲۷۱ق؛ مصحح، محشی؛ کاغذ: فرنگی نخودی، جلد: مقوایی با روکش کاغذی نخودی ساده، عطف تیماج مشکی، ۱۳۷گ،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۱۸- ۲۲۲]</w:t>
      </w:r>
    </w:p>
    <w:p>
      <w:pPr>
        <w:pStyle w:val="BookText"/>
      </w:pPr>
      <w:r>
        <w:rPr>
          <w:rFonts w:ascii="IRNazanin" w:hAnsi="IRNazanin" w:eastAsia="IRNazanin" w:cs="IRNazanin"/>
          <w:lang w:bidi="fa-IR"/>
          <w:color w:val="111111"/>
          <w:sz w:val="28"/>
          <w:szCs w:val="28"/>
          <w:rtl/>
        </w:rPr>
        <w:t xml:space="preserve">۴۷۰. قم؛ گلپایگانی؛ شماره نسخه: ۸۸۴۸/۱ - ۵۹/۶۸</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تا: ۱۲۷۱ق؛ ۸۴گ (۱-۸۴)، ۱۷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۲-۶۴۰]</w:t>
      </w:r>
    </w:p>
    <w:p>
      <w:pPr>
        <w:pStyle w:val="BookText"/>
      </w:pPr>
      <w:r>
        <w:rPr>
          <w:rFonts w:ascii="IRNazanin" w:hAnsi="IRNazanin" w:eastAsia="IRNazanin" w:cs="IRNazanin"/>
          <w:lang w:bidi="fa-IR"/>
          <w:color w:val="111111"/>
          <w:sz w:val="28"/>
          <w:szCs w:val="28"/>
          <w:rtl/>
        </w:rPr>
        <w:t xml:space="preserve">۴۷۱. قم، مرکز مطالعات؛ شماره نسخه: ۵۶۳/۲</w:t>
      </w:r>
    </w:p>
    <w:p>
      <w:pPr>
        <w:pStyle w:val="BookText"/>
      </w:pPr>
      <w:r>
        <w:rPr>
          <w:rFonts w:ascii="IRNazanin" w:hAnsi="IRNazanin" w:eastAsia="IRNazanin" w:cs="IRNazanin"/>
          <w:lang w:bidi="fa-IR"/>
          <w:color w:val="111111"/>
          <w:sz w:val="28"/>
          <w:szCs w:val="28"/>
          <w:rtl/>
        </w:rPr>
        <w:t xml:space="preserve">خط: نسخ، كا: عباس بن حسن دامغانی، تا: شعبان ۱۲۷۲ق؛ جلد: تیماج قهوه ای ضربی با ترنج با سر با نقش گل و بوته مجدول ۹۱گ (۴۷پ -۱۳۷ پ)، ۱۵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۱-۴۸۳]</w:t>
      </w:r>
    </w:p>
    <w:p>
      <w:pPr>
        <w:pStyle w:val="BookText"/>
      </w:pPr>
      <w:r>
        <w:rPr>
          <w:rFonts w:ascii="IRNazanin" w:hAnsi="IRNazanin" w:eastAsia="IRNazanin" w:cs="IRNazanin"/>
          <w:lang w:bidi="fa-IR"/>
          <w:color w:val="111111"/>
          <w:sz w:val="28"/>
          <w:szCs w:val="28"/>
          <w:rtl/>
        </w:rPr>
        <w:t xml:space="preserve">۴۷۲. قم؛ گلپایگانی؛ شماره نسخه: ۲۳۵۱- ۱۳/۳۱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ثلث، كا: محمد بن حسن حسینی اصفهانی، تا: شوال ۱۲۷۲ق؛ جلد: تیماج قهوه ای با جدول خطی و گرهی و ترنج و سرترنج ضربی، ۱۱۶، ۱۷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۲-۶۳۷]</w:t>
      </w:r>
    </w:p>
    <w:p>
      <w:pPr>
        <w:pStyle w:val="BookText"/>
      </w:pPr>
      <w:r>
        <w:rPr>
          <w:rFonts w:ascii="IRNazanin" w:hAnsi="IRNazanin" w:eastAsia="IRNazanin" w:cs="IRNazanin"/>
          <w:lang w:bidi="fa-IR"/>
          <w:color w:val="111111"/>
          <w:sz w:val="28"/>
          <w:szCs w:val="28"/>
          <w:rtl/>
        </w:rPr>
        <w:t xml:space="preserve">۴۷۳. یزد؛ وزیری؛ شماره نسخه: ۳۱۴۸</w:t>
      </w:r>
    </w:p>
    <w:p>
      <w:pPr>
        <w:pStyle w:val="BookText"/>
      </w:pPr>
      <w:r>
        <w:rPr>
          <w:rFonts w:ascii="IRNazanin" w:hAnsi="IRNazanin" w:eastAsia="IRNazanin" w:cs="IRNazanin"/>
          <w:lang w:bidi="fa-IR"/>
          <w:color w:val="111111"/>
          <w:sz w:val="28"/>
          <w:szCs w:val="28"/>
          <w:rtl/>
        </w:rPr>
        <w:t xml:space="preserve">خط: نسخ، كا: محمد بن على، تا: ۱۲۷۲ق؛ اهدایی: رسولیان؛ کاغذ: اصفهانی، جلد: مقوایی با تیماج مشکی، ۱۵۵گ، ۱۴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سم [ف: ۵-۱۵۵۰]</w:t>
      </w:r>
    </w:p>
    <w:p>
      <w:pPr>
        <w:pStyle w:val="BookText"/>
      </w:pPr>
      <w:r>
        <w:rPr>
          <w:rFonts w:ascii="IRNazanin" w:hAnsi="IRNazanin" w:eastAsia="IRNazanin" w:cs="IRNazanin"/>
          <w:lang w:bidi="fa-IR"/>
          <w:color w:val="111111"/>
          <w:sz w:val="28"/>
          <w:szCs w:val="28"/>
          <w:rtl/>
        </w:rPr>
        <w:t xml:space="preserve">۴۷۴. تهران؛ مجلس؛ شماره نسخه: ۱۱۶۱۵</w:t>
      </w:r>
    </w:p>
    <w:p>
      <w:pPr>
        <w:pStyle w:val="BookText"/>
      </w:pPr>
      <w:r>
        <w:rPr>
          <w:rFonts w:ascii="IRNazanin" w:hAnsi="IRNazanin" w:eastAsia="IRNazanin" w:cs="IRNazanin"/>
          <w:lang w:bidi="fa-IR"/>
          <w:color w:val="111111"/>
          <w:sz w:val="28"/>
          <w:szCs w:val="28"/>
          <w:rtl/>
        </w:rPr>
        <w:t xml:space="preserve">آغاز: برابر؛ انجام: فان التنوين اذا انفتح ما قبل ما تقلب الفا و اذا ظهر و انكسر تحذف نحو اصبت خيرا او اصابنی خیرا و ختموا الخير</w:t>
      </w:r>
    </w:p>
    <w:p>
      <w:pPr>
        <w:pStyle w:val="BookText"/>
      </w:pPr>
      <w:r>
        <w:rPr>
          <w:rFonts w:ascii="IRNazanin" w:hAnsi="IRNazanin" w:eastAsia="IRNazanin" w:cs="IRNazanin"/>
          <w:lang w:bidi="fa-IR"/>
          <w:color w:val="111111"/>
          <w:sz w:val="28"/>
          <w:szCs w:val="28"/>
          <w:rtl/>
        </w:rPr>
        <w:t xml:space="preserve">خط: نسخ، بی کا، تا: جمعه ۲۱ شوال ۱۲۷۴ق؛ مصحح، محشی؛ واقف: اشکوری، ۱۳۷۱ ش؛ کاغذ: فرنگی، جلد: تیماج قهوه ای، با ترنج و سرترنج و لچک و مجدول، ۲۹۶گ، ۱۸ سطر (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۳۴-۱۷]</w:t>
      </w:r>
    </w:p>
    <w:p>
      <w:pPr>
        <w:pStyle w:val="BookText"/>
      </w:pPr>
      <w:r>
        <w:rPr>
          <w:rFonts w:ascii="IRNazanin" w:hAnsi="IRNazanin" w:eastAsia="IRNazanin" w:cs="IRNazanin"/>
          <w:lang w:bidi="fa-IR"/>
          <w:color w:val="111111"/>
          <w:sz w:val="28"/>
          <w:szCs w:val="28"/>
          <w:rtl/>
        </w:rPr>
        <w:t xml:space="preserve">۴۷۵. قم، گلپایگانی؛ شماره نسخه: ۸۰۰۶- ۵۴/۹۶</w:t>
      </w:r>
    </w:p>
    <w:p>
      <w:pPr>
        <w:pStyle w:val="BookText"/>
      </w:pPr>
      <w:r>
        <w:rPr>
          <w:rFonts w:ascii="IRNazanin" w:hAnsi="IRNazanin" w:eastAsia="IRNazanin" w:cs="IRNazanin"/>
          <w:lang w:bidi="fa-IR"/>
          <w:color w:val="111111"/>
          <w:sz w:val="28"/>
          <w:szCs w:val="28"/>
          <w:rtl/>
        </w:rPr>
        <w:t xml:space="preserve">آغاز: برابر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نسخ، بی کا، تا: دوشنبه محرم ۱۲۷۵ق؛ محشی؛ ۱۳۲گ، ۱۷-۱۴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۲-۶۳۹]</w:t>
      </w:r>
    </w:p>
    <w:p>
      <w:pPr>
        <w:pStyle w:val="BookText"/>
      </w:pPr>
      <w:r>
        <w:rPr>
          <w:rFonts w:ascii="IRNazanin" w:hAnsi="IRNazanin" w:eastAsia="IRNazanin" w:cs="IRNazanin"/>
          <w:lang w:bidi="fa-IR"/>
          <w:color w:val="111111"/>
          <w:sz w:val="28"/>
          <w:szCs w:val="28"/>
          <w:rtl/>
        </w:rPr>
        <w:t xml:space="preserve">۴۷۶. قم؛ مسجد اعظم، شماره نسخه: ۲۱۷۴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كان محمد بن ابوالقاسم حسینی قزوینی، تا: ۲۵ ربیع الثانی ۱۲۷۵ق؛ مصحح، محشی؛ جلد: تیماج قهوه ای مجدول ۱۱۵گ، ۱۸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مخ: ۱-۲۸۴]</w:t>
      </w:r>
    </w:p>
    <w:p>
      <w:pPr>
        <w:pStyle w:val="BookText"/>
      </w:pPr>
      <w:r>
        <w:rPr>
          <w:rFonts w:ascii="IRNazanin" w:hAnsi="IRNazanin" w:eastAsia="IRNazanin" w:cs="IRNazanin"/>
          <w:lang w:bidi="fa-IR"/>
          <w:color w:val="111111"/>
          <w:sz w:val="28"/>
          <w:szCs w:val="28"/>
          <w:rtl/>
        </w:rPr>
        <w:t xml:space="preserve">۴۷۷. تهران؛ ملی؛ شماره نسخه: ۳۹۷۱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مهدی قلی بن محمد تقی نوری، تا: ۷ شعبان ۱۲۷۷ق، جان خرم آباد فیلی؛ محشی با نشان</w:t>
      </w:r>
    </w:p>
    <w:p>
      <w:pPr>
        <w:pStyle w:val="BookText"/>
      </w:pPr>
      <w:r>
        <w:rPr>
          <w:rFonts w:ascii="IRNazanin" w:hAnsi="IRNazanin" w:eastAsia="IRNazanin" w:cs="IRNazanin"/>
          <w:lang w:bidi="fa-IR"/>
          <w:color w:val="111111"/>
          <w:sz w:val="28"/>
          <w:szCs w:val="28"/>
          <w:rtl/>
        </w:rPr>
        <w:t xml:space="preserve">«محمد، ابن الحاج، عبدالله»، دارای شعری فارسی در ستایش نور علیشاه و شعری عربی از جرجانی در ستایش الفيه؛ کاغذ: فرنگی نخودی، جلد: جلد مقوا، رویه تیماج مشکی با جدول ضربی، ۲۳۶ گ، ۹-۱۰ سطر (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و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۱۷-۲۵۷]</w:t>
      </w:r>
    </w:p>
    <w:p>
      <w:pPr>
        <w:pStyle w:val="BookText"/>
      </w:pPr>
      <w:r>
        <w:rPr>
          <w:rFonts w:ascii="IRNazanin" w:hAnsi="IRNazanin" w:eastAsia="IRNazanin" w:cs="IRNazanin"/>
          <w:lang w:bidi="fa-IR"/>
          <w:color w:val="111111"/>
          <w:sz w:val="28"/>
          <w:szCs w:val="28"/>
          <w:rtl/>
        </w:rPr>
        <w:t xml:space="preserve">۴۷۸. تهران؛ دانشگاه؛ شماره نسخه: ۸۵۶۶</w:t>
      </w:r>
    </w:p>
    <w:p>
      <w:pPr>
        <w:pStyle w:val="BookText"/>
      </w:pPr>
      <w:r>
        <w:rPr>
          <w:rFonts w:ascii="IRNazanin" w:hAnsi="IRNazanin" w:eastAsia="IRNazanin" w:cs="IRNazanin"/>
          <w:lang w:bidi="fa-IR"/>
          <w:color w:val="111111"/>
          <w:sz w:val="28"/>
          <w:szCs w:val="28"/>
          <w:rtl/>
        </w:rPr>
        <w:t xml:space="preserve">خط: نستعلیق، بی کا، تا: ۱۲۷۷ق؛ کاغذ: آبی، جلد: تیماج مشکی مقوایی فرسوده، ۱۷۳گ، ۱۴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قطع: ربعی،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۱۷-۱۶۲]</w:t>
      </w:r>
    </w:p>
    <w:p>
      <w:pPr>
        <w:pStyle w:val="BookText"/>
      </w:pPr>
      <w:r>
        <w:rPr>
          <w:rFonts w:ascii="IRNazanin" w:hAnsi="IRNazanin" w:eastAsia="IRNazanin" w:cs="IRNazanin"/>
          <w:lang w:bidi="fa-IR"/>
          <w:color w:val="111111"/>
          <w:sz w:val="28"/>
          <w:szCs w:val="28"/>
          <w:rtl/>
        </w:rPr>
        <w:t xml:space="preserve">۴۷۹. چالوس؛ امام صادق؛ شماره نسخه: ۲۲۶</w:t>
      </w:r>
    </w:p>
    <w:p>
      <w:pPr>
        <w:pStyle w:val="BookText"/>
      </w:pPr>
      <w:r>
        <w:rPr>
          <w:rFonts w:ascii="IRNazanin" w:hAnsi="IRNazanin" w:eastAsia="IRNazanin" w:cs="IRNazanin"/>
          <w:lang w:bidi="fa-IR"/>
          <w:color w:val="111111"/>
          <w:sz w:val="28"/>
          <w:szCs w:val="28"/>
          <w:rtl/>
        </w:rPr>
        <w:t xml:space="preserve">بی کا، تا: ۱۲۷۷ق [ف: ۴۲]</w:t>
      </w:r>
    </w:p>
    <w:p>
      <w:pPr>
        <w:pStyle w:val="BookText"/>
      </w:pPr>
      <w:r>
        <w:rPr>
          <w:rFonts w:ascii="IRNazanin" w:hAnsi="IRNazanin" w:eastAsia="IRNazanin" w:cs="IRNazanin"/>
          <w:lang w:bidi="fa-IR"/>
          <w:color w:val="111111"/>
          <w:sz w:val="28"/>
          <w:szCs w:val="28"/>
          <w:rtl/>
        </w:rPr>
        <w:t xml:space="preserve">۴۸۰. قم؛ گلپایگانی؛ شماره نسخه: ۶۷۰۸- ۳۴/۷۸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ابوالصلاح محمد تقی بن مولانا محمدرضا گلپایگانی، تا: جمعه ۱۳ رمضان ۱۲۷۸ق؛ مصحح، محشی با امضای «محمد تقی عفى عنه» و «ط و ه» و حواشی دیگر؛ جلد: تیماج قهوه ای مجدول با ترنج و سرترنج، ۱۴۲ گ، ۱۴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۲-۶۳۹]</w:t>
      </w:r>
    </w:p>
    <w:p>
      <w:pPr>
        <w:pStyle w:val="BookText"/>
      </w:pPr>
      <w:r>
        <w:rPr>
          <w:rFonts w:ascii="IRNazanin" w:hAnsi="IRNazanin" w:eastAsia="IRNazanin" w:cs="IRNazanin"/>
          <w:lang w:bidi="fa-IR"/>
          <w:color w:val="111111"/>
          <w:sz w:val="28"/>
          <w:szCs w:val="28"/>
          <w:rtl/>
        </w:rPr>
        <w:t xml:space="preserve">۴۸۱. سمنان؛ مدرسه صادقیه؛ شماره نسخه: ۱۸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باقر بن محمد اسماعيل مازندرانی، تا غره محرم ۱۲۷۹ق؛ جلد: تیماج مشکی، با روکش پلاستیک، ۹۵گ، ۱۶ سطر، قطع: خشتی، اندازه: ۱۷/۵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مخ]</w:t>
      </w:r>
    </w:p>
    <w:p>
      <w:pPr>
        <w:pStyle w:val="BookText"/>
      </w:pPr>
      <w:r>
        <w:rPr>
          <w:rFonts w:ascii="IRNazanin" w:hAnsi="IRNazanin" w:eastAsia="IRNazanin" w:cs="IRNazanin"/>
          <w:lang w:bidi="fa-IR"/>
          <w:color w:val="111111"/>
          <w:sz w:val="28"/>
          <w:szCs w:val="28"/>
          <w:rtl/>
        </w:rPr>
        <w:t xml:space="preserve">۴۸۲. فردوس؛ مکتب مفید؛ شماره نسخه: 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احمد بن میرزا عبدالکریم تونی، تا: ۲۸ ذیقعده ۱۲۷۹ق؛ در برگ اول کتاب نوشته شده این کتاب مستطاب حق و مال آقا شیخ علی اصغر وقف مدرسه حبیبیه تون»؛ جلد: تیماج مشکی، ۱۵۷گ، ۱۷ سطر، اندازه: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۲۲/۵سم [ف مخ]</w:t>
      </w:r>
    </w:p>
    <w:p>
      <w:pPr>
        <w:pStyle w:val="BookText"/>
      </w:pPr>
      <w:r>
        <w:rPr>
          <w:rFonts w:ascii="IRNazanin" w:hAnsi="IRNazanin" w:eastAsia="IRNazanin" w:cs="IRNazanin"/>
          <w:lang w:bidi="fa-IR"/>
          <w:color w:val="111111"/>
          <w:sz w:val="28"/>
          <w:szCs w:val="28"/>
          <w:rtl/>
        </w:rPr>
        <w:t xml:space="preserve">۴۸۳. مشهد؛ گوهرشاد؛ شماره نسخه: ۲۲۲۰/۱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كان محمد حسن بن على اكبر، تا: پنج شنبه رجب ۱۲۷۹ق؛ کاغذ: نخودی آهار مهره، جلد: تیماج مشکی، ۱۲۸گ، ۱۲- ۱۴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۵-۵۹۳]</w:t>
      </w:r>
    </w:p>
    <w:p>
      <w:pPr>
        <w:pStyle w:val="BookText"/>
      </w:pPr>
      <w:r>
        <w:rPr>
          <w:rFonts w:ascii="IRNazanin" w:hAnsi="IRNazanin" w:eastAsia="IRNazanin" w:cs="IRNazanin"/>
          <w:lang w:bidi="fa-IR"/>
          <w:color w:val="111111"/>
          <w:sz w:val="28"/>
          <w:szCs w:val="28"/>
          <w:rtl/>
        </w:rPr>
        <w:t xml:space="preserve">۴۸۴. تهران؛ مدرسه معمارباشی؛ شماره نسخه: ۶۱</w:t>
      </w:r>
    </w:p>
    <w:p>
      <w:pPr>
        <w:pStyle w:val="BookText"/>
      </w:pPr>
      <w:r>
        <w:rPr>
          <w:rFonts w:ascii="IRNazanin" w:hAnsi="IRNazanin" w:eastAsia="IRNazanin" w:cs="IRNazanin"/>
          <w:lang w:bidi="fa-IR"/>
          <w:color w:val="111111"/>
          <w:sz w:val="28"/>
          <w:szCs w:val="28"/>
          <w:rtl/>
        </w:rPr>
        <w:t xml:space="preserve">آغاز: برابر؛ انجام: بل خصاصة ای بغیر فقر يحصل لبعضهم و ذلك لا يحصل</w:t>
      </w:r>
    </w:p>
    <w:p>
      <w:pPr>
        <w:pStyle w:val="BookText"/>
      </w:pPr>
      <w:r>
        <w:rPr>
          <w:rFonts w:ascii="IRNazanin" w:hAnsi="IRNazanin" w:eastAsia="IRNazanin" w:cs="IRNazanin"/>
          <w:lang w:bidi="fa-IR"/>
          <w:color w:val="111111"/>
          <w:sz w:val="28"/>
          <w:szCs w:val="28"/>
          <w:rtl/>
        </w:rPr>
        <w:t xml:space="preserve">خط: نسخ، بی کا، بی تاب افتادگی:انجام ؛ مصحح، محشی؛ تملك محمد حسین تهرانی در ۱۲۸۰ ق؛ مهر: «عبدالرزاق بن عبد اللطيف ...» (بیضوی)؛ جلد: تیماج سیاه، جدول دار، ۱۱۷گ، ۲۱سطر [ف: ۶۷]</w:t>
      </w:r>
    </w:p>
    <w:p>
      <w:pPr>
        <w:pStyle w:val="BookText"/>
      </w:pPr>
      <w:r>
        <w:rPr>
          <w:rFonts w:ascii="IRNazanin" w:hAnsi="IRNazanin" w:eastAsia="IRNazanin" w:cs="IRNazanin"/>
          <w:lang w:bidi="fa-IR"/>
          <w:color w:val="111111"/>
          <w:sz w:val="28"/>
          <w:szCs w:val="28"/>
          <w:rtl/>
        </w:rPr>
        <w:t xml:space="preserve">۴۸۵. مشهد؛ مدرسه باقریه؛ شماره نسخه: ۲۸۷</w:t>
      </w:r>
    </w:p>
    <w:p>
      <w:pPr>
        <w:pStyle w:val="BookText"/>
      </w:pPr>
      <w:r>
        <w:rPr>
          <w:rFonts w:ascii="IRNazanin" w:hAnsi="IRNazanin" w:eastAsia="IRNazanin" w:cs="IRNazanin"/>
          <w:lang w:bidi="fa-IR"/>
          <w:color w:val="111111"/>
          <w:sz w:val="28"/>
          <w:szCs w:val="28"/>
          <w:rtl/>
        </w:rPr>
        <w:t xml:space="preserve">خط: نسخ، كا: محمد على بن قدرة على، تا: ذیقعده ۱۲۸۱ق، جان سمنان؛ ۱۳ و ۱۴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[تراثنا: س ش ۳-۱۱۷]</w:t>
      </w:r>
    </w:p>
    <w:p>
      <w:pPr>
        <w:pStyle w:val="BookText"/>
      </w:pPr>
      <w:r>
        <w:rPr>
          <w:rFonts w:ascii="IRNazanin" w:hAnsi="IRNazanin" w:eastAsia="IRNazanin" w:cs="IRNazanin"/>
          <w:lang w:bidi="fa-IR"/>
          <w:color w:val="111111"/>
          <w:sz w:val="28"/>
          <w:szCs w:val="28"/>
          <w:rtl/>
        </w:rPr>
        <w:t xml:space="preserve">۴۸۶. قم؛ گلپایگانی؛ شماره نسخه: ۴۵۸۵- ۲۳/۱۰۵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حسین بن علی حسینی، تا: ۲۳ ذیقعده ۱۲۸۲ق؛ جلد: تیماج مشکی، ۱۲۶، ۱۷ سطر، اندازه:</w:t>
      </w:r>
    </w:p>
    <w:p>
      <w:pPr>
        <w:pStyle w:val="BookText"/>
      </w:pPr>
      <w:r>
        <w:rPr>
          <w:rFonts w:ascii="IRNazanin" w:hAnsi="IRNazanin" w:eastAsia="IRNazanin" w:cs="IRNazanin"/>
          <w:lang w:bidi="fa-IR"/>
          <w:color w:val="111111"/>
          <w:sz w:val="28"/>
          <w:szCs w:val="28"/>
          <w:rtl/>
        </w:rPr>
        <w:t xml:space="preserve">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۲-۶۳۸]</w:t>
      </w:r>
    </w:p>
    <w:p>
      <w:pPr>
        <w:pStyle w:val="BookText"/>
      </w:pPr>
      <w:r>
        <w:rPr>
          <w:rFonts w:ascii="IRNazanin" w:hAnsi="IRNazanin" w:eastAsia="IRNazanin" w:cs="IRNazanin"/>
          <w:lang w:bidi="fa-IR"/>
          <w:color w:val="111111"/>
          <w:sz w:val="28"/>
          <w:szCs w:val="28"/>
          <w:rtl/>
        </w:rPr>
        <w:t xml:space="preserve">۴۸۷. قم: مرکز مطالعات؛ شماره نسخه: ۳۶۸</w:t>
      </w:r>
    </w:p>
    <w:p>
      <w:pPr>
        <w:pStyle w:val="BookText"/>
      </w:pPr>
      <w:r>
        <w:rPr>
          <w:rFonts w:ascii="IRNazanin" w:hAnsi="IRNazanin" w:eastAsia="IRNazanin" w:cs="IRNazanin"/>
          <w:lang w:bidi="fa-IR"/>
          <w:color w:val="111111"/>
          <w:sz w:val="28"/>
          <w:szCs w:val="28"/>
          <w:rtl/>
        </w:rPr>
        <w:t xml:space="preserve">خط: نسخ، كا: عبد الحسين بن ملا محمد حسن هزار جریبی المسكن من قریه چرکست، تا: پنج شنبه ۱۲۸۳ق، جا: مدرسه مطلب خان؛ محشی؛ فاقد جلد؛ ۱۲۵گ، ۱۵ سطر، اندازه:</w:t>
      </w:r>
    </w:p>
    <w:p>
      <w:pPr>
        <w:pStyle w:val="BookText"/>
      </w:pPr>
      <w:r>
        <w:rPr>
          <w:rFonts w:ascii="Amiri" w:hAnsi="Amiri" w:eastAsia="Amiri" w:cs="Amiri"/>
          <w:lang w:bidi="ar-SA"/>
          <w:color w:val="111111"/>
          <w:sz w:val="28"/>
          <w:szCs w:val="28"/>
          <w:rtl/>
        </w:rPr>
        <w:t xml:space="preserve">۲۲۶۱۷سم [ف: ۱-۳۱۹] ۴۸۸. فردوس؛ مدرسه حبيبيه؛ شماره نسخه: ۴۶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باقر بن محمد جعفر، تا: ربيع الثاني ۱۲۸۳ق، جا: بلده تون؛ جلد: تیماج مشکی مجدول گرهی، ۲۰۵گ، ۱۹ ۲۱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مخ]</w:t>
      </w:r>
    </w:p>
    <w:p>
      <w:pPr>
        <w:pStyle w:val="BookText"/>
      </w:pPr>
      <w:r>
        <w:rPr>
          <w:rFonts w:ascii="IRNazanin" w:hAnsi="IRNazanin" w:eastAsia="IRNazanin" w:cs="IRNazanin"/>
          <w:lang w:bidi="fa-IR"/>
          <w:color w:val="111111"/>
          <w:sz w:val="28"/>
          <w:szCs w:val="28"/>
          <w:rtl/>
        </w:rPr>
        <w:t xml:space="preserve">۴۸۹. چالوس؛ امام صادق؛ شماره نسخه: ۶۱۷</w:t>
      </w:r>
    </w:p>
    <w:p>
      <w:pPr>
        <w:pStyle w:val="BookText"/>
      </w:pPr>
      <w:r>
        <w:rPr>
          <w:rFonts w:ascii="IRNazanin" w:hAnsi="IRNazanin" w:eastAsia="IRNazanin" w:cs="IRNazanin"/>
          <w:lang w:bidi="fa-IR"/>
          <w:color w:val="111111"/>
          <w:sz w:val="28"/>
          <w:szCs w:val="28"/>
          <w:rtl/>
        </w:rPr>
        <w:t xml:space="preserve">کا: محمد هادی نوری، تا: ۱۲۸۳ق؛ جلد: تيماج [ف: ۴۲]</w:t>
      </w:r>
    </w:p>
    <w:p>
      <w:pPr>
        <w:pStyle w:val="BookText"/>
      </w:pPr>
      <w:r>
        <w:rPr>
          <w:rFonts w:ascii="IRNazanin" w:hAnsi="IRNazanin" w:eastAsia="IRNazanin" w:cs="IRNazanin"/>
          <w:lang w:bidi="fa-IR"/>
          <w:color w:val="111111"/>
          <w:sz w:val="28"/>
          <w:szCs w:val="28"/>
          <w:rtl/>
        </w:rPr>
        <w:t xml:space="preserve">۴۹۰. تهران، ملک، شماره نسخه: ۲۲۷۰/۱</w:t>
      </w:r>
    </w:p>
    <w:p>
      <w:pPr>
        <w:pStyle w:val="BookText"/>
      </w:pPr>
      <w:r>
        <w:rPr>
          <w:rFonts w:ascii="IRNazanin" w:hAnsi="IRNazanin" w:eastAsia="IRNazanin" w:cs="IRNazanin"/>
          <w:lang w:bidi="fa-IR"/>
          <w:color w:val="111111"/>
          <w:sz w:val="28"/>
          <w:szCs w:val="28"/>
          <w:rtl/>
        </w:rPr>
        <w:t xml:space="preserve">خط: نستعلیق، کا: غلامرضا بن میرزا عبدالنبی، تا: ۱۲۸۹ق، جا: مدرسه زهان؛ کاغذ: فرنگی، جلد: میشن سیاه لایی، ۱۴ سطر [ف: ۴۵۶-۵ ]</w:t>
      </w:r>
    </w:p>
    <w:p>
      <w:pPr>
        <w:pStyle w:val="BookText"/>
      </w:pPr>
      <w:r>
        <w:rPr>
          <w:rFonts w:ascii="IRNazanin" w:hAnsi="IRNazanin" w:eastAsia="IRNazanin" w:cs="IRNazanin"/>
          <w:lang w:bidi="fa-IR"/>
          <w:color w:val="111111"/>
          <w:sz w:val="28"/>
          <w:szCs w:val="28"/>
          <w:rtl/>
        </w:rPr>
        <w:t xml:space="preserve">۴۹۱. قم؛ مرعشی؛ شماره نسخه: ۱۹۳/۲</w:t>
      </w:r>
    </w:p>
    <w:p>
      <w:pPr>
        <w:pStyle w:val="BookText"/>
      </w:pPr>
      <w:r>
        <w:rPr>
          <w:rFonts w:ascii="IRNazanin" w:hAnsi="IRNazanin" w:eastAsia="IRNazanin" w:cs="IRNazanin"/>
          <w:lang w:bidi="fa-IR"/>
          <w:color w:val="111111"/>
          <w:sz w:val="28"/>
          <w:szCs w:val="28"/>
          <w:rtl/>
        </w:rPr>
        <w:t xml:space="preserve">خط: نسخ، كا: ابوالقاسم بن علی اصغر گلپایگانی، تا: ۲۷ جمادی الثانی ۱۲۹۰ق؛ محشی؛ جلد: تیماج قرمز ضربی، ۶۱گ (۴۵پ- ۱۰۵ر)،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۱-۲۲۳]</w:t>
      </w:r>
    </w:p>
    <w:p>
      <w:pPr>
        <w:pStyle w:val="BookText"/>
      </w:pPr>
      <w:r>
        <w:rPr>
          <w:rFonts w:ascii="IRNazanin" w:hAnsi="IRNazanin" w:eastAsia="IRNazanin" w:cs="IRNazanin"/>
          <w:lang w:bidi="fa-IR"/>
          <w:color w:val="111111"/>
          <w:sz w:val="28"/>
          <w:szCs w:val="28"/>
          <w:rtl/>
        </w:rPr>
        <w:t xml:space="preserve">۴۹۲. چالوس؛ امام صادق؛ شماره نسخه: ۶۱۸</w:t>
      </w:r>
    </w:p>
    <w:p>
      <w:pPr>
        <w:pStyle w:val="BookText"/>
      </w:pPr>
      <w:r>
        <w:rPr>
          <w:rFonts w:ascii="IRNazanin" w:hAnsi="IRNazanin" w:eastAsia="IRNazanin" w:cs="IRNazanin"/>
          <w:lang w:bidi="fa-IR"/>
          <w:color w:val="111111"/>
          <w:sz w:val="28"/>
          <w:szCs w:val="28"/>
          <w:rtl/>
        </w:rPr>
        <w:t xml:space="preserve">کا: حسن بن حسین کلارنکائی، تا: ۱۲۹۲ق؛ جلد: تيماج [ف: ۴۲]</w:t>
      </w:r>
    </w:p>
    <w:p>
      <w:pPr>
        <w:pStyle w:val="BookText"/>
      </w:pPr>
      <w:r>
        <w:rPr>
          <w:rFonts w:ascii="IRNazanin" w:hAnsi="IRNazanin" w:eastAsia="IRNazanin" w:cs="IRNazanin"/>
          <w:lang w:bidi="fa-IR"/>
          <w:color w:val="111111"/>
          <w:sz w:val="28"/>
          <w:szCs w:val="28"/>
          <w:rtl/>
        </w:rPr>
        <w:t xml:space="preserve">۴۹۳. قم؛ مرعشی؛ شماره نسخه: ۹۰۷۴/۱</w:t>
      </w:r>
    </w:p>
    <w:p>
      <w:pPr>
        <w:pStyle w:val="BookText"/>
      </w:pPr>
      <w:r>
        <w:rPr>
          <w:rFonts w:ascii="IRNazanin" w:hAnsi="IRNazanin" w:eastAsia="IRNazanin" w:cs="IRNazanin"/>
          <w:lang w:bidi="fa-IR"/>
          <w:color w:val="111111"/>
          <w:sz w:val="28"/>
          <w:szCs w:val="28"/>
          <w:rtl/>
        </w:rPr>
        <w:t xml:space="preserve">خط: نسخ، كا: محمد حسین بن حیدر دهنوی، تا: قرن ۱۴؛ محشی؛ جلد: مقوایی عطف تیماج قهوه ای، ۱۰۹گ (اپ- ۱۰۹پ)،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۲۳-۲۲۷]</w:t>
      </w:r>
    </w:p>
    <w:p>
      <w:pPr>
        <w:pStyle w:val="BookText"/>
      </w:pPr>
      <w:r>
        <w:rPr>
          <w:rFonts w:ascii="IRNazanin" w:hAnsi="IRNazanin" w:eastAsia="IRNazanin" w:cs="IRNazanin"/>
          <w:lang w:bidi="fa-IR"/>
          <w:color w:val="111111"/>
          <w:sz w:val="28"/>
          <w:szCs w:val="28"/>
          <w:rtl/>
        </w:rPr>
        <w:t xml:space="preserve">۴۹۴. دامغان؛ صادقیه، شماره نسخه: ۲۲۱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من بنی هاشم وقال في حديث رواه الطبرانی ان الله اختار خله فاختار منهم؛ انجام: رساله الزيدان الذين بلغت من الزيدين اليهم رسالة العمرون التي</w:t>
      </w:r>
    </w:p>
    <w:p>
      <w:pPr>
        <w:pStyle w:val="BookText"/>
      </w:pPr>
      <w:r>
        <w:rPr>
          <w:rFonts w:ascii="IRNazanin" w:hAnsi="IRNazanin" w:eastAsia="IRNazanin" w:cs="IRNazanin"/>
          <w:lang w:bidi="fa-IR"/>
          <w:color w:val="111111"/>
          <w:sz w:val="28"/>
          <w:szCs w:val="28"/>
          <w:rtl/>
        </w:rPr>
        <w:t xml:space="preserve">خط: نسخ، بی کا، تا: قرن ۱۳ یا ۱۴؛ افتادگی: آغاز و انجام؛ واقف: آقا میر حسین طباطبائی حسن آبادی؛ جلد: تیماج مشکی بدون مقوا، ۸۷گ، ۱۹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مخ: ۲۵]</w:t>
      </w:r>
    </w:p>
    <w:p>
      <w:pPr>
        <w:pStyle w:val="BookText"/>
      </w:pPr>
      <w:r>
        <w:rPr>
          <w:rFonts w:ascii="IRNazanin" w:hAnsi="IRNazanin" w:eastAsia="IRNazanin" w:cs="IRNazanin"/>
          <w:lang w:bidi="fa-IR"/>
          <w:color w:val="111111"/>
          <w:sz w:val="28"/>
          <w:szCs w:val="28"/>
          <w:rtl/>
        </w:rPr>
        <w:t xml:space="preserve">۴۹۵. یزد؛ وزیری؛ شماره نسخه: ۱۷۶۳</w:t>
      </w:r>
    </w:p>
    <w:p>
      <w:pPr>
        <w:pStyle w:val="BookText"/>
      </w:pPr>
      <w:r>
        <w:rPr>
          <w:rFonts w:ascii="IRNazanin" w:hAnsi="IRNazanin" w:eastAsia="IRNazanin" w:cs="IRNazanin"/>
          <w:lang w:bidi="fa-IR"/>
          <w:color w:val="111111"/>
          <w:sz w:val="28"/>
          <w:szCs w:val="28"/>
          <w:rtl/>
        </w:rPr>
        <w:t xml:space="preserve">خط: نسخ، كا: ابو طالب بن ملا عبدالحمید، تا: ۱۹ ربیع الاول ۱۳۰۶ق؛ مهر تملك: «الراجي ابو طالب بن عبدالحمید»؛ کاغذ: ترمه، جلد: مقوایی با تیماج مشکی ضربی، ۱۹۱گ، ۱۴ سطر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۳-۱۰۴۷]</w:t>
      </w:r>
    </w:p>
    <w:p>
      <w:pPr>
        <w:pStyle w:val="BookText"/>
      </w:pPr>
      <w:r>
        <w:rPr>
          <w:rFonts w:ascii="IRNazanin" w:hAnsi="IRNazanin" w:eastAsia="IRNazanin" w:cs="IRNazanin"/>
          <w:lang w:bidi="fa-IR"/>
          <w:color w:val="111111"/>
          <w:sz w:val="28"/>
          <w:szCs w:val="28"/>
          <w:rtl/>
        </w:rPr>
        <w:t xml:space="preserve">۴۹۶. مشهد؛ رضوی؛ شماره نسخه: ۱۸۵۱۴</w:t>
      </w:r>
    </w:p>
    <w:p>
      <w:pPr>
        <w:pStyle w:val="BookText"/>
      </w:pPr>
      <w:r>
        <w:rPr>
          <w:rFonts w:ascii="IRNazanin" w:hAnsi="IRNazanin" w:eastAsia="IRNazanin" w:cs="IRNazanin"/>
          <w:lang w:bidi="fa-IR"/>
          <w:color w:val="111111"/>
          <w:sz w:val="28"/>
          <w:szCs w:val="28"/>
          <w:rtl/>
        </w:rPr>
        <w:t xml:space="preserve">آغاز: بسمله الحمدلله على انعما و علم الانسان ما لم يعلما؛ انجام: و لم احد فيه دلالا وافيا و مدعي الاجماع ليس كافيا خط: نسخ، كا: محمد علی بن محمد تقی آل عصفور، تا: ۱۳۲۴ق؛ افتادگی: انجام؛ ابعاد متن: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کاغذ: فرنگی [رایانه]</w:t>
      </w:r>
    </w:p>
    <w:p>
      <w:pPr>
        <w:pStyle w:val="BookText"/>
      </w:pPr>
      <w:r>
        <w:rPr>
          <w:rFonts w:ascii="IRNazanin" w:hAnsi="IRNazanin" w:eastAsia="IRNazanin" w:cs="IRNazanin"/>
          <w:lang w:bidi="fa-IR"/>
          <w:color w:val="111111"/>
          <w:sz w:val="28"/>
          <w:szCs w:val="28"/>
          <w:rtl/>
        </w:rPr>
        <w:t xml:space="preserve">۴۹۷. اصفهان، دانشگاه، شماره نسخه: ۲۶۴</w:t>
      </w:r>
    </w:p>
    <w:p>
      <w:pPr>
        <w:pStyle w:val="BookText"/>
      </w:pPr>
      <w:r>
        <w:rPr>
          <w:rFonts w:ascii="IRNazanin" w:hAnsi="IRNazanin" w:eastAsia="IRNazanin" w:cs="IRNazanin"/>
          <w:lang w:bidi="fa-IR"/>
          <w:color w:val="111111"/>
          <w:sz w:val="28"/>
          <w:szCs w:val="28"/>
          <w:rtl/>
        </w:rPr>
        <w:t xml:space="preserve">خط: نسخ، بی کا، تا: ۱۳۲۵ق؛ کاغذ: آبی [نشريه: ۱۱-۸۸۵]</w:t>
      </w:r>
    </w:p>
    <w:p>
      <w:pPr>
        <w:pStyle w:val="BookText"/>
      </w:pPr>
      <w:r>
        <w:rPr>
          <w:rFonts w:ascii="IRNazanin" w:hAnsi="IRNazanin" w:eastAsia="IRNazanin" w:cs="IRNazanin"/>
          <w:lang w:bidi="fa-IR"/>
          <w:color w:val="111111"/>
          <w:sz w:val="28"/>
          <w:szCs w:val="28"/>
          <w:rtl/>
        </w:rPr>
        <w:t xml:space="preserve">۴۹۸. تهران؛ سپهسالار؛ شماره نسخه: ۶۸۵۶/۱</w:t>
      </w:r>
    </w:p>
    <w:p>
      <w:pPr>
        <w:pStyle w:val="BookText"/>
      </w:pPr>
      <w:r>
        <w:rPr>
          <w:rFonts w:ascii="IRNazanin" w:hAnsi="IRNazanin" w:eastAsia="IRNazanin" w:cs="IRNazanin"/>
          <w:lang w:bidi="fa-IR"/>
          <w:color w:val="111111"/>
          <w:sz w:val="28"/>
          <w:szCs w:val="28"/>
          <w:rtl/>
        </w:rPr>
        <w:t xml:space="preserve">خط: نسخ، كا: باقر بن امام قلی نهاوندی، تا: ۲۲ صفر ۱۳۲۷ق؛ کاغذ: فرنگی، جلد: مقوا، ۱۰۸گ (۲ر-۱۰۹پ)، ۱۸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۳-۲۶۶]</w:t>
      </w:r>
    </w:p>
    <w:p>
      <w:pPr>
        <w:pStyle w:val="BookText"/>
      </w:pPr>
      <w:r>
        <w:rPr>
          <w:rFonts w:ascii="IRNazanin" w:hAnsi="IRNazanin" w:eastAsia="IRNazanin" w:cs="IRNazanin"/>
          <w:lang w:bidi="fa-IR"/>
          <w:color w:val="111111"/>
          <w:sz w:val="28"/>
          <w:szCs w:val="28"/>
          <w:rtl/>
        </w:rPr>
        <w:t xml:space="preserve">۴۹۹. قم، گلپایگانی؛ شماره نسخه: ۹۰۰۲- ۵۹/۲۲۲</w:t>
      </w:r>
    </w:p>
    <w:p>
      <w:pPr>
        <w:pStyle w:val="BookText"/>
      </w:pPr>
      <w:r>
        <w:rPr>
          <w:rFonts w:ascii="IRNazanin" w:hAnsi="IRNazanin" w:eastAsia="IRNazanin" w:cs="IRNazanin"/>
          <w:lang w:bidi="fa-IR"/>
          <w:color w:val="111111"/>
          <w:sz w:val="28"/>
          <w:szCs w:val="28"/>
          <w:rtl/>
        </w:rPr>
        <w:t xml:space="preserve">آغاز: برابر خط: نسخ، كا: محمود موسوی، تا: ۱۳۲۸ق (تاریخ کتابت دو برگ جدیدتر آخر)؛ ۲۲۵گ، ۱۰ و ۱۲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۲-۶۴۰]</w:t>
      </w:r>
    </w:p>
    <w:p>
      <w:pPr>
        <w:pStyle w:val="BookText"/>
      </w:pPr>
      <w:r>
        <w:rPr>
          <w:rFonts w:ascii="IRNazanin" w:hAnsi="IRNazanin" w:eastAsia="IRNazanin" w:cs="IRNazanin"/>
          <w:lang w:bidi="fa-IR"/>
          <w:color w:val="111111"/>
          <w:sz w:val="28"/>
          <w:szCs w:val="28"/>
          <w:rtl/>
        </w:rPr>
        <w:t xml:space="preserve">۵۰۰. قم؛ گلپایگانی؛ شماره نسخه: ۴۱۷۴- ۲۱/۹۴</w:t>
      </w:r>
    </w:p>
    <w:p>
      <w:pPr>
        <w:pStyle w:val="BookText"/>
      </w:pPr>
      <w:r>
        <w:rPr>
          <w:rFonts w:ascii="IRNazanin" w:hAnsi="IRNazanin" w:eastAsia="IRNazanin" w:cs="IRNazanin"/>
          <w:lang w:bidi="fa-IR"/>
          <w:color w:val="111111"/>
          <w:sz w:val="28"/>
          <w:szCs w:val="28"/>
          <w:rtl/>
        </w:rPr>
        <w:t xml:space="preserve">آغاز: والمراد سکوت المتكلم وقيل السامع وقيل كليهما وخرج به مالا يفيد كان تام مثلا واستثنى منه في شرح التسهيل نقلا عن سیبویه؛ انجام: برابر</w:t>
      </w:r>
    </w:p>
    <w:p>
      <w:pPr>
        <w:pStyle w:val="BookText"/>
      </w:pPr>
      <w:r>
        <w:rPr>
          <w:rFonts w:ascii="IRNazanin" w:hAnsi="IRNazanin" w:eastAsia="IRNazanin" w:cs="IRNazanin"/>
          <w:lang w:bidi="fa-IR"/>
          <w:color w:val="111111"/>
          <w:sz w:val="28"/>
          <w:szCs w:val="28"/>
          <w:rtl/>
        </w:rPr>
        <w:t xml:space="preserve">خط: نسخ، بی کا، تا: ۱۳۳۴ق؛ افتادگی: آغاز؛ جلد: تیماج قهوه ای ضربی مجدول گرهی، ۱۶۶گ، ۱۱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۶۴۲-۲ ]</w:t>
      </w:r>
    </w:p>
    <w:p>
      <w:pPr>
        <w:pStyle w:val="BookText"/>
      </w:pPr>
      <w:r>
        <w:rPr>
          <w:rFonts w:ascii="IRNazanin" w:hAnsi="IRNazanin" w:eastAsia="IRNazanin" w:cs="IRNazanin"/>
          <w:lang w:bidi="fa-IR"/>
          <w:color w:val="111111"/>
          <w:sz w:val="28"/>
          <w:szCs w:val="28"/>
          <w:rtl/>
        </w:rPr>
        <w:t xml:space="preserve">۵۰۱. اردکان یزد؛ امام صادق؛ شماره نسخه: ۲۵۳</w:t>
      </w:r>
    </w:p>
    <w:p>
      <w:pPr>
        <w:pStyle w:val="BookText"/>
      </w:pPr>
      <w:r>
        <w:rPr>
          <w:rFonts w:ascii="IRNazanin" w:hAnsi="IRNazanin" w:eastAsia="IRNazanin" w:cs="IRNazanin"/>
          <w:lang w:bidi="fa-IR"/>
          <w:color w:val="111111"/>
          <w:sz w:val="28"/>
          <w:szCs w:val="28"/>
          <w:rtl/>
        </w:rPr>
        <w:t xml:space="preserve">خط: نسخ، كا: میرزا ابراهيم بن محمد حسین اردکانی، تا: جمعه ۲۵ جمادی الثانی ۱۳۴۲ق؛ مصحح، محشی؛ تملک: کاتب به سال ۱۳۴۳؛ اهدایی: ورثه امام زاده؛ جلد: تیماج مشکی، ۱۳۲ ، ۱۸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۲-۶]</w:t>
      </w:r>
    </w:p>
    <w:p>
      <w:pPr>
        <w:pStyle w:val="BookText"/>
      </w:pPr>
      <w:r>
        <w:rPr>
          <w:rFonts w:ascii="IRNazanin" w:hAnsi="IRNazanin" w:eastAsia="IRNazanin" w:cs="IRNazanin"/>
          <w:lang w:bidi="fa-IR"/>
          <w:color w:val="111111"/>
          <w:sz w:val="28"/>
          <w:szCs w:val="28"/>
          <w:rtl/>
        </w:rPr>
        <w:t xml:space="preserve">۵۰۲. یزد؛ وزیری؛ شماره نسخه: ۲۶۶۷</w:t>
      </w:r>
    </w:p>
    <w:p>
      <w:pPr>
        <w:pStyle w:val="BookText"/>
      </w:pPr>
      <w:r>
        <w:rPr>
          <w:rFonts w:ascii="Amiri" w:hAnsi="Amiri" w:eastAsia="Amiri" w:cs="Amiri"/>
          <w:lang w:bidi="ar-SA"/>
          <w:color w:val="111111"/>
          <w:sz w:val="28"/>
          <w:szCs w:val="28"/>
          <w:rtl/>
        </w:rPr>
        <w:t xml:space="preserve">انجام: اللهم صل على سيدنا محمد عبد .</w:t>
      </w:r>
    </w:p>
    <w:p>
      <w:pPr>
        <w:pStyle w:val="BookText"/>
      </w:pPr>
      <w:r>
        <w:rPr>
          <w:rFonts w:ascii="IRNazanin" w:hAnsi="IRNazanin" w:eastAsia="IRNazanin" w:cs="IRNazanin"/>
          <w:lang w:bidi="fa-IR"/>
          <w:color w:val="111111"/>
          <w:sz w:val="28"/>
          <w:szCs w:val="28"/>
          <w:rtl/>
        </w:rPr>
        <w:t xml:space="preserve">خط: نسخ، بی کا، بی تا؛ افتادگی: انجام؛ محشی؛ اهدایی: وزیری؛ کاغذ: اصفهانی، فاقد جلد، ۱۴۰گ، ۱۳ سطر (۱۴۸۹)،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۴-۱۳۸۳]</w:t>
      </w:r>
    </w:p>
    <w:p>
      <w:pPr>
        <w:pStyle w:val="BookText"/>
      </w:pPr>
      <w:r>
        <w:rPr>
          <w:rFonts w:ascii="IRNazanin" w:hAnsi="IRNazanin" w:eastAsia="IRNazanin" w:cs="IRNazanin"/>
          <w:lang w:bidi="fa-IR"/>
          <w:color w:val="111111"/>
          <w:sz w:val="28"/>
          <w:szCs w:val="28"/>
          <w:rtl/>
        </w:rPr>
        <w:t xml:space="preserve">۵۰۳. یزد؛ وزیری؛ شماره نسخه: ۲۶۲۹</w:t>
      </w:r>
    </w:p>
    <w:p>
      <w:pPr>
        <w:pStyle w:val="BookText"/>
      </w:pPr>
      <w:r>
        <w:rPr>
          <w:rFonts w:ascii="IRNazanin" w:hAnsi="IRNazanin" w:eastAsia="IRNazanin" w:cs="IRNazanin"/>
          <w:lang w:bidi="fa-IR"/>
          <w:color w:val="111111"/>
          <w:sz w:val="28"/>
          <w:szCs w:val="28"/>
          <w:rtl/>
        </w:rPr>
        <w:t xml:space="preserve">نسخه کامل؛ خط: نسخ، كا: میرزا محمد بن ملا محمد قاسم، بی تا؛ محشى؛ مهر: «بسم الله الرحمن الرحیم»؛ اهدایی: حسین مصباحی؛ کاغذ: اصفهانی، جلد: بدون جلد، ۱۰۰گ، ۲۰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۴-۱۳۶۹]</w:t>
      </w:r>
    </w:p>
    <w:p>
      <w:pPr>
        <w:pStyle w:val="BookText"/>
      </w:pPr>
      <w:r>
        <w:rPr>
          <w:rFonts w:ascii="IRNazanin" w:hAnsi="IRNazanin" w:eastAsia="IRNazanin" w:cs="IRNazanin"/>
          <w:lang w:bidi="fa-IR"/>
          <w:color w:val="111111"/>
          <w:sz w:val="28"/>
          <w:szCs w:val="28"/>
          <w:rtl/>
        </w:rPr>
        <w:t xml:space="preserve">۵۰۴. یزد؛ وزیری؛ شماره نسخه: ۲۶۱۰/۵</w:t>
      </w:r>
    </w:p>
    <w:p>
      <w:pPr>
        <w:pStyle w:val="BookText"/>
      </w:pPr>
      <w:r>
        <w:rPr>
          <w:rFonts w:ascii="IRNazanin" w:hAnsi="IRNazanin" w:eastAsia="IRNazanin" w:cs="IRNazanin"/>
          <w:lang w:bidi="fa-IR"/>
          <w:color w:val="111111"/>
          <w:sz w:val="28"/>
          <w:szCs w:val="28"/>
          <w:rtl/>
        </w:rPr>
        <w:t xml:space="preserve">بی کا، بی تا؛ اهدایی: وزیری؛ کاغذ: کبود اصفهانی، جلد: مقوایی روکش کاغذ عنابی ابری عطف تیماج عنابی،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۴-۱۳۶۳]</w:t>
      </w:r>
    </w:p>
    <w:p>
      <w:pPr>
        <w:pStyle w:val="BookText"/>
      </w:pPr>
      <w:r>
        <w:rPr>
          <w:rFonts w:ascii="IRNazanin" w:hAnsi="IRNazanin" w:eastAsia="IRNazanin" w:cs="IRNazanin"/>
          <w:lang w:bidi="fa-IR"/>
          <w:color w:val="111111"/>
          <w:sz w:val="28"/>
          <w:szCs w:val="28"/>
          <w:rtl/>
        </w:rPr>
        <w:t xml:space="preserve">۵۰۵. یزد؛ وزیری؛ شماره نسخه: ۲۹۹۷/۱</w:t>
      </w:r>
    </w:p>
    <w:p>
      <w:pPr>
        <w:pStyle w:val="BookText"/>
      </w:pPr>
      <w:r>
        <w:rPr>
          <w:rFonts w:ascii="IRNazanin" w:hAnsi="IRNazanin" w:eastAsia="IRNazanin" w:cs="IRNazanin"/>
          <w:lang w:bidi="fa-IR"/>
          <w:color w:val="111111"/>
          <w:sz w:val="28"/>
          <w:szCs w:val="28"/>
          <w:rtl/>
        </w:rPr>
        <w:t xml:space="preserve">آغاز: و ایها مبتداء اول؛ انجام: آن وثوب و ثياب.</w:t>
      </w:r>
    </w:p>
    <w:p>
      <w:pPr>
        <w:pStyle w:val="BookText"/>
      </w:pPr>
      <w:r>
        <w:rPr>
          <w:rFonts w:ascii="IRNazanin" w:hAnsi="IRNazanin" w:eastAsia="IRNazanin" w:cs="IRNazanin"/>
          <w:lang w:bidi="fa-IR"/>
          <w:color w:val="111111"/>
          <w:sz w:val="28"/>
          <w:szCs w:val="28"/>
          <w:rtl/>
        </w:rPr>
        <w:t xml:space="preserve">بی کا، بی تا؛ افتادگی: آغاز و انجام کاغذ: اصفهانی، جلد: مقوایی روکش کاغذ سبز عطف تیماج قرمز، ۳۱گ (۱-۳۱)، ۱۷ سطر (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۴-۱۴۹۹]</w:t>
      </w:r>
    </w:p>
    <w:p>
      <w:pPr>
        <w:pStyle w:val="BookText"/>
      </w:pPr>
      <w:r>
        <w:rPr>
          <w:rFonts w:ascii="IRNazanin" w:hAnsi="IRNazanin" w:eastAsia="IRNazanin" w:cs="IRNazanin"/>
          <w:lang w:bidi="fa-IR"/>
          <w:color w:val="111111"/>
          <w:sz w:val="28"/>
          <w:szCs w:val="28"/>
          <w:rtl/>
        </w:rPr>
        <w:t xml:space="preserve">۵۰۶. مشهد؛ رضوی؛ شماره نسخه: ۲۵۴۶۴</w:t>
      </w:r>
    </w:p>
    <w:p>
      <w:pPr>
        <w:pStyle w:val="BookText"/>
      </w:pPr>
      <w:r>
        <w:rPr>
          <w:rFonts w:ascii="IRNazanin" w:hAnsi="IRNazanin" w:eastAsia="IRNazanin" w:cs="IRNazanin"/>
          <w:lang w:bidi="fa-IR"/>
          <w:color w:val="111111"/>
          <w:sz w:val="28"/>
          <w:szCs w:val="28"/>
          <w:rtl/>
        </w:rPr>
        <w:t xml:space="preserve">آغاز: برابر؛ انجام: فیکره اجتماع الأمثال ففعل به ما ذکر ... خط: نسخ خفی، بی کا، بی تا؛ افتادگی: انجام؛ کاغذ: شکری، جلد: شومیز، ۲۰ سطر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قطع: وزیری کوچک،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[رایانه]</w:t>
      </w:r>
    </w:p>
    <w:p>
      <w:pPr>
        <w:pStyle w:val="BookText"/>
      </w:pPr>
      <w:r>
        <w:rPr>
          <w:rFonts w:ascii="IRNazanin" w:hAnsi="IRNazanin" w:eastAsia="IRNazanin" w:cs="IRNazanin"/>
          <w:lang w:bidi="fa-IR"/>
          <w:color w:val="111111"/>
          <w:sz w:val="28"/>
          <w:szCs w:val="28"/>
          <w:rtl/>
        </w:rPr>
        <w:t xml:space="preserve">۵۰۷. مشهد؛ رضوی؛ شماره نسخه: ۲۸۸۳۸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جلی، بی کا، بی تا، کاغذ: فستقی، جلد: ندارد، ۱۵ سطر ( ۱۴/۷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 قطع: وزیری کوچک،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(رایانه ]</w:t>
      </w:r>
    </w:p>
    <w:p>
      <w:pPr>
        <w:pStyle w:val="BookText"/>
      </w:pPr>
      <w:r>
        <w:rPr>
          <w:rFonts w:ascii="IRNazanin" w:hAnsi="IRNazanin" w:eastAsia="IRNazanin" w:cs="IRNazanin"/>
          <w:lang w:bidi="fa-IR"/>
          <w:color w:val="111111"/>
          <w:sz w:val="28"/>
          <w:szCs w:val="28"/>
          <w:rtl/>
        </w:rPr>
        <w:t xml:space="preserve">۵۰۸. مشهد؛ رضوی؛ شماره نسخه: ۱۶۹۹۲</w:t>
      </w:r>
    </w:p>
    <w:p>
      <w:pPr>
        <w:pStyle w:val="BookText"/>
      </w:pPr>
      <w:r>
        <w:rPr>
          <w:rFonts w:ascii="IRNazanin" w:hAnsi="IRNazanin" w:eastAsia="IRNazanin" w:cs="IRNazanin"/>
          <w:lang w:bidi="fa-IR"/>
          <w:color w:val="111111"/>
          <w:sz w:val="28"/>
          <w:szCs w:val="28"/>
          <w:rtl/>
        </w:rPr>
        <w:t xml:space="preserve">آغاز: ای عطايا من فضله و فسره ای زائده؛ انجام: برابر</w:t>
      </w:r>
    </w:p>
    <w:p>
      <w:pPr>
        <w:pStyle w:val="BookText"/>
      </w:pPr>
      <w:r>
        <w:rPr>
          <w:rFonts w:ascii="IRNazanin" w:hAnsi="IRNazanin" w:eastAsia="IRNazanin" w:cs="IRNazanin"/>
          <w:lang w:bidi="fa-IR"/>
          <w:color w:val="111111"/>
          <w:sz w:val="28"/>
          <w:szCs w:val="28"/>
          <w:rtl/>
        </w:rPr>
        <w:t xml:space="preserve">خط: نسخ، كا: محمد تقی بن محمد عامری فیروزابادی، بی تا؛ افتادگی: آغاز؛ کاغذ: نخودی، جلد: میشن، ۱۶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۹سم [رایانه]</w:t>
      </w:r>
    </w:p>
    <w:p>
      <w:pPr>
        <w:pStyle w:val="BookText"/>
      </w:pPr>
      <w:r>
        <w:rPr>
          <w:rFonts w:ascii="IRNazanin" w:hAnsi="IRNazanin" w:eastAsia="IRNazanin" w:cs="IRNazanin"/>
          <w:lang w:bidi="fa-IR"/>
          <w:color w:val="111111"/>
          <w:sz w:val="28"/>
          <w:szCs w:val="28"/>
          <w:rtl/>
        </w:rPr>
        <w:t xml:space="preserve">۵۰۹. یزد؛ وزیری؛ شماره نسخه: ۳۷۲۲</w:t>
      </w:r>
    </w:p>
    <w:p>
      <w:pPr>
        <w:pStyle w:val="BookText"/>
      </w:pPr>
      <w:r>
        <w:rPr>
          <w:rFonts w:ascii="IRNazanin" w:hAnsi="IRNazanin" w:eastAsia="IRNazanin" w:cs="IRNazanin"/>
          <w:lang w:bidi="fa-IR"/>
          <w:color w:val="111111"/>
          <w:sz w:val="28"/>
          <w:szCs w:val="28"/>
          <w:rtl/>
        </w:rPr>
        <w:t xml:space="preserve">خط: نسخ، بی کا، بی تا، کاغذ: فرنگی، جلد: مقوایی روکش کالنگور تریاکی عطف تیماج قرمز درون کاغذ زرد، ۱۵۶گ، ۱۳ سطر (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۵-۱۷۶۳]</w:t>
      </w:r>
    </w:p>
    <w:p>
      <w:pPr>
        <w:pStyle w:val="BookText"/>
      </w:pPr>
      <w:r>
        <w:rPr>
          <w:rFonts w:ascii="IRNazanin" w:hAnsi="IRNazanin" w:eastAsia="IRNazanin" w:cs="IRNazanin"/>
          <w:lang w:bidi="fa-IR"/>
          <w:color w:val="111111"/>
          <w:sz w:val="28"/>
          <w:szCs w:val="28"/>
          <w:rtl/>
        </w:rPr>
        <w:t xml:space="preserve">۵۱۰. یزد؛ وزیری؛ شماره نسخه: ۱۶۹۴</w:t>
      </w:r>
    </w:p>
    <w:p>
      <w:pPr>
        <w:pStyle w:val="BookText"/>
      </w:pPr>
      <w:r>
        <w:rPr>
          <w:rFonts w:ascii="IRNazanin" w:hAnsi="IRNazanin" w:eastAsia="IRNazanin" w:cs="IRNazanin"/>
          <w:lang w:bidi="fa-IR"/>
          <w:color w:val="111111"/>
          <w:sz w:val="28"/>
          <w:szCs w:val="28"/>
          <w:rtl/>
        </w:rPr>
        <w:t xml:space="preserve">خط: نسخ، كا: محمد ابراهيم بن رجبعلی، بی تا؛ اهدایی: وزیری؛ جلد: مقوایی، ۱۲۲گ، ۱۵ سطر (۱۳۷۸)،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۳-۱۰۲۳]</w:t>
      </w:r>
    </w:p>
    <w:p>
      <w:pPr>
        <w:pStyle w:val="BookText"/>
      </w:pPr>
      <w:r>
        <w:rPr>
          <w:rFonts w:ascii="IRNazanin" w:hAnsi="IRNazanin" w:eastAsia="IRNazanin" w:cs="IRNazanin"/>
          <w:lang w:bidi="fa-IR"/>
          <w:color w:val="111111"/>
          <w:sz w:val="28"/>
          <w:szCs w:val="28"/>
          <w:rtl/>
        </w:rPr>
        <w:t xml:space="preserve">۵۱۱. یزد؛ وزیری؛ شماره نسخه: ۳۶۳۲</w:t>
      </w:r>
    </w:p>
    <w:p>
      <w:pPr>
        <w:pStyle w:val="BookText"/>
      </w:pPr>
      <w:r>
        <w:rPr>
          <w:rFonts w:ascii="IRNazanin" w:hAnsi="IRNazanin" w:eastAsia="IRNazanin" w:cs="IRNazanin"/>
          <w:lang w:bidi="fa-IR"/>
          <w:color w:val="111111"/>
          <w:sz w:val="28"/>
          <w:szCs w:val="28"/>
          <w:rtl/>
        </w:rPr>
        <w:t xml:space="preserve">خط: نسخ، بی کا، بی تا؛ محشی؛ کاغذ: اصفهانی، جلد: مقوایی با تیماج تریاکی، ۱۲۳، ۱۴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۱۷۳۰-۵ ]</w:t>
      </w:r>
    </w:p>
    <w:p>
      <w:pPr>
        <w:pStyle w:val="BookText"/>
      </w:pPr>
      <w:r>
        <w:rPr>
          <w:rFonts w:ascii="IRNazanin" w:hAnsi="IRNazanin" w:eastAsia="IRNazanin" w:cs="IRNazanin"/>
          <w:lang w:bidi="fa-IR"/>
          <w:color w:val="111111"/>
          <w:sz w:val="28"/>
          <w:szCs w:val="28"/>
          <w:rtl/>
        </w:rPr>
        <w:t xml:space="preserve">۵۱۲. یزد؛ وزیری؛ شماره نسخه: ۲۳۹۶</w:t>
      </w:r>
    </w:p>
    <w:p>
      <w:pPr>
        <w:pStyle w:val="BookText"/>
      </w:pPr>
      <w:r>
        <w:rPr>
          <w:rFonts w:ascii="IRNazanin" w:hAnsi="IRNazanin" w:eastAsia="IRNazanin" w:cs="IRNazanin"/>
          <w:lang w:bidi="fa-IR"/>
          <w:color w:val="111111"/>
          <w:sz w:val="28"/>
          <w:szCs w:val="28"/>
          <w:rtl/>
        </w:rPr>
        <w:t xml:space="preserve">آغاز: ما كان عاجله.؛ انجام: موجودك فيجوز اسکان.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نسخ، بی کا، بی تا؛ افتادگی: آغاز و انجام؛ مجدول، دارای کمند؛ اهدایی: وزیری؛ کاغذ: نوعی ترمه، جلد: مقوایی روکش کاغذ قهوه ای عطف تیماج عنابی، ۱۲۸ گ، ۱۲ سطر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۲۰سم [ف: ۴-۱۲۷۸]</w:t>
      </w:r>
    </w:p>
    <w:p>
      <w:pPr>
        <w:pStyle w:val="BookText"/>
      </w:pPr>
      <w:r>
        <w:rPr>
          <w:rFonts w:ascii="IRNazanin" w:hAnsi="IRNazanin" w:eastAsia="IRNazanin" w:cs="IRNazanin"/>
          <w:lang w:bidi="fa-IR"/>
          <w:color w:val="111111"/>
          <w:sz w:val="28"/>
          <w:szCs w:val="28"/>
          <w:rtl/>
        </w:rPr>
        <w:t xml:space="preserve">۵۱۳. یزد؛ وزیری؛ شماره نسخه: ۲۴۴۱</w:t>
      </w:r>
    </w:p>
    <w:p>
      <w:pPr>
        <w:pStyle w:val="BookText"/>
      </w:pPr>
      <w:r>
        <w:rPr>
          <w:rFonts w:ascii="IRNazanin" w:hAnsi="IRNazanin" w:eastAsia="IRNazanin" w:cs="IRNazanin"/>
          <w:lang w:bidi="fa-IR"/>
          <w:color w:val="111111"/>
          <w:sz w:val="28"/>
          <w:szCs w:val="28"/>
          <w:rtl/>
        </w:rPr>
        <w:t xml:space="preserve">انجام: برابر</w:t>
      </w:r>
    </w:p>
    <w:p>
      <w:pPr>
        <w:pStyle w:val="BookText"/>
      </w:pPr>
      <w:r>
        <w:rPr>
          <w:rFonts w:ascii="IRNazanin" w:hAnsi="IRNazanin" w:eastAsia="IRNazanin" w:cs="IRNazanin"/>
          <w:lang w:bidi="fa-IR"/>
          <w:color w:val="111111"/>
          <w:sz w:val="28"/>
          <w:szCs w:val="28"/>
          <w:rtl/>
        </w:rPr>
        <w:t xml:space="preserve">خط: نسخ، بی کا، بی تا، افتادگی: انجام؛ کاغذ: اصفهانی، جلد: مقوایی با کاغذ رنگین عطف تیماج تریاکی، ۱۳۳گ، ۱۷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سم [ف: ۴-۱۲۹۵]</w:t>
      </w:r>
    </w:p>
    <w:p>
      <w:pPr>
        <w:pStyle w:val="BookText"/>
      </w:pPr>
      <w:r>
        <w:rPr>
          <w:rFonts w:ascii="IRNazanin" w:hAnsi="IRNazanin" w:eastAsia="IRNazanin" w:cs="IRNazanin"/>
          <w:lang w:bidi="fa-IR"/>
          <w:color w:val="111111"/>
          <w:sz w:val="28"/>
          <w:szCs w:val="28"/>
          <w:rtl/>
        </w:rPr>
        <w:t xml:space="preserve">۵۱۴. یزد؛ وزیری؛ شماره نسخه: ۳۳۵۸</w:t>
      </w:r>
    </w:p>
    <w:p>
      <w:pPr>
        <w:pStyle w:val="BookText"/>
      </w:pPr>
      <w:r>
        <w:rPr>
          <w:rFonts w:ascii="IRNazanin" w:hAnsi="IRNazanin" w:eastAsia="IRNazanin" w:cs="IRNazanin"/>
          <w:lang w:bidi="fa-IR"/>
          <w:color w:val="111111"/>
          <w:sz w:val="28"/>
          <w:szCs w:val="28"/>
          <w:rtl/>
        </w:rPr>
        <w:t xml:space="preserve">آغاز: اوياء و نون مکسوره في آخره؛ انجام: من لفظ افتعل و الحال واو سلمت</w:t>
      </w:r>
    </w:p>
    <w:p>
      <w:pPr>
        <w:pStyle w:val="BookText"/>
      </w:pPr>
      <w:r>
        <w:rPr>
          <w:rFonts w:ascii="IRNazanin" w:hAnsi="IRNazanin" w:eastAsia="IRNazanin" w:cs="IRNazanin"/>
          <w:lang w:bidi="fa-IR"/>
          <w:color w:val="111111"/>
          <w:sz w:val="28"/>
          <w:szCs w:val="28"/>
          <w:rtl/>
        </w:rPr>
        <w:t xml:space="preserve">خط: نسخ، بی کا، بی تا؛ افتادگی: آغاز و انجام کاغذ: اصفهانی، جلد: مقوایی روکش کاغذ ابری عطف پارچه سفید، ۱۹۹، ۱۱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۵-۱۶۲۶]</w:t>
      </w:r>
    </w:p>
    <w:p>
      <w:pPr>
        <w:pStyle w:val="BookText"/>
      </w:pPr>
      <w:r>
        <w:rPr>
          <w:rFonts w:ascii="IRNazanin" w:hAnsi="IRNazanin" w:eastAsia="IRNazanin" w:cs="IRNazanin"/>
          <w:lang w:bidi="fa-IR"/>
          <w:color w:val="111111"/>
          <w:sz w:val="28"/>
          <w:szCs w:val="28"/>
          <w:rtl/>
        </w:rPr>
        <w:t xml:space="preserve">۵۱۵. یزد؛ وزیری؛ شماره نسخه: ۳۳۷۶</w:t>
      </w:r>
    </w:p>
    <w:p>
      <w:pPr>
        <w:pStyle w:val="BookText"/>
      </w:pPr>
      <w:r>
        <w:rPr>
          <w:rFonts w:ascii="IRNazanin" w:hAnsi="IRNazanin" w:eastAsia="IRNazanin" w:cs="IRNazanin"/>
          <w:lang w:bidi="fa-IR"/>
          <w:color w:val="111111"/>
          <w:sz w:val="28"/>
          <w:szCs w:val="28"/>
          <w:rtl/>
        </w:rPr>
        <w:t xml:space="preserve">آغاز: برابر؛ انجام: نحو ثلثها حجما</w:t>
      </w:r>
    </w:p>
    <w:p>
      <w:pPr>
        <w:pStyle w:val="BookText"/>
      </w:pPr>
      <w:r>
        <w:rPr>
          <w:rFonts w:ascii="IRNazanin" w:hAnsi="IRNazanin" w:eastAsia="IRNazanin" w:cs="IRNazanin"/>
          <w:lang w:bidi="fa-IR"/>
          <w:color w:val="111111"/>
          <w:sz w:val="28"/>
          <w:szCs w:val="28"/>
          <w:rtl/>
        </w:rPr>
        <w:t xml:space="preserve">خط: نسخ، بی کا، بی تا، افتادگی: انجام؛ کاغذ: اصفهانی آهار مهره، جلد: مقوایی روکش کاغذ ابری عطف و گوشه ها تیماج قرمز، ۱۴۵گ، ۱۲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۵-۱۶۳۲]</w:t>
      </w:r>
    </w:p>
    <w:p>
      <w:pPr>
        <w:pStyle w:val="BookText"/>
      </w:pPr>
      <w:r>
        <w:rPr>
          <w:rFonts w:ascii="IRNazanin" w:hAnsi="IRNazanin" w:eastAsia="IRNazanin" w:cs="IRNazanin"/>
          <w:lang w:bidi="fa-IR"/>
          <w:color w:val="111111"/>
          <w:sz w:val="28"/>
          <w:szCs w:val="28"/>
          <w:rtl/>
        </w:rPr>
        <w:t xml:space="preserve">۵۱۶. یزد؛ وزیری؛ شماره نسخه: ۳۱۷۸</w:t>
      </w:r>
    </w:p>
    <w:p>
      <w:pPr>
        <w:pStyle w:val="BookText"/>
      </w:pPr>
      <w:r>
        <w:rPr>
          <w:rFonts w:ascii="IRNazanin" w:hAnsi="IRNazanin" w:eastAsia="IRNazanin" w:cs="IRNazanin"/>
          <w:lang w:bidi="fa-IR"/>
          <w:color w:val="111111"/>
          <w:sz w:val="28"/>
          <w:szCs w:val="28"/>
          <w:rtl/>
        </w:rPr>
        <w:t xml:space="preserve">آغاز: في التسهيل لكن لا مطلقابل؛ انجام: و تصحب اللام الواسط بین الاسم</w:t>
      </w:r>
    </w:p>
    <w:p>
      <w:pPr>
        <w:pStyle w:val="BookText"/>
      </w:pPr>
      <w:r>
        <w:rPr>
          <w:rFonts w:ascii="IRNazanin" w:hAnsi="IRNazanin" w:eastAsia="IRNazanin" w:cs="IRNazanin"/>
          <w:lang w:bidi="fa-IR"/>
          <w:color w:val="111111"/>
          <w:sz w:val="28"/>
          <w:szCs w:val="28"/>
          <w:rtl/>
        </w:rPr>
        <w:t xml:space="preserve">خط: نسخ، بی کا، بی تا، افتادگی: آغاز و انجام؛ محشی از میرزا ابوطالب وشمنی؛ کاغذ: اصفهانی، جلد: مقوایی روکش کاغذ ابری عطف تیماج قرمز، ۵۳گ، ۱۲ سطر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۵-۱۵۶۱]</w:t>
      </w:r>
    </w:p>
    <w:p>
      <w:pPr>
        <w:pStyle w:val="BookText"/>
      </w:pPr>
      <w:r>
        <w:rPr>
          <w:rFonts w:ascii="IRNazanin" w:hAnsi="IRNazanin" w:eastAsia="IRNazanin" w:cs="IRNazanin"/>
          <w:lang w:bidi="fa-IR"/>
          <w:color w:val="111111"/>
          <w:sz w:val="28"/>
          <w:szCs w:val="28"/>
          <w:rtl/>
        </w:rPr>
        <w:t xml:space="preserve">۵۱۷. قم؛ حجتیه؛ شماره نسخه: ۳۹۴</w:t>
      </w:r>
    </w:p>
    <w:p>
      <w:pPr>
        <w:pStyle w:val="BookText"/>
      </w:pPr>
      <w:r>
        <w:rPr>
          <w:rFonts w:ascii="IRNazanin" w:hAnsi="IRNazanin" w:eastAsia="IRNazanin" w:cs="IRNazanin"/>
          <w:lang w:bidi="fa-IR"/>
          <w:color w:val="111111"/>
          <w:sz w:val="28"/>
          <w:szCs w:val="28"/>
          <w:rtl/>
        </w:rPr>
        <w:t xml:space="preserve">بی کا، بی تا [ف: ۳۹]</w:t>
      </w:r>
    </w:p>
    <w:p>
      <w:pPr>
        <w:pStyle w:val="BookText"/>
      </w:pPr>
      <w:r>
        <w:rPr>
          <w:rFonts w:ascii="IRNazanin" w:hAnsi="IRNazanin" w:eastAsia="IRNazanin" w:cs="IRNazanin"/>
          <w:lang w:bidi="fa-IR"/>
          <w:color w:val="111111"/>
          <w:sz w:val="28"/>
          <w:szCs w:val="28"/>
          <w:rtl/>
        </w:rPr>
        <w:t xml:space="preserve">۵۱۸. قم؛ حجتیه؛ شماره نسخه: ۵۸۰</w:t>
      </w:r>
    </w:p>
    <w:p>
      <w:pPr>
        <w:pStyle w:val="BookText"/>
      </w:pPr>
      <w:r>
        <w:rPr>
          <w:rFonts w:ascii="IRNazanin" w:hAnsi="IRNazanin" w:eastAsia="IRNazanin" w:cs="IRNazanin"/>
          <w:lang w:bidi="fa-IR"/>
          <w:color w:val="111111"/>
          <w:sz w:val="28"/>
          <w:szCs w:val="28"/>
          <w:rtl/>
        </w:rPr>
        <w:t xml:space="preserve">بی کا، بی تا [ف: ۳۹]</w:t>
      </w:r>
    </w:p>
    <w:p>
      <w:pPr>
        <w:pStyle w:val="BookText"/>
      </w:pPr>
      <w:r>
        <w:rPr>
          <w:rFonts w:ascii="IRNazanin" w:hAnsi="IRNazanin" w:eastAsia="IRNazanin" w:cs="IRNazanin"/>
          <w:lang w:bidi="fa-IR"/>
          <w:color w:val="111111"/>
          <w:sz w:val="28"/>
          <w:szCs w:val="28"/>
          <w:rtl/>
        </w:rPr>
        <w:t xml:space="preserve">۵۱۹. تهران؛ ملی؛ شماره نسخه: ۳۷۹۴</w:t>
      </w:r>
    </w:p>
    <w:p>
      <w:pPr>
        <w:pStyle w:val="BookText"/>
      </w:pPr>
      <w:r>
        <w:rPr>
          <w:rFonts w:ascii="IRNazanin" w:hAnsi="IRNazanin" w:eastAsia="IRNazanin" w:cs="IRNazanin"/>
          <w:lang w:bidi="fa-IR"/>
          <w:color w:val="111111"/>
          <w:sz w:val="28"/>
          <w:szCs w:val="28"/>
          <w:rtl/>
        </w:rPr>
        <w:t xml:space="preserve">آغاز: ابن مالک الطائي الاندلسي الجياني الشافعی احمد ربي الله خير مالک، ای اصفه بالجميل تعظيما له؛ انجام: اذا صغرته نحو قضى في تصغير قذا و هو ما يسقط في.</w:t>
      </w:r>
    </w:p>
    <w:p>
      <w:pPr>
        <w:pStyle w:val="BookText"/>
      </w:pPr>
      <w:r>
        <w:rPr>
          <w:rFonts w:ascii="IRNazanin" w:hAnsi="IRNazanin" w:eastAsia="IRNazanin" w:cs="IRNazanin"/>
          <w:lang w:bidi="fa-IR"/>
          <w:color w:val="111111"/>
          <w:sz w:val="28"/>
          <w:szCs w:val="28"/>
          <w:rtl/>
        </w:rPr>
        <w:t xml:space="preserve">خط: نسخ، بی کا، بی تا، افتادگی: آغاز و انجام؛ مصحح؛ محشی؛ کاغذ: فرنگی الوان، جلد: دفه رویی: تیماج سیاه ضربی مقوایی دفه پشتی: مقوا با روکش پارچه ای زیتونی، ۱۵۶گ، ۱۵سطر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۱۶-۴۴۸]</w:t>
      </w:r>
    </w:p>
    <w:p>
      <w:pPr>
        <w:pStyle w:val="BookText"/>
      </w:pPr>
      <w:r>
        <w:rPr>
          <w:rFonts w:ascii="IRNazanin" w:hAnsi="IRNazanin" w:eastAsia="IRNazanin" w:cs="IRNazanin"/>
          <w:lang w:bidi="fa-IR"/>
          <w:color w:val="111111"/>
          <w:sz w:val="28"/>
          <w:szCs w:val="28"/>
          <w:rtl/>
        </w:rPr>
        <w:t xml:space="preserve">۵۲۰. تهران؛ مجلس؛ شماره نسخه: ۳۱۱</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بی تا؛ افتادگی: انجام؛ محشی؛ ۱۲۵ گ، ۱۶-۱۷ سطر، قطع: قطع: ربعی،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۸سم [ف: ۲-۱۸۲]</w:t>
      </w:r>
    </w:p>
    <w:p>
      <w:pPr>
        <w:pStyle w:val="BookText"/>
      </w:pPr>
      <w:r>
        <w:rPr>
          <w:rFonts w:ascii="IRNazanin" w:hAnsi="IRNazanin" w:eastAsia="IRNazanin" w:cs="IRNazanin"/>
          <w:lang w:bidi="fa-IR"/>
          <w:color w:val="111111"/>
          <w:sz w:val="28"/>
          <w:szCs w:val="28"/>
          <w:rtl/>
        </w:rPr>
        <w:t xml:space="preserve">۵۲۱. تهران؛ ملی؛ شماره نسخه: ۴۲۲۰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مصحح، محشی با امضای «علی ره، عقیل سنه ۱۲۲۱، سید محمد، ابن عقیل و ...)؛ یادداشتی مبنی بر وقف کتاب از طرف احمد بن مصطفى بن مشهدی مهدی و به تاریخ ۱۲۷۰ ق ... ؛ کاغذ: فرنگی نخودی، جلد: تیماج قهوه ای، مقوایی، دارای ترنج و شش سرترنج با نقش گل و بوته و جدول و منگنه، ۱۵۵گ، ۱۶سطر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۱۸- ۱۷۱]</w:t>
      </w:r>
    </w:p>
    <w:p>
      <w:pPr>
        <w:pStyle w:val="BookText"/>
      </w:pPr>
      <w:r>
        <w:rPr>
          <w:rFonts w:ascii="IRNazanin" w:hAnsi="IRNazanin" w:eastAsia="IRNazanin" w:cs="IRNazanin"/>
          <w:lang w:bidi="fa-IR"/>
          <w:color w:val="111111"/>
          <w:sz w:val="28"/>
          <w:szCs w:val="28"/>
          <w:rtl/>
        </w:rPr>
        <w:t xml:space="preserve">۵۲۲. تهران؛ ملی؛ شماره نسخه: ۳۷۳۲/۴</w:t>
      </w:r>
    </w:p>
    <w:p>
      <w:pPr>
        <w:pStyle w:val="BookText"/>
      </w:pPr>
      <w:r>
        <w:rPr>
          <w:rFonts w:ascii="IRNazanin" w:hAnsi="IRNazanin" w:eastAsia="IRNazanin" w:cs="IRNazanin"/>
          <w:lang w:bidi="fa-IR"/>
          <w:color w:val="111111"/>
          <w:sz w:val="28"/>
          <w:szCs w:val="28"/>
          <w:rtl/>
        </w:rPr>
        <w:t xml:space="preserve">آغاز: برابر؛ انجام: و قد يجاوز سبعا بناء كفر عبد انه و قال بعضهم و لغيرها لقولهم كزید بان.</w:t>
      </w:r>
    </w:p>
    <w:p>
      <w:pPr>
        <w:pStyle w:val="BookText"/>
      </w:pPr>
      <w:r>
        <w:rPr>
          <w:rFonts w:ascii="IRNazanin" w:hAnsi="IRNazanin" w:eastAsia="IRNazanin" w:cs="IRNazanin"/>
          <w:lang w:bidi="fa-IR"/>
          <w:color w:val="111111"/>
          <w:sz w:val="28"/>
          <w:szCs w:val="28"/>
          <w:rtl/>
        </w:rPr>
        <w:t xml:space="preserve">خط: نسخ، بی کا، بی تا؛ افتادگی: انجام؛ مصحح، محشی؛ کاغذ: فرنگی الوان، جلد: تیماج قهوه ای سوخته ضربی مقوایی، ۱۱۵گ (۱۰۱پ -۲۱۵پ)، ۱۶سطر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،اندازه:۲۱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۱۶-۳۵۳]</w:t>
      </w:r>
    </w:p>
    <w:p>
      <w:pPr>
        <w:pStyle w:val="BookText"/>
      </w:pPr>
      <w:r>
        <w:rPr>
          <w:rFonts w:ascii="IRNazanin" w:hAnsi="IRNazanin" w:eastAsia="IRNazanin" w:cs="IRNazanin"/>
          <w:lang w:bidi="fa-IR"/>
          <w:color w:val="111111"/>
          <w:sz w:val="28"/>
          <w:szCs w:val="28"/>
          <w:rtl/>
        </w:rPr>
        <w:t xml:space="preserve">۵۲۳. قم؛ فیضیه؛ شماره نسخه: ۱۷۰۸</w:t>
      </w:r>
    </w:p>
    <w:p>
      <w:pPr>
        <w:pStyle w:val="BookText"/>
      </w:pPr>
      <w:r>
        <w:rPr>
          <w:rFonts w:ascii="IRNazanin" w:hAnsi="IRNazanin" w:eastAsia="IRNazanin" w:cs="IRNazanin"/>
          <w:lang w:bidi="fa-IR"/>
          <w:color w:val="111111"/>
          <w:sz w:val="28"/>
          <w:szCs w:val="28"/>
          <w:rtl/>
        </w:rPr>
        <w:t xml:space="preserve">خط: نسخ، بی کا، بی تا، ۱۴۶گ، ۱۶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[ف: ۳۵-۱ ]</w:t>
      </w:r>
    </w:p>
    <w:p>
      <w:pPr>
        <w:pStyle w:val="BookText"/>
      </w:pPr>
      <w:r>
        <w:rPr>
          <w:rFonts w:ascii="IRNazanin" w:hAnsi="IRNazanin" w:eastAsia="IRNazanin" w:cs="IRNazanin"/>
          <w:lang w:bidi="fa-IR"/>
          <w:color w:val="111111"/>
          <w:sz w:val="28"/>
          <w:szCs w:val="28"/>
          <w:rtl/>
        </w:rPr>
        <w:t xml:space="preserve">۵۲۴. همدان؛ مدرسه غرب: شماره نسخه: ۱۵۵</w:t>
      </w:r>
    </w:p>
    <w:p>
      <w:pPr>
        <w:pStyle w:val="BookText"/>
      </w:pPr>
      <w:r>
        <w:rPr>
          <w:rFonts w:ascii="IRNazanin" w:hAnsi="IRNazanin" w:eastAsia="IRNazanin" w:cs="IRNazanin"/>
          <w:lang w:bidi="fa-IR"/>
          <w:color w:val="111111"/>
          <w:sz w:val="28"/>
          <w:szCs w:val="28"/>
          <w:rtl/>
        </w:rPr>
        <w:t xml:space="preserve">خط: نسخ، بی کا، بی تا، افتادگی: آغاز و انجام؛ قطع: بياض رقعی [رشت و همدان: ف: ۱۲۹۱]</w:t>
      </w:r>
    </w:p>
    <w:p>
      <w:pPr>
        <w:pStyle w:val="BookText"/>
      </w:pPr>
      <w:r>
        <w:rPr>
          <w:rFonts w:ascii="IRNazanin" w:hAnsi="IRNazanin" w:eastAsia="IRNazanin" w:cs="IRNazanin"/>
          <w:lang w:bidi="fa-IR"/>
          <w:color w:val="111111"/>
          <w:sz w:val="28"/>
          <w:szCs w:val="28"/>
          <w:rtl/>
        </w:rPr>
        <w:t xml:space="preserve">۵۲۵. تهران؛ چهل ستون؛ شماره نسخه: ۵۴</w:t>
      </w:r>
    </w:p>
    <w:p>
      <w:pPr>
        <w:pStyle w:val="BookText"/>
      </w:pPr>
      <w:r>
        <w:rPr>
          <w:rFonts w:ascii="IRNazanin" w:hAnsi="IRNazanin" w:eastAsia="IRNazanin" w:cs="IRNazanin"/>
          <w:lang w:bidi="fa-IR"/>
          <w:color w:val="111111"/>
          <w:sz w:val="28"/>
          <w:szCs w:val="28"/>
          <w:rtl/>
        </w:rPr>
        <w:t xml:space="preserve">خط: نسخ، بی کا، بی تا [ چند نسخه سف: ۳۱۴]</w:t>
      </w:r>
    </w:p>
    <w:p>
      <w:pPr>
        <w:pStyle w:val="BookText"/>
      </w:pPr>
      <w:r>
        <w:rPr>
          <w:rFonts w:ascii="IRNazanin" w:hAnsi="IRNazanin" w:eastAsia="IRNazanin" w:cs="IRNazanin"/>
          <w:lang w:bidi="fa-IR"/>
          <w:color w:val="111111"/>
          <w:sz w:val="28"/>
          <w:szCs w:val="28"/>
          <w:rtl/>
        </w:rPr>
        <w:t xml:space="preserve">۵۲۶. قم؛ مدرسه رضویه، شماره نسخه: ۴۸/۴</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بی تا، افتادگی: انجام؛ کاغذ: الوان، وگ ( ۱۸۰-۷۲ )، ۱۴ سطر، قطع: ربعی[ چند نسخه -ف: ۴۸]</w:t>
      </w:r>
    </w:p>
    <w:p>
      <w:pPr>
        <w:pStyle w:val="BookText"/>
      </w:pPr>
      <w:r>
        <w:rPr>
          <w:rFonts w:ascii="IRNazanin" w:hAnsi="IRNazanin" w:eastAsia="IRNazanin" w:cs="IRNazanin"/>
          <w:lang w:bidi="fa-IR"/>
          <w:color w:val="111111"/>
          <w:sz w:val="28"/>
          <w:szCs w:val="28"/>
          <w:rtl/>
        </w:rPr>
        <w:t xml:space="preserve">۵۲۷. همدان؛ مدرسه غرب؛ شماره نسخه: ۱۲۶۲</w:t>
      </w:r>
    </w:p>
    <w:p>
      <w:pPr>
        <w:pStyle w:val="BookText"/>
      </w:pPr>
      <w:r>
        <w:rPr>
          <w:rFonts w:ascii="IRNazanin" w:hAnsi="IRNazanin" w:eastAsia="IRNazanin" w:cs="IRNazanin"/>
          <w:lang w:bidi="fa-IR"/>
          <w:color w:val="111111"/>
          <w:sz w:val="28"/>
          <w:szCs w:val="28"/>
          <w:rtl/>
        </w:rPr>
        <w:t xml:space="preserve">خط: نسخ، بی کا، بی تا؛ قطع: ربعی [رشت و همدان: ف: ۱۲۹۱]</w:t>
      </w:r>
    </w:p>
    <w:p>
      <w:pPr>
        <w:pStyle w:val="BookText"/>
      </w:pPr>
      <w:r>
        <w:rPr>
          <w:rFonts w:ascii="IRNazanin" w:hAnsi="IRNazanin" w:eastAsia="IRNazanin" w:cs="IRNazanin"/>
          <w:lang w:bidi="fa-IR"/>
          <w:color w:val="111111"/>
          <w:sz w:val="28"/>
          <w:szCs w:val="28"/>
          <w:rtl/>
        </w:rPr>
        <w:t xml:space="preserve">۵۲۸. قم؛ فیضیه؛ شماره نسخه: ۸۱۵</w:t>
      </w:r>
    </w:p>
    <w:p>
      <w:pPr>
        <w:pStyle w:val="BookText"/>
      </w:pPr>
      <w:r>
        <w:rPr>
          <w:rFonts w:ascii="IRNazanin" w:hAnsi="IRNazanin" w:eastAsia="IRNazanin" w:cs="IRNazanin"/>
          <w:lang w:bidi="fa-IR"/>
          <w:color w:val="111111"/>
          <w:sz w:val="28"/>
          <w:szCs w:val="28"/>
          <w:rtl/>
        </w:rPr>
        <w:t xml:space="preserve">بی کا، بی تا [ف: ۱-۳۴]</w:t>
      </w:r>
    </w:p>
    <w:p>
      <w:pPr>
        <w:pStyle w:val="BookText"/>
      </w:pPr>
      <w:r>
        <w:rPr>
          <w:rFonts w:ascii="IRNazanin" w:hAnsi="IRNazanin" w:eastAsia="IRNazanin" w:cs="IRNazanin"/>
          <w:lang w:bidi="fa-IR"/>
          <w:color w:val="111111"/>
          <w:sz w:val="28"/>
          <w:szCs w:val="28"/>
          <w:rtl/>
        </w:rPr>
        <w:t xml:space="preserve">۵۲۹. قم؛ فیضیه؛ شماره نسخه: ۸۱۹</w:t>
      </w:r>
    </w:p>
    <w:p>
      <w:pPr>
        <w:pStyle w:val="BookText"/>
      </w:pPr>
      <w:r>
        <w:rPr>
          <w:rFonts w:ascii="IRNazanin" w:hAnsi="IRNazanin" w:eastAsia="IRNazanin" w:cs="IRNazanin"/>
          <w:lang w:bidi="fa-IR"/>
          <w:color w:val="111111"/>
          <w:sz w:val="28"/>
          <w:szCs w:val="28"/>
          <w:rtl/>
        </w:rPr>
        <w:t xml:space="preserve">بی کا، بی تا [ف: ۱-۳۴]</w:t>
      </w:r>
    </w:p>
    <w:p>
      <w:pPr>
        <w:pStyle w:val="BookText"/>
      </w:pPr>
      <w:r>
        <w:rPr>
          <w:rFonts w:ascii="IRNazanin" w:hAnsi="IRNazanin" w:eastAsia="IRNazanin" w:cs="IRNazanin"/>
          <w:lang w:bidi="fa-IR"/>
          <w:color w:val="111111"/>
          <w:sz w:val="28"/>
          <w:szCs w:val="28"/>
          <w:rtl/>
        </w:rPr>
        <w:t xml:space="preserve">۵۳۰. قم؛ فیضیه؛ شماره نسخه: ۸۲۶</w:t>
      </w:r>
    </w:p>
    <w:p>
      <w:pPr>
        <w:pStyle w:val="BookText"/>
      </w:pPr>
      <w:r>
        <w:rPr>
          <w:rFonts w:ascii="IRNazanin" w:hAnsi="IRNazanin" w:eastAsia="IRNazanin" w:cs="IRNazanin"/>
          <w:lang w:bidi="fa-IR"/>
          <w:color w:val="111111"/>
          <w:sz w:val="28"/>
          <w:szCs w:val="28"/>
          <w:rtl/>
        </w:rPr>
        <w:t xml:space="preserve">بی کا، بی تا [ف: ۱-۳۴]</w:t>
      </w:r>
    </w:p>
    <w:p>
      <w:pPr>
        <w:pStyle w:val="BookText"/>
      </w:pPr>
      <w:r>
        <w:rPr>
          <w:rFonts w:ascii="IRNazanin" w:hAnsi="IRNazanin" w:eastAsia="IRNazanin" w:cs="IRNazanin"/>
          <w:lang w:bidi="fa-IR"/>
          <w:color w:val="111111"/>
          <w:sz w:val="28"/>
          <w:szCs w:val="28"/>
          <w:rtl/>
        </w:rPr>
        <w:t xml:space="preserve">۵۳۱. قم؛ فیضیه؛ شماره نسخه: ۸۲۷</w:t>
      </w:r>
    </w:p>
    <w:p>
      <w:pPr>
        <w:pStyle w:val="BookText"/>
      </w:pPr>
      <w:r>
        <w:rPr>
          <w:rFonts w:ascii="IRNazanin" w:hAnsi="IRNazanin" w:eastAsia="IRNazanin" w:cs="IRNazanin"/>
          <w:lang w:bidi="fa-IR"/>
          <w:color w:val="111111"/>
          <w:sz w:val="28"/>
          <w:szCs w:val="28"/>
          <w:rtl/>
        </w:rPr>
        <w:t xml:space="preserve">بی کا، بی تا [ف: ۱-۳۴]</w:t>
      </w:r>
    </w:p>
    <w:p>
      <w:pPr>
        <w:pStyle w:val="BookText"/>
      </w:pPr>
      <w:r>
        <w:rPr>
          <w:rFonts w:ascii="IRNazanin" w:hAnsi="IRNazanin" w:eastAsia="IRNazanin" w:cs="IRNazanin"/>
          <w:lang w:bidi="fa-IR"/>
          <w:color w:val="111111"/>
          <w:sz w:val="28"/>
          <w:szCs w:val="28"/>
          <w:rtl/>
        </w:rPr>
        <w:t xml:space="preserve">۵۳۲. قم؛ فیضیه؛ شماره نسخه: ۸۹۱</w:t>
      </w:r>
    </w:p>
    <w:p>
      <w:pPr>
        <w:pStyle w:val="BookText"/>
      </w:pPr>
      <w:r>
        <w:rPr>
          <w:rFonts w:ascii="IRNazanin" w:hAnsi="IRNazanin" w:eastAsia="IRNazanin" w:cs="IRNazanin"/>
          <w:lang w:bidi="fa-IR"/>
          <w:color w:val="111111"/>
          <w:sz w:val="28"/>
          <w:szCs w:val="28"/>
          <w:rtl/>
        </w:rPr>
        <w:t xml:space="preserve">بی کا، بی تا [ف: ۱-۳۵]</w:t>
      </w:r>
    </w:p>
    <w:p>
      <w:pPr>
        <w:pStyle w:val="BookText"/>
      </w:pPr>
      <w:r>
        <w:rPr>
          <w:rFonts w:ascii="IRNazanin" w:hAnsi="IRNazanin" w:eastAsia="IRNazanin" w:cs="IRNazanin"/>
          <w:lang w:bidi="fa-IR"/>
          <w:color w:val="111111"/>
          <w:sz w:val="28"/>
          <w:szCs w:val="28"/>
          <w:rtl/>
        </w:rPr>
        <w:t xml:space="preserve">۵۳۳. قم؛ فیضیه؛ شماره نسخه: ۹۴۰</w:t>
      </w:r>
    </w:p>
    <w:p>
      <w:pPr>
        <w:pStyle w:val="BookText"/>
      </w:pPr>
      <w:r>
        <w:rPr>
          <w:rFonts w:ascii="IRNazanin" w:hAnsi="IRNazanin" w:eastAsia="IRNazanin" w:cs="IRNazanin"/>
          <w:lang w:bidi="fa-IR"/>
          <w:color w:val="111111"/>
          <w:sz w:val="28"/>
          <w:szCs w:val="28"/>
          <w:rtl/>
        </w:rPr>
        <w:t xml:space="preserve">بی کا، بی تا [ف: ۱-۳۵]</w:t>
      </w:r>
    </w:p>
    <w:p>
      <w:pPr>
        <w:pStyle w:val="BookText"/>
      </w:pPr>
      <w:r>
        <w:rPr>
          <w:rFonts w:ascii="IRNazanin" w:hAnsi="IRNazanin" w:eastAsia="IRNazanin" w:cs="IRNazanin"/>
          <w:lang w:bidi="fa-IR"/>
          <w:color w:val="111111"/>
          <w:sz w:val="28"/>
          <w:szCs w:val="28"/>
          <w:rtl/>
        </w:rPr>
        <w:t xml:space="preserve">۵۳۴. قم؛ فیضیه؛ شماره نسخه: ۹۴۶</w:t>
      </w:r>
    </w:p>
    <w:p>
      <w:pPr>
        <w:pStyle w:val="BookText"/>
      </w:pPr>
      <w:r>
        <w:rPr>
          <w:rFonts w:ascii="IRNazanin" w:hAnsi="IRNazanin" w:eastAsia="IRNazanin" w:cs="IRNazanin"/>
          <w:lang w:bidi="fa-IR"/>
          <w:color w:val="111111"/>
          <w:sz w:val="28"/>
          <w:szCs w:val="28"/>
          <w:rtl/>
        </w:rPr>
        <w:t xml:space="preserve">بی کا، بی تا [ف: ۱-۳۵]</w:t>
      </w:r>
    </w:p>
    <w:p>
      <w:pPr>
        <w:pStyle w:val="BookText"/>
      </w:pPr>
      <w:r>
        <w:rPr>
          <w:rFonts w:ascii="IRNazanin" w:hAnsi="IRNazanin" w:eastAsia="IRNazanin" w:cs="IRNazanin"/>
          <w:lang w:bidi="fa-IR"/>
          <w:color w:val="111111"/>
          <w:sz w:val="28"/>
          <w:szCs w:val="28"/>
          <w:rtl/>
        </w:rPr>
        <w:t xml:space="preserve">۵۳۵. قم؛ فیضیه؛ شماره نسخه: ۱۳۰۵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نسخ، بی کا، بی تا، ۱۰۱گ، ۱۸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۳۵-۱ ]</w:t>
      </w:r>
    </w:p>
    <w:p>
      <w:pPr>
        <w:pStyle w:val="BookText"/>
      </w:pPr>
      <w:r>
        <w:rPr>
          <w:rFonts w:ascii="IRNazanin" w:hAnsi="IRNazanin" w:eastAsia="IRNazanin" w:cs="IRNazanin"/>
          <w:lang w:bidi="fa-IR"/>
          <w:color w:val="111111"/>
          <w:sz w:val="28"/>
          <w:szCs w:val="28"/>
          <w:rtl/>
        </w:rPr>
        <w:t xml:space="preserve">۵۳۶. قم؛ فیضیه؛ شماره نسخه: ۱۳۰۶</w:t>
      </w:r>
    </w:p>
    <w:p>
      <w:pPr>
        <w:pStyle w:val="BookText"/>
      </w:pPr>
      <w:r>
        <w:rPr>
          <w:rFonts w:ascii="IRNazanin" w:hAnsi="IRNazanin" w:eastAsia="IRNazanin" w:cs="IRNazanin"/>
          <w:lang w:bidi="fa-IR"/>
          <w:color w:val="111111"/>
          <w:sz w:val="28"/>
          <w:szCs w:val="28"/>
          <w:rtl/>
        </w:rPr>
        <w:t xml:space="preserve">خط: نستعلیق، کا: ابوالقاسم بن رجبعلی، بی تا، ۱۱۶گ، ۱۴سطر،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۱-۳۴]</w:t>
      </w:r>
    </w:p>
    <w:p>
      <w:pPr>
        <w:pStyle w:val="BookText"/>
      </w:pPr>
      <w:r>
        <w:rPr>
          <w:rFonts w:ascii="IRNazanin" w:hAnsi="IRNazanin" w:eastAsia="IRNazanin" w:cs="IRNazanin"/>
          <w:lang w:bidi="fa-IR"/>
          <w:color w:val="111111"/>
          <w:sz w:val="28"/>
          <w:szCs w:val="28"/>
          <w:rtl/>
        </w:rPr>
        <w:t xml:space="preserve">۵۳۷. قم؛ فیضیه؛ شماره نسخه: ۱۳۰۷</w:t>
      </w:r>
    </w:p>
    <w:p>
      <w:pPr>
        <w:pStyle w:val="BookText"/>
      </w:pPr>
      <w:r>
        <w:rPr>
          <w:rFonts w:ascii="IRNazanin" w:hAnsi="IRNazanin" w:eastAsia="IRNazanin" w:cs="IRNazanin"/>
          <w:lang w:bidi="fa-IR"/>
          <w:color w:val="111111"/>
          <w:sz w:val="28"/>
          <w:szCs w:val="28"/>
          <w:rtl/>
        </w:rPr>
        <w:t xml:space="preserve">بی کا، بی تا؛ افتادگی: آغاز؛ سطر [ف: ۱-۳۵]</w:t>
      </w:r>
    </w:p>
    <w:p>
      <w:pPr>
        <w:pStyle w:val="BookText"/>
      </w:pPr>
      <w:r>
        <w:rPr>
          <w:rFonts w:ascii="IRNazanin" w:hAnsi="IRNazanin" w:eastAsia="IRNazanin" w:cs="IRNazanin"/>
          <w:lang w:bidi="fa-IR"/>
          <w:color w:val="111111"/>
          <w:sz w:val="28"/>
          <w:szCs w:val="28"/>
          <w:rtl/>
        </w:rPr>
        <w:t xml:space="preserve">۵۳۸. قم؛ گلپایگانی؛ شماره نسخه: ۲۲۲۰- ۱۲/۱۱۰</w:t>
      </w:r>
    </w:p>
    <w:p>
      <w:pPr>
        <w:pStyle w:val="BookText"/>
      </w:pPr>
      <w:r>
        <w:rPr>
          <w:rFonts w:ascii="IRNazanin" w:hAnsi="IRNazanin" w:eastAsia="IRNazanin" w:cs="IRNazanin"/>
          <w:lang w:bidi="fa-IR"/>
          <w:color w:val="111111"/>
          <w:sz w:val="28"/>
          <w:szCs w:val="28"/>
          <w:rtl/>
        </w:rPr>
        <w:t xml:space="preserve">آغاز: اذا صار با دخال همزة التعدية عليهما ارى واعلما نحو اذ پریکهم الله في منامك قليلا و لو اریکهم كثيرة لفشلتم و اعلم؛ انجام: يا سيدا طالع هذا الذي فاق نظام الدر و الجوهر لاتعد حرفا منه ... و روض الذهن اذا مشكل يبدو و بالانكار لابتدر فليس بالشائن ...</w:t>
      </w:r>
    </w:p>
    <w:p>
      <w:pPr>
        <w:pStyle w:val="BookText"/>
      </w:pPr>
      <w:r>
        <w:rPr>
          <w:rFonts w:ascii="IRNazanin" w:hAnsi="IRNazanin" w:eastAsia="IRNazanin" w:cs="IRNazanin"/>
          <w:lang w:bidi="fa-IR"/>
          <w:color w:val="111111"/>
          <w:sz w:val="28"/>
          <w:szCs w:val="28"/>
          <w:rtl/>
        </w:rPr>
        <w:t xml:space="preserve">خط: نسخ، بی کا، بی تا؛ افتادگی: آغاز و انجام؛ جلد: مقوا عطف پارچه، ۱۰۰گ، ۱۷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۲-۶۴۳]</w:t>
      </w:r>
    </w:p>
    <w:p>
      <w:pPr>
        <w:pStyle w:val="BookText"/>
      </w:pPr>
      <w:r>
        <w:rPr>
          <w:rFonts w:ascii="IRNazanin" w:hAnsi="IRNazanin" w:eastAsia="IRNazanin" w:cs="IRNazanin"/>
          <w:lang w:bidi="fa-IR"/>
          <w:color w:val="111111"/>
          <w:sz w:val="28"/>
          <w:szCs w:val="28"/>
          <w:rtl/>
        </w:rPr>
        <w:t xml:space="preserve">۵۳۹. قم، گلپایگانی، شماره نسخه: ۸۰۱۷- ۵۴/۱۰۷</w:t>
      </w:r>
    </w:p>
    <w:p>
      <w:pPr>
        <w:pStyle w:val="BookText"/>
      </w:pPr>
      <w:r>
        <w:rPr>
          <w:rFonts w:ascii="IRNazanin" w:hAnsi="IRNazanin" w:eastAsia="IRNazanin" w:cs="IRNazanin"/>
          <w:lang w:bidi="fa-IR"/>
          <w:color w:val="111111"/>
          <w:sz w:val="28"/>
          <w:szCs w:val="28"/>
          <w:rtl/>
        </w:rPr>
        <w:t xml:space="preserve">آغاز: من النباء اي الخبر، لأن النبي مخبر عن الله تعالى و المراد به نبينا محمد صلی الله عليه و آله المصطفی المختار از اول کتاب تا شرح «ومثله برة للمبرة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كذا فجار علم للفجرة»؛ خط: نستعلیق، بی کا، بی تا، افتادگی: آغاز و انجام؛ ۱۱۴گ، ۱۶ ۱۷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۲-۶۴۴]</w:t>
      </w:r>
    </w:p>
    <w:p>
      <w:pPr>
        <w:pStyle w:val="BookText"/>
      </w:pPr>
      <w:r>
        <w:rPr>
          <w:rFonts w:ascii="IRNazanin" w:hAnsi="IRNazanin" w:eastAsia="IRNazanin" w:cs="IRNazanin"/>
          <w:lang w:bidi="fa-IR"/>
          <w:color w:val="111111"/>
          <w:sz w:val="28"/>
          <w:szCs w:val="28"/>
          <w:rtl/>
        </w:rPr>
        <w:t xml:space="preserve">۵۴۰. کاشان؛ مدرسه سلطانی؛ شماره نسخه: ۳۰۸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مصحح، محشی؛ جلد: تیماج مشکی عطف تیماج مشکی حاشیه تیماج قهوه ای، ۱۴۴ گی، ۱۵ سطر، اندازه: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۱۸/۵ سم [ف مخ]</w:t>
      </w:r>
    </w:p>
    <w:p>
      <w:pPr>
        <w:pStyle w:val="BookText"/>
      </w:pPr>
      <w:r>
        <w:rPr>
          <w:rFonts w:ascii="IRNazanin" w:hAnsi="IRNazanin" w:eastAsia="IRNazanin" w:cs="IRNazanin"/>
          <w:lang w:bidi="fa-IR"/>
          <w:color w:val="111111"/>
          <w:sz w:val="28"/>
          <w:szCs w:val="28"/>
          <w:rtl/>
        </w:rPr>
        <w:t xml:space="preserve">۵۴۱. قم؛ گلپایگانی؛ شماره نسخه: ۱۷۸۶- ۱۰/۹۶</w:t>
      </w:r>
    </w:p>
    <w:p>
      <w:pPr>
        <w:pStyle w:val="BookText"/>
      </w:pPr>
      <w:r>
        <w:rPr>
          <w:rFonts w:ascii="IRNazanin" w:hAnsi="IRNazanin" w:eastAsia="IRNazanin" w:cs="IRNazanin"/>
          <w:lang w:bidi="fa-IR"/>
          <w:color w:val="111111"/>
          <w:sz w:val="28"/>
          <w:szCs w:val="28"/>
          <w:rtl/>
        </w:rPr>
        <w:t xml:space="preserve">آغاز: اذا دعا بدء نفسه وله في درجات الاخرة ... هذا باب شرح الكلام وشرح ما يتألف منه الكلام وهو الكلم الثلاث. كلامنا ای معاشر النحويين لفظ؛ انجام: برابر</w:t>
      </w:r>
    </w:p>
    <w:p>
      <w:pPr>
        <w:pStyle w:val="BookText"/>
      </w:pPr>
      <w:r>
        <w:rPr>
          <w:rFonts w:ascii="IRNazanin" w:hAnsi="IRNazanin" w:eastAsia="IRNazanin" w:cs="IRNazanin"/>
          <w:lang w:bidi="fa-IR"/>
          <w:color w:val="111111"/>
          <w:sz w:val="28"/>
          <w:szCs w:val="28"/>
          <w:rtl/>
        </w:rPr>
        <w:t xml:space="preserve">از اول تا آخر؛ خط: نسخ، بی کا، بی تا، افتادگی: آغاز؛ محشی از «ابوطالب»، «حکیم» و دیگران؛ جلد: تیماج قهوه ای مایل به مشکی، شمسه، مجدول گرهی، ۱۰۸گ، ۱۷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۲-۶۴۲]</w:t>
      </w:r>
    </w:p>
    <w:p>
      <w:pPr>
        <w:pStyle w:val="BookText"/>
      </w:pPr>
      <w:r>
        <w:rPr>
          <w:rFonts w:ascii="IRNazanin" w:hAnsi="IRNazanin" w:eastAsia="IRNazanin" w:cs="IRNazanin"/>
          <w:lang w:bidi="fa-IR"/>
          <w:color w:val="111111"/>
          <w:sz w:val="28"/>
          <w:szCs w:val="28"/>
          <w:rtl/>
        </w:rPr>
        <w:t xml:space="preserve">۵۴۲. قم؛ گلپایگانی؛ شماره نسخه: ۷۸۸۳- ۵۳/۹۳</w:t>
      </w:r>
    </w:p>
    <w:p>
      <w:pPr>
        <w:pStyle w:val="BookText"/>
      </w:pPr>
      <w:r>
        <w:rPr>
          <w:rFonts w:ascii="Amiri" w:hAnsi="Amiri" w:eastAsia="Amiri" w:cs="Amiri"/>
          <w:lang w:bidi="ar-SA"/>
          <w:color w:val="111111"/>
          <w:sz w:val="28"/>
          <w:szCs w:val="28"/>
          <w:rtl/>
        </w:rPr>
        <w:t xml:space="preserve">آغاز: و المطلب «المستكملين شرفا» بفتح الشين بانتسابهم اليه</w:t>
      </w:r>
    </w:p>
    <w:p>
      <w:pPr>
        <w:pStyle w:val="BookText"/>
      </w:pPr>
      <w:r>
        <w:rPr>
          <w:rFonts w:ascii="IRNazanin" w:hAnsi="IRNazanin" w:eastAsia="IRNazanin" w:cs="IRNazanin"/>
          <w:lang w:bidi="fa-IR"/>
          <w:color w:val="111111"/>
          <w:sz w:val="28"/>
          <w:szCs w:val="28"/>
          <w:rtl/>
        </w:rPr>
        <w:t xml:space="preserve">خط: نسخ، بی کا، تا: چهارشنبه ۵ ذیقعده، في حين فوت سلطان الايران محمد شاه قاجار؛ افتادگی: آغاز، ۷۳گ، ۲۰-۲۵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۲-۶۴۳]</w:t>
      </w:r>
    </w:p>
    <w:p>
      <w:pPr>
        <w:pStyle w:val="BookText"/>
      </w:pPr>
      <w:r>
        <w:rPr>
          <w:rFonts w:ascii="IRNazanin" w:hAnsi="IRNazanin" w:eastAsia="IRNazanin" w:cs="IRNazanin"/>
          <w:lang w:bidi="fa-IR"/>
          <w:color w:val="111111"/>
          <w:sz w:val="28"/>
          <w:szCs w:val="28"/>
          <w:rtl/>
        </w:rPr>
        <w:t xml:space="preserve">۵۴۳. قم، گلپایگانی؛ شماره نسخه: ۴۰۱۸/۲ - ۲۰/۱۳۸</w:t>
      </w:r>
    </w:p>
    <w:p>
      <w:pPr>
        <w:pStyle w:val="BookText"/>
      </w:pPr>
      <w:r>
        <w:rPr>
          <w:rFonts w:ascii="IRNazanin" w:hAnsi="IRNazanin" w:eastAsia="IRNazanin" w:cs="IRNazanin"/>
          <w:lang w:bidi="fa-IR"/>
          <w:color w:val="111111"/>
          <w:sz w:val="28"/>
          <w:szCs w:val="28"/>
          <w:rtl/>
        </w:rPr>
        <w:t xml:space="preserve">آغاز: برابر؛ انجام: ولم ار من تعرض لذلك فاحمد الله واشكره ... على محمد خير نبی ارسلا ای ارسله الله ... غير من يستثنى من الصحابة بمنزلة الفرس.</w:t>
      </w:r>
    </w:p>
    <w:p>
      <w:pPr>
        <w:pStyle w:val="BookText"/>
      </w:pPr>
      <w:r>
        <w:rPr>
          <w:rFonts w:ascii="IRNazanin" w:hAnsi="IRNazanin" w:eastAsia="IRNazanin" w:cs="IRNazanin"/>
          <w:lang w:bidi="fa-IR"/>
          <w:color w:val="111111"/>
          <w:sz w:val="28"/>
          <w:szCs w:val="28"/>
          <w:rtl/>
        </w:rPr>
        <w:t xml:space="preserve">خط: نسخ، بی کا، بی تا؛ افتادگی: انجام؛ جلد: تیماج مشکی ضربی مجدول گرهی، ۷۵گ، ۲۴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۲-۶۴۰]</w:t>
      </w:r>
    </w:p>
    <w:p>
      <w:pPr>
        <w:pStyle w:val="BookText"/>
      </w:pPr>
      <w:r>
        <w:rPr>
          <w:rFonts w:ascii="IRNazanin" w:hAnsi="IRNazanin" w:eastAsia="IRNazanin" w:cs="IRNazanin"/>
          <w:lang w:bidi="fa-IR"/>
          <w:color w:val="111111"/>
          <w:sz w:val="28"/>
          <w:szCs w:val="28"/>
          <w:rtl/>
        </w:rPr>
        <w:t xml:space="preserve">۵۴۴. قم؛ گلپایگانی شماره نسخه: ۷۰۳۱/۲ - ۳۶/۳۱</w:t>
      </w:r>
    </w:p>
    <w:p>
      <w:pPr>
        <w:pStyle w:val="BookText"/>
      </w:pPr>
      <w:r>
        <w:rPr>
          <w:rFonts w:ascii="IRNazanin" w:hAnsi="IRNazanin" w:eastAsia="IRNazanin" w:cs="IRNazanin"/>
          <w:lang w:bidi="fa-IR"/>
          <w:color w:val="111111"/>
          <w:sz w:val="28"/>
          <w:szCs w:val="28"/>
          <w:rtl/>
        </w:rPr>
        <w:t xml:space="preserve">آغاز: برابر؛ انجام: و كذا مطلق فاء الى مفتوحها و مکسورها مع الفتح العين فعلاء اخذ انحو جفناء وظرفاء و نفساء خط: نسخ خفی، بی کا، بی تاب افتادگی: انجام؛ به صورت چلیپایی در حاشیه؛ محشی؛ جلد: گالینگور مشکی،</w:t>
      </w:r>
    </w:p>
    <w:p>
      <w:pPr>
        <w:pStyle w:val="BookText"/>
      </w:pPr>
      <w:r>
        <w:rPr>
          <w:rFonts w:ascii="IRNazanin" w:hAnsi="IRNazanin" w:eastAsia="IRNazanin" w:cs="IRNazanin"/>
          <w:lang w:bidi="fa-IR"/>
          <w:color w:val="111111"/>
          <w:sz w:val="28"/>
          <w:szCs w:val="28"/>
          <w:rtl/>
        </w:rPr>
        <w:t xml:space="preserve">۵۶گ،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۲-۶۴۱]</w:t>
      </w:r>
    </w:p>
    <w:p>
      <w:pPr>
        <w:pStyle w:val="BookText"/>
      </w:pPr>
      <w:r>
        <w:rPr>
          <w:rFonts w:ascii="IRNazanin" w:hAnsi="IRNazanin" w:eastAsia="IRNazanin" w:cs="IRNazanin"/>
          <w:lang w:bidi="fa-IR"/>
          <w:color w:val="111111"/>
          <w:sz w:val="28"/>
          <w:szCs w:val="28"/>
          <w:rtl/>
        </w:rPr>
        <w:t xml:space="preserve">۵۴۵. قم: مرکز مطالعات؛ شماره نسخه: ۳۸۰</w:t>
      </w:r>
    </w:p>
    <w:p>
      <w:pPr>
        <w:pStyle w:val="BookText"/>
      </w:pPr>
      <w:r>
        <w:rPr>
          <w:rFonts w:ascii="IRNazanin" w:hAnsi="IRNazanin" w:eastAsia="IRNazanin" w:cs="IRNazanin"/>
          <w:lang w:bidi="fa-IR"/>
          <w:color w:val="111111"/>
          <w:sz w:val="28"/>
          <w:szCs w:val="28"/>
          <w:rtl/>
        </w:rPr>
        <w:t xml:space="preserve">آغاز: و شبه ذین و به عشرونا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الواو عالمون عليونا؛ انجام: اعتلت نحو عين فهو عاین و عور فهو عاور و الاعلال اعطاء الكلمة حكمها</w:t>
      </w:r>
    </w:p>
    <w:p>
      <w:pPr>
        <w:pStyle w:val="BookText"/>
      </w:pPr>
      <w:r>
        <w:rPr>
          <w:rFonts w:ascii="IRNazanin" w:hAnsi="IRNazanin" w:eastAsia="IRNazanin" w:cs="IRNazanin"/>
          <w:lang w:bidi="fa-IR"/>
          <w:color w:val="111111"/>
          <w:sz w:val="28"/>
          <w:szCs w:val="28"/>
          <w:rtl/>
        </w:rPr>
        <w:t xml:space="preserve">خط: نسخ، بی کا، بی تا، افتادگی: آغاز و انجام؛ مصحح، محشی؛ فاقد جلد؛ ۹۳گ، ۱۵سطر،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۱-۳۲۸]</w:t>
      </w:r>
    </w:p>
    <w:p>
      <w:pPr>
        <w:pStyle w:val="BookText"/>
      </w:pPr>
      <w:r>
        <w:rPr>
          <w:rFonts w:ascii="IRNazanin" w:hAnsi="IRNazanin" w:eastAsia="IRNazanin" w:cs="IRNazanin"/>
          <w:lang w:bidi="fa-IR"/>
          <w:color w:val="111111"/>
          <w:sz w:val="28"/>
          <w:szCs w:val="28"/>
          <w:rtl/>
        </w:rPr>
        <w:t xml:space="preserve">۵۴۶. همدان؛ مدرسه غرب؛ شماره نسخه: ۱۰۳۲۱</w:t>
      </w:r>
    </w:p>
    <w:p>
      <w:pPr>
        <w:pStyle w:val="BookText"/>
      </w:pPr>
      <w:r>
        <w:rPr>
          <w:rFonts w:ascii="IRNazanin" w:hAnsi="IRNazanin" w:eastAsia="IRNazanin" w:cs="IRNazanin"/>
          <w:lang w:bidi="fa-IR"/>
          <w:color w:val="111111"/>
          <w:sz w:val="28"/>
          <w:szCs w:val="28"/>
          <w:rtl/>
        </w:rPr>
        <w:t xml:space="preserve">خط: نسخ، بی کا، بی تا؛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[رشت و همدان: ف: ۱۶۰۶]</w:t>
      </w:r>
    </w:p>
    <w:p>
      <w:pPr>
        <w:pStyle w:val="BookText"/>
      </w:pPr>
      <w:r>
        <w:rPr>
          <w:rFonts w:ascii="IRNazanin" w:hAnsi="IRNazanin" w:eastAsia="IRNazanin" w:cs="IRNazanin"/>
          <w:lang w:bidi="fa-IR"/>
          <w:color w:val="111111"/>
          <w:sz w:val="28"/>
          <w:szCs w:val="28"/>
          <w:rtl/>
        </w:rPr>
        <w:t xml:space="preserve">۵۴۷. قم: مرکز مطالعات؛ شماره نسخه: ۱۶۲</w:t>
      </w:r>
    </w:p>
    <w:p>
      <w:pPr>
        <w:pStyle w:val="BookText"/>
      </w:pPr>
      <w:r>
        <w:rPr>
          <w:rFonts w:ascii="Amiri" w:hAnsi="Amiri" w:eastAsia="Amiri" w:cs="Amiri"/>
          <w:lang w:bidi="ar-SA"/>
          <w:color w:val="111111"/>
          <w:sz w:val="28"/>
          <w:szCs w:val="28"/>
          <w:rtl/>
        </w:rPr>
        <w:t xml:space="preserve">آغاز: نسخه: قد ركب زيد كما تقول رجل يركب جاءني الى اخره و كانت فتحه؛ انجام: نسخه: نحو زال الشمس و لايلى العامل بالنصب اي لا يقع بعده معمول الخبر سواء تقدم الخبر على الاسم</w:t>
      </w:r>
    </w:p>
    <w:p>
      <w:pPr>
        <w:pStyle w:val="BookText"/>
      </w:pPr>
      <w:r>
        <w:rPr>
          <w:rFonts w:ascii="IRNazanin" w:hAnsi="IRNazanin" w:eastAsia="IRNazanin" w:cs="IRNazanin"/>
          <w:lang w:bidi="fa-IR"/>
          <w:color w:val="111111"/>
          <w:sz w:val="28"/>
          <w:szCs w:val="28"/>
          <w:rtl/>
        </w:rPr>
        <w:t xml:space="preserve">خط: نستعلیق، شکسته نستعلیق، تحریری، بی کا، بی تا، افتادگی: آغاز و انجام؛ محشی به امضاء «حاجی محمد على سلمه الله»؛</w:t>
      </w:r>
    </w:p>
    <w:p>
      <w:pPr>
        <w:pStyle w:val="BookText"/>
      </w:pPr>
      <w:r>
        <w:rPr>
          <w:rFonts w:ascii="IRNazanin" w:hAnsi="IRNazanin" w:eastAsia="IRNazanin" w:cs="IRNazanin"/>
          <w:lang w:bidi="fa-IR"/>
          <w:color w:val="111111"/>
          <w:sz w:val="28"/>
          <w:szCs w:val="28"/>
          <w:rtl/>
        </w:rPr>
        <w:t xml:space="preserve">۷۶گ، ۱۸سطر،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۱-۱۳۳]</w:t>
      </w:r>
    </w:p>
    <w:p>
      <w:pPr>
        <w:pStyle w:val="BookText"/>
      </w:pPr>
      <w:r>
        <w:rPr>
          <w:rFonts w:ascii="IRNazanin" w:hAnsi="IRNazanin" w:eastAsia="IRNazanin" w:cs="IRNazanin"/>
          <w:lang w:bidi="fa-IR"/>
          <w:color w:val="111111"/>
          <w:sz w:val="28"/>
          <w:szCs w:val="28"/>
          <w:rtl/>
        </w:rPr>
        <w:t xml:space="preserve">۵۴۸. قم: مرکز مطالعات؛ شماره نسخه: ۶۳۱</w:t>
      </w:r>
    </w:p>
    <w:p>
      <w:pPr>
        <w:pStyle w:val="BookText"/>
      </w:pPr>
      <w:r>
        <w:rPr>
          <w:rFonts w:ascii="IRNazanin" w:hAnsi="IRNazanin" w:eastAsia="IRNazanin" w:cs="IRNazanin"/>
          <w:lang w:bidi="fa-IR"/>
          <w:color w:val="111111"/>
          <w:sz w:val="28"/>
          <w:szCs w:val="28"/>
          <w:rtl/>
        </w:rPr>
        <w:t xml:space="preserve">خط: نسخ خوب، بی کا، بی تا، فاقد جلد، ۱۳۴ گ، ۱۵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۱-۵۳۷]</w:t>
      </w:r>
    </w:p>
    <w:p>
      <w:pPr>
        <w:pStyle w:val="BookText"/>
      </w:pPr>
      <w:r>
        <w:rPr>
          <w:rFonts w:ascii="IRNazanin" w:hAnsi="IRNazanin" w:eastAsia="IRNazanin" w:cs="IRNazanin"/>
          <w:lang w:bidi="fa-IR"/>
          <w:color w:val="111111"/>
          <w:sz w:val="28"/>
          <w:szCs w:val="28"/>
          <w:rtl/>
        </w:rPr>
        <w:t xml:space="preserve">۵۴۹. مشهد؛ مدرسه خیرات خان؛ شماره نسخه: ۵</w:t>
      </w:r>
    </w:p>
    <w:p>
      <w:pPr>
        <w:pStyle w:val="BookText"/>
      </w:pPr>
      <w:r>
        <w:rPr>
          <w:rFonts w:ascii="Amiri" w:hAnsi="Amiri" w:eastAsia="Amiri" w:cs="Amiri"/>
          <w:lang w:bidi="ar-SA"/>
          <w:color w:val="111111"/>
          <w:sz w:val="28"/>
          <w:szCs w:val="28"/>
          <w:rtl/>
        </w:rPr>
        <w:t xml:space="preserve">آغاز: رب فجرت مضمرة بعد بل و هو قليل نحو بل بلد ملا الا</w:t>
      </w:r>
    </w:p>
    <w:p>
      <w:pPr>
        <w:pStyle w:val="BookText"/>
      </w:pPr>
      <w:r>
        <w:rPr>
          <w:rFonts w:ascii="IRNazanin" w:hAnsi="IRNazanin" w:eastAsia="IRNazanin" w:cs="IRNazanin"/>
          <w:lang w:bidi="fa-IR"/>
          <w:color w:val="111111"/>
          <w:sz w:val="28"/>
          <w:szCs w:val="28"/>
          <w:rtl/>
        </w:rPr>
        <w:t xml:space="preserve">کام؛ انجام: برابر</w:t>
      </w:r>
    </w:p>
    <w:p>
      <w:pPr>
        <w:pStyle w:val="BookText"/>
      </w:pPr>
      <w:r>
        <w:rPr>
          <w:rFonts w:ascii="IRNazanin" w:hAnsi="IRNazanin" w:eastAsia="IRNazanin" w:cs="IRNazanin"/>
          <w:lang w:bidi="fa-IR"/>
          <w:color w:val="111111"/>
          <w:sz w:val="28"/>
          <w:szCs w:val="28"/>
          <w:rtl/>
        </w:rPr>
        <w:t xml:space="preserve">خط: نسخ، بی کا، بی تا؛ افتادگی: آغاز؛ کاغذ: نخودی و فستقی ۷۱گ، ۱۷ سطر، قطع: ربعی رشت و همدان: ف: ۱۷۲۴]</w:t>
      </w:r>
    </w:p>
    <w:p>
      <w:pPr>
        <w:pStyle w:val="BookText"/>
      </w:pPr>
      <w:r>
        <w:rPr>
          <w:rFonts w:ascii="IRNazanin" w:hAnsi="IRNazanin" w:eastAsia="IRNazanin" w:cs="IRNazanin"/>
          <w:lang w:bidi="fa-IR"/>
          <w:color w:val="111111"/>
          <w:sz w:val="28"/>
          <w:szCs w:val="28"/>
          <w:rtl/>
        </w:rPr>
        <w:t xml:space="preserve">۵۵۰. قم: مرکز مطالعات؛ شماره نسخه: ۵۲۷</w:t>
      </w:r>
    </w:p>
    <w:p>
      <w:pPr>
        <w:pStyle w:val="BookText"/>
      </w:pPr>
      <w:r>
        <w:rPr>
          <w:rFonts w:ascii="IRNazanin" w:hAnsi="IRNazanin" w:eastAsia="IRNazanin" w:cs="IRNazanin"/>
          <w:lang w:bidi="fa-IR"/>
          <w:color w:val="111111"/>
          <w:sz w:val="28"/>
          <w:szCs w:val="28"/>
          <w:rtl/>
        </w:rPr>
        <w:t xml:space="preserve">بخشی از باب مضاف و مضاف اليه تا باب تحذیر؛ خط: نسخ خوب، بی کا، بی تا؛ جلد: تیماج مشکی قهوه ای ضربی مجدول، ۳۳گ، ۱۸سطر،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۱-۴۵۳]</w:t>
      </w:r>
    </w:p>
    <w:p>
      <w:pPr>
        <w:pStyle w:val="BookText"/>
      </w:pPr>
      <w:r>
        <w:rPr>
          <w:rFonts w:ascii="IRNazanin" w:hAnsi="IRNazanin" w:eastAsia="IRNazanin" w:cs="IRNazanin"/>
          <w:lang w:bidi="fa-IR"/>
          <w:color w:val="111111"/>
          <w:sz w:val="28"/>
          <w:szCs w:val="28"/>
          <w:rtl/>
        </w:rPr>
        <w:t xml:space="preserve">۵۵۱. تهران: ملی؛ شماره نسخه: ۳۲۱۶</w:t>
      </w:r>
    </w:p>
    <w:p>
      <w:pPr>
        <w:pStyle w:val="BookText"/>
      </w:pPr>
      <w:r>
        <w:rPr>
          <w:rFonts w:ascii="IRNazanin" w:hAnsi="IRNazanin" w:eastAsia="IRNazanin" w:cs="IRNazanin"/>
          <w:lang w:bidi="fa-IR"/>
          <w:color w:val="111111"/>
          <w:sz w:val="28"/>
          <w:szCs w:val="28"/>
          <w:rtl/>
        </w:rPr>
        <w:t xml:space="preserve">خط: نسخ، بی کا، بی تا؛ مهر تملك: «ابوالقاسم ارحى الحسینی»؛ کاغذ: فرنگی شکری، جلد: تیماج تریاکی روشن مقوایی ضربی ترنج و دو سرترنج مذهب جداول و منگنه دارد، ۱۱۷گ، ۱۵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اندازه: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۲۰/۵سم [ف: ۱۵-۲۳]</w:t>
      </w:r>
    </w:p>
    <w:p>
      <w:pPr>
        <w:pStyle w:val="BookText"/>
      </w:pPr>
      <w:r>
        <w:rPr>
          <w:rFonts w:ascii="IRNazanin" w:hAnsi="IRNazanin" w:eastAsia="IRNazanin" w:cs="IRNazanin"/>
          <w:lang w:bidi="fa-IR"/>
          <w:color w:val="111111"/>
          <w:sz w:val="28"/>
          <w:szCs w:val="28"/>
          <w:rtl/>
        </w:rPr>
        <w:t xml:space="preserve">۵۵۲. تهران؛ ملی؛ شماره نسخه: ۴۰۳۲</w:t>
      </w:r>
    </w:p>
    <w:p>
      <w:pPr>
        <w:pStyle w:val="BookText"/>
      </w:pPr>
      <w:r>
        <w:rPr>
          <w:rFonts w:ascii="IRNazanin" w:hAnsi="IRNazanin" w:eastAsia="IRNazanin" w:cs="IRNazanin"/>
          <w:lang w:bidi="fa-IR"/>
          <w:color w:val="111111"/>
          <w:sz w:val="28"/>
          <w:szCs w:val="28"/>
          <w:rtl/>
        </w:rPr>
        <w:t xml:space="preserve">آغاز: برابر؛ انجام: و لقد جاءت رسل ربنا (افتاده برگ ۱۶۸پ)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نسخ، بی کا، بی تا؛ محشی با نشان: «مکروی، شرح، شواهد، نظام»؛ کاغذ: فرنگی نخودی، جلد: مقوا ته چرم قهوه ای، ۱۶۹گ، ۱۵ سطر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اندازه: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۲۰سم (ف: ۱۷-۳۲۷)</w:t>
      </w:r>
    </w:p>
    <w:p>
      <w:pPr>
        <w:pStyle w:val="BookText"/>
      </w:pPr>
      <w:r>
        <w:rPr>
          <w:rFonts w:ascii="IRNazanin" w:hAnsi="IRNazanin" w:eastAsia="IRNazanin" w:cs="IRNazanin"/>
          <w:lang w:bidi="fa-IR"/>
          <w:color w:val="111111"/>
          <w:sz w:val="28"/>
          <w:szCs w:val="28"/>
          <w:rtl/>
        </w:rPr>
        <w:t xml:space="preserve">۵۵۳. تهران؛ ملی؛ شماره نسخه: ۴۲۶۰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و نسخ خوش؛ مصحح، محشی با امضای عبدالله، ابن ناظم، شرح جامی و ... کاغذ: فرنگی نخودی، جلد: تیماج قهوه ای، مقوایی، ۱۸۳، ۱۵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۱۸-۲۲۰]</w:t>
      </w:r>
    </w:p>
    <w:p>
      <w:pPr>
        <w:pStyle w:val="BookText"/>
      </w:pPr>
      <w:r>
        <w:rPr>
          <w:rFonts w:ascii="IRNazanin" w:hAnsi="IRNazanin" w:eastAsia="IRNazanin" w:cs="IRNazanin"/>
          <w:lang w:bidi="fa-IR"/>
          <w:color w:val="111111"/>
          <w:sz w:val="28"/>
          <w:szCs w:val="28"/>
          <w:rtl/>
        </w:rPr>
        <w:t xml:space="preserve">۵۵۴. تهران: ملی؛ شماره نسخه: ۴۱۰۶</w:t>
      </w:r>
    </w:p>
    <w:p>
      <w:pPr>
        <w:pStyle w:val="BookText"/>
      </w:pPr>
      <w:r>
        <w:rPr>
          <w:rFonts w:ascii="IRNazanin" w:hAnsi="IRNazanin" w:eastAsia="IRNazanin" w:cs="IRNazanin"/>
          <w:lang w:bidi="fa-IR"/>
          <w:color w:val="111111"/>
          <w:sz w:val="28"/>
          <w:szCs w:val="28"/>
          <w:rtl/>
        </w:rPr>
        <w:t xml:space="preserve">آغاز و تقدم عصره حائزای جامع تفضيلا لتفضيل السابق شرعا و عرفا و هو ايض هو مستوجب لجميلا عليه لانتفاعی بما الفه و اقتدائی به؛ انجام: برابر</w:t>
      </w:r>
    </w:p>
    <w:p>
      <w:pPr>
        <w:pStyle w:val="BookText"/>
      </w:pPr>
      <w:r>
        <w:rPr>
          <w:rFonts w:ascii="IRNazanin" w:hAnsi="IRNazanin" w:eastAsia="IRNazanin" w:cs="IRNazanin"/>
          <w:lang w:bidi="fa-IR"/>
          <w:color w:val="111111"/>
          <w:sz w:val="28"/>
          <w:szCs w:val="28"/>
          <w:rtl/>
        </w:rPr>
        <w:t xml:space="preserve">خط: نسخ، بی کا، بی تا، افتادگی: آغاز؛ مصحح، محشی؛ کاغذ: فرنگی نخودی، جلد: تیماج قهوه ای مقوایی دارای ترنج و سرترنج و بوته های ریسه ای ضربی، ۱۶۱گ، ۱۶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۱۸-۱۲]</w:t>
      </w:r>
    </w:p>
    <w:p>
      <w:pPr>
        <w:pStyle w:val="BookText"/>
      </w:pPr>
      <w:r>
        <w:rPr>
          <w:rFonts w:ascii="IRNazanin" w:hAnsi="IRNazanin" w:eastAsia="IRNazanin" w:cs="IRNazanin"/>
          <w:lang w:bidi="fa-IR"/>
          <w:color w:val="111111"/>
          <w:sz w:val="28"/>
          <w:szCs w:val="28"/>
          <w:rtl/>
        </w:rPr>
        <w:t xml:space="preserve">۵۵۵. تهران؛ ملی؛ شماره نسخه: ۴۱۰۷</w:t>
      </w:r>
    </w:p>
    <w:p>
      <w:pPr>
        <w:pStyle w:val="BookText"/>
      </w:pPr>
      <w:r>
        <w:rPr>
          <w:rFonts w:ascii="IRNazanin" w:hAnsi="IRNazanin" w:eastAsia="IRNazanin" w:cs="IRNazanin"/>
          <w:lang w:bidi="fa-IR"/>
          <w:color w:val="111111"/>
          <w:sz w:val="28"/>
          <w:szCs w:val="28"/>
          <w:rtl/>
        </w:rPr>
        <w:t xml:space="preserve">آغاز: فاختار منهم بنی آدم ثم اختار بنی آدم فاختار منهم العرب ثم اختار العرب فاختار منهم قريش ثم اختار قريشا، انجام: فربما خالفت الشراح في بيان حكم او تاویل او تعليل فحسبه من لا اطلاع له و لا فهم سهوا او عدولا عن سبیل و ما درای آنا فعلنا ذلك عمدا لامر مهم جليل</w:t>
      </w:r>
    </w:p>
    <w:p>
      <w:pPr>
        <w:pStyle w:val="BookText"/>
      </w:pPr>
      <w:r>
        <w:rPr>
          <w:rFonts w:ascii="IRNazanin" w:hAnsi="IRNazanin" w:eastAsia="IRNazanin" w:cs="IRNazanin"/>
          <w:lang w:bidi="fa-IR"/>
          <w:color w:val="111111"/>
          <w:sz w:val="28"/>
          <w:szCs w:val="28"/>
          <w:rtl/>
        </w:rPr>
        <w:t xml:space="preserve">خط: نسخ، بی کا، بی تا؛ افتادگی: آغاز و انجام؛ مصحح، محشی؛ کاغذ: فرنگی نخودی، جلد: تیماج قهوه ای یک لا، ۹۶گ، ۱۹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۲۰/۳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۱۸-۱۳]</w:t>
      </w:r>
    </w:p>
    <w:p>
      <w:pPr>
        <w:pStyle w:val="BookText"/>
      </w:pPr>
      <w:r>
        <w:rPr>
          <w:rFonts w:ascii="IRNazanin" w:hAnsi="IRNazanin" w:eastAsia="IRNazanin" w:cs="IRNazanin"/>
          <w:lang w:bidi="fa-IR"/>
          <w:color w:val="111111"/>
          <w:sz w:val="28"/>
          <w:szCs w:val="28"/>
          <w:rtl/>
        </w:rPr>
        <w:t xml:space="preserve">۵۵۶. تهران؛ ملی؛ شماره نسخه: ۳۳۵۲/۱</w:t>
      </w:r>
    </w:p>
    <w:p>
      <w:pPr>
        <w:pStyle w:val="BookText"/>
      </w:pPr>
      <w:r>
        <w:rPr>
          <w:rFonts w:ascii="IRNazanin" w:hAnsi="IRNazanin" w:eastAsia="IRNazanin" w:cs="IRNazanin"/>
          <w:lang w:bidi="fa-IR"/>
          <w:color w:val="111111"/>
          <w:sz w:val="28"/>
          <w:szCs w:val="28"/>
          <w:rtl/>
        </w:rPr>
        <w:t xml:space="preserve">خط: نسخ، بی کا، بی تا؛ مصحح، کاغذ: فرنگی آبی، جلد: تیماج قهوه ای روشن مقوایی ضربی دارای ترنج و دو سر ترنج لچک و جداول، ۱۵۴، ۱۶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۱۶۳-۱۵ ]</w:t>
      </w:r>
    </w:p>
    <w:p>
      <w:pPr>
        <w:pStyle w:val="BookText"/>
      </w:pPr>
      <w:r>
        <w:rPr>
          <w:rFonts w:ascii="IRNazanin" w:hAnsi="IRNazanin" w:eastAsia="IRNazanin" w:cs="IRNazanin"/>
          <w:lang w:bidi="fa-IR"/>
          <w:color w:val="111111"/>
          <w:sz w:val="28"/>
          <w:szCs w:val="28"/>
          <w:rtl/>
        </w:rPr>
        <w:t xml:space="preserve">۵۵۷. تهران؛ ملی؛ شماره نسخه: ۳۱۱۲</w:t>
      </w:r>
    </w:p>
    <w:p>
      <w:pPr>
        <w:pStyle w:val="BookText"/>
      </w:pPr>
      <w:r>
        <w:rPr>
          <w:rFonts w:ascii="IRNazanin" w:hAnsi="IRNazanin" w:eastAsia="IRNazanin" w:cs="IRNazanin"/>
          <w:lang w:bidi="fa-IR"/>
          <w:color w:val="111111"/>
          <w:sz w:val="28"/>
          <w:szCs w:val="28"/>
          <w:rtl/>
        </w:rPr>
        <w:t xml:space="preserve">خط: نسخ، بی کا، بی تا، کاغذ: فرنگی نخودی، جلد: تیماج مشکی یک لا جداول، ۱۰۱گ، ۱۸ سطر (۲۰۸۷/۵ )،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۱۴-۲۳۶]</w:t>
      </w:r>
    </w:p>
    <w:p>
      <w:pPr>
        <w:pStyle w:val="BookText"/>
      </w:pPr>
      <w:r>
        <w:rPr>
          <w:rFonts w:ascii="IRNazanin" w:hAnsi="IRNazanin" w:eastAsia="IRNazanin" w:cs="IRNazanin"/>
          <w:lang w:bidi="fa-IR"/>
          <w:color w:val="111111"/>
          <w:sz w:val="28"/>
          <w:szCs w:val="28"/>
          <w:rtl/>
        </w:rPr>
        <w:t xml:space="preserve">۵۵۸. تهران؛ ملی؛ شماره نسخه: ۳۴۴۵</w:t>
      </w:r>
    </w:p>
    <w:p>
      <w:pPr>
        <w:pStyle w:val="BookText"/>
      </w:pPr>
      <w:r>
        <w:rPr>
          <w:rFonts w:ascii="IRNazanin" w:hAnsi="IRNazanin" w:eastAsia="IRNazanin" w:cs="IRNazanin"/>
          <w:lang w:bidi="fa-IR"/>
          <w:color w:val="111111"/>
          <w:sz w:val="28"/>
          <w:szCs w:val="28"/>
          <w:rtl/>
        </w:rPr>
        <w:t xml:space="preserve">آغاز: کسرا على اصل التقاء الساكنين و ذو الضم نحو حيث و انما ضم تشبيها لها؛ انجام: كما هو بوبو لطابر و وعوعا بمعنی صوت او تصدرت الو او بی کا، بی تا؛ افتادگی: آغاز و انجام کاغذ: فرنگی نخودی، جلد: مقوایی، روکش کالینگور قهوه ای، عطف تیماج قرمز، ۱۲۱ گ، ۱۴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۱۵-۲۵۹]</w:t>
      </w:r>
    </w:p>
    <w:p>
      <w:pPr>
        <w:pStyle w:val="BookText"/>
      </w:pPr>
      <w:r>
        <w:rPr>
          <w:rFonts w:ascii="IRNazanin" w:hAnsi="IRNazanin" w:eastAsia="IRNazanin" w:cs="IRNazanin"/>
          <w:lang w:bidi="fa-IR"/>
          <w:color w:val="111111"/>
          <w:sz w:val="28"/>
          <w:szCs w:val="28"/>
          <w:rtl/>
        </w:rPr>
        <w:t xml:space="preserve">۵۵۹. تهران؛ ملی؛ شماره نسخه: ۳۴۸۲</w:t>
      </w:r>
    </w:p>
    <w:p>
      <w:pPr>
        <w:pStyle w:val="BookText"/>
      </w:pPr>
      <w:r>
        <w:rPr>
          <w:rFonts w:ascii="IRNazanin" w:hAnsi="IRNazanin" w:eastAsia="IRNazanin" w:cs="IRNazanin"/>
          <w:lang w:bidi="fa-IR"/>
          <w:color w:val="111111"/>
          <w:sz w:val="28"/>
          <w:szCs w:val="28"/>
          <w:rtl/>
        </w:rPr>
        <w:t xml:space="preserve">خط: نستعلیق، بی کا، بی تا، محشی با امضای «عقیل»؛ کاغذ: فرنگی الوان، جلد: تیماج قهوه ای روشن یک لا، ۱۳۵ گ، ۱۵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۱۵-۲۹۰]</w:t>
      </w:r>
    </w:p>
    <w:p>
      <w:pPr>
        <w:pStyle w:val="BookText"/>
      </w:pPr>
      <w:r>
        <w:rPr>
          <w:rFonts w:ascii="IRNazanin" w:hAnsi="IRNazanin" w:eastAsia="IRNazanin" w:cs="IRNazanin"/>
          <w:lang w:bidi="fa-IR"/>
          <w:color w:val="111111"/>
          <w:sz w:val="28"/>
          <w:szCs w:val="28"/>
          <w:rtl/>
        </w:rPr>
        <w:t xml:space="preserve">۵۶۰. تهران؛ ملی؛ شماره نسخه: ۳۴۵۷</w:t>
      </w:r>
    </w:p>
    <w:p>
      <w:pPr>
        <w:pStyle w:val="BookText"/>
      </w:pPr>
      <w:r>
        <w:rPr>
          <w:rFonts w:ascii="IRNazanin" w:hAnsi="IRNazanin" w:eastAsia="IRNazanin" w:cs="IRNazanin"/>
          <w:lang w:bidi="fa-IR"/>
          <w:color w:val="111111"/>
          <w:sz w:val="28"/>
          <w:szCs w:val="28"/>
          <w:rtl/>
        </w:rPr>
        <w:t xml:space="preserve">خط: نسخ، بی کا، بی تا، کاغذ: فرنگی نخودی، جلد: تیماج قهوه ای مقوایی ضربی با ترنج و سر ترنج جداول، ۱۴۹گ، ۱۵ سطر (۹۸۵)، اندازه: 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۱۵/۵ سم [ف: ۱۵- ۲۷۰]</w:t>
      </w:r>
    </w:p>
    <w:p>
      <w:pPr>
        <w:pStyle w:val="BookText"/>
      </w:pPr>
      <w:r>
        <w:rPr>
          <w:rFonts w:ascii="IRNazanin" w:hAnsi="IRNazanin" w:eastAsia="IRNazanin" w:cs="IRNazanin"/>
          <w:lang w:bidi="fa-IR"/>
          <w:color w:val="111111"/>
          <w:sz w:val="28"/>
          <w:szCs w:val="28"/>
          <w:rtl/>
        </w:rPr>
        <w:t xml:space="preserve">۵۶۱. تهران؛ ملی؛ شماره نسخه: ۳۴۶۰</w:t>
      </w:r>
    </w:p>
    <w:p>
      <w:pPr>
        <w:pStyle w:val="BookText"/>
      </w:pPr>
      <w:r>
        <w:rPr>
          <w:rFonts w:ascii="IRNazanin" w:hAnsi="IRNazanin" w:eastAsia="IRNazanin" w:cs="IRNazanin"/>
          <w:lang w:bidi="fa-IR"/>
          <w:color w:val="111111"/>
          <w:sz w:val="28"/>
          <w:szCs w:val="28"/>
          <w:rtl/>
        </w:rPr>
        <w:t xml:space="preserve">خط: نسخ، بی کا، بی تاب افتادگی: آغاز و انجام؛ کاغذ: اصفهانی نخودی، جلد: تیماج مشکی، مقوایی، عطف تیماج قهوه ای، ۱۶۲گ، ۱۵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سم [ف: ۱۵-۲۷۲]</w:t>
      </w:r>
    </w:p>
    <w:p>
      <w:pPr>
        <w:pStyle w:val="BookText"/>
      </w:pPr>
      <w:r>
        <w:rPr>
          <w:rFonts w:ascii="IRNazanin" w:hAnsi="IRNazanin" w:eastAsia="IRNazanin" w:cs="IRNazanin"/>
          <w:lang w:bidi="fa-IR"/>
          <w:color w:val="111111"/>
          <w:sz w:val="28"/>
          <w:szCs w:val="28"/>
          <w:rtl/>
        </w:rPr>
        <w:t xml:space="preserve">۵۶۲. تهران؛ ملی؛ شماره نسخه: ۲۴۵۳</w:t>
      </w:r>
    </w:p>
    <w:p>
      <w:pPr>
        <w:pStyle w:val="BookText"/>
      </w:pPr>
      <w:r>
        <w:rPr>
          <w:rFonts w:ascii="IRNazanin" w:hAnsi="IRNazanin" w:eastAsia="IRNazanin" w:cs="IRNazanin"/>
          <w:lang w:bidi="fa-IR"/>
          <w:color w:val="111111"/>
          <w:sz w:val="28"/>
          <w:szCs w:val="28"/>
          <w:rtl/>
        </w:rPr>
        <w:t xml:space="preserve">آغاز: برابر؛ انجام: فصل في الحذف فامرا و مضارع من معتل الفاء ... في ظللت بفتحها و کسر اللام الأولى.</w:t>
      </w:r>
    </w:p>
    <w:p>
      <w:pPr>
        <w:pStyle w:val="BookText"/>
      </w:pPr>
      <w:r>
        <w:rPr>
          <w:rFonts w:ascii="IRNazanin" w:hAnsi="IRNazanin" w:eastAsia="IRNazanin" w:cs="IRNazanin"/>
          <w:lang w:bidi="fa-IR"/>
          <w:color w:val="111111"/>
          <w:sz w:val="28"/>
          <w:szCs w:val="28"/>
          <w:rtl/>
        </w:rPr>
        <w:t xml:space="preserve">خط: نسخ، بی کا، بی تا؛ افتادگی: انجام؛ مجدول، محشی از میرزا ابوطالب اصفهانی و برخی با امضای «ملا محسن، رضی الدین، محمد غفر الله له، و برخی دیگر بنقل از «حاشیه» خطایی و «تصريح» از هری»؛ کاغذ: فرنگی، جلد: بدون جلد، عطف تیماج مشکی، ۱۸۵ گ، ۱۲ سطر کامل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۲۷۱-۱۲ ]</w:t>
      </w:r>
    </w:p>
    <w:p>
      <w:pPr>
        <w:pStyle w:val="BookText"/>
      </w:pPr>
      <w:r>
        <w:rPr>
          <w:rFonts w:ascii="IRNazanin" w:hAnsi="IRNazanin" w:eastAsia="IRNazanin" w:cs="IRNazanin"/>
          <w:lang w:bidi="fa-IR"/>
          <w:color w:val="111111"/>
          <w:sz w:val="28"/>
          <w:szCs w:val="28"/>
          <w:rtl/>
        </w:rPr>
        <w:t xml:space="preserve">۵۶۳. تهران؛ ملی؛ شماره نسخه: ۳۰۱۸/۱</w:t>
      </w:r>
    </w:p>
    <w:p>
      <w:pPr>
        <w:pStyle w:val="BookText"/>
      </w:pPr>
      <w:r>
        <w:rPr>
          <w:rFonts w:ascii="IRNazanin" w:hAnsi="IRNazanin" w:eastAsia="IRNazanin" w:cs="IRNazanin"/>
          <w:lang w:bidi="fa-IR"/>
          <w:color w:val="111111"/>
          <w:sz w:val="28"/>
          <w:szCs w:val="28"/>
          <w:rtl/>
        </w:rPr>
        <w:t xml:space="preserve">كان محمد بن عباس، بی تا، کاغذ: اصفهانی نخودی، جلد: تیماج مشکی مقوایی ضربی با ترنج و نیم ترنج و منگنه، ۱۰۱ص (۳ -۱۰۳)،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۱۴-۱۲۹]</w:t>
      </w:r>
    </w:p>
    <w:p>
      <w:pPr>
        <w:pStyle w:val="BookText"/>
      </w:pPr>
      <w:r>
        <w:rPr>
          <w:rFonts w:ascii="IRNazanin" w:hAnsi="IRNazanin" w:eastAsia="IRNazanin" w:cs="IRNazanin"/>
          <w:lang w:bidi="fa-IR"/>
          <w:color w:val="111111"/>
          <w:sz w:val="28"/>
          <w:szCs w:val="28"/>
          <w:rtl/>
        </w:rPr>
        <w:t xml:space="preserve">۵۶۴. قم؛ گلپایگانی؛ شماره نسخه: ۸۸۱۷- ۵۹/۳۷</w:t>
      </w:r>
    </w:p>
    <w:p>
      <w:pPr>
        <w:pStyle w:val="BookText"/>
      </w:pPr>
      <w:r>
        <w:rPr>
          <w:rFonts w:ascii="IRNazanin" w:hAnsi="IRNazanin" w:eastAsia="IRNazanin" w:cs="IRNazanin"/>
          <w:lang w:bidi="fa-IR"/>
          <w:color w:val="111111"/>
          <w:sz w:val="28"/>
          <w:szCs w:val="28"/>
          <w:rtl/>
        </w:rPr>
        <w:t xml:space="preserve">آغاز: أن تخاطب باسمها و اخرن ذا اي اللقب آن سواه صحبا و المراد به الاسم كما وجد في بعض النسخ خط: نسخ، بی کا، بی تا؛ افتادگی: آغاز و انجام؛ ۱۲۶ گ، ۱۵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۲-۶۴۴]</w:t>
      </w:r>
    </w:p>
    <w:p>
      <w:pPr>
        <w:pStyle w:val="BookText"/>
      </w:pPr>
      <w:r>
        <w:rPr>
          <w:rFonts w:ascii="IRNazanin" w:hAnsi="IRNazanin" w:eastAsia="IRNazanin" w:cs="IRNazanin"/>
          <w:lang w:bidi="fa-IR"/>
          <w:color w:val="111111"/>
          <w:sz w:val="28"/>
          <w:szCs w:val="28"/>
          <w:rtl/>
        </w:rPr>
        <w:t xml:space="preserve">۵۶۵. قم؛ گلپایگانی؛ شماره نسخه: ۸۲۷۸/۴ - ۵۶/۱۲۸</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از اول تا شرح «بالباء استعن وعد عوض الصق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و مثل مع و من وعن بها انطق»؛ خط: نسخ، بی کا، بی تا، افتادگی: انجام؛ ۸۰گ ( ۱۳۸-۵۹ )، ۱۶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۲-۶۴۱]</w:t>
      </w:r>
    </w:p>
    <w:p>
      <w:pPr>
        <w:pStyle w:val="BookText"/>
      </w:pPr>
      <w:r>
        <w:rPr>
          <w:rFonts w:ascii="IRNazanin" w:hAnsi="IRNazanin" w:eastAsia="IRNazanin" w:cs="IRNazanin"/>
          <w:lang w:bidi="fa-IR"/>
          <w:color w:val="111111"/>
          <w:sz w:val="28"/>
          <w:szCs w:val="28"/>
          <w:rtl/>
        </w:rPr>
        <w:t xml:space="preserve">۵۶۶. قم؛ گلپایگانی؛ شماره نسخه: ۸۲۴۸- ۵۶/۹۸</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بی تا؛ افتادگی: انجام یک برگ)؛ ۱۱۰گ، ۱۹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۲-۶۴۱]</w:t>
      </w:r>
    </w:p>
    <w:p>
      <w:pPr>
        <w:pStyle w:val="BookText"/>
      </w:pPr>
      <w:r>
        <w:rPr>
          <w:rFonts w:ascii="IRNazanin" w:hAnsi="IRNazanin" w:eastAsia="IRNazanin" w:cs="IRNazanin"/>
          <w:lang w:bidi="fa-IR"/>
          <w:color w:val="111111"/>
          <w:sz w:val="28"/>
          <w:szCs w:val="28"/>
          <w:rtl/>
        </w:rPr>
        <w:t xml:space="preserve">۵۶۷. بابل؛ خاتم الانبیاء؛ شماره نسخه: ۱۶۸</w:t>
      </w:r>
    </w:p>
    <w:p>
      <w:pPr>
        <w:pStyle w:val="BookText"/>
      </w:pPr>
      <w:r>
        <w:rPr>
          <w:rFonts w:ascii="IRNazanin" w:hAnsi="IRNazanin" w:eastAsia="IRNazanin" w:cs="IRNazanin"/>
          <w:lang w:bidi="fa-IR"/>
          <w:color w:val="111111"/>
          <w:sz w:val="28"/>
          <w:szCs w:val="28"/>
          <w:rtl/>
        </w:rPr>
        <w:t xml:space="preserve">خط: نسخ، بی کا، بی تا، جلد: تیماج مشکی، ۱۶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۱۱۷]</w:t>
      </w:r>
    </w:p>
    <w:p>
      <w:pPr>
        <w:pStyle w:val="BookText"/>
      </w:pPr>
      <w:r>
        <w:rPr>
          <w:rFonts w:ascii="IRNazanin" w:hAnsi="IRNazanin" w:eastAsia="IRNazanin" w:cs="IRNazanin"/>
          <w:lang w:bidi="fa-IR"/>
          <w:color w:val="111111"/>
          <w:sz w:val="28"/>
          <w:szCs w:val="28"/>
          <w:rtl/>
        </w:rPr>
        <w:t xml:space="preserve">۵۶۸. بابل، خاتم الانبیاء؛ شماره نسخه: ۱۸۶/۶</w:t>
      </w:r>
    </w:p>
    <w:p>
      <w:pPr>
        <w:pStyle w:val="BookText"/>
      </w:pPr>
      <w:r>
        <w:rPr>
          <w:rFonts w:ascii="IRNazanin" w:hAnsi="IRNazanin" w:eastAsia="IRNazanin" w:cs="IRNazanin"/>
          <w:lang w:bidi="fa-IR"/>
          <w:color w:val="111111"/>
          <w:sz w:val="28"/>
          <w:szCs w:val="28"/>
          <w:rtl/>
        </w:rPr>
        <w:t xml:space="preserve">خط: نسخ، بی کا، بی تا؛ جلد: تیماج مشکی، مختلف السطر،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۱۲۹]</w:t>
      </w:r>
    </w:p>
    <w:p>
      <w:pPr>
        <w:pStyle w:val="BookText"/>
      </w:pPr>
      <w:r>
        <w:rPr>
          <w:rFonts w:ascii="Amiri" w:hAnsi="Amiri" w:eastAsia="Amiri" w:cs="Amiri"/>
          <w:lang w:bidi="ar-SA"/>
          <w:color w:val="111111"/>
          <w:sz w:val="28"/>
          <w:szCs w:val="28"/>
          <w:rtl/>
        </w:rPr>
        <w:t xml:space="preserve">۵۶۹. مشهد؛ الهيات، شماره نسخه: ۴۴</w:t>
      </w:r>
    </w:p>
    <w:p>
      <w:pPr>
        <w:pStyle w:val="BookText"/>
      </w:pPr>
      <w:r>
        <w:rPr>
          <w:rFonts w:ascii="IRNazanin" w:hAnsi="IRNazanin" w:eastAsia="IRNazanin" w:cs="IRNazanin"/>
          <w:lang w:bidi="fa-IR"/>
          <w:color w:val="111111"/>
          <w:sz w:val="28"/>
          <w:szCs w:val="28"/>
          <w:rtl/>
        </w:rPr>
        <w:t xml:space="preserve">خط: نسخ، بی کا، بی تا، افتادگی: آغاز؛ جلد: تیماج قهوه ای، ۱۸۳ گ، ۱۴ و ۱۵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۱-۲۴]</w:t>
      </w:r>
    </w:p>
    <w:p>
      <w:pPr>
        <w:pStyle w:val="BookText"/>
      </w:pPr>
      <w:r>
        <w:rPr>
          <w:rFonts w:ascii="Amiri" w:hAnsi="Amiri" w:eastAsia="Amiri" w:cs="Amiri"/>
          <w:lang w:bidi="ar-SA"/>
          <w:color w:val="111111"/>
          <w:sz w:val="28"/>
          <w:szCs w:val="28"/>
          <w:rtl/>
        </w:rPr>
        <w:t xml:space="preserve">۵۷۰. مشهد؛ الهيات؛ شماره نسخه: ۴۵</w:t>
      </w:r>
    </w:p>
    <w:p>
      <w:pPr>
        <w:pStyle w:val="BookText"/>
      </w:pPr>
      <w:r>
        <w:rPr>
          <w:rFonts w:ascii="IRNazanin" w:hAnsi="IRNazanin" w:eastAsia="IRNazanin" w:cs="IRNazanin"/>
          <w:lang w:bidi="fa-IR"/>
          <w:color w:val="111111"/>
          <w:sz w:val="28"/>
          <w:szCs w:val="28"/>
          <w:rtl/>
        </w:rPr>
        <w:t xml:space="preserve">خط: نسخ، بی کا، بی تا، افتادگی: انجام؛ جلد: تیماج قهوه ای، ۱۴۵گ، ۱۳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۱-۲۴]</w:t>
      </w:r>
    </w:p>
    <w:p>
      <w:pPr>
        <w:pStyle w:val="BookText"/>
      </w:pPr>
      <w:r>
        <w:rPr>
          <w:rFonts w:ascii="IRNazanin" w:hAnsi="IRNazanin" w:eastAsia="IRNazanin" w:cs="IRNazanin"/>
          <w:lang w:bidi="fa-IR"/>
          <w:color w:val="111111"/>
          <w:sz w:val="28"/>
          <w:szCs w:val="28"/>
          <w:rtl/>
        </w:rPr>
        <w:t xml:space="preserve">۵۷۱. فردوس؛ مدرسه حبیبیه؛ شماره نسخه: ۶۶</w:t>
      </w:r>
    </w:p>
    <w:p>
      <w:pPr>
        <w:pStyle w:val="BookText"/>
      </w:pPr>
      <w:r>
        <w:rPr>
          <w:rFonts w:ascii="IRNazanin" w:hAnsi="IRNazanin" w:eastAsia="IRNazanin" w:cs="IRNazanin"/>
          <w:lang w:bidi="fa-IR"/>
          <w:color w:val="111111"/>
          <w:sz w:val="28"/>
          <w:szCs w:val="28"/>
          <w:rtl/>
        </w:rPr>
        <w:t xml:space="preserve">آغاز: كانت في الأصل مبتدا و خبرة و فع و فاعلا فتحكی كزید منطلق و تابط شرا و منه ما بمزج ركبا بان اخذ اسمان و جعلا اسما واحدة و نزل ثانيهما من الأول منزلة تاء؛ انجام: ثم قال ملتفتا من التكلم الى الغيبه احصی هو فعل بمعنی جمع مختصرة يكسر الصاد من الكافيه الشافيه خط: نسخ، بی کا، بی تا؛ افتادگی: آغاز و انجام؛ مصحح، محشی؛ ۱۲۱گ، ۱۵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مخ]</w:t>
      </w:r>
    </w:p>
    <w:p>
      <w:pPr>
        <w:pStyle w:val="BookText"/>
      </w:pPr>
      <w:r>
        <w:rPr>
          <w:rFonts w:ascii="IRNazanin" w:hAnsi="IRNazanin" w:eastAsia="IRNazanin" w:cs="IRNazanin"/>
          <w:lang w:bidi="fa-IR"/>
          <w:color w:val="111111"/>
          <w:sz w:val="28"/>
          <w:szCs w:val="28"/>
          <w:rtl/>
        </w:rPr>
        <w:t xml:space="preserve">۵۷۲. قوچان مدرسه عوضیه؛ شماره نسخه: ۴۸/۱</w:t>
      </w:r>
    </w:p>
    <w:p>
      <w:pPr>
        <w:pStyle w:val="BookText"/>
      </w:pPr>
      <w:r>
        <w:rPr>
          <w:rFonts w:ascii="IRNazanin" w:hAnsi="IRNazanin" w:eastAsia="IRNazanin" w:cs="IRNazanin"/>
          <w:lang w:bidi="fa-IR"/>
          <w:color w:val="111111"/>
          <w:sz w:val="28"/>
          <w:szCs w:val="28"/>
          <w:rtl/>
        </w:rPr>
        <w:t xml:space="preserve">آغاز: برابر؛ انجام: و وزن فعلی بفتحتين اسما كان نحو بردپی شهر بد بدمشق او مصدر</w:t>
      </w:r>
    </w:p>
    <w:p>
      <w:pPr>
        <w:pStyle w:val="BookText"/>
      </w:pPr>
      <w:r>
        <w:rPr>
          <w:rFonts w:ascii="IRNazanin" w:hAnsi="IRNazanin" w:eastAsia="IRNazanin" w:cs="IRNazanin"/>
          <w:lang w:bidi="fa-IR"/>
          <w:color w:val="111111"/>
          <w:sz w:val="28"/>
          <w:szCs w:val="28"/>
          <w:rtl/>
        </w:rPr>
        <w:t xml:space="preserve">از اول کتاب تا بحث باب عدد؛ خط: نسخ، بی کا، بی تا؛ افتادگی: انجام؛ جلد: تیماج مشکی، ۱۰۳گ (۱پ -۱۰۳ر)، ۱۵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مخ]</w:t>
      </w:r>
    </w:p>
    <w:p>
      <w:pPr>
        <w:pStyle w:val="BookText"/>
      </w:pPr>
      <w:r>
        <w:rPr>
          <w:rFonts w:ascii="IRNazanin" w:hAnsi="IRNazanin" w:eastAsia="IRNazanin" w:cs="IRNazanin"/>
          <w:lang w:bidi="fa-IR"/>
          <w:color w:val="111111"/>
          <w:sz w:val="28"/>
          <w:szCs w:val="28"/>
          <w:rtl/>
        </w:rPr>
        <w:t xml:space="preserve">۵۷۳. فردوس؛ قائم؛ شماره نسخه: ۱۳/۱</w:t>
      </w:r>
    </w:p>
    <w:p>
      <w:pPr>
        <w:pStyle w:val="BookText"/>
      </w:pPr>
      <w:r>
        <w:rPr>
          <w:rFonts w:ascii="IRNazanin" w:hAnsi="IRNazanin" w:eastAsia="IRNazanin" w:cs="IRNazanin"/>
          <w:lang w:bidi="fa-IR"/>
          <w:color w:val="111111"/>
          <w:sz w:val="28"/>
          <w:szCs w:val="28"/>
          <w:rtl/>
        </w:rPr>
        <w:t xml:space="preserve">آغاز: برابر؛ انجام: يعود الضمير على متاخر لانه متقدم في الرتبة و ذلك نحو خاف ربه عمر و شذ تقديم الفاعل اذ اتصل به خط: نسخ، بی کا، بی تا، مصحح؛ جلد: مقوای لایی با روکش پلاستیک آبی، ۸۳گ(۱-۸۳)، ۱۵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مخ ]</w:t>
      </w:r>
    </w:p>
    <w:p>
      <w:pPr>
        <w:pStyle w:val="BookText"/>
      </w:pPr>
      <w:r>
        <w:rPr>
          <w:rFonts w:ascii="IRNazanin" w:hAnsi="IRNazanin" w:eastAsia="IRNazanin" w:cs="IRNazanin"/>
          <w:lang w:bidi="fa-IR"/>
          <w:color w:val="111111"/>
          <w:sz w:val="28"/>
          <w:szCs w:val="28"/>
          <w:rtl/>
        </w:rPr>
        <w:t xml:space="preserve">۵۷۴. تبریز؛ مدرسه ولیعصر تبریز؛ شماره نسخه: ۱۲</w:t>
      </w:r>
    </w:p>
    <w:p>
      <w:pPr>
        <w:pStyle w:val="BookText"/>
      </w:pPr>
      <w:r>
        <w:rPr>
          <w:rFonts w:ascii="IRNazanin" w:hAnsi="IRNazanin" w:eastAsia="IRNazanin" w:cs="IRNazanin"/>
          <w:lang w:bidi="fa-IR"/>
          <w:color w:val="111111"/>
          <w:sz w:val="28"/>
          <w:szCs w:val="28"/>
          <w:rtl/>
        </w:rPr>
        <w:t xml:space="preserve">آغاز: يقضي بهبات ای عطایا من فضله وافرة ای زائده؛ انجام: برابر</w:t>
      </w:r>
    </w:p>
    <w:p>
      <w:pPr>
        <w:pStyle w:val="BookText"/>
      </w:pPr>
      <w:r>
        <w:rPr>
          <w:rFonts w:ascii="IRNazanin" w:hAnsi="IRNazanin" w:eastAsia="IRNazanin" w:cs="IRNazanin"/>
          <w:lang w:bidi="fa-IR"/>
          <w:color w:val="111111"/>
          <w:sz w:val="28"/>
          <w:szCs w:val="28"/>
          <w:rtl/>
        </w:rPr>
        <w:t xml:space="preserve">خط: نسخ، بی کا، بی تا؛ افتادگی: آغاز؛ جلد: تیماج مشکی، ۲۰۹گ، ۱۰ سطر،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w:t>
      </w:r>
    </w:p>
    <w:p>
      <w:pPr>
        <w:pStyle w:val="BookText"/>
      </w:pPr>
      <w:r>
        <w:rPr>
          <w:rFonts w:ascii="IRNazanin" w:hAnsi="IRNazanin" w:eastAsia="IRNazanin" w:cs="IRNazanin"/>
          <w:lang w:bidi="fa-IR"/>
          <w:color w:val="111111"/>
          <w:sz w:val="28"/>
          <w:szCs w:val="28"/>
          <w:rtl/>
        </w:rPr>
        <w:t xml:space="preserve">۵۷۵. قم؛ طبسی؛ شماره نسخه: ۳۱۰/۲</w:t>
      </w:r>
    </w:p>
    <w:p>
      <w:pPr>
        <w:pStyle w:val="BookText"/>
      </w:pPr>
      <w:r>
        <w:rPr>
          <w:rFonts w:ascii="IRNazanin" w:hAnsi="IRNazanin" w:eastAsia="IRNazanin" w:cs="IRNazanin"/>
          <w:lang w:bidi="fa-IR"/>
          <w:color w:val="111111"/>
          <w:sz w:val="28"/>
          <w:szCs w:val="28"/>
          <w:rtl/>
        </w:rPr>
        <w:t xml:space="preserve">آغاز: بسمله احمد اللهم على نعمك و آلائك واصلی و اسلم على محمد خاتم انبیائك وعلى آله ... و بعد فهذا شرح لطيف مزجته بالفية ابن مالك؛ انجام: الخيرة بفتح اليا و يجوز التسكين كما في الصحاح قال ... وقدمن الله تعالی ... خط: نستعلیق، بی کا، بی تا؛ محشي از ابن عقیل و «التصريح»؛ جلد: تیماج قهوه ای مجدول با ترنج وسر ترنج سوخت، ۱۵۴گ، ۱۵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مخ: ۱-۷۵]</w:t>
      </w:r>
    </w:p>
    <w:p>
      <w:pPr>
        <w:pStyle w:val="BookText"/>
      </w:pPr>
      <w:r>
        <w:rPr>
          <w:rFonts w:ascii="IRNazanin" w:hAnsi="IRNazanin" w:eastAsia="IRNazanin" w:cs="IRNazanin"/>
          <w:lang w:bidi="fa-IR"/>
          <w:color w:val="111111"/>
          <w:sz w:val="28"/>
          <w:szCs w:val="28"/>
          <w:rtl/>
        </w:rPr>
        <w:t xml:space="preserve">۵۷۶. قم؛ مسجد اعظم، شماره نسخه: ۱۴۱۱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جلد: تیماج مشکی، مجدول، ترنج با سر، ۱۲۹ ، ۱۶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سم [ف مخ: ۱-۲۸۳]</w:t>
      </w:r>
    </w:p>
    <w:p>
      <w:pPr>
        <w:pStyle w:val="BookText"/>
      </w:pPr>
      <w:r>
        <w:rPr>
          <w:rFonts w:ascii="IRNazanin" w:hAnsi="IRNazanin" w:eastAsia="IRNazanin" w:cs="IRNazanin"/>
          <w:lang w:bidi="fa-IR"/>
          <w:color w:val="111111"/>
          <w:sz w:val="28"/>
          <w:szCs w:val="28"/>
          <w:rtl/>
        </w:rPr>
        <w:t xml:space="preserve">۵۷۷. تهران؛ سپهسالار؛ شماره نسخه: ۳۱۹۲</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شرح کلمه و آله الغر تا جمله و «يجوز أن يكون»؛ خط: نسخ، بی کا، بی تا، افتادگی: انجام؛ واقف: سپهسالار؛ کاغذ: فرنگی، جلد: تیماج، ۱۹۶ص، ۱۳ سطر، قطع: خشتی،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۲-۳۴۰]</w:t>
      </w:r>
    </w:p>
    <w:p>
      <w:pPr>
        <w:pStyle w:val="BookText"/>
      </w:pPr>
      <w:r>
        <w:rPr>
          <w:rFonts w:ascii="IRNazanin" w:hAnsi="IRNazanin" w:eastAsia="IRNazanin" w:cs="IRNazanin"/>
          <w:lang w:bidi="fa-IR"/>
          <w:color w:val="111111"/>
          <w:sz w:val="28"/>
          <w:szCs w:val="28"/>
          <w:rtl/>
        </w:rPr>
        <w:t xml:space="preserve">۵۷۸. تهران؛ سپهسالار؛ شماره نسخه: ۳۱۹۱</w:t>
      </w:r>
    </w:p>
    <w:p>
      <w:pPr>
        <w:pStyle w:val="BookText"/>
      </w:pPr>
      <w:r>
        <w:rPr>
          <w:rFonts w:ascii="IRNazanin" w:hAnsi="IRNazanin" w:eastAsia="IRNazanin" w:cs="IRNazanin"/>
          <w:lang w:bidi="fa-IR"/>
          <w:color w:val="111111"/>
          <w:sz w:val="28"/>
          <w:szCs w:val="28"/>
          <w:rtl/>
        </w:rPr>
        <w:t xml:space="preserve">آغاز: بما ذکر و قيد التسهيل الحم و هو قريب الزوج؛ انجام: اذا ما الليل جن متحرية او جز العباره</w:t>
      </w:r>
    </w:p>
    <w:p>
      <w:pPr>
        <w:pStyle w:val="BookText"/>
      </w:pPr>
      <w:r>
        <w:rPr>
          <w:rFonts w:ascii="IRNazanin" w:hAnsi="IRNazanin" w:eastAsia="IRNazanin" w:cs="IRNazanin"/>
          <w:lang w:bidi="fa-IR"/>
          <w:color w:val="111111"/>
          <w:sz w:val="28"/>
          <w:szCs w:val="28"/>
          <w:rtl/>
        </w:rPr>
        <w:t xml:space="preserve">خط: نسخ، بی کا، بی تا؛ افتادگی: آغاز و انجام؛ واقف: سپهسالار؛ کاغذ: سمرقندی، جلد: تیماج، ۱۰۶ص، ۱۷ سطر، قطع: خشتی،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۲-۳۴۰]</w:t>
      </w:r>
    </w:p>
    <w:p>
      <w:pPr>
        <w:pStyle w:val="BookText"/>
      </w:pPr>
      <w:r>
        <w:rPr>
          <w:rFonts w:ascii="IRNazanin" w:hAnsi="IRNazanin" w:eastAsia="IRNazanin" w:cs="IRNazanin"/>
          <w:lang w:bidi="fa-IR"/>
          <w:color w:val="111111"/>
          <w:sz w:val="28"/>
          <w:szCs w:val="28"/>
          <w:rtl/>
        </w:rPr>
        <w:t xml:space="preserve">۵۷۹. تهران؛ سپهسالار؛ شماره نسخه: ۳۱۹۰</w:t>
      </w:r>
    </w:p>
    <w:p>
      <w:pPr>
        <w:pStyle w:val="BookText"/>
      </w:pPr>
      <w:r>
        <w:rPr>
          <w:rFonts w:ascii="IRNazanin" w:hAnsi="IRNazanin" w:eastAsia="IRNazanin" w:cs="IRNazanin"/>
          <w:lang w:bidi="fa-IR"/>
          <w:color w:val="111111"/>
          <w:sz w:val="28"/>
          <w:szCs w:val="28"/>
          <w:rtl/>
        </w:rPr>
        <w:t xml:space="preserve">آغاز: برابر؛ انجام: مع ما ضاها هما ككوز و کیزان و تاج و تیجان و قل في غيرهما كغزال و غزلان و فعلان بفتحة فسكون</w:t>
      </w:r>
    </w:p>
    <w:p>
      <w:pPr>
        <w:pStyle w:val="BookText"/>
      </w:pPr>
      <w:r>
        <w:rPr>
          <w:rFonts w:ascii="IRNazanin" w:hAnsi="IRNazanin" w:eastAsia="IRNazanin" w:cs="IRNazanin"/>
          <w:lang w:bidi="fa-IR"/>
          <w:color w:val="111111"/>
          <w:sz w:val="28"/>
          <w:szCs w:val="28"/>
          <w:rtl/>
        </w:rPr>
        <w:t xml:space="preserve">تا اواخر مبحث جمع تكثير؛ خط: نسخ، بی کا، بی تا؛ محشی به امضاء سید محمد و از این ناظم و جامی و غیره؛ واقف: سپهسالار؛ کاغذ: فرنگی، جلد: تیماج، ۶۴ص، ۱۹ سطر، قطع: خشتی،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۲-۳۴۰]</w:t>
      </w:r>
    </w:p>
    <w:p>
      <w:pPr>
        <w:pStyle w:val="BookText"/>
      </w:pPr>
      <w:r>
        <w:rPr>
          <w:rFonts w:ascii="IRNazanin" w:hAnsi="IRNazanin" w:eastAsia="IRNazanin" w:cs="IRNazanin"/>
          <w:lang w:bidi="fa-IR"/>
          <w:color w:val="111111"/>
          <w:sz w:val="28"/>
          <w:szCs w:val="28"/>
          <w:rtl/>
        </w:rPr>
        <w:t xml:space="preserve">۵۸۰. تهران، سپهسالار؛ شماره نسخه: ۲۷۲ صدر</w:t>
      </w:r>
    </w:p>
    <w:p>
      <w:pPr>
        <w:pStyle w:val="BookText"/>
      </w:pPr>
      <w:r>
        <w:rPr>
          <w:rFonts w:ascii="IRNazanin" w:hAnsi="IRNazanin" w:eastAsia="IRNazanin" w:cs="IRNazanin"/>
          <w:lang w:bidi="fa-IR"/>
          <w:color w:val="111111"/>
          <w:sz w:val="28"/>
          <w:szCs w:val="28"/>
          <w:rtl/>
        </w:rPr>
        <w:t xml:space="preserve">آغاز: الرحمن الرحيم وزید وصه بمعنی طلب سکوت ما و مسلمات و حينئذ و كل و جوار</w:t>
      </w:r>
    </w:p>
    <w:p>
      <w:pPr>
        <w:pStyle w:val="BookText"/>
      </w:pPr>
      <w:r>
        <w:rPr>
          <w:rFonts w:ascii="IRNazanin" w:hAnsi="IRNazanin" w:eastAsia="IRNazanin" w:cs="IRNazanin"/>
          <w:lang w:bidi="fa-IR"/>
          <w:color w:val="111111"/>
          <w:sz w:val="28"/>
          <w:szCs w:val="28"/>
          <w:rtl/>
        </w:rPr>
        <w:t xml:space="preserve">خط: نسخ، بی کا، بی تا، افتادگی: آغاز، کاغذ: فرنگی، جلد: میشن، ۱۱۴، ۱۹ سطر، قطع: خشتی،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۳۴۱-۲ ]</w:t>
      </w:r>
    </w:p>
    <w:p>
      <w:pPr>
        <w:pStyle w:val="BookText"/>
      </w:pPr>
      <w:r>
        <w:rPr>
          <w:rFonts w:ascii="IRNazanin" w:hAnsi="IRNazanin" w:eastAsia="IRNazanin" w:cs="IRNazanin"/>
          <w:lang w:bidi="fa-IR"/>
          <w:color w:val="111111"/>
          <w:sz w:val="28"/>
          <w:szCs w:val="28"/>
          <w:rtl/>
        </w:rPr>
        <w:t xml:space="preserve">۵۸۱. قم؛ مسجد اعظم؛ شماره نسخه: ۴۰۵۴</w:t>
      </w:r>
    </w:p>
    <w:p>
      <w:pPr>
        <w:pStyle w:val="BookText"/>
      </w:pPr>
      <w:r>
        <w:rPr>
          <w:rFonts w:ascii="IRNazanin" w:hAnsi="IRNazanin" w:eastAsia="IRNazanin" w:cs="IRNazanin"/>
          <w:lang w:bidi="fa-IR"/>
          <w:color w:val="111111"/>
          <w:sz w:val="28"/>
          <w:szCs w:val="28"/>
          <w:rtl/>
        </w:rPr>
        <w:t xml:space="preserve">آغاز: برابر؛ انجام: فقل فيه معدی بخلاف المبنى من فعل مکسورها كمرضى و المعتل اللام بالياء کمر می كذاک ذا وجهين التصحيح والاعلال.</w:t>
      </w:r>
    </w:p>
    <w:p>
      <w:pPr>
        <w:pStyle w:val="BookText"/>
      </w:pPr>
      <w:r>
        <w:rPr>
          <w:rFonts w:ascii="IRNazanin" w:hAnsi="IRNazanin" w:eastAsia="IRNazanin" w:cs="IRNazanin"/>
          <w:lang w:bidi="fa-IR"/>
          <w:color w:val="111111"/>
          <w:sz w:val="28"/>
          <w:szCs w:val="28"/>
          <w:rtl/>
        </w:rPr>
        <w:t xml:space="preserve">خط: نسخ، بی کا، بی تا، افتادگی: انجام؛ جلد: گالینگور سبز عطف تیماج زرشکی،۱۲۴ گ، ۱۷ سطر،اندازه:۲۲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مخ: ۱-۲۸۴]</w:t>
      </w:r>
    </w:p>
    <w:p>
      <w:pPr>
        <w:pStyle w:val="BookText"/>
      </w:pPr>
      <w:r>
        <w:rPr>
          <w:rFonts w:ascii="IRNazanin" w:hAnsi="IRNazanin" w:eastAsia="IRNazanin" w:cs="IRNazanin"/>
          <w:lang w:bidi="fa-IR"/>
          <w:color w:val="111111"/>
          <w:sz w:val="28"/>
          <w:szCs w:val="28"/>
          <w:rtl/>
        </w:rPr>
        <w:t xml:space="preserve">۵۸۲. قم؛ مرعشی؛ شماره نسخه: ۱۳۵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 محشی؛ جلد: تیماج مشکی بدون مقوا، ۱۰۷گ، ۱۶ سطر، اندازه: ۱۴/۵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۲۰سم [ف: ۱-۱۵۵]</w:t>
      </w:r>
    </w:p>
    <w:p>
      <w:pPr>
        <w:pStyle w:val="BookText"/>
      </w:pPr>
      <w:r>
        <w:rPr>
          <w:rFonts w:ascii="IRNazanin" w:hAnsi="IRNazanin" w:eastAsia="IRNazanin" w:cs="IRNazanin"/>
          <w:lang w:bidi="fa-IR"/>
          <w:color w:val="111111"/>
          <w:sz w:val="28"/>
          <w:szCs w:val="28"/>
          <w:rtl/>
        </w:rPr>
        <w:t xml:space="preserve">۵۸۳. قم؛ گلپایگانی؛ شماره نسخه: ۸۶۳۲- ۵۸/۸۲</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بی تا؛ افتادگی: انجام( یک برگ)، ۱۳۶ گ، ۱۴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۲-۶۴۱]</w:t>
      </w:r>
    </w:p>
    <w:p>
      <w:pPr>
        <w:pStyle w:val="BookText"/>
      </w:pPr>
      <w:r>
        <w:rPr>
          <w:rFonts w:ascii="IRNazanin" w:hAnsi="IRNazanin" w:eastAsia="IRNazanin" w:cs="IRNazanin"/>
          <w:lang w:bidi="fa-IR"/>
          <w:color w:val="111111"/>
          <w:sz w:val="28"/>
          <w:szCs w:val="28"/>
          <w:rtl/>
        </w:rPr>
        <w:t xml:space="preserve">۵۸۴. مشهد؛ ادبیات؛ شماره نسخه: ۴۵ فیاض</w:t>
      </w:r>
    </w:p>
    <w:p>
      <w:pPr>
        <w:pStyle w:val="BookText"/>
      </w:pPr>
      <w:r>
        <w:rPr>
          <w:rFonts w:ascii="IRNazanin" w:hAnsi="IRNazanin" w:eastAsia="IRNazanin" w:cs="IRNazanin"/>
          <w:lang w:bidi="fa-IR"/>
          <w:color w:val="111111"/>
          <w:sz w:val="28"/>
          <w:szCs w:val="28"/>
          <w:rtl/>
        </w:rPr>
        <w:t xml:space="preserve">خط: نسخ، كا: عبدالواحد بن غلام على جزایری، بی تا، جلد: تیماج قهوه ای، ۲۳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۲۴/۵سم [ف: ۱۶]</w:t>
      </w:r>
    </w:p>
    <w:p>
      <w:pPr>
        <w:pStyle w:val="BookText"/>
      </w:pPr>
      <w:r>
        <w:rPr>
          <w:rFonts w:ascii="Amiri" w:hAnsi="Amiri" w:eastAsia="Amiri" w:cs="Amiri"/>
          <w:lang w:bidi="ar-SA"/>
          <w:color w:val="111111"/>
          <w:sz w:val="28"/>
          <w:szCs w:val="28"/>
          <w:rtl/>
        </w:rPr>
        <w:t xml:space="preserve">۵۸۵. اصفهان؛ مكتبة الزهراء؛ شماره نسخه: ۲۱۷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نسخ روشن، بی کا، بی تا؛ ۱۴۷گ، ۱۲سطر،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۱۳۵]</w:t>
      </w:r>
    </w:p>
    <w:p>
      <w:pPr>
        <w:pStyle w:val="BookText"/>
      </w:pPr>
      <w:r>
        <w:rPr>
          <w:rFonts w:ascii="Amiri" w:hAnsi="Amiri" w:eastAsia="Amiri" w:cs="Amiri"/>
          <w:lang w:bidi="ar-SA"/>
          <w:color w:val="111111"/>
          <w:sz w:val="28"/>
          <w:szCs w:val="28"/>
          <w:rtl/>
        </w:rPr>
        <w:t xml:space="preserve">۵۸۶. اصفهان؛ مكتبة الزهراء؛ شماره نسخه: ۷۲</w:t>
      </w:r>
    </w:p>
    <w:p>
      <w:pPr>
        <w:pStyle w:val="BookText"/>
      </w:pPr>
      <w:r>
        <w:rPr>
          <w:rFonts w:ascii="Amiri" w:hAnsi="Amiri" w:eastAsia="Amiri" w:cs="Amiri"/>
          <w:lang w:bidi="ar-SA"/>
          <w:color w:val="111111"/>
          <w:sz w:val="28"/>
          <w:szCs w:val="28"/>
          <w:rtl/>
        </w:rPr>
        <w:t xml:space="preserve">انجام: و الواحد اذكرنا سبأ للجمع إن لم يشابه واحدة.</w:t>
      </w:r>
    </w:p>
    <w:p>
      <w:pPr>
        <w:pStyle w:val="BookText"/>
      </w:pPr>
      <w:r>
        <w:rPr>
          <w:rFonts w:ascii="IRNazanin" w:hAnsi="IRNazanin" w:eastAsia="IRNazanin" w:cs="IRNazanin"/>
          <w:lang w:bidi="fa-IR"/>
          <w:color w:val="111111"/>
          <w:sz w:val="28"/>
          <w:szCs w:val="28"/>
          <w:rtl/>
        </w:rPr>
        <w:t xml:space="preserve">خط: نسخ متوسط، بی کا، بی تا، افتادگی: انجام؛ ۱۷۶گ، ۱۵سطر،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۵۵]</w:t>
      </w:r>
    </w:p>
    <w:p>
      <w:pPr>
        <w:pStyle w:val="BookText"/>
      </w:pPr>
      <w:r>
        <w:rPr>
          <w:rFonts w:ascii="IRNazanin" w:hAnsi="IRNazanin" w:eastAsia="IRNazanin" w:cs="IRNazanin"/>
          <w:lang w:bidi="fa-IR"/>
          <w:color w:val="111111"/>
          <w:sz w:val="28"/>
          <w:szCs w:val="28"/>
          <w:rtl/>
        </w:rPr>
        <w:t xml:space="preserve">۵۸۷. مشهد؛ رضوی؛ شماره نسخه: ۱۵۴۶۰</w:t>
      </w:r>
    </w:p>
    <w:p>
      <w:pPr>
        <w:pStyle w:val="BookText"/>
      </w:pPr>
      <w:r>
        <w:rPr>
          <w:rFonts w:ascii="IRNazanin" w:hAnsi="IRNazanin" w:eastAsia="IRNazanin" w:cs="IRNazanin"/>
          <w:lang w:bidi="fa-IR"/>
          <w:color w:val="111111"/>
          <w:sz w:val="28"/>
          <w:szCs w:val="28"/>
          <w:rtl/>
        </w:rPr>
        <w:t xml:space="preserve">آغاز: في الكافيه لان القول جنس قریب؛ انجام: و هو الفصل المضارع قل</w:t>
      </w:r>
    </w:p>
    <w:p>
      <w:pPr>
        <w:pStyle w:val="BookText"/>
      </w:pPr>
      <w:r>
        <w:rPr>
          <w:rFonts w:ascii="IRNazanin" w:hAnsi="IRNazanin" w:eastAsia="IRNazanin" w:cs="IRNazanin"/>
          <w:lang w:bidi="fa-IR"/>
          <w:color w:val="111111"/>
          <w:sz w:val="28"/>
          <w:szCs w:val="28"/>
          <w:rtl/>
        </w:rPr>
        <w:t xml:space="preserve">خط: نسخ، بی کا، بی تا، افتادگی: آغاز و انجام کاغذ: نباتی، جلد: تیماج، ۲۱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۴)،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[الفبائی: ۶۲۴]</w:t>
      </w:r>
    </w:p>
    <w:p>
      <w:pPr>
        <w:pStyle w:val="BookText"/>
      </w:pPr>
      <w:r>
        <w:rPr>
          <w:rFonts w:ascii="IRNazanin" w:hAnsi="IRNazanin" w:eastAsia="IRNazanin" w:cs="IRNazanin"/>
          <w:lang w:bidi="fa-IR"/>
          <w:color w:val="111111"/>
          <w:sz w:val="28"/>
          <w:szCs w:val="28"/>
          <w:rtl/>
        </w:rPr>
        <w:t xml:space="preserve">۵۸۸. مراغه؛ عمومی؛ شماره نسخه: ۴۰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محشی؛ جلد: تیماج قهوه ای با ترنج وسط لچکی و لولادار، ۱۲۱ گ، ۱۵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۱۸]</w:t>
      </w:r>
    </w:p>
    <w:p>
      <w:pPr>
        <w:pStyle w:val="BookText"/>
      </w:pPr>
      <w:r>
        <w:rPr>
          <w:rFonts w:ascii="IRNazanin" w:hAnsi="IRNazanin" w:eastAsia="IRNazanin" w:cs="IRNazanin"/>
          <w:lang w:bidi="fa-IR"/>
          <w:color w:val="111111"/>
          <w:sz w:val="28"/>
          <w:szCs w:val="28"/>
          <w:rtl/>
        </w:rPr>
        <w:t xml:space="preserve">۵۸۹. مشهد؛ شیخ علی حیدر؛ شماره نسخه: ۱۳۵</w:t>
      </w:r>
    </w:p>
    <w:p>
      <w:pPr>
        <w:pStyle w:val="BookText"/>
      </w:pPr>
      <w:r>
        <w:rPr>
          <w:rFonts w:ascii="Amiri" w:hAnsi="Amiri" w:eastAsia="Amiri" w:cs="Amiri"/>
          <w:lang w:bidi="ar-SA"/>
          <w:color w:val="111111"/>
          <w:sz w:val="28"/>
          <w:szCs w:val="28"/>
          <w:rtl/>
        </w:rPr>
        <w:t xml:space="preserve">آغاز: برابر؛ انجام: الى يوم الدين برحمتك يا أرحم الراحمين.</w:t>
      </w:r>
    </w:p>
    <w:p>
      <w:pPr>
        <w:pStyle w:val="BookText"/>
      </w:pPr>
      <w:r>
        <w:rPr>
          <w:rFonts w:ascii="IRNazanin" w:hAnsi="IRNazanin" w:eastAsia="IRNazanin" w:cs="IRNazanin"/>
          <w:lang w:bidi="fa-IR"/>
          <w:color w:val="111111"/>
          <w:sz w:val="28"/>
          <w:szCs w:val="28"/>
          <w:rtl/>
        </w:rPr>
        <w:t xml:space="preserve">خط: نستعلیق، کا: حسین، تا: شنبه ۱۰ رجب؛ محشی؛ جلد: چرم مشکی، ۱۱۴، ۱۵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(مؤید: ۱-۱۳۱]</w:t>
      </w:r>
    </w:p>
    <w:p>
      <w:pPr>
        <w:pStyle w:val="BookText"/>
      </w:pPr>
      <w:r>
        <w:rPr>
          <w:rFonts w:ascii="IRNazanin" w:hAnsi="IRNazanin" w:eastAsia="IRNazanin" w:cs="IRNazanin"/>
          <w:lang w:bidi="fa-IR"/>
          <w:color w:val="111111"/>
          <w:sz w:val="28"/>
          <w:szCs w:val="28"/>
          <w:rtl/>
        </w:rPr>
        <w:t xml:space="preserve">۵۹۰. تهران؛ وزارت امور خارجه؛ شماره نسخه: ۲-۷۲</w:t>
      </w:r>
    </w:p>
    <w:p>
      <w:pPr>
        <w:pStyle w:val="BookText"/>
      </w:pPr>
      <w:r>
        <w:rPr>
          <w:rFonts w:ascii="IRNazanin" w:hAnsi="IRNazanin" w:eastAsia="IRNazanin" w:cs="IRNazanin"/>
          <w:lang w:bidi="fa-IR"/>
          <w:color w:val="111111"/>
          <w:sz w:val="28"/>
          <w:szCs w:val="28"/>
          <w:rtl/>
        </w:rPr>
        <w:t xml:space="preserve">خط: نسخ و نستعلیق، کا: محمد علی تبریزی، بی تا، در ابتدای کتاب دستنوشته ای از سال ۱۲۷۱ هجری قمری موجود است که مالكيت كتاب را از آن «میرزا انور» اعلام می کند؛ مهر: «عبده میرزا انور»، «زین العابدين بن محمد علی»؛ جلد: مقوایی با روکش پارچه ای منقوش، ۸۴گ،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۵۶]</w:t>
      </w:r>
    </w:p>
    <w:p>
      <w:pPr>
        <w:pStyle w:val="BookText"/>
      </w:pPr>
      <w:r>
        <w:rPr>
          <w:rFonts w:ascii="IRNazanin" w:hAnsi="IRNazanin" w:eastAsia="IRNazanin" w:cs="IRNazanin"/>
          <w:lang w:bidi="fa-IR"/>
          <w:color w:val="111111"/>
          <w:sz w:val="28"/>
          <w:szCs w:val="28"/>
          <w:rtl/>
        </w:rPr>
        <w:t xml:space="preserve">۵۹۱. مشهد؛ رضوی؛ شماره نسخه: ۱۲۸۰۸</w:t>
      </w:r>
    </w:p>
    <w:p>
      <w:pPr>
        <w:pStyle w:val="BookText"/>
      </w:pPr>
      <w:r>
        <w:rPr>
          <w:rFonts w:ascii="IRNazanin" w:hAnsi="IRNazanin" w:eastAsia="IRNazanin" w:cs="IRNazanin"/>
          <w:lang w:bidi="fa-IR"/>
          <w:color w:val="111111"/>
          <w:sz w:val="28"/>
          <w:szCs w:val="28"/>
          <w:rtl/>
        </w:rPr>
        <w:t xml:space="preserve">آغاز: برابر؛ انجام: لقد جاءت رسل ربنا بالحق و صلی الله على سیدنا محمد و آله و صحبه و سلم تسليما كثيرا</w:t>
      </w:r>
    </w:p>
    <w:p>
      <w:pPr>
        <w:pStyle w:val="BookText"/>
      </w:pPr>
      <w:r>
        <w:rPr>
          <w:rFonts w:ascii="IRNazanin" w:hAnsi="IRNazanin" w:eastAsia="IRNazanin" w:cs="IRNazanin"/>
          <w:lang w:bidi="fa-IR"/>
          <w:color w:val="111111"/>
          <w:sz w:val="28"/>
          <w:szCs w:val="28"/>
          <w:rtl/>
        </w:rPr>
        <w:t xml:space="preserve">خط: نسخ، بی کا، بی تا، کاغذ: نخودی، جلد: تیماج، ۱۶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[الفبائی: 91]</w:t>
      </w:r>
    </w:p>
    <w:p>
      <w:pPr>
        <w:pStyle w:val="BookText"/>
      </w:pPr>
      <w:r>
        <w:rPr>
          <w:rFonts w:ascii="IRNazanin" w:hAnsi="IRNazanin" w:eastAsia="IRNazanin" w:cs="IRNazanin"/>
          <w:lang w:bidi="fa-IR"/>
          <w:color w:val="111111"/>
          <w:sz w:val="28"/>
          <w:szCs w:val="28"/>
          <w:rtl/>
        </w:rPr>
        <w:t xml:space="preserve">۵۹۲. تهران؛ نوربخش، شماره نسخه: ۵۷۱</w:t>
      </w:r>
    </w:p>
    <w:p>
      <w:pPr>
        <w:pStyle w:val="BookText"/>
      </w:pPr>
      <w:r>
        <w:rPr>
          <w:rFonts w:ascii="IRNazanin" w:hAnsi="IRNazanin" w:eastAsia="IRNazanin" w:cs="IRNazanin"/>
          <w:lang w:bidi="fa-IR"/>
          <w:color w:val="111111"/>
          <w:sz w:val="28"/>
          <w:szCs w:val="28"/>
          <w:rtl/>
        </w:rPr>
        <w:t xml:space="preserve">آغاز: احمد اللهم على نعمك و آلائک؛ انجام: هو نهو عن المنكر فصل و واو ياء محركة.</w:t>
      </w:r>
    </w:p>
    <w:p>
      <w:pPr>
        <w:pStyle w:val="BookText"/>
      </w:pPr>
      <w:r>
        <w:rPr>
          <w:rFonts w:ascii="IRNazanin" w:hAnsi="IRNazanin" w:eastAsia="IRNazanin" w:cs="IRNazanin"/>
          <w:lang w:bidi="fa-IR"/>
          <w:color w:val="111111"/>
          <w:sz w:val="28"/>
          <w:szCs w:val="28"/>
          <w:rtl/>
        </w:rPr>
        <w:t xml:space="preserve">خط: نسخ، بی کا، بی تا، افتادگی: انجام کاغذ: ایرانی، جلد: مقوایی، ۲۴۰ص، ۱۶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۲-۲۲۱]</w:t>
      </w:r>
    </w:p>
    <w:p>
      <w:pPr>
        <w:pStyle w:val="BookText"/>
      </w:pPr>
      <w:r>
        <w:rPr>
          <w:rFonts w:ascii="IRNazanin" w:hAnsi="IRNazanin" w:eastAsia="IRNazanin" w:cs="IRNazanin"/>
          <w:lang w:bidi="fa-IR"/>
          <w:color w:val="111111"/>
          <w:sz w:val="28"/>
          <w:szCs w:val="28"/>
          <w:rtl/>
        </w:rPr>
        <w:t xml:space="preserve">۵۹۳. تهران: نوربخش؛ شماره نسخه: ۴۹۹</w:t>
      </w:r>
    </w:p>
    <w:p>
      <w:pPr>
        <w:pStyle w:val="BookText"/>
      </w:pPr>
      <w:r>
        <w:rPr>
          <w:rFonts w:ascii="Amiri" w:hAnsi="Amiri" w:eastAsia="Amiri" w:cs="Amiri"/>
          <w:lang w:bidi="ar-SA"/>
          <w:color w:val="111111"/>
          <w:sz w:val="28"/>
          <w:szCs w:val="28"/>
          <w:rtl/>
        </w:rPr>
        <w:t xml:space="preserve">آغاز: برابر؛ انجام: الخبر المقدم على المبتدء و هو مالها ..... التأنيث من حذف و قلب.</w:t>
      </w:r>
    </w:p>
    <w:p>
      <w:pPr>
        <w:pStyle w:val="BookText"/>
      </w:pPr>
      <w:r>
        <w:rPr>
          <w:rFonts w:ascii="IRNazanin" w:hAnsi="IRNazanin" w:eastAsia="IRNazanin" w:cs="IRNazanin"/>
          <w:lang w:bidi="fa-IR"/>
          <w:color w:val="111111"/>
          <w:sz w:val="28"/>
          <w:szCs w:val="28"/>
          <w:rtl/>
        </w:rPr>
        <w:t xml:space="preserve">خط: نستعلیق، بی کا، بی تا، افتادگی: انجام کاغذ: ایرانی، جلد: تیماج تریاکی، مقوایی، ۳۲۶ص، ۱۲سطر،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۱۷۱-۲]</w:t>
      </w:r>
    </w:p>
    <w:p>
      <w:pPr>
        <w:pStyle w:val="BookText"/>
      </w:pPr>
      <w:r>
        <w:rPr>
          <w:rFonts w:ascii="IRNazanin" w:hAnsi="IRNazanin" w:eastAsia="IRNazanin" w:cs="IRNazanin"/>
          <w:lang w:bidi="fa-IR"/>
          <w:color w:val="111111"/>
          <w:sz w:val="28"/>
          <w:szCs w:val="28"/>
          <w:rtl/>
        </w:rPr>
        <w:t xml:space="preserve">۵۹۴. تهران؛ نوربخش؛ شماره نسخه: ۳۱۶</w:t>
      </w:r>
    </w:p>
    <w:p>
      <w:pPr>
        <w:pStyle w:val="BookText"/>
      </w:pPr>
      <w:r>
        <w:rPr>
          <w:rFonts w:ascii="Amiri" w:hAnsi="Amiri" w:eastAsia="Amiri" w:cs="Amiri"/>
          <w:lang w:bidi="ar-SA"/>
          <w:color w:val="111111"/>
          <w:sz w:val="28"/>
          <w:szCs w:val="28"/>
          <w:rtl/>
        </w:rPr>
        <w:t xml:space="preserve">آغاز: قريشا و اصطفى عن قريش بني هاشم؛ انجام: بتضعيف الباء هذا باب الاماله.</w:t>
      </w:r>
    </w:p>
    <w:p>
      <w:pPr>
        <w:pStyle w:val="BookText"/>
      </w:pPr>
      <w:r>
        <w:rPr>
          <w:rFonts w:ascii="IRNazanin" w:hAnsi="IRNazanin" w:eastAsia="IRNazanin" w:cs="IRNazanin"/>
          <w:lang w:bidi="fa-IR"/>
          <w:color w:val="111111"/>
          <w:sz w:val="28"/>
          <w:szCs w:val="28"/>
          <w:rtl/>
        </w:rPr>
        <w:t xml:space="preserve">آغاز خطبه افتاده و تا باب اماله را دارد؛ خط: نسخ، بی کا، بی تا؛ افتادگی: آغاز؛ محشی؛ کاغذ: فرنگی، جلد: مقوایی، ۱۷۱ص، ۲۱سطر،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۲-۵۵]</w:t>
      </w:r>
    </w:p>
    <w:p>
      <w:pPr>
        <w:pStyle w:val="BookText"/>
      </w:pPr>
      <w:r>
        <w:rPr>
          <w:rFonts w:ascii="IRNazanin" w:hAnsi="IRNazanin" w:eastAsia="IRNazanin" w:cs="IRNazanin"/>
          <w:lang w:bidi="fa-IR"/>
          <w:color w:val="111111"/>
          <w:sz w:val="28"/>
          <w:szCs w:val="28"/>
          <w:rtl/>
        </w:rPr>
        <w:t xml:space="preserve">۵۹۵. مشهد؛ رضوی؛ شماره نسخه: ۲۸۶۷۹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[رایانه ]</w:t>
      </w:r>
    </w:p>
    <w:p>
      <w:pPr>
        <w:pStyle w:val="BookText"/>
      </w:pPr>
      <w:r>
        <w:rPr>
          <w:rFonts w:ascii="IRNazanin" w:hAnsi="IRNazanin" w:eastAsia="IRNazanin" w:cs="IRNazanin"/>
          <w:lang w:bidi="fa-IR"/>
          <w:color w:val="111111"/>
          <w:sz w:val="28"/>
          <w:szCs w:val="28"/>
          <w:rtl/>
        </w:rPr>
        <w:t xml:space="preserve">۵۹۶. مشهد؛ رضوی؛ شماره نسخه: ۱۶۹۹۰</w:t>
      </w:r>
    </w:p>
    <w:p>
      <w:pPr>
        <w:pStyle w:val="BookText"/>
      </w:pPr>
      <w:r>
        <w:rPr>
          <w:rFonts w:ascii="IRNazanin" w:hAnsi="IRNazanin" w:eastAsia="IRNazanin" w:cs="IRNazanin"/>
          <w:lang w:bidi="fa-IR"/>
          <w:color w:val="111111"/>
          <w:sz w:val="28"/>
          <w:szCs w:val="28"/>
          <w:rtl/>
        </w:rPr>
        <w:t xml:space="preserve">آغاز: برابر؛ انجام: اسم منادی ليخلص ... او يعين ولا مشقه خفضا اعرابا</w:t>
      </w:r>
    </w:p>
    <w:p>
      <w:pPr>
        <w:pStyle w:val="BookText"/>
      </w:pPr>
      <w:r>
        <w:rPr>
          <w:rFonts w:ascii="IRNazanin" w:hAnsi="IRNazanin" w:eastAsia="IRNazanin" w:cs="IRNazanin"/>
          <w:lang w:bidi="fa-IR"/>
          <w:color w:val="111111"/>
          <w:sz w:val="28"/>
          <w:szCs w:val="28"/>
          <w:rtl/>
        </w:rPr>
        <w:t xml:space="preserve">خط: نسخ، بی کا، بی تا، افتادگی: انجام کاغذ: نخودی، جلد: تیماج، ۱۵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[رایانه]</w:t>
      </w:r>
    </w:p>
    <w:p>
      <w:pPr>
        <w:pStyle w:val="BookText"/>
      </w:pPr>
      <w:r>
        <w:rPr>
          <w:rFonts w:ascii="IRNazanin" w:hAnsi="IRNazanin" w:eastAsia="IRNazanin" w:cs="IRNazanin"/>
          <w:lang w:bidi="fa-IR"/>
          <w:color w:val="111111"/>
          <w:sz w:val="28"/>
          <w:szCs w:val="28"/>
          <w:rtl/>
        </w:rPr>
        <w:t xml:space="preserve">۵۹۷. مشهد؛ رضوی؛ شماره نسخه: ۲۴۰۳۴</w:t>
      </w:r>
    </w:p>
    <w:p>
      <w:pPr>
        <w:pStyle w:val="BookText"/>
      </w:pPr>
      <w:r>
        <w:rPr>
          <w:rFonts w:ascii="IRNazanin" w:hAnsi="IRNazanin" w:eastAsia="IRNazanin" w:cs="IRNazanin"/>
          <w:lang w:bidi="fa-IR"/>
          <w:color w:val="111111"/>
          <w:sz w:val="28"/>
          <w:szCs w:val="28"/>
          <w:rtl/>
        </w:rPr>
        <w:t xml:space="preserve">آغاز: برابر؛ انجام: من العرب سما الجاء بالعصر ... للنقل</w:t>
      </w:r>
    </w:p>
    <w:p>
      <w:pPr>
        <w:pStyle w:val="BookText"/>
      </w:pPr>
      <w:r>
        <w:rPr>
          <w:rFonts w:ascii="IRNazanin" w:hAnsi="IRNazanin" w:eastAsia="IRNazanin" w:cs="IRNazanin"/>
          <w:lang w:bidi="fa-IR"/>
          <w:color w:val="111111"/>
          <w:sz w:val="28"/>
          <w:szCs w:val="28"/>
          <w:rtl/>
        </w:rPr>
        <w:t xml:space="preserve">خط: نستعلیق، بی کا، بی تا؛ افتادگی: انجام؛ کاغذ: نخودی، جلد: تیماج، ابعاد متن: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[رایانه]</w:t>
      </w:r>
    </w:p>
    <w:p>
      <w:pPr>
        <w:pStyle w:val="BookText"/>
      </w:pPr>
      <w:r>
        <w:rPr>
          <w:rFonts w:ascii="IRNazanin" w:hAnsi="IRNazanin" w:eastAsia="IRNazanin" w:cs="IRNazanin"/>
          <w:lang w:bidi="fa-IR"/>
          <w:color w:val="111111"/>
          <w:sz w:val="28"/>
          <w:szCs w:val="28"/>
          <w:rtl/>
        </w:rPr>
        <w:t xml:space="preserve">۵۹۸. مشهد؛ رضوی؛ شماره نسخه: ۱۶۳۲۶</w:t>
      </w:r>
    </w:p>
    <w:p>
      <w:pPr>
        <w:pStyle w:val="BookText"/>
      </w:pPr>
      <w:r>
        <w:rPr>
          <w:rFonts w:ascii="Amiri" w:hAnsi="Amiri" w:eastAsia="Amiri" w:cs="Amiri"/>
          <w:lang w:bidi="ar-SA"/>
          <w:color w:val="111111"/>
          <w:sz w:val="28"/>
          <w:szCs w:val="28"/>
          <w:rtl/>
        </w:rPr>
        <w:t xml:space="preserve">آغاز: برابر؛ انجام: و أن لا يكون الكلمه على اوزان</w:t>
      </w:r>
    </w:p>
    <w:p>
      <w:pPr>
        <w:pStyle w:val="BookText"/>
      </w:pPr>
      <w:r>
        <w:rPr>
          <w:rFonts w:ascii="IRNazanin" w:hAnsi="IRNazanin" w:eastAsia="IRNazanin" w:cs="IRNazanin"/>
          <w:lang w:bidi="fa-IR"/>
          <w:color w:val="111111"/>
          <w:sz w:val="28"/>
          <w:szCs w:val="28"/>
          <w:rtl/>
        </w:rPr>
        <w:t xml:space="preserve">خط: نسخ، بی کا، بی تا، افتادگی: انجام کاغذ: نخو دی، جلد: میشن، ۱۵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[رایانه]</w:t>
      </w:r>
    </w:p>
    <w:p>
      <w:pPr>
        <w:pStyle w:val="BookText"/>
      </w:pPr>
      <w:r>
        <w:rPr>
          <w:rFonts w:ascii="IRNazanin" w:hAnsi="IRNazanin" w:eastAsia="IRNazanin" w:cs="IRNazanin"/>
          <w:lang w:bidi="fa-IR"/>
          <w:color w:val="111111"/>
          <w:sz w:val="28"/>
          <w:szCs w:val="28"/>
          <w:rtl/>
        </w:rPr>
        <w:t xml:space="preserve">۵۹۹. مشهد؛ رضوی؛ شماره نسخه: ۱۵۹۵۸</w:t>
      </w:r>
    </w:p>
    <w:p>
      <w:pPr>
        <w:pStyle w:val="BookText"/>
      </w:pPr>
      <w:r>
        <w:rPr>
          <w:rFonts w:ascii="IRNazanin" w:hAnsi="IRNazanin" w:eastAsia="IRNazanin" w:cs="IRNazanin"/>
          <w:lang w:bidi="fa-IR"/>
          <w:color w:val="111111"/>
          <w:sz w:val="28"/>
          <w:szCs w:val="28"/>
          <w:rtl/>
        </w:rPr>
        <w:t xml:space="preserve">آغاز: برابر؛ انجام: و صلی الله على محمد و آله الطيبين ... برحمتك يا ارحم الراحمين</w:t>
      </w:r>
    </w:p>
    <w:p>
      <w:pPr>
        <w:pStyle w:val="BookText"/>
      </w:pPr>
      <w:r>
        <w:rPr>
          <w:rFonts w:ascii="IRNazanin" w:hAnsi="IRNazanin" w:eastAsia="IRNazanin" w:cs="IRNazanin"/>
          <w:lang w:bidi="fa-IR"/>
          <w:color w:val="111111"/>
          <w:sz w:val="28"/>
          <w:szCs w:val="28"/>
          <w:rtl/>
        </w:rPr>
        <w:t xml:space="preserve">خط: نسخ، بی کا، بی تا؛ کاغذ: نخودی، جلد: میشن، ۱۹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[رایانه]</w:t>
      </w:r>
    </w:p>
    <w:p>
      <w:pPr>
        <w:pStyle w:val="BookText"/>
      </w:pPr>
      <w:r>
        <w:rPr>
          <w:rFonts w:ascii="IRNazanin" w:hAnsi="IRNazanin" w:eastAsia="IRNazanin" w:cs="IRNazanin"/>
          <w:lang w:bidi="fa-IR"/>
          <w:color w:val="111111"/>
          <w:sz w:val="28"/>
          <w:szCs w:val="28"/>
          <w:rtl/>
        </w:rPr>
        <w:t xml:space="preserve">۶۰۰. مشهد؛ رضوی؛ شماره نسخه: ۱۶۹۸۷</w:t>
      </w:r>
    </w:p>
    <w:p>
      <w:pPr>
        <w:pStyle w:val="BookText"/>
      </w:pPr>
      <w:r>
        <w:rPr>
          <w:rFonts w:ascii="IRNazanin" w:hAnsi="IRNazanin" w:eastAsia="IRNazanin" w:cs="IRNazanin"/>
          <w:lang w:bidi="fa-IR"/>
          <w:color w:val="111111"/>
          <w:sz w:val="28"/>
          <w:szCs w:val="28"/>
          <w:rtl/>
        </w:rPr>
        <w:t xml:space="preserve">آغاز: الكلام و ما يتالف منه كلامنا لفظ مفید؛ انجام: او حديثا ... انما يكون اذا غير</w:t>
      </w:r>
    </w:p>
    <w:p>
      <w:pPr>
        <w:pStyle w:val="BookText"/>
      </w:pPr>
      <w:r>
        <w:rPr>
          <w:rFonts w:ascii="IRNazanin" w:hAnsi="IRNazanin" w:eastAsia="IRNazanin" w:cs="IRNazanin"/>
          <w:lang w:bidi="fa-IR"/>
          <w:color w:val="111111"/>
          <w:sz w:val="28"/>
          <w:szCs w:val="28"/>
          <w:rtl/>
        </w:rPr>
        <w:t xml:space="preserve">خط: نستعلیق، بی کا، بی تا، افتادگی: آغاز و انجام؛ کاغذ: نخودی، جلد: تیماج، ۱۹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[رایانه]</w:t>
      </w:r>
    </w:p>
    <w:p>
      <w:pPr>
        <w:pStyle w:val="BookText"/>
      </w:pPr>
      <w:r>
        <w:rPr>
          <w:rFonts w:ascii="IRNazanin" w:hAnsi="IRNazanin" w:eastAsia="IRNazanin" w:cs="IRNazanin"/>
          <w:lang w:bidi="fa-IR"/>
          <w:color w:val="111111"/>
          <w:sz w:val="28"/>
          <w:szCs w:val="28"/>
          <w:rtl/>
        </w:rPr>
        <w:t xml:space="preserve">۴۰۱. مشهد؛ رضوی؛ شماره نسخه: ۱۶۹۰۰</w:t>
      </w:r>
    </w:p>
    <w:p>
      <w:pPr>
        <w:pStyle w:val="BookText"/>
      </w:pPr>
      <w:r>
        <w:rPr>
          <w:rFonts w:ascii="IRNazanin" w:hAnsi="IRNazanin" w:eastAsia="IRNazanin" w:cs="IRNazanin"/>
          <w:lang w:bidi="fa-IR"/>
          <w:color w:val="111111"/>
          <w:sz w:val="28"/>
          <w:szCs w:val="28"/>
          <w:rtl/>
        </w:rPr>
        <w:t xml:space="preserve">آغاز: بعد الحمد ای راعنا بالصلوه ای الرحمه؛ انجام: اذا ذكرت فلاجبذ اهيا و اول ذا</w:t>
      </w:r>
    </w:p>
    <w:p>
      <w:pPr>
        <w:pStyle w:val="BookText"/>
      </w:pPr>
      <w:r>
        <w:rPr>
          <w:rFonts w:ascii="IRNazanin" w:hAnsi="IRNazanin" w:eastAsia="IRNazanin" w:cs="IRNazanin"/>
          <w:lang w:bidi="fa-IR"/>
          <w:color w:val="111111"/>
          <w:sz w:val="28"/>
          <w:szCs w:val="28"/>
          <w:rtl/>
        </w:rPr>
        <w:t xml:space="preserve">خط: نستعلیق، بی کا، بی تا، افتادگی: آغاز و انجام کاغذ: الوان، ۱۴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[رایانه ]</w:t>
      </w:r>
    </w:p>
    <w:p>
      <w:pPr>
        <w:pStyle w:val="BookText"/>
      </w:pPr>
      <w:r>
        <w:rPr>
          <w:rFonts w:ascii="IRNazanin" w:hAnsi="IRNazanin" w:eastAsia="IRNazanin" w:cs="IRNazanin"/>
          <w:lang w:bidi="fa-IR"/>
          <w:color w:val="111111"/>
          <w:sz w:val="28"/>
          <w:szCs w:val="28"/>
          <w:rtl/>
        </w:rPr>
        <w:t xml:space="preserve">۶۰۲. مشهد؛ رضوی؛ شماره نسخه: ۱۵۵۷۹</w:t>
      </w:r>
    </w:p>
    <w:p>
      <w:pPr>
        <w:pStyle w:val="BookText"/>
      </w:pPr>
      <w:r>
        <w:rPr>
          <w:rFonts w:ascii="Amiri" w:hAnsi="Amiri" w:eastAsia="Amiri" w:cs="Amiri"/>
          <w:lang w:bidi="ar-SA"/>
          <w:color w:val="111111"/>
          <w:sz w:val="28"/>
          <w:szCs w:val="28"/>
          <w:rtl/>
        </w:rPr>
        <w:t xml:space="preserve">آغاز: اتصاله بها قد كاد من طول البلاء؛ انجام: اما وزنه او زيادته ... من البيع اصله تبيع</w:t>
      </w:r>
    </w:p>
    <w:p>
      <w:pPr>
        <w:pStyle w:val="BookText"/>
      </w:pPr>
      <w:r>
        <w:rPr>
          <w:rFonts w:ascii="IRNazanin" w:hAnsi="IRNazanin" w:eastAsia="IRNazanin" w:cs="IRNazanin"/>
          <w:lang w:bidi="fa-IR"/>
          <w:color w:val="111111"/>
          <w:sz w:val="28"/>
          <w:szCs w:val="28"/>
          <w:rtl/>
        </w:rPr>
        <w:t xml:space="preserve">خط: نسخ، بی کا، بی تا، افتادگی: آغاز و انجام کاغذ: شکری، جلد: تیماج، ۱۵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۲۰سم[رایانه]</w:t>
      </w:r>
    </w:p>
    <w:p>
      <w:pPr>
        <w:pStyle w:val="BookText"/>
      </w:pPr>
      <w:r>
        <w:rPr>
          <w:rFonts w:ascii="IRNazanin" w:hAnsi="IRNazanin" w:eastAsia="IRNazanin" w:cs="IRNazanin"/>
          <w:lang w:bidi="fa-IR"/>
          <w:color w:val="111111"/>
          <w:sz w:val="28"/>
          <w:szCs w:val="28"/>
          <w:rtl/>
        </w:rPr>
        <w:t xml:space="preserve">۶۰۳. مشهد؛ رضوی؛ شماره نسخه: ۱۶۸۹۳</w:t>
      </w:r>
    </w:p>
    <w:p>
      <w:pPr>
        <w:pStyle w:val="BookText"/>
      </w:pPr>
      <w:r>
        <w:rPr>
          <w:rFonts w:ascii="IRNazanin" w:hAnsi="IRNazanin" w:eastAsia="IRNazanin" w:cs="IRNazanin"/>
          <w:lang w:bidi="fa-IR"/>
          <w:color w:val="111111"/>
          <w:sz w:val="28"/>
          <w:szCs w:val="28"/>
          <w:rtl/>
        </w:rPr>
        <w:t xml:space="preserve">آغاز: و انا قمت و لا يقدح في ذاك وجودما؛ انجام: على محمد صل على خير نبی ارسلا ای لمن ارسله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نسخ، بی کا، بی تا، افتادگی: آغاز و انجام؛ کاغذ: نخودی، جلد: تیماج، ۱۵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[رایانه]</w:t>
      </w:r>
    </w:p>
    <w:p>
      <w:pPr>
        <w:pStyle w:val="BookText"/>
      </w:pPr>
      <w:r>
        <w:rPr>
          <w:rFonts w:ascii="IRNazanin" w:hAnsi="IRNazanin" w:eastAsia="IRNazanin" w:cs="IRNazanin"/>
          <w:lang w:bidi="fa-IR"/>
          <w:color w:val="111111"/>
          <w:sz w:val="28"/>
          <w:szCs w:val="28"/>
          <w:rtl/>
        </w:rPr>
        <w:t xml:space="preserve">۴۰۴. مشهد؛ نواب؛ شماره نسخه: ۱۰۹/۳</w:t>
      </w:r>
    </w:p>
    <w:p>
      <w:pPr>
        <w:pStyle w:val="BookText"/>
      </w:pPr>
      <w:r>
        <w:rPr>
          <w:rFonts w:ascii="Amiri" w:hAnsi="Amiri" w:eastAsia="Amiri" w:cs="Amiri"/>
          <w:lang w:bidi="ar-SA"/>
          <w:color w:val="111111"/>
          <w:sz w:val="28"/>
          <w:szCs w:val="28"/>
          <w:rtl/>
        </w:rPr>
        <w:t xml:space="preserve">آغاز: برابر؛ انجام: و ما تعريف لما اخبر عنه ههنا قد حتما فلا يخبر عما لا يقبل.</w:t>
      </w:r>
    </w:p>
    <w:p>
      <w:pPr>
        <w:pStyle w:val="BookText"/>
      </w:pPr>
      <w:r>
        <w:rPr>
          <w:rFonts w:ascii="IRNazanin" w:hAnsi="IRNazanin" w:eastAsia="IRNazanin" w:cs="IRNazanin"/>
          <w:lang w:bidi="fa-IR"/>
          <w:color w:val="111111"/>
          <w:sz w:val="28"/>
          <w:szCs w:val="28"/>
          <w:rtl/>
        </w:rPr>
        <w:t xml:space="preserve">خط: نسخ، بی کا، بی تا، کاغذ: فستقی و نخودی رنگ، جلد: تیماج قهوه ای، ۹۰گ (۵۹-۱۴۸)، ۱۴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سم [ف: ۱۱۰]</w:t>
      </w:r>
    </w:p>
    <w:p>
      <w:pPr>
        <w:pStyle w:val="BookText"/>
      </w:pPr>
      <w:r>
        <w:rPr>
          <w:rFonts w:ascii="IRNazanin" w:hAnsi="IRNazanin" w:eastAsia="IRNazanin" w:cs="IRNazanin"/>
          <w:lang w:bidi="fa-IR"/>
          <w:color w:val="111111"/>
          <w:sz w:val="28"/>
          <w:szCs w:val="28"/>
          <w:rtl/>
        </w:rPr>
        <w:t xml:space="preserve">۶۰۵. چالوس؛ امام صادق؛ شماره نسخه: ۶۱۴</w:t>
      </w:r>
    </w:p>
    <w:p>
      <w:pPr>
        <w:pStyle w:val="BookText"/>
      </w:pPr>
      <w:r>
        <w:rPr>
          <w:rFonts w:ascii="IRNazanin" w:hAnsi="IRNazanin" w:eastAsia="IRNazanin" w:cs="IRNazanin"/>
          <w:lang w:bidi="fa-IR"/>
          <w:color w:val="111111"/>
          <w:sz w:val="28"/>
          <w:szCs w:val="28"/>
          <w:rtl/>
        </w:rPr>
        <w:t xml:space="preserve">بی کا، بی تا، جلد: تيماج [ف: ۴۲]</w:t>
      </w:r>
    </w:p>
    <w:p>
      <w:pPr>
        <w:pStyle w:val="BookText"/>
      </w:pPr>
      <w:r>
        <w:rPr>
          <w:rFonts w:ascii="IRNazanin" w:hAnsi="IRNazanin" w:eastAsia="IRNazanin" w:cs="IRNazanin"/>
          <w:lang w:bidi="fa-IR"/>
          <w:color w:val="111111"/>
          <w:sz w:val="28"/>
          <w:szCs w:val="28"/>
          <w:rtl/>
        </w:rPr>
        <w:t xml:space="preserve">۶۰۶. چالوس؛ امام صادق؛ شماره نسخه: ۶۱۵</w:t>
      </w:r>
    </w:p>
    <w:p>
      <w:pPr>
        <w:pStyle w:val="BookText"/>
      </w:pPr>
      <w:r>
        <w:rPr>
          <w:rFonts w:ascii="IRNazanin" w:hAnsi="IRNazanin" w:eastAsia="IRNazanin" w:cs="IRNazanin"/>
          <w:lang w:bidi="fa-IR"/>
          <w:color w:val="111111"/>
          <w:sz w:val="28"/>
          <w:szCs w:val="28"/>
          <w:rtl/>
        </w:rPr>
        <w:t xml:space="preserve">بی کا، بی تا؛ جلد: تیماج [ف: ۴۲]</w:t>
      </w:r>
    </w:p>
    <w:p>
      <w:pPr>
        <w:pStyle w:val="BookText"/>
      </w:pPr>
      <w:r>
        <w:rPr>
          <w:rFonts w:ascii="IRNazanin" w:hAnsi="IRNazanin" w:eastAsia="IRNazanin" w:cs="IRNazanin"/>
          <w:lang w:bidi="fa-IR"/>
          <w:color w:val="111111"/>
          <w:sz w:val="28"/>
          <w:szCs w:val="28"/>
          <w:rtl/>
        </w:rPr>
        <w:t xml:space="preserve">۶۰۷. چالوس؛ امام صادق؛ شماره نسخه: ۶۱۶</w:t>
      </w:r>
    </w:p>
    <w:p>
      <w:pPr>
        <w:pStyle w:val="BookText"/>
      </w:pPr>
      <w:r>
        <w:rPr>
          <w:rFonts w:ascii="IRNazanin" w:hAnsi="IRNazanin" w:eastAsia="IRNazanin" w:cs="IRNazanin"/>
          <w:lang w:bidi="fa-IR"/>
          <w:color w:val="111111"/>
          <w:sz w:val="28"/>
          <w:szCs w:val="28"/>
          <w:rtl/>
        </w:rPr>
        <w:t xml:space="preserve">بی کا، بی تا؛ جلد: تيماج [ف: ۴۲]</w:t>
      </w:r>
    </w:p>
    <w:p>
      <w:pPr>
        <w:pStyle w:val="BookText"/>
      </w:pPr>
      <w:r>
        <w:rPr>
          <w:rFonts w:ascii="Amiri" w:hAnsi="Amiri" w:eastAsia="Amiri" w:cs="Amiri"/>
          <w:lang w:bidi="ar-SA"/>
          <w:color w:val="111111"/>
          <w:sz w:val="28"/>
          <w:szCs w:val="28"/>
          <w:rtl/>
        </w:rPr>
        <w:t xml:space="preserve">۶۰۸. قم، دار الحديث؛ شماره نسخه: ۲۴۰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مهدی بهاء الدین موسوی اصفهانی، بی تا؛ جلد: گالینگور، ۱۲۰گ، ۱۵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۱۳۸]</w:t>
      </w:r>
    </w:p>
    <w:p>
      <w:pPr>
        <w:pStyle w:val="BookText"/>
      </w:pPr>
      <w:r>
        <w:rPr>
          <w:rFonts w:ascii="IRNazanin" w:hAnsi="IRNazanin" w:eastAsia="IRNazanin" w:cs="IRNazanin"/>
          <w:lang w:bidi="fa-IR"/>
          <w:color w:val="111111"/>
          <w:sz w:val="28"/>
          <w:szCs w:val="28"/>
          <w:rtl/>
        </w:rPr>
        <w:t xml:space="preserve">۶۰۹. چالوس؛ امام صادق؛ شماره نسخه: ۶۱۱</w:t>
      </w:r>
    </w:p>
    <w:p>
      <w:pPr>
        <w:pStyle w:val="BookText"/>
      </w:pPr>
      <w:r>
        <w:rPr>
          <w:rFonts w:ascii="IRNazanin" w:hAnsi="IRNazanin" w:eastAsia="IRNazanin" w:cs="IRNazanin"/>
          <w:lang w:bidi="fa-IR"/>
          <w:color w:val="111111"/>
          <w:sz w:val="28"/>
          <w:szCs w:val="28"/>
          <w:rtl/>
        </w:rPr>
        <w:t xml:space="preserve">بی کا، بی تا؛ جلد: تيماج [ف: ۴۲]</w:t>
      </w:r>
    </w:p>
    <w:p>
      <w:pPr>
        <w:pStyle w:val="BookText"/>
      </w:pPr>
      <w:r>
        <w:rPr>
          <w:rFonts w:ascii="IRNazanin" w:hAnsi="IRNazanin" w:eastAsia="IRNazanin" w:cs="IRNazanin"/>
          <w:lang w:bidi="fa-IR"/>
          <w:color w:val="111111"/>
          <w:sz w:val="28"/>
          <w:szCs w:val="28"/>
          <w:rtl/>
        </w:rPr>
        <w:t xml:space="preserve">۶۱۰. چالوس؛ امام صادق، شماره نسخه: ۶۱۲</w:t>
      </w:r>
    </w:p>
    <w:p>
      <w:pPr>
        <w:pStyle w:val="BookText"/>
      </w:pPr>
      <w:r>
        <w:rPr>
          <w:rFonts w:ascii="IRNazanin" w:hAnsi="IRNazanin" w:eastAsia="IRNazanin" w:cs="IRNazanin"/>
          <w:lang w:bidi="fa-IR"/>
          <w:color w:val="111111"/>
          <w:sz w:val="28"/>
          <w:szCs w:val="28"/>
          <w:rtl/>
        </w:rPr>
        <w:t xml:space="preserve">بی کا، بی تا؛ جلد: تیماج [ف: ۴۲]</w:t>
      </w:r>
    </w:p>
    <w:p>
      <w:pPr>
        <w:pStyle w:val="BookText"/>
      </w:pPr>
      <w:r>
        <w:rPr>
          <w:rFonts w:ascii="IRNazanin" w:hAnsi="IRNazanin" w:eastAsia="IRNazanin" w:cs="IRNazanin"/>
          <w:lang w:bidi="fa-IR"/>
          <w:color w:val="111111"/>
          <w:sz w:val="28"/>
          <w:szCs w:val="28"/>
          <w:rtl/>
        </w:rPr>
        <w:t xml:space="preserve">۶۱۱. چالوس؛ امام صادق؛ شماره نسخه: ۶۲۴</w:t>
      </w:r>
    </w:p>
    <w:p>
      <w:pPr>
        <w:pStyle w:val="BookText"/>
      </w:pPr>
      <w:r>
        <w:rPr>
          <w:rFonts w:ascii="IRNazanin" w:hAnsi="IRNazanin" w:eastAsia="IRNazanin" w:cs="IRNazanin"/>
          <w:lang w:bidi="fa-IR"/>
          <w:color w:val="111111"/>
          <w:sz w:val="28"/>
          <w:szCs w:val="28"/>
          <w:rtl/>
        </w:rPr>
        <w:t xml:space="preserve">كان محمد قاسم بن هاشم خاری آدد کلائی من محال جلال از رک، بی تا؛ جلد: تيماج [ف: ۴۲]</w:t>
      </w:r>
    </w:p>
    <w:p>
      <w:pPr>
        <w:pStyle w:val="BookText"/>
      </w:pPr>
      <w:r>
        <w:rPr>
          <w:rFonts w:ascii="IRNazanin" w:hAnsi="IRNazanin" w:eastAsia="IRNazanin" w:cs="IRNazanin"/>
          <w:lang w:bidi="fa-IR"/>
          <w:color w:val="111111"/>
          <w:sz w:val="28"/>
          <w:szCs w:val="28"/>
          <w:rtl/>
        </w:rPr>
        <w:t xml:space="preserve">۶۱۲. چالوس؛ امام صادق؛ شماره نسخه: ۶۲۶</w:t>
      </w:r>
    </w:p>
    <w:p>
      <w:pPr>
        <w:pStyle w:val="BookText"/>
      </w:pPr>
      <w:r>
        <w:rPr>
          <w:rFonts w:ascii="IRNazanin" w:hAnsi="IRNazanin" w:eastAsia="IRNazanin" w:cs="IRNazanin"/>
          <w:lang w:bidi="fa-IR"/>
          <w:color w:val="111111"/>
          <w:sz w:val="28"/>
          <w:szCs w:val="28"/>
          <w:rtl/>
        </w:rPr>
        <w:t xml:space="preserve">بی کا، بی تا؛ جلد: تيماج [ف: ۴۲]</w:t>
      </w:r>
    </w:p>
    <w:p>
      <w:pPr>
        <w:pStyle w:val="BookText"/>
      </w:pPr>
      <w:r>
        <w:rPr>
          <w:rFonts w:ascii="IRNazanin" w:hAnsi="IRNazanin" w:eastAsia="IRNazanin" w:cs="IRNazanin"/>
          <w:lang w:bidi="fa-IR"/>
          <w:color w:val="111111"/>
          <w:sz w:val="28"/>
          <w:szCs w:val="28"/>
          <w:rtl/>
        </w:rPr>
        <w:t xml:space="preserve">۶۱۳. مشهد؛ مدرسه باقریه؛ شماره نسخه: ۲۸</w:t>
      </w:r>
    </w:p>
    <w:p>
      <w:pPr>
        <w:pStyle w:val="BookText"/>
      </w:pPr>
      <w:r>
        <w:rPr>
          <w:rFonts w:ascii="IRNazanin" w:hAnsi="IRNazanin" w:eastAsia="IRNazanin" w:cs="IRNazanin"/>
          <w:lang w:bidi="fa-IR"/>
          <w:color w:val="111111"/>
          <w:sz w:val="28"/>
          <w:szCs w:val="28"/>
          <w:rtl/>
        </w:rPr>
        <w:t xml:space="preserve">خط: نسخ، کا: محمد تقی ابن ملا محمد عامری فیروزآبادی،</w:t>
      </w:r>
    </w:p>
    <w:p>
      <w:pPr>
        <w:pStyle w:val="BookText"/>
      </w:pPr>
      <w:r>
        <w:rPr>
          <w:rFonts w:ascii="IRNazanin" w:hAnsi="IRNazanin" w:eastAsia="IRNazanin" w:cs="IRNazanin"/>
          <w:lang w:bidi="fa-IR"/>
          <w:color w:val="111111"/>
          <w:sz w:val="28"/>
          <w:szCs w:val="28"/>
          <w:rtl/>
        </w:rPr>
        <w:t xml:space="preserve">بی تا؛ کاغذ: فرنگی، ۱۶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۵/۵ )،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(تراثنا: س ش ۱-۷۸]</w:t>
      </w:r>
    </w:p>
    <w:p>
      <w:pPr>
        <w:pStyle w:val="BookText"/>
      </w:pPr>
      <w:r>
        <w:rPr>
          <w:rFonts w:ascii="IRNazanin" w:hAnsi="IRNazanin" w:eastAsia="IRNazanin" w:cs="IRNazanin"/>
          <w:lang w:bidi="fa-IR"/>
          <w:color w:val="111111"/>
          <w:sz w:val="28"/>
          <w:szCs w:val="28"/>
          <w:rtl/>
        </w:rPr>
        <w:t xml:space="preserve">۶۱۴. مشهد؛ مدرسه باقریه؛ شماره نسخه: ۲۹</w:t>
      </w:r>
    </w:p>
    <w:p>
      <w:pPr>
        <w:pStyle w:val="BookText"/>
      </w:pPr>
      <w:r>
        <w:rPr>
          <w:rFonts w:ascii="IRNazanin" w:hAnsi="IRNazanin" w:eastAsia="IRNazanin" w:cs="IRNazanin"/>
          <w:lang w:bidi="fa-IR"/>
          <w:color w:val="111111"/>
          <w:sz w:val="28"/>
          <w:szCs w:val="28"/>
          <w:rtl/>
        </w:rPr>
        <w:t xml:space="preserve">خط: نسخ، بی کا، بی تا؛ افتادگی: انجام؛ ۱۵ سطر [ تراثنا: س ش ۱-۷۸]</w:t>
      </w:r>
    </w:p>
    <w:p>
      <w:pPr>
        <w:pStyle w:val="BookText"/>
      </w:pPr>
      <w:r>
        <w:rPr>
          <w:rFonts w:ascii="IRNazanin" w:hAnsi="IRNazanin" w:eastAsia="IRNazanin" w:cs="IRNazanin"/>
          <w:lang w:bidi="fa-IR"/>
          <w:color w:val="111111"/>
          <w:sz w:val="28"/>
          <w:szCs w:val="28"/>
          <w:rtl/>
        </w:rPr>
        <w:t xml:space="preserve">۶۱۵. تهران؛ ملی؛ شماره نسخه: ۲۰۸۳۰</w:t>
      </w:r>
    </w:p>
    <w:p>
      <w:pPr>
        <w:pStyle w:val="BookText"/>
      </w:pPr>
      <w:r>
        <w:rPr>
          <w:rFonts w:ascii="IRNazanin" w:hAnsi="IRNazanin" w:eastAsia="IRNazanin" w:cs="IRNazanin"/>
          <w:lang w:bidi="fa-IR"/>
          <w:color w:val="111111"/>
          <w:sz w:val="28"/>
          <w:szCs w:val="28"/>
          <w:rtl/>
        </w:rPr>
        <w:t xml:space="preserve">بی کا، بی تا، خریداری از محمد حسن نخعی مازندرانی[رایانه ]</w:t>
      </w:r>
    </w:p>
    <w:p>
      <w:pPr>
        <w:pStyle w:val="BookText"/>
      </w:pPr>
      <w:r>
        <w:rPr>
          <w:rFonts w:ascii="IRNazanin" w:hAnsi="IRNazanin" w:eastAsia="IRNazanin" w:cs="IRNazanin"/>
          <w:lang w:bidi="fa-IR"/>
          <w:color w:val="111111"/>
          <w:sz w:val="28"/>
          <w:szCs w:val="28"/>
          <w:rtl/>
        </w:rPr>
        <w:t xml:space="preserve">۶۱۶. تهران؛ ملی؛ شماره نسخه: ۲۷۱۲۶</w:t>
      </w:r>
    </w:p>
    <w:p>
      <w:pPr>
        <w:pStyle w:val="BookText"/>
      </w:pPr>
      <w:r>
        <w:rPr>
          <w:rFonts w:ascii="IRNazanin" w:hAnsi="IRNazanin" w:eastAsia="IRNazanin" w:cs="IRNazanin"/>
          <w:lang w:bidi="fa-IR"/>
          <w:color w:val="111111"/>
          <w:sz w:val="28"/>
          <w:szCs w:val="28"/>
          <w:rtl/>
        </w:rPr>
        <w:t xml:space="preserve">بی کا، بی تا؛ خریداری از آزیتا نامجو[ رایانه]</w:t>
      </w:r>
    </w:p>
    <w:p>
      <w:pPr>
        <w:pStyle w:val="BookText"/>
      </w:pPr>
      <w:r>
        <w:rPr>
          <w:rFonts w:ascii="IRNazanin" w:hAnsi="IRNazanin" w:eastAsia="IRNazanin" w:cs="IRNazanin"/>
          <w:lang w:bidi="fa-IR"/>
          <w:color w:val="111111"/>
          <w:sz w:val="28"/>
          <w:szCs w:val="28"/>
          <w:rtl/>
        </w:rPr>
        <w:t xml:space="preserve">۶۱۷, چالوس؛ امام صادق؛ شماره نسخه: ۲۷۷/۱</w:t>
      </w:r>
    </w:p>
    <w:p>
      <w:pPr>
        <w:pStyle w:val="BookText"/>
      </w:pPr>
      <w:r>
        <w:rPr>
          <w:rFonts w:ascii="IRNazanin" w:hAnsi="IRNazanin" w:eastAsia="IRNazanin" w:cs="IRNazanin"/>
          <w:lang w:bidi="fa-IR"/>
          <w:color w:val="111111"/>
          <w:sz w:val="28"/>
          <w:szCs w:val="28"/>
          <w:rtl/>
        </w:rPr>
        <w:t xml:space="preserve">بی کا، بی تا؛ جلد: تیماج،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۲۰۰]</w:t>
      </w:r>
    </w:p>
    <w:p>
      <w:pPr>
        <w:pStyle w:val="BookText"/>
      </w:pPr>
      <w:r>
        <w:rPr>
          <w:rFonts w:ascii="IRNazanin" w:hAnsi="IRNazanin" w:eastAsia="IRNazanin" w:cs="IRNazanin"/>
          <w:lang w:bidi="fa-IR"/>
          <w:color w:val="111111"/>
          <w:sz w:val="28"/>
          <w:szCs w:val="28"/>
          <w:rtl/>
        </w:rPr>
        <w:t xml:space="preserve">۶۱۸. تهران؛ ملی؛ شماره نسخه: ۷۱۰۳</w:t>
      </w:r>
    </w:p>
    <w:p>
      <w:pPr>
        <w:pStyle w:val="BookText"/>
      </w:pPr>
      <w:r>
        <w:rPr>
          <w:rFonts w:ascii="Amiri" w:hAnsi="Amiri" w:eastAsia="Amiri" w:cs="Amiri"/>
          <w:lang w:bidi="ar-SA"/>
          <w:color w:val="111111"/>
          <w:sz w:val="28"/>
          <w:szCs w:val="28"/>
          <w:rtl/>
        </w:rPr>
        <w:t xml:space="preserve">آغاز: برابر؛ انجام: لبعضهم ان الوقف عليها با النون و هو الذي احيل اليه ...</w:t>
      </w:r>
    </w:p>
    <w:p>
      <w:pPr>
        <w:pStyle w:val="BookText"/>
      </w:pPr>
      <w:r>
        <w:rPr>
          <w:rFonts w:ascii="IRNazanin" w:hAnsi="IRNazanin" w:eastAsia="IRNazanin" w:cs="IRNazanin"/>
          <w:lang w:bidi="fa-IR"/>
          <w:color w:val="111111"/>
          <w:sz w:val="28"/>
          <w:szCs w:val="28"/>
          <w:rtl/>
        </w:rPr>
        <w:t xml:space="preserve">خط: نستعلیق شکسته، بی کا، بی تا، افتادگی: انجام؛ در انتهای این نسخه ۸ برگ از شرح شواهد البهجة المرضیه از نظام الدین بن احمد اردبیلی آمده: (انجام رساله دوم): «و این نیز نوعست از مبتداء سر بنا و نجم قد افناء فمن»؛ خریداری از صفر پور؛ کاغذ: فرنگی، فستقی الوان، ۱۱۳گ، ۱۵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[رایانه]</w:t>
      </w:r>
    </w:p>
    <w:p>
      <w:pPr>
        <w:pStyle w:val="BookText"/>
      </w:pPr>
      <w:r>
        <w:rPr>
          <w:rFonts w:ascii="IRNazanin" w:hAnsi="IRNazanin" w:eastAsia="IRNazanin" w:cs="IRNazanin"/>
          <w:lang w:bidi="fa-IR"/>
          <w:color w:val="111111"/>
          <w:sz w:val="28"/>
          <w:szCs w:val="28"/>
          <w:rtl/>
        </w:rPr>
        <w:t xml:space="preserve">۶۱۹. تهران؛ ملی؛ شماره نسخه: ۴۸۵۵</w:t>
      </w:r>
    </w:p>
    <w:p>
      <w:pPr>
        <w:pStyle w:val="BookText"/>
      </w:pPr>
      <w:r>
        <w:rPr>
          <w:rFonts w:ascii="IRNazanin" w:hAnsi="IRNazanin" w:eastAsia="IRNazanin" w:cs="IRNazanin"/>
          <w:lang w:bidi="fa-IR"/>
          <w:color w:val="111111"/>
          <w:sz w:val="28"/>
          <w:szCs w:val="28"/>
          <w:rtl/>
        </w:rPr>
        <w:t xml:space="preserve">آغاز: أنه خير معين. قال الناظم. بسمله، قال محمد هو ... احمد ربی الله خير مالک ای اصفه بالجميل تعظيما له و اداء لبعض ما يجب اله؛ انجام: اذا كان افعل مفضلا به کون في الحال ای کون في الحال ... مفردا انفع من عمر و معا.</w:t>
      </w:r>
    </w:p>
    <w:p>
      <w:pPr>
        <w:pStyle w:val="BookText"/>
      </w:pPr>
      <w:r>
        <w:rPr>
          <w:rFonts w:ascii="IRNazanin" w:hAnsi="IRNazanin" w:eastAsia="IRNazanin" w:cs="IRNazanin"/>
          <w:lang w:bidi="fa-IR"/>
          <w:color w:val="111111"/>
          <w:sz w:val="28"/>
          <w:szCs w:val="28"/>
          <w:rtl/>
        </w:rPr>
        <w:t xml:space="preserve">تا اوایل باب الحال؛ خط: نسخ و نستعلیق، بی کا، بی تا، افتادگی: آغاز و انجام کاغذ: فرنگی نخودی، جلد: تیماج مشکی یک لایی ضربی مجدول میان جداول با بوته های ریسه ای، ۷۶گ (1 -۷۶پ)، ۱۱-۱۵ سطر (۷/۵-۱۵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۸-۱۶)،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(رایانه)</w:t>
      </w:r>
    </w:p>
    <w:p>
      <w:pPr>
        <w:pStyle w:val="BookText"/>
      </w:pPr>
      <w:r>
        <w:rPr>
          <w:rFonts w:ascii="IRNazanin" w:hAnsi="IRNazanin" w:eastAsia="IRNazanin" w:cs="IRNazanin"/>
          <w:lang w:bidi="fa-IR"/>
          <w:color w:val="111111"/>
          <w:sz w:val="28"/>
          <w:szCs w:val="28"/>
          <w:rtl/>
        </w:rPr>
        <w:t xml:space="preserve">۶۲۰. تهران؛ ملی؛ شماره نسخه: ۲۵۸۱۵</w:t>
      </w:r>
    </w:p>
    <w:p>
      <w:pPr>
        <w:pStyle w:val="BookText"/>
      </w:pPr>
      <w:r>
        <w:rPr>
          <w:rFonts w:ascii="IRNazanin" w:hAnsi="IRNazanin" w:eastAsia="IRNazanin" w:cs="IRNazanin"/>
          <w:lang w:bidi="fa-IR"/>
          <w:color w:val="111111"/>
          <w:sz w:val="28"/>
          <w:szCs w:val="28"/>
          <w:rtl/>
        </w:rPr>
        <w:t xml:space="preserve">بی کا، بی تا؛ خریداری از حوزه علمیه ولی عصر کرمان[ رایانه ]</w:t>
      </w:r>
    </w:p>
    <w:p>
      <w:pPr>
        <w:pStyle w:val="BookText"/>
      </w:pPr>
      <w:r>
        <w:rPr>
          <w:rFonts w:ascii="IRNazanin" w:hAnsi="IRNazanin" w:eastAsia="IRNazanin" w:cs="IRNazanin"/>
          <w:lang w:bidi="fa-IR"/>
          <w:color w:val="111111"/>
          <w:sz w:val="28"/>
          <w:szCs w:val="28"/>
          <w:rtl/>
        </w:rPr>
        <w:t xml:space="preserve">۶۲۱. تهران: ملی؛ شماره نسخه: ۲۵۹۴۵</w:t>
      </w:r>
    </w:p>
    <w:p>
      <w:pPr>
        <w:pStyle w:val="BookText"/>
      </w:pPr>
      <w:r>
        <w:rPr>
          <w:rFonts w:ascii="IRNazanin" w:hAnsi="IRNazanin" w:eastAsia="IRNazanin" w:cs="IRNazanin"/>
          <w:lang w:bidi="fa-IR"/>
          <w:color w:val="111111"/>
          <w:sz w:val="28"/>
          <w:szCs w:val="28"/>
          <w:rtl/>
        </w:rPr>
        <w:t xml:space="preserve">بی کا، بی تا؛ خریداری از حوزه علمیه ولی عصر کرمان [رایانه ]</w:t>
      </w:r>
    </w:p>
    <w:p>
      <w:pPr>
        <w:pStyle w:val="BookText"/>
      </w:pPr>
      <w:r>
        <w:rPr>
          <w:rFonts w:ascii="IRNazanin" w:hAnsi="IRNazanin" w:eastAsia="IRNazanin" w:cs="IRNazanin"/>
          <w:lang w:bidi="fa-IR"/>
          <w:color w:val="111111"/>
          <w:sz w:val="28"/>
          <w:szCs w:val="28"/>
          <w:rtl/>
        </w:rPr>
        <w:t xml:space="preserve">۶۲۲. تهران؛ ملی؛ شماره نسخه: ۲۵۹۴۹</w:t>
      </w:r>
    </w:p>
    <w:p>
      <w:pPr>
        <w:pStyle w:val="BookText"/>
      </w:pPr>
      <w:r>
        <w:rPr>
          <w:rFonts w:ascii="IRNazanin" w:hAnsi="IRNazanin" w:eastAsia="IRNazanin" w:cs="IRNazanin"/>
          <w:lang w:bidi="fa-IR"/>
          <w:color w:val="111111"/>
          <w:sz w:val="28"/>
          <w:szCs w:val="28"/>
          <w:rtl/>
        </w:rPr>
        <w:t xml:space="preserve">بی کا، بی تا، خریداری از حوزه علمیه ولی عصر کرمان [رایانه ]</w:t>
      </w:r>
    </w:p>
    <w:p>
      <w:pPr>
        <w:pStyle w:val="BookText"/>
      </w:pPr>
      <w:r>
        <w:rPr>
          <w:rFonts w:ascii="IRNazanin" w:hAnsi="IRNazanin" w:eastAsia="IRNazanin" w:cs="IRNazanin"/>
          <w:lang w:bidi="fa-IR"/>
          <w:color w:val="111111"/>
          <w:sz w:val="28"/>
          <w:szCs w:val="28"/>
          <w:rtl/>
        </w:rPr>
        <w:t xml:space="preserve">۶۲۳. تهران؛ ملی؛ شماره نسخه: ۱۹۶۷۹</w:t>
      </w:r>
    </w:p>
    <w:p>
      <w:pPr>
        <w:pStyle w:val="BookText"/>
      </w:pPr>
      <w:r>
        <w:rPr>
          <w:rFonts w:ascii="IRNazanin" w:hAnsi="IRNazanin" w:eastAsia="IRNazanin" w:cs="IRNazanin"/>
          <w:lang w:bidi="fa-IR"/>
          <w:color w:val="111111"/>
          <w:sz w:val="28"/>
          <w:szCs w:val="28"/>
          <w:rtl/>
        </w:rPr>
        <w:t xml:space="preserve">كا: ابن شمس الدین، بی تا، خریداری از محمد حسین علوی [رایانه ]</w:t>
      </w:r>
    </w:p>
    <w:p>
      <w:pPr>
        <w:pStyle w:val="BookText"/>
      </w:pPr>
      <w:r>
        <w:rPr>
          <w:rFonts w:ascii="IRNazanin" w:hAnsi="IRNazanin" w:eastAsia="IRNazanin" w:cs="IRNazanin"/>
          <w:lang w:bidi="fa-IR"/>
          <w:color w:val="111111"/>
          <w:sz w:val="28"/>
          <w:szCs w:val="28"/>
          <w:rtl/>
        </w:rPr>
        <w:t xml:space="preserve">۶۲۴. تهران: ملی؛ شماره نسخه: ۶۸۲۱</w:t>
      </w:r>
    </w:p>
    <w:p>
      <w:pPr>
        <w:pStyle w:val="BookText"/>
      </w:pPr>
      <w:r>
        <w:rPr>
          <w:rFonts w:ascii="IRNazanin" w:hAnsi="IRNazanin" w:eastAsia="IRNazanin" w:cs="IRNazanin"/>
          <w:lang w:bidi="fa-IR"/>
          <w:color w:val="111111"/>
          <w:sz w:val="28"/>
          <w:szCs w:val="28"/>
          <w:rtl/>
        </w:rPr>
        <w:t xml:space="preserve">آغاز: برابر؛ انجام: و في جزم ای مجزوم من المضارع و شبه الجزم و هو الامر تخير بين الفلك و الادغام ..</w:t>
      </w:r>
    </w:p>
    <w:p>
      <w:pPr>
        <w:pStyle w:val="BookText"/>
      </w:pPr>
      <w:r>
        <w:rPr>
          <w:rFonts w:ascii="IRNazanin" w:hAnsi="IRNazanin" w:eastAsia="IRNazanin" w:cs="IRNazanin"/>
          <w:lang w:bidi="fa-IR"/>
          <w:color w:val="111111"/>
          <w:sz w:val="28"/>
          <w:szCs w:val="28"/>
          <w:rtl/>
        </w:rPr>
        <w:t xml:space="preserve">خط: نسخ، بی کا، بی تا؛ افتادگی: انجام؛ مصحح، محشی؛ کاغذ: فرنگی نخودی، جلد: مقوایی با روکش کاغذی قهوه ای، عطف و سجاف تیماج زرشکی، ۱۳۰، ۱۸ و ۱۹سطر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[رایانه]</w:t>
      </w:r>
    </w:p>
    <w:p>
      <w:pPr>
        <w:pStyle w:val="BookText"/>
      </w:pPr>
      <w:r>
        <w:rPr>
          <w:rFonts w:ascii="IRNazanin" w:hAnsi="IRNazanin" w:eastAsia="IRNazanin" w:cs="IRNazanin"/>
          <w:lang w:bidi="fa-IR"/>
          <w:color w:val="111111"/>
          <w:sz w:val="28"/>
          <w:szCs w:val="28"/>
          <w:rtl/>
        </w:rPr>
        <w:t xml:space="preserve">۶۲۵. تهران؛ ملی؛ شماره نسخه: ۲۶۲۶۲</w:t>
      </w:r>
    </w:p>
    <w:p>
      <w:pPr>
        <w:pStyle w:val="BookText"/>
      </w:pPr>
      <w:r>
        <w:rPr>
          <w:rFonts w:ascii="IRNazanin" w:hAnsi="IRNazanin" w:eastAsia="IRNazanin" w:cs="IRNazanin"/>
          <w:lang w:bidi="fa-IR"/>
          <w:color w:val="111111"/>
          <w:sz w:val="28"/>
          <w:szCs w:val="28"/>
          <w:rtl/>
        </w:rPr>
        <w:t xml:space="preserve">بی کا، بی تا؛ مجموعه آقا رفيع قزوینی استاد اخلاق و فلسفه امام خمینی؛ خریداری از منصوره تالهی معین الدین [رایانه ]</w:t>
      </w:r>
    </w:p>
    <w:p>
      <w:pPr>
        <w:pStyle w:val="BookText"/>
      </w:pPr>
      <w:r>
        <w:rPr>
          <w:rFonts w:ascii="IRNazanin" w:hAnsi="IRNazanin" w:eastAsia="IRNazanin" w:cs="IRNazanin"/>
          <w:lang w:bidi="fa-IR"/>
          <w:color w:val="111111"/>
          <w:sz w:val="28"/>
          <w:szCs w:val="28"/>
          <w:rtl/>
        </w:rPr>
        <w:t xml:space="preserve">۶۲۶. تهران؛ ملی؛ شماره نسخه: ۲۵۶۹۲</w:t>
      </w:r>
    </w:p>
    <w:p>
      <w:pPr>
        <w:pStyle w:val="BookText"/>
      </w:pPr>
      <w:r>
        <w:rPr>
          <w:rFonts w:ascii="IRNazanin" w:hAnsi="IRNazanin" w:eastAsia="IRNazanin" w:cs="IRNazanin"/>
          <w:lang w:bidi="fa-IR"/>
          <w:color w:val="111111"/>
          <w:sz w:val="28"/>
          <w:szCs w:val="28"/>
          <w:rtl/>
        </w:rPr>
        <w:t xml:space="preserve">بی کا، بی تا؛ خریداری از توحید صفر پورقادی [رایانه ]</w:t>
      </w:r>
    </w:p>
    <w:p>
      <w:pPr>
        <w:pStyle w:val="BookText"/>
      </w:pPr>
      <w:r>
        <w:rPr>
          <w:rFonts w:ascii="IRNazanin" w:hAnsi="IRNazanin" w:eastAsia="IRNazanin" w:cs="IRNazanin"/>
          <w:lang w:bidi="fa-IR"/>
          <w:color w:val="111111"/>
          <w:sz w:val="28"/>
          <w:szCs w:val="28"/>
          <w:rtl/>
        </w:rPr>
        <w:t xml:space="preserve">۶۲۷. تهران: ملی؛ شماره نسخه: ۶۰۶۷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شکسته، بی کا، بی تا؛ مصحح، محشی با نشانهای خالد، تصریح، عقیل، ابن الناظم، شمنی، جرجانی، شواهد، حاشیه، جامی، مغنی» و جز آن، یادداشت ها و فوائد و اشعاری با عنوان «مخاطبا للنفس لمحرره»؛ مهر: «... الله الغني عبده حسنعلی» (بیضوی)، «.. صاحب طاهر على» (خشتی)؛ کاغذ: فرنگی نخودی، جلد: تیماج قهوه ای مقوایی ضربی دارای ترنج و سرترنج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31" w:name="pg20363_209354"/>
    <w:bookmarkEnd w:id="131"/>
    <w:p>
      <w:pPr>
        <w:pStyle w:val="BookText"/>
      </w:pPr>
      <w:r>
        <w:rPr>
          <w:rFonts w:ascii="IRNazanin" w:hAnsi="IRNazanin" w:eastAsia="IRNazanin" w:cs="IRNazanin"/>
          <w:lang w:bidi="fa-IR"/>
          <w:color w:val="111111"/>
          <w:sz w:val="28"/>
          <w:szCs w:val="28"/>
          <w:rtl/>
        </w:rPr>
        <w:t xml:space="preserve">با نقش گل و بوته و جداول حاشیه ای با بوته های ریسه ای، ۱۳۶، ۱۴ و ۱۵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و ۷۶۱)،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[رایانه ]</w:t>
      </w:r>
    </w:p>
    <w:p>
      <w:pPr>
        <w:pStyle w:val="BookText"/>
      </w:pPr>
      <w:r>
        <w:rPr>
          <w:rFonts w:ascii="IRNazanin" w:hAnsi="IRNazanin" w:eastAsia="IRNazanin" w:cs="IRNazanin"/>
          <w:lang w:bidi="fa-IR"/>
          <w:color w:val="111111"/>
          <w:sz w:val="28"/>
          <w:szCs w:val="28"/>
          <w:rtl/>
        </w:rPr>
        <w:t xml:space="preserve">۶۲۸. تهران؛ ملی؛ شماره نسخه: ۱۷۲۱۳</w:t>
      </w:r>
    </w:p>
    <w:p>
      <w:pPr>
        <w:pStyle w:val="BookText"/>
      </w:pPr>
      <w:r>
        <w:rPr>
          <w:rFonts w:ascii="IRNazanin" w:hAnsi="IRNazanin" w:eastAsia="IRNazanin" w:cs="IRNazanin"/>
          <w:lang w:bidi="fa-IR"/>
          <w:color w:val="111111"/>
          <w:sz w:val="28"/>
          <w:szCs w:val="28"/>
          <w:rtl/>
        </w:rPr>
        <w:t xml:space="preserve">بی کا، بی تا، خریداری از علیرضا طاهری یزدی [رایانه]</w:t>
      </w:r>
    </w:p>
    <w:p>
      <w:pPr>
        <w:pStyle w:val="BookText"/>
      </w:pPr>
      <w:r>
        <w:rPr>
          <w:rFonts w:ascii="IRNazanin" w:hAnsi="IRNazanin" w:eastAsia="IRNazanin" w:cs="IRNazanin"/>
          <w:lang w:bidi="fa-IR"/>
          <w:color w:val="111111"/>
          <w:sz w:val="28"/>
          <w:szCs w:val="28"/>
          <w:rtl/>
        </w:rPr>
        <w:t xml:space="preserve">۶۲۹. تهران؛ ملی؛ شماره نسخه: ۲۰۸۲۴</w:t>
      </w:r>
    </w:p>
    <w:p>
      <w:pPr>
        <w:pStyle w:val="BookText"/>
      </w:pPr>
      <w:r>
        <w:rPr>
          <w:rFonts w:ascii="IRNazanin" w:hAnsi="IRNazanin" w:eastAsia="IRNazanin" w:cs="IRNazanin"/>
          <w:lang w:bidi="fa-IR"/>
          <w:color w:val="111111"/>
          <w:sz w:val="28"/>
          <w:szCs w:val="28"/>
          <w:rtl/>
        </w:rPr>
        <w:t xml:space="preserve">بی کا، بی تا، خریداری از هادی معرفت [رایانه]</w:t>
      </w:r>
    </w:p>
    <w:p>
      <w:pPr>
        <w:pStyle w:val="BookText"/>
      </w:pPr>
      <w:r>
        <w:rPr>
          <w:rFonts w:ascii="IRNazanin" w:hAnsi="IRNazanin" w:eastAsia="IRNazanin" w:cs="IRNazanin"/>
          <w:lang w:bidi="fa-IR"/>
          <w:color w:val="111111"/>
          <w:sz w:val="28"/>
          <w:szCs w:val="28"/>
          <w:rtl/>
        </w:rPr>
        <w:t xml:space="preserve">۶۳۰. چالوس؛ امام صادق؛ شماره نسخه: ۵۹۸/۲</w:t>
      </w:r>
    </w:p>
    <w:p>
      <w:pPr>
        <w:pStyle w:val="BookText"/>
      </w:pPr>
      <w:r>
        <w:rPr>
          <w:rFonts w:ascii="IRNazanin" w:hAnsi="IRNazanin" w:eastAsia="IRNazanin" w:cs="IRNazanin"/>
          <w:lang w:bidi="fa-IR"/>
          <w:color w:val="111111"/>
          <w:sz w:val="28"/>
          <w:szCs w:val="28"/>
          <w:rtl/>
        </w:rPr>
        <w:t xml:space="preserve">خط: نسخ، بی کا، بی تا؛ محشی؛ جلد: تیماج سیاه،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۳۱۹]</w:t>
      </w:r>
    </w:p>
    <w:p>
      <w:pPr>
        <w:pStyle w:val="Heading3"/>
      </w:pPr>
      <w:bookmarkStart w:id="1127" w:name="_Toc387"/>
      <w:r>
        <w:t>• البهجة المرضية في شرح الألفية = سیوطی(ترجمه) / نحو / فارسی</w:t>
      </w:r>
      <w:bookmarkEnd w:id="1127"/>
    </w:p>
    <w:p>
      <w:pPr>
        <w:pStyle w:val="BookText"/>
      </w:pPr>
      <w:r>
        <w:rPr>
          <w:rFonts w:ascii="Times New Roman" w:hAnsi="Times New Roman" w:eastAsia="Times New Roman" w:cs="Times New Roman"/>
          <w:lang w:val="en-US" w:bidi="en-US"/>
          <w:color w:val="111111"/>
          <w:sz w:val="28"/>
          <w:szCs w:val="28"/>
          <w:rtl/>
        </w:rPr>
        <w:t xml:space="preserve">al-bahjat-ul mardiyya fi S.-il alfiya = suyuti (t.)</w:t>
      </w:r>
    </w:p>
    <w:p>
      <w:pPr>
        <w:pStyle w:val="BookText"/>
      </w:pPr>
      <w:r>
        <w:rPr>
          <w:rFonts w:ascii="IRNazanin" w:hAnsi="IRNazanin" w:eastAsia="IRNazanin" w:cs="IRNazanin"/>
          <w:lang w:bidi="fa-IR"/>
          <w:color w:val="111111"/>
          <w:sz w:val="28"/>
          <w:szCs w:val="28"/>
          <w:rtl/>
        </w:rPr>
        <w:t xml:space="preserve">وابسته به: البهجة المرضية في شرح الألفية = شرح الفية ابن مالک = شرح الخلاصة في النحو؛ سیوطی، عبدالرحمن بن ابی بكر (۸۴۹-۹۱۱)</w:t>
      </w:r>
    </w:p>
    <w:p>
      <w:pPr>
        <w:pStyle w:val="BookText"/>
      </w:pPr>
      <w:r>
        <w:rPr>
          <w:rFonts w:ascii="IRNazanin" w:hAnsi="IRNazanin" w:eastAsia="IRNazanin" w:cs="IRNazanin"/>
          <w:lang w:bidi="fa-IR"/>
          <w:color w:val="111111"/>
          <w:sz w:val="28"/>
          <w:szCs w:val="28"/>
          <w:rtl/>
        </w:rPr>
        <w:t xml:space="preserve">ترجمه ای است تحت اللفظی بر «البهجة المرضية» جلال الدين سیوطی</w:t>
      </w:r>
    </w:p>
    <w:p>
      <w:pPr>
        <w:pStyle w:val="BookText"/>
      </w:pPr>
      <w:r>
        <w:rPr>
          <w:rFonts w:ascii="IRNazanin" w:hAnsi="IRNazanin" w:eastAsia="IRNazanin" w:cs="IRNazanin"/>
          <w:lang w:bidi="fa-IR"/>
          <w:color w:val="111111"/>
          <w:sz w:val="28"/>
          <w:szCs w:val="28"/>
          <w:rtl/>
        </w:rPr>
        <w:t xml:space="preserve">قم، ارگانی بهبهانی؛ شماره نسخه: ۱۴/۱</w:t>
      </w:r>
    </w:p>
    <w:p>
      <w:pPr>
        <w:pStyle w:val="BookText"/>
      </w:pPr>
      <w:r>
        <w:rPr>
          <w:rFonts w:ascii="IRNazanin" w:hAnsi="IRNazanin" w:eastAsia="IRNazanin" w:cs="IRNazanin"/>
          <w:lang w:bidi="fa-IR"/>
          <w:color w:val="111111"/>
          <w:sz w:val="28"/>
          <w:szCs w:val="28"/>
          <w:rtl/>
        </w:rPr>
        <w:t xml:space="preserve">آغاز: أحمد اللهم على نعمك و آلائك و أصلى و أسلم على محمد خاتم أنبيائك ... چونکه در حدیث نبوی وارد شده است؛ انجام: بكت عيني اليسرى فلما زجرتها.. یعنی گریست چشم چپ من زمانی که زجر دادم من آن چشم را از جهل.</w:t>
      </w:r>
    </w:p>
    <w:p>
      <w:pPr>
        <w:pStyle w:val="BookText"/>
      </w:pPr>
      <w:r>
        <w:rPr>
          <w:rFonts w:ascii="IRNazanin" w:hAnsi="IRNazanin" w:eastAsia="IRNazanin" w:cs="IRNazanin"/>
          <w:lang w:bidi="fa-IR"/>
          <w:color w:val="111111"/>
          <w:sz w:val="28"/>
          <w:szCs w:val="28"/>
          <w:rtl/>
        </w:rPr>
        <w:t xml:space="preserve">خط: نسخ مغلوط، بی کا، تا: قرن ۱۳؛ افتادگی: انجام؛ جلد: تیماج قهوه ای،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 [ف: ۳۸]</w:t>
      </w:r>
    </w:p>
    <w:p>
      <w:pPr>
        <w:pStyle w:val="Heading3"/>
      </w:pPr>
      <w:bookmarkStart w:id="1128" w:name="_Toc388"/>
      <w:r>
        <w:t>• البهجة المرضية في شرح الألفية = سیوطی (ترجمه) / نحو / فارسی</w:t>
      </w:r>
      <w:bookmarkEnd w:id="1128"/>
    </w:p>
    <w:p>
      <w:pPr>
        <w:pStyle w:val="BookText"/>
      </w:pPr>
      <w:r>
        <w:rPr>
          <w:rFonts w:ascii="Times New Roman" w:hAnsi="Times New Roman" w:eastAsia="Times New Roman" w:cs="Times New Roman"/>
          <w:lang w:val="en-US" w:bidi="en-US"/>
          <w:color w:val="111111"/>
          <w:sz w:val="28"/>
          <w:szCs w:val="28"/>
          <w:rtl/>
        </w:rPr>
        <w:t xml:space="preserve">al-bahjat-ul mardīyya fī š.-il alfiya=suyūtī (t.)</w:t>
      </w:r>
    </w:p>
    <w:p>
      <w:pPr>
        <w:pStyle w:val="BookText"/>
      </w:pPr>
      <w:r>
        <w:rPr>
          <w:rFonts w:ascii="IRNazanin" w:hAnsi="IRNazanin" w:eastAsia="IRNazanin" w:cs="IRNazanin"/>
          <w:lang w:bidi="fa-IR"/>
          <w:color w:val="111111"/>
          <w:sz w:val="28"/>
          <w:szCs w:val="28"/>
          <w:rtl/>
        </w:rPr>
        <w:t xml:space="preserve">وابسته به: البهجة المرضية في شرح الألفية = شرح الفية ابن مالك = شرح الخلاصة في النحو؛ سیوطی، عبدالرحمن بن ابی بکر (۹۱۱-۸۴۹)</w:t>
      </w:r>
    </w:p>
    <w:p>
      <w:pPr>
        <w:pStyle w:val="BookText"/>
      </w:pPr>
      <w:r>
        <w:rPr>
          <w:rFonts w:ascii="IRNazanin" w:hAnsi="IRNazanin" w:eastAsia="IRNazanin" w:cs="IRNazanin"/>
          <w:lang w:bidi="fa-IR"/>
          <w:color w:val="111111"/>
          <w:sz w:val="28"/>
          <w:szCs w:val="28"/>
          <w:rtl/>
        </w:rPr>
        <w:t xml:space="preserve">مشهد؛ رضوی؛ شماره نسخه: ۱۵۵۶۹/۶</w:t>
      </w:r>
    </w:p>
    <w:p>
      <w:pPr>
        <w:pStyle w:val="BookText"/>
      </w:pPr>
      <w:r>
        <w:rPr>
          <w:rFonts w:ascii="IRNazanin" w:hAnsi="IRNazanin" w:eastAsia="IRNazanin" w:cs="IRNazanin"/>
          <w:lang w:bidi="fa-IR"/>
          <w:color w:val="111111"/>
          <w:sz w:val="28"/>
          <w:szCs w:val="28"/>
          <w:rtl/>
        </w:rPr>
        <w:t xml:space="preserve">آغاز: بسمله احمد اللهم على نعمك والائک ... یعنی حمد میکنم من تو را بار پروردگارا بر نعمت های ظاهری دنیوی تو و بر نعمت های باطنی اخروی تو؛ انجام: از جمله جاهائیکه حذف خبر واجب است در وقتیکه واقع بشود بعد از واو بتحقيق معین بکند.</w:t>
      </w:r>
    </w:p>
    <w:p>
      <w:pPr>
        <w:pStyle w:val="BookText"/>
      </w:pPr>
      <w:r>
        <w:rPr>
          <w:rFonts w:ascii="IRNazanin" w:hAnsi="IRNazanin" w:eastAsia="IRNazanin" w:cs="IRNazanin"/>
          <w:lang w:bidi="fa-IR"/>
          <w:color w:val="111111"/>
          <w:sz w:val="28"/>
          <w:szCs w:val="28"/>
          <w:rtl/>
        </w:rPr>
        <w:t xml:space="preserve">خط: نستعلیق شکسته، کا: ملا عبدالكريم بن ملا على محمد قزوینی، تا: ۱۳۱۴ق؛ افتادگی: انجام کاغذ: حنایی فرنگی، جلد: مقوا، ۲۹گ (۱۱۸-۱۴۶)، اندازه: ۲۱/۷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۱۲-۴۱۸]</w:t>
      </w:r>
    </w:p>
    <w:p>
      <w:pPr>
        <w:pStyle w:val="Heading3"/>
      </w:pPr>
      <w:bookmarkStart w:id="1129" w:name="_Toc389"/>
      <w:r>
        <w:t>• بهجة المؤمنین / کلام و اعتقادات / فارسی</w:t>
      </w:r>
      <w:bookmarkEnd w:id="1129"/>
    </w:p>
    <w:p>
      <w:pPr>
        <w:pStyle w:val="BookText"/>
      </w:pPr>
      <w:r>
        <w:rPr>
          <w:rFonts w:ascii="Times New Roman" w:hAnsi="Times New Roman" w:eastAsia="Times New Roman" w:cs="Times New Roman"/>
          <w:lang w:val="en-US" w:bidi="en-US"/>
          <w:color w:val="111111"/>
          <w:sz w:val="28"/>
          <w:szCs w:val="28"/>
          <w:rtl/>
        </w:rPr>
        <w:t xml:space="preserve">bahjat-ol mo'menīn</w:t>
      </w:r>
    </w:p>
    <w:p>
      <w:pPr>
        <w:pStyle w:val="BookText"/>
      </w:pPr>
      <w:r>
        <w:rPr>
          <w:rFonts w:ascii="IRNazanin" w:hAnsi="IRNazanin" w:eastAsia="IRNazanin" w:cs="IRNazanin"/>
          <w:lang w:bidi="fa-IR"/>
          <w:color w:val="111111"/>
          <w:sz w:val="28"/>
          <w:szCs w:val="28"/>
          <w:rtl/>
        </w:rPr>
        <w:t xml:space="preserve">سيف الله بن کربلائی حاجی آقا</w:t>
      </w:r>
    </w:p>
    <w:p>
      <w:pPr>
        <w:pStyle w:val="BookText"/>
      </w:pPr>
      <w:r>
        <w:rPr>
          <w:rFonts w:ascii="Times New Roman" w:hAnsi="Times New Roman" w:eastAsia="Times New Roman" w:cs="Times New Roman"/>
          <w:lang w:val="en-US" w:bidi="en-US"/>
          <w:color w:val="111111"/>
          <w:sz w:val="28"/>
          <w:szCs w:val="28"/>
          <w:rtl/>
        </w:rPr>
        <w:t xml:space="preserve">sayf-ol-lāh ebn-e karbalais hājī āgā</w:t>
      </w:r>
    </w:p>
    <w:p>
      <w:pPr>
        <w:pStyle w:val="BookText"/>
      </w:pPr>
      <w:r>
        <w:rPr>
          <w:rFonts w:ascii="IRNazanin" w:hAnsi="IRNazanin" w:eastAsia="IRNazanin" w:cs="IRNazanin"/>
          <w:lang w:bidi="fa-IR"/>
          <w:color w:val="111111"/>
          <w:sz w:val="28"/>
          <w:szCs w:val="28"/>
          <w:rtl/>
        </w:rPr>
        <w:t xml:space="preserve">کتاب مشتمل بر پنج «باب» است: 1. وصف پیغمبر و آفرینش نور آن بزرگوار و ...؛ ۲. شناختن نفس و آنچه برای تربیت او لازم است؛ ۳. بیان علم و عمل به آن؛ ۴. آداب نماز و اطاعت؛ ۵. ذکر علامت های آخر زمانه و قيامت. مؤلف درباره هر یک از موضوعات از آیات و روایات سود برده و ترجمه روایات و آیات را با نثری ادبی و روان برگزار کرده است.</w:t>
      </w:r>
    </w:p>
    <w:p>
      <w:pPr>
        <w:pStyle w:val="BookText"/>
      </w:pPr>
      <w:r>
        <w:rPr>
          <w:rFonts w:ascii="IRNazanin" w:hAnsi="IRNazanin" w:eastAsia="IRNazanin" w:cs="IRNazanin"/>
          <w:lang w:bidi="fa-IR"/>
          <w:color w:val="111111"/>
          <w:sz w:val="28"/>
          <w:szCs w:val="28"/>
          <w:rtl/>
        </w:rPr>
        <w:t xml:space="preserve">قم: مرکز مطالعات؛ شماره نسخه: ۵۲۹</w:t>
      </w:r>
    </w:p>
    <w:p>
      <w:pPr>
        <w:pStyle w:val="BookText"/>
      </w:pPr>
      <w:r>
        <w:rPr>
          <w:rFonts w:ascii="IRNazanin" w:hAnsi="IRNazanin" w:eastAsia="IRNazanin" w:cs="IRNazanin"/>
          <w:lang w:bidi="fa-IR"/>
          <w:color w:val="111111"/>
          <w:sz w:val="28"/>
          <w:szCs w:val="28"/>
          <w:rtl/>
        </w:rPr>
        <w:t xml:space="preserve">آغاز: الحمدلله الذي من علينا بكرامته و اصطفينا لدينه و أمانته و احمده على آلائه؛ انجام: اما اهل بهشت در تنعم و ناز و نعمت و حور غلمان جاویدان باشند جهت پنج روز زحمت عبادت و بچنان فيض بی نهایت فایز</w:t>
      </w:r>
    </w:p>
    <w:p>
      <w:pPr>
        <w:pStyle w:val="BookText"/>
      </w:pPr>
      <w:r>
        <w:rPr>
          <w:rFonts w:ascii="IRNazanin" w:hAnsi="IRNazanin" w:eastAsia="IRNazanin" w:cs="IRNazanin"/>
          <w:lang w:bidi="fa-IR"/>
          <w:color w:val="111111"/>
          <w:sz w:val="28"/>
          <w:szCs w:val="28"/>
          <w:rtl/>
        </w:rPr>
        <w:t xml:space="preserve">خط: نستعلیق، بی کا، بی تا؛ افتادگی: انجام؛ جلد: تیماج قهوه ای ضربی با ترنج با سر، مجدول، ۱۳۷، ۱۷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۱-۴۵۴]</w:t>
      </w:r>
    </w:p>
    <w:p>
      <w:pPr>
        <w:pStyle w:val="Heading3"/>
      </w:pPr>
      <w:bookmarkStart w:id="1130" w:name="_Toc390"/>
      <w:r>
        <w:t>• بهجة المؤمنین / تاریخ اسلام / فارسی</w:t>
      </w:r>
      <w:bookmarkEnd w:id="1130"/>
    </w:p>
    <w:p>
      <w:pPr>
        <w:pStyle w:val="BookText"/>
      </w:pPr>
      <w:r>
        <w:rPr>
          <w:rFonts w:ascii="Times New Roman" w:hAnsi="Times New Roman" w:eastAsia="Times New Roman" w:cs="Times New Roman"/>
          <w:lang w:val="en-US" w:bidi="en-US"/>
          <w:color w:val="111111"/>
          <w:sz w:val="28"/>
          <w:szCs w:val="28"/>
          <w:rtl/>
        </w:rPr>
        <w:t xml:space="preserve">bahjat-ol mo’menīn</w:t>
      </w:r>
    </w:p>
    <w:p>
      <w:pPr>
        <w:pStyle w:val="BookText"/>
      </w:pPr>
      <w:r>
        <w:rPr>
          <w:rFonts w:ascii="IRNazanin" w:hAnsi="IRNazanin" w:eastAsia="IRNazanin" w:cs="IRNazanin"/>
          <w:lang w:bidi="fa-IR"/>
          <w:color w:val="111111"/>
          <w:sz w:val="28"/>
          <w:szCs w:val="28"/>
          <w:rtl/>
        </w:rPr>
        <w:t xml:space="preserve">نائینی، عبدالرحيم</w:t>
      </w:r>
    </w:p>
    <w:p>
      <w:pPr>
        <w:pStyle w:val="BookText"/>
      </w:pPr>
      <w:r>
        <w:rPr>
          <w:rFonts w:ascii="Times New Roman" w:hAnsi="Times New Roman" w:eastAsia="Times New Roman" w:cs="Times New Roman"/>
          <w:lang w:val="en-US" w:bidi="en-US"/>
          <w:color w:val="111111"/>
          <w:sz w:val="28"/>
          <w:szCs w:val="28"/>
          <w:rtl/>
        </w:rPr>
        <w:t xml:space="preserve">nāʻīnī, ‘abd-or-rahīm (-)</w:t>
      </w:r>
    </w:p>
    <w:p>
      <w:pPr>
        <w:pStyle w:val="BookText"/>
      </w:pPr>
      <w:r>
        <w:rPr>
          <w:rFonts w:ascii="IRNazanin" w:hAnsi="IRNazanin" w:eastAsia="IRNazanin" w:cs="IRNazanin"/>
          <w:lang w:bidi="fa-IR"/>
          <w:color w:val="111111"/>
          <w:sz w:val="28"/>
          <w:szCs w:val="28"/>
          <w:rtl/>
        </w:rPr>
        <w:t xml:space="preserve">منظومه مفصلی است در تاریخ مختار و وقایع و جنگ های وی و چگونگی انتقام مختار از قاتلان حضرت سیدالشهداء (علیه السلام). آغاز: بنام خداوند حی قدیر*** حکیم و علیم و سمیع و بصیر / سبب ساز خلاق جان آفرین</w:t>
      </w:r>
      <w:r>
        <w:rPr>
          <w:rFonts w:ascii="IRNazanin" w:hAnsi="IRNazanin" w:eastAsia="IRNazanin" w:cs="IRNazanin"/>
          <w:lang w:bidi="fa-IR"/>
          <w:color w:val="111111"/>
          <w:sz w:val="28"/>
          <w:szCs w:val="28"/>
          <w:b w:val="1"/>
          <w:bCs w:val="1"/>
          <w:i w:val="1"/>
          <w:iCs w:val="1"/>
          <w:rtl/>
        </w:rPr>
        <w:t xml:space="preserve">زمین آفرین آسمان آفرین انجام: پس از جنگ بسیار آن کینه ور</w:t>
      </w:r>
      <w:r>
        <w:rPr>
          <w:rFonts w:ascii="IRNazanin" w:hAnsi="IRNazanin" w:eastAsia="IRNazanin" w:cs="IRNazanin"/>
          <w:lang w:bidi="fa-IR"/>
          <w:color w:val="111111"/>
          <w:sz w:val="28"/>
          <w:szCs w:val="28"/>
          <w:rtl/>
        </w:rPr>
        <w:t xml:space="preserve"> شد از رزم عبد الملک در سقر / پس از کشتن مصعب نابکار ***حجاج بن يوسف سگ کین شعار</w:t>
      </w:r>
    </w:p>
    <w:p>
      <w:pPr>
        <w:pStyle w:val="BookText"/>
      </w:pPr>
      <w:r>
        <w:rPr>
          <w:rFonts w:ascii="IRNazanin" w:hAnsi="IRNazanin" w:eastAsia="IRNazanin" w:cs="IRNazanin"/>
          <w:lang w:bidi="fa-IR"/>
          <w:color w:val="111111"/>
          <w:sz w:val="28"/>
          <w:szCs w:val="28"/>
          <w:rtl/>
        </w:rPr>
        <w:t xml:space="preserve">[فهرستواره منزوی ۱۵۶۳/۳ ؛ که همین نسخه را معرفی نموده است]</w:t>
      </w:r>
    </w:p>
    <w:p>
      <w:pPr>
        <w:pStyle w:val="BookText"/>
      </w:pPr>
      <w:r>
        <w:rPr>
          <w:rFonts w:ascii="IRNazanin" w:hAnsi="IRNazanin" w:eastAsia="IRNazanin" w:cs="IRNazanin"/>
          <w:lang w:bidi="fa-IR"/>
          <w:color w:val="111111"/>
          <w:sz w:val="28"/>
          <w:szCs w:val="28"/>
          <w:rtl/>
        </w:rPr>
        <w:t xml:space="preserve">قم، گلپایگانی؛ شماره نسخه: ۵۵۹۲- ۲۸/۱۲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بی کا، تا: قرن ۱۳؛ افتادگی: انجام؛ جلد: تیماج مشکی، ضربی جدول دار، ۹۷، ۲۰ سطر چهار ستونی،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۲-۶۴۴]</w:t>
      </w:r>
    </w:p>
    <w:p>
      <w:pPr>
        <w:pStyle w:val="Heading3"/>
      </w:pPr>
      <w:bookmarkStart w:id="1131" w:name="_Toc391"/>
      <w:r>
        <w:t>• بهجة المهج في الصلوة على الحجج / دعا / عربی</w:t>
      </w:r>
      <w:bookmarkEnd w:id="1131"/>
    </w:p>
    <w:p>
      <w:pPr>
        <w:pStyle w:val="BookText"/>
      </w:pPr>
      <w:r>
        <w:rPr>
          <w:rFonts w:ascii="Times New Roman" w:hAnsi="Times New Roman" w:eastAsia="Times New Roman" w:cs="Times New Roman"/>
          <w:lang w:val="en-US" w:bidi="en-US"/>
          <w:color w:val="111111"/>
          <w:sz w:val="28"/>
          <w:szCs w:val="28"/>
          <w:rtl/>
        </w:rPr>
        <w:t xml:space="preserve">bahjat-ul muhaj fi-s salat ala-1 hujaj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32" w:name="pg20363_209355"/>
    <w:bookmarkEnd w:id="132"/>
    <w:p>
      <w:pPr>
        <w:pStyle w:val="BookText"/>
      </w:pPr>
      <w:r>
        <w:rPr>
          <w:rFonts w:ascii="IRNazanin" w:hAnsi="IRNazanin" w:eastAsia="IRNazanin" w:cs="IRNazanin"/>
          <w:lang w:bidi="fa-IR"/>
          <w:color w:val="111111"/>
          <w:sz w:val="28"/>
          <w:szCs w:val="28"/>
          <w:rtl/>
        </w:rPr>
        <w:t xml:space="preserve">علم الهدی، محمد بن محسن، ۱۰۳۹-۱۱۱۵ قمری</w:t>
      </w:r>
    </w:p>
    <w:p>
      <w:pPr>
        <w:pStyle w:val="BookText"/>
      </w:pPr>
      <w:r>
        <w:rPr>
          <w:rFonts w:ascii="Times New Roman" w:hAnsi="Times New Roman" w:eastAsia="Times New Roman" w:cs="Times New Roman"/>
          <w:lang w:val="en-US" w:bidi="en-US"/>
          <w:color w:val="111111"/>
          <w:sz w:val="28"/>
          <w:szCs w:val="28"/>
          <w:rtl/>
        </w:rPr>
        <w:t xml:space="preserve">‘alam-ol-hodā, mohammad ebn-e mohsen (1630-1704)</w:t>
      </w:r>
    </w:p>
    <w:p>
      <w:pPr>
        <w:pStyle w:val="BookText"/>
      </w:pPr>
      <w:r>
        <w:rPr>
          <w:rFonts w:ascii="IRNazanin" w:hAnsi="IRNazanin" w:eastAsia="IRNazanin" w:cs="IRNazanin"/>
          <w:lang w:bidi="fa-IR"/>
          <w:color w:val="111111"/>
          <w:sz w:val="28"/>
          <w:szCs w:val="28"/>
          <w:rtl/>
        </w:rPr>
        <w:t xml:space="preserve">آغاز: اللهم يامن حسرت عن ادراک سبحات جماله طروف عيون الناظرين.</w:t>
      </w:r>
    </w:p>
    <w:p>
      <w:pPr>
        <w:pStyle w:val="BookText"/>
      </w:pPr>
      <w:r>
        <w:rPr>
          <w:rFonts w:ascii="IRNazanin" w:hAnsi="IRNazanin" w:eastAsia="IRNazanin" w:cs="IRNazanin"/>
          <w:lang w:bidi="fa-IR"/>
          <w:color w:val="111111"/>
          <w:sz w:val="28"/>
          <w:szCs w:val="28"/>
          <w:rtl/>
        </w:rPr>
        <w:t xml:space="preserve">[دنا ۵۷۰/۲ ]</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١- بهجة المهج (منتخب)؛ علم الهدی، محمد بن محسن (۱۰۳۹ -۱۱۱۵ )</w:t>
      </w:r>
    </w:p>
    <w:p>
      <w:pPr>
        <w:pStyle w:val="BookText"/>
      </w:pPr>
      <w:r>
        <w:rPr>
          <w:rFonts w:ascii="IRNazanin" w:hAnsi="IRNazanin" w:eastAsia="IRNazanin" w:cs="IRNazanin"/>
          <w:lang w:bidi="fa-IR"/>
          <w:color w:val="111111"/>
          <w:sz w:val="28"/>
          <w:szCs w:val="28"/>
          <w:rtl/>
        </w:rPr>
        <w:t xml:space="preserve">۱. تهران؛ مجلس؛ شماره نسخه: ۷۰۲۸/۳</w:t>
      </w:r>
    </w:p>
    <w:p>
      <w:pPr>
        <w:pStyle w:val="BookText"/>
      </w:pPr>
      <w:r>
        <w:rPr>
          <w:rFonts w:ascii="IRNazanin" w:hAnsi="IRNazanin" w:eastAsia="IRNazanin" w:cs="IRNazanin"/>
          <w:lang w:bidi="fa-IR"/>
          <w:color w:val="111111"/>
          <w:sz w:val="28"/>
          <w:szCs w:val="28"/>
          <w:rtl/>
        </w:rPr>
        <w:t xml:space="preserve">آغاز: برابر؛ انجام: و في كل طرفة عين و رجعة بصر وفي كل حين محمد المدعو علم الهدی ... ببلدة قاسان المعروفة بدار المؤمنین سبحان ربک رب العزة عما يصفون و سلام على المرسلين و الحمدلله رب العالمین</w:t>
      </w:r>
    </w:p>
    <w:p>
      <w:pPr>
        <w:pStyle w:val="BookText"/>
      </w:pPr>
      <w:r>
        <w:rPr>
          <w:rFonts w:ascii="IRNazanin" w:hAnsi="IRNazanin" w:eastAsia="IRNazanin" w:cs="IRNazanin"/>
          <w:lang w:bidi="fa-IR"/>
          <w:color w:val="111111"/>
          <w:sz w:val="28"/>
          <w:szCs w:val="28"/>
          <w:rtl/>
        </w:rPr>
        <w:t xml:space="preserve">خط: نسخ، بی کا، تا: قرن ۱۳؛ مجدول مذهب؛ جلد: تیماج مشکی، ۶۷ص (۶۶-۱۳۲)، ۱۵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۲۵-۳۷]</w:t>
      </w:r>
    </w:p>
    <w:p>
      <w:pPr>
        <w:pStyle w:val="BookText"/>
      </w:pPr>
      <w:r>
        <w:rPr>
          <w:rFonts w:ascii="IRNazanin" w:hAnsi="IRNazanin" w:eastAsia="IRNazanin" w:cs="IRNazanin"/>
          <w:lang w:bidi="fa-IR"/>
          <w:color w:val="111111"/>
          <w:sz w:val="28"/>
          <w:szCs w:val="28"/>
          <w:rtl/>
        </w:rPr>
        <w:t xml:space="preserve">۲. تهران؛ مجلس؛ شماره نسخه: ۲۷۲۰/۱</w:t>
      </w:r>
    </w:p>
    <w:p>
      <w:pPr>
        <w:pStyle w:val="BookText"/>
      </w:pPr>
      <w:r>
        <w:rPr>
          <w:rFonts w:ascii="IRNazanin" w:hAnsi="IRNazanin" w:eastAsia="IRNazanin" w:cs="IRNazanin"/>
          <w:lang w:bidi="fa-IR"/>
          <w:color w:val="111111"/>
          <w:sz w:val="28"/>
          <w:szCs w:val="28"/>
          <w:rtl/>
        </w:rPr>
        <w:t xml:space="preserve">آغاز: برابر؛ انجام: سبحان ربک رب العزة عما يصفون و سلام على المرسلين و الحمد لله رب العالمين.</w:t>
      </w:r>
    </w:p>
    <w:p>
      <w:pPr>
        <w:pStyle w:val="BookText"/>
      </w:pPr>
      <w:r>
        <w:rPr>
          <w:rFonts w:ascii="IRNazanin" w:hAnsi="IRNazanin" w:eastAsia="IRNazanin" w:cs="IRNazanin"/>
          <w:lang w:bidi="fa-IR"/>
          <w:color w:val="111111"/>
          <w:sz w:val="28"/>
          <w:szCs w:val="28"/>
          <w:rtl/>
        </w:rPr>
        <w:t xml:space="preserve">خط: نسخ، بی کا، بی تا؛ مؤلف چنین نوشته: «کتاب بهجة المهج في الصلوة على الحجج من املاء الفقير إلى الله في كل موطن و كل منهج محمد المدعو علم الهدی عصمه الله من الزلل و الزلج و عجل له الفرج باقامه العوج و سلامة الفلج»؛ کاغذ: فرنگی، جلد: تیماج مشکی دارای عطف دامن، ۶۱ص (۱-۶۱)، ۱۵ سطر، قطع: رقعی، اندازه: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۲۰سم [ف: ۹-۴۴]</w:t>
      </w:r>
    </w:p>
    <w:p>
      <w:pPr>
        <w:pStyle w:val="Heading3"/>
      </w:pPr>
      <w:bookmarkStart w:id="1132" w:name="_Toc392"/>
      <w:r>
        <w:t>• بهجة المهج (منتخب) / دعا / عربی</w:t>
      </w:r>
      <w:bookmarkEnd w:id="1132"/>
    </w:p>
    <w:p>
      <w:pPr>
        <w:pStyle w:val="BookText"/>
      </w:pPr>
      <w:r>
        <w:rPr>
          <w:rFonts w:ascii="Times New Roman" w:hAnsi="Times New Roman" w:eastAsia="Times New Roman" w:cs="Times New Roman"/>
          <w:lang w:val="en-US" w:bidi="en-US"/>
          <w:color w:val="111111"/>
          <w:sz w:val="28"/>
          <w:szCs w:val="28"/>
          <w:rtl/>
        </w:rPr>
        <w:t xml:space="preserve">bahjat-ul muhaj (mn.)</w:t>
      </w:r>
    </w:p>
    <w:p>
      <w:pPr>
        <w:pStyle w:val="BookText"/>
      </w:pPr>
      <w:r>
        <w:rPr>
          <w:rFonts w:ascii="IRNazanin" w:hAnsi="IRNazanin" w:eastAsia="IRNazanin" w:cs="IRNazanin"/>
          <w:lang w:bidi="fa-IR"/>
          <w:color w:val="111111"/>
          <w:sz w:val="28"/>
          <w:szCs w:val="28"/>
          <w:rtl/>
        </w:rPr>
        <w:t xml:space="preserve">علم الهدی، محمد بن محسن، ۱۰۳۹-۱۱۱۵ قمری</w:t>
      </w:r>
    </w:p>
    <w:p>
      <w:pPr>
        <w:pStyle w:val="BookText"/>
      </w:pPr>
      <w:r>
        <w:rPr>
          <w:rFonts w:ascii="Times New Roman" w:hAnsi="Times New Roman" w:eastAsia="Times New Roman" w:cs="Times New Roman"/>
          <w:lang w:val="en-US" w:bidi="en-US"/>
          <w:color w:val="111111"/>
          <w:sz w:val="28"/>
          <w:szCs w:val="28"/>
          <w:rtl/>
        </w:rPr>
        <w:t xml:space="preserve">‘alam-ol-hodā, mohammad ebn-e mohsen (1630-1704)</w:t>
      </w:r>
    </w:p>
    <w:p>
      <w:pPr>
        <w:pStyle w:val="BookText"/>
      </w:pPr>
      <w:r>
        <w:rPr>
          <w:rFonts w:ascii="IRNazanin" w:hAnsi="IRNazanin" w:eastAsia="IRNazanin" w:cs="IRNazanin"/>
          <w:lang w:bidi="fa-IR"/>
          <w:color w:val="111111"/>
          <w:sz w:val="28"/>
          <w:szCs w:val="28"/>
          <w:rtl/>
        </w:rPr>
        <w:t xml:space="preserve">وابسته به: بهجة المهج في الصلوة على الحجج، علم الهدی، محمد بن محسن (۱۰۳۹-۱۱۱۵)</w:t>
      </w:r>
    </w:p>
    <w:p>
      <w:pPr>
        <w:pStyle w:val="BookText"/>
      </w:pPr>
      <w:r>
        <w:rPr>
          <w:rFonts w:ascii="IRNazanin" w:hAnsi="IRNazanin" w:eastAsia="IRNazanin" w:cs="IRNazanin"/>
          <w:lang w:bidi="fa-IR"/>
          <w:color w:val="111111"/>
          <w:sz w:val="28"/>
          <w:szCs w:val="28"/>
          <w:rtl/>
        </w:rPr>
        <w:t xml:space="preserve">تهران؛ ملک؛ شماره نسخه: ۲۵۹۶/۱۰</w:t>
      </w:r>
    </w:p>
    <w:p>
      <w:pPr>
        <w:pStyle w:val="BookText"/>
      </w:pPr>
      <w:r>
        <w:rPr>
          <w:rFonts w:ascii="IRNazanin" w:hAnsi="IRNazanin" w:eastAsia="IRNazanin" w:cs="IRNazanin"/>
          <w:lang w:bidi="fa-IR"/>
          <w:color w:val="111111"/>
          <w:sz w:val="28"/>
          <w:szCs w:val="28"/>
          <w:rtl/>
        </w:rPr>
        <w:t xml:space="preserve">آغاز: مما التقطه في بعض تأليفاته تجاوز الله عن سيئاته و رجح كفة حسناته، بسمله، اللهم يا اجود من رفعت اليه ايدى السائلین و یا اکرم؛ انجام: و سلام على المرسلین، و الحمدلله رب العالمین</w:t>
      </w:r>
    </w:p>
    <w:p>
      <w:pPr>
        <w:pStyle w:val="BookText"/>
      </w:pPr>
      <w:r>
        <w:rPr>
          <w:rFonts w:ascii="IRNazanin" w:hAnsi="IRNazanin" w:eastAsia="IRNazanin" w:cs="IRNazanin"/>
          <w:lang w:bidi="fa-IR"/>
          <w:color w:val="111111"/>
          <w:sz w:val="28"/>
          <w:szCs w:val="28"/>
          <w:rtl/>
        </w:rPr>
        <w:t xml:space="preserve">خط: نسخ، بی کا، تا: قرن ۱۱؛ کاغذ: پسته ای، جلد: میشن قرمز زرکوب مقوایی، ۴گ (۶۷ر - ۷۰ر)، ۱۵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۶-۶۶]</w:t>
      </w:r>
    </w:p>
    <w:p>
      <w:pPr>
        <w:pStyle w:val="Heading3"/>
      </w:pPr>
      <w:bookmarkStart w:id="1133" w:name="_Toc393"/>
      <w:r>
        <w:t>• بهجة الناظرين / حديث / عربی</w:t>
      </w:r>
      <w:bookmarkEnd w:id="1133"/>
    </w:p>
    <w:p>
      <w:pPr>
        <w:pStyle w:val="BookText"/>
      </w:pPr>
      <w:r>
        <w:rPr>
          <w:rFonts w:ascii="Times New Roman" w:hAnsi="Times New Roman" w:eastAsia="Times New Roman" w:cs="Times New Roman"/>
          <w:lang w:val="en-US" w:bidi="en-US"/>
          <w:color w:val="111111"/>
          <w:sz w:val="28"/>
          <w:szCs w:val="28"/>
          <w:rtl/>
        </w:rPr>
        <w:t xml:space="preserve">bahjat-un nāçirīn</w:t>
      </w:r>
    </w:p>
    <w:p>
      <w:pPr>
        <w:pStyle w:val="BookText"/>
      </w:pPr>
      <w:r>
        <w:rPr>
          <w:rFonts w:ascii="IRNazanin" w:hAnsi="IRNazanin" w:eastAsia="IRNazanin" w:cs="IRNazanin"/>
          <w:lang w:bidi="fa-IR"/>
          <w:color w:val="111111"/>
          <w:sz w:val="28"/>
          <w:szCs w:val="28"/>
          <w:rtl/>
        </w:rPr>
        <w:t xml:space="preserve">کرمانشاهی، محمد حسین بن محمد محسن، ق۱۳ قمری</w:t>
      </w:r>
    </w:p>
    <w:p>
      <w:pPr>
        <w:pStyle w:val="BookText"/>
      </w:pPr>
      <w:r>
        <w:rPr>
          <w:rFonts w:ascii="Times New Roman" w:hAnsi="Times New Roman" w:eastAsia="Times New Roman" w:cs="Times New Roman"/>
          <w:lang w:val="en-US" w:bidi="en-US"/>
          <w:color w:val="111111"/>
          <w:sz w:val="28"/>
          <w:szCs w:val="28"/>
          <w:rtl/>
        </w:rPr>
        <w:t xml:space="preserve">kermānšāhī, mohammad hoseyn ebn-e mohammad mohsen (- 19c)</w:t>
      </w:r>
    </w:p>
    <w:p>
      <w:pPr>
        <w:pStyle w:val="BookText"/>
      </w:pPr>
      <w:r>
        <w:rPr>
          <w:rFonts w:ascii="IRNazanin" w:hAnsi="IRNazanin" w:eastAsia="IRNazanin" w:cs="IRNazanin"/>
          <w:lang w:bidi="fa-IR"/>
          <w:color w:val="111111"/>
          <w:sz w:val="28"/>
          <w:szCs w:val="28"/>
          <w:rtl/>
        </w:rPr>
        <w:t xml:space="preserve">تاریخ تأليف: ۷ جمادی الثانی ۱۲۶۰ق</w:t>
      </w:r>
    </w:p>
    <w:p>
      <w:pPr>
        <w:pStyle w:val="BookText"/>
      </w:pPr>
      <w:r>
        <w:rPr>
          <w:rFonts w:ascii="IRNazanin" w:hAnsi="IRNazanin" w:eastAsia="IRNazanin" w:cs="IRNazanin"/>
          <w:lang w:bidi="fa-IR"/>
          <w:color w:val="111111"/>
          <w:sz w:val="28"/>
          <w:szCs w:val="28"/>
          <w:rtl/>
        </w:rPr>
        <w:t xml:space="preserve">احادیث و روایات متفرقه ای است، بیشتر در پند و اندرز که بدون ترتیب مخصوص گرد آوری شده است.</w:t>
      </w:r>
    </w:p>
    <w:p>
      <w:pPr>
        <w:pStyle w:val="BookText"/>
      </w:pPr>
      <w:r>
        <w:rPr>
          <w:rFonts w:ascii="IRNazanin" w:hAnsi="IRNazanin" w:eastAsia="IRNazanin" w:cs="IRNazanin"/>
          <w:lang w:bidi="fa-IR"/>
          <w:color w:val="111111"/>
          <w:sz w:val="28"/>
          <w:szCs w:val="28"/>
          <w:rtl/>
        </w:rPr>
        <w:t xml:space="preserve">قم؛ مرعشی؛ شماره نسخه: ۳۹۰۷</w:t>
      </w:r>
    </w:p>
    <w:p>
      <w:pPr>
        <w:pStyle w:val="BookText"/>
      </w:pPr>
      <w:r>
        <w:rPr>
          <w:rFonts w:ascii="IRNazanin" w:hAnsi="IRNazanin" w:eastAsia="IRNazanin" w:cs="IRNazanin"/>
          <w:lang w:bidi="fa-IR"/>
          <w:color w:val="111111"/>
          <w:sz w:val="28"/>
          <w:szCs w:val="28"/>
          <w:rtl/>
        </w:rPr>
        <w:t xml:space="preserve">آغاز: من ألفاظ رسول الله صلى الله عليه و آله الوجيزة التي لم يسبق اليها، اليد العليا خير من اليد السفلي؛ انجام: الرابع جرأتک على المعاصي بقدر صبرك على النار، قد فرغت من تسوید هذه الرسالة ...</w:t>
      </w:r>
    </w:p>
    <w:p>
      <w:pPr>
        <w:pStyle w:val="BookText"/>
      </w:pPr>
      <w:r>
        <w:rPr>
          <w:rFonts w:ascii="IRNazanin" w:hAnsi="IRNazanin" w:eastAsia="IRNazanin" w:cs="IRNazanin"/>
          <w:lang w:bidi="fa-IR"/>
          <w:color w:val="111111"/>
          <w:sz w:val="28"/>
          <w:szCs w:val="28"/>
          <w:rtl/>
        </w:rPr>
        <w:t xml:space="preserve">خط: نسخ، كاتب = مؤلف، بی تا؛ محشى؛ تملك: حاج ضياء الدين بن محمد مهدی بن محمد تقی بن محمد مهدی بن ملا محمد محسن بن ملا سمیع بن ملا حسین بن علم الهدی بن ملا محسن فیض کاشانی به تاریخ ۲۰ ذیحجه ۱۳۶۲؛ جلد: تیماج مشکی عطف تیماج قهوه ای، ۱۵۵گ، مختلف السطر، اندازه: ۱۱/۵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۱۰-۲۸۶]</w:t>
      </w:r>
    </w:p>
    <w:p>
      <w:pPr>
        <w:pStyle w:val="Heading3"/>
      </w:pPr>
      <w:bookmarkStart w:id="1134" w:name="_Toc394"/>
      <w:r>
        <w:t>• بهجة الناظرين / امامت / فارسی و عربی</w:t>
      </w:r>
      <w:bookmarkEnd w:id="1134"/>
    </w:p>
    <w:p>
      <w:pPr>
        <w:pStyle w:val="BookText"/>
      </w:pPr>
      <w:r>
        <w:rPr>
          <w:rFonts w:ascii="Times New Roman" w:hAnsi="Times New Roman" w:eastAsia="Times New Roman" w:cs="Times New Roman"/>
          <w:lang w:val="en-US" w:bidi="en-US"/>
          <w:color w:val="111111"/>
          <w:sz w:val="28"/>
          <w:szCs w:val="28"/>
          <w:rtl/>
        </w:rPr>
        <w:t xml:space="preserve">bahjat-un nāçirīn</w:t>
      </w:r>
    </w:p>
    <w:p>
      <w:pPr>
        <w:pStyle w:val="BookText"/>
      </w:pPr>
      <w:r>
        <w:rPr>
          <w:rFonts w:ascii="IRNazanin" w:hAnsi="IRNazanin" w:eastAsia="IRNazanin" w:cs="IRNazanin"/>
          <w:lang w:bidi="fa-IR"/>
          <w:color w:val="111111"/>
          <w:sz w:val="28"/>
          <w:szCs w:val="28"/>
          <w:rtl/>
        </w:rPr>
        <w:t xml:space="preserve">خوئی، مصطفی بن مرتضی، ۱۲۹۵- ۱۳۷۰ قمری</w:t>
      </w:r>
    </w:p>
    <w:p>
      <w:pPr>
        <w:pStyle w:val="BookText"/>
      </w:pPr>
      <w:r>
        <w:rPr>
          <w:rFonts w:ascii="Times New Roman" w:hAnsi="Times New Roman" w:eastAsia="Times New Roman" w:cs="Times New Roman"/>
          <w:lang w:val="en-US" w:bidi="en-US"/>
          <w:color w:val="111111"/>
          <w:sz w:val="28"/>
          <w:szCs w:val="28"/>
          <w:rtl/>
        </w:rPr>
        <w:t xml:space="preserve">xūli, mostafā ben mortezā (1878-1951)</w:t>
      </w:r>
    </w:p>
    <w:p>
      <w:pPr>
        <w:pStyle w:val="BookText"/>
      </w:pPr>
      <w:r>
        <w:rPr>
          <w:rFonts w:ascii="IRNazanin" w:hAnsi="IRNazanin" w:eastAsia="IRNazanin" w:cs="IRNazanin"/>
          <w:lang w:bidi="fa-IR"/>
          <w:color w:val="111111"/>
          <w:sz w:val="28"/>
          <w:szCs w:val="28"/>
          <w:rtl/>
        </w:rPr>
        <w:t xml:space="preserve">تاریخ تأليف: ۲۰ جمادی الاول ۱۳۳۹ق جلد سوم از کتاب مفصل مؤلف است در فضائل اهل بیت (علیه السلام)، این کتاب در فضائل حضرت امیر(علیه السلام)و مشتمل بر یک «مقدمه» و «خاتمه» و پنج «باب» است. مؤلف در این کتاب با استفاده از منابع شیعه و عامه، افضیلت حضرت امیر(علیه السلام)را در موارد مختلف به اثبات رسانیده است.</w:t>
      </w:r>
    </w:p>
    <w:p>
      <w:pPr>
        <w:pStyle w:val="BookText"/>
      </w:pPr>
      <w:r>
        <w:rPr>
          <w:rFonts w:ascii="Amiri" w:hAnsi="Amiri" w:eastAsia="Amiri" w:cs="Amiri"/>
          <w:lang w:bidi="ar-SA"/>
          <w:color w:val="111111"/>
          <w:sz w:val="28"/>
          <w:szCs w:val="28"/>
          <w:rtl/>
        </w:rPr>
        <w:t xml:space="preserve">قم، دار الحديث، شماره نسخه: ۲۰۴</w:t>
      </w:r>
    </w:p>
    <w:p>
      <w:pPr>
        <w:pStyle w:val="BookText"/>
      </w:pPr>
      <w:r>
        <w:rPr>
          <w:rFonts w:ascii="IRNazanin" w:hAnsi="IRNazanin" w:eastAsia="IRNazanin" w:cs="IRNazanin"/>
          <w:lang w:bidi="fa-IR"/>
          <w:color w:val="111111"/>
          <w:sz w:val="28"/>
          <w:szCs w:val="28"/>
          <w:rtl/>
        </w:rPr>
        <w:t xml:space="preserve">آغاز: الحمدلله الذي عرف نفسه لعباده بآثار و ملا بأسباب معرفته أقطار أرضه وسمائة و قطع عذر الجاحدين لتوحيده ... و بعد میگوید اقل عبادالله؛ انجام: سعدی گفته: مجلس تمام گشت و بآخر رسید عمر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ما همچنان در اول وصف تو مانده ایم</w:t>
      </w:r>
    </w:p>
    <w:p>
      <w:pPr>
        <w:pStyle w:val="BookText"/>
      </w:pPr>
      <w:r>
        <w:rPr>
          <w:rFonts w:ascii="IRNazanin" w:hAnsi="IRNazanin" w:eastAsia="IRNazanin" w:cs="IRNazanin"/>
          <w:lang w:bidi="fa-IR"/>
          <w:color w:val="111111"/>
          <w:sz w:val="28"/>
          <w:szCs w:val="28"/>
          <w:rtl/>
        </w:rPr>
        <w:t xml:space="preserve">مجلد سوم؛ خط: نستعلیق، کاتب = مؤلف، تا: ۲۰ جمادی الاول ۱۳۳۹ق؛ جلد: تیماج مشکی، ۲۶۸گ، ۱۷سطر،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۱۰۵]</w:t>
      </w:r>
    </w:p>
    <w:p>
      <w:pPr>
        <w:pStyle w:val="Heading3"/>
      </w:pPr>
      <w:bookmarkStart w:id="1135" w:name="_Toc395"/>
      <w:r>
        <w:t>• بهجة الناظرين و آيات المستدلين / کلام و اعتقادات / عربی</w:t>
      </w:r>
      <w:bookmarkEnd w:id="1135"/>
    </w:p>
    <w:p>
      <w:pPr>
        <w:pStyle w:val="BookText"/>
      </w:pPr>
      <w:r>
        <w:rPr>
          <w:rFonts w:ascii="Times New Roman" w:hAnsi="Times New Roman" w:eastAsia="Times New Roman" w:cs="Times New Roman"/>
          <w:lang w:val="en-US" w:bidi="en-US"/>
          <w:color w:val="111111"/>
          <w:sz w:val="28"/>
          <w:szCs w:val="28"/>
          <w:rtl/>
        </w:rPr>
        <w:t xml:space="preserve">bahjat-un nāzirīn wa āyāt-ul mustadillīn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33" w:name="pg20363_209356"/>
    <w:bookmarkEnd w:id="133"/>
    <w:p>
      <w:pPr>
        <w:pStyle w:val="BookText"/>
      </w:pPr>
      <w:r>
        <w:rPr>
          <w:rFonts w:ascii="IRNazanin" w:hAnsi="IRNazanin" w:eastAsia="IRNazanin" w:cs="IRNazanin"/>
          <w:lang w:bidi="fa-IR"/>
          <w:color w:val="111111"/>
          <w:sz w:val="28"/>
          <w:szCs w:val="28"/>
          <w:rtl/>
        </w:rPr>
        <w:t xml:space="preserve">کرمی، مرعي بن يوسف، -۱۰۳۳ قمری</w:t>
      </w:r>
    </w:p>
    <w:p>
      <w:pPr>
        <w:pStyle w:val="BookText"/>
      </w:pPr>
      <w:r>
        <w:rPr>
          <w:rFonts w:ascii="Times New Roman" w:hAnsi="Times New Roman" w:eastAsia="Times New Roman" w:cs="Times New Roman"/>
          <w:lang w:val="en-US" w:bidi="en-US"/>
          <w:color w:val="111111"/>
          <w:sz w:val="28"/>
          <w:szCs w:val="28"/>
          <w:rtl/>
        </w:rPr>
        <w:t xml:space="preserve">karamī, marʻī ebn-e yūsof (- 1624)</w:t>
      </w:r>
    </w:p>
    <w:p>
      <w:pPr>
        <w:pStyle w:val="BookText"/>
      </w:pPr>
      <w:r>
        <w:rPr>
          <w:rFonts w:ascii="IRNazanin" w:hAnsi="IRNazanin" w:eastAsia="IRNazanin" w:cs="IRNazanin"/>
          <w:lang w:bidi="fa-IR"/>
          <w:color w:val="111111"/>
          <w:sz w:val="28"/>
          <w:szCs w:val="28"/>
          <w:rtl/>
        </w:rPr>
        <w:t xml:space="preserve">گزیده مرعي بن يوسف مقدسی حنبلی، با انداختن حکایت ها و روایت ها، در دیباچه آمده «زبدة كتاب المسمى بسير الشام» و در ص ع آمده «الرقية من العين و النظرة و فوائد في الطب و منافع الأصناف العطرية باسانید صحيحة عن رسول الله». عويذها است با مطالب طبی خبری نبوی با اسناد.</w:t>
      </w:r>
    </w:p>
    <w:p>
      <w:pPr>
        <w:pStyle w:val="BookText"/>
      </w:pPr>
      <w:r>
        <w:rPr>
          <w:rFonts w:ascii="IRNazanin" w:hAnsi="IRNazanin" w:eastAsia="IRNazanin" w:cs="IRNazanin"/>
          <w:lang w:bidi="fa-IR"/>
          <w:color w:val="111111"/>
          <w:sz w:val="28"/>
          <w:szCs w:val="28"/>
          <w:rtl/>
        </w:rPr>
        <w:t xml:space="preserve">[دنا ۵۷۰/۲ ؛ ایضاح المكنون 1: ۲۰۳؛ برو کلمن ۲: ۱۰۳ و ۳۶۹ و ذیل ۲: ۴۵۷ و۴۹۶ ]</w:t>
      </w:r>
    </w:p>
    <w:p>
      <w:pPr>
        <w:pStyle w:val="BookText"/>
      </w:pPr>
      <w:r>
        <w:rPr>
          <w:rFonts w:ascii="IRNazanin" w:hAnsi="IRNazanin" w:eastAsia="IRNazanin" w:cs="IRNazanin"/>
          <w:lang w:bidi="fa-IR"/>
          <w:color w:val="111111"/>
          <w:sz w:val="28"/>
          <w:szCs w:val="28"/>
          <w:rtl/>
        </w:rPr>
        <w:t xml:space="preserve">تهران؛ مجلس؛ شماره نسخه: ۱۲۷۹</w:t>
      </w:r>
    </w:p>
    <w:p>
      <w:pPr>
        <w:pStyle w:val="BookText"/>
      </w:pPr>
      <w:r>
        <w:rPr>
          <w:rFonts w:ascii="IRNazanin" w:hAnsi="IRNazanin" w:eastAsia="IRNazanin" w:cs="IRNazanin"/>
          <w:lang w:bidi="fa-IR"/>
          <w:color w:val="111111"/>
          <w:sz w:val="28"/>
          <w:szCs w:val="28"/>
          <w:rtl/>
        </w:rPr>
        <w:t xml:space="preserve">آغاز: بعد بسمله و حمد ... و بعد فيقول احقر الوری و اذل الفقراء مرعي بن يوسف المقدسي الحنبلی اعلم ان من اجل العلوم في القدر و الشان و اعظمها في السر و البرهان علم النظر و الاستدلال و التفكر في قدر الكبير؛ انجام: و أن يفتح به اعينا ..... و قلوبا غلفا و اذا ناصحا امین و الحمدلله رب العالمين.</w:t>
      </w:r>
    </w:p>
    <w:p>
      <w:pPr>
        <w:pStyle w:val="BookText"/>
      </w:pPr>
      <w:r>
        <w:rPr>
          <w:rFonts w:ascii="IRNazanin" w:hAnsi="IRNazanin" w:eastAsia="IRNazanin" w:cs="IRNazanin"/>
          <w:lang w:bidi="fa-IR"/>
          <w:color w:val="111111"/>
          <w:sz w:val="28"/>
          <w:szCs w:val="28"/>
          <w:rtl/>
        </w:rPr>
        <w:t xml:space="preserve">خط: نسخ، كاتب = مؤلف، تا: چهارشنبه شعبان ۱۰۲۲ق، جان جامع از هر؛ کاغذ: سفید، جلد: تیماج سرخ و مقوایی، ۲۷۵گ، ۲۱سطر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۲۱</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۱۴سم [سنا: في: ۲-۲۰۸]</w:t>
      </w:r>
    </w:p>
    <w:p>
      <w:pPr>
        <w:pStyle w:val="Heading3"/>
      </w:pPr>
      <w:bookmarkStart w:id="1136" w:name="_Toc396"/>
      <w:r>
        <w:t>• بهجت نامه / شعر / فارسی</w:t>
      </w:r>
      <w:bookmarkEnd w:id="1136"/>
    </w:p>
    <w:p>
      <w:pPr>
        <w:pStyle w:val="BookText"/>
      </w:pPr>
      <w:r>
        <w:rPr>
          <w:rFonts w:ascii="Times New Roman" w:hAnsi="Times New Roman" w:eastAsia="Times New Roman" w:cs="Times New Roman"/>
          <w:lang w:val="en-US" w:bidi="en-US"/>
          <w:color w:val="111111"/>
          <w:sz w:val="28"/>
          <w:szCs w:val="28"/>
          <w:rtl/>
        </w:rPr>
        <w:t xml:space="preserve">bahjat-nāme</w:t>
      </w:r>
    </w:p>
    <w:p>
      <w:pPr>
        <w:pStyle w:val="BookText"/>
      </w:pPr>
      <w:r>
        <w:rPr>
          <w:rFonts w:ascii="IRNazanin" w:hAnsi="IRNazanin" w:eastAsia="IRNazanin" w:cs="IRNazanin"/>
          <w:lang w:bidi="fa-IR"/>
          <w:color w:val="111111"/>
          <w:sz w:val="28"/>
          <w:szCs w:val="28"/>
          <w:rtl/>
        </w:rPr>
        <w:t xml:space="preserve">شعری اصفهانی، طاهر بن زین الدین، ۱۲۱۴-۱۲۷۴ ؟ قمری</w:t>
      </w:r>
    </w:p>
    <w:p>
      <w:pPr>
        <w:pStyle w:val="BookText"/>
      </w:pPr>
      <w:r>
        <w:rPr>
          <w:rFonts w:ascii="Times New Roman" w:hAnsi="Times New Roman" w:eastAsia="Times New Roman" w:cs="Times New Roman"/>
          <w:lang w:val="en-US" w:bidi="en-US"/>
          <w:color w:val="111111"/>
          <w:sz w:val="28"/>
          <w:szCs w:val="28"/>
          <w:rtl/>
        </w:rPr>
        <w:t xml:space="preserve">šeʻrī ye-esfahānī, tāher ebn-e reyn-od-dīn (1800-1858)</w:t>
      </w:r>
    </w:p>
    <w:p>
      <w:pPr>
        <w:pStyle w:val="BookText"/>
      </w:pPr>
      <w:r>
        <w:rPr>
          <w:rFonts w:ascii="IRNazanin" w:hAnsi="IRNazanin" w:eastAsia="IRNazanin" w:cs="IRNazanin"/>
          <w:lang w:bidi="fa-IR"/>
          <w:color w:val="111111"/>
          <w:sz w:val="28"/>
          <w:szCs w:val="28"/>
          <w:rtl/>
        </w:rPr>
        <w:t xml:space="preserve">منظومه مذهبی در شش دفتر اثر میرزا طاهر اصفهانی متخلص به شعری که آخرش در تعزیت ناصرالدین شاه و شرح سفر نور و کجور سراینده است. آغاز: سپاس گویمت ای خالق زمین و زمان ***بود ز رنج دو کون از تو ام امید امان انجام: شعری اگر بر آینه شعرت رقم کنند *** زیبد اگر نهند به لوح زر آینه</w:t>
      </w:r>
    </w:p>
    <w:p>
      <w:pPr>
        <w:pStyle w:val="BookText"/>
      </w:pPr>
      <w:r>
        <w:rPr>
          <w:rFonts w:ascii="IRNazanin" w:hAnsi="IRNazanin" w:eastAsia="IRNazanin" w:cs="IRNazanin"/>
          <w:lang w:bidi="fa-IR"/>
          <w:color w:val="111111"/>
          <w:sz w:val="28"/>
          <w:szCs w:val="28"/>
          <w:rtl/>
        </w:rPr>
        <w:t xml:space="preserve">[دنا ۵۷۱/۲ ؛ فهرستواره منزوی ۱۵۶۳/۳ ]</w:t>
      </w:r>
    </w:p>
    <w:p>
      <w:pPr>
        <w:pStyle w:val="BookText"/>
      </w:pPr>
      <w:r>
        <w:rPr>
          <w:rFonts w:ascii="IRNazanin" w:hAnsi="IRNazanin" w:eastAsia="IRNazanin" w:cs="IRNazanin"/>
          <w:lang w:bidi="fa-IR"/>
          <w:color w:val="111111"/>
          <w:sz w:val="28"/>
          <w:szCs w:val="28"/>
          <w:rtl/>
        </w:rPr>
        <w:t xml:space="preserve">تهران؛ ملک؛ شماره نسخه: ۴۶۸۵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رجب ۱۳۰۳ق؛ کاغذ: کاغذ فرنگی آهار مهره، جلد: میشن زرد، ۱۴۶گ، ۴۸ سطر، اندازه: ۱۷/۵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۲۵/۵سم [ف: ۲-۶۴]</w:t>
      </w:r>
    </w:p>
    <w:p>
      <w:pPr>
        <w:pStyle w:val="Heading3"/>
      </w:pPr>
      <w:bookmarkStart w:id="1137" w:name="_Toc397"/>
      <w:r>
        <w:t>• بهجت نامه / شعر / فارسی کاشانی، اسدالله بن مهدي، ق۱۳ قمری</w:t>
      </w:r>
      <w:bookmarkEnd w:id="1137"/>
    </w:p>
    <w:p>
      <w:pPr>
        <w:pStyle w:val="BookText"/>
      </w:pPr>
      <w:r>
        <w:rPr>
          <w:rFonts w:ascii="Times New Roman" w:hAnsi="Times New Roman" w:eastAsia="Times New Roman" w:cs="Times New Roman"/>
          <w:lang w:val="en-US" w:bidi="en-US"/>
          <w:color w:val="111111"/>
          <w:sz w:val="28"/>
          <w:szCs w:val="28"/>
          <w:rtl/>
        </w:rPr>
        <w:t xml:space="preserve">bahjat-nāme</w:t>
      </w:r>
    </w:p>
    <w:p>
      <w:pPr>
        <w:pStyle w:val="BookText"/>
      </w:pPr>
      <w:r>
        <w:rPr>
          <w:rFonts w:ascii="Times New Roman" w:hAnsi="Times New Roman" w:eastAsia="Times New Roman" w:cs="Times New Roman"/>
          <w:lang w:val="en-US" w:bidi="en-US"/>
          <w:color w:val="111111"/>
          <w:sz w:val="28"/>
          <w:szCs w:val="28"/>
          <w:rtl/>
        </w:rPr>
        <w:t xml:space="preserve">kāšānī, asad-ol-lāh ebn-e mahdī (- 19c)</w:t>
      </w:r>
    </w:p>
    <w:p>
      <w:pPr>
        <w:pStyle w:val="BookText"/>
      </w:pPr>
      <w:r>
        <w:rPr>
          <w:rFonts w:ascii="IRNazanin" w:hAnsi="IRNazanin" w:eastAsia="IRNazanin" w:cs="IRNazanin"/>
          <w:lang w:bidi="fa-IR"/>
          <w:color w:val="111111"/>
          <w:sz w:val="28"/>
          <w:szCs w:val="28"/>
          <w:rtl/>
        </w:rPr>
        <w:t xml:space="preserve">دفتر سوم بهجت نامه شعرا می باشد. مثنوی است که درباره ازدواج خانم النبيين(صلی الله علیه وآله وسلم) با ام المومنین صديقه صغری و خدیجه کبری سروده شده است. ابتداء آن در حمد خدا و نعت پیغمبر و مدح علی بن ابی طالب و بعد ساقی نامه و از صفحه ۷ به بعد آغاز داستان خدیجه کبری است.</w:t>
      </w:r>
    </w:p>
    <w:p>
      <w:pPr>
        <w:pStyle w:val="BookText"/>
      </w:pPr>
      <w:r>
        <w:rPr>
          <w:rFonts w:ascii="IRNazanin" w:hAnsi="IRNazanin" w:eastAsia="IRNazanin" w:cs="IRNazanin"/>
          <w:lang w:bidi="fa-IR"/>
          <w:color w:val="111111"/>
          <w:sz w:val="28"/>
          <w:szCs w:val="28"/>
          <w:rtl/>
        </w:rPr>
        <w:t xml:space="preserve">تهران؛ ملی؛ شماره نسخه: ۱۹۱۷</w:t>
      </w:r>
    </w:p>
    <w:p>
      <w:pPr>
        <w:pStyle w:val="BookText"/>
      </w:pPr>
      <w:r>
        <w:rPr>
          <w:rFonts w:ascii="IRNazanin" w:hAnsi="IRNazanin" w:eastAsia="IRNazanin" w:cs="IRNazanin"/>
          <w:lang w:bidi="fa-IR"/>
          <w:color w:val="111111"/>
          <w:sz w:val="28"/>
          <w:szCs w:val="28"/>
          <w:rtl/>
        </w:rPr>
        <w:t xml:space="preserve">آغاز: بنام خداوند لیل و نهار*** که چشمه زخارا گل آرد زخار؛ انجام: سخن با تو ماندار چه ام نا تمام***ولی قصه کوته کنم و السلام</w:t>
      </w:r>
    </w:p>
    <w:p>
      <w:pPr>
        <w:pStyle w:val="BookText"/>
      </w:pPr>
      <w:r>
        <w:rPr>
          <w:rFonts w:ascii="IRNazanin" w:hAnsi="IRNazanin" w:eastAsia="IRNazanin" w:cs="IRNazanin"/>
          <w:lang w:bidi="fa-IR"/>
          <w:color w:val="111111"/>
          <w:sz w:val="28"/>
          <w:szCs w:val="28"/>
          <w:rtl/>
        </w:rPr>
        <w:t xml:space="preserve">دفتر سوم؛ خط: نستعلیق، کا: ابن ناظم محمود کاشانی، تا: ۱۲۹۸ق، حاجی میرزا شفیع؛ مجدول؛ کاغذ: فرنگی، جلد: تیماج قرمز، ۸۹گ، ۱۵سطر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۴-۳۶۹]</w:t>
      </w:r>
    </w:p>
    <w:p>
      <w:pPr>
        <w:pStyle w:val="Heading3"/>
      </w:pPr>
      <w:bookmarkStart w:id="1138" w:name="_Toc398"/>
      <w:r>
        <w:t>• البهجة النظر في اثبات الوصية و الامامة للائمة الاثنی عشر / حديث / عربی</w:t>
      </w:r>
      <w:bookmarkEnd w:id="1138"/>
    </w:p>
    <w:p>
      <w:pPr>
        <w:pStyle w:val="BookText"/>
      </w:pPr>
      <w:r>
        <w:rPr>
          <w:rFonts w:ascii="Times New Roman" w:hAnsi="Times New Roman" w:eastAsia="Times New Roman" w:cs="Times New Roman"/>
          <w:lang w:val="en-US" w:bidi="en-US"/>
          <w:color w:val="111111"/>
          <w:sz w:val="28"/>
          <w:szCs w:val="28"/>
          <w:rtl/>
        </w:rPr>
        <w:t xml:space="preserve">al-bahjat-un naçar fi itbāt-il wasīyya wa-l imāma li-1 a'immat-il itnā ‘ašar</w:t>
      </w:r>
    </w:p>
    <w:p>
      <w:pPr>
        <w:pStyle w:val="BookText"/>
      </w:pPr>
      <w:r>
        <w:rPr>
          <w:rFonts w:ascii="IRNazanin" w:hAnsi="IRNazanin" w:eastAsia="IRNazanin" w:cs="IRNazanin"/>
          <w:lang w:bidi="fa-IR"/>
          <w:color w:val="111111"/>
          <w:sz w:val="28"/>
          <w:szCs w:val="28"/>
          <w:rtl/>
        </w:rPr>
        <w:t xml:space="preserve">بحرانی، هاشم بن سليمان، -۱۱۰۷ ؟ قمری</w:t>
      </w:r>
    </w:p>
    <w:p>
      <w:pPr>
        <w:pStyle w:val="BookText"/>
      </w:pPr>
      <w:r>
        <w:rPr>
          <w:rFonts w:ascii="Times New Roman" w:hAnsi="Times New Roman" w:eastAsia="Times New Roman" w:cs="Times New Roman"/>
          <w:lang w:val="en-US" w:bidi="en-US"/>
          <w:color w:val="111111"/>
          <w:sz w:val="28"/>
          <w:szCs w:val="28"/>
          <w:rtl/>
        </w:rPr>
        <w:t xml:space="preserve">bahrānī, hāšem ebn-e soleymān (- 1696)</w:t>
      </w:r>
    </w:p>
    <w:p>
      <w:pPr>
        <w:pStyle w:val="BookText"/>
      </w:pPr>
      <w:r>
        <w:rPr>
          <w:rFonts w:ascii="IRNazanin" w:hAnsi="IRNazanin" w:eastAsia="IRNazanin" w:cs="IRNazanin"/>
          <w:lang w:bidi="fa-IR"/>
          <w:color w:val="111111"/>
          <w:sz w:val="28"/>
          <w:szCs w:val="28"/>
          <w:rtl/>
        </w:rPr>
        <w:t xml:space="preserve">اهداء به: ابوالمظفر محمد اميناء نامی تاریخ تأليف: ۱۱ جمادی الاول ۱۰۹۹ ق</w:t>
      </w:r>
    </w:p>
    <w:p>
      <w:pPr>
        <w:pStyle w:val="BookText"/>
      </w:pPr>
      <w:r>
        <w:rPr>
          <w:rFonts w:ascii="IRNazanin" w:hAnsi="IRNazanin" w:eastAsia="IRNazanin" w:cs="IRNazanin"/>
          <w:lang w:bidi="fa-IR"/>
          <w:color w:val="111111"/>
          <w:sz w:val="28"/>
          <w:szCs w:val="28"/>
          <w:rtl/>
        </w:rPr>
        <w:t xml:space="preserve">کتابی در کلام و در بيان نصوص وارده در امامت ائمه هدی (علیه السلام) است و مختصر و مأخوذ از کتاب «حليه الابرار» و بر آن احادیث و مطالبی افزوده. مشتمل بر شانزده «فصل»: ۱. «في نص الله جل جلاله على الأيمة(عليه السلام)امام بعد امام»؛ ۲. في نص الله جل جلاله على الايمة (عليهم السلام)على أن يودی کل سابق الى لاحقه الوصایه و الامامة»؛ ۳. «في النص من رسول الله صلى الله عليه و آله علا الايمة الاثني عشر(عليهم السلام)بالوصاية و الامامة من طريق الخاصة و العامه»؛ ۴. «في نص رسول الله صلى الله عليه و آله على على ابن ابی طالب امیر المؤمنين بالوصاية و الامامة»؛ ۵. «في نص امیر المومنین(عليه السلام)على ابنه الحسن(عليه السلام) بالوصاية و الامامة»؛ ۶. «في نص الحسن(عليه السلام)على اخيه الحسین(عليه السلام)بالوصاية و الامامة»؛ ۷. «في نص الحسين(عليه السلام)على ابنه على بن الحسین زین العابدین(عليه السلام)بالوصاية و الامامة»؛ ۸ «في نص زین العابدین علی ابنه محمد بن على الباقر بالوصاية و الامامة»؛ ۹. «في نص الباقر(عليه السلام)على ابنه جعفر الصادق(عليه السلام) بالوصاية و الامامة» ؛ ۱۰. «في نص الصادق (عليه السلام)على ابنه موسى الكاظم(عليه السلام) بالوصاية و الامامة»: ۱۱. «في نص الكاظم(عليه السلام)على ابنه على بن موسى الرضا(عليه السلام) بالوصاية و الامامة»؛ ۱۲. «في نص الرضا(عليه السلام)على ابنه محمد بن على الجواد بالوصاية و الامامة»؛ ۱۳. «في نص الجواد على ابنه على بن محمد الهادي(عليه السلام)بالوصاية و الامامة»؛ ۱۴. «في نص الهادی(عليه السلام)على ابنه الحسن بن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34" w:name="pg20363_209357"/>
    <w:bookmarkEnd w:id="134"/>
    <w:p>
      <w:pPr>
        <w:pStyle w:val="BookText"/>
      </w:pPr>
      <w:r>
        <w:rPr>
          <w:rFonts w:ascii="IRNazanin" w:hAnsi="IRNazanin" w:eastAsia="IRNazanin" w:cs="IRNazanin"/>
          <w:lang w:bidi="fa-IR"/>
          <w:color w:val="111111"/>
          <w:sz w:val="28"/>
          <w:szCs w:val="28"/>
          <w:rtl/>
        </w:rPr>
        <w:t xml:space="preserve">على العسکری(عليه السلام)بالوصاية و الامامة»؛ ۱۵. «في نص الحسن العسكري على ابنه محمد بن الحسن القائم المهدي المنتظر بالوصاية و الامامة»؛ ۱۶. «في نص</w:t>
      </w:r>
    </w:p>
    <w:p>
      <w:pPr>
        <w:pStyle w:val="BookText"/>
      </w:pPr>
      <w:r>
        <w:rPr>
          <w:rFonts w:ascii="IRNazanin" w:hAnsi="IRNazanin" w:eastAsia="IRNazanin" w:cs="IRNazanin"/>
          <w:lang w:bidi="fa-IR"/>
          <w:color w:val="111111"/>
          <w:sz w:val="28"/>
          <w:szCs w:val="28"/>
          <w:rtl/>
        </w:rPr>
        <w:t xml:space="preserve">رسول الله صلى الله عليه و آله على القائم المهدی(عجل الله تعالی علیه) آخر الزمان امام هدى العصر و الأوان و البشارة به من رسول الله ص من طرق العامة».</w:t>
      </w:r>
    </w:p>
    <w:p>
      <w:pPr>
        <w:pStyle w:val="BookText"/>
      </w:pPr>
      <w:r>
        <w:rPr>
          <w:rFonts w:ascii="IRNazanin" w:hAnsi="IRNazanin" w:eastAsia="IRNazanin" w:cs="IRNazanin"/>
          <w:lang w:bidi="fa-IR"/>
          <w:color w:val="111111"/>
          <w:sz w:val="28"/>
          <w:szCs w:val="28"/>
          <w:rtl/>
        </w:rPr>
        <w:t xml:space="preserve">[روضات الجنات و ناقلین از آن این کتاب را به نام بهجة المرضيه ضبط کرده اند]</w:t>
      </w:r>
    </w:p>
    <w:p>
      <w:pPr>
        <w:pStyle w:val="BookText"/>
      </w:pPr>
      <w:r>
        <w:rPr>
          <w:rFonts w:ascii="IRNazanin" w:hAnsi="IRNazanin" w:eastAsia="IRNazanin" w:cs="IRNazanin"/>
          <w:lang w:bidi="fa-IR"/>
          <w:color w:val="111111"/>
          <w:sz w:val="28"/>
          <w:szCs w:val="28"/>
          <w:rtl/>
        </w:rPr>
        <w:t xml:space="preserve">١. مشهد؛ رضوی؛ شماره نسخه: ۶۷۴۸</w:t>
      </w:r>
    </w:p>
    <w:p>
      <w:pPr>
        <w:pStyle w:val="BookText"/>
      </w:pPr>
      <w:r>
        <w:rPr>
          <w:rFonts w:ascii="Amiri" w:hAnsi="Amiri" w:eastAsia="Amiri" w:cs="Amiri"/>
          <w:lang w:bidi="ar-SA"/>
          <w:color w:val="111111"/>
          <w:sz w:val="28"/>
          <w:szCs w:val="28"/>
          <w:rtl/>
        </w:rPr>
        <w:t xml:space="preserve">آغاز: الحمدلله الذي جعل الأئمة الاثني عشرا وصياء الرسول؛ انجام: و قد عملت كتابا في جملة فيمن راى القايم</w:t>
      </w:r>
    </w:p>
    <w:p>
      <w:pPr>
        <w:pStyle w:val="BookText"/>
      </w:pPr>
      <w:r>
        <w:rPr>
          <w:rFonts w:ascii="IRNazanin" w:hAnsi="IRNazanin" w:eastAsia="IRNazanin" w:cs="IRNazanin"/>
          <w:lang w:bidi="fa-IR"/>
          <w:color w:val="111111"/>
          <w:sz w:val="28"/>
          <w:szCs w:val="28"/>
          <w:rtl/>
        </w:rPr>
        <w:t xml:space="preserve">(عجل الله تعالی علیه)و سميته بتبصرة الولي فيمن راى القايم المهدي(عليه السلام)</w:t>
      </w:r>
    </w:p>
    <w:p>
      <w:pPr>
        <w:pStyle w:val="BookText"/>
      </w:pPr>
      <w:r>
        <w:rPr>
          <w:rFonts w:ascii="IRNazanin" w:hAnsi="IRNazanin" w:eastAsia="IRNazanin" w:cs="IRNazanin"/>
          <w:lang w:bidi="fa-IR"/>
          <w:color w:val="111111"/>
          <w:sz w:val="28"/>
          <w:szCs w:val="28"/>
          <w:rtl/>
        </w:rPr>
        <w:t xml:space="preserve">خط: نسخ، كا: محمد بن يوسف بن احمد بن صالح نجيل جمبرى بحرانی، تا: ذیحجه ۱۰۱۱ق؛ مجدول، شیخ علی بن سليمان بحرینی این نسخه را با نسخه اصل مقابله نموده و گاهی مقابله و تصحیح در حضور مؤلف بوده در تاریخ: ۷ جمادی الثانی ۱۱۰۲؛ واقف: نائینی، ۱۳۱۱؛ کاغذ: آهار مهره نباتی فرنگی، جلد: مقوا با روکش پارچه، عطف و گوشه ها تیماج قهوه ای، ۵۲گ، ۲۳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۵-۶۲]</w:t>
      </w:r>
    </w:p>
    <w:p>
      <w:pPr>
        <w:pStyle w:val="BookText"/>
      </w:pPr>
      <w:r>
        <w:rPr>
          <w:rFonts w:ascii="IRNazanin" w:hAnsi="IRNazanin" w:eastAsia="IRNazanin" w:cs="IRNazanin"/>
          <w:lang w:bidi="fa-IR"/>
          <w:color w:val="111111"/>
          <w:sz w:val="28"/>
          <w:szCs w:val="28"/>
          <w:rtl/>
        </w:rPr>
        <w:t xml:space="preserve">۲. همدان؛ مدرسه غرب؛ شماره نسخه: ۱۱۲/۳</w:t>
      </w:r>
    </w:p>
    <w:p>
      <w:pPr>
        <w:pStyle w:val="BookText"/>
      </w:pPr>
      <w:r>
        <w:rPr>
          <w:rFonts w:ascii="IRNazanin" w:hAnsi="IRNazanin" w:eastAsia="IRNazanin" w:cs="IRNazanin"/>
          <w:lang w:bidi="fa-IR"/>
          <w:color w:val="111111"/>
          <w:sz w:val="28"/>
          <w:szCs w:val="28"/>
          <w:rtl/>
        </w:rPr>
        <w:t xml:space="preserve">آغاز: الحمد لله الذي من اعتصم به فقد هدى الى صراط مستقیم و امنه من الزلل؛ انجام: الرابع و الأربعون و الخامس و الاربعون تقدمت في الخطبه في اول الكتاب</w:t>
      </w:r>
    </w:p>
    <w:p>
      <w:pPr>
        <w:pStyle w:val="BookText"/>
      </w:pPr>
      <w:r>
        <w:rPr>
          <w:rFonts w:ascii="IRNazanin" w:hAnsi="IRNazanin" w:eastAsia="IRNazanin" w:cs="IRNazanin"/>
          <w:lang w:bidi="fa-IR"/>
          <w:color w:val="111111"/>
          <w:sz w:val="28"/>
          <w:szCs w:val="28"/>
          <w:rtl/>
        </w:rPr>
        <w:t xml:space="preserve">خط: نسخ، بی کا، بی تا؛ جلد: پارچه، ۲۷ ص (۹۳-۱۱۹)، قطع: رحلی [رشت و همدان: ف: ۱۳۷۵]</w:t>
      </w:r>
    </w:p>
    <w:p>
      <w:pPr>
        <w:pStyle w:val="Heading3"/>
      </w:pPr>
      <w:bookmarkStart w:id="1139" w:name="_Toc399"/>
      <w:r>
        <w:t>• البهجة الوردية / فقه / عربی</w:t>
      </w:r>
      <w:bookmarkEnd w:id="1139"/>
    </w:p>
    <w:p>
      <w:pPr>
        <w:pStyle w:val="BookText"/>
      </w:pPr>
      <w:r>
        <w:rPr>
          <w:rFonts w:ascii="Times New Roman" w:hAnsi="Times New Roman" w:eastAsia="Times New Roman" w:cs="Times New Roman"/>
          <w:lang w:val="en-US" w:bidi="en-US"/>
          <w:color w:val="111111"/>
          <w:sz w:val="28"/>
          <w:szCs w:val="28"/>
          <w:rtl/>
        </w:rPr>
        <w:t xml:space="preserve">al-bahjat-ul wardīyya</w:t>
      </w:r>
    </w:p>
    <w:p>
      <w:pPr>
        <w:pStyle w:val="BookText"/>
      </w:pPr>
      <w:r>
        <w:rPr>
          <w:rFonts w:ascii="IRNazanin" w:hAnsi="IRNazanin" w:eastAsia="IRNazanin" w:cs="IRNazanin"/>
          <w:lang w:bidi="fa-IR"/>
          <w:color w:val="111111"/>
          <w:sz w:val="28"/>
          <w:szCs w:val="28"/>
          <w:rtl/>
        </w:rPr>
        <w:t xml:space="preserve">ابن وردی، عمر بن مظفر، ۶۹۱-۷۴۹ قمری</w:t>
      </w:r>
    </w:p>
    <w:p>
      <w:pPr>
        <w:pStyle w:val="BookText"/>
      </w:pPr>
      <w:r>
        <w:rPr>
          <w:rFonts w:ascii="Times New Roman" w:hAnsi="Times New Roman" w:eastAsia="Times New Roman" w:cs="Times New Roman"/>
          <w:lang w:val="en-US" w:bidi="en-US"/>
          <w:color w:val="111111"/>
          <w:sz w:val="28"/>
          <w:szCs w:val="28"/>
          <w:rtl/>
        </w:rPr>
        <w:t xml:space="preserve">ebn-e vardī, 'omar ebn-e mozaffar (1293-1349)</w:t>
      </w:r>
    </w:p>
    <w:p>
      <w:pPr>
        <w:pStyle w:val="BookText"/>
      </w:pPr>
      <w:r>
        <w:rPr>
          <w:rFonts w:ascii="IRNazanin" w:hAnsi="IRNazanin" w:eastAsia="IRNazanin" w:cs="IRNazanin"/>
          <w:lang w:bidi="fa-IR"/>
          <w:color w:val="111111"/>
          <w:sz w:val="28"/>
          <w:szCs w:val="28"/>
          <w:rtl/>
        </w:rPr>
        <w:t xml:space="preserve">وابسته به: الحاوی؛ قزوینی، عبدالغفار بن عبدالكریم (۶۶۵) تاريخ تأليف: ۷۳۰ق</w:t>
      </w:r>
    </w:p>
    <w:p>
      <w:pPr>
        <w:pStyle w:val="BookText"/>
      </w:pPr>
      <w:r>
        <w:rPr>
          <w:rFonts w:ascii="IRNazanin" w:hAnsi="IRNazanin" w:eastAsia="IRNazanin" w:cs="IRNazanin"/>
          <w:lang w:bidi="fa-IR"/>
          <w:color w:val="111111"/>
          <w:sz w:val="28"/>
          <w:szCs w:val="28"/>
          <w:rtl/>
        </w:rPr>
        <w:t xml:space="preserve">کتاب حاوي الصغير نجم الدین قزوینی را در بیشتر از ۵۰۰۰ بیت به مناسبت خوابی که پیغمبر را در آن دیده به نظم آورده است.</w:t>
      </w:r>
    </w:p>
    <w:p>
      <w:pPr>
        <w:pStyle w:val="BookText"/>
      </w:pPr>
      <w:r>
        <w:rPr>
          <w:rFonts w:ascii="IRNazanin" w:hAnsi="IRNazanin" w:eastAsia="IRNazanin" w:cs="IRNazanin"/>
          <w:lang w:bidi="fa-IR"/>
          <w:color w:val="111111"/>
          <w:sz w:val="28"/>
          <w:szCs w:val="28"/>
          <w:rtl/>
        </w:rPr>
        <w:t xml:space="preserve">چاپ: قاهره، مطبعة ابي زيد الحجرية، ۲۳۶ص، ۱۳۱۱ق؛ دار احياء الكتب العربية، ۲۳۵ ص، ۱۳۵۱ق.</w:t>
      </w:r>
    </w:p>
    <w:p>
      <w:pPr>
        <w:pStyle w:val="BookText"/>
      </w:pPr>
      <w:r>
        <w:rPr>
          <w:rFonts w:ascii="IRNazanin" w:hAnsi="IRNazanin" w:eastAsia="IRNazanin" w:cs="IRNazanin"/>
          <w:lang w:bidi="fa-IR"/>
          <w:color w:val="111111"/>
          <w:sz w:val="28"/>
          <w:szCs w:val="28"/>
          <w:rtl/>
        </w:rPr>
        <w:t xml:space="preserve">[دنا ۵۷۰/۲ ؛ معجم المطبوعات ۲۸۳/۱ ؛ الاعلام زرکلی ۶۷/۵]</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النهجة المرضية في شرح البهجة الوردية؛ ابن عراقی، احمد بن عبدالرحیم (۷۶۲-۸۲۶)</w:t>
      </w:r>
    </w:p>
    <w:p>
      <w:pPr>
        <w:pStyle w:val="BookText"/>
      </w:pPr>
      <w:r>
        <w:rPr>
          <w:rFonts w:ascii="IRNazanin" w:hAnsi="IRNazanin" w:eastAsia="IRNazanin" w:cs="IRNazanin"/>
          <w:lang w:bidi="fa-IR"/>
          <w:color w:val="111111"/>
          <w:sz w:val="28"/>
          <w:szCs w:val="28"/>
          <w:rtl/>
        </w:rPr>
        <w:t xml:space="preserve">تهران؛ مجلس؛ شماره نسخه: ۸۸۰۰</w:t>
      </w:r>
    </w:p>
    <w:p>
      <w:pPr>
        <w:pStyle w:val="BookText"/>
      </w:pPr>
      <w:r>
        <w:rPr>
          <w:rFonts w:ascii="IRNazanin" w:hAnsi="IRNazanin" w:eastAsia="IRNazanin" w:cs="IRNazanin"/>
          <w:lang w:bidi="fa-IR"/>
          <w:color w:val="111111"/>
          <w:sz w:val="28"/>
          <w:szCs w:val="28"/>
          <w:rtl/>
        </w:rPr>
        <w:t xml:space="preserve">آغاز: قال الفقير عمر بن الوردی *** الحمدلله اتم الحمد؛ انجام: و الآل و الصحب بهذا اختم*** نظمي و الله تعالی اعلم</w:t>
      </w:r>
    </w:p>
    <w:p>
      <w:pPr>
        <w:pStyle w:val="BookText"/>
      </w:pPr>
      <w:r>
        <w:rPr>
          <w:rFonts w:ascii="IRNazanin" w:hAnsi="IRNazanin" w:eastAsia="IRNazanin" w:cs="IRNazanin"/>
          <w:lang w:bidi="fa-IR"/>
          <w:color w:val="111111"/>
          <w:sz w:val="28"/>
          <w:szCs w:val="28"/>
          <w:rtl/>
        </w:rPr>
        <w:t xml:space="preserve">خط: نسخ معرب، كا: محمد بن احمد بن سليمان انصاری مشهور به خطيب داریا، تا: چهارشنبه ۱۰ شوال ۷۶۸ق؛ مصحح، امضای تصحیح و مقابله کتاب از کاتب به اتفاق شیخ شمس الدين طرابلسی با نسخه مؤلف، دو امضای بلاغ به سال ۸۶۰ و ۸۶۱ق، محشی به نقل از نسخه مؤلف؛ جلد: مقوایی عطف و دور تیماج مشکی، ۲۲۸، ۱۲سطر،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۲۸- ۲۷۴]</w:t>
      </w:r>
    </w:p>
    <w:p>
      <w:pPr>
        <w:pStyle w:val="Heading3"/>
      </w:pPr>
      <w:bookmarkStart w:id="1140" w:name="_Toc400"/>
      <w:r>
        <w:t>• البهجة الوفية في شرح الألفية / نحو عربی</w:t>
      </w:r>
      <w:bookmarkEnd w:id="1140"/>
    </w:p>
    <w:p>
      <w:pPr>
        <w:pStyle w:val="BookText"/>
      </w:pPr>
      <w:r>
        <w:rPr>
          <w:rFonts w:ascii="Times New Roman" w:hAnsi="Times New Roman" w:eastAsia="Times New Roman" w:cs="Times New Roman"/>
          <w:lang w:val="en-US" w:bidi="en-US"/>
          <w:color w:val="111111"/>
          <w:sz w:val="28"/>
          <w:szCs w:val="28"/>
          <w:rtl/>
        </w:rPr>
        <w:t xml:space="preserve">al-bahjat-ul wafiyya fī š.-il alfīya</w:t>
      </w:r>
    </w:p>
    <w:p>
      <w:pPr>
        <w:pStyle w:val="BookText"/>
      </w:pPr>
      <w:r>
        <w:rPr>
          <w:rFonts w:ascii="IRNazanin" w:hAnsi="IRNazanin" w:eastAsia="IRNazanin" w:cs="IRNazanin"/>
          <w:lang w:bidi="fa-IR"/>
          <w:color w:val="111111"/>
          <w:sz w:val="28"/>
          <w:szCs w:val="28"/>
          <w:rtl/>
        </w:rPr>
        <w:t xml:space="preserve">غزی عامری، محمد بن محمد، ۹۰۴-۹۸۴ قمری</w:t>
      </w:r>
    </w:p>
    <w:p>
      <w:pPr>
        <w:pStyle w:val="BookText"/>
      </w:pPr>
      <w:r>
        <w:rPr>
          <w:rFonts w:ascii="Times New Roman" w:hAnsi="Times New Roman" w:eastAsia="Times New Roman" w:cs="Times New Roman"/>
          <w:lang w:val="en-US" w:bidi="en-US"/>
          <w:color w:val="111111"/>
          <w:sz w:val="28"/>
          <w:szCs w:val="28"/>
          <w:rtl/>
        </w:rPr>
        <w:t xml:space="preserve">qazzī "āmerī, mohammad ebn-e mohammad (1499 1577)</w:t>
      </w:r>
    </w:p>
    <w:p>
      <w:pPr>
        <w:pStyle w:val="BookText"/>
      </w:pPr>
      <w:r>
        <w:rPr>
          <w:rFonts w:ascii="IRNazanin" w:hAnsi="IRNazanin" w:eastAsia="IRNazanin" w:cs="IRNazanin"/>
          <w:lang w:bidi="fa-IR"/>
          <w:color w:val="111111"/>
          <w:sz w:val="28"/>
          <w:szCs w:val="28"/>
          <w:rtl/>
        </w:rPr>
        <w:t xml:space="preserve">وابسته به: الخلاصة في النحو = الفية ابن مالک = الألفية في النحو؛ ابن مالک، محمد بن عبدالله (۶۰۰-۶۷۲) شرح منظوم مزجی است بر ارجوزه (الفية ابن مالک با همان بحر جز در حدود ده هزار بیت. در کشف الظنون (۱۵۳/۱ ) می گوید که شارح سه شرح بر الفيه نگاشته شرحی به نثر و دو شرح به نظم و گمان می رود که شرح حاضر، شرح مفصل منظوم وی باشد.</w:t>
      </w:r>
    </w:p>
    <w:p>
      <w:pPr>
        <w:pStyle w:val="BookText"/>
      </w:pPr>
      <w:r>
        <w:rPr>
          <w:rFonts w:ascii="IRNazanin" w:hAnsi="IRNazanin" w:eastAsia="IRNazanin" w:cs="IRNazanin"/>
          <w:lang w:bidi="fa-IR"/>
          <w:color w:val="111111"/>
          <w:sz w:val="28"/>
          <w:szCs w:val="28"/>
          <w:rtl/>
        </w:rPr>
        <w:t xml:space="preserve">آغاز: قال محمد هو ابن الغزى *** مرتجى الرضوان من ذي العز / الحمدلله الذي وفق من***نحی به نحو الخلاصة و من</w:t>
      </w:r>
    </w:p>
    <w:p>
      <w:pPr>
        <w:pStyle w:val="BookText"/>
      </w:pPr>
      <w:r>
        <w:rPr>
          <w:rFonts w:ascii="IRNazanin" w:hAnsi="IRNazanin" w:eastAsia="IRNazanin" w:cs="IRNazanin"/>
          <w:lang w:bidi="fa-IR"/>
          <w:color w:val="111111"/>
          <w:sz w:val="28"/>
          <w:szCs w:val="28"/>
          <w:rtl/>
        </w:rPr>
        <w:t xml:space="preserve">[دنا ۵۷۰/۲ ؛ الأوقاف العامة الموصلی ۱۷۸/۳ ]</w:t>
      </w:r>
    </w:p>
    <w:p>
      <w:pPr>
        <w:pStyle w:val="BookText"/>
      </w:pPr>
      <w:r>
        <w:rPr>
          <w:rFonts w:ascii="IRNazanin" w:hAnsi="IRNazanin" w:eastAsia="IRNazanin" w:cs="IRNazanin"/>
          <w:lang w:bidi="fa-IR"/>
          <w:color w:val="111111"/>
          <w:sz w:val="28"/>
          <w:szCs w:val="28"/>
          <w:rtl/>
        </w:rPr>
        <w:t xml:space="preserve">قم؛ مرعشی؛ شماره نسخه: ۲۵۷۸</w:t>
      </w:r>
    </w:p>
    <w:p>
      <w:pPr>
        <w:pStyle w:val="BookText"/>
      </w:pPr>
      <w:r>
        <w:rPr>
          <w:rFonts w:ascii="IRNazanin" w:hAnsi="IRNazanin" w:eastAsia="IRNazanin" w:cs="IRNazanin"/>
          <w:lang w:bidi="fa-IR"/>
          <w:color w:val="111111"/>
          <w:sz w:val="28"/>
          <w:szCs w:val="28"/>
          <w:rtl/>
        </w:rPr>
        <w:t xml:space="preserve">آغاز: برابر؛ انجام: لعدم الورود و المبرد*** يقيسه و ثالث اذ يرد / فهو بمعنی ذی كذا و هو طعم *** و لبن و نهر منه نظم</w:t>
      </w:r>
    </w:p>
    <w:p>
      <w:pPr>
        <w:pStyle w:val="BookText"/>
      </w:pPr>
      <w:r>
        <w:rPr>
          <w:rFonts w:ascii="IRNazanin" w:hAnsi="IRNazanin" w:eastAsia="IRNazanin" w:cs="IRNazanin"/>
          <w:lang w:bidi="fa-IR"/>
          <w:color w:val="111111"/>
          <w:sz w:val="28"/>
          <w:szCs w:val="28"/>
          <w:rtl/>
        </w:rPr>
        <w:t xml:space="preserve">خط: نسخ، بی کا، بی تا، افتادگی: انجام؛ یادداشت های مختلف و تاریخ تولدهای ۱۱۷۵-۱۱۷۹؛ جلد: تیماج قهوه ای، ۱۷۷گ، ۲۵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۷-۱۶۸]</w:t>
      </w:r>
    </w:p>
    <w:p>
      <w:pPr>
        <w:pStyle w:val="Heading3"/>
      </w:pPr>
      <w:bookmarkStart w:id="1141" w:name="_Toc401"/>
      <w:r>
        <w:t>• البهجة الوفية لحجة المسائل الفقهيه / اصول فقه / عربی</w:t>
      </w:r>
      <w:bookmarkEnd w:id="1141"/>
    </w:p>
    <w:p>
      <w:pPr>
        <w:pStyle w:val="BookText"/>
      </w:pPr>
      <w:r>
        <w:rPr>
          <w:rFonts w:ascii="Times New Roman" w:hAnsi="Times New Roman" w:eastAsia="Times New Roman" w:cs="Times New Roman"/>
          <w:lang w:val="en-US" w:bidi="en-US"/>
          <w:color w:val="111111"/>
          <w:sz w:val="28"/>
          <w:szCs w:val="28"/>
          <w:rtl/>
        </w:rPr>
        <w:t xml:space="preserve">al-bahjat-ul wafiyya li-hujjat-il masā'il-il fiqhīyya</w:t>
      </w:r>
    </w:p>
    <w:p>
      <w:pPr>
        <w:pStyle w:val="BookText"/>
      </w:pPr>
      <w:r>
        <w:rPr>
          <w:rFonts w:ascii="IRNazanin" w:hAnsi="IRNazanin" w:eastAsia="IRNazanin" w:cs="IRNazanin"/>
          <w:lang w:bidi="fa-IR"/>
          <w:color w:val="111111"/>
          <w:sz w:val="28"/>
          <w:szCs w:val="28"/>
          <w:rtl/>
        </w:rPr>
        <w:t xml:space="preserve">آل عصفور، محمد علی بن محمد نقی، ۱۲۸۹-۱۳۵۰ قمری</w:t>
      </w:r>
    </w:p>
    <w:p>
      <w:pPr>
        <w:pStyle w:val="BookText"/>
      </w:pPr>
      <w:r>
        <w:rPr>
          <w:rFonts w:ascii="Times New Roman" w:hAnsi="Times New Roman" w:eastAsia="Times New Roman" w:cs="Times New Roman"/>
          <w:lang w:val="en-US" w:bidi="en-US"/>
          <w:color w:val="111111"/>
          <w:sz w:val="28"/>
          <w:szCs w:val="28"/>
          <w:rtl/>
        </w:rPr>
        <w:t xml:space="preserve">āl-e 'osfūr, mohammad Salī ebn-e mohammad naqī (1872-1932)</w:t>
      </w:r>
    </w:p>
    <w:p>
      <w:pPr>
        <w:pStyle w:val="BookText"/>
      </w:pPr>
      <w:r>
        <w:rPr>
          <w:rFonts w:ascii="IRNazanin" w:hAnsi="IRNazanin" w:eastAsia="IRNazanin" w:cs="IRNazanin"/>
          <w:lang w:bidi="fa-IR"/>
          <w:color w:val="111111"/>
          <w:sz w:val="28"/>
          <w:szCs w:val="28"/>
          <w:rtl/>
        </w:rPr>
        <w:t xml:space="preserve">منظومه مختصری در عمده مباحث اصول و برخی عناوین آن عبارت است از: «الكلام في موضوع الاصول، في مبحث الألفاظ، القول في المبادى اللغوية، في المشتر ک و احكامه، الكلام في الحقيقة و المجاز، الكلام في حجيته الكتاب و عدم حجيته ظواهره، الكلام في تحريف الكتاب و عدمه، القول في الاجماع، في أن العقل يحكم بالانشاء و الامضاء، في العمل بالخبر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35" w:name="pg20363_209358"/>
    <w:bookmarkEnd w:id="135"/>
    <w:p>
      <w:pPr>
        <w:pStyle w:val="BookText"/>
      </w:pPr>
      <w:r>
        <w:rPr>
          <w:rFonts w:ascii="IRNazanin" w:hAnsi="IRNazanin" w:eastAsia="IRNazanin" w:cs="IRNazanin"/>
          <w:lang w:bidi="fa-IR"/>
          <w:color w:val="111111"/>
          <w:sz w:val="28"/>
          <w:szCs w:val="28"/>
          <w:rtl/>
        </w:rPr>
        <w:t xml:space="preserve">الضعيف، في الخاص، في جواز التقليد». ناظم در مقدمه درباره کتاب نگاشته است: «فهذه ارجوزة الاصول - و غاية المقصود و المامول؛ تكشف عن بدايع المعانی - بابلغ التوضيح و البيان؛ موفيا بالجمع و المحصول ... مستوفيا مقاصد الاصول». کتاب ناتمام و در مرحله اولیه تألیف مانده است.</w:t>
      </w:r>
    </w:p>
    <w:p>
      <w:pPr>
        <w:pStyle w:val="BookText"/>
      </w:pPr>
      <w:r>
        <w:rPr>
          <w:rFonts w:ascii="IRNazanin" w:hAnsi="IRNazanin" w:eastAsia="IRNazanin" w:cs="IRNazanin"/>
          <w:lang w:bidi="fa-IR"/>
          <w:color w:val="111111"/>
          <w:sz w:val="28"/>
          <w:szCs w:val="28"/>
          <w:rtl/>
        </w:rPr>
        <w:t xml:space="preserve">[دنا ۵۷۰/۲ ]</w:t>
      </w:r>
    </w:p>
    <w:p>
      <w:pPr>
        <w:pStyle w:val="BookText"/>
      </w:pPr>
      <w:r>
        <w:rPr>
          <w:rFonts w:ascii="IRNazanin" w:hAnsi="IRNazanin" w:eastAsia="IRNazanin" w:cs="IRNazanin"/>
          <w:lang w:bidi="fa-IR"/>
          <w:color w:val="111111"/>
          <w:sz w:val="28"/>
          <w:szCs w:val="28"/>
          <w:rtl/>
        </w:rPr>
        <w:t xml:space="preserve">مشهد؛ رضوی؛ شماره نسخه: ۱۸۵۱۴</w:t>
      </w:r>
    </w:p>
    <w:p>
      <w:pPr>
        <w:pStyle w:val="BookText"/>
      </w:pPr>
      <w:r>
        <w:rPr>
          <w:rFonts w:ascii="Amiri" w:hAnsi="Amiri" w:eastAsia="Amiri" w:cs="Amiri"/>
          <w:lang w:bidi="ar-SA"/>
          <w:color w:val="111111"/>
          <w:sz w:val="28"/>
          <w:szCs w:val="28"/>
          <w:rtl/>
        </w:rPr>
        <w:t xml:space="preserve">آغاز: بسمله، الحمدلله على ما انعما- و علم الانسان ما لم يعلما؛ انجام: نسخه: و لم اجد فيه دليلا وافيا - و مدعى الاجماع ليس كافيا</w:t>
      </w:r>
    </w:p>
    <w:p>
      <w:pPr>
        <w:pStyle w:val="BookText"/>
      </w:pPr>
      <w:r>
        <w:rPr>
          <w:rFonts w:ascii="IRNazanin" w:hAnsi="IRNazanin" w:eastAsia="IRNazanin" w:cs="IRNazanin"/>
          <w:lang w:bidi="fa-IR"/>
          <w:color w:val="111111"/>
          <w:sz w:val="28"/>
          <w:szCs w:val="28"/>
          <w:rtl/>
        </w:rPr>
        <w:t xml:space="preserve">خط: نسخ، كاتب = مؤلف، تا: ۱۳۲۴ق؛ واقف: توسط سازمان حج و اوقاف از موقوفه آل عصفور، آبان ۱۳۶۹؛ کاغذ: فرنگی حنایی، ۱۸گ، ۱۰ سطر، اندازه: ۲۰/۸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۱۶-۵۶]</w:t>
      </w:r>
    </w:p>
    <w:p>
      <w:pPr>
        <w:pStyle w:val="BookText"/>
      </w:pPr>
      <w:r>
        <w:rPr>
          <w:rFonts w:ascii="IRNazanin" w:hAnsi="IRNazanin" w:eastAsia="IRNazanin" w:cs="IRNazanin"/>
          <w:lang w:bidi="fa-IR"/>
          <w:color w:val="111111"/>
          <w:sz w:val="28"/>
          <w:szCs w:val="28"/>
          <w:rtl/>
        </w:rPr>
        <w:t xml:space="preserve">← بهداشت ← حمیات</w:t>
      </w:r>
    </w:p>
    <w:p>
      <w:pPr>
        <w:pStyle w:val="Heading3"/>
      </w:pPr>
      <w:bookmarkStart w:id="1142" w:name="_Toc402"/>
      <w:r>
        <w:t>• بهداشت / طب / عربی</w:t>
      </w:r>
      <w:bookmarkEnd w:id="1142"/>
    </w:p>
    <w:p>
      <w:pPr>
        <w:pStyle w:val="BookText"/>
      </w:pPr>
      <w:r>
        <w:rPr>
          <w:rFonts w:ascii="Times New Roman" w:hAnsi="Times New Roman" w:eastAsia="Times New Roman" w:cs="Times New Roman"/>
          <w:lang w:val="en-US" w:bidi="en-US"/>
          <w:color w:val="111111"/>
          <w:sz w:val="28"/>
          <w:szCs w:val="28"/>
          <w:rtl/>
        </w:rPr>
        <w:t xml:space="preserve">behdāšt</w:t>
      </w:r>
    </w:p>
    <w:p>
      <w:pPr>
        <w:pStyle w:val="BookText"/>
      </w:pPr>
      <w:r>
        <w:rPr>
          <w:rFonts w:ascii="IRNazanin" w:hAnsi="IRNazanin" w:eastAsia="IRNazanin" w:cs="IRNazanin"/>
          <w:lang w:bidi="fa-IR"/>
          <w:color w:val="111111"/>
          <w:sz w:val="28"/>
          <w:szCs w:val="28"/>
          <w:rtl/>
        </w:rPr>
        <w:t xml:space="preserve">می گویند که مأمون به بختیشوع طبيب نوشت و از او خواست تا مختصری در امهات امور صحی برای او مطلب نویسد. بختیشوع در جواب این رساله را پرداخت و در مقدمه آن مأمون را از کثرت در چهار امر منع کرد: كثرة نوم؛ كثرة اكل، كثرة كلام، كثرة جماع و سپس اطعمه و اشربه و ادویه مضره را بیان می دارد و بعد اعمال غیر بهداشتی را برشمرد.</w:t>
      </w:r>
    </w:p>
    <w:p>
      <w:pPr>
        <w:pStyle w:val="BookText"/>
      </w:pPr>
      <w:r>
        <w:rPr>
          <w:rFonts w:ascii="IRNazanin" w:hAnsi="IRNazanin" w:eastAsia="IRNazanin" w:cs="IRNazanin"/>
          <w:lang w:bidi="fa-IR"/>
          <w:color w:val="111111"/>
          <w:sz w:val="28"/>
          <w:szCs w:val="28"/>
          <w:rtl/>
        </w:rPr>
        <w:t xml:space="preserve">تهران؛ ملی؛ شماره نسخه: ۱۶۰۳/۴</w:t>
      </w:r>
    </w:p>
    <w:p>
      <w:pPr>
        <w:pStyle w:val="BookText"/>
      </w:pPr>
      <w:r>
        <w:rPr>
          <w:rFonts w:ascii="IRNazanin" w:hAnsi="IRNazanin" w:eastAsia="IRNazanin" w:cs="IRNazanin"/>
          <w:lang w:bidi="fa-IR"/>
          <w:color w:val="111111"/>
          <w:sz w:val="28"/>
          <w:szCs w:val="28"/>
          <w:rtl/>
        </w:rPr>
        <w:t xml:space="preserve">آغاز: بسمله ذکرو او الله اعمل و احكم أن المأمون كتب الى بختیشوع؛ انجام: من لحم الجمل مع البصل مغميعليه يزيد في الباه فافهم ذلك و الله اعلم خط: نسخ، كا: احمد بن حمدان جزائری، تا: قرن ۱۲؛ کاغذ: فرنگی، جلد: تیماج مشکی یک لا، ۲ص (۱۰۹-۱۱۰)، ۱۸ سطر (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۱۰-۱۴۰]</w:t>
      </w:r>
    </w:p>
    <w:p>
      <w:pPr>
        <w:pStyle w:val="Heading3"/>
      </w:pPr>
      <w:bookmarkStart w:id="1143" w:name="_Toc403"/>
      <w:r>
        <w:t>• بهداشت / طب / فارسی</w:t>
      </w:r>
      <w:bookmarkEnd w:id="1143"/>
    </w:p>
    <w:p>
      <w:pPr>
        <w:pStyle w:val="BookText"/>
      </w:pPr>
      <w:r>
        <w:rPr>
          <w:rFonts w:ascii="Times New Roman" w:hAnsi="Times New Roman" w:eastAsia="Times New Roman" w:cs="Times New Roman"/>
          <w:lang w:val="en-US" w:bidi="en-US"/>
          <w:color w:val="111111"/>
          <w:sz w:val="28"/>
          <w:szCs w:val="28"/>
          <w:rtl/>
        </w:rPr>
        <w:t xml:space="preserve">behdāšt</w:t>
      </w:r>
    </w:p>
    <w:p>
      <w:pPr>
        <w:pStyle w:val="BookText"/>
      </w:pPr>
      <w:r>
        <w:rPr>
          <w:rFonts w:ascii="IRNazanin" w:hAnsi="IRNazanin" w:eastAsia="IRNazanin" w:cs="IRNazanin"/>
          <w:lang w:bidi="fa-IR"/>
          <w:color w:val="111111"/>
          <w:sz w:val="28"/>
          <w:szCs w:val="28"/>
          <w:rtl/>
        </w:rPr>
        <w:t xml:space="preserve">تهران؛ مجلس؛ شماره نسخه: ۱۶۵۲۸</w:t>
      </w:r>
    </w:p>
    <w:p>
      <w:pPr>
        <w:pStyle w:val="BookText"/>
      </w:pPr>
      <w:r>
        <w:rPr>
          <w:rFonts w:ascii="IRNazanin" w:hAnsi="IRNazanin" w:eastAsia="IRNazanin" w:cs="IRNazanin"/>
          <w:lang w:bidi="fa-IR"/>
          <w:color w:val="111111"/>
          <w:sz w:val="28"/>
          <w:szCs w:val="28"/>
          <w:rtl/>
        </w:rPr>
        <w:t xml:space="preserve">بی کا، تا: قرن ۱۳ [د.ث. مجلس ]</w:t>
      </w:r>
    </w:p>
    <w:p>
      <w:pPr>
        <w:pStyle w:val="Heading3"/>
      </w:pPr>
      <w:bookmarkStart w:id="1144" w:name="_Toc404"/>
      <w:r>
        <w:t>• بهداشت / طب / فارسی</w:t>
      </w:r>
      <w:bookmarkEnd w:id="1144"/>
    </w:p>
    <w:p>
      <w:pPr>
        <w:pStyle w:val="BookText"/>
      </w:pPr>
      <w:r>
        <w:rPr>
          <w:rFonts w:ascii="Times New Roman" w:hAnsi="Times New Roman" w:eastAsia="Times New Roman" w:cs="Times New Roman"/>
          <w:lang w:val="en-US" w:bidi="en-US"/>
          <w:color w:val="111111"/>
          <w:sz w:val="28"/>
          <w:szCs w:val="28"/>
          <w:rtl/>
        </w:rPr>
        <w:t xml:space="preserve">behdāst</w:t>
      </w:r>
    </w:p>
    <w:p>
      <w:pPr>
        <w:pStyle w:val="BookText"/>
      </w:pPr>
      <w:r>
        <w:rPr>
          <w:rFonts w:ascii="IRNazanin" w:hAnsi="IRNazanin" w:eastAsia="IRNazanin" w:cs="IRNazanin"/>
          <w:lang w:bidi="fa-IR"/>
          <w:color w:val="111111"/>
          <w:sz w:val="28"/>
          <w:szCs w:val="28"/>
          <w:rtl/>
        </w:rPr>
        <w:t xml:space="preserve">در حفظ صحت و بهداشت و خواص خوردنی ها و نیمه دوم رساله در نسخه ما که خاتمه است و در بیان طبیعت و منفعت و مضرت و دفع مضرت از طعام ها و شرابها و بوی ها و لباس ها و آنچه بدان محتاج است در جدول است و بسیار لطيف.</w:t>
      </w:r>
    </w:p>
    <w:p>
      <w:pPr>
        <w:pStyle w:val="BookText"/>
      </w:pPr>
      <w:r>
        <w:rPr>
          <w:rFonts w:ascii="IRNazanin" w:hAnsi="IRNazanin" w:eastAsia="IRNazanin" w:cs="IRNazanin"/>
          <w:lang w:bidi="fa-IR"/>
          <w:color w:val="111111"/>
          <w:sz w:val="28"/>
          <w:szCs w:val="28"/>
          <w:rtl/>
        </w:rPr>
        <w:t xml:space="preserve">تهران، دانشگاه؛ شماره نسخه: ۲۸۹۳/۳</w:t>
      </w:r>
    </w:p>
    <w:p>
      <w:pPr>
        <w:pStyle w:val="BookText"/>
      </w:pPr>
      <w:r>
        <w:rPr>
          <w:rFonts w:ascii="IRNazanin" w:hAnsi="IRNazanin" w:eastAsia="IRNazanin" w:cs="IRNazanin"/>
          <w:lang w:bidi="fa-IR"/>
          <w:color w:val="111111"/>
          <w:sz w:val="28"/>
          <w:szCs w:val="28"/>
          <w:rtl/>
        </w:rPr>
        <w:t xml:space="preserve">آغاز: در موضعی معین حرارت زیاد شود که هوا کند یا مخالف مزاج فصل بود؛ انجام: قولنج آرد ... بعسل خورند</w:t>
      </w:r>
    </w:p>
    <w:p>
      <w:pPr>
        <w:pStyle w:val="BookText"/>
      </w:pPr>
      <w:r>
        <w:rPr>
          <w:rFonts w:ascii="IRNazanin" w:hAnsi="IRNazanin" w:eastAsia="IRNazanin" w:cs="IRNazanin"/>
          <w:lang w:bidi="fa-IR"/>
          <w:color w:val="111111"/>
          <w:sz w:val="28"/>
          <w:szCs w:val="28"/>
          <w:rtl/>
        </w:rPr>
        <w:t xml:space="preserve">خط: نستعلیق، كا: عباسعلی بن مشهدی زین العابدین صدقیانی، تا: ۱۳ شعبان ۱۲۴۲ق؛ افتادگی: آغاز؛ تاریخ روز چهارشنبه ذیقعده ۱۲۴۲ در میانه رساله پیش از جدول ها دیده می شود؛ کاغذ: فرنگی، جلد: تیماج قهوه ای، ۵۰گ (۲۳۴-۲۸۳)، ۱۲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۱۰- ۱۷۳۸]</w:t>
      </w:r>
    </w:p>
    <w:p>
      <w:pPr>
        <w:pStyle w:val="Heading3"/>
      </w:pPr>
      <w:bookmarkStart w:id="1145" w:name="_Toc405"/>
      <w:r>
        <w:t>•بهداشت / طب / فارسی</w:t>
      </w:r>
      <w:bookmarkEnd w:id="1145"/>
    </w:p>
    <w:p>
      <w:pPr>
        <w:pStyle w:val="BookText"/>
      </w:pPr>
      <w:r>
        <w:rPr>
          <w:rFonts w:ascii="Times New Roman" w:hAnsi="Times New Roman" w:eastAsia="Times New Roman" w:cs="Times New Roman"/>
          <w:lang w:val="en-US" w:bidi="en-US"/>
          <w:color w:val="111111"/>
          <w:sz w:val="28"/>
          <w:szCs w:val="28"/>
          <w:rtl/>
        </w:rPr>
        <w:t xml:space="preserve">behdāst</w:t>
      </w:r>
    </w:p>
    <w:p>
      <w:pPr>
        <w:pStyle w:val="BookText"/>
      </w:pPr>
      <w:r>
        <w:rPr>
          <w:rFonts w:ascii="IRNazanin" w:hAnsi="IRNazanin" w:eastAsia="IRNazanin" w:cs="IRNazanin"/>
          <w:lang w:bidi="fa-IR"/>
          <w:color w:val="111111"/>
          <w:sz w:val="28"/>
          <w:szCs w:val="28"/>
          <w:rtl/>
        </w:rPr>
        <w:t xml:space="preserve">مشهد؛ رضوی؛ شماره نسخه: ۱۱۹۲۵</w:t>
      </w:r>
    </w:p>
    <w:p>
      <w:pPr>
        <w:pStyle w:val="BookText"/>
      </w:pPr>
      <w:r>
        <w:rPr>
          <w:rFonts w:ascii="IRNazanin" w:hAnsi="IRNazanin" w:eastAsia="IRNazanin" w:cs="IRNazanin"/>
          <w:lang w:bidi="fa-IR"/>
          <w:color w:val="111111"/>
          <w:sz w:val="28"/>
          <w:szCs w:val="28"/>
          <w:rtl/>
        </w:rPr>
        <w:t xml:space="preserve">آغاز: حفظا لصحه علمی است که بوسیله اجرای قوانین؛ انجام: نتایج بسیار خوبی داده است جزوه درسی در طب؛ خط: نستعلیق تحریری، کا: مریم میرهادی، تا: ۱۳۵۸ق، کاغذ: فرنگی، جلد: میشن، ۱۷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[الفبائی: 91]</w:t>
      </w:r>
    </w:p>
    <w:p>
      <w:pPr>
        <w:pStyle w:val="Heading3"/>
      </w:pPr>
      <w:bookmarkStart w:id="1146" w:name="_Toc406"/>
      <w:r>
        <w:t>• بهدينان سنجان فارسی / شعر، تاریخ ایران / فارسی</w:t>
      </w:r>
      <w:bookmarkEnd w:id="1146"/>
    </w:p>
    <w:p>
      <w:pPr>
        <w:pStyle w:val="BookText"/>
      </w:pPr>
      <w:r>
        <w:rPr>
          <w:rFonts w:ascii="Times New Roman" w:hAnsi="Times New Roman" w:eastAsia="Times New Roman" w:cs="Times New Roman"/>
          <w:lang w:val="en-US" w:bidi="en-US"/>
          <w:color w:val="111111"/>
          <w:sz w:val="28"/>
          <w:szCs w:val="28"/>
          <w:rtl/>
        </w:rPr>
        <w:t xml:space="preserve">behdīnān-e sanjān-e fārsī</w:t>
      </w:r>
    </w:p>
    <w:p>
      <w:pPr>
        <w:pStyle w:val="BookText"/>
      </w:pPr>
      <w:r>
        <w:rPr>
          <w:rFonts w:ascii="IRNazanin" w:hAnsi="IRNazanin" w:eastAsia="IRNazanin" w:cs="IRNazanin"/>
          <w:lang w:bidi="fa-IR"/>
          <w:color w:val="111111"/>
          <w:sz w:val="28"/>
          <w:szCs w:val="28"/>
          <w:rtl/>
        </w:rPr>
        <w:t xml:space="preserve">داستان زردشتیان است که از ایران به هند آمده اند. به نظم فارسی.</w:t>
      </w:r>
    </w:p>
    <w:p>
      <w:pPr>
        <w:pStyle w:val="BookText"/>
      </w:pPr>
      <w:r>
        <w:rPr>
          <w:rFonts w:ascii="IRNazanin" w:hAnsi="IRNazanin" w:eastAsia="IRNazanin" w:cs="IRNazanin"/>
          <w:lang w:bidi="fa-IR"/>
          <w:color w:val="111111"/>
          <w:sz w:val="28"/>
          <w:szCs w:val="28"/>
          <w:rtl/>
        </w:rPr>
        <w:t xml:space="preserve">[فهرستواره منزوی ۸۳۱/۲ ]</w:t>
      </w:r>
    </w:p>
    <w:p>
      <w:pPr>
        <w:pStyle w:val="BookText"/>
      </w:pPr>
      <w:r>
        <w:rPr>
          <w:rFonts w:ascii="IRNazanin" w:hAnsi="IRNazanin" w:eastAsia="IRNazanin" w:cs="IRNazanin"/>
          <w:lang w:bidi="fa-IR"/>
          <w:color w:val="111111"/>
          <w:sz w:val="28"/>
          <w:szCs w:val="28"/>
          <w:rtl/>
        </w:rPr>
        <w:t xml:space="preserve">تهران، دانشگاه؛ شماره نسخه: ۱۳۹۳/۱ -ف و ۱۲۹۱/۱ -ف</w:t>
      </w:r>
    </w:p>
    <w:p>
      <w:pPr>
        <w:pStyle w:val="BookText"/>
      </w:pPr>
      <w:r>
        <w:rPr>
          <w:rFonts w:ascii="IRNazanin" w:hAnsi="IRNazanin" w:eastAsia="IRNazanin" w:cs="IRNazanin"/>
          <w:lang w:bidi="fa-IR"/>
          <w:color w:val="111111"/>
          <w:sz w:val="28"/>
          <w:szCs w:val="28"/>
          <w:rtl/>
        </w:rPr>
        <w:t xml:space="preserve">نسخه اصل: موزه بریتانیا .۲۴۴۱۳</w:t>
      </w:r>
      <w:r>
        <w:rPr>
          <w:rFonts w:ascii="Times New Roman" w:hAnsi="Times New Roman" w:eastAsia="Times New Roman" w:cs="Times New Roman"/>
          <w:lang w:val="en-US" w:bidi="en-US"/>
          <w:color w:val="111111"/>
          <w:sz w:val="28"/>
          <w:szCs w:val="28"/>
          <w:rtl/>
        </w:rPr>
        <w:t xml:space="preserve">Add (</w:t>
      </w:r>
      <w:r>
        <w:rPr>
          <w:rFonts w:ascii="IRNazanin" w:hAnsi="IRNazanin" w:eastAsia="IRNazanin" w:cs="IRNazanin"/>
          <w:lang w:bidi="fa-IR"/>
          <w:color w:val="111111"/>
          <w:sz w:val="28"/>
          <w:szCs w:val="28"/>
          <w:rtl/>
        </w:rPr>
        <w:t xml:space="preserve">ریو ۵۰)؛ خط: نستعلیق، بی کا، تا: ۱۱۷۹ق، ۱۳ سطر [فیلمها ف: ۱-۵۹۸ و ۵۹۰]</w:t>
      </w:r>
    </w:p>
    <w:p>
      <w:pPr>
        <w:pStyle w:val="Heading3"/>
      </w:pPr>
      <w:bookmarkStart w:id="1147" w:name="_Toc407"/>
      <w:r>
        <w:t>• بهدین بهمن اسفندیار / فارسی</w:t>
      </w:r>
      <w:bookmarkEnd w:id="1147"/>
    </w:p>
    <w:p>
      <w:pPr>
        <w:pStyle w:val="BookText"/>
      </w:pPr>
      <w:r>
        <w:rPr>
          <w:rFonts w:ascii="Times New Roman" w:hAnsi="Times New Roman" w:eastAsia="Times New Roman" w:cs="Times New Roman"/>
          <w:lang w:val="en-US" w:bidi="en-US"/>
          <w:color w:val="111111"/>
          <w:sz w:val="28"/>
          <w:szCs w:val="28"/>
          <w:rtl/>
        </w:rPr>
        <w:t xml:space="preserve">behdīn-e bahman-e esfandīyār</w:t>
      </w:r>
    </w:p>
    <w:p>
      <w:pPr>
        <w:pStyle w:val="BookText"/>
      </w:pPr>
      <w:r>
        <w:rPr>
          <w:rFonts w:ascii="IRNazanin" w:hAnsi="IRNazanin" w:eastAsia="IRNazanin" w:cs="IRNazanin"/>
          <w:lang w:bidi="fa-IR"/>
          <w:color w:val="111111"/>
          <w:sz w:val="28"/>
          <w:szCs w:val="28"/>
          <w:rtl/>
        </w:rPr>
        <w:t xml:space="preserve">تهران؛ ملی؛ شماره نسخه: ۱۷۵۸۶</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۶۸گ، اندازه: ۱۹/۵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۳۰/۶ سم [رایانه ]</w:t>
      </w:r>
    </w:p>
    <w:p>
      <w:pPr>
        <w:pStyle w:val="Heading3"/>
      </w:pPr>
      <w:bookmarkStart w:id="1148" w:name="_Toc408"/>
      <w:r>
        <w:t>• بهر النصاب / تاریخ / فارسی</w:t>
      </w:r>
      <w:bookmarkEnd w:id="1148"/>
    </w:p>
    <w:p>
      <w:pPr>
        <w:pStyle w:val="BookText"/>
      </w:pPr>
      <w:r>
        <w:rPr>
          <w:rFonts w:ascii="Times New Roman" w:hAnsi="Times New Roman" w:eastAsia="Times New Roman" w:cs="Times New Roman"/>
          <w:lang w:val="en-US" w:bidi="en-US"/>
          <w:color w:val="111111"/>
          <w:sz w:val="28"/>
          <w:szCs w:val="28"/>
          <w:rtl/>
        </w:rPr>
        <w:t xml:space="preserve">bahr-on nesāb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36" w:name="pg20363_209359"/>
    <w:bookmarkEnd w:id="136"/>
    <w:p>
      <w:pPr>
        <w:pStyle w:val="BookText"/>
      </w:pPr>
      <w:r>
        <w:rPr>
          <w:rFonts w:ascii="IRNazanin" w:hAnsi="IRNazanin" w:eastAsia="IRNazanin" w:cs="IRNazanin"/>
          <w:lang w:bidi="fa-IR"/>
          <w:color w:val="111111"/>
          <w:sz w:val="28"/>
          <w:szCs w:val="28"/>
          <w:rtl/>
        </w:rPr>
        <w:t xml:space="preserve">مشهد؛ شیخ علی حیدر؛ شماره نسخه: ۱۳۴۱</w:t>
      </w:r>
    </w:p>
    <w:p>
      <w:pPr>
        <w:pStyle w:val="BookText"/>
      </w:pPr>
      <w:r>
        <w:rPr>
          <w:rFonts w:ascii="IRNazanin" w:hAnsi="IRNazanin" w:eastAsia="IRNazanin" w:cs="IRNazanin"/>
          <w:lang w:bidi="fa-IR"/>
          <w:color w:val="111111"/>
          <w:sz w:val="28"/>
          <w:szCs w:val="28"/>
          <w:rtl/>
        </w:rPr>
        <w:t xml:space="preserve">خط: نستعلیق، کا: محمد حسین توپچی افشار بن شهریار خان، تا: ۱۶ صفر ۱۳۱۶ق؛ توضیح اینکه کتاب را در این نسخه به نام «کنز الانساب و بحر المصاب» نامیده است و ظاهرا اسم صحيح همین است زیرا اسم معروف معنی نمی دهد. در آخر این نسخه چند برگ به عنوان ملحقات ضمیمه شده است، که درباره سادات آمروهه هندوستان است، در آخر نسخه کتاب را به سید مرتضی علم الهدی منسوب می داند، مجدول؛ مهر: «محمد حسین ۱۳۰۹» بیضوی)؛ جلد: تیماج مشکی، ۹۰گ، ۱۳ سطر، اندازه: ۱۲/۵ </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۲۰سم [مؤيد: ۳-۲۸۰]</w:t>
      </w:r>
    </w:p>
    <w:p>
      <w:pPr>
        <w:pStyle w:val="Heading3"/>
      </w:pPr>
      <w:bookmarkStart w:id="1149" w:name="_Toc409"/>
      <w:r>
        <w:t>• بهرامشاهيه = صلاتيه = تحفة الملوک / عرفان و تصوف / فارسی</w:t>
      </w:r>
      <w:bookmarkEnd w:id="1149"/>
    </w:p>
    <w:p>
      <w:pPr>
        <w:pStyle w:val="BookText"/>
      </w:pPr>
      <w:r>
        <w:rPr>
          <w:rFonts w:ascii="Times New Roman" w:hAnsi="Times New Roman" w:eastAsia="Times New Roman" w:cs="Times New Roman"/>
          <w:lang w:val="en-US" w:bidi="en-US"/>
          <w:color w:val="111111"/>
          <w:sz w:val="28"/>
          <w:szCs w:val="28"/>
          <w:rtl/>
        </w:rPr>
        <w:t xml:space="preserve">bahrām-šāhīye = salātīye = tohfat-ol molūk</w:t>
      </w:r>
    </w:p>
    <w:p>
      <w:pPr>
        <w:pStyle w:val="BookText"/>
      </w:pPr>
      <w:r>
        <w:rPr>
          <w:rFonts w:ascii="IRNazanin" w:hAnsi="IRNazanin" w:eastAsia="IRNazanin" w:cs="IRNazanin"/>
          <w:lang w:bidi="fa-IR"/>
          <w:color w:val="111111"/>
          <w:sz w:val="28"/>
          <w:szCs w:val="28"/>
          <w:rtl/>
        </w:rPr>
        <w:t xml:space="preserve">همدانی، علی بن محمد، ۷۱۴-۷۸۶ قمری</w:t>
      </w:r>
    </w:p>
    <w:p>
      <w:pPr>
        <w:pStyle w:val="BookText"/>
      </w:pPr>
      <w:r>
        <w:rPr>
          <w:rFonts w:ascii="Times New Roman" w:hAnsi="Times New Roman" w:eastAsia="Times New Roman" w:cs="Times New Roman"/>
          <w:lang w:val="en-US" w:bidi="en-US"/>
          <w:color w:val="111111"/>
          <w:sz w:val="28"/>
          <w:szCs w:val="28"/>
          <w:rtl/>
        </w:rPr>
        <w:t xml:space="preserve">hamadānī, ‘alī ebn-e mohammad (1315-1385)</w:t>
      </w:r>
    </w:p>
    <w:p>
      <w:pPr>
        <w:pStyle w:val="BookText"/>
      </w:pPr>
      <w:r>
        <w:rPr>
          <w:rFonts w:ascii="IRNazanin" w:hAnsi="IRNazanin" w:eastAsia="IRNazanin" w:cs="IRNazanin"/>
          <w:lang w:bidi="fa-IR"/>
          <w:color w:val="111111"/>
          <w:sz w:val="28"/>
          <w:szCs w:val="28"/>
          <w:rtl/>
        </w:rPr>
        <w:t xml:space="preserve">گفتاری است عرفانی به نثر آمیخته به نظم، نخست منازل شش گانه سفر انسان را بر می شمارد: صلب پدر، رحم مادر، دنیا، الحد، عرصات، بهشت یا دوزخ، سپس دو اصل «التعظيم لأمر الله و الشفقة على خلق الله» را گزارش می کند. آن گاه اسرار نماز و تأویل عرفانی از آیه های سوره فاتحه و پند و اندرز با عناوین «ای عزیز». آن را به بزرگی که نام وی در متن نیامده است نوشته و در پاسخ درخواست وی. جز آنکه از یادداشت هایی که در سرآغاز و یا در کناره های نسخه ها آمده به دست می آید، وی بهرام بدخشانی یا شیخ محمد شاه فرزند سلطان خان (بدخشان) می باشد و ما می دانیم بهرام شاه حاکم بلخ و بدخشان بوده است و همدانی «ذخيرة الملوک» و «واردات خود را برای او نگاشته است و نامه هایی برای او نوشته است. (احمد منزوی)</w:t>
      </w:r>
    </w:p>
    <w:p>
      <w:pPr>
        <w:pStyle w:val="BookText"/>
      </w:pPr>
      <w:r>
        <w:rPr>
          <w:rFonts w:ascii="IRNazanin" w:hAnsi="IRNazanin" w:eastAsia="IRNazanin" w:cs="IRNazanin"/>
          <w:lang w:bidi="fa-IR"/>
          <w:color w:val="111111"/>
          <w:sz w:val="28"/>
          <w:szCs w:val="28"/>
          <w:rtl/>
        </w:rPr>
        <w:t xml:space="preserve">آغاز: بسمله. رب انعمت فزد انك على كل شئ قدير. تا مهندسان کارگاه تقدیر نقوش صور الوان بر صفحات الواح وجود می نگارند، و خازنان خزانه ... ای عزیز بدان که ایزد تعالی نوع انسان را را سفری سفری بینهایت وراهی خطر ناک بی غایت تعیین کرده</w:t>
      </w:r>
    </w:p>
    <w:p>
      <w:pPr>
        <w:pStyle w:val="BookText"/>
      </w:pPr>
      <w:r>
        <w:rPr>
          <w:rFonts w:ascii="IRNazanin" w:hAnsi="IRNazanin" w:eastAsia="IRNazanin" w:cs="IRNazanin"/>
          <w:lang w:bidi="fa-IR"/>
          <w:color w:val="111111"/>
          <w:sz w:val="28"/>
          <w:szCs w:val="28"/>
          <w:rtl/>
        </w:rPr>
        <w:t xml:space="preserve">انجام: و فرودتر از این مقام به هیچ مقامی نیست مگر مقام اهل دوزخ أعاذنا الله منه بفضله و رحمته انه قريب مجيب و الحمد لله وحده و السلام علی من اتبع الهدی.</w:t>
      </w:r>
    </w:p>
    <w:p>
      <w:pPr>
        <w:pStyle w:val="BookText"/>
      </w:pPr>
      <w:r>
        <w:rPr>
          <w:rFonts w:ascii="IRNazanin" w:hAnsi="IRNazanin" w:eastAsia="IRNazanin" w:cs="IRNazanin"/>
          <w:lang w:bidi="fa-IR"/>
          <w:color w:val="111111"/>
          <w:sz w:val="28"/>
          <w:szCs w:val="28"/>
          <w:rtl/>
        </w:rPr>
        <w:t xml:space="preserve">چاپ: به کوشش محمد ریاض، در مجله دانشکده ادبیات و علوم انسانی دانشگاه تهران (سال ۲۱، شماره 1، تیر ۱۳۵۳، ص ۵۱-۴۴</w:t>
      </w:r>
    </w:p>
    <w:p>
      <w:pPr>
        <w:pStyle w:val="BookText"/>
      </w:pPr>
      <w:r>
        <w:rPr>
          <w:rFonts w:ascii="IRNazanin" w:hAnsi="IRNazanin" w:eastAsia="IRNazanin" w:cs="IRNazanin"/>
          <w:lang w:bidi="fa-IR"/>
          <w:color w:val="111111"/>
          <w:sz w:val="28"/>
          <w:szCs w:val="28"/>
          <w:rtl/>
        </w:rPr>
        <w:t xml:space="preserve">[دنا ۵۷۱/۲ (۲۰ نسخه)؛ نسخه های منزوی ۱۰۶۵/۲ و ج ۲/۱ ص ۱۰۱۴ (۱۳ نسخه)؛ احوال میر سید علی همدانی /۱۲۸-۱۲۹؛ مكتبة امير المؤمنین ۱۰۳/۱ ؛ فهرستواره منزوی ۱۵۶/۷ ؛ مشترک پاکستان ۱۳۲۳/۱ ]</w:t>
      </w:r>
    </w:p>
    <w:p>
      <w:pPr>
        <w:pStyle w:val="BookText"/>
      </w:pPr>
      <w:r>
        <w:rPr>
          <w:rFonts w:ascii="IRNazanin" w:hAnsi="IRNazanin" w:eastAsia="IRNazanin" w:cs="IRNazanin"/>
          <w:lang w:bidi="fa-IR"/>
          <w:color w:val="111111"/>
          <w:sz w:val="28"/>
          <w:szCs w:val="28"/>
          <w:rtl/>
        </w:rPr>
        <w:t xml:space="preserve">۱. قم؛ مرعشی؛ شماره نسخه: ۸۲۵۳/۴</w:t>
      </w:r>
    </w:p>
    <w:p>
      <w:pPr>
        <w:pStyle w:val="BookText"/>
      </w:pPr>
      <w:r>
        <w:rPr>
          <w:rFonts w:ascii="IRNazanin" w:hAnsi="IRNazanin" w:eastAsia="IRNazanin" w:cs="IRNazanin"/>
          <w:lang w:bidi="fa-IR"/>
          <w:color w:val="111111"/>
          <w:sz w:val="28"/>
          <w:szCs w:val="28"/>
          <w:rtl/>
        </w:rPr>
        <w:t xml:space="preserve">خط: نستعلیق، كا: على بن فخر الدين بن علی حسینی سبزواری خراسانی، تا: اواسط ذیقعده ۸۶۸ق؛ جلد: تیماج قهوه ای، ۸گ (۷۷پ -۸۴ر)،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[ف: ۲۱-۲۱۱]</w:t>
      </w:r>
    </w:p>
    <w:p>
      <w:pPr>
        <w:pStyle w:val="BookText"/>
      </w:pPr>
      <w:r>
        <w:rPr>
          <w:rFonts w:ascii="IRNazanin" w:hAnsi="IRNazanin" w:eastAsia="IRNazanin" w:cs="IRNazanin"/>
          <w:lang w:bidi="fa-IR"/>
          <w:color w:val="111111"/>
          <w:sz w:val="28"/>
          <w:szCs w:val="28"/>
          <w:rtl/>
        </w:rPr>
        <w:t xml:space="preserve">۲. تهران؛ ملک؛ شماره نسخه: ۴۲۵۰/۲۳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ابوذر بن عبدالله سبزواری، تا: ۱۰۷ق، جان مشهد؛ کاغذ: نوعی ترمه، جلد: رویه میشن سیاه ضربی، ۷گ (۳۶۰ر -۳۶۶ر)، ۲۱ سطر، اندازه: ۲۴/۸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۷-۳۰۰ ]</w:t>
      </w:r>
    </w:p>
    <w:p>
      <w:pPr>
        <w:pStyle w:val="BookText"/>
      </w:pPr>
      <w:r>
        <w:rPr>
          <w:rFonts w:ascii="IRNazanin" w:hAnsi="IRNazanin" w:eastAsia="IRNazanin" w:cs="IRNazanin"/>
          <w:lang w:bidi="fa-IR"/>
          <w:color w:val="111111"/>
          <w:sz w:val="28"/>
          <w:szCs w:val="28"/>
          <w:rtl/>
        </w:rPr>
        <w:t xml:space="preserve">٣. تهران؛ ملک؛ شماره نسخه: ۶۲۷۶/۴</w:t>
      </w:r>
    </w:p>
    <w:p>
      <w:pPr>
        <w:pStyle w:val="BookText"/>
      </w:pPr>
      <w:r>
        <w:rPr>
          <w:rFonts w:ascii="IRNazanin" w:hAnsi="IRNazanin" w:eastAsia="IRNazanin" w:cs="IRNazanin"/>
          <w:lang w:bidi="fa-IR"/>
          <w:color w:val="111111"/>
          <w:sz w:val="28"/>
          <w:szCs w:val="28"/>
          <w:rtl/>
        </w:rPr>
        <w:t xml:space="preserve">آغاز و انجام: برابر در فهرست ناشناس؛ خط: نستعلیق، کا: رکن الدین بن سید علی مشهدیان حسینی، تا: ۹۷۴ق؛ کاغذ: ترمه ختائی، جلد: میشن قهوه ای، 7گ (۴۶-۵۲پ)، ۱۸ سطر [ف: ۹-۳۰۳]</w:t>
      </w:r>
    </w:p>
    <w:p>
      <w:pPr>
        <w:pStyle w:val="BookText"/>
      </w:pPr>
      <w:r>
        <w:rPr>
          <w:rFonts w:ascii="IRNazanin" w:hAnsi="IRNazanin" w:eastAsia="IRNazanin" w:cs="IRNazanin"/>
          <w:lang w:bidi="fa-IR"/>
          <w:color w:val="111111"/>
          <w:sz w:val="28"/>
          <w:szCs w:val="28"/>
          <w:rtl/>
        </w:rPr>
        <w:t xml:space="preserve">۴. تهران؛ ملک؛ شماره نسخه: ۴۲۷۴/۱۹</w:t>
      </w:r>
    </w:p>
    <w:p>
      <w:pPr>
        <w:pStyle w:val="BookText"/>
      </w:pPr>
      <w:r>
        <w:rPr>
          <w:rFonts w:ascii="IRNazanin" w:hAnsi="IRNazanin" w:eastAsia="IRNazanin" w:cs="IRNazanin"/>
          <w:lang w:bidi="fa-IR"/>
          <w:color w:val="111111"/>
          <w:sz w:val="28"/>
          <w:szCs w:val="28"/>
          <w:rtl/>
        </w:rPr>
        <w:t xml:space="preserve">آغاز: برابر؛ انجام: دیگر نیست مگر مقام اهل دوزخ ... على من اتبع الهدی. چند جمله از میانه و از انجام بزیر وصالی رفته.</w:t>
      </w:r>
    </w:p>
    <w:p>
      <w:pPr>
        <w:pStyle w:val="BookText"/>
      </w:pPr>
      <w:r>
        <w:rPr>
          <w:rFonts w:ascii="IRNazanin" w:hAnsi="IRNazanin" w:eastAsia="IRNazanin" w:cs="IRNazanin"/>
          <w:lang w:bidi="fa-IR"/>
          <w:color w:val="111111"/>
          <w:sz w:val="28"/>
          <w:szCs w:val="28"/>
          <w:rtl/>
        </w:rPr>
        <w:t xml:space="preserve">در خطرات سفر انسانی، و منازل شش گانه آن؛ خط: نستعلیق هندی، بی کا، تا: قرن ۱۱؛ کاغذ: نوعی ترمه، جلد: رویه میشن سرخ تیره ضربی، ۲۵ سطر، اندازه: ۱۴/۷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۲۵/۵سم [ف: ۷-۳۱۹]</w:t>
      </w:r>
    </w:p>
    <w:p>
      <w:pPr>
        <w:pStyle w:val="BookText"/>
      </w:pPr>
      <w:r>
        <w:rPr>
          <w:rFonts w:ascii="IRNazanin" w:hAnsi="IRNazanin" w:eastAsia="IRNazanin" w:cs="IRNazanin"/>
          <w:lang w:bidi="fa-IR"/>
          <w:color w:val="111111"/>
          <w:sz w:val="28"/>
          <w:szCs w:val="28"/>
          <w:rtl/>
        </w:rPr>
        <w:t xml:space="preserve">۵. تهران؛ دانشگاه؛ شماره نسخه: ۷۴۲۶/۱</w:t>
      </w:r>
    </w:p>
    <w:p>
      <w:pPr>
        <w:pStyle w:val="BookText"/>
      </w:pPr>
      <w:r>
        <w:rPr>
          <w:rFonts w:ascii="IRNazanin" w:hAnsi="IRNazanin" w:eastAsia="IRNazanin" w:cs="IRNazanin"/>
          <w:lang w:bidi="fa-IR"/>
          <w:color w:val="111111"/>
          <w:sz w:val="28"/>
          <w:szCs w:val="28"/>
          <w:rtl/>
        </w:rPr>
        <w:t xml:space="preserve">خط: نستعلیق، بی کا، تا: قرن ۱۱؛ کاغذ: سپاهانی، جلد: تیماج مشکی ضربی مقوایی، ۱۴گ (۱-۱۴)، ۱۵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قطع: بغلی، اندازه: ۱۱/۵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۱۸/۵ سم [ف: ۱۶-۵۵۷]</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قم؛ مرعشی؛ شماره نسخه: ۷۴۱۰/۲۱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حسینی، تا: ۱۰۴۴ق، جا: اصفهان؛ جلد: تیماج قهوه ای، ۴گ (۹۶ر -۹۹پ)، اندازه: ۲۴۶۱۴سم [ف: ۱۹-۲۲۳]</w:t>
      </w:r>
    </w:p>
    <w:p>
      <w:pPr>
        <w:pStyle w:val="BookText"/>
      </w:pPr>
      <w:r>
        <w:rPr>
          <w:rFonts w:ascii="IRNazanin" w:hAnsi="IRNazanin" w:eastAsia="IRNazanin" w:cs="IRNazanin"/>
          <w:lang w:bidi="fa-IR"/>
          <w:color w:val="111111"/>
          <w:sz w:val="28"/>
          <w:szCs w:val="28"/>
          <w:rtl/>
        </w:rPr>
        <w:t xml:space="preserve">۷. تهران؛ مجلس؛ شماره نسخه: ۵۱۸۰/۳۳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۱۰۶۹ق؛ ۶۵ص (۳۲۷-۳۹۱) [ف:۱۵-۳۳۵]</w:t>
      </w:r>
    </w:p>
    <w:p>
      <w:pPr>
        <w:pStyle w:val="BookText"/>
      </w:pPr>
      <w:r>
        <w:rPr>
          <w:rFonts w:ascii="IRNazanin" w:hAnsi="IRNazanin" w:eastAsia="IRNazanin" w:cs="IRNazanin"/>
          <w:lang w:bidi="fa-IR"/>
          <w:color w:val="111111"/>
          <w:sz w:val="28"/>
          <w:szCs w:val="28"/>
          <w:rtl/>
        </w:rPr>
        <w:t xml:space="preserve">۸. قم؛ مرعشی؛ شماره نسخه: ۱۱۶۱۹/۸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کا: محمد نصیر فرزند ملا حسن، بالانکابی جیلانی، تا: قرن ۱۲؛ مصحح، افزودگی هایی شامل حدیث و اشعار منقول از کشکول شیخ بهایی و جامع الأخبار و کتاب شواهد و غيره؛ کاغذ: فرنگی، ۵گ (۵۳-۵۷)، ۲۲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۶سم [ف: ۲۹-۳۶۹]</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قم: مرکز احیاء؛ شماره نسخه: ۳۵۹۷/۱۱</w:t>
      </w:r>
    </w:p>
    <w:p>
      <w:pPr>
        <w:pStyle w:val="BookText"/>
      </w:pPr>
      <w:r>
        <w:rPr>
          <w:rFonts w:ascii="Amiri" w:hAnsi="Amiri" w:eastAsia="Amiri" w:cs="Amiri"/>
          <w:lang w:bidi="ar-SA"/>
          <w:color w:val="111111"/>
          <w:sz w:val="28"/>
          <w:szCs w:val="28"/>
          <w:rtl/>
        </w:rPr>
        <w:t xml:space="preserve">آغاز: برابر؛ انجام: و أخرجنا من تيه الحيرة و ظلمات الغفلة بفضله و رحمته انه قريب مجيب</w:t>
      </w:r>
    </w:p>
    <w:p>
      <w:pPr>
        <w:pStyle w:val="BookText"/>
      </w:pPr>
      <w:r>
        <w:rPr>
          <w:rFonts w:ascii="IRNazanin" w:hAnsi="IRNazanin" w:eastAsia="IRNazanin" w:cs="IRNazanin"/>
          <w:lang w:bidi="fa-IR"/>
          <w:color w:val="111111"/>
          <w:sz w:val="28"/>
          <w:szCs w:val="28"/>
          <w:rtl/>
        </w:rPr>
        <w:t xml:space="preserve">خط: نستعلیق، بی کا، تا: قرن ۱۲؛ مصحح؛ ۵گ (۱۶۳پ -۱۶۷پ)، ۱۶ سطر، اندازه: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[محدث ارموی مخ: ۱-۲۶۲]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37" w:name="pg20363_209360"/>
    <w:bookmarkEnd w:id="137"/>
    <w:p>
      <w:pPr>
        <w:pStyle w:val="BookText"/>
      </w:pPr>
      <w:r>
        <w:rPr>
          <w:rFonts w:ascii="IRNazanin" w:hAnsi="IRNazanin" w:eastAsia="IRNazanin" w:cs="IRNazanin"/>
          <w:lang w:bidi="fa-IR"/>
          <w:color w:val="111111"/>
          <w:sz w:val="28"/>
          <w:szCs w:val="28"/>
          <w:rtl/>
        </w:rPr>
        <w:t xml:space="preserve">۱۰. شیراز؛ علامه طباطبائی؛ شماره نسخه: ۱۶۲۳/۴</w:t>
      </w:r>
    </w:p>
    <w:p>
      <w:pPr>
        <w:pStyle w:val="BookText"/>
      </w:pPr>
      <w:r>
        <w:rPr>
          <w:rFonts w:ascii="IRNazanin" w:hAnsi="IRNazanin" w:eastAsia="IRNazanin" w:cs="IRNazanin"/>
          <w:lang w:bidi="fa-IR"/>
          <w:color w:val="111111"/>
          <w:sz w:val="28"/>
          <w:szCs w:val="28"/>
          <w:rtl/>
        </w:rPr>
        <w:t xml:space="preserve">خط: نستعلیق، بی کا، تا: قرن ۱۲، ۱۱گ (۱۲۷پ -۱۳۷ر) [نسخه پژوهی: ۳-۱۵۵]</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تهران؛ دائرة المعارف؛ شماره نسخه: ۲۱۰/۶ - 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نسخه اصل: گنج بخش، ۵۴۱۷ (گنج ۶۶۰/۲ )؛ خط: نستعلیق تحریری، بی کا، تا: قرن ۱۲؛ ۲۲ص (۱۸۷-۲۰۸)</w:t>
      </w:r>
    </w:p>
    <w:p>
      <w:pPr>
        <w:pStyle w:val="BookText"/>
      </w:pPr>
      <w:r>
        <w:rPr>
          <w:rFonts w:ascii="Amiri" w:hAnsi="Amiri" w:eastAsia="Amiri" w:cs="Amiri"/>
          <w:lang w:bidi="ar-SA"/>
          <w:color w:val="111111"/>
          <w:sz w:val="28"/>
          <w:szCs w:val="28"/>
          <w:rtl/>
        </w:rPr>
        <w:t xml:space="preserve">[ عكسي ف: ۲-۴۳]</w:t>
      </w:r>
    </w:p>
    <w:p>
      <w:pPr>
        <w:pStyle w:val="BookText"/>
      </w:pPr>
      <w:r>
        <w:rPr>
          <w:rFonts w:ascii="IRNazanin" w:hAnsi="IRNazanin" w:eastAsia="IRNazanin" w:cs="IRNazanin"/>
          <w:lang w:bidi="fa-IR"/>
          <w:color w:val="111111"/>
          <w:sz w:val="28"/>
          <w:szCs w:val="28"/>
          <w:rtl/>
        </w:rPr>
        <w:t xml:space="preserve">۱۲. قم: مرکز احیاء؛ شماره نسخه: ۴۴۱۲/۱۴</w:t>
      </w:r>
    </w:p>
    <w:p>
      <w:pPr>
        <w:pStyle w:val="BookText"/>
      </w:pPr>
      <w:r>
        <w:rPr>
          <w:rFonts w:ascii="IRNazanin" w:hAnsi="IRNazanin" w:eastAsia="IRNazanin" w:cs="IRNazanin"/>
          <w:lang w:bidi="fa-IR"/>
          <w:color w:val="111111"/>
          <w:sz w:val="28"/>
          <w:szCs w:val="28"/>
          <w:rtl/>
        </w:rPr>
        <w:t xml:space="preserve">خط: نستعلیق، بی کا، تا: قرن ۱۳؛ جلد: تیماج مشکی، مگ ( ۲۰۹-۲۰۶ ر)، ۲۰ سطر، اندازه: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[محدث ارموی مخ: ۲۶۳-۱ ]</w:t>
      </w:r>
    </w:p>
    <w:p>
      <w:pPr>
        <w:pStyle w:val="BookText"/>
      </w:pPr>
      <w:r>
        <w:rPr>
          <w:rFonts w:ascii="IRNazanin" w:hAnsi="IRNazanin" w:eastAsia="IRNazanin" w:cs="IRNazanin"/>
          <w:lang w:bidi="fa-IR"/>
          <w:color w:val="111111"/>
          <w:sz w:val="28"/>
          <w:szCs w:val="28"/>
          <w:rtl/>
        </w:rPr>
        <w:t xml:space="preserve">۱۳. تهران؛ مجلس؛ شماره نسخه: ۶۳۱/۸</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تا: ۱۲۶۸ق؛ کاغذ: الوان، ۱۵ سطر، قطع: وزیری،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۲-۳۹۲]</w:t>
      </w:r>
    </w:p>
    <w:p>
      <w:pPr>
        <w:pStyle w:val="BookText"/>
      </w:pPr>
      <w:r>
        <w:rPr>
          <w:rFonts w:ascii="IRNazanin" w:hAnsi="IRNazanin" w:eastAsia="IRNazanin" w:cs="IRNazanin"/>
          <w:lang w:bidi="fa-IR"/>
          <w:color w:val="111111"/>
          <w:sz w:val="28"/>
          <w:szCs w:val="28"/>
          <w:rtl/>
        </w:rPr>
        <w:t xml:space="preserve">۱۴. مشهد؛ رضوی؛ شماره نسخه: ۵۹۴۴</w:t>
      </w:r>
    </w:p>
    <w:p>
      <w:pPr>
        <w:pStyle w:val="BookText"/>
      </w:pPr>
      <w:r>
        <w:rPr>
          <w:rFonts w:ascii="IRNazanin" w:hAnsi="IRNazanin" w:eastAsia="IRNazanin" w:cs="IRNazanin"/>
          <w:lang w:bidi="fa-IR"/>
          <w:color w:val="111111"/>
          <w:sz w:val="28"/>
          <w:szCs w:val="28"/>
          <w:rtl/>
        </w:rPr>
        <w:t xml:space="preserve">آغاز: برابر؛ انجام: و نحمد الله وحده و السلام علی من اتبع الهدی.</w:t>
      </w:r>
    </w:p>
    <w:p>
      <w:pPr>
        <w:pStyle w:val="BookText"/>
      </w:pPr>
      <w:r>
        <w:rPr>
          <w:rFonts w:ascii="IRNazanin" w:hAnsi="IRNazanin" w:eastAsia="IRNazanin" w:cs="IRNazanin"/>
          <w:lang w:bidi="fa-IR"/>
          <w:color w:val="111111"/>
          <w:sz w:val="28"/>
          <w:szCs w:val="28"/>
          <w:rtl/>
        </w:rPr>
        <w:t xml:space="preserve">خط: شکسته نستعلیق، بی کا، تا: شنبه ۲۸ ذیحجه ۱۳۰۴ق؛ پس از این ضمن چهار برگ نیز نگارشی است از وی در پند و موعظت که کاتب تمام نکرده است، آغاز آن: «حمد و سپاس پروردگاری را که حقایق اثمار ارواح قدسی را در اشجار اشباع انس بکمال رسانید»؛ واقف: نائینی؛ ۱۱گ، ۱۵ سطر [ف: ۶-۴۲۷]</w:t>
      </w:r>
    </w:p>
    <w:p>
      <w:pPr>
        <w:pStyle w:val="BookText"/>
      </w:pPr>
      <w:r>
        <w:rPr>
          <w:rFonts w:ascii="IRNazanin" w:hAnsi="IRNazanin" w:eastAsia="IRNazanin" w:cs="IRNazanin"/>
          <w:lang w:bidi="fa-IR"/>
          <w:color w:val="111111"/>
          <w:sz w:val="28"/>
          <w:szCs w:val="28"/>
          <w:rtl/>
        </w:rPr>
        <w:t xml:space="preserve">۱۵. قم؛ مرعشی؛ شماره نسخه: ۷۷۲۴/۱۴</w:t>
      </w:r>
    </w:p>
    <w:p>
      <w:pPr>
        <w:pStyle w:val="BookText"/>
      </w:pPr>
      <w:r>
        <w:rPr>
          <w:rFonts w:ascii="IRNazanin" w:hAnsi="IRNazanin" w:eastAsia="IRNazanin" w:cs="IRNazanin"/>
          <w:lang w:bidi="fa-IR"/>
          <w:color w:val="111111"/>
          <w:sz w:val="28"/>
          <w:szCs w:val="28"/>
          <w:rtl/>
        </w:rPr>
        <w:t xml:space="preserve">کا: مهدی، بی تا؛ جلد: تیماج مشکی بدون مقوا، ۵گ (۲۰۲ر - ۲۰۶ر)، اندازه: 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۲۰-۱۱۵]</w:t>
      </w:r>
    </w:p>
    <w:p>
      <w:pPr>
        <w:pStyle w:val="BookText"/>
      </w:pPr>
      <w:r>
        <w:rPr>
          <w:rFonts w:ascii="IRNazanin" w:hAnsi="IRNazanin" w:eastAsia="IRNazanin" w:cs="IRNazanin"/>
          <w:lang w:bidi="fa-IR"/>
          <w:color w:val="111111"/>
          <w:sz w:val="28"/>
          <w:szCs w:val="28"/>
          <w:rtl/>
        </w:rPr>
        <w:t xml:space="preserve">۱۶. تهران: دانشگاه؛ شماره نسخه: ۴۱۹۵/۳</w:t>
      </w:r>
    </w:p>
    <w:p>
      <w:pPr>
        <w:pStyle w:val="BookText"/>
      </w:pPr>
      <w:r>
        <w:rPr>
          <w:rFonts w:ascii="IRNazanin" w:hAnsi="IRNazanin" w:eastAsia="IRNazanin" w:cs="IRNazanin"/>
          <w:lang w:bidi="fa-IR"/>
          <w:color w:val="111111"/>
          <w:sz w:val="28"/>
          <w:szCs w:val="28"/>
          <w:rtl/>
        </w:rPr>
        <w:t xml:space="preserve">آغاز: برابر؛ انجام: راضی باش و الا صابر باش. كان محمد شفیع بن حاج محمد سعید قراگوزلو، بی تا، کاغذ: فرنگی، جلد: تیماج قهوه ای تیره، ۱۰گ (۲۲-۳۱)، ۱۶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۱۳-۳۱۶۴ ]</w:t>
      </w:r>
    </w:p>
    <w:p>
      <w:pPr>
        <w:pStyle w:val="BookText"/>
      </w:pPr>
      <w:r>
        <w:rPr>
          <w:rFonts w:ascii="IRNazanin" w:hAnsi="IRNazanin" w:eastAsia="IRNazanin" w:cs="IRNazanin"/>
          <w:lang w:bidi="fa-IR"/>
          <w:color w:val="111111"/>
          <w:sz w:val="28"/>
          <w:szCs w:val="28"/>
          <w:rtl/>
        </w:rPr>
        <w:t xml:space="preserve">۱۷. مشهد؛ رضوی؛ شماره نسخه: ۵۸۸۱/۱</w:t>
      </w:r>
    </w:p>
    <w:p>
      <w:pPr>
        <w:pStyle w:val="BookText"/>
      </w:pPr>
      <w:r>
        <w:rPr>
          <w:rFonts w:ascii="Amiri" w:hAnsi="Amiri" w:eastAsia="Amiri" w:cs="Amiri"/>
          <w:lang w:bidi="ar-SA"/>
          <w:color w:val="111111"/>
          <w:sz w:val="28"/>
          <w:szCs w:val="28"/>
          <w:rtl/>
        </w:rPr>
        <w:t xml:space="preserve">آغاز: برابر؛ انجام: و اخرجنا من تيه الحيرة و الظلمات الغفلة و رحمة (كذ) انه قريب مجيب و الحمدلله وحده.</w:t>
      </w:r>
    </w:p>
    <w:p>
      <w:pPr>
        <w:pStyle w:val="BookText"/>
      </w:pPr>
      <w:r>
        <w:rPr>
          <w:rFonts w:ascii="IRNazanin" w:hAnsi="IRNazanin" w:eastAsia="IRNazanin" w:cs="IRNazanin"/>
          <w:lang w:bidi="fa-IR"/>
          <w:color w:val="111111"/>
          <w:sz w:val="28"/>
          <w:szCs w:val="28"/>
          <w:rtl/>
        </w:rPr>
        <w:t xml:space="preserve">نام مؤلف به قرینه آغاز ذکر شد؛ خط: نسخ، بی کا، بی تا؛ مجدول مذهب؛ واقف:نائینی؛ ۵گ، ۲۳ سطر، اندازه: ۴۳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۶-۴۲۲]</w:t>
      </w:r>
    </w:p>
    <w:p>
      <w:pPr>
        <w:pStyle w:val="BookText"/>
      </w:pPr>
      <w:r>
        <w:rPr>
          <w:rFonts w:ascii="IRNazanin" w:hAnsi="IRNazanin" w:eastAsia="IRNazanin" w:cs="IRNazanin"/>
          <w:lang w:bidi="fa-IR"/>
          <w:color w:val="111111"/>
          <w:sz w:val="28"/>
          <w:szCs w:val="28"/>
          <w:rtl/>
        </w:rPr>
        <w:t xml:space="preserve">تهران؛ دانشگاه؛ شماره نسخه: ۲۲۵۳/۶ -ف</w:t>
      </w:r>
    </w:p>
    <w:p>
      <w:pPr>
        <w:pStyle w:val="BookText"/>
      </w:pPr>
      <w:r>
        <w:rPr>
          <w:rFonts w:ascii="IRNazanin" w:hAnsi="IRNazanin" w:eastAsia="IRNazanin" w:cs="IRNazanin"/>
          <w:lang w:bidi="fa-IR"/>
          <w:color w:val="111111"/>
          <w:sz w:val="28"/>
          <w:szCs w:val="28"/>
          <w:rtl/>
        </w:rPr>
        <w:t xml:space="preserve">نسخه اصل: همان نسخه بالا [فیلمها ف: ۱-۶۵۸]</w:t>
      </w:r>
    </w:p>
    <w:p>
      <w:pPr>
        <w:pStyle w:val="BookText"/>
      </w:pPr>
      <w:r>
        <w:rPr>
          <w:rFonts w:ascii="IRNazanin" w:hAnsi="IRNazanin" w:eastAsia="IRNazanin" w:cs="IRNazanin"/>
          <w:lang w:bidi="fa-IR"/>
          <w:color w:val="111111"/>
          <w:sz w:val="28"/>
          <w:szCs w:val="28"/>
          <w:rtl/>
        </w:rPr>
        <w:t xml:space="preserve">۱۸. تهران؛ ملک؛ شماره نسخه: ۱۳۹۶/۳</w:t>
      </w:r>
    </w:p>
    <w:p>
      <w:pPr>
        <w:pStyle w:val="BookText"/>
      </w:pPr>
      <w:r>
        <w:rPr>
          <w:rFonts w:ascii="IRNazanin" w:hAnsi="IRNazanin" w:eastAsia="IRNazanin" w:cs="IRNazanin"/>
          <w:lang w:bidi="fa-IR"/>
          <w:color w:val="111111"/>
          <w:sz w:val="28"/>
          <w:szCs w:val="28"/>
          <w:rtl/>
        </w:rPr>
        <w:t xml:space="preserve">خط شکسته نستعلیق، بی کا، بی تا، کاغذ: پسته ای، جلد: میشن سرخ [ف: ۵-۲۶۲]</w:t>
      </w:r>
    </w:p>
    <w:p>
      <w:pPr>
        <w:pStyle w:val="BookText"/>
      </w:pPr>
      <w:r>
        <w:rPr>
          <w:rFonts w:ascii="IRNazanin" w:hAnsi="IRNazanin" w:eastAsia="IRNazanin" w:cs="IRNazanin"/>
          <w:lang w:bidi="fa-IR"/>
          <w:color w:val="111111"/>
          <w:sz w:val="28"/>
          <w:szCs w:val="28"/>
          <w:rtl/>
        </w:rPr>
        <w:t xml:space="preserve">۱۹. قم، مرکز احیاء؛ شماره نسخه: ۹۶۴/۴</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بی تا، ۱۶ص (۳۲۳-۳۳۸) [عکسی ف: ۳-۱۹۱]</w:t>
      </w:r>
    </w:p>
    <w:p>
      <w:pPr>
        <w:pStyle w:val="BookText"/>
      </w:pPr>
      <w:r>
        <w:rPr>
          <w:rFonts w:ascii="IRNazanin" w:hAnsi="IRNazanin" w:eastAsia="IRNazanin" w:cs="IRNazanin"/>
          <w:lang w:bidi="fa-IR"/>
          <w:color w:val="111111"/>
          <w:sz w:val="28"/>
          <w:szCs w:val="28"/>
          <w:rtl/>
        </w:rPr>
        <w:t xml:space="preserve">۲۰. مشهد؛ رضوی؛ شماره نسخه: ۹۲۸</w:t>
      </w:r>
    </w:p>
    <w:p>
      <w:pPr>
        <w:pStyle w:val="BookText"/>
      </w:pPr>
      <w:r>
        <w:rPr>
          <w:rFonts w:ascii="IRNazanin" w:hAnsi="IRNazanin" w:eastAsia="IRNazanin" w:cs="IRNazanin"/>
          <w:lang w:bidi="fa-IR"/>
          <w:color w:val="111111"/>
          <w:sz w:val="28"/>
          <w:szCs w:val="28"/>
          <w:rtl/>
        </w:rPr>
        <w:t xml:space="preserve">آغاز: برابر؛ انجام: و اخرجنا من تيه الحیرت</w:t>
      </w:r>
    </w:p>
    <w:p>
      <w:pPr>
        <w:pStyle w:val="BookText"/>
      </w:pPr>
      <w:r>
        <w:rPr>
          <w:rFonts w:ascii="IRNazanin" w:hAnsi="IRNazanin" w:eastAsia="IRNazanin" w:cs="IRNazanin"/>
          <w:lang w:bidi="fa-IR"/>
          <w:color w:val="111111"/>
          <w:sz w:val="28"/>
          <w:szCs w:val="28"/>
          <w:rtl/>
        </w:rPr>
        <w:t xml:space="preserve">در فهرست با عنوان «مکتوب برای شیخ محمد شاه فرزند سلطان» ثبت شده؛ خط: نستعلیق، بی کا، بی تا؛ مجدول، مذهب؛ واقف: نائینی؛ ۸ گ، ۲۵ 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۶-۴۷۴]</w:t>
      </w:r>
    </w:p>
    <w:p>
      <w:pPr>
        <w:pStyle w:val="BookText"/>
      </w:pPr>
      <w:r>
        <w:rPr>
          <w:rFonts w:ascii="IRNazanin" w:hAnsi="IRNazanin" w:eastAsia="IRNazanin" w:cs="IRNazanin"/>
          <w:lang w:bidi="fa-IR"/>
          <w:color w:val="111111"/>
          <w:sz w:val="28"/>
          <w:szCs w:val="28"/>
          <w:rtl/>
        </w:rPr>
        <w:t xml:space="preserve">۲۱. تهران، دانشگاه؛ شماره نسخه: ۴۷۳۶/۶۷</w:t>
      </w:r>
    </w:p>
    <w:p>
      <w:pPr>
        <w:pStyle w:val="BookText"/>
      </w:pPr>
      <w:r>
        <w:rPr>
          <w:rFonts w:ascii="Amiri" w:hAnsi="Amiri" w:eastAsia="Amiri" w:cs="Amiri"/>
          <w:lang w:bidi="ar-SA"/>
          <w:color w:val="111111"/>
          <w:sz w:val="28"/>
          <w:szCs w:val="28"/>
          <w:rtl/>
        </w:rPr>
        <w:t xml:space="preserve">آغاز: برابر؛ انجام: و اخرجنا من تيه الظلمة و الحيرة بفضله و رحمته انه قريب مجيب برحمتك يا ارحم الراحمين.</w:t>
      </w:r>
    </w:p>
    <w:p>
      <w:pPr>
        <w:pStyle w:val="BookText"/>
      </w:pPr>
      <w:r>
        <w:rPr>
          <w:rFonts w:ascii="IRNazanin" w:hAnsi="IRNazanin" w:eastAsia="IRNazanin" w:cs="IRNazanin"/>
          <w:lang w:bidi="fa-IR"/>
          <w:color w:val="111111"/>
          <w:sz w:val="28"/>
          <w:szCs w:val="28"/>
          <w:rtl/>
        </w:rPr>
        <w:t xml:space="preserve">بی کا، بی تا؛ کاغذ: سپاهانی، جلد: تیماج سرخ ضربی مقوایی، عص (۳۳۱-۳۳۷)، چلیپا سطر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۳۶۹۹-۱۴ ]</w:t>
      </w:r>
    </w:p>
    <w:p>
      <w:pPr>
        <w:pStyle w:val="BookText"/>
      </w:pPr>
      <w:r>
        <w:rPr>
          <w:rFonts w:ascii="IRNazanin" w:hAnsi="IRNazanin" w:eastAsia="IRNazanin" w:cs="IRNazanin"/>
          <w:lang w:bidi="fa-IR"/>
          <w:color w:val="111111"/>
          <w:sz w:val="28"/>
          <w:szCs w:val="28"/>
          <w:rtl/>
        </w:rPr>
        <w:t xml:space="preserve">۲۲. تهران: دانشگاه؛ شماره نسخه: ۷۹۰۲/۷</w:t>
      </w:r>
    </w:p>
    <w:p>
      <w:pPr>
        <w:pStyle w:val="BookText"/>
      </w:pPr>
      <w:r>
        <w:rPr>
          <w:rFonts w:ascii="IRNazanin" w:hAnsi="IRNazanin" w:eastAsia="IRNazanin" w:cs="IRNazanin"/>
          <w:lang w:bidi="fa-IR"/>
          <w:color w:val="111111"/>
          <w:sz w:val="28"/>
          <w:szCs w:val="28"/>
          <w:rtl/>
        </w:rPr>
        <w:t xml:space="preserve">آغاز: برابر؛ انجام: حضرت صمدیت ... توفيق طاعات و خیرات رفيق حال همگنان کناد بلطفه و کرمه انه قريب مجيب و الحمدلله وحده و السلام علی من اتبع الهدی</w:t>
      </w:r>
    </w:p>
    <w:p>
      <w:pPr>
        <w:pStyle w:val="BookText"/>
      </w:pPr>
      <w:r>
        <w:rPr>
          <w:rFonts w:ascii="IRNazanin" w:hAnsi="IRNazanin" w:eastAsia="IRNazanin" w:cs="IRNazanin"/>
          <w:lang w:bidi="fa-IR"/>
          <w:color w:val="111111"/>
          <w:sz w:val="28"/>
          <w:szCs w:val="28"/>
          <w:rtl/>
        </w:rPr>
        <w:t xml:space="preserve">در فهرست «مشارب الأذواق» معرفی شده ولی آغاز و انجام با بهرامشاهيه هماهنگ است؛ خط: نستعلیق، کا: محمد فاضل روضه ای، بی تاب کاغذ: سپاهانی، جلد: تیماج تریاکی غضربی مقوایی با پوشه مخمل، ۱۰گ (۱۵۱-۱۶۰پ)، ۱۲ سطر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سم [ف: ۱۶-۷۲۹]</w:t>
      </w:r>
    </w:p>
    <w:p>
      <w:pPr>
        <w:pStyle w:val="BookText"/>
      </w:pPr>
      <w:r>
        <w:rPr>
          <w:rFonts w:ascii="IRNazanin" w:hAnsi="IRNazanin" w:eastAsia="IRNazanin" w:cs="IRNazanin"/>
          <w:lang w:bidi="fa-IR"/>
          <w:color w:val="111111"/>
          <w:sz w:val="28"/>
          <w:szCs w:val="28"/>
          <w:rtl/>
        </w:rPr>
        <w:t xml:space="preserve">۲۳. تهران: مجلس؛ شماره نسخه: ۱۰۵۲۸/۱</w:t>
      </w:r>
    </w:p>
    <w:p>
      <w:pPr>
        <w:pStyle w:val="BookText"/>
      </w:pPr>
      <w:r>
        <w:rPr>
          <w:rFonts w:ascii="Amiri" w:hAnsi="Amiri" w:eastAsia="Amiri" w:cs="Amiri"/>
          <w:lang w:bidi="ar-SA"/>
          <w:color w:val="111111"/>
          <w:sz w:val="28"/>
          <w:szCs w:val="28"/>
          <w:rtl/>
        </w:rPr>
        <w:t xml:space="preserve">آغاز: برابر؛ انجام: مثل العالم بامر الله كمثل السراج يحرق نفسه و يضيء لغيره نقل من آداب المتعلمين.</w:t>
      </w:r>
    </w:p>
    <w:p>
      <w:pPr>
        <w:pStyle w:val="BookText"/>
      </w:pPr>
      <w:r>
        <w:rPr>
          <w:rFonts w:ascii="IRNazanin" w:hAnsi="IRNazanin" w:eastAsia="IRNazanin" w:cs="IRNazanin"/>
          <w:lang w:bidi="fa-IR"/>
          <w:color w:val="111111"/>
          <w:sz w:val="28"/>
          <w:szCs w:val="28"/>
          <w:rtl/>
        </w:rPr>
        <w:t xml:space="preserve">در فهرست مؤلف به اشتباه عزیز الدین نسفی دانسته شده؛ خط: نستعلیق، بی کا، بی تا، خطوط چلیپا؛ جلد: تیماج سیاه ساده، ۱۴گ ( ۲۶-۱۱۳ پ)،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۳۳/۱ -۷۸]</w:t>
      </w:r>
    </w:p>
    <w:p>
      <w:pPr>
        <w:pStyle w:val="Heading3"/>
      </w:pPr>
      <w:bookmarkStart w:id="1150" w:name="_Toc410"/>
      <w:r>
        <w:t>• بهرام گور / داستان / فارسی</w:t>
      </w:r>
      <w:bookmarkEnd w:id="1150"/>
    </w:p>
    <w:p>
      <w:pPr>
        <w:pStyle w:val="BookText"/>
      </w:pPr>
      <w:r>
        <w:rPr>
          <w:rFonts w:ascii="Times New Roman" w:hAnsi="Times New Roman" w:eastAsia="Times New Roman" w:cs="Times New Roman"/>
          <w:lang w:val="en-US" w:bidi="en-US"/>
          <w:color w:val="111111"/>
          <w:sz w:val="28"/>
          <w:szCs w:val="28"/>
          <w:rtl/>
        </w:rPr>
        <w:t xml:space="preserve">bahrām-e gūr</w:t>
      </w:r>
    </w:p>
    <w:p>
      <w:pPr>
        <w:pStyle w:val="BookText"/>
      </w:pPr>
      <w:r>
        <w:rPr>
          <w:rFonts w:ascii="IRNazanin" w:hAnsi="IRNazanin" w:eastAsia="IRNazanin" w:cs="IRNazanin"/>
          <w:lang w:bidi="fa-IR"/>
          <w:color w:val="111111"/>
          <w:sz w:val="28"/>
          <w:szCs w:val="28"/>
          <w:rtl/>
        </w:rPr>
        <w:t xml:space="preserve">تهران؛ ملی؛ شماره نسخه: ۲۵۵۷۶</w:t>
      </w:r>
    </w:p>
    <w:p>
      <w:pPr>
        <w:pStyle w:val="BookText"/>
      </w:pPr>
      <w:r>
        <w:rPr>
          <w:rFonts w:ascii="IRNazanin" w:hAnsi="IRNazanin" w:eastAsia="IRNazanin" w:cs="IRNazanin"/>
          <w:lang w:bidi="fa-IR"/>
          <w:color w:val="111111"/>
          <w:sz w:val="28"/>
          <w:szCs w:val="28"/>
          <w:rtl/>
        </w:rPr>
        <w:t xml:space="preserve">بی کا، بی تا [رایانه]</w:t>
      </w:r>
    </w:p>
    <w:p>
      <w:pPr>
        <w:pStyle w:val="BookText"/>
      </w:pPr>
      <w:r>
        <w:rPr>
          <w:rFonts w:ascii="IRNazanin" w:hAnsi="IRNazanin" w:eastAsia="IRNazanin" w:cs="IRNazanin"/>
          <w:lang w:bidi="fa-IR"/>
          <w:color w:val="111111"/>
          <w:sz w:val="28"/>
          <w:szCs w:val="28"/>
          <w:rtl/>
        </w:rPr>
        <w:t xml:space="preserve">←بهرام نامه← هفت پیکر</w:t>
      </w:r>
    </w:p>
    <w:p>
      <w:pPr>
        <w:pStyle w:val="BookText"/>
      </w:pPr>
      <w:r>
        <w:rPr>
          <w:rFonts w:ascii="IRNazanin" w:hAnsi="IRNazanin" w:eastAsia="IRNazanin" w:cs="IRNazanin"/>
          <w:lang w:bidi="fa-IR"/>
          <w:color w:val="111111"/>
          <w:sz w:val="28"/>
          <w:szCs w:val="28"/>
          <w:rtl/>
        </w:rPr>
        <w:t xml:space="preserve">← بهرام نامه ← آسمان هشتم</w:t>
      </w:r>
    </w:p>
    <w:p>
      <w:pPr>
        <w:pStyle w:val="Heading3"/>
      </w:pPr>
      <w:bookmarkStart w:id="1151" w:name="_Toc411"/>
      <w:r>
        <w:t>•بهرام نامه / شعر / فارسی</w:t>
      </w:r>
      <w:bookmarkEnd w:id="1151"/>
    </w:p>
    <w:p>
      <w:pPr>
        <w:pStyle w:val="BookText"/>
      </w:pPr>
      <w:r>
        <w:rPr>
          <w:rFonts w:ascii="Times New Roman" w:hAnsi="Times New Roman" w:eastAsia="Times New Roman" w:cs="Times New Roman"/>
          <w:lang w:val="en-US" w:bidi="en-US"/>
          <w:color w:val="111111"/>
          <w:sz w:val="28"/>
          <w:szCs w:val="28"/>
          <w:rtl/>
        </w:rPr>
        <w:t xml:space="preserve">bahrām-nāme</w:t>
      </w:r>
    </w:p>
    <w:p>
      <w:pPr>
        <w:pStyle w:val="BookText"/>
      </w:pPr>
      <w:r>
        <w:rPr>
          <w:rFonts w:ascii="IRNazanin" w:hAnsi="IRNazanin" w:eastAsia="IRNazanin" w:cs="IRNazanin"/>
          <w:lang w:bidi="fa-IR"/>
          <w:color w:val="111111"/>
          <w:sz w:val="28"/>
          <w:szCs w:val="28"/>
          <w:rtl/>
        </w:rPr>
        <w:t xml:space="preserve">شهاب ترشیزی، میرزا عبد الله خان، ۱۲۱۵ ؟ قمری</w:t>
      </w:r>
    </w:p>
    <w:p>
      <w:pPr>
        <w:pStyle w:val="BookText"/>
      </w:pPr>
      <w:r>
        <w:rPr>
          <w:rFonts w:ascii="Times New Roman" w:hAnsi="Times New Roman" w:eastAsia="Times New Roman" w:cs="Times New Roman"/>
          <w:lang w:val="en-US" w:bidi="en-US"/>
          <w:color w:val="111111"/>
          <w:sz w:val="28"/>
          <w:szCs w:val="28"/>
          <w:rtl/>
        </w:rPr>
        <w:t xml:space="preserve">šahāb-e toršīzī, mīrzā “abd-ol-lāh xān (- 1801)</w:t>
      </w:r>
    </w:p>
    <w:p>
      <w:pPr>
        <w:pStyle w:val="BookText"/>
      </w:pPr>
      <w:r>
        <w:rPr>
          <w:rFonts w:ascii="IRNazanin" w:hAnsi="IRNazanin" w:eastAsia="IRNazanin" w:cs="IRNazanin"/>
          <w:lang w:bidi="fa-IR"/>
          <w:color w:val="111111"/>
          <w:sz w:val="28"/>
          <w:szCs w:val="28"/>
          <w:rtl/>
        </w:rPr>
        <w:t xml:space="preserve">در دیباچه دیوان او (نسخه ۳۲۱ مجلس) ضمن فهرستی از نگارشات خود نام بهرام نامه را آورده است. داستان باز آمدن بهرام است از یمن و پادشاهی او و عشق کنیزک چینی با دختر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38" w:name="pg20363_209361"/>
    <w:bookmarkEnd w:id="138"/>
    <w:p>
      <w:pPr>
        <w:pStyle w:val="BookText"/>
      </w:pPr>
      <w:r>
        <w:rPr>
          <w:rFonts w:ascii="IRNazanin" w:hAnsi="IRNazanin" w:eastAsia="IRNazanin" w:cs="IRNazanin"/>
          <w:lang w:bidi="fa-IR"/>
          <w:color w:val="111111"/>
          <w:sz w:val="28"/>
          <w:szCs w:val="28"/>
          <w:rtl/>
        </w:rPr>
        <w:t xml:space="preserve">پادشاه فرنگ. آغاز در دیباچه و انجام در خاتمت كتاب و تاریخ نظم آن افتاده است. نسخه حدود ۲۳۵۰ بیت دارد.</w:t>
      </w:r>
    </w:p>
    <w:p>
      <w:pPr>
        <w:pStyle w:val="BookText"/>
      </w:pPr>
      <w:r>
        <w:rPr>
          <w:rFonts w:ascii="IRNazanin" w:hAnsi="IRNazanin" w:eastAsia="IRNazanin" w:cs="IRNazanin"/>
          <w:lang w:bidi="fa-IR"/>
          <w:color w:val="111111"/>
          <w:sz w:val="28"/>
          <w:szCs w:val="28"/>
          <w:rtl/>
        </w:rPr>
        <w:t xml:space="preserve">[الذريعة ۵۵۳/۹ ؛ دنا ۵۷۲/۲ ؛ فهرستواره منزوی ۳۸۴/۱۰ ]</w:t>
      </w:r>
    </w:p>
    <w:p>
      <w:pPr>
        <w:pStyle w:val="BookText"/>
      </w:pPr>
      <w:r>
        <w:rPr>
          <w:rFonts w:ascii="IRNazanin" w:hAnsi="IRNazanin" w:eastAsia="IRNazanin" w:cs="IRNazanin"/>
          <w:lang w:bidi="fa-IR"/>
          <w:color w:val="111111"/>
          <w:sz w:val="28"/>
          <w:szCs w:val="28"/>
          <w:rtl/>
        </w:rPr>
        <w:t xml:space="preserve">تهران؛ ملک؛ شماره نسخه: ۴۷۰۹/۱ آغاز: (به زیر وصالی رفته است) ...***که عاجز بود پیش موری ضعیف؛ انجام: ترا بر ... از جای خواب *** برندت بسوى لحد با شتاب</w:t>
      </w:r>
    </w:p>
    <w:p>
      <w:pPr>
        <w:pStyle w:val="BookText"/>
      </w:pPr>
      <w:r>
        <w:rPr>
          <w:rFonts w:ascii="IRNazanin" w:hAnsi="IRNazanin" w:eastAsia="IRNazanin" w:cs="IRNazanin"/>
          <w:lang w:bidi="fa-IR"/>
          <w:color w:val="111111"/>
          <w:sz w:val="28"/>
          <w:szCs w:val="28"/>
          <w:rtl/>
        </w:rPr>
        <w:t xml:space="preserve">خط: نستعلیق، بی کا، تا: قرن ۱۲؛ افتادگی: آغاز و انجام کاغذ: نوعی ترمه، جلد: میشن قهوه ای، ۸۰گ (۱ر-۸۰پ)، اندازه: ۲۶/۲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۱۷/۲ سم [ف: ۸-۵۹]</w:t>
      </w:r>
    </w:p>
    <w:p>
      <w:pPr>
        <w:pStyle w:val="Heading3"/>
      </w:pPr>
      <w:bookmarkStart w:id="1152" w:name="_Toc412"/>
      <w:r>
        <w:t>• بهرام نامه = بهرام و گلندام / شعر / فارسی</w:t>
      </w:r>
      <w:bookmarkEnd w:id="1152"/>
    </w:p>
    <w:p>
      <w:pPr>
        <w:pStyle w:val="BookText"/>
      </w:pPr>
      <w:r>
        <w:rPr>
          <w:rFonts w:ascii="Times New Roman" w:hAnsi="Times New Roman" w:eastAsia="Times New Roman" w:cs="Times New Roman"/>
          <w:lang w:val="en-US" w:bidi="en-US"/>
          <w:color w:val="111111"/>
          <w:sz w:val="28"/>
          <w:szCs w:val="28"/>
          <w:rtl/>
        </w:rPr>
        <w:t xml:space="preserve">bahrām-nāme = bahrām va golandām</w:t>
      </w:r>
    </w:p>
    <w:p>
      <w:pPr>
        <w:pStyle w:val="BookText"/>
      </w:pPr>
      <w:r>
        <w:rPr>
          <w:rFonts w:ascii="IRNazanin" w:hAnsi="IRNazanin" w:eastAsia="IRNazanin" w:cs="IRNazanin"/>
          <w:lang w:bidi="fa-IR"/>
          <w:color w:val="111111"/>
          <w:sz w:val="28"/>
          <w:szCs w:val="28"/>
          <w:rtl/>
        </w:rPr>
        <w:t xml:space="preserve">تهران؛ بیانی، مهدی (دکتر)؛ شماره نسخه:</w:t>
      </w:r>
    </w:p>
    <w:p>
      <w:pPr>
        <w:pStyle w:val="BookText"/>
      </w:pPr>
      <w:r>
        <w:rPr>
          <w:rFonts w:ascii="IRNazanin" w:hAnsi="IRNazanin" w:eastAsia="IRNazanin" w:cs="IRNazanin"/>
          <w:lang w:bidi="fa-IR"/>
          <w:color w:val="111111"/>
          <w:sz w:val="28"/>
          <w:szCs w:val="28"/>
          <w:rtl/>
        </w:rPr>
        <w:t xml:space="preserve">۵۸/۲ خط: نستعلیق بد، بی کا، تا: قرن ۱۱ نشریه: ۱-۱۶]</w:t>
      </w:r>
    </w:p>
    <w:p>
      <w:pPr>
        <w:pStyle w:val="Heading3"/>
      </w:pPr>
      <w:bookmarkStart w:id="1153" w:name="_Toc413"/>
      <w:r>
        <w:t>• بهرام نامه / شعر / فارسی</w:t>
      </w:r>
      <w:bookmarkEnd w:id="1153"/>
    </w:p>
    <w:p>
      <w:pPr>
        <w:pStyle w:val="BookText"/>
      </w:pPr>
      <w:r>
        <w:rPr>
          <w:rFonts w:ascii="Times New Roman" w:hAnsi="Times New Roman" w:eastAsia="Times New Roman" w:cs="Times New Roman"/>
          <w:lang w:val="en-US" w:bidi="en-US"/>
          <w:color w:val="111111"/>
          <w:sz w:val="28"/>
          <w:szCs w:val="28"/>
          <w:rtl/>
        </w:rPr>
        <w:t xml:space="preserve">bahram-name</w:t>
      </w:r>
    </w:p>
    <w:p>
      <w:pPr>
        <w:pStyle w:val="BookText"/>
      </w:pPr>
      <w:r>
        <w:rPr>
          <w:rFonts w:ascii="IRNazanin" w:hAnsi="IRNazanin" w:eastAsia="IRNazanin" w:cs="IRNazanin"/>
          <w:lang w:bidi="fa-IR"/>
          <w:color w:val="111111"/>
          <w:sz w:val="28"/>
          <w:szCs w:val="28"/>
          <w:rtl/>
        </w:rPr>
        <w:t xml:space="preserve">تهران؛ دانشگاه؛ شماره نسخه: ۷۶۱۹/۳</w:t>
      </w:r>
    </w:p>
    <w:p>
      <w:pPr>
        <w:pStyle w:val="BookText"/>
      </w:pPr>
      <w:r>
        <w:rPr>
          <w:rFonts w:ascii="IRNazanin" w:hAnsi="IRNazanin" w:eastAsia="IRNazanin" w:cs="IRNazanin"/>
          <w:lang w:bidi="fa-IR"/>
          <w:color w:val="111111"/>
          <w:sz w:val="28"/>
          <w:szCs w:val="28"/>
          <w:rtl/>
        </w:rPr>
        <w:t xml:space="preserve">آغاز: گوهر افروز گنج خانه راز</w:t>
      </w:r>
      <w:r>
        <w:rPr>
          <w:rFonts w:ascii="IRNazanin" w:hAnsi="IRNazanin" w:eastAsia="IRNazanin" w:cs="IRNazanin"/>
          <w:lang w:bidi="fa-IR"/>
          <w:color w:val="111111"/>
          <w:sz w:val="28"/>
          <w:szCs w:val="28"/>
          <w:b w:val="1"/>
          <w:bCs w:val="1"/>
          <w:i w:val="1"/>
          <w:iCs w:val="1"/>
          <w:rtl/>
        </w:rPr>
        <w:t xml:space="preserve">گنچ گوهر چنين گشاید باز / کاسمان را ترازوی دو سر است</w:t>
      </w:r>
      <w:r>
        <w:rPr>
          <w:rFonts w:ascii="IRNazanin" w:hAnsi="IRNazanin" w:eastAsia="IRNazanin" w:cs="IRNazanin"/>
          <w:lang w:bidi="fa-IR"/>
          <w:color w:val="111111"/>
          <w:sz w:val="28"/>
          <w:szCs w:val="28"/>
          <w:rtl/>
        </w:rPr>
        <w:t xml:space="preserve">در یکی سنگ در یکی گهر است؛ انجام: گفت بر سر خواجه ای دارم کریم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هستم از انعام او غرق نعیم / خوان پر از نام خانه اش پر گندم است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قحط نان از خانمان او کم است خط: شکسته نستعلیق، کا: محمد حسین بن کربلائی حاجی محمد جامعی، تا: ۱۲۴۲ق؛ کاغذ: فرنگی، جلد: تیماج مشکی مقوایی، ۴۳گ (۱۱۱-۱۵۳)، ۲۰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 قطع: رحلی،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۱۶-۶۵۶]</w:t>
      </w:r>
    </w:p>
    <w:p>
      <w:pPr>
        <w:pStyle w:val="Heading3"/>
      </w:pPr>
      <w:bookmarkStart w:id="1154" w:name="_Toc414"/>
      <w:r>
        <w:t>• بهرام و بهروز - باغ ارم / داستان / فارسی</w:t>
      </w:r>
      <w:bookmarkEnd w:id="1154"/>
    </w:p>
    <w:p>
      <w:pPr>
        <w:pStyle w:val="BookText"/>
      </w:pPr>
      <w:r>
        <w:rPr>
          <w:rFonts w:ascii="Times New Roman" w:hAnsi="Times New Roman" w:eastAsia="Times New Roman" w:cs="Times New Roman"/>
          <w:lang w:val="en-US" w:bidi="en-US"/>
          <w:color w:val="111111"/>
          <w:sz w:val="28"/>
          <w:szCs w:val="28"/>
          <w:rtl/>
        </w:rPr>
        <w:t xml:space="preserve">bahram va behruz = baq-e eram</w:t>
      </w:r>
    </w:p>
    <w:p>
      <w:pPr>
        <w:pStyle w:val="BookText"/>
      </w:pPr>
      <w:r>
        <w:rPr>
          <w:rFonts w:ascii="IRNazanin" w:hAnsi="IRNazanin" w:eastAsia="IRNazanin" w:cs="IRNazanin"/>
          <w:lang w:bidi="fa-IR"/>
          <w:color w:val="111111"/>
          <w:sz w:val="28"/>
          <w:szCs w:val="28"/>
          <w:rtl/>
        </w:rPr>
        <w:t xml:space="preserve">سنایی، مجدود بن آدم، ۴۷۳؟ -۵۲۵ ؟ قمری</w:t>
      </w:r>
    </w:p>
    <w:p>
      <w:pPr>
        <w:pStyle w:val="BookText"/>
      </w:pPr>
      <w:r>
        <w:rPr>
          <w:rFonts w:ascii="Times New Roman" w:hAnsi="Times New Roman" w:eastAsia="Times New Roman" w:cs="Times New Roman"/>
          <w:lang w:val="en-US" w:bidi="en-US"/>
          <w:color w:val="111111"/>
          <w:sz w:val="28"/>
          <w:szCs w:val="28"/>
          <w:rtl/>
        </w:rPr>
        <w:t xml:space="preserve">sanā'ī, majdūd ebn-e ādam (1081-1132)</w:t>
      </w:r>
    </w:p>
    <w:p>
      <w:pPr>
        <w:pStyle w:val="BookText"/>
      </w:pPr>
      <w:r>
        <w:rPr>
          <w:rFonts w:ascii="IRNazanin" w:hAnsi="IRNazanin" w:eastAsia="IRNazanin" w:cs="IRNazanin"/>
          <w:lang w:bidi="fa-IR"/>
          <w:color w:val="111111"/>
          <w:sz w:val="28"/>
          <w:szCs w:val="28"/>
          <w:rtl/>
        </w:rPr>
        <w:t xml:space="preserve">همان که منسوب به سنایی غزنوی شده و یکی از مثنوی های «ستهای او به حساب آمده است ولی استاد مدرس رضوی آن را از امامی هروی دانسته و می نویسد: شاید برای این به سنایی نسبت داده شده، که در آن تضمینی از «حديقه» او آورده شده است، که در آن نام سنایی آمده است: «با بدان کم کن آشنایی را به گوش کن گفته ی سنایی را». نفیسی آن را از علی شیر بنایی هروی، از قرن نهم می داند، که نخست خیالی و سپس بنایی</w:t>
      </w:r>
    </w:p>
    <w:p>
      <w:pPr>
        <w:pStyle w:val="BookText"/>
      </w:pPr>
      <w:r>
        <w:rPr>
          <w:rFonts w:ascii="IRNazanin" w:hAnsi="IRNazanin" w:eastAsia="IRNazanin" w:cs="IRNazanin"/>
          <w:lang w:bidi="fa-IR"/>
          <w:color w:val="111111"/>
          <w:sz w:val="28"/>
          <w:szCs w:val="28"/>
          <w:rtl/>
        </w:rPr>
        <w:t xml:space="preserve">تخلص کرده است. که آن را به نام سلطان يعقوب آن قوینلو ساخته است و می افزاید هنگامی آن را سروده که هنوز «حالی» تخلص می کرده است و به علت شباهت تخلص منسوب به سنایی شده است. مثنوی ست فلسفی، در داستان بهرام و بهروز که در آن «بهروز» نماینده نیکی و «بهرام» نماینده بدی است به نام «باغ ارم» که به نام «بهرام و بهروز» شهرت یافته: «نام او شد نهال باغ ارم*** تا که روشن کند چراغ ارم». (احمد منزوی) آغاز: ۱. ای وجود تو اصل كل وجود*** هستی و بوده ای و خواهی بود / ملك الملك جل سلطانه</w:t>
      </w:r>
      <w:r>
        <w:rPr>
          <w:rFonts w:ascii="IRNazanin" w:hAnsi="IRNazanin" w:eastAsia="IRNazanin" w:cs="IRNazanin"/>
          <w:lang w:bidi="fa-IR"/>
          <w:color w:val="111111"/>
          <w:sz w:val="28"/>
          <w:szCs w:val="28"/>
          <w:b w:val="1"/>
          <w:bCs w:val="1"/>
          <w:i w:val="1"/>
          <w:iCs w:val="1"/>
          <w:rtl/>
        </w:rPr>
        <w:t xml:space="preserve">خالق الخلق عم برهانه ٢. اینچنین گفت راوی همه دان</w:t>
      </w:r>
      <w:r>
        <w:rPr>
          <w:rFonts w:ascii="IRNazanin" w:hAnsi="IRNazanin" w:eastAsia="IRNazanin" w:cs="IRNazanin"/>
          <w:lang w:bidi="fa-IR"/>
          <w:color w:val="111111"/>
          <w:sz w:val="28"/>
          <w:szCs w:val="28"/>
          <w:rtl/>
        </w:rPr>
        <w:t xml:space="preserve"> که بعهد قدیم در همدان</w:t>
      </w:r>
    </w:p>
    <w:p>
      <w:pPr>
        <w:pStyle w:val="BookText"/>
      </w:pPr>
      <w:r>
        <w:rPr>
          <w:rFonts w:ascii="IRNazanin" w:hAnsi="IRNazanin" w:eastAsia="IRNazanin" w:cs="IRNazanin"/>
          <w:lang w:bidi="fa-IR"/>
          <w:color w:val="111111"/>
          <w:sz w:val="28"/>
          <w:szCs w:val="28"/>
          <w:rtl/>
        </w:rPr>
        <w:t xml:space="preserve">[دنا ۵۷۲/۲ ؛ فهرستواره منزوی ۳۸۵/۱0 ]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ملی؛ شماره نسخه: ۳۰۳۶/۲</w:t>
      </w:r>
    </w:p>
    <w:p>
      <w:pPr>
        <w:pStyle w:val="BookText"/>
      </w:pPr>
      <w:r>
        <w:rPr>
          <w:rFonts w:ascii="IRNazanin" w:hAnsi="IRNazanin" w:eastAsia="IRNazanin" w:cs="IRNazanin"/>
          <w:lang w:bidi="fa-IR"/>
          <w:color w:val="111111"/>
          <w:sz w:val="28"/>
          <w:szCs w:val="28"/>
          <w:rtl/>
        </w:rPr>
        <w:t xml:space="preserve">آغاز: برابر ۲</w:t>
      </w:r>
    </w:p>
    <w:p>
      <w:pPr>
        <w:pStyle w:val="BookText"/>
      </w:pPr>
      <w:r>
        <w:rPr>
          <w:rFonts w:ascii="IRNazanin" w:hAnsi="IRNazanin" w:eastAsia="IRNazanin" w:cs="IRNazanin"/>
          <w:lang w:bidi="fa-IR"/>
          <w:color w:val="111111"/>
          <w:sz w:val="28"/>
          <w:szCs w:val="28"/>
          <w:rtl/>
        </w:rPr>
        <w:t xml:space="preserve">خط: نستعلیق خوش، بی کا، تا: محتملا قرن ۱۱؛ کاغذ: فرنگی، جلد: مقوایی تیماج مشکی ساده، ۲۹گ (۱۹-۴۷)، ۱۵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سم [ف: ۶-۸۳۴]</w:t>
      </w:r>
    </w:p>
    <w:p>
      <w:pPr>
        <w:pStyle w:val="BookText"/>
      </w:pPr>
      <w:r>
        <w:rPr>
          <w:rFonts w:ascii="IRNazanin" w:hAnsi="IRNazanin" w:eastAsia="IRNazanin" w:cs="IRNazanin"/>
          <w:lang w:bidi="fa-IR"/>
          <w:color w:val="111111"/>
          <w:sz w:val="28"/>
          <w:szCs w:val="28"/>
          <w:rtl/>
        </w:rPr>
        <w:t xml:space="preserve">۲. همدان؛ آرامگاه بوعلی؛ شماره نسخه: بدون شماره</w:t>
      </w:r>
    </w:p>
    <w:p>
      <w:pPr>
        <w:pStyle w:val="BookText"/>
      </w:pPr>
      <w:r>
        <w:rPr>
          <w:rFonts w:ascii="IRNazanin" w:hAnsi="IRNazanin" w:eastAsia="IRNazanin" w:cs="IRNazanin"/>
          <w:lang w:bidi="fa-IR"/>
          <w:color w:val="111111"/>
          <w:sz w:val="28"/>
          <w:szCs w:val="28"/>
          <w:rtl/>
        </w:rPr>
        <w:t xml:space="preserve">سنائی (؟)؛ خط: نستعلیق، بی کا، تا: ۱۰۷۳ق؛ با سرلوح، مجدول زرین، با هفت مجلس تصویر[ نشریه: ۵-۳۲۸]</w:t>
      </w:r>
    </w:p>
    <w:p>
      <w:pPr>
        <w:pStyle w:val="Heading3"/>
      </w:pPr>
      <w:bookmarkStart w:id="1155" w:name="_Toc415"/>
      <w:r>
        <w:t>• بهرام و بهروز = باغ ارم / شعر / فارسی</w:t>
      </w:r>
      <w:bookmarkEnd w:id="1155"/>
    </w:p>
    <w:p>
      <w:pPr>
        <w:pStyle w:val="BookText"/>
      </w:pPr>
      <w:r>
        <w:rPr>
          <w:rFonts w:ascii="Times New Roman" w:hAnsi="Times New Roman" w:eastAsia="Times New Roman" w:cs="Times New Roman"/>
          <w:lang w:val="en-US" w:bidi="en-US"/>
          <w:color w:val="111111"/>
          <w:sz w:val="28"/>
          <w:szCs w:val="28"/>
          <w:rtl/>
        </w:rPr>
        <w:t xml:space="preserve">bahrām va behrūz=bāq-e eram</w:t>
      </w:r>
    </w:p>
    <w:p>
      <w:pPr>
        <w:pStyle w:val="BookText"/>
      </w:pPr>
      <w:r>
        <w:rPr>
          <w:rFonts w:ascii="IRNazanin" w:hAnsi="IRNazanin" w:eastAsia="IRNazanin" w:cs="IRNazanin"/>
          <w:lang w:bidi="fa-IR"/>
          <w:color w:val="111111"/>
          <w:sz w:val="28"/>
          <w:szCs w:val="28"/>
          <w:rtl/>
        </w:rPr>
        <w:t xml:space="preserve">بنائی، کمال الدین بن محمد، -۹۱۸ قمری</w:t>
      </w:r>
    </w:p>
    <w:p>
      <w:pPr>
        <w:pStyle w:val="BookText"/>
      </w:pPr>
      <w:r>
        <w:rPr>
          <w:rFonts w:ascii="Times New Roman" w:hAnsi="Times New Roman" w:eastAsia="Times New Roman" w:cs="Times New Roman"/>
          <w:lang w:val="en-US" w:bidi="en-US"/>
          <w:color w:val="111111"/>
          <w:sz w:val="28"/>
          <w:szCs w:val="28"/>
          <w:rtl/>
        </w:rPr>
        <w:t xml:space="preserve">banā'ī, kamāl-od-dīn ebn-e mohammad (- 1513)</w:t>
      </w:r>
    </w:p>
    <w:p>
      <w:pPr>
        <w:pStyle w:val="BookText"/>
      </w:pPr>
      <w:r>
        <w:rPr>
          <w:rFonts w:ascii="IRNazanin" w:hAnsi="IRNazanin" w:eastAsia="IRNazanin" w:cs="IRNazanin"/>
          <w:lang w:bidi="fa-IR"/>
          <w:color w:val="111111"/>
          <w:sz w:val="28"/>
          <w:szCs w:val="28"/>
          <w:rtl/>
        </w:rPr>
        <w:t xml:space="preserve">این مثنوی شامل مسائل اخلاقی و تربیتی بوده اخلاق حمیده و کردار نیک را ستایش و خلق بد و رفتار ناشایسته را مذمت و محکوم می نماید.</w:t>
      </w:r>
    </w:p>
    <w:p>
      <w:pPr>
        <w:pStyle w:val="BookText"/>
      </w:pPr>
      <w:r>
        <w:rPr>
          <w:rFonts w:ascii="IRNazanin" w:hAnsi="IRNazanin" w:eastAsia="IRNazanin" w:cs="IRNazanin"/>
          <w:lang w:bidi="fa-IR"/>
          <w:color w:val="111111"/>
          <w:sz w:val="28"/>
          <w:szCs w:val="28"/>
          <w:rtl/>
        </w:rPr>
        <w:t xml:space="preserve">چاپ: چاپ سنگی تاشکند</w:t>
      </w:r>
    </w:p>
    <w:p>
      <w:pPr>
        <w:pStyle w:val="BookText"/>
      </w:pPr>
      <w:r>
        <w:rPr>
          <w:rFonts w:ascii="IRNazanin" w:hAnsi="IRNazanin" w:eastAsia="IRNazanin" w:cs="IRNazanin"/>
          <w:lang w:bidi="fa-IR"/>
          <w:color w:val="111111"/>
          <w:sz w:val="28"/>
          <w:szCs w:val="28"/>
          <w:rtl/>
        </w:rPr>
        <w:t xml:space="preserve">تهران؛ دانشگاه؛ شماره نسخه: ۵۱۸۸/۱ -ف</w:t>
      </w:r>
    </w:p>
    <w:p>
      <w:pPr>
        <w:pStyle w:val="BookText"/>
      </w:pPr>
      <w:r>
        <w:rPr>
          <w:rFonts w:ascii="IRNazanin" w:hAnsi="IRNazanin" w:eastAsia="IRNazanin" w:cs="IRNazanin"/>
          <w:lang w:bidi="fa-IR"/>
          <w:color w:val="111111"/>
          <w:sz w:val="28"/>
          <w:szCs w:val="28"/>
          <w:rtl/>
        </w:rPr>
        <w:t xml:space="preserve">نسخه اصل: چاپ سنگی تاشکند؛ خط: نستعلیق، كا: عبدالمنان حاجی بن عبدالوهاب، تا: ۱۳۲۶ق [فیلمها ف: ۳-۱۴۱]</w:t>
      </w:r>
    </w:p>
    <w:p>
      <w:pPr>
        <w:pStyle w:val="Heading3"/>
      </w:pPr>
      <w:bookmarkStart w:id="1156" w:name="_Toc416"/>
      <w:r>
        <w:t>• بهرام و بهروز / داستان / فارسی</w:t>
      </w:r>
      <w:bookmarkEnd w:id="1156"/>
    </w:p>
    <w:p>
      <w:pPr>
        <w:pStyle w:val="BookText"/>
      </w:pPr>
      <w:r>
        <w:rPr>
          <w:rFonts w:ascii="Times New Roman" w:hAnsi="Times New Roman" w:eastAsia="Times New Roman" w:cs="Times New Roman"/>
          <w:lang w:val="en-US" w:bidi="en-US"/>
          <w:color w:val="111111"/>
          <w:sz w:val="28"/>
          <w:szCs w:val="28"/>
          <w:rtl/>
        </w:rPr>
        <w:t xml:space="preserve">bahrām va behrūz</w:t>
      </w:r>
    </w:p>
    <w:p>
      <w:pPr>
        <w:pStyle w:val="BookText"/>
      </w:pPr>
      <w:r>
        <w:rPr>
          <w:rFonts w:ascii="IRNazanin" w:hAnsi="IRNazanin" w:eastAsia="IRNazanin" w:cs="IRNazanin"/>
          <w:lang w:bidi="fa-IR"/>
          <w:color w:val="111111"/>
          <w:sz w:val="28"/>
          <w:szCs w:val="28"/>
          <w:rtl/>
        </w:rPr>
        <w:t xml:space="preserve">مجموعه حکایات و داستان هایی به شیوه داستان در داستان و سبک قصه پردازی کلیله و دمنه است. یا عناوین «حکایت - حکایت».</w:t>
      </w:r>
    </w:p>
    <w:p>
      <w:pPr>
        <w:pStyle w:val="BookText"/>
      </w:pPr>
      <w:r>
        <w:rPr>
          <w:rFonts w:ascii="IRNazanin" w:hAnsi="IRNazanin" w:eastAsia="IRNazanin" w:cs="IRNazanin"/>
          <w:lang w:bidi="fa-IR"/>
          <w:color w:val="111111"/>
          <w:sz w:val="28"/>
          <w:szCs w:val="28"/>
          <w:rtl/>
        </w:rPr>
        <w:t xml:space="preserve">[ منزوی ۳۶۶۲/۵ -۳۶۸۹؛ مشترک پاکستان ۱۳۱۸/۶ ؛ دنا ۵۷۲/۲ -۵۷۳ (که چند روایت دیگر از این داستان معرفی شده)]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39" w:name="pg20363_209362"/>
    <w:bookmarkEnd w:id="139"/>
    <w:p>
      <w:pPr>
        <w:pStyle w:val="BookText"/>
      </w:pPr>
      <w:r>
        <w:rPr>
          <w:rFonts w:ascii="IRNazanin" w:hAnsi="IRNazanin" w:eastAsia="IRNazanin" w:cs="IRNazanin"/>
          <w:lang w:bidi="fa-IR"/>
          <w:color w:val="111111"/>
          <w:sz w:val="28"/>
          <w:szCs w:val="28"/>
          <w:rtl/>
        </w:rPr>
        <w:t xml:space="preserve">تهران؛ مجلس؛ شماره نسخه: ۸۸۶۴/۸</w:t>
      </w:r>
    </w:p>
    <w:p>
      <w:pPr>
        <w:pStyle w:val="BookText"/>
      </w:pPr>
      <w:r>
        <w:rPr>
          <w:rFonts w:ascii="IRNazanin" w:hAnsi="IRNazanin" w:eastAsia="IRNazanin" w:cs="IRNazanin"/>
          <w:lang w:bidi="fa-IR"/>
          <w:color w:val="111111"/>
          <w:sz w:val="28"/>
          <w:szCs w:val="28"/>
          <w:rtl/>
        </w:rPr>
        <w:t xml:space="preserve">آغاز: هو العليم. در کتب اصحاب تواریخ مسطور است و در صحايف ارباب حکایات منقول که وقتی در حدود طبرستان دو برادر بودند مشهور به کیاست و مذکور به فراست و موصوف به کثرت مال و معروف به بسیاری ملک؛ انجام می گفتی کع چون بهوزارت رسی و مرا پای دار بینی باید که در استخلاص من سعی ننمائی. اکنون يقين دانستی که ثمره علم و در این منصبی ارجمند است و نتیجه جهل و غوایت دار بلند. والسلام علی من اتبع الهدی و ترک اللالة و القوی.</w:t>
      </w:r>
    </w:p>
    <w:p>
      <w:pPr>
        <w:pStyle w:val="BookText"/>
      </w:pPr>
      <w:r>
        <w:rPr>
          <w:rFonts w:ascii="IRNazanin" w:hAnsi="IRNazanin" w:eastAsia="IRNazanin" w:cs="IRNazanin"/>
          <w:lang w:bidi="fa-IR"/>
          <w:color w:val="111111"/>
          <w:sz w:val="28"/>
          <w:szCs w:val="28"/>
          <w:rtl/>
        </w:rPr>
        <w:t xml:space="preserve">خط: نسخ و نستعلیق، بی کا، تا: قرن ۱۱؛ پس از آن فایده ای درباره بهترین علم (۲۴ر)، و من مضحکات عبید زاکانی (۲۴ر)، اشعار مرحوم میرزا عبدالوهاب علیه الرحمه (۲۵ر حاشیه)؛ کاغذ: الوان آهار مهره، جلد: میشن عنابی مجدول یک لا، ۸گ (۱۶پ -۲۳ر)، ابعاد متن: ۱۷/۳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۸/۶ ، اندازه: ۲۷/۹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۱۵/۶ سم [ف: ۲۹/۱-۱۶۸]</w:t>
      </w:r>
    </w:p>
    <w:p>
      <w:pPr>
        <w:pStyle w:val="Heading3"/>
      </w:pPr>
      <w:bookmarkStart w:id="1157" w:name="_Toc417"/>
      <w:r>
        <w:t>• بهرام و بهروز / داستان / فارسی</w:t>
      </w:r>
      <w:bookmarkEnd w:id="1157"/>
    </w:p>
    <w:p>
      <w:pPr>
        <w:pStyle w:val="BookText"/>
      </w:pPr>
      <w:r>
        <w:rPr>
          <w:rFonts w:ascii="Times New Roman" w:hAnsi="Times New Roman" w:eastAsia="Times New Roman" w:cs="Times New Roman"/>
          <w:lang w:val="en-US" w:bidi="en-US"/>
          <w:color w:val="111111"/>
          <w:sz w:val="28"/>
          <w:szCs w:val="28"/>
          <w:rtl/>
        </w:rPr>
        <w:t xml:space="preserve">bahrām va behrūz</w:t>
      </w:r>
    </w:p>
    <w:p>
      <w:pPr>
        <w:pStyle w:val="BookText"/>
      </w:pPr>
      <w:r>
        <w:rPr>
          <w:rFonts w:ascii="IRNazanin" w:hAnsi="IRNazanin" w:eastAsia="IRNazanin" w:cs="IRNazanin"/>
          <w:lang w:bidi="fa-IR"/>
          <w:color w:val="111111"/>
          <w:sz w:val="28"/>
          <w:szCs w:val="28"/>
          <w:rtl/>
        </w:rPr>
        <w:t xml:space="preserve">در آخر جلد اول تاریخ روضة الصفا آمده است که دو برادر به حدود طبرستان بودند در کمال عقل و بینش برادر بزرگتر را دختری بود جوهر نام و برادر کهتر را دو پسر بود یکی صالح و دیگری طالح؛ طالح را نام بهروز بود و طالح را نام بهرام. بهروز با پاکان نشستی و بهرام با ناپاکان در آمیختی این دو برادر را سر آن که با دختر عموی خود جوهر ازدواج کنند. این ازدواج داستانش به درازا کشید و آن در روضة الصفا مفصل آمده است.</w:t>
      </w:r>
    </w:p>
    <w:p>
      <w:pPr>
        <w:pStyle w:val="BookText"/>
      </w:pPr>
      <w:r>
        <w:rPr>
          <w:rFonts w:ascii="IRNazanin" w:hAnsi="IRNazanin" w:eastAsia="IRNazanin" w:cs="IRNazanin"/>
          <w:lang w:bidi="fa-IR"/>
          <w:color w:val="111111"/>
          <w:sz w:val="28"/>
          <w:szCs w:val="28"/>
          <w:rtl/>
        </w:rPr>
        <w:t xml:space="preserve">تهران؛ ملی؛ شماره نسخه: ۲۰۸۷/۳</w:t>
      </w:r>
    </w:p>
    <w:p>
      <w:pPr>
        <w:pStyle w:val="BookText"/>
      </w:pPr>
      <w:r>
        <w:rPr>
          <w:rFonts w:ascii="IRNazanin" w:hAnsi="IRNazanin" w:eastAsia="IRNazanin" w:cs="IRNazanin"/>
          <w:lang w:bidi="fa-IR"/>
          <w:color w:val="111111"/>
          <w:sz w:val="28"/>
          <w:szCs w:val="28"/>
          <w:rtl/>
        </w:rPr>
        <w:t xml:space="preserve">آغاز: در کتب اصحاب تواریخ مسطور است؛ انجام: ببراهين قاطعه در مقابله سابقه اثبات نموده اید، انشاء الله تعالی خط: نسخ، كا: محمد سعید قاجار آغچه قوینلو، تا: محتملا قرن ۱۲، جا: قلعه ایروان کاغذ:فرنگی، جلد: تیماج، قرمز، مقوایی، ۱۵ص، ۳۵ سطر کامل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۲۳/۵)، اندازه: 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۵-۱۰۱]</w:t>
      </w:r>
    </w:p>
    <w:p>
      <w:pPr>
        <w:pStyle w:val="Heading3"/>
      </w:pPr>
      <w:bookmarkStart w:id="1158" w:name="_Toc418"/>
      <w:r>
        <w:t>• بهرام و بهروز / داستان / فارسی</w:t>
      </w:r>
      <w:bookmarkEnd w:id="1158"/>
    </w:p>
    <w:p>
      <w:pPr>
        <w:pStyle w:val="BookText"/>
      </w:pPr>
      <w:r>
        <w:rPr>
          <w:rFonts w:ascii="Times New Roman" w:hAnsi="Times New Roman" w:eastAsia="Times New Roman" w:cs="Times New Roman"/>
          <w:lang w:val="en-US" w:bidi="en-US"/>
          <w:color w:val="111111"/>
          <w:sz w:val="28"/>
          <w:szCs w:val="28"/>
          <w:rtl/>
        </w:rPr>
        <w:t xml:space="preserve">bahrām va behrūz</w:t>
      </w:r>
    </w:p>
    <w:p>
      <w:pPr>
        <w:pStyle w:val="BookText"/>
      </w:pPr>
      <w:r>
        <w:rPr>
          <w:rFonts w:ascii="IRNazanin" w:hAnsi="IRNazanin" w:eastAsia="IRNazanin" w:cs="IRNazanin"/>
          <w:lang w:bidi="fa-IR"/>
          <w:color w:val="111111"/>
          <w:sz w:val="28"/>
          <w:szCs w:val="28"/>
          <w:rtl/>
        </w:rPr>
        <w:t xml:space="preserve">وقار.</w:t>
      </w:r>
    </w:p>
    <w:p>
      <w:pPr>
        <w:pStyle w:val="BookText"/>
      </w:pPr>
      <w:r>
        <w:rPr>
          <w:rFonts w:ascii="IRNazanin" w:hAnsi="IRNazanin" w:eastAsia="IRNazanin" w:cs="IRNazanin"/>
          <w:lang w:bidi="fa-IR"/>
          <w:color w:val="111111"/>
          <w:sz w:val="28"/>
          <w:szCs w:val="28"/>
          <w:rtl/>
        </w:rPr>
        <w:t xml:space="preserve">شیراز، وصال (دکتر)؛ شماره نسخه: ۴</w:t>
      </w:r>
    </w:p>
    <w:p>
      <w:pPr>
        <w:pStyle w:val="BookText"/>
      </w:pPr>
      <w:r>
        <w:rPr>
          <w:rFonts w:ascii="IRNazanin" w:hAnsi="IRNazanin" w:eastAsia="IRNazanin" w:cs="IRNazanin"/>
          <w:lang w:bidi="fa-IR"/>
          <w:color w:val="111111"/>
          <w:sz w:val="28"/>
          <w:szCs w:val="28"/>
          <w:rtl/>
        </w:rPr>
        <w:t xml:space="preserve">وقار؛ بی کا، تا: قرن ۱۴ [نشریه: ۵-۲۹۰]</w:t>
      </w:r>
    </w:p>
    <w:p>
      <w:pPr>
        <w:pStyle w:val="Heading3"/>
      </w:pPr>
      <w:bookmarkStart w:id="1159" w:name="_Toc419"/>
      <w:r>
        <w:t>• بهرام و بهروز / داستان / فارسی</w:t>
      </w:r>
      <w:bookmarkEnd w:id="1159"/>
    </w:p>
    <w:p>
      <w:pPr>
        <w:pStyle w:val="BookText"/>
      </w:pPr>
      <w:r>
        <w:rPr>
          <w:rFonts w:ascii="Times New Roman" w:hAnsi="Times New Roman" w:eastAsia="Times New Roman" w:cs="Times New Roman"/>
          <w:lang w:val="en-US" w:bidi="en-US"/>
          <w:color w:val="111111"/>
          <w:sz w:val="28"/>
          <w:szCs w:val="28"/>
          <w:rtl/>
        </w:rPr>
        <w:t xml:space="preserve">bahrām va behrūz</w:t>
      </w:r>
    </w:p>
    <w:p>
      <w:pPr>
        <w:pStyle w:val="BookText"/>
      </w:pPr>
      <w:r>
        <w:rPr>
          <w:rFonts w:ascii="IRNazanin" w:hAnsi="IRNazanin" w:eastAsia="IRNazanin" w:cs="IRNazanin"/>
          <w:lang w:bidi="fa-IR"/>
          <w:color w:val="111111"/>
          <w:sz w:val="28"/>
          <w:szCs w:val="28"/>
          <w:rtl/>
        </w:rPr>
        <w:t xml:space="preserve">تهران؛ ملی؛ شماره نسخه: ۱۹۰۰۶</w:t>
      </w:r>
    </w:p>
    <w:p>
      <w:pPr>
        <w:pStyle w:val="BookText"/>
      </w:pPr>
      <w:r>
        <w:rPr>
          <w:rFonts w:ascii="IRNazanin" w:hAnsi="IRNazanin" w:eastAsia="IRNazanin" w:cs="IRNazanin"/>
          <w:lang w:bidi="fa-IR"/>
          <w:color w:val="111111"/>
          <w:sz w:val="28"/>
          <w:szCs w:val="28"/>
          <w:rtl/>
        </w:rPr>
        <w:t xml:space="preserve">بی کا، بی تاب انتقالی از کتابخانه پهلوی - مجموعه نوازی؛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۱۳/۵سم [رایانه]</w:t>
      </w:r>
    </w:p>
    <w:p>
      <w:pPr>
        <w:pStyle w:val="BookText"/>
      </w:pPr>
      <w:r>
        <w:rPr>
          <w:rFonts w:ascii="IRNazanin" w:hAnsi="IRNazanin" w:eastAsia="IRNazanin" w:cs="IRNazanin"/>
          <w:lang w:bidi="fa-IR"/>
          <w:color w:val="111111"/>
          <w:sz w:val="28"/>
          <w:szCs w:val="28"/>
          <w:rtl/>
        </w:rPr>
        <w:t xml:space="preserve">← بهرام و گلندام ← بهرام نامه</w:t>
      </w:r>
    </w:p>
    <w:p>
      <w:pPr>
        <w:pStyle w:val="Heading3"/>
      </w:pPr>
      <w:bookmarkStart w:id="1160" w:name="_Toc420"/>
      <w:r>
        <w:t>• بهرام و گلندام / شعر / فارسی</w:t>
      </w:r>
      <w:bookmarkEnd w:id="1160"/>
    </w:p>
    <w:p>
      <w:pPr>
        <w:pStyle w:val="BookText"/>
      </w:pPr>
      <w:r>
        <w:rPr>
          <w:rFonts w:ascii="Times New Roman" w:hAnsi="Times New Roman" w:eastAsia="Times New Roman" w:cs="Times New Roman"/>
          <w:lang w:val="en-US" w:bidi="en-US"/>
          <w:color w:val="111111"/>
          <w:sz w:val="28"/>
          <w:szCs w:val="28"/>
          <w:rtl/>
        </w:rPr>
        <w:t xml:space="preserve">bahrām va golandām</w:t>
      </w:r>
    </w:p>
    <w:p>
      <w:pPr>
        <w:pStyle w:val="BookText"/>
      </w:pPr>
      <w:r>
        <w:rPr>
          <w:rFonts w:ascii="IRNazanin" w:hAnsi="IRNazanin" w:eastAsia="IRNazanin" w:cs="IRNazanin"/>
          <w:lang w:bidi="fa-IR"/>
          <w:color w:val="111111"/>
          <w:sz w:val="28"/>
          <w:szCs w:val="28"/>
          <w:rtl/>
        </w:rPr>
        <w:t xml:space="preserve">کاتبی ترشیزی، محمد بن عبد الله، -۸۳۸؟ قمری</w:t>
      </w:r>
    </w:p>
    <w:p>
      <w:pPr>
        <w:pStyle w:val="BookText"/>
      </w:pPr>
      <w:r>
        <w:rPr>
          <w:rFonts w:ascii="Times New Roman" w:hAnsi="Times New Roman" w:eastAsia="Times New Roman" w:cs="Times New Roman"/>
          <w:lang w:val="en-US" w:bidi="en-US"/>
          <w:color w:val="111111"/>
          <w:sz w:val="28"/>
          <w:szCs w:val="28"/>
          <w:rtl/>
        </w:rPr>
        <w:t xml:space="preserve">kātebī toršīzī, mohammad ebn-e ‘abd-ol-lāh (- 1435)</w:t>
      </w:r>
    </w:p>
    <w:p>
      <w:pPr>
        <w:pStyle w:val="BookText"/>
      </w:pPr>
      <w:r>
        <w:rPr>
          <w:rFonts w:ascii="IRNazanin" w:hAnsi="IRNazanin" w:eastAsia="IRNazanin" w:cs="IRNazanin"/>
          <w:lang w:bidi="fa-IR"/>
          <w:color w:val="111111"/>
          <w:sz w:val="28"/>
          <w:szCs w:val="28"/>
          <w:rtl/>
        </w:rPr>
        <w:t xml:space="preserve">یکی دیگر از مثنوی های عاشقانه و ادیبانه کاتبی است بر وزن خسرو شیرین نظامی در ۲۴۵۰ بیت مشتمل بر یک «مقدمه) منظوم در سبب تألیف و نظم اشعار و مختصری در شرح احوال شاعر که چگونه پیری را در خواب دیده و طوماری که داستان بهرام و گلندام بر آن نوشته شده بوده، بدو داده است این مقدمه ۶۸ بیت است. موضوع داستان، بهرام پسر کشور پادشاه روم است که در شکار گلندام دختر پادشاه چین را می بیند و بدو دل می بازد و در راه رسیدن به او با بهزاد پسر پادشاه بلغار می جنگد و بالاخره پس از سالها به سر بردن با گلندام در چین، به روم برمی گردد و پادشاه روم می شود.</w:t>
      </w:r>
    </w:p>
    <w:p>
      <w:pPr>
        <w:pStyle w:val="BookText"/>
      </w:pPr>
      <w:r>
        <w:rPr>
          <w:rFonts w:ascii="IRNazanin" w:hAnsi="IRNazanin" w:eastAsia="IRNazanin" w:cs="IRNazanin"/>
          <w:lang w:bidi="fa-IR"/>
          <w:color w:val="111111"/>
          <w:sz w:val="28"/>
          <w:szCs w:val="28"/>
          <w:rtl/>
        </w:rPr>
        <w:t xml:space="preserve">آغاز: ۱. ابتدا کردم به نام آن الهی ۲. چو سلطان گوش بر تدبیر او کرد ۸۸ هزاران آفرین بر آن نکو کرد</w:t>
      </w:r>
    </w:p>
    <w:p>
      <w:pPr>
        <w:pStyle w:val="BookText"/>
      </w:pPr>
      <w:r>
        <w:rPr>
          <w:rFonts w:ascii="IRNazanin" w:hAnsi="IRNazanin" w:eastAsia="IRNazanin" w:cs="IRNazanin"/>
          <w:lang w:bidi="fa-IR"/>
          <w:color w:val="111111"/>
          <w:sz w:val="28"/>
          <w:szCs w:val="28"/>
          <w:rtl/>
        </w:rPr>
        <w:t xml:space="preserve">[دنا ۵۷۲/۲ (۱۲ نسخه)؛ الذريعة ۱۶۵/۳ و ۱۳۰/۱۹ ؛ کشف الظنون ۲۵۶/۱ ؛ نسخه های منزوی ۲۶۷۲/۴ ؛فهرست مشترک پاکستان ۴۹۸/۷ ؛ مشار فارسی ۸۲۴/۱ ؛ فهرستواره منزوی ۳۹۲/۱۰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۳۰۴/۲</w:t>
      </w:r>
    </w:p>
    <w:p>
      <w:pPr>
        <w:pStyle w:val="BookText"/>
      </w:pPr>
      <w:r>
        <w:rPr>
          <w:rFonts w:ascii="IRNazanin" w:hAnsi="IRNazanin" w:eastAsia="IRNazanin" w:cs="IRNazanin"/>
          <w:lang w:bidi="fa-IR"/>
          <w:color w:val="111111"/>
          <w:sz w:val="28"/>
          <w:szCs w:val="28"/>
          <w:rtl/>
        </w:rPr>
        <w:t xml:space="preserve">خط: نستعلیق</w:t>
      </w:r>
    </w:p>
    <w:p>
      <w:pPr>
        <w:pStyle w:val="BookText"/>
      </w:pPr>
      <w:r>
        <w:rPr>
          <w:rFonts w:ascii="IRNazanin" w:hAnsi="IRNazanin" w:eastAsia="IRNazanin" w:cs="IRNazanin"/>
          <w:lang w:bidi="fa-IR"/>
          <w:color w:val="111111"/>
          <w:sz w:val="28"/>
          <w:szCs w:val="28"/>
          <w:rtl/>
        </w:rPr>
        <w:t xml:space="preserve">چلیپا، بی کا، تا: قرن ۱۲؛ کاغذ: رنگارنگ، جلد: تیماج مشکی مقوایی گرد تریاکی، ۱۲ص (۴۶-۵۷)، ۱۶ سطر ۴</w:t>
      </w:r>
    </w:p>
    <w:p>
      <w:pPr>
        <w:pStyle w:val="BookText"/>
      </w:pPr>
      <w:r>
        <w:rPr>
          <w:rFonts w:ascii="IRNazanin" w:hAnsi="IRNazanin" w:eastAsia="IRNazanin" w:cs="IRNazanin"/>
          <w:lang w:bidi="fa-IR"/>
          <w:color w:val="111111"/>
          <w:sz w:val="28"/>
          <w:szCs w:val="28"/>
          <w:rtl/>
        </w:rPr>
        <w:t xml:space="preserve">ستونی (۲۰۷۳)،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[سنا: ف: ۱-۱۵۲]</w:t>
      </w:r>
    </w:p>
    <w:p>
      <w:pPr>
        <w:pStyle w:val="BookText"/>
      </w:pPr>
      <w:r>
        <w:rPr>
          <w:rFonts w:ascii="IRNazanin" w:hAnsi="IRNazanin" w:eastAsia="IRNazanin" w:cs="IRNazanin"/>
          <w:lang w:bidi="fa-IR"/>
          <w:color w:val="111111"/>
          <w:sz w:val="28"/>
          <w:szCs w:val="28"/>
          <w:rtl/>
        </w:rPr>
        <w:t xml:space="preserve">۲. تهران؛ مجلس؛ شماره نسخه: ۲۶۱۷ آغاز: بملک روم شاهی بود باداد ۸۸ در ایامش</w:t>
      </w:r>
    </w:p>
    <w:p>
      <w:pPr>
        <w:pStyle w:val="BookText"/>
      </w:pPr>
      <w:r>
        <w:rPr>
          <w:rFonts w:ascii="IRNazanin" w:hAnsi="IRNazanin" w:eastAsia="IRNazanin" w:cs="IRNazanin"/>
          <w:lang w:bidi="fa-IR"/>
          <w:color w:val="111111"/>
          <w:sz w:val="28"/>
          <w:szCs w:val="28"/>
          <w:rtl/>
        </w:rPr>
        <w:t xml:space="preserve">دل اهل جهان شاد، انجام: بتاریخ عرب گشتست مشهور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که شد از کعبه خطم روئی دور (كذا) ۲۳۵۰ بیت؛ خط: شکسته نستعلیق، بی کا، تا: قرن ۱۲؛ افتادگی: انجام؛ بدون مقدمه منظوم و از پایان ناقص کاغذ: فرنگی، جلد: تیماج سیاه، ۲۸۱ ص، ۱۴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۳۶۰-۸ ]</w:t>
      </w:r>
    </w:p>
    <w:p>
      <w:pPr>
        <w:pStyle w:val="BookText"/>
      </w:pPr>
      <w:r>
        <w:rPr>
          <w:rFonts w:ascii="IRNazanin" w:hAnsi="IRNazanin" w:eastAsia="IRNazanin" w:cs="IRNazanin"/>
          <w:lang w:bidi="fa-IR"/>
          <w:color w:val="111111"/>
          <w:sz w:val="28"/>
          <w:szCs w:val="28"/>
          <w:rtl/>
        </w:rPr>
        <w:t xml:space="preserve">٣. یزد؛ کاظمینی؛ شماره نسخه: ۴۳۷</w:t>
      </w:r>
    </w:p>
    <w:p>
      <w:pPr>
        <w:pStyle w:val="BookText"/>
      </w:pPr>
      <w:r>
        <w:rPr>
          <w:rFonts w:ascii="IRNazanin" w:hAnsi="IRNazanin" w:eastAsia="IRNazanin" w:cs="IRNazanin"/>
          <w:lang w:bidi="fa-IR"/>
          <w:color w:val="111111"/>
          <w:sz w:val="28"/>
          <w:szCs w:val="28"/>
          <w:rtl/>
        </w:rPr>
        <w:t xml:space="preserve">آغاز: بجست از جای خود آن شیر خونریز</w:t>
      </w:r>
      <w:r>
        <w:rPr>
          <w:rFonts w:ascii="IRNazanin" w:hAnsi="IRNazanin" w:eastAsia="IRNazanin" w:cs="IRNazanin"/>
          <w:lang w:bidi="fa-IR"/>
          <w:color w:val="111111"/>
          <w:sz w:val="28"/>
          <w:szCs w:val="28"/>
          <w:b w:val="1"/>
          <w:bCs w:val="1"/>
          <w:i w:val="1"/>
          <w:iCs w:val="1"/>
          <w:rtl/>
        </w:rPr>
        <w:t xml:space="preserve">چه باد آشفته شد چون آتش تیز؛ انجام: بزد یکدست دیگر بر کمربند</w:t>
      </w:r>
      <w:r>
        <w:rPr>
          <w:rFonts w:ascii="IRNazanin" w:hAnsi="IRNazanin" w:eastAsia="IRNazanin" w:cs="IRNazanin"/>
          <w:lang w:bidi="fa-IR"/>
          <w:color w:val="111111"/>
          <w:sz w:val="28"/>
          <w:szCs w:val="28"/>
          <w:rtl/>
        </w:rPr>
        <w:t xml:space="preserve">بخواند از جان و دل نام خداوند خط: نستعلیق، بی کا، تا: قرن ۱۳؛ افتادگی: آغاز و انجام؛ مصحح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40" w:name="pg20363_209363"/>
    <w:bookmarkEnd w:id="140"/>
    <w:p>
      <w:pPr>
        <w:pStyle w:val="BookText"/>
      </w:pPr>
      <w:r>
        <w:rPr>
          <w:rFonts w:ascii="IRNazanin" w:hAnsi="IRNazanin" w:eastAsia="IRNazanin" w:cs="IRNazanin"/>
          <w:lang w:bidi="fa-IR"/>
          <w:color w:val="111111"/>
          <w:sz w:val="28"/>
          <w:szCs w:val="28"/>
          <w:rtl/>
        </w:rPr>
        <w:t xml:space="preserve">جلد: مقوایی عطف پارچه ای، ۶۳گ، ۱۵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۲-۱۲۲]</w:t>
      </w:r>
    </w:p>
    <w:p>
      <w:pPr>
        <w:pStyle w:val="BookText"/>
      </w:pPr>
      <w:r>
        <w:rPr>
          <w:rFonts w:ascii="IRNazanin" w:hAnsi="IRNazanin" w:eastAsia="IRNazanin" w:cs="IRNazanin"/>
          <w:lang w:bidi="fa-IR"/>
          <w:color w:val="111111"/>
          <w:sz w:val="28"/>
          <w:szCs w:val="28"/>
          <w:rtl/>
        </w:rPr>
        <w:t xml:space="preserve">۴. تهران: مفتاح؛ شماره نسخه: ۸۶۸/۲</w:t>
      </w:r>
    </w:p>
    <w:p>
      <w:pPr>
        <w:pStyle w:val="BookText"/>
      </w:pPr>
      <w:r>
        <w:rPr>
          <w:rFonts w:ascii="IRNazanin" w:hAnsi="IRNazanin" w:eastAsia="IRNazanin" w:cs="IRNazanin"/>
          <w:lang w:bidi="fa-IR"/>
          <w:color w:val="111111"/>
          <w:sz w:val="28"/>
          <w:szCs w:val="28"/>
          <w:rtl/>
        </w:rPr>
        <w:t xml:space="preserve">خط: نسخ معرب، بی کا، تا: قرن ۱۳؛ افتادگی: انجام؛ مجدول؛ قطع: خشتی [نشریه: ۷-۲۶۰]</w:t>
      </w:r>
    </w:p>
    <w:p>
      <w:pPr>
        <w:pStyle w:val="BookText"/>
      </w:pPr>
      <w:r>
        <w:rPr>
          <w:rFonts w:ascii="IRNazanin" w:hAnsi="IRNazanin" w:eastAsia="IRNazanin" w:cs="IRNazanin"/>
          <w:lang w:bidi="fa-IR"/>
          <w:color w:val="111111"/>
          <w:sz w:val="28"/>
          <w:szCs w:val="28"/>
          <w:rtl/>
        </w:rPr>
        <w:t xml:space="preserve">۵. اصفهان، دانشگاه؛ شماره نسخه: ۳۵۲</w:t>
      </w:r>
    </w:p>
    <w:p>
      <w:pPr>
        <w:pStyle w:val="BookText"/>
      </w:pPr>
      <w:r>
        <w:rPr>
          <w:rFonts w:ascii="IRNazanin" w:hAnsi="IRNazanin" w:eastAsia="IRNazanin" w:cs="IRNazanin"/>
          <w:lang w:bidi="fa-IR"/>
          <w:color w:val="111111"/>
          <w:sz w:val="28"/>
          <w:szCs w:val="28"/>
          <w:rtl/>
        </w:rPr>
        <w:t xml:space="preserve">آغاز: سپر چون تیزی شه یافت ۶۷ چه ابر از باد سر تا پای بشکافت؛ انجام: در آرایش فراز بام سنجاب*** شهنشه دیده وقت صبح در خواب. خط: نستعلیق، بی کا، تا: قرن ۱۳؛ افتادگی: آغاز و انجام؛ فاقد جلد، ۶۴گ، ۱۱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۱-۲۵۳]</w:t>
      </w:r>
    </w:p>
    <w:p>
      <w:pPr>
        <w:pStyle w:val="BookText"/>
      </w:pPr>
      <w:r>
        <w:rPr>
          <w:rFonts w:ascii="IRNazanin" w:hAnsi="IRNazanin" w:eastAsia="IRNazanin" w:cs="IRNazanin"/>
          <w:lang w:bidi="fa-IR"/>
          <w:color w:val="111111"/>
          <w:sz w:val="28"/>
          <w:szCs w:val="28"/>
          <w:rtl/>
        </w:rPr>
        <w:t xml:space="preserve">۶. قزوین؛ امام صادق؛ شماره نسخه: ۱۷۵/۲</w:t>
      </w:r>
    </w:p>
    <w:p>
      <w:pPr>
        <w:pStyle w:val="BookText"/>
      </w:pPr>
      <w:r>
        <w:rPr>
          <w:rFonts w:ascii="IRNazanin" w:hAnsi="IRNazanin" w:eastAsia="IRNazanin" w:cs="IRNazanin"/>
          <w:lang w:bidi="fa-IR"/>
          <w:color w:val="111111"/>
          <w:sz w:val="28"/>
          <w:szCs w:val="28"/>
          <w:rtl/>
        </w:rPr>
        <w:t xml:space="preserve">آغاز: الا ای آفتاب راه دانش***؛ انجام: گهی با لشگر روم و مهندس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بروح افزا نهاده بزم مجلس خط: نستعلیق، کا: ملا رضا بن ملا ابو طالب رشتی نزیل کو مین از قرای دار السلطنه قزوین، تا: ۲۰ جمادی الثانی ۱۲۶۰ق؛ جلد: تیماج، ۸۲گ، ۱۵ سطر [ف: ۱-۳۳۳]</w:t>
      </w:r>
    </w:p>
    <w:p>
      <w:pPr>
        <w:pStyle w:val="BookText"/>
      </w:pPr>
      <w:r>
        <w:rPr>
          <w:rFonts w:ascii="IRNazanin" w:hAnsi="IRNazanin" w:eastAsia="IRNazanin" w:cs="IRNazanin"/>
          <w:lang w:bidi="fa-IR"/>
          <w:color w:val="111111"/>
          <w:sz w:val="28"/>
          <w:szCs w:val="28"/>
          <w:rtl/>
        </w:rPr>
        <w:t xml:space="preserve">۷. تهران؛ مجلس؛ شماره نسخه: ۲۶۱۶</w:t>
      </w:r>
    </w:p>
    <w:p>
      <w:pPr>
        <w:pStyle w:val="BookText"/>
      </w:pPr>
      <w:r>
        <w:rPr>
          <w:rFonts w:ascii="IRNazanin" w:hAnsi="IRNazanin" w:eastAsia="IRNazanin" w:cs="IRNazanin"/>
          <w:lang w:bidi="fa-IR"/>
          <w:color w:val="111111"/>
          <w:sz w:val="28"/>
          <w:szCs w:val="28"/>
          <w:rtl/>
        </w:rPr>
        <w:t xml:space="preserve">آغاز: برابر ۲؛ انجام: زیاد مرگ ایشانرا خبر نیست*** حکایت را بپایان بسر نیست / بکردم نام در دفتر مجدد*** امین الدین لقب نامم محمد</w:t>
      </w:r>
    </w:p>
    <w:p>
      <w:pPr>
        <w:pStyle w:val="BookText"/>
      </w:pPr>
      <w:r>
        <w:rPr>
          <w:rFonts w:ascii="IRNazanin" w:hAnsi="IRNazanin" w:eastAsia="IRNazanin" w:cs="IRNazanin"/>
          <w:lang w:bidi="fa-IR"/>
          <w:color w:val="111111"/>
          <w:sz w:val="28"/>
          <w:szCs w:val="28"/>
          <w:rtl/>
        </w:rPr>
        <w:t xml:space="preserve">خط: شکسته نستعلیق بدخط، كا: محمد حسین سیل سپر، تا: ربيع الثانی ۱۲۷۶ق؛ یادداشت ملک الشعرا بهار روی برگ اول؛ مهر: احمد حسینی، محمد حسین ناصح؛ کاغذ: فرنگی، جلد: تیماج زرد، ترنج و سر ترنج منگنه، ۱۴۰ص، ۱۷-۲۲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۸-۳۵۸]</w:t>
      </w:r>
    </w:p>
    <w:p>
      <w:pPr>
        <w:pStyle w:val="BookText"/>
      </w:pPr>
      <w:r>
        <w:rPr>
          <w:rFonts w:ascii="IRNazanin" w:hAnsi="IRNazanin" w:eastAsia="IRNazanin" w:cs="IRNazanin"/>
          <w:lang w:bidi="fa-IR"/>
          <w:color w:val="111111"/>
          <w:sz w:val="28"/>
          <w:szCs w:val="28"/>
          <w:rtl/>
        </w:rPr>
        <w:t xml:space="preserve">۸. یزد؛ کاظمینی؛ شماره نسخه: ۴۲۰</w:t>
      </w:r>
    </w:p>
    <w:p>
      <w:pPr>
        <w:pStyle w:val="BookText"/>
      </w:pPr>
      <w:r>
        <w:rPr>
          <w:rFonts w:ascii="IRNazanin" w:hAnsi="IRNazanin" w:eastAsia="IRNazanin" w:cs="IRNazanin"/>
          <w:lang w:bidi="fa-IR"/>
          <w:color w:val="111111"/>
          <w:sz w:val="28"/>
          <w:szCs w:val="28"/>
          <w:rtl/>
        </w:rPr>
        <w:t xml:space="preserve">آغاز: برون آورد یک گوهر ز درجی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درخشان گشت رخسار چه برجی خط: نستعلیق نازیبا، بی کا، تا: شنبه غره جمادی الثانی ۱۲۸۲ق، برای ملک محسن؛ افتادگی: آغاز؛ کاغذ: الوان، جلد: تیماج مشکی، ۱۳۴، ۱۰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سم [ف: ۲-۱۰۹]</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ملک؛ شماره نسخه: ۴۵۸۷</w:t>
      </w:r>
    </w:p>
    <w:p>
      <w:pPr>
        <w:pStyle w:val="BookText"/>
      </w:pPr>
      <w:r>
        <w:rPr>
          <w:rFonts w:ascii="IRNazanin" w:hAnsi="IRNazanin" w:eastAsia="IRNazanin" w:cs="IRNazanin"/>
          <w:lang w:bidi="fa-IR"/>
          <w:color w:val="111111"/>
          <w:sz w:val="28"/>
          <w:szCs w:val="28"/>
          <w:rtl/>
        </w:rPr>
        <w:t xml:space="preserve">آغاز: ... بود با داد </w:t>
      </w:r>
      <w:r>
        <w:rPr>
          <w:rFonts w:ascii="IRNazanin" w:hAnsi="IRNazanin" w:eastAsia="IRNazanin" w:cs="IRNazanin"/>
          <w:lang w:bidi="fa-IR"/>
          <w:color w:val="111111"/>
          <w:sz w:val="28"/>
          <w:szCs w:val="28"/>
          <w:b w:val="1"/>
          <w:bCs w:val="1"/>
          <w:i w:val="1"/>
          <w:iCs w:val="1"/>
          <w:rtl/>
        </w:rPr>
        <w:t xml:space="preserve">در ایامش دل خلق جهان شاد؛ انجام: دماغم را به معنی تازه داری </w:t>
      </w:r>
      <w:r>
        <w:rPr>
          <w:rFonts w:ascii="Times New Roman" w:hAnsi="Times New Roman" w:eastAsia="Times New Roman" w:cs="Times New Roman"/>
          <w:lang w:val="en-US" w:bidi="en-US"/>
          <w:color w:val="111111"/>
          <w:sz w:val="28"/>
          <w:szCs w:val="28"/>
          <w:b w:val="1"/>
          <w:bCs w:val="1"/>
          <w:i w:val="1"/>
          <w:iCs w:val="1"/>
          <w:rtl/>
        </w:rPr>
        <w:t xml:space="preserve">×× </w:t>
      </w:r>
      <w:r>
        <w:rPr>
          <w:rFonts w:ascii="IRNazanin" w:hAnsi="IRNazanin" w:eastAsia="IRNazanin" w:cs="IRNazanin"/>
          <w:lang w:bidi="fa-IR"/>
          <w:color w:val="111111"/>
          <w:sz w:val="28"/>
          <w:szCs w:val="28"/>
          <w:b w:val="1"/>
          <w:bCs w:val="1"/>
          <w:i w:val="1"/>
          <w:iCs w:val="1"/>
          <w:rtl/>
        </w:rPr>
        <w:t xml:space="preserve">حدیثم را بلند آوازه داری ... چهار سرور</w:t>
      </w:r>
      <w:r>
        <w:rPr>
          <w:rFonts w:ascii="IRNazanin" w:hAnsi="IRNazanin" w:eastAsia="IRNazanin" w:cs="IRNazanin"/>
          <w:lang w:bidi="fa-IR"/>
          <w:color w:val="111111"/>
          <w:sz w:val="28"/>
          <w:szCs w:val="28"/>
          <w:rtl/>
        </w:rPr>
        <w:t xml:space="preserve"> علی و فاطمه شبیر و شبر خط: نستعلیق، كان اسماعیل بن ابراهیم، تا: ذیحجه ۱۲۹۳ق؛ کاغذ: کاغذ فرنگی، جلد: میشن سیاه، ۱۰۵گ، ۱۲ سطر، اندازه: ۱۸/۳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۱۱/۳ سم (ف: ۲-۶۴)</w:t>
      </w:r>
    </w:p>
    <w:p>
      <w:pPr>
        <w:pStyle w:val="BookText"/>
      </w:pPr>
      <w:r>
        <w:rPr>
          <w:rFonts w:ascii="IRNazanin" w:hAnsi="IRNazanin" w:eastAsia="IRNazanin" w:cs="IRNazanin"/>
          <w:lang w:bidi="fa-IR"/>
          <w:color w:val="111111"/>
          <w:sz w:val="28"/>
          <w:szCs w:val="28"/>
          <w:rtl/>
        </w:rPr>
        <w:t xml:space="preserve">۱۰. تهران؛ دانشگاه؛ شماره نسخه: ۶۰۳۴</w:t>
      </w:r>
    </w:p>
    <w:p>
      <w:pPr>
        <w:pStyle w:val="BookText"/>
      </w:pPr>
      <w:r>
        <w:rPr>
          <w:rFonts w:ascii="IRNazanin" w:hAnsi="IRNazanin" w:eastAsia="IRNazanin" w:cs="IRNazanin"/>
          <w:lang w:bidi="fa-IR"/>
          <w:color w:val="111111"/>
          <w:sz w:val="28"/>
          <w:szCs w:val="28"/>
          <w:rtl/>
        </w:rPr>
        <w:t xml:space="preserve">خط: نستعلیق، كا: اسلام بن حاجی حبیب الله، تا: دوشنبه ۱۳۱۱ق؛ مجدول؛ کاغذ: فرنگی، جلد: تیماج مشکی لایی، ۱۲۵گ، ۱۳ سطر (۱۵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۱۰)، قطع: خشتی،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۱۶-۱۸۴]</w:t>
      </w:r>
    </w:p>
    <w:p>
      <w:pPr>
        <w:pStyle w:val="BookText"/>
      </w:pPr>
      <w:r>
        <w:rPr>
          <w:rFonts w:ascii="IRNazanin" w:hAnsi="IRNazanin" w:eastAsia="IRNazanin" w:cs="IRNazanin"/>
          <w:lang w:bidi="fa-IR"/>
          <w:color w:val="111111"/>
          <w:sz w:val="28"/>
          <w:szCs w:val="28"/>
          <w:rtl/>
        </w:rPr>
        <w:t xml:space="preserve">۱۱. تهران؛ خاکپور، اسد الله (خاندان)؛ شماره نسخه: ۳</w:t>
      </w:r>
    </w:p>
    <w:p>
      <w:pPr>
        <w:pStyle w:val="BookText"/>
      </w:pPr>
      <w:r>
        <w:rPr>
          <w:rFonts w:ascii="IRNazanin" w:hAnsi="IRNazanin" w:eastAsia="IRNazanin" w:cs="IRNazanin"/>
          <w:lang w:bidi="fa-IR"/>
          <w:color w:val="111111"/>
          <w:sz w:val="28"/>
          <w:szCs w:val="28"/>
          <w:rtl/>
        </w:rPr>
        <w:t xml:space="preserve">بی کا، بی تا [نشریه: ۷-۵۶۶] ۱۲. قم؛ گلپایگانی؛ شماره نسخه: ۲۴۳۸- ۱۳/۱۱۸</w:t>
      </w:r>
    </w:p>
    <w:p>
      <w:pPr>
        <w:pStyle w:val="BookText"/>
      </w:pPr>
      <w:r>
        <w:rPr>
          <w:rFonts w:ascii="IRNazanin" w:hAnsi="IRNazanin" w:eastAsia="IRNazanin" w:cs="IRNazanin"/>
          <w:lang w:bidi="fa-IR"/>
          <w:color w:val="111111"/>
          <w:sz w:val="28"/>
          <w:szCs w:val="28"/>
          <w:rtl/>
        </w:rPr>
        <w:t xml:space="preserve">آغاز: مشرف شد به نطق آدم به افلاک</w:t>
      </w:r>
      <w:r>
        <w:rPr>
          <w:rFonts w:ascii="IRNazanin" w:hAnsi="IRNazanin" w:eastAsia="IRNazanin" w:cs="IRNazanin"/>
          <w:lang w:bidi="fa-IR"/>
          <w:color w:val="111111"/>
          <w:sz w:val="28"/>
          <w:szCs w:val="28"/>
          <w:b w:val="1"/>
          <w:bCs w:val="1"/>
          <w:i w:val="1"/>
          <w:iCs w:val="1"/>
          <w:rtl/>
        </w:rPr>
        <w:t xml:space="preserve">و گرنه هست حیوان نیست از خاک / سخن بالاتر از عرش مجید است</w:t>
      </w:r>
      <w:r>
        <w:rPr>
          <w:rFonts w:ascii="IRNazanin" w:hAnsi="IRNazanin" w:eastAsia="IRNazanin" w:cs="IRNazanin"/>
          <w:lang w:bidi="fa-IR"/>
          <w:color w:val="111111"/>
          <w:sz w:val="28"/>
          <w:szCs w:val="28"/>
          <w:rtl/>
        </w:rPr>
        <w:t xml:space="preserve"> در گنج معانی را کلید است؛ انجام چنین گفتا به او كان شاه سرور</w:t>
      </w:r>
      <w:r>
        <w:rPr>
          <w:rFonts w:ascii="IRNazanin" w:hAnsi="IRNazanin" w:eastAsia="IRNazanin" w:cs="IRNazanin"/>
          <w:lang w:bidi="fa-IR"/>
          <w:color w:val="111111"/>
          <w:sz w:val="28"/>
          <w:szCs w:val="28"/>
          <w:b w:val="1"/>
          <w:bCs w:val="1"/>
          <w:i w:val="1"/>
          <w:iCs w:val="1"/>
          <w:rtl/>
        </w:rPr>
        <w:t xml:space="preserve">که عهدم بود از دادار داور/ که گر بینم دگر دیدار بهرام</w:t>
      </w:r>
      <w:r>
        <w:rPr>
          <w:rFonts w:ascii="IRNazanin" w:hAnsi="IRNazanin" w:eastAsia="IRNazanin" w:cs="IRNazanin"/>
          <w:lang w:bidi="fa-IR"/>
          <w:color w:val="111111"/>
          <w:sz w:val="28"/>
          <w:szCs w:val="28"/>
          <w:rtl/>
        </w:rPr>
        <w:t xml:space="preserve"> نگیرم یک زمان بر تخت آرام خط: نستعلیق، بی کا، بی تا؛ افتادگی: آغاز و انجام؛ جلد: تیماج قهوه ای، ضربی، با نقش گل و بوته، ۹۲، ۱۵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[ف: ۲-۶۴۵]</w:t>
      </w:r>
    </w:p>
    <w:p>
      <w:pPr>
        <w:pStyle w:val="Heading3"/>
      </w:pPr>
      <w:bookmarkStart w:id="1161" w:name="_Toc421"/>
      <w:r>
        <w:t>• بهرام و گلندام / داستان / فارسی</w:t>
      </w:r>
      <w:bookmarkEnd w:id="1161"/>
    </w:p>
    <w:p>
      <w:pPr>
        <w:pStyle w:val="BookText"/>
      </w:pPr>
      <w:r>
        <w:rPr>
          <w:rFonts w:ascii="Times New Roman" w:hAnsi="Times New Roman" w:eastAsia="Times New Roman" w:cs="Times New Roman"/>
          <w:lang w:val="en-US" w:bidi="en-US"/>
          <w:color w:val="111111"/>
          <w:sz w:val="28"/>
          <w:szCs w:val="28"/>
          <w:rtl/>
        </w:rPr>
        <w:t xml:space="preserve">bahrām va golandām</w:t>
      </w:r>
    </w:p>
    <w:p>
      <w:pPr>
        <w:pStyle w:val="BookText"/>
      </w:pPr>
      <w:r>
        <w:rPr>
          <w:rFonts w:ascii="IRNazanin" w:hAnsi="IRNazanin" w:eastAsia="IRNazanin" w:cs="IRNazanin"/>
          <w:lang w:bidi="fa-IR"/>
          <w:color w:val="111111"/>
          <w:sz w:val="28"/>
          <w:szCs w:val="28"/>
          <w:rtl/>
        </w:rPr>
        <w:t xml:space="preserve">داستان به شکار رفتن آن دو و بی اعتنایی گلندام به بهرام و خشم بهرام و دوباره بخشیدن و شادمانی ایشان.</w:t>
      </w:r>
    </w:p>
    <w:p>
      <w:pPr>
        <w:pStyle w:val="BookText"/>
      </w:pPr>
      <w:r>
        <w:rPr>
          <w:rFonts w:ascii="IRNazanin" w:hAnsi="IRNazanin" w:eastAsia="IRNazanin" w:cs="IRNazanin"/>
          <w:lang w:bidi="fa-IR"/>
          <w:color w:val="111111"/>
          <w:sz w:val="28"/>
          <w:szCs w:val="28"/>
          <w:rtl/>
        </w:rPr>
        <w:t xml:space="preserve">[فهرستواره منزوی ۲۹۵/۱ ]</w:t>
      </w:r>
    </w:p>
    <w:p>
      <w:pPr>
        <w:pStyle w:val="BookText"/>
      </w:pPr>
      <w:r>
        <w:rPr>
          <w:rFonts w:ascii="IRNazanin" w:hAnsi="IRNazanin" w:eastAsia="IRNazanin" w:cs="IRNazanin"/>
          <w:lang w:bidi="fa-IR"/>
          <w:color w:val="111111"/>
          <w:sz w:val="28"/>
          <w:szCs w:val="28"/>
          <w:rtl/>
        </w:rPr>
        <w:t xml:space="preserve">رشت؛ جمعیت نشر فرهنگ؛ شماره نسخه: ۸۱۱/۳ م</w:t>
      </w:r>
    </w:p>
    <w:p>
      <w:pPr>
        <w:pStyle w:val="BookText"/>
      </w:pPr>
      <w:r>
        <w:rPr>
          <w:rFonts w:ascii="IRNazanin" w:hAnsi="IRNazanin" w:eastAsia="IRNazanin" w:cs="IRNazanin"/>
          <w:lang w:bidi="fa-IR"/>
          <w:color w:val="111111"/>
          <w:sz w:val="28"/>
          <w:szCs w:val="28"/>
          <w:rtl/>
        </w:rPr>
        <w:t xml:space="preserve">بی کا، تا: قرن ۱۳؛ قطع: ربعی [رشت و همدان: في: ۱۲۳۱]</w:t>
      </w:r>
    </w:p>
    <w:p>
      <w:pPr>
        <w:pStyle w:val="Heading3"/>
      </w:pPr>
      <w:bookmarkStart w:id="1162" w:name="_Toc422"/>
      <w:r>
        <w:t>• بهرام و گلندام (قصه شاه) / داستان / فارسی</w:t>
      </w:r>
      <w:bookmarkEnd w:id="1162"/>
    </w:p>
    <w:p>
      <w:pPr>
        <w:pStyle w:val="BookText"/>
      </w:pPr>
      <w:r>
        <w:rPr>
          <w:rFonts w:ascii="Times New Roman" w:hAnsi="Times New Roman" w:eastAsia="Times New Roman" w:cs="Times New Roman"/>
          <w:lang w:val="en-US" w:bidi="en-US"/>
          <w:color w:val="111111"/>
          <w:sz w:val="28"/>
          <w:szCs w:val="28"/>
          <w:rtl/>
        </w:rPr>
        <w:t xml:space="preserve">bahrām va golandām (qesse-ye šāh)</w:t>
      </w:r>
    </w:p>
    <w:p>
      <w:pPr>
        <w:pStyle w:val="BookText"/>
      </w:pPr>
      <w:r>
        <w:rPr>
          <w:rFonts w:ascii="IRNazanin" w:hAnsi="IRNazanin" w:eastAsia="IRNazanin" w:cs="IRNazanin"/>
          <w:lang w:bidi="fa-IR"/>
          <w:color w:val="111111"/>
          <w:sz w:val="28"/>
          <w:szCs w:val="28"/>
          <w:rtl/>
        </w:rPr>
        <w:t xml:space="preserve">تبریز؛ نخجوانی، حسین؛ شماره نسخه: ۵</w:t>
      </w:r>
    </w:p>
    <w:p>
      <w:pPr>
        <w:pStyle w:val="BookText"/>
      </w:pPr>
      <w:r>
        <w:rPr>
          <w:rFonts w:ascii="IRNazanin" w:hAnsi="IRNazanin" w:eastAsia="IRNazanin" w:cs="IRNazanin"/>
          <w:lang w:bidi="fa-IR"/>
          <w:color w:val="111111"/>
          <w:sz w:val="28"/>
          <w:szCs w:val="28"/>
          <w:rtl/>
        </w:rPr>
        <w:t xml:space="preserve">بی کا، تا: قرن ۱۱ و ۱۲، ش ۱۷۳۶ نشریه: ۴-۳۳۸]</w:t>
      </w:r>
    </w:p>
    <w:p>
      <w:pPr>
        <w:pStyle w:val="BookText"/>
      </w:pPr>
      <w:r>
        <w:rPr>
          <w:rFonts w:ascii="IRNazanin" w:hAnsi="IRNazanin" w:eastAsia="IRNazanin" w:cs="IRNazanin"/>
          <w:lang w:bidi="fa-IR"/>
          <w:color w:val="111111"/>
          <w:sz w:val="28"/>
          <w:szCs w:val="28"/>
          <w:rtl/>
        </w:rPr>
        <w:t xml:space="preserve">← بهرامیه ← هشت بهشت</w:t>
      </w:r>
    </w:p>
    <w:p>
      <w:pPr>
        <w:pStyle w:val="Heading3"/>
      </w:pPr>
      <w:bookmarkStart w:id="1163" w:name="_Toc423"/>
      <w:r>
        <w:t>• بهروز و بهزاد / شعر، داستان / ترکی</w:t>
      </w:r>
      <w:bookmarkEnd w:id="1163"/>
    </w:p>
    <w:p>
      <w:pPr>
        <w:pStyle w:val="BookText"/>
      </w:pPr>
      <w:r>
        <w:rPr>
          <w:rFonts w:ascii="Times New Roman" w:hAnsi="Times New Roman" w:eastAsia="Times New Roman" w:cs="Times New Roman"/>
          <w:lang w:val="en-US" w:bidi="en-US"/>
          <w:color w:val="111111"/>
          <w:sz w:val="28"/>
          <w:szCs w:val="28"/>
          <w:rtl/>
        </w:rPr>
        <w:t xml:space="preserve">behrūz va behzād</w:t>
      </w:r>
    </w:p>
    <w:p>
      <w:pPr>
        <w:pStyle w:val="BookText"/>
      </w:pPr>
      <w:r>
        <w:rPr>
          <w:rFonts w:ascii="IRNazanin" w:hAnsi="IRNazanin" w:eastAsia="IRNazanin" w:cs="IRNazanin"/>
          <w:lang w:bidi="fa-IR"/>
          <w:color w:val="111111"/>
          <w:sz w:val="28"/>
          <w:szCs w:val="28"/>
          <w:rtl/>
        </w:rPr>
        <w:t xml:space="preserve">قم؛ گلپایگانی؛ شماره نسخه: ۹۱۶۸/۳ - ۶۰/۱۰۸</w:t>
      </w:r>
    </w:p>
    <w:p>
      <w:pPr>
        <w:pStyle w:val="BookText"/>
      </w:pPr>
      <w:r>
        <w:rPr>
          <w:rFonts w:ascii="IRNazanin" w:hAnsi="IRNazanin" w:eastAsia="IRNazanin" w:cs="IRNazanin"/>
          <w:lang w:bidi="fa-IR"/>
          <w:color w:val="111111"/>
          <w:sz w:val="28"/>
          <w:szCs w:val="28"/>
          <w:rtl/>
        </w:rPr>
        <w:t xml:space="preserve">آغاز: بوسوزیله واری قبرستانه اول *** زاری قیلور اونده قالدى دللول / انه سسی تیرن قوجوين دلفکار*** اغلرایدی حسرتیله زار</w:t>
      </w:r>
    </w:p>
    <w:p>
      <w:pPr>
        <w:pStyle w:val="BookText"/>
      </w:pPr>
      <w:r>
        <w:rPr>
          <w:rFonts w:ascii="IRNazanin" w:hAnsi="IRNazanin" w:eastAsia="IRNazanin" w:cs="IRNazanin"/>
          <w:lang w:bidi="fa-IR"/>
          <w:color w:val="111111"/>
          <w:sz w:val="28"/>
          <w:szCs w:val="28"/>
          <w:rtl/>
        </w:rPr>
        <w:t xml:space="preserve">منظومه مفصلی است در داستان بهروز و بهزاد؛ خط: نستعلیق، بی کا، بی تا؛ افتادگی: انجام؛ ۲۵گ (۲۶-۵۰)، ۱۵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۲-۶۴۵]</w:t>
      </w:r>
    </w:p>
    <w:p>
      <w:pPr>
        <w:pStyle w:val="Heading3"/>
      </w:pPr>
      <w:bookmarkStart w:id="1164" w:name="_Toc424"/>
      <w:r>
        <w:t>• بهشت نامه = نقل جنت / کلام و اعتقادات، شعر / ترکی</w:t>
      </w:r>
      <w:bookmarkEnd w:id="1164"/>
    </w:p>
    <w:p>
      <w:pPr>
        <w:pStyle w:val="BookText"/>
      </w:pPr>
      <w:r>
        <w:rPr>
          <w:rFonts w:ascii="Times New Roman" w:hAnsi="Times New Roman" w:eastAsia="Times New Roman" w:cs="Times New Roman"/>
          <w:lang w:val="en-US" w:bidi="en-US"/>
          <w:color w:val="111111"/>
          <w:sz w:val="28"/>
          <w:szCs w:val="28"/>
          <w:rtl/>
        </w:rPr>
        <w:t xml:space="preserve">behešt-nāme = naql-e jannat</w:t>
      </w:r>
    </w:p>
    <w:p>
      <w:pPr>
        <w:pStyle w:val="BookText"/>
      </w:pPr>
      <w:r>
        <w:rPr>
          <w:rFonts w:ascii="IRNazanin" w:hAnsi="IRNazanin" w:eastAsia="IRNazanin" w:cs="IRNazanin"/>
          <w:lang w:bidi="fa-IR"/>
          <w:color w:val="111111"/>
          <w:sz w:val="28"/>
          <w:szCs w:val="28"/>
          <w:rtl/>
        </w:rPr>
        <w:t xml:space="preserve">نقل جنت و دوزخ و صراط و میزان بیان آمد به شعر ترکی از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41" w:name="pg20363_209364"/>
    <w:bookmarkEnd w:id="141"/>
    <w:p>
      <w:pPr>
        <w:pStyle w:val="BookText"/>
      </w:pPr>
      <w:r>
        <w:rPr>
          <w:rFonts w:ascii="IRNazanin" w:hAnsi="IRNazanin" w:eastAsia="IRNazanin" w:cs="IRNazanin"/>
          <w:lang w:bidi="fa-IR"/>
          <w:color w:val="111111"/>
          <w:sz w:val="28"/>
          <w:szCs w:val="28"/>
          <w:rtl/>
        </w:rPr>
        <w:t xml:space="preserve">خطایی</w:t>
      </w:r>
    </w:p>
    <w:p>
      <w:pPr>
        <w:pStyle w:val="BookText"/>
      </w:pPr>
      <w:r>
        <w:rPr>
          <w:rFonts w:ascii="IRNazanin" w:hAnsi="IRNazanin" w:eastAsia="IRNazanin" w:cs="IRNazanin"/>
          <w:lang w:bidi="fa-IR"/>
          <w:color w:val="111111"/>
          <w:sz w:val="28"/>
          <w:szCs w:val="28"/>
          <w:rtl/>
        </w:rPr>
        <w:t xml:space="preserve">تهران؛ دانشگاه؛ شماره نسخه: ۹۰۱۰/۳</w:t>
      </w:r>
    </w:p>
    <w:p>
      <w:pPr>
        <w:pStyle w:val="BookText"/>
      </w:pPr>
      <w:r>
        <w:rPr>
          <w:rFonts w:ascii="IRNazanin" w:hAnsi="IRNazanin" w:eastAsia="IRNazanin" w:cs="IRNazanin"/>
          <w:lang w:bidi="fa-IR"/>
          <w:color w:val="111111"/>
          <w:sz w:val="28"/>
          <w:szCs w:val="28"/>
          <w:rtl/>
        </w:rPr>
        <w:t xml:space="preserve">آغاز: یوردی کهنه در بو کهنه دوردن </w:t>
      </w:r>
      <w:r>
        <w:rPr>
          <w:rFonts w:ascii="IRNazanin" w:hAnsi="IRNazanin" w:eastAsia="IRNazanin" w:cs="IRNazanin"/>
          <w:lang w:bidi="fa-IR"/>
          <w:color w:val="111111"/>
          <w:sz w:val="28"/>
          <w:szCs w:val="28"/>
          <w:b w:val="1"/>
          <w:bCs w:val="1"/>
          <w:i w:val="1"/>
          <w:iCs w:val="1"/>
          <w:rtl/>
        </w:rPr>
        <w:t xml:space="preserve">کاه سرفرازا به درگاه سرنگون؛ انجام: اولدی تمام جنگ على شباب</w:t>
      </w:r>
      <w:r>
        <w:rPr>
          <w:rFonts w:ascii="IRNazanin" w:hAnsi="IRNazanin" w:eastAsia="IRNazanin" w:cs="IRNazanin"/>
          <w:lang w:bidi="fa-IR"/>
          <w:color w:val="111111"/>
          <w:sz w:val="28"/>
          <w:szCs w:val="28"/>
          <w:rtl/>
        </w:rPr>
        <w:t xml:space="preserve"> دیدی کیم و الله اعلم بالصواب</w:t>
      </w:r>
    </w:p>
    <w:p>
      <w:pPr>
        <w:pStyle w:val="BookText"/>
      </w:pPr>
      <w:r>
        <w:rPr>
          <w:rFonts w:ascii="IRNazanin" w:hAnsi="IRNazanin" w:eastAsia="IRNazanin" w:cs="IRNazanin"/>
          <w:lang w:bidi="fa-IR"/>
          <w:color w:val="111111"/>
          <w:sz w:val="28"/>
          <w:szCs w:val="28"/>
          <w:rtl/>
        </w:rPr>
        <w:t xml:space="preserve">خط: نستعلیق، كا: قاسم پسر سوندوک اقاقيناق اوجاق اوغلی، بی تا؛ کاغذ: سپاهانی، جلد: تیماج تریاکی لایی، ۴۳گ (۳۷ر - ۷۹ر)، ۱۴ سطر (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قطع: ربعی [ف: ۱۷-۲۷۳]</w:t>
      </w:r>
    </w:p>
    <w:p>
      <w:pPr>
        <w:pStyle w:val="BookText"/>
      </w:pPr>
      <w:r>
        <w:rPr>
          <w:rFonts w:ascii="IRNazanin" w:hAnsi="IRNazanin" w:eastAsia="IRNazanin" w:cs="IRNazanin"/>
          <w:lang w:bidi="fa-IR"/>
          <w:color w:val="111111"/>
          <w:sz w:val="28"/>
          <w:szCs w:val="28"/>
          <w:rtl/>
        </w:rPr>
        <w:t xml:space="preserve">← بهشت ← دوزخ جنت و نار</w:t>
      </w:r>
    </w:p>
    <w:p>
      <w:pPr>
        <w:pStyle w:val="Heading3"/>
      </w:pPr>
      <w:bookmarkStart w:id="1165" w:name="_Toc425"/>
      <w:r>
        <w:t>• بهشت و دوزخ / عرفان و تصوف / فارسی</w:t>
      </w:r>
      <w:bookmarkEnd w:id="1165"/>
    </w:p>
    <w:p>
      <w:pPr>
        <w:pStyle w:val="BookText"/>
      </w:pPr>
      <w:r>
        <w:rPr>
          <w:rFonts w:ascii="Times New Roman" w:hAnsi="Times New Roman" w:eastAsia="Times New Roman" w:cs="Times New Roman"/>
          <w:lang w:val="en-US" w:bidi="en-US"/>
          <w:color w:val="111111"/>
          <w:sz w:val="28"/>
          <w:szCs w:val="28"/>
          <w:rtl/>
        </w:rPr>
        <w:t xml:space="preserve">behešt va dūzax</w:t>
      </w:r>
    </w:p>
    <w:p>
      <w:pPr>
        <w:pStyle w:val="BookText"/>
      </w:pPr>
      <w:r>
        <w:rPr>
          <w:rFonts w:ascii="IRNazanin" w:hAnsi="IRNazanin" w:eastAsia="IRNazanin" w:cs="IRNazanin"/>
          <w:lang w:bidi="fa-IR"/>
          <w:color w:val="111111"/>
          <w:sz w:val="28"/>
          <w:szCs w:val="28"/>
          <w:rtl/>
        </w:rPr>
        <w:t xml:space="preserve">نسفی، عزیزالدين بن محمد، ق ۷ قمری</w:t>
      </w:r>
    </w:p>
    <w:p>
      <w:pPr>
        <w:pStyle w:val="BookText"/>
      </w:pPr>
      <w:r>
        <w:rPr>
          <w:rFonts w:ascii="Times New Roman" w:hAnsi="Times New Roman" w:eastAsia="Times New Roman" w:cs="Times New Roman"/>
          <w:lang w:val="en-US" w:bidi="en-US"/>
          <w:color w:val="111111"/>
          <w:sz w:val="28"/>
          <w:szCs w:val="28"/>
          <w:rtl/>
        </w:rPr>
        <w:t xml:space="preserve">nasafī, 'azīz-od-dīn ebn-e mohammad (- 13c)</w:t>
      </w:r>
    </w:p>
    <w:p>
      <w:pPr>
        <w:pStyle w:val="BookText"/>
      </w:pPr>
      <w:r>
        <w:rPr>
          <w:rFonts w:ascii="IRNazanin" w:hAnsi="IRNazanin" w:eastAsia="IRNazanin" w:cs="IRNazanin"/>
          <w:lang w:bidi="fa-IR"/>
          <w:color w:val="111111"/>
          <w:sz w:val="28"/>
          <w:szCs w:val="28"/>
          <w:rtl/>
        </w:rPr>
        <w:t xml:space="preserve">در بیان حقیقت بهشت و دروزخ و خوشی و ناخوشی و بهشت آدم و حوا به روش عرفانی با عناوین «ای درویش» در ۶ (۵) فصل: ۱. بهشت و دوزخ حالی آدم و حوای حالی؛ ۲. درهای دوزخ و درهای بهشت؛ ۳. مراتب دوزخ و بهشت؛ ۴. آدم و حوا؛ ۵. در بیان درخت؛ ۶. بهشت نهم که بعضی خبر می دهند و ما از آن بی خبریم.</w:t>
      </w:r>
    </w:p>
    <w:p>
      <w:pPr>
        <w:pStyle w:val="BookText"/>
      </w:pPr>
      <w:r>
        <w:rPr>
          <w:rFonts w:ascii="IRNazanin" w:hAnsi="IRNazanin" w:eastAsia="IRNazanin" w:cs="IRNazanin"/>
          <w:lang w:bidi="fa-IR"/>
          <w:color w:val="111111"/>
          <w:sz w:val="28"/>
          <w:szCs w:val="28"/>
          <w:rtl/>
        </w:rPr>
        <w:t xml:space="preserve">آغاز: بسمله، حمدله، صلات. چنین گوید اضعف ضعفا ... که جماعت درویشان ... از این بیچاره درخواست کردند که می باید که در بهشت و دوزح رساله ای جمع کنید و بیان کنید که حقیقت بهشت و دوزخ چیست و حقیقبت خوشی و ناخوشی چیست</w:t>
      </w:r>
    </w:p>
    <w:p>
      <w:pPr>
        <w:pStyle w:val="BookText"/>
      </w:pPr>
      <w:r>
        <w:rPr>
          <w:rFonts w:ascii="IRNazanin" w:hAnsi="IRNazanin" w:eastAsia="IRNazanin" w:cs="IRNazanin"/>
          <w:lang w:bidi="fa-IR"/>
          <w:color w:val="111111"/>
          <w:sz w:val="28"/>
          <w:szCs w:val="28"/>
          <w:rtl/>
        </w:rPr>
        <w:t xml:space="preserve">انجام: که موافق مصلحت و ناموافق مصلحت وی بود؟ «عسی ان تكرهوا شيئا ... و هو شر لكم». و الحمد لله رب العالمين</w:t>
      </w:r>
    </w:p>
    <w:p>
      <w:pPr>
        <w:pStyle w:val="BookText"/>
      </w:pPr>
      <w:r>
        <w:rPr>
          <w:rFonts w:ascii="IRNazanin" w:hAnsi="IRNazanin" w:eastAsia="IRNazanin" w:cs="IRNazanin"/>
          <w:lang w:bidi="fa-IR"/>
          <w:color w:val="111111"/>
          <w:sz w:val="28"/>
          <w:szCs w:val="28"/>
          <w:rtl/>
        </w:rPr>
        <w:t xml:space="preserve">چاپ: در کتاب الانسان الكامل، به تحقيق ماریژان موله (تهران، طهوری: ۱۳۷۹ (چاپ پنجم)</w:t>
      </w:r>
    </w:p>
    <w:p>
      <w:pPr>
        <w:pStyle w:val="BookText"/>
      </w:pPr>
      <w:r>
        <w:rPr>
          <w:rFonts w:ascii="IRNazanin" w:hAnsi="IRNazanin" w:eastAsia="IRNazanin" w:cs="IRNazanin"/>
          <w:lang w:bidi="fa-IR"/>
          <w:color w:val="111111"/>
          <w:sz w:val="28"/>
          <w:szCs w:val="28"/>
          <w:rtl/>
        </w:rPr>
        <w:t xml:space="preserve">[ دنا ۵۷۳/۲ (۱۱ نسخه)؛ فهرست مشترک پاکستان ۱۳۲۳/۳ ؛ نسخه های منزوی ۱۰۶۶/۲ ؛ فهرستواره منزوی ۱۵۷/۷ ]</w:t>
      </w:r>
    </w:p>
    <w:p>
      <w:pPr>
        <w:pStyle w:val="BookText"/>
      </w:pPr>
      <w:r>
        <w:rPr>
          <w:rFonts w:ascii="IRNazanin" w:hAnsi="IRNazanin" w:eastAsia="IRNazanin" w:cs="IRNazanin"/>
          <w:lang w:bidi="fa-IR"/>
          <w:color w:val="111111"/>
          <w:sz w:val="28"/>
          <w:szCs w:val="28"/>
          <w:rtl/>
        </w:rPr>
        <w:t xml:space="preserve">۱. تهران؛ ملی؛ شماره نسخه: ۷۶۲/۹</w:t>
      </w:r>
    </w:p>
    <w:p>
      <w:pPr>
        <w:pStyle w:val="BookText"/>
      </w:pPr>
      <w:r>
        <w:rPr>
          <w:rFonts w:ascii="IRNazanin" w:hAnsi="IRNazanin" w:eastAsia="IRNazanin" w:cs="IRNazanin"/>
          <w:lang w:bidi="fa-IR"/>
          <w:color w:val="111111"/>
          <w:sz w:val="28"/>
          <w:szCs w:val="28"/>
          <w:rtl/>
        </w:rPr>
        <w:t xml:space="preserve">آغاز: برابر؛ انجام: أن الله يرزق من يشاء بغير حساب اینست بهشت نهم.</w:t>
      </w:r>
    </w:p>
    <w:p>
      <w:pPr>
        <w:pStyle w:val="BookText"/>
      </w:pPr>
      <w:r>
        <w:rPr>
          <w:rFonts w:ascii="IRNazanin" w:hAnsi="IRNazanin" w:eastAsia="IRNazanin" w:cs="IRNazanin"/>
          <w:lang w:bidi="fa-IR"/>
          <w:color w:val="111111"/>
          <w:sz w:val="28"/>
          <w:szCs w:val="28"/>
          <w:rtl/>
        </w:rPr>
        <w:t xml:space="preserve">خط: نسخ و نستعلیق، بی کا، تا: محتملا قرن ۱۱؛ کاغذ: اصفهانی، جلد: تیماج قهوه ای ترنج و نیم ترنج مقوایی لولادار، ۸ص (۴۶۶ -۴۷۳)، ۱۷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۲-۲۸۷]</w:t>
      </w:r>
    </w:p>
    <w:p>
      <w:pPr>
        <w:pStyle w:val="BookText"/>
      </w:pPr>
      <w:r>
        <w:rPr>
          <w:rFonts w:ascii="Amiri" w:hAnsi="Amiri" w:eastAsia="Amiri" w:cs="Amiri"/>
          <w:lang w:bidi="ar-SA"/>
          <w:color w:val="111111"/>
          <w:sz w:val="28"/>
          <w:szCs w:val="28"/>
          <w:rtl/>
        </w:rPr>
        <w:t xml:space="preserve">۲. تهران؛ دائرة المعارف؛ شماره نسخه: ۵۳۸/۸</w:t>
      </w:r>
    </w:p>
    <w:p>
      <w:pPr>
        <w:pStyle w:val="BookText"/>
      </w:pPr>
      <w:r>
        <w:rPr>
          <w:rFonts w:ascii="IRNazanin" w:hAnsi="IRNazanin" w:eastAsia="IRNazanin" w:cs="IRNazanin"/>
          <w:lang w:bidi="fa-IR"/>
          <w:color w:val="111111"/>
          <w:sz w:val="28"/>
          <w:szCs w:val="28"/>
          <w:rtl/>
        </w:rPr>
        <w:t xml:space="preserve">آغاز: برابر؛ انجام: از برکت صحبت دانا یافت. تمام شد منزل چهارم اهل تصوف ...</w:t>
      </w:r>
    </w:p>
    <w:p>
      <w:pPr>
        <w:pStyle w:val="BookText"/>
      </w:pPr>
      <w:r>
        <w:rPr>
          <w:rFonts w:ascii="IRNazanin" w:hAnsi="IRNazanin" w:eastAsia="IRNazanin" w:cs="IRNazanin"/>
          <w:lang w:bidi="fa-IR"/>
          <w:color w:val="111111"/>
          <w:sz w:val="28"/>
          <w:szCs w:val="28"/>
          <w:rtl/>
        </w:rPr>
        <w:t xml:space="preserve">بهرام و گلندام - بهشت و دوزخ ۲۳۷ خط: نسخ تحریری، بی کا، تا: قرن ۱۱؛ گزیده مطالب چاپ شده</w:t>
      </w:r>
    </w:p>
    <w:p>
      <w:pPr>
        <w:pStyle w:val="BookText"/>
      </w:pPr>
      <w:r>
        <w:rPr>
          <w:rFonts w:ascii="IRNazanin" w:hAnsi="IRNazanin" w:eastAsia="IRNazanin" w:cs="IRNazanin"/>
          <w:lang w:bidi="fa-IR"/>
          <w:color w:val="111111"/>
          <w:sz w:val="28"/>
          <w:szCs w:val="28"/>
          <w:rtl/>
        </w:rPr>
        <w:t xml:space="preserve">است؛ اگ (۴۴پ - ۵۰پ) [ف: ۱-۹۲]</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سپهسالار؛ شماره نسخه: ۱۳۴۴/۳</w:t>
      </w:r>
    </w:p>
    <w:p>
      <w:pPr>
        <w:pStyle w:val="BookText"/>
      </w:pPr>
      <w:r>
        <w:rPr>
          <w:rFonts w:ascii="IRNazanin" w:hAnsi="IRNazanin" w:eastAsia="IRNazanin" w:cs="IRNazanin"/>
          <w:lang w:bidi="fa-IR"/>
          <w:color w:val="111111"/>
          <w:sz w:val="28"/>
          <w:szCs w:val="28"/>
          <w:rtl/>
        </w:rPr>
        <w:t xml:space="preserve">انجام: و بندگان محتاج خود عنایت فرماید و ارزانی دارد. خط: نسخ، بی کا، تا: ۱۰۷۰ق؛ این نسخه اندکی جدایی دارد؛ ۱۰ص (۲۶۲-۲۷۲) [ف: ۵-]</w:t>
      </w:r>
    </w:p>
    <w:p>
      <w:pPr>
        <w:pStyle w:val="BookText"/>
      </w:pPr>
      <w:r>
        <w:rPr>
          <w:rFonts w:ascii="IRNazanin" w:hAnsi="IRNazanin" w:eastAsia="IRNazanin" w:cs="IRNazanin"/>
          <w:lang w:bidi="fa-IR"/>
          <w:color w:val="111111"/>
          <w:sz w:val="28"/>
          <w:szCs w:val="28"/>
          <w:rtl/>
        </w:rPr>
        <w:t xml:space="preserve">۴. تهران؛ سپهسالار؛ شماره نسخه:</w:t>
      </w:r>
    </w:p>
    <w:p>
      <w:pPr>
        <w:pStyle w:val="BookText"/>
      </w:pPr>
      <w:r>
        <w:rPr>
          <w:rFonts w:ascii="IRNazanin" w:hAnsi="IRNazanin" w:eastAsia="IRNazanin" w:cs="IRNazanin"/>
          <w:lang w:bidi="fa-IR"/>
          <w:color w:val="111111"/>
          <w:sz w:val="28"/>
          <w:szCs w:val="28"/>
          <w:rtl/>
        </w:rPr>
        <w:t xml:space="preserve">۱۳۱۶/۲۴ آغاز: برابر؛ انجام: و چون دانش بیشتر است باین سبب است.</w:t>
      </w:r>
    </w:p>
    <w:p>
      <w:pPr>
        <w:pStyle w:val="BookText"/>
      </w:pPr>
      <w:r>
        <w:rPr>
          <w:rFonts w:ascii="IRNazanin" w:hAnsi="IRNazanin" w:eastAsia="IRNazanin" w:cs="IRNazanin"/>
          <w:lang w:bidi="fa-IR"/>
          <w:color w:val="111111"/>
          <w:sz w:val="28"/>
          <w:szCs w:val="28"/>
          <w:rtl/>
        </w:rPr>
        <w:t xml:space="preserve">خط: نسخ، كا: حیدر علی، تا: شوال ۱۲۸۰ق، جان تهران؛ با این که تصحیح شده پر است از غلط؛ کاغذ: فرنگی سفید آهار مهره، جلد: مقوایی، ۵گ (۲۲۳-۲۲۷)، ۱۵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۵-۵۲]</w:t>
      </w:r>
    </w:p>
    <w:p>
      <w:pPr>
        <w:pStyle w:val="BookText"/>
      </w:pPr>
      <w:r>
        <w:rPr>
          <w:rFonts w:ascii="IRNazanin" w:hAnsi="IRNazanin" w:eastAsia="IRNazanin" w:cs="IRNazanin"/>
          <w:lang w:bidi="fa-IR"/>
          <w:color w:val="111111"/>
          <w:sz w:val="28"/>
          <w:szCs w:val="28"/>
          <w:rtl/>
        </w:rPr>
        <w:t xml:space="preserve">۵. تهران؛ سپهسالار؛ شماره نسخه: ۱۳۱۶/۴</w:t>
      </w:r>
    </w:p>
    <w:p>
      <w:pPr>
        <w:pStyle w:val="BookText"/>
      </w:pPr>
      <w:r>
        <w:rPr>
          <w:rFonts w:ascii="IRNazanin" w:hAnsi="IRNazanin" w:eastAsia="IRNazanin" w:cs="IRNazanin"/>
          <w:lang w:bidi="fa-IR"/>
          <w:color w:val="111111"/>
          <w:sz w:val="28"/>
          <w:szCs w:val="28"/>
          <w:rtl/>
        </w:rPr>
        <w:t xml:space="preserve">آغاز: برابر؛ انجام: مواخذ باشد. حسنات الابرار سيئات المقربين و صلی الله على محمد وآله.</w:t>
      </w:r>
    </w:p>
    <w:p>
      <w:pPr>
        <w:pStyle w:val="BookText"/>
      </w:pPr>
      <w:r>
        <w:rPr>
          <w:rFonts w:ascii="IRNazanin" w:hAnsi="IRNazanin" w:eastAsia="IRNazanin" w:cs="IRNazanin"/>
          <w:lang w:bidi="fa-IR"/>
          <w:color w:val="111111"/>
          <w:sz w:val="28"/>
          <w:szCs w:val="28"/>
          <w:rtl/>
        </w:rPr>
        <w:t xml:space="preserve">خط: نسخ، كا: حیدر علی، تا: شوال ۱۲۸۰ق، جا: تهران؛ سه فصل است و انجام آن چنین است: «و بندگان محتاج خود عنایت فرماید و ارزانی دارد»؛ کاغذ: فرنگی سفید آهار مهره، جلد: مقوایی، ۶گ (۴۳-پ۴۸ر)، ۱۵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۵-۴۸]</w:t>
      </w:r>
    </w:p>
    <w:p>
      <w:pPr>
        <w:pStyle w:val="BookText"/>
      </w:pPr>
      <w:r>
        <w:rPr>
          <w:rFonts w:ascii="IRNazanin" w:hAnsi="IRNazanin" w:eastAsia="IRNazanin" w:cs="IRNazanin"/>
          <w:lang w:bidi="fa-IR"/>
          <w:color w:val="111111"/>
          <w:sz w:val="28"/>
          <w:szCs w:val="28"/>
          <w:rtl/>
        </w:rPr>
        <w:t xml:space="preserve">6 . تهران؛ دانشگاه؛ شماره نسخه: ۴۰۵/۱۰</w:t>
      </w:r>
    </w:p>
    <w:p>
      <w:pPr>
        <w:pStyle w:val="BookText"/>
      </w:pPr>
      <w:r>
        <w:rPr>
          <w:rFonts w:ascii="IRNazanin" w:hAnsi="IRNazanin" w:eastAsia="IRNazanin" w:cs="IRNazanin"/>
          <w:lang w:bidi="fa-IR"/>
          <w:color w:val="111111"/>
          <w:sz w:val="28"/>
          <w:szCs w:val="28"/>
          <w:rtl/>
        </w:rPr>
        <w:t xml:space="preserve">آغاز: برابر، انجام: تمام شد منزل چهارم و اصل تصوف در این منزل اند و الله اعلم بالصواب خط: تعليق، كا: احمد بن عبدالعلی بیک بیوک آبادی همدانی، تا: زمستان ۱۲۸۳ق، ۶گ (۱۰۶-۱۱۱ر) [ف: ۳-۴۴۵]</w:t>
      </w:r>
    </w:p>
    <w:p>
      <w:pPr>
        <w:pStyle w:val="BookText"/>
      </w:pPr>
      <w:r>
        <w:rPr>
          <w:rFonts w:ascii="IRNazanin" w:hAnsi="IRNazanin" w:eastAsia="IRNazanin" w:cs="IRNazanin"/>
          <w:lang w:bidi="fa-IR"/>
          <w:color w:val="111111"/>
          <w:sz w:val="28"/>
          <w:szCs w:val="28"/>
          <w:rtl/>
        </w:rPr>
        <w:t xml:space="preserve">۷. قم؛ مرعشی؛ شماره نسخه: ۸۰۱۳/۴</w:t>
      </w:r>
    </w:p>
    <w:p>
      <w:pPr>
        <w:pStyle w:val="BookText"/>
      </w:pPr>
      <w:r>
        <w:rPr>
          <w:rFonts w:ascii="IRNazanin" w:hAnsi="IRNazanin" w:eastAsia="IRNazanin" w:cs="IRNazanin"/>
          <w:lang w:bidi="fa-IR"/>
          <w:color w:val="111111"/>
          <w:sz w:val="28"/>
          <w:szCs w:val="28"/>
          <w:rtl/>
        </w:rPr>
        <w:t xml:space="preserve">آغاز: برابر؛ انجام: یا یک حرکت نه از سر حضور کرده اید مؤاخذه باشد حسنات ابرار سيئات المقربين</w:t>
      </w:r>
    </w:p>
    <w:p>
      <w:pPr>
        <w:pStyle w:val="BookText"/>
      </w:pPr>
      <w:r>
        <w:rPr>
          <w:rFonts w:ascii="IRNazanin" w:hAnsi="IRNazanin" w:eastAsia="IRNazanin" w:cs="IRNazanin"/>
          <w:lang w:bidi="fa-IR"/>
          <w:color w:val="111111"/>
          <w:sz w:val="28"/>
          <w:szCs w:val="28"/>
          <w:rtl/>
        </w:rPr>
        <w:t xml:space="preserve">خط: نستعلیق زیبا، بی کا، تا: ربيع الثانی ۱۲۸۵ق؛ جلد: تیماج قهوه ای، ۵گ (۳۲-۳۶پ)، ۱۳ سطر، اندازه: 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۱۷/۵سم ف: ۲۱-۱۴]</w:t>
      </w:r>
    </w:p>
    <w:p>
      <w:pPr>
        <w:pStyle w:val="BookText"/>
      </w:pPr>
      <w:r>
        <w:rPr>
          <w:rFonts w:ascii="IRNazanin" w:hAnsi="IRNazanin" w:eastAsia="IRNazanin" w:cs="IRNazanin"/>
          <w:lang w:bidi="fa-IR"/>
          <w:color w:val="111111"/>
          <w:sz w:val="28"/>
          <w:szCs w:val="28"/>
          <w:rtl/>
        </w:rPr>
        <w:t xml:space="preserve">۸. تهران: مجلس؛ شماره نسخه: ۴۹۴۹/۲۲</w:t>
      </w:r>
    </w:p>
    <w:p>
      <w:pPr>
        <w:pStyle w:val="BookText"/>
      </w:pPr>
      <w:r>
        <w:rPr>
          <w:rFonts w:ascii="IRNazanin" w:hAnsi="IRNazanin" w:eastAsia="IRNazanin" w:cs="IRNazanin"/>
          <w:lang w:bidi="fa-IR"/>
          <w:color w:val="111111"/>
          <w:sz w:val="28"/>
          <w:szCs w:val="28"/>
          <w:rtl/>
        </w:rPr>
        <w:t xml:space="preserve">آغاز: برابر؛ انجام: ایدرویش هر بهشت که آخر تراست دانش آن بهشت بیشتر است و الحمدلله رب العالمين</w:t>
      </w:r>
    </w:p>
    <w:p>
      <w:pPr>
        <w:pStyle w:val="BookText"/>
      </w:pPr>
      <w:r>
        <w:rPr>
          <w:rFonts w:ascii="IRNazanin" w:hAnsi="IRNazanin" w:eastAsia="IRNazanin" w:cs="IRNazanin"/>
          <w:lang w:bidi="fa-IR"/>
          <w:color w:val="111111"/>
          <w:sz w:val="28"/>
          <w:szCs w:val="28"/>
          <w:rtl/>
        </w:rPr>
        <w:t xml:space="preserve">این گفتار با دگرگونی هایی در (ص ۲۹۳-۳۰۹) همان مجموعه چاپی آمده؛ خط: شکسته نستعلیق، کا: محمد جواد بن محمد حسین طبيب طهرانی (نجم الحكماء)، تا: ۱۳۱۴ق؛ کاتب در مقدمه رساله می نویسد که در رساله در بیان بهشت و دوزخ در مسوده اوراق دیده که مطالبشان با هم متفاوت بوده است لهذا هر دو رساله را نوشته است؛ کاغذ: فرنگی، جلد: تیماج سرخ یک لا، ۳گ (۷۶ر -۷۸ر)، ۱۵ سطر (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 اندازه: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۲۰سم [ف: ۲۲۱-۱۴]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مجلس؛ شماره نسخه: ۴۹۴۹/۲۳</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42" w:name="pg20363_209365"/>
    <w:bookmarkEnd w:id="142"/>
    <w:p>
      <w:pPr>
        <w:pStyle w:val="BookText"/>
      </w:pPr>
      <w:r>
        <w:rPr>
          <w:rFonts w:ascii="IRNazanin" w:hAnsi="IRNazanin" w:eastAsia="IRNazanin" w:cs="IRNazanin"/>
          <w:lang w:bidi="fa-IR"/>
          <w:color w:val="111111"/>
          <w:sz w:val="28"/>
          <w:szCs w:val="28"/>
          <w:rtl/>
        </w:rPr>
        <w:t xml:space="preserve">آغاز: برابر؛ انجام: زیرا که حسنات الابرار سیآت المقربین است. قد تمت ... محمد جواد بن محمد حسين الطهراني في دارالخلافه طهران في سنة ۱۳۱۴.</w:t>
      </w:r>
    </w:p>
    <w:p>
      <w:pPr>
        <w:pStyle w:val="BookText"/>
      </w:pPr>
      <w:r>
        <w:rPr>
          <w:rFonts w:ascii="IRNazanin" w:hAnsi="IRNazanin" w:eastAsia="IRNazanin" w:cs="IRNazanin"/>
          <w:lang w:bidi="fa-IR"/>
          <w:color w:val="111111"/>
          <w:sz w:val="28"/>
          <w:szCs w:val="28"/>
          <w:rtl/>
        </w:rPr>
        <w:t xml:space="preserve">این تحریر دیگری است از رساله قبل (۲۲) با تغییراتی در متن و فصول که در (ص ۲۹۳-۳۰۹) مجموعه چاپی آمده؛ خط: شکسته نستعلیق، كا: محمد جواد بن محمد حسین طبيب طهرانی( نجم الحكماء)، تا: ۱۳۱۴ق؛ کاغذ: فرنگی، جلد: تیماج سرخ یک لا، ۳گ (۷۸ر-۸۰ر)، ۱۵ سطر (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۲۰سم [ف: ۱۴-۲۲۱]</w:t>
      </w:r>
    </w:p>
    <w:p>
      <w:pPr>
        <w:pStyle w:val="BookText"/>
      </w:pPr>
      <w:r>
        <w:rPr>
          <w:rFonts w:ascii="IRNazanin" w:hAnsi="IRNazanin" w:eastAsia="IRNazanin" w:cs="IRNazanin"/>
          <w:lang w:bidi="fa-IR"/>
          <w:color w:val="111111"/>
          <w:sz w:val="28"/>
          <w:szCs w:val="28"/>
          <w:rtl/>
        </w:rPr>
        <w:t xml:space="preserve">۱۰. تهران؛ مجلس؛ شماره نسخه: ۹۹۴/۲۴ -طباطبائی</w:t>
      </w:r>
    </w:p>
    <w:p>
      <w:pPr>
        <w:pStyle w:val="BookText"/>
      </w:pPr>
      <w:r>
        <w:rPr>
          <w:rFonts w:ascii="IRNazanin" w:hAnsi="IRNazanin" w:eastAsia="IRNazanin" w:cs="IRNazanin"/>
          <w:lang w:bidi="fa-IR"/>
          <w:color w:val="111111"/>
          <w:sz w:val="28"/>
          <w:szCs w:val="28"/>
          <w:rtl/>
        </w:rPr>
        <w:t xml:space="preserve">خط: نستعلیق، بی کا، بی تاب از صفحه ۱۴۶ تا آخر خطبه کوتاه رساله ها؛ کاغذ: فرنگی، ۳ص (۱۴۵-۱۴۷)، قطع: وزیری، اندازه: ۱۳/۵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 سم [ف: ۲۳-۲۸۹]</w:t>
      </w:r>
    </w:p>
    <w:p>
      <w:pPr>
        <w:pStyle w:val="BookText"/>
      </w:pPr>
      <w:r>
        <w:rPr>
          <w:rFonts w:ascii="IRNazanin" w:hAnsi="IRNazanin" w:eastAsia="IRNazanin" w:cs="IRNazanin"/>
          <w:lang w:bidi="fa-IR"/>
          <w:color w:val="111111"/>
          <w:sz w:val="28"/>
          <w:szCs w:val="28"/>
          <w:rtl/>
        </w:rPr>
        <w:t xml:space="preserve">۱۱. تهران؛ مجلس؛ شماره نسخه: ۹۹۴/۴ -طباطبائی</w:t>
      </w:r>
    </w:p>
    <w:p>
      <w:pPr>
        <w:pStyle w:val="BookText"/>
      </w:pPr>
      <w:r>
        <w:rPr>
          <w:rFonts w:ascii="IRNazanin" w:hAnsi="IRNazanin" w:eastAsia="IRNazanin" w:cs="IRNazanin"/>
          <w:lang w:bidi="fa-IR"/>
          <w:color w:val="111111"/>
          <w:sz w:val="28"/>
          <w:szCs w:val="28"/>
          <w:rtl/>
        </w:rPr>
        <w:t xml:space="preserve">آغاز: برابر؛ انجام: تا به جایی میرسد که همیشه حاضر باید بود و یک نفس غایب نباید باشد و اگر یک طرفة العين غائب گردد ... مؤاخذ باشد. حسنات الابرار سیآت المقربين.</w:t>
      </w:r>
    </w:p>
    <w:p>
      <w:pPr>
        <w:pStyle w:val="BookText"/>
      </w:pPr>
      <w:r>
        <w:rPr>
          <w:rFonts w:ascii="IRNazanin" w:hAnsi="IRNazanin" w:eastAsia="IRNazanin" w:cs="IRNazanin"/>
          <w:lang w:bidi="fa-IR"/>
          <w:color w:val="111111"/>
          <w:sz w:val="28"/>
          <w:szCs w:val="28"/>
          <w:rtl/>
        </w:rPr>
        <w:t xml:space="preserve">خط: نستعلیق، بی کا، بی تا، کاغذ: فرنگی، ۵ص (۳۱-۳۵)، قطع: وزیری، اندازه: ۱۳/۵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۲۳-۲۸۱]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166" w:name="_Toc426"/>
      <w:r>
        <w:t>• بهشت و دوزخ این عالم است = تأديب الرجال / داستان / فارسی</w:t>
      </w:r>
      <w:bookmarkEnd w:id="1166"/>
    </w:p>
    <w:p>
      <w:pPr>
        <w:pStyle w:val="BookText"/>
      </w:pPr>
      <w:r>
        <w:rPr>
          <w:rFonts w:ascii="Times New Roman" w:hAnsi="Times New Roman" w:eastAsia="Times New Roman" w:cs="Times New Roman"/>
          <w:lang w:val="en-US" w:bidi="en-US"/>
          <w:color w:val="111111"/>
          <w:sz w:val="28"/>
          <w:szCs w:val="28"/>
          <w:rtl/>
        </w:rPr>
        <w:t xml:space="preserve">behešt va dūzax in ‘ālam ast = ta’dīb-or rejāl</w:t>
      </w:r>
    </w:p>
    <w:p>
      <w:pPr>
        <w:pStyle w:val="BookText"/>
      </w:pPr>
      <w:r>
        <w:rPr>
          <w:rFonts w:ascii="IRNazanin" w:hAnsi="IRNazanin" w:eastAsia="IRNazanin" w:cs="IRNazanin"/>
          <w:lang w:bidi="fa-IR"/>
          <w:color w:val="111111"/>
          <w:sz w:val="28"/>
          <w:szCs w:val="28"/>
          <w:rtl/>
        </w:rPr>
        <w:t xml:space="preserve">گرجی، والی بن سهراب، ق۱۳ قمری</w:t>
      </w:r>
    </w:p>
    <w:p>
      <w:pPr>
        <w:pStyle w:val="BookText"/>
      </w:pPr>
      <w:r>
        <w:rPr>
          <w:rFonts w:ascii="Times New Roman" w:hAnsi="Times New Roman" w:eastAsia="Times New Roman" w:cs="Times New Roman"/>
          <w:lang w:val="en-US" w:bidi="en-US"/>
          <w:color w:val="111111"/>
          <w:sz w:val="28"/>
          <w:szCs w:val="28"/>
          <w:rtl/>
        </w:rPr>
        <w:t xml:space="preserve">gorjī, vālī ebn-e sohrāb (- 19c)</w:t>
      </w:r>
    </w:p>
    <w:p>
      <w:pPr>
        <w:pStyle w:val="BookText"/>
      </w:pPr>
      <w:r>
        <w:rPr>
          <w:rFonts w:ascii="IRNazanin" w:hAnsi="IRNazanin" w:eastAsia="IRNazanin" w:cs="IRNazanin"/>
          <w:lang w:bidi="fa-IR"/>
          <w:color w:val="111111"/>
          <w:sz w:val="28"/>
          <w:szCs w:val="28"/>
          <w:rtl/>
        </w:rPr>
        <w:t xml:space="preserve">اهداء به: ناصرالدین شاه. نویسنده می گوید در این روزگار که زمام شاهی به کف ناصر الدین شاه و وزارت در ید امین السلطان است برای آنکه باقیات صالحاتی از خود به جا گذارده باشم تا هر که بعد از من بر آن نظر افکند آن را نیکو یابد این کتاب را در حکایتی از جهنم و بهشت و زحمت و راحت به رشته تحریر کشیدم و امید است که صاحبان عقول را نیز مفید افتد. او سپس به تعریف و خواص بهشت و جهنم می پردازد. نویسنده، که ظاهرا از ریزه خوران دربار بوده است، در این رساله قصد آن دارد که بگوید بهشت و دوزخ مشهور بین مردمان نعمت و نکبتی است که در این عالم روی می نماید. اگر بدین جهان غرق در نکبت بودی به دوزخی و اگر مستغرق در نعمت بودی به بهشتی. او این نوشته را وسیله گدایی خود قرار می دهد و به اواخر کتاب از فقر خود می نالد و از شاه وقت تقاضای احسان و پاداش می کند.</w:t>
      </w:r>
    </w:p>
    <w:p>
      <w:pPr>
        <w:pStyle w:val="BookText"/>
      </w:pPr>
      <w:r>
        <w:rPr>
          <w:rFonts w:ascii="IRNazanin" w:hAnsi="IRNazanin" w:eastAsia="IRNazanin" w:cs="IRNazanin"/>
          <w:lang w:bidi="fa-IR"/>
          <w:color w:val="111111"/>
          <w:sz w:val="28"/>
          <w:szCs w:val="28"/>
          <w:rtl/>
        </w:rPr>
        <w:t xml:space="preserve">آغاز: بسمله، محبوبی را سپاس که طایر قیاس بر مطلع جمالش نپرد انجام: خداوند جان همه را تصدیق وجود مبارک فرماید بحق محمد و اله محمد(صلی الله علیه وآله وسلم)امین رب العالمين</w:t>
      </w:r>
    </w:p>
    <w:p>
      <w:pPr>
        <w:pStyle w:val="BookText"/>
      </w:pPr>
      <w:r>
        <w:rPr>
          <w:rFonts w:ascii="IRNazanin" w:hAnsi="IRNazanin" w:eastAsia="IRNazanin" w:cs="IRNazanin"/>
          <w:lang w:bidi="fa-IR"/>
          <w:color w:val="111111"/>
          <w:sz w:val="28"/>
          <w:szCs w:val="28"/>
          <w:rtl/>
        </w:rPr>
        <w:t xml:space="preserve">[دنا ۵۷۳/۲ ؛ فهرستواره منزوی ۲۹۹/۱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ملی؛ شماره نسخه: ۴۴۸</w:t>
      </w:r>
    </w:p>
    <w:p>
      <w:pPr>
        <w:pStyle w:val="BookText"/>
      </w:pPr>
      <w:r>
        <w:rPr>
          <w:rFonts w:ascii="IRNazanin" w:hAnsi="IRNazanin" w:eastAsia="IRNazanin" w:cs="IRNazanin"/>
          <w:lang w:bidi="fa-IR"/>
          <w:color w:val="111111"/>
          <w:sz w:val="28"/>
          <w:szCs w:val="28"/>
          <w:rtl/>
        </w:rPr>
        <w:t xml:space="preserve">آغاز: برابر؛ انجام: بحق نبی مطلق خداوند وجود مبارک قبله عالم را محافظت فرمایند</w:t>
      </w:r>
    </w:p>
    <w:p>
      <w:pPr>
        <w:pStyle w:val="BookText"/>
      </w:pPr>
      <w:r>
        <w:rPr>
          <w:rFonts w:ascii="IRNazanin" w:hAnsi="IRNazanin" w:eastAsia="IRNazanin" w:cs="IRNazanin"/>
          <w:lang w:bidi="fa-IR"/>
          <w:color w:val="111111"/>
          <w:sz w:val="28"/>
          <w:szCs w:val="28"/>
          <w:rtl/>
        </w:rPr>
        <w:t xml:space="preserve">خط: شکسته نستعلیق، کاتب = مؤلف، تا: اواخر قرن ۱۳، جان محتملا تهران؛ کاغذ: فرنگی، جلد: تیماج قرمز یک لا، ۳۴گ، ۸ سطر کامل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۱-۴۳۵]</w:t>
      </w:r>
    </w:p>
    <w:p>
      <w:pPr>
        <w:pStyle w:val="BookText"/>
      </w:pPr>
      <w:r>
        <w:rPr>
          <w:rFonts w:ascii="IRNazanin" w:hAnsi="IRNazanin" w:eastAsia="IRNazanin" w:cs="IRNazanin"/>
          <w:lang w:bidi="fa-IR"/>
          <w:color w:val="111111"/>
          <w:sz w:val="28"/>
          <w:szCs w:val="28"/>
          <w:rtl/>
        </w:rPr>
        <w:t xml:space="preserve">۲. تهران؛ ملی؛ شماره نسخه: ۲۷۷۳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گرجی، والی بن سهراب، تا: قرن ۱۳، جان طهران؛ کاغذ: فرنگی، جلد: تیماج یک لا تریاکی، ۳۸گ، ۸سطر کامل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۶-۳۹۵]</w:t>
      </w:r>
    </w:p>
    <w:p>
      <w:pPr>
        <w:pStyle w:val="Heading3"/>
      </w:pPr>
      <w:bookmarkStart w:id="1167" w:name="_Toc427"/>
      <w:r>
        <w:t>• بهشت و دوزخ و اسماء در کات آن / کلام و اعتقادات / فارسی</w:t>
      </w:r>
      <w:bookmarkEnd w:id="1167"/>
    </w:p>
    <w:p>
      <w:pPr>
        <w:pStyle w:val="BookText"/>
      </w:pPr>
      <w:r>
        <w:rPr>
          <w:rFonts w:ascii="Times New Roman" w:hAnsi="Times New Roman" w:eastAsia="Times New Roman" w:cs="Times New Roman"/>
          <w:lang w:val="en-US" w:bidi="en-US"/>
          <w:color w:val="111111"/>
          <w:sz w:val="28"/>
          <w:szCs w:val="28"/>
          <w:rtl/>
        </w:rPr>
        <w:t xml:space="preserve">behest va dūzax va asmā'-e darakāt-e ān</w:t>
      </w:r>
    </w:p>
    <w:p>
      <w:pPr>
        <w:pStyle w:val="BookText"/>
      </w:pPr>
      <w:r>
        <w:rPr>
          <w:rFonts w:ascii="IRNazanin" w:hAnsi="IRNazanin" w:eastAsia="IRNazanin" w:cs="IRNazanin"/>
          <w:lang w:bidi="fa-IR"/>
          <w:color w:val="111111"/>
          <w:sz w:val="28"/>
          <w:szCs w:val="28"/>
          <w:rtl/>
        </w:rPr>
        <w:t xml:space="preserve">تهران؛ ملک؛ شماره نسخه: ۲۸۴۲/۱۰۴</w:t>
      </w:r>
    </w:p>
    <w:p>
      <w:pPr>
        <w:pStyle w:val="BookText"/>
      </w:pPr>
      <w:r>
        <w:rPr>
          <w:rFonts w:ascii="IRNazanin" w:hAnsi="IRNazanin" w:eastAsia="IRNazanin" w:cs="IRNazanin"/>
          <w:lang w:bidi="fa-IR"/>
          <w:color w:val="111111"/>
          <w:sz w:val="28"/>
          <w:szCs w:val="28"/>
          <w:rtl/>
        </w:rPr>
        <w:t xml:space="preserve">خط: شکسته نستعلیق، كا: ابوالقاسم وفا، تا: قرن ۱۳؛ ۲ص (۱۹۳ ۱۹۴ در هامش) [ف: ۶-۱۳۷]</w:t>
      </w:r>
    </w:p>
    <w:p>
      <w:pPr>
        <w:pStyle w:val="Heading3"/>
      </w:pPr>
      <w:bookmarkStart w:id="1168" w:name="_Toc428"/>
      <w:r>
        <w:t>• بهگوت پوران = سکنده بهگوت پوران = سری بهاگوت = سری بهگوت گیتا / داستان / فارسی</w:t>
      </w:r>
      <w:bookmarkEnd w:id="1168"/>
    </w:p>
    <w:p>
      <w:pPr>
        <w:pStyle w:val="BookText"/>
      </w:pPr>
      <w:r>
        <w:rPr>
          <w:rFonts w:ascii="Times New Roman" w:hAnsi="Times New Roman" w:eastAsia="Times New Roman" w:cs="Times New Roman"/>
          <w:lang w:val="en-US" w:bidi="en-US"/>
          <w:color w:val="111111"/>
          <w:sz w:val="28"/>
          <w:szCs w:val="28"/>
          <w:rtl/>
        </w:rPr>
        <w:t xml:space="preserve">behagwata pūrān = sekanda behagwata pūrān = serī behāgwata = serī behagwata gītā</w:t>
      </w:r>
    </w:p>
    <w:p>
      <w:pPr>
        <w:pStyle w:val="BookText"/>
      </w:pPr>
      <w:r>
        <w:rPr>
          <w:rFonts w:ascii="IRNazanin" w:hAnsi="IRNazanin" w:eastAsia="IRNazanin" w:cs="IRNazanin"/>
          <w:lang w:bidi="fa-IR"/>
          <w:color w:val="111111"/>
          <w:sz w:val="28"/>
          <w:szCs w:val="28"/>
          <w:rtl/>
        </w:rPr>
        <w:t xml:space="preserve">فیضی، ابو الفيض بن مبارک، ۹۵۴-۱۰۰۴ قمری</w:t>
      </w:r>
    </w:p>
    <w:p>
      <w:pPr>
        <w:pStyle w:val="BookText"/>
      </w:pPr>
      <w:r>
        <w:rPr>
          <w:rFonts w:ascii="Times New Roman" w:hAnsi="Times New Roman" w:eastAsia="Times New Roman" w:cs="Times New Roman"/>
          <w:lang w:val="en-US" w:bidi="en-US"/>
          <w:color w:val="111111"/>
          <w:sz w:val="28"/>
          <w:szCs w:val="28"/>
          <w:rtl/>
        </w:rPr>
        <w:t xml:space="preserve">feyzī, ab-ol-feyz ebn-e mobārak (1548-1596)</w:t>
      </w:r>
    </w:p>
    <w:p>
      <w:pPr>
        <w:pStyle w:val="BookText"/>
      </w:pPr>
      <w:r>
        <w:rPr>
          <w:rFonts w:ascii="IRNazanin" w:hAnsi="IRNazanin" w:eastAsia="IRNazanin" w:cs="IRNazanin"/>
          <w:lang w:bidi="fa-IR"/>
          <w:color w:val="111111"/>
          <w:sz w:val="28"/>
          <w:szCs w:val="28"/>
          <w:rtl/>
        </w:rPr>
        <w:t xml:space="preserve">ترجمه فارسی ابوالفيض بن مبارک فیضی از افسانه های هندی چاپ: دیوان هند چاپ جیپو در ۱۹۰۸</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 ۱۲۱۵- ف</w:t>
      </w:r>
    </w:p>
    <w:p>
      <w:pPr>
        <w:pStyle w:val="BookText"/>
      </w:pPr>
      <w:r>
        <w:rPr>
          <w:rFonts w:ascii="IRNazanin" w:hAnsi="IRNazanin" w:eastAsia="IRNazanin" w:cs="IRNazanin"/>
          <w:lang w:bidi="fa-IR"/>
          <w:color w:val="111111"/>
          <w:sz w:val="28"/>
          <w:szCs w:val="28"/>
          <w:rtl/>
        </w:rPr>
        <w:t xml:space="preserve">نسخه اصل: بادلیان ۷۴</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 خط: نستعلیق، بی کا، بی تا، ۳۱۵، ۱۵ سطر [فیلمها ف: ۱-۲۴]</w:t>
      </w:r>
    </w:p>
    <w:p>
      <w:pPr>
        <w:pStyle w:val="BookText"/>
      </w:pPr>
      <w:r>
        <w:rPr>
          <w:rFonts w:ascii="IRNazanin" w:hAnsi="IRNazanin" w:eastAsia="IRNazanin" w:cs="IRNazanin"/>
          <w:lang w:bidi="fa-IR"/>
          <w:color w:val="111111"/>
          <w:sz w:val="28"/>
          <w:szCs w:val="28"/>
          <w:rtl/>
        </w:rPr>
        <w:t xml:space="preserve">۲. تهران، دانشگاه؛ شماره نسخه: ۱۷۶۶ف</w:t>
      </w:r>
    </w:p>
    <w:p>
      <w:pPr>
        <w:pStyle w:val="BookText"/>
      </w:pPr>
      <w:r>
        <w:rPr>
          <w:rFonts w:ascii="IRNazanin" w:hAnsi="IRNazanin" w:eastAsia="IRNazanin" w:cs="IRNazanin"/>
          <w:lang w:bidi="fa-IR"/>
          <w:color w:val="111111"/>
          <w:sz w:val="28"/>
          <w:szCs w:val="28"/>
          <w:rtl/>
        </w:rPr>
        <w:t xml:space="preserve">نسخه اصل: دیوان هند چاپ جیو در ۱۹۰۸؛ بی کا، بی تا، ۳۶گ [فیلمها ف: ۱-۲۴]</w:t>
      </w:r>
    </w:p>
    <w:p>
      <w:pPr>
        <w:pStyle w:val="Heading3"/>
      </w:pPr>
      <w:bookmarkStart w:id="1169" w:name="_Toc429"/>
      <w:r>
        <w:t>• بهگوت پوران = سکنده بهگوت پوران = سری</w:t>
      </w:r>
      <w:bookmarkEnd w:id="1169"/>
    </w:p>
    <w:p>
      <w:pPr>
        <w:pStyle w:val="BookText"/>
      </w:pPr>
      <w:r>
        <w:rPr>
          <w:rFonts w:ascii="IRNazanin" w:hAnsi="IRNazanin" w:eastAsia="IRNazanin" w:cs="IRNazanin"/>
          <w:lang w:bidi="fa-IR"/>
          <w:color w:val="111111"/>
          <w:sz w:val="28"/>
          <w:szCs w:val="28"/>
          <w:rtl/>
        </w:rPr>
        <w:t xml:space="preserve">بهاگوت = سری بهگوت گیتا / داستان / فارسی</w:t>
      </w:r>
    </w:p>
    <w:p>
      <w:pPr>
        <w:pStyle w:val="BookText"/>
      </w:pPr>
      <w:r>
        <w:rPr>
          <w:rFonts w:ascii="Times New Roman" w:hAnsi="Times New Roman" w:eastAsia="Times New Roman" w:cs="Times New Roman"/>
          <w:lang w:val="en-US" w:bidi="en-US"/>
          <w:color w:val="111111"/>
          <w:sz w:val="28"/>
          <w:szCs w:val="28"/>
          <w:rtl/>
        </w:rPr>
        <w:t xml:space="preserve">behagwata pūrān = sekanda behagwata pūrān = serī behāgwata = serī behagwata gītā</w:t>
      </w:r>
    </w:p>
    <w:p>
      <w:pPr>
        <w:pStyle w:val="BookText"/>
      </w:pPr>
      <w:r>
        <w:rPr>
          <w:rFonts w:ascii="IRNazanin" w:hAnsi="IRNazanin" w:eastAsia="IRNazanin" w:cs="IRNazanin"/>
          <w:lang w:bidi="fa-IR"/>
          <w:color w:val="111111"/>
          <w:sz w:val="28"/>
          <w:szCs w:val="28"/>
          <w:rtl/>
        </w:rPr>
        <w:t xml:space="preserve">علامی، ابو الفضل بن مبارک، ۹۵۸؟ -۱۰۱۱؟ قمری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43" w:name="pg20363_209366"/>
    <w:bookmarkEnd w:id="143"/>
    <w:p>
      <w:pPr>
        <w:pStyle w:val="BookText"/>
      </w:pPr>
      <w:r>
        <w:rPr>
          <w:rFonts w:ascii="Times New Roman" w:hAnsi="Times New Roman" w:eastAsia="Times New Roman" w:cs="Times New Roman"/>
          <w:lang w:val="en-US" w:bidi="en-US"/>
          <w:color w:val="111111"/>
          <w:sz w:val="28"/>
          <w:szCs w:val="28"/>
          <w:rtl/>
        </w:rPr>
        <w:t xml:space="preserve">‘allāmī, ab-ol-fazl ebn-e mobārak (1551-1603)</w:t>
      </w:r>
    </w:p>
    <w:p>
      <w:pPr>
        <w:pStyle w:val="BookText"/>
      </w:pPr>
      <w:r>
        <w:rPr>
          <w:rFonts w:ascii="IRNazanin" w:hAnsi="IRNazanin" w:eastAsia="IRNazanin" w:cs="IRNazanin"/>
          <w:lang w:bidi="fa-IR"/>
          <w:color w:val="111111"/>
          <w:sz w:val="28"/>
          <w:szCs w:val="28"/>
          <w:rtl/>
        </w:rPr>
        <w:t xml:space="preserve">از افسانه های هندویی، از متون دینی هندوان، درباره مترجم آن از سانسکریت سخن است: از ابوالفضل علامی (د ۱۰۱۱ق/ ۱۶۰۳م) با داراشکوه (۱۰۲۴-۱۰۶۹ق) نک: پیشگفتار چاپ او پانیشاد. تار چند: ۲۵۱ «بهگود گیتا» که می گوید بدون تردید از علامی می باشد. در چند «اسکندد» و بخش های کوچکتر. (احمد منزوی)</w:t>
      </w:r>
    </w:p>
    <w:p>
      <w:pPr>
        <w:pStyle w:val="BookText"/>
      </w:pPr>
      <w:r>
        <w:rPr>
          <w:rFonts w:ascii="IRNazanin" w:hAnsi="IRNazanin" w:eastAsia="IRNazanin" w:cs="IRNazanin"/>
          <w:lang w:bidi="fa-IR"/>
          <w:color w:val="111111"/>
          <w:sz w:val="28"/>
          <w:szCs w:val="28"/>
          <w:rtl/>
        </w:rPr>
        <w:t xml:space="preserve">چاپ: چاپ شده</w:t>
      </w:r>
    </w:p>
    <w:p>
      <w:pPr>
        <w:pStyle w:val="BookText"/>
      </w:pPr>
      <w:r>
        <w:rPr>
          <w:rFonts w:ascii="IRNazanin" w:hAnsi="IRNazanin" w:eastAsia="IRNazanin" w:cs="IRNazanin"/>
          <w:lang w:bidi="fa-IR"/>
          <w:color w:val="111111"/>
          <w:sz w:val="28"/>
          <w:szCs w:val="28"/>
          <w:rtl/>
        </w:rPr>
        <w:t xml:space="preserve">[نسخه های منزوی ۳۶۶۲/۵ «بهگوت پوران»؛ مشترک پاکستان ۲/ ۲۱۳۹ بخگوت گیتا» همانجا ۲۱۶۴ «سری بهاگوت: بهکواد کیتا» همانجا، ۱۳۱۸ بخگوت پوران» ۲۱۳۹ «بخگوت گیتا»، همانجا ۴۶/۵ علامی و منشآت او، همانجا ۸۰۲/۱ داراشکوه؛ صفا ۱۵۸۵/۳ ، ۱۷۶۸، ۲۰۸۰ داراشکوه ]</w:t>
      </w:r>
    </w:p>
    <w:p>
      <w:pPr>
        <w:pStyle w:val="BookText"/>
      </w:pPr>
      <w:r>
        <w:rPr>
          <w:rFonts w:ascii="IRNazanin" w:hAnsi="IRNazanin" w:eastAsia="IRNazanin" w:cs="IRNazanin"/>
          <w:lang w:bidi="fa-IR"/>
          <w:color w:val="111111"/>
          <w:sz w:val="28"/>
          <w:szCs w:val="28"/>
          <w:rtl/>
        </w:rPr>
        <w:t xml:space="preserve">تهران؛ دائرة المعارف؛ شماره نسخه: ۴۵/۱ - عکسی</w:t>
      </w:r>
    </w:p>
    <w:p>
      <w:pPr>
        <w:pStyle w:val="BookText"/>
      </w:pPr>
      <w:r>
        <w:rPr>
          <w:rFonts w:ascii="IRNazanin" w:hAnsi="IRNazanin" w:eastAsia="IRNazanin" w:cs="IRNazanin"/>
          <w:lang w:bidi="fa-IR"/>
          <w:color w:val="111111"/>
          <w:sz w:val="28"/>
          <w:szCs w:val="28"/>
          <w:rtl/>
        </w:rPr>
        <w:t xml:space="preserve">آغاز: سری کرشن حبوسها، اسكنده یازدهم، از «سری بهاگوت» روزی سری کرشن حبو بخاطر آوردند که او تار برای درو کردن بار زمینه انجام: راجه بر بجهت از آن روز که سری کرشن حبو رفتند دهرم دست بماند. تمام شد اسکنده اکادس. نسخه اصل: بودلیان، ش ۱۳۱۷ (بودليان ۸۱۳) نسخه در دست اسکنده ۱۱ می باشد؛ خط: نستعلیق تحریری آمیخته به شکسته به شیوه هندوستان، بی کا، تا: قرن ۱۲؛ ۳۷گ (۲ر -۳۸پ) [عکسی ف: ۲-۴۴] تهران، دانشگاه؛ شماره نسخه: ۱۲۲۹/۱ -ف</w:t>
      </w:r>
    </w:p>
    <w:p>
      <w:pPr>
        <w:pStyle w:val="BookText"/>
      </w:pPr>
      <w:r>
        <w:rPr>
          <w:rFonts w:ascii="Amiri" w:hAnsi="Amiri" w:eastAsia="Amiri" w:cs="Amiri"/>
          <w:lang w:bidi="ar-SA"/>
          <w:color w:val="111111"/>
          <w:sz w:val="28"/>
          <w:szCs w:val="28"/>
          <w:rtl/>
        </w:rPr>
        <w:t xml:space="preserve">نسخه اصل: همان نسخه بالا [فيلمها ف: ۱-۵۸۲]</w:t>
      </w:r>
    </w:p>
    <w:p>
      <w:pPr>
        <w:pStyle w:val="BookText"/>
      </w:pPr>
      <w:r>
        <w:rPr>
          <w:rFonts w:ascii="IRNazanin" w:hAnsi="IRNazanin" w:eastAsia="IRNazanin" w:cs="IRNazanin"/>
          <w:lang w:bidi="fa-IR"/>
          <w:color w:val="111111"/>
          <w:sz w:val="28"/>
          <w:szCs w:val="28"/>
          <w:rtl/>
        </w:rPr>
        <w:t xml:space="preserve">← بهگود گیتا ← مهابهارت</w:t>
      </w:r>
    </w:p>
    <w:p>
      <w:pPr>
        <w:pStyle w:val="Heading3"/>
      </w:pPr>
      <w:bookmarkStart w:id="1170" w:name="_Toc430"/>
      <w:r>
        <w:t>• بهمن ماه / فارسی</w:t>
      </w:r>
      <w:bookmarkEnd w:id="1170"/>
    </w:p>
    <w:p>
      <w:pPr>
        <w:pStyle w:val="BookText"/>
      </w:pPr>
      <w:r>
        <w:rPr>
          <w:rFonts w:ascii="Times New Roman" w:hAnsi="Times New Roman" w:eastAsia="Times New Roman" w:cs="Times New Roman"/>
          <w:lang w:val="en-US" w:bidi="en-US"/>
          <w:color w:val="111111"/>
          <w:sz w:val="28"/>
          <w:szCs w:val="28"/>
          <w:rtl/>
        </w:rPr>
        <w:t xml:space="preserve">bahman māh</w:t>
      </w:r>
    </w:p>
    <w:p>
      <w:pPr>
        <w:pStyle w:val="BookText"/>
      </w:pPr>
      <w:r>
        <w:rPr>
          <w:rFonts w:ascii="IRNazanin" w:hAnsi="IRNazanin" w:eastAsia="IRNazanin" w:cs="IRNazanin"/>
          <w:lang w:bidi="fa-IR"/>
          <w:color w:val="111111"/>
          <w:sz w:val="28"/>
          <w:szCs w:val="28"/>
          <w:rtl/>
        </w:rPr>
        <w:t xml:space="preserve">کسروی، احمد، ۱۲۶۹-۱۳۲۴ شمسی</w:t>
      </w:r>
    </w:p>
    <w:p>
      <w:pPr>
        <w:pStyle w:val="BookText"/>
      </w:pPr>
      <w:r>
        <w:rPr>
          <w:rFonts w:ascii="Times New Roman" w:hAnsi="Times New Roman" w:eastAsia="Times New Roman" w:cs="Times New Roman"/>
          <w:lang w:val="en-US" w:bidi="en-US"/>
          <w:color w:val="111111"/>
          <w:sz w:val="28"/>
          <w:szCs w:val="28"/>
          <w:rtl/>
        </w:rPr>
        <w:t xml:space="preserve">kasravī, ahmad (1890-1945)</w:t>
      </w:r>
    </w:p>
    <w:p>
      <w:pPr>
        <w:pStyle w:val="BookText"/>
      </w:pPr>
      <w:r>
        <w:rPr>
          <w:rFonts w:ascii="IRNazanin" w:hAnsi="IRNazanin" w:eastAsia="IRNazanin" w:cs="IRNazanin"/>
          <w:lang w:bidi="fa-IR"/>
          <w:color w:val="111111"/>
          <w:sz w:val="28"/>
          <w:szCs w:val="28"/>
          <w:rtl/>
        </w:rPr>
        <w:t xml:space="preserve">در ۱۳۲۳.</w:t>
      </w:r>
    </w:p>
    <w:p>
      <w:pPr>
        <w:pStyle w:val="BookText"/>
      </w:pPr>
      <w:r>
        <w:rPr>
          <w:rFonts w:ascii="IRNazanin" w:hAnsi="IRNazanin" w:eastAsia="IRNazanin" w:cs="IRNazanin"/>
          <w:lang w:bidi="fa-IR"/>
          <w:color w:val="111111"/>
          <w:sz w:val="28"/>
          <w:szCs w:val="28"/>
          <w:rtl/>
        </w:rPr>
        <w:t xml:space="preserve">تهران؛ دانشگاه؛ شماره نسخه: ۴۷۵۲/۱۲ -۴۷۵۴- ف</w:t>
      </w:r>
    </w:p>
    <w:p>
      <w:pPr>
        <w:pStyle w:val="BookText"/>
      </w:pPr>
      <w:r>
        <w:rPr>
          <w:rFonts w:ascii="IRNazanin" w:hAnsi="IRNazanin" w:eastAsia="IRNazanin" w:cs="IRNazanin"/>
          <w:lang w:bidi="fa-IR"/>
          <w:color w:val="111111"/>
          <w:sz w:val="28"/>
          <w:szCs w:val="28"/>
          <w:rtl/>
        </w:rPr>
        <w:t xml:space="preserve">بی کا، بی تا [فیلمها ف: ۳-۹۹]</w:t>
      </w:r>
    </w:p>
    <w:p>
      <w:pPr>
        <w:pStyle w:val="Heading3"/>
      </w:pPr>
      <w:bookmarkStart w:id="1171" w:name="_Toc431"/>
      <w:r>
        <w:t>• بهمن نامه = داستان بهمن پسر اسفند یار و کتایون</w:t>
      </w:r>
      <w:bookmarkEnd w:id="1171"/>
    </w:p>
    <w:p>
      <w:pPr>
        <w:pStyle w:val="BookText"/>
      </w:pPr>
      <w:r>
        <w:rPr>
          <w:rFonts w:ascii="IRNazanin" w:hAnsi="IRNazanin" w:eastAsia="IRNazanin" w:cs="IRNazanin"/>
          <w:lang w:bidi="fa-IR"/>
          <w:color w:val="111111"/>
          <w:sz w:val="28"/>
          <w:szCs w:val="28"/>
          <w:rtl/>
        </w:rPr>
        <w:t xml:space="preserve">و لولو / شعر، تاریخ ایران / فارسی</w:t>
      </w:r>
    </w:p>
    <w:p>
      <w:pPr>
        <w:pStyle w:val="BookText"/>
      </w:pPr>
      <w:r>
        <w:rPr>
          <w:rFonts w:ascii="Times New Roman" w:hAnsi="Times New Roman" w:eastAsia="Times New Roman" w:cs="Times New Roman"/>
          <w:lang w:val="en-US" w:bidi="en-US"/>
          <w:color w:val="111111"/>
          <w:sz w:val="28"/>
          <w:szCs w:val="28"/>
          <w:rtl/>
        </w:rPr>
        <w:t xml:space="preserve">bahman-nāme = dāstān-e bahman pesar-e esfandīyār va katāyān va lūlū</w:t>
      </w:r>
    </w:p>
    <w:p>
      <w:pPr>
        <w:pStyle w:val="BookText"/>
      </w:pPr>
      <w:r>
        <w:rPr>
          <w:rFonts w:ascii="IRNazanin" w:hAnsi="IRNazanin" w:eastAsia="IRNazanin" w:cs="IRNazanin"/>
          <w:lang w:bidi="fa-IR"/>
          <w:color w:val="111111"/>
          <w:sz w:val="28"/>
          <w:szCs w:val="28"/>
          <w:rtl/>
        </w:rPr>
        <w:t xml:space="preserve">ایرانشاه بن ابي الخير، ق ۵ قمری</w:t>
      </w:r>
    </w:p>
    <w:p>
      <w:pPr>
        <w:pStyle w:val="BookText"/>
      </w:pPr>
      <w:r>
        <w:rPr>
          <w:rFonts w:ascii="Times New Roman" w:hAnsi="Times New Roman" w:eastAsia="Times New Roman" w:cs="Times New Roman"/>
          <w:lang w:val="en-US" w:bidi="en-US"/>
          <w:color w:val="111111"/>
          <w:sz w:val="28"/>
          <w:szCs w:val="28"/>
          <w:rtl/>
        </w:rPr>
        <w:t xml:space="preserve">īrān-šāh ebn-e ab-el-xayr (- 11c)</w:t>
      </w:r>
    </w:p>
    <w:p>
      <w:pPr>
        <w:pStyle w:val="BookText"/>
      </w:pPr>
      <w:r>
        <w:rPr>
          <w:rFonts w:ascii="IRNazanin" w:hAnsi="IRNazanin" w:eastAsia="IRNazanin" w:cs="IRNazanin"/>
          <w:lang w:bidi="fa-IR"/>
          <w:color w:val="111111"/>
          <w:sz w:val="28"/>
          <w:szCs w:val="28"/>
          <w:rtl/>
        </w:rPr>
        <w:t xml:space="preserve">اهدا به: محمد بن ملک شاه</w:t>
      </w:r>
    </w:p>
    <w:p>
      <w:pPr>
        <w:pStyle w:val="BookText"/>
      </w:pPr>
      <w:r>
        <w:rPr>
          <w:rFonts w:ascii="IRNazanin" w:hAnsi="IRNazanin" w:eastAsia="IRNazanin" w:cs="IRNazanin"/>
          <w:lang w:bidi="fa-IR"/>
          <w:color w:val="111111"/>
          <w:sz w:val="28"/>
          <w:szCs w:val="28"/>
          <w:rtl/>
        </w:rPr>
        <w:t xml:space="preserve">تاریخ تأليف: ۹۹۵ق</w:t>
      </w:r>
    </w:p>
    <w:p>
      <w:pPr>
        <w:pStyle w:val="BookText"/>
      </w:pPr>
      <w:r>
        <w:rPr>
          <w:rFonts w:ascii="IRNazanin" w:hAnsi="IRNazanin" w:eastAsia="IRNazanin" w:cs="IRNazanin"/>
          <w:lang w:bidi="fa-IR"/>
          <w:color w:val="111111"/>
          <w:sz w:val="28"/>
          <w:szCs w:val="28"/>
          <w:rtl/>
        </w:rPr>
        <w:t xml:space="preserve">در داستان پادشاهی بهمن پسر اسفندیار و کتایون و لولو و مرگ رستم و کینه کشی بهمن از خاندان او.</w:t>
      </w:r>
    </w:p>
    <w:p>
      <w:pPr>
        <w:pStyle w:val="BookText"/>
      </w:pPr>
      <w:r>
        <w:rPr>
          <w:rFonts w:ascii="IRNazanin" w:hAnsi="IRNazanin" w:eastAsia="IRNazanin" w:cs="IRNazanin"/>
          <w:lang w:bidi="fa-IR"/>
          <w:color w:val="111111"/>
          <w:sz w:val="28"/>
          <w:szCs w:val="28"/>
          <w:rtl/>
        </w:rPr>
        <w:t xml:space="preserve">آغاز: چنین گفت دهقان موبد نژاد*** که بر ما در داستان برگشاد</w:t>
      </w:r>
    </w:p>
    <w:p>
      <w:pPr>
        <w:pStyle w:val="BookText"/>
      </w:pPr>
      <w:r>
        <w:rPr>
          <w:rFonts w:ascii="IRNazanin" w:hAnsi="IRNazanin" w:eastAsia="IRNazanin" w:cs="IRNazanin"/>
          <w:lang w:bidi="fa-IR"/>
          <w:color w:val="111111"/>
          <w:sz w:val="28"/>
          <w:szCs w:val="28"/>
          <w:rtl/>
        </w:rPr>
        <w:t xml:space="preserve">انجام چنین است رسم سرای کهن***که بهمن شد و ماندش ایدر سخن</w:t>
      </w:r>
    </w:p>
    <w:p>
      <w:pPr>
        <w:pStyle w:val="BookText"/>
      </w:pPr>
      <w:r>
        <w:rPr>
          <w:rFonts w:ascii="IRNazanin" w:hAnsi="IRNazanin" w:eastAsia="IRNazanin" w:cs="IRNazanin"/>
          <w:lang w:bidi="fa-IR"/>
          <w:color w:val="111111"/>
          <w:sz w:val="28"/>
          <w:szCs w:val="28"/>
          <w:rtl/>
        </w:rPr>
        <w:t xml:space="preserve">چاپ: بمبئی، ۱۳۲۵ق، بدون نام سراینده</w:t>
      </w:r>
    </w:p>
    <w:p>
      <w:pPr>
        <w:pStyle w:val="BookText"/>
      </w:pPr>
      <w:r>
        <w:rPr>
          <w:rFonts w:ascii="IRNazanin" w:hAnsi="IRNazanin" w:eastAsia="IRNazanin" w:cs="IRNazanin"/>
          <w:lang w:bidi="fa-IR"/>
          <w:color w:val="111111"/>
          <w:sz w:val="28"/>
          <w:szCs w:val="28"/>
          <w:rtl/>
        </w:rPr>
        <w:t xml:space="preserve">[دنا ۵۷۳/۲ (۶ نسخه)؛ فهرستواره منزوی ۸۳۱/۲ و ۳۹۵/۱۰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اراک؛ بیات، عبدالحسین؛ شماره نسخه: ۴/۲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۸۸۵ق؛ جلد: روغنی کم کار متوسط، قطع: رحلي نشریه: ۶-۶۶]</w:t>
      </w:r>
    </w:p>
    <w:p>
      <w:pPr>
        <w:pStyle w:val="BookText"/>
      </w:pPr>
      <w:r>
        <w:rPr>
          <w:rFonts w:ascii="IRNazanin" w:hAnsi="IRNazanin" w:eastAsia="IRNazanin" w:cs="IRNazanin"/>
          <w:lang w:bidi="fa-IR"/>
          <w:color w:val="111111"/>
          <w:sz w:val="28"/>
          <w:szCs w:val="28"/>
          <w:rtl/>
        </w:rPr>
        <w:t xml:space="preserve">۲. تهران؛ دانشگاه؛ شماره نسخه: ۷۳۹-ف</w:t>
      </w:r>
    </w:p>
    <w:p>
      <w:pPr>
        <w:pStyle w:val="BookText"/>
      </w:pPr>
      <w:r>
        <w:rPr>
          <w:rFonts w:ascii="IRNazanin" w:hAnsi="IRNazanin" w:eastAsia="IRNazanin" w:cs="IRNazanin"/>
          <w:lang w:bidi="fa-IR"/>
          <w:color w:val="111111"/>
          <w:sz w:val="28"/>
          <w:szCs w:val="28"/>
          <w:rtl/>
        </w:rPr>
        <w:t xml:space="preserve">نسخه اصل: پاریس 500 . </w:t>
      </w:r>
      <w:r>
        <w:rPr>
          <w:rFonts w:ascii="Times New Roman" w:hAnsi="Times New Roman" w:eastAsia="Times New Roman" w:cs="Times New Roman"/>
          <w:lang w:val="en-US" w:bidi="en-US"/>
          <w:color w:val="111111"/>
          <w:sz w:val="28"/>
          <w:szCs w:val="28"/>
          <w:rtl/>
        </w:rPr>
        <w:t xml:space="preserve">S. P </w:t>
      </w:r>
      <w:r>
        <w:rPr>
          <w:rFonts w:ascii="IRNazanin" w:hAnsi="IRNazanin" w:eastAsia="IRNazanin" w:cs="IRNazanin"/>
          <w:lang w:bidi="fa-IR"/>
          <w:color w:val="111111"/>
          <w:sz w:val="28"/>
          <w:szCs w:val="28"/>
          <w:rtl/>
        </w:rPr>
        <w:t xml:space="preserve">؛ خط: نستعلیق، بی کا، بی تا؛ ۳۵۴گ، ۱۵ سطر فيلمها ف: ۱-۲۴]</w:t>
      </w:r>
    </w:p>
    <w:p>
      <w:pPr>
        <w:pStyle w:val="BookText"/>
      </w:pPr>
      <w:r>
        <w:rPr>
          <w:rFonts w:ascii="IRNazanin" w:hAnsi="IRNazanin" w:eastAsia="IRNazanin" w:cs="IRNazanin"/>
          <w:lang w:bidi="fa-IR"/>
          <w:color w:val="111111"/>
          <w:sz w:val="28"/>
          <w:szCs w:val="28"/>
          <w:rtl/>
        </w:rPr>
        <w:t xml:space="preserve">٣. تهران: دانشگاه؛ شماره نسخه: ۷۴۶-ف</w:t>
      </w:r>
    </w:p>
    <w:p>
      <w:pPr>
        <w:pStyle w:val="BookText"/>
      </w:pPr>
      <w:r>
        <w:rPr>
          <w:rFonts w:ascii="IRNazanin" w:hAnsi="IRNazanin" w:eastAsia="IRNazanin" w:cs="IRNazanin"/>
          <w:lang w:bidi="fa-IR"/>
          <w:color w:val="111111"/>
          <w:sz w:val="28"/>
          <w:szCs w:val="28"/>
          <w:rtl/>
        </w:rPr>
        <w:t xml:space="preserve">نسخه اصل: پاریس 377 .</w:t>
      </w:r>
      <w:r>
        <w:rPr>
          <w:rFonts w:ascii="Times New Roman" w:hAnsi="Times New Roman" w:eastAsia="Times New Roman" w:cs="Times New Roman"/>
          <w:lang w:val="en-US" w:bidi="en-US"/>
          <w:color w:val="111111"/>
          <w:sz w:val="28"/>
          <w:szCs w:val="28"/>
          <w:rtl/>
        </w:rPr>
        <w:t xml:space="preserve">P</w:t>
      </w:r>
      <w:r>
        <w:rPr>
          <w:rFonts w:ascii="IRNazanin" w:hAnsi="IRNazanin" w:eastAsia="IRNazanin" w:cs="IRNazanin"/>
          <w:lang w:bidi="fa-IR"/>
          <w:color w:val="111111"/>
          <w:sz w:val="28"/>
          <w:szCs w:val="28"/>
          <w:rtl/>
        </w:rPr>
        <w:t xml:space="preserve">؛ خط: نستعلیق، بی کا، بی تا؛ ۱۳۵ گ، ۲۱ سطر [فیلمها ف: ۱-۲۴]</w:t>
      </w:r>
    </w:p>
    <w:p>
      <w:pPr>
        <w:pStyle w:val="BookText"/>
      </w:pPr>
      <w:r>
        <w:rPr>
          <w:rFonts w:ascii="IRNazanin" w:hAnsi="IRNazanin" w:eastAsia="IRNazanin" w:cs="IRNazanin"/>
          <w:lang w:bidi="fa-IR"/>
          <w:color w:val="111111"/>
          <w:sz w:val="28"/>
          <w:szCs w:val="28"/>
          <w:rtl/>
        </w:rPr>
        <w:t xml:space="preserve">۴. تهران؛ دانشگاه؛ شماره نسخه: ۱۵۹۱-ف</w:t>
      </w:r>
    </w:p>
    <w:p>
      <w:pPr>
        <w:pStyle w:val="BookText"/>
      </w:pPr>
      <w:r>
        <w:rPr>
          <w:rFonts w:ascii="IRNazanin" w:hAnsi="IRNazanin" w:eastAsia="IRNazanin" w:cs="IRNazanin"/>
          <w:lang w:bidi="fa-IR"/>
          <w:color w:val="111111"/>
          <w:sz w:val="28"/>
          <w:szCs w:val="28"/>
          <w:rtl/>
        </w:rPr>
        <w:t xml:space="preserve">نسخه اصل: چاپ سنگی بمبئی؛ خط: نستعلیق، بی کا، بی تا، در مطبع فیض رسان به کوشش رستم پور بهرام سروش تفتی و رستم پور شاوير خسرو تفتی و موبد خدابخش خسرو مهربان از روی نسخه بندر سورت مورخ ۱۰۸۵ (۲۴۰ سال پیش از چاپ) و نسخه ای که در ایران بوده است در روز سروش ایزد بهمن ماه ۱۲۷۶ یزدگردی برابر با ۱۵ جمادی الاول ۱۳۲۵ هجری و ۲۷ جون ۱۹۰۷ م، ۵۲۲ص، قطع: وزیری [فیلمها ف: ۱-۲۴]</w:t>
      </w:r>
    </w:p>
    <w:p>
      <w:pPr>
        <w:pStyle w:val="BookText"/>
      </w:pPr>
      <w:r>
        <w:rPr>
          <w:rFonts w:ascii="IRNazanin" w:hAnsi="IRNazanin" w:eastAsia="IRNazanin" w:cs="IRNazanin"/>
          <w:lang w:bidi="fa-IR"/>
          <w:color w:val="111111"/>
          <w:sz w:val="28"/>
          <w:szCs w:val="28"/>
          <w:rtl/>
        </w:rPr>
        <w:t xml:space="preserve">۵. تهران، دانشگاه؛ شماره نسخه: ۲۴۱۴ و ۲۰۸۶-ف</w:t>
      </w:r>
    </w:p>
    <w:p>
      <w:pPr>
        <w:pStyle w:val="BookText"/>
      </w:pPr>
      <w:r>
        <w:rPr>
          <w:rFonts w:ascii="IRNazanin" w:hAnsi="IRNazanin" w:eastAsia="IRNazanin" w:cs="IRNazanin"/>
          <w:lang w:bidi="fa-IR"/>
          <w:color w:val="111111"/>
          <w:sz w:val="28"/>
          <w:szCs w:val="28"/>
          <w:rtl/>
        </w:rPr>
        <w:t xml:space="preserve">آغاز: در خانه را بند کردند باز*** بیامد پس آن دختر دلنواز / بباغ و سرای پدر بزمگاه </w:t>
      </w:r>
      <w:r>
        <w:rPr>
          <w:rFonts w:ascii="IRNazanin" w:hAnsi="IRNazanin" w:eastAsia="IRNazanin" w:cs="IRNazanin"/>
          <w:lang w:bidi="fa-IR"/>
          <w:color w:val="111111"/>
          <w:sz w:val="28"/>
          <w:szCs w:val="28"/>
          <w:b w:val="1"/>
          <w:bCs w:val="1"/>
          <w:i w:val="1"/>
          <w:iCs w:val="1"/>
          <w:rtl/>
        </w:rPr>
        <w:t xml:space="preserve">بیار است مانند آن جایگاه انجام: ببخشد گناهش بخواهشگری *** کز و مهتری آید و سروری / اگر روز بهمن بما تم نشست</w:t>
      </w:r>
      <w:r>
        <w:rPr>
          <w:rFonts w:ascii="IRNazanin" w:hAnsi="IRNazanin" w:eastAsia="IRNazanin" w:cs="IRNazanin"/>
          <w:lang w:bidi="fa-IR"/>
          <w:color w:val="111111"/>
          <w:sz w:val="28"/>
          <w:szCs w:val="28"/>
          <w:rtl/>
        </w:rPr>
        <w:t xml:space="preserve">یکی هفته با سوک رستم نشست خط: نستعلیق، بی کا، تا: قرن ۱۱ و ۱۲؛ افتادگی: آغاز و انجام؛ مجدول؛ کاغذ: سپاهانی، جلد: تیماج مشکی ضربی، ۲۲۴گ، ۱۷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۹-۱۰۴۴] و [فیلمها ف: ۱-۲۵]</w:t>
      </w:r>
    </w:p>
    <w:p>
      <w:pPr>
        <w:pStyle w:val="Heading3"/>
      </w:pPr>
      <w:bookmarkStart w:id="1172" w:name="_Toc432"/>
      <w:r>
        <w:t>• بهمن نامه / شعر، تاریخ هند / فارسی</w:t>
      </w:r>
      <w:bookmarkEnd w:id="1172"/>
    </w:p>
    <w:p>
      <w:pPr>
        <w:pStyle w:val="BookText"/>
      </w:pPr>
      <w:r>
        <w:rPr>
          <w:rFonts w:ascii="Times New Roman" w:hAnsi="Times New Roman" w:eastAsia="Times New Roman" w:cs="Times New Roman"/>
          <w:lang w:val="en-US" w:bidi="en-US"/>
          <w:color w:val="111111"/>
          <w:sz w:val="28"/>
          <w:szCs w:val="28"/>
          <w:rtl/>
        </w:rPr>
        <w:t xml:space="preserve">bahman-nāme</w:t>
      </w:r>
    </w:p>
    <w:p>
      <w:pPr>
        <w:pStyle w:val="BookText"/>
      </w:pPr>
      <w:r>
        <w:rPr>
          <w:rFonts w:ascii="IRNazanin" w:hAnsi="IRNazanin" w:eastAsia="IRNazanin" w:cs="IRNazanin"/>
          <w:lang w:bidi="fa-IR"/>
          <w:color w:val="111111"/>
          <w:sz w:val="28"/>
          <w:szCs w:val="28"/>
          <w:rtl/>
        </w:rPr>
        <w:t xml:space="preserve">آذری طوسی، حمزة بن علی، ۷۸۴-۸۶۶ قمری</w:t>
      </w:r>
    </w:p>
    <w:p>
      <w:pPr>
        <w:pStyle w:val="BookText"/>
      </w:pPr>
      <w:r>
        <w:rPr>
          <w:rFonts w:ascii="Times New Roman" w:hAnsi="Times New Roman" w:eastAsia="Times New Roman" w:cs="Times New Roman"/>
          <w:lang w:val="en-US" w:bidi="en-US"/>
          <w:color w:val="111111"/>
          <w:sz w:val="28"/>
          <w:szCs w:val="28"/>
          <w:rtl/>
        </w:rPr>
        <w:t xml:space="preserve">āzarī tūsī, hamzat-ebn-e 'alī (1383-1462)</w:t>
      </w:r>
    </w:p>
    <w:p>
      <w:pPr>
        <w:pStyle w:val="BookText"/>
      </w:pPr>
      <w:r>
        <w:rPr>
          <w:rFonts w:ascii="IRNazanin" w:hAnsi="IRNazanin" w:eastAsia="IRNazanin" w:cs="IRNazanin"/>
          <w:lang w:bidi="fa-IR"/>
          <w:color w:val="111111"/>
          <w:sz w:val="28"/>
          <w:szCs w:val="28"/>
          <w:rtl/>
        </w:rPr>
        <w:t xml:space="preserve">در تاریخ پادشاهان بهمنی به نظم و تا داستان همایون را سروده و پس از او نظیری که جز نظیری نیشابوری است و از مردمان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44" w:name="pg20363_209367"/>
    <w:bookmarkEnd w:id="144"/>
    <w:p>
      <w:pPr>
        <w:pStyle w:val="BookText"/>
      </w:pPr>
      <w:r>
        <w:rPr>
          <w:rFonts w:ascii="IRNazanin" w:hAnsi="IRNazanin" w:eastAsia="IRNazanin" w:cs="IRNazanin"/>
          <w:lang w:bidi="fa-IR"/>
          <w:color w:val="111111"/>
          <w:sz w:val="28"/>
          <w:szCs w:val="28"/>
          <w:rtl/>
        </w:rPr>
        <w:t xml:space="preserve">مشهد بوده (زنده ۸۶۵ق)، «بهمن نامه» او را دنبال کرده (نفیسی ۷۹۸/۲ )، و پس از او سانعی که از سرایندگان دربار محمد شاه بهمنی دکن بود بخشی از بهمن نامه را سروده است. (احمد منزوی، احمد)</w:t>
      </w:r>
    </w:p>
    <w:p>
      <w:pPr>
        <w:pStyle w:val="BookText"/>
      </w:pPr>
      <w:r>
        <w:rPr>
          <w:rFonts w:ascii="IRNazanin" w:hAnsi="IRNazanin" w:eastAsia="IRNazanin" w:cs="IRNazanin"/>
          <w:lang w:bidi="fa-IR"/>
          <w:color w:val="111111"/>
          <w:sz w:val="28"/>
          <w:szCs w:val="28"/>
          <w:rtl/>
        </w:rPr>
        <w:t xml:space="preserve">مقدمه نویسان بر تصحیح دیوان آذری معتقدند که این اشعار از آذری اسفراینی نیست و نسخه ای تا به حال از بهمن نامه او معرفی نشده است. آغاز: سپاس از خدا ایزد رهنمای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که از کاف و نون کرد گیتی به پای یکی کش نه یار و نها انبار بود ...</w:t>
      </w:r>
    </w:p>
    <w:p>
      <w:pPr>
        <w:pStyle w:val="BookText"/>
      </w:pPr>
      <w:r>
        <w:rPr>
          <w:rFonts w:ascii="IRNazanin" w:hAnsi="IRNazanin" w:eastAsia="IRNazanin" w:cs="IRNazanin"/>
          <w:lang w:bidi="fa-IR"/>
          <w:color w:val="111111"/>
          <w:sz w:val="28"/>
          <w:szCs w:val="28"/>
          <w:rtl/>
        </w:rPr>
        <w:t xml:space="preserve">[فهرستواره منزوی ۱۱۴۸/۲ و ۳۹۵/۱۰ ؛ مقدمه دیوان آذری اسفراینی ص شصت و دو تا شصت و سه دنا ۵۷۴/۲ ]</w:t>
      </w:r>
    </w:p>
    <w:p>
      <w:pPr>
        <w:pStyle w:val="BookText"/>
      </w:pPr>
      <w:r>
        <w:rPr>
          <w:rFonts w:ascii="IRNazanin" w:hAnsi="IRNazanin" w:eastAsia="IRNazanin" w:cs="IRNazanin"/>
          <w:lang w:bidi="fa-IR"/>
          <w:color w:val="111111"/>
          <w:sz w:val="28"/>
          <w:szCs w:val="28"/>
          <w:rtl/>
        </w:rPr>
        <w:t xml:space="preserve">۱. تهران: دانشگاه؛ شماره نسخه: ۱۸۷۹/۳</w:t>
      </w:r>
    </w:p>
    <w:p>
      <w:pPr>
        <w:pStyle w:val="BookText"/>
      </w:pPr>
      <w:r>
        <w:rPr>
          <w:rFonts w:ascii="IRNazanin" w:hAnsi="IRNazanin" w:eastAsia="IRNazanin" w:cs="IRNazanin"/>
          <w:lang w:bidi="fa-IR"/>
          <w:color w:val="111111"/>
          <w:sz w:val="28"/>
          <w:szCs w:val="28"/>
          <w:rtl/>
        </w:rPr>
        <w:t xml:space="preserve">ف نسخه اصل: موزه بریتانیا 2780 .</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 کا: محمد بن سعيد بن سعد حافظ قاری، تا: صفر ۸۰۰ق [فیلمها ف: ۱-۷۳۸]</w:t>
      </w:r>
    </w:p>
    <w:p>
      <w:pPr>
        <w:pStyle w:val="BookText"/>
      </w:pPr>
      <w:r>
        <w:rPr>
          <w:rFonts w:ascii="IRNazanin" w:hAnsi="IRNazanin" w:eastAsia="IRNazanin" w:cs="IRNazanin"/>
          <w:lang w:bidi="fa-IR"/>
          <w:color w:val="111111"/>
          <w:sz w:val="28"/>
          <w:szCs w:val="28"/>
          <w:rtl/>
        </w:rPr>
        <w:t xml:space="preserve">۲. تهران، دانشگاه؛ شماره نسخه: ۱۲۱۳/۳</w:t>
      </w:r>
    </w:p>
    <w:p>
      <w:pPr>
        <w:pStyle w:val="BookText"/>
      </w:pPr>
      <w:r>
        <w:rPr>
          <w:rFonts w:ascii="IRNazanin" w:hAnsi="IRNazanin" w:eastAsia="IRNazanin" w:cs="IRNazanin"/>
          <w:lang w:bidi="fa-IR"/>
          <w:color w:val="111111"/>
          <w:sz w:val="28"/>
          <w:szCs w:val="28"/>
          <w:rtl/>
        </w:rPr>
        <w:t xml:space="preserve">نسخه اصل: بادلیان ۲۵۴۴، 26 .</w:t>
      </w:r>
      <w:r>
        <w:rPr>
          <w:rFonts w:ascii="Times New Roman" w:hAnsi="Times New Roman" w:eastAsia="Times New Roman" w:cs="Times New Roman"/>
          <w:lang w:val="en-US" w:bidi="en-US"/>
          <w:color w:val="111111"/>
          <w:sz w:val="28"/>
          <w:szCs w:val="28"/>
          <w:rtl/>
        </w:rPr>
        <w:t xml:space="preserve">C</w:t>
      </w:r>
      <w:r>
        <w:rPr>
          <w:rFonts w:ascii="IRNazanin" w:hAnsi="IRNazanin" w:eastAsia="IRNazanin" w:cs="IRNazanin"/>
          <w:lang w:bidi="fa-IR"/>
          <w:color w:val="111111"/>
          <w:sz w:val="28"/>
          <w:szCs w:val="28"/>
          <w:rtl/>
        </w:rPr>
        <w:t xml:space="preserve">؛ بی کا، بی تا [فيلمها ف: ۱-۵۸۱]</w:t>
      </w:r>
    </w:p>
    <w:p>
      <w:pPr>
        <w:pStyle w:val="Heading3"/>
      </w:pPr>
      <w:bookmarkStart w:id="1173" w:name="_Toc433"/>
      <w:r>
        <w:t>• بهمن نامه / كلام و اعتقادات / فارسی</w:t>
      </w:r>
      <w:bookmarkEnd w:id="1173"/>
    </w:p>
    <w:p>
      <w:pPr>
        <w:pStyle w:val="BookText"/>
      </w:pPr>
      <w:r>
        <w:rPr>
          <w:rFonts w:ascii="Times New Roman" w:hAnsi="Times New Roman" w:eastAsia="Times New Roman" w:cs="Times New Roman"/>
          <w:lang w:val="en-US" w:bidi="en-US"/>
          <w:color w:val="111111"/>
          <w:sz w:val="28"/>
          <w:szCs w:val="28"/>
          <w:rtl/>
        </w:rPr>
        <w:t xml:space="preserve">bahman-nāme</w:t>
      </w:r>
    </w:p>
    <w:p>
      <w:pPr>
        <w:pStyle w:val="BookText"/>
      </w:pPr>
      <w:r>
        <w:rPr>
          <w:rFonts w:ascii="IRNazanin" w:hAnsi="IRNazanin" w:eastAsia="IRNazanin" w:cs="IRNazanin"/>
          <w:lang w:bidi="fa-IR"/>
          <w:color w:val="111111"/>
          <w:sz w:val="28"/>
          <w:szCs w:val="28"/>
          <w:rtl/>
        </w:rPr>
        <w:t xml:space="preserve">انوشیروان پوران مرزبان، ق ۱۱ قمری</w:t>
      </w:r>
    </w:p>
    <w:p>
      <w:pPr>
        <w:pStyle w:val="BookText"/>
      </w:pPr>
      <w:r>
        <w:rPr>
          <w:rFonts w:ascii="Times New Roman" w:hAnsi="Times New Roman" w:eastAsia="Times New Roman" w:cs="Times New Roman"/>
          <w:lang w:val="en-US" w:bidi="en-US"/>
          <w:color w:val="111111"/>
          <w:sz w:val="28"/>
          <w:szCs w:val="28"/>
          <w:rtl/>
        </w:rPr>
        <w:t xml:space="preserve">anošīravān pūrān-e marzbān (- 170)</w:t>
      </w:r>
    </w:p>
    <w:p>
      <w:pPr>
        <w:pStyle w:val="BookText"/>
      </w:pPr>
      <w:r>
        <w:rPr>
          <w:rFonts w:ascii="IRNazanin" w:hAnsi="IRNazanin" w:eastAsia="IRNazanin" w:cs="IRNazanin"/>
          <w:lang w:bidi="fa-IR"/>
          <w:color w:val="111111"/>
          <w:sz w:val="28"/>
          <w:szCs w:val="28"/>
          <w:rtl/>
        </w:rPr>
        <w:t xml:space="preserve">تاریخ تأليف: ۱۰۳۶ق منظومه ای است در عقاید زرتشتیان که شاعر برای بهمن نامی که در هند ساکن بوده است سروده است. آغاز: بپرسید زرتشت از غیبدان*** که ای دادگستر خدای جهان انجام: انوشیروان کرد این را به نظم*** که خلقان بخوانند و یا بند بزم دنا ۵۷۴/۲ ؛ فهرستواره</w:t>
      </w:r>
    </w:p>
    <w:p>
      <w:pPr>
        <w:pStyle w:val="BookText"/>
      </w:pPr>
      <w:r>
        <w:rPr>
          <w:rFonts w:ascii="IRNazanin" w:hAnsi="IRNazanin" w:eastAsia="IRNazanin" w:cs="IRNazanin"/>
          <w:lang w:bidi="fa-IR"/>
          <w:color w:val="111111"/>
          <w:sz w:val="28"/>
          <w:szCs w:val="28"/>
          <w:rtl/>
        </w:rPr>
        <w:t xml:space="preserve">۳۹۵/۱۰ ]</w:t>
      </w:r>
    </w:p>
    <w:p>
      <w:pPr>
        <w:pStyle w:val="BookText"/>
      </w:pPr>
      <w:r>
        <w:rPr>
          <w:rFonts w:ascii="IRNazanin" w:hAnsi="IRNazanin" w:eastAsia="IRNazanin" w:cs="IRNazanin"/>
          <w:lang w:bidi="fa-IR"/>
          <w:color w:val="111111"/>
          <w:sz w:val="28"/>
          <w:szCs w:val="28"/>
          <w:rtl/>
        </w:rPr>
        <w:t xml:space="preserve">تهران؛ مجلس؛ شماره نسخه: ۱۳۸۴۲/۱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۱۰۳۶ق؛ جلد: مقوایی ابی عطف پارچه، ۴گ (آپ -۴ر)، ۱۸ سطر [ف: ۳۷-۴۰۳]</w:t>
      </w:r>
    </w:p>
    <w:p>
      <w:pPr>
        <w:pStyle w:val="Heading3"/>
      </w:pPr>
      <w:bookmarkStart w:id="1174" w:name="_Toc434"/>
      <w:r>
        <w:t>• بهمن و فرامرز / فارسی</w:t>
      </w:r>
      <w:bookmarkEnd w:id="1174"/>
    </w:p>
    <w:p>
      <w:pPr>
        <w:pStyle w:val="BookText"/>
      </w:pPr>
      <w:r>
        <w:rPr>
          <w:rFonts w:ascii="Times New Roman" w:hAnsi="Times New Roman" w:eastAsia="Times New Roman" w:cs="Times New Roman"/>
          <w:lang w:val="en-US" w:bidi="en-US"/>
          <w:color w:val="111111"/>
          <w:sz w:val="28"/>
          <w:szCs w:val="28"/>
          <w:rtl/>
        </w:rPr>
        <w:t xml:space="preserve">bahman va farāmarz</w:t>
      </w:r>
    </w:p>
    <w:p>
      <w:pPr>
        <w:pStyle w:val="BookText"/>
      </w:pPr>
      <w:r>
        <w:rPr>
          <w:rFonts w:ascii="IRNazanin" w:hAnsi="IRNazanin" w:eastAsia="IRNazanin" w:cs="IRNazanin"/>
          <w:lang w:bidi="fa-IR"/>
          <w:color w:val="111111"/>
          <w:sz w:val="28"/>
          <w:szCs w:val="28"/>
          <w:rtl/>
        </w:rPr>
        <w:t xml:space="preserve">تهران؛ مجلس؛ شماره نسخه: ۹۹۵۱/۳</w:t>
      </w:r>
    </w:p>
    <w:p>
      <w:pPr>
        <w:pStyle w:val="BookText"/>
      </w:pPr>
      <w:r>
        <w:rPr>
          <w:rFonts w:ascii="IRNazanin" w:hAnsi="IRNazanin" w:eastAsia="IRNazanin" w:cs="IRNazanin"/>
          <w:lang w:bidi="fa-IR"/>
          <w:color w:val="111111"/>
          <w:sz w:val="28"/>
          <w:szCs w:val="28"/>
          <w:rtl/>
        </w:rPr>
        <w:t xml:space="preserve">آغاز: بنام خدایی که جز آن خدا *** پرستیدن کس نباشد روا؛ خط: نستعليق ناخوانا، بی کا، بی تا؛ جلد: تیماج قهوه ای، ۸گ (۲۱ر-۲۸)، ۱۵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۳۱-۱۴۷]</w:t>
      </w:r>
    </w:p>
    <w:p>
      <w:pPr>
        <w:pStyle w:val="Heading3"/>
      </w:pPr>
      <w:bookmarkStart w:id="1175" w:name="_Toc435"/>
      <w:r>
        <w:t>• بهمن و فرامز / شعر / کردی</w:t>
      </w:r>
      <w:bookmarkEnd w:id="1175"/>
    </w:p>
    <w:p>
      <w:pPr>
        <w:pStyle w:val="BookText"/>
      </w:pPr>
      <w:r>
        <w:rPr>
          <w:rFonts w:ascii="Times New Roman" w:hAnsi="Times New Roman" w:eastAsia="Times New Roman" w:cs="Times New Roman"/>
          <w:lang w:val="en-US" w:bidi="en-US"/>
          <w:color w:val="111111"/>
          <w:sz w:val="28"/>
          <w:szCs w:val="28"/>
          <w:rtl/>
        </w:rPr>
        <w:t xml:space="preserve">bahman va farāmaz</w:t>
      </w:r>
    </w:p>
    <w:p>
      <w:pPr>
        <w:pStyle w:val="BookText"/>
      </w:pPr>
      <w:r>
        <w:rPr>
          <w:rFonts w:ascii="IRNazanin" w:hAnsi="IRNazanin" w:eastAsia="IRNazanin" w:cs="IRNazanin"/>
          <w:lang w:bidi="fa-IR"/>
          <w:color w:val="111111"/>
          <w:sz w:val="28"/>
          <w:szCs w:val="28"/>
          <w:rtl/>
        </w:rPr>
        <w:t xml:space="preserve">کندوله ای، اسماس</w:t>
      </w:r>
    </w:p>
    <w:p>
      <w:pPr>
        <w:pStyle w:val="BookText"/>
      </w:pPr>
      <w:r>
        <w:rPr>
          <w:rFonts w:ascii="IRNazanin" w:hAnsi="IRNazanin" w:eastAsia="IRNazanin" w:cs="IRNazanin"/>
          <w:lang w:bidi="fa-IR"/>
          <w:color w:val="111111"/>
          <w:sz w:val="28"/>
          <w:szCs w:val="28"/>
          <w:rtl/>
        </w:rPr>
        <w:t xml:space="preserve">خان، ق۱۳ قمری</w:t>
      </w:r>
    </w:p>
    <w:p>
      <w:pPr>
        <w:pStyle w:val="BookText"/>
      </w:pPr>
      <w:r>
        <w:rPr>
          <w:rFonts w:ascii="Times New Roman" w:hAnsi="Times New Roman" w:eastAsia="Times New Roman" w:cs="Times New Roman"/>
          <w:lang w:val="en-US" w:bidi="en-US"/>
          <w:color w:val="111111"/>
          <w:sz w:val="28"/>
          <w:szCs w:val="28"/>
          <w:rtl/>
        </w:rPr>
        <w:t xml:space="preserve">kandule11, esmas xan (- 19c)</w:t>
      </w:r>
    </w:p>
    <w:p>
      <w:pPr>
        <w:pStyle w:val="BookText"/>
      </w:pPr>
      <w:r>
        <w:rPr>
          <w:rFonts w:ascii="IRNazanin" w:hAnsi="IRNazanin" w:eastAsia="IRNazanin" w:cs="IRNazanin"/>
          <w:lang w:bidi="fa-IR"/>
          <w:color w:val="111111"/>
          <w:sz w:val="28"/>
          <w:szCs w:val="28"/>
          <w:rtl/>
        </w:rPr>
        <w:t xml:space="preserve">مشهد؛ میبدی؛ شماره نسخه: ۲۶۷</w:t>
      </w:r>
    </w:p>
    <w:p>
      <w:pPr>
        <w:pStyle w:val="BookText"/>
      </w:pPr>
      <w:r>
        <w:rPr>
          <w:rFonts w:ascii="IRNazanin" w:hAnsi="IRNazanin" w:eastAsia="IRNazanin" w:cs="IRNazanin"/>
          <w:lang w:bidi="fa-IR"/>
          <w:color w:val="111111"/>
          <w:sz w:val="28"/>
          <w:szCs w:val="28"/>
          <w:rtl/>
        </w:rPr>
        <w:t xml:space="preserve">آغاز: سرداران واتن بنده فرمانیم*** تو قصاب قصد ایمه قربانیم؛ انجام: هر چه موا چون اطاعت کرین***بلكم مالتان و دست باورین خط: نستعلیق، بی کا، تا: قرن ۱۴؛ افتادگی: آغاز؛ جلد: گالینگور سبز، ۴۸گ، ۱۱ سطر، اندازه: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۲۰/۵سم (ف: ۲-۲۰]</w:t>
      </w:r>
    </w:p>
    <w:p>
      <w:pPr>
        <w:pStyle w:val="Heading3"/>
      </w:pPr>
      <w:bookmarkStart w:id="1176" w:name="_Toc436"/>
      <w:r>
        <w:t>• البهيمة الموطوءة / فقه / عربی</w:t>
      </w:r>
      <w:bookmarkEnd w:id="1176"/>
    </w:p>
    <w:p>
      <w:pPr>
        <w:pStyle w:val="BookText"/>
      </w:pPr>
      <w:r>
        <w:rPr>
          <w:rFonts w:ascii="Times New Roman" w:hAnsi="Times New Roman" w:eastAsia="Times New Roman" w:cs="Times New Roman"/>
          <w:lang w:val="en-US" w:bidi="en-US"/>
          <w:color w:val="111111"/>
          <w:sz w:val="28"/>
          <w:szCs w:val="28"/>
          <w:rtl/>
        </w:rPr>
        <w:t xml:space="preserve">al-bahīmat-ul mawțū’a</w:t>
      </w:r>
    </w:p>
    <w:p>
      <w:pPr>
        <w:pStyle w:val="BookText"/>
      </w:pPr>
      <w:r>
        <w:rPr>
          <w:rFonts w:ascii="IRNazanin" w:hAnsi="IRNazanin" w:eastAsia="IRNazanin" w:cs="IRNazanin"/>
          <w:lang w:bidi="fa-IR"/>
          <w:color w:val="111111"/>
          <w:sz w:val="28"/>
          <w:szCs w:val="28"/>
          <w:rtl/>
        </w:rPr>
        <w:t xml:space="preserve">بارفروشی مازندرانی، حمزه، ق۱۳ قمری</w:t>
      </w:r>
    </w:p>
    <w:p>
      <w:pPr>
        <w:pStyle w:val="BookText"/>
      </w:pPr>
      <w:r>
        <w:rPr>
          <w:rFonts w:ascii="Times New Roman" w:hAnsi="Times New Roman" w:eastAsia="Times New Roman" w:cs="Times New Roman"/>
          <w:lang w:val="en-US" w:bidi="en-US"/>
          <w:color w:val="111111"/>
          <w:sz w:val="28"/>
          <w:szCs w:val="28"/>
          <w:rtl/>
        </w:rPr>
        <w:t xml:space="preserve">bārforūšī māzandarānī, hamze (- 19c)</w:t>
      </w:r>
    </w:p>
    <w:p>
      <w:pPr>
        <w:pStyle w:val="BookText"/>
      </w:pPr>
      <w:r>
        <w:rPr>
          <w:rFonts w:ascii="Amiri" w:hAnsi="Amiri" w:eastAsia="Amiri" w:cs="Amiri"/>
          <w:lang w:bidi="ar-SA"/>
          <w:color w:val="111111"/>
          <w:sz w:val="28"/>
          <w:szCs w:val="28"/>
          <w:rtl/>
        </w:rPr>
        <w:t xml:space="preserve">تاريخ تأليف: دهه اول رمضان 1280ق، محل تأليف: نجف اشرف</w:t>
      </w:r>
    </w:p>
    <w:p>
      <w:pPr>
        <w:pStyle w:val="BookText"/>
      </w:pPr>
      <w:r>
        <w:rPr>
          <w:rFonts w:ascii="IRNazanin" w:hAnsi="IRNazanin" w:eastAsia="IRNazanin" w:cs="IRNazanin"/>
          <w:lang w:bidi="fa-IR"/>
          <w:color w:val="111111"/>
          <w:sz w:val="28"/>
          <w:szCs w:val="28"/>
          <w:rtl/>
        </w:rPr>
        <w:t xml:space="preserve">رساله فقهی و استدلالی مشتمل بر احکام متعلق به حیوانات حلال گوشت که انسانی آنها را وطی می کند، در دو «مقام»: اول موضوع مسئلة، و دوم آحکام آن.</w:t>
      </w:r>
    </w:p>
    <w:p>
      <w:pPr>
        <w:pStyle w:val="BookText"/>
      </w:pPr>
      <w:r>
        <w:rPr>
          <w:rFonts w:ascii="IRNazanin" w:hAnsi="IRNazanin" w:eastAsia="IRNazanin" w:cs="IRNazanin"/>
          <w:lang w:bidi="fa-IR"/>
          <w:color w:val="111111"/>
          <w:sz w:val="28"/>
          <w:szCs w:val="28"/>
          <w:rtl/>
        </w:rPr>
        <w:t xml:space="preserve">قم؛ مرعشی؛ شماره نسخه: ۵۳۷۹/۴</w:t>
      </w:r>
    </w:p>
    <w:p>
      <w:pPr>
        <w:pStyle w:val="BookText"/>
      </w:pPr>
      <w:r>
        <w:rPr>
          <w:rFonts w:ascii="Amiri" w:hAnsi="Amiri" w:eastAsia="Amiri" w:cs="Amiri"/>
          <w:lang w:bidi="ar-SA"/>
          <w:color w:val="111111"/>
          <w:sz w:val="28"/>
          <w:szCs w:val="28"/>
          <w:rtl/>
        </w:rPr>
        <w:t xml:space="preserve">آغاز: الحمدلله رب العالمين ... أما بعد فهذه رسالة في مسألة البهيمة الموطوءة كتبها أقل الطلاب منزلا، انجام: و الصلاة و السلام على محمد و آله ما تهب الرياح من الشمال الجنوب</w:t>
      </w:r>
    </w:p>
    <w:p>
      <w:pPr>
        <w:pStyle w:val="BookText"/>
      </w:pPr>
      <w:r>
        <w:rPr>
          <w:rFonts w:ascii="IRNazanin" w:hAnsi="IRNazanin" w:eastAsia="IRNazanin" w:cs="IRNazanin"/>
          <w:lang w:bidi="fa-IR"/>
          <w:color w:val="111111"/>
          <w:sz w:val="28"/>
          <w:szCs w:val="28"/>
          <w:rtl/>
        </w:rPr>
        <w:t xml:space="preserve">خط: نسخ و نستعلیق، بی کا، تا: قرن ۱۳؛ جلد: تیماج قرمز، ۲۶گ ( ۵۴۱-۵۱۶ 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۱۴-۱۶۸]</w:t>
      </w:r>
    </w:p>
    <w:p>
      <w:pPr>
        <w:pStyle w:val="Heading3"/>
      </w:pPr>
      <w:bookmarkStart w:id="1177" w:name="_Toc437"/>
      <w:r>
        <w:t>• بیاد خدا و روز جزا / كلام و اعتقادات / فارسی</w:t>
      </w:r>
      <w:bookmarkEnd w:id="1177"/>
    </w:p>
    <w:p>
      <w:pPr>
        <w:pStyle w:val="BookText"/>
      </w:pPr>
      <w:r>
        <w:rPr>
          <w:rFonts w:ascii="Times New Roman" w:hAnsi="Times New Roman" w:eastAsia="Times New Roman" w:cs="Times New Roman"/>
          <w:lang w:val="en-US" w:bidi="en-US"/>
          <w:color w:val="111111"/>
          <w:sz w:val="28"/>
          <w:szCs w:val="28"/>
          <w:rtl/>
        </w:rPr>
        <w:t xml:space="preserve">be-yād-e xodā va rūz-e jazā</w:t>
      </w:r>
    </w:p>
    <w:p>
      <w:pPr>
        <w:pStyle w:val="BookText"/>
      </w:pPr>
      <w:r>
        <w:rPr>
          <w:rFonts w:ascii="IRNazanin" w:hAnsi="IRNazanin" w:eastAsia="IRNazanin" w:cs="IRNazanin"/>
          <w:lang w:bidi="fa-IR"/>
          <w:color w:val="111111"/>
          <w:sz w:val="28"/>
          <w:szCs w:val="28"/>
          <w:rtl/>
        </w:rPr>
        <w:t xml:space="preserve">کجوری، شمس الدين بن مهدی</w:t>
      </w:r>
    </w:p>
    <w:p>
      <w:pPr>
        <w:pStyle w:val="BookText"/>
      </w:pPr>
      <w:r>
        <w:rPr>
          <w:rFonts w:ascii="Times New Roman" w:hAnsi="Times New Roman" w:eastAsia="Times New Roman" w:cs="Times New Roman"/>
          <w:lang w:val="en-US" w:bidi="en-US"/>
          <w:color w:val="111111"/>
          <w:sz w:val="28"/>
          <w:szCs w:val="28"/>
          <w:rtl/>
        </w:rPr>
        <w:t xml:space="preserve">kajūrī, šams-od dīn ben mahdī</w:t>
      </w:r>
    </w:p>
    <w:p>
      <w:pPr>
        <w:pStyle w:val="BookText"/>
      </w:pPr>
      <w:r>
        <w:rPr>
          <w:rFonts w:ascii="IRNazanin" w:hAnsi="IRNazanin" w:eastAsia="IRNazanin" w:cs="IRNazanin"/>
          <w:lang w:bidi="fa-IR"/>
          <w:color w:val="111111"/>
          <w:sz w:val="28"/>
          <w:szCs w:val="28"/>
          <w:rtl/>
        </w:rPr>
        <w:t xml:space="preserve">مؤلف معتقد است که در قرن حاضر عدم اعتقاد به مبدأ و معاد سبب تمامی فسادها و تبه کاری و ستمگری و خونریزی ها است، لذا کتاب حاضر را در این موضوع نگاشته و آن را در سه« مطلب» تنظیم نموده است: ۱. امور مربوط به ذات حق و صفات آن، مشتمل بر ۲۵ «فصل»؛ ۲. امور مربوط به نبوت عامه و خاصه، مشتمل بر ۸</w:t>
      </w:r>
    </w:p>
    <w:p>
      <w:pPr>
        <w:pStyle w:val="BookText"/>
      </w:pPr>
      <w:r>
        <w:rPr>
          <w:rFonts w:ascii="IRNazanin" w:hAnsi="IRNazanin" w:eastAsia="IRNazanin" w:cs="IRNazanin"/>
          <w:lang w:bidi="fa-IR"/>
          <w:color w:val="111111"/>
          <w:sz w:val="28"/>
          <w:szCs w:val="28"/>
          <w:rtl/>
        </w:rPr>
        <w:t xml:space="preserve">«فصل»؛ ۳. اثبات معاد جسمانی و روحانی، مشتمل بر ۱۴ «فصل».</w:t>
      </w:r>
    </w:p>
    <w:p>
      <w:pPr>
        <w:pStyle w:val="BookText"/>
      </w:pPr>
      <w:r>
        <w:rPr>
          <w:rFonts w:ascii="IRNazanin" w:hAnsi="IRNazanin" w:eastAsia="IRNazanin" w:cs="IRNazanin"/>
          <w:lang w:bidi="fa-IR"/>
          <w:color w:val="111111"/>
          <w:sz w:val="28"/>
          <w:szCs w:val="28"/>
          <w:rtl/>
        </w:rPr>
        <w:t xml:space="preserve">قم: مرکز احیاء؛ شماره نسخه: ۲۷۶۴</w:t>
      </w:r>
    </w:p>
    <w:p>
      <w:pPr>
        <w:pStyle w:val="BookText"/>
      </w:pPr>
      <w:r>
        <w:rPr>
          <w:rFonts w:ascii="IRNazanin" w:hAnsi="IRNazanin" w:eastAsia="IRNazanin" w:cs="IRNazanin"/>
          <w:lang w:bidi="fa-IR"/>
          <w:color w:val="111111"/>
          <w:sz w:val="28"/>
          <w:szCs w:val="28"/>
          <w:rtl/>
        </w:rPr>
        <w:t xml:space="preserve">آغاز: خداوند را ستایش سزاست که جان آفرید و کام جهان و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45" w:name="pg20363_209368"/>
    <w:bookmarkEnd w:id="145"/>
    <w:p>
      <w:pPr>
        <w:pStyle w:val="BookText"/>
      </w:pPr>
      <w:r>
        <w:rPr>
          <w:rFonts w:ascii="IRNazanin" w:hAnsi="IRNazanin" w:eastAsia="IRNazanin" w:cs="IRNazanin"/>
          <w:lang w:bidi="fa-IR"/>
          <w:color w:val="111111"/>
          <w:sz w:val="28"/>
          <w:szCs w:val="28"/>
          <w:rtl/>
        </w:rPr>
        <w:t xml:space="preserve">جهانیان را از جان آغاز فرمود و سراسر جهان و جهانیان را از شکوفه های رنگارنگ ماهیت به گل هستی آرایش داد نسخه اصل: کتابخانه خاندان مؤلف -چالوس؛ خط: نستعلیق، کاتب = مؤلف، تا: قرن ۱۴؛ ۱۹۸ص [عکسی ف: ۷-۳۵۷]</w:t>
      </w:r>
    </w:p>
    <w:p>
      <w:pPr>
        <w:pStyle w:val="BookText"/>
      </w:pPr>
      <w:r>
        <w:rPr>
          <w:rFonts w:ascii="Amiri" w:hAnsi="Amiri" w:eastAsia="Amiri" w:cs="Amiri"/>
          <w:lang w:bidi="ar-SA"/>
          <w:color w:val="111111"/>
          <w:sz w:val="28"/>
          <w:szCs w:val="28"/>
          <w:rtl/>
        </w:rPr>
        <w:t xml:space="preserve">← بياض ← اشعار</w:t>
      </w:r>
    </w:p>
    <w:p>
      <w:pPr>
        <w:pStyle w:val="BookText"/>
      </w:pPr>
      <w:r>
        <w:rPr>
          <w:rFonts w:ascii="IRNazanin" w:hAnsi="IRNazanin" w:eastAsia="IRNazanin" w:cs="IRNazanin"/>
          <w:lang w:bidi="fa-IR"/>
          <w:color w:val="111111"/>
          <w:sz w:val="28"/>
          <w:szCs w:val="28"/>
          <w:rtl/>
        </w:rPr>
        <w:t xml:space="preserve">← بياض ← جنگی</w:t>
      </w:r>
    </w:p>
    <w:p>
      <w:pPr>
        <w:pStyle w:val="BookText"/>
      </w:pPr>
      <w:r>
        <w:rPr>
          <w:rFonts w:ascii="IRNazanin" w:hAnsi="IRNazanin" w:eastAsia="IRNazanin" w:cs="IRNazanin"/>
          <w:lang w:bidi="fa-IR"/>
          <w:color w:val="111111"/>
          <w:sz w:val="28"/>
          <w:szCs w:val="28"/>
          <w:rtl/>
        </w:rPr>
        <w:t xml:space="preserve">← بیاض← دخل و خرج (رساله)</w:t>
      </w:r>
    </w:p>
    <w:p>
      <w:pPr>
        <w:pStyle w:val="BookText"/>
      </w:pPr>
      <w:r>
        <w:rPr>
          <w:rFonts w:ascii="Amiri" w:hAnsi="Amiri" w:eastAsia="Amiri" w:cs="Amiri"/>
          <w:lang w:bidi="ar-SA"/>
          <w:color w:val="111111"/>
          <w:sz w:val="28"/>
          <w:szCs w:val="28"/>
          <w:rtl/>
        </w:rPr>
        <w:t xml:space="preserve">←بياض ← سفينه نظم و نثر</w:t>
      </w:r>
    </w:p>
    <w:p>
      <w:pPr>
        <w:pStyle w:val="BookText"/>
      </w:pPr>
      <w:r>
        <w:rPr>
          <w:rFonts w:ascii="Amiri" w:hAnsi="Amiri" w:eastAsia="Amiri" w:cs="Amiri"/>
          <w:lang w:bidi="ar-SA"/>
          <w:color w:val="111111"/>
          <w:sz w:val="28"/>
          <w:szCs w:val="28"/>
          <w:rtl/>
        </w:rPr>
        <w:t xml:space="preserve">← البياض ← السفينة</w:t>
      </w:r>
    </w:p>
    <w:p>
      <w:pPr>
        <w:pStyle w:val="BookText"/>
      </w:pPr>
      <w:r>
        <w:rPr>
          <w:rFonts w:ascii="IRNazanin" w:hAnsi="IRNazanin" w:eastAsia="IRNazanin" w:cs="IRNazanin"/>
          <w:lang w:bidi="fa-IR"/>
          <w:color w:val="111111"/>
          <w:sz w:val="28"/>
          <w:szCs w:val="28"/>
          <w:rtl/>
        </w:rPr>
        <w:t xml:space="preserve">←بیاض ← غزلیات صائب (منتخب)</w:t>
      </w:r>
    </w:p>
    <w:p>
      <w:pPr>
        <w:pStyle w:val="Heading3"/>
      </w:pPr>
      <w:bookmarkStart w:id="1178" w:name="_Toc438"/>
      <w:r>
        <w:t>• بياض / ادبیات فارسی</w:t>
      </w:r>
      <w:bookmarkEnd w:id="1178"/>
    </w:p>
    <w:p>
      <w:pPr>
        <w:pStyle w:val="BookText"/>
      </w:pPr>
      <w:r>
        <w:rPr>
          <w:rFonts w:ascii="Times New Roman" w:hAnsi="Times New Roman" w:eastAsia="Times New Roman" w:cs="Times New Roman"/>
          <w:lang w:val="en-US" w:bidi="en-US"/>
          <w:color w:val="111111"/>
          <w:sz w:val="28"/>
          <w:szCs w:val="28"/>
          <w:rtl/>
        </w:rPr>
        <w:t xml:space="preserve">bayāz</w:t>
      </w:r>
    </w:p>
    <w:p>
      <w:pPr>
        <w:pStyle w:val="BookText"/>
      </w:pPr>
      <w:r>
        <w:rPr>
          <w:rFonts w:ascii="IRNazanin" w:hAnsi="IRNazanin" w:eastAsia="IRNazanin" w:cs="IRNazanin"/>
          <w:lang w:bidi="fa-IR"/>
          <w:color w:val="111111"/>
          <w:sz w:val="28"/>
          <w:szCs w:val="28"/>
          <w:rtl/>
        </w:rPr>
        <w:t xml:space="preserve">انصاری، عبدالله بن محمد، ۳۹۶-۴۸۱ قمری</w:t>
      </w:r>
    </w:p>
    <w:p>
      <w:pPr>
        <w:pStyle w:val="BookText"/>
      </w:pPr>
      <w:r>
        <w:rPr>
          <w:rFonts w:ascii="Times New Roman" w:hAnsi="Times New Roman" w:eastAsia="Times New Roman" w:cs="Times New Roman"/>
          <w:lang w:val="en-US" w:bidi="en-US"/>
          <w:color w:val="111111"/>
          <w:sz w:val="28"/>
          <w:szCs w:val="28"/>
          <w:rtl/>
        </w:rPr>
        <w:t xml:space="preserve">ansārī, ‘abd-ol-lāh ebn-e mohammad (1006-1089)</w:t>
      </w:r>
    </w:p>
    <w:p>
      <w:pPr>
        <w:pStyle w:val="BookText"/>
      </w:pPr>
      <w:r>
        <w:rPr>
          <w:rFonts w:ascii="IRNazanin" w:hAnsi="IRNazanin" w:eastAsia="IRNazanin" w:cs="IRNazanin"/>
          <w:lang w:bidi="fa-IR"/>
          <w:color w:val="111111"/>
          <w:sz w:val="28"/>
          <w:szCs w:val="28"/>
          <w:rtl/>
        </w:rPr>
        <w:t xml:space="preserve">مشهد؛ رضوی؛ شماره نسخه: ۷۲۰۰</w:t>
      </w:r>
    </w:p>
    <w:p>
      <w:pPr>
        <w:pStyle w:val="BookText"/>
      </w:pPr>
      <w:r>
        <w:rPr>
          <w:rFonts w:ascii="IRNazanin" w:hAnsi="IRNazanin" w:eastAsia="IRNazanin" w:cs="IRNazanin"/>
          <w:lang w:bidi="fa-IR"/>
          <w:color w:val="111111"/>
          <w:sz w:val="28"/>
          <w:szCs w:val="28"/>
          <w:rtl/>
        </w:rPr>
        <w:t xml:space="preserve">آغاز: هو الله بموقف عرض تقدس تلامذه حضور ما هر النور؛ انجام: از اینکه نقش بتی در جهان نکو شبعد خط: نستعلیق شکسته، كا: دبیر محمد حسین (ظاهرا)، بی تا؛ کاغذ: حنایی، جلد: تیماج [رایانه]</w:t>
      </w:r>
    </w:p>
    <w:p>
      <w:pPr>
        <w:pStyle w:val="Heading3"/>
      </w:pPr>
      <w:bookmarkStart w:id="1179" w:name="_Toc439"/>
      <w:r>
        <w:t>• بیاض / گوناگون / فارسی</w:t>
      </w:r>
      <w:bookmarkEnd w:id="1179"/>
    </w:p>
    <w:p>
      <w:pPr>
        <w:pStyle w:val="BookText"/>
      </w:pPr>
      <w:r>
        <w:rPr>
          <w:rFonts w:ascii="Times New Roman" w:hAnsi="Times New Roman" w:eastAsia="Times New Roman" w:cs="Times New Roman"/>
          <w:lang w:val="en-US" w:bidi="en-US"/>
          <w:color w:val="111111"/>
          <w:sz w:val="28"/>
          <w:szCs w:val="28"/>
          <w:rtl/>
        </w:rPr>
        <w:t xml:space="preserve">bayāz</w:t>
      </w:r>
    </w:p>
    <w:p>
      <w:pPr>
        <w:pStyle w:val="BookText"/>
      </w:pPr>
      <w:r>
        <w:rPr>
          <w:rFonts w:ascii="IRNazanin" w:hAnsi="IRNazanin" w:eastAsia="IRNazanin" w:cs="IRNazanin"/>
          <w:lang w:bidi="fa-IR"/>
          <w:color w:val="111111"/>
          <w:sz w:val="28"/>
          <w:szCs w:val="28"/>
          <w:rtl/>
        </w:rPr>
        <w:t xml:space="preserve">تاج الدین وزیر، احمد بن محمد، ق ۸ قمری</w:t>
      </w:r>
    </w:p>
    <w:p>
      <w:pPr>
        <w:pStyle w:val="BookText"/>
      </w:pPr>
      <w:r>
        <w:rPr>
          <w:rFonts w:ascii="Times New Roman" w:hAnsi="Times New Roman" w:eastAsia="Times New Roman" w:cs="Times New Roman"/>
          <w:lang w:val="en-US" w:bidi="en-US"/>
          <w:color w:val="111111"/>
          <w:sz w:val="28"/>
          <w:szCs w:val="28"/>
          <w:rtl/>
        </w:rPr>
        <w:t xml:space="preserve">tāj-od-dīn vazīr, ahmad ebn-e mohammad (- 14c)</w:t>
      </w:r>
    </w:p>
    <w:p>
      <w:pPr>
        <w:pStyle w:val="BookText"/>
      </w:pPr>
      <w:r>
        <w:rPr>
          <w:rFonts w:ascii="IRNazanin" w:hAnsi="IRNazanin" w:eastAsia="IRNazanin" w:cs="IRNazanin"/>
          <w:lang w:bidi="fa-IR"/>
          <w:color w:val="111111"/>
          <w:sz w:val="28"/>
          <w:szCs w:val="28"/>
          <w:rtl/>
        </w:rPr>
        <w:t xml:space="preserve">منشآت و شعرهای بزرگان است و خط بسیاری از دانشمندان همزمان او که در آن صاحب اعظم خوانده شده است در آن هست و به خواهش و مطالبی در آن نوشته اند. این جنگ در شیراز گردآوری شده است.</w:t>
      </w:r>
    </w:p>
    <w:p>
      <w:pPr>
        <w:pStyle w:val="BookText"/>
      </w:pPr>
      <w:r>
        <w:rPr>
          <w:rFonts w:ascii="IRNazanin" w:hAnsi="IRNazanin" w:eastAsia="IRNazanin" w:cs="IRNazanin"/>
          <w:lang w:bidi="fa-IR"/>
          <w:color w:val="111111"/>
          <w:sz w:val="28"/>
          <w:szCs w:val="28"/>
          <w:rtl/>
        </w:rPr>
        <w:t xml:space="preserve">اصفهان، دانشگاه؛ شماره نسخه: ۵۸۷</w:t>
      </w:r>
    </w:p>
    <w:p>
      <w:pPr>
        <w:pStyle w:val="BookText"/>
      </w:pPr>
      <w:r>
        <w:rPr>
          <w:rFonts w:ascii="IRNazanin" w:hAnsi="IRNazanin" w:eastAsia="IRNazanin" w:cs="IRNazanin"/>
          <w:lang w:bidi="fa-IR"/>
          <w:color w:val="111111"/>
          <w:sz w:val="28"/>
          <w:szCs w:val="28"/>
          <w:rtl/>
        </w:rPr>
        <w:t xml:space="preserve">کاتب = مؤلف، تا: ۷۸۲ق؛ به چندین خط، خط ساعد بن محمد بن ساعد مورخ ۲۰ رمضان ۷۸۲ و حسن حسینی آملی مورخ شعبان ۷۸۲ در آن هست و همه مجموعه به خط نستعلیق از همین تاریخ هاست، عنوان جمع: معین الدین جنید واعظ، سید شریف جرجانی و قطب الدین محمد فالی و غیاث الدین لطف الله ابرقوهی و غیاث الدین منصور مهدی و شرف الدین زاهد قیری و عمادالدین قزوینی و دیگران در آن هست و یکی از رسائل آن غرائب الاخبار و نوادر الآثار منشی الممالك جمال الدین حاجی است، این مجموعه سود مند یکی از شاهکارهای زبان فارسی در آن است. منشآت جلال الدین فریدون عكاشه و رساله ربیعیه او در ستایش جلال الدین مسعود اینجوی و فتح نامه اصفهان مورخ ۱۷ ذیحجه ۷۶۸ از جمال الدین حاجی منشی الممالک و ملمع ناصرالدین به خطیب در ستایش سلطان شبلی و شعرهای ابوسعید بهادر و عميد الملك و عزالدین مطهر و شاه شجاع و خواجه حافظ. خط شهاب الدین بن شمس الدین محمد شهاب در آن هست. دکتر قاسم غنی سوادی از این جنگ برداشته و در بحث در آثار و افکار و احوال حافظ جلد یکم ص يز، لد ریال سح ۹، ۲ و ... مطالبی از آن آورده است؛ قطع: وزيري نشریه: ۱۱-۸۸۵]</w:t>
      </w:r>
    </w:p>
    <w:p>
      <w:pPr>
        <w:pStyle w:val="BookText"/>
      </w:pPr>
      <w:r>
        <w:rPr>
          <w:rFonts w:ascii="IRNazanin" w:hAnsi="IRNazanin" w:eastAsia="IRNazanin" w:cs="IRNazanin"/>
          <w:lang w:bidi="fa-IR"/>
          <w:color w:val="111111"/>
          <w:sz w:val="28"/>
          <w:szCs w:val="28"/>
          <w:rtl/>
        </w:rPr>
        <w:t xml:space="preserve">اصفهان، شهرداری؛ شماره نسخه: ۳</w:t>
      </w:r>
    </w:p>
    <w:p>
      <w:pPr>
        <w:pStyle w:val="BookText"/>
      </w:pPr>
      <w:r>
        <w:rPr>
          <w:rFonts w:ascii="IRNazanin" w:hAnsi="IRNazanin" w:eastAsia="IRNazanin" w:cs="IRNazanin"/>
          <w:lang w:bidi="fa-IR"/>
          <w:color w:val="111111"/>
          <w:sz w:val="28"/>
          <w:szCs w:val="28"/>
          <w:rtl/>
        </w:rPr>
        <w:t xml:space="preserve">همان نسخه بالا [نشریه: ۴-۴۷۰]</w:t>
      </w:r>
    </w:p>
    <w:p>
      <w:pPr>
        <w:pStyle w:val="Heading3"/>
      </w:pPr>
      <w:bookmarkStart w:id="1180" w:name="_Toc440"/>
      <w:r>
        <w:t>• بیاض / گوناگون / فارسی</w:t>
      </w:r>
      <w:bookmarkEnd w:id="1180"/>
    </w:p>
    <w:p>
      <w:pPr>
        <w:pStyle w:val="BookText"/>
      </w:pPr>
      <w:r>
        <w:rPr>
          <w:rFonts w:ascii="Times New Roman" w:hAnsi="Times New Roman" w:eastAsia="Times New Roman" w:cs="Times New Roman"/>
          <w:lang w:val="en-US" w:bidi="en-US"/>
          <w:color w:val="111111"/>
          <w:sz w:val="28"/>
          <w:szCs w:val="28"/>
          <w:rtl/>
        </w:rPr>
        <w:t xml:space="preserve">bayāz</w:t>
      </w:r>
    </w:p>
    <w:p>
      <w:pPr>
        <w:pStyle w:val="BookText"/>
      </w:pPr>
      <w:r>
        <w:rPr>
          <w:rFonts w:ascii="IRNazanin" w:hAnsi="IRNazanin" w:eastAsia="IRNazanin" w:cs="IRNazanin"/>
          <w:lang w:bidi="fa-IR"/>
          <w:color w:val="111111"/>
          <w:sz w:val="28"/>
          <w:szCs w:val="28"/>
          <w:rtl/>
        </w:rPr>
        <w:t xml:space="preserve">محتشم، علی بن احمد، ۹۹۶ قمری</w:t>
      </w:r>
    </w:p>
    <w:p>
      <w:pPr>
        <w:pStyle w:val="BookText"/>
      </w:pPr>
      <w:r>
        <w:rPr>
          <w:rFonts w:ascii="Times New Roman" w:hAnsi="Times New Roman" w:eastAsia="Times New Roman" w:cs="Times New Roman"/>
          <w:lang w:val="en-US" w:bidi="en-US"/>
          <w:color w:val="111111"/>
          <w:sz w:val="28"/>
          <w:szCs w:val="28"/>
          <w:rtl/>
        </w:rPr>
        <w:t xml:space="preserve">mohtašam, ‘alī ebn-e ahmad (- 1588)</w:t>
      </w:r>
    </w:p>
    <w:p>
      <w:pPr>
        <w:pStyle w:val="BookText"/>
      </w:pPr>
      <w:r>
        <w:rPr>
          <w:rFonts w:ascii="IRNazanin" w:hAnsi="IRNazanin" w:eastAsia="IRNazanin" w:cs="IRNazanin"/>
          <w:lang w:bidi="fa-IR"/>
          <w:color w:val="111111"/>
          <w:sz w:val="28"/>
          <w:szCs w:val="28"/>
          <w:rtl/>
        </w:rPr>
        <w:t xml:space="preserve">مشهد؛ رضوی؛ شماره نسخه: ۷۴۷۶</w:t>
      </w:r>
    </w:p>
    <w:p>
      <w:pPr>
        <w:pStyle w:val="BookText"/>
      </w:pPr>
      <w:r>
        <w:rPr>
          <w:rFonts w:ascii="IRNazanin" w:hAnsi="IRNazanin" w:eastAsia="IRNazanin" w:cs="IRNazanin"/>
          <w:lang w:bidi="fa-IR"/>
          <w:color w:val="111111"/>
          <w:sz w:val="28"/>
          <w:szCs w:val="28"/>
          <w:rtl/>
        </w:rPr>
        <w:t xml:space="preserve">آغاز: بسمله باز این چه شورش است که در خلق عالم است؛ انجام: رضای جد من رضای اوست میدانم</w:t>
      </w:r>
    </w:p>
    <w:p>
      <w:pPr>
        <w:pStyle w:val="BookText"/>
      </w:pPr>
      <w:r>
        <w:rPr>
          <w:rFonts w:ascii="IRNazanin" w:hAnsi="IRNazanin" w:eastAsia="IRNazanin" w:cs="IRNazanin"/>
          <w:lang w:bidi="fa-IR"/>
          <w:color w:val="111111"/>
          <w:sz w:val="28"/>
          <w:szCs w:val="28"/>
          <w:rtl/>
        </w:rPr>
        <w:t xml:space="preserve">خط: نستعلیق، بی کا، بی تا، کاغذ: نباتی، جلد: تیماج، ابعاد متن : ۱۸۱، اندازه: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۶سم [رایانه]</w:t>
      </w:r>
    </w:p>
    <w:p>
      <w:pPr>
        <w:pStyle w:val="Heading3"/>
      </w:pPr>
      <w:bookmarkStart w:id="1181" w:name="_Toc441"/>
      <w:r>
        <w:t>• بياض / گوناگون / فارسی</w:t>
      </w:r>
      <w:bookmarkEnd w:id="1181"/>
    </w:p>
    <w:p>
      <w:pPr>
        <w:pStyle w:val="BookText"/>
      </w:pPr>
      <w:r>
        <w:rPr>
          <w:rFonts w:ascii="Times New Roman" w:hAnsi="Times New Roman" w:eastAsia="Times New Roman" w:cs="Times New Roman"/>
          <w:lang w:val="en-US" w:bidi="en-US"/>
          <w:color w:val="111111"/>
          <w:sz w:val="28"/>
          <w:szCs w:val="28"/>
          <w:rtl/>
        </w:rPr>
        <w:t xml:space="preserve">bayāz</w:t>
      </w:r>
    </w:p>
    <w:p>
      <w:pPr>
        <w:pStyle w:val="BookText"/>
      </w:pPr>
      <w:r>
        <w:rPr>
          <w:rFonts w:ascii="IRNazanin" w:hAnsi="IRNazanin" w:eastAsia="IRNazanin" w:cs="IRNazanin"/>
          <w:lang w:bidi="fa-IR"/>
          <w:color w:val="111111"/>
          <w:sz w:val="28"/>
          <w:szCs w:val="28"/>
          <w:rtl/>
        </w:rPr>
        <w:t xml:space="preserve">واعظ قزوینی، محمد رفیع بن فتح الله، ۱۰۲۷-۱۰۸۹ قمری</w:t>
      </w:r>
    </w:p>
    <w:p>
      <w:pPr>
        <w:pStyle w:val="BookText"/>
      </w:pPr>
      <w:r>
        <w:rPr>
          <w:rFonts w:ascii="Times New Roman" w:hAnsi="Times New Roman" w:eastAsia="Times New Roman" w:cs="Times New Roman"/>
          <w:lang w:val="en-US" w:bidi="en-US"/>
          <w:color w:val="111111"/>
          <w:sz w:val="28"/>
          <w:szCs w:val="28"/>
          <w:rtl/>
        </w:rPr>
        <w:t xml:space="preserve">vā ez-e qazvīnī, mohammad rafi' ebn-e fath-ol-lāh (1618-1678)</w:t>
      </w:r>
    </w:p>
    <w:p>
      <w:pPr>
        <w:pStyle w:val="BookText"/>
      </w:pPr>
      <w:r>
        <w:rPr>
          <w:rFonts w:ascii="IRNazanin" w:hAnsi="IRNazanin" w:eastAsia="IRNazanin" w:cs="IRNazanin"/>
          <w:lang w:bidi="fa-IR"/>
          <w:color w:val="111111"/>
          <w:sz w:val="28"/>
          <w:szCs w:val="28"/>
          <w:rtl/>
        </w:rPr>
        <w:t xml:space="preserve">اهواز؛ دانشگاه اهواز؛ شماره نسخه: بدون شماره</w:t>
      </w:r>
    </w:p>
    <w:p>
      <w:pPr>
        <w:pStyle w:val="BookText"/>
      </w:pPr>
      <w:r>
        <w:rPr>
          <w:rFonts w:ascii="IRNazanin" w:hAnsi="IRNazanin" w:eastAsia="IRNazanin" w:cs="IRNazanin"/>
          <w:lang w:bidi="fa-IR"/>
          <w:color w:val="111111"/>
          <w:sz w:val="28"/>
          <w:szCs w:val="28"/>
          <w:rtl/>
        </w:rPr>
        <w:t xml:space="preserve">بی کا، بی تا [میراث اسلامی: ۵-۵۸۸]</w:t>
      </w:r>
    </w:p>
    <w:p>
      <w:pPr>
        <w:pStyle w:val="Heading3"/>
      </w:pPr>
      <w:bookmarkStart w:id="1182" w:name="_Toc442"/>
      <w:r>
        <w:t>• بياض / گوناگون / فارسی و عربی</w:t>
      </w:r>
      <w:bookmarkEnd w:id="1182"/>
    </w:p>
    <w:p>
      <w:pPr>
        <w:pStyle w:val="BookText"/>
      </w:pPr>
      <w:r>
        <w:rPr>
          <w:rFonts w:ascii="Times New Roman" w:hAnsi="Times New Roman" w:eastAsia="Times New Roman" w:cs="Times New Roman"/>
          <w:lang w:val="en-US" w:bidi="en-US"/>
          <w:color w:val="111111"/>
          <w:sz w:val="28"/>
          <w:szCs w:val="28"/>
          <w:rtl/>
        </w:rPr>
        <w:t xml:space="preserve">bayāz</w:t>
      </w:r>
    </w:p>
    <w:p>
      <w:pPr>
        <w:pStyle w:val="BookText"/>
      </w:pPr>
      <w:r>
        <w:rPr>
          <w:rFonts w:ascii="IRNazanin" w:hAnsi="IRNazanin" w:eastAsia="IRNazanin" w:cs="IRNazanin"/>
          <w:lang w:bidi="fa-IR"/>
          <w:color w:val="111111"/>
          <w:sz w:val="28"/>
          <w:szCs w:val="28"/>
          <w:rtl/>
        </w:rPr>
        <w:t xml:space="preserve">حسینی خاتون آبادی، محمد باقر بن اسماعیل، ۱۰۷۰ ۱۱۲۷ قمری</w:t>
      </w:r>
    </w:p>
    <w:p>
      <w:pPr>
        <w:pStyle w:val="BookText"/>
      </w:pPr>
      <w:r>
        <w:rPr>
          <w:rFonts w:ascii="Times New Roman" w:hAnsi="Times New Roman" w:eastAsia="Times New Roman" w:cs="Times New Roman"/>
          <w:lang w:val="en-US" w:bidi="en-US"/>
          <w:color w:val="111111"/>
          <w:sz w:val="28"/>
          <w:szCs w:val="28"/>
          <w:rtl/>
        </w:rPr>
        <w:t xml:space="preserve">hoseynī xātūn-ābādī, mohammad bāqer ebn-e esmāʻīl (1660-1715)</w:t>
      </w:r>
    </w:p>
    <w:p>
      <w:pPr>
        <w:pStyle w:val="BookText"/>
      </w:pPr>
      <w:r>
        <w:rPr>
          <w:rFonts w:ascii="IRNazanin" w:hAnsi="IRNazanin" w:eastAsia="IRNazanin" w:cs="IRNazanin"/>
          <w:lang w:bidi="fa-IR"/>
          <w:color w:val="111111"/>
          <w:sz w:val="28"/>
          <w:szCs w:val="28"/>
          <w:rtl/>
        </w:rPr>
        <w:t xml:space="preserve">مجموعه ای است حاوی پنج بند از دوازده بند محتشم کاشانی و دیوان مقبل و زیارت عاشورا و ادعیه متفرقه.</w:t>
      </w:r>
    </w:p>
    <w:p>
      <w:pPr>
        <w:pStyle w:val="BookText"/>
      </w:pPr>
      <w:r>
        <w:rPr>
          <w:rFonts w:ascii="IRNazanin" w:hAnsi="IRNazanin" w:eastAsia="IRNazanin" w:cs="IRNazanin"/>
          <w:lang w:bidi="fa-IR"/>
          <w:color w:val="111111"/>
          <w:sz w:val="28"/>
          <w:szCs w:val="28"/>
          <w:rtl/>
        </w:rPr>
        <w:t xml:space="preserve">تبریز؛ ملی؛ شماره نسخه: ۳۲۶۳</w:t>
      </w:r>
    </w:p>
    <w:p>
      <w:pPr>
        <w:pStyle w:val="BookText"/>
      </w:pPr>
      <w:r>
        <w:rPr>
          <w:rFonts w:ascii="IRNazanin" w:hAnsi="IRNazanin" w:eastAsia="IRNazanin" w:cs="IRNazanin"/>
          <w:lang w:bidi="fa-IR"/>
          <w:color w:val="111111"/>
          <w:sz w:val="28"/>
          <w:szCs w:val="28"/>
          <w:rtl/>
        </w:rPr>
        <w:t xml:space="preserve">آغاز: هر جا که بود آهوئی از دشت پا کشید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هر جا که بود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46" w:name="pg20363_209369"/>
    <w:bookmarkEnd w:id="146"/>
    <w:p>
      <w:pPr>
        <w:pStyle w:val="BookText"/>
      </w:pPr>
      <w:r>
        <w:rPr>
          <w:rFonts w:ascii="IRNazanin" w:hAnsi="IRNazanin" w:eastAsia="IRNazanin" w:cs="IRNazanin"/>
          <w:lang w:bidi="fa-IR"/>
          <w:color w:val="111111"/>
          <w:sz w:val="28"/>
          <w:szCs w:val="28"/>
          <w:rtl/>
        </w:rPr>
        <w:t xml:space="preserve">طایری از آشیان فتاد؛ انجام: این مختصری بود از تعقیبات مختصره مشترکه و مخصوصه که مطابق فرمان همایون اشرف اعلی سمت تحریر یافت و الحمدلله و الصلوة على رسول الله و آله حجج الله فرغ من تحريره مؤلفه الراجي عفو ربه الغني الغافر ابن میر اسمعيل الحسینی الخاتون آبادی محمد باقر حشر هما الله تعالی مع ائمتها ليلة الجمعة عاشر شهر الله المبارک سنة خمس عشر و مأثة بعد الالف الهجرية على مهاجرها و آله الف صلوة و تحية</w:t>
      </w:r>
    </w:p>
    <w:p>
      <w:pPr>
        <w:pStyle w:val="BookText"/>
      </w:pPr>
      <w:r>
        <w:rPr>
          <w:rFonts w:ascii="IRNazanin" w:hAnsi="IRNazanin" w:eastAsia="IRNazanin" w:cs="IRNazanin"/>
          <w:lang w:bidi="fa-IR"/>
          <w:color w:val="111111"/>
          <w:sz w:val="28"/>
          <w:szCs w:val="28"/>
          <w:rtl/>
        </w:rPr>
        <w:t xml:space="preserve">خط: نسخ تعلیق، کاتب = مؤلف، تا: ۱۱۱۵ق؛ مجدول، مذهب، مؤلف در مقدمه تعقیبات گوید: «و بعد چون امر اشرف اعلى و فرمان عالم مطيع جهان پیما شرف صدور یافت که داعی دوام دولت قاهره محمد باقر بن اسمعیل الحسینی الخاتون آبادی ...»؛ جلد: چرمی تریاکی، ۱۴۷گ، ۱۴سطر، اندازه: 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۲۰/۵سم [ف: ۱-۱۴۰]</w:t>
      </w:r>
    </w:p>
    <w:p>
      <w:pPr>
        <w:pStyle w:val="Heading3"/>
      </w:pPr>
      <w:bookmarkStart w:id="1183" w:name="_Toc443"/>
      <w:r>
        <w:t>• بياض / گوناگون / فارسی</w:t>
      </w:r>
      <w:bookmarkEnd w:id="1183"/>
    </w:p>
    <w:p>
      <w:pPr>
        <w:pStyle w:val="BookText"/>
      </w:pPr>
      <w:r>
        <w:rPr>
          <w:rFonts w:ascii="Times New Roman" w:hAnsi="Times New Roman" w:eastAsia="Times New Roman" w:cs="Times New Roman"/>
          <w:lang w:val="en-US" w:bidi="en-US"/>
          <w:color w:val="111111"/>
          <w:sz w:val="28"/>
          <w:szCs w:val="28"/>
          <w:rtl/>
        </w:rPr>
        <w:t xml:space="preserve">bayāz</w:t>
      </w:r>
    </w:p>
    <w:p>
      <w:pPr>
        <w:pStyle w:val="BookText"/>
      </w:pPr>
      <w:r>
        <w:rPr>
          <w:rFonts w:ascii="IRNazanin" w:hAnsi="IRNazanin" w:eastAsia="IRNazanin" w:cs="IRNazanin"/>
          <w:lang w:bidi="fa-IR"/>
          <w:color w:val="111111"/>
          <w:sz w:val="28"/>
          <w:szCs w:val="28"/>
          <w:rtl/>
        </w:rPr>
        <w:t xml:space="preserve">مراد آبادی، محمد انور بن محمد خان،-۱۱۵۱ قمری</w:t>
      </w:r>
    </w:p>
    <w:p>
      <w:pPr>
        <w:pStyle w:val="BookText"/>
      </w:pPr>
      <w:r>
        <w:rPr>
          <w:rFonts w:ascii="Times New Roman" w:hAnsi="Times New Roman" w:eastAsia="Times New Roman" w:cs="Times New Roman"/>
          <w:lang w:val="en-US" w:bidi="en-US"/>
          <w:color w:val="111111"/>
          <w:sz w:val="28"/>
          <w:szCs w:val="28"/>
          <w:rtl/>
        </w:rPr>
        <w:t xml:space="preserve">morād-ābādī, mohammad anvar ebn-e mohammad xān (- 1739)</w:t>
      </w:r>
    </w:p>
    <w:p>
      <w:pPr>
        <w:pStyle w:val="BookText"/>
      </w:pPr>
      <w:r>
        <w:rPr>
          <w:rFonts w:ascii="IRNazanin" w:hAnsi="IRNazanin" w:eastAsia="IRNazanin" w:cs="IRNazanin"/>
          <w:lang w:bidi="fa-IR"/>
          <w:color w:val="111111"/>
          <w:sz w:val="28"/>
          <w:szCs w:val="28"/>
          <w:rtl/>
        </w:rPr>
        <w:t xml:space="preserve">به نثر و نظم فارسی، گویا همان یک دل مراد آبادی محمد انور الدین پسر شیخ محمد خان در گذشته ۱۱۵۱ است. [الذريعة ۱۳۱۵/۹ ]</w:t>
      </w:r>
    </w:p>
    <w:p>
      <w:pPr>
        <w:pStyle w:val="BookText"/>
      </w:pPr>
      <w:r>
        <w:rPr>
          <w:rFonts w:ascii="IRNazanin" w:hAnsi="IRNazanin" w:eastAsia="IRNazanin" w:cs="IRNazanin"/>
          <w:lang w:bidi="fa-IR"/>
          <w:color w:val="111111"/>
          <w:sz w:val="28"/>
          <w:szCs w:val="28"/>
          <w:rtl/>
        </w:rPr>
        <w:t xml:space="preserve">تهران؛ دانشگاه؛ شماره نسخه: ۴۰۵۲/۲ -ف</w:t>
      </w:r>
    </w:p>
    <w:p>
      <w:pPr>
        <w:pStyle w:val="BookText"/>
      </w:pPr>
      <w:r>
        <w:rPr>
          <w:rFonts w:ascii="IRNazanin" w:hAnsi="IRNazanin" w:eastAsia="IRNazanin" w:cs="IRNazanin"/>
          <w:lang w:bidi="fa-IR"/>
          <w:color w:val="111111"/>
          <w:sz w:val="28"/>
          <w:szCs w:val="28"/>
          <w:rtl/>
        </w:rPr>
        <w:t xml:space="preserve">نسخه اصل: از پاکستان؛ بی کا، بی تا [فیلمها ف: ۳-۹]</w:t>
      </w:r>
    </w:p>
    <w:p>
      <w:pPr>
        <w:pStyle w:val="Heading3"/>
      </w:pPr>
      <w:bookmarkStart w:id="1184" w:name="_Toc444"/>
      <w:r>
        <w:t>• بیاض / فارسی</w:t>
      </w:r>
      <w:bookmarkEnd w:id="1184"/>
    </w:p>
    <w:p>
      <w:pPr>
        <w:pStyle w:val="BookText"/>
      </w:pPr>
      <w:r>
        <w:rPr>
          <w:rFonts w:ascii="Times New Roman" w:hAnsi="Times New Roman" w:eastAsia="Times New Roman" w:cs="Times New Roman"/>
          <w:lang w:val="en-US" w:bidi="en-US"/>
          <w:color w:val="111111"/>
          <w:sz w:val="28"/>
          <w:szCs w:val="28"/>
          <w:rtl/>
        </w:rPr>
        <w:t xml:space="preserve">bayāz</w:t>
      </w:r>
    </w:p>
    <w:p>
      <w:pPr>
        <w:pStyle w:val="BookText"/>
      </w:pPr>
      <w:r>
        <w:rPr>
          <w:rFonts w:ascii="IRNazanin" w:hAnsi="IRNazanin" w:eastAsia="IRNazanin" w:cs="IRNazanin"/>
          <w:lang w:bidi="fa-IR"/>
          <w:color w:val="111111"/>
          <w:sz w:val="28"/>
          <w:szCs w:val="28"/>
          <w:rtl/>
        </w:rPr>
        <w:t xml:space="preserve">بید آبادی، محمد بن محمد رفیع،-۱۱۹۷ قمری</w:t>
      </w:r>
    </w:p>
    <w:p>
      <w:pPr>
        <w:pStyle w:val="BookText"/>
      </w:pPr>
      <w:r>
        <w:rPr>
          <w:rFonts w:ascii="Times New Roman" w:hAnsi="Times New Roman" w:eastAsia="Times New Roman" w:cs="Times New Roman"/>
          <w:lang w:val="en-US" w:bidi="en-US"/>
          <w:color w:val="111111"/>
          <w:sz w:val="28"/>
          <w:szCs w:val="28"/>
          <w:rtl/>
        </w:rPr>
        <w:t xml:space="preserve">bīd-ābādī, mohammad ebn-e mohammad rafi' (- 1783)</w:t>
      </w:r>
    </w:p>
    <w:p>
      <w:pPr>
        <w:pStyle w:val="BookText"/>
      </w:pPr>
      <w:r>
        <w:rPr>
          <w:rFonts w:ascii="IRNazanin" w:hAnsi="IRNazanin" w:eastAsia="IRNazanin" w:cs="IRNazanin"/>
          <w:lang w:bidi="fa-IR"/>
          <w:color w:val="111111"/>
          <w:sz w:val="28"/>
          <w:szCs w:val="28"/>
          <w:rtl/>
        </w:rPr>
        <w:t xml:space="preserve">اهواز، دانشگاه اهواز؛ شماره نسخه: بدون شماره</w:t>
      </w:r>
    </w:p>
    <w:p>
      <w:pPr>
        <w:pStyle w:val="BookText"/>
      </w:pPr>
      <w:r>
        <w:rPr>
          <w:rFonts w:ascii="IRNazanin" w:hAnsi="IRNazanin" w:eastAsia="IRNazanin" w:cs="IRNazanin"/>
          <w:lang w:bidi="fa-IR"/>
          <w:color w:val="111111"/>
          <w:sz w:val="28"/>
          <w:szCs w:val="28"/>
          <w:rtl/>
        </w:rPr>
        <w:t xml:space="preserve">بی کا، بی تا [میراث اسلامی: ۵-۵۸۸]</w:t>
      </w:r>
    </w:p>
    <w:p>
      <w:pPr>
        <w:pStyle w:val="Heading3"/>
      </w:pPr>
      <w:bookmarkStart w:id="1185" w:name="_Toc445"/>
      <w:r>
        <w:t>• بیاض / متفرقه / فارسی</w:t>
      </w:r>
      <w:bookmarkEnd w:id="1185"/>
    </w:p>
    <w:p>
      <w:pPr>
        <w:pStyle w:val="BookText"/>
      </w:pPr>
      <w:r>
        <w:rPr>
          <w:rFonts w:ascii="Times New Roman" w:hAnsi="Times New Roman" w:eastAsia="Times New Roman" w:cs="Times New Roman"/>
          <w:lang w:val="en-US" w:bidi="en-US"/>
          <w:color w:val="111111"/>
          <w:sz w:val="28"/>
          <w:szCs w:val="28"/>
          <w:rtl/>
        </w:rPr>
        <w:t xml:space="preserve">bayāz</w:t>
      </w:r>
    </w:p>
    <w:p>
      <w:pPr>
        <w:pStyle w:val="BookText"/>
      </w:pPr>
      <w:r>
        <w:rPr>
          <w:rFonts w:ascii="IRNazanin" w:hAnsi="IRNazanin" w:eastAsia="IRNazanin" w:cs="IRNazanin"/>
          <w:lang w:bidi="fa-IR"/>
          <w:color w:val="111111"/>
          <w:sz w:val="28"/>
          <w:szCs w:val="28"/>
          <w:rtl/>
        </w:rPr>
        <w:t xml:space="preserve">لواسانی، ابوطالب، ق ۱۲ قمری</w:t>
      </w:r>
    </w:p>
    <w:p>
      <w:pPr>
        <w:pStyle w:val="BookText"/>
      </w:pPr>
      <w:r>
        <w:rPr>
          <w:rFonts w:ascii="Times New Roman" w:hAnsi="Times New Roman" w:eastAsia="Times New Roman" w:cs="Times New Roman"/>
          <w:lang w:val="en-US" w:bidi="en-US"/>
          <w:color w:val="111111"/>
          <w:sz w:val="28"/>
          <w:szCs w:val="28"/>
          <w:rtl/>
        </w:rPr>
        <w:t xml:space="preserve">lavāsānī, abū-tāleb (- 180)</w:t>
      </w:r>
    </w:p>
    <w:p>
      <w:pPr>
        <w:pStyle w:val="BookText"/>
      </w:pPr>
      <w:r>
        <w:rPr>
          <w:rFonts w:ascii="IRNazanin" w:hAnsi="IRNazanin" w:eastAsia="IRNazanin" w:cs="IRNazanin"/>
          <w:lang w:bidi="fa-IR"/>
          <w:color w:val="111111"/>
          <w:sz w:val="28"/>
          <w:szCs w:val="28"/>
          <w:rtl/>
        </w:rPr>
        <w:t xml:space="preserve">مشتمل بر نسخه های پزشکی و ادعیه وارده در این باب، حکایات، اشعاری از: میرزا همت، وحشی، محتشم، نظام استر آبادی، اشرف، کلیم، زلالی، جامی، سعدی، عراقی، قدسی، ملای روم، ابو سعید ابوالخير، امیر خسرو دهلوی، مهری عرب، نظیری، عارض اصفهانی، رفیق، عاشق، مجنون جندقی، مختصری از تحفة الملوک در طب، طریقه ختم دعای یا من يحل به عقد المكاره، فصلی در محاوره و شرایط آن و حکایاتی درباره آن، منشئاتی از مؤلف و دیگران، نصایحی از مؤلف که به مطایبه بیان نموده، چندین معما، شرح دعای اعظم، فصلی در بیان اویه ای که مخصوص مو (شعر) و لطافت پوست بدن و صورت و رفع برص و ...</w:t>
      </w:r>
    </w:p>
    <w:p>
      <w:pPr>
        <w:pStyle w:val="BookText"/>
      </w:pPr>
      <w:r>
        <w:rPr>
          <w:rFonts w:ascii="IRNazanin" w:hAnsi="IRNazanin" w:eastAsia="IRNazanin" w:cs="IRNazanin"/>
          <w:lang w:bidi="fa-IR"/>
          <w:color w:val="111111"/>
          <w:sz w:val="28"/>
          <w:szCs w:val="28"/>
          <w:rtl/>
        </w:rPr>
        <w:t xml:space="preserve">اصفهان، دانشگاه؛ شماره نسخه: ۴۳۰</w:t>
      </w:r>
    </w:p>
    <w:p>
      <w:pPr>
        <w:pStyle w:val="BookText"/>
      </w:pPr>
      <w:r>
        <w:rPr>
          <w:rFonts w:ascii="IRNazanin" w:hAnsi="IRNazanin" w:eastAsia="IRNazanin" w:cs="IRNazanin"/>
          <w:lang w:bidi="fa-IR"/>
          <w:color w:val="111111"/>
          <w:sz w:val="28"/>
          <w:szCs w:val="28"/>
          <w:rtl/>
        </w:rPr>
        <w:t xml:space="preserve">خط: نستعلیق، کاتب = مؤلف، بی تا، سه برگ پایانی به خط عبدالوهاب حسینی به سال ۱۲۶۰ نگاشته شده، مؤلف در برخی از مطالب اشاره کرده است که آغاز تحصیل را در تبریز بوده و سپس به اصفهان رفته و در برخی از مطالب به سال ۱۱۳۰ اشاره دارد؛ فاقد جلد، ۱۹۱گ، مختلف السطر،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۳۴۹-۲ ]</w:t>
      </w:r>
    </w:p>
    <w:p>
      <w:pPr>
        <w:pStyle w:val="Heading3"/>
      </w:pPr>
      <w:bookmarkStart w:id="1186" w:name="_Toc446"/>
      <w:r>
        <w:t>• بياض / ادبیات / فارسی</w:t>
      </w:r>
      <w:bookmarkEnd w:id="1186"/>
    </w:p>
    <w:p>
      <w:pPr>
        <w:pStyle w:val="BookText"/>
      </w:pPr>
      <w:r>
        <w:rPr>
          <w:rFonts w:ascii="Times New Roman" w:hAnsi="Times New Roman" w:eastAsia="Times New Roman" w:cs="Times New Roman"/>
          <w:lang w:val="en-US" w:bidi="en-US"/>
          <w:color w:val="111111"/>
          <w:sz w:val="28"/>
          <w:szCs w:val="28"/>
          <w:rtl/>
        </w:rPr>
        <w:t xml:space="preserve">bayāz</w:t>
      </w:r>
    </w:p>
    <w:p>
      <w:pPr>
        <w:pStyle w:val="BookText"/>
      </w:pPr>
      <w:r>
        <w:rPr>
          <w:rFonts w:ascii="IRNazanin" w:hAnsi="IRNazanin" w:eastAsia="IRNazanin" w:cs="IRNazanin"/>
          <w:lang w:bidi="fa-IR"/>
          <w:color w:val="111111"/>
          <w:sz w:val="28"/>
          <w:szCs w:val="28"/>
          <w:rtl/>
        </w:rPr>
        <w:t xml:space="preserve">ساقی خراسانی، محمد زمان بن کلبعلی خان، ۱۲۸۶ قمری</w:t>
      </w:r>
    </w:p>
    <w:p>
      <w:pPr>
        <w:pStyle w:val="BookText"/>
      </w:pPr>
      <w:r>
        <w:rPr>
          <w:rFonts w:ascii="Times New Roman" w:hAnsi="Times New Roman" w:eastAsia="Times New Roman" w:cs="Times New Roman"/>
          <w:lang w:val="en-US" w:bidi="en-US"/>
          <w:color w:val="111111"/>
          <w:sz w:val="28"/>
          <w:szCs w:val="28"/>
          <w:rtl/>
        </w:rPr>
        <w:t xml:space="preserve">saqi xorasani, mohammad zaman ebn-e kalb-ali xan ( - 1870)</w:t>
      </w:r>
    </w:p>
    <w:p>
      <w:pPr>
        <w:pStyle w:val="BookText"/>
      </w:pPr>
      <w:r>
        <w:rPr>
          <w:rFonts w:ascii="IRNazanin" w:hAnsi="IRNazanin" w:eastAsia="IRNazanin" w:cs="IRNazanin"/>
          <w:lang w:bidi="fa-IR"/>
          <w:color w:val="111111"/>
          <w:sz w:val="28"/>
          <w:szCs w:val="28"/>
          <w:rtl/>
        </w:rPr>
        <w:t xml:space="preserve">مشهد؛ رضوی؛ شماره نسخه: ۴۴۸۳</w:t>
      </w:r>
    </w:p>
    <w:p>
      <w:pPr>
        <w:pStyle w:val="BookText"/>
      </w:pPr>
      <w:r>
        <w:rPr>
          <w:rFonts w:ascii="IRNazanin" w:hAnsi="IRNazanin" w:eastAsia="IRNazanin" w:cs="IRNazanin"/>
          <w:lang w:bidi="fa-IR"/>
          <w:color w:val="111111"/>
          <w:sz w:val="28"/>
          <w:szCs w:val="28"/>
          <w:rtl/>
        </w:rPr>
        <w:t xml:space="preserve">آغاز: من درین شیوه از وی افزونم؛ انجام: و دو عالم بگسل پیوندش ... وی باشد و وی باشد وی</w:t>
      </w:r>
    </w:p>
    <w:p>
      <w:pPr>
        <w:pStyle w:val="BookText"/>
      </w:pPr>
      <w:r>
        <w:rPr>
          <w:rFonts w:ascii="IRNazanin" w:hAnsi="IRNazanin" w:eastAsia="IRNazanin" w:cs="IRNazanin"/>
          <w:lang w:bidi="fa-IR"/>
          <w:color w:val="111111"/>
          <w:sz w:val="28"/>
          <w:szCs w:val="28"/>
          <w:rtl/>
        </w:rPr>
        <w:t xml:space="preserve">خط: نستعلیق شکسته، کاتب = مؤلف، تا: قرن ۱۳؛ کاغذ: ابی، جلد: تیماج، ابعاد متن: ۱۴۶۸، اندازه: ۱۸۷۹ سم [رایانه]</w:t>
      </w:r>
    </w:p>
    <w:p>
      <w:pPr>
        <w:pStyle w:val="Heading3"/>
      </w:pPr>
      <w:bookmarkStart w:id="1187" w:name="_Toc447"/>
      <w:r>
        <w:t>• بیاض / ادبیات فارسی</w:t>
      </w:r>
      <w:bookmarkEnd w:id="1187"/>
    </w:p>
    <w:p>
      <w:pPr>
        <w:pStyle w:val="BookText"/>
      </w:pPr>
      <w:r>
        <w:rPr>
          <w:rFonts w:ascii="Times New Roman" w:hAnsi="Times New Roman" w:eastAsia="Times New Roman" w:cs="Times New Roman"/>
          <w:lang w:val="en-US" w:bidi="en-US"/>
          <w:color w:val="111111"/>
          <w:sz w:val="28"/>
          <w:szCs w:val="28"/>
          <w:rtl/>
        </w:rPr>
        <w:t xml:space="preserve">bayāz</w:t>
      </w:r>
    </w:p>
    <w:p>
      <w:pPr>
        <w:pStyle w:val="BookText"/>
      </w:pPr>
      <w:r>
        <w:rPr>
          <w:rFonts w:ascii="IRNazanin" w:hAnsi="IRNazanin" w:eastAsia="IRNazanin" w:cs="IRNazanin"/>
          <w:lang w:bidi="fa-IR"/>
          <w:color w:val="111111"/>
          <w:sz w:val="28"/>
          <w:szCs w:val="28"/>
          <w:rtl/>
        </w:rPr>
        <w:t xml:space="preserve">هدایت، رضا قلی بن محمد هادی، ۱۲۱۵-۱۲۸۸ قمری</w:t>
      </w:r>
    </w:p>
    <w:p>
      <w:pPr>
        <w:pStyle w:val="BookText"/>
      </w:pPr>
      <w:r>
        <w:rPr>
          <w:rFonts w:ascii="Times New Roman" w:hAnsi="Times New Roman" w:eastAsia="Times New Roman" w:cs="Times New Roman"/>
          <w:lang w:val="en-US" w:bidi="en-US"/>
          <w:color w:val="111111"/>
          <w:sz w:val="28"/>
          <w:szCs w:val="28"/>
          <w:rtl/>
        </w:rPr>
        <w:t xml:space="preserve">hedāyat, rezā qolī ebn-e mohammad hādī (1801-1871)</w:t>
      </w:r>
    </w:p>
    <w:p>
      <w:pPr>
        <w:pStyle w:val="BookText"/>
      </w:pPr>
      <w:r>
        <w:rPr>
          <w:rFonts w:ascii="IRNazanin" w:hAnsi="IRNazanin" w:eastAsia="IRNazanin" w:cs="IRNazanin"/>
          <w:lang w:bidi="fa-IR"/>
          <w:color w:val="111111"/>
          <w:sz w:val="28"/>
          <w:szCs w:val="28"/>
          <w:rtl/>
        </w:rPr>
        <w:t xml:space="preserve">کتاب شامل مطالب مختلف از جمله فواید گوناگون درباره خط و شعر و احجار و حیوانات، فصلی از مثنوی بحر الحقائق هدایت، اشعاری از مسعود سعد سلمان، عماد غزنوی، هدایت و ... مثنویات هدایت در وصف شیراز، منشورات هدایت به شیوه نشاط اصفهانی و غیره می باشد.</w:t>
      </w:r>
    </w:p>
    <w:p>
      <w:pPr>
        <w:pStyle w:val="BookText"/>
      </w:pPr>
      <w:r>
        <w:rPr>
          <w:rFonts w:ascii="IRNazanin" w:hAnsi="IRNazanin" w:eastAsia="IRNazanin" w:cs="IRNazanin"/>
          <w:lang w:bidi="fa-IR"/>
          <w:color w:val="111111"/>
          <w:sz w:val="28"/>
          <w:szCs w:val="28"/>
          <w:rtl/>
        </w:rPr>
        <w:t xml:space="preserve">تهران؛ مدارک فرهنگی؛ شماره نسخه: ۳</w:t>
      </w:r>
    </w:p>
    <w:p>
      <w:pPr>
        <w:pStyle w:val="BookText"/>
      </w:pPr>
      <w:r>
        <w:rPr>
          <w:rFonts w:ascii="IRNazanin" w:hAnsi="IRNazanin" w:eastAsia="IRNazanin" w:cs="IRNazanin"/>
          <w:lang w:bidi="fa-IR"/>
          <w:color w:val="111111"/>
          <w:sz w:val="28"/>
          <w:szCs w:val="28"/>
          <w:rtl/>
        </w:rPr>
        <w:t xml:space="preserve">آغاز: بسمله عليه يتوكل و به نستعين رساله موسوم به انیس العاشقين ای عشق تو چون محيط و كل فلک؛ انجام: و از عقاید داهيه قوم کتاب خود را انباشته توضیح این معنی کتابی خواهد جداگانه این مایه تنبیه اینجا کافی است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47" w:name="pg20363_209370"/>
    <w:bookmarkEnd w:id="147"/>
    <w:p>
      <w:pPr>
        <w:pStyle w:val="BookText"/>
      </w:pPr>
      <w:r>
        <w:rPr>
          <w:rFonts w:ascii="IRNazanin" w:hAnsi="IRNazanin" w:eastAsia="IRNazanin" w:cs="IRNazanin"/>
          <w:lang w:bidi="fa-IR"/>
          <w:color w:val="111111"/>
          <w:sz w:val="28"/>
          <w:szCs w:val="28"/>
          <w:rtl/>
        </w:rPr>
        <w:t xml:space="preserve">خط: شکسته نستعلیق، کاتب = مؤلف، بی تا، تملك: «لطفعلی بن محمد کاظم تبریزی» با تاریخ رجب ۱۳۲۲ با مهر وی «عبده الراجی لطفعلی»؛ مهر: «رضا قلی» (بیضوی)؛ کاغذ: فرنگی حنایی و نخودی، جلد: تیماج یک لایی قهوه ای روشن، ۱۴۸گ،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سم [ف: ۲ ]</w:t>
      </w:r>
    </w:p>
    <w:p>
      <w:pPr>
        <w:pStyle w:val="Heading3"/>
      </w:pPr>
      <w:bookmarkStart w:id="1188" w:name="_Toc448"/>
      <w:r>
        <w:t>• بياض / متفرقه / فارسی</w:t>
      </w:r>
      <w:bookmarkEnd w:id="1188"/>
    </w:p>
    <w:p>
      <w:pPr>
        <w:pStyle w:val="BookText"/>
      </w:pPr>
      <w:r>
        <w:rPr>
          <w:rFonts w:ascii="Times New Roman" w:hAnsi="Times New Roman" w:eastAsia="Times New Roman" w:cs="Times New Roman"/>
          <w:lang w:val="en-US" w:bidi="en-US"/>
          <w:color w:val="111111"/>
          <w:sz w:val="28"/>
          <w:szCs w:val="28"/>
          <w:rtl/>
        </w:rPr>
        <w:t xml:space="preserve">bayāz</w:t>
      </w:r>
    </w:p>
    <w:p>
      <w:pPr>
        <w:pStyle w:val="BookText"/>
      </w:pPr>
      <w:r>
        <w:rPr>
          <w:rFonts w:ascii="IRNazanin" w:hAnsi="IRNazanin" w:eastAsia="IRNazanin" w:cs="IRNazanin"/>
          <w:lang w:bidi="fa-IR"/>
          <w:color w:val="111111"/>
          <w:sz w:val="28"/>
          <w:szCs w:val="28"/>
          <w:rtl/>
        </w:rPr>
        <w:t xml:space="preserve">پزشک سپاهانی، محمد رضا بن رجبعلی، ق۱۳ قمری</w:t>
      </w:r>
    </w:p>
    <w:p>
      <w:pPr>
        <w:pStyle w:val="BookText"/>
      </w:pPr>
      <w:r>
        <w:rPr>
          <w:rFonts w:ascii="Times New Roman" w:hAnsi="Times New Roman" w:eastAsia="Times New Roman" w:cs="Times New Roman"/>
          <w:lang w:val="en-US" w:bidi="en-US"/>
          <w:color w:val="111111"/>
          <w:sz w:val="28"/>
          <w:szCs w:val="28"/>
          <w:rtl/>
        </w:rPr>
        <w:t xml:space="preserve">pezešk-e sepāhānī, mohammad rezā ebn-e rajab-'alī ( 19c)</w:t>
      </w:r>
    </w:p>
    <w:p>
      <w:pPr>
        <w:pStyle w:val="BookText"/>
      </w:pPr>
      <w:r>
        <w:rPr>
          <w:rFonts w:ascii="IRNazanin" w:hAnsi="IRNazanin" w:eastAsia="IRNazanin" w:cs="IRNazanin"/>
          <w:lang w:bidi="fa-IR"/>
          <w:color w:val="111111"/>
          <w:sz w:val="28"/>
          <w:szCs w:val="28"/>
          <w:rtl/>
        </w:rPr>
        <w:t xml:space="preserve">تهران؛ مجلس؛ شماره نسخه: ۱۵۷۵۴</w:t>
      </w:r>
    </w:p>
    <w:p>
      <w:pPr>
        <w:pStyle w:val="BookText"/>
      </w:pPr>
      <w:r>
        <w:rPr>
          <w:rFonts w:ascii="IRNazanin" w:hAnsi="IRNazanin" w:eastAsia="IRNazanin" w:cs="IRNazanin"/>
          <w:lang w:bidi="fa-IR"/>
          <w:color w:val="111111"/>
          <w:sz w:val="28"/>
          <w:szCs w:val="28"/>
          <w:rtl/>
        </w:rPr>
        <w:t xml:space="preserve">خط: نستعلیق تحریری، كا: محمدرضا بن رجبعلی، تا: ۱۲۰۵ق؛ جلد: تیماج فرنگی، ۱۱۹گ، مختلف السطر، اندازه:</w:t>
      </w:r>
    </w:p>
    <w:p>
      <w:pPr>
        <w:pStyle w:val="BookText"/>
      </w:pPr>
      <w:r>
        <w:rPr>
          <w:rFonts w:ascii="IRNazanin" w:hAnsi="IRNazanin" w:eastAsia="IRNazanin" w:cs="IRNazanin"/>
          <w:lang w:bidi="fa-IR"/>
          <w:color w:val="111111"/>
          <w:sz w:val="28"/>
          <w:szCs w:val="28"/>
          <w:rtl/>
        </w:rPr>
        <w:t xml:space="preserve">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۴۴-۴۵]</w:t>
      </w:r>
    </w:p>
    <w:p>
      <w:pPr>
        <w:pStyle w:val="Heading3"/>
      </w:pPr>
      <w:bookmarkStart w:id="1189" w:name="_Toc449"/>
      <w:r>
        <w:t>• بياض / دعا / فارسی</w:t>
      </w:r>
      <w:bookmarkEnd w:id="1189"/>
    </w:p>
    <w:p>
      <w:pPr>
        <w:pStyle w:val="BookText"/>
      </w:pPr>
      <w:r>
        <w:rPr>
          <w:rFonts w:ascii="Times New Roman" w:hAnsi="Times New Roman" w:eastAsia="Times New Roman" w:cs="Times New Roman"/>
          <w:lang w:val="en-US" w:bidi="en-US"/>
          <w:color w:val="111111"/>
          <w:sz w:val="28"/>
          <w:szCs w:val="28"/>
          <w:rtl/>
        </w:rPr>
        <w:t xml:space="preserve">bayāz</w:t>
      </w:r>
    </w:p>
    <w:p>
      <w:pPr>
        <w:pStyle w:val="BookText"/>
      </w:pPr>
      <w:r>
        <w:rPr>
          <w:rFonts w:ascii="IRNazanin" w:hAnsi="IRNazanin" w:eastAsia="IRNazanin" w:cs="IRNazanin"/>
          <w:lang w:bidi="fa-IR"/>
          <w:color w:val="111111"/>
          <w:sz w:val="28"/>
          <w:szCs w:val="28"/>
          <w:rtl/>
        </w:rPr>
        <w:t xml:space="preserve">دهقی، محمد علی بن ابراهیم، ق۱۳ قمری</w:t>
      </w:r>
    </w:p>
    <w:p>
      <w:pPr>
        <w:pStyle w:val="BookText"/>
      </w:pPr>
      <w:r>
        <w:rPr>
          <w:rFonts w:ascii="Times New Roman" w:hAnsi="Times New Roman" w:eastAsia="Times New Roman" w:cs="Times New Roman"/>
          <w:lang w:val="en-US" w:bidi="en-US"/>
          <w:color w:val="111111"/>
          <w:sz w:val="28"/>
          <w:szCs w:val="28"/>
          <w:rtl/>
        </w:rPr>
        <w:t xml:space="preserve">dehaqī, mohammad ‘alī ebn-e ebrāhīm (- 19c)</w:t>
      </w:r>
    </w:p>
    <w:p>
      <w:pPr>
        <w:pStyle w:val="BookText"/>
      </w:pPr>
      <w:r>
        <w:rPr>
          <w:rFonts w:ascii="IRNazanin" w:hAnsi="IRNazanin" w:eastAsia="IRNazanin" w:cs="IRNazanin"/>
          <w:lang w:bidi="fa-IR"/>
          <w:color w:val="111111"/>
          <w:sz w:val="28"/>
          <w:szCs w:val="28"/>
          <w:rtl/>
        </w:rPr>
        <w:t xml:space="preserve">مشتمل بر: چندین زیارت امیر المؤمنين(عليه السلام)، فضیلت مسجد کوفه و اعمال آن، فضیلت مسجد سهله و اعمال آن، زیارات سید الشهداء(عليه السلام)، زیارت حضرت عباس (ع)، زیارت عاشوراء، زیارت اربعین، کیفیت زیارت امام حسین (عليه السلام)در ماههای رجب و شعبان و رمضان، زیارت کاظمین(عليه السلام)، زیارت امام رضا(عليه السلام)، زیارت امام علی النقی و امام حسن عسکری(عليه السلام)، زیارت صاحب الزمان(عليه السلام)، زیارت جامعه. مؤلف این بیاض را از «تحفة الزائر» مرحوم مجلسی انتخاب نموده است.</w:t>
      </w:r>
    </w:p>
    <w:p>
      <w:pPr>
        <w:pStyle w:val="BookText"/>
      </w:pPr>
      <w:r>
        <w:rPr>
          <w:rFonts w:ascii="IRNazanin" w:hAnsi="IRNazanin" w:eastAsia="IRNazanin" w:cs="IRNazanin"/>
          <w:lang w:bidi="fa-IR"/>
          <w:color w:val="111111"/>
          <w:sz w:val="28"/>
          <w:szCs w:val="28"/>
          <w:rtl/>
        </w:rPr>
        <w:t xml:space="preserve">اصفهان، دانشگاه؛ شماره نسخه: ۶۹۷</w:t>
      </w:r>
    </w:p>
    <w:p>
      <w:pPr>
        <w:pStyle w:val="BookText"/>
      </w:pPr>
      <w:r>
        <w:rPr>
          <w:rFonts w:ascii="IRNazanin" w:hAnsi="IRNazanin" w:eastAsia="IRNazanin" w:cs="IRNazanin"/>
          <w:lang w:bidi="fa-IR"/>
          <w:color w:val="111111"/>
          <w:sz w:val="28"/>
          <w:szCs w:val="28"/>
          <w:rtl/>
        </w:rPr>
        <w:t xml:space="preserve">خط: نسخ معرب، کاتب = مؤلف، تا: ۱۲۶۱ق؛ دارای سرلوح زرین، مجدول به اکلیل و مشکی؛ جلد: تیماج قهوه ای ضربی بدون مقوا، ۱۹۲ گ، ۶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سم [ف: ۲-۵۳۷]</w:t>
      </w:r>
    </w:p>
    <w:p>
      <w:pPr>
        <w:pStyle w:val="BookText"/>
      </w:pPr>
      <w:r>
        <w:rPr>
          <w:rFonts w:ascii="Times New Roman" w:hAnsi="Times New Roman" w:eastAsia="Times New Roman" w:cs="Times New Roman"/>
          <w:lang w:val="en-US" w:bidi="en-US"/>
          <w:color w:val="111111"/>
          <w:sz w:val="28"/>
          <w:szCs w:val="28"/>
          <w:rtl/>
        </w:rPr>
        <w:t xml:space="preserve">bayāz</w:t>
      </w:r>
    </w:p>
    <w:p>
      <w:pPr>
        <w:pStyle w:val="Heading3"/>
      </w:pPr>
      <w:bookmarkStart w:id="1190" w:name="_Toc450"/>
      <w:r>
        <w:t>• بیاض / دعا / فارسی</w:t>
      </w:r>
      <w:bookmarkEnd w:id="1190"/>
    </w:p>
    <w:p>
      <w:pPr>
        <w:pStyle w:val="BookText"/>
      </w:pPr>
      <w:r>
        <w:rPr>
          <w:rFonts w:ascii="IRNazanin" w:hAnsi="IRNazanin" w:eastAsia="IRNazanin" w:cs="IRNazanin"/>
          <w:lang w:bidi="fa-IR"/>
          <w:color w:val="111111"/>
          <w:sz w:val="28"/>
          <w:szCs w:val="28"/>
          <w:rtl/>
        </w:rPr>
        <w:t xml:space="preserve">طالقانی قزوینی، محمد جعفر بن محمد حسن، ق۱۳ قمری</w:t>
      </w:r>
    </w:p>
    <w:p>
      <w:pPr>
        <w:pStyle w:val="BookText"/>
      </w:pPr>
      <w:r>
        <w:rPr>
          <w:rFonts w:ascii="Times New Roman" w:hAnsi="Times New Roman" w:eastAsia="Times New Roman" w:cs="Times New Roman"/>
          <w:lang w:val="en-US" w:bidi="en-US"/>
          <w:color w:val="111111"/>
          <w:sz w:val="28"/>
          <w:szCs w:val="28"/>
          <w:rtl/>
        </w:rPr>
        <w:t xml:space="preserve">tāleqānī qazvīnī, mohammad ja'far ebn-e mohammad hasan (- 19c)</w:t>
      </w:r>
    </w:p>
    <w:p>
      <w:pPr>
        <w:pStyle w:val="BookText"/>
      </w:pPr>
      <w:r>
        <w:rPr>
          <w:rFonts w:ascii="IRNazanin" w:hAnsi="IRNazanin" w:eastAsia="IRNazanin" w:cs="IRNazanin"/>
          <w:lang w:bidi="fa-IR"/>
          <w:color w:val="111111"/>
          <w:sz w:val="28"/>
          <w:szCs w:val="28"/>
          <w:rtl/>
        </w:rPr>
        <w:t xml:space="preserve">مشتمل بر: سوره انعام، سوره نبأ، سوره فتح، سوره واقعه، سوره ملک، سوره الرحمن، سوره جمعه، دعای کمیل، دعای جوشن كبير، برخی از دعاهای صحیفه سجادیه، دوازده امام خواجه، دعای صباح، دعای عديله كبير، عديله صغيره، دعاهای شبها و روزهای ماه مبارک رمضان، دعای توبه و اعمال آن، دعای نماز میت، دعای قاموس، آداب نماز عیدین.</w:t>
      </w:r>
    </w:p>
    <w:p>
      <w:pPr>
        <w:pStyle w:val="BookText"/>
      </w:pPr>
      <w:r>
        <w:rPr>
          <w:rFonts w:ascii="IRNazanin" w:hAnsi="IRNazanin" w:eastAsia="IRNazanin" w:cs="IRNazanin"/>
          <w:lang w:bidi="fa-IR"/>
          <w:color w:val="111111"/>
          <w:sz w:val="28"/>
          <w:szCs w:val="28"/>
          <w:rtl/>
        </w:rPr>
        <w:t xml:space="preserve">اصفهان، دانشگاه؛ شماره نسخه: ۶۹۶</w:t>
      </w:r>
    </w:p>
    <w:p>
      <w:pPr>
        <w:pStyle w:val="BookText"/>
      </w:pPr>
      <w:r>
        <w:rPr>
          <w:rFonts w:ascii="IRNazanin" w:hAnsi="IRNazanin" w:eastAsia="IRNazanin" w:cs="IRNazanin"/>
          <w:lang w:bidi="fa-IR"/>
          <w:color w:val="111111"/>
          <w:sz w:val="28"/>
          <w:szCs w:val="28"/>
          <w:rtl/>
        </w:rPr>
        <w:t xml:space="preserve">خط: نسخ معرب، كان محمد جعفر بن محمد حسن طالقانی قزوینی، تا: ۲۲ رجب ۱۲۴۹ق، جا: منزل شیخ علی رضا؛ مجدول، مصحح؛ جلد: تیماج مشکی بدون مقوا، ۱۶۳ گی، ۱۲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سم [ف: ۲-۵۳۷]</w:t>
      </w:r>
    </w:p>
    <w:p>
      <w:pPr>
        <w:pStyle w:val="Heading3"/>
      </w:pPr>
      <w:bookmarkStart w:id="1191" w:name="_Toc451"/>
      <w:r>
        <w:t>• بياض / گوناگون / فارسی</w:t>
      </w:r>
      <w:bookmarkEnd w:id="1191"/>
    </w:p>
    <w:p>
      <w:pPr>
        <w:pStyle w:val="BookText"/>
      </w:pPr>
      <w:r>
        <w:rPr>
          <w:rFonts w:ascii="Times New Roman" w:hAnsi="Times New Roman" w:eastAsia="Times New Roman" w:cs="Times New Roman"/>
          <w:lang w:val="en-US" w:bidi="en-US"/>
          <w:color w:val="111111"/>
          <w:sz w:val="28"/>
          <w:szCs w:val="28"/>
          <w:rtl/>
        </w:rPr>
        <w:t xml:space="preserve">bayāz</w:t>
      </w:r>
    </w:p>
    <w:p>
      <w:pPr>
        <w:pStyle w:val="BookText"/>
      </w:pPr>
      <w:r>
        <w:rPr>
          <w:rFonts w:ascii="IRNazanin" w:hAnsi="IRNazanin" w:eastAsia="IRNazanin" w:cs="IRNazanin"/>
          <w:lang w:bidi="fa-IR"/>
          <w:color w:val="111111"/>
          <w:sz w:val="28"/>
          <w:szCs w:val="28"/>
          <w:rtl/>
        </w:rPr>
        <w:t xml:space="preserve">گریان شهرابی، محمد حسین بن عبدالله، ق۱۳ قمری</w:t>
      </w:r>
    </w:p>
    <w:p>
      <w:pPr>
        <w:pStyle w:val="BookText"/>
      </w:pPr>
      <w:r>
        <w:rPr>
          <w:rFonts w:ascii="Times New Roman" w:hAnsi="Times New Roman" w:eastAsia="Times New Roman" w:cs="Times New Roman"/>
          <w:lang w:val="en-US" w:bidi="en-US"/>
          <w:color w:val="111111"/>
          <w:sz w:val="28"/>
          <w:szCs w:val="28"/>
          <w:rtl/>
        </w:rPr>
        <w:t xml:space="preserve">geryān-e šahrābī, mohammad hoseyn ebn-e ‘abd-ol-lāh (- 19c)</w:t>
      </w:r>
    </w:p>
    <w:p>
      <w:pPr>
        <w:pStyle w:val="BookText"/>
      </w:pPr>
      <w:r>
        <w:rPr>
          <w:rFonts w:ascii="IRNazanin" w:hAnsi="IRNazanin" w:eastAsia="IRNazanin" w:cs="IRNazanin"/>
          <w:lang w:bidi="fa-IR"/>
          <w:color w:val="111111"/>
          <w:sz w:val="28"/>
          <w:szCs w:val="28"/>
          <w:rtl/>
        </w:rPr>
        <w:t xml:space="preserve">شامل: 1. دیوان اشعار گریان: مدح و منقبت و مرثیه معصومین. ستایشنامه هایی از بزرگان هم عصر خود به خصوص مصطفی قلی خان سهام السلطنه؛ ۲. چند مجلس روضه، اشعاری از شعرای مختلف؛ 3. غزلها و شعرهایی از محتشم (۱۲ بند و مرثیه او ندارد)</w:t>
      </w:r>
    </w:p>
    <w:p>
      <w:pPr>
        <w:pStyle w:val="BookText"/>
      </w:pPr>
      <w:r>
        <w:rPr>
          <w:rFonts w:ascii="IRNazanin" w:hAnsi="IRNazanin" w:eastAsia="IRNazanin" w:cs="IRNazanin"/>
          <w:lang w:bidi="fa-IR"/>
          <w:color w:val="111111"/>
          <w:sz w:val="28"/>
          <w:szCs w:val="28"/>
          <w:rtl/>
        </w:rPr>
        <w:t xml:space="preserve">تهران؛ رجائی زفره ای، محمد حسن؛ شماره نسخه: بدون شماره</w:t>
      </w:r>
    </w:p>
    <w:p>
      <w:pPr>
        <w:pStyle w:val="BookText"/>
      </w:pPr>
      <w:r>
        <w:rPr>
          <w:rFonts w:ascii="IRNazanin" w:hAnsi="IRNazanin" w:eastAsia="IRNazanin" w:cs="IRNazanin"/>
          <w:lang w:bidi="fa-IR"/>
          <w:color w:val="111111"/>
          <w:sz w:val="28"/>
          <w:szCs w:val="28"/>
          <w:rtl/>
        </w:rPr>
        <w:t xml:space="preserve">بی کا، بی تا میراث اسلامی: ۱۰-۷۴۸]</w:t>
      </w:r>
    </w:p>
    <w:p>
      <w:pPr>
        <w:pStyle w:val="Heading3"/>
      </w:pPr>
      <w:bookmarkStart w:id="1192" w:name="_Toc452"/>
      <w:r>
        <w:t>• بياض / متفرقه / فارسی و عربی</w:t>
      </w:r>
      <w:bookmarkEnd w:id="1192"/>
    </w:p>
    <w:p>
      <w:pPr>
        <w:pStyle w:val="BookText"/>
      </w:pPr>
      <w:r>
        <w:rPr>
          <w:rFonts w:ascii="Times New Roman" w:hAnsi="Times New Roman" w:eastAsia="Times New Roman" w:cs="Times New Roman"/>
          <w:lang w:val="en-US" w:bidi="en-US"/>
          <w:color w:val="111111"/>
          <w:sz w:val="28"/>
          <w:szCs w:val="28"/>
          <w:rtl/>
        </w:rPr>
        <w:t xml:space="preserve">bayāz</w:t>
      </w:r>
    </w:p>
    <w:p>
      <w:pPr>
        <w:pStyle w:val="BookText"/>
      </w:pPr>
      <w:r>
        <w:rPr>
          <w:rFonts w:ascii="IRNazanin" w:hAnsi="IRNazanin" w:eastAsia="IRNazanin" w:cs="IRNazanin"/>
          <w:lang w:bidi="fa-IR"/>
          <w:color w:val="111111"/>
          <w:sz w:val="28"/>
          <w:szCs w:val="28"/>
          <w:rtl/>
        </w:rPr>
        <w:t xml:space="preserve">رضوی خوانساری، زین العابدين بن حسن</w:t>
      </w:r>
    </w:p>
    <w:p>
      <w:pPr>
        <w:pStyle w:val="BookText"/>
      </w:pPr>
      <w:r>
        <w:rPr>
          <w:rFonts w:ascii="Times New Roman" w:hAnsi="Times New Roman" w:eastAsia="Times New Roman" w:cs="Times New Roman"/>
          <w:lang w:val="en-US" w:bidi="en-US"/>
          <w:color w:val="111111"/>
          <w:sz w:val="28"/>
          <w:szCs w:val="28"/>
          <w:rtl/>
        </w:rPr>
        <w:t xml:space="preserve">razavī xānsārī, zayn-ol-‘ābedīn ebn-e hasan</w:t>
      </w:r>
    </w:p>
    <w:p>
      <w:pPr>
        <w:pStyle w:val="BookText"/>
      </w:pPr>
      <w:r>
        <w:rPr>
          <w:rFonts w:ascii="IRNazanin" w:hAnsi="IRNazanin" w:eastAsia="IRNazanin" w:cs="IRNazanin"/>
          <w:lang w:bidi="fa-IR"/>
          <w:color w:val="111111"/>
          <w:sz w:val="28"/>
          <w:szCs w:val="28"/>
          <w:rtl/>
        </w:rPr>
        <w:t xml:space="preserve">مجالس پراکنده ای است در موضوعات مختلف دینی و در ضمن آن رساله «شهاب الأخبار» قاضی قضاعی آمده است.</w:t>
      </w:r>
    </w:p>
    <w:p>
      <w:pPr>
        <w:pStyle w:val="BookText"/>
      </w:pPr>
      <w:r>
        <w:rPr>
          <w:rFonts w:ascii="IRNazanin" w:hAnsi="IRNazanin" w:eastAsia="IRNazanin" w:cs="IRNazanin"/>
          <w:lang w:bidi="fa-IR"/>
          <w:color w:val="111111"/>
          <w:sz w:val="28"/>
          <w:szCs w:val="28"/>
          <w:rtl/>
        </w:rPr>
        <w:t xml:space="preserve">اصفهان، دانشگاه؛ شماره نسخه: ۴۷۳</w:t>
      </w:r>
    </w:p>
    <w:p>
      <w:pPr>
        <w:pStyle w:val="BookText"/>
      </w:pPr>
      <w:r>
        <w:rPr>
          <w:rFonts w:ascii="IRNazanin" w:hAnsi="IRNazanin" w:eastAsia="IRNazanin" w:cs="IRNazanin"/>
          <w:lang w:bidi="fa-IR"/>
          <w:color w:val="111111"/>
          <w:sz w:val="28"/>
          <w:szCs w:val="28"/>
          <w:rtl/>
        </w:rPr>
        <w:t xml:space="preserve">خط: نستعلیق، کاتب = مؤلف، تا: ۲۷ ذیقعده ۱۲۹۳ق؛ توسط مؤلف تصحیح شده است؛ جلد: مقوایی، عطف تیماج مشکی، ۲۲۸گ، مختلف السطر،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سم [ف: ۲-۳۷۵]</w:t>
      </w:r>
    </w:p>
    <w:p>
      <w:pPr>
        <w:pStyle w:val="Heading3"/>
      </w:pPr>
      <w:bookmarkStart w:id="1193" w:name="_Toc453"/>
      <w:r>
        <w:t>• بياض = جنگ شیخ فضل الله / گوناگون / عربی</w:t>
      </w:r>
      <w:bookmarkEnd w:id="1193"/>
    </w:p>
    <w:p>
      <w:pPr>
        <w:pStyle w:val="BookText"/>
      </w:pPr>
      <w:r>
        <w:rPr>
          <w:rFonts w:ascii="Times New Roman" w:hAnsi="Times New Roman" w:eastAsia="Times New Roman" w:cs="Times New Roman"/>
          <w:lang w:val="en-US" w:bidi="en-US"/>
          <w:color w:val="111111"/>
          <w:sz w:val="28"/>
          <w:szCs w:val="28"/>
          <w:rtl/>
        </w:rPr>
        <w:t xml:space="preserve">bayāz =jong-e šeyx fazl-ol-lāh</w:t>
      </w:r>
    </w:p>
    <w:p>
      <w:pPr>
        <w:pStyle w:val="BookText"/>
      </w:pPr>
      <w:r>
        <w:rPr>
          <w:rFonts w:ascii="IRNazanin" w:hAnsi="IRNazanin" w:eastAsia="IRNazanin" w:cs="IRNazanin"/>
          <w:lang w:bidi="fa-IR"/>
          <w:color w:val="111111"/>
          <w:sz w:val="28"/>
          <w:szCs w:val="28"/>
          <w:rtl/>
        </w:rPr>
        <w:t xml:space="preserve">نوری، فضل الله بن عباس، ۱۲۵۹-۱۳۲۷ قمری</w:t>
      </w:r>
    </w:p>
    <w:p>
      <w:pPr>
        <w:pStyle w:val="BookText"/>
      </w:pPr>
      <w:r>
        <w:rPr>
          <w:rFonts w:ascii="Times New Roman" w:hAnsi="Times New Roman" w:eastAsia="Times New Roman" w:cs="Times New Roman"/>
          <w:lang w:val="en-US" w:bidi="en-US"/>
          <w:color w:val="111111"/>
          <w:sz w:val="28"/>
          <w:szCs w:val="28"/>
          <w:rtl/>
        </w:rPr>
        <w:t xml:space="preserve">nuri, fazl-ol-lah ebn-e abbas (1843-1909)</w:t>
      </w:r>
    </w:p>
    <w:p>
      <w:pPr>
        <w:pStyle w:val="BookText"/>
      </w:pPr>
      <w:r>
        <w:rPr>
          <w:rFonts w:ascii="IRNazanin" w:hAnsi="IRNazanin" w:eastAsia="IRNazanin" w:cs="IRNazanin"/>
          <w:lang w:bidi="fa-IR"/>
          <w:color w:val="111111"/>
          <w:sz w:val="28"/>
          <w:szCs w:val="28"/>
          <w:rtl/>
        </w:rPr>
        <w:t xml:space="preserve">بیاضی است که در آن داستان ها و کراماتی که از علمای بزرگ شنیده، گرد آورده است. بیشتر حکایات این دفتر مربوط به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48" w:name="pg20363_209371"/>
    <w:bookmarkEnd w:id="148"/>
    <w:p>
      <w:pPr>
        <w:pStyle w:val="BookText"/>
      </w:pPr>
      <w:r>
        <w:rPr>
          <w:rFonts w:ascii="IRNazanin" w:hAnsi="IRNazanin" w:eastAsia="IRNazanin" w:cs="IRNazanin"/>
          <w:lang w:bidi="fa-IR"/>
          <w:color w:val="111111"/>
          <w:sz w:val="28"/>
          <w:szCs w:val="28"/>
          <w:rtl/>
        </w:rPr>
        <w:t xml:space="preserve">ملافتحعلی سلطان آبادی و بحر العلوم است که در سال های ۱۲۸۸ و ۱۲۸۹ و ۱۲۹۹ در نجف شنیده است و به مناسبت خلسه میرداماد و داستانی درباره ملامحمد تقی مجلسی را به نقل از «مرآة العقول» علامه مجلسی آورده است و داستان هایی نیز درباره سید محمد باقر قزوینی و علی شوشتری دارد. این مجموعه از جهت این که جامعش شیخ فضل الله نوری است و داستان ها و کرامات مطرح شده در آن صبغه معنوی جذابی دارد، قابل توجه و ارزشمند است. چاپ: به صورت عکسی در پیام بهارستان ش ۴ به چاپ رسیده.</w:t>
      </w:r>
    </w:p>
    <w:p>
      <w:pPr>
        <w:pStyle w:val="BookText"/>
      </w:pPr>
      <w:r>
        <w:rPr>
          <w:rFonts w:ascii="IRNazanin" w:hAnsi="IRNazanin" w:eastAsia="IRNazanin" w:cs="IRNazanin"/>
          <w:lang w:bidi="fa-IR"/>
          <w:color w:val="111111"/>
          <w:sz w:val="28"/>
          <w:szCs w:val="28"/>
          <w:rtl/>
        </w:rPr>
        <w:t xml:space="preserve">تهران؛ مجلس؛ شماره نسخه: ۹۳۷۷</w:t>
      </w:r>
    </w:p>
    <w:p>
      <w:pPr>
        <w:pStyle w:val="BookText"/>
      </w:pPr>
      <w:r>
        <w:rPr>
          <w:rFonts w:ascii="IRNazanin" w:hAnsi="IRNazanin" w:eastAsia="IRNazanin" w:cs="IRNazanin"/>
          <w:lang w:bidi="fa-IR"/>
          <w:color w:val="111111"/>
          <w:sz w:val="28"/>
          <w:szCs w:val="28"/>
          <w:rtl/>
        </w:rPr>
        <w:t xml:space="preserve">آغاز: بسمله. الحمد لمن ازاح عن ابصار احبائه غشاوة الظلمة و تجلی لعارفیه بانواره القدسية؛ انجام: اللهم العن عمر ثم ابابکر عمر ثم عثمان و عمر لعن الله عمر</w:t>
      </w:r>
    </w:p>
    <w:p>
      <w:pPr>
        <w:pStyle w:val="BookText"/>
      </w:pPr>
      <w:r>
        <w:rPr>
          <w:rFonts w:ascii="IRNazanin" w:hAnsi="IRNazanin" w:eastAsia="IRNazanin" w:cs="IRNazanin"/>
          <w:lang w:bidi="fa-IR"/>
          <w:color w:val="111111"/>
          <w:sz w:val="28"/>
          <w:szCs w:val="28"/>
          <w:rtl/>
        </w:rPr>
        <w:t xml:space="preserve">خط: نستعلیق، کاتب = مؤلف، تا: قرن ۱۳؛ مهر: کتابخانه جعفر سلطان القرائی؛ جلد: تیماج سرخ، ۶۵گ، مختلف السطر،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سم [ف: ۳۰-۹۹]</w:t>
      </w:r>
    </w:p>
    <w:p>
      <w:pPr>
        <w:pStyle w:val="Heading3"/>
      </w:pPr>
      <w:bookmarkStart w:id="1194" w:name="_Toc454"/>
      <w:r>
        <w:t>• بياض / متفرقه / فارسی</w:t>
      </w:r>
      <w:bookmarkEnd w:id="1194"/>
    </w:p>
    <w:p>
      <w:pPr>
        <w:pStyle w:val="BookText"/>
      </w:pPr>
      <w:r>
        <w:rPr>
          <w:rFonts w:ascii="Times New Roman" w:hAnsi="Times New Roman" w:eastAsia="Times New Roman" w:cs="Times New Roman"/>
          <w:lang w:val="en-US" w:bidi="en-US"/>
          <w:color w:val="111111"/>
          <w:sz w:val="28"/>
          <w:szCs w:val="28"/>
          <w:rtl/>
        </w:rPr>
        <w:t xml:space="preserve">bayāz</w:t>
      </w:r>
    </w:p>
    <w:p>
      <w:pPr>
        <w:pStyle w:val="BookText"/>
      </w:pPr>
      <w:r>
        <w:rPr>
          <w:rFonts w:ascii="IRNazanin" w:hAnsi="IRNazanin" w:eastAsia="IRNazanin" w:cs="IRNazanin"/>
          <w:lang w:bidi="fa-IR"/>
          <w:color w:val="111111"/>
          <w:sz w:val="28"/>
          <w:szCs w:val="28"/>
          <w:rtl/>
        </w:rPr>
        <w:t xml:space="preserve">اصطهباناتی، محمد رضا بن ابو الحسن، قی ۱۴ قمری</w:t>
      </w:r>
    </w:p>
    <w:p>
      <w:pPr>
        <w:pStyle w:val="BookText"/>
      </w:pPr>
      <w:r>
        <w:rPr>
          <w:rFonts w:ascii="Times New Roman" w:hAnsi="Times New Roman" w:eastAsia="Times New Roman" w:cs="Times New Roman"/>
          <w:lang w:val="en-US" w:bidi="en-US"/>
          <w:color w:val="111111"/>
          <w:sz w:val="28"/>
          <w:szCs w:val="28"/>
          <w:rtl/>
        </w:rPr>
        <w:t xml:space="preserve">estahbānātī, mohammad rezā ebn-e ab-ol-hasan (- 20c)</w:t>
      </w:r>
    </w:p>
    <w:p>
      <w:pPr>
        <w:pStyle w:val="BookText"/>
      </w:pPr>
      <w:r>
        <w:rPr>
          <w:rFonts w:ascii="IRNazanin" w:hAnsi="IRNazanin" w:eastAsia="IRNazanin" w:cs="IRNazanin"/>
          <w:lang w:bidi="fa-IR"/>
          <w:color w:val="111111"/>
          <w:sz w:val="28"/>
          <w:szCs w:val="28"/>
          <w:rtl/>
        </w:rPr>
        <w:t xml:space="preserve">مشتمل بر: ترجمه قصیده فرزدق به نظم، اشعاری در وقایع کربلا، یادداشتی منثور در فضیلت امام حسن مجتبی</w:t>
      </w:r>
    </w:p>
    <w:p>
      <w:pPr>
        <w:pStyle w:val="BookText"/>
      </w:pPr>
      <w:r>
        <w:rPr>
          <w:rFonts w:ascii="IRNazanin" w:hAnsi="IRNazanin" w:eastAsia="IRNazanin" w:cs="IRNazanin"/>
          <w:lang w:bidi="fa-IR"/>
          <w:color w:val="111111"/>
          <w:sz w:val="28"/>
          <w:szCs w:val="28"/>
          <w:rtl/>
        </w:rPr>
        <w:t xml:space="preserve">(عليه السلام) به خط مؤلف به سال ۱۳۴۸، گفتگوی علامه دربندی با اهل تسنن به خط مؤلف سال ۱۳۴۸، یادداشتی در اخلاط اربعه، تقسیم خواب به شیطان و رحمانی، در خلقت جماد و نبات و حیوان و انسان، اشعاری عربی از امام حسین(عليه السلام)با ترجمه فارسی آن، مقداری از خطبه حضرت زهراء سلام الله علیها با ترجمه فارسی، نکاتی تفسیری، مطالبی به نقل از عدد السنة در ذکر سلطنت طالوت و قتل جالوت و تابوت سکینه به خط زین العابدين بن حاج حسن باقرزاده جهرمی کویتی به سال ۱۳۵۱، حکایت غدیر خم و فضیلت این روز، زندان مختار و اقسام زندان ها، حکایات و یادداشت های اخلاقی با استفاده از برخی سوره ها و آیات قرآنی، رباعیات بابا طاهر كتابت سال ۱۳۴۶، القاب ائمه(عليهم السلام)، چندین خطبه پراکنده به خط سید حسن موسوی نائینی به سال ۱۳۵۲، حکایت حضرت خديجه، چندین دعای متفرقه.</w:t>
      </w:r>
    </w:p>
    <w:p>
      <w:pPr>
        <w:pStyle w:val="BookText"/>
      </w:pPr>
      <w:r>
        <w:rPr>
          <w:rFonts w:ascii="IRNazanin" w:hAnsi="IRNazanin" w:eastAsia="IRNazanin" w:cs="IRNazanin"/>
          <w:lang w:bidi="fa-IR"/>
          <w:color w:val="111111"/>
          <w:sz w:val="28"/>
          <w:szCs w:val="28"/>
          <w:rtl/>
        </w:rPr>
        <w:t xml:space="preserve">اصفهان، دانشگاه؛ شماره نسخه: ۷۴۰</w:t>
      </w:r>
    </w:p>
    <w:p>
      <w:pPr>
        <w:pStyle w:val="BookText"/>
      </w:pPr>
      <w:r>
        <w:rPr>
          <w:rFonts w:ascii="IRNazanin" w:hAnsi="IRNazanin" w:eastAsia="IRNazanin" w:cs="IRNazanin"/>
          <w:lang w:bidi="fa-IR"/>
          <w:color w:val="111111"/>
          <w:sz w:val="28"/>
          <w:szCs w:val="28"/>
          <w:rtl/>
        </w:rPr>
        <w:t xml:space="preserve">خط: نسخ و نستعلیق، کاتب =مؤلف، بی تا؛ جلد: تیماج مشکی بدون مقوا، ۳۰۸گ، مختلف السطر،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۲-۵۶۵]</w:t>
      </w:r>
    </w:p>
    <w:p>
      <w:pPr>
        <w:pStyle w:val="Heading3"/>
      </w:pPr>
      <w:bookmarkStart w:id="1195" w:name="_Toc455"/>
      <w:r>
        <w:t>• بیاض / گوناگون / فارسی</w:t>
      </w:r>
      <w:bookmarkEnd w:id="1195"/>
    </w:p>
    <w:p>
      <w:pPr>
        <w:pStyle w:val="BookText"/>
      </w:pPr>
      <w:r>
        <w:rPr>
          <w:rFonts w:ascii="IRNazanin" w:hAnsi="IRNazanin" w:eastAsia="IRNazanin" w:cs="IRNazanin"/>
          <w:lang w:bidi="fa-IR"/>
          <w:color w:val="111111"/>
          <w:sz w:val="28"/>
          <w:szCs w:val="28"/>
          <w:rtl/>
        </w:rPr>
        <w:t xml:space="preserve">احتمالا به سفارش یا برای خوش آمد عبدالرضا خان شامل</w:t>
      </w:r>
    </w:p>
    <w:p>
      <w:pPr>
        <w:pStyle w:val="BookText"/>
      </w:pPr>
      <w:r>
        <w:rPr>
          <w:rFonts w:ascii="IRNazanin" w:hAnsi="IRNazanin" w:eastAsia="IRNazanin" w:cs="IRNazanin"/>
          <w:lang w:bidi="fa-IR"/>
          <w:color w:val="111111"/>
          <w:sz w:val="28"/>
          <w:szCs w:val="28"/>
          <w:rtl/>
        </w:rPr>
        <w:t xml:space="preserve">گلچینی از اشعار محمد حسن خان فرزند نصر الله خان، قضایی، سعدی، جلالی، عرفی، عاشق، اختر، محرم، عطار، مولانا راهوری که در مواردی اشعار غير مشهور اما جالبی انتخاب شده است. به عنوان نمونه در صدر صفحه ۱۱۳ آمده: «خواجه آورد از برای اهل مجلس خربزه </w:t>
      </w:r>
      <w:r>
        <w:rPr>
          <w:rFonts w:ascii="IRNazanin" w:hAnsi="IRNazanin" w:eastAsia="IRNazanin" w:cs="IRNazanin"/>
          <w:lang w:bidi="fa-IR"/>
          <w:color w:val="111111"/>
          <w:sz w:val="28"/>
          <w:szCs w:val="28"/>
          <w:b w:val="1"/>
          <w:bCs w:val="1"/>
          <w:i w:val="1"/>
          <w:iCs w:val="1"/>
          <w:rtl/>
        </w:rPr>
        <w:t xml:space="preserve">تلخ بود و ترش بود و سست بود و بی مزه / تلخ چون شام فراق و ترش چون روی رقیب</w:t>
      </w:r>
      <w:r>
        <w:rPr>
          <w:rFonts w:ascii="IRNazanin" w:hAnsi="IRNazanin" w:eastAsia="IRNazanin" w:cs="IRNazanin"/>
          <w:lang w:bidi="fa-IR"/>
          <w:color w:val="111111"/>
          <w:sz w:val="28"/>
          <w:szCs w:val="28"/>
          <w:rtl/>
        </w:rPr>
        <w:t xml:space="preserve"> سست چون عهد بنان»، چون پند ناصح بي مزه. در صفحه چهارده آمده: «حسب الفرموده عاليجاه ... عبدالرضا خان تحریر شد». همچنین در صفحه ۲۳ یک رباعی در مدح وی آمده است: «آنی تو که پیوسته در این توده خاک*** آنی تو که همواره در اوج افلاک / از نعل سمندت بفغان است سمک*** وز بیم سنانت بگریز است سماک). دیگر مطالب در این جنگ: نسخه برای درمان عقرب گزیدگی؛ نسخه برای در خواب دیدن افراد و پرسیدن سؤال و پاسخ دریافت کردن (در ذیل این نسخه بر تجربه کردن و دروغ بودن آن تأکید شده است.)؛ پیر و جوان اثر میرزا نصیر پزشکی اصفهانی؛ یادداشتی توهین آمیزی نیز نسبت به افراد نامرد با تاریخ ۲۱ جمادی الثانی سال ۱۳۳۸.</w:t>
      </w:r>
    </w:p>
    <w:p>
      <w:pPr>
        <w:pStyle w:val="BookText"/>
      </w:pPr>
      <w:r>
        <w:rPr>
          <w:rFonts w:ascii="IRNazanin" w:hAnsi="IRNazanin" w:eastAsia="IRNazanin" w:cs="IRNazanin"/>
          <w:lang w:bidi="fa-IR"/>
          <w:color w:val="111111"/>
          <w:sz w:val="28"/>
          <w:szCs w:val="28"/>
          <w:rtl/>
        </w:rPr>
        <w:t xml:space="preserve">تهران؛ مجلس؛ شماره نسخه: ۱۶۹۱۵</w:t>
      </w:r>
    </w:p>
    <w:p>
      <w:pPr>
        <w:pStyle w:val="BookText"/>
      </w:pPr>
      <w:r>
        <w:rPr>
          <w:rFonts w:ascii="IRNazanin" w:hAnsi="IRNazanin" w:eastAsia="IRNazanin" w:cs="IRNazanin"/>
          <w:lang w:bidi="fa-IR"/>
          <w:color w:val="111111"/>
          <w:sz w:val="28"/>
          <w:szCs w:val="28"/>
          <w:rtl/>
        </w:rPr>
        <w:t xml:space="preserve">آغاز: از حوت چون رود بحمل جرم آفتاب باید کشید از رخ بنت العنب نقاب. انجام: ز هجر یار بدانگونه زار بگرستم که نی بناله درافتاد و چنگ شد بخروش.</w:t>
      </w:r>
    </w:p>
    <w:p>
      <w:pPr>
        <w:pStyle w:val="BookText"/>
      </w:pPr>
      <w:r>
        <w:rPr>
          <w:rFonts w:ascii="IRNazanin" w:hAnsi="IRNazanin" w:eastAsia="IRNazanin" w:cs="IRNazanin"/>
          <w:lang w:bidi="fa-IR"/>
          <w:color w:val="111111"/>
          <w:sz w:val="28"/>
          <w:szCs w:val="28"/>
          <w:rtl/>
        </w:rPr>
        <w:t xml:space="preserve">خط: شکسته، بی کا، تا: شعبان ۱۲۹۲ق؛ بیشتر این بیاض به خط شکسته خفی با عیار عالی و در مواضعی ممتاز کتابت شده و در آن نمونه های خطوط دیگر هم وجود دارد، مجدول؛ مهر: «این علی اکبر محمد صادق» (بیضی)؛ جلد: چرمی، ۸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سم [ف: ۴۷/۱ -۲۸]</w:t>
      </w:r>
    </w:p>
    <w:p>
      <w:pPr>
        <w:pStyle w:val="Heading3"/>
      </w:pPr>
      <w:bookmarkStart w:id="1196" w:name="_Toc456"/>
      <w:r>
        <w:t>• بياض / گوناگون / فارسی</w:t>
      </w:r>
      <w:bookmarkEnd w:id="1196"/>
    </w:p>
    <w:p>
      <w:pPr>
        <w:pStyle w:val="BookText"/>
      </w:pPr>
      <w:r>
        <w:rPr>
          <w:rFonts w:ascii="Times New Roman" w:hAnsi="Times New Roman" w:eastAsia="Times New Roman" w:cs="Times New Roman"/>
          <w:lang w:val="en-US" w:bidi="en-US"/>
          <w:color w:val="111111"/>
          <w:sz w:val="28"/>
          <w:szCs w:val="28"/>
          <w:rtl/>
        </w:rPr>
        <w:t xml:space="preserve">bayāz</w:t>
      </w:r>
    </w:p>
    <w:p>
      <w:pPr>
        <w:pStyle w:val="BookText"/>
      </w:pPr>
      <w:r>
        <w:rPr>
          <w:rFonts w:ascii="IRNazanin" w:hAnsi="IRNazanin" w:eastAsia="IRNazanin" w:cs="IRNazanin"/>
          <w:lang w:bidi="fa-IR"/>
          <w:color w:val="111111"/>
          <w:sz w:val="28"/>
          <w:szCs w:val="28"/>
          <w:rtl/>
        </w:rPr>
        <w:t xml:space="preserve">مشهد؛ رضوی؛ شماره نسخه: ۲۳۷۲۹</w:t>
      </w:r>
    </w:p>
    <w:p>
      <w:pPr>
        <w:pStyle w:val="BookText"/>
      </w:pPr>
      <w:r>
        <w:rPr>
          <w:rFonts w:ascii="IRNazanin" w:hAnsi="IRNazanin" w:eastAsia="IRNazanin" w:cs="IRNazanin"/>
          <w:lang w:bidi="fa-IR"/>
          <w:color w:val="111111"/>
          <w:sz w:val="28"/>
          <w:szCs w:val="28"/>
          <w:rtl/>
        </w:rPr>
        <w:t xml:space="preserve">بی کا، بی تا، کاغذ: ترمه، جلد: تیماج ضربی، ابعاد متن: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[رایانه]</w:t>
      </w:r>
    </w:p>
    <w:p>
      <w:pPr>
        <w:pStyle w:val="Heading3"/>
      </w:pPr>
      <w:bookmarkStart w:id="1197" w:name="_Toc457"/>
      <w:r>
        <w:t>• بياض / گوناگون/ ترکی</w:t>
      </w:r>
      <w:bookmarkEnd w:id="1197"/>
    </w:p>
    <w:p>
      <w:pPr>
        <w:pStyle w:val="BookText"/>
      </w:pPr>
      <w:r>
        <w:rPr>
          <w:rFonts w:ascii="Times New Roman" w:hAnsi="Times New Roman" w:eastAsia="Times New Roman" w:cs="Times New Roman"/>
          <w:lang w:val="en-US" w:bidi="en-US"/>
          <w:color w:val="111111"/>
          <w:sz w:val="28"/>
          <w:szCs w:val="28"/>
          <w:rtl/>
        </w:rPr>
        <w:t xml:space="preserve">bayāz</w:t>
      </w:r>
    </w:p>
    <w:p>
      <w:pPr>
        <w:pStyle w:val="BookText"/>
      </w:pPr>
      <w:r>
        <w:rPr>
          <w:rFonts w:ascii="IRNazanin" w:hAnsi="IRNazanin" w:eastAsia="IRNazanin" w:cs="IRNazanin"/>
          <w:lang w:bidi="fa-IR"/>
          <w:color w:val="111111"/>
          <w:sz w:val="28"/>
          <w:szCs w:val="28"/>
          <w:rtl/>
        </w:rPr>
        <w:t xml:space="preserve">مشهد؛ رضوی؛ شماره نسخه: ۱۴۷۱۱</w:t>
      </w:r>
    </w:p>
    <w:p>
      <w:pPr>
        <w:pStyle w:val="BookText"/>
      </w:pPr>
      <w:r>
        <w:rPr>
          <w:rFonts w:ascii="IRNazanin" w:hAnsi="IRNazanin" w:eastAsia="IRNazanin" w:cs="IRNazanin"/>
          <w:lang w:bidi="fa-IR"/>
          <w:color w:val="111111"/>
          <w:sz w:val="28"/>
          <w:szCs w:val="28"/>
          <w:rtl/>
        </w:rPr>
        <w:t xml:space="preserve">آغاز: تعجیم که عروسان چرا کنند فغان؛ انجام: کم کو رسید رقیامه ... طویه کنما فی ترک ایدروی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49" w:name="pg20363_209372"/>
    <w:bookmarkEnd w:id="149"/>
    <w:p>
      <w:pPr>
        <w:pStyle w:val="BookText"/>
      </w:pPr>
      <w:r>
        <w:rPr>
          <w:rFonts w:ascii="IRNazanin" w:hAnsi="IRNazanin" w:eastAsia="IRNazanin" w:cs="IRNazanin"/>
          <w:lang w:bidi="fa-IR"/>
          <w:color w:val="111111"/>
          <w:sz w:val="28"/>
          <w:szCs w:val="28"/>
          <w:rtl/>
        </w:rPr>
        <w:t xml:space="preserve">خط: نستعلیق، بی کا، بی تا، کاغذ: نخودی، جلد: تیماج،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[رایانه]</w:t>
      </w:r>
    </w:p>
    <w:p>
      <w:pPr>
        <w:pStyle w:val="Heading3"/>
      </w:pPr>
      <w:bookmarkStart w:id="1198" w:name="_Toc458"/>
      <w:r>
        <w:t>• البياض = السفينة / گوناگون / عربی و فارسی</w:t>
      </w:r>
      <w:bookmarkEnd w:id="1198"/>
    </w:p>
    <w:p>
      <w:pPr>
        <w:pStyle w:val="BookText"/>
      </w:pPr>
      <w:r>
        <w:rPr>
          <w:rFonts w:ascii="Times New Roman" w:hAnsi="Times New Roman" w:eastAsia="Times New Roman" w:cs="Times New Roman"/>
          <w:lang w:val="en-US" w:bidi="en-US"/>
          <w:color w:val="111111"/>
          <w:sz w:val="28"/>
          <w:szCs w:val="28"/>
          <w:rtl/>
        </w:rPr>
        <w:t xml:space="preserve">al-bayād = as-safīna</w:t>
      </w:r>
    </w:p>
    <w:p>
      <w:pPr>
        <w:pStyle w:val="BookText"/>
      </w:pPr>
      <w:r>
        <w:rPr>
          <w:rFonts w:ascii="IRNazanin" w:hAnsi="IRNazanin" w:eastAsia="IRNazanin" w:cs="IRNazanin"/>
          <w:lang w:bidi="fa-IR"/>
          <w:color w:val="111111"/>
          <w:sz w:val="28"/>
          <w:szCs w:val="28"/>
          <w:rtl/>
        </w:rPr>
        <w:t xml:space="preserve">دارای بندهایی بیشتر به نثر عربی و اندکی فارسی و نظم های عربی و اندکی فارسی. چنین است بندهایی که به خط تازه تری در آن آمده: ۱-نثر اللئالی؛ طبرسی، فضل بن حسن؛ ۲-القصيدة؛ ابن فارض، عمر بن علی؛ ۳-قصیده میمیه؛ نصیر اصفهانی، محمد بن عبدالله؛ ۴- قصيده لامیه؛ نصیر اصفهانی، محمد بن عبدالله؛ ۵ سه بیت به قافیه؛ نصیر اصفهانی، محمد بن عبدالله، ۶-قصيده نونيه؛ نصیر اصفهانی، محمد بن عبد الله؛ ۷-قصیده یائیه؛ نصیر اصفهانی، محمد بن عبدالله. پس از این بندهای منثور است به خط کهن ۷۵۴ بدین گونه: الطواسين (۱۸ر)، فصول لابن العميد البعض اهل نیشابور، ما يجري مجرى الامثال من کلام شمس المعالی قابوس الوشمگیر، مارای عبدالملک بن مروان في قبة عظيمة مما كتب عليها و على القبر من نظم و نثر من كلمات مسجعة مقفاة تشتمل على الحكم و الآداب بترتيب الحروف، کلمات قصار من الزهاد و العلماء و المتصوفة و الحكماء اليونانيين و الرسول، کلام عشرة من الحكماء اجتمعوا عهد الاسكندر، کتب بعض البلغا و خطبهم، کلام ابی العلاء الحسين بن سهلویه الكاتب، الجاحظ، ابو حيان، وصية ارسطو للاسکندر، امیروس الشاعر، وصية لأفلاطون في تأديب الأحداث، کلام رسول ارسطاطالیس عند الاسكندر، آداب ابن المقفع و وصاياه، کلام ابي نصر الفارابی، وصايا العامري و آدابه، خبر و دعاء، كلمات الموبذ و الحكماء و الجاحظ و العامري و السجستانی، و غيرهم، مستخرج من كتاب برء الساعة لمحمد بن زکریا، فوائد ملتقطات من كلام الحكماء الأربعة المتقدمین: فیثاغورث و سقراط و افلاطون و ارسطوطاليس، اربعون اسما من اسماء الله تعالی و لكل اسم منها خاصية، نسخة كتاب للشيخ ابی سعید بن ابی الخير الى الشيخ الرئيس ابی علی بن سينا في السلوك، كلام الشيخ رئيس ابی علی بن سینا حين شرب الشراب قال مناجاة وقت ضحوة: اللهم ليس شریک ...، فوائد من كتاب الأحياء، کلام بطلميوس، رسالة لابن سينا الى الكليا ابي جعفر محمد بن الحسين بن محمد بن المرزبان، آداب العزلة من احیاء العلوم، مختارات من كتاب نثر الدرر تصنيف الامام منصور بن الحسين الآبي، نكت و نوادر للفلاسفة، نوادر للفرس، مواعظ للزهاد، رسالة عرفانية في فصول: بسمك اللهم لا اله غيرك عز ثناؤك و تبارک کبریاؤ ک ... فهذه سوانح غيبية و مواهب عينية سخت من موهبة الكمال على مذاق الوقت و الحال تذكرة لأهل العيان تبصرة لأهل البيان ... فصل الحقيقه رؤية لأروية عیان کشف لا کشف مشاهدة الامواضعة (به خط نسخ کهن ریزتر در دو صفحه)، المختارات من ربيع الابرار، من دعوات افلاطن، من ربيع الابرار، مختارات من نوادر الفلاسفة، الخطبة الموقنة على برواية على بن محمد بن ابي الحسن علی بن عبدالصمد بن محمد التميمي السبزواری عن ابيه عن أبيه عن أبي البركات على بن الحسين الخوزی عن ابی جعفر محمد بن على بن بابويه القمي عن الجلودي عن محمد بن زكريا الجوهری، من کلام فخر الدين الرازي في التفسير، ما كتب الرازي الى السيد صدرالدین علی بن ناصر الحسینی السرخسی المقيم بنیشابور، خطبة افلاطون الحكيم الالهي التي ذكرها ابوبشر النوفلي في نوادر الحكماء اليونانيين، فصول لابی منصور الحلاج، وصیت نامه حکیمی که پسر خود را گفت، من وصايا افلاطون، مواعظ مشتملة على تزكية النفس و تحذيرها من الأخلاق الردية مستخرجة من كلام الحكيم افلاطون كلها على طريق مخاطبة مع نفسه (معاذلة النفس هر مس نیمه فصل ۲)، اثنی عشرة كلمة من التورية كتبها كعب الأحبار و علقها من عنقه و كان ينظر كل يوم فيها ثلث مرات، النمط التاسع في مقامات العارفين مع شرح الطوسی، ایضا مع شرح الرازی، سئوال و جواب في المزاج للكاتبی و الطوسی، رسالة الشيخ ابي على ابن سينا في النفس و المعاد في سبعة فصول، فائدة من كتاب شرح عيون الحكمة، رسالة للشيخ الرئيس ابی علی ابن سینا قدس الله ضريحه الى بعض اخوانه ينصحه «لو طرق للعاقل إلى صروف المعروف عن المعارف ... (فيه حجج عشرة) .. بفضله و احسانه» (مهدوی ش ۴۳)، قال دلربا حواردستانی (؟) سمعت هذا الدعاء من رتن ابن فیروز الهندى الاصل الساكن بهرسه (؟) سر نديب، في منزل العسكر للشيخ الرئيس، دعاء الصباح لعلی (عليه السلام)، العهد لابن سینا (مهدوی ش ۹۲/۱ )، فصل وجد بخط الرئيس: «ليس يصح أن يقال لما تشاكلت الأجسام في الجسيمة و اقترنت بانها تتحرک بالارادة أولا تتحرك فلها اختلف بمبدء هو النفس ... »، القول في النفس المختصر من کتاب ارسطو و فلاطن و سائر الفلاسفة لابی سف يعقوب بن اسحق الكندي، رسالة العشق لابن سینا (نوشته فتح الله کاتبی قزوینی در قلعه «قلاة البندر» در ۷۵۴) معاذلة النفس هرمس المثلث بالحكمظ و الفضيلة يعني انه يعرف الاشياء و يعرف ما يعرف به الأشياء و يعرف أنه يعرفها (۱۳ فصل)، من فوائد الشيخ الرئيس رحمه الله «و بعد فان اكمل الناس عقلا و اصوبهم را یا ... من سحن نظره لنفسه و عمل لمثواه في رمسه ... و لاحكم النافعة و المعارف الناصعة و الحمدلله رب العالمين» (یک صفحه)، عهد بخط المأمون بن هارون لعلی بن موسی بن جعف رولی عهده يوم الاثنين لسبع خلون من شهر رمضان سنة احدی و مأتین، خط الرضا (عليه السلام)في جوابه في رمضان سنة احدی و مأتن مع شهادة الشهود، دعاء لعلى(عليه السلام)، ندبة لزين العابدین برواية محمد بن على بن دقاق، فصل اخذ من جاویدان خرد، فوائد من تاريخ الكماء، تفسير سورة الدهر (به عربی و ادبی و کلامی از آیه ۱۷ تا آیه ۲۱ و آغاز و انجام افتاده) شعرهای این سرایندگان در آن هست به خط کهن: ابو جعفر، ابو العتاهية، يحیی بن معاذ، حسین بن منصور حلاج، احمد بن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50" w:name="pg20363_209373"/>
    <w:bookmarkEnd w:id="150"/>
    <w:p>
      <w:pPr>
        <w:pStyle w:val="BookText"/>
      </w:pPr>
      <w:r>
        <w:rPr>
          <w:rFonts w:ascii="IRNazanin" w:hAnsi="IRNazanin" w:eastAsia="IRNazanin" w:cs="IRNazanin"/>
          <w:lang w:bidi="fa-IR"/>
          <w:color w:val="111111"/>
          <w:sz w:val="28"/>
          <w:szCs w:val="28"/>
          <w:rtl/>
        </w:rPr>
        <w:t xml:space="preserve">خلف، معنید الدین ابوالمحاسن، على (عليه السلام)، ابن المعتز، القسم، ابولاحسن علی بن عبد العزيز گرگانی، ابن سعید رستمی، ابن عباس ضبی، ابودلف خزرجی، ابوالفياض سعد بن احمد الطبری، الشريف ابن الحسن الموسوی، ابن محمد بن احمد الخازن، المعری، ابوالفرج الساوی، ابوبکر بن شوذونه الفارسی، ابوبکر هبة الله بن الحسن الشيرازي المعروف بابن العلاف، القاضی ابوالحسن علی بن عبدالعزيز، صديق لابن خلاد القاضی الرامهرمزي في رثاه، القاضی ابو الحسن علی بن عبدالعزيز، ابوهاشم العلوى الطبری، ابوتمام، البحتری، المأمون، ابوالفتح البستی، انشاء الرضا عليه السلام اللمأمون، بشر بن حازم، الأفوه الازدی، اسود بن يعفر، حاتم الطائي، افيون التفليسی، لبید، کعب بن زهیر حسان بن ثابت، الشماخ، الحاسر، ابن مباله، ابونواس، مسلم بن الوليد، العيسای، محمود الوراق، الباهلی، ابوسعد المخزومی، دعبل الخزاعی، علی بن الجهم، اشيح السلمی، ابن ابی فتن، یزید بن محمد المهلبی، ابن طباطبا العلوي، منصور العقيه، ابن بسام، کشاجم، ابو اسحق الصلدی، ابن نباتة، ابوطالب المأمونی، ابوبكر الخوارزمی، ابن لنگک البصری، ابو اسحق السلامي، السيد الرضی، جمال الدین یاقوت الكاتب، الجوهری، المبرد، افضل الدين الماهابادی، الملک فنا خسرو، الوزير المغربی، شهاب الدين المقتول، ابن نوح النصرانی، ابن هرمة، قصيدة وجدت في خزانة المأمون سميت باليتيمة الحكمية، ابوالحسن علی بن محمد التهامی، ابو فراس، دعاء عن الصادق، فرعون التمیمی، موسی بن عبد الله، مالک بن دینار، ابن الرومی، افضل الدين، الامام الكبير العلامة زين العابدین سید الائمة محمد بن ابی نصر في مرضه الذي توفي فيه في التوسل بالائمة الاثنی عشر و المناجاة، الشيخ كما لالدين البحرانی، ابن المبارک، السيد كمال الدين ابو الحسن علی بن محمد، علی بن محمد، علی بن ابی منصور الفراهانی البرزابادي، الكاظم(عليه السلام)، ابراهيم الخواص، الامام السعيد قطب الدين الراوندی، الشافعی، محمد بن علی ابن ] الحسن بن علی بن ابی طالب، المفيد القاشانی، ابن نباتة السعدي، الباخرزی، الحلاج، الحبشی، حمید الدین البلخی، ابوبکر الخباز الامی، ابو اسحق الصابی، ابوفراس، حميد الدين البلخی، السيد مجدالدين، السرى الكندي الرفاء، کامل الدين اللنبانی، بکر النطاح التهامی، شهاب الدين ابو الشرف الجربادقانی، العباس بن الأحنف، ابوبكر الشبلي، الخشیشی، ابن دوست، المكالی، الميكالی، علی بن ابی منصور الفراهانی، احمد الغزالی، ابونصر الفارابی، ابی عبدالله محمد بن الخفيف، الجنيد البغدادي، قاضی نظام الدین، ابن سینا، ابن سمكة القمي و ابن العميد و مفاوضتهما، عزالدولة ابن کمونه، ابوعلى الرودباری، محمد الجنيد، ابو یزید البسطامی، ابو محمد عبدالله الخوارزمی، فاطمه(عليه السلام)، عائشه، مجنون العامري، ابو على بن الرشید، عزالدين الكاشی، ابن المقبل، مؤید بن امیل، ابی حنیفه، محيي الدين ابن العربی، ابو سعید المخزومي، العباس البكري، القاضي عبدالعزيز الجرجانی،  عمرو بن معدی کرب، بندار رازی: بشهر ری بمنبر بر یکی روج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همی گت واعظی زین هرزه لایی / که هفت اعضای مردم روز محشر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ده بر کردهای خود گوایی / زنی بر بانه می زد دست و میگفت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و سه ژاژا که ته آن روج خایی؛ الحاجری، يونس بن خليل، ابن سنائ الملک (ایندو بخط نستعلیق ریز تازه)، مولی جلال الدین، اوحد الدين الكرمانی، خواجه افضل الدين کاشی، جارالله العالمه، لمولاي فخر الدين، الصاحب، بیتان للحكیم ابي العباس اللوكری و قد أمر أن يكتب على قبره، حسین بن علی بن ابی طالب، ابو احمد عبيد الله بن عبدالله بن طاهر (به خط نستعلق ریز تازه)، بهاء زهير (به نسخ دیگر و تازه تر)، الشيخ الكامل جمال الدین الگیلی و جوابه (شعر عربی)، شمس المعالی قابوس الوشمگیر، عین القضاة، المهبلی، بشار، ابن حمامه، احمد، القاضي، ابو عينيه، عبيد الله، الباخرزی، الصالح، ابن طباطبا، الشيخ العارف نجم الدین اسرائيل بن خضر بن اسرائيل الشيبانی، الصاحب شمس الدين الى ابنه بهاء الدين (شعر فارسی)، خواجه بهاء الدين (سعدی)، المرتضی، ابوالشبل البغدادی، یزید بن معاوية، ابوالحسن الاخفش النحوي (این چهار تا به خط نستعلیق ریز تازه تر)، زهير المصري، مرتضی بن احمد المکی، القاضي الأرجاني، الكافي العماني، ابي الحسن البلخی، الاستاد اسماعیل، السری، ابوالفرج الببغاء ابن الفارض، احمد القاینی، ابو على العثماني، عمر بن عبدالله بن ابی ربیعه، حسین بن ضحاک، الجنيد، رشيد الدين الوطواط، الصابی، ابي الحسن علی بن حمزة الاندلسي الضرير، ابو سعد بن يرقم، الاستاذ ابوغالب القمی، المتنبی، عمر بن ابی ربیعه، ابی وردی، البهاء السنجاری، ابی جعفر الفيروز آبادی، اثير الدين الأبهري، السيد عماد الدين، لو کری دعویدار. (دانش پژوه)</w:t>
      </w:r>
    </w:p>
    <w:p>
      <w:pPr>
        <w:pStyle w:val="BookText"/>
      </w:pPr>
      <w:r>
        <w:rPr>
          <w:rFonts w:ascii="IRNazanin" w:hAnsi="IRNazanin" w:eastAsia="IRNazanin" w:cs="IRNazanin"/>
          <w:lang w:bidi="fa-IR"/>
          <w:color w:val="111111"/>
          <w:sz w:val="28"/>
          <w:szCs w:val="28"/>
          <w:rtl/>
        </w:rPr>
        <w:t xml:space="preserve">تهران؛ مهدوی؛ شماره نسخه: ۵۹۱</w:t>
      </w:r>
    </w:p>
    <w:p>
      <w:pPr>
        <w:pStyle w:val="BookText"/>
      </w:pPr>
      <w:r>
        <w:rPr>
          <w:rFonts w:ascii="IRNazanin" w:hAnsi="IRNazanin" w:eastAsia="IRNazanin" w:cs="IRNazanin"/>
          <w:lang w:bidi="fa-IR"/>
          <w:color w:val="111111"/>
          <w:sz w:val="28"/>
          <w:szCs w:val="28"/>
          <w:rtl/>
        </w:rPr>
        <w:t xml:space="preserve">خط: نسخ، كا: فتح الله کاتبی قزوینی، تا: ۷۵۴ق، جا: قلاة بندر؛ افتادگی: آغاز و وسط و انجام؛ نستعلیق قرن ۱۲؛ با یادداشت روز یک شنبه شوال ۱۲۸۲؛ کاغذ: فرنگی و سمرقندی، جلد: تیماج مشکی، ۲۹۵گ، قطع: بياضي [نشریه: ۲-۱۳۹]</w:t>
      </w:r>
    </w:p>
    <w:p>
      <w:pPr>
        <w:pStyle w:val="BookText"/>
      </w:pPr>
      <w:r>
        <w:rPr>
          <w:rFonts w:ascii="IRNazanin" w:hAnsi="IRNazanin" w:eastAsia="IRNazanin" w:cs="IRNazanin"/>
          <w:lang w:bidi="fa-IR"/>
          <w:color w:val="111111"/>
          <w:sz w:val="28"/>
          <w:szCs w:val="28"/>
          <w:rtl/>
        </w:rPr>
        <w:t xml:space="preserve">تهران؛ دانشگاه؛ شماره نسخه: ۱۵۴۲-ف</w:t>
      </w:r>
    </w:p>
    <w:p>
      <w:pPr>
        <w:pStyle w:val="BookText"/>
      </w:pPr>
      <w:r>
        <w:rPr>
          <w:rFonts w:ascii="IRNazanin" w:hAnsi="IRNazanin" w:eastAsia="IRNazanin" w:cs="IRNazanin"/>
          <w:lang w:bidi="fa-IR"/>
          <w:color w:val="111111"/>
          <w:sz w:val="28"/>
          <w:szCs w:val="28"/>
          <w:rtl/>
        </w:rPr>
        <w:t xml:space="preserve">نسخه اصل: همان نسخه بالا [فیلمها ف: ۱-۲۹۱]</w:t>
      </w:r>
    </w:p>
    <w:p>
      <w:pPr>
        <w:pStyle w:val="Heading3"/>
      </w:pPr>
      <w:bookmarkStart w:id="1199" w:name="_Toc459"/>
      <w:r>
        <w:t>• بیاض / دعا / عربی</w:t>
      </w:r>
      <w:bookmarkEnd w:id="1199"/>
    </w:p>
    <w:p>
      <w:pPr>
        <w:pStyle w:val="BookText"/>
      </w:pPr>
      <w:r>
        <w:rPr>
          <w:rFonts w:ascii="Times New Roman" w:hAnsi="Times New Roman" w:eastAsia="Times New Roman" w:cs="Times New Roman"/>
          <w:lang w:val="en-US" w:bidi="en-US"/>
          <w:color w:val="111111"/>
          <w:sz w:val="28"/>
          <w:szCs w:val="28"/>
          <w:rtl/>
        </w:rPr>
        <w:t xml:space="preserve">Bayāz</w:t>
      </w:r>
    </w:p>
    <w:p>
      <w:pPr>
        <w:pStyle w:val="BookText"/>
      </w:pPr>
      <w:r>
        <w:rPr>
          <w:rFonts w:ascii="IRNazanin" w:hAnsi="IRNazanin" w:eastAsia="IRNazanin" w:cs="IRNazanin"/>
          <w:lang w:bidi="fa-IR"/>
          <w:color w:val="111111"/>
          <w:sz w:val="28"/>
          <w:szCs w:val="28"/>
          <w:rtl/>
        </w:rPr>
        <w:t xml:space="preserve">مشتمل بر دعای جوشن کبیر و جوشن صغیر .</w:t>
      </w:r>
    </w:p>
    <w:p>
      <w:pPr>
        <w:pStyle w:val="BookText"/>
      </w:pPr>
      <w:r>
        <w:rPr>
          <w:rFonts w:ascii="IRNazanin" w:hAnsi="IRNazanin" w:eastAsia="IRNazanin" w:cs="IRNazanin"/>
          <w:lang w:bidi="fa-IR"/>
          <w:color w:val="111111"/>
          <w:sz w:val="28"/>
          <w:szCs w:val="28"/>
          <w:rtl/>
        </w:rPr>
        <w:t xml:space="preserve">اصفهان؛ دانشگاه؛ شماره نسخه: ۷۳۲</w:t>
      </w:r>
    </w:p>
    <w:p>
      <w:pPr>
        <w:pStyle w:val="BookText"/>
      </w:pPr>
      <w:r>
        <w:rPr>
          <w:rFonts w:ascii="IRNazanin" w:hAnsi="IRNazanin" w:eastAsia="IRNazanin" w:cs="IRNazanin"/>
          <w:lang w:bidi="fa-IR"/>
          <w:color w:val="111111"/>
          <w:sz w:val="28"/>
          <w:szCs w:val="28"/>
          <w:rtl/>
        </w:rPr>
        <w:t xml:space="preserve">خط: نسخ معرب زیبا، بی کا، تا: قرن ۱۳؛ دارای سرلوح زرین و رنگین با حاشیه سازی گل و بوته به نقش اسلیمی، مجدول؛ جلد: تیماج مشکی بدون مقوا، ۵۴ گ، ۱۱سطر،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سم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51" w:name="pg20363_209374"/>
    <w:bookmarkEnd w:id="151"/>
    <w:p>
      <w:pPr>
        <w:pStyle w:val="BookText"/>
      </w:pPr>
      <w:r>
        <w:rPr>
          <w:rFonts w:ascii="IRNazanin" w:hAnsi="IRNazanin" w:eastAsia="IRNazanin" w:cs="IRNazanin"/>
          <w:lang w:bidi="fa-IR"/>
          <w:color w:val="111111"/>
          <w:sz w:val="28"/>
          <w:szCs w:val="28"/>
          <w:rtl/>
        </w:rPr>
        <w:t xml:space="preserve">[ف: ۲-۵۵۹]</w:t>
      </w:r>
    </w:p>
    <w:p>
      <w:pPr>
        <w:pStyle w:val="Heading3"/>
      </w:pPr>
      <w:bookmarkStart w:id="1200" w:name="_Toc460"/>
      <w:r>
        <w:t>• بیاض / گوناگون / عربی</w:t>
      </w:r>
      <w:bookmarkEnd w:id="1200"/>
    </w:p>
    <w:p>
      <w:pPr>
        <w:pStyle w:val="BookText"/>
      </w:pPr>
      <w:r>
        <w:rPr>
          <w:rFonts w:ascii="Times New Roman" w:hAnsi="Times New Roman" w:eastAsia="Times New Roman" w:cs="Times New Roman"/>
          <w:lang w:val="en-US" w:bidi="en-US"/>
          <w:color w:val="111111"/>
          <w:sz w:val="28"/>
          <w:szCs w:val="28"/>
          <w:rtl/>
        </w:rPr>
        <w:t xml:space="preserve">bayāz</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IRNazanin" w:hAnsi="IRNazanin" w:eastAsia="IRNazanin" w:cs="IRNazanin"/>
          <w:lang w:bidi="fa-IR"/>
          <w:color w:val="111111"/>
          <w:sz w:val="28"/>
          <w:szCs w:val="28"/>
          <w:rtl/>
        </w:rPr>
        <w:t xml:space="preserve">۱. تهران: مجلس؛ شماره نسخه: ۶۸۲۵</w:t>
      </w:r>
    </w:p>
    <w:p>
      <w:pPr>
        <w:pStyle w:val="BookText"/>
      </w:pPr>
      <w:r>
        <w:rPr>
          <w:rFonts w:ascii="IRNazanin" w:hAnsi="IRNazanin" w:eastAsia="IRNazanin" w:cs="IRNazanin"/>
          <w:lang w:bidi="fa-IR"/>
          <w:color w:val="111111"/>
          <w:sz w:val="28"/>
          <w:szCs w:val="28"/>
          <w:rtl/>
        </w:rPr>
        <w:t xml:space="preserve">در این بیاض مطالبی بدین عناوین آمده است: اشعاری از: ابن السكيت، صلاح الدين صفدي، عنترة بن شداد عبسی، غزی، فرزدق، منازی، ابن سینا، کعب بن زهير، ابوبکر، عبدالله بن زیعری سهمی، عمرو بن حارث بن مضاض جرهمی، مهلهل، شریف رضی، عمارة اليمن، ابوالعباس تغلب، نجدی، زین العابدین بکری، ابوالحسن علی بن محمد تهامی، سید سلیمان کاتب حموی، شیخ صادق خراط، محيي الدين عربی، شیخ عبد الغني، قاضی محیی الدين بن كمال الدين، ابن المعتز، احمد عنایانی، نجم الدين ابوالغنائم محمد بن على بن المعلم، احمد بن أبي القاسم خلوف، تلعفری، ابراهیم چلبی سفر جلانی، مبرد، شیخ عبدالسلام، منجک پاشا، وزیر ابواسحاق ابراهيم بن ابی الفتح بن خفاجه، باحرانی، ابوالبحر، حجازی، مضريه المعلمی، ابواحمد بن ابی بکر کاتب، بنت العرندس، ابوعبدالله شمس الدين محمد بن احمد بن جابر اندلسی، قاضی ناصر الدين، ابن الوردی، ابن زقاعه، شیخ برهان الدين قيراطی، ابن لولو ذهبی، فیومی، ابوعباده بحتری، نصرالله بن الخازن، ابن منصور، ابو عثمان الناظم، ابو نواس، على بن الهجم، دیک الجن، ابو عبدالله خليع شامی، امیه بن ابی الصلت اندلسی، ابوبکر عطار، عمرو بن كلثوم، عمرو بن معدیکرب، کمال الدين شهرزوری، ابن الهباريه، ابن وكيع، جریر بن عبد المسيح، ابن قزل، ظافر الحداد، شهاب الدين محمود، محمد بن تمیم، ابوعط سندی، محبو که طغرائی، سيف الدين بن المشد، صابی، ابو عبدالله حسین بن احمد بن حجاج، ابن سودان، ابی العلاء معری، ابومدين، ابن الدمينه، لبید بن ابی ربیعه بن عامر بن مالك بن جعفر بن کلاب بن ربیعه، نواجی، ابن ادهم، ابن جابر اندلسی، عبدالقادر گیلانی، اصبغ بن محمد قرطبی، ابوالهيفا، ابن النقيب. و نیز مطالب و فوائد پراکنده ای به نثر از ابوالعباس مبرد، ارسطو، یحیی بن خالد برمکی، کتاب روض الانف، احمد ابن الجوزی و نامه ای از محمد طيلونی مصری به قاضی عمر مغربی و فوائدی پزشکی آمده است؛ خط: نسخ، بی کا، تا: قرن ۱۳؛ مصحح؛ تملک: جعفر السلطان القرائی؛ مهر: کتابخانه «سلطان القرائی»؛ جلد: تیماج</w:t>
      </w:r>
    </w:p>
    <w:p>
      <w:pPr>
        <w:pStyle w:val="BookText"/>
      </w:pPr>
      <w:r>
        <w:rPr>
          <w:rFonts w:ascii="IRNazanin" w:hAnsi="IRNazanin" w:eastAsia="IRNazanin" w:cs="IRNazanin"/>
          <w:lang w:bidi="fa-IR"/>
          <w:color w:val="111111"/>
          <w:sz w:val="28"/>
          <w:szCs w:val="28"/>
          <w:rtl/>
        </w:rPr>
        <w:t xml:space="preserve">مشکی بدون مقوا، ۲۵ سطر [ف: ۲۰-۲۸۷]</w:t>
      </w:r>
    </w:p>
    <w:p>
      <w:pPr>
        <w:pStyle w:val="BookText"/>
      </w:pPr>
      <w:r>
        <w:rPr>
          <w:rFonts w:ascii="IRNazanin" w:hAnsi="IRNazanin" w:eastAsia="IRNazanin" w:cs="IRNazanin"/>
          <w:lang w:bidi="fa-IR"/>
          <w:color w:val="111111"/>
          <w:sz w:val="28"/>
          <w:szCs w:val="28"/>
          <w:rtl/>
        </w:rPr>
        <w:t xml:space="preserve">۲. مشهد؛ مدرسه آية الله خوئی؛ شماره نسخه: ۴۲۳</w:t>
      </w:r>
    </w:p>
    <w:p>
      <w:pPr>
        <w:pStyle w:val="BookText"/>
      </w:pPr>
      <w:r>
        <w:rPr>
          <w:rFonts w:ascii="IRNazanin" w:hAnsi="IRNazanin" w:eastAsia="IRNazanin" w:cs="IRNazanin"/>
          <w:lang w:bidi="fa-IR"/>
          <w:color w:val="111111"/>
          <w:sz w:val="28"/>
          <w:szCs w:val="28"/>
          <w:rtl/>
        </w:rPr>
        <w:t xml:space="preserve">در بر گیرنده ادعيه متفرقه مشهوره؛ بی کا، تا: قرن ۱۱ و ۱۳ [اوراق عتیق: ۱- ۲۴۲]</w:t>
      </w:r>
    </w:p>
    <w:p>
      <w:pPr>
        <w:pStyle w:val="BookText"/>
      </w:pPr>
      <w:r>
        <w:rPr>
          <w:rFonts w:ascii="IRNazanin" w:hAnsi="IRNazanin" w:eastAsia="IRNazanin" w:cs="IRNazanin"/>
          <w:lang w:bidi="fa-IR"/>
          <w:color w:val="111111"/>
          <w:sz w:val="28"/>
          <w:szCs w:val="28"/>
          <w:rtl/>
        </w:rPr>
        <w:t xml:space="preserve">٣. شیراز؛ علامه طباطبائی؛ شماره نسخه: ۱۴۹۳</w:t>
      </w:r>
    </w:p>
    <w:p>
      <w:pPr>
        <w:pStyle w:val="BookText"/>
      </w:pPr>
      <w:r>
        <w:rPr>
          <w:rFonts w:ascii="IRNazanin" w:hAnsi="IRNazanin" w:eastAsia="IRNazanin" w:cs="IRNazanin"/>
          <w:lang w:bidi="fa-IR"/>
          <w:color w:val="111111"/>
          <w:sz w:val="28"/>
          <w:szCs w:val="28"/>
          <w:rtl/>
        </w:rPr>
        <w:t xml:space="preserve">شامل تفسیر قرآن، حدیث و ادعیه؛ خط: نستعلیق، بی کا، بی تا؛ ۱۲۳ گ،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(نسخه پژوهی: ۲-۱۲۰]</w:t>
      </w:r>
    </w:p>
    <w:p>
      <w:pPr>
        <w:pStyle w:val="BookText"/>
      </w:pPr>
      <w:r>
        <w:rPr>
          <w:rFonts w:ascii="IRNazanin" w:hAnsi="IRNazanin" w:eastAsia="IRNazanin" w:cs="IRNazanin"/>
          <w:lang w:bidi="fa-IR"/>
          <w:color w:val="111111"/>
          <w:sz w:val="28"/>
          <w:szCs w:val="28"/>
          <w:rtl/>
        </w:rPr>
        <w:t xml:space="preserve">۴. مشهد؛ مدرسه آية الله خوئی؛ شماره نسخه: ۳۷۵</w:t>
      </w:r>
    </w:p>
    <w:p>
      <w:pPr>
        <w:pStyle w:val="BookText"/>
      </w:pPr>
      <w:r>
        <w:rPr>
          <w:rFonts w:ascii="IRNazanin" w:hAnsi="IRNazanin" w:eastAsia="IRNazanin" w:cs="IRNazanin"/>
          <w:lang w:bidi="fa-IR"/>
          <w:color w:val="111111"/>
          <w:sz w:val="28"/>
          <w:szCs w:val="28"/>
          <w:rtl/>
        </w:rPr>
        <w:t xml:space="preserve">مجموعه ای از اشعار، مطالب دینی و تاریخی به عربی، جامع آن ظاهرة از علمای عامه است. این جنگ در خور تأمل و وارسی بیشتر است؟ بی کا، بی تا [اوراق عتیق: ۱-۲۴۲]</w:t>
      </w:r>
    </w:p>
    <w:p>
      <w:pPr>
        <w:pStyle w:val="Heading3"/>
      </w:pPr>
      <w:bookmarkStart w:id="1201" w:name="_Toc461"/>
      <w:r>
        <w:t>•بیاض / گوناگون / عربی، فارسی</w:t>
      </w:r>
      <w:bookmarkEnd w:id="1201"/>
    </w:p>
    <w:p>
      <w:pPr>
        <w:pStyle w:val="BookText"/>
      </w:pPr>
      <w:r>
        <w:rPr>
          <w:rFonts w:ascii="Times New Roman" w:hAnsi="Times New Roman" w:eastAsia="Times New Roman" w:cs="Times New Roman"/>
          <w:lang w:val="en-US" w:bidi="en-US"/>
          <w:color w:val="111111"/>
          <w:sz w:val="28"/>
          <w:szCs w:val="28"/>
          <w:rtl/>
        </w:rPr>
        <w:t xml:space="preserve">bayāz</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IRNazanin" w:hAnsi="IRNazanin" w:eastAsia="IRNazanin" w:cs="IRNazanin"/>
          <w:lang w:bidi="fa-IR"/>
          <w:color w:val="111111"/>
          <w:sz w:val="28"/>
          <w:szCs w:val="28"/>
          <w:rtl/>
        </w:rPr>
        <w:t xml:space="preserve">۱. تهران: مجلس، شماره نسخه: ۱۵۸۶۶</w:t>
      </w:r>
    </w:p>
    <w:p>
      <w:pPr>
        <w:pStyle w:val="BookText"/>
      </w:pPr>
      <w:r>
        <w:rPr>
          <w:rFonts w:ascii="IRNazanin" w:hAnsi="IRNazanin" w:eastAsia="IRNazanin" w:cs="IRNazanin"/>
          <w:lang w:bidi="fa-IR"/>
          <w:color w:val="111111"/>
          <w:sz w:val="28"/>
          <w:szCs w:val="28"/>
          <w:rtl/>
        </w:rPr>
        <w:t xml:space="preserve">آغاز: جعفر عن قول الله سيطوقون ما بخلوا به يوم القيمة قال ما من عبد يمنع زکوة؛ انجام: و این هر دو بهم جمع شوند اینست که ما نه دین نه دنیا داریم ...</w:t>
      </w:r>
    </w:p>
    <w:p>
      <w:pPr>
        <w:pStyle w:val="BookText"/>
      </w:pPr>
      <w:r>
        <w:rPr>
          <w:rFonts w:ascii="IRNazanin" w:hAnsi="IRNazanin" w:eastAsia="IRNazanin" w:cs="IRNazanin"/>
          <w:lang w:bidi="fa-IR"/>
          <w:color w:val="111111"/>
          <w:sz w:val="28"/>
          <w:szCs w:val="28"/>
          <w:rtl/>
        </w:rPr>
        <w:t xml:space="preserve">کشکولی است بیاضی شكل شامل فواید پراکنده در موضوعات مختلف بیشتر به نثر عربی و گاهی به فارسی و اندکی به نظم فارسی یا عربی. عناوین برخی از مندرجات: نقل از خط شهید اول که در آخرش آمده: «و كتب الفقير إلى عفو ربه الغني محمد باقر بن محمد تقی عفی الله عن جرائمهما بمحمد و آله». تفسیر آیه</w:t>
      </w:r>
    </w:p>
    <w:p>
      <w:pPr>
        <w:pStyle w:val="BookText"/>
      </w:pPr>
      <w:r>
        <w:rPr>
          <w:rFonts w:ascii="IRNazanin" w:hAnsi="IRNazanin" w:eastAsia="IRNazanin" w:cs="IRNazanin"/>
          <w:lang w:bidi="fa-IR"/>
          <w:color w:val="111111"/>
          <w:sz w:val="28"/>
          <w:szCs w:val="28"/>
          <w:rtl/>
        </w:rPr>
        <w:t xml:space="preserve">ربنا آتنا في الدنيا حسنة وفي الآخرة حسنة وقنا عذاب النار، زیارت کاظمين(عليه السلام)، زیارت عسکریین، زیارت رجبیه، زیارت امام حسین(عليه السلام)در شب و روز عرفه، زیارت العلماء، زیارت حضرت معصومه (عليها السلام)، به نقل از تحفة الزائر، زیارت هفتم امام حسین(عليه السلام)، نقلی از مصباح الشریعه، نقلی از کشکول ابیاتی از محتشم، ابیاتی با امضای «لمحرره احمد» روایات و حکایات مختلف، كلمات حكما، ابیاتی از شیخ بهایی، ابیاتی از ملا نظام استر آبادی، نامه غزالی به نظام الملک، فایده ای با عنوان «من خط جدی رحمه الله» نقلی از التلويحات، ابیاتی از قاضی میر حسین یزدی، نقلی از کتاب ورام، ابیاتی از دیوان منسوب به امیرالمؤمنین، ابیاتی از امیر خسرو، نقلی از مکارم الاخلاق، ابیاتی از سعدی و عطار و حسن دهلوی و مولوی و درویش على؛ خط: تحریری، بی کا، تا: قرن ۱۲؛ افتادگی: آغاز و انجام؛ جلد: تیماج فرنگی، ۱۶۷گ، ۱۸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سم [ف: ۴۴-۱۰۵]</w:t>
      </w:r>
    </w:p>
    <w:p>
      <w:pPr>
        <w:pStyle w:val="BookText"/>
      </w:pPr>
      <w:r>
        <w:rPr>
          <w:rFonts w:ascii="IRNazanin" w:hAnsi="IRNazanin" w:eastAsia="IRNazanin" w:cs="IRNazanin"/>
          <w:lang w:bidi="fa-IR"/>
          <w:color w:val="111111"/>
          <w:sz w:val="28"/>
          <w:szCs w:val="28"/>
          <w:rtl/>
        </w:rPr>
        <w:t xml:space="preserve">٢. اصفهان؛ دانشگاه؛ شماره نسخه: ۴۳۳</w:t>
      </w:r>
    </w:p>
    <w:p>
      <w:pPr>
        <w:pStyle w:val="BookText"/>
      </w:pPr>
      <w:r>
        <w:rPr>
          <w:rFonts w:ascii="IRNazanin" w:hAnsi="IRNazanin" w:eastAsia="IRNazanin" w:cs="IRNazanin"/>
          <w:lang w:bidi="fa-IR"/>
          <w:color w:val="111111"/>
          <w:sz w:val="28"/>
          <w:szCs w:val="28"/>
          <w:rtl/>
        </w:rPr>
        <w:t xml:space="preserve">مشتمل بر دعاهایی بدین عناوین: دعای مجیر، دعای بزوبند اما حسن(عليه السلام)، شرح دعای مجیر، دوازده امام خواجه، طریقه نماز خسوف و کسوف و نماز میت، احکام ستاره سکزیولدوز از ماه های ترکی، طريقه ذبح گوسفند برای بیمار و عقیقه، دعای گندم، دعای تربت امام حسین(عليه السلام)، دفع شر جن و انس، برخی از دعاها جهت بیماری، چند طلسم پراکنده، دعای عدلیه، ادعيه شبهای ماه رمضان، آداب قربانی نمودن، اعمال نوروز، دعاهای ایام هفته، تعقیبات نمازها، رؤیت هلال، اسناد مهر نبوت، دعای نادعلی، شرح دعای ماه مبارک رمضان، شرح دعای قدح، حرز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رضا(عليه السلام)دعای طیر اخضر و متفرقاتی دیگر، خط: نسخ معرب، بی کا، تا: قرن ۱۳؛ جلد: تیماج مشکی بدون مقوا، ۱۲۵گ، مختلف السطر، اندازه: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۲-۳۵۰]</w:t>
      </w:r>
    </w:p>
    <w:p>
      <w:pPr>
        <w:pStyle w:val="BookText"/>
      </w:pPr>
      <w:r>
        <w:rPr>
          <w:rFonts w:ascii="IRNazanin" w:hAnsi="IRNazanin" w:eastAsia="IRNazanin" w:cs="IRNazanin"/>
          <w:lang w:bidi="fa-IR"/>
          <w:color w:val="111111"/>
          <w:sz w:val="28"/>
          <w:szCs w:val="28"/>
          <w:rtl/>
        </w:rPr>
        <w:t xml:space="preserve">٣. اصفهان، دانشگاه؛ شماره نسخه: ۴۳۲</w:t>
      </w:r>
    </w:p>
    <w:p>
      <w:pPr>
        <w:pStyle w:val="BookText"/>
      </w:pPr>
      <w:r>
        <w:rPr>
          <w:rFonts w:ascii="IRNazanin" w:hAnsi="IRNazanin" w:eastAsia="IRNazanin" w:cs="IRNazanin"/>
          <w:lang w:bidi="fa-IR"/>
          <w:color w:val="111111"/>
          <w:sz w:val="28"/>
          <w:szCs w:val="28"/>
          <w:rtl/>
        </w:rPr>
        <w:t xml:space="preserve">خط: نستعلیق، بی کا، تا: دوشنبه ۲۸ صفر ۱۲۶۳ق، جهت سید حسینعلی بن عیدی بابا حیدری؛ جلد: تیماج مشکی بدون مقوا، ۱۶۰گ، ۹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۷سم [ف: ۲-۳۵۰]</w:t>
      </w:r>
    </w:p>
    <w:p>
      <w:pPr>
        <w:pStyle w:val="BookText"/>
      </w:pPr>
      <w:r>
        <w:rPr>
          <w:rFonts w:ascii="IRNazanin" w:hAnsi="IRNazanin" w:eastAsia="IRNazanin" w:cs="IRNazanin"/>
          <w:lang w:bidi="fa-IR"/>
          <w:color w:val="111111"/>
          <w:sz w:val="28"/>
          <w:szCs w:val="28"/>
          <w:rtl/>
        </w:rPr>
        <w:t xml:space="preserve">۴. شیراز؛ شاهچراغ؛ شماره نسخه: ۱۳۴</w:t>
      </w:r>
    </w:p>
    <w:p>
      <w:pPr>
        <w:pStyle w:val="BookText"/>
      </w:pPr>
      <w:r>
        <w:rPr>
          <w:rFonts w:ascii="IRNazanin" w:hAnsi="IRNazanin" w:eastAsia="IRNazanin" w:cs="IRNazanin"/>
          <w:lang w:bidi="fa-IR"/>
          <w:color w:val="111111"/>
          <w:sz w:val="28"/>
          <w:szCs w:val="28"/>
          <w:rtl/>
        </w:rPr>
        <w:t xml:space="preserve">آغاز: ۱- ادعیه بالاحسان إلى الفقراء ذکرکم بالجنة الماوي. ۲ رمل -باب رمل مقدار صد بیست (كذا) عدد سنگ یا نخود یا هر چه باشد در کیسه کند.؛ انجام: ۱- ادعیه علی ابن موسی الرضا عليه السلام و رحمة الله و بركاته؛ ۲- رمل -که در نوشتن این دو اسم بخواند با سلام دائم و السلام.</w:t>
      </w:r>
    </w:p>
    <w:p>
      <w:pPr>
        <w:pStyle w:val="BookText"/>
      </w:pPr>
      <w:r>
        <w:rPr>
          <w:rFonts w:ascii="IRNazanin" w:hAnsi="IRNazanin" w:eastAsia="IRNazanin" w:cs="IRNazanin"/>
          <w:lang w:bidi="fa-IR"/>
          <w:color w:val="111111"/>
          <w:sz w:val="28"/>
          <w:szCs w:val="28"/>
          <w:rtl/>
        </w:rPr>
        <w:t xml:space="preserve">شامل: 1- دعاهای مختلف ۲- خطبة البيان حضرت امیر المؤمنین(عليه السلام) 3- زیارت نامه ۴- مطالبی در علم رمل؛ خط: نسخ و نستعلیق؛ جلد: مقوا با کاغذ لاکی، ۹۱ بگ، عدد سطور و اندازه نوشته مختلف، اندازه: ۲۱۸۱۱سم [ف: ۱-۲۶۰]</w:t>
      </w:r>
    </w:p>
    <w:p>
      <w:pPr>
        <w:pStyle w:val="BookText"/>
      </w:pPr>
      <w:r>
        <w:rPr>
          <w:rFonts w:ascii="IRNazanin" w:hAnsi="IRNazanin" w:eastAsia="IRNazanin" w:cs="IRNazanin"/>
          <w:lang w:bidi="fa-IR"/>
          <w:color w:val="111111"/>
          <w:sz w:val="28"/>
          <w:szCs w:val="28"/>
          <w:rtl/>
        </w:rPr>
        <w:t xml:space="preserve">۵. شیراز؛ شاهچراغ؛ شماره نسخه: ۱۳۸</w:t>
      </w:r>
    </w:p>
    <w:p>
      <w:pPr>
        <w:pStyle w:val="BookText"/>
      </w:pPr>
      <w:r>
        <w:rPr>
          <w:rFonts w:ascii="IRNazanin" w:hAnsi="IRNazanin" w:eastAsia="IRNazanin" w:cs="IRNazanin"/>
          <w:lang w:bidi="fa-IR"/>
          <w:color w:val="111111"/>
          <w:sz w:val="28"/>
          <w:szCs w:val="28"/>
          <w:rtl/>
        </w:rPr>
        <w:t xml:space="preserve">آغاز: بسمله - يس و القرآن الحكيم این بیاض کوچک که برگهایش نامرتب صحافی شده شامل سوره یسن و مقداری اشعار فارسی و تعدادی دعا و طلسم است و چون بدون ترتیب صحافی شده آخر آن معلوم نشد؛ خط: نسخ و نستعلیق، بی کا، بی تا؛ چند جدول طلسمی؛ کاغذ: آبی، جلد: مقوا با کاغذ آبی، ۲۵۶ص، مختلف السطر، اندازه:</w:t>
      </w:r>
    </w:p>
    <w:p>
      <w:pPr>
        <w:pStyle w:val="BookText"/>
      </w:pPr>
      <w:r>
        <w:rPr>
          <w:rFonts w:ascii="IRNazanin" w:hAnsi="IRNazanin" w:eastAsia="IRNazanin" w:cs="IRNazanin"/>
          <w:lang w:bidi="fa-IR"/>
          <w:color w:val="111111"/>
          <w:sz w:val="28"/>
          <w:szCs w:val="28"/>
          <w:rtl/>
        </w:rPr>
        <w:t xml:space="preserve">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سم [ف: ۱-۲۶۰]</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شیراز؛ شاهچراغ؛ شماره نسخه: ۱۳۹</w:t>
      </w:r>
    </w:p>
    <w:p>
      <w:pPr>
        <w:pStyle w:val="BookText"/>
      </w:pPr>
      <w:r>
        <w:rPr>
          <w:rFonts w:ascii="IRNazanin" w:hAnsi="IRNazanin" w:eastAsia="IRNazanin" w:cs="IRNazanin"/>
          <w:lang w:bidi="fa-IR"/>
          <w:color w:val="111111"/>
          <w:sz w:val="28"/>
          <w:szCs w:val="28"/>
          <w:rtl/>
        </w:rPr>
        <w:t xml:space="preserve">آغاز: هو الله تعالى شأنه العزيز - نسخه جات ملاعبدا (كذا) بسمله - قانون مداومت این ختم این چنین است: ؛ انجام: س ع ف ص ق ر ش ت ث خ.</w:t>
      </w:r>
    </w:p>
    <w:p>
      <w:pPr>
        <w:pStyle w:val="BookText"/>
      </w:pPr>
      <w:r>
        <w:rPr>
          <w:rFonts w:ascii="IRNazanin" w:hAnsi="IRNazanin" w:eastAsia="IRNazanin" w:cs="IRNazanin"/>
          <w:lang w:bidi="fa-IR"/>
          <w:color w:val="111111"/>
          <w:sz w:val="28"/>
          <w:szCs w:val="28"/>
          <w:rtl/>
        </w:rPr>
        <w:t xml:space="preserve">این بیاض شامل مقداری ادعیه و طلسمات و جداول است برای بر آمدن حاجات و دفع بلیات. مقداری هم اشعار فارسی دارد؛ خط: نسخ و نستعلیق، بی کا، بی تا؛ کاغذ: سفید، جلد: مقوا با پارچه سبز، ۹۶گ، عدد سطور و اندازه نوشته مختلف، اندازه: ۲۱/۵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۱-۲۶۱]</w:t>
      </w:r>
    </w:p>
    <w:p>
      <w:pPr>
        <w:pStyle w:val="BookText"/>
      </w:pPr>
      <w:r>
        <w:rPr>
          <w:rFonts w:ascii="IRNazanin" w:hAnsi="IRNazanin" w:eastAsia="IRNazanin" w:cs="IRNazanin"/>
          <w:lang w:bidi="fa-IR"/>
          <w:color w:val="111111"/>
          <w:sz w:val="28"/>
          <w:szCs w:val="28"/>
          <w:rtl/>
        </w:rPr>
        <w:t xml:space="preserve">۷. شیراز؛ شاهچراغ؛ شماره نسخه: ۱۷۹ آغاز: ۱- صلوات الله عليه و آله فرمود. ۲- لطائف الله في اسمائه اجتمعت.؛ انجام: ۱- بر او اعتماد کلی داشته و امیر المؤمنين. ۲ یکی از دوائر است.</w:t>
      </w:r>
    </w:p>
    <w:p>
      <w:pPr>
        <w:pStyle w:val="BookText"/>
      </w:pPr>
      <w:r>
        <w:rPr>
          <w:rFonts w:ascii="IRNazanin" w:hAnsi="IRNazanin" w:eastAsia="IRNazanin" w:cs="IRNazanin"/>
          <w:lang w:bidi="fa-IR"/>
          <w:color w:val="111111"/>
          <w:sz w:val="28"/>
          <w:szCs w:val="28"/>
          <w:rtl/>
        </w:rPr>
        <w:t xml:space="preserve">شامل چند حرز است با نه دائره و مقداری اشعار عربی؛ خط: نسخ، بی کا، بی تا، کاغذ: سفید مهره خورده، جلد: مقوا با پارچه سبز، ۸گ، مختلف السطر، اندازه: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[ف: ۱-۲۶۷]</w:t>
      </w:r>
    </w:p>
    <w:p>
      <w:pPr>
        <w:pStyle w:val="BookText"/>
      </w:pPr>
      <w:r>
        <w:rPr>
          <w:rFonts w:ascii="IRNazanin" w:hAnsi="IRNazanin" w:eastAsia="IRNazanin" w:cs="IRNazanin"/>
          <w:lang w:bidi="fa-IR"/>
          <w:color w:val="111111"/>
          <w:sz w:val="28"/>
          <w:szCs w:val="28"/>
          <w:rtl/>
        </w:rPr>
        <w:t xml:space="preserve">۸. شیراز؛ شاهچراغ؛ شماره نسخه: ۱۵۳</w:t>
      </w:r>
    </w:p>
    <w:p>
      <w:pPr>
        <w:pStyle w:val="BookText"/>
      </w:pPr>
      <w:r>
        <w:rPr>
          <w:rFonts w:ascii="IRNazanin" w:hAnsi="IRNazanin" w:eastAsia="IRNazanin" w:cs="IRNazanin"/>
          <w:lang w:bidi="fa-IR"/>
          <w:color w:val="111111"/>
          <w:sz w:val="28"/>
          <w:szCs w:val="28"/>
          <w:rtl/>
        </w:rPr>
        <w:t xml:space="preserve">شامل دعاهای گوناگون است با مقداری اشعار فارسی و مطالب دیگر؛ خط: نستعلیق بد و نسخ، بی کا، بی تا، کاغذ: سفيد كثيف، جلد: مقوا با کاغذ لاکی، ۷۶گ، مختلف السطر،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۸سم [ف: ۱-۲۶۶]</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مشهد؛ نواب؛ شماره نسخه: ۶۸۵</w:t>
      </w:r>
    </w:p>
    <w:p>
      <w:pPr>
        <w:pStyle w:val="BookText"/>
      </w:pPr>
      <w:r>
        <w:rPr>
          <w:rFonts w:ascii="IRNazanin" w:hAnsi="IRNazanin" w:eastAsia="IRNazanin" w:cs="IRNazanin"/>
          <w:lang w:bidi="fa-IR"/>
          <w:color w:val="111111"/>
          <w:sz w:val="28"/>
          <w:szCs w:val="28"/>
          <w:rtl/>
        </w:rPr>
        <w:t xml:space="preserve">آغاز: بسمله يا لال اله الا الله انت رب العالمين؛ انجام: وليكن ایستادن او بر جنابت تاثیر نمی کند پادشاه و نه رعیت. گویا جامع این بیاض سید ابوالقاسم حسینی باشد، شامل دعاها، اگر کسی را کار بسته باشد و تدبیر آن نداند ... پیدا کردن جواب مجهول از طریق جفر، رساله در صناعت کوریه، صفت حلال نافع جهت جراحت، من کلام هرمس، من اعمال میرزا محمد صالح بن میرزا محمد مقیم اصفهانی سلمه الله. تدابیری چند، رساله روسم الى او ثاسیه، از محمد زکریا، شیخ مصری. رساله از سید بن طاووس در استخاره کردن از قرآن، در فال گیری، صفت تكلیس جسد، صفت آب زاج، اکسیر، صفت ماء الحاد، در تخمیر روح، وصیت پیرامون اکسیر، صفت ماء الحيوة، ماء الشب، عمل روغن ... جدول استخراج حروف اسامی به عمل رمل خواجه نصیر، بندی منقول از شیخ بهایی، در کیمیا به نظم و نثر. عمل استاد حسن حداد اصفهانی، عمل میرزا دروغگو کرمانی، رساله در علم معید فارسی، دستور شنگرف، کبریت احمر و ...؛ خط: نستعلیق راسته و چلیپا، بی کا، تا: قرن ۱۲؛ تملك: محمد بن حسن کرمانی در جمعه ۱۷ رجب ۱۲۳۱ق؛ فاقد جلد، ۱۱۱گ،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۵۴۱]</w:t>
      </w:r>
    </w:p>
    <w:p>
      <w:pPr>
        <w:pStyle w:val="BookText"/>
      </w:pPr>
      <w:r>
        <w:rPr>
          <w:rFonts w:ascii="IRNazanin" w:hAnsi="IRNazanin" w:eastAsia="IRNazanin" w:cs="IRNazanin"/>
          <w:lang w:bidi="fa-IR"/>
          <w:color w:val="111111"/>
          <w:sz w:val="28"/>
          <w:szCs w:val="28"/>
          <w:rtl/>
        </w:rPr>
        <w:t xml:space="preserve">۱۰. مشهد؛ رضوی؛ شماره نسخه: ۱۱۷۱۱</w:t>
      </w:r>
    </w:p>
    <w:p>
      <w:pPr>
        <w:pStyle w:val="BookText"/>
      </w:pPr>
      <w:r>
        <w:rPr>
          <w:rFonts w:ascii="IRNazanin" w:hAnsi="IRNazanin" w:eastAsia="IRNazanin" w:cs="IRNazanin"/>
          <w:lang w:bidi="fa-IR"/>
          <w:color w:val="111111"/>
          <w:sz w:val="28"/>
          <w:szCs w:val="28"/>
          <w:rtl/>
        </w:rPr>
        <w:t xml:space="preserve">آغاز: ذكر عن سيدي العربي الفشتالی؛ انجام: بينهما تشابها كثيرا و الله اعلم خط: نسخ شکسته، بی کا، بی تا، کاغذ: نخودی، جلد: مقوا، ۲۳ سطر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(الفبائی: ۹۲]</w:t>
      </w:r>
    </w:p>
    <w:p>
      <w:pPr>
        <w:pStyle w:val="BookText"/>
      </w:pPr>
      <w:r>
        <w:rPr>
          <w:rFonts w:ascii="IRNazanin" w:hAnsi="IRNazanin" w:eastAsia="IRNazanin" w:cs="IRNazanin"/>
          <w:lang w:bidi="fa-IR"/>
          <w:color w:val="111111"/>
          <w:sz w:val="28"/>
          <w:szCs w:val="28"/>
          <w:rtl/>
        </w:rPr>
        <w:t xml:space="preserve">۱۱. تهران؛ مجلس؛ شماره نسخه: ۱۶۹۱۳</w:t>
      </w:r>
    </w:p>
    <w:p>
      <w:pPr>
        <w:pStyle w:val="BookText"/>
      </w:pPr>
      <w:r>
        <w:rPr>
          <w:rFonts w:ascii="IRNazanin" w:hAnsi="IRNazanin" w:eastAsia="IRNazanin" w:cs="IRNazanin"/>
          <w:lang w:bidi="fa-IR"/>
          <w:color w:val="111111"/>
          <w:sz w:val="28"/>
          <w:szCs w:val="28"/>
          <w:rtl/>
        </w:rPr>
        <w:t xml:space="preserve">شامل: ۱- گلچینی از اشعار سعدی (ص ۱-۴) و (۲۴-۲۷پ). کتابت خفی در هر صفحه حدود چهل تا شصت بیت؛ ۲- شق القمر از ترکه اصفهانی؛ 3- معنی ساعت از ترکه اصفهانی؛ ۴- در خواص حروف و کلمات؛ ۵- ديوان ابو تراب بیک کاشانی؛ ۶ دیوان بابا افضل کاشانی از بابا افضل کاشانی؛ ۷- ديوان انوری ابیوردی؛ ۸- دیوان سعدی شیرازی؛ ۹- دیوان حکیم شفائی اصفهانی؛ ۱۱- معنی «انا نقطة التي تحت الماء = شرح حدیث نقطه» از ترکه اصفهانی؛ ۱۲ فایده در حواس و ادراک با اشاره به نظرات صائن الدين على ترکه اصفهانی (۲۳ پ)؛ ۱۳- اشعار؛ ۱۴ السير الى الله؛ ۱۵الاعتقادات = مختصر في علم الكلام از محقق حلى؛ ۱۶- قواعد العقاید از نصیر الدین طوسی؛ ۱۷- رساله اعتقادات خواجه نصیر (۴۱پ)؛ ۱۸- لغزی به اسم قمر (۴۲ ر)؛ ۱۹- مطالب پراکنده اعتقادی ادبی فلسفی و عرفانی بصورت جنگی (۴۲ پ -۴۵ر)؛ ۲۰- قضا و قدر (رساله در تفسير) (۴۵ پ)؛ ۲۱- حکایتی از یک مدینه فاضله (۴۶ ر)؛ ۲۲- عرفانی (رساله)؛ ۲۳- خطبه ای از نهج البلاغه (۴۸ پ)؛ ۲۴- فایده در تعریف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تصوف (۴۸ پ)؛ ۲۵- مطالب متفرقه عرفانی از جمله مطلبی منقول از جامع الاسرار سیر حیدر آملی (۴۹ ر)؛ ۲۶- عرفانی (رساله)؛ ۲۷- فصل في رسوم العشق و حدوده (۵۰پ)؛ ۲۸- في المطایبات و الاجوبه المسكته (جواب های دندان شکن) (۵۱ ر ۵۵ر)؛ ۲۹- روش پیدا کردن دزد (۵۵ر)؛ ۳۰- چند حدیث منقول از کتب فقهی (۵۵ پ)؛ ۳۱- مطایباتی منقول از اصمعی و دیگر اعراب (۵۶پ -۵۸ پ)؛ ۳۲- گفتارهای عرفانی (۵۹ ر-۶۵ پ)؛ ۳۳- گفتارهای کلامی عقیدتی (۶۶پ -۶۷ پ)؛ ۳۴- گفتارهای عرفانی منقول از بابا افضل کاشانی (۶۸ ر)؛ ۳۵- گفتاری کلامی از خواجه نصیر (۶۸ ر)؛ ۳۶- گفتاری درباره عبادت منقول از المفاحص صاین الدین ترکه اصفهانی (۶۸ پ)؛ ۳۷- گفتارهایی از این الدین ترکه اصفهانی در موضوع دانش و ... (۶۹ ر ۶۹پ)؛ ۳۸- ترجمه فارسی وصایای ذهبیه از فیثاغورس (۷۰ ر که در ۱۱۵ پ نیز تکرار شده) (شاید همان ترانه زرین فیثاغورس باشد که در فهرستواره مجموعه مشکوه جلد ۱ صفحه ۳۰۳ طی شماره ( ۱۵/۱۰۳۵ ) مجموعه کتابخانه مرکزی و مرکز اسناد دانشگاه تهران معرفی شده است)؛ ۳۹- داستانها، حکمت ها، احادیث، و فوایدی در کیمیا عقاید و مطالب پراکنده دیگر (۷۰ ر-۷۴ ر)؛ ۴۰- اشعاری عربی از این منجم واعظ (۷۴ پ)؛ ۴۱ بخشی از نصيحه الملوک غزالی (۷۵ ر-۷۹ پ)؛ ۴۲- بخشی از کتاب السلوک (۸۰ ر-۸۱ ر)؛ ۴۳- ترجمه حدیثی مفصل از حضر رسول در خصوص آنچه مسلمانان در زندگانی روزمره باید رعایت کنند. (۸۱پ)؛ ۴۴-وجه تخلف مخالفین از بیعت حضرت امیر المؤمنین (۸۲ پ)؛ ۴۵- منقولاتی از فتوحات ابن عربی در معجزات پیامبران و وحدت وجود (۸۲ پ)؛ ۴۶- فصلی در اهمیت محبت و جماعت (۸۴ ر-۸۴ پ)؛ ۴۷- گزیده ای از جواهر التفسير ملا حسین کاشفی (۸۵ ر-۸۶ پ)؛ ۴۸- حدیثی از حضرت رسول (۸۷ ر)؛ ۴۹- کلمات قصار و دیگر احادیث از امیر المؤمنین (۸۷ پ)؛ ۵۰- شرح الأربعين (احتمالا از بهایی) (۸۸ ر-۹۶ پ)؛ ۵۱- گفتارهای فلسفی و عرفانی و اعتقادی (۹۷ر -۱۱۳ پ)؛ ۵۲- سؤالاتی که شخصی در هرات از این الدین ترکه نموده و او جواب فرموده (۱۱۴ ر-۱۱۴پ)؛ ۵۳- ترجمه فارسی وصایای ذهبیه از فیثاغورس (۱۱۵ پ که در ۷۰ ر نیز پیشتر آمده بود)؛ ۵۴- فصل در حب يحبهم ويحبونه (۱۱۶ ر)؛ ۵۵ فایده در نفخ و نفخت من روحی (۱۱۶ پ)؛ ۵۶- بخشی از تلويحات شهاب الدین سهروردی (۱۱۷ ر-۱۱۸ر)؛ ۵۷- المراشد؛ ۵۸- معنی احسان (رساله در)؛ ۵۹-روایاتی از امیر المؤمنين (ع) و پیامبر اکرم (ص) (۱۱۹پ - ۱۲۰ر)؛ ۶۰- جبر و اختیار از حسینی دشتکی؛ ۶۰- گزیده هایی از آثار غزالی از جمله کتاب الاربعين (در مورد تصقيل و تنوير و تعديل قلب)، و ... (۱۲۱ ر-۱۲۱ پ)؛ ۶۱- اصول الدین از علی بن موسی (ع) امام هشتم؛ ۶۲- انواع علوم ادبیه (برگرفته از نفایس الفنون) (۱۲۳ر)؛ ۶۳-الكلام في الطبيعة الأطعمة والأشربة و الروائح و الالبسة و منافعها و مضارها و دفع المضار على الاجمال (۱۲۳ر۱۲۵ر)؛ ۶۴- اصطلاحات الطب (فصل في)(۱۳۱پ -۱۲۵ر)؛ ۶۵- اصطلاحات علم النجوم (فصل في) (۱۳۱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۱۳۳ پ)؛ ۶۶- لمعه في ... علم الخط العربی (۱۳۴ ر-۱۳۶پ)؛ ۶۷- مصطلحات علم الكلام (۱۳۷ ر-۱۳۹ پ)؛ ۶۸ معرفت ایام و اسابيع (۱۴۰ پ - ۱۴۰ر)؛ ۶۹- احادیث امامیه (۱۴۱ ر-۱۴۱پ)؛ ۷۰- الامامة = النصيرية في الامامة از نصیر الدین طوسی؛ ۷۱- القطب و المنطقة از صدرالدین شیرازی؛ ۷۲- الجمع بين كلام النبي و قول الوصی و بین آیتین از علامه حلی، حسن بن يوسف؛ ۷۳- روایاتی منقول از ربيع الشيعه سید بن طاوس و دیگر منابع (۱۴۸ ر)؛ ۷۴- تحریم النظر (قاعدة في)؛ ۷۵- نکته درباره شش همسر پیامبر (صلی الله علیه وآله وسلم) منقول از تفسیر کشاف زمخشری (۱۴۸ پ)؛ ۷۶- احقاق الحق و اذهان الباطل از شوشتری، نورالله بن شرف الدین؛ ۷۷- چند حدیث نبوی (۱۵۳ر)؛ ۷۸- حدیث علوی منقول از قوت القلوب في خلقه مثوبات و عقوبات (۱۵۳)؛ ۷۹ الأحاديث القدسية منسوب به علی بن ابی طالب (ع)، امام اول؛ ۸۰- مناجاتی از حضرت امیر منقول از جواهر (۱۵۳ پ)؛ ۸۱ گلچینی از احادیث اماميه منقول از کشف الغمه اربلی، کتاب المعيشه، من لا يحضر، محاضرات راغب اصفهانی، ارشاد شیخ مفید، زیارات سید بن طاوس (۱۵۴ ر-۱۵۵پ)؛ ۸۲- کلمات قصار امير المؤمنین (۱۵۷ ر-۱۶۱پ)؛ ۸۳- منتخبی از صحیفه سجادیه (۱۶۲ ر)؛ ۸۴- چند گلاک حکیمانه منقول از سقراط، افلاطون و دیگران (۱۶۲ ر)؛ ۸۵- الأدب الوجيز للولد الصغير (ترجمه) از نصیرالدین طوسی؛ ۸۷- تقديم العقل على النفس از ترکه اصفهانی؛ ۸۸-شرح رساله تجلی ذاتی از ترکه اصفهانی؛ ۸۹ خصائص عدد الاربعین از ترکه اصفهانی؛ ۹۰-مهر النبوة (رساله في) از ترکه اصفهانی؛ ۹۱- الرسالة الانزالية از ترکه اصفهانی؛ ۹۲- البائية (رساله ...) از ترکه اصفهانی؛ ۹۳- مبداء و معاد (رساله) از ترکه اصفهانی؛ ۹۴- احادیث؛ ۹۵-وصاياء الرسول (۲۲۲ر -۲۲۴ ر)؛ ۹۶-اشعار؛ بی کا، بی تا، ۲۲۷گ، اندازه: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۳۰سم [ف: انت ۱۹-۴۷/۱ ]</w:t>
      </w:r>
    </w:p>
    <w:p>
      <w:pPr>
        <w:pStyle w:val="BookText"/>
      </w:pPr>
      <w:r>
        <w:rPr>
          <w:rFonts w:ascii="IRNazanin" w:hAnsi="IRNazanin" w:eastAsia="IRNazanin" w:cs="IRNazanin"/>
          <w:lang w:bidi="fa-IR"/>
          <w:color w:val="111111"/>
          <w:sz w:val="28"/>
          <w:szCs w:val="28"/>
          <w:rtl/>
        </w:rPr>
        <w:t xml:space="preserve">۱۲. یزد؛ کاظمینی؛ شماره نسخه: ۲۵۸</w:t>
      </w:r>
    </w:p>
    <w:p>
      <w:pPr>
        <w:pStyle w:val="BookText"/>
      </w:pPr>
      <w:r>
        <w:rPr>
          <w:rFonts w:ascii="IRNazanin" w:hAnsi="IRNazanin" w:eastAsia="IRNazanin" w:cs="IRNazanin"/>
          <w:lang w:bidi="fa-IR"/>
          <w:color w:val="111111"/>
          <w:sz w:val="28"/>
          <w:szCs w:val="28"/>
          <w:rtl/>
        </w:rPr>
        <w:t xml:space="preserve">مشتمل بر: معراج نامه پیامبر اکرم(صلی الله علیه وآله وسلم) به نثر، دوازده بند محتشم، ادعیه و طلسمات مختلف. اشعاری از سعدی، هاتف، جامی، صاحب خان، و دیگران؛ خط: نسخ و نستعلیق، كا: محمد اسماعیل، تا: قرن ۱۳؛ جلد: تیماج قهوه ای بدون مقوا، ۱۰۲گ، مختلف و چلیپا سطر،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سم [ف: ۱-۲۲۴]</w:t>
      </w:r>
    </w:p>
    <w:p>
      <w:pPr>
        <w:pStyle w:val="BookText"/>
      </w:pPr>
      <w:r>
        <w:rPr>
          <w:rFonts w:ascii="IRNazanin" w:hAnsi="IRNazanin" w:eastAsia="IRNazanin" w:cs="IRNazanin"/>
          <w:lang w:bidi="fa-IR"/>
          <w:color w:val="111111"/>
          <w:sz w:val="28"/>
          <w:szCs w:val="28"/>
          <w:rtl/>
        </w:rPr>
        <w:t xml:space="preserve">۱۳. تهران؛ مجلس؛ شماره نسخه: ۶۵۷۲</w:t>
      </w:r>
    </w:p>
    <w:p>
      <w:pPr>
        <w:pStyle w:val="BookText"/>
      </w:pPr>
      <w:r>
        <w:rPr>
          <w:rFonts w:ascii="IRNazanin" w:hAnsi="IRNazanin" w:eastAsia="IRNazanin" w:cs="IRNazanin"/>
          <w:lang w:bidi="fa-IR"/>
          <w:color w:val="111111"/>
          <w:sz w:val="28"/>
          <w:szCs w:val="28"/>
          <w:rtl/>
        </w:rPr>
        <w:t xml:space="preserve">مشتمل بر فوائد پراکنده ای در پزشکی با استفاده از کتاب های این فن. نام این اشخاص در آن دیده می شود: حکیم عمادالدین محمود، قلانسی، میرزا شریف طبیب، احمد بن حکیم سلمان، میرزا عبدالله طبیب، میرزا على نقل، میرزا عبدالمطلب برادر زاده شیخ الاسلام ورامینی، ابوالفتح شیرازی، میرزا نعمت الله، حکیم محمد رضا، محمد صادق طبیب، حکیم سلمان جد مؤلف، محمد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52" w:name="pg20363_209377"/>
    <w:bookmarkEnd w:id="152"/>
    <w:p>
      <w:pPr>
        <w:pStyle w:val="BookText"/>
      </w:pPr>
      <w:r>
        <w:rPr>
          <w:rFonts w:ascii="IRNazanin" w:hAnsi="IRNazanin" w:eastAsia="IRNazanin" w:cs="IRNazanin"/>
          <w:lang w:bidi="fa-IR"/>
          <w:color w:val="111111"/>
          <w:sz w:val="28"/>
          <w:szCs w:val="28"/>
          <w:rtl/>
        </w:rPr>
        <w:t xml:space="preserve">محسن، ابو مسلم، حکیم محمد باقر؛ خط: نستعلیق، بی کا، تا: ق ۱۲ یا اوائل قرن ۱۳ سطرها چلیپا و راسته؛ جلد: تیماج قهوه ای بدون مقوا، ۳۲گ، مختلف السطر،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۲۰-۱۳۳]</w:t>
      </w:r>
    </w:p>
    <w:p>
      <w:pPr>
        <w:pStyle w:val="BookText"/>
      </w:pPr>
      <w:r>
        <w:rPr>
          <w:rFonts w:ascii="IRNazanin" w:hAnsi="IRNazanin" w:eastAsia="IRNazanin" w:cs="IRNazanin"/>
          <w:lang w:bidi="fa-IR"/>
          <w:color w:val="111111"/>
          <w:sz w:val="28"/>
          <w:szCs w:val="28"/>
          <w:rtl/>
        </w:rPr>
        <w:t xml:space="preserve">۱۴. تهران؛ مجلس؛ شماره نسخه: ۱۵۹۴۴</w:t>
      </w:r>
    </w:p>
    <w:p>
      <w:pPr>
        <w:pStyle w:val="BookText"/>
      </w:pPr>
      <w:r>
        <w:rPr>
          <w:rFonts w:ascii="IRNazanin" w:hAnsi="IRNazanin" w:eastAsia="IRNazanin" w:cs="IRNazanin"/>
          <w:lang w:bidi="fa-IR"/>
          <w:color w:val="111111"/>
          <w:sz w:val="28"/>
          <w:szCs w:val="28"/>
          <w:rtl/>
        </w:rPr>
        <w:t xml:space="preserve">آغاز: ولی حضرت یزدان امیر عالم امکان *** فلک جاه و ملک دربان خدم چرخ و حشم اختربیاضی است شامل مطالب گوناگون به نظم و نثر فارسی و عربی، از جمله: ابیاتی در معما، مناجات منظوم منسوب به امام سجاد(عليه السلام)، متنی به نظم و نثر فارسی آمیخته با آیات قرآنی که طرفین آن افتاده و ناقص است، خواص سوره ها، دوازده بند محتشم کاشانی در مرثیه امام حسین (عليه السلام)، فایده ای عربی در طریق حق در ریاضت از شیخ ادام الله ظله (احتمالا شیخ احمد احسای)؟ (تاریخ کتابت این فایده، پنج شنبه ۱۹ رجب ۱۲۴۴ ه در قم) احادیث و ادعیه شیعی، قصیده عربی ملا جامی، خطبه نکاح، جواب مکتوب میرزا بوطالب، مرثیه معروف دعبل خزاعی، مرثیه عربی از سید مهدی نجفی، صلوات بر چهارده معصوم(عليهم السلام)، بیات فارسی در مدح حضرت امیر(عليه السلام) و ... ، خط: نسخ و نستعلیق، بی کا، تا: ۱۲۴۴ق، جا: قم؛ مهر: «احمد بن محمد» (بادامی)، «عبدالغفور ۱۲۲۰»( مضلع)، «یا تی من بعدي اسمه احمد» (مربع)؛ جلد: تیماج فرنگی، ۷۱گ، مختلف السطر، اندازه: 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۴۴-۱۴۹]</w:t>
      </w:r>
    </w:p>
    <w:p>
      <w:pPr>
        <w:pStyle w:val="BookText"/>
      </w:pPr>
      <w:r>
        <w:rPr>
          <w:rFonts w:ascii="IRNazanin" w:hAnsi="IRNazanin" w:eastAsia="IRNazanin" w:cs="IRNazanin"/>
          <w:lang w:bidi="fa-IR"/>
          <w:color w:val="111111"/>
          <w:sz w:val="28"/>
          <w:szCs w:val="28"/>
          <w:rtl/>
        </w:rPr>
        <w:t xml:space="preserve">۱۵. شیراز؛ شاهچراغ؛ شماره نسخه: ۷۷۸</w:t>
      </w:r>
    </w:p>
    <w:p>
      <w:pPr>
        <w:pStyle w:val="BookText"/>
      </w:pPr>
      <w:r>
        <w:rPr>
          <w:rFonts w:ascii="IRNazanin" w:hAnsi="IRNazanin" w:eastAsia="IRNazanin" w:cs="IRNazanin"/>
          <w:lang w:bidi="fa-IR"/>
          <w:color w:val="111111"/>
          <w:sz w:val="28"/>
          <w:szCs w:val="28"/>
          <w:rtl/>
        </w:rPr>
        <w:t xml:space="preserve">چند شعر عربی و فارسی، تعدادی نامه و عریضه و چند حدیث؛ خط: نستعلیق، بی کا، تا: ۷ شوال ۱۲۸۶ق؛ ۳۳گ،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۳-۱۴]</w:t>
      </w:r>
    </w:p>
    <w:p>
      <w:pPr>
        <w:pStyle w:val="BookText"/>
      </w:pPr>
      <w:r>
        <w:rPr>
          <w:rFonts w:ascii="IRNazanin" w:hAnsi="IRNazanin" w:eastAsia="IRNazanin" w:cs="IRNazanin"/>
          <w:lang w:bidi="fa-IR"/>
          <w:color w:val="111111"/>
          <w:sz w:val="28"/>
          <w:szCs w:val="28"/>
          <w:rtl/>
        </w:rPr>
        <w:t xml:space="preserve">۱۶. یزد؛ کاظمینی؛ شماره نسخه: ۳۰۵</w:t>
      </w:r>
    </w:p>
    <w:p>
      <w:pPr>
        <w:pStyle w:val="BookText"/>
      </w:pPr>
      <w:r>
        <w:rPr>
          <w:rFonts w:ascii="IRNazanin" w:hAnsi="IRNazanin" w:eastAsia="IRNazanin" w:cs="IRNazanin"/>
          <w:lang w:bidi="fa-IR"/>
          <w:color w:val="111111"/>
          <w:sz w:val="28"/>
          <w:szCs w:val="28"/>
          <w:rtl/>
        </w:rPr>
        <w:t xml:space="preserve">مشتمل بر مطالب تاریخی، اشعار فارسی و عربی، روایات مختلف، مصائب ائمه (عليهم السلام)و نقل قضایایی از کاتب نسخه، ادعیه متفرقه مطالب تفسیری و متفرقاتی دیگر؛ خط: شکسته نستعلیق، بی کا، تا: قرن ۱۴؛ در پشت جلد رو نام «روضه خوان ملا احمد بن ملا غلامرضا» آمده که شاید جامع بياض باشد؛ جلد: تیماج قهوه ای سوخته بدون مقوا، ۹۴گ، مختلف و چلیپا سطر، اندازه: 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۱۷/۵ سم [ف: ۲-۲۷]</w:t>
      </w:r>
    </w:p>
    <w:p>
      <w:pPr>
        <w:pStyle w:val="BookText"/>
      </w:pPr>
      <w:r>
        <w:rPr>
          <w:rFonts w:ascii="IRNazanin" w:hAnsi="IRNazanin" w:eastAsia="IRNazanin" w:cs="IRNazanin"/>
          <w:lang w:bidi="fa-IR"/>
          <w:color w:val="111111"/>
          <w:sz w:val="28"/>
          <w:szCs w:val="28"/>
          <w:rtl/>
        </w:rPr>
        <w:t xml:space="preserve">۱۷. اهواز؛ شوشتری، محمد؛ شماره نسخه: بدون شماره</w:t>
      </w:r>
    </w:p>
    <w:p>
      <w:pPr>
        <w:pStyle w:val="BookText"/>
      </w:pPr>
      <w:r>
        <w:rPr>
          <w:rFonts w:ascii="IRNazanin" w:hAnsi="IRNazanin" w:eastAsia="IRNazanin" w:cs="IRNazanin"/>
          <w:lang w:bidi="fa-IR"/>
          <w:color w:val="111111"/>
          <w:sz w:val="28"/>
          <w:szCs w:val="28"/>
          <w:rtl/>
        </w:rPr>
        <w:t xml:space="preserve">بیاض مجدول در دعا؛ بی کا، بی تا [نشریه: ۷-۷۹۶]</w:t>
      </w:r>
    </w:p>
    <w:p>
      <w:pPr>
        <w:pStyle w:val="BookText"/>
      </w:pPr>
      <w:r>
        <w:rPr>
          <w:rFonts w:ascii="IRNazanin" w:hAnsi="IRNazanin" w:eastAsia="IRNazanin" w:cs="IRNazanin"/>
          <w:lang w:bidi="fa-IR"/>
          <w:color w:val="111111"/>
          <w:sz w:val="28"/>
          <w:szCs w:val="28"/>
          <w:rtl/>
        </w:rPr>
        <w:t xml:space="preserve">۱۸. مشهد؛ رضوی؛ شماره نسخه: ۱۱۳۹۰</w:t>
      </w:r>
    </w:p>
    <w:p>
      <w:pPr>
        <w:pStyle w:val="BookText"/>
      </w:pPr>
      <w:r>
        <w:rPr>
          <w:rFonts w:ascii="IRNazanin" w:hAnsi="IRNazanin" w:eastAsia="IRNazanin" w:cs="IRNazanin"/>
          <w:lang w:bidi="fa-IR"/>
          <w:color w:val="111111"/>
          <w:sz w:val="28"/>
          <w:szCs w:val="28"/>
          <w:rtl/>
        </w:rPr>
        <w:t xml:space="preserve">آغاز: بسمله دخل المسجد قريبا من الصبح؛ انجام: در بزمگاه قتل عجیب آرمیده</w:t>
      </w:r>
    </w:p>
    <w:p>
      <w:pPr>
        <w:pStyle w:val="BookText"/>
      </w:pPr>
      <w:r>
        <w:rPr>
          <w:rFonts w:ascii="IRNazanin" w:hAnsi="IRNazanin" w:eastAsia="IRNazanin" w:cs="IRNazanin"/>
          <w:lang w:bidi="fa-IR"/>
          <w:color w:val="111111"/>
          <w:sz w:val="28"/>
          <w:szCs w:val="28"/>
          <w:rtl/>
        </w:rPr>
        <w:t xml:space="preserve">خط: نسخ و نستعلیق، بی کا، بی تا، کاغذ: شکری، جلد: میشن، ابعاد متن: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[رایانه]</w:t>
      </w:r>
    </w:p>
    <w:p>
      <w:pPr>
        <w:pStyle w:val="Heading3"/>
      </w:pPr>
      <w:bookmarkStart w:id="1202" w:name="_Toc462"/>
      <w:r>
        <w:t>• بیاض / گوناگون / فارسی</w:t>
      </w:r>
      <w:bookmarkEnd w:id="1202"/>
    </w:p>
    <w:p>
      <w:pPr>
        <w:pStyle w:val="BookText"/>
      </w:pPr>
      <w:r>
        <w:rPr>
          <w:rFonts w:ascii="Times New Roman" w:hAnsi="Times New Roman" w:eastAsia="Times New Roman" w:cs="Times New Roman"/>
          <w:lang w:val="en-US" w:bidi="en-US"/>
          <w:color w:val="111111"/>
          <w:sz w:val="28"/>
          <w:szCs w:val="28"/>
          <w:rtl/>
        </w:rPr>
        <w:t xml:space="preserve">bayāz</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IRNazanin" w:hAnsi="IRNazanin" w:eastAsia="IRNazanin" w:cs="IRNazanin"/>
          <w:lang w:bidi="fa-IR"/>
          <w:color w:val="111111"/>
          <w:sz w:val="28"/>
          <w:szCs w:val="28"/>
          <w:rtl/>
        </w:rPr>
        <w:t xml:space="preserve">۱. تهران؛ مجلس؛ شماره نسخه: ۲۹۱/۴۲ -فیروز</w:t>
      </w:r>
    </w:p>
    <w:p>
      <w:pPr>
        <w:pStyle w:val="BookText"/>
      </w:pPr>
      <w:r>
        <w:rPr>
          <w:rFonts w:ascii="IRNazanin" w:hAnsi="IRNazanin" w:eastAsia="IRNazanin" w:cs="IRNazanin"/>
          <w:lang w:bidi="fa-IR"/>
          <w:color w:val="111111"/>
          <w:sz w:val="28"/>
          <w:szCs w:val="28"/>
          <w:rtl/>
        </w:rPr>
        <w:t xml:space="preserve">آغاز: بسمله. در دشت نامه مقطرات جویبار خامه گل کاری تحریر حمد بهار آفرین</w:t>
      </w:r>
    </w:p>
    <w:p>
      <w:pPr>
        <w:pStyle w:val="BookText"/>
      </w:pPr>
      <w:r>
        <w:rPr>
          <w:rFonts w:ascii="IRNazanin" w:hAnsi="IRNazanin" w:eastAsia="IRNazanin" w:cs="IRNazanin"/>
          <w:lang w:bidi="fa-IR"/>
          <w:color w:val="111111"/>
          <w:sz w:val="28"/>
          <w:szCs w:val="28"/>
          <w:rtl/>
        </w:rPr>
        <w:t xml:space="preserve">سفینه منشآت و منقولات پراکنده است با دیباچه ای متكلفانه؛ خط: نستعلیق، بی کا، تا: قرن ۱۱؛ کاغذ: مختلف آهار مهره، جلد: تیماج مشکی، ۳۲ (۱۱۵۵-۱۱۸۶)، قطع: رحلی،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۲۱-۲۸۲]</w:t>
      </w:r>
    </w:p>
    <w:p>
      <w:pPr>
        <w:pStyle w:val="BookText"/>
      </w:pPr>
      <w:r>
        <w:rPr>
          <w:rFonts w:ascii="IRNazanin" w:hAnsi="IRNazanin" w:eastAsia="IRNazanin" w:cs="IRNazanin"/>
          <w:lang w:bidi="fa-IR"/>
          <w:color w:val="111111"/>
          <w:sz w:val="28"/>
          <w:szCs w:val="28"/>
          <w:rtl/>
        </w:rPr>
        <w:t xml:space="preserve">٢. اصفهان؛ دانشگاه؛ شماره نسخه: ۵۰۱</w:t>
      </w:r>
    </w:p>
    <w:p>
      <w:pPr>
        <w:pStyle w:val="BookText"/>
      </w:pPr>
      <w:r>
        <w:rPr>
          <w:rFonts w:ascii="IRNazanin" w:hAnsi="IRNazanin" w:eastAsia="IRNazanin" w:cs="IRNazanin"/>
          <w:lang w:bidi="fa-IR"/>
          <w:color w:val="111111"/>
          <w:sz w:val="28"/>
          <w:szCs w:val="28"/>
          <w:rtl/>
        </w:rPr>
        <w:t xml:space="preserve">مشتمل بر اشعاری از: سعدی، میرزا نصر، آذر، محرم، محتشم، سائل، عاشق، جامی، ندیم، مشتاق، وحشی، مخدوم، قاضی شریف، نظیری، حکم قاآنی، وصال؛ خط: نستعلیق زیبا، بی کا، تا: قرن ۱۱ یا ۱۲؛ مجدول؛ جلد: تیماج دورو مجدول بدون مقوا، ۱۲۶گ، چلیپا و راسته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[ف: ۲-۳۹۱]</w:t>
      </w:r>
    </w:p>
    <w:p>
      <w:pPr>
        <w:pStyle w:val="BookText"/>
      </w:pPr>
      <w:r>
        <w:rPr>
          <w:rFonts w:ascii="IRNazanin" w:hAnsi="IRNazanin" w:eastAsia="IRNazanin" w:cs="IRNazanin"/>
          <w:lang w:bidi="fa-IR"/>
          <w:color w:val="111111"/>
          <w:sz w:val="28"/>
          <w:szCs w:val="28"/>
          <w:rtl/>
        </w:rPr>
        <w:t xml:space="preserve">٣. مشهد؛ مدرسه آية الله خوئی؛ شماره نسخه: ۲۳۱</w:t>
      </w:r>
    </w:p>
    <w:p>
      <w:pPr>
        <w:pStyle w:val="BookText"/>
      </w:pPr>
      <w:r>
        <w:rPr>
          <w:rFonts w:ascii="IRNazanin" w:hAnsi="IRNazanin" w:eastAsia="IRNazanin" w:cs="IRNazanin"/>
          <w:lang w:bidi="fa-IR"/>
          <w:color w:val="111111"/>
          <w:sz w:val="28"/>
          <w:szCs w:val="28"/>
          <w:rtl/>
        </w:rPr>
        <w:t xml:space="preserve">در شرح وقایع کربلا و شهادت حضرت سید الشهداء(عليه السلام) ؛ بی کا، تا: قرن ۱۲ [اوراق عتیق: ۱-۲۴۲]</w:t>
      </w:r>
    </w:p>
    <w:p>
      <w:pPr>
        <w:pStyle w:val="BookText"/>
      </w:pPr>
      <w:r>
        <w:rPr>
          <w:rFonts w:ascii="IRNazanin" w:hAnsi="IRNazanin" w:eastAsia="IRNazanin" w:cs="IRNazanin"/>
          <w:lang w:bidi="fa-IR"/>
          <w:color w:val="111111"/>
          <w:sz w:val="28"/>
          <w:szCs w:val="28"/>
          <w:rtl/>
        </w:rPr>
        <w:t xml:space="preserve">۴. تهران: دانشگاه؛ شماره نسخه: ۱۰۵۵۷</w:t>
      </w:r>
    </w:p>
    <w:p>
      <w:pPr>
        <w:pStyle w:val="BookText"/>
      </w:pPr>
      <w:r>
        <w:rPr>
          <w:rFonts w:ascii="IRNazanin" w:hAnsi="IRNazanin" w:eastAsia="IRNazanin" w:cs="IRNazanin"/>
          <w:lang w:bidi="fa-IR"/>
          <w:color w:val="111111"/>
          <w:sz w:val="28"/>
          <w:szCs w:val="28"/>
          <w:rtl/>
        </w:rPr>
        <w:t xml:space="preserve">آغاز: از گیل قابضتر و لذیذتر از کویج [كذا، کریج است و درجه دویم سرد و خشک است و به جهت اقسام اسهال خصوصا اسهال صفراوی نافع و بطي الهضم و نفاخ و بعد از هضم شدن مقوی معده». آغاز یکی از فصول: «فصل در ادویه مفرده مشهوره مستعمله. آبار. سرب سوخته است و طریق احراق آن آن است که آن را بزده کرده به آب نمک دو سه مرتبه بجوشانند و در کفچه آهنین بر آتش بگذارند؛ انجام: در درجه اول گرم و خشک و آن چه از درخت بلوط به هم رسد سرد و خشک و مجموع با قوت قابضه و محلله و ملينه و مفتح سده رحم و مدر حیض و مثوم فوی خصوصا با شراب و مقوی باه و مفرح</w:t>
      </w:r>
    </w:p>
    <w:p>
      <w:pPr>
        <w:pStyle w:val="BookText"/>
      </w:pPr>
      <w:r>
        <w:rPr>
          <w:rFonts w:ascii="IRNazanin" w:hAnsi="IRNazanin" w:eastAsia="IRNazanin" w:cs="IRNazanin"/>
          <w:lang w:bidi="fa-IR"/>
          <w:color w:val="111111"/>
          <w:sz w:val="28"/>
          <w:szCs w:val="28"/>
          <w:rtl/>
        </w:rPr>
        <w:t xml:space="preserve">از: میرزا معز. كتاب مختصری است در فواید پزشکی خوردنی ها و دواها. با این فصول: [فصل در میوه ها )، فصل در بقول و حبوب (۲۳ر)، فصل در منافع و امزجه و خواص گوشتها (۵۰)، فصل در امزجه و خواص شیرها (۵۱ر)، فصل در ادویه مفرده مشهوره مستعمله (۵۴ر). آن چه به عنوان نام کتاب و مؤلف آمد بر گرفته از یادداشت ابتدای نسخه در گوشه بالای سمت چپ صفحه عنوان است که نوشته اند: «بیاضی کتاب میرزا معز»، و همچنین در عطف آمده است: «کتاب میرزا معز در طب». ولی به يقين نمی توان آن را درست دانست چه در مطالعه کتاب از نام و نشان مؤلف اطلاعی به دست نیامد. فقط می دانیم که خود طبابت می کرده و برخی از تجربیاتش را جا به جا ذکر کرده است (برای نمونه ۵۹پ) از کتاب تذکره (۱۴) ابن رضوان (۱۸پ) و بغدادی (۶۹ر) نام برده و در ۴۴ر هم نام «بستانی» را به ترکی و اصفهانی نوشته است: «بستانی صعب تر است و کوهی او را به ترکی ککلیک و در اصفهان اویشم گویند»؛ خط: نستعلیق، بی کا تا: قرن ۱۲؛ افتادگی: آغاز و انجام؛ اهدایی: دکتر حافظ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فرمانفرمائیان، دی ۱۳۶۹؛ جلد: تیماج سرخ با ترنج و لچکی ضربی مجدول زرین، ۱۰۵گ، ۱۲ سطر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 ، اندازه: ۲۷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۲۰-۱۸]</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مجلس؛ شماره نسخه: ۱۵۷۵۴</w:t>
      </w:r>
    </w:p>
    <w:p>
      <w:pPr>
        <w:pStyle w:val="BookText"/>
      </w:pPr>
      <w:r>
        <w:rPr>
          <w:rFonts w:ascii="IRNazanin" w:hAnsi="IRNazanin" w:eastAsia="IRNazanin" w:cs="IRNazanin"/>
          <w:lang w:bidi="fa-IR"/>
          <w:color w:val="111111"/>
          <w:sz w:val="28"/>
          <w:szCs w:val="28"/>
          <w:rtl/>
        </w:rPr>
        <w:t xml:space="preserve">جنگی مطالب متفرقه است. (تاریخی، شعر، علوم غریبه)؛ خط:</w:t>
      </w:r>
    </w:p>
    <w:p>
      <w:pPr>
        <w:pStyle w:val="BookText"/>
      </w:pPr>
      <w:r>
        <w:rPr>
          <w:rFonts w:ascii="IRNazanin" w:hAnsi="IRNazanin" w:eastAsia="IRNazanin" w:cs="IRNazanin"/>
          <w:lang w:bidi="fa-IR"/>
          <w:color w:val="111111"/>
          <w:sz w:val="28"/>
          <w:szCs w:val="28"/>
          <w:rtl/>
        </w:rPr>
        <w:t xml:space="preserve">تحریری، بی کا، تا: قرن ۱۲ [مختصر ف: ۲۴۲]</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مجلس؛ شماره نسخه: ۱۵۴۰۴</w:t>
      </w:r>
    </w:p>
    <w:p>
      <w:pPr>
        <w:pStyle w:val="BookText"/>
      </w:pPr>
      <w:r>
        <w:rPr>
          <w:rFonts w:ascii="IRNazanin" w:hAnsi="IRNazanin" w:eastAsia="IRNazanin" w:cs="IRNazanin"/>
          <w:lang w:bidi="fa-IR"/>
          <w:color w:val="111111"/>
          <w:sz w:val="28"/>
          <w:szCs w:val="28"/>
          <w:rtl/>
        </w:rPr>
        <w:t xml:space="preserve">آغاز: واقعه اهل بیت کرام رفتن از شام به مدينه: روایتست که گشتند اهل بیت کرام </w:t>
      </w:r>
      <w:r>
        <w:rPr>
          <w:rFonts w:ascii="IRNazanin" w:hAnsi="IRNazanin" w:eastAsia="IRNazanin" w:cs="IRNazanin"/>
          <w:lang w:bidi="fa-IR"/>
          <w:color w:val="111111"/>
          <w:sz w:val="28"/>
          <w:szCs w:val="28"/>
          <w:b w:val="1"/>
          <w:bCs w:val="1"/>
          <w:i w:val="1"/>
          <w:iCs w:val="1"/>
          <w:rtl/>
        </w:rPr>
        <w:t xml:space="preserve">بسان خیل کواکب روانه چون از شام / قد خمیده و پای پیاده زین عباد</w:t>
      </w:r>
      <w:r>
        <w:rPr>
          <w:rFonts w:ascii="IRNazanin" w:hAnsi="IRNazanin" w:eastAsia="IRNazanin" w:cs="IRNazanin"/>
          <w:lang w:bidi="fa-IR"/>
          <w:color w:val="111111"/>
          <w:sz w:val="28"/>
          <w:szCs w:val="28"/>
          <w:rtl/>
        </w:rPr>
        <w:t xml:space="preserve"> هلال وار بسوی مدینه روی نهاد، انجام: در آن مقام شود نزد حضرت قادر*** برای داد ز جلباب نور پس ظاهر بياض اشعار مراثی؛ خط: نستعلیق زیبا، بی کا، تا: احتمالا قرن ۱۲ اشعار مراثی و وقایع جانسوز کربلا و اسارت زنان حرم و رفتن آنها از شام به مدینه؛ جلد: چرم قهوه ای روشن ضربی ترنج و سر ترنج دار، ۷۱گ، ۱۲ سطر، اندازه: ۲۳/۳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۱۲/۳ سم [ف: ۴۳-۷۲]</w:t>
      </w:r>
    </w:p>
    <w:p>
      <w:pPr>
        <w:pStyle w:val="BookText"/>
      </w:pPr>
      <w:r>
        <w:rPr>
          <w:rFonts w:ascii="IRNazanin" w:hAnsi="IRNazanin" w:eastAsia="IRNazanin" w:cs="IRNazanin"/>
          <w:lang w:bidi="fa-IR"/>
          <w:color w:val="111111"/>
          <w:sz w:val="28"/>
          <w:szCs w:val="28"/>
          <w:rtl/>
        </w:rPr>
        <w:t xml:space="preserve">۷. تبریز؛ ملی؛ شماره نسخه: ۳۴۲۱</w:t>
      </w:r>
    </w:p>
    <w:p>
      <w:pPr>
        <w:pStyle w:val="BookText"/>
      </w:pPr>
      <w:r>
        <w:rPr>
          <w:rFonts w:ascii="IRNazanin" w:hAnsi="IRNazanin" w:eastAsia="IRNazanin" w:cs="IRNazanin"/>
          <w:lang w:bidi="fa-IR"/>
          <w:color w:val="111111"/>
          <w:sz w:val="28"/>
          <w:szCs w:val="28"/>
          <w:rtl/>
        </w:rPr>
        <w:t xml:space="preserve">بیاضی است با جلد چرمی تریاکی شامل صورت حسابهای روانه و تاریخ تولدها از تاریخ ۱۱۹۲ق الى ۱۲۳۹ق و چند زایچه تولد؛ بی کا، بی تا؛ مهر: «افوض امرى الى الله الجلي عبده ایاز على ۱۱۶۳» [ف: ۱-۱۳۸]</w:t>
      </w:r>
    </w:p>
    <w:p>
      <w:pPr>
        <w:pStyle w:val="BookText"/>
      </w:pPr>
      <w:r>
        <w:rPr>
          <w:rFonts w:ascii="IRNazanin" w:hAnsi="IRNazanin" w:eastAsia="IRNazanin" w:cs="IRNazanin"/>
          <w:lang w:bidi="fa-IR"/>
          <w:color w:val="111111"/>
          <w:sz w:val="28"/>
          <w:szCs w:val="28"/>
          <w:rtl/>
        </w:rPr>
        <w:t xml:space="preserve">۸. اصفهان؛ دانشگاه؛ شماره نسخه: ۶۱۱</w:t>
      </w:r>
    </w:p>
    <w:p>
      <w:pPr>
        <w:pStyle w:val="BookText"/>
      </w:pPr>
      <w:r>
        <w:rPr>
          <w:rFonts w:ascii="IRNazanin" w:hAnsi="IRNazanin" w:eastAsia="IRNazanin" w:cs="IRNazanin"/>
          <w:lang w:bidi="fa-IR"/>
          <w:color w:val="111111"/>
          <w:sz w:val="28"/>
          <w:szCs w:val="28"/>
          <w:rtl/>
        </w:rPr>
        <w:t xml:space="preserve">مشتمل بر اشعاری از: هلالی، قوامی، نقلی از حکما در انواع مصیبت؛ خط: نستعلیق، بی کا، تا: ۱۰ ذیحجه ۱۱۷۹ق، به فرموده موسی سلطان (پایان اشعار قوامی)، ۴ گ، چلیپا سطر،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سم [ف: ۲-۴۷۴]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شیراز؛ شاهچراغ؛ شماره نسخه: ۷۳۲</w:t>
      </w:r>
    </w:p>
    <w:p>
      <w:pPr>
        <w:pStyle w:val="BookText"/>
      </w:pPr>
      <w:r>
        <w:rPr>
          <w:rFonts w:ascii="IRNazanin" w:hAnsi="IRNazanin" w:eastAsia="IRNazanin" w:cs="IRNazanin"/>
          <w:lang w:bidi="fa-IR"/>
          <w:color w:val="111111"/>
          <w:sz w:val="28"/>
          <w:szCs w:val="28"/>
          <w:rtl/>
        </w:rPr>
        <w:t xml:space="preserve">طلسمات و اشعار فارسی از جمله اشترنامه جناب قدوة العارفین مرحوم حاج محمد حسین که احتمالا حاج محمد حسین ذوالریاستین متخلص به حسینی و مؤلف خمسه حسینی است؛ خط: نستعلیق شکسته، بی کا، تا: قرن ۱۳، ۷۵گی،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۳-۱۴]</w:t>
      </w:r>
    </w:p>
    <w:p>
      <w:pPr>
        <w:pStyle w:val="BookText"/>
      </w:pPr>
      <w:r>
        <w:rPr>
          <w:rFonts w:ascii="IRNazanin" w:hAnsi="IRNazanin" w:eastAsia="IRNazanin" w:cs="IRNazanin"/>
          <w:lang w:bidi="fa-IR"/>
          <w:color w:val="111111"/>
          <w:sz w:val="28"/>
          <w:szCs w:val="28"/>
          <w:rtl/>
        </w:rPr>
        <w:t xml:space="preserve">۱۰. کاشان؛ عاطفی، افشین؛ شماره نسخه: ۱۱۲</w:t>
      </w:r>
    </w:p>
    <w:p>
      <w:pPr>
        <w:pStyle w:val="BookText"/>
      </w:pPr>
      <w:r>
        <w:rPr>
          <w:rFonts w:ascii="IRNazanin" w:hAnsi="IRNazanin" w:eastAsia="IRNazanin" w:cs="IRNazanin"/>
          <w:lang w:bidi="fa-IR"/>
          <w:color w:val="111111"/>
          <w:sz w:val="28"/>
          <w:szCs w:val="28"/>
          <w:rtl/>
        </w:rPr>
        <w:t xml:space="preserve">مشتمل بر اشعاری از قصاب کاشی، دعای روزهای هفته از صحیفه سجادیه، دعای جوشن صغیر و برخی از ادعیه روزهای ماه مبارک رمضان؛ خط: نسخ، بی کا، تا: قرن ۱۳؛ جلد: تیماج مشکی بدون مقوا، ۳۴گ، مختلف السطر،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سم [ف: ۹۸]</w:t>
      </w:r>
    </w:p>
    <w:p>
      <w:pPr>
        <w:pStyle w:val="BookText"/>
      </w:pPr>
      <w:r>
        <w:rPr>
          <w:rFonts w:ascii="IRNazanin" w:hAnsi="IRNazanin" w:eastAsia="IRNazanin" w:cs="IRNazanin"/>
          <w:lang w:bidi="fa-IR"/>
          <w:color w:val="111111"/>
          <w:sz w:val="28"/>
          <w:szCs w:val="28"/>
          <w:rtl/>
        </w:rPr>
        <w:t xml:space="preserve">۱۱. اصفهان، دانشگاه؛ شماره نسخه: ۴۳۱</w:t>
      </w:r>
    </w:p>
    <w:p>
      <w:pPr>
        <w:pStyle w:val="BookText"/>
      </w:pPr>
      <w:r>
        <w:rPr>
          <w:rFonts w:ascii="IRNazanin" w:hAnsi="IRNazanin" w:eastAsia="IRNazanin" w:cs="IRNazanin"/>
          <w:lang w:bidi="fa-IR"/>
          <w:color w:val="111111"/>
          <w:sz w:val="28"/>
          <w:szCs w:val="28"/>
          <w:rtl/>
        </w:rPr>
        <w:t xml:space="preserve">خط: نسخ نازیبا، بی کا، تا: قرن ۱۳؛ کاغذ: الوان، فاقد جلد، ۱۳۱گ، مختلف السطر،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۲-۳۴۹]</w:t>
      </w:r>
    </w:p>
    <w:p>
      <w:pPr>
        <w:pStyle w:val="BookText"/>
      </w:pPr>
      <w:r>
        <w:rPr>
          <w:rFonts w:ascii="IRNazanin" w:hAnsi="IRNazanin" w:eastAsia="IRNazanin" w:cs="IRNazanin"/>
          <w:lang w:bidi="fa-IR"/>
          <w:color w:val="111111"/>
          <w:sz w:val="28"/>
          <w:szCs w:val="28"/>
          <w:rtl/>
        </w:rPr>
        <w:t xml:space="preserve">۱۲. اصفهان، دانشگاه؛ شماره نسخه: ۴۸۰</w:t>
      </w:r>
    </w:p>
    <w:p>
      <w:pPr>
        <w:pStyle w:val="BookText"/>
      </w:pPr>
      <w:r>
        <w:rPr>
          <w:rFonts w:ascii="IRNazanin" w:hAnsi="IRNazanin" w:eastAsia="IRNazanin" w:cs="IRNazanin"/>
          <w:lang w:bidi="fa-IR"/>
          <w:color w:val="111111"/>
          <w:sz w:val="28"/>
          <w:szCs w:val="28"/>
          <w:rtl/>
        </w:rPr>
        <w:t xml:space="preserve">مشتمل بر اشعاری در مدایح و مراثی ائمه معصومین (عليهم السلام)خصوصا وقایع کربلا و اهل بیت امام حسین</w:t>
      </w:r>
    </w:p>
    <w:p>
      <w:pPr>
        <w:pStyle w:val="BookText"/>
      </w:pPr>
      <w:r>
        <w:rPr>
          <w:rFonts w:ascii="IRNazanin" w:hAnsi="IRNazanin" w:eastAsia="IRNazanin" w:cs="IRNazanin"/>
          <w:lang w:bidi="fa-IR"/>
          <w:color w:val="111111"/>
          <w:sz w:val="28"/>
          <w:szCs w:val="28"/>
          <w:rtl/>
        </w:rPr>
        <w:t xml:space="preserve">(عليه السلام)معنی برخی از اشعار حافظ، حل برخی از معميات، نکات تاریخی و تفسیری و شرح برخی از احادیث، اشعاری از انوری، عطار، دعبل خزاعی، لسان الملک، سعدی و نجمی، مجالس پراکنده، برخی از خطبه ها از انشای مؤلف، برخی از ادعیه متفرقه و ...؛ خط: نستعلیق شکسته، بی کا، تا: قرن ۱۳؛ مصحح؛ فاقد جلد، ۱۴۲گ، راسته و چلیپا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۲-۳۷۹]</w:t>
      </w:r>
    </w:p>
    <w:p>
      <w:pPr>
        <w:pStyle w:val="BookText"/>
      </w:pPr>
      <w:r>
        <w:rPr>
          <w:rFonts w:ascii="IRNazanin" w:hAnsi="IRNazanin" w:eastAsia="IRNazanin" w:cs="IRNazanin"/>
          <w:lang w:bidi="fa-IR"/>
          <w:color w:val="111111"/>
          <w:sz w:val="28"/>
          <w:szCs w:val="28"/>
          <w:rtl/>
        </w:rPr>
        <w:t xml:space="preserve">۱۳. اصفهان، دانشگاه؛ شماره نسخه: ۴۸۲</w:t>
      </w:r>
    </w:p>
    <w:p>
      <w:pPr>
        <w:pStyle w:val="BookText"/>
      </w:pPr>
      <w:r>
        <w:rPr>
          <w:rFonts w:ascii="IRNazanin" w:hAnsi="IRNazanin" w:eastAsia="IRNazanin" w:cs="IRNazanin"/>
          <w:lang w:bidi="fa-IR"/>
          <w:color w:val="111111"/>
          <w:sz w:val="28"/>
          <w:szCs w:val="28"/>
          <w:rtl/>
        </w:rPr>
        <w:t xml:space="preserve">مشتمل بر سوره يس و ملک و اخلاص، اعمال رجب و شعبان و رمضان که خلاصه ای از زادالمعاد مرحوم مجلسی است؛ خط: نسخ، بی کا، تا: قرن ۱۳؛ جلد: تیماج مشکی بدون مقوا، لته پشت افتاده، ۱۰۲گ، ۱۱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سم [ف: ۲-۳۸۰]</w:t>
      </w:r>
    </w:p>
    <w:p>
      <w:pPr>
        <w:pStyle w:val="BookText"/>
      </w:pPr>
      <w:r>
        <w:rPr>
          <w:rFonts w:ascii="IRNazanin" w:hAnsi="IRNazanin" w:eastAsia="IRNazanin" w:cs="IRNazanin"/>
          <w:lang w:bidi="fa-IR"/>
          <w:color w:val="111111"/>
          <w:sz w:val="28"/>
          <w:szCs w:val="28"/>
          <w:rtl/>
        </w:rPr>
        <w:t xml:space="preserve">۱۴. کاشان؛ عاطفی، افشین؛ شماره نسخه: ۱۲۶</w:t>
      </w:r>
    </w:p>
    <w:p>
      <w:pPr>
        <w:pStyle w:val="BookText"/>
      </w:pPr>
      <w:r>
        <w:rPr>
          <w:rFonts w:ascii="IRNazanin" w:hAnsi="IRNazanin" w:eastAsia="IRNazanin" w:cs="IRNazanin"/>
          <w:lang w:bidi="fa-IR"/>
          <w:color w:val="111111"/>
          <w:sz w:val="28"/>
          <w:szCs w:val="28"/>
          <w:rtl/>
        </w:rPr>
        <w:t xml:space="preserve">مشتمل بر ادعيه متفرقه و طلسمات و اشعاری از: مترجم، اوحدی، ضیغم؛ خط: نسخ و نستعلیق، بی کا، تا: قرن ۱۳؛ اشعار ضيغم به خط ناظم؛ جلد: تیماج مشکی بدون مقوا، ۱۰۱گ، مختلف السطر،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سم [ف: ۱۰۹]</w:t>
      </w:r>
    </w:p>
    <w:p>
      <w:pPr>
        <w:pStyle w:val="BookText"/>
      </w:pPr>
      <w:r>
        <w:rPr>
          <w:rFonts w:ascii="Amiri" w:hAnsi="Amiri" w:eastAsia="Amiri" w:cs="Amiri"/>
          <w:lang w:bidi="ar-SA"/>
          <w:color w:val="111111"/>
          <w:sz w:val="28"/>
          <w:szCs w:val="28"/>
          <w:rtl/>
        </w:rPr>
        <w:t xml:space="preserve">۱۵. تهران؛ دائرة المعارف؛ شماره نسخه: ۱۰۳۷</w:t>
      </w:r>
    </w:p>
    <w:p>
      <w:pPr>
        <w:pStyle w:val="BookText"/>
      </w:pPr>
      <w:r>
        <w:rPr>
          <w:rFonts w:ascii="IRNazanin" w:hAnsi="IRNazanin" w:eastAsia="IRNazanin" w:cs="IRNazanin"/>
          <w:lang w:bidi="fa-IR"/>
          <w:color w:val="111111"/>
          <w:sz w:val="28"/>
          <w:szCs w:val="28"/>
          <w:rtl/>
        </w:rPr>
        <w:t xml:space="preserve">آغاز: ز عشقت دیده نمناک دیرم***ز هجرت سینه غمناک دیرم از میرزا مهدی که نامش در (گ ۴ر) آمده؛ دارای: «رباعيت نوریه به سیاق باباطاهر»؛ خط: نستعلیق، بی کا، تا: قرن ۱۳؛ به خامه محمد امین مازندرانی ۱۲۳۰ق (گ اپ -۴ر) نسخه های پزشکی، طلسمات، عزایم، سیماب، دعا، خواص جانوران (گ ۳۴پ - ۴۷پ) درمان گزیدگی، مجربات جناب کوثر علی شاه همدانی (گ ۵۸ر) فائده از جناب حاجی محمد جعفر همدانی (گ ۷۱ر) مرثیه کربلا؛ با یادداشت ۱۲۳۰ و ۱۲۵۲ ق؛ مهر: «اللهم صل على محمد و آل محمد» (چهار گوش)؛ جلد: تیماج قهوای یک لا، مجدول، ۹۸گ، مختلف السطر،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سم [ف: ۲-۳۰]</w:t>
      </w:r>
    </w:p>
    <w:p>
      <w:pPr>
        <w:pStyle w:val="BookText"/>
      </w:pPr>
      <w:r>
        <w:rPr>
          <w:rFonts w:ascii="IRNazanin" w:hAnsi="IRNazanin" w:eastAsia="IRNazanin" w:cs="IRNazanin"/>
          <w:lang w:bidi="fa-IR"/>
          <w:color w:val="111111"/>
          <w:sz w:val="28"/>
          <w:szCs w:val="28"/>
          <w:rtl/>
        </w:rPr>
        <w:t xml:space="preserve">۱۶. اصفهان؛ ابوالبرکات، رضا، شماره نسخه: ۷۵</w:t>
      </w:r>
    </w:p>
    <w:p>
      <w:pPr>
        <w:pStyle w:val="BookText"/>
      </w:pPr>
      <w:r>
        <w:rPr>
          <w:rFonts w:ascii="IRNazanin" w:hAnsi="IRNazanin" w:eastAsia="IRNazanin" w:cs="IRNazanin"/>
          <w:lang w:bidi="fa-IR"/>
          <w:color w:val="111111"/>
          <w:sz w:val="28"/>
          <w:szCs w:val="28"/>
          <w:rtl/>
        </w:rPr>
        <w:t xml:space="preserve">شامل مطالبی در علم اعداد و حروف و جفر و خواص آیات و سوره قرآن کریم؛ خط: نسخ و نستعلیق، بی کا، تا: قرن ۱۳؛ در یکی از صفحات تاریخ وفات «شریعتمدار مقتدى الانام ملاذ الاسلام، عمدة العلماء العاملين، سند الفقهاء الراشدين، زین العارفین و نور حديقة اهل اليقين، كاشف الرسوم، و الرموز آقای بحر العلوم فروشانی در شب جمعه ليله ثالث شهر رمضان المبارک ۱۳۰۹» ذکر شده؛ جلد: مقوایی، ۴۷گ، مختلف السطر [سه کتابخانه اصفهان: ف: ۷۵]</w:t>
      </w:r>
    </w:p>
    <w:p>
      <w:pPr>
        <w:pStyle w:val="BookText"/>
      </w:pPr>
      <w:r>
        <w:rPr>
          <w:rFonts w:ascii="IRNazanin" w:hAnsi="IRNazanin" w:eastAsia="IRNazanin" w:cs="IRNazanin"/>
          <w:lang w:bidi="fa-IR"/>
          <w:color w:val="111111"/>
          <w:sz w:val="28"/>
          <w:szCs w:val="28"/>
          <w:rtl/>
        </w:rPr>
        <w:t xml:space="preserve">۱۷. اصفهان؛ مهدوی، مصلح الدین؛ شماره نسخه: ۱۵۰</w:t>
      </w:r>
    </w:p>
    <w:p>
      <w:pPr>
        <w:pStyle w:val="BookText"/>
      </w:pPr>
      <w:r>
        <w:rPr>
          <w:rFonts w:ascii="IRNazanin" w:hAnsi="IRNazanin" w:eastAsia="IRNazanin" w:cs="IRNazanin"/>
          <w:lang w:bidi="fa-IR"/>
          <w:color w:val="111111"/>
          <w:sz w:val="28"/>
          <w:szCs w:val="28"/>
          <w:rtl/>
        </w:rPr>
        <w:t xml:space="preserve">شامل برخی احادیث و اشعار مصیبت و غیره؛ خط: نسخ، بی کا، تا: قرن ۱۳؛ جلد: تیماج مشکی یک لا، ۱۲۶ گ، ۱۶ سطر،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۱۴۸]</w:t>
      </w:r>
    </w:p>
    <w:p>
      <w:pPr>
        <w:pStyle w:val="BookText"/>
      </w:pPr>
      <w:r>
        <w:rPr>
          <w:rFonts w:ascii="IRNazanin" w:hAnsi="IRNazanin" w:eastAsia="IRNazanin" w:cs="IRNazanin"/>
          <w:lang w:bidi="fa-IR"/>
          <w:color w:val="111111"/>
          <w:sz w:val="28"/>
          <w:szCs w:val="28"/>
          <w:rtl/>
        </w:rPr>
        <w:t xml:space="preserve">۱۸. تهران؛ مجلس؛ شماره نسخه: ۸۴۵۲</w:t>
      </w:r>
    </w:p>
    <w:p>
      <w:pPr>
        <w:pStyle w:val="BookText"/>
      </w:pPr>
      <w:r>
        <w:rPr>
          <w:rFonts w:ascii="IRNazanin" w:hAnsi="IRNazanin" w:eastAsia="IRNazanin" w:cs="IRNazanin"/>
          <w:lang w:bidi="fa-IR"/>
          <w:color w:val="111111"/>
          <w:sz w:val="28"/>
          <w:szCs w:val="28"/>
          <w:rtl/>
        </w:rPr>
        <w:t xml:space="preserve">مشتمل بر: مثنوی چاه وصال سند، قضا و قدر محمد قلی سلیمی خلد برین وحشی، قضا و قدر کلیم، قضا و قدر حکیم رکنا،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نرجس دان ذبیحی، اشعاری از حافظ، جامی، محتشم، برهمن، مشتاق، نظیری نیشابوری؛ خط: شکسته نستعلیق، کا: محمد على بن محمد رحیم، تا: ۲۵ جمادی الثانی ۱۲۰۰ق، سطرها چلیپا و راسته، مصحح؛ مهر: «زد دست به دامان محمد، حسین» (بیضوی)؛ جلد: تیماج مشکی، ۶۶گ، مختلف السطر،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سم [ف: ۲۸-۵۱]</w:t>
      </w:r>
    </w:p>
    <w:p>
      <w:pPr>
        <w:pStyle w:val="BookText"/>
      </w:pPr>
      <w:r>
        <w:rPr>
          <w:rFonts w:ascii="IRNazanin" w:hAnsi="IRNazanin" w:eastAsia="IRNazanin" w:cs="IRNazanin"/>
          <w:lang w:bidi="fa-IR"/>
          <w:color w:val="111111"/>
          <w:sz w:val="28"/>
          <w:szCs w:val="28"/>
          <w:rtl/>
        </w:rPr>
        <w:t xml:space="preserve">۱۹. تهران: مجلس؛ شماره نسخه: ۶۹۲۳</w:t>
      </w:r>
    </w:p>
    <w:p>
      <w:pPr>
        <w:pStyle w:val="BookText"/>
      </w:pPr>
      <w:r>
        <w:rPr>
          <w:rFonts w:ascii="IRNazanin" w:hAnsi="IRNazanin" w:eastAsia="IRNazanin" w:cs="IRNazanin"/>
          <w:lang w:bidi="fa-IR"/>
          <w:color w:val="111111"/>
          <w:sz w:val="28"/>
          <w:szCs w:val="28"/>
          <w:rtl/>
        </w:rPr>
        <w:t xml:space="preserve">آغاز: این نسخه از تجربیات حکمای قدیم است که منتخب شده است که صاحبان ادراک ناخوشی را بشناسد و دوا را در این نسخه پیدا کرده علاج کنند؛ انجام: خاکسترش را گرفته سیر را بکوبد در سرکه ممزوج کرده مثل حنا خمیر کرده در سر بندد نزله را ساکت کند مجرب است در صفت گیاهان و طریق علاج بیماری ها بدان با استفاده از تجربیات حکمای قدیم، در چندین باب و فصل بدون شماره؛ خط: نستعلیق هندی، بی کا، تا: قرن ۱۳؛ جلد: تیماج مشکی، ۹۳گ، ۱۲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۲۰-۳۴۶]</w:t>
      </w:r>
    </w:p>
    <w:p>
      <w:pPr>
        <w:pStyle w:val="BookText"/>
      </w:pPr>
      <w:r>
        <w:rPr>
          <w:rFonts w:ascii="IRNazanin" w:hAnsi="IRNazanin" w:eastAsia="IRNazanin" w:cs="IRNazanin"/>
          <w:lang w:bidi="fa-IR"/>
          <w:color w:val="111111"/>
          <w:sz w:val="28"/>
          <w:szCs w:val="28"/>
          <w:rtl/>
        </w:rPr>
        <w:t xml:space="preserve">۲۰. مشهد؛ مدرسه آية الله خوئی؛ شماره نسخه: ۳۷۴</w:t>
      </w:r>
    </w:p>
    <w:p>
      <w:pPr>
        <w:pStyle w:val="BookText"/>
      </w:pPr>
      <w:r>
        <w:rPr>
          <w:rFonts w:ascii="IRNazanin" w:hAnsi="IRNazanin" w:eastAsia="IRNazanin" w:cs="IRNazanin"/>
          <w:lang w:bidi="fa-IR"/>
          <w:color w:val="111111"/>
          <w:sz w:val="28"/>
          <w:szCs w:val="28"/>
          <w:rtl/>
        </w:rPr>
        <w:t xml:space="preserve">مجموعه ای از اشعار، ادعیه و به جز آن؛ بی کا، تا: قرن ۱۳ [اوراق عتیق: ۱- ۲۴۲]</w:t>
      </w:r>
    </w:p>
    <w:p>
      <w:pPr>
        <w:pStyle w:val="BookText"/>
      </w:pPr>
      <w:r>
        <w:rPr>
          <w:rFonts w:ascii="IRNazanin" w:hAnsi="IRNazanin" w:eastAsia="IRNazanin" w:cs="IRNazanin"/>
          <w:lang w:bidi="fa-IR"/>
          <w:color w:val="111111"/>
          <w:sz w:val="28"/>
          <w:szCs w:val="28"/>
          <w:rtl/>
        </w:rPr>
        <w:t xml:space="preserve">۲۱. مشهد؛ رضوی؛ شماره نسخه: ۱۵۸۳۵</w:t>
      </w:r>
    </w:p>
    <w:p>
      <w:pPr>
        <w:pStyle w:val="BookText"/>
      </w:pPr>
      <w:r>
        <w:rPr>
          <w:rFonts w:ascii="IRNazanin" w:hAnsi="IRNazanin" w:eastAsia="IRNazanin" w:cs="IRNazanin"/>
          <w:lang w:bidi="fa-IR"/>
          <w:color w:val="111111"/>
          <w:sz w:val="28"/>
          <w:szCs w:val="28"/>
          <w:rtl/>
        </w:rPr>
        <w:t xml:space="preserve">آغاز: در مدح و منقبت حضرت علی بن موسی الرضا عليه السلام؛ انجام: جوانان ساز پند پیر دانا را</w:t>
      </w:r>
    </w:p>
    <w:p>
      <w:pPr>
        <w:pStyle w:val="BookText"/>
      </w:pPr>
      <w:r>
        <w:rPr>
          <w:rFonts w:ascii="IRNazanin" w:hAnsi="IRNazanin" w:eastAsia="IRNazanin" w:cs="IRNazanin"/>
          <w:lang w:bidi="fa-IR"/>
          <w:color w:val="111111"/>
          <w:sz w:val="28"/>
          <w:szCs w:val="28"/>
          <w:rtl/>
        </w:rPr>
        <w:t xml:space="preserve">بیاض در مدایح معصومین(عليهم السلام)؛ خط: نستعلیق، بی کا، تا: قرن ۱۳؛ کاغذ: نخودی،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[رایانه]</w:t>
      </w:r>
    </w:p>
    <w:p>
      <w:pPr>
        <w:pStyle w:val="BookText"/>
      </w:pPr>
      <w:r>
        <w:rPr>
          <w:rFonts w:ascii="IRNazanin" w:hAnsi="IRNazanin" w:eastAsia="IRNazanin" w:cs="IRNazanin"/>
          <w:lang w:bidi="fa-IR"/>
          <w:color w:val="111111"/>
          <w:sz w:val="28"/>
          <w:szCs w:val="28"/>
          <w:rtl/>
        </w:rPr>
        <w:t xml:space="preserve">۲۲. تهران؛ مجلس؛ شماره نسخه: ۱۵۸۹۴</w:t>
      </w:r>
    </w:p>
    <w:p>
      <w:pPr>
        <w:pStyle w:val="BookText"/>
      </w:pPr>
      <w:r>
        <w:rPr>
          <w:rFonts w:ascii="IRNazanin" w:hAnsi="IRNazanin" w:eastAsia="IRNazanin" w:cs="IRNazanin"/>
          <w:lang w:bidi="fa-IR"/>
          <w:color w:val="111111"/>
          <w:sz w:val="28"/>
          <w:szCs w:val="28"/>
          <w:rtl/>
        </w:rPr>
        <w:t xml:space="preserve">آغاز: حضرت فرمود ای سكينه فاطمه بیمار است و سفر کربلا مشقت بسیار دارد ای سکینه بهتر که ندانی ماندن فاطمه در مدینه بهتر است؛ انجام: کسی بجز تو غم بیکسی نمی خواند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بلی غریب که درد غریب می داند بیاضی است از نوع آنکه مداحان و مرثیه خوانان برای مجالس روضه خوانی گرد می آوردند. شامل مصائب و مراثی ائمه اطهار (عليهم السلام) به خصوص سیدالشهداء به نظم و نثر فارسی. این نسخه در قرن ۱۳ق گرد آمده؛ خط: نستعلیق، بی کا، تا: قرن ۱۳؛ افتادگی: آغاز و انجام؛ رکابه دار؛ جلد: تیماج قهوه ای، ۱۱۶گ، ۲۲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۴۴-۱۱۹]</w:t>
      </w:r>
    </w:p>
    <w:p>
      <w:pPr>
        <w:pStyle w:val="BookText"/>
      </w:pPr>
      <w:r>
        <w:rPr>
          <w:rFonts w:ascii="IRNazanin" w:hAnsi="IRNazanin" w:eastAsia="IRNazanin" w:cs="IRNazanin"/>
          <w:lang w:bidi="fa-IR"/>
          <w:color w:val="111111"/>
          <w:sz w:val="28"/>
          <w:szCs w:val="28"/>
          <w:rtl/>
        </w:rPr>
        <w:t xml:space="preserve">۲۳. تهران؛ مجلس؛ شماره نسخه: ۱۱۴۲۴</w:t>
      </w:r>
    </w:p>
    <w:p>
      <w:pPr>
        <w:pStyle w:val="BookText"/>
      </w:pPr>
      <w:r>
        <w:rPr>
          <w:rFonts w:ascii="IRNazanin" w:hAnsi="IRNazanin" w:eastAsia="IRNazanin" w:cs="IRNazanin"/>
          <w:lang w:bidi="fa-IR"/>
          <w:color w:val="111111"/>
          <w:sz w:val="28"/>
          <w:szCs w:val="28"/>
          <w:rtl/>
        </w:rPr>
        <w:t xml:space="preserve">مجموعه ای از اشعار، سرودها و منظومات معروف فارسی (از جمله مثنوی ایاز محمود) به همراه برخی بیانات کوتاه نثر مانند: در بیان اخکام فصد، معرفت تقویم، طالع نامه و برخی ادعیه و حرزهای ماثوره است؛ خط: نستعلیق، بی کا، تا: قرن ۱۳؛ سطور چلیپا؛ جلد: تیماج قهوه ای، ۱۸۰ گ [ف: ۳۳/۲ -۱۲۲]</w:t>
      </w:r>
    </w:p>
    <w:p>
      <w:pPr>
        <w:pStyle w:val="BookText"/>
      </w:pPr>
      <w:r>
        <w:rPr>
          <w:rFonts w:ascii="IRNazanin" w:hAnsi="IRNazanin" w:eastAsia="IRNazanin" w:cs="IRNazanin"/>
          <w:lang w:bidi="fa-IR"/>
          <w:color w:val="111111"/>
          <w:sz w:val="28"/>
          <w:szCs w:val="28"/>
          <w:rtl/>
        </w:rPr>
        <w:t xml:space="preserve">۲۴. تهران؛ مجلس؛ شماره نسخه: ۱۱۵۵۱</w:t>
      </w:r>
    </w:p>
    <w:p>
      <w:pPr>
        <w:pStyle w:val="BookText"/>
      </w:pPr>
      <w:r>
        <w:rPr>
          <w:rFonts w:ascii="IRNazanin" w:hAnsi="IRNazanin" w:eastAsia="IRNazanin" w:cs="IRNazanin"/>
          <w:lang w:bidi="fa-IR"/>
          <w:color w:val="111111"/>
          <w:sz w:val="28"/>
          <w:szCs w:val="28"/>
          <w:rtl/>
        </w:rPr>
        <w:t xml:space="preserve">آغاز: دیباچه؛ سبحان الله این چه ساحر است که جمله (؟) جادو نگاه مسخر اویند و چه سخن گستر است که تمامی سخنوران فصیح زبان با او در گفتگو مجموعه ای از مرسلات، اشعار و منظومات از شاعران معاصر و غیر آن که در یک دفتر گردآوری شده است. عناوین برخی قطعات: مراسله به یکی از احباب، دیباچه نکاح نواب حسین قلیخان قاجار، قصیده مدح علی(عليه السلام) و امام رضا(عليه السلام) و امام حسن(عليه السلام) از صباحی، قصیده مدح على(عليه السلام)انوری، قصیده مدح على(عليه السلام)از شکوهی، ماده تاریخ ضریح امیرالمومنین(عليه السلام)از صباحی، چند فرمان از شاه، صورت استشهاد میرزا اسماعیل در خصوص اسب، نحو نگارش قباله جات شرعی، مدح رسول اکرم(صلی الله علیه وآله وسلم)از میرزا طوفان، ماده تاریخ زفاف میرزا ابوالفتح خان و ...) خط: نستعلیق، بی کا، تا: ۱۲۱۵ق، سطور چلیپا؛ جلد: تیماج قهوه ای، ۱۲۷گ،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۳۳/۲ -۱۷۶]</w:t>
      </w:r>
    </w:p>
    <w:p>
      <w:pPr>
        <w:pStyle w:val="BookText"/>
      </w:pPr>
      <w:r>
        <w:rPr>
          <w:rFonts w:ascii="IRNazanin" w:hAnsi="IRNazanin" w:eastAsia="IRNazanin" w:cs="IRNazanin"/>
          <w:lang w:bidi="fa-IR"/>
          <w:color w:val="111111"/>
          <w:sz w:val="28"/>
          <w:szCs w:val="28"/>
          <w:rtl/>
        </w:rPr>
        <w:t xml:space="preserve">۲۵. قم؛ مسجد اعظم، شماره نسخه: ۱۵۰۰/۲</w:t>
      </w:r>
    </w:p>
    <w:p>
      <w:pPr>
        <w:pStyle w:val="BookText"/>
      </w:pPr>
      <w:r>
        <w:rPr>
          <w:rFonts w:ascii="IRNazanin" w:hAnsi="IRNazanin" w:eastAsia="IRNazanin" w:cs="IRNazanin"/>
          <w:lang w:bidi="fa-IR"/>
          <w:color w:val="111111"/>
          <w:sz w:val="28"/>
          <w:szCs w:val="28"/>
          <w:rtl/>
        </w:rPr>
        <w:t xml:space="preserve">آغاز: نام پیغمبران این است یا [...] محمدبن عبدالله بن المطلب؛ انجام: و رهنمایی از جانب خدای تعالی لازم است که در میان خلق باشد خط: نستعلیق، بی کا، تا: ۲۳ جمادی الاول ۱۲۵۶ق، جان خانه عباسعلی؛ خطوط سیاه؛ جلد: تیماج مشکی مجدول، اگ، ۱۲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سم [ف مخ: ۱-۲۸۶]</w:t>
      </w:r>
    </w:p>
    <w:p>
      <w:pPr>
        <w:pStyle w:val="BookText"/>
      </w:pPr>
      <w:r>
        <w:rPr>
          <w:rFonts w:ascii="IRNazanin" w:hAnsi="IRNazanin" w:eastAsia="IRNazanin" w:cs="IRNazanin"/>
          <w:lang w:bidi="fa-IR"/>
          <w:color w:val="111111"/>
          <w:sz w:val="28"/>
          <w:szCs w:val="28"/>
          <w:rtl/>
        </w:rPr>
        <w:t xml:space="preserve">۲۶. دامغان؛ قمر بنی هاشم؛ شماره نسخه: ۲۲۶</w:t>
      </w:r>
    </w:p>
    <w:p>
      <w:pPr>
        <w:pStyle w:val="BookText"/>
      </w:pPr>
      <w:r>
        <w:rPr>
          <w:rFonts w:ascii="IRNazanin" w:hAnsi="IRNazanin" w:eastAsia="IRNazanin" w:cs="IRNazanin"/>
          <w:lang w:bidi="fa-IR"/>
          <w:color w:val="111111"/>
          <w:sz w:val="28"/>
          <w:szCs w:val="28"/>
          <w:rtl/>
        </w:rPr>
        <w:t xml:space="preserve">آغاز: اسباب کدخدایی و جو کندن و عمارت و زراعت کردن و درخت نشاندن؛ انجام: اگر پا برهنه میان ..... پایین بکشد خوب شود انشاء الله تعالی مشتمل بر نسخه های طبی، طلسمات، اختیارات ایام و متفرقاتی دیگر؛ خط: نسخ و نستعلیق، بی کا، تا: قرن ۱۴؛ افتادگی: آغاز؛ ۶۵گ، مختلف السطر،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سم [ف مخ: ۲۶ ]</w:t>
      </w:r>
    </w:p>
    <w:p>
      <w:pPr>
        <w:pStyle w:val="BookText"/>
      </w:pPr>
      <w:r>
        <w:rPr>
          <w:rFonts w:ascii="IRNazanin" w:hAnsi="IRNazanin" w:eastAsia="IRNazanin" w:cs="IRNazanin"/>
          <w:lang w:bidi="fa-IR"/>
          <w:color w:val="111111"/>
          <w:sz w:val="28"/>
          <w:szCs w:val="28"/>
          <w:rtl/>
        </w:rPr>
        <w:t xml:space="preserve">۲۷. مشهد؛ رضوی؛ شماره نسخه: ۱۶۲۱۴</w:t>
      </w:r>
    </w:p>
    <w:p>
      <w:pPr>
        <w:pStyle w:val="BookText"/>
      </w:pPr>
      <w:r>
        <w:rPr>
          <w:rFonts w:ascii="IRNazanin" w:hAnsi="IRNazanin" w:eastAsia="IRNazanin" w:cs="IRNazanin"/>
          <w:lang w:bidi="fa-IR"/>
          <w:color w:val="111111"/>
          <w:sz w:val="28"/>
          <w:szCs w:val="28"/>
          <w:rtl/>
        </w:rPr>
        <w:t xml:space="preserve">آغاز: از سخنان عباس سیلاب اشک از دیدهای مبارک روان کرد؛ انجام: این کرب بلا یک پسری بود مرا. نسخه ای است مشتمل بر نوحه و مرثیه و شرح وقایع عاشورا و داستان هایی در پند و اندرز از صدر اسلام؛ خط: نسخ و نستعلیق، بی کا، تا: قرن ۱۴؛ واگذاری بنیاد مستضعفان در شهریورماه ۱۳۶۷؛ کاغذ: نخودی و آبی، جلد: اسقاطی، ۱۳۵ گ، مختلف السطر، اندازه: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۲۰سم [ف: ۱۷-۶۰]</w:t>
      </w:r>
    </w:p>
    <w:p>
      <w:pPr>
        <w:pStyle w:val="BookText"/>
      </w:pPr>
      <w:r>
        <w:rPr>
          <w:rFonts w:ascii="IRNazanin" w:hAnsi="IRNazanin" w:eastAsia="IRNazanin" w:cs="IRNazanin"/>
          <w:lang w:bidi="fa-IR"/>
          <w:color w:val="111111"/>
          <w:sz w:val="28"/>
          <w:szCs w:val="28"/>
          <w:rtl/>
        </w:rPr>
        <w:t xml:space="preserve">۲۸. گلپایگان؛ امام جمعه، محمد حسن؛ شماره نسخه: ۳۵</w:t>
      </w:r>
    </w:p>
    <w:p>
      <w:pPr>
        <w:pStyle w:val="BookText"/>
      </w:pPr>
      <w:r>
        <w:rPr>
          <w:rFonts w:ascii="IRNazanin" w:hAnsi="IRNazanin" w:eastAsia="IRNazanin" w:cs="IRNazanin"/>
          <w:lang w:bidi="fa-IR"/>
          <w:color w:val="111111"/>
          <w:sz w:val="28"/>
          <w:szCs w:val="28"/>
          <w:rtl/>
        </w:rPr>
        <w:t xml:space="preserve">بیشتر حساب و کتاب های شخصی است به روش سیاقی و اکثر اوراق آن سفید مانده؛ خط: نستعلیق، بی کا، تا: قرن ۱۴، جلد: تیماج قهوه ای بدون مقوا، ۱۷۸گ، مختلف السطر،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کتابخانه های گلپایگان: ف: ۱۴۷]</w:t>
      </w:r>
    </w:p>
    <w:p>
      <w:pPr>
        <w:pStyle w:val="BookText"/>
      </w:pPr>
      <w:r>
        <w:rPr>
          <w:rFonts w:ascii="IRNazanin" w:hAnsi="IRNazanin" w:eastAsia="IRNazanin" w:cs="IRNazanin"/>
          <w:lang w:bidi="fa-IR"/>
          <w:color w:val="111111"/>
          <w:sz w:val="28"/>
          <w:szCs w:val="28"/>
          <w:rtl/>
        </w:rPr>
        <w:t xml:space="preserve">۲۹. مشهد؛ مدرسه آية الله خوئی؛ شماره نسخه: ۴۲۲</w:t>
      </w:r>
    </w:p>
    <w:p>
      <w:pPr>
        <w:pStyle w:val="BookText"/>
      </w:pPr>
      <w:r>
        <w:rPr>
          <w:rFonts w:ascii="IRNazanin" w:hAnsi="IRNazanin" w:eastAsia="IRNazanin" w:cs="IRNazanin"/>
          <w:lang w:bidi="fa-IR"/>
          <w:color w:val="111111"/>
          <w:sz w:val="28"/>
          <w:szCs w:val="28"/>
          <w:rtl/>
        </w:rPr>
        <w:t xml:space="preserve">شامل اشعار فارسی، فواید سور قرآنی، ادعیه و به جز اینها؛ بی کا، تا: قرن ۱۳ و ۱۴ [اوراق عتیق: ۱- ۲۴۲]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۳۰. مشهد؛ مدرسه آية الله خوئی؛ شماره نسخه: ۴۲۴</w:t>
      </w:r>
    </w:p>
    <w:p>
      <w:pPr>
        <w:pStyle w:val="BookText"/>
      </w:pPr>
      <w:r>
        <w:rPr>
          <w:rFonts w:ascii="IRNazanin" w:hAnsi="IRNazanin" w:eastAsia="IRNazanin" w:cs="IRNazanin"/>
          <w:lang w:bidi="fa-IR"/>
          <w:color w:val="111111"/>
          <w:sz w:val="28"/>
          <w:szCs w:val="28"/>
          <w:rtl/>
        </w:rPr>
        <w:t xml:space="preserve">شامل اشعار فارسی، نسخه ناتمام؛ بی کا، تا: قرن ۱۴ [اوراق عتیق: ۲۴۲-۱ ]</w:t>
      </w:r>
    </w:p>
    <w:p>
      <w:pPr>
        <w:pStyle w:val="BookText"/>
      </w:pPr>
      <w:r>
        <w:rPr>
          <w:rFonts w:ascii="IRNazanin" w:hAnsi="IRNazanin" w:eastAsia="IRNazanin" w:cs="IRNazanin"/>
          <w:lang w:bidi="fa-IR"/>
          <w:color w:val="111111"/>
          <w:sz w:val="28"/>
          <w:szCs w:val="28"/>
          <w:rtl/>
        </w:rPr>
        <w:t xml:space="preserve">۳۱. مشهد؛ مدرسه آية الله خوئی؛ شماره نسخه: ۴۲۵</w:t>
      </w:r>
    </w:p>
    <w:p>
      <w:pPr>
        <w:pStyle w:val="BookText"/>
      </w:pPr>
      <w:r>
        <w:rPr>
          <w:rFonts w:ascii="IRNazanin" w:hAnsi="IRNazanin" w:eastAsia="IRNazanin" w:cs="IRNazanin"/>
          <w:lang w:bidi="fa-IR"/>
          <w:color w:val="111111"/>
          <w:sz w:val="28"/>
          <w:szCs w:val="28"/>
          <w:rtl/>
        </w:rPr>
        <w:t xml:space="preserve">در مراثی حضرت سید الشهداء(عليه السلام)و شامل اشعار و اخبار متفرقه؛ بی کا، تا: قرن ۱۴ [اوراق عتیق: ۱-۲۴۲]</w:t>
      </w:r>
    </w:p>
    <w:p>
      <w:pPr>
        <w:pStyle w:val="BookText"/>
      </w:pPr>
      <w:r>
        <w:rPr>
          <w:rFonts w:ascii="IRNazanin" w:hAnsi="IRNazanin" w:eastAsia="IRNazanin" w:cs="IRNazanin"/>
          <w:lang w:bidi="fa-IR"/>
          <w:color w:val="111111"/>
          <w:sz w:val="28"/>
          <w:szCs w:val="28"/>
          <w:rtl/>
        </w:rPr>
        <w:t xml:space="preserve">۳۲. مشهد؛ نواب؛ شماره نسخه: ۶۸۸</w:t>
      </w:r>
    </w:p>
    <w:p>
      <w:pPr>
        <w:pStyle w:val="BookText"/>
      </w:pPr>
      <w:r>
        <w:rPr>
          <w:rFonts w:ascii="IRNazanin" w:hAnsi="IRNazanin" w:eastAsia="IRNazanin" w:cs="IRNazanin"/>
          <w:lang w:bidi="fa-IR"/>
          <w:color w:val="111111"/>
          <w:sz w:val="28"/>
          <w:szCs w:val="28"/>
          <w:rtl/>
        </w:rPr>
        <w:t xml:space="preserve">آغاز: الملك القديم الحميد ذو العرش المجيد، انجام: و الحق حروف ابجد ... نسخه ای است بدون اول و آخر که گویا متعلق به افسونگری بوده شامل ختم ها و عمل ملاحیدر و غیره، برخی طلسم ها؛ خط: نسخ معرب، بی کا، تا: قرن ۱۴؛ افتادگی: آغاز و انجام؛ جلد: تیماج لایه ای عنابی، ۱۱۵ ، ۱۳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[ف: ۵۴۲]</w:t>
      </w:r>
    </w:p>
    <w:p>
      <w:pPr>
        <w:pStyle w:val="BookText"/>
      </w:pPr>
      <w:r>
        <w:rPr>
          <w:rFonts w:ascii="IRNazanin" w:hAnsi="IRNazanin" w:eastAsia="IRNazanin" w:cs="IRNazanin"/>
          <w:lang w:bidi="fa-IR"/>
          <w:color w:val="111111"/>
          <w:sz w:val="28"/>
          <w:szCs w:val="28"/>
          <w:rtl/>
        </w:rPr>
        <w:t xml:space="preserve">۳۳. کاشان؛ عاطفی، افشین؛ شماره نسخه: ۹۷</w:t>
      </w:r>
    </w:p>
    <w:p>
      <w:pPr>
        <w:pStyle w:val="BookText"/>
      </w:pPr>
      <w:r>
        <w:rPr>
          <w:rFonts w:ascii="IRNazanin" w:hAnsi="IRNazanin" w:eastAsia="IRNazanin" w:cs="IRNazanin"/>
          <w:lang w:bidi="fa-IR"/>
          <w:color w:val="111111"/>
          <w:sz w:val="28"/>
          <w:szCs w:val="28"/>
          <w:rtl/>
        </w:rPr>
        <w:t xml:space="preserve">مشتمل بر چندین انشاء با عناوین: عریضه، تغزیت نامه، وصیت نامه، مصالحه، نامچه، وکالت نامه به سال ۱۲۴۲، مصالحه نامهای به سال ۱۲۵۰، اقرار نامه، اجاره دادن گوسفند، مهر نامه، قباله مزرعه و آب، استفتاءات، شراکت نامه، چندین مهر نامه و دیگر عقود و ایقاعات شرعی، طریقه ختم سوره يس و متفرقاتی دیگر؛ خط: نسخ و نستعلیق، بی کا، تا: از سال ۱۲۲۶ تا ۱۳۲۷ق؛ چلیپا یا راسته؛ جلد: آبی رنگ، ۵۲گ، مختلف السطر،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سم [ف: ۸۱]</w:t>
      </w:r>
    </w:p>
    <w:p>
      <w:pPr>
        <w:pStyle w:val="BookText"/>
      </w:pPr>
      <w:r>
        <w:rPr>
          <w:rFonts w:ascii="IRNazanin" w:hAnsi="IRNazanin" w:eastAsia="IRNazanin" w:cs="IRNazanin"/>
          <w:lang w:bidi="fa-IR"/>
          <w:color w:val="111111"/>
          <w:sz w:val="28"/>
          <w:szCs w:val="28"/>
          <w:rtl/>
        </w:rPr>
        <w:t xml:space="preserve">۳۴. کاشان؛ عاطفی، افشین؛ شماره نسخه: ۲۴</w:t>
      </w:r>
    </w:p>
    <w:p>
      <w:pPr>
        <w:pStyle w:val="BookText"/>
      </w:pPr>
      <w:r>
        <w:rPr>
          <w:rFonts w:ascii="IRNazanin" w:hAnsi="IRNazanin" w:eastAsia="IRNazanin" w:cs="IRNazanin"/>
          <w:lang w:bidi="fa-IR"/>
          <w:color w:val="111111"/>
          <w:sz w:val="28"/>
          <w:szCs w:val="28"/>
          <w:rtl/>
        </w:rPr>
        <w:t xml:space="preserve">مشتمل بر متفرقاتی بدین عناوین: دعای قرثيا و طریقه خواندن آن، ساعات خوب و بد و احکام طوالع، برخی از طلسمات و نسخه های پزشکی در دفع برخی از حشرات و گزندگان، خواص برخی از آیات و ادعیه خواص سوره های قرآن و ...؛ خط: نسخ، كان محمد جعفر بن محمد مهدی بن محمد جعفر کاشانی، تا: دوشنبه ۴ جمادی الاول ۱۳۲۷ق؛ جلد: تیماج قرمز بدون مقوا، ۲۱۰گ، مختلف السطر،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۲۸]</w:t>
      </w:r>
    </w:p>
    <w:p>
      <w:pPr>
        <w:pStyle w:val="BookText"/>
      </w:pPr>
      <w:r>
        <w:rPr>
          <w:rFonts w:ascii="IRNazanin" w:hAnsi="IRNazanin" w:eastAsia="IRNazanin" w:cs="IRNazanin"/>
          <w:lang w:bidi="fa-IR"/>
          <w:color w:val="111111"/>
          <w:sz w:val="28"/>
          <w:szCs w:val="28"/>
          <w:rtl/>
        </w:rPr>
        <w:t xml:space="preserve">۳۵. اصفهان؛ دانشگاه؛ شماره نسخه: ۶۴۹</w:t>
      </w:r>
    </w:p>
    <w:p>
      <w:pPr>
        <w:pStyle w:val="BookText"/>
      </w:pPr>
      <w:r>
        <w:rPr>
          <w:rFonts w:ascii="IRNazanin" w:hAnsi="IRNazanin" w:eastAsia="IRNazanin" w:cs="IRNazanin"/>
          <w:lang w:bidi="fa-IR"/>
          <w:color w:val="111111"/>
          <w:sz w:val="28"/>
          <w:szCs w:val="28"/>
          <w:rtl/>
        </w:rPr>
        <w:t xml:space="preserve">مشتمل بر اشعاری از: انوری، خاقانی، عنصری، فتحعلی شاه، حافظ، عبدالوهاب خان معتمدالدوله، نشاط، قاآنی، فروغی، سعدی، حیرت؛ خط شکسته نستعلیق، بی کا، تا: ۱۳ شوال ۱۳۳۴ق، جا: منزل حسن خان، به اتفاق امان الله (برگ ۳۵)، احمد (برگ ۴۷) اسدالله لنکرانی (برگ ۶۲)؛ دارای سرلوح رنگین، مجدول؛ جلد: تیماج قهوه ای بدون مقوا، ۶۳گ، چلیپا سطر،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سم [ف: ۲-۴۹۹]</w:t>
      </w:r>
    </w:p>
    <w:p>
      <w:pPr>
        <w:pStyle w:val="BookText"/>
      </w:pPr>
      <w:r>
        <w:rPr>
          <w:rFonts w:ascii="IRNazanin" w:hAnsi="IRNazanin" w:eastAsia="IRNazanin" w:cs="IRNazanin"/>
          <w:lang w:bidi="fa-IR"/>
          <w:color w:val="111111"/>
          <w:sz w:val="28"/>
          <w:szCs w:val="28"/>
          <w:rtl/>
        </w:rPr>
        <w:t xml:space="preserve">۳۶. کاشان، عاطفی، افشین؛ شماره نسخه: ۸۳</w:t>
      </w:r>
    </w:p>
    <w:p>
      <w:pPr>
        <w:pStyle w:val="BookText"/>
      </w:pPr>
      <w:r>
        <w:rPr>
          <w:rFonts w:ascii="IRNazanin" w:hAnsi="IRNazanin" w:eastAsia="IRNazanin" w:cs="IRNazanin"/>
          <w:lang w:bidi="fa-IR"/>
          <w:color w:val="111111"/>
          <w:sz w:val="28"/>
          <w:szCs w:val="28"/>
          <w:rtl/>
        </w:rPr>
        <w:t xml:space="preserve">مشتمل بر اسامی شاگردان مدرسه سرداریه، اشعاری فارسی از حداد به سال ۱۳۳۸، سرباز، بیدل، جوهری، وصال، کوثر، مبکی، ادیب، جودی، ملامحمود نراقی به سال ۱۳۳۹، ذاکر به سال ۱۳۴۰ و ۱۳۴۱، چندین مجلس</w:t>
      </w:r>
    </w:p>
    <w:p>
      <w:pPr>
        <w:pStyle w:val="BookText"/>
      </w:pPr>
      <w:r>
        <w:rPr>
          <w:rFonts w:ascii="IRNazanin" w:hAnsi="IRNazanin" w:eastAsia="IRNazanin" w:cs="IRNazanin"/>
          <w:lang w:bidi="fa-IR"/>
          <w:color w:val="111111"/>
          <w:sz w:val="28"/>
          <w:szCs w:val="28"/>
          <w:rtl/>
        </w:rPr>
        <w:t xml:space="preserve">پراکنده و چند نامه و مراسله و متفرقاتی دیگر؛ خط: نسخ و نستعلیق، بی کا، تا: ۱۳۴۱ق؛ برخی از اشعار به خط على بن جعفر، به سال ۱۳۳۸ تا ۱۳۴۱؛ راسته یا چلیپا؛ جلد: تیماج قهوه ای بدون مقوا، ۲۷گ، مختلف</w:t>
      </w:r>
    </w:p>
    <w:p>
      <w:pPr>
        <w:pStyle w:val="BookText"/>
      </w:pPr>
      <w:r>
        <w:rPr>
          <w:rFonts w:ascii="IRNazanin" w:hAnsi="IRNazanin" w:eastAsia="IRNazanin" w:cs="IRNazanin"/>
          <w:lang w:bidi="fa-IR"/>
          <w:color w:val="111111"/>
          <w:sz w:val="28"/>
          <w:szCs w:val="28"/>
          <w:rtl/>
        </w:rPr>
        <w:t xml:space="preserve">السطر،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۷۳]</w:t>
      </w:r>
    </w:p>
    <w:p>
      <w:pPr>
        <w:pStyle w:val="BookText"/>
      </w:pPr>
      <w:r>
        <w:rPr>
          <w:rFonts w:ascii="IRNazanin" w:hAnsi="IRNazanin" w:eastAsia="IRNazanin" w:cs="IRNazanin"/>
          <w:lang w:bidi="fa-IR"/>
          <w:color w:val="111111"/>
          <w:sz w:val="28"/>
          <w:szCs w:val="28"/>
          <w:rtl/>
        </w:rPr>
        <w:t xml:space="preserve">۳۷. شیراز؛ شاهچراغ؛ شماره نسخه: ۱۵۰</w:t>
      </w:r>
    </w:p>
    <w:p>
      <w:pPr>
        <w:pStyle w:val="BookText"/>
      </w:pPr>
      <w:r>
        <w:rPr>
          <w:rFonts w:ascii="IRNazanin" w:hAnsi="IRNazanin" w:eastAsia="IRNazanin" w:cs="IRNazanin"/>
          <w:lang w:bidi="fa-IR"/>
          <w:color w:val="111111"/>
          <w:sz w:val="28"/>
          <w:szCs w:val="28"/>
          <w:rtl/>
        </w:rPr>
        <w:t xml:space="preserve">شامل: ۱- مقداری دستورهای طبی است در ساختن داروها و معجونها، ۲- مقداری اشعار فارسی، ۳- دعاها و طلسمات؛ خط: نستعلیق، بی کا، بی تاب کاغذ: آبی و نخودی، جلد: مقوا با کاغذ سبز، ۱۴۴ص، مختلف السطر،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۱-۲۶۵]</w:t>
      </w:r>
    </w:p>
    <w:p>
      <w:pPr>
        <w:pStyle w:val="BookText"/>
      </w:pPr>
      <w:r>
        <w:rPr>
          <w:rFonts w:ascii="IRNazanin" w:hAnsi="IRNazanin" w:eastAsia="IRNazanin" w:cs="IRNazanin"/>
          <w:lang w:bidi="fa-IR"/>
          <w:color w:val="111111"/>
          <w:sz w:val="28"/>
          <w:szCs w:val="28"/>
          <w:rtl/>
        </w:rPr>
        <w:t xml:space="preserve">۳۸. شیراز؛ شاهچراغ؛ شماره نسخه: ۱۵۴</w:t>
      </w:r>
    </w:p>
    <w:p>
      <w:pPr>
        <w:pStyle w:val="BookText"/>
      </w:pPr>
      <w:r>
        <w:rPr>
          <w:rFonts w:ascii="IRNazanin" w:hAnsi="IRNazanin" w:eastAsia="IRNazanin" w:cs="IRNazanin"/>
          <w:lang w:bidi="fa-IR"/>
          <w:color w:val="111111"/>
          <w:sz w:val="28"/>
          <w:szCs w:val="28"/>
          <w:rtl/>
        </w:rPr>
        <w:t xml:space="preserve">این بیاضی است که اوراق آن نامرتب و پس و پیش صحافی شده و شامل قسمتی از یک رساله طبی است به ضمیمه ادعیه و طلسماتی برای دفع امراض و بر آمدن حاجات؛ خط: نستعلیق، بی کا، بی تا، کاغذ: آبی کثیف، جلد: مقوا با کاغذ سبز، ۵۶ص، مختلف السطر،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سم [ف: ۱-۲۶۶]</w:t>
      </w:r>
    </w:p>
    <w:p>
      <w:pPr>
        <w:pStyle w:val="BookText"/>
      </w:pPr>
      <w:r>
        <w:rPr>
          <w:rFonts w:ascii="IRNazanin" w:hAnsi="IRNazanin" w:eastAsia="IRNazanin" w:cs="IRNazanin"/>
          <w:lang w:bidi="fa-IR"/>
          <w:color w:val="111111"/>
          <w:sz w:val="28"/>
          <w:szCs w:val="28"/>
          <w:rtl/>
        </w:rPr>
        <w:t xml:space="preserve">۳۹. شیراز؛ شاهچراغ؛ شماره نسخه: ۱۶۰</w:t>
      </w:r>
    </w:p>
    <w:p>
      <w:pPr>
        <w:pStyle w:val="BookText"/>
      </w:pPr>
      <w:r>
        <w:rPr>
          <w:rFonts w:ascii="IRNazanin" w:hAnsi="IRNazanin" w:eastAsia="IRNazanin" w:cs="IRNazanin"/>
          <w:lang w:bidi="fa-IR"/>
          <w:color w:val="111111"/>
          <w:sz w:val="28"/>
          <w:szCs w:val="28"/>
          <w:rtl/>
        </w:rPr>
        <w:t xml:space="preserve">این بیاض شامل مقداری ادعیه و طلسمات و مطالب مختلف دیگر است؛ خط: نسخ و نستعلیق، بی کا، بی تا؛ کاغذ: نخودی، جلد: مقوا با کاغذ سبز، ۲۶گ، مختلف السطر،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سم [ف: ۱-۲۶۷]</w:t>
      </w:r>
    </w:p>
    <w:p>
      <w:pPr>
        <w:pStyle w:val="BookText"/>
      </w:pPr>
      <w:r>
        <w:rPr>
          <w:rFonts w:ascii="IRNazanin" w:hAnsi="IRNazanin" w:eastAsia="IRNazanin" w:cs="IRNazanin"/>
          <w:lang w:bidi="fa-IR"/>
          <w:color w:val="111111"/>
          <w:sz w:val="28"/>
          <w:szCs w:val="28"/>
          <w:rtl/>
        </w:rPr>
        <w:t xml:space="preserve">۴۰. شیراز؛ شاهچراغ؛ شماره نسخه: ۲۱۷</w:t>
      </w:r>
    </w:p>
    <w:p>
      <w:pPr>
        <w:pStyle w:val="BookText"/>
      </w:pPr>
      <w:r>
        <w:rPr>
          <w:rFonts w:ascii="IRNazanin" w:hAnsi="IRNazanin" w:eastAsia="IRNazanin" w:cs="IRNazanin"/>
          <w:lang w:bidi="fa-IR"/>
          <w:color w:val="111111"/>
          <w:sz w:val="28"/>
          <w:szCs w:val="28"/>
          <w:rtl/>
        </w:rPr>
        <w:t xml:space="preserve">در بعضی از صفحات آن ادعیه و مطالب متفرقه و طلسم با مرکب و جوهر و مداد نوشته شده؛ خط: مختلف، بی کا، بی تا، کاغذ: سفید کثیف، جلد: مقوا با کاغذ سبز، ۲۲۸گ، عدد سطور و اندازه نوشته مختلف،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سم [ف: ۱-۲۶۷]</w:t>
      </w:r>
    </w:p>
    <w:p>
      <w:pPr>
        <w:pStyle w:val="BookText"/>
      </w:pPr>
      <w:r>
        <w:rPr>
          <w:rFonts w:ascii="IRNazanin" w:hAnsi="IRNazanin" w:eastAsia="IRNazanin" w:cs="IRNazanin"/>
          <w:lang w:bidi="fa-IR"/>
          <w:color w:val="111111"/>
          <w:sz w:val="28"/>
          <w:szCs w:val="28"/>
          <w:rtl/>
        </w:rPr>
        <w:t xml:space="preserve">۴۱. شیراز؛ شاهچراغ؛ شماره نسخه: ۲۸۴</w:t>
      </w:r>
    </w:p>
    <w:p>
      <w:pPr>
        <w:pStyle w:val="BookText"/>
      </w:pPr>
      <w:r>
        <w:rPr>
          <w:rFonts w:ascii="IRNazanin" w:hAnsi="IRNazanin" w:eastAsia="IRNazanin" w:cs="IRNazanin"/>
          <w:lang w:bidi="fa-IR"/>
          <w:color w:val="111111"/>
          <w:sz w:val="28"/>
          <w:szCs w:val="28"/>
          <w:rtl/>
        </w:rPr>
        <w:t xml:space="preserve">این بیاض شامل خواص بعضی ادویه و تعدادی ادعیه و طلسمات است؛ خط: نستعلیق، بی کا، بی تا، نوع خط: نستعلیق معمولی؛ کاغذ: سفید، جلد: مقوا با کاغذ سبز، ۱۱۵ص، مختلف السطر،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سم [ف: ۱-۲۶۸]</w:t>
      </w:r>
    </w:p>
    <w:p>
      <w:pPr>
        <w:pStyle w:val="BookText"/>
      </w:pPr>
      <w:r>
        <w:rPr>
          <w:rFonts w:ascii="IRNazanin" w:hAnsi="IRNazanin" w:eastAsia="IRNazanin" w:cs="IRNazanin"/>
          <w:lang w:bidi="fa-IR"/>
          <w:color w:val="111111"/>
          <w:sz w:val="28"/>
          <w:szCs w:val="28"/>
          <w:rtl/>
        </w:rPr>
        <w:t xml:space="preserve">۴۲. کاشان؛ عاطفی، افشین؛ شماره نسخه: ۴۹</w:t>
      </w:r>
    </w:p>
    <w:p>
      <w:pPr>
        <w:pStyle w:val="BookText"/>
      </w:pPr>
      <w:r>
        <w:rPr>
          <w:rFonts w:ascii="IRNazanin" w:hAnsi="IRNazanin" w:eastAsia="IRNazanin" w:cs="IRNazanin"/>
          <w:lang w:bidi="fa-IR"/>
          <w:color w:val="111111"/>
          <w:sz w:val="28"/>
          <w:szCs w:val="28"/>
          <w:rtl/>
        </w:rPr>
        <w:t xml:space="preserve">صورت حساب و کتابهای شخصی است به سال ۱۲۹۸ تا ۱۳۲۰؛ خط: نستعلیق، بی کا، بی تاب مهر: محمد ناصح» (گلابی شکل)؟ کاغذ الوان، جلد: تیماج قهوه ای بدون مقوا، ۲۱۰گ، مختلف السطر [ف: ۴۹]</w:t>
      </w:r>
    </w:p>
    <w:p>
      <w:pPr>
        <w:pStyle w:val="BookText"/>
      </w:pPr>
      <w:r>
        <w:rPr>
          <w:rFonts w:ascii="IRNazanin" w:hAnsi="IRNazanin" w:eastAsia="IRNazanin" w:cs="IRNazanin"/>
          <w:lang w:bidi="fa-IR"/>
          <w:color w:val="111111"/>
          <w:sz w:val="28"/>
          <w:szCs w:val="28"/>
          <w:rtl/>
        </w:rPr>
        <w:t xml:space="preserve">۴۳. مشهد؛ رضوی؛ شماره نسخه: ۸۶۲۵</w:t>
      </w:r>
    </w:p>
    <w:p>
      <w:pPr>
        <w:pStyle w:val="BookText"/>
      </w:pPr>
      <w:r>
        <w:rPr>
          <w:rFonts w:ascii="IRNazanin" w:hAnsi="IRNazanin" w:eastAsia="IRNazanin" w:cs="IRNazanin"/>
          <w:lang w:bidi="fa-IR"/>
          <w:color w:val="111111"/>
          <w:sz w:val="28"/>
          <w:szCs w:val="28"/>
          <w:rtl/>
        </w:rPr>
        <w:t xml:space="preserve">حکمت و عرفان؛ خط: شکسته نستعلیق، بی کا، بی تا [الفبائی: ۹۲]</w:t>
      </w:r>
    </w:p>
    <w:p>
      <w:pPr>
        <w:pStyle w:val="BookText"/>
      </w:pPr>
      <w:r>
        <w:rPr>
          <w:rFonts w:ascii="Amiri" w:hAnsi="Amiri" w:eastAsia="Amiri" w:cs="Amiri"/>
          <w:lang w:bidi="ar-SA"/>
          <w:color w:val="111111"/>
          <w:sz w:val="28"/>
          <w:szCs w:val="28"/>
          <w:rtl/>
        </w:rPr>
        <w:t xml:space="preserve">۴۴. مشهد؛ الهيات؛ شماره نسخه: ۱۸۸۸۲</w:t>
      </w:r>
    </w:p>
    <w:p>
      <w:pPr>
        <w:pStyle w:val="BookText"/>
      </w:pPr>
      <w:r>
        <w:rPr>
          <w:rFonts w:ascii="IRNazanin" w:hAnsi="IRNazanin" w:eastAsia="IRNazanin" w:cs="IRNazanin"/>
          <w:lang w:bidi="fa-IR"/>
          <w:color w:val="111111"/>
          <w:sz w:val="28"/>
          <w:szCs w:val="28"/>
          <w:rtl/>
        </w:rPr>
        <w:t xml:space="preserve">خط نستعلیق، بی کا، بی تا؛ به طور چلیپا؛ جلد: تیماج لایه ای عنابی، ۲۰۶گ، ۱۲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۲-۲۹۳]</w:t>
      </w:r>
    </w:p>
    <w:p>
      <w:pPr>
        <w:pStyle w:val="BookText"/>
      </w:pPr>
      <w:r>
        <w:rPr>
          <w:rFonts w:ascii="IRNazanin" w:hAnsi="IRNazanin" w:eastAsia="IRNazanin" w:cs="IRNazanin"/>
          <w:lang w:bidi="fa-IR"/>
          <w:color w:val="111111"/>
          <w:sz w:val="28"/>
          <w:szCs w:val="28"/>
          <w:rtl/>
        </w:rPr>
        <w:t xml:space="preserve">۴۵. تهران؛ رجائی زفره ای، محمد حسن شماره نسخه: بدون شماره</w:t>
      </w:r>
    </w:p>
    <w:p>
      <w:pPr>
        <w:pStyle w:val="BookText"/>
      </w:pPr>
      <w:r>
        <w:rPr>
          <w:rFonts w:ascii="IRNazanin" w:hAnsi="IRNazanin" w:eastAsia="IRNazanin" w:cs="IRNazanin"/>
          <w:lang w:bidi="fa-IR"/>
          <w:color w:val="111111"/>
          <w:sz w:val="28"/>
          <w:szCs w:val="28"/>
          <w:rtl/>
        </w:rPr>
        <w:t xml:space="preserve">زیارت نامه، مرثیه هایی از شایق، شبان، کفاش، محمر، جودی ... مقام موسیقی چند بانگ است: عقدنامه، چند مرثیه دیگر. چند نفر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سال ۱۲۷۸ قمری و اندکی قبل و سالهای بعد ان مطالبی دارند و به خصوص ملامحمد علي بن حاج محمد اسماعيل زفره ای (فوت ۱۳۴۶ یا ۱۳۵۰ قمری)؛ بی کا، بی تا [میراث اسلامی: ۱۰-۷۴۹]</w:t>
      </w:r>
    </w:p>
    <w:p>
      <w:pPr>
        <w:pStyle w:val="BookText"/>
      </w:pPr>
      <w:r>
        <w:rPr>
          <w:rFonts w:ascii="IRNazanin" w:hAnsi="IRNazanin" w:eastAsia="IRNazanin" w:cs="IRNazanin"/>
          <w:lang w:bidi="fa-IR"/>
          <w:color w:val="111111"/>
          <w:sz w:val="28"/>
          <w:szCs w:val="28"/>
          <w:rtl/>
        </w:rPr>
        <w:t xml:space="preserve">۴۶. یزد؛ وزیری؛ شماره نسخه: ۳۴۴۶</w:t>
      </w:r>
    </w:p>
    <w:p>
      <w:pPr>
        <w:pStyle w:val="BookText"/>
      </w:pPr>
      <w:r>
        <w:rPr>
          <w:rFonts w:ascii="IRNazanin" w:hAnsi="IRNazanin" w:eastAsia="IRNazanin" w:cs="IRNazanin"/>
          <w:lang w:bidi="fa-IR"/>
          <w:color w:val="111111"/>
          <w:sz w:val="28"/>
          <w:szCs w:val="28"/>
          <w:rtl/>
        </w:rPr>
        <w:t xml:space="preserve">آغاز: و اهل المغفره؛ انجام: مادر چرا گلویت وای</w:t>
      </w:r>
    </w:p>
    <w:p>
      <w:pPr>
        <w:pStyle w:val="BookText"/>
      </w:pPr>
      <w:r>
        <w:rPr>
          <w:rFonts w:ascii="IRNazanin" w:hAnsi="IRNazanin" w:eastAsia="IRNazanin" w:cs="IRNazanin"/>
          <w:lang w:bidi="fa-IR"/>
          <w:color w:val="111111"/>
          <w:sz w:val="28"/>
          <w:szCs w:val="28"/>
          <w:rtl/>
        </w:rPr>
        <w:t xml:space="preserve">خط: نسخ، بی کا، بی تا، افتادگی: آغاز و انجام کاغذ: اصفهانی، جلد: مقوایی روکش کاغذ مشکی عطف تیماج قرمز، ۷۶گ، مختلف السطر، اندازه: ۶/۵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۱۵/۵ سم [ف: ۵-۱۶۵۷]</w:t>
      </w:r>
    </w:p>
    <w:p>
      <w:pPr>
        <w:pStyle w:val="BookText"/>
      </w:pPr>
      <w:r>
        <w:rPr>
          <w:rFonts w:ascii="IRNazanin" w:hAnsi="IRNazanin" w:eastAsia="IRNazanin" w:cs="IRNazanin"/>
          <w:lang w:bidi="fa-IR"/>
          <w:color w:val="111111"/>
          <w:sz w:val="28"/>
          <w:szCs w:val="28"/>
          <w:rtl/>
        </w:rPr>
        <w:t xml:space="preserve">۴۷. یزد؛ وزیری؛ شماره نسخه: ۳۴۹۳</w:t>
      </w:r>
    </w:p>
    <w:p>
      <w:pPr>
        <w:pStyle w:val="BookText"/>
      </w:pPr>
      <w:r>
        <w:rPr>
          <w:rFonts w:ascii="IRNazanin" w:hAnsi="IRNazanin" w:eastAsia="IRNazanin" w:cs="IRNazanin"/>
          <w:lang w:bidi="fa-IR"/>
          <w:color w:val="111111"/>
          <w:sz w:val="28"/>
          <w:szCs w:val="28"/>
          <w:rtl/>
        </w:rPr>
        <w:t xml:space="preserve">مشتمل بر دعا و طلسمات و طالعنامه و احکام سال های ترکی؛ خط: نستعلیق، بی کا، بی تا؛ مهر: «عبده میرزا حسین»؛ اهدایی: استاد محمد حسین جعفری؛ کاغذ: فرنگی، جلد: تیماج قرمز، ۲۲۹گ، مختلف السطر،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۵-۱۶۷۳]</w:t>
      </w:r>
    </w:p>
    <w:p>
      <w:pPr>
        <w:pStyle w:val="BookText"/>
      </w:pPr>
      <w:r>
        <w:rPr>
          <w:rFonts w:ascii="IRNazanin" w:hAnsi="IRNazanin" w:eastAsia="IRNazanin" w:cs="IRNazanin"/>
          <w:lang w:bidi="fa-IR"/>
          <w:color w:val="111111"/>
          <w:sz w:val="28"/>
          <w:szCs w:val="28"/>
          <w:rtl/>
        </w:rPr>
        <w:t xml:space="preserve">۴۸. مشهد؛ رضوی؛ شماره نسخه: ۱۳۶۹۷</w:t>
      </w:r>
    </w:p>
    <w:p>
      <w:pPr>
        <w:pStyle w:val="BookText"/>
      </w:pPr>
      <w:r>
        <w:rPr>
          <w:rFonts w:ascii="IRNazanin" w:hAnsi="IRNazanin" w:eastAsia="IRNazanin" w:cs="IRNazanin"/>
          <w:lang w:bidi="fa-IR"/>
          <w:color w:val="111111"/>
          <w:sz w:val="28"/>
          <w:szCs w:val="28"/>
          <w:rtl/>
        </w:rPr>
        <w:t xml:space="preserve">آغاز: على محمد و آله اجمعین مخترع این حکایت؛ انجام: بهر چه مقدور باشد</w:t>
      </w:r>
    </w:p>
    <w:p>
      <w:pPr>
        <w:pStyle w:val="BookText"/>
      </w:pPr>
      <w:r>
        <w:rPr>
          <w:rFonts w:ascii="IRNazanin" w:hAnsi="IRNazanin" w:eastAsia="IRNazanin" w:cs="IRNazanin"/>
          <w:lang w:bidi="fa-IR"/>
          <w:color w:val="111111"/>
          <w:sz w:val="28"/>
          <w:szCs w:val="28"/>
          <w:rtl/>
        </w:rPr>
        <w:t xml:space="preserve">خط: نسخ شکسته، بی کا، بی تا، کاغذ: فستقی، جلد: تیماج،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[رایانه]</w:t>
      </w:r>
    </w:p>
    <w:p>
      <w:pPr>
        <w:pStyle w:val="BookText"/>
      </w:pPr>
      <w:r>
        <w:rPr>
          <w:rFonts w:ascii="IRNazanin" w:hAnsi="IRNazanin" w:eastAsia="IRNazanin" w:cs="IRNazanin"/>
          <w:lang w:bidi="fa-IR"/>
          <w:color w:val="111111"/>
          <w:sz w:val="28"/>
          <w:szCs w:val="28"/>
          <w:rtl/>
        </w:rPr>
        <w:t xml:space="preserve">۴۹. مشهد؛ رضوی؛ شماره نسخه: ۱۳۷۰۷</w:t>
      </w:r>
    </w:p>
    <w:p>
      <w:pPr>
        <w:pStyle w:val="BookText"/>
      </w:pPr>
      <w:r>
        <w:rPr>
          <w:rFonts w:ascii="IRNazanin" w:hAnsi="IRNazanin" w:eastAsia="IRNazanin" w:cs="IRNazanin"/>
          <w:lang w:bidi="fa-IR"/>
          <w:color w:val="111111"/>
          <w:sz w:val="28"/>
          <w:szCs w:val="28"/>
          <w:rtl/>
        </w:rPr>
        <w:t xml:space="preserve">آغاز: میرزا شاه حسین نبود گریز از یکدگر؛ انجام: و كذلك ننجي المومنین</w:t>
      </w:r>
    </w:p>
    <w:p>
      <w:pPr>
        <w:pStyle w:val="BookText"/>
      </w:pPr>
      <w:r>
        <w:rPr>
          <w:rFonts w:ascii="IRNazanin" w:hAnsi="IRNazanin" w:eastAsia="IRNazanin" w:cs="IRNazanin"/>
          <w:lang w:bidi="fa-IR"/>
          <w:color w:val="111111"/>
          <w:sz w:val="28"/>
          <w:szCs w:val="28"/>
          <w:rtl/>
        </w:rPr>
        <w:t xml:space="preserve">خط: نستعلیق شکسته، بی کا، بی تا، کاغذ: نخودی، جلد: تیماج، ابعاد متن: ۱۵۶۶،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سم [رایانه]</w:t>
      </w:r>
    </w:p>
    <w:p>
      <w:pPr>
        <w:pStyle w:val="BookText"/>
      </w:pPr>
      <w:r>
        <w:rPr>
          <w:rFonts w:ascii="IRNazanin" w:hAnsi="IRNazanin" w:eastAsia="IRNazanin" w:cs="IRNazanin"/>
          <w:lang w:bidi="fa-IR"/>
          <w:color w:val="111111"/>
          <w:sz w:val="28"/>
          <w:szCs w:val="28"/>
          <w:rtl/>
        </w:rPr>
        <w:t xml:space="preserve">۵۰. مشهد؛ رضوی؛ شماره نسخه: ۱۳۷۵۰</w:t>
      </w:r>
    </w:p>
    <w:p>
      <w:pPr>
        <w:pStyle w:val="BookText"/>
      </w:pPr>
      <w:r>
        <w:rPr>
          <w:rFonts w:ascii="Amiri" w:hAnsi="Amiri" w:eastAsia="Amiri" w:cs="Amiri"/>
          <w:lang w:bidi="ar-SA"/>
          <w:color w:val="111111"/>
          <w:sz w:val="28"/>
          <w:szCs w:val="28"/>
          <w:rtl/>
        </w:rPr>
        <w:t xml:space="preserve">آغاز: حين فطر السموات و الارض؛ انجام: برحمتك يا ارحم الراحمين</w:t>
      </w:r>
    </w:p>
    <w:p>
      <w:pPr>
        <w:pStyle w:val="BookText"/>
      </w:pPr>
      <w:r>
        <w:rPr>
          <w:rFonts w:ascii="IRNazanin" w:hAnsi="IRNazanin" w:eastAsia="IRNazanin" w:cs="IRNazanin"/>
          <w:lang w:bidi="fa-IR"/>
          <w:color w:val="111111"/>
          <w:sz w:val="28"/>
          <w:szCs w:val="28"/>
          <w:rtl/>
        </w:rPr>
        <w:t xml:space="preserve">خط: نسخ، بی کا، بی تا؛ افتادگی: آغاز و انجام کاغذ: نباتی، جلد: تیماج، ابعاد متن: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سم [رایانه]</w:t>
      </w:r>
    </w:p>
    <w:p>
      <w:pPr>
        <w:pStyle w:val="BookText"/>
      </w:pPr>
      <w:r>
        <w:rPr>
          <w:rFonts w:ascii="IRNazanin" w:hAnsi="IRNazanin" w:eastAsia="IRNazanin" w:cs="IRNazanin"/>
          <w:lang w:bidi="fa-IR"/>
          <w:color w:val="111111"/>
          <w:sz w:val="28"/>
          <w:szCs w:val="28"/>
          <w:rtl/>
        </w:rPr>
        <w:t xml:space="preserve">۵۱. مشهد؛ رضوی؛ شماره نسخه: ۱۳۷۴۹</w:t>
      </w:r>
    </w:p>
    <w:p>
      <w:pPr>
        <w:pStyle w:val="BookText"/>
      </w:pPr>
      <w:r>
        <w:rPr>
          <w:rFonts w:ascii="IRNazanin" w:hAnsi="IRNazanin" w:eastAsia="IRNazanin" w:cs="IRNazanin"/>
          <w:lang w:bidi="fa-IR"/>
          <w:color w:val="111111"/>
          <w:sz w:val="28"/>
          <w:szCs w:val="28"/>
          <w:rtl/>
        </w:rPr>
        <w:t xml:space="preserve">آغاز: مرویست که چون اهل بیت را انجام: حرمت جسده على النار بی کا، بی تا، کاغذ: نباتی، جلد: تیماج، مختلف السطر،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۹سم [رایانه]</w:t>
      </w:r>
    </w:p>
    <w:p>
      <w:pPr>
        <w:pStyle w:val="BookText"/>
      </w:pPr>
      <w:r>
        <w:rPr>
          <w:rFonts w:ascii="IRNazanin" w:hAnsi="IRNazanin" w:eastAsia="IRNazanin" w:cs="IRNazanin"/>
          <w:lang w:bidi="fa-IR"/>
          <w:color w:val="111111"/>
          <w:sz w:val="28"/>
          <w:szCs w:val="28"/>
          <w:rtl/>
        </w:rPr>
        <w:t xml:space="preserve">۵۲. مشهد؛ رضوی؛ شماره نسخه: ۶۵۴۸</w:t>
      </w:r>
    </w:p>
    <w:p>
      <w:pPr>
        <w:pStyle w:val="BookText"/>
      </w:pPr>
      <w:r>
        <w:rPr>
          <w:rFonts w:ascii="IRNazanin" w:hAnsi="IRNazanin" w:eastAsia="IRNazanin" w:cs="IRNazanin"/>
          <w:lang w:bidi="fa-IR"/>
          <w:color w:val="111111"/>
          <w:sz w:val="28"/>
          <w:szCs w:val="28"/>
          <w:rtl/>
        </w:rPr>
        <w:t xml:space="preserve">آغاز: سبحانک یا لا اله الا انت كل شي؛ انجام: کجاست منزل اصلی و در کجاست مقر</w:t>
      </w:r>
    </w:p>
    <w:p>
      <w:pPr>
        <w:pStyle w:val="BookText"/>
      </w:pPr>
      <w:r>
        <w:rPr>
          <w:rFonts w:ascii="IRNazanin" w:hAnsi="IRNazanin" w:eastAsia="IRNazanin" w:cs="IRNazanin"/>
          <w:lang w:bidi="fa-IR"/>
          <w:color w:val="111111"/>
          <w:sz w:val="28"/>
          <w:szCs w:val="28"/>
          <w:rtl/>
        </w:rPr>
        <w:t xml:space="preserve">خط: نسخ و نستعلیق، بی کا، بی تا، کاغذ: الوان، جلد: پارچه ای، : ابعاد متن: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سم [رایانه]</w:t>
      </w:r>
    </w:p>
    <w:p>
      <w:pPr>
        <w:pStyle w:val="BookText"/>
      </w:pPr>
      <w:r>
        <w:rPr>
          <w:rFonts w:ascii="IRNazanin" w:hAnsi="IRNazanin" w:eastAsia="IRNazanin" w:cs="IRNazanin"/>
          <w:lang w:bidi="fa-IR"/>
          <w:color w:val="111111"/>
          <w:sz w:val="28"/>
          <w:szCs w:val="28"/>
          <w:rtl/>
        </w:rPr>
        <w:t xml:space="preserve">۵۳. مشهد؛ رضوی؛ شماره نسخه: ۴۵۱۶</w:t>
      </w:r>
    </w:p>
    <w:p>
      <w:pPr>
        <w:pStyle w:val="BookText"/>
      </w:pPr>
      <w:r>
        <w:rPr>
          <w:rFonts w:ascii="IRNazanin" w:hAnsi="IRNazanin" w:eastAsia="IRNazanin" w:cs="IRNazanin"/>
          <w:lang w:bidi="fa-IR"/>
          <w:color w:val="111111"/>
          <w:sz w:val="28"/>
          <w:szCs w:val="28"/>
          <w:rtl/>
        </w:rPr>
        <w:t xml:space="preserve">آغاز: صاحب احسانا خدایت صاحب احسان کند؛ انجام: (صفحه ماقبل آخر) قول غزل به ساز</w:t>
      </w:r>
    </w:p>
    <w:p>
      <w:pPr>
        <w:pStyle w:val="BookText"/>
      </w:pPr>
      <w:r>
        <w:rPr>
          <w:rFonts w:ascii="IRNazanin" w:hAnsi="IRNazanin" w:eastAsia="IRNazanin" w:cs="IRNazanin"/>
          <w:lang w:bidi="fa-IR"/>
          <w:color w:val="111111"/>
          <w:sz w:val="28"/>
          <w:szCs w:val="28"/>
          <w:rtl/>
        </w:rPr>
        <w:t xml:space="preserve">خط: نسخ و نستعلیق، بی کا، بی تا، کاغذ: نباتی، جلد: مقوا،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[رایانه]</w:t>
      </w:r>
    </w:p>
    <w:p>
      <w:pPr>
        <w:pStyle w:val="BookText"/>
      </w:pPr>
      <w:r>
        <w:rPr>
          <w:rFonts w:ascii="IRNazanin" w:hAnsi="IRNazanin" w:eastAsia="IRNazanin" w:cs="IRNazanin"/>
          <w:lang w:bidi="fa-IR"/>
          <w:color w:val="111111"/>
          <w:sz w:val="28"/>
          <w:szCs w:val="28"/>
          <w:rtl/>
        </w:rPr>
        <w:t xml:space="preserve">۵۴. مشهد؛ رضوی؛ شماره نسخه: ۱۲۴۳۹</w:t>
      </w:r>
    </w:p>
    <w:p>
      <w:pPr>
        <w:pStyle w:val="BookText"/>
      </w:pPr>
      <w:r>
        <w:rPr>
          <w:rFonts w:ascii="IRNazanin" w:hAnsi="IRNazanin" w:eastAsia="IRNazanin" w:cs="IRNazanin"/>
          <w:lang w:bidi="fa-IR"/>
          <w:color w:val="111111"/>
          <w:sz w:val="28"/>
          <w:szCs w:val="28"/>
          <w:rtl/>
        </w:rPr>
        <w:t xml:space="preserve">آغاز: خانه امیر کبیر گردید در بین راه سائله، انجام: آخر ای کافر بر تو مهمانیم بی کا، بی تا؛ کاغذ: الوان، جلد: تیماج، مختلف السطر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[رایانه]</w:t>
      </w:r>
    </w:p>
    <w:p>
      <w:pPr>
        <w:pStyle w:val="BookText"/>
      </w:pPr>
      <w:r>
        <w:rPr>
          <w:rFonts w:ascii="IRNazanin" w:hAnsi="IRNazanin" w:eastAsia="IRNazanin" w:cs="IRNazanin"/>
          <w:lang w:bidi="fa-IR"/>
          <w:color w:val="111111"/>
          <w:sz w:val="28"/>
          <w:szCs w:val="28"/>
          <w:rtl/>
        </w:rPr>
        <w:t xml:space="preserve">۵۵. مشهد؛ رضوی؛ شماره نسخه: ۱۳۱۹۷</w:t>
      </w:r>
    </w:p>
    <w:p>
      <w:pPr>
        <w:pStyle w:val="BookText"/>
      </w:pPr>
      <w:r>
        <w:rPr>
          <w:rFonts w:ascii="IRNazanin" w:hAnsi="IRNazanin" w:eastAsia="IRNazanin" w:cs="IRNazanin"/>
          <w:lang w:bidi="fa-IR"/>
          <w:color w:val="111111"/>
          <w:sz w:val="28"/>
          <w:szCs w:val="28"/>
          <w:rtl/>
        </w:rPr>
        <w:t xml:space="preserve">آغاز: مه نیسان شبیخون کرد گوئی برمه کانون؛ انجام: ز آتش فكرت جز ز زر خرد را مگداز</w:t>
      </w:r>
    </w:p>
    <w:p>
      <w:pPr>
        <w:pStyle w:val="BookText"/>
      </w:pPr>
      <w:r>
        <w:rPr>
          <w:rFonts w:ascii="IRNazanin" w:hAnsi="IRNazanin" w:eastAsia="IRNazanin" w:cs="IRNazanin"/>
          <w:lang w:bidi="fa-IR"/>
          <w:color w:val="111111"/>
          <w:sz w:val="28"/>
          <w:szCs w:val="28"/>
          <w:rtl/>
        </w:rPr>
        <w:t xml:space="preserve">ناظم: ناصر خسرو و مجدود بن آدم سنایی؛ خط: نستعلیق شکسته، بی کا، بی تا، کاغذ: نباتی، جلد: میشن، ۲۴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سم [رایانه]</w:t>
      </w:r>
    </w:p>
    <w:p>
      <w:pPr>
        <w:pStyle w:val="BookText"/>
      </w:pPr>
      <w:r>
        <w:rPr>
          <w:rFonts w:ascii="IRNazanin" w:hAnsi="IRNazanin" w:eastAsia="IRNazanin" w:cs="IRNazanin"/>
          <w:lang w:bidi="fa-IR"/>
          <w:color w:val="111111"/>
          <w:sz w:val="28"/>
          <w:szCs w:val="28"/>
          <w:rtl/>
        </w:rPr>
        <w:t xml:space="preserve">۵۶. مشهد؛ رضوی؛ شماره نسخه: ۱۰۳۹۶</w:t>
      </w:r>
    </w:p>
    <w:p>
      <w:pPr>
        <w:pStyle w:val="BookText"/>
      </w:pPr>
      <w:r>
        <w:rPr>
          <w:rFonts w:ascii="IRNazanin" w:hAnsi="IRNazanin" w:eastAsia="IRNazanin" w:cs="IRNazanin"/>
          <w:lang w:bidi="fa-IR"/>
          <w:color w:val="111111"/>
          <w:sz w:val="28"/>
          <w:szCs w:val="28"/>
          <w:rtl/>
        </w:rPr>
        <w:t xml:space="preserve">آغاز: گوزنی بس قوی بنیاد باید؛ انجام: که برخورد ارباد از زندگی بياض اشعار؛ خط: نستعلیق شکسته، بی کا، بی تا، افتادگی: آغاز و انجام؛ کاغذ: نخودی، جلد: میشن، ابعاد متن: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سم [رایانه]</w:t>
      </w:r>
    </w:p>
    <w:p>
      <w:pPr>
        <w:pStyle w:val="BookText"/>
      </w:pPr>
      <w:r>
        <w:rPr>
          <w:rFonts w:ascii="IRNazanin" w:hAnsi="IRNazanin" w:eastAsia="IRNazanin" w:cs="IRNazanin"/>
          <w:lang w:bidi="fa-IR"/>
          <w:color w:val="111111"/>
          <w:sz w:val="28"/>
          <w:szCs w:val="28"/>
          <w:rtl/>
        </w:rPr>
        <w:t xml:space="preserve">۵۷. مشهد؛ رضوی؛ شماره نسخه: ۲۶۵۳۱</w:t>
      </w:r>
    </w:p>
    <w:p>
      <w:pPr>
        <w:pStyle w:val="BookText"/>
      </w:pPr>
      <w:r>
        <w:rPr>
          <w:rFonts w:ascii="IRNazanin" w:hAnsi="IRNazanin" w:eastAsia="IRNazanin" w:cs="IRNazanin"/>
          <w:lang w:bidi="fa-IR"/>
          <w:color w:val="111111"/>
          <w:sz w:val="28"/>
          <w:szCs w:val="28"/>
          <w:rtl/>
        </w:rPr>
        <w:t xml:space="preserve">آغاز: حسین حسین شهید کربلا حسین؛ انجام: دل کاتب از این معنی خراب است</w:t>
      </w:r>
    </w:p>
    <w:p>
      <w:pPr>
        <w:pStyle w:val="BookText"/>
      </w:pPr>
      <w:r>
        <w:rPr>
          <w:rFonts w:ascii="IRNazanin" w:hAnsi="IRNazanin" w:eastAsia="IRNazanin" w:cs="IRNazanin"/>
          <w:lang w:bidi="fa-IR"/>
          <w:color w:val="111111"/>
          <w:sz w:val="28"/>
          <w:szCs w:val="28"/>
          <w:rtl/>
        </w:rPr>
        <w:t xml:space="preserve">شامل مراثی و نوحه؛ خط: نستعلیق خفی، بی کا، بی تا، کاغذ: نخودی، فاقد جلد، مختلف السطر، قطع: رقعی، اندازه: ۱۱/۳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۱۸/۲ سم [رایانه]</w:t>
      </w:r>
    </w:p>
    <w:p>
      <w:pPr>
        <w:pStyle w:val="BookText"/>
      </w:pPr>
      <w:r>
        <w:rPr>
          <w:rFonts w:ascii="IRNazanin" w:hAnsi="IRNazanin" w:eastAsia="IRNazanin" w:cs="IRNazanin"/>
          <w:lang w:bidi="fa-IR"/>
          <w:color w:val="111111"/>
          <w:sz w:val="28"/>
          <w:szCs w:val="28"/>
          <w:rtl/>
        </w:rPr>
        <w:t xml:space="preserve">۵۸. تهران؛ مجلس؛ شماره نسخه: ۱۵۹۴۱</w:t>
      </w:r>
    </w:p>
    <w:p>
      <w:pPr>
        <w:pStyle w:val="BookText"/>
      </w:pPr>
      <w:r>
        <w:rPr>
          <w:rFonts w:ascii="IRNazanin" w:hAnsi="IRNazanin" w:eastAsia="IRNazanin" w:cs="IRNazanin"/>
          <w:lang w:bidi="fa-IR"/>
          <w:color w:val="111111"/>
          <w:sz w:val="28"/>
          <w:szCs w:val="28"/>
          <w:rtl/>
        </w:rPr>
        <w:t xml:space="preserve">آغاز: شام شد خورشید خاور طیلسان بر سر کشید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زهره در خنیاگری از چهره برقع بر کشید؛ انجام: در آستان تو هر کس رسید مطلب یافت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کی رواست که من نا امید بر گردم بیاضی است شامل اشعاری در مدایح و مراثی حضرات معصومین (علیهم السلام) از شعرای مختلف همچون محتشم، جوهری و دیگران به مانند آنچه روضه خوانان برای مجالس خود تهیه می کنند؛ خط: نستعلیق، بی کا، تا: قرن ۱۳ و ۱۴؛ جلد: تیماج فرنگی قهوه ای، ۱۱۷گ، چلیپایی سطر،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سم [ف: ۴۴-۱۴۸]</w:t>
      </w:r>
    </w:p>
    <w:p>
      <w:pPr>
        <w:pStyle w:val="BookText"/>
      </w:pPr>
      <w:r>
        <w:rPr>
          <w:rFonts w:ascii="IRNazanin" w:hAnsi="IRNazanin" w:eastAsia="IRNazanin" w:cs="IRNazanin"/>
          <w:lang w:bidi="fa-IR"/>
          <w:color w:val="111111"/>
          <w:sz w:val="28"/>
          <w:szCs w:val="28"/>
          <w:rtl/>
        </w:rPr>
        <w:t xml:space="preserve">۵۹. مشهد؛ رضوی؛ شماره نسخه: ۲۸۵۱۸</w:t>
      </w:r>
    </w:p>
    <w:p>
      <w:pPr>
        <w:pStyle w:val="BookText"/>
      </w:pPr>
      <w:r>
        <w:rPr>
          <w:rFonts w:ascii="IRNazanin" w:hAnsi="IRNazanin" w:eastAsia="IRNazanin" w:cs="IRNazanin"/>
          <w:lang w:bidi="fa-IR"/>
          <w:color w:val="111111"/>
          <w:sz w:val="28"/>
          <w:szCs w:val="28"/>
          <w:rtl/>
        </w:rPr>
        <w:t xml:space="preserve">آغاز: شیر خدا و صفدر میدان و بحر جود؛ انجام: که اگر قصبه اطلس ... منستبان من چه ... شد</w:t>
      </w:r>
    </w:p>
    <w:p>
      <w:pPr>
        <w:pStyle w:val="BookText"/>
      </w:pPr>
      <w:r>
        <w:rPr>
          <w:rFonts w:ascii="IRNazanin" w:hAnsi="IRNazanin" w:eastAsia="IRNazanin" w:cs="IRNazanin"/>
          <w:lang w:bidi="fa-IR"/>
          <w:color w:val="111111"/>
          <w:sz w:val="28"/>
          <w:szCs w:val="28"/>
          <w:rtl/>
        </w:rPr>
        <w:t xml:space="preserve">بیاض نظم و نثر؛ خط: نستعلیق خفی، بی کا، بی تا؛ افتادگی: آغاز و انجام؛ کاغذ: نخودی، جلد: مقوا، مختلف السطر، قطع: وزیری کوچک، اندازه: ۱۱/۲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۲۶/۵ سم [رایانه]</w:t>
      </w:r>
    </w:p>
    <w:p>
      <w:pPr>
        <w:pStyle w:val="BookText"/>
      </w:pPr>
      <w:r>
        <w:rPr>
          <w:rFonts w:ascii="IRNazanin" w:hAnsi="IRNazanin" w:eastAsia="IRNazanin" w:cs="IRNazanin"/>
          <w:lang w:bidi="fa-IR"/>
          <w:color w:val="111111"/>
          <w:sz w:val="28"/>
          <w:szCs w:val="28"/>
          <w:rtl/>
        </w:rPr>
        <w:t xml:space="preserve">۴۰. تهران، مرکز فرهنگی خراسان؛ شماره نسخه: ۱۲۸ عکسی</w:t>
      </w:r>
    </w:p>
    <w:p>
      <w:pPr>
        <w:pStyle w:val="BookText"/>
      </w:pPr>
      <w:r>
        <w:rPr>
          <w:rFonts w:ascii="IRNazanin" w:hAnsi="IRNazanin" w:eastAsia="IRNazanin" w:cs="IRNazanin"/>
          <w:lang w:bidi="fa-IR"/>
          <w:color w:val="111111"/>
          <w:sz w:val="28"/>
          <w:szCs w:val="28"/>
          <w:rtl/>
        </w:rPr>
        <w:t xml:space="preserve">بیاض تاریخی شامل قراردادها و عهدنامه های دولت ایران و انگلستان در مورد طایفه افغان، صنایع کشتی سازی در سواحل خلیج فارسی، نکاتی در مورد اکراد ایرانی که به روم می رفتند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53" w:name="pg20363_209382"/>
    <w:bookmarkEnd w:id="153"/>
    <w:p>
      <w:pPr>
        <w:pStyle w:val="BookText"/>
      </w:pPr>
      <w:r>
        <w:rPr>
          <w:rFonts w:ascii="IRNazanin" w:hAnsi="IRNazanin" w:eastAsia="IRNazanin" w:cs="IRNazanin"/>
          <w:lang w:bidi="fa-IR"/>
          <w:color w:val="111111"/>
          <w:sz w:val="28"/>
          <w:szCs w:val="28"/>
          <w:rtl/>
        </w:rPr>
        <w:t xml:space="preserve">وا بی کا، بی تا (جنگ: ۱-۴۴۵]</w:t>
      </w:r>
    </w:p>
    <w:p>
      <w:pPr>
        <w:pStyle w:val="Heading3"/>
      </w:pPr>
      <w:bookmarkStart w:id="1203" w:name="_Toc463"/>
      <w:r>
        <w:t>• بياض / فارسی و ترکی</w:t>
      </w:r>
      <w:bookmarkEnd w:id="1203"/>
    </w:p>
    <w:p>
      <w:pPr>
        <w:pStyle w:val="BookText"/>
      </w:pPr>
      <w:r>
        <w:rPr>
          <w:rFonts w:ascii="Times New Roman" w:hAnsi="Times New Roman" w:eastAsia="Times New Roman" w:cs="Times New Roman"/>
          <w:lang w:val="en-US" w:bidi="en-US"/>
          <w:color w:val="111111"/>
          <w:sz w:val="28"/>
          <w:szCs w:val="28"/>
          <w:rtl/>
        </w:rPr>
        <w:t xml:space="preserve">bayāz</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IRNazanin" w:hAnsi="IRNazanin" w:eastAsia="IRNazanin" w:cs="IRNazanin"/>
          <w:lang w:bidi="fa-IR"/>
          <w:color w:val="111111"/>
          <w:sz w:val="28"/>
          <w:szCs w:val="28"/>
          <w:rtl/>
        </w:rPr>
        <w:t xml:space="preserve">۱. تهران: مجلس؛ شماره نسخه: ۹۳۸۷</w:t>
      </w:r>
    </w:p>
    <w:p>
      <w:pPr>
        <w:pStyle w:val="BookText"/>
      </w:pPr>
      <w:r>
        <w:rPr>
          <w:rFonts w:ascii="IRNazanin" w:hAnsi="IRNazanin" w:eastAsia="IRNazanin" w:cs="IRNazanin"/>
          <w:lang w:bidi="fa-IR"/>
          <w:color w:val="111111"/>
          <w:sz w:val="28"/>
          <w:szCs w:val="28"/>
          <w:rtl/>
        </w:rPr>
        <w:t xml:space="preserve">آغاز پیش واقعه من كلام مشفق، نرچکمش کوردن عالمده بنت مرتضا زینب</w:t>
      </w:r>
    </w:p>
    <w:p>
      <w:pPr>
        <w:pStyle w:val="BookText"/>
      </w:pPr>
      <w:r>
        <w:rPr>
          <w:rFonts w:ascii="IRNazanin" w:hAnsi="IRNazanin" w:eastAsia="IRNazanin" w:cs="IRNazanin"/>
          <w:lang w:bidi="fa-IR"/>
          <w:color w:val="111111"/>
          <w:sz w:val="28"/>
          <w:szCs w:val="28"/>
          <w:rtl/>
        </w:rPr>
        <w:t xml:space="preserve">بیاضی است که روضه خوانی برای مجالس مرثیه و عزاداری سید الشهداء گرد آورده است. در ابتدا وقایع و مصایب را به نثر بیان می کند و سپس اشعار مناسب با آن را می آورد. اشعار ترکی نوعا از سروده های این چند شاعر است: مشفق، میرفتاح مراغی، تائب و محزون خویی؛ خط: نستعلیق، بی کا، تا: صفر ۱۲۲۷ق؛ جلد: تیماج قهوه ای با ترنج و سرترنج، ۹۳گی، مختلف السطر،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۳۰-۱۰۵]</w:t>
      </w:r>
    </w:p>
    <w:p>
      <w:pPr>
        <w:pStyle w:val="BookText"/>
      </w:pPr>
      <w:r>
        <w:rPr>
          <w:rFonts w:ascii="IRNazanin" w:hAnsi="IRNazanin" w:eastAsia="IRNazanin" w:cs="IRNazanin"/>
          <w:lang w:bidi="fa-IR"/>
          <w:color w:val="111111"/>
          <w:sz w:val="28"/>
          <w:szCs w:val="28"/>
          <w:rtl/>
        </w:rPr>
        <w:t xml:space="preserve">۲. تهران، دانشگاه؛ شماره نسخه: ۱۰۸۸۲</w:t>
      </w:r>
    </w:p>
    <w:p>
      <w:pPr>
        <w:pStyle w:val="BookText"/>
      </w:pPr>
      <w:r>
        <w:rPr>
          <w:rFonts w:ascii="IRNazanin" w:hAnsi="IRNazanin" w:eastAsia="IRNazanin" w:cs="IRNazanin"/>
          <w:lang w:bidi="fa-IR"/>
          <w:color w:val="111111"/>
          <w:sz w:val="28"/>
          <w:szCs w:val="28"/>
          <w:rtl/>
        </w:rPr>
        <w:t xml:space="preserve">آغاز: الصداع هرگاه در مقدم سر و طرف پیشانی بوده باشد از زیادتی خون است. علاج آن است که دفع خون نمایند به حجامت؛ انجام: بر راه رفتن باشد به شرطی که سایر اعضا را سوای از پا تا زانو نشوید بياض اشعار و طلسمات و ادعیه و نسخه های پزشکی است که بدون ترتیب خاصی کتابت شده اند. برگ های ۴۳ر -۴۴ر منتخباتی از «برء الساعه» محمد بن زکریای رازی به فارسی، برگ های ۴۴ر -۵۳ر بخش هایی از بخیه دوم و سوم کتاب خرقه مرتضی قلی خان شاملو. با این شعر در وصف آن: طبی که لباس جان بیمارانست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آن خرقه مرتضی قلی سلطان است. آغاز: «صف فرزجه. کندر گلنار جاد شیر مرمی زاج سفید، از هر یکی کوفته با آب برگ». انجام: «جهت اعاده شهوت بی عدیل است. نخود سیاه قوی تر از سفید است. اشعار به فارسی و ترکی و از این شعر است: شاه عباس، صایبا، عرفی، نسیمی، خلیل بیگی شروانی، قصاب، فایض، شاهدا، ظهوری، نواب مستطاب علیقلی خان سلمه الله، نظیری، ترجیع بند میرزا قلی میلی، میرزا کافی، عادلی، افسری ملامیر حسین واعظ، حافظ، شاه نعمت الله؛ خط: نستعلیق و تحریری، کا: حسین خان لايق، تا: قرن ۱۳؛ سطور معمولی و چلیپا، مجدول، یادداشت های تولد در ۱۲۹۲ و ۱۲۹۴ و ۱۳۳۰ق و تاریخ وفات در ۱۲۹۳ ق و تاریخ سفر گیلان در ۱۲۹۳ق؛ مهر: «عبده محمد تقی» (بیضوی)؛ جلد: تیماج مشکی یک لا، بیاض، ۵۶گ، مختلف السطر،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۹سم [ف: ۲۰-۴۵۸]</w:t>
      </w:r>
    </w:p>
    <w:p>
      <w:pPr>
        <w:pStyle w:val="BookText"/>
      </w:pPr>
      <w:r>
        <w:rPr>
          <w:rFonts w:ascii="IRNazanin" w:hAnsi="IRNazanin" w:eastAsia="IRNazanin" w:cs="IRNazanin"/>
          <w:lang w:bidi="fa-IR"/>
          <w:color w:val="111111"/>
          <w:sz w:val="28"/>
          <w:szCs w:val="28"/>
          <w:rtl/>
        </w:rPr>
        <w:t xml:space="preserve">٣. مشهد؛ گوهرشاد؛ شماره نسخه: ۲۴۱۵</w:t>
      </w:r>
    </w:p>
    <w:p>
      <w:pPr>
        <w:pStyle w:val="BookText"/>
      </w:pPr>
      <w:r>
        <w:rPr>
          <w:rFonts w:ascii="IRNazanin" w:hAnsi="IRNazanin" w:eastAsia="IRNazanin" w:cs="IRNazanin"/>
          <w:lang w:bidi="fa-IR"/>
          <w:color w:val="111111"/>
          <w:sz w:val="28"/>
          <w:szCs w:val="28"/>
          <w:rtl/>
        </w:rPr>
        <w:t xml:space="preserve">آغاز: نوحه، کربلا یا کربلا یا کربلا.. انجام: این نعمت بی پایان از ما به تو ارزانیست. شامل اشعار ترکی و فارسی در مصائب آل عباء (علیهم السلام)؛ خط: نستعلیق تحریری زشت، بی کا، تا: قرن ۱۴؛ نسخه نامرتب و بی آغاز و انجام است؛ کاغذ: نخودی بیاضی، جلد: میشن یک لای قهوه ای، ۸۵ گ، مختلف السطر،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۵-۷۴۳]</w:t>
      </w:r>
    </w:p>
    <w:p>
      <w:pPr>
        <w:pStyle w:val="BookText"/>
      </w:pPr>
      <w:r>
        <w:rPr>
          <w:rFonts w:ascii="IRNazanin" w:hAnsi="IRNazanin" w:eastAsia="IRNazanin" w:cs="IRNazanin"/>
          <w:lang w:bidi="fa-IR"/>
          <w:color w:val="111111"/>
          <w:sz w:val="28"/>
          <w:szCs w:val="28"/>
          <w:rtl/>
        </w:rPr>
        <w:t xml:space="preserve">۴. مشهد؛ رضوی؛ شماره نسخه: ۱۵۸۴۳</w:t>
      </w:r>
    </w:p>
    <w:p>
      <w:pPr>
        <w:pStyle w:val="BookText"/>
      </w:pPr>
      <w:r>
        <w:rPr>
          <w:rFonts w:ascii="IRNazanin" w:hAnsi="IRNazanin" w:eastAsia="IRNazanin" w:cs="IRNazanin"/>
          <w:lang w:bidi="fa-IR"/>
          <w:color w:val="111111"/>
          <w:sz w:val="28"/>
          <w:szCs w:val="28"/>
          <w:rtl/>
        </w:rPr>
        <w:t xml:space="preserve">آغاز: نوحه؛ یا کربلا هل تنظري، هذا حسين هذا حسین؛ انجام: اولیدیم دیرنده جان قرداش کیم اکلشوب یاشین اوسته. مجموعه ای است به نظم و نثر به زبان ترکی و فارسی و عربی مشتمل بر مصایب از زبان حال ائمه(علیهم السلام) و وقایع کوتاه به نثر از جمله: واقعه ابراهیم، واقعه سلمان و یهودی، واقعه پیغمبر (صلی الله علیه وآله وسلم)و یهودی، واقعه خواب دیدن اعرابی، واقعه امام زین العابدین(علیهم السلام)که مؤلف آن معلوم نشد. منتهی در یک رباعی نام «حسن» ذکر گردیده است که احتمال دارد ناظم چندی از اشعار باشد؛ خط: نستعلیق، بی کا، تا: قرن ۱۴؛ کاغذ: نخودی، ۸۳گ، مختلف السطر، اندازه: ۱۰/۸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۱۷/۵ سم [ف: ۱۷-۶۰]</w:t>
      </w:r>
    </w:p>
    <w:p>
      <w:pPr>
        <w:pStyle w:val="Heading3"/>
      </w:pPr>
      <w:bookmarkStart w:id="1204" w:name="_Toc464"/>
      <w:r>
        <w:t>• بياض ابراهیم / گوناگون / فارسی و عربی</w:t>
      </w:r>
      <w:bookmarkEnd w:id="1204"/>
    </w:p>
    <w:p>
      <w:pPr>
        <w:pStyle w:val="BookText"/>
      </w:pPr>
      <w:r>
        <w:rPr>
          <w:rFonts w:ascii="Times New Roman" w:hAnsi="Times New Roman" w:eastAsia="Times New Roman" w:cs="Times New Roman"/>
          <w:lang w:val="en-US" w:bidi="en-US"/>
          <w:color w:val="111111"/>
          <w:sz w:val="28"/>
          <w:szCs w:val="28"/>
          <w:rtl/>
        </w:rPr>
        <w:t xml:space="preserve">bayāz-e ebrāhīm</w:t>
      </w:r>
    </w:p>
    <w:p>
      <w:pPr>
        <w:pStyle w:val="BookText"/>
      </w:pPr>
      <w:r>
        <w:rPr>
          <w:rFonts w:ascii="IRNazanin" w:hAnsi="IRNazanin" w:eastAsia="IRNazanin" w:cs="IRNazanin"/>
          <w:lang w:bidi="fa-IR"/>
          <w:color w:val="111111"/>
          <w:sz w:val="28"/>
          <w:szCs w:val="28"/>
          <w:rtl/>
        </w:rPr>
        <w:t xml:space="preserve">رازی، ابراهیم، ق ۱۱ قمری</w:t>
      </w:r>
    </w:p>
    <w:p>
      <w:pPr>
        <w:pStyle w:val="BookText"/>
      </w:pPr>
      <w:r>
        <w:rPr>
          <w:rFonts w:ascii="Times New Roman" w:hAnsi="Times New Roman" w:eastAsia="Times New Roman" w:cs="Times New Roman"/>
          <w:lang w:val="en-US" w:bidi="en-US"/>
          <w:color w:val="111111"/>
          <w:sz w:val="28"/>
          <w:szCs w:val="28"/>
          <w:rtl/>
        </w:rPr>
        <w:t xml:space="preserve">rāzī, ebrāhīm (- 17c)</w:t>
      </w:r>
    </w:p>
    <w:p>
      <w:pPr>
        <w:pStyle w:val="BookText"/>
      </w:pPr>
      <w:r>
        <w:rPr>
          <w:rFonts w:ascii="IRNazanin" w:hAnsi="IRNazanin" w:eastAsia="IRNazanin" w:cs="IRNazanin"/>
          <w:lang w:bidi="fa-IR"/>
          <w:color w:val="111111"/>
          <w:sz w:val="28"/>
          <w:szCs w:val="28"/>
          <w:rtl/>
        </w:rPr>
        <w:t xml:space="preserve">مجموعه ای است شامل مطالب و رسائل مختلف اغلب فلسفی و عرفانی که به درخواست محمد ابراهیم رازی نوشته شده است.</w:t>
      </w:r>
    </w:p>
    <w:p>
      <w:pPr>
        <w:pStyle w:val="BookText"/>
      </w:pPr>
      <w:r>
        <w:rPr>
          <w:rFonts w:ascii="IRNazanin" w:hAnsi="IRNazanin" w:eastAsia="IRNazanin" w:cs="IRNazanin"/>
          <w:lang w:bidi="fa-IR"/>
          <w:color w:val="111111"/>
          <w:sz w:val="28"/>
          <w:szCs w:val="28"/>
          <w:rtl/>
        </w:rPr>
        <w:t xml:space="preserve">تهران؛ مجلس؛ شماره نسخه: ۱۰۰۲۹</w:t>
      </w:r>
    </w:p>
    <w:p>
      <w:pPr>
        <w:pStyle w:val="BookText"/>
      </w:pPr>
      <w:r>
        <w:rPr>
          <w:rFonts w:ascii="IRNazanin" w:hAnsi="IRNazanin" w:eastAsia="IRNazanin" w:cs="IRNazanin"/>
          <w:lang w:bidi="fa-IR"/>
          <w:color w:val="111111"/>
          <w:sz w:val="28"/>
          <w:szCs w:val="28"/>
          <w:rtl/>
        </w:rPr>
        <w:t xml:space="preserve">خط: نستعلیق، کا: مختلف، تا: قرن ۱۱، جلد: تیماج جگری، ترنج و سر ترنج طلایی، ۲۱۵گ، مختلف السطر [ف: ۳۲-۳۶]</w:t>
      </w:r>
    </w:p>
    <w:p>
      <w:pPr>
        <w:pStyle w:val="Heading3"/>
      </w:pPr>
      <w:bookmarkStart w:id="1205" w:name="_Toc465"/>
      <w:r>
        <w:t>• بياض ابراهیمی = سفينة النجات / کلام و اعتقادات / عربی، فارسی</w:t>
      </w:r>
      <w:bookmarkEnd w:id="1205"/>
    </w:p>
    <w:p>
      <w:pPr>
        <w:pStyle w:val="BookText"/>
      </w:pPr>
      <w:r>
        <w:rPr>
          <w:rFonts w:ascii="Times New Roman" w:hAnsi="Times New Roman" w:eastAsia="Times New Roman" w:cs="Times New Roman"/>
          <w:lang w:val="en-US" w:bidi="en-US"/>
          <w:color w:val="111111"/>
          <w:sz w:val="28"/>
          <w:szCs w:val="28"/>
          <w:rtl/>
        </w:rPr>
        <w:t xml:space="preserve">bayāz-e ebrāhīmī= safīnat-un nijāt</w:t>
      </w:r>
    </w:p>
    <w:p>
      <w:pPr>
        <w:pStyle w:val="BookText"/>
      </w:pPr>
      <w:r>
        <w:rPr>
          <w:rFonts w:ascii="IRNazanin" w:hAnsi="IRNazanin" w:eastAsia="IRNazanin" w:cs="IRNazanin"/>
          <w:lang w:bidi="fa-IR"/>
          <w:color w:val="111111"/>
          <w:sz w:val="28"/>
          <w:szCs w:val="28"/>
          <w:rtl/>
        </w:rPr>
        <w:t xml:space="preserve">ابراهیم خان بن علی مراد خان، ق ۱۲ قمری</w:t>
      </w:r>
    </w:p>
    <w:p>
      <w:pPr>
        <w:pStyle w:val="BookText"/>
      </w:pPr>
      <w:r>
        <w:rPr>
          <w:rFonts w:ascii="Times New Roman" w:hAnsi="Times New Roman" w:eastAsia="Times New Roman" w:cs="Times New Roman"/>
          <w:lang w:val="en-US" w:bidi="en-US"/>
          <w:color w:val="111111"/>
          <w:sz w:val="28"/>
          <w:szCs w:val="28"/>
          <w:rtl/>
        </w:rPr>
        <w:t xml:space="preserve">ebrāhīm xān ben ‘alī morād xān (- 18c)</w:t>
      </w:r>
    </w:p>
    <w:p>
      <w:pPr>
        <w:pStyle w:val="BookText"/>
      </w:pPr>
      <w:r>
        <w:rPr>
          <w:rFonts w:ascii="IRNazanin" w:hAnsi="IRNazanin" w:eastAsia="IRNazanin" w:cs="IRNazanin"/>
          <w:lang w:bidi="fa-IR"/>
          <w:color w:val="111111"/>
          <w:sz w:val="28"/>
          <w:szCs w:val="28"/>
          <w:rtl/>
        </w:rPr>
        <w:t xml:space="preserve">احادیثی که از پیامبر اکرم (صلی الله علیه وآله وسلم) در حق امير المؤمنين(عليه السلام) و اهل بیت ایشان در صحاح سته اهل سنت آمده، در این کتاب گرد شده است. مجموع گفته های شیخ آقا بزرگ تهرانی و سید اعجاز حسین در موارد این کتاب چنین است که: امیر ابراهیم خان بن علی مرادخان، والی کشمیر از طرف اورنگ زیب عالمگیر شاه سلطان هند (۱۱۱۸ق یا کمی پیش از آن)، در سال ۱۱۱۶ ق گروهی از علما را نزد خود فراخواند تا آنها از ۳۰/۰۰۰ کتابی که وی گرد کرده، مجموعه بزرگی در مناقب اهل بیت تأليف کنند. از میان این گروه جز یک نفری که سید اعجاز حسین از او یاد کرده کسی را نمی شناسیم: عبدالحمید سامانی که «حسن الخط و جيد الضبط» بوده و بياض جداگانه ای برگزیده از صحیح بخاری و مسلم و شفا در مناقب از آن او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پدر سید اعجاز به خط خودش موجود بوده است. همچنین وی نسخه ای از احقاق الحق را با نشان تصحیح و مقابله و حواشی این عبد الحمید سامانی در خزانه کتب آیت الله في العالمين (؟) رؤیت کرده بود. بنا به نقل کتابی در امامت، که پیش از ۱۲۵۷ ق به فارسی از بیاض ابراهیم گزیده شده است، کار تأليف</w:t>
      </w:r>
    </w:p>
    <w:p>
      <w:pPr>
        <w:pStyle w:val="BookText"/>
      </w:pPr>
      <w:r>
        <w:rPr>
          <w:rFonts w:ascii="IRNazanin" w:hAnsi="IRNazanin" w:eastAsia="IRNazanin" w:cs="IRNazanin"/>
          <w:lang w:bidi="fa-IR"/>
          <w:color w:val="111111"/>
          <w:sz w:val="28"/>
          <w:szCs w:val="28"/>
          <w:rtl/>
        </w:rPr>
        <w:t xml:space="preserve">۵ جلد تا سال ۱۱۳۳ ق پایان گرفت. و از آن به بعد ادامه کار به واسطه فتنه بزرگی که در همان سال در کشمیر روی داد، و در پی آن ۱۶۷۰ تن از شیعیان کشته شدند و کتاب های بسیاری از آنها سوزانده شد، متوقف ماند.</w:t>
      </w:r>
    </w:p>
    <w:p>
      <w:pPr>
        <w:pStyle w:val="BookText"/>
      </w:pPr>
      <w:r>
        <w:rPr>
          <w:rFonts w:ascii="IRNazanin" w:hAnsi="IRNazanin" w:eastAsia="IRNazanin" w:cs="IRNazanin"/>
          <w:lang w:bidi="fa-IR"/>
          <w:color w:val="111111"/>
          <w:sz w:val="28"/>
          <w:szCs w:val="28"/>
          <w:rtl/>
        </w:rPr>
        <w:t xml:space="preserve">ولی صاحب کشف الحجب و الاستار تعداد مجلدات تدوین شده را ۷ جلد نقل می کند، بدین ترتیب: ۱- در آن چه که به ابوبکر تعلق دارد. با آغاز: «قد كفر الروافض و الخوارج بوجوه»؛ ۲- در آن چه که به عمر تعلق دارد. با آغاز: «الحديث الثانی و الثلاثون. اخرج الخطيب عن انس ان النبي صل الله عليه و آله قال عنوان صحيفة المؤمن حب علی بن ابی طالب»؛ ۳- در آن چه که به عثمان تعلق دارد، با آغاز: «قد كفر الروافض و الخوارج بوجوه»؛ ۴- در آن چه که به عایشه تعلق دارد. با آغاز: «فائدة: قال ابن أبي شيبة و البخاری و ابن مردويه عن زيد بن وهب في قوله تعالى فقاتلوا ائمة الكفر»؛ ۵- در آن چه که به معاویه تعلق دارد. با آغاز: «قال البيهقي في كتابه دلائل النبوة في باب ما روی في اخباره»؛ ۶- در آن چه که به امیرالمؤمنین و امامت و فضائلش و حسن و حسین و دیگر ائمه علیهم السلام تعلق دارد، با آغاز: «الحمدلله الذي هدانا صراطه المستقيم و نجانا بسفينته عن الهلاك العظیم». که نسخه حاضر ما همین جلد است. آقا بزرگ احتمال داده این قسمت جلد اول بوده باشد؛ ۷- در آن چه که به فروع دین تعلق دارد. با آغاز: «يجوز القنوت في الصلاة مطلقا».</w:t>
      </w:r>
    </w:p>
    <w:p>
      <w:pPr>
        <w:pStyle w:val="BookText"/>
      </w:pPr>
      <w:r>
        <w:rPr>
          <w:rFonts w:ascii="IRNazanin" w:hAnsi="IRNazanin" w:eastAsia="IRNazanin" w:cs="IRNazanin"/>
          <w:lang w:bidi="fa-IR"/>
          <w:color w:val="111111"/>
          <w:sz w:val="28"/>
          <w:szCs w:val="28"/>
          <w:rtl/>
        </w:rPr>
        <w:t xml:space="preserve">نسخه هایی هم که آقا بزرگ از آنها اطلاع یافته، چنین اند:۱ -کتابخانه راجه سید محمد مهدی در فیض آباد؛</w:t>
      </w:r>
    </w:p>
    <w:p>
      <w:pPr>
        <w:pStyle w:val="BookText"/>
      </w:pPr>
      <w:r>
        <w:rPr>
          <w:rFonts w:ascii="IRNazanin" w:hAnsi="IRNazanin" w:eastAsia="IRNazanin" w:cs="IRNazanin"/>
          <w:lang w:bidi="fa-IR"/>
          <w:color w:val="111111"/>
          <w:sz w:val="28"/>
          <w:szCs w:val="28"/>
          <w:rtl/>
        </w:rPr>
        <w:t xml:space="preserve">۲- کتابخانه شيخ علی اکبر نهاوندی در مشهد. بر روی آن آمده جلد هفتم کتاب است و با حديث أمر النبي صل الله عليه و آله بقتل ذي الثدية آغاز می شود. به خط محمد عباس در سه شنبه ۲۷ جمادی الثانی ۱۲۳۵ق؛ ۳- کتابخانه آستان قدس رضوی، جلد دوم کتاب مطابق آن چه کشف الحجب آورده. با مقدمه مفصلی از عبدالرحيم بن حسن خراسانی در وصف كتاب، وقفی در ۱۲۰۷ ق. علاوه بر اینها دو گزیده نیز از این اثر تحریر شده: یکی کتابی در امامت، تأليف پس از ۱۲۵۷ ق که در بالا از آن یاد کردیم (برای اطلاعات بیشتر رک: الذريعة: ۱۶۶/۳</w:t>
      </w:r>
    </w:p>
    <w:p>
      <w:pPr>
        <w:pStyle w:val="BookText"/>
      </w:pPr>
      <w:r>
        <w:rPr>
          <w:rFonts w:ascii="IRNazanin" w:hAnsi="IRNazanin" w:eastAsia="IRNazanin" w:cs="IRNazanin"/>
          <w:lang w:bidi="fa-IR"/>
          <w:color w:val="111111"/>
          <w:sz w:val="28"/>
          <w:szCs w:val="28"/>
          <w:rtl/>
        </w:rPr>
        <w:t xml:space="preserve">و ۱۱۱/۱۱ )؛ و دیگری از سید محمد عباس بن علی اکبر موسوی شوشتری (۱۳۰۶ ق) که مطالب مربوط به آتش زدن مصاحف به دست عثمان را با عنوان «الشعلة الجوالة» گزیده کرده است. (محمد حسین حكيم)</w:t>
      </w:r>
    </w:p>
    <w:p>
      <w:pPr>
        <w:pStyle w:val="BookText"/>
      </w:pPr>
      <w:r>
        <w:rPr>
          <w:rFonts w:ascii="IRNazanin" w:hAnsi="IRNazanin" w:eastAsia="IRNazanin" w:cs="IRNazanin"/>
          <w:lang w:bidi="fa-IR"/>
          <w:color w:val="111111"/>
          <w:sz w:val="28"/>
          <w:szCs w:val="28"/>
          <w:rtl/>
        </w:rPr>
        <w:t xml:space="preserve">[ الذريعة: ۱۶۶/۳ -۱۶۸ و ۱۹۹/۱۲ ؛ کشف الحجب و الاستار: ۹۰-۹۱؛ اعيان الشيعة: ۱۹۶/۲ ؛ فهرستواره منزوی</w:t>
      </w:r>
    </w:p>
    <w:p>
      <w:pPr>
        <w:pStyle w:val="BookText"/>
      </w:pPr>
      <w:r>
        <w:rPr>
          <w:rFonts w:ascii="IRNazanin" w:hAnsi="IRNazanin" w:eastAsia="IRNazanin" w:cs="IRNazanin"/>
          <w:lang w:bidi="fa-IR"/>
          <w:color w:val="111111"/>
          <w:sz w:val="28"/>
          <w:szCs w:val="28"/>
          <w:rtl/>
        </w:rPr>
        <w:t xml:space="preserve">۱۵۶/۹ ]</w:t>
      </w:r>
    </w:p>
    <w:p>
      <w:pPr>
        <w:pStyle w:val="BookText"/>
      </w:pPr>
      <w:r>
        <w:rPr>
          <w:rFonts w:ascii="IRNazanin" w:hAnsi="IRNazanin" w:eastAsia="IRNazanin" w:cs="IRNazanin"/>
          <w:lang w:bidi="fa-IR"/>
          <w:color w:val="111111"/>
          <w:sz w:val="28"/>
          <w:szCs w:val="28"/>
          <w:rtl/>
        </w:rPr>
        <w:t xml:space="preserve">١. مشهد؛ رضوی؛ شماره نسخه: ۱۸۶۶۷</w:t>
      </w:r>
    </w:p>
    <w:p>
      <w:pPr>
        <w:pStyle w:val="BookText"/>
      </w:pPr>
      <w:r>
        <w:rPr>
          <w:rFonts w:ascii="IRNazanin" w:hAnsi="IRNazanin" w:eastAsia="IRNazanin" w:cs="IRNazanin"/>
          <w:lang w:bidi="fa-IR"/>
          <w:color w:val="111111"/>
          <w:sz w:val="28"/>
          <w:szCs w:val="28"/>
          <w:rtl/>
        </w:rPr>
        <w:t xml:space="preserve">آغاز: بسمله الحديث الثاني و الثلثون اخرج الخطيب عن انس؛ انجام: ما تقول انت في ذلك قال غداء و عشاء فاخذ بذلک عمر جلد ۲-۳؛ خط: نسخ، بی کا، تا: قرن ۱۲؛ کاغذ: حنایی، جلد: مقوا [رایانه ]</w:t>
      </w:r>
    </w:p>
    <w:p>
      <w:pPr>
        <w:pStyle w:val="BookText"/>
      </w:pPr>
      <w:r>
        <w:rPr>
          <w:rFonts w:ascii="IRNazanin" w:hAnsi="IRNazanin" w:eastAsia="IRNazanin" w:cs="IRNazanin"/>
          <w:lang w:bidi="fa-IR"/>
          <w:color w:val="111111"/>
          <w:sz w:val="28"/>
          <w:szCs w:val="28"/>
          <w:rtl/>
        </w:rPr>
        <w:t xml:space="preserve">۲. تهران؛ مدرسه معمارباشی؛ شماره نسخه: ۸۳</w:t>
      </w:r>
    </w:p>
    <w:p>
      <w:pPr>
        <w:pStyle w:val="BookText"/>
      </w:pPr>
      <w:r>
        <w:rPr>
          <w:rFonts w:ascii="IRNazanin" w:hAnsi="IRNazanin" w:eastAsia="IRNazanin" w:cs="IRNazanin"/>
          <w:lang w:bidi="fa-IR"/>
          <w:color w:val="111111"/>
          <w:sz w:val="28"/>
          <w:szCs w:val="28"/>
          <w:rtl/>
        </w:rPr>
        <w:t xml:space="preserve">آغاز: الحمدلله الذي هدانا صراطه المستقيم و نجانا بسفينته عن هلاك العظيم و اتم علينا نعمته ... اما بعد فاعلم ايها الاخ في الدين ارشد ک الله تعالى طريق الصالحين؛ انجام: انها لا توجد الا في اکابر العارفين الأئمة الوارثين فهؤلاء هم شیعته على أهل بيته.</w:t>
      </w:r>
    </w:p>
    <w:p>
      <w:pPr>
        <w:pStyle w:val="BookText"/>
      </w:pPr>
      <w:r>
        <w:rPr>
          <w:rFonts w:ascii="IRNazanin" w:hAnsi="IRNazanin" w:eastAsia="IRNazanin" w:cs="IRNazanin"/>
          <w:lang w:bidi="fa-IR"/>
          <w:color w:val="111111"/>
          <w:sz w:val="28"/>
          <w:szCs w:val="28"/>
          <w:rtl/>
        </w:rPr>
        <w:t xml:space="preserve">اسم کتاب به این صورت آمده است: «الجزء الأول مودة القربی من ...... السن التقوی»؛ خط: نسخ، بی کا، تا: 7 ربيع الثانی ۱۱۴۴ق؛ مصحح، محشی، محمد هاشم نسخه را به قدر طاقت مقابله کرده؛ تملك: محمد بن عبدالنبی نیشابوری؛ مهر: «صلى على محمد» بیضوی)؛ جلد: تیماج قهوه ای با روکش پارچه ای قرمز، ۲۵۵ گ، ۱۷سطر [ف: ۹۳]</w:t>
      </w:r>
    </w:p>
    <w:p>
      <w:pPr>
        <w:pStyle w:val="BookText"/>
      </w:pPr>
      <w:r>
        <w:rPr>
          <w:rFonts w:ascii="IRNazanin" w:hAnsi="IRNazanin" w:eastAsia="IRNazanin" w:cs="IRNazanin"/>
          <w:lang w:bidi="fa-IR"/>
          <w:color w:val="111111"/>
          <w:sz w:val="28"/>
          <w:szCs w:val="28"/>
          <w:rtl/>
        </w:rPr>
        <w:t xml:space="preserve">٣. مشهد رضوی؛ شماره نسخه: ۲۲۳۳۲</w:t>
      </w:r>
    </w:p>
    <w:p>
      <w:pPr>
        <w:pStyle w:val="BookText"/>
      </w:pPr>
      <w:r>
        <w:rPr>
          <w:rFonts w:ascii="IRNazanin" w:hAnsi="IRNazanin" w:eastAsia="IRNazanin" w:cs="IRNazanin"/>
          <w:lang w:bidi="fa-IR"/>
          <w:color w:val="111111"/>
          <w:sz w:val="28"/>
          <w:szCs w:val="28"/>
          <w:rtl/>
        </w:rPr>
        <w:t xml:space="preserve">آغاز: روضه الاحباب لجمال الدين المحدث؛ انجام: و انکحتک یا حسين الرباب بنت امرء القيس تمت</w:t>
      </w:r>
    </w:p>
    <w:p>
      <w:pPr>
        <w:pStyle w:val="BookText"/>
      </w:pPr>
      <w:r>
        <w:rPr>
          <w:rFonts w:ascii="IRNazanin" w:hAnsi="IRNazanin" w:eastAsia="IRNazanin" w:cs="IRNazanin"/>
          <w:lang w:bidi="fa-IR"/>
          <w:color w:val="111111"/>
          <w:sz w:val="28"/>
          <w:szCs w:val="28"/>
          <w:rtl/>
        </w:rPr>
        <w:t xml:space="preserve">جلد ۲؛ خط: نسخ، بی کا، تا: قرن ۱۳؛ افتادگی: آغاز؛ کاغذ: نخودی، جلد: اسقاطی، ۲۲ سطر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[رایانه ]</w:t>
      </w:r>
    </w:p>
    <w:p>
      <w:pPr>
        <w:pStyle w:val="BookText"/>
      </w:pPr>
      <w:r>
        <w:rPr>
          <w:rFonts w:ascii="IRNazanin" w:hAnsi="IRNazanin" w:eastAsia="IRNazanin" w:cs="IRNazanin"/>
          <w:lang w:bidi="fa-IR"/>
          <w:color w:val="111111"/>
          <w:sz w:val="28"/>
          <w:szCs w:val="28"/>
          <w:rtl/>
        </w:rPr>
        <w:t xml:space="preserve">۴. مشهد؛ رضوی؛ شماره نسخه: ۱۹۰۴۶</w:t>
      </w:r>
    </w:p>
    <w:p>
      <w:pPr>
        <w:pStyle w:val="BookText"/>
      </w:pPr>
      <w:r>
        <w:rPr>
          <w:rFonts w:ascii="IRNazanin" w:hAnsi="IRNazanin" w:eastAsia="IRNazanin" w:cs="IRNazanin"/>
          <w:lang w:bidi="fa-IR"/>
          <w:color w:val="111111"/>
          <w:sz w:val="28"/>
          <w:szCs w:val="28"/>
          <w:rtl/>
        </w:rPr>
        <w:t xml:space="preserve">آغاز: بياض ابراهیم جلد ثالث مطاعی عثمان بن عفان ... بسمله. قد کفروا الروافض و الخوارج؛ انجام: انفسهم في سبيل الله اولئک هم الصادقون.</w:t>
      </w:r>
    </w:p>
    <w:p>
      <w:pPr>
        <w:pStyle w:val="BookText"/>
      </w:pPr>
      <w:r>
        <w:rPr>
          <w:rFonts w:ascii="IRNazanin" w:hAnsi="IRNazanin" w:eastAsia="IRNazanin" w:cs="IRNazanin"/>
          <w:lang w:bidi="fa-IR"/>
          <w:color w:val="111111"/>
          <w:sz w:val="28"/>
          <w:szCs w:val="28"/>
          <w:rtl/>
        </w:rPr>
        <w:t xml:space="preserve">جلد ۳؛ خط: نسخ خفی، بی کا، تا: قرن ۱۳؛ کاغذ: نخودی، جلد: مقوا با عطف و گوشه تیماج، ۱۳ سطر (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قطع: خشتی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[رایانه]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مشهد؛ رضوی؛ شماره نسخه: ۲۲۳۴۲</w:t>
      </w:r>
    </w:p>
    <w:p>
      <w:pPr>
        <w:pStyle w:val="BookText"/>
      </w:pPr>
      <w:r>
        <w:rPr>
          <w:rFonts w:ascii="IRNazanin" w:hAnsi="IRNazanin" w:eastAsia="IRNazanin" w:cs="IRNazanin"/>
          <w:lang w:bidi="fa-IR"/>
          <w:color w:val="111111"/>
          <w:sz w:val="28"/>
          <w:szCs w:val="28"/>
          <w:rtl/>
        </w:rPr>
        <w:t xml:space="preserve">آغاز: بسمله قد كفر الروافض و الخوارج بوجوه الاول؛ انجام: بغیر مدح سرائیم مدعا نبود خالق السواد و البياض من وزير على خط: نستعلیق، كان وزیر علی، تا: قرن ۱۳؛ کاغذ: نخودی، جلد: مقوا، ابعاد متن: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 اندازه:۳۳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[رایانه]</w:t>
      </w:r>
    </w:p>
    <w:p>
      <w:pPr>
        <w:pStyle w:val="BookText"/>
      </w:pPr>
      <w:r>
        <w:rPr>
          <w:rFonts w:ascii="IRNazanin" w:hAnsi="IRNazanin" w:eastAsia="IRNazanin" w:cs="IRNazanin"/>
          <w:lang w:bidi="fa-IR"/>
          <w:color w:val="111111"/>
          <w:sz w:val="28"/>
          <w:szCs w:val="28"/>
          <w:rtl/>
        </w:rPr>
        <w:t xml:space="preserve">۶. مشهد؛ رضوی؛ شماره نسخه: ۲۲۲۹۶</w:t>
      </w:r>
    </w:p>
    <w:p>
      <w:pPr>
        <w:pStyle w:val="BookText"/>
      </w:pPr>
      <w:r>
        <w:rPr>
          <w:rFonts w:ascii="IRNazanin" w:hAnsi="IRNazanin" w:eastAsia="IRNazanin" w:cs="IRNazanin"/>
          <w:lang w:bidi="fa-IR"/>
          <w:color w:val="111111"/>
          <w:sz w:val="28"/>
          <w:szCs w:val="28"/>
          <w:rtl/>
        </w:rPr>
        <w:t xml:space="preserve">آغاز: قد كفر الروافض و الخوارج بوجوه الاول؛ انجام: في فضل انقياد الحيوانات لامیرالمومنین علیه الصلوة و السلام خط: نسخ، بی کا، تا: ۱۲۶۳ق؛ کاغذ: نخودی، جلد: مقوا، ۲۲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سم [رایانه]</w:t>
      </w:r>
    </w:p>
    <w:p>
      <w:pPr>
        <w:pStyle w:val="BookText"/>
      </w:pPr>
      <w:r>
        <w:rPr>
          <w:rFonts w:ascii="IRNazanin" w:hAnsi="IRNazanin" w:eastAsia="IRNazanin" w:cs="IRNazanin"/>
          <w:lang w:bidi="fa-IR"/>
          <w:color w:val="111111"/>
          <w:sz w:val="28"/>
          <w:szCs w:val="28"/>
          <w:rtl/>
        </w:rPr>
        <w:t xml:space="preserve">۷. مشهد؛ رضوی؛ شماره نسخه: ۱۸۵۴۱</w:t>
      </w:r>
    </w:p>
    <w:p>
      <w:pPr>
        <w:pStyle w:val="BookText"/>
      </w:pPr>
      <w:r>
        <w:rPr>
          <w:rFonts w:ascii="IRNazanin" w:hAnsi="IRNazanin" w:eastAsia="IRNazanin" w:cs="IRNazanin"/>
          <w:lang w:bidi="fa-IR"/>
          <w:color w:val="111111"/>
          <w:sz w:val="28"/>
          <w:szCs w:val="28"/>
          <w:rtl/>
        </w:rPr>
        <w:t xml:space="preserve">آغاز: بسمله، قد كفر الروافض و الخوارج بوجوه الأول أن القدح في اكابر الصحابة الذين يشهد بهم القران؛ انجام: فخرج من مرو الى نیشابور و نظام الملک بها يومنذ فاكرمه و عظمته ثم عاد إلى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54" w:name="pg20363_209384"/>
    <w:bookmarkEnd w:id="154"/>
    <w:p>
      <w:pPr>
        <w:pStyle w:val="BookText"/>
      </w:pPr>
      <w:r>
        <w:rPr>
          <w:rFonts w:ascii="IRNazanin" w:hAnsi="IRNazanin" w:eastAsia="IRNazanin" w:cs="IRNazanin"/>
          <w:lang w:bidi="fa-IR"/>
          <w:color w:val="111111"/>
          <w:sz w:val="28"/>
          <w:szCs w:val="28"/>
          <w:rtl/>
        </w:rPr>
        <w:t xml:space="preserve">مرو مستقرا على مذهب الشافعی و صنف كتابا كثيرة تمت تمام شد ... سنه ۱۲۷۰</w:t>
      </w:r>
    </w:p>
    <w:p>
      <w:pPr>
        <w:pStyle w:val="BookText"/>
      </w:pPr>
      <w:r>
        <w:rPr>
          <w:rFonts w:ascii="IRNazanin" w:hAnsi="IRNazanin" w:eastAsia="IRNazanin" w:cs="IRNazanin"/>
          <w:lang w:bidi="fa-IR"/>
          <w:color w:val="111111"/>
          <w:sz w:val="28"/>
          <w:szCs w:val="28"/>
          <w:rtl/>
        </w:rPr>
        <w:t xml:space="preserve">خط: نستعلیق، كا: وزیر علی، تا: ۱۲۷۰ق؛ کاغذ: نباتی، جلد: تيماج [رایانه]</w:t>
      </w:r>
    </w:p>
    <w:p>
      <w:pPr>
        <w:pStyle w:val="BookText"/>
      </w:pPr>
      <w:r>
        <w:rPr>
          <w:rFonts w:ascii="IRNazanin" w:hAnsi="IRNazanin" w:eastAsia="IRNazanin" w:cs="IRNazanin"/>
          <w:lang w:bidi="fa-IR"/>
          <w:color w:val="111111"/>
          <w:sz w:val="28"/>
          <w:szCs w:val="28"/>
          <w:rtl/>
        </w:rPr>
        <w:t xml:space="preserve">۰۸ مشهد؛ رضوی؛ شماره نسخه: ۲۸۵۹۲</w:t>
      </w:r>
    </w:p>
    <w:p>
      <w:pPr>
        <w:pStyle w:val="BookText"/>
      </w:pPr>
      <w:r>
        <w:rPr>
          <w:rFonts w:ascii="IRNazanin" w:hAnsi="IRNazanin" w:eastAsia="IRNazanin" w:cs="IRNazanin"/>
          <w:lang w:bidi="fa-IR"/>
          <w:color w:val="111111"/>
          <w:sz w:val="28"/>
          <w:szCs w:val="28"/>
          <w:rtl/>
        </w:rPr>
        <w:t xml:space="preserve">آغاز: قال البيهقي في كتابه دلائل النبوة في باب ماروی في اخباره صلعم الرجل الذي وصف بالا جهاد، انجام: يذكرونه بارجلهم و يقولون باين الحيض اطمعت ...</w:t>
      </w:r>
    </w:p>
    <w:p>
      <w:pPr>
        <w:pStyle w:val="BookText"/>
      </w:pPr>
      <w:r>
        <w:rPr>
          <w:rFonts w:ascii="IRNazanin" w:hAnsi="IRNazanin" w:eastAsia="IRNazanin" w:cs="IRNazanin"/>
          <w:lang w:bidi="fa-IR"/>
          <w:color w:val="111111"/>
          <w:sz w:val="28"/>
          <w:szCs w:val="28"/>
          <w:rtl/>
        </w:rPr>
        <w:t xml:space="preserve">خط: نستعلیق، بی کا، بی تا، افتادگی: آغاز و انجام؛ کاغذ: نخودی، جلد: تیماج زرکوب [رایانه]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مشهد؛ رضوی؛ شماره نسخه: ۲۴۵۹۲</w:t>
      </w:r>
    </w:p>
    <w:p>
      <w:pPr>
        <w:pStyle w:val="BookText"/>
      </w:pPr>
      <w:r>
        <w:rPr>
          <w:rFonts w:ascii="IRNazanin" w:hAnsi="IRNazanin" w:eastAsia="IRNazanin" w:cs="IRNazanin"/>
          <w:lang w:bidi="fa-IR"/>
          <w:color w:val="111111"/>
          <w:sz w:val="28"/>
          <w:szCs w:val="28"/>
          <w:rtl/>
        </w:rPr>
        <w:t xml:space="preserve">آغاز: حدیث امر نمودن ... قال البيهقي في كتابه دلائل النبوه؛ انجام: و هي نازلة في حق المشركين ... في ضرب المثل. تمت بالخير</w:t>
      </w:r>
    </w:p>
    <w:p>
      <w:pPr>
        <w:pStyle w:val="BookText"/>
      </w:pPr>
      <w:r>
        <w:rPr>
          <w:rFonts w:ascii="IRNazanin" w:hAnsi="IRNazanin" w:eastAsia="IRNazanin" w:cs="IRNazanin"/>
          <w:lang w:bidi="fa-IR"/>
          <w:color w:val="111111"/>
          <w:sz w:val="28"/>
          <w:szCs w:val="28"/>
          <w:rtl/>
        </w:rPr>
        <w:t xml:space="preserve">خط: نسخ خفی، بی کا، بی تا، مقابله شده به تاریخ ۲۰ جمادی الاول ۱۱۳۰ از روی نسخه میرزا محمد احسان؛ کاغذ: نباتی، جلد: مقوا با عطف و گوشه تیماج. برون مقوای ماشی با عطف و گوشه تیماج خرمایی، ۲۶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قطع: وزیری، اندازه: ۲۶/۷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سم [رایانه ]</w:t>
      </w:r>
    </w:p>
    <w:p>
      <w:pPr>
        <w:pStyle w:val="BookText"/>
      </w:pPr>
      <w:r>
        <w:rPr>
          <w:rFonts w:ascii="IRNazanin" w:hAnsi="IRNazanin" w:eastAsia="IRNazanin" w:cs="IRNazanin"/>
          <w:lang w:bidi="fa-IR"/>
          <w:color w:val="111111"/>
          <w:sz w:val="28"/>
          <w:szCs w:val="28"/>
          <w:rtl/>
        </w:rPr>
        <w:t xml:space="preserve">۱۰. مشهد؛ رضوی؛ شماره نسخه: ۲۴۴۷۰</w:t>
      </w:r>
    </w:p>
    <w:p>
      <w:pPr>
        <w:pStyle w:val="BookText"/>
      </w:pPr>
      <w:r>
        <w:rPr>
          <w:rFonts w:ascii="IRNazanin" w:hAnsi="IRNazanin" w:eastAsia="IRNazanin" w:cs="IRNazanin"/>
          <w:lang w:bidi="fa-IR"/>
          <w:color w:val="111111"/>
          <w:sz w:val="28"/>
          <w:szCs w:val="28"/>
          <w:rtl/>
        </w:rPr>
        <w:t xml:space="preserve">آغاز: مقاصد جامع الأصول فرع اول از فصل خامس؛ انجام: و يقولون باين الحيضص ... في رؤية. خط: نستعلیق خفی، بی کا، بی تا، افتادگی: آغاز؛ کتابخانه ناصریه الكنو قسم اول کتب وقف کرده ...... بهادر محمد قلیخان؛ کاغذ: نخودی، جلد: مقوا منقش رنگی با عطف و گوشه تیماج، ۱۵-۱۶  سطر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قطع: وزیری بزرگ،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[رایانه]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مشهد؛ رضوی؛ شماره نسخه: ۲۴۴۶۸</w:t>
      </w:r>
    </w:p>
    <w:p>
      <w:pPr>
        <w:pStyle w:val="BookText"/>
      </w:pPr>
      <w:r>
        <w:rPr>
          <w:rFonts w:ascii="IRNazanin" w:hAnsi="IRNazanin" w:eastAsia="IRNazanin" w:cs="IRNazanin"/>
          <w:lang w:bidi="fa-IR"/>
          <w:color w:val="111111"/>
          <w:sz w:val="28"/>
          <w:szCs w:val="28"/>
          <w:rtl/>
        </w:rPr>
        <w:t xml:space="preserve">آغاز: بسمله قال الشيخ الامام الزاهد الكبير قوام الدین نظام الاسلام؛ انجام: فقال أخبرني عن عمر فقال انه افضل من ... لانه یزانی رفيقا. جلد ۱ (مطاعن ابی بکر)؛ خط: نسخ و نستعلیق خفی، بی کا، بی تا؛ واقف: میر سید علی؛ کاغذ: حنایی، جلد: مقوای پشمی با عطف و گوشه تیماج قهوه ای، ۱۶ سطر (۱۰/۵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قطع: وزیری بزرگ،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[رایانه]</w:t>
      </w:r>
    </w:p>
    <w:p>
      <w:pPr>
        <w:pStyle w:val="BookText"/>
      </w:pPr>
      <w:r>
        <w:rPr>
          <w:rFonts w:ascii="IRNazanin" w:hAnsi="IRNazanin" w:eastAsia="IRNazanin" w:cs="IRNazanin"/>
          <w:lang w:bidi="fa-IR"/>
          <w:color w:val="111111"/>
          <w:sz w:val="28"/>
          <w:szCs w:val="28"/>
          <w:rtl/>
        </w:rPr>
        <w:t xml:space="preserve">۱۲. مشهد؛ رضوی؛ شماره نسخه: ۲۸۴۸۲</w:t>
      </w:r>
    </w:p>
    <w:p>
      <w:pPr>
        <w:pStyle w:val="BookText"/>
      </w:pPr>
      <w:r>
        <w:rPr>
          <w:rFonts w:ascii="IRNazanin" w:hAnsi="IRNazanin" w:eastAsia="IRNazanin" w:cs="IRNazanin"/>
          <w:lang w:bidi="fa-IR"/>
          <w:color w:val="111111"/>
          <w:sz w:val="28"/>
          <w:szCs w:val="28"/>
          <w:rtl/>
        </w:rPr>
        <w:t xml:space="preserve">آغاز: بسمله، الحديث الثاني و الثلاثون اخرج الخطيب و قال الشيخ محمد یعقوب صرفي في الأربعين؛ انجام: صفر بند کردن صفده ای او ثقه و شدة ۱۲ صراح</w:t>
      </w:r>
    </w:p>
    <w:p>
      <w:pPr>
        <w:pStyle w:val="BookText"/>
      </w:pPr>
      <w:r>
        <w:rPr>
          <w:rFonts w:ascii="IRNazanin" w:hAnsi="IRNazanin" w:eastAsia="IRNazanin" w:cs="IRNazanin"/>
          <w:lang w:bidi="fa-IR"/>
          <w:color w:val="111111"/>
          <w:sz w:val="28"/>
          <w:szCs w:val="28"/>
          <w:rtl/>
        </w:rPr>
        <w:t xml:space="preserve">خط: نسخ، بی کا، بی تا؛ افتادگی: انجام؛ کاغذ: حنایی، جلد: مقوا [رایانه ]</w:t>
      </w:r>
    </w:p>
    <w:p>
      <w:pPr>
        <w:pStyle w:val="BookText"/>
      </w:pPr>
      <w:r>
        <w:rPr>
          <w:rFonts w:ascii="IRNazanin" w:hAnsi="IRNazanin" w:eastAsia="IRNazanin" w:cs="IRNazanin"/>
          <w:lang w:bidi="fa-IR"/>
          <w:color w:val="111111"/>
          <w:sz w:val="28"/>
          <w:szCs w:val="28"/>
          <w:rtl/>
        </w:rPr>
        <w:t xml:space="preserve">۱۳. مشهد؛ رضوی، شماره نسخه: ۲۸۴۲۵</w:t>
      </w:r>
    </w:p>
    <w:p>
      <w:pPr>
        <w:pStyle w:val="BookText"/>
      </w:pPr>
      <w:r>
        <w:rPr>
          <w:rFonts w:ascii="Amiri" w:hAnsi="Amiri" w:eastAsia="Amiri" w:cs="Amiri"/>
          <w:lang w:bidi="ar-SA"/>
          <w:color w:val="111111"/>
          <w:sz w:val="28"/>
          <w:szCs w:val="28"/>
          <w:rtl/>
        </w:rPr>
        <w:t xml:space="preserve">آغاز: بسمله الحمدلله الذي هدانا لتصديق نبيه الكريم و ارشدنا الى اتباع دينه القويم و الصلوة و السلام على سيد المرسلين ... المطهرة الصادقة المصدقة؛ انجام: عن يوم المقادير يوم ... بربكم و قد سمعتك يقول خبنه اشهد ان لا اله الا الله و أن محمد رسول الله</w:t>
      </w:r>
    </w:p>
    <w:p>
      <w:pPr>
        <w:pStyle w:val="BookText"/>
      </w:pPr>
      <w:r>
        <w:rPr>
          <w:rFonts w:ascii="IRNazanin" w:hAnsi="IRNazanin" w:eastAsia="IRNazanin" w:cs="IRNazanin"/>
          <w:lang w:bidi="fa-IR"/>
          <w:color w:val="111111"/>
          <w:sz w:val="28"/>
          <w:szCs w:val="28"/>
          <w:rtl/>
        </w:rPr>
        <w:t xml:space="preserve">خط: نستعلیق، بی کا، بی تا؛ کاغذ: نخودی، جلد: تیماج [رایانه]</w:t>
      </w:r>
    </w:p>
    <w:p>
      <w:pPr>
        <w:pStyle w:val="BookText"/>
      </w:pPr>
      <w:r>
        <w:rPr>
          <w:rFonts w:ascii="IRNazanin" w:hAnsi="IRNazanin" w:eastAsia="IRNazanin" w:cs="IRNazanin"/>
          <w:lang w:bidi="fa-IR"/>
          <w:color w:val="111111"/>
          <w:sz w:val="28"/>
          <w:szCs w:val="28"/>
          <w:rtl/>
        </w:rPr>
        <w:t xml:space="preserve">۱۴. مشهد؛ رضوی؛ شماره نسخه: ۲۸۰۶۵</w:t>
      </w:r>
    </w:p>
    <w:p>
      <w:pPr>
        <w:pStyle w:val="BookText"/>
      </w:pPr>
      <w:r>
        <w:rPr>
          <w:rFonts w:ascii="IRNazanin" w:hAnsi="IRNazanin" w:eastAsia="IRNazanin" w:cs="IRNazanin"/>
          <w:lang w:bidi="fa-IR"/>
          <w:color w:val="111111"/>
          <w:sz w:val="28"/>
          <w:szCs w:val="28"/>
          <w:rtl/>
        </w:rPr>
        <w:t xml:space="preserve">آغاز: اليه لترك كثيرا مما هو عليه و قد رحمه انا غضب على رجل ارائی الرضا عنه؛ انجام: عنه ای اخی من سقاك فقال و ما تريد اليه اتريد ان تقتله قال نعم قال لئن كان خط: نسخ، بی کا، بی تا، افتادگی: آغاز و انجام؛ کاغذ: حنایی، جلد: مقوا با عطف و گوشه تیماج [رایانه]</w:t>
      </w:r>
    </w:p>
    <w:p>
      <w:pPr>
        <w:pStyle w:val="Heading3"/>
      </w:pPr>
      <w:bookmarkStart w:id="1206" w:name="_Toc466"/>
      <w:r>
        <w:t>• بياض ابراهیمی / متفرقه / فارسی</w:t>
      </w:r>
      <w:bookmarkEnd w:id="1206"/>
    </w:p>
    <w:p>
      <w:pPr>
        <w:pStyle w:val="BookText"/>
      </w:pPr>
      <w:r>
        <w:rPr>
          <w:rFonts w:ascii="Times New Roman" w:hAnsi="Times New Roman" w:eastAsia="Times New Roman" w:cs="Times New Roman"/>
          <w:lang w:val="en-US" w:bidi="en-US"/>
          <w:color w:val="111111"/>
          <w:sz w:val="28"/>
          <w:szCs w:val="28"/>
          <w:rtl/>
        </w:rPr>
        <w:t xml:space="preserve">bayāz-e ebrāhīmī</w:t>
      </w:r>
    </w:p>
    <w:p>
      <w:pPr>
        <w:pStyle w:val="BookText"/>
      </w:pPr>
      <w:r>
        <w:rPr>
          <w:rFonts w:ascii="IRNazanin" w:hAnsi="IRNazanin" w:eastAsia="IRNazanin" w:cs="IRNazanin"/>
          <w:lang w:bidi="fa-IR"/>
          <w:color w:val="111111"/>
          <w:sz w:val="28"/>
          <w:szCs w:val="28"/>
          <w:rtl/>
        </w:rPr>
        <w:t xml:space="preserve">مشهد؛ رضوی؛ شماره نسخه: ۲۵۳۱۷</w:t>
      </w:r>
    </w:p>
    <w:p>
      <w:pPr>
        <w:pStyle w:val="BookText"/>
      </w:pPr>
      <w:r>
        <w:rPr>
          <w:rFonts w:ascii="IRNazanin" w:hAnsi="IRNazanin" w:eastAsia="IRNazanin" w:cs="IRNazanin"/>
          <w:lang w:bidi="fa-IR"/>
          <w:color w:val="111111"/>
          <w:sz w:val="28"/>
          <w:szCs w:val="28"/>
          <w:rtl/>
        </w:rPr>
        <w:t xml:space="preserve">آغاز: بسمله حدیث امر نمودن حضرت صلی الله عليه و آله؛ انجام: في حق المشركين من كتاب الأسل في ضرب المثل (كذا) خط: نسخ، بی کا، تا: ۱۲۳۵ق؛ کاغذ: نخودی، جلد: تیماج[ رایانه]</w:t>
      </w:r>
    </w:p>
    <w:p>
      <w:pPr>
        <w:pStyle w:val="BookText"/>
      </w:pPr>
      <w:r>
        <w:rPr>
          <w:rFonts w:ascii="IRNazanin" w:hAnsi="IRNazanin" w:eastAsia="IRNazanin" w:cs="IRNazanin"/>
          <w:lang w:bidi="fa-IR"/>
          <w:color w:val="111111"/>
          <w:sz w:val="28"/>
          <w:szCs w:val="28"/>
          <w:rtl/>
        </w:rPr>
        <w:t xml:space="preserve">← بیاض ادبی← جنگ شعر و نثر</w:t>
      </w:r>
    </w:p>
    <w:p>
      <w:pPr>
        <w:pStyle w:val="BookText"/>
      </w:pPr>
      <w:r>
        <w:rPr>
          <w:rFonts w:ascii="Amiri" w:hAnsi="Amiri" w:eastAsia="Amiri" w:cs="Amiri"/>
          <w:lang w:bidi="ar-SA"/>
          <w:color w:val="111111"/>
          <w:sz w:val="28"/>
          <w:szCs w:val="28"/>
          <w:rtl/>
        </w:rPr>
        <w:t xml:space="preserve">← بياض ادعيه ← ادعيه</w:t>
      </w:r>
    </w:p>
    <w:p>
      <w:pPr>
        <w:pStyle w:val="BookText"/>
      </w:pPr>
      <w:r>
        <w:rPr>
          <w:rFonts w:ascii="IRNazanin" w:hAnsi="IRNazanin" w:eastAsia="IRNazanin" w:cs="IRNazanin"/>
          <w:lang w:bidi="fa-IR"/>
          <w:color w:val="111111"/>
          <w:sz w:val="28"/>
          <w:szCs w:val="28"/>
          <w:rtl/>
        </w:rPr>
        <w:t xml:space="preserve">←بیاض اشعار ← اشعار</w:t>
      </w:r>
    </w:p>
    <w:p>
      <w:pPr>
        <w:pStyle w:val="Heading3"/>
      </w:pPr>
      <w:bookmarkStart w:id="1207" w:name="_Toc467"/>
      <w:r>
        <w:t>• بياض الله ویردی = جنگ / شعر / فارسی</w:t>
      </w:r>
      <w:bookmarkEnd w:id="1207"/>
    </w:p>
    <w:p>
      <w:pPr>
        <w:pStyle w:val="BookText"/>
      </w:pPr>
      <w:r>
        <w:rPr>
          <w:rFonts w:ascii="Times New Roman" w:hAnsi="Times New Roman" w:eastAsia="Times New Roman" w:cs="Times New Roman"/>
          <w:lang w:val="en-US" w:bidi="en-US"/>
          <w:color w:val="111111"/>
          <w:sz w:val="28"/>
          <w:szCs w:val="28"/>
          <w:rtl/>
        </w:rPr>
        <w:t xml:space="preserve">bayāz-e al-lāh-vīradī = jong</w:t>
      </w:r>
    </w:p>
    <w:p>
      <w:pPr>
        <w:pStyle w:val="BookText"/>
      </w:pPr>
      <w:r>
        <w:rPr>
          <w:rFonts w:ascii="IRNazanin" w:hAnsi="IRNazanin" w:eastAsia="IRNazanin" w:cs="IRNazanin"/>
          <w:lang w:bidi="fa-IR"/>
          <w:color w:val="111111"/>
          <w:sz w:val="28"/>
          <w:szCs w:val="28"/>
          <w:rtl/>
        </w:rPr>
        <w:t xml:space="preserve">گل احمد بن محمد، ق ۱۱ قمری</w:t>
      </w:r>
    </w:p>
    <w:p>
      <w:pPr>
        <w:pStyle w:val="BookText"/>
      </w:pPr>
      <w:r>
        <w:rPr>
          <w:rFonts w:ascii="Times New Roman" w:hAnsi="Times New Roman" w:eastAsia="Times New Roman" w:cs="Times New Roman"/>
          <w:lang w:val="en-US" w:bidi="en-US"/>
          <w:color w:val="111111"/>
          <w:sz w:val="28"/>
          <w:szCs w:val="28"/>
          <w:rtl/>
        </w:rPr>
        <w:t xml:space="preserve">gol ahmad ebn-e mohammad (- 17c)</w:t>
      </w:r>
    </w:p>
    <w:p>
      <w:pPr>
        <w:pStyle w:val="BookText"/>
      </w:pPr>
      <w:r>
        <w:rPr>
          <w:rFonts w:ascii="IRNazanin" w:hAnsi="IRNazanin" w:eastAsia="IRNazanin" w:cs="IRNazanin"/>
          <w:lang w:bidi="fa-IR"/>
          <w:color w:val="111111"/>
          <w:sz w:val="28"/>
          <w:szCs w:val="28"/>
          <w:rtl/>
        </w:rPr>
        <w:t xml:space="preserve">تاريخ تأليف: ۱۰۷۵ق این کتاب را گل احمد بن محمد بامر الله ویردی بن کدخدا امام وردی گرد آورده است و شامل اشعاری از عرفی، حافظ، صائب و ... و چند مثنوی و ساقی نامه، رساله در طب، رساله حسنیه، اشعاری در انوری و ... است.</w:t>
      </w:r>
    </w:p>
    <w:p>
      <w:pPr>
        <w:pStyle w:val="BookText"/>
      </w:pPr>
      <w:r>
        <w:rPr>
          <w:rFonts w:ascii="IRNazanin" w:hAnsi="IRNazanin" w:eastAsia="IRNazanin" w:cs="IRNazanin"/>
          <w:lang w:bidi="fa-IR"/>
          <w:color w:val="111111"/>
          <w:sz w:val="28"/>
          <w:szCs w:val="28"/>
          <w:rtl/>
        </w:rPr>
        <w:t xml:space="preserve">مشهد؛ ادبیات، شماره نسخه: ۱۸۰ فرخ</w:t>
      </w:r>
    </w:p>
    <w:p>
      <w:pPr>
        <w:pStyle w:val="BookText"/>
      </w:pPr>
      <w:r>
        <w:rPr>
          <w:rFonts w:ascii="IRNazanin" w:hAnsi="IRNazanin" w:eastAsia="IRNazanin" w:cs="IRNazanin"/>
          <w:lang w:bidi="fa-IR"/>
          <w:color w:val="111111"/>
          <w:sz w:val="28"/>
          <w:szCs w:val="28"/>
          <w:rtl/>
        </w:rPr>
        <w:t xml:space="preserve">خط: نستعلیق، بی کا، بی تا، کاغذ: فرنگی، جلد: تیماج قهوه ای، ۲۴۰گ، ۲۱سطر (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قطع:مصری،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۳۷)</w:t>
      </w:r>
    </w:p>
    <w:p>
      <w:pPr>
        <w:pStyle w:val="Heading3"/>
      </w:pPr>
      <w:bookmarkStart w:id="1208" w:name="_Toc468"/>
      <w:r>
        <w:t>• بیاض خطوط / فارسی</w:t>
      </w:r>
      <w:bookmarkEnd w:id="1208"/>
    </w:p>
    <w:p>
      <w:pPr>
        <w:pStyle w:val="BookText"/>
      </w:pPr>
      <w:r>
        <w:rPr>
          <w:rFonts w:ascii="Times New Roman" w:hAnsi="Times New Roman" w:eastAsia="Times New Roman" w:cs="Times New Roman"/>
          <w:lang w:val="en-US" w:bidi="en-US"/>
          <w:color w:val="111111"/>
          <w:sz w:val="28"/>
          <w:szCs w:val="28"/>
          <w:rtl/>
        </w:rPr>
        <w:t xml:space="preserve">bayāz-e xotūt</w:t>
      </w:r>
    </w:p>
    <w:p>
      <w:pPr>
        <w:pStyle w:val="BookText"/>
      </w:pPr>
      <w:r>
        <w:rPr>
          <w:rFonts w:ascii="IRNazanin" w:hAnsi="IRNazanin" w:eastAsia="IRNazanin" w:cs="IRNazanin"/>
          <w:lang w:bidi="fa-IR"/>
          <w:color w:val="111111"/>
          <w:sz w:val="28"/>
          <w:szCs w:val="28"/>
          <w:rtl/>
        </w:rPr>
        <w:t xml:space="preserve">سلطان العلماء، محمد بن دلدار علی، ۱۱۹۹-۱۲۸۴ قمری</w:t>
      </w:r>
    </w:p>
    <w:p>
      <w:pPr>
        <w:pStyle w:val="BookText"/>
      </w:pPr>
      <w:r>
        <w:rPr>
          <w:rFonts w:ascii="Times New Roman" w:hAnsi="Times New Roman" w:eastAsia="Times New Roman" w:cs="Times New Roman"/>
          <w:lang w:val="en-US" w:bidi="en-US"/>
          <w:color w:val="111111"/>
          <w:sz w:val="28"/>
          <w:szCs w:val="28"/>
          <w:rtl/>
        </w:rPr>
        <w:t xml:space="preserve">soltān-ol-'olamā', mohammad ebn-e deldār ‘alī (1785 1868)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55" w:name="pg20363_209385"/>
    <w:bookmarkEnd w:id="155"/>
    <w:p>
      <w:pPr>
        <w:pStyle w:val="BookText"/>
      </w:pPr>
      <w:r>
        <w:rPr>
          <w:rFonts w:ascii="IRNazanin" w:hAnsi="IRNazanin" w:eastAsia="IRNazanin" w:cs="IRNazanin"/>
          <w:lang w:bidi="fa-IR"/>
          <w:color w:val="111111"/>
          <w:sz w:val="28"/>
          <w:szCs w:val="28"/>
          <w:rtl/>
        </w:rPr>
        <w:t xml:space="preserve">مشهد؛ رضوی؛ شماره نسخه: ۲۸۴۱۲</w:t>
      </w:r>
    </w:p>
    <w:p>
      <w:pPr>
        <w:pStyle w:val="BookText"/>
      </w:pPr>
      <w:r>
        <w:rPr>
          <w:rFonts w:ascii="IRNazanin" w:hAnsi="IRNazanin" w:eastAsia="IRNazanin" w:cs="IRNazanin"/>
          <w:lang w:bidi="fa-IR"/>
          <w:color w:val="111111"/>
          <w:sz w:val="28"/>
          <w:szCs w:val="28"/>
          <w:rtl/>
        </w:rPr>
        <w:t xml:space="preserve">آغاز: زبوق الأحباب الكرام نخبة الأصدقاء الفخام الالجعی اللودعی سلحه الله تعالی بعد سلام؛ انجام: تا خال برون اجازات يحه بر چنین امور مطلع نساخته</w:t>
      </w:r>
    </w:p>
    <w:p>
      <w:pPr>
        <w:pStyle w:val="BookText"/>
      </w:pPr>
      <w:r>
        <w:rPr>
          <w:rFonts w:ascii="IRNazanin" w:hAnsi="IRNazanin" w:eastAsia="IRNazanin" w:cs="IRNazanin"/>
          <w:lang w:bidi="fa-IR"/>
          <w:color w:val="111111"/>
          <w:sz w:val="28"/>
          <w:szCs w:val="28"/>
          <w:rtl/>
        </w:rPr>
        <w:t xml:space="preserve">خط: نستعلیق شکسته، بی کا، بی تا، کاغذ: نخودی، جلد: تیماج زر کوب، مختلف السطر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 ۳۰)، قطع: بیاضی، اندازه: ٣۶/۳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۱۷/۴ سم[ رایانه]</w:t>
      </w:r>
    </w:p>
    <w:p>
      <w:pPr>
        <w:pStyle w:val="Heading3"/>
      </w:pPr>
      <w:bookmarkStart w:id="1209" w:name="_Toc469"/>
      <w:r>
        <w:t>• بیاض خوشبویی / ادبیات / فارسی</w:t>
      </w:r>
      <w:bookmarkEnd w:id="1209"/>
    </w:p>
    <w:p>
      <w:pPr>
        <w:pStyle w:val="BookText"/>
      </w:pPr>
      <w:r>
        <w:rPr>
          <w:rFonts w:ascii="Times New Roman" w:hAnsi="Times New Roman" w:eastAsia="Times New Roman" w:cs="Times New Roman"/>
          <w:lang w:val="en-US" w:bidi="en-US"/>
          <w:color w:val="111111"/>
          <w:sz w:val="28"/>
          <w:szCs w:val="28"/>
          <w:rtl/>
        </w:rPr>
        <w:t xml:space="preserve">bayāz-e xošbūyī</w:t>
      </w:r>
    </w:p>
    <w:p>
      <w:pPr>
        <w:pStyle w:val="BookText"/>
      </w:pPr>
      <w:r>
        <w:rPr>
          <w:rFonts w:ascii="IRNazanin" w:hAnsi="IRNazanin" w:eastAsia="IRNazanin" w:cs="IRNazanin"/>
          <w:lang w:bidi="fa-IR"/>
          <w:color w:val="111111"/>
          <w:sz w:val="28"/>
          <w:szCs w:val="28"/>
          <w:rtl/>
        </w:rPr>
        <w:t xml:space="preserve">تهران، دانشگاه؛ شماره نسخه: ۵۸۲۸/۱ -ف</w:t>
      </w:r>
    </w:p>
    <w:p>
      <w:pPr>
        <w:pStyle w:val="BookText"/>
      </w:pPr>
      <w:r>
        <w:rPr>
          <w:rFonts w:ascii="IRNazanin" w:hAnsi="IRNazanin" w:eastAsia="IRNazanin" w:cs="IRNazanin"/>
          <w:lang w:bidi="fa-IR"/>
          <w:color w:val="111111"/>
          <w:sz w:val="28"/>
          <w:szCs w:val="28"/>
          <w:rtl/>
        </w:rPr>
        <w:t xml:space="preserve">نسخه اصل: از دیوان هند. در هفده «فصل»؛ کا: خاکسار محمد اعظم، تا: ۶ شعبان ۱۱۰۹ق [فیلمها ف: ۳-۱۸۴]</w:t>
      </w:r>
    </w:p>
    <w:p>
      <w:pPr>
        <w:pStyle w:val="BookText"/>
      </w:pPr>
      <w:r>
        <w:rPr>
          <w:rFonts w:ascii="IRNazanin" w:hAnsi="IRNazanin" w:eastAsia="IRNazanin" w:cs="IRNazanin"/>
          <w:lang w:bidi="fa-IR"/>
          <w:color w:val="111111"/>
          <w:sz w:val="28"/>
          <w:szCs w:val="28"/>
          <w:rtl/>
        </w:rPr>
        <w:t xml:space="preserve">←بیاض در طب فارسی← طبی</w:t>
      </w:r>
    </w:p>
    <w:p>
      <w:pPr>
        <w:pStyle w:val="Heading3"/>
      </w:pPr>
      <w:bookmarkStart w:id="1210" w:name="_Toc470"/>
      <w:r>
        <w:t>• بیاض ریاض = ریاض طبع / ادبیات /فارسی</w:t>
      </w:r>
      <w:bookmarkEnd w:id="1210"/>
    </w:p>
    <w:p>
      <w:pPr>
        <w:pStyle w:val="BookText"/>
      </w:pPr>
      <w:r>
        <w:rPr>
          <w:rFonts w:ascii="Times New Roman" w:hAnsi="Times New Roman" w:eastAsia="Times New Roman" w:cs="Times New Roman"/>
          <w:lang w:val="en-US" w:bidi="en-US"/>
          <w:color w:val="111111"/>
          <w:sz w:val="28"/>
          <w:szCs w:val="28"/>
          <w:rtl/>
        </w:rPr>
        <w:t xml:space="preserve">bayāz-e rīyāz= rīyāz-e tab“</w:t>
      </w:r>
    </w:p>
    <w:p>
      <w:pPr>
        <w:pStyle w:val="BookText"/>
      </w:pPr>
      <w:r>
        <w:rPr>
          <w:rFonts w:ascii="IRNazanin" w:hAnsi="IRNazanin" w:eastAsia="IRNazanin" w:cs="IRNazanin"/>
          <w:lang w:bidi="fa-IR"/>
          <w:color w:val="111111"/>
          <w:sz w:val="28"/>
          <w:szCs w:val="28"/>
          <w:rtl/>
        </w:rPr>
        <w:t xml:space="preserve">تاریخ تأليف: ۱۰۹۰ق</w:t>
      </w:r>
    </w:p>
    <w:p>
      <w:pPr>
        <w:pStyle w:val="BookText"/>
      </w:pPr>
      <w:r>
        <w:rPr>
          <w:rFonts w:ascii="IRNazanin" w:hAnsi="IRNazanin" w:eastAsia="IRNazanin" w:cs="IRNazanin"/>
          <w:lang w:bidi="fa-IR"/>
          <w:color w:val="111111"/>
          <w:sz w:val="28"/>
          <w:szCs w:val="28"/>
          <w:rtl/>
        </w:rPr>
        <w:t xml:space="preserve">از بنده هوادار اسکندر. مشتمل بر منشئات و اشعار بزرگان و جمع شده از آثار بزرگان ادب و دارای بخشی از اکبر نامه ابوالفضل بن مبارک و مکاتبات صغير وي. آداب کتابت و نامه نگاری با سرآغاز: «اما بعد بدانکه کاتب باید که تعریف هر کس مناسب حال او ایراد کند» و مشتمل بر هشت «قسم»، منتخباتی از بدايع الانشاء، انتخاب انوار سهیلی، منتخباتی از معارج النبوة في مدارج الفتوة از مسکین فراهی، مکتوبات شیخ یحیی منیری و متفرقاتی دیگر.</w:t>
      </w:r>
    </w:p>
    <w:p>
      <w:pPr>
        <w:pStyle w:val="BookText"/>
      </w:pPr>
      <w:r>
        <w:rPr>
          <w:rFonts w:ascii="IRNazanin" w:hAnsi="IRNazanin" w:eastAsia="IRNazanin" w:cs="IRNazanin"/>
          <w:lang w:bidi="fa-IR"/>
          <w:color w:val="111111"/>
          <w:sz w:val="28"/>
          <w:szCs w:val="28"/>
          <w:rtl/>
        </w:rPr>
        <w:t xml:space="preserve">یزد؛ کاظمینی؛ شماره نسخه: ۳۴</w:t>
      </w:r>
    </w:p>
    <w:p>
      <w:pPr>
        <w:pStyle w:val="BookText"/>
      </w:pPr>
      <w:r>
        <w:rPr>
          <w:rFonts w:ascii="IRNazanin" w:hAnsi="IRNazanin" w:eastAsia="IRNazanin" w:cs="IRNazanin"/>
          <w:lang w:bidi="fa-IR"/>
          <w:color w:val="111111"/>
          <w:sz w:val="28"/>
          <w:szCs w:val="28"/>
          <w:rtl/>
        </w:rPr>
        <w:t xml:space="preserve">آغاز: دیباچه بیاض ریاض طبع*** چون گشت نو شد این بیاضی چو ریاض / کرده قلمم سجده شکر فیاض***از لطف ریاض طبع نامش کردم؛ انجام: و این دو گانه على حده که یادگار این گداست وظیفه خود سازد و بعد از نماز خفتن پیش از وتر بگزارد از بنده هوادار اسکندر.</w:t>
      </w:r>
    </w:p>
    <w:p>
      <w:pPr>
        <w:pStyle w:val="BookText"/>
      </w:pPr>
      <w:r>
        <w:rPr>
          <w:rFonts w:ascii="IRNazanin" w:hAnsi="IRNazanin" w:eastAsia="IRNazanin" w:cs="IRNazanin"/>
          <w:lang w:bidi="fa-IR"/>
          <w:color w:val="111111"/>
          <w:sz w:val="28"/>
          <w:szCs w:val="28"/>
          <w:rtl/>
        </w:rPr>
        <w:t xml:space="preserve">خط: نستعلیق هندی، بی کا، تا: قرن ۱۲؛ افتادگی: انجام؛ خطوط چلیپا و راسته؛ جلد: گالینگور قهو ای، ۲۲۷گ، مختلف السطر،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۲۹/۵سم [ف: ۱-۴۵]</w:t>
      </w:r>
    </w:p>
    <w:p>
      <w:pPr>
        <w:pStyle w:val="BookText"/>
      </w:pPr>
      <w:r>
        <w:rPr>
          <w:rFonts w:ascii="Amiri" w:hAnsi="Amiri" w:eastAsia="Amiri" w:cs="Amiri"/>
          <w:lang w:bidi="ar-SA"/>
          <w:color w:val="111111"/>
          <w:sz w:val="28"/>
          <w:szCs w:val="28"/>
          <w:rtl/>
        </w:rPr>
        <w:t xml:space="preserve">← بياض شعر← مجمع العرفان</w:t>
      </w:r>
    </w:p>
    <w:p>
      <w:pPr>
        <w:pStyle w:val="BookText"/>
      </w:pPr>
      <w:r>
        <w:rPr>
          <w:rFonts w:ascii="IRNazanin" w:hAnsi="IRNazanin" w:eastAsia="IRNazanin" w:cs="IRNazanin"/>
          <w:lang w:bidi="fa-IR"/>
          <w:color w:val="111111"/>
          <w:sz w:val="28"/>
          <w:szCs w:val="28"/>
          <w:rtl/>
        </w:rPr>
        <w:t xml:space="preserve">← بیاض شعر ←اشعار</w:t>
      </w:r>
    </w:p>
    <w:p>
      <w:pPr>
        <w:pStyle w:val="BookText"/>
      </w:pPr>
      <w:r>
        <w:rPr>
          <w:rFonts w:ascii="IRNazanin" w:hAnsi="IRNazanin" w:eastAsia="IRNazanin" w:cs="IRNazanin"/>
          <w:lang w:bidi="fa-IR"/>
          <w:color w:val="111111"/>
          <w:sz w:val="28"/>
          <w:szCs w:val="28"/>
          <w:rtl/>
        </w:rPr>
        <w:t xml:space="preserve">←بیاض علامه مجلسی← الخطب للجمعة</w:t>
      </w:r>
    </w:p>
    <w:p>
      <w:pPr>
        <w:pStyle w:val="Heading3"/>
      </w:pPr>
      <w:bookmarkStart w:id="1211" w:name="_Toc471"/>
      <w:r>
        <w:t>• بیاض کلان / كلام و اعتقادات / عربی</w:t>
      </w:r>
      <w:bookmarkEnd w:id="1211"/>
    </w:p>
    <w:p>
      <w:pPr>
        <w:pStyle w:val="BookText"/>
      </w:pPr>
      <w:r>
        <w:rPr>
          <w:rFonts w:ascii="Times New Roman" w:hAnsi="Times New Roman" w:eastAsia="Times New Roman" w:cs="Times New Roman"/>
          <w:lang w:val="en-US" w:bidi="en-US"/>
          <w:color w:val="111111"/>
          <w:sz w:val="28"/>
          <w:szCs w:val="28"/>
          <w:rtl/>
        </w:rPr>
        <w:t xml:space="preserve">bayāz-e kalān</w:t>
      </w:r>
    </w:p>
    <w:p>
      <w:pPr>
        <w:pStyle w:val="BookText"/>
      </w:pPr>
      <w:r>
        <w:rPr>
          <w:rFonts w:ascii="IRNazanin" w:hAnsi="IRNazanin" w:eastAsia="IRNazanin" w:cs="IRNazanin"/>
          <w:lang w:bidi="fa-IR"/>
          <w:color w:val="111111"/>
          <w:sz w:val="28"/>
          <w:szCs w:val="28"/>
          <w:rtl/>
        </w:rPr>
        <w:t xml:space="preserve">کنتوری، حامد حسین بن محمد قلی، ۱۲۴۶-۱۳۰۶ قمری</w:t>
      </w:r>
    </w:p>
    <w:p>
      <w:pPr>
        <w:pStyle w:val="BookText"/>
      </w:pPr>
      <w:r>
        <w:rPr>
          <w:rFonts w:ascii="Times New Roman" w:hAnsi="Times New Roman" w:eastAsia="Times New Roman" w:cs="Times New Roman"/>
          <w:lang w:val="en-US" w:bidi="en-US"/>
          <w:color w:val="111111"/>
          <w:sz w:val="28"/>
          <w:szCs w:val="28"/>
          <w:rtl/>
        </w:rPr>
        <w:t xml:space="preserve">kantūrī, hāmed hoseyn ebn-e mohammad qolī (1831 1889)</w:t>
      </w:r>
    </w:p>
    <w:p>
      <w:pPr>
        <w:pStyle w:val="BookText"/>
      </w:pPr>
      <w:r>
        <w:rPr>
          <w:rFonts w:ascii="IRNazanin" w:hAnsi="IRNazanin" w:eastAsia="IRNazanin" w:cs="IRNazanin"/>
          <w:lang w:bidi="fa-IR"/>
          <w:color w:val="111111"/>
          <w:sz w:val="28"/>
          <w:szCs w:val="28"/>
          <w:rtl/>
        </w:rPr>
        <w:t xml:space="preserve">مشهد؛ رضوی؛ شماره نسخه: ۲۸۰۸۵</w:t>
      </w:r>
    </w:p>
    <w:p>
      <w:pPr>
        <w:pStyle w:val="BookText"/>
      </w:pPr>
      <w:r>
        <w:rPr>
          <w:rFonts w:ascii="IRNazanin" w:hAnsi="IRNazanin" w:eastAsia="IRNazanin" w:cs="IRNazanin"/>
          <w:lang w:bidi="fa-IR"/>
          <w:color w:val="111111"/>
          <w:sz w:val="28"/>
          <w:szCs w:val="28"/>
          <w:rtl/>
        </w:rPr>
        <w:t xml:space="preserve">آغاز: روز دوشنبه ۱۷ ذی حجه سنه اثنی و سبعين ... وفات خواجه نصیر بود؛ انجام: و انما تزوج(صلی الله علیه وآله وسلم)عائشه بمکه و قال ... هذا الحديث كذب خط: نستعلیق خفی، بی کا، بی تا، افتادگی: آغاز و انجام کاغذ: حنایی، جلد: تیماج، مختلف السطر(۱۴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۲۷/۵)، قطع: سلطانی، اندازه: ۲۸/۸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۲۶/۵ سم [رایانه]</w:t>
      </w:r>
    </w:p>
    <w:p>
      <w:pPr>
        <w:pStyle w:val="Heading3"/>
      </w:pPr>
      <w:bookmarkStart w:id="1212" w:name="_Toc472"/>
      <w:r>
        <w:t>• بیاض منتخب مرثیه حایری (۱) / شعر / فارسی</w:t>
      </w:r>
      <w:bookmarkEnd w:id="1212"/>
    </w:p>
    <w:p>
      <w:pPr>
        <w:pStyle w:val="BookText"/>
      </w:pPr>
      <w:r>
        <w:rPr>
          <w:rFonts w:ascii="Times New Roman" w:hAnsi="Times New Roman" w:eastAsia="Times New Roman" w:cs="Times New Roman"/>
          <w:lang w:val="en-US" w:bidi="en-US"/>
          <w:color w:val="111111"/>
          <w:sz w:val="28"/>
          <w:szCs w:val="28"/>
          <w:rtl/>
        </w:rPr>
        <w:t xml:space="preserve">bayāz-e montaxab-e marsīye hāyeri</w:t>
      </w:r>
    </w:p>
    <w:p>
      <w:pPr>
        <w:pStyle w:val="BookText"/>
      </w:pPr>
      <w:r>
        <w:rPr>
          <w:rFonts w:ascii="IRNazanin" w:hAnsi="IRNazanin" w:eastAsia="IRNazanin" w:cs="IRNazanin"/>
          <w:lang w:bidi="fa-IR"/>
          <w:color w:val="111111"/>
          <w:sz w:val="28"/>
          <w:szCs w:val="28"/>
          <w:rtl/>
        </w:rPr>
        <w:t xml:space="preserve">حائری حسینی، ق۱۴ قمری</w:t>
      </w:r>
    </w:p>
    <w:p>
      <w:pPr>
        <w:pStyle w:val="BookText"/>
      </w:pPr>
      <w:r>
        <w:rPr>
          <w:rFonts w:ascii="Times New Roman" w:hAnsi="Times New Roman" w:eastAsia="Times New Roman" w:cs="Times New Roman"/>
          <w:lang w:val="en-US" w:bidi="en-US"/>
          <w:color w:val="111111"/>
          <w:sz w:val="28"/>
          <w:szCs w:val="28"/>
          <w:rtl/>
        </w:rPr>
        <w:t xml:space="preserve">hā’erī hoseynī (- 20c)</w:t>
      </w:r>
    </w:p>
    <w:p>
      <w:pPr>
        <w:pStyle w:val="BookText"/>
      </w:pPr>
      <w:r>
        <w:rPr>
          <w:rFonts w:ascii="IRNazanin" w:hAnsi="IRNazanin" w:eastAsia="IRNazanin" w:cs="IRNazanin"/>
          <w:lang w:bidi="fa-IR"/>
          <w:color w:val="111111"/>
          <w:sz w:val="28"/>
          <w:szCs w:val="28"/>
          <w:rtl/>
        </w:rPr>
        <w:t xml:space="preserve">مرثیه هایی در مصیبت حضرت رسول، امام علی، حضرت زهرا، امام حسن، امام سجاد، امام صادق، امام کاظم، حضرت رضا و اهل بیت و یاران امام حسین (عليه السلام) از مرثیه سرایان مختلف از جمله ذاکر، شیدا، ریاض، عاصی، صالحی، خائف، صامت، سرخوش، عائذ، صامت، احمد ، نادب، سماك، فائق، مذنب، محبی، سراج، مجرم، خادم</w:t>
      </w:r>
    </w:p>
    <w:p>
      <w:pPr>
        <w:pStyle w:val="BookText"/>
      </w:pPr>
      <w:r>
        <w:rPr>
          <w:rFonts w:ascii="IRNazanin" w:hAnsi="IRNazanin" w:eastAsia="IRNazanin" w:cs="IRNazanin"/>
          <w:lang w:bidi="fa-IR"/>
          <w:color w:val="111111"/>
          <w:sz w:val="28"/>
          <w:szCs w:val="28"/>
          <w:rtl/>
        </w:rPr>
        <w:t xml:space="preserve">تهران؛ مجلس؛ شماره نسخه: ۱۷۰۱۴</w:t>
      </w:r>
    </w:p>
    <w:p>
      <w:pPr>
        <w:pStyle w:val="BookText"/>
      </w:pPr>
      <w:r>
        <w:rPr>
          <w:rFonts w:ascii="IRNazanin" w:hAnsi="IRNazanin" w:eastAsia="IRNazanin" w:cs="IRNazanin"/>
          <w:lang w:bidi="fa-IR"/>
          <w:color w:val="111111"/>
          <w:sz w:val="28"/>
          <w:szCs w:val="28"/>
          <w:rtl/>
        </w:rPr>
        <w:t xml:space="preserve">آغاز: يوم دوشنبه شروع شد يوم ۱۰ ذالقعده الحرام ۱۳۴۱. التماس دعا که انشاء الله عاقبت بخیر باشیم و ممات بر حسب آل محمد(صلی الله علیه وآله وسلم) باشد. در هر حال بنده را فراموش نخواهید کرد وقت ذکر مصیبت خامس آل عبا. راقم حایری. (ص ۲۱۶) (البته گرچه این آغازه را نوشته اما در ص ۲۳۹ نیز به تاریخ قدیمی تر ۱۳۴۰ به قلم حایری بر می خوریم. مادرش لیلا با علی گفتا ... زین سفر بگذری.؛ انجام: مرثیه حضرت رسول: شورشی اندر جهان بر پاست شور محشر است. کاتب = مؤلف، تا: ۱۳۳۸-۱۳۴۱ق؛ افتادگی: آغاز و انجام؛ در صفحات ۲۱۶، ۲۳۹، ۲۷۱، ۳۱۸ و ۳۲۶ به نام كاتب اصلی بر می خوریم. هم چنین به خط کاتب دیگر مراثی معدودی در این جنگ نوشته شده که یکی از آن ها تاریخ سوم جمادی الثانی ۱۳۳۹ و نهم جمادی الثانی ۱۳۴۰ را دارد و کاتب سومی به نام علی اصغر بلور فروش در تاریخ ۱۳۳۸ از خوانندگان التماس دعا نموده است که حایری بیاض را به سفارش او نوشته است. بخش عمده این بیاض و تمام سه بیاض بعدی معرفی شده در این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56" w:name="pg20363_209386"/>
    <w:bookmarkEnd w:id="156"/>
    <w:p>
      <w:pPr>
        <w:pStyle w:val="BookText"/>
      </w:pPr>
      <w:r>
        <w:rPr>
          <w:rFonts w:ascii="IRNazanin" w:hAnsi="IRNazanin" w:eastAsia="IRNazanin" w:cs="IRNazanin"/>
          <w:lang w:bidi="fa-IR"/>
          <w:color w:val="111111"/>
          <w:sz w:val="28"/>
          <w:szCs w:val="28"/>
          <w:rtl/>
        </w:rPr>
        <w:t xml:space="preserve">فهرست به خط خاصی ما بین نسخ و کوفی مغربی نوشته شده که دارای ویژگی های خاصی است که در کمتر نمونه ای دیده شده و آن را از نظر رسم الخطی جالب توجه می کند از جمله سرکش های کاف به صورت نیم دایره کوچکی است، و دوایر حروف حالت شکسته و مثلثی شکل دارد، نقطه های دو تایی به شکل هفت کوچکی است و حرف «ر» شبیه «ی» و حرف «ز» شبیه «ذ» و در پایان کلمات «ت» به صورت «۵» نوشته شده است، الف ها و لام ها از حد معمول بلندتر نوشته شده، همچنین یای نشانه اضافه در اکثر موارد به کلمه بعدی وصل شده است و برخی دندانه ها به الف و یا لام شباهت دارد، مد الف ها با یک نقطه مشخص شده و تصحیف در نقطه گذاری حروف آن فراوان دیده می شود، و او عطف نیز در بسیاری از مواضع حذف گردیده است. غلط در املای کلمات هم کم نیست، گویی کاتب به زبان فارسی تسلط کافی نداشته و از روی نسخه هم نمی نوشته یعنی از شنیده به</w:t>
      </w:r>
    </w:p>
    <w:p>
      <w:pPr>
        <w:pStyle w:val="BookText"/>
      </w:pPr>
      <w:r>
        <w:rPr>
          <w:rFonts w:ascii="IRNazanin" w:hAnsi="IRNazanin" w:eastAsia="IRNazanin" w:cs="IRNazanin"/>
          <w:lang w:bidi="fa-IR"/>
          <w:color w:val="111111"/>
          <w:sz w:val="28"/>
          <w:szCs w:val="28"/>
          <w:rtl/>
        </w:rPr>
        <w:t xml:space="preserve">کاغذ منتقل می نموده یا شاید هم تعمد داشته در مواضعی رمز گونه بنویسد؛ مالك: احتمالا حایری این بیاض را مثل نسخه بعدی برای میرزا علی اصغر بلورفروش -که به خط او نیز چند مرثیه در این بیاض موجود است - نوشته است؛ جلد: چرم قهوه ای سوخته، ۳۸۸ص،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۴۷/۱ -۱۴۳]</w:t>
      </w:r>
    </w:p>
    <w:p>
      <w:pPr>
        <w:pStyle w:val="Heading3"/>
      </w:pPr>
      <w:bookmarkStart w:id="1213" w:name="_Toc473"/>
      <w:r>
        <w:t>• بیاض منتخب مرثیه حایری (۲) / شعر / فارسی</w:t>
      </w:r>
      <w:bookmarkEnd w:id="1213"/>
    </w:p>
    <w:p>
      <w:pPr>
        <w:pStyle w:val="BookText"/>
      </w:pPr>
      <w:r>
        <w:rPr>
          <w:rFonts w:ascii="Times New Roman" w:hAnsi="Times New Roman" w:eastAsia="Times New Roman" w:cs="Times New Roman"/>
          <w:lang w:val="en-US" w:bidi="en-US"/>
          <w:color w:val="111111"/>
          <w:sz w:val="28"/>
          <w:szCs w:val="28"/>
          <w:rtl/>
        </w:rPr>
        <w:t xml:space="preserve">bayāz-e montaxab-e marsīye hāyerī</w:t>
      </w:r>
    </w:p>
    <w:p>
      <w:pPr>
        <w:pStyle w:val="BookText"/>
      </w:pPr>
      <w:r>
        <w:rPr>
          <w:rFonts w:ascii="IRNazanin" w:hAnsi="IRNazanin" w:eastAsia="IRNazanin" w:cs="IRNazanin"/>
          <w:lang w:bidi="fa-IR"/>
          <w:color w:val="111111"/>
          <w:sz w:val="28"/>
          <w:szCs w:val="28"/>
          <w:rtl/>
        </w:rPr>
        <w:t xml:space="preserve">حائری حسینی، ق ۱۴ قمری</w:t>
      </w:r>
    </w:p>
    <w:p>
      <w:pPr>
        <w:pStyle w:val="BookText"/>
      </w:pPr>
      <w:r>
        <w:rPr>
          <w:rFonts w:ascii="Times New Roman" w:hAnsi="Times New Roman" w:eastAsia="Times New Roman" w:cs="Times New Roman"/>
          <w:lang w:val="en-US" w:bidi="en-US"/>
          <w:color w:val="111111"/>
          <w:sz w:val="28"/>
          <w:szCs w:val="28"/>
          <w:rtl/>
        </w:rPr>
        <w:t xml:space="preserve">hā'erī hoseynī (- 20c)</w:t>
      </w:r>
    </w:p>
    <w:p>
      <w:pPr>
        <w:pStyle w:val="BookText"/>
      </w:pPr>
      <w:r>
        <w:rPr>
          <w:rFonts w:ascii="IRNazanin" w:hAnsi="IRNazanin" w:eastAsia="IRNazanin" w:cs="IRNazanin"/>
          <w:lang w:bidi="fa-IR"/>
          <w:color w:val="111111"/>
          <w:sz w:val="28"/>
          <w:szCs w:val="28"/>
          <w:rtl/>
        </w:rPr>
        <w:t xml:space="preserve">تهران؛ مجلس؛ شماره نسخه: ۱۷۰۱۵</w:t>
      </w:r>
    </w:p>
    <w:p>
      <w:pPr>
        <w:pStyle w:val="BookText"/>
      </w:pPr>
      <w:r>
        <w:rPr>
          <w:rFonts w:ascii="IRNazanin" w:hAnsi="IRNazanin" w:eastAsia="IRNazanin" w:cs="IRNazanin"/>
          <w:lang w:bidi="fa-IR"/>
          <w:color w:val="111111"/>
          <w:sz w:val="28"/>
          <w:szCs w:val="28"/>
          <w:rtl/>
        </w:rPr>
        <w:t xml:space="preserve">آغاز: بگفت زینب چنین *** بصد نوا یا على / بجانب کربلا نظر نما یا على؛ انجام: وای بر من که این حسین من است *** چاک چاک ز تیغ تمام تن است.</w:t>
      </w:r>
    </w:p>
    <w:p>
      <w:pPr>
        <w:pStyle w:val="BookText"/>
      </w:pPr>
      <w:r>
        <w:rPr>
          <w:rFonts w:ascii="IRNazanin" w:hAnsi="IRNazanin" w:eastAsia="IRNazanin" w:cs="IRNazanin"/>
          <w:lang w:bidi="fa-IR"/>
          <w:color w:val="111111"/>
          <w:sz w:val="28"/>
          <w:szCs w:val="28"/>
          <w:rtl/>
        </w:rPr>
        <w:t xml:space="preserve">كاتب = مؤلف، تا: ۱۳۳۵ق؛ با امضای کاتب با نشان «اقل الخاطی»، شبیه جنگی قبلی با سروده های برخی از همان مرثیه سراها و دیگرانی چون: ناظم، آغازه: «بسم الله. كيف اقول ملکی، و الملك لله الواحد القهار. غرض از این تحریر این بیاض مخصوص میرزا علی اصغر بلورفروش بتاریخ سیم شهر ذالقعده الحرام سنه ۱۲۲۵ [یا احتمالا ۱۳۳۵] بنظاره این اقل دعا گویان خادم الحرمين اقل الخاطی»؛ انجامه ها: ص ۸۹ که در پایان مرثیه احتمالا خطاب به سفارش دهنده یا مالک نسخه نوشته: «آ شیخ قدر این بیاض را بدان» و در صفحه ۱۰۸ هم تکرار کرده «.. قدر بدان بار دوم عرض شد» در ص۱۶۸ نوشته «جناب آ شیخ با دقت بخوانید التماس دعا دارمو اقل الخاطی». در ص ۱۷۶ نوشته:« التماس دعا دارم از شما. دعا بفرما. و السلام علیکم. اقل الخاطی». صفحه ۲۶۶: «عزیز من قدر بدان. گفتم رفتم»؛ مالك: میرزا علی اصغر بلور فروش؛ جلد: چرم قهوه ای، ۲۷۶ ص،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بیاض [ف: ۴۷/۱ -۱۴۵]</w:t>
      </w:r>
    </w:p>
    <w:p>
      <w:pPr>
        <w:pStyle w:val="Heading3"/>
      </w:pPr>
      <w:bookmarkStart w:id="1214" w:name="_Toc474"/>
      <w:r>
        <w:t>• بیاض منتخب مرثیه حایری (۳) / شعر / فارسی</w:t>
      </w:r>
      <w:bookmarkEnd w:id="1214"/>
    </w:p>
    <w:p>
      <w:pPr>
        <w:pStyle w:val="BookText"/>
      </w:pPr>
      <w:r>
        <w:rPr>
          <w:rFonts w:ascii="Times New Roman" w:hAnsi="Times New Roman" w:eastAsia="Times New Roman" w:cs="Times New Roman"/>
          <w:lang w:val="en-US" w:bidi="en-US"/>
          <w:color w:val="111111"/>
          <w:sz w:val="28"/>
          <w:szCs w:val="28"/>
          <w:rtl/>
        </w:rPr>
        <w:t xml:space="preserve">bayāz-e montaxab-e marsīye hāyer</w:t>
      </w:r>
    </w:p>
    <w:p>
      <w:pPr>
        <w:pStyle w:val="BookText"/>
      </w:pPr>
      <w:r>
        <w:rPr>
          <w:rFonts w:ascii="IRNazanin" w:hAnsi="IRNazanin" w:eastAsia="IRNazanin" w:cs="IRNazanin"/>
          <w:lang w:bidi="fa-IR"/>
          <w:color w:val="111111"/>
          <w:sz w:val="28"/>
          <w:szCs w:val="28"/>
          <w:rtl/>
        </w:rPr>
        <w:t xml:space="preserve">حائری حسینی، ق۱۴ قمری</w:t>
      </w:r>
    </w:p>
    <w:p>
      <w:pPr>
        <w:pStyle w:val="BookText"/>
      </w:pPr>
      <w:r>
        <w:rPr>
          <w:rFonts w:ascii="Times New Roman" w:hAnsi="Times New Roman" w:eastAsia="Times New Roman" w:cs="Times New Roman"/>
          <w:lang w:val="en-US" w:bidi="en-US"/>
          <w:color w:val="111111"/>
          <w:sz w:val="28"/>
          <w:szCs w:val="28"/>
          <w:rtl/>
        </w:rPr>
        <w:t xml:space="preserve">hā’erī hoseynī (- 20c)</w:t>
      </w:r>
    </w:p>
    <w:p>
      <w:pPr>
        <w:pStyle w:val="BookText"/>
      </w:pPr>
      <w:r>
        <w:rPr>
          <w:rFonts w:ascii="IRNazanin" w:hAnsi="IRNazanin" w:eastAsia="IRNazanin" w:cs="IRNazanin"/>
          <w:lang w:bidi="fa-IR"/>
          <w:color w:val="111111"/>
          <w:sz w:val="28"/>
          <w:szCs w:val="28"/>
          <w:rtl/>
        </w:rPr>
        <w:t xml:space="preserve">برخی از مرثیه سراهای این بیاض: شوقی (که بیشتر مراثی این دفتر از اوست)، ذاکر، گلرخ، نادب، خادم، سراج، ناظم، صامت.</w:t>
      </w:r>
    </w:p>
    <w:p>
      <w:pPr>
        <w:pStyle w:val="BookText"/>
      </w:pPr>
      <w:r>
        <w:rPr>
          <w:rFonts w:ascii="IRNazanin" w:hAnsi="IRNazanin" w:eastAsia="IRNazanin" w:cs="IRNazanin"/>
          <w:lang w:bidi="fa-IR"/>
          <w:color w:val="111111"/>
          <w:sz w:val="28"/>
          <w:szCs w:val="28"/>
          <w:rtl/>
        </w:rPr>
        <w:t xml:space="preserve">تهران؛ مجلس؛ شماره نسخه: ۱۷۰۱۶</w:t>
      </w:r>
    </w:p>
    <w:p>
      <w:pPr>
        <w:pStyle w:val="BookText"/>
      </w:pPr>
      <w:r>
        <w:rPr>
          <w:rFonts w:ascii="IRNazanin" w:hAnsi="IRNazanin" w:eastAsia="IRNazanin" w:cs="IRNazanin"/>
          <w:lang w:bidi="fa-IR"/>
          <w:color w:val="111111"/>
          <w:sz w:val="28"/>
          <w:szCs w:val="28"/>
          <w:rtl/>
        </w:rPr>
        <w:t xml:space="preserve">آغاز: قاسم ای نو گل گلزار حسن يابن أخی؛ انجام: انجامه ها: التماس دعا دارم. حایری (ص ۱۶)؛ «تمت يوم ۷ ج ۲ (جمادی الثانی) سنه ۱۳۳۴. حایری» (۲۷)؛ «تمت بعون الله الملک الوهاب، اقل الخاطی حایری» (ص ۵۱)؛ «يوم ۲۲ ج ۲ سنه ۱۳۳۴، کاتب اقل الخاطى الحایری مقیم طهران» (ص ۹۱)؛ «حایری قلمی گردید» (ص ۱۰۳) کاتب = مؤلف، تا: ۱۳۳۴ق، جا: تهران؛ یادداشت تملک: «بسمه تعالی. كيف اقول ملکی و الملك الله الواحد القهار. اما بعد تصريحا عرضه میدارم این یک جلد بیاض شیشم که مشتمل بر مراثیه خاص آل عبا، المسمات بمنتخب از مال خاص خالص این دعی می باشد بتاريخ يوم غره شهر جمادی الثانی سنه ۱۳۳۴ در دارالخلافه طهران و انه الجاني اقل الذاکرین خادم الحرمین الحایری» ؛ جلد: چرم قهوه ای، ۳۷۸ص،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[ف:۱۴۵-۴۷/۱]</w:t>
      </w:r>
    </w:p>
    <w:p>
      <w:pPr>
        <w:pStyle w:val="Heading3"/>
      </w:pPr>
      <w:bookmarkStart w:id="1215" w:name="_Toc475"/>
      <w:r>
        <w:t>• بیاض منتخب مرثيه حاریری (۴) / شعر / فارسی</w:t>
      </w:r>
      <w:bookmarkEnd w:id="1215"/>
    </w:p>
    <w:p>
      <w:pPr>
        <w:pStyle w:val="BookText"/>
      </w:pPr>
      <w:r>
        <w:rPr>
          <w:rFonts w:ascii="Times New Roman" w:hAnsi="Times New Roman" w:eastAsia="Times New Roman" w:cs="Times New Roman"/>
          <w:lang w:val="en-US" w:bidi="en-US"/>
          <w:color w:val="111111"/>
          <w:sz w:val="28"/>
          <w:szCs w:val="28"/>
          <w:rtl/>
        </w:rPr>
        <w:t xml:space="preserve">bayāz-e montaxab-e marsīye hāyerī</w:t>
      </w:r>
    </w:p>
    <w:p>
      <w:pPr>
        <w:pStyle w:val="BookText"/>
      </w:pPr>
      <w:r>
        <w:rPr>
          <w:rFonts w:ascii="IRNazanin" w:hAnsi="IRNazanin" w:eastAsia="IRNazanin" w:cs="IRNazanin"/>
          <w:lang w:bidi="fa-IR"/>
          <w:color w:val="111111"/>
          <w:sz w:val="28"/>
          <w:szCs w:val="28"/>
          <w:rtl/>
        </w:rPr>
        <w:t xml:space="preserve">حائری حسینی، ق ۱۴ قمری</w:t>
      </w:r>
    </w:p>
    <w:p>
      <w:pPr>
        <w:pStyle w:val="BookText"/>
      </w:pPr>
      <w:r>
        <w:rPr>
          <w:rFonts w:ascii="Times New Roman" w:hAnsi="Times New Roman" w:eastAsia="Times New Roman" w:cs="Times New Roman"/>
          <w:lang w:val="en-US" w:bidi="en-US"/>
          <w:color w:val="111111"/>
          <w:sz w:val="28"/>
          <w:szCs w:val="28"/>
          <w:rtl/>
        </w:rPr>
        <w:t xml:space="preserve">hā'erī-ye hoseynī (- 20c)</w:t>
      </w:r>
    </w:p>
    <w:p>
      <w:pPr>
        <w:pStyle w:val="BookText"/>
      </w:pPr>
      <w:r>
        <w:rPr>
          <w:rFonts w:ascii="IRNazanin" w:hAnsi="IRNazanin" w:eastAsia="IRNazanin" w:cs="IRNazanin"/>
          <w:lang w:bidi="fa-IR"/>
          <w:color w:val="111111"/>
          <w:sz w:val="28"/>
          <w:szCs w:val="28"/>
          <w:rtl/>
        </w:rPr>
        <w:t xml:space="preserve">تهران؛ مجلس؛ شماره نسخه: ۱۷۰۱۷</w:t>
      </w:r>
    </w:p>
    <w:p>
      <w:pPr>
        <w:pStyle w:val="BookText"/>
      </w:pPr>
      <w:r>
        <w:rPr>
          <w:rFonts w:ascii="IRNazanin" w:hAnsi="IRNazanin" w:eastAsia="IRNazanin" w:cs="IRNazanin"/>
          <w:lang w:bidi="fa-IR"/>
          <w:color w:val="111111"/>
          <w:sz w:val="28"/>
          <w:szCs w:val="28"/>
          <w:rtl/>
        </w:rPr>
        <w:t xml:space="preserve">آغاز: بسر شوری ز سودای بلای کربلا دارم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بدل داغی ز مرگ قاسم نو کدخدا دارم؛ انجام: انجامه: «التماس دعا دارم در حياه و در ماه در هر وقت ... الحقير اقل الخاطی حایری» (ص ۳۳)؛ «التماس دعا دارم سنه سنه ۱۳۴۶» (ص ۱۷۷) بی کا، تا: ۱۳۴۶ق؛ یادداشت و تملیک: «بسمه تعالی. كيف اقول ملکی و الملک الله الواحد القهار. مختفی نماید این یک جلد بیاض مسماه به جنگ راجع حاجی علی اصغر بلور فروش در تحت نظر یاه این جانب می باشد. بتاريخ يوم ۱۷ ج ۲ سنه ۱۳۴۶ اقل الخاطی حایری»؛ جلد: چرم قهوه ای، ۳۷۸ص،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۴۷/۱ -۱۴۶]</w:t>
      </w:r>
    </w:p>
    <w:p>
      <w:pPr>
        <w:pStyle w:val="Heading3"/>
      </w:pPr>
      <w:bookmarkStart w:id="1216" w:name="_Toc476"/>
      <w:r>
        <w:t>• بیاض مصور / عکس</w:t>
      </w:r>
      <w:bookmarkEnd w:id="1216"/>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57" w:name="pg20363_209387"/>
    <w:bookmarkEnd w:id="157"/>
    <w:p>
      <w:pPr>
        <w:pStyle w:val="BookText"/>
      </w:pPr>
      <w:r>
        <w:rPr>
          <w:rFonts w:ascii="Times New Roman" w:hAnsi="Times New Roman" w:eastAsia="Times New Roman" w:cs="Times New Roman"/>
          <w:lang w:val="en-US" w:bidi="en-US"/>
          <w:color w:val="111111"/>
          <w:sz w:val="28"/>
          <w:szCs w:val="28"/>
          <w:rtl/>
        </w:rPr>
        <w:t xml:space="preserve">bayāz-e mosavvar</w:t>
      </w:r>
    </w:p>
    <w:p>
      <w:pPr>
        <w:pStyle w:val="BookText"/>
      </w:pPr>
      <w:r>
        <w:rPr>
          <w:rFonts w:ascii="IRNazanin" w:hAnsi="IRNazanin" w:eastAsia="IRNazanin" w:cs="IRNazanin"/>
          <w:lang w:bidi="fa-IR"/>
          <w:color w:val="111111"/>
          <w:sz w:val="28"/>
          <w:szCs w:val="28"/>
          <w:rtl/>
        </w:rPr>
        <w:t xml:space="preserve">تهران؛ ملی؛ شماره نسخه: ۱۹۶۱۳</w:t>
      </w:r>
    </w:p>
    <w:p>
      <w:pPr>
        <w:pStyle w:val="BookText"/>
      </w:pPr>
      <w:r>
        <w:rPr>
          <w:rFonts w:ascii="IRNazanin" w:hAnsi="IRNazanin" w:eastAsia="IRNazanin" w:cs="IRNazanin"/>
          <w:lang w:bidi="fa-IR"/>
          <w:color w:val="111111"/>
          <w:sz w:val="28"/>
          <w:szCs w:val="28"/>
          <w:rtl/>
        </w:rPr>
        <w:t xml:space="preserve">بی کا، بی تا؛ خریداری از محمد حسین علوی [رایانه]</w:t>
      </w:r>
    </w:p>
    <w:p>
      <w:pPr>
        <w:pStyle w:val="BookText"/>
      </w:pPr>
      <w:r>
        <w:rPr>
          <w:rFonts w:ascii="IRNazanin" w:hAnsi="IRNazanin" w:eastAsia="IRNazanin" w:cs="IRNazanin"/>
          <w:lang w:bidi="fa-IR"/>
          <w:color w:val="111111"/>
          <w:sz w:val="28"/>
          <w:szCs w:val="28"/>
          <w:rtl/>
        </w:rPr>
        <w:t xml:space="preserve">←بیاض مکالمه شاه تهماسب ← مقالات</w:t>
      </w:r>
    </w:p>
    <w:p>
      <w:pPr>
        <w:pStyle w:val="Heading3"/>
      </w:pPr>
      <w:bookmarkStart w:id="1217" w:name="_Toc477"/>
      <w:r>
        <w:t>• بیاض منشآت / ادبیات / فارسی</w:t>
      </w:r>
      <w:bookmarkEnd w:id="1217"/>
    </w:p>
    <w:p>
      <w:pPr>
        <w:pStyle w:val="BookText"/>
      </w:pPr>
      <w:r>
        <w:rPr>
          <w:rFonts w:ascii="Times New Roman" w:hAnsi="Times New Roman" w:eastAsia="Times New Roman" w:cs="Times New Roman"/>
          <w:lang w:val="en-US" w:bidi="en-US"/>
          <w:color w:val="111111"/>
          <w:sz w:val="28"/>
          <w:szCs w:val="28"/>
          <w:rtl/>
        </w:rPr>
        <w:t xml:space="preserve">bayāz-e monša’āt</w:t>
      </w:r>
    </w:p>
    <w:p>
      <w:pPr>
        <w:pStyle w:val="BookText"/>
      </w:pPr>
      <w:r>
        <w:rPr>
          <w:rFonts w:ascii="IRNazanin" w:hAnsi="IRNazanin" w:eastAsia="IRNazanin" w:cs="IRNazanin"/>
          <w:lang w:bidi="fa-IR"/>
          <w:color w:val="111111"/>
          <w:sz w:val="28"/>
          <w:szCs w:val="28"/>
          <w:rtl/>
        </w:rPr>
        <w:t xml:space="preserve">کاشانی، شهاب الدين على، ۱۱ق ۱۲ قمری</w:t>
      </w:r>
    </w:p>
    <w:p>
      <w:pPr>
        <w:pStyle w:val="BookText"/>
      </w:pPr>
      <w:r>
        <w:rPr>
          <w:rFonts w:ascii="Times New Roman" w:hAnsi="Times New Roman" w:eastAsia="Times New Roman" w:cs="Times New Roman"/>
          <w:lang w:val="en-US" w:bidi="en-US"/>
          <w:color w:val="111111"/>
          <w:sz w:val="28"/>
          <w:szCs w:val="28"/>
          <w:rtl/>
        </w:rPr>
        <w:t xml:space="preserve">kāšānī, šahāb-od dīn 'alī (170-180)</w:t>
      </w:r>
    </w:p>
    <w:p>
      <w:pPr>
        <w:pStyle w:val="BookText"/>
      </w:pPr>
      <w:r>
        <w:rPr>
          <w:rFonts w:ascii="IRNazanin" w:hAnsi="IRNazanin" w:eastAsia="IRNazanin" w:cs="IRNazanin"/>
          <w:lang w:bidi="fa-IR"/>
          <w:color w:val="111111"/>
          <w:sz w:val="28"/>
          <w:szCs w:val="28"/>
          <w:rtl/>
        </w:rPr>
        <w:t xml:space="preserve">مشهد؛ رضوی؛ شماره نسخه: ۱۶۸۱۴</w:t>
      </w:r>
    </w:p>
    <w:p>
      <w:pPr>
        <w:pStyle w:val="BookText"/>
      </w:pPr>
      <w:r>
        <w:rPr>
          <w:rFonts w:ascii="IRNazanin" w:hAnsi="IRNazanin" w:eastAsia="IRNazanin" w:cs="IRNazanin"/>
          <w:lang w:bidi="fa-IR"/>
          <w:color w:val="111111"/>
          <w:sz w:val="28"/>
          <w:szCs w:val="28"/>
          <w:rtl/>
        </w:rPr>
        <w:t xml:space="preserve">آغاز: بتاریخ سند ۱۰۳۰ مولانا حسن حكم باخراج مرحوم؛ انجام: نظیر قمصر سازند زیاده تصدیع نمی دهد و السلام عليكم و قلبی یدیکم</w:t>
      </w:r>
    </w:p>
    <w:p>
      <w:pPr>
        <w:pStyle w:val="BookText"/>
      </w:pPr>
      <w:r>
        <w:rPr>
          <w:rFonts w:ascii="IRNazanin" w:hAnsi="IRNazanin" w:eastAsia="IRNazanin" w:cs="IRNazanin"/>
          <w:lang w:bidi="fa-IR"/>
          <w:color w:val="111111"/>
          <w:sz w:val="28"/>
          <w:szCs w:val="28"/>
          <w:rtl/>
        </w:rPr>
        <w:t xml:space="preserve">خط: مختلف، کاتب = مؤلف، تا: ۱۲۶۰ق؛ کاغذ: نخودی، جلد: تیماج [رایانه ]</w:t>
      </w:r>
    </w:p>
    <w:p>
      <w:pPr>
        <w:pStyle w:val="Heading3"/>
      </w:pPr>
      <w:bookmarkStart w:id="1218" w:name="_Toc478"/>
      <w:r>
        <w:t>• البياض و السواد من خصائص حكم العباد في نعت المريد و المراد / عرفان و تصوف / عربی</w:t>
      </w:r>
      <w:bookmarkEnd w:id="1218"/>
    </w:p>
    <w:p>
      <w:pPr>
        <w:pStyle w:val="BookText"/>
      </w:pPr>
      <w:r>
        <w:rPr>
          <w:rFonts w:ascii="Times New Roman" w:hAnsi="Times New Roman" w:eastAsia="Times New Roman" w:cs="Times New Roman"/>
          <w:lang w:val="en-US" w:bidi="en-US"/>
          <w:color w:val="111111"/>
          <w:sz w:val="28"/>
          <w:szCs w:val="28"/>
          <w:rtl/>
        </w:rPr>
        <w:t xml:space="preserve">al-bayād wa-s sawād min xaşā’iş-i hukm-il ‘ibād fi na't-il murīd wa-l murād</w:t>
      </w:r>
    </w:p>
    <w:p>
      <w:pPr>
        <w:pStyle w:val="BookText"/>
      </w:pPr>
      <w:r>
        <w:rPr>
          <w:rFonts w:ascii="IRNazanin" w:hAnsi="IRNazanin" w:eastAsia="IRNazanin" w:cs="IRNazanin"/>
          <w:lang w:bidi="fa-IR"/>
          <w:color w:val="111111"/>
          <w:sz w:val="28"/>
          <w:szCs w:val="28"/>
          <w:rtl/>
        </w:rPr>
        <w:t xml:space="preserve">سیرجانی، علی بن حسن</w:t>
      </w:r>
    </w:p>
    <w:p>
      <w:pPr>
        <w:pStyle w:val="BookText"/>
      </w:pPr>
      <w:r>
        <w:rPr>
          <w:rFonts w:ascii="Times New Roman" w:hAnsi="Times New Roman" w:eastAsia="Times New Roman" w:cs="Times New Roman"/>
          <w:lang w:val="en-US" w:bidi="en-US"/>
          <w:color w:val="111111"/>
          <w:sz w:val="28"/>
          <w:szCs w:val="28"/>
          <w:rtl/>
        </w:rPr>
        <w:t xml:space="preserve">sīrjānī, ‘alī ebn-e hasan</w:t>
      </w:r>
    </w:p>
    <w:p>
      <w:pPr>
        <w:pStyle w:val="BookText"/>
      </w:pPr>
      <w:r>
        <w:rPr>
          <w:rFonts w:ascii="IRNazanin" w:hAnsi="IRNazanin" w:eastAsia="IRNazanin" w:cs="IRNazanin"/>
          <w:lang w:bidi="fa-IR"/>
          <w:color w:val="111111"/>
          <w:sz w:val="28"/>
          <w:szCs w:val="28"/>
          <w:rtl/>
        </w:rPr>
        <w:t xml:space="preserve">کتاب در هفتاد و سه «باب» تنظیم شده و از آنچه که راجع به تصوف و عرفان است بحث می کند، و حالات و مراتب و اخلاق و آداب و عقاید و صفات پسندیده صوفیان را می آورد، و چگونگی خرقه و مشاهده و سماع و وجد و دیگر چیزها که از خصائص اهل عرفان است توصیف می نماید.</w:t>
      </w:r>
    </w:p>
    <w:p>
      <w:pPr>
        <w:pStyle w:val="BookText"/>
      </w:pPr>
      <w:r>
        <w:rPr>
          <w:rFonts w:ascii="IRNazanin" w:hAnsi="IRNazanin" w:eastAsia="IRNazanin" w:cs="IRNazanin"/>
          <w:lang w:bidi="fa-IR"/>
          <w:color w:val="111111"/>
          <w:sz w:val="28"/>
          <w:szCs w:val="28"/>
          <w:rtl/>
        </w:rPr>
        <w:t xml:space="preserve">قم؛ مرعشی؛ شماره نسخه: ۱۱۷</w:t>
      </w:r>
    </w:p>
    <w:p>
      <w:pPr>
        <w:pStyle w:val="BookText"/>
      </w:pPr>
      <w:r>
        <w:rPr>
          <w:rFonts w:ascii="IRNazanin" w:hAnsi="IRNazanin" w:eastAsia="IRNazanin" w:cs="IRNazanin"/>
          <w:lang w:bidi="fa-IR"/>
          <w:color w:val="111111"/>
          <w:sz w:val="28"/>
          <w:szCs w:val="28"/>
          <w:rtl/>
        </w:rPr>
        <w:t xml:space="preserve">آغاز: الحمدلله الذي منه بدو الكل و قیامها و عليه كفايتها و اليه مصيرها ... جميع في هذا الكتاب أبواب من حكم قوم قل في الناس</w:t>
      </w:r>
    </w:p>
    <w:p>
      <w:pPr>
        <w:pStyle w:val="BookText"/>
      </w:pPr>
      <w:r>
        <w:rPr>
          <w:rFonts w:ascii="IRNazanin" w:hAnsi="IRNazanin" w:eastAsia="IRNazanin" w:cs="IRNazanin"/>
          <w:lang w:bidi="fa-IR"/>
          <w:color w:val="111111"/>
          <w:sz w:val="28"/>
          <w:szCs w:val="28"/>
          <w:rtl/>
        </w:rPr>
        <w:t xml:space="preserve">عددها؛ انجام: ما نفوس نعوتها نعت روح*** طهرت بالمجاهدات الشديد / أفتني هذه مسائل قوم***كل عبد أحبهم فسعید</w:t>
      </w:r>
    </w:p>
    <w:p>
      <w:pPr>
        <w:pStyle w:val="BookText"/>
      </w:pPr>
      <w:r>
        <w:rPr>
          <w:rFonts w:ascii="IRNazanin" w:hAnsi="IRNazanin" w:eastAsia="IRNazanin" w:cs="IRNazanin"/>
          <w:lang w:bidi="fa-IR"/>
          <w:color w:val="111111"/>
          <w:sz w:val="28"/>
          <w:szCs w:val="28"/>
          <w:rtl/>
        </w:rPr>
        <w:t xml:space="preserve">خط: نسخ، كا: ابو محمد علی بن محمد بن محمد بن على ملقب بعماد و خطیب در سیرجان (نوه مؤلف)، تا: عید شوال ۷۴۶ق، به جهت نقیب محمود بن محمود حسینی؛ با خط مؤلف مقابله شده؛ تملک: ابوالمعالی علاء الدين حسين بن محمد شریف، ابوالحسن به تاریخ ۱۰۷۷، عبدالرحمن بن محمود؛ مهر: «العبد رضي الله عن المؤمنین» (بیضوی)، «اللهم صل على محمد و آل محمد» (بیضوی)، «لا اله الا الله الملک الحق المبين محسن» بیضوی)؛ جلد: مقوایی عطف تیماج قرمز، ۱۴۱گی، ۲۳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۱-۱۴۱]</w:t>
      </w:r>
    </w:p>
    <w:p>
      <w:pPr>
        <w:pStyle w:val="BookText"/>
      </w:pPr>
      <w:r>
        <w:rPr>
          <w:rFonts w:ascii="IRNazanin" w:hAnsi="IRNazanin" w:eastAsia="IRNazanin" w:cs="IRNazanin"/>
          <w:lang w:bidi="fa-IR"/>
          <w:color w:val="111111"/>
          <w:sz w:val="28"/>
          <w:szCs w:val="28"/>
          <w:rtl/>
        </w:rPr>
        <w:t xml:space="preserve">← بیان ← علم بیان</w:t>
      </w:r>
    </w:p>
    <w:p>
      <w:pPr>
        <w:pStyle w:val="BookText"/>
      </w:pPr>
      <w:r>
        <w:rPr>
          <w:rFonts w:ascii="Amiri" w:hAnsi="Amiri" w:eastAsia="Amiri" w:cs="Amiri"/>
          <w:lang w:bidi="ar-SA"/>
          <w:color w:val="111111"/>
          <w:sz w:val="28"/>
          <w:szCs w:val="28"/>
          <w:rtl/>
        </w:rPr>
        <w:t xml:space="preserve">← البيان ← البيان و التبيان</w:t>
      </w:r>
    </w:p>
    <w:p>
      <w:pPr>
        <w:pStyle w:val="Heading3"/>
      </w:pPr>
      <w:bookmarkStart w:id="1219" w:name="_Toc479"/>
      <w:r>
        <w:t>• البيان / کیمیا / عربی</w:t>
      </w:r>
      <w:bookmarkEnd w:id="1219"/>
    </w:p>
    <w:p>
      <w:pPr>
        <w:pStyle w:val="BookText"/>
      </w:pPr>
      <w:r>
        <w:rPr>
          <w:rFonts w:ascii="Times New Roman" w:hAnsi="Times New Roman" w:eastAsia="Times New Roman" w:cs="Times New Roman"/>
          <w:lang w:val="en-US" w:bidi="en-US"/>
          <w:color w:val="111111"/>
          <w:sz w:val="28"/>
          <w:szCs w:val="28"/>
          <w:rtl/>
        </w:rPr>
        <w:t xml:space="preserve">al-bayan</w:t>
      </w:r>
    </w:p>
    <w:p>
      <w:pPr>
        <w:pStyle w:val="BookText"/>
      </w:pPr>
      <w:r>
        <w:rPr>
          <w:rFonts w:ascii="IRNazanin" w:hAnsi="IRNazanin" w:eastAsia="IRNazanin" w:cs="IRNazanin"/>
          <w:lang w:bidi="fa-IR"/>
          <w:color w:val="111111"/>
          <w:sz w:val="28"/>
          <w:szCs w:val="28"/>
          <w:rtl/>
        </w:rPr>
        <w:t xml:space="preserve">جابر بن حیان، ۱۲۰-۱۹۸ ؟ قمری</w:t>
      </w:r>
    </w:p>
    <w:p>
      <w:pPr>
        <w:pStyle w:val="BookText"/>
      </w:pPr>
      <w:r>
        <w:rPr>
          <w:rFonts w:ascii="Times New Roman" w:hAnsi="Times New Roman" w:eastAsia="Times New Roman" w:cs="Times New Roman"/>
          <w:lang w:val="en-US" w:bidi="en-US"/>
          <w:color w:val="111111"/>
          <w:sz w:val="28"/>
          <w:szCs w:val="28"/>
          <w:rtl/>
        </w:rPr>
        <w:t xml:space="preserve">jāber ebn-e hayyān (739-814)</w:t>
      </w:r>
    </w:p>
    <w:p>
      <w:pPr>
        <w:pStyle w:val="BookText"/>
      </w:pPr>
      <w:r>
        <w:rPr>
          <w:rFonts w:ascii="IRNazanin" w:hAnsi="IRNazanin" w:eastAsia="IRNazanin" w:cs="IRNazanin"/>
          <w:lang w:bidi="fa-IR"/>
          <w:color w:val="111111"/>
          <w:sz w:val="28"/>
          <w:szCs w:val="28"/>
          <w:rtl/>
        </w:rPr>
        <w:t xml:space="preserve">در کیمیا که در آن از ترتیب کتاب های خود یاد نموده و بیان های گوناگون را می آورد. در این کتاب معانی گوناگون واژه «بیان» از نظر دستوری، منطقی و فقهی آمده است. غیر از کتابی است با همین نام از او که در کتاب السبعون او قرار دارد. چاپ: ضمن مجموعه رساله های یازده گانه او، بمبئی، ۱۸۹۲م</w:t>
      </w:r>
    </w:p>
    <w:p>
      <w:pPr>
        <w:pStyle w:val="BookText"/>
      </w:pPr>
      <w:r>
        <w:rPr>
          <w:rFonts w:ascii="IRNazanin" w:hAnsi="IRNazanin" w:eastAsia="IRNazanin" w:cs="IRNazanin"/>
          <w:lang w:bidi="fa-IR"/>
          <w:color w:val="111111"/>
          <w:sz w:val="28"/>
          <w:szCs w:val="28"/>
          <w:rtl/>
        </w:rPr>
        <w:t xml:space="preserve">آغاز: الحمدلله الذي ببيانه اهتدى المهتدون و بعد له نجا المؤمنون وصلى الله على نبيه ... اعلم انه لابد لنا في ترتيب هذه الكتاب كما بينا، أن ندرج الى كل واحد منها تدریجا</w:t>
      </w:r>
    </w:p>
    <w:p>
      <w:pPr>
        <w:pStyle w:val="BookText"/>
      </w:pPr>
      <w:r>
        <w:rPr>
          <w:rFonts w:ascii="IRNazanin" w:hAnsi="IRNazanin" w:eastAsia="IRNazanin" w:cs="IRNazanin"/>
          <w:lang w:bidi="fa-IR"/>
          <w:color w:val="111111"/>
          <w:sz w:val="28"/>
          <w:szCs w:val="28"/>
          <w:rtl/>
        </w:rPr>
        <w:t xml:space="preserve">انجام: في قران القوس، فاعلم ذلک و قد اتینا على ما في البيان. فليكن آخر الكتاب انشاء الله تعالی. تم كتاب البيان بحمدالله و عونه و حسن توفيقه و صلواته على سيدنا محمد و آله و صحبه و سلم تسليما كثير</w:t>
      </w:r>
    </w:p>
    <w:p>
      <w:pPr>
        <w:pStyle w:val="BookText"/>
      </w:pPr>
      <w:r>
        <w:rPr>
          <w:rFonts w:ascii="IRNazanin" w:hAnsi="IRNazanin" w:eastAsia="IRNazanin" w:cs="IRNazanin"/>
          <w:lang w:bidi="fa-IR"/>
          <w:color w:val="111111"/>
          <w:sz w:val="28"/>
          <w:szCs w:val="28"/>
          <w:rtl/>
        </w:rPr>
        <w:t xml:space="preserve">[ دنا ۴۸۱/۸ (کتاب البيان)؛ الذريعة ۱۷۵/۳ ؛ معجم المؤلفين ۱۰۵/۳ ؛ريحانة الأدب ۱۰۸/۵]</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دائرة المعارف؛ شماره نسخه: ۱۹۸۸/۱۳ - 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پخته، بی کا، تا: ۱۰۵۴ق؛ ۷ص (۱۴۱-۱۴۷) [عکسی ف: ۱-۵۵]</w:t>
      </w:r>
    </w:p>
    <w:p>
      <w:pPr>
        <w:pStyle w:val="BookText"/>
      </w:pPr>
      <w:r>
        <w:rPr>
          <w:rFonts w:ascii="IRNazanin" w:hAnsi="IRNazanin" w:eastAsia="IRNazanin" w:cs="IRNazanin"/>
          <w:lang w:bidi="fa-IR"/>
          <w:color w:val="111111"/>
          <w:sz w:val="28"/>
          <w:szCs w:val="28"/>
          <w:rtl/>
        </w:rPr>
        <w:t xml:space="preserve">۲. تهران: ملک؛ شماره نسخه: ۶۲۰۶/۱۸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۱۳ کاغذ: فرنگی، جلد: میشن قهوه ای، مص (۳۵۵-۳۵۸)، ۲۳ سطر، اندازه: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۹-۲۵۹]</w:t>
      </w:r>
    </w:p>
    <w:p>
      <w:pPr>
        <w:pStyle w:val="BookText"/>
      </w:pPr>
      <w:r>
        <w:rPr>
          <w:rFonts w:ascii="IRNazanin" w:hAnsi="IRNazanin" w:eastAsia="IRNazanin" w:cs="IRNazanin"/>
          <w:lang w:bidi="fa-IR"/>
          <w:color w:val="111111"/>
          <w:sz w:val="28"/>
          <w:szCs w:val="28"/>
          <w:rtl/>
        </w:rPr>
        <w:t xml:space="preserve">٣. مشهد؛ رضوی، شماره نسخه: ۱۰۸۸۴/۱۵</w:t>
      </w:r>
    </w:p>
    <w:p>
      <w:pPr>
        <w:pStyle w:val="BookText"/>
      </w:pPr>
      <w:r>
        <w:rPr>
          <w:rFonts w:ascii="IRNazanin" w:hAnsi="IRNazanin" w:eastAsia="IRNazanin" w:cs="IRNazanin"/>
          <w:lang w:bidi="fa-IR"/>
          <w:color w:val="111111"/>
          <w:sz w:val="28"/>
          <w:szCs w:val="28"/>
          <w:rtl/>
        </w:rPr>
        <w:t xml:space="preserve">آغاز: برابر؛ انجام: و استوفينا وجوه الكلم في الحجر بحسب ما قصدنا اليه هو لايق بكتابنا خط: نستعلیق خفی شکسته، كا: على اكبر، تا: ۱۲۶۶ق؛ کاغذ: نخودی، جلد: تیماج ضربی، ۱۶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قطع: خشتی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سم [رایانه]</w:t>
      </w:r>
    </w:p>
    <w:p>
      <w:pPr>
        <w:pStyle w:val="BookText"/>
      </w:pPr>
      <w:r>
        <w:rPr>
          <w:rFonts w:ascii="IRNazanin" w:hAnsi="IRNazanin" w:eastAsia="IRNazanin" w:cs="IRNazanin"/>
          <w:lang w:bidi="fa-IR"/>
          <w:color w:val="111111"/>
          <w:sz w:val="28"/>
          <w:szCs w:val="28"/>
          <w:rtl/>
        </w:rPr>
        <w:t xml:space="preserve">۴. تهران، دانشگاه؛ شماره نسخه: ۴۹۱/۲۷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جا: حیدراباد؛ در ۱۴۹پ -۱۵۱پ سخنانی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58" w:name="pg20363_209388"/>
    <w:bookmarkEnd w:id="158"/>
    <w:p>
      <w:pPr>
        <w:pStyle w:val="BookText"/>
      </w:pPr>
      <w:r>
        <w:rPr>
          <w:rFonts w:ascii="IRNazanin" w:hAnsi="IRNazanin" w:eastAsia="IRNazanin" w:cs="IRNazanin"/>
          <w:lang w:bidi="fa-IR"/>
          <w:color w:val="111111"/>
          <w:sz w:val="28"/>
          <w:szCs w:val="28"/>
          <w:rtl/>
        </w:rPr>
        <w:t xml:space="preserve">است از جابر و محمد بن زکریا و بقراط و طغرائی در کیمیا، با آغاز: «قال جابر ... اعلم أن تكليس الفضة على وجوه كثيره» و انجام «هذا اسهل التدابير في الرصاص»؛ ۳گ (۱۴۷پ -۱۴۹پ) [ف: ۴-۱۰۳۳]</w:t>
      </w:r>
    </w:p>
    <w:p>
      <w:pPr>
        <w:pStyle w:val="BookText"/>
      </w:pPr>
      <w:r>
        <w:rPr>
          <w:rFonts w:ascii="IRNazanin" w:hAnsi="IRNazanin" w:eastAsia="IRNazanin" w:cs="IRNazanin"/>
          <w:lang w:bidi="fa-IR"/>
          <w:color w:val="111111"/>
          <w:sz w:val="28"/>
          <w:szCs w:val="28"/>
          <w:rtl/>
        </w:rPr>
        <w:t xml:space="preserve">۵. تهران؛ ملی؛ شماره نسخه: ۱۷۲۴۶</w:t>
      </w:r>
    </w:p>
    <w:p>
      <w:pPr>
        <w:pStyle w:val="BookText"/>
      </w:pPr>
      <w:r>
        <w:rPr>
          <w:rFonts w:ascii="IRNazanin" w:hAnsi="IRNazanin" w:eastAsia="IRNazanin" w:cs="IRNazanin"/>
          <w:lang w:bidi="fa-IR"/>
          <w:color w:val="111111"/>
          <w:sz w:val="28"/>
          <w:szCs w:val="28"/>
          <w:rtl/>
        </w:rPr>
        <w:t xml:space="preserve">بی کا، بی تا، خریداری از علیرضا طاهری یزدی [رایانه]</w:t>
      </w:r>
    </w:p>
    <w:p>
      <w:pPr>
        <w:pStyle w:val="Heading3"/>
      </w:pPr>
      <w:bookmarkStart w:id="1220" w:name="_Toc480"/>
      <w:r>
        <w:t>• البيان / بهائیت / عربی</w:t>
      </w:r>
      <w:bookmarkEnd w:id="1220"/>
    </w:p>
    <w:p>
      <w:pPr>
        <w:pStyle w:val="BookText"/>
      </w:pPr>
      <w:r>
        <w:rPr>
          <w:rFonts w:ascii="Times New Roman" w:hAnsi="Times New Roman" w:eastAsia="Times New Roman" w:cs="Times New Roman"/>
          <w:lang w:val="en-US" w:bidi="en-US"/>
          <w:color w:val="111111"/>
          <w:sz w:val="28"/>
          <w:szCs w:val="28"/>
          <w:rtl/>
        </w:rPr>
        <w:t xml:space="preserve">al-bayān</w:t>
      </w:r>
    </w:p>
    <w:p>
      <w:pPr>
        <w:pStyle w:val="BookText"/>
      </w:pPr>
      <w:r>
        <w:rPr>
          <w:rFonts w:ascii="IRNazanin" w:hAnsi="IRNazanin" w:eastAsia="IRNazanin" w:cs="IRNazanin"/>
          <w:lang w:bidi="fa-IR"/>
          <w:color w:val="111111"/>
          <w:sz w:val="28"/>
          <w:szCs w:val="28"/>
          <w:rtl/>
        </w:rPr>
        <w:t xml:space="preserve">باب، على محمد بن محمد رضا، ۲۱۲۳۶-۱۲۶۶ قمری</w:t>
      </w:r>
    </w:p>
    <w:p>
      <w:pPr>
        <w:pStyle w:val="BookText"/>
      </w:pPr>
      <w:r>
        <w:rPr>
          <w:rFonts w:ascii="Times New Roman" w:hAnsi="Times New Roman" w:eastAsia="Times New Roman" w:cs="Times New Roman"/>
          <w:lang w:val="en-US" w:bidi="en-US"/>
          <w:color w:val="111111"/>
          <w:sz w:val="28"/>
          <w:szCs w:val="28"/>
          <w:rtl/>
        </w:rPr>
        <w:t xml:space="preserve">bāb, “alī mohammad ebn-e mohammad rezā (1821 1850)</w:t>
      </w:r>
    </w:p>
    <w:p>
      <w:pPr>
        <w:pStyle w:val="BookText"/>
      </w:pPr>
      <w:r>
        <w:rPr>
          <w:rFonts w:ascii="IRNazanin" w:hAnsi="IRNazanin" w:eastAsia="IRNazanin" w:cs="IRNazanin"/>
          <w:lang w:bidi="fa-IR"/>
          <w:color w:val="111111"/>
          <w:sz w:val="28"/>
          <w:szCs w:val="28"/>
          <w:rtl/>
        </w:rPr>
        <w:t xml:space="preserve">با عنوان «الواحد الاول یا هو ... الواحد الحادی من بعد العشره).</w:t>
      </w:r>
    </w:p>
    <w:p>
      <w:pPr>
        <w:pStyle w:val="BookText"/>
      </w:pPr>
      <w:r>
        <w:rPr>
          <w:rFonts w:ascii="IRNazanin" w:hAnsi="IRNazanin" w:eastAsia="IRNazanin" w:cs="IRNazanin"/>
          <w:lang w:bidi="fa-IR"/>
          <w:color w:val="111111"/>
          <w:sz w:val="28"/>
          <w:szCs w:val="28"/>
          <w:rtl/>
        </w:rPr>
        <w:t xml:space="preserve">تهران؛ دانشگاه؛ شماره نسخه: ۷۱۵۹/۵</w:t>
      </w:r>
    </w:p>
    <w:p>
      <w:pPr>
        <w:pStyle w:val="BookText"/>
      </w:pPr>
      <w:r>
        <w:rPr>
          <w:rFonts w:ascii="IRNazanin" w:hAnsi="IRNazanin" w:eastAsia="IRNazanin" w:cs="IRNazanin"/>
          <w:lang w:bidi="fa-IR"/>
          <w:color w:val="111111"/>
          <w:sz w:val="28"/>
          <w:szCs w:val="28"/>
          <w:rtl/>
        </w:rPr>
        <w:t xml:space="preserve">آغاز: الواحد الاول یا هو بسم الله الأمنع الأقدس انا الله لا اله الا اناوان مادونی خلقی قل آن یا خلقی ایای فاعبدون؛ انجام: يوم القيمه عند الله لتنجون. خط: نسخ، بی کا، تا: قرن ۱۳؛ کاغذ: فرنگی کبود، جلد: تیماج عنابی لایی، ۱۶ سطر (۵/۵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۱۰/۵ )، قطع: بغلی،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۱۶-۴۶۹]</w:t>
      </w:r>
    </w:p>
    <w:p>
      <w:pPr>
        <w:pStyle w:val="Heading3"/>
      </w:pPr>
      <w:bookmarkStart w:id="1221" w:name="_Toc481"/>
      <w:r>
        <w:t>• بیان / بهائیت / فارسی</w:t>
      </w:r>
      <w:bookmarkEnd w:id="1221"/>
    </w:p>
    <w:p>
      <w:pPr>
        <w:pStyle w:val="BookText"/>
      </w:pPr>
      <w:r>
        <w:rPr>
          <w:rFonts w:ascii="Times New Roman" w:hAnsi="Times New Roman" w:eastAsia="Times New Roman" w:cs="Times New Roman"/>
          <w:lang w:val="en-US" w:bidi="en-US"/>
          <w:color w:val="111111"/>
          <w:sz w:val="28"/>
          <w:szCs w:val="28"/>
          <w:rtl/>
        </w:rPr>
        <w:t xml:space="preserve">bayān</w:t>
      </w:r>
    </w:p>
    <w:p>
      <w:pPr>
        <w:pStyle w:val="BookText"/>
      </w:pPr>
      <w:r>
        <w:rPr>
          <w:rFonts w:ascii="IRNazanin" w:hAnsi="IRNazanin" w:eastAsia="IRNazanin" w:cs="IRNazanin"/>
          <w:lang w:bidi="fa-IR"/>
          <w:color w:val="111111"/>
          <w:sz w:val="28"/>
          <w:szCs w:val="28"/>
          <w:rtl/>
        </w:rPr>
        <w:t xml:space="preserve">باب، على محمد بن محمد رضا، ۱۲۳۶؟ -۱۲۶۶ قمری</w:t>
      </w:r>
    </w:p>
    <w:p>
      <w:pPr>
        <w:pStyle w:val="BookText"/>
      </w:pPr>
      <w:r>
        <w:rPr>
          <w:rFonts w:ascii="Times New Roman" w:hAnsi="Times New Roman" w:eastAsia="Times New Roman" w:cs="Times New Roman"/>
          <w:lang w:val="en-US" w:bidi="en-US"/>
          <w:color w:val="111111"/>
          <w:sz w:val="28"/>
          <w:szCs w:val="28"/>
          <w:rtl/>
        </w:rPr>
        <w:t xml:space="preserve">bāb, “alī mohammad ebn-e mohammad rezā (1821 1850)</w:t>
      </w:r>
    </w:p>
    <w:p>
      <w:pPr>
        <w:pStyle w:val="BookText"/>
      </w:pPr>
      <w:r>
        <w:rPr>
          <w:rFonts w:ascii="IRNazanin" w:hAnsi="IRNazanin" w:eastAsia="IRNazanin" w:cs="IRNazanin"/>
          <w:lang w:bidi="fa-IR"/>
          <w:color w:val="111111"/>
          <w:sz w:val="28"/>
          <w:szCs w:val="28"/>
          <w:rtl/>
        </w:rPr>
        <w:t xml:space="preserve">محل تأليف: ماكو در عقاید بابیه در ۹ واحد که هر واحد شامل ابوابي است؛ و تفسیری است از «بیان» عربی که با بیان آن را کتاب آسمانی می پندارند.</w:t>
      </w:r>
    </w:p>
    <w:p>
      <w:pPr>
        <w:pStyle w:val="BookText"/>
      </w:pPr>
      <w:r>
        <w:rPr>
          <w:rFonts w:ascii="IRNazanin" w:hAnsi="IRNazanin" w:eastAsia="IRNazanin" w:cs="IRNazanin"/>
          <w:lang w:bidi="fa-IR"/>
          <w:color w:val="111111"/>
          <w:sz w:val="28"/>
          <w:szCs w:val="28"/>
          <w:rtl/>
        </w:rPr>
        <w:t xml:space="preserve">آغاز: بسم الله الا منع الاقدس، تسبیح و تقدیس بساط قدس عز مجد سلطانی را لایق که لم يزل ولا يزال بوجود کینونیت ذات خود بوده و هست</w:t>
      </w:r>
    </w:p>
    <w:p>
      <w:pPr>
        <w:pStyle w:val="BookText"/>
      </w:pPr>
      <w:r>
        <w:rPr>
          <w:rFonts w:ascii="IRNazanin" w:hAnsi="IRNazanin" w:eastAsia="IRNazanin" w:cs="IRNazanin"/>
          <w:lang w:bidi="fa-IR"/>
          <w:color w:val="111111"/>
          <w:sz w:val="28"/>
          <w:szCs w:val="28"/>
          <w:rtl/>
        </w:rPr>
        <w:t xml:space="preserve">انجام: و اگر در آن روز هستی خواهی دید که کل ماهیان بحر بیان به آن ماء زنده ولی از آن محتجب و لتطهرن انفسكم على حق ما انتم عليه مقتدرون</w:t>
      </w:r>
    </w:p>
    <w:p>
      <w:pPr>
        <w:pStyle w:val="BookText"/>
      </w:pPr>
      <w:r>
        <w:rPr>
          <w:rFonts w:ascii="IRNazanin" w:hAnsi="IRNazanin" w:eastAsia="IRNazanin" w:cs="IRNazanin"/>
          <w:lang w:bidi="fa-IR"/>
          <w:color w:val="111111"/>
          <w:sz w:val="28"/>
          <w:szCs w:val="28"/>
          <w:rtl/>
        </w:rPr>
        <w:t xml:space="preserve">چاپ: چاپ شده.</w:t>
      </w:r>
    </w:p>
    <w:p>
      <w:pPr>
        <w:pStyle w:val="BookText"/>
      </w:pPr>
      <w:r>
        <w:rPr>
          <w:rFonts w:ascii="IRNazanin" w:hAnsi="IRNazanin" w:eastAsia="IRNazanin" w:cs="IRNazanin"/>
          <w:lang w:bidi="fa-IR"/>
          <w:color w:val="111111"/>
          <w:sz w:val="28"/>
          <w:szCs w:val="28"/>
          <w:rtl/>
        </w:rPr>
        <w:t xml:space="preserve">[دنا ۵۷۸/۲ (۱۰ نسخه)؛ نسخه های منزوی ۱۷۵۳/۲ ؛ فهرستواره منزوی ۱۵۸/۷ ]</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شرح بیان</w:t>
      </w:r>
    </w:p>
    <w:p>
      <w:pPr>
        <w:pStyle w:val="BookText"/>
      </w:pPr>
      <w:r>
        <w:rPr>
          <w:rFonts w:ascii="IRNazanin" w:hAnsi="IRNazanin" w:eastAsia="IRNazanin" w:cs="IRNazanin"/>
          <w:lang w:bidi="fa-IR"/>
          <w:color w:val="111111"/>
          <w:sz w:val="28"/>
          <w:szCs w:val="28"/>
          <w:rtl/>
        </w:rPr>
        <w:t xml:space="preserve">١. مشهد؛ رضوی؛ شماره نسخه: ۸۸۵۸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بی کا، تا: قرن ۱۳؛ کاغذ: نخودی، جلد: مقوا، ۱۸ سطر (۱۱۸۶)، اندازه: ۱۷۶۱۱ سم (الفبائی: ۹۲]</w:t>
      </w:r>
    </w:p>
    <w:p>
      <w:pPr>
        <w:pStyle w:val="BookText"/>
      </w:pPr>
      <w:r>
        <w:rPr>
          <w:rFonts w:ascii="IRNazanin" w:hAnsi="IRNazanin" w:eastAsia="IRNazanin" w:cs="IRNazanin"/>
          <w:lang w:bidi="fa-IR"/>
          <w:color w:val="111111"/>
          <w:sz w:val="28"/>
          <w:szCs w:val="28"/>
          <w:rtl/>
        </w:rPr>
        <w:t xml:space="preserve">۲. تهران؛ ملک؛ شماره نسخه: ۶۱۱۷</w:t>
      </w:r>
    </w:p>
    <w:p>
      <w:pPr>
        <w:pStyle w:val="BookText"/>
      </w:pPr>
      <w:r>
        <w:rPr>
          <w:rFonts w:ascii="IRNazanin" w:hAnsi="IRNazanin" w:eastAsia="IRNazanin" w:cs="IRNazanin"/>
          <w:lang w:bidi="fa-IR"/>
          <w:color w:val="111111"/>
          <w:sz w:val="28"/>
          <w:szCs w:val="28"/>
          <w:rtl/>
        </w:rPr>
        <w:t xml:space="preserve">آغاز و بسم الله الأمنع الاقدس؛ انجام: ما انتم عليه مقتدون. خط: نسخ، بی کا، تا: قرن ۱۳ کاغذ: کاغذ آبی فرنگی، جلد: میشن تریاکی، ۲۳۳، ۱۹ سطر، اندازه: ۱۳/۲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۲۰/۵سم [ف: ۲-۶۴]</w:t>
      </w:r>
    </w:p>
    <w:p>
      <w:pPr>
        <w:pStyle w:val="BookText"/>
      </w:pPr>
      <w:r>
        <w:rPr>
          <w:rFonts w:ascii="IRNazanin" w:hAnsi="IRNazanin" w:eastAsia="IRNazanin" w:cs="IRNazanin"/>
          <w:lang w:bidi="fa-IR"/>
          <w:color w:val="111111"/>
          <w:sz w:val="28"/>
          <w:szCs w:val="28"/>
          <w:rtl/>
        </w:rPr>
        <w:t xml:space="preserve">٣. قم؛ مرعشی؛ شماره نسخه: ۱۴۶۲۱</w:t>
      </w:r>
    </w:p>
    <w:p>
      <w:pPr>
        <w:pStyle w:val="BookText"/>
      </w:pPr>
      <w:r>
        <w:rPr>
          <w:rFonts w:ascii="IRNazanin" w:hAnsi="IRNazanin" w:eastAsia="IRNazanin" w:cs="IRNazanin"/>
          <w:lang w:bidi="fa-IR"/>
          <w:color w:val="111111"/>
          <w:sz w:val="28"/>
          <w:szCs w:val="28"/>
          <w:rtl/>
        </w:rPr>
        <w:t xml:space="preserve">آغاز و انجام: برابر خط: نسخ، بی کا، تا: حدود قرن ۱۳؛ دارای سرلوح زیبای مرصع، با زمینه طلا و لاجورد، حواشی در برگ آغازین مرصع و رنگین، بین سطور با طلا دندان موشی شده، مجدول مذهب، با کمند طلائی؛ کاغذ: شرقی، جلد: تیماج قرمز ضربی مجدول مطلا، ۲۰۷گ، ۱۸ سطر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۳۷-۴۳]</w:t>
      </w:r>
    </w:p>
    <w:p>
      <w:pPr>
        <w:pStyle w:val="BookText"/>
      </w:pPr>
      <w:r>
        <w:rPr>
          <w:rFonts w:ascii="IRNazanin" w:hAnsi="IRNazanin" w:eastAsia="IRNazanin" w:cs="IRNazanin"/>
          <w:lang w:bidi="fa-IR"/>
          <w:color w:val="111111"/>
          <w:sz w:val="28"/>
          <w:szCs w:val="28"/>
          <w:rtl/>
        </w:rPr>
        <w:t xml:space="preserve">۴. مشهد؛ رضوی؛ شماره نسخه: ۲۲۶۵۶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۱۳؛ کاغذ: شکری، جلد: اسقاطی، ۲۸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[رایانه]</w:t>
      </w:r>
    </w:p>
    <w:p>
      <w:pPr>
        <w:pStyle w:val="BookText"/>
      </w:pPr>
      <w:r>
        <w:rPr>
          <w:rFonts w:ascii="IRNazanin" w:hAnsi="IRNazanin" w:eastAsia="IRNazanin" w:cs="IRNazanin"/>
          <w:lang w:bidi="fa-IR"/>
          <w:color w:val="111111"/>
          <w:sz w:val="28"/>
          <w:szCs w:val="28"/>
          <w:rtl/>
        </w:rPr>
        <w:t xml:space="preserve">۵. تهران؛ مجلس؛ شماره نسخه: ۹۱۰</w:t>
      </w:r>
    </w:p>
    <w:p>
      <w:pPr>
        <w:pStyle w:val="BookText"/>
      </w:pPr>
      <w:r>
        <w:rPr>
          <w:rFonts w:ascii="IRNazanin" w:hAnsi="IRNazanin" w:eastAsia="IRNazanin" w:cs="IRNazanin"/>
          <w:lang w:bidi="fa-IR"/>
          <w:color w:val="111111"/>
          <w:sz w:val="28"/>
          <w:szCs w:val="28"/>
          <w:rtl/>
        </w:rPr>
        <w:t xml:space="preserve">خط: نسخ، بی کا، تا: قرن ۱۳؛ افتادگی: آغاز؛ مهر: دکتر عطاء الله ؛ کاغذ: سفید، جلد: گالینگور، عطف تیماج مشکی ضربی زرکوب، ۲۴۵ گ، ۱۹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۱۴</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۱۰سم آسنا: في:</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مجلس؛ شماره نسخه: ۵۵۸ط</w:t>
      </w:r>
    </w:p>
    <w:p>
      <w:pPr>
        <w:pStyle w:val="BookText"/>
      </w:pPr>
      <w:r>
        <w:rPr>
          <w:rFonts w:ascii="IRNazanin" w:hAnsi="IRNazanin" w:eastAsia="IRNazanin" w:cs="IRNazanin"/>
          <w:lang w:bidi="fa-IR"/>
          <w:color w:val="111111"/>
          <w:sz w:val="28"/>
          <w:szCs w:val="28"/>
          <w:rtl/>
        </w:rPr>
        <w:t xml:space="preserve">آغاز: بسم السبحان المنيع اللميع بديعا الهی انت؛ انجام: و تقدس آثارک عما انت ... و انک صادق بصير . بخش الواح و مناجات؛ خط: نستعلیق شکسته، كا: مطرز الرضوان، تا: ۹ ربیع الاول ۱۲۷۲ق؛ در روی برگ اول آمده: «هذه كلمات ناجی بها عبد الله لاهل البيان مطرز الرضوان في سنه ۱۲۷۲»؛ مهر: مطرز الرضوان» ؛ جلد: تیماج سرمه ای یک لا، ۳۳۳ص، ۱۲-۱۳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[ف: ۲۴/۳ -۲۵]</w:t>
      </w:r>
    </w:p>
    <w:p>
      <w:pPr>
        <w:pStyle w:val="BookText"/>
      </w:pPr>
      <w:r>
        <w:rPr>
          <w:rFonts w:ascii="IRNazanin" w:hAnsi="IRNazanin" w:eastAsia="IRNazanin" w:cs="IRNazanin"/>
          <w:lang w:bidi="fa-IR"/>
          <w:color w:val="111111"/>
          <w:sz w:val="28"/>
          <w:szCs w:val="28"/>
          <w:rtl/>
        </w:rPr>
        <w:t xml:space="preserve">۷. تهران، دانشگاه؛ شماره نسخه: ۳۷۷۸/۱ ف</w:t>
      </w:r>
    </w:p>
    <w:p>
      <w:pPr>
        <w:pStyle w:val="BookText"/>
      </w:pPr>
      <w:r>
        <w:rPr>
          <w:rFonts w:ascii="IRNazanin" w:hAnsi="IRNazanin" w:eastAsia="IRNazanin" w:cs="IRNazanin"/>
          <w:lang w:bidi="fa-IR"/>
          <w:color w:val="111111"/>
          <w:sz w:val="28"/>
          <w:szCs w:val="28"/>
          <w:rtl/>
        </w:rPr>
        <w:t xml:space="preserve">پاریس 1070 .</w:t>
      </w:r>
      <w:r>
        <w:rPr>
          <w:rFonts w:ascii="Times New Roman" w:hAnsi="Times New Roman" w:eastAsia="Times New Roman" w:cs="Times New Roman"/>
          <w:lang w:val="en-US" w:bidi="en-US"/>
          <w:color w:val="111111"/>
          <w:sz w:val="28"/>
          <w:szCs w:val="28"/>
          <w:rtl/>
        </w:rPr>
        <w:t xml:space="preserve">S. P (</w:t>
      </w:r>
      <w:r>
        <w:rPr>
          <w:rFonts w:ascii="IRNazanin" w:hAnsi="IRNazanin" w:eastAsia="IRNazanin" w:cs="IRNazanin"/>
          <w:lang w:bidi="fa-IR"/>
          <w:color w:val="111111"/>
          <w:sz w:val="28"/>
          <w:szCs w:val="28"/>
          <w:rtl/>
        </w:rPr>
        <w:t xml:space="preserve">بلوشه ۱۲۹/۱ ش ۱۶۴ و ۲۰۴/۴ ش ۲۲۵۵)؛</w:t>
      </w:r>
    </w:p>
    <w:p>
      <w:pPr>
        <w:pStyle w:val="BookText"/>
      </w:pPr>
      <w:r>
        <w:rPr>
          <w:rFonts w:ascii="IRNazanin" w:hAnsi="IRNazanin" w:eastAsia="IRNazanin" w:cs="IRNazanin"/>
          <w:lang w:bidi="fa-IR"/>
          <w:color w:val="111111"/>
          <w:sz w:val="28"/>
          <w:szCs w:val="28"/>
          <w:rtl/>
        </w:rPr>
        <w:t xml:space="preserve">بی کا، تا: ۱۲۷۹ق، ۲۸۴گ (۱-۲۸۴پ) [فيلمها ف: ۲-۲۴۷]</w:t>
      </w:r>
    </w:p>
    <w:p>
      <w:pPr>
        <w:pStyle w:val="BookText"/>
      </w:pPr>
      <w:r>
        <w:rPr>
          <w:rFonts w:ascii="IRNazanin" w:hAnsi="IRNazanin" w:eastAsia="IRNazanin" w:cs="IRNazanin"/>
          <w:lang w:bidi="fa-IR"/>
          <w:color w:val="111111"/>
          <w:sz w:val="28"/>
          <w:szCs w:val="28"/>
          <w:rtl/>
        </w:rPr>
        <w:t xml:space="preserve">۸. مشهد؛ رضوی؛ شماره نسخه: ۶۷۵۰</w:t>
      </w:r>
    </w:p>
    <w:p>
      <w:pPr>
        <w:pStyle w:val="BookText"/>
      </w:pPr>
      <w:r>
        <w:rPr>
          <w:rFonts w:ascii="IRNazanin" w:hAnsi="IRNazanin" w:eastAsia="IRNazanin" w:cs="IRNazanin"/>
          <w:lang w:bidi="fa-IR"/>
          <w:color w:val="111111"/>
          <w:sz w:val="28"/>
          <w:szCs w:val="28"/>
          <w:rtl/>
        </w:rPr>
        <w:t xml:space="preserve">آغاز و انجام: برابر خط: نسخ، بی کا، تا: ۱۲۸۹ق؛ کاغذ: نخودی، جلد: تیماج، ۱۹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[الفبائی: ۹۲]</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دانشسرای عالی - کتابخانه میرزا عبدالعظیم خان قریب گر کانی؛ شماره نسخه: ۴</w:t>
      </w:r>
    </w:p>
    <w:p>
      <w:pPr>
        <w:pStyle w:val="BookText"/>
      </w:pPr>
      <w:r>
        <w:rPr>
          <w:rFonts w:ascii="IRNazanin" w:hAnsi="IRNazanin" w:eastAsia="IRNazanin" w:cs="IRNazanin"/>
          <w:lang w:bidi="fa-IR"/>
          <w:color w:val="111111"/>
          <w:sz w:val="28"/>
          <w:szCs w:val="28"/>
          <w:rtl/>
        </w:rPr>
        <w:t xml:space="preserve">خط: نستعلیق، بی کا، تا: قرن ۱۴؛ قطع: ربعی (نشریه: ۵-۶۱۹]</w:t>
      </w:r>
    </w:p>
    <w:p>
      <w:pPr>
        <w:pStyle w:val="BookText"/>
      </w:pPr>
      <w:r>
        <w:rPr>
          <w:rFonts w:ascii="IRNazanin" w:hAnsi="IRNazanin" w:eastAsia="IRNazanin" w:cs="IRNazanin"/>
          <w:lang w:bidi="fa-IR"/>
          <w:color w:val="111111"/>
          <w:sz w:val="28"/>
          <w:szCs w:val="28"/>
          <w:rtl/>
        </w:rPr>
        <w:t xml:space="preserve">۱۰. تهران؛ مجلس؛ شماره نسخه: ۵۷۱۰</w:t>
      </w:r>
    </w:p>
    <w:p>
      <w:pPr>
        <w:pStyle w:val="BookText"/>
      </w:pPr>
      <w:r>
        <w:rPr>
          <w:rFonts w:ascii="IRNazanin" w:hAnsi="IRNazanin" w:eastAsia="IRNazanin" w:cs="IRNazanin"/>
          <w:lang w:bidi="fa-IR"/>
          <w:color w:val="111111"/>
          <w:sz w:val="28"/>
          <w:szCs w:val="28"/>
          <w:rtl/>
        </w:rPr>
        <w:t xml:space="preserve">آغاز: الباب المذكور في بيان أن العباد ... جوهر این باب آنکه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59" w:name="pg20363_209389"/>
    <w:bookmarkEnd w:id="159"/>
    <w:p>
      <w:pPr>
        <w:pStyle w:val="BookText"/>
      </w:pPr>
      <w:r>
        <w:rPr>
          <w:rFonts w:ascii="IRNazanin" w:hAnsi="IRNazanin" w:eastAsia="IRNazanin" w:cs="IRNazanin"/>
          <w:lang w:bidi="fa-IR"/>
          <w:color w:val="111111"/>
          <w:sz w:val="28"/>
          <w:szCs w:val="28"/>
          <w:rtl/>
        </w:rPr>
        <w:t xml:space="preserve">سالكين سبل ایمان. انجام: نغمة الورقاء في سدرة المنتهى فسبحان ربنا الأعلى. بخشی است از بیان (نسخه مفصل)؛ خط: نستعلیق، بی کا، تا: قرن ۱۴؛ در فهرست رایانه ای مؤلف را میرزا حسینعلی نوری دانسته؛ کاغذ: فرنگی نباتی، جلد: تیماج سرخ ضربی عطف قهوه ای، ۲۲۴ص، ۱۳ سطر، قطع: رقعی،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۱۷-۱۶۵]</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مشهد؛ رضوی؛ شماره نسخه: ۲۳۶۷۴</w:t>
      </w:r>
    </w:p>
    <w:p>
      <w:pPr>
        <w:pStyle w:val="BookText"/>
      </w:pPr>
      <w:r>
        <w:rPr>
          <w:rFonts w:ascii="IRNazanin" w:hAnsi="IRNazanin" w:eastAsia="IRNazanin" w:cs="IRNazanin"/>
          <w:lang w:bidi="fa-IR"/>
          <w:color w:val="111111"/>
          <w:sz w:val="28"/>
          <w:szCs w:val="28"/>
          <w:rtl/>
        </w:rPr>
        <w:t xml:space="preserve">آغاز: برابر؛ انجام: بلقاء الله توزقون و لدييه عفرون ... ۱۳۱۷ خط: نستعلیق شکسته، بی کا، تا: ۱۳۱۷ق؛ کاغذ: حنایی، جلد: تيماج، ۱۹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[رایانه]</w:t>
      </w:r>
    </w:p>
    <w:p>
      <w:pPr>
        <w:pStyle w:val="BookText"/>
      </w:pPr>
      <w:r>
        <w:rPr>
          <w:rFonts w:ascii="IRNazanin" w:hAnsi="IRNazanin" w:eastAsia="IRNazanin" w:cs="IRNazanin"/>
          <w:lang w:bidi="fa-IR"/>
          <w:color w:val="111111"/>
          <w:sz w:val="28"/>
          <w:szCs w:val="28"/>
          <w:rtl/>
        </w:rPr>
        <w:t xml:space="preserve">۱۲. همدان؛ اعتماد الدوله؛ شماره نسخه: ۹۶</w:t>
      </w:r>
    </w:p>
    <w:p>
      <w:pPr>
        <w:pStyle w:val="BookText"/>
      </w:pPr>
      <w:r>
        <w:rPr>
          <w:rFonts w:ascii="IRNazanin" w:hAnsi="IRNazanin" w:eastAsia="IRNazanin" w:cs="IRNazanin"/>
          <w:lang w:bidi="fa-IR"/>
          <w:color w:val="111111"/>
          <w:sz w:val="28"/>
          <w:szCs w:val="28"/>
          <w:rtl/>
        </w:rPr>
        <w:t xml:space="preserve">بی کا، تا: ۱۳۲۰ق [نشریه: ۵-۳۴۱]</w:t>
      </w:r>
    </w:p>
    <w:p>
      <w:pPr>
        <w:pStyle w:val="BookText"/>
      </w:pPr>
      <w:r>
        <w:rPr>
          <w:rFonts w:ascii="IRNazanin" w:hAnsi="IRNazanin" w:eastAsia="IRNazanin" w:cs="IRNazanin"/>
          <w:lang w:bidi="fa-IR"/>
          <w:color w:val="111111"/>
          <w:sz w:val="28"/>
          <w:szCs w:val="28"/>
          <w:rtl/>
        </w:rPr>
        <w:t xml:space="preserve">۱۳. مشهد؛ رضوی؛ شماره نسخه: ۲۳۳۸۶</w:t>
      </w:r>
    </w:p>
    <w:p>
      <w:pPr>
        <w:pStyle w:val="BookText"/>
      </w:pPr>
      <w:r>
        <w:rPr>
          <w:rFonts w:ascii="IRNazanin" w:hAnsi="IRNazanin" w:eastAsia="IRNazanin" w:cs="IRNazanin"/>
          <w:lang w:bidi="fa-IR"/>
          <w:color w:val="111111"/>
          <w:sz w:val="28"/>
          <w:szCs w:val="28"/>
          <w:rtl/>
        </w:rPr>
        <w:t xml:space="preserve">آغاز: برابر؛ انجام: في يوم چهارشنبه سیزدهم شهر جمادى الأول سنه ۱۳۴۶</w:t>
      </w:r>
    </w:p>
    <w:p>
      <w:pPr>
        <w:pStyle w:val="BookText"/>
      </w:pPr>
      <w:r>
        <w:rPr>
          <w:rFonts w:ascii="IRNazanin" w:hAnsi="IRNazanin" w:eastAsia="IRNazanin" w:cs="IRNazanin"/>
          <w:lang w:bidi="fa-IR"/>
          <w:color w:val="111111"/>
          <w:sz w:val="28"/>
          <w:szCs w:val="28"/>
          <w:rtl/>
        </w:rPr>
        <w:t xml:space="preserve">خط: نسخ، بی کا، تا: ۱۳۴۶ق، کاغذ: شکری، جلد: تیماج، ۲۰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(رایانه)</w:t>
      </w:r>
    </w:p>
    <w:p>
      <w:pPr>
        <w:pStyle w:val="BookText"/>
      </w:pPr>
      <w:r>
        <w:rPr>
          <w:rFonts w:ascii="IRNazanin" w:hAnsi="IRNazanin" w:eastAsia="IRNazanin" w:cs="IRNazanin"/>
          <w:lang w:bidi="fa-IR"/>
          <w:color w:val="111111"/>
          <w:sz w:val="28"/>
          <w:szCs w:val="28"/>
          <w:rtl/>
        </w:rPr>
        <w:t xml:space="preserve">۱۴. مشهد؛ رضوی؛ شماره نسخه: ۲۳۶۸۲</w:t>
      </w:r>
    </w:p>
    <w:p>
      <w:pPr>
        <w:pStyle w:val="BookText"/>
      </w:pPr>
      <w:r>
        <w:rPr>
          <w:rFonts w:ascii="IRNazanin" w:hAnsi="IRNazanin" w:eastAsia="IRNazanin" w:cs="IRNazanin"/>
          <w:lang w:bidi="fa-IR"/>
          <w:color w:val="111111"/>
          <w:sz w:val="28"/>
          <w:szCs w:val="28"/>
          <w:rtl/>
        </w:rPr>
        <w:t xml:space="preserve">آغاز: بسمله الله الأمنع الاقدس تسبح و تقدس؛ انجام: برابر</w:t>
      </w:r>
    </w:p>
    <w:p>
      <w:pPr>
        <w:pStyle w:val="BookText"/>
      </w:pPr>
      <w:r>
        <w:rPr>
          <w:rFonts w:ascii="IRNazanin" w:hAnsi="IRNazanin" w:eastAsia="IRNazanin" w:cs="IRNazanin"/>
          <w:lang w:bidi="fa-IR"/>
          <w:color w:val="111111"/>
          <w:sz w:val="28"/>
          <w:szCs w:val="28"/>
          <w:rtl/>
        </w:rPr>
        <w:t xml:space="preserve">خط: نستعلیق تحریری، بی کا، بی تا، کاغذ: فرنگی، جلد: تیماج، ۱۸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[رایانه]</w:t>
      </w:r>
    </w:p>
    <w:p>
      <w:pPr>
        <w:pStyle w:val="BookText"/>
      </w:pPr>
      <w:r>
        <w:rPr>
          <w:rFonts w:ascii="IRNazanin" w:hAnsi="IRNazanin" w:eastAsia="IRNazanin" w:cs="IRNazanin"/>
          <w:lang w:bidi="fa-IR"/>
          <w:color w:val="111111"/>
          <w:sz w:val="28"/>
          <w:szCs w:val="28"/>
          <w:rtl/>
        </w:rPr>
        <w:t xml:space="preserve">۱۵. تهران؛ ملی؛ شماره نسخه: ۱۸۳۸۳/۳</w:t>
      </w:r>
    </w:p>
    <w:p>
      <w:pPr>
        <w:pStyle w:val="BookText"/>
      </w:pPr>
      <w:r>
        <w:rPr>
          <w:rFonts w:ascii="IRNazanin" w:hAnsi="IRNazanin" w:eastAsia="IRNazanin" w:cs="IRNazanin"/>
          <w:lang w:bidi="fa-IR"/>
          <w:color w:val="111111"/>
          <w:sz w:val="28"/>
          <w:szCs w:val="28"/>
          <w:rtl/>
        </w:rPr>
        <w:t xml:space="preserve">بی کا، بی تا؛ انتقالی از کتابخانه پهلوی مجموعه نوازی؛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[رایانه]</w:t>
      </w:r>
    </w:p>
    <w:p>
      <w:pPr>
        <w:pStyle w:val="BookText"/>
      </w:pPr>
      <w:r>
        <w:rPr>
          <w:rFonts w:ascii="IRNazanin" w:hAnsi="IRNazanin" w:eastAsia="IRNazanin" w:cs="IRNazanin"/>
          <w:lang w:bidi="fa-IR"/>
          <w:color w:val="111111"/>
          <w:sz w:val="28"/>
          <w:szCs w:val="28"/>
          <w:rtl/>
        </w:rPr>
        <w:t xml:space="preserve">۱۶. مشهد: رضوی؛ شماره نسخه: ۲۳۲۵۶</w:t>
      </w:r>
    </w:p>
    <w:p>
      <w:pPr>
        <w:pStyle w:val="BookText"/>
      </w:pPr>
      <w:r>
        <w:rPr>
          <w:rFonts w:ascii="IRNazanin" w:hAnsi="IRNazanin" w:eastAsia="IRNazanin" w:cs="IRNazanin"/>
          <w:lang w:bidi="fa-IR"/>
          <w:color w:val="111111"/>
          <w:sz w:val="28"/>
          <w:szCs w:val="28"/>
          <w:rtl/>
        </w:rPr>
        <w:t xml:space="preserve">آغاز: بسمله الأمنع الاقدس تسبیح و تقدیس بساط؛ انجام: برابر</w:t>
      </w:r>
    </w:p>
    <w:p>
      <w:pPr>
        <w:pStyle w:val="BookText"/>
      </w:pPr>
      <w:r>
        <w:rPr>
          <w:rFonts w:ascii="IRNazanin" w:hAnsi="IRNazanin" w:eastAsia="IRNazanin" w:cs="IRNazanin"/>
          <w:lang w:bidi="fa-IR"/>
          <w:color w:val="111111"/>
          <w:sz w:val="28"/>
          <w:szCs w:val="28"/>
          <w:rtl/>
        </w:rPr>
        <w:t xml:space="preserve">خط: نسخ، بی کا، بی تا، کاغذ: فرنگی، جلد: پارچه ای، ۲۰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[رایانه]</w:t>
      </w:r>
    </w:p>
    <w:p>
      <w:pPr>
        <w:pStyle w:val="BookText"/>
      </w:pPr>
      <w:r>
        <w:rPr>
          <w:rFonts w:ascii="IRNazanin" w:hAnsi="IRNazanin" w:eastAsia="IRNazanin" w:cs="IRNazanin"/>
          <w:lang w:bidi="fa-IR"/>
          <w:color w:val="111111"/>
          <w:sz w:val="28"/>
          <w:szCs w:val="28"/>
          <w:rtl/>
        </w:rPr>
        <w:t xml:space="preserve">۱۷. تهران؛ مدارک فرهنگی؛ شماره نسخه: ۷۱</w:t>
      </w:r>
    </w:p>
    <w:p>
      <w:pPr>
        <w:pStyle w:val="BookText"/>
      </w:pPr>
      <w:r>
        <w:rPr>
          <w:rFonts w:ascii="IRNazanin" w:hAnsi="IRNazanin" w:eastAsia="IRNazanin" w:cs="IRNazanin"/>
          <w:lang w:bidi="fa-IR"/>
          <w:color w:val="111111"/>
          <w:sz w:val="28"/>
          <w:szCs w:val="28"/>
          <w:rtl/>
        </w:rPr>
        <w:t xml:space="preserve">آغاز: اوست اول ... يظهره الله و اوست اول من آمن بمن ظهر و اوست شيء واحد ... و بعد مخفی نباشد بر ناظر این کلمات که خداوند خلق قرآن را عبور فرمود؛ انجام: و اگر در آنروز هستی خواهی دید که کل مامیان بحربیان بان ماء زنده ولی از آن محتجب و لتظهرن انفسكم على حق ما انتم عليه مقتدرون</w:t>
      </w:r>
    </w:p>
    <w:p>
      <w:pPr>
        <w:pStyle w:val="BookText"/>
      </w:pPr>
      <w:r>
        <w:rPr>
          <w:rFonts w:ascii="IRNazanin" w:hAnsi="IRNazanin" w:eastAsia="IRNazanin" w:cs="IRNazanin"/>
          <w:lang w:bidi="fa-IR"/>
          <w:color w:val="111111"/>
          <w:sz w:val="28"/>
          <w:szCs w:val="28"/>
          <w:rtl/>
        </w:rPr>
        <w:t xml:space="preserve">خط: نستعلیق خوش، بی کا، بی تا؛ افتادگی: آغاز؛ مصحح، محشی؛ کاغذ: فرنگی مایل به حنایی، جلد: مقوایی رو کش تیماج تریاکی، ۱۴۶، ۱۷ سطر</w:t>
      </w:r>
    </w:p>
    <w:p>
      <w:pPr>
        <w:pStyle w:val="BookText"/>
      </w:pPr>
      <w:r>
        <w:rPr>
          <w:rFonts w:ascii="IRNazanin" w:hAnsi="IRNazanin" w:eastAsia="IRNazanin" w:cs="IRNazanin"/>
          <w:lang w:bidi="fa-IR"/>
          <w:color w:val="111111"/>
          <w:sz w:val="28"/>
          <w:szCs w:val="28"/>
          <w:rtl/>
        </w:rPr>
        <w:t xml:space="preserve">(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۶۵]</w:t>
      </w:r>
    </w:p>
    <w:p>
      <w:pPr>
        <w:pStyle w:val="BookText"/>
      </w:pPr>
      <w:r>
        <w:rPr>
          <w:rFonts w:ascii="IRNazanin" w:hAnsi="IRNazanin" w:eastAsia="IRNazanin" w:cs="IRNazanin"/>
          <w:lang w:bidi="fa-IR"/>
          <w:color w:val="111111"/>
          <w:sz w:val="28"/>
          <w:szCs w:val="28"/>
          <w:rtl/>
        </w:rPr>
        <w:t xml:space="preserve">۱۸. قم؛ مسجد اعظم؛ شماره نسخه: ۳۷۳۳/۲</w:t>
      </w:r>
    </w:p>
    <w:p>
      <w:pPr>
        <w:pStyle w:val="BookText"/>
      </w:pPr>
      <w:r>
        <w:rPr>
          <w:rFonts w:ascii="IRNazanin" w:hAnsi="IRNazanin" w:eastAsia="IRNazanin" w:cs="IRNazanin"/>
          <w:lang w:bidi="fa-IR"/>
          <w:color w:val="111111"/>
          <w:sz w:val="28"/>
          <w:szCs w:val="28"/>
          <w:rtl/>
        </w:rPr>
        <w:t xml:space="preserve">آغاز: قیامت آن چه کرده باطل نگردانی به زیارت نفوس ایشان تأثیر نکرده باطل می شود آن چه کرده ای و همچنین در قرآن مبین و اخذ ثمره و حکم کن و محتجب مشو از مبدء الوجود؛ انجام: در هر حال باید مراقب باشد که اگر ابتهاج نیاورد نفس را هم محزون نگردند و اگر نفسی نفسی را قدر ذکر شیئی حایل شود بر آن حدود الهیه [...] می آید زیرا که هیج عمل مثل این نبوده و نیست نزد خداوند در شدت</w:t>
      </w:r>
    </w:p>
    <w:p>
      <w:pPr>
        <w:pStyle w:val="BookText"/>
      </w:pPr>
      <w:r>
        <w:rPr>
          <w:rFonts w:ascii="IRNazanin" w:hAnsi="IRNazanin" w:eastAsia="IRNazanin" w:cs="IRNazanin"/>
          <w:lang w:bidi="fa-IR"/>
          <w:color w:val="111111"/>
          <w:sz w:val="28"/>
          <w:szCs w:val="28"/>
          <w:rtl/>
        </w:rPr>
        <w:t xml:space="preserve">خط: نستعلیق، بی کا، بی تا؛ جلد: مقوا، ۲۷گ، مختلف السطر،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مخ: ۱-۲۸۹]</w:t>
      </w:r>
    </w:p>
    <w:p>
      <w:pPr>
        <w:pStyle w:val="BookText"/>
      </w:pPr>
      <w:r>
        <w:rPr>
          <w:rFonts w:ascii="IRNazanin" w:hAnsi="IRNazanin" w:eastAsia="IRNazanin" w:cs="IRNazanin"/>
          <w:lang w:bidi="fa-IR"/>
          <w:color w:val="111111"/>
          <w:sz w:val="28"/>
          <w:szCs w:val="28"/>
          <w:rtl/>
        </w:rPr>
        <w:t xml:space="preserve">۱۹. یزد؛ فرهمند، محمد على؛ شماره نسخه: ۲</w:t>
      </w:r>
    </w:p>
    <w:p>
      <w:pPr>
        <w:pStyle w:val="BookText"/>
      </w:pPr>
      <w:r>
        <w:rPr>
          <w:rFonts w:ascii="IRNazanin" w:hAnsi="IRNazanin" w:eastAsia="IRNazanin" w:cs="IRNazanin"/>
          <w:lang w:bidi="fa-IR"/>
          <w:color w:val="111111"/>
          <w:sz w:val="28"/>
          <w:szCs w:val="28"/>
          <w:rtl/>
        </w:rPr>
        <w:t xml:space="preserve">کا: غلامعلی رئیس شیرازی، بی تا [نشریه: ۴-۴۶۳]</w:t>
      </w:r>
    </w:p>
    <w:p>
      <w:pPr>
        <w:pStyle w:val="Heading3"/>
      </w:pPr>
      <w:bookmarkStart w:id="1222" w:name="_Toc482"/>
      <w:r>
        <w:t>• البيان = بنیان البیان بهداية الرحمن / بلاغت عربی</w:t>
      </w:r>
      <w:bookmarkEnd w:id="1222"/>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al-bayān = bunyān-ul bayān bi-hidāyat-ir raḥmān</w:t>
      </w:r>
    </w:p>
    <w:p>
      <w:pPr>
        <w:pStyle w:val="BookText"/>
      </w:pPr>
      <w:r>
        <w:rPr>
          <w:rFonts w:ascii="IRNazanin" w:hAnsi="IRNazanin" w:eastAsia="IRNazanin" w:cs="IRNazanin"/>
          <w:lang w:bidi="fa-IR"/>
          <w:color w:val="111111"/>
          <w:sz w:val="28"/>
          <w:szCs w:val="28"/>
          <w:rtl/>
        </w:rPr>
        <w:t xml:space="preserve">رستمی، ابوبکر، ق۱۳ قمری</w:t>
      </w:r>
    </w:p>
    <w:p>
      <w:pPr>
        <w:pStyle w:val="BookText"/>
      </w:pPr>
      <w:r>
        <w:rPr>
          <w:rFonts w:ascii="Times New Roman" w:hAnsi="Times New Roman" w:eastAsia="Times New Roman" w:cs="Times New Roman"/>
          <w:lang w:val="en-US" w:bidi="en-US"/>
          <w:color w:val="111111"/>
          <w:sz w:val="28"/>
          <w:szCs w:val="28"/>
          <w:rtl/>
        </w:rPr>
        <w:t xml:space="preserve">rostamī, ābū-bakr (- 19c)</w:t>
      </w:r>
    </w:p>
    <w:p>
      <w:pPr>
        <w:pStyle w:val="BookText"/>
      </w:pPr>
      <w:r>
        <w:rPr>
          <w:rFonts w:ascii="IRNazanin" w:hAnsi="IRNazanin" w:eastAsia="IRNazanin" w:cs="IRNazanin"/>
          <w:lang w:bidi="fa-IR"/>
          <w:color w:val="111111"/>
          <w:sz w:val="28"/>
          <w:szCs w:val="28"/>
          <w:rtl/>
        </w:rPr>
        <w:t xml:space="preserve">کتاب مختصری است در بیان اصول علم بیان و موضوعات اربعه آن از تشبیه و مجاز و کنایه و تعریض. سپس اقسام هر یک از این چهار موضوع به خصوص تشبیه را بیان نموده است.</w:t>
      </w:r>
    </w:p>
    <w:p>
      <w:pPr>
        <w:pStyle w:val="BookText"/>
      </w:pPr>
      <w:r>
        <w:rPr>
          <w:rFonts w:ascii="IRNazanin" w:hAnsi="IRNazanin" w:eastAsia="IRNazanin" w:cs="IRNazanin"/>
          <w:lang w:bidi="fa-IR"/>
          <w:color w:val="111111"/>
          <w:sz w:val="28"/>
          <w:szCs w:val="28"/>
          <w:rtl/>
        </w:rPr>
        <w:t xml:space="preserve">آغاز: الحمد لمن ليس ابتداء الهيته آیسا و الشكر لمن آيس انتهاء الوهيته ليسا و الصلاة و السلام على من عمت بعثته جن و انس علم البيان اصول و قواعد تتعلق باظهار المراد و بیان للمعنى الواحد بتراکیب بعضها اوضح دلالة عليه من بعض انجام: كقولك لمن أذاک -: اذ تاتینی فستعرف جزاء الايذاء، و انت تريد المخاطب و غيره لكن المخاطب مراد من نفس اللفظ، و غيره من سوقه و خارج من الكلام.</w:t>
      </w:r>
    </w:p>
    <w:p>
      <w:pPr>
        <w:pStyle w:val="BookText"/>
      </w:pPr>
      <w:r>
        <w:rPr>
          <w:rFonts w:ascii="IRNazanin" w:hAnsi="IRNazanin" w:eastAsia="IRNazanin" w:cs="IRNazanin"/>
          <w:lang w:bidi="fa-IR"/>
          <w:color w:val="111111"/>
          <w:sz w:val="28"/>
          <w:szCs w:val="28"/>
          <w:rtl/>
        </w:rPr>
        <w:t xml:space="preserve">[دنا ۵۷۸/۲ (۶ نسخه)]</w:t>
      </w:r>
    </w:p>
    <w:p>
      <w:pPr>
        <w:pStyle w:val="BookText"/>
      </w:pPr>
      <w:r>
        <w:rPr>
          <w:rFonts w:ascii="IRNazanin" w:hAnsi="IRNazanin" w:eastAsia="IRNazanin" w:cs="IRNazanin"/>
          <w:lang w:bidi="fa-IR"/>
          <w:color w:val="111111"/>
          <w:sz w:val="28"/>
          <w:szCs w:val="28"/>
          <w:rtl/>
        </w:rPr>
        <w:t xml:space="preserve">۱. قم: مرکز احیاء؛ شماره نسخه: ۱۰۵۳/۱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۱۲؛ محشی؛ جلد: مقوایی عطف تیماج قهوه ای، ۱۱گ (۱پ-۱۱ر)، اسطر،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۳-۲۸۶]</w:t>
      </w:r>
    </w:p>
    <w:p>
      <w:pPr>
        <w:pStyle w:val="BookText"/>
      </w:pPr>
      <w:r>
        <w:rPr>
          <w:rFonts w:ascii="IRNazanin" w:hAnsi="IRNazanin" w:eastAsia="IRNazanin" w:cs="IRNazanin"/>
          <w:lang w:bidi="fa-IR"/>
          <w:color w:val="111111"/>
          <w:sz w:val="28"/>
          <w:szCs w:val="28"/>
          <w:rtl/>
        </w:rPr>
        <w:t xml:space="preserve">۲. قم؛ مسجد اعظم؛ شماره نسخه: ۲۱۹۱/۲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نام مؤلف به استناد نسخه مرکز احیاء جلد ۲۸۶/۳ تعیین شد؛ کا محمد شریف سنندجی، تا: ۱۲۲۳ق، جا: قريه اكری تاس (من قرى قصبه ساوج بلاغ)؛ محشی با امضای «عبدالحکیم، منه، حق چلبی، عبدالرحیم زیارتی، میراز جان»؛ جلد: تیماج زرشکی با گوشه و با عطف پارچه، گ، ۱۴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مخ: ۱-۲۸۷]</w:t>
      </w:r>
    </w:p>
    <w:p>
      <w:pPr>
        <w:pStyle w:val="BookText"/>
      </w:pPr>
      <w:r>
        <w:rPr>
          <w:rFonts w:ascii="IRNazanin" w:hAnsi="IRNazanin" w:eastAsia="IRNazanin" w:cs="IRNazanin"/>
          <w:lang w:bidi="fa-IR"/>
          <w:color w:val="111111"/>
          <w:sz w:val="28"/>
          <w:szCs w:val="28"/>
          <w:rtl/>
        </w:rPr>
        <w:t xml:space="preserve">٣. تهران؛ مجلس؛ شماره نسخه: ۱۷۱۷۶</w:t>
      </w:r>
    </w:p>
    <w:p>
      <w:pPr>
        <w:pStyle w:val="BookText"/>
      </w:pPr>
      <w:r>
        <w:rPr>
          <w:rFonts w:ascii="IRNazanin" w:hAnsi="IRNazanin" w:eastAsia="IRNazanin" w:cs="IRNazanin"/>
          <w:lang w:bidi="fa-IR"/>
          <w:color w:val="111111"/>
          <w:sz w:val="28"/>
          <w:szCs w:val="28"/>
          <w:rtl/>
        </w:rPr>
        <w:t xml:space="preserve">خط: نسخ، بی کا، تا: ۱۲۹۱ ق [د.ث. مجلس ]</w:t>
      </w:r>
    </w:p>
    <w:p>
      <w:pPr>
        <w:pStyle w:val="BookText"/>
      </w:pPr>
      <w:r>
        <w:rPr>
          <w:rFonts w:ascii="IRNazanin" w:hAnsi="IRNazanin" w:eastAsia="IRNazanin" w:cs="IRNazanin"/>
          <w:lang w:bidi="fa-IR"/>
          <w:color w:val="111111"/>
          <w:sz w:val="28"/>
          <w:szCs w:val="28"/>
          <w:rtl/>
        </w:rPr>
        <w:t xml:space="preserve">۴. مشهد؛ رضوی؛ شماره نسخه: ۱۶۰۵۱/۳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نام کتاب در فهرست «الاستعارة في علم البيان» است که همراه نام مؤلف به استناد نسخه مرکز احیاء میراث جلد</w:t>
      </w:r>
    </w:p>
    <w:p>
      <w:pPr>
        <w:pStyle w:val="BookText"/>
      </w:pPr>
      <w:r>
        <w:rPr>
          <w:rFonts w:ascii="IRNazanin" w:hAnsi="IRNazanin" w:eastAsia="IRNazanin" w:cs="IRNazanin"/>
          <w:lang w:bidi="fa-IR"/>
          <w:color w:val="111111"/>
          <w:sz w:val="28"/>
          <w:szCs w:val="28"/>
          <w:rtl/>
        </w:rPr>
        <w:t xml:space="preserve">۲۸۶/۳ تعیین شد؛ خط: نسخ، كا: موسی بن عیسی، تا: ۱۳۲۰ق، جا: مسجد احمر در بلده ساوجبلاغ ؛ کاغذ: حنایی، جلد: مقوا، عطف و گوشه چرم، ۱۳گ، ۱۰ سطر، اندازه: ۲۲/۱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۱۵/۸ سم [ف: ۱۲-۵۰۰]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60" w:name="pg20363_209390"/>
    <w:bookmarkEnd w:id="160"/>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معصومیه؛ شماره نسخه: ۱۱۴/۲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نام کتاب در فهرست «بنیان البيان بهداية الرحمن» آمده که همراه نام مؤلف به استناد نسخه مرکز احیاء میراث جلد ۲۸۶/۳ تعیین شد؛ خط: نسخ، بی کا، بی تا، جلد: تیماج مشکی ضربی دارای ترنج، ۳گ (3ر -۵پ)،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۱-۱۳۸]</w:t>
      </w:r>
    </w:p>
    <w:p>
      <w:pPr>
        <w:pStyle w:val="BookText"/>
      </w:pPr>
      <w:r>
        <w:rPr>
          <w:rFonts w:ascii="IRNazanin" w:hAnsi="IRNazanin" w:eastAsia="IRNazanin" w:cs="IRNazanin"/>
          <w:lang w:bidi="fa-IR"/>
          <w:color w:val="111111"/>
          <w:sz w:val="28"/>
          <w:szCs w:val="28"/>
          <w:rtl/>
        </w:rPr>
        <w:t xml:space="preserve">۶. تهران؛ ملی؛ شماره نسخه: ۳۸۳۱/۷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نام مؤلف به استناد نسخه مرکز احیاء میراث جلد ۲۸۶/۳ تعیین شد؛ خط: نسخ، كان محمد صادق، بی تا؛ محشی با نشان «من تقرير الاستاد لكاتبه الحقير الفقیر محمد صادق، منه ص، محمد صادق، عبدالحکیم، مطول» و در پایان بیشتر آنها جمله «آه من الموت و حالاته و عذابه» دارد؛ کاغذ: اصفهانی نخودی، ۱۰گ (۴۶پ۔ ۵۵ر)، ۱۱ سطر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۱۷-۶۴]</w:t>
      </w:r>
    </w:p>
    <w:p>
      <w:pPr>
        <w:pStyle w:val="Heading3"/>
      </w:pPr>
      <w:bookmarkStart w:id="1223" w:name="_Toc483"/>
      <w:r>
        <w:t>• بیان (رساله در علم) / ادبیات / فارسی</w:t>
      </w:r>
      <w:bookmarkEnd w:id="1223"/>
    </w:p>
    <w:p>
      <w:pPr>
        <w:pStyle w:val="BookText"/>
      </w:pPr>
      <w:r>
        <w:rPr>
          <w:rFonts w:ascii="Times New Roman" w:hAnsi="Times New Roman" w:eastAsia="Times New Roman" w:cs="Times New Roman"/>
          <w:lang w:val="en-US" w:bidi="en-US"/>
          <w:color w:val="111111"/>
          <w:sz w:val="28"/>
          <w:szCs w:val="28"/>
          <w:rtl/>
        </w:rPr>
        <w:t xml:space="preserve">bayān (r. dar ‘elm-e)</w:t>
      </w:r>
    </w:p>
    <w:p>
      <w:pPr>
        <w:pStyle w:val="BookText"/>
      </w:pPr>
      <w:r>
        <w:rPr>
          <w:rFonts w:ascii="IRNazanin" w:hAnsi="IRNazanin" w:eastAsia="IRNazanin" w:cs="IRNazanin"/>
          <w:lang w:bidi="fa-IR"/>
          <w:color w:val="111111"/>
          <w:sz w:val="28"/>
          <w:szCs w:val="28"/>
          <w:rtl/>
        </w:rPr>
        <w:t xml:space="preserve">تهرانی، جواد، ق۱۴ قمری</w:t>
      </w:r>
    </w:p>
    <w:p>
      <w:pPr>
        <w:pStyle w:val="BookText"/>
      </w:pPr>
      <w:r>
        <w:rPr>
          <w:rFonts w:ascii="Times New Roman" w:hAnsi="Times New Roman" w:eastAsia="Times New Roman" w:cs="Times New Roman"/>
          <w:lang w:val="en-US" w:bidi="en-US"/>
          <w:color w:val="111111"/>
          <w:sz w:val="28"/>
          <w:szCs w:val="28"/>
          <w:rtl/>
        </w:rPr>
        <w:t xml:space="preserve">tehrānī, javād (- 20c)</w:t>
      </w:r>
    </w:p>
    <w:p>
      <w:pPr>
        <w:pStyle w:val="BookText"/>
      </w:pPr>
      <w:r>
        <w:rPr>
          <w:rFonts w:ascii="IRNazanin" w:hAnsi="IRNazanin" w:eastAsia="IRNazanin" w:cs="IRNazanin"/>
          <w:lang w:bidi="fa-IR"/>
          <w:color w:val="111111"/>
          <w:sz w:val="28"/>
          <w:szCs w:val="28"/>
          <w:rtl/>
        </w:rPr>
        <w:t xml:space="preserve">تاریخ تأليف: ۵ محرم ۱۳۴۳ق مؤلف محصل كلاس سوم علوم سیاسی است که در مدت پنج روز این جزوه را نوشته است.</w:t>
      </w:r>
    </w:p>
    <w:p>
      <w:pPr>
        <w:pStyle w:val="BookText"/>
      </w:pPr>
      <w:r>
        <w:rPr>
          <w:rFonts w:ascii="Amiri" w:hAnsi="Amiri" w:eastAsia="Amiri" w:cs="Amiri"/>
          <w:lang w:bidi="ar-SA"/>
          <w:color w:val="111111"/>
          <w:sz w:val="28"/>
          <w:szCs w:val="28"/>
          <w:rtl/>
        </w:rPr>
        <w:t xml:space="preserve">تهران؛ الهيات؛ شماره نسخه: ۷۷۵</w:t>
      </w:r>
    </w:p>
    <w:p>
      <w:pPr>
        <w:pStyle w:val="BookText"/>
      </w:pPr>
      <w:r>
        <w:rPr>
          <w:rFonts w:ascii="IRNazanin" w:hAnsi="IRNazanin" w:eastAsia="IRNazanin" w:cs="IRNazanin"/>
          <w:lang w:bidi="fa-IR"/>
          <w:color w:val="111111"/>
          <w:sz w:val="28"/>
          <w:szCs w:val="28"/>
          <w:rtl/>
        </w:rPr>
        <w:t xml:space="preserve">خط: نسخ، كاتب = مؤلف، تا: ۵ محرم ۱۳۴۳ق؛ کاغذ: مشقی، جلد: مقوا، ۶۵گ، ۱۴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۱۰/۵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۱۷)</w:t>
      </w:r>
    </w:p>
    <w:p>
      <w:pPr>
        <w:pStyle w:val="Heading3"/>
      </w:pPr>
      <w:bookmarkStart w:id="1224" w:name="_Toc484"/>
      <w:r>
        <w:t>• بیان (منظومه در) / معانی بیان، شعر / عربی</w:t>
      </w:r>
      <w:bookmarkEnd w:id="1224"/>
    </w:p>
    <w:p>
      <w:pPr>
        <w:pStyle w:val="BookText"/>
      </w:pPr>
      <w:r>
        <w:rPr>
          <w:rFonts w:ascii="Times New Roman" w:hAnsi="Times New Roman" w:eastAsia="Times New Roman" w:cs="Times New Roman"/>
          <w:lang w:val="en-US" w:bidi="en-US"/>
          <w:color w:val="111111"/>
          <w:sz w:val="28"/>
          <w:szCs w:val="28"/>
          <w:rtl/>
        </w:rPr>
        <w:t xml:space="preserve">bayān (manzūme dar)</w:t>
      </w:r>
    </w:p>
    <w:p>
      <w:pPr>
        <w:pStyle w:val="BookText"/>
      </w:pPr>
      <w:r>
        <w:rPr>
          <w:rFonts w:ascii="IRNazanin" w:hAnsi="IRNazanin" w:eastAsia="IRNazanin" w:cs="IRNazanin"/>
          <w:lang w:bidi="fa-IR"/>
          <w:color w:val="111111"/>
          <w:sz w:val="28"/>
          <w:szCs w:val="28"/>
          <w:rtl/>
        </w:rPr>
        <w:t xml:space="preserve">ملا محمد على</w:t>
      </w:r>
    </w:p>
    <w:p>
      <w:pPr>
        <w:pStyle w:val="BookText"/>
      </w:pPr>
      <w:r>
        <w:rPr>
          <w:rFonts w:ascii="Times New Roman" w:hAnsi="Times New Roman" w:eastAsia="Times New Roman" w:cs="Times New Roman"/>
          <w:lang w:val="en-US" w:bidi="en-US"/>
          <w:color w:val="111111"/>
          <w:sz w:val="28"/>
          <w:szCs w:val="28"/>
          <w:rtl/>
        </w:rPr>
        <w:t xml:space="preserve">mollā mohammad ‘alī</w:t>
      </w:r>
    </w:p>
    <w:p>
      <w:pPr>
        <w:pStyle w:val="BookText"/>
      </w:pPr>
      <w:r>
        <w:rPr>
          <w:rFonts w:ascii="IRNazanin" w:hAnsi="IRNazanin" w:eastAsia="IRNazanin" w:cs="IRNazanin"/>
          <w:lang w:bidi="fa-IR"/>
          <w:color w:val="111111"/>
          <w:sz w:val="28"/>
          <w:szCs w:val="28"/>
          <w:rtl/>
        </w:rPr>
        <w:t xml:space="preserve">تهران؛ مجلس؛ شماره نسخه: ۱۷۴۱۷ ض</w:t>
      </w:r>
    </w:p>
    <w:p>
      <w:pPr>
        <w:pStyle w:val="BookText"/>
      </w:pPr>
      <w:r>
        <w:rPr>
          <w:rFonts w:ascii="IRNazanin" w:hAnsi="IRNazanin" w:eastAsia="IRNazanin" w:cs="IRNazanin"/>
          <w:lang w:bidi="fa-IR"/>
          <w:color w:val="111111"/>
          <w:sz w:val="28"/>
          <w:szCs w:val="28"/>
          <w:rtl/>
        </w:rPr>
        <w:t xml:space="preserve">بی کا، بی تا [د.ث. مجلس ]</w:t>
      </w:r>
    </w:p>
    <w:p>
      <w:pPr>
        <w:pStyle w:val="Heading3"/>
      </w:pPr>
      <w:bookmarkStart w:id="1225" w:name="_Toc485"/>
      <w:r>
        <w:t>• البيان / بلاغت / عربی</w:t>
      </w:r>
      <w:bookmarkEnd w:id="1225"/>
    </w:p>
    <w:p>
      <w:pPr>
        <w:pStyle w:val="BookText"/>
      </w:pPr>
      <w:r>
        <w:rPr>
          <w:rFonts w:ascii="Times New Roman" w:hAnsi="Times New Roman" w:eastAsia="Times New Roman" w:cs="Times New Roman"/>
          <w:lang w:val="en-US" w:bidi="en-US"/>
          <w:color w:val="111111"/>
          <w:sz w:val="28"/>
          <w:szCs w:val="28"/>
          <w:rtl/>
        </w:rPr>
        <w:t xml:space="preserve">al-bayān</w:t>
      </w:r>
    </w:p>
    <w:p>
      <w:pPr>
        <w:pStyle w:val="BookText"/>
      </w:pPr>
      <w:r>
        <w:rPr>
          <w:rFonts w:ascii="IRNazanin" w:hAnsi="IRNazanin" w:eastAsia="IRNazanin" w:cs="IRNazanin"/>
          <w:lang w:bidi="fa-IR"/>
          <w:color w:val="111111"/>
          <w:sz w:val="28"/>
          <w:szCs w:val="28"/>
          <w:rtl/>
        </w:rPr>
        <w:t xml:space="preserve">مؤلف این کتاب بدان عقیده است که باید علم بیان را آموخت تا بتوان به استدلال صحیح و احتجاج با دیگران پرداخت، چه اینکه شناخت مقدمات استدلالی متوقف است به شناخت دقائق ادبی استدلال کننده تا بتوان حق را از ناحق تشخیص داد. در این بخش کتاب، علم معانی و بدیع بررسی شده با نکاتی کلامی و عقلی و گویا بخشی از «مفتاح العلوم» سکاکی است.</w:t>
      </w:r>
    </w:p>
    <w:p>
      <w:pPr>
        <w:pStyle w:val="BookText"/>
      </w:pPr>
      <w:r>
        <w:rPr>
          <w:rFonts w:ascii="IRNazanin" w:hAnsi="IRNazanin" w:eastAsia="IRNazanin" w:cs="IRNazanin"/>
          <w:lang w:bidi="fa-IR"/>
          <w:color w:val="111111"/>
          <w:sz w:val="28"/>
          <w:szCs w:val="28"/>
          <w:rtl/>
        </w:rPr>
        <w:t xml:space="preserve">قم، مؤسسه آية الله بروجردی؛ شماره نسخه: ۱۱۲</w:t>
      </w:r>
    </w:p>
    <w:p>
      <w:pPr>
        <w:pStyle w:val="BookText"/>
      </w:pPr>
      <w:r>
        <w:rPr>
          <w:rFonts w:ascii="IRNazanin" w:hAnsi="IRNazanin" w:eastAsia="IRNazanin" w:cs="IRNazanin"/>
          <w:lang w:bidi="fa-IR"/>
          <w:color w:val="111111"/>
          <w:sz w:val="28"/>
          <w:szCs w:val="28"/>
          <w:rtl/>
        </w:rPr>
        <w:t xml:space="preserve">آغاز: الكلام في تكملة علم المعاني و هي تتبع خواص تراكيب الكلام في الاستدلال .. خط: نسخ، بی کا، تا: قرن ۱۸ مصحح، روی برگ اول کتاب را از علامه حلی دانسته اند و باید تحقیق دقیق شود؛ تملک: جمال الدين کربلائی و فرزندش علاء الدين على بن جمال الدين کربلائی؛ جلد: تیماج قهوه ای روشن، ۵۸گ، ۱۹ سطر، اندازه: ۲۳/۵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۱-۷۴]</w:t>
      </w:r>
    </w:p>
    <w:p>
      <w:pPr>
        <w:pStyle w:val="Heading3"/>
      </w:pPr>
      <w:bookmarkStart w:id="1226" w:name="_Toc486"/>
      <w:r>
        <w:t>• البيان / فقه / عربی</w:t>
      </w:r>
      <w:bookmarkEnd w:id="1226"/>
    </w:p>
    <w:p>
      <w:pPr>
        <w:pStyle w:val="BookText"/>
      </w:pPr>
      <w:r>
        <w:rPr>
          <w:rFonts w:ascii="Times New Roman" w:hAnsi="Times New Roman" w:eastAsia="Times New Roman" w:cs="Times New Roman"/>
          <w:lang w:val="en-US" w:bidi="en-US"/>
          <w:color w:val="111111"/>
          <w:sz w:val="28"/>
          <w:szCs w:val="28"/>
          <w:rtl/>
        </w:rPr>
        <w:t xml:space="preserve">al-bayan</w:t>
      </w:r>
    </w:p>
    <w:p>
      <w:pPr>
        <w:pStyle w:val="BookText"/>
      </w:pPr>
      <w:r>
        <w:rPr>
          <w:rFonts w:ascii="IRNazanin" w:hAnsi="IRNazanin" w:eastAsia="IRNazanin" w:cs="IRNazanin"/>
          <w:lang w:bidi="fa-IR"/>
          <w:color w:val="111111"/>
          <w:sz w:val="28"/>
          <w:szCs w:val="28"/>
          <w:rtl/>
        </w:rPr>
        <w:t xml:space="preserve">شیراز؛ علامه طباطبائی؛ شماره نسخه: ۲۹۷/۳</w:t>
      </w:r>
    </w:p>
    <w:p>
      <w:pPr>
        <w:pStyle w:val="BookText"/>
      </w:pPr>
      <w:r>
        <w:rPr>
          <w:rFonts w:ascii="IRNazanin" w:hAnsi="IRNazanin" w:eastAsia="IRNazanin" w:cs="IRNazanin"/>
          <w:lang w:bidi="fa-IR"/>
          <w:color w:val="111111"/>
          <w:sz w:val="28"/>
          <w:szCs w:val="28"/>
          <w:rtl/>
        </w:rPr>
        <w:t xml:space="preserve">فقط مبحث ارث است؛ خط: نسخ، كا: محمد بن عزالدين بن عبد على بن اسماعيل جزائری، تا: ۱۰۹۷ق، مصحح؛ ۱۶گ (۱۳۸ -۱۵۳)، اندازه: ۱۳/۵ ۲۳/۵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سم [نسخه پژوهی: ۳-۸۹]</w:t>
      </w:r>
    </w:p>
    <w:p>
      <w:pPr>
        <w:pStyle w:val="BookText"/>
      </w:pPr>
      <w:r>
        <w:rPr>
          <w:rFonts w:ascii="IRNazanin" w:hAnsi="IRNazanin" w:eastAsia="IRNazanin" w:cs="IRNazanin"/>
          <w:lang w:bidi="fa-IR"/>
          <w:color w:val="111111"/>
          <w:sz w:val="28"/>
          <w:szCs w:val="28"/>
          <w:rtl/>
        </w:rPr>
        <w:t xml:space="preserve">و بیان آداب المبتدی / عرفان و تصوف / فارسی</w:t>
      </w:r>
    </w:p>
    <w:p>
      <w:pPr>
        <w:pStyle w:val="BookText"/>
      </w:pPr>
      <w:r>
        <w:rPr>
          <w:rFonts w:ascii="Times New Roman" w:hAnsi="Times New Roman" w:eastAsia="Times New Roman" w:cs="Times New Roman"/>
          <w:lang w:val="en-US" w:bidi="en-US"/>
          <w:color w:val="111111"/>
          <w:sz w:val="28"/>
          <w:szCs w:val="28"/>
          <w:rtl/>
        </w:rPr>
        <w:t xml:space="preserve">bayān-e ādāb-el mobtadī</w:t>
      </w:r>
    </w:p>
    <w:p>
      <w:pPr>
        <w:pStyle w:val="BookText"/>
      </w:pPr>
      <w:r>
        <w:rPr>
          <w:rFonts w:ascii="IRNazanin" w:hAnsi="IRNazanin" w:eastAsia="IRNazanin" w:cs="IRNazanin"/>
          <w:lang w:bidi="fa-IR"/>
          <w:color w:val="111111"/>
          <w:sz w:val="28"/>
          <w:szCs w:val="28"/>
          <w:rtl/>
        </w:rPr>
        <w:t xml:space="preserve">مشهد؛ رضوی؛ شماره نسخه: ۲۶۳۲۰</w:t>
      </w:r>
    </w:p>
    <w:p>
      <w:pPr>
        <w:pStyle w:val="BookText"/>
      </w:pPr>
      <w:r>
        <w:rPr>
          <w:rFonts w:ascii="IRNazanin" w:hAnsi="IRNazanin" w:eastAsia="IRNazanin" w:cs="IRNazanin"/>
          <w:lang w:bidi="fa-IR"/>
          <w:color w:val="111111"/>
          <w:sz w:val="28"/>
          <w:szCs w:val="28"/>
          <w:rtl/>
        </w:rPr>
        <w:t xml:space="preserve">آغاز: بسمله. حمد له، الذي ... دقائق العرفان؛ انجام: چو شمع ز آتش عشق تو جان گدازانند.</w:t>
      </w:r>
    </w:p>
    <w:p>
      <w:pPr>
        <w:pStyle w:val="BookText"/>
      </w:pPr>
      <w:r>
        <w:rPr>
          <w:rFonts w:ascii="IRNazanin" w:hAnsi="IRNazanin" w:eastAsia="IRNazanin" w:cs="IRNazanin"/>
          <w:lang w:bidi="fa-IR"/>
          <w:color w:val="111111"/>
          <w:sz w:val="28"/>
          <w:szCs w:val="28"/>
          <w:rtl/>
        </w:rPr>
        <w:t xml:space="preserve">خط: نستعليق خفی، بی کا، بی تا؛ من متكلمات العبد الاقل امیر الزاهدی ... من متكلمات العبد الأقل الراجي عفو ربه الصمد على محمد بن محمد بن اسماعیل عفى عنهم؛ کاغذ: نخودی، جلد: تیماج عنابی زرکوب دارای ترنج و سرترنج، ۲۵ سطر ( ۱۸/۳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قطع : وزیری،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[رایانه]</w:t>
      </w:r>
    </w:p>
    <w:p>
      <w:pPr>
        <w:pStyle w:val="Heading3"/>
      </w:pPr>
      <w:bookmarkStart w:id="1227" w:name="_Toc487"/>
      <w:r>
        <w:t>• بیان آسیا ؟ / فارسی</w:t>
      </w:r>
      <w:bookmarkEnd w:id="1227"/>
    </w:p>
    <w:p>
      <w:pPr>
        <w:pStyle w:val="BookText"/>
      </w:pPr>
      <w:r>
        <w:rPr>
          <w:rFonts w:ascii="Times New Roman" w:hAnsi="Times New Roman" w:eastAsia="Times New Roman" w:cs="Times New Roman"/>
          <w:lang w:val="en-US" w:bidi="en-US"/>
          <w:color w:val="111111"/>
          <w:sz w:val="28"/>
          <w:szCs w:val="28"/>
          <w:rtl/>
        </w:rPr>
        <w:t xml:space="preserve">bayān-e āsīyā</w:t>
      </w:r>
    </w:p>
    <w:p>
      <w:pPr>
        <w:pStyle w:val="BookText"/>
      </w:pPr>
      <w:r>
        <w:rPr>
          <w:rFonts w:ascii="IRNazanin" w:hAnsi="IRNazanin" w:eastAsia="IRNazanin" w:cs="IRNazanin"/>
          <w:lang w:bidi="fa-IR"/>
          <w:color w:val="111111"/>
          <w:sz w:val="28"/>
          <w:szCs w:val="28"/>
          <w:rtl/>
        </w:rPr>
        <w:t xml:space="preserve">رساله ای است در بیان آسیا و طریق گردش و استعمال آن.</w:t>
      </w:r>
    </w:p>
    <w:p>
      <w:pPr>
        <w:pStyle w:val="BookText"/>
      </w:pPr>
      <w:r>
        <w:rPr>
          <w:rFonts w:ascii="IRNazanin" w:hAnsi="IRNazanin" w:eastAsia="IRNazanin" w:cs="IRNazanin"/>
          <w:lang w:bidi="fa-IR"/>
          <w:color w:val="111111"/>
          <w:sz w:val="28"/>
          <w:szCs w:val="28"/>
          <w:rtl/>
        </w:rPr>
        <w:t xml:space="preserve">قم؛ فیضیه؛ شماره نسخه: ۱۹۸۲/۱</w:t>
      </w:r>
    </w:p>
    <w:p>
      <w:pPr>
        <w:pStyle w:val="BookText"/>
      </w:pPr>
      <w:r>
        <w:rPr>
          <w:rFonts w:ascii="IRNazanin" w:hAnsi="IRNazanin" w:eastAsia="IRNazanin" w:cs="IRNazanin"/>
          <w:lang w:bidi="fa-IR"/>
          <w:color w:val="111111"/>
          <w:sz w:val="28"/>
          <w:szCs w:val="28"/>
          <w:rtl/>
        </w:rPr>
        <w:t xml:space="preserve">آغاز: حمد خداوندی را جلت عظمته ... اما بعد مختصری است در بیان آسيا</w:t>
      </w:r>
    </w:p>
    <w:p>
      <w:pPr>
        <w:pStyle w:val="BookText"/>
      </w:pPr>
      <w:r>
        <w:rPr>
          <w:rFonts w:ascii="IRNazanin" w:hAnsi="IRNazanin" w:eastAsia="IRNazanin" w:cs="IRNazanin"/>
          <w:lang w:bidi="fa-IR"/>
          <w:color w:val="111111"/>
          <w:sz w:val="28"/>
          <w:szCs w:val="28"/>
          <w:rtl/>
        </w:rPr>
        <w:t xml:space="preserve">خط: نستعلیق، بی کا، بی تا، ۳گ، ۲۳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۱۵۹-۳]</w:t>
      </w:r>
    </w:p>
    <w:p>
      <w:pPr>
        <w:pStyle w:val="Heading3"/>
      </w:pPr>
      <w:bookmarkStart w:id="1228" w:name="_Toc488"/>
      <w:r>
        <w:t>• بیان آنکه حاضر بودن به از غایب شدن (رساله در) / عرفان و تصوف / فارسی</w:t>
      </w:r>
      <w:bookmarkEnd w:id="1228"/>
    </w:p>
    <w:p>
      <w:pPr>
        <w:pStyle w:val="BookText"/>
      </w:pPr>
      <w:r>
        <w:rPr>
          <w:rFonts w:ascii="Times New Roman" w:hAnsi="Times New Roman" w:eastAsia="Times New Roman" w:cs="Times New Roman"/>
          <w:lang w:val="en-US" w:bidi="en-US"/>
          <w:color w:val="111111"/>
          <w:sz w:val="28"/>
          <w:szCs w:val="28"/>
          <w:rtl/>
        </w:rPr>
        <w:t xml:space="preserve">bayān-e ān-ke hāzer būdan beh az qāyeb šodan (r. dar)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61" w:name="pg20363_209391"/>
    <w:bookmarkEnd w:id="161"/>
    <w:p>
      <w:pPr>
        <w:pStyle w:val="BookText"/>
      </w:pPr>
      <w:r>
        <w:rPr>
          <w:rFonts w:ascii="IRNazanin" w:hAnsi="IRNazanin" w:eastAsia="IRNazanin" w:cs="IRNazanin"/>
          <w:lang w:bidi="fa-IR"/>
          <w:color w:val="111111"/>
          <w:sz w:val="28"/>
          <w:szCs w:val="28"/>
          <w:rtl/>
        </w:rPr>
        <w:t xml:space="preserve">جمالی اردستانی، جمال الدین محمد، ۸۱۴-۸۸۳؟ قمری</w:t>
      </w:r>
    </w:p>
    <w:p>
      <w:pPr>
        <w:pStyle w:val="BookText"/>
      </w:pPr>
      <w:r>
        <w:rPr>
          <w:rFonts w:ascii="Times New Roman" w:hAnsi="Times New Roman" w:eastAsia="Times New Roman" w:cs="Times New Roman"/>
          <w:lang w:val="en-US" w:bidi="en-US"/>
          <w:color w:val="111111"/>
          <w:sz w:val="28"/>
          <w:szCs w:val="28"/>
          <w:rtl/>
        </w:rPr>
        <w:t xml:space="preserve">jamālī ardestānī, jamāl-od-dīn mohammad (1412-1479)</w:t>
      </w:r>
    </w:p>
    <w:p>
      <w:pPr>
        <w:pStyle w:val="BookText"/>
      </w:pPr>
      <w:r>
        <w:rPr>
          <w:rFonts w:ascii="IRNazanin" w:hAnsi="IRNazanin" w:eastAsia="IRNazanin" w:cs="IRNazanin"/>
          <w:lang w:bidi="fa-IR"/>
          <w:color w:val="111111"/>
          <w:sz w:val="28"/>
          <w:szCs w:val="28"/>
          <w:rtl/>
        </w:rPr>
        <w:t xml:space="preserve">تهران؛ مجلس؛ شماره نسخه: ۹۳۲۶/۲۵</w:t>
      </w:r>
    </w:p>
    <w:p>
      <w:pPr>
        <w:pStyle w:val="BookText"/>
      </w:pPr>
      <w:r>
        <w:rPr>
          <w:rFonts w:ascii="IRNazanin" w:hAnsi="IRNazanin" w:eastAsia="IRNazanin" w:cs="IRNazanin"/>
          <w:lang w:bidi="fa-IR"/>
          <w:color w:val="111111"/>
          <w:sz w:val="28"/>
          <w:szCs w:val="28"/>
          <w:rtl/>
        </w:rPr>
        <w:t xml:space="preserve">خط: نستعلیق، کا: محمد کریم بن میرزا زمان، تا: قرن ۱۳؛ ۲ ص ( ۶۴۲-۶۴۱ ) [مختصر ف: ۱۱۴]</w:t>
      </w:r>
    </w:p>
    <w:p>
      <w:pPr>
        <w:pStyle w:val="Heading3"/>
      </w:pPr>
      <w:bookmarkStart w:id="1229" w:name="_Toc489"/>
      <w:r>
        <w:t>• بیان آنکه در قیامت انبیا نفسی نفسی گویند (رساله در) عرفان و تصوف / فارسی</w:t>
      </w:r>
      <w:bookmarkEnd w:id="1229"/>
    </w:p>
    <w:p>
      <w:pPr>
        <w:pStyle w:val="BookText"/>
      </w:pPr>
      <w:r>
        <w:rPr>
          <w:rFonts w:ascii="Times New Roman" w:hAnsi="Times New Roman" w:eastAsia="Times New Roman" w:cs="Times New Roman"/>
          <w:lang w:val="en-US" w:bidi="en-US"/>
          <w:color w:val="111111"/>
          <w:sz w:val="28"/>
          <w:szCs w:val="28"/>
          <w:rtl/>
        </w:rPr>
        <w:t xml:space="preserve">bayān an-ke dar qīyāmat anbīyā nafasī nafasī gūyand (r. dar)</w:t>
      </w:r>
    </w:p>
    <w:p>
      <w:pPr>
        <w:pStyle w:val="BookText"/>
      </w:pPr>
      <w:r>
        <w:rPr>
          <w:rFonts w:ascii="IRNazanin" w:hAnsi="IRNazanin" w:eastAsia="IRNazanin" w:cs="IRNazanin"/>
          <w:lang w:bidi="fa-IR"/>
          <w:color w:val="111111"/>
          <w:sz w:val="28"/>
          <w:szCs w:val="28"/>
          <w:rtl/>
        </w:rPr>
        <w:t xml:space="preserve">جمالی اردستانی، جمال الدين محمد، ۸۱۴-۸۸۳ ؟ قمری</w:t>
      </w:r>
    </w:p>
    <w:p>
      <w:pPr>
        <w:pStyle w:val="BookText"/>
      </w:pPr>
      <w:r>
        <w:rPr>
          <w:rFonts w:ascii="Times New Roman" w:hAnsi="Times New Roman" w:eastAsia="Times New Roman" w:cs="Times New Roman"/>
          <w:lang w:val="en-US" w:bidi="en-US"/>
          <w:color w:val="111111"/>
          <w:sz w:val="28"/>
          <w:szCs w:val="28"/>
          <w:rtl/>
        </w:rPr>
        <w:t xml:space="preserve">jamālī ardestānī, jamāl-od-dīn mohammad (1412-1479)</w:t>
      </w:r>
    </w:p>
    <w:p>
      <w:pPr>
        <w:pStyle w:val="BookText"/>
      </w:pPr>
      <w:r>
        <w:rPr>
          <w:rFonts w:ascii="IRNazanin" w:hAnsi="IRNazanin" w:eastAsia="IRNazanin" w:cs="IRNazanin"/>
          <w:lang w:bidi="fa-IR"/>
          <w:color w:val="111111"/>
          <w:sz w:val="28"/>
          <w:szCs w:val="28"/>
          <w:rtl/>
        </w:rPr>
        <w:t xml:space="preserve">تهران؛ مجلس؛ شماره نسخه: ۹۳۲۶/۲۹</w:t>
      </w:r>
    </w:p>
    <w:p>
      <w:pPr>
        <w:pStyle w:val="BookText"/>
      </w:pPr>
      <w:r>
        <w:rPr>
          <w:rFonts w:ascii="IRNazanin" w:hAnsi="IRNazanin" w:eastAsia="IRNazanin" w:cs="IRNazanin"/>
          <w:lang w:bidi="fa-IR"/>
          <w:color w:val="111111"/>
          <w:sz w:val="28"/>
          <w:szCs w:val="28"/>
          <w:rtl/>
        </w:rPr>
        <w:t xml:space="preserve">خط: نستعلیق، كا: محمد کریم بن میرزا زمان، تا: قرن ۱۳؛ 1ص (۶۴۷) [مختصر ف: ۱۱۴]</w:t>
      </w:r>
    </w:p>
    <w:p>
      <w:pPr>
        <w:pStyle w:val="Heading3"/>
      </w:pPr>
      <w:bookmarkStart w:id="1230" w:name="_Toc490"/>
      <w:r>
        <w:t>• بیان الآيات الناسخة / علوم قرآن / عربی</w:t>
      </w:r>
      <w:bookmarkEnd w:id="1230"/>
    </w:p>
    <w:p>
      <w:pPr>
        <w:pStyle w:val="BookText"/>
      </w:pPr>
      <w:r>
        <w:rPr>
          <w:rFonts w:ascii="Times New Roman" w:hAnsi="Times New Roman" w:eastAsia="Times New Roman" w:cs="Times New Roman"/>
          <w:lang w:val="en-US" w:bidi="en-US"/>
          <w:color w:val="111111"/>
          <w:sz w:val="28"/>
          <w:szCs w:val="28"/>
          <w:rtl/>
        </w:rPr>
        <w:t xml:space="preserve">bayān-ul āyāt-in nāsixa</w:t>
      </w:r>
    </w:p>
    <w:p>
      <w:pPr>
        <w:pStyle w:val="BookText"/>
      </w:pPr>
      <w:r>
        <w:rPr>
          <w:rFonts w:ascii="IRNazanin" w:hAnsi="IRNazanin" w:eastAsia="IRNazanin" w:cs="IRNazanin"/>
          <w:lang w:bidi="fa-IR"/>
          <w:color w:val="111111"/>
          <w:sz w:val="28"/>
          <w:szCs w:val="28"/>
          <w:rtl/>
        </w:rPr>
        <w:t xml:space="preserve">قاجار، علی اصغر بن سنجر،-۱۳۷۷ قمری</w:t>
      </w:r>
    </w:p>
    <w:p>
      <w:pPr>
        <w:pStyle w:val="BookText"/>
      </w:pPr>
      <w:r>
        <w:rPr>
          <w:rFonts w:ascii="Times New Roman" w:hAnsi="Times New Roman" w:eastAsia="Times New Roman" w:cs="Times New Roman"/>
          <w:lang w:val="en-US" w:bidi="en-US"/>
          <w:color w:val="111111"/>
          <w:sz w:val="28"/>
          <w:szCs w:val="28"/>
          <w:rtl/>
        </w:rPr>
        <w:t xml:space="preserve">qājār, ‘alī asqar ebn-e sanjar (- 1958)</w:t>
      </w:r>
    </w:p>
    <w:p>
      <w:pPr>
        <w:pStyle w:val="BookText"/>
      </w:pPr>
      <w:r>
        <w:rPr>
          <w:rFonts w:ascii="IRNazanin" w:hAnsi="IRNazanin" w:eastAsia="IRNazanin" w:cs="IRNazanin"/>
          <w:lang w:bidi="fa-IR"/>
          <w:color w:val="111111"/>
          <w:sz w:val="28"/>
          <w:szCs w:val="28"/>
          <w:rtl/>
        </w:rPr>
        <w:t xml:space="preserve">آیات ناسخ و منسوخ را در دو «قسم» جمع کرده است: ۱. آنچه در احادیث شیعه آمده؛ ۲. آنچه در احادیث اهل سنت آمده. در ابتدا در مقدمه ای معنای نسخ را بیان می کند، سپس آیات در قسم اول و پس از آن آیات در قسم دوم را می آورد، و به دنبال هر آیه احادیث دال بر آن موضوع را با تحقیقاتی از خودش با عنوان «اقول» می آورد. این رساله گرچه مختصر است جامع است.</w:t>
      </w:r>
    </w:p>
    <w:p>
      <w:pPr>
        <w:pStyle w:val="BookText"/>
      </w:pPr>
      <w:r>
        <w:rPr>
          <w:rFonts w:ascii="IRNazanin" w:hAnsi="IRNazanin" w:eastAsia="IRNazanin" w:cs="IRNazanin"/>
          <w:lang w:bidi="fa-IR"/>
          <w:color w:val="111111"/>
          <w:sz w:val="28"/>
          <w:szCs w:val="28"/>
          <w:rtl/>
        </w:rPr>
        <w:t xml:space="preserve">کرمانشاه؛ فیض مهدوی (کتابخانه)؛ شماره نسخه: بدون شماره</w:t>
      </w:r>
    </w:p>
    <w:p>
      <w:pPr>
        <w:pStyle w:val="BookText"/>
      </w:pPr>
      <w:r>
        <w:rPr>
          <w:rFonts w:ascii="IRNazanin" w:hAnsi="IRNazanin" w:eastAsia="IRNazanin" w:cs="IRNazanin"/>
          <w:lang w:bidi="fa-IR"/>
          <w:color w:val="111111"/>
          <w:sz w:val="28"/>
          <w:szCs w:val="28"/>
          <w:rtl/>
        </w:rPr>
        <w:t xml:space="preserve">آغاز: فيه تعريف النسخ و امکان وقوعه في أحكام الله تعالی و بیان الآيات الناسخة، فائدة النسخ رفع الحكم الثابت في الزمان السابق و از الته کاتب = مؤلف، بی تا [ تراثنا: س ش ۴-۲۶]</w:t>
      </w:r>
    </w:p>
    <w:p>
      <w:pPr>
        <w:pStyle w:val="Heading3"/>
      </w:pPr>
      <w:bookmarkStart w:id="1231" w:name="_Toc491"/>
      <w:r>
        <w:t>• بیان ابنیه / اسناد / فارسی</w:t>
      </w:r>
      <w:bookmarkEnd w:id="1231"/>
    </w:p>
    <w:p>
      <w:pPr>
        <w:pStyle w:val="BookText"/>
      </w:pPr>
      <w:r>
        <w:rPr>
          <w:rFonts w:ascii="Times New Roman" w:hAnsi="Times New Roman" w:eastAsia="Times New Roman" w:cs="Times New Roman"/>
          <w:lang w:val="en-US" w:bidi="en-US"/>
          <w:color w:val="111111"/>
          <w:sz w:val="28"/>
          <w:szCs w:val="28"/>
          <w:rtl/>
        </w:rPr>
        <w:t xml:space="preserve">bayān-e abnīye</w:t>
      </w:r>
    </w:p>
    <w:p>
      <w:pPr>
        <w:pStyle w:val="BookText"/>
      </w:pPr>
      <w:r>
        <w:rPr>
          <w:rFonts w:ascii="IRNazanin" w:hAnsi="IRNazanin" w:eastAsia="IRNazanin" w:cs="IRNazanin"/>
          <w:lang w:bidi="fa-IR"/>
          <w:color w:val="111111"/>
          <w:sz w:val="28"/>
          <w:szCs w:val="28"/>
          <w:rtl/>
        </w:rPr>
        <w:t xml:space="preserve">در این رساله ابتدا وقف نامه شاهزاده حسام السلطنه محمد تقی شاه قاجار هشتمین پسر فتحعلی شاه و فرمانروای دارالسرور بروجرد است. در روضة الصفای ناصری (پایان جلد ۹) در آنجا که از شاهزادگان یاد می شود نام او به میان می آید. از این رساله بر می آید که او سودای پادشاهی در سر می پخت و از این رو است که مؤلف او را شاه می خواند، پس از وقف نامه ساختمان های شاهانه که این شاهزاده در بروجرد ساخته است در آن یاد شده بدین گونه: میدان، تالار، دیوان خانه، دفتر خانه، باغ جنت، برج اسد، تالار بهشت ایین، تالار خلدبرین، شمس العماره، قصورحور، عمارت دلگشا، عمارت فرح بخش خلوت قدیم، زین خانه خاصه، خفوت سمت شاه نشین، تالار دیوان خانه، خلوت سمت شمالی، عمارت خواجه سرایان، ناظر خانه و شربت خانه و آشپزخانه، حمام قدیم، حمام جدید، چار حوض، چاه منبع، انبار غله و غیره، جته خانه، قورخانه، باغات و عمارات دارالسرور، قصر خقان تپه غربی باغ شاه، بیدستان غربی تپه، عمارت نشاط قلعه بحرین. در آن از لطایف المدایح رساله که به نام شاه و در وصف عمارتها و باغ ها نوشته شده یاد می شود. در صفحه عنوان نسخه ما کتاب به نام بالا خوانده شده است.</w:t>
      </w:r>
    </w:p>
    <w:p>
      <w:pPr>
        <w:pStyle w:val="BookText"/>
      </w:pPr>
      <w:r>
        <w:rPr>
          <w:rFonts w:ascii="IRNazanin" w:hAnsi="IRNazanin" w:eastAsia="IRNazanin" w:cs="IRNazanin"/>
          <w:lang w:bidi="fa-IR"/>
          <w:color w:val="111111"/>
          <w:sz w:val="28"/>
          <w:szCs w:val="28"/>
          <w:rtl/>
        </w:rPr>
        <w:t xml:space="preserve">تهران؛ ادبیات، شماره نسخه: ۱۵۳ -ج</w:t>
      </w:r>
    </w:p>
    <w:p>
      <w:pPr>
        <w:pStyle w:val="BookText"/>
      </w:pPr>
      <w:r>
        <w:rPr>
          <w:rFonts w:ascii="IRNazanin" w:hAnsi="IRNazanin" w:eastAsia="IRNazanin" w:cs="IRNazanin"/>
          <w:lang w:bidi="fa-IR"/>
          <w:color w:val="111111"/>
          <w:sz w:val="28"/>
          <w:szCs w:val="28"/>
          <w:rtl/>
        </w:rPr>
        <w:t xml:space="preserve">آغاز: الحمد لله الذي وقف على خلوص بعض الضمائر ... بسمله شاهد کلامی که مشاطه کلک فصاحتش در افاده معنی بدیعه هر هفت گروه؛ انجام: و رعایا و برایا گوار باد برب العباد ... تحریر في شهر ربيع الاول ۱۲۳۷ خط: نستعلیق، بی کا، تا: ربيع الاول ۱۲۳۷ق؛ مجدول؛ کاغذ: فرنگی، جلد: تیماج عنابی ضربی گرداگرد و عطف تیماج سبز، ۴۴گ، ۱۰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۱-۴۹]</w:t>
      </w:r>
    </w:p>
    <w:p>
      <w:pPr>
        <w:pStyle w:val="BookText"/>
      </w:pPr>
      <w:r>
        <w:rPr>
          <w:rFonts w:ascii="IRNazanin" w:hAnsi="IRNazanin" w:eastAsia="IRNazanin" w:cs="IRNazanin"/>
          <w:lang w:bidi="fa-IR"/>
          <w:color w:val="111111"/>
          <w:sz w:val="28"/>
          <w:szCs w:val="28"/>
          <w:rtl/>
        </w:rPr>
        <w:t xml:space="preserve">← بیانات ← رسالة البيان</w:t>
      </w:r>
    </w:p>
    <w:p>
      <w:pPr>
        <w:pStyle w:val="Heading3"/>
      </w:pPr>
      <w:bookmarkStart w:id="1232" w:name="_Toc492"/>
      <w:r>
        <w:t>• البيانات / فلسفه / عربی</w:t>
      </w:r>
      <w:bookmarkEnd w:id="1232"/>
    </w:p>
    <w:p>
      <w:pPr>
        <w:pStyle w:val="BookText"/>
      </w:pPr>
      <w:r>
        <w:rPr>
          <w:rFonts w:ascii="Times New Roman" w:hAnsi="Times New Roman" w:eastAsia="Times New Roman" w:cs="Times New Roman"/>
          <w:lang w:val="en-US" w:bidi="en-US"/>
          <w:color w:val="111111"/>
          <w:sz w:val="28"/>
          <w:szCs w:val="28"/>
          <w:rtl/>
        </w:rPr>
        <w:t xml:space="preserve">al-bayānāt</w:t>
      </w:r>
    </w:p>
    <w:p>
      <w:pPr>
        <w:pStyle w:val="BookText"/>
      </w:pPr>
      <w:r>
        <w:rPr>
          <w:rFonts w:ascii="IRNazanin" w:hAnsi="IRNazanin" w:eastAsia="IRNazanin" w:cs="IRNazanin"/>
          <w:lang w:bidi="fa-IR"/>
          <w:color w:val="111111"/>
          <w:sz w:val="28"/>
          <w:szCs w:val="28"/>
          <w:rtl/>
        </w:rPr>
        <w:t xml:space="preserve">اسعد، عبدالله، ق ۱۰ قمری</w:t>
      </w:r>
    </w:p>
    <w:p>
      <w:pPr>
        <w:pStyle w:val="BookText"/>
      </w:pPr>
      <w:r>
        <w:rPr>
          <w:rFonts w:ascii="Times New Roman" w:hAnsi="Times New Roman" w:eastAsia="Times New Roman" w:cs="Times New Roman"/>
          <w:lang w:val="en-US" w:bidi="en-US"/>
          <w:color w:val="111111"/>
          <w:sz w:val="28"/>
          <w:szCs w:val="28"/>
          <w:rtl/>
        </w:rPr>
        <w:t xml:space="preserve">as ad, 'abd-ol-lāh (- 16c)</w:t>
      </w:r>
    </w:p>
    <w:p>
      <w:pPr>
        <w:pStyle w:val="BookText"/>
      </w:pPr>
      <w:r>
        <w:rPr>
          <w:rFonts w:ascii="IRNazanin" w:hAnsi="IRNazanin" w:eastAsia="IRNazanin" w:cs="IRNazanin"/>
          <w:lang w:bidi="fa-IR"/>
          <w:color w:val="111111"/>
          <w:sz w:val="28"/>
          <w:szCs w:val="28"/>
          <w:rtl/>
        </w:rPr>
        <w:t xml:space="preserve">تاريخ تأليف: سه شنبه شوال ۹۴۵؛ محل تأليف: رشت رسالهای فلسفی است در بیان وجود و اقسام آن و با اشاره به اثبات واجب تعالی با دلايل فلسفی.</w:t>
      </w:r>
    </w:p>
    <w:p>
      <w:pPr>
        <w:pStyle w:val="BookText"/>
      </w:pPr>
      <w:r>
        <w:rPr>
          <w:rFonts w:ascii="IRNazanin" w:hAnsi="IRNazanin" w:eastAsia="IRNazanin" w:cs="IRNazanin"/>
          <w:lang w:bidi="fa-IR"/>
          <w:color w:val="111111"/>
          <w:sz w:val="28"/>
          <w:szCs w:val="28"/>
          <w:rtl/>
        </w:rPr>
        <w:t xml:space="preserve">قم؛ گلپایگانی؛ شماره نسخه: ۱۶۴۱- ۹/۱۹۱</w:t>
      </w:r>
    </w:p>
    <w:p>
      <w:pPr>
        <w:pStyle w:val="BookText"/>
      </w:pPr>
      <w:r>
        <w:rPr>
          <w:rFonts w:ascii="IRNazanin" w:hAnsi="IRNazanin" w:eastAsia="IRNazanin" w:cs="IRNazanin"/>
          <w:lang w:bidi="fa-IR"/>
          <w:color w:val="111111"/>
          <w:sz w:val="28"/>
          <w:szCs w:val="28"/>
          <w:rtl/>
        </w:rPr>
        <w:t xml:space="preserve">آغاز: في بساط عدالته الى يوم اراد ... و يأمر بقرائته حتى يتبين تفاوت آراء العلماء و تهافت انظار نقص الحکماء ... آن كتابي هذا يسمى بالبيانات ... و اعلم ان مفهوم الوجود المطلق ليس معنی مصدرية يرادف الكون و الحصول؛ انجام: کالاجسام العنصرية خاصية الافاضة من غير ايضا وبها ولنكن مختصرين بهذا القدر من بيان الاحوال الأخروية في هذا المختصر حامدين لله و مصلين على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62" w:name="pg20363_209392"/>
    <w:bookmarkEnd w:id="162"/>
    <w:p>
      <w:pPr>
        <w:pStyle w:val="BookText"/>
      </w:pPr>
      <w:r>
        <w:rPr>
          <w:rFonts w:ascii="IRNazanin" w:hAnsi="IRNazanin" w:eastAsia="IRNazanin" w:cs="IRNazanin"/>
          <w:lang w:bidi="fa-IR"/>
          <w:color w:val="111111"/>
          <w:sz w:val="28"/>
          <w:szCs w:val="28"/>
          <w:rtl/>
        </w:rPr>
        <w:t xml:space="preserve">نبيه ووليه افضل البشر و آله ... فان الحق احق بان يتبع و اليق بان ينصح و انا المؤلف عبدالله المشهور باسعد ... خط: نستعلیق، كا: عزالدين محمد حسن بن محمد علی استر آبادی نجفی حائری انصاری، بی تا؛ افتادگی: آغاز؛ مصحح؛ جلد: تیماج قهوه ای مجدول، ۶۱گ، ۱۶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۲-۶۵۳]</w:t>
      </w:r>
    </w:p>
    <w:p>
      <w:pPr>
        <w:pStyle w:val="Heading3"/>
      </w:pPr>
      <w:bookmarkStart w:id="1233" w:name="_Toc493"/>
      <w:r>
        <w:t>• بیانات اهل شریعت / عرفان و تصوف / فارسی</w:t>
      </w:r>
      <w:bookmarkEnd w:id="1233"/>
    </w:p>
    <w:p>
      <w:pPr>
        <w:pStyle w:val="BookText"/>
      </w:pPr>
      <w:r>
        <w:rPr>
          <w:rFonts w:ascii="Times New Roman" w:hAnsi="Times New Roman" w:eastAsia="Times New Roman" w:cs="Times New Roman"/>
          <w:lang w:val="en-US" w:bidi="en-US"/>
          <w:color w:val="111111"/>
          <w:sz w:val="28"/>
          <w:szCs w:val="28"/>
          <w:rtl/>
        </w:rPr>
        <w:t xml:space="preserve">bayānāt-e ahl-e šarī‘at</w:t>
      </w:r>
    </w:p>
    <w:p>
      <w:pPr>
        <w:pStyle w:val="BookText"/>
      </w:pPr>
      <w:r>
        <w:rPr>
          <w:rFonts w:ascii="IRNazanin" w:hAnsi="IRNazanin" w:eastAsia="IRNazanin" w:cs="IRNazanin"/>
          <w:lang w:bidi="fa-IR"/>
          <w:color w:val="111111"/>
          <w:sz w:val="28"/>
          <w:szCs w:val="28"/>
          <w:rtl/>
        </w:rPr>
        <w:t xml:space="preserve">مختصری است مشتمل بر چند «فصل» و «مقدمه» از بیانات و سخنان اهل شریعت و اهل حكمت و اهل وحدت در شناسایی عالم کبیر و مبدء و معاد و ارواح و مقامات آن ها و جز آن.</w:t>
      </w:r>
    </w:p>
    <w:p>
      <w:pPr>
        <w:pStyle w:val="BookText"/>
      </w:pPr>
      <w:r>
        <w:rPr>
          <w:rFonts w:ascii="IRNazanin" w:hAnsi="IRNazanin" w:eastAsia="IRNazanin" w:cs="IRNazanin"/>
          <w:lang w:bidi="fa-IR"/>
          <w:color w:val="111111"/>
          <w:sz w:val="28"/>
          <w:szCs w:val="28"/>
          <w:rtl/>
        </w:rPr>
        <w:t xml:space="preserve">قم؛ مسجد اعظم، شماره نسخه: ۷۴۵/۷</w:t>
      </w:r>
    </w:p>
    <w:p>
      <w:pPr>
        <w:pStyle w:val="BookText"/>
      </w:pPr>
      <w:r>
        <w:rPr>
          <w:rFonts w:ascii="IRNazanin" w:hAnsi="IRNazanin" w:eastAsia="IRNazanin" w:cs="IRNazanin"/>
          <w:lang w:bidi="fa-IR"/>
          <w:color w:val="111111"/>
          <w:sz w:val="28"/>
          <w:szCs w:val="28"/>
          <w:rtl/>
        </w:rPr>
        <w:t xml:space="preserve">آغاز: بدان که مرکب چهار آمدند و تهجی بیست هشت و کلمه سه دور این هیچ سخن نیست که مفردات ملک و ملكوت بیست هشت می باشد؛ انجام: لايزال عبدي يتقرب إلي بالنوافل حتى احببته فاذا احببته كنت سمعه الذي يسمع به وبصره الذي يبصر به و يده التي يبطش بها و رجله التي يمشي بها و مؤید این حدیث نیز این حدیث مبارک است العبودية جوهرة كنهها الربوبية</w:t>
      </w:r>
    </w:p>
    <w:p>
      <w:pPr>
        <w:pStyle w:val="BookText"/>
      </w:pPr>
      <w:r>
        <w:rPr>
          <w:rFonts w:ascii="IRNazanin" w:hAnsi="IRNazanin" w:eastAsia="IRNazanin" w:cs="IRNazanin"/>
          <w:lang w:bidi="fa-IR"/>
          <w:color w:val="111111"/>
          <w:sz w:val="28"/>
          <w:szCs w:val="28"/>
          <w:rtl/>
        </w:rPr>
        <w:t xml:space="preserve">خط: نستعلیق، بی کا، بی تا، فوائدی در کلمات لطیفه در توحید، طريقه حکمت، در شناختن نفس، قوای نفسانی؛ جلد: گالینگور سبز، عطف تیماج زرشکی، ۱۴گ، ۲۳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مخ: ۱-۲۸۶]</w:t>
      </w:r>
    </w:p>
    <w:p>
      <w:pPr>
        <w:pStyle w:val="Heading3"/>
      </w:pPr>
      <w:bookmarkStart w:id="1234" w:name="_Toc494"/>
      <w:r>
        <w:t>•بیانات شیبانی / مواعظ / فارسی</w:t>
      </w:r>
      <w:bookmarkEnd w:id="1234"/>
    </w:p>
    <w:p>
      <w:pPr>
        <w:pStyle w:val="BookText"/>
      </w:pPr>
      <w:r>
        <w:rPr>
          <w:rFonts w:ascii="Times New Roman" w:hAnsi="Times New Roman" w:eastAsia="Times New Roman" w:cs="Times New Roman"/>
          <w:lang w:val="en-US" w:bidi="en-US"/>
          <w:color w:val="111111"/>
          <w:sz w:val="28"/>
          <w:szCs w:val="28"/>
          <w:rtl/>
        </w:rPr>
        <w:t xml:space="preserve">bayānāt-e šeybānī</w:t>
      </w:r>
    </w:p>
    <w:p>
      <w:pPr>
        <w:pStyle w:val="BookText"/>
      </w:pPr>
      <w:r>
        <w:rPr>
          <w:rFonts w:ascii="IRNazanin" w:hAnsi="IRNazanin" w:eastAsia="IRNazanin" w:cs="IRNazanin"/>
          <w:lang w:bidi="fa-IR"/>
          <w:color w:val="111111"/>
          <w:sz w:val="28"/>
          <w:szCs w:val="28"/>
          <w:rtl/>
        </w:rPr>
        <w:t xml:space="preserve">کاشانی، فتح الله بن محمد کاظم، ق ۱۴ قمری</w:t>
      </w:r>
    </w:p>
    <w:p>
      <w:pPr>
        <w:pStyle w:val="BookText"/>
      </w:pPr>
      <w:r>
        <w:rPr>
          <w:rFonts w:ascii="Times New Roman" w:hAnsi="Times New Roman" w:eastAsia="Times New Roman" w:cs="Times New Roman"/>
          <w:lang w:val="en-US" w:bidi="en-US"/>
          <w:color w:val="111111"/>
          <w:sz w:val="28"/>
          <w:szCs w:val="28"/>
          <w:rtl/>
        </w:rPr>
        <w:t xml:space="preserve">kāšānī, fath-ol-lāh ebn-e mohammad kāzem (- 20c)</w:t>
      </w:r>
    </w:p>
    <w:p>
      <w:pPr>
        <w:pStyle w:val="BookText"/>
      </w:pPr>
      <w:r>
        <w:rPr>
          <w:rFonts w:ascii="IRNazanin" w:hAnsi="IRNazanin" w:eastAsia="IRNazanin" w:cs="IRNazanin"/>
          <w:lang w:bidi="fa-IR"/>
          <w:color w:val="111111"/>
          <w:sz w:val="28"/>
          <w:szCs w:val="28"/>
          <w:rtl/>
        </w:rPr>
        <w:t xml:space="preserve">به دستور: مظفر الدین شاه قاجار خطابه های ادبی است که مؤلف به سبک «مقامات حمیدی» و</w:t>
      </w:r>
    </w:p>
    <w:p>
      <w:pPr>
        <w:pStyle w:val="BookText"/>
      </w:pPr>
      <w:r>
        <w:rPr>
          <w:rFonts w:ascii="IRNazanin" w:hAnsi="IRNazanin" w:eastAsia="IRNazanin" w:cs="IRNazanin"/>
          <w:lang w:bidi="fa-IR"/>
          <w:color w:val="111111"/>
          <w:sz w:val="28"/>
          <w:szCs w:val="28"/>
          <w:rtl/>
        </w:rPr>
        <w:t xml:space="preserve">حریری» در دوازده «مقامه» انشاء و ایراد نموده مقامه ۱. تطبيق این عصر مبارک به عهد ملك عادل کسری بن قباد در بیان برخی کلمات انبیا و حکما؛ ۲. بیان برخی کلمات تورات به روشی که بعضی از ائمه اسلام (ع) تفسیر فرموده؛ ۳. مقالات پیر فرزانه معتکف آستان قدس مرتضوی؛ ۴. مقالات درویش معتكف مسجد سهله؛ ۵. مقالات پیر مرد ملاح کنار دریای نجف؛ ۶. مقالات مجوس نو مسلمان؛ ۷. مقالات مرد مدنی؛ ۸ مقالات ساربان شوشتری؛ 9. ذكر اکرام و احسان خسرو صاحبقران خلد الله ملکه به توسط وزیر دربار امین سلطان دام اجلاله؛ ۱۰. نصیحت فرزند خود نورعلی؛ ۱۱. مکارم اخلاق شاهنشاه؛ ۱۲. ختم عنوان. مؤلف از تألیفات دیگر خود بدین ترتیب نام برده است: خطاب فرخ، مقالات، جواهر مخزون، لآلی مکنون، درج درر، گنج گوهر، فتح و ظفر، مسعود نامه،</w:t>
      </w:r>
    </w:p>
    <w:p>
      <w:pPr>
        <w:pStyle w:val="BookText"/>
      </w:pPr>
      <w:r>
        <w:rPr>
          <w:rFonts w:ascii="IRNazanin" w:hAnsi="IRNazanin" w:eastAsia="IRNazanin" w:cs="IRNazanin"/>
          <w:lang w:bidi="fa-IR"/>
          <w:color w:val="111111"/>
          <w:sz w:val="28"/>
          <w:szCs w:val="28"/>
          <w:rtl/>
        </w:rPr>
        <w:t xml:space="preserve">کامرانیه، زبدة الآثار، یوسفیه، نصایح منظومه، شرف الملوک و دیوان اشعار. آغاز: عنوان کتاب بيانات شیبانی. هو الله تعالی. بسمله، حمد و سپاس بی قیاس و ثنا و ستایش بی آلایش و درود نامعدود آفریننده را سزا است که بن و بود او را چنانکه اوست نتوان دانست. سر وحدت در نیابد هیچ کس***حیرت آمد حاصل دانا و بس. انجام: تا سخن پارسی در میان است در زبانها جاری و در زمانها ساری بلکه از لغتی به لغتی دیگر ترجمه ها خواهد شد. [دنا ۵۷۹/۲ ]</w:t>
      </w:r>
    </w:p>
    <w:p>
      <w:pPr>
        <w:pStyle w:val="BookText"/>
      </w:pPr>
      <w:r>
        <w:rPr>
          <w:rFonts w:ascii="IRNazanin" w:hAnsi="IRNazanin" w:eastAsia="IRNazanin" w:cs="IRNazanin"/>
          <w:lang w:bidi="fa-IR"/>
          <w:color w:val="111111"/>
          <w:sz w:val="28"/>
          <w:szCs w:val="28"/>
          <w:rtl/>
        </w:rPr>
        <w:t xml:space="preserve">۱. تهران؛ ملی؛ شماره نسخه: ۴۸۰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کاتب = مؤلف (ظاهرة)، تا: قرن ۱۳؛ با سرلوح زر و آبی، مجدول؛ کاغذ: فرنگی، فلفل نمکی، جلد: ابره تافته سبز مقوایی، ۱۸۸ گ، ۱۵ سطر (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۴۶۲-۱ ]</w:t>
      </w:r>
    </w:p>
    <w:p>
      <w:pPr>
        <w:pStyle w:val="BookText"/>
      </w:pPr>
      <w:r>
        <w:rPr>
          <w:rFonts w:ascii="IRNazanin" w:hAnsi="IRNazanin" w:eastAsia="IRNazanin" w:cs="IRNazanin"/>
          <w:lang w:bidi="fa-IR"/>
          <w:color w:val="111111"/>
          <w:sz w:val="28"/>
          <w:szCs w:val="28"/>
          <w:rtl/>
        </w:rPr>
        <w:t xml:space="preserve">۲. تهران؛ مجلس؛ شماره نسخه: ۷۶۸۹</w:t>
      </w:r>
    </w:p>
    <w:p>
      <w:pPr>
        <w:pStyle w:val="BookText"/>
      </w:pPr>
      <w:r>
        <w:rPr>
          <w:rFonts w:ascii="IRNazanin" w:hAnsi="IRNazanin" w:eastAsia="IRNazanin" w:cs="IRNazanin"/>
          <w:lang w:bidi="fa-IR"/>
          <w:color w:val="111111"/>
          <w:sz w:val="28"/>
          <w:szCs w:val="28"/>
          <w:rtl/>
        </w:rPr>
        <w:t xml:space="preserve">آغاز و انجام: برابر خط نستعلیق شکسته، بی کا، بی تاب بی کا، بی تا؛ مجدول مذهب؛ جلد: پارچه قرمز، ۱۶۳گ، ۱۵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۲۶-۱۸۴]</w:t>
      </w:r>
    </w:p>
    <w:p>
      <w:pPr>
        <w:pStyle w:val="Heading3"/>
      </w:pPr>
      <w:bookmarkStart w:id="1235" w:name="_Toc495"/>
      <w:r>
        <w:t>• بیانات شیخ فضل الله درباره مشروطیت / حكومت و سیاست / فارسی</w:t>
      </w:r>
      <w:bookmarkEnd w:id="1235"/>
    </w:p>
    <w:p>
      <w:pPr>
        <w:pStyle w:val="BookText"/>
      </w:pPr>
      <w:r>
        <w:rPr>
          <w:rFonts w:ascii="Times New Roman" w:hAnsi="Times New Roman" w:eastAsia="Times New Roman" w:cs="Times New Roman"/>
          <w:lang w:val="en-US" w:bidi="en-US"/>
          <w:color w:val="111111"/>
          <w:sz w:val="28"/>
          <w:szCs w:val="28"/>
          <w:rtl/>
        </w:rPr>
        <w:t xml:space="preserve">bayānāt-e šeyx fazl-ol-lāh darbāre-ye mašrūtīyat</w:t>
      </w:r>
    </w:p>
    <w:p>
      <w:pPr>
        <w:pStyle w:val="BookText"/>
      </w:pPr>
      <w:r>
        <w:rPr>
          <w:rFonts w:ascii="IRNazanin" w:hAnsi="IRNazanin" w:eastAsia="IRNazanin" w:cs="IRNazanin"/>
          <w:lang w:bidi="fa-IR"/>
          <w:color w:val="111111"/>
          <w:sz w:val="28"/>
          <w:szCs w:val="28"/>
          <w:rtl/>
        </w:rPr>
        <w:t xml:space="preserve">نوری، فضل الله بن عباس، ۱۲۵۹-۱۳۲۷ قمری</w:t>
      </w:r>
    </w:p>
    <w:p>
      <w:pPr>
        <w:pStyle w:val="BookText"/>
      </w:pPr>
      <w:r>
        <w:rPr>
          <w:rFonts w:ascii="Times New Roman" w:hAnsi="Times New Roman" w:eastAsia="Times New Roman" w:cs="Times New Roman"/>
          <w:lang w:val="en-US" w:bidi="en-US"/>
          <w:color w:val="111111"/>
          <w:sz w:val="28"/>
          <w:szCs w:val="28"/>
          <w:rtl/>
        </w:rPr>
        <w:t xml:space="preserve">nuri, fazl-ol-lah ebn-e abbas (1843-1909)</w:t>
      </w:r>
    </w:p>
    <w:p>
      <w:pPr>
        <w:pStyle w:val="BookText"/>
      </w:pPr>
      <w:r>
        <w:rPr>
          <w:rFonts w:ascii="IRNazanin" w:hAnsi="IRNazanin" w:eastAsia="IRNazanin" w:cs="IRNazanin"/>
          <w:lang w:bidi="fa-IR"/>
          <w:color w:val="111111"/>
          <w:sz w:val="28"/>
          <w:szCs w:val="28"/>
          <w:rtl/>
        </w:rPr>
        <w:t xml:space="preserve">تهران؛ مجلس؛ شماره نسخه: ۱۷۷۹۴</w:t>
      </w:r>
    </w:p>
    <w:p>
      <w:pPr>
        <w:pStyle w:val="BookText"/>
      </w:pPr>
      <w:r>
        <w:rPr>
          <w:rFonts w:ascii="IRNazanin" w:hAnsi="IRNazanin" w:eastAsia="IRNazanin" w:cs="IRNazanin"/>
          <w:lang w:bidi="fa-IR"/>
          <w:color w:val="111111"/>
          <w:sz w:val="28"/>
          <w:szCs w:val="28"/>
          <w:rtl/>
        </w:rPr>
        <w:t xml:space="preserve">نسخه چاپی منحصر به فرد؛ بی کا، بی تا [د.ث. مجلس]</w:t>
      </w:r>
    </w:p>
    <w:p>
      <w:pPr>
        <w:pStyle w:val="Heading3"/>
      </w:pPr>
      <w:bookmarkStart w:id="1236" w:name="_Toc496"/>
      <w:r>
        <w:t>• بیان الإجماع على منع الاجتماع على بدعة الغناء و السماع / فقه / عربی</w:t>
      </w:r>
      <w:bookmarkEnd w:id="1236"/>
    </w:p>
    <w:p>
      <w:pPr>
        <w:pStyle w:val="BookText"/>
      </w:pPr>
      <w:r>
        <w:rPr>
          <w:rFonts w:ascii="Times New Roman" w:hAnsi="Times New Roman" w:eastAsia="Times New Roman" w:cs="Times New Roman"/>
          <w:lang w:val="en-US" w:bidi="en-US"/>
          <w:color w:val="111111"/>
          <w:sz w:val="28"/>
          <w:szCs w:val="28"/>
          <w:rtl/>
        </w:rPr>
        <w:t xml:space="preserve">bayān-ul ijmā“ alā man“-il ijtimā’ ‘alā bid'at-il ġinā’ wa-s samā</w:t>
      </w:r>
    </w:p>
    <w:p>
      <w:pPr>
        <w:pStyle w:val="BookText"/>
      </w:pPr>
      <w:r>
        <w:rPr>
          <w:rFonts w:ascii="IRNazanin" w:hAnsi="IRNazanin" w:eastAsia="IRNazanin" w:cs="IRNazanin"/>
          <w:lang w:bidi="fa-IR"/>
          <w:color w:val="111111"/>
          <w:sz w:val="28"/>
          <w:szCs w:val="28"/>
          <w:rtl/>
        </w:rPr>
        <w:t xml:space="preserve">بقاعی، ابراهیم بن عمر، ۸۰۹؟ -۸۸۵ قمری</w:t>
      </w:r>
    </w:p>
    <w:p>
      <w:pPr>
        <w:pStyle w:val="BookText"/>
      </w:pPr>
      <w:r>
        <w:rPr>
          <w:rFonts w:ascii="Times New Roman" w:hAnsi="Times New Roman" w:eastAsia="Times New Roman" w:cs="Times New Roman"/>
          <w:lang w:val="en-US" w:bidi="en-US"/>
          <w:color w:val="111111"/>
          <w:sz w:val="28"/>
          <w:szCs w:val="28"/>
          <w:rtl/>
        </w:rPr>
        <w:t xml:space="preserve">beqā'ī, ebrāhīm ebn-e ‘omar (1407-1481)</w:t>
      </w:r>
    </w:p>
    <w:p>
      <w:pPr>
        <w:pStyle w:val="BookText"/>
      </w:pPr>
      <w:r>
        <w:rPr>
          <w:rFonts w:ascii="IRNazanin" w:hAnsi="IRNazanin" w:eastAsia="IRNazanin" w:cs="IRNazanin"/>
          <w:lang w:bidi="fa-IR"/>
          <w:color w:val="111111"/>
          <w:sz w:val="28"/>
          <w:szCs w:val="28"/>
          <w:rtl/>
        </w:rPr>
        <w:t xml:space="preserve">دارای چند «فصل» و «باب». مؤلف مطالب خود را ذیل عنوان «مطالب» به طریق سؤال مطرح و پاسخ داده است.</w:t>
      </w:r>
    </w:p>
    <w:p>
      <w:pPr>
        <w:pStyle w:val="BookText"/>
      </w:pPr>
      <w:r>
        <w:rPr>
          <w:rFonts w:ascii="IRNazanin" w:hAnsi="IRNazanin" w:eastAsia="IRNazanin" w:cs="IRNazanin"/>
          <w:lang w:bidi="fa-IR"/>
          <w:color w:val="111111"/>
          <w:sz w:val="28"/>
          <w:szCs w:val="28"/>
          <w:rtl/>
        </w:rPr>
        <w:t xml:space="preserve">[دنا ۵۷۹/۲ ]</w:t>
      </w:r>
    </w:p>
    <w:p>
      <w:pPr>
        <w:pStyle w:val="BookText"/>
      </w:pPr>
      <w:r>
        <w:rPr>
          <w:rFonts w:ascii="IRNazanin" w:hAnsi="IRNazanin" w:eastAsia="IRNazanin" w:cs="IRNazanin"/>
          <w:lang w:bidi="fa-IR"/>
          <w:color w:val="111111"/>
          <w:sz w:val="28"/>
          <w:szCs w:val="28"/>
          <w:rtl/>
        </w:rPr>
        <w:t xml:space="preserve">تبریز؛ ملی؛ شماره نسخه: در ۳۴۶۴</w:t>
      </w:r>
    </w:p>
    <w:p>
      <w:pPr>
        <w:pStyle w:val="BookText"/>
      </w:pPr>
      <w:r>
        <w:rPr>
          <w:rFonts w:ascii="IRNazanin" w:hAnsi="IRNazanin" w:eastAsia="IRNazanin" w:cs="IRNazanin"/>
          <w:lang w:bidi="fa-IR"/>
          <w:color w:val="111111"/>
          <w:sz w:val="28"/>
          <w:szCs w:val="28"/>
          <w:rtl/>
        </w:rPr>
        <w:t xml:space="preserve">آغاز: بسم الله الرحمن الرحيم و به ثقتی، الحمدلله الذي جعل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63" w:name="pg20363_209393"/>
    <w:bookmarkEnd w:id="163"/>
    <w:p>
      <w:pPr>
        <w:pStyle w:val="BookText"/>
      </w:pPr>
      <w:r>
        <w:rPr>
          <w:rFonts w:ascii="IRNazanin" w:hAnsi="IRNazanin" w:eastAsia="IRNazanin" w:cs="IRNazanin"/>
          <w:lang w:bidi="fa-IR"/>
          <w:color w:val="111111"/>
          <w:sz w:val="28"/>
          <w:szCs w:val="28"/>
          <w:rtl/>
        </w:rPr>
        <w:t xml:space="preserve">اولیاء يستمعون القول فيبتعون أحسنه و خذل اعداه فتتبعوا السواد فكانت طريقتهم اقبح شیئی و احسنه و اشهد ان لا اله الا الله؛ انجام: و حسبنا الله و نعم الوکیل، هذا آخر ما اوردته من كتاب الاجماع على منع الاجتماع في بدعة الغنا و السماع، قد تم و لله الحمد قال ذلك جامعه سیدنا و مولانا الشيخ الإمام العالم العلامة الحافظ المتقن ناصر السنة و قامع البدعة ابي الحسن الشيخ برهان الدين البقاعي الشافعي رحمه الله تعالى رحمة واسعة و اعاد من برکاته علينا و على المسلمين آمين بمحمد و آله آمین و كان الفراغ من نسخ هذا الكتاب المبارك في نهار الخميس ثالث عشری شهر رجب الفرد الاصب المبارک من شهور سنة سبعة و اربعین و الف من الهجرة النبوية على صاحبها افضل الصلوة و از کی السلام و لله الحمد والمنة خط: نسخ، بی کا، تا: رجب ۱۰۴۷ق؛ جلد: مقوا با ته چرمی، ۶۴گ، ۲۵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۱-۱۴۳]</w:t>
      </w:r>
    </w:p>
    <w:p>
      <w:pPr>
        <w:pStyle w:val="Heading3"/>
      </w:pPr>
      <w:bookmarkStart w:id="1237" w:name="_Toc497"/>
      <w:r>
        <w:t>• بيان الاحسان لأهل العرفان /عرفان و تصوف / فارسی</w:t>
      </w:r>
      <w:bookmarkEnd w:id="1237"/>
    </w:p>
    <w:p>
      <w:pPr>
        <w:pStyle w:val="BookText"/>
      </w:pPr>
      <w:r>
        <w:rPr>
          <w:rFonts w:ascii="Times New Roman" w:hAnsi="Times New Roman" w:eastAsia="Times New Roman" w:cs="Times New Roman"/>
          <w:lang w:val="en-US" w:bidi="en-US"/>
          <w:color w:val="111111"/>
          <w:sz w:val="28"/>
          <w:szCs w:val="28"/>
          <w:rtl/>
        </w:rPr>
        <w:t xml:space="preserve">bayān-ol ehsān le-ahl-el ‘erfān</w:t>
      </w:r>
    </w:p>
    <w:p>
      <w:pPr>
        <w:pStyle w:val="BookText"/>
      </w:pPr>
      <w:r>
        <w:rPr>
          <w:rFonts w:ascii="IRNazanin" w:hAnsi="IRNazanin" w:eastAsia="IRNazanin" w:cs="IRNazanin"/>
          <w:lang w:bidi="fa-IR"/>
          <w:color w:val="111111"/>
          <w:sz w:val="28"/>
          <w:szCs w:val="28"/>
          <w:rtl/>
        </w:rPr>
        <w:t xml:space="preserve">علاء الدوله سمنانی، احمد بن محمد، ۶۵۹-۷۳۶ ؟ قمری</w:t>
      </w:r>
    </w:p>
    <w:p>
      <w:pPr>
        <w:pStyle w:val="BookText"/>
      </w:pPr>
      <w:r>
        <w:rPr>
          <w:rFonts w:ascii="Times New Roman" w:hAnsi="Times New Roman" w:eastAsia="Times New Roman" w:cs="Times New Roman"/>
          <w:lang w:val="en-US" w:bidi="en-US"/>
          <w:color w:val="111111"/>
          <w:sz w:val="28"/>
          <w:szCs w:val="28"/>
          <w:rtl/>
        </w:rPr>
        <w:t xml:space="preserve">‘alāʻ-od dowle-ye semnānī, ahmad ebn-e mohammad (1262-1336)</w:t>
      </w:r>
    </w:p>
    <w:p>
      <w:pPr>
        <w:pStyle w:val="BookText"/>
      </w:pPr>
      <w:r>
        <w:rPr>
          <w:rFonts w:ascii="IRNazanin" w:hAnsi="IRNazanin" w:eastAsia="IRNazanin" w:cs="IRNazanin"/>
          <w:lang w:bidi="fa-IR"/>
          <w:color w:val="111111"/>
          <w:sz w:val="28"/>
          <w:szCs w:val="28"/>
          <w:rtl/>
        </w:rPr>
        <w:t xml:space="preserve">تاریخ تألیف: شب دوشنبه ۱۹ رمضان ۷۱۳ق در یک شنبه ۱۳ ذیقعده ۷۱۲ ق در شهر مدینه به او الهام شده است که آن را برای فرزند خود محسن الدين بنگارد و به این نام بنامد. دارای چهار فصل» است. ۱. آلهی؛ ۲. نبوت؛ ۳. ولایت؛ ۴. وضع الرسالة.</w:t>
      </w:r>
    </w:p>
    <w:p>
      <w:pPr>
        <w:pStyle w:val="BookText"/>
      </w:pPr>
      <w:r>
        <w:rPr>
          <w:rFonts w:ascii="IRNazanin" w:hAnsi="IRNazanin" w:eastAsia="IRNazanin" w:cs="IRNazanin"/>
          <w:lang w:bidi="fa-IR"/>
          <w:color w:val="111111"/>
          <w:sz w:val="28"/>
          <w:szCs w:val="28"/>
          <w:rtl/>
        </w:rPr>
        <w:t xml:space="preserve">آغاز: سپاس نامتناهی پادشاهی را که به علم ازلی کل لطيف انانیت دارد. اما بعد چون به حکم قد علم كل اناس ... فرزند عزيز ابوالمواهب محسن الدين محمد را از راه تعارف در ترکستان روحا با این بیچاره</w:t>
      </w:r>
    </w:p>
    <w:p>
      <w:pPr>
        <w:pStyle w:val="BookText"/>
      </w:pPr>
      <w:r>
        <w:rPr>
          <w:rFonts w:ascii="IRNazanin" w:hAnsi="IRNazanin" w:eastAsia="IRNazanin" w:cs="IRNazanin"/>
          <w:lang w:bidi="fa-IR"/>
          <w:color w:val="111111"/>
          <w:sz w:val="28"/>
          <w:szCs w:val="28"/>
          <w:rtl/>
        </w:rPr>
        <w:t xml:space="preserve">[دنا ۵۷۹/۲ ؛ الذريعة ۱۷۵/۳ ؛ فهرستواره منزوی ۱۵۸/۷ ]</w:t>
      </w:r>
    </w:p>
    <w:p>
      <w:pPr>
        <w:pStyle w:val="BookText"/>
      </w:pPr>
      <w:r>
        <w:rPr>
          <w:rFonts w:ascii="IRNazanin" w:hAnsi="IRNazanin" w:eastAsia="IRNazanin" w:cs="IRNazanin"/>
          <w:lang w:bidi="fa-IR"/>
          <w:color w:val="111111"/>
          <w:sz w:val="28"/>
          <w:szCs w:val="28"/>
          <w:rtl/>
        </w:rPr>
        <w:t xml:space="preserve">۱. تهران، سپهسالار؛ شماره نسخه: ۲۸۴۴/۷</w:t>
      </w:r>
    </w:p>
    <w:p>
      <w:pPr>
        <w:pStyle w:val="BookText"/>
      </w:pPr>
      <w:r>
        <w:rPr>
          <w:rFonts w:ascii="IRNazanin" w:hAnsi="IRNazanin" w:eastAsia="IRNazanin" w:cs="IRNazanin"/>
          <w:lang w:bidi="fa-IR"/>
          <w:color w:val="111111"/>
          <w:sz w:val="28"/>
          <w:szCs w:val="28"/>
          <w:rtl/>
        </w:rPr>
        <w:t xml:space="preserve">آغاز: برابر؛ انجام: بفضله العظيم غير الممنون ... و جعله من العلماء صورة خط الشيخ ... و تعین نکند و الله الموفق ... بی کا، بی تا، کاغذ: سپاهانی، جلد: تیماج قهوه ای ضربی مقوایی، ۵۲گ (۲۷۰-۳۲۱پ)، ۱۵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سم [ف: ۳-۲۶۸]</w:t>
      </w:r>
    </w:p>
    <w:p>
      <w:pPr>
        <w:pStyle w:val="BookText"/>
      </w:pPr>
      <w:r>
        <w:rPr>
          <w:rFonts w:ascii="IRNazanin" w:hAnsi="IRNazanin" w:eastAsia="IRNazanin" w:cs="IRNazanin"/>
          <w:lang w:bidi="fa-IR"/>
          <w:color w:val="111111"/>
          <w:sz w:val="28"/>
          <w:szCs w:val="28"/>
          <w:rtl/>
        </w:rPr>
        <w:t xml:space="preserve">۲. تهران؛ دانشگاه؛ شماره نسخه: ۵۵۲۵/۱ -ف</w:t>
      </w:r>
    </w:p>
    <w:p>
      <w:pPr>
        <w:pStyle w:val="BookText"/>
      </w:pPr>
      <w:r>
        <w:rPr>
          <w:rFonts w:ascii="IRNazanin" w:hAnsi="IRNazanin" w:eastAsia="IRNazanin" w:cs="IRNazanin"/>
          <w:lang w:bidi="fa-IR"/>
          <w:color w:val="111111"/>
          <w:sz w:val="28"/>
          <w:szCs w:val="28"/>
          <w:rtl/>
        </w:rPr>
        <w:t xml:space="preserve">بی کا، بی تا، ۵۲ص (۷۸-۱۲۹) [فیلمها ف: ۳-۱۶۵]</w:t>
      </w:r>
    </w:p>
    <w:p>
      <w:pPr>
        <w:pStyle w:val="BookText"/>
      </w:pPr>
      <w:r>
        <w:rPr>
          <w:rFonts w:ascii="IRNazanin" w:hAnsi="IRNazanin" w:eastAsia="IRNazanin" w:cs="IRNazanin"/>
          <w:lang w:bidi="fa-IR"/>
          <w:color w:val="111111"/>
          <w:sz w:val="28"/>
          <w:szCs w:val="28"/>
          <w:rtl/>
        </w:rPr>
        <w:t xml:space="preserve">← بیان احکام الاخره ← مسئله في احكام الاخره</w:t>
      </w:r>
    </w:p>
    <w:p>
      <w:pPr>
        <w:pStyle w:val="Heading3"/>
      </w:pPr>
      <w:bookmarkStart w:id="1238" w:name="_Toc498"/>
      <w:r>
        <w:t>• بیان احوال و هابیان / تاریخ / فارسی</w:t>
      </w:r>
      <w:bookmarkEnd w:id="1238"/>
    </w:p>
    <w:p>
      <w:pPr>
        <w:pStyle w:val="BookText"/>
      </w:pPr>
      <w:r>
        <w:rPr>
          <w:rFonts w:ascii="Times New Roman" w:hAnsi="Times New Roman" w:eastAsia="Times New Roman" w:cs="Times New Roman"/>
          <w:lang w:val="en-US" w:bidi="en-US"/>
          <w:color w:val="111111"/>
          <w:sz w:val="28"/>
          <w:szCs w:val="28"/>
          <w:rtl/>
        </w:rPr>
        <w:t xml:space="preserve">bayān-e ahvāl-e vahhābeeyān</w:t>
      </w:r>
    </w:p>
    <w:p>
      <w:pPr>
        <w:pStyle w:val="BookText"/>
      </w:pPr>
      <w:r>
        <w:rPr>
          <w:rFonts w:ascii="IRNazanin" w:hAnsi="IRNazanin" w:eastAsia="IRNazanin" w:cs="IRNazanin"/>
          <w:lang w:bidi="fa-IR"/>
          <w:color w:val="111111"/>
          <w:sz w:val="28"/>
          <w:szCs w:val="28"/>
          <w:rtl/>
        </w:rPr>
        <w:t xml:space="preserve">قدسی، عباسقلی بن میرزا محمد ثانی، ق۱۳ قمری</w:t>
      </w:r>
    </w:p>
    <w:p>
      <w:pPr>
        <w:pStyle w:val="BookText"/>
      </w:pPr>
      <w:r>
        <w:rPr>
          <w:rFonts w:ascii="Times New Roman" w:hAnsi="Times New Roman" w:eastAsia="Times New Roman" w:cs="Times New Roman"/>
          <w:lang w:val="en-US" w:bidi="en-US"/>
          <w:color w:val="111111"/>
          <w:sz w:val="28"/>
          <w:szCs w:val="28"/>
          <w:rtl/>
        </w:rPr>
        <w:t xml:space="preserve">qodsī, ‘abbās-qolī ebn-e mīrzā mohammad-e sānī ( 19c)</w:t>
      </w:r>
    </w:p>
    <w:p>
      <w:pPr>
        <w:pStyle w:val="BookText"/>
      </w:pPr>
      <w:r>
        <w:rPr>
          <w:rFonts w:ascii="IRNazanin" w:hAnsi="IRNazanin" w:eastAsia="IRNazanin" w:cs="IRNazanin"/>
          <w:lang w:bidi="fa-IR"/>
          <w:color w:val="111111"/>
          <w:sz w:val="28"/>
          <w:szCs w:val="28"/>
          <w:rtl/>
        </w:rPr>
        <w:t xml:space="preserve">تاريخ تأليف: ۱۲۵۳ق؛ محل تأليف: تفلیس ترجمه بخش وهابیان از جلد نهم کتاب لغات الفنون است. در ابتدا آورده است: «در مجلد نهم کتاب لغات الفنون روسی که بهترین مصنفات این طایفه به اهتمام مشترک حالا تأليف می سازند، بیان احوال وهابیان را خواندم که بسیاری از سیاحان انگلیس و فرنگی در مصر و عربستان فراهم آورده اند، چون این مقدمه غریبه بیان مجملی از اوضاع عربستان و اظهار بعضی از عقاید اسلام به سیاق تحریر آورد، پی می کند و هم چند گاهی پیش از این در مجلس شریف خدایگانی مورد فيوض ربانی</w:t>
      </w:r>
    </w:p>
    <w:p>
      <w:pPr>
        <w:pStyle w:val="BookText"/>
      </w:pPr>
      <w:r>
        <w:rPr>
          <w:rFonts w:ascii="IRNazanin" w:hAnsi="IRNazanin" w:eastAsia="IRNazanin" w:cs="IRNazanin"/>
          <w:lang w:bidi="fa-IR"/>
          <w:color w:val="111111"/>
          <w:sz w:val="28"/>
          <w:szCs w:val="28"/>
          <w:rtl/>
        </w:rPr>
        <w:t xml:space="preserve">جامع فضایل انسانی اخ العلوم و ابوالمعاني المجتهد عبد الفتاح الطباطبائی مد الله ظله العالی صحبتی رفته بود، فلهذا نوشته مذکوره را به زبان فارسی ترجمه نمودم که اهالی دیار ما نیز به احوال و عقاید آن طایفه اطلاعی بهم رسانند. امید از اهل کمال و اصحاب مقال آنکه اگر در سیاق ترجمه و بط عبارت نقصانی ملاحظه کنند، آن را به قلت استعداد و ضيق مجال حقیر حمل نموده، اصلاح فرمایند. بیت: پوشیدن عیب دگرن خصلت خوبست *** وین خلعت فاخر همه را ستر عيوبست. در ۲۱ ذی حجه سنه ۱۲۵۳ مطابق ۶ مارت سنه ۱۸۳۸ مسیحیه در دارالسرور تفلیس ترجمه نمود عباسقلی بن میرزا محمد خان باکویی مذهب وهابی را که چند گاهی پیش از این، انقلابات دینیه در میان اعراب و آوازه شهرت در اکثر اقلیم افکنده بود».</w:t>
      </w:r>
    </w:p>
    <w:p>
      <w:pPr>
        <w:pStyle w:val="BookText"/>
      </w:pPr>
      <w:r>
        <w:rPr>
          <w:rFonts w:ascii="IRNazanin" w:hAnsi="IRNazanin" w:eastAsia="IRNazanin" w:cs="IRNazanin"/>
          <w:lang w:bidi="fa-IR"/>
          <w:color w:val="111111"/>
          <w:sz w:val="28"/>
          <w:szCs w:val="28"/>
          <w:rtl/>
        </w:rPr>
        <w:t xml:space="preserve">قم؛ مرعشی؛ شماره نسخه: ۱۵۸۵ عکسی</w:t>
      </w:r>
    </w:p>
    <w:p>
      <w:pPr>
        <w:pStyle w:val="BookText"/>
      </w:pPr>
      <w:r>
        <w:rPr>
          <w:rFonts w:ascii="IRNazanin" w:hAnsi="IRNazanin" w:eastAsia="IRNazanin" w:cs="IRNazanin"/>
          <w:lang w:bidi="fa-IR"/>
          <w:color w:val="111111"/>
          <w:sz w:val="28"/>
          <w:szCs w:val="28"/>
          <w:rtl/>
        </w:rPr>
        <w:t xml:space="preserve">آغاز: در مجلد نهم کتاب لغات الفنون روسی ... بیان احوال وهابیان ... شیخ محمد در سنه ۱۶۹۱ مسیحیه؛ انجام: حالا مذهب وهابی در دیار یمن و عمان مجددا قوت می یابد، چنان که بسیاری از سپاه محمد علی پاشا را در سال گذشته در یمن و حجاز ایشان تلف کرده اند. نسخه اصل: آکادمی علوم جمهوری آذربایجان، باکو، شماره 2482-</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 خط: نستعلیق، بی کا، تا: قرن ۱۳، ۲۵ص، ۱۵ سطر عکسی[ ف: ۴-۵۳۷]</w:t>
      </w:r>
    </w:p>
    <w:p>
      <w:pPr>
        <w:pStyle w:val="Heading3"/>
      </w:pPr>
      <w:bookmarkStart w:id="1239" w:name="_Toc499"/>
      <w:r>
        <w:t>• بیان الادیان / ادیان و مذاهب / فارسی</w:t>
      </w:r>
      <w:bookmarkEnd w:id="1239"/>
    </w:p>
    <w:p>
      <w:pPr>
        <w:pStyle w:val="BookText"/>
      </w:pPr>
      <w:r>
        <w:rPr>
          <w:rFonts w:ascii="Times New Roman" w:hAnsi="Times New Roman" w:eastAsia="Times New Roman" w:cs="Times New Roman"/>
          <w:lang w:val="en-US" w:bidi="en-US"/>
          <w:color w:val="111111"/>
          <w:sz w:val="28"/>
          <w:szCs w:val="28"/>
          <w:rtl/>
        </w:rPr>
        <w:t xml:space="preserve">bayān-ol adyān</w:t>
      </w:r>
    </w:p>
    <w:p>
      <w:pPr>
        <w:pStyle w:val="BookText"/>
      </w:pPr>
      <w:r>
        <w:rPr>
          <w:rFonts w:ascii="IRNazanin" w:hAnsi="IRNazanin" w:eastAsia="IRNazanin" w:cs="IRNazanin"/>
          <w:lang w:bidi="fa-IR"/>
          <w:color w:val="111111"/>
          <w:sz w:val="28"/>
          <w:szCs w:val="28"/>
          <w:rtl/>
        </w:rPr>
        <w:t xml:space="preserve">رازی علوی، محمد بن حسین، ق۵ قمری</w:t>
      </w:r>
    </w:p>
    <w:p>
      <w:pPr>
        <w:pStyle w:val="BookText"/>
      </w:pPr>
      <w:r>
        <w:rPr>
          <w:rFonts w:ascii="Times New Roman" w:hAnsi="Times New Roman" w:eastAsia="Times New Roman" w:cs="Times New Roman"/>
          <w:lang w:val="en-US" w:bidi="en-US"/>
          <w:color w:val="111111"/>
          <w:sz w:val="28"/>
          <w:szCs w:val="28"/>
          <w:rtl/>
        </w:rPr>
        <w:t xml:space="preserve">rāzī aʻlavī, mohammad ebn-e hoseyn (- 11c)</w:t>
      </w:r>
    </w:p>
    <w:p>
      <w:pPr>
        <w:pStyle w:val="BookText"/>
      </w:pPr>
      <w:r>
        <w:rPr>
          <w:rFonts w:ascii="IRNazanin" w:hAnsi="IRNazanin" w:eastAsia="IRNazanin" w:cs="IRNazanin"/>
          <w:lang w:bidi="fa-IR"/>
          <w:color w:val="111111"/>
          <w:sz w:val="28"/>
          <w:szCs w:val="28"/>
          <w:rtl/>
        </w:rPr>
        <w:t xml:space="preserve">تاریخ تأليف: ۴۸۵ق</w:t>
      </w:r>
    </w:p>
    <w:p>
      <w:pPr>
        <w:pStyle w:val="BookText"/>
      </w:pPr>
      <w:r>
        <w:rPr>
          <w:rFonts w:ascii="IRNazanin" w:hAnsi="IRNazanin" w:eastAsia="IRNazanin" w:cs="IRNazanin"/>
          <w:lang w:bidi="fa-IR"/>
          <w:color w:val="111111"/>
          <w:sz w:val="28"/>
          <w:szCs w:val="28"/>
          <w:rtl/>
        </w:rPr>
        <w:t xml:space="preserve">متن کوتاهی است در شرح ادیان و مذاهب اسلامی و کهن ترین کتاب فارسی در زمینه ملل و نحل است که اکنون در دسترس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64" w:name="pg20363_209394"/>
    <w:bookmarkEnd w:id="164"/>
    <w:p>
      <w:pPr>
        <w:pStyle w:val="BookText"/>
      </w:pPr>
      <w:r>
        <w:rPr>
          <w:rFonts w:ascii="IRNazanin" w:hAnsi="IRNazanin" w:eastAsia="IRNazanin" w:cs="IRNazanin"/>
          <w:lang w:bidi="fa-IR"/>
          <w:color w:val="111111"/>
          <w:sz w:val="28"/>
          <w:szCs w:val="28"/>
          <w:rtl/>
        </w:rPr>
        <w:t xml:space="preserve">می باشد، مؤلف آن را در پنج «باب» نگاشته: 1. اعتقاد اکثر خلق به صانع عزوجل؛ ۲. بیان مذهب هایی که پیش از اسلام داشته اند؛ ٣. بیان حدیث حضرت پیامبر اکرم (صلی الله علیه وآله وسلم)؛ ۴. باین مذهب های اسلامی؛ ۵. یاد کردن حکایات و نوادر گروهی که دعوی های باطل کرده اند.</w:t>
      </w:r>
    </w:p>
    <w:p>
      <w:pPr>
        <w:pStyle w:val="BookText"/>
      </w:pPr>
      <w:r>
        <w:rPr>
          <w:rFonts w:ascii="IRNazanin" w:hAnsi="IRNazanin" w:eastAsia="IRNazanin" w:cs="IRNazanin"/>
          <w:lang w:bidi="fa-IR"/>
          <w:color w:val="111111"/>
          <w:sz w:val="28"/>
          <w:szCs w:val="28"/>
          <w:rtl/>
        </w:rPr>
        <w:t xml:space="preserve">آغاز: سپاس و ستایش آفرید کاری راست، جلت قدرته که ما را بذات خویش شناس کرد و راه معرفت و شناخت خویش بر دلهای ما پیدا کردانید.</w:t>
      </w:r>
    </w:p>
    <w:p>
      <w:pPr>
        <w:pStyle w:val="BookText"/>
      </w:pPr>
      <w:r>
        <w:rPr>
          <w:rFonts w:ascii="IRNazanin" w:hAnsi="IRNazanin" w:eastAsia="IRNazanin" w:cs="IRNazanin"/>
          <w:lang w:bidi="fa-IR"/>
          <w:color w:val="111111"/>
          <w:sz w:val="28"/>
          <w:szCs w:val="28"/>
          <w:rtl/>
        </w:rPr>
        <w:t xml:space="preserve">انجام: و این ملحدان فاسق و فاجر و كذاب و دشمن خدا و حضرات ائمه اند و در کفر ایشان شکی نیست، و الله اعلم</w:t>
      </w:r>
    </w:p>
    <w:p>
      <w:pPr>
        <w:pStyle w:val="BookText"/>
      </w:pPr>
      <w:r>
        <w:rPr>
          <w:rFonts w:ascii="IRNazanin" w:hAnsi="IRNazanin" w:eastAsia="IRNazanin" w:cs="IRNazanin"/>
          <w:lang w:bidi="fa-IR"/>
          <w:color w:val="111111"/>
          <w:sz w:val="28"/>
          <w:szCs w:val="28"/>
          <w:rtl/>
        </w:rPr>
        <w:t xml:space="preserve">چاپ: به کوشش عباس اقبال از روی چاپ شفر، که از روی نسخه پاریس بوده و باب پنجم را نداشته چاپ شده، سپس باب پنجم آن را آقای دانش پژوه از روی نسخه آقای مهدوی در فرهنگ ایران زمین چاپ کرده اند؛ هاشم رضی با توجه به چاپ اقبال و افزوده هایی در سال ۱۳۴۲ ش آن را چاپ کرد.</w:t>
      </w:r>
    </w:p>
    <w:p>
      <w:pPr>
        <w:pStyle w:val="BookText"/>
      </w:pPr>
      <w:r>
        <w:rPr>
          <w:rFonts w:ascii="IRNazanin" w:hAnsi="IRNazanin" w:eastAsia="IRNazanin" w:cs="IRNazanin"/>
          <w:lang w:bidi="fa-IR"/>
          <w:color w:val="111111"/>
          <w:sz w:val="28"/>
          <w:szCs w:val="28"/>
          <w:rtl/>
        </w:rPr>
        <w:t xml:space="preserve">[دنا ۵۸۰/۲ (۹ نسخه)؛ نسخه های منزوی ۱۷۲۲؛ فهرستواره منزوی ۲۰۳۳/۳ و ۱۵۶/۹ ]</w:t>
      </w:r>
    </w:p>
    <w:p>
      <w:pPr>
        <w:pStyle w:val="BookText"/>
      </w:pPr>
      <w:r>
        <w:rPr>
          <w:rFonts w:ascii="IRNazanin" w:hAnsi="IRNazanin" w:eastAsia="IRNazanin" w:cs="IRNazanin"/>
          <w:lang w:bidi="fa-IR"/>
          <w:color w:val="111111"/>
          <w:sz w:val="28"/>
          <w:szCs w:val="28"/>
          <w:rtl/>
        </w:rPr>
        <w:t xml:space="preserve">۱. قم؛ مرعشی؛ شماره نسخه: ۹۲۸۶</w:t>
      </w:r>
    </w:p>
    <w:p>
      <w:pPr>
        <w:pStyle w:val="BookText"/>
      </w:pPr>
      <w:r>
        <w:rPr>
          <w:rFonts w:ascii="IRNazanin" w:hAnsi="IRNazanin" w:eastAsia="IRNazanin" w:cs="IRNazanin"/>
          <w:lang w:bidi="fa-IR"/>
          <w:color w:val="111111"/>
          <w:sz w:val="28"/>
          <w:szCs w:val="28"/>
          <w:rtl/>
        </w:rPr>
        <w:t xml:space="preserve">آغاز: برابر؛ انجام: هر گاه که من بر «جولا مكان بر گذشتی فرا بیکدیگر بودند و گفتندی.</w:t>
      </w:r>
    </w:p>
    <w:p>
      <w:pPr>
        <w:pStyle w:val="BookText"/>
      </w:pPr>
      <w:r>
        <w:rPr>
          <w:rFonts w:ascii="IRNazanin" w:hAnsi="IRNazanin" w:eastAsia="IRNazanin" w:cs="IRNazanin"/>
          <w:lang w:bidi="fa-IR"/>
          <w:color w:val="111111"/>
          <w:sz w:val="28"/>
          <w:szCs w:val="28"/>
          <w:rtl/>
        </w:rPr>
        <w:t xml:space="preserve">خط: نستعلیق، بی کا، تا: قرن ۹، افتادگی: انجام؛ تملك: اسماعيل با مهر «بنده آل محمد اسماعيل» (بیضوی)؛ جلد: تیماج زرد بدون مقوا، ۷۰گ، ۱۳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۲۴-۷۲)</w:t>
      </w:r>
    </w:p>
    <w:p>
      <w:pPr>
        <w:pStyle w:val="BookText"/>
      </w:pPr>
      <w:r>
        <w:rPr>
          <w:rFonts w:ascii="IRNazanin" w:hAnsi="IRNazanin" w:eastAsia="IRNazanin" w:cs="IRNazanin"/>
          <w:lang w:bidi="fa-IR"/>
          <w:color w:val="111111"/>
          <w:sz w:val="28"/>
          <w:szCs w:val="28"/>
          <w:rtl/>
        </w:rPr>
        <w:t xml:space="preserve">۲. تهران، دانشگاه؛ شماره نسخه: ۸۴۹/۷</w:t>
      </w:r>
    </w:p>
    <w:p>
      <w:pPr>
        <w:pStyle w:val="BookText"/>
      </w:pPr>
      <w:r>
        <w:rPr>
          <w:rFonts w:ascii="IRNazanin" w:hAnsi="IRNazanin" w:eastAsia="IRNazanin" w:cs="IRNazanin"/>
          <w:lang w:bidi="fa-IR"/>
          <w:color w:val="111111"/>
          <w:sz w:val="28"/>
          <w:szCs w:val="28"/>
          <w:rtl/>
        </w:rPr>
        <w:t xml:space="preserve">نسخه اصل: پاریس 1356 .</w:t>
      </w:r>
      <w:r>
        <w:rPr>
          <w:rFonts w:ascii="Times New Roman" w:hAnsi="Times New Roman" w:eastAsia="Times New Roman" w:cs="Times New Roman"/>
          <w:lang w:val="en-US" w:bidi="en-US"/>
          <w:color w:val="111111"/>
          <w:sz w:val="28"/>
          <w:szCs w:val="28"/>
          <w:rtl/>
        </w:rPr>
        <w:t xml:space="preserve">S. P</w:t>
      </w:r>
      <w:r>
        <w:rPr>
          <w:rFonts w:ascii="IRNazanin" w:hAnsi="IRNazanin" w:eastAsia="IRNazanin" w:cs="IRNazanin"/>
          <w:lang w:bidi="fa-IR"/>
          <w:color w:val="111111"/>
          <w:sz w:val="28"/>
          <w:szCs w:val="28"/>
          <w:rtl/>
        </w:rPr>
        <w:t xml:space="preserve">؛ خط: نسخ، بی کا، تا: ۸۷۷ق؛ ۱۷ سطر [فیلمها ف: ۱-۵۴۲]</w:t>
      </w:r>
    </w:p>
    <w:p>
      <w:pPr>
        <w:pStyle w:val="BookText"/>
      </w:pPr>
      <w:r>
        <w:rPr>
          <w:rFonts w:ascii="IRNazanin" w:hAnsi="IRNazanin" w:eastAsia="IRNazanin" w:cs="IRNazanin"/>
          <w:lang w:bidi="fa-IR"/>
          <w:color w:val="111111"/>
          <w:sz w:val="28"/>
          <w:szCs w:val="28"/>
          <w:rtl/>
        </w:rPr>
        <w:t xml:space="preserve">٣. قم؛ مرعشی؛ شماره نسخه: ۱۳۰۳۷/۱</w:t>
      </w:r>
    </w:p>
    <w:p>
      <w:pPr>
        <w:pStyle w:val="BookText"/>
      </w:pPr>
      <w:r>
        <w:rPr>
          <w:rFonts w:ascii="IRNazanin" w:hAnsi="IRNazanin" w:eastAsia="IRNazanin" w:cs="IRNazanin"/>
          <w:lang w:bidi="fa-IR"/>
          <w:color w:val="111111"/>
          <w:sz w:val="28"/>
          <w:szCs w:val="28"/>
          <w:rtl/>
        </w:rPr>
        <w:t xml:space="preserve">آغاز: برابر؛ انجام: و اکنون از ایزد تعالی می خواهیم تا ما را براه راست نگاهدارد و از خذلالن معصوم دارد، فانه جواد کریم، تم الباب الرابع من کتاب بيان الاديان. شامل چهار باب است؛ خط: نسخ، بی کا، تا: قرن ۱۱؛ افتادگی: انجام؛ مصحح؛ مهر: «محمد ابراهیم» (بیضی)، «العبد المذنب محمد ۱۲۳۰ (بیضی)، «المهدي من هديت» (مربع)؛ کاغذ: شرقی آهار مهره، ۳۷گ، ۵ سطر، اندازه: ۱۱/۵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۱۷/۵سم اف: ۳۳-۷۷]</w:t>
      </w:r>
    </w:p>
    <w:p>
      <w:pPr>
        <w:pStyle w:val="BookText"/>
      </w:pPr>
      <w:r>
        <w:rPr>
          <w:rFonts w:ascii="IRNazanin" w:hAnsi="IRNazanin" w:eastAsia="IRNazanin" w:cs="IRNazanin"/>
          <w:lang w:bidi="fa-IR"/>
          <w:color w:val="111111"/>
          <w:sz w:val="28"/>
          <w:szCs w:val="28"/>
          <w:rtl/>
        </w:rPr>
        <w:t xml:space="preserve">۴. تهران؛ مجلس؛ شماره نسخه: ۱۰۱۳۷/۶</w:t>
      </w:r>
    </w:p>
    <w:p>
      <w:pPr>
        <w:pStyle w:val="BookText"/>
      </w:pPr>
      <w:r>
        <w:rPr>
          <w:rFonts w:ascii="IRNazanin" w:hAnsi="IRNazanin" w:eastAsia="IRNazanin" w:cs="IRNazanin"/>
          <w:lang w:bidi="fa-IR"/>
          <w:color w:val="111111"/>
          <w:sz w:val="28"/>
          <w:szCs w:val="28"/>
          <w:rtl/>
        </w:rPr>
        <w:t xml:space="preserve">آغاز: برابر؛ انجام: و با مردم به شمشیر می گفت.</w:t>
      </w:r>
    </w:p>
    <w:p>
      <w:pPr>
        <w:pStyle w:val="BookText"/>
      </w:pPr>
      <w:r>
        <w:rPr>
          <w:rFonts w:ascii="IRNazanin" w:hAnsi="IRNazanin" w:eastAsia="IRNazanin" w:cs="IRNazanin"/>
          <w:lang w:bidi="fa-IR"/>
          <w:color w:val="111111"/>
          <w:sz w:val="28"/>
          <w:szCs w:val="28"/>
          <w:rtl/>
        </w:rPr>
        <w:t xml:space="preserve">خط: نستعلیق، بی کا، تا: قرن ۱۱؛ مهر: «الواثق بالله الغني علاء الدین بن منصور الحسینی» (بیضوی)؛ جلد: تیماج کرم رنگ با عطف و گوشه تیماج مشکی، عص (۱۲۷-۱۳۲)،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سم [ف: ۳۲-۱۷۵]</w:t>
      </w:r>
    </w:p>
    <w:p>
      <w:pPr>
        <w:pStyle w:val="BookText"/>
      </w:pPr>
      <w:r>
        <w:rPr>
          <w:rFonts w:ascii="IRNazanin" w:hAnsi="IRNazanin" w:eastAsia="IRNazanin" w:cs="IRNazanin"/>
          <w:lang w:bidi="fa-IR"/>
          <w:color w:val="111111"/>
          <w:sz w:val="28"/>
          <w:szCs w:val="28"/>
          <w:rtl/>
        </w:rPr>
        <w:t xml:space="preserve">۵. تهران؛ دانشگاه؛ شماره نسخه: ۷۱۰۸/۲</w:t>
      </w:r>
    </w:p>
    <w:p>
      <w:pPr>
        <w:pStyle w:val="BookText"/>
      </w:pPr>
      <w:r>
        <w:rPr>
          <w:rFonts w:ascii="IRNazanin" w:hAnsi="IRNazanin" w:eastAsia="IRNazanin" w:cs="IRNazanin"/>
          <w:lang w:bidi="fa-IR"/>
          <w:color w:val="111111"/>
          <w:sz w:val="28"/>
          <w:szCs w:val="28"/>
          <w:rtl/>
        </w:rPr>
        <w:t xml:space="preserve">تا سبعيه و در پایان آمده که «نسخه همین بود ان شاء الله توفیق رفیق شود بدست آورده تمام کنیم»؛ خط: نستعلیق، کا: نورالدين محمد بن محمد تقی همدانی، تا: یک شنبه صفر ۱۵(=۱۰۰۵)ق؛ کاغذ: سپاهانی، جلد: تیماج سرخ لایی، ۱۹ص، ۱۶ سطر (۸۶۳/۵</w:t>
      </w:r>
    </w:p>
    <w:p>
      <w:pPr>
        <w:pStyle w:val="BookText"/>
      </w:pPr>
      <w:r>
        <w:rPr>
          <w:rFonts w:ascii="IRNazanin" w:hAnsi="IRNazanin" w:eastAsia="IRNazanin" w:cs="IRNazanin"/>
          <w:lang w:bidi="fa-IR"/>
          <w:color w:val="111111"/>
          <w:sz w:val="28"/>
          <w:szCs w:val="28"/>
          <w:rtl/>
        </w:rPr>
        <w:t xml:space="preserve">و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قطع: ربعی، اندازه: ۱۲/۵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سم [ف: ۱۶-۴۵۶]</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يزد؛ صدوقی یزدی؛ شماره نسخه: ۳۵/۴</w:t>
      </w:r>
    </w:p>
    <w:p>
      <w:pPr>
        <w:pStyle w:val="BookText"/>
      </w:pPr>
      <w:r>
        <w:rPr>
          <w:rFonts w:ascii="IRNazanin" w:hAnsi="IRNazanin" w:eastAsia="IRNazanin" w:cs="IRNazanin"/>
          <w:lang w:bidi="fa-IR"/>
          <w:color w:val="111111"/>
          <w:sz w:val="28"/>
          <w:szCs w:val="28"/>
          <w:rtl/>
        </w:rPr>
        <w:t xml:space="preserve">آغاز و انجام: برابر خط: نستعلیق، كا: محمد مؤمن الخطيب، تا: ۱۰۴۰ق؛ جلد: تیماج قهوه ای، ۹گ (۴۰-۴۸پ)، ۱۴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۲۸]</w:t>
      </w:r>
    </w:p>
    <w:p>
      <w:pPr>
        <w:pStyle w:val="BookText"/>
      </w:pPr>
      <w:r>
        <w:rPr>
          <w:rFonts w:ascii="IRNazanin" w:hAnsi="IRNazanin" w:eastAsia="IRNazanin" w:cs="IRNazanin"/>
          <w:lang w:bidi="fa-IR"/>
          <w:color w:val="111111"/>
          <w:sz w:val="28"/>
          <w:szCs w:val="28"/>
          <w:rtl/>
        </w:rPr>
        <w:t xml:space="preserve">۷. تهران، دانشگاه؛ شماره نسخه: ۳۵۲۵/۴ - ف</w:t>
      </w:r>
    </w:p>
    <w:p>
      <w:pPr>
        <w:pStyle w:val="BookText"/>
      </w:pPr>
      <w:r>
        <w:rPr>
          <w:rFonts w:ascii="IRNazanin" w:hAnsi="IRNazanin" w:eastAsia="IRNazanin" w:cs="IRNazanin"/>
          <w:lang w:bidi="fa-IR"/>
          <w:color w:val="111111"/>
          <w:sz w:val="28"/>
          <w:szCs w:val="28"/>
          <w:rtl/>
        </w:rPr>
        <w:t xml:space="preserve">نسخه اصل: نسخه آقای بنی آدم. با باب پنجم و کامل ولی دیباچه ای ندارد. با آنچه چاپ شده مختلف است از جمله نامی از احسن الكبار در آن نیست ولی به جای آن مطالب بیشتری دارد؛ خط: نستعلیق، بی کا، تا: ۲۸ ربیع الثانی ۱۰۶۳ق، قطع: رحلی [فیلمها ف: ۲-۱۶۱]</w:t>
      </w:r>
    </w:p>
    <w:p>
      <w:pPr>
        <w:pStyle w:val="BookText"/>
      </w:pPr>
      <w:r>
        <w:rPr>
          <w:rFonts w:ascii="IRNazanin" w:hAnsi="IRNazanin" w:eastAsia="IRNazanin" w:cs="IRNazanin"/>
          <w:lang w:bidi="fa-IR"/>
          <w:color w:val="111111"/>
          <w:sz w:val="28"/>
          <w:szCs w:val="28"/>
          <w:rtl/>
        </w:rPr>
        <w:t xml:space="preserve">۸. مشهد؛ رضوی؛ شماره نسخه: ۲۳۷۳۹</w:t>
      </w:r>
    </w:p>
    <w:p>
      <w:pPr>
        <w:pStyle w:val="BookText"/>
      </w:pPr>
      <w:r>
        <w:rPr>
          <w:rFonts w:ascii="IRNazanin" w:hAnsi="IRNazanin" w:eastAsia="IRNazanin" w:cs="IRNazanin"/>
          <w:lang w:bidi="fa-IR"/>
          <w:color w:val="111111"/>
          <w:sz w:val="28"/>
          <w:szCs w:val="28"/>
          <w:rtl/>
        </w:rPr>
        <w:t xml:space="preserve">آغاز: بیان الاديان ۴۸۵ هجریه ... کتاب بيان الأديان؛ انجام: تمام شد در شهر صفر ۱۳۷۶ اصغر الموسوی غفر له خط: نستعلیق تحریری، كا: اصغر موسوی، تا: قرن ۱۴؛ کاغذ: مشقی، جلد: مقوا [رایانه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قم؛ مرعشی؛ شماره نسخه: ۱/۱۰۵۱۰</w:t>
      </w:r>
    </w:p>
    <w:p>
      <w:pPr>
        <w:pStyle w:val="BookText"/>
      </w:pPr>
      <w:r>
        <w:rPr>
          <w:rFonts w:ascii="IRNazanin" w:hAnsi="IRNazanin" w:eastAsia="IRNazanin" w:cs="IRNazanin"/>
          <w:lang w:bidi="fa-IR"/>
          <w:color w:val="111111"/>
          <w:sz w:val="28"/>
          <w:szCs w:val="28"/>
          <w:rtl/>
        </w:rPr>
        <w:t xml:space="preserve">خط: نسخ خوش، بی کا، بی تا، قطع: وزيري [میراث شهاب: س ۸ش ۴-۴۹]</w:t>
      </w:r>
    </w:p>
    <w:p>
      <w:pPr>
        <w:pStyle w:val="BookText"/>
      </w:pPr>
      <w:r>
        <w:rPr>
          <w:rFonts w:ascii="IRNazanin" w:hAnsi="IRNazanin" w:eastAsia="IRNazanin" w:cs="IRNazanin"/>
          <w:lang w:bidi="fa-IR"/>
          <w:color w:val="111111"/>
          <w:sz w:val="28"/>
          <w:szCs w:val="28"/>
          <w:rtl/>
        </w:rPr>
        <w:t xml:space="preserve">۱۰. تهران، دانشگاه؛ شماره نسخه: ۳۹۳۵/۲ -ف</w:t>
      </w:r>
    </w:p>
    <w:p>
      <w:pPr>
        <w:pStyle w:val="BookText"/>
      </w:pPr>
      <w:r>
        <w:rPr>
          <w:rFonts w:ascii="IRNazanin" w:hAnsi="IRNazanin" w:eastAsia="IRNazanin" w:cs="IRNazanin"/>
          <w:lang w:bidi="fa-IR"/>
          <w:color w:val="111111"/>
          <w:sz w:val="28"/>
          <w:szCs w:val="28"/>
          <w:rtl/>
        </w:rPr>
        <w:t xml:space="preserve">نسخه اصل: مجلس؛ بی کا، بی تا [فیلمها ف: ۲-۲۸۴]</w:t>
      </w:r>
    </w:p>
    <w:p>
      <w:pPr>
        <w:pStyle w:val="Heading3"/>
      </w:pPr>
      <w:bookmarkStart w:id="1240" w:name="_Toc500"/>
      <w:r>
        <w:t>• بيان الاسرار = شرح مصباح الشريعة /شرح حديث /فارسی</w:t>
      </w:r>
      <w:bookmarkEnd w:id="1240"/>
    </w:p>
    <w:p>
      <w:pPr>
        <w:pStyle w:val="BookText"/>
      </w:pPr>
      <w:r>
        <w:rPr>
          <w:rFonts w:ascii="Times New Roman" w:hAnsi="Times New Roman" w:eastAsia="Times New Roman" w:cs="Times New Roman"/>
          <w:lang w:val="en-US" w:bidi="en-US"/>
          <w:color w:val="111111"/>
          <w:sz w:val="28"/>
          <w:szCs w:val="28"/>
          <w:rtl/>
        </w:rPr>
        <w:t xml:space="preserve">bayān-ol asrār = š.-e mesbāh-oš šarī“a</w:t>
      </w:r>
    </w:p>
    <w:p>
      <w:pPr>
        <w:pStyle w:val="BookText"/>
      </w:pPr>
      <w:r>
        <w:rPr>
          <w:rFonts w:ascii="IRNazanin" w:hAnsi="IRNazanin" w:eastAsia="IRNazanin" w:cs="IRNazanin"/>
          <w:lang w:bidi="fa-IR"/>
          <w:color w:val="111111"/>
          <w:sz w:val="28"/>
          <w:szCs w:val="28"/>
          <w:rtl/>
        </w:rPr>
        <w:t xml:space="preserve">زاهدی، حسین بن ابدال، ق ۱۱ قمری</w:t>
      </w:r>
    </w:p>
    <w:p>
      <w:pPr>
        <w:pStyle w:val="BookText"/>
      </w:pPr>
      <w:r>
        <w:rPr>
          <w:rFonts w:ascii="Times New Roman" w:hAnsi="Times New Roman" w:eastAsia="Times New Roman" w:cs="Times New Roman"/>
          <w:lang w:val="en-US" w:bidi="en-US"/>
          <w:color w:val="111111"/>
          <w:sz w:val="28"/>
          <w:szCs w:val="28"/>
          <w:rtl/>
        </w:rPr>
        <w:t xml:space="preserve">zāhedī, hoseyn ebn-e abdāl (- 17c)</w:t>
      </w:r>
    </w:p>
    <w:p>
      <w:pPr>
        <w:pStyle w:val="BookText"/>
      </w:pPr>
      <w:r>
        <w:rPr>
          <w:rFonts w:ascii="Amiri" w:hAnsi="Amiri" w:eastAsia="Amiri" w:cs="Amiri"/>
          <w:lang w:bidi="ar-SA"/>
          <w:color w:val="111111"/>
          <w:sz w:val="28"/>
          <w:szCs w:val="28"/>
          <w:rtl/>
        </w:rPr>
        <w:t xml:space="preserve">وابسته به مصباح الشريعة و مفتاح الحقيقة؛ جعفر بن محمد(عليه السلام)، امام ششم (۸۰-۱۴۸)</w:t>
      </w:r>
    </w:p>
    <w:p>
      <w:pPr>
        <w:pStyle w:val="BookText"/>
      </w:pPr>
      <w:r>
        <w:rPr>
          <w:rFonts w:ascii="IRNazanin" w:hAnsi="IRNazanin" w:eastAsia="IRNazanin" w:cs="IRNazanin"/>
          <w:lang w:bidi="fa-IR"/>
          <w:color w:val="111111"/>
          <w:sz w:val="28"/>
          <w:szCs w:val="28"/>
          <w:rtl/>
        </w:rPr>
        <w:t xml:space="preserve">تاریخ تأليف: ۱۰۵۸ق</w:t>
      </w:r>
    </w:p>
    <w:p>
      <w:pPr>
        <w:pStyle w:val="BookText"/>
      </w:pPr>
      <w:r>
        <w:rPr>
          <w:rFonts w:ascii="IRNazanin" w:hAnsi="IRNazanin" w:eastAsia="IRNazanin" w:cs="IRNazanin"/>
          <w:lang w:bidi="fa-IR"/>
          <w:color w:val="111111"/>
          <w:sz w:val="28"/>
          <w:szCs w:val="28"/>
          <w:rtl/>
        </w:rPr>
        <w:t xml:space="preserve">چهل باب از کتاب «مصباح الشريعة و مفتاح الحقيقه» که منسوب به امام صادق(عليه السلام)و مشتمل بر صد باب در موضوعات مختلف اخلاقی و اعتقادی می باشد را انتخاب و ترجمه و شرح کرده است. وی «مصباح الشریعه» را از سخنان امام صادق(عليه السلام)و گرد آوری شهید ثانی معرفی نموده و در این مورد چنین می نگارد: «اما بعد بر سالکان عارف و عارفان موحد پوشیده نماناد که مضمون حديث الشريعة اقوالي و الطريقة افعالی و الحقيقة احوالی بر عالميان ظاهر است بناء على هذا حضرت امام الناطق ... جعفر الصادق عليه السلام در صدد و تبیین وی در آمده معانی او را به عبارات مختلفه و اشارات لايقه بیان فرموده ... و شیخ زین الدين المشهور بشهید ثاني توفيق تأليف آن یافته به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مصباح الشریعه و مفتاح الحقيقه موسوم گردانیده اند و کمترین بی بضاعت شیخ حسین زاهدی ... چهل باب از ابواب که به سرحد انات رسیده است و محتاج اليه سالکان است ابراز نموده به عبارات فارسی و الفاظ قریب به فهم شرح نماید و در ذیل هر باب آنچه از مشایخ عظام بالاصالة و يا بالمشافهة معلوم او شده باشد بنابر مصلحت وقت معروض نموده آید ...». ابواب آن عبارت است از: معرفت، رضا، افتتاح الصلوة، صوم، حج ، جهاد و ریاضت، اقتدا، توبه، ذکر، عزلت، صمت، نوم، زهد، تقوی، صدق، ورع، اخلاص، توکل، تفویض، یقین، حب الله، شوق، راحت، حسن خلق، غض البصر، تکلیف، اخذ و عطايا، حزن، بر الو الدین، آفة العلما، معرفة الجميل، مدح و ثناء، طمع، فساد، وسوسه، صفة الدين، حسد، خوف و رجاء و حقيقة العبودية. وي نخست تمام متن یک باب را نقل می کند و با عنوان شرح به ترجمه آن و سپس با عنوان «بیان» به تفسیر و توضیح و نقل سخنان دیگران و روایات دیگر می پردازد. پس از پایان شرح و بیان چهل باب خاتمه ای در بیان مبدأ و معاد نهاده که ناقص است و ظاهرا بیش از این تألیف نشده است. آغاز: حمد و ثنای که مقربان ملاء اعلى و منشیان عالم بالا و خلوت نشینان خطه غبرا نسخه ای از ادای آن عاجز آیند ... اما بعد سالكان و عارفان موحد پوشیده نماند که مضمون حديث الشريعة اقوالي و الطريقه احوالى و الحقيقه حالی بر عالميان ظاهر است بناء على هذا حضرت امام ناطق ... جعفر الصادق(عليه السلام) در صدد تبیین وی در آمده و معانی او را با عبارات مختلفه و اشارات لايحه بیان فرموده اند و فتح الباب خزائن او نموده و اعظم الموحدین و قطب المجتهدین شیخ زين الدين المشهور شهید ثاني توفيق تألیف یافته ...</w:t>
      </w:r>
    </w:p>
    <w:p>
      <w:pPr>
        <w:pStyle w:val="BookText"/>
      </w:pPr>
      <w:r>
        <w:rPr>
          <w:rFonts w:ascii="IRNazanin" w:hAnsi="IRNazanin" w:eastAsia="IRNazanin" w:cs="IRNazanin"/>
          <w:lang w:bidi="fa-IR"/>
          <w:color w:val="111111"/>
          <w:sz w:val="28"/>
          <w:szCs w:val="28"/>
          <w:rtl/>
        </w:rPr>
        <w:t xml:space="preserve">[دنا ۵۸۰/۲ (۱۱نسخه)؛ نسخه های منزوی ۱۰۶۶؛ رجوع شود به مقدمه آقای محدث بر شرح عبد الرزاق گیلانی بر مصباح الشریعه که با کوشش و تعليقات ایشان چاپ شده و نیز لغت نامه دهخدا: زاهدی -شیخ حسین؛ الذریعه ۱۱۵/۲۶ ؛ فهرستواره منزوی ۱۵۸/۷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اصفهان؛ دانشگاه؛ شماره نسخه: ۲۹۵</w:t>
      </w:r>
    </w:p>
    <w:p>
      <w:pPr>
        <w:pStyle w:val="BookText"/>
      </w:pPr>
      <w:r>
        <w:rPr>
          <w:rFonts w:ascii="IRNazanin" w:hAnsi="IRNazanin" w:eastAsia="IRNazanin" w:cs="IRNazanin"/>
          <w:lang w:bidi="fa-IR"/>
          <w:color w:val="111111"/>
          <w:sz w:val="28"/>
          <w:szCs w:val="28"/>
          <w:rtl/>
        </w:rPr>
        <w:t xml:space="preserve">خط: نسخ و نستعلیق، بی کا، تا: ۱۰۱۶ق؛ یادداشتی درباره کتاب و مؤلف که مؤلف مصباح الشریعه را شهید ثانی دانسته، در برگی پایانی یادداشتی در باره تاریخ کتابت از محمد در رمضان ۱۳۳۹؛ جلد: تیماج قرمز، ۱۴۰گ، ۱۵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سم [ف: ۱-۲۱۶]</w:t>
      </w:r>
    </w:p>
    <w:p>
      <w:pPr>
        <w:pStyle w:val="BookText"/>
      </w:pPr>
      <w:r>
        <w:rPr>
          <w:rFonts w:ascii="IRNazanin" w:hAnsi="IRNazanin" w:eastAsia="IRNazanin" w:cs="IRNazanin"/>
          <w:lang w:bidi="fa-IR"/>
          <w:color w:val="111111"/>
          <w:sz w:val="28"/>
          <w:szCs w:val="28"/>
          <w:rtl/>
        </w:rPr>
        <w:t xml:space="preserve">٢. اصفهان، دانشگاه؛ شماره نسخه: ۴۳۰</w:t>
      </w:r>
    </w:p>
    <w:p>
      <w:pPr>
        <w:pStyle w:val="BookText"/>
      </w:pPr>
      <w:r>
        <w:rPr>
          <w:rFonts w:ascii="IRNazanin" w:hAnsi="IRNazanin" w:eastAsia="IRNazanin" w:cs="IRNazanin"/>
          <w:lang w:bidi="fa-IR"/>
          <w:color w:val="111111"/>
          <w:sz w:val="28"/>
          <w:szCs w:val="28"/>
          <w:rtl/>
        </w:rPr>
        <w:t xml:space="preserve">خط: نستعلیق، بی کا، تا: ۱۰۱۶ق؛ کاغذ: سپاهانی (نشریه: ۱۱-۹۰۵]</w:t>
      </w:r>
    </w:p>
    <w:p>
      <w:pPr>
        <w:pStyle w:val="BookText"/>
      </w:pPr>
      <w:r>
        <w:rPr>
          <w:rFonts w:ascii="IRNazanin" w:hAnsi="IRNazanin" w:eastAsia="IRNazanin" w:cs="IRNazanin"/>
          <w:lang w:bidi="fa-IR"/>
          <w:color w:val="111111"/>
          <w:sz w:val="28"/>
          <w:szCs w:val="28"/>
          <w:rtl/>
        </w:rPr>
        <w:t xml:space="preserve">٣. مشهد؛ رضوی؛ شماره نسخه: ۸۶۵۰</w:t>
      </w:r>
    </w:p>
    <w:p>
      <w:pPr>
        <w:pStyle w:val="BookText"/>
      </w:pPr>
      <w:r>
        <w:rPr>
          <w:rFonts w:ascii="IRNazanin" w:hAnsi="IRNazanin" w:eastAsia="IRNazanin" w:cs="IRNazanin"/>
          <w:lang w:bidi="fa-IR"/>
          <w:color w:val="111111"/>
          <w:sz w:val="28"/>
          <w:szCs w:val="28"/>
          <w:rtl/>
        </w:rPr>
        <w:t xml:space="preserve">آغاز: برابر؛ انجام: اگر چه هست عیان از فروع او ذرات ... خط: نستعلیق، بی کا، تا: قرن ۱۲؛ واقف: سید علی اصغر اصغر زاده موسوی، اردیبهشت ۱۳۳۸، کاغذ: نباتی آهاری، جلد: تیماج مشگی ضربی با ترنج و سرترنج، ۱۳۴ گ، ۱۵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۱۴-۱۲۲]</w:t>
      </w:r>
    </w:p>
    <w:p>
      <w:pPr>
        <w:pStyle w:val="BookText"/>
      </w:pPr>
      <w:r>
        <w:rPr>
          <w:rFonts w:ascii="IRNazanin" w:hAnsi="IRNazanin" w:eastAsia="IRNazanin" w:cs="IRNazanin"/>
          <w:lang w:bidi="fa-IR"/>
          <w:color w:val="111111"/>
          <w:sz w:val="28"/>
          <w:szCs w:val="28"/>
          <w:rtl/>
        </w:rPr>
        <w:t xml:space="preserve">۴. تهران، دانشگاه؛ شماره نسخه: ۴۰۹۳</w:t>
      </w:r>
    </w:p>
    <w:p>
      <w:pPr>
        <w:pStyle w:val="BookText"/>
      </w:pPr>
      <w:r>
        <w:rPr>
          <w:rFonts w:ascii="IRNazanin" w:hAnsi="IRNazanin" w:eastAsia="IRNazanin" w:cs="IRNazanin"/>
          <w:lang w:bidi="fa-IR"/>
          <w:color w:val="111111"/>
          <w:sz w:val="28"/>
          <w:szCs w:val="28"/>
          <w:rtl/>
        </w:rPr>
        <w:t xml:space="preserve">آغاز: افتاده در دیباچه: و لكن الله رمی و مشار اليه و ما ينطق ... و معتمد عليه ابن هو الا وحی یوحی ... شاهابجها ... ( پاره شده) وز معجزه جان دشمنان را خستی؛ انجام: بحق الحق و النبي المطلق. یا رب بكرم فعل بدم پنهان کن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رنج سکرات بر تنم آسان کن (دیباچه و پایان) و شعر او هم در آن هست (ص ۲۸)؛ خط: نستعلیق، بی کا، تا: قرن ۱۳؛ افتادگی: آغاز، کاغذ: فرنگی، جلد: تیماج حنایی، ۱۳۶، ۱۴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۳۰۷۱-۱۳ ]</w:t>
      </w:r>
    </w:p>
    <w:p>
      <w:pPr>
        <w:pStyle w:val="BookText"/>
      </w:pPr>
      <w:r>
        <w:rPr>
          <w:rFonts w:ascii="IRNazanin" w:hAnsi="IRNazanin" w:eastAsia="IRNazanin" w:cs="IRNazanin"/>
          <w:lang w:bidi="fa-IR"/>
          <w:color w:val="111111"/>
          <w:sz w:val="28"/>
          <w:szCs w:val="28"/>
          <w:rtl/>
        </w:rPr>
        <w:t xml:space="preserve">۵. تهران: ملک؛ شماره نسخه: ۲۰۸۳/۱</w:t>
      </w:r>
    </w:p>
    <w:p>
      <w:pPr>
        <w:pStyle w:val="BookText"/>
      </w:pPr>
      <w:r>
        <w:rPr>
          <w:rFonts w:ascii="IRNazanin" w:hAnsi="IRNazanin" w:eastAsia="IRNazanin" w:cs="IRNazanin"/>
          <w:lang w:bidi="fa-IR"/>
          <w:color w:val="111111"/>
          <w:sz w:val="28"/>
          <w:szCs w:val="28"/>
          <w:rtl/>
        </w:rPr>
        <w:t xml:space="preserve">خط: نستعلیق، بی کا، تا: صفر ۱۲۴۹ق؛ کاغذ: پسته ای، جلد: میشن سیاه، ۱۸سطر،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۵-۴۲۰]</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مجلس؛ شماره نسخه: ۳۰۴۳/۱</w:t>
      </w:r>
    </w:p>
    <w:p>
      <w:pPr>
        <w:pStyle w:val="BookText"/>
      </w:pPr>
      <w:r>
        <w:rPr>
          <w:rFonts w:ascii="IRNazanin" w:hAnsi="IRNazanin" w:eastAsia="IRNazanin" w:cs="IRNazanin"/>
          <w:lang w:bidi="fa-IR"/>
          <w:color w:val="111111"/>
          <w:sz w:val="28"/>
          <w:szCs w:val="28"/>
          <w:rtl/>
        </w:rPr>
        <w:t xml:space="preserve">آغاز: برابر؛ آغاز خاتمه: خاتمه در بیان مبدأ و معاد انسان موافق مذهب اهل شریعت و طریقت؛ انجام پایان شرح: خواجه على صفوی: دین میطلبی ز راه حق دور مشو*** وز بهر جهان غافل و مغرور مشو / نور دو جهان طلب ز طاعت میكن*** در راه تو ظلمت است بی نور مشو. پایان نسخه: و شکی نیست هر که ذات واحد را محیط شناسد بمجموع مظاهره</w:t>
      </w:r>
    </w:p>
    <w:p>
      <w:pPr>
        <w:pStyle w:val="BookText"/>
      </w:pPr>
      <w:r>
        <w:rPr>
          <w:rFonts w:ascii="IRNazanin" w:hAnsi="IRNazanin" w:eastAsia="IRNazanin" w:cs="IRNazanin"/>
          <w:lang w:bidi="fa-IR"/>
          <w:color w:val="111111"/>
          <w:sz w:val="28"/>
          <w:szCs w:val="28"/>
          <w:rtl/>
        </w:rPr>
        <w:t xml:space="preserve">خط: نستعلیق تحریری، كا: ابراهیم بن زین العابدین اصفهانی نعمة اللهی، تا: ۱۲۹۰ق؛ کاتب در دنباله خاتمه بدون اشاره به تمام شدن و یا نشدن کتاب شرحی جالب توجه و مشتمل بر نکات تاریخی نوشته که عینا (با اغلاطی که دارد) نقل کرده می شود: «گر بهم بر زده بینی خط من عيب مکن*** که مرا محنت ایام بهم بر زده است. در حالت بیحالی و افسردگی (..!) تمام از ناملایمات ایام بخصوص از باب بليه عام که درین سال میشود (!) کم نام بر تمام اهل ایران واقع گردید و قحط عظیم رخ نمود که هیچ بییندهای نبیند انشاء الله تعالی که نصف ممالک ایران از درد جوع مردند و نصف از نصف دیگر که ربع باشد بممالک فرنگستان و اروپا و انگلستان و روم و روس و افغانستان و طایفه ترکمانیه رفتند و بسیار دیگر بمرض حسبه (!) که اشد از طاعون بود مردند و در دارالخلافه طهران که مقر سلطنت عظما (!) بود در کوچه و بازار از مرده پشته ها و در خارج شهر قبرستان کوه و تلها و مناره ها بلند شده بود از بی کفایتی صدراعظم جدید ایران که میرزا حسین خان و مشیرالدوله قزوینی اصل است لیکن تمام ناس بقدر قوه هر یک نگاه داری و دفن و کفن اموات کردند بخصوص از رجال دولت و گرانی جنس در دارالخلافه بحدی شد که گندم خرواری پنجاه تومان و جو خرواری چل تومان شد لاكن (!) قلیل ایامی که گندم و آردیکه از آهک و گچ و زرت و بعضی چیزهای دیگر در آن بود از حاجی ترخان و سایر ممالک روسیه آوردند همین قدر بود که هر کس از آن نان خورد جان بدر نبرد و مرد بخصوص فقرائی که از بلاد متعدده بدربار معدلت مدار پناه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65" w:name="pg20363_209396"/>
    <w:bookmarkEnd w:id="165"/>
    <w:p>
      <w:pPr>
        <w:pStyle w:val="BookText"/>
      </w:pPr>
      <w:r>
        <w:rPr>
          <w:rFonts w:ascii="IRNazanin" w:hAnsi="IRNazanin" w:eastAsia="IRNazanin" w:cs="IRNazanin"/>
          <w:lang w:bidi="fa-IR"/>
          <w:color w:val="111111"/>
          <w:sz w:val="28"/>
          <w:szCs w:val="28"/>
          <w:rtl/>
        </w:rPr>
        <w:t xml:space="preserve">آورده بودند و از جانب دولت نگاهداری میکردند و از تمام تجار و متمولین پوله اعانت هواله (!) بودند بقدر صد هزار تومان پول اعانت فرستادند ليكن از این آرد و نان و آش در تمام مهمان خانه های دولتی روزی اقلا یکهزار نفر جان از ورطه دنیا بصاحل (!) آخرت میبرد و در سایر ولایات از قبیل خراسان و اصفهان و قم و کاشان و همدان کار مردم از گوشت حیوانات گذشت و بخوردن گوشت اطفال و اموات کشانید باری دریچه (!) حالتی با آنکه الله الحمد اسباب معیشت و گذران آماده و دلخاه (!) بود از افسردگی (!) ابنای جنس مشغول به تحریر این رساله شدم و شبها را اوقات صرف نویساندن یکهزار و دویست و نود هجری رخ نمود و گرانی بارزانی مبدل شد بقسمی که هیچکس تصور نمیکرد که باند که زمان این نعمت حاصل شود بلکه در چند سال دیگر محال میدانستند و الحال گندم خرواری چهار تومان و جو دو تومان و سایر حبوبات بهمین قیاس است و اینک پادشاه جمجاه ناصرالدین شاه روانه تماشا خانه های فرنگستان و اصلامبول(!) باشد و در بیست و دوم شهر حال که صفر المظفر ۱۲۹۰ میباشد نقل مکان بقريه کند (!) و در چهاردهم شعر ربيع الاول اخبار دولتی نموده اند که در انزلی گیلان وارد کشتی بخار شده از سمت آرسیه مهمان دولتین میباشند و باعتماد خود ششماه صفر (!) دو ساله میکنند تا چه مقدر شده باشد حرره اقل سادات حسینی ابراهیم بن زین العابدین اصفهانی (!) نعمت اللهي في ليل سه شنبه شانزدهم شهر مذکور من شهور ۱۲۹۰»؛ کاغذ: فرنگی رگه دار و چهار خانه، جلد: مخملی بنفش داغ کرده، ۳۵۹ص (1 ۳۵۹)، مختلف السطر، قطع: نیم خشتی، اندازه: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۲۰سم (ف: ۴۸۳-۱۰ ]</w:t>
      </w:r>
    </w:p>
    <w:p>
      <w:pPr>
        <w:pStyle w:val="BookText"/>
      </w:pPr>
      <w:r>
        <w:rPr>
          <w:rFonts w:ascii="IRNazanin" w:hAnsi="IRNazanin" w:eastAsia="IRNazanin" w:cs="IRNazanin"/>
          <w:lang w:bidi="fa-IR"/>
          <w:color w:val="111111"/>
          <w:sz w:val="28"/>
          <w:szCs w:val="28"/>
          <w:rtl/>
        </w:rPr>
        <w:t xml:space="preserve">۷. ساری؛ عمومی؛ شماره نسخه: ۱۳۲</w:t>
      </w:r>
    </w:p>
    <w:p>
      <w:pPr>
        <w:pStyle w:val="BookText"/>
      </w:pPr>
      <w:r>
        <w:rPr>
          <w:rFonts w:ascii="IRNazanin" w:hAnsi="IRNazanin" w:eastAsia="IRNazanin" w:cs="IRNazanin"/>
          <w:lang w:bidi="fa-IR"/>
          <w:color w:val="111111"/>
          <w:sz w:val="28"/>
          <w:szCs w:val="28"/>
          <w:rtl/>
        </w:rPr>
        <w:t xml:space="preserve">آغاز: و من جزا می دهم به روزه، پس روزه داشتن؛ انجام: پس بر شما باد دوری از منافق صوری و همواره.</w:t>
      </w:r>
    </w:p>
    <w:p>
      <w:pPr>
        <w:pStyle w:val="BookText"/>
      </w:pPr>
      <w:r>
        <w:rPr>
          <w:rFonts w:ascii="IRNazanin" w:hAnsi="IRNazanin" w:eastAsia="IRNazanin" w:cs="IRNazanin"/>
          <w:lang w:bidi="fa-IR"/>
          <w:color w:val="111111"/>
          <w:sz w:val="28"/>
          <w:szCs w:val="28"/>
          <w:rtl/>
        </w:rPr>
        <w:t xml:space="preserve">خط: نستعلیق، بی کا، تا: قرن ۱۴؛ افتادگی: آغاز و انجام؛ کاغذ: نخودی رنگ، جلد: مقوا با روکش کاغذ ابری عطف مشمع، ۱۶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۱۰۷]</w:t>
      </w:r>
    </w:p>
    <w:p>
      <w:pPr>
        <w:pStyle w:val="BookText"/>
      </w:pPr>
      <w:r>
        <w:rPr>
          <w:rFonts w:ascii="IRNazanin" w:hAnsi="IRNazanin" w:eastAsia="IRNazanin" w:cs="IRNazanin"/>
          <w:lang w:bidi="fa-IR"/>
          <w:color w:val="111111"/>
          <w:sz w:val="28"/>
          <w:szCs w:val="28"/>
          <w:rtl/>
        </w:rPr>
        <w:t xml:space="preserve">۸. قم؛ مرعشی؛ شماره نسخه: ۷۱۸۰</w:t>
      </w:r>
    </w:p>
    <w:p>
      <w:pPr>
        <w:pStyle w:val="BookText"/>
      </w:pPr>
      <w:r>
        <w:rPr>
          <w:rFonts w:ascii="IRNazanin" w:hAnsi="IRNazanin" w:eastAsia="IRNazanin" w:cs="IRNazanin"/>
          <w:lang w:bidi="fa-IR"/>
          <w:color w:val="111111"/>
          <w:sz w:val="28"/>
          <w:szCs w:val="28"/>
          <w:rtl/>
        </w:rPr>
        <w:t xml:space="preserve">آغاز: برابر؛ انجام: من آن كرم كز من مسکین آمد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آنچه از کرم و فضل تو آید آن کن خط: نسخ، كان محمد رضا ویشلقی، تا: ۲۹ ربیع الثانی ۱۳۱۰ق؛ مجدول؛ جلد: تیماج قهوه ای، ۱۱۲ گ، ۱۷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۱۸-۳۱۷]</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مشهد؛ رضوی؛ شماره نسخه: ۹۲۷۵</w:t>
      </w:r>
    </w:p>
    <w:p>
      <w:pPr>
        <w:pStyle w:val="BookText"/>
      </w:pPr>
      <w:r>
        <w:rPr>
          <w:rFonts w:ascii="IRNazanin" w:hAnsi="IRNazanin" w:eastAsia="IRNazanin" w:cs="IRNazanin"/>
          <w:lang w:bidi="fa-IR"/>
          <w:color w:val="111111"/>
          <w:sz w:val="28"/>
          <w:szCs w:val="28"/>
          <w:rtl/>
        </w:rPr>
        <w:t xml:space="preserve">آغاز: برابر؛ انجام: اگر چه هست عیان از فروغ او ذرات ... ملتمس دعای خیر است في سنه ۱۳۱۸</w:t>
      </w:r>
    </w:p>
    <w:p>
      <w:pPr>
        <w:pStyle w:val="BookText"/>
      </w:pPr>
      <w:r>
        <w:rPr>
          <w:rFonts w:ascii="IRNazanin" w:hAnsi="IRNazanin" w:eastAsia="IRNazanin" w:cs="IRNazanin"/>
          <w:lang w:bidi="fa-IR"/>
          <w:color w:val="111111"/>
          <w:sz w:val="28"/>
          <w:szCs w:val="28"/>
          <w:rtl/>
        </w:rPr>
        <w:t xml:space="preserve">خط: نستعلیق شکسته، کا: محمد رضا، تا: ۱۳۱۸ق؛ کاغذ: نخودی، جلد: پارچه ای، ۱۸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[الفبائی: ۹۲]</w:t>
      </w:r>
    </w:p>
    <w:p>
      <w:pPr>
        <w:pStyle w:val="BookText"/>
      </w:pPr>
      <w:r>
        <w:rPr>
          <w:rFonts w:ascii="IRNazanin" w:hAnsi="IRNazanin" w:eastAsia="IRNazanin" w:cs="IRNazanin"/>
          <w:lang w:bidi="fa-IR"/>
          <w:color w:val="111111"/>
          <w:sz w:val="28"/>
          <w:szCs w:val="28"/>
          <w:rtl/>
        </w:rPr>
        <w:t xml:space="preserve">۱۰. مشهد؛ رضوی؛ شماره نسخه: ض ۱۴۷۸۱</w:t>
      </w:r>
    </w:p>
    <w:p>
      <w:pPr>
        <w:pStyle w:val="BookText"/>
      </w:pPr>
      <w:r>
        <w:rPr>
          <w:rFonts w:ascii="IRNazanin" w:hAnsi="IRNazanin" w:eastAsia="IRNazanin" w:cs="IRNazanin"/>
          <w:lang w:bidi="fa-IR"/>
          <w:color w:val="111111"/>
          <w:sz w:val="28"/>
          <w:szCs w:val="28"/>
          <w:rtl/>
        </w:rPr>
        <w:t xml:space="preserve">آغاز: برابر؛ انجام: واو است از عبادت نمودن تو و دعای تو و بدرستی که خوانده است ترا</w:t>
      </w:r>
    </w:p>
    <w:p>
      <w:pPr>
        <w:pStyle w:val="BookText"/>
      </w:pPr>
      <w:r>
        <w:rPr>
          <w:rFonts w:ascii="IRNazanin" w:hAnsi="IRNazanin" w:eastAsia="IRNazanin" w:cs="IRNazanin"/>
          <w:lang w:bidi="fa-IR"/>
          <w:color w:val="111111"/>
          <w:sz w:val="28"/>
          <w:szCs w:val="28"/>
          <w:rtl/>
        </w:rPr>
        <w:t xml:space="preserve">خط: نستعلیق، بی کا، بی تا [الفبائی: ۵۲۴]</w:t>
      </w:r>
    </w:p>
    <w:p>
      <w:pPr>
        <w:pStyle w:val="BookText"/>
      </w:pPr>
      <w:r>
        <w:rPr>
          <w:rFonts w:ascii="IRNazanin" w:hAnsi="IRNazanin" w:eastAsia="IRNazanin" w:cs="IRNazanin"/>
          <w:lang w:bidi="fa-IR"/>
          <w:color w:val="111111"/>
          <w:sz w:val="28"/>
          <w:szCs w:val="28"/>
          <w:rtl/>
        </w:rPr>
        <w:t xml:space="preserve">۱۱. تهران؛ ملک؛ شماره نسخه: ۴۰۵۷/۱۰۳</w:t>
      </w:r>
    </w:p>
    <w:p>
      <w:pPr>
        <w:pStyle w:val="BookText"/>
      </w:pPr>
      <w:r>
        <w:rPr>
          <w:rFonts w:ascii="IRNazanin" w:hAnsi="IRNazanin" w:eastAsia="IRNazanin" w:cs="IRNazanin"/>
          <w:lang w:bidi="fa-IR"/>
          <w:color w:val="111111"/>
          <w:sz w:val="28"/>
          <w:szCs w:val="28"/>
          <w:rtl/>
        </w:rPr>
        <w:t xml:space="preserve">آغاز: برابر؛ انجام: و این آواره بیدای سرگردانی را باخلاص بارشاد فرمایند . زبان حقایق ترجمان بطعن ورد او نگشایند خط: شکسته نستعلیق، كا: حاج محمد زمان بن کلبعلی متطبب خراسانی، بی تا، کاغذ: قورخانه، جلد: میشن قهوه ای ضربی، ۱۵گ (۱۷۵ر-۱۸۹ر)،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[ف: ۷-۱۹۲]</w:t>
      </w:r>
    </w:p>
    <w:p>
      <w:pPr>
        <w:pStyle w:val="Heading3"/>
      </w:pPr>
      <w:bookmarkStart w:id="1241" w:name="_Toc501"/>
      <w:r>
        <w:t>• بيان الاسرار عرفان و تصوف / عربی</w:t>
      </w:r>
      <w:bookmarkEnd w:id="1241"/>
    </w:p>
    <w:p>
      <w:pPr>
        <w:pStyle w:val="BookText"/>
      </w:pPr>
      <w:r>
        <w:rPr>
          <w:rFonts w:ascii="Times New Roman" w:hAnsi="Times New Roman" w:eastAsia="Times New Roman" w:cs="Times New Roman"/>
          <w:lang w:val="en-US" w:bidi="en-US"/>
          <w:color w:val="111111"/>
          <w:sz w:val="28"/>
          <w:szCs w:val="28"/>
          <w:rtl/>
        </w:rPr>
        <w:t xml:space="preserve">bayān-ul asrār</w:t>
      </w:r>
    </w:p>
    <w:p>
      <w:pPr>
        <w:pStyle w:val="BookText"/>
      </w:pPr>
      <w:r>
        <w:rPr>
          <w:rFonts w:ascii="IRNazanin" w:hAnsi="IRNazanin" w:eastAsia="IRNazanin" w:cs="IRNazanin"/>
          <w:lang w:bidi="fa-IR"/>
          <w:color w:val="111111"/>
          <w:sz w:val="28"/>
          <w:szCs w:val="28"/>
          <w:rtl/>
        </w:rPr>
        <w:t xml:space="preserve">تهران؛ مجلس؛ شماره نسخه: ۱۷۷۲۳ ض</w:t>
      </w:r>
    </w:p>
    <w:p>
      <w:pPr>
        <w:pStyle w:val="BookText"/>
      </w:pPr>
      <w:r>
        <w:rPr>
          <w:rFonts w:ascii="IRNazanin" w:hAnsi="IRNazanin" w:eastAsia="IRNazanin" w:cs="IRNazanin"/>
          <w:lang w:bidi="fa-IR"/>
          <w:color w:val="111111"/>
          <w:sz w:val="28"/>
          <w:szCs w:val="28"/>
          <w:rtl/>
        </w:rPr>
        <w:t xml:space="preserve">بی کا، بی تا (د.ث. مجلس</w:t>
      </w:r>
    </w:p>
    <w:p>
      <w:pPr>
        <w:pStyle w:val="Heading3"/>
      </w:pPr>
      <w:bookmarkStart w:id="1242" w:name="_Toc502"/>
      <w:r>
        <w:t>• بیان اسرار الطالبين بتوفيق رب العالمين = بیان</w:t>
      </w:r>
      <w:bookmarkEnd w:id="1242"/>
    </w:p>
    <w:p>
      <w:pPr>
        <w:pStyle w:val="BookText"/>
      </w:pPr>
      <w:r>
        <w:rPr>
          <w:rFonts w:ascii="IRNazanin" w:hAnsi="IRNazanin" w:eastAsia="IRNazanin" w:cs="IRNazanin"/>
          <w:lang w:bidi="fa-IR"/>
          <w:color w:val="111111"/>
          <w:sz w:val="28"/>
          <w:szCs w:val="28"/>
          <w:rtl/>
        </w:rPr>
        <w:t xml:space="preserve">الاسرار للطالبين / عرفان و تصوف / عربی</w:t>
      </w:r>
    </w:p>
    <w:p>
      <w:pPr>
        <w:pStyle w:val="BookText"/>
      </w:pPr>
      <w:r>
        <w:rPr>
          <w:rFonts w:ascii="Times New Roman" w:hAnsi="Times New Roman" w:eastAsia="Times New Roman" w:cs="Times New Roman"/>
          <w:lang w:val="en-US" w:bidi="en-US"/>
          <w:color w:val="111111"/>
          <w:sz w:val="28"/>
          <w:szCs w:val="28"/>
          <w:rtl/>
        </w:rPr>
        <w:t xml:space="preserve">bayān-u asrār-it țālibīn bi-tawfīq-i rabb-il ‘ālamīn = bayan-ul asrar li-t-talibin</w:t>
      </w:r>
    </w:p>
    <w:p>
      <w:pPr>
        <w:pStyle w:val="BookText"/>
      </w:pPr>
      <w:r>
        <w:rPr>
          <w:rFonts w:ascii="IRNazanin" w:hAnsi="IRNazanin" w:eastAsia="IRNazanin" w:cs="IRNazanin"/>
          <w:lang w:bidi="fa-IR"/>
          <w:color w:val="111111"/>
          <w:sz w:val="28"/>
          <w:szCs w:val="28"/>
          <w:rtl/>
        </w:rPr>
        <w:t xml:space="preserve">؟ کورانی، یوسف بن عبدالله، -۷۶۸ قمری</w:t>
      </w:r>
    </w:p>
    <w:p>
      <w:pPr>
        <w:pStyle w:val="BookText"/>
      </w:pPr>
      <w:r>
        <w:rPr>
          <w:rFonts w:ascii="Times New Roman" w:hAnsi="Times New Roman" w:eastAsia="Times New Roman" w:cs="Times New Roman"/>
          <w:lang w:val="en-US" w:bidi="en-US"/>
          <w:color w:val="111111"/>
          <w:sz w:val="28"/>
          <w:szCs w:val="28"/>
          <w:rtl/>
        </w:rPr>
        <w:t xml:space="preserve">kūrānī, yūsof ebn-e ‘abd-ol-lāh (- 1367)</w:t>
      </w:r>
    </w:p>
    <w:p>
      <w:pPr>
        <w:pStyle w:val="BookText"/>
      </w:pPr>
      <w:r>
        <w:rPr>
          <w:rFonts w:ascii="IRNazanin" w:hAnsi="IRNazanin" w:eastAsia="IRNazanin" w:cs="IRNazanin"/>
          <w:lang w:bidi="fa-IR"/>
          <w:color w:val="111111"/>
          <w:sz w:val="28"/>
          <w:szCs w:val="28"/>
          <w:rtl/>
        </w:rPr>
        <w:t xml:space="preserve">همان که برخی از محمد بن احمد مرسی (-۴۶۰ق) دانسته اند. در تشویق به تصفيه باطن تا انسان به مقام حقیقت بتواند رسیدن و بیان اعمال و عبادات ظاهر شریعتی و باطن حقیقتی و بعضی آداب مخصوص اهل حق و حقیقت به روش اهل تصوف و عرفان همراه با نقل بعضی از روایات و گفته های بزرگان عرفا در بیست و چهار فصل» به عدد حروف «لا اله الا الله محمد رسول الله» و ساعت های شبانه روز: فصل 1. بيان رجوع الانسان الى وطنه الاصلی؛ ۲. رد الانسان الى اسفل السافلين؛ ۳. حوانیت الأرواح في الجسد؛ ۴. بیان عدد العلوم؛ ۵. بيان التوبة و التلقين؛ ۶. بیان اهل التصوف؛ 7. بیان الاذکار؛ ۸ شرائط الذكر؛ ۹. روية الله تعالی؛ ۱۰. الحجب الظلمانية و النورانية؛ ۱۱. بيان السعادة و الشقاوة؛ ۱۲. الفقر و التسمية بالصوفية؛ ۱۳. الطهارة الباطنة و الظاهرة؛ ۱۴. صلاة الشريعة و الطريقة؛ ۱۵. طهارة المعرفة في عالم التجريد؛ ۱۶. زكاة الشريعة و الطريقة؛ ۱۷. صوم الشريعة و الطريقة؛ ۱۸. حج الشريعة و الطريقة: 19. الوجد و الصفاء؛ ۲۰. الخلوة و العزلة؛ ۲۱. اوراد الخلوات؛ ۲۲. الواقعات في المنام و السنة؛ ۲۳. بیان اهل التصوف (فرقهم)؛ ۲۴. الخاتمة. آغاز: بسمله. الحمد لله القادر العليم الفاطر الحكيم الجواد الكريم الرب الرحيم منزل الذكر الحكيم و بعده فالعلم أن العلم اشرف منقلبة و اجل مرتبة و ابهی مفخرة و اربح متجرة به يتوسل إلى توحید رب العالمين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66" w:name="pg20363_209397"/>
    <w:bookmarkEnd w:id="166"/>
    <w:p>
      <w:pPr>
        <w:pStyle w:val="BookText"/>
      </w:pPr>
      <w:r>
        <w:rPr>
          <w:rFonts w:ascii="IRNazanin" w:hAnsi="IRNazanin" w:eastAsia="IRNazanin" w:cs="IRNazanin"/>
          <w:lang w:bidi="fa-IR"/>
          <w:color w:val="111111"/>
          <w:sz w:val="28"/>
          <w:szCs w:val="28"/>
          <w:rtl/>
        </w:rPr>
        <w:t xml:space="preserve">انجام: علمک کاف عن المقال و کرمک کاف عن السؤال صل على سيد المرسلین و آله اجمعين و اغفر لنا و لوالدينا و للمسلمين تمت الرسالة الشريفة بتوفيق الله و سمیت بیان الاسرار و الاسماء التسعة و هذا اصول الاسماء و لا نهاية لفروعها و الله اعلم</w:t>
      </w:r>
    </w:p>
    <w:p>
      <w:pPr>
        <w:pStyle w:val="BookText"/>
      </w:pPr>
      <w:r>
        <w:rPr>
          <w:rFonts w:ascii="Amiri" w:hAnsi="Amiri" w:eastAsia="Amiri" w:cs="Amiri"/>
          <w:lang w:bidi="ar-SA"/>
          <w:color w:val="111111"/>
          <w:sz w:val="28"/>
          <w:szCs w:val="28"/>
          <w:rtl/>
        </w:rPr>
        <w:t xml:space="preserve">[دنا ۵۸۰/۲ (۵ نسخه)؛ الأوقاف العامة موصل ۱۰۴/۲ ]</w:t>
      </w:r>
    </w:p>
    <w:p>
      <w:pPr>
        <w:pStyle w:val="BookText"/>
      </w:pPr>
      <w:r>
        <w:rPr>
          <w:rFonts w:ascii="IRNazanin" w:hAnsi="IRNazanin" w:eastAsia="IRNazanin" w:cs="IRNazanin"/>
          <w:lang w:bidi="fa-IR"/>
          <w:color w:val="111111"/>
          <w:sz w:val="28"/>
          <w:szCs w:val="28"/>
          <w:rtl/>
        </w:rPr>
        <w:t xml:space="preserve">۱. تهران: ملک، شماره نسخه: ۴۱۹۴/۱</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انجام: بالنبي العربی و آله الاخیار. يوم الجمعة الأخر من شهر ذي القعدة في سنة تاريخ ثمان و ثمانین بعد الالف بی کا، تا: آخر ذیقعده ۱۰۸۸ق؛ کاغذ: نوعی ترمه، جلد: رویه میشن یک لا يشمی، ۶۰گ (آپ -۶۰پ)، ۱۴ سطر، اندازه: ۱۶/۲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۱۰/۱ سم [ف: ۷-۲۵۳]</w:t>
      </w:r>
    </w:p>
    <w:p>
      <w:pPr>
        <w:pStyle w:val="BookText"/>
      </w:pPr>
      <w:r>
        <w:rPr>
          <w:rFonts w:ascii="IRNazanin" w:hAnsi="IRNazanin" w:eastAsia="IRNazanin" w:cs="IRNazanin"/>
          <w:lang w:bidi="fa-IR"/>
          <w:color w:val="111111"/>
          <w:sz w:val="28"/>
          <w:szCs w:val="28"/>
          <w:rtl/>
        </w:rPr>
        <w:t xml:space="preserve">۲. شیراز؛ علامه طباطبائی؛ شماره نسخه: ۱۶۲۳/۱</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تا: قرن ۱۲، ۵۸گ (۱-۵۸) [نسخه پژوهی: ۳-۱۵۴]</w:t>
      </w:r>
    </w:p>
    <w:p>
      <w:pPr>
        <w:pStyle w:val="BookText"/>
      </w:pPr>
      <w:r>
        <w:rPr>
          <w:rFonts w:ascii="IRNazanin" w:hAnsi="IRNazanin" w:eastAsia="IRNazanin" w:cs="IRNazanin"/>
          <w:lang w:bidi="fa-IR"/>
          <w:color w:val="111111"/>
          <w:sz w:val="28"/>
          <w:szCs w:val="28"/>
          <w:rtl/>
        </w:rPr>
        <w:t xml:space="preserve">٣. قم؛ مرعشی؛ شماره نسخه: ۱۹۵/۵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یک شنبه صفر ۱۱۲۷ق؛ جلد: تیماج قهوه ای ضربی، ۲۴گ (۵۷پ - ۸۰پ)، ۲۱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۲۲۶-۱ ]</w:t>
      </w:r>
    </w:p>
    <w:p>
      <w:pPr>
        <w:pStyle w:val="BookText"/>
      </w:pPr>
      <w:r>
        <w:rPr>
          <w:rFonts w:ascii="IRNazanin" w:hAnsi="IRNazanin" w:eastAsia="IRNazanin" w:cs="IRNazanin"/>
          <w:lang w:bidi="fa-IR"/>
          <w:color w:val="111111"/>
          <w:sz w:val="28"/>
          <w:szCs w:val="28"/>
          <w:rtl/>
        </w:rPr>
        <w:t xml:space="preserve">۴. قم؛ مرعشی؛ شماره نسخه: ۱۰۸۷۲/۳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قزقز عجلونی، تا: جمعه ۲۵ شعبان ۱۲۷۴ق؛ جلد: مقوایی عطف تیماج قرمز، ۳۲گ (ور-۴۰پ)، ۲۱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۲۷-۲۹۳]</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مرکز مطالعات؛ شماره نسخه: ۷۵۰</w:t>
      </w:r>
    </w:p>
    <w:p>
      <w:pPr>
        <w:pStyle w:val="BookText"/>
      </w:pPr>
      <w:r>
        <w:rPr>
          <w:rFonts w:ascii="IRNazanin" w:hAnsi="IRNazanin" w:eastAsia="IRNazanin" w:cs="IRNazanin"/>
          <w:lang w:bidi="fa-IR"/>
          <w:color w:val="111111"/>
          <w:sz w:val="28"/>
          <w:szCs w:val="28"/>
          <w:rtl/>
        </w:rPr>
        <w:t xml:space="preserve">آغاز: بسمله. قوله تعالى ثم اورثنا الكتاب الذين اصطفينا من عبادنا فمنهم ظالم لنفسه و منهم مقتصد ... اما بعد فلما خلق الله تعالی روح محمد عليه السلام اولا من نوره كما قال الله تعالى خلقت روح محمد صلی الله عليه وسلم من نوری؛ انجام: برابر</w:t>
      </w:r>
    </w:p>
    <w:p>
      <w:pPr>
        <w:pStyle w:val="BookText"/>
      </w:pPr>
      <w:r>
        <w:rPr>
          <w:rFonts w:ascii="IRNazanin" w:hAnsi="IRNazanin" w:eastAsia="IRNazanin" w:cs="IRNazanin"/>
          <w:lang w:bidi="fa-IR"/>
          <w:color w:val="111111"/>
          <w:sz w:val="28"/>
          <w:szCs w:val="28"/>
          <w:rtl/>
        </w:rPr>
        <w:t xml:space="preserve">نسخه حاضر خطبه کتاب را ندارد؛ خط: نستعلیق، بی کا، بی تا؛ فاقد جلد، ۳۰گ، ۱۶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سم [ف: ۲-۳۱]</w:t>
      </w:r>
    </w:p>
    <w:p>
      <w:pPr>
        <w:pStyle w:val="BookText"/>
      </w:pPr>
      <w:r>
        <w:rPr>
          <w:rFonts w:ascii="IRNazanin" w:hAnsi="IRNazanin" w:eastAsia="IRNazanin" w:cs="IRNazanin"/>
          <w:lang w:bidi="fa-IR"/>
          <w:color w:val="111111"/>
          <w:sz w:val="28"/>
          <w:szCs w:val="28"/>
          <w:rtl/>
        </w:rPr>
        <w:t xml:space="preserve">۶. تهران؛ مجلس؛ شماره نسخه: ۱۱۷۱۱/۳</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در فهرست با دو عنوان «رساله در عرفان» و «بيان الاسرار» آمده و ناشناس و آنچه از آغاز رساله اول و انجام رساله دوم نقل کرده، آغاز و انجام این رساله است؛ خط: نستعلیق، بی کا، بی تا؛ واقف: یحیی معرفت، ۱۳۶۵، ۳۵گ (۱۵- ۴۹ر)، ۲۳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۸سم [ف: ۳۴-۵۱]</w:t>
      </w:r>
    </w:p>
    <w:p>
      <w:pPr>
        <w:pStyle w:val="BookText"/>
      </w:pPr>
      <w:r>
        <w:rPr>
          <w:rFonts w:ascii="IRNazanin" w:hAnsi="IRNazanin" w:eastAsia="IRNazanin" w:cs="IRNazanin"/>
          <w:lang w:bidi="fa-IR"/>
          <w:color w:val="111111"/>
          <w:sz w:val="28"/>
          <w:szCs w:val="28"/>
          <w:rtl/>
        </w:rPr>
        <w:t xml:space="preserve">← بيان الاسرار للطالبين ← بیان اسرار الطالبين بتوفيق رب العالمين</w:t>
      </w:r>
    </w:p>
    <w:p>
      <w:pPr>
        <w:pStyle w:val="Heading3"/>
      </w:pPr>
      <w:bookmarkStart w:id="1243" w:name="_Toc503"/>
      <w:r>
        <w:t>•بیان الأسرار للطالبين / عرفان و تصوف / عربی</w:t>
      </w:r>
      <w:bookmarkEnd w:id="1243"/>
    </w:p>
    <w:p>
      <w:pPr>
        <w:pStyle w:val="BookText"/>
      </w:pPr>
      <w:r>
        <w:rPr>
          <w:rFonts w:ascii="Times New Roman" w:hAnsi="Times New Roman" w:eastAsia="Times New Roman" w:cs="Times New Roman"/>
          <w:lang w:val="en-US" w:bidi="en-US"/>
          <w:color w:val="111111"/>
          <w:sz w:val="28"/>
          <w:szCs w:val="28"/>
          <w:rtl/>
        </w:rPr>
        <w:t xml:space="preserve">bayān-ul asrār li-t-tālibīn</w:t>
      </w:r>
    </w:p>
    <w:p>
      <w:pPr>
        <w:pStyle w:val="BookText"/>
      </w:pPr>
      <w:r>
        <w:rPr>
          <w:rFonts w:ascii="IRNazanin" w:hAnsi="IRNazanin" w:eastAsia="IRNazanin" w:cs="IRNazanin"/>
          <w:lang w:bidi="fa-IR"/>
          <w:color w:val="111111"/>
          <w:sz w:val="28"/>
          <w:szCs w:val="28"/>
          <w:rtl/>
        </w:rPr>
        <w:t xml:space="preserve">رساله عرفانی کوتاهی است در چند «فصل»: ۱. بیان اهل تصوف که ۱۲ گروه اند؛ ۲. صفاتی که شایسته است سالک متصف بدان باشد.</w:t>
      </w:r>
    </w:p>
    <w:p>
      <w:pPr>
        <w:pStyle w:val="BookText"/>
      </w:pPr>
      <w:r>
        <w:rPr>
          <w:rFonts w:ascii="IRNazanin" w:hAnsi="IRNazanin" w:eastAsia="IRNazanin" w:cs="IRNazanin"/>
          <w:lang w:bidi="fa-IR"/>
          <w:color w:val="111111"/>
          <w:sz w:val="28"/>
          <w:szCs w:val="28"/>
          <w:rtl/>
        </w:rPr>
        <w:t xml:space="preserve">تهران؛ عبدالعظیم؛ شماره نسخه: ۶۷۸/۲</w:t>
      </w:r>
    </w:p>
    <w:p>
      <w:pPr>
        <w:pStyle w:val="BookText"/>
      </w:pPr>
      <w:r>
        <w:rPr>
          <w:rFonts w:ascii="IRNazanin" w:hAnsi="IRNazanin" w:eastAsia="IRNazanin" w:cs="IRNazanin"/>
          <w:lang w:bidi="fa-IR"/>
          <w:color w:val="111111"/>
          <w:sz w:val="28"/>
          <w:szCs w:val="28"/>
          <w:rtl/>
        </w:rPr>
        <w:t xml:space="preserve">آغاز: فصل في بيان أهل التصوف و هم اثنی عشر نفرة أحدهم سنيون وهم الذين أفعالهم و أقوالهم موافقة للشريعة و الطريقة و هم أهل السنة و الجماعة؛ انجام: يا راحم المذنبین علمک کاف عن المقال و کرمک کاف عن السؤال و صلی الله على سيدنا محمد و آله أجمعين فاغفر لنا و لوالدينا و للمسلمين أجمعين. تمت الرسالة الشريفة بتوفيق الله و سمیت بیان الأسرار للطالبين.</w:t>
      </w:r>
    </w:p>
    <w:p>
      <w:pPr>
        <w:pStyle w:val="BookText"/>
      </w:pPr>
      <w:r>
        <w:rPr>
          <w:rFonts w:ascii="IRNazanin" w:hAnsi="IRNazanin" w:eastAsia="IRNazanin" w:cs="IRNazanin"/>
          <w:lang w:bidi="fa-IR"/>
          <w:color w:val="111111"/>
          <w:sz w:val="28"/>
          <w:szCs w:val="28"/>
          <w:rtl/>
        </w:rPr>
        <w:t xml:space="preserve">خط: نسخ، بی کا، تا: ۱۲۷۰ق؛ ۴گ (۵ر -۱۸)، ۱۴ سطر، اندازه: ۱۳/۵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۱-۸۰ ]</w:t>
      </w:r>
    </w:p>
    <w:p>
      <w:pPr>
        <w:pStyle w:val="BookText"/>
      </w:pPr>
      <w:r>
        <w:rPr>
          <w:rFonts w:ascii="IRNazanin" w:hAnsi="IRNazanin" w:eastAsia="IRNazanin" w:cs="IRNazanin"/>
          <w:lang w:bidi="fa-IR"/>
          <w:color w:val="111111"/>
          <w:sz w:val="28"/>
          <w:szCs w:val="28"/>
          <w:rtl/>
        </w:rPr>
        <w:t xml:space="preserve">← بیان الاسرار للطالبين و الأسماء التسعة للتصفية ← بیان اسرار الطالبين بتوفيق رب العالمين</w:t>
      </w:r>
    </w:p>
    <w:p>
      <w:pPr>
        <w:pStyle w:val="Heading3"/>
      </w:pPr>
      <w:bookmarkStart w:id="1244" w:name="_Toc504"/>
      <w:r>
        <w:t>•بیان الأسفار الأربعة / عرفان و تصوف / عربی</w:t>
      </w:r>
      <w:bookmarkEnd w:id="1244"/>
    </w:p>
    <w:p>
      <w:pPr>
        <w:pStyle w:val="BookText"/>
      </w:pPr>
      <w:r>
        <w:rPr>
          <w:rFonts w:ascii="Times New Roman" w:hAnsi="Times New Roman" w:eastAsia="Times New Roman" w:cs="Times New Roman"/>
          <w:lang w:val="en-US" w:bidi="en-US"/>
          <w:color w:val="111111"/>
          <w:sz w:val="28"/>
          <w:szCs w:val="28"/>
          <w:rtl/>
        </w:rPr>
        <w:t xml:space="preserve">bayān-ul asfār-il arbaʻa</w:t>
      </w:r>
    </w:p>
    <w:p>
      <w:pPr>
        <w:pStyle w:val="BookText"/>
      </w:pPr>
      <w:r>
        <w:rPr>
          <w:rFonts w:ascii="IRNazanin" w:hAnsi="IRNazanin" w:eastAsia="IRNazanin" w:cs="IRNazanin"/>
          <w:lang w:bidi="fa-IR"/>
          <w:color w:val="111111"/>
          <w:sz w:val="28"/>
          <w:szCs w:val="28"/>
          <w:rtl/>
        </w:rPr>
        <w:t xml:space="preserve">قمشه ای، محمد رضا بن ابوالقاسم، ۱۲۴۱-۱۳۰۶ قمری</w:t>
      </w:r>
    </w:p>
    <w:p>
      <w:pPr>
        <w:pStyle w:val="BookText"/>
      </w:pPr>
      <w:r>
        <w:rPr>
          <w:rFonts w:ascii="Times New Roman" w:hAnsi="Times New Roman" w:eastAsia="Times New Roman" w:cs="Times New Roman"/>
          <w:lang w:val="en-US" w:bidi="en-US"/>
          <w:color w:val="111111"/>
          <w:sz w:val="28"/>
          <w:szCs w:val="28"/>
          <w:rtl/>
        </w:rPr>
        <w:t xml:space="preserve">qomše-7, mohammad rezā ebn-e ab-ol-qāsem (1826 1889)</w:t>
      </w:r>
    </w:p>
    <w:p>
      <w:pPr>
        <w:pStyle w:val="BookText"/>
      </w:pPr>
      <w:r>
        <w:rPr>
          <w:rFonts w:ascii="IRNazanin" w:hAnsi="IRNazanin" w:eastAsia="IRNazanin" w:cs="IRNazanin"/>
          <w:lang w:bidi="fa-IR"/>
          <w:color w:val="111111"/>
          <w:sz w:val="28"/>
          <w:szCs w:val="28"/>
          <w:rtl/>
        </w:rPr>
        <w:t xml:space="preserve">وابسته به: الحكمة المتعالية في الأسفار الأربعة العقلية = اسفار اربعه صدر الدین شیرازی، محمد بن ابراهیم (۹۷۹-۱۰۵۰) رساله عرفانی فلسفی درباره معنی اسفار اربعه، که هنگام تدریس «اسفار» ملاصدرا نگاشته است.</w:t>
      </w:r>
    </w:p>
    <w:p>
      <w:pPr>
        <w:pStyle w:val="BookText"/>
      </w:pPr>
      <w:r>
        <w:rPr>
          <w:rFonts w:ascii="Amiri" w:hAnsi="Amiri" w:eastAsia="Amiri" w:cs="Amiri"/>
          <w:lang w:bidi="ar-SA"/>
          <w:color w:val="111111"/>
          <w:sz w:val="28"/>
          <w:szCs w:val="28"/>
          <w:rtl/>
        </w:rPr>
        <w:t xml:space="preserve">آغاز: الحمد لمن ليس في الوجود الا هو السبحان المنزه عن النقص و الشين حمدا مقسدا عن المين و الرين</w:t>
      </w:r>
    </w:p>
    <w:p>
      <w:pPr>
        <w:pStyle w:val="BookText"/>
      </w:pPr>
      <w:r>
        <w:rPr>
          <w:rFonts w:ascii="Amiri" w:hAnsi="Amiri" w:eastAsia="Amiri" w:cs="Amiri"/>
          <w:lang w:bidi="ar-SA"/>
          <w:color w:val="111111"/>
          <w:sz w:val="28"/>
          <w:szCs w:val="28"/>
          <w:rtl/>
        </w:rPr>
        <w:t xml:space="preserve">انجام: هذا ما استفدت من ملاحظة كلمات القوم و تتبع مباحث الكتاب</w:t>
      </w:r>
    </w:p>
    <w:p>
      <w:pPr>
        <w:pStyle w:val="BookText"/>
      </w:pPr>
      <w:r>
        <w:rPr>
          <w:rFonts w:ascii="IRNazanin" w:hAnsi="IRNazanin" w:eastAsia="IRNazanin" w:cs="IRNazanin"/>
          <w:lang w:bidi="fa-IR"/>
          <w:color w:val="111111"/>
          <w:sz w:val="28"/>
          <w:szCs w:val="28"/>
          <w:rtl/>
        </w:rPr>
        <w:t xml:space="preserve">[ دنا ۵۸۰/۲ ]</w:t>
      </w:r>
    </w:p>
    <w:p>
      <w:pPr>
        <w:pStyle w:val="BookText"/>
      </w:pPr>
      <w:r>
        <w:rPr>
          <w:rFonts w:ascii="IRNazanin" w:hAnsi="IRNazanin" w:eastAsia="IRNazanin" w:cs="IRNazanin"/>
          <w:lang w:bidi="fa-IR"/>
          <w:color w:val="111111"/>
          <w:sz w:val="28"/>
          <w:szCs w:val="28"/>
          <w:rtl/>
        </w:rPr>
        <w:t xml:space="preserve">۱. قم: مرکز احیاء؛ شماره نسخه: ۱۴۹۰/۷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كا: احمد بن محمد رضا بن فرج الله زنجانی، تا: ۱۳۱۹-۱۳۴۴ق؛ جلد: مقوایی عطف تیماج قرمز، ۳گ (۵۳ر -۵۵ر)،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۴-۳۳۶]</w:t>
      </w:r>
    </w:p>
    <w:p>
      <w:pPr>
        <w:pStyle w:val="BookText"/>
      </w:pPr>
      <w:r>
        <w:rPr>
          <w:rFonts w:ascii="IRNazanin" w:hAnsi="IRNazanin" w:eastAsia="IRNazanin" w:cs="IRNazanin"/>
          <w:lang w:bidi="fa-IR"/>
          <w:color w:val="111111"/>
          <w:sz w:val="28"/>
          <w:szCs w:val="28"/>
          <w:rtl/>
        </w:rPr>
        <w:t xml:space="preserve">۲. زنجان؛ امام جمعه؛ شماره نسخه: ۳مجموعه بدون شماره</w:t>
      </w:r>
    </w:p>
    <w:p>
      <w:pPr>
        <w:pStyle w:val="BookText"/>
      </w:pPr>
      <w:r>
        <w:rPr>
          <w:rFonts w:ascii="IRNazanin" w:hAnsi="IRNazanin" w:eastAsia="IRNazanin" w:cs="IRNazanin"/>
          <w:lang w:bidi="fa-IR"/>
          <w:color w:val="111111"/>
          <w:sz w:val="28"/>
          <w:szCs w:val="28"/>
          <w:rtl/>
        </w:rPr>
        <w:t xml:space="preserve">آغاز: اعلم أن السفر هو الحركة عن الموطن او الموقف متوجها الى المقصد بطي المراحل و قطع المنازل؛ انجام: برابر کا: محمود بن أبي الفضائل الحسینی، تا: دوشنبه ۲۳ ربیع الثانی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67" w:name="pg20363_209398"/>
    <w:bookmarkEnd w:id="167"/>
    <w:p>
      <w:pPr>
        <w:pStyle w:val="BookText"/>
      </w:pPr>
      <w:r>
        <w:rPr>
          <w:rFonts w:ascii="Amiri" w:hAnsi="Amiri" w:eastAsia="Amiri" w:cs="Amiri"/>
          <w:lang w:bidi="ar-SA"/>
          <w:color w:val="111111"/>
          <w:sz w:val="28"/>
          <w:szCs w:val="28"/>
          <w:rtl/>
        </w:rPr>
        <w:t xml:space="preserve">۱۳۴۷ق، جا: نجف [دليل المخطوطات: ۱-۱۵۴]</w:t>
      </w:r>
    </w:p>
    <w:p>
      <w:pPr>
        <w:pStyle w:val="BookText"/>
      </w:pPr>
      <w:r>
        <w:rPr>
          <w:rFonts w:ascii="IRNazanin" w:hAnsi="IRNazanin" w:eastAsia="IRNazanin" w:cs="IRNazanin"/>
          <w:lang w:bidi="fa-IR"/>
          <w:color w:val="111111"/>
          <w:sz w:val="28"/>
          <w:szCs w:val="28"/>
          <w:rtl/>
        </w:rPr>
        <w:t xml:space="preserve">٣. تهران؛ ملک؛ شماره نسخه: ۵۷۵۹/۳</w:t>
      </w:r>
    </w:p>
    <w:p>
      <w:pPr>
        <w:pStyle w:val="BookText"/>
      </w:pPr>
      <w:r>
        <w:rPr>
          <w:rFonts w:ascii="IRNazanin" w:hAnsi="IRNazanin" w:eastAsia="IRNazanin" w:cs="IRNazanin"/>
          <w:lang w:bidi="fa-IR"/>
          <w:color w:val="111111"/>
          <w:sz w:val="28"/>
          <w:szCs w:val="28"/>
          <w:rtl/>
        </w:rPr>
        <w:t xml:space="preserve">آغاز: هذا ما كتبه الاستاد ... محمد رضا الأصفهانی بداية شروعه مباحثة الاسفار. بسمله. السفر هو الحركة من الموطن او الموقف متوجها الى المقصد؛ انجام: برابر خط: نستعلیق ریز، کا: محمود بن ملاصالح بروجردی شاگرد آقا محمد رضای قمشه ای، بی تا؛ کاغذ: فرنگی، جلد: میشن لیمویی ضربی، ۲۱ سطر، اندازه: ۲۱/۸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۱۳/۶</w:t>
      </w:r>
    </w:p>
    <w:p>
      <w:pPr>
        <w:pStyle w:val="BookText"/>
      </w:pPr>
      <w:r>
        <w:rPr>
          <w:rFonts w:ascii="IRNazanin" w:hAnsi="IRNazanin" w:eastAsia="IRNazanin" w:cs="IRNazanin"/>
          <w:lang w:bidi="fa-IR"/>
          <w:color w:val="111111"/>
          <w:sz w:val="28"/>
          <w:szCs w:val="28"/>
          <w:rtl/>
        </w:rPr>
        <w:t xml:space="preserve">سم [ف: ۹-۲۳]</w:t>
      </w:r>
    </w:p>
    <w:p>
      <w:pPr>
        <w:pStyle w:val="Heading3"/>
      </w:pPr>
      <w:bookmarkStart w:id="1245" w:name="_Toc505"/>
      <w:r>
        <w:t>• بيان الأسفار الأربعة / عرفان و تصوف / عربی</w:t>
      </w:r>
      <w:bookmarkEnd w:id="1245"/>
    </w:p>
    <w:p>
      <w:pPr>
        <w:pStyle w:val="BookText"/>
      </w:pPr>
      <w:r>
        <w:rPr>
          <w:rFonts w:ascii="Times New Roman" w:hAnsi="Times New Roman" w:eastAsia="Times New Roman" w:cs="Times New Roman"/>
          <w:lang w:val="en-US" w:bidi="en-US"/>
          <w:color w:val="111111"/>
          <w:sz w:val="28"/>
          <w:szCs w:val="28"/>
          <w:rtl/>
        </w:rPr>
        <w:t xml:space="preserve">bayān-ul asfār-il arba a</w:t>
      </w:r>
    </w:p>
    <w:p>
      <w:pPr>
        <w:pStyle w:val="BookText"/>
      </w:pPr>
      <w:r>
        <w:rPr>
          <w:rFonts w:ascii="IRNazanin" w:hAnsi="IRNazanin" w:eastAsia="IRNazanin" w:cs="IRNazanin"/>
          <w:lang w:bidi="fa-IR"/>
          <w:color w:val="111111"/>
          <w:sz w:val="28"/>
          <w:szCs w:val="28"/>
          <w:rtl/>
        </w:rPr>
        <w:t xml:space="preserve">زنجانی، احمد بن محمد رضا، ق ۱۴ قمری</w:t>
      </w:r>
    </w:p>
    <w:p>
      <w:pPr>
        <w:pStyle w:val="BookText"/>
      </w:pPr>
      <w:r>
        <w:rPr>
          <w:rFonts w:ascii="Times New Roman" w:hAnsi="Times New Roman" w:eastAsia="Times New Roman" w:cs="Times New Roman"/>
          <w:lang w:val="en-US" w:bidi="en-US"/>
          <w:color w:val="111111"/>
          <w:sz w:val="28"/>
          <w:szCs w:val="28"/>
          <w:rtl/>
        </w:rPr>
        <w:t xml:space="preserve">zanjānī, ahmad ebn-e mohammad rezā (- 20c)</w:t>
      </w:r>
    </w:p>
    <w:p>
      <w:pPr>
        <w:pStyle w:val="BookText"/>
      </w:pPr>
      <w:r>
        <w:rPr>
          <w:rFonts w:ascii="IRNazanin" w:hAnsi="IRNazanin" w:eastAsia="IRNazanin" w:cs="IRNazanin"/>
          <w:lang w:bidi="fa-IR"/>
          <w:color w:val="111111"/>
          <w:sz w:val="28"/>
          <w:szCs w:val="28"/>
          <w:rtl/>
        </w:rPr>
        <w:t xml:space="preserve">وابسته به: الحكمة المتعالية في الأسفار الأربعة العقلية = اسفار اربعه ؛ صدرالدین شیرازی، محمد بن ابراهیم (۹۷۹-۱۰۵۰) مانند رساله سابق به گونه دیگر که زنجانی از استاد خود شنیده و به عنوان تعلیق بر «اسفار» ملا صدرا نگاشته شده است.</w:t>
      </w:r>
    </w:p>
    <w:p>
      <w:pPr>
        <w:pStyle w:val="BookText"/>
      </w:pPr>
      <w:r>
        <w:rPr>
          <w:rFonts w:ascii="IRNazanin" w:hAnsi="IRNazanin" w:eastAsia="IRNazanin" w:cs="IRNazanin"/>
          <w:lang w:bidi="fa-IR"/>
          <w:color w:val="111111"/>
          <w:sz w:val="28"/>
          <w:szCs w:val="28"/>
          <w:rtl/>
        </w:rPr>
        <w:t xml:space="preserve">[دنا ۵۸۱/۲ ]</w:t>
      </w:r>
    </w:p>
    <w:p>
      <w:pPr>
        <w:pStyle w:val="BookText"/>
      </w:pPr>
      <w:r>
        <w:rPr>
          <w:rFonts w:ascii="IRNazanin" w:hAnsi="IRNazanin" w:eastAsia="IRNazanin" w:cs="IRNazanin"/>
          <w:lang w:bidi="fa-IR"/>
          <w:color w:val="111111"/>
          <w:sz w:val="28"/>
          <w:szCs w:val="28"/>
          <w:rtl/>
        </w:rPr>
        <w:t xml:space="preserve">قم، مرکز احیاء؛ شماره نسخه: ۱۴۹۰/۸</w:t>
      </w:r>
    </w:p>
    <w:p>
      <w:pPr>
        <w:pStyle w:val="BookText"/>
      </w:pPr>
      <w:r>
        <w:rPr>
          <w:rFonts w:ascii="Amiri" w:hAnsi="Amiri" w:eastAsia="Amiri" w:cs="Amiri"/>
          <w:lang w:bidi="ar-SA"/>
          <w:color w:val="111111"/>
          <w:sz w:val="28"/>
          <w:szCs w:val="28"/>
          <w:rtl/>
        </w:rPr>
        <w:t xml:space="preserve">آغاز: في بيان الأسفار الأربعة كما سمعتها من الاستاد و اضبطها، السفر الأول من الخلق إلى الحق؛ انجام: و فقنا الله و اياك للسير في بعض مراتب الأسفار التي يمكن لأمثالنا السير فيها</w:t>
      </w:r>
    </w:p>
    <w:p>
      <w:pPr>
        <w:pStyle w:val="BookText"/>
      </w:pPr>
      <w:r>
        <w:rPr>
          <w:rFonts w:ascii="IRNazanin" w:hAnsi="IRNazanin" w:eastAsia="IRNazanin" w:cs="IRNazanin"/>
          <w:lang w:bidi="fa-IR"/>
          <w:color w:val="111111"/>
          <w:sz w:val="28"/>
          <w:szCs w:val="28"/>
          <w:rtl/>
        </w:rPr>
        <w:t xml:space="preserve">خط: نسخ و نستعلیق، كا: احمد بن محمد رضا بن فرج الله زنجانی، تا: ۱۳۱۹-۱۳۴۴ق، جلد: مقوایی عطف تیماج قرمز، ۲گ ( ۵۵ر -۵۶ر)، اندازه: ۱۸۶۱۱سم [ف: ۴-۳۳۶]</w:t>
      </w:r>
    </w:p>
    <w:p>
      <w:pPr>
        <w:pStyle w:val="Heading3"/>
      </w:pPr>
      <w:bookmarkStart w:id="1246" w:name="_Toc506"/>
      <w:r>
        <w:t>•بیان الاشكال فيما حکی عن المهدي من الأقوال / کلام و اعتقادات / عربی</w:t>
      </w:r>
      <w:bookmarkEnd w:id="1246"/>
    </w:p>
    <w:p>
      <w:pPr>
        <w:pStyle w:val="BookText"/>
      </w:pPr>
      <w:r>
        <w:rPr>
          <w:rFonts w:ascii="Times New Roman" w:hAnsi="Times New Roman" w:eastAsia="Times New Roman" w:cs="Times New Roman"/>
          <w:lang w:val="en-US" w:bidi="en-US"/>
          <w:color w:val="111111"/>
          <w:sz w:val="28"/>
          <w:szCs w:val="28"/>
          <w:rtl/>
        </w:rPr>
        <w:t xml:space="preserve">bayān-ul iškal fi-mā hakā 'an-il mahdī min-al aqwāl</w:t>
      </w:r>
    </w:p>
    <w:p>
      <w:pPr>
        <w:pStyle w:val="BookText"/>
      </w:pPr>
      <w:r>
        <w:rPr>
          <w:rFonts w:ascii="IRNazanin" w:hAnsi="IRNazanin" w:eastAsia="IRNazanin" w:cs="IRNazanin"/>
          <w:lang w:bidi="fa-IR"/>
          <w:color w:val="111111"/>
          <w:sz w:val="28"/>
          <w:szCs w:val="28"/>
          <w:rtl/>
        </w:rPr>
        <w:t xml:space="preserve">قاسمی، حميدان بن یحیی، ق۶ قمری</w:t>
      </w:r>
    </w:p>
    <w:p>
      <w:pPr>
        <w:pStyle w:val="BookText"/>
      </w:pPr>
      <w:r>
        <w:rPr>
          <w:rFonts w:ascii="Times New Roman" w:hAnsi="Times New Roman" w:eastAsia="Times New Roman" w:cs="Times New Roman"/>
          <w:lang w:val="en-US" w:bidi="en-US"/>
          <w:color w:val="111111"/>
          <w:sz w:val="28"/>
          <w:szCs w:val="28"/>
          <w:rtl/>
        </w:rPr>
        <w:t xml:space="preserve">qāsemī, hamīdān ebn-e yahyā (- 12c)</w:t>
      </w:r>
    </w:p>
    <w:p>
      <w:pPr>
        <w:pStyle w:val="BookText"/>
      </w:pPr>
      <w:r>
        <w:rPr>
          <w:rFonts w:ascii="IRNazanin" w:hAnsi="IRNazanin" w:eastAsia="IRNazanin" w:cs="IRNazanin"/>
          <w:lang w:bidi="fa-IR"/>
          <w:color w:val="111111"/>
          <w:sz w:val="28"/>
          <w:szCs w:val="28"/>
          <w:rtl/>
        </w:rPr>
        <w:t xml:space="preserve">پاسخی است از نسبت هایی که به الامام المهدي لدين الله حسین بن القاسم عیانی داده اند. در این رساله بعضی از گفته های وی را نقل کرده و طی فصولی چند در آنها بحث می کند و همه گونه نسبتها را با آوردن اقوال وی رد می کند.</w:t>
      </w:r>
    </w:p>
    <w:p>
      <w:pPr>
        <w:pStyle w:val="BookText"/>
      </w:pPr>
      <w:r>
        <w:rPr>
          <w:rFonts w:ascii="IRNazanin" w:hAnsi="IRNazanin" w:eastAsia="IRNazanin" w:cs="IRNazanin"/>
          <w:lang w:bidi="fa-IR"/>
          <w:color w:val="111111"/>
          <w:sz w:val="28"/>
          <w:szCs w:val="28"/>
          <w:rtl/>
        </w:rPr>
        <w:t xml:space="preserve">[دنا ۵۸۱/۲ ]</w:t>
      </w:r>
    </w:p>
    <w:p>
      <w:pPr>
        <w:pStyle w:val="BookText"/>
      </w:pPr>
      <w:r>
        <w:rPr>
          <w:rFonts w:ascii="IRNazanin" w:hAnsi="IRNazanin" w:eastAsia="IRNazanin" w:cs="IRNazanin"/>
          <w:lang w:bidi="fa-IR"/>
          <w:color w:val="111111"/>
          <w:sz w:val="28"/>
          <w:szCs w:val="28"/>
          <w:rtl/>
        </w:rPr>
        <w:t xml:space="preserve">قم؛ مرعشی؛ شماره نسخه: ۷۴۰۷/۱۰</w:t>
      </w:r>
    </w:p>
    <w:p>
      <w:pPr>
        <w:pStyle w:val="BookText"/>
      </w:pPr>
      <w:r>
        <w:rPr>
          <w:rFonts w:ascii="Amiri" w:hAnsi="Amiri" w:eastAsia="Amiri" w:cs="Amiri"/>
          <w:lang w:bidi="ar-SA"/>
          <w:color w:val="111111"/>
          <w:sz w:val="28"/>
          <w:szCs w:val="28"/>
          <w:rtl/>
        </w:rPr>
        <w:t xml:space="preserve">آغاز: أما بعد حمدالله تعالى على جزيل آلائه و صلواته على النبي محمد خاتم أنبيائه و على السابقين و المقتصدين من أبنائه؛ انجام: فان الله سبحانه لم يجعل حججه خبرة فاسدة و كتابة مفردة ليس معه من ذرية الرسول معين.</w:t>
      </w:r>
    </w:p>
    <w:p>
      <w:pPr>
        <w:pStyle w:val="BookText"/>
      </w:pPr>
      <w:r>
        <w:rPr>
          <w:rFonts w:ascii="IRNazanin" w:hAnsi="IRNazanin" w:eastAsia="IRNazanin" w:cs="IRNazanin"/>
          <w:lang w:bidi="fa-IR"/>
          <w:color w:val="111111"/>
          <w:sz w:val="28"/>
          <w:szCs w:val="28"/>
          <w:rtl/>
        </w:rPr>
        <w:t xml:space="preserve">خط: نسخ، كا: حسين بن قاسم بن حسين الداعی، تا: ۱۳۳۶ق؛ جلد: تیماج قهوه ای، ۷گ (۱۵۰-۱۵۶ر)،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۱۹-۲۰۷]</w:t>
      </w:r>
    </w:p>
    <w:p>
      <w:pPr>
        <w:pStyle w:val="BookText"/>
      </w:pPr>
      <w:r>
        <w:rPr>
          <w:rFonts w:ascii="IRNazanin" w:hAnsi="IRNazanin" w:eastAsia="IRNazanin" w:cs="IRNazanin"/>
          <w:lang w:bidi="fa-IR"/>
          <w:color w:val="111111"/>
          <w:sz w:val="28"/>
          <w:szCs w:val="28"/>
          <w:rtl/>
        </w:rPr>
        <w:t xml:space="preserve">←بیان اعتقاد ←اعتقادات</w:t>
      </w:r>
    </w:p>
    <w:p>
      <w:pPr>
        <w:pStyle w:val="BookText"/>
      </w:pPr>
      <w:r>
        <w:rPr>
          <w:rFonts w:ascii="IRNazanin" w:hAnsi="IRNazanin" w:eastAsia="IRNazanin" w:cs="IRNazanin"/>
          <w:lang w:bidi="fa-IR"/>
          <w:color w:val="111111"/>
          <w:sz w:val="28"/>
          <w:szCs w:val="28"/>
          <w:rtl/>
        </w:rPr>
        <w:t xml:space="preserve">← بیان اعتقادات اهل سنت ← عقائد النسفی (ترجمه)</w:t>
      </w:r>
    </w:p>
    <w:p>
      <w:pPr>
        <w:pStyle w:val="Heading3"/>
      </w:pPr>
      <w:bookmarkStart w:id="1247" w:name="_Toc507"/>
      <w:r>
        <w:t>• بیان الاعتقاد في ما يكثر اليه احتیاج العباد / کلام و اعتقادات / عربی</w:t>
      </w:r>
      <w:bookmarkEnd w:id="1247"/>
    </w:p>
    <w:p>
      <w:pPr>
        <w:pStyle w:val="BookText"/>
      </w:pPr>
      <w:r>
        <w:rPr>
          <w:rFonts w:ascii="Times New Roman" w:hAnsi="Times New Roman" w:eastAsia="Times New Roman" w:cs="Times New Roman"/>
          <w:lang w:val="en-US" w:bidi="en-US"/>
          <w:color w:val="111111"/>
          <w:sz w:val="28"/>
          <w:szCs w:val="28"/>
          <w:rtl/>
        </w:rPr>
        <w:t xml:space="preserve">bayān-ul i'tiqād fi mā yakțir ilay-h iḥtīyāj-ul ‘ibād</w:t>
      </w:r>
    </w:p>
    <w:p>
      <w:pPr>
        <w:pStyle w:val="BookText"/>
      </w:pPr>
      <w:r>
        <w:rPr>
          <w:rFonts w:ascii="IRNazanin" w:hAnsi="IRNazanin" w:eastAsia="IRNazanin" w:cs="IRNazanin"/>
          <w:lang w:bidi="fa-IR"/>
          <w:color w:val="111111"/>
          <w:sz w:val="28"/>
          <w:szCs w:val="28"/>
          <w:rtl/>
        </w:rPr>
        <w:t xml:space="preserve">عامری، یحیی بن ابی بکر، ۸۱۶-۸۹۳ قمری</w:t>
      </w:r>
    </w:p>
    <w:p>
      <w:pPr>
        <w:pStyle w:val="BookText"/>
      </w:pPr>
      <w:r>
        <w:rPr>
          <w:rFonts w:ascii="Times New Roman" w:hAnsi="Times New Roman" w:eastAsia="Times New Roman" w:cs="Times New Roman"/>
          <w:lang w:val="en-US" w:bidi="en-US"/>
          <w:color w:val="111111"/>
          <w:sz w:val="28"/>
          <w:szCs w:val="28"/>
          <w:rtl/>
        </w:rPr>
        <w:t xml:space="preserve">‘āmerī, yahyā ebn-e abī-bakr (1414-1488)</w:t>
      </w:r>
    </w:p>
    <w:p>
      <w:pPr>
        <w:pStyle w:val="BookText"/>
      </w:pPr>
      <w:r>
        <w:rPr>
          <w:rFonts w:ascii="IRNazanin" w:hAnsi="IRNazanin" w:eastAsia="IRNazanin" w:cs="IRNazanin"/>
          <w:lang w:bidi="fa-IR"/>
          <w:color w:val="111111"/>
          <w:sz w:val="28"/>
          <w:szCs w:val="28"/>
          <w:rtl/>
        </w:rPr>
        <w:t xml:space="preserve">مصنف بعد از آنکه رساله ای به فارسی در بیان اعتقاد تأليف کرده بود به خواهش جمعی کتاب حاضر را در بیان عقاید به عربی جهت سهولت حفظ برای مبتدئين پرداخته و بیشتر آن گرفته شده از آثار ابوحنیفه و اصحاب وی بدون اظهار نظری از خود مؤلف است و آن را در سه «باب» قرار داده: ۱. مسائل الاعتقاد سی و دو فصل؛ ۲. مسائل الفاظ الكفر و كلمات الارتداد ده فصل؛ ۳. مسائل کتاب الاستحسان مما يكثر اليها احتیاج العباد شش فصل. آغاز: الحمدلله المتوحد بازلى الوجود والذات و المتفرد بقدم النعوت و الصفات ذاته منزه عن التغير و اختلاف الحالات. [دنا ۵۸۱/۲ (۳ نسخه)]</w:t>
      </w:r>
    </w:p>
    <w:p>
      <w:pPr>
        <w:pStyle w:val="BookText"/>
      </w:pPr>
      <w:r>
        <w:rPr>
          <w:rFonts w:ascii="IRNazanin" w:hAnsi="IRNazanin" w:eastAsia="IRNazanin" w:cs="IRNazanin"/>
          <w:lang w:bidi="fa-IR"/>
          <w:color w:val="111111"/>
          <w:sz w:val="28"/>
          <w:szCs w:val="28"/>
          <w:rtl/>
        </w:rPr>
        <w:t xml:space="preserve">١. خوی؛ نمازی؛ شماره نسخه: ۶۱۲/۲</w:t>
      </w:r>
    </w:p>
    <w:p>
      <w:pPr>
        <w:pStyle w:val="BookText"/>
      </w:pPr>
      <w:r>
        <w:rPr>
          <w:rFonts w:ascii="IRNazanin" w:hAnsi="IRNazanin" w:eastAsia="IRNazanin" w:cs="IRNazanin"/>
          <w:lang w:bidi="fa-IR"/>
          <w:color w:val="111111"/>
          <w:sz w:val="28"/>
          <w:szCs w:val="28"/>
          <w:rtl/>
        </w:rPr>
        <w:t xml:space="preserve">آغاز: برابر؛ انجام: آن نقش خاتم رسول الله كان ثلثة اسطر الاول محمد و الثانی رسول و الثالث الله و كان نقش خاتم علی بن ابی طالب رضي الله عنه الملك لله تم المختصر في بيان الاعتقاد.</w:t>
      </w:r>
    </w:p>
    <w:p>
      <w:pPr>
        <w:pStyle w:val="BookText"/>
      </w:pPr>
      <w:r>
        <w:rPr>
          <w:rFonts w:ascii="IRNazanin" w:hAnsi="IRNazanin" w:eastAsia="IRNazanin" w:cs="IRNazanin"/>
          <w:lang w:bidi="fa-IR"/>
          <w:color w:val="111111"/>
          <w:sz w:val="28"/>
          <w:szCs w:val="28"/>
          <w:rtl/>
        </w:rPr>
        <w:t xml:space="preserve">خط: نسخ، بی کا، تا: ۸۸۶ق؛ مهر: «محمد امین صلاحی» (کروی)؛ تملک: حسين الأديب اغريبوزی با مهر «عبده حسین» (مکعبی)؛ از موقوفات رمضانيه واقف: آقا ابراهیم، ۱۲۳۰؛ جلد: تیماج روغنی، پشت جلد اسلیمی، ۳۵ گ، ۱۹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[ف: ۳۲۴]</w:t>
      </w:r>
    </w:p>
    <w:p>
      <w:pPr>
        <w:pStyle w:val="BookText"/>
      </w:pPr>
      <w:r>
        <w:rPr>
          <w:rFonts w:ascii="IRNazanin" w:hAnsi="IRNazanin" w:eastAsia="IRNazanin" w:cs="IRNazanin"/>
          <w:lang w:bidi="fa-IR"/>
          <w:color w:val="111111"/>
          <w:sz w:val="28"/>
          <w:szCs w:val="28"/>
          <w:rtl/>
        </w:rPr>
        <w:t xml:space="preserve">قم؛ مرعشی؛ شماره نسخه: ۴۴۲/۲</w:t>
      </w:r>
    </w:p>
    <w:p>
      <w:pPr>
        <w:pStyle w:val="BookText"/>
      </w:pPr>
      <w:r>
        <w:rPr>
          <w:rFonts w:ascii="IRNazanin" w:hAnsi="IRNazanin" w:eastAsia="IRNazanin" w:cs="IRNazanin"/>
          <w:lang w:bidi="fa-IR"/>
          <w:color w:val="111111"/>
          <w:sz w:val="28"/>
          <w:szCs w:val="28"/>
          <w:rtl/>
        </w:rPr>
        <w:t xml:space="preserve">عکسی نسخه اصل: همان نسخه بالا [عکسی ف: ۱-۳۹۳)</w:t>
      </w:r>
    </w:p>
    <w:p>
      <w:pPr>
        <w:pStyle w:val="BookText"/>
      </w:pPr>
      <w:r>
        <w:rPr>
          <w:rFonts w:ascii="IRNazanin" w:hAnsi="IRNazanin" w:eastAsia="IRNazanin" w:cs="IRNazanin"/>
          <w:lang w:bidi="fa-IR"/>
          <w:color w:val="111111"/>
          <w:sz w:val="28"/>
          <w:szCs w:val="28"/>
          <w:rtl/>
        </w:rPr>
        <w:t xml:space="preserve">قم، مرکز احیاء؛ شماره نسخه: ۸۹۵/۲</w:t>
      </w:r>
    </w:p>
    <w:p>
      <w:pPr>
        <w:pStyle w:val="BookText"/>
      </w:pPr>
      <w:r>
        <w:rPr>
          <w:rFonts w:ascii="IRNazanin" w:hAnsi="IRNazanin" w:eastAsia="IRNazanin" w:cs="IRNazanin"/>
          <w:lang w:bidi="fa-IR"/>
          <w:color w:val="111111"/>
          <w:sz w:val="28"/>
          <w:szCs w:val="28"/>
          <w:rtl/>
        </w:rPr>
        <w:t xml:space="preserve">نسخه اصل: همان نسخه بالا [عکسی ف: ۳-۹۴]</w:t>
      </w:r>
    </w:p>
    <w:p>
      <w:pPr>
        <w:pStyle w:val="BookText"/>
      </w:pPr>
      <w:r>
        <w:rPr>
          <w:rFonts w:ascii="IRNazanin" w:hAnsi="IRNazanin" w:eastAsia="IRNazanin" w:cs="IRNazanin"/>
          <w:lang w:bidi="fa-IR"/>
          <w:color w:val="111111"/>
          <w:sz w:val="28"/>
          <w:szCs w:val="28"/>
          <w:rtl/>
        </w:rPr>
        <w:t xml:space="preserve">۲. قم؛ مرعشی؛ شماره نسخه: ۸۴۱۶</w:t>
      </w:r>
    </w:p>
    <w:p>
      <w:pPr>
        <w:pStyle w:val="BookText"/>
      </w:pPr>
      <w:r>
        <w:rPr>
          <w:rFonts w:ascii="Amiri" w:hAnsi="Amiri" w:eastAsia="Amiri" w:cs="Amiri"/>
          <w:lang w:bidi="ar-SA"/>
          <w:color w:val="111111"/>
          <w:sz w:val="28"/>
          <w:szCs w:val="28"/>
          <w:rtl/>
        </w:rPr>
        <w:t xml:space="preserve">آغاز: برابر؛ انجام: و من أنكر آية من آيات القرآن أو استهزأ بها.</w:t>
      </w:r>
    </w:p>
    <w:p>
      <w:pPr>
        <w:pStyle w:val="BookText"/>
      </w:pPr>
      <w:r>
        <w:rPr>
          <w:rFonts w:ascii="IRNazanin" w:hAnsi="IRNazanin" w:eastAsia="IRNazanin" w:cs="IRNazanin"/>
          <w:lang w:bidi="fa-IR"/>
          <w:color w:val="111111"/>
          <w:sz w:val="28"/>
          <w:szCs w:val="28"/>
          <w:rtl/>
        </w:rPr>
        <w:t xml:space="preserve">خط: نسخ، بی کا، تا: قرن ۱۳؛ جلد: مقوایی عطف تیماج قهوه ای، ۸گ،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۲۲-۱۵]</w:t>
      </w:r>
    </w:p>
    <w:p>
      <w:pPr>
        <w:pStyle w:val="BookText"/>
      </w:pPr>
      <w:r>
        <w:rPr>
          <w:rFonts w:ascii="IRNazanin" w:hAnsi="IRNazanin" w:eastAsia="IRNazanin" w:cs="IRNazanin"/>
          <w:lang w:bidi="fa-IR"/>
          <w:color w:val="111111"/>
          <w:sz w:val="28"/>
          <w:szCs w:val="28"/>
          <w:rtl/>
        </w:rPr>
        <w:t xml:space="preserve">٣. تهران؛ مجلس؛ شماره نسخه: ۱۸۲۷۶ ض</w:t>
      </w:r>
    </w:p>
    <w:p>
      <w:pPr>
        <w:pStyle w:val="BookText"/>
      </w:pPr>
      <w:r>
        <w:rPr>
          <w:rFonts w:ascii="IRNazanin" w:hAnsi="IRNazanin" w:eastAsia="IRNazanin" w:cs="IRNazanin"/>
          <w:lang w:bidi="fa-IR"/>
          <w:color w:val="111111"/>
          <w:sz w:val="28"/>
          <w:szCs w:val="28"/>
          <w:rtl/>
        </w:rPr>
        <w:t xml:space="preserve">بی کا، بی تا [د.ث. مجلس]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68" w:name="pg20363_209399"/>
    <w:bookmarkEnd w:id="168"/>
    <w:p>
      <w:pPr>
        <w:pStyle w:val="Heading3"/>
      </w:pPr>
      <w:bookmarkStart w:id="1248" w:name="_Toc508"/>
      <w:r>
        <w:t>• بیان اعداد / علوم غریبه / فارسی</w:t>
      </w:r>
      <w:bookmarkEnd w:id="1248"/>
    </w:p>
    <w:p>
      <w:pPr>
        <w:pStyle w:val="BookText"/>
      </w:pPr>
      <w:r>
        <w:rPr>
          <w:rFonts w:ascii="Times New Roman" w:hAnsi="Times New Roman" w:eastAsia="Times New Roman" w:cs="Times New Roman"/>
          <w:lang w:val="en-US" w:bidi="en-US"/>
          <w:color w:val="111111"/>
          <w:sz w:val="28"/>
          <w:szCs w:val="28"/>
          <w:rtl/>
        </w:rPr>
        <w:t xml:space="preserve">bayān-e a‘dād</w:t>
      </w:r>
    </w:p>
    <w:p>
      <w:pPr>
        <w:pStyle w:val="BookText"/>
      </w:pPr>
      <w:r>
        <w:rPr>
          <w:rFonts w:ascii="IRNazanin" w:hAnsi="IRNazanin" w:eastAsia="IRNazanin" w:cs="IRNazanin"/>
          <w:lang w:bidi="fa-IR"/>
          <w:color w:val="111111"/>
          <w:sz w:val="28"/>
          <w:szCs w:val="28"/>
          <w:rtl/>
        </w:rPr>
        <w:t xml:space="preserve">در بیان اعداد و وفق وروش آنها و نهادن الواح به طریقی که استادان این فن گفته اند، به طوریکه همه بتوانند از این علم استفاده کنند نه به روش رمز و اشاره چنانچه معمول استادان سابق بوده، با عناوین «ضابطه - ضابطه»..</w:t>
      </w:r>
    </w:p>
    <w:p>
      <w:pPr>
        <w:pStyle w:val="BookText"/>
      </w:pPr>
      <w:r>
        <w:rPr>
          <w:rFonts w:ascii="IRNazanin" w:hAnsi="IRNazanin" w:eastAsia="IRNazanin" w:cs="IRNazanin"/>
          <w:lang w:bidi="fa-IR"/>
          <w:color w:val="111111"/>
          <w:sz w:val="28"/>
          <w:szCs w:val="28"/>
          <w:rtl/>
        </w:rPr>
        <w:t xml:space="preserve">قم، گلپایگانی؛ شماره نسخه: ۳۷۸۰/۱۰ - ۱۹/۱۱۰</w:t>
      </w:r>
    </w:p>
    <w:p>
      <w:pPr>
        <w:pStyle w:val="BookText"/>
      </w:pPr>
      <w:r>
        <w:rPr>
          <w:rFonts w:ascii="IRNazanin" w:hAnsi="IRNazanin" w:eastAsia="IRNazanin" w:cs="IRNazanin"/>
          <w:lang w:bidi="fa-IR"/>
          <w:color w:val="111111"/>
          <w:sz w:val="28"/>
          <w:szCs w:val="28"/>
          <w:rtl/>
        </w:rPr>
        <w:t xml:space="preserve">آغاز: بسمله، الحمدلله لم يزل و لایزال ولايتغير عن الحال الى الحال ... این رساله ایست در بیان اعداد و وفق و روش آن ونهادن الواح به طریقی که استادان این علم فرموده اند؛ انجام: واگر سه باشد در خانه یازدهم و اگر دو باشد در خانه شانزدهم و اگر یک باشد در خانه بیست و یکم و صورت شکل این است والله اعلم بالصواب. خط: نسخ، بی کا، تا: ۲۴ ذیقعده ۱۲۸۸ق؛ جلد: مقوایی، عطف تیماج قهوه ای، ۵گ، ۲۰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w:t>
      </w:r>
    </w:p>
    <w:p>
      <w:pPr>
        <w:pStyle w:val="BookText"/>
      </w:pPr>
      <w:r>
        <w:rPr>
          <w:rFonts w:ascii="IRNazanin" w:hAnsi="IRNazanin" w:eastAsia="IRNazanin" w:cs="IRNazanin"/>
          <w:lang w:bidi="fa-IR"/>
          <w:color w:val="111111"/>
          <w:sz w:val="28"/>
          <w:szCs w:val="28"/>
          <w:rtl/>
        </w:rPr>
        <w:t xml:space="preserve">سم [ف: ۲-۶۴۹]</w:t>
      </w:r>
    </w:p>
    <w:p>
      <w:pPr>
        <w:pStyle w:val="BookText"/>
      </w:pPr>
      <w:r>
        <w:rPr>
          <w:rFonts w:ascii="IRNazanin" w:hAnsi="IRNazanin" w:eastAsia="IRNazanin" w:cs="IRNazanin"/>
          <w:lang w:bidi="fa-IR"/>
          <w:color w:val="111111"/>
          <w:sz w:val="28"/>
          <w:szCs w:val="28"/>
          <w:rtl/>
        </w:rPr>
        <w:t xml:space="preserve">← بیان افعال الحرارة و البرودة و خواصها و كيفية تولد البياض و السواد و سائر الالوان←مکاتبات الكاتبی و الطوسي (الحرار و البرودة)</w:t>
      </w:r>
    </w:p>
    <w:p>
      <w:pPr>
        <w:pStyle w:val="Heading3"/>
      </w:pPr>
      <w:bookmarkStart w:id="1249" w:name="_Toc509"/>
      <w:r>
        <w:t>• بیان اقسام القضية المحصورة / منطق / عربی</w:t>
      </w:r>
      <w:bookmarkEnd w:id="1249"/>
    </w:p>
    <w:p>
      <w:pPr>
        <w:pStyle w:val="BookText"/>
      </w:pPr>
      <w:r>
        <w:rPr>
          <w:rFonts w:ascii="Times New Roman" w:hAnsi="Times New Roman" w:eastAsia="Times New Roman" w:cs="Times New Roman"/>
          <w:lang w:val="en-US" w:bidi="en-US"/>
          <w:color w:val="111111"/>
          <w:sz w:val="28"/>
          <w:szCs w:val="28"/>
          <w:rtl/>
        </w:rPr>
        <w:t xml:space="preserve">bayān-u aqsām-il qadīyyat-il maḥşūra</w:t>
      </w:r>
    </w:p>
    <w:p>
      <w:pPr>
        <w:pStyle w:val="BookText"/>
      </w:pPr>
      <w:r>
        <w:rPr>
          <w:rFonts w:ascii="IRNazanin" w:hAnsi="IRNazanin" w:eastAsia="IRNazanin" w:cs="IRNazanin"/>
          <w:lang w:bidi="fa-IR"/>
          <w:color w:val="111111"/>
          <w:sz w:val="28"/>
          <w:szCs w:val="28"/>
          <w:rtl/>
        </w:rPr>
        <w:t xml:space="preserve">آمدی، محمد</w:t>
      </w:r>
    </w:p>
    <w:p>
      <w:pPr>
        <w:pStyle w:val="BookText"/>
      </w:pPr>
      <w:r>
        <w:rPr>
          <w:rFonts w:ascii="Times New Roman" w:hAnsi="Times New Roman" w:eastAsia="Times New Roman" w:cs="Times New Roman"/>
          <w:lang w:val="en-US" w:bidi="en-US"/>
          <w:color w:val="111111"/>
          <w:sz w:val="28"/>
          <w:szCs w:val="28"/>
          <w:rtl/>
        </w:rPr>
        <w:t xml:space="preserve">āmedī, mohammad</w:t>
      </w:r>
    </w:p>
    <w:p>
      <w:pPr>
        <w:pStyle w:val="BookText"/>
      </w:pPr>
      <w:r>
        <w:rPr>
          <w:rFonts w:ascii="IRNazanin" w:hAnsi="IRNazanin" w:eastAsia="IRNazanin" w:cs="IRNazanin"/>
          <w:lang w:bidi="fa-IR"/>
          <w:color w:val="111111"/>
          <w:sz w:val="28"/>
          <w:szCs w:val="28"/>
          <w:rtl/>
        </w:rPr>
        <w:t xml:space="preserve">رساله ای است، در بیان اقسام قضیه محصوره از مباحث منطق، مؤلف ضمن نقل نظریات دیگران، به شرح آن پرداخته است. آغاز: بسمله، يقول الفقير محمد الآمدی: ان القضية أما على ثلاثة اقسام: حقيقية و خارجية و ذهنية، كما ذهب سيد المحققين منهم الشريف الجرجانی، او على قسمين، بان يكون الحقيقة أعم منها و لا يوجد بها قسم آخر.</w:t>
      </w:r>
    </w:p>
    <w:p>
      <w:pPr>
        <w:pStyle w:val="BookText"/>
      </w:pPr>
      <w:r>
        <w:rPr>
          <w:rFonts w:ascii="IRNazanin" w:hAnsi="IRNazanin" w:eastAsia="IRNazanin" w:cs="IRNazanin"/>
          <w:lang w:bidi="fa-IR"/>
          <w:color w:val="111111"/>
          <w:sz w:val="28"/>
          <w:szCs w:val="28"/>
          <w:rtl/>
        </w:rPr>
        <w:t xml:space="preserve">[دنا ۵۸۱/۲ ]</w:t>
      </w:r>
    </w:p>
    <w:p>
      <w:pPr>
        <w:pStyle w:val="BookText"/>
      </w:pPr>
      <w:r>
        <w:rPr>
          <w:rFonts w:ascii="IRNazanin" w:hAnsi="IRNazanin" w:eastAsia="IRNazanin" w:cs="IRNazanin"/>
          <w:lang w:bidi="fa-IR"/>
          <w:color w:val="111111"/>
          <w:sz w:val="28"/>
          <w:szCs w:val="28"/>
          <w:rtl/>
        </w:rPr>
        <w:t xml:space="preserve">قم؛ مرعشی؛ شماره نسخه: ۱۴۶۳۸/۱۳</w:t>
      </w:r>
    </w:p>
    <w:p>
      <w:pPr>
        <w:pStyle w:val="BookText"/>
      </w:pPr>
      <w:r>
        <w:rPr>
          <w:rFonts w:ascii="IRNazanin" w:hAnsi="IRNazanin" w:eastAsia="IRNazanin" w:cs="IRNazanin"/>
          <w:lang w:bidi="fa-IR"/>
          <w:color w:val="111111"/>
          <w:sz w:val="28"/>
          <w:szCs w:val="28"/>
          <w:rtl/>
        </w:rPr>
        <w:t xml:space="preserve">آغاز: برابر؛ انجام: و أن الخارجية سواء كانت كلية او جزئية موجبة أو سالبة أعم من وجه من الذهنية سواء كانت كلية او جزئية موجبة أو سالبة، هذه جدوله ... خط: نسخ، كا: اسماعیل حلبی، تا: نیمه دوم قرن ۱۲؛ کاغذ: فرنگی آهار مهره زده، ۶گ (۸۷ر-۹۲ر)، ۲۷ سطر، اندازه: ۱۶۸۷ سم [ف: ۸۱-۳۷ ]</w:t>
      </w:r>
    </w:p>
    <w:p>
      <w:pPr>
        <w:pStyle w:val="BookText"/>
      </w:pPr>
      <w:r>
        <w:rPr>
          <w:rFonts w:ascii="Amiri" w:hAnsi="Amiri" w:eastAsia="Amiri" w:cs="Amiri"/>
          <w:lang w:bidi="ar-SA"/>
          <w:color w:val="111111"/>
          <w:sz w:val="28"/>
          <w:szCs w:val="28"/>
          <w:rtl/>
        </w:rPr>
        <w:t xml:space="preserve">←بيان اقطاب ← قطبيه</w:t>
      </w:r>
    </w:p>
    <w:p>
      <w:pPr>
        <w:pStyle w:val="Heading3"/>
      </w:pPr>
      <w:bookmarkStart w:id="1250" w:name="_Toc510"/>
      <w:r>
        <w:t>• بیان الفاظ كفر و موهم خطر / کلام و اعتقادات / عربی</w:t>
      </w:r>
      <w:bookmarkEnd w:id="1250"/>
    </w:p>
    <w:p>
      <w:pPr>
        <w:pStyle w:val="BookText"/>
      </w:pPr>
      <w:r>
        <w:rPr>
          <w:rFonts w:ascii="Times New Roman" w:hAnsi="Times New Roman" w:eastAsia="Times New Roman" w:cs="Times New Roman"/>
          <w:lang w:val="en-US" w:bidi="en-US"/>
          <w:color w:val="111111"/>
          <w:sz w:val="28"/>
          <w:szCs w:val="28"/>
          <w:rtl/>
        </w:rPr>
        <w:t xml:space="preserve">bayān-e alfāz-e kofr va mūhem-e xatar</w:t>
      </w:r>
    </w:p>
    <w:p>
      <w:pPr>
        <w:pStyle w:val="BookText"/>
      </w:pPr>
      <w:r>
        <w:rPr>
          <w:rFonts w:ascii="IRNazanin" w:hAnsi="IRNazanin" w:eastAsia="IRNazanin" w:cs="IRNazanin"/>
          <w:lang w:bidi="fa-IR"/>
          <w:color w:val="111111"/>
          <w:sz w:val="28"/>
          <w:szCs w:val="28"/>
          <w:rtl/>
        </w:rPr>
        <w:t xml:space="preserve">تهران؛ دانشگاه؛ شماره نسخه: ۱۵۲/۴ -ف</w:t>
      </w:r>
    </w:p>
    <w:p>
      <w:pPr>
        <w:pStyle w:val="BookText"/>
      </w:pPr>
      <w:r>
        <w:rPr>
          <w:rFonts w:ascii="IRNazanin" w:hAnsi="IRNazanin" w:eastAsia="IRNazanin" w:cs="IRNazanin"/>
          <w:lang w:bidi="fa-IR"/>
          <w:color w:val="111111"/>
          <w:sz w:val="28"/>
          <w:szCs w:val="28"/>
          <w:rtl/>
        </w:rPr>
        <w:t xml:space="preserve">نسخه اصل: حسین چلبی ش ۱۱۸۴؛ خط: نسخ، بی کا، تا: ۷۵۶ق [فیلمها ف: ۱-۴۲۰]</w:t>
      </w:r>
    </w:p>
    <w:p>
      <w:pPr>
        <w:pStyle w:val="Heading3"/>
      </w:pPr>
      <w:bookmarkStart w:id="1251" w:name="_Toc511"/>
      <w:r>
        <w:t>• بیان الامر بين الأمرين على ما هو عليه في البين / کلام و اعتقادات / عربی</w:t>
      </w:r>
      <w:bookmarkEnd w:id="1251"/>
    </w:p>
    <w:p>
      <w:pPr>
        <w:pStyle w:val="BookText"/>
      </w:pPr>
      <w:r>
        <w:rPr>
          <w:rFonts w:ascii="Times New Roman" w:hAnsi="Times New Roman" w:eastAsia="Times New Roman" w:cs="Times New Roman"/>
          <w:lang w:val="en-US" w:bidi="en-US"/>
          <w:color w:val="111111"/>
          <w:sz w:val="28"/>
          <w:szCs w:val="28"/>
          <w:rtl/>
        </w:rPr>
        <w:t xml:space="preserve">bayān-ul amr bayn-al amrayn ‘alā mā huwa 'alay-h fi-1 bayn</w:t>
      </w:r>
    </w:p>
    <w:p>
      <w:pPr>
        <w:pStyle w:val="BookText"/>
      </w:pPr>
      <w:r>
        <w:rPr>
          <w:rFonts w:ascii="IRNazanin" w:hAnsi="IRNazanin" w:eastAsia="IRNazanin" w:cs="IRNazanin"/>
          <w:lang w:bidi="fa-IR"/>
          <w:color w:val="111111"/>
          <w:sz w:val="28"/>
          <w:szCs w:val="28"/>
          <w:rtl/>
        </w:rPr>
        <w:t xml:space="preserve">مراغی، حسن بن عبدالرحيم، -۱۳۰۰ قمری</w:t>
      </w:r>
    </w:p>
    <w:p>
      <w:pPr>
        <w:pStyle w:val="BookText"/>
      </w:pPr>
      <w:r>
        <w:rPr>
          <w:rFonts w:ascii="Times New Roman" w:hAnsi="Times New Roman" w:eastAsia="Times New Roman" w:cs="Times New Roman"/>
          <w:lang w:val="en-US" w:bidi="en-US"/>
          <w:color w:val="111111"/>
          <w:sz w:val="28"/>
          <w:szCs w:val="28"/>
          <w:rtl/>
        </w:rPr>
        <w:t xml:space="preserve">marāqī, hasan ebn-e ‘abd-or-rahīm (-1883)</w:t>
      </w:r>
    </w:p>
    <w:p>
      <w:pPr>
        <w:pStyle w:val="BookText"/>
      </w:pPr>
      <w:r>
        <w:rPr>
          <w:rFonts w:ascii="IRNazanin" w:hAnsi="IRNazanin" w:eastAsia="IRNazanin" w:cs="IRNazanin"/>
          <w:lang w:bidi="fa-IR"/>
          <w:color w:val="111111"/>
          <w:sz w:val="28"/>
          <w:szCs w:val="28"/>
          <w:rtl/>
        </w:rPr>
        <w:t xml:space="preserve">رساله ای در موضوع جبر و تفویض که مفصل تر از رساله دیگر مؤلف می باشد که چند سطر از آغاز هر دو رساله یکی است. آغاز: بسمله، الحمد لله الواحد بالتوحيد الحاجز بين البحرين و الرب العادل بالامر بين الأمرين. اقول لابد في بيان المراد بحيث يطمئن الفؤاد ... منها ما ورد عن ابی الحسن علی بن محمد العسكري عليهما السلام في تفسير الجبر و التفويض ... انجام: فقال عليه السلام لو قلت غير هذا الضربت الذي فيه عيناك و لقد كتبنا في بيان سر الخلقة و كشف ستر الخليفة ما يثبت به حقيقة سر الحكمة و سريره المعرفة فمن اراد ذلك فلير جع اليه فانه ام العلوم و الأسرار ... كتبه بالتائيد والسديد من الأئمة الأطهار ... و انا العبد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۵۱۵۹/۱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فهرست با عنوان جبر و اختیار آمده است که به استناد فهرست مرعشی ۴۱۸/۳۸ تغییر یافت؛ خط: نستعلیق، کاتب = مؤلف، تا: ۱۲۵۹ق، ۱۰گ (۱پ-۱۰ر)، ۱۴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[ف: ۱۵- ۲۴۰]</w:t>
      </w:r>
    </w:p>
    <w:p>
      <w:pPr>
        <w:pStyle w:val="BookText"/>
      </w:pPr>
      <w:r>
        <w:rPr>
          <w:rFonts w:ascii="IRNazanin" w:hAnsi="IRNazanin" w:eastAsia="IRNazanin" w:cs="IRNazanin"/>
          <w:lang w:bidi="fa-IR"/>
          <w:color w:val="111111"/>
          <w:sz w:val="28"/>
          <w:szCs w:val="28"/>
          <w:rtl/>
        </w:rPr>
        <w:t xml:space="preserve">۲. قم؛ مرعشی؛ شماره نسخه: ۱۵۱۳۶/۶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زیبا، بی کا، تا: قرن ۱۳؛ کاغذ: فرنگی، ۶گ (۱۹-۲۴)، ۲۰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۸سم [ف: ۳۸-۴۱۸]</w:t>
      </w:r>
    </w:p>
    <w:p>
      <w:pPr>
        <w:pStyle w:val="BookText"/>
      </w:pPr>
      <w:r>
        <w:rPr>
          <w:rFonts w:ascii="IRNazanin" w:hAnsi="IRNazanin" w:eastAsia="IRNazanin" w:cs="IRNazanin"/>
          <w:lang w:bidi="fa-IR"/>
          <w:color w:val="111111"/>
          <w:sz w:val="28"/>
          <w:szCs w:val="28"/>
          <w:rtl/>
        </w:rPr>
        <w:t xml:space="preserve">٣. قم؛ مرعشی؛ شماره نسخه: ۲۰۲۷/۵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زیبا، كا: رستم بن بیجن، تا: ۱۲۵۹ق؛ جلد: تیماج قهوه ای بدون مقوا، ۱۰گ (۲۷پ -۱۳۶)، ۱۵ سطر، اندازه: ۱۳/۵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۲۰سم [ف: ۶-۳۳]</w:t>
      </w:r>
    </w:p>
    <w:p>
      <w:pPr>
        <w:pStyle w:val="Heading3"/>
      </w:pPr>
      <w:bookmarkStart w:id="1252" w:name="_Toc512"/>
      <w:r>
        <w:t>• بیان الاوراد / دعا / فارسی</w:t>
      </w:r>
      <w:bookmarkEnd w:id="1252"/>
    </w:p>
    <w:p>
      <w:pPr>
        <w:pStyle w:val="BookText"/>
      </w:pPr>
      <w:r>
        <w:rPr>
          <w:rFonts w:ascii="Times New Roman" w:hAnsi="Times New Roman" w:eastAsia="Times New Roman" w:cs="Times New Roman"/>
          <w:lang w:val="en-US" w:bidi="en-US"/>
          <w:color w:val="111111"/>
          <w:sz w:val="28"/>
          <w:szCs w:val="28"/>
          <w:rtl/>
        </w:rPr>
        <w:t xml:space="preserve">bayān-ol awrād</w:t>
      </w:r>
    </w:p>
    <w:p>
      <w:pPr>
        <w:pStyle w:val="BookText"/>
      </w:pPr>
      <w:r>
        <w:rPr>
          <w:rFonts w:ascii="IRNazanin" w:hAnsi="IRNazanin" w:eastAsia="IRNazanin" w:cs="IRNazanin"/>
          <w:lang w:bidi="fa-IR"/>
          <w:color w:val="111111"/>
          <w:sz w:val="28"/>
          <w:szCs w:val="28"/>
          <w:rtl/>
        </w:rPr>
        <w:t xml:space="preserve">نوری برزنجی، احمد، -۱۳۲۵ قمری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69" w:name="pg20363_209400"/>
    <w:bookmarkEnd w:id="169"/>
    <w:p>
      <w:pPr>
        <w:pStyle w:val="BookText"/>
      </w:pPr>
      <w:r>
        <w:rPr>
          <w:rFonts w:ascii="Times New Roman" w:hAnsi="Times New Roman" w:eastAsia="Times New Roman" w:cs="Times New Roman"/>
          <w:lang w:val="en-US" w:bidi="en-US"/>
          <w:color w:val="111111"/>
          <w:sz w:val="28"/>
          <w:szCs w:val="28"/>
          <w:rtl/>
        </w:rPr>
        <w:t xml:space="preserve">nūrī barzanjī, ahmad (- 1907)</w:t>
      </w:r>
    </w:p>
    <w:p>
      <w:pPr>
        <w:pStyle w:val="BookText"/>
      </w:pPr>
      <w:r>
        <w:rPr>
          <w:rFonts w:ascii="IRNazanin" w:hAnsi="IRNazanin" w:eastAsia="IRNazanin" w:cs="IRNazanin"/>
          <w:lang w:bidi="fa-IR"/>
          <w:color w:val="111111"/>
          <w:sz w:val="28"/>
          <w:szCs w:val="28"/>
          <w:rtl/>
        </w:rPr>
        <w:t xml:space="preserve">در فضیلت و فواید بعضی از سور و آیات قرآنی و بعضی از اوراد کوتاه.</w:t>
      </w:r>
    </w:p>
    <w:p>
      <w:pPr>
        <w:pStyle w:val="BookText"/>
      </w:pPr>
      <w:r>
        <w:rPr>
          <w:rFonts w:ascii="IRNazanin" w:hAnsi="IRNazanin" w:eastAsia="IRNazanin" w:cs="IRNazanin"/>
          <w:lang w:bidi="fa-IR"/>
          <w:color w:val="111111"/>
          <w:sz w:val="28"/>
          <w:szCs w:val="28"/>
          <w:rtl/>
        </w:rPr>
        <w:t xml:space="preserve">آغاز: بسم الله و الحمد لله و الصلاة و السلام على رسول الله،  برادران نزد صوفيه و فخر رازی حدیث هست. انجام: لهذا بسیار می خواهند برای حفظ از آن آلام بيغایت عقبی مشقتها بکشیم.[دنا ۵۸۱/۲ , فهرستواره منزوی ۱۵۹/۷ ]</w:t>
      </w:r>
    </w:p>
    <w:p>
      <w:pPr>
        <w:pStyle w:val="BookText"/>
      </w:pPr>
      <w:r>
        <w:rPr>
          <w:rFonts w:ascii="IRNazanin" w:hAnsi="IRNazanin" w:eastAsia="IRNazanin" w:cs="IRNazanin"/>
          <w:lang w:bidi="fa-IR"/>
          <w:color w:val="111111"/>
          <w:sz w:val="28"/>
          <w:szCs w:val="28"/>
          <w:rtl/>
        </w:rPr>
        <w:t xml:space="preserve">قم؛ مرعشی؛ شماره نسخه: ۹۳۴۸/۴</w:t>
      </w:r>
    </w:p>
    <w:p>
      <w:pPr>
        <w:pStyle w:val="BookText"/>
      </w:pPr>
      <w:r>
        <w:rPr>
          <w:rFonts w:ascii="IRNazanin" w:hAnsi="IRNazanin" w:eastAsia="IRNazanin" w:cs="IRNazanin"/>
          <w:lang w:bidi="fa-IR"/>
          <w:color w:val="111111"/>
          <w:sz w:val="28"/>
          <w:szCs w:val="28"/>
          <w:rtl/>
        </w:rPr>
        <w:t xml:space="preserve">آغاز: بسم الله و الحمد لله و الصلاة و السلام على رسول الله، برادران نزد صوفیه و فخر رازی حدیث هست.؛ انجام: لهذا بسیار می خواهند برای حفظ از آن آلام بيغایت عقبی مشقتها بکشیم.</w:t>
      </w:r>
    </w:p>
    <w:p>
      <w:pPr>
        <w:pStyle w:val="BookText"/>
      </w:pPr>
      <w:r>
        <w:rPr>
          <w:rFonts w:ascii="IRNazanin" w:hAnsi="IRNazanin" w:eastAsia="IRNazanin" w:cs="IRNazanin"/>
          <w:lang w:bidi="fa-IR"/>
          <w:color w:val="111111"/>
          <w:sz w:val="28"/>
          <w:szCs w:val="28"/>
          <w:rtl/>
        </w:rPr>
        <w:t xml:space="preserve">خط: نسخ معرب و نستعلیق، كا: ابراهیم بن حاج فیض الله سنندجی، تا: شنبه ۸ ذیقعده ۱۳۱۲ق؛ جلد: مقوایی عطف و حواشی تیماج قهوه ای، ۱۷گ (۷۷ر-۹۳پ)، ۱۵ سطر، اندازه: ۱۶/۵</w:t>
      </w:r>
      <w:r>
        <w:rPr>
          <w:rFonts w:ascii="Times New Roman" w:hAnsi="Times New Roman" w:eastAsia="Times New Roman" w:cs="Times New Roman"/>
          <w:lang w:val="en-US" w:bidi="en-US"/>
          <w:color w:val="111111"/>
          <w:sz w:val="28"/>
          <w:szCs w:val="28"/>
          <w:rtl/>
        </w:rPr>
        <w:t xml:space="preserve">× 5/</w:t>
      </w:r>
      <w:r>
        <w:rPr>
          <w:rFonts w:ascii="IRNazanin" w:hAnsi="IRNazanin" w:eastAsia="IRNazanin" w:cs="IRNazanin"/>
          <w:lang w:bidi="fa-IR"/>
          <w:color w:val="111111"/>
          <w:sz w:val="28"/>
          <w:szCs w:val="28"/>
          <w:rtl/>
        </w:rPr>
        <w:t xml:space="preserve">۲۰سم [ف: ۲۴-۱۳۸۹]</w:t>
      </w:r>
    </w:p>
    <w:p>
      <w:pPr>
        <w:pStyle w:val="BookText"/>
      </w:pPr>
      <w:r>
        <w:rPr>
          <w:rFonts w:ascii="IRNazanin" w:hAnsi="IRNazanin" w:eastAsia="IRNazanin" w:cs="IRNazanin"/>
          <w:lang w:bidi="fa-IR"/>
          <w:color w:val="111111"/>
          <w:sz w:val="28"/>
          <w:szCs w:val="28"/>
          <w:rtl/>
        </w:rPr>
        <w:t xml:space="preserve">← بیان اوزان شرعی ← اوزان شرعيه</w:t>
      </w:r>
    </w:p>
    <w:p>
      <w:pPr>
        <w:pStyle w:val="Heading3"/>
      </w:pPr>
      <w:bookmarkStart w:id="1253" w:name="_Toc513"/>
      <w:r>
        <w:t>• بیان الايمان / عرفان و تصوف / فارسی</w:t>
      </w:r>
      <w:bookmarkEnd w:id="1253"/>
    </w:p>
    <w:p>
      <w:pPr>
        <w:pStyle w:val="BookText"/>
      </w:pPr>
      <w:r>
        <w:rPr>
          <w:rFonts w:ascii="Times New Roman" w:hAnsi="Times New Roman" w:eastAsia="Times New Roman" w:cs="Times New Roman"/>
          <w:lang w:val="en-US" w:bidi="en-US"/>
          <w:color w:val="111111"/>
          <w:sz w:val="28"/>
          <w:szCs w:val="28"/>
          <w:rtl/>
        </w:rPr>
        <w:t xml:space="preserve">bayān-ol īmān</w:t>
      </w:r>
    </w:p>
    <w:p>
      <w:pPr>
        <w:pStyle w:val="BookText"/>
      </w:pPr>
      <w:r>
        <w:rPr>
          <w:rFonts w:ascii="IRNazanin" w:hAnsi="IRNazanin" w:eastAsia="IRNazanin" w:cs="IRNazanin"/>
          <w:lang w:bidi="fa-IR"/>
          <w:color w:val="111111"/>
          <w:sz w:val="28"/>
          <w:szCs w:val="28"/>
          <w:rtl/>
        </w:rPr>
        <w:t xml:space="preserve">تأليف میر نعمت الله در تطبيق احکام شریعت به آداب طریقت.</w:t>
      </w:r>
    </w:p>
    <w:p>
      <w:pPr>
        <w:pStyle w:val="BookText"/>
      </w:pPr>
      <w:r>
        <w:rPr>
          <w:rFonts w:ascii="IRNazanin" w:hAnsi="IRNazanin" w:eastAsia="IRNazanin" w:cs="IRNazanin"/>
          <w:lang w:bidi="fa-IR"/>
          <w:color w:val="111111"/>
          <w:sz w:val="28"/>
          <w:szCs w:val="28"/>
          <w:rtl/>
        </w:rPr>
        <w:t xml:space="preserve">تهران؛ سلطنتی؛ شماره نسخه: ۶۷/۹</w:t>
      </w:r>
    </w:p>
    <w:p>
      <w:pPr>
        <w:pStyle w:val="BookText"/>
      </w:pPr>
      <w:r>
        <w:rPr>
          <w:rFonts w:ascii="IRNazanin" w:hAnsi="IRNazanin" w:eastAsia="IRNazanin" w:cs="IRNazanin"/>
          <w:lang w:bidi="fa-IR"/>
          <w:color w:val="111111"/>
          <w:sz w:val="28"/>
          <w:szCs w:val="28"/>
          <w:rtl/>
        </w:rPr>
        <w:t xml:space="preserve">انجام: چنگ در گفته یزدان و پیامبر زن و رو*** کانچه قرآن نبود جمله فسونست و هوس / اول و آخر قرآن ز چه با آمد و سین*** يعنى اندر ره دین رهبر تو قرآن و بس. ... تمت الرساله بتاریخ شهر ذيقعده الحرام ۱۰۸۳ در قصبه طیبه بهشت نشان ماهان حسب الامر ملازمان ذی شان نواب مستطاب فكلجناب مرتضوی انتساب مستغنی الالقاب مرتضی ممالک اسلام و مقتدای طوایف انام قطب فلک سیادت و نجابت و مهر سپهر هدایت و نقابت الشريف بتشريفات الطاف اله ثمره شجره سید نورالدین نعمت الله میرزای خدایگانی میرزا شاه ابوالمهدی اید الله ظلاله العالی مرقوم گردید. بنده زاده دولتخواه محمد هادی. خط: شکسته نستعلیق عالی، كا: محمد هادی بن محمد صادق ماهانی، تا: ذیقعده ۱۰۸۳ق، جان ماهان؛ کاغذ: ترمه بسیار نازک و ظریف اصفهانی، جلد: تیماج یک لا تریاکی، ۱۲ سطر، قطع: ربعی،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سم [ف: ۷-۴۹۳]</w:t>
      </w:r>
    </w:p>
    <w:p>
      <w:pPr>
        <w:pStyle w:val="BookText"/>
      </w:pPr>
      <w:r>
        <w:rPr>
          <w:rFonts w:ascii="IRNazanin" w:hAnsi="IRNazanin" w:eastAsia="IRNazanin" w:cs="IRNazanin"/>
          <w:lang w:bidi="fa-IR"/>
          <w:color w:val="111111"/>
          <w:sz w:val="28"/>
          <w:szCs w:val="28"/>
          <w:rtl/>
        </w:rPr>
        <w:t xml:space="preserve">← بیان اینکه انسان مرکب است از ده لطیفه ← ده لطيفه</w:t>
      </w:r>
    </w:p>
    <w:p>
      <w:pPr>
        <w:pStyle w:val="Heading3"/>
      </w:pPr>
      <w:bookmarkStart w:id="1254" w:name="_Toc514"/>
      <w:r>
        <w:t>• بیان اینکه دلیل فرض است (رساله در) / عرفان تصوف / فارسی</w:t>
      </w:r>
      <w:bookmarkEnd w:id="1254"/>
    </w:p>
    <w:p>
      <w:pPr>
        <w:pStyle w:val="BookText"/>
      </w:pPr>
      <w:r>
        <w:rPr>
          <w:rFonts w:ascii="Times New Roman" w:hAnsi="Times New Roman" w:eastAsia="Times New Roman" w:cs="Times New Roman"/>
          <w:lang w:val="en-US" w:bidi="en-US"/>
          <w:color w:val="111111"/>
          <w:sz w:val="28"/>
          <w:szCs w:val="28"/>
          <w:rtl/>
        </w:rPr>
        <w:t xml:space="preserve">bayān-e īn-ke dalīl farz ast (r. dar)</w:t>
      </w:r>
    </w:p>
    <w:p>
      <w:pPr>
        <w:pStyle w:val="BookText"/>
      </w:pPr>
      <w:r>
        <w:rPr>
          <w:rFonts w:ascii="IRNazanin" w:hAnsi="IRNazanin" w:eastAsia="IRNazanin" w:cs="IRNazanin"/>
          <w:lang w:bidi="fa-IR"/>
          <w:color w:val="111111"/>
          <w:sz w:val="28"/>
          <w:szCs w:val="28"/>
          <w:rtl/>
        </w:rPr>
        <w:t xml:space="preserve">جمالی اردستانی، جمال الدين محمد، ۸۱۴-۸۸۳؟ قمری</w:t>
      </w:r>
    </w:p>
    <w:p>
      <w:pPr>
        <w:pStyle w:val="BookText"/>
      </w:pPr>
      <w:r>
        <w:rPr>
          <w:rFonts w:ascii="Times New Roman" w:hAnsi="Times New Roman" w:eastAsia="Times New Roman" w:cs="Times New Roman"/>
          <w:lang w:val="en-US" w:bidi="en-US"/>
          <w:color w:val="111111"/>
          <w:sz w:val="28"/>
          <w:szCs w:val="28"/>
          <w:rtl/>
        </w:rPr>
        <w:t xml:space="preserve">jamālī ardestānī, jamāl-od-dīn mohammad (1412-1479)</w:t>
      </w:r>
    </w:p>
    <w:p>
      <w:pPr>
        <w:pStyle w:val="BookText"/>
      </w:pPr>
      <w:r>
        <w:rPr>
          <w:rFonts w:ascii="IRNazanin" w:hAnsi="IRNazanin" w:eastAsia="IRNazanin" w:cs="IRNazanin"/>
          <w:lang w:bidi="fa-IR"/>
          <w:color w:val="111111"/>
          <w:sz w:val="28"/>
          <w:szCs w:val="28"/>
          <w:rtl/>
        </w:rPr>
        <w:t xml:space="preserve">تهران؛ مجلس؛ شماره نسخه: ۹۳۲۶/۳۲</w:t>
      </w:r>
    </w:p>
    <w:p>
      <w:pPr>
        <w:pStyle w:val="BookText"/>
      </w:pPr>
      <w:r>
        <w:rPr>
          <w:rFonts w:ascii="IRNazanin" w:hAnsi="IRNazanin" w:eastAsia="IRNazanin" w:cs="IRNazanin"/>
          <w:lang w:bidi="fa-IR"/>
          <w:color w:val="111111"/>
          <w:sz w:val="28"/>
          <w:szCs w:val="28"/>
          <w:rtl/>
        </w:rPr>
        <w:t xml:space="preserve">خط: نستعلیق، كا: محمد کریم بن میرزا زمان، تا: قرن ۱۳؛ ۲ص ( ۶۴۹-۶۴۸ ) [مختصر ف: ۱۱۵]</w:t>
      </w:r>
    </w:p>
    <w:p>
      <w:pPr>
        <w:pStyle w:val="Heading3"/>
      </w:pPr>
      <w:bookmarkStart w:id="1255" w:name="_Toc515"/>
      <w:r>
        <w:t>• بیان البديع / بلاغت / فارسی</w:t>
      </w:r>
      <w:bookmarkEnd w:id="1255"/>
    </w:p>
    <w:p>
      <w:pPr>
        <w:pStyle w:val="BookText"/>
      </w:pPr>
      <w:r>
        <w:rPr>
          <w:rFonts w:ascii="Times New Roman" w:hAnsi="Times New Roman" w:eastAsia="Times New Roman" w:cs="Times New Roman"/>
          <w:lang w:val="en-US" w:bidi="en-US"/>
          <w:color w:val="111111"/>
          <w:sz w:val="28"/>
          <w:szCs w:val="28"/>
          <w:rtl/>
        </w:rPr>
        <w:t xml:space="preserve">bayān-ol badī“</w:t>
      </w:r>
    </w:p>
    <w:p>
      <w:pPr>
        <w:pStyle w:val="BookText"/>
      </w:pPr>
      <w:r>
        <w:rPr>
          <w:rFonts w:ascii="IRNazanin" w:hAnsi="IRNazanin" w:eastAsia="IRNazanin" w:cs="IRNazanin"/>
          <w:lang w:bidi="fa-IR"/>
          <w:color w:val="111111"/>
          <w:sz w:val="28"/>
          <w:szCs w:val="28"/>
          <w:rtl/>
        </w:rPr>
        <w:t xml:space="preserve">فندرسکی استر آبادی، ابوطالب بن میرزا بیگ، -۱۱۰۰ قمری</w:t>
      </w:r>
    </w:p>
    <w:p>
      <w:pPr>
        <w:pStyle w:val="BookText"/>
      </w:pPr>
      <w:r>
        <w:rPr>
          <w:rFonts w:ascii="Times New Roman" w:hAnsi="Times New Roman" w:eastAsia="Times New Roman" w:cs="Times New Roman"/>
          <w:lang w:val="en-US" w:bidi="en-US"/>
          <w:color w:val="111111"/>
          <w:sz w:val="28"/>
          <w:szCs w:val="28"/>
          <w:rtl/>
        </w:rPr>
        <w:t xml:space="preserve">fendereskī estarābādī, abū-tāleb ebn-e mīrzā beyg ( 1689)</w:t>
      </w:r>
    </w:p>
    <w:p>
      <w:pPr>
        <w:pStyle w:val="BookText"/>
      </w:pPr>
      <w:r>
        <w:rPr>
          <w:rFonts w:ascii="IRNazanin" w:hAnsi="IRNazanin" w:eastAsia="IRNazanin" w:cs="IRNazanin"/>
          <w:lang w:bidi="fa-IR"/>
          <w:color w:val="111111"/>
          <w:sz w:val="28"/>
          <w:szCs w:val="28"/>
          <w:rtl/>
        </w:rPr>
        <w:t xml:space="preserve">کتاب در علم بیان و بدیع شامل یک «مقدمه» و دو «مقاله» و یک «خاتمه »: مقدمه: در تعریف علم بیان و علم بدیع؛ مقاله ۱. تشبیه و استعاره و کنایه دارای چند فصل؛ مقاله ۲. محسنات کلام (فن بدیع)؛ خاتمه: در سرقات شعری و مسائل نزدیک به این. آغاز: بسمله، افتتاح بیان بدیع روشان ... چراغ دودمان امامت ... سلطان سلیمان پادشاه الصفوي الموسوی ... اما بعد چنین گوید ... ابو طالب بن میرزا بیک الموسوي الفندرسکی که این رسالهای است مختصر موسوم به «بیان بديع» در بیان اقسام تشبیه و استعاره و کنایه و آنچه کلام را به حسب معنی حسن بخشد که محسنات معنوی گویند و آنچه به حسب لفظ حسن بخشد که محسنات لفظی گویند. در ضمن یک مقدمه و دو مقاله و یک خاتمه.. .</w:t>
      </w:r>
    </w:p>
    <w:p>
      <w:pPr>
        <w:pStyle w:val="BookText"/>
      </w:pPr>
      <w:r>
        <w:rPr>
          <w:rFonts w:ascii="IRNazanin" w:hAnsi="IRNazanin" w:eastAsia="IRNazanin" w:cs="IRNazanin"/>
          <w:lang w:bidi="fa-IR"/>
          <w:color w:val="111111"/>
          <w:sz w:val="28"/>
          <w:szCs w:val="28"/>
          <w:rtl/>
        </w:rPr>
        <w:t xml:space="preserve">[ الذريعة ۱۷۸/۳ ؛ دنا ۵۸۱/۲ ؛ ریحانة الادب ۲۳۲/۳ ؛ روضات الجنات ۱۱۴؛ کنی و القاب ۳۱]</w:t>
      </w:r>
    </w:p>
    <w:p>
      <w:pPr>
        <w:pStyle w:val="BookText"/>
      </w:pPr>
      <w:r>
        <w:rPr>
          <w:rFonts w:ascii="IRNazanin" w:hAnsi="IRNazanin" w:eastAsia="IRNazanin" w:cs="IRNazanin"/>
          <w:lang w:bidi="fa-IR"/>
          <w:color w:val="111111"/>
          <w:sz w:val="28"/>
          <w:szCs w:val="28"/>
          <w:rtl/>
        </w:rPr>
        <w:t xml:space="preserve">۱. تهران؛ ملکی؛ شماره نسخه: ۱۶۸۵</w:t>
      </w:r>
    </w:p>
    <w:p>
      <w:pPr>
        <w:pStyle w:val="BookText"/>
      </w:pPr>
      <w:r>
        <w:rPr>
          <w:rFonts w:ascii="IRNazanin" w:hAnsi="IRNazanin" w:eastAsia="IRNazanin" w:cs="IRNazanin"/>
          <w:lang w:bidi="fa-IR"/>
          <w:color w:val="111111"/>
          <w:sz w:val="28"/>
          <w:szCs w:val="28"/>
          <w:rtl/>
        </w:rPr>
        <w:t xml:space="preserve">آغاز: برابر؛ انجام: در مصنفات خویش گوید ... اللهم كما جعلت ... فانک الاول و انت المنتهی.</w:t>
      </w:r>
    </w:p>
    <w:p>
      <w:pPr>
        <w:pStyle w:val="BookText"/>
      </w:pPr>
      <w:r>
        <w:rPr>
          <w:rFonts w:ascii="IRNazanin" w:hAnsi="IRNazanin" w:eastAsia="IRNazanin" w:cs="IRNazanin"/>
          <w:lang w:bidi="fa-IR"/>
          <w:color w:val="111111"/>
          <w:sz w:val="28"/>
          <w:szCs w:val="28"/>
          <w:rtl/>
        </w:rPr>
        <w:t xml:space="preserve">خط شکسته نستعلیق، بی کا، تا: ۱۰۹۹ق؛ با سرلوح، مجدول مذهب، دارای یادداشت عرض ۱۱۰۵، ۱۸ شوال ۱۱۲۷ و ۱۶ ربیع الثانی ۱۱۱۵؛ تملک: سید مرتضی موسوی؛ کاغذ: کاغذ ترمه سمرقندی، جلد: پارچه قهوه ای، ۱۷۰ ، ۱۱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۱۲/۴ سم [ف: ۲-۶۵]</w:t>
      </w:r>
    </w:p>
    <w:p>
      <w:pPr>
        <w:pStyle w:val="BookText"/>
      </w:pPr>
      <w:r>
        <w:rPr>
          <w:rFonts w:ascii="IRNazanin" w:hAnsi="IRNazanin" w:eastAsia="IRNazanin" w:cs="IRNazanin"/>
          <w:lang w:bidi="fa-IR"/>
          <w:color w:val="111111"/>
          <w:sz w:val="28"/>
          <w:szCs w:val="28"/>
          <w:rtl/>
        </w:rPr>
        <w:t xml:space="preserve">۲. تهران؛ مجلس؛ شماره نسخه: ۵۹۸۰/۱</w:t>
      </w:r>
    </w:p>
    <w:p>
      <w:pPr>
        <w:pStyle w:val="BookText"/>
      </w:pPr>
      <w:r>
        <w:rPr>
          <w:rFonts w:ascii="IRNazanin" w:hAnsi="IRNazanin" w:eastAsia="IRNazanin" w:cs="IRNazanin"/>
          <w:lang w:bidi="fa-IR"/>
          <w:color w:val="111111"/>
          <w:sz w:val="28"/>
          <w:szCs w:val="28"/>
          <w:rtl/>
        </w:rPr>
        <w:t xml:space="preserve">آغاز: برابر؛ انجام: عن تشبیب الضلال بالرشاد و اختم عاقبة أمورنا بالحسنی فانک الاول و انت المنتهی ... تحریرا بتاريخ ... سنه ۱۱۱۴، بگوید که با رحم الراحمین بیامرز ذنب نویسنده</w:t>
      </w:r>
    </w:p>
    <w:p>
      <w:pPr>
        <w:pStyle w:val="BookText"/>
      </w:pPr>
      <w:r>
        <w:rPr>
          <w:rFonts w:ascii="IRNazanin" w:hAnsi="IRNazanin" w:eastAsia="IRNazanin" w:cs="IRNazanin"/>
          <w:lang w:bidi="fa-IR"/>
          <w:color w:val="111111"/>
          <w:sz w:val="28"/>
          <w:szCs w:val="28"/>
          <w:rtl/>
        </w:rPr>
        <w:t xml:space="preserve">خط: نستعلیق خوش، كان ابو طالب بن ملک جابر انصاری غوریانی، تا: ۱۱۱۳ق، کاغذ: اصفهانی شکری در دو نوع جلد: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70" w:name="pg20363_209401"/>
    <w:bookmarkEnd w:id="170"/>
    <w:p>
      <w:pPr>
        <w:pStyle w:val="BookText"/>
      </w:pPr>
      <w:r>
        <w:rPr>
          <w:rFonts w:ascii="IRNazanin" w:hAnsi="IRNazanin" w:eastAsia="IRNazanin" w:cs="IRNazanin"/>
          <w:lang w:bidi="fa-IR"/>
          <w:color w:val="111111"/>
          <w:sz w:val="28"/>
          <w:szCs w:val="28"/>
          <w:rtl/>
        </w:rPr>
        <w:t xml:space="preserve">تیماج سرخ ضربی، ۱۴۴ص (۲-۱۴۵)، ۱۷ سطر، قطع: رقعی،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۱۷-۳۵۶]</w:t>
      </w:r>
    </w:p>
    <w:p>
      <w:pPr>
        <w:pStyle w:val="Heading3"/>
      </w:pPr>
      <w:bookmarkStart w:id="1256" w:name="_Toc516"/>
      <w:r>
        <w:t>• البيان البديع في ابن بزیع / رجال / عربی</w:t>
      </w:r>
      <w:bookmarkEnd w:id="1256"/>
    </w:p>
    <w:p>
      <w:pPr>
        <w:pStyle w:val="BookText"/>
      </w:pPr>
      <w:r>
        <w:rPr>
          <w:rFonts w:ascii="Times New Roman" w:hAnsi="Times New Roman" w:eastAsia="Times New Roman" w:cs="Times New Roman"/>
          <w:lang w:val="en-US" w:bidi="en-US"/>
          <w:color w:val="111111"/>
          <w:sz w:val="28"/>
          <w:szCs w:val="28"/>
          <w:rtl/>
        </w:rPr>
        <w:t xml:space="preserve">al-bayān-ul badī“ fī ibn-i bazī</w:t>
      </w:r>
    </w:p>
    <w:p>
      <w:pPr>
        <w:pStyle w:val="BookText"/>
      </w:pPr>
      <w:r>
        <w:rPr>
          <w:rFonts w:ascii="IRNazanin" w:hAnsi="IRNazanin" w:eastAsia="IRNazanin" w:cs="IRNazanin"/>
          <w:lang w:bidi="fa-IR"/>
          <w:color w:val="111111"/>
          <w:sz w:val="28"/>
          <w:szCs w:val="28"/>
          <w:rtl/>
        </w:rPr>
        <w:t xml:space="preserve">صدر، حسن بن هادی، ۱۲۷۲-۱۳۵۴ قمری</w:t>
      </w:r>
    </w:p>
    <w:p>
      <w:pPr>
        <w:pStyle w:val="BookText"/>
      </w:pPr>
      <w:r>
        <w:rPr>
          <w:rFonts w:ascii="Times New Roman" w:hAnsi="Times New Roman" w:eastAsia="Times New Roman" w:cs="Times New Roman"/>
          <w:lang w:val="en-US" w:bidi="en-US"/>
          <w:color w:val="111111"/>
          <w:sz w:val="28"/>
          <w:szCs w:val="28"/>
          <w:rtl/>
        </w:rPr>
        <w:t xml:space="preserve">sadr, hasan ebn-e hādī (1856-1935)</w:t>
      </w:r>
    </w:p>
    <w:p>
      <w:pPr>
        <w:pStyle w:val="BookText"/>
      </w:pPr>
      <w:r>
        <w:rPr>
          <w:rFonts w:ascii="IRNazanin" w:hAnsi="IRNazanin" w:eastAsia="IRNazanin" w:cs="IRNazanin"/>
          <w:lang w:bidi="fa-IR"/>
          <w:color w:val="111111"/>
          <w:sz w:val="28"/>
          <w:szCs w:val="28"/>
          <w:rtl/>
        </w:rPr>
        <w:t xml:space="preserve">تاريخ تأليف: ۱۵ صفر ۱۳۳۸ق؛ محل تألیف: کاظمین این رساله در این است که محمد بن اسماعیل که در صدر پاره ای از روایت های کافی آمده محمد بن بزیع می باشد نه برمکی پابندقی. رساله پس از هشت «مقدمه کوتاه دارای دو «مقام» است: (دلیل اینکه این شخص ابن بزیع می باشد، دلیل اینکه کس دیگر نیست). دو وجه الحاقی بر این رساله از مؤلف برای شیخ علی زاهد قمی فرستاده شده و وی آنها را در پایان این نسخه افزوده است.</w:t>
      </w:r>
    </w:p>
    <w:p>
      <w:pPr>
        <w:pStyle w:val="BookText"/>
      </w:pPr>
      <w:r>
        <w:rPr>
          <w:rFonts w:ascii="IRNazanin" w:hAnsi="IRNazanin" w:eastAsia="IRNazanin" w:cs="IRNazanin"/>
          <w:lang w:bidi="fa-IR"/>
          <w:color w:val="111111"/>
          <w:sz w:val="28"/>
          <w:szCs w:val="28"/>
          <w:rtl/>
        </w:rPr>
        <w:t xml:space="preserve">قم؛ مرعشی؛ شماره نسخه: ۱۰۱۰۹/۲</w:t>
      </w:r>
    </w:p>
    <w:p>
      <w:pPr>
        <w:pStyle w:val="BookText"/>
      </w:pPr>
      <w:r>
        <w:rPr>
          <w:rFonts w:ascii="IRNazanin" w:hAnsi="IRNazanin" w:eastAsia="IRNazanin" w:cs="IRNazanin"/>
          <w:lang w:bidi="fa-IR"/>
          <w:color w:val="111111"/>
          <w:sz w:val="28"/>
          <w:szCs w:val="28"/>
          <w:rtl/>
        </w:rPr>
        <w:t xml:space="preserve">آغاز: الحمدلله الهادي لما اختلف فيه من الحق و الصلاة على خير الخلق محمد و آله ائمة الحق اما بعد فيقول العبد الراجی فضل ربه؛ انجام: في بلد الكاظمين على مشرفها من الصلاة و السلام ما يملأ الخافقين و يقربه العالمين</w:t>
      </w:r>
    </w:p>
    <w:p>
      <w:pPr>
        <w:pStyle w:val="BookText"/>
      </w:pPr>
      <w:r>
        <w:rPr>
          <w:rFonts w:ascii="IRNazanin" w:hAnsi="IRNazanin" w:eastAsia="IRNazanin" w:cs="IRNazanin"/>
          <w:lang w:bidi="fa-IR"/>
          <w:color w:val="111111"/>
          <w:sz w:val="28"/>
          <w:szCs w:val="28"/>
          <w:rtl/>
        </w:rPr>
        <w:t xml:space="preserve">خط: نسخ، كان محمد کاظم بن احمد بن محمد جعفر موسوی جزائری، تا: ۱۳۶۰ق؛ جلد: مقوایی عطف تیماج قرمز، ۴۲گ (۱۷پ-۵۸)،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۲۶-۷۶)</w:t>
      </w:r>
    </w:p>
    <w:p>
      <w:pPr>
        <w:pStyle w:val="Heading3"/>
      </w:pPr>
      <w:bookmarkStart w:id="1257" w:name="_Toc517"/>
      <w:r>
        <w:t>•بیان بشارات کتب سابقه بر پیامبر اسلام (ص) / كلام و اعتقادات / فارسی</w:t>
      </w:r>
      <w:bookmarkEnd w:id="1257"/>
    </w:p>
    <w:p>
      <w:pPr>
        <w:pStyle w:val="BookText"/>
      </w:pPr>
      <w:r>
        <w:rPr>
          <w:rFonts w:ascii="Times New Roman" w:hAnsi="Times New Roman" w:eastAsia="Times New Roman" w:cs="Times New Roman"/>
          <w:lang w:val="en-US" w:bidi="en-US"/>
          <w:color w:val="111111"/>
          <w:sz w:val="28"/>
          <w:szCs w:val="28"/>
          <w:rtl/>
        </w:rPr>
        <w:t xml:space="preserve">bayān-e bešārāt-e kotob-e sābeqe bar payāmbar-e</w:t>
      </w:r>
    </w:p>
    <w:p>
      <w:pPr>
        <w:pStyle w:val="BookText"/>
      </w:pPr>
      <w:r>
        <w:rPr>
          <w:rFonts w:ascii="Times New Roman" w:hAnsi="Times New Roman" w:eastAsia="Times New Roman" w:cs="Times New Roman"/>
          <w:lang w:val="en-US" w:bidi="en-US"/>
          <w:color w:val="111111"/>
          <w:sz w:val="28"/>
          <w:szCs w:val="28"/>
          <w:rtl/>
        </w:rPr>
        <w:t xml:space="preserve">eslām</w:t>
      </w:r>
    </w:p>
    <w:p>
      <w:pPr>
        <w:pStyle w:val="BookText"/>
      </w:pPr>
      <w:r>
        <w:rPr>
          <w:rFonts w:ascii="IRNazanin" w:hAnsi="IRNazanin" w:eastAsia="IRNazanin" w:cs="IRNazanin"/>
          <w:lang w:bidi="fa-IR"/>
          <w:color w:val="111111"/>
          <w:sz w:val="28"/>
          <w:szCs w:val="28"/>
          <w:rtl/>
        </w:rPr>
        <w:t xml:space="preserve">ابوالحسن بن مهدی</w:t>
      </w:r>
    </w:p>
    <w:p>
      <w:pPr>
        <w:pStyle w:val="BookText"/>
      </w:pPr>
      <w:r>
        <w:rPr>
          <w:rFonts w:ascii="Times New Roman" w:hAnsi="Times New Roman" w:eastAsia="Times New Roman" w:cs="Times New Roman"/>
          <w:lang w:val="en-US" w:bidi="en-US"/>
          <w:color w:val="111111"/>
          <w:sz w:val="28"/>
          <w:szCs w:val="28"/>
          <w:rtl/>
        </w:rPr>
        <w:t xml:space="preserve">ab-ol-hasan ben mahdī</w:t>
      </w:r>
    </w:p>
    <w:p>
      <w:pPr>
        <w:pStyle w:val="BookText"/>
      </w:pPr>
      <w:r>
        <w:rPr>
          <w:rFonts w:ascii="IRNazanin" w:hAnsi="IRNazanin" w:eastAsia="IRNazanin" w:cs="IRNazanin"/>
          <w:lang w:bidi="fa-IR"/>
          <w:color w:val="111111"/>
          <w:sz w:val="28"/>
          <w:szCs w:val="28"/>
          <w:rtl/>
        </w:rPr>
        <w:t xml:space="preserve">تاریخ تأليف: ۱۳۰۱ ق</w:t>
      </w:r>
    </w:p>
    <w:p>
      <w:pPr>
        <w:pStyle w:val="BookText"/>
      </w:pPr>
      <w:r>
        <w:rPr>
          <w:rFonts w:ascii="IRNazanin" w:hAnsi="IRNazanin" w:eastAsia="IRNazanin" w:cs="IRNazanin"/>
          <w:lang w:bidi="fa-IR"/>
          <w:color w:val="111111"/>
          <w:sz w:val="28"/>
          <w:szCs w:val="28"/>
          <w:rtl/>
        </w:rPr>
        <w:t xml:space="preserve">مشهد؛ رضوی؛ شماره نسخه: ۲۰۷۹۲</w:t>
      </w:r>
    </w:p>
    <w:p>
      <w:pPr>
        <w:pStyle w:val="BookText"/>
      </w:pPr>
      <w:r>
        <w:rPr>
          <w:rFonts w:ascii="IRNazanin" w:hAnsi="IRNazanin" w:eastAsia="IRNazanin" w:cs="IRNazanin"/>
          <w:lang w:bidi="fa-IR"/>
          <w:color w:val="111111"/>
          <w:sz w:val="28"/>
          <w:szCs w:val="28"/>
          <w:rtl/>
        </w:rPr>
        <w:t xml:space="preserve">آغاز: بسم الله و به ثقتی سبحان الذي اسرى بعبده ليلا؛ انجام: شب سه شنبه از شهر رجب عام ۱۳۰۱ خط: نستعلیق، بی کا، تا: قرن ۱۴؛ کاغذ: نخودی، جلد: مقوا، ۱۳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[رایانه]</w:t>
      </w:r>
    </w:p>
    <w:p>
      <w:pPr>
        <w:pStyle w:val="Heading3"/>
      </w:pPr>
      <w:bookmarkStart w:id="1258" w:name="_Toc518"/>
      <w:r>
        <w:t>•بیان بعضی حالات فرنگستان که نتیجه آن منجر به جنگ شد / تاریخ / فارسی</w:t>
      </w:r>
      <w:bookmarkEnd w:id="1258"/>
    </w:p>
    <w:p>
      <w:pPr>
        <w:pStyle w:val="BookText"/>
      </w:pPr>
      <w:r>
        <w:rPr>
          <w:rFonts w:ascii="Times New Roman" w:hAnsi="Times New Roman" w:eastAsia="Times New Roman" w:cs="Times New Roman"/>
          <w:lang w:val="en-US" w:bidi="en-US"/>
          <w:color w:val="111111"/>
          <w:sz w:val="28"/>
          <w:szCs w:val="28"/>
          <w:rtl/>
        </w:rPr>
        <w:t xml:space="preserve">bayān-e baʻzī hālāt-e farangestān ke natīje-ye ān monjar be jang šod</w:t>
      </w:r>
    </w:p>
    <w:p>
      <w:pPr>
        <w:pStyle w:val="BookText"/>
      </w:pPr>
      <w:r>
        <w:rPr>
          <w:rFonts w:ascii="IRNazanin" w:hAnsi="IRNazanin" w:eastAsia="IRNazanin" w:cs="IRNazanin"/>
          <w:lang w:bidi="fa-IR"/>
          <w:color w:val="111111"/>
          <w:sz w:val="28"/>
          <w:szCs w:val="28"/>
          <w:rtl/>
        </w:rPr>
        <w:t xml:space="preserve">ملكم، ۱۲۴۹-۱۳۲۶ قمری</w:t>
      </w:r>
    </w:p>
    <w:p>
      <w:pPr>
        <w:pStyle w:val="BookText"/>
      </w:pPr>
      <w:r>
        <w:rPr>
          <w:rFonts w:ascii="Times New Roman" w:hAnsi="Times New Roman" w:eastAsia="Times New Roman" w:cs="Times New Roman"/>
          <w:lang w:val="en-US" w:bidi="en-US"/>
          <w:color w:val="111111"/>
          <w:sz w:val="28"/>
          <w:szCs w:val="28"/>
          <w:rtl/>
        </w:rPr>
        <w:t xml:space="preserve">malkam (1834-1908)</w:t>
      </w:r>
    </w:p>
    <w:p>
      <w:pPr>
        <w:pStyle w:val="BookText"/>
      </w:pPr>
      <w:r>
        <w:rPr>
          <w:rFonts w:ascii="IRNazanin" w:hAnsi="IRNazanin" w:eastAsia="IRNazanin" w:cs="IRNazanin"/>
          <w:lang w:bidi="fa-IR"/>
          <w:color w:val="111111"/>
          <w:sz w:val="28"/>
          <w:szCs w:val="28"/>
          <w:rtl/>
        </w:rPr>
        <w:t xml:space="preserve">تهران؛ مجلس؛ شماره نسخه: ۱۳۵۴۵/۲</w:t>
      </w:r>
    </w:p>
    <w:p>
      <w:pPr>
        <w:pStyle w:val="BookText"/>
      </w:pPr>
      <w:r>
        <w:rPr>
          <w:rFonts w:ascii="IRNazanin" w:hAnsi="IRNazanin" w:eastAsia="IRNazanin" w:cs="IRNazanin"/>
          <w:lang w:bidi="fa-IR"/>
          <w:color w:val="111111"/>
          <w:sz w:val="28"/>
          <w:szCs w:val="28"/>
          <w:rtl/>
        </w:rPr>
        <w:t xml:space="preserve">آغاز: بیان حالاتی که سبب جنگ فرانسه و پروس شد. سابقا پوليطيك دول متفقه آلمانی؛ انجام: تفصيل آن به کتابچه علا حده لازم دارد و خارج از مقصود بود معروض نگردید خط شکسته نستعلیق، بی کا، تا: قرن ۱۴؛ مجدول مذهب؛ جلد: تیماج يشمی مجدول، ۱۲گ (۵۶پ -۶۷پ)، ۱۴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۳۷-۴۲]</w:t>
      </w:r>
    </w:p>
    <w:p>
      <w:pPr>
        <w:pStyle w:val="Heading3"/>
      </w:pPr>
      <w:bookmarkStart w:id="1259" w:name="_Toc519"/>
      <w:r>
        <w:t>• بیان البیان فی شرح الاستعارة / بلاغت / عربی</w:t>
      </w:r>
      <w:bookmarkEnd w:id="1259"/>
    </w:p>
    <w:p>
      <w:pPr>
        <w:pStyle w:val="BookText"/>
      </w:pPr>
      <w:r>
        <w:rPr>
          <w:rFonts w:ascii="Times New Roman" w:hAnsi="Times New Roman" w:eastAsia="Times New Roman" w:cs="Times New Roman"/>
          <w:lang w:val="en-US" w:bidi="en-US"/>
          <w:color w:val="111111"/>
          <w:sz w:val="28"/>
          <w:szCs w:val="28"/>
          <w:rtl/>
        </w:rPr>
        <w:t xml:space="preserve">bayān-ul bayān fī š.-il isti'āra</w:t>
      </w:r>
    </w:p>
    <w:p>
      <w:pPr>
        <w:pStyle w:val="BookText"/>
      </w:pPr>
      <w:r>
        <w:rPr>
          <w:rFonts w:ascii="IRNazanin" w:hAnsi="IRNazanin" w:eastAsia="IRNazanin" w:cs="IRNazanin"/>
          <w:lang w:bidi="fa-IR"/>
          <w:color w:val="111111"/>
          <w:sz w:val="28"/>
          <w:szCs w:val="28"/>
          <w:rtl/>
        </w:rPr>
        <w:t xml:space="preserve">ممودی، محمود، ق۱۳ قمری</w:t>
      </w:r>
    </w:p>
    <w:p>
      <w:pPr>
        <w:pStyle w:val="BookText"/>
      </w:pPr>
      <w:r>
        <w:rPr>
          <w:rFonts w:ascii="Times New Roman" w:hAnsi="Times New Roman" w:eastAsia="Times New Roman" w:cs="Times New Roman"/>
          <w:lang w:val="en-US" w:bidi="en-US"/>
          <w:color w:val="111111"/>
          <w:sz w:val="28"/>
          <w:szCs w:val="28"/>
          <w:rtl/>
        </w:rPr>
        <w:t xml:space="preserve">mamūdī, mahmūd (- 19)</w:t>
      </w:r>
    </w:p>
    <w:p>
      <w:pPr>
        <w:pStyle w:val="BookText"/>
      </w:pPr>
      <w:r>
        <w:rPr>
          <w:rFonts w:ascii="IRNazanin" w:hAnsi="IRNazanin" w:eastAsia="IRNazanin" w:cs="IRNazanin"/>
          <w:lang w:bidi="fa-IR"/>
          <w:color w:val="111111"/>
          <w:sz w:val="28"/>
          <w:szCs w:val="28"/>
          <w:rtl/>
        </w:rPr>
        <w:t xml:space="preserve">شرح مختصر و مزجی است بر «رسالة الاستعارة» ملا ابوبکر میر روستمی هواری (قرن ۱۳ ق). آغاز: بسمله اللهم يسر لنا ما نريد من نظم هذا الشرح في سلك الاختتمام و انعم علينا بنعمة التوفيق على الإتمام، الحمدلله الذي رشح كلامه بر رائع لطائف البيان انجام: و المعنى المعرض المقصود من اللفظ سياقا فهو نفی الاسلام عن الموذي المعين و هذا آخر ما يسر الله تعالی بمنه و لطفه</w:t>
      </w:r>
    </w:p>
    <w:p>
      <w:pPr>
        <w:pStyle w:val="BookText"/>
      </w:pPr>
      <w:r>
        <w:rPr>
          <w:rFonts w:ascii="Amiri" w:hAnsi="Amiri" w:eastAsia="Amiri" w:cs="Amiri"/>
          <w:lang w:bidi="ar-SA"/>
          <w:color w:val="111111"/>
          <w:sz w:val="28"/>
          <w:szCs w:val="28"/>
          <w:rtl/>
        </w:rPr>
        <w:t xml:space="preserve">[دنا ۵۸۲/۲ ؛ مخطوطات مكتبة الاوقاف المركزية في السليمانية ۱۸۱/۵ و ۱۸۲]</w:t>
      </w:r>
    </w:p>
    <w:p>
      <w:pPr>
        <w:pStyle w:val="BookText"/>
      </w:pPr>
      <w:r>
        <w:rPr>
          <w:rFonts w:ascii="IRNazanin" w:hAnsi="IRNazanin" w:eastAsia="IRNazanin" w:cs="IRNazanin"/>
          <w:lang w:bidi="fa-IR"/>
          <w:color w:val="111111"/>
          <w:sz w:val="28"/>
          <w:szCs w:val="28"/>
          <w:rtl/>
        </w:rPr>
        <w:t xml:space="preserve">قم، مرکز مطالعات؛ شماره نسخه: ۶۸۶/۱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تحریری، کا: حسن لاجل (عنایت گیان) سروری کاکه عناية، تا: ربيع الأول ۱۳۳۹ق؛ جلد: مقوا، عطف و گوشه تیماج سرخ، ۲۷گ(۱پ -۲۷پ)، ۱۵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۱-۵۸۵]</w:t>
      </w:r>
    </w:p>
    <w:p>
      <w:pPr>
        <w:pStyle w:val="BookText"/>
      </w:pPr>
      <w:r>
        <w:rPr>
          <w:rFonts w:ascii="IRNazanin" w:hAnsi="IRNazanin" w:eastAsia="IRNazanin" w:cs="IRNazanin"/>
          <w:lang w:bidi="fa-IR"/>
          <w:color w:val="111111"/>
          <w:sz w:val="28"/>
          <w:szCs w:val="28"/>
          <w:rtl/>
        </w:rPr>
        <w:t xml:space="preserve">← بیان بیماریها←علاج الامراض</w:t>
      </w:r>
    </w:p>
    <w:p>
      <w:pPr>
        <w:pStyle w:val="BookText"/>
      </w:pPr>
      <w:r>
        <w:rPr>
          <w:rFonts w:ascii="IRNazanin" w:hAnsi="IRNazanin" w:eastAsia="IRNazanin" w:cs="IRNazanin"/>
          <w:lang w:bidi="fa-IR"/>
          <w:color w:val="111111"/>
          <w:sz w:val="28"/>
          <w:szCs w:val="28"/>
          <w:rtl/>
        </w:rPr>
        <w:t xml:space="preserve">←بیان التبيان و احتجاج موازین← دیوان</w:t>
      </w:r>
    </w:p>
    <w:p>
      <w:pPr>
        <w:pStyle w:val="Heading3"/>
      </w:pPr>
      <w:bookmarkStart w:id="1260" w:name="_Toc520"/>
      <w:r>
        <w:t>•بیان التذكرة و تبيان التبصرة = شرح التذکرة النصيرية / هیئت / عربی</w:t>
      </w:r>
      <w:bookmarkEnd w:id="1260"/>
    </w:p>
    <w:p>
      <w:pPr>
        <w:pStyle w:val="BookText"/>
      </w:pPr>
      <w:r>
        <w:rPr>
          <w:rFonts w:ascii="Times New Roman" w:hAnsi="Times New Roman" w:eastAsia="Times New Roman" w:cs="Times New Roman"/>
          <w:lang w:val="en-US" w:bidi="en-US"/>
          <w:color w:val="111111"/>
          <w:sz w:val="28"/>
          <w:szCs w:val="28"/>
          <w:rtl/>
        </w:rPr>
        <w:t xml:space="preserve">bayān-ut tadkira wa tibyān-ut tabșira = š.-ut tadkirat-in nașīrīyya</w:t>
      </w:r>
    </w:p>
    <w:p>
      <w:pPr>
        <w:pStyle w:val="BookText"/>
      </w:pPr>
      <w:r>
        <w:rPr>
          <w:rFonts w:ascii="IRNazanin" w:hAnsi="IRNazanin" w:eastAsia="IRNazanin" w:cs="IRNazanin"/>
          <w:lang w:bidi="fa-IR"/>
          <w:color w:val="111111"/>
          <w:sz w:val="28"/>
          <w:szCs w:val="28"/>
          <w:rtl/>
        </w:rPr>
        <w:t xml:space="preserve">وابسته به: التذكرة النصيرية = تذکره نصیریه؛ نصیرالدین طوسی،</w:t>
      </w:r>
    </w:p>
    <w:p>
      <w:pPr>
        <w:pStyle w:val="BookText"/>
      </w:pPr>
      <w:r>
        <w:rPr>
          <w:rFonts w:ascii="IRNazanin" w:hAnsi="IRNazanin" w:eastAsia="IRNazanin" w:cs="IRNazanin"/>
          <w:lang w:bidi="fa-IR"/>
          <w:color w:val="111111"/>
          <w:sz w:val="28"/>
          <w:szCs w:val="28"/>
          <w:rtl/>
        </w:rPr>
        <w:t xml:space="preserve">محمد بن محمد (۵۹۷-۶۷۲) شرح مزجی نسبتا مفصلی است بر کتاب «التذكرة» خواجه نصیر الدین محمد بن حسن طوسی (۶۷۲) که چون شارح دانشجویان و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71" w:name="pg20363_209402"/>
    <w:bookmarkEnd w:id="171"/>
    <w:p>
      <w:pPr>
        <w:pStyle w:val="BookText"/>
      </w:pPr>
      <w:r>
        <w:rPr>
          <w:rFonts w:ascii="IRNazanin" w:hAnsi="IRNazanin" w:eastAsia="IRNazanin" w:cs="IRNazanin"/>
          <w:lang w:bidi="fa-IR"/>
          <w:color w:val="111111"/>
          <w:sz w:val="28"/>
          <w:szCs w:val="28"/>
          <w:rtl/>
        </w:rPr>
        <w:t xml:space="preserve">آموزگاران را مشغول به حل معضلات و مشکلات این کتاب دیده و نیز بعضی از وى شرحی بر این کتاب خواسته بودند، تصمیم گرفته شرحی با حذف اغلب برهان های هندسی که در مجسطی مذکور است با لفظی آسان و بدون تطویل بیان کند و آن را به همان ترتیب اصل کتاب در چهار «باب» که هر یک دارای «فصولی» است مرتب گردانیده و شرح نموده است. این شرح با هیچیک از شروح تذکره مانند شرح عبدالعلی بیرجندی و شرح شمس الدين محمد خفری موسوم به تكملة تطبيق نمی کند. ولی محتمل است مؤلف آن نظام اعرج نیشابوری ( ۷۳۰ق) باشد.</w:t>
      </w:r>
    </w:p>
    <w:p>
      <w:pPr>
        <w:pStyle w:val="BookText"/>
      </w:pPr>
      <w:r>
        <w:rPr>
          <w:rFonts w:ascii="Amiri" w:hAnsi="Amiri" w:eastAsia="Amiri" w:cs="Amiri"/>
          <w:lang w:bidi="ar-SA"/>
          <w:color w:val="111111"/>
          <w:sz w:val="28"/>
          <w:szCs w:val="28"/>
          <w:rtl/>
        </w:rPr>
        <w:t xml:space="preserve">آغاز: الحمد لله الذي خلق السماء متحركة على القطب و المحور و الارض ساكنة على شكل الكرة المدورة و صير نور القمر مستفادة من ضوء الشمس الأزهر.</w:t>
      </w:r>
    </w:p>
    <w:p>
      <w:pPr>
        <w:pStyle w:val="BookText"/>
      </w:pPr>
      <w:r>
        <w:rPr>
          <w:rFonts w:ascii="IRNazanin" w:hAnsi="IRNazanin" w:eastAsia="IRNazanin" w:cs="IRNazanin"/>
          <w:lang w:bidi="fa-IR"/>
          <w:color w:val="111111"/>
          <w:sz w:val="28"/>
          <w:szCs w:val="28"/>
          <w:rtl/>
        </w:rPr>
        <w:t xml:space="preserve">[دنا ۵۸۲/۲ ]</w:t>
      </w:r>
    </w:p>
    <w:p>
      <w:pPr>
        <w:pStyle w:val="BookText"/>
      </w:pPr>
      <w:r>
        <w:rPr>
          <w:rFonts w:ascii="IRNazanin" w:hAnsi="IRNazanin" w:eastAsia="IRNazanin" w:cs="IRNazanin"/>
          <w:lang w:bidi="fa-IR"/>
          <w:color w:val="111111"/>
          <w:sz w:val="28"/>
          <w:szCs w:val="28"/>
          <w:rtl/>
        </w:rPr>
        <w:t xml:space="preserve">۱. تهران: مجلس؛ شماره نسخه: ۱۵۱۴</w:t>
      </w:r>
    </w:p>
    <w:p>
      <w:pPr>
        <w:pStyle w:val="BookText"/>
      </w:pPr>
      <w:r>
        <w:rPr>
          <w:rFonts w:ascii="IRNazanin" w:hAnsi="IRNazanin" w:eastAsia="IRNazanin" w:cs="IRNazanin"/>
          <w:lang w:bidi="fa-IR"/>
          <w:color w:val="111111"/>
          <w:sz w:val="28"/>
          <w:szCs w:val="28"/>
          <w:rtl/>
        </w:rPr>
        <w:t xml:space="preserve">آغاز: برابر؛ انجام: قطعت كلامي على ذلك حامدا لله و مصلیا على. تا ... سنة ثمان و عشرین و سبعمائة هجريه. خط: نسخ کهن، كا: زین الدین یوسف بن حمزه، تا: ۸۱۹ق؛ کاغذ: ایرانی ضخیم، جلد: تیماج مشکی، ۲۳۱ ص، ۲۱ سطر، قطع: وزیری،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۴-۲۲۳]</w:t>
      </w:r>
    </w:p>
    <w:p>
      <w:pPr>
        <w:pStyle w:val="BookText"/>
      </w:pPr>
      <w:r>
        <w:rPr>
          <w:rFonts w:ascii="IRNazanin" w:hAnsi="IRNazanin" w:eastAsia="IRNazanin" w:cs="IRNazanin"/>
          <w:lang w:bidi="fa-IR"/>
          <w:color w:val="111111"/>
          <w:sz w:val="28"/>
          <w:szCs w:val="28"/>
          <w:rtl/>
        </w:rPr>
        <w:t xml:space="preserve">۲. قم: مرکز احیاء؛ شماره نسخه: ۱۰۶۴</w:t>
      </w:r>
    </w:p>
    <w:p>
      <w:pPr>
        <w:pStyle w:val="BookText"/>
      </w:pPr>
      <w:r>
        <w:rPr>
          <w:rFonts w:ascii="IRNazanin" w:hAnsi="IRNazanin" w:eastAsia="IRNazanin" w:cs="IRNazanin"/>
          <w:lang w:bidi="fa-IR"/>
          <w:color w:val="111111"/>
          <w:sz w:val="28"/>
          <w:szCs w:val="28"/>
          <w:rtl/>
        </w:rPr>
        <w:t xml:space="preserve">آغاز: برابر نسخه اصلی: کتابخانه شخصی قم؛ خط: نستعلیق، بی کا، تا: قرن ۱۳؛ مصحح، محشی، در صفحه اول نام کتاب با عنوان «شرح تذکرة خواجه نصیر الدین طوسی» و امانت «سید علی محمد» نزد عبد الله حسینی»؛ ۲۶۱ص [عکسی ف: ۳-۳۲۳]</w:t>
      </w:r>
    </w:p>
    <w:p>
      <w:pPr>
        <w:pStyle w:val="Heading3"/>
      </w:pPr>
      <w:bookmarkStart w:id="1261" w:name="_Toc521"/>
      <w:r>
        <w:t>•بیان التنزيل / عرفان و تصوف / فارسی</w:t>
      </w:r>
      <w:bookmarkEnd w:id="1261"/>
    </w:p>
    <w:p>
      <w:pPr>
        <w:pStyle w:val="BookText"/>
      </w:pPr>
      <w:r>
        <w:rPr>
          <w:rFonts w:ascii="Times New Roman" w:hAnsi="Times New Roman" w:eastAsia="Times New Roman" w:cs="Times New Roman"/>
          <w:lang w:val="en-US" w:bidi="en-US"/>
          <w:color w:val="111111"/>
          <w:sz w:val="28"/>
          <w:szCs w:val="28"/>
          <w:rtl/>
        </w:rPr>
        <w:t xml:space="preserve">bayān-ot tanzīl</w:t>
      </w:r>
    </w:p>
    <w:p>
      <w:pPr>
        <w:pStyle w:val="BookText"/>
      </w:pPr>
      <w:r>
        <w:rPr>
          <w:rFonts w:ascii="IRNazanin" w:hAnsi="IRNazanin" w:eastAsia="IRNazanin" w:cs="IRNazanin"/>
          <w:lang w:bidi="fa-IR"/>
          <w:color w:val="111111"/>
          <w:sz w:val="28"/>
          <w:szCs w:val="28"/>
          <w:rtl/>
        </w:rPr>
        <w:t xml:space="preserve">نسفی، عزیزالدین بن محمد، ق۷ قمری</w:t>
      </w:r>
    </w:p>
    <w:p>
      <w:pPr>
        <w:pStyle w:val="BookText"/>
      </w:pPr>
      <w:r>
        <w:rPr>
          <w:rFonts w:ascii="Times New Roman" w:hAnsi="Times New Roman" w:eastAsia="Times New Roman" w:cs="Times New Roman"/>
          <w:lang w:val="en-US" w:bidi="en-US"/>
          <w:color w:val="111111"/>
          <w:sz w:val="28"/>
          <w:szCs w:val="28"/>
          <w:rtl/>
        </w:rPr>
        <w:t xml:space="preserve">nasafī, azīz-od-dīn ebn-e mohammad (- 13c)</w:t>
      </w:r>
    </w:p>
    <w:p>
      <w:pPr>
        <w:pStyle w:val="BookText"/>
      </w:pPr>
      <w:r>
        <w:rPr>
          <w:rFonts w:ascii="IRNazanin" w:hAnsi="IRNazanin" w:eastAsia="IRNazanin" w:cs="IRNazanin"/>
          <w:lang w:bidi="fa-IR"/>
          <w:color w:val="111111"/>
          <w:sz w:val="28"/>
          <w:szCs w:val="28"/>
          <w:rtl/>
        </w:rPr>
        <w:t xml:space="preserve">در دیباچه می نویسد: دوستان از من خواستند که کتابی جمع کنی که بزرگ تر از کتاب تنزيل باشد و خردتر از کشف الحقایق که تنزيل بسیار مختصر و معانی وی را در نمی توانیم یافتن و کشف الحقایق به غایت مطول و من این کتاب را در ده اصل ساختم و نام بيان التنزيل نهادم: ۱. معرفت خدا؛ ۲. معرفت عالم اصل؛ ۳. معرفت ملک؛ ۴. معرفت انسان؛ ۵. معرفت نبی و ولی؛ ۶. معرفت شریعت و صاحب طریقت و حقیقت این شش اصل را در ولایت ماوراء النهر در شهر نسف که ولایت مؤلف است نگاشته)؛ 7. معرفت معجزه و کرامت؛ ۸ معرفت وحی و الهام؛ 9. معرفت حيات؛ ۱۰. معرفت معاد؛ ۱۱. معرفت شریعت و طریقت و حقیقت و ایمان و اسلام و احسان؛ ۱۲. معرفت عبارت (عبادت) و شرایط آن و ارکان آن (این اصل بدون شرح است)؛ ۱۳. معرفت معاملات و شرایط و ارکان آن مؤلف گوید: این دو اصل را بعد از ما برادر ما نویسد و سبب نوشتن و نانوشتن آنست که علم من علم وی است و اخلاق من اخلاق وی ... ؛ ۱۴. معرفت سلوک و شرایط و ارکان آن؛ ۱۵. معرفت خدمت و عزلت و صحبت؛ ۱۶. معرفت بالغ و حر؛ ۱۷. معرفت تقوی؛ ۱۸. معرفت شکر و صبر و رضا؛ ۱۹. معرفت قضا و قدر؛ ۲۰. بیان آنکه مقصود ازین توجه اصل چه بود. در آخر کتاب آمده است این ده اصل در خراسان در ولایت بخیر آباد بر سر تربت شیخ سعدي الدين حموی تمام ..... چنانکه معلوم گردید در آغاز و در آخر اشاره به ده اصل کرده است و عملا دارای ۲۰ اصل است که در هر اصل چند فصل می باشد.</w:t>
      </w:r>
    </w:p>
    <w:p>
      <w:pPr>
        <w:pStyle w:val="BookText"/>
      </w:pPr>
      <w:r>
        <w:rPr>
          <w:rFonts w:ascii="IRNazanin" w:hAnsi="IRNazanin" w:eastAsia="IRNazanin" w:cs="IRNazanin"/>
          <w:lang w:bidi="fa-IR"/>
          <w:color w:val="111111"/>
          <w:sz w:val="28"/>
          <w:szCs w:val="28"/>
          <w:rtl/>
        </w:rPr>
        <w:t xml:space="preserve">آغاز: بنام خدائی که بود و هست و خواهد بود. حمد و سپاس بیغایت خدایر است جل جلاله و تعالی کبریا ... چون کتاب تنزيل بر اصحاب عرض کرده اند گفتند ما را کتاب تنزيل تمام نمیشود از جهت آنکه الفاظ وی اندک و معانی وی بسیار باین سبب این کتاب نوشته شد تا کتاب تنزیل را شرح باشد و این کتاب را بيان التنزيل نام نهاده آمده انجام: چون به مبداء خود رسید بازگشت او به مبداء عام خواهد بود.</w:t>
      </w:r>
    </w:p>
    <w:p>
      <w:pPr>
        <w:pStyle w:val="BookText"/>
      </w:pPr>
      <w:r>
        <w:rPr>
          <w:rFonts w:ascii="IRNazanin" w:hAnsi="IRNazanin" w:eastAsia="IRNazanin" w:cs="IRNazanin"/>
          <w:lang w:bidi="fa-IR"/>
          <w:color w:val="111111"/>
          <w:sz w:val="28"/>
          <w:szCs w:val="28"/>
          <w:rtl/>
        </w:rPr>
        <w:t xml:space="preserve">چاپ: چاپ شده</w:t>
      </w:r>
    </w:p>
    <w:p>
      <w:pPr>
        <w:pStyle w:val="BookText"/>
      </w:pPr>
      <w:r>
        <w:rPr>
          <w:rFonts w:ascii="IRNazanin" w:hAnsi="IRNazanin" w:eastAsia="IRNazanin" w:cs="IRNazanin"/>
          <w:lang w:bidi="fa-IR"/>
          <w:color w:val="111111"/>
          <w:sz w:val="28"/>
          <w:szCs w:val="28"/>
          <w:rtl/>
        </w:rPr>
        <w:t xml:space="preserve">[ دنا ۵۸۲/۲ (۱۰ نسخه)؛ فهرستواره منزوی ۱۵۹/۷ ]</w:t>
      </w:r>
    </w:p>
    <w:p>
      <w:pPr>
        <w:pStyle w:val="BookText"/>
      </w:pPr>
      <w:r>
        <w:rPr>
          <w:rFonts w:ascii="IRNazanin" w:hAnsi="IRNazanin" w:eastAsia="IRNazanin" w:cs="IRNazanin"/>
          <w:lang w:bidi="fa-IR"/>
          <w:color w:val="111111"/>
          <w:sz w:val="28"/>
          <w:szCs w:val="28"/>
          <w:rtl/>
        </w:rPr>
        <w:t xml:space="preserve">۱. تهران: ملک؛ شماره نسخه: ۴۱۹۶/۲</w:t>
      </w:r>
    </w:p>
    <w:p>
      <w:pPr>
        <w:pStyle w:val="BookText"/>
      </w:pPr>
      <w:r>
        <w:rPr>
          <w:rFonts w:ascii="IRNazanin" w:hAnsi="IRNazanin" w:eastAsia="IRNazanin" w:cs="IRNazanin"/>
          <w:lang w:bidi="fa-IR"/>
          <w:color w:val="111111"/>
          <w:sz w:val="28"/>
          <w:szCs w:val="28"/>
          <w:rtl/>
        </w:rPr>
        <w:t xml:space="preserve">آغاز: برابر؛ انجام: کار سالک آنست که از خلق کران گیرد و عزلت احتیار کند که در چنین وقت ...</w:t>
      </w:r>
    </w:p>
    <w:p>
      <w:pPr>
        <w:pStyle w:val="BookText"/>
      </w:pPr>
      <w:r>
        <w:rPr>
          <w:rFonts w:ascii="IRNazanin" w:hAnsi="IRNazanin" w:eastAsia="IRNazanin" w:cs="IRNazanin"/>
          <w:lang w:bidi="fa-IR"/>
          <w:color w:val="111111"/>
          <w:sz w:val="28"/>
          <w:szCs w:val="28"/>
          <w:rtl/>
        </w:rPr>
        <w:t xml:space="preserve">خط: نستعلیق، بی کا، تا: با تاریخ ۱۰۱۷ق؛ کاغذ: ترمه بیاضی، جلد: رویه میشن یک لا آلبالوئی، ۲۶گ (۱۶ر-۴۱ر)، ۲۵ سطر، اندازه: ۱۴/۶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۲۵/۷سم [ف: ۷-۲۵۵]</w:t>
      </w:r>
    </w:p>
    <w:p>
      <w:pPr>
        <w:pStyle w:val="BookText"/>
      </w:pPr>
      <w:r>
        <w:rPr>
          <w:rFonts w:ascii="IRNazanin" w:hAnsi="IRNazanin" w:eastAsia="IRNazanin" w:cs="IRNazanin"/>
          <w:lang w:bidi="fa-IR"/>
          <w:color w:val="111111"/>
          <w:sz w:val="28"/>
          <w:szCs w:val="28"/>
          <w:rtl/>
        </w:rPr>
        <w:t xml:space="preserve">۲. تهران؛ مجلس؛ شماره نسخه: ۱۰۰۳۹/۳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کا: مقصود مسعود فشار ترکمان، تا: ۱۲۵۶ -۱۲۵۷ق؛ جلد: تیماج ضربی با ترنج با سر مجدول، ۶۳ص (۱۴۱ -۲۰۳)، اندازه: ۲۱/۵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 [ف: ۳۲-۵۴]</w:t>
      </w:r>
    </w:p>
    <w:p>
      <w:pPr>
        <w:pStyle w:val="BookText"/>
      </w:pPr>
      <w:r>
        <w:rPr>
          <w:rFonts w:ascii="IRNazanin" w:hAnsi="IRNazanin" w:eastAsia="IRNazanin" w:cs="IRNazanin"/>
          <w:lang w:bidi="fa-IR"/>
          <w:color w:val="111111"/>
          <w:sz w:val="28"/>
          <w:szCs w:val="28"/>
          <w:rtl/>
        </w:rPr>
        <w:t xml:space="preserve">٣. تهران، دانشگاه، شماره نسخه: ۱۱۵۲-ف</w:t>
      </w:r>
    </w:p>
    <w:p>
      <w:pPr>
        <w:pStyle w:val="BookText"/>
      </w:pPr>
      <w:r>
        <w:rPr>
          <w:rFonts w:ascii="IRNazanin" w:hAnsi="IRNazanin" w:eastAsia="IRNazanin" w:cs="IRNazanin"/>
          <w:lang w:bidi="fa-IR"/>
          <w:color w:val="111111"/>
          <w:sz w:val="28"/>
          <w:szCs w:val="28"/>
          <w:rtl/>
        </w:rPr>
        <w:t xml:space="preserve">نسخه اصل: بادلیان ۳۵</w:t>
      </w:r>
      <w:r>
        <w:rPr>
          <w:rFonts w:ascii="Times New Roman" w:hAnsi="Times New Roman" w:eastAsia="Times New Roman" w:cs="Times New Roman"/>
          <w:lang w:val="en-US" w:bidi="en-US"/>
          <w:color w:val="111111"/>
          <w:sz w:val="28"/>
          <w:szCs w:val="28"/>
          <w:rtl/>
        </w:rPr>
        <w:t xml:space="preserve">e</w:t>
      </w:r>
      <w:r>
        <w:rPr>
          <w:rFonts w:ascii="IRNazanin" w:hAnsi="IRNazanin" w:eastAsia="IRNazanin" w:cs="IRNazanin"/>
          <w:lang w:bidi="fa-IR"/>
          <w:color w:val="111111"/>
          <w:sz w:val="28"/>
          <w:szCs w:val="28"/>
          <w:rtl/>
        </w:rPr>
        <w:t xml:space="preserve">؛ خط: نستعلیق، بی کا، تا: شنبه ۱۳ محرم ۱۲۶۵ق؛ ۹۹، ۱۵ سطر [فیلمهای دانشگاه تهران-ف: ۱-۲۵]</w:t>
      </w:r>
    </w:p>
    <w:p>
      <w:pPr>
        <w:pStyle w:val="BookText"/>
      </w:pPr>
      <w:r>
        <w:rPr>
          <w:rFonts w:ascii="IRNazanin" w:hAnsi="IRNazanin" w:eastAsia="IRNazanin" w:cs="IRNazanin"/>
          <w:lang w:bidi="fa-IR"/>
          <w:color w:val="111111"/>
          <w:sz w:val="28"/>
          <w:szCs w:val="28"/>
          <w:rtl/>
        </w:rPr>
        <w:t xml:space="preserve">۴. تهران: مجلس؛ شماره نسخه: ۴۱۳۶/۲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کاغذ: سمرقندی، جلد: تیماج قهوه ای ضربی، ۵۹گ (۲۰۱پ-۲۵۹)، ۱۵ سطر(۱۲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اندازه: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۱۱-۱۳۴]</w:t>
      </w:r>
    </w:p>
    <w:p>
      <w:pPr>
        <w:pStyle w:val="BookText"/>
      </w:pPr>
      <w:r>
        <w:rPr>
          <w:rFonts w:ascii="IRNazanin" w:hAnsi="IRNazanin" w:eastAsia="IRNazanin" w:cs="IRNazanin"/>
          <w:lang w:bidi="fa-IR"/>
          <w:color w:val="111111"/>
          <w:sz w:val="28"/>
          <w:szCs w:val="28"/>
          <w:rtl/>
        </w:rPr>
        <w:t xml:space="preserve">۵. تهران: مجلس؛ شماره نسخه: ۱۰۳۰۴/۳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72" w:name="pg20363_209403"/>
    <w:bookmarkEnd w:id="172"/>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بی کا، بیتا؛ جلد: تیماج قهوه ای، ۴۴ص ( ۱۲۵-۸۲ )،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سم [ف: ۳۲-۳۱۱]</w:t>
      </w:r>
    </w:p>
    <w:p>
      <w:pPr>
        <w:pStyle w:val="BookText"/>
      </w:pPr>
      <w:r>
        <w:rPr>
          <w:rFonts w:ascii="IRNazanin" w:hAnsi="IRNazanin" w:eastAsia="IRNazanin" w:cs="IRNazanin"/>
          <w:lang w:bidi="fa-IR"/>
          <w:color w:val="111111"/>
          <w:sz w:val="28"/>
          <w:szCs w:val="28"/>
          <w:rtl/>
        </w:rPr>
        <w:t xml:space="preserve">۶. تهران؛ مجلس؛ شماره نسخه: ۱۰۳۶۷/۲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جلد: تیماج قهوه ای، ۳۴ص (۶۵-۹۸)، ۱۶سطر، اندازه: 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۱۸/۵ سم [ف: ۳۲-۳۴۷]</w:t>
      </w:r>
    </w:p>
    <w:p>
      <w:pPr>
        <w:pStyle w:val="BookText"/>
      </w:pPr>
      <w:r>
        <w:rPr>
          <w:rFonts w:ascii="IRNazanin" w:hAnsi="IRNazanin" w:eastAsia="IRNazanin" w:cs="IRNazanin"/>
          <w:lang w:bidi="fa-IR"/>
          <w:color w:val="111111"/>
          <w:sz w:val="28"/>
          <w:szCs w:val="28"/>
          <w:rtl/>
        </w:rPr>
        <w:t xml:space="preserve">۷. تهران، دانشگاه؛ شماره نسخه: ۴۰۵/۲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بی تا، کاغذ: فرنگی، جلد: تیماج مقوایی ضربی، ۱۷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۳-۴۱۶]</w:t>
      </w:r>
    </w:p>
    <w:p>
      <w:pPr>
        <w:pStyle w:val="BookText"/>
      </w:pPr>
      <w:r>
        <w:rPr>
          <w:rFonts w:ascii="IRNazanin" w:hAnsi="IRNazanin" w:eastAsia="IRNazanin" w:cs="IRNazanin"/>
          <w:lang w:bidi="fa-IR"/>
          <w:color w:val="111111"/>
          <w:sz w:val="28"/>
          <w:szCs w:val="28"/>
          <w:rtl/>
        </w:rPr>
        <w:t xml:space="preserve">۸. تهران؛ دانشگاه؛ شماره نسخه: ۴۰۵۰-ف نسخه اصل: ابراهیم دوزن ولى الدين ۱۷۶۷؛ بی کا، بی تا [فيلمها</w:t>
      </w:r>
    </w:p>
    <w:p>
      <w:pPr>
        <w:pStyle w:val="BookText"/>
      </w:pPr>
      <w:r>
        <w:rPr>
          <w:rFonts w:ascii="IRNazanin" w:hAnsi="IRNazanin" w:eastAsia="IRNazanin" w:cs="IRNazanin"/>
          <w:lang w:bidi="fa-IR"/>
          <w:color w:val="111111"/>
          <w:sz w:val="28"/>
          <w:szCs w:val="28"/>
          <w:rtl/>
        </w:rPr>
        <w:t xml:space="preserve">ف: ۳-۸]</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دانشگاه؛ شماره نسخه: ۵۵۲۹/۴</w:t>
      </w:r>
    </w:p>
    <w:p>
      <w:pPr>
        <w:pStyle w:val="BookText"/>
      </w:pPr>
      <w:r>
        <w:rPr>
          <w:rFonts w:ascii="IRNazanin" w:hAnsi="IRNazanin" w:eastAsia="IRNazanin" w:cs="IRNazanin"/>
          <w:lang w:bidi="fa-IR"/>
          <w:color w:val="111111"/>
          <w:sz w:val="28"/>
          <w:szCs w:val="28"/>
          <w:rtl/>
        </w:rPr>
        <w:t xml:space="preserve">خط: نستعلیق، بی کا، بی تا، کاغذ: سمرقندی، جلد: تیماج مشکی ضربی لایی، ۶۴گ (۱۶۴ر-۲۲۷)، ۱۹ سطر (۱۴۶)،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۱۶-۲۹]</w:t>
      </w:r>
    </w:p>
    <w:p>
      <w:pPr>
        <w:pStyle w:val="BookText"/>
      </w:pPr>
      <w:r>
        <w:rPr>
          <w:rFonts w:ascii="IRNazanin" w:hAnsi="IRNazanin" w:eastAsia="IRNazanin" w:cs="IRNazanin"/>
          <w:lang w:bidi="fa-IR"/>
          <w:color w:val="111111"/>
          <w:sz w:val="28"/>
          <w:szCs w:val="28"/>
          <w:rtl/>
        </w:rPr>
        <w:t xml:space="preserve">۱۰. تهران؛ ملک؛ شماره نسخه: ۴۰۱۰/۲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کاغذ: پسته ای، جلد: میشن قرمز، ۱۵ سطر، اندازه: ۲۰/۷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[ف: ۷-۱۴۵]</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قم؛ فیضیه؛ شماره نسخه: ۱۳۴۲/۹</w:t>
      </w:r>
    </w:p>
    <w:p>
      <w:pPr>
        <w:pStyle w:val="BookText"/>
      </w:pPr>
      <w:r>
        <w:rPr>
          <w:rFonts w:ascii="IRNazanin" w:hAnsi="IRNazanin" w:eastAsia="IRNazanin" w:cs="IRNazanin"/>
          <w:lang w:bidi="fa-IR"/>
          <w:color w:val="111111"/>
          <w:sz w:val="28"/>
          <w:szCs w:val="28"/>
          <w:rtl/>
        </w:rPr>
        <w:t xml:space="preserve">خط: نسخ و نستعلیق، بی کا، بی تا؛ ۳۲گ،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۸۴-۳ ]</w:t>
      </w:r>
    </w:p>
    <w:p>
      <w:pPr>
        <w:pStyle w:val="BookText"/>
      </w:pPr>
      <w:r>
        <w:rPr>
          <w:rFonts w:ascii="IRNazanin" w:hAnsi="IRNazanin" w:eastAsia="IRNazanin" w:cs="IRNazanin"/>
          <w:lang w:bidi="fa-IR"/>
          <w:color w:val="111111"/>
          <w:sz w:val="28"/>
          <w:szCs w:val="28"/>
          <w:rtl/>
        </w:rPr>
        <w:t xml:space="preserve">۱۲. مشهد: الهیات؛ شماره نسخه: ۲۱۹۷۲</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بی تاب کاغذ: هندی، جلد: مقوا عطف و گوشه تیماج قهوه ای، ۸۷گ، ۱۷ سطر(۸/۵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اندازه: ۲۳/۵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 ۶۳۹]</w:t>
      </w:r>
    </w:p>
    <w:p>
      <w:pPr>
        <w:pStyle w:val="Heading3"/>
      </w:pPr>
      <w:bookmarkStart w:id="1262" w:name="_Toc522"/>
      <w:r>
        <w:t>• بيان التواريخ و الكبائس / تاریخ / فارسی و عربی</w:t>
      </w:r>
      <w:bookmarkEnd w:id="1262"/>
    </w:p>
    <w:p>
      <w:pPr>
        <w:pStyle w:val="BookText"/>
      </w:pPr>
      <w:r>
        <w:rPr>
          <w:rFonts w:ascii="Times New Roman" w:hAnsi="Times New Roman" w:eastAsia="Times New Roman" w:cs="Times New Roman"/>
          <w:lang w:val="en-US" w:bidi="en-US"/>
          <w:color w:val="111111"/>
          <w:sz w:val="28"/>
          <w:szCs w:val="28"/>
          <w:rtl/>
        </w:rPr>
        <w:t xml:space="preserve">bayān-ut tawārīx wa-l kabā’is</w:t>
      </w:r>
    </w:p>
    <w:p>
      <w:pPr>
        <w:pStyle w:val="BookText"/>
      </w:pPr>
      <w:r>
        <w:rPr>
          <w:rFonts w:ascii="IRNazanin" w:hAnsi="IRNazanin" w:eastAsia="IRNazanin" w:cs="IRNazanin"/>
          <w:lang w:bidi="fa-IR"/>
          <w:color w:val="111111"/>
          <w:sz w:val="28"/>
          <w:szCs w:val="28"/>
          <w:rtl/>
        </w:rPr>
        <w:t xml:space="preserve">محمد حسن بن محمد علی، ق۱۳ قمری</w:t>
      </w:r>
    </w:p>
    <w:p>
      <w:pPr>
        <w:pStyle w:val="BookText"/>
      </w:pPr>
      <w:r>
        <w:rPr>
          <w:rFonts w:ascii="Times New Roman" w:hAnsi="Times New Roman" w:eastAsia="Times New Roman" w:cs="Times New Roman"/>
          <w:lang w:val="en-US" w:bidi="en-US"/>
          <w:color w:val="111111"/>
          <w:sz w:val="28"/>
          <w:szCs w:val="28"/>
          <w:rtl/>
        </w:rPr>
        <w:t xml:space="preserve">mohammad hasan ebn-e mohammad ‘alī (- 19)</w:t>
      </w:r>
    </w:p>
    <w:p>
      <w:pPr>
        <w:pStyle w:val="BookText"/>
      </w:pPr>
      <w:r>
        <w:rPr>
          <w:rFonts w:ascii="IRNazanin" w:hAnsi="IRNazanin" w:eastAsia="IRNazanin" w:cs="IRNazanin"/>
          <w:lang w:bidi="fa-IR"/>
          <w:color w:val="111111"/>
          <w:sz w:val="28"/>
          <w:szCs w:val="28"/>
          <w:rtl/>
        </w:rPr>
        <w:t xml:space="preserve">[دنا ۵۸۲/۲ ]</w:t>
      </w:r>
    </w:p>
    <w:p>
      <w:pPr>
        <w:pStyle w:val="BookText"/>
      </w:pPr>
      <w:r>
        <w:rPr>
          <w:rFonts w:ascii="IRNazanin" w:hAnsi="IRNazanin" w:eastAsia="IRNazanin" w:cs="IRNazanin"/>
          <w:lang w:bidi="fa-IR"/>
          <w:color w:val="111111"/>
          <w:sz w:val="28"/>
          <w:szCs w:val="28"/>
          <w:rtl/>
        </w:rPr>
        <w:t xml:space="preserve">تهران؛ مجلس؛ شماره نسخه: ۷۹/۳</w:t>
      </w:r>
    </w:p>
    <w:p>
      <w:pPr>
        <w:pStyle w:val="BookText"/>
      </w:pPr>
      <w:r>
        <w:rPr>
          <w:rFonts w:ascii="IRNazanin" w:hAnsi="IRNazanin" w:eastAsia="IRNazanin" w:cs="IRNazanin"/>
          <w:lang w:bidi="fa-IR"/>
          <w:color w:val="111111"/>
          <w:sz w:val="28"/>
          <w:szCs w:val="28"/>
          <w:rtl/>
        </w:rPr>
        <w:t xml:space="preserve">کاتب = مؤلف، تا: سه شنبه ۵ صفر ۱۲۲۷ق؛ فیلم آن در دانشگاه تهران به شماره ۳۳۷۰ موجود است؛ کاغذ: سفید، جلد: تیماج تریاکی ضربی و مقوایی، ۱۵ص (۲۶-۴۰)، ۲۱-۲۵ سطر (۱۵۹)،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[سنا: ف: ۱-۴۱]</w:t>
      </w:r>
    </w:p>
    <w:p>
      <w:pPr>
        <w:pStyle w:val="BookText"/>
      </w:pPr>
      <w:r>
        <w:rPr>
          <w:rFonts w:ascii="IRNazanin" w:hAnsi="IRNazanin" w:eastAsia="IRNazanin" w:cs="IRNazanin"/>
          <w:lang w:bidi="fa-IR"/>
          <w:color w:val="111111"/>
          <w:sz w:val="28"/>
          <w:szCs w:val="28"/>
          <w:rtl/>
        </w:rPr>
        <w:t xml:space="preserve">←بیان توحید ← اسرار التوحيد</w:t>
      </w:r>
    </w:p>
    <w:p>
      <w:pPr>
        <w:pStyle w:val="Heading3"/>
      </w:pPr>
      <w:bookmarkStart w:id="1263" w:name="_Toc523"/>
      <w:r>
        <w:t>•بیان ثقل اکبر و اصغر گوناگون / عربی</w:t>
      </w:r>
      <w:bookmarkEnd w:id="1263"/>
    </w:p>
    <w:p>
      <w:pPr>
        <w:pStyle w:val="BookText"/>
      </w:pPr>
      <w:r>
        <w:rPr>
          <w:rFonts w:ascii="Times New Roman" w:hAnsi="Times New Roman" w:eastAsia="Times New Roman" w:cs="Times New Roman"/>
          <w:lang w:val="en-US" w:bidi="en-US"/>
          <w:color w:val="111111"/>
          <w:sz w:val="28"/>
          <w:szCs w:val="28"/>
          <w:rtl/>
        </w:rPr>
        <w:t xml:space="preserve">bayān-e seql-e akbar va asqar</w:t>
      </w:r>
    </w:p>
    <w:p>
      <w:pPr>
        <w:pStyle w:val="BookText"/>
      </w:pPr>
      <w:r>
        <w:rPr>
          <w:rFonts w:ascii="IRNazanin" w:hAnsi="IRNazanin" w:eastAsia="IRNazanin" w:cs="IRNazanin"/>
          <w:lang w:bidi="fa-IR"/>
          <w:color w:val="111111"/>
          <w:sz w:val="28"/>
          <w:szCs w:val="28"/>
          <w:rtl/>
        </w:rPr>
        <w:t xml:space="preserve">مشهد؛ رضوی؛ شماره نسخه: ۲۲۰۴۴</w:t>
      </w:r>
    </w:p>
    <w:p>
      <w:pPr>
        <w:pStyle w:val="BookText"/>
      </w:pPr>
      <w:r>
        <w:rPr>
          <w:rFonts w:ascii="IRNazanin" w:hAnsi="IRNazanin" w:eastAsia="IRNazanin" w:cs="IRNazanin"/>
          <w:lang w:bidi="fa-IR"/>
          <w:color w:val="111111"/>
          <w:sz w:val="28"/>
          <w:szCs w:val="28"/>
          <w:rtl/>
        </w:rPr>
        <w:t xml:space="preserve">آغاز: بسمله الحمدلله رب العالمين ... اما بعد فيقول؛ انجام: و لعنة الله على اعدائهم اجمعين خط: نسخ، بی کا، تا: قرن ۱۳؛ کاغذ: نخودی، جلد: مقوا، ۲۱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[رایانه]</w:t>
      </w:r>
    </w:p>
    <w:p>
      <w:pPr>
        <w:pStyle w:val="Heading3"/>
      </w:pPr>
      <w:bookmarkStart w:id="1264" w:name="_Toc524"/>
      <w:r>
        <w:t>• بیان الثوق في الجواهر الهيولائی / فلسفه / عربی</w:t>
      </w:r>
      <w:bookmarkEnd w:id="1264"/>
    </w:p>
    <w:p>
      <w:pPr>
        <w:pStyle w:val="BookText"/>
      </w:pPr>
      <w:r>
        <w:rPr>
          <w:rFonts w:ascii="Times New Roman" w:hAnsi="Times New Roman" w:eastAsia="Times New Roman" w:cs="Times New Roman"/>
          <w:lang w:val="en-US" w:bidi="en-US"/>
          <w:color w:val="111111"/>
          <w:sz w:val="28"/>
          <w:szCs w:val="28"/>
          <w:rtl/>
        </w:rPr>
        <w:t xml:space="preserve">bayān-ut tawq fi-l jawāhir-il hayūlāʻī</w:t>
      </w:r>
    </w:p>
    <w:p>
      <w:pPr>
        <w:pStyle w:val="BookText"/>
      </w:pPr>
      <w:r>
        <w:rPr>
          <w:rFonts w:ascii="IRNazanin" w:hAnsi="IRNazanin" w:eastAsia="IRNazanin" w:cs="IRNazanin"/>
          <w:lang w:bidi="fa-IR"/>
          <w:color w:val="111111"/>
          <w:sz w:val="28"/>
          <w:szCs w:val="28"/>
          <w:rtl/>
        </w:rPr>
        <w:t xml:space="preserve">مشهد؛ رضوی؛ شماره نسخه: ۲۳۸۰۶</w:t>
      </w:r>
    </w:p>
    <w:p>
      <w:pPr>
        <w:pStyle w:val="BookText"/>
      </w:pPr>
      <w:r>
        <w:rPr>
          <w:rFonts w:ascii="IRNazanin" w:hAnsi="IRNazanin" w:eastAsia="IRNazanin" w:cs="IRNazanin"/>
          <w:lang w:bidi="fa-IR"/>
          <w:color w:val="111111"/>
          <w:sz w:val="28"/>
          <w:szCs w:val="28"/>
          <w:rtl/>
        </w:rPr>
        <w:t xml:space="preserve">آغاز: بسمله و به نستعین اما بعد فاني لحفاظتي على الأدب مع؛ انجام: فهذا ... مضاعف الكمالات العقليه خط: نستعلیق تحریری، بی کا، تا: قرن ۱۱؛ کاغذ: حنایی، جلد: اسقاطی، ۱۹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[رایانه]</w:t>
      </w:r>
    </w:p>
    <w:p>
      <w:pPr>
        <w:pStyle w:val="Heading3"/>
      </w:pPr>
      <w:bookmarkStart w:id="1265" w:name="_Toc525"/>
      <w:r>
        <w:t>• بیان الجعفرية / عربي</w:t>
      </w:r>
      <w:bookmarkEnd w:id="1265"/>
    </w:p>
    <w:p>
      <w:pPr>
        <w:pStyle w:val="BookText"/>
      </w:pPr>
      <w:r>
        <w:rPr>
          <w:rFonts w:ascii="Times New Roman" w:hAnsi="Times New Roman" w:eastAsia="Times New Roman" w:cs="Times New Roman"/>
          <w:lang w:val="en-US" w:bidi="en-US"/>
          <w:color w:val="111111"/>
          <w:sz w:val="28"/>
          <w:szCs w:val="28"/>
          <w:rtl/>
        </w:rPr>
        <w:t xml:space="preserve">bayān-ul ja‘farīyya</w:t>
      </w:r>
    </w:p>
    <w:p>
      <w:pPr>
        <w:pStyle w:val="BookText"/>
      </w:pPr>
      <w:r>
        <w:rPr>
          <w:rFonts w:ascii="IRNazanin" w:hAnsi="IRNazanin" w:eastAsia="IRNazanin" w:cs="IRNazanin"/>
          <w:lang w:bidi="fa-IR"/>
          <w:color w:val="111111"/>
          <w:sz w:val="28"/>
          <w:szCs w:val="28"/>
          <w:rtl/>
        </w:rPr>
        <w:t xml:space="preserve">تهرانی، محمد جواد</w:t>
      </w:r>
    </w:p>
    <w:p>
      <w:pPr>
        <w:pStyle w:val="BookText"/>
      </w:pPr>
      <w:r>
        <w:rPr>
          <w:rFonts w:ascii="Times New Roman" w:hAnsi="Times New Roman" w:eastAsia="Times New Roman" w:cs="Times New Roman"/>
          <w:lang w:val="en-US" w:bidi="en-US"/>
          <w:color w:val="111111"/>
          <w:sz w:val="28"/>
          <w:szCs w:val="28"/>
          <w:rtl/>
        </w:rPr>
        <w:t xml:space="preserve">tehrānī, mohammad javād</w:t>
      </w:r>
    </w:p>
    <w:p>
      <w:pPr>
        <w:pStyle w:val="BookText"/>
      </w:pPr>
      <w:r>
        <w:rPr>
          <w:rFonts w:ascii="IRNazanin" w:hAnsi="IRNazanin" w:eastAsia="IRNazanin" w:cs="IRNazanin"/>
          <w:lang w:bidi="fa-IR"/>
          <w:color w:val="111111"/>
          <w:sz w:val="28"/>
          <w:szCs w:val="28"/>
          <w:rtl/>
        </w:rPr>
        <w:t xml:space="preserve">قم؛ مرعشی؛ شماره نسخه: بدون شماره</w:t>
      </w:r>
    </w:p>
    <w:p>
      <w:pPr>
        <w:pStyle w:val="BookText"/>
      </w:pPr>
      <w:r>
        <w:rPr>
          <w:rFonts w:ascii="IRNazanin" w:hAnsi="IRNazanin" w:eastAsia="IRNazanin" w:cs="IRNazanin"/>
          <w:lang w:bidi="fa-IR"/>
          <w:color w:val="111111"/>
          <w:sz w:val="28"/>
          <w:szCs w:val="28"/>
          <w:rtl/>
        </w:rPr>
        <w:t xml:space="preserve">کاتب = مؤلف، بی تا [میراث شهاب: س ش ۳و ۴-۱۴۹]</w:t>
      </w:r>
    </w:p>
    <w:p>
      <w:pPr>
        <w:pStyle w:val="BookText"/>
      </w:pPr>
      <w:r>
        <w:rPr>
          <w:rFonts w:ascii="IRNazanin" w:hAnsi="IRNazanin" w:eastAsia="IRNazanin" w:cs="IRNazanin"/>
          <w:lang w:bidi="fa-IR"/>
          <w:color w:val="111111"/>
          <w:sz w:val="28"/>
          <w:szCs w:val="28"/>
          <w:rtl/>
        </w:rPr>
        <w:t xml:space="preserve">← بیان جوهر الثمين← جواهر الاجسام السماوية</w:t>
      </w:r>
    </w:p>
    <w:p>
      <w:pPr>
        <w:pStyle w:val="Heading3"/>
      </w:pPr>
      <w:bookmarkStart w:id="1266" w:name="_Toc526"/>
      <w:r>
        <w:t>• بیان حال الكافي (رسالة في) / حديث / عربی</w:t>
      </w:r>
      <w:bookmarkEnd w:id="1266"/>
    </w:p>
    <w:p>
      <w:pPr>
        <w:pStyle w:val="BookText"/>
      </w:pPr>
      <w:r>
        <w:rPr>
          <w:rFonts w:ascii="Times New Roman" w:hAnsi="Times New Roman" w:eastAsia="Times New Roman" w:cs="Times New Roman"/>
          <w:lang w:val="en-US" w:bidi="en-US"/>
          <w:color w:val="111111"/>
          <w:sz w:val="28"/>
          <w:szCs w:val="28"/>
          <w:rtl/>
        </w:rPr>
        <w:t xml:space="preserve">bayan-u hal-il kafi (r. fi)</w:t>
      </w:r>
    </w:p>
    <w:p>
      <w:pPr>
        <w:pStyle w:val="BookText"/>
      </w:pPr>
      <w:r>
        <w:rPr>
          <w:rFonts w:ascii="IRNazanin" w:hAnsi="IRNazanin" w:eastAsia="IRNazanin" w:cs="IRNazanin"/>
          <w:lang w:bidi="fa-IR"/>
          <w:color w:val="111111"/>
          <w:sz w:val="28"/>
          <w:szCs w:val="28"/>
          <w:rtl/>
        </w:rPr>
        <w:t xml:space="preserve">آقابزرگ طهرانی، محمد محسن، ۱۲۹۳-۱۳۸۹ قمری</w:t>
      </w:r>
    </w:p>
    <w:p>
      <w:pPr>
        <w:pStyle w:val="BookText"/>
      </w:pPr>
      <w:r>
        <w:rPr>
          <w:rFonts w:ascii="Times New Roman" w:hAnsi="Times New Roman" w:eastAsia="Times New Roman" w:cs="Times New Roman"/>
          <w:lang w:val="en-US" w:bidi="en-US"/>
          <w:color w:val="111111"/>
          <w:sz w:val="28"/>
          <w:szCs w:val="28"/>
          <w:rtl/>
        </w:rPr>
        <w:t xml:space="preserve">āqa-bozorg-e tehrānī, mohammad mohsen (1876-1969)</w:t>
      </w:r>
    </w:p>
    <w:p>
      <w:pPr>
        <w:pStyle w:val="BookText"/>
      </w:pPr>
      <w:r>
        <w:rPr>
          <w:rFonts w:ascii="IRNazanin" w:hAnsi="IRNazanin" w:eastAsia="IRNazanin" w:cs="IRNazanin"/>
          <w:lang w:bidi="fa-IR"/>
          <w:color w:val="111111"/>
          <w:sz w:val="28"/>
          <w:szCs w:val="28"/>
          <w:rtl/>
        </w:rPr>
        <w:t xml:space="preserve">وابسته به: الكافی؛ کلینی، محمد بن يعقوب (-۳۲۹ق) تاريخ تأليف: شنبه ۲۵ ذیقعده ۱۳۷۴ق؛ محل تأليف: نجف</w:t>
      </w:r>
    </w:p>
    <w:p>
      <w:pPr>
        <w:pStyle w:val="BookText"/>
      </w:pPr>
      <w:r>
        <w:rPr>
          <w:rFonts w:ascii="IRNazanin" w:hAnsi="IRNazanin" w:eastAsia="IRNazanin" w:cs="IRNazanin"/>
          <w:lang w:bidi="fa-IR"/>
          <w:color w:val="111111"/>
          <w:sz w:val="28"/>
          <w:szCs w:val="28"/>
          <w:rtl/>
        </w:rPr>
        <w:t xml:space="preserve">اشرف (در منزلش) شیخ عباسقلی واعظ چرندابی نامه ای به مؤلف نوشته و از وی پرسیده که آیا در کتاب کافی روایات ضعیف وجود دارد یا خیر؟ و در صورت وجود، چرا کلینی کتاب را به سفراء اربعه، که معاصر وی بودند نشان نداده تا روایات ضعیف را بیرون آورند؟ مؤلف با استفاده از خاتمه مستدرک استادش نوری که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73" w:name="pg20363_209404"/>
    <w:bookmarkEnd w:id="173"/>
    <w:p>
      <w:pPr>
        <w:pStyle w:val="BookText"/>
      </w:pPr>
      <w:r>
        <w:rPr>
          <w:rFonts w:ascii="IRNazanin" w:hAnsi="IRNazanin" w:eastAsia="IRNazanin" w:cs="IRNazanin"/>
          <w:lang w:bidi="fa-IR"/>
          <w:color w:val="111111"/>
          <w:sz w:val="28"/>
          <w:szCs w:val="28"/>
          <w:rtl/>
        </w:rPr>
        <w:t xml:space="preserve">فایده چهارم از فواید دوازده گانه آن به بیان حال کافی اختصاص دارد، در مقام پاسخ بر آمده است.</w:t>
      </w:r>
    </w:p>
    <w:p>
      <w:pPr>
        <w:pStyle w:val="BookText"/>
      </w:pPr>
      <w:r>
        <w:rPr>
          <w:rFonts w:ascii="IRNazanin" w:hAnsi="IRNazanin" w:eastAsia="IRNazanin" w:cs="IRNazanin"/>
          <w:lang w:bidi="fa-IR"/>
          <w:color w:val="111111"/>
          <w:sz w:val="28"/>
          <w:szCs w:val="28"/>
          <w:rtl/>
        </w:rPr>
        <w:t xml:space="preserve">تهران؛ مجلس، شماره نسخه: ۱۵۸۱۸/۲</w:t>
      </w:r>
    </w:p>
    <w:p>
      <w:pPr>
        <w:pStyle w:val="BookText"/>
      </w:pPr>
      <w:r>
        <w:rPr>
          <w:rFonts w:ascii="IRNazanin" w:hAnsi="IRNazanin" w:eastAsia="IRNazanin" w:cs="IRNazanin"/>
          <w:lang w:bidi="fa-IR"/>
          <w:color w:val="111111"/>
          <w:sz w:val="28"/>
          <w:szCs w:val="28"/>
          <w:rtl/>
        </w:rPr>
        <w:t xml:space="preserve">آغاز: بسمله. و به ثقتی و اعتصامي الحمد لوليه و الصلاة على سیدنا محمد نبيه و على المعصومين الاثني عشر اوصیاء نبیه و بعد فقد كتب الى العالم الفاضل الخطيب البارع؛ انجام: هذا ما خطر في نظري القاصر عاجلا عصمنا الله من الزلل و الحمدلله أولا و آخرة و كتبه في السبت الخامس و العشرين من ذي القعدة ... آقا بزرگ الطهرانی عفی الله عنه.</w:t>
      </w:r>
    </w:p>
    <w:p>
      <w:pPr>
        <w:pStyle w:val="BookText"/>
      </w:pPr>
      <w:r>
        <w:rPr>
          <w:rFonts w:ascii="IRNazanin" w:hAnsi="IRNazanin" w:eastAsia="IRNazanin" w:cs="IRNazanin"/>
          <w:lang w:bidi="fa-IR"/>
          <w:color w:val="111111"/>
          <w:sz w:val="28"/>
          <w:szCs w:val="28"/>
          <w:rtl/>
        </w:rPr>
        <w:t xml:space="preserve">نسخه حاضر با ماشین تایپ شده است؛ خط: نستعلیق، كان محسن بن علی مشهور به آقا بزرگ طهرانی، تا: ۱۳۲۷ و ۱۳۲۸ق؛ جلد: تیماج قهوه ای، ۴ گ (۱۳۷ - ۴۰ر)، ۱۹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۸۰-۴4 ]</w:t>
      </w:r>
    </w:p>
    <w:p>
      <w:pPr>
        <w:pStyle w:val="BookText"/>
      </w:pPr>
      <w:r>
        <w:rPr>
          <w:rFonts w:ascii="IRNazanin" w:hAnsi="IRNazanin" w:eastAsia="IRNazanin" w:cs="IRNazanin"/>
          <w:lang w:bidi="fa-IR"/>
          <w:color w:val="111111"/>
          <w:sz w:val="28"/>
          <w:szCs w:val="28"/>
          <w:rtl/>
        </w:rPr>
        <w:t xml:space="preserve">← بیان حجية الشهرة (رسالة في)← حجية الشهرة</w:t>
      </w:r>
    </w:p>
    <w:p>
      <w:pPr>
        <w:pStyle w:val="Heading3"/>
      </w:pPr>
      <w:bookmarkStart w:id="1267" w:name="_Toc527"/>
      <w:r>
        <w:t>•بیان حديث الطينة (رسالة في) / كلام و اعتقادات / عربی</w:t>
      </w:r>
      <w:bookmarkEnd w:id="1267"/>
    </w:p>
    <w:p>
      <w:pPr>
        <w:pStyle w:val="BookText"/>
      </w:pPr>
      <w:r>
        <w:rPr>
          <w:rFonts w:ascii="Times New Roman" w:hAnsi="Times New Roman" w:eastAsia="Times New Roman" w:cs="Times New Roman"/>
          <w:lang w:val="en-US" w:bidi="en-US"/>
          <w:color w:val="111111"/>
          <w:sz w:val="28"/>
          <w:szCs w:val="28"/>
          <w:rtl/>
        </w:rPr>
        <w:t xml:space="preserve">bayān-u hadīt-i at-tīna (r.-un fi)</w:t>
      </w:r>
    </w:p>
    <w:p>
      <w:pPr>
        <w:pStyle w:val="BookText"/>
      </w:pPr>
      <w:r>
        <w:rPr>
          <w:rFonts w:ascii="IRNazanin" w:hAnsi="IRNazanin" w:eastAsia="IRNazanin" w:cs="IRNazanin"/>
          <w:lang w:bidi="fa-IR"/>
          <w:color w:val="111111"/>
          <w:sz w:val="28"/>
          <w:szCs w:val="28"/>
          <w:rtl/>
        </w:rPr>
        <w:t xml:space="preserve">ایروانی، مصطفی رساله ای در کیفیت جمع بين احادیث طینت و مسأله اختيار در آدمی.</w:t>
      </w:r>
    </w:p>
    <w:p>
      <w:pPr>
        <w:pStyle w:val="BookText"/>
      </w:pPr>
      <w:r>
        <w:rPr>
          <w:rFonts w:ascii="Times New Roman" w:hAnsi="Times New Roman" w:eastAsia="Times New Roman" w:cs="Times New Roman"/>
          <w:lang w:val="en-US" w:bidi="en-US"/>
          <w:color w:val="111111"/>
          <w:sz w:val="28"/>
          <w:szCs w:val="28"/>
          <w:rtl/>
        </w:rPr>
        <w:t xml:space="preserve">īravānī, mostafa</w:t>
      </w:r>
    </w:p>
    <w:p>
      <w:pPr>
        <w:pStyle w:val="BookText"/>
      </w:pPr>
      <w:r>
        <w:rPr>
          <w:rFonts w:ascii="IRNazanin" w:hAnsi="IRNazanin" w:eastAsia="IRNazanin" w:cs="IRNazanin"/>
          <w:lang w:bidi="fa-IR"/>
          <w:color w:val="111111"/>
          <w:sz w:val="28"/>
          <w:szCs w:val="28"/>
          <w:rtl/>
        </w:rPr>
        <w:t xml:space="preserve">مشهد؛ شیخ علی حیدر؛ شماره نسخه: ۸۲۹/۳</w:t>
      </w:r>
    </w:p>
    <w:p>
      <w:pPr>
        <w:pStyle w:val="BookText"/>
      </w:pPr>
      <w:r>
        <w:rPr>
          <w:rFonts w:ascii="Amiri" w:hAnsi="Amiri" w:eastAsia="Amiri" w:cs="Amiri"/>
          <w:lang w:bidi="ar-SA"/>
          <w:color w:val="111111"/>
          <w:sz w:val="28"/>
          <w:szCs w:val="28"/>
          <w:rtl/>
        </w:rPr>
        <w:t xml:space="preserve">آغاز: الحمدلله الملك المختار و الصلاة و السلام على سيدنا محمد و آله الاطهار؛ انجام: فالالتماس منك دعوة الخير في حق ذلك الغير فانه قريب مجيب والسلام</w:t>
      </w:r>
    </w:p>
    <w:p>
      <w:pPr>
        <w:pStyle w:val="BookText"/>
      </w:pPr>
      <w:r>
        <w:rPr>
          <w:rFonts w:ascii="IRNazanin" w:hAnsi="IRNazanin" w:eastAsia="IRNazanin" w:cs="IRNazanin"/>
          <w:lang w:bidi="fa-IR"/>
          <w:color w:val="111111"/>
          <w:sz w:val="28"/>
          <w:szCs w:val="28"/>
          <w:rtl/>
        </w:rPr>
        <w:t xml:space="preserve">خط: نسخ، بی کا، بی تا؛ جلد: چرم مشکی، ۵گ (۷۳پ -۷۷پ)، مختلف السطر، اندازه: ۱۵</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۱۰ سم (مؤيد: ۲-۲۷۱)</w:t>
      </w:r>
    </w:p>
    <w:p>
      <w:pPr>
        <w:pStyle w:val="Heading3"/>
      </w:pPr>
      <w:bookmarkStart w:id="1268" w:name="_Toc528"/>
      <w:r>
        <w:t>•بیان حدیث «ان النظر الى الكعبة عبادة» / حديث / عربی</w:t>
      </w:r>
      <w:bookmarkEnd w:id="1268"/>
    </w:p>
    <w:p>
      <w:pPr>
        <w:pStyle w:val="BookText"/>
      </w:pPr>
      <w:r>
        <w:rPr>
          <w:rFonts w:ascii="Times New Roman" w:hAnsi="Times New Roman" w:eastAsia="Times New Roman" w:cs="Times New Roman"/>
          <w:lang w:val="en-US" w:bidi="en-US"/>
          <w:color w:val="111111"/>
          <w:sz w:val="28"/>
          <w:szCs w:val="28"/>
          <w:rtl/>
        </w:rPr>
        <w:t xml:space="preserve">bayān-u hadīt-i «inna-n nazar ila-1 ka'ba ‘ibāda»</w:t>
      </w:r>
    </w:p>
    <w:p>
      <w:pPr>
        <w:pStyle w:val="BookText"/>
      </w:pPr>
      <w:r>
        <w:rPr>
          <w:rFonts w:ascii="IRNazanin" w:hAnsi="IRNazanin" w:eastAsia="IRNazanin" w:cs="IRNazanin"/>
          <w:lang w:bidi="fa-IR"/>
          <w:color w:val="111111"/>
          <w:sz w:val="28"/>
          <w:szCs w:val="28"/>
          <w:rtl/>
        </w:rPr>
        <w:t xml:space="preserve">خواجوئی، محمد اسماعیل بن حسین، -۱۱۷۳ قمری</w:t>
      </w:r>
    </w:p>
    <w:p>
      <w:pPr>
        <w:pStyle w:val="BookText"/>
      </w:pPr>
      <w:r>
        <w:rPr>
          <w:rFonts w:ascii="Times New Roman" w:hAnsi="Times New Roman" w:eastAsia="Times New Roman" w:cs="Times New Roman"/>
          <w:lang w:val="en-US" w:bidi="en-US"/>
          <w:color w:val="111111"/>
          <w:sz w:val="28"/>
          <w:szCs w:val="28"/>
          <w:rtl/>
        </w:rPr>
        <w:t xml:space="preserve">xājū’ī, mohammad esmāʻīl ebn-e hoseyn (- 1760)</w:t>
      </w:r>
    </w:p>
    <w:p>
      <w:pPr>
        <w:pStyle w:val="BookText"/>
      </w:pPr>
      <w:r>
        <w:rPr>
          <w:rFonts w:ascii="IRNazanin" w:hAnsi="IRNazanin" w:eastAsia="IRNazanin" w:cs="IRNazanin"/>
          <w:lang w:bidi="fa-IR"/>
          <w:color w:val="111111"/>
          <w:sz w:val="28"/>
          <w:szCs w:val="28"/>
          <w:rtl/>
        </w:rPr>
        <w:t xml:space="preserve">تهران؛ دانشگاه؛ شماره نسخه: ۶۴۷۵/۵</w:t>
      </w:r>
    </w:p>
    <w:p>
      <w:pPr>
        <w:pStyle w:val="BookText"/>
      </w:pPr>
      <w:r>
        <w:rPr>
          <w:rFonts w:ascii="IRNazanin" w:hAnsi="IRNazanin" w:eastAsia="IRNazanin" w:cs="IRNazanin"/>
          <w:lang w:bidi="fa-IR"/>
          <w:color w:val="111111"/>
          <w:sz w:val="28"/>
          <w:szCs w:val="28"/>
          <w:rtl/>
        </w:rPr>
        <w:t xml:space="preserve">خط: نستعلیق، كا: ابوالقاسم بن ابی الحسن حسینی، بی تا، کاغذ: فرنگی، جلد: تیماج مشکی ضربی مقوایی، ۱۰گ (۹۱-۱۰۰)، ۱۵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قطع: جیبی،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۱۶-۲۷۳]</w:t>
      </w:r>
    </w:p>
    <w:p>
      <w:pPr>
        <w:pStyle w:val="Heading3"/>
      </w:pPr>
      <w:bookmarkStart w:id="1269" w:name="_Toc529"/>
      <w:r>
        <w:t>• بیان حدیث «خلع نعلی موسی» / شرح حدیث / عربی</w:t>
      </w:r>
      <w:bookmarkEnd w:id="1269"/>
    </w:p>
    <w:p>
      <w:pPr>
        <w:pStyle w:val="BookText"/>
      </w:pPr>
      <w:r>
        <w:rPr>
          <w:rFonts w:ascii="Times New Roman" w:hAnsi="Times New Roman" w:eastAsia="Times New Roman" w:cs="Times New Roman"/>
          <w:lang w:val="en-US" w:bidi="en-US"/>
          <w:color w:val="111111"/>
          <w:sz w:val="28"/>
          <w:szCs w:val="28"/>
          <w:rtl/>
        </w:rPr>
        <w:t xml:space="preserve">bayān-u hadīt-i «xalaʻ-a naʻlay mūsā»</w:t>
      </w:r>
    </w:p>
    <w:p>
      <w:pPr>
        <w:pStyle w:val="BookText"/>
      </w:pPr>
      <w:r>
        <w:rPr>
          <w:rFonts w:ascii="IRNazanin" w:hAnsi="IRNazanin" w:eastAsia="IRNazanin" w:cs="IRNazanin"/>
          <w:lang w:bidi="fa-IR"/>
          <w:color w:val="111111"/>
          <w:sz w:val="28"/>
          <w:szCs w:val="28"/>
          <w:rtl/>
        </w:rPr>
        <w:t xml:space="preserve">خواجوئی، محمد اسماعيل بن حسین، -۱۱۷۳ قمری</w:t>
      </w:r>
    </w:p>
    <w:p>
      <w:pPr>
        <w:pStyle w:val="BookText"/>
      </w:pPr>
      <w:r>
        <w:rPr>
          <w:rFonts w:ascii="Times New Roman" w:hAnsi="Times New Roman" w:eastAsia="Times New Roman" w:cs="Times New Roman"/>
          <w:lang w:val="en-US" w:bidi="en-US"/>
          <w:color w:val="111111"/>
          <w:sz w:val="28"/>
          <w:szCs w:val="28"/>
          <w:rtl/>
        </w:rPr>
        <w:t xml:space="preserve">xājū’ī, mohammad esmāʻīl ebn-e hoseyn (- 1760)</w:t>
      </w:r>
    </w:p>
    <w:p>
      <w:pPr>
        <w:pStyle w:val="BookText"/>
      </w:pPr>
      <w:r>
        <w:rPr>
          <w:rFonts w:ascii="IRNazanin" w:hAnsi="IRNazanin" w:eastAsia="IRNazanin" w:cs="IRNazanin"/>
          <w:lang w:bidi="fa-IR"/>
          <w:color w:val="111111"/>
          <w:sz w:val="28"/>
          <w:szCs w:val="28"/>
          <w:rtl/>
        </w:rPr>
        <w:t xml:space="preserve">از کتاب کمال الدین و تمام النعمة ابی بابویه.</w:t>
      </w:r>
    </w:p>
    <w:p>
      <w:pPr>
        <w:pStyle w:val="BookText"/>
      </w:pPr>
      <w:r>
        <w:rPr>
          <w:rFonts w:ascii="IRNazanin" w:hAnsi="IRNazanin" w:eastAsia="IRNazanin" w:cs="IRNazanin"/>
          <w:lang w:bidi="fa-IR"/>
          <w:color w:val="111111"/>
          <w:sz w:val="28"/>
          <w:szCs w:val="28"/>
          <w:rtl/>
        </w:rPr>
        <w:t xml:space="preserve">تهران؛ دانشگاه؛ شماره نسخه: ۶۴۷۵/۱</w:t>
      </w:r>
    </w:p>
    <w:p>
      <w:pPr>
        <w:pStyle w:val="BookText"/>
      </w:pPr>
      <w:r>
        <w:rPr>
          <w:rFonts w:ascii="IRNazanin" w:hAnsi="IRNazanin" w:eastAsia="IRNazanin" w:cs="IRNazanin"/>
          <w:lang w:bidi="fa-IR"/>
          <w:color w:val="111111"/>
          <w:sz w:val="28"/>
          <w:szCs w:val="28"/>
          <w:rtl/>
        </w:rPr>
        <w:t xml:space="preserve">خط: نستعلیق، كا: ابوالقاسم بن ابی الحسن حسینی، بی تا، کاغذ: فرنگی، جلد: تیماج مشکی ضربی مقوایی، ۴گ (۱-۴)، ۱۵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قطع: جیبی،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۱۶-۲۷۳]</w:t>
      </w:r>
    </w:p>
    <w:p>
      <w:pPr>
        <w:pStyle w:val="Heading3"/>
      </w:pPr>
      <w:bookmarkStart w:id="1270" w:name="_Toc530"/>
      <w:r>
        <w:t>• بیان حدیث منقول از صفی الدین اشرح حديث /فارسی</w:t>
      </w:r>
      <w:bookmarkEnd w:id="1270"/>
    </w:p>
    <w:p>
      <w:pPr>
        <w:pStyle w:val="BookText"/>
      </w:pPr>
      <w:r>
        <w:rPr>
          <w:rFonts w:ascii="Times New Roman" w:hAnsi="Times New Roman" w:eastAsia="Times New Roman" w:cs="Times New Roman"/>
          <w:lang w:val="en-US" w:bidi="en-US"/>
          <w:color w:val="111111"/>
          <w:sz w:val="28"/>
          <w:szCs w:val="28"/>
          <w:rtl/>
        </w:rPr>
        <w:t xml:space="preserve">bayān-e hadīs-e manqūl az safi-yod-dīn</w:t>
      </w:r>
    </w:p>
    <w:p>
      <w:pPr>
        <w:pStyle w:val="BookText"/>
      </w:pPr>
      <w:r>
        <w:rPr>
          <w:rFonts w:ascii="IRNazanin" w:hAnsi="IRNazanin" w:eastAsia="IRNazanin" w:cs="IRNazanin"/>
          <w:lang w:bidi="fa-IR"/>
          <w:color w:val="111111"/>
          <w:sz w:val="28"/>
          <w:szCs w:val="28"/>
          <w:rtl/>
        </w:rPr>
        <w:t xml:space="preserve">خواجوئی، محمد اسماعیل بن حسین، -۱۱۷۳ قمری</w:t>
      </w:r>
    </w:p>
    <w:p>
      <w:pPr>
        <w:pStyle w:val="BookText"/>
      </w:pPr>
      <w:r>
        <w:rPr>
          <w:rFonts w:ascii="Times New Roman" w:hAnsi="Times New Roman" w:eastAsia="Times New Roman" w:cs="Times New Roman"/>
          <w:lang w:val="en-US" w:bidi="en-US"/>
          <w:color w:val="111111"/>
          <w:sz w:val="28"/>
          <w:szCs w:val="28"/>
          <w:rtl/>
        </w:rPr>
        <w:t xml:space="preserve">xājū’ī, mohammad esmāʻīl ebn-e hoseyn (- 1760)</w:t>
      </w:r>
    </w:p>
    <w:p>
      <w:pPr>
        <w:pStyle w:val="BookText"/>
      </w:pPr>
      <w:r>
        <w:rPr>
          <w:rFonts w:ascii="IRNazanin" w:hAnsi="IRNazanin" w:eastAsia="IRNazanin" w:cs="IRNazanin"/>
          <w:lang w:bidi="fa-IR"/>
          <w:color w:val="111111"/>
          <w:sz w:val="28"/>
          <w:szCs w:val="28"/>
          <w:rtl/>
        </w:rPr>
        <w:t xml:space="preserve">توضیح حدیثی است که از ملامحمدباقر مجلسی درباره شیخ صفی نقل شده است.</w:t>
      </w:r>
    </w:p>
    <w:p>
      <w:pPr>
        <w:pStyle w:val="BookText"/>
      </w:pPr>
      <w:r>
        <w:rPr>
          <w:rFonts w:ascii="IRNazanin" w:hAnsi="IRNazanin" w:eastAsia="IRNazanin" w:cs="IRNazanin"/>
          <w:lang w:bidi="fa-IR"/>
          <w:color w:val="111111"/>
          <w:sz w:val="28"/>
          <w:szCs w:val="28"/>
          <w:rtl/>
        </w:rPr>
        <w:t xml:space="preserve">تهران؛ دانشگاه؛ شماره نسخه: ۶۴۷۵/۲</w:t>
      </w:r>
    </w:p>
    <w:p>
      <w:pPr>
        <w:pStyle w:val="BookText"/>
      </w:pPr>
      <w:r>
        <w:rPr>
          <w:rFonts w:ascii="IRNazanin" w:hAnsi="IRNazanin" w:eastAsia="IRNazanin" w:cs="IRNazanin"/>
          <w:lang w:bidi="fa-IR"/>
          <w:color w:val="111111"/>
          <w:sz w:val="28"/>
          <w:szCs w:val="28"/>
          <w:rtl/>
        </w:rPr>
        <w:t xml:space="preserve">خط: نستعلیق، كان ابو القاسم بن ابی الحسن حسینی، تا: ذیحجه ۱۲۶۸ قبا کاغذ: فرنگی، جلد: تیماج مشکی ضربی مقوایی، ۴۲گ(۴۸-۷ )، ۱۵ سطر (۱۰۸۶)، قطع: جیبی،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[ف: ۲۷۳-۱۶ ]</w:t>
      </w:r>
    </w:p>
    <w:p>
      <w:pPr>
        <w:pStyle w:val="Heading3"/>
      </w:pPr>
      <w:bookmarkStart w:id="1271" w:name="_Toc531"/>
      <w:r>
        <w:t>• بیان حرکت نقاط از میزان / فارسی</w:t>
      </w:r>
      <w:bookmarkEnd w:id="1271"/>
    </w:p>
    <w:p>
      <w:pPr>
        <w:pStyle w:val="BookText"/>
      </w:pPr>
      <w:r>
        <w:rPr>
          <w:rFonts w:ascii="Times New Roman" w:hAnsi="Times New Roman" w:eastAsia="Times New Roman" w:cs="Times New Roman"/>
          <w:lang w:val="en-US" w:bidi="en-US"/>
          <w:color w:val="111111"/>
          <w:sz w:val="28"/>
          <w:szCs w:val="28"/>
          <w:rtl/>
        </w:rPr>
        <w:t xml:space="preserve">bayān-e harekat noqāt az mīzān</w:t>
      </w:r>
    </w:p>
    <w:p>
      <w:pPr>
        <w:pStyle w:val="BookText"/>
      </w:pPr>
      <w:r>
        <w:rPr>
          <w:rFonts w:ascii="IRNazanin" w:hAnsi="IRNazanin" w:eastAsia="IRNazanin" w:cs="IRNazanin"/>
          <w:lang w:bidi="fa-IR"/>
          <w:color w:val="111111"/>
          <w:sz w:val="28"/>
          <w:szCs w:val="28"/>
          <w:rtl/>
        </w:rPr>
        <w:t xml:space="preserve">تهران؛ دانشگاه؛ شماره نسخه: ۱۰۶۸۴/۱۳</w:t>
      </w:r>
    </w:p>
    <w:p>
      <w:pPr>
        <w:pStyle w:val="BookText"/>
      </w:pPr>
      <w:r>
        <w:rPr>
          <w:rFonts w:ascii="IRNazanin" w:hAnsi="IRNazanin" w:eastAsia="IRNazanin" w:cs="IRNazanin"/>
          <w:lang w:bidi="fa-IR"/>
          <w:color w:val="111111"/>
          <w:sz w:val="28"/>
          <w:szCs w:val="28"/>
          <w:rtl/>
        </w:rPr>
        <w:t xml:space="preserve">آغاز: بباید دانست که نقاط چون از میزان حرکت کند به کجا می رود دست راست یا دست چپ تا محلی که منتهی شود و این چنان است که؛ انجام: هر نقطه که به آن جا رسد سرنگون می شود در آن جا می شود خط: نسخ، بی کا، بی تا؛ جلد: تیماج مشکی یک لا، اگ (۳۲ر)، ۲۱-۱۵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۲۰سم (ف: ۲۰-۱۸۸]</w:t>
      </w:r>
    </w:p>
    <w:p>
      <w:pPr>
        <w:pStyle w:val="BookText"/>
      </w:pPr>
      <w:r>
        <w:rPr>
          <w:rFonts w:ascii="IRNazanin" w:hAnsi="IRNazanin" w:eastAsia="IRNazanin" w:cs="IRNazanin"/>
          <w:lang w:bidi="fa-IR"/>
          <w:color w:val="111111"/>
          <w:sz w:val="28"/>
          <w:szCs w:val="28"/>
          <w:rtl/>
        </w:rPr>
        <w:t xml:space="preserve">← بیان الحروف ← المقدمة في بيان الحروف</w:t>
      </w:r>
    </w:p>
    <w:p>
      <w:pPr>
        <w:pStyle w:val="Heading3"/>
      </w:pPr>
      <w:bookmarkStart w:id="1272" w:name="_Toc532"/>
      <w:r>
        <w:t>• بيان الحق عرفان و تصوف / عربی</w:t>
      </w:r>
      <w:bookmarkEnd w:id="1272"/>
    </w:p>
    <w:p>
      <w:pPr>
        <w:pStyle w:val="BookText"/>
      </w:pPr>
      <w:r>
        <w:rPr>
          <w:rFonts w:ascii="Times New Roman" w:hAnsi="Times New Roman" w:eastAsia="Times New Roman" w:cs="Times New Roman"/>
          <w:lang w:val="en-US" w:bidi="en-US"/>
          <w:color w:val="111111"/>
          <w:sz w:val="28"/>
          <w:szCs w:val="28"/>
          <w:rtl/>
        </w:rPr>
        <w:t xml:space="preserve">bayān-ul ḥaqq</w:t>
      </w:r>
    </w:p>
    <w:p>
      <w:pPr>
        <w:pStyle w:val="BookText"/>
      </w:pPr>
      <w:r>
        <w:rPr>
          <w:rFonts w:ascii="IRNazanin" w:hAnsi="IRNazanin" w:eastAsia="IRNazanin" w:cs="IRNazanin"/>
          <w:lang w:bidi="fa-IR"/>
          <w:color w:val="111111"/>
          <w:sz w:val="28"/>
          <w:szCs w:val="28"/>
          <w:rtl/>
        </w:rPr>
        <w:t xml:space="preserve">خبوشانی، محمد بن محمد، ق۸ قمری</w:t>
      </w:r>
    </w:p>
    <w:p>
      <w:pPr>
        <w:pStyle w:val="BookText"/>
      </w:pPr>
      <w:r>
        <w:rPr>
          <w:rFonts w:ascii="Times New Roman" w:hAnsi="Times New Roman" w:eastAsia="Times New Roman" w:cs="Times New Roman"/>
          <w:lang w:val="en-US" w:bidi="en-US"/>
          <w:color w:val="111111"/>
          <w:sz w:val="28"/>
          <w:szCs w:val="28"/>
          <w:rtl/>
        </w:rPr>
        <w:t xml:space="preserve">xabūšānī, mohammad ebn-e mohammad (- 14c)</w:t>
      </w:r>
    </w:p>
    <w:p>
      <w:pPr>
        <w:pStyle w:val="BookText"/>
      </w:pPr>
      <w:r>
        <w:rPr>
          <w:rFonts w:ascii="IRNazanin" w:hAnsi="IRNazanin" w:eastAsia="IRNazanin" w:cs="IRNazanin"/>
          <w:lang w:bidi="fa-IR"/>
          <w:color w:val="111111"/>
          <w:sz w:val="28"/>
          <w:szCs w:val="28"/>
          <w:rtl/>
        </w:rPr>
        <w:t xml:space="preserve">تاریخ تأليف: سه شنبه ۱۳ صفر ۷۷۸ق؛ محل تأليف: یزد اثری از محمد بن محمد خبوشانی مشتهر به شمس خراسانی به نام «بيان الحق» «ليطابق اسمه مسماه». با سربندهای «باب» و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74" w:name="pg20363_209405"/>
    <w:bookmarkEnd w:id="174"/>
    <w:p>
      <w:pPr>
        <w:pStyle w:val="BookText"/>
      </w:pPr>
      <w:r>
        <w:rPr>
          <w:rFonts w:ascii="IRNazanin" w:hAnsi="IRNazanin" w:eastAsia="IRNazanin" w:cs="IRNazanin"/>
          <w:lang w:bidi="fa-IR"/>
          <w:color w:val="111111"/>
          <w:sz w:val="28"/>
          <w:szCs w:val="28"/>
          <w:rtl/>
        </w:rPr>
        <w:t xml:space="preserve">«فصل»هایی: ۱. مقدمات الإيمان؛ ۲. الحقيقة؛ ۳. متعلقاته. باب یکم در ۴ «فصل»: فصل 1. در معنای لغوی ایمان ... ۴. در اقسام تصديق. در انجامه نگارنده تاریخ به پایان رسیدن سه شنبه ۱۳ صفر ۷۷۸ (ثمان و سبعین و سبعمائة) در شهر یزد آمده است. پس طبیعی است که نگارنده جز حاج محمد خبوشانی نوربخشی قرن ۹ق (نفیسی</w:t>
      </w:r>
    </w:p>
    <w:p>
      <w:pPr>
        <w:pStyle w:val="BookText"/>
      </w:pPr>
      <w:r>
        <w:rPr>
          <w:rFonts w:ascii="IRNazanin" w:hAnsi="IRNazanin" w:eastAsia="IRNazanin" w:cs="IRNazanin"/>
          <w:lang w:bidi="fa-IR"/>
          <w:color w:val="111111"/>
          <w:sz w:val="28"/>
          <w:szCs w:val="28"/>
          <w:rtl/>
        </w:rPr>
        <w:t xml:space="preserve">۶۱۰/۱ ) می باشد.</w:t>
      </w:r>
    </w:p>
    <w:p>
      <w:pPr>
        <w:pStyle w:val="BookText"/>
      </w:pPr>
      <w:r>
        <w:rPr>
          <w:rFonts w:ascii="IRNazanin" w:hAnsi="IRNazanin" w:eastAsia="IRNazanin" w:cs="IRNazanin"/>
          <w:lang w:bidi="fa-IR"/>
          <w:color w:val="111111"/>
          <w:sz w:val="28"/>
          <w:szCs w:val="28"/>
          <w:rtl/>
        </w:rPr>
        <w:t xml:space="preserve">تهران؛ دائرة المعارف؛ شماره نسخه: ۲۰۰۵/۲ -عکسی</w:t>
      </w:r>
    </w:p>
    <w:p>
      <w:pPr>
        <w:pStyle w:val="BookText"/>
      </w:pPr>
      <w:r>
        <w:rPr>
          <w:rFonts w:ascii="IRNazanin" w:hAnsi="IRNazanin" w:eastAsia="IRNazanin" w:cs="IRNazanin"/>
          <w:lang w:bidi="fa-IR"/>
          <w:color w:val="111111"/>
          <w:sz w:val="28"/>
          <w:szCs w:val="28"/>
          <w:rtl/>
        </w:rPr>
        <w:t xml:space="preserve">آغاز: الحمدلله الذي يسبح له السماوات السبع و الارض و من فيهن بافصح لسان ... و بعد، فان اضعف عباد الله و احوجهم إلى غفرانه محمد بن محمد الخبوشانی اصلح الله شانه؛ انجام: ما ذكرنا في باب المومن به. و الحمدلله رب العالمین و الصلاة و السلام على خیر الانام محمد و آله الطيبين و عترته الطاهرین و اصحابه المنتجبين ... وقع الفراغ من تأليف الكتاب ... على يدي اضعف عباد الله ... محمد بن محمد الخبوشاني المشتهر بشمس الخراسانی، ضمن يوم الثلاثاء الثالث من صفر ختم بالخير و الظفر لسنة ثمان و سبعين و سبعمائة بمدينة يزد. و فرغت من كتابته بعده بخمسة ايام. و سلم تسليما كثيرا ...</w:t>
      </w:r>
    </w:p>
    <w:p>
      <w:pPr>
        <w:pStyle w:val="BookText"/>
      </w:pPr>
      <w:r>
        <w:rPr>
          <w:rFonts w:ascii="IRNazanin" w:hAnsi="IRNazanin" w:eastAsia="IRNazanin" w:cs="IRNazanin"/>
          <w:lang w:bidi="fa-IR"/>
          <w:color w:val="111111"/>
          <w:sz w:val="28"/>
          <w:szCs w:val="28"/>
          <w:rtl/>
        </w:rPr>
        <w:t xml:space="preserve">خط: تحریری شکسته، بی کا، تا: قرن ۹ یا قرن ۱۰؛ ۷۶ص (۱۲۵ ۲۰۰) [عکسی ف: ۱-۵۵]</w:t>
      </w:r>
    </w:p>
    <w:p>
      <w:pPr>
        <w:pStyle w:val="Heading3"/>
      </w:pPr>
      <w:bookmarkStart w:id="1273" w:name="_Toc533"/>
      <w:r>
        <w:t>• بيان الحق / متفرقه / عربی</w:t>
      </w:r>
      <w:bookmarkEnd w:id="1273"/>
    </w:p>
    <w:p>
      <w:pPr>
        <w:pStyle w:val="BookText"/>
      </w:pPr>
      <w:r>
        <w:rPr>
          <w:rFonts w:ascii="Times New Roman" w:hAnsi="Times New Roman" w:eastAsia="Times New Roman" w:cs="Times New Roman"/>
          <w:lang w:val="en-US" w:bidi="en-US"/>
          <w:color w:val="111111"/>
          <w:sz w:val="28"/>
          <w:szCs w:val="28"/>
          <w:rtl/>
        </w:rPr>
        <w:t xml:space="preserve">bayān-ul haqq</w:t>
      </w:r>
    </w:p>
    <w:p>
      <w:pPr>
        <w:pStyle w:val="BookText"/>
      </w:pPr>
      <w:r>
        <w:rPr>
          <w:rFonts w:ascii="IRNazanin" w:hAnsi="IRNazanin" w:eastAsia="IRNazanin" w:cs="IRNazanin"/>
          <w:lang w:bidi="fa-IR"/>
          <w:color w:val="111111"/>
          <w:sz w:val="28"/>
          <w:szCs w:val="28"/>
          <w:rtl/>
        </w:rPr>
        <w:t xml:space="preserve">حسینی علوی ، محمد اشرف بن عبد الحسیب ۱۱۴۵ق</w:t>
      </w:r>
    </w:p>
    <w:p>
      <w:pPr>
        <w:pStyle w:val="BookText"/>
      </w:pPr>
      <w:r>
        <w:rPr>
          <w:rFonts w:ascii="Times New Roman" w:hAnsi="Times New Roman" w:eastAsia="Times New Roman" w:cs="Times New Roman"/>
          <w:lang w:val="en-US" w:bidi="en-US"/>
          <w:color w:val="111111"/>
          <w:sz w:val="28"/>
          <w:szCs w:val="28"/>
          <w:rtl/>
        </w:rPr>
        <w:t xml:space="preserve">hoseynī aʻlavī cmohammad ašraf ebn-e ‘abd-ol-hasīb</w:t>
      </w:r>
    </w:p>
    <w:p>
      <w:pPr>
        <w:pStyle w:val="BookText"/>
      </w:pPr>
      <w:r>
        <w:rPr>
          <w:rFonts w:ascii="IRNazanin" w:hAnsi="IRNazanin" w:eastAsia="IRNazanin" w:cs="IRNazanin"/>
          <w:lang w:bidi="fa-IR"/>
          <w:color w:val="111111"/>
          <w:sz w:val="28"/>
          <w:szCs w:val="28"/>
          <w:rtl/>
        </w:rPr>
        <w:t xml:space="preserve">در یک «مقدمه» و یک «بیان» در پاسخ پرسش مولانا علی نقی از شیراز درباره لعن بر ابوحنیفه و نمازی که او ساخته است.</w:t>
      </w:r>
    </w:p>
    <w:p>
      <w:pPr>
        <w:pStyle w:val="BookText"/>
      </w:pPr>
      <w:r>
        <w:rPr>
          <w:rFonts w:ascii="IRNazanin" w:hAnsi="IRNazanin" w:eastAsia="IRNazanin" w:cs="IRNazanin"/>
          <w:lang w:bidi="fa-IR"/>
          <w:color w:val="111111"/>
          <w:sz w:val="28"/>
          <w:szCs w:val="28"/>
          <w:rtl/>
        </w:rPr>
        <w:t xml:space="preserve">تهران؛ دانشگاه؛ شماره نسخه: ۵۸۹۴/۵</w:t>
      </w:r>
    </w:p>
    <w:p>
      <w:pPr>
        <w:pStyle w:val="BookText"/>
      </w:pPr>
      <w:r>
        <w:rPr>
          <w:rFonts w:ascii="IRNazanin" w:hAnsi="IRNazanin" w:eastAsia="IRNazanin" w:cs="IRNazanin"/>
          <w:lang w:bidi="fa-IR"/>
          <w:color w:val="111111"/>
          <w:sz w:val="28"/>
          <w:szCs w:val="28"/>
          <w:rtl/>
        </w:rPr>
        <w:t xml:space="preserve">آغاز: بسمله. بعد حمد الله على جزيل آلاله و نعمائه ... چنین گوید ... احمد بن زین العابدین عاملی که بعضی از اخوان الصفاء و خلان الوفاء ... مولانا عليا نقيا مفاوضه گرامی باین مخلص نوشته؛ انجام: و بیم ضرر بسیار است که ان الثمرة تنبلی عن الشجرة و الحمد الله حق حمده و الصلاة على و أهله.</w:t>
      </w:r>
    </w:p>
    <w:p>
      <w:pPr>
        <w:pStyle w:val="BookText"/>
      </w:pPr>
      <w:r>
        <w:rPr>
          <w:rFonts w:ascii="IRNazanin" w:hAnsi="IRNazanin" w:eastAsia="IRNazanin" w:cs="IRNazanin"/>
          <w:lang w:bidi="fa-IR"/>
          <w:color w:val="111111"/>
          <w:sz w:val="28"/>
          <w:szCs w:val="28"/>
          <w:rtl/>
        </w:rPr>
        <w:t xml:space="preserve">خط: نسخ، بی کا، تا: قرن ۱۱؛ کاغذ: سپاهانی، جلد: مقوایی، غص، ۲۴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قطع: ربعی،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۱۶-۱۳۶]</w:t>
      </w:r>
    </w:p>
    <w:p>
      <w:pPr>
        <w:pStyle w:val="Heading3"/>
      </w:pPr>
      <w:bookmarkStart w:id="1274" w:name="_Toc534"/>
      <w:r>
        <w:t>•بيان الحق / کلام و اعتقادات / عربی</w:t>
      </w:r>
      <w:bookmarkEnd w:id="1274"/>
    </w:p>
    <w:p>
      <w:pPr>
        <w:pStyle w:val="BookText"/>
      </w:pPr>
      <w:r>
        <w:rPr>
          <w:rFonts w:ascii="Times New Roman" w:hAnsi="Times New Roman" w:eastAsia="Times New Roman" w:cs="Times New Roman"/>
          <w:lang w:val="en-US" w:bidi="en-US"/>
          <w:color w:val="111111"/>
          <w:sz w:val="28"/>
          <w:szCs w:val="28"/>
          <w:rtl/>
        </w:rPr>
        <w:t xml:space="preserve">bayan-ul haqq</w:t>
      </w:r>
    </w:p>
    <w:p>
      <w:pPr>
        <w:pStyle w:val="BookText"/>
      </w:pPr>
      <w:r>
        <w:rPr>
          <w:rFonts w:ascii="IRNazanin" w:hAnsi="IRNazanin" w:eastAsia="IRNazanin" w:cs="IRNazanin"/>
          <w:lang w:bidi="fa-IR"/>
          <w:color w:val="111111"/>
          <w:sz w:val="28"/>
          <w:szCs w:val="28"/>
          <w:rtl/>
        </w:rPr>
        <w:t xml:space="preserve">شیخ الاسلام اصطهباناتی، احمد، -۱۲۵۴ قمری</w:t>
      </w:r>
    </w:p>
    <w:p>
      <w:pPr>
        <w:pStyle w:val="BookText"/>
      </w:pPr>
      <w:r>
        <w:rPr>
          <w:rFonts w:ascii="Times New Roman" w:hAnsi="Times New Roman" w:eastAsia="Times New Roman" w:cs="Times New Roman"/>
          <w:lang w:val="en-US" w:bidi="en-US"/>
          <w:color w:val="111111"/>
          <w:sz w:val="28"/>
          <w:szCs w:val="28"/>
          <w:rtl/>
        </w:rPr>
        <w:t xml:space="preserve">šayx-ol-eslām estahbānātī, ahmad (- 1838)</w:t>
      </w:r>
    </w:p>
    <w:p>
      <w:pPr>
        <w:pStyle w:val="BookText"/>
      </w:pPr>
      <w:r>
        <w:rPr>
          <w:rFonts w:ascii="IRNazanin" w:hAnsi="IRNazanin" w:eastAsia="IRNazanin" w:cs="IRNazanin"/>
          <w:lang w:bidi="fa-IR"/>
          <w:color w:val="111111"/>
          <w:sz w:val="28"/>
          <w:szCs w:val="28"/>
          <w:rtl/>
        </w:rPr>
        <w:t xml:space="preserve">این کتاب دارای دو «مقصد» است: در مقصد اول قصیده میمیه محي الدين بن عربی را شرح داده و گفته این شرح را جناب آقای ذوالریاستین از من خواسته و از نامه او یاد می کند آنگاه گوید که این قصیده در کتاب «ینابيع المودة» از عنقای مغرب شیخ عربی درباره حضرت مهدی نقل شده و ما از آن کتاب نقل می کنیم. در مقصد دوم به اثبات مهدویت خاصه پرداخته و بر سخنان بابیان و بهائیان اعتراض و خورده گیری بسیار نموده است. آغاز: عینان عينان لم يكتبهما قلم ... هم كلمة الحمد</w:t>
      </w:r>
    </w:p>
    <w:p>
      <w:pPr>
        <w:pStyle w:val="BookText"/>
      </w:pPr>
      <w:r>
        <w:rPr>
          <w:rFonts w:ascii="IRNazanin" w:hAnsi="IRNazanin" w:eastAsia="IRNazanin" w:cs="IRNazanin"/>
          <w:lang w:bidi="fa-IR"/>
          <w:color w:val="111111"/>
          <w:sz w:val="28"/>
          <w:szCs w:val="28"/>
          <w:rtl/>
        </w:rPr>
        <w:t xml:space="preserve">[دنا ۵۸۳/۲ ؛ الذریعه ۱۷۹/۳ ]</w:t>
      </w:r>
    </w:p>
    <w:p>
      <w:pPr>
        <w:pStyle w:val="BookText"/>
      </w:pPr>
      <w:r>
        <w:rPr>
          <w:rFonts w:ascii="IRNazanin" w:hAnsi="IRNazanin" w:eastAsia="IRNazanin" w:cs="IRNazanin"/>
          <w:lang w:bidi="fa-IR"/>
          <w:color w:val="111111"/>
          <w:sz w:val="28"/>
          <w:szCs w:val="28"/>
          <w:rtl/>
        </w:rPr>
        <w:t xml:space="preserve">۱. تهران: نوربخش؛ شماره نسخه: ۱۳۴</w:t>
      </w:r>
    </w:p>
    <w:p>
      <w:pPr>
        <w:pStyle w:val="BookText"/>
      </w:pPr>
      <w:r>
        <w:rPr>
          <w:rFonts w:ascii="IRNazanin" w:hAnsi="IRNazanin" w:eastAsia="IRNazanin" w:cs="IRNazanin"/>
          <w:lang w:bidi="fa-IR"/>
          <w:color w:val="111111"/>
          <w:sz w:val="28"/>
          <w:szCs w:val="28"/>
          <w:rtl/>
        </w:rPr>
        <w:t xml:space="preserve">آغاز: برابر؛ انجام: الاقي به الرحمان عند وفاتی.</w:t>
      </w:r>
    </w:p>
    <w:p>
      <w:pPr>
        <w:pStyle w:val="BookText"/>
      </w:pPr>
      <w:r>
        <w:rPr>
          <w:rFonts w:ascii="IRNazanin" w:hAnsi="IRNazanin" w:eastAsia="IRNazanin" w:cs="IRNazanin"/>
          <w:lang w:bidi="fa-IR"/>
          <w:color w:val="111111"/>
          <w:sz w:val="28"/>
          <w:szCs w:val="28"/>
          <w:rtl/>
        </w:rPr>
        <w:t xml:space="preserve">خط: نسخ، بی کا، تا: ذیحجه ۱۳۴۲ق؛ تقریظ مرحوم سید ابوالحسن اصفهانی مرجع شیعیان به خط و مهر او؛ کاغذ: فرنگی، جلد: تیماج مشکی مقوایی، ۴۷۰ص، ۱۲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۱-۱۵۹]</w:t>
      </w:r>
    </w:p>
    <w:p>
      <w:pPr>
        <w:pStyle w:val="BookText"/>
      </w:pPr>
      <w:r>
        <w:rPr>
          <w:rFonts w:ascii="IRNazanin" w:hAnsi="IRNazanin" w:eastAsia="IRNazanin" w:cs="IRNazanin"/>
          <w:lang w:bidi="fa-IR"/>
          <w:color w:val="111111"/>
          <w:sz w:val="28"/>
          <w:szCs w:val="28"/>
          <w:rtl/>
        </w:rPr>
        <w:t xml:space="preserve">۲. مشهد؛ رضوی؛ شماره نسخه: ۷۴۷۷</w:t>
      </w:r>
    </w:p>
    <w:p>
      <w:pPr>
        <w:pStyle w:val="BookText"/>
      </w:pPr>
      <w:r>
        <w:rPr>
          <w:rFonts w:ascii="Amiri" w:hAnsi="Amiri" w:eastAsia="Amiri" w:cs="Amiri"/>
          <w:lang w:bidi="ar-SA"/>
          <w:color w:val="111111"/>
          <w:sz w:val="28"/>
          <w:szCs w:val="28"/>
          <w:rtl/>
        </w:rPr>
        <w:t xml:space="preserve">آغاز: برابر؛ انجام: و اللعنه على اعدائهم اعداء ... في ذى الحجه الحرام ۱۳۴۵</w:t>
      </w:r>
    </w:p>
    <w:p>
      <w:pPr>
        <w:pStyle w:val="BookText"/>
      </w:pPr>
      <w:r>
        <w:rPr>
          <w:rFonts w:ascii="IRNazanin" w:hAnsi="IRNazanin" w:eastAsia="IRNazanin" w:cs="IRNazanin"/>
          <w:lang w:bidi="fa-IR"/>
          <w:color w:val="111111"/>
          <w:sz w:val="28"/>
          <w:szCs w:val="28"/>
          <w:rtl/>
        </w:rPr>
        <w:t xml:space="preserve">خط: نسخ، كا:محمد موسوی اصفهانی، تا: ۱۳۴۵ق؛ کاغذ: نخودی، جلد: مقوا، ۲۲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[الفبائی: 93]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نوربخش؛ شماره نسخه: ۴۳/۳</w:t>
      </w:r>
    </w:p>
    <w:p>
      <w:pPr>
        <w:pStyle w:val="BookText"/>
      </w:pPr>
      <w:r>
        <w:rPr>
          <w:rFonts w:ascii="IRNazanin" w:hAnsi="IRNazanin" w:eastAsia="IRNazanin" w:cs="IRNazanin"/>
          <w:lang w:bidi="fa-IR"/>
          <w:color w:val="111111"/>
          <w:sz w:val="28"/>
          <w:szCs w:val="28"/>
          <w:rtl/>
        </w:rPr>
        <w:t xml:space="preserve">آغاز: برابر؛ انجام: و انها قالت ... و غير ذلك هذا في اوائل الحال و اما في الحال فلا تسئل عن الحال و بالجملة. کا: ذوالریاستین، عبدالحسین، بیتا؛ افتادگی: انجام؛ تقریظی از مرحوم سید ابوالحسن اصفهانی مرجع شیعیان آن زمان درباره این کتاب در تاریخ جمادی الثانی ۱۳۴۷؛ کاغذ: فرنگی شطرنجی سفید، جلد: مقوایی، ۱۶۴ص (۲۸۰-۴۴۳)،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و ۵۴-۱ ]</w:t>
      </w:r>
    </w:p>
    <w:p>
      <w:pPr>
        <w:pStyle w:val="Heading3"/>
      </w:pPr>
      <w:bookmarkStart w:id="1275" w:name="_Toc535"/>
      <w:r>
        <w:t>• بيان الحق / كلام و اعتقادات / فارسی</w:t>
      </w:r>
      <w:bookmarkEnd w:id="1275"/>
    </w:p>
    <w:p>
      <w:pPr>
        <w:pStyle w:val="BookText"/>
      </w:pPr>
      <w:r>
        <w:rPr>
          <w:rFonts w:ascii="Times New Roman" w:hAnsi="Times New Roman" w:eastAsia="Times New Roman" w:cs="Times New Roman"/>
          <w:lang w:val="en-US" w:bidi="en-US"/>
          <w:color w:val="111111"/>
          <w:sz w:val="28"/>
          <w:szCs w:val="28"/>
          <w:rtl/>
        </w:rPr>
        <w:t xml:space="preserve">bayan-ul haqq</w:t>
      </w:r>
    </w:p>
    <w:p>
      <w:pPr>
        <w:pStyle w:val="BookText"/>
      </w:pPr>
      <w:r>
        <w:rPr>
          <w:rFonts w:ascii="IRNazanin" w:hAnsi="IRNazanin" w:eastAsia="IRNazanin" w:cs="IRNazanin"/>
          <w:lang w:bidi="fa-IR"/>
          <w:color w:val="111111"/>
          <w:sz w:val="28"/>
          <w:szCs w:val="28"/>
          <w:rtl/>
        </w:rPr>
        <w:t xml:space="preserve">فارسی، محمد علی بن عبدعلی، ق۱۳ قمری</w:t>
      </w:r>
    </w:p>
    <w:p>
      <w:pPr>
        <w:pStyle w:val="BookText"/>
      </w:pPr>
      <w:r>
        <w:rPr>
          <w:rFonts w:ascii="Times New Roman" w:hAnsi="Times New Roman" w:eastAsia="Times New Roman" w:cs="Times New Roman"/>
          <w:lang w:val="en-US" w:bidi="en-US"/>
          <w:color w:val="111111"/>
          <w:sz w:val="28"/>
          <w:szCs w:val="28"/>
          <w:rtl/>
        </w:rPr>
        <w:t xml:space="preserve">fārsī, mohammad ‘alī ebn-e 'abd-e--alī (- 19c)</w:t>
      </w:r>
    </w:p>
    <w:p>
      <w:pPr>
        <w:pStyle w:val="BookText"/>
      </w:pPr>
      <w:r>
        <w:rPr>
          <w:rFonts w:ascii="IRNazanin" w:hAnsi="IRNazanin" w:eastAsia="IRNazanin" w:cs="IRNazanin"/>
          <w:lang w:bidi="fa-IR"/>
          <w:color w:val="111111"/>
          <w:sz w:val="28"/>
          <w:szCs w:val="28"/>
          <w:rtl/>
        </w:rPr>
        <w:t xml:space="preserve">تاريخ تأليف: ۱۶ جمادی الاول ۱۲۶۹ق</w:t>
      </w:r>
    </w:p>
    <w:p>
      <w:pPr>
        <w:pStyle w:val="BookText"/>
      </w:pPr>
      <w:r>
        <w:rPr>
          <w:rFonts w:ascii="IRNazanin" w:hAnsi="IRNazanin" w:eastAsia="IRNazanin" w:cs="IRNazanin"/>
          <w:lang w:bidi="fa-IR"/>
          <w:color w:val="111111"/>
          <w:sz w:val="28"/>
          <w:szCs w:val="28"/>
          <w:rtl/>
        </w:rPr>
        <w:t xml:space="preserve">کتاب «الشيخيه» تأليف عبد الصاحب الدوانی (-۱۲۶۳ ق) که در پاسخ سؤالات شیخ عبدالرحيم و بیان مسائل مهم کلامی و اعتقادی شیخیه نگاشته شده است. مترجم رساله حاضر را در ترجمه آن برای استفاده فارسی زبانان نگاشت. آغاز: بسمله الحمدلله الذي ازاح العلل في التكليف و سوی التوفيق بين الضعيف و الشريف مكن اداء المامور و سهل سبيل اجتناب المحظور و الصلاة و السلام على وسائط الكائنات و علل الممكنات</w:t>
      </w:r>
    </w:p>
    <w:p>
      <w:pPr>
        <w:pStyle w:val="BookText"/>
      </w:pPr>
      <w:r>
        <w:rPr>
          <w:rFonts w:ascii="IRNazanin" w:hAnsi="IRNazanin" w:eastAsia="IRNazanin" w:cs="IRNazanin"/>
          <w:lang w:bidi="fa-IR"/>
          <w:color w:val="111111"/>
          <w:sz w:val="28"/>
          <w:szCs w:val="28"/>
          <w:rtl/>
        </w:rPr>
        <w:t xml:space="preserve">انجام: و العن أعدائهم و مخالفيهم و غاصبی حقوقهم و موالی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75" w:name="pg20363_209406"/>
    <w:bookmarkEnd w:id="175"/>
    <w:p>
      <w:pPr>
        <w:pStyle w:val="BookText"/>
      </w:pPr>
      <w:r>
        <w:rPr>
          <w:rFonts w:ascii="IRNazanin" w:hAnsi="IRNazanin" w:eastAsia="IRNazanin" w:cs="IRNazanin"/>
          <w:lang w:bidi="fa-IR"/>
          <w:color w:val="111111"/>
          <w:sz w:val="28"/>
          <w:szCs w:val="28"/>
          <w:rtl/>
        </w:rPr>
        <w:t xml:space="preserve">اعدائهم و معادی اولیاء هم ابد الابدين و دهر الداهرين و السلام خير ختام و افضل کلام</w:t>
      </w:r>
    </w:p>
    <w:p>
      <w:pPr>
        <w:pStyle w:val="BookText"/>
      </w:pPr>
      <w:r>
        <w:rPr>
          <w:rFonts w:ascii="IRNazanin" w:hAnsi="IRNazanin" w:eastAsia="IRNazanin" w:cs="IRNazanin"/>
          <w:lang w:bidi="fa-IR"/>
          <w:color w:val="111111"/>
          <w:sz w:val="28"/>
          <w:szCs w:val="28"/>
          <w:rtl/>
        </w:rPr>
        <w:t xml:space="preserve">[دنا ۵۸۳/۲ ؛ فهرستواره منزوی ۱۵۷/۹ ]</w:t>
      </w:r>
    </w:p>
    <w:p>
      <w:pPr>
        <w:pStyle w:val="BookText"/>
      </w:pPr>
      <w:r>
        <w:rPr>
          <w:rFonts w:ascii="IRNazanin" w:hAnsi="IRNazanin" w:eastAsia="IRNazanin" w:cs="IRNazanin"/>
          <w:lang w:bidi="fa-IR"/>
          <w:color w:val="111111"/>
          <w:sz w:val="28"/>
          <w:szCs w:val="28"/>
          <w:rtl/>
        </w:rPr>
        <w:t xml:space="preserve">قم؛ مسجد اعظم، شماره نسخه: ۲۴۰۸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كاتب = مؤلف، تا: ۱۶ جمادی الاول ۱۲۶۹ق؛ دارای خط خوردگی و قلم زدگی است؛ جلد: تیماج قهوه ای مجدول، ۱۲۸گ، ۲۴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مخ: ۱-۲۸۷]</w:t>
      </w:r>
    </w:p>
    <w:p>
      <w:pPr>
        <w:pStyle w:val="Heading3"/>
      </w:pPr>
      <w:bookmarkStart w:id="1276" w:name="_Toc536"/>
      <w:r>
        <w:t>•بيان الحق / فارسی</w:t>
      </w:r>
      <w:bookmarkEnd w:id="1276"/>
    </w:p>
    <w:p>
      <w:pPr>
        <w:pStyle w:val="BookText"/>
      </w:pPr>
      <w:r>
        <w:rPr>
          <w:rFonts w:ascii="Times New Roman" w:hAnsi="Times New Roman" w:eastAsia="Times New Roman" w:cs="Times New Roman"/>
          <w:lang w:val="en-US" w:bidi="en-US"/>
          <w:color w:val="111111"/>
          <w:sz w:val="28"/>
          <w:szCs w:val="28"/>
          <w:rtl/>
        </w:rPr>
        <w:t xml:space="preserve">bayān-ul haqq</w:t>
      </w:r>
    </w:p>
    <w:p>
      <w:pPr>
        <w:pStyle w:val="BookText"/>
      </w:pPr>
      <w:r>
        <w:rPr>
          <w:rFonts w:ascii="IRNazanin" w:hAnsi="IRNazanin" w:eastAsia="IRNazanin" w:cs="IRNazanin"/>
          <w:lang w:bidi="fa-IR"/>
          <w:color w:val="111111"/>
          <w:sz w:val="28"/>
          <w:szCs w:val="28"/>
          <w:rtl/>
        </w:rPr>
        <w:t xml:space="preserve">تهرانی، محمد جواد</w:t>
      </w:r>
    </w:p>
    <w:p>
      <w:pPr>
        <w:pStyle w:val="BookText"/>
      </w:pPr>
      <w:r>
        <w:rPr>
          <w:rFonts w:ascii="Times New Roman" w:hAnsi="Times New Roman" w:eastAsia="Times New Roman" w:cs="Times New Roman"/>
          <w:lang w:val="en-US" w:bidi="en-US"/>
          <w:color w:val="111111"/>
          <w:sz w:val="28"/>
          <w:szCs w:val="28"/>
          <w:rtl/>
        </w:rPr>
        <w:t xml:space="preserve">tehrānī, mohammad javā</w:t>
      </w:r>
    </w:p>
    <w:p>
      <w:pPr>
        <w:pStyle w:val="BookText"/>
      </w:pPr>
      <w:r>
        <w:rPr>
          <w:rFonts w:ascii="IRNazanin" w:hAnsi="IRNazanin" w:eastAsia="IRNazanin" w:cs="IRNazanin"/>
          <w:lang w:bidi="fa-IR"/>
          <w:color w:val="111111"/>
          <w:sz w:val="28"/>
          <w:szCs w:val="28"/>
          <w:rtl/>
        </w:rPr>
        <w:t xml:space="preserve">قم؛ مرعشی؛ شماره نسخه: بدون شماره جلد او ۲؛ كاتب = مؤلف، بی تا [میراث شهاب: س ۵ش ۳و ۴-۱۴۹]</w:t>
      </w:r>
    </w:p>
    <w:p>
      <w:pPr>
        <w:pStyle w:val="Heading3"/>
      </w:pPr>
      <w:bookmarkStart w:id="1277" w:name="_Toc537"/>
      <w:r>
        <w:t>•بيان الحقايق / عرفان و تصوف / فارسی</w:t>
      </w:r>
      <w:bookmarkEnd w:id="1277"/>
    </w:p>
    <w:p>
      <w:pPr>
        <w:pStyle w:val="BookText"/>
      </w:pPr>
      <w:r>
        <w:rPr>
          <w:rFonts w:ascii="Times New Roman" w:hAnsi="Times New Roman" w:eastAsia="Times New Roman" w:cs="Times New Roman"/>
          <w:lang w:val="en-US" w:bidi="en-US"/>
          <w:color w:val="111111"/>
          <w:sz w:val="28"/>
          <w:szCs w:val="28"/>
          <w:rtl/>
        </w:rPr>
        <w:t xml:space="preserve">bayān-ol haqāyeq</w:t>
      </w:r>
    </w:p>
    <w:p>
      <w:pPr>
        <w:pStyle w:val="BookText"/>
      </w:pPr>
      <w:r>
        <w:rPr>
          <w:rFonts w:ascii="IRNazanin" w:hAnsi="IRNazanin" w:eastAsia="IRNazanin" w:cs="IRNazanin"/>
          <w:lang w:bidi="fa-IR"/>
          <w:color w:val="111111"/>
          <w:sz w:val="28"/>
          <w:szCs w:val="28"/>
          <w:rtl/>
        </w:rPr>
        <w:t xml:space="preserve">رشیدالدین فضل الله همدانی، ۶۴۸؟ -۷۱۸ قمری</w:t>
      </w:r>
    </w:p>
    <w:p>
      <w:pPr>
        <w:pStyle w:val="BookText"/>
      </w:pPr>
      <w:r>
        <w:rPr>
          <w:rFonts w:ascii="Times New Roman" w:hAnsi="Times New Roman" w:eastAsia="Times New Roman" w:cs="Times New Roman"/>
          <w:lang w:val="en-US" w:bidi="en-US"/>
          <w:color w:val="111111"/>
          <w:sz w:val="28"/>
          <w:szCs w:val="28"/>
          <w:rtl/>
        </w:rPr>
        <w:t xml:space="preserve">rašīd-od-dīn fazl-ol-lāh-e hamadānī (1251-1319)</w:t>
      </w:r>
    </w:p>
    <w:p>
      <w:pPr>
        <w:pStyle w:val="BookText"/>
      </w:pPr>
      <w:r>
        <w:rPr>
          <w:rFonts w:ascii="IRNazanin" w:hAnsi="IRNazanin" w:eastAsia="IRNazanin" w:cs="IRNazanin"/>
          <w:lang w:bidi="fa-IR"/>
          <w:color w:val="111111"/>
          <w:sz w:val="28"/>
          <w:szCs w:val="28"/>
          <w:rtl/>
        </w:rPr>
        <w:t xml:space="preserve">رشید همدانی فهرست جامع تصنیفات خود را با ذکر ابواب و فصول پرداخته است که به انضمام برخی نسخ خطی آثار او دیده می شود. (از جمله رجوع کنید به لطایف الحقایق، نسخه ملک،</w:t>
      </w:r>
    </w:p>
    <w:p>
      <w:pPr>
        <w:pStyle w:val="BookText"/>
      </w:pPr>
      <w:r>
        <w:rPr>
          <w:rFonts w:ascii="IRNazanin" w:hAnsi="IRNazanin" w:eastAsia="IRNazanin" w:cs="IRNazanin"/>
          <w:lang w:bidi="fa-IR"/>
          <w:color w:val="111111"/>
          <w:sz w:val="28"/>
          <w:szCs w:val="28"/>
          <w:rtl/>
        </w:rPr>
        <w:t xml:space="preserve">که آقای غلامرضا طاهر آن را به هنگام چاپ آن کتاب در مجلد دوم صص ۴-۲۱ گذاشته است. یکی از نگارش های او که در آن فهرست نام برده و جزئیات آن را شرح داده، بیان الحقایق است مشتمل بر هفده رساله بدین شرح: 1. سؤال سلطان؛ ٢. نصیحت سلطان؛ ۳. سؤالات علماء؛ ۴. تفسیر آیه «ولو شئنا الأتينا»؛ ۵. تفسير «و لو علم الله فيهم خيرا»؛ ۶. تفسیر سوره انا انزلناه؛ 7. حقیقت الوان و تفسیر آیه الله نور السموات و الأرض؛ 8 حروف و تحقیق مباحث آن؛ ۹. فواید زیارت تربت بزرگان؛ ۱۰. نصیحت اخوان؛ ۱۱. تحقیق سبب جدری؛ ۱۲. بیان حرارت و انواع آن؛ ۱۳. دوام خلود در بهشت و دوزخ؛ ۱۴. بیان حقیقت خرقه و مناسبت نسبت به امیر المؤمنين كرم الله وجهه؛ ۱۵. شرح حديث أنا مدينة العلم و على بابها؛ ۱۶. شرح معقول و منقول؛ ۱۷. ناسخ و منسوخ. این فهرست بر اساس نوشته خود رشیدالدین همدانی است در فهرست «کتاب جامع التصانیف رشیدی» به آن توجه داده شده است. از بيان الحق جز این نسخه که از محتوای آن گزارشی نیامده، نسخه دیگری معرفی نشده جز آنچه مربوط به رساله نهم این رساله بوده و آقای مایل هروی آن را در« مجموعه رسائل خطی فارسی» دفتر دوم به چاپ رسانده است.</w:t>
      </w:r>
    </w:p>
    <w:p>
      <w:pPr>
        <w:pStyle w:val="BookText"/>
      </w:pPr>
      <w:r>
        <w:rPr>
          <w:rFonts w:ascii="IRNazanin" w:hAnsi="IRNazanin" w:eastAsia="IRNazanin" w:cs="IRNazanin"/>
          <w:lang w:bidi="fa-IR"/>
          <w:color w:val="111111"/>
          <w:sz w:val="28"/>
          <w:szCs w:val="28"/>
          <w:rtl/>
        </w:rPr>
        <w:t xml:space="preserve">حجم این تنها نسخه که فیلم آن در دانشگاه تهران است نشان می دهد که نسبتا مفصل است و ممکن است همه مباحث را در بر گیرد. چاپ: بخشی از آن که رساله نهم این رساله است در «مجموعه رسائل خطی فارسی» دفتر دوم، زمستان ۱۳۶۸، با تحقیق مایل هروی چاپ شده است. ارک: مقدمه مایل هروی بر تصحیح قسمتی از این رساله در مجموعه رسائل خطی فارسی»، دفتر دوم، بنیاد پژوهش های آستان قدس رضوی، بهار ۱۳۶۸ش]</w:t>
      </w:r>
    </w:p>
    <w:p>
      <w:pPr>
        <w:pStyle w:val="BookText"/>
      </w:pPr>
      <w:r>
        <w:rPr>
          <w:rFonts w:ascii="IRNazanin" w:hAnsi="IRNazanin" w:eastAsia="IRNazanin" w:cs="IRNazanin"/>
          <w:lang w:bidi="fa-IR"/>
          <w:color w:val="111111"/>
          <w:sz w:val="28"/>
          <w:szCs w:val="28"/>
          <w:rtl/>
        </w:rPr>
        <w:t xml:space="preserve">تهران، دانشگاه؛ شماره نسخه: ۵۶۸-ف</w:t>
      </w:r>
    </w:p>
    <w:p>
      <w:pPr>
        <w:pStyle w:val="BookText"/>
      </w:pPr>
      <w:r>
        <w:rPr>
          <w:rFonts w:ascii="IRNazanin" w:hAnsi="IRNazanin" w:eastAsia="IRNazanin" w:cs="IRNazanin"/>
          <w:lang w:bidi="fa-IR"/>
          <w:color w:val="111111"/>
          <w:sz w:val="28"/>
          <w:szCs w:val="28"/>
          <w:rtl/>
        </w:rPr>
        <w:t xml:space="preserve">نسخه اصل: قليج علی پاشا ش ۸۵۳؛ خط: نسخ، كا: محمد بن سید اسفراینی، تا: چهارشنبه ۲۴ ربيع الاول ۷۱۱ق؛ ۵۲۴ص، ۲۱ سطر فيلمها ف: ۱-۲۹۲]</w:t>
      </w:r>
    </w:p>
    <w:p>
      <w:pPr>
        <w:pStyle w:val="Heading3"/>
      </w:pPr>
      <w:bookmarkStart w:id="1278" w:name="_Toc538"/>
      <w:r>
        <w:t>• بیان حقایق احوال المصطفى / عرفان و تصوف / فارسی</w:t>
      </w:r>
      <w:bookmarkEnd w:id="1278"/>
    </w:p>
    <w:p>
      <w:pPr>
        <w:pStyle w:val="BookText"/>
      </w:pPr>
      <w:r>
        <w:rPr>
          <w:rFonts w:ascii="Times New Roman" w:hAnsi="Times New Roman" w:eastAsia="Times New Roman" w:cs="Times New Roman"/>
          <w:lang w:val="en-US" w:bidi="en-US"/>
          <w:color w:val="111111"/>
          <w:sz w:val="28"/>
          <w:szCs w:val="28"/>
          <w:rtl/>
        </w:rPr>
        <w:t xml:space="preserve">bayan-u haqayiq-i ahwal-al-mustafa</w:t>
      </w:r>
    </w:p>
    <w:p>
      <w:pPr>
        <w:pStyle w:val="BookText"/>
      </w:pPr>
      <w:r>
        <w:rPr>
          <w:rFonts w:ascii="IRNazanin" w:hAnsi="IRNazanin" w:eastAsia="IRNazanin" w:cs="IRNazanin"/>
          <w:lang w:bidi="fa-IR"/>
          <w:color w:val="111111"/>
          <w:sz w:val="28"/>
          <w:szCs w:val="28"/>
          <w:rtl/>
        </w:rPr>
        <w:t xml:space="preserve">جمالی اردستانی، جمال الدین محمد، ۸۱۴-۸۸۳؟ قمری</w:t>
      </w:r>
    </w:p>
    <w:p>
      <w:pPr>
        <w:pStyle w:val="BookText"/>
      </w:pPr>
      <w:r>
        <w:rPr>
          <w:rFonts w:ascii="Times New Roman" w:hAnsi="Times New Roman" w:eastAsia="Times New Roman" w:cs="Times New Roman"/>
          <w:lang w:val="en-US" w:bidi="en-US"/>
          <w:color w:val="111111"/>
          <w:sz w:val="28"/>
          <w:szCs w:val="28"/>
          <w:rtl/>
        </w:rPr>
        <w:t xml:space="preserve">jamālī ardestānī, jamāl-od-dīn mohammad (1412-1479)</w:t>
      </w:r>
    </w:p>
    <w:p>
      <w:pPr>
        <w:pStyle w:val="BookText"/>
      </w:pPr>
      <w:r>
        <w:rPr>
          <w:rFonts w:ascii="IRNazanin" w:hAnsi="IRNazanin" w:eastAsia="IRNazanin" w:cs="IRNazanin"/>
          <w:lang w:bidi="fa-IR"/>
          <w:color w:val="111111"/>
          <w:sz w:val="28"/>
          <w:szCs w:val="28"/>
          <w:rtl/>
        </w:rPr>
        <w:t xml:space="preserve">دارای: رسائل منثور و منظوم جمالی اردستانی در ۷ بخش، مصباح الأرواح، احكام المحبين، نهاية الحكمة، بداية المحبة هداية المعرفة، فتح الأبواب، شرح الواصلین، مهر قلوب، سپس قدرت نامه، نصرت نامه و فرصت نامه و مراة الحبيب است و چند رساله دیگر و رباعی عرفانی، سپس رباعیاتی در شرح شعری از افضل الدین کاشانی به نام صفوة اهل التحقيق و رباعیات و قصیده و یک مثنوی در شرح آثار اردستانی. چاپ: عمده این رسائل جدا جدا در ضمن رسائل پیر جمال اردستانی چاپ شده است.</w:t>
      </w:r>
    </w:p>
    <w:p>
      <w:pPr>
        <w:pStyle w:val="BookText"/>
      </w:pPr>
      <w:r>
        <w:rPr>
          <w:rFonts w:ascii="IRNazanin" w:hAnsi="IRNazanin" w:eastAsia="IRNazanin" w:cs="IRNazanin"/>
          <w:lang w:bidi="fa-IR"/>
          <w:color w:val="111111"/>
          <w:sz w:val="28"/>
          <w:szCs w:val="28"/>
          <w:rtl/>
        </w:rPr>
        <w:t xml:space="preserve">[دنا ۵۸۳/۲ ؛ فهرستواره ۳۰۴/۱۰ ]</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فتح الابواب و حقيقة الاداب؛ جمالی اردستانی، جمال الدین محمد (۸۱۴-۸۸۳)</w:t>
      </w:r>
    </w:p>
    <w:p>
      <w:pPr>
        <w:pStyle w:val="BookText"/>
      </w:pPr>
      <w:r>
        <w:rPr>
          <w:rFonts w:ascii="IRNazanin" w:hAnsi="IRNazanin" w:eastAsia="IRNazanin" w:cs="IRNazanin"/>
          <w:lang w:bidi="fa-IR"/>
          <w:color w:val="111111"/>
          <w:sz w:val="28"/>
          <w:szCs w:val="28"/>
          <w:rtl/>
        </w:rPr>
        <w:t xml:space="preserve">تهران؛ دانشگاه؛ شماره نسخه: ۱۳۲۱-ف</w:t>
      </w:r>
    </w:p>
    <w:p>
      <w:pPr>
        <w:pStyle w:val="BookText"/>
      </w:pPr>
      <w:r>
        <w:rPr>
          <w:rFonts w:ascii="IRNazanin" w:hAnsi="IRNazanin" w:eastAsia="IRNazanin" w:cs="IRNazanin"/>
          <w:lang w:bidi="fa-IR"/>
          <w:color w:val="111111"/>
          <w:sz w:val="28"/>
          <w:szCs w:val="28"/>
          <w:rtl/>
        </w:rPr>
        <w:t xml:space="preserve">نسخه اصل: پاریس 813 . </w:t>
      </w:r>
      <w:r>
        <w:rPr>
          <w:rFonts w:ascii="Times New Roman" w:hAnsi="Times New Roman" w:eastAsia="Times New Roman" w:cs="Times New Roman"/>
          <w:lang w:val="en-US" w:bidi="en-US"/>
          <w:color w:val="111111"/>
          <w:sz w:val="28"/>
          <w:szCs w:val="28"/>
          <w:rtl/>
        </w:rPr>
        <w:t xml:space="preserve">S. P</w:t>
      </w:r>
    </w:p>
    <w:p>
      <w:pPr>
        <w:pStyle w:val="BookText"/>
      </w:pPr>
      <w:r>
        <w:rPr>
          <w:rFonts w:ascii="IRNazanin" w:hAnsi="IRNazanin" w:eastAsia="IRNazanin" w:cs="IRNazanin"/>
          <w:lang w:bidi="fa-IR"/>
          <w:color w:val="111111"/>
          <w:sz w:val="28"/>
          <w:szCs w:val="28"/>
          <w:rtl/>
        </w:rPr>
        <w:t xml:space="preserve">(بلوشه ۱۷۵۷)؛ خط: نستعلیق، بی کا، بی تا؛ ۸۵۳گ، ۲۱ سطر [فیلمها ف: ۱-۵۹۴]</w:t>
      </w:r>
    </w:p>
    <w:p>
      <w:pPr>
        <w:pStyle w:val="Heading3"/>
      </w:pPr>
      <w:bookmarkStart w:id="1279" w:name="_Toc539"/>
      <w:r>
        <w:t>• بيان الحق بضمان الصدق / فلسفه / عربی</w:t>
      </w:r>
      <w:bookmarkEnd w:id="1279"/>
    </w:p>
    <w:p>
      <w:pPr>
        <w:pStyle w:val="BookText"/>
      </w:pPr>
      <w:r>
        <w:rPr>
          <w:rFonts w:ascii="Times New Roman" w:hAnsi="Times New Roman" w:eastAsia="Times New Roman" w:cs="Times New Roman"/>
          <w:lang w:val="en-US" w:bidi="en-US"/>
          <w:color w:val="111111"/>
          <w:sz w:val="28"/>
          <w:szCs w:val="28"/>
          <w:rtl/>
        </w:rPr>
        <w:t xml:space="preserve">bayan-ul haqq bi-diman-is sidq</w:t>
      </w:r>
    </w:p>
    <w:p>
      <w:pPr>
        <w:pStyle w:val="BookText"/>
      </w:pPr>
      <w:r>
        <w:rPr>
          <w:rFonts w:ascii="IRNazanin" w:hAnsi="IRNazanin" w:eastAsia="IRNazanin" w:cs="IRNazanin"/>
          <w:lang w:bidi="fa-IR"/>
          <w:color w:val="111111"/>
          <w:sz w:val="28"/>
          <w:szCs w:val="28"/>
          <w:rtl/>
        </w:rPr>
        <w:t xml:space="preserve">الو کری، فضل بن محمد، -۴۶۴ قمری</w:t>
      </w:r>
    </w:p>
    <w:p>
      <w:pPr>
        <w:pStyle w:val="BookText"/>
      </w:pPr>
      <w:r>
        <w:rPr>
          <w:rFonts w:ascii="Times New Roman" w:hAnsi="Times New Roman" w:eastAsia="Times New Roman" w:cs="Times New Roman"/>
          <w:lang w:val="en-US" w:bidi="en-US"/>
          <w:color w:val="111111"/>
          <w:sz w:val="28"/>
          <w:szCs w:val="28"/>
          <w:rtl/>
        </w:rPr>
        <w:t xml:space="preserve">lawkarī, fazl ebn-e mohammad (- 1072)</w:t>
      </w:r>
    </w:p>
    <w:p>
      <w:pPr>
        <w:pStyle w:val="BookText"/>
      </w:pPr>
      <w:r>
        <w:rPr>
          <w:rFonts w:ascii="IRNazanin" w:hAnsi="IRNazanin" w:eastAsia="IRNazanin" w:cs="IRNazanin"/>
          <w:lang w:bidi="fa-IR"/>
          <w:color w:val="111111"/>
          <w:sz w:val="28"/>
          <w:szCs w:val="28"/>
          <w:rtl/>
        </w:rPr>
        <w:t xml:space="preserve">اهدا به: آستان صدراعظم روزگار خویش این کتاب مانند شفای ابوعلی سینا موسوعه ای فلسفی است که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آن را به آستان صدر اعظم روزگار خویش ارمغان داد. بیشتر مطالب آن بر گرفته از متون فارابی، ابن سینا و بهمنیار است. گاهی فصلی یا فصولی از متون ابن سینا یا فیلسوفی دیگر را گرفته و آن را بدون این که شرح یا تلخیص کند - با همان عنوان - فصلی از کتاب خود قرار داده است. وی در ایجاد ارتباط و انسجام بين مطالب تلفیقی از خود آن چنان مهارتی نشان می دهد که فقط از راه تسلط تضلع بر آثار ابن سینا می توان عبارت های وی را تجزیه و تحلیل کرد و مآخذ و منبع اصلی هر یک را مشخص ساخت؛ از باب مثال در موضعی دو سطر از</w:t>
      </w:r>
    </w:p>
    <w:p>
      <w:pPr>
        <w:pStyle w:val="BookText"/>
      </w:pPr>
      <w:r>
        <w:rPr>
          <w:rFonts w:ascii="IRNazanin" w:hAnsi="IRNazanin" w:eastAsia="IRNazanin" w:cs="IRNazanin"/>
          <w:lang w:bidi="fa-IR"/>
          <w:color w:val="111111"/>
          <w:sz w:val="28"/>
          <w:szCs w:val="28"/>
          <w:rtl/>
        </w:rPr>
        <w:t xml:space="preserve">کتاب النجاة و پنج سطر از کتاب الاشارات و التنبيهات و بیست سطر از کتاب منطق المشرقین و نیم صفحه از کتاب الشفاء و قسمتی از التحصیل را در یک موضوع نقل و مرتب کرده و از آنها فصلی ساخته است و از این قبیل نقل و اقتباس در کار الو کری و کتاب «بيان الحق» او بسیار است. مرحوم دانش پژوه در معرفی «بيان الحق» آن را در پنج بخش دانسته است بدین ترتیب: ۱. منطق، در نه فن و ۳۸ مقاله و درست برابر شفا است مگر در برخی جاها؛ ۲. طبیعی، که مانند منطق دراز تر از بخش های دیگر و در هشت فن و ۳۵ مقاله و گزیده ای است از شفا و به روش آن؛ 3. الهی، در یک فن و ده مقاله و ۵۴ فصل. در دیباچه آن می گوید که الهی دو بخش است یکی مابعد الطبیعه و علم کلی و دیگر علم الربوبية و اثالوجيا؛ ۴ خداشناسی که در آن از دانایی و توانایی و بخشایش خدا و یکی بودن آفریده او الواحد لا يصدر عنه الا الواحد) و از روان شناسی عقلی و رستاخیز گفتگو نموده و چنانکه خود در آغاز گفته است در اینجا رازها را آشکار بداشت و این بخش را به نام «الرسالة الملحقة بعلم الربوبية» خوانده است؛ ۵. الفصول المنتخبة من رسالة الأخلاق، که در آن گزیده ای از اخلاق و تدبير منزل و سیاست را در پنج باب آورده است. اما استاد عبدالحسین حایری در معرفی بیان الحق می نویسد: «دارای سه بخش (جزء) است: منطق، طبیعی، الهی و جزء سوم خود دارای چهار بخش است (دو جزء و دو ملحق) بدن ترتیب: بخش اول: الهیات یا مابعدالطبيعة بالمعنى الاعم، این بخش دارای هفت مقاله است در ۴۱ فصل و مؤلف خود فهرست فصل های این بخش را در آغاز یاد می کند؛ بخش دوم: کتاب الربوبية المسمی اثالوجيا – الهي بالمعنى الأخص، این بخش سه مقاله است در ۲۱ فصل و فهرست فصل ها را مؤلف در آغاز این بخش آورده است؛ بخش سوم: الرسالة الملحقة بعلم الربوبية، دارای چهار باب و هر باب دارای چند فصل: باب ۱. صفات باری در یازده فصل، ۲. عقول در نه فصل، ۳. نفوس در هشت فصل، ۴. ولايت و نبوت دارای چهارده فصل؛ بخش چهارم: رسالة ملحقة في الأخلاق = فصول منتخبة من رسالة الأخلاق، دارای پنج باب و هر باب در چند فصل. (حافظیان)</w:t>
      </w:r>
    </w:p>
    <w:p>
      <w:pPr>
        <w:pStyle w:val="BookText"/>
      </w:pPr>
      <w:r>
        <w:rPr>
          <w:rFonts w:ascii="IRNazanin" w:hAnsi="IRNazanin" w:eastAsia="IRNazanin" w:cs="IRNazanin"/>
          <w:lang w:bidi="fa-IR"/>
          <w:color w:val="111111"/>
          <w:sz w:val="28"/>
          <w:szCs w:val="28"/>
          <w:rtl/>
        </w:rPr>
        <w:t xml:space="preserve">آغاز: الحمدلله رب العالمين. عليه اتو کل و به استعين و من وجوده استمد. الصلوة و السلام على خير خلقه سید الانبياء و المرسلين و على آله و أصحابه الأكرمين صلوة دائمة. و بعد فان افضل العلوم ما يمكن منه تحصيل اليقين و الاعتماد فيه على الحجج و البراهين و هي العلوم الحكمية الالهية وصفها الله تعالی بقوله ... و الله الهادي إلى الصواب و الوافي من الشك والارتياب و سميته بيان الحق و لسان الصدق و رتبته على الطرفين. الطرف الأول في المنطق و يترتب على ابواب: الباب الأول في المقدمات و هي ثلثة المقدمة الأولى في الحاجة الى المنطق</w:t>
      </w:r>
    </w:p>
    <w:p>
      <w:pPr>
        <w:pStyle w:val="BookText"/>
      </w:pPr>
      <w:r>
        <w:rPr>
          <w:rFonts w:ascii="IRNazanin" w:hAnsi="IRNazanin" w:eastAsia="IRNazanin" w:cs="IRNazanin"/>
          <w:lang w:bidi="fa-IR"/>
          <w:color w:val="111111"/>
          <w:sz w:val="28"/>
          <w:szCs w:val="28"/>
          <w:rtl/>
        </w:rPr>
        <w:t xml:space="preserve">انجام: و استقصائها على اللسان و اما متعين و هو المستعار و المشبه به و الرتبة لا ترکيب على حروفها بل بما يقترن به من ... و لما كان صرف العناية الى العلوم الحقيقية أولي اقتصر من القول في الشعر على هذا القدر و الله الموفق و الحمدلله رب العالمين و صلى الله على سيدنا محمد خاتم النبيين و آله و صحبه اجمعين.  چاپ: تهران، محقق: ابراهیم دیباجی، المعهد العالي العالمی للفكر و الحضارة الإسلامية، مجموعة الفكر الاسلامی (۲)، ۴۶۴ص بهم وص، ۱۴۱۴ق. [دنا ۵۸۳/۲ (۶ نسخه)]</w:t>
      </w:r>
    </w:p>
    <w:p>
      <w:pPr>
        <w:pStyle w:val="BookText"/>
      </w:pPr>
      <w:r>
        <w:rPr>
          <w:rFonts w:ascii="IRNazanin" w:hAnsi="IRNazanin" w:eastAsia="IRNazanin" w:cs="IRNazanin"/>
          <w:lang w:bidi="fa-IR"/>
          <w:color w:val="111111"/>
          <w:sz w:val="28"/>
          <w:szCs w:val="28"/>
          <w:rtl/>
        </w:rPr>
        <w:t xml:space="preserve">۱. تهران؛ دانشگاه؛ شماره نسخه: ۲۵۰ و ۲۰۷۸ف و ۲۳۳۱_ف</w:t>
      </w:r>
    </w:p>
    <w:p>
      <w:pPr>
        <w:pStyle w:val="BookText"/>
      </w:pPr>
      <w:r>
        <w:rPr>
          <w:rFonts w:ascii="IRNazanin" w:hAnsi="IRNazanin" w:eastAsia="IRNazanin" w:cs="IRNazanin"/>
          <w:lang w:bidi="fa-IR"/>
          <w:color w:val="111111"/>
          <w:sz w:val="28"/>
          <w:szCs w:val="28"/>
          <w:rtl/>
        </w:rPr>
        <w:t xml:space="preserve">آغاز: بسمله هذه جمل و فصول منتخبة من علم الاخلاق يشتمل على اكتساب فضائل النفس الإنسانية و الاجتناب عن رذائلها؛ انجام: آنچه که در نسخه ما خوانده میشود در مبحث دل و محبت: «في ثلثة احدها في المبدء و في المنتهى و فيما بينهما و اتفاق الرأى في المبدأ خط: نسخ خوش، كا: عثمان بن محمد بن عثمان شهر آبادی، تا: نیمه ربيع الثانی ۶۰۱ق، جان اصفهان؛ مصحح؛ در دو جا (۸۷ر و ۱۷۱پ) از تاریخ های (۱۵ع ۲) و (روز پنج شنبه ۲۸ رمضان) همین سال یاد می کند؛ تملك: هبة الله یزدان بخش فرزند بدرالدین پسر آدم به سال ۸۳۱، فضل الله پسر محمد حسینی در ۹۸۷، عبدالله پسر شیخ محمد اردکانی یزدی در ۱۰۱۷ با مهر؛ کاغذ: ترمه سمرقندی، جلد: تیماج ضربی، ۲۲۳گ، ۲۹ سطر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سم [ف: ۳-۱۶۲] و [فیلمها ف: ۱-۲۹۲]</w:t>
      </w:r>
    </w:p>
    <w:p>
      <w:pPr>
        <w:pStyle w:val="BookText"/>
      </w:pPr>
      <w:r>
        <w:rPr>
          <w:rFonts w:ascii="IRNazanin" w:hAnsi="IRNazanin" w:eastAsia="IRNazanin" w:cs="IRNazanin"/>
          <w:lang w:bidi="fa-IR"/>
          <w:color w:val="111111"/>
          <w:sz w:val="28"/>
          <w:szCs w:val="28"/>
          <w:rtl/>
        </w:rPr>
        <w:t xml:space="preserve">قم؛ مرعشی؛ شماره نسخه: ۱۸۶۲</w:t>
      </w:r>
    </w:p>
    <w:p>
      <w:pPr>
        <w:pStyle w:val="BookText"/>
      </w:pPr>
      <w:r>
        <w:rPr>
          <w:rFonts w:ascii="IRNazanin" w:hAnsi="IRNazanin" w:eastAsia="IRNazanin" w:cs="IRNazanin"/>
          <w:lang w:bidi="fa-IR"/>
          <w:color w:val="111111"/>
          <w:sz w:val="28"/>
          <w:szCs w:val="28"/>
          <w:rtl/>
        </w:rPr>
        <w:t xml:space="preserve">بخش منطق؛ نسخه اصل: همان نسخه بالا [عکسی ف: ۵-۲۸۰]</w:t>
      </w:r>
    </w:p>
    <w:p>
      <w:pPr>
        <w:pStyle w:val="BookText"/>
      </w:pPr>
      <w:r>
        <w:rPr>
          <w:rFonts w:ascii="IRNazanin" w:hAnsi="IRNazanin" w:eastAsia="IRNazanin" w:cs="IRNazanin"/>
          <w:lang w:bidi="fa-IR"/>
          <w:color w:val="111111"/>
          <w:sz w:val="28"/>
          <w:szCs w:val="28"/>
          <w:rtl/>
        </w:rPr>
        <w:t xml:space="preserve">قم؛ مرعشی؛ شماره نسخه: ۱۸۶۳</w:t>
      </w:r>
    </w:p>
    <w:p>
      <w:pPr>
        <w:pStyle w:val="BookText"/>
      </w:pPr>
      <w:r>
        <w:rPr>
          <w:rFonts w:ascii="IRNazanin" w:hAnsi="IRNazanin" w:eastAsia="IRNazanin" w:cs="IRNazanin"/>
          <w:lang w:bidi="fa-IR"/>
          <w:color w:val="111111"/>
          <w:sz w:val="28"/>
          <w:szCs w:val="28"/>
          <w:rtl/>
        </w:rPr>
        <w:t xml:space="preserve">بخش فلسفه؛ نسخه اصل: همان نسخه بالا [عکسی ف: ۵-۲۸۳]</w:t>
      </w:r>
    </w:p>
    <w:p>
      <w:pPr>
        <w:pStyle w:val="BookText"/>
      </w:pPr>
      <w:r>
        <w:rPr>
          <w:rFonts w:ascii="IRNazanin" w:hAnsi="IRNazanin" w:eastAsia="IRNazanin" w:cs="IRNazanin"/>
          <w:lang w:bidi="fa-IR"/>
          <w:color w:val="111111"/>
          <w:sz w:val="28"/>
          <w:szCs w:val="28"/>
          <w:rtl/>
        </w:rPr>
        <w:t xml:space="preserve">۲. تهران؛ الهیات؛ شماره نسخه: ۶۹۵</w:t>
      </w:r>
    </w:p>
    <w:p>
      <w:pPr>
        <w:pStyle w:val="BookText"/>
      </w:pPr>
      <w:r>
        <w:rPr>
          <w:rFonts w:ascii="IRNazanin" w:hAnsi="IRNazanin" w:eastAsia="IRNazanin" w:cs="IRNazanin"/>
          <w:lang w:bidi="fa-IR"/>
          <w:color w:val="111111"/>
          <w:sz w:val="28"/>
          <w:szCs w:val="28"/>
          <w:rtl/>
        </w:rPr>
        <w:t xml:space="preserve">آغاز و انجام: برابر؛ فرغ من تتمة تعليقه عبده يعقوب النحيف الراجي الى رحمة الله تعالی ابن شیخ عثمان ساكن قصبه سوده اللهم اغفر لقارئه و لكاتبه و لمن نظر فيه و لجميع المؤمنين و المؤمنات و المسلمين و المسلمات الاحياء و الأموات و الله اعلم بالصواب و اليه المرجع و المأب تم في التاريخ الخامس العشرة من شهر جمیدی الاولى في سنة خمس و تسعون و تسعماة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76" w:name="pg20363_209408"/>
    <w:bookmarkEnd w:id="176"/>
    <w:p>
      <w:pPr>
        <w:pStyle w:val="BookText"/>
      </w:pPr>
      <w:r>
        <w:rPr>
          <w:rFonts w:ascii="IRNazanin" w:hAnsi="IRNazanin" w:eastAsia="IRNazanin" w:cs="IRNazanin"/>
          <w:lang w:bidi="fa-IR"/>
          <w:color w:val="111111"/>
          <w:sz w:val="28"/>
          <w:szCs w:val="28"/>
          <w:rtl/>
        </w:rPr>
        <w:t xml:space="preserve">از آغاز الهيات تا آخر کتاب اخلاق بند ۵۸ فصول مدنیه در عنوان فصل العدل اذ لا يكون في تسمية الخيرات ... » و می رسد به عبارت «و الجور هو أن يخرج عن يده قسمة من» و دو نیمه بند از نسخه دانشگاه بیشتر دارد؛ خط: نستعلیق، بی کا، تا: قرن ۱۱؛ محشي با نشان «ش»؛ تملک: فاضل تونی؛ کاغذ: اصفهانی، جلد: تیماج سرخ، ۸۶گ، ۲۱ سطر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۴۷۷]</w:t>
      </w:r>
    </w:p>
    <w:p>
      <w:pPr>
        <w:pStyle w:val="BookText"/>
      </w:pPr>
      <w:r>
        <w:rPr>
          <w:rFonts w:ascii="IRNazanin" w:hAnsi="IRNazanin" w:eastAsia="IRNazanin" w:cs="IRNazanin"/>
          <w:lang w:bidi="fa-IR"/>
          <w:color w:val="111111"/>
          <w:sz w:val="28"/>
          <w:szCs w:val="28"/>
          <w:rtl/>
        </w:rPr>
        <w:t xml:space="preserve">تهران؛ دانشگاه؛ شماره نسخه: ۲۸۲۴-ف</w:t>
      </w:r>
    </w:p>
    <w:p>
      <w:pPr>
        <w:pStyle w:val="BookText"/>
      </w:pPr>
      <w:r>
        <w:rPr>
          <w:rFonts w:ascii="IRNazanin" w:hAnsi="IRNazanin" w:eastAsia="IRNazanin" w:cs="IRNazanin"/>
          <w:lang w:bidi="fa-IR"/>
          <w:color w:val="111111"/>
          <w:sz w:val="28"/>
          <w:szCs w:val="28"/>
          <w:rtl/>
        </w:rPr>
        <w:t xml:space="preserve">نسخه اصل: همان نسخه بالا [فیلمها ف: ۱-۲۹۲]</w:t>
      </w:r>
    </w:p>
    <w:p>
      <w:pPr>
        <w:pStyle w:val="BookText"/>
      </w:pPr>
      <w:r>
        <w:rPr>
          <w:rFonts w:ascii="IRNazanin" w:hAnsi="IRNazanin" w:eastAsia="IRNazanin" w:cs="IRNazanin"/>
          <w:lang w:bidi="fa-IR"/>
          <w:color w:val="111111"/>
          <w:sz w:val="28"/>
          <w:szCs w:val="28"/>
          <w:rtl/>
        </w:rPr>
        <w:t xml:space="preserve">٣. تهران: مجلس؛ شماره نسخه: ۳۹۴۱/۱</w:t>
      </w:r>
    </w:p>
    <w:p>
      <w:pPr>
        <w:pStyle w:val="BookText"/>
      </w:pPr>
      <w:r>
        <w:rPr>
          <w:rFonts w:ascii="IRNazanin" w:hAnsi="IRNazanin" w:eastAsia="IRNazanin" w:cs="IRNazanin"/>
          <w:lang w:bidi="fa-IR"/>
          <w:color w:val="111111"/>
          <w:sz w:val="28"/>
          <w:szCs w:val="28"/>
          <w:rtl/>
        </w:rPr>
        <w:t xml:space="preserve">خط: نستعلیق، بی کا، تا: قرن ۱۲؛ کاغذ: فرنگی مهره مشکری، جلد: تیماج قرمز، ۷۹ص (۱-۷۹)، ۱۳-۱۹ سطر، قطع: نیم خشتی،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۱۰-۲۰۶۹]</w:t>
      </w:r>
    </w:p>
    <w:p>
      <w:pPr>
        <w:pStyle w:val="BookText"/>
      </w:pPr>
      <w:r>
        <w:rPr>
          <w:rFonts w:ascii="IRNazanin" w:hAnsi="IRNazanin" w:eastAsia="IRNazanin" w:cs="IRNazanin"/>
          <w:lang w:bidi="fa-IR"/>
          <w:color w:val="111111"/>
          <w:sz w:val="28"/>
          <w:szCs w:val="28"/>
          <w:rtl/>
        </w:rPr>
        <w:t xml:space="preserve">تهران؛ دانشگاه؛ شماره نسخه: ۵۶۸۳/۱ -ف</w:t>
      </w:r>
    </w:p>
    <w:p>
      <w:pPr>
        <w:pStyle w:val="BookText"/>
      </w:pPr>
      <w:r>
        <w:rPr>
          <w:rFonts w:ascii="Amiri" w:hAnsi="Amiri" w:eastAsia="Amiri" w:cs="Amiri"/>
          <w:lang w:bidi="ar-SA"/>
          <w:color w:val="111111"/>
          <w:sz w:val="28"/>
          <w:szCs w:val="28"/>
          <w:rtl/>
        </w:rPr>
        <w:t xml:space="preserve">نسخه اصل: همان نسخه بالا [فيلمها ف: ۳-۱۷۶]</w:t>
      </w:r>
    </w:p>
    <w:p>
      <w:pPr>
        <w:pStyle w:val="Heading3"/>
      </w:pPr>
      <w:bookmarkStart w:id="1280" w:name="_Toc540"/>
      <w:r>
        <w:t>•بيان الحق في سيرة آية الله المطلق و کراماته / تراجم / فارسی</w:t>
      </w:r>
      <w:bookmarkEnd w:id="1280"/>
    </w:p>
    <w:p>
      <w:pPr>
        <w:pStyle w:val="BookText"/>
      </w:pPr>
      <w:r>
        <w:rPr>
          <w:rFonts w:ascii="Times New Roman" w:hAnsi="Times New Roman" w:eastAsia="Times New Roman" w:cs="Times New Roman"/>
          <w:lang w:val="en-US" w:bidi="en-US"/>
          <w:color w:val="111111"/>
          <w:sz w:val="28"/>
          <w:szCs w:val="28"/>
          <w:rtl/>
        </w:rPr>
        <w:t xml:space="preserve">bayān-ol haqq fi sīrat-e āyat-el-lāh-el motlaq va karāmāt-e-h</w:t>
      </w:r>
    </w:p>
    <w:p>
      <w:pPr>
        <w:pStyle w:val="BookText"/>
      </w:pPr>
      <w:r>
        <w:rPr>
          <w:rFonts w:ascii="IRNazanin" w:hAnsi="IRNazanin" w:eastAsia="IRNazanin" w:cs="IRNazanin"/>
          <w:lang w:bidi="fa-IR"/>
          <w:color w:val="111111"/>
          <w:sz w:val="28"/>
          <w:szCs w:val="28"/>
          <w:rtl/>
        </w:rPr>
        <w:t xml:space="preserve">محمد بن حمزه، ق۱۴ قمری</w:t>
      </w:r>
    </w:p>
    <w:p>
      <w:pPr>
        <w:pStyle w:val="BookText"/>
      </w:pPr>
      <w:r>
        <w:rPr>
          <w:rFonts w:ascii="Times New Roman" w:hAnsi="Times New Roman" w:eastAsia="Times New Roman" w:cs="Times New Roman"/>
          <w:lang w:val="en-US" w:bidi="en-US"/>
          <w:color w:val="111111"/>
          <w:sz w:val="28"/>
          <w:szCs w:val="28"/>
          <w:rtl/>
        </w:rPr>
        <w:t xml:space="preserve">mohammad ebn-e hamze (- 20c)</w:t>
      </w:r>
    </w:p>
    <w:p>
      <w:pPr>
        <w:pStyle w:val="BookText"/>
      </w:pPr>
      <w:r>
        <w:rPr>
          <w:rFonts w:ascii="IRNazanin" w:hAnsi="IRNazanin" w:eastAsia="IRNazanin" w:cs="IRNazanin"/>
          <w:lang w:bidi="fa-IR"/>
          <w:color w:val="111111"/>
          <w:sz w:val="28"/>
          <w:szCs w:val="28"/>
          <w:rtl/>
        </w:rPr>
        <w:t xml:space="preserve">رساله ای است در احوال آية الله فقید مرحوم آقا سید ابوالحسن اصفهانی تألیف شیخ محمد بن حمزه که آخوند بیسوادی بوده و خیلی بد نوشته است. آغاز: بسمله. الحمدلله رب العالمين و الصلوة و السلام على افضل الانبياء. انجام: و اگر چیز دیگر هم بنظرم رسید بعدها خواهم ذکر کرد. [دنا ۵۸۳/۲ ؛ فهرستواره منزوی ۲۰۳۳/۳ ]</w:t>
      </w:r>
    </w:p>
    <w:p>
      <w:pPr>
        <w:pStyle w:val="BookText"/>
      </w:pPr>
      <w:r>
        <w:rPr>
          <w:rFonts w:ascii="IRNazanin" w:hAnsi="IRNazanin" w:eastAsia="IRNazanin" w:cs="IRNazanin"/>
          <w:lang w:bidi="fa-IR"/>
          <w:color w:val="111111"/>
          <w:sz w:val="28"/>
          <w:szCs w:val="28"/>
          <w:rtl/>
        </w:rPr>
        <w:t xml:space="preserve">مشهد؛ رضوی؛ شماره نسخه: ۷۴۷۸</w:t>
      </w:r>
    </w:p>
    <w:p>
      <w:pPr>
        <w:pStyle w:val="BookText"/>
      </w:pPr>
      <w:r>
        <w:rPr>
          <w:rFonts w:ascii="IRNazanin" w:hAnsi="IRNazanin" w:eastAsia="IRNazanin" w:cs="IRNazanin"/>
          <w:lang w:bidi="fa-IR"/>
          <w:color w:val="111111"/>
          <w:sz w:val="28"/>
          <w:szCs w:val="28"/>
          <w:rtl/>
        </w:rPr>
        <w:t xml:space="preserve">آغاز: بسمله. الحمدلله رب العالمین و الصلوة و السلام على افضل الانبياء؛ انجام: و اگر چیز دیگر هم بنظرم رسید بعدها خواهم ذکر کرد.</w:t>
      </w:r>
    </w:p>
    <w:p>
      <w:pPr>
        <w:pStyle w:val="BookText"/>
      </w:pPr>
      <w:r>
        <w:rPr>
          <w:rFonts w:ascii="IRNazanin" w:hAnsi="IRNazanin" w:eastAsia="IRNazanin" w:cs="IRNazanin"/>
          <w:lang w:bidi="fa-IR"/>
          <w:color w:val="111111"/>
          <w:sz w:val="28"/>
          <w:szCs w:val="28"/>
          <w:rtl/>
        </w:rPr>
        <w:t xml:space="preserve">خط: نسخ، كاتب = مؤلف، تا: ۱۷ ذیقعده ۱۳۵۲ق، کاغذ: سفید فرنگی، جلد: مقوایی، وگ، مختلف السطر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۷-۲۴]</w:t>
      </w:r>
    </w:p>
    <w:p>
      <w:pPr>
        <w:pStyle w:val="Heading3"/>
      </w:pPr>
      <w:bookmarkStart w:id="1281" w:name="_Toc541"/>
      <w:r>
        <w:t>•بيان الحق و الصدق المطلق / کلام و اعتقادات / فارسی</w:t>
      </w:r>
      <w:bookmarkEnd w:id="1281"/>
    </w:p>
    <w:p>
      <w:pPr>
        <w:pStyle w:val="BookText"/>
      </w:pPr>
      <w:r>
        <w:rPr>
          <w:rFonts w:ascii="Times New Roman" w:hAnsi="Times New Roman" w:eastAsia="Times New Roman" w:cs="Times New Roman"/>
          <w:lang w:val="en-US" w:bidi="en-US"/>
          <w:color w:val="111111"/>
          <w:sz w:val="28"/>
          <w:szCs w:val="28"/>
          <w:rtl/>
        </w:rPr>
        <w:t xml:space="preserve">bayān-ol haqq va-s sidq-el motlaq</w:t>
      </w:r>
    </w:p>
    <w:p>
      <w:pPr>
        <w:pStyle w:val="BookText"/>
      </w:pPr>
      <w:r>
        <w:rPr>
          <w:rFonts w:ascii="IRNazanin" w:hAnsi="IRNazanin" w:eastAsia="IRNazanin" w:cs="IRNazanin"/>
          <w:lang w:bidi="fa-IR"/>
          <w:color w:val="111111"/>
          <w:sz w:val="28"/>
          <w:szCs w:val="28"/>
          <w:rtl/>
        </w:rPr>
        <w:t xml:space="preserve">فخرالاسلام، محمد صادق، - ۱۳۳۰ ؟ قمری</w:t>
      </w:r>
    </w:p>
    <w:p>
      <w:pPr>
        <w:pStyle w:val="BookText"/>
      </w:pPr>
      <w:r>
        <w:rPr>
          <w:rFonts w:ascii="Times New Roman" w:hAnsi="Times New Roman" w:eastAsia="Times New Roman" w:cs="Times New Roman"/>
          <w:lang w:val="en-US" w:bidi="en-US"/>
          <w:color w:val="111111"/>
          <w:sz w:val="28"/>
          <w:szCs w:val="28"/>
          <w:rtl/>
        </w:rPr>
        <w:t xml:space="preserve">faxr-ol-eslām, mohammad sādeq (- 1912)</w:t>
      </w:r>
    </w:p>
    <w:p>
      <w:pPr>
        <w:pStyle w:val="BookText"/>
      </w:pPr>
      <w:r>
        <w:rPr>
          <w:rFonts w:ascii="IRNazanin" w:hAnsi="IRNazanin" w:eastAsia="IRNazanin" w:cs="IRNazanin"/>
          <w:lang w:bidi="fa-IR"/>
          <w:color w:val="111111"/>
          <w:sz w:val="28"/>
          <w:szCs w:val="28"/>
          <w:rtl/>
        </w:rPr>
        <w:t xml:space="preserve">در حقانیت دین اسلام و قرآن و رد یهود و نصاری. کتاب در ده مجلدست و مجلدات اول و چهارم طبع شده است.</w:t>
      </w:r>
    </w:p>
    <w:p>
      <w:pPr>
        <w:pStyle w:val="BookText"/>
      </w:pPr>
      <w:r>
        <w:rPr>
          <w:rFonts w:ascii="IRNazanin" w:hAnsi="IRNazanin" w:eastAsia="IRNazanin" w:cs="IRNazanin"/>
          <w:lang w:bidi="fa-IR"/>
          <w:color w:val="111111"/>
          <w:sz w:val="28"/>
          <w:szCs w:val="28"/>
          <w:rtl/>
        </w:rPr>
        <w:t xml:space="preserve">چاپ: طهران، سنگی، بی ناشر، ۱۳۲۲ق، وزیری، ۳۴۶ص؛ تهران، سنگی، ۱۳۲۴، ۶+ ۶۷۰صص</w:t>
      </w:r>
    </w:p>
    <w:p>
      <w:pPr>
        <w:pStyle w:val="BookText"/>
      </w:pPr>
      <w:r>
        <w:rPr>
          <w:rFonts w:ascii="IRNazanin" w:hAnsi="IRNazanin" w:eastAsia="IRNazanin" w:cs="IRNazanin"/>
          <w:lang w:bidi="fa-IR"/>
          <w:color w:val="111111"/>
          <w:sz w:val="28"/>
          <w:szCs w:val="28"/>
          <w:rtl/>
        </w:rPr>
        <w:t xml:space="preserve">[الذريعة ۳/ ۱۸۰؛ دنا ۵۸۳/۲ ؛ فهرستواره منزوی ۱۵۷/۹ ؛ مشار فارسی، ج ۱، ص ۸۳۳ ]</w:t>
      </w:r>
    </w:p>
    <w:p>
      <w:pPr>
        <w:pStyle w:val="BookText"/>
      </w:pPr>
      <w:r>
        <w:rPr>
          <w:rFonts w:ascii="IRNazanin" w:hAnsi="IRNazanin" w:eastAsia="IRNazanin" w:cs="IRNazanin"/>
          <w:lang w:bidi="fa-IR"/>
          <w:color w:val="111111"/>
          <w:sz w:val="28"/>
          <w:szCs w:val="28"/>
          <w:rtl/>
        </w:rPr>
        <w:t xml:space="preserve">۱. تهران؛ ملک؛ شماره نسخه: ۶۳۵</w:t>
      </w:r>
    </w:p>
    <w:p>
      <w:pPr>
        <w:pStyle w:val="BookText"/>
      </w:pPr>
      <w:r>
        <w:rPr>
          <w:rFonts w:ascii="IRNazanin" w:hAnsi="IRNazanin" w:eastAsia="IRNazanin" w:cs="IRNazanin"/>
          <w:lang w:bidi="fa-IR"/>
          <w:color w:val="111111"/>
          <w:sz w:val="28"/>
          <w:szCs w:val="28"/>
          <w:rtl/>
        </w:rPr>
        <w:t xml:space="preserve">جلد دوم؛ خط: شکسته نستعلیق، کاتب = مؤلف، تا: ۱۳۲۰ق؛ کاغذ: فرنگی، جلد: رویه کاغذ ابری فرنگی، ۲۰۱گ، ۱۶ سطر، اندازه: ۲۱/۳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۲-۶۵]</w:t>
      </w:r>
    </w:p>
    <w:p>
      <w:pPr>
        <w:pStyle w:val="BookText"/>
      </w:pPr>
      <w:r>
        <w:rPr>
          <w:rFonts w:ascii="IRNazanin" w:hAnsi="IRNazanin" w:eastAsia="IRNazanin" w:cs="IRNazanin"/>
          <w:lang w:bidi="fa-IR"/>
          <w:color w:val="111111"/>
          <w:sz w:val="28"/>
          <w:szCs w:val="28"/>
          <w:rtl/>
        </w:rPr>
        <w:t xml:space="preserve">۲. تهران؛ ملک؛ شماره نسخه: ۶۳۶</w:t>
      </w:r>
    </w:p>
    <w:p>
      <w:pPr>
        <w:pStyle w:val="BookText"/>
      </w:pPr>
      <w:r>
        <w:rPr>
          <w:rFonts w:ascii="IRNazanin" w:hAnsi="IRNazanin" w:eastAsia="IRNazanin" w:cs="IRNazanin"/>
          <w:lang w:bidi="fa-IR"/>
          <w:color w:val="111111"/>
          <w:sz w:val="28"/>
          <w:szCs w:val="28"/>
          <w:rtl/>
        </w:rPr>
        <w:t xml:space="preserve">دنباله جلد دوم؛ خط: شکسته نستعلیق، کاتب = مؤلف، تا: ۱۳۲۱ق، کاغذ: کاغذ فرنگی، جلد: رویه کاغذ ابری فرنگی، ۴۴۶گ، ۱۶ سطر، اندازه: ۲۱/۳</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۱۳/۸ سم [ف: ۲-۶۵]</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ملک؛ شماره نسخه: ۱۱۰۲</w:t>
      </w:r>
    </w:p>
    <w:p>
      <w:pPr>
        <w:pStyle w:val="BookText"/>
      </w:pPr>
      <w:r>
        <w:rPr>
          <w:rFonts w:ascii="IRNazanin" w:hAnsi="IRNazanin" w:eastAsia="IRNazanin" w:cs="IRNazanin"/>
          <w:lang w:bidi="fa-IR"/>
          <w:color w:val="111111"/>
          <w:sz w:val="28"/>
          <w:szCs w:val="28"/>
          <w:rtl/>
        </w:rPr>
        <w:t xml:space="preserve">جلد چهارم؛ خط: شکسته نستعلیق، کاتب = مؤلف، تا: ۱۳۲۳ق؛ کاغذ: کاغذ فرنگی مغز پسته ای، جلد: ساغری عطف و گوشه میشن، ۴۵۵ گ، ۱۶ سطر، اندازه: ۱۳/۷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۲۱/۲سم [ف: ۲-۶۵]</w:t>
      </w:r>
    </w:p>
    <w:p>
      <w:pPr>
        <w:pStyle w:val="BookText"/>
      </w:pPr>
      <w:r>
        <w:rPr>
          <w:rFonts w:ascii="IRNazanin" w:hAnsi="IRNazanin" w:eastAsia="IRNazanin" w:cs="IRNazanin"/>
          <w:lang w:bidi="fa-IR"/>
          <w:color w:val="111111"/>
          <w:sz w:val="28"/>
          <w:szCs w:val="28"/>
          <w:rtl/>
        </w:rPr>
        <w:t xml:space="preserve">۴. تهران؛ مجلس؛ شماره نسخه: ۱۸۸۷۲ ض</w:t>
      </w:r>
    </w:p>
    <w:p>
      <w:pPr>
        <w:pStyle w:val="BookText"/>
      </w:pPr>
      <w:r>
        <w:rPr>
          <w:rFonts w:ascii="IRNazanin" w:hAnsi="IRNazanin" w:eastAsia="IRNazanin" w:cs="IRNazanin"/>
          <w:lang w:bidi="fa-IR"/>
          <w:color w:val="111111"/>
          <w:sz w:val="28"/>
          <w:szCs w:val="28"/>
          <w:rtl/>
        </w:rPr>
        <w:t xml:space="preserve">بی کا، بیتا (د.ث. مجلس]</w:t>
      </w:r>
    </w:p>
    <w:p>
      <w:pPr>
        <w:pStyle w:val="Heading3"/>
      </w:pPr>
      <w:bookmarkStart w:id="1282" w:name="_Toc542"/>
      <w:r>
        <w:t>• بيان الحق و تبیان الصدق / فقه / عربی</w:t>
      </w:r>
      <w:bookmarkEnd w:id="1282"/>
    </w:p>
    <w:p>
      <w:pPr>
        <w:pStyle w:val="BookText"/>
      </w:pPr>
      <w:r>
        <w:rPr>
          <w:rFonts w:ascii="Times New Roman" w:hAnsi="Times New Roman" w:eastAsia="Times New Roman" w:cs="Times New Roman"/>
          <w:lang w:val="en-US" w:bidi="en-US"/>
          <w:color w:val="111111"/>
          <w:sz w:val="28"/>
          <w:szCs w:val="28"/>
          <w:rtl/>
        </w:rPr>
        <w:t xml:space="preserve">bayān-ul haqq wa tibyān-uş şidq</w:t>
      </w:r>
    </w:p>
    <w:p>
      <w:pPr>
        <w:pStyle w:val="BookText"/>
      </w:pPr>
      <w:r>
        <w:rPr>
          <w:rFonts w:ascii="IRNazanin" w:hAnsi="IRNazanin" w:eastAsia="IRNazanin" w:cs="IRNazanin"/>
          <w:lang w:bidi="fa-IR"/>
          <w:color w:val="111111"/>
          <w:sz w:val="28"/>
          <w:szCs w:val="28"/>
          <w:rtl/>
        </w:rPr>
        <w:t xml:space="preserve">علوی عاملی، احمد بن زین العابدین،-۱۰۵۴ قمری</w:t>
      </w:r>
    </w:p>
    <w:p>
      <w:pPr>
        <w:pStyle w:val="BookText"/>
      </w:pPr>
      <w:r>
        <w:rPr>
          <w:rFonts w:ascii="Times New Roman" w:hAnsi="Times New Roman" w:eastAsia="Times New Roman" w:cs="Times New Roman"/>
          <w:lang w:val="en-US" w:bidi="en-US"/>
          <w:color w:val="111111"/>
          <w:sz w:val="28"/>
          <w:szCs w:val="28"/>
          <w:rtl/>
        </w:rPr>
        <w:t xml:space="preserve">‘alavī āmelī, ahmad ebn-e zayn-ol-‘ābedīn (- 1645)</w:t>
      </w:r>
    </w:p>
    <w:p>
      <w:pPr>
        <w:pStyle w:val="BookText"/>
      </w:pPr>
      <w:r>
        <w:rPr>
          <w:rFonts w:ascii="IRNazanin" w:hAnsi="IRNazanin" w:eastAsia="IRNazanin" w:cs="IRNazanin"/>
          <w:lang w:bidi="fa-IR"/>
          <w:color w:val="111111"/>
          <w:sz w:val="28"/>
          <w:szCs w:val="28"/>
          <w:rtl/>
        </w:rPr>
        <w:t xml:space="preserve">رساله ای است در بیان انواع وقف و اقسام موقوف عليهم و بیان حكم وقف با انقراض موقوف عليهم. بحث در این است که اگر کسی اموال خویش را به اولاد ذكور نسلا بعد نسل وقف نماید و به اولاد اناث چیزی ندهد بعد از انقراض اولاد ذکور، اموال به اناث صلبی واقف، تعلق خواهد گرفت و پس از انقراض آنان اولاد ذكوری که با واقف نزدیکترند نسبت به اموال وقفی حق اولویت پیدا می کنند. منظور از اقرب اولاد ذكور به واقف نوه های دختری او هستند که از اولاد ذكور برادر نزدیکترند و با وجود آنها نوبت به دیگران نمی رسد و اگر اولاد ذكور اناث منقرض شوند اموال، از آن اقرب اناث خواهد بود. (براتعلی غلامی مقدم)</w:t>
      </w:r>
    </w:p>
    <w:p>
      <w:pPr>
        <w:pStyle w:val="BookText"/>
      </w:pPr>
      <w:r>
        <w:rPr>
          <w:rFonts w:ascii="Amiri" w:hAnsi="Amiri" w:eastAsia="Amiri" w:cs="Amiri"/>
          <w:lang w:bidi="ar-SA"/>
          <w:color w:val="111111"/>
          <w:sz w:val="28"/>
          <w:szCs w:val="28"/>
          <w:rtl/>
        </w:rPr>
        <w:t xml:space="preserve">[دنا ۵۸۳/۲ ؛ الذريعة ۱۷۹/۳ ]</w:t>
      </w:r>
    </w:p>
    <w:p>
      <w:pPr>
        <w:pStyle w:val="BookText"/>
      </w:pPr>
      <w:r>
        <w:rPr>
          <w:rFonts w:ascii="IRNazanin" w:hAnsi="IRNazanin" w:eastAsia="IRNazanin" w:cs="IRNazanin"/>
          <w:lang w:bidi="fa-IR"/>
          <w:color w:val="111111"/>
          <w:sz w:val="28"/>
          <w:szCs w:val="28"/>
          <w:rtl/>
        </w:rPr>
        <w:t xml:space="preserve">١. مشهد؛ رضوی؛ شماره نسخه: ۲۲۵۹</w:t>
      </w:r>
    </w:p>
    <w:p>
      <w:pPr>
        <w:pStyle w:val="BookText"/>
      </w:pPr>
      <w:r>
        <w:rPr>
          <w:rFonts w:ascii="IRNazanin" w:hAnsi="IRNazanin" w:eastAsia="IRNazanin" w:cs="IRNazanin"/>
          <w:lang w:bidi="fa-IR"/>
          <w:color w:val="111111"/>
          <w:sz w:val="28"/>
          <w:szCs w:val="28"/>
          <w:rtl/>
        </w:rPr>
        <w:t xml:space="preserve">آغاز: بسمله، بالحكيم العليم صدر كتاب النظام حمدالله الملک العلام؛ انجام: فما لكم كيف تجهلون تمت الرسالة الموسومة بيان الحق و تبيان الصدق ... خط: نسخ، بی کا، تا: قرن ۱۱؛ مصحح؛ واقف: ابن خاتون، ۱۰۶۷؛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77" w:name="pg20363_209409"/>
    <w:bookmarkEnd w:id="177"/>
    <w:p>
      <w:pPr>
        <w:pStyle w:val="BookText"/>
      </w:pPr>
      <w:r>
        <w:rPr>
          <w:rFonts w:ascii="IRNazanin" w:hAnsi="IRNazanin" w:eastAsia="IRNazanin" w:cs="IRNazanin"/>
          <w:lang w:bidi="fa-IR"/>
          <w:color w:val="111111"/>
          <w:sz w:val="28"/>
          <w:szCs w:val="28"/>
          <w:rtl/>
        </w:rPr>
        <w:t xml:space="preserve">کاغذ: نخودی آهار مهره، جلد: مقوا، رویه پارچه، ۷۶گ، ۱۲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۲۱/۱ -۱۹۷]</w:t>
      </w:r>
    </w:p>
    <w:p>
      <w:pPr>
        <w:pStyle w:val="BookText"/>
      </w:pPr>
      <w:r>
        <w:rPr>
          <w:rFonts w:ascii="IRNazanin" w:hAnsi="IRNazanin" w:eastAsia="IRNazanin" w:cs="IRNazanin"/>
          <w:lang w:bidi="fa-IR"/>
          <w:color w:val="111111"/>
          <w:sz w:val="28"/>
          <w:szCs w:val="28"/>
          <w:rtl/>
        </w:rPr>
        <w:t xml:space="preserve">تهران؛ دانشگاه، شماره نسخه: ۳۳۵۸/۱</w:t>
      </w:r>
    </w:p>
    <w:p>
      <w:pPr>
        <w:pStyle w:val="BookText"/>
      </w:pPr>
      <w:r>
        <w:rPr>
          <w:rFonts w:ascii="IRNazanin" w:hAnsi="IRNazanin" w:eastAsia="IRNazanin" w:cs="IRNazanin"/>
          <w:lang w:bidi="fa-IR"/>
          <w:color w:val="111111"/>
          <w:sz w:val="28"/>
          <w:szCs w:val="28"/>
          <w:rtl/>
        </w:rPr>
        <w:t xml:space="preserve">في نسخه اصل: همان نسخه بالا [فیلمها ف: ۲-۱۲۹]</w:t>
      </w:r>
    </w:p>
    <w:p>
      <w:pPr>
        <w:pStyle w:val="BookText"/>
      </w:pPr>
      <w:r>
        <w:rPr>
          <w:rFonts w:ascii="IRNazanin" w:hAnsi="IRNazanin" w:eastAsia="IRNazanin" w:cs="IRNazanin"/>
          <w:lang w:bidi="fa-IR"/>
          <w:color w:val="111111"/>
          <w:sz w:val="28"/>
          <w:szCs w:val="28"/>
          <w:rtl/>
        </w:rPr>
        <w:t xml:space="preserve">۲. قم؛ فیضیه؛ شماره نسخه: ۱۹۶۱</w:t>
      </w:r>
    </w:p>
    <w:p>
      <w:pPr>
        <w:pStyle w:val="BookText"/>
      </w:pPr>
      <w:r>
        <w:rPr>
          <w:rFonts w:ascii="IRNazanin" w:hAnsi="IRNazanin" w:eastAsia="IRNazanin" w:cs="IRNazanin"/>
          <w:lang w:bidi="fa-IR"/>
          <w:color w:val="111111"/>
          <w:sz w:val="28"/>
          <w:szCs w:val="28"/>
          <w:rtl/>
        </w:rPr>
        <w:t xml:space="preserve">آغاز: صدر كتاب النظام حمد الله الملك العلام و الصلوة على سودة الا نام محمد و عترته مصابيح؛ انجام: انتهت الصورة الوقفية بعينها و الله يحق الحق و يهدي للسبيل. خط: نسخ، كان محمد محسن بن میر محمد سعید حسینی، تا: ۱۰۴۸ق؛ گی، ۱۵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۱-۳۶]</w:t>
      </w:r>
    </w:p>
    <w:p>
      <w:pPr>
        <w:pStyle w:val="BookText"/>
      </w:pPr>
      <w:r>
        <w:rPr>
          <w:rFonts w:ascii="IRNazanin" w:hAnsi="IRNazanin" w:eastAsia="IRNazanin" w:cs="IRNazanin"/>
          <w:lang w:bidi="fa-IR"/>
          <w:color w:val="111111"/>
          <w:sz w:val="28"/>
          <w:szCs w:val="28"/>
          <w:rtl/>
        </w:rPr>
        <w:t xml:space="preserve">٣. تهران؛ مجلس؛ شماره نسخه: ۹۸۸/۲ -طباطبائی</w:t>
      </w:r>
    </w:p>
    <w:p>
      <w:pPr>
        <w:pStyle w:val="BookText"/>
      </w:pPr>
      <w:r>
        <w:rPr>
          <w:rFonts w:ascii="IRNazanin" w:hAnsi="IRNazanin" w:eastAsia="IRNazanin" w:cs="IRNazanin"/>
          <w:lang w:bidi="fa-IR"/>
          <w:color w:val="111111"/>
          <w:sz w:val="28"/>
          <w:szCs w:val="28"/>
          <w:rtl/>
        </w:rPr>
        <w:t xml:space="preserve">آغاز: في رساله بيان الحق و تبيان الصدق الاجل السيد احمد ... صهر السيد الداماد وضعها لبيان حكم مسئله متعلقه بالوقف ... ورد عن الشعبي قال كنت عند الحجاج فاتی یحیی بن يعمر فقیه خراسان من بلخ مكبلا بالحديد؛ انجام پایان: فتحير الرجل فسئل الحسن (عليه السلام)... عن فقال شفع ... و هو الفرد هو الذي لاشریک له خط: نستعلیق متوسط، كا: سید محمد صادق طباطبائی، بی تا؛ کاتب نیای اهداء کننده این مجموعه اهدائی است، که نسخه به وسیله نوه او سید محمد صادق طباطبائی رئیس مجلس شورای ملی به کتابخانه مجلس اهداء شد؛ کاغذ: فرنگی، جلد: تیماج قرمز، ۳ص (۲۹-۳۱)، قطع: رقعی،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۲۳-۲۶۴]</w:t>
      </w:r>
    </w:p>
    <w:p>
      <w:pPr>
        <w:pStyle w:val="Heading3"/>
      </w:pPr>
      <w:bookmarkStart w:id="1283" w:name="_Toc543"/>
      <w:r>
        <w:t>• بيان الحق و لسان الصدق / منطق / عربی</w:t>
      </w:r>
      <w:bookmarkEnd w:id="1283"/>
    </w:p>
    <w:p>
      <w:pPr>
        <w:pStyle w:val="BookText"/>
      </w:pPr>
      <w:r>
        <w:rPr>
          <w:rFonts w:ascii="Times New Roman" w:hAnsi="Times New Roman" w:eastAsia="Times New Roman" w:cs="Times New Roman"/>
          <w:lang w:val="en-US" w:bidi="en-US"/>
          <w:color w:val="111111"/>
          <w:sz w:val="28"/>
          <w:szCs w:val="28"/>
          <w:rtl/>
        </w:rPr>
        <w:t xml:space="preserve">bayān-ul ḥaqq wa lisān-uş şidq</w:t>
      </w:r>
    </w:p>
    <w:p>
      <w:pPr>
        <w:pStyle w:val="BookText"/>
      </w:pPr>
      <w:r>
        <w:rPr>
          <w:rFonts w:ascii="IRNazanin" w:hAnsi="IRNazanin" w:eastAsia="IRNazanin" w:cs="IRNazanin"/>
          <w:lang w:bidi="fa-IR"/>
          <w:color w:val="111111"/>
          <w:sz w:val="28"/>
          <w:szCs w:val="28"/>
          <w:rtl/>
        </w:rPr>
        <w:t xml:space="preserve">سراج الدين ارموی، محمود بن ابی بکر، ۵۹۴-۶۸۲ قمری</w:t>
      </w:r>
    </w:p>
    <w:p>
      <w:pPr>
        <w:pStyle w:val="BookText"/>
      </w:pPr>
      <w:r>
        <w:rPr>
          <w:rFonts w:ascii="Times New Roman" w:hAnsi="Times New Roman" w:eastAsia="Times New Roman" w:cs="Times New Roman"/>
          <w:lang w:val="en-US" w:bidi="en-US"/>
          <w:color w:val="111111"/>
          <w:sz w:val="28"/>
          <w:szCs w:val="28"/>
          <w:rtl/>
        </w:rPr>
        <w:t xml:space="preserve">serāj-od-dīn-e ormavī, mahmūd ebn-e abī-bakr (1198 1284)</w:t>
      </w:r>
    </w:p>
    <w:p>
      <w:pPr>
        <w:pStyle w:val="BookText"/>
      </w:pPr>
      <w:r>
        <w:rPr>
          <w:rFonts w:ascii="IRNazanin" w:hAnsi="IRNazanin" w:eastAsia="IRNazanin" w:cs="IRNazanin"/>
          <w:lang w:bidi="fa-IR"/>
          <w:color w:val="111111"/>
          <w:sz w:val="28"/>
          <w:szCs w:val="28"/>
          <w:rtl/>
        </w:rPr>
        <w:t xml:space="preserve">[دنا ۵۸۳/۲ ؛ فهرس معهد المخطوطات ۲۰۲/۱ ]</w:t>
      </w:r>
    </w:p>
    <w:p>
      <w:pPr>
        <w:pStyle w:val="BookText"/>
      </w:pPr>
      <w:r>
        <w:rPr>
          <w:rFonts w:ascii="IRNazanin" w:hAnsi="IRNazanin" w:eastAsia="IRNazanin" w:cs="IRNazanin"/>
          <w:lang w:bidi="fa-IR"/>
          <w:color w:val="111111"/>
          <w:sz w:val="28"/>
          <w:szCs w:val="28"/>
          <w:rtl/>
        </w:rPr>
        <w:t xml:space="preserve">۱. تهران؛ ملک؛ شماره نسخه: ۲۸۴۳</w:t>
      </w:r>
    </w:p>
    <w:p>
      <w:pPr>
        <w:pStyle w:val="BookText"/>
      </w:pPr>
      <w:r>
        <w:rPr>
          <w:rFonts w:ascii="IRNazanin" w:hAnsi="IRNazanin" w:eastAsia="IRNazanin" w:cs="IRNazanin"/>
          <w:lang w:bidi="fa-IR"/>
          <w:color w:val="111111"/>
          <w:sz w:val="28"/>
          <w:szCs w:val="28"/>
          <w:rtl/>
        </w:rPr>
        <w:t xml:space="preserve">خط: نسخ، كا: يعقوب بن عثمان، تا: جمادی الاول ۱۹۵ق، جان قصبه سو دره؛ کاغذ: ترمه، جلد: میشن سرخ، ۱۹۷گ، ۲۳ سطر، اندازه: ۱۴/۱۱</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۲۱/۶سم [ف: ۱-۷۵]</w:t>
      </w:r>
    </w:p>
    <w:p>
      <w:pPr>
        <w:pStyle w:val="BookText"/>
      </w:pPr>
      <w:r>
        <w:rPr>
          <w:rFonts w:ascii="IRNazanin" w:hAnsi="IRNazanin" w:eastAsia="IRNazanin" w:cs="IRNazanin"/>
          <w:lang w:bidi="fa-IR"/>
          <w:color w:val="111111"/>
          <w:sz w:val="28"/>
          <w:szCs w:val="28"/>
          <w:rtl/>
        </w:rPr>
        <w:t xml:space="preserve">تهران؛ دانشگاه؛ شماره نسخه: ۲۸۲۸-ف</w:t>
      </w:r>
    </w:p>
    <w:p>
      <w:pPr>
        <w:pStyle w:val="BookText"/>
      </w:pPr>
      <w:r>
        <w:rPr>
          <w:rFonts w:ascii="IRNazanin" w:hAnsi="IRNazanin" w:eastAsia="IRNazanin" w:cs="IRNazanin"/>
          <w:lang w:bidi="fa-IR"/>
          <w:color w:val="111111"/>
          <w:sz w:val="28"/>
          <w:szCs w:val="28"/>
          <w:rtl/>
        </w:rPr>
        <w:t xml:space="preserve">نسخه اصل: همان نسخه بالا [فیلمها ف: ۱-۲۹۲]</w:t>
      </w:r>
    </w:p>
    <w:p>
      <w:pPr>
        <w:pStyle w:val="BookText"/>
      </w:pPr>
      <w:r>
        <w:rPr>
          <w:rFonts w:ascii="IRNazanin" w:hAnsi="IRNazanin" w:eastAsia="IRNazanin" w:cs="IRNazanin"/>
          <w:lang w:bidi="fa-IR"/>
          <w:color w:val="111111"/>
          <w:sz w:val="28"/>
          <w:szCs w:val="28"/>
          <w:rtl/>
        </w:rPr>
        <w:t xml:space="preserve">۲. همدان؛ مدرسه غرب؛ شماره نسخه: ۱۱۸۷/۴۰</w:t>
      </w:r>
    </w:p>
    <w:p>
      <w:pPr>
        <w:pStyle w:val="BookText"/>
      </w:pPr>
      <w:r>
        <w:rPr>
          <w:rFonts w:ascii="IRNazanin" w:hAnsi="IRNazanin" w:eastAsia="IRNazanin" w:cs="IRNazanin"/>
          <w:lang w:bidi="fa-IR"/>
          <w:color w:val="111111"/>
          <w:sz w:val="28"/>
          <w:szCs w:val="28"/>
          <w:rtl/>
        </w:rPr>
        <w:t xml:space="preserve">مقدمه پنجم در موضوع علم منطق؛ خط: نسخ، بی کا، تا: قرن ۱۰ يا 11، با سرلوحهای زرین؛ کاغذ: اصفهانی نازک، ۲گ (۲۰۱ پ ۲۰۲)، ۲۴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[رشت و همدان: ف: ۱۴۷۳]</w:t>
      </w:r>
    </w:p>
    <w:p>
      <w:pPr>
        <w:pStyle w:val="Heading3"/>
      </w:pPr>
      <w:bookmarkStart w:id="1284" w:name="_Toc544"/>
      <w:r>
        <w:t>• بيان حقيقة التكليف و تبیان خصوصية من شرف بهذا التشريف / فلسفه / عربی</w:t>
      </w:r>
      <w:bookmarkEnd w:id="1284"/>
    </w:p>
    <w:p>
      <w:pPr>
        <w:pStyle w:val="BookText"/>
      </w:pPr>
      <w:r>
        <w:rPr>
          <w:rFonts w:ascii="Times New Roman" w:hAnsi="Times New Roman" w:eastAsia="Times New Roman" w:cs="Times New Roman"/>
          <w:lang w:val="en-US" w:bidi="en-US"/>
          <w:color w:val="111111"/>
          <w:sz w:val="28"/>
          <w:szCs w:val="28"/>
          <w:rtl/>
        </w:rPr>
        <w:t xml:space="preserve">bayān-u ņaqiqat-it taklīf wa tibyān-u xuṣūṣīyyat-in min šaraf-i bi-hāda-t tašrīf</w:t>
      </w:r>
    </w:p>
    <w:p>
      <w:pPr>
        <w:pStyle w:val="BookText"/>
      </w:pPr>
      <w:r>
        <w:rPr>
          <w:rFonts w:ascii="IRNazanin" w:hAnsi="IRNazanin" w:eastAsia="IRNazanin" w:cs="IRNazanin"/>
          <w:lang w:bidi="fa-IR"/>
          <w:color w:val="111111"/>
          <w:sz w:val="28"/>
          <w:szCs w:val="28"/>
          <w:rtl/>
        </w:rPr>
        <w:t xml:space="preserve">مراغی، حسن بن عبدالرحيم، -۱۳۰۰ قمری</w:t>
      </w:r>
    </w:p>
    <w:p>
      <w:pPr>
        <w:pStyle w:val="BookText"/>
      </w:pPr>
      <w:r>
        <w:rPr>
          <w:rFonts w:ascii="Times New Roman" w:hAnsi="Times New Roman" w:eastAsia="Times New Roman" w:cs="Times New Roman"/>
          <w:lang w:val="en-US" w:bidi="en-US"/>
          <w:color w:val="111111"/>
          <w:sz w:val="28"/>
          <w:szCs w:val="28"/>
          <w:rtl/>
        </w:rPr>
        <w:t xml:space="preserve">marāqī, hasan ebn-e 'abd-or-rahīm (- 1883)</w:t>
      </w:r>
    </w:p>
    <w:p>
      <w:pPr>
        <w:pStyle w:val="BookText"/>
      </w:pPr>
      <w:r>
        <w:rPr>
          <w:rFonts w:ascii="IRNazanin" w:hAnsi="IRNazanin" w:eastAsia="IRNazanin" w:cs="IRNazanin"/>
          <w:lang w:bidi="fa-IR"/>
          <w:color w:val="111111"/>
          <w:sz w:val="28"/>
          <w:szCs w:val="28"/>
          <w:rtl/>
        </w:rPr>
        <w:t xml:space="preserve">تاریخ تألیف: ۱۲۵۹ق در این کتاب تكليف را به دو قسم تکوینی و تشریعی تقسیم نموده و از دید فلسفی در آنها بحث می کند و تمام موجودات را در تکلیف تكوینی شریک دانسته و انسان را به تکلیف تکوینی مخصوص می داند و در این موضوع از گفته های ابن سینا استفاده نموده است. آغاز: الحمدلله الذي خلق العباد و اقدرهم على طاعته و أتم لهم الحجج بالعقول ... اما بعد، فينبغي أن يعلم أن لا ريب فيان كلما يدرک فهو شيء و الالم يدرک ... انجام: و الشرع ظهور النبوة و عيانها و الكون ظهور الولاية و بیانها فصلى الله على الأول بیانة و الاخر عيانة و الباطن سلطان و سائر اولی الامر و الحكم نصة و تبيان</w:t>
      </w:r>
    </w:p>
    <w:p>
      <w:pPr>
        <w:pStyle w:val="BookText"/>
      </w:pPr>
      <w:r>
        <w:rPr>
          <w:rFonts w:ascii="IRNazanin" w:hAnsi="IRNazanin" w:eastAsia="IRNazanin" w:cs="IRNazanin"/>
          <w:lang w:bidi="fa-IR"/>
          <w:color w:val="111111"/>
          <w:sz w:val="28"/>
          <w:szCs w:val="28"/>
          <w:rtl/>
        </w:rPr>
        <w:t xml:space="preserve">۱. قم؛ مرعشی؛ شماره نسخه: ۱۵۱۳۶/۳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زیبا، بی کا، تا: قرن ۱۳؛ کاغذ: فرنگی، ۵گ (۱۱-۱۵)، ۲۰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۸سم [ف: ۳۸-۴۱۵]</w:t>
      </w:r>
    </w:p>
    <w:p>
      <w:pPr>
        <w:pStyle w:val="BookText"/>
      </w:pPr>
      <w:r>
        <w:rPr>
          <w:rFonts w:ascii="IRNazanin" w:hAnsi="IRNazanin" w:eastAsia="IRNazanin" w:cs="IRNazanin"/>
          <w:lang w:bidi="fa-IR"/>
          <w:color w:val="111111"/>
          <w:sz w:val="28"/>
          <w:szCs w:val="28"/>
          <w:rtl/>
        </w:rPr>
        <w:t xml:space="preserve">۲. قم؛ مرعشی؛ شماره نسخه: ۲۰۲۷/۲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زیبا، كان رستم بن بیجن، تا: ۱۲۵۹ق؛ جلد: تیماج قهوه ای بدون مقوا، ۸گ (۱۲ -۱۹ر)، ۱۵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۱۳/۵سم [ف: ۶- ۳۲]</w:t>
      </w:r>
    </w:p>
    <w:p>
      <w:pPr>
        <w:pStyle w:val="BookText"/>
      </w:pPr>
      <w:r>
        <w:rPr>
          <w:rFonts w:ascii="IRNazanin" w:hAnsi="IRNazanin" w:eastAsia="IRNazanin" w:cs="IRNazanin"/>
          <w:lang w:bidi="fa-IR"/>
          <w:color w:val="111111"/>
          <w:sz w:val="28"/>
          <w:szCs w:val="28"/>
          <w:rtl/>
        </w:rPr>
        <w:t xml:space="preserve">٣. قم؛ مرعشی؛ شماره نسخه: ۸۸۴/۳ این نسخه در فهرست معرفی نشده است و به استناد جلد ۴۱۵/۳۸ ذکر شد؛ بی کا، بی تا؛ ۳ص (۷۹-۸۱) [ف: ۳-۷۶]</w:t>
      </w:r>
    </w:p>
    <w:p>
      <w:pPr>
        <w:pStyle w:val="BookText"/>
      </w:pPr>
      <w:r>
        <w:rPr>
          <w:rFonts w:ascii="IRNazanin" w:hAnsi="IRNazanin" w:eastAsia="IRNazanin" w:cs="IRNazanin"/>
          <w:lang w:bidi="fa-IR"/>
          <w:color w:val="111111"/>
          <w:sz w:val="28"/>
          <w:szCs w:val="28"/>
          <w:rtl/>
        </w:rPr>
        <w:t xml:space="preserve">←بیان حواس← حواس</w:t>
      </w:r>
    </w:p>
    <w:p>
      <w:pPr>
        <w:pStyle w:val="Heading3"/>
      </w:pPr>
      <w:bookmarkStart w:id="1285" w:name="_Toc545"/>
      <w:r>
        <w:t>• بیان خلود اهل جنة و النار / کلام و اعتقادات / عربی</w:t>
      </w:r>
      <w:bookmarkEnd w:id="1285"/>
    </w:p>
    <w:p>
      <w:pPr>
        <w:pStyle w:val="BookText"/>
      </w:pPr>
      <w:r>
        <w:rPr>
          <w:rFonts w:ascii="Times New Roman" w:hAnsi="Times New Roman" w:eastAsia="Times New Roman" w:cs="Times New Roman"/>
          <w:lang w:val="en-US" w:bidi="en-US"/>
          <w:color w:val="111111"/>
          <w:sz w:val="28"/>
          <w:szCs w:val="28"/>
          <w:rtl/>
        </w:rPr>
        <w:t xml:space="preserve">bayān-e xolūd-e ahl-e jannat va nār</w:t>
      </w:r>
    </w:p>
    <w:p>
      <w:pPr>
        <w:pStyle w:val="BookText"/>
      </w:pPr>
      <w:r>
        <w:rPr>
          <w:rFonts w:ascii="IRNazanin" w:hAnsi="IRNazanin" w:eastAsia="IRNazanin" w:cs="IRNazanin"/>
          <w:lang w:bidi="fa-IR"/>
          <w:color w:val="111111"/>
          <w:sz w:val="28"/>
          <w:szCs w:val="28"/>
          <w:rtl/>
        </w:rPr>
        <w:t xml:space="preserve">احسائی، احمد بن زین الدین، ۱۱۶۶-۱۲۴۱ ؟ قمری</w:t>
      </w:r>
    </w:p>
    <w:p>
      <w:pPr>
        <w:pStyle w:val="BookText"/>
      </w:pPr>
      <w:r>
        <w:rPr>
          <w:rFonts w:ascii="Times New Roman" w:hAnsi="Times New Roman" w:eastAsia="Times New Roman" w:cs="Times New Roman"/>
          <w:lang w:val="en-US" w:bidi="en-US"/>
          <w:color w:val="111111"/>
          <w:sz w:val="28"/>
          <w:szCs w:val="28"/>
          <w:rtl/>
        </w:rPr>
        <w:t xml:space="preserve">ahsāʻī, ahmad ebn-e zayn-od-dīn (1753-1826)</w:t>
      </w:r>
    </w:p>
    <w:p>
      <w:pPr>
        <w:pStyle w:val="BookText"/>
      </w:pPr>
      <w:r>
        <w:rPr>
          <w:rFonts w:ascii="IRNazanin" w:hAnsi="IRNazanin" w:eastAsia="IRNazanin" w:cs="IRNazanin"/>
          <w:lang w:bidi="fa-IR"/>
          <w:color w:val="111111"/>
          <w:sz w:val="28"/>
          <w:szCs w:val="28"/>
          <w:rtl/>
        </w:rPr>
        <w:t xml:space="preserve">مشهد؛ رضوی؛ شماره نسخه: ۲۲۰۴۷</w:t>
      </w:r>
    </w:p>
    <w:p>
      <w:pPr>
        <w:pStyle w:val="BookText"/>
      </w:pPr>
      <w:r>
        <w:rPr>
          <w:rFonts w:ascii="IRNazanin" w:hAnsi="IRNazanin" w:eastAsia="IRNazanin" w:cs="IRNazanin"/>
          <w:lang w:bidi="fa-IR"/>
          <w:color w:val="111111"/>
          <w:sz w:val="28"/>
          <w:szCs w:val="28"/>
          <w:rtl/>
        </w:rPr>
        <w:t xml:space="preserve">آغاز: بسمله اعلم انه قد ثبت كما قررنا في بعض؛ انجام: و دهر الداهرين بسم الله الرحمن الرحيم خط: نسخ، كا: عبدالله خراسانی، تا: قرن ۱۳؛ کاغذ: نخ، جلد: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78" w:name="pg20363_209410"/>
    <w:bookmarkEnd w:id="178"/>
    <w:p>
      <w:pPr>
        <w:pStyle w:val="BookText"/>
      </w:pPr>
      <w:r>
        <w:rPr>
          <w:rFonts w:ascii="IRNazanin" w:hAnsi="IRNazanin" w:eastAsia="IRNazanin" w:cs="IRNazanin"/>
          <w:lang w:bidi="fa-IR"/>
          <w:color w:val="111111"/>
          <w:sz w:val="28"/>
          <w:szCs w:val="28"/>
          <w:rtl/>
        </w:rPr>
        <w:t xml:space="preserve">مقوا، ۲۱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[رایانه]</w:t>
      </w:r>
    </w:p>
    <w:p>
      <w:pPr>
        <w:pStyle w:val="BookText"/>
      </w:pPr>
      <w:r>
        <w:rPr>
          <w:rFonts w:ascii="IRNazanin" w:hAnsi="IRNazanin" w:eastAsia="IRNazanin" w:cs="IRNazanin"/>
          <w:lang w:bidi="fa-IR"/>
          <w:color w:val="111111"/>
          <w:sz w:val="28"/>
          <w:szCs w:val="28"/>
          <w:rtl/>
        </w:rPr>
        <w:t xml:space="preserve">←بیان خودش ←بیان حواس</w:t>
      </w:r>
    </w:p>
    <w:p>
      <w:pPr>
        <w:pStyle w:val="Heading3"/>
      </w:pPr>
      <w:bookmarkStart w:id="1286" w:name="_Toc546"/>
      <w:r>
        <w:t>•بیان دزد / فارسی</w:t>
      </w:r>
      <w:bookmarkEnd w:id="1286"/>
    </w:p>
    <w:p>
      <w:pPr>
        <w:pStyle w:val="BookText"/>
      </w:pPr>
      <w:r>
        <w:rPr>
          <w:rFonts w:ascii="Times New Roman" w:hAnsi="Times New Roman" w:eastAsia="Times New Roman" w:cs="Times New Roman"/>
          <w:lang w:val="en-US" w:bidi="en-US"/>
          <w:color w:val="111111"/>
          <w:sz w:val="28"/>
          <w:szCs w:val="28"/>
          <w:rtl/>
        </w:rPr>
        <w:t xml:space="preserve">bayān-e dozd</w:t>
      </w:r>
    </w:p>
    <w:p>
      <w:pPr>
        <w:pStyle w:val="BookText"/>
      </w:pPr>
      <w:r>
        <w:rPr>
          <w:rFonts w:ascii="IRNazanin" w:hAnsi="IRNazanin" w:eastAsia="IRNazanin" w:cs="IRNazanin"/>
          <w:lang w:bidi="fa-IR"/>
          <w:color w:val="111111"/>
          <w:sz w:val="28"/>
          <w:szCs w:val="28"/>
          <w:rtl/>
        </w:rPr>
        <w:t xml:space="preserve">تهران؛ دانشگاه؛ شماره نسخه: ۱۰۶۸۴/۱۰</w:t>
      </w:r>
    </w:p>
    <w:p>
      <w:pPr>
        <w:pStyle w:val="BookText"/>
      </w:pPr>
      <w:r>
        <w:rPr>
          <w:rFonts w:ascii="IRNazanin" w:hAnsi="IRNazanin" w:eastAsia="IRNazanin" w:cs="IRNazanin"/>
          <w:lang w:bidi="fa-IR"/>
          <w:color w:val="111111"/>
          <w:sz w:val="28"/>
          <w:szCs w:val="28"/>
          <w:rtl/>
        </w:rPr>
        <w:t xml:space="preserve">آغاز: فایده در بیان دزد. بدان ای عزیز من که عاقل کامل به گرد پیدا کردن دزد نگردد چرا که چون دانستی که فلان دزد است؛ انجام: و شکل دزد را از اول سر او باشد و ۲ گردن تا آخر که پای اوست. و الله اعلم بالصواب خط: نسخ، بی کا، بی تا؛ جلد: تیماج مشکی یک لا، ۲گ (۳۰پ - ۳۱ر)،۱۵-۲۱سطر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۲۰-۱۸۷]</w:t>
      </w:r>
    </w:p>
    <w:p>
      <w:pPr>
        <w:pStyle w:val="Heading3"/>
      </w:pPr>
      <w:bookmarkStart w:id="1287" w:name="_Toc547"/>
      <w:r>
        <w:t>•بیان دعوی علی بن ابیطالب (علیه السلام) الامامة و ظهور المعجزة على يده / تاریخ معصومین / عربی</w:t>
      </w:r>
      <w:bookmarkEnd w:id="1287"/>
    </w:p>
    <w:p>
      <w:pPr>
        <w:pStyle w:val="BookText"/>
      </w:pPr>
      <w:r>
        <w:rPr>
          <w:rFonts w:ascii="Times New Roman" w:hAnsi="Times New Roman" w:eastAsia="Times New Roman" w:cs="Times New Roman"/>
          <w:lang w:val="en-US" w:bidi="en-US"/>
          <w:color w:val="111111"/>
          <w:sz w:val="28"/>
          <w:szCs w:val="28"/>
          <w:rtl/>
        </w:rPr>
        <w:t xml:space="preserve">bayān-u da'wī-yi ‘alī ibn-i abī-ţālib al-imāma wa</w:t>
      </w:r>
    </w:p>
    <w:p>
      <w:pPr>
        <w:pStyle w:val="BookText"/>
      </w:pPr>
      <w:r>
        <w:rPr>
          <w:rFonts w:ascii="Times New Roman" w:hAnsi="Times New Roman" w:eastAsia="Times New Roman" w:cs="Times New Roman"/>
          <w:lang w:val="en-US" w:bidi="en-US"/>
          <w:color w:val="111111"/>
          <w:sz w:val="28"/>
          <w:szCs w:val="28"/>
          <w:rtl/>
        </w:rPr>
        <w:t xml:space="preserve">Zuhūr-al mu'jiza 'alā yad-ih</w:t>
      </w:r>
    </w:p>
    <w:p>
      <w:pPr>
        <w:pStyle w:val="BookText"/>
      </w:pPr>
      <w:r>
        <w:rPr>
          <w:rFonts w:ascii="IRNazanin" w:hAnsi="IRNazanin" w:eastAsia="IRNazanin" w:cs="IRNazanin"/>
          <w:lang w:bidi="fa-IR"/>
          <w:color w:val="111111"/>
          <w:sz w:val="28"/>
          <w:szCs w:val="28"/>
          <w:rtl/>
        </w:rPr>
        <w:t xml:space="preserve">در معجزات حضرت علی.</w:t>
      </w:r>
    </w:p>
    <w:p>
      <w:pPr>
        <w:pStyle w:val="BookText"/>
      </w:pPr>
      <w:r>
        <w:rPr>
          <w:rFonts w:ascii="IRNazanin" w:hAnsi="IRNazanin" w:eastAsia="IRNazanin" w:cs="IRNazanin"/>
          <w:lang w:bidi="fa-IR"/>
          <w:color w:val="111111"/>
          <w:sz w:val="28"/>
          <w:szCs w:val="28"/>
          <w:rtl/>
        </w:rPr>
        <w:t xml:space="preserve">تهران؛ ملک؛ شماره نسخه: ۶۱۰۱/۲۳</w:t>
      </w:r>
    </w:p>
    <w:p>
      <w:pPr>
        <w:pStyle w:val="BookText"/>
      </w:pPr>
      <w:r>
        <w:rPr>
          <w:rFonts w:ascii="IRNazanin" w:hAnsi="IRNazanin" w:eastAsia="IRNazanin" w:cs="IRNazanin"/>
          <w:lang w:bidi="fa-IR"/>
          <w:color w:val="111111"/>
          <w:sz w:val="28"/>
          <w:szCs w:val="28"/>
          <w:rtl/>
        </w:rPr>
        <w:t xml:space="preserve">آغاز: قال و دعواه الإمامة و ظهور المعجزه ... و دفع الصخرة و قلع باب الخيبر و کلام الحيتان؛ انجام: بسمله. هذا حديث يونس النبي(عليه السلام) مع اهل نينوى. و اول الانبياء آدم(عليه السلام)و قد خلقه الله من طين خط: نسخ، كا: محمد قاسم بن شجاع الدین نجفی، بی تا، جان اصفهان؛ جلد: میشن زرد لایی، ۳۳ سطر [ف: ۹- ۱۶۰]</w:t>
      </w:r>
    </w:p>
    <w:p>
      <w:pPr>
        <w:pStyle w:val="Heading3"/>
      </w:pPr>
      <w:bookmarkStart w:id="1288" w:name="_Toc548"/>
      <w:r>
        <w:t>•بیان ذکر ا عرفان و تصوف / فارسی</w:t>
      </w:r>
      <w:bookmarkEnd w:id="1288"/>
    </w:p>
    <w:p>
      <w:pPr>
        <w:pStyle w:val="BookText"/>
      </w:pPr>
      <w:r>
        <w:rPr>
          <w:rFonts w:ascii="Times New Roman" w:hAnsi="Times New Roman" w:eastAsia="Times New Roman" w:cs="Times New Roman"/>
          <w:lang w:val="en-US" w:bidi="en-US"/>
          <w:color w:val="111111"/>
          <w:sz w:val="28"/>
          <w:szCs w:val="28"/>
          <w:rtl/>
        </w:rPr>
        <w:t xml:space="preserve">bayān-e zekr</w:t>
      </w:r>
    </w:p>
    <w:p>
      <w:pPr>
        <w:pStyle w:val="BookText"/>
      </w:pPr>
      <w:r>
        <w:rPr>
          <w:rFonts w:ascii="IRNazanin" w:hAnsi="IRNazanin" w:eastAsia="IRNazanin" w:cs="IRNazanin"/>
          <w:lang w:bidi="fa-IR"/>
          <w:color w:val="111111"/>
          <w:sz w:val="28"/>
          <w:szCs w:val="28"/>
          <w:rtl/>
        </w:rPr>
        <w:t xml:space="preserve">مظفر علیشاه الهی، ۱۲۰۷-۱۳۰۰ قمری</w:t>
      </w:r>
    </w:p>
    <w:p>
      <w:pPr>
        <w:pStyle w:val="BookText"/>
      </w:pPr>
      <w:r>
        <w:rPr>
          <w:rFonts w:ascii="Times New Roman" w:hAnsi="Times New Roman" w:eastAsia="Times New Roman" w:cs="Times New Roman"/>
          <w:lang w:val="en-US" w:bidi="en-US"/>
          <w:color w:val="111111"/>
          <w:sz w:val="28"/>
          <w:szCs w:val="28"/>
          <w:rtl/>
        </w:rPr>
        <w:t xml:space="preserve">mozaffar ‘alī-šāh-e elāhī (1793-1883)</w:t>
      </w:r>
    </w:p>
    <w:p>
      <w:pPr>
        <w:pStyle w:val="BookText"/>
      </w:pPr>
      <w:r>
        <w:rPr>
          <w:rFonts w:ascii="IRNazanin" w:hAnsi="IRNazanin" w:eastAsia="IRNazanin" w:cs="IRNazanin"/>
          <w:lang w:bidi="fa-IR"/>
          <w:color w:val="111111"/>
          <w:sz w:val="28"/>
          <w:szCs w:val="28"/>
          <w:rtl/>
        </w:rPr>
        <w:t xml:space="preserve">تهران؛ الهیات، شماره نسخه: ۱۷۱/۷</w:t>
      </w:r>
    </w:p>
    <w:p>
      <w:pPr>
        <w:pStyle w:val="BookText"/>
      </w:pPr>
      <w:r>
        <w:rPr>
          <w:rFonts w:ascii="IRNazanin" w:hAnsi="IRNazanin" w:eastAsia="IRNazanin" w:cs="IRNazanin"/>
          <w:lang w:bidi="fa-IR"/>
          <w:color w:val="111111"/>
          <w:sz w:val="28"/>
          <w:szCs w:val="28"/>
          <w:rtl/>
        </w:rPr>
        <w:t xml:space="preserve">بی کا، بیتا [ف: ۱۷]</w:t>
      </w:r>
    </w:p>
    <w:p>
      <w:pPr>
        <w:pStyle w:val="Heading3"/>
      </w:pPr>
      <w:bookmarkStart w:id="1289" w:name="_Toc549"/>
      <w:r>
        <w:t>• بيان الذكر / عرفان و تصوف / فارسی</w:t>
      </w:r>
      <w:bookmarkEnd w:id="1289"/>
    </w:p>
    <w:p>
      <w:pPr>
        <w:pStyle w:val="BookText"/>
      </w:pPr>
      <w:r>
        <w:rPr>
          <w:rFonts w:ascii="Times New Roman" w:hAnsi="Times New Roman" w:eastAsia="Times New Roman" w:cs="Times New Roman"/>
          <w:lang w:val="en-US" w:bidi="en-US"/>
          <w:color w:val="111111"/>
          <w:sz w:val="28"/>
          <w:szCs w:val="28"/>
          <w:rtl/>
        </w:rPr>
        <w:t xml:space="preserve">bayān-ud dikr</w:t>
      </w:r>
    </w:p>
    <w:p>
      <w:pPr>
        <w:pStyle w:val="BookText"/>
      </w:pPr>
      <w:r>
        <w:rPr>
          <w:rFonts w:ascii="IRNazanin" w:hAnsi="IRNazanin" w:eastAsia="IRNazanin" w:cs="IRNazanin"/>
          <w:lang w:bidi="fa-IR"/>
          <w:color w:val="111111"/>
          <w:sz w:val="28"/>
          <w:szCs w:val="28"/>
          <w:rtl/>
        </w:rPr>
        <w:t xml:space="preserve">رساله ای در بیان ذکر و مراتب حال، بیان وخامت الانكار و مضرت الانکار، در چگونگی منکرات، بيان حكم تكلم به شطحيات المشایخ، بیان مراتب الذكر شامة الإنكار على الأولياء، بیان رقص الصوفية، بیان شرائط صحة الفناء، بیان ذکر و مواجيد المرید، بیان کتب ابن العربی، اثبات کرامات، تاویل قول حلاج، اذکار، کرامات شیوخ با ذکر نام آنها، پس از آن شطحیات.</w:t>
      </w:r>
    </w:p>
    <w:p>
      <w:pPr>
        <w:pStyle w:val="BookText"/>
      </w:pPr>
      <w:r>
        <w:rPr>
          <w:rFonts w:ascii="IRNazanin" w:hAnsi="IRNazanin" w:eastAsia="IRNazanin" w:cs="IRNazanin"/>
          <w:lang w:bidi="fa-IR"/>
          <w:color w:val="111111"/>
          <w:sz w:val="28"/>
          <w:szCs w:val="28"/>
          <w:rtl/>
        </w:rPr>
        <w:t xml:space="preserve">همدان؛ جواهری، حبیب؛ شماره نسخه: ۲۷/۷</w:t>
      </w:r>
    </w:p>
    <w:p>
      <w:pPr>
        <w:pStyle w:val="BookText"/>
      </w:pPr>
      <w:r>
        <w:rPr>
          <w:rFonts w:ascii="IRNazanin" w:hAnsi="IRNazanin" w:eastAsia="IRNazanin" w:cs="IRNazanin"/>
          <w:lang w:bidi="fa-IR"/>
          <w:color w:val="111111"/>
          <w:sz w:val="28"/>
          <w:szCs w:val="28"/>
          <w:rtl/>
        </w:rPr>
        <w:t xml:space="preserve">بی کا، بی تا؛ کاغذ: استانبولی، قطع: رقعی (رشت و همدان: ف: ۱۶۸۳]</w:t>
      </w:r>
    </w:p>
    <w:p>
      <w:pPr>
        <w:pStyle w:val="Heading3"/>
      </w:pPr>
      <w:bookmarkStart w:id="1290" w:name="_Toc550"/>
      <w:r>
        <w:t>•بیان ذکر سلسله نعمت اللهی / انساب / فارسی</w:t>
      </w:r>
      <w:bookmarkEnd w:id="1290"/>
    </w:p>
    <w:p>
      <w:pPr>
        <w:pStyle w:val="BookText"/>
      </w:pPr>
      <w:r>
        <w:rPr>
          <w:rFonts w:ascii="Times New Roman" w:hAnsi="Times New Roman" w:eastAsia="Times New Roman" w:cs="Times New Roman"/>
          <w:lang w:val="en-US" w:bidi="en-US"/>
          <w:color w:val="111111"/>
          <w:sz w:val="28"/>
          <w:szCs w:val="28"/>
          <w:rtl/>
        </w:rPr>
        <w:t xml:space="preserve">bayān-e zekr-e selsele-ye ne'mat-ol-lāhī</w:t>
      </w:r>
    </w:p>
    <w:p>
      <w:pPr>
        <w:pStyle w:val="BookText"/>
      </w:pPr>
      <w:r>
        <w:rPr>
          <w:rFonts w:ascii="IRNazanin" w:hAnsi="IRNazanin" w:eastAsia="IRNazanin" w:cs="IRNazanin"/>
          <w:lang w:bidi="fa-IR"/>
          <w:color w:val="111111"/>
          <w:sz w:val="28"/>
          <w:szCs w:val="28"/>
          <w:rtl/>
        </w:rPr>
        <w:t xml:space="preserve">مظفر علیشاه کرمانی، محمد تقی بن محمد کاظم، ۱۲۱۵-۱۱۵۰</w:t>
      </w:r>
    </w:p>
    <w:p>
      <w:pPr>
        <w:pStyle w:val="BookText"/>
      </w:pPr>
      <w:r>
        <w:rPr>
          <w:rFonts w:ascii="IRNazanin" w:hAnsi="IRNazanin" w:eastAsia="IRNazanin" w:cs="IRNazanin"/>
          <w:lang w:bidi="fa-IR"/>
          <w:color w:val="111111"/>
          <w:sz w:val="28"/>
          <w:szCs w:val="28"/>
          <w:rtl/>
        </w:rPr>
        <w:t xml:space="preserve">قمری</w:t>
      </w:r>
    </w:p>
    <w:p>
      <w:pPr>
        <w:pStyle w:val="BookText"/>
      </w:pPr>
      <w:r>
        <w:rPr>
          <w:rFonts w:ascii="Times New Roman" w:hAnsi="Times New Roman" w:eastAsia="Times New Roman" w:cs="Times New Roman"/>
          <w:lang w:val="en-US" w:bidi="en-US"/>
          <w:color w:val="111111"/>
          <w:sz w:val="28"/>
          <w:szCs w:val="28"/>
          <w:rtl/>
        </w:rPr>
        <w:t xml:space="preserve">mozaffar-alī-šāh-e kermānī, mohammad taqī ebn-e mohammad kāzem (1738-1801)</w:t>
      </w:r>
    </w:p>
    <w:p>
      <w:pPr>
        <w:pStyle w:val="BookText"/>
      </w:pPr>
      <w:r>
        <w:rPr>
          <w:rFonts w:ascii="IRNazanin" w:hAnsi="IRNazanin" w:eastAsia="IRNazanin" w:cs="IRNazanin"/>
          <w:lang w:bidi="fa-IR"/>
          <w:color w:val="111111"/>
          <w:sz w:val="28"/>
          <w:szCs w:val="28"/>
          <w:rtl/>
        </w:rPr>
        <w:t xml:space="preserve">صورت اجازه على شاه به حاج محمد حسین شیخ رکن الدین است.</w:t>
      </w:r>
    </w:p>
    <w:p>
      <w:pPr>
        <w:pStyle w:val="BookText"/>
      </w:pPr>
      <w:r>
        <w:rPr>
          <w:rFonts w:ascii="IRNazanin" w:hAnsi="IRNazanin" w:eastAsia="IRNazanin" w:cs="IRNazanin"/>
          <w:lang w:bidi="fa-IR"/>
          <w:color w:val="111111"/>
          <w:sz w:val="28"/>
          <w:szCs w:val="28"/>
          <w:rtl/>
        </w:rPr>
        <w:t xml:space="preserve">تهران؛ الهیات؛ شماره نسخه: ۱۷۱/۷</w:t>
      </w:r>
    </w:p>
    <w:p>
      <w:pPr>
        <w:pStyle w:val="BookText"/>
      </w:pPr>
      <w:r>
        <w:rPr>
          <w:rFonts w:ascii="IRNazanin" w:hAnsi="IRNazanin" w:eastAsia="IRNazanin" w:cs="IRNazanin"/>
          <w:lang w:bidi="fa-IR"/>
          <w:color w:val="111111"/>
          <w:sz w:val="28"/>
          <w:szCs w:val="28"/>
          <w:rtl/>
        </w:rPr>
        <w:t xml:space="preserve">خط: نستعلیق، كان جمال الدين بن حاج محمد هادی شهیر به حاجی بابا، بی تا، کاغذ: فرنگی، جلد: تیماج مشکی مقوایی، اص (۱۹۵)،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۲۵۳]</w:t>
      </w:r>
    </w:p>
    <w:p>
      <w:pPr>
        <w:pStyle w:val="BookText"/>
      </w:pPr>
      <w:r>
        <w:rPr>
          <w:rFonts w:ascii="IRNazanin" w:hAnsi="IRNazanin" w:eastAsia="IRNazanin" w:cs="IRNazanin"/>
          <w:lang w:bidi="fa-IR"/>
          <w:color w:val="111111"/>
          <w:sz w:val="28"/>
          <w:szCs w:val="28"/>
          <w:rtl/>
        </w:rPr>
        <w:t xml:space="preserve">←بیان رموز حي يقظان ← شرح قصة حي بن يقظان</w:t>
      </w:r>
    </w:p>
    <w:p>
      <w:pPr>
        <w:pStyle w:val="BookText"/>
      </w:pPr>
      <w:r>
        <w:rPr>
          <w:rFonts w:ascii="IRNazanin" w:hAnsi="IRNazanin" w:eastAsia="IRNazanin" w:cs="IRNazanin"/>
          <w:lang w:bidi="fa-IR"/>
          <w:color w:val="111111"/>
          <w:sz w:val="28"/>
          <w:szCs w:val="28"/>
          <w:rtl/>
        </w:rPr>
        <w:t xml:space="preserve">←بیان رموز حي يقظان ←خاصیت آحاد اشکال در اعداد اوفاق</w:t>
      </w:r>
    </w:p>
    <w:p>
      <w:pPr>
        <w:pStyle w:val="Heading3"/>
      </w:pPr>
      <w:bookmarkStart w:id="1291" w:name="_Toc551"/>
      <w:r>
        <w:t>• بیان زیارت عاشورا / دعا / فارسی</w:t>
      </w:r>
      <w:bookmarkEnd w:id="1291"/>
    </w:p>
    <w:p>
      <w:pPr>
        <w:pStyle w:val="BookText"/>
      </w:pPr>
      <w:r>
        <w:rPr>
          <w:rFonts w:ascii="Times New Roman" w:hAnsi="Times New Roman" w:eastAsia="Times New Roman" w:cs="Times New Roman"/>
          <w:lang w:val="en-US" w:bidi="en-US"/>
          <w:color w:val="111111"/>
          <w:sz w:val="28"/>
          <w:szCs w:val="28"/>
          <w:rtl/>
        </w:rPr>
        <w:t xml:space="preserve">bayān-e zīyārat-e 'āšūrā</w:t>
      </w:r>
    </w:p>
    <w:p>
      <w:pPr>
        <w:pStyle w:val="BookText"/>
      </w:pPr>
      <w:r>
        <w:rPr>
          <w:rFonts w:ascii="IRNazanin" w:hAnsi="IRNazanin" w:eastAsia="IRNazanin" w:cs="IRNazanin"/>
          <w:lang w:bidi="fa-IR"/>
          <w:color w:val="111111"/>
          <w:sz w:val="28"/>
          <w:szCs w:val="28"/>
          <w:rtl/>
        </w:rPr>
        <w:t xml:space="preserve">محلاتی، عبدالحسین بن علی، ۱۲۷۰-۱۳۲۳ قمری</w:t>
      </w:r>
    </w:p>
    <w:p>
      <w:pPr>
        <w:pStyle w:val="BookText"/>
      </w:pPr>
      <w:r>
        <w:rPr>
          <w:rFonts w:ascii="Times New Roman" w:hAnsi="Times New Roman" w:eastAsia="Times New Roman" w:cs="Times New Roman"/>
          <w:lang w:val="en-US" w:bidi="en-US"/>
          <w:color w:val="111111"/>
          <w:sz w:val="28"/>
          <w:szCs w:val="28"/>
          <w:rtl/>
        </w:rPr>
        <w:t xml:space="preserve">mahallātī, 'abd-ol-hoseyn ebn-e 'alī (1854-1905)</w:t>
      </w:r>
    </w:p>
    <w:p>
      <w:pPr>
        <w:pStyle w:val="BookText"/>
      </w:pPr>
      <w:r>
        <w:rPr>
          <w:rFonts w:ascii="IRNazanin" w:hAnsi="IRNazanin" w:eastAsia="IRNazanin" w:cs="IRNazanin"/>
          <w:lang w:bidi="fa-IR"/>
          <w:color w:val="111111"/>
          <w:sz w:val="28"/>
          <w:szCs w:val="28"/>
          <w:rtl/>
        </w:rPr>
        <w:t xml:space="preserve">رساله ای است در بیان خصوصیات و فضیلت زیارت عاشورا. مؤلف هر دو روایت «علقمه» و «صفوان» را از نقطه نظرهای مختلف مورد بررسی قرار داده و نسخه های گوناگون را بررسی نموده و راه اصلی را بیان می کند و آنگاه کیفیت صحیح این زیارت را مطرح می سازد. [دنا ۵۸۴/۲ ؛ فهرستواره ۵۶۵/۷ ]</w:t>
      </w:r>
    </w:p>
    <w:p>
      <w:pPr>
        <w:pStyle w:val="BookText"/>
      </w:pPr>
      <w:r>
        <w:rPr>
          <w:rFonts w:ascii="IRNazanin" w:hAnsi="IRNazanin" w:eastAsia="IRNazanin" w:cs="IRNazanin"/>
          <w:lang w:bidi="fa-IR"/>
          <w:color w:val="111111"/>
          <w:sz w:val="28"/>
          <w:szCs w:val="28"/>
          <w:rtl/>
        </w:rPr>
        <w:t xml:space="preserve">قم؛ مرعشی؛ شماره نسخه: ۱۱۵۴۶</w:t>
      </w:r>
    </w:p>
    <w:p>
      <w:pPr>
        <w:pStyle w:val="BookText"/>
      </w:pPr>
      <w:r>
        <w:rPr>
          <w:rFonts w:ascii="IRNazanin" w:hAnsi="IRNazanin" w:eastAsia="IRNazanin" w:cs="IRNazanin"/>
          <w:lang w:bidi="fa-IR"/>
          <w:color w:val="111111"/>
          <w:sz w:val="28"/>
          <w:szCs w:val="28"/>
          <w:rtl/>
        </w:rPr>
        <w:t xml:space="preserve">آغاز: مختصری است در بیان زیارت عاشورا، چون این عمل شریف چنانکه از نص؛ انجام: در این مختصر مجال تفصيل آنها نیست هر که خواهد رجوع کند به رساله فاضل. خط: شکسته نستعلیق و نسخ، کاتب = مؤلف، تا: قرن ۱۴؛ مصحح، کاغذ: فرنگی کلاسیک، جلد: تیماج زرشکی ضربی مجدول یک لا، گ، ۱۷ سطر (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۲۹-۲۲۰]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79" w:name="pg20363_209411"/>
    <w:bookmarkEnd w:id="179"/>
    <w:p>
      <w:pPr>
        <w:pStyle w:val="Heading3"/>
      </w:pPr>
      <w:bookmarkStart w:id="1292" w:name="_Toc552"/>
      <w:r>
        <w:t>• بیان سر الخلقة و كشف سر الخليقة / فلسفه / عربی</w:t>
      </w:r>
      <w:bookmarkEnd w:id="1292"/>
    </w:p>
    <w:p>
      <w:pPr>
        <w:pStyle w:val="BookText"/>
      </w:pPr>
      <w:r>
        <w:rPr>
          <w:rFonts w:ascii="Times New Roman" w:hAnsi="Times New Roman" w:eastAsia="Times New Roman" w:cs="Times New Roman"/>
          <w:lang w:val="en-US" w:bidi="en-US"/>
          <w:color w:val="111111"/>
          <w:sz w:val="28"/>
          <w:szCs w:val="28"/>
          <w:rtl/>
        </w:rPr>
        <w:t xml:space="preserve">bayān-u sirr-il xilqa wa kašf-u sirr-il xalīqa</w:t>
      </w:r>
    </w:p>
    <w:p>
      <w:pPr>
        <w:pStyle w:val="BookText"/>
      </w:pPr>
      <w:r>
        <w:rPr>
          <w:rFonts w:ascii="IRNazanin" w:hAnsi="IRNazanin" w:eastAsia="IRNazanin" w:cs="IRNazanin"/>
          <w:lang w:bidi="fa-IR"/>
          <w:color w:val="111111"/>
          <w:sz w:val="28"/>
          <w:szCs w:val="28"/>
          <w:rtl/>
        </w:rPr>
        <w:t xml:space="preserve">مراغی، حسن بن عبدالرحيم، -۱۳۰۰ قمری</w:t>
      </w:r>
    </w:p>
    <w:p>
      <w:pPr>
        <w:pStyle w:val="BookText"/>
      </w:pPr>
      <w:r>
        <w:rPr>
          <w:rFonts w:ascii="Times New Roman" w:hAnsi="Times New Roman" w:eastAsia="Times New Roman" w:cs="Times New Roman"/>
          <w:lang w:val="en-US" w:bidi="en-US"/>
          <w:color w:val="111111"/>
          <w:sz w:val="28"/>
          <w:szCs w:val="28"/>
          <w:rtl/>
        </w:rPr>
        <w:t xml:space="preserve">marāqī, hasan ebn-e 'abd-or-rahīm (- 1883)</w:t>
      </w:r>
    </w:p>
    <w:p>
      <w:pPr>
        <w:pStyle w:val="BookText"/>
      </w:pPr>
      <w:r>
        <w:rPr>
          <w:rFonts w:ascii="Amiri" w:hAnsi="Amiri" w:eastAsia="Amiri" w:cs="Amiri"/>
          <w:lang w:bidi="ar-SA"/>
          <w:color w:val="111111"/>
          <w:sz w:val="28"/>
          <w:szCs w:val="28"/>
          <w:rtl/>
        </w:rPr>
        <w:t xml:space="preserve">اهدا به: مؤيد الدوله</w:t>
      </w:r>
    </w:p>
    <w:p>
      <w:pPr>
        <w:pStyle w:val="BookText"/>
      </w:pPr>
      <w:r>
        <w:rPr>
          <w:rFonts w:ascii="IRNazanin" w:hAnsi="IRNazanin" w:eastAsia="IRNazanin" w:cs="IRNazanin"/>
          <w:lang w:bidi="fa-IR"/>
          <w:color w:val="111111"/>
          <w:sz w:val="28"/>
          <w:szCs w:val="28"/>
          <w:rtl/>
        </w:rPr>
        <w:t xml:space="preserve">گفتار کوتاه فلسفی است در بیان سر خلقت خلق و حقیقت نقطه علم و راز نور معرفت.</w:t>
      </w:r>
    </w:p>
    <w:p>
      <w:pPr>
        <w:pStyle w:val="BookText"/>
      </w:pPr>
      <w:r>
        <w:rPr>
          <w:rFonts w:ascii="IRNazanin" w:hAnsi="IRNazanin" w:eastAsia="IRNazanin" w:cs="IRNazanin"/>
          <w:lang w:bidi="fa-IR"/>
          <w:color w:val="111111"/>
          <w:sz w:val="28"/>
          <w:szCs w:val="28"/>
          <w:rtl/>
        </w:rPr>
        <w:t xml:space="preserve">آغاز: الحمدلله الذي لامن شیء كان ولا من شيء خلق الامكان ... اما بعد، فقد اشار الى الامير الاجل الافخم الاعظم ... ان ابين من سر الخلقة ما يجوز بيانه انجام: فيجفل عنه الأبدال اجفال الغنم و الحيوان لكنه يمدهم و يوفقهم للقبول و الاذعان صلی الله عليه و آبائه و ابنائه و شیعته و اتباعه مادام العلم و الامكان و الهياكل و الأعيان.</w:t>
      </w:r>
    </w:p>
    <w:p>
      <w:pPr>
        <w:pStyle w:val="BookText"/>
      </w:pPr>
      <w:r>
        <w:rPr>
          <w:rFonts w:ascii="IRNazanin" w:hAnsi="IRNazanin" w:eastAsia="IRNazanin" w:cs="IRNazanin"/>
          <w:lang w:bidi="fa-IR"/>
          <w:color w:val="111111"/>
          <w:sz w:val="28"/>
          <w:szCs w:val="28"/>
          <w:rtl/>
        </w:rPr>
        <w:t xml:space="preserve">۱. تهران؛ مجلس؛ شماره نسخه: ۴۷۶/۲</w:t>
      </w:r>
    </w:p>
    <w:p>
      <w:pPr>
        <w:pStyle w:val="BookText"/>
      </w:pPr>
      <w:r>
        <w:rPr>
          <w:rFonts w:ascii="IRNazanin" w:hAnsi="IRNazanin" w:eastAsia="IRNazanin" w:cs="IRNazanin"/>
          <w:lang w:bidi="fa-IR"/>
          <w:color w:val="111111"/>
          <w:sz w:val="28"/>
          <w:szCs w:val="28"/>
          <w:rtl/>
        </w:rPr>
        <w:t xml:space="preserve">خط: نستعلیق، کاتب = مؤلف، بی تا؛ محشی با نشان «منه، منه ایده الله»؛ کاغذ: سفید، جلد: تیماج حنایی یک</w:t>
      </w:r>
    </w:p>
    <w:p>
      <w:pPr>
        <w:pStyle w:val="BookText"/>
      </w:pPr>
      <w:r>
        <w:rPr>
          <w:rFonts w:ascii="IRNazanin" w:hAnsi="IRNazanin" w:eastAsia="IRNazanin" w:cs="IRNazanin"/>
          <w:lang w:bidi="fa-IR"/>
          <w:color w:val="111111"/>
          <w:sz w:val="28"/>
          <w:szCs w:val="28"/>
          <w:rtl/>
        </w:rPr>
        <w:t xml:space="preserve">لایی، ۱۴ص (۱۷۱ -۱۸۴)، ۱۶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[سنا: ف: ۱-۲۷۷]</w:t>
      </w:r>
    </w:p>
    <w:p>
      <w:pPr>
        <w:pStyle w:val="BookText"/>
      </w:pPr>
      <w:r>
        <w:rPr>
          <w:rFonts w:ascii="IRNazanin" w:hAnsi="IRNazanin" w:eastAsia="IRNazanin" w:cs="IRNazanin"/>
          <w:lang w:bidi="fa-IR"/>
          <w:color w:val="111111"/>
          <w:sz w:val="28"/>
          <w:szCs w:val="28"/>
          <w:rtl/>
        </w:rPr>
        <w:t xml:space="preserve">۲. تهران: ملی؛ شماره نسخه: ۷۸۰/۷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حسن بن عبدالرحیم مراغی، تا: ۱۲۵۹ق؛ کاغذ: فرنگی فستقی، جلد: تیماج مشکی مقوایی، عص (۹۵-۱۰۰)، ۱۹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۱۵/۵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۲۶/۵سم [ف: ۸-۲۸۲]</w:t>
      </w:r>
    </w:p>
    <w:p>
      <w:pPr>
        <w:pStyle w:val="BookText"/>
      </w:pPr>
      <w:r>
        <w:rPr>
          <w:rFonts w:ascii="IRNazanin" w:hAnsi="IRNazanin" w:eastAsia="IRNazanin" w:cs="IRNazanin"/>
          <w:lang w:bidi="fa-IR"/>
          <w:color w:val="111111"/>
          <w:sz w:val="28"/>
          <w:szCs w:val="28"/>
          <w:rtl/>
        </w:rPr>
        <w:t xml:space="preserve">٣. قم؛ مرعشی؛ شماره نسخه: ۲۰۲۷/۱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زیبا، کا: رستم بن بیجن، تا: ۱۲۵۹ق؛ جلد: تیماج قهوه ای بدون مقوا، ۱۱گ (۱پ-۱۱پ)، ۱۵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۶-۳۲]</w:t>
      </w:r>
    </w:p>
    <w:p>
      <w:pPr>
        <w:pStyle w:val="BookText"/>
      </w:pPr>
      <w:r>
        <w:rPr>
          <w:rFonts w:ascii="IRNazanin" w:hAnsi="IRNazanin" w:eastAsia="IRNazanin" w:cs="IRNazanin"/>
          <w:lang w:bidi="fa-IR"/>
          <w:color w:val="111111"/>
          <w:sz w:val="28"/>
          <w:szCs w:val="28"/>
          <w:rtl/>
        </w:rPr>
        <w:t xml:space="preserve">۴. قم؛ مرعشی؛ شماره نسخه: ۱۵۱۳۶/۲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زیبا، بی کا، تا: قرن ۱۳؛ کاغذ: فرنگی، ۶گ (۶-۱۱)، ۲۰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۸سم [ف: ۴۱۳-۳۸]</w:t>
      </w:r>
    </w:p>
    <w:p>
      <w:pPr>
        <w:pStyle w:val="BookText"/>
      </w:pPr>
      <w:r>
        <w:rPr>
          <w:rFonts w:ascii="IRNazanin" w:hAnsi="IRNazanin" w:eastAsia="IRNazanin" w:cs="IRNazanin"/>
          <w:lang w:bidi="fa-IR"/>
          <w:color w:val="111111"/>
          <w:sz w:val="28"/>
          <w:szCs w:val="28"/>
          <w:rtl/>
        </w:rPr>
        <w:t xml:space="preserve">۵. تهران؛ مجلس؛ شماره نسخه: ۱۰۱۸۹/۳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كان رستم بن بیجن؟ مراغی، بی تا؛ مصحح، محشی با نشان «منه»؛ جلد: تیماج مشکی، مجدول، ۱۵ص (۱۰۵-۱۱۹)، ۱۶سطر،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۳۲-۲۲۸]</w:t>
      </w:r>
    </w:p>
    <w:p>
      <w:pPr>
        <w:pStyle w:val="BookText"/>
      </w:pPr>
      <w:r>
        <w:rPr>
          <w:rFonts w:ascii="IRNazanin" w:hAnsi="IRNazanin" w:eastAsia="IRNazanin" w:cs="IRNazanin"/>
          <w:lang w:bidi="fa-IR"/>
          <w:color w:val="111111"/>
          <w:sz w:val="28"/>
          <w:szCs w:val="28"/>
          <w:rtl/>
        </w:rPr>
        <w:t xml:space="preserve">۶. قم؛ مرعشی؛ شماره نسخه: ۸۸۴/۳</w:t>
      </w:r>
    </w:p>
    <w:p>
      <w:pPr>
        <w:pStyle w:val="BookText"/>
      </w:pPr>
      <w:r>
        <w:rPr>
          <w:rFonts w:ascii="IRNazanin" w:hAnsi="IRNazanin" w:eastAsia="IRNazanin" w:cs="IRNazanin"/>
          <w:lang w:bidi="fa-IR"/>
          <w:color w:val="111111"/>
          <w:sz w:val="28"/>
          <w:szCs w:val="28"/>
          <w:rtl/>
        </w:rPr>
        <w:t xml:space="preserve">آغاز: برابر؛ انجام: فصلى الله على الأول بيانا و الاخر عيانة و سلم على الظاهر کیانا و الباطن سلطان و سائر أولي الأمر و الحكم نصا و تبیان .</w:t>
      </w:r>
    </w:p>
    <w:p>
      <w:pPr>
        <w:pStyle w:val="BookText"/>
      </w:pPr>
      <w:r>
        <w:rPr>
          <w:rFonts w:ascii="IRNazanin" w:hAnsi="IRNazanin" w:eastAsia="IRNazanin" w:cs="IRNazanin"/>
          <w:lang w:bidi="fa-IR"/>
          <w:color w:val="111111"/>
          <w:sz w:val="28"/>
          <w:szCs w:val="28"/>
          <w:rtl/>
        </w:rPr>
        <w:t xml:space="preserve">نام کتاب در فهرست «مختصر سرالخلقة» آمده که به استناد جلد ۴۱۴/۳۸</w:t>
      </w:r>
    </w:p>
    <w:p>
      <w:pPr>
        <w:pStyle w:val="BookText"/>
      </w:pPr>
      <w:r>
        <w:rPr>
          <w:rFonts w:ascii="IRNazanin" w:hAnsi="IRNazanin" w:eastAsia="IRNazanin" w:cs="IRNazanin"/>
          <w:lang w:bidi="fa-IR"/>
          <w:color w:val="111111"/>
          <w:sz w:val="28"/>
          <w:szCs w:val="28"/>
          <w:rtl/>
        </w:rPr>
        <w:t xml:space="preserve">تصحیح شد؛ خط: نستعلیق، كان محمد على بن احمد قراچه داغی، بی تا، جلد: تیماج مشکی بدون مقوا، ۶گ (۷۶پ - ۸۱پ)، ۱۶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۳-۷۶]</w:t>
      </w:r>
    </w:p>
    <w:p>
      <w:pPr>
        <w:pStyle w:val="Heading3"/>
      </w:pPr>
      <w:bookmarkStart w:id="1293" w:name="_Toc553"/>
      <w:r>
        <w:t>•بیان السعادة في مقامات العبادة / تفسير / عربی</w:t>
      </w:r>
      <w:bookmarkEnd w:id="1293"/>
    </w:p>
    <w:p>
      <w:pPr>
        <w:pStyle w:val="BookText"/>
      </w:pPr>
      <w:r>
        <w:rPr>
          <w:rFonts w:ascii="Times New Roman" w:hAnsi="Times New Roman" w:eastAsia="Times New Roman" w:cs="Times New Roman"/>
          <w:lang w:val="en-US" w:bidi="en-US"/>
          <w:color w:val="111111"/>
          <w:sz w:val="28"/>
          <w:szCs w:val="28"/>
          <w:rtl/>
        </w:rPr>
        <w:t xml:space="preserve">bayān-us s‘āda fi maqāmāt-il ‘ibāda</w:t>
      </w:r>
    </w:p>
    <w:p>
      <w:pPr>
        <w:pStyle w:val="BookText"/>
      </w:pPr>
      <w:r>
        <w:rPr>
          <w:rFonts w:ascii="IRNazanin" w:hAnsi="IRNazanin" w:eastAsia="IRNazanin" w:cs="IRNazanin"/>
          <w:lang w:bidi="fa-IR"/>
          <w:color w:val="111111"/>
          <w:sz w:val="28"/>
          <w:szCs w:val="28"/>
          <w:rtl/>
        </w:rPr>
        <w:t xml:space="preserve">سلطانعلیشاه، سلطانمحمد بن حیدر، ۱۲۵۱-۱۳۲۷ قمری</w:t>
      </w:r>
    </w:p>
    <w:p>
      <w:pPr>
        <w:pStyle w:val="BookText"/>
      </w:pPr>
      <w:r>
        <w:rPr>
          <w:rFonts w:ascii="Times New Roman" w:hAnsi="Times New Roman" w:eastAsia="Times New Roman" w:cs="Times New Roman"/>
          <w:lang w:val="en-US" w:bidi="en-US"/>
          <w:color w:val="111111"/>
          <w:sz w:val="28"/>
          <w:szCs w:val="28"/>
          <w:rtl/>
        </w:rPr>
        <w:t xml:space="preserve">soltān-'alī-šāh, soltān-mohammad ebn-e heydar (1836 1909)</w:t>
      </w:r>
    </w:p>
    <w:p>
      <w:pPr>
        <w:pStyle w:val="BookText"/>
      </w:pPr>
      <w:r>
        <w:rPr>
          <w:rFonts w:ascii="Amiri" w:hAnsi="Amiri" w:eastAsia="Amiri" w:cs="Amiri"/>
          <w:lang w:bidi="ar-SA"/>
          <w:color w:val="111111"/>
          <w:sz w:val="28"/>
          <w:szCs w:val="28"/>
          <w:rtl/>
        </w:rPr>
        <w:t xml:space="preserve">تاريخ تأليف: ۱۴ صفر ۱۳۱۱ق</w:t>
      </w:r>
    </w:p>
    <w:p>
      <w:pPr>
        <w:pStyle w:val="BookText"/>
      </w:pPr>
      <w:r>
        <w:rPr>
          <w:rFonts w:ascii="IRNazanin" w:hAnsi="IRNazanin" w:eastAsia="IRNazanin" w:cs="IRNazanin"/>
          <w:lang w:bidi="fa-IR"/>
          <w:color w:val="111111"/>
          <w:sz w:val="28"/>
          <w:szCs w:val="28"/>
          <w:rtl/>
        </w:rPr>
        <w:t xml:space="preserve">تفسير مزجی عرفانی مختصری است و بنا به گفته مؤلف متضمن الطايف اشارات کتاب مقدس و تلويحات اخبار حضرات معصومین علیهم السلام که در هیچ کتاب و تألیفی نیامده است با چهارده فصل در آغاز کتاب درباره علم و جهل و شرافت علم و خساست جهل و فضیلت قرآن کریم و آداب تلاوت آن و چگونگی تفسیر و دارندگان این علم و کیفیت نزول قرآن کریم و جز اینها. راجع به این تفسیر و انتساب آن به گنابادی به الذريعه (۱۸۱/۳ ) و مقدمه چاپ حروفی بیان السعادة» رجوع کنید.</w:t>
      </w:r>
    </w:p>
    <w:p>
      <w:pPr>
        <w:pStyle w:val="BookText"/>
      </w:pPr>
      <w:r>
        <w:rPr>
          <w:rFonts w:ascii="Amiri" w:hAnsi="Amiri" w:eastAsia="Amiri" w:cs="Amiri"/>
          <w:lang w:bidi="ar-SA"/>
          <w:color w:val="111111"/>
          <w:sz w:val="28"/>
          <w:szCs w:val="28"/>
          <w:rtl/>
        </w:rPr>
        <w:t xml:space="preserve">آغاز: الحمدلله الذي أنزل على عبده الكتاب و لم يجعله عوجا ... الذي تجلى على ذاته بذاته فتنزه عن مجانسة مخلوقاته.</w:t>
      </w:r>
    </w:p>
    <w:p>
      <w:pPr>
        <w:pStyle w:val="BookText"/>
      </w:pPr>
      <w:r>
        <w:rPr>
          <w:rFonts w:ascii="IRNazanin" w:hAnsi="IRNazanin" w:eastAsia="IRNazanin" w:cs="IRNazanin"/>
          <w:lang w:bidi="fa-IR"/>
          <w:color w:val="111111"/>
          <w:sz w:val="28"/>
          <w:szCs w:val="28"/>
          <w:rtl/>
        </w:rPr>
        <w:t xml:space="preserve">چاپ: چهار جلد، تهران، انتشارات دانشگاه تهران: ۱۳۸۵ق؛ (ج ۲): [تهران]، سنگی، ۱۳۱۴،رحلی،۴۵۱+۳۳۰+۶صص[ الذريعة ۱۸۱/۳ ؛ نسخه های منزوی ۸/۱؛ دنا ۵۸۴/۲ ]</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حاشية بيان السعادة؛ کیوان قزوینی، عباسعلی (۱۲۴۰-۱۳۱۷)</w:t>
      </w:r>
    </w:p>
    <w:p>
      <w:pPr>
        <w:pStyle w:val="BookText"/>
      </w:pPr>
      <w:r>
        <w:rPr>
          <w:rFonts w:ascii="IRNazanin" w:hAnsi="IRNazanin" w:eastAsia="IRNazanin" w:cs="IRNazanin"/>
          <w:lang w:bidi="fa-IR"/>
          <w:color w:val="111111"/>
          <w:sz w:val="28"/>
          <w:szCs w:val="28"/>
          <w:rtl/>
        </w:rPr>
        <w:t xml:space="preserve">۱. قم: مرکز احیاء؛ شماره نسخه: ۳۱۳ و عکسی ۹۳۳</w:t>
      </w:r>
    </w:p>
    <w:p>
      <w:pPr>
        <w:pStyle w:val="BookText"/>
      </w:pPr>
      <w:r>
        <w:rPr>
          <w:rFonts w:ascii="IRNazanin" w:hAnsi="IRNazanin" w:eastAsia="IRNazanin" w:cs="IRNazanin"/>
          <w:lang w:bidi="fa-IR"/>
          <w:color w:val="111111"/>
          <w:sz w:val="28"/>
          <w:szCs w:val="28"/>
          <w:rtl/>
        </w:rPr>
        <w:t xml:space="preserve">آغاز: برابر؛ انجام: الحمدلله على توفيقه للتدبر في كتابه و التفكر في احادیث خلفائه.</w:t>
      </w:r>
    </w:p>
    <w:p>
      <w:pPr>
        <w:pStyle w:val="BookText"/>
      </w:pPr>
      <w:r>
        <w:rPr>
          <w:rFonts w:ascii="IRNazanin" w:hAnsi="IRNazanin" w:eastAsia="IRNazanin" w:cs="IRNazanin"/>
          <w:lang w:bidi="fa-IR"/>
          <w:color w:val="111111"/>
          <w:sz w:val="28"/>
          <w:szCs w:val="28"/>
          <w:rtl/>
        </w:rPr>
        <w:t xml:space="preserve">خط: چاپ سنگی، كا: عبدالخالق بن میرزا رضا لنجانی، تا: ۱۳۱۴ق؛ در چاپخانه سید رضا چاپ شده است، محشی از مؤلف و بخط وی؛ جلد: تیماج قهوه ای، ۳۹۴گ، ۳۷ سطر،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سم [ف: ۱-۴۱۷] و [عکسی ف: ۳-۱۴۰]</w:t>
      </w:r>
    </w:p>
    <w:p>
      <w:pPr>
        <w:pStyle w:val="BookText"/>
      </w:pPr>
      <w:r>
        <w:rPr>
          <w:rFonts w:ascii="IRNazanin" w:hAnsi="IRNazanin" w:eastAsia="IRNazanin" w:cs="IRNazanin"/>
          <w:lang w:bidi="fa-IR"/>
          <w:color w:val="111111"/>
          <w:sz w:val="28"/>
          <w:szCs w:val="28"/>
          <w:rtl/>
        </w:rPr>
        <w:t xml:space="preserve">۲. قم؛ مسجد اعظم؛ شماره نسخه: ۶۰۴</w:t>
      </w:r>
    </w:p>
    <w:p>
      <w:pPr>
        <w:pStyle w:val="BookText"/>
      </w:pPr>
      <w:r>
        <w:rPr>
          <w:rFonts w:ascii="IRNazanin" w:hAnsi="IRNazanin" w:eastAsia="IRNazanin" w:cs="IRNazanin"/>
          <w:lang w:bidi="fa-IR"/>
          <w:color w:val="111111"/>
          <w:sz w:val="28"/>
          <w:szCs w:val="28"/>
          <w:rtl/>
        </w:rPr>
        <w:t xml:space="preserve">آغاز: برابر؛ انجام: افتتح بالم هو ذلك الكتاب اخبرت به موسی عليه السلام ومن بعده من الأنبياء و هم اخبروا بنی اسرائیل انی سأنزل علیک یا محمد باعتبار ان القران هو الكتاب الجامع لصور جميع شئون تلك الحقايق و هذا الخبر يدل على جعل ذلك الكتاب خبر الالم و قد سبق مقدمه تا آیه اول سوره بقره را دارد؛ خط: نسخ جلی، بی کا، بی تاب؛ مصحح؛ جلد: تیماج قهوه ای مجدول، ۷۶ ، ۱۴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مخ: ۱-۲۸۸]</w:t>
      </w:r>
    </w:p>
    <w:p>
      <w:pPr>
        <w:pStyle w:val="Heading3"/>
      </w:pPr>
      <w:bookmarkStart w:id="1294" w:name="_Toc554"/>
      <w:r>
        <w:t>• بیان السلوک / عرفان و تصوف / عربی</w:t>
      </w:r>
      <w:bookmarkEnd w:id="1294"/>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80" w:name="pg20363_209412"/>
    <w:bookmarkEnd w:id="180"/>
    <w:p>
      <w:pPr>
        <w:pStyle w:val="BookText"/>
      </w:pPr>
      <w:r>
        <w:rPr>
          <w:rFonts w:ascii="Times New Roman" w:hAnsi="Times New Roman" w:eastAsia="Times New Roman" w:cs="Times New Roman"/>
          <w:lang w:val="en-US" w:bidi="en-US"/>
          <w:color w:val="111111"/>
          <w:sz w:val="28"/>
          <w:szCs w:val="28"/>
          <w:rtl/>
        </w:rPr>
        <w:t xml:space="preserve">bayān-us sulūk</w:t>
      </w:r>
    </w:p>
    <w:p>
      <w:pPr>
        <w:pStyle w:val="BookText"/>
      </w:pPr>
      <w:r>
        <w:rPr>
          <w:rFonts w:ascii="IRNazanin" w:hAnsi="IRNazanin" w:eastAsia="IRNazanin" w:cs="IRNazanin"/>
          <w:lang w:bidi="fa-IR"/>
          <w:color w:val="111111"/>
          <w:sz w:val="28"/>
          <w:szCs w:val="28"/>
          <w:rtl/>
        </w:rPr>
        <w:t xml:space="preserve">رشتی، کاظم بن قاسم، ۱۲۱۲-۱۲۵۹ قمری</w:t>
      </w:r>
    </w:p>
    <w:p>
      <w:pPr>
        <w:pStyle w:val="BookText"/>
      </w:pPr>
      <w:r>
        <w:rPr>
          <w:rFonts w:ascii="Times New Roman" w:hAnsi="Times New Roman" w:eastAsia="Times New Roman" w:cs="Times New Roman"/>
          <w:lang w:val="en-US" w:bidi="en-US"/>
          <w:color w:val="111111"/>
          <w:sz w:val="28"/>
          <w:szCs w:val="28"/>
          <w:rtl/>
        </w:rPr>
        <w:t xml:space="preserve">raštī, kāzem ebn-e qāsem (1798-1843)</w:t>
      </w:r>
    </w:p>
    <w:p>
      <w:pPr>
        <w:pStyle w:val="BookText"/>
      </w:pPr>
      <w:r>
        <w:rPr>
          <w:rFonts w:ascii="IRNazanin" w:hAnsi="IRNazanin" w:eastAsia="IRNazanin" w:cs="IRNazanin"/>
          <w:lang w:bidi="fa-IR"/>
          <w:color w:val="111111"/>
          <w:sz w:val="28"/>
          <w:szCs w:val="28"/>
          <w:rtl/>
        </w:rPr>
        <w:t xml:space="preserve">[دنا 2/584]</w:t>
      </w:r>
    </w:p>
    <w:p>
      <w:pPr>
        <w:pStyle w:val="BookText"/>
      </w:pPr>
      <w:r>
        <w:rPr>
          <w:rFonts w:ascii="IRNazanin" w:hAnsi="IRNazanin" w:eastAsia="IRNazanin" w:cs="IRNazanin"/>
          <w:lang w:bidi="fa-IR"/>
          <w:color w:val="111111"/>
          <w:sz w:val="28"/>
          <w:szCs w:val="28"/>
          <w:rtl/>
        </w:rPr>
        <w:t xml:space="preserve">تهران؛ دانشگاه؛ شماره نسخه: 5874/1</w:t>
      </w:r>
    </w:p>
    <w:p>
      <w:pPr>
        <w:pStyle w:val="BookText"/>
      </w:pPr>
      <w:r>
        <w:rPr>
          <w:rFonts w:ascii="IRNazanin" w:hAnsi="IRNazanin" w:eastAsia="IRNazanin" w:cs="IRNazanin"/>
          <w:lang w:bidi="fa-IR"/>
          <w:color w:val="111111"/>
          <w:sz w:val="28"/>
          <w:szCs w:val="28"/>
          <w:rtl/>
        </w:rPr>
        <w:t xml:space="preserve">خط: نسخ، كا: غلام علی کرمانی، تا: ۴ صفر ۱۲۶۳ق؛ کاغذ: فرنگی، جلد: تیماج مشکی ضربی ترنجی مقوایی، ۱۴ سطر (۱۵۷۶)، قطع: ربعی،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۱۶-۱۱۷]</w:t>
      </w:r>
    </w:p>
    <w:p>
      <w:pPr>
        <w:pStyle w:val="Heading3"/>
      </w:pPr>
      <w:bookmarkStart w:id="1295" w:name="_Toc555"/>
      <w:r>
        <w:t>• بیان السلوک / عرفان و تصوف / فارسی</w:t>
      </w:r>
      <w:bookmarkEnd w:id="1295"/>
    </w:p>
    <w:p>
      <w:pPr>
        <w:pStyle w:val="BookText"/>
      </w:pPr>
      <w:r>
        <w:rPr>
          <w:rFonts w:ascii="Times New Roman" w:hAnsi="Times New Roman" w:eastAsia="Times New Roman" w:cs="Times New Roman"/>
          <w:lang w:val="en-US" w:bidi="en-US"/>
          <w:color w:val="111111"/>
          <w:sz w:val="28"/>
          <w:szCs w:val="28"/>
          <w:rtl/>
        </w:rPr>
        <w:t xml:space="preserve">bayān-os solūk</w:t>
      </w:r>
    </w:p>
    <w:p>
      <w:pPr>
        <w:pStyle w:val="BookText"/>
      </w:pPr>
      <w:r>
        <w:rPr>
          <w:rFonts w:ascii="IRNazanin" w:hAnsi="IRNazanin" w:eastAsia="IRNazanin" w:cs="IRNazanin"/>
          <w:lang w:bidi="fa-IR"/>
          <w:color w:val="111111"/>
          <w:sz w:val="28"/>
          <w:szCs w:val="28"/>
          <w:rtl/>
        </w:rPr>
        <w:t xml:space="preserve">سرهندی، محمد اعظم بن سيف الدين</w:t>
      </w:r>
    </w:p>
    <w:p>
      <w:pPr>
        <w:pStyle w:val="BookText"/>
      </w:pPr>
      <w:r>
        <w:rPr>
          <w:rFonts w:ascii="Times New Roman" w:hAnsi="Times New Roman" w:eastAsia="Times New Roman" w:cs="Times New Roman"/>
          <w:lang w:val="en-US" w:bidi="en-US"/>
          <w:color w:val="111111"/>
          <w:sz w:val="28"/>
          <w:szCs w:val="28"/>
          <w:rtl/>
        </w:rPr>
        <w:t xml:space="preserve">sarhendī, mohammad aʻzam ben sayf-od-dīn</w:t>
      </w:r>
    </w:p>
    <w:p>
      <w:pPr>
        <w:pStyle w:val="BookText"/>
      </w:pPr>
      <w:r>
        <w:rPr>
          <w:rFonts w:ascii="IRNazanin" w:hAnsi="IRNazanin" w:eastAsia="IRNazanin" w:cs="IRNazanin"/>
          <w:lang w:bidi="fa-IR"/>
          <w:color w:val="111111"/>
          <w:sz w:val="28"/>
          <w:szCs w:val="28"/>
          <w:rtl/>
        </w:rPr>
        <w:t xml:space="preserve">قم؛ مرعشی؛ شماره نسخه: ۱۴۳۰۷/۵</w:t>
      </w:r>
    </w:p>
    <w:p>
      <w:pPr>
        <w:pStyle w:val="BookText"/>
      </w:pPr>
      <w:r>
        <w:rPr>
          <w:rFonts w:ascii="IRNazanin" w:hAnsi="IRNazanin" w:eastAsia="IRNazanin" w:cs="IRNazanin"/>
          <w:lang w:bidi="fa-IR"/>
          <w:color w:val="111111"/>
          <w:sz w:val="28"/>
          <w:szCs w:val="28"/>
          <w:rtl/>
        </w:rPr>
        <w:t xml:space="preserve">آغاز: الحمدلله رب العالمين ... بدان ارشد ک الله تعالی که ابتدا، معامله این بد (كذا) بزرگواران بذکر قلب و طریق ذکر آنست که طالب را باید که چشم بسته؛ انجام: و مولای حضرت محمد اعظم بن حضرت سيف الدين سرهندی قدسنا الله سرهما العزيز»</w:t>
      </w:r>
    </w:p>
    <w:p>
      <w:pPr>
        <w:pStyle w:val="BookText"/>
      </w:pPr>
      <w:r>
        <w:rPr>
          <w:rFonts w:ascii="IRNazanin" w:hAnsi="IRNazanin" w:eastAsia="IRNazanin" w:cs="IRNazanin"/>
          <w:lang w:bidi="fa-IR"/>
          <w:color w:val="111111"/>
          <w:sz w:val="28"/>
          <w:szCs w:val="28"/>
          <w:rtl/>
        </w:rPr>
        <w:t xml:space="preserve">خط: نستعلیق، بی کا، تا: قرن ۱۱؛ کاغذ: فرنگی، ۳گ (۱۰۴ -۱۰۶)، ۱۳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۷سم [ف: ۳۶-۱۴۸]</w:t>
      </w:r>
    </w:p>
    <w:p>
      <w:pPr>
        <w:pStyle w:val="Heading3"/>
      </w:pPr>
      <w:bookmarkStart w:id="1296" w:name="_Toc556"/>
      <w:r>
        <w:t>• بیان السلوك الطريقة الى الله تعالی / عرفان و تصوف / عربی</w:t>
      </w:r>
      <w:bookmarkEnd w:id="1296"/>
    </w:p>
    <w:p>
      <w:pPr>
        <w:pStyle w:val="BookText"/>
      </w:pPr>
      <w:r>
        <w:rPr>
          <w:rFonts w:ascii="Times New Roman" w:hAnsi="Times New Roman" w:eastAsia="Times New Roman" w:cs="Times New Roman"/>
          <w:lang w:val="en-US" w:bidi="en-US"/>
          <w:color w:val="111111"/>
          <w:sz w:val="28"/>
          <w:szCs w:val="28"/>
          <w:rtl/>
        </w:rPr>
        <w:t xml:space="preserve">bayan-us suluk-it tariqa ila-1 lah ta'ala</w:t>
      </w:r>
    </w:p>
    <w:p>
      <w:pPr>
        <w:pStyle w:val="BookText"/>
      </w:pPr>
      <w:r>
        <w:rPr>
          <w:rFonts w:ascii="IRNazanin" w:hAnsi="IRNazanin" w:eastAsia="IRNazanin" w:cs="IRNazanin"/>
          <w:lang w:bidi="fa-IR"/>
          <w:color w:val="111111"/>
          <w:sz w:val="28"/>
          <w:szCs w:val="28"/>
          <w:rtl/>
        </w:rPr>
        <w:t xml:space="preserve">رساله مختصر عرفانی است در بیان طريق سير الى الله از نظر عرفانی.</w:t>
      </w:r>
    </w:p>
    <w:p>
      <w:pPr>
        <w:pStyle w:val="BookText"/>
      </w:pPr>
      <w:r>
        <w:rPr>
          <w:rFonts w:ascii="IRNazanin" w:hAnsi="IRNazanin" w:eastAsia="IRNazanin" w:cs="IRNazanin"/>
          <w:lang w:bidi="fa-IR"/>
          <w:color w:val="111111"/>
          <w:sz w:val="28"/>
          <w:szCs w:val="28"/>
          <w:rtl/>
        </w:rPr>
        <w:t xml:space="preserve">قم؛ مرعشی؛ شماره نسخه: ۱۳۱۴۹/۹</w:t>
      </w:r>
    </w:p>
    <w:p>
      <w:pPr>
        <w:pStyle w:val="BookText"/>
      </w:pPr>
      <w:r>
        <w:rPr>
          <w:rFonts w:ascii="IRNazanin" w:hAnsi="IRNazanin" w:eastAsia="IRNazanin" w:cs="IRNazanin"/>
          <w:lang w:bidi="fa-IR"/>
          <w:color w:val="111111"/>
          <w:sz w:val="28"/>
          <w:szCs w:val="28"/>
          <w:rtl/>
        </w:rPr>
        <w:t xml:space="preserve">آغاز: اعلم ان الطريق إلى الله تعالى الذين سلكت عليهالخاصة من المؤمنين الطالبين نجاتهم و من العامة اللذين شغلوا انفسهم؛ انجام: و إذا غلبت القوى الروحانية بظهور محبة العقبي نزل خاطر الملک في صورة طاعة بمصاحبة محبة الآخرة، تمت.</w:t>
      </w:r>
    </w:p>
    <w:p>
      <w:pPr>
        <w:pStyle w:val="BookText"/>
      </w:pPr>
      <w:r>
        <w:rPr>
          <w:rFonts w:ascii="IRNazanin" w:hAnsi="IRNazanin" w:eastAsia="IRNazanin" w:cs="IRNazanin"/>
          <w:lang w:bidi="fa-IR"/>
          <w:color w:val="111111"/>
          <w:sz w:val="28"/>
          <w:szCs w:val="28"/>
          <w:rtl/>
        </w:rPr>
        <w:t xml:space="preserve">خط: نسخ، كا: محمد بن حصار بک «لکی»، تا: ۸۵۵ق، جا: فلک آباد؛ مصحح؛ کاغذ: شرقی، اگ (۴۶پ -۴۷ر)، مجموعة ۳۳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سم [ف: ۳۳-۲۸۷]</w:t>
      </w:r>
    </w:p>
    <w:p>
      <w:pPr>
        <w:pStyle w:val="Heading3"/>
      </w:pPr>
      <w:bookmarkStart w:id="1297" w:name="_Toc557"/>
      <w:r>
        <w:t>• البيان الشافي في حل احاديث كتاب الكافي / عربی</w:t>
      </w:r>
      <w:bookmarkEnd w:id="1297"/>
    </w:p>
    <w:p>
      <w:pPr>
        <w:pStyle w:val="BookText"/>
      </w:pPr>
      <w:r>
        <w:rPr>
          <w:rFonts w:ascii="Times New Roman" w:hAnsi="Times New Roman" w:eastAsia="Times New Roman" w:cs="Times New Roman"/>
          <w:lang w:val="en-US" w:bidi="en-US"/>
          <w:color w:val="111111"/>
          <w:sz w:val="28"/>
          <w:szCs w:val="28"/>
          <w:rtl/>
        </w:rPr>
        <w:t xml:space="preserve">al-bayān-uš šāfi fi ħall-i aḥādīt-i k.-il kāfi</w:t>
      </w:r>
    </w:p>
    <w:p>
      <w:pPr>
        <w:pStyle w:val="BookText"/>
      </w:pPr>
      <w:r>
        <w:rPr>
          <w:rFonts w:ascii="IRNazanin" w:hAnsi="IRNazanin" w:eastAsia="IRNazanin" w:cs="IRNazanin"/>
          <w:lang w:bidi="fa-IR"/>
          <w:color w:val="111111"/>
          <w:sz w:val="28"/>
          <w:szCs w:val="28"/>
          <w:rtl/>
        </w:rPr>
        <w:t xml:space="preserve">شرح كتاب عقل و جهل و توحید و حجت الكافی شیخ کلینی است. گويا توضیحات و تعلیقات استادش علی خان تبریزی هندی است. نیاز به بررسی بیشتری دارد.</w:t>
      </w:r>
    </w:p>
    <w:p>
      <w:pPr>
        <w:pStyle w:val="BookText"/>
      </w:pPr>
      <w:r>
        <w:rPr>
          <w:rFonts w:ascii="IRNazanin" w:hAnsi="IRNazanin" w:eastAsia="IRNazanin" w:cs="IRNazanin"/>
          <w:lang w:bidi="fa-IR"/>
          <w:color w:val="111111"/>
          <w:sz w:val="28"/>
          <w:szCs w:val="28"/>
          <w:rtl/>
        </w:rPr>
        <w:t xml:space="preserve">تهران؛ مجلس؛ شماره نسخه: ۱۰۳۵۷</w:t>
      </w:r>
    </w:p>
    <w:p>
      <w:pPr>
        <w:pStyle w:val="BookText"/>
      </w:pPr>
      <w:r>
        <w:rPr>
          <w:rFonts w:ascii="IRNazanin" w:hAnsi="IRNazanin" w:eastAsia="IRNazanin" w:cs="IRNazanin"/>
          <w:lang w:bidi="fa-IR"/>
          <w:color w:val="111111"/>
          <w:sz w:val="28"/>
          <w:szCs w:val="28"/>
          <w:rtl/>
        </w:rPr>
        <w:t xml:space="preserve">جلد ۱؛ خط: نستعلیق، بی کا، تا: ۱۰ ذیحجه ۱۱۳۸ق؛ مصحح؛ جلد: تیماج مشکی دارای ترنج با سر، عطف و حاشیه تیماج قرمز، ۴۱۶گ، ۲۳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۳۴سم [ف: ۳۲-۳۳۹]</w:t>
      </w:r>
    </w:p>
    <w:p>
      <w:pPr>
        <w:pStyle w:val="Heading3"/>
      </w:pPr>
      <w:bookmarkStart w:id="1298" w:name="_Toc558"/>
      <w:r>
        <w:t>• البيان الشافي و الدر الصافي المنتزع من البرهان الكافي / فقه / عربی</w:t>
      </w:r>
      <w:bookmarkEnd w:id="1298"/>
    </w:p>
    <w:p>
      <w:pPr>
        <w:pStyle w:val="BookText"/>
      </w:pPr>
      <w:r>
        <w:rPr>
          <w:rFonts w:ascii="Times New Roman" w:hAnsi="Times New Roman" w:eastAsia="Times New Roman" w:cs="Times New Roman"/>
          <w:lang w:val="en-US" w:bidi="en-US"/>
          <w:color w:val="111111"/>
          <w:sz w:val="28"/>
          <w:szCs w:val="28"/>
          <w:rtl/>
        </w:rPr>
        <w:t xml:space="preserve">al-bayan-us safi wa-d durr-us safi al-muntaza min-al burhān-il kāfi</w:t>
      </w:r>
    </w:p>
    <w:p>
      <w:pPr>
        <w:pStyle w:val="BookText"/>
      </w:pPr>
      <w:r>
        <w:rPr>
          <w:rFonts w:ascii="IRNazanin" w:hAnsi="IRNazanin" w:eastAsia="IRNazanin" w:cs="IRNazanin"/>
          <w:lang w:bidi="fa-IR"/>
          <w:color w:val="111111"/>
          <w:sz w:val="28"/>
          <w:szCs w:val="28"/>
          <w:rtl/>
        </w:rPr>
        <w:t xml:space="preserve">حمدی، یحیی بن احمد، -۸۷۵ قمری</w:t>
      </w:r>
    </w:p>
    <w:p>
      <w:pPr>
        <w:pStyle w:val="BookText"/>
      </w:pPr>
      <w:r>
        <w:rPr>
          <w:rFonts w:ascii="Times New Roman" w:hAnsi="Times New Roman" w:eastAsia="Times New Roman" w:cs="Times New Roman"/>
          <w:lang w:val="en-US" w:bidi="en-US"/>
          <w:color w:val="111111"/>
          <w:sz w:val="28"/>
          <w:szCs w:val="28"/>
          <w:rtl/>
        </w:rPr>
        <w:t xml:space="preserve">hamdī, yahyā ebn-e ahmad (- 1471)</w:t>
      </w:r>
    </w:p>
    <w:p>
      <w:pPr>
        <w:pStyle w:val="BookText"/>
      </w:pPr>
      <w:r>
        <w:rPr>
          <w:rFonts w:ascii="IRNazanin" w:hAnsi="IRNazanin" w:eastAsia="IRNazanin" w:cs="IRNazanin"/>
          <w:lang w:bidi="fa-IR"/>
          <w:color w:val="111111"/>
          <w:sz w:val="28"/>
          <w:szCs w:val="28"/>
          <w:rtl/>
        </w:rPr>
        <w:t xml:space="preserve">فقه استدلالی مفصلی است با عناوین «فرع مسالة» و در هر مساله، آراء ائمه زیدیه را به نحو اختصار مطرح کرده و سپس اجتهادات و نظرات خود را ضمیمه نموده است. این کتاب مشتمل بر دو مجلد بوده و مورد اعتماد علمای زیدیه است.</w:t>
      </w:r>
    </w:p>
    <w:p>
      <w:pPr>
        <w:pStyle w:val="BookText"/>
      </w:pPr>
      <w:r>
        <w:rPr>
          <w:rFonts w:ascii="IRNazanin" w:hAnsi="IRNazanin" w:eastAsia="IRNazanin" w:cs="IRNazanin"/>
          <w:lang w:bidi="fa-IR"/>
          <w:color w:val="111111"/>
          <w:sz w:val="28"/>
          <w:szCs w:val="28"/>
          <w:rtl/>
        </w:rPr>
        <w:t xml:space="preserve">آغاز: جلد اول: الحمدلله رب العالمين فاطر السموات و الارضين و رازق الخلق اجمعين الذي خضع لعزته المتكبرون ... اما بعد فان طلب العلم اشرف المطالب و کسبه المكاسب ... فجمعت هذا الكتاب ... و سميته «البيان الشافي المنتزع من البرهان الكافي». ثم اني اقدم مسائل محتاج إلى معرفتها في بيان حال المجتهد و المقلد وما يتعلق بها مسئلة، المجتهد هو ...</w:t>
      </w:r>
    </w:p>
    <w:p>
      <w:pPr>
        <w:pStyle w:val="BookText"/>
      </w:pPr>
      <w:r>
        <w:rPr>
          <w:rFonts w:ascii="IRNazanin" w:hAnsi="IRNazanin" w:eastAsia="IRNazanin" w:cs="IRNazanin"/>
          <w:lang w:bidi="fa-IR"/>
          <w:color w:val="111111"/>
          <w:sz w:val="28"/>
          <w:szCs w:val="28"/>
          <w:rtl/>
        </w:rPr>
        <w:t xml:space="preserve">آغاز جلد دوم: كتاب الشرکه، هي بكسر الشين اسم للحالة التي تقع الشركة عليها كشركة العنان و نحوها</w:t>
      </w:r>
    </w:p>
    <w:p>
      <w:pPr>
        <w:pStyle w:val="BookText"/>
      </w:pPr>
      <w:r>
        <w:rPr>
          <w:rFonts w:ascii="Amiri" w:hAnsi="Amiri" w:eastAsia="Amiri" w:cs="Amiri"/>
          <w:lang w:bidi="ar-SA"/>
          <w:color w:val="111111"/>
          <w:sz w:val="28"/>
          <w:szCs w:val="28"/>
          <w:rtl/>
        </w:rPr>
        <w:t xml:space="preserve">[ مؤلفات الزيدية ۲۲۴/۱ ؛ اعلام المؤلفين الزيدية ص ۷۰۵؛ دنا ۵۸۴/۲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اصفهان؛ عمومی اصفهان (فرهنگ سابق)؛ شماره نسخه: ۵۳۱۲</w:t>
      </w:r>
    </w:p>
    <w:p>
      <w:pPr>
        <w:pStyle w:val="BookText"/>
      </w:pPr>
      <w:r>
        <w:rPr>
          <w:rFonts w:ascii="IRNazanin" w:hAnsi="IRNazanin" w:eastAsia="IRNazanin" w:cs="IRNazanin"/>
          <w:lang w:bidi="fa-IR"/>
          <w:color w:val="111111"/>
          <w:sz w:val="28"/>
          <w:szCs w:val="28"/>
          <w:rtl/>
        </w:rPr>
        <w:t xml:space="preserve">آغاز: برابر ۱؛ انجام: مسئلة، و اربعة لايبرون و لو شرطو اليه و هم الطيب المتعاطي كما هو و البايع من ضمان المبيع قبل تسليمه و البايع من العيوب حمله عند الهادی کمامر و المرتهن رهنا صحيحة فلا يصح ابرانه من ضمان الرهن آن ابری من عينه صار امانة، نجز الجزء الأول من كتاب البيان و الحمدلله رب العالمين.</w:t>
      </w:r>
    </w:p>
    <w:p>
      <w:pPr>
        <w:pStyle w:val="BookText"/>
      </w:pPr>
      <w:r>
        <w:rPr>
          <w:rFonts w:ascii="IRNazanin" w:hAnsi="IRNazanin" w:eastAsia="IRNazanin" w:cs="IRNazanin"/>
          <w:lang w:bidi="fa-IR"/>
          <w:color w:val="111111"/>
          <w:sz w:val="28"/>
          <w:szCs w:val="28"/>
          <w:rtl/>
        </w:rPr>
        <w:t xml:space="preserve">جزء اول، از ابتدای مسائل اجتهاد و تقلید تا آخر کتاب الاجارات؛ خط: نسخ، بی کا، تا: قرن ۱۹ صورت اجازه نامه علی بن زید بن حسن برای شمس الدین احمد بن علی بن عثمان السامی جهت نقل کتاب مزبور و همچنین «تذكرة الفقه» و «کواکب النيره» که این دو کتاب نیز از تألیفات ابن المظفر می باشد نوشته شده؛ کاغذ: سمرقندی، جلد: چرمی سیاه ضربی، ۵۴۰ص، ۲۷ سطر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 اندازه: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۳۰سم [ف: ۱-۱۹۵]</w:t>
      </w:r>
    </w:p>
    <w:p>
      <w:pPr>
        <w:pStyle w:val="BookText"/>
      </w:pPr>
      <w:r>
        <w:rPr>
          <w:rFonts w:ascii="IRNazanin" w:hAnsi="IRNazanin" w:eastAsia="IRNazanin" w:cs="IRNazanin"/>
          <w:lang w:bidi="fa-IR"/>
          <w:color w:val="111111"/>
          <w:sz w:val="28"/>
          <w:szCs w:val="28"/>
          <w:rtl/>
        </w:rPr>
        <w:t xml:space="preserve">۲. قم، مرکز احیاء؛ شماره نسخه: ۱۵۷۸</w:t>
      </w:r>
    </w:p>
    <w:p>
      <w:pPr>
        <w:pStyle w:val="BookText"/>
      </w:pPr>
      <w:r>
        <w:rPr>
          <w:rFonts w:ascii="IRNazanin" w:hAnsi="IRNazanin" w:eastAsia="IRNazanin" w:cs="IRNazanin"/>
          <w:lang w:bidi="fa-IR"/>
          <w:color w:val="111111"/>
          <w:sz w:val="28"/>
          <w:szCs w:val="28"/>
          <w:rtl/>
        </w:rPr>
        <w:t xml:space="preserve">آغاز: برابر ۲</w:t>
      </w:r>
    </w:p>
    <w:p>
      <w:pPr>
        <w:pStyle w:val="BookText"/>
      </w:pPr>
      <w:r>
        <w:rPr>
          <w:rFonts w:ascii="IRNazanin" w:hAnsi="IRNazanin" w:eastAsia="IRNazanin" w:cs="IRNazanin"/>
          <w:lang w:bidi="fa-IR"/>
          <w:color w:val="111111"/>
          <w:sz w:val="28"/>
          <w:szCs w:val="28"/>
          <w:rtl/>
        </w:rPr>
        <w:t xml:space="preserve">نسخه اصل: کتابخانه واتیکان -رم ۹۷۰. جلد دوم؛ خط: نسخ، كان عوض بن صالح بن سعيد آنسی سلفی ملاحی زیدی، تا: ۱۳ رمضان ۱۰۶۲ق؛ محشی، کاتب به عنایت محمد بن عبد السلام بن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81" w:name="pg20363_209413"/>
    <w:bookmarkEnd w:id="181"/>
    <w:p>
      <w:pPr>
        <w:pStyle w:val="BookText"/>
      </w:pPr>
      <w:r>
        <w:rPr>
          <w:rFonts w:ascii="IRNazanin" w:hAnsi="IRNazanin" w:eastAsia="IRNazanin" w:cs="IRNazanin"/>
          <w:lang w:bidi="fa-IR"/>
          <w:color w:val="111111"/>
          <w:sz w:val="28"/>
          <w:szCs w:val="28"/>
          <w:rtl/>
        </w:rPr>
        <w:t xml:space="preserve">محمد بن عز الدين بن على سلفی نوشته، و همو محمد بن عبد السلام با نسخه ای صحیح و قدیمی مقابله کرده به تاریخ پنج شنبه از محرم ۱۰۶۴، همو در پایان سماعی نگاشته بدین عبارت: «تم سماع هذا الكتاب المبارك على سيدي السند العلامة شرف الاسلام الحسين بن محمد التهامى ... بتاریخ جمادی الاخرى سنة است و ستین و الف (۱۰۶۶)، كتبه الفقير الى كرم الله تعالی محمد بن عبد السلام بن محمد السفلى»، یادداشت متفرقه و نام کتاب و مؤلف ابیاتی در مدح کتاب به سال ۱۰۶۲؛ تملك: «محمد بن عبد السلام بن محمد سلفی»، «علی بن محمد احمد بن عبد الرحمن بن احمد بن اسماعیل بن ابراهيم بن مهدی محمد بن مهدی احمد بن حسین بن امیر المومنين المنصور بالله قاسم بن محمد، ۴۰۸ص[ عکسی ف: ۴-۴۳۳]</w:t>
      </w:r>
    </w:p>
    <w:p>
      <w:pPr>
        <w:pStyle w:val="BookText"/>
      </w:pPr>
      <w:r>
        <w:rPr>
          <w:rFonts w:ascii="IRNazanin" w:hAnsi="IRNazanin" w:eastAsia="IRNazanin" w:cs="IRNazanin"/>
          <w:lang w:bidi="fa-IR"/>
          <w:color w:val="111111"/>
          <w:sz w:val="28"/>
          <w:szCs w:val="28"/>
          <w:rtl/>
        </w:rPr>
        <w:t xml:space="preserve">←بیان الشريعة و الحقيقة ← الفرق بين علم الشريعة و الحقيقة</w:t>
      </w:r>
    </w:p>
    <w:p>
      <w:pPr>
        <w:pStyle w:val="Heading3"/>
      </w:pPr>
      <w:bookmarkStart w:id="1299" w:name="_Toc559"/>
      <w:r>
        <w:t>• بیان شهر وجود / ترکی</w:t>
      </w:r>
      <w:bookmarkEnd w:id="1299"/>
    </w:p>
    <w:p>
      <w:pPr>
        <w:pStyle w:val="BookText"/>
      </w:pPr>
      <w:r>
        <w:rPr>
          <w:rFonts w:ascii="Times New Roman" w:hAnsi="Times New Roman" w:eastAsia="Times New Roman" w:cs="Times New Roman"/>
          <w:lang w:val="en-US" w:bidi="en-US"/>
          <w:color w:val="111111"/>
          <w:sz w:val="28"/>
          <w:szCs w:val="28"/>
          <w:rtl/>
        </w:rPr>
        <w:t xml:space="preserve">bayān-e šahr-e vojūd</w:t>
      </w:r>
    </w:p>
    <w:p>
      <w:pPr>
        <w:pStyle w:val="BookText"/>
      </w:pPr>
      <w:r>
        <w:rPr>
          <w:rFonts w:ascii="IRNazanin" w:hAnsi="IRNazanin" w:eastAsia="IRNazanin" w:cs="IRNazanin"/>
          <w:lang w:bidi="fa-IR"/>
          <w:color w:val="111111"/>
          <w:sz w:val="28"/>
          <w:szCs w:val="28"/>
          <w:rtl/>
        </w:rPr>
        <w:t xml:space="preserve">قم؛ مرعشی؛ شماره نسخه: ۱۰۹۴۱/۷</w:t>
      </w:r>
    </w:p>
    <w:p>
      <w:pPr>
        <w:pStyle w:val="BookText"/>
      </w:pPr>
      <w:r>
        <w:rPr>
          <w:rFonts w:ascii="IRNazanin" w:hAnsi="IRNazanin" w:eastAsia="IRNazanin" w:cs="IRNazanin"/>
          <w:lang w:bidi="fa-IR"/>
          <w:color w:val="111111"/>
          <w:sz w:val="28"/>
          <w:szCs w:val="28"/>
          <w:rtl/>
        </w:rPr>
        <w:t xml:space="preserve">بی کا، تا: اواخر قرن ۱۲، جا: ترکیه عثمانی؛ قطع: رقعي [میراث شهاب: س وش ۲-۴۱]</w:t>
      </w:r>
    </w:p>
    <w:p>
      <w:pPr>
        <w:pStyle w:val="Heading3"/>
      </w:pPr>
      <w:bookmarkStart w:id="1300" w:name="_Toc560"/>
      <w:r>
        <w:t>•بیان الصناعات / علوم غریبه / فارسی</w:t>
      </w:r>
      <w:bookmarkEnd w:id="1300"/>
    </w:p>
    <w:p>
      <w:pPr>
        <w:pStyle w:val="BookText"/>
      </w:pPr>
      <w:r>
        <w:rPr>
          <w:rFonts w:ascii="Times New Roman" w:hAnsi="Times New Roman" w:eastAsia="Times New Roman" w:cs="Times New Roman"/>
          <w:lang w:val="en-US" w:bidi="en-US"/>
          <w:color w:val="111111"/>
          <w:sz w:val="28"/>
          <w:szCs w:val="28"/>
          <w:rtl/>
        </w:rPr>
        <w:t xml:space="preserve">bayān-os sanā‘āt</w:t>
      </w:r>
    </w:p>
    <w:p>
      <w:pPr>
        <w:pStyle w:val="BookText"/>
      </w:pPr>
      <w:r>
        <w:rPr>
          <w:rFonts w:ascii="IRNazanin" w:hAnsi="IRNazanin" w:eastAsia="IRNazanin" w:cs="IRNazanin"/>
          <w:lang w:bidi="fa-IR"/>
          <w:color w:val="111111"/>
          <w:sz w:val="28"/>
          <w:szCs w:val="28"/>
          <w:rtl/>
        </w:rPr>
        <w:t xml:space="preserve">تفلیسی، حبیش بن ابراهیم، ق۷ قمری</w:t>
      </w:r>
    </w:p>
    <w:p>
      <w:pPr>
        <w:pStyle w:val="BookText"/>
      </w:pPr>
      <w:r>
        <w:rPr>
          <w:rFonts w:ascii="Times New Roman" w:hAnsi="Times New Roman" w:eastAsia="Times New Roman" w:cs="Times New Roman"/>
          <w:lang w:val="en-US" w:bidi="en-US"/>
          <w:color w:val="111111"/>
          <w:sz w:val="28"/>
          <w:szCs w:val="28"/>
          <w:rtl/>
        </w:rPr>
        <w:t xml:space="preserve">taflīsī, hobayš ebn-e ebrāhīm (- 13c)</w:t>
      </w:r>
    </w:p>
    <w:p>
      <w:pPr>
        <w:pStyle w:val="BookText"/>
      </w:pPr>
      <w:r>
        <w:rPr>
          <w:rFonts w:ascii="IRNazanin" w:hAnsi="IRNazanin" w:eastAsia="IRNazanin" w:cs="IRNazanin"/>
          <w:lang w:bidi="fa-IR"/>
          <w:color w:val="111111"/>
          <w:sz w:val="28"/>
          <w:szCs w:val="28"/>
          <w:rtl/>
        </w:rPr>
        <w:t xml:space="preserve">آغاز: بسم الله الرحمن الرحیم سپاس و شکر خدایرا که بیافرید هر دو عالم و اختیار کرد از همه جانوران مردم را و از خرد و دانش وی را بهره داد چاپ: با تصحيح ایرج افشار، فرهنگ ایران زمین، ۵: ص ۲۷۹ -۴۵۷</w:t>
      </w:r>
    </w:p>
    <w:p>
      <w:pPr>
        <w:pStyle w:val="BookText"/>
      </w:pPr>
      <w:r>
        <w:rPr>
          <w:rFonts w:ascii="IRNazanin" w:hAnsi="IRNazanin" w:eastAsia="IRNazanin" w:cs="IRNazanin"/>
          <w:lang w:bidi="fa-IR"/>
          <w:color w:val="111111"/>
          <w:sz w:val="28"/>
          <w:szCs w:val="28"/>
          <w:rtl/>
        </w:rPr>
        <w:t xml:space="preserve">[دنا ۵۸۴/۲ ]</w:t>
      </w:r>
    </w:p>
    <w:p>
      <w:pPr>
        <w:pStyle w:val="BookText"/>
      </w:pPr>
      <w:r>
        <w:rPr>
          <w:rFonts w:ascii="IRNazanin" w:hAnsi="IRNazanin" w:eastAsia="IRNazanin" w:cs="IRNazanin"/>
          <w:lang w:bidi="fa-IR"/>
          <w:color w:val="111111"/>
          <w:sz w:val="28"/>
          <w:szCs w:val="28"/>
          <w:rtl/>
        </w:rPr>
        <w:t xml:space="preserve">۱. قم؛ مرعشی؛ شماره نسخه: بدون شماره اب</w:t>
      </w:r>
    </w:p>
    <w:p>
      <w:pPr>
        <w:pStyle w:val="BookText"/>
      </w:pPr>
      <w:r>
        <w:rPr>
          <w:rFonts w:ascii="IRNazanin" w:hAnsi="IRNazanin" w:eastAsia="IRNazanin" w:cs="IRNazanin"/>
          <w:lang w:bidi="fa-IR"/>
          <w:color w:val="111111"/>
          <w:sz w:val="28"/>
          <w:szCs w:val="28"/>
          <w:rtl/>
        </w:rPr>
        <w:t xml:space="preserve">خط: نستعلیق، بی کا، تا: نیمه دوم قرن ۹ [میراث شهاب: س ش 1 ۳۸-۲ ]</w:t>
      </w:r>
    </w:p>
    <w:p>
      <w:pPr>
        <w:pStyle w:val="BookText"/>
      </w:pPr>
      <w:r>
        <w:rPr>
          <w:rFonts w:ascii="IRNazanin" w:hAnsi="IRNazanin" w:eastAsia="IRNazanin" w:cs="IRNazanin"/>
          <w:lang w:bidi="fa-IR"/>
          <w:color w:val="111111"/>
          <w:sz w:val="28"/>
          <w:szCs w:val="28"/>
          <w:rtl/>
        </w:rPr>
        <w:t xml:space="preserve">۲. تهران، دانشگاه؛ شماره نسخه: ۴۰۳-ف و ۲۴-عکس</w:t>
      </w:r>
    </w:p>
    <w:p>
      <w:pPr>
        <w:pStyle w:val="BookText"/>
      </w:pPr>
      <w:r>
        <w:rPr>
          <w:rFonts w:ascii="IRNazanin" w:hAnsi="IRNazanin" w:eastAsia="IRNazanin" w:cs="IRNazanin"/>
          <w:lang w:bidi="fa-IR"/>
          <w:color w:val="111111"/>
          <w:sz w:val="28"/>
          <w:szCs w:val="28"/>
          <w:rtl/>
        </w:rPr>
        <w:t xml:space="preserve">نسخه اصل: ایا صوفيا ش ۳۵۷۴؛ خط: نستعلیق، بی کا، تا: ربيع الاول ۸۸۴ق، جا: قسطنطنیه؛ ۱۰۲گ، ۱۳ سطر [فیلمها ف: ۱-۲۵] و [فیلمها ف: ۳-۲۱۹]</w:t>
      </w:r>
    </w:p>
    <w:p>
      <w:pPr>
        <w:pStyle w:val="BookText"/>
      </w:pPr>
      <w:r>
        <w:rPr>
          <w:rFonts w:ascii="IRNazanin" w:hAnsi="IRNazanin" w:eastAsia="IRNazanin" w:cs="IRNazanin"/>
          <w:lang w:bidi="fa-IR"/>
          <w:color w:val="111111"/>
          <w:sz w:val="28"/>
          <w:szCs w:val="28"/>
          <w:rtl/>
        </w:rPr>
        <w:t xml:space="preserve">٣. تهران، دانشگاه؛ شماره نسخه: ۱۳۲۹ و ۲۷۷۳-ف</w:t>
      </w:r>
    </w:p>
    <w:p>
      <w:pPr>
        <w:pStyle w:val="BookText"/>
      </w:pPr>
      <w:r>
        <w:rPr>
          <w:rFonts w:ascii="IRNazanin" w:hAnsi="IRNazanin" w:eastAsia="IRNazanin" w:cs="IRNazanin"/>
          <w:lang w:bidi="fa-IR"/>
          <w:color w:val="111111"/>
          <w:sz w:val="28"/>
          <w:szCs w:val="28"/>
          <w:rtl/>
        </w:rPr>
        <w:t xml:space="preserve">آغاز: برابر؛ انجام: اگر ریوند چینی را بکوبند و در آب ریزند و سرش را مهر کنند چون روز دیگر شود سرش را بگشایند و اندر کوزه دیکر ریزند همچون شرابی صاف بیرون آید اگر مردار سنگ را کوفته در سر که ریزند در حال شراب شود.</w:t>
      </w:r>
    </w:p>
    <w:p>
      <w:pPr>
        <w:pStyle w:val="BookText"/>
      </w:pPr>
      <w:r>
        <w:rPr>
          <w:rFonts w:ascii="IRNazanin" w:hAnsi="IRNazanin" w:eastAsia="IRNazanin" w:cs="IRNazanin"/>
          <w:lang w:bidi="fa-IR"/>
          <w:color w:val="111111"/>
          <w:sz w:val="28"/>
          <w:szCs w:val="28"/>
          <w:rtl/>
        </w:rPr>
        <w:t xml:space="preserve">خط: نستعلیق، بی کا، تا: قرن ۱۰ و ۱۱؛ افتادگی: وسط وانجام؛ مجدول زرین؛ کاغذ: سپاهانی، جلد: تیماج قهوه ای ضربی، ۲۱گ، ۱۵ سطر (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۱۹/۵ سم [ف: ۸-۶] و [فیلمها ف: ۱-۲۵]</w:t>
      </w:r>
    </w:p>
    <w:p>
      <w:pPr>
        <w:pStyle w:val="BookText"/>
      </w:pPr>
      <w:r>
        <w:rPr>
          <w:rFonts w:ascii="IRNazanin" w:hAnsi="IRNazanin" w:eastAsia="IRNazanin" w:cs="IRNazanin"/>
          <w:lang w:bidi="fa-IR"/>
          <w:color w:val="111111"/>
          <w:sz w:val="28"/>
          <w:szCs w:val="28"/>
          <w:rtl/>
        </w:rPr>
        <w:t xml:space="preserve">۴. مشهد؛ رضوی؛ شماره نسخه: ۲۹۸۷۴</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انجام: و بعضی گفته اند که بحروفی این سه در سه را پر کند که مجربست و آزموده است و الله اعلم بالصواب و الله المرجع و الماب. سنه ۱۰۸۶ خط: نستعلیق جلی، بی کا، تا: ۱۰۸۶ق، کاغذ: حنایی، جلد: تیماج، ۲۴ سطر ( ۱۶/۸</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۶/۵ )، قطع: بياضي،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۹/۶ سم [رایانه]</w:t>
      </w:r>
    </w:p>
    <w:p>
      <w:pPr>
        <w:pStyle w:val="Heading3"/>
      </w:pPr>
      <w:bookmarkStart w:id="1301" w:name="_Toc561"/>
      <w:r>
        <w:t>• بیان الصناعات (منتخب) / كيميا / فارسی</w:t>
      </w:r>
      <w:bookmarkEnd w:id="1301"/>
    </w:p>
    <w:p>
      <w:pPr>
        <w:pStyle w:val="BookText"/>
      </w:pPr>
      <w:r>
        <w:rPr>
          <w:rFonts w:ascii="Times New Roman" w:hAnsi="Times New Roman" w:eastAsia="Times New Roman" w:cs="Times New Roman"/>
          <w:lang w:val="en-US" w:bidi="en-US"/>
          <w:color w:val="111111"/>
          <w:sz w:val="28"/>
          <w:szCs w:val="28"/>
          <w:rtl/>
        </w:rPr>
        <w:t xml:space="preserve">bayān-os sanā‘āt (mn.)</w:t>
      </w:r>
    </w:p>
    <w:p>
      <w:pPr>
        <w:pStyle w:val="BookText"/>
      </w:pPr>
      <w:r>
        <w:rPr>
          <w:rFonts w:ascii="IRNazanin" w:hAnsi="IRNazanin" w:eastAsia="IRNazanin" w:cs="IRNazanin"/>
          <w:lang w:bidi="fa-IR"/>
          <w:color w:val="111111"/>
          <w:sz w:val="28"/>
          <w:szCs w:val="28"/>
          <w:rtl/>
        </w:rPr>
        <w:t xml:space="preserve">گزیده ای است از فواید کتاب بيان الصناعات در کیمیا.</w:t>
      </w:r>
    </w:p>
    <w:p>
      <w:pPr>
        <w:pStyle w:val="BookText"/>
      </w:pPr>
      <w:r>
        <w:rPr>
          <w:rFonts w:ascii="IRNazanin" w:hAnsi="IRNazanin" w:eastAsia="IRNazanin" w:cs="IRNazanin"/>
          <w:lang w:bidi="fa-IR"/>
          <w:color w:val="111111"/>
          <w:sz w:val="28"/>
          <w:szCs w:val="28"/>
          <w:rtl/>
        </w:rPr>
        <w:t xml:space="preserve">[دنا ۵۸۵/۲ ؛ هدية العارفین: ۲۶۳/۱ ]</w:t>
      </w:r>
    </w:p>
    <w:p>
      <w:pPr>
        <w:pStyle w:val="BookText"/>
      </w:pPr>
      <w:r>
        <w:rPr>
          <w:rFonts w:ascii="IRNazanin" w:hAnsi="IRNazanin" w:eastAsia="IRNazanin" w:cs="IRNazanin"/>
          <w:lang w:bidi="fa-IR"/>
          <w:color w:val="111111"/>
          <w:sz w:val="28"/>
          <w:szCs w:val="28"/>
          <w:rtl/>
        </w:rPr>
        <w:t xml:space="preserve">قم؛ مرعشی؛ شماره نسخه: ۱۲۶۸۳/۲</w:t>
      </w:r>
    </w:p>
    <w:p>
      <w:pPr>
        <w:pStyle w:val="BookText"/>
      </w:pPr>
      <w:r>
        <w:rPr>
          <w:rFonts w:ascii="IRNazanin" w:hAnsi="IRNazanin" w:eastAsia="IRNazanin" w:cs="IRNazanin"/>
          <w:lang w:bidi="fa-IR"/>
          <w:color w:val="111111"/>
          <w:sz w:val="28"/>
          <w:szCs w:val="28"/>
          <w:rtl/>
        </w:rPr>
        <w:t xml:space="preserve">آغاز فصل بدانک اصل علم صناعت في نفس اامر مشکل و نایافت است و کسانی که می کنند اکثر آنها تلويح باشد یا ترکیب.؛ انجام: مقداری سرب با قلعی بگدازند نرمی و سبکی از وی بید و گران و سخت گردد.</w:t>
      </w:r>
    </w:p>
    <w:p>
      <w:pPr>
        <w:pStyle w:val="BookText"/>
      </w:pPr>
      <w:r>
        <w:rPr>
          <w:rFonts w:ascii="IRNazanin" w:hAnsi="IRNazanin" w:eastAsia="IRNazanin" w:cs="IRNazanin"/>
          <w:lang w:bidi="fa-IR"/>
          <w:color w:val="111111"/>
          <w:sz w:val="28"/>
          <w:szCs w:val="28"/>
          <w:rtl/>
        </w:rPr>
        <w:t xml:space="preserve">خط: نستعلیق، بی کا، تا: نیمه قرن ۱۰؛ مصحح، محشی، رکابه دار، ۳ برگ مطالبی در کیمیا به نقل از جابر بن حیان و دیگران در انجام آمده؛ کاغذ: شرقی، ۵ص (۱۴-۱۸)، ۲۴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۳۲-۲۵۱]</w:t>
      </w:r>
    </w:p>
    <w:p>
      <w:pPr>
        <w:pStyle w:val="Heading3"/>
      </w:pPr>
      <w:bookmarkStart w:id="1302" w:name="_Toc562"/>
      <w:r>
        <w:t>• بیان الصواب / کیمیا / عربی</w:t>
      </w:r>
      <w:bookmarkEnd w:id="1302"/>
    </w:p>
    <w:p>
      <w:pPr>
        <w:pStyle w:val="BookText"/>
      </w:pPr>
      <w:r>
        <w:rPr>
          <w:rFonts w:ascii="Times New Roman" w:hAnsi="Times New Roman" w:eastAsia="Times New Roman" w:cs="Times New Roman"/>
          <w:lang w:val="en-US" w:bidi="en-US"/>
          <w:color w:val="111111"/>
          <w:sz w:val="28"/>
          <w:szCs w:val="28"/>
          <w:rtl/>
        </w:rPr>
        <w:t xml:space="preserve">bayān-uş Șawāb</w:t>
      </w:r>
    </w:p>
    <w:p>
      <w:pPr>
        <w:pStyle w:val="BookText"/>
      </w:pPr>
      <w:r>
        <w:rPr>
          <w:rFonts w:ascii="IRNazanin" w:hAnsi="IRNazanin" w:eastAsia="IRNazanin" w:cs="IRNazanin"/>
          <w:lang w:bidi="fa-IR"/>
          <w:color w:val="111111"/>
          <w:sz w:val="28"/>
          <w:szCs w:val="28"/>
          <w:rtl/>
        </w:rPr>
        <w:t xml:space="preserve">کرمانی، محمد کریم بن ابراهیم، ۱۲۲۵-۱۲۸۸ قمری</w:t>
      </w:r>
    </w:p>
    <w:p>
      <w:pPr>
        <w:pStyle w:val="BookText"/>
      </w:pPr>
      <w:r>
        <w:rPr>
          <w:rFonts w:ascii="Times New Roman" w:hAnsi="Times New Roman" w:eastAsia="Times New Roman" w:cs="Times New Roman"/>
          <w:lang w:val="en-US" w:bidi="en-US"/>
          <w:color w:val="111111"/>
          <w:sz w:val="28"/>
          <w:szCs w:val="28"/>
          <w:rtl/>
        </w:rPr>
        <w:t xml:space="preserve">(1810 -ebn-e ebrāhīm kermānī, mohammad karām 1871)</w:t>
      </w:r>
    </w:p>
    <w:p>
      <w:pPr>
        <w:pStyle w:val="BookText"/>
      </w:pPr>
      <w:r>
        <w:rPr>
          <w:rFonts w:ascii="IRNazanin" w:hAnsi="IRNazanin" w:eastAsia="IRNazanin" w:cs="IRNazanin"/>
          <w:lang w:bidi="fa-IR"/>
          <w:color w:val="111111"/>
          <w:sz w:val="28"/>
          <w:szCs w:val="28"/>
          <w:rtl/>
        </w:rPr>
        <w:t xml:space="preserve">رساله ای است که مؤلف در آن طریق حق را در علم کیمیا با رمز، بیان نموده است. او بنا داشته کتابش را در چند باب تنظیم نماید ولی موفق به تألیف بیش از چند فصل از باب اول نگردیده، عنوان این فصل ها عبارتند از: در بیان تدابیر: ذهب، فضه، نحاس، حدید، رصاص، قلعی، خار صینی و نفوس.</w:t>
      </w:r>
    </w:p>
    <w:p>
      <w:pPr>
        <w:pStyle w:val="BookText"/>
      </w:pPr>
      <w:r>
        <w:rPr>
          <w:rFonts w:ascii="IRNazanin" w:hAnsi="IRNazanin" w:eastAsia="IRNazanin" w:cs="IRNazanin"/>
          <w:lang w:bidi="fa-IR"/>
          <w:color w:val="111111"/>
          <w:sz w:val="28"/>
          <w:szCs w:val="28"/>
          <w:rtl/>
        </w:rPr>
        <w:t xml:space="preserve">آغاز: بسمله. الحمدلله و سلام على عباده الذين اصطفی. و بعد، يقول العبد الأثيم کریم بن ابراهيم أن هذه رسالة شريفة و عجالة لطيفة في العلم المکنون</w:t>
      </w:r>
    </w:p>
    <w:p>
      <w:pPr>
        <w:pStyle w:val="BookText"/>
      </w:pPr>
      <w:r>
        <w:rPr>
          <w:rFonts w:ascii="IRNazanin" w:hAnsi="IRNazanin" w:eastAsia="IRNazanin" w:cs="IRNazanin"/>
          <w:lang w:bidi="fa-IR"/>
          <w:color w:val="111111"/>
          <w:sz w:val="28"/>
          <w:szCs w:val="28"/>
          <w:rtl/>
        </w:rPr>
        <w:t xml:space="preserve">انجام: و جميع ما سواه تمثیلات و تشبیهات لهذه الطريقة المستقيمة و الله يهدي من يشاء إلى صراط المستقيم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82" w:name="pg20363_209414"/>
    <w:bookmarkEnd w:id="182"/>
    <w:p>
      <w:pPr>
        <w:pStyle w:val="BookText"/>
      </w:pPr>
      <w:r>
        <w:rPr>
          <w:rFonts w:ascii="IRNazanin" w:hAnsi="IRNazanin" w:eastAsia="IRNazanin" w:cs="IRNazanin"/>
          <w:lang w:bidi="fa-IR"/>
          <w:color w:val="111111"/>
          <w:sz w:val="28"/>
          <w:szCs w:val="28"/>
          <w:rtl/>
        </w:rPr>
        <w:t xml:space="preserve">[دنا ۵۸۵/۲ ؛ فهرست کتب مشایخ عظام ۲۳۷/۲ ]</w:t>
      </w:r>
    </w:p>
    <w:p>
      <w:pPr>
        <w:pStyle w:val="BookText"/>
      </w:pPr>
      <w:r>
        <w:rPr>
          <w:rFonts w:ascii="Amiri" w:hAnsi="Amiri" w:eastAsia="Amiri" w:cs="Amiri"/>
          <w:lang w:bidi="ar-SA"/>
          <w:color w:val="111111"/>
          <w:sz w:val="28"/>
          <w:szCs w:val="28"/>
          <w:rtl/>
        </w:rPr>
        <w:t xml:space="preserve">۱. تهران: دائرة المعارف؛ شماره نسخه: ۵/۶</w:t>
      </w:r>
    </w:p>
    <w:p>
      <w:pPr>
        <w:pStyle w:val="BookText"/>
      </w:pPr>
      <w:r>
        <w:rPr>
          <w:rFonts w:ascii="IRNazanin" w:hAnsi="IRNazanin" w:eastAsia="IRNazanin" w:cs="IRNazanin"/>
          <w:lang w:bidi="fa-IR"/>
          <w:color w:val="111111"/>
          <w:sz w:val="28"/>
          <w:szCs w:val="28"/>
          <w:rtl/>
        </w:rPr>
        <w:t xml:space="preserve">خط: نسخ پخته، بی کا، تا: پایان قرن ۱۳، ۲۶گ (۵۴پ - ۷۹ر) [ف: ۳۷-۱ ]</w:t>
      </w:r>
    </w:p>
    <w:p>
      <w:pPr>
        <w:pStyle w:val="BookText"/>
      </w:pPr>
      <w:r>
        <w:rPr>
          <w:rFonts w:ascii="IRNazanin" w:hAnsi="IRNazanin" w:eastAsia="IRNazanin" w:cs="IRNazanin"/>
          <w:lang w:bidi="fa-IR"/>
          <w:color w:val="111111"/>
          <w:sz w:val="28"/>
          <w:szCs w:val="28"/>
          <w:rtl/>
        </w:rPr>
        <w:t xml:space="preserve">۲. شیراز؛ علامه طباطبائی؛ شماره نسخه: ۱۴۶۸/۳</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تا: قرن ۱۳، ۱۱گ (۱۲۹- ۱۳۹)، اندازه: ۱۸/۵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۲۹/۵ سم [نسخه پژوهی: ۳-۱۴۹]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تهران؛ دائرة المعارف؛ شماره نسخه: ۲/۶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پخته، كا: يوسف شیرازی، تا: شنبه ۱۶ ربیع الاول ۱۲۸۱ق؛ ۳۶ (۱۰۰-۱۳۵ر) [ف: ۱-۳۷]</w:t>
      </w:r>
    </w:p>
    <w:p>
      <w:pPr>
        <w:pStyle w:val="BookText"/>
      </w:pPr>
      <w:r>
        <w:rPr>
          <w:rFonts w:ascii="IRNazanin" w:hAnsi="IRNazanin" w:eastAsia="IRNazanin" w:cs="IRNazanin"/>
          <w:lang w:bidi="fa-IR"/>
          <w:color w:val="111111"/>
          <w:sz w:val="28"/>
          <w:szCs w:val="28"/>
          <w:rtl/>
        </w:rPr>
        <w:t xml:space="preserve">۴. مشهد؛ رضوی؛ شماره نسخه: ض۱۰۷۲۹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ابوالقاسم، تا: ۱۲۸۳ق، به نام شیخ حسنعلی؛ کاغذ: نخودی، جلد: مقوا با رویه پارچه و عطف و گوشه تیماج، ۱۸ سطر (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قطع: وزیری کوچک،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[الفبائی: 93]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مرکز مطالعات؛ شماره نسخه: ۱۹۰/۲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جلد: تیماج، زیتونی، ۳۸گ (۱۴ر ۵۱ر)، ۱۲سطر،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۱-۱۵۸]</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ملک؛ شماره نسخه: ۳۳۰۱/۹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کاغذ: فرنگی آهار مهره، جلد: میشن قهوه ای، ۲۰گ(۱۷۸پ -۱۹۷پ)، ۱۶ سطر، اندازه:۲۱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۶-۳۶۴]</w:t>
      </w:r>
    </w:p>
    <w:p>
      <w:pPr>
        <w:pStyle w:val="Heading3"/>
      </w:pPr>
      <w:bookmarkStart w:id="1303" w:name="_Toc563"/>
      <w:r>
        <w:t>• بیان الصواب / تراجم / فارسی</w:t>
      </w:r>
      <w:bookmarkEnd w:id="1303"/>
    </w:p>
    <w:p>
      <w:pPr>
        <w:pStyle w:val="BookText"/>
      </w:pPr>
      <w:r>
        <w:rPr>
          <w:rFonts w:ascii="Times New Roman" w:hAnsi="Times New Roman" w:eastAsia="Times New Roman" w:cs="Times New Roman"/>
          <w:lang w:val="en-US" w:bidi="en-US"/>
          <w:color w:val="111111"/>
          <w:sz w:val="28"/>
          <w:szCs w:val="28"/>
          <w:rtl/>
        </w:rPr>
        <w:t xml:space="preserve">bayān-uş şawāb</w:t>
      </w:r>
    </w:p>
    <w:p>
      <w:pPr>
        <w:pStyle w:val="BookText"/>
      </w:pPr>
      <w:r>
        <w:rPr>
          <w:rFonts w:ascii="IRNazanin" w:hAnsi="IRNazanin" w:eastAsia="IRNazanin" w:cs="IRNazanin"/>
          <w:lang w:bidi="fa-IR"/>
          <w:color w:val="111111"/>
          <w:sz w:val="28"/>
          <w:szCs w:val="28"/>
          <w:rtl/>
        </w:rPr>
        <w:t xml:space="preserve">بهاء الدين، محمد بن سعيد، ق ۱۴ قمری</w:t>
      </w:r>
    </w:p>
    <w:p>
      <w:pPr>
        <w:pStyle w:val="BookText"/>
      </w:pPr>
      <w:r>
        <w:rPr>
          <w:rFonts w:ascii="Times New Roman" w:hAnsi="Times New Roman" w:eastAsia="Times New Roman" w:cs="Times New Roman"/>
          <w:lang w:val="en-US" w:bidi="en-US"/>
          <w:color w:val="111111"/>
          <w:sz w:val="28"/>
          <w:szCs w:val="28"/>
          <w:rtl/>
        </w:rPr>
        <w:t xml:space="preserve">bahā-od-dīn, mohammad ebn-e saʻīd (- 20c)</w:t>
      </w:r>
    </w:p>
    <w:p>
      <w:pPr>
        <w:pStyle w:val="BookText"/>
      </w:pPr>
      <w:r>
        <w:rPr>
          <w:rFonts w:ascii="IRNazanin" w:hAnsi="IRNazanin" w:eastAsia="IRNazanin" w:cs="IRNazanin"/>
          <w:lang w:bidi="fa-IR"/>
          <w:color w:val="111111"/>
          <w:sz w:val="28"/>
          <w:szCs w:val="28"/>
          <w:rtl/>
        </w:rPr>
        <w:t xml:space="preserve">نویسنده می گوید: «غرض از ترتیب این کلمات و تنمق این عبارات آن است که در این ایام محنت فرجام به نظر رسید کتابی غیر مستطاب از فضائل مآب آقای میرزا محمد تنکابنی ختم الله له بالخير که در تاریخ احوال علمای قدیم و جدید نگاشته و آن را قصص العلماء موسوم ساخته و در طی آن کتاب شرحی از احوال مشایخ ما (= مقصود مشایخ شیخیه) اجل الله شانهم و انار برهانيهم و شید اركانهم مندرج گردانده و به خبرهای اراجیف و اکاذیب چندی که هیچ محل قبول ارباب عقل ورزانت و محط نظر صاحبان علم و متانت نیست در آنجا مذکور ساخت و نسبت های رکیک و نهايات سوء آداب را در آن تأليف ابراز داشت ..»، من چون چنین دیدم خورد و خواب را بر خود حرام یافتم و بر آن شدم که جواب او گویم. پس او در ضمن یک «مقدمه» و چند «فصل» جواب او را می دهد.</w:t>
      </w:r>
    </w:p>
    <w:p>
      <w:pPr>
        <w:pStyle w:val="BookText"/>
      </w:pPr>
      <w:r>
        <w:rPr>
          <w:rFonts w:ascii="IRNazanin" w:hAnsi="IRNazanin" w:eastAsia="IRNazanin" w:cs="IRNazanin"/>
          <w:lang w:bidi="fa-IR"/>
          <w:color w:val="111111"/>
          <w:sz w:val="28"/>
          <w:szCs w:val="28"/>
          <w:rtl/>
        </w:rPr>
        <w:t xml:space="preserve">[دنا ۵۸۵/۲ ]</w:t>
      </w:r>
    </w:p>
    <w:p>
      <w:pPr>
        <w:pStyle w:val="BookText"/>
      </w:pPr>
      <w:r>
        <w:rPr>
          <w:rFonts w:ascii="IRNazanin" w:hAnsi="IRNazanin" w:eastAsia="IRNazanin" w:cs="IRNazanin"/>
          <w:lang w:bidi="fa-IR"/>
          <w:color w:val="111111"/>
          <w:sz w:val="28"/>
          <w:szCs w:val="28"/>
          <w:rtl/>
        </w:rPr>
        <w:t xml:space="preserve">تهران؛ ملی؛ شماره نسخه: ۲۹۳۸/۲</w:t>
      </w:r>
    </w:p>
    <w:p>
      <w:pPr>
        <w:pStyle w:val="BookText"/>
      </w:pPr>
      <w:r>
        <w:rPr>
          <w:rFonts w:ascii="IRNazanin" w:hAnsi="IRNazanin" w:eastAsia="IRNazanin" w:cs="IRNazanin"/>
          <w:lang w:bidi="fa-IR"/>
          <w:color w:val="111111"/>
          <w:sz w:val="28"/>
          <w:szCs w:val="28"/>
          <w:rtl/>
        </w:rPr>
        <w:t xml:space="preserve">بآخر نسخه از ۱۸۶ تا ظهر برگ ۱۹۲ شرح عبارت «حسنات الابرار سيئات المقربين» می آید؛ كا: آقا مرتضی، تا: اواخر ۱۳۰۶ق؛ کاغذ: فرنگی (الوان)، جلد: تیماج مشکی مقوایی عطف تیماج مشکی، ۷۵ص (۱۱۲-۱۸۶)، ۱۶سطر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۶-۶۸۶]</w:t>
      </w:r>
    </w:p>
    <w:p>
      <w:pPr>
        <w:pStyle w:val="BookText"/>
      </w:pPr>
      <w:r>
        <w:rPr>
          <w:rFonts w:ascii="IRNazanin" w:hAnsi="IRNazanin" w:eastAsia="IRNazanin" w:cs="IRNazanin"/>
          <w:lang w:bidi="fa-IR"/>
          <w:color w:val="111111"/>
          <w:sz w:val="28"/>
          <w:szCs w:val="28"/>
          <w:rtl/>
        </w:rPr>
        <w:t xml:space="preserve">← بیان طاعات و عبادات ← موعظت</w:t>
      </w:r>
    </w:p>
    <w:p>
      <w:pPr>
        <w:pStyle w:val="Heading3"/>
      </w:pPr>
      <w:bookmarkStart w:id="1304" w:name="_Toc564"/>
      <w:r>
        <w:t>• بیان الطب طب / فارسی</w:t>
      </w:r>
      <w:bookmarkEnd w:id="1304"/>
    </w:p>
    <w:p>
      <w:pPr>
        <w:pStyle w:val="BookText"/>
      </w:pPr>
      <w:r>
        <w:rPr>
          <w:rFonts w:ascii="Times New Roman" w:hAnsi="Times New Roman" w:eastAsia="Times New Roman" w:cs="Times New Roman"/>
          <w:lang w:val="en-US" w:bidi="en-US"/>
          <w:color w:val="111111"/>
          <w:sz w:val="28"/>
          <w:szCs w:val="28"/>
          <w:rtl/>
        </w:rPr>
        <w:t xml:space="preserve">bayān-ot tebb</w:t>
      </w:r>
    </w:p>
    <w:p>
      <w:pPr>
        <w:pStyle w:val="BookText"/>
      </w:pPr>
      <w:r>
        <w:rPr>
          <w:rFonts w:ascii="IRNazanin" w:hAnsi="IRNazanin" w:eastAsia="IRNazanin" w:cs="IRNazanin"/>
          <w:lang w:bidi="fa-IR"/>
          <w:color w:val="111111"/>
          <w:sz w:val="28"/>
          <w:szCs w:val="28"/>
          <w:rtl/>
        </w:rPr>
        <w:t xml:space="preserve">تفلیسی، حبیش بن ابراهیم، ق۷ قمری</w:t>
      </w:r>
    </w:p>
    <w:p>
      <w:pPr>
        <w:pStyle w:val="BookText"/>
      </w:pPr>
      <w:r>
        <w:rPr>
          <w:rFonts w:ascii="Times New Roman" w:hAnsi="Times New Roman" w:eastAsia="Times New Roman" w:cs="Times New Roman"/>
          <w:lang w:val="en-US" w:bidi="en-US"/>
          <w:color w:val="111111"/>
          <w:sz w:val="28"/>
          <w:szCs w:val="28"/>
          <w:rtl/>
        </w:rPr>
        <w:t xml:space="preserve">taflīsī, hobayš ebn-e ebrāhīm (- 13c)</w:t>
      </w:r>
    </w:p>
    <w:p>
      <w:pPr>
        <w:pStyle w:val="BookText"/>
      </w:pPr>
      <w:r>
        <w:rPr>
          <w:rFonts w:ascii="IRNazanin" w:hAnsi="IRNazanin" w:eastAsia="IRNazanin" w:cs="IRNazanin"/>
          <w:lang w:bidi="fa-IR"/>
          <w:color w:val="111111"/>
          <w:sz w:val="28"/>
          <w:szCs w:val="28"/>
          <w:rtl/>
        </w:rPr>
        <w:t xml:space="preserve">مؤلف آن را پس از بیان الصناعات» در بیست «باب» نگاشته. علت تأليف را سه چیز بیان می کند: ۱. بهر آنکه مردمان از او منفعت و راحت یابند؛ ۲. آنکه توشه جام و روان بود به امر باری تعالی؛ ۳. آنکه از من یادگار بماند. آغاز: بسمله شکر و سپاس مر خدایرا که آفریننده زمین و آسمان است ... چنین گوید ... که چون از تصنیف کتاب بيان الصناعات انجام: وباب بسریشد و حب کند و هنگام حاجت دو درم بکار دارد و از طعام های سرد پرهیز کند و به شیرینی رغبت نماید طب علمی و عملی است.[ نسخه های منزوی ۴۸۳/۱ ؛ دنا ۵۸۵/۲ ؛ فهرستواره منزوی ۳۳۲۳/۵ ]</w:t>
      </w:r>
    </w:p>
    <w:p>
      <w:pPr>
        <w:pStyle w:val="BookText"/>
      </w:pPr>
      <w:r>
        <w:rPr>
          <w:rFonts w:ascii="IRNazanin" w:hAnsi="IRNazanin" w:eastAsia="IRNazanin" w:cs="IRNazanin"/>
          <w:lang w:bidi="fa-IR"/>
          <w:color w:val="111111"/>
          <w:sz w:val="28"/>
          <w:szCs w:val="28"/>
          <w:rtl/>
        </w:rPr>
        <w:t xml:space="preserve">۱. تهران؛ مجلس؛ شماره نسخه: ۶۹۲۰</w:t>
      </w:r>
    </w:p>
    <w:p>
      <w:pPr>
        <w:pStyle w:val="BookText"/>
      </w:pPr>
      <w:r>
        <w:rPr>
          <w:rFonts w:ascii="IRNazanin" w:hAnsi="IRNazanin" w:eastAsia="IRNazanin" w:cs="IRNazanin"/>
          <w:lang w:bidi="fa-IR"/>
          <w:color w:val="111111"/>
          <w:sz w:val="28"/>
          <w:szCs w:val="28"/>
          <w:rtl/>
        </w:rPr>
        <w:t xml:space="preserve">آغاز: قول پیغمبر است صلی الله عليه و سلم العلم علمان علم الابدان و علم الادیان فرمود علم دو است؛ انجام: و در بستری سبز نگاه دارد و سر وقت ... به ناشتا بخور نافع بود نسخه سوزنجان خراسانی ... از هر یک مثقالی خط: نستعلیق، بی کا، تا: قرن ۱۰؛ افتادگی: آغاز و انجام؛ مجدول مصحح، تملکی با مهر مربع که کتاب را از میرزا محمد على اصفهانی ساکن دهکرد خریده؛ جلد: مقوایی با روکش ابر و باد، عطف و گوشه ها تیماج قهوه ای سوخته، ۱۶۸، ۱۷ سطر،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۲۰-۳۴۵]</w:t>
      </w:r>
    </w:p>
    <w:p>
      <w:pPr>
        <w:pStyle w:val="BookText"/>
      </w:pPr>
      <w:r>
        <w:rPr>
          <w:rFonts w:ascii="IRNazanin" w:hAnsi="IRNazanin" w:eastAsia="IRNazanin" w:cs="IRNazanin"/>
          <w:lang w:bidi="fa-IR"/>
          <w:color w:val="111111"/>
          <w:sz w:val="28"/>
          <w:szCs w:val="28"/>
          <w:rtl/>
        </w:rPr>
        <w:t xml:space="preserve">۲. قم؛ گلپایگانی؛ شماره نسخه: ۲۸۸۳/۱ - ۱۵/۱۲۳</w:t>
      </w:r>
    </w:p>
    <w:p>
      <w:pPr>
        <w:pStyle w:val="BookText"/>
      </w:pPr>
      <w:r>
        <w:rPr>
          <w:rFonts w:ascii="IRNazanin" w:hAnsi="IRNazanin" w:eastAsia="IRNazanin" w:cs="IRNazanin"/>
          <w:lang w:bidi="fa-IR"/>
          <w:color w:val="111111"/>
          <w:sz w:val="28"/>
          <w:szCs w:val="28"/>
          <w:rtl/>
        </w:rPr>
        <w:t xml:space="preserve">آغاز: بسمله بدانکه دانستن علم طب از ضروریات است که مداوا برای حفظ صحت بدن از جمله ملزومات است که طاعت بتوان به جای آوردن؛ انجام: خوردن ابرو صنم - سببش چون بنک بود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83" w:name="pg20363_209415"/>
    <w:bookmarkEnd w:id="183"/>
    <w:p>
      <w:pPr>
        <w:pStyle w:val="BookText"/>
      </w:pPr>
      <w:r>
        <w:rPr>
          <w:rFonts w:ascii="IRNazanin" w:hAnsi="IRNazanin" w:eastAsia="IRNazanin" w:cs="IRNazanin"/>
          <w:lang w:bidi="fa-IR"/>
          <w:color w:val="111111"/>
          <w:sz w:val="28"/>
          <w:szCs w:val="28"/>
          <w:rtl/>
        </w:rPr>
        <w:t xml:space="preserve">علامتش سخت گران شود ... وغذا شور بای چرب خورد تا شفا یابد. خوردن خطبه کتاب تحریر نشده؛ خط: نستعلیق، بی کا، تا: قرن ۱۳؛ افتادگی: انجام؛ جلد: مقوا عطف و گوشه تیماج قهوه ای، ۵۰گ، ۱۶-۱۵</w:t>
      </w:r>
    </w:p>
    <w:p>
      <w:pPr>
        <w:pStyle w:val="BookText"/>
      </w:pPr>
      <w:r>
        <w:rPr>
          <w:rFonts w:ascii="IRNazanin" w:hAnsi="IRNazanin" w:eastAsia="IRNazanin" w:cs="IRNazanin"/>
          <w:lang w:bidi="fa-IR"/>
          <w:color w:val="111111"/>
          <w:sz w:val="28"/>
          <w:szCs w:val="28"/>
          <w:rtl/>
        </w:rPr>
        <w:t xml:space="preserve">سطر، اندازه: ۲۱۶۱۶سم [ف: ۲-۶۵۰]</w:t>
      </w:r>
    </w:p>
    <w:p>
      <w:pPr>
        <w:pStyle w:val="BookText"/>
      </w:pPr>
      <w:r>
        <w:rPr>
          <w:rFonts w:ascii="IRNazanin" w:hAnsi="IRNazanin" w:eastAsia="IRNazanin" w:cs="IRNazanin"/>
          <w:lang w:bidi="fa-IR"/>
          <w:color w:val="111111"/>
          <w:sz w:val="28"/>
          <w:szCs w:val="28"/>
          <w:rtl/>
        </w:rPr>
        <w:t xml:space="preserve">٣. قم؛ گلپایگانی؛ شماره نسخه: ۵۲۳۵/۱ - ۲۶/۱۱۵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۱۳، جلد: تیماج قهوه ای سوخت با ترنج</w:t>
      </w:r>
    </w:p>
    <w:p>
      <w:pPr>
        <w:pStyle w:val="BookText"/>
      </w:pPr>
      <w:r>
        <w:rPr>
          <w:rFonts w:ascii="IRNazanin" w:hAnsi="IRNazanin" w:eastAsia="IRNazanin" w:cs="IRNazanin"/>
          <w:lang w:bidi="fa-IR"/>
          <w:color w:val="111111"/>
          <w:sz w:val="28"/>
          <w:szCs w:val="28"/>
          <w:rtl/>
        </w:rPr>
        <w:t xml:space="preserve">با سر، مجدول، ۱۲۱ گ، ۱۵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۲-۶۵۰]</w:t>
      </w:r>
    </w:p>
    <w:p>
      <w:pPr>
        <w:pStyle w:val="BookText"/>
      </w:pPr>
      <w:r>
        <w:rPr>
          <w:rFonts w:ascii="IRNazanin" w:hAnsi="IRNazanin" w:eastAsia="IRNazanin" w:cs="IRNazanin"/>
          <w:lang w:bidi="fa-IR"/>
          <w:color w:val="111111"/>
          <w:sz w:val="28"/>
          <w:szCs w:val="28"/>
          <w:rtl/>
        </w:rPr>
        <w:t xml:space="preserve">۴. تهران؛ سپهسالار؛ شماره نسخه: ۸۲۶</w:t>
      </w:r>
    </w:p>
    <w:p>
      <w:pPr>
        <w:pStyle w:val="BookText"/>
      </w:pPr>
      <w:r>
        <w:rPr>
          <w:rFonts w:ascii="IRNazanin" w:hAnsi="IRNazanin" w:eastAsia="IRNazanin" w:cs="IRNazanin"/>
          <w:lang w:bidi="fa-IR"/>
          <w:color w:val="111111"/>
          <w:sz w:val="28"/>
          <w:szCs w:val="28"/>
          <w:rtl/>
        </w:rPr>
        <w:t xml:space="preserve">آغاز و انجام: برابر خط: نستعلیق، بی کا، تا: ۱۲۷۵ق؛ کاغذ: فرنگی، جلد: تیماج تریاکی یک لا ضربی، ۲۳۱ گ، ۱۰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۲۶۹-۳ ]</w:t>
      </w:r>
    </w:p>
    <w:p>
      <w:pPr>
        <w:pStyle w:val="Heading3"/>
      </w:pPr>
      <w:bookmarkStart w:id="1305" w:name="_Toc565"/>
      <w:r>
        <w:t>•بیان طوائف الذين اعتقدوا بان في المسيح طبيعة واحدة و اختلافهم بها / کلام و اعتقادات</w:t>
      </w:r>
      <w:bookmarkEnd w:id="1305"/>
    </w:p>
    <w:p>
      <w:pPr>
        <w:pStyle w:val="BookText"/>
      </w:pPr>
      <w:r>
        <w:rPr>
          <w:rFonts w:ascii="Times New Roman" w:hAnsi="Times New Roman" w:eastAsia="Times New Roman" w:cs="Times New Roman"/>
          <w:lang w:val="en-US" w:bidi="en-US"/>
          <w:color w:val="111111"/>
          <w:sz w:val="28"/>
          <w:szCs w:val="28"/>
          <w:rtl/>
        </w:rPr>
        <w:t xml:space="preserve">bayān-u ţawā’if-il ladīn-a i'taqadū bi-ana-na fi-1 masīḥ tabiat-an wahida Wa ixtilaf-i-him bi-ha</w:t>
      </w:r>
    </w:p>
    <w:p>
      <w:pPr>
        <w:pStyle w:val="BookText"/>
      </w:pPr>
      <w:r>
        <w:rPr>
          <w:rFonts w:ascii="IRNazanin" w:hAnsi="IRNazanin" w:eastAsia="IRNazanin" w:cs="IRNazanin"/>
          <w:lang w:bidi="fa-IR"/>
          <w:color w:val="111111"/>
          <w:sz w:val="28"/>
          <w:szCs w:val="28"/>
          <w:rtl/>
        </w:rPr>
        <w:t xml:space="preserve">تهران؛ دانشگاه؛ شماره نسخه: ۷۵۷۰/۳</w:t>
      </w:r>
    </w:p>
    <w:p>
      <w:pPr>
        <w:pStyle w:val="BookText"/>
      </w:pPr>
      <w:r>
        <w:rPr>
          <w:rFonts w:ascii="IRNazanin" w:hAnsi="IRNazanin" w:eastAsia="IRNazanin" w:cs="IRNazanin"/>
          <w:lang w:bidi="fa-IR"/>
          <w:color w:val="111111"/>
          <w:sz w:val="28"/>
          <w:szCs w:val="28"/>
          <w:rtl/>
        </w:rPr>
        <w:t xml:space="preserve">خط: نسخ، بی کا، تا: قرن ۱۲ کاغذ: فرنگی، جلد: تیماج مشکی لایی، ۶گ (۹۹-۱۰۴)، ۱۳ سطر (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 قطع: ربعی،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سم [ف: ۱۲۶-۶۳۲]</w:t>
      </w:r>
    </w:p>
    <w:p>
      <w:pPr>
        <w:pStyle w:val="Heading3"/>
      </w:pPr>
      <w:bookmarkStart w:id="1306" w:name="_Toc566"/>
      <w:r>
        <w:t>• بیان ظهور عناصر که بافلاک عروج می کنند (رساله در) / عرفان و تصوف / فارسی</w:t>
      </w:r>
      <w:bookmarkEnd w:id="1306"/>
    </w:p>
    <w:p>
      <w:pPr>
        <w:pStyle w:val="BookText"/>
      </w:pPr>
      <w:r>
        <w:rPr>
          <w:rFonts w:ascii="Times New Roman" w:hAnsi="Times New Roman" w:eastAsia="Times New Roman" w:cs="Times New Roman"/>
          <w:lang w:val="en-US" w:bidi="en-US"/>
          <w:color w:val="111111"/>
          <w:sz w:val="28"/>
          <w:szCs w:val="28"/>
          <w:rtl/>
        </w:rPr>
        <w:t xml:space="preserve">bayān-e zohūr-e 'anāsor ke be-aflāk ‘orāj mī-konand (r. dar)</w:t>
      </w:r>
    </w:p>
    <w:p>
      <w:pPr>
        <w:pStyle w:val="BookText"/>
      </w:pPr>
      <w:r>
        <w:rPr>
          <w:rFonts w:ascii="IRNazanin" w:hAnsi="IRNazanin" w:eastAsia="IRNazanin" w:cs="IRNazanin"/>
          <w:lang w:bidi="fa-IR"/>
          <w:color w:val="111111"/>
          <w:sz w:val="28"/>
          <w:szCs w:val="28"/>
          <w:rtl/>
        </w:rPr>
        <w:t xml:space="preserve">رساله عرفانی است در این که از ظهور عناصر انسان کامل به ظهور می آید.</w:t>
      </w:r>
    </w:p>
    <w:p>
      <w:pPr>
        <w:pStyle w:val="BookText"/>
      </w:pPr>
      <w:r>
        <w:rPr>
          <w:rFonts w:ascii="IRNazanin" w:hAnsi="IRNazanin" w:eastAsia="IRNazanin" w:cs="IRNazanin"/>
          <w:lang w:bidi="fa-IR"/>
          <w:color w:val="111111"/>
          <w:sz w:val="28"/>
          <w:szCs w:val="28"/>
          <w:rtl/>
        </w:rPr>
        <w:t xml:space="preserve">تهران؛ الهیات؛ شماره نسخه: ۵۷۱/۴</w:t>
      </w:r>
    </w:p>
    <w:p>
      <w:pPr>
        <w:pStyle w:val="BookText"/>
      </w:pPr>
      <w:r>
        <w:rPr>
          <w:rFonts w:ascii="IRNazanin" w:hAnsi="IRNazanin" w:eastAsia="IRNazanin" w:cs="IRNazanin"/>
          <w:lang w:bidi="fa-IR"/>
          <w:color w:val="111111"/>
          <w:sz w:val="28"/>
          <w:szCs w:val="28"/>
          <w:rtl/>
        </w:rPr>
        <w:t xml:space="preserve">خط: نستعلیق، بی کا، بی تا، کاغذ: اصفهانی، جلد: تیماج سبز مقوایی، ۱۱گ (۱۸پ -۲۸ر)، ۱۶ سطر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سم [ف: ۳۳۳]</w:t>
      </w:r>
    </w:p>
    <w:p>
      <w:pPr>
        <w:pStyle w:val="Heading3"/>
      </w:pPr>
      <w:bookmarkStart w:id="1307" w:name="_Toc567"/>
      <w:r>
        <w:t>•بیان العلم / عرفان و تصوف / عربی</w:t>
      </w:r>
      <w:bookmarkEnd w:id="1307"/>
    </w:p>
    <w:p>
      <w:pPr>
        <w:pStyle w:val="BookText"/>
      </w:pPr>
      <w:r>
        <w:rPr>
          <w:rFonts w:ascii="Times New Roman" w:hAnsi="Times New Roman" w:eastAsia="Times New Roman" w:cs="Times New Roman"/>
          <w:lang w:val="en-US" w:bidi="en-US"/>
          <w:color w:val="111111"/>
          <w:sz w:val="28"/>
          <w:szCs w:val="28"/>
          <w:rtl/>
        </w:rPr>
        <w:t xml:space="preserve">bayān-ul ‘ilm</w:t>
      </w:r>
    </w:p>
    <w:p>
      <w:pPr>
        <w:pStyle w:val="BookText"/>
      </w:pPr>
      <w:r>
        <w:rPr>
          <w:rFonts w:ascii="IRNazanin" w:hAnsi="IRNazanin" w:eastAsia="IRNazanin" w:cs="IRNazanin"/>
          <w:lang w:bidi="fa-IR"/>
          <w:color w:val="111111"/>
          <w:sz w:val="28"/>
          <w:szCs w:val="28"/>
          <w:rtl/>
        </w:rPr>
        <w:t xml:space="preserve">حکیم ترمذی، محمد بن على، - ۳۲۰ ؟ قمری</w:t>
      </w:r>
    </w:p>
    <w:p>
      <w:pPr>
        <w:pStyle w:val="BookText"/>
      </w:pPr>
      <w:r>
        <w:rPr>
          <w:rFonts w:ascii="Times New Roman" w:hAnsi="Times New Roman" w:eastAsia="Times New Roman" w:cs="Times New Roman"/>
          <w:lang w:val="en-US" w:bidi="en-US"/>
          <w:color w:val="111111"/>
          <w:sz w:val="28"/>
          <w:szCs w:val="28"/>
          <w:rtl/>
        </w:rPr>
        <w:t xml:space="preserve">hakīm-e termezī, mohammad ebn-e ‘alī (- 933)</w:t>
      </w:r>
    </w:p>
    <w:p>
      <w:pPr>
        <w:pStyle w:val="BookText"/>
      </w:pPr>
      <w:r>
        <w:rPr>
          <w:rFonts w:ascii="IRNazanin" w:hAnsi="IRNazanin" w:eastAsia="IRNazanin" w:cs="IRNazanin"/>
          <w:lang w:bidi="fa-IR"/>
          <w:color w:val="111111"/>
          <w:sz w:val="28"/>
          <w:szCs w:val="28"/>
          <w:rtl/>
        </w:rPr>
        <w:t xml:space="preserve">وی متهم به مخالفت با فقیهان و علوم رسمی روزگار و معتقد به کشف بوده است و به این اتهام از شهر خود ترمذ رانده شده است. رساله در دست در دفاع از علم و اندیشه های خود اوست آغاز: رب اعني برحمتك. حمد له. صلاة. قال ابو عبدالله محمد بن على الترمذی (رحمه الله علیه). اما بعد فانك ذكرت اقواما نسبوا الى رفض العلم و تضييعه و ذكرت أن العلم انما هو هذا الفقه و به يطاع الله ...</w:t>
      </w:r>
    </w:p>
    <w:p>
      <w:pPr>
        <w:pStyle w:val="BookText"/>
      </w:pPr>
      <w:r>
        <w:rPr>
          <w:rFonts w:ascii="IRNazanin" w:hAnsi="IRNazanin" w:eastAsia="IRNazanin" w:cs="IRNazanin"/>
          <w:lang w:bidi="fa-IR"/>
          <w:color w:val="111111"/>
          <w:sz w:val="28"/>
          <w:szCs w:val="28"/>
          <w:rtl/>
        </w:rPr>
        <w:t xml:space="preserve">انجام: و لهم في الآخرة عذاب عظيم فكيف بقطاع طريق الآخرة و مسلبهم أديانهم نجز کتاب بيان العلم بحمد الله و عونه.</w:t>
      </w:r>
    </w:p>
    <w:p>
      <w:pPr>
        <w:pStyle w:val="BookText"/>
      </w:pPr>
      <w:r>
        <w:rPr>
          <w:rFonts w:ascii="IRNazanin" w:hAnsi="IRNazanin" w:eastAsia="IRNazanin" w:cs="IRNazanin"/>
          <w:lang w:bidi="fa-IR"/>
          <w:color w:val="111111"/>
          <w:sz w:val="28"/>
          <w:szCs w:val="28"/>
          <w:rtl/>
        </w:rPr>
        <w:t xml:space="preserve">[ ازرکلی ۲۷۲/۶ چند تاریخ برای زندگی او و نام چند کارش؛ معجم المؤلفين ۳۱۵/۱0 ؛ سرکیس، معجم ۶۳۳/۱ که او را از قرن ۱۳ دانسته؛ دنا ۵۸۵/۲ ]</w:t>
      </w:r>
    </w:p>
    <w:p>
      <w:pPr>
        <w:pStyle w:val="BookText"/>
      </w:pPr>
      <w:r>
        <w:rPr>
          <w:rFonts w:ascii="IRNazanin" w:hAnsi="IRNazanin" w:eastAsia="IRNazanin" w:cs="IRNazanin"/>
          <w:lang w:bidi="fa-IR"/>
          <w:color w:val="111111"/>
          <w:sz w:val="28"/>
          <w:szCs w:val="28"/>
          <w:rtl/>
        </w:rPr>
        <w:t xml:space="preserve">تهران؛ دانشگاه؛ شماره نسخه: ۲۹۳/۲ -ف</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نسخه اصل: راشد افندی ش ۱۵۷۱؛ خط: نسخ، بی کا، تا: ۵۹۳ق؛ در مجموعه رساله های او ۱. رياضة النفس، ۲. بيان العلم، ۳. مسایل في النية و غيرها، ۴. جواب کتاب من ری، ۵. الاكياس و المغترین، ۶. اجوبة المسائل، ۷. الفرق بين الآيات و الكرمات؛ ۱۳گ (۱۲ر ۲۴ر)، ۱۹ سطر [فيلمها ف: ۱-۴۵۱]</w:t>
      </w:r>
    </w:p>
    <w:p>
      <w:pPr>
        <w:pStyle w:val="BookText"/>
      </w:pPr>
      <w:r>
        <w:rPr>
          <w:rFonts w:ascii="IRNazanin" w:hAnsi="IRNazanin" w:eastAsia="IRNazanin" w:cs="IRNazanin"/>
          <w:lang w:bidi="fa-IR"/>
          <w:color w:val="111111"/>
          <w:sz w:val="28"/>
          <w:szCs w:val="28"/>
          <w:rtl/>
        </w:rPr>
        <w:t xml:space="preserve">تهران؛ دائرة المعارف، شماره نسخه: ۱۲۴/۲ -عکسی</w:t>
      </w:r>
    </w:p>
    <w:p>
      <w:pPr>
        <w:pStyle w:val="BookText"/>
      </w:pPr>
      <w:r>
        <w:rPr>
          <w:rFonts w:ascii="IRNazanin" w:hAnsi="IRNazanin" w:eastAsia="IRNazanin" w:cs="IRNazanin"/>
          <w:lang w:bidi="fa-IR"/>
          <w:color w:val="111111"/>
          <w:sz w:val="28"/>
          <w:szCs w:val="28"/>
          <w:rtl/>
        </w:rPr>
        <w:t xml:space="preserve">نسخه اصل: همان نسخه بالا</w:t>
      </w:r>
    </w:p>
    <w:p>
      <w:pPr>
        <w:pStyle w:val="Heading3"/>
      </w:pPr>
      <w:bookmarkStart w:id="1308" w:name="_Toc568"/>
      <w:r>
        <w:t>• بیان علم الطريقة / عرفان و تصوف / عربی</w:t>
      </w:r>
      <w:bookmarkEnd w:id="1308"/>
    </w:p>
    <w:p>
      <w:pPr>
        <w:pStyle w:val="BookText"/>
      </w:pPr>
      <w:r>
        <w:rPr>
          <w:rFonts w:ascii="Times New Roman" w:hAnsi="Times New Roman" w:eastAsia="Times New Roman" w:cs="Times New Roman"/>
          <w:lang w:val="en-US" w:bidi="en-US"/>
          <w:color w:val="111111"/>
          <w:sz w:val="28"/>
          <w:szCs w:val="28"/>
          <w:rtl/>
        </w:rPr>
        <w:t xml:space="preserve">bayan-u ilm-it tariqa</w:t>
      </w:r>
    </w:p>
    <w:p>
      <w:pPr>
        <w:pStyle w:val="BookText"/>
      </w:pPr>
      <w:r>
        <w:rPr>
          <w:rFonts w:ascii="IRNazanin" w:hAnsi="IRNazanin" w:eastAsia="IRNazanin" w:cs="IRNazanin"/>
          <w:lang w:bidi="fa-IR"/>
          <w:color w:val="111111"/>
          <w:sz w:val="28"/>
          <w:szCs w:val="28"/>
          <w:rtl/>
        </w:rPr>
        <w:t xml:space="preserve">قراچه داغی، محمد علی بن احمد، - ۱۳۱۰ قمری</w:t>
      </w:r>
    </w:p>
    <w:p>
      <w:pPr>
        <w:pStyle w:val="BookText"/>
      </w:pPr>
      <w:r>
        <w:rPr>
          <w:rFonts w:ascii="Times New Roman" w:hAnsi="Times New Roman" w:eastAsia="Times New Roman" w:cs="Times New Roman"/>
          <w:lang w:val="en-US" w:bidi="en-US"/>
          <w:color w:val="111111"/>
          <w:sz w:val="28"/>
          <w:szCs w:val="28"/>
          <w:rtl/>
        </w:rPr>
        <w:t xml:space="preserve">qarāče-dāqī, mohammad ‘alī ebn-e ahmad (- 1893)</w:t>
      </w:r>
    </w:p>
    <w:p>
      <w:pPr>
        <w:pStyle w:val="BookText"/>
      </w:pPr>
      <w:r>
        <w:rPr>
          <w:rFonts w:ascii="IRNazanin" w:hAnsi="IRNazanin" w:eastAsia="IRNazanin" w:cs="IRNazanin"/>
          <w:lang w:bidi="fa-IR"/>
          <w:color w:val="111111"/>
          <w:sz w:val="28"/>
          <w:szCs w:val="28"/>
          <w:rtl/>
        </w:rPr>
        <w:t xml:space="preserve">رساله ای کوتاه در اصول عقاید دینی به روش عرفان شیعی که در یک «مقدمه) و رکن توحید نبوت امامت و معاد تدوین شده است.</w:t>
      </w:r>
    </w:p>
    <w:p>
      <w:pPr>
        <w:pStyle w:val="BookText"/>
      </w:pPr>
      <w:r>
        <w:rPr>
          <w:rFonts w:ascii="IRNazanin" w:hAnsi="IRNazanin" w:eastAsia="IRNazanin" w:cs="IRNazanin"/>
          <w:lang w:bidi="fa-IR"/>
          <w:color w:val="111111"/>
          <w:sz w:val="28"/>
          <w:szCs w:val="28"/>
          <w:rtl/>
        </w:rPr>
        <w:t xml:space="preserve">تهران؛ مجلس؛ شماره نسخه: ۱۰۷۰۹/۴</w:t>
      </w:r>
    </w:p>
    <w:p>
      <w:pPr>
        <w:pStyle w:val="BookText"/>
      </w:pPr>
      <w:r>
        <w:rPr>
          <w:rFonts w:ascii="IRNazanin" w:hAnsi="IRNazanin" w:eastAsia="IRNazanin" w:cs="IRNazanin"/>
          <w:lang w:bidi="fa-IR"/>
          <w:color w:val="111111"/>
          <w:sz w:val="28"/>
          <w:szCs w:val="28"/>
          <w:rtl/>
        </w:rPr>
        <w:t xml:space="preserve">آغاز: بسمله و بعد فقد قال تعالى و ما خلقت الجن و الانس الا اليعبدون ما ایرد منهم في رزق و ما اريد ان يطعمون؛ انجام: فكذلك صورة الصوم و الصلاة فتأمل.</w:t>
      </w:r>
    </w:p>
    <w:p>
      <w:pPr>
        <w:pStyle w:val="BookText"/>
      </w:pPr>
      <w:r>
        <w:rPr>
          <w:rFonts w:ascii="IRNazanin" w:hAnsi="IRNazanin" w:eastAsia="IRNazanin" w:cs="IRNazanin"/>
          <w:lang w:bidi="fa-IR"/>
          <w:color w:val="111111"/>
          <w:sz w:val="28"/>
          <w:szCs w:val="28"/>
          <w:rtl/>
        </w:rPr>
        <w:t xml:space="preserve">كاتب = مؤلف، بی تا، جلد: تیماج، ۷۸ص (۱۵۲-۲۲۹)، مختلف السطر،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۳۳/۱ -۱۸۶]</w:t>
      </w:r>
    </w:p>
    <w:p>
      <w:pPr>
        <w:pStyle w:val="Heading3"/>
      </w:pPr>
      <w:bookmarkStart w:id="1309" w:name="_Toc569"/>
      <w:r>
        <w:t>• البيان عن الفرق بين المعجزات و الكرامات و الحيل و الكهانة و السحر و النارنجات / متفرقه / عربی</w:t>
      </w:r>
      <w:bookmarkEnd w:id="1309"/>
    </w:p>
    <w:p>
      <w:pPr>
        <w:pStyle w:val="BookText"/>
      </w:pPr>
      <w:r>
        <w:rPr>
          <w:rFonts w:ascii="Times New Roman" w:hAnsi="Times New Roman" w:eastAsia="Times New Roman" w:cs="Times New Roman"/>
          <w:lang w:val="en-US" w:bidi="en-US"/>
          <w:color w:val="111111"/>
          <w:sz w:val="28"/>
          <w:szCs w:val="28"/>
          <w:rtl/>
        </w:rPr>
        <w:t xml:space="preserve">al-bayān 'an-il farq bayn-al mu'jizāt wa-l karāmāt wa-l hīyal wa-l kahāna wa-s siḥr wa-n nāranjāt</w:t>
      </w:r>
    </w:p>
    <w:p>
      <w:pPr>
        <w:pStyle w:val="BookText"/>
      </w:pPr>
      <w:r>
        <w:rPr>
          <w:rFonts w:ascii="IRNazanin" w:hAnsi="IRNazanin" w:eastAsia="IRNazanin" w:cs="IRNazanin"/>
          <w:lang w:bidi="fa-IR"/>
          <w:color w:val="111111"/>
          <w:sz w:val="28"/>
          <w:szCs w:val="28"/>
          <w:rtl/>
        </w:rPr>
        <w:t xml:space="preserve">باقلانی، محمد بن طیب، ۳۳۸-۴۰۳ قمری</w:t>
      </w:r>
    </w:p>
    <w:p>
      <w:pPr>
        <w:pStyle w:val="BookText"/>
      </w:pPr>
      <w:r>
        <w:rPr>
          <w:rFonts w:ascii="Times New Roman" w:hAnsi="Times New Roman" w:eastAsia="Times New Roman" w:cs="Times New Roman"/>
          <w:lang w:val="en-US" w:bidi="en-US"/>
          <w:color w:val="111111"/>
          <w:sz w:val="28"/>
          <w:szCs w:val="28"/>
          <w:rtl/>
        </w:rPr>
        <w:t xml:space="preserve">bāqellānī, mohammad ebn-e tayyeb (950-1013)</w:t>
      </w:r>
    </w:p>
    <w:p>
      <w:pPr>
        <w:pStyle w:val="BookText"/>
      </w:pPr>
      <w:r>
        <w:rPr>
          <w:rFonts w:ascii="IRNazanin" w:hAnsi="IRNazanin" w:eastAsia="IRNazanin" w:cs="IRNazanin"/>
          <w:lang w:bidi="fa-IR"/>
          <w:color w:val="111111"/>
          <w:sz w:val="28"/>
          <w:szCs w:val="28"/>
          <w:rtl/>
        </w:rPr>
        <w:t xml:space="preserve">چاپ: منشورات جامعة الحكمة في بغداد، طبع في بيروت بالكانوليكية، ۱۹۵۸، نشره رتشرد يوسف مكارثی، مقدمة ۱۲-۳۶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84" w:name="pg20363_209416"/>
    <w:bookmarkEnd w:id="18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النص ۱-۱۰۸ص، تعليقات اضافية ۱۰۹-۱۳۶ + الفهارس ۱۳۷ ۱۸۰، مع مقدمة انكليزية</w:t>
      </w:r>
    </w:p>
    <w:p>
      <w:pPr>
        <w:pStyle w:val="BookText"/>
      </w:pPr>
      <w:r>
        <w:rPr>
          <w:rFonts w:ascii="IRNazanin" w:hAnsi="IRNazanin" w:eastAsia="IRNazanin" w:cs="IRNazanin"/>
          <w:lang w:bidi="fa-IR"/>
          <w:color w:val="111111"/>
          <w:sz w:val="28"/>
          <w:szCs w:val="28"/>
          <w:rtl/>
        </w:rPr>
        <w:t xml:space="preserve">تهران؛ دانشگاه؛ شماره نسخه: ۵۴۹۴/۲ -ف</w:t>
      </w:r>
    </w:p>
    <w:p>
      <w:pPr>
        <w:pStyle w:val="BookText"/>
      </w:pPr>
      <w:r>
        <w:rPr>
          <w:rFonts w:ascii="IRNazanin" w:hAnsi="IRNazanin" w:eastAsia="IRNazanin" w:cs="IRNazanin"/>
          <w:lang w:bidi="fa-IR"/>
          <w:color w:val="111111"/>
          <w:sz w:val="28"/>
          <w:szCs w:val="28"/>
          <w:rtl/>
        </w:rPr>
        <w:t xml:space="preserve">نسخه اصل: دانشگاه توبینگن 93 </w:t>
      </w:r>
      <w:r>
        <w:rPr>
          <w:rFonts w:ascii="Times New Roman" w:hAnsi="Times New Roman" w:eastAsia="Times New Roman" w:cs="Times New Roman"/>
          <w:lang w:val="en-US" w:bidi="en-US"/>
          <w:color w:val="111111"/>
          <w:sz w:val="28"/>
          <w:szCs w:val="28"/>
          <w:rtl/>
        </w:rPr>
        <w:t xml:space="preserve">MaVI</w:t>
      </w:r>
      <w:r>
        <w:rPr>
          <w:rFonts w:ascii="IRNazanin" w:hAnsi="IRNazanin" w:eastAsia="IRNazanin" w:cs="IRNazanin"/>
          <w:lang w:bidi="fa-IR"/>
          <w:color w:val="111111"/>
          <w:sz w:val="28"/>
          <w:szCs w:val="28"/>
          <w:rtl/>
        </w:rPr>
        <w:t xml:space="preserve">؛ بی کا، بی تا [فيلمها ف: ۱۶۱-۳ ]</w:t>
      </w:r>
    </w:p>
    <w:p>
      <w:pPr>
        <w:pStyle w:val="Heading3"/>
      </w:pPr>
      <w:bookmarkStart w:id="1310" w:name="_Toc570"/>
      <w:r>
        <w:t>• بیان عوالم حس / عرفان و تصوف / عربی</w:t>
      </w:r>
      <w:bookmarkEnd w:id="1310"/>
    </w:p>
    <w:p>
      <w:pPr>
        <w:pStyle w:val="BookText"/>
      </w:pPr>
      <w:r>
        <w:rPr>
          <w:rFonts w:ascii="Times New Roman" w:hAnsi="Times New Roman" w:eastAsia="Times New Roman" w:cs="Times New Roman"/>
          <w:lang w:val="en-US" w:bidi="en-US"/>
          <w:color w:val="111111"/>
          <w:sz w:val="28"/>
          <w:szCs w:val="28"/>
          <w:rtl/>
        </w:rPr>
        <w:t xml:space="preserve">bayān-e ‘avālem-e hes</w:t>
      </w:r>
    </w:p>
    <w:p>
      <w:pPr>
        <w:pStyle w:val="BookText"/>
      </w:pPr>
      <w:r>
        <w:rPr>
          <w:rFonts w:ascii="IRNazanin" w:hAnsi="IRNazanin" w:eastAsia="IRNazanin" w:cs="IRNazanin"/>
          <w:lang w:bidi="fa-IR"/>
          <w:color w:val="111111"/>
          <w:sz w:val="28"/>
          <w:szCs w:val="28"/>
          <w:rtl/>
        </w:rPr>
        <w:t xml:space="preserve">نوربخش خراسانی، محمد بن محمد، ۷۹۵-۸۶۹ قمری</w:t>
      </w:r>
    </w:p>
    <w:p>
      <w:pPr>
        <w:pStyle w:val="BookText"/>
      </w:pPr>
      <w:r>
        <w:rPr>
          <w:rFonts w:ascii="Times New Roman" w:hAnsi="Times New Roman" w:eastAsia="Times New Roman" w:cs="Times New Roman"/>
          <w:lang w:val="en-US" w:bidi="en-US"/>
          <w:color w:val="111111"/>
          <w:sz w:val="28"/>
          <w:szCs w:val="28"/>
          <w:rtl/>
        </w:rPr>
        <w:t xml:space="preserve">nūrbaxd-e xorāsānī, mohammad ebn-e mohammad (1393-1465)</w:t>
      </w:r>
    </w:p>
    <w:p>
      <w:pPr>
        <w:pStyle w:val="BookText"/>
      </w:pPr>
      <w:r>
        <w:rPr>
          <w:rFonts w:ascii="IRNazanin" w:hAnsi="IRNazanin" w:eastAsia="IRNazanin" w:cs="IRNazanin"/>
          <w:lang w:bidi="fa-IR"/>
          <w:color w:val="111111"/>
          <w:sz w:val="28"/>
          <w:szCs w:val="28"/>
          <w:rtl/>
        </w:rPr>
        <w:t xml:space="preserve">تهران؛ ملک؛ شماره نسخه: ۴۰۵۷/۱۵۵</w:t>
      </w:r>
    </w:p>
    <w:p>
      <w:pPr>
        <w:pStyle w:val="BookText"/>
      </w:pPr>
      <w:r>
        <w:rPr>
          <w:rFonts w:ascii="IRNazanin" w:hAnsi="IRNazanin" w:eastAsia="IRNazanin" w:cs="IRNazanin"/>
          <w:lang w:bidi="fa-IR"/>
          <w:color w:val="111111"/>
          <w:sz w:val="28"/>
          <w:szCs w:val="28"/>
          <w:rtl/>
        </w:rPr>
        <w:t xml:space="preserve">خط: شکسته نستعلیق، كان محمد زمان بن کلبعلی متطبب خراسانی، تا: قرن ۱۳؛ اص (۲۹۳ ر) [ف: ۷-۱۹۶]</w:t>
      </w:r>
    </w:p>
    <w:p>
      <w:pPr>
        <w:pStyle w:val="BookText"/>
      </w:pPr>
      <w:r>
        <w:rPr>
          <w:rFonts w:ascii="IRNazanin" w:hAnsi="IRNazanin" w:eastAsia="IRNazanin" w:cs="IRNazanin"/>
          <w:lang w:bidi="fa-IR"/>
          <w:color w:val="111111"/>
          <w:sz w:val="28"/>
          <w:szCs w:val="28"/>
          <w:rtl/>
        </w:rPr>
        <w:t xml:space="preserve">و بیان عوالم غيب / عرفان و تصوف / ترکی</w:t>
      </w:r>
    </w:p>
    <w:p>
      <w:pPr>
        <w:pStyle w:val="BookText"/>
      </w:pPr>
      <w:r>
        <w:rPr>
          <w:rFonts w:ascii="Times New Roman" w:hAnsi="Times New Roman" w:eastAsia="Times New Roman" w:cs="Times New Roman"/>
          <w:lang w:val="en-US" w:bidi="en-US"/>
          <w:color w:val="111111"/>
          <w:sz w:val="28"/>
          <w:szCs w:val="28"/>
          <w:rtl/>
        </w:rPr>
        <w:t xml:space="preserve">bayān-e ‘avālem-e qeyb</w:t>
      </w:r>
    </w:p>
    <w:p>
      <w:pPr>
        <w:pStyle w:val="BookText"/>
      </w:pPr>
      <w:r>
        <w:rPr>
          <w:rFonts w:ascii="IRNazanin" w:hAnsi="IRNazanin" w:eastAsia="IRNazanin" w:cs="IRNazanin"/>
          <w:lang w:bidi="fa-IR"/>
          <w:color w:val="111111"/>
          <w:sz w:val="28"/>
          <w:szCs w:val="28"/>
          <w:rtl/>
        </w:rPr>
        <w:t xml:space="preserve">صبوحی، احمد بن محمد، -۱۰۵۷</w:t>
      </w:r>
    </w:p>
    <w:p>
      <w:pPr>
        <w:pStyle w:val="BookText"/>
      </w:pPr>
      <w:r>
        <w:rPr>
          <w:rFonts w:ascii="Times New Roman" w:hAnsi="Times New Roman" w:eastAsia="Times New Roman" w:cs="Times New Roman"/>
          <w:lang w:val="en-US" w:bidi="en-US"/>
          <w:color w:val="111111"/>
          <w:sz w:val="28"/>
          <w:szCs w:val="28"/>
          <w:rtl/>
        </w:rPr>
        <w:t xml:space="preserve">sabūhī, ahmad ebn-e mohammad (- 1057)</w:t>
      </w:r>
    </w:p>
    <w:p>
      <w:pPr>
        <w:pStyle w:val="BookText"/>
      </w:pPr>
      <w:r>
        <w:rPr>
          <w:rFonts w:ascii="IRNazanin" w:hAnsi="IRNazanin" w:eastAsia="IRNazanin" w:cs="IRNazanin"/>
          <w:lang w:bidi="fa-IR"/>
          <w:color w:val="111111"/>
          <w:sz w:val="28"/>
          <w:szCs w:val="28"/>
          <w:rtl/>
        </w:rPr>
        <w:t xml:space="preserve">رساله مختصری در بیان عوالم غیب، یعنی عالم ملکوت و عالم ناسوت است. این اثر در نسخه به «صبوحی دده» نسبت داده شده است، در کتب تراجم، تنها فرد مذکور به «صبوحی دده» مشهور است که ثبت گردید، ليكن در میان آثار وی، اثری با عنوان یاد شده گزارش نشده است؛ ممکن است بخشی از اختیارات مثنوی باشد که در شرح مثنوی معنوی ملای روم نوشته شده است.</w:t>
      </w:r>
    </w:p>
    <w:p>
      <w:pPr>
        <w:pStyle w:val="BookText"/>
      </w:pPr>
      <w:r>
        <w:rPr>
          <w:rFonts w:ascii="IRNazanin" w:hAnsi="IRNazanin" w:eastAsia="IRNazanin" w:cs="IRNazanin"/>
          <w:lang w:bidi="fa-IR"/>
          <w:color w:val="111111"/>
          <w:sz w:val="28"/>
          <w:szCs w:val="28"/>
          <w:rtl/>
        </w:rPr>
        <w:t xml:space="preserve">تهران؛ مجلس؛ شماره نسخه: ۵۱۰/۱۶</w:t>
      </w:r>
    </w:p>
    <w:p>
      <w:pPr>
        <w:pStyle w:val="BookText"/>
      </w:pPr>
      <w:r>
        <w:rPr>
          <w:rFonts w:ascii="IRNazanin" w:hAnsi="IRNazanin" w:eastAsia="IRNazanin" w:cs="IRNazanin"/>
          <w:lang w:bidi="fa-IR"/>
          <w:color w:val="111111"/>
          <w:sz w:val="28"/>
          <w:szCs w:val="28"/>
          <w:rtl/>
        </w:rPr>
        <w:t xml:space="preserve">آغاز: بیان عوالم غیب که آکه حضرات خمس الهیه دیرلر که مبدأ انواع انسان و مصدر جمیع کون و مکاندر یعنی حضرت عندية که مبدأ تقينات و مرجع مكوناتدر بو مرتبه؛ انجام: ناسوته اول اماکن اصليه دن سیر نزول ایلروینه اول حضراته طوعا و یاکرها عروج ایئر فطوبى لمن رجع بمحبة و اختیار قبل الرجوع الاضطراري لأن حب الوطن من الإيمان</w:t>
      </w:r>
    </w:p>
    <w:p>
      <w:pPr>
        <w:pStyle w:val="BookText"/>
      </w:pPr>
      <w:r>
        <w:rPr>
          <w:rFonts w:ascii="IRNazanin" w:hAnsi="IRNazanin" w:eastAsia="IRNazanin" w:cs="IRNazanin"/>
          <w:lang w:bidi="fa-IR"/>
          <w:color w:val="111111"/>
          <w:sz w:val="28"/>
          <w:szCs w:val="28"/>
          <w:rtl/>
        </w:rPr>
        <w:t xml:space="preserve">خط: نسخ تحریری نزدیک به نستعلیق، بی کا، تا: اواخر قرن ۱۲ یا اوایل قرن ۱۳؛ محشی به عربی و ترکی با لهجه عثمانی با نشان های كذا قال شیخی حجابی افندی، تذکره صدر قنوی» در شرایط نقشبندیه و جز آن؛ کاغذ: فرنگی نخودی نازک، ۲گ (۴۷پ - ۴۸ر)، ۲۰ سطر،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سم [ف: ۴۰/۲ -۳۴۷]</w:t>
      </w:r>
    </w:p>
    <w:p>
      <w:pPr>
        <w:pStyle w:val="Heading3"/>
      </w:pPr>
      <w:bookmarkStart w:id="1311" w:name="_Toc571"/>
      <w:r>
        <w:t>•بیان غراب / داستان / فارسی</w:t>
      </w:r>
      <w:bookmarkEnd w:id="1311"/>
    </w:p>
    <w:p>
      <w:pPr>
        <w:pStyle w:val="BookText"/>
      </w:pPr>
      <w:r>
        <w:rPr>
          <w:rFonts w:ascii="Times New Roman" w:hAnsi="Times New Roman" w:eastAsia="Times New Roman" w:cs="Times New Roman"/>
          <w:lang w:val="en-US" w:bidi="en-US"/>
          <w:color w:val="111111"/>
          <w:sz w:val="28"/>
          <w:szCs w:val="28"/>
          <w:rtl/>
        </w:rPr>
        <w:t xml:space="preserve">bayān-e qorāb</w:t>
      </w:r>
    </w:p>
    <w:p>
      <w:pPr>
        <w:pStyle w:val="BookText"/>
      </w:pPr>
      <w:r>
        <w:rPr>
          <w:rFonts w:ascii="IRNazanin" w:hAnsi="IRNazanin" w:eastAsia="IRNazanin" w:cs="IRNazanin"/>
          <w:lang w:bidi="fa-IR"/>
          <w:color w:val="111111"/>
          <w:sz w:val="28"/>
          <w:szCs w:val="28"/>
          <w:rtl/>
        </w:rPr>
        <w:t xml:space="preserve">رجبعلی بیک بن فاضل بیک، ق۱۳ قمری</w:t>
      </w:r>
    </w:p>
    <w:p>
      <w:pPr>
        <w:pStyle w:val="BookText"/>
      </w:pPr>
      <w:r>
        <w:rPr>
          <w:rFonts w:ascii="Times New Roman" w:hAnsi="Times New Roman" w:eastAsia="Times New Roman" w:cs="Times New Roman"/>
          <w:lang w:val="en-US" w:bidi="en-US"/>
          <w:color w:val="111111"/>
          <w:sz w:val="28"/>
          <w:szCs w:val="28"/>
          <w:rtl/>
        </w:rPr>
        <w:t xml:space="preserve">rajab-“alī beyk ebn-e fāzel beyk (- 19c)</w:t>
      </w:r>
    </w:p>
    <w:p>
      <w:pPr>
        <w:pStyle w:val="BookText"/>
      </w:pPr>
      <w:r>
        <w:rPr>
          <w:rFonts w:ascii="IRNazanin" w:hAnsi="IRNazanin" w:eastAsia="IRNazanin" w:cs="IRNazanin"/>
          <w:lang w:bidi="fa-IR"/>
          <w:color w:val="111111"/>
          <w:sz w:val="28"/>
          <w:szCs w:val="28"/>
          <w:rtl/>
        </w:rPr>
        <w:t xml:space="preserve">مشهد؛ رضوی؛ شماره نسخه: ۲۸۰۰۰</w:t>
      </w:r>
    </w:p>
    <w:p>
      <w:pPr>
        <w:pStyle w:val="BookText"/>
      </w:pPr>
      <w:r>
        <w:rPr>
          <w:rFonts w:ascii="IRNazanin" w:hAnsi="IRNazanin" w:eastAsia="IRNazanin" w:cs="IRNazanin"/>
          <w:lang w:bidi="fa-IR"/>
          <w:color w:val="111111"/>
          <w:sz w:val="28"/>
          <w:szCs w:val="28"/>
          <w:rtl/>
        </w:rPr>
        <w:t xml:space="preserve">آغاز: بسمه حمد بیحد و ثنای بیعد مر خالقی را رواست که از قدرت کامله او زمین و آسمان و جن و انسان و طيور؛ انجام: ار سه داد بلا مسكين گفت های نوجوان جان داد در مرض طحال</w:t>
      </w:r>
    </w:p>
    <w:p>
      <w:pPr>
        <w:pStyle w:val="BookText"/>
      </w:pPr>
      <w:r>
        <w:rPr>
          <w:rFonts w:ascii="IRNazanin" w:hAnsi="IRNazanin" w:eastAsia="IRNazanin" w:cs="IRNazanin"/>
          <w:lang w:bidi="fa-IR"/>
          <w:color w:val="111111"/>
          <w:sz w:val="28"/>
          <w:szCs w:val="28"/>
          <w:rtl/>
        </w:rPr>
        <w:t xml:space="preserve">خط: نستعلیق، بی کا، تا: قرن ۱۳؛ کاغذ: نخودی، جلد: تیماج [رایانه ]</w:t>
      </w:r>
    </w:p>
    <w:p>
      <w:pPr>
        <w:pStyle w:val="BookText"/>
      </w:pPr>
      <w:r>
        <w:rPr>
          <w:rFonts w:ascii="IRNazanin" w:hAnsi="IRNazanin" w:eastAsia="IRNazanin" w:cs="IRNazanin"/>
          <w:lang w:bidi="fa-IR"/>
          <w:color w:val="111111"/>
          <w:sz w:val="28"/>
          <w:szCs w:val="28"/>
          <w:rtl/>
        </w:rPr>
        <w:t xml:space="preserve">←بیان الغيب عن لسان الغيب ← لسان الغيب عن لسان الغيب</w:t>
      </w:r>
    </w:p>
    <w:p>
      <w:pPr>
        <w:pStyle w:val="BookText"/>
      </w:pPr>
      <w:r>
        <w:rPr>
          <w:rFonts w:ascii="IRNazanin" w:hAnsi="IRNazanin" w:eastAsia="IRNazanin" w:cs="IRNazanin"/>
          <w:lang w:bidi="fa-IR"/>
          <w:color w:val="111111"/>
          <w:sz w:val="28"/>
          <w:szCs w:val="28"/>
          <w:rtl/>
        </w:rPr>
        <w:t xml:space="preserve">← بیان الفرقة الناجية← الفرقة الناجية</w:t>
      </w:r>
    </w:p>
    <w:p>
      <w:pPr>
        <w:pStyle w:val="Heading3"/>
      </w:pPr>
      <w:bookmarkStart w:id="1312" w:name="_Toc572"/>
      <w:r>
        <w:t>• البيان في أخبار صاحب الزمان / حديث / عربی</w:t>
      </w:r>
      <w:bookmarkEnd w:id="1312"/>
    </w:p>
    <w:p>
      <w:pPr>
        <w:pStyle w:val="BookText"/>
      </w:pPr>
      <w:r>
        <w:rPr>
          <w:rFonts w:ascii="Times New Roman" w:hAnsi="Times New Roman" w:eastAsia="Times New Roman" w:cs="Times New Roman"/>
          <w:lang w:val="en-US" w:bidi="en-US"/>
          <w:color w:val="111111"/>
          <w:sz w:val="28"/>
          <w:szCs w:val="28"/>
          <w:rtl/>
        </w:rPr>
        <w:t xml:space="preserve">al-bayan fi axbar-i sahib-iz zaman</w:t>
      </w:r>
    </w:p>
    <w:p>
      <w:pPr>
        <w:pStyle w:val="BookText"/>
      </w:pPr>
      <w:r>
        <w:rPr>
          <w:rFonts w:ascii="IRNazanin" w:hAnsi="IRNazanin" w:eastAsia="IRNazanin" w:cs="IRNazanin"/>
          <w:lang w:bidi="fa-IR"/>
          <w:color w:val="111111"/>
          <w:sz w:val="28"/>
          <w:szCs w:val="28"/>
          <w:rtl/>
        </w:rPr>
        <w:t xml:space="preserve">کنجی، محمد بن يوسف، -۶۵۸ قمری</w:t>
      </w:r>
    </w:p>
    <w:p>
      <w:pPr>
        <w:pStyle w:val="BookText"/>
      </w:pPr>
      <w:r>
        <w:rPr>
          <w:rFonts w:ascii="Times New Roman" w:hAnsi="Times New Roman" w:eastAsia="Times New Roman" w:cs="Times New Roman"/>
          <w:lang w:val="en-US" w:bidi="en-US"/>
          <w:color w:val="111111"/>
          <w:sz w:val="28"/>
          <w:szCs w:val="28"/>
          <w:rtl/>
        </w:rPr>
        <w:t xml:space="preserve">kanjī, mohammad ebn-e yūsof (- 1261)</w:t>
      </w:r>
    </w:p>
    <w:p>
      <w:pPr>
        <w:pStyle w:val="BookText"/>
      </w:pPr>
      <w:r>
        <w:rPr>
          <w:rFonts w:ascii="IRNazanin" w:hAnsi="IRNazanin" w:eastAsia="IRNazanin" w:cs="IRNazanin"/>
          <w:lang w:bidi="fa-IR"/>
          <w:color w:val="111111"/>
          <w:sz w:val="28"/>
          <w:szCs w:val="28"/>
          <w:rtl/>
        </w:rPr>
        <w:t xml:space="preserve">اهداء به: غیاث الدوله (رضی امیر المؤمنين) روایات و احادیثی که درباره حضرت مهدی موعود (عجل الله تعالی) از</w:t>
      </w:r>
    </w:p>
    <w:p>
      <w:pPr>
        <w:pStyle w:val="BookText"/>
      </w:pPr>
      <w:r>
        <w:rPr>
          <w:rFonts w:ascii="IRNazanin" w:hAnsi="IRNazanin" w:eastAsia="IRNazanin" w:cs="IRNazanin"/>
          <w:lang w:bidi="fa-IR"/>
          <w:color w:val="111111"/>
          <w:sz w:val="28"/>
          <w:szCs w:val="28"/>
          <w:rtl/>
        </w:rPr>
        <w:t xml:space="preserve">طريق اهل سنت وارد شده مشتمل بر بیست و پنج «باب: الباب الأول في ذكر خروجه في الآخر الزمان ..، الباب الخامس و العشرون في الدلالة على جواز بقاء المهدي عليه السلام مذ غيبته ولا امتناع في بقائه بدلیل عیسی و الياس و خضر.</w:t>
      </w:r>
    </w:p>
    <w:p>
      <w:pPr>
        <w:pStyle w:val="BookText"/>
      </w:pPr>
      <w:r>
        <w:rPr>
          <w:rFonts w:ascii="Amiri" w:hAnsi="Amiri" w:eastAsia="Amiri" w:cs="Amiri"/>
          <w:lang w:bidi="ar-SA"/>
          <w:color w:val="111111"/>
          <w:sz w:val="28"/>
          <w:szCs w:val="28"/>
          <w:rtl/>
        </w:rPr>
        <w:t xml:space="preserve">آغاز: أما بعد حمدالله الذي هو فاتحة كل كتاب و خاتمة كل خطاب</w:t>
      </w:r>
    </w:p>
    <w:p>
      <w:pPr>
        <w:pStyle w:val="BookText"/>
      </w:pPr>
      <w:r>
        <w:rPr>
          <w:rFonts w:ascii="IRNazanin" w:hAnsi="IRNazanin" w:eastAsia="IRNazanin" w:cs="IRNazanin"/>
          <w:lang w:bidi="fa-IR"/>
          <w:color w:val="111111"/>
          <w:sz w:val="28"/>
          <w:szCs w:val="28"/>
          <w:rtl/>
        </w:rPr>
        <w:t xml:space="preserve">انجام: و اذا كان بقاء الدجال ممكنا على الوجه المذكور من غير أحد يقوم بطعامه وشرابه فكذلک المهدی صلوات الله و سلامه عليه هذا آخر ابواب الكتاب.</w:t>
      </w:r>
    </w:p>
    <w:p>
      <w:pPr>
        <w:pStyle w:val="BookText"/>
      </w:pPr>
      <w:r>
        <w:rPr>
          <w:rFonts w:ascii="IRNazanin" w:hAnsi="IRNazanin" w:eastAsia="IRNazanin" w:cs="IRNazanin"/>
          <w:lang w:bidi="fa-IR"/>
          <w:color w:val="111111"/>
          <w:sz w:val="28"/>
          <w:szCs w:val="28"/>
          <w:rtl/>
        </w:rPr>
        <w:t xml:space="preserve">چاپ: تبریز، سنگی، ۱۳۲۳-۱۳۲۴، خشتی، ۴۷ص؛ دارالسلطنه اصفهان، سنگی، ۱۳۵۲، رحلی، ۱۵ص؛ و اخیرا به تحقیق حسینی جلالی در قم چاپ شده.</w:t>
      </w:r>
    </w:p>
    <w:p>
      <w:pPr>
        <w:pStyle w:val="BookText"/>
      </w:pPr>
      <w:r>
        <w:rPr>
          <w:rFonts w:ascii="IRNazanin" w:hAnsi="IRNazanin" w:eastAsia="IRNazanin" w:cs="IRNazanin"/>
          <w:lang w:bidi="fa-IR"/>
          <w:color w:val="111111"/>
          <w:sz w:val="28"/>
          <w:szCs w:val="28"/>
          <w:rtl/>
        </w:rPr>
        <w:t xml:space="preserve">[ دنا ۵۸۵/۲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۷۰۴۲/۲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۱۲۸۴ق؛ جلد: تیماج مشکی، ۱۹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سم [ف: ۲۵-۴۹]</w:t>
      </w:r>
    </w:p>
    <w:p>
      <w:pPr>
        <w:pStyle w:val="BookText"/>
      </w:pPr>
      <w:r>
        <w:rPr>
          <w:rFonts w:ascii="IRNazanin" w:hAnsi="IRNazanin" w:eastAsia="IRNazanin" w:cs="IRNazanin"/>
          <w:lang w:bidi="fa-IR"/>
          <w:color w:val="111111"/>
          <w:sz w:val="28"/>
          <w:szCs w:val="28"/>
          <w:rtl/>
        </w:rPr>
        <w:t xml:space="preserve">۲. مشهد؛ رضوی؛ شماره نسخه: ۳۳۲۰۱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خليل بن محمد هاشم شیرازی، تا: ۲۰ ذیحجه ۱۳۰۷ق؛ اهدایی: رهبری، بهمن ۱۳۸۴؛ کاغذ: آهار مهره نباتی، جلد: میشن عنابی، ۲۲گ، ۲۱ سطر، اندازه: ۲۱۸۱۵/۲ سم [اهدائی رهبر: ۲ اخبار ۱-۱۷۶]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85" w:name="pg20363_209417"/>
    <w:bookmarkEnd w:id="185"/>
    <w:p>
      <w:pPr>
        <w:pStyle w:val="BookText"/>
      </w:pPr>
      <w:r>
        <w:rPr>
          <w:rFonts w:ascii="IRNazanin" w:hAnsi="IRNazanin" w:eastAsia="IRNazanin" w:cs="IRNazanin"/>
          <w:lang w:bidi="fa-IR"/>
          <w:color w:val="111111"/>
          <w:sz w:val="28"/>
          <w:szCs w:val="28"/>
          <w:rtl/>
        </w:rPr>
        <w:t xml:space="preserve">٣. قم؛ مرعشی؛ شماره نسخه: ۲۵۵۳/۳</w:t>
      </w:r>
    </w:p>
    <w:p>
      <w:pPr>
        <w:pStyle w:val="BookText"/>
      </w:pPr>
      <w:r>
        <w:rPr>
          <w:rFonts w:ascii="IRNazanin" w:hAnsi="IRNazanin" w:eastAsia="IRNazanin" w:cs="IRNazanin"/>
          <w:lang w:bidi="fa-IR"/>
          <w:color w:val="111111"/>
          <w:sz w:val="28"/>
          <w:szCs w:val="28"/>
          <w:rtl/>
        </w:rPr>
        <w:t xml:space="preserve">آغاز: برابر؛ انجام: و اذا كان بقاء الدجال ممكنا على الوجه المذكور من غير أحد يقوم بطعامه وشرابه فما المانع من بقاء المهدی.</w:t>
      </w:r>
    </w:p>
    <w:p>
      <w:pPr>
        <w:pStyle w:val="BookText"/>
      </w:pPr>
      <w:r>
        <w:rPr>
          <w:rFonts w:ascii="IRNazanin" w:hAnsi="IRNazanin" w:eastAsia="IRNazanin" w:cs="IRNazanin"/>
          <w:lang w:bidi="fa-IR"/>
          <w:color w:val="111111"/>
          <w:sz w:val="28"/>
          <w:szCs w:val="28"/>
          <w:rtl/>
        </w:rPr>
        <w:t xml:space="preserve">خط: نسخ، كا: محمد باقر بن محمد جعفر همدانی بهاری، تا: رجب ۱۳۰۸ق؛ مصحح، محشی؛ جلد: تیماج مشکی، ۱۸گ (۱۲۲ر - ۱۳۹)، ۱۹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۷-۱۳۶)</w:t>
      </w:r>
    </w:p>
    <w:p>
      <w:pPr>
        <w:pStyle w:val="Heading3"/>
      </w:pPr>
      <w:bookmarkStart w:id="1313" w:name="_Toc573"/>
      <w:r>
        <w:t>• البيان في اسرار الطب للعيان طب / عربی</w:t>
      </w:r>
      <w:bookmarkEnd w:id="1313"/>
    </w:p>
    <w:p>
      <w:pPr>
        <w:pStyle w:val="BookText"/>
      </w:pPr>
      <w:r>
        <w:rPr>
          <w:rFonts w:ascii="Times New Roman" w:hAnsi="Times New Roman" w:eastAsia="Times New Roman" w:cs="Times New Roman"/>
          <w:lang w:val="en-US" w:bidi="en-US"/>
          <w:color w:val="111111"/>
          <w:sz w:val="28"/>
          <w:szCs w:val="28"/>
          <w:rtl/>
        </w:rPr>
        <w:t xml:space="preserve">al-bayān fi asrār-it tibb li-1-'iyān</w:t>
      </w:r>
    </w:p>
    <w:p>
      <w:pPr>
        <w:pStyle w:val="BookText"/>
      </w:pPr>
      <w:r>
        <w:rPr>
          <w:rFonts w:ascii="IRNazanin" w:hAnsi="IRNazanin" w:eastAsia="IRNazanin" w:cs="IRNazanin"/>
          <w:lang w:bidi="fa-IR"/>
          <w:color w:val="111111"/>
          <w:sz w:val="28"/>
          <w:szCs w:val="28"/>
          <w:rtl/>
        </w:rPr>
        <w:t xml:space="preserve">حموی، محمد بن احمد، ق۹ قمری</w:t>
      </w:r>
    </w:p>
    <w:p>
      <w:pPr>
        <w:pStyle w:val="BookText"/>
      </w:pPr>
      <w:r>
        <w:rPr>
          <w:rFonts w:ascii="Times New Roman" w:hAnsi="Times New Roman" w:eastAsia="Times New Roman" w:cs="Times New Roman"/>
          <w:lang w:val="en-US" w:bidi="en-US"/>
          <w:color w:val="111111"/>
          <w:sz w:val="28"/>
          <w:szCs w:val="28"/>
          <w:rtl/>
        </w:rPr>
        <w:t xml:space="preserve">hemavī, mohammad ebn-e ahmad (- 15c)</w:t>
      </w:r>
    </w:p>
    <w:p>
      <w:pPr>
        <w:pStyle w:val="BookText"/>
      </w:pPr>
      <w:r>
        <w:rPr>
          <w:rFonts w:ascii="Amiri" w:hAnsi="Amiri" w:eastAsia="Amiri" w:cs="Amiri"/>
          <w:lang w:bidi="ar-SA"/>
          <w:color w:val="111111"/>
          <w:sz w:val="28"/>
          <w:szCs w:val="28"/>
          <w:rtl/>
        </w:rPr>
        <w:t xml:space="preserve">اهدا به: ابو المنصور يوسف بن عمر بن على بن الرسول</w:t>
      </w:r>
    </w:p>
    <w:p>
      <w:pPr>
        <w:pStyle w:val="BookText"/>
      </w:pPr>
      <w:r>
        <w:rPr>
          <w:rFonts w:ascii="IRNazanin" w:hAnsi="IRNazanin" w:eastAsia="IRNazanin" w:cs="IRNazanin"/>
          <w:lang w:bidi="fa-IR"/>
          <w:color w:val="111111"/>
          <w:sz w:val="28"/>
          <w:szCs w:val="28"/>
          <w:rtl/>
        </w:rPr>
        <w:t xml:space="preserve">تاريخ تألیف: شنبه ۱۱ ذیقعده ۸۰۸ق</w:t>
      </w:r>
    </w:p>
    <w:p>
      <w:pPr>
        <w:pStyle w:val="BookText"/>
      </w:pPr>
      <w:r>
        <w:rPr>
          <w:rFonts w:ascii="IRNazanin" w:hAnsi="IRNazanin" w:eastAsia="IRNazanin" w:cs="IRNazanin"/>
          <w:lang w:bidi="fa-IR"/>
          <w:color w:val="111111"/>
          <w:sz w:val="28"/>
          <w:szCs w:val="28"/>
          <w:rtl/>
        </w:rPr>
        <w:t xml:space="preserve">در پنج « مقاله» ساخته و هر مقاله دارای چند «فصل» می باشد. آغاز: بسم الله الرحمن الرحيم، و به نستعين و صلواته على سيدنا محمد خير البشر، قال العبد الفقير الى رحمة ربه محمد بن احمد بن على الحموي المتطبب الحمدلله الأول بلا بداية و الآخر بلا نهاية</w:t>
      </w:r>
    </w:p>
    <w:p>
      <w:pPr>
        <w:pStyle w:val="BookText"/>
      </w:pPr>
      <w:r>
        <w:rPr>
          <w:rFonts w:ascii="IRNazanin" w:hAnsi="IRNazanin" w:eastAsia="IRNazanin" w:cs="IRNazanin"/>
          <w:lang w:bidi="fa-IR"/>
          <w:color w:val="111111"/>
          <w:sz w:val="28"/>
          <w:szCs w:val="28"/>
          <w:rtl/>
        </w:rPr>
        <w:t xml:space="preserve">[برو کلمان ۲: ۱۰۳۰ش۲۹]</w:t>
      </w:r>
    </w:p>
    <w:p>
      <w:pPr>
        <w:pStyle w:val="BookText"/>
      </w:pPr>
      <w:r>
        <w:rPr>
          <w:rFonts w:ascii="IRNazanin" w:hAnsi="IRNazanin" w:eastAsia="IRNazanin" w:cs="IRNazanin"/>
          <w:lang w:bidi="fa-IR"/>
          <w:color w:val="111111"/>
          <w:sz w:val="28"/>
          <w:szCs w:val="28"/>
          <w:rtl/>
        </w:rPr>
        <w:t xml:space="preserve">١. تبریز؛ ملی؛ شماره نسخه: ۳۶۱۰</w:t>
      </w:r>
    </w:p>
    <w:p>
      <w:pPr>
        <w:pStyle w:val="BookText"/>
      </w:pPr>
      <w:r>
        <w:rPr>
          <w:rFonts w:ascii="Amiri" w:hAnsi="Amiri" w:eastAsia="Amiri" w:cs="Amiri"/>
          <w:lang w:bidi="ar-SA"/>
          <w:color w:val="111111"/>
          <w:sz w:val="28"/>
          <w:szCs w:val="28"/>
          <w:rtl/>
        </w:rPr>
        <w:t xml:space="preserve">آغاز: برابر؛ انجام: فيكون من افراط الأسباب المذكورة لفساد الحضم</w:t>
      </w:r>
    </w:p>
    <w:p>
      <w:pPr>
        <w:pStyle w:val="BookText"/>
      </w:pPr>
      <w:r>
        <w:rPr>
          <w:rFonts w:ascii="IRNazanin" w:hAnsi="IRNazanin" w:eastAsia="IRNazanin" w:cs="IRNazanin"/>
          <w:lang w:bidi="fa-IR"/>
          <w:color w:val="111111"/>
          <w:sz w:val="28"/>
          <w:szCs w:val="28"/>
          <w:rtl/>
        </w:rPr>
        <w:t xml:space="preserve">آخر کتاب ناقص و تا اواسط مقاله چهارم می باشد؛ خط: نسخ، کاتب = مؤلف، بی تا؛ به قرار اظهار خود مؤلف در مقدمه ظاهرة برای خزانه ملک مظفر ثانی، تقي الدين محمود از ملوک ایوبی حماة تحریر یافته؛ جلد: چرمی تریاکی، ۱۸۸ ، ۲۹-۲۷ سطر،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۱-۱۴۴]</w:t>
      </w:r>
    </w:p>
    <w:p>
      <w:pPr>
        <w:pStyle w:val="BookText"/>
      </w:pPr>
      <w:r>
        <w:rPr>
          <w:rFonts w:ascii="IRNazanin" w:hAnsi="IRNazanin" w:eastAsia="IRNazanin" w:cs="IRNazanin"/>
          <w:lang w:bidi="fa-IR"/>
          <w:color w:val="111111"/>
          <w:sz w:val="28"/>
          <w:szCs w:val="28"/>
          <w:rtl/>
        </w:rPr>
        <w:t xml:space="preserve">۲. تهران؛ مجلس؛ شماره نسخه: ۱۷</w:t>
      </w:r>
    </w:p>
    <w:p>
      <w:pPr>
        <w:pStyle w:val="BookText"/>
      </w:pPr>
      <w:r>
        <w:rPr>
          <w:rFonts w:ascii="IRNazanin" w:hAnsi="IRNazanin" w:eastAsia="IRNazanin" w:cs="IRNazanin"/>
          <w:lang w:bidi="fa-IR"/>
          <w:color w:val="111111"/>
          <w:sz w:val="28"/>
          <w:szCs w:val="28"/>
          <w:rtl/>
        </w:rPr>
        <w:t xml:space="preserve">خط: نسخ، بی کا، تا: قرن ۹ و ۱۰؛ مقابله شده با نسخه اصل؛ تملك: عثمان ابن الشيخ ابراهيم الحلوى القحطاني الشافعی، احمد بن یحیی بن اسمعیل بن العباس بن علی ابن داود بن يوسف بن عمر بن علی، ابن حاج احمد طبیب، قاسم بن محمد علی در ۱۱۱۱؛ کاغذ: سفید، جلد: تیماج زرد مقوایی، ۳۳۷گ، ۲۵ ۲۹سطر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[سنا: ف: ۱-۹]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ملک؛ شماره نسخه: ۴۵۴۷</w:t>
      </w:r>
    </w:p>
    <w:p>
      <w:pPr>
        <w:pStyle w:val="BookText"/>
      </w:pPr>
      <w:r>
        <w:rPr>
          <w:rFonts w:ascii="IRNazanin" w:hAnsi="IRNazanin" w:eastAsia="IRNazanin" w:cs="IRNazanin"/>
          <w:lang w:bidi="fa-IR"/>
          <w:color w:val="111111"/>
          <w:sz w:val="28"/>
          <w:szCs w:val="28"/>
          <w:rtl/>
        </w:rPr>
        <w:t xml:space="preserve">آغاز: برابر، انجام و شربة الى مثقالین بماء الصول و الله اعلم تمت المقالة الخامسة و بتمامها تم الكتاب. خط: نسخ، كا: احمد بن محمد بن طافر غسانی، تا: شنبه ۲۴ صفر ۹۹۶ق؛ مقابله شده؛ کاغذ: فستقی استانبولی، جلد: میشن قهوه ای ضربی، ۳۰۲گ، ۳۳ سطر، اندازه: ۲۹/۴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۱۹/۷ سم [ف: ۱-۷۶]</w:t>
      </w:r>
    </w:p>
    <w:p>
      <w:pPr>
        <w:pStyle w:val="BookText"/>
      </w:pPr>
      <w:r>
        <w:rPr>
          <w:rFonts w:ascii="IRNazanin" w:hAnsi="IRNazanin" w:eastAsia="IRNazanin" w:cs="IRNazanin"/>
          <w:lang w:bidi="fa-IR"/>
          <w:color w:val="111111"/>
          <w:sz w:val="28"/>
          <w:szCs w:val="28"/>
          <w:rtl/>
        </w:rPr>
        <w:t xml:space="preserve">۴. شیراز؛ محلاتی، صدرالدین؛ شماره نسخه: ۴</w:t>
      </w:r>
    </w:p>
    <w:p>
      <w:pPr>
        <w:pStyle w:val="BookText"/>
      </w:pPr>
      <w:r>
        <w:rPr>
          <w:rFonts w:ascii="IRNazanin" w:hAnsi="IRNazanin" w:eastAsia="IRNazanin" w:cs="IRNazanin"/>
          <w:lang w:bidi="fa-IR"/>
          <w:color w:val="111111"/>
          <w:sz w:val="28"/>
          <w:szCs w:val="28"/>
          <w:rtl/>
        </w:rPr>
        <w:t xml:space="preserve">کا: احمد بن عبدالرحيم بن عبدالله بکیکی، تا: چهارشنبه ۲۲ ذیحجه ۱۱۲۷ق، برای محی الدین بن حسین بن علی مجاهد [نشریه: ۵-۲۷۱]</w:t>
      </w:r>
    </w:p>
    <w:p>
      <w:pPr>
        <w:pStyle w:val="BookText"/>
      </w:pPr>
      <w:r>
        <w:rPr>
          <w:rFonts w:ascii="IRNazanin" w:hAnsi="IRNazanin" w:eastAsia="IRNazanin" w:cs="IRNazanin"/>
          <w:lang w:bidi="fa-IR"/>
          <w:color w:val="111111"/>
          <w:sz w:val="28"/>
          <w:szCs w:val="28"/>
          <w:rtl/>
        </w:rPr>
        <w:t xml:space="preserve">۵. مشهد؛ رضوی؛ شماره نسخه: ۲۲۳۱۷</w:t>
      </w:r>
    </w:p>
    <w:p>
      <w:pPr>
        <w:pStyle w:val="BookText"/>
      </w:pPr>
      <w:r>
        <w:rPr>
          <w:rFonts w:ascii="IRNazanin" w:hAnsi="IRNazanin" w:eastAsia="IRNazanin" w:cs="IRNazanin"/>
          <w:lang w:bidi="fa-IR"/>
          <w:color w:val="111111"/>
          <w:sz w:val="28"/>
          <w:szCs w:val="28"/>
          <w:rtl/>
        </w:rPr>
        <w:t xml:space="preserve">آغاز: برابر؛ انجام: الأصول و الله تعالی اعلم و احكم ... آمین</w:t>
      </w:r>
    </w:p>
    <w:p>
      <w:pPr>
        <w:pStyle w:val="BookText"/>
      </w:pPr>
      <w:r>
        <w:rPr>
          <w:rFonts w:ascii="IRNazanin" w:hAnsi="IRNazanin" w:eastAsia="IRNazanin" w:cs="IRNazanin"/>
          <w:lang w:bidi="fa-IR"/>
          <w:color w:val="111111"/>
          <w:sz w:val="28"/>
          <w:szCs w:val="28"/>
          <w:rtl/>
        </w:rPr>
        <w:t xml:space="preserve">خط: نسخ، بی کا، تا: ۱۲۰۹ق؛ کاغذ: شکری، جلد: مقوا، ۲۹ سطر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(رایانه)</w:t>
      </w:r>
    </w:p>
    <w:p>
      <w:pPr>
        <w:pStyle w:val="Heading3"/>
      </w:pPr>
      <w:bookmarkStart w:id="1314" w:name="_Toc574"/>
      <w:r>
        <w:t>• البیان فی اصول الفقه / اصول فقه / عربی</w:t>
      </w:r>
      <w:bookmarkEnd w:id="1314"/>
    </w:p>
    <w:p>
      <w:pPr>
        <w:pStyle w:val="BookText"/>
      </w:pPr>
      <w:r>
        <w:rPr>
          <w:rFonts w:ascii="Times New Roman" w:hAnsi="Times New Roman" w:eastAsia="Times New Roman" w:cs="Times New Roman"/>
          <w:lang w:val="en-US" w:bidi="en-US"/>
          <w:color w:val="111111"/>
          <w:sz w:val="28"/>
          <w:szCs w:val="28"/>
          <w:rtl/>
        </w:rPr>
        <w:t xml:space="preserve">al-bayan fi usul-il fiqh</w:t>
      </w:r>
    </w:p>
    <w:p>
      <w:pPr>
        <w:pStyle w:val="BookText"/>
      </w:pPr>
      <w:r>
        <w:rPr>
          <w:rFonts w:ascii="IRNazanin" w:hAnsi="IRNazanin" w:eastAsia="IRNazanin" w:cs="IRNazanin"/>
          <w:lang w:bidi="fa-IR"/>
          <w:color w:val="111111"/>
          <w:sz w:val="28"/>
          <w:szCs w:val="28"/>
          <w:rtl/>
        </w:rPr>
        <w:t xml:space="preserve">بهلولی یمانی، جعفر بن احمد، -۵۷۳ قمری</w:t>
      </w:r>
    </w:p>
    <w:p>
      <w:pPr>
        <w:pStyle w:val="BookText"/>
      </w:pPr>
      <w:r>
        <w:rPr>
          <w:rFonts w:ascii="Times New Roman" w:hAnsi="Times New Roman" w:eastAsia="Times New Roman" w:cs="Times New Roman"/>
          <w:lang w:val="en-US" w:bidi="en-US"/>
          <w:color w:val="111111"/>
          <w:sz w:val="28"/>
          <w:szCs w:val="28"/>
          <w:rtl/>
        </w:rPr>
        <w:t xml:space="preserve">bohlūlī yamānī, ja'far ebn-e ahmad (- 1178)</w:t>
      </w:r>
    </w:p>
    <w:p>
      <w:pPr>
        <w:pStyle w:val="BookText"/>
      </w:pPr>
      <w:r>
        <w:rPr>
          <w:rFonts w:ascii="IRNazanin" w:hAnsi="IRNazanin" w:eastAsia="IRNazanin" w:cs="IRNazanin"/>
          <w:lang w:bidi="fa-IR"/>
          <w:color w:val="111111"/>
          <w:sz w:val="28"/>
          <w:szCs w:val="28"/>
          <w:rtl/>
        </w:rPr>
        <w:t xml:space="preserve">شرحی مفصلی است بر ادله کتاب «عيون المسائل» حاکم جمشی با تفصیل بیشتر.</w:t>
      </w:r>
    </w:p>
    <w:p>
      <w:pPr>
        <w:pStyle w:val="BookText"/>
      </w:pPr>
      <w:r>
        <w:rPr>
          <w:rFonts w:ascii="IRNazanin" w:hAnsi="IRNazanin" w:eastAsia="IRNazanin" w:cs="IRNazanin"/>
          <w:lang w:bidi="fa-IR"/>
          <w:color w:val="111111"/>
          <w:sz w:val="28"/>
          <w:szCs w:val="28"/>
          <w:rtl/>
        </w:rPr>
        <w:t xml:space="preserve">[دنا ۵۸۶/۲ ]</w:t>
      </w:r>
    </w:p>
    <w:p>
      <w:pPr>
        <w:pStyle w:val="BookText"/>
      </w:pPr>
      <w:r>
        <w:rPr>
          <w:rFonts w:ascii="IRNazanin" w:hAnsi="IRNazanin" w:eastAsia="IRNazanin" w:cs="IRNazanin"/>
          <w:lang w:bidi="fa-IR"/>
          <w:color w:val="111111"/>
          <w:sz w:val="28"/>
          <w:szCs w:val="28"/>
          <w:rtl/>
        </w:rPr>
        <w:t xml:space="preserve">قم: مرکز احیاء؛ شماره نسخه: ۱۲۲۴/۲</w:t>
      </w:r>
    </w:p>
    <w:p>
      <w:pPr>
        <w:pStyle w:val="BookText"/>
      </w:pPr>
      <w:r>
        <w:rPr>
          <w:rFonts w:ascii="IRNazanin" w:hAnsi="IRNazanin" w:eastAsia="IRNazanin" w:cs="IRNazanin"/>
          <w:lang w:bidi="fa-IR"/>
          <w:color w:val="111111"/>
          <w:sz w:val="28"/>
          <w:szCs w:val="28"/>
          <w:rtl/>
        </w:rPr>
        <w:t xml:space="preserve">آغاز: الحمد الله القاهر سلطانه الباهر برهانه و صلاته على محمد نبيه الذي هو من الشرف عنوانه و من الدين سيفه و سنانه نسخه اصل: کتابخانه واتیکان-رم ۱۱۶۵؛ خط: نسخ نازیبا، بی کا، تا: چهارشنبه آخر رجب ۵۶۴ق، جا: مسجد سباع؛ مصحح ۲۵۷ص (۳۱۵۵۹) [عکسی ف: ۴-۴۹]</w:t>
      </w:r>
    </w:p>
    <w:p>
      <w:pPr>
        <w:pStyle w:val="Heading3"/>
      </w:pPr>
      <w:bookmarkStart w:id="1315" w:name="_Toc575"/>
      <w:r>
        <w:t>• البيان في الفقه / فقه / عربی</w:t>
      </w:r>
      <w:bookmarkEnd w:id="1315"/>
    </w:p>
    <w:p>
      <w:pPr>
        <w:pStyle w:val="BookText"/>
      </w:pPr>
      <w:r>
        <w:rPr>
          <w:rFonts w:ascii="Times New Roman" w:hAnsi="Times New Roman" w:eastAsia="Times New Roman" w:cs="Times New Roman"/>
          <w:lang w:val="en-US" w:bidi="en-US"/>
          <w:color w:val="111111"/>
          <w:sz w:val="28"/>
          <w:szCs w:val="28"/>
          <w:rtl/>
        </w:rPr>
        <w:t xml:space="preserve">al-bayān fi-1 fiqh</w:t>
      </w:r>
    </w:p>
    <w:p>
      <w:pPr>
        <w:pStyle w:val="BookText"/>
      </w:pPr>
      <w:r>
        <w:rPr>
          <w:rFonts w:ascii="IRNazanin" w:hAnsi="IRNazanin" w:eastAsia="IRNazanin" w:cs="IRNazanin"/>
          <w:lang w:bidi="fa-IR"/>
          <w:color w:val="111111"/>
          <w:sz w:val="28"/>
          <w:szCs w:val="28"/>
          <w:rtl/>
        </w:rPr>
        <w:t xml:space="preserve">شهید اول، محمد بن مکی، ۷۳۴-۷۸۶ قمری</w:t>
      </w:r>
    </w:p>
    <w:p>
      <w:pPr>
        <w:pStyle w:val="BookText"/>
      </w:pPr>
      <w:r>
        <w:rPr>
          <w:rFonts w:ascii="Times New Roman" w:hAnsi="Times New Roman" w:eastAsia="Times New Roman" w:cs="Times New Roman"/>
          <w:lang w:val="en-US" w:bidi="en-US"/>
          <w:color w:val="111111"/>
          <w:sz w:val="28"/>
          <w:szCs w:val="28"/>
          <w:rtl/>
        </w:rPr>
        <w:t xml:space="preserve">šahīd-e avval, mohammad ebn-e makkī (1334-1385)</w:t>
      </w:r>
    </w:p>
    <w:p>
      <w:pPr>
        <w:pStyle w:val="BookText"/>
      </w:pPr>
      <w:r>
        <w:rPr>
          <w:rFonts w:ascii="IRNazanin" w:hAnsi="IRNazanin" w:eastAsia="IRNazanin" w:cs="IRNazanin"/>
          <w:lang w:bidi="fa-IR"/>
          <w:color w:val="111111"/>
          <w:sz w:val="28"/>
          <w:szCs w:val="28"/>
          <w:rtl/>
        </w:rPr>
        <w:t xml:space="preserve">از کتب معتبر فقهی شیعی است که مؤلف موفق به اتمام آن نگردیده است. جناب آقای رضا مختاری در کتاب الشهيد الاول حياته و آثاره (۱۴۵-۱۴۷) درباره این اثر چنین آورده است:</w:t>
      </w:r>
    </w:p>
    <w:p>
      <w:pPr>
        <w:pStyle w:val="BookText"/>
      </w:pPr>
      <w:r>
        <w:rPr>
          <w:rFonts w:ascii="IRNazanin" w:hAnsi="IRNazanin" w:eastAsia="IRNazanin" w:cs="IRNazanin"/>
          <w:lang w:bidi="fa-IR"/>
          <w:color w:val="111111"/>
          <w:sz w:val="28"/>
          <w:szCs w:val="28"/>
          <w:rtl/>
        </w:rPr>
        <w:t xml:space="preserve">«البيان، هو كتاب في الفقه مختصر خال من الاستدلال، مشتمل على كثير من الأقوال جمع فيه من بين سهولة العبارة و متانتها و خرج منه كتب الطهارة و الصلاة و الزكاة و الخمس و شیء يسير من الصوم؛ و استشهد الشهيد قدس سره قبل إتمامه، و نسخه الموجودة كلها ناقصة ... و اعلم أن الشيخ محمد رضا شمس الدين قال: "فرغ منه مؤلفه في غرة الشعبان ۷۶۳ هـ "؛ و لم أقف على مستنده و الظاهر أنه سهو، فان الشهيد كان حية إلى عام ۷۸۶ هو من المستبعد جدا أن يترك الشهيد إتمام مصنفه لمدة تربو على ثلاثة و عشرين عاما، بل يترك فصلا شرع فيه دون أن يتمها هذا بالاضافة إلى قرائن إخرى منها عدم ذكره في إجازته لابن نجدة، الصادرة عام ۷۷۰ هو عدم ذكره أيضا في إجازته لا بن الخازن، الصادرة عام ۷۸۶ هو منها أن الشهيد أشار في البيان إلى كتابه الذكرى مرارة كما تقدم، و من المعلوم أنه ألف الذكري في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أواخر عمره الشريف».</w:t>
      </w:r>
    </w:p>
    <w:p>
      <w:pPr>
        <w:pStyle w:val="BookText"/>
      </w:pPr>
      <w:r>
        <w:rPr>
          <w:rFonts w:ascii="IRNazanin" w:hAnsi="IRNazanin" w:eastAsia="IRNazanin" w:cs="IRNazanin"/>
          <w:lang w:bidi="fa-IR"/>
          <w:color w:val="111111"/>
          <w:sz w:val="28"/>
          <w:szCs w:val="28"/>
          <w:rtl/>
        </w:rPr>
        <w:t xml:space="preserve">آغاز: بسمله، الحمدلله رب العالمين حمدا يستدرا خلاف کرمه و يستمطر شابيب نعمه حمدا يكون لنا في الاخرة نهجا صنيعا الى اممه وفي الدنيا حصنا منيعا من نعمه ... اما بعد فان الأدلة العقلية و النقلية متطابقة على شرف العلوم ...</w:t>
      </w:r>
    </w:p>
    <w:p>
      <w:pPr>
        <w:pStyle w:val="BookText"/>
      </w:pPr>
      <w:r>
        <w:rPr>
          <w:rFonts w:ascii="Amiri" w:hAnsi="Amiri" w:eastAsia="Amiri" w:cs="Amiri"/>
          <w:lang w:bidi="ar-SA"/>
          <w:color w:val="111111"/>
          <w:sz w:val="28"/>
          <w:szCs w:val="28"/>
          <w:rtl/>
        </w:rPr>
        <w:t xml:space="preserve">انجام: الفصل الثاني في الامساك و فيه مطالب الأول فيما يمسك عنه و هو اقسام الاول الابتلاء يجب (هذا آخر ما وجدناه بخط المصنف)</w:t>
      </w:r>
    </w:p>
    <w:p>
      <w:pPr>
        <w:pStyle w:val="BookText"/>
      </w:pPr>
      <w:r>
        <w:rPr>
          <w:rFonts w:ascii="IRNazanin" w:hAnsi="IRNazanin" w:eastAsia="IRNazanin" w:cs="IRNazanin"/>
          <w:lang w:bidi="fa-IR"/>
          <w:color w:val="111111"/>
          <w:sz w:val="28"/>
          <w:szCs w:val="28"/>
          <w:rtl/>
        </w:rPr>
        <w:t xml:space="preserve">چاپ: این کتاب نخستین بار به سال ۱۳۱۹ ق در تهران و بار دیگر همراه برخی تعلیقات و حواشی در سال ۱۳۲۲ ق به صورت سنگی و نیز با تحقیق محقق فرزانه محمد الحسون به سال ۱۴۱۱ق همراه فهرست های متعدد و مقدمه در ۴۰۶ ص در قم به چاپ رسیده است.</w:t>
      </w:r>
    </w:p>
    <w:p>
      <w:pPr>
        <w:pStyle w:val="BookText"/>
      </w:pPr>
      <w:r>
        <w:rPr>
          <w:rFonts w:ascii="IRNazanin" w:hAnsi="IRNazanin" w:eastAsia="IRNazanin" w:cs="IRNazanin"/>
          <w:lang w:bidi="fa-IR"/>
          <w:color w:val="111111"/>
          <w:sz w:val="28"/>
          <w:szCs w:val="28"/>
          <w:rtl/>
        </w:rPr>
        <w:t xml:space="preserve">[ دنا ۵۸۶/۲ (۷۸نسخه)؛ الذريعة ۱۷۴/۳ و ۱۲۸/۱۳ ؛ کشف الحجب: ۹۱؛ معجم المطبوعات العربية في ايران ۴۷۲] شرح و حواشی:</w:t>
      </w:r>
    </w:p>
    <w:p>
      <w:pPr>
        <w:pStyle w:val="BookText"/>
      </w:pPr>
      <w:r>
        <w:rPr>
          <w:rFonts w:ascii="IRNazanin" w:hAnsi="IRNazanin" w:eastAsia="IRNazanin" w:cs="IRNazanin"/>
          <w:lang w:bidi="fa-IR"/>
          <w:color w:val="111111"/>
          <w:sz w:val="28"/>
          <w:szCs w:val="28"/>
          <w:rtl/>
        </w:rPr>
        <w:t xml:space="preserve">١- رمز کاربردی نام برخی کتب فقه؛ منعل قمی، علی بن علی (-۱۰)</w:t>
      </w:r>
    </w:p>
    <w:p>
      <w:pPr>
        <w:pStyle w:val="BookText"/>
      </w:pPr>
      <w:r>
        <w:rPr>
          <w:rFonts w:ascii="IRNazanin" w:hAnsi="IRNazanin" w:eastAsia="IRNazanin" w:cs="IRNazanin"/>
          <w:lang w:bidi="fa-IR"/>
          <w:color w:val="111111"/>
          <w:sz w:val="28"/>
          <w:szCs w:val="28"/>
          <w:rtl/>
        </w:rPr>
        <w:t xml:space="preserve">۲- حاشية البيان؛ آملی، عطاء الله بن مسیح (-۱۰)</w:t>
      </w:r>
    </w:p>
    <w:p>
      <w:pPr>
        <w:pStyle w:val="BookText"/>
      </w:pPr>
      <w:r>
        <w:rPr>
          <w:rFonts w:ascii="IRNazanin" w:hAnsi="IRNazanin" w:eastAsia="IRNazanin" w:cs="IRNazanin"/>
          <w:lang w:bidi="fa-IR"/>
          <w:color w:val="111111"/>
          <w:sz w:val="28"/>
          <w:szCs w:val="28"/>
          <w:rtl/>
        </w:rPr>
        <w:t xml:space="preserve">۱. قم؛ مرعشی؛ شماره نسخه: ۱۳۳۵۸</w:t>
      </w:r>
    </w:p>
    <w:p>
      <w:pPr>
        <w:pStyle w:val="BookText"/>
      </w:pPr>
      <w:r>
        <w:rPr>
          <w:rFonts w:ascii="IRNazanin" w:hAnsi="IRNazanin" w:eastAsia="IRNazanin" w:cs="IRNazanin"/>
          <w:lang w:bidi="fa-IR"/>
          <w:color w:val="111111"/>
          <w:sz w:val="28"/>
          <w:szCs w:val="28"/>
          <w:rtl/>
        </w:rPr>
        <w:t xml:space="preserve">آغاز: هدية معه و الدعاله و يرغبهفى التوبة و يذكرهن بالوصية في التوبة ... الحكم الثاني التغسيل و اول الناس به اولادهم؛ انجام: و يجوز البناء الا مع الخروج عن الموالاة و لوارتد في اثنائه فكذلک و في المبسوط يستأنف و لوارتد ... ناتمام. خط: نسخ تحریری، بی کا، تا: قرن ۱۹ افتادگی: آغاز و انجام؛ مصحح، محشی؛ کاغذ: شرقی، جلد: تیماج قهوه ای، ۳۴گ، ۱۷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[ف: ۳۳-۶۲۲]</w:t>
      </w:r>
    </w:p>
    <w:p>
      <w:pPr>
        <w:pStyle w:val="BookText"/>
      </w:pPr>
      <w:r>
        <w:rPr>
          <w:rFonts w:ascii="IRNazanin" w:hAnsi="IRNazanin" w:eastAsia="IRNazanin" w:cs="IRNazanin"/>
          <w:lang w:bidi="fa-IR"/>
          <w:color w:val="111111"/>
          <w:sz w:val="28"/>
          <w:szCs w:val="28"/>
          <w:rtl/>
        </w:rPr>
        <w:t xml:space="preserve">۲. تهران؛ مجلس؛ شماره نسخه: ۱۵۰۸۲</w:t>
      </w:r>
    </w:p>
    <w:p>
      <w:pPr>
        <w:pStyle w:val="BookText"/>
      </w:pPr>
      <w:r>
        <w:rPr>
          <w:rFonts w:ascii="IRNazanin" w:hAnsi="IRNazanin" w:eastAsia="IRNazanin" w:cs="IRNazanin"/>
          <w:lang w:bidi="fa-IR"/>
          <w:color w:val="111111"/>
          <w:sz w:val="28"/>
          <w:szCs w:val="28"/>
          <w:rtl/>
        </w:rPr>
        <w:t xml:space="preserve">خط: نسخ، بی کا، تا: قرن ۹ [مختصر ف: ۱۱۴]</w:t>
      </w:r>
    </w:p>
    <w:p>
      <w:pPr>
        <w:pStyle w:val="BookText"/>
      </w:pPr>
      <w:r>
        <w:rPr>
          <w:rFonts w:ascii="IRNazanin" w:hAnsi="IRNazanin" w:eastAsia="IRNazanin" w:cs="IRNazanin"/>
          <w:lang w:bidi="fa-IR"/>
          <w:color w:val="111111"/>
          <w:sz w:val="28"/>
          <w:szCs w:val="28"/>
          <w:rtl/>
        </w:rPr>
        <w:t xml:space="preserve">٣. تهران؛ مجلس؛ شماره نسخه: ۲۷۵۰/۱</w:t>
      </w:r>
    </w:p>
    <w:p>
      <w:pPr>
        <w:pStyle w:val="BookText"/>
      </w:pPr>
      <w:r>
        <w:rPr>
          <w:rFonts w:ascii="IRNazanin" w:hAnsi="IRNazanin" w:eastAsia="IRNazanin" w:cs="IRNazanin"/>
          <w:lang w:bidi="fa-IR"/>
          <w:color w:val="111111"/>
          <w:sz w:val="28"/>
          <w:szCs w:val="28"/>
          <w:rtl/>
        </w:rPr>
        <w:t xml:space="preserve">آغاز و انجام: برابر خط: نسخ کهن، بی کا، تا: سه شنبه ۲۹ ربیع الاول ۱۲۲ق، در پایان رساله دفتر تاریخ کتابت را ۷۲۲ نوشته و سپس روی شماره ۷۰۰ خط کشیده و پس از آن شماره ۸۰۰ را نوشته است؛ کاغذ: سفید کهنه، جلد: مقوایی با عطف تيماج، ۲۲۴ص (۲-۲۲۵)، ۲۰ و ۲۱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۹-۱۲۴]</w:t>
      </w:r>
    </w:p>
    <w:p>
      <w:pPr>
        <w:pStyle w:val="BookText"/>
      </w:pPr>
      <w:r>
        <w:rPr>
          <w:rFonts w:ascii="IRNazanin" w:hAnsi="IRNazanin" w:eastAsia="IRNazanin" w:cs="IRNazanin"/>
          <w:lang w:bidi="fa-IR"/>
          <w:color w:val="111111"/>
          <w:sz w:val="28"/>
          <w:szCs w:val="28"/>
          <w:rtl/>
        </w:rPr>
        <w:t xml:space="preserve">۴. تهران؛ مجلس؛ شماره نسخه: ۱۴۲۴۵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بن على، تا: چهارشنبه ۱۶ ذیحجه ۸۳۵ق؛ از روی نسخه اصل که بیشتر آن توسط شیخ زین الدین بر مصنف قرائت شده، مصحح، اختلافات کتاب دروس با این کتاب در حاشیه تذکر داده شده، با حواشی از فخر الدين و شیخ حسن و مؤلف؛ در حاشیه مقصد ثانی از کتاب الزكاة چنین آمده: «حاشية من منقولة من مقروة عليه هكذا، الى هنا انتهي قرائة الشيخ زين الدين على المصنف رحمهما الله .......؟ تملك: اسمعيل الموسوي البهبهانی در نجف اشرف در ۱۲۷۳؛ جلد: تیماج، مشکی، ضربی، ترنج باسر، مجدول گرهی، ۱۰۵گ، ۱۹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۳۸-۳۵۶]</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مرعشی؛ شماره نسخه: ۶۷/۲</w:t>
      </w:r>
    </w:p>
    <w:p>
      <w:pPr>
        <w:pStyle w:val="BookText"/>
      </w:pPr>
      <w:r>
        <w:rPr>
          <w:rFonts w:ascii="IRNazanin" w:hAnsi="IRNazanin" w:eastAsia="IRNazanin" w:cs="IRNazanin"/>
          <w:lang w:bidi="fa-IR"/>
          <w:color w:val="111111"/>
          <w:sz w:val="28"/>
          <w:szCs w:val="28"/>
          <w:rtl/>
        </w:rPr>
        <w:t xml:space="preserve">آغاز و انجام: برابر خط: نسخ، كا: علی بن محمد بن حر عاملی، تا: ۱۸ صفر ۱۴۳ق؛ محشی؛ اجازه قرائتی که احمد بن محمد بن على بن خاتون به تاریخ روز یک شنبه ۱۲ ذیقعده ۹۰۷ نوشته؛ جلد: تیماج قهوه ای، ۱۴۳گ(۲۸پ - ۱۷۰ر)،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۱-۷۸]</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مشهد؛ رضوی؛ شماره نسخه: ض ۲۵۴۷</w:t>
      </w:r>
    </w:p>
    <w:p>
      <w:pPr>
        <w:pStyle w:val="BookText"/>
      </w:pPr>
      <w:r>
        <w:rPr>
          <w:rFonts w:ascii="Amiri" w:hAnsi="Amiri" w:eastAsia="Amiri" w:cs="Amiri"/>
          <w:lang w:bidi="ar-SA"/>
          <w:color w:val="111111"/>
          <w:sz w:val="28"/>
          <w:szCs w:val="28"/>
          <w:rtl/>
        </w:rPr>
        <w:t xml:space="preserve">آغاز: برابر، انجام: الا مع رخاوة الارض فالشق افضل و وصفه على الأرض</w:t>
      </w:r>
    </w:p>
    <w:p>
      <w:pPr>
        <w:pStyle w:val="BookText"/>
      </w:pPr>
      <w:r>
        <w:rPr>
          <w:rFonts w:ascii="IRNazanin" w:hAnsi="IRNazanin" w:eastAsia="IRNazanin" w:cs="IRNazanin"/>
          <w:lang w:bidi="fa-IR"/>
          <w:color w:val="111111"/>
          <w:sz w:val="28"/>
          <w:szCs w:val="28"/>
          <w:rtl/>
        </w:rPr>
        <w:t xml:space="preserve">از ابتدای طهارت تا دفن میت؛ خط: نسخ، كا: ابراهیم بن علی بن احمد کشدیش، تا: ۱۴۹ق؛ افتادگی: انجام؛ واقف: ابن خاتون، ۱۰۶۷؛ کاغذ: نخودی آهار مهره، جلد: تیماج قهوه ای سوخت، ۲۰گ، ۱۷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[ف: ۲۱/۱ -۱۹۵]</w:t>
      </w:r>
    </w:p>
    <w:p>
      <w:pPr>
        <w:pStyle w:val="BookText"/>
      </w:pPr>
      <w:r>
        <w:rPr>
          <w:rFonts w:ascii="IRNazanin" w:hAnsi="IRNazanin" w:eastAsia="IRNazanin" w:cs="IRNazanin"/>
          <w:lang w:bidi="fa-IR"/>
          <w:color w:val="111111"/>
          <w:sz w:val="28"/>
          <w:szCs w:val="28"/>
          <w:rtl/>
        </w:rPr>
        <w:t xml:space="preserve">۷. قم؛ مرعشی؛ شماره نسخه: ۱۲۶۰۸</w:t>
      </w:r>
    </w:p>
    <w:p>
      <w:pPr>
        <w:pStyle w:val="BookText"/>
      </w:pPr>
      <w:r>
        <w:rPr>
          <w:rFonts w:ascii="Amiri" w:hAnsi="Amiri" w:eastAsia="Amiri" w:cs="Amiri"/>
          <w:lang w:bidi="ar-SA"/>
          <w:color w:val="111111"/>
          <w:sz w:val="28"/>
          <w:szCs w:val="28"/>
          <w:rtl/>
        </w:rPr>
        <w:t xml:space="preserve">آغاز: كالمعمامة و الخف الا لضرورة و لا يضر روالها و التقية مسوغة و لو دارت التقية بين المسح على الخف و غسل الرجلين وجب الغسل؛ انجام: برابر</w:t>
      </w:r>
    </w:p>
    <w:p>
      <w:pPr>
        <w:pStyle w:val="BookText"/>
      </w:pPr>
      <w:r>
        <w:rPr>
          <w:rFonts w:ascii="IRNazanin" w:hAnsi="IRNazanin" w:eastAsia="IRNazanin" w:cs="IRNazanin"/>
          <w:lang w:bidi="fa-IR"/>
          <w:color w:val="111111"/>
          <w:sz w:val="28"/>
          <w:szCs w:val="28"/>
          <w:rtl/>
        </w:rPr>
        <w:t xml:space="preserve">خط: نستعلیق، كا: على بن عزالدين جرجانی، تا: ۸۶۰ق، جان کرک، واقع در لبنان؛ افتادگی: آغاز و انجام؛ مصحح، مقابله شده همزمان با سال کتابت نسخه با عبارت: «تمت قرائة مقابلته بعون الله تعالی و تبارک في اواسط شهر رمضان المبارک سنة ستين فثمانمأة في بلدة المعروفة ...)؛ وقف نامه نسخه به خط برادران حسین موسوی میرزائی و ابوطالب موسوی میرزائی به سال ۱۳۵۹ق؛ تملك: افضل حسینی و شیخ محمد علی به سال ۱۲۹۲ق، ملا محمد جعفر؛ کاغذ: شرقی، جلد: مقوای عطف تیماج قهوه ای لبه ها تیماج قهوه ای و مشکی، ۱۳۷گ، ۱۵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[ف: ۳۲-۲۴]</w:t>
      </w:r>
    </w:p>
    <w:p>
      <w:pPr>
        <w:pStyle w:val="BookText"/>
      </w:pPr>
      <w:r>
        <w:rPr>
          <w:rFonts w:ascii="IRNazanin" w:hAnsi="IRNazanin" w:eastAsia="IRNazanin" w:cs="IRNazanin"/>
          <w:lang w:bidi="fa-IR"/>
          <w:color w:val="111111"/>
          <w:sz w:val="28"/>
          <w:szCs w:val="28"/>
          <w:rtl/>
        </w:rPr>
        <w:t xml:space="preserve">۸. تهران، مجلس؛ شماره نسخه: ۷۱۱۴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عماد بن على استر آبادی، تا: سه شنبه ۵ شعبان ۸۶۱ق؛ تملک: محمد رضا حسینی کاشانی بن امیر محمد صفی با مهر مربع، سید محمد بن جمال الدین حسینی مازندرانی، محمد صادق بن ملا حسین گیلانی؛ جلد: تیماج مشکی، ۴۹گ، ۲۷ سطر، اندازه: ۱۷/۵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۲۶/۵سم [ف: ۲۵-۱۲۶]</w:t>
      </w:r>
    </w:p>
    <w:p>
      <w:pPr>
        <w:pStyle w:val="BookText"/>
      </w:pPr>
      <w:r>
        <w:rPr>
          <w:rFonts w:ascii="IRNazanin" w:hAnsi="IRNazanin" w:eastAsia="IRNazanin" w:cs="IRNazanin"/>
          <w:lang w:bidi="fa-IR"/>
          <w:color w:val="111111"/>
          <w:sz w:val="28"/>
          <w:szCs w:val="28"/>
          <w:rtl/>
        </w:rPr>
        <w:t xml:space="preserve">۹. قم: مرکز احیاء؛ شماره نسخه: ۲۷۶۶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۱۰؛ مصحح، محشی، چند یادداشت متفرقه در خرید و فروش بعضی از املاک بعضا به خط «على بن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الحرث» به سال ۹۹۱ و «مرشد بن ماحد خيقانی» به سال ۱۰۱۲ و شهادت «اسماعیل بن محمد» و «حسن بن علی» و «محمود بن جمعه صیمری» و «علی بن محمد آل ابو حسام» و «محمد بن حاجی حمد بن صالح» و«خسیس بن فرج الله صیمری» و «علی بن عبدالله بن ذیاب» به این معامله؛ تملک: عبدالکریم بن محمد الحسینی»، «حیدر بن جمال الدین»، «غیاث الدین محمد سلمانی خادم عزی»، «علی بن محمد ثقفی»؛ جلد: تیماج قهوه ای مجدول، ۱۵۹گ، ۱۸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[محدث ارموی مخ: ۱-۲۶۳]</w:t>
      </w:r>
    </w:p>
    <w:p>
      <w:pPr>
        <w:pStyle w:val="BookText"/>
      </w:pPr>
      <w:r>
        <w:rPr>
          <w:rFonts w:ascii="IRNazanin" w:hAnsi="IRNazanin" w:eastAsia="IRNazanin" w:cs="IRNazanin"/>
          <w:lang w:bidi="fa-IR"/>
          <w:color w:val="111111"/>
          <w:sz w:val="28"/>
          <w:szCs w:val="28"/>
          <w:rtl/>
        </w:rPr>
        <w:t xml:space="preserve">۱۰. قم؛ گلپایگانی؛ شماره نسخه: ۶۵۴۹- ۳۳/۹۹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۱۰؛ مصحح، با علامت بلاغ قرائت، محشی؛ دارای اطلاعاتی درباره خاندان عبدالقادر بن حسين على بن رزی مربوط به قرن ۱۲، در آخر نسخه فوایدی از جمله به نقل از خط خواجہ شمس الدین محمدبن معلی دام ظله؛ جلد: مقوا عطف تیماج قهوه ای لولا دار، ۱۳۵ گ، ۱۷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۲-۶۵۲]</w:t>
      </w:r>
    </w:p>
    <w:p>
      <w:pPr>
        <w:pStyle w:val="BookText"/>
      </w:pPr>
      <w:r>
        <w:rPr>
          <w:rFonts w:ascii="IRNazanin" w:hAnsi="IRNazanin" w:eastAsia="IRNazanin" w:cs="IRNazanin"/>
          <w:lang w:bidi="fa-IR"/>
          <w:color w:val="111111"/>
          <w:sz w:val="28"/>
          <w:szCs w:val="28"/>
          <w:rtl/>
        </w:rPr>
        <w:t xml:space="preserve">۱۱. قزوین؛ امام صادق شماره نسخه: ۴۷۹</w:t>
      </w:r>
    </w:p>
    <w:p>
      <w:pPr>
        <w:pStyle w:val="BookText"/>
      </w:pPr>
      <w:r>
        <w:rPr>
          <w:rFonts w:ascii="IRNazanin" w:hAnsi="IRNazanin" w:eastAsia="IRNazanin" w:cs="IRNazanin"/>
          <w:lang w:bidi="fa-IR"/>
          <w:color w:val="111111"/>
          <w:sz w:val="28"/>
          <w:szCs w:val="28"/>
          <w:rtl/>
        </w:rPr>
        <w:t xml:space="preserve">آغاز: برابر؛ انجام: و عدم الفائدة في ذلك اختصاصه لهذين النوعين و أما المعادل الظاهرة و الباطنة فاشتبها من الأنفال بعض الاصحاب و الوجه انه للمسلمين، کتاب الصوم.</w:t>
      </w:r>
    </w:p>
    <w:p>
      <w:pPr>
        <w:pStyle w:val="BookText"/>
      </w:pPr>
      <w:r>
        <w:rPr>
          <w:rFonts w:ascii="IRNazanin" w:hAnsi="IRNazanin" w:eastAsia="IRNazanin" w:cs="IRNazanin"/>
          <w:lang w:bidi="fa-IR"/>
          <w:color w:val="111111"/>
          <w:sz w:val="28"/>
          <w:szCs w:val="28"/>
          <w:rtl/>
        </w:rPr>
        <w:t xml:space="preserve">از کتاب الطهارة تا ابتدای کتاب الصوم؛ خط: نسخ کهن، بی کا، تا: قرن ۱۰؛ افتادگی: انجام؛ واقف: حاج ملا عبد الوهاب قزوینی، در شوال ۱۲۴۲ق؛ مصحح، محشى؛ جلد: تیماج قهوه ای با ترنج با  سر و مجدول، ۱۹۵، ۱۵ سطر [ف: ۱-۴۸]</w:t>
      </w:r>
    </w:p>
    <w:p>
      <w:pPr>
        <w:pStyle w:val="BookText"/>
      </w:pPr>
      <w:r>
        <w:rPr>
          <w:rFonts w:ascii="IRNazanin" w:hAnsi="IRNazanin" w:eastAsia="IRNazanin" w:cs="IRNazanin"/>
          <w:lang w:bidi="fa-IR"/>
          <w:color w:val="111111"/>
          <w:sz w:val="28"/>
          <w:szCs w:val="28"/>
          <w:rtl/>
        </w:rPr>
        <w:t xml:space="preserve">۱۲. قم؛ مرعشی؛ شماره نسخه: ۱۲۷</w:t>
      </w:r>
    </w:p>
    <w:p>
      <w:pPr>
        <w:pStyle w:val="BookText"/>
      </w:pPr>
      <w:r>
        <w:rPr>
          <w:rFonts w:ascii="Amiri" w:hAnsi="Amiri" w:eastAsia="Amiri" w:cs="Amiri"/>
          <w:lang w:bidi="ar-SA"/>
          <w:color w:val="111111"/>
          <w:sz w:val="28"/>
          <w:szCs w:val="28"/>
          <w:rtl/>
        </w:rPr>
        <w:t xml:space="preserve">انجام: و لو قال يا يحيى خذ الكتاب بقوة و قصد القراءة مع الافهام جاز.</w:t>
      </w:r>
    </w:p>
    <w:p>
      <w:pPr>
        <w:pStyle w:val="BookText"/>
      </w:pPr>
      <w:r>
        <w:rPr>
          <w:rFonts w:ascii="IRNazanin" w:hAnsi="IRNazanin" w:eastAsia="IRNazanin" w:cs="IRNazanin"/>
          <w:lang w:bidi="fa-IR"/>
          <w:color w:val="111111"/>
          <w:sz w:val="28"/>
          <w:szCs w:val="28"/>
          <w:rtl/>
        </w:rPr>
        <w:t xml:space="preserve">خط: نسخ، بی کا، تا: قرن ۱۰؛ افتادگی: انجام؛ محشی، روی برگ اول سه تملک است بی نام و به تاریخ ۱۰۱۶ و ۱۱۹۹ و ۱۲۲۹؛ جلد: تیماج زرد بدون مقوا، ۹۷گ، ۱۵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۱-۱۴۹]</w:t>
      </w:r>
    </w:p>
    <w:p>
      <w:pPr>
        <w:pStyle w:val="BookText"/>
      </w:pPr>
      <w:r>
        <w:rPr>
          <w:rFonts w:ascii="IRNazanin" w:hAnsi="IRNazanin" w:eastAsia="IRNazanin" w:cs="IRNazanin"/>
          <w:lang w:bidi="fa-IR"/>
          <w:color w:val="111111"/>
          <w:sz w:val="28"/>
          <w:szCs w:val="28"/>
          <w:rtl/>
        </w:rPr>
        <w:t xml:space="preserve">۱۳. قم؛ مرعشی؛ شماره نسخه: ۵۳۵۴</w:t>
      </w:r>
    </w:p>
    <w:p>
      <w:pPr>
        <w:pStyle w:val="BookText"/>
      </w:pPr>
      <w:r>
        <w:rPr>
          <w:rFonts w:ascii="IRNazanin" w:hAnsi="IRNazanin" w:eastAsia="IRNazanin" w:cs="IRNazanin"/>
          <w:lang w:bidi="fa-IR"/>
          <w:color w:val="111111"/>
          <w:sz w:val="28"/>
          <w:szCs w:val="28"/>
          <w:rtl/>
        </w:rPr>
        <w:t xml:space="preserve">خط: نسخ، بی کا، تا: قرن ۱۰؛ افتادگی: انجام؛ مصحح، محشی، مقابله شده با نسخه مؤلف؛ جلد: مقوایی عطف تیماج قهوه ای، ۱۴۴گ، مختلف السطر،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۱۴-۱۳۷]</w:t>
      </w:r>
    </w:p>
    <w:p>
      <w:pPr>
        <w:pStyle w:val="BookText"/>
      </w:pPr>
      <w:r>
        <w:rPr>
          <w:rFonts w:ascii="IRNazanin" w:hAnsi="IRNazanin" w:eastAsia="IRNazanin" w:cs="IRNazanin"/>
          <w:lang w:bidi="fa-IR"/>
          <w:color w:val="111111"/>
          <w:sz w:val="28"/>
          <w:szCs w:val="28"/>
          <w:rtl/>
        </w:rPr>
        <w:t xml:space="preserve">۱۴. مشهد؛ رضوی؛ شماره نسخه: ۲۲۵۶</w:t>
      </w:r>
    </w:p>
    <w:p>
      <w:pPr>
        <w:pStyle w:val="BookText"/>
      </w:pPr>
      <w:r>
        <w:rPr>
          <w:rFonts w:ascii="IRNazanin" w:hAnsi="IRNazanin" w:eastAsia="IRNazanin" w:cs="IRNazanin"/>
          <w:lang w:bidi="fa-IR"/>
          <w:color w:val="111111"/>
          <w:sz w:val="28"/>
          <w:szCs w:val="28"/>
          <w:rtl/>
        </w:rPr>
        <w:t xml:space="preserve">آغاز: هذه الأسباب بنية الوجوب او الندب؛ انجام: كان جایزة بشرط اجتماع صفات الحكم فيهم و يستحب توفير بنی فاطمة خط: نسخ، بی کا، تا: قرن ۱۰؛ افتادگی: آغاز و انجام کاغذ: نخودی، جلد: تیماج مشکی، ۱۰۲گ، ۱۹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۲۱/۱ -۱۹۶]</w:t>
      </w:r>
    </w:p>
    <w:p>
      <w:pPr>
        <w:pStyle w:val="BookText"/>
      </w:pPr>
      <w:r>
        <w:rPr>
          <w:rFonts w:ascii="IRNazanin" w:hAnsi="IRNazanin" w:eastAsia="IRNazanin" w:cs="IRNazanin"/>
          <w:lang w:bidi="fa-IR"/>
          <w:color w:val="111111"/>
          <w:sz w:val="28"/>
          <w:szCs w:val="28"/>
          <w:rtl/>
        </w:rPr>
        <w:t xml:space="preserve">۱۵. مشهد: رضوی؛ شماره نسخه: ۱۳۸۵۳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شهاب بن کلیب نسبی نجفی، تا: قرن ۱۰؛ واقف: فاضل خان، ۱۰۶۵؛ کاغذ: نخودی، جلد: میشن مشکی، ۷۹گ، مختلف السطر، اندازه: ۲۰/۶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۱۵/۲ سم [ف: ۲۱/۱ -۱۹۴]</w:t>
      </w:r>
    </w:p>
    <w:p>
      <w:pPr>
        <w:pStyle w:val="BookText"/>
      </w:pPr>
      <w:r>
        <w:rPr>
          <w:rFonts w:ascii="IRNazanin" w:hAnsi="IRNazanin" w:eastAsia="IRNazanin" w:cs="IRNazanin"/>
          <w:lang w:bidi="fa-IR"/>
          <w:color w:val="111111"/>
          <w:sz w:val="28"/>
          <w:szCs w:val="28"/>
          <w:rtl/>
        </w:rPr>
        <w:t xml:space="preserve">۱۶. مشهد؛ رضوی؛ شماره نسخه: ۹۶۱۳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۱۰؛ دارای دو نوع بلاغ؛ واقف: خان بابا مشار، اردیبهشت ۱۳۴۶؛ کاغذ: متن حنایی و حواشی شکری، جلد: میشن مشکی، ۱۹۸گی، ۱۳-۱۶ سطر، اندازه: ۱۵/۳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۲۰/۷سم [ف: ۲۱/۱ -۱۹۱]</w:t>
      </w:r>
    </w:p>
    <w:p>
      <w:pPr>
        <w:pStyle w:val="BookText"/>
      </w:pPr>
      <w:r>
        <w:rPr>
          <w:rFonts w:ascii="IRNazanin" w:hAnsi="IRNazanin" w:eastAsia="IRNazanin" w:cs="IRNazanin"/>
          <w:lang w:bidi="fa-IR"/>
          <w:color w:val="111111"/>
          <w:sz w:val="28"/>
          <w:szCs w:val="28"/>
          <w:rtl/>
        </w:rPr>
        <w:t xml:space="preserve">۱۷. مشهد؛ رضوی؛ شماره نسخه: ۳۱۷۳۱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بن سلق، تا: پنج شنبه ۲ ذیحجه ۹۱۲ق؛ اهدایی: رهبری، بهمن ۱۳۸۳، کاغذ: نخودی، جلد: تیماج فرنگی قهوه ای سوخت، ۹۱گ، ۲۴ سطر، اندازه: ۱۴/۵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اهدائی [رهبر: ۳-۱۱۳]</w:t>
      </w:r>
    </w:p>
    <w:p>
      <w:pPr>
        <w:pStyle w:val="BookText"/>
      </w:pPr>
      <w:r>
        <w:rPr>
          <w:rFonts w:ascii="IRNazanin" w:hAnsi="IRNazanin" w:eastAsia="IRNazanin" w:cs="IRNazanin"/>
          <w:lang w:bidi="fa-IR"/>
          <w:color w:val="111111"/>
          <w:sz w:val="28"/>
          <w:szCs w:val="28"/>
          <w:rtl/>
        </w:rPr>
        <w:t xml:space="preserve">۱۸. مشهد؛ رضوی؛ شماره نسخه: ۲۱۴۷۳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شمس بن شیخ علی مشهور به معلم، تا: جمعه ۶ صفر ۹۱۳ق؛ مذیل به مبحث مواریث از حبل المتین شیخ بهایی در چهار برگ؛ تملک: شجاع بن علی حسینی؛ وقف نامه حاج محمد حسن خراسانی؛ اهدایی: رهبری، خرداد ۱۳۷۳؛ کاغذ: نخودی آهار مهره، جلد: مقوا، عطف و گوشه میشن قهوه ای، ۱۱۲گ، ۱۹ 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[اهدائی رهبر: ۳-۱۱۴]</w:t>
      </w:r>
    </w:p>
    <w:p>
      <w:pPr>
        <w:pStyle w:val="BookText"/>
      </w:pPr>
      <w:r>
        <w:rPr>
          <w:rFonts w:ascii="IRNazanin" w:hAnsi="IRNazanin" w:eastAsia="IRNazanin" w:cs="IRNazanin"/>
          <w:lang w:bidi="fa-IR"/>
          <w:color w:val="111111"/>
          <w:sz w:val="28"/>
          <w:szCs w:val="28"/>
          <w:rtl/>
        </w:rPr>
        <w:t xml:space="preserve">۱۹. مشهد؛ رضوی؛ شماره نسخه: ۲۳۶۰۲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على بن محمد کمانگر استر آبادی، تا: چهارشنبه اواسط رجب ۹۱۹ق؛ کاتب نسخه را دوبار با دو شخصیت از فحول فقها تصحیح و مقابله نموده و آنهاء مبارک آنان در پایان نسخه مشهود است. یکی از جناب شیخ حسن بن ابی جامع عاملی در یک شنبه هفدهم محرم ۹۲۱ که شیخ حر عاملی درباره ایشان فرموده است: «كان فاض؟ فقيها صالحة صدوقة معاصرة للشهيد الثانی»، و دیگری از محقق عالی قدر شیخ علی بن عبدالعالی کر کی معروف به محقق ثانی در پنجم محرم ۹۲۳ که مرحوم شیخ حر نیز او را چنین می ستاید: «الشيخ الجليل على بن عبدالعالی العاملي الكر کی أمره في الثقة و العلم و الفضل و جلالة القدر و عظم الشأن و كثرة التحقيق أشهر من أن يذكر و مصنفاته كثيرة مشهورة ... روى عنه فضلاء عصره و منهم الشيخ علي بن عبدالعالی العاملي الميسی، و رأیت إجازته له، و كان حسن الخط»، محشی، مذیل به «رساله لمعه» در تجوید؛ واقف: شکرالله فقیه نیا، آذر ۱۳۷۵ کاغذ: نخودی آهار مهره، ۱۲۱ گ، ۱۹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۲۱/۱ -۱۹۰]</w:t>
      </w:r>
    </w:p>
    <w:p>
      <w:pPr>
        <w:pStyle w:val="BookText"/>
      </w:pPr>
      <w:r>
        <w:rPr>
          <w:rFonts w:ascii="IRNazanin" w:hAnsi="IRNazanin" w:eastAsia="IRNazanin" w:cs="IRNazanin"/>
          <w:lang w:bidi="fa-IR"/>
          <w:color w:val="111111"/>
          <w:sz w:val="28"/>
          <w:szCs w:val="28"/>
          <w:rtl/>
        </w:rPr>
        <w:t xml:space="preserve">۲۰. اصفهان؛ عمومی اصفهان (فرهنگ سابق)؛ شماره نسخه: ۳۰۵۵</w:t>
      </w:r>
    </w:p>
    <w:p>
      <w:pPr>
        <w:pStyle w:val="BookText"/>
      </w:pPr>
      <w:r>
        <w:rPr>
          <w:rFonts w:ascii="IRNazanin" w:hAnsi="IRNazanin" w:eastAsia="IRNazanin" w:cs="IRNazanin"/>
          <w:lang w:bidi="fa-IR"/>
          <w:color w:val="111111"/>
          <w:sz w:val="28"/>
          <w:szCs w:val="28"/>
          <w:rtl/>
        </w:rPr>
        <w:t xml:space="preserve">خط: نسخ کهن، كا: صالح بن عبدالله بن شیخ احمد سعدی، تا: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۹۲۴ق؛ محشی با امضاء «م ها»؛ کاغذ: اصفهانی، جلد: چرمی ضربی سوخته قرمز، ۳۳۲ص، ۱۵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۱-۱۹۴]</w:t>
      </w:r>
    </w:p>
    <w:p>
      <w:pPr>
        <w:pStyle w:val="BookText"/>
      </w:pPr>
      <w:r>
        <w:rPr>
          <w:rFonts w:ascii="IRNazanin" w:hAnsi="IRNazanin" w:eastAsia="IRNazanin" w:cs="IRNazanin"/>
          <w:lang w:bidi="fa-IR"/>
          <w:color w:val="111111"/>
          <w:sz w:val="28"/>
          <w:szCs w:val="28"/>
          <w:rtl/>
        </w:rPr>
        <w:t xml:space="preserve">۲۱. تهران: دانشگاه؛ شماره نسخه: ۱۸۰۰</w:t>
      </w:r>
    </w:p>
    <w:p>
      <w:pPr>
        <w:pStyle w:val="BookText"/>
      </w:pPr>
      <w:r>
        <w:rPr>
          <w:rFonts w:ascii="IRNazanin" w:hAnsi="IRNazanin" w:eastAsia="IRNazanin" w:cs="IRNazanin"/>
          <w:lang w:bidi="fa-IR"/>
          <w:color w:val="111111"/>
          <w:sz w:val="28"/>
          <w:szCs w:val="28"/>
          <w:rtl/>
        </w:rPr>
        <w:t xml:space="preserve">خط: نسخ، كا: شیخ على منشار، تا: یک شنبه ۲۸ ربیع الاول ۱۳۱ق؛ مقابله و تصحیح شده در روز دوشنبه ۲۶ جمادی الثانی ۹۳۲، کاغذ: سمرقندی، جلد: تیماج تریاکی ضربی مقوایی با لولا، ۱۶۲گ، ۱۷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۸-۳۷۲]</w:t>
      </w:r>
    </w:p>
    <w:p>
      <w:pPr>
        <w:pStyle w:val="BookText"/>
      </w:pPr>
      <w:r>
        <w:rPr>
          <w:rFonts w:ascii="IRNazanin" w:hAnsi="IRNazanin" w:eastAsia="IRNazanin" w:cs="IRNazanin"/>
          <w:lang w:bidi="fa-IR"/>
          <w:color w:val="111111"/>
          <w:sz w:val="28"/>
          <w:szCs w:val="28"/>
          <w:rtl/>
        </w:rPr>
        <w:t xml:space="preserve">۲۲. تهران؛ مجلس؛ شماره نسخه: ۲۰/۱۰۰۷۰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عطاء الله بن مسیح آملی (شاگرد محقق کر کی)، تا: شوال ۹۳۳ق؛ ۸لاص (۲۵۶پ - ۳۳۳ر)،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۳۲-۹۴]</w:t>
      </w:r>
    </w:p>
    <w:p>
      <w:pPr>
        <w:pStyle w:val="BookText"/>
      </w:pPr>
      <w:r>
        <w:rPr>
          <w:rFonts w:ascii="IRNazanin" w:hAnsi="IRNazanin" w:eastAsia="IRNazanin" w:cs="IRNazanin"/>
          <w:lang w:bidi="fa-IR"/>
          <w:color w:val="111111"/>
          <w:sz w:val="28"/>
          <w:szCs w:val="28"/>
          <w:rtl/>
        </w:rPr>
        <w:t xml:space="preserve">۲۳. قم؛ مرعشی؛ شماره نسخه: ۱۶۷۷</w:t>
      </w:r>
    </w:p>
    <w:p>
      <w:pPr>
        <w:pStyle w:val="BookText"/>
      </w:pPr>
      <w:r>
        <w:rPr>
          <w:rFonts w:ascii="IRNazanin" w:hAnsi="IRNazanin" w:eastAsia="IRNazanin" w:cs="IRNazanin"/>
          <w:lang w:bidi="fa-IR"/>
          <w:color w:val="111111"/>
          <w:sz w:val="28"/>
          <w:szCs w:val="28"/>
          <w:rtl/>
        </w:rPr>
        <w:t xml:space="preserve">خط: نستعلیق، کا: محمد صالح بن محروم بن یوسف اوالی، تا: ۱۴۰ق؛ افتادگی: انجام؛ جلد: تیماج قهوه ای، ۱۲۳، ۱۹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۵-۷۲]</w:t>
      </w:r>
    </w:p>
    <w:p>
      <w:pPr>
        <w:pStyle w:val="BookText"/>
      </w:pPr>
      <w:r>
        <w:rPr>
          <w:rFonts w:ascii="IRNazanin" w:hAnsi="IRNazanin" w:eastAsia="IRNazanin" w:cs="IRNazanin"/>
          <w:lang w:bidi="fa-IR"/>
          <w:color w:val="111111"/>
          <w:sz w:val="28"/>
          <w:szCs w:val="28"/>
          <w:rtl/>
        </w:rPr>
        <w:t xml:space="preserve">۲۴. تهران؛ دانشگاه؛ شماره نسخه: ۷۸۷</w:t>
      </w:r>
    </w:p>
    <w:p>
      <w:pPr>
        <w:pStyle w:val="BookText"/>
      </w:pPr>
      <w:r>
        <w:rPr>
          <w:rFonts w:ascii="IRNazanin" w:hAnsi="IRNazanin" w:eastAsia="IRNazanin" w:cs="IRNazanin"/>
          <w:lang w:bidi="fa-IR"/>
          <w:color w:val="111111"/>
          <w:sz w:val="28"/>
          <w:szCs w:val="28"/>
          <w:rtl/>
        </w:rPr>
        <w:t xml:space="preserve">آغاز و انجام: برابر؛ الى هنا انتهى خطه قدس روحه و فرغ من تعليقة لنفسه في غرة شهر شعبان المعظم احد شهور سنة ثلاث و ستین و تسعمائة من الهجرة النبوية على مشرفها افضل الصلوة و اكمل التحيات.</w:t>
      </w:r>
    </w:p>
    <w:p>
      <w:pPr>
        <w:pStyle w:val="BookText"/>
      </w:pPr>
      <w:r>
        <w:rPr>
          <w:rFonts w:ascii="IRNazanin" w:hAnsi="IRNazanin" w:eastAsia="IRNazanin" w:cs="IRNazanin"/>
          <w:lang w:bidi="fa-IR"/>
          <w:color w:val="111111"/>
          <w:sz w:val="28"/>
          <w:szCs w:val="28"/>
          <w:rtl/>
        </w:rPr>
        <w:t xml:space="preserve">خط: نسخ، كان محمد صالح بن احمد بن جلال الدین محمد پیشوا، تا: ۱۷ ربیع الثانی ۹۵۲ق؛ در گ ار دارد: «الواثق بالله الغني عبده یحیی» و نیز: «من منن ذي المنن ... بن مقبل بن حسن في النجف الأشرف في الرابع و العشرين من رجب الفرد سنة ۱۱۸8» یک کلمه خوانده نمیشود) و «بیان شهید اول قیمت ۵ قروش» و</w:t>
      </w:r>
    </w:p>
    <w:p>
      <w:pPr>
        <w:pStyle w:val="BookText"/>
      </w:pPr>
      <w:r>
        <w:rPr>
          <w:rFonts w:ascii="IRNazanin" w:hAnsi="IRNazanin" w:eastAsia="IRNazanin" w:cs="IRNazanin"/>
          <w:lang w:bidi="fa-IR"/>
          <w:color w:val="111111"/>
          <w:sz w:val="28"/>
          <w:szCs w:val="28"/>
          <w:rtl/>
        </w:rPr>
        <w:t xml:space="preserve">کتاب بیان في فقه الامامية من مصنفات سیدنا و سندنا شيخ الشيعة محمد بن مکی الشهيد رحمه الله تعالی» و «بسم الله خير الأسماء قد صارفی ملکی حرره الاقل في سنة ۱۳۲۰»؛ مهر: صدرالدین عفی عنه» (گرد)، «عبده یحیی بن محمود ۱۲۹۶»، «بنصر الله القديم لم یزل دخل في نوبة شيخ العراقين ...» (زمینه سرخ) با شماره ۱۰۸۲،</w:t>
      </w:r>
    </w:p>
    <w:p>
      <w:pPr>
        <w:pStyle w:val="BookText"/>
      </w:pPr>
      <w:r>
        <w:rPr>
          <w:rFonts w:ascii="IRNazanin" w:hAnsi="IRNazanin" w:eastAsia="IRNazanin" w:cs="IRNazanin"/>
          <w:lang w:bidi="fa-IR"/>
          <w:color w:val="111111"/>
          <w:sz w:val="28"/>
          <w:szCs w:val="28"/>
          <w:rtl/>
        </w:rPr>
        <w:t xml:space="preserve">موروثی قدیم» (چهارگوش)، «یحیی ۱۳۱۰»؛ تملک: کاتب در ۹۵۳، حسین بن حیدر حسینی کرکی در سپاهان، سليمان بن احمد بن جلال الدين محمد بن شریف رکن الدین علی بن جلال الدين محمد ... شفروه سپاهانی با مهر کوچک و گرد؛ کاغذ: سمرقندی، جلد: تیماج مشکی ضربی، ۱۷۸گ، ۱۴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۵-۱۷۹۲]</w:t>
      </w:r>
    </w:p>
    <w:p>
      <w:pPr>
        <w:pStyle w:val="BookText"/>
      </w:pPr>
      <w:r>
        <w:rPr>
          <w:rFonts w:ascii="IRNazanin" w:hAnsi="IRNazanin" w:eastAsia="IRNazanin" w:cs="IRNazanin"/>
          <w:lang w:bidi="fa-IR"/>
          <w:color w:val="111111"/>
          <w:sz w:val="28"/>
          <w:szCs w:val="28"/>
          <w:rtl/>
        </w:rPr>
        <w:t xml:space="preserve">۲۵. قم؛ مدرسه رضویه؛ شماره نسخه: ۷۹</w:t>
      </w:r>
    </w:p>
    <w:p>
      <w:pPr>
        <w:pStyle w:val="BookText"/>
      </w:pPr>
      <w:r>
        <w:rPr>
          <w:rFonts w:ascii="IRNazanin" w:hAnsi="IRNazanin" w:eastAsia="IRNazanin" w:cs="IRNazanin"/>
          <w:lang w:bidi="fa-IR"/>
          <w:color w:val="111111"/>
          <w:sz w:val="28"/>
          <w:szCs w:val="28"/>
          <w:rtl/>
        </w:rPr>
        <w:t xml:space="preserve">کان ابوالقاسم بن سلطان محمد بن محمد بن حاجی محمد اصفهانی، تا: جمعه ۱۰ شوال ۹۵۶ق؛ مقابله شده با نسخه ای درست از آغاز تا انجام وسیله اقل العباد محمد علي بن حاجی محمد تبریزی (یادداشت پایان نسخه) گویا در قرن ۱۱ و ۱۲، ۱۴ ، ۱۵ سطر، قطع: ربعی چند نسخه ف: ۱۳]</w:t>
      </w:r>
    </w:p>
    <w:p>
      <w:pPr>
        <w:pStyle w:val="BookText"/>
      </w:pPr>
      <w:r>
        <w:rPr>
          <w:rFonts w:ascii="IRNazanin" w:hAnsi="IRNazanin" w:eastAsia="IRNazanin" w:cs="IRNazanin"/>
          <w:lang w:bidi="fa-IR"/>
          <w:color w:val="111111"/>
          <w:sz w:val="28"/>
          <w:szCs w:val="28"/>
          <w:rtl/>
        </w:rPr>
        <w:t xml:space="preserve">۲۶. قم؛ مرعشی؛ شماره نسخه: ۴۵۷/۲</w:t>
      </w:r>
    </w:p>
    <w:p>
      <w:pPr>
        <w:pStyle w:val="BookText"/>
      </w:pPr>
      <w:r>
        <w:rPr>
          <w:rFonts w:ascii="IRNazanin" w:hAnsi="IRNazanin" w:eastAsia="IRNazanin" w:cs="IRNazanin"/>
          <w:lang w:bidi="fa-IR"/>
          <w:color w:val="111111"/>
          <w:sz w:val="28"/>
          <w:szCs w:val="28"/>
          <w:rtl/>
        </w:rPr>
        <w:t xml:space="preserve">خط: نسخ نازیبا، كا: نصر الله بن برقع طرفی، تا: غره شعبان ۹۶۳ق؛ محشی؛ جلد: تیماج قرمز، ۹۵گ (۱۰۸پ-۲۰۲پ)، ۲۳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۲-۶۰]</w:t>
      </w:r>
    </w:p>
    <w:p>
      <w:pPr>
        <w:pStyle w:val="BookText"/>
      </w:pPr>
      <w:r>
        <w:rPr>
          <w:rFonts w:ascii="IRNazanin" w:hAnsi="IRNazanin" w:eastAsia="IRNazanin" w:cs="IRNazanin"/>
          <w:lang w:bidi="fa-IR"/>
          <w:color w:val="111111"/>
          <w:sz w:val="28"/>
          <w:szCs w:val="28"/>
          <w:rtl/>
        </w:rPr>
        <w:t xml:space="preserve">۲۷. مشهد؛ رضوی؛ شماره نسخه: ۱۴۱۷۳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ابراهیم مهدی، تا: چهارشنبه ۱۸ ربیع الثانی ۱۹۶۳ق؛ واقف: سید محمد باقر سبزواری، محرم ۱۴۰۵؛ کاغذ: حنایی آهار مهره، جلد: تیماج قهوه ای، ۱۶۵ برگ، ، ۱۴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۱۹/۲ سم [ف: ۲۱/۱ -۱۸۹]</w:t>
      </w:r>
    </w:p>
    <w:p>
      <w:pPr>
        <w:pStyle w:val="BookText"/>
      </w:pPr>
      <w:r>
        <w:rPr>
          <w:rFonts w:ascii="IRNazanin" w:hAnsi="IRNazanin" w:eastAsia="IRNazanin" w:cs="IRNazanin"/>
          <w:lang w:bidi="fa-IR"/>
          <w:color w:val="111111"/>
          <w:sz w:val="28"/>
          <w:szCs w:val="28"/>
          <w:rtl/>
        </w:rPr>
        <w:t xml:space="preserve">۲۸. قم؛ مرعشی؛ شماره نسخه: ۶۶۷۶/۱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على بن محمد بن يوسف بن سعید اوالی مقشاعی، تا: ۹۶۳ق؛ جلد: تیماج قهوای، ۱۳۵گ (۲پ-۱۳۶پ)، ۱۷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۱۷-۲۳۸]</w:t>
      </w:r>
    </w:p>
    <w:p>
      <w:pPr>
        <w:pStyle w:val="BookText"/>
      </w:pPr>
      <w:r>
        <w:rPr>
          <w:rFonts w:ascii="IRNazanin" w:hAnsi="IRNazanin" w:eastAsia="IRNazanin" w:cs="IRNazanin"/>
          <w:lang w:bidi="fa-IR"/>
          <w:color w:val="111111"/>
          <w:sz w:val="28"/>
          <w:szCs w:val="28"/>
          <w:rtl/>
        </w:rPr>
        <w:t xml:space="preserve">۲۹. مشهد؛ رضوی؛ شماره نسخه: ۲۶۱۳۴</w:t>
      </w:r>
    </w:p>
    <w:p>
      <w:pPr>
        <w:pStyle w:val="BookText"/>
      </w:pPr>
      <w:r>
        <w:rPr>
          <w:rFonts w:ascii="Amiri" w:hAnsi="Amiri" w:eastAsia="Amiri" w:cs="Amiri"/>
          <w:lang w:bidi="ar-SA"/>
          <w:color w:val="111111"/>
          <w:sz w:val="28"/>
          <w:szCs w:val="28"/>
          <w:rtl/>
        </w:rPr>
        <w:t xml:space="preserve">آغاز: برابر؛ انجام: الى هيهنا انتهى كلام المصنف روح الله روحه ... سنه ۹۶۷</w:t>
      </w:r>
    </w:p>
    <w:p>
      <w:pPr>
        <w:pStyle w:val="BookText"/>
      </w:pPr>
      <w:r>
        <w:rPr>
          <w:rFonts w:ascii="IRNazanin" w:hAnsi="IRNazanin" w:eastAsia="IRNazanin" w:cs="IRNazanin"/>
          <w:lang w:bidi="fa-IR"/>
          <w:color w:val="111111"/>
          <w:sz w:val="28"/>
          <w:szCs w:val="28"/>
          <w:rtl/>
        </w:rPr>
        <w:t xml:space="preserve">خط: نستعلیق ممتاز، كا: بهلول بن تاج الدین، تا: ۹۶۷ق؛ تملک: مسیح بن احمد رضوی؛ کاغذ: حنایی آهاری، جلد: تیماج، ۱۵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قطع: رقعی،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[رایانه]</w:t>
      </w:r>
    </w:p>
    <w:p>
      <w:pPr>
        <w:pStyle w:val="BookText"/>
      </w:pPr>
      <w:r>
        <w:rPr>
          <w:rFonts w:ascii="IRNazanin" w:hAnsi="IRNazanin" w:eastAsia="IRNazanin" w:cs="IRNazanin"/>
          <w:lang w:bidi="fa-IR"/>
          <w:color w:val="111111"/>
          <w:sz w:val="28"/>
          <w:szCs w:val="28"/>
          <w:rtl/>
        </w:rPr>
        <w:t xml:space="preserve">۳۰. مشهد؛ رضوی؛ شماره نسخه: ۲۲۵۵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سید هاشم بن سلیمان بن علی حسینی بحرانی، تا: ۲ ذیقعده ۹۶۷ق؛ محشی؛ کاغذ: نخودی آهار مهره، جلد: میشن مشکی، ۱۸۸ گ، ۱۵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۲۱/۱-۱۹۳]</w:t>
      </w:r>
    </w:p>
    <w:p>
      <w:pPr>
        <w:pStyle w:val="BookText"/>
      </w:pPr>
      <w:r>
        <w:rPr>
          <w:rFonts w:ascii="IRNazanin" w:hAnsi="IRNazanin" w:eastAsia="IRNazanin" w:cs="IRNazanin"/>
          <w:lang w:bidi="fa-IR"/>
          <w:color w:val="111111"/>
          <w:sz w:val="28"/>
          <w:szCs w:val="28"/>
          <w:rtl/>
        </w:rPr>
        <w:t xml:space="preserve">۳۱. قم؛ مرعشی؛ شماره نسخه: ۸۴۳۱/۲</w:t>
      </w:r>
    </w:p>
    <w:p>
      <w:pPr>
        <w:pStyle w:val="BookText"/>
      </w:pPr>
      <w:r>
        <w:rPr>
          <w:rFonts w:ascii="IRNazanin" w:hAnsi="IRNazanin" w:eastAsia="IRNazanin" w:cs="IRNazanin"/>
          <w:lang w:bidi="fa-IR"/>
          <w:color w:val="111111"/>
          <w:sz w:val="28"/>
          <w:szCs w:val="28"/>
          <w:rtl/>
        </w:rPr>
        <w:t xml:space="preserve">خط: نستعلیق، كا: نورالدين محمد بن لطف الله مشهور به شاه ملا حافظ قاری، تا: ۱۷ شعبان ۹۶۸ق، جا: اصفهانی؛ جلد: مقوایی عطف تیماج قهوه ای، ۵۴گ (۸۲پ -۱۳۵ ر)، ۲۷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۲۲-۲۵]</w:t>
      </w:r>
    </w:p>
    <w:p>
      <w:pPr>
        <w:pStyle w:val="BookText"/>
      </w:pPr>
      <w:r>
        <w:rPr>
          <w:rFonts w:ascii="IRNazanin" w:hAnsi="IRNazanin" w:eastAsia="IRNazanin" w:cs="IRNazanin"/>
          <w:lang w:bidi="fa-IR"/>
          <w:color w:val="111111"/>
          <w:sz w:val="28"/>
          <w:szCs w:val="28"/>
          <w:rtl/>
        </w:rPr>
        <w:t xml:space="preserve">۳۲. تهران؛ ملک؛ شماره نسخه: ۱۳۲۴</w:t>
      </w:r>
    </w:p>
    <w:p>
      <w:pPr>
        <w:pStyle w:val="BookText"/>
      </w:pPr>
      <w:r>
        <w:rPr>
          <w:rFonts w:ascii="IRNazanin" w:hAnsi="IRNazanin" w:eastAsia="IRNazanin" w:cs="IRNazanin"/>
          <w:lang w:bidi="fa-IR"/>
          <w:color w:val="111111"/>
          <w:sz w:val="28"/>
          <w:szCs w:val="28"/>
          <w:rtl/>
        </w:rPr>
        <w:t xml:space="preserve">خط: نسخ، كا: خضر بن هاشم بن محمد بن منصور بن احمد بن باقر بن حاتم بن شهاب سعدی معروف به مشورب، تا: ۱۵ رمضان ۹۶۹ق؛ کاغذ: فستقی، جلد: میشن قهوه ای، ۷۳گ، ۳۱ سطر، اندازه: ۳۰/۳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سم [ف: ۱-۷۵]</w:t>
      </w:r>
    </w:p>
    <w:p>
      <w:pPr>
        <w:pStyle w:val="BookText"/>
      </w:pPr>
      <w:r>
        <w:rPr>
          <w:rFonts w:ascii="IRNazanin" w:hAnsi="IRNazanin" w:eastAsia="IRNazanin" w:cs="IRNazanin"/>
          <w:lang w:bidi="fa-IR"/>
          <w:color w:val="111111"/>
          <w:sz w:val="28"/>
          <w:szCs w:val="28"/>
          <w:rtl/>
        </w:rPr>
        <w:t xml:space="preserve">۳۳. قم؛ مرعشی؛ شماره نسخه: ۹۴۱۵/۱</w:t>
      </w:r>
    </w:p>
    <w:p>
      <w:pPr>
        <w:pStyle w:val="BookText"/>
      </w:pPr>
      <w:r>
        <w:rPr>
          <w:rFonts w:ascii="IRNazanin" w:hAnsi="IRNazanin" w:eastAsia="IRNazanin" w:cs="IRNazanin"/>
          <w:lang w:bidi="fa-IR"/>
          <w:color w:val="111111"/>
          <w:sz w:val="28"/>
          <w:szCs w:val="28"/>
          <w:rtl/>
        </w:rPr>
        <w:t xml:space="preserve">خط: نستعلیق، کا: محمود بن صدر الدين محمد سمنانی، تا: یک شنبه ۲۳ رجب ۹۷۳ ق، جا: مشهد مقدس؛ جلد: تیماج قهوه ای، ۵۵گ (۱پ-۵۵ر)،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 سم [ف: ۲۴-۱۸۷]</w:t>
      </w:r>
    </w:p>
    <w:p>
      <w:pPr>
        <w:pStyle w:val="BookText"/>
      </w:pPr>
      <w:r>
        <w:rPr>
          <w:rFonts w:ascii="IRNazanin" w:hAnsi="IRNazanin" w:eastAsia="IRNazanin" w:cs="IRNazanin"/>
          <w:lang w:bidi="fa-IR"/>
          <w:color w:val="111111"/>
          <w:sz w:val="28"/>
          <w:szCs w:val="28"/>
          <w:rtl/>
        </w:rPr>
        <w:t xml:space="preserve">۳۴. مشهد؛ رضوی؛ شماره نسخه: ۲۲۵۸</w:t>
      </w:r>
    </w:p>
    <w:p>
      <w:pPr>
        <w:pStyle w:val="BookText"/>
      </w:pPr>
      <w:r>
        <w:rPr>
          <w:rFonts w:ascii="IRNazanin" w:hAnsi="IRNazanin" w:eastAsia="IRNazanin" w:cs="IRNazanin"/>
          <w:lang w:bidi="fa-IR"/>
          <w:color w:val="111111"/>
          <w:sz w:val="28"/>
          <w:szCs w:val="28"/>
          <w:rtl/>
        </w:rPr>
        <w:t xml:space="preserve">آغاز و انجام: برابر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نسخ، كا: حسن بن حسین حسینی، تا: ۱۶ رمضان ۹۷۴ق؛ محشی؛ واقف: خواجه شیر احمد؛ کاغذ: نخودی آهار مهره، جلد: تیماج مشکی، ۱۹۹گی، ۱۵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۱۹۳-۲۱/۱]</w:t>
      </w:r>
    </w:p>
    <w:p>
      <w:pPr>
        <w:pStyle w:val="BookText"/>
      </w:pPr>
      <w:r>
        <w:rPr>
          <w:rFonts w:ascii="IRNazanin" w:hAnsi="IRNazanin" w:eastAsia="IRNazanin" w:cs="IRNazanin"/>
          <w:lang w:bidi="fa-IR"/>
          <w:color w:val="111111"/>
          <w:sz w:val="28"/>
          <w:szCs w:val="28"/>
          <w:rtl/>
        </w:rPr>
        <w:t xml:space="preserve">۳۵. تهران؛ سپهسالار؛ شماره نسخه: ۶۰۵۱</w:t>
      </w:r>
    </w:p>
    <w:p>
      <w:pPr>
        <w:pStyle w:val="BookText"/>
      </w:pPr>
      <w:r>
        <w:rPr>
          <w:rFonts w:ascii="IRNazanin" w:hAnsi="IRNazanin" w:eastAsia="IRNazanin" w:cs="IRNazanin"/>
          <w:lang w:bidi="fa-IR"/>
          <w:color w:val="111111"/>
          <w:sz w:val="28"/>
          <w:szCs w:val="28"/>
          <w:rtl/>
        </w:rPr>
        <w:t xml:space="preserve">خط: نسخ، كا: حسین بن مراد علی بن یادگار رازی، تا: چهارشنبه ۲۳ ربيع الاول ۹۷۴ق؛ افتادگی: آغاز؛ محشی با نشان «ذکری» و عد»؛ کاغذ: سپاهانی نخودی، جلد: تیماج سبز مقوایی، ۱۶۸گ، ۱۶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۳-۲۶۸]</w:t>
      </w:r>
    </w:p>
    <w:p>
      <w:pPr>
        <w:pStyle w:val="BookText"/>
      </w:pPr>
      <w:r>
        <w:rPr>
          <w:rFonts w:ascii="IRNazanin" w:hAnsi="IRNazanin" w:eastAsia="IRNazanin" w:cs="IRNazanin"/>
          <w:lang w:bidi="fa-IR"/>
          <w:color w:val="111111"/>
          <w:sz w:val="28"/>
          <w:szCs w:val="28"/>
          <w:rtl/>
        </w:rPr>
        <w:t xml:space="preserve">۳۶. قم: مرکز احیاء؛ شماره نسخه: ۲۷۷۳</w:t>
      </w:r>
    </w:p>
    <w:p>
      <w:pPr>
        <w:pStyle w:val="BookText"/>
      </w:pPr>
      <w:r>
        <w:rPr>
          <w:rFonts w:ascii="IRNazanin" w:hAnsi="IRNazanin" w:eastAsia="IRNazanin" w:cs="IRNazanin"/>
          <w:lang w:bidi="fa-IR"/>
          <w:color w:val="111111"/>
          <w:sz w:val="28"/>
          <w:szCs w:val="28"/>
          <w:rtl/>
        </w:rPr>
        <w:t xml:space="preserve">خط: نستعلیق، کا: ابراهيم بن عبد الحسين حصری، تا: سه شنبه از ربيع الثانی ۹۷۶ق؛ مصحح؛ تملك: «حسن بن ... حاج على کاظمی» به سال ۱۲۲۳، «حسن بن سید محسن»، «حسین بن حسن عاملی»؛ مهر: «یا رفيع الدرجات» (مربع)؛ جلد: تیماج قهوه ای ضربی بدون مقوا عطف تیماج مشکی، ۱۲۱ گ، مختلف السطر ،</w:t>
      </w:r>
    </w:p>
    <w:p>
      <w:pPr>
        <w:pStyle w:val="BookText"/>
      </w:pPr>
      <w:r>
        <w:rPr>
          <w:rFonts w:ascii="IRNazanin" w:hAnsi="IRNazanin" w:eastAsia="IRNazanin" w:cs="IRNazanin"/>
          <w:lang w:bidi="fa-IR"/>
          <w:color w:val="111111"/>
          <w:sz w:val="28"/>
          <w:szCs w:val="28"/>
          <w:rtl/>
        </w:rPr>
        <w:t xml:space="preserve">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[محدث ارموی مخ:-۲۶۳]</w:t>
      </w:r>
    </w:p>
    <w:p>
      <w:pPr>
        <w:pStyle w:val="BookText"/>
      </w:pPr>
      <w:r>
        <w:rPr>
          <w:rFonts w:ascii="IRNazanin" w:hAnsi="IRNazanin" w:eastAsia="IRNazanin" w:cs="IRNazanin"/>
          <w:lang w:bidi="fa-IR"/>
          <w:color w:val="111111"/>
          <w:sz w:val="28"/>
          <w:szCs w:val="28"/>
          <w:rtl/>
        </w:rPr>
        <w:t xml:space="preserve">۳۷. مشهد؛ رضوی؛ شماره نسخه: ۲۹۷۴۴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عبدالله بن حسن بن علی بن محفوظ حسینی، تا: ۹۷۷ق؛ ضميمه نسخه ش ۱۷۱۵۸، انتقالی از دانشگاه علوم اسلامی رضوی در مهر ۱۳۶۸؛ کاغذ: نخودی آهار مهره، جلد: میشن قهوه ای ضربی با ترنج و سر ترنج و لچکی، ۲۱۵گ، ۲۷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۲۱/۱ -۱۹۵]</w:t>
      </w:r>
    </w:p>
    <w:p>
      <w:pPr>
        <w:pStyle w:val="BookText"/>
      </w:pPr>
      <w:r>
        <w:rPr>
          <w:rFonts w:ascii="IRNazanin" w:hAnsi="IRNazanin" w:eastAsia="IRNazanin" w:cs="IRNazanin"/>
          <w:lang w:bidi="fa-IR"/>
          <w:color w:val="111111"/>
          <w:sz w:val="28"/>
          <w:szCs w:val="28"/>
          <w:rtl/>
        </w:rPr>
        <w:t xml:space="preserve">۳۸. يزد؛ وزیری؛ شماره نسخه: ۹۴۹/۱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مراد بن ناصر بن حسین، تا: محرم ۹۷۷ق؛ اهدایی: شیخ احمد شریعت عقدایی؛ کاغذ: اصفهانی، جلد: مقوایی عطف و دوره تیماج تریاکی، ۱۳۸، ۱۷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۲-۷۷۹]</w:t>
      </w:r>
    </w:p>
    <w:p>
      <w:pPr>
        <w:pStyle w:val="BookText"/>
      </w:pPr>
      <w:r>
        <w:rPr>
          <w:rFonts w:ascii="IRNazanin" w:hAnsi="IRNazanin" w:eastAsia="IRNazanin" w:cs="IRNazanin"/>
          <w:lang w:bidi="fa-IR"/>
          <w:color w:val="111111"/>
          <w:sz w:val="28"/>
          <w:szCs w:val="28"/>
          <w:rtl/>
        </w:rPr>
        <w:t xml:space="preserve">۳۹. مشهد؛ رضوی؛ شماره نسخه: ۱۴۴۱۳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كان شاه علی حسینی، تا: چهارشنبه آخر ذیقعده ۹۷۸ق؛ مذيل است به «الخلل في الصلاة» ظاهرا از محقق کرکی، محشي با رمز «علم»، مصحح؛ واقف: سید محمد باقر سبزواری، محرم ۱۴۰۵؛ کاغذ: نخودی، جلد: قهوه ای روشن، ۱۲۷گ، ۲۰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۲۱/۱ -۱۹۱]</w:t>
      </w:r>
    </w:p>
    <w:p>
      <w:pPr>
        <w:pStyle w:val="BookText"/>
      </w:pPr>
      <w:r>
        <w:rPr>
          <w:rFonts w:ascii="IRNazanin" w:hAnsi="IRNazanin" w:eastAsia="IRNazanin" w:cs="IRNazanin"/>
          <w:lang w:bidi="fa-IR"/>
          <w:color w:val="111111"/>
          <w:sz w:val="28"/>
          <w:szCs w:val="28"/>
          <w:rtl/>
        </w:rPr>
        <w:t xml:space="preserve">۴۰. تهران؛ مجلس؛ شماره نسخه: ۷۷۱۳</w:t>
      </w:r>
    </w:p>
    <w:p>
      <w:pPr>
        <w:pStyle w:val="BookText"/>
      </w:pPr>
      <w:r>
        <w:rPr>
          <w:rFonts w:ascii="IRNazanin" w:hAnsi="IRNazanin" w:eastAsia="IRNazanin" w:cs="IRNazanin"/>
          <w:lang w:bidi="fa-IR"/>
          <w:color w:val="111111"/>
          <w:sz w:val="28"/>
          <w:szCs w:val="28"/>
          <w:rtl/>
        </w:rPr>
        <w:t xml:space="preserve">آغاز و انجام: برابر از اول تا کتاب الصوم الفصل الثاني في الامساک»؛ خط: نسخ،</w:t>
      </w:r>
    </w:p>
    <w:p>
      <w:pPr>
        <w:pStyle w:val="BookText"/>
      </w:pPr>
      <w:r>
        <w:rPr>
          <w:rFonts w:ascii="IRNazanin" w:hAnsi="IRNazanin" w:eastAsia="IRNazanin" w:cs="IRNazanin"/>
          <w:lang w:bidi="fa-IR"/>
          <w:color w:val="111111"/>
          <w:sz w:val="28"/>
          <w:szCs w:val="28"/>
          <w:rtl/>
        </w:rPr>
        <w:t xml:space="preserve">کا: زین العابدين بن امیر، تا: پنج شنبه ۲۳ ذیقعده ۹۸۰ق؛ تملک: علی اصغر موسوی به تاریخ ۱۲۸۵ با مهر وی؛ مهر: «افوض امری الى الله الغني رفیع الدین محمد موسوی حسینی ۱۳۰۰» (کروی)؛ جلد: تیماج دو رو قرمز ضربی با ترنج با سر با نقش گل و بوته، مجدول لولادار، ۱۱۸گ، ۱۷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۲۶-۲۰۳]</w:t>
      </w:r>
    </w:p>
    <w:p>
      <w:pPr>
        <w:pStyle w:val="BookText"/>
      </w:pPr>
      <w:r>
        <w:rPr>
          <w:rFonts w:ascii="IRNazanin" w:hAnsi="IRNazanin" w:eastAsia="IRNazanin" w:cs="IRNazanin"/>
          <w:lang w:bidi="fa-IR"/>
          <w:color w:val="111111"/>
          <w:sz w:val="28"/>
          <w:szCs w:val="28"/>
          <w:rtl/>
        </w:rPr>
        <w:t xml:space="preserve">۴۱. تهران؛ عبدالعظیم؛ شماره نسخه: ۷۱۵/۲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عبدالله بن علی بن حسین بن خزعل حسینی بحرانی نجفی، تا: جمعه ۹ جمادی الثانی ۹۸۸ق؛ افتادگی: آغاز و انجام؛ مصحح، محشی؛ ۱۰۰گ، ۱۹ سطر، اندازه: ۱۸/۵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۲۵/۵سم [ف: ۷۹-۱ ]</w:t>
      </w:r>
    </w:p>
    <w:p>
      <w:pPr>
        <w:pStyle w:val="BookText"/>
      </w:pPr>
      <w:r>
        <w:rPr>
          <w:rFonts w:ascii="IRNazanin" w:hAnsi="IRNazanin" w:eastAsia="IRNazanin" w:cs="IRNazanin"/>
          <w:lang w:bidi="fa-IR"/>
          <w:color w:val="111111"/>
          <w:sz w:val="28"/>
          <w:szCs w:val="28"/>
          <w:rtl/>
        </w:rPr>
        <w:t xml:space="preserve">۴۲. مشهد؛ رضوی؛ شماره نسخه: ۲۲۵۷</w:t>
      </w:r>
    </w:p>
    <w:p>
      <w:pPr>
        <w:pStyle w:val="BookText"/>
      </w:pPr>
      <w:r>
        <w:rPr>
          <w:rFonts w:ascii="IRNazanin" w:hAnsi="IRNazanin" w:eastAsia="IRNazanin" w:cs="IRNazanin"/>
          <w:lang w:bidi="fa-IR"/>
          <w:color w:val="111111"/>
          <w:sz w:val="28"/>
          <w:szCs w:val="28"/>
          <w:rtl/>
        </w:rPr>
        <w:t xml:space="preserve">آغاز: برابر؛ انجام: و منع ابن ادريس من المساواة و لو تقدم المأموم بطلت ایتمامه</w:t>
      </w:r>
    </w:p>
    <w:p>
      <w:pPr>
        <w:pStyle w:val="BookText"/>
      </w:pPr>
      <w:r>
        <w:rPr>
          <w:rFonts w:ascii="IRNazanin" w:hAnsi="IRNazanin" w:eastAsia="IRNazanin" w:cs="IRNazanin"/>
          <w:lang w:bidi="fa-IR"/>
          <w:color w:val="111111"/>
          <w:sz w:val="28"/>
          <w:szCs w:val="28"/>
          <w:rtl/>
        </w:rPr>
        <w:t xml:space="preserve">خط: نسخ، بی کا، تا: اوایل قرن ۱۱؛ افتادگی: انجام؛ محشی؛ واقف: امیر جبرئیل، ۱۰۳۷؛ کاغذ: نخودی آهار مهره، جلد: تیماج قهوه ای سوخت، ۱۱۹گ، ۱۵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۲۱/۱ -۱۹۶]</w:t>
      </w:r>
    </w:p>
    <w:p>
      <w:pPr>
        <w:pStyle w:val="BookText"/>
      </w:pPr>
      <w:r>
        <w:rPr>
          <w:rFonts w:ascii="IRNazanin" w:hAnsi="IRNazanin" w:eastAsia="IRNazanin" w:cs="IRNazanin"/>
          <w:lang w:bidi="fa-IR"/>
          <w:color w:val="111111"/>
          <w:sz w:val="28"/>
          <w:szCs w:val="28"/>
          <w:rtl/>
        </w:rPr>
        <w:t xml:space="preserve">۴۳. مشهد؛ رضوی؛ شماره نسخه: ۱۵۱۹۲</w:t>
      </w:r>
    </w:p>
    <w:p>
      <w:pPr>
        <w:pStyle w:val="BookText"/>
      </w:pPr>
      <w:r>
        <w:rPr>
          <w:rFonts w:ascii="IRNazanin" w:hAnsi="IRNazanin" w:eastAsia="IRNazanin" w:cs="IRNazanin"/>
          <w:lang w:bidi="fa-IR"/>
          <w:color w:val="111111"/>
          <w:sz w:val="28"/>
          <w:szCs w:val="28"/>
          <w:rtl/>
        </w:rPr>
        <w:t xml:space="preserve">آغاز: برابر؛ انجام: لرواية زرارة عن الباقر عليه السلام و يحمل علی</w:t>
      </w:r>
    </w:p>
    <w:p>
      <w:pPr>
        <w:pStyle w:val="BookText"/>
      </w:pPr>
      <w:r>
        <w:rPr>
          <w:rFonts w:ascii="IRNazanin" w:hAnsi="IRNazanin" w:eastAsia="IRNazanin" w:cs="IRNazanin"/>
          <w:lang w:bidi="fa-IR"/>
          <w:color w:val="111111"/>
          <w:sz w:val="28"/>
          <w:szCs w:val="28"/>
          <w:rtl/>
        </w:rPr>
        <w:t xml:space="preserve">خط: نسخ، بی کا، تا: قرن ۱۱؛ افتادگی: انجام؛ محشی با رمز «ح ع مدظله العالی»؛ واقف: حسین کی استوان، آبان ۱۳۶۹ کاغذ: نخودی، جلد: مقوا با روکش گالینگور، ۶۱گ، ۲۱ سطر، اندازه: ۱۳/۱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۲۱/۱-۱۹۴]</w:t>
      </w:r>
    </w:p>
    <w:p>
      <w:pPr>
        <w:pStyle w:val="BookText"/>
      </w:pPr>
      <w:r>
        <w:rPr>
          <w:rFonts w:ascii="IRNazanin" w:hAnsi="IRNazanin" w:eastAsia="IRNazanin" w:cs="IRNazanin"/>
          <w:lang w:bidi="fa-IR"/>
          <w:color w:val="111111"/>
          <w:sz w:val="28"/>
          <w:szCs w:val="28"/>
          <w:rtl/>
        </w:rPr>
        <w:t xml:space="preserve">۴۴. مشهد؛ رضوی؛ شماره نسخه: ۱۵۷۸۰</w:t>
      </w:r>
    </w:p>
    <w:p>
      <w:pPr>
        <w:pStyle w:val="BookText"/>
      </w:pPr>
      <w:r>
        <w:rPr>
          <w:rFonts w:ascii="IRNazanin" w:hAnsi="IRNazanin" w:eastAsia="IRNazanin" w:cs="IRNazanin"/>
          <w:lang w:bidi="fa-IR"/>
          <w:color w:val="111111"/>
          <w:sz w:val="28"/>
          <w:szCs w:val="28"/>
          <w:rtl/>
        </w:rPr>
        <w:t xml:space="preserve">خط: نسخ، بی کا، تا: قرن ۱۱؛ افتادگی: آغاز و انجام؛ محشی اغلب با رمز «خل»؛ واقف: استاد محمود شهابی، آبان ۱۳۶۶؛ کاغذ: نخودی آهار مهره، جلد: تیماج روشن، ۱۶۲گ، ۱۲ سطر، اندازه: ۲۱/۲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سم [ف: ۲۱/۱ -۱۹۵]</w:t>
      </w:r>
    </w:p>
    <w:p>
      <w:pPr>
        <w:pStyle w:val="BookText"/>
      </w:pPr>
      <w:r>
        <w:rPr>
          <w:rFonts w:ascii="IRNazanin" w:hAnsi="IRNazanin" w:eastAsia="IRNazanin" w:cs="IRNazanin"/>
          <w:lang w:bidi="fa-IR"/>
          <w:color w:val="111111"/>
          <w:sz w:val="28"/>
          <w:szCs w:val="28"/>
          <w:rtl/>
        </w:rPr>
        <w:t xml:space="preserve">۴۵. قم؛ مرعشی؛ شماره نسخه: ۱۰۹۲۵</w:t>
      </w:r>
    </w:p>
    <w:p>
      <w:pPr>
        <w:pStyle w:val="BookText"/>
      </w:pPr>
      <w:r>
        <w:rPr>
          <w:rFonts w:ascii="IRNazanin" w:hAnsi="IRNazanin" w:eastAsia="IRNazanin" w:cs="IRNazanin"/>
          <w:lang w:bidi="fa-IR"/>
          <w:color w:val="111111"/>
          <w:sz w:val="28"/>
          <w:szCs w:val="28"/>
          <w:rtl/>
        </w:rPr>
        <w:t xml:space="preserve">انجام: و لو تعینا وجوب السورة جاز أن يقرا ماعدا السجدة و لو جهر ... خط: نستعلیق، بی کا، تا: قرن ۱۱؛ افتادگی: انجام؛ مصحح، با نشان بلاغ، وقف نامه کتاب به خط ملا محمد تقی مجلسی اصفهانی؛ جلد: تیماج مشکی بدون مقوا، ۸۲گ، ۱۹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۲۷-۳۳۶]</w:t>
      </w:r>
    </w:p>
    <w:p>
      <w:pPr>
        <w:pStyle w:val="BookText"/>
      </w:pPr>
      <w:r>
        <w:rPr>
          <w:rFonts w:ascii="IRNazanin" w:hAnsi="IRNazanin" w:eastAsia="IRNazanin" w:cs="IRNazanin"/>
          <w:lang w:bidi="fa-IR"/>
          <w:color w:val="111111"/>
          <w:sz w:val="28"/>
          <w:szCs w:val="28"/>
          <w:rtl/>
        </w:rPr>
        <w:t xml:space="preserve">۴۶. قم؛ مرعشی؛ شماره نسخه: ۱۰۶۴۷</w:t>
      </w:r>
    </w:p>
    <w:p>
      <w:pPr>
        <w:pStyle w:val="BookText"/>
      </w:pPr>
      <w:r>
        <w:rPr>
          <w:rFonts w:ascii="IRNazanin" w:hAnsi="IRNazanin" w:eastAsia="IRNazanin" w:cs="IRNazanin"/>
          <w:lang w:bidi="fa-IR"/>
          <w:color w:val="111111"/>
          <w:sz w:val="28"/>
          <w:szCs w:val="28"/>
          <w:rtl/>
        </w:rPr>
        <w:t xml:space="preserve">خط: نستعلیق، بی کا، تا: قرن ۱۱؛ مصحح، محشی؛ تملک: محمد جعفر بن محمد باقر بن علی اکبر حسینی استر آبادی؛ جلد: تیماج قرمز بدون مقوا، ۱۳۰گ، ۱۵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۲۷-۱۰۴]</w:t>
      </w:r>
    </w:p>
    <w:p>
      <w:pPr>
        <w:pStyle w:val="BookText"/>
      </w:pPr>
      <w:r>
        <w:rPr>
          <w:rFonts w:ascii="IRNazanin" w:hAnsi="IRNazanin" w:eastAsia="IRNazanin" w:cs="IRNazanin"/>
          <w:lang w:bidi="fa-IR"/>
          <w:color w:val="111111"/>
          <w:sz w:val="28"/>
          <w:szCs w:val="28"/>
          <w:rtl/>
        </w:rPr>
        <w:t xml:space="preserve">۴۷. قم؛ گلپایگانی شماره نسخه: ۶۸۱- ۴/۱۵۱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شامل کتاب های طهارت، صلاة، زکوة، خمس و مقداری از صوم؛ خط: نسخ، بی کا، تا: قرن ۱۱؛ مصحح، جلد: تیماج قهوه ای، ۱۶۶گ، ۱۵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[ف: ۲-۶۵۲]</w:t>
      </w:r>
    </w:p>
    <w:p>
      <w:pPr>
        <w:pStyle w:val="BookText"/>
      </w:pPr>
      <w:r>
        <w:rPr>
          <w:rFonts w:ascii="IRNazanin" w:hAnsi="IRNazanin" w:eastAsia="IRNazanin" w:cs="IRNazanin"/>
          <w:lang w:bidi="fa-IR"/>
          <w:color w:val="111111"/>
          <w:sz w:val="28"/>
          <w:szCs w:val="28"/>
          <w:rtl/>
        </w:rPr>
        <w:t xml:space="preserve">۴۸. اصفهان؛ مدرسه صدر بازار؛ شماره نسخه: ۷۷۶/۲</w:t>
      </w:r>
    </w:p>
    <w:p>
      <w:pPr>
        <w:pStyle w:val="BookText"/>
      </w:pPr>
      <w:r>
        <w:rPr>
          <w:rFonts w:ascii="Amiri" w:hAnsi="Amiri" w:eastAsia="Amiri" w:cs="Amiri"/>
          <w:lang w:bidi="ar-SA"/>
          <w:color w:val="111111"/>
          <w:sz w:val="28"/>
          <w:szCs w:val="28"/>
          <w:rtl/>
        </w:rPr>
        <w:t xml:space="preserve">آغاز: الطهارة و هي تطلق على النزاهة من الادناس و على رفع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الخبث و على كل واحد من الوضوء و الغسل و التيمم؛ انجام: و لو فعله الانسان لم يأثم به غير انه ليس من فضيلة الاذان خط: نسخ، بی کا، تا: قرن ۱۱؛ افتادگی: آغاز و انجام؛ مصحح؛ ۸۰گ (۱۸ر-۹۷پ)،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۳-۵۸۰]</w:t>
      </w:r>
    </w:p>
    <w:p>
      <w:pPr>
        <w:pStyle w:val="BookText"/>
      </w:pPr>
      <w:r>
        <w:rPr>
          <w:rFonts w:ascii="IRNazanin" w:hAnsi="IRNazanin" w:eastAsia="IRNazanin" w:cs="IRNazanin"/>
          <w:lang w:bidi="fa-IR"/>
          <w:color w:val="111111"/>
          <w:sz w:val="28"/>
          <w:szCs w:val="28"/>
          <w:rtl/>
        </w:rPr>
        <w:t xml:space="preserve">۴۹. مشهد؛ گوهرشاد؛ شماره نسخه: ۱۰۱۱</w:t>
      </w:r>
    </w:p>
    <w:p>
      <w:pPr>
        <w:pStyle w:val="BookText"/>
      </w:pPr>
      <w:r>
        <w:rPr>
          <w:rFonts w:ascii="Amiri" w:hAnsi="Amiri" w:eastAsia="Amiri" w:cs="Amiri"/>
          <w:lang w:bidi="ar-SA"/>
          <w:color w:val="111111"/>
          <w:sz w:val="28"/>
          <w:szCs w:val="28"/>
          <w:rtl/>
        </w:rPr>
        <w:t xml:space="preserve">آغاز: برابر؛ انجام: و من حصول شرط الصحة و زوال المانع بالغسل. قال الشيخ في المبسوط النية.</w:t>
      </w:r>
    </w:p>
    <w:p>
      <w:pPr>
        <w:pStyle w:val="BookText"/>
      </w:pPr>
      <w:r>
        <w:rPr>
          <w:rFonts w:ascii="IRNazanin" w:hAnsi="IRNazanin" w:eastAsia="IRNazanin" w:cs="IRNazanin"/>
          <w:lang w:bidi="fa-IR"/>
          <w:color w:val="111111"/>
          <w:sz w:val="28"/>
          <w:szCs w:val="28"/>
          <w:rtl/>
        </w:rPr>
        <w:t xml:space="preserve">خط: نسخ، بی کا، تا: قرن ۱۱؛ افتادگی: انجام؛ تملك: محمد شفیع موسوی با مهر او «الواثق بالله القوى محمد شفيع الموسوی» (چهار گوشه)؛ مهر: حاج سید سعید کاغذ: دولت آبادی، جلد: تیماج قهوه ای ضربی دار لولایی، ۱۴ سطر (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[ف: ۳-۱۳۸۱]</w:t>
      </w:r>
    </w:p>
    <w:p>
      <w:pPr>
        <w:pStyle w:val="BookText"/>
      </w:pPr>
      <w:r>
        <w:rPr>
          <w:rFonts w:ascii="IRNazanin" w:hAnsi="IRNazanin" w:eastAsia="IRNazanin" w:cs="IRNazanin"/>
          <w:lang w:bidi="fa-IR"/>
          <w:color w:val="111111"/>
          <w:sz w:val="28"/>
          <w:szCs w:val="28"/>
          <w:rtl/>
        </w:rPr>
        <w:t xml:space="preserve">۵۰. تهران، دانشگاه؛ شماره نسخه: ۴۴۴۷</w:t>
      </w:r>
    </w:p>
    <w:p>
      <w:pPr>
        <w:pStyle w:val="BookText"/>
      </w:pPr>
      <w:r>
        <w:rPr>
          <w:rFonts w:ascii="IRNazanin" w:hAnsi="IRNazanin" w:eastAsia="IRNazanin" w:cs="IRNazanin"/>
          <w:lang w:bidi="fa-IR"/>
          <w:color w:val="111111"/>
          <w:sz w:val="28"/>
          <w:szCs w:val="28"/>
          <w:rtl/>
        </w:rPr>
        <w:t xml:space="preserve">خط: نسخ، بی کا، تا: قرن ۱۱؛ نسخه را از ابوالقاسم موسوی در روز شنبه ۱۳ ربیع الاول ۱۲۷۷ خریده؛ کاغذ: سپاهانی، جلد: تیماج مشکی ضربی مقوایی، ۱۵۵گ، ۱۹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۱۳-۳۴۰۶]</w:t>
      </w:r>
    </w:p>
    <w:p>
      <w:pPr>
        <w:pStyle w:val="BookText"/>
      </w:pPr>
      <w:r>
        <w:rPr>
          <w:rFonts w:ascii="IRNazanin" w:hAnsi="IRNazanin" w:eastAsia="IRNazanin" w:cs="IRNazanin"/>
          <w:lang w:bidi="fa-IR"/>
          <w:color w:val="111111"/>
          <w:sz w:val="28"/>
          <w:szCs w:val="28"/>
          <w:rtl/>
        </w:rPr>
        <w:t xml:space="preserve">۵۱. شیراز؛ علامه طباطبائی؛ شماره نسخه: ۱۲۱۹</w:t>
      </w:r>
    </w:p>
    <w:p>
      <w:pPr>
        <w:pStyle w:val="BookText"/>
      </w:pPr>
      <w:r>
        <w:rPr>
          <w:rFonts w:ascii="IRNazanin" w:hAnsi="IRNazanin" w:eastAsia="IRNazanin" w:cs="IRNazanin"/>
          <w:lang w:bidi="fa-IR"/>
          <w:color w:val="111111"/>
          <w:sz w:val="28"/>
          <w:szCs w:val="28"/>
          <w:rtl/>
        </w:rPr>
        <w:t xml:space="preserve">خط: نسخ، بی کا، تا: قرن ۱۱؛ از روی نسخه سال ۷۸۴ که به خط اسماعيل بن حسن بن على بن راشد بن محمد هجری بوده کتابت شده، مصحح؛ تملك: عبدالواسع بن میرزا عبدالکریم حسینی؛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[نسخه پژوهی: ۲-۱۲۰]</w:t>
      </w:r>
    </w:p>
    <w:p>
      <w:pPr>
        <w:pStyle w:val="BookText"/>
      </w:pPr>
      <w:r>
        <w:rPr>
          <w:rFonts w:ascii="IRNazanin" w:hAnsi="IRNazanin" w:eastAsia="IRNazanin" w:cs="IRNazanin"/>
          <w:lang w:bidi="fa-IR"/>
          <w:color w:val="111111"/>
          <w:sz w:val="28"/>
          <w:szCs w:val="28"/>
          <w:rtl/>
        </w:rPr>
        <w:t xml:space="preserve">۵۲. مشهد؛ رضوی؛ شماره نسخه: ۲۰۷۴۷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على بن محمد بن حسین بن سلیمان، تا: ۱۶ شعبان ۱۰۰۳ق؛ مصحح، مقابله شده، دارای دو نوع بلاغ، محشی سید ماجد بحرانی با جمله دعایی «دام ظله»، احتمالا یکی از بلاغها متعلق به ایشان باشد؛ تملك: صالح بن عبدالكریم بحرانی مورخ ۱۰۳۹؛ اهدایی: رهبری، خرداد ۱۳۷۳؛ کاغذ: نخودی آهار مهره، جلد: مقوا، عطف و گوشه تیماج قرمز، ۲۰۲گ، ۲۱ سطر، اندازه: ۱5</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سم [اهدائی رهبر: ۳-۱۱۴]</w:t>
      </w:r>
    </w:p>
    <w:p>
      <w:pPr>
        <w:pStyle w:val="BookText"/>
      </w:pPr>
      <w:r>
        <w:rPr>
          <w:rFonts w:ascii="IRNazanin" w:hAnsi="IRNazanin" w:eastAsia="IRNazanin" w:cs="IRNazanin"/>
          <w:lang w:bidi="fa-IR"/>
          <w:color w:val="111111"/>
          <w:sz w:val="28"/>
          <w:szCs w:val="28"/>
          <w:rtl/>
        </w:rPr>
        <w:t xml:space="preserve">۵۳. قم؛ فیضیه؛ شماره نسخه: ۱۹۶۸/۲</w:t>
      </w:r>
    </w:p>
    <w:p>
      <w:pPr>
        <w:pStyle w:val="BookText"/>
      </w:pPr>
      <w:r>
        <w:rPr>
          <w:rFonts w:ascii="IRNazanin" w:hAnsi="IRNazanin" w:eastAsia="IRNazanin" w:cs="IRNazanin"/>
          <w:lang w:bidi="fa-IR"/>
          <w:color w:val="111111"/>
          <w:sz w:val="28"/>
          <w:szCs w:val="28"/>
          <w:rtl/>
        </w:rPr>
        <w:t xml:space="preserve">خط: نسخ، کا: محمد رضا بن حسین، تا: چهارشنبه ۵ شعبان ۱۰۲۳ق؛ ۱۶۶گ (۲۰-۱۸۵)، ۱۹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۳-۱۵۷]</w:t>
      </w:r>
    </w:p>
    <w:p>
      <w:pPr>
        <w:pStyle w:val="BookText"/>
      </w:pPr>
      <w:r>
        <w:rPr>
          <w:rFonts w:ascii="IRNazanin" w:hAnsi="IRNazanin" w:eastAsia="IRNazanin" w:cs="IRNazanin"/>
          <w:lang w:bidi="fa-IR"/>
          <w:color w:val="111111"/>
          <w:sz w:val="28"/>
          <w:szCs w:val="28"/>
          <w:rtl/>
        </w:rPr>
        <w:t xml:space="preserve">۵۴. زنجان؛ امام جمعه؛ شماره نسخه: بدون شماره</w:t>
      </w:r>
    </w:p>
    <w:p>
      <w:pPr>
        <w:pStyle w:val="BookText"/>
      </w:pPr>
      <w:r>
        <w:rPr>
          <w:rFonts w:ascii="IRNazanin" w:hAnsi="IRNazanin" w:eastAsia="IRNazanin" w:cs="IRNazanin"/>
          <w:lang w:bidi="fa-IR"/>
          <w:color w:val="111111"/>
          <w:sz w:val="28"/>
          <w:szCs w:val="28"/>
          <w:rtl/>
        </w:rPr>
        <w:t xml:space="preserve">كان عبد الله بن صفی الدین محمد بن عبد الله نوری، تا: ۱۰۲۳ق دليل المخطوطات: ۱-۹۶]</w:t>
      </w:r>
    </w:p>
    <w:p>
      <w:pPr>
        <w:pStyle w:val="BookText"/>
      </w:pPr>
      <w:r>
        <w:rPr>
          <w:rFonts w:ascii="IRNazanin" w:hAnsi="IRNazanin" w:eastAsia="IRNazanin" w:cs="IRNazanin"/>
          <w:lang w:bidi="fa-IR"/>
          <w:color w:val="111111"/>
          <w:sz w:val="28"/>
          <w:szCs w:val="28"/>
          <w:rtl/>
        </w:rPr>
        <w:t xml:space="preserve">۵۵. قم؛ مرعشی؛ شماره نسخه: ۳۴۸۳/۳</w:t>
      </w:r>
    </w:p>
    <w:p>
      <w:pPr>
        <w:pStyle w:val="BookText"/>
      </w:pPr>
      <w:r>
        <w:rPr>
          <w:rFonts w:ascii="IRNazanin" w:hAnsi="IRNazanin" w:eastAsia="IRNazanin" w:cs="IRNazanin"/>
          <w:lang w:bidi="fa-IR"/>
          <w:color w:val="111111"/>
          <w:sz w:val="28"/>
          <w:szCs w:val="28"/>
          <w:rtl/>
        </w:rPr>
        <w:t xml:space="preserve">خط: نسخ، كا: عبد المهدي بن حسين بن عبدالحسین بن ابی سميط سمیطی بحرینی شیرازی، تا: ۱۹ جمادی الثانی ۱۰۳۵ق؛ جلد: تیماج قهوه ای، ۱۰۲گ (۱۴۳پ -۲۴۴ر)، اندازه: ۲۵/۵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سم [ف: ۹-۲۸۱]</w:t>
      </w:r>
    </w:p>
    <w:p>
      <w:pPr>
        <w:pStyle w:val="BookText"/>
      </w:pPr>
      <w:r>
        <w:rPr>
          <w:rFonts w:ascii="IRNazanin" w:hAnsi="IRNazanin" w:eastAsia="IRNazanin" w:cs="IRNazanin"/>
          <w:lang w:bidi="fa-IR"/>
          <w:color w:val="111111"/>
          <w:sz w:val="28"/>
          <w:szCs w:val="28"/>
          <w:rtl/>
        </w:rPr>
        <w:t xml:space="preserve">۵۶. مشهد؛ رضوی؛ شماره نسخه: ۱۱۷۰۱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عبدالمجيد بن مظفر بن حسن بن محمد بن مخزوم کوری، تا: چهارشنبه ۹ رجب ۱۰۳۷ق؛ دارای بلاغ، معلق به حواشی شیخ یوسف بحرانی؛ واقف: سید کاظم عصار، دی ۱۳۵۴؛ کاغذ: حنایی، جلد: تیماج عنابی، ۲۱۰ گ، ۱۳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۱۵/۲ سم [ف: ۲۱/۱ -۱۹۲]</w:t>
      </w:r>
    </w:p>
    <w:p>
      <w:pPr>
        <w:pStyle w:val="BookText"/>
      </w:pPr>
      <w:r>
        <w:rPr>
          <w:rFonts w:ascii="IRNazanin" w:hAnsi="IRNazanin" w:eastAsia="IRNazanin" w:cs="IRNazanin"/>
          <w:lang w:bidi="fa-IR"/>
          <w:color w:val="111111"/>
          <w:sz w:val="28"/>
          <w:szCs w:val="28"/>
          <w:rtl/>
        </w:rPr>
        <w:t xml:space="preserve">۵۷. تهران؛ ملی؛ شماره نسخه: ۹۸</w:t>
      </w:r>
    </w:p>
    <w:p>
      <w:pPr>
        <w:pStyle w:val="BookText"/>
      </w:pPr>
      <w:r>
        <w:rPr>
          <w:rFonts w:ascii="IRNazanin" w:hAnsi="IRNazanin" w:eastAsia="IRNazanin" w:cs="IRNazanin"/>
          <w:lang w:bidi="fa-IR"/>
          <w:color w:val="111111"/>
          <w:sz w:val="28"/>
          <w:szCs w:val="28"/>
          <w:rtl/>
        </w:rPr>
        <w:t xml:space="preserve">آغاز: برابر؛ انجام: محتدا يوم خامس عشرین شهر ذي القعده المبارک سنه و سبعین و ثمائماته. خط: نسخ، كا: محمد على بن مهر علی، تا: ۱۰۴۱ق، جا: قريه السين؛ کاغذ: اصفهانی، جلد: تیماج قرمز لولادار مقوایی، ۱۷۰گ، ۱۲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۷-۸۹]</w:t>
      </w:r>
    </w:p>
    <w:p>
      <w:pPr>
        <w:pStyle w:val="BookText"/>
      </w:pPr>
      <w:r>
        <w:rPr>
          <w:rFonts w:ascii="IRNazanin" w:hAnsi="IRNazanin" w:eastAsia="IRNazanin" w:cs="IRNazanin"/>
          <w:lang w:bidi="fa-IR"/>
          <w:color w:val="111111"/>
          <w:sz w:val="28"/>
          <w:szCs w:val="28"/>
          <w:rtl/>
        </w:rPr>
        <w:t xml:space="preserve">۵۸. قم؛ فیضیه؛ شماره نسخه: ۱۱۷۸</w:t>
      </w:r>
    </w:p>
    <w:p>
      <w:pPr>
        <w:pStyle w:val="BookText"/>
      </w:pPr>
      <w:r>
        <w:rPr>
          <w:rFonts w:ascii="IRNazanin" w:hAnsi="IRNazanin" w:eastAsia="IRNazanin" w:cs="IRNazanin"/>
          <w:lang w:bidi="fa-IR"/>
          <w:color w:val="111111"/>
          <w:sz w:val="28"/>
          <w:szCs w:val="28"/>
          <w:rtl/>
        </w:rPr>
        <w:t xml:space="preserve">خط: نسخ، كا: محمد قاسم، تا: ۱۰۴۵ق؛ تملک: پروانه بن الله قلی در ۲۱۰۳۹؛ ۱۹۷گ، ۱۲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 [ف: ۱-۳۵]</w:t>
      </w:r>
    </w:p>
    <w:p>
      <w:pPr>
        <w:pStyle w:val="BookText"/>
      </w:pPr>
      <w:r>
        <w:rPr>
          <w:rFonts w:ascii="IRNazanin" w:hAnsi="IRNazanin" w:eastAsia="IRNazanin" w:cs="IRNazanin"/>
          <w:lang w:bidi="fa-IR"/>
          <w:color w:val="111111"/>
          <w:sz w:val="28"/>
          <w:szCs w:val="28"/>
          <w:rtl/>
        </w:rPr>
        <w:t xml:space="preserve">۵۹. مشهد؛ گوهرشاد؛ شماره نسخه: ۲۲۳</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تا: یکشنبه ۱۷ جمادی الثانی ۱۰۴۹ق؛ محشی؛ کاغذ: شکری رنگ، جلد: تیماج قهوه ای، ۱۶۱گ، ۱۷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۱-۱۹۲]</w:t>
      </w:r>
    </w:p>
    <w:p>
      <w:pPr>
        <w:pStyle w:val="BookText"/>
      </w:pPr>
      <w:r>
        <w:rPr>
          <w:rFonts w:ascii="IRNazanin" w:hAnsi="IRNazanin" w:eastAsia="IRNazanin" w:cs="IRNazanin"/>
          <w:lang w:bidi="fa-IR"/>
          <w:color w:val="111111"/>
          <w:sz w:val="28"/>
          <w:szCs w:val="28"/>
          <w:rtl/>
        </w:rPr>
        <w:t xml:space="preserve">۶۰. اصفهان؛ عمومی اصفهان (فرهنگ سابق)؛ شماره نسخه: ۳۰۵۰</w:t>
      </w:r>
    </w:p>
    <w:p>
      <w:pPr>
        <w:pStyle w:val="BookText"/>
      </w:pPr>
      <w:r>
        <w:rPr>
          <w:rFonts w:ascii="IRNazanin" w:hAnsi="IRNazanin" w:eastAsia="IRNazanin" w:cs="IRNazanin"/>
          <w:lang w:bidi="fa-IR"/>
          <w:color w:val="111111"/>
          <w:sz w:val="28"/>
          <w:szCs w:val="28"/>
          <w:rtl/>
        </w:rPr>
        <w:t xml:space="preserve">خط: نسخ، كان محمد بن علی حسینی، تا: ۲۳ ذیقعده ۱۰۶۰ق؛ کاغذ: فرنگی ضخیم، جلد: تیماج سیاه، ۲۶۳، ۱۸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۱-۱۹۴]</w:t>
      </w:r>
    </w:p>
    <w:p>
      <w:pPr>
        <w:pStyle w:val="BookText"/>
      </w:pPr>
      <w:r>
        <w:rPr>
          <w:rFonts w:ascii="IRNazanin" w:hAnsi="IRNazanin" w:eastAsia="IRNazanin" w:cs="IRNazanin"/>
          <w:lang w:bidi="fa-IR"/>
          <w:color w:val="111111"/>
          <w:sz w:val="28"/>
          <w:szCs w:val="28"/>
          <w:rtl/>
        </w:rPr>
        <w:t xml:space="preserve">۶۱. اصفهان؛ مدرسه صدر بازار؛ شماره نسخه: ۸۵۹</w:t>
      </w:r>
    </w:p>
    <w:p>
      <w:pPr>
        <w:pStyle w:val="BookText"/>
      </w:pPr>
      <w:r>
        <w:rPr>
          <w:rFonts w:ascii="IRNazanin" w:hAnsi="IRNazanin" w:eastAsia="IRNazanin" w:cs="IRNazanin"/>
          <w:lang w:bidi="fa-IR"/>
          <w:color w:val="111111"/>
          <w:sz w:val="28"/>
          <w:szCs w:val="28"/>
          <w:rtl/>
        </w:rPr>
        <w:t xml:space="preserve">آغاز: و ترک الكسوفين عمدا مع الاستيعاب و المولود حين ولادته و الاستقساء از آغاز کتاب تا بحث معادن الخمس؛ خط: نسخ، بی کا، تا: یک شنبه از رجب ۱۰۷۰ق؛ افتادگی: آغاز؛ مصحح، تملک: شیخ قاسم بن صالح به سال ۱۰۹۱؛ جلد: مقوایی، عطف تیماج قرمز، ۱۲۶گ، مختلف السطر،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۳-۶۴۵]</w:t>
      </w:r>
    </w:p>
    <w:p>
      <w:pPr>
        <w:pStyle w:val="BookText"/>
      </w:pPr>
      <w:r>
        <w:rPr>
          <w:rFonts w:ascii="IRNazanin" w:hAnsi="IRNazanin" w:eastAsia="IRNazanin" w:cs="IRNazanin"/>
          <w:lang w:bidi="fa-IR"/>
          <w:color w:val="111111"/>
          <w:sz w:val="28"/>
          <w:szCs w:val="28"/>
          <w:rtl/>
        </w:rPr>
        <w:t xml:space="preserve">۶۲. تهران: مجلس؛ شماره نسخه: ۳۴۷۴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خوب، كا: محمد طالب بن محمد تقی جوقانی قهپایی، تا: ۱۰۷۲ق؛ مجدول، یادداشتی از محمد حسن بن عبدالغفار؛ تملک: تقی حسینی روندی مورخ ۱۰۷۴؛ کاغذ: اصفهانی، جلد: تیماج قرمز حواشی تیماج مشکی، ۲۴۸ص، ۱۹ سطر، قطع: نیم خشتی،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۱۰-۱۴۳۳]</w:t>
      </w:r>
    </w:p>
    <w:p>
      <w:pPr>
        <w:pStyle w:val="BookText"/>
      </w:pPr>
      <w:r>
        <w:rPr>
          <w:rFonts w:ascii="IRNazanin" w:hAnsi="IRNazanin" w:eastAsia="IRNazanin" w:cs="IRNazanin"/>
          <w:lang w:bidi="fa-IR"/>
          <w:color w:val="111111"/>
          <w:sz w:val="28"/>
          <w:szCs w:val="28"/>
          <w:rtl/>
        </w:rPr>
        <w:t xml:space="preserve">۶۳. قم؛ مرکز احیاء؛ شماره نسخه: ۳۶۹۷</w:t>
      </w:r>
    </w:p>
    <w:p>
      <w:pPr>
        <w:pStyle w:val="BookText"/>
      </w:pPr>
      <w:r>
        <w:rPr>
          <w:rFonts w:ascii="IRNazanin" w:hAnsi="IRNazanin" w:eastAsia="IRNazanin" w:cs="IRNazanin"/>
          <w:lang w:bidi="fa-IR"/>
          <w:color w:val="111111"/>
          <w:sz w:val="28"/>
          <w:szCs w:val="28"/>
          <w:rtl/>
        </w:rPr>
        <w:t xml:space="preserve">خط: نسخ، بی کا، تا: رجب ۱۰۸۱ق؛ تملك: «عبدالله بن حاجی اسماعیل حاجی نجفی»، «عبد العال بن محمد مقیم فریدنی خوانساری»، «شاهرخ استر آبادی» با مهر «عبده الراجی شاهرخ» (بیضوی)؛ جلد: تیماج مشکی بدون مقوا، ۶۶گ، ۲۳ سطر، اندازه: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[محدث ارموی مخ:-۲۶۴]</w:t>
      </w:r>
    </w:p>
    <w:p>
      <w:pPr>
        <w:pStyle w:val="BookText"/>
      </w:pPr>
      <w:r>
        <w:rPr>
          <w:rFonts w:ascii="IRNazanin" w:hAnsi="IRNazanin" w:eastAsia="IRNazanin" w:cs="IRNazanin"/>
          <w:lang w:bidi="fa-IR"/>
          <w:color w:val="111111"/>
          <w:sz w:val="28"/>
          <w:szCs w:val="28"/>
          <w:rtl/>
        </w:rPr>
        <w:t xml:space="preserve">۶۴. قم؛ گلپایگانی؛ شماره نسخه: ۷۸۹۲- ۵۳/۱۰۲</w:t>
      </w:r>
    </w:p>
    <w:p>
      <w:pPr>
        <w:pStyle w:val="BookText"/>
      </w:pPr>
      <w:r>
        <w:rPr>
          <w:rFonts w:ascii="IRNazanin" w:hAnsi="IRNazanin" w:eastAsia="IRNazanin" w:cs="IRNazanin"/>
          <w:lang w:bidi="fa-IR"/>
          <w:color w:val="111111"/>
          <w:sz w:val="28"/>
          <w:szCs w:val="28"/>
          <w:rtl/>
        </w:rPr>
        <w:t xml:space="preserve">آغاز: و بالعكس و روى تحويله بعد صعود المنبر و قال جماعة يحوله ثلث مرات تفألا ... المقصد الثالث في الجماعة و فصوله ثلثة الأولى يستحب في الفرایض موکد؛ از «صلاة الاستسقاء» تا الفصل الثاني في الامساک از کتاب الصوم؛ انجام: برابر خط: نسخ، بی کا، تا: چهارشنبه ۱ صفر ۱۰۸۵ق؛ افتادگی: آغاز؛ ۲۷گ، ۲۵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۲-۶۵۳]</w:t>
      </w:r>
    </w:p>
    <w:p>
      <w:pPr>
        <w:pStyle w:val="BookText"/>
      </w:pPr>
      <w:r>
        <w:rPr>
          <w:rFonts w:ascii="IRNazanin" w:hAnsi="IRNazanin" w:eastAsia="IRNazanin" w:cs="IRNazanin"/>
          <w:lang w:bidi="fa-IR"/>
          <w:color w:val="111111"/>
          <w:sz w:val="28"/>
          <w:szCs w:val="28"/>
          <w:rtl/>
        </w:rPr>
        <w:t xml:space="preserve">۶۵. مشهد؛ گوهرشاد؛ شماره نسخه: ۱۵۶۶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بن صفر كمال هرجی، تا: جمعه ۱۴ رجب ۱۰۹۸ق، جا: حله ابی اصیبع از حلات بحرین؛ مهر: «ابراهيم بن عبدالله الموسوی» (چهار گوش)؛ کاغذ: دولت آبادی، جلد: تیماج تریاکی ضربی، ۱۵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۴-۲۱۱۹]</w:t>
      </w:r>
    </w:p>
    <w:p>
      <w:pPr>
        <w:pStyle w:val="BookText"/>
      </w:pPr>
      <w:r>
        <w:rPr>
          <w:rFonts w:ascii="IRNazanin" w:hAnsi="IRNazanin" w:eastAsia="IRNazanin" w:cs="IRNazanin"/>
          <w:lang w:bidi="fa-IR"/>
          <w:color w:val="111111"/>
          <w:sz w:val="28"/>
          <w:szCs w:val="28"/>
          <w:rtl/>
        </w:rPr>
        <w:t xml:space="preserve">۶۶. قم، گلپایگانی؛ شماره نسخه: ۱۱۹- ۱/۱۱۹</w:t>
      </w:r>
    </w:p>
    <w:p>
      <w:pPr>
        <w:pStyle w:val="BookText"/>
      </w:pPr>
      <w:r>
        <w:rPr>
          <w:rFonts w:ascii="IRNazanin" w:hAnsi="IRNazanin" w:eastAsia="IRNazanin" w:cs="IRNazanin"/>
          <w:lang w:bidi="fa-IR"/>
          <w:color w:val="111111"/>
          <w:sz w:val="28"/>
          <w:szCs w:val="28"/>
          <w:rtl/>
        </w:rPr>
        <w:t xml:space="preserve">آغاز: علما الخاصة و النظر في اطراف خمسة. الطرف الأول في ما تشرع له لا ريب في توقؤ استباحة الصلوة وان كانت ندبة و الطواف الواجب خاصة؛ انجام: برابر خط: نسخ، بی کا، تا قرن ۱۲؛ افتادگی: آغاز؛ مصحح؛ تملک: حسین بن حسن حسینی حسنی؛ جلد: تیماج، قهوه ای، ضربی، مجدول ۱۷۱گ، ۱۳-۱۵ سطر،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۲-۶۵۲]</w:t>
      </w:r>
    </w:p>
    <w:p>
      <w:pPr>
        <w:pStyle w:val="BookText"/>
      </w:pPr>
      <w:r>
        <w:rPr>
          <w:rFonts w:ascii="IRNazanin" w:hAnsi="IRNazanin" w:eastAsia="IRNazanin" w:cs="IRNazanin"/>
          <w:lang w:bidi="fa-IR"/>
          <w:color w:val="111111"/>
          <w:sz w:val="28"/>
          <w:szCs w:val="28"/>
          <w:rtl/>
        </w:rPr>
        <w:t xml:space="preserve">۶۷. قم؛ گلپایگانی؛ شماره نسخه: ۴۵۷۸- ۲۳/۹۸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۱۲؛ جلد: تیماج مشکی لولادار، ۱۵۱گ، ۱۴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۲-۶۵۲]</w:t>
      </w:r>
    </w:p>
    <w:p>
      <w:pPr>
        <w:pStyle w:val="BookText"/>
      </w:pPr>
      <w:r>
        <w:rPr>
          <w:rFonts w:ascii="IRNazanin" w:hAnsi="IRNazanin" w:eastAsia="IRNazanin" w:cs="IRNazanin"/>
          <w:lang w:bidi="fa-IR"/>
          <w:color w:val="111111"/>
          <w:sz w:val="28"/>
          <w:szCs w:val="28"/>
          <w:rtl/>
        </w:rPr>
        <w:t xml:space="preserve">۶۸. قم؛ مرعشی؛ شماره نسخه: ۱۳۸۰۱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شیخ اسماعيل بن عبدالوهاب بن سعید خراسانی هندی، تا: قرن ۱۲، جا: برهانپور در هند؛ مصحح، محشی، از روی نسخه ای که کاتب آن «اسکندر بن عابد بن خليفه رومی» بوده، کتابت گردیده؛ تملك: «محمد رسول بن عبدالعزیز» در ذیحجه سال ۱۲۳۴ ق با مهر «محمد رسول الله»، «محمد ...»، همراه «أفوض أمري إلى الله عبده محمد جعفر ۱۱۱۶»؛ کاغذ: شرقی، جلد: تیماج زرشکی با روکش لاکی و ترنج گل و بوته، عطف و حاشیه تیماج مشکی مجدول به زرد، ۱۷۰، ۱۹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۳۵-۱۱]</w:t>
      </w:r>
    </w:p>
    <w:p>
      <w:pPr>
        <w:pStyle w:val="BookText"/>
      </w:pPr>
      <w:r>
        <w:rPr>
          <w:rFonts w:ascii="IRNazanin" w:hAnsi="IRNazanin" w:eastAsia="IRNazanin" w:cs="IRNazanin"/>
          <w:lang w:bidi="fa-IR"/>
          <w:color w:val="111111"/>
          <w:sz w:val="28"/>
          <w:szCs w:val="28"/>
          <w:rtl/>
        </w:rPr>
        <w:t xml:space="preserve">۶۹. یزد؛ وزیری؛ شماره نسخه: ۱۰۲۹</w:t>
      </w:r>
    </w:p>
    <w:p>
      <w:pPr>
        <w:pStyle w:val="BookText"/>
      </w:pPr>
      <w:r>
        <w:rPr>
          <w:rFonts w:ascii="IRNazanin" w:hAnsi="IRNazanin" w:eastAsia="IRNazanin" w:cs="IRNazanin"/>
          <w:lang w:bidi="fa-IR"/>
          <w:color w:val="111111"/>
          <w:sz w:val="28"/>
          <w:szCs w:val="28"/>
          <w:rtl/>
        </w:rPr>
        <w:t xml:space="preserve">آغاز: الخلاف ثم الرمان ثم شجر رطب طول كل واحدة قدر عظم الذراع؛ انجام: ففي وجوب اخراج فطرته على الوارث و جهان مبنيان على انتقال. خط: نسخ، بی کا، تا قرن ۱۳؛ افتادگی: آغاز و انجام؛ اهدایی: وزیری؛ کاغذ: اصفهانی، جلد: مقوایی با کاغذ ابری عطف تيماج قرمز، ۲۱۲ گ، ۱۴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۳-۸۲۷]</w:t>
      </w:r>
    </w:p>
    <w:p>
      <w:pPr>
        <w:pStyle w:val="BookText"/>
      </w:pPr>
      <w:r>
        <w:rPr>
          <w:rFonts w:ascii="IRNazanin" w:hAnsi="IRNazanin" w:eastAsia="IRNazanin" w:cs="IRNazanin"/>
          <w:lang w:bidi="fa-IR"/>
          <w:color w:val="111111"/>
          <w:sz w:val="28"/>
          <w:szCs w:val="28"/>
          <w:rtl/>
        </w:rPr>
        <w:t xml:space="preserve">۷۰. قم؛ مسجد اعظم؛ شماره نسخه: ۶۹۲/۲</w:t>
      </w:r>
    </w:p>
    <w:p>
      <w:pPr>
        <w:pStyle w:val="BookText"/>
      </w:pPr>
      <w:r>
        <w:rPr>
          <w:rFonts w:ascii="IRNazanin" w:hAnsi="IRNazanin" w:eastAsia="IRNazanin" w:cs="IRNazanin"/>
          <w:lang w:bidi="fa-IR"/>
          <w:color w:val="111111"/>
          <w:sz w:val="28"/>
          <w:szCs w:val="28"/>
          <w:rtl/>
        </w:rPr>
        <w:t xml:space="preserve">آغاز: وافعال الحج الباقية والمذي والمدى التقبيل بشهوة ومس الفرج ومع الاغسال المستحبة والخروج بلل مشتبه بعد الاستنجاء للمتوضی قبله؛ انجام: برابر خط: نستعلیق، بی کا، تا: ۲۸ رجب ۱۲۱۹ق؛ افتادگی: آغاز؛ مجدول؛ جلد: تیماج قهوه ای ترنج و سر، مجدول گرهی، ۱۳۲ گ،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سم [ف مخ: ۱-۲۸۹]</w:t>
      </w:r>
    </w:p>
    <w:p>
      <w:pPr>
        <w:pStyle w:val="BookText"/>
      </w:pPr>
      <w:r>
        <w:rPr>
          <w:rFonts w:ascii="IRNazanin" w:hAnsi="IRNazanin" w:eastAsia="IRNazanin" w:cs="IRNazanin"/>
          <w:lang w:bidi="fa-IR"/>
          <w:color w:val="111111"/>
          <w:sz w:val="28"/>
          <w:szCs w:val="28"/>
          <w:rtl/>
        </w:rPr>
        <w:t xml:space="preserve">۷۱. قم؛ مرعشی؛ شماره نسخه: ۱۰۰۹۸/۵</w:t>
      </w:r>
    </w:p>
    <w:p>
      <w:pPr>
        <w:pStyle w:val="BookText"/>
      </w:pPr>
      <w:r>
        <w:rPr>
          <w:rFonts w:ascii="IRNazanin" w:hAnsi="IRNazanin" w:eastAsia="IRNazanin" w:cs="IRNazanin"/>
          <w:lang w:bidi="fa-IR"/>
          <w:color w:val="111111"/>
          <w:sz w:val="28"/>
          <w:szCs w:val="28"/>
          <w:rtl/>
        </w:rPr>
        <w:t xml:space="preserve">خط: نسخ، كا: احمد بن على بن عباس کرز کانی بحرانی، تا: ۱۲۸۲ق؛ مصحح، محشی؛ کاغذ: فرنگی، قطع: وزیری (میراث شهاب: س ش ۲-۲۲]</w:t>
      </w:r>
    </w:p>
    <w:p>
      <w:pPr>
        <w:pStyle w:val="BookText"/>
      </w:pPr>
      <w:r>
        <w:rPr>
          <w:rFonts w:ascii="IRNazanin" w:hAnsi="IRNazanin" w:eastAsia="IRNazanin" w:cs="IRNazanin"/>
          <w:lang w:bidi="fa-IR"/>
          <w:color w:val="111111"/>
          <w:sz w:val="28"/>
          <w:szCs w:val="28"/>
          <w:rtl/>
        </w:rPr>
        <w:t xml:space="preserve">۷۲. تهران؛ مجلس؛ شماره نسخه: ۱۱۶۹۲</w:t>
      </w:r>
    </w:p>
    <w:p>
      <w:pPr>
        <w:pStyle w:val="BookText"/>
      </w:pPr>
      <w:r>
        <w:rPr>
          <w:rFonts w:ascii="IRNazanin" w:hAnsi="IRNazanin" w:eastAsia="IRNazanin" w:cs="IRNazanin"/>
          <w:lang w:bidi="fa-IR"/>
          <w:color w:val="111111"/>
          <w:sz w:val="28"/>
          <w:szCs w:val="28"/>
          <w:rtl/>
        </w:rPr>
        <w:t xml:space="preserve">آغاز: الكثيرة الدم على الغسل و كذا دخول المساجد و قراءة العزايم و الجوار في المسجدين الاعظمين و التيمم بدلا من الوضوء و الغسل؛ انجام: برابر شامل: طهارت، صلاة، زکات، خمس و بخشی از صوم؛ خط: نسخ، كا: على بن ابراهیم، بی تا؛ افتادگی: آغاز؛ مجدول، مصحح، با علامت بلاغ، کاغذ: آبدیده، جلد: تیماج مشکی، ۱۵۳گ، ۱۷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اندازه: ۱۵/۵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۳۴-۴۴ ]</w:t>
      </w:r>
    </w:p>
    <w:p>
      <w:pPr>
        <w:pStyle w:val="BookText"/>
      </w:pPr>
      <w:r>
        <w:rPr>
          <w:rFonts w:ascii="IRNazanin" w:hAnsi="IRNazanin" w:eastAsia="IRNazanin" w:cs="IRNazanin"/>
          <w:lang w:bidi="fa-IR"/>
          <w:color w:val="111111"/>
          <w:sz w:val="28"/>
          <w:szCs w:val="28"/>
          <w:rtl/>
        </w:rPr>
        <w:t xml:space="preserve">۷۳. قم؛ گلپایگانی؛ شماره نسخه: ۱۲۸۸- ۷/۱۸۸</w:t>
      </w:r>
    </w:p>
    <w:p>
      <w:pPr>
        <w:pStyle w:val="BookText"/>
      </w:pPr>
      <w:r>
        <w:rPr>
          <w:rFonts w:ascii="IRNazanin" w:hAnsi="IRNazanin" w:eastAsia="IRNazanin" w:cs="IRNazanin"/>
          <w:lang w:bidi="fa-IR"/>
          <w:color w:val="111111"/>
          <w:sz w:val="28"/>
          <w:szCs w:val="28"/>
          <w:rtl/>
        </w:rPr>
        <w:t xml:space="preserve">آغاز: کتاب الطهارة وهي تطلق على النزاهة من الادناس، وعلى رفع الخبث وعلى كل واحد من الوضوء والغسل و التيمم ... الطرف الأول فيما يشرع له؛ انجام: کتاب الصوم و هو لغة: الامساك المطلق وشرعا: إما الامساک ... از کتاب الطهاره تا اول کتاب الصوم، خط: نسخ، بی کا، بی تا؛ افتادگی: انجام؛ مصحح، جلد: روغنی، سرخ ضربی با ترنج با سر و مزین به گلهای الوان با حواشی تیماج مشکی و ضربی گرهی، عطف سرخ، ۲۱۷ گ، ۱۲-۱۵ سطر، اندازه:۱۴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۲-۶۵۳]</w:t>
      </w:r>
    </w:p>
    <w:p>
      <w:pPr>
        <w:pStyle w:val="BookText"/>
      </w:pPr>
      <w:r>
        <w:rPr>
          <w:rFonts w:ascii="IRNazanin" w:hAnsi="IRNazanin" w:eastAsia="IRNazanin" w:cs="IRNazanin"/>
          <w:lang w:bidi="fa-IR"/>
          <w:color w:val="111111"/>
          <w:sz w:val="28"/>
          <w:szCs w:val="28"/>
          <w:rtl/>
        </w:rPr>
        <w:t xml:space="preserve">۷۴. قم؛ مرعشی؛ شماره نسخه: ۴۵۸۸</w:t>
      </w:r>
    </w:p>
    <w:p>
      <w:pPr>
        <w:pStyle w:val="BookText"/>
      </w:pPr>
      <w:r>
        <w:rPr>
          <w:rFonts w:ascii="IRNazanin" w:hAnsi="IRNazanin" w:eastAsia="IRNazanin" w:cs="IRNazanin"/>
          <w:lang w:bidi="fa-IR"/>
          <w:color w:val="111111"/>
          <w:sz w:val="28"/>
          <w:szCs w:val="28"/>
          <w:rtl/>
        </w:rPr>
        <w:t xml:space="preserve">خط: نسخ، كا: على بن عبد الله جزائری، تا: ۶ رجب، جا: قریه اسفته از توابع اصفهان؛ مصحح؛ تملك: محمد مهدی حسنی حسینی و مهر «الواثق بالله الغني محمد مهدي الحسني الحسینی» (مربع)؛ جلد: تیماج قهوه ای، ۸۳گ، ۲۳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[ف: ۱۲-۱۵۹]</w:t>
      </w:r>
    </w:p>
    <w:p>
      <w:pPr>
        <w:pStyle w:val="BookText"/>
      </w:pPr>
      <w:r>
        <w:rPr>
          <w:rFonts w:ascii="IRNazanin" w:hAnsi="IRNazanin" w:eastAsia="IRNazanin" w:cs="IRNazanin"/>
          <w:lang w:bidi="fa-IR"/>
          <w:color w:val="111111"/>
          <w:sz w:val="28"/>
          <w:szCs w:val="28"/>
          <w:rtl/>
        </w:rPr>
        <w:t xml:space="preserve">۷۵. تهران؛ ملی؛ شماره نسخه: ۲۹۷۳</w:t>
      </w:r>
    </w:p>
    <w:p>
      <w:pPr>
        <w:pStyle w:val="BookText"/>
      </w:pPr>
      <w:r>
        <w:rPr>
          <w:rFonts w:ascii="IRNazanin" w:hAnsi="IRNazanin" w:eastAsia="IRNazanin" w:cs="IRNazanin"/>
          <w:lang w:bidi="fa-IR"/>
          <w:color w:val="111111"/>
          <w:sz w:val="28"/>
          <w:szCs w:val="28"/>
          <w:rtl/>
        </w:rPr>
        <w:t xml:space="preserve">آغاز: برابر؛ انجام: و لوعين آخر شعبان لنذر مثلا ظهرانه من رمضان وحب هنا فيه التعيين لرمضان ليتميز منه. مشتمل بر کتب طهارت، صلات، زکات، خمس و روزها خط: نسخ، بی کا، بی تا؛ مصحح؛ کاغذ: اصفهانی نخودی، جلد: تیماج تریاکی دولایی مجدول با ترنج و دو سر ترنج زر و شنگرف، ۱۵۹گ، ۱۷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سم [ف: ۱۴-۸۳]</w:t>
      </w:r>
    </w:p>
    <w:p>
      <w:pPr>
        <w:pStyle w:val="BookText"/>
      </w:pPr>
      <w:r>
        <w:rPr>
          <w:rFonts w:ascii="IRNazanin" w:hAnsi="IRNazanin" w:eastAsia="IRNazanin" w:cs="IRNazanin"/>
          <w:lang w:bidi="fa-IR"/>
          <w:color w:val="111111"/>
          <w:sz w:val="28"/>
          <w:szCs w:val="28"/>
          <w:rtl/>
        </w:rPr>
        <w:t xml:space="preserve">۷۶. تهران؛ ملی؛ شماره نسخه: ۳۳۳۵</w:t>
      </w:r>
    </w:p>
    <w:p>
      <w:pPr>
        <w:pStyle w:val="BookText"/>
      </w:pPr>
      <w:r>
        <w:rPr>
          <w:rFonts w:ascii="Amiri" w:hAnsi="Amiri" w:eastAsia="Amiri" w:cs="Amiri"/>
          <w:lang w:bidi="ar-SA"/>
          <w:color w:val="111111"/>
          <w:sz w:val="28"/>
          <w:szCs w:val="28"/>
          <w:rtl/>
        </w:rPr>
        <w:t xml:space="preserve">آغاز: برابر؛ انجام: و لو عين آخر شعبان لنذر مثلا ثم ظهر انه من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86" w:name="pg20363_209424"/>
    <w:bookmarkEnd w:id="186"/>
    <w:p>
      <w:pPr>
        <w:pStyle w:val="BookText"/>
      </w:pPr>
      <w:r>
        <w:rPr>
          <w:rFonts w:ascii="IRNazanin" w:hAnsi="IRNazanin" w:eastAsia="IRNazanin" w:cs="IRNazanin"/>
          <w:lang w:bidi="fa-IR"/>
          <w:color w:val="111111"/>
          <w:sz w:val="28"/>
          <w:szCs w:val="28"/>
          <w:rtl/>
        </w:rPr>
        <w:t xml:space="preserve">رمضان وجب هنا فيه التعيين ليتميز منه از کتاب طهارت تا پایان صوم؛ خط: نسخ، بی کا، بی تا؛ مصحح؛ کاغذ: فرنگی نخودی، جلد: تیماج قهوه ای سوخته ضربی جداول و منگنه، ۱۶۳گ، ۱۶ سطر (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w:t>
      </w:r>
    </w:p>
    <w:p>
      <w:pPr>
        <w:pStyle w:val="BookText"/>
      </w:pPr>
      <w:r>
        <w:rPr>
          <w:rFonts w:ascii="IRNazanin" w:hAnsi="IRNazanin" w:eastAsia="IRNazanin" w:cs="IRNazanin"/>
          <w:lang w:bidi="fa-IR"/>
          <w:color w:val="111111"/>
          <w:sz w:val="28"/>
          <w:szCs w:val="28"/>
          <w:rtl/>
        </w:rPr>
        <w:t xml:space="preserve">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۲۰/۵سم [ف: ۱۵-۱۴۶]</w:t>
      </w:r>
    </w:p>
    <w:p>
      <w:pPr>
        <w:pStyle w:val="BookText"/>
      </w:pPr>
      <w:r>
        <w:rPr>
          <w:rFonts w:ascii="IRNazanin" w:hAnsi="IRNazanin" w:eastAsia="IRNazanin" w:cs="IRNazanin"/>
          <w:lang w:bidi="fa-IR"/>
          <w:color w:val="111111"/>
          <w:sz w:val="28"/>
          <w:szCs w:val="28"/>
          <w:rtl/>
        </w:rPr>
        <w:t xml:space="preserve">۷۷. تهران؛ مجلس؛ شماره نسخه: ۴۰۵/۱ -طباطبائی</w:t>
      </w:r>
    </w:p>
    <w:p>
      <w:pPr>
        <w:pStyle w:val="BookText"/>
      </w:pPr>
      <w:r>
        <w:rPr>
          <w:rFonts w:ascii="IRNazanin" w:hAnsi="IRNazanin" w:eastAsia="IRNazanin" w:cs="IRNazanin"/>
          <w:lang w:bidi="fa-IR"/>
          <w:color w:val="111111"/>
          <w:sz w:val="28"/>
          <w:szCs w:val="28"/>
          <w:rtl/>
        </w:rPr>
        <w:t xml:space="preserve">انجام: او عاملتك او سلمتك هذه البستان لتعمل فيه مدة كذا. بی کا، بی تا، افتادگی: انجام؛ کاغذ: فرنگی آهار شده، جلد: مقوای سفید عطف و گوشه میشن مشکی، ۱۷۴گ (۱ر-۱۷۴پ)، ۱۵ سطر، قطع: خشتی،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۲۲-۱۵۸]</w:t>
      </w:r>
    </w:p>
    <w:p>
      <w:pPr>
        <w:pStyle w:val="BookText"/>
      </w:pPr>
      <w:r>
        <w:rPr>
          <w:rFonts w:ascii="IRNazanin" w:hAnsi="IRNazanin" w:eastAsia="IRNazanin" w:cs="IRNazanin"/>
          <w:lang w:bidi="fa-IR"/>
          <w:color w:val="111111"/>
          <w:sz w:val="28"/>
          <w:szCs w:val="28"/>
          <w:rtl/>
        </w:rPr>
        <w:t xml:space="preserve">۷۸. تهران؛ مجلس؛ شماره نسخه: ۷۴۰۳</w:t>
      </w:r>
    </w:p>
    <w:p>
      <w:pPr>
        <w:pStyle w:val="BookText"/>
      </w:pPr>
      <w:r>
        <w:rPr>
          <w:rFonts w:ascii="IRNazanin" w:hAnsi="IRNazanin" w:eastAsia="IRNazanin" w:cs="IRNazanin"/>
          <w:lang w:bidi="fa-IR"/>
          <w:color w:val="111111"/>
          <w:sz w:val="28"/>
          <w:szCs w:val="28"/>
          <w:rtl/>
        </w:rPr>
        <w:t xml:space="preserve">از ابتدا کتاب تا بحث «الركن الثاني في الامساک» از کتاب الصوم؛ خط: نسخ، بی کا، بی تا، جزو کتابخانه شیخ فضل الله نوری با مهر کتابخانه وی؛ تملك: محمد جعفر بن صفر خان قراگوزلو در اصفهان به تاریخ ۱۲۰۱؛ جلد: تیماج قهوه ای سوخت، ترنج با سر لولا دار، ۱۲۹گ، ۱۹ سطر،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۲۵-۳۸۴]</w:t>
      </w:r>
    </w:p>
    <w:p>
      <w:pPr>
        <w:pStyle w:val="Heading3"/>
      </w:pPr>
      <w:bookmarkStart w:id="1316" w:name="_Toc576"/>
      <w:r>
        <w:t>• البيان في بيان الروح و الابدان / فلسفه / عربی</w:t>
      </w:r>
      <w:bookmarkEnd w:id="1316"/>
    </w:p>
    <w:p>
      <w:pPr>
        <w:pStyle w:val="BookText"/>
      </w:pPr>
      <w:r>
        <w:rPr>
          <w:rFonts w:ascii="Times New Roman" w:hAnsi="Times New Roman" w:eastAsia="Times New Roman" w:cs="Times New Roman"/>
          <w:lang w:val="en-US" w:bidi="en-US"/>
          <w:color w:val="111111"/>
          <w:sz w:val="28"/>
          <w:szCs w:val="28"/>
          <w:rtl/>
        </w:rPr>
        <w:t xml:space="preserve">al-bayān fī bayān-ir rūḥ wa-l abdān</w:t>
      </w:r>
    </w:p>
    <w:p>
      <w:pPr>
        <w:pStyle w:val="BookText"/>
      </w:pPr>
      <w:r>
        <w:rPr>
          <w:rFonts w:ascii="IRNazanin" w:hAnsi="IRNazanin" w:eastAsia="IRNazanin" w:cs="IRNazanin"/>
          <w:lang w:bidi="fa-IR"/>
          <w:color w:val="111111"/>
          <w:sz w:val="28"/>
          <w:szCs w:val="28"/>
          <w:rtl/>
        </w:rPr>
        <w:t xml:space="preserve">؟ ابن سینا، حسین بن عبدالله، ۳۷۰؟ -۴۲۸ قمری</w:t>
      </w:r>
    </w:p>
    <w:p>
      <w:pPr>
        <w:pStyle w:val="BookText"/>
      </w:pPr>
      <w:r>
        <w:rPr>
          <w:rFonts w:ascii="Times New Roman" w:hAnsi="Times New Roman" w:eastAsia="Times New Roman" w:cs="Times New Roman"/>
          <w:lang w:val="en-US" w:bidi="en-US"/>
          <w:color w:val="111111"/>
          <w:sz w:val="28"/>
          <w:szCs w:val="28"/>
          <w:rtl/>
        </w:rPr>
        <w:t xml:space="preserve">ebn-e sīnā, hoseyn ebn-e ‘abd-ol-lāh (981-1038)</w:t>
      </w:r>
    </w:p>
    <w:p>
      <w:pPr>
        <w:pStyle w:val="BookText"/>
      </w:pPr>
      <w:r>
        <w:rPr>
          <w:rFonts w:ascii="IRNazanin" w:hAnsi="IRNazanin" w:eastAsia="IRNazanin" w:cs="IRNazanin"/>
          <w:lang w:bidi="fa-IR"/>
          <w:color w:val="111111"/>
          <w:sz w:val="28"/>
          <w:szCs w:val="28"/>
          <w:rtl/>
        </w:rPr>
        <w:t xml:space="preserve">رساله ای در روح متعلق به بدن؛ منسوب به ابن سینا.</w:t>
      </w:r>
    </w:p>
    <w:p>
      <w:pPr>
        <w:pStyle w:val="BookText"/>
      </w:pPr>
      <w:r>
        <w:rPr>
          <w:rFonts w:ascii="IRNazanin" w:hAnsi="IRNazanin" w:eastAsia="IRNazanin" w:cs="IRNazanin"/>
          <w:lang w:bidi="fa-IR"/>
          <w:color w:val="111111"/>
          <w:sz w:val="28"/>
          <w:szCs w:val="28"/>
          <w:rtl/>
        </w:rPr>
        <w:t xml:space="preserve">تهران؛ مفتاح؛ شماره نسخه: ۱۶۸/۱۳</w:t>
      </w:r>
    </w:p>
    <w:p>
      <w:pPr>
        <w:pStyle w:val="BookText"/>
      </w:pPr>
      <w:r>
        <w:rPr>
          <w:rFonts w:ascii="IRNazanin" w:hAnsi="IRNazanin" w:eastAsia="IRNazanin" w:cs="IRNazanin"/>
          <w:lang w:bidi="fa-IR"/>
          <w:color w:val="111111"/>
          <w:sz w:val="28"/>
          <w:szCs w:val="28"/>
          <w:rtl/>
        </w:rPr>
        <w:t xml:space="preserve">خط: نستعلیق، بی کا، بی تا، [نشریه: ۷-۲۲۶]</w:t>
      </w:r>
    </w:p>
    <w:p>
      <w:pPr>
        <w:pStyle w:val="Heading3"/>
      </w:pPr>
      <w:bookmarkStart w:id="1317" w:name="_Toc577"/>
      <w:r>
        <w:t>• البيان في بيان الروح و الايمان / كلام و اعتقادات / فارسی</w:t>
      </w:r>
      <w:bookmarkEnd w:id="1317"/>
    </w:p>
    <w:p>
      <w:pPr>
        <w:pStyle w:val="BookText"/>
      </w:pPr>
      <w:r>
        <w:rPr>
          <w:rFonts w:ascii="Times New Roman" w:hAnsi="Times New Roman" w:eastAsia="Times New Roman" w:cs="Times New Roman"/>
          <w:lang w:val="en-US" w:bidi="en-US"/>
          <w:color w:val="111111"/>
          <w:sz w:val="28"/>
          <w:szCs w:val="28"/>
          <w:rtl/>
        </w:rPr>
        <w:t xml:space="preserve">al-bayān fī bayān-er rūh va-līmān</w:t>
      </w:r>
    </w:p>
    <w:p>
      <w:pPr>
        <w:pStyle w:val="BookText"/>
      </w:pPr>
      <w:r>
        <w:rPr>
          <w:rFonts w:ascii="IRNazanin" w:hAnsi="IRNazanin" w:eastAsia="IRNazanin" w:cs="IRNazanin"/>
          <w:lang w:bidi="fa-IR"/>
          <w:color w:val="111111"/>
          <w:sz w:val="28"/>
          <w:szCs w:val="28"/>
          <w:rtl/>
        </w:rPr>
        <w:t xml:space="preserve">در این رساله سه نظریه درباره روح را یاد می کند: جسم، جسمانی، نه جسم و نه جسمانی. در پایان نسخه دارد، «من رساله البيان في بيان الروح و ایمان» که تعبیری درست نیست گویا بخشی از رساله ای بدین نام بوده است.</w:t>
      </w:r>
    </w:p>
    <w:p>
      <w:pPr>
        <w:pStyle w:val="BookText"/>
      </w:pPr>
      <w:r>
        <w:rPr>
          <w:rFonts w:ascii="IRNazanin" w:hAnsi="IRNazanin" w:eastAsia="IRNazanin" w:cs="IRNazanin"/>
          <w:lang w:bidi="fa-IR"/>
          <w:color w:val="111111"/>
          <w:sz w:val="28"/>
          <w:szCs w:val="28"/>
          <w:rtl/>
        </w:rPr>
        <w:t xml:space="preserve">تهران؛ ملی؛ شماره نسخه: ۳۹۳۶/۱۶ آغاز: بسمله، در بیان روحی که متعلق است به بدن و تعریف حقیقت آن بباید دانست؛ انجام: و نقل صریح بر آن دلالت ندارد، تم بالخير رسالة البيان في بيان الروح و الايمان خط: نسخ تحریری، كا: مهدی بن احمد لاهجی، بی تا، کاغذ: اصفهانی نخودی، جلد: مقوا، رویه تیماج سرخ، اطرافش گل بوته فشاری با دو جدول، ۲گ (۱۴۳ر - ۱۴۴ر)، ۱۷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۱۵/۵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۱۷-۲۱۰]</w:t>
      </w:r>
    </w:p>
    <w:p>
      <w:pPr>
        <w:pStyle w:val="Heading3"/>
      </w:pPr>
      <w:bookmarkStart w:id="1318" w:name="_Toc578"/>
      <w:r>
        <w:t>• البيان في شرح التبيان / کیمیا / عربی</w:t>
      </w:r>
      <w:bookmarkEnd w:id="1318"/>
    </w:p>
    <w:p>
      <w:pPr>
        <w:pStyle w:val="BookText"/>
      </w:pPr>
      <w:r>
        <w:rPr>
          <w:rFonts w:ascii="IRNazanin" w:hAnsi="IRNazanin" w:eastAsia="IRNazanin" w:cs="IRNazanin"/>
          <w:lang w:bidi="fa-IR"/>
          <w:color w:val="111111"/>
          <w:sz w:val="28"/>
          <w:szCs w:val="28"/>
          <w:rtl/>
        </w:rPr>
        <w:t xml:space="preserve">قمری، محمد، ق ۵ قمری</w:t>
      </w:r>
    </w:p>
    <w:p>
      <w:pPr>
        <w:pStyle w:val="BookText"/>
      </w:pPr>
      <w:r>
        <w:rPr>
          <w:rFonts w:ascii="Times New Roman" w:hAnsi="Times New Roman" w:eastAsia="Times New Roman" w:cs="Times New Roman"/>
          <w:lang w:val="en-US" w:bidi="en-US"/>
          <w:color w:val="111111"/>
          <w:sz w:val="28"/>
          <w:szCs w:val="28"/>
          <w:rtl/>
        </w:rPr>
        <w:t xml:space="preserve">al-bayān fī š.-it tibyān</w:t>
      </w:r>
    </w:p>
    <w:p>
      <w:pPr>
        <w:pStyle w:val="BookText"/>
      </w:pPr>
      <w:r>
        <w:rPr>
          <w:rFonts w:ascii="Times New Roman" w:hAnsi="Times New Roman" w:eastAsia="Times New Roman" w:cs="Times New Roman"/>
          <w:lang w:val="en-US" w:bidi="en-US"/>
          <w:color w:val="111111"/>
          <w:sz w:val="28"/>
          <w:szCs w:val="28"/>
          <w:rtl/>
        </w:rPr>
        <w:t xml:space="preserve">qomrī, mohammad (- 11c)</w:t>
      </w:r>
    </w:p>
    <w:p>
      <w:pPr>
        <w:pStyle w:val="BookText"/>
      </w:pPr>
      <w:r>
        <w:rPr>
          <w:rFonts w:ascii="IRNazanin" w:hAnsi="IRNazanin" w:eastAsia="IRNazanin" w:cs="IRNazanin"/>
          <w:lang w:bidi="fa-IR"/>
          <w:color w:val="111111"/>
          <w:sz w:val="28"/>
          <w:szCs w:val="28"/>
          <w:rtl/>
        </w:rPr>
        <w:t xml:space="preserve">در اکسیر و دارای سه «مقدمه».</w:t>
      </w:r>
    </w:p>
    <w:p>
      <w:pPr>
        <w:pStyle w:val="BookText"/>
      </w:pPr>
      <w:r>
        <w:rPr>
          <w:rFonts w:ascii="IRNazanin" w:hAnsi="IRNazanin" w:eastAsia="IRNazanin" w:cs="IRNazanin"/>
          <w:lang w:bidi="fa-IR"/>
          <w:color w:val="111111"/>
          <w:sz w:val="28"/>
          <w:szCs w:val="28"/>
          <w:rtl/>
        </w:rPr>
        <w:t xml:space="preserve">تهران؛ ملک؛ شماره نسخه: ۳۱۹۱/۱</w:t>
      </w:r>
    </w:p>
    <w:p>
      <w:pPr>
        <w:pStyle w:val="BookText"/>
      </w:pPr>
      <w:r>
        <w:rPr>
          <w:rFonts w:ascii="IRNazanin" w:hAnsi="IRNazanin" w:eastAsia="IRNazanin" w:cs="IRNazanin"/>
          <w:lang w:bidi="fa-IR"/>
          <w:color w:val="111111"/>
          <w:sz w:val="28"/>
          <w:szCs w:val="28"/>
          <w:rtl/>
        </w:rPr>
        <w:t xml:space="preserve">آغاز: بسمله، الحمدلله خالق السبحان و اله الدیان، ذوالمن و الاحسان و الصلوة و السلام ... اما بعد اعلم ايها الاخ لما قال الله تعالى في محكم كتابه و منزل خطابه الذين يكنزون الذهب و الفضة؛ انجام: فاحتفظ بما القيت اليك من هذه الوصايا و حسبنا الله و نعم الوكيل لا رب غيره و هو رب العرش العظيم و صلى الله على خير خلقه محمد و آله الطاهرين</w:t>
      </w:r>
    </w:p>
    <w:p>
      <w:pPr>
        <w:pStyle w:val="BookText"/>
      </w:pPr>
      <w:r>
        <w:rPr>
          <w:rFonts w:ascii="IRNazanin" w:hAnsi="IRNazanin" w:eastAsia="IRNazanin" w:cs="IRNazanin"/>
          <w:lang w:bidi="fa-IR"/>
          <w:color w:val="111111"/>
          <w:sz w:val="28"/>
          <w:szCs w:val="28"/>
          <w:rtl/>
        </w:rPr>
        <w:t xml:space="preserve">خط: نسخ، بی کا، بی تا، کاغذ: پسته ای، جلد: میشن قرمز، ۴۸گ (آپ-۴۸پ)، ۱۷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۶-۲۸۰]</w:t>
      </w:r>
    </w:p>
    <w:p>
      <w:pPr>
        <w:pStyle w:val="Heading3"/>
      </w:pPr>
      <w:bookmarkStart w:id="1319" w:name="_Toc579"/>
      <w:r>
        <w:t>• البيان في عد آي القرآن (منتخب) / علوم قرآن / عربی</w:t>
      </w:r>
      <w:bookmarkEnd w:id="1319"/>
    </w:p>
    <w:p>
      <w:pPr>
        <w:pStyle w:val="BookText"/>
      </w:pPr>
      <w:r>
        <w:rPr>
          <w:rFonts w:ascii="Times New Roman" w:hAnsi="Times New Roman" w:eastAsia="Times New Roman" w:cs="Times New Roman"/>
          <w:lang w:val="en-US" w:bidi="en-US"/>
          <w:color w:val="111111"/>
          <w:sz w:val="28"/>
          <w:szCs w:val="28"/>
          <w:rtl/>
        </w:rPr>
        <w:t xml:space="preserve">al-bayān fi ‘idd-i āy-il qur'ān (mn.)</w:t>
      </w:r>
    </w:p>
    <w:p>
      <w:pPr>
        <w:pStyle w:val="BookText"/>
      </w:pPr>
      <w:r>
        <w:rPr>
          <w:rFonts w:ascii="IRNazanin" w:hAnsi="IRNazanin" w:eastAsia="IRNazanin" w:cs="IRNazanin"/>
          <w:lang w:bidi="fa-IR"/>
          <w:color w:val="111111"/>
          <w:sz w:val="28"/>
          <w:szCs w:val="28"/>
          <w:rtl/>
        </w:rPr>
        <w:t xml:space="preserve">دانی، عثمان بن سعید، ۳۷۱-۴۴۴ ؟ قمری</w:t>
      </w:r>
    </w:p>
    <w:p>
      <w:pPr>
        <w:pStyle w:val="BookText"/>
      </w:pPr>
      <w:r>
        <w:rPr>
          <w:rFonts w:ascii="Times New Roman" w:hAnsi="Times New Roman" w:eastAsia="Times New Roman" w:cs="Times New Roman"/>
          <w:lang w:val="en-US" w:bidi="en-US"/>
          <w:color w:val="111111"/>
          <w:sz w:val="28"/>
          <w:szCs w:val="28"/>
          <w:rtl/>
        </w:rPr>
        <w:t xml:space="preserve">dānī, ‘osmān ebn-e sa‘īd (982-1053)</w:t>
      </w:r>
    </w:p>
    <w:p>
      <w:pPr>
        <w:pStyle w:val="BookText"/>
      </w:pPr>
      <w:r>
        <w:rPr>
          <w:rFonts w:ascii="IRNazanin" w:hAnsi="IRNazanin" w:eastAsia="IRNazanin" w:cs="IRNazanin"/>
          <w:lang w:bidi="fa-IR"/>
          <w:color w:val="111111"/>
          <w:sz w:val="28"/>
          <w:szCs w:val="28"/>
          <w:rtl/>
        </w:rPr>
        <w:t xml:space="preserve">رساله ای است بسیار مفصل مشتمل بر چندین «باب» در شمارش سوره ها، آیات، کلمات، حروف و اجزای قرآن و نظائر سورهها و آیات و سوره های مدنی و مکی و نیز اخبار وارده در شمارش آیات. گزیده ای است از کتاب «البيان» دانی که شامل چند «باب» می باشد: ۱. باب ذكر المنزل من القرآن بمكة و المدينة؛ ۲. باب ذكر عدد سور القرآن و آیه و حروفه و خموسه و عشوره على عدد اهل المدينة؛ ۳. باب ذكر عدد آي كل سورة في العددين المذكورين؛ ۴. باب النظائر من السور في العددين و في احدهما دون الآخر؛ ۵. باب ذكر اجزاء القرآن (الانصاف، الاثلاث، الأرباع، الأخماس ... اعشار)؛ ۶. باب ذکر اجزاء سبعة و عشرين؛ 7. باب ذکر اجزاء ستين. (نسخه کامل این کتاب به شماره ۲۲۲۷۹ مورخ ۸۴۷ق در مكتبه الازهر و میکروفیلم آن در آستان قدس رضوی به شماره ۲۶۳۸۰ موجود است) چاپ: رساله به تحقيق غانم قدوری حمد ناصری در مرکز مخطوطات و تراث کویت (۱۴۱۴ق.) و نیز در مرکز اطلاعات و مدارک اسلامی (۱۳۸۶ش.) به چاپ رسیده است.</w:t>
      </w:r>
    </w:p>
    <w:p>
      <w:pPr>
        <w:pStyle w:val="BookText"/>
      </w:pPr>
      <w:r>
        <w:rPr>
          <w:rFonts w:ascii="IRNazanin" w:hAnsi="IRNazanin" w:eastAsia="IRNazanin" w:cs="IRNazanin"/>
          <w:lang w:bidi="fa-IR"/>
          <w:color w:val="111111"/>
          <w:sz w:val="28"/>
          <w:szCs w:val="28"/>
          <w:rtl/>
        </w:rPr>
        <w:t xml:space="preserve">مشهد؛ رضوی؛ شماره نسخه: ۴۰۰۸۴/۵</w:t>
      </w:r>
    </w:p>
    <w:p>
      <w:pPr>
        <w:pStyle w:val="BookText"/>
      </w:pPr>
      <w:r>
        <w:rPr>
          <w:rFonts w:ascii="IRNazanin" w:hAnsi="IRNazanin" w:eastAsia="IRNazanin" w:cs="IRNazanin"/>
          <w:lang w:bidi="fa-IR"/>
          <w:color w:val="111111"/>
          <w:sz w:val="28"/>
          <w:szCs w:val="28"/>
          <w:rtl/>
        </w:rPr>
        <w:t xml:space="preserve">آغاز: باب ذکر منزل من القرآن بمكه و المنزل منه بالمدينة حدثنا احمد قال؛ انجام: و جزء خمسة عشرين رأس كل اربعة اجزاء منها فاعلمه و بالله التوفيق ... العلى العظيم.</w:t>
      </w:r>
    </w:p>
    <w:p>
      <w:pPr>
        <w:pStyle w:val="BookText"/>
      </w:pPr>
      <w:r>
        <w:rPr>
          <w:rFonts w:ascii="IRNazanin" w:hAnsi="IRNazanin" w:eastAsia="IRNazanin" w:cs="IRNazanin"/>
          <w:lang w:bidi="fa-IR"/>
          <w:color w:val="111111"/>
          <w:sz w:val="28"/>
          <w:szCs w:val="28"/>
          <w:rtl/>
        </w:rPr>
        <w:t xml:space="preserve">خط: نسخ، بی کا، بی تا؛ اهدایی: رهبری، دی ۱۳۸۰؛ کاغذ: نخودی آهار مهره لمينه شده، جلد: تیماج سبز فرنگی با حواشی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87" w:name="pg20363_209425"/>
    <w:bookmarkEnd w:id="187"/>
    <w:p>
      <w:pPr>
        <w:pStyle w:val="BookText"/>
      </w:pPr>
      <w:r>
        <w:rPr>
          <w:rFonts w:ascii="IRNazanin" w:hAnsi="IRNazanin" w:eastAsia="IRNazanin" w:cs="IRNazanin"/>
          <w:lang w:bidi="fa-IR"/>
          <w:color w:val="111111"/>
          <w:sz w:val="28"/>
          <w:szCs w:val="28"/>
          <w:rtl/>
        </w:rPr>
        <w:t xml:space="preserve">زرکوب زاهدائی رهبر: (علوم قرآن -۳۳۵)</w:t>
      </w:r>
    </w:p>
    <w:p>
      <w:pPr>
        <w:pStyle w:val="Heading3"/>
      </w:pPr>
      <w:bookmarkStart w:id="1320" w:name="_Toc580"/>
      <w:r>
        <w:t>• البيان في علم الرمل / رمل / عربی</w:t>
      </w:r>
      <w:bookmarkEnd w:id="1320"/>
    </w:p>
    <w:p>
      <w:pPr>
        <w:pStyle w:val="BookText"/>
      </w:pPr>
      <w:r>
        <w:rPr>
          <w:rFonts w:ascii="Times New Roman" w:hAnsi="Times New Roman" w:eastAsia="Times New Roman" w:cs="Times New Roman"/>
          <w:lang w:val="en-US" w:bidi="en-US"/>
          <w:color w:val="111111"/>
          <w:sz w:val="28"/>
          <w:szCs w:val="28"/>
          <w:rtl/>
        </w:rPr>
        <w:t xml:space="preserve">al-bayān fi ‘ilm-ir raml</w:t>
      </w:r>
    </w:p>
    <w:p>
      <w:pPr>
        <w:pStyle w:val="BookText"/>
      </w:pPr>
      <w:r>
        <w:rPr>
          <w:rFonts w:ascii="IRNazanin" w:hAnsi="IRNazanin" w:eastAsia="IRNazanin" w:cs="IRNazanin"/>
          <w:lang w:bidi="fa-IR"/>
          <w:color w:val="111111"/>
          <w:sz w:val="28"/>
          <w:szCs w:val="28"/>
          <w:rtl/>
        </w:rPr>
        <w:t xml:space="preserve">رساله ای با عنوان های «فصل»، «باب» و برخی از باب ها با خطبه ای جداگانه آغاز می شود.</w:t>
      </w:r>
    </w:p>
    <w:p>
      <w:pPr>
        <w:pStyle w:val="BookText"/>
      </w:pPr>
      <w:r>
        <w:rPr>
          <w:rFonts w:ascii="IRNazanin" w:hAnsi="IRNazanin" w:eastAsia="IRNazanin" w:cs="IRNazanin"/>
          <w:lang w:bidi="fa-IR"/>
          <w:color w:val="111111"/>
          <w:sz w:val="28"/>
          <w:szCs w:val="28"/>
          <w:rtl/>
        </w:rPr>
        <w:t xml:space="preserve">تهران؛ ملک؛ شماره نسخه: ۶۳۷۵</w:t>
      </w:r>
    </w:p>
    <w:p>
      <w:pPr>
        <w:pStyle w:val="BookText"/>
      </w:pPr>
      <w:r>
        <w:rPr>
          <w:rFonts w:ascii="IRNazanin" w:hAnsi="IRNazanin" w:eastAsia="IRNazanin" w:cs="IRNazanin"/>
          <w:lang w:bidi="fa-IR"/>
          <w:color w:val="111111"/>
          <w:sz w:val="28"/>
          <w:szCs w:val="28"/>
          <w:rtl/>
        </w:rPr>
        <w:t xml:space="preserve">آغاز: بسمله، و له التوفيق و العون و صلی الله على محمد و آله. الحمدلله و صلواته على سيدنا محمد و آله و صحبه. كتاب البيان في علم الرمل سأل من اوامره كالعروض الدينية جمع فيما بين العلم و النبه؛ انجام: فهو لديه. و الله اعلم و احكم و صلى الله على سیدنا محمد و على آله و سلم و لا حول و لا قوة الا بالله العلى</w:t>
      </w:r>
    </w:p>
    <w:p>
      <w:pPr>
        <w:pStyle w:val="BookText"/>
      </w:pPr>
      <w:r>
        <w:rPr>
          <w:rFonts w:ascii="Amiri" w:hAnsi="Amiri" w:eastAsia="Amiri" w:cs="Amiri"/>
          <w:lang w:bidi="ar-SA"/>
          <w:color w:val="111111"/>
          <w:sz w:val="28"/>
          <w:szCs w:val="28"/>
          <w:rtl/>
        </w:rPr>
        <w:t xml:space="preserve">العظيم.</w:t>
      </w:r>
    </w:p>
    <w:p>
      <w:pPr>
        <w:pStyle w:val="BookText"/>
      </w:pPr>
      <w:r>
        <w:rPr>
          <w:rFonts w:ascii="IRNazanin" w:hAnsi="IRNazanin" w:eastAsia="IRNazanin" w:cs="IRNazanin"/>
          <w:lang w:bidi="fa-IR"/>
          <w:color w:val="111111"/>
          <w:sz w:val="28"/>
          <w:szCs w:val="28"/>
          <w:rtl/>
        </w:rPr>
        <w:t xml:space="preserve">خط: نستعلیق، بی کا، تا: با تاریخ ۱۰۵۴ق؛ گویا نوشته دارنده نسخه محمد قاسم ابو کری در ۱۴ رجب ۱۰۵۴؛ کاغذ: فستقی جلد: میشن قهوه ای، ۱۴۸گ، ۲۲ سطر، اندازه: ۲۱/۸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۱۵/۸ سم [ف: ۱- ۷۶]</w:t>
      </w:r>
    </w:p>
    <w:p>
      <w:pPr>
        <w:pStyle w:val="Heading3"/>
      </w:pPr>
      <w:bookmarkStart w:id="1321" w:name="_Toc581"/>
      <w:r>
        <w:t>• البيان في نزول القرآن / تفسير / عربی</w:t>
      </w:r>
      <w:bookmarkEnd w:id="1321"/>
    </w:p>
    <w:p>
      <w:pPr>
        <w:pStyle w:val="BookText"/>
      </w:pPr>
      <w:r>
        <w:rPr>
          <w:rFonts w:ascii="Times New Roman" w:hAnsi="Times New Roman" w:eastAsia="Times New Roman" w:cs="Times New Roman"/>
          <w:lang w:val="en-US" w:bidi="en-US"/>
          <w:color w:val="111111"/>
          <w:sz w:val="28"/>
          <w:szCs w:val="28"/>
          <w:rtl/>
        </w:rPr>
        <w:t xml:space="preserve">al-bayān fī nuzūl-il qur'ān</w:t>
      </w:r>
    </w:p>
    <w:p>
      <w:pPr>
        <w:pStyle w:val="BookText"/>
      </w:pPr>
      <w:r>
        <w:rPr>
          <w:rFonts w:ascii="IRNazanin" w:hAnsi="IRNazanin" w:eastAsia="IRNazanin" w:cs="IRNazanin"/>
          <w:lang w:bidi="fa-IR"/>
          <w:color w:val="111111"/>
          <w:sz w:val="28"/>
          <w:szCs w:val="28"/>
          <w:rtl/>
        </w:rPr>
        <w:t xml:space="preserve">نسوی، محمد بن على</w:t>
      </w:r>
    </w:p>
    <w:p>
      <w:pPr>
        <w:pStyle w:val="BookText"/>
      </w:pPr>
      <w:r>
        <w:rPr>
          <w:rFonts w:ascii="Times New Roman" w:hAnsi="Times New Roman" w:eastAsia="Times New Roman" w:cs="Times New Roman"/>
          <w:lang w:val="en-US" w:bidi="en-US"/>
          <w:color w:val="111111"/>
          <w:sz w:val="28"/>
          <w:szCs w:val="28"/>
          <w:rtl/>
        </w:rPr>
        <w:t xml:space="preserve">nasavī, mohammad ebn-e ‘alī</w:t>
      </w:r>
    </w:p>
    <w:p>
      <w:pPr>
        <w:pStyle w:val="BookText"/>
      </w:pPr>
      <w:r>
        <w:rPr>
          <w:rFonts w:ascii="IRNazanin" w:hAnsi="IRNazanin" w:eastAsia="IRNazanin" w:cs="IRNazanin"/>
          <w:lang w:bidi="fa-IR"/>
          <w:color w:val="111111"/>
          <w:sz w:val="28"/>
          <w:szCs w:val="28"/>
          <w:rtl/>
        </w:rPr>
        <w:t xml:space="preserve">کتابی برگرفته از تفسیر اسماعيل بن زیاد شامی، با عناوین «قوله - قوله»، در اسباب نزول آیات قرآن به ترتیب سوره ها، با اشاره به عدد سوره ها و کلمات و حروف آنها و بیان ناسخ و منسوخ و داستان های کوتاه و نقل بعضی از اخبار غريبه.</w:t>
      </w:r>
    </w:p>
    <w:p>
      <w:pPr>
        <w:pStyle w:val="BookText"/>
      </w:pPr>
      <w:r>
        <w:rPr>
          <w:rFonts w:ascii="Amiri" w:hAnsi="Amiri" w:eastAsia="Amiri" w:cs="Amiri"/>
          <w:lang w:bidi="ar-SA"/>
          <w:color w:val="111111"/>
          <w:sz w:val="28"/>
          <w:szCs w:val="28"/>
          <w:rtl/>
        </w:rPr>
        <w:t xml:space="preserve">آغاز: الحمدلله الخالق البديع البصير السميع ذي العز المنيع و الطول الوسيع و المجد الرفيع و غافر الذنب القطيع</w:t>
      </w:r>
    </w:p>
    <w:p>
      <w:pPr>
        <w:pStyle w:val="BookText"/>
      </w:pPr>
      <w:r>
        <w:rPr>
          <w:rFonts w:ascii="IRNazanin" w:hAnsi="IRNazanin" w:eastAsia="IRNazanin" w:cs="IRNazanin"/>
          <w:lang w:bidi="fa-IR"/>
          <w:color w:val="111111"/>
          <w:sz w:val="28"/>
          <w:szCs w:val="28"/>
          <w:rtl/>
        </w:rPr>
        <w:t xml:space="preserve">قم؛ مرعشی؛ شماره نسخه: ۲۶۰۸</w:t>
      </w:r>
    </w:p>
    <w:p>
      <w:pPr>
        <w:pStyle w:val="BookText"/>
      </w:pPr>
      <w:r>
        <w:rPr>
          <w:rFonts w:ascii="IRNazanin" w:hAnsi="IRNazanin" w:eastAsia="IRNazanin" w:cs="IRNazanin"/>
          <w:lang w:bidi="fa-IR"/>
          <w:color w:val="111111"/>
          <w:sz w:val="28"/>
          <w:szCs w:val="28"/>
          <w:rtl/>
        </w:rPr>
        <w:t xml:space="preserve">آغاز: برابر، انجام: فبرأ النبي(صلی الله علیه وآله وسلم)عند ذلک من وجعه و قام كأنما نشط من عقال و نزلت خط: نسخ، بی کا، بی تا؛ افتادگی: انجام؛ مصحح؛ تملك: علی بن محمد على الحافظ، محمد الحبشى القادری، محمد مسیح بن محمد باقر الطبيب، ابی بکر بن محمد بن محمد بن فهد بن عبدالله، ابوبکر عبدالله بن احمد ابن الحسن بن على الخالدي الاقلیدی؛</w:t>
      </w:r>
    </w:p>
    <w:p>
      <w:pPr>
        <w:pStyle w:val="BookText"/>
      </w:pPr>
      <w:r>
        <w:rPr>
          <w:rFonts w:ascii="IRNazanin" w:hAnsi="IRNazanin" w:eastAsia="IRNazanin" w:cs="IRNazanin"/>
          <w:lang w:bidi="fa-IR"/>
          <w:color w:val="111111"/>
          <w:sz w:val="28"/>
          <w:szCs w:val="28"/>
          <w:rtl/>
        </w:rPr>
        <w:t xml:space="preserve">جلد: تیماج قهوه ای، ۱۴۵گ، ۳۴سطر، اندازه:۲۵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۷-۱۹۰]</w:t>
      </w:r>
    </w:p>
    <w:p>
      <w:pPr>
        <w:pStyle w:val="BookText"/>
      </w:pPr>
      <w:r>
        <w:rPr>
          <w:rFonts w:ascii="IRNazanin" w:hAnsi="IRNazanin" w:eastAsia="IRNazanin" w:cs="IRNazanin"/>
          <w:lang w:bidi="fa-IR"/>
          <w:color w:val="111111"/>
          <w:sz w:val="28"/>
          <w:szCs w:val="28"/>
          <w:rtl/>
        </w:rPr>
        <w:t xml:space="preserve">قم: مرکز احیاء؛ شماره نسخه: ۶۸۷</w:t>
      </w:r>
    </w:p>
    <w:p>
      <w:pPr>
        <w:pStyle w:val="BookText"/>
      </w:pPr>
      <w:r>
        <w:rPr>
          <w:rFonts w:ascii="IRNazanin" w:hAnsi="IRNazanin" w:eastAsia="IRNazanin" w:cs="IRNazanin"/>
          <w:lang w:bidi="fa-IR"/>
          <w:color w:val="111111"/>
          <w:sz w:val="28"/>
          <w:szCs w:val="28"/>
          <w:rtl/>
        </w:rPr>
        <w:t xml:space="preserve">نسخه اصل: همان نسخه [عکسی ف: ۲-۳۱۶]</w:t>
      </w:r>
    </w:p>
    <w:p>
      <w:pPr>
        <w:pStyle w:val="BookText"/>
      </w:pPr>
      <w:r>
        <w:rPr>
          <w:rFonts w:ascii="IRNazanin" w:hAnsi="IRNazanin" w:eastAsia="IRNazanin" w:cs="IRNazanin"/>
          <w:lang w:bidi="fa-IR"/>
          <w:color w:val="111111"/>
          <w:sz w:val="28"/>
          <w:szCs w:val="28"/>
          <w:rtl/>
        </w:rPr>
        <w:t xml:space="preserve">تهران، دانشگاه شماره نسخه: ۵۲۱۵-ف</w:t>
      </w:r>
    </w:p>
    <w:p>
      <w:pPr>
        <w:pStyle w:val="BookText"/>
      </w:pPr>
      <w:r>
        <w:rPr>
          <w:rFonts w:ascii="Amiri" w:hAnsi="Amiri" w:eastAsia="Amiri" w:cs="Amiri"/>
          <w:lang w:bidi="ar-SA"/>
          <w:color w:val="111111"/>
          <w:sz w:val="28"/>
          <w:szCs w:val="28"/>
          <w:rtl/>
        </w:rPr>
        <w:t xml:space="preserve">نسخه اصل: همان نسخه بالا [فيلمها ف: ۳-۱۴۳]</w:t>
      </w:r>
    </w:p>
    <w:p>
      <w:pPr>
        <w:pStyle w:val="Heading3"/>
      </w:pPr>
      <w:bookmarkStart w:id="1322" w:name="_Toc582"/>
      <w:r>
        <w:t>•بیان قاعدة «اجمعت العصابة على تصحيح ما يصح عنهم» و تعیین اشخاصهم (رسالة في) / رجال / عربی</w:t>
      </w:r>
      <w:bookmarkEnd w:id="1322"/>
    </w:p>
    <w:p>
      <w:pPr>
        <w:pStyle w:val="BookText"/>
      </w:pPr>
      <w:r>
        <w:rPr>
          <w:rFonts w:ascii="Times New Roman" w:hAnsi="Times New Roman" w:eastAsia="Times New Roman" w:cs="Times New Roman"/>
          <w:lang w:val="en-US" w:bidi="en-US"/>
          <w:color w:val="111111"/>
          <w:sz w:val="28"/>
          <w:szCs w:val="28"/>
          <w:rtl/>
        </w:rPr>
        <w:t xml:space="preserve">bayān-u qā'idat-i «ajma‘at-il ‘işāba ‘alā tashīḥ-i mā yaşihh-a 'an-hum&gt;&gt; wa ta'yīn-i ašxāş-i-him (r.-un fi)</w:t>
      </w:r>
    </w:p>
    <w:p>
      <w:pPr>
        <w:pStyle w:val="BookText"/>
      </w:pPr>
      <w:r>
        <w:rPr>
          <w:rFonts w:ascii="IRNazanin" w:hAnsi="IRNazanin" w:eastAsia="IRNazanin" w:cs="IRNazanin"/>
          <w:lang w:bidi="fa-IR"/>
          <w:color w:val="111111"/>
          <w:sz w:val="28"/>
          <w:szCs w:val="28"/>
          <w:rtl/>
        </w:rPr>
        <w:t xml:space="preserve">آرانی کاشانی، محمد علی بن محمد حسن، ۱۱۷۷ ۱۲۴۴ قمری</w:t>
      </w:r>
    </w:p>
    <w:p>
      <w:pPr>
        <w:pStyle w:val="BookText"/>
      </w:pPr>
      <w:r>
        <w:rPr>
          <w:rFonts w:ascii="Times New Roman" w:hAnsi="Times New Roman" w:eastAsia="Times New Roman" w:cs="Times New Roman"/>
          <w:lang w:val="en-US" w:bidi="en-US"/>
          <w:color w:val="111111"/>
          <w:sz w:val="28"/>
          <w:szCs w:val="28"/>
          <w:rtl/>
        </w:rPr>
        <w:t xml:space="preserve">ārānī kāšānī, mohammad ‘alī ebn-e mohammad hasan (1764-1829)</w:t>
      </w:r>
    </w:p>
    <w:p>
      <w:pPr>
        <w:pStyle w:val="BookText"/>
      </w:pPr>
      <w:r>
        <w:rPr>
          <w:rFonts w:ascii="IRNazanin" w:hAnsi="IRNazanin" w:eastAsia="IRNazanin" w:cs="IRNazanin"/>
          <w:lang w:bidi="fa-IR"/>
          <w:color w:val="111111"/>
          <w:sz w:val="28"/>
          <w:szCs w:val="28"/>
          <w:rtl/>
        </w:rPr>
        <w:t xml:space="preserve">رسالهای تحقیقی است درباره قول کشی درباره جماعتی از راویان اخبار: «اجمعت العصابة على تصحيح ما يصح عنهم» و بیان اختلاف و نظرات علماء در این باره. آغاز: بسم الله ... فيقول الغريق ... أن من المهمات عطف عنان الهمة نحو تحقيق قول</w:t>
      </w:r>
    </w:p>
    <w:p>
      <w:pPr>
        <w:pStyle w:val="BookText"/>
      </w:pPr>
      <w:r>
        <w:rPr>
          <w:rFonts w:ascii="IRNazanin" w:hAnsi="IRNazanin" w:eastAsia="IRNazanin" w:cs="IRNazanin"/>
          <w:lang w:bidi="fa-IR"/>
          <w:color w:val="111111"/>
          <w:sz w:val="28"/>
          <w:szCs w:val="28"/>
          <w:rtl/>
        </w:rPr>
        <w:t xml:space="preserve">خوانسار؛ فاضل؛ شماره نسخه: ۲۲۵/۱۴</w:t>
      </w:r>
    </w:p>
    <w:p>
      <w:pPr>
        <w:pStyle w:val="BookText"/>
      </w:pPr>
      <w:r>
        <w:rPr>
          <w:rFonts w:ascii="IRNazanin" w:hAnsi="IRNazanin" w:eastAsia="IRNazanin" w:cs="IRNazanin"/>
          <w:lang w:bidi="fa-IR"/>
          <w:color w:val="111111"/>
          <w:sz w:val="28"/>
          <w:szCs w:val="28"/>
          <w:rtl/>
        </w:rPr>
        <w:t xml:space="preserve">آغاز: برابر خط: نستعلیق، بی کا، تا: دوشنبه ۲۷ شعبان ۱۲۰۷ق؛ جلد: تیماج قرمز ضربی ترنج و سرترنج دار با لچکی، عطف تیماج شتری، ۲۱گ (۱۱۳-۱۳۳)،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۱-۱۸۲]</w:t>
      </w:r>
    </w:p>
    <w:p>
      <w:pPr>
        <w:pStyle w:val="BookText"/>
      </w:pPr>
      <w:r>
        <w:rPr>
          <w:rFonts w:ascii="IRNazanin" w:hAnsi="IRNazanin" w:eastAsia="IRNazanin" w:cs="IRNazanin"/>
          <w:lang w:bidi="fa-IR"/>
          <w:color w:val="111111"/>
          <w:sz w:val="28"/>
          <w:szCs w:val="28"/>
          <w:rtl/>
        </w:rPr>
        <w:t xml:space="preserve">قم؛ مرکز احیاء؛ شماره نسخه: ۵۶۷/۱۵</w:t>
      </w:r>
    </w:p>
    <w:p>
      <w:pPr>
        <w:pStyle w:val="BookText"/>
      </w:pPr>
      <w:r>
        <w:rPr>
          <w:rFonts w:ascii="IRNazanin" w:hAnsi="IRNazanin" w:eastAsia="IRNazanin" w:cs="IRNazanin"/>
          <w:lang w:bidi="fa-IR"/>
          <w:color w:val="111111"/>
          <w:sz w:val="28"/>
          <w:szCs w:val="28"/>
          <w:rtl/>
        </w:rPr>
        <w:t xml:space="preserve">نسخه اصل: همان نسخه بالا [عکسی ف: ۲-۱۵۹]</w:t>
      </w:r>
    </w:p>
    <w:p>
      <w:pPr>
        <w:pStyle w:val="BookText"/>
      </w:pPr>
      <w:r>
        <w:rPr>
          <w:rFonts w:ascii="IRNazanin" w:hAnsi="IRNazanin" w:eastAsia="IRNazanin" w:cs="IRNazanin"/>
          <w:lang w:bidi="fa-IR"/>
          <w:color w:val="111111"/>
          <w:sz w:val="28"/>
          <w:szCs w:val="28"/>
          <w:rtl/>
        </w:rPr>
        <w:t xml:space="preserve">←بیان القافيه←ترجمان القوافي</w:t>
      </w:r>
    </w:p>
    <w:p>
      <w:pPr>
        <w:pStyle w:val="Heading3"/>
      </w:pPr>
      <w:bookmarkStart w:id="1323" w:name="_Toc583"/>
      <w:r>
        <w:t>•بیان الكسور / ریاضیات / عربی</w:t>
      </w:r>
      <w:bookmarkEnd w:id="1323"/>
    </w:p>
    <w:p>
      <w:pPr>
        <w:pStyle w:val="BookText"/>
      </w:pPr>
      <w:r>
        <w:rPr>
          <w:rFonts w:ascii="Times New Roman" w:hAnsi="Times New Roman" w:eastAsia="Times New Roman" w:cs="Times New Roman"/>
          <w:lang w:val="en-US" w:bidi="en-US"/>
          <w:color w:val="111111"/>
          <w:sz w:val="28"/>
          <w:szCs w:val="28"/>
          <w:rtl/>
        </w:rPr>
        <w:t xml:space="preserve">bayān-ul kusūr</w:t>
      </w:r>
    </w:p>
    <w:p>
      <w:pPr>
        <w:pStyle w:val="BookText"/>
      </w:pPr>
      <w:r>
        <w:rPr>
          <w:rFonts w:ascii="IRNazanin" w:hAnsi="IRNazanin" w:eastAsia="IRNazanin" w:cs="IRNazanin"/>
          <w:lang w:bidi="fa-IR"/>
          <w:color w:val="111111"/>
          <w:sz w:val="28"/>
          <w:szCs w:val="28"/>
          <w:rtl/>
        </w:rPr>
        <w:t xml:space="preserve">دارندی، محمد بن عمر،-۱۱۵۲ قمری</w:t>
      </w:r>
    </w:p>
    <w:p>
      <w:pPr>
        <w:pStyle w:val="BookText"/>
      </w:pPr>
      <w:r>
        <w:rPr>
          <w:rFonts w:ascii="Times New Roman" w:hAnsi="Times New Roman" w:eastAsia="Times New Roman" w:cs="Times New Roman"/>
          <w:lang w:val="en-US" w:bidi="en-US"/>
          <w:color w:val="111111"/>
          <w:sz w:val="28"/>
          <w:szCs w:val="28"/>
          <w:rtl/>
        </w:rPr>
        <w:t xml:space="preserve">dārandī, mohammad ebn-e ‘omar (- 1740)</w:t>
      </w:r>
    </w:p>
    <w:p>
      <w:pPr>
        <w:pStyle w:val="BookText"/>
      </w:pPr>
      <w:r>
        <w:rPr>
          <w:rFonts w:ascii="IRNazanin" w:hAnsi="IRNazanin" w:eastAsia="IRNazanin" w:cs="IRNazanin"/>
          <w:lang w:bidi="fa-IR"/>
          <w:color w:val="111111"/>
          <w:sz w:val="28"/>
          <w:szCs w:val="28"/>
          <w:rtl/>
        </w:rPr>
        <w:t xml:space="preserve">رساله ای است در بحث کسور دارای یک «مقدمه» و «مقصد»: المقدمة: در سه فصل»، ۱) اقسام الكسور، ۲) بیان مخارج الكسور، 3) معرفة بسط الكسور؛ المقصد: في معرفة ضرب الكسور. سال درگذشت مؤلف در برخی منابع ۱۱۴۰ق آمده که نادرست است، زیرا در پایان همین رساله، شاگرد وی به تاریخ دقیق درگذشت استاد خویش (۱۱۵۲ق) تصریح نموده است. زدنا ۵۸۹/۲ ؛ هدية العارفین ۳۴۲/۲</w:t>
      </w:r>
    </w:p>
    <w:p>
      <w:pPr>
        <w:pStyle w:val="BookText"/>
      </w:pPr>
      <w:r>
        <w:rPr>
          <w:rFonts w:ascii="IRNazanin" w:hAnsi="IRNazanin" w:eastAsia="IRNazanin" w:cs="IRNazanin"/>
          <w:lang w:bidi="fa-IR"/>
          <w:color w:val="111111"/>
          <w:sz w:val="28"/>
          <w:szCs w:val="28"/>
          <w:rtl/>
        </w:rPr>
        <w:t xml:space="preserve">قم؛ مرعشی؛ شماره نسخه: ۱۴۶۳۸/۱۱</w:t>
      </w:r>
    </w:p>
    <w:p>
      <w:pPr>
        <w:pStyle w:val="BookText"/>
      </w:pPr>
      <w:r>
        <w:rPr>
          <w:rFonts w:ascii="Amiri" w:hAnsi="Amiri" w:eastAsia="Amiri" w:cs="Amiri"/>
          <w:lang w:bidi="ar-SA"/>
          <w:color w:val="111111"/>
          <w:sz w:val="28"/>
          <w:szCs w:val="28"/>
          <w:rtl/>
        </w:rPr>
        <w:t xml:space="preserve">آغاز: قال الشيخ ... في توضيح بحث الكسور: هذه مشتملة على مقدمة و مقصد و في المقدمة، ثلاث فصول، فصل في اقسام الكسر، اعلم ان الكسر اما؛ انجام: و أقسم الأول على الثاني يخرج واحد و سبعة أثمان و هو ... اعني حاصل ضرب اثنين و ربع في نصف و ثلث و قس على ذلك ما شئت من امثاله ...</w:t>
      </w:r>
    </w:p>
    <w:p>
      <w:pPr>
        <w:pStyle w:val="BookText"/>
      </w:pPr>
      <w:r>
        <w:rPr>
          <w:rFonts w:ascii="IRNazanin" w:hAnsi="IRNazanin" w:eastAsia="IRNazanin" w:cs="IRNazanin"/>
          <w:lang w:bidi="fa-IR"/>
          <w:color w:val="111111"/>
          <w:sz w:val="28"/>
          <w:szCs w:val="28"/>
          <w:rtl/>
        </w:rPr>
        <w:t xml:space="preserve">خط: نسخ، كا: اسماعیل حلبی، تا: نیمه دوم قرن ۱۲؛ ترقيمه: «و قد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88" w:name="pg20363_209426"/>
    <w:bookmarkEnd w:id="188"/>
    <w:p>
      <w:pPr>
        <w:pStyle w:val="BookText"/>
      </w:pPr>
      <w:r>
        <w:rPr>
          <w:rFonts w:ascii="IRNazanin" w:hAnsi="IRNazanin" w:eastAsia="IRNazanin" w:cs="IRNazanin"/>
          <w:lang w:bidi="fa-IR"/>
          <w:color w:val="111111"/>
          <w:sz w:val="28"/>
          <w:szCs w:val="28"/>
          <w:rtl/>
        </w:rPr>
        <w:t xml:space="preserve">مات مؤلف هذه الأوراق و هو استاذنا و استاذ الكل، مولانا محمد الدرندی رحمه الله تعالی و جعل الجنة مثواه، في الساعة الثانية و الربع من الليلة الخامسة و العشرين، من ذي القعدة و هي ليلة و هي ليلة الثلاثا، التي هي من الرابع عشر من شباط من السنة التي هي من سنی اثنین و خمسين بعد المائة و الف، على يد اسماعيل الحلبی ...) کاغذ: فرنگی آهار مهره، ۴گ (۷۰پ -۷۳ر)، ۲۷ سطر، اندازه: ۱۶۸۷ سم [ف: ۳۷-۷۹]</w:t>
      </w:r>
    </w:p>
    <w:p>
      <w:pPr>
        <w:pStyle w:val="Heading3"/>
      </w:pPr>
      <w:bookmarkStart w:id="1324" w:name="_Toc584"/>
      <w:r>
        <w:t>• بیان کشف الالفاظ = الاصطلاحات الأصولية و</w:t>
      </w:r>
      <w:bookmarkEnd w:id="1324"/>
    </w:p>
    <w:p>
      <w:pPr>
        <w:pStyle w:val="BookText"/>
      </w:pPr>
      <w:r>
        <w:rPr>
          <w:rFonts w:ascii="IRNazanin" w:hAnsi="IRNazanin" w:eastAsia="IRNazanin" w:cs="IRNazanin"/>
          <w:lang w:bidi="fa-IR"/>
          <w:color w:val="111111"/>
          <w:sz w:val="28"/>
          <w:szCs w:val="28"/>
          <w:rtl/>
        </w:rPr>
        <w:t xml:space="preserve">الفقهية / اصول فقه / عربی</w:t>
      </w:r>
    </w:p>
    <w:p>
      <w:pPr>
        <w:pStyle w:val="BookText"/>
      </w:pPr>
      <w:r>
        <w:rPr>
          <w:rFonts w:ascii="Times New Roman" w:hAnsi="Times New Roman" w:eastAsia="Times New Roman" w:cs="Times New Roman"/>
          <w:lang w:val="en-US" w:bidi="en-US"/>
          <w:color w:val="111111"/>
          <w:sz w:val="28"/>
          <w:szCs w:val="28"/>
          <w:rtl/>
        </w:rPr>
        <w:t xml:space="preserve">bayān-u kašf-il alfāz = al-istilāḥāt-ul uşūlīya wa-l</w:t>
      </w:r>
    </w:p>
    <w:p>
      <w:pPr>
        <w:pStyle w:val="BookText"/>
      </w:pPr>
      <w:r>
        <w:rPr>
          <w:rFonts w:ascii="Times New Roman" w:hAnsi="Times New Roman" w:eastAsia="Times New Roman" w:cs="Times New Roman"/>
          <w:lang w:val="en-US" w:bidi="en-US"/>
          <w:color w:val="111111"/>
          <w:sz w:val="28"/>
          <w:szCs w:val="28"/>
          <w:rtl/>
        </w:rPr>
        <w:t xml:space="preserve">fiqhīya</w:t>
      </w:r>
    </w:p>
    <w:p>
      <w:pPr>
        <w:pStyle w:val="BookText"/>
      </w:pPr>
      <w:r>
        <w:rPr>
          <w:rFonts w:ascii="IRNazanin" w:hAnsi="IRNazanin" w:eastAsia="IRNazanin" w:cs="IRNazanin"/>
          <w:lang w:bidi="fa-IR"/>
          <w:color w:val="111111"/>
          <w:sz w:val="28"/>
          <w:szCs w:val="28"/>
          <w:rtl/>
        </w:rPr>
        <w:t xml:space="preserve">آبذی، احمد بن محمد، ۸۰۰-۸۶۰ قمری</w:t>
      </w:r>
    </w:p>
    <w:p>
      <w:pPr>
        <w:pStyle w:val="BookText"/>
      </w:pPr>
      <w:r>
        <w:rPr>
          <w:rFonts w:ascii="Times New Roman" w:hAnsi="Times New Roman" w:eastAsia="Times New Roman" w:cs="Times New Roman"/>
          <w:lang w:val="en-US" w:bidi="en-US"/>
          <w:color w:val="111111"/>
          <w:sz w:val="28"/>
          <w:szCs w:val="28"/>
          <w:rtl/>
        </w:rPr>
        <w:t xml:space="preserve">ābzī, ahmad ebn-e mohammad (1398-1456)</w:t>
      </w:r>
    </w:p>
    <w:p>
      <w:pPr>
        <w:pStyle w:val="BookText"/>
      </w:pPr>
      <w:r>
        <w:rPr>
          <w:rFonts w:ascii="IRNazanin" w:hAnsi="IRNazanin" w:eastAsia="IRNazanin" w:cs="IRNazanin"/>
          <w:lang w:bidi="fa-IR"/>
          <w:color w:val="111111"/>
          <w:sz w:val="28"/>
          <w:szCs w:val="28"/>
          <w:rtl/>
        </w:rPr>
        <w:t xml:space="preserve">رساله مختصری در بیان معانی الفاظ مستعمله در متون فقهی است که فقها از آن الفاظ در بیان احکام شرعی استفاده می نمایند. مؤلف این رساله در فهرست نسخه های خطی کتابخانه ظاهریه، شناخته نشده، از سوی دیگر در فهرست اوقاف سلیمانیه عراق، از حسن بن عمار شرنبلانی (- ۱۰۶۹هـ) دانسته شده، البته این انتساب به دلیل تاریخ کتابت نسخه مرعشی (حدود ۹۶۰ق) نمی تواند صحیح باشد. آغاز: بسمله، الحمد لله رب العالمين، و العاقبة للمتقين و الصلاة و السلام على رسوله محمد و آله اجمعين، لابد للفقيه من معرفة الألفاظ المستعملة التي تجري على السن الفقهاء انجام: و خبر الآحاد و هو نقل واحد عن واحد و هو لم يدخل في حد الاشتهار، و حكمه يوجب العمل دون العلم و لهذا، لا يكون حجة في المسائل الاعتقادية، و الحمدلله ...</w:t>
      </w:r>
    </w:p>
    <w:p>
      <w:pPr>
        <w:pStyle w:val="BookText"/>
      </w:pPr>
      <w:r>
        <w:rPr>
          <w:rFonts w:ascii="Amiri" w:hAnsi="Amiri" w:eastAsia="Amiri" w:cs="Amiri"/>
          <w:lang w:bidi="ar-SA"/>
          <w:color w:val="111111"/>
          <w:sz w:val="28"/>
          <w:szCs w:val="28"/>
          <w:rtl/>
        </w:rPr>
        <w:t xml:space="preserve">[فهرس المخطوطات المصورة الموجودة بمكتبة المخطوطات بجامعة الكويت ۲۷۱/۱ ؛ فهرس مخطوطات مكتبة الاوقاف المركزية في السليمانية ۲۳۳/۱ ؛ معجم المؤلفين ۱۵۰/۲ ]</w:t>
      </w:r>
    </w:p>
    <w:p>
      <w:pPr>
        <w:pStyle w:val="BookText"/>
      </w:pPr>
      <w:r>
        <w:rPr>
          <w:rFonts w:ascii="IRNazanin" w:hAnsi="IRNazanin" w:eastAsia="IRNazanin" w:cs="IRNazanin"/>
          <w:lang w:bidi="fa-IR"/>
          <w:color w:val="111111"/>
          <w:sz w:val="28"/>
          <w:szCs w:val="28"/>
          <w:rtl/>
        </w:rPr>
        <w:t xml:space="preserve">۱. قم؛ مرعشی؛ شماره نسخه: ۱۴۶۴۳/۷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بی کا، تا: قرن ۱۰؛ کاغذ: شرقی، ۴گ (۵۷پ -۶۰ر)، ۲۵ سطر، اندازه: ۱۳/۵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۱۸/۵ سم [ف: ۳۷-۹۲]</w:t>
      </w:r>
    </w:p>
    <w:p>
      <w:pPr>
        <w:pStyle w:val="BookText"/>
      </w:pPr>
      <w:r>
        <w:rPr>
          <w:rFonts w:ascii="IRNazanin" w:hAnsi="IRNazanin" w:eastAsia="IRNazanin" w:cs="IRNazanin"/>
          <w:lang w:bidi="fa-IR"/>
          <w:color w:val="111111"/>
          <w:sz w:val="28"/>
          <w:szCs w:val="28"/>
          <w:rtl/>
        </w:rPr>
        <w:t xml:space="preserve">۲. مشهد؛ رضوی؛ شماره نسخه: ۳۶۳۹۶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بن شیخ سعید، تا: ۱۰۸۳ق؛ اهدایی: رهبری، مهر ۱۳۸۶؛ کاغذ: نخودی آهار مهره، جلد: تیماج مشکی یک لا با حواشی زنجیره ای ضربی، ۶گ، ۱۵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سم [اهدائی رهبر: ۳-۶۹]</w:t>
      </w:r>
    </w:p>
    <w:p>
      <w:pPr>
        <w:pStyle w:val="BookText"/>
      </w:pPr>
      <w:r>
        <w:rPr>
          <w:rFonts w:ascii="IRNazanin" w:hAnsi="IRNazanin" w:eastAsia="IRNazanin" w:cs="IRNazanin"/>
          <w:lang w:bidi="fa-IR"/>
          <w:color w:val="111111"/>
          <w:sz w:val="28"/>
          <w:szCs w:val="28"/>
          <w:rtl/>
        </w:rPr>
        <w:t xml:space="preserve">٣. مشهد؛ شیخ علی حیدر؛ شماره نسخه: ۴۲۷/۲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فهرست ناشناس آمده؛ بی کا، بی تا؛ جلد: چرم مشکی، ۶گ (۷۱پ -۷۶پ)، ۱۹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سم (مؤید: ۱-۳۴۵)</w:t>
      </w:r>
    </w:p>
    <w:p>
      <w:pPr>
        <w:pStyle w:val="Heading3"/>
      </w:pPr>
      <w:bookmarkStart w:id="1325" w:name="_Toc585"/>
      <w:r>
        <w:t>• بیان «كن في الدنيا كانک غریب» (رساله در) / عرفان و تصوف / فارسی</w:t>
      </w:r>
      <w:bookmarkEnd w:id="1325"/>
    </w:p>
    <w:p>
      <w:pPr>
        <w:pStyle w:val="BookText"/>
      </w:pPr>
      <w:r>
        <w:rPr>
          <w:rFonts w:ascii="Times New Roman" w:hAnsi="Times New Roman" w:eastAsia="Times New Roman" w:cs="Times New Roman"/>
          <w:lang w:val="en-US" w:bidi="en-US"/>
          <w:color w:val="111111"/>
          <w:sz w:val="28"/>
          <w:szCs w:val="28"/>
          <w:rtl/>
        </w:rPr>
        <w:t xml:space="preserve">bayān-u «kun fi-d dunyā ka-anna-ka garīb» (r. dar)</w:t>
      </w:r>
    </w:p>
    <w:p>
      <w:pPr>
        <w:pStyle w:val="BookText"/>
      </w:pPr>
      <w:r>
        <w:rPr>
          <w:rFonts w:ascii="IRNazanin" w:hAnsi="IRNazanin" w:eastAsia="IRNazanin" w:cs="IRNazanin"/>
          <w:lang w:bidi="fa-IR"/>
          <w:color w:val="111111"/>
          <w:sz w:val="28"/>
          <w:szCs w:val="28"/>
          <w:rtl/>
        </w:rPr>
        <w:t xml:space="preserve">جمالی اردستانی، جمال الدين محمد، ۸۱۴-۸۸۳؟ قمری</w:t>
      </w:r>
    </w:p>
    <w:p>
      <w:pPr>
        <w:pStyle w:val="BookText"/>
      </w:pPr>
      <w:r>
        <w:rPr>
          <w:rFonts w:ascii="Times New Roman" w:hAnsi="Times New Roman" w:eastAsia="Times New Roman" w:cs="Times New Roman"/>
          <w:lang w:val="en-US" w:bidi="en-US"/>
          <w:color w:val="111111"/>
          <w:sz w:val="28"/>
          <w:szCs w:val="28"/>
          <w:rtl/>
        </w:rPr>
        <w:t xml:space="preserve">jamālī ardestānī, jamāl-od-dīn mohammad (1412-1479)</w:t>
      </w:r>
    </w:p>
    <w:p>
      <w:pPr>
        <w:pStyle w:val="BookText"/>
      </w:pPr>
      <w:r>
        <w:rPr>
          <w:rFonts w:ascii="IRNazanin" w:hAnsi="IRNazanin" w:eastAsia="IRNazanin" w:cs="IRNazanin"/>
          <w:lang w:bidi="fa-IR"/>
          <w:color w:val="111111"/>
          <w:sz w:val="28"/>
          <w:szCs w:val="28"/>
          <w:rtl/>
        </w:rPr>
        <w:t xml:space="preserve">تهران؛ مجلس؛ شماره نسخه: ۹۳۲۶/۳۷</w:t>
      </w:r>
    </w:p>
    <w:p>
      <w:pPr>
        <w:pStyle w:val="BookText"/>
      </w:pPr>
      <w:r>
        <w:rPr>
          <w:rFonts w:ascii="IRNazanin" w:hAnsi="IRNazanin" w:eastAsia="IRNazanin" w:cs="IRNazanin"/>
          <w:lang w:bidi="fa-IR"/>
          <w:color w:val="111111"/>
          <w:sz w:val="28"/>
          <w:szCs w:val="28"/>
          <w:rtl/>
        </w:rPr>
        <w:t xml:space="preserve">خط: نستعلیق، کا: محمد کریم بن میرزا زمان، تا: قرن ۱۳؛ ۲ص ( ۶۵۵-۶۵۴ ) [مختصر ف: ۱۱۵]</w:t>
      </w:r>
    </w:p>
    <w:p>
      <w:pPr>
        <w:pStyle w:val="Heading3"/>
      </w:pPr>
      <w:bookmarkStart w:id="1326" w:name="_Toc586"/>
      <w:r>
        <w:t>•بیان کواکب ثوابت / ریاضیات / فارسی</w:t>
      </w:r>
      <w:bookmarkEnd w:id="1326"/>
    </w:p>
    <w:p>
      <w:pPr>
        <w:pStyle w:val="BookText"/>
      </w:pPr>
      <w:r>
        <w:rPr>
          <w:rFonts w:ascii="Times New Roman" w:hAnsi="Times New Roman" w:eastAsia="Times New Roman" w:cs="Times New Roman"/>
          <w:lang w:val="en-US" w:bidi="en-US"/>
          <w:color w:val="111111"/>
          <w:sz w:val="28"/>
          <w:szCs w:val="28"/>
          <w:rtl/>
        </w:rPr>
        <w:t xml:space="preserve">bayān-e kavākeb-e savābet</w:t>
      </w:r>
    </w:p>
    <w:p>
      <w:pPr>
        <w:pStyle w:val="BookText"/>
      </w:pPr>
      <w:r>
        <w:rPr>
          <w:rFonts w:ascii="IRNazanin" w:hAnsi="IRNazanin" w:eastAsia="IRNazanin" w:cs="IRNazanin"/>
          <w:lang w:bidi="fa-IR"/>
          <w:color w:val="111111"/>
          <w:sz w:val="28"/>
          <w:szCs w:val="28"/>
          <w:rtl/>
        </w:rPr>
        <w:t xml:space="preserve">رمال، حيدر بن محمد، ق۷ قمری</w:t>
      </w:r>
    </w:p>
    <w:p>
      <w:pPr>
        <w:pStyle w:val="BookText"/>
      </w:pPr>
      <w:r>
        <w:rPr>
          <w:rFonts w:ascii="Times New Roman" w:hAnsi="Times New Roman" w:eastAsia="Times New Roman" w:cs="Times New Roman"/>
          <w:lang w:val="en-US" w:bidi="en-US"/>
          <w:color w:val="111111"/>
          <w:sz w:val="28"/>
          <w:szCs w:val="28"/>
          <w:rtl/>
        </w:rPr>
        <w:t xml:space="preserve">rammāl, heydar ebn-e mohammad (- 13c)</w:t>
      </w:r>
    </w:p>
    <w:p>
      <w:pPr>
        <w:pStyle w:val="BookText"/>
      </w:pPr>
      <w:r>
        <w:rPr>
          <w:rFonts w:ascii="IRNazanin" w:hAnsi="IRNazanin" w:eastAsia="IRNazanin" w:cs="IRNazanin"/>
          <w:lang w:bidi="fa-IR"/>
          <w:color w:val="111111"/>
          <w:sz w:val="28"/>
          <w:szCs w:val="28"/>
          <w:rtl/>
        </w:rPr>
        <w:t xml:space="preserve">مشهد؛ رضوی؛ شماره نسخه: ۲۶۳۲/۵</w:t>
      </w:r>
    </w:p>
    <w:p>
      <w:pPr>
        <w:pStyle w:val="BookText"/>
      </w:pPr>
      <w:r>
        <w:rPr>
          <w:rFonts w:ascii="IRNazanin" w:hAnsi="IRNazanin" w:eastAsia="IRNazanin" w:cs="IRNazanin"/>
          <w:lang w:bidi="fa-IR"/>
          <w:color w:val="111111"/>
          <w:sz w:val="28"/>
          <w:szCs w:val="28"/>
          <w:rtl/>
        </w:rPr>
        <w:t xml:space="preserve">آغاز: در بيا كواكب ثوابت بدان که ۱۰۲۲ برصد یافته اند؛ انجام: شصت و نه هزار و جهارصد ... شانزده و الله اعلم خط: نسخ، بی کا، تا: ۶۸۰ق؛ کاغذ: حنایی، جلد: تیماج ضربی رایانه ]</w:t>
      </w:r>
    </w:p>
    <w:p>
      <w:pPr>
        <w:pStyle w:val="BookText"/>
      </w:pPr>
      <w:r>
        <w:rPr>
          <w:rFonts w:ascii="Amiri" w:hAnsi="Amiri" w:eastAsia="Amiri" w:cs="Amiri"/>
          <w:lang w:bidi="ar-SA"/>
          <w:color w:val="111111"/>
          <w:sz w:val="28"/>
          <w:szCs w:val="28"/>
          <w:rtl/>
        </w:rPr>
        <w:t xml:space="preserve">← بيان كيفية القياس و كيفية الاستدلال ← انالوطيقا الأولى (مختصر)</w:t>
      </w:r>
    </w:p>
    <w:p>
      <w:pPr>
        <w:pStyle w:val="Heading3"/>
      </w:pPr>
      <w:bookmarkStart w:id="1327" w:name="_Toc587"/>
      <w:r>
        <w:t>•بیان کیفیت رویه الله (رساله در) / كلام و اعتقادات / عربی</w:t>
      </w:r>
      <w:bookmarkEnd w:id="1327"/>
    </w:p>
    <w:p>
      <w:pPr>
        <w:pStyle w:val="BookText"/>
      </w:pPr>
      <w:r>
        <w:rPr>
          <w:rFonts w:ascii="Times New Roman" w:hAnsi="Times New Roman" w:eastAsia="Times New Roman" w:cs="Times New Roman"/>
          <w:lang w:val="en-US" w:bidi="en-US"/>
          <w:color w:val="111111"/>
          <w:sz w:val="28"/>
          <w:szCs w:val="28"/>
          <w:rtl/>
        </w:rPr>
        <w:t xml:space="preserve">bayān-e kayfīyyat-i ru’yat-ul lāh (r. F7)</w:t>
      </w:r>
    </w:p>
    <w:p>
      <w:pPr>
        <w:pStyle w:val="BookText"/>
      </w:pPr>
      <w:r>
        <w:rPr>
          <w:rFonts w:ascii="IRNazanin" w:hAnsi="IRNazanin" w:eastAsia="IRNazanin" w:cs="IRNazanin"/>
          <w:lang w:bidi="fa-IR"/>
          <w:color w:val="111111"/>
          <w:sz w:val="28"/>
          <w:szCs w:val="28"/>
          <w:rtl/>
        </w:rPr>
        <w:t xml:space="preserve">وحید بهبهانی، محمد باقر بن محمد اکمل، ۱۱۱۸ ۱۲۰۵ قمری</w:t>
      </w:r>
    </w:p>
    <w:p>
      <w:pPr>
        <w:pStyle w:val="BookText"/>
      </w:pPr>
      <w:r>
        <w:rPr>
          <w:rFonts w:ascii="Times New Roman" w:hAnsi="Times New Roman" w:eastAsia="Times New Roman" w:cs="Times New Roman"/>
          <w:lang w:val="en-US" w:bidi="en-US"/>
          <w:color w:val="111111"/>
          <w:sz w:val="28"/>
          <w:szCs w:val="28"/>
          <w:rtl/>
        </w:rPr>
        <w:t xml:space="preserve">ebn-e</w:t>
      </w:r>
    </w:p>
    <w:p>
      <w:pPr>
        <w:pStyle w:val="BookText"/>
      </w:pPr>
      <w:r>
        <w:rPr>
          <w:rFonts w:ascii="Times New Roman" w:hAnsi="Times New Roman" w:eastAsia="Times New Roman" w:cs="Times New Roman"/>
          <w:lang w:val="en-US" w:bidi="en-US"/>
          <w:color w:val="111111"/>
          <w:sz w:val="28"/>
          <w:szCs w:val="28"/>
          <w:rtl/>
        </w:rPr>
        <w:t xml:space="preserve">vahid-e behbahani, mohammad baqer mohammad akmal (1707-1791)</w:t>
      </w:r>
    </w:p>
    <w:p>
      <w:pPr>
        <w:pStyle w:val="BookText"/>
      </w:pPr>
      <w:r>
        <w:rPr>
          <w:rFonts w:ascii="IRNazanin" w:hAnsi="IRNazanin" w:eastAsia="IRNazanin" w:cs="IRNazanin"/>
          <w:lang w:bidi="fa-IR"/>
          <w:color w:val="111111"/>
          <w:sz w:val="28"/>
          <w:szCs w:val="28"/>
          <w:rtl/>
        </w:rPr>
        <w:t xml:space="preserve">مشهد؛ رضوی؛ شماره نسخه: ۱۸۵۱۰</w:t>
      </w:r>
    </w:p>
    <w:p>
      <w:pPr>
        <w:pStyle w:val="BookText"/>
      </w:pPr>
      <w:r>
        <w:rPr>
          <w:rFonts w:ascii="IRNazanin" w:hAnsi="IRNazanin" w:eastAsia="IRNazanin" w:cs="IRNazanin"/>
          <w:lang w:bidi="fa-IR"/>
          <w:color w:val="111111"/>
          <w:sz w:val="28"/>
          <w:szCs w:val="28"/>
          <w:rtl/>
        </w:rPr>
        <w:t xml:space="preserve">آغاز: بسمله و به ثقتي الحمدلله رب العالمين وصلى الله على محمد و آله الطاهرین؛ انجام: فنسئل الهدایه و العصمه .. الحمدلله اولا و آخرا تمت الرساله الشريفه خط: نستعلیق، بی کا، تا: قرن ۱۳؛ کاغذ: آبی، جلد: تیماج، ۲۷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[رایانه]</w:t>
      </w:r>
    </w:p>
    <w:p>
      <w:pPr>
        <w:pStyle w:val="Heading3"/>
      </w:pPr>
      <w:bookmarkStart w:id="1328" w:name="_Toc588"/>
      <w:r>
        <w:t>• بيان لا اله الا الله / كلام و اعتقادات / فارسی</w:t>
      </w:r>
      <w:bookmarkEnd w:id="1328"/>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89" w:name="pg20363_209427"/>
    <w:bookmarkEnd w:id="189"/>
    <w:p>
      <w:pPr>
        <w:pStyle w:val="BookText"/>
      </w:pPr>
      <w:r>
        <w:rPr>
          <w:rFonts w:ascii="Times New Roman" w:hAnsi="Times New Roman" w:eastAsia="Times New Roman" w:cs="Times New Roman"/>
          <w:lang w:val="en-US" w:bidi="en-US"/>
          <w:color w:val="111111"/>
          <w:sz w:val="28"/>
          <w:szCs w:val="28"/>
          <w:rtl/>
        </w:rPr>
        <w:t xml:space="preserve">bayān-e lā elāh-a ella-1 lāh</w:t>
      </w:r>
    </w:p>
    <w:p>
      <w:pPr>
        <w:pStyle w:val="BookText"/>
      </w:pPr>
      <w:r>
        <w:rPr>
          <w:rFonts w:ascii="IRNazanin" w:hAnsi="IRNazanin" w:eastAsia="IRNazanin" w:cs="IRNazanin"/>
          <w:lang w:bidi="fa-IR"/>
          <w:color w:val="111111"/>
          <w:sz w:val="28"/>
          <w:szCs w:val="28"/>
          <w:rtl/>
        </w:rPr>
        <w:t xml:space="preserve">علاء الدوله سمنانی، احمد بن محمد، ۶۵۹-۷۳۶ ؟ قمری</w:t>
      </w:r>
    </w:p>
    <w:p>
      <w:pPr>
        <w:pStyle w:val="BookText"/>
      </w:pPr>
      <w:r>
        <w:rPr>
          <w:rFonts w:ascii="Times New Roman" w:hAnsi="Times New Roman" w:eastAsia="Times New Roman" w:cs="Times New Roman"/>
          <w:lang w:val="en-US" w:bidi="en-US"/>
          <w:color w:val="111111"/>
          <w:sz w:val="28"/>
          <w:szCs w:val="28"/>
          <w:rtl/>
        </w:rPr>
        <w:t xml:space="preserve">‘alāʻ-od dowle-ye semnānī, ahmad ebn-e mohammad (1262-1336)</w:t>
      </w:r>
    </w:p>
    <w:p>
      <w:pPr>
        <w:pStyle w:val="BookText"/>
      </w:pPr>
      <w:r>
        <w:rPr>
          <w:rFonts w:ascii="IRNazanin" w:hAnsi="IRNazanin" w:eastAsia="IRNazanin" w:cs="IRNazanin"/>
          <w:lang w:bidi="fa-IR"/>
          <w:color w:val="111111"/>
          <w:sz w:val="28"/>
          <w:szCs w:val="28"/>
          <w:rtl/>
        </w:rPr>
        <w:t xml:space="preserve">منقول از کتاب فتح المبين او.</w:t>
      </w:r>
    </w:p>
    <w:p>
      <w:pPr>
        <w:pStyle w:val="BookText"/>
      </w:pPr>
      <w:r>
        <w:rPr>
          <w:rFonts w:ascii="Amiri" w:hAnsi="Amiri" w:eastAsia="Amiri" w:cs="Amiri"/>
          <w:lang w:bidi="ar-SA"/>
          <w:color w:val="111111"/>
          <w:sz w:val="28"/>
          <w:szCs w:val="28"/>
          <w:rtl/>
        </w:rPr>
        <w:t xml:space="preserve">مشهد؛ الهيات؛ شماره نسخه: ۶۹۴/۱۰</w:t>
      </w:r>
    </w:p>
    <w:p>
      <w:pPr>
        <w:pStyle w:val="BookText"/>
      </w:pPr>
      <w:r>
        <w:rPr>
          <w:rFonts w:ascii="IRNazanin" w:hAnsi="IRNazanin" w:eastAsia="IRNazanin" w:cs="IRNazanin"/>
          <w:lang w:bidi="fa-IR"/>
          <w:color w:val="111111"/>
          <w:sz w:val="28"/>
          <w:szCs w:val="28"/>
          <w:rtl/>
        </w:rPr>
        <w:t xml:space="preserve">آغاز: بسمله حضرت عارف حقانی کمال الملة والدين شيخ علاء الدولة السمنانی در رساله فتح المبين چنین فرموده اند که شرط پنجم دوام ذكر لا اله الا الله است؛ انجام: که نمی خواهم هیچ چیز را مگر خدای را جل جلاله</w:t>
      </w:r>
    </w:p>
    <w:p>
      <w:pPr>
        <w:pStyle w:val="BookText"/>
      </w:pPr>
      <w:r>
        <w:rPr>
          <w:rFonts w:ascii="IRNazanin" w:hAnsi="IRNazanin" w:eastAsia="IRNazanin" w:cs="IRNazanin"/>
          <w:lang w:bidi="fa-IR"/>
          <w:color w:val="111111"/>
          <w:sz w:val="28"/>
          <w:szCs w:val="28"/>
          <w:rtl/>
        </w:rPr>
        <w:t xml:space="preserve">خط: نسخ و نستعلیق، بی کا، بی تا؛ کاغذ فرنگی و فستقی؛ جلد: تیماج عنابی، ۲گ، اندازه: ۱۳/۵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۲۲/۵سم [ف: ۱-۵۳۶]</w:t>
      </w:r>
    </w:p>
    <w:p>
      <w:pPr>
        <w:pStyle w:val="Heading3"/>
      </w:pPr>
      <w:bookmarkStart w:id="1329" w:name="_Toc589"/>
      <w:r>
        <w:t>• بیان لتوصل المطالب على طريق اللب و القشر /عربی</w:t>
      </w:r>
      <w:bookmarkEnd w:id="1329"/>
    </w:p>
    <w:p>
      <w:pPr>
        <w:pStyle w:val="BookText"/>
      </w:pPr>
      <w:r>
        <w:rPr>
          <w:rFonts w:ascii="Times New Roman" w:hAnsi="Times New Roman" w:eastAsia="Times New Roman" w:cs="Times New Roman"/>
          <w:lang w:val="en-US" w:bidi="en-US"/>
          <w:color w:val="111111"/>
          <w:sz w:val="28"/>
          <w:szCs w:val="28"/>
          <w:rtl/>
        </w:rPr>
        <w:t xml:space="preserve">bayān-un li-tawașşul-il mațālib ‘alā țarīq-il lub-i wa-l qišr</w:t>
      </w:r>
    </w:p>
    <w:p>
      <w:pPr>
        <w:pStyle w:val="BookText"/>
      </w:pPr>
      <w:r>
        <w:rPr>
          <w:rFonts w:ascii="IRNazanin" w:hAnsi="IRNazanin" w:eastAsia="IRNazanin" w:cs="IRNazanin"/>
          <w:lang w:bidi="fa-IR"/>
          <w:color w:val="111111"/>
          <w:sz w:val="28"/>
          <w:szCs w:val="28"/>
          <w:rtl/>
        </w:rPr>
        <w:t xml:space="preserve">تهران؛ دانشگاه؛ شماره نسخه: ۱۰۸۴۱/۴</w:t>
      </w:r>
    </w:p>
    <w:p>
      <w:pPr>
        <w:pStyle w:val="BookText"/>
      </w:pPr>
      <w:r>
        <w:rPr>
          <w:rFonts w:ascii="IRNazanin" w:hAnsi="IRNazanin" w:eastAsia="IRNazanin" w:cs="IRNazanin"/>
          <w:lang w:bidi="fa-IR"/>
          <w:color w:val="111111"/>
          <w:sz w:val="28"/>
          <w:szCs w:val="28"/>
          <w:rtl/>
        </w:rPr>
        <w:t xml:space="preserve">آغاز: التوصل الى المطالب النظرية و المعارف الأصولية اما بطريق الفكر و هو مسلک المتکلمین و المشائين او بالرياضة و هو طريق الصوفية و الاشراقین. مثل الفريقيين كمثل الاعمى و الأصم و البصير و السميع هل يستويان؛ انجام: و لذلك وقع فيه الاختلاف العظيم. و لقد در العارف الرومي بحيث يقول: پای استدلالیان چوبین بود</w:t>
      </w:r>
      <w:r>
        <w:rPr>
          <w:rFonts w:ascii="IRNazanin" w:hAnsi="IRNazanin" w:eastAsia="IRNazanin" w:cs="IRNazanin"/>
          <w:lang w:bidi="fa-IR"/>
          <w:color w:val="111111"/>
          <w:sz w:val="28"/>
          <w:szCs w:val="28"/>
          <w:b w:val="1"/>
          <w:bCs w:val="1"/>
          <w:i w:val="1"/>
          <w:iCs w:val="1"/>
          <w:rtl/>
        </w:rPr>
        <w:t xml:space="preserve">پای چوبین سخت بی تمکین بود اگر کسی از عقل با تمکین بدی</w:t>
      </w:r>
      <w:r>
        <w:rPr>
          <w:rFonts w:ascii="IRNazanin" w:hAnsi="IRNazanin" w:eastAsia="IRNazanin" w:cs="IRNazanin"/>
          <w:lang w:bidi="fa-IR"/>
          <w:color w:val="111111"/>
          <w:sz w:val="28"/>
          <w:szCs w:val="28"/>
          <w:rtl/>
        </w:rPr>
        <w:t xml:space="preserve">فخر رازی رازدار دین بدی. و لله در الفخر الرازي</w:t>
      </w:r>
    </w:p>
    <w:p>
      <w:pPr>
        <w:pStyle w:val="BookText"/>
      </w:pPr>
      <w:r>
        <w:rPr>
          <w:rFonts w:ascii="IRNazanin" w:hAnsi="IRNazanin" w:eastAsia="IRNazanin" w:cs="IRNazanin"/>
          <w:lang w:bidi="fa-IR"/>
          <w:color w:val="111111"/>
          <w:sz w:val="28"/>
          <w:szCs w:val="28"/>
          <w:rtl/>
        </w:rPr>
        <w:t xml:space="preserve">حيث يقول: نهاية اقدام العقول عقال*** وغاية سعی العالمين ضلال / لم يستفد يحثنا طول عمرنا*** سوى أن جمعنا فيه قیل و قال</w:t>
      </w:r>
    </w:p>
    <w:p>
      <w:pPr>
        <w:pStyle w:val="BookText"/>
      </w:pPr>
      <w:r>
        <w:rPr>
          <w:rFonts w:ascii="IRNazanin" w:hAnsi="IRNazanin" w:eastAsia="IRNazanin" w:cs="IRNazanin"/>
          <w:lang w:bidi="fa-IR"/>
          <w:color w:val="111111"/>
          <w:sz w:val="28"/>
          <w:szCs w:val="28"/>
          <w:rtl/>
        </w:rPr>
        <w:t xml:space="preserve">خط: نسخ، بی کا، بی تا؛ جلد: تیماج مشکی یک لا ضربی، با ترنج و سرترنج، عطف تیماج قهوه ای، اص (5ر)، ابعاد متن: ۲۰۷۹، قطع: بياضي،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۲۰-۳۷۷]</w:t>
      </w:r>
    </w:p>
    <w:p>
      <w:pPr>
        <w:pStyle w:val="Heading3"/>
      </w:pPr>
      <w:bookmarkStart w:id="1330" w:name="_Toc590"/>
      <w:r>
        <w:t>• البيان لحقيقة الايمان / کلام و اعتقادات / عربی</w:t>
      </w:r>
      <w:bookmarkEnd w:id="1330"/>
    </w:p>
    <w:p>
      <w:pPr>
        <w:pStyle w:val="BookText"/>
      </w:pPr>
      <w:r>
        <w:rPr>
          <w:rFonts w:ascii="Times New Roman" w:hAnsi="Times New Roman" w:eastAsia="Times New Roman" w:cs="Times New Roman"/>
          <w:lang w:val="en-US" w:bidi="en-US"/>
          <w:color w:val="111111"/>
          <w:sz w:val="28"/>
          <w:szCs w:val="28"/>
          <w:rtl/>
        </w:rPr>
        <w:t xml:space="preserve">al-bayān li-ḥaqīqat-il īmān</w:t>
      </w:r>
    </w:p>
    <w:p>
      <w:pPr>
        <w:pStyle w:val="BookText"/>
      </w:pPr>
      <w:r>
        <w:rPr>
          <w:rFonts w:ascii="IRNazanin" w:hAnsi="IRNazanin" w:eastAsia="IRNazanin" w:cs="IRNazanin"/>
          <w:lang w:bidi="fa-IR"/>
          <w:color w:val="111111"/>
          <w:sz w:val="28"/>
          <w:szCs w:val="28"/>
          <w:rtl/>
        </w:rPr>
        <w:t xml:space="preserve">بهاری همدانی، محمد باقر بن محمد جعفر، ۱۲۷۷ ۱۳۳۳ قمری</w:t>
      </w:r>
    </w:p>
    <w:p>
      <w:pPr>
        <w:pStyle w:val="BookText"/>
      </w:pPr>
      <w:r>
        <w:rPr>
          <w:rFonts w:ascii="Times New Roman" w:hAnsi="Times New Roman" w:eastAsia="Times New Roman" w:cs="Times New Roman"/>
          <w:lang w:val="en-US" w:bidi="en-US"/>
          <w:color w:val="111111"/>
          <w:sz w:val="28"/>
          <w:szCs w:val="28"/>
          <w:rtl/>
        </w:rPr>
        <w:t xml:space="preserve">bahārī hamadānī, mohammad bāqer ebn-e mohammad ja'far (1861-1915)</w:t>
      </w:r>
    </w:p>
    <w:p>
      <w:pPr>
        <w:pStyle w:val="BookText"/>
      </w:pPr>
      <w:r>
        <w:rPr>
          <w:rFonts w:ascii="IRNazanin" w:hAnsi="IRNazanin" w:eastAsia="IRNazanin" w:cs="IRNazanin"/>
          <w:lang w:bidi="fa-IR"/>
          <w:color w:val="111111"/>
          <w:sz w:val="28"/>
          <w:szCs w:val="28"/>
          <w:rtl/>
        </w:rPr>
        <w:t xml:space="preserve">رساله ای در بیان حقیقت ایمان است دارای «مقدمه» و ۸ «فصل» و یک «خاتمه»: فصل 1. معنى الايمان لغة، و فيه مقامان؛ ۲. الايمان الشرعی؛ ۳. جملة من حجج بعض هذه الأقوال و بعضها فيها على وجه الاختصار؛ ۴. امور لها مزید ارتباط على المذهب المختار و بیان المراد من التصديق القلبي المعتبر فيه او في غيره؛ .. ان الايمان بعد الايقاف به حيث يدخل العبد في المؤمنين هل يقبل الزيادة و النقصان ام لا ؛ ۶. بيان الكفر نعوذ بالله منه؛ ۷. في انه هل يكفر المؤمن ام لا؛ ۸ بیان معنى الاسلام خاتمه: فيها امور.</w:t>
      </w:r>
    </w:p>
    <w:p>
      <w:pPr>
        <w:pStyle w:val="BookText"/>
      </w:pPr>
      <w:r>
        <w:rPr>
          <w:rFonts w:ascii="Amiri" w:hAnsi="Amiri" w:eastAsia="Amiri" w:cs="Amiri"/>
          <w:lang w:bidi="ar-SA"/>
          <w:color w:val="111111"/>
          <w:sz w:val="28"/>
          <w:szCs w:val="28"/>
          <w:rtl/>
        </w:rPr>
        <w:t xml:space="preserve">[دنا ۵۸۹/۲ ؛ الذريعة ۱۷۳/۳ ؛ معجم المؤلفين ۹۲/۹]</w:t>
      </w:r>
    </w:p>
    <w:p>
      <w:pPr>
        <w:pStyle w:val="BookText"/>
      </w:pPr>
      <w:r>
        <w:rPr>
          <w:rFonts w:ascii="IRNazanin" w:hAnsi="IRNazanin" w:eastAsia="IRNazanin" w:cs="IRNazanin"/>
          <w:lang w:bidi="fa-IR"/>
          <w:color w:val="111111"/>
          <w:sz w:val="28"/>
          <w:szCs w:val="28"/>
          <w:rtl/>
        </w:rPr>
        <w:t xml:space="preserve">قم؛ مرعشی؛ شماره نسخه: ۱۲۳۲۶</w:t>
      </w:r>
    </w:p>
    <w:p>
      <w:pPr>
        <w:pStyle w:val="BookText"/>
      </w:pPr>
      <w:r>
        <w:rPr>
          <w:rFonts w:ascii="IRNazanin" w:hAnsi="IRNazanin" w:eastAsia="IRNazanin" w:cs="IRNazanin"/>
          <w:lang w:bidi="fa-IR"/>
          <w:color w:val="111111"/>
          <w:sz w:val="28"/>
          <w:szCs w:val="28"/>
          <w:rtl/>
        </w:rPr>
        <w:t xml:space="preserve">آغاز: الحمدلله الذي خلق الانسان و علمه البيان و هداه الى حقيقة الايمان و الصلاة و السلام على المبعوث بخير الأديان؛ انجام: ينبغي التنبيه عليها و ایضاحها الا انه يمنعنا عنها الشواغل و المشاغل خط: نستعلیق، کاتب = مؤلف، تا: نیمه جمادی الاول ۱۳۱۰ق، جان نجف اشرف</w:t>
      </w:r>
    </w:p>
    <w:p>
      <w:pPr>
        <w:pStyle w:val="BookText"/>
      </w:pPr>
      <w:r>
        <w:rPr>
          <w:rFonts w:ascii="IRNazanin" w:hAnsi="IRNazanin" w:eastAsia="IRNazanin" w:cs="IRNazanin"/>
          <w:lang w:bidi="fa-IR"/>
          <w:color w:val="111111"/>
          <w:sz w:val="28"/>
          <w:szCs w:val="28"/>
          <w:rtl/>
        </w:rPr>
        <w:t xml:space="preserve">کاغذ: فرنگی، جلد: تیماج زرشکی، ۷۵گ، ۱۹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۳۱-۲۰۵]</w:t>
      </w:r>
    </w:p>
    <w:p>
      <w:pPr>
        <w:pStyle w:val="BookText"/>
      </w:pPr>
      <w:r>
        <w:rPr>
          <w:rFonts w:ascii="IRNazanin" w:hAnsi="IRNazanin" w:eastAsia="IRNazanin" w:cs="IRNazanin"/>
          <w:lang w:bidi="fa-IR"/>
          <w:color w:val="111111"/>
          <w:sz w:val="28"/>
          <w:szCs w:val="28"/>
          <w:rtl/>
        </w:rPr>
        <w:t xml:space="preserve">← بیان لطائف آية الكرسي← تفسير آية الكرسي</w:t>
      </w:r>
    </w:p>
    <w:p>
      <w:pPr>
        <w:pStyle w:val="Heading3"/>
      </w:pPr>
      <w:bookmarkStart w:id="1331" w:name="_Toc591"/>
      <w:r>
        <w:t>• بیان ما اخفاه صاحب المكتسب (فصل في) / كيميا / فارسی</w:t>
      </w:r>
      <w:bookmarkEnd w:id="1331"/>
    </w:p>
    <w:p>
      <w:pPr>
        <w:pStyle w:val="BookText"/>
      </w:pPr>
      <w:r>
        <w:rPr>
          <w:rFonts w:ascii="Times New Roman" w:hAnsi="Times New Roman" w:eastAsia="Times New Roman" w:cs="Times New Roman"/>
          <w:lang w:val="en-US" w:bidi="en-US"/>
          <w:color w:val="111111"/>
          <w:sz w:val="28"/>
          <w:szCs w:val="28"/>
          <w:rtl/>
        </w:rPr>
        <w:t xml:space="preserve">bayān-o mā axfā-ho sāheb-el moktasab (fasl-on fi)</w:t>
      </w:r>
    </w:p>
    <w:p>
      <w:pPr>
        <w:pStyle w:val="BookText"/>
      </w:pPr>
      <w:r>
        <w:rPr>
          <w:rFonts w:ascii="IRNazanin" w:hAnsi="IRNazanin" w:eastAsia="IRNazanin" w:cs="IRNazanin"/>
          <w:lang w:bidi="fa-IR"/>
          <w:color w:val="111111"/>
          <w:sz w:val="28"/>
          <w:szCs w:val="28"/>
          <w:rtl/>
        </w:rPr>
        <w:t xml:space="preserve">آنچه را که صاحب كتاب «المكتسب في زراعة الذهب» شیخ ابوالقاسم محمد سیماوی عراقی در کتاب خود نیاورده مؤلف به گونه ای مجمل در این فصل گرد آورده است.</w:t>
      </w:r>
    </w:p>
    <w:p>
      <w:pPr>
        <w:pStyle w:val="BookText"/>
      </w:pPr>
      <w:r>
        <w:rPr>
          <w:rFonts w:ascii="IRNazanin" w:hAnsi="IRNazanin" w:eastAsia="IRNazanin" w:cs="IRNazanin"/>
          <w:lang w:bidi="fa-IR"/>
          <w:color w:val="111111"/>
          <w:sz w:val="28"/>
          <w:szCs w:val="28"/>
          <w:rtl/>
        </w:rPr>
        <w:t xml:space="preserve">قم، مرکز احیاء؛ شماره نسخه: ۹۳۶/۱۷</w:t>
      </w:r>
    </w:p>
    <w:p>
      <w:pPr>
        <w:pStyle w:val="BookText"/>
      </w:pPr>
      <w:r>
        <w:rPr>
          <w:rFonts w:ascii="IRNazanin" w:hAnsi="IRNazanin" w:eastAsia="IRNazanin" w:cs="IRNazanin"/>
          <w:lang w:bidi="fa-IR"/>
          <w:color w:val="111111"/>
          <w:sz w:val="28"/>
          <w:szCs w:val="28"/>
          <w:rtl/>
        </w:rPr>
        <w:t xml:space="preserve">آغاز: فصل في بيان ما اخفاه صاحب المكتسب از آنجمله آن است که صاحب مکتسب اظهار کرده است جزوی از هیولی مقوم صورت اکسیر و اخفا کرده است بقیه اجزا را</w:t>
      </w:r>
    </w:p>
    <w:p>
      <w:pPr>
        <w:pStyle w:val="BookText"/>
      </w:pPr>
      <w:r>
        <w:rPr>
          <w:rFonts w:ascii="IRNazanin" w:hAnsi="IRNazanin" w:eastAsia="IRNazanin" w:cs="IRNazanin"/>
          <w:lang w:bidi="fa-IR"/>
          <w:color w:val="111111"/>
          <w:sz w:val="28"/>
          <w:szCs w:val="28"/>
          <w:rtl/>
        </w:rPr>
        <w:t xml:space="preserve">نسخه اصل: کتابخانه نمازی خوی ۵۴۶</w:t>
      </w:r>
    </w:p>
    <w:p>
      <w:pPr>
        <w:pStyle w:val="BookText"/>
      </w:pPr>
      <w:r>
        <w:rPr>
          <w:rFonts w:ascii="IRNazanin" w:hAnsi="IRNazanin" w:eastAsia="IRNazanin" w:cs="IRNazanin"/>
          <w:lang w:bidi="fa-IR"/>
          <w:color w:val="111111"/>
          <w:sz w:val="28"/>
          <w:szCs w:val="28"/>
          <w:rtl/>
        </w:rPr>
        <w:t xml:space="preserve">[در فهرست نمازی این قسمت فهرست نشده ؛ خط: نستعلیق، کا: محمد رحيم بن حاجی رضی خوئی، بی تا؛ ۱۳ص (۳۳۸-۳۵۰) [عکسی ف: ۳-۱۵۱]</w:t>
      </w:r>
    </w:p>
    <w:p>
      <w:pPr>
        <w:pStyle w:val="Heading3"/>
      </w:pPr>
      <w:bookmarkStart w:id="1332" w:name="_Toc592"/>
      <w:r>
        <w:t>• بیان ما لم يثبت فيه حديث صحيح من الابواب / حديث / عربی</w:t>
      </w:r>
      <w:bookmarkEnd w:id="1332"/>
    </w:p>
    <w:p>
      <w:pPr>
        <w:pStyle w:val="BookText"/>
      </w:pPr>
      <w:r>
        <w:rPr>
          <w:rFonts w:ascii="Times New Roman" w:hAnsi="Times New Roman" w:eastAsia="Times New Roman" w:cs="Times New Roman"/>
          <w:lang w:val="en-US" w:bidi="en-US"/>
          <w:color w:val="111111"/>
          <w:sz w:val="28"/>
          <w:szCs w:val="28"/>
          <w:rtl/>
        </w:rPr>
        <w:t xml:space="preserve">bayan-u ma lam yutbit fi-hi hadit-un sahih-un min-al abwāb</w:t>
      </w:r>
    </w:p>
    <w:p>
      <w:pPr>
        <w:pStyle w:val="BookText"/>
      </w:pPr>
      <w:r>
        <w:rPr>
          <w:rFonts w:ascii="IRNazanin" w:hAnsi="IRNazanin" w:eastAsia="IRNazanin" w:cs="IRNazanin"/>
          <w:lang w:bidi="fa-IR"/>
          <w:color w:val="111111"/>
          <w:sz w:val="28"/>
          <w:szCs w:val="28"/>
          <w:rtl/>
        </w:rPr>
        <w:t xml:space="preserve">فیروزآبادی، محمد بن یعقوب، ۷۲۹-۸۱۷ قمری</w:t>
      </w:r>
    </w:p>
    <w:p>
      <w:pPr>
        <w:pStyle w:val="BookText"/>
      </w:pPr>
      <w:r>
        <w:rPr>
          <w:rFonts w:ascii="Times New Roman" w:hAnsi="Times New Roman" w:eastAsia="Times New Roman" w:cs="Times New Roman"/>
          <w:lang w:val="en-US" w:bidi="en-US"/>
          <w:color w:val="111111"/>
          <w:sz w:val="28"/>
          <w:szCs w:val="28"/>
          <w:rtl/>
        </w:rPr>
        <w:t xml:space="preserve">firuzabadi, mohammad ebn-e yaqub (1329-1415)</w:t>
      </w:r>
    </w:p>
    <w:p>
      <w:pPr>
        <w:pStyle w:val="BookText"/>
      </w:pPr>
      <w:r>
        <w:rPr>
          <w:rFonts w:ascii="IRNazanin" w:hAnsi="IRNazanin" w:eastAsia="IRNazanin" w:cs="IRNazanin"/>
          <w:lang w:bidi="fa-IR"/>
          <w:color w:val="111111"/>
          <w:sz w:val="28"/>
          <w:szCs w:val="28"/>
          <w:rtl/>
        </w:rPr>
        <w:t xml:space="preserve">احادیثی را که از نظر مؤلف جعلی یا منسوب به روایان است یا نیاز به توضیح دارد تحت عناوین «باب باب» آورده است. ابواب آن عبارتند از: باب الایمان، باب کلام الله، باب خلق الملائکه،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90" w:name="pg20363_209428"/>
    <w:bookmarkEnd w:id="190"/>
    <w:p>
      <w:pPr>
        <w:pStyle w:val="BookText"/>
      </w:pPr>
      <w:r>
        <w:rPr>
          <w:rFonts w:ascii="IRNazanin" w:hAnsi="IRNazanin" w:eastAsia="IRNazanin" w:cs="IRNazanin"/>
          <w:lang w:bidi="fa-IR"/>
          <w:color w:val="111111"/>
          <w:sz w:val="28"/>
          <w:szCs w:val="28"/>
          <w:rtl/>
        </w:rPr>
        <w:t xml:space="preserve">باب طلب العلم، باب فضائل الصديق ابوبکر، باب فضائل على ... آغاز: بسمله. الحمدلله رب العالمين والصلوة والسلام على خير خلقه محمد خاتم النبيين وعلى آله وأصحابه أجمعين. هذه اشارة الى ابواب روى فيها أحاديث و لم يصح شيء عند جهابذة علماء الحديث في غاية الاختصار لكنها تشتمل على علوم شتى في نهاية الاكثار باب الايمان ما اشتهر فيه كالايمان قول و عمل.</w:t>
      </w:r>
    </w:p>
    <w:p>
      <w:pPr>
        <w:pStyle w:val="BookText"/>
      </w:pPr>
      <w:r>
        <w:rPr>
          <w:rFonts w:ascii="Amiri" w:hAnsi="Amiri" w:eastAsia="Amiri" w:cs="Amiri"/>
          <w:lang w:bidi="ar-SA"/>
          <w:color w:val="111111"/>
          <w:sz w:val="28"/>
          <w:szCs w:val="28"/>
          <w:rtl/>
        </w:rPr>
        <w:t xml:space="preserve">انجام: و مذمة العلماء الذين يمشون الى السلطان و مسامحة العلماء و زيارة الملائكة قبور العلماء لم يثبت في ذلك شيء و الله اعلم وصلى الله على محمد و آله وسلم.</w:t>
      </w:r>
    </w:p>
    <w:p>
      <w:pPr>
        <w:pStyle w:val="BookText"/>
      </w:pPr>
      <w:r>
        <w:rPr>
          <w:rFonts w:ascii="IRNazanin" w:hAnsi="IRNazanin" w:eastAsia="IRNazanin" w:cs="IRNazanin"/>
          <w:lang w:bidi="fa-IR"/>
          <w:color w:val="111111"/>
          <w:sz w:val="28"/>
          <w:szCs w:val="28"/>
          <w:rtl/>
        </w:rPr>
        <w:t xml:space="preserve">۱. قم؛ مسجد اعظم؛ شماره نسخه: ۱۰۳۲/۱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جلد: مقوا، ۵گ، ۱۹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مخ: ۱-۲۹۰]</w:t>
      </w:r>
    </w:p>
    <w:p>
      <w:pPr>
        <w:pStyle w:val="BookText"/>
      </w:pPr>
      <w:r>
        <w:rPr>
          <w:rFonts w:ascii="IRNazanin" w:hAnsi="IRNazanin" w:eastAsia="IRNazanin" w:cs="IRNazanin"/>
          <w:lang w:bidi="fa-IR"/>
          <w:color w:val="111111"/>
          <w:sz w:val="28"/>
          <w:szCs w:val="28"/>
          <w:rtl/>
        </w:rPr>
        <w:t xml:space="preserve">۲. قم؛ مرعشی؛ شماره نسخه: ۱۳۸۶/۱۲ عکسی</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نسخه اصل: کتابخانه اسکوریال در اسپانیا، ش ۱۷۰۲؛ خط: نسخ، بی کا، بی تا؛ مجدول، رکابه دار؛ ۵ ص (۲۷۲-۲۷۶)[ عکسی ف: ۴-۱۷۹]</w:t>
      </w:r>
    </w:p>
    <w:p>
      <w:pPr>
        <w:pStyle w:val="BookText"/>
      </w:pPr>
      <w:r>
        <w:rPr>
          <w:rFonts w:ascii="IRNazanin" w:hAnsi="IRNazanin" w:eastAsia="IRNazanin" w:cs="IRNazanin"/>
          <w:lang w:bidi="fa-IR"/>
          <w:color w:val="111111"/>
          <w:sz w:val="28"/>
          <w:szCs w:val="28"/>
          <w:rtl/>
        </w:rPr>
        <w:t xml:space="preserve">← بیان المحمود ← بیان محمود</w:t>
      </w:r>
    </w:p>
    <w:p>
      <w:pPr>
        <w:pStyle w:val="Heading3"/>
      </w:pPr>
      <w:bookmarkStart w:id="1333" w:name="_Toc593"/>
      <w:r>
        <w:t>• بیان محمود = بیان المحمود / تراجم / فارسی</w:t>
      </w:r>
      <w:bookmarkEnd w:id="1333"/>
    </w:p>
    <w:p>
      <w:pPr>
        <w:pStyle w:val="BookText"/>
      </w:pPr>
      <w:r>
        <w:rPr>
          <w:rFonts w:ascii="Times New Roman" w:hAnsi="Times New Roman" w:eastAsia="Times New Roman" w:cs="Times New Roman"/>
          <w:lang w:val="en-US" w:bidi="en-US"/>
          <w:color w:val="111111"/>
          <w:sz w:val="28"/>
          <w:szCs w:val="28"/>
          <w:rtl/>
        </w:rPr>
        <w:t xml:space="preserve">bayān-e mahmūd = bayān-ol mahmūd</w:t>
      </w:r>
    </w:p>
    <w:p>
      <w:pPr>
        <w:pStyle w:val="BookText"/>
      </w:pPr>
      <w:r>
        <w:rPr>
          <w:rFonts w:ascii="IRNazanin" w:hAnsi="IRNazanin" w:eastAsia="IRNazanin" w:cs="IRNazanin"/>
          <w:lang w:bidi="fa-IR"/>
          <w:color w:val="111111"/>
          <w:sz w:val="28"/>
          <w:szCs w:val="28"/>
          <w:rtl/>
        </w:rPr>
        <w:t xml:space="preserve">محمود میرزا قاجار، ۱۲۱۴- ۱۲۷۱ قمری</w:t>
      </w:r>
    </w:p>
    <w:p>
      <w:pPr>
        <w:pStyle w:val="BookText"/>
      </w:pPr>
      <w:r>
        <w:rPr>
          <w:rFonts w:ascii="Times New Roman" w:hAnsi="Times New Roman" w:eastAsia="Times New Roman" w:cs="Times New Roman"/>
          <w:lang w:val="en-US" w:bidi="en-US"/>
          <w:color w:val="111111"/>
          <w:sz w:val="28"/>
          <w:szCs w:val="28"/>
          <w:rtl/>
        </w:rPr>
        <w:t xml:space="preserve">mahmūd mīrzā qājār (1800-1855)</w:t>
      </w:r>
    </w:p>
    <w:p>
      <w:pPr>
        <w:pStyle w:val="BookText"/>
      </w:pPr>
      <w:r>
        <w:rPr>
          <w:rFonts w:ascii="IRNazanin" w:hAnsi="IRNazanin" w:eastAsia="IRNazanin" w:cs="IRNazanin"/>
          <w:lang w:bidi="fa-IR"/>
          <w:color w:val="111111"/>
          <w:sz w:val="28"/>
          <w:szCs w:val="28"/>
          <w:rtl/>
        </w:rPr>
        <w:t xml:space="preserve">اهدا به: فتح علی شاه قاجار</w:t>
      </w:r>
    </w:p>
    <w:p>
      <w:pPr>
        <w:pStyle w:val="BookText"/>
      </w:pPr>
      <w:r>
        <w:rPr>
          <w:rFonts w:ascii="IRNazanin" w:hAnsi="IRNazanin" w:eastAsia="IRNazanin" w:cs="IRNazanin"/>
          <w:lang w:bidi="fa-IR"/>
          <w:color w:val="111111"/>
          <w:sz w:val="28"/>
          <w:szCs w:val="28"/>
          <w:rtl/>
        </w:rPr>
        <w:t xml:space="preserve">تاریخ تأليف: ۱۲۴۰ق</w:t>
      </w:r>
    </w:p>
    <w:p>
      <w:pPr>
        <w:pStyle w:val="BookText"/>
      </w:pPr>
      <w:r>
        <w:rPr>
          <w:rFonts w:ascii="IRNazanin" w:hAnsi="IRNazanin" w:eastAsia="IRNazanin" w:cs="IRNazanin"/>
          <w:lang w:bidi="fa-IR"/>
          <w:color w:val="111111"/>
          <w:sz w:val="28"/>
          <w:szCs w:val="28"/>
          <w:rtl/>
        </w:rPr>
        <w:t xml:space="preserve">تذکره گونه ای است شامل یک «مقدمه» و دو «قسمت»: مقدمه در ذکر مؤلف و سبب تأليف و مدح شاهنشاه؛ قسمت اول در ذكر احوال سیصد تن از شعرای معاصر و به ترتیب حروف تهجي؛ قسمت دوم انتخاب ابیات غزلی شعرای مذکور در فهرست کتاب با منظور داشتن حروف اول و آخر به طریقی که جوانان را در مشاعره به کار آید، و این قسمت مشتمل است بر یکصد و هشتاد «باب»: ۱. باب الف از ردیف الف: اشک را قاصد کویش</w:t>
      </w:r>
    </w:p>
    <w:p>
      <w:pPr>
        <w:pStyle w:val="BookText"/>
      </w:pPr>
      <w:r>
        <w:rPr>
          <w:rFonts w:ascii="IRNazanin" w:hAnsi="IRNazanin" w:eastAsia="IRNazanin" w:cs="IRNazanin"/>
          <w:lang w:bidi="fa-IR"/>
          <w:color w:val="111111"/>
          <w:sz w:val="28"/>
          <w:szCs w:val="28"/>
          <w:rtl/>
        </w:rPr>
        <w:t xml:space="preserve">کنم ای ناله بمان*** زانکه صد بار برفتی اثری نیست ترا؛ ۲. باب با از ردیف الف: بیک نگاه تو دادیم هر چه باد اباد</w:t>
      </w:r>
      <w:r>
        <w:rPr>
          <w:rFonts w:ascii="IRNazanin" w:hAnsi="IRNazanin" w:eastAsia="IRNazanin" w:cs="IRNazanin"/>
          <w:lang w:bidi="fa-IR"/>
          <w:color w:val="111111"/>
          <w:sz w:val="28"/>
          <w:szCs w:val="28"/>
          <w:b w:val="1"/>
          <w:bCs w:val="1"/>
          <w:i w:val="1"/>
          <w:iCs w:val="1"/>
          <w:rtl/>
        </w:rPr>
        <w:t xml:space="preserve">جهان فانی و عقبای جاودانی را؛ و به همین ترتیب است تا باب یاء ردیف یاء: يکبار نخواندند و گفتند کجایی</w:t>
      </w:r>
      <w:r>
        <w:rPr>
          <w:rFonts w:ascii="IRNazanin" w:hAnsi="IRNazanin" w:eastAsia="IRNazanin" w:cs="IRNazanin"/>
          <w:lang w:bidi="fa-IR"/>
          <w:color w:val="111111"/>
          <w:sz w:val="28"/>
          <w:szCs w:val="28"/>
          <w:rtl/>
        </w:rPr>
        <w:t xml:space="preserve"> تا چند توان رفتن ناخوانده بجایی. در صدر هر باب اول شعر پدر خود «خاقان» را آورده و بعد ترتیب حروف را رعایت کرده است. نخستین شاعر مندرج در فهرست الفبایی احمد على میرزا» برادر مؤلف است، و آخرین شاعر «یوسف گرجی». در فهرست مزبور بعضی از شعرا را فقط به نام و تخلص و مولد و موطن مذکور داشته است و برخی را تا حدود بیست سطر شرح حال نگاشته است. (گلچین معانی) محمود میرزا تمام آثار خود را در یک مجلد به نام «مجمع محمودی» جمع کرده و نسخه آن شامل سفينه محمود، منتخب محمود، گلشن محمود، مخزن محمود، نقل مجلس، سنبلستان، پرورده خیال، مقصود جهان، تذكرة السلاطين، محمود نامه، رساله در رؤیای صادقه، نصائح المسعود، درر المحمود و بیان محمود می باشد.</w:t>
      </w:r>
    </w:p>
    <w:p>
      <w:pPr>
        <w:pStyle w:val="BookText"/>
      </w:pPr>
      <w:r>
        <w:rPr>
          <w:rFonts w:ascii="IRNazanin" w:hAnsi="IRNazanin" w:eastAsia="IRNazanin" w:cs="IRNazanin"/>
          <w:lang w:bidi="fa-IR"/>
          <w:color w:val="111111"/>
          <w:sz w:val="28"/>
          <w:szCs w:val="28"/>
          <w:rtl/>
        </w:rPr>
        <w:t xml:space="preserve">آغاز: بیان محمود در ستایش خداوند معبود سبحان التحديد و الحدود و ستایش شایان بر واجب الوجود اقدس عن وصف التكثر و الشهود از ممکن محال خواهد بود.</w:t>
      </w:r>
    </w:p>
    <w:p>
      <w:pPr>
        <w:pStyle w:val="BookText"/>
      </w:pPr>
      <w:r>
        <w:rPr>
          <w:rFonts w:ascii="IRNazanin" w:hAnsi="IRNazanin" w:eastAsia="IRNazanin" w:cs="IRNazanin"/>
          <w:lang w:bidi="fa-IR"/>
          <w:color w:val="111111"/>
          <w:sz w:val="28"/>
          <w:szCs w:val="28"/>
          <w:rtl/>
        </w:rPr>
        <w:t xml:space="preserve">انجام: زد به تاریخش رقم كلک همایون سپهر*** کاین بیان از هر زبان محمود چون چارم کتاب / در جهان چندان بماند شاه کز غیبی سروش***هر زمان آید ندای ذلك يوم الحساب چاپ: مشار فارسی: ۳۰۳۸</w:t>
      </w:r>
    </w:p>
    <w:p>
      <w:pPr>
        <w:pStyle w:val="BookText"/>
      </w:pPr>
      <w:r>
        <w:rPr>
          <w:rFonts w:ascii="IRNazanin" w:hAnsi="IRNazanin" w:eastAsia="IRNazanin" w:cs="IRNazanin"/>
          <w:lang w:bidi="fa-IR"/>
          <w:color w:val="111111"/>
          <w:sz w:val="28"/>
          <w:szCs w:val="28"/>
          <w:rtl/>
        </w:rPr>
        <w:t xml:space="preserve">[الذريعة: ۴۲/۲۰ و ۱۷۷/۲۶ ؛ دنا ۵۸۹/۲ (۸ نسخه)؛ تاریخ تذکره های فارسی ص ۱۳۷؛ فهرستواره منزوی ۱۸۵۸/۳ ]</w:t>
      </w:r>
    </w:p>
    <w:p>
      <w:pPr>
        <w:pStyle w:val="BookText"/>
      </w:pPr>
      <w:r>
        <w:rPr>
          <w:rFonts w:ascii="IRNazanin" w:hAnsi="IRNazanin" w:eastAsia="IRNazanin" w:cs="IRNazanin"/>
          <w:lang w:bidi="fa-IR"/>
          <w:color w:val="111111"/>
          <w:sz w:val="28"/>
          <w:szCs w:val="28"/>
          <w:rtl/>
        </w:rPr>
        <w:t xml:space="preserve">۱. قم؛ مرعشی؛ شماره نسخه: ۱۲۸۳۳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بی کا، تا: قرن ۱۳؛ تملک با این عبارت:</w:t>
      </w:r>
    </w:p>
    <w:p>
      <w:pPr>
        <w:pStyle w:val="BookText"/>
      </w:pPr>
      <w:r>
        <w:rPr>
          <w:rFonts w:ascii="IRNazanin" w:hAnsi="IRNazanin" w:eastAsia="IRNazanin" w:cs="IRNazanin"/>
          <w:lang w:bidi="fa-IR"/>
          <w:color w:val="111111"/>
          <w:sz w:val="28"/>
          <w:szCs w:val="28"/>
          <w:rtl/>
        </w:rPr>
        <w:t xml:space="preserve">کتاب مستطاب جنگ اشعار ملک مخصوص این بنده درگاه آسمان جاه غلامحسین خان کاشانی نسخه ای است خاصه اعلیحضرت ناصر الدین شاه قاجار خلد الله ملکه و دولته، تحریرة في دوشنبه ۲۳ شهر صفر المظفر ۱۲۹۸ در جاجرود که یکی از شکار گاه های مخصوص همایونی است، هزار و دویست و نود و هشت» با مهر «عبده غلام حسین بن هاشم الغفاری» (بیضی) و مهر «أفوض أمري إلى الله عبده غلام حسين الغفاری» (مربع) و مهر «أمان الله» (مربع کوچک)؛ کاغذ: فرنگی، جلد: روغنی با گل و برگ با زمینه طلایی و مجدول به طلایی مشکی عطف: تیماج قهوه ای، ۱۱۲گ، ۲۰ سطر (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۲۶/۵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 [ف: ۵۸۴-۳۲ ]</w:t>
      </w:r>
    </w:p>
    <w:p>
      <w:pPr>
        <w:pStyle w:val="BookText"/>
      </w:pPr>
      <w:r>
        <w:rPr>
          <w:rFonts w:ascii="IRNazanin" w:hAnsi="IRNazanin" w:eastAsia="IRNazanin" w:cs="IRNazanin"/>
          <w:lang w:bidi="fa-IR"/>
          <w:color w:val="111111"/>
          <w:sz w:val="28"/>
          <w:szCs w:val="28"/>
          <w:rtl/>
        </w:rPr>
        <w:t xml:space="preserve">۲. مشهد؛ رضوی؛ شماره نسخه: ۴۴۶۰</w:t>
      </w:r>
    </w:p>
    <w:p>
      <w:pPr>
        <w:pStyle w:val="BookText"/>
      </w:pPr>
      <w:r>
        <w:rPr>
          <w:rFonts w:ascii="IRNazanin" w:hAnsi="IRNazanin" w:eastAsia="IRNazanin" w:cs="IRNazanin"/>
          <w:lang w:bidi="fa-IR"/>
          <w:color w:val="111111"/>
          <w:sz w:val="28"/>
          <w:szCs w:val="28"/>
          <w:rtl/>
        </w:rPr>
        <w:t xml:space="preserve">آغاز و انجام: برابر خط: نستعلیق، بی کا، تا: قرن ۱۳، در پایان قطعه ای است از میرزا محمد تقی لسان الملک کاشی متخلص به سپهر صاحب کتاب عظیم ناسخ التواريخ متضمن ماده تاریخ که این است: «زد بتاریخش رقم کلکی همایون سپهر*** کاین بیان از هر زبان محمود چون چارم کتاب». علیرضا میرزای شهره (برادر مؤلف) در تذکره بستان العشاق که جلد اول از مجلدات خمسه بساتین الخاقانيه است، در ترجمه میرزا ابوالحسن خان اميد نهاوندی می نویسند: چندی در خدمت مطاع مكرم محمود میرزا بمنصب ندیمی مفتخر، تذکره بیان محمود را ایشان جمع نموده و ترتیب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91" w:name="pg20363_209429"/>
    <w:bookmarkEnd w:id="191"/>
    <w:p>
      <w:pPr>
        <w:pStyle w:val="BookText"/>
      </w:pPr>
      <w:r>
        <w:rPr>
          <w:rFonts w:ascii="IRNazanin" w:hAnsi="IRNazanin" w:eastAsia="IRNazanin" w:cs="IRNazanin"/>
          <w:lang w:bidi="fa-IR"/>
          <w:color w:val="111111"/>
          <w:sz w:val="28"/>
          <w:szCs w:val="28"/>
          <w:rtl/>
        </w:rPr>
        <w:t xml:space="preserve">داده اند».</w:t>
      </w:r>
    </w:p>
    <w:p>
      <w:pPr>
        <w:pStyle w:val="BookText"/>
      </w:pPr>
      <w:r>
        <w:rPr>
          <w:rFonts w:ascii="IRNazanin" w:hAnsi="IRNazanin" w:eastAsia="IRNazanin" w:cs="IRNazanin"/>
          <w:lang w:bidi="fa-IR"/>
          <w:color w:val="111111"/>
          <w:sz w:val="28"/>
          <w:szCs w:val="28"/>
          <w:rtl/>
        </w:rPr>
        <w:t xml:space="preserve">واقف: نایینی؛ کاغذ:نخودی فرنگی آهار مهره، جلد: چرمی ضربی، ۱۹۱گ، ۱۲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۲۹/۵سم [ف: ۷-۲۴]</w:t>
      </w:r>
    </w:p>
    <w:p>
      <w:pPr>
        <w:pStyle w:val="BookText"/>
      </w:pPr>
      <w:r>
        <w:rPr>
          <w:rFonts w:ascii="IRNazanin" w:hAnsi="IRNazanin" w:eastAsia="IRNazanin" w:cs="IRNazanin"/>
          <w:lang w:bidi="fa-IR"/>
          <w:color w:val="111111"/>
          <w:sz w:val="28"/>
          <w:szCs w:val="28"/>
          <w:rtl/>
        </w:rPr>
        <w:t xml:space="preserve">٣. مشهد؛ رضوی؛ شماره نسخه: ۴۴۶۱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حسین بن محمد کاظم، تا: ۵ شوال ۱۲۴۴ق؛ واقف: نائینی؛ کاغذ: سفید فرنگی آهار مهره، جلد: روغنی زمینه مشکی و در وسط ترنج اکلیلی، ۱۹۹، ۱۶ سطر (۱۵۷)، اندازه: ۱۳/۲ ۲۱/۸</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سم [ف: ۷-۲۶]</w:t>
      </w:r>
    </w:p>
    <w:p>
      <w:pPr>
        <w:pStyle w:val="BookText"/>
      </w:pPr>
      <w:r>
        <w:rPr>
          <w:rFonts w:ascii="IRNazanin" w:hAnsi="IRNazanin" w:eastAsia="IRNazanin" w:cs="IRNazanin"/>
          <w:lang w:bidi="fa-IR"/>
          <w:color w:val="111111"/>
          <w:sz w:val="28"/>
          <w:szCs w:val="28"/>
          <w:rtl/>
        </w:rPr>
        <w:t xml:space="preserve">۴. مشهد؛ رضوی؛ شماره نسخه: ۱۰۳۷۷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۱۲۴۴ق؛ دارای یک سرلوح مذهب، کتیبه دار ، مجدول، دارای تحریر و کمند؛ کاغذ: نخودی آهار مهره، جلد: مقوایی با روکش مشمایی و عطف چرمی، ۱۳۵گ، ۱۶ سطر، اندازه: ۱۷/۵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۲۶/۵سم [ف: ۹-۴۷]</w:t>
      </w:r>
    </w:p>
    <w:p>
      <w:pPr>
        <w:pStyle w:val="BookText"/>
      </w:pPr>
      <w:r>
        <w:rPr>
          <w:rFonts w:ascii="IRNazanin" w:hAnsi="IRNazanin" w:eastAsia="IRNazanin" w:cs="IRNazanin"/>
          <w:lang w:bidi="fa-IR"/>
          <w:color w:val="111111"/>
          <w:sz w:val="28"/>
          <w:szCs w:val="28"/>
          <w:rtl/>
        </w:rPr>
        <w:t xml:space="preserve">۵. تهران، دانشگاه؛ شماره نسخه: ۶۰۹۸</w:t>
      </w:r>
    </w:p>
    <w:p>
      <w:pPr>
        <w:pStyle w:val="BookText"/>
      </w:pPr>
      <w:r>
        <w:rPr>
          <w:rFonts w:ascii="IRNazanin" w:hAnsi="IRNazanin" w:eastAsia="IRNazanin" w:cs="IRNazanin"/>
          <w:lang w:bidi="fa-IR"/>
          <w:color w:val="111111"/>
          <w:sz w:val="28"/>
          <w:szCs w:val="28"/>
          <w:rtl/>
        </w:rPr>
        <w:t xml:space="preserve">خط: نستعلیق، بی کا، تا: ۱۲۴۵ق؛ مجدول؛ کاغذ: فرنگی، جلد: تریاکی ضربی لایی، ۲۶۲گ، ۱۶ سطر (۱۵۷۸)، قطع: ربعی،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۱۶-۱۹۷]</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تبریز؛ ادبیات، شماره نسخه: ۲</w:t>
      </w:r>
    </w:p>
    <w:p>
      <w:pPr>
        <w:pStyle w:val="BookText"/>
      </w:pPr>
      <w:r>
        <w:rPr>
          <w:rFonts w:ascii="IRNazanin" w:hAnsi="IRNazanin" w:eastAsia="IRNazanin" w:cs="IRNazanin"/>
          <w:lang w:bidi="fa-IR"/>
          <w:color w:val="111111"/>
          <w:sz w:val="28"/>
          <w:szCs w:val="28"/>
          <w:rtl/>
        </w:rPr>
        <w:t xml:space="preserve">بی کا، تا: ۲۱۴۲ق [نشریه: ۴-۳۲۳]</w:t>
      </w:r>
    </w:p>
    <w:p>
      <w:pPr>
        <w:pStyle w:val="BookText"/>
      </w:pPr>
      <w:r>
        <w:rPr>
          <w:rFonts w:ascii="IRNazanin" w:hAnsi="IRNazanin" w:eastAsia="IRNazanin" w:cs="IRNazanin"/>
          <w:lang w:bidi="fa-IR"/>
          <w:color w:val="111111"/>
          <w:sz w:val="28"/>
          <w:szCs w:val="28"/>
          <w:rtl/>
        </w:rPr>
        <w:t xml:space="preserve">۷. تهران؛ مجلس؛ شماره نسخه: ۸۹۵</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خوب، بی کا، بی تا؛ با سرلوح کوچک، اطراف دو صفحه اول نسخه تذهیب، مجدول مذهب؛ کاغذ: ترمه، جلد: روغنی دو رو گل و بوته و نرگس، ۱۴۳گ، ۱۵ سطر، قطع: ربعی، اندازه: ۱۱/۵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۱۸/۵ سم [ف: ۳-۱۳۸]</w:t>
      </w:r>
    </w:p>
    <w:p>
      <w:pPr>
        <w:pStyle w:val="BookText"/>
      </w:pPr>
      <w:r>
        <w:rPr>
          <w:rFonts w:ascii="IRNazanin" w:hAnsi="IRNazanin" w:eastAsia="IRNazanin" w:cs="IRNazanin"/>
          <w:lang w:bidi="fa-IR"/>
          <w:color w:val="111111"/>
          <w:sz w:val="28"/>
          <w:szCs w:val="28"/>
          <w:rtl/>
        </w:rPr>
        <w:t xml:space="preserve">۸. تهران؛ ملک؛ شماره نسخه: ۳۶۶۵</w:t>
      </w:r>
    </w:p>
    <w:p>
      <w:pPr>
        <w:pStyle w:val="BookText"/>
      </w:pPr>
      <w:r>
        <w:rPr>
          <w:rFonts w:ascii="IRNazanin" w:hAnsi="IRNazanin" w:eastAsia="IRNazanin" w:cs="IRNazanin"/>
          <w:lang w:bidi="fa-IR"/>
          <w:color w:val="111111"/>
          <w:sz w:val="28"/>
          <w:szCs w:val="28"/>
          <w:rtl/>
        </w:rPr>
        <w:t xml:space="preserve">خط: شکسته نستعلیق، بی کا، بی تا، مجدول؛ کاغذ: کاغذ آهار مهره، جلد: روغنی زمینه نارنجی و گل و بوته، ۱۷۶گ، ۱۳ سطر، اندازه: ۱۹/۴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۱۲/۱ سم [ف: ۲-۶۶]</w:t>
      </w:r>
    </w:p>
    <w:p>
      <w:pPr>
        <w:pStyle w:val="Heading3"/>
      </w:pPr>
      <w:bookmarkStart w:id="1334" w:name="_Toc594"/>
      <w:r>
        <w:t>• بیان المختصر في شرح مختصر منتهى الوصول و الأمل في علم الأصول و الجدل / اصول فقه / عربی</w:t>
      </w:r>
      <w:bookmarkEnd w:id="1334"/>
    </w:p>
    <w:p>
      <w:pPr>
        <w:pStyle w:val="BookText"/>
      </w:pPr>
      <w:r>
        <w:rPr>
          <w:rFonts w:ascii="Times New Roman" w:hAnsi="Times New Roman" w:eastAsia="Times New Roman" w:cs="Times New Roman"/>
          <w:lang w:val="en-US" w:bidi="en-US"/>
          <w:color w:val="111111"/>
          <w:sz w:val="28"/>
          <w:szCs w:val="28"/>
          <w:rtl/>
        </w:rPr>
        <w:t xml:space="preserve">bayān-ul muxtașar fī š.-i muxtașar-i muntaha-1 wuṣūl wa-l amal fi ‘ilmay-il usūl wa-l jadal</w:t>
      </w:r>
    </w:p>
    <w:p>
      <w:pPr>
        <w:pStyle w:val="BookText"/>
      </w:pPr>
      <w:r>
        <w:rPr>
          <w:rFonts w:ascii="IRNazanin" w:hAnsi="IRNazanin" w:eastAsia="IRNazanin" w:cs="IRNazanin"/>
          <w:lang w:bidi="fa-IR"/>
          <w:color w:val="111111"/>
          <w:sz w:val="28"/>
          <w:szCs w:val="28"/>
          <w:rtl/>
        </w:rPr>
        <w:t xml:space="preserve">اصفهانی، محمود بن عبدالرحمن، ۶۷۴-۷۴۹ قمری</w:t>
      </w:r>
    </w:p>
    <w:p>
      <w:pPr>
        <w:pStyle w:val="BookText"/>
      </w:pPr>
      <w:r>
        <w:rPr>
          <w:rFonts w:ascii="Times New Roman" w:hAnsi="Times New Roman" w:eastAsia="Times New Roman" w:cs="Times New Roman"/>
          <w:lang w:val="en-US" w:bidi="en-US"/>
          <w:color w:val="111111"/>
          <w:sz w:val="28"/>
          <w:szCs w:val="28"/>
          <w:rtl/>
        </w:rPr>
        <w:t xml:space="preserve">esfahānī, mahmūd ebn-e ‘abd-or-rahmān (1276-1349)</w:t>
      </w:r>
    </w:p>
    <w:p>
      <w:pPr>
        <w:pStyle w:val="BookText"/>
      </w:pPr>
      <w:r>
        <w:rPr>
          <w:rFonts w:ascii="IRNazanin" w:hAnsi="IRNazanin" w:eastAsia="IRNazanin" w:cs="IRNazanin"/>
          <w:lang w:bidi="fa-IR"/>
          <w:color w:val="111111"/>
          <w:sz w:val="28"/>
          <w:szCs w:val="28"/>
          <w:rtl/>
        </w:rPr>
        <w:t xml:space="preserve">وابسته به: مختصر المنتهی = مختصر الاصول = مختصر ابن حاجب؛ ابن حاجب، عثمان بن عمر (۵۷۰-۶۴۶)</w:t>
      </w:r>
    </w:p>
    <w:p>
      <w:pPr>
        <w:pStyle w:val="BookText"/>
      </w:pPr>
      <w:r>
        <w:rPr>
          <w:rFonts w:ascii="IRNazanin" w:hAnsi="IRNazanin" w:eastAsia="IRNazanin" w:cs="IRNazanin"/>
          <w:lang w:bidi="fa-IR"/>
          <w:color w:val="111111"/>
          <w:sz w:val="28"/>
          <w:szCs w:val="28"/>
          <w:rtl/>
        </w:rPr>
        <w:t xml:space="preserve">شرحی است با عناوین «قال اقول» (که با دو حرف ص -ش متمایز شده است) بر «مختصر منتهى السول و الأمل في علم الاصول و الجدل» ابن حاجب. شارح بعد از خطبه می نویسد: «فتصدیت کان اشرحه شرحا تبين حقایقه و توضح دقايقه و بذلك من اللفظ صعابه و يكشف عن وجه المعانی نقابه مقتصدا غير مختصر اختصارا يودى الى الاخلال و لا مطنبا اطنابا يفضی الى الاملال ساعيا في حل مشكلاته و فتح معضلاته و تقریر معاقده و تحرير قواعده و ادفع الشبهات الوارده على مقاصده». این شرح، یکی از هفت شرح است که کرمانی در شرح خویش بر مختصر (= النقود و الردود) از آن بهره برده و در مقدمه آن کتاب از آن یاد می کند. در شرح مبادی منطقی به تفصیل گراییده و مسائل قضایا و انواع قیاس تا مغالطات را به ترتیب و مشروح آورده و از اشارات شیخ یاد می کند در پاره ای از مسائل اصولی به عقاید علماء شیعه اشارت دارد. اصفهانی در دیباجه تصریح می کند به اینکه این شرح را «بيان المختصر» نام نهاده و به دستور وقت رشید الدین (که با تکریم بسیار از او یاد می کند) تقدیم داشته است. بروکلمان از شرح اصفهانی بر مختصر تنها یک نسخه (نسخه جامع زیتونه تونس) یاد می کند.</w:t>
      </w:r>
    </w:p>
    <w:p>
      <w:pPr>
        <w:pStyle w:val="BookText"/>
      </w:pPr>
      <w:r>
        <w:rPr>
          <w:rFonts w:ascii="IRNazanin" w:hAnsi="IRNazanin" w:eastAsia="IRNazanin" w:cs="IRNazanin"/>
          <w:lang w:bidi="fa-IR"/>
          <w:color w:val="111111"/>
          <w:sz w:val="28"/>
          <w:szCs w:val="28"/>
          <w:rtl/>
        </w:rPr>
        <w:t xml:space="preserve">آغاز: الحمدلله الذي اظهر بدایع مصنوعاته على أحسن النظام ... اما بعد فقد تطابق قاضي العقل و هو لا يبدل و لا يعزل ... على ان ارجح المطالب ... هو العلم لانه عمل القلب .. و بما ضعف فيه من الكتب ... مختصر منتهى الوصول و الأمل في علمي الأول و الجدل ... فتصدیت لان اشرحه شرحا يبين حقاتقه و يوضح دقائقه. غير مختصر اختصارة تودي الى الاخلال ... ساعيا في حل مشکلاته ... و تقریر ماقده و تحرير قواعده ... و اسمیه بیان المختصر و اخدم به خزانة من خصه الله بالسعادات المتظافره. و هو المولى الصاحب المعظم ... سلطان وزراء العالم ... رشيد الحق و الدنيا والدين ... و ارجوان يلاحظه بعين الرضا ... وها انا اشرع في المقصود ... قوله و ينحصر. ای المختصر لا الصول لان هذه القسمة قسمة للكل الى اجزائه و المبادي على الوجه الذي ذكره لا يكون باقسامها من أجزاء الأصول. انجام: و فيما ذكرنا من الجهات المفردة ارشاد لما يتركب منها و الحمدلله الذي وفقنا لاتمامه حمدا يوازی مزید افضاله و انعامه.</w:t>
      </w:r>
    </w:p>
    <w:p>
      <w:pPr>
        <w:pStyle w:val="BookText"/>
      </w:pPr>
      <w:r>
        <w:rPr>
          <w:rFonts w:ascii="IRNazanin" w:hAnsi="IRNazanin" w:eastAsia="IRNazanin" w:cs="IRNazanin"/>
          <w:lang w:bidi="fa-IR"/>
          <w:color w:val="111111"/>
          <w:sz w:val="28"/>
          <w:szCs w:val="28"/>
          <w:rtl/>
        </w:rPr>
        <w:t xml:space="preserve">[فهرس المخطوطات المصورة ۲۴۲/۱ ؛ بروکلمان: ذیل یکم: ۵۳۷؛ کشف الظنون: ۱۸۵۵ و ۱۸۵۷؛ دنا ۵۸۹/۲ (۷ نسخه)]</w:t>
      </w:r>
    </w:p>
    <w:p>
      <w:pPr>
        <w:pStyle w:val="BookText"/>
      </w:pPr>
      <w:r>
        <w:rPr>
          <w:rFonts w:ascii="IRNazanin" w:hAnsi="IRNazanin" w:eastAsia="IRNazanin" w:cs="IRNazanin"/>
          <w:lang w:bidi="fa-IR"/>
          <w:color w:val="111111"/>
          <w:sz w:val="28"/>
          <w:szCs w:val="28"/>
          <w:rtl/>
        </w:rPr>
        <w:t xml:space="preserve">۱. قم؛ استادی، رضا، شماره نسخه: ۱۶۷۸۷</w:t>
      </w:r>
    </w:p>
    <w:p>
      <w:pPr>
        <w:pStyle w:val="BookText"/>
      </w:pPr>
      <w:r>
        <w:rPr>
          <w:rFonts w:ascii="Amiri" w:hAnsi="Amiri" w:eastAsia="Amiri" w:cs="Amiri"/>
          <w:lang w:bidi="ar-SA"/>
          <w:color w:val="111111"/>
          <w:sz w:val="28"/>
          <w:szCs w:val="28"/>
          <w:rtl/>
        </w:rPr>
        <w:t xml:space="preserve">آغاز: العلوم الخارج عن العلم و لم احدان الحكم؛ انجام: أن يكون الحكم خارجا عن التصديق لان ...</w:t>
      </w:r>
    </w:p>
    <w:p>
      <w:pPr>
        <w:pStyle w:val="BookText"/>
      </w:pPr>
      <w:r>
        <w:rPr>
          <w:rFonts w:ascii="IRNazanin" w:hAnsi="IRNazanin" w:eastAsia="IRNazanin" w:cs="IRNazanin"/>
          <w:lang w:bidi="fa-IR"/>
          <w:color w:val="111111"/>
          <w:sz w:val="28"/>
          <w:szCs w:val="28"/>
          <w:rtl/>
        </w:rPr>
        <w:t xml:space="preserve">خط: نسخ، بی کا، تا: قرن ۱۸ کاغذ: حنایی، جلد: تیماج ضربی، ۲۵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[رایانه]</w:t>
      </w:r>
    </w:p>
    <w:p>
      <w:pPr>
        <w:pStyle w:val="BookText"/>
      </w:pPr>
      <w:r>
        <w:rPr>
          <w:rFonts w:ascii="IRNazanin" w:hAnsi="IRNazanin" w:eastAsia="IRNazanin" w:cs="IRNazanin"/>
          <w:lang w:bidi="fa-IR"/>
          <w:color w:val="111111"/>
          <w:sz w:val="28"/>
          <w:szCs w:val="28"/>
          <w:rtl/>
        </w:rPr>
        <w:t xml:space="preserve">۲. قم؛ حجتیه؛ شماره نسخه: ۶۴۸</w:t>
      </w:r>
    </w:p>
    <w:p>
      <w:pPr>
        <w:pStyle w:val="BookText"/>
      </w:pPr>
      <w:r>
        <w:rPr>
          <w:rFonts w:ascii="IRNazanin" w:hAnsi="IRNazanin" w:eastAsia="IRNazanin" w:cs="IRNazanin"/>
          <w:lang w:bidi="fa-IR"/>
          <w:color w:val="111111"/>
          <w:sz w:val="28"/>
          <w:szCs w:val="28"/>
          <w:rtl/>
        </w:rPr>
        <w:t xml:space="preserve">انجام: برابر</w:t>
      </w:r>
    </w:p>
    <w:p>
      <w:pPr>
        <w:pStyle w:val="BookText"/>
      </w:pPr>
      <w:r>
        <w:rPr>
          <w:rFonts w:ascii="IRNazanin" w:hAnsi="IRNazanin" w:eastAsia="IRNazanin" w:cs="IRNazanin"/>
          <w:lang w:bidi="fa-IR"/>
          <w:color w:val="111111"/>
          <w:sz w:val="28"/>
          <w:szCs w:val="28"/>
          <w:rtl/>
        </w:rPr>
        <w:t xml:space="preserve">خط: نسخ، بی کا، تا: قرن ۸ افتادگی: آغاز [ف: ۳۹]</w:t>
      </w:r>
    </w:p>
    <w:p>
      <w:pPr>
        <w:pStyle w:val="BookText"/>
      </w:pPr>
      <w:r>
        <w:rPr>
          <w:rFonts w:ascii="IRNazanin" w:hAnsi="IRNazanin" w:eastAsia="IRNazanin" w:cs="IRNazanin"/>
          <w:lang w:bidi="fa-IR"/>
          <w:color w:val="111111"/>
          <w:sz w:val="28"/>
          <w:szCs w:val="28"/>
          <w:rtl/>
        </w:rPr>
        <w:t xml:space="preserve">٣. تهران: مجلس؛ شماره نسخه: ۳۹۸۳</w:t>
      </w:r>
    </w:p>
    <w:p>
      <w:pPr>
        <w:pStyle w:val="BookText"/>
      </w:pPr>
      <w:r>
        <w:rPr>
          <w:rFonts w:ascii="IRNazanin" w:hAnsi="IRNazanin" w:eastAsia="IRNazanin" w:cs="IRNazanin"/>
          <w:lang w:bidi="fa-IR"/>
          <w:color w:val="111111"/>
          <w:sz w:val="28"/>
          <w:szCs w:val="28"/>
          <w:rtl/>
        </w:rPr>
        <w:t xml:space="preserve">آغاز و انجام: برابر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92" w:name="pg20363_209430"/>
    <w:bookmarkEnd w:id="192"/>
    <w:p>
      <w:pPr>
        <w:pStyle w:val="BookText"/>
      </w:pPr>
      <w:r>
        <w:rPr>
          <w:rFonts w:ascii="IRNazanin" w:hAnsi="IRNazanin" w:eastAsia="IRNazanin" w:cs="IRNazanin"/>
          <w:lang w:bidi="fa-IR"/>
          <w:color w:val="111111"/>
          <w:sz w:val="28"/>
          <w:szCs w:val="28"/>
          <w:rtl/>
        </w:rPr>
        <w:t xml:space="preserve">خط: نسخ و تعلیق و نستعلیق، بی کا، تا: قرن ۱۸ این نسخه ظاهرا در زندگی مؤلف کتابت شده و شاید اصلاحات و قلم خوردگی های موجود در پاره ای از صفحات با دست و یا نظر خود او انجام یافته، در چند حاشیه - که به قلم کهن و شاید به خط كاتب متن است - چنین آمده «قال الشارح دام ظله» و در یکی از دو یادداشت موجود بر یک برگ اضافی اول نسخه چنین آمده: «قال افضل المحققین مولا عضد الدين أطال الله بقاه لابد من مستلزم للمطلوب و الالم ينتقل الذهن منه اليه ..» (بنابر این یادداشت این نسخه پیش از سال ۷۵۶ که سال در گذشت عضد الدین است نوشته شده)، محشی از شرح علامه حلی با نشان «حلی» و از شروح دیگری با نشان: «عض»، «قب» (یا ق ق ب) و جز اینها که برخی از آنها از نجم الدین سعید سعدی است که او از صدرالدین حدیثی نقل می کند، در یکی از این حواشی از امالی مصنف (ابن حاجب) یاد شده؛ تملک: سید محمد هاشم موسوی خوانساری؛ کاغذ: ضخیم شکری، جلد: تیماج قهوه ای، ۴۱۰ص، ۲۹ سطر، قطع : وزیری،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۱۰-۲۱۴۹]</w:t>
      </w:r>
    </w:p>
    <w:p>
      <w:pPr>
        <w:pStyle w:val="BookText"/>
      </w:pPr>
      <w:r>
        <w:rPr>
          <w:rFonts w:ascii="IRNazanin" w:hAnsi="IRNazanin" w:eastAsia="IRNazanin" w:cs="IRNazanin"/>
          <w:lang w:bidi="fa-IR"/>
          <w:color w:val="111111"/>
          <w:sz w:val="28"/>
          <w:szCs w:val="28"/>
          <w:rtl/>
        </w:rPr>
        <w:t xml:space="preserve">۴. مشهد؛ رضوی؛ شماره نسخه: ۱۳۹۷۹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ابوالفضل بن ابی علی بن هارون خشکرودی، تا: سه شنبه ۷ محرم ۷۴۱ق، جان مدرسه مستنصريه بغداد؛ محشی به حواشی شارح و دیگران با رموز «ق. هخ» و حواشی تصحیحی، و در آخر رمضان همان سال در مدرسه صادقيه شرقي بغداد توسط كاتب تصحیح شده، در برگ ضمیمه صدر نسخه ابیاتی از ابوالاسود دئلی «یعیبونها عندی و لا عيب عندها سوى أن في العنيين بعض التأخير ..» و ابو حفص شطرنجی مولا مهدی با آغاز: «حمدت الهى اذ بلیت بحبها على حول يغني عن النظر الشزر نظرت اليها و الرقيب مخالفي نظرت اليه فاسترحت من العذر» و حسین بن داود جعفری: «حرام علی عینی اصابت مقاتلي باسمهما من مهجتی ما استحلت ...» و ابیاتی درباره ظهور ابومسلم در خراسان از نصر بن سیار لیثی امیر خراسان به مروان بن محمد و بیان منازعه امیر خراسان با جديع بن على الازدی الکرمانی و حبس نمودن وی و شمه ای از ترجمه جديع کرمانی؛ تملك: جلال بن عبدالله تمیمی انصاری در ذیقعده ۹۷۸؛ واقف: فاضل خان، در ۱۳۶۳ به کتابخانه رسیده؛ کاغذ: آهار مهره حنایی، جلد: تیماج مشکی ضربی، ۱۸۹، ۲۹ 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۱۶-۵۶]</w:t>
      </w:r>
    </w:p>
    <w:p>
      <w:pPr>
        <w:pStyle w:val="BookText"/>
      </w:pPr>
      <w:r>
        <w:rPr>
          <w:rFonts w:ascii="IRNazanin" w:hAnsi="IRNazanin" w:eastAsia="IRNazanin" w:cs="IRNazanin"/>
          <w:lang w:bidi="fa-IR"/>
          <w:color w:val="111111"/>
          <w:sz w:val="28"/>
          <w:szCs w:val="28"/>
          <w:rtl/>
        </w:rPr>
        <w:t xml:space="preserve">۵. تهران؛ ملک؛ شماره نسخه: ۲۴۸۶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نزدیک به تعلیق، كا: على بن محمد بن حسن بسطامی شافعی، تا: جمعه ۱۸ ربیع الثانی ۷۵۹ق؛ محشی؛ تملك: عیسی بن على بن سيف صیمری، مسعود بن يوسف بن محمد بحرانی؛ کاغذ: دولت آبادی، جلد: میشن قهوه ای لبه دار، ۲۸۹گ، ۲۸ سطر، اندازه: ۱۷/۲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۲۵/۵سم [ف: ۱-۷۷]</w:t>
      </w:r>
    </w:p>
    <w:p>
      <w:pPr>
        <w:pStyle w:val="BookText"/>
      </w:pPr>
      <w:r>
        <w:rPr>
          <w:rFonts w:ascii="IRNazanin" w:hAnsi="IRNazanin" w:eastAsia="IRNazanin" w:cs="IRNazanin"/>
          <w:lang w:bidi="fa-IR"/>
          <w:color w:val="111111"/>
          <w:sz w:val="28"/>
          <w:szCs w:val="28"/>
          <w:rtl/>
        </w:rPr>
        <w:t xml:space="preserve">۶. مشهد؛ رضوی؛ شماره نسخه: ۲۹۰۷</w:t>
      </w:r>
    </w:p>
    <w:p>
      <w:pPr>
        <w:pStyle w:val="BookText"/>
      </w:pPr>
      <w:r>
        <w:rPr>
          <w:rFonts w:ascii="Amiri" w:hAnsi="Amiri" w:eastAsia="Amiri" w:cs="Amiri"/>
          <w:lang w:bidi="ar-SA"/>
          <w:color w:val="111111"/>
          <w:sz w:val="28"/>
          <w:szCs w:val="28"/>
          <w:rtl/>
        </w:rPr>
        <w:t xml:space="preserve">آغاز: و متعلق العلم اما ان يكون قائما بذاته؛ انجام: اما اذا كان حليا يجوز توافق</w:t>
      </w:r>
    </w:p>
    <w:p>
      <w:pPr>
        <w:pStyle w:val="BookText"/>
      </w:pPr>
      <w:r>
        <w:rPr>
          <w:rFonts w:ascii="IRNazanin" w:hAnsi="IRNazanin" w:eastAsia="IRNazanin" w:cs="IRNazanin"/>
          <w:lang w:bidi="fa-IR"/>
          <w:color w:val="111111"/>
          <w:sz w:val="28"/>
          <w:szCs w:val="28"/>
          <w:rtl/>
        </w:rPr>
        <w:t xml:space="preserve">این نسخه قبلا در جلد دوم فهرست آستان قدس با عنوان «شرح مختصر» بدون نام شارح معرفی شده، کاتب چند برگ اول کتاب را استنساخ ننموده و تا اواسط مبحث اجماع را نگاشته؛ خط: نستعلیق خوانا، بی کا، تا: قرن ۱۱؛ افتادگی: آغاز و انجام؛ محشی؛ واقف: ملا موسی گیلانی؛ کاغذ: حنایی آهار مهره، جلد: میشن مشکی، ۱۱۲ گ، ۱۹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۲۷/۵سم [ف: ۱۶-۵۸]</w:t>
      </w:r>
    </w:p>
    <w:p>
      <w:pPr>
        <w:pStyle w:val="BookText"/>
      </w:pPr>
      <w:r>
        <w:rPr>
          <w:rFonts w:ascii="IRNazanin" w:hAnsi="IRNazanin" w:eastAsia="IRNazanin" w:cs="IRNazanin"/>
          <w:lang w:bidi="fa-IR"/>
          <w:color w:val="111111"/>
          <w:sz w:val="28"/>
          <w:szCs w:val="28"/>
          <w:rtl/>
        </w:rPr>
        <w:t xml:space="preserve">۷. قم؛ مرعشی؛ شماره نسخه: ۱۱۹۹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او حد بن امیر احمد، بی تا؛ مصحح، دارای علامت بلاغ و مقابله با نسخه اصل، اجازه ای که مؤلف به جهت شخصی به تاریخ ۲۴ ربیع الثانی ۷۲۴ نوشته؛ تملك: احمد ابن محتشم الحسینی به تاریخ ۱۲۵۳ در ارزنة الروم با مهر «عبده الراجی احمد الحسینی» (بیضوی)، یحیی بن نورالدین محمد لاهیجی، محمد حسین بن محمد صالح الحسيني المحسني الخسروشاهی به تاريخ رجب ۹۵؟، امانت حاج میرزا احمد ساوجی نزد محمد رضا؛ جلد: دو رو تیماج قهوه ای ضربی، ۲۲۳گ، ۲۷ 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۳-۳۶۵]</w:t>
      </w:r>
    </w:p>
    <w:p>
      <w:pPr>
        <w:pStyle w:val="Heading3"/>
      </w:pPr>
      <w:bookmarkStart w:id="1335" w:name="_Toc595"/>
      <w:r>
        <w:t>• بيان المدات / تجوید / عربی</w:t>
      </w:r>
      <w:bookmarkEnd w:id="1335"/>
    </w:p>
    <w:p>
      <w:pPr>
        <w:pStyle w:val="BookText"/>
      </w:pPr>
      <w:r>
        <w:rPr>
          <w:rFonts w:ascii="Times New Roman" w:hAnsi="Times New Roman" w:eastAsia="Times New Roman" w:cs="Times New Roman"/>
          <w:lang w:val="en-US" w:bidi="en-US"/>
          <w:color w:val="111111"/>
          <w:sz w:val="28"/>
          <w:szCs w:val="28"/>
          <w:rtl/>
        </w:rPr>
        <w:t xml:space="preserve">bayān-ul maddāt</w:t>
      </w:r>
    </w:p>
    <w:p>
      <w:pPr>
        <w:pStyle w:val="BookText"/>
      </w:pPr>
      <w:r>
        <w:rPr>
          <w:rFonts w:ascii="IRNazanin" w:hAnsi="IRNazanin" w:eastAsia="IRNazanin" w:cs="IRNazanin"/>
          <w:lang w:bidi="fa-IR"/>
          <w:color w:val="111111"/>
          <w:sz w:val="28"/>
          <w:szCs w:val="28"/>
          <w:rtl/>
        </w:rPr>
        <w:t xml:space="preserve">پیر سروی، حسین بن حامد</w:t>
      </w:r>
    </w:p>
    <w:p>
      <w:pPr>
        <w:pStyle w:val="BookText"/>
      </w:pPr>
      <w:r>
        <w:rPr>
          <w:rFonts w:ascii="Times New Roman" w:hAnsi="Times New Roman" w:eastAsia="Times New Roman" w:cs="Times New Roman"/>
          <w:lang w:val="en-US" w:bidi="en-US"/>
          <w:color w:val="111111"/>
          <w:sz w:val="28"/>
          <w:szCs w:val="28"/>
          <w:rtl/>
        </w:rPr>
        <w:t xml:space="preserve">pīr sarvī, hoseyn ebn-e hāmed</w:t>
      </w:r>
    </w:p>
    <w:p>
      <w:pPr>
        <w:pStyle w:val="BookText"/>
      </w:pPr>
      <w:r>
        <w:rPr>
          <w:rFonts w:ascii="IRNazanin" w:hAnsi="IRNazanin" w:eastAsia="IRNazanin" w:cs="IRNazanin"/>
          <w:lang w:bidi="fa-IR"/>
          <w:color w:val="111111"/>
          <w:sz w:val="28"/>
          <w:szCs w:val="28"/>
          <w:rtl/>
        </w:rPr>
        <w:t xml:space="preserve">تهران؛ ملک؛ شماره نسخه: ۳۰۳/۱۳</w:t>
      </w:r>
    </w:p>
    <w:p>
      <w:pPr>
        <w:pStyle w:val="BookText"/>
      </w:pPr>
      <w:r>
        <w:rPr>
          <w:rFonts w:ascii="IRNazanin" w:hAnsi="IRNazanin" w:eastAsia="IRNazanin" w:cs="IRNazanin"/>
          <w:lang w:bidi="fa-IR"/>
          <w:color w:val="111111"/>
          <w:sz w:val="28"/>
          <w:szCs w:val="28"/>
          <w:rtl/>
        </w:rPr>
        <w:t xml:space="preserve">به نظم و نثر؛ خط: نسخ، کا: محمد بن محمود نصیر طوسی، تا: قرن ۸[ف: ۵-۱۵]</w:t>
      </w:r>
    </w:p>
    <w:p>
      <w:pPr>
        <w:pStyle w:val="Heading3"/>
      </w:pPr>
      <w:bookmarkStart w:id="1336" w:name="_Toc596"/>
      <w:r>
        <w:t>• بيان المذاهب / كلام و اعتقادات / عربی</w:t>
      </w:r>
      <w:bookmarkEnd w:id="1336"/>
    </w:p>
    <w:p>
      <w:pPr>
        <w:pStyle w:val="BookText"/>
      </w:pPr>
      <w:r>
        <w:rPr>
          <w:rFonts w:ascii="Times New Roman" w:hAnsi="Times New Roman" w:eastAsia="Times New Roman" w:cs="Times New Roman"/>
          <w:lang w:val="en-US" w:bidi="en-US"/>
          <w:color w:val="111111"/>
          <w:sz w:val="28"/>
          <w:szCs w:val="28"/>
          <w:rtl/>
        </w:rPr>
        <w:t xml:space="preserve">bayān-ul madāhib</w:t>
      </w:r>
    </w:p>
    <w:p>
      <w:pPr>
        <w:pStyle w:val="BookText"/>
      </w:pPr>
      <w:r>
        <w:rPr>
          <w:rFonts w:ascii="IRNazanin" w:hAnsi="IRNazanin" w:eastAsia="IRNazanin" w:cs="IRNazanin"/>
          <w:lang w:bidi="fa-IR"/>
          <w:color w:val="111111"/>
          <w:sz w:val="28"/>
          <w:szCs w:val="28"/>
          <w:rtl/>
        </w:rPr>
        <w:t xml:space="preserve">نسفی، عمر بن محمد، ۴۶۱-۵۳۷ قمری</w:t>
      </w:r>
    </w:p>
    <w:p>
      <w:pPr>
        <w:pStyle w:val="BookText"/>
      </w:pPr>
      <w:r>
        <w:rPr>
          <w:rFonts w:ascii="Times New Roman" w:hAnsi="Times New Roman" w:eastAsia="Times New Roman" w:cs="Times New Roman"/>
          <w:lang w:val="en-US" w:bidi="en-US"/>
          <w:color w:val="111111"/>
          <w:sz w:val="28"/>
          <w:szCs w:val="28"/>
          <w:rtl/>
        </w:rPr>
        <w:t xml:space="preserve">nasafī, 'omar ebn-e mohammad (1070-1143)</w:t>
      </w:r>
    </w:p>
    <w:p>
      <w:pPr>
        <w:pStyle w:val="BookText"/>
      </w:pPr>
      <w:r>
        <w:rPr>
          <w:rFonts w:ascii="IRNazanin" w:hAnsi="IRNazanin" w:eastAsia="IRNazanin" w:cs="IRNazanin"/>
          <w:lang w:bidi="fa-IR"/>
          <w:color w:val="111111"/>
          <w:sz w:val="28"/>
          <w:szCs w:val="28"/>
          <w:rtl/>
        </w:rPr>
        <w:t xml:space="preserve">رساله ای است در باب فرق و مذاهب گوناگون اسلامی برگرفته از حدیث نبوی معروف که فرموده اند: یهود به هفتاد و یک فرقه تبدیل شدن و نصارا بر هفتاد و دو فرقه و مسلمانان بر هفتاد و سه فرقه تقسیم خواهند شد، مؤلف با شمارش این فرقه ها و توضیح اندکی در خصوص عقاید برخی از آنان به بحث پرداخته است. جز آن است که در فرهنگ ایران زمین (۴: ۱۵۹) آمده است.</w:t>
      </w:r>
    </w:p>
    <w:p>
      <w:pPr>
        <w:pStyle w:val="BookText"/>
      </w:pPr>
      <w:r>
        <w:rPr>
          <w:rFonts w:ascii="IRNazanin" w:hAnsi="IRNazanin" w:eastAsia="IRNazanin" w:cs="IRNazanin"/>
          <w:lang w:bidi="fa-IR"/>
          <w:color w:val="111111"/>
          <w:sz w:val="28"/>
          <w:szCs w:val="28"/>
          <w:rtl/>
        </w:rPr>
        <w:t xml:space="preserve">آغاز: روى عن ابي هريرة و عايشة و جماعة من الصحابة رضی الله عنهم عن النبي (صلی الله علیه وآله وسلم) انه قال افترقت اليهود على احدی و سبعين فرقة كلهم في النار الا واحدة و ستفترق أمتي على ثلث و سبعين فرقة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93" w:name="pg20363_209431"/>
    <w:bookmarkEnd w:id="193"/>
    <w:p>
      <w:pPr>
        <w:pStyle w:val="BookText"/>
      </w:pPr>
      <w:r>
        <w:rPr>
          <w:rFonts w:ascii="IRNazanin" w:hAnsi="IRNazanin" w:eastAsia="IRNazanin" w:cs="IRNazanin"/>
          <w:lang w:bidi="fa-IR"/>
          <w:color w:val="111111"/>
          <w:sz w:val="28"/>
          <w:szCs w:val="28"/>
          <w:rtl/>
        </w:rPr>
        <w:t xml:space="preserve">[نسخه های منزوی ۱۲۹۸؛ دنا ۲/ ۵۹۰]</w:t>
      </w:r>
    </w:p>
    <w:p>
      <w:pPr>
        <w:pStyle w:val="BookText"/>
      </w:pPr>
      <w:r>
        <w:rPr>
          <w:rFonts w:ascii="IRNazanin" w:hAnsi="IRNazanin" w:eastAsia="IRNazanin" w:cs="IRNazanin"/>
          <w:lang w:bidi="fa-IR"/>
          <w:color w:val="111111"/>
          <w:sz w:val="28"/>
          <w:szCs w:val="28"/>
          <w:rtl/>
        </w:rPr>
        <w:t xml:space="preserve">۱. تهران: مجلس؛ شماره نسخه: ۱۲۶۷/۳</w:t>
      </w:r>
    </w:p>
    <w:p>
      <w:pPr>
        <w:pStyle w:val="BookText"/>
      </w:pPr>
      <w:r>
        <w:rPr>
          <w:rFonts w:ascii="IRNazanin" w:hAnsi="IRNazanin" w:eastAsia="IRNazanin" w:cs="IRNazanin"/>
          <w:lang w:bidi="fa-IR"/>
          <w:color w:val="111111"/>
          <w:sz w:val="28"/>
          <w:szCs w:val="28"/>
          <w:rtl/>
        </w:rPr>
        <w:t xml:space="preserve">آغاز: برابر؛ انجام: فان اردت الدلايل فعليك بكتاب الملكل و النحل فهذا اقسام المليبين و اما غير المليبين فكثيرة منال الله تعالی الوفاة على الاسلام و ان يحشرنا مع اهل الكرام بحرمة ...</w:t>
      </w:r>
    </w:p>
    <w:p>
      <w:pPr>
        <w:pStyle w:val="BookText"/>
      </w:pPr>
      <w:r>
        <w:rPr>
          <w:rFonts w:ascii="IRNazanin" w:hAnsi="IRNazanin" w:eastAsia="IRNazanin" w:cs="IRNazanin"/>
          <w:lang w:bidi="fa-IR"/>
          <w:color w:val="111111"/>
          <w:sz w:val="28"/>
          <w:szCs w:val="28"/>
          <w:rtl/>
        </w:rPr>
        <w:t xml:space="preserve">خط: نسخ، بی کا، تا: قرن ۱۲؛ کاغذ: سفید، جلد: مقوایی، عطف و دور تیماج تریاکی، ۴ص (۱۷-۲۰)، ۲۳ سطر [سنا: ف: ۲-۱۹۸]</w:t>
      </w:r>
    </w:p>
    <w:p>
      <w:pPr>
        <w:pStyle w:val="BookText"/>
      </w:pPr>
      <w:r>
        <w:rPr>
          <w:rFonts w:ascii="IRNazanin" w:hAnsi="IRNazanin" w:eastAsia="IRNazanin" w:cs="IRNazanin"/>
          <w:lang w:bidi="fa-IR"/>
          <w:color w:val="111111"/>
          <w:sz w:val="28"/>
          <w:szCs w:val="28"/>
          <w:rtl/>
        </w:rPr>
        <w:t xml:space="preserve">۲. قم؛ مرعشی؛ شماره نسخه: ۱۳۱۵۴/۲</w:t>
      </w:r>
    </w:p>
    <w:p>
      <w:pPr>
        <w:pStyle w:val="BookText"/>
      </w:pPr>
      <w:r>
        <w:rPr>
          <w:rFonts w:ascii="IRNazanin" w:hAnsi="IRNazanin" w:eastAsia="IRNazanin" w:cs="IRNazanin"/>
          <w:lang w:bidi="fa-IR"/>
          <w:color w:val="111111"/>
          <w:sz w:val="28"/>
          <w:szCs w:val="28"/>
          <w:rtl/>
        </w:rPr>
        <w:t xml:space="preserve">آغاز: برابر؛ انجام: و اما المباح فاستوي طرفاه يخير بين فعله و ترکه و اما الحرام ما في فعله عتاب و عقاب و اما المكروه ما ترکه اولی من اتيانه و اما الادب ما فعله ثواب و ليس في ترکه عتاب هكذا نقل من شمس الدين</w:t>
      </w:r>
    </w:p>
    <w:p>
      <w:pPr>
        <w:pStyle w:val="BookText"/>
      </w:pPr>
      <w:r>
        <w:rPr>
          <w:rFonts w:ascii="IRNazanin" w:hAnsi="IRNazanin" w:eastAsia="IRNazanin" w:cs="IRNazanin"/>
          <w:lang w:bidi="fa-IR"/>
          <w:color w:val="111111"/>
          <w:sz w:val="28"/>
          <w:szCs w:val="28"/>
          <w:rtl/>
        </w:rPr>
        <w:t xml:space="preserve">خط: نسخ، بی کا، تا: قرن ۱۲؛ کاغذ: فرنگی، ۲گ (۱۷ و ۱۸)، ۱۸ سطر، اندازه: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۳۳-۲۹۳]</w:t>
      </w:r>
    </w:p>
    <w:p>
      <w:pPr>
        <w:pStyle w:val="Heading3"/>
      </w:pPr>
      <w:bookmarkStart w:id="1337" w:name="_Toc597"/>
      <w:r>
        <w:t>• بيان المذاهب / ادیان و مذاهب / عربی</w:t>
      </w:r>
      <w:bookmarkEnd w:id="1337"/>
    </w:p>
    <w:p>
      <w:pPr>
        <w:pStyle w:val="BookText"/>
      </w:pPr>
      <w:r>
        <w:rPr>
          <w:rFonts w:ascii="Times New Roman" w:hAnsi="Times New Roman" w:eastAsia="Times New Roman" w:cs="Times New Roman"/>
          <w:lang w:val="en-US" w:bidi="en-US"/>
          <w:color w:val="111111"/>
          <w:sz w:val="28"/>
          <w:szCs w:val="28"/>
          <w:rtl/>
        </w:rPr>
        <w:t xml:space="preserve">bayān-ul madāhib</w:t>
      </w:r>
    </w:p>
    <w:p>
      <w:pPr>
        <w:pStyle w:val="BookText"/>
      </w:pPr>
      <w:r>
        <w:rPr>
          <w:rFonts w:ascii="IRNazanin" w:hAnsi="IRNazanin" w:eastAsia="IRNazanin" w:cs="IRNazanin"/>
          <w:lang w:bidi="fa-IR"/>
          <w:color w:val="111111"/>
          <w:sz w:val="28"/>
          <w:szCs w:val="28"/>
          <w:rtl/>
        </w:rPr>
        <w:t xml:space="preserve">شیخ الاسلام دامغانی، محمد بن حسین، ق۱۳ قمری</w:t>
      </w:r>
    </w:p>
    <w:p>
      <w:pPr>
        <w:pStyle w:val="BookText"/>
      </w:pPr>
      <w:r>
        <w:rPr>
          <w:rFonts w:ascii="Times New Roman" w:hAnsi="Times New Roman" w:eastAsia="Times New Roman" w:cs="Times New Roman"/>
          <w:lang w:val="en-US" w:bidi="en-US"/>
          <w:color w:val="111111"/>
          <w:sz w:val="28"/>
          <w:szCs w:val="28"/>
          <w:rtl/>
        </w:rPr>
        <w:t xml:space="preserve">šayx-ol-eslām dāmqānī, mohammad ebn-e hoseyn ( 19c)</w:t>
      </w:r>
    </w:p>
    <w:p>
      <w:pPr>
        <w:pStyle w:val="BookText"/>
      </w:pPr>
      <w:r>
        <w:rPr>
          <w:rFonts w:ascii="IRNazanin" w:hAnsi="IRNazanin" w:eastAsia="IRNazanin" w:cs="IRNazanin"/>
          <w:lang w:bidi="fa-IR"/>
          <w:color w:val="111111"/>
          <w:sz w:val="28"/>
          <w:szCs w:val="28"/>
          <w:rtl/>
        </w:rPr>
        <w:t xml:space="preserve">در بیان ملل و نحل و فرق مختلف اسلامی که به درخواست کسی آن را در یک مقدمه و هشت «باب» و «خاتمه) جمع آوری نموده است.</w:t>
      </w:r>
    </w:p>
    <w:p>
      <w:pPr>
        <w:pStyle w:val="BookText"/>
      </w:pPr>
      <w:r>
        <w:rPr>
          <w:rFonts w:ascii="IRNazanin" w:hAnsi="IRNazanin" w:eastAsia="IRNazanin" w:cs="IRNazanin"/>
          <w:lang w:bidi="fa-IR"/>
          <w:color w:val="111111"/>
          <w:sz w:val="28"/>
          <w:szCs w:val="28"/>
          <w:rtl/>
        </w:rPr>
        <w:t xml:space="preserve">دامغان؛ صادقیه؛ شماره نسخه: ۲۰۰/۱</w:t>
      </w:r>
    </w:p>
    <w:p>
      <w:pPr>
        <w:pStyle w:val="BookText"/>
      </w:pPr>
      <w:r>
        <w:rPr>
          <w:rFonts w:ascii="IRNazanin" w:hAnsi="IRNazanin" w:eastAsia="IRNazanin" w:cs="IRNazanin"/>
          <w:lang w:bidi="fa-IR"/>
          <w:color w:val="111111"/>
          <w:sz w:val="28"/>
          <w:szCs w:val="28"/>
          <w:rtl/>
        </w:rPr>
        <w:t xml:space="preserve">آغاز: الحمدلله الهادي للعباد إلى سبل السلام و مبلغهم بارسال الرسل الى غايته المرام و الصلاة و السلام على مبلغ أحكامه؛ انجام: و النائله في المروة الى ان كسرها النبي في عام الفتح للمكة وختم الله عواقب امورنا بالخير و السعادة أنه خير موفق و معین خط: نستعلیق، کاتب = مؤلف، تا: قرن ۱۳؛ مصحح؛ واقف: شیخ الاسلام دامغانی، ۱۲۷۱ق؛ جلد: تیماج کرمی بدون مقوا، ۲۲گ، مختلف السطر،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مخ: ۲۷]</w:t>
      </w:r>
    </w:p>
    <w:p>
      <w:pPr>
        <w:pStyle w:val="Heading3"/>
      </w:pPr>
      <w:bookmarkStart w:id="1338" w:name="_Toc598"/>
      <w:r>
        <w:t>•بیان مراتب کمالات انسانی و بیان طريق التحصیل للكمالات / عرفان و تصوف / عربی</w:t>
      </w:r>
      <w:bookmarkEnd w:id="1338"/>
    </w:p>
    <w:p>
      <w:pPr>
        <w:pStyle w:val="BookText"/>
      </w:pPr>
      <w:r>
        <w:rPr>
          <w:rFonts w:ascii="Times New Roman" w:hAnsi="Times New Roman" w:eastAsia="Times New Roman" w:cs="Times New Roman"/>
          <w:lang w:val="en-US" w:bidi="en-US"/>
          <w:color w:val="111111"/>
          <w:sz w:val="28"/>
          <w:szCs w:val="28"/>
          <w:rtl/>
        </w:rPr>
        <w:t xml:space="preserve">bayān-u marātib-i kamālāt-i insānī wa bayān-i țarīq-it tahsīl li-l-kamālāt</w:t>
      </w:r>
    </w:p>
    <w:p>
      <w:pPr>
        <w:pStyle w:val="BookText"/>
      </w:pPr>
      <w:r>
        <w:rPr>
          <w:rFonts w:ascii="IRNazanin" w:hAnsi="IRNazanin" w:eastAsia="IRNazanin" w:cs="IRNazanin"/>
          <w:lang w:bidi="fa-IR"/>
          <w:color w:val="111111"/>
          <w:sz w:val="28"/>
          <w:szCs w:val="28"/>
          <w:rtl/>
        </w:rPr>
        <w:t xml:space="preserve">ابن سینا، حسین بن عبدالله، ۳۷۰؟ -۴۲۸ قمری</w:t>
      </w:r>
    </w:p>
    <w:p>
      <w:pPr>
        <w:pStyle w:val="BookText"/>
      </w:pPr>
      <w:r>
        <w:rPr>
          <w:rFonts w:ascii="Times New Roman" w:hAnsi="Times New Roman" w:eastAsia="Times New Roman" w:cs="Times New Roman"/>
          <w:lang w:val="en-US" w:bidi="en-US"/>
          <w:color w:val="111111"/>
          <w:sz w:val="28"/>
          <w:szCs w:val="28"/>
          <w:rtl/>
        </w:rPr>
        <w:t xml:space="preserve">ebn-e sīnā, hoseyn ebn-e ‘abd-ol-lāh (981-1038)</w:t>
      </w:r>
    </w:p>
    <w:p>
      <w:pPr>
        <w:pStyle w:val="BookText"/>
      </w:pPr>
      <w:r>
        <w:rPr>
          <w:rFonts w:ascii="IRNazanin" w:hAnsi="IRNazanin" w:eastAsia="IRNazanin" w:cs="IRNazanin"/>
          <w:lang w:bidi="fa-IR"/>
          <w:color w:val="111111"/>
          <w:sz w:val="28"/>
          <w:szCs w:val="28"/>
          <w:rtl/>
        </w:rPr>
        <w:t xml:space="preserve">آغاز: حمدله. صلاة. و بعد، آن حقيقة الانسان متحصلة من جوهرین احدهما كثيف جسمانی و هو الهيكل الانسانی[ فهرست مصنفات ابن سینا، مهدوی: ۲۶۲؛ دنا ۲/ ۵۹۰]</w:t>
      </w:r>
    </w:p>
    <w:p>
      <w:pPr>
        <w:pStyle w:val="BookText"/>
      </w:pPr>
      <w:r>
        <w:rPr>
          <w:rFonts w:ascii="IRNazanin" w:hAnsi="IRNazanin" w:eastAsia="IRNazanin" w:cs="IRNazanin"/>
          <w:lang w:bidi="fa-IR"/>
          <w:color w:val="111111"/>
          <w:sz w:val="28"/>
          <w:szCs w:val="28"/>
          <w:rtl/>
        </w:rPr>
        <w:t xml:space="preserve">۱. تهران: مجلس؛ شماره نسخه: ۵۲۸۳/۷۷</w:t>
      </w:r>
    </w:p>
    <w:p>
      <w:pPr>
        <w:pStyle w:val="BookText"/>
      </w:pPr>
      <w:r>
        <w:rPr>
          <w:rFonts w:ascii="IRNazanin" w:hAnsi="IRNazanin" w:eastAsia="IRNazanin" w:cs="IRNazanin"/>
          <w:lang w:bidi="fa-IR"/>
          <w:color w:val="111111"/>
          <w:sz w:val="28"/>
          <w:szCs w:val="28"/>
          <w:rtl/>
        </w:rPr>
        <w:t xml:space="preserve">و آغاز: برابر</w:t>
      </w:r>
    </w:p>
    <w:p>
      <w:pPr>
        <w:pStyle w:val="BookText"/>
      </w:pPr>
      <w:r>
        <w:rPr>
          <w:rFonts w:ascii="IRNazanin" w:hAnsi="IRNazanin" w:eastAsia="IRNazanin" w:cs="IRNazanin"/>
          <w:lang w:bidi="fa-IR"/>
          <w:color w:val="111111"/>
          <w:sz w:val="28"/>
          <w:szCs w:val="28"/>
          <w:rtl/>
        </w:rPr>
        <w:t xml:space="preserve">خط نستعلیق، بی کا، تا: ۱۰۹۴ق؛ ۲گ (۲۰۲ر -۲۰۳ر) [ف: ۱۶-۲۰۱]</w:t>
      </w:r>
    </w:p>
    <w:p>
      <w:pPr>
        <w:pStyle w:val="BookText"/>
      </w:pPr>
      <w:r>
        <w:rPr>
          <w:rFonts w:ascii="Amiri" w:hAnsi="Amiri" w:eastAsia="Amiri" w:cs="Amiri"/>
          <w:lang w:bidi="ar-SA"/>
          <w:color w:val="111111"/>
          <w:sz w:val="28"/>
          <w:szCs w:val="28"/>
          <w:rtl/>
        </w:rPr>
        <w:t xml:space="preserve">۲. تهران؛ الهيات؛ شماره نسخه: ۲۹۳/۵۵</w:t>
      </w:r>
    </w:p>
    <w:p>
      <w:pPr>
        <w:pStyle w:val="BookText"/>
      </w:pPr>
      <w:r>
        <w:rPr>
          <w:rFonts w:ascii="IRNazanin" w:hAnsi="IRNazanin" w:eastAsia="IRNazanin" w:cs="IRNazanin"/>
          <w:lang w:bidi="fa-IR"/>
          <w:color w:val="111111"/>
          <w:sz w:val="28"/>
          <w:szCs w:val="28"/>
          <w:rtl/>
        </w:rPr>
        <w:t xml:space="preserve">آغاز: برابر؛ انجام: فاجتهد ان تصير اهل ذلك خط: نسخ، بی کا، تا: قرن ۱۲، کاغذ: سپاهانی، جلد: تیماج سبز مقوایی، ۳گ (۱۶۹پ -۱۷۱ر)، ۲۴ سطر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۱۸/۵ )،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سم [ف: ۲۰۲]</w:t>
      </w:r>
    </w:p>
    <w:p>
      <w:pPr>
        <w:pStyle w:val="BookText"/>
      </w:pPr>
      <w:r>
        <w:rPr>
          <w:rFonts w:ascii="IRNazanin" w:hAnsi="IRNazanin" w:eastAsia="IRNazanin" w:cs="IRNazanin"/>
          <w:lang w:bidi="fa-IR"/>
          <w:color w:val="111111"/>
          <w:sz w:val="28"/>
          <w:szCs w:val="28"/>
          <w:rtl/>
        </w:rPr>
        <w:t xml:space="preserve">٣. تهران؛ ملک؛ شماره نسخه: ۴۶۵۵/۱۵</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انجام: و لاتشرحها العبارة. فاجتهد ان تصير اهل ذلك خط: نستعلیق، کا: کرمعلی خراسانی، تا: قرن ۱۳ ؛ کاغذ: فستقی آبی، ۳گ (۱۱۹-۱۲۱ر)، ۲۲ سطر، اندازه: ۱۴/۶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۱۸/۵ سم [ف: ۴۵۷-۷]</w:t>
      </w:r>
    </w:p>
    <w:p>
      <w:pPr>
        <w:pStyle w:val="Heading3"/>
      </w:pPr>
      <w:bookmarkStart w:id="1339" w:name="_Toc599"/>
      <w:r>
        <w:t>•بیان مراد الاحسائي / كلام و اعتقادات / عربی</w:t>
      </w:r>
      <w:bookmarkEnd w:id="1339"/>
    </w:p>
    <w:p>
      <w:pPr>
        <w:pStyle w:val="BookText"/>
      </w:pPr>
      <w:r>
        <w:rPr>
          <w:rFonts w:ascii="Times New Roman" w:hAnsi="Times New Roman" w:eastAsia="Times New Roman" w:cs="Times New Roman"/>
          <w:lang w:val="en-US" w:bidi="en-US"/>
          <w:color w:val="111111"/>
          <w:sz w:val="28"/>
          <w:szCs w:val="28"/>
          <w:rtl/>
        </w:rPr>
        <w:t xml:space="preserve">bayān-u murād-il aḥsā'ī</w:t>
      </w:r>
    </w:p>
    <w:p>
      <w:pPr>
        <w:pStyle w:val="BookText"/>
      </w:pPr>
      <w:r>
        <w:rPr>
          <w:rFonts w:ascii="IRNazanin" w:hAnsi="IRNazanin" w:eastAsia="IRNazanin" w:cs="IRNazanin"/>
          <w:lang w:bidi="fa-IR"/>
          <w:color w:val="111111"/>
          <w:sz w:val="28"/>
          <w:szCs w:val="28"/>
          <w:rtl/>
        </w:rPr>
        <w:t xml:space="preserve">قزوینی، عبدالوهاب بن محمد على، ق۱۳ قمری</w:t>
      </w:r>
    </w:p>
    <w:p>
      <w:pPr>
        <w:pStyle w:val="BookText"/>
      </w:pPr>
      <w:r>
        <w:rPr>
          <w:rFonts w:ascii="Times New Roman" w:hAnsi="Times New Roman" w:eastAsia="Times New Roman" w:cs="Times New Roman"/>
          <w:lang w:val="en-US" w:bidi="en-US"/>
          <w:color w:val="111111"/>
          <w:sz w:val="28"/>
          <w:szCs w:val="28"/>
          <w:rtl/>
        </w:rPr>
        <w:t xml:space="preserve">qazvīnī, 'abd-ol-vahhāb ebn-e mohammad ‘alī (- 19c)</w:t>
      </w:r>
    </w:p>
    <w:p>
      <w:pPr>
        <w:pStyle w:val="BookText"/>
      </w:pPr>
      <w:r>
        <w:rPr>
          <w:rFonts w:ascii="IRNazanin" w:hAnsi="IRNazanin" w:eastAsia="IRNazanin" w:cs="IRNazanin"/>
          <w:lang w:bidi="fa-IR"/>
          <w:color w:val="111111"/>
          <w:sz w:val="28"/>
          <w:szCs w:val="28"/>
          <w:rtl/>
        </w:rPr>
        <w:t xml:space="preserve">مؤلف می گوید: وقتی رساله منسوب به شیخ احمد احسائی در شرح حديث مربوط به پوسیده شدن بدن اموات در زیر زمین بعد از دفن منتشر شد بسیاری از طلاب و اهل علم از آن معنایی فهمیدند که با مبانی و عقاید وی سازگار نبود ولی من چون مبانی وی را می شناختم رساله را با آن منافی ندیدم پس این رساله را در توضیح آن نگاشتم.</w:t>
      </w:r>
    </w:p>
    <w:p>
      <w:pPr>
        <w:pStyle w:val="BookText"/>
      </w:pPr>
      <w:r>
        <w:rPr>
          <w:rFonts w:ascii="IRNazanin" w:hAnsi="IRNazanin" w:eastAsia="IRNazanin" w:cs="IRNazanin"/>
          <w:lang w:bidi="fa-IR"/>
          <w:color w:val="111111"/>
          <w:sz w:val="28"/>
          <w:szCs w:val="28"/>
          <w:rtl/>
        </w:rPr>
        <w:t xml:space="preserve">قزوین، امام صادق؛ شماره نسخه: ۱۰/ ۴۸۰</w:t>
      </w:r>
    </w:p>
    <w:p>
      <w:pPr>
        <w:pStyle w:val="BookText"/>
      </w:pPr>
      <w:r>
        <w:rPr>
          <w:rFonts w:ascii="IRNazanin" w:hAnsi="IRNazanin" w:eastAsia="IRNazanin" w:cs="IRNazanin"/>
          <w:lang w:bidi="fa-IR"/>
          <w:color w:val="111111"/>
          <w:sz w:val="28"/>
          <w:szCs w:val="28"/>
          <w:rtl/>
        </w:rPr>
        <w:t xml:space="preserve">آغاز: بسمله نحمد اللهم یحیی و یمیت و یحیی ... و بعد فيقول ... انه لما ظهر الرسلة المنسوبة إلى الشيخ الاعظم و المولى الأكرم ... في جواب السوال عن حقيقة معنى الحديث الذي رواه</w:t>
      </w:r>
    </w:p>
    <w:p>
      <w:pPr>
        <w:pStyle w:val="BookText"/>
      </w:pPr>
      <w:r>
        <w:rPr>
          <w:rFonts w:ascii="IRNazanin" w:hAnsi="IRNazanin" w:eastAsia="IRNazanin" w:cs="IRNazanin"/>
          <w:lang w:bidi="fa-IR"/>
          <w:color w:val="111111"/>
          <w:sz w:val="28"/>
          <w:szCs w:val="28"/>
          <w:rtl/>
        </w:rPr>
        <w:t xml:space="preserve">کاتب = مؤلف، بی تا؛ جلد: گالینگور سیاه، ۱۰گ [ف: ۱-۳۹۲]</w:t>
      </w:r>
    </w:p>
    <w:p>
      <w:pPr>
        <w:pStyle w:val="Heading3"/>
      </w:pPr>
      <w:bookmarkStart w:id="1340" w:name="_Toc600"/>
      <w:r>
        <w:t>• بیان مرض ناشی از خوردن گوشت خوک و جراحی نظامی / طب / فارسی</w:t>
      </w:r>
      <w:bookmarkEnd w:id="1340"/>
    </w:p>
    <w:p>
      <w:pPr>
        <w:pStyle w:val="BookText"/>
      </w:pPr>
      <w:r>
        <w:rPr>
          <w:rFonts w:ascii="Times New Roman" w:hAnsi="Times New Roman" w:eastAsia="Times New Roman" w:cs="Times New Roman"/>
          <w:lang w:val="en-US" w:bidi="en-US"/>
          <w:color w:val="111111"/>
          <w:sz w:val="28"/>
          <w:szCs w:val="28"/>
          <w:rtl/>
        </w:rPr>
        <w:t xml:space="preserve">bayān-e maraz-e nāšī az xordan-e gūšt-e xūk va jarrāhī-ye nezāmī</w:t>
      </w:r>
    </w:p>
    <w:p>
      <w:pPr>
        <w:pStyle w:val="BookText"/>
      </w:pPr>
      <w:r>
        <w:rPr>
          <w:rFonts w:ascii="IRNazanin" w:hAnsi="IRNazanin" w:eastAsia="IRNazanin" w:cs="IRNazanin"/>
          <w:lang w:bidi="fa-IR"/>
          <w:color w:val="111111"/>
          <w:sz w:val="28"/>
          <w:szCs w:val="28"/>
          <w:rtl/>
        </w:rPr>
        <w:t xml:space="preserve">طبيب، باقر، ق ۱۴ قمری</w:t>
      </w:r>
    </w:p>
    <w:p>
      <w:pPr>
        <w:pStyle w:val="BookText"/>
      </w:pPr>
      <w:r>
        <w:rPr>
          <w:rFonts w:ascii="Times New Roman" w:hAnsi="Times New Roman" w:eastAsia="Times New Roman" w:cs="Times New Roman"/>
          <w:lang w:val="en-US" w:bidi="en-US"/>
          <w:color w:val="111111"/>
          <w:sz w:val="28"/>
          <w:szCs w:val="28"/>
          <w:rtl/>
        </w:rPr>
        <w:t xml:space="preserve">tabīb, bāqer (- 20c)</w:t>
      </w:r>
    </w:p>
    <w:p>
      <w:pPr>
        <w:pStyle w:val="BookText"/>
      </w:pPr>
      <w:r>
        <w:rPr>
          <w:rFonts w:ascii="IRNazanin" w:hAnsi="IRNazanin" w:eastAsia="IRNazanin" w:cs="IRNazanin"/>
          <w:lang w:bidi="fa-IR"/>
          <w:color w:val="111111"/>
          <w:sz w:val="28"/>
          <w:szCs w:val="28"/>
          <w:rtl/>
        </w:rPr>
        <w:t xml:space="preserve">اهدا به: ناصرالدین شاه قاجار</w:t>
      </w:r>
    </w:p>
    <w:p>
      <w:pPr>
        <w:pStyle w:val="BookText"/>
      </w:pPr>
      <w:r>
        <w:rPr>
          <w:rFonts w:ascii="IRNazanin" w:hAnsi="IRNazanin" w:eastAsia="IRNazanin" w:cs="IRNazanin"/>
          <w:lang w:bidi="fa-IR"/>
          <w:color w:val="111111"/>
          <w:sz w:val="28"/>
          <w:szCs w:val="28"/>
          <w:rtl/>
        </w:rPr>
        <w:t xml:space="preserve">تاریخ تأليف: ۱۳۰۰ق</w:t>
      </w:r>
    </w:p>
    <w:p>
      <w:pPr>
        <w:pStyle w:val="BookText"/>
      </w:pPr>
      <w:r>
        <w:rPr>
          <w:rFonts w:ascii="IRNazanin" w:hAnsi="IRNazanin" w:eastAsia="IRNazanin" w:cs="IRNazanin"/>
          <w:lang w:bidi="fa-IR"/>
          <w:color w:val="111111"/>
          <w:sz w:val="28"/>
          <w:szCs w:val="28"/>
          <w:rtl/>
        </w:rPr>
        <w:t xml:space="preserve">از میرزا سید باقر طبیب و دکتر آلبو. قسمت اول کتاب که از مرض «طر شین» بحث می کند، یعنی مرضی که از خوردن گوشت خوک پیدا می شود، در دو فصل به وسیله میرزا سید باقر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94" w:name="pg20363_209432"/>
    <w:bookmarkEnd w:id="194"/>
    <w:p>
      <w:pPr>
        <w:pStyle w:val="BookText"/>
      </w:pPr>
      <w:r>
        <w:rPr>
          <w:rFonts w:ascii="IRNazanin" w:hAnsi="IRNazanin" w:eastAsia="IRNazanin" w:cs="IRNazanin"/>
          <w:lang w:bidi="fa-IR"/>
          <w:color w:val="111111"/>
          <w:sz w:val="28"/>
          <w:szCs w:val="28"/>
          <w:rtl/>
        </w:rPr>
        <w:t xml:space="preserve">طبیب به رشته تحریر کشیده شده است. قسمت دوم در جراحی نظامی است و حاوی جراحی اندام های انسانی و کمک به مجروحین نظامی و جراحی های فوری در مواقع غیر عادی است که به قلم دکتر البو و میرزا سید باقر می باشد. این کتاب در دوشنبه ۵ ربیع الاول ۱۳۰۵ ق در میدان مشق، روزسان، به ناصرالدین شاه تقدیم گردیده است. (انوار)</w:t>
      </w:r>
    </w:p>
    <w:p>
      <w:pPr>
        <w:pStyle w:val="BookText"/>
      </w:pPr>
      <w:r>
        <w:rPr>
          <w:rFonts w:ascii="IRNazanin" w:hAnsi="IRNazanin" w:eastAsia="IRNazanin" w:cs="IRNazanin"/>
          <w:lang w:bidi="fa-IR"/>
          <w:color w:val="111111"/>
          <w:sz w:val="28"/>
          <w:szCs w:val="28"/>
          <w:rtl/>
        </w:rPr>
        <w:t xml:space="preserve">آغاز: بسمله، آن احق ما يفتح به الكلام حمدالله الملك العلام الذي اشرقت بانوار قدسه خواطر اولی الفكر و اضائت بمصالح الله بصائر اولی العبر صانعی که بقلم قدرت بر لوح فطرت نسخه وجود نقوش موجودات بنگاشت</w:t>
      </w:r>
    </w:p>
    <w:p>
      <w:pPr>
        <w:pStyle w:val="BookText"/>
      </w:pPr>
      <w:r>
        <w:rPr>
          <w:rFonts w:ascii="IRNazanin" w:hAnsi="IRNazanin" w:eastAsia="IRNazanin" w:cs="IRNazanin"/>
          <w:lang w:bidi="fa-IR"/>
          <w:color w:val="111111"/>
          <w:sz w:val="28"/>
          <w:szCs w:val="28"/>
          <w:rtl/>
        </w:rPr>
        <w:t xml:space="preserve">انجام: که در تمام مدتی که جهت خروج آن قطعات لازم است یعنی دو سه ماه و گاهی بیشتر در سطح حلمه باقی مانند</w:t>
      </w:r>
    </w:p>
    <w:p>
      <w:pPr>
        <w:pStyle w:val="BookText"/>
      </w:pPr>
      <w:r>
        <w:rPr>
          <w:rFonts w:ascii="IRNazanin" w:hAnsi="IRNazanin" w:eastAsia="IRNazanin" w:cs="IRNazanin"/>
          <w:lang w:bidi="fa-IR"/>
          <w:color w:val="111111"/>
          <w:sz w:val="28"/>
          <w:szCs w:val="28"/>
          <w:rtl/>
        </w:rPr>
        <w:t xml:space="preserve">[دنا ۲/ ۵۹۰؛ فهرستواره منزوی ۳۳۹۹/۵ و ۳۵۶۱/۵ ]</w:t>
      </w:r>
    </w:p>
    <w:p>
      <w:pPr>
        <w:pStyle w:val="BookText"/>
      </w:pPr>
      <w:r>
        <w:rPr>
          <w:rFonts w:ascii="IRNazanin" w:hAnsi="IRNazanin" w:eastAsia="IRNazanin" w:cs="IRNazanin"/>
          <w:lang w:bidi="fa-IR"/>
          <w:color w:val="111111"/>
          <w:sz w:val="28"/>
          <w:szCs w:val="28"/>
          <w:rtl/>
        </w:rPr>
        <w:t xml:space="preserve">تهران؛ ملی؛ شماره نسخه: ۳۱۳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محمود عراقی، تا: ظاهرة ۱۳۰۵ق، جا: طهران؛ با سرلوح مذهب، مجدول، مذهب؛ کاغذ: فرنگی آبی، جلد: مخمل سبز، گل و بوته ضربی، مقوایی، ۱۱۳گ، ۱۲ سطر کامل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۲۲/۵سم [ف: ۱-۳۰۴)</w:t>
      </w:r>
    </w:p>
    <w:p>
      <w:pPr>
        <w:pStyle w:val="Heading3"/>
      </w:pPr>
      <w:bookmarkStart w:id="1341" w:name="_Toc601"/>
      <w:r>
        <w:t>• بيان المشكلات / قرائت / فارسی</w:t>
      </w:r>
      <w:bookmarkEnd w:id="1341"/>
    </w:p>
    <w:p>
      <w:pPr>
        <w:pStyle w:val="BookText"/>
      </w:pPr>
      <w:r>
        <w:rPr>
          <w:rFonts w:ascii="Times New Roman" w:hAnsi="Times New Roman" w:eastAsia="Times New Roman" w:cs="Times New Roman"/>
          <w:lang w:val="en-US" w:bidi="en-US"/>
          <w:color w:val="111111"/>
          <w:sz w:val="28"/>
          <w:szCs w:val="28"/>
          <w:rtl/>
        </w:rPr>
        <w:t xml:space="preserve">bayān-ol moškelāt</w:t>
      </w:r>
    </w:p>
    <w:p>
      <w:pPr>
        <w:pStyle w:val="BookText"/>
      </w:pPr>
      <w:r>
        <w:rPr>
          <w:rFonts w:ascii="IRNazanin" w:hAnsi="IRNazanin" w:eastAsia="IRNazanin" w:cs="IRNazanin"/>
          <w:lang w:bidi="fa-IR"/>
          <w:color w:val="111111"/>
          <w:sz w:val="28"/>
          <w:szCs w:val="28"/>
          <w:rtl/>
        </w:rPr>
        <w:t xml:space="preserve">حسینی قاری، محمد علی بن محمد اسماعیل، ق۱۳ قمری</w:t>
      </w:r>
    </w:p>
    <w:p>
      <w:pPr>
        <w:pStyle w:val="BookText"/>
      </w:pPr>
      <w:r>
        <w:rPr>
          <w:rFonts w:ascii="Times New Roman" w:hAnsi="Times New Roman" w:eastAsia="Times New Roman" w:cs="Times New Roman"/>
          <w:lang w:val="en-US" w:bidi="en-US"/>
          <w:color w:val="111111"/>
          <w:sz w:val="28"/>
          <w:szCs w:val="28"/>
          <w:rtl/>
        </w:rPr>
        <w:t xml:space="preserve">hoseynī qārī, mohammad ‘alī ebn-e mohammad esma'il (- 19c)</w:t>
      </w:r>
    </w:p>
    <w:p>
      <w:pPr>
        <w:pStyle w:val="BookText"/>
      </w:pPr>
      <w:r>
        <w:rPr>
          <w:rFonts w:ascii="IRNazanin" w:hAnsi="IRNazanin" w:eastAsia="IRNazanin" w:cs="IRNazanin"/>
          <w:lang w:bidi="fa-IR"/>
          <w:color w:val="111111"/>
          <w:sz w:val="28"/>
          <w:szCs w:val="28"/>
          <w:rtl/>
        </w:rPr>
        <w:t xml:space="preserve">در بیان واژه های مغلق و دشوار قرآن، به ترتیب سوره های قرآن از «بقرة» تا پایین. آغاز: بسمله. الحمدلله الذي سهل لنا اداء الحروف من المخرج ... و بعد نظر بخواهش بعضی ... محمد علی بن محمد اسمعيل الحسيني المشتهر بالقاری ... چند کلمه از قرائت و قواعد آن بطريق اختصار نوشته شده بود مسمى بتحفة القراء ... لهذا بذکر و بیان آنها که اشكل و اصعب ... بود پرداختم ... و مسمی نمودم آن را به بیان المشكلات ...</w:t>
      </w:r>
    </w:p>
    <w:p>
      <w:pPr>
        <w:pStyle w:val="BookText"/>
      </w:pPr>
      <w:r>
        <w:rPr>
          <w:rFonts w:ascii="IRNazanin" w:hAnsi="IRNazanin" w:eastAsia="IRNazanin" w:cs="IRNazanin"/>
          <w:lang w:bidi="fa-IR"/>
          <w:color w:val="111111"/>
          <w:sz w:val="28"/>
          <w:szCs w:val="28"/>
          <w:rtl/>
        </w:rPr>
        <w:t xml:space="preserve">انجام: بکسر میم قرات می شود. و الحمدلله اولا و آخرا و الصلاة و السلام على خير خلقه محمد ...</w:t>
      </w:r>
    </w:p>
    <w:p>
      <w:pPr>
        <w:pStyle w:val="BookText"/>
      </w:pPr>
      <w:r>
        <w:rPr>
          <w:rFonts w:ascii="IRNazanin" w:hAnsi="IRNazanin" w:eastAsia="IRNazanin" w:cs="IRNazanin"/>
          <w:lang w:bidi="fa-IR"/>
          <w:color w:val="111111"/>
          <w:sz w:val="28"/>
          <w:szCs w:val="28"/>
          <w:rtl/>
        </w:rPr>
        <w:t xml:space="preserve">[دنا ۲/ ۵۹۰]</w:t>
      </w:r>
    </w:p>
    <w:p>
      <w:pPr>
        <w:pStyle w:val="BookText"/>
      </w:pPr>
      <w:r>
        <w:rPr>
          <w:rFonts w:ascii="IRNazanin" w:hAnsi="IRNazanin" w:eastAsia="IRNazanin" w:cs="IRNazanin"/>
          <w:lang w:bidi="fa-IR"/>
          <w:color w:val="111111"/>
          <w:sz w:val="28"/>
          <w:szCs w:val="28"/>
          <w:rtl/>
        </w:rPr>
        <w:t xml:space="preserve">۱. تهران، دانشگاه؛ شماره نسخه: ۲۶۱۱/۱۵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تا: پنج شنبه ۹ محرم ۱۲۸۶ق؛ کاغذ: فرنگی، جلد: تیماج قهوه ای ضربی مقوایی، ۱۰ص (۳۴۱-۳۵۰)، ۱۹ سطر (۶/۵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۱۳/۵ )،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۹-۱۴۷۲]</w:t>
      </w:r>
    </w:p>
    <w:p>
      <w:pPr>
        <w:pStyle w:val="BookText"/>
      </w:pPr>
      <w:r>
        <w:rPr>
          <w:rFonts w:ascii="Amiri" w:hAnsi="Amiri" w:eastAsia="Amiri" w:cs="Amiri"/>
          <w:lang w:bidi="ar-SA"/>
          <w:color w:val="111111"/>
          <w:sz w:val="28"/>
          <w:szCs w:val="28"/>
          <w:rtl/>
        </w:rPr>
        <w:t xml:space="preserve">۲. تهران: دائرة المعارف، شماره نسخه: ۸۰۹/۳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بی کا، تا: ۱۳۱۰-۱۲۹۱ق، ۸گ (۱۱۴ر ۱۲۱) [ف: ۲-۳۱]</w:t>
      </w:r>
    </w:p>
    <w:p>
      <w:pPr>
        <w:pStyle w:val="Heading3"/>
      </w:pPr>
      <w:bookmarkStart w:id="1342" w:name="_Toc602"/>
      <w:r>
        <w:t>• بيان المشكلات على المبتدئين من جهة التجوید في القرآن المبین / تجوید / عربی</w:t>
      </w:r>
      <w:bookmarkEnd w:id="1342"/>
    </w:p>
    <w:p>
      <w:pPr>
        <w:pStyle w:val="BookText"/>
      </w:pPr>
      <w:r>
        <w:rPr>
          <w:rFonts w:ascii="Times New Roman" w:hAnsi="Times New Roman" w:eastAsia="Times New Roman" w:cs="Times New Roman"/>
          <w:lang w:val="en-US" w:bidi="en-US"/>
          <w:color w:val="111111"/>
          <w:sz w:val="28"/>
          <w:szCs w:val="28"/>
          <w:rtl/>
        </w:rPr>
        <w:t xml:space="preserve">bayān-ul muškilāt ‘ala-l mubtadi'īn min jahat-it tajwid</w:t>
      </w:r>
    </w:p>
    <w:p>
      <w:pPr>
        <w:pStyle w:val="BookText"/>
      </w:pPr>
      <w:r>
        <w:rPr>
          <w:rFonts w:ascii="Times New Roman" w:hAnsi="Times New Roman" w:eastAsia="Times New Roman" w:cs="Times New Roman"/>
          <w:lang w:val="en-US" w:bidi="en-US"/>
          <w:color w:val="111111"/>
          <w:sz w:val="28"/>
          <w:szCs w:val="28"/>
          <w:rtl/>
        </w:rPr>
        <w:t xml:space="preserve">fi-l qur'ān-il mubīn</w:t>
      </w:r>
    </w:p>
    <w:p>
      <w:pPr>
        <w:pStyle w:val="BookText"/>
      </w:pPr>
      <w:r>
        <w:rPr>
          <w:rFonts w:ascii="IRNazanin" w:hAnsi="IRNazanin" w:eastAsia="IRNazanin" w:cs="IRNazanin"/>
          <w:lang w:bidi="fa-IR"/>
          <w:color w:val="111111"/>
          <w:sz w:val="28"/>
          <w:szCs w:val="28"/>
          <w:rtl/>
        </w:rPr>
        <w:t xml:space="preserve">بوری نکده وی، محمد بن حسن، ق ۱۲ قمری</w:t>
      </w:r>
    </w:p>
    <w:p>
      <w:pPr>
        <w:pStyle w:val="BookText"/>
      </w:pPr>
      <w:r>
        <w:rPr>
          <w:rFonts w:ascii="Times New Roman" w:hAnsi="Times New Roman" w:eastAsia="Times New Roman" w:cs="Times New Roman"/>
          <w:lang w:val="en-US" w:bidi="en-US"/>
          <w:color w:val="111111"/>
          <w:sz w:val="28"/>
          <w:szCs w:val="28"/>
          <w:rtl/>
        </w:rPr>
        <w:t xml:space="preserve">būrī nakde-vī, mohammad ebn-e hasan (- 180)</w:t>
      </w:r>
    </w:p>
    <w:p>
      <w:pPr>
        <w:pStyle w:val="BookText"/>
      </w:pPr>
      <w:r>
        <w:rPr>
          <w:rFonts w:ascii="IRNazanin" w:hAnsi="IRNazanin" w:eastAsia="IRNazanin" w:cs="IRNazanin"/>
          <w:lang w:bidi="fa-IR"/>
          <w:color w:val="111111"/>
          <w:sz w:val="28"/>
          <w:szCs w:val="28"/>
          <w:rtl/>
        </w:rPr>
        <w:t xml:space="preserve">رساله ای در بیان احکام نون ساکنه و تنوین و قواعد متعلق به آن، همراه شواهدی از آیات و امثله است که در چند فصل نگارش یافته است. از این اثر نسخه هایی در کتابخانه راشد افندی در قیصری، دارالکتب ظاهریه در دمشق، کتابخانه ملی از میر، کتابخانه رمضان اوغلو (ضمن کتابخانه ملی آدانا) کتابخانه دولتی (سلطنتی) برلین، مكتبة الاوقاف العامه موصل و غیر آنها موجود است. باید افزود که رساله ای با عنوان «مرشدة المشتغلين في أحكام النون الساكنة و التنوين» تأليف محمد بن سالم طبلاوى ازهری (- ۹۶۶ق) هست که علاوه بر اتحاد موضوع در آغاز نسخه نیز با اثر مورد بحث تشابه دارد.</w:t>
      </w:r>
    </w:p>
    <w:p>
      <w:pPr>
        <w:pStyle w:val="BookText"/>
      </w:pPr>
      <w:r>
        <w:rPr>
          <w:rFonts w:ascii="IRNazanin" w:hAnsi="IRNazanin" w:eastAsia="IRNazanin" w:cs="IRNazanin"/>
          <w:lang w:bidi="fa-IR"/>
          <w:color w:val="111111"/>
          <w:sz w:val="28"/>
          <w:szCs w:val="28"/>
          <w:rtl/>
        </w:rPr>
        <w:t xml:space="preserve">آغاز: بسملة، الحمدلله الذي جعلنا من التالين بكتابة الذي أورثه من اصطفاه من عباده و احبابه نسئله بفضله و منه جزیل ثوابه و صلاته و سلامه على خير خلقه محمد و آله و أصحابه أجمعين، و بعد فقد شرعت في كتابة نكات يسيرات في بيان معرفة الممدودات و المقصورات التي في كتاب الله ذي المتين و الانعامات و أضيف إليها إنشاء الله تعالی فوائد مهمات أمرنی به بعض الأعزة على المترددين إلى فأجبته مستعينا بالملک العليم ... وسميته ببيان المشكلات على المبتدئين من جهة التجويد في القرآن المبين ... أقول معتصم بالله تعالی</w:t>
      </w:r>
    </w:p>
    <w:p>
      <w:pPr>
        <w:pStyle w:val="BookText"/>
      </w:pPr>
      <w:r>
        <w:rPr>
          <w:rFonts w:ascii="IRNazanin" w:hAnsi="IRNazanin" w:eastAsia="IRNazanin" w:cs="IRNazanin"/>
          <w:lang w:bidi="fa-IR"/>
          <w:color w:val="111111"/>
          <w:sz w:val="28"/>
          <w:szCs w:val="28"/>
          <w:rtl/>
        </w:rPr>
        <w:t xml:space="preserve">انجام: هذا اعتقاد باطل نعوذ بالله من ذلك فنبغي لهذا القائل ... انتهى و الحمدلله على الإتمام و الصلوة و السلام على رسوله خیر الأنام</w:t>
      </w:r>
    </w:p>
    <w:p>
      <w:pPr>
        <w:pStyle w:val="BookText"/>
      </w:pPr>
      <w:r>
        <w:rPr>
          <w:rFonts w:ascii="IRNazanin" w:hAnsi="IRNazanin" w:eastAsia="IRNazanin" w:cs="IRNazanin"/>
          <w:lang w:bidi="fa-IR"/>
          <w:color w:val="111111"/>
          <w:sz w:val="28"/>
          <w:szCs w:val="28"/>
          <w:rtl/>
        </w:rPr>
        <w:t xml:space="preserve">[الأوقاف العامة ۱۸۶/۱ از ملا حسین اسکندر رومی متوفی حدود ۱۰۸۴ دانسته شده]</w:t>
      </w:r>
    </w:p>
    <w:p>
      <w:pPr>
        <w:pStyle w:val="BookText"/>
      </w:pPr>
      <w:r>
        <w:rPr>
          <w:rFonts w:ascii="IRNazanin" w:hAnsi="IRNazanin" w:eastAsia="IRNazanin" w:cs="IRNazanin"/>
          <w:lang w:bidi="fa-IR"/>
          <w:color w:val="111111"/>
          <w:sz w:val="28"/>
          <w:szCs w:val="28"/>
          <w:rtl/>
        </w:rPr>
        <w:t xml:space="preserve">۱. تهران؛ مجلس؛ شماره نسخه: ۴۱۸/۶ کر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یکشنبه در صفر قرن ۱۲؛ مصحح، در انجام در برگی فوائدی همچون: نوح عليه السلام نخستین ناسخ شرایع است و قبل از وی تزویج خالات و اخوات و عمات حرام نبوده، لطيفه ای در مناظره ابوحنیفه با یک معتزلی به نقل از شرح وصية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95" w:name="pg20363_209433"/>
    <w:bookmarkEnd w:id="195"/>
    <w:p>
      <w:pPr>
        <w:pStyle w:val="BookText"/>
      </w:pPr>
      <w:r>
        <w:rPr>
          <w:rFonts w:ascii="IRNazanin" w:hAnsi="IRNazanin" w:eastAsia="IRNazanin" w:cs="IRNazanin"/>
          <w:lang w:bidi="fa-IR"/>
          <w:color w:val="111111"/>
          <w:sz w:val="28"/>
          <w:szCs w:val="28"/>
          <w:rtl/>
        </w:rPr>
        <w:t xml:space="preserve">الامام الاعظم، نیز مناقب ابوحنیفه به نقل از ابوسماک که گوید در پیشانی، دست راست، دست چپ و شکم آیاتی دیدم نوشته شده به نقل از شرح الأخبار، ابیاتی به عربی با مطلع: «سلام من الرحمن بحق جنابكم*** فإن سلامي لايليق ببالكم»، نیز حدیثی منسوب به حضرت امیر المؤمنين (علیه السلام) آمده که نویسنده بخش هایی از آن را به غلط نوشته است: «قال علی کرم الله وجهه: طوبى لمن كان عيشه ككلب لأن للكلب عشرة خصال، الأول ليس له قدر عند الناس و الثاني فقير ليس له مال و الثالث الأرض كلها له بساط و الرابع أكثر أوقاته جائعة و الخامس ... [إذا ]ضرب صاحبه ..... لايترك صاحبه و السادس حفض ! صاحبه و يأخذه عدوه و السابع ... لا ينام في الليل و الثامن أكثر عمره السكوة! و التاسع راض بما يدفع صاحبه من الأطعمة و العاشر إذا مات لم يترك شيئا ... فالمؤمن أحق بهذا الحال ..»، در پایان یک برگ الحاق شده که در واقع برگ نخست رسالهای ترکی با لهجه عثمانی با عنوان ترتیب کتاب سؤال بنا از مؤلفی ناشناخته با آغاز «بسملة س: باب الغنده نیه دیرلر قویه دیرلر؛ س: اصطلاحده كتابك مشتمل اولدیغی بر طائفه الفاظه دیرلر، س: صرف لغنده نیه دیرلر؛ ج: تغييره دیرلر یعنی بر شیئی بوزمغه دیرلر ..) کاغذ: فرنگی سفید آهار مهره، ۱۶گی (۱۵۰-۱۶۵پ)، ۱۷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سم ف: ۴۰/۲ -۷۰]</w:t>
      </w:r>
    </w:p>
    <w:p>
      <w:pPr>
        <w:pStyle w:val="BookText"/>
      </w:pPr>
      <w:r>
        <w:rPr>
          <w:rFonts w:ascii="IRNazanin" w:hAnsi="IRNazanin" w:eastAsia="IRNazanin" w:cs="IRNazanin"/>
          <w:lang w:bidi="fa-IR"/>
          <w:color w:val="111111"/>
          <w:sz w:val="28"/>
          <w:szCs w:val="28"/>
          <w:rtl/>
        </w:rPr>
        <w:t xml:space="preserve">۲. تهران، دانشگاه؛ شماره نسخه: ۳۷۶۲</w:t>
      </w:r>
    </w:p>
    <w:p>
      <w:pPr>
        <w:pStyle w:val="BookText"/>
      </w:pPr>
      <w:r>
        <w:rPr>
          <w:rFonts w:ascii="Amiri" w:hAnsi="Amiri" w:eastAsia="Amiri" w:cs="Amiri"/>
          <w:lang w:bidi="ar-SA"/>
          <w:color w:val="111111"/>
          <w:sz w:val="28"/>
          <w:szCs w:val="28"/>
          <w:rtl/>
        </w:rPr>
        <w:t xml:space="preserve">آغاز: برابر؛ انجام: و في هذا الكلام ما يغني عن التطويل انتهى و الحمدلله على التمام و الصلوة و السلام على رسوله خير الأنام و آله وصحبه اجمعين.</w:t>
      </w:r>
    </w:p>
    <w:p>
      <w:pPr>
        <w:pStyle w:val="BookText"/>
      </w:pPr>
      <w:r>
        <w:rPr>
          <w:rFonts w:ascii="IRNazanin" w:hAnsi="IRNazanin" w:eastAsia="IRNazanin" w:cs="IRNazanin"/>
          <w:lang w:bidi="fa-IR"/>
          <w:color w:val="111111"/>
          <w:sz w:val="28"/>
          <w:szCs w:val="28"/>
          <w:rtl/>
        </w:rPr>
        <w:t xml:space="preserve">در فهرست ناشناس آمده؛ خط: نسخ، بی کا، تا: قرن ۱۲ و ۱۳؛ کاغذ: فرنگی، جلد: مقوا، ۱۹گ، ۱۷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۱۲-۲۷۵۳]</w:t>
      </w:r>
    </w:p>
    <w:p>
      <w:pPr>
        <w:pStyle w:val="Heading3"/>
      </w:pPr>
      <w:bookmarkStart w:id="1343" w:name="_Toc603"/>
      <w:r>
        <w:t>• بیان مصقله قلب / عرفان و تصوف / ترکی</w:t>
      </w:r>
      <w:bookmarkEnd w:id="1343"/>
    </w:p>
    <w:p>
      <w:pPr>
        <w:pStyle w:val="BookText"/>
      </w:pPr>
      <w:r>
        <w:rPr>
          <w:rFonts w:ascii="Times New Roman" w:hAnsi="Times New Roman" w:eastAsia="Times New Roman" w:cs="Times New Roman"/>
          <w:lang w:val="en-US" w:bidi="en-US"/>
          <w:color w:val="111111"/>
          <w:sz w:val="28"/>
          <w:szCs w:val="28"/>
          <w:rtl/>
        </w:rPr>
        <w:t xml:space="preserve">bayan-e mesqale-ye qalb</w:t>
      </w:r>
    </w:p>
    <w:p>
      <w:pPr>
        <w:pStyle w:val="BookText"/>
      </w:pPr>
      <w:r>
        <w:rPr>
          <w:rFonts w:ascii="IRNazanin" w:hAnsi="IRNazanin" w:eastAsia="IRNazanin" w:cs="IRNazanin"/>
          <w:lang w:bidi="fa-IR"/>
          <w:color w:val="111111"/>
          <w:sz w:val="28"/>
          <w:szCs w:val="28"/>
          <w:rtl/>
        </w:rPr>
        <w:t xml:space="preserve">تهران؛ ملک؛ شماره نسخه: ۲۸۱۸/۷</w:t>
      </w:r>
    </w:p>
    <w:p>
      <w:pPr>
        <w:pStyle w:val="BookText"/>
      </w:pPr>
      <w:r>
        <w:rPr>
          <w:rFonts w:ascii="IRNazanin" w:hAnsi="IRNazanin" w:eastAsia="IRNazanin" w:cs="IRNazanin"/>
          <w:lang w:bidi="fa-IR"/>
          <w:color w:val="111111"/>
          <w:sz w:val="28"/>
          <w:szCs w:val="28"/>
          <w:rtl/>
        </w:rPr>
        <w:t xml:space="preserve">خط: نسخ و نستعلیق، بی کا، بی تا [ف: ۶-۱۱۹]</w:t>
      </w:r>
    </w:p>
    <w:p>
      <w:pPr>
        <w:pStyle w:val="Heading3"/>
      </w:pPr>
      <w:bookmarkStart w:id="1344" w:name="_Toc604"/>
      <w:r>
        <w:t>• بيان المعراج الجسمانی / کلام و اعتقادات / عربی</w:t>
      </w:r>
      <w:bookmarkEnd w:id="1344"/>
    </w:p>
    <w:p>
      <w:pPr>
        <w:pStyle w:val="BookText"/>
      </w:pPr>
      <w:r>
        <w:rPr>
          <w:rFonts w:ascii="Times New Roman" w:hAnsi="Times New Roman" w:eastAsia="Times New Roman" w:cs="Times New Roman"/>
          <w:lang w:val="en-US" w:bidi="en-US"/>
          <w:color w:val="111111"/>
          <w:sz w:val="28"/>
          <w:szCs w:val="28"/>
          <w:rtl/>
        </w:rPr>
        <w:t xml:space="preserve">bayān-ul mi'raj-ul jismānī</w:t>
      </w:r>
    </w:p>
    <w:p>
      <w:pPr>
        <w:pStyle w:val="BookText"/>
      </w:pPr>
      <w:r>
        <w:rPr>
          <w:rFonts w:ascii="IRNazanin" w:hAnsi="IRNazanin" w:eastAsia="IRNazanin" w:cs="IRNazanin"/>
          <w:lang w:bidi="fa-IR"/>
          <w:color w:val="111111"/>
          <w:sz w:val="28"/>
          <w:szCs w:val="28"/>
          <w:rtl/>
        </w:rPr>
        <w:t xml:space="preserve">رشتی، کاظم بن قاسم، ۱۲۱۲-۱۲۵۹ قمری</w:t>
      </w:r>
    </w:p>
    <w:p>
      <w:pPr>
        <w:pStyle w:val="BookText"/>
      </w:pPr>
      <w:r>
        <w:rPr>
          <w:rFonts w:ascii="Times New Roman" w:hAnsi="Times New Roman" w:eastAsia="Times New Roman" w:cs="Times New Roman"/>
          <w:lang w:val="en-US" w:bidi="en-US"/>
          <w:color w:val="111111"/>
          <w:sz w:val="28"/>
          <w:szCs w:val="28"/>
          <w:rtl/>
        </w:rPr>
        <w:t xml:space="preserve">raštī, kāzem ebn-e qāsem (1798-1843)</w:t>
      </w:r>
    </w:p>
    <w:p>
      <w:pPr>
        <w:pStyle w:val="BookText"/>
      </w:pPr>
      <w:r>
        <w:rPr>
          <w:rFonts w:ascii="IRNazanin" w:hAnsi="IRNazanin" w:eastAsia="IRNazanin" w:cs="IRNazanin"/>
          <w:lang w:bidi="fa-IR"/>
          <w:color w:val="111111"/>
          <w:sz w:val="28"/>
          <w:szCs w:val="28"/>
          <w:rtl/>
        </w:rPr>
        <w:t xml:space="preserve">مشهد؛ رضوی؛ شماره نسخه: ۲۲۰۵۵</w:t>
      </w:r>
    </w:p>
    <w:p>
      <w:pPr>
        <w:pStyle w:val="BookText"/>
      </w:pPr>
      <w:r>
        <w:rPr>
          <w:rFonts w:ascii="IRNazanin" w:hAnsi="IRNazanin" w:eastAsia="IRNazanin" w:cs="IRNazanin"/>
          <w:lang w:bidi="fa-IR"/>
          <w:color w:val="111111"/>
          <w:sz w:val="28"/>
          <w:szCs w:val="28"/>
          <w:rtl/>
        </w:rPr>
        <w:t xml:space="preserve">آغاز: بسمله الحمدلله ... فيقول العبد الجاني و الاسير الفانی؛ انجام و المرجع الى الله ..... و دهر الداهرين تمت</w:t>
      </w:r>
    </w:p>
    <w:p>
      <w:pPr>
        <w:pStyle w:val="BookText"/>
      </w:pPr>
      <w:r>
        <w:rPr>
          <w:rFonts w:ascii="IRNazanin" w:hAnsi="IRNazanin" w:eastAsia="IRNazanin" w:cs="IRNazanin"/>
          <w:lang w:bidi="fa-IR"/>
          <w:color w:val="111111"/>
          <w:sz w:val="28"/>
          <w:szCs w:val="28"/>
          <w:rtl/>
        </w:rPr>
        <w:t xml:space="preserve">خط: نسخ، بی کا، تا: قرن ۱۳؛ کاغذ: نخودی، جلد: مقوا، ۲۱ سطر</w:t>
      </w:r>
    </w:p>
    <w:p>
      <w:pPr>
        <w:pStyle w:val="BookText"/>
      </w:pPr>
      <w:r>
        <w:rPr>
          <w:rFonts w:ascii="IRNazanin" w:hAnsi="IRNazanin" w:eastAsia="IRNazanin" w:cs="IRNazanin"/>
          <w:lang w:bidi="fa-IR"/>
          <w:color w:val="111111"/>
          <w:sz w:val="28"/>
          <w:szCs w:val="28"/>
          <w:rtl/>
        </w:rPr>
        <w:t xml:space="preserve">(۱۸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[رایانه]</w:t>
      </w:r>
    </w:p>
    <w:p>
      <w:pPr>
        <w:pStyle w:val="BookText"/>
      </w:pPr>
      <w:r>
        <w:rPr>
          <w:rFonts w:ascii="IRNazanin" w:hAnsi="IRNazanin" w:eastAsia="IRNazanin" w:cs="IRNazanin"/>
          <w:lang w:bidi="fa-IR"/>
          <w:color w:val="111111"/>
          <w:sz w:val="28"/>
          <w:szCs w:val="28"/>
          <w:rtl/>
        </w:rPr>
        <w:t xml:space="preserve">← بیان معنى الغناء و اللهو (رسالة في) ← الغناء و اللهو</w:t>
      </w:r>
    </w:p>
    <w:p>
      <w:pPr>
        <w:pStyle w:val="Heading3"/>
      </w:pPr>
      <w:bookmarkStart w:id="1345" w:name="_Toc605"/>
      <w:r>
        <w:t>• بيان المقاصد من عقلية اتراب القصائد / علوم قرآن /</w:t>
      </w:r>
      <w:bookmarkEnd w:id="1345"/>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Times New Roman" w:hAnsi="Times New Roman" w:eastAsia="Times New Roman" w:cs="Times New Roman"/>
          <w:lang w:val="en-US" w:bidi="en-US"/>
          <w:color w:val="111111"/>
          <w:sz w:val="28"/>
          <w:szCs w:val="28"/>
          <w:rtl/>
        </w:rPr>
        <w:t xml:space="preserve">bayān-ol maqāsed men 'aqlīyat-e atrāb-el qasā'ed</w:t>
      </w:r>
    </w:p>
    <w:p>
      <w:pPr>
        <w:pStyle w:val="BookText"/>
      </w:pPr>
      <w:r>
        <w:rPr>
          <w:rFonts w:ascii="IRNazanin" w:hAnsi="IRNazanin" w:eastAsia="IRNazanin" w:cs="IRNazanin"/>
          <w:lang w:bidi="fa-IR"/>
          <w:color w:val="111111"/>
          <w:sz w:val="28"/>
          <w:szCs w:val="28"/>
          <w:rtl/>
        </w:rPr>
        <w:t xml:space="preserve">حسین بن عثمان، ق ۱۰ قمری</w:t>
      </w:r>
    </w:p>
    <w:p>
      <w:pPr>
        <w:pStyle w:val="BookText"/>
      </w:pPr>
      <w:r>
        <w:rPr>
          <w:rFonts w:ascii="Times New Roman" w:hAnsi="Times New Roman" w:eastAsia="Times New Roman" w:cs="Times New Roman"/>
          <w:lang w:val="en-US" w:bidi="en-US"/>
          <w:color w:val="111111"/>
          <w:sz w:val="28"/>
          <w:szCs w:val="28"/>
          <w:rtl/>
        </w:rPr>
        <w:t xml:space="preserve">hoseyn ebn-e ‘osmān (- 16c)</w:t>
      </w:r>
    </w:p>
    <w:p>
      <w:pPr>
        <w:pStyle w:val="BookText"/>
      </w:pPr>
      <w:r>
        <w:rPr>
          <w:rFonts w:ascii="IRNazanin" w:hAnsi="IRNazanin" w:eastAsia="IRNazanin" w:cs="IRNazanin"/>
          <w:lang w:bidi="fa-IR"/>
          <w:color w:val="111111"/>
          <w:sz w:val="28"/>
          <w:szCs w:val="28"/>
          <w:rtl/>
        </w:rPr>
        <w:t xml:space="preserve">اختصاری است از کتاب «عقد الفرائد في شرح عقلية اتراب القصائد» خود او که شرح بر قصیده شاطبیه می باشد، در این شرح یک یا چند بیت از قصیده با عناوین «قوله» آورده شده و به اختصار گزارش می شود.</w:t>
      </w:r>
    </w:p>
    <w:p>
      <w:pPr>
        <w:pStyle w:val="BookText"/>
      </w:pPr>
      <w:r>
        <w:rPr>
          <w:rFonts w:ascii="IRNazanin" w:hAnsi="IRNazanin" w:eastAsia="IRNazanin" w:cs="IRNazanin"/>
          <w:lang w:bidi="fa-IR"/>
          <w:color w:val="111111"/>
          <w:sz w:val="28"/>
          <w:szCs w:val="28"/>
          <w:rtl/>
        </w:rPr>
        <w:t xml:space="preserve">قم؛ مرعشی؛ شماره نسخه: ۱۰۱۹۶/۲</w:t>
      </w:r>
    </w:p>
    <w:p>
      <w:pPr>
        <w:pStyle w:val="BookText"/>
      </w:pPr>
      <w:r>
        <w:rPr>
          <w:rFonts w:ascii="IRNazanin" w:hAnsi="IRNazanin" w:eastAsia="IRNazanin" w:cs="IRNazanin"/>
          <w:lang w:bidi="fa-IR"/>
          <w:color w:val="111111"/>
          <w:sz w:val="28"/>
          <w:szCs w:val="28"/>
          <w:rtl/>
        </w:rPr>
        <w:t xml:space="preserve">آغاز: الحمدلله الذي جعل محمد المصطفى عقلية كل قبائل ... اما بعد بدان ای سالک طریق صواب رزقك الله حسن المعاش و الماب؛ انجام: یعنی اصل آن است که هر آنچه بسر خود کلمه ایست آنرا پیوسته بماقبل .. خط: نسخ و نستعلیق، بی کا، تا: قرن ۱۱؛ افتادگی: آغاز و انجام؛ جلد: تیماج مشکی، ۴۸گی</w:t>
      </w:r>
    </w:p>
    <w:p>
      <w:pPr>
        <w:pStyle w:val="BookText"/>
      </w:pPr>
      <w:r>
        <w:rPr>
          <w:rFonts w:ascii="IRNazanin" w:hAnsi="IRNazanin" w:eastAsia="IRNazanin" w:cs="IRNazanin"/>
          <w:lang w:bidi="fa-IR"/>
          <w:color w:val="111111"/>
          <w:sz w:val="28"/>
          <w:szCs w:val="28"/>
          <w:rtl/>
        </w:rPr>
        <w:t xml:space="preserve">(۲۷۸پ -۳۲۵پ)، اندازه:</w:t>
      </w:r>
    </w:p>
    <w:p>
      <w:pPr>
        <w:pStyle w:val="BookText"/>
      </w:pPr>
      <w:r>
        <w:rPr>
          <w:rFonts w:ascii="IRNazanin" w:hAnsi="IRNazanin" w:eastAsia="IRNazanin" w:cs="IRNazanin"/>
          <w:lang w:bidi="fa-IR"/>
          <w:color w:val="111111"/>
          <w:sz w:val="28"/>
          <w:szCs w:val="28"/>
          <w:rtl/>
        </w:rPr>
        <w:t xml:space="preserve">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۲۶-۱۶۱]</w:t>
      </w:r>
    </w:p>
    <w:p>
      <w:pPr>
        <w:pStyle w:val="BookText"/>
      </w:pPr>
      <w:r>
        <w:rPr>
          <w:rFonts w:ascii="IRNazanin" w:hAnsi="IRNazanin" w:eastAsia="IRNazanin" w:cs="IRNazanin"/>
          <w:lang w:bidi="fa-IR"/>
          <w:color w:val="111111"/>
          <w:sz w:val="28"/>
          <w:szCs w:val="28"/>
          <w:rtl/>
        </w:rPr>
        <w:t xml:space="preserve">← بیان مقدار السنة و تعيين الايام الالهية ← السنة السرمدية و الايام الربوبية</w:t>
      </w:r>
    </w:p>
    <w:p>
      <w:pPr>
        <w:pStyle w:val="Heading3"/>
      </w:pPr>
      <w:bookmarkStart w:id="1346" w:name="_Toc606"/>
      <w:r>
        <w:t>• بیان مقدمتين مهملتي البيان استعملها ابلونیوس في اواخر المقالة الأولى من المخروطات / ریاضیات / عربی</w:t>
      </w:r>
      <w:bookmarkEnd w:id="1346"/>
    </w:p>
    <w:p>
      <w:pPr>
        <w:pStyle w:val="BookText"/>
      </w:pPr>
      <w:r>
        <w:rPr>
          <w:rFonts w:ascii="Times New Roman" w:hAnsi="Times New Roman" w:eastAsia="Times New Roman" w:cs="Times New Roman"/>
          <w:lang w:val="en-US" w:bidi="en-US"/>
          <w:color w:val="111111"/>
          <w:sz w:val="28"/>
          <w:szCs w:val="28"/>
          <w:rtl/>
        </w:rPr>
        <w:t xml:space="preserve">muqaddamatayn-a muhmalatay-il bayān bayān-u ista‘mala-hā iblūnīyūs fī awāxir-il maqālat-il ulā min al maxrūtāt</w:t>
      </w:r>
    </w:p>
    <w:p>
      <w:pPr>
        <w:pStyle w:val="BookText"/>
      </w:pPr>
      <w:r>
        <w:rPr>
          <w:rFonts w:ascii="IRNazanin" w:hAnsi="IRNazanin" w:eastAsia="IRNazanin" w:cs="IRNazanin"/>
          <w:lang w:bidi="fa-IR"/>
          <w:color w:val="111111"/>
          <w:sz w:val="28"/>
          <w:szCs w:val="28"/>
          <w:rtl/>
        </w:rPr>
        <w:t xml:space="preserve">عقیلی، موسی بن يونس، ۵۵۱-۶۳۹ قمری</w:t>
      </w:r>
    </w:p>
    <w:p>
      <w:pPr>
        <w:pStyle w:val="BookText"/>
      </w:pPr>
      <w:r>
        <w:rPr>
          <w:rFonts w:ascii="Times New Roman" w:hAnsi="Times New Roman" w:eastAsia="Times New Roman" w:cs="Times New Roman"/>
          <w:lang w:val="en-US" w:bidi="en-US"/>
          <w:color w:val="111111"/>
          <w:sz w:val="28"/>
          <w:szCs w:val="28"/>
          <w:rtl/>
        </w:rPr>
        <w:t xml:space="preserve">‘aqīlī, mūsā ben yūnos (1157-1242)</w:t>
      </w:r>
    </w:p>
    <w:p>
      <w:pPr>
        <w:pStyle w:val="BookText"/>
      </w:pPr>
      <w:r>
        <w:rPr>
          <w:rFonts w:ascii="IRNazanin" w:hAnsi="IRNazanin" w:eastAsia="IRNazanin" w:cs="IRNazanin"/>
          <w:lang w:bidi="fa-IR"/>
          <w:color w:val="111111"/>
          <w:sz w:val="28"/>
          <w:szCs w:val="28"/>
          <w:rtl/>
        </w:rPr>
        <w:t xml:space="preserve">وابسته به: مخروطات؛ ابلونیوس نجار</w:t>
      </w:r>
    </w:p>
    <w:p>
      <w:pPr>
        <w:pStyle w:val="BookText"/>
      </w:pPr>
      <w:r>
        <w:rPr>
          <w:rFonts w:ascii="IRNazanin" w:hAnsi="IRNazanin" w:eastAsia="IRNazanin" w:cs="IRNazanin"/>
          <w:lang w:bidi="fa-IR"/>
          <w:color w:val="111111"/>
          <w:sz w:val="28"/>
          <w:szCs w:val="28"/>
          <w:rtl/>
        </w:rPr>
        <w:t xml:space="preserve">تهران، دانشگاه؛ شماره نسخه: ۶۷۰/۱۷ -ف</w:t>
      </w:r>
    </w:p>
    <w:p>
      <w:pPr>
        <w:pStyle w:val="BookText"/>
      </w:pPr>
      <w:r>
        <w:rPr>
          <w:rFonts w:ascii="IRNazanin" w:hAnsi="IRNazanin" w:eastAsia="IRNazanin" w:cs="IRNazanin"/>
          <w:lang w:bidi="fa-IR"/>
          <w:color w:val="111111"/>
          <w:sz w:val="28"/>
          <w:szCs w:val="28"/>
          <w:rtl/>
        </w:rPr>
        <w:t xml:space="preserve">نسخه اصل: مانیسا گنل ش ۱۷۰۶؛ خط: نسخ، بی کا، تا: ۶۹۹ق، جا: تبریز؛ ۲گ (۲۵۵ر -۲۵۶ر)، ۱۸ سطر [فيلمها ف: ۱-۵۲۲]</w:t>
      </w:r>
    </w:p>
    <w:p>
      <w:pPr>
        <w:pStyle w:val="Heading3"/>
      </w:pPr>
      <w:bookmarkStart w:id="1347" w:name="_Toc607"/>
      <w:r>
        <w:t>• بیان مکاشفاتی که در مزار روزبهان رخ داده (رساله در) / عرفان و تصوف / فارسی</w:t>
      </w:r>
      <w:bookmarkEnd w:id="1347"/>
    </w:p>
    <w:p>
      <w:pPr>
        <w:pStyle w:val="BookText"/>
      </w:pPr>
      <w:r>
        <w:rPr>
          <w:rFonts w:ascii="Times New Roman" w:hAnsi="Times New Roman" w:eastAsia="Times New Roman" w:cs="Times New Roman"/>
          <w:lang w:val="en-US" w:bidi="en-US"/>
          <w:color w:val="111111"/>
          <w:sz w:val="28"/>
          <w:szCs w:val="28"/>
          <w:rtl/>
        </w:rPr>
        <w:t xml:space="preserve">bayān-e mokāšefātī ke dar mazār-e rūzbehān rox dāde</w:t>
      </w:r>
    </w:p>
    <w:p>
      <w:pPr>
        <w:pStyle w:val="BookText"/>
      </w:pPr>
      <w:r>
        <w:rPr>
          <w:rFonts w:ascii="Times New Roman" w:hAnsi="Times New Roman" w:eastAsia="Times New Roman" w:cs="Times New Roman"/>
          <w:lang w:val="en-US" w:bidi="en-US"/>
          <w:color w:val="111111"/>
          <w:sz w:val="28"/>
          <w:szCs w:val="28"/>
          <w:rtl/>
        </w:rPr>
        <w:t xml:space="preserve">(r. dar)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96" w:name="pg20363_209434"/>
    <w:bookmarkEnd w:id="196"/>
    <w:p>
      <w:pPr>
        <w:pStyle w:val="BookText"/>
      </w:pPr>
      <w:r>
        <w:rPr>
          <w:rFonts w:ascii="IRNazanin" w:hAnsi="IRNazanin" w:eastAsia="IRNazanin" w:cs="IRNazanin"/>
          <w:lang w:bidi="fa-IR"/>
          <w:color w:val="111111"/>
          <w:sz w:val="28"/>
          <w:szCs w:val="28"/>
          <w:rtl/>
        </w:rPr>
        <w:t xml:space="preserve">جمالی اردستانی، جمال الدين محمد، ۸۱۴-۸۸۳ ؟ قمری</w:t>
      </w:r>
    </w:p>
    <w:p>
      <w:pPr>
        <w:pStyle w:val="BookText"/>
      </w:pPr>
      <w:r>
        <w:rPr>
          <w:rFonts w:ascii="Times New Roman" w:hAnsi="Times New Roman" w:eastAsia="Times New Roman" w:cs="Times New Roman"/>
          <w:lang w:val="en-US" w:bidi="en-US"/>
          <w:color w:val="111111"/>
          <w:sz w:val="28"/>
          <w:szCs w:val="28"/>
          <w:rtl/>
        </w:rPr>
        <w:t xml:space="preserve">jamālī ardestānī, jamāl-od-dīn mohammad (1412-1479)</w:t>
      </w:r>
    </w:p>
    <w:p>
      <w:pPr>
        <w:pStyle w:val="BookText"/>
      </w:pPr>
      <w:r>
        <w:rPr>
          <w:rFonts w:ascii="IRNazanin" w:hAnsi="IRNazanin" w:eastAsia="IRNazanin" w:cs="IRNazanin"/>
          <w:lang w:bidi="fa-IR"/>
          <w:color w:val="111111"/>
          <w:sz w:val="28"/>
          <w:szCs w:val="28"/>
          <w:rtl/>
        </w:rPr>
        <w:t xml:space="preserve">تهران؛ مجلس؛ شماره نسخه: ۹۳۲۶/۱۸</w:t>
      </w:r>
    </w:p>
    <w:p>
      <w:pPr>
        <w:pStyle w:val="BookText"/>
      </w:pPr>
      <w:r>
        <w:rPr>
          <w:rFonts w:ascii="IRNazanin" w:hAnsi="IRNazanin" w:eastAsia="IRNazanin" w:cs="IRNazanin"/>
          <w:lang w:bidi="fa-IR"/>
          <w:color w:val="111111"/>
          <w:sz w:val="28"/>
          <w:szCs w:val="28"/>
          <w:rtl/>
        </w:rPr>
        <w:t xml:space="preserve">خط: نستعلیق، کا: محمد کریم بن میرزا زمان، تا: قرن ۱۳؛ جلد: تیماج سبز با ترنج و سرترنج زرین، ۲۱ سطر [ف: ۳۰-۷۴]</w:t>
      </w:r>
    </w:p>
    <w:p>
      <w:pPr>
        <w:pStyle w:val="Heading3"/>
      </w:pPr>
      <w:bookmarkStart w:id="1348" w:name="_Toc608"/>
      <w:r>
        <w:t>•بیان منهج البيان و الیقین / بهائیت / فارسی</w:t>
      </w:r>
      <w:bookmarkEnd w:id="1348"/>
    </w:p>
    <w:p>
      <w:pPr>
        <w:pStyle w:val="BookText"/>
      </w:pPr>
      <w:r>
        <w:rPr>
          <w:rFonts w:ascii="Times New Roman" w:hAnsi="Times New Roman" w:eastAsia="Times New Roman" w:cs="Times New Roman"/>
          <w:lang w:val="en-US" w:bidi="en-US"/>
          <w:color w:val="111111"/>
          <w:sz w:val="28"/>
          <w:szCs w:val="28"/>
          <w:rtl/>
        </w:rPr>
        <w:t xml:space="preserve">bayān-o menhaj-el bayān va-l yaqīn</w:t>
      </w:r>
    </w:p>
    <w:p>
      <w:pPr>
        <w:pStyle w:val="BookText"/>
      </w:pPr>
      <w:r>
        <w:rPr>
          <w:rFonts w:ascii="IRNazanin" w:hAnsi="IRNazanin" w:eastAsia="IRNazanin" w:cs="IRNazanin"/>
          <w:lang w:bidi="fa-IR"/>
          <w:color w:val="111111"/>
          <w:sz w:val="28"/>
          <w:szCs w:val="28"/>
          <w:rtl/>
        </w:rPr>
        <w:t xml:space="preserve">عبدالبهاء، عباس بن حسینعلی، ۱۲۶۰-۱۳۴۰ قمری</w:t>
      </w:r>
    </w:p>
    <w:p>
      <w:pPr>
        <w:pStyle w:val="BookText"/>
      </w:pPr>
      <w:r>
        <w:rPr>
          <w:rFonts w:ascii="Times New Roman" w:hAnsi="Times New Roman" w:eastAsia="Times New Roman" w:cs="Times New Roman"/>
          <w:lang w:val="en-US" w:bidi="en-US"/>
          <w:color w:val="111111"/>
          <w:sz w:val="28"/>
          <w:szCs w:val="28"/>
          <w:rtl/>
        </w:rPr>
        <w:t xml:space="preserve">‘abd-ol-bahā”, “abbās ebn-e hoseyn--alī (1844-1922)</w:t>
      </w:r>
    </w:p>
    <w:p>
      <w:pPr>
        <w:pStyle w:val="BookText"/>
      </w:pPr>
      <w:r>
        <w:rPr>
          <w:rFonts w:ascii="IRNazanin" w:hAnsi="IRNazanin" w:eastAsia="IRNazanin" w:cs="IRNazanin"/>
          <w:lang w:bidi="fa-IR"/>
          <w:color w:val="111111"/>
          <w:sz w:val="28"/>
          <w:szCs w:val="28"/>
          <w:rtl/>
        </w:rPr>
        <w:t xml:space="preserve">در این اثر افکار و عقاید بهائیان در نه واحد نوشته شده که هر واحد نیز مشتمل بر چند «باب» می باشد این کتاب در پشت صفحه آغازین آن به عباس افندی معروف به عبدالبهاء پسر ارشد حسینعلی بهاء نسبت داده شده ولی در ذیل آثار وی در کتاب های تراجم احوال و نیز در منابع دیگر نشانی از این اثر نیافتیم.</w:t>
      </w:r>
    </w:p>
    <w:p>
      <w:pPr>
        <w:pStyle w:val="BookText"/>
      </w:pPr>
      <w:r>
        <w:rPr>
          <w:rFonts w:ascii="IRNazanin" w:hAnsi="IRNazanin" w:eastAsia="IRNazanin" w:cs="IRNazanin"/>
          <w:lang w:bidi="fa-IR"/>
          <w:color w:val="111111"/>
          <w:sz w:val="28"/>
          <w:szCs w:val="28"/>
          <w:rtl/>
        </w:rPr>
        <w:t xml:space="preserve">تهران؛ ملی؛ شماره نسخه: ۶۵۷۴</w:t>
      </w:r>
    </w:p>
    <w:p>
      <w:pPr>
        <w:pStyle w:val="BookText"/>
      </w:pPr>
      <w:r>
        <w:rPr>
          <w:rFonts w:ascii="IRNazanin" w:hAnsi="IRNazanin" w:eastAsia="IRNazanin" w:cs="IRNazanin"/>
          <w:lang w:bidi="fa-IR"/>
          <w:color w:val="111111"/>
          <w:sz w:val="28"/>
          <w:szCs w:val="28"/>
          <w:rtl/>
        </w:rPr>
        <w:t xml:space="preserve">آغاز: بسم الله ... تسبیح و تقدیس بساط قدس عز محد سلطانی را لایق مه لم يزل و لايزال بوجود کینو نیست ذات خود بوده؛ انجام: چنانچه در ظهور بیان دیدی و اگر در آن روز هستی خواهی دید که کل ماهیان بحر بیان به آن ماء زتنده ولی از آن محتجب و لنطران انفسكم على حق ما انتم عليه مقتدرون خط: شکسته نستعلیق خوش، كا: على محمد بن محمد حسین اصفهانی، بی تا؛ مصحح، کاغذ: فرنگی نخودی، جلد: تیماج قهوه ای روشن، مقوایی، ۱۳۸ ، ۱۹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۲۰/۳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 [رایانه]</w:t>
      </w:r>
    </w:p>
    <w:p>
      <w:pPr>
        <w:pStyle w:val="Heading3"/>
      </w:pPr>
      <w:bookmarkStart w:id="1349" w:name="_Toc609"/>
      <w:r>
        <w:t>• بيان النجوم / هیئت / فارسی</w:t>
      </w:r>
      <w:bookmarkEnd w:id="1349"/>
    </w:p>
    <w:p>
      <w:pPr>
        <w:pStyle w:val="BookText"/>
      </w:pPr>
      <w:r>
        <w:rPr>
          <w:rFonts w:ascii="Times New Roman" w:hAnsi="Times New Roman" w:eastAsia="Times New Roman" w:cs="Times New Roman"/>
          <w:lang w:val="en-US" w:bidi="en-US"/>
          <w:color w:val="111111"/>
          <w:sz w:val="28"/>
          <w:szCs w:val="28"/>
          <w:rtl/>
        </w:rPr>
        <w:t xml:space="preserve">bayān-un nujām</w:t>
      </w:r>
    </w:p>
    <w:p>
      <w:pPr>
        <w:pStyle w:val="BookText"/>
      </w:pPr>
      <w:r>
        <w:rPr>
          <w:rFonts w:ascii="IRNazanin" w:hAnsi="IRNazanin" w:eastAsia="IRNazanin" w:cs="IRNazanin"/>
          <w:lang w:bidi="fa-IR"/>
          <w:color w:val="111111"/>
          <w:sz w:val="28"/>
          <w:szCs w:val="28"/>
          <w:rtl/>
        </w:rPr>
        <w:t xml:space="preserve">تفلیسی، حبیش بن ابراهیم، ق۷ قمری</w:t>
      </w:r>
    </w:p>
    <w:p>
      <w:pPr>
        <w:pStyle w:val="BookText"/>
      </w:pPr>
      <w:r>
        <w:rPr>
          <w:rFonts w:ascii="Times New Roman" w:hAnsi="Times New Roman" w:eastAsia="Times New Roman" w:cs="Times New Roman"/>
          <w:lang w:val="en-US" w:bidi="en-US"/>
          <w:color w:val="111111"/>
          <w:sz w:val="28"/>
          <w:szCs w:val="28"/>
          <w:rtl/>
        </w:rPr>
        <w:t xml:space="preserve">taflīsī, hobayš ebn-e ebrāhīm (- 13c)</w:t>
      </w:r>
    </w:p>
    <w:p>
      <w:pPr>
        <w:pStyle w:val="BookText"/>
      </w:pPr>
      <w:r>
        <w:rPr>
          <w:rFonts w:ascii="IRNazanin" w:hAnsi="IRNazanin" w:eastAsia="IRNazanin" w:cs="IRNazanin"/>
          <w:lang w:bidi="fa-IR"/>
          <w:color w:val="111111"/>
          <w:sz w:val="28"/>
          <w:szCs w:val="28"/>
          <w:rtl/>
        </w:rPr>
        <w:t xml:space="preserve">مؤلف آورده است: «چون از تصنيف كتاب تلخیص علل قرآن پرداختم نگاه کردم به کتاب هایی که به پارسی در علم نجوم هر کسی ساخته اند. کتابی ندیدم که اندرو علم هيئة افلاک زمن و صفت بروج و منازل و معرفت احوال ستارگان ثابته و متحیره و دلیل های دایره افق و استخراج موالية و سهام و دانستن علم اصطرلاب ازین جمله به طريق اختصار درو جمع باشد چنانکه آموزیده را اندرین علم کفایت بود و به کتاب های دیگر محتاج نباشد پس چون بدین طریق که گفتیم کتاب ها بپارسی نیافتیم صواب دیدم که کتابی بسازم مختصر در علم نجوم از هر چیزی که یاد کرده شد بر طريق اعجاز اند و جمع کنم چنانکه هر که آن را بخواند و فهم کند از خواندن بسیار کتاب های بزرگ مستغنی شود و فایدها ازو بحاصل آید». کتاب حاضر در نه «باب» و فصل های بی شمار به شرح زیر آمده است: باب ۱. اندر دانستن هياة افلاک و دایره معدل النهار؛ ۲. اندر دانستن احوال هيئة زمین و دریاها و منازل؛ 3. اندر دانستن احوال بروج و دلیل ها؛ ۴. اندر احوال بروج و ستارگان و دلیل ها، ۵. اندر احوال ستارگان متحيره؛ ۶. اندر احوال فلک و دلیل ها؛ 7. اندر طالع مولودها گرفتن؛ ۸ اندر سهام و دلیل هایش؛ 9. معرفت اسطرلاب. سایر تألیفات مؤلف بدین قرار است: القوافی، تقویم الأدوية المفرده، تلخیص علل القرآن، صحة الابدان، قانون الأدب في ضبط كلمات العرب فارسی، کامل التعبير، مدخل إلى علم النجوم، ملحمة دانيال و ....</w:t>
      </w:r>
    </w:p>
    <w:p>
      <w:pPr>
        <w:pStyle w:val="BookText"/>
      </w:pPr>
      <w:r>
        <w:rPr>
          <w:rFonts w:ascii="IRNazanin" w:hAnsi="IRNazanin" w:eastAsia="IRNazanin" w:cs="IRNazanin"/>
          <w:lang w:bidi="fa-IR"/>
          <w:color w:val="111111"/>
          <w:sz w:val="28"/>
          <w:szCs w:val="28"/>
          <w:rtl/>
        </w:rPr>
        <w:t xml:space="preserve">[دنا ۲/ ۵۹۰؛ کشف الظنون (۱: ۲۶۲)، فهرستواره (۴: ۲۸۲۸)، هدية العارفين (۲۶۳ :1)]</w:t>
      </w:r>
    </w:p>
    <w:p>
      <w:pPr>
        <w:pStyle w:val="BookText"/>
      </w:pPr>
      <w:r>
        <w:rPr>
          <w:rFonts w:ascii="IRNazanin" w:hAnsi="IRNazanin" w:eastAsia="IRNazanin" w:cs="IRNazanin"/>
          <w:lang w:bidi="fa-IR"/>
          <w:color w:val="111111"/>
          <w:sz w:val="28"/>
          <w:szCs w:val="28"/>
          <w:rtl/>
        </w:rPr>
        <w:t xml:space="preserve">تهران؛ ملی؛ شماره نسخه: ۷۰۴۲</w:t>
      </w:r>
    </w:p>
    <w:p>
      <w:pPr>
        <w:pStyle w:val="BookText"/>
      </w:pPr>
      <w:r>
        <w:rPr>
          <w:rFonts w:ascii="IRNazanin" w:hAnsi="IRNazanin" w:eastAsia="IRNazanin" w:cs="IRNazanin"/>
          <w:lang w:bidi="fa-IR"/>
          <w:color w:val="111111"/>
          <w:sz w:val="28"/>
          <w:szCs w:val="28"/>
          <w:rtl/>
        </w:rPr>
        <w:t xml:space="preserve">آغاز: بسمله رب تمم بالخير سپاس خدای را که یگانگی صفت و جمله مصنوعات مسخر قدرت اوست ... بدانکه علم نجوم علمی شریفست و بزرگوار است و دانش این علم نزد فضلا؛ انجام: چیزی افزون آید بحساب هر پنج درج را ثلث ساعت گیرد و دو درج و نیم را سدس ساعت ان شاالله تعالى و هو حسبی و کفی. انجامه: «و فرغ من نسخ هذا الكتاب في يوم الاحد سادس من شهر ذوالقعد سنه خمسة و خمسين سبعمائه من يد الضعيف المذنب الخيف سليمان بن محمد بن احمد المعروف بصايع الغريب في المدينة دارالملک اقسراء گلستان المعروف ...</w:t>
      </w:r>
    </w:p>
    <w:p>
      <w:pPr>
        <w:pStyle w:val="BookText"/>
      </w:pPr>
      <w:r>
        <w:rPr>
          <w:rFonts w:ascii="IRNazanin" w:hAnsi="IRNazanin" w:eastAsia="IRNazanin" w:cs="IRNazanin"/>
          <w:lang w:bidi="fa-IR"/>
          <w:color w:val="111111"/>
          <w:sz w:val="28"/>
          <w:szCs w:val="28"/>
          <w:rtl/>
        </w:rPr>
        <w:t xml:space="preserve">خط: نسخ کهن، كان سليمان بن محمد بن احمد معروف به صايع، تا: یک شنبه ۶ ذیقعده ۷۵۵ق، جا: اقسراء گلستان؛ محشی، در پشت اولین برگ نام کتاب و نام تعدادی از گیاهان دارویی و نیز مطلبی از چند تن از علما همچون سلطان العارفین بایزید بسطامی و ... به ترکی، در ادامه این رساله از پشت برگ ۱۰۶ رساله هایی با عناوین مؤامره تقویم کید بزیج معتبر سنجری، تقویم کید بزیج علائی، طريق عمل منازل بدین جدول، استخراج ساعات روز بروز، استخراج ارتفاعات روز بروز، فصل در دیدن ماه نو، اتصالات کواکب، معرفة منازل قمر، روز بروز، فصل در دیدن ماه نو، اتصالات کواکب، معرفة منازل قمر، اسماء تعلق آتش، اسماء تعلق خاک، اسماء تعلق هوا، اسماء تعلق آب، باب در آتشی در بیان طبیعت، باب در بیان طبیعت خاکی، باب در بیان طبیعت باد، باب در بیان طبیعت آب تا برگ ۱۱۱ آمده؛ کاغذ: بخارائی آهار و مهره، جلد: مقوایی روکش کاغذ کرم رنگ دارای حاشیه تیماج سیاه رنگ، ترنج منقوش، عطف تیماج قهوه ای، ۱۰۶گ، ۲۳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[رایانه]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97" w:name="pg20363_209435"/>
    <w:bookmarkEnd w:id="197"/>
    <w:p>
      <w:pPr>
        <w:pStyle w:val="Heading3"/>
      </w:pPr>
      <w:bookmarkStart w:id="1350" w:name="_Toc610"/>
      <w:r>
        <w:t>• بیان نظرات رمل / رمل / فارسی</w:t>
      </w:r>
      <w:bookmarkEnd w:id="1350"/>
    </w:p>
    <w:p>
      <w:pPr>
        <w:pStyle w:val="BookText"/>
      </w:pPr>
      <w:r>
        <w:rPr>
          <w:rFonts w:ascii="Times New Roman" w:hAnsi="Times New Roman" w:eastAsia="Times New Roman" w:cs="Times New Roman"/>
          <w:lang w:val="en-US" w:bidi="en-US"/>
          <w:color w:val="111111"/>
          <w:sz w:val="28"/>
          <w:szCs w:val="28"/>
          <w:rtl/>
        </w:rPr>
        <w:t xml:space="preserve">bayān-e nazarāt-e raml</w:t>
      </w:r>
    </w:p>
    <w:p>
      <w:pPr>
        <w:pStyle w:val="BookText"/>
      </w:pPr>
      <w:r>
        <w:rPr>
          <w:rFonts w:ascii="IRNazanin" w:hAnsi="IRNazanin" w:eastAsia="IRNazanin" w:cs="IRNazanin"/>
          <w:lang w:bidi="fa-IR"/>
          <w:color w:val="111111"/>
          <w:sz w:val="28"/>
          <w:szCs w:val="28"/>
          <w:rtl/>
        </w:rPr>
        <w:t xml:space="preserve">تهران، دانشگاه؛ شماره نسخه: ۱۰۶۸۴/۴</w:t>
      </w:r>
    </w:p>
    <w:p>
      <w:pPr>
        <w:pStyle w:val="BookText"/>
      </w:pPr>
      <w:r>
        <w:rPr>
          <w:rFonts w:ascii="IRNazanin" w:hAnsi="IRNazanin" w:eastAsia="IRNazanin" w:cs="IRNazanin"/>
          <w:lang w:bidi="fa-IR"/>
          <w:color w:val="111111"/>
          <w:sz w:val="28"/>
          <w:szCs w:val="28"/>
          <w:rtl/>
        </w:rPr>
        <w:t xml:space="preserve">آغاز: بدان که نظرات بر پنج نوع است: ۱. تثلیت که تمام دوستی است ۲. تسدیس که نیم دوستی است 3. تربیع که نیم دشمنی است؛ انجام: و میان ۱ و ۴ تربیع ایمن است و بیان ۱ و ۱۰ ایسر. این است بیان نظرات رمل</w:t>
      </w:r>
    </w:p>
    <w:p>
      <w:pPr>
        <w:pStyle w:val="BookText"/>
      </w:pPr>
      <w:r>
        <w:rPr>
          <w:rFonts w:ascii="IRNazanin" w:hAnsi="IRNazanin" w:eastAsia="IRNazanin" w:cs="IRNazanin"/>
          <w:lang w:bidi="fa-IR"/>
          <w:color w:val="111111"/>
          <w:sz w:val="28"/>
          <w:szCs w:val="28"/>
          <w:rtl/>
        </w:rPr>
        <w:t xml:space="preserve">خط: نسخ، بی کا، بی تا؛ جلد: تیماج مشکی یک لا، اص (۲۴پ)، ۲۱-۱۵سطر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۲۰سم [ف: ۲۰-۱۸۶]</w:t>
      </w:r>
    </w:p>
    <w:p>
      <w:pPr>
        <w:pStyle w:val="Heading3"/>
      </w:pPr>
      <w:bookmarkStart w:id="1351" w:name="_Toc611"/>
      <w:r>
        <w:t>•بیان نظرهای عشق (رساله در) / عرفان و تصوف / فارسی</w:t>
      </w:r>
      <w:bookmarkEnd w:id="1351"/>
    </w:p>
    <w:p>
      <w:pPr>
        <w:pStyle w:val="BookText"/>
      </w:pPr>
      <w:r>
        <w:rPr>
          <w:rFonts w:ascii="Times New Roman" w:hAnsi="Times New Roman" w:eastAsia="Times New Roman" w:cs="Times New Roman"/>
          <w:lang w:val="en-US" w:bidi="en-US"/>
          <w:color w:val="111111"/>
          <w:sz w:val="28"/>
          <w:szCs w:val="28"/>
          <w:rtl/>
        </w:rPr>
        <w:t xml:space="preserve">bayān-e nazar-hā-ye ‘ešq (r. dar)</w:t>
      </w:r>
    </w:p>
    <w:p>
      <w:pPr>
        <w:pStyle w:val="BookText"/>
      </w:pPr>
      <w:r>
        <w:rPr>
          <w:rFonts w:ascii="IRNazanin" w:hAnsi="IRNazanin" w:eastAsia="IRNazanin" w:cs="IRNazanin"/>
          <w:lang w:bidi="fa-IR"/>
          <w:color w:val="111111"/>
          <w:sz w:val="28"/>
          <w:szCs w:val="28"/>
          <w:rtl/>
        </w:rPr>
        <w:t xml:space="preserve">جمالی اردستانی، جمال الدين محمد، ۸۱۴-۸۸۳ ؟ قمری</w:t>
      </w:r>
    </w:p>
    <w:p>
      <w:pPr>
        <w:pStyle w:val="BookText"/>
      </w:pPr>
      <w:r>
        <w:rPr>
          <w:rFonts w:ascii="Times New Roman" w:hAnsi="Times New Roman" w:eastAsia="Times New Roman" w:cs="Times New Roman"/>
          <w:lang w:val="en-US" w:bidi="en-US"/>
          <w:color w:val="111111"/>
          <w:sz w:val="28"/>
          <w:szCs w:val="28"/>
          <w:rtl/>
        </w:rPr>
        <w:t xml:space="preserve">jamālī ardestānī, jamāl-od-dīn mohammad (1412-1479)</w:t>
      </w:r>
    </w:p>
    <w:p>
      <w:pPr>
        <w:pStyle w:val="BookText"/>
      </w:pPr>
      <w:r>
        <w:rPr>
          <w:rFonts w:ascii="IRNazanin" w:hAnsi="IRNazanin" w:eastAsia="IRNazanin" w:cs="IRNazanin"/>
          <w:lang w:bidi="fa-IR"/>
          <w:color w:val="111111"/>
          <w:sz w:val="28"/>
          <w:szCs w:val="28"/>
          <w:rtl/>
        </w:rPr>
        <w:t xml:space="preserve">تهران؛ مجلس؛ شماره نسخه: ۹۳۲۶/۳۴</w:t>
      </w:r>
    </w:p>
    <w:p>
      <w:pPr>
        <w:pStyle w:val="BookText"/>
      </w:pPr>
      <w:r>
        <w:rPr>
          <w:rFonts w:ascii="IRNazanin" w:hAnsi="IRNazanin" w:eastAsia="IRNazanin" w:cs="IRNazanin"/>
          <w:lang w:bidi="fa-IR"/>
          <w:color w:val="111111"/>
          <w:sz w:val="28"/>
          <w:szCs w:val="28"/>
          <w:rtl/>
        </w:rPr>
        <w:t xml:space="preserve">خط: نستعلیق، کا: محمد کریم بن میرزا زمان، تا: قرن ۱۳؛ اص (۶۵۰- همان) [مختصر ف: ۱۱۶]</w:t>
      </w:r>
    </w:p>
    <w:p>
      <w:pPr>
        <w:pStyle w:val="BookText"/>
      </w:pPr>
      <w:r>
        <w:rPr>
          <w:rFonts w:ascii="IRNazanin" w:hAnsi="IRNazanin" w:eastAsia="IRNazanin" w:cs="IRNazanin"/>
          <w:lang w:bidi="fa-IR"/>
          <w:color w:val="111111"/>
          <w:sz w:val="28"/>
          <w:szCs w:val="28"/>
          <w:rtl/>
        </w:rPr>
        <w:t xml:space="preserve">←بیان نفس← نفس</w:t>
      </w:r>
    </w:p>
    <w:p>
      <w:pPr>
        <w:pStyle w:val="BookText"/>
      </w:pPr>
      <w:r>
        <w:rPr>
          <w:rFonts w:ascii="IRNazanin" w:hAnsi="IRNazanin" w:eastAsia="IRNazanin" w:cs="IRNazanin"/>
          <w:lang w:bidi="fa-IR"/>
          <w:color w:val="111111"/>
          <w:sz w:val="28"/>
          <w:szCs w:val="28"/>
          <w:rtl/>
        </w:rPr>
        <w:t xml:space="preserve">←بیان نقطة التوحيد و بیان خطة التفرية ← التوحيد</w:t>
      </w:r>
    </w:p>
    <w:p>
      <w:pPr>
        <w:pStyle w:val="Heading3"/>
      </w:pPr>
      <w:bookmarkStart w:id="1352" w:name="_Toc612"/>
      <w:r>
        <w:t>• بیان نی / شعر / فارسی</w:t>
      </w:r>
      <w:bookmarkEnd w:id="1352"/>
    </w:p>
    <w:p>
      <w:pPr>
        <w:pStyle w:val="BookText"/>
      </w:pPr>
      <w:r>
        <w:rPr>
          <w:rFonts w:ascii="Times New Roman" w:hAnsi="Times New Roman" w:eastAsia="Times New Roman" w:cs="Times New Roman"/>
          <w:lang w:val="en-US" w:bidi="en-US"/>
          <w:color w:val="111111"/>
          <w:sz w:val="28"/>
          <w:szCs w:val="28"/>
          <w:rtl/>
        </w:rPr>
        <w:t xml:space="preserve">bayān-e ney</w:t>
      </w:r>
    </w:p>
    <w:p>
      <w:pPr>
        <w:pStyle w:val="BookText"/>
      </w:pPr>
      <w:r>
        <w:rPr>
          <w:rFonts w:ascii="IRNazanin" w:hAnsi="IRNazanin" w:eastAsia="IRNazanin" w:cs="IRNazanin"/>
          <w:lang w:bidi="fa-IR"/>
          <w:color w:val="111111"/>
          <w:sz w:val="28"/>
          <w:szCs w:val="28"/>
          <w:rtl/>
        </w:rPr>
        <w:t xml:space="preserve">با اقتباس از مثنوی به همین وزن.</w:t>
      </w:r>
    </w:p>
    <w:p>
      <w:pPr>
        <w:pStyle w:val="BookText"/>
      </w:pPr>
      <w:r>
        <w:rPr>
          <w:rFonts w:ascii="IRNazanin" w:hAnsi="IRNazanin" w:eastAsia="IRNazanin" w:cs="IRNazanin"/>
          <w:lang w:bidi="fa-IR"/>
          <w:color w:val="111111"/>
          <w:sz w:val="28"/>
          <w:szCs w:val="28"/>
          <w:rtl/>
        </w:rPr>
        <w:t xml:space="preserve">تهران؛ دانشگاه؛ شماره نسخه: ۶۱۱۵/۲</w:t>
      </w:r>
    </w:p>
    <w:p>
      <w:pPr>
        <w:pStyle w:val="BookText"/>
      </w:pPr>
      <w:r>
        <w:rPr>
          <w:rFonts w:ascii="IRNazanin" w:hAnsi="IRNazanin" w:eastAsia="IRNazanin" w:cs="IRNazanin"/>
          <w:lang w:bidi="fa-IR"/>
          <w:color w:val="111111"/>
          <w:sz w:val="28"/>
          <w:szCs w:val="28"/>
          <w:rtl/>
        </w:rPr>
        <w:t xml:space="preserve">آغاز: بشنو از نی مشنو از نی گفته اند***گوهر بحر معانی سفته اند؛ انجام: در طريق</w:t>
      </w:r>
    </w:p>
    <w:p>
      <w:pPr>
        <w:pStyle w:val="BookText"/>
      </w:pPr>
      <w:r>
        <w:rPr>
          <w:rFonts w:ascii="IRNazanin" w:hAnsi="IRNazanin" w:eastAsia="IRNazanin" w:cs="IRNazanin"/>
          <w:lang w:bidi="fa-IR"/>
          <w:color w:val="111111"/>
          <w:sz w:val="28"/>
          <w:szCs w:val="28"/>
          <w:rtl/>
        </w:rPr>
        <w:t xml:space="preserve">عاشقان جان فشان *** گفته ام من آشکارا و نهان</w:t>
      </w:r>
    </w:p>
    <w:p>
      <w:pPr>
        <w:pStyle w:val="BookText"/>
      </w:pPr>
      <w:r>
        <w:rPr>
          <w:rFonts w:ascii="IRNazanin" w:hAnsi="IRNazanin" w:eastAsia="IRNazanin" w:cs="IRNazanin"/>
          <w:lang w:bidi="fa-IR"/>
          <w:color w:val="111111"/>
          <w:sz w:val="28"/>
          <w:szCs w:val="28"/>
          <w:rtl/>
        </w:rPr>
        <w:t xml:space="preserve">بی کا، بی تا، کاغذ: كبود سپاهانی، جلد: تیماج مشکی مقوایی، ۲۲گ (۲۶ر -۴۷ر)، ۱۲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قطع: جیبی،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۱۶-۲۰۰]</w:t>
      </w:r>
    </w:p>
    <w:p>
      <w:pPr>
        <w:pStyle w:val="Heading3"/>
      </w:pPr>
      <w:bookmarkStart w:id="1353" w:name="_Toc613"/>
      <w:r>
        <w:t>• بیان الواضح المشهود من فضايح النصارى و اليهود / کلام و اعتقادات / عربی</w:t>
      </w:r>
      <w:bookmarkEnd w:id="1353"/>
    </w:p>
    <w:p>
      <w:pPr>
        <w:pStyle w:val="BookText"/>
      </w:pPr>
      <w:r>
        <w:rPr>
          <w:rFonts w:ascii="Times New Roman" w:hAnsi="Times New Roman" w:eastAsia="Times New Roman" w:cs="Times New Roman"/>
          <w:lang w:val="en-US" w:bidi="en-US"/>
          <w:color w:val="111111"/>
          <w:sz w:val="28"/>
          <w:szCs w:val="28"/>
          <w:rtl/>
        </w:rPr>
        <w:t xml:space="preserve">bayan-ul wadih-il mashud min fadayih-in nasara wa-1 yahūd</w:t>
      </w:r>
    </w:p>
    <w:p>
      <w:pPr>
        <w:pStyle w:val="BookText"/>
      </w:pPr>
      <w:r>
        <w:rPr>
          <w:rFonts w:ascii="Amiri" w:hAnsi="Amiri" w:eastAsia="Amiri" w:cs="Amiri"/>
          <w:lang w:bidi="ar-SA"/>
          <w:color w:val="111111"/>
          <w:sz w:val="28"/>
          <w:szCs w:val="28"/>
          <w:rtl/>
        </w:rPr>
        <w:t xml:space="preserve">صالح بن حسين</w:t>
      </w:r>
    </w:p>
    <w:p>
      <w:pPr>
        <w:pStyle w:val="BookText"/>
      </w:pPr>
      <w:r>
        <w:rPr>
          <w:rFonts w:ascii="Times New Roman" w:hAnsi="Times New Roman" w:eastAsia="Times New Roman" w:cs="Times New Roman"/>
          <w:lang w:val="en-US" w:bidi="en-US"/>
          <w:color w:val="111111"/>
          <w:sz w:val="28"/>
          <w:szCs w:val="28"/>
          <w:rtl/>
        </w:rPr>
        <w:t xml:space="preserve">sāleh ebn-e hoseyn</w:t>
      </w:r>
    </w:p>
    <w:p>
      <w:pPr>
        <w:pStyle w:val="BookText"/>
      </w:pPr>
      <w:r>
        <w:rPr>
          <w:rFonts w:ascii="IRNazanin" w:hAnsi="IRNazanin" w:eastAsia="IRNazanin" w:cs="IRNazanin"/>
          <w:lang w:bidi="fa-IR"/>
          <w:color w:val="111111"/>
          <w:sz w:val="28"/>
          <w:szCs w:val="28"/>
          <w:rtl/>
        </w:rPr>
        <w:t xml:space="preserve">کتابی در ده «مسئله» در بیان ابطال اعتقادات یهود و نصاری و اثبات نبوت خاتم الانبیاء (صلی الله علیه وآله وسلم) به نقل فرازهایی از کتاب های آنان، گرفته شده از کتابش «تخجيل من حرف التوراة و الانجيل» که به دستور یکی از امامان (گویا امامان اسماعیلیه) تألیف شده است. عناوین مسائل: 1. اثبات عبودية المسيح بنص الانجيل الصريح؛ ۲. اثبات نبوته بنصوص كتابه؛ 3. تأويل الظواهر التي غلط به الكافر؛ ۴. تناقض الاناجيل المؤدية بالتحريف و التبديل؛ .. في أن المسيح ما قتل و ما صلب؛ ۶. أجوبة مسكتة عن اسئلة مبهتة؛ ۷. ابطال الاتحاد الذي يدعيه أهل الإلحاد؛ ۸ الإبانة عن تناقض الامانة؛ ۰۹ بیان فضايح النصارى و اليهود؛ ۱۰. البشائر الالهية بالتسمية المحمدية.</w:t>
      </w:r>
    </w:p>
    <w:p>
      <w:pPr>
        <w:pStyle w:val="BookText"/>
      </w:pPr>
      <w:r>
        <w:rPr>
          <w:rFonts w:ascii="IRNazanin" w:hAnsi="IRNazanin" w:eastAsia="IRNazanin" w:cs="IRNazanin"/>
          <w:lang w:bidi="fa-IR"/>
          <w:color w:val="111111"/>
          <w:sz w:val="28"/>
          <w:szCs w:val="28"/>
          <w:rtl/>
        </w:rPr>
        <w:t xml:space="preserve">[دنا ۵۹۱/۲ ]</w:t>
      </w:r>
    </w:p>
    <w:p>
      <w:pPr>
        <w:pStyle w:val="BookText"/>
      </w:pPr>
      <w:r>
        <w:rPr>
          <w:rFonts w:ascii="IRNazanin" w:hAnsi="IRNazanin" w:eastAsia="IRNazanin" w:cs="IRNazanin"/>
          <w:lang w:bidi="fa-IR"/>
          <w:color w:val="111111"/>
          <w:sz w:val="28"/>
          <w:szCs w:val="28"/>
          <w:rtl/>
        </w:rPr>
        <w:t xml:space="preserve">قم؛ مرعشی؛ شماره نسخه: ۵۹۴۵</w:t>
      </w:r>
    </w:p>
    <w:p>
      <w:pPr>
        <w:pStyle w:val="BookText"/>
      </w:pPr>
      <w:r>
        <w:rPr>
          <w:rFonts w:ascii="IRNazanin" w:hAnsi="IRNazanin" w:eastAsia="IRNazanin" w:cs="IRNazanin"/>
          <w:lang w:bidi="fa-IR"/>
          <w:color w:val="111111"/>
          <w:sz w:val="28"/>
          <w:szCs w:val="28"/>
          <w:rtl/>
        </w:rPr>
        <w:t xml:space="preserve">آغاز: الحمدلله الموجود الذي لا يسبقه وجود المعبود الذي لا يقلقه جحود الواحد الذي لا يندرج في معدود؛ انجام: و المشیء على الماء المغرق و دخول النار المحرق و الأخذ من الغيب ...</w:t>
      </w:r>
    </w:p>
    <w:p>
      <w:pPr>
        <w:pStyle w:val="BookText"/>
      </w:pPr>
      <w:r>
        <w:rPr>
          <w:rFonts w:ascii="IRNazanin" w:hAnsi="IRNazanin" w:eastAsia="IRNazanin" w:cs="IRNazanin"/>
          <w:lang w:bidi="fa-IR"/>
          <w:color w:val="111111"/>
          <w:sz w:val="28"/>
          <w:szCs w:val="28"/>
          <w:rtl/>
        </w:rPr>
        <w:t xml:space="preserve">خط: نسخ، بی کا، تا: چهارشنبه نوروز از ربيع الأول ۱۰۲۶ق، جان حیدر آباد؛ وقف نامه کتاب با مهر «پیرو آل على عاقبتش محمود است» (بیضوی) و «الواثق بعناية الملک الودود عبده عبدالرحيم بن داود» (بیضوی) و «المتمسک بربه الودود کلب عتبة آل النبي محمود» (بیضوی) و «المتوكل على الله الغني جبرئيل الحسینی» (دایره)؛ جلد: مقوایی عطف تیماج قهوه ای، ۸۳گ، ۱۵ سطر، اندازه: ۱۳/۵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۲۲/۵سم [ف: ۱۵-۳۲۸]</w:t>
      </w:r>
    </w:p>
    <w:p>
      <w:pPr>
        <w:pStyle w:val="Heading3"/>
      </w:pPr>
      <w:bookmarkStart w:id="1354" w:name="_Toc614"/>
      <w:r>
        <w:t>• بيان الواقع = معادية / كلام و اعتقادات / فارسی</w:t>
      </w:r>
      <w:bookmarkEnd w:id="1354"/>
    </w:p>
    <w:p>
      <w:pPr>
        <w:pStyle w:val="BookText"/>
      </w:pPr>
      <w:r>
        <w:rPr>
          <w:rFonts w:ascii="Times New Roman" w:hAnsi="Times New Roman" w:eastAsia="Times New Roman" w:cs="Times New Roman"/>
          <w:lang w:val="en-US" w:bidi="en-US"/>
          <w:color w:val="111111"/>
          <w:sz w:val="28"/>
          <w:szCs w:val="28"/>
          <w:rtl/>
        </w:rPr>
        <w:t xml:space="preserve">bayān-ol vāqe“ = ma‘ādīye</w:t>
      </w:r>
    </w:p>
    <w:p>
      <w:pPr>
        <w:pStyle w:val="BookText"/>
      </w:pPr>
      <w:r>
        <w:rPr>
          <w:rFonts w:ascii="IRNazanin" w:hAnsi="IRNazanin" w:eastAsia="IRNazanin" w:cs="IRNazanin"/>
          <w:lang w:bidi="fa-IR"/>
          <w:color w:val="111111"/>
          <w:sz w:val="28"/>
          <w:szCs w:val="28"/>
          <w:rtl/>
        </w:rPr>
        <w:t xml:space="preserve">شریف شیرازی، ق۹ قمری</w:t>
      </w:r>
    </w:p>
    <w:p>
      <w:pPr>
        <w:pStyle w:val="BookText"/>
      </w:pPr>
      <w:r>
        <w:rPr>
          <w:rFonts w:ascii="Times New Roman" w:hAnsi="Times New Roman" w:eastAsia="Times New Roman" w:cs="Times New Roman"/>
          <w:lang w:val="en-US" w:bidi="en-US"/>
          <w:color w:val="111111"/>
          <w:sz w:val="28"/>
          <w:szCs w:val="28"/>
          <w:rtl/>
        </w:rPr>
        <w:t xml:space="preserve">šarīf šīrāzī (- 15c)</w:t>
      </w:r>
    </w:p>
    <w:p>
      <w:pPr>
        <w:pStyle w:val="BookText"/>
      </w:pPr>
      <w:r>
        <w:rPr>
          <w:rFonts w:ascii="IRNazanin" w:hAnsi="IRNazanin" w:eastAsia="IRNazanin" w:cs="IRNazanin"/>
          <w:lang w:bidi="fa-IR"/>
          <w:color w:val="111111"/>
          <w:sz w:val="28"/>
          <w:szCs w:val="28"/>
          <w:rtl/>
        </w:rPr>
        <w:t xml:space="preserve">اهدا به: وزیر زین الدین شیخ على</w:t>
      </w:r>
    </w:p>
    <w:p>
      <w:pPr>
        <w:pStyle w:val="BookText"/>
      </w:pPr>
      <w:r>
        <w:rPr>
          <w:rFonts w:ascii="IRNazanin" w:hAnsi="IRNazanin" w:eastAsia="IRNazanin" w:cs="IRNazanin"/>
          <w:lang w:bidi="fa-IR"/>
          <w:color w:val="111111"/>
          <w:sz w:val="28"/>
          <w:szCs w:val="28"/>
          <w:rtl/>
        </w:rPr>
        <w:t xml:space="preserve">رساله مبسوطی است در معاد و اثبات جسمانی بودن آن، بر اساس عقل و نقل. در این رساله، عقاید و افکار بسیاری از حکما و فلاسفه نقد و بررسی شده و مناقشاتی با محيي الدين عربی دارد. در این رساله از آثار فضل الله حروفی مقتول مانند جاودان نامه، محبت نامه و غیر اینها بسیار نقل شده است و در لابه لای کتاب از سید نعمة الله ولی، استاد خالو سراج (مقیم شیراز و رفیق مؤلف)، سید نظام الدین احمد شیرازی و از استادش مولانا ابوبکر طبیب نام برده شده و در صلوات بر پیامبر همانند اهل سنت عمل کرده است؛ همچنین روایت زیادی از طرفین، اهل سنت و شیعه و اشعار عرفانی، از خود مؤلف و از «فضل الله» که« نعیمی» تخلص می کرده آورده شده است. در اثنای آن از کتاب ها، سخنان و اشعار بزرگانی چون شیخ مفید، ناصر خسرو، افضل الدین کاشی، شهاب الدين سهروردی، خواجه نصیر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98" w:name="pg20363_209436"/>
    <w:bookmarkEnd w:id="198"/>
    <w:p>
      <w:pPr>
        <w:pStyle w:val="BookText"/>
      </w:pPr>
      <w:r>
        <w:rPr>
          <w:rFonts w:ascii="IRNazanin" w:hAnsi="IRNazanin" w:eastAsia="IRNazanin" w:cs="IRNazanin"/>
          <w:lang w:bidi="fa-IR"/>
          <w:color w:val="111111"/>
          <w:sz w:val="28"/>
          <w:szCs w:val="28"/>
          <w:rtl/>
        </w:rPr>
        <w:t xml:space="preserve">طوسی، قونوی و ... استشهاد کرده است. از نام کامل مؤلف، آگاهی نیافتیم، مگر تخلص شعری و و موطن و روزگار زندگی او که معاصر با سید محمد بن میر سید شریف جرجانی بوده و از او نقل می کند: «روزی امیر محمد سيد شریف الرحمة در حلقه درس، در شیراز نقلی از سید شریف ...»، «بر آر آه جگر سوز آتشین چو «شریف»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که سوزد آنچه حجابست از حمل تا «حوت». بخشی از عناوین موجود عبارت است: هذه مقدمة في تعداد المذاهب في المعاد الجسمانی؛ هذه رسيلة لصورة تنوعاتهم و وسيلة في الاحاطة لمخترعاتهم؛ هذه اختلافات المقالات في المسالة المنامات؛ هذه مبدا الانتقال الى عالم المعاد و البحث عنه بحكم العود؛ هذه صورة نفس الاختلاف في النفس بين الاختلاف و الاسلاف؛ هذه صورة الافادة في مسالة الإعادة؛ هذه مسطورة مستورة عن فهم كثير من الرجال على قول من قال: أن المنام حضرة الخيال؛ هذه نية حكمية في تاسيس قواعد العقائد النبوية في مسالة المعاد و تعيين المعاد؛ هذه بقية من المسالة (...) في بيان الكلمة على الروح بالمطابقة؛ هذه خاتمة لفذلكة المباحث الماضية التي ذكرت في بيان النفوس الغاضية و الأرواح المتنعمة في العشية الراضية.</w:t>
      </w:r>
    </w:p>
    <w:p>
      <w:pPr>
        <w:pStyle w:val="BookText"/>
      </w:pPr>
      <w:r>
        <w:rPr>
          <w:rFonts w:ascii="IRNazanin" w:hAnsi="IRNazanin" w:eastAsia="IRNazanin" w:cs="IRNazanin"/>
          <w:lang w:bidi="fa-IR"/>
          <w:color w:val="111111"/>
          <w:sz w:val="28"/>
          <w:szCs w:val="28"/>
          <w:rtl/>
        </w:rPr>
        <w:t xml:space="preserve">حروفيان در آثار موجود در باره آنان اعم از کتب ویژه مقالات دائرة المعارف ها و هنگام یاد آثار آنان، در فهرست ها به همان عنوان روزگار تیمور لنگ، و به تعبیر بهتر، با همان اتهام بی دینی، الحاد، غلو، اباحه محارم و تاویل معتقدات بر اساس دانش ویژه ای از حروف که «فضل الله» بدعت آن را نهاده است، معرفی شده و می شوند؛ لكن، آثار موجود از حروفيان، خصوصا این کتاب، چنین اتهامات را تأیید نمی کند، بلکه گرایش بیشتر مؤلف را در امر معاد، به ظاهر آیات و احادیث نسبت به آرا و عقاید حکما نشان می دهد. با این حساب، این فرقه مخترع تأويل بر اساس حروف هستند و نه پدید آوران تعبيرات عرفانی و شطحیات، بلکه ویژگی اینان، در تعرض به حکومت است، آن هم حکومت تیمور و اعوان او و سوء استفاده آنهایی که خصومت دیرینه ای با شیعه از سویی و با صوفیه و عرفا، از سوی دیگر داشته اند، باعث آن شده که این گروه، پیوسته با نشانی هایی از کفر و زندقه به مردم معرفی شوند.</w:t>
      </w:r>
    </w:p>
    <w:p>
      <w:pPr>
        <w:pStyle w:val="BookText"/>
      </w:pPr>
      <w:r>
        <w:rPr>
          <w:rFonts w:ascii="IRNazanin" w:hAnsi="IRNazanin" w:eastAsia="IRNazanin" w:cs="IRNazanin"/>
          <w:lang w:bidi="fa-IR"/>
          <w:color w:val="111111"/>
          <w:sz w:val="28"/>
          <w:szCs w:val="28"/>
          <w:rtl/>
        </w:rPr>
        <w:t xml:space="preserve">آغاز: بسمله و به نستعين حمد حميد و شكر مجيد مرآن مبدی معید را که مبدء و معاد سالكان مسالک معرفت مولی و سایران طریق مدارک ممالک معنی را مخصوص بصورت منصوص نفخت فيه من روحي</w:t>
      </w:r>
    </w:p>
    <w:p>
      <w:pPr>
        <w:pStyle w:val="BookText"/>
      </w:pPr>
      <w:r>
        <w:rPr>
          <w:rFonts w:ascii="IRNazanin" w:hAnsi="IRNazanin" w:eastAsia="IRNazanin" w:cs="IRNazanin"/>
          <w:lang w:bidi="fa-IR"/>
          <w:color w:val="111111"/>
          <w:sz w:val="28"/>
          <w:szCs w:val="28"/>
          <w:rtl/>
        </w:rPr>
        <w:t xml:space="preserve">انجام: از برای خروج از ورطه قهر قادر علام و دخول در حظیره الطف مالک دار السلام. بلبل گلزار و حدت گشت همچو گل شکفت </w:t>
      </w:r>
      <w:r>
        <w:rPr>
          <w:rFonts w:ascii="IRNazanin" w:hAnsi="IRNazanin" w:eastAsia="IRNazanin" w:cs="IRNazanin"/>
          <w:lang w:bidi="fa-IR"/>
          <w:color w:val="111111"/>
          <w:sz w:val="28"/>
          <w:szCs w:val="28"/>
          <w:b w:val="1"/>
          <w:bCs w:val="1"/>
          <w:i w:val="1"/>
          <w:iCs w:val="1"/>
          <w:rtl/>
        </w:rPr>
        <w:t xml:space="preserve">هر که این اوراق همچون برگ گل خندان کرد/ هر که را زین گونه نبود اعتقاد اندر معاد</w:t>
      </w:r>
      <w:r>
        <w:rPr>
          <w:rFonts w:ascii="IRNazanin" w:hAnsi="IRNazanin" w:eastAsia="IRNazanin" w:cs="IRNazanin"/>
          <w:lang w:bidi="fa-IR"/>
          <w:color w:val="111111"/>
          <w:sz w:val="28"/>
          <w:szCs w:val="28"/>
          <w:rtl/>
        </w:rPr>
        <w:t xml:space="preserve">گر همه خود بو على سیناست بی شک خبط کرد. تمت الكتاب معادية.</w:t>
      </w:r>
    </w:p>
    <w:p>
      <w:pPr>
        <w:pStyle w:val="BookText"/>
      </w:pPr>
      <w:r>
        <w:rPr>
          <w:rFonts w:ascii="IRNazanin" w:hAnsi="IRNazanin" w:eastAsia="IRNazanin" w:cs="IRNazanin"/>
          <w:lang w:bidi="fa-IR"/>
          <w:color w:val="111111"/>
          <w:sz w:val="28"/>
          <w:szCs w:val="28"/>
          <w:rtl/>
        </w:rPr>
        <w:t xml:space="preserve">[ فهرست متون حروفيه ص ۸۰ و ۱۰۵؛ نسخه های منزوی ۱۰۶۸/۲ ؛ لغت نامه دهخدا، «حروفيان»: العراق بين الاحتلالين ۲۴۶/۲ ؛ کشف الظنون ۶۵۰/۱ ۶۵۱؛ فهرستواره منزوی</w:t>
      </w:r>
    </w:p>
    <w:p>
      <w:pPr>
        <w:pStyle w:val="BookText"/>
      </w:pPr>
      <w:r>
        <w:rPr>
          <w:rFonts w:ascii="IRNazanin" w:hAnsi="IRNazanin" w:eastAsia="IRNazanin" w:cs="IRNazanin"/>
          <w:lang w:bidi="fa-IR"/>
          <w:color w:val="111111"/>
          <w:sz w:val="28"/>
          <w:szCs w:val="28"/>
          <w:rtl/>
        </w:rPr>
        <w:t xml:space="preserve">۸۷/۶ و ۱۶۰/۷ بدون نام مؤلف؛ دنا ۵۹۱/۲ (۶ نسخه)]</w:t>
      </w:r>
    </w:p>
    <w:p>
      <w:pPr>
        <w:pStyle w:val="BookText"/>
      </w:pPr>
      <w:r>
        <w:rPr>
          <w:rFonts w:ascii="IRNazanin" w:hAnsi="IRNazanin" w:eastAsia="IRNazanin" w:cs="IRNazanin"/>
          <w:lang w:bidi="fa-IR"/>
          <w:color w:val="111111"/>
          <w:sz w:val="28"/>
          <w:szCs w:val="28"/>
          <w:rtl/>
        </w:rPr>
        <w:t xml:space="preserve">۱. قم؛ مرعشی؛ شماره نسخه: ۱۱۰۹۶</w:t>
      </w:r>
    </w:p>
    <w:p>
      <w:pPr>
        <w:pStyle w:val="BookText"/>
      </w:pPr>
      <w:r>
        <w:rPr>
          <w:rFonts w:ascii="IRNazanin" w:hAnsi="IRNazanin" w:eastAsia="IRNazanin" w:cs="IRNazanin"/>
          <w:lang w:bidi="fa-IR"/>
          <w:color w:val="111111"/>
          <w:sz w:val="28"/>
          <w:szCs w:val="28"/>
          <w:rtl/>
        </w:rPr>
        <w:t xml:space="preserve">آغاز: منجم آنست که اجساد محشور نمی شوند گفتیم مر ایشان هر دو را که اگر قول شما خواست من هیچ خاسر نیستم؛ انجام: چنان که یازده که می گوئی یکیست پس اضافه یکی ده کردی و دوازده اضافه دواست باده</w:t>
      </w:r>
    </w:p>
    <w:p>
      <w:pPr>
        <w:pStyle w:val="BookText"/>
      </w:pPr>
      <w:r>
        <w:rPr>
          <w:rFonts w:ascii="IRNazanin" w:hAnsi="IRNazanin" w:eastAsia="IRNazanin" w:cs="IRNazanin"/>
          <w:lang w:bidi="fa-IR"/>
          <w:color w:val="111111"/>
          <w:sz w:val="28"/>
          <w:szCs w:val="28"/>
          <w:rtl/>
        </w:rPr>
        <w:t xml:space="preserve">خط: نستعلیق و ثلث، بی کا، تا: قرن ۹، جان شرقی؛ افتادگی: آغاز؛ مصحح، محشی، حواشی موجود غالبا رساله هایی هستند که به علت پراکندگی برگ ها، قابل شناسائی نیست ولی احتمالا از حروفیه می باشند؛ کاغذ: شرقی، جلد: روغنی و لاکی گل بوته دار، عطف تیماج قهوه ای، ۸۲گ، ۱۵ سطر (۷/۵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۱۱/۵)،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[ف: ۲۸-۱۴۶]</w:t>
      </w:r>
    </w:p>
    <w:p>
      <w:pPr>
        <w:pStyle w:val="BookText"/>
      </w:pPr>
      <w:r>
        <w:rPr>
          <w:rFonts w:ascii="IRNazanin" w:hAnsi="IRNazanin" w:eastAsia="IRNazanin" w:cs="IRNazanin"/>
          <w:lang w:bidi="fa-IR"/>
          <w:color w:val="111111"/>
          <w:sz w:val="28"/>
          <w:szCs w:val="28"/>
          <w:rtl/>
        </w:rPr>
        <w:t xml:space="preserve">۲. قم؛ مسجد اعظم؛ شماره نسخه: ۲۹۸۵ آغاز: ای بسا کافر شده از عقل خویش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هیچ دیدی کافر از دیوانگی. قال الله تعالى ويحسبون انهم يحسنون صنعا و آدم وانبياء می باید که واضع ادیان وملل بوده باشند؛ انجام: برابر نام مؤلف به قرینه انجام نسخه تعیین شد؛ خط: نستعلیق، کا: درویش علی دوست بن مقصود خویی، تا: ۲۳ ربیع الثانی ۹۷۱ق؛ افتادگی: آغاز؛ جلد: تیماج سیاه ترنج و با سر لچکی، ۱۲۹گ، ۱۴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مخ: ۱-۲۹۱]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 ۱۰۱۴۲</w:t>
      </w:r>
    </w:p>
    <w:p>
      <w:pPr>
        <w:pStyle w:val="BookText"/>
      </w:pPr>
      <w:r>
        <w:rPr>
          <w:rFonts w:ascii="IRNazanin" w:hAnsi="IRNazanin" w:eastAsia="IRNazanin" w:cs="IRNazanin"/>
          <w:lang w:bidi="fa-IR"/>
          <w:color w:val="111111"/>
          <w:sz w:val="28"/>
          <w:szCs w:val="28"/>
          <w:rtl/>
        </w:rPr>
        <w:t xml:space="preserve">آغاز: در تشخیص پیکر زیبای ... خود ساخت که من احب؛ انجام: برابر</w:t>
      </w:r>
    </w:p>
    <w:p>
      <w:pPr>
        <w:pStyle w:val="BookText"/>
      </w:pPr>
      <w:r>
        <w:rPr>
          <w:rFonts w:ascii="IRNazanin" w:hAnsi="IRNazanin" w:eastAsia="IRNazanin" w:cs="IRNazanin"/>
          <w:lang w:bidi="fa-IR"/>
          <w:color w:val="111111"/>
          <w:sz w:val="28"/>
          <w:szCs w:val="28"/>
          <w:rtl/>
        </w:rPr>
        <w:t xml:space="preserve">خط: نستعلیق، کا: شاید محمد صالح، تا: رجب ۹۷۱ق؛ افتادگی: آغاز؛ محشی ؛ مهر «عبده محمد صالح» (بیضوی)؛ جلد: تیماج زیتونی مجدول، ۱۲۶، ۱۶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سم [ف: ۳۲-۱۷۶]</w:t>
      </w:r>
    </w:p>
    <w:p>
      <w:pPr>
        <w:pStyle w:val="BookText"/>
      </w:pPr>
      <w:r>
        <w:rPr>
          <w:rFonts w:ascii="IRNazanin" w:hAnsi="IRNazanin" w:eastAsia="IRNazanin" w:cs="IRNazanin"/>
          <w:lang w:bidi="fa-IR"/>
          <w:color w:val="111111"/>
          <w:sz w:val="28"/>
          <w:szCs w:val="28"/>
          <w:rtl/>
        </w:rPr>
        <w:t xml:space="preserve">۴. تهران؛ ملک؛ شماره نسخه: ۴۵۹۶/۲</w:t>
      </w:r>
    </w:p>
    <w:p>
      <w:pPr>
        <w:pStyle w:val="BookText"/>
      </w:pPr>
      <w:r>
        <w:rPr>
          <w:rFonts w:ascii="IRNazanin" w:hAnsi="IRNazanin" w:eastAsia="IRNazanin" w:cs="IRNazanin"/>
          <w:lang w:bidi="fa-IR"/>
          <w:color w:val="111111"/>
          <w:sz w:val="28"/>
          <w:szCs w:val="28"/>
          <w:rtl/>
        </w:rPr>
        <w:t xml:space="preserve">آغاز و انجام: برابر خط: نستعلیق، بی کا، تا: ۹۷۹ق؛ کاغذ: نوعی ترمه، جلد: ساغرى کاغذی آلبالویی، ۲۱ سطر، اندازه: ۱۹/۳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۱۲/۴ سم [ف: ۷-۴۳۸]</w:t>
      </w:r>
    </w:p>
    <w:p>
      <w:pPr>
        <w:pStyle w:val="BookText"/>
      </w:pPr>
      <w:r>
        <w:rPr>
          <w:rFonts w:ascii="IRNazanin" w:hAnsi="IRNazanin" w:eastAsia="IRNazanin" w:cs="IRNazanin"/>
          <w:lang w:bidi="fa-IR"/>
          <w:color w:val="111111"/>
          <w:sz w:val="28"/>
          <w:szCs w:val="28"/>
          <w:rtl/>
        </w:rPr>
        <w:t xml:space="preserve">۵. قم؛ مرعشی؛ شماره نسخه: ۷۵۵۳/۲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۱۰۷۲ق؛ جلد: تیماج قهوه ای، ۱۱۰گ</w:t>
      </w:r>
    </w:p>
    <w:p>
      <w:pPr>
        <w:pStyle w:val="BookText"/>
      </w:pPr>
      <w:r>
        <w:rPr>
          <w:rFonts w:ascii="IRNazanin" w:hAnsi="IRNazanin" w:eastAsia="IRNazanin" w:cs="IRNazanin"/>
          <w:lang w:bidi="fa-IR"/>
          <w:color w:val="111111"/>
          <w:sz w:val="28"/>
          <w:szCs w:val="28"/>
          <w:rtl/>
        </w:rPr>
        <w:t xml:space="preserve">(۱۱ر-۱۲۰ر)، ۱۹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۱۹-۳۵۷]</w:t>
      </w:r>
    </w:p>
    <w:p>
      <w:pPr>
        <w:pStyle w:val="BookText"/>
      </w:pPr>
      <w:r>
        <w:rPr>
          <w:rFonts w:ascii="IRNazanin" w:hAnsi="IRNazanin" w:eastAsia="IRNazanin" w:cs="IRNazanin"/>
          <w:lang w:bidi="fa-IR"/>
          <w:color w:val="111111"/>
          <w:sz w:val="28"/>
          <w:szCs w:val="28"/>
          <w:rtl/>
        </w:rPr>
        <w:t xml:space="preserve">۶. قم، گلپایگانی؛ شماره نسخه: ۱۶۳۶- ۹/۱۸۶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مشهدی علی، تا: جمعه ۳ رمضان ۱۲۰۹ یا</w:t>
      </w:r>
    </w:p>
    <w:p>
      <w:pPr>
        <w:pStyle w:val="BookText"/>
      </w:pPr>
      <w:r>
        <w:rPr>
          <w:rFonts w:ascii="IRNazanin" w:hAnsi="IRNazanin" w:eastAsia="IRNazanin" w:cs="IRNazanin"/>
          <w:lang w:bidi="fa-IR"/>
          <w:color w:val="111111"/>
          <w:sz w:val="28"/>
          <w:szCs w:val="28"/>
          <w:rtl/>
        </w:rPr>
        <w:t xml:space="preserve">۱۲۵۹؛ جلد: تیماج قهوه ای مجدول، ۱۱۹گ، ۱۵ سطر،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۲-۶۵۱]</w:t>
      </w:r>
    </w:p>
    <w:p>
      <w:pPr>
        <w:pStyle w:val="Heading3"/>
      </w:pPr>
      <w:bookmarkStart w:id="1355" w:name="_Toc615"/>
      <w:r>
        <w:t>• بیان واقع / ادبیات / فارسی</w:t>
      </w:r>
      <w:bookmarkEnd w:id="1355"/>
    </w:p>
    <w:p>
      <w:pPr>
        <w:pStyle w:val="BookText"/>
      </w:pPr>
      <w:r>
        <w:rPr>
          <w:rFonts w:ascii="Times New Roman" w:hAnsi="Times New Roman" w:eastAsia="Times New Roman" w:cs="Times New Roman"/>
          <w:lang w:val="en-US" w:bidi="en-US"/>
          <w:color w:val="111111"/>
          <w:sz w:val="28"/>
          <w:szCs w:val="28"/>
          <w:rtl/>
        </w:rPr>
        <w:t xml:space="preserve">bayan-e vaqe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99" w:name="pg20363_209437"/>
    <w:bookmarkEnd w:id="199"/>
    <w:p>
      <w:pPr>
        <w:pStyle w:val="BookText"/>
      </w:pPr>
      <w:r>
        <w:rPr>
          <w:rFonts w:ascii="IRNazanin" w:hAnsi="IRNazanin" w:eastAsia="IRNazanin" w:cs="IRNazanin"/>
          <w:lang w:bidi="fa-IR"/>
          <w:color w:val="111111"/>
          <w:sz w:val="28"/>
          <w:szCs w:val="28"/>
          <w:rtl/>
        </w:rPr>
        <w:t xml:space="preserve">کشمیری، عبدالکریم بن عاقبت محمود</w:t>
      </w:r>
    </w:p>
    <w:p>
      <w:pPr>
        <w:pStyle w:val="BookText"/>
      </w:pPr>
      <w:r>
        <w:rPr>
          <w:rFonts w:ascii="Times New Roman" w:hAnsi="Times New Roman" w:eastAsia="Times New Roman" w:cs="Times New Roman"/>
          <w:lang w:val="en-US" w:bidi="en-US"/>
          <w:color w:val="111111"/>
          <w:sz w:val="28"/>
          <w:szCs w:val="28"/>
          <w:rtl/>
        </w:rPr>
        <w:t xml:space="preserve">kešmīrī, 'abd-ol-karīm ebn-e āqebat mahmūd</w:t>
      </w:r>
    </w:p>
    <w:p>
      <w:pPr>
        <w:pStyle w:val="BookText"/>
      </w:pPr>
      <w:r>
        <w:rPr>
          <w:rFonts w:ascii="IRNazanin" w:hAnsi="IRNazanin" w:eastAsia="IRNazanin" w:cs="IRNazanin"/>
          <w:lang w:bidi="fa-IR"/>
          <w:color w:val="111111"/>
          <w:sz w:val="28"/>
          <w:szCs w:val="28"/>
          <w:rtl/>
        </w:rPr>
        <w:t xml:space="preserve">مشهد رضوی؛ شماره نسخه: ۲۴۷۰۱</w:t>
      </w:r>
    </w:p>
    <w:p>
      <w:pPr>
        <w:pStyle w:val="BookText"/>
      </w:pPr>
      <w:r>
        <w:rPr>
          <w:rFonts w:ascii="IRNazanin" w:hAnsi="IRNazanin" w:eastAsia="IRNazanin" w:cs="IRNazanin"/>
          <w:lang w:bidi="fa-IR"/>
          <w:color w:val="111111"/>
          <w:sz w:val="28"/>
          <w:szCs w:val="28"/>
          <w:rtl/>
        </w:rPr>
        <w:t xml:space="preserve">آغاز: بسمله الحمدلله الذي علم الانسان ما لم يعلم ... و بعد بنده حقیر سراپا ... بواسطه توطن؛ انجام: روی توجه سمعت دارالسلطنة لاهور آورد.</w:t>
      </w:r>
    </w:p>
    <w:p>
      <w:pPr>
        <w:pStyle w:val="BookText"/>
      </w:pPr>
      <w:r>
        <w:rPr>
          <w:rFonts w:ascii="IRNazanin" w:hAnsi="IRNazanin" w:eastAsia="IRNazanin" w:cs="IRNazanin"/>
          <w:lang w:bidi="fa-IR"/>
          <w:color w:val="111111"/>
          <w:sz w:val="28"/>
          <w:szCs w:val="28"/>
          <w:rtl/>
        </w:rPr>
        <w:t xml:space="preserve">خط: نستعلیق، بی کا، بی تا؛ کاغذ: نخودی، جلد: تیماج [رایانه]</w:t>
      </w:r>
    </w:p>
    <w:p>
      <w:pPr>
        <w:pStyle w:val="BookText"/>
      </w:pPr>
      <w:r>
        <w:rPr>
          <w:rFonts w:ascii="IRNazanin" w:hAnsi="IRNazanin" w:eastAsia="IRNazanin" w:cs="IRNazanin"/>
          <w:lang w:bidi="fa-IR"/>
          <w:color w:val="111111"/>
          <w:sz w:val="28"/>
          <w:szCs w:val="28"/>
          <w:rtl/>
        </w:rPr>
        <w:t xml:space="preserve">← بیان واقعه ← الواقعة الحقانية</w:t>
      </w:r>
    </w:p>
    <w:p>
      <w:pPr>
        <w:pStyle w:val="BookText"/>
      </w:pPr>
      <w:r>
        <w:rPr>
          <w:rFonts w:ascii="IRNazanin" w:hAnsi="IRNazanin" w:eastAsia="IRNazanin" w:cs="IRNazanin"/>
          <w:lang w:bidi="fa-IR"/>
          <w:color w:val="111111"/>
          <w:sz w:val="28"/>
          <w:szCs w:val="28"/>
          <w:rtl/>
        </w:rPr>
        <w:t xml:space="preserve">← بیان واقعه امیر تیمور ← واقعه امیر تیمور</w:t>
      </w:r>
    </w:p>
    <w:p>
      <w:pPr>
        <w:pStyle w:val="BookText"/>
      </w:pPr>
      <w:r>
        <w:rPr>
          <w:rFonts w:ascii="Amiri" w:hAnsi="Amiri" w:eastAsia="Amiri" w:cs="Amiri"/>
          <w:lang w:bidi="ar-SA"/>
          <w:color w:val="111111"/>
          <w:sz w:val="28"/>
          <w:szCs w:val="28"/>
          <w:rtl/>
        </w:rPr>
        <w:t xml:space="preserve">← البيان و الانشاء ← اساس الاقتباس</w:t>
      </w:r>
    </w:p>
    <w:p>
      <w:pPr>
        <w:pStyle w:val="Heading3"/>
      </w:pPr>
      <w:bookmarkStart w:id="1356" w:name="_Toc616"/>
      <w:r>
        <w:t>• البيان و التبیان / کیمیا / عربی</w:t>
      </w:r>
      <w:bookmarkEnd w:id="1356"/>
    </w:p>
    <w:p>
      <w:pPr>
        <w:pStyle w:val="BookText"/>
      </w:pPr>
      <w:r>
        <w:rPr>
          <w:rFonts w:ascii="Times New Roman" w:hAnsi="Times New Roman" w:eastAsia="Times New Roman" w:cs="Times New Roman"/>
          <w:lang w:val="en-US" w:bidi="en-US"/>
          <w:color w:val="111111"/>
          <w:sz w:val="28"/>
          <w:szCs w:val="28"/>
          <w:rtl/>
        </w:rPr>
        <w:t xml:space="preserve">al-bayān wa-t tibyān</w:t>
      </w:r>
    </w:p>
    <w:p>
      <w:pPr>
        <w:pStyle w:val="BookText"/>
      </w:pPr>
      <w:r>
        <w:rPr>
          <w:rFonts w:ascii="IRNazanin" w:hAnsi="IRNazanin" w:eastAsia="IRNazanin" w:cs="IRNazanin"/>
          <w:lang w:bidi="fa-IR"/>
          <w:color w:val="111111"/>
          <w:sz w:val="28"/>
          <w:szCs w:val="28"/>
          <w:rtl/>
        </w:rPr>
        <w:t xml:space="preserve">جابر بن حیان، ۱۲۰-۱۹۸ ؟ قمری</w:t>
      </w:r>
    </w:p>
    <w:p>
      <w:pPr>
        <w:pStyle w:val="BookText"/>
      </w:pPr>
      <w:r>
        <w:rPr>
          <w:rFonts w:ascii="Times New Roman" w:hAnsi="Times New Roman" w:eastAsia="Times New Roman" w:cs="Times New Roman"/>
          <w:lang w:val="en-US" w:bidi="en-US"/>
          <w:color w:val="111111"/>
          <w:sz w:val="28"/>
          <w:szCs w:val="28"/>
          <w:rtl/>
        </w:rPr>
        <w:t xml:space="preserve">jāber ebn-e hayyān (739-814)</w:t>
      </w:r>
    </w:p>
    <w:p>
      <w:pPr>
        <w:pStyle w:val="BookText"/>
      </w:pPr>
      <w:r>
        <w:rPr>
          <w:rFonts w:ascii="IRNazanin" w:hAnsi="IRNazanin" w:eastAsia="IRNazanin" w:cs="IRNazanin"/>
          <w:lang w:bidi="fa-IR"/>
          <w:color w:val="111111"/>
          <w:sz w:val="28"/>
          <w:szCs w:val="28"/>
          <w:rtl/>
        </w:rPr>
        <w:t xml:space="preserve">مقاله هفتادم از کتاب «السبعون» اوست. این کتاب غیر از کتاب «البيان» او می باشد که در ضمن مجموعه رساله های یازده گانه او چاپ شده است.</w:t>
      </w:r>
    </w:p>
    <w:p>
      <w:pPr>
        <w:pStyle w:val="BookText"/>
      </w:pPr>
      <w:r>
        <w:rPr>
          <w:rFonts w:ascii="IRNazanin" w:hAnsi="IRNazanin" w:eastAsia="IRNazanin" w:cs="IRNazanin"/>
          <w:lang w:bidi="fa-IR"/>
          <w:color w:val="111111"/>
          <w:sz w:val="28"/>
          <w:szCs w:val="28"/>
          <w:rtl/>
        </w:rPr>
        <w:t xml:space="preserve">آغاز: الحمد لله رب العالمین و صلی الله على سيدنا محمد و آله اجمعین قد سبق لنا هذا تسعة و ستون كتابة كل كتاب منها في فن من فنون الصناعة و نحن نذكر في كتابنا هذا و هو السبعون و هو تمام کتبنا هذه الأشياء من تفاسير التدابير المذكورة في كتابنا هذه فنبدء من ذلك بالحيوان</w:t>
      </w:r>
    </w:p>
    <w:p>
      <w:pPr>
        <w:pStyle w:val="BookText"/>
      </w:pPr>
      <w:r>
        <w:rPr>
          <w:rFonts w:ascii="IRNazanin" w:hAnsi="IRNazanin" w:eastAsia="IRNazanin" w:cs="IRNazanin"/>
          <w:lang w:bidi="fa-IR"/>
          <w:color w:val="111111"/>
          <w:sz w:val="28"/>
          <w:szCs w:val="28"/>
          <w:rtl/>
        </w:rPr>
        <w:t xml:space="preserve">[دنا ۴۸۱/۸ (کتاب البیان)؛ سزگین، تاریخ نگارشهای عربی ۴: ۲۸۲]</w:t>
      </w:r>
    </w:p>
    <w:p>
      <w:pPr>
        <w:pStyle w:val="BookText"/>
      </w:pPr>
      <w:r>
        <w:rPr>
          <w:rFonts w:ascii="IRNazanin" w:hAnsi="IRNazanin" w:eastAsia="IRNazanin" w:cs="IRNazanin"/>
          <w:lang w:bidi="fa-IR"/>
          <w:color w:val="111111"/>
          <w:sz w:val="28"/>
          <w:szCs w:val="28"/>
          <w:rtl/>
        </w:rPr>
        <w:t xml:space="preserve">۱. تهران؛ ملک؛ شماره نسخه: ۳۴۶۷/۵۳</w:t>
      </w:r>
    </w:p>
    <w:p>
      <w:pPr>
        <w:pStyle w:val="BookText"/>
      </w:pPr>
      <w:r>
        <w:rPr>
          <w:rFonts w:ascii="Amiri" w:hAnsi="Amiri" w:eastAsia="Amiri" w:cs="Amiri"/>
          <w:lang w:bidi="ar-SA"/>
          <w:color w:val="111111"/>
          <w:sz w:val="28"/>
          <w:szCs w:val="28"/>
          <w:rtl/>
        </w:rPr>
        <w:t xml:space="preserve">آغاز: برابر؛ انجام: اضفنا اليه امر الجنس الأخيرين ليستكمل</w:t>
      </w:r>
    </w:p>
    <w:p>
      <w:pPr>
        <w:pStyle w:val="BookText"/>
      </w:pPr>
      <w:r>
        <w:rPr>
          <w:rFonts w:ascii="IRNazanin" w:hAnsi="IRNazanin" w:eastAsia="IRNazanin" w:cs="IRNazanin"/>
          <w:lang w:bidi="fa-IR"/>
          <w:color w:val="111111"/>
          <w:sz w:val="28"/>
          <w:szCs w:val="28"/>
          <w:rtl/>
        </w:rPr>
        <w:t xml:space="preserve">خط: نستعلیق</w:t>
      </w:r>
    </w:p>
    <w:p>
      <w:pPr>
        <w:pStyle w:val="BookText"/>
      </w:pPr>
      <w:r>
        <w:rPr>
          <w:rFonts w:ascii="IRNazanin" w:hAnsi="IRNazanin" w:eastAsia="IRNazanin" w:cs="IRNazanin"/>
          <w:lang w:bidi="fa-IR"/>
          <w:color w:val="111111"/>
          <w:sz w:val="28"/>
          <w:szCs w:val="28"/>
          <w:rtl/>
        </w:rPr>
        <w:t xml:space="preserve">چلیپا، بی کا، تا: قرن ۱۱ کاغذ: ترمه، جلد: رویه میشن یک لا قرمز، ۳گ (۷۸ر-۸۰ر)، اندازه: ۲۳/۲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۱۵/۶ سم [ف: ۴۵۲-۶ ]</w:t>
      </w:r>
    </w:p>
    <w:p>
      <w:pPr>
        <w:pStyle w:val="BookText"/>
      </w:pPr>
      <w:r>
        <w:rPr>
          <w:rFonts w:ascii="IRNazanin" w:hAnsi="IRNazanin" w:eastAsia="IRNazanin" w:cs="IRNazanin"/>
          <w:lang w:bidi="fa-IR"/>
          <w:color w:val="111111"/>
          <w:sz w:val="28"/>
          <w:szCs w:val="28"/>
          <w:rtl/>
        </w:rPr>
        <w:t xml:space="preserve">۲. تهران؛ مجلس؛ شماره نسخه: ۹۰۱۱/۶۷</w:t>
      </w:r>
    </w:p>
    <w:p>
      <w:pPr>
        <w:pStyle w:val="BookText"/>
      </w:pPr>
      <w:r>
        <w:rPr>
          <w:rFonts w:ascii="IRNazanin" w:hAnsi="IRNazanin" w:eastAsia="IRNazanin" w:cs="IRNazanin"/>
          <w:lang w:bidi="fa-IR"/>
          <w:color w:val="111111"/>
          <w:sz w:val="28"/>
          <w:szCs w:val="28"/>
          <w:rtl/>
        </w:rPr>
        <w:t xml:space="preserve">آغاز: برابر؛ انجام: فعلى من هو اعلم منه بحفظ ما فيها من معنی م اعمل بما فيها فوالله لقد قربت ما فيها تقريبا كثيرة و ينبغي ان استاده بدرسة لها النصب بها بدرسه ما يجب ان شاء الله عزوجل. انجامه: تمت المقالة السبعون بحمدالله و نعمه و هي آخرها و صلی الله على سیدنا محمد نبيه و على آله و سلم تسليما كثيرا دائما ابدا في شهر صفر من سنة ۱۲۸۸. لعمرک آن جابر غير واو </w:t>
      </w:r>
      <w:r>
        <w:rPr>
          <w:rFonts w:ascii="Amiri" w:hAnsi="Amiri" w:eastAsia="Amiri" w:cs="Amiri"/>
          <w:lang w:bidi="ar-SA"/>
          <w:color w:val="111111"/>
          <w:sz w:val="28"/>
          <w:szCs w:val="28"/>
          <w:b w:val="1"/>
          <w:bCs w:val="1"/>
          <w:i w:val="1"/>
          <w:iCs w:val="1"/>
          <w:rtl/>
        </w:rPr>
        <w:t xml:space="preserve">باقول تبرهن للعقول /و اعمال مشرفة غوال</w:t>
      </w:r>
      <w:r>
        <w:rPr>
          <w:rFonts w:ascii="Amiri" w:hAnsi="Amiri" w:eastAsia="Amiri" w:cs="Amiri"/>
          <w:lang w:bidi="ar-SA"/>
          <w:color w:val="111111"/>
          <w:sz w:val="28"/>
          <w:szCs w:val="28"/>
          <w:rtl/>
        </w:rPr>
        <w:t xml:space="preserve">مصححة الرواية و النقول / فلم ينكر جلالتها لبله</w:t>
      </w:r>
      <w:r>
        <w:rPr>
          <w:rFonts w:ascii="IRNazanin" w:hAnsi="IRNazanin" w:eastAsia="IRNazanin" w:cs="IRNazanin"/>
          <w:lang w:bidi="fa-IR"/>
          <w:color w:val="111111"/>
          <w:sz w:val="28"/>
          <w:szCs w:val="28"/>
          <w:b w:val="1"/>
          <w:bCs w:val="1"/>
          <w:i w:val="1"/>
          <w:iCs w:val="1"/>
          <w:rtl/>
        </w:rPr>
        <w:t xml:space="preserve">سوی ذی ظلمة سفه جهول / و كيف يسوع دفع ضعيف رأى</w:t>
      </w:r>
      <w:r>
        <w:rPr>
          <w:rFonts w:ascii="Amiri" w:hAnsi="Amiri" w:eastAsia="Amiri" w:cs="Amiri"/>
          <w:lang w:bidi="ar-SA"/>
          <w:color w:val="111111"/>
          <w:sz w:val="28"/>
          <w:szCs w:val="28"/>
          <w:rtl/>
        </w:rPr>
        <w:t xml:space="preserve">و سبان الانام مع الكهول / نقول بان جابر نعم واو*** لما ملا الجبال مع السهول</w:t>
      </w:r>
    </w:p>
    <w:p>
      <w:pPr>
        <w:pStyle w:val="BookText"/>
      </w:pPr>
      <w:r>
        <w:rPr>
          <w:rFonts w:ascii="IRNazanin" w:hAnsi="IRNazanin" w:eastAsia="IRNazanin" w:cs="IRNazanin"/>
          <w:lang w:bidi="fa-IR"/>
          <w:color w:val="111111"/>
          <w:sz w:val="28"/>
          <w:szCs w:val="28"/>
          <w:rtl/>
        </w:rPr>
        <w:t xml:space="preserve">خط: نسخ، بی کا، تا: صفر ۱۲۸۸ق؛ کاغذ: فرنگی شکری آهار مهره، جلد: تیماج قهوه ای ضربی با ترنج و سرترنج، ۳گ ( ۱۵۳-۱۵۱ ر)، ۱۹ سطر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اندازه: ۲۲/۳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۱۳/۷ سم [ف: ۲۹/۲ -۶۲۰]</w:t>
      </w:r>
    </w:p>
    <w:p>
      <w:pPr>
        <w:pStyle w:val="Heading3"/>
      </w:pPr>
      <w:bookmarkStart w:id="1357" w:name="_Toc617"/>
      <w:r>
        <w:t>• البيان و التبیین / ادبیات عربی</w:t>
      </w:r>
      <w:bookmarkEnd w:id="1357"/>
    </w:p>
    <w:p>
      <w:pPr>
        <w:pStyle w:val="BookText"/>
      </w:pPr>
      <w:r>
        <w:rPr>
          <w:rFonts w:ascii="Times New Roman" w:hAnsi="Times New Roman" w:eastAsia="Times New Roman" w:cs="Times New Roman"/>
          <w:lang w:val="en-US" w:bidi="en-US"/>
          <w:color w:val="111111"/>
          <w:sz w:val="28"/>
          <w:szCs w:val="28"/>
          <w:rtl/>
        </w:rPr>
        <w:t xml:space="preserve">al-bayān wa-t tabyīn</w:t>
      </w:r>
    </w:p>
    <w:p>
      <w:pPr>
        <w:pStyle w:val="BookText"/>
      </w:pPr>
      <w:r>
        <w:rPr>
          <w:rFonts w:ascii="IRNazanin" w:hAnsi="IRNazanin" w:eastAsia="IRNazanin" w:cs="IRNazanin"/>
          <w:lang w:bidi="fa-IR"/>
          <w:color w:val="111111"/>
          <w:sz w:val="28"/>
          <w:szCs w:val="28"/>
          <w:rtl/>
        </w:rPr>
        <w:t xml:space="preserve">جاحظ، عمرو بن بحر، ۱۵۰-۲۵۵ قمری</w:t>
      </w:r>
    </w:p>
    <w:p>
      <w:pPr>
        <w:pStyle w:val="BookText"/>
      </w:pPr>
      <w:r>
        <w:rPr>
          <w:rFonts w:ascii="Times New Roman" w:hAnsi="Times New Roman" w:eastAsia="Times New Roman" w:cs="Times New Roman"/>
          <w:lang w:val="en-US" w:bidi="en-US"/>
          <w:color w:val="111111"/>
          <w:sz w:val="28"/>
          <w:szCs w:val="28"/>
          <w:rtl/>
        </w:rPr>
        <w:t xml:space="preserve">jāhez, ‘amr ebn-e bahr (768-780)</w:t>
      </w:r>
    </w:p>
    <w:p>
      <w:pPr>
        <w:pStyle w:val="BookText"/>
      </w:pPr>
      <w:r>
        <w:rPr>
          <w:rFonts w:ascii="IRNazanin" w:hAnsi="IRNazanin" w:eastAsia="IRNazanin" w:cs="IRNazanin"/>
          <w:lang w:bidi="fa-IR"/>
          <w:color w:val="111111"/>
          <w:sz w:val="28"/>
          <w:szCs w:val="28"/>
          <w:rtl/>
        </w:rPr>
        <w:t xml:space="preserve">چاپ: طبع مع شرح غریب الفاظه لحسن الفاكهاني والشيخ الزهرى الغمراوی، جزء1، المطبوعات العلميه، ۱۳۱۱ق، وجزء ۲، ۱۳۱۲ و ۱۳۱۳ق. الأوقاف العامة موصل ۲۳۸/۲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 ۵۵۱-في</w:t>
      </w:r>
    </w:p>
    <w:p>
      <w:pPr>
        <w:pStyle w:val="BookText"/>
      </w:pPr>
      <w:r>
        <w:rPr>
          <w:rFonts w:ascii="IRNazanin" w:hAnsi="IRNazanin" w:eastAsia="IRNazanin" w:cs="IRNazanin"/>
          <w:lang w:bidi="fa-IR"/>
          <w:color w:val="111111"/>
          <w:sz w:val="28"/>
          <w:szCs w:val="28"/>
          <w:rtl/>
        </w:rPr>
        <w:t xml:space="preserve">نسخه اصل: اسعد افندی ش ۳۸۸۳؛ خط: نسخ، كا: حيدرة حسن دمشقی سراج، تا: ربيع الثانی ۴۵۳ق؛ ۱۲۷گ، ۱۵ سطر [فیلمها ف: نادا ۲۹۲-۱]</w:t>
      </w:r>
    </w:p>
    <w:p>
      <w:pPr>
        <w:pStyle w:val="BookText"/>
      </w:pPr>
      <w:r>
        <w:rPr>
          <w:rFonts w:ascii="IRNazanin" w:hAnsi="IRNazanin" w:eastAsia="IRNazanin" w:cs="IRNazanin"/>
          <w:lang w:bidi="fa-IR"/>
          <w:color w:val="111111"/>
          <w:sz w:val="28"/>
          <w:szCs w:val="28"/>
          <w:rtl/>
        </w:rPr>
        <w:t xml:space="preserve">۲. تهران؛ مجلس؛ شماره نسخه: ۸۹۳۲/۲۷</w:t>
      </w:r>
    </w:p>
    <w:p>
      <w:pPr>
        <w:pStyle w:val="BookText"/>
      </w:pPr>
      <w:r>
        <w:rPr>
          <w:rFonts w:ascii="IRNazanin" w:hAnsi="IRNazanin" w:eastAsia="IRNazanin" w:cs="IRNazanin"/>
          <w:lang w:bidi="fa-IR"/>
          <w:color w:val="111111"/>
          <w:sz w:val="28"/>
          <w:szCs w:val="28"/>
          <w:rtl/>
        </w:rPr>
        <w:t xml:space="preserve">منتخب البيان و التبيين. شامل ابیاتی که عبدالله بن کثیر سهمی و خالد بن عبدالله قسری از امیر المؤمنین شنیده بودند؛ خط: نسخ تحریری، كا: محمد بن علی بن حسن جباعی، تا: شنبه ۱۸ شوال ۸۵۲ق؛ در حاشیه آن نوشته شده: «بخط ابن مکی حاشية»؛ کاغذ: نخودی آهار مهره، جلد: میشن بنفش، اص (۷۴)، اندازه: ۱۸/۲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۲۸سم [ف: ۲۹/۱ -۳۸۵]</w:t>
      </w:r>
    </w:p>
    <w:p>
      <w:pPr>
        <w:pStyle w:val="Heading3"/>
      </w:pPr>
      <w:bookmarkStart w:id="1358" w:name="_Toc618"/>
      <w:r>
        <w:t>• البيان و التبيين = حل شکوک الرازی علی کتب جالینوس / طب / عربی</w:t>
      </w:r>
      <w:bookmarkEnd w:id="1358"/>
    </w:p>
    <w:p>
      <w:pPr>
        <w:pStyle w:val="BookText"/>
      </w:pPr>
      <w:r>
        <w:rPr>
          <w:rFonts w:ascii="Times New Roman" w:hAnsi="Times New Roman" w:eastAsia="Times New Roman" w:cs="Times New Roman"/>
          <w:lang w:val="en-US" w:bidi="en-US"/>
          <w:color w:val="111111"/>
          <w:sz w:val="28"/>
          <w:szCs w:val="28"/>
          <w:rtl/>
        </w:rPr>
        <w:t xml:space="preserve">al-bayān wa-t tabyīn = ħall-u šukūk-ir rāzī ‘alā kutub-i jālīnūs</w:t>
      </w:r>
    </w:p>
    <w:p>
      <w:pPr>
        <w:pStyle w:val="BookText"/>
      </w:pPr>
      <w:r>
        <w:rPr>
          <w:rFonts w:ascii="IRNazanin" w:hAnsi="IRNazanin" w:eastAsia="IRNazanin" w:cs="IRNazanin"/>
          <w:lang w:bidi="fa-IR"/>
          <w:color w:val="111111"/>
          <w:sz w:val="28"/>
          <w:szCs w:val="28"/>
          <w:rtl/>
        </w:rPr>
        <w:t xml:space="preserve">زهر الايادی، زهر بن عبدالملک، ۵۲۵ قمری</w:t>
      </w:r>
    </w:p>
    <w:p>
      <w:pPr>
        <w:pStyle w:val="BookText"/>
      </w:pPr>
      <w:r>
        <w:rPr>
          <w:rFonts w:ascii="Times New Roman" w:hAnsi="Times New Roman" w:eastAsia="Times New Roman" w:cs="Times New Roman"/>
          <w:lang w:val="en-US" w:bidi="en-US"/>
          <w:color w:val="111111"/>
          <w:sz w:val="28"/>
          <w:szCs w:val="28"/>
          <w:rtl/>
        </w:rPr>
        <w:t xml:space="preserve">zahr-ol-ayādī, zahr ebn-e 'abd-ol-malek (- 1132)</w:t>
      </w:r>
    </w:p>
    <w:p>
      <w:pPr>
        <w:pStyle w:val="BookText"/>
      </w:pPr>
      <w:r>
        <w:rPr>
          <w:rFonts w:ascii="IRNazanin" w:hAnsi="IRNazanin" w:eastAsia="IRNazanin" w:cs="IRNazanin"/>
          <w:lang w:bidi="fa-IR"/>
          <w:color w:val="111111"/>
          <w:sz w:val="28"/>
          <w:szCs w:val="28"/>
          <w:rtl/>
        </w:rPr>
        <w:t xml:space="preserve">وابسته به: الشكوك على جالینوس؛ رازی، محمد بن زکریا (۳۱۳۲۵۱ق)</w:t>
      </w:r>
    </w:p>
    <w:p>
      <w:pPr>
        <w:pStyle w:val="BookText"/>
      </w:pPr>
      <w:r>
        <w:rPr>
          <w:rFonts w:ascii="IRNazanin" w:hAnsi="IRNazanin" w:eastAsia="IRNazanin" w:cs="IRNazanin"/>
          <w:lang w:bidi="fa-IR"/>
          <w:color w:val="111111"/>
          <w:sz w:val="28"/>
          <w:szCs w:val="28"/>
          <w:rtl/>
        </w:rPr>
        <w:t xml:space="preserve">در میان تألیفات عدیده محمد بن زکریا رازی کتابی وجود دارد موسوم به «شکوک»، که موضوع آن اساس، اختصاص دارد به ذکر خطاها و تناقضات اقوال و آراء جالینوس طبیب در خصوص مباحث و مسائل مربوط به طب و فلسفه و الهیات و علوم طبیعی که بعدها یکی از مشاهیر علما و اطبای اندلس دفع و حل همه این شکوک را بر کتب جالينوس به عهده گرفت و کتاب خاص مستقلی در رد آن تأليف کرد که معروف است به حل شکوک رازی. در مقدمه این کتاب ابوالعلا می گوید که من مصنفات رازی را که همگی حاکی از وفور علم و قوت فهم و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00" w:name="pg20363_209438"/>
    <w:bookmarkEnd w:id="200"/>
    <w:p>
      <w:pPr>
        <w:pStyle w:val="BookText"/>
      </w:pPr>
      <w:r>
        <w:rPr>
          <w:rFonts w:ascii="IRNazanin" w:hAnsi="IRNazanin" w:eastAsia="IRNazanin" w:cs="IRNazanin"/>
          <w:lang w:bidi="fa-IR"/>
          <w:color w:val="111111"/>
          <w:sz w:val="28"/>
          <w:szCs w:val="28"/>
          <w:rtl/>
        </w:rPr>
        <w:t xml:space="preserve">کثرت مطالعه او در خصوص مسائل و مباحث فلسفی و علمی است دیده ام اما این کتاب را که سراسر مملو از افک و سفسطه و قول زور است ابدا گمان نمی کنم ریخته قلم او باشد و ظن غالب من آن است که به قلم یکی از سوفسطائیه است که خواسته است با انتساب آن به رازی او را در بین مردم بی اعتبار کند (به همین جهت اقوال او را در همه مواضيع با «قال السوفسطائی» نقل می کند) و مؤید بر صحت ظن من همانا اظهار شکر و قدردانی او نسبت به جالینوس است در مفتتح کتاب که با سایر مطالب آن که همگی طعن و اعتراض و رد بر او و تخطئه اوست ابدا نمی سازد و به فرض قبول صحت انتساب آن به رازی باید چنین فرض کرد که او لابد این کتاب را یا تألیف کرده که هنوز به غور مطالب کتب جالينوس و دقائق و رموز علم منطق که في الواقع میزان معانی و ممیز متقاصر از متناصر است نرسیده و یا این که موقعی دست به تأليف آن زده که از علم طب به صناعت کیمیا توجه نموده و به سبب تأثير روایح زرنیخ و کبریت و این قبیل مواد در مغز و دماغ او فسادی و خللی راه یافته بوده است و پس از تمهید این مقدمه منتهی قدری مفصل تر شروع می کند به شرح و بسط تمام به نقل یکایک اقوال سوفسطائی معترض تحت عنوان «مسئله» و رد و نقض و نقد آنها ذیل عبارت «قال ابو العلا بن زهر» در دو سفر به قرار تفصیل ذیل: سفر اول مشتمل بر شکوک کتاب البرهان در دوازده مسئله، منافع الاعضا ایضا در دوازده مسئله، آراء بقراط و افلاطون در پنج مسئله، القوى الطبيعية در هشت مسئله، الأسطقسات و طبيعة الانسان در دو مسئله، کتاب المزاج در دو مسئله؛ سفر دوم شامل شکوک ادویه مفرده در پانزده مسئله، کتاب الميامر در دو مسئله، کتاب قاطاجانس در یک مسئله، کتاب حيلة البرء در دو مسئله، کتاب اعضاء الالمة در بیست و یک مسئله، کتاب العلل و الاعراض در یک مسئله، کتاب البحران در دو مسئله، کتاب الصناعة الصغيرة در یک مسئله، کتاب تدبير الأصحاء در دو مسئله، کتاب اغلوقن در سه مسئله، کتاب الذبول در چهار مسئله، کتاب المرة السودا در یک مسئله، کتاب حركات العضل در یک مسئله، كتاب في أن قوى النفس تابعة لمزاج البدن در سه مسئله، کتاب المنی در چهار مسئله، کتاب الاغذية در یک مسئله، کتاب الفصول در ۳ مسئله. (غلامعلی عرفانیان)</w:t>
      </w:r>
    </w:p>
    <w:p>
      <w:pPr>
        <w:pStyle w:val="BookText"/>
      </w:pPr>
      <w:r>
        <w:rPr>
          <w:rFonts w:ascii="IRNazanin" w:hAnsi="IRNazanin" w:eastAsia="IRNazanin" w:cs="IRNazanin"/>
          <w:lang w:bidi="fa-IR"/>
          <w:color w:val="111111"/>
          <w:sz w:val="28"/>
          <w:szCs w:val="28"/>
          <w:rtl/>
        </w:rPr>
        <w:t xml:space="preserve">[دنا ۵۹۱/۲ ؛ بروکلمان ۴۸۶/۱ و ذیل ۸۸۹/۱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 ۱۳۹۹۷</w:t>
      </w:r>
    </w:p>
    <w:p>
      <w:pPr>
        <w:pStyle w:val="BookText"/>
      </w:pPr>
      <w:r>
        <w:rPr>
          <w:rFonts w:ascii="IRNazanin" w:hAnsi="IRNazanin" w:eastAsia="IRNazanin" w:cs="IRNazanin"/>
          <w:lang w:bidi="fa-IR"/>
          <w:color w:val="111111"/>
          <w:sz w:val="28"/>
          <w:szCs w:val="28"/>
          <w:rtl/>
        </w:rPr>
        <w:t xml:space="preserve">خط: نسخ، بی کا، تا: اواخر قرن ۶ کاغذ: سمرقندی، جلد: تیماج مشکی دورو با ترنج و حاشیه ضربی، ۷۹گ، ۲۹ 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۱۹-۱۶۷]</w:t>
      </w:r>
    </w:p>
    <w:p>
      <w:pPr>
        <w:pStyle w:val="BookText"/>
      </w:pPr>
      <w:r>
        <w:rPr>
          <w:rFonts w:ascii="IRNazanin" w:hAnsi="IRNazanin" w:eastAsia="IRNazanin" w:cs="IRNazanin"/>
          <w:lang w:bidi="fa-IR"/>
          <w:color w:val="111111"/>
          <w:sz w:val="28"/>
          <w:szCs w:val="28"/>
          <w:rtl/>
        </w:rPr>
        <w:t xml:space="preserve">٢. مشهد؛ رضوی؛ شماره نسخه: ۱۳۹۹۸</w:t>
      </w:r>
    </w:p>
    <w:p>
      <w:pPr>
        <w:pStyle w:val="BookText"/>
      </w:pPr>
      <w:r>
        <w:rPr>
          <w:rFonts w:ascii="IRNazanin" w:hAnsi="IRNazanin" w:eastAsia="IRNazanin" w:cs="IRNazanin"/>
          <w:lang w:bidi="fa-IR"/>
          <w:color w:val="111111"/>
          <w:sz w:val="28"/>
          <w:szCs w:val="28"/>
          <w:rtl/>
        </w:rPr>
        <w:t xml:space="preserve">آغاز: بسمله الحمدلله الذي أتقن كل شئی؛ انجام: و احسانا الينا خط: نسخ، بی کا، تا: قرن ۷ كاغذ: نخودی، جلد: تیماج، ۲۹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[الفبائی: 93]</w:t>
      </w:r>
    </w:p>
    <w:p>
      <w:pPr>
        <w:pStyle w:val="BookText"/>
      </w:pPr>
      <w:r>
        <w:rPr>
          <w:rFonts w:ascii="IRNazanin" w:hAnsi="IRNazanin" w:eastAsia="IRNazanin" w:cs="IRNazanin"/>
          <w:lang w:bidi="fa-IR"/>
          <w:color w:val="111111"/>
          <w:sz w:val="28"/>
          <w:szCs w:val="28"/>
          <w:rtl/>
        </w:rPr>
        <w:t xml:space="preserve">٣. تهران، دانشگاه؛ شماره نسخه: ۳۲۶۹-ف</w:t>
      </w:r>
    </w:p>
    <w:p>
      <w:pPr>
        <w:pStyle w:val="BookText"/>
      </w:pPr>
      <w:r>
        <w:rPr>
          <w:rFonts w:ascii="IRNazanin" w:hAnsi="IRNazanin" w:eastAsia="IRNazanin" w:cs="IRNazanin"/>
          <w:lang w:bidi="fa-IR"/>
          <w:color w:val="111111"/>
          <w:sz w:val="28"/>
          <w:szCs w:val="28"/>
          <w:rtl/>
        </w:rPr>
        <w:t xml:space="preserve">نسخه اصل: نواب ش ۷ طب (فاضليه ص ۲۳۸)؛ خط: نسخ کهن، بی کا، بی تا، در ص ع آمده: «شرح شکوک الرازي على السته عشر لجالینوس تصنیف ابوالعلاء ابن رهر» و «كتاب الانتصار الجالینوس تصنیف ابوالعلاء بن زهر على ما أخذ عليه في جميع كتبه» و «داخل عرض كتابخانه مدرسه فاضل خان شد به تاریخ شهر شوال ۱۲۷۳»، «به تاریخ دهم شهر ذی قعده سنة ۱۰۸۷ عرض دیده شد»؛ مهر: صديق الملک، جبرئیل ۱۰۵۳، محمد عقیلی، عبدالمنعم بن عبد القاهر بن ابی الاسرائيلي المتطبب يبق بالله عزوجل»؛ تملك: محمد بن على متطبب در شیراز، عرض سال ۱۲ با مهر محمد تقی و نام شرف متطبب و اینکه کتاب از حکیم جبرئیل بوده و تحویل شاه محمد شده و در ۲۸ رمضان 38؛ کاغذ: سفید، جلد داخل سختیان سیاه، ۷۹گ، ۲۹ سطر، قطع: وزیری</w:t>
      </w:r>
    </w:p>
    <w:p>
      <w:pPr>
        <w:pStyle w:val="BookText"/>
      </w:pPr>
      <w:r>
        <w:rPr>
          <w:rFonts w:ascii="Amiri" w:hAnsi="Amiri" w:eastAsia="Amiri" w:cs="Amiri"/>
          <w:lang w:bidi="ar-SA"/>
          <w:color w:val="111111"/>
          <w:sz w:val="28"/>
          <w:szCs w:val="28"/>
          <w:rtl/>
        </w:rPr>
        <w:t xml:space="preserve">[فيلمها ف: ۲-۱۱۱]</w:t>
      </w:r>
    </w:p>
    <w:p>
      <w:pPr>
        <w:pStyle w:val="Heading3"/>
      </w:pPr>
      <w:bookmarkStart w:id="1359" w:name="_Toc619"/>
      <w:r>
        <w:t>• بیان و بدیع / معانی بیان / فارسی</w:t>
      </w:r>
      <w:bookmarkEnd w:id="1359"/>
    </w:p>
    <w:p>
      <w:pPr>
        <w:pStyle w:val="BookText"/>
      </w:pPr>
      <w:r>
        <w:rPr>
          <w:rFonts w:ascii="Times New Roman" w:hAnsi="Times New Roman" w:eastAsia="Times New Roman" w:cs="Times New Roman"/>
          <w:lang w:val="en-US" w:bidi="en-US"/>
          <w:color w:val="111111"/>
          <w:sz w:val="28"/>
          <w:szCs w:val="28"/>
          <w:rtl/>
        </w:rPr>
        <w:t xml:space="preserve">bayān va badī</w:t>
      </w:r>
    </w:p>
    <w:p>
      <w:pPr>
        <w:pStyle w:val="BookText"/>
      </w:pPr>
      <w:r>
        <w:rPr>
          <w:rFonts w:ascii="IRNazanin" w:hAnsi="IRNazanin" w:eastAsia="IRNazanin" w:cs="IRNazanin"/>
          <w:lang w:bidi="fa-IR"/>
          <w:color w:val="111111"/>
          <w:sz w:val="28"/>
          <w:szCs w:val="28"/>
          <w:rtl/>
        </w:rPr>
        <w:t xml:space="preserve">تهران؛ ملی؛ شماره نسخه: ۱۸۵۳۱</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اندازه: ۳۱/۲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سم [رایانه]</w:t>
      </w:r>
    </w:p>
    <w:p>
      <w:pPr>
        <w:pStyle w:val="Heading3"/>
      </w:pPr>
      <w:bookmarkStart w:id="1360" w:name="_Toc620"/>
      <w:r>
        <w:t>• بیان وجود / عرفان و تصوف / عربی</w:t>
      </w:r>
      <w:bookmarkEnd w:id="1360"/>
    </w:p>
    <w:p>
      <w:pPr>
        <w:pStyle w:val="BookText"/>
      </w:pPr>
      <w:r>
        <w:rPr>
          <w:rFonts w:ascii="Times New Roman" w:hAnsi="Times New Roman" w:eastAsia="Times New Roman" w:cs="Times New Roman"/>
          <w:lang w:val="en-US" w:bidi="en-US"/>
          <w:color w:val="111111"/>
          <w:sz w:val="28"/>
          <w:szCs w:val="28"/>
          <w:rtl/>
        </w:rPr>
        <w:t xml:space="preserve">bayān-e vojūd</w:t>
      </w:r>
    </w:p>
    <w:p>
      <w:pPr>
        <w:pStyle w:val="BookText"/>
      </w:pPr>
      <w:r>
        <w:rPr>
          <w:rFonts w:ascii="IRNazanin" w:hAnsi="IRNazanin" w:eastAsia="IRNazanin" w:cs="IRNazanin"/>
          <w:lang w:bidi="fa-IR"/>
          <w:color w:val="111111"/>
          <w:sz w:val="28"/>
          <w:szCs w:val="28"/>
          <w:rtl/>
        </w:rPr>
        <w:t xml:space="preserve">قمشه ای، محمد رضا بن ابوالقاسم، ۱۲۴۱-۱۳۰۶ قمری</w:t>
      </w:r>
    </w:p>
    <w:p>
      <w:pPr>
        <w:pStyle w:val="BookText"/>
      </w:pPr>
      <w:r>
        <w:rPr>
          <w:rFonts w:ascii="Times New Roman" w:hAnsi="Times New Roman" w:eastAsia="Times New Roman" w:cs="Times New Roman"/>
          <w:lang w:val="en-US" w:bidi="en-US"/>
          <w:color w:val="111111"/>
          <w:sz w:val="28"/>
          <w:szCs w:val="28"/>
          <w:rtl/>
        </w:rPr>
        <w:t xml:space="preserve">qomše-ī, mohammad rezā ebn-e ab-ol-qāsem (1826 1889)</w:t>
      </w:r>
    </w:p>
    <w:p>
      <w:pPr>
        <w:pStyle w:val="BookText"/>
      </w:pPr>
      <w:r>
        <w:rPr>
          <w:rFonts w:ascii="IRNazanin" w:hAnsi="IRNazanin" w:eastAsia="IRNazanin" w:cs="IRNazanin"/>
          <w:lang w:bidi="fa-IR"/>
          <w:color w:val="111111"/>
          <w:sz w:val="28"/>
          <w:szCs w:val="28"/>
          <w:rtl/>
        </w:rPr>
        <w:t xml:space="preserve">تهران؛ دانشگاه؛ شماره نسخه: ۲۹۸۶/۲۵ ف</w:t>
      </w:r>
    </w:p>
    <w:p>
      <w:pPr>
        <w:pStyle w:val="BookText"/>
      </w:pPr>
      <w:r>
        <w:rPr>
          <w:rFonts w:ascii="IRNazanin" w:hAnsi="IRNazanin" w:eastAsia="IRNazanin" w:cs="IRNazanin"/>
          <w:lang w:bidi="fa-IR"/>
          <w:color w:val="111111"/>
          <w:sz w:val="28"/>
          <w:szCs w:val="28"/>
          <w:rtl/>
        </w:rPr>
        <w:t xml:space="preserve">نسخه اصل: نسخه آقای شیخ آقا بزرگ تهرانی؛ بی کا، تا: با تاریخ ۱۳۵۰ق؛ ۲ ص (۲۰۰-۲۰۱)، قطع: ربعی [فیلمها ف: ۱-۷۵۲]</w:t>
      </w:r>
    </w:p>
    <w:p>
      <w:pPr>
        <w:pStyle w:val="Heading3"/>
      </w:pPr>
      <w:bookmarkStart w:id="1361" w:name="_Toc621"/>
      <w:r>
        <w:t>• بیان و عیان / عرفان و تصوف / فارسی</w:t>
      </w:r>
      <w:bookmarkEnd w:id="1361"/>
    </w:p>
    <w:p>
      <w:pPr>
        <w:pStyle w:val="BookText"/>
      </w:pPr>
      <w:r>
        <w:rPr>
          <w:rFonts w:ascii="Times New Roman" w:hAnsi="Times New Roman" w:eastAsia="Times New Roman" w:cs="Times New Roman"/>
          <w:lang w:val="en-US" w:bidi="en-US"/>
          <w:color w:val="111111"/>
          <w:sz w:val="28"/>
          <w:szCs w:val="28"/>
          <w:rtl/>
        </w:rPr>
        <w:t xml:space="preserve">bayān va ‘ayān</w:t>
      </w:r>
    </w:p>
    <w:p>
      <w:pPr>
        <w:pStyle w:val="BookText"/>
      </w:pPr>
      <w:r>
        <w:rPr>
          <w:rFonts w:ascii="IRNazanin" w:hAnsi="IRNazanin" w:eastAsia="IRNazanin" w:cs="IRNazanin"/>
          <w:lang w:bidi="fa-IR"/>
          <w:color w:val="111111"/>
          <w:sz w:val="28"/>
          <w:szCs w:val="28"/>
          <w:rtl/>
        </w:rPr>
        <w:t xml:space="preserve">مشتمل بر پنج «لوح» در معرفت حق تعالی.</w:t>
      </w:r>
    </w:p>
    <w:p>
      <w:pPr>
        <w:pStyle w:val="BookText"/>
      </w:pPr>
      <w:r>
        <w:rPr>
          <w:rFonts w:ascii="IRNazanin" w:hAnsi="IRNazanin" w:eastAsia="IRNazanin" w:cs="IRNazanin"/>
          <w:lang w:bidi="fa-IR"/>
          <w:color w:val="111111"/>
          <w:sz w:val="28"/>
          <w:szCs w:val="28"/>
          <w:rtl/>
        </w:rPr>
        <w:t xml:space="preserve">تهران؛ مجلس؛ شماره نسخه: ۶۳۱/۱۵</w:t>
      </w:r>
    </w:p>
    <w:p>
      <w:pPr>
        <w:pStyle w:val="BookText"/>
      </w:pPr>
      <w:r>
        <w:rPr>
          <w:rFonts w:ascii="IRNazanin" w:hAnsi="IRNazanin" w:eastAsia="IRNazanin" w:cs="IRNazanin"/>
          <w:lang w:bidi="fa-IR"/>
          <w:color w:val="111111"/>
          <w:sz w:val="28"/>
          <w:szCs w:val="28"/>
          <w:rtl/>
        </w:rPr>
        <w:t xml:space="preserve">آغاز: سپاس بی قیاس معبود مطلق راست خط: نستعلیق، بی کا، تا: ۱۲۶۸ق؛ کاغذ: الوان، ۱۵ سطر، قطع: وزیری،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۲-۳۹۳]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01" w:name="pg20363_209439"/>
    <w:bookmarkEnd w:id="201"/>
    <w:p>
      <w:pPr>
        <w:pStyle w:val="BookText"/>
      </w:pPr>
      <w:r>
        <w:rPr>
          <w:rFonts w:ascii="IRNazanin" w:hAnsi="IRNazanin" w:eastAsia="IRNazanin" w:cs="IRNazanin"/>
          <w:lang w:bidi="fa-IR"/>
          <w:color w:val="111111"/>
          <w:sz w:val="28"/>
          <w:szCs w:val="28"/>
          <w:rtl/>
        </w:rPr>
        <w:t xml:space="preserve">← البيان الهادي الى حال المهدی (مختصر) ← رسالة البيان الهادي الى حال المهدی</w:t>
      </w:r>
    </w:p>
    <w:p>
      <w:pPr>
        <w:pStyle w:val="BookText"/>
      </w:pPr>
      <w:r>
        <w:rPr>
          <w:rFonts w:ascii="IRNazanin" w:hAnsi="IRNazanin" w:eastAsia="IRNazanin" w:cs="IRNazanin"/>
          <w:lang w:bidi="fa-IR"/>
          <w:color w:val="111111"/>
          <w:sz w:val="28"/>
          <w:szCs w:val="28"/>
          <w:rtl/>
        </w:rPr>
        <w:t xml:space="preserve">(مختصر)</w:t>
      </w:r>
    </w:p>
    <w:p>
      <w:pPr>
        <w:pStyle w:val="Heading3"/>
      </w:pPr>
      <w:bookmarkStart w:id="1362" w:name="_Toc622"/>
      <w:r>
        <w:t>• بیانی در باره شیخ عبد الغفار عرفان و تصوف، تراجم /فارسی</w:t>
      </w:r>
      <w:bookmarkEnd w:id="1362"/>
    </w:p>
    <w:p>
      <w:pPr>
        <w:pStyle w:val="BookText"/>
      </w:pPr>
      <w:r>
        <w:rPr>
          <w:rFonts w:ascii="Times New Roman" w:hAnsi="Times New Roman" w:eastAsia="Times New Roman" w:cs="Times New Roman"/>
          <w:lang w:val="en-US" w:bidi="en-US"/>
          <w:color w:val="111111"/>
          <w:sz w:val="28"/>
          <w:szCs w:val="28"/>
          <w:rtl/>
        </w:rPr>
        <w:t xml:space="preserve">bayānī darbāre-ye šeyx ‘abd-ol-qaffar</w:t>
      </w:r>
    </w:p>
    <w:p>
      <w:pPr>
        <w:pStyle w:val="BookText"/>
      </w:pPr>
      <w:r>
        <w:rPr>
          <w:rFonts w:ascii="IRNazanin" w:hAnsi="IRNazanin" w:eastAsia="IRNazanin" w:cs="IRNazanin"/>
          <w:lang w:bidi="fa-IR"/>
          <w:color w:val="111111"/>
          <w:sz w:val="28"/>
          <w:szCs w:val="28"/>
          <w:rtl/>
        </w:rPr>
        <w:t xml:space="preserve">اشقری، تاج الدین محمود</w:t>
      </w:r>
    </w:p>
    <w:p>
      <w:pPr>
        <w:pStyle w:val="BookText"/>
      </w:pPr>
      <w:r>
        <w:rPr>
          <w:rFonts w:ascii="Times New Roman" w:hAnsi="Times New Roman" w:eastAsia="Times New Roman" w:cs="Times New Roman"/>
          <w:lang w:val="en-US" w:bidi="en-US"/>
          <w:color w:val="111111"/>
          <w:sz w:val="28"/>
          <w:szCs w:val="28"/>
          <w:rtl/>
        </w:rPr>
        <w:t xml:space="preserve">ašqarī, tāj-od-dīn mahmūd</w:t>
      </w:r>
    </w:p>
    <w:p>
      <w:pPr>
        <w:pStyle w:val="BookText"/>
      </w:pPr>
      <w:r>
        <w:rPr>
          <w:rFonts w:ascii="IRNazanin" w:hAnsi="IRNazanin" w:eastAsia="IRNazanin" w:cs="IRNazanin"/>
          <w:lang w:bidi="fa-IR"/>
          <w:color w:val="111111"/>
          <w:sz w:val="28"/>
          <w:szCs w:val="28"/>
          <w:rtl/>
        </w:rPr>
        <w:t xml:space="preserve">تهران؛ ملک؛ شماره نسخه: ۴۰۵۷/۶۷</w:t>
      </w:r>
    </w:p>
    <w:p>
      <w:pPr>
        <w:pStyle w:val="BookText"/>
      </w:pPr>
      <w:r>
        <w:rPr>
          <w:rFonts w:ascii="IRNazanin" w:hAnsi="IRNazanin" w:eastAsia="IRNazanin" w:cs="IRNazanin"/>
          <w:lang w:bidi="fa-IR"/>
          <w:color w:val="111111"/>
          <w:sz w:val="28"/>
          <w:szCs w:val="28"/>
          <w:rtl/>
        </w:rPr>
        <w:t xml:space="preserve">خط: شکسته نستعلیق، کا: محمد زمان بن کلبعلی متطبب خراسانی، تا: قرن ۱۳ [ف: ۷-۱۸۸]</w:t>
      </w:r>
    </w:p>
    <w:p>
      <w:pPr>
        <w:pStyle w:val="Heading3"/>
      </w:pPr>
      <w:bookmarkStart w:id="1363" w:name="_Toc623"/>
      <w:r>
        <w:t>•بیانیه / فلسفه / فارسی</w:t>
      </w:r>
      <w:bookmarkEnd w:id="1363"/>
    </w:p>
    <w:p>
      <w:pPr>
        <w:pStyle w:val="BookText"/>
      </w:pPr>
      <w:r>
        <w:rPr>
          <w:rFonts w:ascii="Times New Roman" w:hAnsi="Times New Roman" w:eastAsia="Times New Roman" w:cs="Times New Roman"/>
          <w:lang w:val="en-US" w:bidi="en-US"/>
          <w:color w:val="111111"/>
          <w:sz w:val="28"/>
          <w:szCs w:val="28"/>
          <w:rtl/>
        </w:rPr>
        <w:t xml:space="preserve">bayānīye</w:t>
      </w:r>
    </w:p>
    <w:p>
      <w:pPr>
        <w:pStyle w:val="BookText"/>
      </w:pPr>
      <w:r>
        <w:rPr>
          <w:rFonts w:ascii="IRNazanin" w:hAnsi="IRNazanin" w:eastAsia="IRNazanin" w:cs="IRNazanin"/>
          <w:lang w:bidi="fa-IR"/>
          <w:color w:val="111111"/>
          <w:sz w:val="28"/>
          <w:szCs w:val="28"/>
          <w:rtl/>
        </w:rPr>
        <w:t xml:space="preserve">کرمانی، محمد حسین بن محمد صادق، ق۱۳ قمری</w:t>
      </w:r>
    </w:p>
    <w:p>
      <w:pPr>
        <w:pStyle w:val="BookText"/>
      </w:pPr>
      <w:r>
        <w:rPr>
          <w:rFonts w:ascii="Times New Roman" w:hAnsi="Times New Roman" w:eastAsia="Times New Roman" w:cs="Times New Roman"/>
          <w:lang w:val="en-US" w:bidi="en-US"/>
          <w:color w:val="111111"/>
          <w:sz w:val="28"/>
          <w:szCs w:val="28"/>
          <w:rtl/>
        </w:rPr>
        <w:t xml:space="preserve">kermānī, mohammad hoseyn ebn-e mohammad sādeq (- 19c)</w:t>
      </w:r>
    </w:p>
    <w:p>
      <w:pPr>
        <w:pStyle w:val="BookText"/>
      </w:pPr>
      <w:r>
        <w:rPr>
          <w:rFonts w:ascii="IRNazanin" w:hAnsi="IRNazanin" w:eastAsia="IRNazanin" w:cs="IRNazanin"/>
          <w:lang w:bidi="fa-IR"/>
          <w:color w:val="111111"/>
          <w:sz w:val="28"/>
          <w:szCs w:val="28"/>
          <w:rtl/>
        </w:rPr>
        <w:t xml:space="preserve">تاریخ تأليف: ۱۲۷۹ق</w:t>
      </w:r>
    </w:p>
    <w:p>
      <w:pPr>
        <w:pStyle w:val="BookText"/>
      </w:pPr>
      <w:r>
        <w:rPr>
          <w:rFonts w:ascii="IRNazanin" w:hAnsi="IRNazanin" w:eastAsia="IRNazanin" w:cs="IRNazanin"/>
          <w:lang w:bidi="fa-IR"/>
          <w:color w:val="111111"/>
          <w:sz w:val="28"/>
          <w:szCs w:val="28"/>
          <w:rtl/>
        </w:rPr>
        <w:t xml:space="preserve">نام رساله و نگارنده (بی نسبت) و تاریخ نگارش در انجامه آمده است. در دیباچه می گوید: در مجلس حاج میرزا قاسم خان، در کرمان، مسأله دشواری به میان آمد، چون وقت تنگ بود، بر این شدیم که پاسخ آن را در یک گفتاری بنویسم. نخست پرسش را می آورد و سپس با ۱ «مقدمه» و ۲ «فصل» به آن پاسخ می دهد. مسأله چنین است «شخص کوچک و پست چگونه معرفت پیدا می کند به حال شخصی عالی و بزرگ»: شناخت سلطان و بزرگان و خداوند و ارزش یابی شناخت. (احمد منزوی)</w:t>
      </w:r>
    </w:p>
    <w:p>
      <w:pPr>
        <w:pStyle w:val="BookText"/>
      </w:pPr>
      <w:r>
        <w:rPr>
          <w:rFonts w:ascii="IRNazanin" w:hAnsi="IRNazanin" w:eastAsia="IRNazanin" w:cs="IRNazanin"/>
          <w:lang w:bidi="fa-IR"/>
          <w:color w:val="111111"/>
          <w:sz w:val="28"/>
          <w:szCs w:val="28"/>
          <w:rtl/>
        </w:rPr>
        <w:t xml:space="preserve">آغاز: حمد مخصوص خداوندی ست که پرورنده عالميان است، و درود غير محدود شایسته پیغمبری ست.. بعد، چون سوال فرمود از این ضعيف ...</w:t>
      </w:r>
    </w:p>
    <w:p>
      <w:pPr>
        <w:pStyle w:val="BookText"/>
      </w:pPr>
      <w:r>
        <w:rPr>
          <w:rFonts w:ascii="IRNazanin" w:hAnsi="IRNazanin" w:eastAsia="IRNazanin" w:cs="IRNazanin"/>
          <w:lang w:bidi="fa-IR"/>
          <w:color w:val="111111"/>
          <w:sz w:val="28"/>
          <w:szCs w:val="28"/>
          <w:rtl/>
        </w:rPr>
        <w:t xml:space="preserve">انجام: و کتابی مفصل تر در مطالب حکمتی و میزان هر چیز در شرع و دین بحول الله نوشته ام و حاضر است و این رساله مسمی است به بیانیه وصلى الله على محمد و آله الطاهرين. قد كتبه و صنفه العاصي محمد حسین بن محمد صادق ۱۲۹۷</w:t>
      </w:r>
    </w:p>
    <w:p>
      <w:pPr>
        <w:pStyle w:val="BookText"/>
      </w:pPr>
      <w:r>
        <w:rPr>
          <w:rFonts w:ascii="IRNazanin" w:hAnsi="IRNazanin" w:eastAsia="IRNazanin" w:cs="IRNazanin"/>
          <w:lang w:bidi="fa-IR"/>
          <w:color w:val="111111"/>
          <w:sz w:val="28"/>
          <w:szCs w:val="28"/>
          <w:rtl/>
        </w:rPr>
        <w:t xml:space="preserve">[دنا ۱/۲ ۵۹؛ فهرستواره منزوی ۸۸/۶]</w:t>
      </w:r>
    </w:p>
    <w:p>
      <w:pPr>
        <w:pStyle w:val="BookText"/>
      </w:pPr>
      <w:r>
        <w:rPr>
          <w:rFonts w:ascii="IRNazanin" w:hAnsi="IRNazanin" w:eastAsia="IRNazanin" w:cs="IRNazanin"/>
          <w:lang w:bidi="fa-IR"/>
          <w:color w:val="111111"/>
          <w:sz w:val="28"/>
          <w:szCs w:val="28"/>
          <w:rtl/>
        </w:rPr>
        <w:t xml:space="preserve">تهران؛ دائرة المعارف؛ شماره نسخه: ۱۹۸۷/۱ -عکسی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خوش، کاتب = مؤلف، تا: ۱۲۹۷ق؛ این رساله همراه است با «مناقب النساء» در یک مجموعه؛ ۷۰ص (۲-۷۱) [عکسی ف: ۱-۵۵]</w:t>
      </w:r>
    </w:p>
    <w:p>
      <w:pPr>
        <w:pStyle w:val="Heading3"/>
      </w:pPr>
      <w:bookmarkStart w:id="1364" w:name="_Toc624"/>
      <w:r>
        <w:t>• بیانیه ها و شب نامه سیاسی و جز آن / حكومت و سیاست / فارسی</w:t>
      </w:r>
      <w:bookmarkEnd w:id="1364"/>
    </w:p>
    <w:p>
      <w:pPr>
        <w:pStyle w:val="BookText"/>
      </w:pPr>
      <w:r>
        <w:rPr>
          <w:rFonts w:ascii="Times New Roman" w:hAnsi="Times New Roman" w:eastAsia="Times New Roman" w:cs="Times New Roman"/>
          <w:lang w:val="en-US" w:bidi="en-US"/>
          <w:color w:val="111111"/>
          <w:sz w:val="28"/>
          <w:szCs w:val="28"/>
          <w:rtl/>
        </w:rPr>
        <w:t xml:space="preserve">bayānīye-hā va šab-nāme-ye sīyāsī va joz ān</w:t>
      </w:r>
    </w:p>
    <w:p>
      <w:pPr>
        <w:pStyle w:val="BookText"/>
      </w:pPr>
      <w:r>
        <w:rPr>
          <w:rFonts w:ascii="IRNazanin" w:hAnsi="IRNazanin" w:eastAsia="IRNazanin" w:cs="IRNazanin"/>
          <w:lang w:bidi="fa-IR"/>
          <w:color w:val="111111"/>
          <w:sz w:val="28"/>
          <w:szCs w:val="28"/>
          <w:rtl/>
        </w:rPr>
        <w:t xml:space="preserve">تهران، دانشگاه؛ شماره نسخه: ۷۰۶۰-عکس</w:t>
      </w:r>
    </w:p>
    <w:p>
      <w:pPr>
        <w:pStyle w:val="BookText"/>
      </w:pPr>
      <w:r>
        <w:rPr>
          <w:rFonts w:ascii="IRNazanin" w:hAnsi="IRNazanin" w:eastAsia="IRNazanin" w:cs="IRNazanin"/>
          <w:lang w:bidi="fa-IR"/>
          <w:color w:val="111111"/>
          <w:sz w:val="28"/>
          <w:szCs w:val="28"/>
          <w:rtl/>
        </w:rPr>
        <w:t xml:space="preserve">نسخه اصل: مجلس شماره دفتر ۶۵۰۱/۲۶۷ ؛ بی کا، بی تا [فيلمها ف: ۳-۲۷۶]</w:t>
      </w:r>
    </w:p>
    <w:p>
      <w:pPr>
        <w:pStyle w:val="Heading3"/>
      </w:pPr>
      <w:bookmarkStart w:id="1365" w:name="_Toc625"/>
      <w:r>
        <w:t>•بی بی فاطمه / داستان / فارسی</w:t>
      </w:r>
      <w:bookmarkEnd w:id="1365"/>
    </w:p>
    <w:p>
      <w:pPr>
        <w:pStyle w:val="BookText"/>
      </w:pPr>
      <w:r>
        <w:rPr>
          <w:rFonts w:ascii="Times New Roman" w:hAnsi="Times New Roman" w:eastAsia="Times New Roman" w:cs="Times New Roman"/>
          <w:lang w:val="en-US" w:bidi="en-US"/>
          <w:color w:val="111111"/>
          <w:sz w:val="28"/>
          <w:szCs w:val="28"/>
          <w:rtl/>
        </w:rPr>
        <w:t xml:space="preserve">bī bī fāteme</w:t>
      </w:r>
    </w:p>
    <w:p>
      <w:pPr>
        <w:pStyle w:val="BookText"/>
      </w:pPr>
      <w:r>
        <w:rPr>
          <w:rFonts w:ascii="IRNazanin" w:hAnsi="IRNazanin" w:eastAsia="IRNazanin" w:cs="IRNazanin"/>
          <w:lang w:bidi="fa-IR"/>
          <w:color w:val="111111"/>
          <w:sz w:val="28"/>
          <w:szCs w:val="28"/>
          <w:rtl/>
        </w:rPr>
        <w:t xml:space="preserve">داستانی است که برای پرورش دینی و فضایل اخلاقی نگاشته شده است.</w:t>
      </w:r>
    </w:p>
    <w:p>
      <w:pPr>
        <w:pStyle w:val="BookText"/>
      </w:pPr>
      <w:r>
        <w:rPr>
          <w:rFonts w:ascii="IRNazanin" w:hAnsi="IRNazanin" w:eastAsia="IRNazanin" w:cs="IRNazanin"/>
          <w:lang w:bidi="fa-IR"/>
          <w:color w:val="111111"/>
          <w:sz w:val="28"/>
          <w:szCs w:val="28"/>
          <w:rtl/>
        </w:rPr>
        <w:t xml:space="preserve">[مشترک پاکستان ۱۰۸۰/۶ (۴ نسخه)، ۱۳۱۹ و ۱۳۹۹/۸ (۲نسخه) و ۳۵۰/۱۰ ، ۳۵۱ و ۱۶۵۹/۱۲ ؛ فهرستواره ۲۹۷/۱ «بی بی فاطمه» ]</w:t>
      </w:r>
    </w:p>
    <w:p>
      <w:pPr>
        <w:pStyle w:val="BookText"/>
      </w:pPr>
      <w:r>
        <w:rPr>
          <w:rFonts w:ascii="IRNazanin" w:hAnsi="IRNazanin" w:eastAsia="IRNazanin" w:cs="IRNazanin"/>
          <w:lang w:bidi="fa-IR"/>
          <w:color w:val="111111"/>
          <w:sz w:val="28"/>
          <w:szCs w:val="28"/>
          <w:rtl/>
        </w:rPr>
        <w:t xml:space="preserve">تهران؛ دائرة المعارف، شماره نسخه: ۲۰۲/۱۵ -عکسی</w:t>
      </w:r>
    </w:p>
    <w:p>
      <w:pPr>
        <w:pStyle w:val="BookText"/>
      </w:pPr>
      <w:r>
        <w:rPr>
          <w:rFonts w:ascii="IRNazanin" w:hAnsi="IRNazanin" w:eastAsia="IRNazanin" w:cs="IRNazanin"/>
          <w:lang w:bidi="fa-IR"/>
          <w:color w:val="111111"/>
          <w:sz w:val="28"/>
          <w:szCs w:val="28"/>
          <w:rtl/>
        </w:rPr>
        <w:t xml:space="preserve">آغاز: رساله حضرت بی بی فاطمه زهرا (رض). در خبر است که فردای قیامت، آمنا و صدقنا، جمله از خلایق از گور بیرون آیند، بعده فرمان حضرت عزت در رسد که ای جبرئیل که کسی در قبر مانده است یا نه ... جبرئیل گوید؛ انجام: رسول فرماید که رضای من این است که از سر خون پسران خود باز آی و بدل خون ایشان امر امتان بخواه. فاطمه گوید ... تمت ...</w:t>
      </w:r>
    </w:p>
    <w:p>
      <w:pPr>
        <w:pStyle w:val="BookText"/>
      </w:pPr>
      <w:r>
        <w:rPr>
          <w:rFonts w:ascii="IRNazanin" w:hAnsi="IRNazanin" w:eastAsia="IRNazanin" w:cs="IRNazanin"/>
          <w:lang w:bidi="fa-IR"/>
          <w:color w:val="111111"/>
          <w:sz w:val="28"/>
          <w:szCs w:val="28"/>
          <w:rtl/>
        </w:rPr>
        <w:t xml:space="preserve">نسخه اصل: گنج بخش، ش ۷۴۵ (گنج ۲۰۸۸/۴ )؛ خط: نستعلیق تحریری، بی کا، تا: قرن ۱۱ و ۱۲؛ عص (۲۱۵-۲۲۰) [عکسی ف: ۴۴-۲ ]</w:t>
      </w:r>
    </w:p>
    <w:p>
      <w:pPr>
        <w:pStyle w:val="Heading3"/>
      </w:pPr>
      <w:bookmarkStart w:id="1366" w:name="_Toc626"/>
      <w:r>
        <w:t>• بی بی فاطمه / شعر، داستان / فارسی</w:t>
      </w:r>
      <w:bookmarkEnd w:id="1366"/>
    </w:p>
    <w:p>
      <w:pPr>
        <w:pStyle w:val="BookText"/>
      </w:pPr>
      <w:r>
        <w:rPr>
          <w:rFonts w:ascii="Times New Roman" w:hAnsi="Times New Roman" w:eastAsia="Times New Roman" w:cs="Times New Roman"/>
          <w:lang w:val="en-US" w:bidi="en-US"/>
          <w:color w:val="111111"/>
          <w:sz w:val="28"/>
          <w:szCs w:val="28"/>
          <w:rtl/>
        </w:rPr>
        <w:t xml:space="preserve">bī-bī fāteme</w:t>
      </w:r>
    </w:p>
    <w:p>
      <w:pPr>
        <w:pStyle w:val="BookText"/>
      </w:pPr>
      <w:r>
        <w:rPr>
          <w:rFonts w:ascii="IRNazanin" w:hAnsi="IRNazanin" w:eastAsia="IRNazanin" w:cs="IRNazanin"/>
          <w:lang w:bidi="fa-IR"/>
          <w:color w:val="111111"/>
          <w:sz w:val="28"/>
          <w:szCs w:val="28"/>
          <w:rtl/>
        </w:rPr>
        <w:t xml:space="preserve">داستانی فرح بخش و دینی. اشعاری است در بیان داستان عروسی حضرت فاطمه زهرا (س). در فهرست دانشگاه تهران شماره ۹۵۹۶ (ضمن مجموعه است) از بیدلی یا آذر بیگدلی دانسته شده است. همین سرآغاز در نسخه ای در کتابخانه گلپایگانی به شماره ۱۷۰/۵۹</w:t>
      </w:r>
    </w:p>
    <w:p>
      <w:pPr>
        <w:pStyle w:val="BookText"/>
      </w:pPr>
      <w:r>
        <w:rPr>
          <w:rFonts w:ascii="IRNazanin" w:hAnsi="IRNazanin" w:eastAsia="IRNazanin" w:cs="IRNazanin"/>
          <w:lang w:bidi="fa-IR"/>
          <w:color w:val="111111"/>
          <w:sz w:val="28"/>
          <w:szCs w:val="28"/>
          <w:rtl/>
        </w:rPr>
        <w:t xml:space="preserve">هست که در ضمن مجموعه اشعاری است.</w:t>
      </w:r>
    </w:p>
    <w:p>
      <w:pPr>
        <w:pStyle w:val="BookText"/>
      </w:pPr>
      <w:r>
        <w:rPr>
          <w:rFonts w:ascii="IRNazanin" w:hAnsi="IRNazanin" w:eastAsia="IRNazanin" w:cs="IRNazanin"/>
          <w:lang w:bidi="fa-IR"/>
          <w:color w:val="111111"/>
          <w:sz w:val="28"/>
          <w:szCs w:val="28"/>
          <w:rtl/>
        </w:rPr>
        <w:t xml:space="preserve">آغاز: آمدن زنان قریش خدمت پیغمبر و بردن فاطمه به عروسی باز بطرف چمن از سرنوبهار</w:t>
      </w:r>
      <w:r>
        <w:rPr>
          <w:rFonts w:ascii="IRNazanin" w:hAnsi="IRNazanin" w:eastAsia="IRNazanin" w:cs="IRNazanin"/>
          <w:lang w:bidi="fa-IR"/>
          <w:color w:val="111111"/>
          <w:sz w:val="28"/>
          <w:szCs w:val="28"/>
          <w:b w:val="1"/>
          <w:bCs w:val="1"/>
          <w:i w:val="1"/>
          <w:iCs w:val="1"/>
          <w:rtl/>
        </w:rPr>
        <w:t xml:space="preserve">آنچه به دل غنچه داشت کرد همه آشکار انجام: هست امید گدا آنکه به روز جزا</w:t>
      </w:r>
      <w:r>
        <w:rPr>
          <w:rFonts w:ascii="IRNazanin" w:hAnsi="IRNazanin" w:eastAsia="IRNazanin" w:cs="IRNazanin"/>
          <w:lang w:bidi="fa-IR"/>
          <w:color w:val="111111"/>
          <w:sz w:val="28"/>
          <w:szCs w:val="28"/>
          <w:rtl/>
        </w:rPr>
        <w:t xml:space="preserve">دست بگیرد مرا حیدر دلدل سوار</w:t>
      </w:r>
    </w:p>
    <w:p>
      <w:pPr>
        <w:pStyle w:val="BookText"/>
      </w:pPr>
      <w:r>
        <w:rPr>
          <w:rFonts w:ascii="IRNazanin" w:hAnsi="IRNazanin" w:eastAsia="IRNazanin" w:cs="IRNazanin"/>
          <w:lang w:bidi="fa-IR"/>
          <w:color w:val="111111"/>
          <w:sz w:val="28"/>
          <w:szCs w:val="28"/>
          <w:rtl/>
        </w:rPr>
        <w:t xml:space="preserve">[فهرست مشترک پاکستان ۱۳۸۹/۸ ؛ فهرست دانشگاه تهران ۴۱۸/۱۷ ؛ فهرستواره منزوی</w:t>
      </w:r>
    </w:p>
    <w:p>
      <w:pPr>
        <w:pStyle w:val="BookText"/>
      </w:pPr>
      <w:r>
        <w:rPr>
          <w:rFonts w:ascii="IRNazanin" w:hAnsi="IRNazanin" w:eastAsia="IRNazanin" w:cs="IRNazanin"/>
          <w:lang w:bidi="fa-IR"/>
          <w:color w:val="111111"/>
          <w:sz w:val="28"/>
          <w:szCs w:val="28"/>
          <w:rtl/>
        </w:rPr>
        <w:t xml:space="preserve">۲۹۷/۱ ؛ فهرست گلپایگانی ۱۲۳۸/۳ ]</w:t>
      </w:r>
    </w:p>
    <w:p>
      <w:pPr>
        <w:pStyle w:val="BookText"/>
      </w:pPr>
      <w:r>
        <w:rPr>
          <w:rFonts w:ascii="IRNazanin" w:hAnsi="IRNazanin" w:eastAsia="IRNazanin" w:cs="IRNazanin"/>
          <w:lang w:bidi="fa-IR"/>
          <w:color w:val="111111"/>
          <w:sz w:val="28"/>
          <w:szCs w:val="28"/>
          <w:rtl/>
        </w:rPr>
        <w:t xml:space="preserve">قم؛ طبسی؛ شماره نسخه: ۶۶۸/۲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چهارشنبه ۱۲ جمادی الاول ۱۳۵۱ق؛ اگ، ۱۳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سم [ف مخ: ۱-۸۸]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02" w:name="pg20363_209440"/>
    <w:bookmarkEnd w:id="202"/>
    <w:p>
      <w:pPr>
        <w:pStyle w:val="Heading3"/>
      </w:pPr>
      <w:bookmarkStart w:id="1367" w:name="_Toc627"/>
      <w:r>
        <w:t>• بیت الاحزان / گوناگون / فارسی</w:t>
      </w:r>
      <w:bookmarkEnd w:id="1367"/>
    </w:p>
    <w:p>
      <w:pPr>
        <w:pStyle w:val="BookText"/>
      </w:pPr>
      <w:r>
        <w:rPr>
          <w:rFonts w:ascii="Times New Roman" w:hAnsi="Times New Roman" w:eastAsia="Times New Roman" w:cs="Times New Roman"/>
          <w:lang w:val="en-US" w:bidi="en-US"/>
          <w:color w:val="111111"/>
          <w:sz w:val="28"/>
          <w:szCs w:val="28"/>
          <w:rtl/>
        </w:rPr>
        <w:t xml:space="preserve">beyt-ol ahzan</w:t>
      </w:r>
    </w:p>
    <w:p>
      <w:pPr>
        <w:pStyle w:val="BookText"/>
      </w:pPr>
      <w:r>
        <w:rPr>
          <w:rFonts w:ascii="IRNazanin" w:hAnsi="IRNazanin" w:eastAsia="IRNazanin" w:cs="IRNazanin"/>
          <w:lang w:bidi="fa-IR"/>
          <w:color w:val="111111"/>
          <w:sz w:val="28"/>
          <w:szCs w:val="28"/>
          <w:rtl/>
        </w:rPr>
        <w:t xml:space="preserve">بروجردی طهرانی، محمد حسین، ق۱۳ قمری</w:t>
      </w:r>
    </w:p>
    <w:p>
      <w:pPr>
        <w:pStyle w:val="BookText"/>
      </w:pPr>
      <w:r>
        <w:rPr>
          <w:rFonts w:ascii="Times New Roman" w:hAnsi="Times New Roman" w:eastAsia="Times New Roman" w:cs="Times New Roman"/>
          <w:lang w:val="en-US" w:bidi="en-US"/>
          <w:color w:val="111111"/>
          <w:sz w:val="28"/>
          <w:szCs w:val="28"/>
          <w:rtl/>
        </w:rPr>
        <w:t xml:space="preserve">borūjerdī tehrānī, mohammad hoseyn (- 19c)</w:t>
      </w:r>
    </w:p>
    <w:p>
      <w:pPr>
        <w:pStyle w:val="BookText"/>
      </w:pPr>
      <w:r>
        <w:rPr>
          <w:rFonts w:ascii="IRNazanin" w:hAnsi="IRNazanin" w:eastAsia="IRNazanin" w:cs="IRNazanin"/>
          <w:lang w:bidi="fa-IR"/>
          <w:color w:val="111111"/>
          <w:sz w:val="28"/>
          <w:szCs w:val="28"/>
          <w:rtl/>
        </w:rPr>
        <w:t xml:space="preserve">مشهد؛ رضوی؛ شماره نسخه: ۲۷۱۹۴</w:t>
      </w:r>
    </w:p>
    <w:p>
      <w:pPr>
        <w:pStyle w:val="BookText"/>
      </w:pPr>
      <w:r>
        <w:rPr>
          <w:rFonts w:ascii="IRNazanin" w:hAnsi="IRNazanin" w:eastAsia="IRNazanin" w:cs="IRNazanin"/>
          <w:lang w:bidi="fa-IR"/>
          <w:color w:val="111111"/>
          <w:sz w:val="28"/>
          <w:szCs w:val="28"/>
          <w:rtl/>
        </w:rPr>
        <w:t xml:space="preserve">آغاز: بسمله حمدله چون تراب اقدام علماء و مومنین و تبعیان ائمه طاهرین و خادم شرعيت؛ انجام: و میگفت کاش بزرگان بنی امیه حاضر میبودند و میدیدند که من انتقام ایشانرا</w:t>
      </w:r>
    </w:p>
    <w:p>
      <w:pPr>
        <w:pStyle w:val="BookText"/>
      </w:pPr>
      <w:r>
        <w:rPr>
          <w:rFonts w:ascii="IRNazanin" w:hAnsi="IRNazanin" w:eastAsia="IRNazanin" w:cs="IRNazanin"/>
          <w:lang w:bidi="fa-IR"/>
          <w:color w:val="111111"/>
          <w:sz w:val="28"/>
          <w:szCs w:val="28"/>
          <w:rtl/>
        </w:rPr>
        <w:t xml:space="preserve">خط: نسخ خفی، بی کا، تا: قرن ۱۳؛ افتادگی: انجام؛ در انتهای نسخه ۲۰ برگ به نام تعبیر نامه با چاپ سنگی آمده است؛ کاغذ: آبی، جلد: میشن، ۱۸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 قطع: وزیری کوچک، اندازه: ۱۶/۵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۲۰/۵ سم [رایانه]</w:t>
      </w:r>
    </w:p>
    <w:p>
      <w:pPr>
        <w:pStyle w:val="Heading3"/>
      </w:pPr>
      <w:bookmarkStart w:id="1368" w:name="_Toc628"/>
      <w:r>
        <w:t>• بیت الاحزان / فارسی</w:t>
      </w:r>
      <w:bookmarkEnd w:id="1368"/>
    </w:p>
    <w:p>
      <w:pPr>
        <w:pStyle w:val="BookText"/>
      </w:pPr>
      <w:r>
        <w:rPr>
          <w:rFonts w:ascii="Times New Roman" w:hAnsi="Times New Roman" w:eastAsia="Times New Roman" w:cs="Times New Roman"/>
          <w:lang w:val="en-US" w:bidi="en-US"/>
          <w:color w:val="111111"/>
          <w:sz w:val="28"/>
          <w:szCs w:val="28"/>
          <w:rtl/>
        </w:rPr>
        <w:t xml:space="preserve">beyt-ol ahzān</w:t>
      </w:r>
    </w:p>
    <w:p>
      <w:pPr>
        <w:pStyle w:val="BookText"/>
      </w:pPr>
      <w:r>
        <w:rPr>
          <w:rFonts w:ascii="IRNazanin" w:hAnsi="IRNazanin" w:eastAsia="IRNazanin" w:cs="IRNazanin"/>
          <w:lang w:bidi="fa-IR"/>
          <w:color w:val="111111"/>
          <w:sz w:val="28"/>
          <w:szCs w:val="28"/>
          <w:rtl/>
        </w:rPr>
        <w:t xml:space="preserve">تهران؛ مجلس؛ شماره نسخه: ۱۶۲۸۴</w:t>
      </w:r>
    </w:p>
    <w:p>
      <w:pPr>
        <w:pStyle w:val="BookText"/>
      </w:pPr>
      <w:r>
        <w:rPr>
          <w:rFonts w:ascii="IRNazanin" w:hAnsi="IRNazanin" w:eastAsia="IRNazanin" w:cs="IRNazanin"/>
          <w:lang w:bidi="fa-IR"/>
          <w:color w:val="111111"/>
          <w:sz w:val="28"/>
          <w:szCs w:val="28"/>
          <w:rtl/>
        </w:rPr>
        <w:t xml:space="preserve">بی کا، تا: ۱۲۶۷ق، قطع: وزیری (د.ث. مجلس]</w:t>
      </w:r>
    </w:p>
    <w:p>
      <w:pPr>
        <w:pStyle w:val="Heading3"/>
      </w:pPr>
      <w:bookmarkStart w:id="1369" w:name="_Toc629"/>
      <w:r>
        <w:t>• بیت الاحزان في مصائب سادات الزمان الخمسة الطاهرة من ولد عدنان / تاریخ معصومین / فارسی</w:t>
      </w:r>
      <w:bookmarkEnd w:id="1369"/>
    </w:p>
    <w:p>
      <w:pPr>
        <w:pStyle w:val="BookText"/>
      </w:pPr>
      <w:r>
        <w:rPr>
          <w:rFonts w:ascii="Times New Roman" w:hAnsi="Times New Roman" w:eastAsia="Times New Roman" w:cs="Times New Roman"/>
          <w:lang w:val="en-US" w:bidi="en-US"/>
          <w:color w:val="111111"/>
          <w:sz w:val="28"/>
          <w:szCs w:val="28"/>
          <w:rtl/>
        </w:rPr>
        <w:t xml:space="preserve">bayt-ul ahzan fi masa'ib-is sadat-iz zaman-il xamsat-it</w:t>
      </w:r>
    </w:p>
    <w:p>
      <w:pPr>
        <w:pStyle w:val="BookText"/>
      </w:pPr>
      <w:r>
        <w:rPr>
          <w:rFonts w:ascii="Times New Roman" w:hAnsi="Times New Roman" w:eastAsia="Times New Roman" w:cs="Times New Roman"/>
          <w:lang w:val="en-US" w:bidi="en-US"/>
          <w:color w:val="111111"/>
          <w:sz w:val="28"/>
          <w:szCs w:val="28"/>
          <w:rtl/>
        </w:rPr>
        <w:t xml:space="preserve">țāhira min wuld-i ‘adnān</w:t>
      </w:r>
    </w:p>
    <w:p>
      <w:pPr>
        <w:pStyle w:val="BookText"/>
      </w:pPr>
      <w:r>
        <w:rPr>
          <w:rFonts w:ascii="IRNazanin" w:hAnsi="IRNazanin" w:eastAsia="IRNazanin" w:cs="IRNazanin"/>
          <w:lang w:bidi="fa-IR"/>
          <w:color w:val="111111"/>
          <w:sz w:val="28"/>
          <w:szCs w:val="28"/>
          <w:rtl/>
        </w:rPr>
        <w:t xml:space="preserve">یزدی، عبدالخالق بن عبد الرحيم، -۱۲۶۸ قمری</w:t>
      </w:r>
    </w:p>
    <w:p>
      <w:pPr>
        <w:pStyle w:val="BookText"/>
      </w:pPr>
      <w:r>
        <w:rPr>
          <w:rFonts w:ascii="Times New Roman" w:hAnsi="Times New Roman" w:eastAsia="Times New Roman" w:cs="Times New Roman"/>
          <w:lang w:val="en-US" w:bidi="en-US"/>
          <w:color w:val="111111"/>
          <w:sz w:val="28"/>
          <w:szCs w:val="28"/>
          <w:rtl/>
        </w:rPr>
        <w:t xml:space="preserve">yazdī, “abd-ol-xāleq ebn-e ‘abd-or-rahīm (- 1852)</w:t>
      </w:r>
    </w:p>
    <w:p>
      <w:pPr>
        <w:pStyle w:val="BookText"/>
      </w:pPr>
      <w:r>
        <w:rPr>
          <w:rFonts w:ascii="IRNazanin" w:hAnsi="IRNazanin" w:eastAsia="IRNazanin" w:cs="IRNazanin"/>
          <w:lang w:bidi="fa-IR"/>
          <w:color w:val="111111"/>
          <w:sz w:val="28"/>
          <w:szCs w:val="28"/>
          <w:rtl/>
        </w:rPr>
        <w:t xml:space="preserve">تاریخ تأليف: نیمه دوم قرن ۱۳ مؤلف بعد از آن که مقتل عربی خود موسوم به «مصائب المعصومین» را نگاشت برای استفاده فارسی زبان ها این کتاب را تأليف نمود و آن را در پنج عزاخانه در مصائب خمسة النجبا تنظیم کرده است. هر عزاخانه مشتمل بر یک «مقدمه» و چند «مجلس» است: عزاخانه 1. شهادت سید انبیاء(صلی الله علیه وآله وسلم)؛ ۲. بیان احوال شهادت سیده نساء عالمیان حضرت فاطمه زهراء (سلام الله علیها)؛ ۳. بیان امیر مؤمنان(عليه السلام)؛ ۴. بیان احوال قرة العين مصطفی حضرت امام حسن مجتبی(عليه السلام)؛ ۵. بیان احوال حضرت امام حسین (علیه السلام).</w:t>
      </w:r>
    </w:p>
    <w:p>
      <w:pPr>
        <w:pStyle w:val="BookText"/>
      </w:pPr>
      <w:r>
        <w:rPr>
          <w:rFonts w:ascii="IRNazanin" w:hAnsi="IRNazanin" w:eastAsia="IRNazanin" w:cs="IRNazanin"/>
          <w:lang w:bidi="fa-IR"/>
          <w:color w:val="111111"/>
          <w:sz w:val="28"/>
          <w:szCs w:val="28"/>
          <w:rtl/>
        </w:rPr>
        <w:t xml:space="preserve">در الذریعه نام کتاب حاضر چنین درج گردیده است: «بیت الاحزان في مصایب سادات الزمان الخمسة الطاهرة من ولد عدنان». (حافظیان)</w:t>
      </w:r>
    </w:p>
    <w:p>
      <w:pPr>
        <w:pStyle w:val="BookText"/>
      </w:pPr>
      <w:r>
        <w:rPr>
          <w:rFonts w:ascii="IRNazanin" w:hAnsi="IRNazanin" w:eastAsia="IRNazanin" w:cs="IRNazanin"/>
          <w:lang w:bidi="fa-IR"/>
          <w:color w:val="111111"/>
          <w:sz w:val="28"/>
          <w:szCs w:val="28"/>
          <w:rtl/>
        </w:rPr>
        <w:t xml:space="preserve">آغاز: الحمدلله الذي اعظم بلايا الانبياء و المرسلين و احسن رزايا الأوصياء المكرمين ... و بعد، چنین گوید بنده عاصی ... عبدالخالق</w:t>
      </w:r>
    </w:p>
    <w:p>
      <w:pPr>
        <w:pStyle w:val="BookText"/>
      </w:pPr>
      <w:r>
        <w:rPr>
          <w:rFonts w:ascii="IRNazanin" w:hAnsi="IRNazanin" w:eastAsia="IRNazanin" w:cs="IRNazanin"/>
          <w:lang w:bidi="fa-IR"/>
          <w:color w:val="111111"/>
          <w:sz w:val="28"/>
          <w:szCs w:val="28"/>
          <w:rtl/>
        </w:rPr>
        <w:t xml:space="preserve">انجام: و بشارت باد ترا که چیزی چند مخصوص تو و شیعیان تو و دوستان تو گردانیده که به هیچ کس نداده، امیر المؤمنین این بشارت شنید بسجده در آمد و شکر الهی را بجا آورد. چاپ: تبریز، ۱۲۷۵ق، سنگی؛ دارالخلافه طهران، سنگی، ۱۲۸۶، ۱+۴۱۰صص</w:t>
      </w:r>
    </w:p>
    <w:p>
      <w:pPr>
        <w:pStyle w:val="BookText"/>
      </w:pPr>
      <w:r>
        <w:rPr>
          <w:rFonts w:ascii="IRNazanin" w:hAnsi="IRNazanin" w:eastAsia="IRNazanin" w:cs="IRNazanin"/>
          <w:lang w:bidi="fa-IR"/>
          <w:color w:val="111111"/>
          <w:sz w:val="28"/>
          <w:szCs w:val="28"/>
          <w:rtl/>
        </w:rPr>
        <w:t xml:space="preserve">[دنا ۵۹۲/۲ (۹ نسخه)؛ الذريعة ۱۸۵/۳ ؛ ریحانة الأدب ۳۸۹/۶ ؛ مشار فارسی ۸۳۸/۱ و ۲۴۷؛ مشترک پاکستان ۳۳۸/۱۰ : نشانی ۳ نسخه؛ فهرستواره منزوی  ۱۵۶۴/۳]</w:t>
      </w:r>
    </w:p>
    <w:p>
      <w:pPr>
        <w:pStyle w:val="BookText"/>
      </w:pPr>
      <w:r>
        <w:rPr>
          <w:rFonts w:ascii="IRNazanin" w:hAnsi="IRNazanin" w:eastAsia="IRNazanin" w:cs="IRNazanin"/>
          <w:lang w:bidi="fa-IR"/>
          <w:color w:val="111111"/>
          <w:sz w:val="28"/>
          <w:szCs w:val="28"/>
          <w:rtl/>
        </w:rPr>
        <w:t xml:space="preserve">١. مشهد؛ نواب؛ شماره نسخه: ۳۴۵</w:t>
      </w:r>
    </w:p>
    <w:p>
      <w:pPr>
        <w:pStyle w:val="BookText"/>
      </w:pPr>
      <w:r>
        <w:rPr>
          <w:rFonts w:ascii="IRNazanin" w:hAnsi="IRNazanin" w:eastAsia="IRNazanin" w:cs="IRNazanin"/>
          <w:lang w:bidi="fa-IR"/>
          <w:color w:val="111111"/>
          <w:sz w:val="28"/>
          <w:szCs w:val="28"/>
          <w:rtl/>
        </w:rPr>
        <w:t xml:space="preserve">آغاز: برابر؛ انجام: بید مصنف عاصی بانجام رسید اللهم اجعله خالصا لوجهك الكريم ...</w:t>
      </w:r>
    </w:p>
    <w:p>
      <w:pPr>
        <w:pStyle w:val="BookText"/>
      </w:pPr>
      <w:r>
        <w:rPr>
          <w:rFonts w:ascii="IRNazanin" w:hAnsi="IRNazanin" w:eastAsia="IRNazanin" w:cs="IRNazanin"/>
          <w:lang w:bidi="fa-IR"/>
          <w:color w:val="111111"/>
          <w:sz w:val="28"/>
          <w:szCs w:val="28"/>
          <w:rtl/>
        </w:rPr>
        <w:t xml:space="preserve">خط: نسخ، كاتب = مؤلف، تا: جمادی الاول ۱۲۶۴ق، جا: مشهد مقدس؛ مصحح، مقابله شده در ۱۲۶۹ق؛ مهر: كاتب«عبده الواثق عبد الخالق»(بیضی) و «عبدالخالق»(چهارگوش)؛ واقف: یزدی، عبدالخالق بن عبدالرحیم، جمادی الثانی ۱۲۶۳ق؛ کاغذ: نوعی ترمه، جلد: تیماج قهوه ای، ۳۴۸، ۲۵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۲۹۰]</w:t>
      </w:r>
    </w:p>
    <w:p>
      <w:pPr>
        <w:pStyle w:val="BookText"/>
      </w:pPr>
      <w:r>
        <w:rPr>
          <w:rFonts w:ascii="IRNazanin" w:hAnsi="IRNazanin" w:eastAsia="IRNazanin" w:cs="IRNazanin"/>
          <w:lang w:bidi="fa-IR"/>
          <w:color w:val="111111"/>
          <w:sz w:val="28"/>
          <w:szCs w:val="28"/>
          <w:rtl/>
        </w:rPr>
        <w:t xml:space="preserve">۲. مشهد؛ رضوی؛ شماره نسخه: ۲۷۵۹۳</w:t>
      </w:r>
    </w:p>
    <w:p>
      <w:pPr>
        <w:pStyle w:val="BookText"/>
      </w:pPr>
      <w:r>
        <w:rPr>
          <w:rFonts w:ascii="IRNazanin" w:hAnsi="IRNazanin" w:eastAsia="IRNazanin" w:cs="IRNazanin"/>
          <w:lang w:bidi="fa-IR"/>
          <w:color w:val="111111"/>
          <w:sz w:val="28"/>
          <w:szCs w:val="28"/>
          <w:rtl/>
        </w:rPr>
        <w:t xml:space="preserve">آغاز: برابر، انجام: از دشمن کشیدن و سخنان درشت از سنگدلان شنیدن بیشتر از آن آه که خط: نسخ، بی کا، تا: قرن ۱۲؛ افتادگی: انجام؛ کاغذ: نباتی، جلد: تیماج ضربی قهوه ای و دارای ترنج و دو سر ترج با نقش گل و بوته و حاشیه زنجیره ای، ۲۸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قطع: وزیری،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[رایانه]</w:t>
      </w:r>
    </w:p>
    <w:p>
      <w:pPr>
        <w:pStyle w:val="BookText"/>
      </w:pPr>
      <w:r>
        <w:rPr>
          <w:rFonts w:ascii="IRNazanin" w:hAnsi="IRNazanin" w:eastAsia="IRNazanin" w:cs="IRNazanin"/>
          <w:lang w:bidi="fa-IR"/>
          <w:color w:val="111111"/>
          <w:sz w:val="28"/>
          <w:szCs w:val="28"/>
          <w:rtl/>
        </w:rPr>
        <w:t xml:space="preserve">٣. مشهد؛ رضوی؛ شماره نسخه: ۱۴۶۶۱</w:t>
      </w:r>
    </w:p>
    <w:p>
      <w:pPr>
        <w:pStyle w:val="BookText"/>
      </w:pPr>
      <w:r>
        <w:rPr>
          <w:rFonts w:ascii="IRNazanin" w:hAnsi="IRNazanin" w:eastAsia="IRNazanin" w:cs="IRNazanin"/>
          <w:lang w:bidi="fa-IR"/>
          <w:color w:val="111111"/>
          <w:sz w:val="28"/>
          <w:szCs w:val="28"/>
          <w:rtl/>
        </w:rPr>
        <w:t xml:space="preserve">آغاز: بسمله و در جمله خدمات دیگر ملائکه این بود؛ انجام: الحمدلله رب العالمين ... عطا فرمود سنه ۱۲۶۶</w:t>
      </w:r>
    </w:p>
    <w:p>
      <w:pPr>
        <w:pStyle w:val="BookText"/>
      </w:pPr>
      <w:r>
        <w:rPr>
          <w:rFonts w:ascii="IRNazanin" w:hAnsi="IRNazanin" w:eastAsia="IRNazanin" w:cs="IRNazanin"/>
          <w:lang w:bidi="fa-IR"/>
          <w:color w:val="111111"/>
          <w:sz w:val="28"/>
          <w:szCs w:val="28"/>
          <w:rtl/>
        </w:rPr>
        <w:t xml:space="preserve">مؤلف از رایانه آستان قدس؛ خط: نسخ، كا: سید علی عربشاهی، تا: ۱۲۶۶ق، جان هرات؛ افتادگی: آغاز؛ جلد: تیماج، ۱۹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[الفبائی: 93]</w:t>
      </w:r>
    </w:p>
    <w:p>
      <w:pPr>
        <w:pStyle w:val="BookText"/>
      </w:pPr>
      <w:r>
        <w:rPr>
          <w:rFonts w:ascii="IRNazanin" w:hAnsi="IRNazanin" w:eastAsia="IRNazanin" w:cs="IRNazanin"/>
          <w:lang w:bidi="fa-IR"/>
          <w:color w:val="111111"/>
          <w:sz w:val="28"/>
          <w:szCs w:val="28"/>
          <w:rtl/>
        </w:rPr>
        <w:t xml:space="preserve">۴. نجف آباد؛ حججی؛ شماره نسخه: ۷۲</w:t>
      </w:r>
    </w:p>
    <w:p>
      <w:pPr>
        <w:pStyle w:val="BookText"/>
      </w:pPr>
      <w:r>
        <w:rPr>
          <w:rFonts w:ascii="IRNazanin" w:hAnsi="IRNazanin" w:eastAsia="IRNazanin" w:cs="IRNazanin"/>
          <w:lang w:bidi="fa-IR"/>
          <w:color w:val="111111"/>
          <w:sz w:val="28"/>
          <w:szCs w:val="28"/>
          <w:rtl/>
        </w:rPr>
        <w:t xml:space="preserve">آغاز: بسمله ... السلام عليكم يا امة محمد صلی الله عليه و آله و رحمة الله و بركاته .. سبحان الذي اسماؤه لاتعد و آلاؤه لاتحصى پاک و منزه است خداوندی که اسامی مقدسه او را نتوان احصاء نمود؛ انجام می فرمود ای پسر برادر کاش مرده بودم و تو را به این حل مشاهده نمی کردم و ما الله بغافل عما يعمل الظالمون.</w:t>
      </w:r>
    </w:p>
    <w:p>
      <w:pPr>
        <w:pStyle w:val="BookText"/>
      </w:pPr>
      <w:r>
        <w:rPr>
          <w:rFonts w:ascii="IRNazanin" w:hAnsi="IRNazanin" w:eastAsia="IRNazanin" w:cs="IRNazanin"/>
          <w:lang w:bidi="fa-IR"/>
          <w:color w:val="111111"/>
          <w:sz w:val="28"/>
          <w:szCs w:val="28"/>
          <w:rtl/>
        </w:rPr>
        <w:t xml:space="preserve">شامل پنجاه مجلس از کتاب؛ خط: نسخ، بی کا، تا: قرن ۱۳؛ نام کتاب و مؤلف در صفحه عنوان نسخه چنین آمده است: «مصباح النجاة، ملا اسماعیل خاجویی»، با علامت بلاغ مقابله؛ جلد: تیماج سرخ مجدول گرهی با ترنج و سرترنج، ۲۴۶گ، ۱۹ سطر، اندازه:</w:t>
      </w:r>
    </w:p>
    <w:p>
      <w:pPr>
        <w:pStyle w:val="BookText"/>
      </w:pPr>
      <w:r>
        <w:rPr>
          <w:rFonts w:ascii="IRNazanin" w:hAnsi="IRNazanin" w:eastAsia="IRNazanin" w:cs="IRNazanin"/>
          <w:lang w:bidi="fa-IR"/>
          <w:color w:val="111111"/>
          <w:sz w:val="28"/>
          <w:szCs w:val="28"/>
          <w:rtl/>
        </w:rPr>
        <w:t xml:space="preserve">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۱۱۷]</w:t>
      </w:r>
    </w:p>
    <w:p>
      <w:pPr>
        <w:pStyle w:val="BookText"/>
      </w:pPr>
      <w:r>
        <w:rPr>
          <w:rFonts w:ascii="IRNazanin" w:hAnsi="IRNazanin" w:eastAsia="IRNazanin" w:cs="IRNazanin"/>
          <w:lang w:bidi="fa-IR"/>
          <w:color w:val="111111"/>
          <w:sz w:val="28"/>
          <w:szCs w:val="28"/>
          <w:rtl/>
        </w:rPr>
        <w:t xml:space="preserve">۵. قم؛ گلپایگانی؛ شماره نسخه: ۱۹۵۰/۲ -۱۱/۵۰</w:t>
      </w:r>
    </w:p>
    <w:p>
      <w:pPr>
        <w:pStyle w:val="BookText"/>
      </w:pPr>
      <w:r>
        <w:rPr>
          <w:rFonts w:ascii="IRNazanin" w:hAnsi="IRNazanin" w:eastAsia="IRNazanin" w:cs="IRNazanin"/>
          <w:lang w:bidi="fa-IR"/>
          <w:color w:val="111111"/>
          <w:sz w:val="28"/>
          <w:szCs w:val="28"/>
          <w:rtl/>
        </w:rPr>
        <w:t xml:space="preserve">آغاز: مقدمه در فهرست آیات و احادیث و مطالب در مجالس آن نوشته ام تا هر کس که خواهد که بر آنها مطلع شود؛ انجام: مؤلف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03" w:name="pg20363_209441"/>
    <w:bookmarkEnd w:id="203"/>
    <w:p>
      <w:pPr>
        <w:pStyle w:val="BookText"/>
      </w:pPr>
      <w:r>
        <w:rPr>
          <w:rFonts w:ascii="IRNazanin" w:hAnsi="IRNazanin" w:eastAsia="IRNazanin" w:cs="IRNazanin"/>
          <w:lang w:bidi="fa-IR"/>
          <w:color w:val="111111"/>
          <w:sz w:val="28"/>
          <w:szCs w:val="28"/>
          <w:rtl/>
        </w:rPr>
        <w:t xml:space="preserve">گوید نمیدانم چگونه شد ناله ها و زاری های ملائکه در آن وقتی که در روز عاشورا ... فقال يا محمد بشر الزائرين له بعد مماته پس جبرئیل عرض کرد ...</w:t>
      </w:r>
    </w:p>
    <w:p>
      <w:pPr>
        <w:pStyle w:val="BookText"/>
      </w:pPr>
      <w:r>
        <w:rPr>
          <w:rFonts w:ascii="IRNazanin" w:hAnsi="IRNazanin" w:eastAsia="IRNazanin" w:cs="IRNazanin"/>
          <w:lang w:bidi="fa-IR"/>
          <w:color w:val="111111"/>
          <w:sz w:val="28"/>
          <w:szCs w:val="28"/>
          <w:rtl/>
        </w:rPr>
        <w:t xml:space="preserve">خط: نسخ، بی کا، تا: قرن ۱۳؛ افتادگی: انجام؛ جلد: تیماج قهوه ای مجدول گرهی ضربی، ۹۳گ، ۲۴ سطر، اندازه: ۲۵</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۱۴سم [ف: ۶۵۴-۲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تهران: دائرة المعارف؛ شماره نسخه: ۶۱۶</w:t>
      </w:r>
    </w:p>
    <w:p>
      <w:pPr>
        <w:pStyle w:val="BookText"/>
      </w:pPr>
      <w:r>
        <w:rPr>
          <w:rFonts w:ascii="IRNazanin" w:hAnsi="IRNazanin" w:eastAsia="IRNazanin" w:cs="IRNazanin"/>
          <w:lang w:bidi="fa-IR"/>
          <w:color w:val="111111"/>
          <w:sz w:val="28"/>
          <w:szCs w:val="28"/>
          <w:rtl/>
        </w:rPr>
        <w:t xml:space="preserve">آغاز: برابر؛ انجام: ای حر دل خوش دار که ما هم از عقب سر می رسیم به جهت این کلام خروش ...</w:t>
      </w:r>
    </w:p>
    <w:p>
      <w:pPr>
        <w:pStyle w:val="BookText"/>
      </w:pPr>
      <w:r>
        <w:rPr>
          <w:rFonts w:ascii="IRNazanin" w:hAnsi="IRNazanin" w:eastAsia="IRNazanin" w:cs="IRNazanin"/>
          <w:lang w:bidi="fa-IR"/>
          <w:color w:val="111111"/>
          <w:sz w:val="28"/>
          <w:szCs w:val="28"/>
          <w:rtl/>
        </w:rPr>
        <w:t xml:space="preserve">خط: نستعلیق پخته، بی کا، تا: قرن ۱۳؛ افتادگی: انجام؛ کاغذ: فرنگی نخودی، جلد: مقوا تیماج قهوه ای پوشانده عطف تیماج مشکی، ۱۶۴گ، ۲۵ سطر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۲-۳۱]</w:t>
      </w:r>
    </w:p>
    <w:p>
      <w:pPr>
        <w:pStyle w:val="BookText"/>
      </w:pPr>
      <w:r>
        <w:rPr>
          <w:rFonts w:ascii="IRNazanin" w:hAnsi="IRNazanin" w:eastAsia="IRNazanin" w:cs="IRNazanin"/>
          <w:lang w:bidi="fa-IR"/>
          <w:color w:val="111111"/>
          <w:sz w:val="28"/>
          <w:szCs w:val="28"/>
          <w:rtl/>
        </w:rPr>
        <w:t xml:space="preserve">۷. قم؛ مرعشی؛ شماره نسخه: ۱/۱۲۱۵0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۱۳، کاغذ: فرنگی، ۱۰۶گ (1 -۱۰۶)، ۲۲ سطر، اندازه:</w:t>
      </w:r>
    </w:p>
    <w:p>
      <w:pPr>
        <w:pStyle w:val="BookText"/>
      </w:pPr>
      <w:r>
        <w:rPr>
          <w:rFonts w:ascii="IRNazanin" w:hAnsi="IRNazanin" w:eastAsia="IRNazanin" w:cs="IRNazanin"/>
          <w:lang w:bidi="fa-IR"/>
          <w:color w:val="111111"/>
          <w:sz w:val="28"/>
          <w:szCs w:val="28"/>
          <w:rtl/>
        </w:rPr>
        <w:t xml:space="preserve">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سم [ف: ۳۰-۶۳۰]</w:t>
      </w:r>
    </w:p>
    <w:p>
      <w:pPr>
        <w:pStyle w:val="BookText"/>
      </w:pPr>
      <w:r>
        <w:rPr>
          <w:rFonts w:ascii="IRNazanin" w:hAnsi="IRNazanin" w:eastAsia="IRNazanin" w:cs="IRNazanin"/>
          <w:lang w:bidi="fa-IR"/>
          <w:color w:val="111111"/>
          <w:sz w:val="28"/>
          <w:szCs w:val="28"/>
          <w:rtl/>
        </w:rPr>
        <w:t xml:space="preserve">۸. تهران؛ مجلس؛ شماره نسخه: ۱۷۰۱۹</w:t>
      </w:r>
    </w:p>
    <w:p>
      <w:pPr>
        <w:pStyle w:val="BookText"/>
      </w:pPr>
      <w:r>
        <w:rPr>
          <w:rFonts w:ascii="IRNazanin" w:hAnsi="IRNazanin" w:eastAsia="IRNazanin" w:cs="IRNazanin"/>
          <w:lang w:bidi="fa-IR"/>
          <w:color w:val="111111"/>
          <w:sz w:val="28"/>
          <w:szCs w:val="28"/>
          <w:rtl/>
        </w:rPr>
        <w:t xml:space="preserve">آغاز: مجلس اول در احتضار رسول خدا صلی الله علیه و آله. السلام علیکم یا امه محمد (صلی الله علیه وآله وسلم) ... و بعد سبحان الذي؛ انجام: و بهمراه سایرین اسیران بردند. ولا تحسبن الله غافلا عما يعمل الظالمون</w:t>
      </w:r>
    </w:p>
    <w:p>
      <w:pPr>
        <w:pStyle w:val="BookText"/>
      </w:pPr>
      <w:r>
        <w:rPr>
          <w:rFonts w:ascii="IRNazanin" w:hAnsi="IRNazanin" w:eastAsia="IRNazanin" w:cs="IRNazanin"/>
          <w:lang w:bidi="fa-IR"/>
          <w:color w:val="111111"/>
          <w:sz w:val="28"/>
          <w:szCs w:val="28"/>
          <w:rtl/>
        </w:rPr>
        <w:t xml:space="preserve">نسخه بدون طلیعه و دیباچه و تحمیدیه، مستقیما با مجلس اول شروع می شود و مجلس مجلس ادامه می یابد تا مجلس چهل و نهم. این نسخه با نسخه چاپ شده این اثر تفاوت هایی دارد و گویا تحریر نخستین آن باشد چرا که اثر چاپ شده از عبدالخالق یزدی «بیت الاحزان في مصائب سادات الزمان الخمسه الطاهره من ولد عدنان» مفصل تر و تا هشتاد و دو مجلس ادامه می یابد. عبارت های مجالس متناظر نیز با هم اندکی تفاوت دارد؛ خط: نسخ خوب، كا: ابراهيم بن ملا صفر، تا: ۱۰ ربیع الثانی ۱۲۶۴ق، برای حاج محمد رضا؛ دارای چند یادداشت و حاشیه: حاشیه مفصل بر مطالبی در مورد حضرت ابا عبدالله الحسين که در صفحات ۲۱۶-۲۸۵ این نسخه نوشته شده، به قلم مالک نسخه حاج میرزا ابوطالب رهبری زنجانی که از علما و شخصیت های صدر مشروطه بوده و خط و قلم خوشی داشته است، یادداشت خرید نسخه از حاجی محمد کاظم صراف به تاریخ ۱۳۳۲ با امضای ابوطالب زنجانی، یادداشت تقدیم نسخه از سوی میرزا ابوطالب رهبری به حاجی میرزا احمد که از علمای وقت بوده به تاریخ ۱۳۳۱/۹/۱۲ ، یادداشتی با تاریخ ۱۳۱۷/۶/۱۴ در خصوص عقاید شریعت سنگلجی در خصوص انکار معاد و رد آن از سوی ابوطالب رهبری زنجانی با استناد به عقاید دیروزیان و امروزیان از تمدن باستانی تا دانشمندان علوم نوین با ذکر نام، یادداشت دیگری به تاریخ ۱۳۴۳ با امضای ابوطالب رهبری زنجانی در خصوص حضور عده ای از علمای زنجان در مجلس مؤسسان برای دادن رأی به پادشاهی رضاخان، و ابراز نگرانی نگارنده از این اتفاق، درج دو رباعی از شیخ نجم الدین کبری و یک رباعی عرفانی از خود نویسنده (ابوطالب رهبری زنجانی به تاریخ ۱۳۳۶ به این شرح: «ای من بفدای آن که محبوب من است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وز دیده ندانم ز چه محجوب من است نی نی دائم حسن جمالش پیداست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محجوبی او ز چشم معیوب من است»، ابیاتی فارسی از احزن اردبیلی؛ تملك: ابوطالب زنجانی با تاریخ ۱۳۳۳؛ جلد: ۱۵۰-۴۷/۱]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مشهد؛ امام هادی؛ شماره نسخه: ۴</w:t>
      </w:r>
    </w:p>
    <w:p>
      <w:pPr>
        <w:pStyle w:val="BookText"/>
      </w:pPr>
      <w:r>
        <w:rPr>
          <w:rFonts w:ascii="IRNazanin" w:hAnsi="IRNazanin" w:eastAsia="IRNazanin" w:cs="IRNazanin"/>
          <w:lang w:bidi="fa-IR"/>
          <w:color w:val="111111"/>
          <w:sz w:val="28"/>
          <w:szCs w:val="28"/>
          <w:rtl/>
        </w:rPr>
        <w:t xml:space="preserve">خط: نسخ معرب و نستعلیق، بی کا، تا: نزدیک عصر مؤلف؛ افتادگی: آغاز و انجام؛ جلد: تیماج قهوه ای، ۱۹۰گ، ۲۱ سطر، اندازه: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۶]</w:t>
      </w:r>
    </w:p>
    <w:p>
      <w:pPr>
        <w:pStyle w:val="BookText"/>
      </w:pPr>
      <w:r>
        <w:rPr>
          <w:rFonts w:ascii="IRNazanin" w:hAnsi="IRNazanin" w:eastAsia="IRNazanin" w:cs="IRNazanin"/>
          <w:lang w:bidi="fa-IR"/>
          <w:color w:val="111111"/>
          <w:sz w:val="28"/>
          <w:szCs w:val="28"/>
          <w:rtl/>
        </w:rPr>
        <w:t xml:space="preserve">۱۰. همدان؛ دانشگاه بوعلی؛ شماره نسخه: ۲۳۰</w:t>
      </w:r>
    </w:p>
    <w:p>
      <w:pPr>
        <w:pStyle w:val="BookText"/>
      </w:pPr>
      <w:r>
        <w:rPr>
          <w:rFonts w:ascii="IRNazanin" w:hAnsi="IRNazanin" w:eastAsia="IRNazanin" w:cs="IRNazanin"/>
          <w:lang w:bidi="fa-IR"/>
          <w:color w:val="111111"/>
          <w:sz w:val="28"/>
          <w:szCs w:val="28"/>
          <w:rtl/>
        </w:rPr>
        <w:t xml:space="preserve">خط: نسخ، بی کا، بی تا، افتادگی: انجام؛ برگها در هم و نسخه ناتمام است؛ جلد: گالینگور قهوه ای، ۲۰۵گ، ۲۳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۱۲۲]</w:t>
      </w:r>
    </w:p>
    <w:p>
      <w:pPr>
        <w:pStyle w:val="BookText"/>
      </w:pPr>
      <w:r>
        <w:rPr>
          <w:rFonts w:ascii="IRNazanin" w:hAnsi="IRNazanin" w:eastAsia="IRNazanin" w:cs="IRNazanin"/>
          <w:lang w:bidi="fa-IR"/>
          <w:color w:val="111111"/>
          <w:sz w:val="28"/>
          <w:szCs w:val="28"/>
          <w:rtl/>
        </w:rPr>
        <w:t xml:space="preserve">۱۱. قم؛ گلپایگانی؛ شماره نسخه: ۲۲۴۰- ۱۲/۱۳۰</w:t>
      </w:r>
    </w:p>
    <w:p>
      <w:pPr>
        <w:pStyle w:val="BookText"/>
      </w:pPr>
      <w:r>
        <w:rPr>
          <w:rFonts w:ascii="IRNazanin" w:hAnsi="IRNazanin" w:eastAsia="IRNazanin" w:cs="IRNazanin"/>
          <w:lang w:bidi="fa-IR"/>
          <w:color w:val="111111"/>
          <w:sz w:val="28"/>
          <w:szCs w:val="28"/>
          <w:rtl/>
        </w:rPr>
        <w:t xml:space="preserve">آغاز: برابر انجام: و دختران و عیال اشکبار بعد از اسیری کوفه و شام روانه مدينه طیبه شدند و سيعلم الذين ظلموا أي منقلب ينقلبون. مجلس دویم درشهید کردن آن حضرت است به زهر.</w:t>
      </w:r>
    </w:p>
    <w:p>
      <w:pPr>
        <w:pStyle w:val="BookText"/>
      </w:pPr>
      <w:r>
        <w:rPr>
          <w:rFonts w:ascii="IRNazanin" w:hAnsi="IRNazanin" w:eastAsia="IRNazanin" w:cs="IRNazanin"/>
          <w:lang w:bidi="fa-IR"/>
          <w:color w:val="111111"/>
          <w:sz w:val="28"/>
          <w:szCs w:val="28"/>
          <w:rtl/>
        </w:rPr>
        <w:t xml:space="preserve">خط: نستعلیق شکسته وثلث، بی کا، بی تا؛ افتادگی: انجام؛ جلد: ساغری مشکی مجدول ضربی (خطی و گرهی)، ۱۱۹، ۱۹-۲۰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۲-۶۵۴]</w:t>
      </w:r>
    </w:p>
    <w:p>
      <w:pPr>
        <w:pStyle w:val="Heading3"/>
      </w:pPr>
      <w:bookmarkStart w:id="1370" w:name="_Toc630"/>
      <w:r>
        <w:t>• بیت الاحزان في مصائب سيدة النسوان / تاریخ معصومین / عربی</w:t>
      </w:r>
      <w:bookmarkEnd w:id="1370"/>
    </w:p>
    <w:p>
      <w:pPr>
        <w:pStyle w:val="BookText"/>
      </w:pPr>
      <w:r>
        <w:rPr>
          <w:rFonts w:ascii="Times New Roman" w:hAnsi="Times New Roman" w:eastAsia="Times New Roman" w:cs="Times New Roman"/>
          <w:lang w:val="en-US" w:bidi="en-US"/>
          <w:color w:val="111111"/>
          <w:sz w:val="28"/>
          <w:szCs w:val="28"/>
          <w:rtl/>
        </w:rPr>
        <w:t xml:space="preserve">bayt-ul ahzan fi masa'ib-i sayyidat-in niswan</w:t>
      </w:r>
    </w:p>
    <w:p>
      <w:pPr>
        <w:pStyle w:val="BookText"/>
      </w:pPr>
      <w:r>
        <w:rPr>
          <w:rFonts w:ascii="IRNazanin" w:hAnsi="IRNazanin" w:eastAsia="IRNazanin" w:cs="IRNazanin"/>
          <w:lang w:bidi="fa-IR"/>
          <w:color w:val="111111"/>
          <w:sz w:val="28"/>
          <w:szCs w:val="28"/>
          <w:rtl/>
        </w:rPr>
        <w:t xml:space="preserve">قمی، عباس بن محمد رضا، ۱۲۵۴-۱۳۱۹ شمسی</w:t>
      </w:r>
    </w:p>
    <w:p>
      <w:pPr>
        <w:pStyle w:val="BookText"/>
      </w:pPr>
      <w:r>
        <w:rPr>
          <w:rFonts w:ascii="Times New Roman" w:hAnsi="Times New Roman" w:eastAsia="Times New Roman" w:cs="Times New Roman"/>
          <w:lang w:val="en-US" w:bidi="en-US"/>
          <w:color w:val="111111"/>
          <w:sz w:val="28"/>
          <w:szCs w:val="28"/>
          <w:rtl/>
        </w:rPr>
        <w:t xml:space="preserve">qomī, “abbās ebn-e mohammad rezā (1875-1940)</w:t>
      </w:r>
    </w:p>
    <w:p>
      <w:pPr>
        <w:pStyle w:val="BookText"/>
      </w:pPr>
      <w:r>
        <w:rPr>
          <w:rFonts w:ascii="IRNazanin" w:hAnsi="IRNazanin" w:eastAsia="IRNazanin" w:cs="IRNazanin"/>
          <w:lang w:bidi="fa-IR"/>
          <w:color w:val="111111"/>
          <w:sz w:val="28"/>
          <w:szCs w:val="28"/>
          <w:rtl/>
        </w:rPr>
        <w:t xml:space="preserve">رساله ای کوتاه در احوالات و برخی از مناقب و مصائب فاطمه زهر است و آنچه پس از رحلت پدر بر او گذشته است، مستند به احادیث اهل بیت و مصادر تاریخی است، شامل چهار «باب» و یک «خاتمه»: ۱. ولادتها و اسمائها و کناها؛ ۲. فضلها و جلالتها؛ ٣. اخبار السقيفه؛ ۴. كثرة حزنها و بكائها على ابيها؛ خاتمه: في وفاتها عليه السلام.</w:t>
      </w:r>
    </w:p>
    <w:p>
      <w:pPr>
        <w:pStyle w:val="BookText"/>
      </w:pPr>
      <w:r>
        <w:rPr>
          <w:rFonts w:ascii="Amiri" w:hAnsi="Amiri" w:eastAsia="Amiri" w:cs="Amiri"/>
          <w:lang w:bidi="ar-SA"/>
          <w:color w:val="111111"/>
          <w:sz w:val="28"/>
          <w:szCs w:val="28"/>
          <w:rtl/>
        </w:rPr>
        <w:t xml:space="preserve">آغاز: بسمله، الحمد لله ناصر المظلومين .. و بعد فيقول ... هذه رسالة مختصرة في ذكر احوال سيدة نساء العالمين و بضعة خاتم النبيين و ام الائمة الطاهرين اطهر النساء</w:t>
      </w:r>
    </w:p>
    <w:p>
      <w:pPr>
        <w:pStyle w:val="BookText"/>
      </w:pPr>
      <w:r>
        <w:rPr>
          <w:rFonts w:ascii="Amiri" w:hAnsi="Amiri" w:eastAsia="Amiri" w:cs="Amiri"/>
          <w:lang w:bidi="ar-SA"/>
          <w:color w:val="111111"/>
          <w:sz w:val="28"/>
          <w:szCs w:val="28"/>
          <w:rtl/>
        </w:rPr>
        <w:t xml:space="preserve">انجام: و مرضت مرضا شديدا و لم تدع احدا من آذاها يدخل عليها الخ. تم الكتاب.</w:t>
      </w:r>
    </w:p>
    <w:p>
      <w:pPr>
        <w:pStyle w:val="BookText"/>
      </w:pPr>
      <w:r>
        <w:rPr>
          <w:rFonts w:ascii="IRNazanin" w:hAnsi="IRNazanin" w:eastAsia="IRNazanin" w:cs="IRNazanin"/>
          <w:lang w:bidi="fa-IR"/>
          <w:color w:val="111111"/>
          <w:sz w:val="28"/>
          <w:szCs w:val="28"/>
          <w:rtl/>
        </w:rPr>
        <w:t xml:space="preserve">چاپ: با تحقیق باقر قربانی زرین، تهران، مؤسسه نبأ، ۱۳۱۴ق؛ طهران، سنگی، ۱۳۶۳ق، خشتی، ۸۶ص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04" w:name="pg20363_209442"/>
    <w:bookmarkEnd w:id="204"/>
    <w:p>
      <w:pPr>
        <w:pStyle w:val="BookText"/>
      </w:pPr>
      <w:r>
        <w:rPr>
          <w:rFonts w:ascii="IRNazanin" w:hAnsi="IRNazanin" w:eastAsia="IRNazanin" w:cs="IRNazanin"/>
          <w:lang w:bidi="fa-IR"/>
          <w:color w:val="111111"/>
          <w:sz w:val="28"/>
          <w:szCs w:val="28"/>
          <w:rtl/>
        </w:rPr>
        <w:t xml:space="preserve">[دنا ۵۹۲/۲ (۸ نسخه)؛ الذريعة ۱۸۵/۳ ؛ ریحانة الادب ۳۱۸/۳ ؛ رجال ایران ۲۱۵/۲ ؛ مشار عربی، ص ۱۳۸]</w:t>
      </w:r>
    </w:p>
    <w:p>
      <w:pPr>
        <w:pStyle w:val="BookText"/>
      </w:pPr>
      <w:r>
        <w:rPr>
          <w:rFonts w:ascii="IRNazanin" w:hAnsi="IRNazanin" w:eastAsia="IRNazanin" w:cs="IRNazanin"/>
          <w:lang w:bidi="fa-IR"/>
          <w:color w:val="111111"/>
          <w:sz w:val="28"/>
          <w:szCs w:val="28"/>
          <w:rtl/>
        </w:rPr>
        <w:t xml:space="preserve">۱. قم؛ مرعشی؛ شماره نسخه: ۱۴۹۱۶/۲</w:t>
      </w:r>
    </w:p>
    <w:p>
      <w:pPr>
        <w:pStyle w:val="BookText"/>
      </w:pPr>
      <w:r>
        <w:rPr>
          <w:rFonts w:ascii="IRNazanin" w:hAnsi="IRNazanin" w:eastAsia="IRNazanin" w:cs="IRNazanin"/>
          <w:lang w:bidi="fa-IR"/>
          <w:color w:val="111111"/>
          <w:sz w:val="28"/>
          <w:szCs w:val="28"/>
          <w:rtl/>
        </w:rPr>
        <w:t xml:space="preserve">آغاز: برابر؛ انجام: و صل على البتول الطاهرة، إلى قوله فاطمة بنت رسولک و بضعة لحمه و صمیم قلبه و فلذة كبده و التحية منک له و التحفة و في هذا الاعتزال</w:t>
      </w:r>
    </w:p>
    <w:p>
      <w:pPr>
        <w:pStyle w:val="BookText"/>
      </w:pPr>
      <w:r>
        <w:rPr>
          <w:rFonts w:ascii="IRNazanin" w:hAnsi="IRNazanin" w:eastAsia="IRNazanin" w:cs="IRNazanin"/>
          <w:lang w:bidi="fa-IR"/>
          <w:color w:val="111111"/>
          <w:sz w:val="28"/>
          <w:szCs w:val="28"/>
          <w:rtl/>
        </w:rPr>
        <w:t xml:space="preserve">باب نخست کتاب ؛ خط: نسخ، بی کا، تا: حدود قرن ۱۴؛ کاغذ: فرنگی، جلد: مشمع شطرنجی قهوه ای، ۳گ (۲۲پ -۲۴)، ۱۹ سطر (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سم [ف: ۳۷-۵۵۹]</w:t>
      </w:r>
    </w:p>
    <w:p>
      <w:pPr>
        <w:pStyle w:val="BookText"/>
      </w:pPr>
      <w:r>
        <w:rPr>
          <w:rFonts w:ascii="IRNazanin" w:hAnsi="IRNazanin" w:eastAsia="IRNazanin" w:cs="IRNazanin"/>
          <w:lang w:bidi="fa-IR"/>
          <w:color w:val="111111"/>
          <w:sz w:val="28"/>
          <w:szCs w:val="28"/>
          <w:rtl/>
        </w:rPr>
        <w:t xml:space="preserve">۲. مشهد؛ رضوی؛ شماره نسخه: ۳۶۰۴۲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۱۴؛ محشی از مؤلف، اهدایی: رهبری، مهر ۱۳۸۶؛ کاغذ: فرنگی نخودی، جلد: میشن قهوه ای با مهر «صحافی مروی مشهد» روی طبله اول مجدول، ۹۱گ، ۱۸ سطر، اندازه: ۱۴</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 سم [اهدائی رهبر: ۸-۱۷۱]</w:t>
      </w:r>
    </w:p>
    <w:p>
      <w:pPr>
        <w:pStyle w:val="BookText"/>
      </w:pPr>
      <w:r>
        <w:rPr>
          <w:rFonts w:ascii="IRNazanin" w:hAnsi="IRNazanin" w:eastAsia="IRNazanin" w:cs="IRNazanin"/>
          <w:lang w:bidi="fa-IR"/>
          <w:color w:val="111111"/>
          <w:sz w:val="28"/>
          <w:szCs w:val="28"/>
          <w:rtl/>
        </w:rPr>
        <w:t xml:space="preserve">٣. قم؛ گلپایگانی؛ شماره نسخه: ۵۸۳۰- ۲۹/۱۷۰</w:t>
      </w:r>
    </w:p>
    <w:p>
      <w:pPr>
        <w:pStyle w:val="BookText"/>
      </w:pPr>
      <w:r>
        <w:rPr>
          <w:rFonts w:ascii="Amiri" w:hAnsi="Amiri" w:eastAsia="Amiri" w:cs="Amiri"/>
          <w:lang w:bidi="ar-SA"/>
          <w:color w:val="111111"/>
          <w:sz w:val="28"/>
          <w:szCs w:val="28"/>
          <w:rtl/>
        </w:rPr>
        <w:t xml:space="preserve">آغاز: برابر، انجام: قال لما استوثق الأمر الأبي بكر و نزل من السقيفة على الصفة التي نزلها تكلم عمرو بن العاص ... و يستره من بعضهم في رسول الله صلى الله عليه و آله.</w:t>
      </w:r>
    </w:p>
    <w:p>
      <w:pPr>
        <w:pStyle w:val="BookText"/>
      </w:pPr>
      <w:r>
        <w:rPr>
          <w:rFonts w:ascii="IRNazanin" w:hAnsi="IRNazanin" w:eastAsia="IRNazanin" w:cs="IRNazanin"/>
          <w:lang w:bidi="fa-IR"/>
          <w:color w:val="111111"/>
          <w:sz w:val="28"/>
          <w:szCs w:val="28"/>
          <w:rtl/>
        </w:rPr>
        <w:t xml:space="preserve">خط: نسخ، بی کا، تا: قرن ۱۴؛ افتادگی: انجام؛ جلد: کاغذی، ۳۵گ، ۱۳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۲-۶۵۵]</w:t>
      </w:r>
    </w:p>
    <w:p>
      <w:pPr>
        <w:pStyle w:val="BookText"/>
      </w:pPr>
      <w:r>
        <w:rPr>
          <w:rFonts w:ascii="IRNazanin" w:hAnsi="IRNazanin" w:eastAsia="IRNazanin" w:cs="IRNazanin"/>
          <w:lang w:bidi="fa-IR"/>
          <w:color w:val="111111"/>
          <w:sz w:val="28"/>
          <w:szCs w:val="28"/>
          <w:rtl/>
        </w:rPr>
        <w:t xml:space="preserve">۴. مشهد؛ گوهرشاد؛ شماره نسخه: ۱۹۷۹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۱۴؛ یادداشت مؤلف با این عبارت: «از کتب احقر عباس قمی است بدست آقای آقا مصطفى قمی» و قبل از آن نیز این یادداشت است: «از کتب احقر عباس قمی است نزد احقر على القمی»؛ کاغذ: نخودی آهار مهره فرنگی، جلد: میشن یک لا قهوه ای، ۵۱ گ، ۲۰ سطر، قطع: ربعی،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۵-۳۶۲]</w:t>
      </w:r>
    </w:p>
    <w:p>
      <w:pPr>
        <w:pStyle w:val="BookText"/>
      </w:pPr>
      <w:r>
        <w:rPr>
          <w:rFonts w:ascii="IRNazanin" w:hAnsi="IRNazanin" w:eastAsia="IRNazanin" w:cs="IRNazanin"/>
          <w:lang w:bidi="fa-IR"/>
          <w:color w:val="111111"/>
          <w:sz w:val="28"/>
          <w:szCs w:val="28"/>
          <w:rtl/>
        </w:rPr>
        <w:t xml:space="preserve">۵. مشهد؛ گوهرشاد؛ شماره نسخه: ۱۹۱۵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محسن بن ابو القاسم سبزواری، تا: سه شنبه ۴ محرم ۱۳۵۱ق؛ واقف: ظاهرة اشرف زاده سبزواری، ۱۳۵۱، کاغذ: فرنگی خط دار، ۳۳گ، ۱۷- ۲۸ سطر، قطع: خشتی کوچک، اندازه: ۱۷/۵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سم [ف: ۵-۳۰۲]</w:t>
      </w:r>
    </w:p>
    <w:p>
      <w:pPr>
        <w:pStyle w:val="BookText"/>
      </w:pPr>
      <w:r>
        <w:rPr>
          <w:rFonts w:ascii="IRNazanin" w:hAnsi="IRNazanin" w:eastAsia="IRNazanin" w:cs="IRNazanin"/>
          <w:lang w:bidi="fa-IR"/>
          <w:color w:val="111111"/>
          <w:sz w:val="28"/>
          <w:szCs w:val="28"/>
          <w:rtl/>
        </w:rPr>
        <w:t xml:space="preserve">۶. قم؛ مرعشی؛ شماره نسخه: ۶۱۶۱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عبد الله موسوی اشتهاردی، تا: سلخ ربيع الأول ۱۳۵۲ق؛ افتادگی: انجام؛ تقریضی شعری از میرزا فضل الله آل داود معروف به بدايع نگار بخط کاتب نسخه؛ جلد: تیماج قهوه ای، ۸۹گ، ۱۶ سطر، اندازه: ۲۳۶۱۶/۵ سم [ف: ۱۶-۱۵۸]</w:t>
      </w:r>
    </w:p>
    <w:p>
      <w:pPr>
        <w:pStyle w:val="BookText"/>
      </w:pPr>
      <w:r>
        <w:rPr>
          <w:rFonts w:ascii="IRNazanin" w:hAnsi="IRNazanin" w:eastAsia="IRNazanin" w:cs="IRNazanin"/>
          <w:lang w:bidi="fa-IR"/>
          <w:color w:val="111111"/>
          <w:sz w:val="28"/>
          <w:szCs w:val="28"/>
          <w:rtl/>
        </w:rPr>
        <w:t xml:space="preserve">۷. همدان؛ مدرسه غرب؛ شماره نسخه: ۷۶۷۸</w:t>
      </w:r>
    </w:p>
    <w:p>
      <w:pPr>
        <w:pStyle w:val="BookText"/>
      </w:pPr>
      <w:r>
        <w:rPr>
          <w:rFonts w:ascii="IRNazanin" w:hAnsi="IRNazanin" w:eastAsia="IRNazanin" w:cs="IRNazanin"/>
          <w:lang w:bidi="fa-IR"/>
          <w:color w:val="111111"/>
          <w:sz w:val="28"/>
          <w:szCs w:val="28"/>
          <w:rtl/>
        </w:rPr>
        <w:t xml:space="preserve">خط: نسخ، كا: محمد بن عبد الله نقوي فامنینی، تا: ۲۷ ربیع الثانی ۱۳۵۹ق؛ افتادگی: انجام؛ قطع: خشتی [رشت و همدان: في: ۱۲۹۱]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مشهد؛ شیخ علی حیدر؛ شماره نسخه: ۲۹۱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جلد: چرم قرمز، ۹۱گ، ۱۸ سطر، اندازه: ۱۴</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۲۱/۵سم [مؤيد: ۱-۲۵۸]</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قم؛ معصومیه؛ شماره نسخه: ۱۶۳/۴ -۵۸۲۴</w:t>
      </w:r>
    </w:p>
    <w:p>
      <w:pPr>
        <w:pStyle w:val="BookText"/>
      </w:pPr>
      <w:r>
        <w:rPr>
          <w:rFonts w:ascii="IRNazanin" w:hAnsi="IRNazanin" w:eastAsia="IRNazanin" w:cs="IRNazanin"/>
          <w:lang w:bidi="fa-IR"/>
          <w:color w:val="111111"/>
          <w:sz w:val="28"/>
          <w:szCs w:val="28"/>
          <w:rtl/>
        </w:rPr>
        <w:t xml:space="preserve">خط: نسخ، كا: مصطفی بن احمد حسینی تهرانی مشهدی، تا: ۲۷ رمضان؛ با تقریظ میرزا فضل الله آل بدایع نگار، با اجازه مؤلف به نویسنده نسخه در ۱۳۴۶، مجدول؛ کاغذ: فرنگی، جلد: تیماج تریاکی، ۲۳۳گ، ۱۲ سطر، قطع: جيبي [ آستانه قم:-۸۴]</w:t>
      </w:r>
    </w:p>
    <w:p>
      <w:pPr>
        <w:pStyle w:val="BookText"/>
      </w:pPr>
      <w:r>
        <w:rPr>
          <w:rFonts w:ascii="IRNazanin" w:hAnsi="IRNazanin" w:eastAsia="IRNazanin" w:cs="IRNazanin"/>
          <w:lang w:bidi="fa-IR"/>
          <w:color w:val="111111"/>
          <w:sz w:val="28"/>
          <w:szCs w:val="28"/>
          <w:rtl/>
        </w:rPr>
        <w:t xml:space="preserve">← بیت الشرف ← مسالك النهج في مناسك الحج</w:t>
      </w:r>
    </w:p>
    <w:p>
      <w:pPr>
        <w:pStyle w:val="Heading3"/>
      </w:pPr>
      <w:bookmarkStart w:id="1371" w:name="_Toc631"/>
      <w:r>
        <w:t>• بيت الصديق / تاریخ / عربی</w:t>
      </w:r>
      <w:bookmarkEnd w:id="1371"/>
    </w:p>
    <w:p>
      <w:pPr>
        <w:pStyle w:val="BookText"/>
      </w:pPr>
      <w:r>
        <w:rPr>
          <w:rFonts w:ascii="Times New Roman" w:hAnsi="Times New Roman" w:eastAsia="Times New Roman" w:cs="Times New Roman"/>
          <w:lang w:val="en-US" w:bidi="en-US"/>
          <w:color w:val="111111"/>
          <w:sz w:val="28"/>
          <w:szCs w:val="28"/>
          <w:rtl/>
        </w:rPr>
        <w:t xml:space="preserve">bayt-uş șiddīq</w:t>
      </w:r>
    </w:p>
    <w:p>
      <w:pPr>
        <w:pStyle w:val="BookText"/>
      </w:pPr>
      <w:r>
        <w:rPr>
          <w:rFonts w:ascii="IRNazanin" w:hAnsi="IRNazanin" w:eastAsia="IRNazanin" w:cs="IRNazanin"/>
          <w:lang w:bidi="fa-IR"/>
          <w:color w:val="111111"/>
          <w:sz w:val="28"/>
          <w:szCs w:val="28"/>
          <w:rtl/>
        </w:rPr>
        <w:t xml:space="preserve">بکری، محمد توفيق، ۱۸۷۰- ۱۹۳۲ میلادی</w:t>
      </w:r>
    </w:p>
    <w:p>
      <w:pPr>
        <w:pStyle w:val="BookText"/>
      </w:pPr>
      <w:r>
        <w:rPr>
          <w:rFonts w:ascii="Times New Roman" w:hAnsi="Times New Roman" w:eastAsia="Times New Roman" w:cs="Times New Roman"/>
          <w:lang w:val="en-US" w:bidi="en-US"/>
          <w:color w:val="111111"/>
          <w:sz w:val="28"/>
          <w:szCs w:val="28"/>
          <w:rtl/>
        </w:rPr>
        <w:t xml:space="preserve">bakrī, mohammad towfīq (1870-1932)</w:t>
      </w:r>
    </w:p>
    <w:p>
      <w:pPr>
        <w:pStyle w:val="BookText"/>
      </w:pPr>
      <w:r>
        <w:rPr>
          <w:rFonts w:ascii="IRNazanin" w:hAnsi="IRNazanin" w:eastAsia="IRNazanin" w:cs="IRNazanin"/>
          <w:lang w:bidi="fa-IR"/>
          <w:color w:val="111111"/>
          <w:sz w:val="28"/>
          <w:szCs w:val="28"/>
          <w:rtl/>
        </w:rPr>
        <w:t xml:space="preserve">شرح زندگانی اولاد و احفاد ابو بکر است که در مصر و جاهای دیگر سکونت داشته اند، در نه «باب»: ۱. توصیف خاندان بکری در مصر؛ ۲. نسب نامه آنها؛ 3. احوال آنان تا ابوبکر؛ ۴. احوال آنانکه در مصر هستند؛ ۵. احوال اجداد مؤلف تا حضرت امام حسن (علیه السلام)؛ ۶. احوال اجداد مؤلف تا عمر بن الخطاب؛ ۷. وظائف رسمی که به خاندان بکری تعلق دارد؛ ۸ تکیه ها و خانقاه های منسوب به بکریها؛ ۹. برنامه های دینی که تعلق به این خاندان دارد. چاپ: مطبوعات المؤيد، ۴۱۶ص، ۱۳۲۳ ق.</w:t>
      </w:r>
    </w:p>
    <w:p>
      <w:pPr>
        <w:pStyle w:val="BookText"/>
      </w:pPr>
      <w:r>
        <w:rPr>
          <w:rFonts w:ascii="IRNazanin" w:hAnsi="IRNazanin" w:eastAsia="IRNazanin" w:cs="IRNazanin"/>
          <w:lang w:bidi="fa-IR"/>
          <w:color w:val="111111"/>
          <w:sz w:val="28"/>
          <w:szCs w:val="28"/>
          <w:rtl/>
        </w:rPr>
        <w:t xml:space="preserve">قم؛ مرعشی؛ شماره نسخه: ۱۰۲۲</w:t>
      </w:r>
    </w:p>
    <w:p>
      <w:pPr>
        <w:pStyle w:val="BookText"/>
      </w:pPr>
      <w:r>
        <w:rPr>
          <w:rFonts w:ascii="IRNazanin" w:hAnsi="IRNazanin" w:eastAsia="IRNazanin" w:cs="IRNazanin"/>
          <w:lang w:bidi="fa-IR"/>
          <w:color w:val="111111"/>
          <w:sz w:val="28"/>
          <w:szCs w:val="28"/>
          <w:rtl/>
        </w:rPr>
        <w:t xml:space="preserve">آغاز: الحمدلله رب العالمين ... و بعد فهذا كتاب جمعنا منظومه و نظمنا منثوره من كتب كثيرة و أسفار عديدة؛ انجام: و أعزالله حرمة الاسلام بجاهه المنيع عليه الصلاة و السلام و آله و صحبه بدور التمام. خط: نسخ زیبا، بی کا، بی تا؛ جلد: پارچه سبز، ۲۱۸گ، ۱۹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۳-۲۱۷]</w:t>
      </w:r>
    </w:p>
    <w:p>
      <w:pPr>
        <w:pStyle w:val="BookText"/>
      </w:pPr>
      <w:r>
        <w:rPr>
          <w:rFonts w:ascii="IRNazanin" w:hAnsi="IRNazanin" w:eastAsia="IRNazanin" w:cs="IRNazanin"/>
          <w:lang w:bidi="fa-IR"/>
          <w:color w:val="111111"/>
          <w:sz w:val="28"/>
          <w:szCs w:val="28"/>
          <w:rtl/>
        </w:rPr>
        <w:t xml:space="preserve">← بيت القصيد و در الفرید← مجموعه اشعار</w:t>
      </w:r>
    </w:p>
    <w:p>
      <w:pPr>
        <w:pStyle w:val="BookText"/>
      </w:pPr>
      <w:r>
        <w:rPr>
          <w:rFonts w:ascii="IRNazanin" w:hAnsi="IRNazanin" w:eastAsia="IRNazanin" w:cs="IRNazanin"/>
          <w:lang w:bidi="fa-IR"/>
          <w:color w:val="111111"/>
          <w:sz w:val="28"/>
          <w:szCs w:val="28"/>
          <w:rtl/>
        </w:rPr>
        <w:t xml:space="preserve">← بیت المال ← احوال بیت المال</w:t>
      </w:r>
    </w:p>
    <w:p>
      <w:pPr>
        <w:pStyle w:val="Heading3"/>
      </w:pPr>
      <w:bookmarkStart w:id="1372" w:name="_Toc632"/>
      <w:r>
        <w:t>• بیت المعمور / آداب و سنن / فارسی</w:t>
      </w:r>
      <w:bookmarkEnd w:id="1372"/>
    </w:p>
    <w:p>
      <w:pPr>
        <w:pStyle w:val="BookText"/>
      </w:pPr>
      <w:r>
        <w:rPr>
          <w:rFonts w:ascii="Times New Roman" w:hAnsi="Times New Roman" w:eastAsia="Times New Roman" w:cs="Times New Roman"/>
          <w:lang w:val="en-US" w:bidi="en-US"/>
          <w:color w:val="111111"/>
          <w:sz w:val="28"/>
          <w:szCs w:val="28"/>
          <w:rtl/>
        </w:rPr>
        <w:t xml:space="preserve">beyt-ol ma‘mūr</w:t>
      </w:r>
    </w:p>
    <w:p>
      <w:pPr>
        <w:pStyle w:val="BookText"/>
      </w:pPr>
      <w:r>
        <w:rPr>
          <w:rFonts w:ascii="IRNazanin" w:hAnsi="IRNazanin" w:eastAsia="IRNazanin" w:cs="IRNazanin"/>
          <w:lang w:bidi="fa-IR"/>
          <w:color w:val="111111"/>
          <w:sz w:val="28"/>
          <w:szCs w:val="28"/>
          <w:rtl/>
        </w:rPr>
        <w:t xml:space="preserve">مشهدی، محمد اشرف بن پیر محمد،</w:t>
      </w:r>
    </w:p>
    <w:p>
      <w:pPr>
        <w:pStyle w:val="BookText"/>
      </w:pPr>
      <w:r>
        <w:rPr>
          <w:rFonts w:ascii="Times New Roman" w:hAnsi="Times New Roman" w:eastAsia="Times New Roman" w:cs="Times New Roman"/>
          <w:lang w:val="en-US" w:bidi="en-US"/>
          <w:color w:val="111111"/>
          <w:sz w:val="28"/>
          <w:szCs w:val="28"/>
          <w:rtl/>
        </w:rPr>
        <w:t xml:space="preserve">mashadī, mohammad ašraf ebn-e pīr mohammad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05" w:name="pg20363_209443"/>
    <w:bookmarkEnd w:id="205"/>
    <w:p>
      <w:pPr>
        <w:pStyle w:val="BookText"/>
      </w:pPr>
      <w:r>
        <w:rPr>
          <w:rFonts w:ascii="IRNazanin" w:hAnsi="IRNazanin" w:eastAsia="IRNazanin" w:cs="IRNazanin"/>
          <w:lang w:bidi="fa-IR"/>
          <w:color w:val="111111"/>
          <w:sz w:val="28"/>
          <w:szCs w:val="28"/>
          <w:rtl/>
        </w:rPr>
        <w:t xml:space="preserve">یزد؛ وزیری؛ شماره نسخه: ۶۲۰</w:t>
      </w:r>
    </w:p>
    <w:p>
      <w:pPr>
        <w:pStyle w:val="BookText"/>
      </w:pPr>
      <w:r>
        <w:rPr>
          <w:rFonts w:ascii="IRNazanin" w:hAnsi="IRNazanin" w:eastAsia="IRNazanin" w:cs="IRNazanin"/>
          <w:lang w:bidi="fa-IR"/>
          <w:color w:val="111111"/>
          <w:sz w:val="28"/>
          <w:szCs w:val="28"/>
          <w:rtl/>
        </w:rPr>
        <w:t xml:space="preserve">آغاز: پس بپرستید مرا و فرمود که بخواهند مرا تا اجابت شما نمایم؛ انجام: نماز فاطمه(عليه السلام)مفضل بن عمر از حضرت صادق(عليه السلام)روایت کرده که خط: مختلف، بی کا، تا: قرن ۱۲؛ افتادگی: آغاز و انجام؛ اهدایی: وزیری؛ کاغذ: حنایی اصفهانی، جلد: مقوایی با کاغذ ابری عطف تیماج قرمز، ۳۲۲گ، ۱۵ سطر (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 سم [ف: ۲-۵۲۸]</w:t>
      </w:r>
    </w:p>
    <w:p>
      <w:pPr>
        <w:pStyle w:val="BookText"/>
      </w:pPr>
      <w:r>
        <w:rPr>
          <w:rFonts w:ascii="IRNazanin" w:hAnsi="IRNazanin" w:eastAsia="IRNazanin" w:cs="IRNazanin"/>
          <w:lang w:bidi="fa-IR"/>
          <w:color w:val="111111"/>
          <w:sz w:val="28"/>
          <w:szCs w:val="28"/>
          <w:rtl/>
        </w:rPr>
        <w:t xml:space="preserve">← بیت المقدس ← بنای مکه و بیت المقدس</w:t>
      </w:r>
    </w:p>
    <w:p>
      <w:pPr>
        <w:pStyle w:val="Heading3"/>
      </w:pPr>
      <w:bookmarkStart w:id="1373" w:name="_Toc633"/>
      <w:r>
        <w:t>• بیج کنت بهاسکرا جارج (ترجمه) / ریاضیات / فارسی</w:t>
      </w:r>
      <w:bookmarkEnd w:id="1373"/>
    </w:p>
    <w:p>
      <w:pPr>
        <w:pStyle w:val="BookText"/>
      </w:pPr>
      <w:r>
        <w:rPr>
          <w:rFonts w:ascii="IRNazanin" w:hAnsi="IRNazanin" w:eastAsia="IRNazanin" w:cs="IRNazanin"/>
          <w:lang w:bidi="fa-IR"/>
          <w:color w:val="111111"/>
          <w:sz w:val="28"/>
          <w:szCs w:val="28"/>
          <w:rtl/>
        </w:rPr>
        <w:t xml:space="preserve">رشیدی، عطاء الله بن احمد، ق ۱۱ قمری</w:t>
      </w:r>
    </w:p>
    <w:p>
      <w:pPr>
        <w:pStyle w:val="BookText"/>
      </w:pPr>
      <w:r>
        <w:rPr>
          <w:rFonts w:ascii="Times New Roman" w:hAnsi="Times New Roman" w:eastAsia="Times New Roman" w:cs="Times New Roman"/>
          <w:lang w:val="en-US" w:bidi="en-US"/>
          <w:color w:val="111111"/>
          <w:sz w:val="28"/>
          <w:szCs w:val="28"/>
          <w:rtl/>
        </w:rPr>
        <w:t xml:space="preserve">rašīdī, ‘atā'-ol-lāh ebn-e ahmad (- 17c)</w:t>
      </w:r>
    </w:p>
    <w:p>
      <w:pPr>
        <w:pStyle w:val="BookText"/>
      </w:pPr>
      <w:r>
        <w:rPr>
          <w:rFonts w:ascii="IRNazanin" w:hAnsi="IRNazanin" w:eastAsia="IRNazanin" w:cs="IRNazanin"/>
          <w:lang w:bidi="fa-IR"/>
          <w:color w:val="111111"/>
          <w:sz w:val="28"/>
          <w:szCs w:val="28"/>
          <w:rtl/>
        </w:rPr>
        <w:t xml:space="preserve">در جبر و مقابله.</w:t>
      </w:r>
    </w:p>
    <w:p>
      <w:pPr>
        <w:pStyle w:val="BookText"/>
      </w:pPr>
      <w:r>
        <w:rPr>
          <w:rFonts w:ascii="IRNazanin" w:hAnsi="IRNazanin" w:eastAsia="IRNazanin" w:cs="IRNazanin"/>
          <w:lang w:bidi="fa-IR"/>
          <w:color w:val="111111"/>
          <w:sz w:val="28"/>
          <w:szCs w:val="28"/>
          <w:rtl/>
        </w:rPr>
        <w:t xml:space="preserve">[ نسخه های منزوی ۱۵۱]</w:t>
      </w:r>
    </w:p>
    <w:p>
      <w:pPr>
        <w:pStyle w:val="BookText"/>
      </w:pPr>
      <w:r>
        <w:rPr>
          <w:rFonts w:ascii="IRNazanin" w:hAnsi="IRNazanin" w:eastAsia="IRNazanin" w:cs="IRNazanin"/>
          <w:lang w:bidi="fa-IR"/>
          <w:color w:val="111111"/>
          <w:sz w:val="28"/>
          <w:szCs w:val="28"/>
          <w:rtl/>
        </w:rPr>
        <w:t xml:space="preserve">تهران؛ دانشگاه؛ شماره نسخه: ۵۱۲۹ف</w:t>
      </w:r>
    </w:p>
    <w:p>
      <w:pPr>
        <w:pStyle w:val="BookText"/>
      </w:pPr>
      <w:r>
        <w:rPr>
          <w:rFonts w:ascii="IRNazanin" w:hAnsi="IRNazanin" w:eastAsia="IRNazanin" w:cs="IRNazanin"/>
          <w:lang w:bidi="fa-IR"/>
          <w:color w:val="111111"/>
          <w:sz w:val="28"/>
          <w:szCs w:val="28"/>
          <w:rtl/>
        </w:rPr>
        <w:t xml:space="preserve">نسخه اصل: مونیخ ۳۴۵؛ بی کا، بی تا [فیلمها ف: ۳-۱۳۵]</w:t>
      </w:r>
    </w:p>
    <w:p>
      <w:pPr>
        <w:pStyle w:val="BookText"/>
      </w:pPr>
      <w:r>
        <w:rPr>
          <w:rFonts w:ascii="IRNazanin" w:hAnsi="IRNazanin" w:eastAsia="IRNazanin" w:cs="IRNazanin"/>
          <w:lang w:bidi="fa-IR"/>
          <w:color w:val="111111"/>
          <w:sz w:val="28"/>
          <w:szCs w:val="28"/>
          <w:rtl/>
        </w:rPr>
        <w:t xml:space="preserve">← بیخ چینی ← چوب چینی</w:t>
      </w:r>
    </w:p>
    <w:p>
      <w:pPr>
        <w:pStyle w:val="Heading3"/>
      </w:pPr>
      <w:bookmarkStart w:id="1374" w:name="_Toc634"/>
      <w:r>
        <w:t>• بیخ چینی = چوب چینی / طب / فارسی</w:t>
      </w:r>
      <w:bookmarkEnd w:id="1374"/>
    </w:p>
    <w:p>
      <w:pPr>
        <w:pStyle w:val="BookText"/>
      </w:pPr>
      <w:r>
        <w:rPr>
          <w:rFonts w:ascii="Times New Roman" w:hAnsi="Times New Roman" w:eastAsia="Times New Roman" w:cs="Times New Roman"/>
          <w:lang w:val="en-US" w:bidi="en-US"/>
          <w:color w:val="111111"/>
          <w:sz w:val="28"/>
          <w:szCs w:val="28"/>
          <w:rtl/>
        </w:rPr>
        <w:t xml:space="preserve">bīx-e čīnī= čūb-e čīnī</w:t>
      </w:r>
    </w:p>
    <w:p>
      <w:pPr>
        <w:pStyle w:val="BookText"/>
      </w:pPr>
      <w:r>
        <w:rPr>
          <w:rFonts w:ascii="IRNazanin" w:hAnsi="IRNazanin" w:eastAsia="IRNazanin" w:cs="IRNazanin"/>
          <w:lang w:bidi="fa-IR"/>
          <w:color w:val="111111"/>
          <w:sz w:val="28"/>
          <w:szCs w:val="28"/>
          <w:rtl/>
        </w:rPr>
        <w:t xml:space="preserve">عماد الدین شیرازی، محمود بن مسعود، -۹۸۴؟ قمری</w:t>
      </w:r>
    </w:p>
    <w:p>
      <w:pPr>
        <w:pStyle w:val="BookText"/>
      </w:pPr>
      <w:r>
        <w:rPr>
          <w:rFonts w:ascii="Times New Roman" w:hAnsi="Times New Roman" w:eastAsia="Times New Roman" w:cs="Times New Roman"/>
          <w:lang w:val="en-US" w:bidi="en-US"/>
          <w:color w:val="111111"/>
          <w:sz w:val="28"/>
          <w:szCs w:val="28"/>
          <w:rtl/>
        </w:rPr>
        <w:t xml:space="preserve">“emād-od-dīn-e šīrāzī, mahmūd ebn-e mas‘ūd (- 1577)</w:t>
      </w:r>
    </w:p>
    <w:p>
      <w:pPr>
        <w:pStyle w:val="BookText"/>
      </w:pPr>
      <w:r>
        <w:rPr>
          <w:rFonts w:ascii="IRNazanin" w:hAnsi="IRNazanin" w:eastAsia="IRNazanin" w:cs="IRNazanin"/>
          <w:lang w:bidi="fa-IR"/>
          <w:color w:val="111111"/>
          <w:sz w:val="28"/>
          <w:szCs w:val="28"/>
          <w:rtl/>
        </w:rPr>
        <w:t xml:space="preserve">اهداء به: شاه سلیمان الزمانی</w:t>
      </w:r>
    </w:p>
    <w:p>
      <w:pPr>
        <w:pStyle w:val="BookText"/>
      </w:pPr>
      <w:r>
        <w:rPr>
          <w:rFonts w:ascii="Amiri" w:hAnsi="Amiri" w:eastAsia="Amiri" w:cs="Amiri"/>
          <w:lang w:bidi="ar-SA"/>
          <w:color w:val="111111"/>
          <w:sz w:val="28"/>
          <w:szCs w:val="28"/>
          <w:rtl/>
        </w:rPr>
        <w:t xml:space="preserve">تاريخ تأليف: ۹۵۴ق؛ محل تأليف: هندوستان</w:t>
      </w:r>
    </w:p>
    <w:p>
      <w:pPr>
        <w:pStyle w:val="BookText"/>
      </w:pPr>
      <w:r>
        <w:rPr>
          <w:rFonts w:ascii="IRNazanin" w:hAnsi="IRNazanin" w:eastAsia="IRNazanin" w:cs="IRNazanin"/>
          <w:lang w:bidi="fa-IR"/>
          <w:color w:val="111111"/>
          <w:sz w:val="28"/>
          <w:szCs w:val="28"/>
          <w:rtl/>
        </w:rPr>
        <w:t xml:space="preserve">رساله ای مختصر در خواص و آثار چوب چینی، دارای یک« مقدمه» و چند «فصل» و</w:t>
      </w:r>
    </w:p>
    <w:p>
      <w:pPr>
        <w:pStyle w:val="BookText"/>
      </w:pPr>
      <w:r>
        <w:rPr>
          <w:rFonts w:ascii="IRNazanin" w:hAnsi="IRNazanin" w:eastAsia="IRNazanin" w:cs="IRNazanin"/>
          <w:lang w:bidi="fa-IR"/>
          <w:color w:val="111111"/>
          <w:sz w:val="28"/>
          <w:szCs w:val="28"/>
          <w:rtl/>
        </w:rPr>
        <w:t xml:space="preserve">«تنبیه» (فصل ها در نسخه ها یکسان نیست و ممکن است چند تحریر باشد): مقدمه: در پیدایش بیخ چینی؛ فصل 1. تحقیق طبیعت او؛ ۲. منافع او؛ 3. شرایط خوردن او؛ ۴. مقدمات خوردن؛ ۵. ترتیب خوردن؛ ۶. استعمال این بیخ بغیر طریق مذکور.</w:t>
      </w:r>
    </w:p>
    <w:p>
      <w:pPr>
        <w:pStyle w:val="BookText"/>
      </w:pPr>
      <w:r>
        <w:rPr>
          <w:rFonts w:ascii="IRNazanin" w:hAnsi="IRNazanin" w:eastAsia="IRNazanin" w:cs="IRNazanin"/>
          <w:lang w:bidi="fa-IR"/>
          <w:color w:val="111111"/>
          <w:sz w:val="28"/>
          <w:szCs w:val="28"/>
          <w:rtl/>
        </w:rPr>
        <w:t xml:space="preserve">آغاز: ۱. بسمله الحمدلله على نعمائه .. و بعد این رساله ای است مختصر و مقاله ای است معتبر در امور متعلقه به بیخ چینی که حسب الامر نواب جهانبانی</w:t>
      </w:r>
    </w:p>
    <w:p>
      <w:pPr>
        <w:pStyle w:val="BookText"/>
      </w:pPr>
      <w:r>
        <w:rPr>
          <w:rFonts w:ascii="IRNazanin" w:hAnsi="IRNazanin" w:eastAsia="IRNazanin" w:cs="IRNazanin"/>
          <w:lang w:bidi="fa-IR"/>
          <w:color w:val="111111"/>
          <w:sz w:val="28"/>
          <w:szCs w:val="28"/>
          <w:rtl/>
        </w:rPr>
        <w:t xml:space="preserve">۲: سپاس و ستایش</w:t>
      </w:r>
    </w:p>
    <w:p>
      <w:pPr>
        <w:pStyle w:val="BookText"/>
      </w:pPr>
      <w:r>
        <w:rPr>
          <w:rFonts w:ascii="IRNazanin" w:hAnsi="IRNazanin" w:eastAsia="IRNazanin" w:cs="IRNazanin"/>
          <w:lang w:bidi="fa-IR"/>
          <w:color w:val="111111"/>
          <w:sz w:val="28"/>
          <w:szCs w:val="28"/>
          <w:rtl/>
        </w:rPr>
        <w:t xml:space="preserve">آفریدگاری را که انسان را به شرف نطق ... انجام: مهارت حاصل نیاید و الله الموفق للصواب.</w:t>
      </w:r>
    </w:p>
    <w:p>
      <w:pPr>
        <w:pStyle w:val="BookText"/>
      </w:pPr>
      <w:r>
        <w:rPr>
          <w:rFonts w:ascii="IRNazanin" w:hAnsi="IRNazanin" w:eastAsia="IRNazanin" w:cs="IRNazanin"/>
          <w:lang w:bidi="fa-IR"/>
          <w:color w:val="111111"/>
          <w:sz w:val="28"/>
          <w:szCs w:val="28"/>
          <w:rtl/>
        </w:rPr>
        <w:t xml:space="preserve">[دنا ۵۹۳/۲ (۲۱ نسخه)؛ الذريعة ۳۱۰/۵ و ۲۲۳۱/۳ ؛ نسخه های منزوی ۴۱۵/۱ (۶ نسخه)؛ فهرستواره منزوی ۳۸۲۶/۵ «چوب چینی»؛ مشترک پاکستان ۳۹۵/۱ ، ۴۱۹ (۱ نسخه) ۶۵۵؛ استوری، پزشکی ۲۴۲ «رساله در بیان خواص و منفعات چوب چینی» در ۹ «باب»، همانجا ۲۴۳«رساله بیخ چینی» در«مقدمه» و ۶ «فصل» همانجا ۱۰۲ «رساله بیخ چینی»]</w:t>
      </w:r>
    </w:p>
    <w:p>
      <w:pPr>
        <w:pStyle w:val="BookText"/>
      </w:pPr>
      <w:r>
        <w:rPr>
          <w:rFonts w:ascii="IRNazanin" w:hAnsi="IRNazanin" w:eastAsia="IRNazanin" w:cs="IRNazanin"/>
          <w:lang w:bidi="fa-IR"/>
          <w:color w:val="111111"/>
          <w:sz w:val="28"/>
          <w:szCs w:val="28"/>
          <w:rtl/>
        </w:rPr>
        <w:t xml:space="preserve">۱. تهران، دانشگاه؛ شماره نسخه: ۸۲۴۶/۶</w:t>
      </w:r>
    </w:p>
    <w:p>
      <w:pPr>
        <w:pStyle w:val="BookText"/>
      </w:pPr>
      <w:r>
        <w:rPr>
          <w:rFonts w:ascii="IRNazanin" w:hAnsi="IRNazanin" w:eastAsia="IRNazanin" w:cs="IRNazanin"/>
          <w:lang w:bidi="fa-IR"/>
          <w:color w:val="111111"/>
          <w:sz w:val="28"/>
          <w:szCs w:val="28"/>
          <w:rtl/>
        </w:rPr>
        <w:t xml:space="preserve">انجام: فصل در استعمال این بیخ به غير طريق مذکور ... «سطر پنجم» و تسدید آن کمتر دیگر یافتند. خط: نستعلیق، بی کا، تا: قرن ۱۰؛ افتادگی: انجام؛ کاغذ: سپاهانی، جلد: تیماج مشکی ضربی مقوایی، ۱۰گ (۷۷پ -۸۶پ)، ۱۹ سطر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سم [ف: ۱۷-۸۶]</w:t>
      </w:r>
    </w:p>
    <w:p>
      <w:pPr>
        <w:pStyle w:val="BookText"/>
      </w:pPr>
      <w:r>
        <w:rPr>
          <w:rFonts w:ascii="IRNazanin" w:hAnsi="IRNazanin" w:eastAsia="IRNazanin" w:cs="IRNazanin"/>
          <w:lang w:bidi="fa-IR"/>
          <w:color w:val="111111"/>
          <w:sz w:val="28"/>
          <w:szCs w:val="28"/>
          <w:rtl/>
        </w:rPr>
        <w:t xml:space="preserve">۲. تهران: مجلس؛ شماره نسخه: ۶۳۰۷/۲</w:t>
      </w:r>
    </w:p>
    <w:p>
      <w:pPr>
        <w:pStyle w:val="BookText"/>
      </w:pPr>
      <w:r>
        <w:rPr>
          <w:rFonts w:ascii="IRNazanin" w:hAnsi="IRNazanin" w:eastAsia="IRNazanin" w:cs="IRNazanin"/>
          <w:lang w:bidi="fa-IR"/>
          <w:color w:val="111111"/>
          <w:sz w:val="28"/>
          <w:szCs w:val="28"/>
          <w:rtl/>
        </w:rPr>
        <w:t xml:space="preserve">آغاز: برابر ۱؛ انجام: برابر کا: پزشک علی رضا بن حسن بن مسعود طبيب (برادر زاده عمادالدین مؤلف رساله)، تا: ۹۷۷ق؛ کاغذ: دولت آبادی شکری رنگ، جلد: مقوا با روکش</w:t>
      </w:r>
    </w:p>
    <w:p>
      <w:pPr>
        <w:pStyle w:val="BookText"/>
      </w:pPr>
      <w:r>
        <w:rPr>
          <w:rFonts w:ascii="IRNazanin" w:hAnsi="IRNazanin" w:eastAsia="IRNazanin" w:cs="IRNazanin"/>
          <w:lang w:bidi="fa-IR"/>
          <w:color w:val="111111"/>
          <w:sz w:val="28"/>
          <w:szCs w:val="28"/>
          <w:rtl/>
        </w:rPr>
        <w:t xml:space="preserve">کاغذ موجی با زمینه آبی، ۸۴ص ( ۱۳۲-۴۹ )، ۱۵ سطر، قطع: خشتی کوچک، اندازه:</w:t>
      </w:r>
    </w:p>
    <w:p>
      <w:pPr>
        <w:pStyle w:val="BookText"/>
      </w:pPr>
      <w:r>
        <w:rPr>
          <w:rFonts w:ascii="IRNazanin" w:hAnsi="IRNazanin" w:eastAsia="IRNazanin" w:cs="IRNazanin"/>
          <w:lang w:bidi="fa-IR"/>
          <w:color w:val="111111"/>
          <w:sz w:val="28"/>
          <w:szCs w:val="28"/>
          <w:rtl/>
        </w:rPr>
        <w:t xml:space="preserve">۱۳/۵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۲۰/۵ سم [ف: ۱۹-۲۸۹]</w:t>
      </w:r>
    </w:p>
    <w:p>
      <w:pPr>
        <w:pStyle w:val="BookText"/>
      </w:pPr>
      <w:r>
        <w:rPr>
          <w:rFonts w:ascii="IRNazanin" w:hAnsi="IRNazanin" w:eastAsia="IRNazanin" w:cs="IRNazanin"/>
          <w:lang w:bidi="fa-IR"/>
          <w:color w:val="111111"/>
          <w:sz w:val="28"/>
          <w:szCs w:val="28"/>
          <w:rtl/>
        </w:rPr>
        <w:t xml:space="preserve">٣. تهران: مجلس؛ شماره نسخه: ۵۱۳۸/۱۱۹</w:t>
      </w:r>
    </w:p>
    <w:p>
      <w:pPr>
        <w:pStyle w:val="BookText"/>
      </w:pPr>
      <w:r>
        <w:rPr>
          <w:rFonts w:ascii="IRNazanin" w:hAnsi="IRNazanin" w:eastAsia="IRNazanin" w:cs="IRNazanin"/>
          <w:lang w:bidi="fa-IR"/>
          <w:color w:val="111111"/>
          <w:sz w:val="28"/>
          <w:szCs w:val="28"/>
          <w:rtl/>
        </w:rPr>
        <w:t xml:space="preserve">آغاز: برابر ۱؛ انجام: و بدترین اوقات آن زمانی است که برودة هوا کشف مسلم نماید و شاید که ظاهر عقلی مقتضی آنست که اسنان بی کا، تا: قرن ۱۱، ۳گ (۴۷۶-۴۷۸) [ف: ۱۵-۱۸۹]</w:t>
      </w:r>
    </w:p>
    <w:p>
      <w:pPr>
        <w:pStyle w:val="BookText"/>
      </w:pPr>
      <w:r>
        <w:rPr>
          <w:rFonts w:ascii="IRNazanin" w:hAnsi="IRNazanin" w:eastAsia="IRNazanin" w:cs="IRNazanin"/>
          <w:lang w:bidi="fa-IR"/>
          <w:color w:val="111111"/>
          <w:sz w:val="28"/>
          <w:szCs w:val="28"/>
          <w:rtl/>
        </w:rPr>
        <w:t xml:space="preserve">۴. تهران؛ ملی؛ شماره نسخه: ۳۸۸۷/۱۳</w:t>
      </w:r>
    </w:p>
    <w:p>
      <w:pPr>
        <w:pStyle w:val="BookText"/>
      </w:pPr>
      <w:r>
        <w:rPr>
          <w:rFonts w:ascii="IRNazanin" w:hAnsi="IRNazanin" w:eastAsia="IRNazanin" w:cs="IRNazanin"/>
          <w:lang w:bidi="fa-IR"/>
          <w:color w:val="111111"/>
          <w:sz w:val="28"/>
          <w:szCs w:val="28"/>
          <w:rtl/>
        </w:rPr>
        <w:t xml:space="preserve">آغاز: از خز از بیرون آوردند زیرا که دوای امراض بیخ چینی و این دردمند بی نوا آرزو داشتم که طبیبی ... خبر رسانید که جوانی ... از طرف فرنگی آمده؛ انجام: بازخورد و شربت میانه روز و غذا به دستور</w:t>
      </w:r>
    </w:p>
    <w:p>
      <w:pPr>
        <w:pStyle w:val="BookText"/>
      </w:pPr>
      <w:r>
        <w:rPr>
          <w:rFonts w:ascii="IRNazanin" w:hAnsi="IRNazanin" w:eastAsia="IRNazanin" w:cs="IRNazanin"/>
          <w:lang w:bidi="fa-IR"/>
          <w:color w:val="111111"/>
          <w:sz w:val="28"/>
          <w:szCs w:val="28"/>
          <w:rtl/>
        </w:rPr>
        <w:t xml:space="preserve">خط: نستعلیق زیبا، بی کا، تا: قرن ۱۱؛ افتادگی: آغاز؛ کاغذ: اصفهانی نخودی، جلد: تیماج یک لا مشکی، جلد کوتاهتر از کتاب است، دور آن گل بوته فشاری، ۲گ (۷۱ر-۷۲پ)، ۱۲ سطر، اندازه: ۱۳/۷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۱۹/۲ سم [ف: ۱۷-۱۴۰]</w:t>
      </w:r>
    </w:p>
    <w:p>
      <w:pPr>
        <w:pStyle w:val="BookText"/>
      </w:pPr>
      <w:r>
        <w:rPr>
          <w:rFonts w:ascii="IRNazanin" w:hAnsi="IRNazanin" w:eastAsia="IRNazanin" w:cs="IRNazanin"/>
          <w:lang w:bidi="fa-IR"/>
          <w:color w:val="111111"/>
          <w:sz w:val="28"/>
          <w:szCs w:val="28"/>
          <w:rtl/>
        </w:rPr>
        <w:t xml:space="preserve">۵. تهران؛ دانشگاه؛ شماره نسخه: ۶۷۱۰/۲۳</w:t>
      </w:r>
    </w:p>
    <w:p>
      <w:pPr>
        <w:pStyle w:val="BookText"/>
      </w:pPr>
      <w:r>
        <w:rPr>
          <w:rFonts w:ascii="IRNazanin" w:hAnsi="IRNazanin" w:eastAsia="IRNazanin" w:cs="IRNazanin"/>
          <w:lang w:bidi="fa-IR"/>
          <w:color w:val="111111"/>
          <w:sz w:val="28"/>
          <w:szCs w:val="28"/>
          <w:rtl/>
        </w:rPr>
        <w:t xml:space="preserve">آغاز: بسمله. الحمد الله الذي اودع الشفاء في الدواء ... اما بعد این رساله ایست معتبر در امور متعلقه به بیخ چینی</w:t>
      </w:r>
    </w:p>
    <w:p>
      <w:pPr>
        <w:pStyle w:val="BookText"/>
      </w:pPr>
      <w:r>
        <w:rPr>
          <w:rFonts w:ascii="IRNazanin" w:hAnsi="IRNazanin" w:eastAsia="IRNazanin" w:cs="IRNazanin"/>
          <w:lang w:bidi="fa-IR"/>
          <w:color w:val="111111"/>
          <w:sz w:val="28"/>
          <w:szCs w:val="28"/>
          <w:rtl/>
        </w:rPr>
        <w:t xml:space="preserve">خط: نستعلیق ریز، كا: نصیر الدین محمد رضوی شاگرد آقا حسین خوانساری، تا: بین سال های ۱۰۶۴ الی ۱۰۹۶؛ مصحح، محشی کاغذ: سپاهانی، جلد: تیماج حنایی مقوایی درون سرخ با لولا، ۳گ (۶۹پ -۷۱پ)، ۴۲ سطر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قطع: رحلی،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۱۶- ۳۳۹]</w:t>
      </w:r>
    </w:p>
    <w:p>
      <w:pPr>
        <w:pStyle w:val="BookText"/>
      </w:pPr>
      <w:r>
        <w:rPr>
          <w:rFonts w:ascii="IRNazanin" w:hAnsi="IRNazanin" w:eastAsia="IRNazanin" w:cs="IRNazanin"/>
          <w:lang w:bidi="fa-IR"/>
          <w:color w:val="111111"/>
          <w:sz w:val="28"/>
          <w:szCs w:val="28"/>
          <w:rtl/>
        </w:rPr>
        <w:t xml:space="preserve">قم مرکز احیاء؛ شماره نسخه: ۱۳۵۶/۲۲</w:t>
      </w:r>
    </w:p>
    <w:p>
      <w:pPr>
        <w:pStyle w:val="BookText"/>
      </w:pPr>
      <w:r>
        <w:rPr>
          <w:rFonts w:ascii="IRNazanin" w:hAnsi="IRNazanin" w:eastAsia="IRNazanin" w:cs="IRNazanin"/>
          <w:lang w:bidi="fa-IR"/>
          <w:color w:val="111111"/>
          <w:sz w:val="28"/>
          <w:szCs w:val="28"/>
          <w:rtl/>
        </w:rPr>
        <w:t xml:space="preserve">نسخه اصل: همان نسخه بالا [عکسی ف: ۴-۱۷۴]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قم؛ مسجد اعظم؛ شماره نسخه: ۲۴۵۱/۴</w:t>
      </w:r>
    </w:p>
    <w:p>
      <w:pPr>
        <w:pStyle w:val="BookText"/>
      </w:pPr>
      <w:r>
        <w:rPr>
          <w:rFonts w:ascii="IRNazanin" w:hAnsi="IRNazanin" w:eastAsia="IRNazanin" w:cs="IRNazanin"/>
          <w:lang w:bidi="fa-IR"/>
          <w:color w:val="111111"/>
          <w:sz w:val="28"/>
          <w:szCs w:val="28"/>
          <w:rtl/>
        </w:rPr>
        <w:t xml:space="preserve">آغاز: برابر ۱؛ انجام: و بقول و نمک و آب و غیر از نان بی نمک و برنج و مرغ بی نمک بخورند و شربت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نستعلیق، بی کا، تا: قرن ۱۱؛ افتادگی: انجام؛ ۱۹ گ، ۱۲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آف مخ: ۲-۶۵۳]</w:t>
      </w:r>
    </w:p>
    <w:p>
      <w:pPr>
        <w:pStyle w:val="BookText"/>
      </w:pPr>
      <w:r>
        <w:rPr>
          <w:rFonts w:ascii="IRNazanin" w:hAnsi="IRNazanin" w:eastAsia="IRNazanin" w:cs="IRNazanin"/>
          <w:lang w:bidi="fa-IR"/>
          <w:color w:val="111111"/>
          <w:sz w:val="28"/>
          <w:szCs w:val="28"/>
          <w:rtl/>
        </w:rPr>
        <w:t xml:space="preserve">۷. تهران؛ لغت نامه دهخدا؛ شماره نسخه:</w:t>
      </w:r>
    </w:p>
    <w:p>
      <w:pPr>
        <w:pStyle w:val="BookText"/>
      </w:pPr>
      <w:r>
        <w:rPr>
          <w:rFonts w:ascii="IRNazanin" w:hAnsi="IRNazanin" w:eastAsia="IRNazanin" w:cs="IRNazanin"/>
          <w:lang w:bidi="fa-IR"/>
          <w:color w:val="111111"/>
          <w:sz w:val="28"/>
          <w:szCs w:val="28"/>
          <w:rtl/>
        </w:rPr>
        <w:t xml:space="preserve">۱۹۷/۱۳ بی کا، تا جمعه ۲۳ صفر ۱۰۰۷ق؛ ۶گ (۱۶۷ر-۱۷۲ر) [نشریه: ۳-۱۵]</w:t>
      </w:r>
    </w:p>
    <w:p>
      <w:pPr>
        <w:pStyle w:val="BookText"/>
      </w:pPr>
      <w:r>
        <w:rPr>
          <w:rFonts w:ascii="IRNazanin" w:hAnsi="IRNazanin" w:eastAsia="IRNazanin" w:cs="IRNazanin"/>
          <w:lang w:bidi="fa-IR"/>
          <w:color w:val="111111"/>
          <w:sz w:val="28"/>
          <w:szCs w:val="28"/>
          <w:rtl/>
        </w:rPr>
        <w:t xml:space="preserve">۸. اصفهان؛ دانشگاه؛ شماره نسخه: ۵۷۶/۳</w:t>
      </w:r>
    </w:p>
    <w:p>
      <w:pPr>
        <w:pStyle w:val="BookText"/>
      </w:pPr>
      <w:r>
        <w:rPr>
          <w:rFonts w:ascii="IRNazanin" w:hAnsi="IRNazanin" w:eastAsia="IRNazanin" w:cs="IRNazanin"/>
          <w:lang w:bidi="fa-IR"/>
          <w:color w:val="111111"/>
          <w:sz w:val="28"/>
          <w:szCs w:val="28"/>
          <w:rtl/>
        </w:rPr>
        <w:t xml:space="preserve">بی کا، تا: با تاریخ ۱۰۱۰؛ جلد: تیماج مشکی، ۱۱گ (۴۹پ - ۵۹پ)،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۲-۴۴۵]</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علوم پزشکی؛ شماره نسخه: ۲۸۷/۳</w:t>
      </w:r>
    </w:p>
    <w:p>
      <w:pPr>
        <w:pStyle w:val="BookText"/>
      </w:pPr>
      <w:r>
        <w:rPr>
          <w:rFonts w:ascii="IRNazanin" w:hAnsi="IRNazanin" w:eastAsia="IRNazanin" w:cs="IRNazanin"/>
          <w:lang w:bidi="fa-IR"/>
          <w:color w:val="111111"/>
          <w:sz w:val="28"/>
          <w:szCs w:val="28"/>
          <w:rtl/>
        </w:rPr>
        <w:t xml:space="preserve">آغاز: برابر ۱؛ انجام: برابر</w:t>
      </w:r>
    </w:p>
    <w:p>
      <w:pPr>
        <w:pStyle w:val="BookText"/>
      </w:pPr>
      <w:r>
        <w:rPr>
          <w:rFonts w:ascii="IRNazanin" w:hAnsi="IRNazanin" w:eastAsia="IRNazanin" w:cs="IRNazanin"/>
          <w:lang w:bidi="fa-IR"/>
          <w:color w:val="111111"/>
          <w:sz w:val="28"/>
          <w:szCs w:val="28"/>
          <w:rtl/>
        </w:rPr>
        <w:t xml:space="preserve">خط: نستعلیق شکسته، بی کا، تا: صفر ۱۰۲۷ق؛ ۳۹ص (۲۰۹ -۲۴7)، ۱۴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[نشریه: ۳-۳۶۱]</w:t>
      </w:r>
    </w:p>
    <w:p>
      <w:pPr>
        <w:pStyle w:val="BookText"/>
      </w:pPr>
      <w:r>
        <w:rPr>
          <w:rFonts w:ascii="IRNazanin" w:hAnsi="IRNazanin" w:eastAsia="IRNazanin" w:cs="IRNazanin"/>
          <w:lang w:bidi="fa-IR"/>
          <w:color w:val="111111"/>
          <w:sz w:val="28"/>
          <w:szCs w:val="28"/>
          <w:rtl/>
        </w:rPr>
        <w:t xml:space="preserve">۱۰. قم؛ مرعشی؛ شماره نسخه: ۲۵۶۳/۱</w:t>
      </w:r>
    </w:p>
    <w:p>
      <w:pPr>
        <w:pStyle w:val="BookText"/>
      </w:pPr>
      <w:r>
        <w:rPr>
          <w:rFonts w:ascii="IRNazanin" w:hAnsi="IRNazanin" w:eastAsia="IRNazanin" w:cs="IRNazanin"/>
          <w:lang w:bidi="fa-IR"/>
          <w:color w:val="111111"/>
          <w:sz w:val="28"/>
          <w:szCs w:val="28"/>
          <w:rtl/>
        </w:rPr>
        <w:t xml:space="preserve">خط: نستعلیق زیبا، كا: محمد تقی بن جمال الدین کرمانی، تا: ۱۰۳۷ق؛ مجدول، دارای سرلوح رنگین زیبا؛ جلد: تیماج مشکی، ۱۰۹گ (۱پ-۱۹ر)، ۱۵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w:t>
      </w:r>
    </w:p>
    <w:p>
      <w:pPr>
        <w:pStyle w:val="BookText"/>
      </w:pPr>
      <w:r>
        <w:rPr>
          <w:rFonts w:ascii="IRNazanin" w:hAnsi="IRNazanin" w:eastAsia="IRNazanin" w:cs="IRNazanin"/>
          <w:lang w:bidi="fa-IR"/>
          <w:color w:val="111111"/>
          <w:sz w:val="28"/>
          <w:szCs w:val="28"/>
          <w:rtl/>
        </w:rPr>
        <w:t xml:space="preserve">سم [ف: ۷-۱۴۷]</w:t>
      </w:r>
    </w:p>
    <w:p>
      <w:pPr>
        <w:pStyle w:val="BookText"/>
      </w:pPr>
      <w:r>
        <w:rPr>
          <w:rFonts w:ascii="IRNazanin" w:hAnsi="IRNazanin" w:eastAsia="IRNazanin" w:cs="IRNazanin"/>
          <w:lang w:bidi="fa-IR"/>
          <w:color w:val="111111"/>
          <w:sz w:val="28"/>
          <w:szCs w:val="28"/>
          <w:rtl/>
        </w:rPr>
        <w:t xml:space="preserve">۱۱. قم؛ مرعشی؛ شماره نسخه: ۱۱۸۶۷/۴</w:t>
      </w:r>
    </w:p>
    <w:p>
      <w:pPr>
        <w:pStyle w:val="BookText"/>
      </w:pPr>
      <w:r>
        <w:rPr>
          <w:rFonts w:ascii="IRNazanin" w:hAnsi="IRNazanin" w:eastAsia="IRNazanin" w:cs="IRNazanin"/>
          <w:lang w:bidi="fa-IR"/>
          <w:color w:val="111111"/>
          <w:sz w:val="28"/>
          <w:szCs w:val="28"/>
          <w:rtl/>
        </w:rPr>
        <w:t xml:space="preserve">آغاز: أما بعد چنین گوید محرر این رساله و مقرر این مقاله خادم الحکما ... باید نوشت که قریب؛ انجام: برابر خط: نستعلیق، بی کا، تا: پنج شنبه ۲ رمضان ۱۰۳۸ق؛ مصحح؛ کاغذ: شرقی آهار مهره، ۱۱گ (۹۸-۱۰۸)، ۱۸ سطر،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سم [ف: ۳۰-۱۳۷] ۱۲. مشهد؛ رضوی؛ شماره نسخه: ۲۴۱۳۸</w:t>
      </w:r>
    </w:p>
    <w:p>
      <w:pPr>
        <w:pStyle w:val="BookText"/>
      </w:pPr>
      <w:r>
        <w:rPr>
          <w:rFonts w:ascii="IRNazanin" w:hAnsi="IRNazanin" w:eastAsia="IRNazanin" w:cs="IRNazanin"/>
          <w:lang w:bidi="fa-IR"/>
          <w:color w:val="111111"/>
          <w:sz w:val="28"/>
          <w:szCs w:val="28"/>
          <w:rtl/>
        </w:rPr>
        <w:t xml:space="preserve">آغاز: بسمله الحمدلله على انعامه العميم و الصلوها انجام: برابر خط: نستعلیق، بی کا، تا: ۱۰۵۹ق؛ کاغذ: نخودی، جلد: تیماج،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[رایانه]</w:t>
      </w:r>
    </w:p>
    <w:p>
      <w:pPr>
        <w:pStyle w:val="BookText"/>
      </w:pPr>
      <w:r>
        <w:rPr>
          <w:rFonts w:ascii="IRNazanin" w:hAnsi="IRNazanin" w:eastAsia="IRNazanin" w:cs="IRNazanin"/>
          <w:lang w:bidi="fa-IR"/>
          <w:color w:val="111111"/>
          <w:sz w:val="28"/>
          <w:szCs w:val="28"/>
          <w:rtl/>
        </w:rPr>
        <w:t xml:space="preserve">۱۳. تهران: مجلس؛ شماره نسخه: ۶۶۷۸/۳</w:t>
      </w:r>
    </w:p>
    <w:p>
      <w:pPr>
        <w:pStyle w:val="BookText"/>
      </w:pPr>
      <w:r>
        <w:rPr>
          <w:rFonts w:ascii="IRNazanin" w:hAnsi="IRNazanin" w:eastAsia="IRNazanin" w:cs="IRNazanin"/>
          <w:lang w:bidi="fa-IR"/>
          <w:color w:val="111111"/>
          <w:sz w:val="28"/>
          <w:szCs w:val="28"/>
          <w:rtl/>
        </w:rPr>
        <w:t xml:space="preserve">خط: نستعلیق، كا: تقي الدين محمد موسوی، تا: پنج شنبه ۲۲ جمادی الاول ۱۰۸۹ق، زمانی که به اتفاق میرزا شاه ابوالمهدی عازم عتبات بوده در کرمانشاهان کتابت شده؛ جلد: تیماج قهوه ای، ۱۱گ (۶۹-۷۹پ)، اندازه: ۱۱/۵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سم [ف: ۲۰-۱۹۷]</w:t>
      </w:r>
    </w:p>
    <w:p>
      <w:pPr>
        <w:pStyle w:val="BookText"/>
      </w:pPr>
      <w:r>
        <w:rPr>
          <w:rFonts w:ascii="IRNazanin" w:hAnsi="IRNazanin" w:eastAsia="IRNazanin" w:cs="IRNazanin"/>
          <w:lang w:bidi="fa-IR"/>
          <w:color w:val="111111"/>
          <w:sz w:val="28"/>
          <w:szCs w:val="28"/>
          <w:rtl/>
        </w:rPr>
        <w:t xml:space="preserve">۱۴. مشهد؛ رضوی؛ شماره نسخه: ۵۰۹۳</w:t>
      </w:r>
    </w:p>
    <w:p>
      <w:pPr>
        <w:pStyle w:val="BookText"/>
      </w:pPr>
      <w:r>
        <w:rPr>
          <w:rFonts w:ascii="IRNazanin" w:hAnsi="IRNazanin" w:eastAsia="IRNazanin" w:cs="IRNazanin"/>
          <w:lang w:bidi="fa-IR"/>
          <w:color w:val="111111"/>
          <w:sz w:val="28"/>
          <w:szCs w:val="28"/>
          <w:rtl/>
        </w:rPr>
        <w:t xml:space="preserve">آغاز: برابر ۲؛ انجام: برابر</w:t>
      </w:r>
    </w:p>
    <w:p>
      <w:pPr>
        <w:pStyle w:val="BookText"/>
      </w:pPr>
      <w:r>
        <w:rPr>
          <w:rFonts w:ascii="IRNazanin" w:hAnsi="IRNazanin" w:eastAsia="IRNazanin" w:cs="IRNazanin"/>
          <w:lang w:bidi="fa-IR"/>
          <w:color w:val="111111"/>
          <w:sz w:val="28"/>
          <w:szCs w:val="28"/>
          <w:rtl/>
        </w:rPr>
        <w:t xml:space="preserve">خط: نستعلیق مخلوط به شکسته، بی کا، تا: قرن ۱۲؛ مذیل است به ادعیه ایام هفته منقول از صحیفه سجادیه در سه ورق، منتخباتی در نه اصل به زبان فارسی در قلع آثاری که بر لباس و کاغذ مانده منقول از رساله ای که کندی در این خصوص نوشته بوده در یک ورق، رساله فارسی بلافاصله بعد از آن در مبحث وجود از کمال الدين عبدالرزاق کاشی ایضا در یک ورق، آغاز رساله اخیر: بدان که وجود واجب وجود مطلق است اعني وجود من حيث هو»، انجام: «پس هیچ چیز از عدم بوجود نیاید و وجود بعدم نشود»؛ واقف: آقا زین العابدین، ۱۱۶۶؛ کاغذ: نخودی، جلد: مقوا با رویه پارچه، ۸ گ، ۱۷ سطر، اندازه: ۱۹/۸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۱۹-۲۲۰]</w:t>
      </w:r>
    </w:p>
    <w:p>
      <w:pPr>
        <w:pStyle w:val="BookText"/>
      </w:pPr>
      <w:r>
        <w:rPr>
          <w:rFonts w:ascii="IRNazanin" w:hAnsi="IRNazanin" w:eastAsia="IRNazanin" w:cs="IRNazanin"/>
          <w:lang w:bidi="fa-IR"/>
          <w:color w:val="111111"/>
          <w:sz w:val="28"/>
          <w:szCs w:val="28"/>
          <w:rtl/>
        </w:rPr>
        <w:t xml:space="preserve">۱۵. یزد؛ کاظمینی؛ شماره نسخه: ۱۱۵/۲</w:t>
      </w:r>
    </w:p>
    <w:p>
      <w:pPr>
        <w:pStyle w:val="BookText"/>
      </w:pPr>
      <w:r>
        <w:rPr>
          <w:rFonts w:ascii="IRNazanin" w:hAnsi="IRNazanin" w:eastAsia="IRNazanin" w:cs="IRNazanin"/>
          <w:lang w:bidi="fa-IR"/>
          <w:color w:val="111111"/>
          <w:sz w:val="28"/>
          <w:szCs w:val="28"/>
          <w:rtl/>
        </w:rPr>
        <w:t xml:space="preserve">خط: نستعلیق، بی کا، تا: قرن ۱۱ یا ۱۲؛ یادداشتی درباره کتاب به سال ۱۱۰۵؛ ۲۱گ (۳۰-۵۰ر)، ۱۵ سطر، اندازه: 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۱۸/۵ سم [ف: ۱-۱۱۰]</w:t>
      </w:r>
    </w:p>
    <w:p>
      <w:pPr>
        <w:pStyle w:val="BookText"/>
      </w:pPr>
      <w:r>
        <w:rPr>
          <w:rFonts w:ascii="IRNazanin" w:hAnsi="IRNazanin" w:eastAsia="IRNazanin" w:cs="IRNazanin"/>
          <w:lang w:bidi="fa-IR"/>
          <w:color w:val="111111"/>
          <w:sz w:val="28"/>
          <w:szCs w:val="28"/>
          <w:rtl/>
        </w:rPr>
        <w:t xml:space="preserve">۱۶. تهران؛ دائرة المعارف؛ شماره نسخه: ۴۳۱/۶ -عکسی</w:t>
      </w:r>
    </w:p>
    <w:p>
      <w:pPr>
        <w:pStyle w:val="BookText"/>
      </w:pPr>
      <w:r>
        <w:rPr>
          <w:rFonts w:ascii="IRNazanin" w:hAnsi="IRNazanin" w:eastAsia="IRNazanin" w:cs="IRNazanin"/>
          <w:lang w:bidi="fa-IR"/>
          <w:color w:val="111111"/>
          <w:sz w:val="28"/>
          <w:szCs w:val="28"/>
          <w:rtl/>
        </w:rPr>
        <w:t xml:space="preserve">آغاز: بسمله. پوشیده نماند که این بیخ چینی که در این تاریخ مردم بدان اطلاع یافته اند نسخه اصل: موزه بریتانیا، ش ۱۹۶۱۹ ؛ خط: نستعلیق پخته، بی کا،</w:t>
      </w:r>
    </w:p>
    <w:p>
      <w:pPr>
        <w:pStyle w:val="BookText"/>
      </w:pPr>
      <w:r>
        <w:rPr>
          <w:rFonts w:ascii="IRNazanin" w:hAnsi="IRNazanin" w:eastAsia="IRNazanin" w:cs="IRNazanin"/>
          <w:lang w:bidi="fa-IR"/>
          <w:color w:val="111111"/>
          <w:sz w:val="28"/>
          <w:szCs w:val="28"/>
          <w:rtl/>
        </w:rPr>
        <w:t xml:space="preserve">تا: ۲۱ جمادی الثانی ۱۱۰۳ق، ۳۱ص (۴۹۱-۵۲۱)، ۱۵ سطر [عکسی ف: ۲-۹۰]</w:t>
      </w:r>
    </w:p>
    <w:p>
      <w:pPr>
        <w:pStyle w:val="BookText"/>
      </w:pPr>
      <w:r>
        <w:rPr>
          <w:rFonts w:ascii="IRNazanin" w:hAnsi="IRNazanin" w:eastAsia="IRNazanin" w:cs="IRNazanin"/>
          <w:lang w:bidi="fa-IR"/>
          <w:color w:val="111111"/>
          <w:sz w:val="28"/>
          <w:szCs w:val="28"/>
          <w:rtl/>
        </w:rPr>
        <w:t xml:space="preserve">تهران؛ دانشگاه؛ شماره نسخه: ۶۹۴/۶ -ف</w:t>
      </w:r>
    </w:p>
    <w:p>
      <w:pPr>
        <w:pStyle w:val="BookText"/>
      </w:pPr>
      <w:r>
        <w:rPr>
          <w:rFonts w:ascii="IRNazanin" w:hAnsi="IRNazanin" w:eastAsia="IRNazanin" w:cs="IRNazanin"/>
          <w:lang w:bidi="fa-IR"/>
          <w:color w:val="111111"/>
          <w:sz w:val="28"/>
          <w:szCs w:val="28"/>
          <w:rtl/>
        </w:rPr>
        <w:t xml:space="preserve">همان نسخه بالا [فیلمها ف: ۱-۵۲۴]</w:t>
      </w:r>
    </w:p>
    <w:p>
      <w:pPr>
        <w:pStyle w:val="BookText"/>
      </w:pPr>
      <w:r>
        <w:rPr>
          <w:rFonts w:ascii="IRNazanin" w:hAnsi="IRNazanin" w:eastAsia="IRNazanin" w:cs="IRNazanin"/>
          <w:lang w:bidi="fa-IR"/>
          <w:color w:val="111111"/>
          <w:sz w:val="28"/>
          <w:szCs w:val="28"/>
          <w:rtl/>
        </w:rPr>
        <w:t xml:space="preserve">۱۷. تهران؛ دانشگاه؛ شماره نسخه: ۵۲۱۷/۴</w:t>
      </w:r>
    </w:p>
    <w:p>
      <w:pPr>
        <w:pStyle w:val="BookText"/>
      </w:pPr>
      <w:r>
        <w:rPr>
          <w:rFonts w:ascii="IRNazanin" w:hAnsi="IRNazanin" w:eastAsia="IRNazanin" w:cs="IRNazanin"/>
          <w:lang w:bidi="fa-IR"/>
          <w:color w:val="111111"/>
          <w:sz w:val="28"/>
          <w:szCs w:val="28"/>
          <w:rtl/>
        </w:rPr>
        <w:t xml:space="preserve">در یک مقدمه و چند فصل و تنبیه؛ خط: نستعلیق، بی کا، تا: با تاریخ ۱۱۱۴ق؛ با عنوان «لراقمه زاهد» مورخ ۱۱۱۴؛ کاغذ: سپاهانی، جلد: تیماج حنایی ساده، ۹گ (7ر -۱۵پ)، قطع: ربعی،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۱۵-۴۱۵۷]</w:t>
      </w:r>
    </w:p>
    <w:p>
      <w:pPr>
        <w:pStyle w:val="BookText"/>
      </w:pPr>
      <w:r>
        <w:rPr>
          <w:rFonts w:ascii="IRNazanin" w:hAnsi="IRNazanin" w:eastAsia="IRNazanin" w:cs="IRNazanin"/>
          <w:lang w:bidi="fa-IR"/>
          <w:color w:val="111111"/>
          <w:sz w:val="28"/>
          <w:szCs w:val="28"/>
          <w:rtl/>
        </w:rPr>
        <w:t xml:space="preserve">۱۸. قم؛ مسجد اعظم؛ شماره نسخه: ۲۷۶۰/۲</w:t>
      </w:r>
    </w:p>
    <w:p>
      <w:pPr>
        <w:pStyle w:val="BookText"/>
      </w:pPr>
      <w:r>
        <w:rPr>
          <w:rFonts w:ascii="IRNazanin" w:hAnsi="IRNazanin" w:eastAsia="IRNazanin" w:cs="IRNazanin"/>
          <w:lang w:bidi="fa-IR"/>
          <w:color w:val="111111"/>
          <w:sz w:val="28"/>
          <w:szCs w:val="28"/>
          <w:rtl/>
        </w:rPr>
        <w:t xml:space="preserve">آغاز: فصل در شرایط خوردن چوب چینی است، اما شروط منقسم است بدو قسم یکی آنکه متعلق است به نفس این بیخ، دویم آنکه متعلق است باستعمال آن؛ انجام: استعمال چند چیز باید کرد که موافق صحت و غرض مطلوب باشد و رافع این چنین غائلها کند تنها بخشی از رساله؛ خط: نستعلیق، بی کا، تا: قرن ۱۳؛ افتادگی: آغاز و انجام؛ ۵گ، ۱۸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مخ: ۲-۶۵۳]</w:t>
      </w:r>
    </w:p>
    <w:p>
      <w:pPr>
        <w:pStyle w:val="BookText"/>
      </w:pPr>
      <w:r>
        <w:rPr>
          <w:rFonts w:ascii="IRNazanin" w:hAnsi="IRNazanin" w:eastAsia="IRNazanin" w:cs="IRNazanin"/>
          <w:lang w:bidi="fa-IR"/>
          <w:color w:val="111111"/>
          <w:sz w:val="28"/>
          <w:szCs w:val="28"/>
          <w:rtl/>
        </w:rPr>
        <w:t xml:space="preserve">۱۹. تهران؛ ملک؛ شماره نسخه: ۴۴۵۳/۱۰</w:t>
      </w:r>
    </w:p>
    <w:p>
      <w:pPr>
        <w:pStyle w:val="BookText"/>
      </w:pPr>
      <w:r>
        <w:rPr>
          <w:rFonts w:ascii="IRNazanin" w:hAnsi="IRNazanin" w:eastAsia="IRNazanin" w:cs="IRNazanin"/>
          <w:lang w:bidi="fa-IR"/>
          <w:color w:val="111111"/>
          <w:sz w:val="28"/>
          <w:szCs w:val="28"/>
          <w:rtl/>
        </w:rPr>
        <w:t xml:space="preserve">آغاز: طریقه آشامیدن بیخ چینی از حکیم محمد باقر قمی. چنین است که هر روز دو مثقال خط: نستعلیق، كا: حسین بن علیمحمد رشتی، تا: ۱۲۲۶ق، جان طهران؛ کاغذ: پسته ای، جلد: میشن سیاه، ۳گ (۹۸-۱۰۰ر)، اندازه: ۱۴/۶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۲۱/۷سم [ف: ۷-۴۰۸]</w:t>
      </w:r>
    </w:p>
    <w:p>
      <w:pPr>
        <w:pStyle w:val="BookText"/>
      </w:pPr>
      <w:r>
        <w:rPr>
          <w:rFonts w:ascii="IRNazanin" w:hAnsi="IRNazanin" w:eastAsia="IRNazanin" w:cs="IRNazanin"/>
          <w:lang w:bidi="fa-IR"/>
          <w:color w:val="111111"/>
          <w:sz w:val="28"/>
          <w:szCs w:val="28"/>
          <w:rtl/>
        </w:rPr>
        <w:t xml:space="preserve">۲۰. همدان؛ دانشگاه بوعلی؛ شماره نسخه: ۲۹۹/۳</w:t>
      </w:r>
    </w:p>
    <w:p>
      <w:pPr>
        <w:pStyle w:val="BookText"/>
      </w:pPr>
      <w:r>
        <w:rPr>
          <w:rFonts w:ascii="IRNazanin" w:hAnsi="IRNazanin" w:eastAsia="IRNazanin" w:cs="IRNazanin"/>
          <w:lang w:bidi="fa-IR"/>
          <w:color w:val="111111"/>
          <w:sz w:val="28"/>
          <w:szCs w:val="28"/>
          <w:rtl/>
        </w:rPr>
        <w:t xml:space="preserve">خط: نستعلیق، كان مرتضی بن میرزا جعفر، تا: ۱۲۸۷-۱۲۸۸ق؛ جلد: تیماج قهوه ای بدون مقوا، ۱۸گ (۱۰۸پ -۱۲۵پ)،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۱۶۳]</w:t>
      </w:r>
    </w:p>
    <w:p>
      <w:pPr>
        <w:pStyle w:val="BookText"/>
      </w:pPr>
      <w:r>
        <w:rPr>
          <w:rFonts w:ascii="IRNazanin" w:hAnsi="IRNazanin" w:eastAsia="IRNazanin" w:cs="IRNazanin"/>
          <w:lang w:bidi="fa-IR"/>
          <w:color w:val="111111"/>
          <w:sz w:val="28"/>
          <w:szCs w:val="28"/>
          <w:rtl/>
        </w:rPr>
        <w:t xml:space="preserve">۲۱. تهران؛ مجلس؛ شماره نسخه: ۶۵۳۶/۴</w:t>
      </w:r>
    </w:p>
    <w:p>
      <w:pPr>
        <w:pStyle w:val="BookText"/>
      </w:pPr>
      <w:r>
        <w:rPr>
          <w:rFonts w:ascii="IRNazanin" w:hAnsi="IRNazanin" w:eastAsia="IRNazanin" w:cs="IRNazanin"/>
          <w:lang w:bidi="fa-IR"/>
          <w:color w:val="111111"/>
          <w:sz w:val="28"/>
          <w:szCs w:val="28"/>
          <w:rtl/>
        </w:rPr>
        <w:t xml:space="preserve">خط: نستعلیق، بی کا، بی تا؛ مصحح؛ جلد: تیماج دو رو بدون مقوا، رو قهوه ای ضربی ترنج و سرترنج دار، ۷گ (۶۸پ -۷۴)،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۲۰-۱۱۰]</w:t>
      </w:r>
    </w:p>
    <w:p>
      <w:pPr>
        <w:pStyle w:val="BookText"/>
      </w:pPr>
      <w:r>
        <w:rPr>
          <w:rFonts w:ascii="IRNazanin" w:hAnsi="IRNazanin" w:eastAsia="IRNazanin" w:cs="IRNazanin"/>
          <w:lang w:bidi="fa-IR"/>
          <w:color w:val="111111"/>
          <w:sz w:val="28"/>
          <w:szCs w:val="28"/>
          <w:rtl/>
        </w:rPr>
        <w:t xml:space="preserve">۲۲. تهران؛ دانشگاه؛ شماره نسخه: ۷۵۶۵/۳</w:t>
      </w:r>
    </w:p>
    <w:p>
      <w:pPr>
        <w:pStyle w:val="BookText"/>
      </w:pPr>
      <w:r>
        <w:rPr>
          <w:rFonts w:ascii="IRNazanin" w:hAnsi="IRNazanin" w:eastAsia="IRNazanin" w:cs="IRNazanin"/>
          <w:lang w:bidi="fa-IR"/>
          <w:color w:val="111111"/>
          <w:sz w:val="28"/>
          <w:szCs w:val="28"/>
          <w:rtl/>
        </w:rPr>
        <w:t xml:space="preserve">خط: نستعلیق، بی کا، بی تا؛ افتادگی: آغاز، کاغذ: سپاهانی، جلد: تیماج تریاکی ضربی مقوایی، ۲۷گ (۳۸-۶۴)، ۱۸ سطر (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۴/۵ )، قطع: بغلی، اندازه: ۱۸/۵۶۸ سم [ف: ۱۶-۶۳۰]</w:t>
      </w:r>
    </w:p>
    <w:p>
      <w:pPr>
        <w:pStyle w:val="BookText"/>
      </w:pPr>
      <w:r>
        <w:rPr>
          <w:rFonts w:ascii="IRNazanin" w:hAnsi="IRNazanin" w:eastAsia="IRNazanin" w:cs="IRNazanin"/>
          <w:lang w:bidi="fa-IR"/>
          <w:color w:val="111111"/>
          <w:sz w:val="28"/>
          <w:szCs w:val="28"/>
          <w:rtl/>
        </w:rPr>
        <w:t xml:space="preserve">۲۳. تهران: لغت نامه دهخدا، شماره نسخه: ۱۹۷/۱۳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06" w:name="pg20363_209445"/>
    <w:bookmarkEnd w:id="206"/>
    <w:p>
      <w:pPr>
        <w:pStyle w:val="BookText"/>
      </w:pPr>
      <w:r>
        <w:rPr>
          <w:rFonts w:ascii="IRNazanin" w:hAnsi="IRNazanin" w:eastAsia="IRNazanin" w:cs="IRNazanin"/>
          <w:lang w:bidi="fa-IR"/>
          <w:color w:val="111111"/>
          <w:sz w:val="28"/>
          <w:szCs w:val="28"/>
          <w:rtl/>
        </w:rPr>
        <w:t xml:space="preserve">بی کا، بی تا [نشریه: ۳-۶]</w:t>
      </w:r>
    </w:p>
    <w:p>
      <w:pPr>
        <w:pStyle w:val="Heading3"/>
      </w:pPr>
      <w:bookmarkStart w:id="1375" w:name="_Toc635"/>
      <w:r>
        <w:t>•بیخ چینی = چوب چینی = فوائد چوب / طب / فارسی</w:t>
      </w:r>
      <w:bookmarkEnd w:id="1375"/>
    </w:p>
    <w:p>
      <w:pPr>
        <w:pStyle w:val="BookText"/>
      </w:pPr>
      <w:r>
        <w:rPr>
          <w:rFonts w:ascii="Times New Roman" w:hAnsi="Times New Roman" w:eastAsia="Times New Roman" w:cs="Times New Roman"/>
          <w:lang w:val="en-US" w:bidi="en-US"/>
          <w:color w:val="111111"/>
          <w:sz w:val="28"/>
          <w:szCs w:val="28"/>
          <w:rtl/>
        </w:rPr>
        <w:t xml:space="preserve">bīx-e čīnī= čūb-e čīnī= favā'ed-e čūb</w:t>
      </w:r>
    </w:p>
    <w:p>
      <w:pPr>
        <w:pStyle w:val="BookText"/>
      </w:pPr>
      <w:r>
        <w:rPr>
          <w:rFonts w:ascii="IRNazanin" w:hAnsi="IRNazanin" w:eastAsia="IRNazanin" w:cs="IRNazanin"/>
          <w:lang w:bidi="fa-IR"/>
          <w:color w:val="111111"/>
          <w:sz w:val="28"/>
          <w:szCs w:val="28"/>
          <w:rtl/>
        </w:rPr>
        <w:t xml:space="preserve">علاء طبیب، نورالله، ق۱۰ قمری</w:t>
      </w:r>
    </w:p>
    <w:p>
      <w:pPr>
        <w:pStyle w:val="BookText"/>
      </w:pPr>
      <w:r>
        <w:rPr>
          <w:rFonts w:ascii="Times New Roman" w:hAnsi="Times New Roman" w:eastAsia="Times New Roman" w:cs="Times New Roman"/>
          <w:lang w:val="en-US" w:bidi="en-US"/>
          <w:color w:val="111111"/>
          <w:sz w:val="28"/>
          <w:szCs w:val="28"/>
          <w:rtl/>
        </w:rPr>
        <w:t xml:space="preserve">‘alā -e tabīb, nūr-ol-lāh (- 16c)</w:t>
      </w:r>
    </w:p>
    <w:p>
      <w:pPr>
        <w:pStyle w:val="BookText"/>
      </w:pPr>
      <w:r>
        <w:rPr>
          <w:rFonts w:ascii="IRNazanin" w:hAnsi="IRNazanin" w:eastAsia="IRNazanin" w:cs="IRNazanin"/>
          <w:lang w:bidi="fa-IR"/>
          <w:color w:val="111111"/>
          <w:sz w:val="28"/>
          <w:szCs w:val="28"/>
          <w:rtl/>
        </w:rPr>
        <w:t xml:space="preserve">تاریخ تأليف: ۹۴۴ق مؤلف در مقدمه می گوید: نزدیک بیست سال در هند بودم و با دانشمندان آنجا درباره بیخ چینی گفتگوها کرده ام. تا اینکه پزشکی ارسطو نام که از فرنگ آمده بود، در این باره سخنانی گفت که در اینجا می آورم. شاید مؤلف حکیم علاء تبریزی، پزشک روزگار شاه طهماسب صفوی (۹۳۰-۹۸۴ ق) باشد. این رساله را سروری به ترکی ترجمه کرده است.</w:t>
      </w:r>
    </w:p>
    <w:p>
      <w:pPr>
        <w:pStyle w:val="BookText"/>
      </w:pPr>
      <w:r>
        <w:rPr>
          <w:rFonts w:ascii="IRNazanin" w:hAnsi="IRNazanin" w:eastAsia="IRNazanin" w:cs="IRNazanin"/>
          <w:lang w:bidi="fa-IR"/>
          <w:color w:val="111111"/>
          <w:sz w:val="28"/>
          <w:szCs w:val="28"/>
          <w:rtl/>
        </w:rPr>
        <w:t xml:space="preserve">آغاز: بسم الله. اما بعد چنین گوید محرر این رساله و مقرر این مقاله خادم الحكماء نور الله المشهور بعلا که قریب بیست سال در هند گذرانیدم و با حكماء آنجا در قواعد بیخ چینی می گفتم حکماء روشن ضمیر و محققان صاحب تجربه</w:t>
      </w:r>
    </w:p>
    <w:p>
      <w:pPr>
        <w:pStyle w:val="BookText"/>
      </w:pPr>
      <w:r>
        <w:rPr>
          <w:rFonts w:ascii="IRNazanin" w:hAnsi="IRNazanin" w:eastAsia="IRNazanin" w:cs="IRNazanin"/>
          <w:lang w:bidi="fa-IR"/>
          <w:color w:val="111111"/>
          <w:sz w:val="28"/>
          <w:szCs w:val="28"/>
          <w:rtl/>
        </w:rPr>
        <w:t xml:space="preserve">انجام: و در اثنای وداع گفت باید که خورنده چوب چینی در آن ایام از یاد حق غافل نشود و صلوات بسیار بر پیغمبر و آل فرستد و در اذکار و تقوی و طهارت کوشد تا ببر کت آن الله تعالی شفاء تمام کرامت فرماید و صلی الله على محمد و آله الطاهرين اجمعين</w:t>
      </w:r>
    </w:p>
    <w:p>
      <w:pPr>
        <w:pStyle w:val="BookText"/>
      </w:pPr>
      <w:r>
        <w:rPr>
          <w:rFonts w:ascii="IRNazanin" w:hAnsi="IRNazanin" w:eastAsia="IRNazanin" w:cs="IRNazanin"/>
          <w:lang w:bidi="fa-IR"/>
          <w:color w:val="111111"/>
          <w:sz w:val="28"/>
          <w:szCs w:val="28"/>
          <w:rtl/>
        </w:rPr>
        <w:t xml:space="preserve">[دنا ۵۹۳/۲ (۲۱ نسخه)؛ الذريعة ۳۳۰/۱۶ و ۳۰۹/۵ -۳۱۰؛ نسخه های منزوی ۴۰۰/۱ ؛ فهرستواره منزوی: ۳۸۲۸/۵ ؛ مشترک پاکستان ۴۱۹/۱ ]</w:t>
      </w:r>
    </w:p>
    <w:p>
      <w:pPr>
        <w:pStyle w:val="BookText"/>
      </w:pPr>
      <w:r>
        <w:rPr>
          <w:rFonts w:ascii="Amiri" w:hAnsi="Amiri" w:eastAsia="Amiri" w:cs="Amiri"/>
          <w:lang w:bidi="ar-SA"/>
          <w:color w:val="111111"/>
          <w:sz w:val="28"/>
          <w:szCs w:val="28"/>
          <w:rtl/>
        </w:rPr>
        <w:t xml:space="preserve">۱. تهران؛ دائرة المعارف، شماره نسخه: ۲۱۶/۴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تحریری، بی کا، تا: قرن ۱۰؛ ۳گ (۳۴۰پ - ۳۴۲ر)، ۲۷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سم [ف: ۱-۸۱]</w:t>
      </w:r>
    </w:p>
    <w:p>
      <w:pPr>
        <w:pStyle w:val="BookText"/>
      </w:pPr>
      <w:r>
        <w:rPr>
          <w:rFonts w:ascii="IRNazanin" w:hAnsi="IRNazanin" w:eastAsia="IRNazanin" w:cs="IRNazanin"/>
          <w:lang w:bidi="fa-IR"/>
          <w:color w:val="111111"/>
          <w:sz w:val="28"/>
          <w:szCs w:val="28"/>
          <w:rtl/>
        </w:rPr>
        <w:t xml:space="preserve">۲. تهران؛ مجلس؛ شماره نسخه: ۵۱۳۸/۱۲۰</w:t>
      </w:r>
    </w:p>
    <w:p>
      <w:pPr>
        <w:pStyle w:val="BookText"/>
      </w:pPr>
      <w:r>
        <w:rPr>
          <w:rFonts w:ascii="IRNazanin" w:hAnsi="IRNazanin" w:eastAsia="IRNazanin" w:cs="IRNazanin"/>
          <w:lang w:bidi="fa-IR"/>
          <w:color w:val="111111"/>
          <w:sz w:val="28"/>
          <w:szCs w:val="28"/>
          <w:rtl/>
        </w:rPr>
        <w:t xml:space="preserve">آغاز: فصل در استعمال این بیخ بغیر از طریق مذکور که بعضی چوب چینی را جوشانده خشک میکنند و میکوبند و داخل حلوایی از دو روغن میکنند و میخورند؛ انجام: تا يكمن و نیم آب بماند هر شب بهمان وزن نیمه بسوزانند و دیک را فرو گیرند و بعد از نماز صبح سه پیاله قهوه آب گرم آنرا بطريق قهوه بیاشامند</w:t>
      </w:r>
    </w:p>
    <w:p>
      <w:pPr>
        <w:pStyle w:val="BookText"/>
      </w:pPr>
      <w:r>
        <w:rPr>
          <w:rFonts w:ascii="IRNazanin" w:hAnsi="IRNazanin" w:eastAsia="IRNazanin" w:cs="IRNazanin"/>
          <w:lang w:bidi="fa-IR"/>
          <w:color w:val="111111"/>
          <w:sz w:val="28"/>
          <w:szCs w:val="28"/>
          <w:rtl/>
        </w:rPr>
        <w:t xml:space="preserve">خط: نستعلیق، بی کا، تا: قرن ۱۱[ف: ۱۵-۱۹۰]</w:t>
      </w:r>
    </w:p>
    <w:p>
      <w:pPr>
        <w:pStyle w:val="BookText"/>
      </w:pPr>
      <w:r>
        <w:rPr>
          <w:rFonts w:ascii="IRNazanin" w:hAnsi="IRNazanin" w:eastAsia="IRNazanin" w:cs="IRNazanin"/>
          <w:lang w:bidi="fa-IR"/>
          <w:color w:val="111111"/>
          <w:sz w:val="28"/>
          <w:szCs w:val="28"/>
          <w:rtl/>
        </w:rPr>
        <w:t xml:space="preserve">٣. تهران؛ مجلس؛ شماره نسخه: ۶۲۲۵</w:t>
      </w:r>
    </w:p>
    <w:p>
      <w:pPr>
        <w:pStyle w:val="BookText"/>
      </w:pPr>
      <w:r>
        <w:rPr>
          <w:rFonts w:ascii="IRNazanin" w:hAnsi="IRNazanin" w:eastAsia="IRNazanin" w:cs="IRNazanin"/>
          <w:lang w:bidi="fa-IR"/>
          <w:color w:val="111111"/>
          <w:sz w:val="28"/>
          <w:szCs w:val="28"/>
          <w:rtl/>
        </w:rPr>
        <w:t xml:space="preserve">خط: نستعلیق، بی کا، تا: قرن ۱۱؛ ضمیمه رساله، نسخه های نادر پزشکی است از پزشکان بزرگ قدیم تا عهد صفوی (ص ۱۱ ۱۵۸)؛ کاغذ: اصفهانی شکری، جلد: تیماج مشکی یک لا سجاف قهوه ای، ۱۵۸ص، مختلف السطر، قطع: خشتی،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۱۹-۲۰۱]</w:t>
      </w:r>
    </w:p>
    <w:p>
      <w:pPr>
        <w:pStyle w:val="BookText"/>
      </w:pPr>
      <w:r>
        <w:rPr>
          <w:rFonts w:ascii="IRNazanin" w:hAnsi="IRNazanin" w:eastAsia="IRNazanin" w:cs="IRNazanin"/>
          <w:lang w:bidi="fa-IR"/>
          <w:color w:val="111111"/>
          <w:sz w:val="28"/>
          <w:szCs w:val="28"/>
          <w:rtl/>
        </w:rPr>
        <w:t xml:space="preserve">۴. تهران؛ مجلس؛ شماره نسخه: ۱۷۲/۲</w:t>
      </w:r>
    </w:p>
    <w:p>
      <w:pPr>
        <w:pStyle w:val="BookText"/>
      </w:pPr>
      <w:r>
        <w:rPr>
          <w:rFonts w:ascii="IRNazanin" w:hAnsi="IRNazanin" w:eastAsia="IRNazanin" w:cs="IRNazanin"/>
          <w:lang w:bidi="fa-IR"/>
          <w:color w:val="111111"/>
          <w:sz w:val="28"/>
          <w:szCs w:val="28"/>
          <w:rtl/>
        </w:rPr>
        <w:t xml:space="preserve">خط: نستعلیق، بی کا، تا: قرن ۱۱؛ کاغذ: سفید، جلد: تیماج قهوهای یک لا، ۳ ص (۲۸۳-۲۸۵)، ۱۲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سم [سنا: ف: ۱-۸۵]</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علوم پزشکی؛ شماره نسخه: ۲۳۹/۵</w:t>
      </w:r>
    </w:p>
    <w:p>
      <w:pPr>
        <w:pStyle w:val="BookText"/>
      </w:pPr>
      <w:r>
        <w:rPr>
          <w:rFonts w:ascii="IRNazanin" w:hAnsi="IRNazanin" w:eastAsia="IRNazanin" w:cs="IRNazanin"/>
          <w:lang w:bidi="fa-IR"/>
          <w:color w:val="111111"/>
          <w:sz w:val="28"/>
          <w:szCs w:val="28"/>
          <w:rtl/>
        </w:rPr>
        <w:t xml:space="preserve">آغاز: بسم الله الرحمن الرحيم وبه نستعين اما بعد چنین گوید مفسر این رساله؛ انجام: شفا یابد انشاء الله</w:t>
      </w:r>
    </w:p>
    <w:p>
      <w:pPr>
        <w:pStyle w:val="BookText"/>
      </w:pPr>
      <w:r>
        <w:rPr>
          <w:rFonts w:ascii="IRNazanin" w:hAnsi="IRNazanin" w:eastAsia="IRNazanin" w:cs="IRNazanin"/>
          <w:lang w:bidi="fa-IR"/>
          <w:color w:val="111111"/>
          <w:sz w:val="28"/>
          <w:szCs w:val="28"/>
          <w:rtl/>
        </w:rPr>
        <w:t xml:space="preserve">خط: تحریری، بی کا، تا: قرن ۱۱، ۳ص (۸۶-۸۸)، ۲۲-۳۰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w:t>
      </w:r>
    </w:p>
    <w:p>
      <w:pPr>
        <w:pStyle w:val="BookText"/>
      </w:pPr>
      <w:r>
        <w:rPr>
          <w:rFonts w:ascii="IRNazanin" w:hAnsi="IRNazanin" w:eastAsia="IRNazanin" w:cs="IRNazanin"/>
          <w:lang w:bidi="fa-IR"/>
          <w:color w:val="111111"/>
          <w:sz w:val="28"/>
          <w:szCs w:val="28"/>
          <w:rtl/>
        </w:rPr>
        <w:t xml:space="preserve">سم (نشریه: ۳-۳۳۳]</w:t>
      </w:r>
    </w:p>
    <w:p>
      <w:pPr>
        <w:pStyle w:val="BookText"/>
      </w:pPr>
      <w:r>
        <w:rPr>
          <w:rFonts w:ascii="IRNazanin" w:hAnsi="IRNazanin" w:eastAsia="IRNazanin" w:cs="IRNazanin"/>
          <w:lang w:bidi="fa-IR"/>
          <w:color w:val="111111"/>
          <w:sz w:val="28"/>
          <w:szCs w:val="28"/>
          <w:rtl/>
        </w:rPr>
        <w:t xml:space="preserve">۶. مشهد؛ رضوی؛ شماره نسخه: ۱۹۳۸۵</w:t>
      </w:r>
    </w:p>
    <w:p>
      <w:pPr>
        <w:pStyle w:val="BookText"/>
      </w:pPr>
      <w:r>
        <w:rPr>
          <w:rFonts w:ascii="IRNazanin" w:hAnsi="IRNazanin" w:eastAsia="IRNazanin" w:cs="IRNazanin"/>
          <w:lang w:bidi="fa-IR"/>
          <w:color w:val="111111"/>
          <w:sz w:val="28"/>
          <w:szCs w:val="28"/>
          <w:rtl/>
        </w:rPr>
        <w:t xml:space="preserve">آغاز: چنین گوید محرر این رساله و مقرر این مقاله، انجام: انشاالله تعالی بسن شباب خواهد رسید و یکبار دیگر جوانی از سر گرفته بعیش و عشرت مشغول</w:t>
      </w:r>
    </w:p>
    <w:p>
      <w:pPr>
        <w:pStyle w:val="BookText"/>
      </w:pPr>
      <w:r>
        <w:rPr>
          <w:rFonts w:ascii="IRNazanin" w:hAnsi="IRNazanin" w:eastAsia="IRNazanin" w:cs="IRNazanin"/>
          <w:lang w:bidi="fa-IR"/>
          <w:color w:val="111111"/>
          <w:sz w:val="28"/>
          <w:szCs w:val="28"/>
          <w:rtl/>
        </w:rPr>
        <w:t xml:space="preserve">خط: نستعلیق، بی کا، تا: قرن ۱۱؛ کاغذ: نباتی، جلد: پارچه ای [رایانه ]</w:t>
      </w:r>
    </w:p>
    <w:p>
      <w:pPr>
        <w:pStyle w:val="BookText"/>
      </w:pPr>
      <w:r>
        <w:rPr>
          <w:rFonts w:ascii="IRNazanin" w:hAnsi="IRNazanin" w:eastAsia="IRNazanin" w:cs="IRNazanin"/>
          <w:lang w:bidi="fa-IR"/>
          <w:color w:val="111111"/>
          <w:sz w:val="28"/>
          <w:szCs w:val="28"/>
          <w:rtl/>
        </w:rPr>
        <w:t xml:space="preserve">۷. رشت؛ جمعیت نشر فرهنگ؛ شماره نسخه: ۱۵/۲ ل</w:t>
      </w:r>
    </w:p>
    <w:p>
      <w:pPr>
        <w:pStyle w:val="BookText"/>
      </w:pPr>
      <w:r>
        <w:rPr>
          <w:rFonts w:ascii="IRNazanin" w:hAnsi="IRNazanin" w:eastAsia="IRNazanin" w:cs="IRNazanin"/>
          <w:lang w:bidi="fa-IR"/>
          <w:color w:val="111111"/>
          <w:sz w:val="28"/>
          <w:szCs w:val="28"/>
          <w:rtl/>
        </w:rPr>
        <w:t xml:space="preserve">آغاز: برابر؛ انجام: اینها ادوات و مسائل ظاهری بیش نیستند تمت الرسالة في رجب عشر و الف ۱۰۱۰)</w:t>
      </w:r>
    </w:p>
    <w:p>
      <w:pPr>
        <w:pStyle w:val="BookText"/>
      </w:pPr>
      <w:r>
        <w:rPr>
          <w:rFonts w:ascii="IRNazanin" w:hAnsi="IRNazanin" w:eastAsia="IRNazanin" w:cs="IRNazanin"/>
          <w:lang w:bidi="fa-IR"/>
          <w:color w:val="111111"/>
          <w:sz w:val="28"/>
          <w:szCs w:val="28"/>
          <w:rtl/>
        </w:rPr>
        <w:t xml:space="preserve">خط: نستعلیق، كا: على بن فتح الله خالسری، تا: رجب ۱۰۱۰ق؛ قطع: وزیری (رشت و همدان: ف: ۱۱۸۸]</w:t>
      </w:r>
    </w:p>
    <w:p>
      <w:pPr>
        <w:pStyle w:val="BookText"/>
      </w:pPr>
      <w:r>
        <w:rPr>
          <w:rFonts w:ascii="IRNazanin" w:hAnsi="IRNazanin" w:eastAsia="IRNazanin" w:cs="IRNazanin"/>
          <w:lang w:bidi="fa-IR"/>
          <w:color w:val="111111"/>
          <w:sz w:val="28"/>
          <w:szCs w:val="28"/>
          <w:rtl/>
        </w:rPr>
        <w:t xml:space="preserve">۸. تهران: ملی؛ شماره نسخه: ۶۹۵۴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متوسط، بی کا، تا: ۱۰۴۰ق؛ مصحح، محشی؛ خریداری از مشیری؛ کاغذ: فرنگی نخودی، جلد: تیماج قهوه ای مقوایی دامن دار، دارای ترنج و سرترنج با نقش گل و بوته مجدول ضربی عطف تیماج مشکی، ۴گ (۱۷۶-۱۷۹ پ)، ۱۷ سطر (۱۳۸۵)،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سم [رایانه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دانشگاه، شماره نسخه: ۹۴۵۷/۱</w:t>
      </w:r>
    </w:p>
    <w:p>
      <w:pPr>
        <w:pStyle w:val="BookText"/>
      </w:pPr>
      <w:r>
        <w:rPr>
          <w:rFonts w:ascii="IRNazanin" w:hAnsi="IRNazanin" w:eastAsia="IRNazanin" w:cs="IRNazanin"/>
          <w:lang w:bidi="fa-IR"/>
          <w:color w:val="111111"/>
          <w:sz w:val="28"/>
          <w:szCs w:val="28"/>
          <w:rtl/>
        </w:rPr>
        <w:t xml:space="preserve">خط: نسخ، بی کا، تا: قرن ۱۲ کاغذ: سپاهانی، جلد: تیماج تریاکی الایی، ۶۸گ (۳پ - ۷۰ر)، ۱۷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قطع: ربعی،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۱۷-۳۷۳]</w:t>
      </w:r>
    </w:p>
    <w:p>
      <w:pPr>
        <w:pStyle w:val="BookText"/>
      </w:pPr>
      <w:r>
        <w:rPr>
          <w:rFonts w:ascii="IRNazanin" w:hAnsi="IRNazanin" w:eastAsia="IRNazanin" w:cs="IRNazanin"/>
          <w:lang w:bidi="fa-IR"/>
          <w:color w:val="111111"/>
          <w:sz w:val="28"/>
          <w:szCs w:val="28"/>
          <w:rtl/>
        </w:rPr>
        <w:t xml:space="preserve">۱۰. تهران؛ مفتاح؛ شماره نسخه: ۳۳۶/۳</w:t>
      </w:r>
    </w:p>
    <w:p>
      <w:pPr>
        <w:pStyle w:val="BookText"/>
      </w:pPr>
      <w:r>
        <w:rPr>
          <w:rFonts w:ascii="IRNazanin" w:hAnsi="IRNazanin" w:eastAsia="IRNazanin" w:cs="IRNazanin"/>
          <w:lang w:bidi="fa-IR"/>
          <w:color w:val="111111"/>
          <w:sz w:val="28"/>
          <w:szCs w:val="28"/>
          <w:rtl/>
        </w:rPr>
        <w:t xml:space="preserve">خط: نسخ و نستعلیق، بی کا، تا: قرن ۱۲ [نشریه: ۷-۲۳۳]</w:t>
      </w:r>
    </w:p>
    <w:p>
      <w:pPr>
        <w:pStyle w:val="BookText"/>
      </w:pPr>
      <w:r>
        <w:rPr>
          <w:rFonts w:ascii="IRNazanin" w:hAnsi="IRNazanin" w:eastAsia="IRNazanin" w:cs="IRNazanin"/>
          <w:lang w:bidi="fa-IR"/>
          <w:color w:val="111111"/>
          <w:sz w:val="28"/>
          <w:szCs w:val="28"/>
          <w:rtl/>
        </w:rPr>
        <w:t xml:space="preserve">۱۱. تهران؛ ملی؛ شماره نسخه: ۳۹۷۷/۱</w:t>
      </w:r>
    </w:p>
    <w:p>
      <w:pPr>
        <w:pStyle w:val="BookText"/>
      </w:pPr>
      <w:r>
        <w:rPr>
          <w:rFonts w:ascii="IRNazanin" w:hAnsi="IRNazanin" w:eastAsia="IRNazanin" w:cs="IRNazanin"/>
          <w:lang w:bidi="fa-IR"/>
          <w:color w:val="111111"/>
          <w:sz w:val="28"/>
          <w:szCs w:val="28"/>
          <w:rtl/>
        </w:rPr>
        <w:t xml:space="preserve">آغاز و انجام: برابر خط: نستعلیق چلیپا، بی کا، تا: قرن ۱۲؛ پیش</w:t>
      </w:r>
    </w:p>
    <w:p>
      <w:pPr>
        <w:pStyle w:val="BookText"/>
      </w:pPr>
      <w:r>
        <w:rPr>
          <w:rFonts w:ascii="IRNazanin" w:hAnsi="IRNazanin" w:eastAsia="IRNazanin" w:cs="IRNazanin"/>
          <w:lang w:bidi="fa-IR"/>
          <w:color w:val="111111"/>
          <w:sz w:val="28"/>
          <w:szCs w:val="28"/>
          <w:rtl/>
        </w:rPr>
        <w:t xml:space="preserve">از این رساله یادداشت های طبی است و در پایان دارد: » تمت الرساله الدهنيه - یا - ذهبيه) و بندی در پزشکی نجومی هست: فصد یا دارو خوردن در ایام هفته و سپس لغات طبی هست؛ کاغذ: اصفهانی نخودی، جلد: جلد مقوا رویه تیماج سبز تیره، ۲گ (۳پ -۴ر)، چليبا 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۱۷-۲۶۴]</w:t>
      </w:r>
    </w:p>
    <w:p>
      <w:pPr>
        <w:pStyle w:val="BookText"/>
      </w:pPr>
      <w:r>
        <w:rPr>
          <w:rFonts w:ascii="IRNazanin" w:hAnsi="IRNazanin" w:eastAsia="IRNazanin" w:cs="IRNazanin"/>
          <w:lang w:bidi="fa-IR"/>
          <w:color w:val="111111"/>
          <w:sz w:val="28"/>
          <w:szCs w:val="28"/>
          <w:rtl/>
        </w:rPr>
        <w:t xml:space="preserve">۱۲. تهران؛ عبدالعظیم؛ شماره نسخه: ۷۰۷/۲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07" w:name="pg20363_209446"/>
    <w:bookmarkEnd w:id="207"/>
    <w:p>
      <w:pPr>
        <w:pStyle w:val="BookText"/>
      </w:pPr>
      <w:r>
        <w:rPr>
          <w:rFonts w:ascii="IRNazanin" w:hAnsi="IRNazanin" w:eastAsia="IRNazanin" w:cs="IRNazanin"/>
          <w:lang w:bidi="fa-IR"/>
          <w:color w:val="111111"/>
          <w:sz w:val="28"/>
          <w:szCs w:val="28"/>
          <w:rtl/>
        </w:rPr>
        <w:t xml:space="preserve">آغاز: برابر؛ انجام: باید که خورنده بیخ چینی در آن ایام از یاد حضرت پروردگار جل جلاله غافل نشود و صلوات بسیار بر حضرت رسالت (عليه السلام)فرستد و در اوراد و اذکار و تقوا و طارت دین کوشند تا به برکت انشائ الله تعالی شفای تمام یابند. خط: نستعلیق، بی کا، تا: قرن ۱۲؛ این رساله در میان نسخه اختیارات بدیعی درج شده؛ ۳گ (۱۷۴پ - ۱۷۶ ر)، چلیپایی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۱-۸۱]</w:t>
      </w:r>
    </w:p>
    <w:p>
      <w:pPr>
        <w:pStyle w:val="BookText"/>
      </w:pPr>
      <w:r>
        <w:rPr>
          <w:rFonts w:ascii="IRNazanin" w:hAnsi="IRNazanin" w:eastAsia="IRNazanin" w:cs="IRNazanin"/>
          <w:lang w:bidi="fa-IR"/>
          <w:color w:val="111111"/>
          <w:sz w:val="28"/>
          <w:szCs w:val="28"/>
          <w:rtl/>
        </w:rPr>
        <w:t xml:space="preserve">۱۳. تهران، دانشگاه؛ شماره نسخه: ۶۹۴/۷ -ف</w:t>
      </w:r>
    </w:p>
    <w:p>
      <w:pPr>
        <w:pStyle w:val="BookText"/>
      </w:pPr>
      <w:r>
        <w:rPr>
          <w:rFonts w:ascii="IRNazanin" w:hAnsi="IRNazanin" w:eastAsia="IRNazanin" w:cs="IRNazanin"/>
          <w:lang w:bidi="fa-IR"/>
          <w:color w:val="111111"/>
          <w:sz w:val="28"/>
          <w:szCs w:val="28"/>
          <w:rtl/>
        </w:rPr>
        <w:t xml:space="preserve">نسخه اصل: موزه بریتانیا ش .۱۹۶۱۹</w:t>
      </w:r>
      <w:r>
        <w:rPr>
          <w:rFonts w:ascii="Times New Roman" w:hAnsi="Times New Roman" w:eastAsia="Times New Roman" w:cs="Times New Roman"/>
          <w:lang w:val="en-US" w:bidi="en-US"/>
          <w:color w:val="111111"/>
          <w:sz w:val="28"/>
          <w:szCs w:val="28"/>
          <w:rtl/>
        </w:rPr>
        <w:t xml:space="preserve">Add (</w:t>
      </w:r>
      <w:r>
        <w:rPr>
          <w:rFonts w:ascii="IRNazanin" w:hAnsi="IRNazanin" w:eastAsia="IRNazanin" w:cs="IRNazanin"/>
          <w:lang w:bidi="fa-IR"/>
          <w:color w:val="111111"/>
          <w:sz w:val="28"/>
          <w:szCs w:val="28"/>
          <w:rtl/>
        </w:rPr>
        <w:t xml:space="preserve">ریو ۸۴۳)؛ خط: نستعلیق، بی کا، تا: ۱۱۰۳ق؛ ۳گ (۱۲۶۲-۲۶۴)، ۱۵ سطر</w:t>
      </w:r>
    </w:p>
    <w:p>
      <w:pPr>
        <w:pStyle w:val="BookText"/>
      </w:pPr>
      <w:r>
        <w:rPr>
          <w:rFonts w:ascii="IRNazanin" w:hAnsi="IRNazanin" w:eastAsia="IRNazanin" w:cs="IRNazanin"/>
          <w:lang w:bidi="fa-IR"/>
          <w:color w:val="111111"/>
          <w:sz w:val="28"/>
          <w:szCs w:val="28"/>
          <w:rtl/>
        </w:rPr>
        <w:t xml:space="preserve">[فیلمها ف: ۱-۵۲۴]</w:t>
      </w:r>
    </w:p>
    <w:p>
      <w:pPr>
        <w:pStyle w:val="BookText"/>
      </w:pPr>
      <w:r>
        <w:rPr>
          <w:rFonts w:ascii="IRNazanin" w:hAnsi="IRNazanin" w:eastAsia="IRNazanin" w:cs="IRNazanin"/>
          <w:lang w:bidi="fa-IR"/>
          <w:color w:val="111111"/>
          <w:sz w:val="28"/>
          <w:szCs w:val="28"/>
          <w:rtl/>
        </w:rPr>
        <w:t xml:space="preserve">۱۴. تهران؛ ملک؛ شماره نسخه: ۴۴۴۴/۲</w:t>
      </w:r>
    </w:p>
    <w:p>
      <w:pPr>
        <w:pStyle w:val="BookText"/>
      </w:pPr>
      <w:r>
        <w:rPr>
          <w:rFonts w:ascii="IRNazanin" w:hAnsi="IRNazanin" w:eastAsia="IRNazanin" w:cs="IRNazanin"/>
          <w:lang w:bidi="fa-IR"/>
          <w:color w:val="111111"/>
          <w:sz w:val="28"/>
          <w:szCs w:val="28"/>
          <w:rtl/>
        </w:rPr>
        <w:t xml:space="preserve">خط: نستعلیق، بی کا، تا: قرن ۱۳، ۴ص [ف: ۷-۴۰۲]</w:t>
      </w:r>
    </w:p>
    <w:p>
      <w:pPr>
        <w:pStyle w:val="BookText"/>
      </w:pPr>
      <w:r>
        <w:rPr>
          <w:rFonts w:ascii="IRNazanin" w:hAnsi="IRNazanin" w:eastAsia="IRNazanin" w:cs="IRNazanin"/>
          <w:lang w:bidi="fa-IR"/>
          <w:color w:val="111111"/>
          <w:sz w:val="28"/>
          <w:szCs w:val="28"/>
          <w:rtl/>
        </w:rPr>
        <w:t xml:space="preserve">۱۵. تهران؛ مجلس؛ شماره نسخه: ۶۶۴۵/۱۹</w:t>
      </w:r>
    </w:p>
    <w:p>
      <w:pPr>
        <w:pStyle w:val="BookText"/>
      </w:pPr>
      <w:r>
        <w:rPr>
          <w:rFonts w:ascii="IRNazanin" w:hAnsi="IRNazanin" w:eastAsia="IRNazanin" w:cs="IRNazanin"/>
          <w:lang w:bidi="fa-IR"/>
          <w:color w:val="111111"/>
          <w:sz w:val="28"/>
          <w:szCs w:val="28"/>
          <w:rtl/>
        </w:rPr>
        <w:t xml:space="preserve">خط: نستعلیق زیبا، بی کا، تا: قرن ۱۳؛ مجدول، در حاشیه به چلیپا کتابت شده؛ جلد: تیماج تریاکی ترنج و سرترنج دار ضربی، ۶گ حاشیه ۱۹۶-۲۰۱)، ۱۸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۲۰-۱۷۳]</w:t>
      </w:r>
    </w:p>
    <w:p>
      <w:pPr>
        <w:pStyle w:val="BookText"/>
      </w:pPr>
      <w:r>
        <w:rPr>
          <w:rFonts w:ascii="IRNazanin" w:hAnsi="IRNazanin" w:eastAsia="IRNazanin" w:cs="IRNazanin"/>
          <w:lang w:bidi="fa-IR"/>
          <w:color w:val="111111"/>
          <w:sz w:val="28"/>
          <w:szCs w:val="28"/>
          <w:rtl/>
        </w:rPr>
        <w:t xml:space="preserve">۱۶. قم؛ مرعشی؛ شماره نسخه: ۱۵۶۳/۴ و عکسی ۱۱۴۸/۵</w:t>
      </w:r>
    </w:p>
    <w:p>
      <w:pPr>
        <w:pStyle w:val="BookText"/>
      </w:pPr>
      <w:r>
        <w:rPr>
          <w:rFonts w:ascii="IRNazanin" w:hAnsi="IRNazanin" w:eastAsia="IRNazanin" w:cs="IRNazanin"/>
          <w:lang w:bidi="fa-IR"/>
          <w:color w:val="111111"/>
          <w:sz w:val="28"/>
          <w:szCs w:val="28"/>
          <w:rtl/>
        </w:rPr>
        <w:t xml:space="preserve">آغاز: اما بعد ... قریب بیست سال در هند بودم و با حکمای آنجا در هر باب سخن در منافع چوب چینی در ظلمات؛ انجام: با نیم سیر شیر خام و از ترشی و باید پرهیز کند.</w:t>
      </w:r>
    </w:p>
    <w:p>
      <w:pPr>
        <w:pStyle w:val="BookText"/>
      </w:pPr>
      <w:r>
        <w:rPr>
          <w:rFonts w:ascii="IRNazanin" w:hAnsi="IRNazanin" w:eastAsia="IRNazanin" w:cs="IRNazanin"/>
          <w:lang w:bidi="fa-IR"/>
          <w:color w:val="111111"/>
          <w:sz w:val="28"/>
          <w:szCs w:val="28"/>
          <w:rtl/>
        </w:rPr>
        <w:t xml:space="preserve">خط: نستعلیق، کا: میرزا حبیب الله علوی، تا: چهارشنبه ۲۲ صفر ۱۳۴۰ق، جان حیدر آباد؛ از روی نسخه مورخ جمادی الاول ۱۰۸۵؛ جلد: مقوایی عطف پارچه، ۱۵گ (۱۳۵ - ۴۹پ)،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۴-۳۷۴] و [عکسی ف: ۳-۳۱۲]</w:t>
      </w:r>
    </w:p>
    <w:p>
      <w:pPr>
        <w:pStyle w:val="BookText"/>
      </w:pPr>
      <w:r>
        <w:rPr>
          <w:rFonts w:ascii="IRNazanin" w:hAnsi="IRNazanin" w:eastAsia="IRNazanin" w:cs="IRNazanin"/>
          <w:lang w:bidi="fa-IR"/>
          <w:color w:val="111111"/>
          <w:sz w:val="28"/>
          <w:szCs w:val="28"/>
          <w:rtl/>
        </w:rPr>
        <w:t xml:space="preserve">۱۷. تهران، دانشگاه؛ شماره نسخه: ۴۶۰/۶</w:t>
      </w:r>
    </w:p>
    <w:p>
      <w:pPr>
        <w:pStyle w:val="BookText"/>
      </w:pPr>
      <w:r>
        <w:rPr>
          <w:rFonts w:ascii="IRNazanin" w:hAnsi="IRNazanin" w:eastAsia="IRNazanin" w:cs="IRNazanin"/>
          <w:lang w:bidi="fa-IR"/>
          <w:color w:val="111111"/>
          <w:sz w:val="28"/>
          <w:szCs w:val="28"/>
          <w:rtl/>
        </w:rPr>
        <w:t xml:space="preserve">آغاز: برابر خط: نستعلیق ریز، بی کا، بی تا، افتادگی: انجام؛ ۱۷۸گ، ۲۱سطر</w:t>
      </w:r>
    </w:p>
    <w:p>
      <w:pPr>
        <w:pStyle w:val="BookText"/>
      </w:pPr>
      <w:r>
        <w:rPr>
          <w:rFonts w:ascii="IRNazanin" w:hAnsi="IRNazanin" w:eastAsia="IRNazanin" w:cs="IRNazanin"/>
          <w:lang w:bidi="fa-IR"/>
          <w:color w:val="111111"/>
          <w:sz w:val="28"/>
          <w:szCs w:val="28"/>
          <w:rtl/>
        </w:rPr>
        <w:t xml:space="preserve">[ف: ۴-۷۲۵] ۱۸. تهران؛ دانشگاه؛ شماره نسخه: ۴۱۸۶/۳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کاغذ: فرنگی، جلد: تیماج مشکی مقوایی، ۴گ (۵۹ر -۶۲ر هامش)، ۲۲ سطر (۱۴۸۱۰)، اندازه:۱۹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 [ف: ۱۳-۳۱۵۴]</w:t>
      </w:r>
    </w:p>
    <w:p>
      <w:pPr>
        <w:pStyle w:val="BookText"/>
      </w:pPr>
      <w:r>
        <w:rPr>
          <w:rFonts w:ascii="IRNazanin" w:hAnsi="IRNazanin" w:eastAsia="IRNazanin" w:cs="IRNazanin"/>
          <w:lang w:bidi="fa-IR"/>
          <w:color w:val="111111"/>
          <w:sz w:val="28"/>
          <w:szCs w:val="28"/>
          <w:rtl/>
        </w:rPr>
        <w:t xml:space="preserve">۱۹. قم؛ مسجد اعظم، شماره نسخه: ۱۵۲/۲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در حاشیه نگاشته شده؛ جلد: تیماج مشکی ترنج و سر، ۴گ،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 سم [ف مخ: ۱-۲۹۲]</w:t>
      </w:r>
    </w:p>
    <w:p>
      <w:pPr>
        <w:pStyle w:val="BookText"/>
      </w:pPr>
      <w:r>
        <w:rPr>
          <w:rFonts w:ascii="IRNazanin" w:hAnsi="IRNazanin" w:eastAsia="IRNazanin" w:cs="IRNazanin"/>
          <w:lang w:bidi="fa-IR"/>
          <w:color w:val="111111"/>
          <w:sz w:val="28"/>
          <w:szCs w:val="28"/>
          <w:rtl/>
        </w:rPr>
        <w:t xml:space="preserve">۲۰. قم؛ مرعشی؛ شماره نسخه: ۷۹۳۶/۷</w:t>
      </w:r>
    </w:p>
    <w:p>
      <w:pPr>
        <w:pStyle w:val="BookText"/>
      </w:pPr>
      <w:r>
        <w:rPr>
          <w:rFonts w:ascii="IRNazanin" w:hAnsi="IRNazanin" w:eastAsia="IRNazanin" w:cs="IRNazanin"/>
          <w:lang w:bidi="fa-IR"/>
          <w:color w:val="111111"/>
          <w:sz w:val="28"/>
          <w:szCs w:val="28"/>
          <w:rtl/>
        </w:rPr>
        <w:t xml:space="preserve">بی کا، بی تا؛ جلد: تیماج قهوه ای ضربی، ۲گ (۲۱۵پ -۲۱۶پ)،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۳۱/۵سم [ف: ۲۰-۲۶۹]</w:t>
      </w:r>
    </w:p>
    <w:p>
      <w:pPr>
        <w:pStyle w:val="BookText"/>
      </w:pPr>
      <w:r>
        <w:rPr>
          <w:rFonts w:ascii="IRNazanin" w:hAnsi="IRNazanin" w:eastAsia="IRNazanin" w:cs="IRNazanin"/>
          <w:lang w:bidi="fa-IR"/>
          <w:color w:val="111111"/>
          <w:sz w:val="28"/>
          <w:szCs w:val="28"/>
          <w:rtl/>
        </w:rPr>
        <w:t xml:space="preserve">۲۱. تهران؛ ملی؛ شماره نسخه: ۱۵۷۳۱</w:t>
      </w:r>
    </w:p>
    <w:p>
      <w:pPr>
        <w:pStyle w:val="BookText"/>
      </w:pPr>
      <w:r>
        <w:rPr>
          <w:rFonts w:ascii="IRNazanin" w:hAnsi="IRNazanin" w:eastAsia="IRNazanin" w:cs="IRNazanin"/>
          <w:lang w:bidi="fa-IR"/>
          <w:color w:val="111111"/>
          <w:sz w:val="28"/>
          <w:szCs w:val="28"/>
          <w:rtl/>
        </w:rPr>
        <w:t xml:space="preserve">آغاز: برابر؛ انجام: جوشیده است ضبط نماید و چون بیست روز بیخ چینی ۳۱۹ بگذرد در بیست روز دیگر آن تلف را بکار ...</w:t>
      </w:r>
    </w:p>
    <w:p>
      <w:pPr>
        <w:pStyle w:val="BookText"/>
      </w:pPr>
      <w:r>
        <w:rPr>
          <w:rFonts w:ascii="IRNazanin" w:hAnsi="IRNazanin" w:eastAsia="IRNazanin" w:cs="IRNazanin"/>
          <w:lang w:bidi="fa-IR"/>
          <w:color w:val="111111"/>
          <w:sz w:val="28"/>
          <w:szCs w:val="28"/>
          <w:rtl/>
        </w:rPr>
        <w:t xml:space="preserve">خط: نستعلیق، بی کا، بی تا، کاغذ: فرنگی نخودی، جلد: میشن قهوه ای تیره مقوایی، دور جلد زنجیره ای به زر، ۲ص (۳۲-۳۳)، ۲۴ سطر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۲۰/۵ )،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[رایانه]</w:t>
      </w:r>
    </w:p>
    <w:p>
      <w:pPr>
        <w:pStyle w:val="BookText"/>
      </w:pPr>
      <w:r>
        <w:rPr>
          <w:rFonts w:ascii="IRNazanin" w:hAnsi="IRNazanin" w:eastAsia="IRNazanin" w:cs="IRNazanin"/>
          <w:lang w:bidi="fa-IR"/>
          <w:color w:val="111111"/>
          <w:sz w:val="28"/>
          <w:szCs w:val="28"/>
          <w:rtl/>
        </w:rPr>
        <w:t xml:space="preserve">۲۲. تهران؛ مفتاح، شماره نسخه: ۳۲۸/۱</w:t>
      </w:r>
    </w:p>
    <w:p>
      <w:pPr>
        <w:pStyle w:val="BookText"/>
      </w:pPr>
      <w:r>
        <w:rPr>
          <w:rFonts w:ascii="IRNazanin" w:hAnsi="IRNazanin" w:eastAsia="IRNazanin" w:cs="IRNazanin"/>
          <w:lang w:bidi="fa-IR"/>
          <w:color w:val="111111"/>
          <w:sz w:val="28"/>
          <w:szCs w:val="28"/>
          <w:rtl/>
        </w:rPr>
        <w:t xml:space="preserve">خط: نستعلیق</w:t>
      </w:r>
    </w:p>
    <w:p>
      <w:pPr>
        <w:pStyle w:val="BookText"/>
      </w:pPr>
      <w:r>
        <w:rPr>
          <w:rFonts w:ascii="IRNazanin" w:hAnsi="IRNazanin" w:eastAsia="IRNazanin" w:cs="IRNazanin"/>
          <w:lang w:bidi="fa-IR"/>
          <w:color w:val="111111"/>
          <w:sz w:val="28"/>
          <w:szCs w:val="28"/>
          <w:rtl/>
        </w:rPr>
        <w:t xml:space="preserve">چلیپا، بی کا، بی تا [نشریه: ۷-۲۳۳]</w:t>
      </w:r>
    </w:p>
    <w:p>
      <w:pPr>
        <w:pStyle w:val="Heading3"/>
      </w:pPr>
      <w:bookmarkStart w:id="1376" w:name="_Toc636"/>
      <w:r>
        <w:t>• بیخ چینی / طب / فارسی</w:t>
      </w:r>
      <w:bookmarkEnd w:id="1376"/>
    </w:p>
    <w:p>
      <w:pPr>
        <w:pStyle w:val="BookText"/>
      </w:pPr>
      <w:r>
        <w:rPr>
          <w:rFonts w:ascii="Times New Roman" w:hAnsi="Times New Roman" w:eastAsia="Times New Roman" w:cs="Times New Roman"/>
          <w:lang w:val="en-US" w:bidi="en-US"/>
          <w:color w:val="111111"/>
          <w:sz w:val="28"/>
          <w:szCs w:val="28"/>
          <w:rtl/>
        </w:rPr>
        <w:t xml:space="preserve">bīx-e čīnī</w:t>
      </w:r>
    </w:p>
    <w:p>
      <w:pPr>
        <w:pStyle w:val="BookText"/>
      </w:pPr>
      <w:r>
        <w:rPr>
          <w:rFonts w:ascii="IRNazanin" w:hAnsi="IRNazanin" w:eastAsia="IRNazanin" w:cs="IRNazanin"/>
          <w:lang w:bidi="fa-IR"/>
          <w:color w:val="111111"/>
          <w:sz w:val="28"/>
          <w:szCs w:val="28"/>
          <w:rtl/>
        </w:rPr>
        <w:t xml:space="preserve">مسعود بن عبدالله</w:t>
      </w:r>
    </w:p>
    <w:p>
      <w:pPr>
        <w:pStyle w:val="BookText"/>
      </w:pPr>
      <w:r>
        <w:rPr>
          <w:rFonts w:ascii="Times New Roman" w:hAnsi="Times New Roman" w:eastAsia="Times New Roman" w:cs="Times New Roman"/>
          <w:lang w:val="en-US" w:bidi="en-US"/>
          <w:color w:val="111111"/>
          <w:sz w:val="28"/>
          <w:szCs w:val="28"/>
          <w:rtl/>
        </w:rPr>
        <w:t xml:space="preserve">mas“ūd ebn-e ‘abd-ol-lāh</w:t>
      </w:r>
    </w:p>
    <w:p>
      <w:pPr>
        <w:pStyle w:val="BookText"/>
      </w:pPr>
      <w:r>
        <w:rPr>
          <w:rFonts w:ascii="IRNazanin" w:hAnsi="IRNazanin" w:eastAsia="IRNazanin" w:cs="IRNazanin"/>
          <w:lang w:bidi="fa-IR"/>
          <w:color w:val="111111"/>
          <w:sz w:val="28"/>
          <w:szCs w:val="28"/>
          <w:rtl/>
        </w:rPr>
        <w:t xml:space="preserve">رساله مختصری است در بیان خواص و فواید چوپ چینی که در یک «مقدمه»، هفت</w:t>
      </w:r>
    </w:p>
    <w:p>
      <w:pPr>
        <w:pStyle w:val="BookText"/>
      </w:pPr>
      <w:r>
        <w:rPr>
          <w:rFonts w:ascii="IRNazanin" w:hAnsi="IRNazanin" w:eastAsia="IRNazanin" w:cs="IRNazanin"/>
          <w:lang w:bidi="fa-IR"/>
          <w:color w:val="111111"/>
          <w:sz w:val="28"/>
          <w:szCs w:val="28"/>
          <w:rtl/>
        </w:rPr>
        <w:t xml:space="preserve">«فصل» و یک «خاتمه»: فصل 1. خاصیت بیخ چینی؛ ۲. کیفیت و کمیت بیخ چینی؛ ۳. کیفیت پختن بیخ چینی؛ ۴. استعمال و خوردن دارو؛ ۵. اوقات خوردن دارو؛ ۶. غذا و شربت؛ ۷. شناختن دارو. آغاز: بسمله، شکر و سپاس خالقی را که از بیخ گیاهی سوختگان آتش سوزان را شفا می دهد و از شاخ و برگ درختان دوای دردمندان ببلای امراض ... بنده کمترین مظفر الدین مسعود بن معز الدين عبدالله قريب نه سال ببلای آتشک گرفتار بود [نسخه های منزوی ۴۰۰/۱ ؛ دنا ۵۹۴/۲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ملی؛ شماره نسخه: ۶۹۵۴</w:t>
      </w:r>
    </w:p>
    <w:p>
      <w:pPr>
        <w:pStyle w:val="BookText"/>
      </w:pPr>
      <w:r>
        <w:rPr>
          <w:rFonts w:ascii="IRNazanin" w:hAnsi="IRNazanin" w:eastAsia="IRNazanin" w:cs="IRNazanin"/>
          <w:lang w:bidi="fa-IR"/>
          <w:color w:val="111111"/>
          <w:sz w:val="28"/>
          <w:szCs w:val="28"/>
          <w:rtl/>
        </w:rPr>
        <w:t xml:space="preserve">آغاز: برابر؛ انجام: اگر گوشت فربه با مرغ فربه باشد چربی آن بس است و اگر احتیاج به روغن باشد مسکه ناگداخته کنند که گداخته نمک در رود و اگر شربتی میل شود ...</w:t>
      </w:r>
    </w:p>
    <w:p>
      <w:pPr>
        <w:pStyle w:val="BookText"/>
      </w:pPr>
      <w:r>
        <w:rPr>
          <w:rFonts w:ascii="IRNazanin" w:hAnsi="IRNazanin" w:eastAsia="IRNazanin" w:cs="IRNazanin"/>
          <w:lang w:bidi="fa-IR"/>
          <w:color w:val="111111"/>
          <w:sz w:val="28"/>
          <w:szCs w:val="28"/>
          <w:rtl/>
        </w:rPr>
        <w:t xml:space="preserve">تا اواسط فصل ششم؛ خط: نستعلیق متوسط، بی کا، تا: ۱۰۴۰ق؛ افتادگی: انجام؛ مصحح؛ خریداری از مشیری؛ کاغذ: فرنگی نخودی، جلد: تیماج قهوه ای مقوایی دامن دار، دارای ترنج و سرترنج با نقش گل و بوته مجدول ضربی، ۵گ (۱۷۹پ - ۱۸۳پ)، ۱۷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[رایانه]</w:t>
      </w:r>
    </w:p>
    <w:p>
      <w:pPr>
        <w:pStyle w:val="BookText"/>
      </w:pPr>
      <w:r>
        <w:rPr>
          <w:rFonts w:ascii="IRNazanin" w:hAnsi="IRNazanin" w:eastAsia="IRNazanin" w:cs="IRNazanin"/>
          <w:lang w:bidi="fa-IR"/>
          <w:color w:val="111111"/>
          <w:sz w:val="28"/>
          <w:szCs w:val="28"/>
          <w:rtl/>
        </w:rPr>
        <w:t xml:space="preserve">۲. قم؛ مسجد اعظم، شماره نسخه: ۱۵۲/۴</w:t>
      </w:r>
    </w:p>
    <w:p>
      <w:pPr>
        <w:pStyle w:val="BookText"/>
      </w:pPr>
      <w:r>
        <w:rPr>
          <w:rFonts w:ascii="IRNazanin" w:hAnsi="IRNazanin" w:eastAsia="IRNazanin" w:cs="IRNazanin"/>
          <w:lang w:bidi="fa-IR"/>
          <w:color w:val="111111"/>
          <w:sz w:val="28"/>
          <w:szCs w:val="28"/>
          <w:rtl/>
        </w:rPr>
        <w:t xml:space="preserve">آغاز: برابر؛ انجام: و یک حصه از چهار حصه يكدرم و چون وزن درهم و مثقال طبی ظاهر شد وزن رطل و من باقی اوزان طبی ظاهر می شود</w:t>
      </w:r>
    </w:p>
    <w:p>
      <w:pPr>
        <w:pStyle w:val="BookText"/>
      </w:pPr>
      <w:r>
        <w:rPr>
          <w:rFonts w:ascii="IRNazanin" w:hAnsi="IRNazanin" w:eastAsia="IRNazanin" w:cs="IRNazanin"/>
          <w:lang w:bidi="fa-IR"/>
          <w:color w:val="111111"/>
          <w:sz w:val="28"/>
          <w:szCs w:val="28"/>
          <w:rtl/>
        </w:rPr>
        <w:t xml:space="preserve">خط: نستعلیق، بی کا، بی تا، در حاشیه نگاشته شده؛ جلد: تیماج مشکی با ترنج و سر، ۹گ، اندازه: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مخ: ۱-۲۹۲]</w:t>
      </w:r>
    </w:p>
    <w:p>
      <w:pPr>
        <w:pStyle w:val="BookText"/>
      </w:pPr>
      <w:r>
        <w:rPr>
          <w:rFonts w:ascii="IRNazanin" w:hAnsi="IRNazanin" w:eastAsia="IRNazanin" w:cs="IRNazanin"/>
          <w:lang w:bidi="fa-IR"/>
          <w:color w:val="111111"/>
          <w:sz w:val="28"/>
          <w:szCs w:val="28"/>
          <w:rtl/>
        </w:rPr>
        <w:t xml:space="preserve">٣. تهران: دانشگاه؛ شماره نسخه: ۴۱۸۶/۲</w:t>
      </w:r>
    </w:p>
    <w:p>
      <w:pPr>
        <w:pStyle w:val="BookText"/>
      </w:pPr>
      <w:r>
        <w:rPr>
          <w:rFonts w:ascii="IRNazanin" w:hAnsi="IRNazanin" w:eastAsia="IRNazanin" w:cs="IRNazanin"/>
          <w:lang w:bidi="fa-IR"/>
          <w:color w:val="111111"/>
          <w:sz w:val="28"/>
          <w:szCs w:val="28"/>
          <w:rtl/>
        </w:rPr>
        <w:t xml:space="preserve">آغاز: برابر؛ انجام: شربتی از شفاخانه الهی نصیب او شده و الله اعلم. خط: نسخ، بی کا، بی تا، در متن نسخه (۵۷پ - ۶۰پ) هفت فصل است و باید از همین رساله بیخ چینی باشد، در هامش گ ۵۹ر هم آمده «قبل از این آنچه در مقدمه چوب چینی بر حاشیه نوشته شده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08" w:name="pg20363_209447"/>
    <w:bookmarkEnd w:id="208"/>
    <w:p>
      <w:pPr>
        <w:pStyle w:val="BookText"/>
      </w:pPr>
      <w:r>
        <w:rPr>
          <w:rFonts w:ascii="IRNazanin" w:hAnsi="IRNazanin" w:eastAsia="IRNazanin" w:cs="IRNazanin"/>
          <w:lang w:bidi="fa-IR"/>
          <w:color w:val="111111"/>
          <w:sz w:val="28"/>
          <w:szCs w:val="28"/>
          <w:rtl/>
        </w:rPr>
        <w:t xml:space="preserve">موخر است بر آنچه در ذیل نوشته می شود»؛ کاغذ: فرنگی، جلد: تیماج مشکی مقوایی، ۳گ (۵۷پ -۵۹ر هامش)، ۲۲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۱۳-۳۱۵۴]</w:t>
      </w:r>
    </w:p>
    <w:p>
      <w:pPr>
        <w:pStyle w:val="Heading3"/>
      </w:pPr>
      <w:bookmarkStart w:id="1377" w:name="_Toc637"/>
      <w:r>
        <w:t>•بیخ چینی = چوب چینی طب / فارسی</w:t>
      </w:r>
      <w:bookmarkEnd w:id="1377"/>
    </w:p>
    <w:p>
      <w:pPr>
        <w:pStyle w:val="BookText"/>
      </w:pPr>
      <w:r>
        <w:rPr>
          <w:rFonts w:ascii="Times New Roman" w:hAnsi="Times New Roman" w:eastAsia="Times New Roman" w:cs="Times New Roman"/>
          <w:lang w:val="en-US" w:bidi="en-US"/>
          <w:color w:val="111111"/>
          <w:sz w:val="28"/>
          <w:szCs w:val="28"/>
          <w:rtl/>
        </w:rPr>
        <w:t xml:space="preserve">bīx-e čīnī= čūb-e čīnī</w:t>
      </w:r>
    </w:p>
    <w:p>
      <w:pPr>
        <w:pStyle w:val="BookText"/>
      </w:pPr>
      <w:r>
        <w:rPr>
          <w:rFonts w:ascii="IRNazanin" w:hAnsi="IRNazanin" w:eastAsia="IRNazanin" w:cs="IRNazanin"/>
          <w:lang w:bidi="fa-IR"/>
          <w:color w:val="111111"/>
          <w:sz w:val="28"/>
          <w:szCs w:val="28"/>
          <w:rtl/>
        </w:rPr>
        <w:t xml:space="preserve">رساله ای در خواص چوب چینی و روش مصرف آن در درمان بیماری های گوناگون از مقدمه رساله بر می آید که مؤلف از پزشکان عصر صفوی بوده است؛ در دیباچه می گوید: چون در باره بیخ چینی کتابی کامل نبود ... و نیز داستان فالج حرم شاه اسماعیل را آورده و در فصل ۲ از رساله «افيون» خود نام می برد. در باره گیاه بیخ چینی است از پزشکی و طبیعی در ۸ «فصل»: ۱. طبیعت آن؛ ۲. منافع آن؛ ۳. موارد استعمال آن؛ ۴. شرایط خوردن آن؛ ۵. بیان مزاجها در خوردن آن؛ ۶. مقدمات خوردن آن؛ ۷. ترتیب زدون زیان آن؛ ۸ چگونگی استعمال آن جز آنچه گذشت. (منزوی، احمد)</w:t>
      </w:r>
    </w:p>
    <w:p>
      <w:pPr>
        <w:pStyle w:val="BookText"/>
      </w:pPr>
      <w:r>
        <w:rPr>
          <w:rFonts w:ascii="IRNazanin" w:hAnsi="IRNazanin" w:eastAsia="IRNazanin" w:cs="IRNazanin"/>
          <w:lang w:bidi="fa-IR"/>
          <w:color w:val="111111"/>
          <w:sz w:val="28"/>
          <w:szCs w:val="28"/>
          <w:rtl/>
        </w:rPr>
        <w:t xml:space="preserve">آغاز: بسمله در خواص بیخی که معروف است به چوب چینی و طريق معالجه و استعمال آن بدانکه چوب چینی تا چند وقت پیش از این معروف نبود و در کتب طبی ذکر آن نشده و در اوائل طلوع آفتاب منیر ... سلاطین صفوی مردم را اطلاع بر آن حاصل گردید</w:t>
      </w:r>
    </w:p>
    <w:p>
      <w:pPr>
        <w:pStyle w:val="BookText"/>
      </w:pPr>
      <w:r>
        <w:rPr>
          <w:rFonts w:ascii="IRNazanin" w:hAnsi="IRNazanin" w:eastAsia="IRNazanin" w:cs="IRNazanin"/>
          <w:lang w:bidi="fa-IR"/>
          <w:color w:val="111111"/>
          <w:sz w:val="28"/>
          <w:szCs w:val="28"/>
          <w:rtl/>
        </w:rPr>
        <w:t xml:space="preserve">انجام: ودو دفعه طنج چینیرا بقدر یک فنجان تخمین یک مثقال او را جوشانیده باید داد و لهذا تعيين مدت استعمال آن نمی توان کرد.</w:t>
      </w:r>
    </w:p>
    <w:p>
      <w:pPr>
        <w:pStyle w:val="BookText"/>
      </w:pPr>
      <w:r>
        <w:rPr>
          <w:rFonts w:ascii="IRNazanin" w:hAnsi="IRNazanin" w:eastAsia="IRNazanin" w:cs="IRNazanin"/>
          <w:lang w:bidi="fa-IR"/>
          <w:color w:val="111111"/>
          <w:sz w:val="28"/>
          <w:szCs w:val="28"/>
          <w:rtl/>
        </w:rPr>
        <w:t xml:space="preserve">[ دنا ۵۹۴/۲ ؛ فهرستواره منزوی ۳۷۹۷/۵ ]</w:t>
      </w:r>
    </w:p>
    <w:p>
      <w:pPr>
        <w:pStyle w:val="BookText"/>
      </w:pPr>
      <w:r>
        <w:rPr>
          <w:rFonts w:ascii="IRNazanin" w:hAnsi="IRNazanin" w:eastAsia="IRNazanin" w:cs="IRNazanin"/>
          <w:lang w:bidi="fa-IR"/>
          <w:color w:val="111111"/>
          <w:sz w:val="28"/>
          <w:szCs w:val="28"/>
          <w:rtl/>
        </w:rPr>
        <w:t xml:space="preserve">همانند: ۱. تهران: مجلس؛ شماره نسخه: ۶۱۶۱/۲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علی اکبر اسکندر همدانی، تا: ۱۲۵۰ق؛ کاغذ: فرنگی سفید، جلد: تیماج قرمز، ۱۰ص (۲۳۵-۲۴۴)، ۱۷سطر، قطع: رحلی،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سم [ف: ۱۹-۱۵۵]</w:t>
      </w:r>
    </w:p>
    <w:p>
      <w:pPr>
        <w:pStyle w:val="BookText"/>
      </w:pPr>
      <w:r>
        <w:rPr>
          <w:rFonts w:ascii="IRNazanin" w:hAnsi="IRNazanin" w:eastAsia="IRNazanin" w:cs="IRNazanin"/>
          <w:lang w:bidi="fa-IR"/>
          <w:color w:val="111111"/>
          <w:sz w:val="28"/>
          <w:szCs w:val="28"/>
          <w:rtl/>
        </w:rPr>
        <w:t xml:space="preserve">۲. قم؛ مرعشی؛ شماره نسخه: ۱۲۹۳۵/۲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۱۲۶۱ق؛ محشی؛ کاغذ: فرنگی، جلد: مشمعی سورمه ای با مقوا، عطف: تیماج سورمه ای، ۴گ (۱۴۷ر-۱۵۰ر)، سطور چلیپا (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w:t>
      </w:r>
    </w:p>
    <w:p>
      <w:pPr>
        <w:pStyle w:val="BookText"/>
      </w:pPr>
      <w:r>
        <w:rPr>
          <w:rFonts w:ascii="IRNazanin" w:hAnsi="IRNazanin" w:eastAsia="IRNazanin" w:cs="IRNazanin"/>
          <w:lang w:bidi="fa-IR"/>
          <w:color w:val="111111"/>
          <w:sz w:val="28"/>
          <w:szCs w:val="28"/>
          <w:rtl/>
        </w:rPr>
        <w:t xml:space="preserve">۲۲/۵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۳۲-۸۱۳]</w:t>
      </w:r>
    </w:p>
    <w:p>
      <w:pPr>
        <w:pStyle w:val="Heading3"/>
      </w:pPr>
      <w:bookmarkStart w:id="1378" w:name="_Toc638"/>
      <w:r>
        <w:t>• بیخ چینی = چوب چینی / طب / فارسی</w:t>
      </w:r>
      <w:bookmarkEnd w:id="1378"/>
    </w:p>
    <w:p>
      <w:pPr>
        <w:pStyle w:val="BookText"/>
      </w:pPr>
      <w:r>
        <w:rPr>
          <w:rFonts w:ascii="Times New Roman" w:hAnsi="Times New Roman" w:eastAsia="Times New Roman" w:cs="Times New Roman"/>
          <w:lang w:val="en-US" w:bidi="en-US"/>
          <w:color w:val="111111"/>
          <w:sz w:val="28"/>
          <w:szCs w:val="28"/>
          <w:rtl/>
        </w:rPr>
        <w:t xml:space="preserve">bīx-e čīnī= čūb-e čīnī</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IRNazanin" w:hAnsi="IRNazanin" w:eastAsia="IRNazanin" w:cs="IRNazanin"/>
          <w:lang w:bidi="fa-IR"/>
          <w:color w:val="111111"/>
          <w:sz w:val="28"/>
          <w:szCs w:val="28"/>
          <w:rtl/>
        </w:rPr>
        <w:t xml:space="preserve">۱. تهران؛ ملک؛ شماره نسخه: ۴۹۲/۲۴</w:t>
      </w:r>
    </w:p>
    <w:p>
      <w:pPr>
        <w:pStyle w:val="BookText"/>
      </w:pPr>
      <w:r>
        <w:rPr>
          <w:rFonts w:ascii="IRNazanin" w:hAnsi="IRNazanin" w:eastAsia="IRNazanin" w:cs="IRNazanin"/>
          <w:lang w:bidi="fa-IR"/>
          <w:color w:val="111111"/>
          <w:sz w:val="28"/>
          <w:szCs w:val="28"/>
          <w:rtl/>
        </w:rPr>
        <w:t xml:space="preserve">آداب بیخ چینی خوردن؛ خط: نستعلیق، بی کا، تا: قرن ۱۰؛ ۴ص ( ۱۹۳-۱۹۰ هامش) [ف: ۵-۴۲]</w:t>
      </w:r>
    </w:p>
    <w:p>
      <w:pPr>
        <w:pStyle w:val="BookText"/>
      </w:pPr>
      <w:r>
        <w:rPr>
          <w:rFonts w:ascii="IRNazanin" w:hAnsi="IRNazanin" w:eastAsia="IRNazanin" w:cs="IRNazanin"/>
          <w:lang w:bidi="fa-IR"/>
          <w:color w:val="111111"/>
          <w:sz w:val="28"/>
          <w:szCs w:val="28"/>
          <w:rtl/>
        </w:rPr>
        <w:t xml:space="preserve">۲. قم؛ مرعشی؛ شماره نسخه: ۱/۱۰۲۱۰</w:t>
      </w:r>
    </w:p>
    <w:p>
      <w:pPr>
        <w:pStyle w:val="BookText"/>
      </w:pPr>
      <w:r>
        <w:rPr>
          <w:rFonts w:ascii="IRNazanin" w:hAnsi="IRNazanin" w:eastAsia="IRNazanin" w:cs="IRNazanin"/>
          <w:lang w:bidi="fa-IR"/>
          <w:color w:val="111111"/>
          <w:sz w:val="28"/>
          <w:szCs w:val="28"/>
          <w:rtl/>
        </w:rPr>
        <w:t xml:space="preserve">آغاز: این مختصری است در فواید بیخ چینی از برای صحت دردمندان و مستمندان و عاجزان منقول از حکما؛ انجام: و انار شیرین و به شیرینی میل نماید اندکی شاید</w:t>
      </w:r>
    </w:p>
    <w:p>
      <w:pPr>
        <w:pStyle w:val="BookText"/>
      </w:pPr>
      <w:r>
        <w:rPr>
          <w:rFonts w:ascii="IRNazanin" w:hAnsi="IRNazanin" w:eastAsia="IRNazanin" w:cs="IRNazanin"/>
          <w:lang w:bidi="fa-IR"/>
          <w:color w:val="111111"/>
          <w:sz w:val="28"/>
          <w:szCs w:val="28"/>
          <w:rtl/>
        </w:rPr>
        <w:t xml:space="preserve">بیست فائده از فواید بیخ چینی را شمرده پس از آن آداب جلاب خوردن را در دو دهه بیان می کند؛ خط: نستعلیق، بی کا، تا: قرن ۱۱؛ جلد: مقوایی عطف تیماج سبز، ۲گ (۲ر -۳ر)، ۲۰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۲۶-۱۷۵]</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مرعشی؛ شماره نسخه: ۶۶۷/۱</w:t>
      </w:r>
    </w:p>
    <w:p>
      <w:pPr>
        <w:pStyle w:val="BookText"/>
      </w:pPr>
      <w:r>
        <w:rPr>
          <w:rFonts w:ascii="IRNazanin" w:hAnsi="IRNazanin" w:eastAsia="IRNazanin" w:cs="IRNazanin"/>
          <w:lang w:bidi="fa-IR"/>
          <w:color w:val="111111"/>
          <w:sz w:val="28"/>
          <w:szCs w:val="28"/>
          <w:rtl/>
        </w:rPr>
        <w:t xml:space="preserve">آغاز: الحمدلله على نعمائه.. اما بعد مقدمه پوشیده نماند که این بیخ در این تاریخ مردم بر آن اطلاع و از استعمال آن انتفاع یافته اند، انجام: و اگر تمام منافع نیابد بعضی از آنها لا محاله</w:t>
      </w:r>
    </w:p>
    <w:p>
      <w:pPr>
        <w:pStyle w:val="BookText"/>
      </w:pPr>
      <w:r>
        <w:rPr>
          <w:rFonts w:ascii="IRNazanin" w:hAnsi="IRNazanin" w:eastAsia="IRNazanin" w:cs="IRNazanin"/>
          <w:lang w:bidi="fa-IR"/>
          <w:color w:val="111111"/>
          <w:sz w:val="28"/>
          <w:szCs w:val="28"/>
          <w:rtl/>
        </w:rPr>
        <w:t xml:space="preserve">حاصل شود انشاء الله تعالی</w:t>
      </w:r>
    </w:p>
    <w:p>
      <w:pPr>
        <w:pStyle w:val="BookText"/>
      </w:pPr>
      <w:r>
        <w:rPr>
          <w:rFonts w:ascii="IRNazanin" w:hAnsi="IRNazanin" w:eastAsia="IRNazanin" w:cs="IRNazanin"/>
          <w:lang w:bidi="fa-IR"/>
          <w:color w:val="111111"/>
          <w:sz w:val="28"/>
          <w:szCs w:val="28"/>
          <w:rtl/>
        </w:rPr>
        <w:t xml:space="preserve">خط: نستعلیق، بی کا، تا: شوال ۱۱۰۳ق؛ جلد: تیماج قهوه ای بدون مقوا، ۲۵گ (۳پ -۲۷ر)،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۲-۲۶۰]</w:t>
      </w:r>
    </w:p>
    <w:p>
      <w:pPr>
        <w:pStyle w:val="BookText"/>
      </w:pPr>
      <w:r>
        <w:rPr>
          <w:rFonts w:ascii="IRNazanin" w:hAnsi="IRNazanin" w:eastAsia="IRNazanin" w:cs="IRNazanin"/>
          <w:lang w:bidi="fa-IR"/>
          <w:color w:val="111111"/>
          <w:sz w:val="28"/>
          <w:szCs w:val="28"/>
          <w:rtl/>
        </w:rPr>
        <w:t xml:space="preserve">۴. تهران؛ مجلس؛ شماره نسخه: ۴۷/۵</w:t>
      </w:r>
    </w:p>
    <w:p>
      <w:pPr>
        <w:pStyle w:val="BookText"/>
      </w:pPr>
      <w:r>
        <w:rPr>
          <w:rFonts w:ascii="IRNazanin" w:hAnsi="IRNazanin" w:eastAsia="IRNazanin" w:cs="IRNazanin"/>
          <w:lang w:bidi="fa-IR"/>
          <w:color w:val="111111"/>
          <w:sz w:val="28"/>
          <w:szCs w:val="28"/>
          <w:rtl/>
        </w:rPr>
        <w:t xml:space="preserve">سرود خط: نسخ، كا: رضا قلی بن کربلائی اوجاق قلی، تا: با تاریخ ۱۲۴۰ ق [نشریه: ۱۳- ۴۲۰]</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همدان؛ مدرسه غرب؛ شماره نسخه: ۴۷۲۲/۴</w:t>
      </w:r>
    </w:p>
    <w:p>
      <w:pPr>
        <w:pStyle w:val="BookText"/>
      </w:pPr>
      <w:r>
        <w:rPr>
          <w:rFonts w:ascii="IRNazanin" w:hAnsi="IRNazanin" w:eastAsia="IRNazanin" w:cs="IRNazanin"/>
          <w:lang w:bidi="fa-IR"/>
          <w:color w:val="111111"/>
          <w:sz w:val="28"/>
          <w:szCs w:val="28"/>
          <w:rtl/>
        </w:rPr>
        <w:t xml:space="preserve">آغاز: فصل اول طبیعت بیخ چینی در ... حکمای فرنگی مذکور نیست اما بنا بر آنکه حضرت مغفور مسرور جالینوس زمانه حکیم عماد الدين بن محمود طبیب در رساله خود آورده ... و از جالینوس زمانه حکیم کمال الدین حسین شیرازی هم نقل می فرمود که طبیعتا گرم است؛ انجام: پس از نضج ماده و لطيف شدن خون فصد باید کرد اگر بدن بسیار ضعیف باشد و تاب مسهل نداشته باشد یا آنکه ماده فرض بسیار نباشد احتیاج نیست بمسهل.</w:t>
      </w:r>
    </w:p>
    <w:p>
      <w:pPr>
        <w:pStyle w:val="BookText"/>
      </w:pPr>
      <w:r>
        <w:rPr>
          <w:rFonts w:ascii="IRNazanin" w:hAnsi="IRNazanin" w:eastAsia="IRNazanin" w:cs="IRNazanin"/>
          <w:lang w:bidi="fa-IR"/>
          <w:color w:val="111111"/>
          <w:sz w:val="28"/>
          <w:szCs w:val="28"/>
          <w:rtl/>
        </w:rPr>
        <w:t xml:space="preserve">در یازده «فصل»: فصل اول: طبیعت بیخ چینی در ... حکمای فرنگی مذکور نیست، فصل دوم: بدان که چوب چینی را رطوبت فضل بسیار است، فصل سوم: منفعت بیخ چینی در مرض آتشک کهنه ... خط: شکسته نستعلیق، بی کا، بی تا، قطع: ربعی[ رشت و همدان: ف: ۱۵۳۴]</w:t>
      </w:r>
    </w:p>
    <w:p>
      <w:pPr>
        <w:pStyle w:val="Heading3"/>
      </w:pPr>
      <w:bookmarkStart w:id="1379" w:name="_Toc639"/>
      <w:r>
        <w:t>• بیخ چینی = قهوه و چای /طب / فارسی</w:t>
      </w:r>
      <w:bookmarkEnd w:id="1379"/>
    </w:p>
    <w:p>
      <w:pPr>
        <w:pStyle w:val="BookText"/>
      </w:pPr>
      <w:r>
        <w:rPr>
          <w:rFonts w:ascii="Times New Roman" w:hAnsi="Times New Roman" w:eastAsia="Times New Roman" w:cs="Times New Roman"/>
          <w:lang w:val="en-US" w:bidi="en-US"/>
          <w:color w:val="111111"/>
          <w:sz w:val="28"/>
          <w:szCs w:val="28"/>
          <w:rtl/>
        </w:rPr>
        <w:t xml:space="preserve">bīx-e čīnī, qahve va čāy</w:t>
      </w:r>
    </w:p>
    <w:p>
      <w:pPr>
        <w:pStyle w:val="BookText"/>
      </w:pPr>
      <w:r>
        <w:rPr>
          <w:rFonts w:ascii="IRNazanin" w:hAnsi="IRNazanin" w:eastAsia="IRNazanin" w:cs="IRNazanin"/>
          <w:lang w:bidi="fa-IR"/>
          <w:color w:val="111111"/>
          <w:sz w:val="28"/>
          <w:szCs w:val="28"/>
          <w:rtl/>
        </w:rPr>
        <w:t xml:space="preserve">رساله ای در سه «باب» .</w:t>
      </w:r>
    </w:p>
    <w:p>
      <w:pPr>
        <w:pStyle w:val="BookText"/>
      </w:pPr>
      <w:r>
        <w:rPr>
          <w:rFonts w:ascii="IRNazanin" w:hAnsi="IRNazanin" w:eastAsia="IRNazanin" w:cs="IRNazanin"/>
          <w:lang w:bidi="fa-IR"/>
          <w:color w:val="111111"/>
          <w:sz w:val="28"/>
          <w:szCs w:val="28"/>
          <w:rtl/>
        </w:rPr>
        <w:t xml:space="preserve">شیراز؛ عینی (دکتر)؛ شماره نسخه: ۱۵/۲</w:t>
      </w:r>
    </w:p>
    <w:p>
      <w:pPr>
        <w:pStyle w:val="BookText"/>
      </w:pPr>
      <w:r>
        <w:rPr>
          <w:rFonts w:ascii="IRNazanin" w:hAnsi="IRNazanin" w:eastAsia="IRNazanin" w:cs="IRNazanin"/>
          <w:lang w:bidi="fa-IR"/>
          <w:color w:val="111111"/>
          <w:sz w:val="28"/>
          <w:szCs w:val="28"/>
          <w:rtl/>
        </w:rPr>
        <w:t xml:space="preserve">بی کا، بی تا؛ افتادگی: انجام [ نشریه: ۵-۲۷۶]</w:t>
      </w:r>
    </w:p>
    <w:p>
      <w:pPr>
        <w:pStyle w:val="Heading3"/>
      </w:pPr>
      <w:bookmarkStart w:id="1380" w:name="_Toc640"/>
      <w:r>
        <w:t>• بیدل / مقتل / فارسی</w:t>
      </w:r>
      <w:bookmarkEnd w:id="1380"/>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09" w:name="pg20363_209448"/>
    <w:bookmarkEnd w:id="209"/>
    <w:p>
      <w:pPr>
        <w:pStyle w:val="BookText"/>
      </w:pPr>
      <w:r>
        <w:rPr>
          <w:rFonts w:ascii="Times New Roman" w:hAnsi="Times New Roman" w:eastAsia="Times New Roman" w:cs="Times New Roman"/>
          <w:lang w:val="en-US" w:bidi="en-US"/>
          <w:color w:val="111111"/>
          <w:sz w:val="28"/>
          <w:szCs w:val="28"/>
          <w:rtl/>
        </w:rPr>
        <w:t xml:space="preserve">bīdel</w:t>
      </w:r>
    </w:p>
    <w:p>
      <w:pPr>
        <w:pStyle w:val="BookText"/>
      </w:pPr>
      <w:r>
        <w:rPr>
          <w:rFonts w:ascii="IRNazanin" w:hAnsi="IRNazanin" w:eastAsia="IRNazanin" w:cs="IRNazanin"/>
          <w:lang w:bidi="fa-IR"/>
          <w:color w:val="111111"/>
          <w:sz w:val="28"/>
          <w:szCs w:val="28"/>
          <w:rtl/>
        </w:rPr>
        <w:t xml:space="preserve">بیدل رودباری، قربان بن رمضان، ق۱۳ قمری</w:t>
      </w:r>
    </w:p>
    <w:p>
      <w:pPr>
        <w:pStyle w:val="BookText"/>
      </w:pPr>
      <w:r>
        <w:rPr>
          <w:rFonts w:ascii="Times New Roman" w:hAnsi="Times New Roman" w:eastAsia="Times New Roman" w:cs="Times New Roman"/>
          <w:lang w:val="en-US" w:bidi="en-US"/>
          <w:color w:val="111111"/>
          <w:sz w:val="28"/>
          <w:szCs w:val="28"/>
          <w:rtl/>
        </w:rPr>
        <w:t xml:space="preserve">bīdel-e rūdbārī, qorbān ebn-e ramazān (- 19c)</w:t>
      </w:r>
    </w:p>
    <w:p>
      <w:pPr>
        <w:pStyle w:val="BookText"/>
      </w:pPr>
      <w:r>
        <w:rPr>
          <w:rFonts w:ascii="IRNazanin" w:hAnsi="IRNazanin" w:eastAsia="IRNazanin" w:cs="IRNazanin"/>
          <w:lang w:bidi="fa-IR"/>
          <w:color w:val="111111"/>
          <w:sz w:val="28"/>
          <w:szCs w:val="28"/>
          <w:rtl/>
        </w:rPr>
        <w:t xml:space="preserve">کتابی متوسط در احوال و تاریخ و مصائب اهل بیت عصمت(عليه السلام)که در قصص العلماء برای مؤلف به جهت آن کتاب کرامتی نقل نموده است. در فهرستواره منزوی از این اثر «کتاب بیدل» و فهرست مجلس به «سی مجلس» یاد شده ولی آغاز آن با این رساله سازگار نیست ولی در الذریعه که از آن به «بیدل» یاد کرده آغازش همین گونه است که در اینجا آمده است، استوری نیز آن را «ماتمکده» شمرده در حالی که ماتمکده آغازش با آغاز فهرستواره یکسان است. (طيار مراغی)</w:t>
      </w:r>
    </w:p>
    <w:p>
      <w:pPr>
        <w:pStyle w:val="BookText"/>
      </w:pPr>
      <w:r>
        <w:rPr>
          <w:rFonts w:ascii="IRNazanin" w:hAnsi="IRNazanin" w:eastAsia="IRNazanin" w:cs="IRNazanin"/>
          <w:lang w:bidi="fa-IR"/>
          <w:color w:val="111111"/>
          <w:sz w:val="28"/>
          <w:szCs w:val="28"/>
          <w:rtl/>
        </w:rPr>
        <w:t xml:space="preserve">چالوس؛ امام صادق؛ شماره نسخه: ۹۱</w:t>
      </w:r>
    </w:p>
    <w:p>
      <w:pPr>
        <w:pStyle w:val="BookText"/>
      </w:pPr>
      <w:r>
        <w:rPr>
          <w:rFonts w:ascii="IRNazanin" w:hAnsi="IRNazanin" w:eastAsia="IRNazanin" w:cs="IRNazanin"/>
          <w:lang w:bidi="fa-IR"/>
          <w:color w:val="111111"/>
          <w:sz w:val="28"/>
          <w:szCs w:val="28"/>
          <w:rtl/>
        </w:rPr>
        <w:t xml:space="preserve">آغاز: نحمدک یا من نور قلوبنا بنور الايمان و شرح صدورنا بمحبة من نزل عليه الفرقان و طهر جناننا بولاية اوليائه .. نظم: بی مهر حسین بن مقصد دل نرسی؛ انجام: ایشان را بثوابهای جزیل تسلی بخشید و از روضهای مقدسه بیرون آورد و بهمراه خود بخانه برد و مشغول عزاداری گردید و بعد از آن کسی خانواده پیغمبر را خرم و شادان ندید</w:t>
      </w:r>
    </w:p>
    <w:p>
      <w:pPr>
        <w:pStyle w:val="BookText"/>
      </w:pPr>
      <w:r>
        <w:rPr>
          <w:rFonts w:ascii="IRNazanin" w:hAnsi="IRNazanin" w:eastAsia="IRNazanin" w:cs="IRNazanin"/>
          <w:lang w:bidi="fa-IR"/>
          <w:color w:val="111111"/>
          <w:sz w:val="28"/>
          <w:szCs w:val="28"/>
          <w:rtl/>
        </w:rPr>
        <w:t xml:space="preserve">خط: نستعلیق نازیبا، بی کا، تا: ۱۲۸۰ق؛ مهر: «عبده علی اصغر» بیضی)؛ واقف: واقف</w:t>
      </w:r>
    </w:p>
    <w:p>
      <w:pPr>
        <w:pStyle w:val="BookText"/>
      </w:pPr>
      <w:r>
        <w:rPr>
          <w:rFonts w:ascii="IRNazanin" w:hAnsi="IRNazanin" w:eastAsia="IRNazanin" w:cs="IRNazanin"/>
          <w:lang w:bidi="fa-IR"/>
          <w:color w:val="111111"/>
          <w:sz w:val="28"/>
          <w:szCs w:val="28"/>
          <w:rtl/>
        </w:rPr>
        <w:t xml:space="preserve">حسنعلی، ۱۲۰۹؛ جلد: گالینگور آبی، ۱۲۵گ، ۲۹ سطر،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۴۳]</w:t>
      </w:r>
    </w:p>
    <w:p>
      <w:pPr>
        <w:pStyle w:val="BookText"/>
      </w:pPr>
      <w:r>
        <w:rPr>
          <w:rFonts w:ascii="IRNazanin" w:hAnsi="IRNazanin" w:eastAsia="IRNazanin" w:cs="IRNazanin"/>
          <w:lang w:bidi="fa-IR"/>
          <w:color w:val="111111"/>
          <w:sz w:val="28"/>
          <w:szCs w:val="28"/>
          <w:rtl/>
        </w:rPr>
        <w:t xml:space="preserve">← البئر ← احکام ماء البئر</w:t>
      </w:r>
    </w:p>
    <w:p>
      <w:pPr>
        <w:pStyle w:val="BookText"/>
      </w:pPr>
      <w:r>
        <w:rPr>
          <w:rFonts w:ascii="IRNazanin" w:hAnsi="IRNazanin" w:eastAsia="IRNazanin" w:cs="IRNazanin"/>
          <w:lang w:bidi="fa-IR"/>
          <w:color w:val="111111"/>
          <w:sz w:val="28"/>
          <w:szCs w:val="28"/>
          <w:rtl/>
        </w:rPr>
        <w:t xml:space="preserve">← البئر ← احکام البئر</w:t>
      </w:r>
    </w:p>
    <w:p>
      <w:pPr>
        <w:pStyle w:val="Heading3"/>
      </w:pPr>
      <w:bookmarkStart w:id="1381" w:name="_Toc641"/>
      <w:r>
        <w:t>• البیزرة / حيوان شناسی / عربی</w:t>
      </w:r>
      <w:bookmarkEnd w:id="1381"/>
    </w:p>
    <w:p>
      <w:pPr>
        <w:pStyle w:val="BookText"/>
      </w:pPr>
      <w:r>
        <w:rPr>
          <w:rFonts w:ascii="Times New Roman" w:hAnsi="Times New Roman" w:eastAsia="Times New Roman" w:cs="Times New Roman"/>
          <w:lang w:val="en-US" w:bidi="en-US"/>
          <w:color w:val="111111"/>
          <w:sz w:val="28"/>
          <w:szCs w:val="28"/>
          <w:rtl/>
        </w:rPr>
        <w:t xml:space="preserve">al-bayzara</w:t>
      </w:r>
    </w:p>
    <w:p>
      <w:pPr>
        <w:pStyle w:val="BookText"/>
      </w:pPr>
      <w:r>
        <w:rPr>
          <w:rFonts w:ascii="IRNazanin" w:hAnsi="IRNazanin" w:eastAsia="IRNazanin" w:cs="IRNazanin"/>
          <w:lang w:bidi="fa-IR"/>
          <w:color w:val="111111"/>
          <w:sz w:val="28"/>
          <w:szCs w:val="28"/>
          <w:rtl/>
        </w:rPr>
        <w:t xml:space="preserve">فاطمی، بازیار عزیز بالله، ق۴ قمری</w:t>
      </w:r>
    </w:p>
    <w:p>
      <w:pPr>
        <w:pStyle w:val="BookText"/>
      </w:pPr>
      <w:r>
        <w:rPr>
          <w:rFonts w:ascii="Times New Roman" w:hAnsi="Times New Roman" w:eastAsia="Times New Roman" w:cs="Times New Roman"/>
          <w:lang w:val="en-US" w:bidi="en-US"/>
          <w:color w:val="111111"/>
          <w:sz w:val="28"/>
          <w:szCs w:val="28"/>
          <w:rtl/>
        </w:rPr>
        <w:t xml:space="preserve">fātemī, bāzyār ‘azīz-on-be-l-lāh (- 10c)</w:t>
      </w:r>
    </w:p>
    <w:p>
      <w:pPr>
        <w:pStyle w:val="BookText"/>
      </w:pPr>
      <w:r>
        <w:rPr>
          <w:rFonts w:ascii="IRNazanin" w:hAnsi="IRNazanin" w:eastAsia="IRNazanin" w:cs="IRNazanin"/>
          <w:lang w:bidi="fa-IR"/>
          <w:color w:val="111111"/>
          <w:sz w:val="28"/>
          <w:szCs w:val="28"/>
          <w:rtl/>
        </w:rPr>
        <w:t xml:space="preserve">علم بیزرة، علمی است که درباره پرندگان گوشتخوار و راه نگاهداری و نیرو و ضعف آنها بر صید و تیمار داری آن گفتگو می کند (دهخدا، لغتنامه ۵۱۸/۱۰ ). در قدیم الایام شکار با این گونه پرندگان رایج بوده مخصوصا در دربار سلاطین و خلفا از اهمیت بر خوردار بوده است، تا آنجا که اشخاصی که در این علم تبحر داشتند دارای منزلت خاصی در دربار می شدند. این گونه اشخاص را «بازیار» می نامیدند. از جمله آنان بازیار العزيز بالله خليفه فاطمی بوده، که به نوشته «محمد کرد علی» احتمالا نام وی «ابی عبدالله الحسن بن الحسن بن الحسین» بوده که این کتاب را برای خلیفه فاطمی تألیف نموده است.</w:t>
      </w:r>
    </w:p>
    <w:p>
      <w:pPr>
        <w:pStyle w:val="BookText"/>
      </w:pPr>
      <w:r>
        <w:rPr>
          <w:rFonts w:ascii="IRNazanin" w:hAnsi="IRNazanin" w:eastAsia="IRNazanin" w:cs="IRNazanin"/>
          <w:lang w:bidi="fa-IR"/>
          <w:color w:val="111111"/>
          <w:sz w:val="28"/>
          <w:szCs w:val="28"/>
          <w:rtl/>
        </w:rPr>
        <w:t xml:space="preserve">چاپ: با تحقیقات «محمد کرد علی» در ۱۳۷۱ هـ توسط مجمع اللغة العربية در دمشق چاپ شده است.</w:t>
      </w:r>
    </w:p>
    <w:p>
      <w:pPr>
        <w:pStyle w:val="BookText"/>
      </w:pPr>
      <w:r>
        <w:rPr>
          <w:rFonts w:ascii="IRNazanin" w:hAnsi="IRNazanin" w:eastAsia="IRNazanin" w:cs="IRNazanin"/>
          <w:lang w:bidi="fa-IR"/>
          <w:color w:val="111111"/>
          <w:sz w:val="28"/>
          <w:szCs w:val="28"/>
          <w:rtl/>
        </w:rPr>
        <w:t xml:space="preserve">قم؛ مرعشی؛ شماره نسخه: ۱۹۶۷ عکسی</w:t>
      </w:r>
    </w:p>
    <w:p>
      <w:pPr>
        <w:pStyle w:val="BookText"/>
      </w:pPr>
      <w:r>
        <w:rPr>
          <w:rFonts w:ascii="IRNazanin" w:hAnsi="IRNazanin" w:eastAsia="IRNazanin" w:cs="IRNazanin"/>
          <w:lang w:bidi="fa-IR"/>
          <w:color w:val="111111"/>
          <w:sz w:val="28"/>
          <w:szCs w:val="28"/>
          <w:rtl/>
        </w:rPr>
        <w:t xml:space="preserve">آغاز: الحمدلله الذي له في كل لطيف من قدرته معجز يتفكر فيه، و خفى من صنعه يتنبه و يدل عليه؛ انجام: و قد وصينا بما فيه الصلاح لمن انتهى اليه و عمل به و بالله نستعين و عليه نتوكل، تم الكتاب ... وسلم تسليما. نسخه اصل: چستربیتی، ش ۳۸۳۱ (اربری، فهرست خطی عربی ۲۴/۴)؛ خط: نسخ کهن، بی کا، تا: احتمالا قرن ۱۴؛ تملک: حاج محمد بن احمد مغربی به تاریخ ۱۲۰۸ق؛ بعد از کتاب فوائدی در زمینه مطالب کتاب که شاید از مؤلف باشد در چهار برگ؛ ۱۵۴گ، ۱۳ سطر [عکسی ف: ۲-۴۴۸]</w:t>
      </w:r>
    </w:p>
    <w:p>
      <w:pPr>
        <w:pStyle w:val="Heading3"/>
      </w:pPr>
      <w:bookmarkStart w:id="1382" w:name="_Toc642"/>
      <w:r>
        <w:t>• بیژن نامه / شعر و داستان / فارسی</w:t>
      </w:r>
      <w:bookmarkEnd w:id="1382"/>
    </w:p>
    <w:p>
      <w:pPr>
        <w:pStyle w:val="BookText"/>
      </w:pPr>
      <w:r>
        <w:rPr>
          <w:rFonts w:ascii="Times New Roman" w:hAnsi="Times New Roman" w:eastAsia="Times New Roman" w:cs="Times New Roman"/>
          <w:lang w:val="en-US" w:bidi="en-US"/>
          <w:color w:val="111111"/>
          <w:sz w:val="28"/>
          <w:szCs w:val="28"/>
          <w:rtl/>
        </w:rPr>
        <w:t xml:space="preserve">bīžan-nāme</w:t>
      </w:r>
    </w:p>
    <w:p>
      <w:pPr>
        <w:pStyle w:val="BookText"/>
      </w:pPr>
      <w:r>
        <w:rPr>
          <w:rFonts w:ascii="IRNazanin" w:hAnsi="IRNazanin" w:eastAsia="IRNazanin" w:cs="IRNazanin"/>
          <w:lang w:bidi="fa-IR"/>
          <w:color w:val="111111"/>
          <w:sz w:val="28"/>
          <w:szCs w:val="28"/>
          <w:rtl/>
        </w:rPr>
        <w:t xml:space="preserve">[فهرستواره منزوی ۸۳۲/۲ ]</w:t>
      </w:r>
    </w:p>
    <w:p>
      <w:pPr>
        <w:pStyle w:val="BookText"/>
      </w:pPr>
      <w:r>
        <w:rPr>
          <w:rFonts w:ascii="IRNazanin" w:hAnsi="IRNazanin" w:eastAsia="IRNazanin" w:cs="IRNazanin"/>
          <w:lang w:bidi="fa-IR"/>
          <w:color w:val="111111"/>
          <w:sz w:val="28"/>
          <w:szCs w:val="28"/>
          <w:rtl/>
        </w:rPr>
        <w:t xml:space="preserve">تهران، دانشگاه؛ شماره نسخه: ۱۵۰۰/۱ و ۲۵۸۱-ف</w:t>
      </w:r>
    </w:p>
    <w:p>
      <w:pPr>
        <w:pStyle w:val="BookText"/>
      </w:pPr>
      <w:r>
        <w:rPr>
          <w:rFonts w:ascii="IRNazanin" w:hAnsi="IRNazanin" w:eastAsia="IRNazanin" w:cs="IRNazanin"/>
          <w:lang w:bidi="fa-IR"/>
          <w:color w:val="111111"/>
          <w:sz w:val="28"/>
          <w:szCs w:val="28"/>
          <w:rtl/>
        </w:rPr>
        <w:t xml:space="preserve">نسخه اصل: موزه بریتانیا .۲۹۴۶</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 خط: نستعلیق، بی کا، بی تا</w:t>
      </w:r>
    </w:p>
    <w:p>
      <w:pPr>
        <w:pStyle w:val="BookText"/>
      </w:pPr>
      <w:r>
        <w:rPr>
          <w:rFonts w:ascii="IRNazanin" w:hAnsi="IRNazanin" w:eastAsia="IRNazanin" w:cs="IRNazanin"/>
          <w:lang w:bidi="fa-IR"/>
          <w:color w:val="111111"/>
          <w:sz w:val="28"/>
          <w:szCs w:val="28"/>
          <w:rtl/>
        </w:rPr>
        <w:t xml:space="preserve">[فیلمها ف: ۱-۶۰۷] و [فیلمها ف: ۱-۲۵]</w:t>
      </w:r>
    </w:p>
    <w:p>
      <w:pPr>
        <w:pStyle w:val="Heading3"/>
      </w:pPr>
      <w:bookmarkStart w:id="1383" w:name="_Toc643"/>
      <w:r>
        <w:t>•بیژن نامه / شعر، داستان / فارسی</w:t>
      </w:r>
      <w:bookmarkEnd w:id="1383"/>
    </w:p>
    <w:p>
      <w:pPr>
        <w:pStyle w:val="BookText"/>
      </w:pPr>
      <w:r>
        <w:rPr>
          <w:rFonts w:ascii="Times New Roman" w:hAnsi="Times New Roman" w:eastAsia="Times New Roman" w:cs="Times New Roman"/>
          <w:lang w:val="en-US" w:bidi="en-US"/>
          <w:color w:val="111111"/>
          <w:sz w:val="28"/>
          <w:szCs w:val="28"/>
          <w:rtl/>
        </w:rPr>
        <w:t xml:space="preserve">bīžan-nāme</w:t>
      </w:r>
    </w:p>
    <w:p>
      <w:pPr>
        <w:pStyle w:val="BookText"/>
      </w:pPr>
      <w:r>
        <w:rPr>
          <w:rFonts w:ascii="IRNazanin" w:hAnsi="IRNazanin" w:eastAsia="IRNazanin" w:cs="IRNazanin"/>
          <w:lang w:bidi="fa-IR"/>
          <w:color w:val="111111"/>
          <w:sz w:val="28"/>
          <w:szCs w:val="28"/>
          <w:rtl/>
        </w:rPr>
        <w:t xml:space="preserve">[فهرستواره منزوی ۸۳۲/۲ ]</w:t>
      </w:r>
    </w:p>
    <w:p>
      <w:pPr>
        <w:pStyle w:val="BookText"/>
      </w:pPr>
      <w:r>
        <w:rPr>
          <w:rFonts w:ascii="IRNazanin" w:hAnsi="IRNazanin" w:eastAsia="IRNazanin" w:cs="IRNazanin"/>
          <w:lang w:bidi="fa-IR"/>
          <w:color w:val="111111"/>
          <w:sz w:val="28"/>
          <w:szCs w:val="28"/>
          <w:rtl/>
        </w:rPr>
        <w:t xml:space="preserve">تهران، دانشگاه، شماره نسخه: ۱۲۰۹ف</w:t>
      </w:r>
    </w:p>
    <w:p>
      <w:pPr>
        <w:pStyle w:val="BookText"/>
      </w:pPr>
      <w:r>
        <w:rPr>
          <w:rFonts w:ascii="IRNazanin" w:hAnsi="IRNazanin" w:eastAsia="IRNazanin" w:cs="IRNazanin"/>
          <w:lang w:bidi="fa-IR"/>
          <w:color w:val="111111"/>
          <w:sz w:val="28"/>
          <w:szCs w:val="28"/>
          <w:rtl/>
        </w:rPr>
        <w:t xml:space="preserve">نسخه اصل: بادلیان .۱۴</w:t>
      </w:r>
      <w:r>
        <w:rPr>
          <w:rFonts w:ascii="Times New Roman" w:hAnsi="Times New Roman" w:eastAsia="Times New Roman" w:cs="Times New Roman"/>
          <w:lang w:val="en-US" w:bidi="en-US"/>
          <w:color w:val="111111"/>
          <w:sz w:val="28"/>
          <w:szCs w:val="28"/>
          <w:rtl/>
        </w:rPr>
        <w:t xml:space="preserve">e</w:t>
      </w:r>
      <w:r>
        <w:rPr>
          <w:rFonts w:ascii="IRNazanin" w:hAnsi="IRNazanin" w:eastAsia="IRNazanin" w:cs="IRNazanin"/>
          <w:lang w:bidi="fa-IR"/>
          <w:color w:val="111111"/>
          <w:sz w:val="28"/>
          <w:szCs w:val="28"/>
          <w:rtl/>
        </w:rPr>
        <w:t xml:space="preserve">؛ بی کا، بی تا[ فیلمها ف: ۱-۲۵]</w:t>
      </w:r>
    </w:p>
    <w:p>
      <w:pPr>
        <w:pStyle w:val="BookText"/>
      </w:pPr>
      <w:r>
        <w:rPr>
          <w:rFonts w:ascii="IRNazanin" w:hAnsi="IRNazanin" w:eastAsia="IRNazanin" w:cs="IRNazanin"/>
          <w:lang w:bidi="fa-IR"/>
          <w:color w:val="111111"/>
          <w:sz w:val="28"/>
          <w:szCs w:val="28"/>
          <w:rtl/>
        </w:rPr>
        <w:t xml:space="preserve">← بیست باب ← اسطرلاب کروی</w:t>
      </w:r>
    </w:p>
    <w:p>
      <w:pPr>
        <w:pStyle w:val="BookText"/>
      </w:pPr>
      <w:r>
        <w:rPr>
          <w:rFonts w:ascii="IRNazanin" w:hAnsi="IRNazanin" w:eastAsia="IRNazanin" w:cs="IRNazanin"/>
          <w:lang w:bidi="fa-IR"/>
          <w:color w:val="111111"/>
          <w:sz w:val="28"/>
          <w:szCs w:val="28"/>
          <w:rtl/>
        </w:rPr>
        <w:t xml:space="preserve">← بیست باب ← الاسطرلاب</w:t>
      </w:r>
    </w:p>
    <w:p>
      <w:pPr>
        <w:pStyle w:val="BookText"/>
      </w:pPr>
      <w:r>
        <w:rPr>
          <w:rFonts w:ascii="IRNazanin" w:hAnsi="IRNazanin" w:eastAsia="IRNazanin" w:cs="IRNazanin"/>
          <w:lang w:bidi="fa-IR"/>
          <w:color w:val="111111"/>
          <w:sz w:val="28"/>
          <w:szCs w:val="28"/>
          <w:rtl/>
        </w:rPr>
        <w:t xml:space="preserve">←بیست باب ← الربع المجيب</w:t>
      </w:r>
    </w:p>
    <w:p>
      <w:pPr>
        <w:pStyle w:val="Heading3"/>
      </w:pPr>
      <w:bookmarkStart w:id="1384" w:name="_Toc644"/>
      <w:r>
        <w:t>• بیست باب / هیئت / فارسی</w:t>
      </w:r>
      <w:bookmarkEnd w:id="1384"/>
    </w:p>
    <w:p>
      <w:pPr>
        <w:pStyle w:val="BookText"/>
      </w:pPr>
      <w:r>
        <w:rPr>
          <w:rFonts w:ascii="Times New Roman" w:hAnsi="Times New Roman" w:eastAsia="Times New Roman" w:cs="Times New Roman"/>
          <w:lang w:val="en-US" w:bidi="en-US"/>
          <w:color w:val="111111"/>
          <w:sz w:val="28"/>
          <w:szCs w:val="28"/>
          <w:rtl/>
        </w:rPr>
        <w:t xml:space="preserve">bīst bāb dar estexrāj-e zamīr</w:t>
      </w:r>
    </w:p>
    <w:p>
      <w:pPr>
        <w:pStyle w:val="BookText"/>
      </w:pPr>
      <w:r>
        <w:rPr>
          <w:rFonts w:ascii="IRNazanin" w:hAnsi="IRNazanin" w:eastAsia="IRNazanin" w:cs="IRNazanin"/>
          <w:lang w:bidi="fa-IR"/>
          <w:color w:val="111111"/>
          <w:sz w:val="28"/>
          <w:szCs w:val="28"/>
          <w:rtl/>
        </w:rPr>
        <w:t xml:space="preserve">در استخراج طالع و بروج، و آن از روی مسائل قصرانی باید ساخته شده باشد (منزوی ۲۴۸) بدین گونه: ۱. وجه خطا در مسائل؛ ۲. اندیشه کردن؛ ۳. پاپیدن و بقاء دليل مسأله؛ ۴. از یک</w:t>
      </w:r>
    </w:p>
    <w:p>
      <w:pPr>
        <w:pStyle w:val="BookText"/>
      </w:pPr>
      <w:r>
        <w:rPr>
          <w:rFonts w:ascii="IRNazanin" w:hAnsi="IRNazanin" w:eastAsia="IRNazanin" w:cs="IRNazanin"/>
          <w:lang w:bidi="fa-IR"/>
          <w:color w:val="111111"/>
          <w:sz w:val="28"/>
          <w:szCs w:val="28"/>
          <w:rtl/>
        </w:rPr>
        <w:t xml:space="preserve">طالع چند کس را سخن شاید گفتن؛ ۵. بیرون آوردن مستولی به رساله؛ ۶. جودت و ردائت و روا گشتن حاجات؛ 7. استخراج وقت بر آمدن؛ ۸ حکم راندن از طالع؛ ۹. برج دوم؛ ۱۰. برج سوم در سه فصل؛ ۱۱. برج چهارم دو فصل؛ ۱۲. برج پنجم سه فصل؛ ۱۳. برج ششم سه فصل؛ ۱۴. برج هفتم هفت فصل؛ ۱۵. برج هشتم دو فصل؛ ۱۶. برج نهم سه فصل؛ ۱۷. برج دهم سه فصل؛ ۱۸. برج یازدهم دو فصل؛ ۱۹. برج دوازدهم دو فصل؛ ۲۰. خبی سه فصل. در باب دوم می گوید: «خواجه ابوریحان این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10" w:name="pg20363_209449"/>
    <w:bookmarkEnd w:id="210"/>
    <w:p>
      <w:pPr>
        <w:pStyle w:val="BookText"/>
      </w:pPr>
      <w:r>
        <w:rPr>
          <w:rFonts w:ascii="IRNazanin" w:hAnsi="IRNazanin" w:eastAsia="IRNazanin" w:cs="IRNazanin"/>
          <w:lang w:bidi="fa-IR"/>
          <w:color w:val="111111"/>
          <w:sz w:val="28"/>
          <w:szCs w:val="28"/>
          <w:rtl/>
        </w:rPr>
        <w:t xml:space="preserve">را تار کست»، در باب چهارم: «و هرمس گفته است که بر نسق توالی بروج سخن باید گفتن»، در باب پنجم می گوید: «و این آن است که بطلیموس فرمود و استادان برین بیشتر اعتماد کنند»، در باب ششم می گوید: «استادان استاد محض (كذا) ابوالحسن على السفری رساله کرده است در استخراج ضمير بغایت اختصار و آنچه بکار باید بجای آوردن ضمیر اندرو نهاده، پس فصلی دو از آنچه او گفته بعينه درین گفتیم»</w:t>
      </w:r>
    </w:p>
    <w:p>
      <w:pPr>
        <w:pStyle w:val="BookText"/>
      </w:pPr>
      <w:r>
        <w:rPr>
          <w:rFonts w:ascii="IRNazanin" w:hAnsi="IRNazanin" w:eastAsia="IRNazanin" w:cs="IRNazanin"/>
          <w:lang w:bidi="fa-IR"/>
          <w:color w:val="111111"/>
          <w:sz w:val="28"/>
          <w:szCs w:val="28"/>
          <w:rtl/>
        </w:rPr>
        <w:t xml:space="preserve">آغاز: بسمله، این عمل سخت نیکو طرفه است، و اندرین نوع کتاب وافر تصنیف کرده اند، از همه مشبع مسایل قصرانی است که هر چه بافت جمع کرد، و هر فصلی از چند وجه بگوید، اما من هم برین اقتصار و سبکی بروم، چه این کتاب قصرانی مقصود او ضمیر است مفرد. ازین کتاب بجملگی فروتر بود. و بضرورت آن بر اقتصار نتوانم گفت، و بدانکه خواص و عوام را بدین صنعت میل بسیار بود، که چون از نهاد دل و اندیشه خبر دهد شوقی خیزد عجب مانند، و چون از طالع ولادت در مانند بضرورت رجوع ضمیر کنند، و آنرا به بیست باب نهادم</w:t>
      </w:r>
    </w:p>
    <w:p>
      <w:pPr>
        <w:pStyle w:val="BookText"/>
      </w:pPr>
      <w:r>
        <w:rPr>
          <w:rFonts w:ascii="IRNazanin" w:hAnsi="IRNazanin" w:eastAsia="IRNazanin" w:cs="IRNazanin"/>
          <w:lang w:bidi="fa-IR"/>
          <w:color w:val="111111"/>
          <w:sz w:val="28"/>
          <w:szCs w:val="28"/>
          <w:rtl/>
        </w:rPr>
        <w:t xml:space="preserve">انجام: اینست دلیلهاء برج و طالع و الله اعلم بالصواب</w:t>
      </w:r>
    </w:p>
    <w:p>
      <w:pPr>
        <w:pStyle w:val="BookText"/>
      </w:pPr>
      <w:r>
        <w:rPr>
          <w:rFonts w:ascii="IRNazanin" w:hAnsi="IRNazanin" w:eastAsia="IRNazanin" w:cs="IRNazanin"/>
          <w:lang w:bidi="fa-IR"/>
          <w:color w:val="111111"/>
          <w:sz w:val="28"/>
          <w:szCs w:val="28"/>
          <w:rtl/>
        </w:rPr>
        <w:t xml:space="preserve">[دنا ۵۹۴/۲ ]</w:t>
      </w:r>
    </w:p>
    <w:p>
      <w:pPr>
        <w:pStyle w:val="BookText"/>
      </w:pPr>
      <w:r>
        <w:rPr>
          <w:rFonts w:ascii="IRNazanin" w:hAnsi="IRNazanin" w:eastAsia="IRNazanin" w:cs="IRNazanin"/>
          <w:lang w:bidi="fa-IR"/>
          <w:color w:val="111111"/>
          <w:sz w:val="28"/>
          <w:szCs w:val="28"/>
          <w:rtl/>
        </w:rPr>
        <w:t xml:space="preserve">همانند:</w:t>
      </w:r>
    </w:p>
    <w:p>
      <w:pPr>
        <w:pStyle w:val="BookText"/>
      </w:pPr>
      <w:r>
        <w:rPr>
          <w:rFonts w:ascii="IRNazanin" w:hAnsi="IRNazanin" w:eastAsia="IRNazanin" w:cs="IRNazanin"/>
          <w:lang w:bidi="fa-IR"/>
          <w:color w:val="111111"/>
          <w:sz w:val="28"/>
          <w:szCs w:val="28"/>
          <w:rtl/>
        </w:rPr>
        <w:t xml:space="preserve">١. مشهد؛ رضوی؛ شماره نسخه: ۸۲۷۹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خطبه و دیباچه ندارد. مؤلف كتاب را در بیست باب آورده و بعضی از ابواب به دو یا سه فصل تفصیل یافته است؛ خط: نستعلیق، بی کا، تا: قرن ۱۰؛ کاغذ: حنایی آهار مهره، جلد: مقوایی، ۱۴گ، ۱۶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۲۰/۸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۱۳/۳ سم [ف: ۸-۵۱]</w:t>
      </w:r>
    </w:p>
    <w:p>
      <w:pPr>
        <w:pStyle w:val="BookText"/>
      </w:pPr>
      <w:r>
        <w:rPr>
          <w:rFonts w:ascii="IRNazanin" w:hAnsi="IRNazanin" w:eastAsia="IRNazanin" w:cs="IRNazanin"/>
          <w:lang w:bidi="fa-IR"/>
          <w:color w:val="111111"/>
          <w:sz w:val="28"/>
          <w:szCs w:val="28"/>
          <w:rtl/>
        </w:rPr>
        <w:t xml:space="preserve">۲. تهران؛ الهیات؛ شماره نسخه: ۴۲۸/۳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۱۲۲۲ق؛ کاغذ: فرنگی، جلد: تیماج قهوه ای، ۱۰گ (۲عر -۷۱ر)، ۲۱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۲۹۸]</w:t>
      </w:r>
    </w:p>
    <w:p>
      <w:pPr>
        <w:pStyle w:val="BookText"/>
      </w:pPr>
      <w:r>
        <w:rPr>
          <w:rFonts w:ascii="IRNazanin" w:hAnsi="IRNazanin" w:eastAsia="IRNazanin" w:cs="IRNazanin"/>
          <w:lang w:bidi="fa-IR"/>
          <w:color w:val="111111"/>
          <w:sz w:val="28"/>
          <w:szCs w:val="28"/>
          <w:rtl/>
        </w:rPr>
        <w:t xml:space="preserve">٣. تهران؛ ملک؛ شماره نسخه: ۱۶۷۴/۴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با تاریخ ۱۲۷۸ق؛ کاغذ: فرنگی آهار مهره، جلد: میشن قهوه ای لایی، ۱۰گ (۱۳۴پ -۱۴۳ر)، ۲۱ سطر،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۵-۳۳۱]</w:t>
      </w:r>
    </w:p>
    <w:p>
      <w:pPr>
        <w:pStyle w:val="Heading3"/>
      </w:pPr>
      <w:bookmarkStart w:id="1385" w:name="_Toc645"/>
      <w:r>
        <w:t>• بیست باب = احوال ارض و سماء (رساله در) / هيأت / فارسی</w:t>
      </w:r>
      <w:bookmarkEnd w:id="1385"/>
    </w:p>
    <w:p>
      <w:pPr>
        <w:pStyle w:val="BookText"/>
      </w:pPr>
      <w:r>
        <w:rPr>
          <w:rFonts w:ascii="Times New Roman" w:hAnsi="Times New Roman" w:eastAsia="Times New Roman" w:cs="Times New Roman"/>
          <w:lang w:val="en-US" w:bidi="en-US"/>
          <w:color w:val="111111"/>
          <w:sz w:val="28"/>
          <w:szCs w:val="28"/>
          <w:rtl/>
        </w:rPr>
        <w:t xml:space="preserve">bīst bāb = ahvāl-e arz va samā’ (r. dar)</w:t>
      </w:r>
    </w:p>
    <w:p>
      <w:pPr>
        <w:pStyle w:val="BookText"/>
      </w:pPr>
      <w:r>
        <w:rPr>
          <w:rFonts w:ascii="IRNazanin" w:hAnsi="IRNazanin" w:eastAsia="IRNazanin" w:cs="IRNazanin"/>
          <w:lang w:bidi="fa-IR"/>
          <w:color w:val="111111"/>
          <w:sz w:val="28"/>
          <w:szCs w:val="28"/>
          <w:rtl/>
        </w:rPr>
        <w:t xml:space="preserve">رساله ای است در اخترشناسی که در بیست باب از سوی فردی ناشناخته نگاشته شده است على رغم بررسی فراوان در منابع و مصادر موجود به نام نویسنده آن دسترسی نیافتیم مرحوم «میرزا عبدالله افندی» صاحب ریاض العلماء در برگ نخست همین  نسخه چنین نگاشته شده است علی رغم بررسی فراوان در منابع و مصادر موجود به نام نویسنده دسترسی حاصل نشد. مرحوم میرزا عبدالله افندی» صاحب ریاض العلماء در برگ نخست همین نسخه چنین نگاشته است: «شاید تأليف بعضی از علمای عصر ملوک خوارزم» و نیز ادبیات به کار رفته و سبک دستور زبان آن این نظر را تایید می نمایید البته نیاز به بررسی بیشتر دارد نیز همو در آغاز اثر آورده که نسخه ای از این رساله نیز در مدرسه فاضل خان مشهد (فاضلیه) ضمن مجموعه ای موجود می باشد لیکن در فهرست منتشر شده و دست نوشته مدرسه فاضلیه چنین نسخه ای یافت نگردید البته مجموعه ای در آنجا موجود است که نسخه ای از رساله بیست باب را نیز دارد ليكن مؤلف آن خواجه نصیر الدین طوسی</w:t>
      </w:r>
    </w:p>
    <w:p>
      <w:pPr>
        <w:pStyle w:val="BookText"/>
      </w:pPr>
      <w:r>
        <w:rPr>
          <w:rFonts w:ascii="IRNazanin" w:hAnsi="IRNazanin" w:eastAsia="IRNazanin" w:cs="IRNazanin"/>
          <w:lang w:bidi="fa-IR"/>
          <w:color w:val="111111"/>
          <w:sz w:val="28"/>
          <w:szCs w:val="28"/>
          <w:rtl/>
        </w:rPr>
        <w:t xml:space="preserve">(رحمه الله علیه) است. ابواب این رساله چنین است: ۱. اندر پدید کردن برهان آنکه فلک مدور است نه مسطح و نه مثلث و نه مربع ... ۲. اندر پدید کردن آنکه زمین مدور است .... ۳. اندر پدید کردن چند بخش کردن فلک؛ ۴. اندر پدید کردن آنکه فلك معدل النهار و فلک البروج .. ۵. اندر پدید کردن شمار و ستارهای فلک؛ ۶. اندر پدید کردن مساحت زمین؛ 7. اندر پدید کردن صورت زمین و اقلیم ها؛ ۸ اندر پدید کردن شهرها که اندر هر اقلیم افتاده است؛ ۹. اندر پدید کردن شهرها که چرا بهری سردسیر است و بهری گرم سیر ... ۱۰. اندر پدید کردن صورت هر فلکی ... ۱۱. اندر پدید کردن روش همه سیاره ها سایره و ثابته که هر روز یا هر ساعتی یا هر ماهی یا هر سالی چند درجه بروند ... ۱۲. اندر پدید کردن آنکه روی زمین تا آفتاب و ماه ... چند میل است .... ۱۳. اندر پدید کردن دایره فلک همه ستاره ها که چند میل است .... ۱۴. اندر پدید کردن مساحت آفتاب و ماه همه ستارها که هر یکی چندند ... ۱۵. اندر پدید کردن آنکه چرا ماه هرگاه بآفتاب نزدیکتر باشد روشنایی او کمتر پیدا بود .... ۱۶. اندر پدید کردن هر گاه که ارتفاع آفتاب نگریم چگونه کنیم تا بدانیم که بکدام شهر هنوز روز بر نیامده و بکدام شهر ارتفاع چند بوده باشد؛ ۱۷. اندر پدید کردن آنکه چگونه است که آفتاب منكسف شود .. ۱۸. اندر پدید کردن آنکه سبب جسوف ماه چیست و چگونه .... ۱۹. اندر پدید کردن آنکه چرا گاه بود که ماه مقابله آفتاب بود ... ۲۰. اندر پدید کردن رجعت و استقامت همه ستاره ها و علت آن ....</w:t>
      </w:r>
    </w:p>
    <w:p>
      <w:pPr>
        <w:pStyle w:val="BookText"/>
      </w:pPr>
      <w:r>
        <w:rPr>
          <w:rFonts w:ascii="IRNazanin" w:hAnsi="IRNazanin" w:eastAsia="IRNazanin" w:cs="IRNazanin"/>
          <w:lang w:bidi="fa-IR"/>
          <w:color w:val="111111"/>
          <w:sz w:val="28"/>
          <w:szCs w:val="28"/>
          <w:rtl/>
        </w:rPr>
        <w:t xml:space="preserve">قم؛ مرعشی؛ شماره نسخه: ۱۳۸۱۳/۱</w:t>
      </w:r>
    </w:p>
    <w:p>
      <w:pPr>
        <w:pStyle w:val="BookText"/>
      </w:pPr>
      <w:r>
        <w:rPr>
          <w:rFonts w:ascii="IRNazanin" w:hAnsi="IRNazanin" w:eastAsia="IRNazanin" w:cs="IRNazanin"/>
          <w:lang w:bidi="fa-IR"/>
          <w:color w:val="111111"/>
          <w:sz w:val="28"/>
          <w:szCs w:val="28"/>
          <w:rtl/>
        </w:rPr>
        <w:t xml:space="preserve">آغاز: الحمدلله مستحق الحمد و وليه و صلى الله على محمد عبده و نبيه: آغاز کردیم بفرخی و فیروزی و بختیاری و روزگار گزیده و اختر خجسته ... و بنیاد این نامه بر بیست باب نهادیم؛ انجام: و علت این از آن پدید کردیم تا چنان دانیم هرگز هیچ ستاره ایستاده نباشد و راجع نبود ولیکن بدیدار جسم همی چنین نماید و الله أعلم بالصواب.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11" w:name="pg20363_209450"/>
    <w:bookmarkEnd w:id="211"/>
    <w:p>
      <w:pPr>
        <w:pStyle w:val="BookText"/>
      </w:pPr>
      <w:r>
        <w:rPr>
          <w:rFonts w:ascii="IRNazanin" w:hAnsi="IRNazanin" w:eastAsia="IRNazanin" w:cs="IRNazanin"/>
          <w:lang w:bidi="fa-IR"/>
          <w:color w:val="111111"/>
          <w:sz w:val="28"/>
          <w:szCs w:val="28"/>
          <w:rtl/>
        </w:rPr>
        <w:t xml:space="preserve">خط: نستعلیق، بی کا، تا: قرن ۱۱؛ مصحح، محشی، بر برگ آغازین نسخه دستخط مرحوم میرزا عبدالله افندي إبن عیسی تبریزی اصفهانی (در گذشته بعد ۱۱۲۰ هـ) صاحب کتاب ریاض العلماء و حياض الفضلاء چنین آمده است: «رساله فارسی در احوال ارض و سما و ميائل جلیله در علم هیأت مشتمله بر بیست باب و مؤلف آن معلوم نیست و شاید تأليف بعضی علمای عصر ملوک خوارزم باشد فلاحظ و نسخه مغلوط است و یک نسخه سقيمه از این رساله در مجموعه ای هست که در کتابخانه مدرسه فاضلخان در مشهد مقدس می باشد»، در زیر عبارات مذکور دستخط مرحوم آیت الله مرعشی نجفی (رحمه الله علیه) چنین آمده است «هذا خط ملينا الميرزا عبدالله أفندی صاحب ریاض العلماء» و نیز دستخط ایشان «أرسلت إلى صاحب الذريعة»؛ کاغذ: شرقی، ۳۹گ (۱پ -۳۹پ)، ۱۷ سطر، اندازه:۱۴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۸سم [ف: ۳۵-۷۱]</w:t>
      </w:r>
    </w:p>
    <w:p>
      <w:pPr>
        <w:pStyle w:val="Heading3"/>
      </w:pPr>
      <w:bookmarkStart w:id="1386" w:name="_Toc646"/>
      <w:r>
        <w:t>• بیست باب / هیئت / فارسی</w:t>
      </w:r>
      <w:bookmarkEnd w:id="1386"/>
    </w:p>
    <w:p>
      <w:pPr>
        <w:pStyle w:val="BookText"/>
      </w:pPr>
      <w:r>
        <w:rPr>
          <w:rFonts w:ascii="Times New Roman" w:hAnsi="Times New Roman" w:eastAsia="Times New Roman" w:cs="Times New Roman"/>
          <w:lang w:val="en-US" w:bidi="en-US"/>
          <w:color w:val="111111"/>
          <w:sz w:val="28"/>
          <w:szCs w:val="28"/>
          <w:rtl/>
        </w:rPr>
        <w:t xml:space="preserve">bīst bāb</w:t>
      </w:r>
    </w:p>
    <w:p>
      <w:pPr>
        <w:pStyle w:val="BookText"/>
      </w:pPr>
      <w:r>
        <w:rPr>
          <w:rFonts w:ascii="IRNazanin" w:hAnsi="IRNazanin" w:eastAsia="IRNazanin" w:cs="IRNazanin"/>
          <w:lang w:bidi="fa-IR"/>
          <w:color w:val="111111"/>
          <w:sz w:val="28"/>
          <w:szCs w:val="28"/>
          <w:rtl/>
        </w:rPr>
        <w:t xml:space="preserve">تهران؛ شهشهانی، حسین؛ شماره نسخه: بدون شماره</w:t>
      </w:r>
    </w:p>
    <w:p>
      <w:pPr>
        <w:pStyle w:val="BookText"/>
      </w:pPr>
      <w:r>
        <w:rPr>
          <w:rFonts w:ascii="IRNazanin" w:hAnsi="IRNazanin" w:eastAsia="IRNazanin" w:cs="IRNazanin"/>
          <w:lang w:bidi="fa-IR"/>
          <w:color w:val="111111"/>
          <w:sz w:val="28"/>
          <w:szCs w:val="28"/>
          <w:rtl/>
        </w:rPr>
        <w:t xml:space="preserve">بی کا، تا: ۱۲۳۰ ق [میراث اسلامی: ۵-۵۹۶]</w:t>
      </w:r>
    </w:p>
    <w:p>
      <w:pPr>
        <w:pStyle w:val="BookText"/>
      </w:pPr>
      <w:r>
        <w:rPr>
          <w:rFonts w:ascii="IRNazanin" w:hAnsi="IRNazanin" w:eastAsia="IRNazanin" w:cs="IRNazanin"/>
          <w:lang w:bidi="fa-IR"/>
          <w:color w:val="111111"/>
          <w:sz w:val="28"/>
          <w:szCs w:val="28"/>
          <w:rtl/>
        </w:rPr>
        <w:t xml:space="preserve">← بیست باب تشريح ← تشریح</w:t>
      </w:r>
    </w:p>
    <w:p>
      <w:pPr>
        <w:pStyle w:val="Heading3"/>
      </w:pPr>
      <w:bookmarkStart w:id="1387" w:name="_Toc647"/>
      <w:r>
        <w:t>• بیست باب تقویم / تقویم / فارسی</w:t>
      </w:r>
      <w:bookmarkEnd w:id="1387"/>
    </w:p>
    <w:p>
      <w:pPr>
        <w:pStyle w:val="BookText"/>
      </w:pPr>
      <w:r>
        <w:rPr>
          <w:rFonts w:ascii="Times New Roman" w:hAnsi="Times New Roman" w:eastAsia="Times New Roman" w:cs="Times New Roman"/>
          <w:lang w:val="en-US" w:bidi="en-US"/>
          <w:color w:val="111111"/>
          <w:sz w:val="28"/>
          <w:szCs w:val="28"/>
          <w:rtl/>
        </w:rPr>
        <w:t xml:space="preserve">bīst bāb-e taqvīm</w:t>
      </w:r>
    </w:p>
    <w:p>
      <w:pPr>
        <w:pStyle w:val="BookText"/>
      </w:pPr>
      <w:r>
        <w:rPr>
          <w:rFonts w:ascii="IRNazanin" w:hAnsi="IRNazanin" w:eastAsia="IRNazanin" w:cs="IRNazanin"/>
          <w:lang w:bidi="fa-IR"/>
          <w:color w:val="111111"/>
          <w:sz w:val="28"/>
          <w:szCs w:val="28"/>
          <w:rtl/>
        </w:rPr>
        <w:t xml:space="preserve">قائنی، محمد بن سلطان</w:t>
      </w:r>
    </w:p>
    <w:p>
      <w:pPr>
        <w:pStyle w:val="BookText"/>
      </w:pPr>
      <w:r>
        <w:rPr>
          <w:rFonts w:ascii="Times New Roman" w:hAnsi="Times New Roman" w:eastAsia="Times New Roman" w:cs="Times New Roman"/>
          <w:lang w:val="en-US" w:bidi="en-US"/>
          <w:color w:val="111111"/>
          <w:sz w:val="28"/>
          <w:szCs w:val="28"/>
          <w:rtl/>
        </w:rPr>
        <w:t xml:space="preserve">qa'eni, mohammad ebn-e soltan</w:t>
      </w:r>
    </w:p>
    <w:p>
      <w:pPr>
        <w:pStyle w:val="BookText"/>
      </w:pPr>
      <w:r>
        <w:rPr>
          <w:rFonts w:ascii="IRNazanin" w:hAnsi="IRNazanin" w:eastAsia="IRNazanin" w:cs="IRNazanin"/>
          <w:lang w:bidi="fa-IR"/>
          <w:color w:val="111111"/>
          <w:sz w:val="28"/>
          <w:szCs w:val="28"/>
          <w:rtl/>
        </w:rPr>
        <w:t xml:space="preserve">رساله مختصری است در معرفت تقویم مشتمل بر «مقدمه» و بیست «باب»: مقدمه در حساب جمل؛ باب ۱. ارقام ایام هفته؛ ۲. تاریخ عربی و اسم ماه های ایشان؛ 3. تاریخ رومی؛ ۴. تاریخ فارسی؛ ۵. تاریخ ملکی؛ ۶. معرفت کواکب؛ ... ۱۸. بیان و احوال روزها؛ 19. معرفت اصول که در اختیارات ضروریست؛ ۲۰. اشیاء متفرقه.</w:t>
      </w:r>
    </w:p>
    <w:p>
      <w:pPr>
        <w:pStyle w:val="BookText"/>
      </w:pPr>
      <w:r>
        <w:rPr>
          <w:rFonts w:ascii="IRNazanin" w:hAnsi="IRNazanin" w:eastAsia="IRNazanin" w:cs="IRNazanin"/>
          <w:lang w:bidi="fa-IR"/>
          <w:color w:val="111111"/>
          <w:sz w:val="28"/>
          <w:szCs w:val="28"/>
          <w:rtl/>
        </w:rPr>
        <w:t xml:space="preserve">آغاز: الحمدلله الذي خلق الفلك الدوار و الكواكب السيار ..... اما بعد این مختصری است در معرفت تقویم و مدخلی است در صناعت تنجيم، تأليف اقل ... قطب الدین ابن سلطان محمد قائنی، مشتمل بر مقدمه و بیست باب</w:t>
      </w:r>
    </w:p>
    <w:p>
      <w:pPr>
        <w:pStyle w:val="BookText"/>
      </w:pPr>
      <w:r>
        <w:rPr>
          <w:rFonts w:ascii="IRNazanin" w:hAnsi="IRNazanin" w:eastAsia="IRNazanin" w:cs="IRNazanin"/>
          <w:lang w:bidi="fa-IR"/>
          <w:color w:val="111111"/>
          <w:sz w:val="28"/>
          <w:szCs w:val="28"/>
          <w:rtl/>
        </w:rPr>
        <w:t xml:space="preserve">انجام: و کوکب در حد خود و در وجه خود بقوت بود و جدول وجوه</w:t>
      </w:r>
    </w:p>
    <w:p>
      <w:pPr>
        <w:pStyle w:val="BookText"/>
      </w:pPr>
      <w:r>
        <w:rPr>
          <w:rFonts w:ascii="IRNazanin" w:hAnsi="IRNazanin" w:eastAsia="IRNazanin" w:cs="IRNazanin"/>
          <w:lang w:bidi="fa-IR"/>
          <w:color w:val="111111"/>
          <w:sz w:val="28"/>
          <w:szCs w:val="28"/>
          <w:rtl/>
        </w:rPr>
        <w:t xml:space="preserve">[دنا ۵۹۵/۲ ؛ الذريعة ۱۸۸/۳ ؛ نسخه های منزوی ۲۷۴/۱ ؛ فهرستواره منزوی ۲۸۳۵/۴]</w:t>
      </w:r>
    </w:p>
    <w:p>
      <w:pPr>
        <w:pStyle w:val="BookText"/>
      </w:pPr>
      <w:r>
        <w:rPr>
          <w:rFonts w:ascii="IRNazanin" w:hAnsi="IRNazanin" w:eastAsia="IRNazanin" w:cs="IRNazanin"/>
          <w:lang w:bidi="fa-IR"/>
          <w:color w:val="111111"/>
          <w:sz w:val="28"/>
          <w:szCs w:val="28"/>
          <w:rtl/>
        </w:rPr>
        <w:t xml:space="preserve">۱. تهران؛ سپهسالار؛ شماره نسخه: ۵۲۵/۳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۱۰۲۵ق؛ کاغذ: اصفهانی زرد، جلد: تیماج سرخ مقوایی ضربی زرکوب، ۲۲گ (۱۰۳-۱۲۴ر)، ۱۷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سم [ف: ۳-۲۷۱]</w:t>
      </w:r>
    </w:p>
    <w:p>
      <w:pPr>
        <w:pStyle w:val="BookText"/>
      </w:pPr>
      <w:r>
        <w:rPr>
          <w:rFonts w:ascii="IRNazanin" w:hAnsi="IRNazanin" w:eastAsia="IRNazanin" w:cs="IRNazanin"/>
          <w:lang w:bidi="fa-IR"/>
          <w:color w:val="111111"/>
          <w:sz w:val="28"/>
          <w:szCs w:val="28"/>
          <w:rtl/>
        </w:rPr>
        <w:t xml:space="preserve">۲. قم؛ مرعشی؛ شماره نسخه: ۹۷۲۹/۴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كان محمد علی بن آقا على رایانی، تا: ۱۰۸۴ق؛ جلد: تیماج زرد بدون مقوا، ۱۳گ (۱۰۷-۱۱۹ر)،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سم [ف: ۲۵-۸۲]</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ملی؛ شماره نسخه: ۱۵۸۸۶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تحریری، کا: محمد حسین، تا: پنج شنبه ۱۰ جمادی الأول ۱۱۹۸ق؛ انتقالی از سازمان مدارک فرهنگی انقلاب اسلامی؛ ۱۶گ، ۱۵-۱۷ سطر (۱۱/۳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۱۶/۵)، اندازه: ۱۹۶۱۴سم [رایانه ]</w:t>
      </w:r>
    </w:p>
    <w:p>
      <w:pPr>
        <w:pStyle w:val="BookText"/>
      </w:pPr>
      <w:r>
        <w:rPr>
          <w:rFonts w:ascii="IRNazanin" w:hAnsi="IRNazanin" w:eastAsia="IRNazanin" w:cs="IRNazanin"/>
          <w:lang w:bidi="fa-IR"/>
          <w:color w:val="111111"/>
          <w:sz w:val="28"/>
          <w:szCs w:val="28"/>
          <w:rtl/>
        </w:rPr>
        <w:t xml:space="preserve">۴. تهران: مجلس؛ شماره نسخه: ۱۷۴۵۶</w:t>
      </w:r>
    </w:p>
    <w:p>
      <w:pPr>
        <w:pStyle w:val="BookText"/>
      </w:pPr>
      <w:r>
        <w:rPr>
          <w:rFonts w:ascii="IRNazanin" w:hAnsi="IRNazanin" w:eastAsia="IRNazanin" w:cs="IRNazanin"/>
          <w:lang w:bidi="fa-IR"/>
          <w:color w:val="111111"/>
          <w:sz w:val="28"/>
          <w:szCs w:val="28"/>
          <w:rtl/>
        </w:rPr>
        <w:t xml:space="preserve">بی کا، بی تا [د.ث. مجلس]</w:t>
      </w:r>
    </w:p>
    <w:p>
      <w:pPr>
        <w:pStyle w:val="BookText"/>
      </w:pPr>
      <w:r>
        <w:rPr>
          <w:rFonts w:ascii="IRNazanin" w:hAnsi="IRNazanin" w:eastAsia="IRNazanin" w:cs="IRNazanin"/>
          <w:lang w:bidi="fa-IR"/>
          <w:color w:val="111111"/>
          <w:sz w:val="28"/>
          <w:szCs w:val="28"/>
          <w:rtl/>
        </w:rPr>
        <w:t xml:space="preserve">← بیست باب در اسطرلاب ← اسطرلاب</w:t>
      </w:r>
    </w:p>
    <w:p>
      <w:pPr>
        <w:pStyle w:val="BookText"/>
      </w:pPr>
      <w:r>
        <w:rPr>
          <w:rFonts w:ascii="IRNazanin" w:hAnsi="IRNazanin" w:eastAsia="IRNazanin" w:cs="IRNazanin"/>
          <w:lang w:bidi="fa-IR"/>
          <w:color w:val="111111"/>
          <w:sz w:val="28"/>
          <w:szCs w:val="28"/>
          <w:rtl/>
        </w:rPr>
        <w:t xml:space="preserve">← بیست باب در اسطرلاب ← اسطرلاب شمالی و جنوبی</w:t>
      </w:r>
    </w:p>
    <w:p>
      <w:pPr>
        <w:pStyle w:val="Heading3"/>
      </w:pPr>
      <w:bookmarkStart w:id="1388" w:name="_Toc648"/>
      <w:r>
        <w:t>• بیست باب در اسطرلاب / ریاضیات، اسطرلاب / فارسی</w:t>
      </w:r>
      <w:bookmarkEnd w:id="1388"/>
    </w:p>
    <w:p>
      <w:pPr>
        <w:pStyle w:val="BookText"/>
      </w:pPr>
      <w:r>
        <w:rPr>
          <w:rFonts w:ascii="Times New Roman" w:hAnsi="Times New Roman" w:eastAsia="Times New Roman" w:cs="Times New Roman"/>
          <w:lang w:val="en-US" w:bidi="en-US"/>
          <w:color w:val="111111"/>
          <w:sz w:val="28"/>
          <w:szCs w:val="28"/>
          <w:rtl/>
        </w:rPr>
        <w:t xml:space="preserve">bīst bāb dar ostorlāb</w:t>
      </w:r>
    </w:p>
    <w:p>
      <w:pPr>
        <w:pStyle w:val="BookText"/>
      </w:pPr>
      <w:r>
        <w:rPr>
          <w:rFonts w:ascii="IRNazanin" w:hAnsi="IRNazanin" w:eastAsia="IRNazanin" w:cs="IRNazanin"/>
          <w:lang w:bidi="fa-IR"/>
          <w:color w:val="111111"/>
          <w:sz w:val="28"/>
          <w:szCs w:val="28"/>
          <w:rtl/>
        </w:rPr>
        <w:t xml:space="preserve">جعفر اسطرلابی</w:t>
      </w:r>
    </w:p>
    <w:p>
      <w:pPr>
        <w:pStyle w:val="BookText"/>
      </w:pPr>
      <w:r>
        <w:rPr>
          <w:rFonts w:ascii="Times New Roman" w:hAnsi="Times New Roman" w:eastAsia="Times New Roman" w:cs="Times New Roman"/>
          <w:lang w:val="en-US" w:bidi="en-US"/>
          <w:color w:val="111111"/>
          <w:sz w:val="28"/>
          <w:szCs w:val="28"/>
          <w:rtl/>
        </w:rPr>
        <w:t xml:space="preserve">ja‘far-e ostorlābī</w:t>
      </w:r>
    </w:p>
    <w:p>
      <w:pPr>
        <w:pStyle w:val="BookText"/>
      </w:pPr>
      <w:r>
        <w:rPr>
          <w:rFonts w:ascii="IRNazanin" w:hAnsi="IRNazanin" w:eastAsia="IRNazanin" w:cs="IRNazanin"/>
          <w:lang w:bidi="fa-IR"/>
          <w:color w:val="111111"/>
          <w:sz w:val="28"/>
          <w:szCs w:val="28"/>
          <w:rtl/>
        </w:rPr>
        <w:t xml:space="preserve">مشهد؛ رضوی؛ شماره نسخه: ۶۱۱۴</w:t>
      </w:r>
    </w:p>
    <w:p>
      <w:pPr>
        <w:pStyle w:val="BookText"/>
      </w:pPr>
      <w:r>
        <w:rPr>
          <w:rFonts w:ascii="IRNazanin" w:hAnsi="IRNazanin" w:eastAsia="IRNazanin" w:cs="IRNazanin"/>
          <w:lang w:bidi="fa-IR"/>
          <w:color w:val="111111"/>
          <w:sz w:val="28"/>
          <w:szCs w:val="28"/>
          <w:rtl/>
        </w:rPr>
        <w:t xml:space="preserve">آغاز: بسمله الحمدلله حق حمده و الصلوه على نبيه محمد و آله؛ انجام: که خط قبله راست باشد و الله اعلم بالصواب خط: نسخ، بی کا، تا: قرن ۱۹ مجدول، دارای سرترنج و کتیبه، پیشانی مذهب؛ کاغذ: نخودی، جلد: تیماج، ۱۷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اندازه: ۱۵←۱۰ سم (الفبائی: ۹۴]</w:t>
      </w:r>
    </w:p>
    <w:p>
      <w:pPr>
        <w:pStyle w:val="Heading3"/>
      </w:pPr>
      <w:bookmarkStart w:id="1389" w:name="_Toc649"/>
      <w:r>
        <w:t>• بیست باب در اسطرلاب / اسطرلاب / فارسی</w:t>
      </w:r>
      <w:bookmarkEnd w:id="1389"/>
    </w:p>
    <w:p>
      <w:pPr>
        <w:pStyle w:val="BookText"/>
      </w:pPr>
      <w:r>
        <w:rPr>
          <w:rFonts w:ascii="Times New Roman" w:hAnsi="Times New Roman" w:eastAsia="Times New Roman" w:cs="Times New Roman"/>
          <w:lang w:val="en-US" w:bidi="en-US"/>
          <w:color w:val="111111"/>
          <w:sz w:val="28"/>
          <w:szCs w:val="28"/>
          <w:rtl/>
        </w:rPr>
        <w:t xml:space="preserve">bīst bāb dar ostorlāb</w:t>
      </w:r>
    </w:p>
    <w:p>
      <w:pPr>
        <w:pStyle w:val="BookText"/>
      </w:pPr>
      <w:r>
        <w:rPr>
          <w:rFonts w:ascii="IRNazanin" w:hAnsi="IRNazanin" w:eastAsia="IRNazanin" w:cs="IRNazanin"/>
          <w:lang w:bidi="fa-IR"/>
          <w:color w:val="111111"/>
          <w:sz w:val="28"/>
          <w:szCs w:val="28"/>
          <w:rtl/>
        </w:rPr>
        <w:t xml:space="preserve">همانندی نامعلوم:</w:t>
      </w:r>
    </w:p>
    <w:p>
      <w:pPr>
        <w:pStyle w:val="BookText"/>
      </w:pPr>
      <w:r>
        <w:rPr>
          <w:rFonts w:ascii="IRNazanin" w:hAnsi="IRNazanin" w:eastAsia="IRNazanin" w:cs="IRNazanin"/>
          <w:lang w:bidi="fa-IR"/>
          <w:color w:val="111111"/>
          <w:sz w:val="28"/>
          <w:szCs w:val="28"/>
          <w:rtl/>
        </w:rPr>
        <w:t xml:space="preserve">١. مشهد؛ رضوی؛ شماره نسخه: ۵۴۳۶</w:t>
      </w:r>
    </w:p>
    <w:p>
      <w:pPr>
        <w:pStyle w:val="BookText"/>
      </w:pPr>
      <w:r>
        <w:rPr>
          <w:rFonts w:ascii="IRNazanin" w:hAnsi="IRNazanin" w:eastAsia="IRNazanin" w:cs="IRNazanin"/>
          <w:lang w:bidi="fa-IR"/>
          <w:color w:val="111111"/>
          <w:sz w:val="28"/>
          <w:szCs w:val="28"/>
          <w:rtl/>
        </w:rPr>
        <w:t xml:space="preserve">آغاز: معدل النهار گویند و صغری را مدار رأس السرطان خوانند؛ انجام: و این قدر که نوشته شد درین مختصر کفایت بود، و کسی را که طبع مستقيم و خاطری سلیم بود و برین اطلاع یابد، بر حل اعمال بسیار که درین مختصر ذکر نکرده ام مطلع شود، و باید باضعاف آن فایده نیابد، والله اعلم، و قد نقله الفقير إلى الله الغني محمد بن سديد الطبيب الكازروني في اواخر شعبان سنه ثلث و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12" w:name="pg20363_209451"/>
    <w:bookmarkEnd w:id="212"/>
    <w:p>
      <w:pPr>
        <w:pStyle w:val="BookText"/>
      </w:pPr>
      <w:r>
        <w:rPr>
          <w:rFonts w:ascii="Amiri" w:hAnsi="Amiri" w:eastAsia="Amiri" w:cs="Amiri"/>
          <w:lang w:bidi="ar-SA"/>
          <w:color w:val="111111"/>
          <w:sz w:val="28"/>
          <w:szCs w:val="28"/>
          <w:rtl/>
        </w:rPr>
        <w:t xml:space="preserve">سبعين و سبعمائة عن خط مؤلفه طاب مثواه</w:t>
      </w:r>
    </w:p>
    <w:p>
      <w:pPr>
        <w:pStyle w:val="BookText"/>
      </w:pPr>
      <w:r>
        <w:rPr>
          <w:rFonts w:ascii="IRNazanin" w:hAnsi="IRNazanin" w:eastAsia="IRNazanin" w:cs="IRNazanin"/>
          <w:lang w:bidi="fa-IR"/>
          <w:color w:val="111111"/>
          <w:sz w:val="28"/>
          <w:szCs w:val="28"/>
          <w:rtl/>
        </w:rPr>
        <w:t xml:space="preserve">در آن آمده است که: «و آنج بعد ازو بود، اول وقت عصر بود بمذهب امام اعظم شافعی رضی الله عنه، و سوم آخر وقت اختیار عصر باشد، و بروی نوشته بود آخر اوقات العصر، و آن از بهر اول وقت نماز عصر بود بمذهب امام اعظم ابی حنیفه رحمه الله ... و انواع دیگر اسطرلاب مثل هلالی و صدفی و زورقی و کری و صلیبی و غیرها در بعضی رسوم و خطوط و شکل مخالف این باشد که گفته آمد، حاليا آنها را ترک کرده شد، بسبب آن که میان مردم مشهور و مستعمل نیست، اگر باری سبحانه و تعالی توفیق دهد معرفتی دیگر نوشته آید که مشتمل بود بر جميع انواع، انه الموفق والمعين»؛ خط: نسخ تحریری، کا: محمد بن سديد کازرونی، تا: اواخر شعبان ۷۷۳ق؛ افتادگی: آغاز؛ در آخر سی و یک سطر به عربی در معرفت قبله به خط همان کاتب که آغاز و انجامش این است: آغاز: «ايضا منقول من خطه: في معرفت سمت القبله من الكتاب الكبير في معرفة الاصطرلاب لابي الحسين عبدالرحمن بن عمر المعروف بالصوفي، اذا اردت ذلك فخذ فصل مابين طول بلد کک و طول مکه»، انجام: «فلما كان طول و عرض تبريز اكثر من طول و عرض مکه قسمت مکه فیما بین خط نصف النهار و المغرب هذا المعدله، وبالله التوفيق»؛ واقف: نایینی؛ کاغذ: حنایی، جلد: پارچه ای، ۸گ، ۲۷ سطر (۱۹۷۷)، قطع: بیاض رقعی، اندازه: ۹/۴</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۸-۵۳]</w:t>
      </w:r>
    </w:p>
    <w:p>
      <w:pPr>
        <w:pStyle w:val="BookText"/>
      </w:pPr>
      <w:r>
        <w:rPr>
          <w:rFonts w:ascii="IRNazanin" w:hAnsi="IRNazanin" w:eastAsia="IRNazanin" w:cs="IRNazanin"/>
          <w:lang w:bidi="fa-IR"/>
          <w:color w:val="111111"/>
          <w:sz w:val="28"/>
          <w:szCs w:val="28"/>
          <w:rtl/>
        </w:rPr>
        <w:t xml:space="preserve">۲. تهران؛ دانشگاه؛ شماره نسخه: ۹۱۶/۱ -ف</w:t>
      </w:r>
    </w:p>
    <w:p>
      <w:pPr>
        <w:pStyle w:val="BookText"/>
      </w:pPr>
      <w:r>
        <w:rPr>
          <w:rFonts w:ascii="IRNazanin" w:hAnsi="IRNazanin" w:eastAsia="IRNazanin" w:cs="IRNazanin"/>
          <w:lang w:bidi="fa-IR"/>
          <w:color w:val="111111"/>
          <w:sz w:val="28"/>
          <w:szCs w:val="28"/>
          <w:rtl/>
        </w:rPr>
        <w:t xml:space="preserve">نسخه اصل: پاریس 169 .</w:t>
      </w:r>
      <w:r>
        <w:rPr>
          <w:rFonts w:ascii="Times New Roman" w:hAnsi="Times New Roman" w:eastAsia="Times New Roman" w:cs="Times New Roman"/>
          <w:lang w:val="en-US" w:bidi="en-US"/>
          <w:color w:val="111111"/>
          <w:sz w:val="28"/>
          <w:szCs w:val="28"/>
          <w:rtl/>
        </w:rPr>
        <w:t xml:space="preserve">P (</w:t>
      </w:r>
      <w:r>
        <w:rPr>
          <w:rFonts w:ascii="IRNazanin" w:hAnsi="IRNazanin" w:eastAsia="IRNazanin" w:cs="IRNazanin"/>
          <w:lang w:bidi="fa-IR"/>
          <w:color w:val="111111"/>
          <w:sz w:val="28"/>
          <w:szCs w:val="28"/>
          <w:rtl/>
        </w:rPr>
        <w:t xml:space="preserve">بلوشه ۷۷۲)؛ خط: نستعلیق، بی کا بی تا؛ ۲۰ سطر [فیلمها ف: ۱-۵۴۸]</w:t>
      </w:r>
    </w:p>
    <w:p>
      <w:pPr>
        <w:pStyle w:val="BookText"/>
      </w:pPr>
      <w:r>
        <w:rPr>
          <w:rFonts w:ascii="IRNazanin" w:hAnsi="IRNazanin" w:eastAsia="IRNazanin" w:cs="IRNazanin"/>
          <w:lang w:bidi="fa-IR"/>
          <w:color w:val="111111"/>
          <w:sz w:val="28"/>
          <w:szCs w:val="28"/>
          <w:rtl/>
        </w:rPr>
        <w:t xml:space="preserve">٣. تهران؛ مجلس؛ شماره نسخه: ۶۴۹۲/۳</w:t>
      </w:r>
    </w:p>
    <w:p>
      <w:pPr>
        <w:pStyle w:val="BookText"/>
      </w:pPr>
      <w:r>
        <w:rPr>
          <w:rFonts w:ascii="IRNazanin" w:hAnsi="IRNazanin" w:eastAsia="IRNazanin" w:cs="IRNazanin"/>
          <w:lang w:bidi="fa-IR"/>
          <w:color w:val="111111"/>
          <w:sz w:val="28"/>
          <w:szCs w:val="28"/>
          <w:rtl/>
        </w:rPr>
        <w:t xml:space="preserve">آغاز: گذشته از روز و اگر چیزی باقی ماند که کمتر از پانزده باشد در چهار ضرب کند آنچه بر آید دقایق باشد ضم کند با ساعات که آن ساعات و دقایق باشد گذشته از روز؛ انجام: و کسی را که طبع مستقیم و خاطر سلیم باشد و برین اطلاع یابد بر حل اعمال بسیار که در این مختصر ذکر نکرده ام مطلع گردد و به اضعاف آن فواید.</w:t>
      </w:r>
    </w:p>
    <w:p>
      <w:pPr>
        <w:pStyle w:val="BookText"/>
      </w:pPr>
      <w:r>
        <w:rPr>
          <w:rFonts w:ascii="IRNazanin" w:hAnsi="IRNazanin" w:eastAsia="IRNazanin" w:cs="IRNazanin"/>
          <w:lang w:bidi="fa-IR"/>
          <w:color w:val="111111"/>
          <w:sz w:val="28"/>
          <w:szCs w:val="28"/>
          <w:rtl/>
        </w:rPr>
        <w:t xml:space="preserve">بیست باب و یک خاتمه مختصر است. در اسطرلاب که این عناوین در آن دیده می شود: ۵. معرفت قوس النهار و قوس الليل، ۶. معرفت ساعات از طالع و طالع از ساعات، ۷. معرفت طالع تحویل سال آینده، ۸ تسوية البيوت، ۹. معرفت آنچه گذشته باشد از ساعات روز، ۱۰. معرفت طلوع کواکب و غروبشان، ۱۱. معرفت مطالع بروج در خط استوا و بلدان مایله، ۱۲. معرفت اجزای بروج از مطالع؛ ۱۳. معرفت میل آفتاب از معدل النهار، ۱۴. معرفت عرض بلد و طولش، ۱۵، معرفت خط نصف النهار و سمت قبله، ۱۶. معرفت وقت نماز ظهر و عصر، ۱۷. دانستن طلوع صبح روز به روز، ۱۸. دانستن عرض نهری یا مسافتی بر زمین که مانعی مساحت او و میان ماسح حایل باشد، ۱۹. معرفت عمق چاه، ۲۰. معرفت طول مناره یا دیواری یا عمود کوهی، خاتمه: در امتحان اسطرلاب؛ خط: نستعلیق، بی کا، بی تا، افتادگی: آغاز؛ مصحح جلد: تیماج قهوه ای ضربی ترنج و سرترنج دار ضربی، ۵گ (۱۲۳ر-۱۲۷پ)،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[ف: ۲۰-۷۰]</w:t>
      </w:r>
    </w:p>
    <w:p>
      <w:pPr>
        <w:pStyle w:val="Heading3"/>
      </w:pPr>
      <w:bookmarkStart w:id="1390" w:name="_Toc650"/>
      <w:r>
        <w:t>• بیست باب در تقویم / تقویم / فارسی</w:t>
      </w:r>
      <w:bookmarkEnd w:id="1390"/>
    </w:p>
    <w:p>
      <w:pPr>
        <w:pStyle w:val="BookText"/>
      </w:pPr>
      <w:r>
        <w:rPr>
          <w:rFonts w:ascii="Times New Roman" w:hAnsi="Times New Roman" w:eastAsia="Times New Roman" w:cs="Times New Roman"/>
          <w:lang w:val="en-US" w:bidi="en-US"/>
          <w:color w:val="111111"/>
          <w:sz w:val="28"/>
          <w:szCs w:val="28"/>
          <w:rtl/>
        </w:rPr>
        <w:t xml:space="preserve">bīst bāb dar taqvīm</w:t>
      </w:r>
    </w:p>
    <w:p>
      <w:pPr>
        <w:pStyle w:val="BookText"/>
      </w:pPr>
      <w:r>
        <w:rPr>
          <w:rFonts w:ascii="IRNazanin" w:hAnsi="IRNazanin" w:eastAsia="IRNazanin" w:cs="IRNazanin"/>
          <w:lang w:bidi="fa-IR"/>
          <w:color w:val="111111"/>
          <w:sz w:val="28"/>
          <w:szCs w:val="28"/>
          <w:rtl/>
        </w:rPr>
        <w:t xml:space="preserve">بیرجندی، عبدالعلی بن محمد، -۹۳۴ قمری</w:t>
      </w:r>
    </w:p>
    <w:p>
      <w:pPr>
        <w:pStyle w:val="BookText"/>
      </w:pPr>
      <w:r>
        <w:rPr>
          <w:rFonts w:ascii="Times New Roman" w:hAnsi="Times New Roman" w:eastAsia="Times New Roman" w:cs="Times New Roman"/>
          <w:lang w:val="en-US" w:bidi="en-US"/>
          <w:color w:val="111111"/>
          <w:sz w:val="28"/>
          <w:szCs w:val="28"/>
          <w:rtl/>
        </w:rPr>
        <w:t xml:space="preserve">bīrjandī, ‘abd-ol-‘alī ebn-e mohammad (- 1528)</w:t>
      </w:r>
    </w:p>
    <w:p>
      <w:pPr>
        <w:pStyle w:val="BookText"/>
      </w:pPr>
      <w:r>
        <w:rPr>
          <w:rFonts w:ascii="IRNazanin" w:hAnsi="IRNazanin" w:eastAsia="IRNazanin" w:cs="IRNazanin"/>
          <w:lang w:bidi="fa-IR"/>
          <w:color w:val="111111"/>
          <w:sz w:val="28"/>
          <w:szCs w:val="28"/>
          <w:rtl/>
        </w:rPr>
        <w:t xml:space="preserve">تاریخ تأليف: جمادی الاول ۸۳ق</w:t>
      </w:r>
    </w:p>
    <w:p>
      <w:pPr>
        <w:pStyle w:val="BookText"/>
      </w:pPr>
      <w:r>
        <w:rPr>
          <w:rFonts w:ascii="IRNazanin" w:hAnsi="IRNazanin" w:eastAsia="IRNazanin" w:cs="IRNazanin"/>
          <w:lang w:bidi="fa-IR"/>
          <w:color w:val="111111"/>
          <w:sz w:val="28"/>
          <w:szCs w:val="28"/>
          <w:rtl/>
        </w:rPr>
        <w:t xml:space="preserve">رساله ای در تقویم در بیست «باب»: ۱. معرفت حساب جمل؛ ۲. معرفت ایام و اسابيع و تواريخ مشهوره؛ ۳. معرفت بروج و کواکب؛ ۴. معرفت مسیرات کواکب؛ ۵. معرفت میل آفتاب؛ ۶. معرفت ساعات و غایت ارتفاع؛ 7. معرفت نظر و تناظر؛ ۸ معرفت شرف و هبوط کواکب؛ ۹. معرفت طالع اجتماع و استقبال؛ ۱۰. نطاقات و ظهور نطاقات و ظهور و خفاء؛ ۱۱. معرفت انتقال قمر؛ ۱۲. معرفت منازل قمر و ساعات شب؛ ۱۳. معرفت اوقات صلوات و ارتفاع سمت قبله؛ ۱۴. معرفت تاریخ خطائیان؛ ۱۵. معرفت زوایدی که در تقویم بیارند؛ ۱۶. معرفت احوال بروج؛ ۱۷. معرفت خطوط کواکب؛ ۱۸. معرفت بيوت دوازده گانه؛ 19. معرفت احوال انظار و آنچه بدان ماند؛ ۲۰. معرفت اصولی که در اختیارات به کار آید.</w:t>
      </w:r>
    </w:p>
    <w:p>
      <w:pPr>
        <w:pStyle w:val="BookText"/>
      </w:pPr>
      <w:r>
        <w:rPr>
          <w:rFonts w:ascii="IRNazanin" w:hAnsi="IRNazanin" w:eastAsia="IRNazanin" w:cs="IRNazanin"/>
          <w:lang w:bidi="fa-IR"/>
          <w:color w:val="111111"/>
          <w:sz w:val="28"/>
          <w:szCs w:val="28"/>
          <w:rtl/>
        </w:rPr>
        <w:t xml:space="preserve">آغاز: بسمله اما بعد این مختصریست در معرفت تقویم تام مشتمل بر بیست باب باب اول در معرفت حساب جمل و نجوم ایشان اعداد را از جهت سهولت به ارقام حروف بیست و هشت گانه که به ترتیب ابجد است</w:t>
      </w:r>
    </w:p>
    <w:p>
      <w:pPr>
        <w:pStyle w:val="BookText"/>
      </w:pPr>
      <w:r>
        <w:rPr>
          <w:rFonts w:ascii="IRNazanin" w:hAnsi="IRNazanin" w:eastAsia="IRNazanin" w:cs="IRNazanin"/>
          <w:lang w:bidi="fa-IR"/>
          <w:color w:val="111111"/>
          <w:sz w:val="28"/>
          <w:szCs w:val="28"/>
          <w:rtl/>
        </w:rPr>
        <w:t xml:space="preserve">انجام این قدر در معرفت اختیارات اینجا و زیادت از این به تطويل مقتضی است. تمت الرسالة</w:t>
      </w:r>
    </w:p>
    <w:p>
      <w:pPr>
        <w:pStyle w:val="BookText"/>
      </w:pPr>
      <w:r>
        <w:rPr>
          <w:rFonts w:ascii="IRNazanin" w:hAnsi="IRNazanin" w:eastAsia="IRNazanin" w:cs="IRNazanin"/>
          <w:lang w:bidi="fa-IR"/>
          <w:color w:val="111111"/>
          <w:sz w:val="28"/>
          <w:szCs w:val="28"/>
          <w:rtl/>
        </w:rPr>
        <w:t xml:space="preserve">چاپ: کتاب مکرر چاپ شده است</w:t>
      </w:r>
    </w:p>
    <w:p>
      <w:pPr>
        <w:pStyle w:val="BookText"/>
      </w:pPr>
      <w:r>
        <w:rPr>
          <w:rFonts w:ascii="IRNazanin" w:hAnsi="IRNazanin" w:eastAsia="IRNazanin" w:cs="IRNazanin"/>
          <w:lang w:bidi="fa-IR"/>
          <w:color w:val="111111"/>
          <w:sz w:val="28"/>
          <w:szCs w:val="28"/>
          <w:rtl/>
        </w:rPr>
        <w:t xml:space="preserve">[دنا ۵۹۵/۲ (۵۷ نسخه)؛ نسخه های منزوی ۲۴۷/۱ ؛ الذريعة ۱۸۸/۳ ؛ مشار فارسی ۸۴۳/۱ : نشانی ۵ چاپ؛ مشترک پاکستان ۲۴۷/۱ ؛ فهرستواره منزوی ۲۸۳۳/۴ ]</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شرح بیست باب در معرفت تقويم = شرح بیست باب = شرح بیست باب؛ بیرجندی گنابادی، مظفر بن محمد قاسم (۹۷۰-۱۰۳۱)</w:t>
      </w:r>
    </w:p>
    <w:p>
      <w:pPr>
        <w:pStyle w:val="BookText"/>
      </w:pPr>
      <w:r>
        <w:rPr>
          <w:rFonts w:ascii="IRNazanin" w:hAnsi="IRNazanin" w:eastAsia="IRNazanin" w:cs="IRNazanin"/>
          <w:lang w:bidi="fa-IR"/>
          <w:color w:val="111111"/>
          <w:sz w:val="28"/>
          <w:szCs w:val="28"/>
          <w:rtl/>
        </w:rPr>
        <w:t xml:space="preserve">۲- معرفت تقویم؛ بسطامی، حسین بن اسماعیل (-۱۳)</w:t>
      </w:r>
    </w:p>
    <w:p>
      <w:pPr>
        <w:pStyle w:val="BookText"/>
      </w:pPr>
      <w:r>
        <w:rPr>
          <w:rFonts w:ascii="IRNazanin" w:hAnsi="IRNazanin" w:eastAsia="IRNazanin" w:cs="IRNazanin"/>
          <w:lang w:bidi="fa-IR"/>
          <w:color w:val="111111"/>
          <w:sz w:val="28"/>
          <w:szCs w:val="28"/>
          <w:rtl/>
        </w:rPr>
        <w:t xml:space="preserve">٣- شرح بیست باب (منتخب)؛ بسطامی، اسماعیل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شیخ علی حیدر؛ شماره نسخه: ۳۲/۸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کاتب = مؤلف (احتمالا)، تا: صفر ۹۵۴ق؛ جلد: تیماج قهوه ای با روکش</w:t>
      </w:r>
    </w:p>
    <w:p>
      <w:pPr>
        <w:pStyle w:val="BookText"/>
      </w:pPr>
      <w:r>
        <w:rPr>
          <w:rFonts w:ascii="IRNazanin" w:hAnsi="IRNazanin" w:eastAsia="IRNazanin" w:cs="IRNazanin"/>
          <w:lang w:bidi="fa-IR"/>
          <w:color w:val="111111"/>
          <w:sz w:val="28"/>
          <w:szCs w:val="28"/>
          <w:rtl/>
        </w:rPr>
        <w:t xml:space="preserve">قرمز پارچه ای، ۱۶گ (۵۸پ -۷۳ر)، ۱۹سطر،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(مؤید: ۳-۵۷۶]</w:t>
      </w:r>
    </w:p>
    <w:p>
      <w:pPr>
        <w:pStyle w:val="BookText"/>
      </w:pPr>
      <w:r>
        <w:rPr>
          <w:rFonts w:ascii="IRNazanin" w:hAnsi="IRNazanin" w:eastAsia="IRNazanin" w:cs="IRNazanin"/>
          <w:lang w:bidi="fa-IR"/>
          <w:color w:val="111111"/>
          <w:sz w:val="28"/>
          <w:szCs w:val="28"/>
          <w:rtl/>
        </w:rPr>
        <w:t xml:space="preserve">۲. قم؛ استادی، رضا، شماره نسخه: ۱۸۶۶۸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برابر؛ انجام: سال مفروض و مدخل آن سال را به تواریخ مشهور و تاریخ خطا بیارند خط: نستعلیق، بی کا، تا: قرن ۱۰؛ کاغذ: حنایی، ۱۵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w:t>
      </w:r>
    </w:p>
    <w:p>
      <w:pPr>
        <w:pStyle w:val="BookText"/>
      </w:pPr>
      <w:r>
        <w:rPr>
          <w:rFonts w:ascii="IRNazanin" w:hAnsi="IRNazanin" w:eastAsia="IRNazanin" w:cs="IRNazanin"/>
          <w:lang w:bidi="fa-IR"/>
          <w:color w:val="111111"/>
          <w:sz w:val="28"/>
          <w:szCs w:val="28"/>
          <w:rtl/>
        </w:rPr>
        <w:t xml:space="preserve">[رایانه]</w:t>
      </w:r>
    </w:p>
    <w:p>
      <w:pPr>
        <w:pStyle w:val="BookText"/>
      </w:pPr>
      <w:r>
        <w:rPr>
          <w:rFonts w:ascii="IRNazanin" w:hAnsi="IRNazanin" w:eastAsia="IRNazanin" w:cs="IRNazanin"/>
          <w:lang w:bidi="fa-IR"/>
          <w:color w:val="111111"/>
          <w:sz w:val="28"/>
          <w:szCs w:val="28"/>
          <w:rtl/>
        </w:rPr>
        <w:t xml:space="preserve">٣. مشهد؛ رضوی؛ شماره نسخه: ۵۲۴۷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تحریری، بی کا، تا: قرن ۱۰؛ کاغذ: سرکه ای، جلد: پارچه ای، ۱۶گ، ۲۰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۱۷/۸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۱۲/۳ سم [ف: ۵۰-۸ ]</w:t>
      </w:r>
    </w:p>
    <w:p>
      <w:pPr>
        <w:pStyle w:val="BookText"/>
      </w:pPr>
      <w:r>
        <w:rPr>
          <w:rFonts w:ascii="IRNazanin" w:hAnsi="IRNazanin" w:eastAsia="IRNazanin" w:cs="IRNazanin"/>
          <w:lang w:bidi="fa-IR"/>
          <w:color w:val="111111"/>
          <w:sz w:val="28"/>
          <w:szCs w:val="28"/>
          <w:rtl/>
        </w:rPr>
        <w:t xml:space="preserve">۴. مشهد؛ رضوی؛ شماره نسخه: ۱۲۸۵۶</w:t>
      </w:r>
    </w:p>
    <w:p>
      <w:pPr>
        <w:pStyle w:val="BookText"/>
      </w:pPr>
      <w:r>
        <w:rPr>
          <w:rFonts w:ascii="IRNazanin" w:hAnsi="IRNazanin" w:eastAsia="IRNazanin" w:cs="IRNazanin"/>
          <w:lang w:bidi="fa-IR"/>
          <w:color w:val="111111"/>
          <w:sz w:val="28"/>
          <w:szCs w:val="28"/>
          <w:rtl/>
        </w:rPr>
        <w:t xml:space="preserve">آغاز: و نون مفرد را بدین صورت انجام: برابر</w:t>
      </w:r>
    </w:p>
    <w:p>
      <w:pPr>
        <w:pStyle w:val="BookText"/>
      </w:pPr>
      <w:r>
        <w:rPr>
          <w:rFonts w:ascii="IRNazanin" w:hAnsi="IRNazanin" w:eastAsia="IRNazanin" w:cs="IRNazanin"/>
          <w:lang w:bidi="fa-IR"/>
          <w:color w:val="111111"/>
          <w:sz w:val="28"/>
          <w:szCs w:val="28"/>
          <w:rtl/>
        </w:rPr>
        <w:t xml:space="preserve">خط: نستعلیق، بی کا، تا: قرن ۱۰؛ افتادگی: آغاز (صفحه اول)؛ گواهی نامه کمال الدین حسین واعظ کاشفی بر درستی جام ساعتی اختراعی محمد حافظ مخترع اصفهانی (صاحب کتاب نتيجة الدولة). این نامه ناقص است، پنج نامه از محمد حافظ مخترع اصفهانی (اولین نامه ناقص الأول است)، نامه تقریظی واعظ کاشفی بر آثار علمی محمد حافظ مخترع اصفهانی، تقریظ نامه امیر اختيار الدين بن غياث الدين العريضي قاضی هرات بر رساله حل متشابهات تألیفی محمد حافظ مخترع اصفهانی؛ واقف: حسین کی استوانه کاغذ: حنایی روشن، جلد: مقوا عطف پارچه، ۲۸گ، ۱۷ سطر، اندازه: ۱۱/۵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۱۷/۵ سم (ف: ۱۸-۲۳]</w:t>
      </w:r>
    </w:p>
    <w:p>
      <w:pPr>
        <w:pStyle w:val="BookText"/>
      </w:pPr>
      <w:r>
        <w:rPr>
          <w:rFonts w:ascii="IRNazanin" w:hAnsi="IRNazanin" w:eastAsia="IRNazanin" w:cs="IRNazanin"/>
          <w:lang w:bidi="fa-IR"/>
          <w:color w:val="111111"/>
          <w:sz w:val="28"/>
          <w:szCs w:val="28"/>
          <w:rtl/>
        </w:rPr>
        <w:t xml:space="preserve">۵. تهران؛ ملک؛ شماره نسخه: ۶۸۸/۱۴</w:t>
      </w:r>
    </w:p>
    <w:p>
      <w:pPr>
        <w:pStyle w:val="BookText"/>
      </w:pPr>
      <w:r>
        <w:rPr>
          <w:rFonts w:ascii="IRNazanin" w:hAnsi="IRNazanin" w:eastAsia="IRNazanin" w:cs="IRNazanin"/>
          <w:lang w:bidi="fa-IR"/>
          <w:color w:val="111111"/>
          <w:sz w:val="28"/>
          <w:szCs w:val="28"/>
          <w:rtl/>
        </w:rPr>
        <w:t xml:space="preserve">خط: نستعلیق، بی کا، تا: قرن ۱۰؛ کاغذ: ترمه، جلد: میشن یشمی، ۱۵گ (۲۰۳پ -۲۱۷ر)، اندازه: ۱۸/۴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۱۲/۸ سم [ف: ۵-۱۵۰]</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ملی؛ شماره نسخه: ۲۶۳۳/۱</w:t>
      </w:r>
    </w:p>
    <w:p>
      <w:pPr>
        <w:pStyle w:val="BookText"/>
      </w:pPr>
      <w:r>
        <w:rPr>
          <w:rFonts w:ascii="IRNazanin" w:hAnsi="IRNazanin" w:eastAsia="IRNazanin" w:cs="IRNazanin"/>
          <w:lang w:bidi="fa-IR"/>
          <w:color w:val="111111"/>
          <w:sz w:val="28"/>
          <w:szCs w:val="28"/>
          <w:rtl/>
        </w:rPr>
        <w:t xml:space="preserve">آغاز: همیشه منقوط سازند و با وجيم و زوایا را نقطه ننهند؛ انجام: برابر</w:t>
      </w:r>
    </w:p>
    <w:p>
      <w:pPr>
        <w:pStyle w:val="BookText"/>
      </w:pPr>
      <w:r>
        <w:rPr>
          <w:rFonts w:ascii="IRNazanin" w:hAnsi="IRNazanin" w:eastAsia="IRNazanin" w:cs="IRNazanin"/>
          <w:lang w:bidi="fa-IR"/>
          <w:color w:val="111111"/>
          <w:sz w:val="28"/>
          <w:szCs w:val="28"/>
          <w:rtl/>
        </w:rPr>
        <w:t xml:space="preserve">خط: نستعلیق، بی کا، تا: ۱۴۸ق؛ افتادگی: آغاز؛ کاغذ: بخارائی و اصفهانی، جلد: تیماج، قهوه ای یک لا، ۴۳ص (۴۳۱)، ۱۲ و ۲۰ سطر کامل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سم [ف: ۶-۱۸۹]</w:t>
      </w:r>
    </w:p>
    <w:p>
      <w:pPr>
        <w:pStyle w:val="BookText"/>
      </w:pPr>
      <w:r>
        <w:rPr>
          <w:rFonts w:ascii="IRNazanin" w:hAnsi="IRNazanin" w:eastAsia="IRNazanin" w:cs="IRNazanin"/>
          <w:lang w:bidi="fa-IR"/>
          <w:color w:val="111111"/>
          <w:sz w:val="28"/>
          <w:szCs w:val="28"/>
          <w:rtl/>
        </w:rPr>
        <w:t xml:space="preserve">٧. مشهد؛ رضوی؛ شماره نسخه: ۵۲۴۲/۴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تحریری، بی کا، تا: ۲۷ ربیع الثانی ۹۷۱ق؛ کاغذ: حنایی آهار مهره، جلد: پارچه ای، ۱۸ص (۶۵-۸۲)، ۲۰ سطر (۱۲/۲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۱۶/۵ )، اندازه: ۲۴/۲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۱۶/۹ سم [ف: ۸-۳۷۲]</w:t>
      </w:r>
    </w:p>
    <w:p>
      <w:pPr>
        <w:pStyle w:val="BookText"/>
      </w:pPr>
      <w:r>
        <w:rPr>
          <w:rFonts w:ascii="IRNazanin" w:hAnsi="IRNazanin" w:eastAsia="IRNazanin" w:cs="IRNazanin"/>
          <w:lang w:bidi="fa-IR"/>
          <w:color w:val="111111"/>
          <w:sz w:val="28"/>
          <w:szCs w:val="28"/>
          <w:rtl/>
        </w:rPr>
        <w:t xml:space="preserve">۸. مشهد؛ رضوی؛ شماره نسخه: ۵۲۵۲/۳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تحریری، بی کا، تا: ۹۷۱ق؛ کاغذ: حنایی آهاری، جلد: مقوا رویه پارچه، ۲۰ سطر (۱۲/۲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۱۶/۵)، قطع: وزیری اندازه: ۲۴/۲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۱۶/۹ سم [رایانه]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مشهد؛ رضوی؛ شماره نسخه: ۵۲۴۵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مومن، تا: ۹۷۵ق، جا: قائن؛ کاغذ: نخودی، ۱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[الفبائی: ۹۴]</w:t>
      </w:r>
    </w:p>
    <w:p>
      <w:pPr>
        <w:pStyle w:val="BookText"/>
      </w:pPr>
      <w:r>
        <w:rPr>
          <w:rFonts w:ascii="IRNazanin" w:hAnsi="IRNazanin" w:eastAsia="IRNazanin" w:cs="IRNazanin"/>
          <w:lang w:bidi="fa-IR"/>
          <w:color w:val="111111"/>
          <w:sz w:val="28"/>
          <w:szCs w:val="28"/>
          <w:rtl/>
        </w:rPr>
        <w:t xml:space="preserve">۱۰. تهران؛ مجلس؛ شماره نسخه: ۱۶۰۹۴</w:t>
      </w:r>
    </w:p>
    <w:p>
      <w:pPr>
        <w:pStyle w:val="BookText"/>
      </w:pPr>
      <w:r>
        <w:rPr>
          <w:rFonts w:ascii="IRNazanin" w:hAnsi="IRNazanin" w:eastAsia="IRNazanin" w:cs="IRNazanin"/>
          <w:lang w:bidi="fa-IR"/>
          <w:color w:val="111111"/>
          <w:sz w:val="28"/>
          <w:szCs w:val="28"/>
          <w:rtl/>
        </w:rPr>
        <w:t xml:space="preserve">آغاز و طلوع مرکز آفتاب و بساعات شفق زمان ما بين غروب مراکز آفتاب .. باب چهاردهم در معرفت تاریخ خطائیان حکماء خطا شبانروز را بدوازده؛ انجام: برابر</w:t>
      </w:r>
    </w:p>
    <w:p>
      <w:pPr>
        <w:pStyle w:val="BookText"/>
      </w:pPr>
      <w:r>
        <w:rPr>
          <w:rFonts w:ascii="IRNazanin" w:hAnsi="IRNazanin" w:eastAsia="IRNazanin" w:cs="IRNazanin"/>
          <w:lang w:bidi="fa-IR"/>
          <w:color w:val="111111"/>
          <w:sz w:val="28"/>
          <w:szCs w:val="28"/>
          <w:rtl/>
        </w:rPr>
        <w:t xml:space="preserve">خط: نستعلیق، بی کا، تا قرن ۱۱؛ افتادگی: آغاز؛ تملک: موسی به علی در روز پنج شنبه ۱۰ رجب ۱۱۲۸ق با مهر «بحق النبي و الولي الطف بموسى بن على ۱۱۲۷» (مضلع)؛ جلد: گالینگور قهوه ای، ۸، ۲۰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[ف: ۴۴-۲۴۶]</w:t>
      </w:r>
    </w:p>
    <w:p>
      <w:pPr>
        <w:pStyle w:val="BookText"/>
      </w:pPr>
      <w:r>
        <w:rPr>
          <w:rFonts w:ascii="IRNazanin" w:hAnsi="IRNazanin" w:eastAsia="IRNazanin" w:cs="IRNazanin"/>
          <w:lang w:bidi="fa-IR"/>
          <w:color w:val="111111"/>
          <w:sz w:val="28"/>
          <w:szCs w:val="28"/>
          <w:rtl/>
        </w:rPr>
        <w:t xml:space="preserve">۱۱. قم؛ مرعشی؛ شماره نسخه: ۱۶/۱۲۶۸۰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اواخر قرن ۱۱؛ محشي با نشان «منه»، رکابه دار؛ کاغذ: فرنگی، ۱۴گی (۱۴۴-۱۵۷)، ۱۷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۷سم [ف: ۳۲-۲۴۲]</w:t>
      </w:r>
    </w:p>
    <w:p>
      <w:pPr>
        <w:pStyle w:val="BookText"/>
      </w:pPr>
      <w:r>
        <w:rPr>
          <w:rFonts w:ascii="IRNazanin" w:hAnsi="IRNazanin" w:eastAsia="IRNazanin" w:cs="IRNazanin"/>
          <w:lang w:bidi="fa-IR"/>
          <w:color w:val="111111"/>
          <w:sz w:val="28"/>
          <w:szCs w:val="28"/>
          <w:rtl/>
        </w:rPr>
        <w:t xml:space="preserve">۱۲. قم: مرکز احیاء؛ شماره نسخه: ۱۹۹/۳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كمال الدين بن محمد افضل یزدی، تا: یک شنبه دوم شوال قرن ۱۱؛ جلد: تیماج سبز بدون مقوا، ۱۷گ (۳۲ر - ۴۸پ)،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سم [ف: ۱-۲۹۰]</w:t>
      </w:r>
    </w:p>
    <w:p>
      <w:pPr>
        <w:pStyle w:val="BookText"/>
      </w:pPr>
      <w:r>
        <w:rPr>
          <w:rFonts w:ascii="IRNazanin" w:hAnsi="IRNazanin" w:eastAsia="IRNazanin" w:cs="IRNazanin"/>
          <w:lang w:bidi="fa-IR"/>
          <w:color w:val="111111"/>
          <w:sz w:val="28"/>
          <w:szCs w:val="28"/>
          <w:rtl/>
        </w:rPr>
        <w:t xml:space="preserve">۱۳. مشهد؛ گوهرشاد؛ شماره نسخه: ۱۰۸۳/۵</w:t>
      </w:r>
    </w:p>
    <w:p>
      <w:pPr>
        <w:pStyle w:val="BookText"/>
      </w:pPr>
      <w:r>
        <w:rPr>
          <w:rFonts w:ascii="IRNazanin" w:hAnsi="IRNazanin" w:eastAsia="IRNazanin" w:cs="IRNazanin"/>
          <w:lang w:bidi="fa-IR"/>
          <w:color w:val="111111"/>
          <w:sz w:val="28"/>
          <w:szCs w:val="28"/>
          <w:rtl/>
        </w:rPr>
        <w:t xml:space="preserve">آغاز: برابر؛ انجام: بارقام هندسی و در جدول دوم</w:t>
      </w:r>
    </w:p>
    <w:p>
      <w:pPr>
        <w:pStyle w:val="BookText"/>
      </w:pPr>
      <w:r>
        <w:rPr>
          <w:rFonts w:ascii="IRNazanin" w:hAnsi="IRNazanin" w:eastAsia="IRNazanin" w:cs="IRNazanin"/>
          <w:lang w:bidi="fa-IR"/>
          <w:color w:val="111111"/>
          <w:sz w:val="28"/>
          <w:szCs w:val="28"/>
          <w:rtl/>
        </w:rPr>
        <w:t xml:space="preserve">تا مقداری از باب چهاردهم؛ خط: نستعلیق، بی کا، تا: قرن ۱۱؛ افتادگی: انجام؛ مصحح، محشی با نشان «منه»؛ مهر: حاج سید سعید؛ جلد: تیماج لایه ای سبز، ۱۰گ (۷۹-۸۸)، ۲۳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۵/۵ )،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[ف: ۳-۱۴۹۵]</w:t>
      </w:r>
    </w:p>
    <w:p>
      <w:pPr>
        <w:pStyle w:val="BookText"/>
      </w:pPr>
      <w:r>
        <w:rPr>
          <w:rFonts w:ascii="IRNazanin" w:hAnsi="IRNazanin" w:eastAsia="IRNazanin" w:cs="IRNazanin"/>
          <w:lang w:bidi="fa-IR"/>
          <w:color w:val="111111"/>
          <w:sz w:val="28"/>
          <w:szCs w:val="28"/>
          <w:rtl/>
        </w:rPr>
        <w:t xml:space="preserve">۱۴. تهران؛ مجلس؛ شماره نسخه: ۷۹۱/۱</w:t>
      </w:r>
    </w:p>
    <w:p>
      <w:pPr>
        <w:pStyle w:val="BookText"/>
      </w:pPr>
      <w:r>
        <w:rPr>
          <w:rFonts w:ascii="IRNazanin" w:hAnsi="IRNazanin" w:eastAsia="IRNazanin" w:cs="IRNazanin"/>
          <w:lang w:bidi="fa-IR"/>
          <w:color w:val="111111"/>
          <w:sz w:val="28"/>
          <w:szCs w:val="28"/>
          <w:rtl/>
        </w:rPr>
        <w:t xml:space="preserve">خط: نستعلیق، کا: ابوالحسن بن علاءالدوله شریف رازی، تا: یک شنبه ۹ صفر ۱۰۰۶ق؛ تملك: محمد طاهر بن محمد طبیب در ۲۰ ربیع الثانی ۱۱۳۲؛ کاغذ: سفید، جلد: تیماج تریاکی ضربی و مقوایی با ترنج، ۳۸ص (۱-۳۸)، ۶۱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[سنا: ف: ۲-۶۱]</w:t>
      </w:r>
    </w:p>
    <w:p>
      <w:pPr>
        <w:pStyle w:val="BookText"/>
      </w:pPr>
      <w:r>
        <w:rPr>
          <w:rFonts w:ascii="IRNazanin" w:hAnsi="IRNazanin" w:eastAsia="IRNazanin" w:cs="IRNazanin"/>
          <w:lang w:bidi="fa-IR"/>
          <w:color w:val="111111"/>
          <w:sz w:val="28"/>
          <w:szCs w:val="28"/>
          <w:rtl/>
        </w:rPr>
        <w:t xml:space="preserve">تهران؛ مفتاح؛ شماره نسخه: ۴۰۶/۱</w:t>
      </w:r>
    </w:p>
    <w:p>
      <w:pPr>
        <w:pStyle w:val="BookText"/>
      </w:pPr>
      <w:r>
        <w:rPr>
          <w:rFonts w:ascii="IRNazanin" w:hAnsi="IRNazanin" w:eastAsia="IRNazanin" w:cs="IRNazanin"/>
          <w:lang w:bidi="fa-IR"/>
          <w:color w:val="111111"/>
          <w:sz w:val="28"/>
          <w:szCs w:val="28"/>
          <w:rtl/>
        </w:rPr>
        <w:t xml:space="preserve">همان نسخه بالا [نشریه: ۷-۲۳۸]</w:t>
      </w:r>
    </w:p>
    <w:p>
      <w:pPr>
        <w:pStyle w:val="BookText"/>
      </w:pPr>
      <w:r>
        <w:rPr>
          <w:rFonts w:ascii="IRNazanin" w:hAnsi="IRNazanin" w:eastAsia="IRNazanin" w:cs="IRNazanin"/>
          <w:lang w:bidi="fa-IR"/>
          <w:color w:val="111111"/>
          <w:sz w:val="28"/>
          <w:szCs w:val="28"/>
          <w:rtl/>
        </w:rPr>
        <w:t xml:space="preserve">۱۵. شیراز؛ علامه طباطبائی؛ شماره نسخه: ۱۲۶۰/۲</w:t>
      </w:r>
    </w:p>
    <w:p>
      <w:pPr>
        <w:pStyle w:val="BookText"/>
      </w:pPr>
      <w:r>
        <w:rPr>
          <w:rFonts w:ascii="IRNazanin" w:hAnsi="IRNazanin" w:eastAsia="IRNazanin" w:cs="IRNazanin"/>
          <w:lang w:bidi="fa-IR"/>
          <w:color w:val="111111"/>
          <w:sz w:val="28"/>
          <w:szCs w:val="28"/>
          <w:rtl/>
        </w:rPr>
        <w:t xml:space="preserve">خط: نستعلیق، كا: جلال الدین محمد بن همایون شاه طالقانی، تا: ۲۴ رمضان ۱۰۲۳ق؛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۹سم [نسخه پژوهی: ۳-۱۴۳]</w:t>
      </w:r>
    </w:p>
    <w:p>
      <w:pPr>
        <w:pStyle w:val="BookText"/>
      </w:pPr>
      <w:r>
        <w:rPr>
          <w:rFonts w:ascii="IRNazanin" w:hAnsi="IRNazanin" w:eastAsia="IRNazanin" w:cs="IRNazanin"/>
          <w:lang w:bidi="fa-IR"/>
          <w:color w:val="111111"/>
          <w:sz w:val="28"/>
          <w:szCs w:val="28"/>
          <w:rtl/>
        </w:rPr>
        <w:t xml:space="preserve">۱۶. تهران؛ سپهسالار؛ شماره نسخه: ۵۲۵/۲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شوال ۱۰۲۵ق؛ با تاریخ ۱۰۲۷ و ۱۰۲۵، دارای اشکال؛ کاغذ: اصفهانی زرد رنگ، جلد: تیماج سرخ مقوایی ضربی زرکوب، ۳۴گ (۶۶-۹۹ر)، ۱۷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سم [ف: ۳-۲۷۲]</w:t>
      </w:r>
    </w:p>
    <w:p>
      <w:pPr>
        <w:pStyle w:val="BookText"/>
      </w:pPr>
      <w:r>
        <w:rPr>
          <w:rFonts w:ascii="IRNazanin" w:hAnsi="IRNazanin" w:eastAsia="IRNazanin" w:cs="IRNazanin"/>
          <w:lang w:bidi="fa-IR"/>
          <w:color w:val="111111"/>
          <w:sz w:val="28"/>
          <w:szCs w:val="28"/>
          <w:rtl/>
        </w:rPr>
        <w:t xml:space="preserve">۱۷. قم؛ مرعشی؛ شماره نسخه: ۱۴۷۰۴/۱۲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میرزا جان بن امام قلی مروی، تا: ربيع الأول ۱۰۵۲ق؛ محشی؛ مجدول، افزودگی هایی در تقویم، معرفت سمت قبله، صور اقالیم سبعه، با اشکال هندسی و جداول حروف و حساب سیاق؛ کاغذ: شرقی، ۱۶گ (۱۴۶-۱۶۱ر)، ۲۱ سطر، اندازه: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w:t>
      </w:r>
    </w:p>
    <w:p>
      <w:pPr>
        <w:pStyle w:val="BookText"/>
      </w:pPr>
      <w:r>
        <w:rPr>
          <w:rFonts w:ascii="IRNazanin" w:hAnsi="IRNazanin" w:eastAsia="IRNazanin" w:cs="IRNazanin"/>
          <w:lang w:bidi="fa-IR"/>
          <w:color w:val="111111"/>
          <w:sz w:val="28"/>
          <w:szCs w:val="28"/>
          <w:rtl/>
        </w:rPr>
        <w:t xml:space="preserve">سم [ف: ۳۷-۲۲۷]</w:t>
      </w:r>
    </w:p>
    <w:p>
      <w:pPr>
        <w:pStyle w:val="BookText"/>
      </w:pPr>
      <w:r>
        <w:rPr>
          <w:rFonts w:ascii="IRNazanin" w:hAnsi="IRNazanin" w:eastAsia="IRNazanin" w:cs="IRNazanin"/>
          <w:lang w:bidi="fa-IR"/>
          <w:color w:val="111111"/>
          <w:sz w:val="28"/>
          <w:szCs w:val="28"/>
          <w:rtl/>
        </w:rPr>
        <w:t xml:space="preserve">۱۸. تهران؛ ملی؛ شماره نسخه: ۱۶۳۷/۲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حيدر بن على بن اسماعيل بن عبدالعالی، تا: ۱۰۵۸ق؛ کاغذ: فرنگی، جلد: تیما تریاکی مجدول کوبیده یک لای ۴۹ص (۸۲-۱۳۰)، ۱۴ سطر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اندازه: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۱۹/۵سم [ف: ۱۰-۲۱۱]</w:t>
      </w:r>
    </w:p>
    <w:p>
      <w:pPr>
        <w:pStyle w:val="BookText"/>
      </w:pPr>
      <w:r>
        <w:rPr>
          <w:rFonts w:ascii="IRNazanin" w:hAnsi="IRNazanin" w:eastAsia="IRNazanin" w:cs="IRNazanin"/>
          <w:lang w:bidi="fa-IR"/>
          <w:color w:val="111111"/>
          <w:sz w:val="28"/>
          <w:szCs w:val="28"/>
          <w:rtl/>
        </w:rPr>
        <w:t xml:space="preserve">۱۹. تهران؛ مجلس؛ شماره نسخه: ۶۸۰۹/۳</w:t>
      </w:r>
    </w:p>
    <w:p>
      <w:pPr>
        <w:pStyle w:val="BookText"/>
      </w:pPr>
      <w:r>
        <w:rPr>
          <w:rFonts w:ascii="IRNazanin" w:hAnsi="IRNazanin" w:eastAsia="IRNazanin" w:cs="IRNazanin"/>
          <w:lang w:bidi="fa-IR"/>
          <w:color w:val="111111"/>
          <w:sz w:val="28"/>
          <w:szCs w:val="28"/>
          <w:rtl/>
        </w:rPr>
        <w:t xml:space="preserve">خط: نستعلیق، بی کا، تا: ۱۰۷۷ق، جا: برهانپور، دارای اشکال هندسی، مصحح، محشی؛ جلد: تیماج قهوه ای سوخته ضربی ترنج و سرترنج و لچکیدار، ۱۷گ (۱۳۰ - ۱۴۶پ)، ۱۷ سطر،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۲۰-۲۷۴]</w:t>
      </w:r>
    </w:p>
    <w:p>
      <w:pPr>
        <w:pStyle w:val="BookText"/>
      </w:pPr>
      <w:r>
        <w:rPr>
          <w:rFonts w:ascii="IRNazanin" w:hAnsi="IRNazanin" w:eastAsia="IRNazanin" w:cs="IRNazanin"/>
          <w:lang w:bidi="fa-IR"/>
          <w:color w:val="111111"/>
          <w:sz w:val="28"/>
          <w:szCs w:val="28"/>
          <w:rtl/>
        </w:rPr>
        <w:t xml:space="preserve">۲۰. مشهد؛ شیخ علی حیدر، شماره نسخه: ۱۴۷۵</w:t>
      </w:r>
    </w:p>
    <w:p>
      <w:pPr>
        <w:pStyle w:val="BookText"/>
      </w:pPr>
      <w:r>
        <w:rPr>
          <w:rFonts w:ascii="IRNazanin" w:hAnsi="IRNazanin" w:eastAsia="IRNazanin" w:cs="IRNazanin"/>
          <w:lang w:bidi="fa-IR"/>
          <w:color w:val="111111"/>
          <w:sz w:val="28"/>
          <w:szCs w:val="28"/>
          <w:rtl/>
        </w:rPr>
        <w:t xml:space="preserve">خط: نستعلیق، بی کا، تا: ربيع الاول ۱۰۸۴ق؛ جلد: تیماج مشکی، ۱۸۲گ، ۱۶ سطر، اندازه:</w:t>
      </w:r>
    </w:p>
    <w:p>
      <w:pPr>
        <w:pStyle w:val="BookText"/>
      </w:pPr>
      <w:r>
        <w:rPr>
          <w:rFonts w:ascii="IRNazanin" w:hAnsi="IRNazanin" w:eastAsia="IRNazanin" w:cs="IRNazanin"/>
          <w:lang w:bidi="fa-IR"/>
          <w:color w:val="111111"/>
          <w:sz w:val="28"/>
          <w:szCs w:val="28"/>
          <w:rtl/>
        </w:rPr>
        <w:t xml:space="preserve">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۱۹/۵ سم (مؤید: ۳-۳۸۵)</w:t>
      </w:r>
    </w:p>
    <w:p>
      <w:pPr>
        <w:pStyle w:val="BookText"/>
      </w:pPr>
      <w:r>
        <w:rPr>
          <w:rFonts w:ascii="IRNazanin" w:hAnsi="IRNazanin" w:eastAsia="IRNazanin" w:cs="IRNazanin"/>
          <w:lang w:bidi="fa-IR"/>
          <w:color w:val="111111"/>
          <w:sz w:val="28"/>
          <w:szCs w:val="28"/>
          <w:rtl/>
        </w:rPr>
        <w:t xml:space="preserve">۲۱. تهران؛ حقوق؛ شماره نسخه: ۳۰۲/۱ -ج</w:t>
      </w:r>
    </w:p>
    <w:p>
      <w:pPr>
        <w:pStyle w:val="BookText"/>
      </w:pPr>
      <w:r>
        <w:rPr>
          <w:rFonts w:ascii="IRNazanin" w:hAnsi="IRNazanin" w:eastAsia="IRNazanin" w:cs="IRNazanin"/>
          <w:lang w:bidi="fa-IR"/>
          <w:color w:val="111111"/>
          <w:sz w:val="28"/>
          <w:szCs w:val="28"/>
          <w:rtl/>
        </w:rPr>
        <w:t xml:space="preserve">خط: نستعلیق، کا: محمد مؤمن بن محمد باقر فندرسکی، تا: چهارشنبه ۸ جمادی الثانی ۱۰۸۴ق؛ دارای اشعاری به فارسی درباره منازل ماه: «شر طین زن بمیر هم در آن سال ... هر آنچه یاد کرده در نوایح» گویا از طوسی باشد؛ کاغذ: سپاهانی، جلد: تیماج تریاکی ضربی مقوایی، ۳۵گ (۱پ-۳۵)، ابعاد متن: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۱۲/۵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سم [ف: ۲۳]</w:t>
      </w:r>
    </w:p>
    <w:p>
      <w:pPr>
        <w:pStyle w:val="BookText"/>
      </w:pPr>
      <w:r>
        <w:rPr>
          <w:rFonts w:ascii="IRNazanin" w:hAnsi="IRNazanin" w:eastAsia="IRNazanin" w:cs="IRNazanin"/>
          <w:lang w:bidi="fa-IR"/>
          <w:color w:val="111111"/>
          <w:sz w:val="28"/>
          <w:szCs w:val="28"/>
          <w:rtl/>
        </w:rPr>
        <w:t xml:space="preserve">۲۲. شیراز؛ علامه طباطبائی، شماره نسخه: ۵۴۹/۲</w:t>
      </w:r>
    </w:p>
    <w:p>
      <w:pPr>
        <w:pStyle w:val="BookText"/>
      </w:pPr>
      <w:r>
        <w:rPr>
          <w:rFonts w:ascii="Amiri" w:hAnsi="Amiri" w:eastAsia="Amiri" w:cs="Amiri"/>
          <w:lang w:bidi="ar-SA"/>
          <w:color w:val="111111"/>
          <w:sz w:val="28"/>
          <w:szCs w:val="28"/>
          <w:rtl/>
        </w:rPr>
        <w:t xml:space="preserve">خط: نسخ، كا: على رضا، تا: ۱۰۸۷ق،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(نسخه پژوهی: ۳-۱۰۶]</w:t>
      </w:r>
    </w:p>
    <w:p>
      <w:pPr>
        <w:pStyle w:val="BookText"/>
      </w:pPr>
      <w:r>
        <w:rPr>
          <w:rFonts w:ascii="IRNazanin" w:hAnsi="IRNazanin" w:eastAsia="IRNazanin" w:cs="IRNazanin"/>
          <w:lang w:bidi="fa-IR"/>
          <w:color w:val="111111"/>
          <w:sz w:val="28"/>
          <w:szCs w:val="28"/>
          <w:rtl/>
        </w:rPr>
        <w:t xml:space="preserve">۲۳. مشهد؛ الهیات؛ شماره نسخه: ۷۸۹/۵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سلخ ذیقعده ۱۰۹۱ق؛ افتادگی: انجام؛ کاغذ: نوعی ترمه، جلد: تیماج لایه ای قهوه ای، ۱۴گ، ۱۸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 قطع: ربعی،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[ف: ۱-۴۱۳]</w:t>
      </w:r>
    </w:p>
    <w:p>
      <w:pPr>
        <w:pStyle w:val="BookText"/>
      </w:pPr>
      <w:r>
        <w:rPr>
          <w:rFonts w:ascii="IRNazanin" w:hAnsi="IRNazanin" w:eastAsia="IRNazanin" w:cs="IRNazanin"/>
          <w:lang w:bidi="fa-IR"/>
          <w:color w:val="111111"/>
          <w:sz w:val="28"/>
          <w:szCs w:val="28"/>
          <w:rtl/>
        </w:rPr>
        <w:t xml:space="preserve">۲۴. تهران؛ فرهاد معتمد؛ شماره نسخه: ۵/۳</w:t>
      </w:r>
    </w:p>
    <w:p>
      <w:pPr>
        <w:pStyle w:val="BookText"/>
      </w:pPr>
      <w:r>
        <w:rPr>
          <w:rFonts w:ascii="IRNazanin" w:hAnsi="IRNazanin" w:eastAsia="IRNazanin" w:cs="IRNazanin"/>
          <w:lang w:bidi="fa-IR"/>
          <w:color w:val="111111"/>
          <w:sz w:val="28"/>
          <w:szCs w:val="28"/>
          <w:rtl/>
        </w:rPr>
        <w:t xml:space="preserve">در فهرست گویا از طوسی؟؛ خط: نستعلیق، بی کا، تا: قرن ۱۲؛ کاغذ: سپاهانی، جلد: شميز، ۱۷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[نشریه: ۳-۲۱۶]</w:t>
      </w:r>
    </w:p>
    <w:p>
      <w:pPr>
        <w:pStyle w:val="BookText"/>
      </w:pPr>
      <w:r>
        <w:rPr>
          <w:rFonts w:ascii="IRNazanin" w:hAnsi="IRNazanin" w:eastAsia="IRNazanin" w:cs="IRNazanin"/>
          <w:lang w:bidi="fa-IR"/>
          <w:color w:val="111111"/>
          <w:sz w:val="28"/>
          <w:szCs w:val="28"/>
          <w:rtl/>
        </w:rPr>
        <w:t xml:space="preserve">۲۵. قم؛ مسجد اعظم، شماره نسخه: ۲۸۳۶/۲</w:t>
      </w:r>
    </w:p>
    <w:p>
      <w:pPr>
        <w:pStyle w:val="BookText"/>
      </w:pPr>
      <w:r>
        <w:rPr>
          <w:rFonts w:ascii="IRNazanin" w:hAnsi="IRNazanin" w:eastAsia="IRNazanin" w:cs="IRNazanin"/>
          <w:lang w:bidi="fa-IR"/>
          <w:color w:val="111111"/>
          <w:sz w:val="28"/>
          <w:szCs w:val="28"/>
          <w:rtl/>
        </w:rPr>
        <w:t xml:space="preserve">آغاز: برابر، انجام: پس اگر ظهور یا خفا مشرقی باشد بر بالای آن ق نویسند و اگر مغربی باشد و در بعضی تقاويم ظهور و خفا بعضی ثوابت مشهوره را نویسند و به جای ظهور و خفا طلوع و سقوط نویسند اما رویت هلال تا اواسط دهم را در بردارد؛ خط: نستعلیق، بی کا، تا: قرن ۱۲؛ افتادگی:انجام؛ ۱۲گ، ۱۳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مخ: ۱-۲۹۳]</w:t>
      </w:r>
    </w:p>
    <w:p>
      <w:pPr>
        <w:pStyle w:val="BookText"/>
      </w:pPr>
      <w:r>
        <w:rPr>
          <w:rFonts w:ascii="IRNazanin" w:hAnsi="IRNazanin" w:eastAsia="IRNazanin" w:cs="IRNazanin"/>
          <w:lang w:bidi="fa-IR"/>
          <w:color w:val="111111"/>
          <w:sz w:val="28"/>
          <w:szCs w:val="28"/>
          <w:rtl/>
        </w:rPr>
        <w:t xml:space="preserve">۲۶. مشهد؛ رضوی؛ شماره نسخه: ۵۴۳۵</w:t>
      </w:r>
    </w:p>
    <w:p>
      <w:pPr>
        <w:pStyle w:val="BookText"/>
      </w:pPr>
      <w:r>
        <w:rPr>
          <w:rFonts w:ascii="IRNazanin" w:hAnsi="IRNazanin" w:eastAsia="IRNazanin" w:cs="IRNazanin"/>
          <w:lang w:bidi="fa-IR"/>
          <w:color w:val="111111"/>
          <w:sz w:val="28"/>
          <w:szCs w:val="28"/>
          <w:rtl/>
        </w:rPr>
        <w:t xml:space="preserve">آغاز و انجام:برابر</w:t>
      </w:r>
    </w:p>
    <w:p>
      <w:pPr>
        <w:pStyle w:val="BookText"/>
      </w:pPr>
      <w:r>
        <w:rPr>
          <w:rFonts w:ascii="IRNazanin" w:hAnsi="IRNazanin" w:eastAsia="IRNazanin" w:cs="IRNazanin"/>
          <w:lang w:bidi="fa-IR"/>
          <w:color w:val="111111"/>
          <w:sz w:val="28"/>
          <w:szCs w:val="28"/>
          <w:rtl/>
        </w:rPr>
        <w:t xml:space="preserve">خط شکسته نستعلیق، کا: محمود طهرانی، تا: قرن ۱۲؛ محشی؛ واقف: نایینی؛ کاغذ: سرکه ای آهار مهره، جلد: پارچه ای، ۱۰گ، ۱۹ سطر (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۸-۵۱]</w:t>
      </w:r>
    </w:p>
    <w:p>
      <w:pPr>
        <w:pStyle w:val="BookText"/>
      </w:pPr>
      <w:r>
        <w:rPr>
          <w:rFonts w:ascii="IRNazanin" w:hAnsi="IRNazanin" w:eastAsia="IRNazanin" w:cs="IRNazanin"/>
          <w:lang w:bidi="fa-IR"/>
          <w:color w:val="111111"/>
          <w:sz w:val="28"/>
          <w:szCs w:val="28"/>
          <w:rtl/>
        </w:rPr>
        <w:t xml:space="preserve">۲۷. تهران: مجلس؛ شماره نسخه: ۶۹۴۲/۱</w:t>
      </w:r>
    </w:p>
    <w:p>
      <w:pPr>
        <w:pStyle w:val="BookText"/>
      </w:pPr>
      <w:r>
        <w:rPr>
          <w:rFonts w:ascii="IRNazanin" w:hAnsi="IRNazanin" w:eastAsia="IRNazanin" w:cs="IRNazanin"/>
          <w:lang w:bidi="fa-IR"/>
          <w:color w:val="111111"/>
          <w:sz w:val="28"/>
          <w:szCs w:val="28"/>
          <w:rtl/>
        </w:rPr>
        <w:t xml:space="preserve">خط: نستعلیق، کا: مرتضی قلی، تا: ۱۱۵۷ق؛ مجدول؛ اشکال هندسی، محشی؛ جلد: مقوایی، عطف تیماج قهوه ای، ۲۵گ (۱پ -۲۵ر)، اندازه: ۲۴/۵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[ف: ۲۰-۳۵۶]</w:t>
      </w:r>
    </w:p>
    <w:p>
      <w:pPr>
        <w:pStyle w:val="BookText"/>
      </w:pPr>
      <w:r>
        <w:rPr>
          <w:rFonts w:ascii="IRNazanin" w:hAnsi="IRNazanin" w:eastAsia="IRNazanin" w:cs="IRNazanin"/>
          <w:lang w:bidi="fa-IR"/>
          <w:color w:val="111111"/>
          <w:sz w:val="28"/>
          <w:szCs w:val="28"/>
          <w:rtl/>
        </w:rPr>
        <w:t xml:space="preserve">۲۸. قم؛ مسجد اعظم؛ شماره نسخه: ۱۹۵۰/۱</w:t>
      </w:r>
    </w:p>
    <w:p>
      <w:pPr>
        <w:pStyle w:val="BookText"/>
      </w:pPr>
      <w:r>
        <w:rPr>
          <w:rFonts w:ascii="IRNazanin" w:hAnsi="IRNazanin" w:eastAsia="IRNazanin" w:cs="IRNazanin"/>
          <w:lang w:bidi="fa-IR"/>
          <w:color w:val="111111"/>
          <w:sz w:val="28"/>
          <w:szCs w:val="28"/>
          <w:rtl/>
        </w:rPr>
        <w:t xml:space="preserve">آغاز: برابر؛ انجام: باید که قمر در برج ارض باشد متصل به کو کبه که در شرف باشد یا در برج هواء و زحل باید که توی حال باشد این قدر در معرفت اختیارات اینجا کافی است. خط: نستعلیق، بی کا، تا: شنبه شوال ۱۱۹۹ق؛ جلد: تیماج مشکی بدون مقوا، ۱۶، ۱۷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مخ: ۱-۲۹۳]</w:t>
      </w:r>
    </w:p>
    <w:p>
      <w:pPr>
        <w:pStyle w:val="BookText"/>
      </w:pPr>
      <w:r>
        <w:rPr>
          <w:rFonts w:ascii="Amiri" w:hAnsi="Amiri" w:eastAsia="Amiri" w:cs="Amiri"/>
          <w:lang w:bidi="ar-SA"/>
          <w:color w:val="111111"/>
          <w:sz w:val="28"/>
          <w:szCs w:val="28"/>
          <w:rtl/>
        </w:rPr>
        <w:t xml:space="preserve">۲۹. تهران: دائرة المعارف؛ شماره نسخه: ۱۶۲/۶</w:t>
      </w:r>
    </w:p>
    <w:p>
      <w:pPr>
        <w:pStyle w:val="BookText"/>
      </w:pPr>
      <w:r>
        <w:rPr>
          <w:rFonts w:ascii="IRNazanin" w:hAnsi="IRNazanin" w:eastAsia="IRNazanin" w:cs="IRNazanin"/>
          <w:lang w:bidi="fa-IR"/>
          <w:color w:val="111111"/>
          <w:sz w:val="28"/>
          <w:szCs w:val="28"/>
          <w:rtl/>
        </w:rPr>
        <w:t xml:space="preserve">آغاز: بسمله. اما بعد، این مختصری است در معرفت تقویم نام مشتمل بر بیست باب. باب اول در معرفت حساب جمل اهل حساب نجوم؛ انجام: در معرفت اختیارات اینجا کافی است و زیاده بر این موجب تطويل. تم بالخير.</w:t>
      </w:r>
    </w:p>
    <w:p>
      <w:pPr>
        <w:pStyle w:val="BookText"/>
      </w:pPr>
      <w:r>
        <w:rPr>
          <w:rFonts w:ascii="IRNazanin" w:hAnsi="IRNazanin" w:eastAsia="IRNazanin" w:cs="IRNazanin"/>
          <w:lang w:bidi="fa-IR"/>
          <w:color w:val="111111"/>
          <w:sz w:val="28"/>
          <w:szCs w:val="28"/>
          <w:rtl/>
        </w:rPr>
        <w:t xml:space="preserve">خط: نستعلیق تحریری مخلوط به شکسته، بی کا، تا: قرن ۱۳؛ ۱۷گ (۳۶۹پ ۳۸۵پ) [ف: ۱-۳۸]</w:t>
      </w:r>
    </w:p>
    <w:p>
      <w:pPr>
        <w:pStyle w:val="BookText"/>
      </w:pPr>
      <w:r>
        <w:rPr>
          <w:rFonts w:ascii="IRNazanin" w:hAnsi="IRNazanin" w:eastAsia="IRNazanin" w:cs="IRNazanin"/>
          <w:lang w:bidi="fa-IR"/>
          <w:color w:val="111111"/>
          <w:sz w:val="28"/>
          <w:szCs w:val="28"/>
          <w:rtl/>
        </w:rPr>
        <w:t xml:space="preserve">۳۰. تهران: دانشگاه؛ شماره نسخه: ۲۳۰۷/۱</w:t>
      </w:r>
    </w:p>
    <w:p>
      <w:pPr>
        <w:pStyle w:val="BookText"/>
      </w:pPr>
      <w:r>
        <w:rPr>
          <w:rFonts w:ascii="IRNazanin" w:hAnsi="IRNazanin" w:eastAsia="IRNazanin" w:cs="IRNazanin"/>
          <w:lang w:bidi="fa-IR"/>
          <w:color w:val="111111"/>
          <w:sz w:val="28"/>
          <w:szCs w:val="28"/>
          <w:rtl/>
        </w:rPr>
        <w:t xml:space="preserve">خط: نستعلیق، بی کا، تا: قرن ۱۳؛ کاغذ: فرنگی، جلد: تیماج سرخ مقوایی، ۲۰گ (۲پ -۲۱ر)، ۱۹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۹-۹۴۲]</w:t>
      </w:r>
    </w:p>
    <w:p>
      <w:pPr>
        <w:pStyle w:val="BookText"/>
      </w:pPr>
      <w:r>
        <w:rPr>
          <w:rFonts w:ascii="IRNazanin" w:hAnsi="IRNazanin" w:eastAsia="IRNazanin" w:cs="IRNazanin"/>
          <w:lang w:bidi="fa-IR"/>
          <w:color w:val="111111"/>
          <w:sz w:val="28"/>
          <w:szCs w:val="28"/>
          <w:rtl/>
        </w:rPr>
        <w:t xml:space="preserve">۳۱. قائن؛ امام، سید حسن؛ شماره نسخه: ۲۱</w:t>
      </w:r>
    </w:p>
    <w:p>
      <w:pPr>
        <w:pStyle w:val="BookText"/>
      </w:pPr>
      <w:r>
        <w:rPr>
          <w:rFonts w:ascii="IRNazanin" w:hAnsi="IRNazanin" w:eastAsia="IRNazanin" w:cs="IRNazanin"/>
          <w:lang w:bidi="fa-IR"/>
          <w:color w:val="111111"/>
          <w:sz w:val="28"/>
          <w:szCs w:val="28"/>
          <w:rtl/>
        </w:rPr>
        <w:t xml:space="preserve">آغاز و در عقرب بیست و نه روز و ده ساعت و در قوس بیست و نه روز و دوازده ساعت تقريبا و در جدی بیست و نه روز و دوازده ساعت؛ انجام: یا در عاشر یا شرق خود بود و باید که زحل صالح الحال باشد و حذر باید کرد از اتصال زحل به کوکبی خط: نستعلیق، بی کا، تا: قرن ۱۳؛ افتادگی: آغاز و انجام؛ دارای اشکال هندسی، مجدول، مصحح، با تاریخ تولدهایی به سال ۱۲۰۶، ۱۲۱۲، ۱۲۱۴ آمده؛ جلد: تیماج قرمز، رو افتاده، ۱۲۵گ، ۱۴ سطر،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 [کتابخانه های قائن: ف: ۱۹۶]</w:t>
      </w:r>
    </w:p>
    <w:p>
      <w:pPr>
        <w:pStyle w:val="BookText"/>
      </w:pPr>
      <w:r>
        <w:rPr>
          <w:rFonts w:ascii="IRNazanin" w:hAnsi="IRNazanin" w:eastAsia="IRNazanin" w:cs="IRNazanin"/>
          <w:lang w:bidi="fa-IR"/>
          <w:color w:val="111111"/>
          <w:sz w:val="28"/>
          <w:szCs w:val="28"/>
          <w:rtl/>
        </w:rPr>
        <w:t xml:space="preserve">۳۲. قم؛ گلپایگانی شماره نسخه: ۲۴۹۲/۲ - ۱۳/۱۷۲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۱۳، جلد: تیماج مشکی عطف گالینگور قهوه ای، ۶۸، ۷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[ف: ۲-۶۵۷]</w:t>
      </w:r>
    </w:p>
    <w:p>
      <w:pPr>
        <w:pStyle w:val="BookText"/>
      </w:pPr>
      <w:r>
        <w:rPr>
          <w:rFonts w:ascii="IRNazanin" w:hAnsi="IRNazanin" w:eastAsia="IRNazanin" w:cs="IRNazanin"/>
          <w:lang w:bidi="fa-IR"/>
          <w:color w:val="111111"/>
          <w:sz w:val="28"/>
          <w:szCs w:val="28"/>
          <w:rtl/>
        </w:rPr>
        <w:t xml:space="preserve">۳۳. تهران؛ مجلس؛ شماره نسخه: ۱۸۴۲۲ ض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کا، تا: قرن ۱۳ [د.ث. مجلس]</w:t>
      </w:r>
    </w:p>
    <w:p>
      <w:pPr>
        <w:pStyle w:val="BookText"/>
      </w:pPr>
      <w:r>
        <w:rPr>
          <w:rFonts w:ascii="IRNazanin" w:hAnsi="IRNazanin" w:eastAsia="IRNazanin" w:cs="IRNazanin"/>
          <w:lang w:bidi="fa-IR"/>
          <w:color w:val="111111"/>
          <w:sz w:val="28"/>
          <w:szCs w:val="28"/>
          <w:rtl/>
        </w:rPr>
        <w:t xml:space="preserve">۳۴. تهران: ملی؛ شماره نسخه: ۱۶۰۲/۴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تا: ۱۲۱۹ق؛ کاغذ: فرنگی (الوان)، جلد: تیماج مشکی یک لا حاشیه منگنه ضربی مجدول ضربی، ۳۳ص (۱۴۲-۱۷۴)، ۲۰ سطر کامل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 اندازه: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۲۰/۵</w:t>
      </w:r>
    </w:p>
    <w:p>
      <w:pPr>
        <w:pStyle w:val="BookText"/>
      </w:pPr>
      <w:r>
        <w:rPr>
          <w:rFonts w:ascii="IRNazanin" w:hAnsi="IRNazanin" w:eastAsia="IRNazanin" w:cs="IRNazanin"/>
          <w:lang w:bidi="fa-IR"/>
          <w:color w:val="111111"/>
          <w:sz w:val="28"/>
          <w:szCs w:val="28"/>
          <w:rtl/>
        </w:rPr>
        <w:t xml:space="preserve">سم [ف: ۱۰-۱۳۴]</w:t>
      </w:r>
    </w:p>
    <w:p>
      <w:pPr>
        <w:pStyle w:val="BookText"/>
      </w:pPr>
      <w:r>
        <w:rPr>
          <w:rFonts w:ascii="IRNazanin" w:hAnsi="IRNazanin" w:eastAsia="IRNazanin" w:cs="IRNazanin"/>
          <w:lang w:bidi="fa-IR"/>
          <w:color w:val="111111"/>
          <w:sz w:val="28"/>
          <w:szCs w:val="28"/>
          <w:rtl/>
        </w:rPr>
        <w:t xml:space="preserve">۳۵. شیراز؛ ملی؛ شماره نسخه: ف ۳۹۶/۲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عباس ابن محمد ازغدی، تا: ۱۲۲۰ق؛ ۳۶گ، ۱۱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w:t>
      </w:r>
    </w:p>
    <w:p>
      <w:pPr>
        <w:pStyle w:val="BookText"/>
      </w:pPr>
      <w:r>
        <w:rPr>
          <w:rFonts w:ascii="IRNazanin" w:hAnsi="IRNazanin" w:eastAsia="IRNazanin" w:cs="IRNazanin"/>
          <w:lang w:bidi="fa-IR"/>
          <w:color w:val="111111"/>
          <w:sz w:val="28"/>
          <w:szCs w:val="28"/>
          <w:rtl/>
        </w:rPr>
        <w:t xml:space="preserve">سم [ف: ۱-۳۷۲]</w:t>
      </w:r>
    </w:p>
    <w:p>
      <w:pPr>
        <w:pStyle w:val="BookText"/>
      </w:pPr>
      <w:r>
        <w:rPr>
          <w:rFonts w:ascii="IRNazanin" w:hAnsi="IRNazanin" w:eastAsia="IRNazanin" w:cs="IRNazanin"/>
          <w:lang w:bidi="fa-IR"/>
          <w:color w:val="111111"/>
          <w:sz w:val="28"/>
          <w:szCs w:val="28"/>
          <w:rtl/>
        </w:rPr>
        <w:t xml:space="preserve">۳۶. یزد؛ وزیری؛ شماره نسخه: ۲۱۷۷/۳</w:t>
      </w:r>
    </w:p>
    <w:p>
      <w:pPr>
        <w:pStyle w:val="BookText"/>
      </w:pPr>
      <w:r>
        <w:rPr>
          <w:rFonts w:ascii="IRNazanin" w:hAnsi="IRNazanin" w:eastAsia="IRNazanin" w:cs="IRNazanin"/>
          <w:lang w:bidi="fa-IR"/>
          <w:color w:val="111111"/>
          <w:sz w:val="28"/>
          <w:szCs w:val="28"/>
          <w:rtl/>
        </w:rPr>
        <w:t xml:space="preserve">انجام و در بعض ظهور و خفا بعض ثوابت مشهوره را بنویسند و بجای</w:t>
      </w:r>
    </w:p>
    <w:p>
      <w:pPr>
        <w:pStyle w:val="BookText"/>
      </w:pPr>
      <w:r>
        <w:rPr>
          <w:rFonts w:ascii="IRNazanin" w:hAnsi="IRNazanin" w:eastAsia="IRNazanin" w:cs="IRNazanin"/>
          <w:lang w:bidi="fa-IR"/>
          <w:color w:val="111111"/>
          <w:sz w:val="28"/>
          <w:szCs w:val="28"/>
          <w:rtl/>
        </w:rPr>
        <w:t xml:space="preserve">خط: نسخ، كا: محمد صادق بن محمد تقی بن ملا سلطان محمد، تا: ذیحجه ۱۲۳۱ق؛ اهدایی: وزیری؛ کاغذ: مختلف، جلد: مقوایی روکش کاغذ سبز عطف پارچه سبز، ۹گ (۶۴-۷۲)،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۴-۱۱۹۲]</w:t>
      </w:r>
    </w:p>
    <w:p>
      <w:pPr>
        <w:pStyle w:val="BookText"/>
      </w:pPr>
      <w:r>
        <w:rPr>
          <w:rFonts w:ascii="IRNazanin" w:hAnsi="IRNazanin" w:eastAsia="IRNazanin" w:cs="IRNazanin"/>
          <w:lang w:bidi="fa-IR"/>
          <w:color w:val="111111"/>
          <w:sz w:val="28"/>
          <w:szCs w:val="28"/>
          <w:rtl/>
        </w:rPr>
        <w:t xml:space="preserve">۳۷. رشت؛ جمعیت نشر فرهنگ؛ شماره نسخه: ۲۸۷/۱</w:t>
      </w:r>
    </w:p>
    <w:p>
      <w:pPr>
        <w:pStyle w:val="BookText"/>
      </w:pPr>
      <w:r>
        <w:rPr>
          <w:rFonts w:ascii="IRNazanin" w:hAnsi="IRNazanin" w:eastAsia="IRNazanin" w:cs="IRNazanin"/>
          <w:lang w:bidi="fa-IR"/>
          <w:color w:val="111111"/>
          <w:sz w:val="28"/>
          <w:szCs w:val="28"/>
          <w:rtl/>
        </w:rPr>
        <w:t xml:space="preserve">ب خط: نستعلیق، بی کا، تا: ۱۲۳۴ق؛ دارای اشکال؛ جلد: چرمی سوخته، ۱۱ سطر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[رشت و همدان: ف: ۱۲۱۵]</w:t>
      </w:r>
    </w:p>
    <w:p>
      <w:pPr>
        <w:pStyle w:val="BookText"/>
      </w:pPr>
      <w:r>
        <w:rPr>
          <w:rFonts w:ascii="IRNazanin" w:hAnsi="IRNazanin" w:eastAsia="IRNazanin" w:cs="IRNazanin"/>
          <w:lang w:bidi="fa-IR"/>
          <w:color w:val="111111"/>
          <w:sz w:val="28"/>
          <w:szCs w:val="28"/>
          <w:rtl/>
        </w:rPr>
        <w:t xml:space="preserve">۳۸. قم؛ مرعشی؛ شماره نسخه: ۶۴۳/۳</w:t>
      </w:r>
    </w:p>
    <w:p>
      <w:pPr>
        <w:pStyle w:val="BookText"/>
      </w:pPr>
      <w:r>
        <w:rPr>
          <w:rFonts w:ascii="IRNazanin" w:hAnsi="IRNazanin" w:eastAsia="IRNazanin" w:cs="IRNazanin"/>
          <w:lang w:bidi="fa-IR"/>
          <w:color w:val="111111"/>
          <w:sz w:val="28"/>
          <w:szCs w:val="28"/>
          <w:rtl/>
        </w:rPr>
        <w:t xml:space="preserve">آغاز: برابر؛ انجام: باید که قمر در برج ارضی باشد متصل بکو کبی که در شرف باشد یا در برج هوائی و زحل باید که قوی حال باشد</w:t>
      </w:r>
    </w:p>
    <w:p>
      <w:pPr>
        <w:pStyle w:val="BookText"/>
      </w:pPr>
      <w:r>
        <w:rPr>
          <w:rFonts w:ascii="IRNazanin" w:hAnsi="IRNazanin" w:eastAsia="IRNazanin" w:cs="IRNazanin"/>
          <w:lang w:bidi="fa-IR"/>
          <w:color w:val="111111"/>
          <w:sz w:val="28"/>
          <w:szCs w:val="28"/>
          <w:rtl/>
        </w:rPr>
        <w:t xml:space="preserve">خط: نستعلیق نازیبا، كا: تقی، تا: سه شنبه ۲۶ جمادی الاول ۱۲۳۷ق؛ کاغذ: برنگ آبی، جلد: تیماج قهوه ای بدون مقوا، ۳۷گ (۴۷ر -۸۳ر)،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۲-۲۴۲]</w:t>
      </w:r>
    </w:p>
    <w:p>
      <w:pPr>
        <w:pStyle w:val="BookText"/>
      </w:pPr>
      <w:r>
        <w:rPr>
          <w:rFonts w:ascii="IRNazanin" w:hAnsi="IRNazanin" w:eastAsia="IRNazanin" w:cs="IRNazanin"/>
          <w:lang w:bidi="fa-IR"/>
          <w:color w:val="111111"/>
          <w:sz w:val="28"/>
          <w:szCs w:val="28"/>
          <w:rtl/>
        </w:rPr>
        <w:t xml:space="preserve">۳۹. تهران؛ دانشگاه؛ شماره نسخه: ۴۷۶۸</w:t>
      </w:r>
    </w:p>
    <w:p>
      <w:pPr>
        <w:pStyle w:val="BookText"/>
      </w:pPr>
      <w:r>
        <w:rPr>
          <w:rFonts w:ascii="IRNazanin" w:hAnsi="IRNazanin" w:eastAsia="IRNazanin" w:cs="IRNazanin"/>
          <w:lang w:bidi="fa-IR"/>
          <w:color w:val="111111"/>
          <w:sz w:val="28"/>
          <w:szCs w:val="28"/>
          <w:rtl/>
        </w:rPr>
        <w:t xml:space="preserve">خط: نستعلیق، کا: کریم بن محمد، تا: ۱۵ ربیع الثانی ۱۲۴۰ق؛ مجدول؛ کاغذ: فرنگی، جلد: تیماج حنایی ضربی ترنجی، ۳۸گ، ۱۲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۱۴-۳۸۱۶]</w:t>
      </w:r>
    </w:p>
    <w:p>
      <w:pPr>
        <w:pStyle w:val="BookText"/>
      </w:pPr>
      <w:r>
        <w:rPr>
          <w:rFonts w:ascii="IRNazanin" w:hAnsi="IRNazanin" w:eastAsia="IRNazanin" w:cs="IRNazanin"/>
          <w:lang w:bidi="fa-IR"/>
          <w:color w:val="111111"/>
          <w:sz w:val="28"/>
          <w:szCs w:val="28"/>
          <w:rtl/>
        </w:rPr>
        <w:t xml:space="preserve">۴۰. قم؛ مرعشی؛ شماره نسخه: ۷۳۷/۵</w:t>
      </w:r>
    </w:p>
    <w:p>
      <w:pPr>
        <w:pStyle w:val="BookText"/>
      </w:pPr>
      <w:r>
        <w:rPr>
          <w:rFonts w:ascii="IRNazanin" w:hAnsi="IRNazanin" w:eastAsia="IRNazanin" w:cs="IRNazanin"/>
          <w:lang w:bidi="fa-IR"/>
          <w:color w:val="111111"/>
          <w:sz w:val="28"/>
          <w:szCs w:val="28"/>
          <w:rtl/>
        </w:rPr>
        <w:t xml:space="preserve">خط: نسخ، كا: محمد بن حسین خراسانی قرمیسینی، تا: ۲۹ صفر ۱۲۴۱ق؛ جلد: تیماج سبز، ۲۰گ (۱۲۳پ -۱۴۲پ)،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۲-۳۳۳]</w:t>
      </w:r>
    </w:p>
    <w:p>
      <w:pPr>
        <w:pStyle w:val="BookText"/>
      </w:pPr>
      <w:r>
        <w:rPr>
          <w:rFonts w:ascii="IRNazanin" w:hAnsi="IRNazanin" w:eastAsia="IRNazanin" w:cs="IRNazanin"/>
          <w:lang w:bidi="fa-IR"/>
          <w:color w:val="111111"/>
          <w:sz w:val="28"/>
          <w:szCs w:val="28"/>
          <w:rtl/>
        </w:rPr>
        <w:t xml:space="preserve">۴۱. قم؛ مرعشی؛ شماره نسخه: ۶۸۳۹/۱ خط: نستعلیق، كا: ابوالقامس تويسرگانی، تا: شنبه ۲۴ ذیقعده ۱۲۵۴ق؛ جلد: تیماج قهوه ای بدون مقوا، ۱۸گ (اپ-۱۸ ر) [ف: ۳۲-۱۸ ]</w:t>
      </w:r>
    </w:p>
    <w:p>
      <w:pPr>
        <w:pStyle w:val="BookText"/>
      </w:pPr>
      <w:r>
        <w:rPr>
          <w:rFonts w:ascii="IRNazanin" w:hAnsi="IRNazanin" w:eastAsia="IRNazanin" w:cs="IRNazanin"/>
          <w:lang w:bidi="fa-IR"/>
          <w:color w:val="111111"/>
          <w:sz w:val="28"/>
          <w:szCs w:val="28"/>
          <w:rtl/>
        </w:rPr>
        <w:t xml:space="preserve">۴۲. مشهد، شیخ علی حیدر، شماره نسخه: ۶۱۹/۲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مهدی بن ملامحمد علی ارومجی، تا: ۱۳ محرم ۱۲۵۹ق؛ محشی؛ جلد: چرم زرد، ۲۹گ (۳۳-۶۱پ)، ۱۱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(مؤید: ۲-۱۲۹]</w:t>
      </w:r>
    </w:p>
    <w:p>
      <w:pPr>
        <w:pStyle w:val="BookText"/>
      </w:pPr>
      <w:r>
        <w:rPr>
          <w:rFonts w:ascii="IRNazanin" w:hAnsi="IRNazanin" w:eastAsia="IRNazanin" w:cs="IRNazanin"/>
          <w:lang w:bidi="fa-IR"/>
          <w:color w:val="111111"/>
          <w:sz w:val="28"/>
          <w:szCs w:val="28"/>
          <w:rtl/>
        </w:rPr>
        <w:t xml:space="preserve">۴۳. یزد؛ وزیری؛ شماره نسخه: ۱۰۴۴/۱</w:t>
      </w:r>
    </w:p>
    <w:p>
      <w:pPr>
        <w:pStyle w:val="BookText"/>
      </w:pPr>
      <w:r>
        <w:rPr>
          <w:rFonts w:ascii="IRNazanin" w:hAnsi="IRNazanin" w:eastAsia="IRNazanin" w:cs="IRNazanin"/>
          <w:lang w:bidi="fa-IR"/>
          <w:color w:val="111111"/>
          <w:sz w:val="28"/>
          <w:szCs w:val="28"/>
          <w:rtl/>
        </w:rPr>
        <w:t xml:space="preserve">آغاز: ایاز، حریران، تموز، آب، ايلول، ؛ انجام: و اگر صلاح حال قمر نشود</w:t>
      </w:r>
    </w:p>
    <w:p>
      <w:pPr>
        <w:pStyle w:val="BookText"/>
      </w:pPr>
      <w:r>
        <w:rPr>
          <w:rFonts w:ascii="IRNazanin" w:hAnsi="IRNazanin" w:eastAsia="IRNazanin" w:cs="IRNazanin"/>
          <w:lang w:bidi="fa-IR"/>
          <w:color w:val="111111"/>
          <w:sz w:val="28"/>
          <w:szCs w:val="28"/>
          <w:rtl/>
        </w:rPr>
        <w:t xml:space="preserve">خط: نستعلیق، كا: احمد، تا: ۱۲۶۵ق؛ افتادگی: آغاز و انجام؛ محشی؛ جلد: مقوایی عطف چرم قرمز، ۲۹گ (۱-۲۹)، ۱۷ سطر (۴/۵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۳-۸۳۲]</w:t>
      </w:r>
    </w:p>
    <w:p>
      <w:pPr>
        <w:pStyle w:val="BookText"/>
      </w:pPr>
      <w:r>
        <w:rPr>
          <w:rFonts w:ascii="IRNazanin" w:hAnsi="IRNazanin" w:eastAsia="IRNazanin" w:cs="IRNazanin"/>
          <w:lang w:bidi="fa-IR"/>
          <w:color w:val="111111"/>
          <w:sz w:val="28"/>
          <w:szCs w:val="28"/>
          <w:rtl/>
        </w:rPr>
        <w:t xml:space="preserve">۴۴. قم؛ مرعشی؛ شماره نسخه: ۷۸۴۱/۲</w:t>
      </w:r>
    </w:p>
    <w:p>
      <w:pPr>
        <w:pStyle w:val="BookText"/>
      </w:pPr>
      <w:r>
        <w:rPr>
          <w:rFonts w:ascii="IRNazanin" w:hAnsi="IRNazanin" w:eastAsia="IRNazanin" w:cs="IRNazanin"/>
          <w:lang w:bidi="fa-IR"/>
          <w:color w:val="111111"/>
          <w:sz w:val="28"/>
          <w:szCs w:val="28"/>
          <w:rtl/>
        </w:rPr>
        <w:t xml:space="preserve">خط: نستعلیق، کا: محمد یوسف، تا: جمادی الاول ۱۲۶۹ق؛ جلد: تیماج قهوه ای، ۱۵گ (۵۳پ -۶۷ر)،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۱۸۸-۲۰]</w:t>
      </w:r>
    </w:p>
    <w:p>
      <w:pPr>
        <w:pStyle w:val="BookText"/>
      </w:pPr>
      <w:r>
        <w:rPr>
          <w:rFonts w:ascii="IRNazanin" w:hAnsi="IRNazanin" w:eastAsia="IRNazanin" w:cs="IRNazanin"/>
          <w:lang w:bidi="fa-IR"/>
          <w:color w:val="111111"/>
          <w:sz w:val="28"/>
          <w:szCs w:val="28"/>
          <w:rtl/>
        </w:rPr>
        <w:t xml:space="preserve">۴۵. اصفهان؛ مدرسه صدر بازار؛ شماره نسخه: ۲۶</w:t>
      </w:r>
    </w:p>
    <w:p>
      <w:pPr>
        <w:pStyle w:val="BookText"/>
      </w:pPr>
      <w:r>
        <w:rPr>
          <w:rFonts w:ascii="IRNazanin" w:hAnsi="IRNazanin" w:eastAsia="IRNazanin" w:cs="IRNazanin"/>
          <w:lang w:bidi="fa-IR"/>
          <w:color w:val="111111"/>
          <w:sz w:val="28"/>
          <w:szCs w:val="28"/>
          <w:rtl/>
        </w:rPr>
        <w:t xml:space="preserve">آغاز: هوز حطي كلمن ... وضع کرده اند و طريق وضع آن چنان است که از الف تا ط را به ترتیب ارقام آحاد گیرند؛ انجام: بعلامت روز یا شب پس علامات ساعات و دقایق گذشته از اول روز یا اول شب.</w:t>
      </w:r>
    </w:p>
    <w:p>
      <w:pPr>
        <w:pStyle w:val="BookText"/>
      </w:pPr>
      <w:r>
        <w:rPr>
          <w:rFonts w:ascii="IRNazanin" w:hAnsi="IRNazanin" w:eastAsia="IRNazanin" w:cs="IRNazanin"/>
          <w:lang w:bidi="fa-IR"/>
          <w:color w:val="111111"/>
          <w:sz w:val="28"/>
          <w:szCs w:val="28"/>
          <w:rtl/>
        </w:rPr>
        <w:t xml:space="preserve">خط: نسخ، كا: سید حسن بن محمد نجف آبادی اصفهانی، تا: غره جمادی الثانی ۱۲۸۵ق، جان نجف آباد (در دکان)؛ افتادگی: آغاز؛ فاقد جلد، ۸۴گ، ۸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سم [ف: ۱-۳۳]</w:t>
      </w:r>
    </w:p>
    <w:p>
      <w:pPr>
        <w:pStyle w:val="BookText"/>
      </w:pPr>
      <w:r>
        <w:rPr>
          <w:rFonts w:ascii="IRNazanin" w:hAnsi="IRNazanin" w:eastAsia="IRNazanin" w:cs="IRNazanin"/>
          <w:lang w:bidi="fa-IR"/>
          <w:color w:val="111111"/>
          <w:sz w:val="28"/>
          <w:szCs w:val="28"/>
          <w:rtl/>
        </w:rPr>
        <w:t xml:space="preserve">۴۶. تهران؛ نوربخش؛ شماره نسخه: ۷۹۹/۲</w:t>
      </w:r>
    </w:p>
    <w:p>
      <w:pPr>
        <w:pStyle w:val="BookText"/>
      </w:pPr>
      <w:r>
        <w:rPr>
          <w:rFonts w:ascii="IRNazanin" w:hAnsi="IRNazanin" w:eastAsia="IRNazanin" w:cs="IRNazanin"/>
          <w:lang w:bidi="fa-IR"/>
          <w:color w:val="111111"/>
          <w:sz w:val="28"/>
          <w:szCs w:val="28"/>
          <w:rtl/>
        </w:rPr>
        <w:t xml:space="preserve">آغاز: باب دوم در احکام نظرات كواكب سبعه سیاره</w:t>
      </w:r>
    </w:p>
    <w:p>
      <w:pPr>
        <w:pStyle w:val="BookText"/>
      </w:pPr>
      <w:r>
        <w:rPr>
          <w:rFonts w:ascii="IRNazanin" w:hAnsi="IRNazanin" w:eastAsia="IRNazanin" w:cs="IRNazanin"/>
          <w:lang w:bidi="fa-IR"/>
          <w:color w:val="111111"/>
          <w:sz w:val="28"/>
          <w:szCs w:val="28"/>
          <w:rtl/>
        </w:rPr>
        <w:t xml:space="preserve">تنها باب دوم است مشتمل بر هفت فصل؛ خط: نستعلیق تحریری، بی کا، تا: قرن ۱۴؛ کاغذ: فرنگی نخودی رنگ، جلد: گالینگور قرمز، ۸گ (۶۳-۷۰)، ۲۶ سطر، قطع: خشتی،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w:t>
      </w:r>
    </w:p>
    <w:p>
      <w:pPr>
        <w:pStyle w:val="BookText"/>
      </w:pPr>
      <w:r>
        <w:rPr>
          <w:rFonts w:ascii="IRNazanin" w:hAnsi="IRNazanin" w:eastAsia="IRNazanin" w:cs="IRNazanin"/>
          <w:lang w:bidi="fa-IR"/>
          <w:color w:val="111111"/>
          <w:sz w:val="28"/>
          <w:szCs w:val="28"/>
          <w:rtl/>
        </w:rPr>
        <w:t xml:space="preserve">[نشریه: ۱۳-۱۷۵]</w:t>
      </w:r>
    </w:p>
    <w:p>
      <w:pPr>
        <w:pStyle w:val="BookText"/>
      </w:pPr>
      <w:r>
        <w:rPr>
          <w:rFonts w:ascii="IRNazanin" w:hAnsi="IRNazanin" w:eastAsia="IRNazanin" w:cs="IRNazanin"/>
          <w:lang w:bidi="fa-IR"/>
          <w:color w:val="111111"/>
          <w:sz w:val="28"/>
          <w:szCs w:val="28"/>
          <w:rtl/>
        </w:rPr>
        <w:t xml:space="preserve">۴۷. مشهد؛ مدرسه باقریه؛ شماره نسخه: ۲۸۹/۲</w:t>
      </w:r>
    </w:p>
    <w:p>
      <w:pPr>
        <w:pStyle w:val="BookText"/>
      </w:pPr>
      <w:r>
        <w:rPr>
          <w:rFonts w:ascii="IRNazanin" w:hAnsi="IRNazanin" w:eastAsia="IRNazanin" w:cs="IRNazanin"/>
          <w:lang w:bidi="fa-IR"/>
          <w:color w:val="111111"/>
          <w:sz w:val="28"/>
          <w:szCs w:val="28"/>
          <w:rtl/>
        </w:rPr>
        <w:t xml:space="preserve">خط: نستعلیق، كا: على بن کربلائی قارداشخان صفی آبادی، بی تا؛ کاغذ: فرنگی، ۱۴ سطر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اندازه: 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۱۴/۵ سم [تراثنا: اس عش۳-۱۱۸]</w:t>
      </w:r>
    </w:p>
    <w:p>
      <w:pPr>
        <w:pStyle w:val="BookText"/>
      </w:pPr>
      <w:r>
        <w:rPr>
          <w:rFonts w:ascii="IRNazanin" w:hAnsi="IRNazanin" w:eastAsia="IRNazanin" w:cs="IRNazanin"/>
          <w:lang w:bidi="fa-IR"/>
          <w:color w:val="111111"/>
          <w:sz w:val="28"/>
          <w:szCs w:val="28"/>
          <w:rtl/>
        </w:rPr>
        <w:t xml:space="preserve">۴۸. قم؛ معصومیه؛ شماره نسخه: ۲۸/۲</w:t>
      </w:r>
    </w:p>
    <w:p>
      <w:pPr>
        <w:pStyle w:val="BookText"/>
      </w:pPr>
      <w:r>
        <w:rPr>
          <w:rFonts w:ascii="IRNazanin" w:hAnsi="IRNazanin" w:eastAsia="IRNazanin" w:cs="IRNazanin"/>
          <w:lang w:bidi="fa-IR"/>
          <w:color w:val="111111"/>
          <w:sz w:val="28"/>
          <w:szCs w:val="28"/>
          <w:rtl/>
        </w:rPr>
        <w:t xml:space="preserve">آغاز: این مختصریست در معرفت مشتمل بر بیست باب، باب اول: در معرفت حساب جمل، اهل نجوم اعداد را جهت سهولت به ارقام حروف بیست و هشتگانه لغت عرب؛ انجام: و همچنین اگر دو کو کب بكوكب ثالث متصل بمنزله اتصال کو کب اول باشد. خط: نسخ، بی کا، بی تا؛ افتادگی: آغاز و انجام؛ فاقد ندارد، ۲۷گ (۲۶پ-۵۲ر)، اندازه: ۱۱/۵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۱۶/۵سم [ف: ۱-۴۳]</w:t>
      </w:r>
    </w:p>
    <w:p>
      <w:pPr>
        <w:pStyle w:val="BookText"/>
      </w:pPr>
      <w:r>
        <w:rPr>
          <w:rFonts w:ascii="IRNazanin" w:hAnsi="IRNazanin" w:eastAsia="IRNazanin" w:cs="IRNazanin"/>
          <w:lang w:bidi="fa-IR"/>
          <w:color w:val="111111"/>
          <w:sz w:val="28"/>
          <w:szCs w:val="28"/>
          <w:rtl/>
        </w:rPr>
        <w:t xml:space="preserve">۴۹. قم؛ مرعشی؛ شماره نسخه: ۹۲۴۸/۱</w:t>
      </w:r>
    </w:p>
    <w:p>
      <w:pPr>
        <w:pStyle w:val="BookText"/>
      </w:pPr>
      <w:r>
        <w:rPr>
          <w:rFonts w:ascii="IRNazanin" w:hAnsi="IRNazanin" w:eastAsia="IRNazanin" w:cs="IRNazanin"/>
          <w:lang w:bidi="fa-IR"/>
          <w:color w:val="111111"/>
          <w:sz w:val="28"/>
          <w:szCs w:val="28"/>
          <w:rtl/>
        </w:rPr>
        <w:t xml:space="preserve">آغاز: از روزهای هفته نام اول هر ماهی بر جانب دست راست آنجا که اول ماه بود بنویسد خط: نستعلیق، بی کا، تا: نزدیک عصر مؤلف؛ افتادگی: آغاز؛ جلد: مقوایی عطف تیماج مشکی، ۱۲گ (۱ر -۱۲پ)، ۱۹ سطر،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۲۴-۴۳]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13" w:name="pg20363_209455"/>
    <w:bookmarkEnd w:id="213"/>
    <w:p>
      <w:pPr>
        <w:pStyle w:val="BookText"/>
      </w:pPr>
      <w:r>
        <w:rPr>
          <w:rFonts w:ascii="IRNazanin" w:hAnsi="IRNazanin" w:eastAsia="IRNazanin" w:cs="IRNazanin"/>
          <w:lang w:bidi="fa-IR"/>
          <w:color w:val="111111"/>
          <w:sz w:val="28"/>
          <w:szCs w:val="28"/>
          <w:rtl/>
        </w:rPr>
        <w:t xml:space="preserve">۵۰. قم؛ گلپایگانی؛ شماره نسخه: ۱۰۶۹/۷ - ۶/۱۵۹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دارای فایده ای است در معرفت ستاره ای چند از ثوابت که بر اسطرلاب ها ثبت کنند؛ ۲۶گ، ۱۶ سطر، اندازه: 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۱۷/۵ سم [ف: ۲-۶۵۷]</w:t>
      </w:r>
    </w:p>
    <w:p>
      <w:pPr>
        <w:pStyle w:val="BookText"/>
      </w:pPr>
      <w:r>
        <w:rPr>
          <w:rFonts w:ascii="IRNazanin" w:hAnsi="IRNazanin" w:eastAsia="IRNazanin" w:cs="IRNazanin"/>
          <w:lang w:bidi="fa-IR"/>
          <w:color w:val="111111"/>
          <w:sz w:val="28"/>
          <w:szCs w:val="28"/>
          <w:rtl/>
        </w:rPr>
        <w:t xml:space="preserve">۵۱. قم؛ گلپایگانی؛ شماره نسخه: ۲۸۵۴/۲ - ۱۵/۱۱۴</w:t>
      </w:r>
    </w:p>
    <w:p>
      <w:pPr>
        <w:pStyle w:val="BookText"/>
      </w:pPr>
      <w:r>
        <w:rPr>
          <w:rFonts w:ascii="IRNazanin" w:hAnsi="IRNazanin" w:eastAsia="IRNazanin" w:cs="IRNazanin"/>
          <w:lang w:bidi="fa-IR"/>
          <w:color w:val="111111"/>
          <w:sz w:val="28"/>
          <w:szCs w:val="28"/>
          <w:rtl/>
        </w:rPr>
        <w:t xml:space="preserve">آغاز: کوکب دیگر از آن تاریکتر همه از قدر ثالث بر این صورت. عين النور و بعضی آن را تشبیه کرده اند به صورت هفت از ارقام؛ انجام: زیرا که این وضع علامت قتل عام باشد و نعوذ بالله من هذا پس این مقولات بر دعا ختم کردیم</w:t>
      </w:r>
    </w:p>
    <w:p>
      <w:pPr>
        <w:pStyle w:val="BookText"/>
      </w:pPr>
      <w:r>
        <w:rPr>
          <w:rFonts w:ascii="IRNazanin" w:hAnsi="IRNazanin" w:eastAsia="IRNazanin" w:cs="IRNazanin"/>
          <w:lang w:bidi="fa-IR"/>
          <w:color w:val="111111"/>
          <w:sz w:val="28"/>
          <w:szCs w:val="28"/>
          <w:rtl/>
        </w:rPr>
        <w:t xml:space="preserve">خط: نسخ، بی کا، بی تا، افتادگی: آغاز؛ جلد: مقوا با روکش پارچه عطف تیماج قهوه ای، ۶۵گ، ۲۱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۲-۶۵۷]</w:t>
      </w:r>
    </w:p>
    <w:p>
      <w:pPr>
        <w:pStyle w:val="BookText"/>
      </w:pPr>
      <w:r>
        <w:rPr>
          <w:rFonts w:ascii="IRNazanin" w:hAnsi="IRNazanin" w:eastAsia="IRNazanin" w:cs="IRNazanin"/>
          <w:lang w:bidi="fa-IR"/>
          <w:color w:val="111111"/>
          <w:sz w:val="28"/>
          <w:szCs w:val="28"/>
          <w:rtl/>
        </w:rPr>
        <w:t xml:space="preserve">۵۲. مشهد؛ رضوی؛ شماره نسخه:۳/ ۱۲۹۴۹</w:t>
      </w:r>
    </w:p>
    <w:p>
      <w:pPr>
        <w:pStyle w:val="BookText"/>
      </w:pPr>
      <w:r>
        <w:rPr>
          <w:rFonts w:ascii="IRNazanin" w:hAnsi="IRNazanin" w:eastAsia="IRNazanin" w:cs="IRNazanin"/>
          <w:lang w:bidi="fa-IR"/>
          <w:color w:val="111111"/>
          <w:sz w:val="28"/>
          <w:szCs w:val="28"/>
          <w:rtl/>
        </w:rPr>
        <w:t xml:space="preserve">آغاز: و پنج شنبه و جمعه، انجام: احتیاج چندان بدان نیست والله اعلم بالصواب.</w:t>
      </w:r>
    </w:p>
    <w:p>
      <w:pPr>
        <w:pStyle w:val="BookText"/>
      </w:pPr>
      <w:r>
        <w:rPr>
          <w:rFonts w:ascii="IRNazanin" w:hAnsi="IRNazanin" w:eastAsia="IRNazanin" w:cs="IRNazanin"/>
          <w:lang w:bidi="fa-IR"/>
          <w:color w:val="111111"/>
          <w:sz w:val="28"/>
          <w:szCs w:val="28"/>
          <w:rtl/>
        </w:rPr>
        <w:t xml:space="preserve">خط: نستعلیق، بی کا، بی تا، افتادگی: آغاز؛ تاریخ تحریر: ۱۲۳ (كذا)؛ کاغذ: فستقی فرنگی، جلد: مقوا عطف و گوشه ها قهوه ای تند،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سم [ف: ۱۸-۱۴۱]</w:t>
      </w:r>
    </w:p>
    <w:p>
      <w:pPr>
        <w:pStyle w:val="BookText"/>
      </w:pPr>
      <w:r>
        <w:rPr>
          <w:rFonts w:ascii="IRNazanin" w:hAnsi="IRNazanin" w:eastAsia="IRNazanin" w:cs="IRNazanin"/>
          <w:lang w:bidi="fa-IR"/>
          <w:color w:val="111111"/>
          <w:sz w:val="28"/>
          <w:szCs w:val="28"/>
          <w:rtl/>
        </w:rPr>
        <w:t xml:space="preserve">۵۳. قم؛ مسجد اعظم، شماره نسخه: ۲۵۷۰/۳</w:t>
      </w:r>
    </w:p>
    <w:p>
      <w:pPr>
        <w:pStyle w:val="BookText"/>
      </w:pPr>
      <w:r>
        <w:rPr>
          <w:rFonts w:ascii="IRNazanin" w:hAnsi="IRNazanin" w:eastAsia="IRNazanin" w:cs="IRNazanin"/>
          <w:lang w:bidi="fa-IR"/>
          <w:color w:val="111111"/>
          <w:sz w:val="28"/>
          <w:szCs w:val="28"/>
          <w:rtl/>
        </w:rPr>
        <w:t xml:space="preserve">آغاز: برابر؛ انجام: اما رسیدن بدلایل اصلی چنان بود که چون ... بدلایل چند که در زایچه بوده باشد و در تقویم طلوع منازل را در صفحه یمنی در میان اتصالات</w:t>
      </w:r>
    </w:p>
    <w:p>
      <w:pPr>
        <w:pStyle w:val="BookText"/>
      </w:pPr>
      <w:r>
        <w:rPr>
          <w:rFonts w:ascii="IRNazanin" w:hAnsi="IRNazanin" w:eastAsia="IRNazanin" w:cs="IRNazanin"/>
          <w:lang w:bidi="fa-IR"/>
          <w:color w:val="111111"/>
          <w:sz w:val="28"/>
          <w:szCs w:val="28"/>
          <w:rtl/>
        </w:rPr>
        <w:t xml:space="preserve">تا پایان دوازدهم؛ خط: نستعلیق، بی کا، بی تا، ۱۴گ، ۱۵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مخ: ۱-۲۹۳]</w:t>
      </w:r>
    </w:p>
    <w:p>
      <w:pPr>
        <w:pStyle w:val="BookText"/>
      </w:pPr>
      <w:r>
        <w:rPr>
          <w:rFonts w:ascii="IRNazanin" w:hAnsi="IRNazanin" w:eastAsia="IRNazanin" w:cs="IRNazanin"/>
          <w:lang w:bidi="fa-IR"/>
          <w:color w:val="111111"/>
          <w:sz w:val="28"/>
          <w:szCs w:val="28"/>
          <w:rtl/>
        </w:rPr>
        <w:t xml:space="preserve">۵۴. مشهد؛ ادبیات، شماره نسخه: ۷ فرخ</w:t>
      </w:r>
    </w:p>
    <w:p>
      <w:pPr>
        <w:pStyle w:val="BookText"/>
      </w:pPr>
      <w:r>
        <w:rPr>
          <w:rFonts w:ascii="IRNazanin" w:hAnsi="IRNazanin" w:eastAsia="IRNazanin" w:cs="IRNazanin"/>
          <w:lang w:bidi="fa-IR"/>
          <w:color w:val="111111"/>
          <w:sz w:val="28"/>
          <w:szCs w:val="28"/>
          <w:rtl/>
        </w:rPr>
        <w:t xml:space="preserve">خط: نستعلیق، بی کا، بی تا؛ جلد: تیماج عنابی لایه ای، ۲۴گ، ۱۶ سطر (۵/۵</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۱۲)، قطع: جيبي،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۱۸]</w:t>
      </w:r>
    </w:p>
    <w:p>
      <w:pPr>
        <w:pStyle w:val="BookText"/>
      </w:pPr>
      <w:r>
        <w:rPr>
          <w:rFonts w:ascii="IRNazanin" w:hAnsi="IRNazanin" w:eastAsia="IRNazanin" w:cs="IRNazanin"/>
          <w:lang w:bidi="fa-IR"/>
          <w:color w:val="111111"/>
          <w:sz w:val="28"/>
          <w:szCs w:val="28"/>
          <w:rtl/>
        </w:rPr>
        <w:t xml:space="preserve">۵۵. تهران؛ مجلس؛ شماره نسخه: ۶۰۴۰/۲</w:t>
      </w:r>
    </w:p>
    <w:p>
      <w:pPr>
        <w:pStyle w:val="BookText"/>
      </w:pPr>
      <w:r>
        <w:rPr>
          <w:rFonts w:ascii="IRNazanin" w:hAnsi="IRNazanin" w:eastAsia="IRNazanin" w:cs="IRNazanin"/>
          <w:lang w:bidi="fa-IR"/>
          <w:color w:val="111111"/>
          <w:sz w:val="28"/>
          <w:szCs w:val="28"/>
          <w:rtl/>
        </w:rPr>
        <w:t xml:space="preserve">آغاز: برابر؛ انجام: بعلامت روز یا شب پس علامات ساعات و دقایق گذشته از اول روز یا اول شب.</w:t>
      </w:r>
    </w:p>
    <w:p>
      <w:pPr>
        <w:pStyle w:val="BookText"/>
      </w:pPr>
      <w:r>
        <w:rPr>
          <w:rFonts w:ascii="IRNazanin" w:hAnsi="IRNazanin" w:eastAsia="IRNazanin" w:cs="IRNazanin"/>
          <w:lang w:bidi="fa-IR"/>
          <w:color w:val="111111"/>
          <w:sz w:val="28"/>
          <w:szCs w:val="28"/>
          <w:rtl/>
        </w:rPr>
        <w:t xml:space="preserve">خط: نستعلیق شکسته تحریری، بی کا، بی تا، دارای اشکال نجومی و هندسی؛ کاغذ: سفید فرنگی، جلد: تیماج مشکی ضربی یک لا، ۳۱ص (۱۲۸-۱۵۸)، ۹ سطر، قطع: رقعی، اندازه:</w:t>
      </w:r>
    </w:p>
    <w:p>
      <w:pPr>
        <w:pStyle w:val="BookText"/>
      </w:pPr>
      <w:r>
        <w:rPr>
          <w:rFonts w:ascii="IRNazanin" w:hAnsi="IRNazanin" w:eastAsia="IRNazanin" w:cs="IRNazanin"/>
          <w:lang w:bidi="fa-IR"/>
          <w:color w:val="111111"/>
          <w:sz w:val="28"/>
          <w:szCs w:val="28"/>
          <w:rtl/>
        </w:rPr>
        <w:t xml:space="preserve">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۱۴/۵سم [ف: ۱۹-۳۱]</w:t>
      </w:r>
    </w:p>
    <w:p>
      <w:pPr>
        <w:pStyle w:val="BookText"/>
      </w:pPr>
      <w:r>
        <w:rPr>
          <w:rFonts w:ascii="IRNazanin" w:hAnsi="IRNazanin" w:eastAsia="IRNazanin" w:cs="IRNazanin"/>
          <w:lang w:bidi="fa-IR"/>
          <w:color w:val="111111"/>
          <w:sz w:val="28"/>
          <w:szCs w:val="28"/>
          <w:rtl/>
        </w:rPr>
        <w:t xml:space="preserve">۵۶. تبریز؛ محقق (آقاي)؛ شماره نسخه: ۱۱/۱</w:t>
      </w:r>
    </w:p>
    <w:p>
      <w:pPr>
        <w:pStyle w:val="BookText"/>
      </w:pPr>
      <w:r>
        <w:rPr>
          <w:rFonts w:ascii="IRNazanin" w:hAnsi="IRNazanin" w:eastAsia="IRNazanin" w:cs="IRNazanin"/>
          <w:lang w:bidi="fa-IR"/>
          <w:color w:val="111111"/>
          <w:sz w:val="28"/>
          <w:szCs w:val="28"/>
          <w:rtl/>
        </w:rPr>
        <w:t xml:space="preserve">در فهرست ناشناس آمده؛ بی کا، بی تا [آنشریه: ۴-۳۳۲]</w:t>
      </w:r>
    </w:p>
    <w:p>
      <w:pPr>
        <w:pStyle w:val="BookText"/>
      </w:pPr>
      <w:r>
        <w:rPr>
          <w:rFonts w:ascii="IRNazanin" w:hAnsi="IRNazanin" w:eastAsia="IRNazanin" w:cs="IRNazanin"/>
          <w:lang w:bidi="fa-IR"/>
          <w:color w:val="111111"/>
          <w:sz w:val="28"/>
          <w:szCs w:val="28"/>
          <w:rtl/>
        </w:rPr>
        <w:t xml:space="preserve">۵۷. تهران؛ ملک؛ شماره نسخه: ۳۰۷۲/۱</w:t>
      </w:r>
    </w:p>
    <w:p>
      <w:pPr>
        <w:pStyle w:val="BookText"/>
      </w:pPr>
      <w:r>
        <w:rPr>
          <w:rFonts w:ascii="IRNazanin" w:hAnsi="IRNazanin" w:eastAsia="IRNazanin" w:cs="IRNazanin"/>
          <w:lang w:bidi="fa-IR"/>
          <w:color w:val="111111"/>
          <w:sz w:val="28"/>
          <w:szCs w:val="28"/>
          <w:rtl/>
        </w:rPr>
        <w:t xml:space="preserve">خط: نستعلیق، بی کا، بی تا، کاغذ: ترمه، جلد: میشن سیاه، ۱۶ سطر، اندازه: ۱۹۶۱۱سم [ف: ۶-۱۹۹]</w:t>
      </w:r>
    </w:p>
    <w:p>
      <w:pPr>
        <w:pStyle w:val="BookText"/>
      </w:pPr>
      <w:r>
        <w:rPr>
          <w:rFonts w:ascii="IRNazanin" w:hAnsi="IRNazanin" w:eastAsia="IRNazanin" w:cs="IRNazanin"/>
          <w:lang w:bidi="fa-IR"/>
          <w:color w:val="111111"/>
          <w:sz w:val="28"/>
          <w:szCs w:val="28"/>
          <w:rtl/>
        </w:rPr>
        <w:t xml:space="preserve">۵۸. تهران؛ ملک؛ شماره نسخه: ۳۱۵۲/۱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فهرست بدون نام مؤلف است؛ خط: نستعلیق و شکسته</w:t>
      </w:r>
    </w:p>
    <w:p>
      <w:pPr>
        <w:pStyle w:val="BookText"/>
      </w:pPr>
      <w:r>
        <w:rPr>
          <w:rFonts w:ascii="IRNazanin" w:hAnsi="IRNazanin" w:eastAsia="IRNazanin" w:cs="IRNazanin"/>
          <w:lang w:bidi="fa-IR"/>
          <w:color w:val="111111"/>
          <w:sz w:val="28"/>
          <w:szCs w:val="28"/>
          <w:rtl/>
        </w:rPr>
        <w:t xml:space="preserve">نستعلیق، بی کا، بی تا، مجدول؛ کاغذ: پسته ای، جلد: میشن لایی آلبالویی سیر، ۱۰ و ۱۹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[ف: ۶-۲۴۷]</w:t>
      </w:r>
    </w:p>
    <w:p>
      <w:pPr>
        <w:pStyle w:val="BookText"/>
      </w:pPr>
      <w:r>
        <w:rPr>
          <w:rFonts w:ascii="IRNazanin" w:hAnsi="IRNazanin" w:eastAsia="IRNazanin" w:cs="IRNazanin"/>
          <w:lang w:bidi="fa-IR"/>
          <w:color w:val="111111"/>
          <w:sz w:val="28"/>
          <w:szCs w:val="28"/>
          <w:rtl/>
        </w:rPr>
        <w:t xml:space="preserve">۵۹. شیراز؛ ملی؛ شماره نسخه: ۳-س/۴۸۶/۲</w:t>
      </w:r>
    </w:p>
    <w:p>
      <w:pPr>
        <w:pStyle w:val="BookText"/>
      </w:pPr>
      <w:r>
        <w:rPr>
          <w:rFonts w:ascii="IRNazanin" w:hAnsi="IRNazanin" w:eastAsia="IRNazanin" w:cs="IRNazanin"/>
          <w:lang w:bidi="fa-IR"/>
          <w:color w:val="111111"/>
          <w:sz w:val="28"/>
          <w:szCs w:val="28"/>
          <w:rtl/>
        </w:rPr>
        <w:t xml:space="preserve">آغاز: برابر، انجام: بهمان ترتیب که مذکور شد و لامحه در آن ماه که بعد از آن باشد باز چنان شود که مبدء.</w:t>
      </w:r>
    </w:p>
    <w:p>
      <w:pPr>
        <w:pStyle w:val="BookText"/>
      </w:pPr>
      <w:r>
        <w:rPr>
          <w:rFonts w:ascii="IRNazanin" w:hAnsi="IRNazanin" w:eastAsia="IRNazanin" w:cs="IRNazanin"/>
          <w:lang w:bidi="fa-IR"/>
          <w:color w:val="111111"/>
          <w:sz w:val="28"/>
          <w:szCs w:val="28"/>
          <w:rtl/>
        </w:rPr>
        <w:t xml:space="preserve">بی کا، بی تا؛ افتادگی: انجام؛ این نسخه تقریبا تکرار نسخه شماره ۳۹۶ ف ملی می باشد منتهی مفصل تر است و اضافاتی دارد؛ کاغذ: فرنگی، جلد: مقوا با تیماج قهوه ای سیر، ۷۸ص، ۱۷ سطر (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سم [ف: ۲-۸۲]</w:t>
      </w:r>
    </w:p>
    <w:p>
      <w:pPr>
        <w:pStyle w:val="BookText"/>
      </w:pPr>
      <w:r>
        <w:rPr>
          <w:rFonts w:ascii="IRNazanin" w:hAnsi="IRNazanin" w:eastAsia="IRNazanin" w:cs="IRNazanin"/>
          <w:lang w:bidi="fa-IR"/>
          <w:color w:val="111111"/>
          <w:sz w:val="28"/>
          <w:szCs w:val="28"/>
          <w:rtl/>
        </w:rPr>
        <w:t xml:space="preserve">۶۰. تهران؛ عبدالعظیم؛ شماره نسخه: ۶۶۰/۳</w:t>
      </w:r>
    </w:p>
    <w:p>
      <w:pPr>
        <w:pStyle w:val="BookText"/>
      </w:pPr>
      <w:r>
        <w:rPr>
          <w:rFonts w:ascii="IRNazanin" w:hAnsi="IRNazanin" w:eastAsia="IRNazanin" w:cs="IRNazanin"/>
          <w:lang w:bidi="fa-IR"/>
          <w:color w:val="111111"/>
          <w:sz w:val="28"/>
          <w:szCs w:val="28"/>
          <w:rtl/>
        </w:rPr>
        <w:t xml:space="preserve">آغاز: سیوم تاریخ فرس قدیمست و آن را تاریخ یزدجردی نیز گویند ... باب سیوم در معرفت بروج و کواکب و تقاویم ایشان دور فلک را دوازده؛ انجام: باب بیستم در معرفت اصولی در اختیارات به کار آید ... قمر در برج قامت باشد بغیر از عقرب یا در یکی از خانهای عطارد. شامل باب سوم تا بیستم؛ خط: نستعلیق، بی کا، بی تا؛ افتادگی: آغاز و وسط و انجام؛ مصحح، محشی؛ واقف: آیت الله مرعشی نجفی، ۱۶گ، ۱۴ سطر، اندازه: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۱۹/۵ سم [ف: ۱-۸۳]</w:t>
      </w:r>
    </w:p>
    <w:p>
      <w:pPr>
        <w:pStyle w:val="Heading3"/>
      </w:pPr>
      <w:bookmarkStart w:id="1391" w:name="_Toc651"/>
      <w:r>
        <w:t>• بیست باب در معرفت اسطرلاب / اسطرلاب / فارسی</w:t>
      </w:r>
      <w:bookmarkEnd w:id="1391"/>
    </w:p>
    <w:p>
      <w:pPr>
        <w:pStyle w:val="BookText"/>
      </w:pPr>
      <w:r>
        <w:rPr>
          <w:rFonts w:ascii="Times New Roman" w:hAnsi="Times New Roman" w:eastAsia="Times New Roman" w:cs="Times New Roman"/>
          <w:lang w:val="en-US" w:bidi="en-US"/>
          <w:color w:val="111111"/>
          <w:sz w:val="28"/>
          <w:szCs w:val="28"/>
          <w:rtl/>
        </w:rPr>
        <w:t xml:space="preserve">bīst bāb dar maʻrefat-e ostorlāb</w:t>
      </w:r>
    </w:p>
    <w:p>
      <w:pPr>
        <w:pStyle w:val="BookText"/>
      </w:pPr>
      <w:r>
        <w:rPr>
          <w:rFonts w:ascii="IRNazanin" w:hAnsi="IRNazanin" w:eastAsia="IRNazanin" w:cs="IRNazanin"/>
          <w:lang w:bidi="fa-IR"/>
          <w:color w:val="111111"/>
          <w:sz w:val="28"/>
          <w:szCs w:val="28"/>
          <w:rtl/>
        </w:rPr>
        <w:t xml:space="preserve">نصیر الدین طوسی، محمد بن محمد، ۵۹۷-۶۷۲ قمری</w:t>
      </w:r>
    </w:p>
    <w:p>
      <w:pPr>
        <w:pStyle w:val="BookText"/>
      </w:pPr>
      <w:r>
        <w:rPr>
          <w:rFonts w:ascii="Times New Roman" w:hAnsi="Times New Roman" w:eastAsia="Times New Roman" w:cs="Times New Roman"/>
          <w:lang w:val="en-US" w:bidi="en-US"/>
          <w:color w:val="111111"/>
          <w:sz w:val="28"/>
          <w:szCs w:val="28"/>
          <w:rtl/>
        </w:rPr>
        <w:t xml:space="preserve">nasīr-od-dīn-e tūsī, mohammad ebn-e mohammad (1201-1274)</w:t>
      </w:r>
    </w:p>
    <w:p>
      <w:pPr>
        <w:pStyle w:val="BookText"/>
      </w:pPr>
      <w:r>
        <w:rPr>
          <w:rFonts w:ascii="IRNazanin" w:hAnsi="IRNazanin" w:eastAsia="IRNazanin" w:cs="IRNazanin"/>
          <w:lang w:bidi="fa-IR"/>
          <w:color w:val="111111"/>
          <w:sz w:val="28"/>
          <w:szCs w:val="28"/>
          <w:rtl/>
        </w:rPr>
        <w:t xml:space="preserve">یکی از کتاب های مشهور و مختصر در این فن در شناخت اسطرلاب و چگونگی عمل به آن، که گزیده ای از صد باب مؤلف است. مؤلف نامی بر آن ننهاده و چون این رساله بر بیست«باب» مرتب شده، بدین نام مشهور گشته است. 1. القاب و خطوط و دایره اسطرلاب؛ ۲. معرفت ارتفاع گرفتن از آفتاب و ستارگان؛ ۳. معرفت طالع از ارتفاع درجه آفتاب را از منطقه طلب باید کرد؛ ۴. معرفت ارتفاع از طالع این باب عکس باب پیشین است؛ ۵. معرفت دایره و ساعات مستوى و معوج؛ ۶. معرفت میل آفتاب و غایت ارتفاع؛ 7. معرفت مطالع بروج به خط استواء؛ ۸ معرفت خانه های دوازده گانه؛ ۹. معرفت ساعات صبح و شفق؛ 10. معرفت استخراج ظل از ارتفاع و ارتفاع از ظل؛ ۱۱. معرفت طالع سال مستقبل از طالع سال ماضی چون طالع سال ماضی علوم بود؛ ۱۲. معرفت عرض بلد و تحقیق آن؛ ۱۳. معرفت طالع وقت در شهری که آن را صفحه جداگانه نبود؛ ۱۴. معرفت ارتفاع قطب فلک البروج؛ ۱۵. معرفت سمت از ارتفاع و ارتفاع از سمت اسطرلاب؛ ۱۶. معرفت تقویم: ۱۷. معرفت بالای اشخاص مرتفع از زمین و پهنای رودهای؛ ۱۸. معرفت عمل کردن بر صحیفه آفاقی؛ 19. معرفت امتحان خطوط اسطرلاب؛ ۲۰. معرفت ستارگان چند از ثوابت که بر اسطلاب ها ثبت کنند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جهت ارتفاع گرفتن به شب.</w:t>
      </w:r>
    </w:p>
    <w:p>
      <w:pPr>
        <w:pStyle w:val="BookText"/>
      </w:pPr>
      <w:r>
        <w:rPr>
          <w:rFonts w:ascii="IRNazanin" w:hAnsi="IRNazanin" w:eastAsia="IRNazanin" w:cs="IRNazanin"/>
          <w:lang w:bidi="fa-IR"/>
          <w:color w:val="111111"/>
          <w:sz w:val="28"/>
          <w:szCs w:val="28"/>
          <w:rtl/>
        </w:rPr>
        <w:t xml:space="preserve">آغاز: الحمد لله حمد الشاکرین و صلوته ... بسمله ... و بعد این مختصری است در معرفت اسطرلاب مشتمل بر بیست باب. باب اول در القاب آلات و خطوط و دوایر اسطرلاب آنچه علاقه دروی است حلقه بود و آنچه حلقه در ويست عروه، و آن بلندی که عروه برو بود آنرا کرسی خوانند و آنچه کرسی وی بود و بر صفایح و غیر آن مشتمل باشد آن را حجره و ام خوانند و صفحها در حجره بود و بر روی صفيحها صفيحه مشبک بود و آن را عنکبوت و شبکه خوانند و دائره که بر روی حجره بود بسیصد و شصت قسمت کنند و ابتدا از خطی کنند که بر کرسی بگذرد</w:t>
      </w:r>
    </w:p>
    <w:p>
      <w:pPr>
        <w:pStyle w:val="BookText"/>
      </w:pPr>
      <w:r>
        <w:rPr>
          <w:rFonts w:ascii="IRNazanin" w:hAnsi="IRNazanin" w:eastAsia="IRNazanin" w:cs="IRNazanin"/>
          <w:lang w:bidi="fa-IR"/>
          <w:color w:val="111111"/>
          <w:sz w:val="28"/>
          <w:szCs w:val="28"/>
          <w:rtl/>
        </w:rPr>
        <w:t xml:space="preserve">انجام: و بر بیشتر اصطرلابها این کواکب نقش کنند و هر که اینها را بشناسد چنان که در آن اشتباه نیفتد او را در این باب کفایت باشد این است تمامی سخن در معرفت اسطرلاب. و الله اعلم بالصواب و اليه المرجع و المآب.</w:t>
      </w:r>
    </w:p>
    <w:p>
      <w:pPr>
        <w:pStyle w:val="BookText"/>
      </w:pPr>
      <w:r>
        <w:rPr>
          <w:rFonts w:ascii="IRNazanin" w:hAnsi="IRNazanin" w:eastAsia="IRNazanin" w:cs="IRNazanin"/>
          <w:lang w:bidi="fa-IR"/>
          <w:color w:val="111111"/>
          <w:sz w:val="28"/>
          <w:szCs w:val="28"/>
          <w:rtl/>
        </w:rPr>
        <w:t xml:space="preserve">چاپ: این کتاب به کوشش آقای مدرس رضوی به سال ۱۳۳۵ شمسی به چاپ رسیده است؛ تهران، ۱۳۱۶، خشتی، ۱۹ص، صص ۱۴۸-۱۷۳)؛ تهران، سنگی، ۱۳۱۹، خشتی، ۱۸ص</w:t>
      </w:r>
    </w:p>
    <w:p>
      <w:pPr>
        <w:pStyle w:val="BookText"/>
      </w:pPr>
      <w:r>
        <w:rPr>
          <w:rFonts w:ascii="IRNazanin" w:hAnsi="IRNazanin" w:eastAsia="IRNazanin" w:cs="IRNazanin"/>
          <w:lang w:bidi="fa-IR"/>
          <w:color w:val="111111"/>
          <w:sz w:val="28"/>
          <w:szCs w:val="28"/>
          <w:rtl/>
        </w:rPr>
        <w:t xml:space="preserve">[دنا ۵۹۷/۲ (۲۴۲ نسخه)؛ الذريعة ۱۸۷/3 ؛ کشف الظنون: ۲۶۴/۱ ؛ فهرستواره منزوی: ۲۸۲۹/۴ ؛ مشترک پاکستان ۲۴۳/۱ ؛ آثار و احوال خواجه، چاپ دوم، ص ۴۱۴؛ الاسطرلاب گورگیس عواد: ۱۶۰؛ نسخه های منزوی ۱: ۲۴۴؛ مشار فارسی، ج ۱، صص ۸۴۲-۸۴۳</w:t>
      </w: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١- مطلع الانوار = شرح بیست باب؛ نظامی بسطامی، فصيح بن عبدالكريم (-۹)</w:t>
      </w:r>
    </w:p>
    <w:p>
      <w:pPr>
        <w:pStyle w:val="BookText"/>
      </w:pPr>
      <w:r>
        <w:rPr>
          <w:rFonts w:ascii="IRNazanin" w:hAnsi="IRNazanin" w:eastAsia="IRNazanin" w:cs="IRNazanin"/>
          <w:lang w:bidi="fa-IR"/>
          <w:color w:val="111111"/>
          <w:sz w:val="28"/>
          <w:szCs w:val="28"/>
          <w:rtl/>
        </w:rPr>
        <w:t xml:space="preserve">٢- مفتاح بیست باب؛ کیاء جرجانی، شمس المعالي محمد (-9)</w:t>
      </w:r>
    </w:p>
    <w:p>
      <w:pPr>
        <w:pStyle w:val="BookText"/>
      </w:pPr>
      <w:r>
        <w:rPr>
          <w:rFonts w:ascii="IRNazanin" w:hAnsi="IRNazanin" w:eastAsia="IRNazanin" w:cs="IRNazanin"/>
          <w:lang w:bidi="fa-IR"/>
          <w:color w:val="111111"/>
          <w:sz w:val="28"/>
          <w:szCs w:val="28"/>
          <w:rtl/>
        </w:rPr>
        <w:t xml:space="preserve">۳- شرح بیست باب در اسطرلاب؛ حسینی، امیر نظام الدين بن حبيب الله (9-)</w:t>
      </w:r>
    </w:p>
    <w:p>
      <w:pPr>
        <w:pStyle w:val="BookText"/>
      </w:pPr>
      <w:r>
        <w:rPr>
          <w:rFonts w:ascii="IRNazanin" w:hAnsi="IRNazanin" w:eastAsia="IRNazanin" w:cs="IRNazanin"/>
          <w:lang w:bidi="fa-IR"/>
          <w:color w:val="111111"/>
          <w:sz w:val="28"/>
          <w:szCs w:val="28"/>
          <w:rtl/>
        </w:rPr>
        <w:t xml:space="preserve">4- شرح بیست باب در اسطرلاب؛ کوبنانی، ابواسحاق (۸۸۶-)</w:t>
      </w:r>
    </w:p>
    <w:p>
      <w:pPr>
        <w:pStyle w:val="BookText"/>
      </w:pPr>
      <w:r>
        <w:rPr>
          <w:rFonts w:ascii="IRNazanin" w:hAnsi="IRNazanin" w:eastAsia="IRNazanin" w:cs="IRNazanin"/>
          <w:lang w:bidi="fa-IR"/>
          <w:color w:val="111111"/>
          <w:sz w:val="28"/>
          <w:szCs w:val="28"/>
          <w:rtl/>
        </w:rPr>
        <w:t xml:space="preserve">5- شرح بیست باب؛ بیرجندی، عبدالعلی بن محمد (-۹۳۴)</w:t>
      </w:r>
    </w:p>
    <w:p>
      <w:pPr>
        <w:pStyle w:val="BookText"/>
      </w:pPr>
      <w:r>
        <w:rPr>
          <w:rFonts w:ascii="IRNazanin" w:hAnsi="IRNazanin" w:eastAsia="IRNazanin" w:cs="IRNazanin"/>
          <w:lang w:bidi="fa-IR"/>
          <w:color w:val="111111"/>
          <w:sz w:val="28"/>
          <w:szCs w:val="28"/>
          <w:rtl/>
        </w:rPr>
        <w:t xml:space="preserve">6- شرح بیست باب در اسطرلاب؛ الهی اردبیلی، حسین بن عبد الحق (۹۵۰-۸۷۰)</w:t>
      </w:r>
    </w:p>
    <w:p>
      <w:pPr>
        <w:pStyle w:val="BookText"/>
      </w:pPr>
      <w:r>
        <w:rPr>
          <w:rFonts w:ascii="IRNazanin" w:hAnsi="IRNazanin" w:eastAsia="IRNazanin" w:cs="IRNazanin"/>
          <w:lang w:bidi="fa-IR"/>
          <w:color w:val="111111"/>
          <w:sz w:val="28"/>
          <w:szCs w:val="28"/>
          <w:rtl/>
        </w:rPr>
        <w:t xml:space="preserve">۷- شرح بیست باب</w:t>
      </w:r>
    </w:p>
    <w:p>
      <w:pPr>
        <w:pStyle w:val="BookText"/>
      </w:pPr>
      <w:r>
        <w:rPr>
          <w:rFonts w:ascii="IRNazanin" w:hAnsi="IRNazanin" w:eastAsia="IRNazanin" w:cs="IRNazanin"/>
          <w:lang w:bidi="fa-IR"/>
          <w:color w:val="111111"/>
          <w:sz w:val="28"/>
          <w:szCs w:val="28"/>
          <w:rtl/>
        </w:rPr>
        <w:t xml:space="preserve">۸- شرح بیست باب؛ کرمانی، علاء الدين بن محمود</w:t>
      </w:r>
    </w:p>
    <w:p>
      <w:pPr>
        <w:pStyle w:val="BookText"/>
      </w:pPr>
      <w:r>
        <w:rPr>
          <w:rFonts w:ascii="IRNazanin" w:hAnsi="IRNazanin" w:eastAsia="IRNazanin" w:cs="IRNazanin"/>
          <w:lang w:bidi="fa-IR"/>
          <w:color w:val="111111"/>
          <w:sz w:val="28"/>
          <w:szCs w:val="28"/>
          <w:rtl/>
        </w:rPr>
        <w:t xml:space="preserve">۱. تهران؛ ملک؛ شماره نسخه: ۳۲۱۹/۲</w:t>
      </w:r>
    </w:p>
    <w:p>
      <w:pPr>
        <w:pStyle w:val="BookText"/>
      </w:pPr>
      <w:r>
        <w:rPr>
          <w:rFonts w:ascii="IRNazanin" w:hAnsi="IRNazanin" w:eastAsia="IRNazanin" w:cs="IRNazanin"/>
          <w:lang w:bidi="fa-IR"/>
          <w:color w:val="111111"/>
          <w:sz w:val="28"/>
          <w:szCs w:val="28"/>
          <w:rtl/>
        </w:rPr>
        <w:t xml:space="preserve">از باب چهارم؛ خط: نسخ، بی کا، تا: دوشنبه ۲۰ ربیع الثانی ۷۸۶ق، جا: حله؛ با اجازه قرائت و روایت از عبدالمهدی بن ابی عبدالله محمد بن شكر الله به بدیع الدین محمد بن شیخ حاجی هندو بن محمد بن محمود ضحاکی خراسانی هروی در ۱۸ جمادی الثانی ۷۸۶، مجدول؛ کاغذ: دولت آبادی، جلد: میشن سبز، ۱۱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سم [ف: ۶-۳۰۶]</w:t>
      </w:r>
    </w:p>
    <w:p>
      <w:pPr>
        <w:pStyle w:val="BookText"/>
      </w:pPr>
      <w:r>
        <w:rPr>
          <w:rFonts w:ascii="IRNazanin" w:hAnsi="IRNazanin" w:eastAsia="IRNazanin" w:cs="IRNazanin"/>
          <w:lang w:bidi="fa-IR"/>
          <w:color w:val="111111"/>
          <w:sz w:val="28"/>
          <w:szCs w:val="28"/>
          <w:rtl/>
        </w:rPr>
        <w:t xml:space="preserve">۲. قم؛ مرعشی؛ شماره نسخه:۱۲۶۱۵/۳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۹؛ مصحح، رکابه دار؛ کاغذ: شرقی نخودی، ۲۰گ (۱۳-۳۲)، ۲۱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۵سم [ف: ۳۲-۳۳]</w:t>
      </w:r>
    </w:p>
    <w:p>
      <w:pPr>
        <w:pStyle w:val="BookText"/>
      </w:pPr>
      <w:r>
        <w:rPr>
          <w:rFonts w:ascii="IRNazanin" w:hAnsi="IRNazanin" w:eastAsia="IRNazanin" w:cs="IRNazanin"/>
          <w:lang w:bidi="fa-IR"/>
          <w:color w:val="111111"/>
          <w:sz w:val="28"/>
          <w:szCs w:val="28"/>
          <w:rtl/>
        </w:rPr>
        <w:t xml:space="preserve">٣. یزد؛ وزیری؛ شماره نسخه: ۱۲۰۰/۴</w:t>
      </w:r>
    </w:p>
    <w:p>
      <w:pPr>
        <w:pStyle w:val="BookText"/>
      </w:pPr>
      <w:r>
        <w:rPr>
          <w:rFonts w:ascii="IRNazanin" w:hAnsi="IRNazanin" w:eastAsia="IRNazanin" w:cs="IRNazanin"/>
          <w:lang w:bidi="fa-IR"/>
          <w:color w:val="111111"/>
          <w:sz w:val="28"/>
          <w:szCs w:val="28"/>
          <w:rtl/>
        </w:rPr>
        <w:t xml:space="preserve">انجام: برابر</w:t>
      </w:r>
    </w:p>
    <w:p>
      <w:pPr>
        <w:pStyle w:val="BookText"/>
      </w:pPr>
      <w:r>
        <w:rPr>
          <w:rFonts w:ascii="IRNazanin" w:hAnsi="IRNazanin" w:eastAsia="IRNazanin" w:cs="IRNazanin"/>
          <w:lang w:bidi="fa-IR"/>
          <w:color w:val="111111"/>
          <w:sz w:val="28"/>
          <w:szCs w:val="28"/>
          <w:rtl/>
        </w:rPr>
        <w:t xml:space="preserve">کا: حسن بن محمد بن حسن او مینی، تا: ربيع الثانی ۸۱۳ق؛ کاغذ: اصفهانی، جلد: مقوایی با کاغذ ابری عطف تیماج قرمز، ۲۰ گ، ابعاد متن: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۳-۸۹۴]</w:t>
      </w:r>
    </w:p>
    <w:p>
      <w:pPr>
        <w:pStyle w:val="BookText"/>
      </w:pPr>
      <w:r>
        <w:rPr>
          <w:rFonts w:ascii="IRNazanin" w:hAnsi="IRNazanin" w:eastAsia="IRNazanin" w:cs="IRNazanin"/>
          <w:lang w:bidi="fa-IR"/>
          <w:color w:val="111111"/>
          <w:sz w:val="28"/>
          <w:szCs w:val="28"/>
          <w:rtl/>
        </w:rPr>
        <w:t xml:space="preserve">یزد؛ جامع کبیر؛ شماره نسخه: ۱۷۲/۴</w:t>
      </w:r>
    </w:p>
    <w:p>
      <w:pPr>
        <w:pStyle w:val="BookText"/>
      </w:pPr>
      <w:r>
        <w:rPr>
          <w:rFonts w:ascii="IRNazanin" w:hAnsi="IRNazanin" w:eastAsia="IRNazanin" w:cs="IRNazanin"/>
          <w:lang w:bidi="fa-IR"/>
          <w:color w:val="111111"/>
          <w:sz w:val="28"/>
          <w:szCs w:val="28"/>
          <w:rtl/>
        </w:rPr>
        <w:t xml:space="preserve">همان نسخه بالا [نشریه: ۴-۴۰۶]</w:t>
      </w:r>
    </w:p>
    <w:p>
      <w:pPr>
        <w:pStyle w:val="BookText"/>
      </w:pPr>
      <w:r>
        <w:rPr>
          <w:rFonts w:ascii="IRNazanin" w:hAnsi="IRNazanin" w:eastAsia="IRNazanin" w:cs="IRNazanin"/>
          <w:lang w:bidi="fa-IR"/>
          <w:color w:val="111111"/>
          <w:sz w:val="28"/>
          <w:szCs w:val="28"/>
          <w:rtl/>
        </w:rPr>
        <w:t xml:space="preserve">۴. تهران؛ مجلس؛ شماره نسخه: ۱۲۷۸/۱</w:t>
      </w:r>
    </w:p>
    <w:p>
      <w:pPr>
        <w:pStyle w:val="BookText"/>
      </w:pPr>
      <w:r>
        <w:rPr>
          <w:rFonts w:ascii="IRNazanin" w:hAnsi="IRNazanin" w:eastAsia="IRNazanin" w:cs="IRNazanin"/>
          <w:lang w:bidi="fa-IR"/>
          <w:color w:val="111111"/>
          <w:sz w:val="28"/>
          <w:szCs w:val="28"/>
          <w:rtl/>
        </w:rPr>
        <w:t xml:space="preserve">خط: نستعلیق، كا: احمد، تا: جمعه 9 ج ۸۱۷ق؛ کاغذ: سفید، جلد: تیماج قهوه ای ضربی و مقوایی با ترنج زرکوب، ۵۰ص (۱-۵۰)، ۱۷ سطر [سنا: ف: ۲-۲۰۷]</w:t>
      </w:r>
    </w:p>
    <w:p>
      <w:pPr>
        <w:pStyle w:val="BookText"/>
      </w:pPr>
      <w:r>
        <w:rPr>
          <w:rFonts w:ascii="IRNazanin" w:hAnsi="IRNazanin" w:eastAsia="IRNazanin" w:cs="IRNazanin"/>
          <w:lang w:bidi="fa-IR"/>
          <w:color w:val="111111"/>
          <w:sz w:val="28"/>
          <w:szCs w:val="28"/>
          <w:rtl/>
        </w:rPr>
        <w:t xml:space="preserve">۵. قم؛ مرعشی؛ شماره نسخه: ۸۰۲۱/۳</w:t>
      </w:r>
    </w:p>
    <w:p>
      <w:pPr>
        <w:pStyle w:val="BookText"/>
      </w:pPr>
      <w:r>
        <w:rPr>
          <w:rFonts w:ascii="IRNazanin" w:hAnsi="IRNazanin" w:eastAsia="IRNazanin" w:cs="IRNazanin"/>
          <w:lang w:bidi="fa-IR"/>
          <w:color w:val="111111"/>
          <w:sz w:val="28"/>
          <w:szCs w:val="28"/>
          <w:rtl/>
        </w:rPr>
        <w:t xml:space="preserve">آغاز و انجام: برابر خط: نستعلیق، كا: احمد بن محمد بن حسن جرجانی، تا: شنبه ۱۲ ذیحجه ۸۲۷ ق، جان یزد، مدرسه حافظیه؛ کاغذ: شرقی نخودی نازک، جلد: تیماج قهوه ای، ۲۸گ (۴۸پ -۷۵ر)، ۱۵ سطر،</w:t>
      </w:r>
    </w:p>
    <w:p>
      <w:pPr>
        <w:pStyle w:val="BookText"/>
      </w:pPr>
      <w:r>
        <w:rPr>
          <w:rFonts w:ascii="IRNazanin" w:hAnsi="IRNazanin" w:eastAsia="IRNazanin" w:cs="IRNazanin"/>
          <w:lang w:bidi="fa-IR"/>
          <w:color w:val="111111"/>
          <w:sz w:val="28"/>
          <w:szCs w:val="28"/>
          <w:rtl/>
        </w:rPr>
        <w:t xml:space="preserve">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۲۱-۳۳]</w:t>
      </w:r>
    </w:p>
    <w:p>
      <w:pPr>
        <w:pStyle w:val="BookText"/>
      </w:pPr>
      <w:r>
        <w:rPr>
          <w:rFonts w:ascii="IRNazanin" w:hAnsi="IRNazanin" w:eastAsia="IRNazanin" w:cs="IRNazanin"/>
          <w:lang w:bidi="fa-IR"/>
          <w:color w:val="111111"/>
          <w:sz w:val="28"/>
          <w:szCs w:val="28"/>
          <w:rtl/>
        </w:rPr>
        <w:t xml:space="preserve">6 . تهران؛ ملک؛ شماره نسخه: ۳۲۶۱/۱</w:t>
      </w:r>
    </w:p>
    <w:p>
      <w:pPr>
        <w:pStyle w:val="BookText"/>
      </w:pPr>
      <w:r>
        <w:rPr>
          <w:rFonts w:ascii="IRNazanin" w:hAnsi="IRNazanin" w:eastAsia="IRNazanin" w:cs="IRNazanin"/>
          <w:lang w:bidi="fa-IR"/>
          <w:color w:val="111111"/>
          <w:sz w:val="28"/>
          <w:szCs w:val="28"/>
          <w:rtl/>
        </w:rPr>
        <w:t xml:space="preserve">خط: نسخ، كا: غیاث الدین ابو سعيد المتطبب، تا: ۱۴۴ق؛ مصحح، مدرس رضوی این نسخه را برای تصحیح خود برگزیده؛ کاغذ: ترمه، جلد: میشن سبز یشمی، ۲۱ سطر، اندازه:</w:t>
      </w:r>
    </w:p>
    <w:p>
      <w:pPr>
        <w:pStyle w:val="BookText"/>
      </w:pPr>
      <w:r>
        <w:rPr>
          <w:rFonts w:ascii="IRNazanin" w:hAnsi="IRNazanin" w:eastAsia="IRNazanin" w:cs="IRNazanin"/>
          <w:lang w:bidi="fa-IR"/>
          <w:color w:val="111111"/>
          <w:sz w:val="28"/>
          <w:szCs w:val="28"/>
          <w:rtl/>
        </w:rPr>
        <w:t xml:space="preserve">۲۳/۵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 [ف: ۳۳۹-۶ ]</w:t>
      </w:r>
    </w:p>
    <w:p>
      <w:pPr>
        <w:pStyle w:val="BookText"/>
      </w:pPr>
      <w:r>
        <w:rPr>
          <w:rFonts w:ascii="IRNazanin" w:hAnsi="IRNazanin" w:eastAsia="IRNazanin" w:cs="IRNazanin"/>
          <w:lang w:bidi="fa-IR"/>
          <w:color w:val="111111"/>
          <w:sz w:val="28"/>
          <w:szCs w:val="28"/>
          <w:rtl/>
        </w:rPr>
        <w:t xml:space="preserve">۷. تهران: مفتاح؛ شماره نسخه: ۴۵۲</w:t>
      </w:r>
    </w:p>
    <w:p>
      <w:pPr>
        <w:pStyle w:val="BookText"/>
      </w:pPr>
      <w:r>
        <w:rPr>
          <w:rFonts w:ascii="IRNazanin" w:hAnsi="IRNazanin" w:eastAsia="IRNazanin" w:cs="IRNazanin"/>
          <w:lang w:bidi="fa-IR"/>
          <w:color w:val="111111"/>
          <w:sz w:val="28"/>
          <w:szCs w:val="28"/>
          <w:rtl/>
        </w:rPr>
        <w:t xml:space="preserve">خط: نستعلیق، بی کا، تا: جمادی الثانی ۸۵۵ق؛ افتادگی: آغاز [نشریه: ۷-۱۰۹]</w:t>
      </w:r>
    </w:p>
    <w:p>
      <w:pPr>
        <w:pStyle w:val="BookText"/>
      </w:pPr>
      <w:r>
        <w:rPr>
          <w:rFonts w:ascii="IRNazanin" w:hAnsi="IRNazanin" w:eastAsia="IRNazanin" w:cs="IRNazanin"/>
          <w:lang w:bidi="fa-IR"/>
          <w:color w:val="111111"/>
          <w:sz w:val="28"/>
          <w:szCs w:val="28"/>
          <w:rtl/>
        </w:rPr>
        <w:t xml:space="preserve">۸. تهران، دانشگاه؛ شماره نسخه: ۱۱۲/۱ ف</w:t>
      </w:r>
    </w:p>
    <w:p>
      <w:pPr>
        <w:pStyle w:val="BookText"/>
      </w:pPr>
      <w:r>
        <w:rPr>
          <w:rFonts w:ascii="IRNazanin" w:hAnsi="IRNazanin" w:eastAsia="IRNazanin" w:cs="IRNazanin"/>
          <w:lang w:bidi="fa-IR"/>
          <w:color w:val="111111"/>
          <w:sz w:val="28"/>
          <w:szCs w:val="28"/>
          <w:rtl/>
        </w:rPr>
        <w:t xml:space="preserve">نسخه اصل: ایاصوفيا ش ۲۶۲۰؛ خط: نستعلیق، بی کا، تا: ۸۷۴ق؛ ۲۳گ (۲-۲۴)، ۱۲ سطر [فيلمها ف: ۱-۴۱۰]</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اردکان یزد؛ امام صادق؛ شماره نسخه: ۳۰۵/۴</w:t>
      </w:r>
    </w:p>
    <w:p>
      <w:pPr>
        <w:pStyle w:val="BookText"/>
      </w:pPr>
      <w:r>
        <w:rPr>
          <w:rFonts w:ascii="IRNazanin" w:hAnsi="IRNazanin" w:eastAsia="IRNazanin" w:cs="IRNazanin"/>
          <w:lang w:bidi="fa-IR"/>
          <w:color w:val="111111"/>
          <w:sz w:val="28"/>
          <w:szCs w:val="28"/>
          <w:rtl/>
        </w:rPr>
        <w:t xml:space="preserve">خط: نستعلیق، كان جمال الدين بن جلال الدین سروی، تا: یک شنبه ۱۱ رمضان ۸۷۵ق؛ جلد: تیماج مشکی ضبی، پشت افتاده، ۱۶گ (۸۵-۱۰۰ر)،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۲-۴۹]</w:t>
      </w:r>
    </w:p>
    <w:p>
      <w:pPr>
        <w:pStyle w:val="BookText"/>
      </w:pPr>
      <w:r>
        <w:rPr>
          <w:rFonts w:ascii="IRNazanin" w:hAnsi="IRNazanin" w:eastAsia="IRNazanin" w:cs="IRNazanin"/>
          <w:lang w:bidi="fa-IR"/>
          <w:color w:val="111111"/>
          <w:sz w:val="28"/>
          <w:szCs w:val="28"/>
          <w:rtl/>
        </w:rPr>
        <w:t xml:space="preserve">۱۰. مشهد؛ رضوی؛ شماره نسخه: ۱۴۱۱۴</w:t>
      </w:r>
    </w:p>
    <w:p>
      <w:pPr>
        <w:pStyle w:val="BookText"/>
      </w:pPr>
      <w:r>
        <w:rPr>
          <w:rFonts w:ascii="IRNazanin" w:hAnsi="IRNazanin" w:eastAsia="IRNazanin" w:cs="IRNazanin"/>
          <w:lang w:bidi="fa-IR"/>
          <w:color w:val="111111"/>
          <w:sz w:val="28"/>
          <w:szCs w:val="28"/>
          <w:rtl/>
        </w:rPr>
        <w:t xml:space="preserve">آغاز: الحمدلله رب العالمین و صلواته على محمد و آله اجمعين این مختصریست در معرفت اسطرلاب از استاذ الدنيا علامة العالم نصیرالدین طوسی؛ انجام: قامت خویش بران افرابند ارتفاع شخص بود ... و الله اعلم بالصواب.</w:t>
      </w:r>
    </w:p>
    <w:p>
      <w:pPr>
        <w:pStyle w:val="BookText"/>
      </w:pPr>
      <w:r>
        <w:rPr>
          <w:rFonts w:ascii="IRNazanin" w:hAnsi="IRNazanin" w:eastAsia="IRNazanin" w:cs="IRNazanin"/>
          <w:lang w:bidi="fa-IR"/>
          <w:color w:val="111111"/>
          <w:sz w:val="28"/>
          <w:szCs w:val="28"/>
          <w:rtl/>
        </w:rPr>
        <w:t xml:space="preserve">دارای دیباچه مختصر از کاتب است؛ خط: نسخ، بی کا، تا: قرن ۱۰؛ ضمیمه: «فصلی در معرفت بالاء اشخاص مرتفع از زمین بی اصطرلاب»، مجدول، دارای کتیبه بازوبندی کوچک نقش آن: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بسم الله تيمنا بذكره»؛ واقف: فاضل خان کاغذ: حنایی، جلد: میشن مشکی، ۱۷ سطر [ف: ۱۸-۲۱]</w:t>
      </w:r>
    </w:p>
    <w:p>
      <w:pPr>
        <w:pStyle w:val="BookText"/>
      </w:pPr>
      <w:r>
        <w:rPr>
          <w:rFonts w:ascii="Amiri" w:hAnsi="Amiri" w:eastAsia="Amiri" w:cs="Amiri"/>
          <w:lang w:bidi="ar-SA"/>
          <w:color w:val="111111"/>
          <w:sz w:val="28"/>
          <w:szCs w:val="28"/>
          <w:rtl/>
        </w:rPr>
        <w:t xml:space="preserve">۱۱. مشهد: الهيات؛ شماره نسخه: ۴۷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۹-۱۰؛ کاغذ: ترمه و فرنگی، جلد: تیماج لایه ای قهوه ای، ۴۱گ، ۱۴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۴)، قطع: ربعی،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سم [ف: ۱-۲۵]</w:t>
      </w:r>
    </w:p>
    <w:p>
      <w:pPr>
        <w:pStyle w:val="BookText"/>
      </w:pPr>
      <w:r>
        <w:rPr>
          <w:rFonts w:ascii="IRNazanin" w:hAnsi="IRNazanin" w:eastAsia="IRNazanin" w:cs="IRNazanin"/>
          <w:lang w:bidi="fa-IR"/>
          <w:color w:val="111111"/>
          <w:sz w:val="28"/>
          <w:szCs w:val="28"/>
          <w:rtl/>
        </w:rPr>
        <w:t xml:space="preserve">۱۲. قم؛ مرعشی؛ شماره نسخه: ۹۰۱۶/۱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سلیمان موسوی، تا: قرن ۱۰؛ کاغذ: شرقی سمرقندی) نخودی، جلد: تیماج مشکی بدون مقوا، ۲۰گ (۱پ -۲۰پ)، ۱۵ سطر، اندازه: ۳/20</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۲۳-۱۷۰]</w:t>
      </w:r>
    </w:p>
    <w:p>
      <w:pPr>
        <w:pStyle w:val="BookText"/>
      </w:pPr>
      <w:r>
        <w:rPr>
          <w:rFonts w:ascii="IRNazanin" w:hAnsi="IRNazanin" w:eastAsia="IRNazanin" w:cs="IRNazanin"/>
          <w:lang w:bidi="fa-IR"/>
          <w:color w:val="111111"/>
          <w:sz w:val="28"/>
          <w:szCs w:val="28"/>
          <w:rtl/>
        </w:rPr>
        <w:t xml:space="preserve">۱۳. مشهد؛ رضوی؛ شماره نسخه: ۱۲۰۲۱/۱</w:t>
      </w:r>
    </w:p>
    <w:p>
      <w:pPr>
        <w:pStyle w:val="BookText"/>
      </w:pPr>
      <w:r>
        <w:rPr>
          <w:rFonts w:ascii="IRNazanin" w:hAnsi="IRNazanin" w:eastAsia="IRNazanin" w:cs="IRNazanin"/>
          <w:lang w:bidi="fa-IR"/>
          <w:color w:val="111111"/>
          <w:sz w:val="28"/>
          <w:szCs w:val="28"/>
          <w:rtl/>
        </w:rPr>
        <w:t xml:space="preserve">آغاز: برابر؛ انجام: و قامت خویش بران افزایند ارتفاع شخص بود و الله اعلم بالصواب واليه المرجع والمآب</w:t>
      </w:r>
    </w:p>
    <w:p>
      <w:pPr>
        <w:pStyle w:val="BookText"/>
      </w:pPr>
      <w:r>
        <w:rPr>
          <w:rFonts w:ascii="IRNazanin" w:hAnsi="IRNazanin" w:eastAsia="IRNazanin" w:cs="IRNazanin"/>
          <w:lang w:bidi="fa-IR"/>
          <w:color w:val="111111"/>
          <w:sz w:val="28"/>
          <w:szCs w:val="28"/>
          <w:rtl/>
        </w:rPr>
        <w:t xml:space="preserve">خط: نسخ و نستعلیق، بی کا، تا: ۹۰۲ق؛ یادداشتی است از عبدالرحمن بن علی بن موید بن الشیخ پیر علی بن سیاوش در روز جمعه یازدهم ربیع الثانی ۹۰۲ به محروسه قسطنطنیه؛ کاغذ: حنایی بغدادی، جلد: تیماج مشکی، ۱۶-۱۷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۱۰-۱۹۴]</w:t>
      </w:r>
    </w:p>
    <w:p>
      <w:pPr>
        <w:pStyle w:val="BookText"/>
      </w:pPr>
      <w:r>
        <w:rPr>
          <w:rFonts w:ascii="IRNazanin" w:hAnsi="IRNazanin" w:eastAsia="IRNazanin" w:cs="IRNazanin"/>
          <w:lang w:bidi="fa-IR"/>
          <w:color w:val="111111"/>
          <w:sz w:val="28"/>
          <w:szCs w:val="28"/>
          <w:rtl/>
        </w:rPr>
        <w:t xml:space="preserve">۱۴. تهران؛ مجلس؛ شماره نسخه: ۷۶۶/۱ -طباطبائی</w:t>
      </w:r>
    </w:p>
    <w:p>
      <w:pPr>
        <w:pStyle w:val="BookText"/>
      </w:pPr>
      <w:r>
        <w:rPr>
          <w:rFonts w:ascii="IRNazanin" w:hAnsi="IRNazanin" w:eastAsia="IRNazanin" w:cs="IRNazanin"/>
          <w:lang w:bidi="fa-IR"/>
          <w:color w:val="111111"/>
          <w:sz w:val="28"/>
          <w:szCs w:val="28"/>
          <w:rtl/>
        </w:rPr>
        <w:t xml:space="preserve">آغاز: قسم کرده باشند آنرا اجزاء ارتفاع خوانند و باشد که هر دو ربع را قسمت کرده باشند و بر ربعی از دو ربع که در شیب بود اجزاء رطل نقش کرده باشند</w:t>
      </w:r>
    </w:p>
    <w:p>
      <w:pPr>
        <w:pStyle w:val="BookText"/>
      </w:pPr>
      <w:r>
        <w:rPr>
          <w:rFonts w:ascii="IRNazanin" w:hAnsi="IRNazanin" w:eastAsia="IRNazanin" w:cs="IRNazanin"/>
          <w:lang w:bidi="fa-IR"/>
          <w:color w:val="111111"/>
          <w:sz w:val="28"/>
          <w:szCs w:val="28"/>
          <w:rtl/>
        </w:rPr>
        <w:t xml:space="preserve">خط: نستعلیق، بی کا، تا: ۹۰۶ق؛ افتادگی: آغاز (مقدمه و بخشی از باب اول افتاده)، کاغذ: اصفهانی نخودی رنگ، جلد: تیماج نیلی دارای ترنج و نیم ترنج ضربی، ۱۷ص (۱-۱۷)، ۱۵ و ۲۸ سطر، قطع: رقعی،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۲۳-۴۹]</w:t>
      </w:r>
    </w:p>
    <w:p>
      <w:pPr>
        <w:pStyle w:val="BookText"/>
      </w:pPr>
      <w:r>
        <w:rPr>
          <w:rFonts w:ascii="IRNazanin" w:hAnsi="IRNazanin" w:eastAsia="IRNazanin" w:cs="IRNazanin"/>
          <w:lang w:bidi="fa-IR"/>
          <w:color w:val="111111"/>
          <w:sz w:val="28"/>
          <w:szCs w:val="28"/>
          <w:rtl/>
        </w:rPr>
        <w:t xml:space="preserve">۱۵. تهران: مجلس؛ شماره نسخه: ۱۳۶۳</w:t>
      </w:r>
    </w:p>
    <w:p>
      <w:pPr>
        <w:pStyle w:val="BookText"/>
      </w:pPr>
      <w:r>
        <w:rPr>
          <w:rFonts w:ascii="IRNazanin" w:hAnsi="IRNazanin" w:eastAsia="IRNazanin" w:cs="IRNazanin"/>
          <w:lang w:bidi="fa-IR"/>
          <w:color w:val="111111"/>
          <w:sz w:val="28"/>
          <w:szCs w:val="28"/>
          <w:rtl/>
        </w:rPr>
        <w:t xml:space="preserve">خط: نسخ، بی کا، تا: شعبان ۹۳۴ق؛ با یادداشت مولانا خلیل الله منجم؛ تملك: محمد رضوی در ۱۱۷۴؛ کاغذ: سفید، جلد: تیماج قهوه ای ضربی و مقوایی نو، ۲۰گ، ۱۹سطر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[سنا: ف: ۲-۲۳۶]</w:t>
      </w:r>
    </w:p>
    <w:p>
      <w:pPr>
        <w:pStyle w:val="BookText"/>
      </w:pPr>
      <w:r>
        <w:rPr>
          <w:rFonts w:ascii="IRNazanin" w:hAnsi="IRNazanin" w:eastAsia="IRNazanin" w:cs="IRNazanin"/>
          <w:lang w:bidi="fa-IR"/>
          <w:color w:val="111111"/>
          <w:sz w:val="28"/>
          <w:szCs w:val="28"/>
          <w:rtl/>
        </w:rPr>
        <w:t xml:space="preserve">تهران؛ مفتاح، شماره نسخه: ۴۱۲</w:t>
      </w:r>
    </w:p>
    <w:p>
      <w:pPr>
        <w:pStyle w:val="BookText"/>
      </w:pPr>
      <w:r>
        <w:rPr>
          <w:rFonts w:ascii="IRNazanin" w:hAnsi="IRNazanin" w:eastAsia="IRNazanin" w:cs="IRNazanin"/>
          <w:lang w:bidi="fa-IR"/>
          <w:color w:val="111111"/>
          <w:sz w:val="28"/>
          <w:szCs w:val="28"/>
          <w:rtl/>
        </w:rPr>
        <w:t xml:space="preserve">همان نسخه بالا [نشریه: ۷-۱۰۹]</w:t>
      </w:r>
    </w:p>
    <w:p>
      <w:pPr>
        <w:pStyle w:val="BookText"/>
      </w:pPr>
      <w:r>
        <w:rPr>
          <w:rFonts w:ascii="IRNazanin" w:hAnsi="IRNazanin" w:eastAsia="IRNazanin" w:cs="IRNazanin"/>
          <w:lang w:bidi="fa-IR"/>
          <w:color w:val="111111"/>
          <w:sz w:val="28"/>
          <w:szCs w:val="28"/>
          <w:rtl/>
        </w:rPr>
        <w:t xml:space="preserve">۱۶. مشهد؛ شیخ علی حیدر؛ شماره نسخه: ۳۲/۵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درویش على بن درویش محمود، تا: ۱۵ جمادی الثانی ۱۵۶ق؛ جلد: تیماج قهوه ای با روکش قرمز پارچه ای، ۱۸گ (۱۶پ -۳۳ر)، ۱۹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(مؤید: ۵۷۴-۳ ]</w:t>
      </w:r>
    </w:p>
    <w:p>
      <w:pPr>
        <w:pStyle w:val="BookText"/>
      </w:pPr>
      <w:r>
        <w:rPr>
          <w:rFonts w:ascii="IRNazanin" w:hAnsi="IRNazanin" w:eastAsia="IRNazanin" w:cs="IRNazanin"/>
          <w:lang w:bidi="fa-IR"/>
          <w:color w:val="111111"/>
          <w:sz w:val="28"/>
          <w:szCs w:val="28"/>
          <w:rtl/>
        </w:rPr>
        <w:t xml:space="preserve">۱۷. قم؛ مرعشی؛ شماره نسخه:۱۳۲۱۵/۱</w:t>
      </w:r>
    </w:p>
    <w:p>
      <w:pPr>
        <w:pStyle w:val="BookText"/>
      </w:pPr>
      <w:r>
        <w:rPr>
          <w:rFonts w:ascii="IRNazanin" w:hAnsi="IRNazanin" w:eastAsia="IRNazanin" w:cs="IRNazanin"/>
          <w:lang w:bidi="fa-IR"/>
          <w:color w:val="111111"/>
          <w:sz w:val="28"/>
          <w:szCs w:val="28"/>
          <w:rtl/>
        </w:rPr>
        <w:t xml:space="preserve">آغاز: بسیار بود از آن جمله سر دایره متوازی بود که مرکز هر سه مرکز صفيحه بود آنچه در میان باشد مدار أس الحمل و الميزان؛ انجام: و آن دایره بود که به نقطه تقاطع افق مشرق و مدار رأس الحمل گذشته باشد، اگر مطالع آفتاب ...</w:t>
      </w:r>
    </w:p>
    <w:p>
      <w:pPr>
        <w:pStyle w:val="BookText"/>
      </w:pPr>
      <w:r>
        <w:rPr>
          <w:rFonts w:ascii="IRNazanin" w:hAnsi="IRNazanin" w:eastAsia="IRNazanin" w:cs="IRNazanin"/>
          <w:lang w:bidi="fa-IR"/>
          <w:color w:val="111111"/>
          <w:sz w:val="28"/>
          <w:szCs w:val="28"/>
          <w:rtl/>
        </w:rPr>
        <w:t xml:space="preserve">نام مؤلف به استناد کتاب شناسی شیخ بهائی ۶۴۸ تغییر یافت؛ خط: نسخ و نستعلیق، كا: لطف الله بن أنوشروان، تا: ۹۷۰ق؛ افتادگی: آغاز و انجام؛ مصحح، کاغذ: شرقی، اگ (۱ر-۷پ)، ۱۷ 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سم [ف: ۳۳-۴۰۱]</w:t>
      </w:r>
    </w:p>
    <w:p>
      <w:pPr>
        <w:pStyle w:val="BookText"/>
      </w:pPr>
      <w:r>
        <w:rPr>
          <w:rFonts w:ascii="IRNazanin" w:hAnsi="IRNazanin" w:eastAsia="IRNazanin" w:cs="IRNazanin"/>
          <w:lang w:bidi="fa-IR"/>
          <w:color w:val="111111"/>
          <w:sz w:val="28"/>
          <w:szCs w:val="28"/>
          <w:rtl/>
        </w:rPr>
        <w:t xml:space="preserve">۱۸. مشهد؛ رضوی؛ شماره نسخه: ۵۲۴۲/۱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تحریری، كا: جلال الدین محمد، تا: ۱۵ ربیع الاول ۹۷۱ق؛ کاغذ: حنایی آهار مهره، جلد: پارچه یی، ۱۸ص (۱-۱۸)، ۲۰ سطر (۱۲/۲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۱۶/۵ )، اندازه: ۲۴/۲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۱۶/۹</w:t>
      </w:r>
    </w:p>
    <w:p>
      <w:pPr>
        <w:pStyle w:val="BookText"/>
      </w:pPr>
      <w:r>
        <w:rPr>
          <w:rFonts w:ascii="IRNazanin" w:hAnsi="IRNazanin" w:eastAsia="IRNazanin" w:cs="IRNazanin"/>
          <w:lang w:bidi="fa-IR"/>
          <w:color w:val="111111"/>
          <w:sz w:val="28"/>
          <w:szCs w:val="28"/>
          <w:rtl/>
        </w:rPr>
        <w:t xml:space="preserve">سم [ف: ۸-۳۷۱]</w:t>
      </w:r>
    </w:p>
    <w:p>
      <w:pPr>
        <w:pStyle w:val="BookText"/>
      </w:pPr>
      <w:r>
        <w:rPr>
          <w:rFonts w:ascii="IRNazanin" w:hAnsi="IRNazanin" w:eastAsia="IRNazanin" w:cs="IRNazanin"/>
          <w:lang w:bidi="fa-IR"/>
          <w:color w:val="111111"/>
          <w:sz w:val="28"/>
          <w:szCs w:val="28"/>
          <w:rtl/>
        </w:rPr>
        <w:t xml:space="preserve">۱۹. قم؛ مرعشی؛ شماره نسخه: ۱۳۱۰۶/۲</w:t>
      </w:r>
    </w:p>
    <w:p>
      <w:pPr>
        <w:pStyle w:val="BookText"/>
      </w:pPr>
      <w:r>
        <w:rPr>
          <w:rFonts w:ascii="IRNazanin" w:hAnsi="IRNazanin" w:eastAsia="IRNazanin" w:cs="IRNazanin"/>
          <w:lang w:bidi="fa-IR"/>
          <w:color w:val="111111"/>
          <w:sz w:val="28"/>
          <w:szCs w:val="28"/>
          <w:rtl/>
        </w:rPr>
        <w:t xml:space="preserve">آغاز: اجزای ساعات شب بود و بر وجهی دیگر نظیر درجه آفتاب را یعنی درجه مقابل او بر خطی نهند از خطوط ساعات؛ انجام: برابر</w:t>
      </w:r>
    </w:p>
    <w:p>
      <w:pPr>
        <w:pStyle w:val="BookText"/>
      </w:pPr>
      <w:r>
        <w:rPr>
          <w:rFonts w:ascii="IRNazanin" w:hAnsi="IRNazanin" w:eastAsia="IRNazanin" w:cs="IRNazanin"/>
          <w:lang w:bidi="fa-IR"/>
          <w:color w:val="111111"/>
          <w:sz w:val="28"/>
          <w:szCs w:val="28"/>
          <w:rtl/>
        </w:rPr>
        <w:t xml:space="preserve">از باب به بعد آغاز می گردد؛ خط: نستعلیق، کا: محمدی بن حسینی مازندرانی، تا: رجب ۹۹۵ق؛ افتادگی: آغاز؛ مصحح، محشی؛ کاغذ: شرقی، جلد: مشمعی، عطف تیماج قهوه ای، ۱۵گ (۳۸پ -۵۲پ)، ۱۸ سطر، اندازه: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۱۱/۵سم [ف: ۳۳-۲۱۲]</w:t>
      </w:r>
    </w:p>
    <w:p>
      <w:pPr>
        <w:pStyle w:val="BookText"/>
      </w:pPr>
      <w:r>
        <w:rPr>
          <w:rFonts w:ascii="Amiri" w:hAnsi="Amiri" w:eastAsia="Amiri" w:cs="Amiri"/>
          <w:lang w:bidi="ar-SA"/>
          <w:color w:val="111111"/>
          <w:sz w:val="28"/>
          <w:szCs w:val="28"/>
          <w:rtl/>
        </w:rPr>
        <w:t xml:space="preserve">۲۰. تهران: دائرة المعارف؛ شماره نسخه: ۴/۱</w:t>
      </w:r>
    </w:p>
    <w:p>
      <w:pPr>
        <w:pStyle w:val="BookText"/>
      </w:pPr>
      <w:r>
        <w:rPr>
          <w:rFonts w:ascii="IRNazanin" w:hAnsi="IRNazanin" w:eastAsia="IRNazanin" w:cs="IRNazanin"/>
          <w:lang w:bidi="fa-IR"/>
          <w:color w:val="111111"/>
          <w:sz w:val="28"/>
          <w:szCs w:val="28"/>
          <w:rtl/>
        </w:rPr>
        <w:t xml:space="preserve">آغاز: برابر؛ انجام: بر بیشتر اسطرلابهای این کواکب را نقش کنند خط نستعلیق پخته، بی کا، تا: ۹۹۶ق؛ ۲۳گ (آپ -۲۳ ر) [ف: ۱-۳۸]</w:t>
      </w:r>
    </w:p>
    <w:p>
      <w:pPr>
        <w:pStyle w:val="BookText"/>
      </w:pPr>
      <w:r>
        <w:rPr>
          <w:rFonts w:ascii="IRNazanin" w:hAnsi="IRNazanin" w:eastAsia="IRNazanin" w:cs="IRNazanin"/>
          <w:lang w:bidi="fa-IR"/>
          <w:color w:val="111111"/>
          <w:sz w:val="28"/>
          <w:szCs w:val="28"/>
          <w:rtl/>
        </w:rPr>
        <w:t xml:space="preserve">۲۱. تهران، دانشگاه؛ شماره نسخه: ۲۷۸۸/۲</w:t>
      </w:r>
    </w:p>
    <w:p>
      <w:pPr>
        <w:pStyle w:val="BookText"/>
      </w:pPr>
      <w:r>
        <w:rPr>
          <w:rFonts w:ascii="IRNazanin" w:hAnsi="IRNazanin" w:eastAsia="IRNazanin" w:cs="IRNazanin"/>
          <w:lang w:bidi="fa-IR"/>
          <w:color w:val="111111"/>
          <w:sz w:val="28"/>
          <w:szCs w:val="28"/>
          <w:rtl/>
        </w:rPr>
        <w:t xml:space="preserve">خط: نستعلیق، بی کا، تا: قرن ۱۱؛ مجدول؛ کاغذ: فرنگی، جلد: تیماج مشکی، ۳۶ص (۱۴۳-۱۷۸) [ف: ۱۰-۱۶۴۰]</w:t>
      </w:r>
    </w:p>
    <w:p>
      <w:pPr>
        <w:pStyle w:val="BookText"/>
      </w:pPr>
      <w:r>
        <w:rPr>
          <w:rFonts w:ascii="IRNazanin" w:hAnsi="IRNazanin" w:eastAsia="IRNazanin" w:cs="IRNazanin"/>
          <w:lang w:bidi="fa-IR"/>
          <w:color w:val="111111"/>
          <w:sz w:val="28"/>
          <w:szCs w:val="28"/>
          <w:rtl/>
        </w:rPr>
        <w:t xml:space="preserve">۲۲. تهران؛ ملک؛ شماره نسخه: ۳۴۳۷/۴</w:t>
      </w:r>
    </w:p>
    <w:p>
      <w:pPr>
        <w:pStyle w:val="BookText"/>
      </w:pPr>
      <w:r>
        <w:rPr>
          <w:rFonts w:ascii="IRNazanin" w:hAnsi="IRNazanin" w:eastAsia="IRNazanin" w:cs="IRNazanin"/>
          <w:lang w:bidi="fa-IR"/>
          <w:color w:val="111111"/>
          <w:sz w:val="28"/>
          <w:szCs w:val="28"/>
          <w:rtl/>
        </w:rPr>
        <w:t xml:space="preserve">خط: نستعلیق، بی کا، تا: قرن ۱۱؛ کاغذ: پسته ای، جلد: رویه میشن سبز، ۲۲گ (۹۵-۱۱۶ر)، ۱۸ و ۲۳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۴۱۶-۶ ]</w:t>
      </w:r>
    </w:p>
    <w:p>
      <w:pPr>
        <w:pStyle w:val="BookText"/>
      </w:pPr>
      <w:r>
        <w:rPr>
          <w:rFonts w:ascii="IRNazanin" w:hAnsi="IRNazanin" w:eastAsia="IRNazanin" w:cs="IRNazanin"/>
          <w:lang w:bidi="fa-IR"/>
          <w:color w:val="111111"/>
          <w:sz w:val="28"/>
          <w:szCs w:val="28"/>
          <w:rtl/>
        </w:rPr>
        <w:t xml:space="preserve">۲۳. تهران؛ ملک؛ شماره نسخه: ۱۵۶۶/۵</w:t>
      </w:r>
    </w:p>
    <w:p>
      <w:pPr>
        <w:pStyle w:val="BookText"/>
      </w:pPr>
      <w:r>
        <w:rPr>
          <w:rFonts w:ascii="IRNazanin" w:hAnsi="IRNazanin" w:eastAsia="IRNazanin" w:cs="IRNazanin"/>
          <w:lang w:bidi="fa-IR"/>
          <w:color w:val="111111"/>
          <w:sz w:val="28"/>
          <w:szCs w:val="28"/>
          <w:rtl/>
        </w:rPr>
        <w:t xml:space="preserve">خط: نستعلیق، بی کا، تا: قرن ۱۱؛ کاغذ: ترمه، جلد: میشن زرد لایی، ۲ص، ۱۴ سطر [ف: ۵-۲۹۲]</w:t>
      </w:r>
    </w:p>
    <w:p>
      <w:pPr>
        <w:pStyle w:val="BookText"/>
      </w:pPr>
      <w:r>
        <w:rPr>
          <w:rFonts w:ascii="IRNazanin" w:hAnsi="IRNazanin" w:eastAsia="IRNazanin" w:cs="IRNazanin"/>
          <w:lang w:bidi="fa-IR"/>
          <w:color w:val="111111"/>
          <w:sz w:val="28"/>
          <w:szCs w:val="28"/>
          <w:rtl/>
        </w:rPr>
        <w:t xml:space="preserve">۲۴. تهران؛ ملی؛ شماره نسخه: ۱۴۱۳</w:t>
      </w:r>
    </w:p>
    <w:p>
      <w:pPr>
        <w:pStyle w:val="BookText"/>
      </w:pPr>
      <w:r>
        <w:rPr>
          <w:rFonts w:ascii="IRNazanin" w:hAnsi="IRNazanin" w:eastAsia="IRNazanin" w:cs="IRNazanin"/>
          <w:lang w:bidi="fa-IR"/>
          <w:color w:val="111111"/>
          <w:sz w:val="28"/>
          <w:szCs w:val="28"/>
          <w:rtl/>
        </w:rPr>
        <w:t xml:space="preserve">آغاز: این مختصریست در معرفت اسطر لاب از تضایف مولانا سلطان الحكماء؛ انجام: بالا آن شخص بودیم تم الكتاب في علم الاسطرلاب. خط: نستعلیق، کا: محمد بديع بن محمد اکبر الجويمندی، تا: قرن ۱۱؛ دارای جداول نجومی؛ کاغذ: فرنگی، جلد: تیماج، قرمز،</w:t>
      </w:r>
    </w:p>
    <w:p>
      <w:pPr>
        <w:pStyle w:val="BookText"/>
      </w:pPr>
      <w:r>
        <w:rPr>
          <w:rFonts w:ascii="IRNazanin" w:hAnsi="IRNazanin" w:eastAsia="IRNazanin" w:cs="IRNazanin"/>
          <w:lang w:bidi="fa-IR"/>
          <w:color w:val="111111"/>
          <w:sz w:val="28"/>
          <w:szCs w:val="28"/>
          <w:rtl/>
        </w:rPr>
        <w:t xml:space="preserve">یک لا، ۶۶گ، ۱۲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۳-۴۷۰]</w:t>
      </w:r>
    </w:p>
    <w:p>
      <w:pPr>
        <w:pStyle w:val="BookText"/>
      </w:pPr>
      <w:r>
        <w:rPr>
          <w:rFonts w:ascii="IRNazanin" w:hAnsi="IRNazanin" w:eastAsia="IRNazanin" w:cs="IRNazanin"/>
          <w:lang w:bidi="fa-IR"/>
          <w:color w:val="111111"/>
          <w:sz w:val="28"/>
          <w:szCs w:val="28"/>
          <w:rtl/>
        </w:rPr>
        <w:t xml:space="preserve">۲۵. تهران؛ ملک؛ شماره نسخه: ۳۱۷۶/۲</w:t>
      </w:r>
    </w:p>
    <w:p>
      <w:pPr>
        <w:pStyle w:val="BookText"/>
      </w:pPr>
      <w:r>
        <w:rPr>
          <w:rFonts w:ascii="IRNazanin" w:hAnsi="IRNazanin" w:eastAsia="IRNazanin" w:cs="IRNazanin"/>
          <w:lang w:bidi="fa-IR"/>
          <w:color w:val="111111"/>
          <w:sz w:val="28"/>
          <w:szCs w:val="28"/>
          <w:rtl/>
        </w:rPr>
        <w:t xml:space="preserve">خط: نسخ، بی کا، تا: قرن ۱۱؛ کاغذ: ترمه، جلد: میشن لایی قرمز، ۳۴گ (۱۶پ-۴۹پ)، ۱۲ سطر، اندازه: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۶-۲۵۷]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۲۶. تهران؛ الهيات؛ شماره نسخه: ۲۴۲/۴</w:t>
      </w:r>
    </w:p>
    <w:p>
      <w:pPr>
        <w:pStyle w:val="BookText"/>
      </w:pPr>
      <w:r>
        <w:rPr>
          <w:rFonts w:ascii="IRNazanin" w:hAnsi="IRNazanin" w:eastAsia="IRNazanin" w:cs="IRNazanin"/>
          <w:lang w:bidi="fa-IR"/>
          <w:color w:val="111111"/>
          <w:sz w:val="28"/>
          <w:szCs w:val="28"/>
          <w:rtl/>
        </w:rPr>
        <w:t xml:space="preserve">خط: نستعلیق،بی کا، تا: قرن ۱۱؛ کاغذ: اصفهانی، جلد: تیماج مشکی ضربی، ۱۶گ (۱۲۷پ - ۱۴۲ر)، ۲۱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۱۲/۵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۲۶۴]</w:t>
      </w:r>
    </w:p>
    <w:p>
      <w:pPr>
        <w:pStyle w:val="BookText"/>
      </w:pPr>
      <w:r>
        <w:rPr>
          <w:rFonts w:ascii="IRNazanin" w:hAnsi="IRNazanin" w:eastAsia="IRNazanin" w:cs="IRNazanin"/>
          <w:lang w:bidi="fa-IR"/>
          <w:color w:val="111111"/>
          <w:sz w:val="28"/>
          <w:szCs w:val="28"/>
          <w:rtl/>
        </w:rPr>
        <w:t xml:space="preserve">۲۷. قم؛ مرعشی؛ شماره نسخه: ۸۲۹۹/۵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قاسم بن محمد حسين رشتی، تا: قرن ۱۱؛ کاغذ: فرنگی سفید آهار مهره، جلد: دو رو تیماج رو قهوه ای پشت مشکی، ۲۲گ (۱۱۶پ -۱۳۷پ)، ۱۵ سطر، اندازه: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[ف: ۲۱-۲۶۰]</w:t>
      </w:r>
    </w:p>
    <w:p>
      <w:pPr>
        <w:pStyle w:val="BookText"/>
      </w:pPr>
      <w:r>
        <w:rPr>
          <w:rFonts w:ascii="IRNazanin" w:hAnsi="IRNazanin" w:eastAsia="IRNazanin" w:cs="IRNazanin"/>
          <w:lang w:bidi="fa-IR"/>
          <w:color w:val="111111"/>
          <w:sz w:val="28"/>
          <w:szCs w:val="28"/>
          <w:rtl/>
        </w:rPr>
        <w:t xml:space="preserve">۲۸. مشهد؛ رضوی؛ شماره نسخه: ۲/۱۲۷۴۰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۱۱؛ کاغذ: آهار مهره نخودی، جلد: میشنی دار چینی کم رنگ، اندازه: ۱۳/۴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۲۲/۵سم [ف: ۱۸-۱۳۴]</w:t>
      </w:r>
    </w:p>
    <w:p>
      <w:pPr>
        <w:pStyle w:val="BookText"/>
      </w:pPr>
      <w:r>
        <w:rPr>
          <w:rFonts w:ascii="IRNazanin" w:hAnsi="IRNazanin" w:eastAsia="IRNazanin" w:cs="IRNazanin"/>
          <w:lang w:bidi="fa-IR"/>
          <w:color w:val="111111"/>
          <w:sz w:val="28"/>
          <w:szCs w:val="28"/>
          <w:rtl/>
        </w:rPr>
        <w:t xml:space="preserve">۲۹. مشهد؛ گوهرشاد؛ شماره نسخه: ۱۰۸۳/۳</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تا: قرن ۱۱؛ افتادگی: انجام؛ محشی، مصحح؛ مهر: حاج سید سعید؛ جلد: تیماج لایه ای سبز، ۲۳گ (۴۹-۷۱)، ۱۷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 اندازه:</w:t>
      </w:r>
    </w:p>
    <w:p>
      <w:pPr>
        <w:pStyle w:val="BookText"/>
      </w:pPr>
      <w:r>
        <w:rPr>
          <w:rFonts w:ascii="IRNazanin" w:hAnsi="IRNazanin" w:eastAsia="IRNazanin" w:cs="IRNazanin"/>
          <w:lang w:bidi="fa-IR"/>
          <w:color w:val="111111"/>
          <w:sz w:val="28"/>
          <w:szCs w:val="28"/>
          <w:rtl/>
        </w:rPr>
        <w:t xml:space="preserve">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[ف: ۳-۱۴۹۴]</w:t>
      </w:r>
    </w:p>
    <w:p>
      <w:pPr>
        <w:pStyle w:val="BookText"/>
      </w:pPr>
      <w:r>
        <w:rPr>
          <w:rFonts w:ascii="IRNazanin" w:hAnsi="IRNazanin" w:eastAsia="IRNazanin" w:cs="IRNazanin"/>
          <w:lang w:bidi="fa-IR"/>
          <w:color w:val="111111"/>
          <w:sz w:val="28"/>
          <w:szCs w:val="28"/>
          <w:rtl/>
        </w:rPr>
        <w:t xml:space="preserve">۳۰. تهران؛ مجلس؛ شماره نسخه: ۵۳۹۱/۱۰</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کامل؛ خط: نستعلیق، بی کا، تا: قرن ۱۰-۱۱؛ محشی با نشانه «۱ ه ع»؛ کاغذ: سپاهانی، جلد: مقوایی، ۱۸گ (۱۷پ -۳۴ر)، ۱۸ سطر (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۱۶-۲۹۸]</w:t>
      </w:r>
    </w:p>
    <w:p>
      <w:pPr>
        <w:pStyle w:val="BookText"/>
      </w:pPr>
      <w:r>
        <w:rPr>
          <w:rFonts w:ascii="IRNazanin" w:hAnsi="IRNazanin" w:eastAsia="IRNazanin" w:cs="IRNazanin"/>
          <w:lang w:bidi="fa-IR"/>
          <w:color w:val="111111"/>
          <w:sz w:val="28"/>
          <w:szCs w:val="28"/>
          <w:rtl/>
        </w:rPr>
        <w:t xml:space="preserve">۳۱. قم؛ گلپایگانی شماره نسخه: ۲۴۹۰/۲ - ۱۳/۱۷۰</w:t>
      </w:r>
    </w:p>
    <w:p>
      <w:pPr>
        <w:pStyle w:val="BookText"/>
      </w:pPr>
      <w:r>
        <w:rPr>
          <w:rFonts w:ascii="IRNazanin" w:hAnsi="IRNazanin" w:eastAsia="IRNazanin" w:cs="IRNazanin"/>
          <w:lang w:bidi="fa-IR"/>
          <w:color w:val="111111"/>
          <w:sz w:val="28"/>
          <w:szCs w:val="28"/>
          <w:rtl/>
        </w:rPr>
        <w:t xml:space="preserve">آغاز: برابر؛ انجام: که کمتر از سی مانده باشد اگر مانده باشد در چهار ضرب کنی و مبلغ را بر آن عدد و رقم افزائیم که نگاه داشته ایم و هفت</w:t>
      </w:r>
    </w:p>
    <w:p>
      <w:pPr>
        <w:pStyle w:val="BookText"/>
      </w:pPr>
      <w:r>
        <w:rPr>
          <w:rFonts w:ascii="IRNazanin" w:hAnsi="IRNazanin" w:eastAsia="IRNazanin" w:cs="IRNazanin"/>
          <w:lang w:bidi="fa-IR"/>
          <w:color w:val="111111"/>
          <w:sz w:val="28"/>
          <w:szCs w:val="28"/>
          <w:rtl/>
        </w:rPr>
        <w:t xml:space="preserve">خط: نسخ، بی کا، تا: قرن ۱۱؛ جلد: تیماج مشکی سوخت با ترنج با سر، ۲۲گ، ۱۵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سم [ف: ۲-۶۵۶]</w:t>
      </w:r>
    </w:p>
    <w:p>
      <w:pPr>
        <w:pStyle w:val="BookText"/>
      </w:pPr>
      <w:r>
        <w:rPr>
          <w:rFonts w:ascii="IRNazanin" w:hAnsi="IRNazanin" w:eastAsia="IRNazanin" w:cs="IRNazanin"/>
          <w:lang w:bidi="fa-IR"/>
          <w:color w:val="111111"/>
          <w:sz w:val="28"/>
          <w:szCs w:val="28"/>
          <w:rtl/>
        </w:rPr>
        <w:t xml:space="preserve">۳۲. قم؛ مسجد اعظم؛ شماره نسخه: ۲۳۹۸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۱۱؛ محشی با امضای «محمد باقر»؛ تملك: سید اسدالله موسوی طبرسی در ۱۳۱۰ ق با مهر «اسدالله الموسوی» (بیضوی)؛ جلد: تیماج سیاه، ۲۱گ، ۱۸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[ف مخ: ۱-۲۹۴]</w:t>
      </w:r>
    </w:p>
    <w:p>
      <w:pPr>
        <w:pStyle w:val="BookText"/>
      </w:pPr>
      <w:r>
        <w:rPr>
          <w:rFonts w:ascii="IRNazanin" w:hAnsi="IRNazanin" w:eastAsia="IRNazanin" w:cs="IRNazanin"/>
          <w:lang w:bidi="fa-IR"/>
          <w:color w:val="111111"/>
          <w:sz w:val="28"/>
          <w:szCs w:val="28"/>
          <w:rtl/>
        </w:rPr>
        <w:t xml:space="preserve">۳۳. تهران، ملک، شماره نسخه: ۳۱۱۰</w:t>
      </w:r>
    </w:p>
    <w:p>
      <w:pPr>
        <w:pStyle w:val="BookText"/>
      </w:pPr>
      <w:r>
        <w:rPr>
          <w:rFonts w:ascii="IRNazanin" w:hAnsi="IRNazanin" w:eastAsia="IRNazanin" w:cs="IRNazanin"/>
          <w:lang w:bidi="fa-IR"/>
          <w:color w:val="111111"/>
          <w:sz w:val="28"/>
          <w:szCs w:val="28"/>
          <w:rtl/>
        </w:rPr>
        <w:t xml:space="preserve">خط: نستعلیق، بی کا، تا: قرن ۱۱، کاغذ ترمه، جلد: میشن قرمز لایی، ۲۰، ۱۸ سطر، اندازه:</w:t>
      </w:r>
    </w:p>
    <w:p>
      <w:pPr>
        <w:pStyle w:val="BookText"/>
      </w:pPr>
      <w:r>
        <w:rPr>
          <w:rFonts w:ascii="IRNazanin" w:hAnsi="IRNazanin" w:eastAsia="IRNazanin" w:cs="IRNazanin"/>
          <w:lang w:bidi="fa-IR"/>
          <w:color w:val="111111"/>
          <w:sz w:val="28"/>
          <w:szCs w:val="28"/>
          <w:rtl/>
        </w:rPr>
        <w:t xml:space="preserve">۱۹/۳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۱۲/۹ سم [ف: ۲-۶۶]</w:t>
      </w:r>
    </w:p>
    <w:p>
      <w:pPr>
        <w:pStyle w:val="BookText"/>
      </w:pPr>
      <w:r>
        <w:rPr>
          <w:rFonts w:ascii="IRNazanin" w:hAnsi="IRNazanin" w:eastAsia="IRNazanin" w:cs="IRNazanin"/>
          <w:lang w:bidi="fa-IR"/>
          <w:color w:val="111111"/>
          <w:sz w:val="28"/>
          <w:szCs w:val="28"/>
          <w:rtl/>
        </w:rPr>
        <w:t xml:space="preserve">۳۴. تهران: مفتاح؛ شماره نسخه: ۲۳۷/۳</w:t>
      </w:r>
    </w:p>
    <w:p>
      <w:pPr>
        <w:pStyle w:val="BookText"/>
      </w:pPr>
      <w:r>
        <w:rPr>
          <w:rFonts w:ascii="IRNazanin" w:hAnsi="IRNazanin" w:eastAsia="IRNazanin" w:cs="IRNazanin"/>
          <w:lang w:bidi="fa-IR"/>
          <w:color w:val="111111"/>
          <w:sz w:val="28"/>
          <w:szCs w:val="28"/>
          <w:rtl/>
        </w:rPr>
        <w:t xml:space="preserve">خط: نستعلیق، بی کا، تا: قرن ۱۱[ نشریه: ۷-۲۳۷]</w:t>
      </w:r>
    </w:p>
    <w:p>
      <w:pPr>
        <w:pStyle w:val="BookText"/>
      </w:pPr>
      <w:r>
        <w:rPr>
          <w:rFonts w:ascii="IRNazanin" w:hAnsi="IRNazanin" w:eastAsia="IRNazanin" w:cs="IRNazanin"/>
          <w:lang w:bidi="fa-IR"/>
          <w:color w:val="111111"/>
          <w:sz w:val="28"/>
          <w:szCs w:val="28"/>
          <w:rtl/>
        </w:rPr>
        <w:t xml:space="preserve">۳۵. قم؛ مرعشی؛ شماره نسخه: ۱۰۹۳۴/۲</w:t>
      </w:r>
    </w:p>
    <w:p>
      <w:pPr>
        <w:pStyle w:val="BookText"/>
      </w:pPr>
      <w:r>
        <w:rPr>
          <w:rFonts w:ascii="IRNazanin" w:hAnsi="IRNazanin" w:eastAsia="IRNazanin" w:cs="IRNazanin"/>
          <w:lang w:bidi="fa-IR"/>
          <w:color w:val="111111"/>
          <w:sz w:val="28"/>
          <w:szCs w:val="28"/>
          <w:rtl/>
        </w:rPr>
        <w:t xml:space="preserve">خط: نسخ خوش، بی کا، تا: نیمه دوم قرن ۱۱؛ قطع: جانمازی</w:t>
      </w:r>
    </w:p>
    <w:p>
      <w:pPr>
        <w:pStyle w:val="BookText"/>
      </w:pPr>
      <w:r>
        <w:rPr>
          <w:rFonts w:ascii="IRNazanin" w:hAnsi="IRNazanin" w:eastAsia="IRNazanin" w:cs="IRNazanin"/>
          <w:lang w:bidi="fa-IR"/>
          <w:color w:val="111111"/>
          <w:sz w:val="28"/>
          <w:szCs w:val="28"/>
          <w:rtl/>
        </w:rPr>
        <w:t xml:space="preserve">میراث شهاب: س وش ۲-۳۹ ۳۶. اصفهان؛ دانشگاه؛ شماره نسخه: ۶۵/۲</w:t>
      </w:r>
    </w:p>
    <w:p>
      <w:pPr>
        <w:pStyle w:val="BookText"/>
      </w:pPr>
      <w:r>
        <w:rPr>
          <w:rFonts w:ascii="IRNazanin" w:hAnsi="IRNazanin" w:eastAsia="IRNazanin" w:cs="IRNazanin"/>
          <w:lang w:bidi="fa-IR"/>
          <w:color w:val="111111"/>
          <w:sz w:val="28"/>
          <w:szCs w:val="28"/>
          <w:rtl/>
        </w:rPr>
        <w:t xml:space="preserve">بی کا، تا: قرن دهم یا قرن ۱۱؛ جلد: تیماج قهوه ای سوخته بدون مقوا، ۱۰گ (۲۷پ -۳۶ر)، اندازه: ۱۸۶۱۲/۵ سم [ف: ۱-۵۸]</w:t>
      </w:r>
    </w:p>
    <w:p>
      <w:pPr>
        <w:pStyle w:val="BookText"/>
      </w:pPr>
      <w:r>
        <w:rPr>
          <w:rFonts w:ascii="IRNazanin" w:hAnsi="IRNazanin" w:eastAsia="IRNazanin" w:cs="IRNazanin"/>
          <w:lang w:bidi="fa-IR"/>
          <w:color w:val="111111"/>
          <w:sz w:val="28"/>
          <w:szCs w:val="28"/>
          <w:rtl/>
        </w:rPr>
        <w:t xml:space="preserve">۳۷. تهران، مجلس؛ شماره نسخه: ۶۷۹۷/۵</w:t>
      </w:r>
    </w:p>
    <w:p>
      <w:pPr>
        <w:pStyle w:val="BookText"/>
      </w:pPr>
      <w:r>
        <w:rPr>
          <w:rFonts w:ascii="IRNazanin" w:hAnsi="IRNazanin" w:eastAsia="IRNazanin" w:cs="IRNazanin"/>
          <w:lang w:bidi="fa-IR"/>
          <w:color w:val="111111"/>
          <w:sz w:val="28"/>
          <w:szCs w:val="28"/>
          <w:rtl/>
        </w:rPr>
        <w:t xml:space="preserve">آغاز: و ذنب الدجاجة خوانند و بعد از حجره چند ستاره در روشنی به یکدیگر نزدیک</w:t>
      </w:r>
    </w:p>
    <w:p>
      <w:pPr>
        <w:pStyle w:val="BookText"/>
      </w:pPr>
      <w:r>
        <w:rPr>
          <w:rFonts w:ascii="IRNazanin" w:hAnsi="IRNazanin" w:eastAsia="IRNazanin" w:cs="IRNazanin"/>
          <w:lang w:bidi="fa-IR"/>
          <w:color w:val="111111"/>
          <w:sz w:val="28"/>
          <w:szCs w:val="28"/>
          <w:rtl/>
        </w:rPr>
        <w:t xml:space="preserve">خط: نستعلیق، بی کا، تا: قرن ۱۱؛ افتادگی: انجام؛ دارای اشکال هندسی، مصحح، جلد: تیماج مشکی، ۲۷گ (۱۳۷پ -۱۶۳پ)،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۲۰-۲۶۶]</w:t>
      </w:r>
    </w:p>
    <w:p>
      <w:pPr>
        <w:pStyle w:val="BookText"/>
      </w:pPr>
      <w:r>
        <w:rPr>
          <w:rFonts w:ascii="IRNazanin" w:hAnsi="IRNazanin" w:eastAsia="IRNazanin" w:cs="IRNazanin"/>
          <w:lang w:bidi="fa-IR"/>
          <w:color w:val="111111"/>
          <w:sz w:val="28"/>
          <w:szCs w:val="28"/>
          <w:rtl/>
        </w:rPr>
        <w:t xml:space="preserve">۳۸. تهران؛ مجلس؛ شماره نسخه: ۶۵۲۹/۳۰</w:t>
      </w:r>
    </w:p>
    <w:p>
      <w:pPr>
        <w:pStyle w:val="BookText"/>
      </w:pPr>
      <w:r>
        <w:rPr>
          <w:rFonts w:ascii="IRNazanin" w:hAnsi="IRNazanin" w:eastAsia="IRNazanin" w:cs="IRNazanin"/>
          <w:lang w:bidi="fa-IR"/>
          <w:color w:val="111111"/>
          <w:sz w:val="28"/>
          <w:szCs w:val="28"/>
          <w:rtl/>
        </w:rPr>
        <w:t xml:space="preserve">خط: نستعلیق، بی کا، تا: قرن ۱۱؛ مصحح؛ جلد: تیماج قهوه ای بدون مقوا عطف، ۳۰گی (۲۲-۱ ۵ر)، اندازه: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۱۰۴-۲۰ ]</w:t>
      </w:r>
    </w:p>
    <w:p>
      <w:pPr>
        <w:pStyle w:val="BookText"/>
      </w:pPr>
      <w:r>
        <w:rPr>
          <w:rFonts w:ascii="IRNazanin" w:hAnsi="IRNazanin" w:eastAsia="IRNazanin" w:cs="IRNazanin"/>
          <w:lang w:bidi="fa-IR"/>
          <w:color w:val="111111"/>
          <w:sz w:val="28"/>
          <w:szCs w:val="28"/>
          <w:rtl/>
        </w:rPr>
        <w:t xml:space="preserve">۳۹. قم: مرکز احیاء؛ شماره نسخه: ۴۹۶/۲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غره رمضان ۱۰۰۷ق؛ جلد: مقوایی عطف و گوشه ها تیماج مشکی، ۲۹گ (۶۵پ -۹۳ر)،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۲-۱۱۴]</w:t>
      </w:r>
    </w:p>
    <w:p>
      <w:pPr>
        <w:pStyle w:val="BookText"/>
      </w:pPr>
      <w:r>
        <w:rPr>
          <w:rFonts w:ascii="IRNazanin" w:hAnsi="IRNazanin" w:eastAsia="IRNazanin" w:cs="IRNazanin"/>
          <w:lang w:bidi="fa-IR"/>
          <w:color w:val="111111"/>
          <w:sz w:val="28"/>
          <w:szCs w:val="28"/>
          <w:rtl/>
        </w:rPr>
        <w:t xml:space="preserve">۴۰. مشهد؛ رضوی؛ شماره نسخه: ض۱۲۹۸۴</w:t>
      </w:r>
    </w:p>
    <w:p>
      <w:pPr>
        <w:pStyle w:val="BookText"/>
      </w:pPr>
      <w:r>
        <w:rPr>
          <w:rFonts w:ascii="IRNazanin" w:hAnsi="IRNazanin" w:eastAsia="IRNazanin" w:cs="IRNazanin"/>
          <w:lang w:bidi="fa-IR"/>
          <w:color w:val="111111"/>
          <w:sz w:val="28"/>
          <w:szCs w:val="28"/>
          <w:rtl/>
        </w:rPr>
        <w:t xml:space="preserve">کا: مبارک</w:t>
      </w:r>
    </w:p>
    <w:p>
      <w:pPr>
        <w:pStyle w:val="BookText"/>
      </w:pPr>
      <w:r>
        <w:rPr>
          <w:rFonts w:ascii="IRNazanin" w:hAnsi="IRNazanin" w:eastAsia="IRNazanin" w:cs="IRNazanin"/>
          <w:lang w:bidi="fa-IR"/>
          <w:color w:val="111111"/>
          <w:sz w:val="28"/>
          <w:szCs w:val="28"/>
          <w:rtl/>
        </w:rPr>
        <w:t xml:space="preserve">جونپوری، تا: ۱۰11ق [الفبائی: 93]</w:t>
      </w:r>
    </w:p>
    <w:p>
      <w:pPr>
        <w:pStyle w:val="BookText"/>
      </w:pPr>
      <w:r>
        <w:rPr>
          <w:rFonts w:ascii="IRNazanin" w:hAnsi="IRNazanin" w:eastAsia="IRNazanin" w:cs="IRNazanin"/>
          <w:lang w:bidi="fa-IR"/>
          <w:color w:val="111111"/>
          <w:sz w:val="28"/>
          <w:szCs w:val="28"/>
          <w:rtl/>
        </w:rPr>
        <w:t xml:space="preserve">۴۱. تهران؛ مجلس؛ شماره نسخه: ۱۳۵۴/۳</w:t>
      </w:r>
    </w:p>
    <w:p>
      <w:pPr>
        <w:pStyle w:val="BookText"/>
      </w:pPr>
      <w:r>
        <w:rPr>
          <w:rFonts w:ascii="IRNazanin" w:hAnsi="IRNazanin" w:eastAsia="IRNazanin" w:cs="IRNazanin"/>
          <w:lang w:bidi="fa-IR"/>
          <w:color w:val="111111"/>
          <w:sz w:val="28"/>
          <w:szCs w:val="28"/>
          <w:rtl/>
        </w:rPr>
        <w:t xml:space="preserve">ط آغاز: بسمله. باب در معرفت ستاره چند که در اصطرلاب نقش کنند از جهة ارتفاع گرفتن شب؛ انجام: برابر</w:t>
      </w:r>
    </w:p>
    <w:p>
      <w:pPr>
        <w:pStyle w:val="BookText"/>
      </w:pPr>
      <w:r>
        <w:rPr>
          <w:rFonts w:ascii="IRNazanin" w:hAnsi="IRNazanin" w:eastAsia="IRNazanin" w:cs="IRNazanin"/>
          <w:lang w:bidi="fa-IR"/>
          <w:color w:val="111111"/>
          <w:sz w:val="28"/>
          <w:szCs w:val="28"/>
          <w:rtl/>
        </w:rPr>
        <w:t xml:space="preserve">فقط باب بیست آن است؛ خط: نسخ و نستعلیق، کا: معزالدین محمد بن مظفر حسین امامی، تا: ۱۰۱۶ق؛ جلد: تیماج عنابی با ترنج با سر، ضربی مجدول لولادار، ۲ص (۸۷-۸۸)، ۱۹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۲۴/۳ -۸۵]</w:t>
      </w:r>
    </w:p>
    <w:p>
      <w:pPr>
        <w:pStyle w:val="BookText"/>
      </w:pPr>
      <w:r>
        <w:rPr>
          <w:rFonts w:ascii="IRNazanin" w:hAnsi="IRNazanin" w:eastAsia="IRNazanin" w:cs="IRNazanin"/>
          <w:lang w:bidi="fa-IR"/>
          <w:color w:val="111111"/>
          <w:sz w:val="28"/>
          <w:szCs w:val="28"/>
          <w:rtl/>
        </w:rPr>
        <w:t xml:space="preserve">۴۲. مشهد؛ فرهنگ و هنر؛ شماره نسخه: الف -۱۲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شوال ۱۰۱۸ق، اهدایی: آقایان محمد و حسینعلی الهی؛ کاغذ کاهی صیقلی سفید تیره، جلد: مقوای ساغری مشکی، ۴۲ص، ۲۲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۴/۵ )،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۶۴]</w:t>
      </w:r>
    </w:p>
    <w:p>
      <w:pPr>
        <w:pStyle w:val="BookText"/>
      </w:pPr>
      <w:r>
        <w:rPr>
          <w:rFonts w:ascii="IRNazanin" w:hAnsi="IRNazanin" w:eastAsia="IRNazanin" w:cs="IRNazanin"/>
          <w:lang w:bidi="fa-IR"/>
          <w:color w:val="111111"/>
          <w:sz w:val="28"/>
          <w:szCs w:val="28"/>
          <w:rtl/>
        </w:rPr>
        <w:t xml:space="preserve">۴۳. قم؛ مرعشی؛ شماره نسخه: ۱۰۱۹۵/۸</w:t>
      </w:r>
    </w:p>
    <w:p>
      <w:pPr>
        <w:pStyle w:val="BookText"/>
      </w:pPr>
      <w:r>
        <w:rPr>
          <w:rFonts w:ascii="IRNazanin" w:hAnsi="IRNazanin" w:eastAsia="IRNazanin" w:cs="IRNazanin"/>
          <w:lang w:bidi="fa-IR"/>
          <w:color w:val="111111"/>
          <w:sz w:val="28"/>
          <w:szCs w:val="28"/>
          <w:rtl/>
        </w:rPr>
        <w:t xml:space="preserve">خط: نسخ و نستعلیق، کا: محمد باقر بن کامران تبریزی، تا: ۱۰۲۰ق؛ جلد: تیماج مشکی، ۱۲گ (۵۲ر۶۳ر)،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[ف: ۲۶-۱۵۸]</w:t>
      </w:r>
    </w:p>
    <w:p>
      <w:pPr>
        <w:pStyle w:val="BookText"/>
      </w:pPr>
      <w:r>
        <w:rPr>
          <w:rFonts w:ascii="IRNazanin" w:hAnsi="IRNazanin" w:eastAsia="IRNazanin" w:cs="IRNazanin"/>
          <w:lang w:bidi="fa-IR"/>
          <w:color w:val="111111"/>
          <w:sz w:val="28"/>
          <w:szCs w:val="28"/>
          <w:rtl/>
        </w:rPr>
        <w:t xml:space="preserve">۴۴. شیراز؛ علامه طباطبائی؛ شماره نسخه: ۱۲۶۰/۳</w:t>
      </w:r>
    </w:p>
    <w:p>
      <w:pPr>
        <w:pStyle w:val="BookText"/>
      </w:pPr>
      <w:r>
        <w:rPr>
          <w:rFonts w:ascii="IRNazanin" w:hAnsi="IRNazanin" w:eastAsia="IRNazanin" w:cs="IRNazanin"/>
          <w:lang w:bidi="fa-IR"/>
          <w:color w:val="111111"/>
          <w:sz w:val="28"/>
          <w:szCs w:val="28"/>
          <w:rtl/>
        </w:rPr>
        <w:t xml:space="preserve">خط: نستعلیق، كا: جلال الدین محمد بن همایون شاه طالقانی، تا: ۲۴ رمضان ۱۰۲۳ق؛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سم (نسخه پژوهی: ۳-۱۴۳]</w:t>
      </w:r>
    </w:p>
    <w:p>
      <w:pPr>
        <w:pStyle w:val="BookText"/>
      </w:pPr>
      <w:r>
        <w:rPr>
          <w:rFonts w:ascii="IRNazanin" w:hAnsi="IRNazanin" w:eastAsia="IRNazanin" w:cs="IRNazanin"/>
          <w:lang w:bidi="fa-IR"/>
          <w:color w:val="111111"/>
          <w:sz w:val="28"/>
          <w:szCs w:val="28"/>
          <w:rtl/>
        </w:rPr>
        <w:t xml:space="preserve">۴۵. تهران، دانشگاه؛ شماره نسخه: ۷۱۱۲/۱</w:t>
      </w:r>
    </w:p>
    <w:p>
      <w:pPr>
        <w:pStyle w:val="BookText"/>
      </w:pPr>
      <w:r>
        <w:rPr>
          <w:rFonts w:ascii="IRNazanin" w:hAnsi="IRNazanin" w:eastAsia="IRNazanin" w:cs="IRNazanin"/>
          <w:lang w:bidi="fa-IR"/>
          <w:color w:val="111111"/>
          <w:sz w:val="28"/>
          <w:szCs w:val="28"/>
          <w:rtl/>
        </w:rPr>
        <w:t xml:space="preserve">خط: نستعلیق، بی کا، تا: محرم ۱۰۲۳ق؛ کاغذ: سپاهانی، جلد: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تیماج لایی، ۱۹گ (۲پ -۲۰ر)، ۱۹-۲۱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قطع: ربعی، اندازه: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۱۸/۵</w:t>
      </w:r>
    </w:p>
    <w:p>
      <w:pPr>
        <w:pStyle w:val="BookText"/>
      </w:pPr>
      <w:r>
        <w:rPr>
          <w:rFonts w:ascii="IRNazanin" w:hAnsi="IRNazanin" w:eastAsia="IRNazanin" w:cs="IRNazanin"/>
          <w:lang w:bidi="fa-IR"/>
          <w:color w:val="111111"/>
          <w:sz w:val="28"/>
          <w:szCs w:val="28"/>
          <w:rtl/>
        </w:rPr>
        <w:t xml:space="preserve">سم [ف: ۱۶-۴۵۷]</w:t>
      </w:r>
    </w:p>
    <w:p>
      <w:pPr>
        <w:pStyle w:val="BookText"/>
      </w:pPr>
      <w:r>
        <w:rPr>
          <w:rFonts w:ascii="IRNazanin" w:hAnsi="IRNazanin" w:eastAsia="IRNazanin" w:cs="IRNazanin"/>
          <w:lang w:bidi="fa-IR"/>
          <w:color w:val="111111"/>
          <w:sz w:val="28"/>
          <w:szCs w:val="28"/>
          <w:rtl/>
        </w:rPr>
        <w:t xml:space="preserve">۴۶. اردکان یزد؛ امام صادق؛ شماره نسخه: ۲۴۶/۲</w:t>
      </w:r>
    </w:p>
    <w:p>
      <w:pPr>
        <w:pStyle w:val="BookText"/>
      </w:pPr>
      <w:r>
        <w:rPr>
          <w:rFonts w:ascii="IRNazanin" w:hAnsi="IRNazanin" w:eastAsia="IRNazanin" w:cs="IRNazanin"/>
          <w:lang w:bidi="fa-IR"/>
          <w:color w:val="111111"/>
          <w:sz w:val="28"/>
          <w:szCs w:val="28"/>
          <w:rtl/>
        </w:rPr>
        <w:t xml:space="preserve">خط: نستعلیق، کا: نظام الدين بن احمد بفروئی، تا: اوایل رمضان ۱۰۳۳ق؛ جلد: تیماج زرشکی ضربی لبه دار، ۱۸گ (۳۷ر-۵۴ر)،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۱-۲۳۱]</w:t>
      </w:r>
    </w:p>
    <w:p>
      <w:pPr>
        <w:pStyle w:val="BookText"/>
      </w:pPr>
      <w:r>
        <w:rPr>
          <w:rFonts w:ascii="IRNazanin" w:hAnsi="IRNazanin" w:eastAsia="IRNazanin" w:cs="IRNazanin"/>
          <w:lang w:bidi="fa-IR"/>
          <w:color w:val="111111"/>
          <w:sz w:val="28"/>
          <w:szCs w:val="28"/>
          <w:rtl/>
        </w:rPr>
        <w:t xml:space="preserve">۴۷. تهران، ادبیات، شماره نسخه: ۲۷۲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کا: محمد طاهر طباطبائی، تا: ۱۶ ذیحجه ۱۰۳۸ق، برای خودش [ف: ۳-۱۲]</w:t>
      </w:r>
    </w:p>
    <w:p>
      <w:pPr>
        <w:pStyle w:val="BookText"/>
      </w:pPr>
      <w:r>
        <w:rPr>
          <w:rFonts w:ascii="IRNazanin" w:hAnsi="IRNazanin" w:eastAsia="IRNazanin" w:cs="IRNazanin"/>
          <w:lang w:bidi="fa-IR"/>
          <w:color w:val="111111"/>
          <w:sz w:val="28"/>
          <w:szCs w:val="28"/>
          <w:rtl/>
        </w:rPr>
        <w:t xml:space="preserve">۴۸. مشهد؛ رضوی؛ شماره نسخه: ۵۲۴۱</w:t>
      </w:r>
    </w:p>
    <w:p>
      <w:pPr>
        <w:pStyle w:val="BookText"/>
      </w:pPr>
      <w:r>
        <w:rPr>
          <w:rFonts w:ascii="IRNazanin" w:hAnsi="IRNazanin" w:eastAsia="IRNazanin" w:cs="IRNazanin"/>
          <w:lang w:bidi="fa-IR"/>
          <w:color w:val="111111"/>
          <w:sz w:val="28"/>
          <w:szCs w:val="28"/>
          <w:rtl/>
        </w:rPr>
        <w:t xml:space="preserve">آغاز: برابر؛ انجام: او را درینباب کفایت باشد خط: نستعلیق تحریری، بی کا، تا: جمادی الاول ۱۰۴۱ق، جان مشهد؛ به طرز چلیپا؛ کاغذ: حنایی، جلد: مقوایی، آگ، ۲۴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۱۱/۳ )، اندازه: ۲۵/۲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۸-۵۰]</w:t>
      </w:r>
    </w:p>
    <w:p>
      <w:pPr>
        <w:pStyle w:val="BookText"/>
      </w:pPr>
      <w:r>
        <w:rPr>
          <w:rFonts w:ascii="IRNazanin" w:hAnsi="IRNazanin" w:eastAsia="IRNazanin" w:cs="IRNazanin"/>
          <w:lang w:bidi="fa-IR"/>
          <w:color w:val="111111"/>
          <w:sz w:val="28"/>
          <w:szCs w:val="28"/>
          <w:rtl/>
        </w:rPr>
        <w:t xml:space="preserve">۴۹. تهران؛ مجلس؛ شماره نسخه: ۷۶۹/۴ - طباطبائی</w:t>
      </w:r>
    </w:p>
    <w:p>
      <w:pPr>
        <w:pStyle w:val="BookText"/>
      </w:pPr>
      <w:r>
        <w:rPr>
          <w:rFonts w:ascii="IRNazanin" w:hAnsi="IRNazanin" w:eastAsia="IRNazanin" w:cs="IRNazanin"/>
          <w:lang w:bidi="fa-IR"/>
          <w:color w:val="111111"/>
          <w:sz w:val="28"/>
          <w:szCs w:val="28"/>
          <w:rtl/>
        </w:rPr>
        <w:t xml:space="preserve">خط: نستعلیق، کا: محمد صادق بن حاجی محمدرضا تاجر اصفهانی، تا: ۱۰۴۳ق؛ کاغذ: اصفهانی، جلد: تیماج قرمز، ۳۴ص ( ۱۱۶-۸۳ )، ۱۸ سطر، قطع: رقعی باریک و بلند،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۸سم [ف: ۲۳-۵۶]</w:t>
      </w:r>
    </w:p>
    <w:p>
      <w:pPr>
        <w:pStyle w:val="BookText"/>
      </w:pPr>
      <w:r>
        <w:rPr>
          <w:rFonts w:ascii="IRNazanin" w:hAnsi="IRNazanin" w:eastAsia="IRNazanin" w:cs="IRNazanin"/>
          <w:lang w:bidi="fa-IR"/>
          <w:color w:val="111111"/>
          <w:sz w:val="28"/>
          <w:szCs w:val="28"/>
          <w:rtl/>
        </w:rPr>
        <w:t xml:space="preserve">۵۰. شیراز؛ ملی؛ شماره نسخه: ۳۳-ش/۵۰۴/۲</w:t>
      </w:r>
    </w:p>
    <w:p>
      <w:pPr>
        <w:pStyle w:val="BookText"/>
      </w:pPr>
      <w:r>
        <w:rPr>
          <w:rFonts w:ascii="IRNazanin" w:hAnsi="IRNazanin" w:eastAsia="IRNazanin" w:cs="IRNazanin"/>
          <w:lang w:bidi="fa-IR"/>
          <w:color w:val="111111"/>
          <w:sz w:val="28"/>
          <w:szCs w:val="28"/>
          <w:rtl/>
        </w:rPr>
        <w:t xml:space="preserve">انجام: برابر</w:t>
      </w:r>
    </w:p>
    <w:p>
      <w:pPr>
        <w:pStyle w:val="BookText"/>
      </w:pPr>
      <w:r>
        <w:rPr>
          <w:rFonts w:ascii="IRNazanin" w:hAnsi="IRNazanin" w:eastAsia="IRNazanin" w:cs="IRNazanin"/>
          <w:lang w:bidi="fa-IR"/>
          <w:color w:val="111111"/>
          <w:sz w:val="28"/>
          <w:szCs w:val="28"/>
          <w:rtl/>
        </w:rPr>
        <w:t xml:space="preserve">خط: نستعلیق، بی کا، تا: یک شنبه ۱۸ ربیع الثانی ۱۰۵۰ق؛ کاغذ: نخودی قدیمی، جلد: مقوا با تیماج قهوه ای سیر، ۳۹گ، ۱۱ سطر (۶/۵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۱۱/۵ )،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۲-۱۰۲]</w:t>
      </w:r>
    </w:p>
    <w:p>
      <w:pPr>
        <w:pStyle w:val="BookText"/>
      </w:pPr>
      <w:r>
        <w:rPr>
          <w:rFonts w:ascii="IRNazanin" w:hAnsi="IRNazanin" w:eastAsia="IRNazanin" w:cs="IRNazanin"/>
          <w:lang w:bidi="fa-IR"/>
          <w:color w:val="111111"/>
          <w:sz w:val="28"/>
          <w:szCs w:val="28"/>
          <w:rtl/>
        </w:rPr>
        <w:t xml:space="preserve">۵۱. قم؛ مرعشی؛ شماره نسخه: ۶۹۶/۴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محسن بن محمد حسین سلیمی مازندرانی تا: ۱۰۵۵ق، کاغذ: شرقی نخودی، جلد: تیماج قهوه ای، ۳۲گ (۸۱پ -۱۱۲پ)، ۱۵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۸سم [ف: ۲-۲۹۱]</w:t>
      </w:r>
    </w:p>
    <w:p>
      <w:pPr>
        <w:pStyle w:val="BookText"/>
      </w:pPr>
      <w:r>
        <w:rPr>
          <w:rFonts w:ascii="IRNazanin" w:hAnsi="IRNazanin" w:eastAsia="IRNazanin" w:cs="IRNazanin"/>
          <w:lang w:bidi="fa-IR"/>
          <w:color w:val="111111"/>
          <w:sz w:val="28"/>
          <w:szCs w:val="28"/>
          <w:rtl/>
        </w:rPr>
        <w:t xml:space="preserve">۵۲. اصفهان؛ مدرسه صدر بازار؛ شماره نسخه: ۴۹۴/۲</w:t>
      </w:r>
    </w:p>
    <w:p>
      <w:pPr>
        <w:pStyle w:val="BookText"/>
      </w:pPr>
      <w:r>
        <w:rPr>
          <w:rFonts w:ascii="IRNazanin" w:hAnsi="IRNazanin" w:eastAsia="IRNazanin" w:cs="IRNazanin"/>
          <w:lang w:bidi="fa-IR"/>
          <w:color w:val="111111"/>
          <w:sz w:val="28"/>
          <w:szCs w:val="28"/>
          <w:rtl/>
        </w:rPr>
        <w:t xml:space="preserve">خط: نستعلیق زیبا، کا: شمس الدین محمد بن محمد حسین، تا: سه شنبه غره جمادی الثانی ۱۰۶۳ق، جان مدرسه شیخ الاسلام؛ جلد: تیماج قهوه ای سوخته ضربی، ۳۱گ (۲۳پ -۵۳پ)،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سم [ف: ۲-۳۵۹]</w:t>
      </w:r>
    </w:p>
    <w:p>
      <w:pPr>
        <w:pStyle w:val="BookText"/>
      </w:pPr>
      <w:r>
        <w:rPr>
          <w:rFonts w:ascii="IRNazanin" w:hAnsi="IRNazanin" w:eastAsia="IRNazanin" w:cs="IRNazanin"/>
          <w:lang w:bidi="fa-IR"/>
          <w:color w:val="111111"/>
          <w:sz w:val="28"/>
          <w:szCs w:val="28"/>
          <w:rtl/>
        </w:rPr>
        <w:t xml:space="preserve">۵۳. مشهد؛ گوهرشاد؛ شماره نسخه: ۳۹۲/۱</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خوش، بی کا، تا: ۱۰۶۵ق؛ مجدول؛ مهر: حاج سید سعید؛ جلد: تیماج عنابی و لبه میشن قهوه ای، ۲۳گ (۱-۲۳)، ۱۹ سطر (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۴/۵ ) [ف: ۱-۳۲۴]</w:t>
      </w:r>
    </w:p>
    <w:p>
      <w:pPr>
        <w:pStyle w:val="BookText"/>
      </w:pPr>
      <w:r>
        <w:rPr>
          <w:rFonts w:ascii="IRNazanin" w:hAnsi="IRNazanin" w:eastAsia="IRNazanin" w:cs="IRNazanin"/>
          <w:lang w:bidi="fa-IR"/>
          <w:color w:val="111111"/>
          <w:sz w:val="28"/>
          <w:szCs w:val="28"/>
          <w:rtl/>
        </w:rPr>
        <w:t xml:space="preserve">۵۴. تهران؛ مجلس؛ شماره نسخه: ۱۵۷۲۶/۱</w:t>
      </w:r>
    </w:p>
    <w:p>
      <w:pPr>
        <w:pStyle w:val="BookText"/>
      </w:pPr>
      <w:r>
        <w:rPr>
          <w:rFonts w:ascii="IRNazanin" w:hAnsi="IRNazanin" w:eastAsia="IRNazanin" w:cs="IRNazanin"/>
          <w:lang w:bidi="fa-IR"/>
          <w:color w:val="111111"/>
          <w:sz w:val="28"/>
          <w:szCs w:val="28"/>
          <w:rtl/>
        </w:rPr>
        <w:t xml:space="preserve">آغاز: برابر؛ انجام: آنچه برون آید بالای آن تشخیص مجهول باشد.</w:t>
      </w:r>
    </w:p>
    <w:p>
      <w:pPr>
        <w:pStyle w:val="BookText"/>
      </w:pPr>
      <w:r>
        <w:rPr>
          <w:rFonts w:ascii="IRNazanin" w:hAnsi="IRNazanin" w:eastAsia="IRNazanin" w:cs="IRNazanin"/>
          <w:lang w:bidi="fa-IR"/>
          <w:color w:val="111111"/>
          <w:sz w:val="28"/>
          <w:szCs w:val="28"/>
          <w:rtl/>
        </w:rPr>
        <w:t xml:space="preserve">خط: نستعلیق، بی کا، تا: ۱۰۶۶ق؛ محشی با امضای«عبد»، یادداشت« لطفعلی صدرالافاضل» که نام رساله های این مجموعه را نوشته و فائده ای در اسامی دانشمندانی که پسوند «زاده» دارند آورده؛ جلد: تیماج قهوه ای، ۲۱گ(۳پ -۲۳پ)، ۱۸ سطر، اندازه:</w:t>
      </w:r>
    </w:p>
    <w:p>
      <w:pPr>
        <w:pStyle w:val="BookText"/>
      </w:pPr>
      <w:r>
        <w:rPr>
          <w:rFonts w:ascii="IRNazanin" w:hAnsi="IRNazanin" w:eastAsia="IRNazanin" w:cs="IRNazanin"/>
          <w:lang w:bidi="fa-IR"/>
          <w:color w:val="111111"/>
          <w:sz w:val="28"/>
          <w:szCs w:val="28"/>
          <w:rtl/>
        </w:rPr>
        <w:t xml:space="preserve">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۴۴-۲۷]</w:t>
      </w:r>
    </w:p>
    <w:p>
      <w:pPr>
        <w:pStyle w:val="BookText"/>
      </w:pPr>
      <w:r>
        <w:rPr>
          <w:rFonts w:ascii="IRNazanin" w:hAnsi="IRNazanin" w:eastAsia="IRNazanin" w:cs="IRNazanin"/>
          <w:lang w:bidi="fa-IR"/>
          <w:color w:val="111111"/>
          <w:sz w:val="28"/>
          <w:szCs w:val="28"/>
          <w:rtl/>
        </w:rPr>
        <w:t xml:space="preserve">۵۵. مشهد؛ رضوی؛ شماره نسخه: ۲۷۲۴۰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خفی، بی کا، تا: ۱۰۶۸ق؛ کاغذ: نباتی، جلد: میشن، ۱۵ سطر (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قطع: وزیری کوچک،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سم [رایانه ]</w:t>
      </w:r>
    </w:p>
    <w:p>
      <w:pPr>
        <w:pStyle w:val="BookText"/>
      </w:pPr>
      <w:r>
        <w:rPr>
          <w:rFonts w:ascii="IRNazanin" w:hAnsi="IRNazanin" w:eastAsia="IRNazanin" w:cs="IRNazanin"/>
          <w:lang w:bidi="fa-IR"/>
          <w:color w:val="111111"/>
          <w:sz w:val="28"/>
          <w:szCs w:val="28"/>
          <w:rtl/>
        </w:rPr>
        <w:t xml:space="preserve">۵۶. زنجان؛ اخوان زنجانی -جلیل؛ شماره نسخه: بدون شماره</w:t>
      </w:r>
    </w:p>
    <w:p>
      <w:pPr>
        <w:pStyle w:val="BookText"/>
      </w:pPr>
      <w:r>
        <w:rPr>
          <w:rFonts w:ascii="IRNazanin" w:hAnsi="IRNazanin" w:eastAsia="IRNazanin" w:cs="IRNazanin"/>
          <w:lang w:bidi="fa-IR"/>
          <w:color w:val="111111"/>
          <w:sz w:val="28"/>
          <w:szCs w:val="28"/>
          <w:rtl/>
        </w:rPr>
        <w:t xml:space="preserve">کا:نورا، تا: ۱۰۷۰ق، به دستور میرزا اسماعیل [میراث اسلامی: ۵-۶۱۸]</w:t>
      </w:r>
    </w:p>
    <w:p>
      <w:pPr>
        <w:pStyle w:val="BookText"/>
      </w:pPr>
      <w:r>
        <w:rPr>
          <w:rFonts w:ascii="Amiri" w:hAnsi="Amiri" w:eastAsia="Amiri" w:cs="Amiri"/>
          <w:lang w:bidi="ar-SA"/>
          <w:color w:val="111111"/>
          <w:sz w:val="28"/>
          <w:szCs w:val="28"/>
          <w:rtl/>
        </w:rPr>
        <w:t xml:space="preserve">۵۷. تهران؛ دائرة المعارف؛ شماره نسخه: ۸۷۴/۴</w:t>
      </w:r>
    </w:p>
    <w:p>
      <w:pPr>
        <w:pStyle w:val="BookText"/>
      </w:pPr>
      <w:r>
        <w:rPr>
          <w:rFonts w:ascii="IRNazanin" w:hAnsi="IRNazanin" w:eastAsia="IRNazanin" w:cs="IRNazanin"/>
          <w:lang w:bidi="fa-IR"/>
          <w:color w:val="111111"/>
          <w:sz w:val="28"/>
          <w:szCs w:val="28"/>
          <w:rtl/>
        </w:rPr>
        <w:t xml:space="preserve">خط: نستعلیق تحریری، بی کا، تا: ۱۰۷۳ق، جا: حیدر آباد؛ مهر: محمد بن محمد ... و الحسینی» (چهار گوش)؛ ۲۲گ (گ ۵۱پ -۷۲پ)، ۱۷سطر،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سم [ف: ۲-۳۱]</w:t>
      </w:r>
    </w:p>
    <w:p>
      <w:pPr>
        <w:pStyle w:val="BookText"/>
      </w:pPr>
      <w:r>
        <w:rPr>
          <w:rFonts w:ascii="IRNazanin" w:hAnsi="IRNazanin" w:eastAsia="IRNazanin" w:cs="IRNazanin"/>
          <w:lang w:bidi="fa-IR"/>
          <w:color w:val="111111"/>
          <w:sz w:val="28"/>
          <w:szCs w:val="28"/>
          <w:rtl/>
        </w:rPr>
        <w:t xml:space="preserve">۵۸. تهران؛ مجلس؛ شماره نسخه: ۴۷۸۱</w:t>
      </w:r>
    </w:p>
    <w:p>
      <w:pPr>
        <w:pStyle w:val="BookText"/>
      </w:pPr>
      <w:r>
        <w:rPr>
          <w:rFonts w:ascii="IRNazanin" w:hAnsi="IRNazanin" w:eastAsia="IRNazanin" w:cs="IRNazanin"/>
          <w:lang w:bidi="fa-IR"/>
          <w:color w:val="111111"/>
          <w:sz w:val="28"/>
          <w:szCs w:val="28"/>
          <w:rtl/>
        </w:rPr>
        <w:t xml:space="preserve">انجام: برابر</w:t>
      </w:r>
    </w:p>
    <w:p>
      <w:pPr>
        <w:pStyle w:val="BookText"/>
      </w:pPr>
      <w:r>
        <w:rPr>
          <w:rFonts w:ascii="IRNazanin" w:hAnsi="IRNazanin" w:eastAsia="IRNazanin" w:cs="IRNazanin"/>
          <w:lang w:bidi="fa-IR"/>
          <w:color w:val="111111"/>
          <w:sz w:val="28"/>
          <w:szCs w:val="28"/>
          <w:rtl/>
        </w:rPr>
        <w:t xml:space="preserve">خط: نستعلیق بد، کا: محمود بن علی حاجی حسن طبسی، تا: اواسط صفر ۱۰۷۴ق؛ محشی؛ کاغذ: اصفهانی، جلد: تیماج زرد، ۳۸گ، ۱۲-۱۶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۱۳-۱۷۶]</w:t>
      </w:r>
    </w:p>
    <w:p>
      <w:pPr>
        <w:pStyle w:val="BookText"/>
      </w:pPr>
      <w:r>
        <w:rPr>
          <w:rFonts w:ascii="IRNazanin" w:hAnsi="IRNazanin" w:eastAsia="IRNazanin" w:cs="IRNazanin"/>
          <w:lang w:bidi="fa-IR"/>
          <w:color w:val="111111"/>
          <w:sz w:val="28"/>
          <w:szCs w:val="28"/>
          <w:rtl/>
        </w:rPr>
        <w:t xml:space="preserve">۵۹. همدان؛ کمالی؛ شماره نسخه: ۷/۲</w:t>
      </w:r>
    </w:p>
    <w:p>
      <w:pPr>
        <w:pStyle w:val="BookText"/>
      </w:pPr>
      <w:r>
        <w:rPr>
          <w:rFonts w:ascii="IRNazanin" w:hAnsi="IRNazanin" w:eastAsia="IRNazanin" w:cs="IRNazanin"/>
          <w:lang w:bidi="fa-IR"/>
          <w:color w:val="111111"/>
          <w:sz w:val="28"/>
          <w:szCs w:val="28"/>
          <w:rtl/>
        </w:rPr>
        <w:t xml:space="preserve">كا: لاریجانی، تا: چهارشنبه ۱۰۷۶ق، جا: اشرف [نشریه: ۵-۳۸۶]</w:t>
      </w:r>
    </w:p>
    <w:p>
      <w:pPr>
        <w:pStyle w:val="BookText"/>
      </w:pPr>
      <w:r>
        <w:rPr>
          <w:rFonts w:ascii="IRNazanin" w:hAnsi="IRNazanin" w:eastAsia="IRNazanin" w:cs="IRNazanin"/>
          <w:lang w:bidi="fa-IR"/>
          <w:color w:val="111111"/>
          <w:sz w:val="28"/>
          <w:szCs w:val="28"/>
          <w:rtl/>
        </w:rPr>
        <w:t xml:space="preserve">۶۰. تهران؛ ملی؛ شماره نسخه: ۳۰۲۴/۲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نام مؤلف به قرینه آغاز نسخه تعیین شد؛ خط: نستعلیق، کا: شماخی (ماوراء ارس)، تا: ۱۰۸۴ق؛ دارای اشکال نجومی؛ کاغذ: فرنگی، جلد: مقوایی میشن عنابی نوسازی، ۲۴ص (۳۹-۶۲)، ۱۳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۱۸/۵ سم [ف: ۶-۸۰۲]</w:t>
      </w:r>
    </w:p>
    <w:p>
      <w:pPr>
        <w:pStyle w:val="BookText"/>
      </w:pPr>
      <w:r>
        <w:rPr>
          <w:rFonts w:ascii="IRNazanin" w:hAnsi="IRNazanin" w:eastAsia="IRNazanin" w:cs="IRNazanin"/>
          <w:lang w:bidi="fa-IR"/>
          <w:color w:val="111111"/>
          <w:sz w:val="28"/>
          <w:szCs w:val="28"/>
          <w:rtl/>
        </w:rPr>
        <w:t xml:space="preserve">۶۱. تهران؛ ادبیات؛ شماره نسخه: ۹۳/۲ - د</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تا: ۱۰۸۶ق، ۴۷گ (۷۵-۱۲۱ر) [ف: ۱-۵۰]</w:t>
      </w:r>
    </w:p>
    <w:p>
      <w:pPr>
        <w:pStyle w:val="BookText"/>
      </w:pPr>
      <w:r>
        <w:rPr>
          <w:rFonts w:ascii="Amiri" w:hAnsi="Amiri" w:eastAsia="Amiri" w:cs="Amiri"/>
          <w:lang w:bidi="ar-SA"/>
          <w:color w:val="111111"/>
          <w:sz w:val="28"/>
          <w:szCs w:val="28"/>
          <w:rtl/>
        </w:rPr>
        <w:t xml:space="preserve">۶۲. تهران؛ دائرة المعارف؛ شماره نسخه: ۷۳۴</w:t>
      </w:r>
    </w:p>
    <w:p>
      <w:pPr>
        <w:pStyle w:val="BookText"/>
      </w:pPr>
      <w:r>
        <w:rPr>
          <w:rFonts w:ascii="IRNazanin" w:hAnsi="IRNazanin" w:eastAsia="IRNazanin" w:cs="IRNazanin"/>
          <w:lang w:bidi="fa-IR"/>
          <w:color w:val="111111"/>
          <w:sz w:val="28"/>
          <w:szCs w:val="28"/>
          <w:rtl/>
        </w:rPr>
        <w:t xml:space="preserve">خط: نسخ خوش، كا: ابن امیر عبدالكريم محمد محسن حسینی، تا: ۲۵ جمادی الثانی ۱۰۸۶ق؛ محشی؛ مهر: «صراط على حق نمسکه» (بیضی)؛ کاغذ: سمرقندی، جلد: تیماج قهوه ای یک لا، ۱۹گ، ۱۷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[ف: ۲-۳۱</w:t>
      </w:r>
    </w:p>
    <w:p>
      <w:pPr>
        <w:pStyle w:val="BookText"/>
      </w:pPr>
      <w:r>
        <w:rPr>
          <w:rFonts w:ascii="IRNazanin" w:hAnsi="IRNazanin" w:eastAsia="IRNazanin" w:cs="IRNazanin"/>
          <w:lang w:bidi="fa-IR"/>
          <w:color w:val="111111"/>
          <w:sz w:val="28"/>
          <w:szCs w:val="28"/>
          <w:rtl/>
        </w:rPr>
        <w:t xml:space="preserve">۶۳. تهران، سپهسالار؛ شماره نسخه: ۷۰۰/۱</w:t>
      </w:r>
    </w:p>
    <w:p>
      <w:pPr>
        <w:pStyle w:val="BookText"/>
      </w:pPr>
      <w:r>
        <w:rPr>
          <w:rFonts w:ascii="IRNazanin" w:hAnsi="IRNazanin" w:eastAsia="IRNazanin" w:cs="IRNazanin"/>
          <w:lang w:bidi="fa-IR"/>
          <w:color w:val="111111"/>
          <w:sz w:val="28"/>
          <w:szCs w:val="28"/>
          <w:rtl/>
        </w:rPr>
        <w:t xml:space="preserve">خط: نستعلیق درشت خط، كا: حسین بن موسی، تا: ۱۰۸۶ق، جان کاستل بروسه؛ کاغذ: فرنگی، جلد: تیماج قهوه ای مقوایی، ۱۸گ (۳پ -۲۰پ)، ۲۵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۳-۲۷۰]</w:t>
      </w:r>
    </w:p>
    <w:p>
      <w:pPr>
        <w:pStyle w:val="BookText"/>
      </w:pPr>
      <w:r>
        <w:rPr>
          <w:rFonts w:ascii="IRNazanin" w:hAnsi="IRNazanin" w:eastAsia="IRNazanin" w:cs="IRNazanin"/>
          <w:lang w:bidi="fa-IR"/>
          <w:color w:val="111111"/>
          <w:sz w:val="28"/>
          <w:szCs w:val="28"/>
          <w:rtl/>
        </w:rPr>
        <w:t xml:space="preserve">۶۴. خوی؛ نمازی؛ شماره نسخه: ۴۲۵/۲</w:t>
      </w:r>
    </w:p>
    <w:p>
      <w:pPr>
        <w:pStyle w:val="BookText"/>
      </w:pPr>
      <w:r>
        <w:rPr>
          <w:rFonts w:ascii="IRNazanin" w:hAnsi="IRNazanin" w:eastAsia="IRNazanin" w:cs="IRNazanin"/>
          <w:lang w:bidi="fa-IR"/>
          <w:color w:val="111111"/>
          <w:sz w:val="28"/>
          <w:szCs w:val="28"/>
          <w:rtl/>
        </w:rPr>
        <w:t xml:space="preserve">خط: نسخ، بی کا، تا: با تاریخ ۱۰۸۸ق؛ با اشکال هندسی؛ جلد: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تیماج مشکی ساده، ۱۹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۲۱۳]</w:t>
      </w:r>
    </w:p>
    <w:p>
      <w:pPr>
        <w:pStyle w:val="BookText"/>
      </w:pPr>
      <w:r>
        <w:rPr>
          <w:rFonts w:ascii="IRNazanin" w:hAnsi="IRNazanin" w:eastAsia="IRNazanin" w:cs="IRNazanin"/>
          <w:lang w:bidi="fa-IR"/>
          <w:color w:val="111111"/>
          <w:sz w:val="28"/>
          <w:szCs w:val="28"/>
          <w:rtl/>
        </w:rPr>
        <w:t xml:space="preserve">۶۵. قم؛ مسجد اعظم؛ شماره نسخه: ۱۳۳۳/۱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كان محمد نصیر، تا: ربيع الاول ۱۰۹۱ق؛ از موقوفات حاج محمد رمضانی؛ مهر: «صراط على حق نمسکه» (بیضوی)؛ جلد: تیماج قهوه ای بدون مقوا، ۲۴گ، ۱۵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[ف مخ: ۱-۲۹۳]</w:t>
      </w:r>
    </w:p>
    <w:p>
      <w:pPr>
        <w:pStyle w:val="BookText"/>
      </w:pPr>
      <w:r>
        <w:rPr>
          <w:rFonts w:ascii="IRNazanin" w:hAnsi="IRNazanin" w:eastAsia="IRNazanin" w:cs="IRNazanin"/>
          <w:lang w:bidi="fa-IR"/>
          <w:color w:val="111111"/>
          <w:sz w:val="28"/>
          <w:szCs w:val="28"/>
          <w:rtl/>
        </w:rPr>
        <w:t xml:space="preserve">۶۶. تهران؛ دانشگاه؛ شماره نسخه: ۳۵۱۱/۲</w:t>
      </w:r>
    </w:p>
    <w:p>
      <w:pPr>
        <w:pStyle w:val="BookText"/>
      </w:pPr>
      <w:r>
        <w:rPr>
          <w:rFonts w:ascii="IRNazanin" w:hAnsi="IRNazanin" w:eastAsia="IRNazanin" w:cs="IRNazanin"/>
          <w:lang w:bidi="fa-IR"/>
          <w:color w:val="111111"/>
          <w:sz w:val="28"/>
          <w:szCs w:val="28"/>
          <w:rtl/>
        </w:rPr>
        <w:t xml:space="preserve">بی کا، تا: ۱۰۹۱ق، جان آستارا؛ کاغذ: سپاهانی، جلد: تیماج مشکی ضربی مقوایی، ۲۷ص (۲۲-۴۸)، ۲۱ سطر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۱۲-۲۵۱۶]</w:t>
      </w:r>
    </w:p>
    <w:p>
      <w:pPr>
        <w:pStyle w:val="BookText"/>
      </w:pPr>
      <w:r>
        <w:rPr>
          <w:rFonts w:ascii="IRNazanin" w:hAnsi="IRNazanin" w:eastAsia="IRNazanin" w:cs="IRNazanin"/>
          <w:lang w:bidi="fa-IR"/>
          <w:color w:val="111111"/>
          <w:sz w:val="28"/>
          <w:szCs w:val="28"/>
          <w:rtl/>
        </w:rPr>
        <w:t xml:space="preserve">۶۷. تهران؛ مجلس؛ شماره نسخه: ۳۱۸۶/۱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ابوالقاسم حسینی تبریزی، تا: محرم ۱۰۹۱ق؛ تملک: روح الامین حسین بن سید محمد بن روح الامین بن شمس الدین محمد حسینی مختاری؛ کاغذ: اصفهانی دو نوع، جلد: تیماج زرد، ۱۳ص (۱-۱۳)، ۱۳-۱۴ سطر، قطع: رقعی،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سم [ف: ۱۰-۷۶۸]</w:t>
      </w:r>
    </w:p>
    <w:p>
      <w:pPr>
        <w:pStyle w:val="BookText"/>
      </w:pPr>
      <w:r>
        <w:rPr>
          <w:rFonts w:ascii="IRNazanin" w:hAnsi="IRNazanin" w:eastAsia="IRNazanin" w:cs="IRNazanin"/>
          <w:lang w:bidi="fa-IR"/>
          <w:color w:val="111111"/>
          <w:sz w:val="28"/>
          <w:szCs w:val="28"/>
          <w:rtl/>
        </w:rPr>
        <w:t xml:space="preserve">۶۸. مشهد؛ رضوی؛ شماره نسخه: ۱۸۲۵۷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صادق بن محمد رازی، تا: ۱۰۹۲ق؛ کاغذ: حنایی، جلد: تیماج، ۲۰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[رایانه]</w:t>
      </w:r>
    </w:p>
    <w:p>
      <w:pPr>
        <w:pStyle w:val="BookText"/>
      </w:pPr>
      <w:r>
        <w:rPr>
          <w:rFonts w:ascii="IRNazanin" w:hAnsi="IRNazanin" w:eastAsia="IRNazanin" w:cs="IRNazanin"/>
          <w:lang w:bidi="fa-IR"/>
          <w:color w:val="111111"/>
          <w:sz w:val="28"/>
          <w:szCs w:val="28"/>
          <w:rtl/>
        </w:rPr>
        <w:t xml:space="preserve">۶۹. رشت؛ جمعیت نشر فرهنگ؛ شماره نسخه: ۱۲۰۲/۱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كا: محمد جعفر بن محمد طبسی، تا: ۱۰۹۴ق؛ با جدول؛ جلد: چرمی، ابعاد متن: ۱۳۸۷، اندازه: ۱۹۶۱۲ سم [رشت و همدان: ف: ۱۲۳۴]</w:t>
      </w:r>
    </w:p>
    <w:p>
      <w:pPr>
        <w:pStyle w:val="BookText"/>
      </w:pPr>
      <w:r>
        <w:rPr>
          <w:rFonts w:ascii="IRNazanin" w:hAnsi="IRNazanin" w:eastAsia="IRNazanin" w:cs="IRNazanin"/>
          <w:lang w:bidi="fa-IR"/>
          <w:color w:val="111111"/>
          <w:sz w:val="28"/>
          <w:szCs w:val="28"/>
          <w:rtl/>
        </w:rPr>
        <w:t xml:space="preserve">۷۰. مشهد؛ رضوی؛ شماره نسخه: ۲۹۰۹۵</w:t>
      </w:r>
    </w:p>
    <w:p>
      <w:pPr>
        <w:pStyle w:val="BookText"/>
      </w:pPr>
      <w:r>
        <w:rPr>
          <w:rFonts w:ascii="IRNazanin" w:hAnsi="IRNazanin" w:eastAsia="IRNazanin" w:cs="IRNazanin"/>
          <w:lang w:bidi="fa-IR"/>
          <w:color w:val="111111"/>
          <w:sz w:val="28"/>
          <w:szCs w:val="28"/>
          <w:rtl/>
        </w:rPr>
        <w:t xml:space="preserve">آغاز: و بر ظهر اسطرلاب یعنی پشت حجره دو خط مستقیم متقاطع بزوايا قايمه کشیده باشند یکی؛ انجام: برابر</w:t>
      </w:r>
    </w:p>
    <w:p>
      <w:pPr>
        <w:pStyle w:val="BookText"/>
      </w:pPr>
      <w:r>
        <w:rPr>
          <w:rFonts w:ascii="IRNazanin" w:hAnsi="IRNazanin" w:eastAsia="IRNazanin" w:cs="IRNazanin"/>
          <w:lang w:bidi="fa-IR"/>
          <w:color w:val="111111"/>
          <w:sz w:val="28"/>
          <w:szCs w:val="28"/>
          <w:rtl/>
        </w:rPr>
        <w:t xml:space="preserve">خط: نسخ جلی، بی کا، تا: ۱۰۹۵ق؛ افتادگی: آغاز؛ واقف: احتجاب السلطنه، کاغذ: نخودی، جلد: تیماج مزین به ترنج و حواشی زنجیره ای ضربی، ۱۵ سطر (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قطع: رقعی، اندازه: ۱۸/۸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[رایانه]</w:t>
      </w:r>
    </w:p>
    <w:p>
      <w:pPr>
        <w:pStyle w:val="BookText"/>
      </w:pPr>
      <w:r>
        <w:rPr>
          <w:rFonts w:ascii="IRNazanin" w:hAnsi="IRNazanin" w:eastAsia="IRNazanin" w:cs="IRNazanin"/>
          <w:lang w:bidi="fa-IR"/>
          <w:color w:val="111111"/>
          <w:sz w:val="28"/>
          <w:szCs w:val="28"/>
          <w:rtl/>
        </w:rPr>
        <w:t xml:space="preserve">۷۱. تهران؛ مجلس؛ شماره نسخه: ۲۹۷۶/۲</w:t>
      </w:r>
    </w:p>
    <w:p>
      <w:pPr>
        <w:pStyle w:val="BookText"/>
      </w:pPr>
      <w:r>
        <w:rPr>
          <w:rFonts w:ascii="IRNazanin" w:hAnsi="IRNazanin" w:eastAsia="IRNazanin" w:cs="IRNazanin"/>
          <w:lang w:bidi="fa-IR"/>
          <w:color w:val="111111"/>
          <w:sz w:val="28"/>
          <w:szCs w:val="28"/>
          <w:rtl/>
        </w:rPr>
        <w:t xml:space="preserve">آغاز: برابر؛ انجام: کف الخضیب بر بیشتر اسطرلابها این کواکب نقش کنند هر که اینها را شناسد چنانکه در آن اشتباه نیفتد او را این باب.</w:t>
      </w:r>
    </w:p>
    <w:p>
      <w:pPr>
        <w:pStyle w:val="BookText"/>
      </w:pPr>
      <w:r>
        <w:rPr>
          <w:rFonts w:ascii="IRNazanin" w:hAnsi="IRNazanin" w:eastAsia="IRNazanin" w:cs="IRNazanin"/>
          <w:lang w:bidi="fa-IR"/>
          <w:color w:val="111111"/>
          <w:sz w:val="28"/>
          <w:szCs w:val="28"/>
          <w:rtl/>
        </w:rPr>
        <w:t xml:space="preserve">خط: نستعلیق، كان ملایوسف پسر ملاحسن زاهدانی گیلانی، تا: ۱۰۹۶ق؛ کاغذ: اصفهانی، جلد: تیماج سرخ یک لا، ۱۱سطر،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۱۰-۴۲۴]</w:t>
      </w:r>
    </w:p>
    <w:p>
      <w:pPr>
        <w:pStyle w:val="BookText"/>
      </w:pPr>
      <w:r>
        <w:rPr>
          <w:rFonts w:ascii="IRNazanin" w:hAnsi="IRNazanin" w:eastAsia="IRNazanin" w:cs="IRNazanin"/>
          <w:lang w:bidi="fa-IR"/>
          <w:color w:val="111111"/>
          <w:sz w:val="28"/>
          <w:szCs w:val="28"/>
          <w:rtl/>
        </w:rPr>
        <w:t xml:space="preserve">۷۲. یزد؛ وزیری؛ شماره نسخه: ۱۲۹۶/۳ خط: نستعلیق، بی کا، تا: قرن ۱۲ کاغذ: ترمه، جلد: مقوایی، ۱۳گ (۱۶۰-۱۷۲)، ۱۹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۹۲۰-۳]</w:t>
      </w:r>
    </w:p>
    <w:p>
      <w:pPr>
        <w:pStyle w:val="BookText"/>
      </w:pPr>
      <w:r>
        <w:rPr>
          <w:rFonts w:ascii="IRNazanin" w:hAnsi="IRNazanin" w:eastAsia="IRNazanin" w:cs="IRNazanin"/>
          <w:lang w:bidi="fa-IR"/>
          <w:color w:val="111111"/>
          <w:sz w:val="28"/>
          <w:szCs w:val="28"/>
          <w:rtl/>
        </w:rPr>
        <w:t xml:space="preserve">تهران؛ دانشگاه، شماره نسخه: ۲۵۱۴/۳ -ف</w:t>
      </w:r>
    </w:p>
    <w:p>
      <w:pPr>
        <w:pStyle w:val="BookText"/>
      </w:pPr>
      <w:r>
        <w:rPr>
          <w:rFonts w:ascii="Amiri" w:hAnsi="Amiri" w:eastAsia="Amiri" w:cs="Amiri"/>
          <w:lang w:bidi="ar-SA"/>
          <w:color w:val="111111"/>
          <w:sz w:val="28"/>
          <w:szCs w:val="28"/>
          <w:rtl/>
        </w:rPr>
        <w:t xml:space="preserve">نسخه اصل: همان نسخه بالا [فيلمها ف: ۱-۷۰۸]</w:t>
      </w:r>
    </w:p>
    <w:p>
      <w:pPr>
        <w:pStyle w:val="BookText"/>
      </w:pPr>
      <w:r>
        <w:rPr>
          <w:rFonts w:ascii="IRNazanin" w:hAnsi="IRNazanin" w:eastAsia="IRNazanin" w:cs="IRNazanin"/>
          <w:lang w:bidi="fa-IR"/>
          <w:color w:val="111111"/>
          <w:sz w:val="28"/>
          <w:szCs w:val="28"/>
          <w:rtl/>
        </w:rPr>
        <w:t xml:space="preserve">۷۳. تهران؛ ملی؛ شماره نسخه: ۲۶۳۴/۱</w:t>
      </w:r>
    </w:p>
    <w:p>
      <w:pPr>
        <w:pStyle w:val="BookText"/>
      </w:pPr>
      <w:r>
        <w:rPr>
          <w:rFonts w:ascii="IRNazanin" w:hAnsi="IRNazanin" w:eastAsia="IRNazanin" w:cs="IRNazanin"/>
          <w:lang w:bidi="fa-IR"/>
          <w:color w:val="111111"/>
          <w:sz w:val="28"/>
          <w:szCs w:val="28"/>
          <w:rtl/>
        </w:rPr>
        <w:t xml:space="preserve">آغاز: آنرا فرس گویند و حلقه کنه در زیر فرس بود تا فرس از سطح عنکبوت مرتفع شده باشد. انجام: در کمال سهولت و آسانی است و این رساله بر لفظ سهولت و آسانی سمت اختتام یافت. تمت الكتاب بعون الملک الوهاب</w:t>
      </w:r>
    </w:p>
    <w:p>
      <w:pPr>
        <w:pStyle w:val="BookText"/>
      </w:pPr>
      <w:r>
        <w:rPr>
          <w:rFonts w:ascii="IRNazanin" w:hAnsi="IRNazanin" w:eastAsia="IRNazanin" w:cs="IRNazanin"/>
          <w:lang w:bidi="fa-IR"/>
          <w:color w:val="111111"/>
          <w:sz w:val="28"/>
          <w:szCs w:val="28"/>
          <w:rtl/>
        </w:rPr>
        <w:t xml:space="preserve">نام مؤلف به استناد کتاب شناسی شیخ بهائی ۶۴۸ تغییر یافت؛ خط: شکسته نستعلیق، بی کا، تا: محتملا قرن ۱۲؛ حاوی اشکال نجومی و هندسی؛ کاغذ: اصفهانی، جلد: تیماج مشکی یک لا، ۵۵ص (۱–۵۵)، ۱۲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 اندازه: ۱۱/۵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۶-۱۹۲]</w:t>
      </w:r>
    </w:p>
    <w:p>
      <w:pPr>
        <w:pStyle w:val="BookText"/>
      </w:pPr>
      <w:r>
        <w:rPr>
          <w:rFonts w:ascii="IRNazanin" w:hAnsi="IRNazanin" w:eastAsia="IRNazanin" w:cs="IRNazanin"/>
          <w:lang w:bidi="fa-IR"/>
          <w:color w:val="111111"/>
          <w:sz w:val="28"/>
          <w:szCs w:val="28"/>
          <w:rtl/>
        </w:rPr>
        <w:t xml:space="preserve">۷۴. تهران؛ ملک؛ شماره نسخه: ۳۱۴۳/۱</w:t>
      </w:r>
    </w:p>
    <w:p>
      <w:pPr>
        <w:pStyle w:val="BookText"/>
      </w:pPr>
      <w:r>
        <w:rPr>
          <w:rFonts w:ascii="IRNazanin" w:hAnsi="IRNazanin" w:eastAsia="IRNazanin" w:cs="IRNazanin"/>
          <w:lang w:bidi="fa-IR"/>
          <w:color w:val="111111"/>
          <w:sz w:val="28"/>
          <w:szCs w:val="28"/>
          <w:rtl/>
        </w:rPr>
        <w:t xml:space="preserve">خط: نسخ، بی کا، تا: قرن ۱۲؛ کاغذ: پسته ای، جلد: میشن لایی سیاه، ۱۷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[ف: ۶-۲۴۴]</w:t>
      </w:r>
    </w:p>
    <w:p>
      <w:pPr>
        <w:pStyle w:val="BookText"/>
      </w:pPr>
      <w:r>
        <w:rPr>
          <w:rFonts w:ascii="IRNazanin" w:hAnsi="IRNazanin" w:eastAsia="IRNazanin" w:cs="IRNazanin"/>
          <w:lang w:bidi="fa-IR"/>
          <w:color w:val="111111"/>
          <w:sz w:val="28"/>
          <w:szCs w:val="28"/>
          <w:rtl/>
        </w:rPr>
        <w:t xml:space="preserve">۷۵. تهران؛ دانشگاه؛ شماره نسخه: ۳۹۵۹/۲</w:t>
      </w:r>
    </w:p>
    <w:p>
      <w:pPr>
        <w:pStyle w:val="BookText"/>
      </w:pPr>
      <w:r>
        <w:rPr>
          <w:rFonts w:ascii="IRNazanin" w:hAnsi="IRNazanin" w:eastAsia="IRNazanin" w:cs="IRNazanin"/>
          <w:lang w:bidi="fa-IR"/>
          <w:color w:val="111111"/>
          <w:sz w:val="28"/>
          <w:szCs w:val="28"/>
          <w:rtl/>
        </w:rPr>
        <w:t xml:space="preserve">خط: نستعلیق، بی کا، تا: قرن ۱۲؛ کاغذ: فرنگی، جلد: تیماج عنابی ضربی گرد سبز، ۱۶گ (۵۱پ -۶۶ر با حواشی)، ۱۰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۱۲-۲۹۵۶]</w:t>
      </w:r>
    </w:p>
    <w:p>
      <w:pPr>
        <w:pStyle w:val="BookText"/>
      </w:pPr>
      <w:r>
        <w:rPr>
          <w:rFonts w:ascii="IRNazanin" w:hAnsi="IRNazanin" w:eastAsia="IRNazanin" w:cs="IRNazanin"/>
          <w:lang w:bidi="fa-IR"/>
          <w:color w:val="111111"/>
          <w:sz w:val="28"/>
          <w:szCs w:val="28"/>
          <w:rtl/>
        </w:rPr>
        <w:t xml:space="preserve">۷۶. تهران؛ دانشگاه؛ شماره نسخه: ۹۲۱۹/۱</w:t>
      </w:r>
    </w:p>
    <w:p>
      <w:pPr>
        <w:pStyle w:val="BookText"/>
      </w:pPr>
      <w:r>
        <w:rPr>
          <w:rFonts w:ascii="IRNazanin" w:hAnsi="IRNazanin" w:eastAsia="IRNazanin" w:cs="IRNazanin"/>
          <w:lang w:bidi="fa-IR"/>
          <w:color w:val="111111"/>
          <w:sz w:val="28"/>
          <w:szCs w:val="28"/>
          <w:rtl/>
        </w:rPr>
        <w:t xml:space="preserve">خط: نستعلیق، بی کا، تا: قرن ۱۲، کاغذ: فرنگی، جلد: تازه، ۳۳گ (آپ -۳۳)، قطع: ربعی [ف: ۱۷-۳۲۴]</w:t>
      </w:r>
    </w:p>
    <w:p>
      <w:pPr>
        <w:pStyle w:val="BookText"/>
      </w:pPr>
      <w:r>
        <w:rPr>
          <w:rFonts w:ascii="IRNazanin" w:hAnsi="IRNazanin" w:eastAsia="IRNazanin" w:cs="IRNazanin"/>
          <w:lang w:bidi="fa-IR"/>
          <w:color w:val="111111"/>
          <w:sz w:val="28"/>
          <w:szCs w:val="28"/>
          <w:rtl/>
        </w:rPr>
        <w:t xml:space="preserve">۷۷. يزد؛ جامع کبیر؛ شماره نسخه: ۱۵۶/۱</w:t>
      </w:r>
    </w:p>
    <w:p>
      <w:pPr>
        <w:pStyle w:val="BookText"/>
      </w:pPr>
      <w:r>
        <w:rPr>
          <w:rFonts w:ascii="IRNazanin" w:hAnsi="IRNazanin" w:eastAsia="IRNazanin" w:cs="IRNazanin"/>
          <w:lang w:bidi="fa-IR"/>
          <w:color w:val="111111"/>
          <w:sz w:val="28"/>
          <w:szCs w:val="28"/>
          <w:rtl/>
        </w:rPr>
        <w:t xml:space="preserve">خط: نستعلیق، بی کا، تا: قرن ۱۲؛ قطع: ربعی [نشریه: ۴-۴۰۰]</w:t>
      </w:r>
    </w:p>
    <w:p>
      <w:pPr>
        <w:pStyle w:val="BookText"/>
      </w:pPr>
      <w:r>
        <w:rPr>
          <w:rFonts w:ascii="IRNazanin" w:hAnsi="IRNazanin" w:eastAsia="IRNazanin" w:cs="IRNazanin"/>
          <w:lang w:bidi="fa-IR"/>
          <w:color w:val="111111"/>
          <w:sz w:val="28"/>
          <w:szCs w:val="28"/>
          <w:rtl/>
        </w:rPr>
        <w:t xml:space="preserve">۷۸. مشهد؛ رضوی؛ شماره نسخه: ۸۵۷۰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۱۲ کاغذ: شکری آهار مهره، جلد: پارچه ای، ۲۳گ، ۱۲-۱۳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اندازه: ۲۱/۴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۱۵/۳ سم [ف: ۸-۴۹]</w:t>
      </w:r>
    </w:p>
    <w:p>
      <w:pPr>
        <w:pStyle w:val="BookText"/>
      </w:pPr>
      <w:r>
        <w:rPr>
          <w:rFonts w:ascii="IRNazanin" w:hAnsi="IRNazanin" w:eastAsia="IRNazanin" w:cs="IRNazanin"/>
          <w:lang w:bidi="fa-IR"/>
          <w:color w:val="111111"/>
          <w:sz w:val="28"/>
          <w:szCs w:val="28"/>
          <w:rtl/>
        </w:rPr>
        <w:t xml:space="preserve">۷۹. اصفهان، دانشگاه، شماره نسخه: ۹۶/۱</w:t>
      </w:r>
    </w:p>
    <w:p>
      <w:pPr>
        <w:pStyle w:val="BookText"/>
      </w:pPr>
      <w:r>
        <w:rPr>
          <w:rFonts w:ascii="IRNazanin" w:hAnsi="IRNazanin" w:eastAsia="IRNazanin" w:cs="IRNazanin"/>
          <w:lang w:bidi="fa-IR"/>
          <w:color w:val="111111"/>
          <w:sz w:val="28"/>
          <w:szCs w:val="28"/>
          <w:rtl/>
        </w:rPr>
        <w:t xml:space="preserve">خط: نستعلیق، بی کا، تا: قرن ۱۲؛ افتادگی: آغاز، کاغذ: سپاهانی [نشریه: ۱۱–۹۲۵]</w:t>
      </w:r>
    </w:p>
    <w:p>
      <w:pPr>
        <w:pStyle w:val="BookText"/>
      </w:pPr>
      <w:r>
        <w:rPr>
          <w:rFonts w:ascii="IRNazanin" w:hAnsi="IRNazanin" w:eastAsia="IRNazanin" w:cs="IRNazanin"/>
          <w:lang w:bidi="fa-IR"/>
          <w:color w:val="111111"/>
          <w:sz w:val="28"/>
          <w:szCs w:val="28"/>
          <w:rtl/>
        </w:rPr>
        <w:t xml:space="preserve">۸۰. قم؛ مسجد اعظم؛ شماره نسخه: ۲۳۳۹/۲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۱۲؛ مصحح، محشی؛ ۱۵گ، ۱۷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مخ: ۱-۲۹۴]</w:t>
      </w:r>
    </w:p>
    <w:p>
      <w:pPr>
        <w:pStyle w:val="BookText"/>
      </w:pPr>
      <w:r>
        <w:rPr>
          <w:rFonts w:ascii="IRNazanin" w:hAnsi="IRNazanin" w:eastAsia="IRNazanin" w:cs="IRNazanin"/>
          <w:lang w:bidi="fa-IR"/>
          <w:color w:val="111111"/>
          <w:sz w:val="28"/>
          <w:szCs w:val="28"/>
          <w:rtl/>
        </w:rPr>
        <w:t xml:space="preserve">۸۱. مشهد؛ گوهرشاد؛ شماره نسخه: ۹۳۳/۲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کاظم بن شیخ عبد اللطيف، تا: قرن ۱۲؛ مهر: حاج سید سعید؛ جلد: تیماج عنابی لایه ای، ۲۶گ (۴۳-۶۸)، ۱۸ سطر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[ف: ۳-۱۲۷۹]</w:t>
      </w:r>
    </w:p>
    <w:p>
      <w:pPr>
        <w:pStyle w:val="BookText"/>
      </w:pPr>
      <w:r>
        <w:rPr>
          <w:rFonts w:ascii="IRNazanin" w:hAnsi="IRNazanin" w:eastAsia="IRNazanin" w:cs="IRNazanin"/>
          <w:lang w:bidi="fa-IR"/>
          <w:color w:val="111111"/>
          <w:sz w:val="28"/>
          <w:szCs w:val="28"/>
          <w:rtl/>
        </w:rPr>
        <w:t xml:space="preserve">۸۲. قم، مسجد اعظم؛ شماره نسخه: ۲۳۸۱/۲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۱۲، ۴۰ گ، ۱۵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مخ: ۱-۲۹۴]</w:t>
      </w:r>
    </w:p>
    <w:p>
      <w:pPr>
        <w:pStyle w:val="BookText"/>
      </w:pPr>
      <w:r>
        <w:rPr>
          <w:rFonts w:ascii="IRNazanin" w:hAnsi="IRNazanin" w:eastAsia="IRNazanin" w:cs="IRNazanin"/>
          <w:lang w:bidi="fa-IR"/>
          <w:color w:val="111111"/>
          <w:sz w:val="28"/>
          <w:szCs w:val="28"/>
          <w:rtl/>
        </w:rPr>
        <w:t xml:space="preserve">۸۳. تهران؛ سپهسالار؛ شماره نسخه: ۷۳۸۶/۱</w:t>
      </w:r>
    </w:p>
    <w:p>
      <w:pPr>
        <w:pStyle w:val="BookText"/>
      </w:pPr>
      <w:r>
        <w:rPr>
          <w:rFonts w:ascii="IRNazanin" w:hAnsi="IRNazanin" w:eastAsia="IRNazanin" w:cs="IRNazanin"/>
          <w:lang w:bidi="fa-IR"/>
          <w:color w:val="111111"/>
          <w:sz w:val="28"/>
          <w:szCs w:val="28"/>
          <w:rtl/>
        </w:rPr>
        <w:t xml:space="preserve">خط: نسخ، كان ملا محمد طاهر، تا: قرن ۱۲؛ کاغذ: فرنگی، جلد: تیماج مشکی یک لا، ۲۷گ (۳پ ۲۹ر)،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۲۷۱-۳ ]</w:t>
      </w:r>
    </w:p>
    <w:p>
      <w:pPr>
        <w:pStyle w:val="BookText"/>
      </w:pPr>
      <w:r>
        <w:rPr>
          <w:rFonts w:ascii="IRNazanin" w:hAnsi="IRNazanin" w:eastAsia="IRNazanin" w:cs="IRNazanin"/>
          <w:lang w:bidi="fa-IR"/>
          <w:color w:val="111111"/>
          <w:sz w:val="28"/>
          <w:szCs w:val="28"/>
          <w:rtl/>
        </w:rPr>
        <w:t xml:space="preserve">۸۴. مشهد؛ رضوی؛ شماره نسخه: ۵۴۳۷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تحریری، بی کا، تا: قرن ۱۲؛ محشی؛ واقف: نایینی؛ کاغذ: نخودی آهار مهره، جلد: پارچه یی، ۱۶گ، مختلف السطر، اندازه: ۲۴/۷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۱۲/۷ سم [ف: ۸-۴۸]</w:t>
      </w:r>
    </w:p>
    <w:p>
      <w:pPr>
        <w:pStyle w:val="BookText"/>
      </w:pPr>
      <w:r>
        <w:rPr>
          <w:rFonts w:ascii="IRNazanin" w:hAnsi="IRNazanin" w:eastAsia="IRNazanin" w:cs="IRNazanin"/>
          <w:lang w:bidi="fa-IR"/>
          <w:color w:val="111111"/>
          <w:sz w:val="28"/>
          <w:szCs w:val="28"/>
          <w:rtl/>
        </w:rPr>
        <w:t xml:space="preserve">۸۵. مشهد؛ رضوی؛ شماره نسخه: ۵۴۳۸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۱۲؛ واقف: عماد فهرستی؛ کاغذ: شکری آهار مهره، جلد: پارچه ای، ۷، ۱۵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اندازه: ۱۸/۸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۱۳/۲ سم [ف: ۸-۴۸]</w:t>
      </w:r>
    </w:p>
    <w:p>
      <w:pPr>
        <w:pStyle w:val="BookText"/>
      </w:pPr>
      <w:r>
        <w:rPr>
          <w:rFonts w:ascii="IRNazanin" w:hAnsi="IRNazanin" w:eastAsia="IRNazanin" w:cs="IRNazanin"/>
          <w:lang w:bidi="fa-IR"/>
          <w:color w:val="111111"/>
          <w:sz w:val="28"/>
          <w:szCs w:val="28"/>
          <w:rtl/>
        </w:rPr>
        <w:t xml:space="preserve">۸۶. مشهد؛ رضوی؛ شماره نسخه: ۵۴۳۹</w:t>
      </w:r>
    </w:p>
    <w:p>
      <w:pPr>
        <w:pStyle w:val="BookText"/>
      </w:pPr>
      <w:r>
        <w:rPr>
          <w:rFonts w:ascii="IRNazanin" w:hAnsi="IRNazanin" w:eastAsia="IRNazanin" w:cs="IRNazanin"/>
          <w:lang w:bidi="fa-IR"/>
          <w:color w:val="111111"/>
          <w:sz w:val="28"/>
          <w:szCs w:val="28"/>
          <w:rtl/>
        </w:rPr>
        <w:t xml:space="preserve">آغاز و انجام: برابر خط: نستعلیق، بی کا، تا: قرن ۱۲؛ واقف: حاج وزیر وظایف؛ کاغذ: کاغذ شکری آهار مهره، جلد: پارچه ای، ۱۸گ، مختلف السطر، اندازه: ۱۷/۳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سم [ف: ۸-۴۹]</w:t>
      </w:r>
    </w:p>
    <w:p>
      <w:pPr>
        <w:pStyle w:val="BookText"/>
      </w:pPr>
      <w:r>
        <w:rPr>
          <w:rFonts w:ascii="IRNazanin" w:hAnsi="IRNazanin" w:eastAsia="IRNazanin" w:cs="IRNazanin"/>
          <w:lang w:bidi="fa-IR"/>
          <w:color w:val="111111"/>
          <w:sz w:val="28"/>
          <w:szCs w:val="28"/>
          <w:rtl/>
        </w:rPr>
        <w:t xml:space="preserve">۸۷. کرمانشاه؛ جلیلی؛ شماره نسخه: ۴۴۰/۱</w:t>
      </w:r>
    </w:p>
    <w:p>
      <w:pPr>
        <w:pStyle w:val="BookText"/>
      </w:pPr>
      <w:r>
        <w:rPr>
          <w:rFonts w:ascii="IRNazanin" w:hAnsi="IRNazanin" w:eastAsia="IRNazanin" w:cs="IRNazanin"/>
          <w:lang w:bidi="fa-IR"/>
          <w:color w:val="111111"/>
          <w:sz w:val="28"/>
          <w:szCs w:val="28"/>
          <w:rtl/>
        </w:rPr>
        <w:t xml:space="preserve">آغاز: برابر؛ انجام: میان طلوع صبح و طلوع شمس همچنین نظير درجه آفتاب از اول تا اواسط باب نهم؛ خط: نستعلیق خوب، بی کا، تا: قرن ۱۲؛ ۱۰ص (۱-۱۰)، ۱۷ سطر [ف: ۲۷۱]</w:t>
      </w:r>
    </w:p>
    <w:p>
      <w:pPr>
        <w:pStyle w:val="BookText"/>
      </w:pPr>
      <w:r>
        <w:rPr>
          <w:rFonts w:ascii="IRNazanin" w:hAnsi="IRNazanin" w:eastAsia="IRNazanin" w:cs="IRNazanin"/>
          <w:lang w:bidi="fa-IR"/>
          <w:color w:val="111111"/>
          <w:sz w:val="28"/>
          <w:szCs w:val="28"/>
          <w:rtl/>
        </w:rPr>
        <w:t xml:space="preserve">۸۸. تهران: مفتاح، شماره نسخه: ۳۸۷/۲</w:t>
      </w:r>
    </w:p>
    <w:p>
      <w:pPr>
        <w:pStyle w:val="BookText"/>
      </w:pPr>
      <w:r>
        <w:rPr>
          <w:rFonts w:ascii="IRNazanin" w:hAnsi="IRNazanin" w:eastAsia="IRNazanin" w:cs="IRNazanin"/>
          <w:lang w:bidi="fa-IR"/>
          <w:color w:val="111111"/>
          <w:sz w:val="28"/>
          <w:szCs w:val="28"/>
          <w:rtl/>
        </w:rPr>
        <w:t xml:space="preserve">خط: نسخ، بی کا، تا:۱۷ ربیع الاول ۱۱۰۱ق، جا: نجف [نشریه: ۷-۲۳۶]</w:t>
      </w:r>
    </w:p>
    <w:p>
      <w:pPr>
        <w:pStyle w:val="BookText"/>
      </w:pPr>
      <w:r>
        <w:rPr>
          <w:rFonts w:ascii="Amiri" w:hAnsi="Amiri" w:eastAsia="Amiri" w:cs="Amiri"/>
          <w:lang w:bidi="ar-SA"/>
          <w:color w:val="111111"/>
          <w:sz w:val="28"/>
          <w:szCs w:val="28"/>
          <w:rtl/>
        </w:rPr>
        <w:t xml:space="preserve">۸۹. تهران؛ الهيات؛ شماره نسخه: ۷۱۰/۳</w:t>
      </w:r>
    </w:p>
    <w:p>
      <w:pPr>
        <w:pStyle w:val="BookText"/>
      </w:pPr>
      <w:r>
        <w:rPr>
          <w:rFonts w:ascii="IRNazanin" w:hAnsi="IRNazanin" w:eastAsia="IRNazanin" w:cs="IRNazanin"/>
          <w:lang w:bidi="fa-IR"/>
          <w:color w:val="111111"/>
          <w:sz w:val="28"/>
          <w:szCs w:val="28"/>
          <w:rtl/>
        </w:rPr>
        <w:t xml:space="preserve">خط: نستعلیق، بی کا، تا: ۱۱۰۱ق؛ کاغذ: فرنگی، جلد: تیماج سرخ، ۲۴گ (۱۵۵-۱۷۸)، ۱۵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۳۶۹]</w:t>
      </w:r>
    </w:p>
    <w:p>
      <w:pPr>
        <w:pStyle w:val="BookText"/>
      </w:pPr>
      <w:r>
        <w:rPr>
          <w:rFonts w:ascii="IRNazanin" w:hAnsi="IRNazanin" w:eastAsia="IRNazanin" w:cs="IRNazanin"/>
          <w:lang w:bidi="fa-IR"/>
          <w:color w:val="111111"/>
          <w:sz w:val="28"/>
          <w:szCs w:val="28"/>
          <w:rtl/>
        </w:rPr>
        <w:t xml:space="preserve">۹۰. تهران؛ دانشگاه؛ شماره نسخه: ۸۸۸/۱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بن حبیب، تا: ۱۱۰۴ق؛ ۱۶گ (۱پ - ۱۶پ) [ف: ۴-۸۴۱]</w:t>
      </w:r>
    </w:p>
    <w:p>
      <w:pPr>
        <w:pStyle w:val="BookText"/>
      </w:pPr>
      <w:r>
        <w:rPr>
          <w:rFonts w:ascii="IRNazanin" w:hAnsi="IRNazanin" w:eastAsia="IRNazanin" w:cs="IRNazanin"/>
          <w:lang w:bidi="fa-IR"/>
          <w:color w:val="111111"/>
          <w:sz w:val="28"/>
          <w:szCs w:val="28"/>
          <w:rtl/>
        </w:rPr>
        <w:t xml:space="preserve">۹۱. یزد: وزیری؛ شماره نسخه: ۳۵۹۴/۲</w:t>
      </w:r>
    </w:p>
    <w:p>
      <w:pPr>
        <w:pStyle w:val="BookText"/>
      </w:pPr>
      <w:r>
        <w:rPr>
          <w:rFonts w:ascii="IRNazanin" w:hAnsi="IRNazanin" w:eastAsia="IRNazanin" w:cs="IRNazanin"/>
          <w:lang w:bidi="fa-IR"/>
          <w:color w:val="111111"/>
          <w:sz w:val="28"/>
          <w:szCs w:val="28"/>
          <w:rtl/>
        </w:rPr>
        <w:t xml:space="preserve">خط: نسخ، كا: محمد رضا بن محمد سعید، تا: شوال ۱۱۰۸ق؛ کاغذ: اصفهانی، جلد: مقوایی روکش تیماج مشکی ضربی عطف تیماج قرمز، ۲۵ص (۲۰-۴۴)، ۱۶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w:t>
      </w:r>
    </w:p>
    <w:p>
      <w:pPr>
        <w:pStyle w:val="BookText"/>
      </w:pPr>
      <w:r>
        <w:rPr>
          <w:rFonts w:ascii="IRNazanin" w:hAnsi="IRNazanin" w:eastAsia="IRNazanin" w:cs="IRNazanin"/>
          <w:lang w:bidi="fa-IR"/>
          <w:color w:val="111111"/>
          <w:sz w:val="28"/>
          <w:szCs w:val="28"/>
          <w:rtl/>
        </w:rPr>
        <w:t xml:space="preserve">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۱۸/۵ سم [ف: ۵-۱۷۱۳]</w:t>
      </w:r>
    </w:p>
    <w:p>
      <w:pPr>
        <w:pStyle w:val="BookText"/>
      </w:pPr>
      <w:r>
        <w:rPr>
          <w:rFonts w:ascii="IRNazanin" w:hAnsi="IRNazanin" w:eastAsia="IRNazanin" w:cs="IRNazanin"/>
          <w:lang w:bidi="fa-IR"/>
          <w:color w:val="111111"/>
          <w:sz w:val="28"/>
          <w:szCs w:val="28"/>
          <w:rtl/>
        </w:rPr>
        <w:t xml:space="preserve">۹۲. قم؛ گلپایگانی؛ شماره نسخه: ۱۳۵۸/۶ - ۸/۶۸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جبرئیل، تا: ۱۱۰۹ق، جا: تون؛ محشی از یزدی و بیرجندی و دیگران؛ جلد: تیماج مشکی، ۲۶گ، ۲۱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۲-۶۵۶]</w:t>
      </w:r>
    </w:p>
    <w:p>
      <w:pPr>
        <w:pStyle w:val="BookText"/>
      </w:pPr>
      <w:r>
        <w:rPr>
          <w:rFonts w:ascii="IRNazanin" w:hAnsi="IRNazanin" w:eastAsia="IRNazanin" w:cs="IRNazanin"/>
          <w:lang w:bidi="fa-IR"/>
          <w:color w:val="111111"/>
          <w:sz w:val="28"/>
          <w:szCs w:val="28"/>
          <w:rtl/>
        </w:rPr>
        <w:t xml:space="preserve">۹۳. خوی؛ نمازی؛ شماره نسخه: ۵۰۳/۳</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و نستعلیق، کا: اسماعيل بن محمد رفیع دیهو کی طبسی گیلکی، تا: سلخ صفر ۱۱۱۵ق، جا: اصفهان؛ وقف شهید؛ جلد: تیماج قهوه ای ساده، ۳۸ص،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۲۵۹]</w:t>
      </w:r>
    </w:p>
    <w:p>
      <w:pPr>
        <w:pStyle w:val="BookText"/>
      </w:pPr>
      <w:r>
        <w:rPr>
          <w:rFonts w:ascii="IRNazanin" w:hAnsi="IRNazanin" w:eastAsia="IRNazanin" w:cs="IRNazanin"/>
          <w:lang w:bidi="fa-IR"/>
          <w:color w:val="111111"/>
          <w:sz w:val="28"/>
          <w:szCs w:val="28"/>
          <w:rtl/>
        </w:rPr>
        <w:t xml:space="preserve">قم، مرکز احیاء؛ شماره نسخه: ۸۹۳/۳</w:t>
      </w:r>
    </w:p>
    <w:p>
      <w:pPr>
        <w:pStyle w:val="BookText"/>
      </w:pPr>
      <w:r>
        <w:rPr>
          <w:rFonts w:ascii="IRNazanin" w:hAnsi="IRNazanin" w:eastAsia="IRNazanin" w:cs="IRNazanin"/>
          <w:lang w:bidi="fa-IR"/>
          <w:color w:val="111111"/>
          <w:sz w:val="28"/>
          <w:szCs w:val="28"/>
          <w:rtl/>
        </w:rPr>
        <w:t xml:space="preserve">نسخه اصل: همان نسخه بالا [عکسی ف: ۳-۸۸]</w:t>
      </w:r>
    </w:p>
    <w:p>
      <w:pPr>
        <w:pStyle w:val="BookText"/>
      </w:pPr>
      <w:r>
        <w:rPr>
          <w:rFonts w:ascii="IRNazanin" w:hAnsi="IRNazanin" w:eastAsia="IRNazanin" w:cs="IRNazanin"/>
          <w:lang w:bidi="fa-IR"/>
          <w:color w:val="111111"/>
          <w:sz w:val="28"/>
          <w:szCs w:val="28"/>
          <w:rtl/>
        </w:rPr>
        <w:t xml:space="preserve">۹۴. قم؛ مسجد اعظم؛ شماره نسخه: ۳۳۸۴/۳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۱۱۱۷ق؛ مصحح، محشى؛ تملك: محمدنقی حسینی خلیفه در سلخ ذیحجه ۱۱۱۷؛ مهر: «الراجی محمد صادق الحسینی» (مربع)؛ ۳۸ گ، ۱۲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مخ: ۱-۲۹۴]</w:t>
      </w:r>
    </w:p>
    <w:p>
      <w:pPr>
        <w:pStyle w:val="BookText"/>
      </w:pPr>
      <w:r>
        <w:rPr>
          <w:rFonts w:ascii="IRNazanin" w:hAnsi="IRNazanin" w:eastAsia="IRNazanin" w:cs="IRNazanin"/>
          <w:lang w:bidi="fa-IR"/>
          <w:color w:val="111111"/>
          <w:sz w:val="28"/>
          <w:szCs w:val="28"/>
          <w:rtl/>
        </w:rPr>
        <w:t xml:space="preserve">۹۵. مشهد: الهیات؛ شماره نسخه: ۵۲۰/۳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سه شنبه ۱۰ ربیع الثانی ۱۱۱۸ق؛ دارای ضمیمه ای به فارسی در یک صفحه راجع به تعیین افق اصفهان با مهر «عبده احمد الطبيب»؛ تملك: احمد بن عبد القادر طبیب در جمعه ۲۳ ذیقعده ۱۱۵۰ با مهری از او؛ کاغذ: اصفهانی و فرنگی، جلد: تیماج قهوه ای، ۱۵ سطر (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 قطع: ربعی،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۱-۴۵۹]</w:t>
      </w:r>
    </w:p>
    <w:p>
      <w:pPr>
        <w:pStyle w:val="BookText"/>
      </w:pPr>
      <w:r>
        <w:rPr>
          <w:rFonts w:ascii="IRNazanin" w:hAnsi="IRNazanin" w:eastAsia="IRNazanin" w:cs="IRNazanin"/>
          <w:lang w:bidi="fa-IR"/>
          <w:color w:val="111111"/>
          <w:sz w:val="28"/>
          <w:szCs w:val="28"/>
          <w:rtl/>
        </w:rPr>
        <w:t xml:space="preserve">۹۶. مشهد؛ رضوی؛ شماره نسخه:۱۲۲۰۸/۳</w:t>
      </w:r>
    </w:p>
    <w:p>
      <w:pPr>
        <w:pStyle w:val="BookText"/>
      </w:pPr>
      <w:r>
        <w:rPr>
          <w:rFonts w:ascii="IRNazanin" w:hAnsi="IRNazanin" w:eastAsia="IRNazanin" w:cs="IRNazanin"/>
          <w:lang w:bidi="fa-IR"/>
          <w:color w:val="111111"/>
          <w:sz w:val="28"/>
          <w:szCs w:val="28"/>
          <w:rtl/>
        </w:rPr>
        <w:t xml:space="preserve">آغاز و انجام: برابر؛ تمت كتاب بیست باب اسطرلاب ... و چون بیست ستاره دیگر مولانا عبد العلي البيرجندی در شرح علاوه نموده که در اکثر اوقات احتياج باو می شود بنابراین هر چهل ستاره را با مواضع شان و عروض و غیره در جدول درج نموده شد.</w:t>
      </w:r>
    </w:p>
    <w:p>
      <w:pPr>
        <w:pStyle w:val="BookText"/>
      </w:pPr>
      <w:r>
        <w:rPr>
          <w:rFonts w:ascii="IRNazanin" w:hAnsi="IRNazanin" w:eastAsia="IRNazanin" w:cs="IRNazanin"/>
          <w:lang w:bidi="fa-IR"/>
          <w:color w:val="111111"/>
          <w:sz w:val="28"/>
          <w:szCs w:val="28"/>
          <w:rtl/>
        </w:rPr>
        <w:t xml:space="preserve">خط شکسته نستعلیق، کا: شریف رشتی، تا: ۱۱۱۸ق؛ کاغذ: شکری فرنگی، جلد: تیماج يشمی،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۱۷/۲ سم [ف: ۱۰-۱۰۰]</w:t>
      </w:r>
    </w:p>
    <w:p>
      <w:pPr>
        <w:pStyle w:val="BookText"/>
      </w:pPr>
      <w:r>
        <w:rPr>
          <w:rFonts w:ascii="IRNazanin" w:hAnsi="IRNazanin" w:eastAsia="IRNazanin" w:cs="IRNazanin"/>
          <w:lang w:bidi="fa-IR"/>
          <w:color w:val="111111"/>
          <w:sz w:val="28"/>
          <w:szCs w:val="28"/>
          <w:rtl/>
        </w:rPr>
        <w:t xml:space="preserve">۹۷. تهران، دانشگاه؛ شماره نسخه: ۲۴۸۰/۱ ف</w:t>
      </w:r>
    </w:p>
    <w:p>
      <w:pPr>
        <w:pStyle w:val="BookText"/>
      </w:pPr>
      <w:r>
        <w:rPr>
          <w:rFonts w:ascii="IRNazanin" w:hAnsi="IRNazanin" w:eastAsia="IRNazanin" w:cs="IRNazanin"/>
          <w:lang w:bidi="fa-IR"/>
          <w:color w:val="111111"/>
          <w:sz w:val="28"/>
          <w:szCs w:val="28"/>
          <w:rtl/>
        </w:rPr>
        <w:t xml:space="preserve">بی کا، تا: ۱۱۲۳ق [فيلمها ف: ۱-۷۰۱]</w:t>
      </w:r>
    </w:p>
    <w:p>
      <w:pPr>
        <w:pStyle w:val="BookText"/>
      </w:pPr>
      <w:r>
        <w:rPr>
          <w:rFonts w:ascii="IRNazanin" w:hAnsi="IRNazanin" w:eastAsia="IRNazanin" w:cs="IRNazanin"/>
          <w:lang w:bidi="fa-IR"/>
          <w:color w:val="111111"/>
          <w:sz w:val="28"/>
          <w:szCs w:val="28"/>
          <w:rtl/>
        </w:rPr>
        <w:t xml:space="preserve">۹۸. تهران: مفتاح؛ شماره نسخه: ۳۹۹</w:t>
      </w:r>
    </w:p>
    <w:p>
      <w:pPr>
        <w:pStyle w:val="BookText"/>
      </w:pPr>
      <w:r>
        <w:rPr>
          <w:rFonts w:ascii="IRNazanin" w:hAnsi="IRNazanin" w:eastAsia="IRNazanin" w:cs="IRNazanin"/>
          <w:lang w:bidi="fa-IR"/>
          <w:color w:val="111111"/>
          <w:sz w:val="28"/>
          <w:szCs w:val="28"/>
          <w:rtl/>
        </w:rPr>
        <w:t xml:space="preserve">خط: نسخ، بی کا، تا: سه شنبه ۱ شعبان ۱۱۲۴ق، جا: اصفهان؛ قطع: ربعي [نشریه: ۷-۱۰۸] ۹۹. تهران؛ ملی؛ شماره نسخه: ۲۵۱۸/۲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۱۱۲۶ق، کاغذ: فرنگی، جلد: تیماج، قرمز، مقوایی، ۳۹ ص (۱۲۹-۱۶۷)، ۲۱سطر کامل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۶-۲۲]</w:t>
      </w:r>
    </w:p>
    <w:p>
      <w:pPr>
        <w:pStyle w:val="BookText"/>
      </w:pPr>
      <w:r>
        <w:rPr>
          <w:rFonts w:ascii="IRNazanin" w:hAnsi="IRNazanin" w:eastAsia="IRNazanin" w:cs="IRNazanin"/>
          <w:lang w:bidi="fa-IR"/>
          <w:color w:val="111111"/>
          <w:sz w:val="28"/>
          <w:szCs w:val="28"/>
          <w:rtl/>
        </w:rPr>
        <w:t xml:space="preserve">۱۰۰. تهران: مفتاح؛ شماره نسخه: ۴۳۶/۱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نستعلیق، کا: حکیم باشی، تا: شنبه ربيع الاول ۱۱۳۲ق؛ قطع: ربعي [نشریه: ۷-۲۳۹] ۱۰۱. تهران؛ مجلس؛ شماره نسخه: ۶۰۷۶/۲</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زیبا، بی کا، تا: ۱۱۵۵ق؛ کاغذ: اصفهانی سفید آهار دار، جلد: گالینگور مشکی عطف تیماج قهوه ای، ۳۹ص (۱۰۲ ۱۴۰)، ۱۴ سطر، قطع: رقعی، اندازه: 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۱۷/۵ سم [ف: ۱۹-۶۲]</w:t>
      </w:r>
    </w:p>
    <w:p>
      <w:pPr>
        <w:pStyle w:val="BookText"/>
      </w:pPr>
      <w:r>
        <w:rPr>
          <w:rFonts w:ascii="IRNazanin" w:hAnsi="IRNazanin" w:eastAsia="IRNazanin" w:cs="IRNazanin"/>
          <w:lang w:bidi="fa-IR"/>
          <w:color w:val="111111"/>
          <w:sz w:val="28"/>
          <w:szCs w:val="28"/>
          <w:rtl/>
        </w:rPr>
        <w:t xml:space="preserve">۱۰۲. مشهد؛ گوهرشاد؛ شماره نسخه: ۱۱۴۳/۱</w:t>
      </w:r>
    </w:p>
    <w:p>
      <w:pPr>
        <w:pStyle w:val="BookText"/>
      </w:pPr>
      <w:r>
        <w:rPr>
          <w:rFonts w:ascii="IRNazanin" w:hAnsi="IRNazanin" w:eastAsia="IRNazanin" w:cs="IRNazanin"/>
          <w:lang w:bidi="fa-IR"/>
          <w:color w:val="111111"/>
          <w:sz w:val="28"/>
          <w:szCs w:val="28"/>
          <w:rtl/>
        </w:rPr>
        <w:t xml:space="preserve">خط: نستعلیق خوش، كا: علی اصغر تفريشی، تا: ۱۱۵۷ق، برای ملا محمود خراسانی؛ ۱۱ سطر، قطع: ربعی [چهار کتابخانه مشهد - ف: ۷۴]</w:t>
      </w:r>
    </w:p>
    <w:p>
      <w:pPr>
        <w:pStyle w:val="BookText"/>
      </w:pPr>
      <w:r>
        <w:rPr>
          <w:rFonts w:ascii="IRNazanin" w:hAnsi="IRNazanin" w:eastAsia="IRNazanin" w:cs="IRNazanin"/>
          <w:lang w:bidi="fa-IR"/>
          <w:color w:val="111111"/>
          <w:sz w:val="28"/>
          <w:szCs w:val="28"/>
          <w:rtl/>
        </w:rPr>
        <w:t xml:space="preserve">۱۰۳. تهران؛ مجلس؛ شماره نسخه: ۶۳۴۲/۱</w:t>
      </w:r>
    </w:p>
    <w:p>
      <w:pPr>
        <w:pStyle w:val="BookText"/>
      </w:pPr>
      <w:r>
        <w:rPr>
          <w:rFonts w:ascii="IRNazanin" w:hAnsi="IRNazanin" w:eastAsia="IRNazanin" w:cs="IRNazanin"/>
          <w:lang w:bidi="fa-IR"/>
          <w:color w:val="111111"/>
          <w:sz w:val="28"/>
          <w:szCs w:val="28"/>
          <w:rtl/>
        </w:rPr>
        <w:t xml:space="preserve">خط: نستعلیق، کا: تاری وردی، تا: ۱۱۶۷ق؛ کاغذ: فرنگی آهار مهره، جلد: يماج قرمز بدون مقوا، ۱۵ سطر [ف: ۱۹–۳۶۶]</w:t>
      </w:r>
    </w:p>
    <w:p>
      <w:pPr>
        <w:pStyle w:val="BookText"/>
      </w:pPr>
      <w:r>
        <w:rPr>
          <w:rFonts w:ascii="IRNazanin" w:hAnsi="IRNazanin" w:eastAsia="IRNazanin" w:cs="IRNazanin"/>
          <w:lang w:bidi="fa-IR"/>
          <w:color w:val="111111"/>
          <w:sz w:val="28"/>
          <w:szCs w:val="28"/>
          <w:rtl/>
        </w:rPr>
        <w:t xml:space="preserve">۱۰۴. تهران؛ مجلس؛ شماره نسخه: ۶۳۴۲/۳</w:t>
      </w:r>
    </w:p>
    <w:p>
      <w:pPr>
        <w:pStyle w:val="BookText"/>
      </w:pPr>
      <w:r>
        <w:rPr>
          <w:rFonts w:ascii="IRNazanin" w:hAnsi="IRNazanin" w:eastAsia="IRNazanin" w:cs="IRNazanin"/>
          <w:lang w:bidi="fa-IR"/>
          <w:color w:val="111111"/>
          <w:sz w:val="28"/>
          <w:szCs w:val="28"/>
          <w:rtl/>
        </w:rPr>
        <w:t xml:space="preserve">آغاز: بسمله انتخاب چند بابی از علم اسطرلاب از کتاب خواجه نصیر طوسی ... کرده میشود باب در معرفت دائره؛ انجام: بباید گردانید و تأمل کردن تا کدام جزء بر علامت افتد درجه تقویم آفتاب بود در آن روز.</w:t>
      </w:r>
    </w:p>
    <w:p>
      <w:pPr>
        <w:pStyle w:val="BookText"/>
      </w:pPr>
      <w:r>
        <w:rPr>
          <w:rFonts w:ascii="IRNazanin" w:hAnsi="IRNazanin" w:eastAsia="IRNazanin" w:cs="IRNazanin"/>
          <w:lang w:bidi="fa-IR"/>
          <w:color w:val="111111"/>
          <w:sz w:val="28"/>
          <w:szCs w:val="28"/>
          <w:rtl/>
        </w:rPr>
        <w:t xml:space="preserve">شش باب است گزیده از رساله بیست باب، بدین ترتیب: ۱. در معرفت دائره و ساعات مستوى و معوجه (در اصل: باب ۳)، ۲. مطالع البروج (در اصل: باب ۱۵)، ۳. معرفت عرض</w:t>
      </w:r>
    </w:p>
    <w:p>
      <w:pPr>
        <w:pStyle w:val="BookText"/>
      </w:pPr>
      <w:r>
        <w:rPr>
          <w:rFonts w:ascii="IRNazanin" w:hAnsi="IRNazanin" w:eastAsia="IRNazanin" w:cs="IRNazanin"/>
          <w:lang w:bidi="fa-IR"/>
          <w:color w:val="111111"/>
          <w:sz w:val="28"/>
          <w:szCs w:val="28"/>
          <w:rtl/>
        </w:rPr>
        <w:t xml:space="preserve">بلد و تحقیقات آن (در اصل: ۸)، ۴. طالع وقت در شهری که او را صفيحه نباشد، ۵. معرفت سمت از ارتفاع، ۶. معرفت تقویم آفتاب؛ خط: نستعلیق، کا: تاری وردی، تا: ۱۱۶۷ق؛ کاغذ: فرنگی آهار مهره، جلد: تیماج قرمز بدون مقوا، ۱۱ص (۴۸-۵۸)، ۱۵ سطر، قطع: خشتی،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۱۹-۳۶۶]</w:t>
      </w:r>
    </w:p>
    <w:p>
      <w:pPr>
        <w:pStyle w:val="BookText"/>
      </w:pPr>
      <w:r>
        <w:rPr>
          <w:rFonts w:ascii="IRNazanin" w:hAnsi="IRNazanin" w:eastAsia="IRNazanin" w:cs="IRNazanin"/>
          <w:lang w:bidi="fa-IR"/>
          <w:color w:val="111111"/>
          <w:sz w:val="28"/>
          <w:szCs w:val="28"/>
          <w:rtl/>
        </w:rPr>
        <w:t xml:space="preserve">۱۰۵. تهران؛ مجلس؛ شماره نسخه: ۳۷۶۱/۱</w:t>
      </w:r>
    </w:p>
    <w:p>
      <w:pPr>
        <w:pStyle w:val="BookText"/>
      </w:pPr>
      <w:r>
        <w:rPr>
          <w:rFonts w:ascii="IRNazanin" w:hAnsi="IRNazanin" w:eastAsia="IRNazanin" w:cs="IRNazanin"/>
          <w:lang w:bidi="fa-IR"/>
          <w:color w:val="111111"/>
          <w:sz w:val="28"/>
          <w:szCs w:val="28"/>
          <w:rtl/>
        </w:rPr>
        <w:t xml:space="preserve">خط: نسخ، کا: محمد بن حاج طالب</w:t>
      </w:r>
    </w:p>
    <w:p>
      <w:pPr>
        <w:pStyle w:val="BookText"/>
      </w:pPr>
      <w:r>
        <w:rPr>
          <w:rFonts w:ascii="IRNazanin" w:hAnsi="IRNazanin" w:eastAsia="IRNazanin" w:cs="IRNazanin"/>
          <w:lang w:bidi="fa-IR"/>
          <w:color w:val="111111"/>
          <w:sz w:val="28"/>
          <w:szCs w:val="28"/>
          <w:rtl/>
        </w:rPr>
        <w:t xml:space="preserve">طاهر آبادی، تا: ۱۱۸۲ق؛ کاغذ: اصفهانی، جلد: تیماج زرد یک لا، ۶۹ص (۲-۷۰)، ۱۷</w:t>
      </w:r>
    </w:p>
    <w:p>
      <w:pPr>
        <w:pStyle w:val="BookText"/>
      </w:pPr>
      <w:r>
        <w:rPr>
          <w:rFonts w:ascii="IRNazanin" w:hAnsi="IRNazanin" w:eastAsia="IRNazanin" w:cs="IRNazanin"/>
          <w:lang w:bidi="fa-IR"/>
          <w:color w:val="111111"/>
          <w:sz w:val="28"/>
          <w:szCs w:val="28"/>
          <w:rtl/>
        </w:rPr>
        <w:t xml:space="preserve">سطر، قطع: رقعی،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سم [ف: ۱۰-۱۷۴۳]</w:t>
      </w:r>
    </w:p>
    <w:p>
      <w:pPr>
        <w:pStyle w:val="BookText"/>
      </w:pPr>
      <w:r>
        <w:rPr>
          <w:rFonts w:ascii="IRNazanin" w:hAnsi="IRNazanin" w:eastAsia="IRNazanin" w:cs="IRNazanin"/>
          <w:lang w:bidi="fa-IR"/>
          <w:color w:val="111111"/>
          <w:sz w:val="28"/>
          <w:szCs w:val="28"/>
          <w:rtl/>
        </w:rPr>
        <w:t xml:space="preserve">۱۰۶. تهران؛ ملی؛ شماره نسخه: ۱۵۸۵۲</w:t>
      </w:r>
    </w:p>
    <w:p>
      <w:pPr>
        <w:pStyle w:val="BookText"/>
      </w:pPr>
      <w:r>
        <w:rPr>
          <w:rFonts w:ascii="IRNazanin" w:hAnsi="IRNazanin" w:eastAsia="IRNazanin" w:cs="IRNazanin"/>
          <w:lang w:bidi="fa-IR"/>
          <w:color w:val="111111"/>
          <w:sz w:val="28"/>
          <w:szCs w:val="28"/>
          <w:rtl/>
        </w:rPr>
        <w:t xml:space="preserve">آغاز: النقطتين تعریف کرده اما مصنف در تحریر خود چنین فرموده که هر نقطه برو فرض کنند؛ انجام: برابر خط: نستعلیق، بی کا، بی تا؛ افتادگی: آغاز؛ مصحح؛ تملک: محمد صادق الامامی سنه ۱۱۸۹؛ کاغذ: فرنگی نخودی، جلد: ساغری قهوه ای یک لا، ۷۶گ، ۲۳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۴/۸ )،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۹/۳ سم [رایانه ]</w:t>
      </w:r>
    </w:p>
    <w:p>
      <w:pPr>
        <w:pStyle w:val="BookText"/>
      </w:pPr>
      <w:r>
        <w:rPr>
          <w:rFonts w:ascii="IRNazanin" w:hAnsi="IRNazanin" w:eastAsia="IRNazanin" w:cs="IRNazanin"/>
          <w:lang w:bidi="fa-IR"/>
          <w:color w:val="111111"/>
          <w:sz w:val="28"/>
          <w:szCs w:val="28"/>
          <w:rtl/>
        </w:rPr>
        <w:t xml:space="preserve">۱۰۷. تهران؛ الهیات؛ شماره نسخه: ۴۹۰/۲</w:t>
      </w:r>
    </w:p>
    <w:p>
      <w:pPr>
        <w:pStyle w:val="BookText"/>
      </w:pPr>
      <w:r>
        <w:rPr>
          <w:rFonts w:ascii="IRNazanin" w:hAnsi="IRNazanin" w:eastAsia="IRNazanin" w:cs="IRNazanin"/>
          <w:lang w:bidi="fa-IR"/>
          <w:color w:val="111111"/>
          <w:sz w:val="28"/>
          <w:szCs w:val="28"/>
          <w:rtl/>
        </w:rPr>
        <w:t xml:space="preserve">خط: نستعلیق، بی کا، تا: پنج شنبه ۱۷ شوال ۱۱۹۱ق، کاغذ: فرنگی، جلد: تیماج قهوه ای ضربی، ۵۴گ (۱۹پ -۷۲پ)، ۱۵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۳۱۲]</w:t>
      </w:r>
    </w:p>
    <w:p>
      <w:pPr>
        <w:pStyle w:val="BookText"/>
      </w:pPr>
      <w:r>
        <w:rPr>
          <w:rFonts w:ascii="IRNazanin" w:hAnsi="IRNazanin" w:eastAsia="IRNazanin" w:cs="IRNazanin"/>
          <w:lang w:bidi="fa-IR"/>
          <w:color w:val="111111"/>
          <w:sz w:val="28"/>
          <w:szCs w:val="28"/>
          <w:rtl/>
        </w:rPr>
        <w:t xml:space="preserve">۱۰۸. تبریز؛ ثقة الاسلام؛ شماره نسخه: بدون شماره</w:t>
      </w:r>
    </w:p>
    <w:p>
      <w:pPr>
        <w:pStyle w:val="BookText"/>
      </w:pPr>
      <w:r>
        <w:rPr>
          <w:rFonts w:ascii="IRNazanin" w:hAnsi="IRNazanin" w:eastAsia="IRNazanin" w:cs="IRNazanin"/>
          <w:lang w:bidi="fa-IR"/>
          <w:color w:val="111111"/>
          <w:sz w:val="28"/>
          <w:szCs w:val="28"/>
          <w:rtl/>
        </w:rPr>
        <w:t xml:space="preserve">بی کا، تا: ۱۱۹۲؛ شیخ محمد باقرا رونقی در مدرسه سلطانیه</w:t>
      </w:r>
    </w:p>
    <w:p>
      <w:pPr>
        <w:pStyle w:val="BookText"/>
      </w:pPr>
      <w:r>
        <w:rPr>
          <w:rFonts w:ascii="IRNazanin" w:hAnsi="IRNazanin" w:eastAsia="IRNazanin" w:cs="IRNazanin"/>
          <w:lang w:bidi="fa-IR"/>
          <w:color w:val="111111"/>
          <w:sz w:val="28"/>
          <w:szCs w:val="28"/>
          <w:rtl/>
        </w:rPr>
        <w:t xml:space="preserve">(چهارباغ) در اصفهان در ۲۷ صفر ۱۹۹۴ آن را تصحیح و مقابله کرده. [نشریه: ۷-۵۳۲] ۱۰۹. مشهد؛ رضوی؛ شماره نسخه: ۱/ ۱۲۷۰۹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تحریری، بی کا، تا: دوشنبه ۲۷ صفر ۱۱۹۶ق؛ کاغذ: آهاری شکری، اندازه:</w:t>
      </w:r>
    </w:p>
    <w:p>
      <w:pPr>
        <w:pStyle w:val="BookText"/>
      </w:pPr>
      <w:r>
        <w:rPr>
          <w:rFonts w:ascii="IRNazanin" w:hAnsi="IRNazanin" w:eastAsia="IRNazanin" w:cs="IRNazanin"/>
          <w:lang w:bidi="fa-IR"/>
          <w:color w:val="111111"/>
          <w:sz w:val="28"/>
          <w:szCs w:val="28"/>
          <w:rtl/>
        </w:rPr>
        <w:t xml:space="preserve">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سم [ف: ۱۸- ۱۳۰]</w:t>
      </w:r>
    </w:p>
    <w:p>
      <w:pPr>
        <w:pStyle w:val="BookText"/>
      </w:pPr>
      <w:r>
        <w:rPr>
          <w:rFonts w:ascii="IRNazanin" w:hAnsi="IRNazanin" w:eastAsia="IRNazanin" w:cs="IRNazanin"/>
          <w:lang w:bidi="fa-IR"/>
          <w:color w:val="111111"/>
          <w:sz w:val="28"/>
          <w:szCs w:val="28"/>
          <w:rtl/>
        </w:rPr>
        <w:t xml:space="preserve">۱۱۰. مشهد؛ رضوی؛ شماره نسخه: ۲۲۹۸۴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مخلوط به شکسته، بی کا، تا: قرن ۱۳؛ واقف: حاج سید عبدالباقی آیت اللهی شیرازی، اسفند ۱۳۷۴، کاغذ: فرنگی آهاری نخودی، جلد: تیماج خرمایی، ۲۸گی، ۱۴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۱۸-۲۲]</w:t>
      </w:r>
    </w:p>
    <w:p>
      <w:pPr>
        <w:pStyle w:val="BookText"/>
      </w:pPr>
      <w:r>
        <w:rPr>
          <w:rFonts w:ascii="IRNazanin" w:hAnsi="IRNazanin" w:eastAsia="IRNazanin" w:cs="IRNazanin"/>
          <w:lang w:bidi="fa-IR"/>
          <w:color w:val="111111"/>
          <w:sz w:val="28"/>
          <w:szCs w:val="28"/>
          <w:rtl/>
        </w:rPr>
        <w:t xml:space="preserve">۱۱۱. کرمانشاه؛ جلیلی؛ شماره نسخه: ۴۱/۱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احمد بن محمد بن حسام الدين، تا: قرن ۱۳؛ کاغذ: شکری آهار مهره، جلد: تیماج ضربی خرمایی، ۲۱ص (1 -۲۱)، ۱۵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۲۲۷]</w:t>
      </w:r>
    </w:p>
    <w:p>
      <w:pPr>
        <w:pStyle w:val="BookText"/>
      </w:pPr>
      <w:r>
        <w:rPr>
          <w:rFonts w:ascii="IRNazanin" w:hAnsi="IRNazanin" w:eastAsia="IRNazanin" w:cs="IRNazanin"/>
          <w:lang w:bidi="fa-IR"/>
          <w:color w:val="111111"/>
          <w:sz w:val="28"/>
          <w:szCs w:val="28"/>
          <w:rtl/>
        </w:rPr>
        <w:t xml:space="preserve">۱۱۲. مشهد؛ رضوی؛ شماره نسخه: ۵۲۴۶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۱۳؛ واقف: تاجماه بیگم، ۱۲۶۲ ق کاغذ سفید فرنگی آهار مهره، جلد: پارچه ای، ۱۹ ، ۱۷ سطر ( ۱۳/۳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 اندازه: ۲۱/۳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۱۴/۸ سم [ف: ۸-۵۰]</w:t>
      </w:r>
    </w:p>
    <w:p>
      <w:pPr>
        <w:pStyle w:val="BookText"/>
      </w:pPr>
      <w:r>
        <w:rPr>
          <w:rFonts w:ascii="IRNazanin" w:hAnsi="IRNazanin" w:eastAsia="IRNazanin" w:cs="IRNazanin"/>
          <w:lang w:bidi="fa-IR"/>
          <w:color w:val="111111"/>
          <w:sz w:val="28"/>
          <w:szCs w:val="28"/>
          <w:rtl/>
        </w:rPr>
        <w:t xml:space="preserve">۱۱۳. مشهد؛ مدرسه آية الله خوئی؛ شماره نسخه: ۱۳۶</w:t>
      </w:r>
    </w:p>
    <w:p>
      <w:pPr>
        <w:pStyle w:val="BookText"/>
      </w:pPr>
      <w:r>
        <w:rPr>
          <w:rFonts w:ascii="IRNazanin" w:hAnsi="IRNazanin" w:eastAsia="IRNazanin" w:cs="IRNazanin"/>
          <w:lang w:bidi="fa-IR"/>
          <w:color w:val="111111"/>
          <w:sz w:val="28"/>
          <w:szCs w:val="28"/>
          <w:rtl/>
        </w:rPr>
        <w:t xml:space="preserve">خط: نسخ، بی کا، تا: قرن ۱۳؛ مصحح، محشی؛ جلد: تیماج قهوه ای، ۳۰گ، ۱۷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۹۰]</w:t>
      </w:r>
    </w:p>
    <w:p>
      <w:pPr>
        <w:pStyle w:val="BookText"/>
      </w:pPr>
      <w:r>
        <w:rPr>
          <w:rFonts w:ascii="IRNazanin" w:hAnsi="IRNazanin" w:eastAsia="IRNazanin" w:cs="IRNazanin"/>
          <w:lang w:bidi="fa-IR"/>
          <w:color w:val="111111"/>
          <w:sz w:val="28"/>
          <w:szCs w:val="28"/>
          <w:rtl/>
        </w:rPr>
        <w:t xml:space="preserve">۱۱۴. قم؛ گلپایگانی؛ شماره نسخه: ۳۶۱/۳ - ۲/۱۸۱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۱۳؛ محشی؛ ۲۴گ، ۱۵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۲-۶۵۶]</w:t>
      </w:r>
    </w:p>
    <w:p>
      <w:pPr>
        <w:pStyle w:val="BookText"/>
      </w:pPr>
      <w:r>
        <w:rPr>
          <w:rFonts w:ascii="IRNazanin" w:hAnsi="IRNazanin" w:eastAsia="IRNazanin" w:cs="IRNazanin"/>
          <w:lang w:bidi="fa-IR"/>
          <w:color w:val="111111"/>
          <w:sz w:val="28"/>
          <w:szCs w:val="28"/>
          <w:rtl/>
        </w:rPr>
        <w:t xml:space="preserve">۱۱۵. تهران: لغت نامه دهخدا، شماره نسخه: ۴۱/۳</w:t>
      </w:r>
    </w:p>
    <w:p>
      <w:pPr>
        <w:pStyle w:val="BookText"/>
      </w:pPr>
      <w:r>
        <w:rPr>
          <w:rFonts w:ascii="IRNazanin" w:hAnsi="IRNazanin" w:eastAsia="IRNazanin" w:cs="IRNazanin"/>
          <w:lang w:bidi="fa-IR"/>
          <w:color w:val="111111"/>
          <w:sz w:val="28"/>
          <w:szCs w:val="28"/>
          <w:rtl/>
        </w:rPr>
        <w:t xml:space="preserve">خط: شکسته نستعلیق، بی کا، تا: قرن ۱۳ جلد: کاغذی، قطع: ربعي [نشریه: ۳-۳۵]</w:t>
      </w:r>
    </w:p>
    <w:p>
      <w:pPr>
        <w:pStyle w:val="BookText"/>
      </w:pPr>
      <w:r>
        <w:rPr>
          <w:rFonts w:ascii="IRNazanin" w:hAnsi="IRNazanin" w:eastAsia="IRNazanin" w:cs="IRNazanin"/>
          <w:lang w:bidi="fa-IR"/>
          <w:color w:val="111111"/>
          <w:sz w:val="28"/>
          <w:szCs w:val="28"/>
          <w:rtl/>
        </w:rPr>
        <w:t xml:space="preserve">۱۱۶. تهران: مفتاح؛ شماره نسخه: ۴۰۵/۸</w:t>
      </w:r>
    </w:p>
    <w:p>
      <w:pPr>
        <w:pStyle w:val="BookText"/>
      </w:pPr>
      <w:r>
        <w:rPr>
          <w:rFonts w:ascii="IRNazanin" w:hAnsi="IRNazanin" w:eastAsia="IRNazanin" w:cs="IRNazanin"/>
          <w:lang w:bidi="fa-IR"/>
          <w:color w:val="111111"/>
          <w:sz w:val="28"/>
          <w:szCs w:val="28"/>
          <w:rtl/>
        </w:rPr>
        <w:t xml:space="preserve">خط: نستعلیق، بی کا، تا: قرن ۱۳ نشریه: ۷-۲۳۸]</w:t>
      </w:r>
    </w:p>
    <w:p>
      <w:pPr>
        <w:pStyle w:val="BookText"/>
      </w:pPr>
      <w:r>
        <w:rPr>
          <w:rFonts w:ascii="IRNazanin" w:hAnsi="IRNazanin" w:eastAsia="IRNazanin" w:cs="IRNazanin"/>
          <w:lang w:bidi="fa-IR"/>
          <w:color w:val="111111"/>
          <w:sz w:val="28"/>
          <w:szCs w:val="28"/>
          <w:rtl/>
        </w:rPr>
        <w:t xml:space="preserve">۱۱۷. قم؛ مرعشی؛ شماره نسخه: ۱۴۷۲۴/۱۶</w:t>
      </w:r>
    </w:p>
    <w:p>
      <w:pPr>
        <w:pStyle w:val="BookText"/>
      </w:pPr>
      <w:r>
        <w:rPr>
          <w:rFonts w:ascii="IRNazanin" w:hAnsi="IRNazanin" w:eastAsia="IRNazanin" w:cs="IRNazanin"/>
          <w:lang w:bidi="fa-IR"/>
          <w:color w:val="111111"/>
          <w:sz w:val="28"/>
          <w:szCs w:val="28"/>
          <w:rtl/>
        </w:rPr>
        <w:t xml:space="preserve">آغاز: حمد بی حد و ثنای بی عد، حضرت واجب الوجودی را که ذهن انسان و عقل ایشان را قوت داد ... و بعد بدان ای عزیز عارف، این مختصری است در علم اسطرلاب، مشتمل بر بیست باب؛ انجام: برابر خط: نستعلیق، بی کا، تا: حدود قرن ۱۳؛ مصحح، محشی با نشان</w:t>
      </w:r>
    </w:p>
    <w:p>
      <w:pPr>
        <w:pStyle w:val="BookText"/>
      </w:pPr>
      <w:r>
        <w:rPr>
          <w:rFonts w:ascii="IRNazanin" w:hAnsi="IRNazanin" w:eastAsia="IRNazanin" w:cs="IRNazanin"/>
          <w:lang w:bidi="fa-IR"/>
          <w:color w:val="111111"/>
          <w:sz w:val="28"/>
          <w:szCs w:val="28"/>
          <w:rtl/>
        </w:rPr>
        <w:t xml:space="preserve">ع رحمه الله، عبدالعلی، س»؛ کاغذ: فرنگی آهار مهره، ۱۰گ (۲۷۳پ -۲۸۲ر)، ۲۵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سم [ف: ۳۷-۲۸۳]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۱۱۸. تهران: مجلس؛ شماره نسخه: ۱۳/۲</w:t>
      </w:r>
    </w:p>
    <w:p>
      <w:pPr>
        <w:pStyle w:val="BookText"/>
      </w:pPr>
      <w:r>
        <w:rPr>
          <w:rFonts w:ascii="IRNazanin" w:hAnsi="IRNazanin" w:eastAsia="IRNazanin" w:cs="IRNazanin"/>
          <w:lang w:bidi="fa-IR"/>
          <w:color w:val="111111"/>
          <w:sz w:val="28"/>
          <w:szCs w:val="28"/>
          <w:rtl/>
        </w:rPr>
        <w:t xml:space="preserve">سرود خط: نسخ، بی کا، تا: قرن ۱۳، قطع: رقعی (نشریه: ۱۳-۴۰۸]</w:t>
      </w:r>
    </w:p>
    <w:p>
      <w:pPr>
        <w:pStyle w:val="BookText"/>
      </w:pPr>
      <w:r>
        <w:rPr>
          <w:rFonts w:ascii="IRNazanin" w:hAnsi="IRNazanin" w:eastAsia="IRNazanin" w:cs="IRNazanin"/>
          <w:lang w:bidi="fa-IR"/>
          <w:color w:val="111111"/>
          <w:sz w:val="28"/>
          <w:szCs w:val="28"/>
          <w:rtl/>
        </w:rPr>
        <w:t xml:space="preserve">۱۱۹. تهران: مجلس؛ شماره نسخه: ۳۷۰۷/۴</w:t>
      </w:r>
    </w:p>
    <w:p>
      <w:pPr>
        <w:pStyle w:val="BookText"/>
      </w:pPr>
      <w:r>
        <w:rPr>
          <w:rFonts w:ascii="IRNazanin" w:hAnsi="IRNazanin" w:eastAsia="IRNazanin" w:cs="IRNazanin"/>
          <w:lang w:bidi="fa-IR"/>
          <w:color w:val="111111"/>
          <w:sz w:val="28"/>
          <w:szCs w:val="28"/>
          <w:rtl/>
        </w:rPr>
        <w:t xml:space="preserve">بی کا، تا: قرن ۱۳؛ کاغذ: فرنگی، جلد: تیماج مشکی یک لا، ۴۵ص (۱۷۵-۲۱۹)، ۶ سطر، قطع: رقعی،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۱۶۸۰-۱۰ ]</w:t>
      </w:r>
    </w:p>
    <w:p>
      <w:pPr>
        <w:pStyle w:val="BookText"/>
      </w:pPr>
      <w:r>
        <w:rPr>
          <w:rFonts w:ascii="IRNazanin" w:hAnsi="IRNazanin" w:eastAsia="IRNazanin" w:cs="IRNazanin"/>
          <w:lang w:bidi="fa-IR"/>
          <w:color w:val="111111"/>
          <w:sz w:val="28"/>
          <w:szCs w:val="28"/>
          <w:rtl/>
        </w:rPr>
        <w:t xml:space="preserve">۱۲۰. تهران؛ مجلس؛ شماره نسخه: ۵۳۹/۴ -طباطبائی</w:t>
      </w:r>
    </w:p>
    <w:p>
      <w:pPr>
        <w:pStyle w:val="BookText"/>
      </w:pPr>
      <w:r>
        <w:rPr>
          <w:rFonts w:ascii="IRNazanin" w:hAnsi="IRNazanin" w:eastAsia="IRNazanin" w:cs="IRNazanin"/>
          <w:lang w:bidi="fa-IR"/>
          <w:color w:val="111111"/>
          <w:sz w:val="28"/>
          <w:szCs w:val="28"/>
          <w:rtl/>
        </w:rPr>
        <w:t xml:space="preserve">خط: نستعلیق متوسط، بی کا، تا: قرن ۱۳؛ به جای سجع مهر مالک مجموعه محمد بن صادق الحسینی الطباطبائی (که در همه نسخ مجموعه طباطبائی به چشم می خورد) این بیت نوشته شده: «هذا الكتاب مال عبد مذنب***بالسم النبي المصطفی قد سمیا»؛ کاغذ: فرنگی سفید آهار دار، جلد: تیماج قرمز، ۱۱گ (۸۴ر-۹۴ر)، قطع: رقعی بزرگ،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۲۲-۲۵۰]</w:t>
      </w:r>
    </w:p>
    <w:p>
      <w:pPr>
        <w:pStyle w:val="BookText"/>
      </w:pPr>
      <w:r>
        <w:rPr>
          <w:rFonts w:ascii="Amiri" w:hAnsi="Amiri" w:eastAsia="Amiri" w:cs="Amiri"/>
          <w:lang w:bidi="ar-SA"/>
          <w:color w:val="111111"/>
          <w:sz w:val="28"/>
          <w:szCs w:val="28"/>
          <w:rtl/>
        </w:rPr>
        <w:t xml:space="preserve">۱۲۱. تهران؛ دائرة المعارف، شماره نسخه: ۱۶۲/۲</w:t>
      </w:r>
    </w:p>
    <w:p>
      <w:pPr>
        <w:pStyle w:val="BookText"/>
      </w:pPr>
      <w:r>
        <w:rPr>
          <w:rFonts w:ascii="IRNazanin" w:hAnsi="IRNazanin" w:eastAsia="IRNazanin" w:cs="IRNazanin"/>
          <w:lang w:bidi="fa-IR"/>
          <w:color w:val="111111"/>
          <w:sz w:val="28"/>
          <w:szCs w:val="28"/>
          <w:rtl/>
        </w:rPr>
        <w:t xml:space="preserve">آغاز: ... ربع که در شیب بود، اجزاء ظل؛ انجام: ضرب کنند و قامت خویش بر آن افزایند. تم بالخير و السعادة خط: نستعلیق تحریری مخلوط به شکسته، بی کا، تا: قرن ۱۳؛ ۱۸گ (۳۳۰ر-۳۴۷پ) [ف: ۱-۳۸]</w:t>
      </w:r>
    </w:p>
    <w:p>
      <w:pPr>
        <w:pStyle w:val="BookText"/>
      </w:pPr>
      <w:r>
        <w:rPr>
          <w:rFonts w:ascii="IRNazanin" w:hAnsi="IRNazanin" w:eastAsia="IRNazanin" w:cs="IRNazanin"/>
          <w:lang w:bidi="fa-IR"/>
          <w:color w:val="111111"/>
          <w:sz w:val="28"/>
          <w:szCs w:val="28"/>
          <w:rtl/>
        </w:rPr>
        <w:t xml:space="preserve">۱۲۲. تهران؛ مجلس؛ شماره نسخه: ۵۰۷۷/۱۸</w:t>
      </w:r>
    </w:p>
    <w:p>
      <w:pPr>
        <w:pStyle w:val="BookText"/>
      </w:pPr>
      <w:r>
        <w:rPr>
          <w:rFonts w:ascii="IRNazanin" w:hAnsi="IRNazanin" w:eastAsia="IRNazanin" w:cs="IRNazanin"/>
          <w:lang w:bidi="fa-IR"/>
          <w:color w:val="111111"/>
          <w:sz w:val="28"/>
          <w:szCs w:val="28"/>
          <w:rtl/>
        </w:rPr>
        <w:t xml:space="preserve">آغاز: برابر؛ انجام: چون سرخ شد شنجرف مزبور را میان آن ریخته بهم بزنند و بدمد تا خوب قرمز رنگ شقایق نعمان خط: نستعلیق، بی کا، تا: قرن ۱۳؛ افتادگی: انجام؛ ۱۴گ (۸۱پ۔</w:t>
      </w:r>
    </w:p>
    <w:p>
      <w:pPr>
        <w:pStyle w:val="BookText"/>
      </w:pPr>
      <w:r>
        <w:rPr>
          <w:rFonts w:ascii="IRNazanin" w:hAnsi="IRNazanin" w:eastAsia="IRNazanin" w:cs="IRNazanin"/>
          <w:lang w:bidi="fa-IR"/>
          <w:color w:val="111111"/>
          <w:sz w:val="28"/>
          <w:szCs w:val="28"/>
          <w:rtl/>
        </w:rPr>
        <w:t xml:space="preserve">۹۴ر) [ف: ۱۵-۴۴]</w:t>
      </w:r>
    </w:p>
    <w:p>
      <w:pPr>
        <w:pStyle w:val="BookText"/>
      </w:pPr>
      <w:r>
        <w:rPr>
          <w:rFonts w:ascii="IRNazanin" w:hAnsi="IRNazanin" w:eastAsia="IRNazanin" w:cs="IRNazanin"/>
          <w:lang w:bidi="fa-IR"/>
          <w:color w:val="111111"/>
          <w:sz w:val="28"/>
          <w:szCs w:val="28"/>
          <w:rtl/>
        </w:rPr>
        <w:t xml:space="preserve">۱۲۳. تهران؛ ملی؛ شماره نسخه: ۱۴۵۳/۱</w:t>
      </w:r>
    </w:p>
    <w:p>
      <w:pPr>
        <w:pStyle w:val="BookText"/>
      </w:pPr>
      <w:r>
        <w:rPr>
          <w:rFonts w:ascii="IRNazanin" w:hAnsi="IRNazanin" w:eastAsia="IRNazanin" w:cs="IRNazanin"/>
          <w:lang w:bidi="fa-IR"/>
          <w:color w:val="111111"/>
          <w:sz w:val="28"/>
          <w:szCs w:val="28"/>
          <w:rtl/>
        </w:rPr>
        <w:t xml:space="preserve">آغاز: بسمله و به نستعین بدان ای حافظ که این مختصریست در بیان؛ انجام: برابر</w:t>
      </w:r>
    </w:p>
    <w:p>
      <w:pPr>
        <w:pStyle w:val="BookText"/>
      </w:pPr>
      <w:r>
        <w:rPr>
          <w:rFonts w:ascii="IRNazanin" w:hAnsi="IRNazanin" w:eastAsia="IRNazanin" w:cs="IRNazanin"/>
          <w:lang w:bidi="fa-IR"/>
          <w:color w:val="111111"/>
          <w:sz w:val="28"/>
          <w:szCs w:val="28"/>
          <w:rtl/>
        </w:rPr>
        <w:t xml:space="preserve">خط: نسخ، بی کا، تا: قرن ۱۳؛ کاغذ: فرنگی، جلد: تیماج مشکی، یک لا، ۴۶ص، ۱۷سطر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سم [ف: ۳-۵۱۰]</w:t>
      </w:r>
    </w:p>
    <w:p>
      <w:pPr>
        <w:pStyle w:val="BookText"/>
      </w:pPr>
      <w:r>
        <w:rPr>
          <w:rFonts w:ascii="IRNazanin" w:hAnsi="IRNazanin" w:eastAsia="IRNazanin" w:cs="IRNazanin"/>
          <w:lang w:bidi="fa-IR"/>
          <w:color w:val="111111"/>
          <w:sz w:val="28"/>
          <w:szCs w:val="28"/>
          <w:rtl/>
        </w:rPr>
        <w:t xml:space="preserve">۱۲۴. تهران؛ دانشگاه؛ شماره نسخه: ۴۵۶۷</w:t>
      </w:r>
    </w:p>
    <w:p>
      <w:pPr>
        <w:pStyle w:val="BookText"/>
      </w:pPr>
      <w:r>
        <w:rPr>
          <w:rFonts w:ascii="IRNazanin" w:hAnsi="IRNazanin" w:eastAsia="IRNazanin" w:cs="IRNazanin"/>
          <w:lang w:bidi="fa-IR"/>
          <w:color w:val="111111"/>
          <w:sz w:val="28"/>
          <w:szCs w:val="28"/>
          <w:rtl/>
        </w:rPr>
        <w:t xml:space="preserve">خط: نسخ، بی کا، تا: قرن ۱۲ و ۱۳؛ محشی از شرح بیرجندی و جز آن؛ کاغذ: فرنگی کبود، جلد: تیماج قهوه ای ضربی مقوایی، ۲۰گ، سطور چلیپا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۱۳-۳۵۰۵ ]</w:t>
      </w:r>
    </w:p>
    <w:p>
      <w:pPr>
        <w:pStyle w:val="BookText"/>
      </w:pPr>
      <w:r>
        <w:rPr>
          <w:rFonts w:ascii="IRNazanin" w:hAnsi="IRNazanin" w:eastAsia="IRNazanin" w:cs="IRNazanin"/>
          <w:lang w:bidi="fa-IR"/>
          <w:color w:val="111111"/>
          <w:sz w:val="28"/>
          <w:szCs w:val="28"/>
          <w:rtl/>
        </w:rPr>
        <w:t xml:space="preserve">۱۲۵. یزد؛ کاظمینی؛ شماره نسخه: ۳۱۷</w:t>
      </w:r>
    </w:p>
    <w:p>
      <w:pPr>
        <w:pStyle w:val="BookText"/>
      </w:pPr>
      <w:r>
        <w:rPr>
          <w:rFonts w:ascii="IRNazanin" w:hAnsi="IRNazanin" w:eastAsia="IRNazanin" w:cs="IRNazanin"/>
          <w:lang w:bidi="fa-IR"/>
          <w:color w:val="111111"/>
          <w:sz w:val="28"/>
          <w:szCs w:val="28"/>
          <w:rtl/>
        </w:rPr>
        <w:t xml:space="preserve">خط: نستعلیق، بی کا، تا: قرن ۱۳؛ جلد: تیماج قرمز، ۲۸گ، ۱۲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۲-۳۷]</w:t>
      </w:r>
    </w:p>
    <w:p>
      <w:pPr>
        <w:pStyle w:val="BookText"/>
      </w:pPr>
      <w:r>
        <w:rPr>
          <w:rFonts w:ascii="IRNazanin" w:hAnsi="IRNazanin" w:eastAsia="IRNazanin" w:cs="IRNazanin"/>
          <w:lang w:bidi="fa-IR"/>
          <w:color w:val="111111"/>
          <w:sz w:val="28"/>
          <w:szCs w:val="28"/>
          <w:rtl/>
        </w:rPr>
        <w:t xml:space="preserve">۱۲۶. تهران؛ ملی؛ شماره نسخه: ۲۱۰۳</w:t>
      </w:r>
    </w:p>
    <w:p>
      <w:pPr>
        <w:pStyle w:val="BookText"/>
      </w:pPr>
      <w:r>
        <w:rPr>
          <w:rFonts w:ascii="IRNazanin" w:hAnsi="IRNazanin" w:eastAsia="IRNazanin" w:cs="IRNazanin"/>
          <w:lang w:bidi="fa-IR"/>
          <w:color w:val="111111"/>
          <w:sz w:val="28"/>
          <w:szCs w:val="28"/>
          <w:rtl/>
        </w:rPr>
        <w:t xml:space="preserve">آغاز: برابر؛ انجام: پس اگر کسی زیاده ازین خواهد با کتب این علم رجوع کند و السلام علی من اتبع الهدی</w:t>
      </w:r>
    </w:p>
    <w:p>
      <w:pPr>
        <w:pStyle w:val="BookText"/>
      </w:pPr>
      <w:r>
        <w:rPr>
          <w:rFonts w:ascii="IRNazanin" w:hAnsi="IRNazanin" w:eastAsia="IRNazanin" w:cs="IRNazanin"/>
          <w:lang w:bidi="fa-IR"/>
          <w:color w:val="111111"/>
          <w:sz w:val="28"/>
          <w:szCs w:val="28"/>
          <w:rtl/>
        </w:rPr>
        <w:t xml:space="preserve">خط: نسخ، بی کا، تا: محتملا قرن ۱۳؛ کاغذ: اصفهانی، جلد: تیماج قرمز یک لا، ۹۰گ، ۱۲ سطر (۱۰۴)،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۹سم [ف: ۱۱۶-۵ ]</w:t>
      </w:r>
    </w:p>
    <w:p>
      <w:pPr>
        <w:pStyle w:val="BookText"/>
      </w:pPr>
      <w:r>
        <w:rPr>
          <w:rFonts w:ascii="IRNazanin" w:hAnsi="IRNazanin" w:eastAsia="IRNazanin" w:cs="IRNazanin"/>
          <w:lang w:bidi="fa-IR"/>
          <w:color w:val="111111"/>
          <w:sz w:val="28"/>
          <w:szCs w:val="28"/>
          <w:rtl/>
        </w:rPr>
        <w:t xml:space="preserve">۱۲۷. یزد؛ وزیری؛ شماره نسخه: ۱۳۶۹/۳</w:t>
      </w:r>
    </w:p>
    <w:p>
      <w:pPr>
        <w:pStyle w:val="BookText"/>
      </w:pPr>
      <w:r>
        <w:rPr>
          <w:rFonts w:ascii="IRNazanin" w:hAnsi="IRNazanin" w:eastAsia="IRNazanin" w:cs="IRNazanin"/>
          <w:lang w:bidi="fa-IR"/>
          <w:color w:val="111111"/>
          <w:sz w:val="28"/>
          <w:szCs w:val="28"/>
          <w:rtl/>
        </w:rPr>
        <w:t xml:space="preserve">خط: نسخ، بی کا، تا: قرن ۱۳؛ جلد: تیماج تریاکی، ۱۴ سطر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[ف: ۳-۹۴۰]</w:t>
      </w:r>
    </w:p>
    <w:p>
      <w:pPr>
        <w:pStyle w:val="BookText"/>
      </w:pPr>
      <w:r>
        <w:rPr>
          <w:rFonts w:ascii="IRNazanin" w:hAnsi="IRNazanin" w:eastAsia="IRNazanin" w:cs="IRNazanin"/>
          <w:lang w:bidi="fa-IR"/>
          <w:color w:val="111111"/>
          <w:sz w:val="28"/>
          <w:szCs w:val="28"/>
          <w:rtl/>
        </w:rPr>
        <w:t xml:space="preserve">۱۲۸. تهران؛ ملک؛ شماره نسخه: ۳۱۱۸/۱</w:t>
      </w:r>
    </w:p>
    <w:p>
      <w:pPr>
        <w:pStyle w:val="BookText"/>
      </w:pPr>
      <w:r>
        <w:rPr>
          <w:rFonts w:ascii="IRNazanin" w:hAnsi="IRNazanin" w:eastAsia="IRNazanin" w:cs="IRNazanin"/>
          <w:lang w:bidi="fa-IR"/>
          <w:color w:val="111111"/>
          <w:sz w:val="28"/>
          <w:szCs w:val="28"/>
          <w:rtl/>
        </w:rPr>
        <w:t xml:space="preserve">خط: نسخ، كا: محمد تقی بن حاج عبدالرضا، تا: قرن ۱۳؛ کاغذ: فرنگی آهار مهره، جلد: میشن لایی پشمی، ۱۵گ (۱پ -۱۵پ)، ۱۹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۶-۲۳۱]</w:t>
      </w:r>
    </w:p>
    <w:p>
      <w:pPr>
        <w:pStyle w:val="BookText"/>
      </w:pPr>
      <w:r>
        <w:rPr>
          <w:rFonts w:ascii="IRNazanin" w:hAnsi="IRNazanin" w:eastAsia="IRNazanin" w:cs="IRNazanin"/>
          <w:lang w:bidi="fa-IR"/>
          <w:color w:val="111111"/>
          <w:sz w:val="28"/>
          <w:szCs w:val="28"/>
          <w:rtl/>
        </w:rPr>
        <w:t xml:space="preserve">۱۲۹. شیراز؛ علامه طباطبائی؛ شماره نسخه: ۱۷۲۷/۲</w:t>
      </w:r>
    </w:p>
    <w:p>
      <w:pPr>
        <w:pStyle w:val="BookText"/>
      </w:pPr>
      <w:r>
        <w:rPr>
          <w:rFonts w:ascii="IRNazanin" w:hAnsi="IRNazanin" w:eastAsia="IRNazanin" w:cs="IRNazanin"/>
          <w:lang w:bidi="fa-IR"/>
          <w:color w:val="111111"/>
          <w:sz w:val="28"/>
          <w:szCs w:val="28"/>
          <w:rtl/>
        </w:rPr>
        <w:t xml:space="preserve">خط: نستعلیق شکسته، كا: محمد صادق بن محمد کاظم خوینی، تا: شوال ۱۲۱۲ق؛ اندازه:</w:t>
      </w:r>
    </w:p>
    <w:p>
      <w:pPr>
        <w:pStyle w:val="BookText"/>
      </w:pPr>
      <w:r>
        <w:rPr>
          <w:rFonts w:ascii="IRNazanin" w:hAnsi="IRNazanin" w:eastAsia="IRNazanin" w:cs="IRNazanin"/>
          <w:lang w:bidi="fa-IR"/>
          <w:color w:val="111111"/>
          <w:sz w:val="28"/>
          <w:szCs w:val="28"/>
          <w:rtl/>
        </w:rPr>
        <w:t xml:space="preserve">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(نسخه پژوهی: ۳-۱۷۴]</w:t>
      </w:r>
    </w:p>
    <w:p>
      <w:pPr>
        <w:pStyle w:val="BookText"/>
      </w:pPr>
      <w:r>
        <w:rPr>
          <w:rFonts w:ascii="IRNazanin" w:hAnsi="IRNazanin" w:eastAsia="IRNazanin" w:cs="IRNazanin"/>
          <w:lang w:bidi="fa-IR"/>
          <w:color w:val="111111"/>
          <w:sz w:val="28"/>
          <w:szCs w:val="28"/>
          <w:rtl/>
        </w:rPr>
        <w:t xml:space="preserve">۱۳۰. تهران؛ مجلس؛ شماره نسخه: ۶۵۵۳/۲</w:t>
      </w:r>
    </w:p>
    <w:p>
      <w:pPr>
        <w:pStyle w:val="BookText"/>
      </w:pPr>
      <w:r>
        <w:rPr>
          <w:rFonts w:ascii="IRNazanin" w:hAnsi="IRNazanin" w:eastAsia="IRNazanin" w:cs="IRNazanin"/>
          <w:lang w:bidi="fa-IR"/>
          <w:color w:val="111111"/>
          <w:sz w:val="28"/>
          <w:szCs w:val="28"/>
          <w:rtl/>
        </w:rPr>
        <w:t xml:space="preserve">خط: نستعلیق، کا: محمد زمان، تا: شنبه ۱۵ صفر ۱۲۱۶ق، جهت نصرالله خانا نوری خواجه؛ جلد: تیماج مشکی، ۱۸گ(39ر - ۵۶پ)،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۲۰-۱۲۴]</w:t>
      </w:r>
    </w:p>
    <w:p>
      <w:pPr>
        <w:pStyle w:val="BookText"/>
      </w:pPr>
      <w:r>
        <w:rPr>
          <w:rFonts w:ascii="IRNazanin" w:hAnsi="IRNazanin" w:eastAsia="IRNazanin" w:cs="IRNazanin"/>
          <w:lang w:bidi="fa-IR"/>
          <w:color w:val="111111"/>
          <w:sz w:val="28"/>
          <w:szCs w:val="28"/>
          <w:rtl/>
        </w:rPr>
        <w:t xml:space="preserve">۱۳۱. تهران، ادبیات، شماره نسخه: ۲۰۷/۲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۱۲۱۸ق [ف: ۳-۱۲]</w:t>
      </w:r>
    </w:p>
    <w:p>
      <w:pPr>
        <w:pStyle w:val="BookText"/>
      </w:pPr>
      <w:r>
        <w:rPr>
          <w:rFonts w:ascii="IRNazanin" w:hAnsi="IRNazanin" w:eastAsia="IRNazanin" w:cs="IRNazanin"/>
          <w:lang w:bidi="fa-IR"/>
          <w:color w:val="111111"/>
          <w:sz w:val="28"/>
          <w:szCs w:val="28"/>
          <w:rtl/>
        </w:rPr>
        <w:t xml:space="preserve">۱۳۲. تهران؛ ملک؛ شماره نسخه: ۶۰۹۹/۱</w:t>
      </w:r>
    </w:p>
    <w:p>
      <w:pPr>
        <w:pStyle w:val="BookText"/>
      </w:pPr>
      <w:r>
        <w:rPr>
          <w:rFonts w:ascii="IRNazanin" w:hAnsi="IRNazanin" w:eastAsia="IRNazanin" w:cs="IRNazanin"/>
          <w:lang w:bidi="fa-IR"/>
          <w:color w:val="111111"/>
          <w:sz w:val="28"/>
          <w:szCs w:val="28"/>
          <w:rtl/>
        </w:rPr>
        <w:t xml:space="preserve">خط: نستعلیق، كان محمد صادق بن حاجی حسنعلی کابلی، تا: جمعه ۲۲ ذیحجه ۱۲۲۲ق؛ در میانه باب یکم افتاده؛ دارای جدول های نجومی؛ جلد: میشن سیاه لایی، ۲۳گ (۱ر-۱۲۳)، ۱۴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۹سم [ف: ۹-۱۵۰]</w:t>
      </w:r>
    </w:p>
    <w:p>
      <w:pPr>
        <w:pStyle w:val="BookText"/>
      </w:pPr>
      <w:r>
        <w:rPr>
          <w:rFonts w:ascii="IRNazanin" w:hAnsi="IRNazanin" w:eastAsia="IRNazanin" w:cs="IRNazanin"/>
          <w:lang w:bidi="fa-IR"/>
          <w:color w:val="111111"/>
          <w:sz w:val="28"/>
          <w:szCs w:val="28"/>
          <w:rtl/>
        </w:rPr>
        <w:t xml:space="preserve">۱۳۳. تهران؛ الهیات، شماره نسخه: ۱۹۰/۳</w:t>
      </w:r>
    </w:p>
    <w:p>
      <w:pPr>
        <w:pStyle w:val="BookText"/>
      </w:pPr>
      <w:r>
        <w:rPr>
          <w:rFonts w:ascii="IRNazanin" w:hAnsi="IRNazanin" w:eastAsia="IRNazanin" w:cs="IRNazanin"/>
          <w:lang w:bidi="fa-IR"/>
          <w:color w:val="111111"/>
          <w:sz w:val="28"/>
          <w:szCs w:val="28"/>
          <w:rtl/>
        </w:rPr>
        <w:t xml:space="preserve">خط: نستعلیق، کا: محمد مهدی حسینی، تا: محرم ۱۲۲۴ق، جان مشهد، مدرسه نواب؛ کاغذ: فرنگی، جلد: تیماج مشکی ضربی، ۱۴گ (۵۲پ -۶۵ر)، ۱۹ سطر(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۱۷۷]</w:t>
      </w:r>
    </w:p>
    <w:p>
      <w:pPr>
        <w:pStyle w:val="BookText"/>
      </w:pPr>
      <w:r>
        <w:rPr>
          <w:rFonts w:ascii="IRNazanin" w:hAnsi="IRNazanin" w:eastAsia="IRNazanin" w:cs="IRNazanin"/>
          <w:lang w:bidi="fa-IR"/>
          <w:color w:val="111111"/>
          <w:sz w:val="28"/>
          <w:szCs w:val="28"/>
          <w:rtl/>
        </w:rPr>
        <w:t xml:space="preserve">۱۳۴. تبریز؛ ملی؛ شماره نسخه: ۳۴۷۰/۲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شامل هشت باب؛ خط: نستعلیق، بی کا، تا: ۱۲۲۵ق؛ کاغذ: فرنگی نیلی، جلد: چرمی ضربی، ۶۲گ، ۱۱ سطر، اندازه: ۵/ ۲۰</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۱۶/۵ سم [ف: ۲-۷۷۳]</w:t>
      </w:r>
    </w:p>
    <w:p>
      <w:pPr>
        <w:pStyle w:val="BookText"/>
      </w:pPr>
      <w:r>
        <w:rPr>
          <w:rFonts w:ascii="IRNazanin" w:hAnsi="IRNazanin" w:eastAsia="IRNazanin" w:cs="IRNazanin"/>
          <w:lang w:bidi="fa-IR"/>
          <w:color w:val="111111"/>
          <w:sz w:val="28"/>
          <w:szCs w:val="28"/>
          <w:rtl/>
        </w:rPr>
        <w:t xml:space="preserve">۱۳۵. تهران؛ سپهسالار؛ شماره نسخه: ۳۸۷۷/۳</w:t>
      </w:r>
    </w:p>
    <w:p>
      <w:pPr>
        <w:pStyle w:val="BookText"/>
      </w:pPr>
      <w:r>
        <w:rPr>
          <w:rFonts w:ascii="IRNazanin" w:hAnsi="IRNazanin" w:eastAsia="IRNazanin" w:cs="IRNazanin"/>
          <w:lang w:bidi="fa-IR"/>
          <w:color w:val="111111"/>
          <w:sz w:val="28"/>
          <w:szCs w:val="28"/>
          <w:rtl/>
        </w:rPr>
        <w:t xml:space="preserve">خط: نستعلیق، کا: حسن بن ابی جعفر طبرسی، تا: ۱۲۲۵ق؛ کاغذ: فرنگی، جلد: تیماج مشکی یک لا، ۳گ (۲۴-۲۶پ)، اندازه: ۲۲</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۳-۲۷۱]</w:t>
      </w:r>
    </w:p>
    <w:p>
      <w:pPr>
        <w:pStyle w:val="BookText"/>
      </w:pPr>
      <w:r>
        <w:rPr>
          <w:rFonts w:ascii="IRNazanin" w:hAnsi="IRNazanin" w:eastAsia="IRNazanin" w:cs="IRNazanin"/>
          <w:lang w:bidi="fa-IR"/>
          <w:color w:val="111111"/>
          <w:sz w:val="28"/>
          <w:szCs w:val="28"/>
          <w:rtl/>
        </w:rPr>
        <w:t xml:space="preserve">تهران، دانشگاه؛ شماره نسخه: ۵۰۳۴/۳ ف</w:t>
      </w:r>
    </w:p>
    <w:p>
      <w:pPr>
        <w:pStyle w:val="BookText"/>
      </w:pPr>
      <w:r>
        <w:rPr>
          <w:rFonts w:ascii="IRNazanin" w:hAnsi="IRNazanin" w:eastAsia="IRNazanin" w:cs="IRNazanin"/>
          <w:lang w:bidi="fa-IR"/>
          <w:color w:val="111111"/>
          <w:sz w:val="28"/>
          <w:szCs w:val="28"/>
          <w:rtl/>
        </w:rPr>
        <w:t xml:space="preserve">نسخه اصل: همان نسخه بالا [فیلمها ف: ۳-۱۲۵]</w:t>
      </w:r>
    </w:p>
    <w:p>
      <w:pPr>
        <w:pStyle w:val="BookText"/>
      </w:pPr>
      <w:r>
        <w:rPr>
          <w:rFonts w:ascii="IRNazanin" w:hAnsi="IRNazanin" w:eastAsia="IRNazanin" w:cs="IRNazanin"/>
          <w:lang w:bidi="fa-IR"/>
          <w:color w:val="111111"/>
          <w:sz w:val="28"/>
          <w:szCs w:val="28"/>
          <w:rtl/>
        </w:rPr>
        <w:t xml:space="preserve">۱۳۶. تهران؛ سپهسالار؛ شماره نسخه: ۹۵۷/۵</w:t>
      </w:r>
    </w:p>
    <w:p>
      <w:pPr>
        <w:pStyle w:val="BookText"/>
      </w:pPr>
      <w:r>
        <w:rPr>
          <w:rFonts w:ascii="IRNazanin" w:hAnsi="IRNazanin" w:eastAsia="IRNazanin" w:cs="IRNazanin"/>
          <w:lang w:bidi="fa-IR"/>
          <w:color w:val="111111"/>
          <w:sz w:val="28"/>
          <w:szCs w:val="28"/>
          <w:rtl/>
        </w:rPr>
        <w:t xml:space="preserve">بی کا، تا: ۱۲۲۷ق، ۱۵گ (۱۰۵-۱۱۹پ) [ف: ۳-۲۷۱]</w:t>
      </w:r>
    </w:p>
    <w:p>
      <w:pPr>
        <w:pStyle w:val="BookText"/>
      </w:pPr>
      <w:r>
        <w:rPr>
          <w:rFonts w:ascii="IRNazanin" w:hAnsi="IRNazanin" w:eastAsia="IRNazanin" w:cs="IRNazanin"/>
          <w:lang w:bidi="fa-IR"/>
          <w:color w:val="111111"/>
          <w:sz w:val="28"/>
          <w:szCs w:val="28"/>
          <w:rtl/>
        </w:rPr>
        <w:t xml:space="preserve">۱۳۷. تهران؛ ملی؛ شماره نسخه: ۱۰۸۴/۱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صفر ۱۲۳۳ق؛ کاغذ: فرنگی، جلد: روغنی، بوم سبز، مقوایی، ۲۰۷گ، ۱۹ سطر ( ۱۳/۵</w:t>
      </w:r>
      <w:r>
        <w:rPr>
          <w:rFonts w:ascii="Times New Roman" w:hAnsi="Times New Roman" w:eastAsia="Times New Roman" w:cs="Times New Roman"/>
          <w:lang w:val="en-US" w:bidi="en-US"/>
          <w:color w:val="111111"/>
          <w:sz w:val="28"/>
          <w:szCs w:val="28"/>
          <w:rtl/>
        </w:rPr>
        <w:t xml:space="preserve">×8 )</w:t>
      </w:r>
      <w:r>
        <w:rPr>
          <w:rFonts w:ascii="IRNazanin" w:hAnsi="IRNazanin" w:eastAsia="IRNazanin" w:cs="IRNazanin"/>
          <w:lang w:bidi="fa-IR"/>
          <w:color w:val="111111"/>
          <w:sz w:val="28"/>
          <w:szCs w:val="28"/>
          <w:rtl/>
        </w:rPr>
        <w:t xml:space="preserve">، اندازه: 14/5</w:t>
      </w:r>
      <w:r>
        <w:rPr>
          <w:rFonts w:ascii="Times New Roman" w:hAnsi="Times New Roman" w:eastAsia="Times New Roman" w:cs="Times New Roman"/>
          <w:lang w:val="en-US" w:bidi="en-US"/>
          <w:color w:val="111111"/>
          <w:sz w:val="28"/>
          <w:szCs w:val="28"/>
          <w:rtl/>
        </w:rPr>
        <w:t xml:space="preserve">× 21</w:t>
      </w:r>
      <w:r>
        <w:rPr>
          <w:rFonts w:ascii="IRNazanin" w:hAnsi="IRNazanin" w:eastAsia="IRNazanin" w:cs="IRNazanin"/>
          <w:lang w:bidi="fa-IR"/>
          <w:color w:val="111111"/>
          <w:sz w:val="28"/>
          <w:szCs w:val="28"/>
          <w:rtl/>
        </w:rPr>
        <w:t xml:space="preserve">سم [ف: ۳-۱۰۲]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۱۳۸. قم؛ مرعشی؛ شماره نسخه:۱۲۴۰۸/۲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تا: ۱۲۳۴ق؛ مصحح، محشی؛ کاغذ: فرنگی آهار مهره، جلد: ساغری قهوه ای، ضربی مجدول، ۶۹گ (۶۷ -۱۳۵)، ۹ سطر، اندازه: ۱۰/۵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 [ف: ۳۱-۳۶۶]</w:t>
      </w:r>
    </w:p>
    <w:p>
      <w:pPr>
        <w:pStyle w:val="BookText"/>
      </w:pPr>
      <w:r>
        <w:rPr>
          <w:rFonts w:ascii="IRNazanin" w:hAnsi="IRNazanin" w:eastAsia="IRNazanin" w:cs="IRNazanin"/>
          <w:lang w:bidi="fa-IR"/>
          <w:color w:val="111111"/>
          <w:sz w:val="28"/>
          <w:szCs w:val="28"/>
          <w:rtl/>
        </w:rPr>
        <w:t xml:space="preserve">۱۳۹. یزد؛ سریزدی؛ شماره نسخه: ۴۳/۲</w:t>
      </w:r>
    </w:p>
    <w:p>
      <w:pPr>
        <w:pStyle w:val="BookText"/>
      </w:pPr>
      <w:r>
        <w:rPr>
          <w:rFonts w:ascii="IRNazanin" w:hAnsi="IRNazanin" w:eastAsia="IRNazanin" w:cs="IRNazanin"/>
          <w:lang w:bidi="fa-IR"/>
          <w:color w:val="111111"/>
          <w:sz w:val="28"/>
          <w:szCs w:val="28"/>
          <w:rtl/>
        </w:rPr>
        <w:t xml:space="preserve">خط: نستعلیق، كا: ابوالحسن بن ابوالقاسم بن على اشرف بن قاسم بن صالح اثنا عشری اصفهانی یزدی، تا: پنج شنبه ۲۶ شعبان ۱۲۳۵ق؛ جلد: گالینگور سرمه ای، عطف تیماج قرمز، ۱۳گ (۱۱۶پ-۱۲۸پ)،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۱-۴۳]</w:t>
      </w:r>
    </w:p>
    <w:p>
      <w:pPr>
        <w:pStyle w:val="BookText"/>
      </w:pPr>
      <w:r>
        <w:rPr>
          <w:rFonts w:ascii="IRNazanin" w:hAnsi="IRNazanin" w:eastAsia="IRNazanin" w:cs="IRNazanin"/>
          <w:lang w:bidi="fa-IR"/>
          <w:color w:val="111111"/>
          <w:sz w:val="28"/>
          <w:szCs w:val="28"/>
          <w:rtl/>
        </w:rPr>
        <w:t xml:space="preserve">۱۴۰. تهران؛ ملی؛ شماره نسخه: ۱۷۰۹/۲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تا: ۱۲۳۶ق؛ کاغذ: فرنگی، جلد: تیماج مشکی یک لا، ۲۱ص (۱۴۷-۱۶۷)، ۲۱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۱۵/۵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۳۰۱-۱۰ ]</w:t>
      </w:r>
    </w:p>
    <w:p>
      <w:pPr>
        <w:pStyle w:val="BookText"/>
      </w:pPr>
      <w:r>
        <w:rPr>
          <w:rFonts w:ascii="IRNazanin" w:hAnsi="IRNazanin" w:eastAsia="IRNazanin" w:cs="IRNazanin"/>
          <w:lang w:bidi="fa-IR"/>
          <w:color w:val="111111"/>
          <w:sz w:val="28"/>
          <w:szCs w:val="28"/>
          <w:rtl/>
        </w:rPr>
        <w:t xml:space="preserve">۱۴۱. تهران؛ ادبیات، شماره نسخه: ۳۵۹/۱</w:t>
      </w:r>
    </w:p>
    <w:p>
      <w:pPr>
        <w:pStyle w:val="BookText"/>
      </w:pPr>
      <w:r>
        <w:rPr>
          <w:rFonts w:ascii="IRNazanin" w:hAnsi="IRNazanin" w:eastAsia="IRNazanin" w:cs="IRNazanin"/>
          <w:lang w:bidi="fa-IR"/>
          <w:color w:val="111111"/>
          <w:sz w:val="28"/>
          <w:szCs w:val="28"/>
          <w:rtl/>
        </w:rPr>
        <w:t xml:space="preserve">خط: نسخ، كا: محمد رضا، تا: ۱۵ ربیع الاول ۱۲۳۷ ق [ف: ۳-۵۸]</w:t>
      </w:r>
    </w:p>
    <w:p>
      <w:pPr>
        <w:pStyle w:val="BookText"/>
      </w:pPr>
      <w:r>
        <w:rPr>
          <w:rFonts w:ascii="IRNazanin" w:hAnsi="IRNazanin" w:eastAsia="IRNazanin" w:cs="IRNazanin"/>
          <w:lang w:bidi="fa-IR"/>
          <w:color w:val="111111"/>
          <w:sz w:val="28"/>
          <w:szCs w:val="28"/>
          <w:rtl/>
        </w:rPr>
        <w:t xml:space="preserve">۱۴۲. مشهد: رضوی، شماره نسخه: ۱۲۰۲۳/۳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۱۲۳۷ق، کاغذ: نباتی، جلد: تیماج یک لا،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۱۰-۱۹۲]</w:t>
      </w:r>
    </w:p>
    <w:p>
      <w:pPr>
        <w:pStyle w:val="BookText"/>
      </w:pPr>
      <w:r>
        <w:rPr>
          <w:rFonts w:ascii="IRNazanin" w:hAnsi="IRNazanin" w:eastAsia="IRNazanin" w:cs="IRNazanin"/>
          <w:lang w:bidi="fa-IR"/>
          <w:color w:val="111111"/>
          <w:sz w:val="28"/>
          <w:szCs w:val="28"/>
          <w:rtl/>
        </w:rPr>
        <w:t xml:space="preserve">۱۴۳. مشهد؛ رضوی؛ شماره نسخه: ض۱۲۰۳۳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۱۲۳۸ق؛ کاغذ: شکری فرنگی، جلد: تیماج، ۱۵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قطع: وزیری کوچک،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[الفبائی: 93]</w:t>
      </w:r>
    </w:p>
    <w:p>
      <w:pPr>
        <w:pStyle w:val="BookText"/>
      </w:pPr>
      <w:r>
        <w:rPr>
          <w:rFonts w:ascii="IRNazanin" w:hAnsi="IRNazanin" w:eastAsia="IRNazanin" w:cs="IRNazanin"/>
          <w:lang w:bidi="fa-IR"/>
          <w:color w:val="111111"/>
          <w:sz w:val="28"/>
          <w:szCs w:val="28"/>
          <w:rtl/>
        </w:rPr>
        <w:t xml:space="preserve">۱۴۴. مشهد؛ گوهرشاد؛ شماره نسخه: ۱۷۷۴/۲</w:t>
      </w:r>
    </w:p>
    <w:p>
      <w:pPr>
        <w:pStyle w:val="BookText"/>
      </w:pPr>
      <w:r>
        <w:rPr>
          <w:rFonts w:ascii="IRNazanin" w:hAnsi="IRNazanin" w:eastAsia="IRNazanin" w:cs="IRNazanin"/>
          <w:lang w:bidi="fa-IR"/>
          <w:color w:val="111111"/>
          <w:sz w:val="28"/>
          <w:szCs w:val="28"/>
          <w:rtl/>
        </w:rPr>
        <w:t xml:space="preserve">آغاز: بسمله، حمد له أما بعد بدان که این مختصری است در معرفت اسطرلاب از تصانیف محقق الحقایق؛ انجام: و مکان شطایای کواکب بطریقی که مشهور است ثبت نمایند.</w:t>
      </w:r>
    </w:p>
    <w:p>
      <w:pPr>
        <w:pStyle w:val="BookText"/>
      </w:pPr>
      <w:r>
        <w:rPr>
          <w:rFonts w:ascii="IRNazanin" w:hAnsi="IRNazanin" w:eastAsia="IRNazanin" w:cs="IRNazanin"/>
          <w:lang w:bidi="fa-IR"/>
          <w:color w:val="111111"/>
          <w:sz w:val="28"/>
          <w:szCs w:val="28"/>
          <w:rtl/>
        </w:rPr>
        <w:t xml:space="preserve">خط: شکسته نستعلیق، بی کا، تا: ۱۰ رمضان ۱۲۳۹ق؛ واقف: سید سعید طباطبایی، ۱۳۳۲، کاغذ: شکری آهار مهره، جلد: تیماج یک لا مشکی، قطع: جیبی،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w:t>
      </w:r>
    </w:p>
    <w:p>
      <w:pPr>
        <w:pStyle w:val="BookText"/>
      </w:pPr>
      <w:r>
        <w:rPr>
          <w:rFonts w:ascii="IRNazanin" w:hAnsi="IRNazanin" w:eastAsia="IRNazanin" w:cs="IRNazanin"/>
          <w:lang w:bidi="fa-IR"/>
          <w:color w:val="111111"/>
          <w:sz w:val="28"/>
          <w:szCs w:val="28"/>
          <w:rtl/>
        </w:rPr>
        <w:t xml:space="preserve">سم [ف: ۵-۱۹۴]</w:t>
      </w:r>
    </w:p>
    <w:p>
      <w:pPr>
        <w:pStyle w:val="BookText"/>
      </w:pPr>
      <w:r>
        <w:rPr>
          <w:rFonts w:ascii="IRNazanin" w:hAnsi="IRNazanin" w:eastAsia="IRNazanin" w:cs="IRNazanin"/>
          <w:lang w:bidi="fa-IR"/>
          <w:color w:val="111111"/>
          <w:sz w:val="28"/>
          <w:szCs w:val="28"/>
          <w:rtl/>
        </w:rPr>
        <w:t xml:space="preserve">۱۴۵. تهران؛ ملک؛ شماره نسخه: ۵۷۱۸/۲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نصر الله نوری، تا: ۱۲۴۳ق؛ جلد: میشن سیاه، ۲۷گ (۸۵پ -۱۱ر)،۱۴سطر، اندازه: ۱۵/۳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۸-۴۸۰]</w:t>
      </w:r>
    </w:p>
    <w:p>
      <w:pPr>
        <w:pStyle w:val="BookText"/>
      </w:pPr>
      <w:r>
        <w:rPr>
          <w:rFonts w:ascii="IRNazanin" w:hAnsi="IRNazanin" w:eastAsia="IRNazanin" w:cs="IRNazanin"/>
          <w:lang w:bidi="fa-IR"/>
          <w:color w:val="111111"/>
          <w:sz w:val="28"/>
          <w:szCs w:val="28"/>
          <w:rtl/>
        </w:rPr>
        <w:t xml:space="preserve">۱۴۶. تهران؛ مجلس؛ شماره نسخه: ۵۰۰۱/۲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اب المصطفوی بن احمد بن عبد الله بن محمد فسوى، تا: دوشنبه ذیقعده ۱۲۴۳ق؛ دارای کمند زرین و مشکی، مجدول؛ کاغذ: فرنگی، جلد: روغنی با حاشیه زرین، اگ (۱۹۵-پ۱۸۹ر)، ۲۸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۲۹۷-۱۴ ]</w:t>
      </w:r>
    </w:p>
    <w:p>
      <w:pPr>
        <w:pStyle w:val="BookText"/>
      </w:pPr>
      <w:r>
        <w:rPr>
          <w:rFonts w:ascii="IRNazanin" w:hAnsi="IRNazanin" w:eastAsia="IRNazanin" w:cs="IRNazanin"/>
          <w:lang w:bidi="fa-IR"/>
          <w:color w:val="111111"/>
          <w:sz w:val="28"/>
          <w:szCs w:val="28"/>
          <w:rtl/>
        </w:rPr>
        <w:t xml:space="preserve">۱۴۷. مشهد؛ رضوی؛ شماره نسخه:۱۰۹۳۸/۲</w:t>
      </w:r>
    </w:p>
    <w:p>
      <w:pPr>
        <w:pStyle w:val="BookText"/>
      </w:pPr>
      <w:r>
        <w:rPr>
          <w:rFonts w:ascii="IRNazanin" w:hAnsi="IRNazanin" w:eastAsia="IRNazanin" w:cs="IRNazanin"/>
          <w:lang w:bidi="fa-IR"/>
          <w:color w:val="111111"/>
          <w:sz w:val="28"/>
          <w:szCs w:val="28"/>
          <w:rtl/>
        </w:rPr>
        <w:t xml:space="preserve">آغاز و انجام:برابر</w:t>
      </w:r>
    </w:p>
    <w:p>
      <w:pPr>
        <w:pStyle w:val="BookText"/>
      </w:pPr>
      <w:r>
        <w:rPr>
          <w:rFonts w:ascii="IRNazanin" w:hAnsi="IRNazanin" w:eastAsia="IRNazanin" w:cs="IRNazanin"/>
          <w:lang w:bidi="fa-IR"/>
          <w:color w:val="111111"/>
          <w:sz w:val="28"/>
          <w:szCs w:val="28"/>
          <w:rtl/>
        </w:rPr>
        <w:t xml:space="preserve">خط: نستعلیق تحریری، بی کا، تا: ۱۲۴۵ق؛ کاغذ: شکری فرنگی، جلد: تیماج ماشی، ۱۴ سطر [ف: ۱۸-۱۱۳]</w:t>
      </w:r>
    </w:p>
    <w:p>
      <w:pPr>
        <w:pStyle w:val="BookText"/>
      </w:pPr>
      <w:r>
        <w:rPr>
          <w:rFonts w:ascii="IRNazanin" w:hAnsi="IRNazanin" w:eastAsia="IRNazanin" w:cs="IRNazanin"/>
          <w:lang w:bidi="fa-IR"/>
          <w:color w:val="111111"/>
          <w:sz w:val="28"/>
          <w:szCs w:val="28"/>
          <w:rtl/>
        </w:rPr>
        <w:t xml:space="preserve">۱۴۸. مشهد؛ رضوی؛ شماره نسخه: ۲۸۲۴۹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خفی، بی کا، تا: ۱۲۴۵ق؛ واقف: حاج آقا محمد ایرانی، ۱۳۵۰، کاغذ: نباتی فرنگی، جلد: تیماج ماشی، ۱۴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قطع: وزیری کوچک،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[رایانه]</w:t>
      </w:r>
    </w:p>
    <w:p>
      <w:pPr>
        <w:pStyle w:val="BookText"/>
      </w:pPr>
      <w:r>
        <w:rPr>
          <w:rFonts w:ascii="IRNazanin" w:hAnsi="IRNazanin" w:eastAsia="IRNazanin" w:cs="IRNazanin"/>
          <w:lang w:bidi="fa-IR"/>
          <w:color w:val="111111"/>
          <w:sz w:val="28"/>
          <w:szCs w:val="28"/>
          <w:rtl/>
        </w:rPr>
        <w:t xml:space="preserve">۱۴۹. تهران؛ ملک؛ شماره نسخه: ۲۹۶۲/۵</w:t>
      </w:r>
    </w:p>
    <w:p>
      <w:pPr>
        <w:pStyle w:val="BookText"/>
      </w:pPr>
      <w:r>
        <w:rPr>
          <w:rFonts w:ascii="IRNazanin" w:hAnsi="IRNazanin" w:eastAsia="IRNazanin" w:cs="IRNazanin"/>
          <w:lang w:bidi="fa-IR"/>
          <w:color w:val="111111"/>
          <w:sz w:val="28"/>
          <w:szCs w:val="28"/>
          <w:rtl/>
        </w:rPr>
        <w:t xml:space="preserve">خط: نسخ، بی کا، تا: ۱۲۴۶ق؛ کاغذ: پسته ای و آبی، جلد: میشن لایی پشمی، ۱۶گ (۱۱۰پ -۱۲۵پ)،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۶-۱۷۳]</w:t>
      </w:r>
    </w:p>
    <w:p>
      <w:pPr>
        <w:pStyle w:val="BookText"/>
      </w:pPr>
      <w:r>
        <w:rPr>
          <w:rFonts w:ascii="IRNazanin" w:hAnsi="IRNazanin" w:eastAsia="IRNazanin" w:cs="IRNazanin"/>
          <w:lang w:bidi="fa-IR"/>
          <w:color w:val="111111"/>
          <w:sz w:val="28"/>
          <w:szCs w:val="28"/>
          <w:rtl/>
        </w:rPr>
        <w:t xml:space="preserve">۱۵۰. مشهد؛ گوهرشاد؛ شماره نسخه: ۵۵۹/۲</w:t>
      </w:r>
    </w:p>
    <w:p>
      <w:pPr>
        <w:pStyle w:val="BookText"/>
      </w:pPr>
      <w:r>
        <w:rPr>
          <w:rFonts w:ascii="IRNazanin" w:hAnsi="IRNazanin" w:eastAsia="IRNazanin" w:cs="IRNazanin"/>
          <w:lang w:bidi="fa-IR"/>
          <w:color w:val="111111"/>
          <w:sz w:val="28"/>
          <w:szCs w:val="28"/>
          <w:rtl/>
        </w:rPr>
        <w:t xml:space="preserve">آغاز: بسمله حمدله اما بعد این مختصریست در معرفت اسطرلاب از تصانیف استاد علامه خط: نسخ، كان أبو القاسم بن محمد محسن کاخکی گنابادی، تا: شنبه ۲۱ شعبان ۱۲۴۷ق؛ افتادگی: انجام؛ ناقص الآخر که بوسیله حسن بن محمد بن عبدالغنی طبسی متطبب معروف به مجد الأطباء در ربيع الأول ۱۳۴۰ هق. كسر نویسی شده؛ مهر: حاج سید سعید؛ کاغذ: فرنگی آهار مهره، جلد: تیماج عنابی لایه ای، ۲۸گ ( ۷۶-۴۹ )، ۱۴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۱۵/۵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۲-۶۶۸]</w:t>
      </w:r>
    </w:p>
    <w:p>
      <w:pPr>
        <w:pStyle w:val="BookText"/>
      </w:pPr>
      <w:r>
        <w:rPr>
          <w:rFonts w:ascii="IRNazanin" w:hAnsi="IRNazanin" w:eastAsia="IRNazanin" w:cs="IRNazanin"/>
          <w:lang w:bidi="fa-IR"/>
          <w:color w:val="111111"/>
          <w:sz w:val="28"/>
          <w:szCs w:val="28"/>
          <w:rtl/>
        </w:rPr>
        <w:t xml:space="preserve">۱۵۱. تهران: نوربخش؛ شماره نسخه: ۳۰۰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پنج شنبه ۸ ربیع الثانی ۱۲۴۷ق؛ کاغذ: فرنگی، جلد: تیماج عنابی یک لا، ۵۹ص، ۱۳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۲-۳۷]</w:t>
      </w:r>
    </w:p>
    <w:p>
      <w:pPr>
        <w:pStyle w:val="BookText"/>
      </w:pPr>
      <w:r>
        <w:rPr>
          <w:rFonts w:ascii="IRNazanin" w:hAnsi="IRNazanin" w:eastAsia="IRNazanin" w:cs="IRNazanin"/>
          <w:lang w:bidi="fa-IR"/>
          <w:color w:val="111111"/>
          <w:sz w:val="28"/>
          <w:szCs w:val="28"/>
          <w:rtl/>
        </w:rPr>
        <w:t xml:space="preserve">۱۵۲. تهران: دانشگاه؛ شماره نسخه: ۲/ ۱۰۶۲۹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حیدر قلی، تا: سه شنبه 19 شعبان ۱۲۴۹ق؛ ۶۴گ (۵۴پ -۱۱۷ر)، ۹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سم [ف: ۹۳-۲۰ ]</w:t>
      </w:r>
    </w:p>
    <w:p>
      <w:pPr>
        <w:pStyle w:val="BookText"/>
      </w:pPr>
      <w:r>
        <w:rPr>
          <w:rFonts w:ascii="IRNazanin" w:hAnsi="IRNazanin" w:eastAsia="IRNazanin" w:cs="IRNazanin"/>
          <w:lang w:bidi="fa-IR"/>
          <w:color w:val="111111"/>
          <w:sz w:val="28"/>
          <w:szCs w:val="28"/>
          <w:rtl/>
        </w:rPr>
        <w:t xml:space="preserve">۱۵۳. مشهد؛ میبدی؛ شماره نسخه: ۴۱۲/۲</w:t>
      </w:r>
    </w:p>
    <w:p>
      <w:pPr>
        <w:pStyle w:val="BookText"/>
      </w:pPr>
      <w:r>
        <w:rPr>
          <w:rFonts w:ascii="IRNazanin" w:hAnsi="IRNazanin" w:eastAsia="IRNazanin" w:cs="IRNazanin"/>
          <w:lang w:bidi="fa-IR"/>
          <w:color w:val="111111"/>
          <w:sz w:val="28"/>
          <w:szCs w:val="28"/>
          <w:rtl/>
        </w:rPr>
        <w:t xml:space="preserve">خط: نسخ، بی کا، تا: ۱۲۵۰ق؛ ۱۲گ (۱۳پ -۱۲۴)، ۲۱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۲-۱۰۲]</w:t>
      </w:r>
    </w:p>
    <w:p>
      <w:pPr>
        <w:pStyle w:val="BookText"/>
      </w:pPr>
      <w:r>
        <w:rPr>
          <w:rFonts w:ascii="IRNazanin" w:hAnsi="IRNazanin" w:eastAsia="IRNazanin" w:cs="IRNazanin"/>
          <w:lang w:bidi="fa-IR"/>
          <w:color w:val="111111"/>
          <w:sz w:val="28"/>
          <w:szCs w:val="28"/>
          <w:rtl/>
        </w:rPr>
        <w:t xml:space="preserve">۱۵۴. مشهد؛ رضوی؛ شماره نسخه: ۱۰۴۰۳/۱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كا: عبدالرحيم بن محمد کریم بغایری، تا: ۱۵ جمادی الثانی ۱۲۵۰ق؛ کاغذ: مختلف، جلد: چرمی ضربی، ۴۴ ص (۱-۴۴)، اندازه: 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۱۵/۵سم [ف: ۸-۴۲۳]</w:t>
      </w:r>
    </w:p>
    <w:p>
      <w:pPr>
        <w:pStyle w:val="BookText"/>
      </w:pPr>
      <w:r>
        <w:rPr>
          <w:rFonts w:ascii="IRNazanin" w:hAnsi="IRNazanin" w:eastAsia="IRNazanin" w:cs="IRNazanin"/>
          <w:lang w:bidi="fa-IR"/>
          <w:color w:val="111111"/>
          <w:sz w:val="28"/>
          <w:szCs w:val="28"/>
          <w:rtl/>
        </w:rPr>
        <w:t xml:space="preserve">۱۵۵. مشهد: الهیات؛ شماره نسخه: ۵۵۸/۴</w:t>
      </w:r>
    </w:p>
    <w:p>
      <w:pPr>
        <w:pStyle w:val="BookText"/>
      </w:pPr>
      <w:r>
        <w:rPr>
          <w:rFonts w:ascii="IRNazanin" w:hAnsi="IRNazanin" w:eastAsia="IRNazanin" w:cs="IRNazanin"/>
          <w:lang w:bidi="fa-IR"/>
          <w:color w:val="111111"/>
          <w:sz w:val="28"/>
          <w:szCs w:val="28"/>
          <w:rtl/>
        </w:rPr>
        <w:t xml:space="preserve">خط: نستعلیق، بی کا، تا: جمادی الثانی ۱۲۵۳ق، جا: مشهد؛ جلد: تیماج مشکی، ۱۸ سطر (</w:t>
      </w:r>
    </w:p>
    <w:p>
      <w:pPr>
        <w:pStyle w:val="BookText"/>
      </w:pPr>
      <w:r>
        <w:rPr>
          <w:rFonts w:ascii="IRNazanin" w:hAnsi="IRNazanin" w:eastAsia="IRNazanin" w:cs="IRNazanin"/>
          <w:lang w:bidi="fa-IR"/>
          <w:color w:val="111111"/>
          <w:sz w:val="28"/>
          <w:szCs w:val="28"/>
          <w:rtl/>
        </w:rPr>
        <w:t xml:space="preserve">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۱-۳۸۰]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۱۵۶. قم؛ مرعشی؛ شماره نسخه: ۴/ ۱۴۸۸۹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بی کا، تا: ۱۲۵۳ق؛ مصحح، محشی؛ کاغذ: فرنگی، جلد: تیماج قهوه ای ضربی با ترنج گل و بوته، ۲۱گ (۸۱پ -۱۰۱ر)، ۱۴ سطر (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 اندازه: ۱۴/۵</w:t>
      </w:r>
    </w:p>
    <w:p>
      <w:pPr>
        <w:pStyle w:val="BookText"/>
      </w:pP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۵۲۶-۳۷ ]</w:t>
      </w:r>
    </w:p>
    <w:p>
      <w:pPr>
        <w:pStyle w:val="BookText"/>
      </w:pPr>
      <w:r>
        <w:rPr>
          <w:rFonts w:ascii="IRNazanin" w:hAnsi="IRNazanin" w:eastAsia="IRNazanin" w:cs="IRNazanin"/>
          <w:lang w:bidi="fa-IR"/>
          <w:color w:val="111111"/>
          <w:sz w:val="28"/>
          <w:szCs w:val="28"/>
          <w:rtl/>
        </w:rPr>
        <w:t xml:space="preserve">۱۵۷. مشهد؛ رضوی؛ شماره نسخه: ۲۴۴۹۵</w:t>
      </w:r>
    </w:p>
    <w:p>
      <w:pPr>
        <w:pStyle w:val="BookText"/>
      </w:pPr>
      <w:r>
        <w:rPr>
          <w:rFonts w:ascii="IRNazanin" w:hAnsi="IRNazanin" w:eastAsia="IRNazanin" w:cs="IRNazanin"/>
          <w:lang w:bidi="fa-IR"/>
          <w:color w:val="111111"/>
          <w:sz w:val="28"/>
          <w:szCs w:val="28"/>
          <w:rtl/>
        </w:rPr>
        <w:t xml:space="preserve">آغاز: بسمله ... بعد فيقول مختصری است در معرفت اسطرلاب؛ انجام: برابر خط: نسخ خفی، بی کا، تا: ۱۲۵۵ق؛ ضمیمه نسخه ش ۱۴۴۹۴؛ کاغذ: نخودی، جلد: گالینگور سبز با عطف و گوشه تیماج سبز تیره دارای خطوط زرین زنجیره ای، ۱۹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۹/۸ )، قطع: وزیری بزرگ، اندازه: ۱۷/۹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۲۷/۵ سم [رایانه]</w:t>
      </w:r>
    </w:p>
    <w:p>
      <w:pPr>
        <w:pStyle w:val="BookText"/>
      </w:pPr>
      <w:r>
        <w:rPr>
          <w:rFonts w:ascii="Amiri" w:hAnsi="Amiri" w:eastAsia="Amiri" w:cs="Amiri"/>
          <w:lang w:bidi="ar-SA"/>
          <w:color w:val="111111"/>
          <w:sz w:val="28"/>
          <w:szCs w:val="28"/>
          <w:rtl/>
        </w:rPr>
        <w:t xml:space="preserve">۱۵۸. تهران، عبد العظيم؛ شماره نسخه: ۶۹۲/۴</w:t>
      </w:r>
    </w:p>
    <w:p>
      <w:pPr>
        <w:pStyle w:val="BookText"/>
      </w:pPr>
      <w:r>
        <w:rPr>
          <w:rFonts w:ascii="IRNazanin" w:hAnsi="IRNazanin" w:eastAsia="IRNazanin" w:cs="IRNazanin"/>
          <w:lang w:bidi="fa-IR"/>
          <w:color w:val="111111"/>
          <w:sz w:val="28"/>
          <w:szCs w:val="28"/>
          <w:rtl/>
        </w:rPr>
        <w:t xml:space="preserve">آغاز: برابر؛ انجام: و اگر زمان ساختن او قریب باشد شناختن باین طریق در کمال سهولت است و الله عالم بحقایق الاشياء و فاعل ما يشاء. خط: نستعلیق، بی کا، تا: سلخ صفر ۱۲۵۶ق؛ ۲۳گ، ۱۵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۱-۸۲]</w:t>
      </w:r>
    </w:p>
    <w:p>
      <w:pPr>
        <w:pStyle w:val="BookText"/>
      </w:pPr>
      <w:r>
        <w:rPr>
          <w:rFonts w:ascii="IRNazanin" w:hAnsi="IRNazanin" w:eastAsia="IRNazanin" w:cs="IRNazanin"/>
          <w:lang w:bidi="fa-IR"/>
          <w:color w:val="111111"/>
          <w:sz w:val="28"/>
          <w:szCs w:val="28"/>
          <w:rtl/>
        </w:rPr>
        <w:t xml:space="preserve">۱۵۹. تهران؛ دانشگاه؛ شماره نسخه: ۹۰۴۲/۱</w:t>
      </w:r>
    </w:p>
    <w:p>
      <w:pPr>
        <w:pStyle w:val="BookText"/>
      </w:pPr>
      <w:r>
        <w:rPr>
          <w:rFonts w:ascii="IRNazanin" w:hAnsi="IRNazanin" w:eastAsia="IRNazanin" w:cs="IRNazanin"/>
          <w:lang w:bidi="fa-IR"/>
          <w:color w:val="111111"/>
          <w:sz w:val="28"/>
          <w:szCs w:val="28"/>
          <w:rtl/>
        </w:rPr>
        <w:t xml:space="preserve">خط: نسخ، كان تبریزی، تا: شنبه ۱۱ صفر ۱۲۵۷ق، کاغذ: فرنگی، جلد: تازه، ۱۹گ (۱ر-۱۹ر)، ۱۵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قطع: ربعی،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سم [ف: ۱۷-۲۸۰]</w:t>
      </w:r>
    </w:p>
    <w:p>
      <w:pPr>
        <w:pStyle w:val="BookText"/>
      </w:pPr>
      <w:r>
        <w:rPr>
          <w:rFonts w:ascii="IRNazanin" w:hAnsi="IRNazanin" w:eastAsia="IRNazanin" w:cs="IRNazanin"/>
          <w:lang w:bidi="fa-IR"/>
          <w:color w:val="111111"/>
          <w:sz w:val="28"/>
          <w:szCs w:val="28"/>
          <w:rtl/>
        </w:rPr>
        <w:t xml:space="preserve">۱۶۰. مشهد؛ گوهرشاد؛ شماره نسخه: ۵۷۷/۱۰</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کا: رجبعلی بن کربلائی ابی عبدالله نقنه ای، تا: جمعه ۵ شعبان ۱۲۵۹ق؛ محشى؛ مهر: حاج سید سعید کاغذ: فرنگی آهار مهره، جلد: تیماج مشکی لایه ای، ۱۵گ (۹۲-۱۰۶)، ۲۳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۱۵/۵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۲-۶۸۶]</w:t>
      </w:r>
    </w:p>
    <w:p>
      <w:pPr>
        <w:pStyle w:val="BookText"/>
      </w:pPr>
      <w:r>
        <w:rPr>
          <w:rFonts w:ascii="IRNazanin" w:hAnsi="IRNazanin" w:eastAsia="IRNazanin" w:cs="IRNazanin"/>
          <w:lang w:bidi="fa-IR"/>
          <w:color w:val="111111"/>
          <w:sz w:val="28"/>
          <w:szCs w:val="28"/>
          <w:rtl/>
        </w:rPr>
        <w:t xml:space="preserve">۱۶۱. قم؛ طبسی؛ شماره نسخه: ۳۶۸/۸</w:t>
      </w:r>
    </w:p>
    <w:p>
      <w:pPr>
        <w:pStyle w:val="BookText"/>
      </w:pPr>
      <w:r>
        <w:rPr>
          <w:rFonts w:ascii="IRNazanin" w:hAnsi="IRNazanin" w:eastAsia="IRNazanin" w:cs="IRNazanin"/>
          <w:lang w:bidi="fa-IR"/>
          <w:color w:val="111111"/>
          <w:sz w:val="28"/>
          <w:szCs w:val="28"/>
          <w:rtl/>
        </w:rPr>
        <w:t xml:space="preserve">آغاز: برابر؛ انجام: ربعی از آن شرقی شمالی و ربعی غربی جنوبی و الله اعلم بالصواب و اليه المرجع و المآب خط: نستعلیق، كا: محمود کر کانی قمی، تا: سه شنبه ۱۲۶۰ق، جان بروجرد، مدرسه صوفيان؛ مصحح؛ جلد: تیماج سرخ سوخت مجدول با ترنج عطف تیماج سرخ لولادار، ۱۳، ۱۹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مخ: ۱-۸۸]</w:t>
      </w:r>
    </w:p>
    <w:p>
      <w:pPr>
        <w:pStyle w:val="BookText"/>
      </w:pPr>
      <w:r>
        <w:rPr>
          <w:rFonts w:ascii="IRNazanin" w:hAnsi="IRNazanin" w:eastAsia="IRNazanin" w:cs="IRNazanin"/>
          <w:lang w:bidi="fa-IR"/>
          <w:color w:val="111111"/>
          <w:sz w:val="28"/>
          <w:szCs w:val="28"/>
          <w:rtl/>
        </w:rPr>
        <w:t xml:space="preserve">۱۶۲. قم؛ گلپایگانی شماره نسخه: ۶۵۶۶/۵ - ۳۳/۱۱۶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۱۲۶۱ق؛ مصحح؛ جلد: تیماج مشکی مجدول با ترنج و سرترنج، ۱۷گ، ۲۱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۲-۶۵۶]</w:t>
      </w:r>
    </w:p>
    <w:p>
      <w:pPr>
        <w:pStyle w:val="BookText"/>
      </w:pPr>
      <w:r>
        <w:rPr>
          <w:rFonts w:ascii="IRNazanin" w:hAnsi="IRNazanin" w:eastAsia="IRNazanin" w:cs="IRNazanin"/>
          <w:lang w:bidi="fa-IR"/>
          <w:color w:val="111111"/>
          <w:sz w:val="28"/>
          <w:szCs w:val="28"/>
          <w:rtl/>
        </w:rPr>
        <w:t xml:space="preserve">۱۶۳. قم؛ معصومیه؛ شماره نسخه: ۴۱۶/۸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كان محمد جعفر بن مشهدی ابوالقاسم تبریزی، تان ۱۲۶۳ق؛ جلد: تیماج سوخت قهوه ای مجدول با ترنج با سر، ۱۵گ (۱۷۱پ -۱۸۵ر)، ۱۵- ۱۷ سطر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w:t>
      </w:r>
    </w:p>
    <w:p>
      <w:pPr>
        <w:pStyle w:val="BookText"/>
      </w:pPr>
      <w:r>
        <w:rPr>
          <w:rFonts w:ascii="IRNazanin" w:hAnsi="IRNazanin" w:eastAsia="IRNazanin" w:cs="IRNazanin"/>
          <w:lang w:bidi="fa-IR"/>
          <w:color w:val="111111"/>
          <w:sz w:val="28"/>
          <w:szCs w:val="28"/>
          <w:rtl/>
        </w:rPr>
        <w:t xml:space="preserve">)، اندازه: ۲۱/۵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۲-۲۸]</w:t>
      </w:r>
    </w:p>
    <w:p>
      <w:pPr>
        <w:pStyle w:val="BookText"/>
      </w:pPr>
      <w:r>
        <w:rPr>
          <w:rFonts w:ascii="IRNazanin" w:hAnsi="IRNazanin" w:eastAsia="IRNazanin" w:cs="IRNazanin"/>
          <w:lang w:bidi="fa-IR"/>
          <w:color w:val="111111"/>
          <w:sz w:val="28"/>
          <w:szCs w:val="28"/>
          <w:rtl/>
        </w:rPr>
        <w:t xml:space="preserve">۱۶۴. قم، گلپایگانی؛ شماره نسخه: ۱۲۱۳/۲ - ۷/۱۱۳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سه شنبه 19 ربيع الثاني ۱۲۶۳ق؛ مصحح؛ جلد: تیماج قهوه ای، ۹گ، ۲۷ سطر، اندازه: ۱۵/۵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۶۵۶-۲]</w:t>
      </w:r>
    </w:p>
    <w:p>
      <w:pPr>
        <w:pStyle w:val="BookText"/>
      </w:pPr>
      <w:r>
        <w:rPr>
          <w:rFonts w:ascii="IRNazanin" w:hAnsi="IRNazanin" w:eastAsia="IRNazanin" w:cs="IRNazanin"/>
          <w:lang w:bidi="fa-IR"/>
          <w:color w:val="111111"/>
          <w:sz w:val="28"/>
          <w:szCs w:val="28"/>
          <w:rtl/>
        </w:rPr>
        <w:t xml:space="preserve">۱۶۵. قم؛ مرعشی؛ شماره نسخه: ۹۵۱۷/۱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جواد بن صادق یزدی، تا: ذیقعده ۱۲۶۵ق؛ کاغذ: فرنگی نخودی آهار مهره، جلد: تیماج مشکی بدون مقوا، ۳۰گ (آپ - ۳۰پ)، ۱۵ سطر، اندازه: ۱۰/۵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۲۴-۲۷۱]</w:t>
      </w:r>
    </w:p>
    <w:p>
      <w:pPr>
        <w:pStyle w:val="BookText"/>
      </w:pPr>
      <w:r>
        <w:rPr>
          <w:rFonts w:ascii="Amiri" w:hAnsi="Amiri" w:eastAsia="Amiri" w:cs="Amiri"/>
          <w:lang w:bidi="ar-SA"/>
          <w:color w:val="111111"/>
          <w:sz w:val="28"/>
          <w:szCs w:val="28"/>
          <w:rtl/>
        </w:rPr>
        <w:t xml:space="preserve">۱۶۶. تهران: دائرة المعارف؛ شماره نسخه: ۱/۸</w:t>
      </w:r>
    </w:p>
    <w:p>
      <w:pPr>
        <w:pStyle w:val="BookText"/>
      </w:pPr>
      <w:r>
        <w:rPr>
          <w:rFonts w:ascii="IRNazanin" w:hAnsi="IRNazanin" w:eastAsia="IRNazanin" w:cs="IRNazanin"/>
          <w:lang w:bidi="fa-IR"/>
          <w:color w:val="111111"/>
          <w:sz w:val="28"/>
          <w:szCs w:val="28"/>
          <w:rtl/>
        </w:rPr>
        <w:t xml:space="preserve">آغاز: برابر؛ انجام: بر بیشتر اسطرلابهای این کواکب را نقش کنند خط: نسخ پخته، بی کا، تا: ذیحجه ۱۲۶۸ق؛ ۱۶گ (۱۱۷پ - ۱۳۲ پ) [ف: ۱-۳۸]</w:t>
      </w:r>
    </w:p>
    <w:p>
      <w:pPr>
        <w:pStyle w:val="BookText"/>
      </w:pPr>
      <w:r>
        <w:rPr>
          <w:rFonts w:ascii="IRNazanin" w:hAnsi="IRNazanin" w:eastAsia="IRNazanin" w:cs="IRNazanin"/>
          <w:lang w:bidi="fa-IR"/>
          <w:color w:val="111111"/>
          <w:sz w:val="28"/>
          <w:szCs w:val="28"/>
          <w:rtl/>
        </w:rPr>
        <w:t xml:space="preserve">۱۶۷. تهران؛ مجلس؛ شماره نسخه: ۱۱۷۱۶/۳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۱۲۶۹ق؛ جلد: مقوایی با روکش کاغذی سرمه ای و عطف پارچه ای سبز، ۷۵گ (۶۵ر - ۱۳۹ر)، ۱۴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۳۴-۵۴]</w:t>
      </w:r>
    </w:p>
    <w:p>
      <w:pPr>
        <w:pStyle w:val="BookText"/>
      </w:pPr>
      <w:r>
        <w:rPr>
          <w:rFonts w:ascii="IRNazanin" w:hAnsi="IRNazanin" w:eastAsia="IRNazanin" w:cs="IRNazanin"/>
          <w:lang w:bidi="fa-IR"/>
          <w:color w:val="111111"/>
          <w:sz w:val="28"/>
          <w:szCs w:val="28"/>
          <w:rtl/>
        </w:rPr>
        <w:t xml:space="preserve">۱۶۸. تهران؛ ملی؛ شماره نسخه: ۱۵۹۲۳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على بن میرزا ولی تفرشی، تا: جمعه شعبان ۱۲۷۰ق، به خواهش میرزا حسن حکیم؛ محشی با نشان «منه»، انتقالی از سازمان مدارک فرهنگی انقلاب اسلامی؛ کاغذ: فرنگی نخودی، ۱۷گ، ۵-۱۹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 اندازه: ۱۷/۵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[رایانه ]</w:t>
      </w:r>
    </w:p>
    <w:p>
      <w:pPr>
        <w:pStyle w:val="BookText"/>
      </w:pPr>
      <w:r>
        <w:rPr>
          <w:rFonts w:ascii="IRNazanin" w:hAnsi="IRNazanin" w:eastAsia="IRNazanin" w:cs="IRNazanin"/>
          <w:lang w:bidi="fa-IR"/>
          <w:color w:val="111111"/>
          <w:sz w:val="28"/>
          <w:szCs w:val="28"/>
          <w:rtl/>
        </w:rPr>
        <w:t xml:space="preserve">۱۶۹. قم؛ مرعشی؛ شماره نسخه: ۱۱۳۳۶/۱۰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بی کا، تا: چهارشنبه جمادی الثانی ۱۲۷۱ق؛ محشى؛ کاغذ: فرنگی آبی، مورخ ۱۸۵۳ میلادی، ۱۴گ (۶۴- ۷۸)، ۱۹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سم [ف: ۲۸-۵۵۲]</w:t>
      </w:r>
    </w:p>
    <w:p>
      <w:pPr>
        <w:pStyle w:val="BookText"/>
      </w:pPr>
      <w:r>
        <w:rPr>
          <w:rFonts w:ascii="IRNazanin" w:hAnsi="IRNazanin" w:eastAsia="IRNazanin" w:cs="IRNazanin"/>
          <w:lang w:bidi="fa-IR"/>
          <w:color w:val="111111"/>
          <w:sz w:val="28"/>
          <w:szCs w:val="28"/>
          <w:rtl/>
        </w:rPr>
        <w:t xml:space="preserve">۱۷۰. تهران، دانشگاه، شماره نسخه: ۵۶۷۶/۳</w:t>
      </w:r>
    </w:p>
    <w:p>
      <w:pPr>
        <w:pStyle w:val="BookText"/>
      </w:pPr>
      <w:r>
        <w:rPr>
          <w:rFonts w:ascii="IRNazanin" w:hAnsi="IRNazanin" w:eastAsia="IRNazanin" w:cs="IRNazanin"/>
          <w:lang w:bidi="fa-IR"/>
          <w:color w:val="111111"/>
          <w:sz w:val="28"/>
          <w:szCs w:val="28"/>
          <w:rtl/>
        </w:rPr>
        <w:t xml:space="preserve">خط: نسخ، كا: محمد حسین، تا: ۱۲۷۵ق؛ بدیع الملک در عصر روز یکشنبه ۶ صفر ۱۲۷۶ نزد میرزا محمد جعفر صفاهانی خوانده؛ کاغذ: فرنگی، جلد: تیماج گلی لایی، ۱۱ سطر (۹۶۵)، قطع: ربعی،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۱۶-۶۴]</w:t>
      </w:r>
    </w:p>
    <w:p>
      <w:pPr>
        <w:pStyle w:val="BookText"/>
      </w:pPr>
      <w:r>
        <w:rPr>
          <w:rFonts w:ascii="IRNazanin" w:hAnsi="IRNazanin" w:eastAsia="IRNazanin" w:cs="IRNazanin"/>
          <w:lang w:bidi="fa-IR"/>
          <w:color w:val="111111"/>
          <w:sz w:val="28"/>
          <w:szCs w:val="28"/>
          <w:rtl/>
        </w:rPr>
        <w:t xml:space="preserve">۱۷۱. تهران، دانشگاه؛ شماره نسخه: ۵۹۱۸/۲</w:t>
      </w:r>
    </w:p>
    <w:p>
      <w:pPr>
        <w:pStyle w:val="BookText"/>
      </w:pPr>
      <w:r>
        <w:rPr>
          <w:rFonts w:ascii="IRNazanin" w:hAnsi="IRNazanin" w:eastAsia="IRNazanin" w:cs="IRNazanin"/>
          <w:lang w:bidi="fa-IR"/>
          <w:color w:val="111111"/>
          <w:sz w:val="28"/>
          <w:szCs w:val="28"/>
          <w:rtl/>
        </w:rPr>
        <w:t xml:space="preserve">خط: نسخ، كا: محمد کریم بن حاجی محمد ابراهیم قمی، تا: چهارشنبه ۲۹ رجب ۱۲۷۶ق، جان اصفهان، مدرسه جده کوچک؛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کاغذ: فرنگی، جلد: تیماج مشکی ضربی مقوایی، ۱۶ سطر</w:t>
      </w:r>
    </w:p>
    <w:p>
      <w:pPr>
        <w:pStyle w:val="BookText"/>
      </w:pPr>
      <w:r>
        <w:rPr>
          <w:rFonts w:ascii="IRNazanin" w:hAnsi="IRNazanin" w:eastAsia="IRNazanin" w:cs="IRNazanin"/>
          <w:lang w:bidi="fa-IR"/>
          <w:color w:val="111111"/>
          <w:sz w:val="28"/>
          <w:szCs w:val="28"/>
          <w:rtl/>
        </w:rPr>
        <w:t xml:space="preserve">(۱۳۸۶)، قطع: جیبی، اندازه: ۱۶۸۱۱ سم [ف: ۱۶-۱۵۲]</w:t>
      </w:r>
    </w:p>
    <w:p>
      <w:pPr>
        <w:pStyle w:val="BookText"/>
      </w:pPr>
      <w:r>
        <w:rPr>
          <w:rFonts w:ascii="IRNazanin" w:hAnsi="IRNazanin" w:eastAsia="IRNazanin" w:cs="IRNazanin"/>
          <w:lang w:bidi="fa-IR"/>
          <w:color w:val="111111"/>
          <w:sz w:val="28"/>
          <w:szCs w:val="28"/>
          <w:rtl/>
        </w:rPr>
        <w:t xml:space="preserve">۱۷۲. تهران؛ ملک؛ شماره نسخه: ۳۱۱۷/۷</w:t>
      </w:r>
    </w:p>
    <w:p>
      <w:pPr>
        <w:pStyle w:val="BookText"/>
      </w:pPr>
      <w:r>
        <w:rPr>
          <w:rFonts w:ascii="IRNazanin" w:hAnsi="IRNazanin" w:eastAsia="IRNazanin" w:cs="IRNazanin"/>
          <w:lang w:bidi="fa-IR"/>
          <w:color w:val="111111"/>
          <w:sz w:val="28"/>
          <w:szCs w:val="28"/>
          <w:rtl/>
        </w:rPr>
        <w:t xml:space="preserve">خط شکسته نستعلیق و نسخ، بی کا، تا: سلخ شعبان ۱۲۷۷ق؛ کاغذ: فرنگی آهار و مهره، جلد: میشن قهوه ای ضربی، ۲۰گ (۴۲پ -۶۱ر)، ۱۶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۶-۲۲۹]</w:t>
      </w:r>
    </w:p>
    <w:p>
      <w:pPr>
        <w:pStyle w:val="BookText"/>
      </w:pPr>
      <w:r>
        <w:rPr>
          <w:rFonts w:ascii="IRNazanin" w:hAnsi="IRNazanin" w:eastAsia="IRNazanin" w:cs="IRNazanin"/>
          <w:lang w:bidi="fa-IR"/>
          <w:color w:val="111111"/>
          <w:sz w:val="28"/>
          <w:szCs w:val="28"/>
          <w:rtl/>
        </w:rPr>
        <w:t xml:space="preserve">۱۷۳. تهران؛ ملی؛ شماره نسخه: ۶۹۸۳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خوش، بی کا، تا: ۱۲۷۹ق؛ مصحح، محشی؛ کاغذ: فرنگی نخودی، جلد: تیماج قهوه ای روشن یک لا مجدول ضربی، ۲۰گ (۴۵پ -۶۴پ)، ۱۳ سطر (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۶/۳ سم [رایانه ]</w:t>
      </w:r>
    </w:p>
    <w:p>
      <w:pPr>
        <w:pStyle w:val="BookText"/>
      </w:pPr>
      <w:r>
        <w:rPr>
          <w:rFonts w:ascii="IRNazanin" w:hAnsi="IRNazanin" w:eastAsia="IRNazanin" w:cs="IRNazanin"/>
          <w:lang w:bidi="fa-IR"/>
          <w:color w:val="111111"/>
          <w:sz w:val="28"/>
          <w:szCs w:val="28"/>
          <w:rtl/>
        </w:rPr>
        <w:t xml:space="preserve">۱۷۴. قم؛ مرعشی؛ شماره نسخه: ۱۰۱۵/۱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بن محمد باقر کاشانی، تا: ۱۲۷۹ق؛ کاغذ: فرنگی سفید آهار مهره، جلد: تیماج قهوه ای، ۱۴گ (۲پ -۱۵پ)،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۳-۲۰۷]</w:t>
      </w:r>
    </w:p>
    <w:p>
      <w:pPr>
        <w:pStyle w:val="BookText"/>
      </w:pPr>
      <w:r>
        <w:rPr>
          <w:rFonts w:ascii="IRNazanin" w:hAnsi="IRNazanin" w:eastAsia="IRNazanin" w:cs="IRNazanin"/>
          <w:lang w:bidi="fa-IR"/>
          <w:color w:val="111111"/>
          <w:sz w:val="28"/>
          <w:szCs w:val="28"/>
          <w:rtl/>
        </w:rPr>
        <w:t xml:space="preserve">۱۷۵. مشهد؛ رضوی؛ شماره نسخه: ۵۴۴۰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حاجی محمد همدانی، تا: ۱۵ ذیقعده ۱۲۷۹ق؛ واقف: حاج عماد فهرستی؛ کاغذ: سفید فرنگی آهار مهره، جلد: پارچه ای، ۳۰گ، ۱۵ سطر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اندازه:</w:t>
      </w:r>
    </w:p>
    <w:p>
      <w:pPr>
        <w:pStyle w:val="BookText"/>
      </w:pPr>
      <w:r>
        <w:rPr>
          <w:rFonts w:ascii="IRNazanin" w:hAnsi="IRNazanin" w:eastAsia="IRNazanin" w:cs="IRNazanin"/>
          <w:lang w:bidi="fa-IR"/>
          <w:color w:val="111111"/>
          <w:sz w:val="28"/>
          <w:szCs w:val="28"/>
          <w:rtl/>
        </w:rPr>
        <w:t xml:space="preserve">۱۷/۸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۴۹-۸ ]</w:t>
      </w:r>
    </w:p>
    <w:p>
      <w:pPr>
        <w:pStyle w:val="BookText"/>
      </w:pPr>
      <w:r>
        <w:rPr>
          <w:rFonts w:ascii="IRNazanin" w:hAnsi="IRNazanin" w:eastAsia="IRNazanin" w:cs="IRNazanin"/>
          <w:lang w:bidi="fa-IR"/>
          <w:color w:val="111111"/>
          <w:sz w:val="28"/>
          <w:szCs w:val="28"/>
          <w:rtl/>
        </w:rPr>
        <w:t xml:space="preserve">۱۷۶. مشهد؛ گوهرشاد؛ شماره نسخه: ۱۱۰۳/۱۰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پست، بی کا، تا: ۱۲۸۱ق؛ مهر: کتابخانه مجدالدین؛ جلد: تیماج قهوه ای لایه ای، ۱۸گ (۹۸-۱۱۵)،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۳-۱۵۲۳]</w:t>
      </w:r>
    </w:p>
    <w:p>
      <w:pPr>
        <w:pStyle w:val="BookText"/>
      </w:pPr>
      <w:r>
        <w:rPr>
          <w:rFonts w:ascii="IRNazanin" w:hAnsi="IRNazanin" w:eastAsia="IRNazanin" w:cs="IRNazanin"/>
          <w:lang w:bidi="fa-IR"/>
          <w:color w:val="111111"/>
          <w:sz w:val="28"/>
          <w:szCs w:val="28"/>
          <w:rtl/>
        </w:rPr>
        <w:t xml:space="preserve">۱۷۷. مشهد؛ رضوی؛ شماره نسخه: ۱۲۱۶۷/۹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تحریری، کا: صالح حسینی، تا: ۱۲۸۴ق، جان مدرسه صادق خان کاغذ: حنایی آهار مهره، جلد: تیماج ماشی، اندازه: ۱۷/۲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۱۰/۳ سم [ف: ۱۰-۸۹]</w:t>
      </w:r>
    </w:p>
    <w:p>
      <w:pPr>
        <w:pStyle w:val="BookText"/>
      </w:pPr>
      <w:r>
        <w:rPr>
          <w:rFonts w:ascii="Amiri" w:hAnsi="Amiri" w:eastAsia="Amiri" w:cs="Amiri"/>
          <w:lang w:bidi="ar-SA"/>
          <w:color w:val="111111"/>
          <w:sz w:val="28"/>
          <w:szCs w:val="28"/>
          <w:rtl/>
        </w:rPr>
        <w:t xml:space="preserve">۱۷۸. تهران؛ دائرة المعارف؛ شماره نسخه: ۷۵۱/۱</w:t>
      </w:r>
    </w:p>
    <w:p>
      <w:pPr>
        <w:pStyle w:val="BookText"/>
      </w:pPr>
      <w:r>
        <w:rPr>
          <w:rFonts w:ascii="IRNazanin" w:hAnsi="IRNazanin" w:eastAsia="IRNazanin" w:cs="IRNazanin"/>
          <w:lang w:bidi="fa-IR"/>
          <w:color w:val="111111"/>
          <w:sz w:val="28"/>
          <w:szCs w:val="28"/>
          <w:rtl/>
        </w:rPr>
        <w:t xml:space="preserve">انجام: برابر هفده باب آن برابر «بیست باب» طوسی است، سپس باب ۱۹. در معرفت طالع وقت، ۲۱. در تسوية البيوت، ۲۲. در معرفت کجی و راستی اسطرلاب ۲۳. در بیان ستاره ای</w:t>
      </w:r>
    </w:p>
    <w:p>
      <w:pPr>
        <w:pStyle w:val="BookText"/>
      </w:pPr>
      <w:r>
        <w:rPr>
          <w:rFonts w:ascii="IRNazanin" w:hAnsi="IRNazanin" w:eastAsia="IRNazanin" w:cs="IRNazanin"/>
          <w:lang w:bidi="fa-IR"/>
          <w:color w:val="111111"/>
          <w:sz w:val="28"/>
          <w:szCs w:val="28"/>
          <w:rtl/>
        </w:rPr>
        <w:t xml:space="preserve">چند از ثوابت؛ خط: نستعلیق تحریری، كا: عبدالوهاب نراقی، تا: ۱۲۸۴ق؛ ۷گ (۱۲ر ۱۸) [ف: ۲-۳۱]</w:t>
      </w:r>
    </w:p>
    <w:p>
      <w:pPr>
        <w:pStyle w:val="BookText"/>
      </w:pPr>
      <w:r>
        <w:rPr>
          <w:rFonts w:ascii="IRNazanin" w:hAnsi="IRNazanin" w:eastAsia="IRNazanin" w:cs="IRNazanin"/>
          <w:lang w:bidi="fa-IR"/>
          <w:color w:val="111111"/>
          <w:sz w:val="28"/>
          <w:szCs w:val="28"/>
          <w:rtl/>
        </w:rPr>
        <w:t xml:space="preserve">۱۷۹. تهران: مجلس؛ شماره نسخه: ۵۵۸۴/۱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تحریری، بی کا، تا: ۱۲۸۴ق؛ کاغذ: فرنگی سفید، جلد: تیماج حنایی یک لا ضربی، ۳۷ص (۲-۳۸)، ۱۴ سطر، قطع: خشتی،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۱۷-۴۳]</w:t>
      </w:r>
    </w:p>
    <w:p>
      <w:pPr>
        <w:pStyle w:val="BookText"/>
      </w:pPr>
      <w:r>
        <w:rPr>
          <w:rFonts w:ascii="IRNazanin" w:hAnsi="IRNazanin" w:eastAsia="IRNazanin" w:cs="IRNazanin"/>
          <w:lang w:bidi="fa-IR"/>
          <w:color w:val="111111"/>
          <w:sz w:val="28"/>
          <w:szCs w:val="28"/>
          <w:rtl/>
        </w:rPr>
        <w:t xml:space="preserve">۱۸۰. تهران، ملک، شماره نسخه: ۱۵۹۲/۳</w:t>
      </w:r>
    </w:p>
    <w:p>
      <w:pPr>
        <w:pStyle w:val="BookText"/>
      </w:pPr>
      <w:r>
        <w:rPr>
          <w:rFonts w:ascii="IRNazanin" w:hAnsi="IRNazanin" w:eastAsia="IRNazanin" w:cs="IRNazanin"/>
          <w:lang w:bidi="fa-IR"/>
          <w:color w:val="111111"/>
          <w:sz w:val="28"/>
          <w:szCs w:val="28"/>
          <w:rtl/>
        </w:rPr>
        <w:t xml:space="preserve">خط: نستعلیق، كا: عبدالشکور مرندی، تا: ۱۲ جمادی الاول ۱۲۸۴ق، کاغذ: فرنگی آهار مهره، جلد: میشن سیاه، ۱۷ سطر [ف: 300-5]</w:t>
      </w:r>
    </w:p>
    <w:p>
      <w:pPr>
        <w:pStyle w:val="BookText"/>
      </w:pPr>
      <w:r>
        <w:rPr>
          <w:rFonts w:ascii="IRNazanin" w:hAnsi="IRNazanin" w:eastAsia="IRNazanin" w:cs="IRNazanin"/>
          <w:lang w:bidi="fa-IR"/>
          <w:color w:val="111111"/>
          <w:sz w:val="28"/>
          <w:szCs w:val="28"/>
          <w:rtl/>
        </w:rPr>
        <w:t xml:space="preserve">۱۸۱. کرمانشاه؛ میبدی (خاندان)؛ شماره نسخه: ۱۴۸/۱۱</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كا: علی حسینی یزدی میبدی، تا: ۱۲۸۳-۱۲۸۷، جا: کرمانشاه؛ جلد: تیماج قهوه ای ضربی، ۱۳گ (۱۷۰ر-۱۸۲ر)، اندازه: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۱۹/۵ سم [ف: ۱۱۱]</w:t>
      </w:r>
    </w:p>
    <w:p>
      <w:pPr>
        <w:pStyle w:val="BookText"/>
      </w:pPr>
      <w:r>
        <w:rPr>
          <w:rFonts w:ascii="IRNazanin" w:hAnsi="IRNazanin" w:eastAsia="IRNazanin" w:cs="IRNazanin"/>
          <w:lang w:bidi="fa-IR"/>
          <w:color w:val="111111"/>
          <w:sz w:val="28"/>
          <w:szCs w:val="28"/>
          <w:rtl/>
        </w:rPr>
        <w:t xml:space="preserve">قم: مرکز احیاء؛ شماره نسخه: ۲۳۰۵/۱۱</w:t>
      </w:r>
    </w:p>
    <w:p>
      <w:pPr>
        <w:pStyle w:val="BookText"/>
      </w:pPr>
      <w:r>
        <w:rPr>
          <w:rFonts w:ascii="IRNazanin" w:hAnsi="IRNazanin" w:eastAsia="IRNazanin" w:cs="IRNazanin"/>
          <w:lang w:bidi="fa-IR"/>
          <w:color w:val="111111"/>
          <w:sz w:val="28"/>
          <w:szCs w:val="28"/>
          <w:rtl/>
        </w:rPr>
        <w:t xml:space="preserve">نسخه اصل: همان نسخه بالا [عکسی ف: ۶-۳۵۲]</w:t>
      </w:r>
    </w:p>
    <w:p>
      <w:pPr>
        <w:pStyle w:val="BookText"/>
      </w:pPr>
      <w:r>
        <w:rPr>
          <w:rFonts w:ascii="IRNazanin" w:hAnsi="IRNazanin" w:eastAsia="IRNazanin" w:cs="IRNazanin"/>
          <w:lang w:bidi="fa-IR"/>
          <w:color w:val="111111"/>
          <w:sz w:val="28"/>
          <w:szCs w:val="28"/>
          <w:rtl/>
        </w:rPr>
        <w:t xml:space="preserve">۱۸۲. قم؛ گلپایگانی؛ شماره نسخه: ۶۲۷۰/۳ - ۳۱/۱۵۰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۱۲۹۸ق؛ جلد: تیماج مشکی سوخت ترنج با سر، ۳۶گ، ۱۵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۲-۶۵۶]</w:t>
      </w:r>
    </w:p>
    <w:p>
      <w:pPr>
        <w:pStyle w:val="BookText"/>
      </w:pPr>
      <w:r>
        <w:rPr>
          <w:rFonts w:ascii="IRNazanin" w:hAnsi="IRNazanin" w:eastAsia="IRNazanin" w:cs="IRNazanin"/>
          <w:lang w:bidi="fa-IR"/>
          <w:color w:val="111111"/>
          <w:sz w:val="28"/>
          <w:szCs w:val="28"/>
          <w:rtl/>
        </w:rPr>
        <w:t xml:space="preserve">۱۸۳. مشهد؛ رضوی؛ شماره نسخه: ۱۰۷۳۲/۳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مختلف، كا: محمد علی بن حسن بن حاج عبدالقادر تبریزی، تا: دهه سوم صفر ۱۳۰۳ق؛ کاغذ: فرنگی آهاری حنایی، جلد: تیماج سبز، اندازه: ۲۱/۵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۱۱-۳۶۷]</w:t>
      </w:r>
    </w:p>
    <w:p>
      <w:pPr>
        <w:pStyle w:val="BookText"/>
      </w:pPr>
      <w:r>
        <w:rPr>
          <w:rFonts w:ascii="IRNazanin" w:hAnsi="IRNazanin" w:eastAsia="IRNazanin" w:cs="IRNazanin"/>
          <w:lang w:bidi="fa-IR"/>
          <w:color w:val="111111"/>
          <w:sz w:val="28"/>
          <w:szCs w:val="28"/>
          <w:rtl/>
        </w:rPr>
        <w:t xml:space="preserve">۱۸۴. تهران: مهدوی؛ شماره نسخه: ۲۸۲/۲۵</w:t>
      </w:r>
    </w:p>
    <w:p>
      <w:pPr>
        <w:pStyle w:val="BookText"/>
      </w:pPr>
      <w:r>
        <w:rPr>
          <w:rFonts w:ascii="IRNazanin" w:hAnsi="IRNazanin" w:eastAsia="IRNazanin" w:cs="IRNazanin"/>
          <w:lang w:bidi="fa-IR"/>
          <w:color w:val="111111"/>
          <w:sz w:val="28"/>
          <w:szCs w:val="28"/>
          <w:rtl/>
        </w:rPr>
        <w:t xml:space="preserve">خط: نسخ، كان محمد طاهر بن ولی محمد طبيب مشهدی، تا: ۱۳۰۹ق، کاغذ: ترمه، ۱۲ص (۱۹۹-۲۱۰) [نشریه: ۲-۱۰۶]</w:t>
      </w:r>
    </w:p>
    <w:p>
      <w:pPr>
        <w:pStyle w:val="BookText"/>
      </w:pPr>
      <w:r>
        <w:rPr>
          <w:rFonts w:ascii="IRNazanin" w:hAnsi="IRNazanin" w:eastAsia="IRNazanin" w:cs="IRNazanin"/>
          <w:lang w:bidi="fa-IR"/>
          <w:color w:val="111111"/>
          <w:sz w:val="28"/>
          <w:szCs w:val="28"/>
          <w:rtl/>
        </w:rPr>
        <w:t xml:space="preserve">۱۸۵. مشهد؛ رضوی؛ شماره نسخه: ۱۲۲۹۷/۱۶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كا: محمدطاهر مشهدی، تا: ۱۳۰۹ق، جان مشهد؛ کاغذ: حنایی آهار مهره، جلد: تیماج ضربی زرکوب ترنج دار، ۱۸ص (۱۸۴-۲۰۱)، ۳۱ سطر، اندازه: ۳۳/۱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۲۰/۲ سم [ف: ۲۴۷-۱۰ ]</w:t>
      </w:r>
    </w:p>
    <w:p>
      <w:pPr>
        <w:pStyle w:val="BookText"/>
      </w:pPr>
      <w:r>
        <w:rPr>
          <w:rFonts w:ascii="IRNazanin" w:hAnsi="IRNazanin" w:eastAsia="IRNazanin" w:cs="IRNazanin"/>
          <w:lang w:bidi="fa-IR"/>
          <w:color w:val="111111"/>
          <w:sz w:val="28"/>
          <w:szCs w:val="28"/>
          <w:rtl/>
        </w:rPr>
        <w:t xml:space="preserve">تهران؛ دائرة المعارف؛ شماره نسخه: ۴۸۶/۱۷ -عکسی</w:t>
      </w:r>
    </w:p>
    <w:p>
      <w:pPr>
        <w:pStyle w:val="BookText"/>
      </w:pPr>
      <w:r>
        <w:rPr>
          <w:rFonts w:ascii="IRNazanin" w:hAnsi="IRNazanin" w:eastAsia="IRNazanin" w:cs="IRNazanin"/>
          <w:lang w:bidi="fa-IR"/>
          <w:color w:val="111111"/>
          <w:sz w:val="28"/>
          <w:szCs w:val="28"/>
          <w:rtl/>
        </w:rPr>
        <w:t xml:space="preserve">نسخه اصل: همان نسخه بالا</w:t>
      </w:r>
    </w:p>
    <w:p>
      <w:pPr>
        <w:pStyle w:val="BookText"/>
      </w:pPr>
      <w:r>
        <w:rPr>
          <w:rFonts w:ascii="Amiri" w:hAnsi="Amiri" w:eastAsia="Amiri" w:cs="Amiri"/>
          <w:lang w:bidi="ar-SA"/>
          <w:color w:val="111111"/>
          <w:sz w:val="28"/>
          <w:szCs w:val="28"/>
          <w:rtl/>
        </w:rPr>
        <w:t xml:space="preserve">۱۸۶. تهران: دائرة المعارف؛ شماره نسخه: ۳/۶</w:t>
      </w:r>
    </w:p>
    <w:p>
      <w:pPr>
        <w:pStyle w:val="BookText"/>
      </w:pPr>
      <w:r>
        <w:rPr>
          <w:rFonts w:ascii="IRNazanin" w:hAnsi="IRNazanin" w:eastAsia="IRNazanin" w:cs="IRNazanin"/>
          <w:lang w:bidi="fa-IR"/>
          <w:color w:val="111111"/>
          <w:sz w:val="28"/>
          <w:szCs w:val="28"/>
          <w:rtl/>
        </w:rPr>
        <w:t xml:space="preserve">آغاز: برابر؛ انجام: بر بیشتر اسطرلابهای این کواکب را نقش کنند خط: نستعلیق تحریری مخلوط به شکسته، كا: میرزا محمد بن شیخ الاسلام بهبهانی (سلطانی)، تا: جمادی الاول ۱۳۰۹ق، جان شیراز؛ ۸گ (۲۶۲ر -۲۶۹ر) [ف: ۱-۳۸]</w:t>
      </w:r>
    </w:p>
    <w:p>
      <w:pPr>
        <w:pStyle w:val="BookText"/>
      </w:pPr>
      <w:r>
        <w:rPr>
          <w:rFonts w:ascii="IRNazanin" w:hAnsi="IRNazanin" w:eastAsia="IRNazanin" w:cs="IRNazanin"/>
          <w:lang w:bidi="fa-IR"/>
          <w:color w:val="111111"/>
          <w:sz w:val="28"/>
          <w:szCs w:val="28"/>
          <w:rtl/>
        </w:rPr>
        <w:t xml:space="preserve">۱۸۷. تهران؛ ادبیات؛ شماره نسخه: ۱۲۱/۲ حکمت</w:t>
      </w:r>
    </w:p>
    <w:p>
      <w:pPr>
        <w:pStyle w:val="BookText"/>
      </w:pPr>
      <w:r>
        <w:rPr>
          <w:rFonts w:ascii="IRNazanin" w:hAnsi="IRNazanin" w:eastAsia="IRNazanin" w:cs="IRNazanin"/>
          <w:lang w:bidi="fa-IR"/>
          <w:color w:val="111111"/>
          <w:sz w:val="28"/>
          <w:szCs w:val="28"/>
          <w:rtl/>
        </w:rPr>
        <w:t xml:space="preserve">خط: نسخ، كان محمد حسن بن شیخ صادق لاهیجانی، تا: یکشنبه ۱۸ شوال ۱۳۰۹ق؛ جلد: تیماج سرخ ضربی منگنه مقوایی، قطع: ربعی [ف: ۲-۴۲]</w:t>
      </w:r>
    </w:p>
    <w:p>
      <w:pPr>
        <w:pStyle w:val="BookText"/>
      </w:pPr>
      <w:r>
        <w:rPr>
          <w:rFonts w:ascii="IRNazanin" w:hAnsi="IRNazanin" w:eastAsia="IRNazanin" w:cs="IRNazanin"/>
          <w:lang w:bidi="fa-IR"/>
          <w:color w:val="111111"/>
          <w:sz w:val="28"/>
          <w:szCs w:val="28"/>
          <w:rtl/>
        </w:rPr>
        <w:t xml:space="preserve">۱۸۸. تهران: نوربخش: شماره نسخه: ۶۱۰/۴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و انجام: برابر خط: نسخ و نستعلیق، کا: میرزا احمد بن میر فتاح خادمباشی، تا: ۱۳۱۲ق؛ کاغذ: فرنگی، جلد: تیماج نارنجی، یک لا، ۴۱ص (۸۸ -۱۲۸)، ۱۴ و ۱۶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۲-۲۵۷]</w:t>
      </w:r>
    </w:p>
    <w:p>
      <w:pPr>
        <w:pStyle w:val="BookText"/>
      </w:pPr>
      <w:r>
        <w:rPr>
          <w:rFonts w:ascii="Amiri" w:hAnsi="Amiri" w:eastAsia="Amiri" w:cs="Amiri"/>
          <w:lang w:bidi="ar-SA"/>
          <w:color w:val="111111"/>
          <w:sz w:val="28"/>
          <w:szCs w:val="28"/>
          <w:rtl/>
        </w:rPr>
        <w:t xml:space="preserve">۱۸۹. اصفهان، مكتبة الزهراء؛ شماره نسخه: ۲۲۲/۴</w:t>
      </w:r>
    </w:p>
    <w:p>
      <w:pPr>
        <w:pStyle w:val="BookText"/>
      </w:pPr>
      <w:r>
        <w:rPr>
          <w:rFonts w:ascii="IRNazanin" w:hAnsi="IRNazanin" w:eastAsia="IRNazanin" w:cs="IRNazanin"/>
          <w:lang w:bidi="fa-IR"/>
          <w:color w:val="111111"/>
          <w:sz w:val="28"/>
          <w:szCs w:val="28"/>
          <w:rtl/>
        </w:rPr>
        <w:t xml:space="preserve">خط: نسخ عالی، بی کا، تا: ۱۳۱۳ق؛ ۱۴گ، ۲۴ سطر، اندازه: ۲۶/۵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 [ف: ۱۳۸] ۱۹۰. تهران: دانشگاه؛ شماره نسخه: ۴۰۲۶</w:t>
      </w:r>
    </w:p>
    <w:p>
      <w:pPr>
        <w:pStyle w:val="BookText"/>
      </w:pPr>
      <w:r>
        <w:rPr>
          <w:rFonts w:ascii="IRNazanin" w:hAnsi="IRNazanin" w:eastAsia="IRNazanin" w:cs="IRNazanin"/>
          <w:lang w:bidi="fa-IR"/>
          <w:color w:val="111111"/>
          <w:sz w:val="28"/>
          <w:szCs w:val="28"/>
          <w:rtl/>
        </w:rPr>
        <w:t xml:space="preserve">خط شکسته نستعلیق، کا: محمد حسن تبریزی، تا: جمادی الثانی ۱۳۱۶ق؛ با سرلوح، مجدول؛ تملک: هادي بن مهدی موسوی در ۱۳۳۷، کاغذ: فرنگی، جلد: تیماج عنابی درون بنفش، ۲۷ ، ۱۱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۱۳-۳۰۱۶]</w:t>
      </w:r>
    </w:p>
    <w:p>
      <w:pPr>
        <w:pStyle w:val="BookText"/>
      </w:pPr>
      <w:r>
        <w:rPr>
          <w:rFonts w:ascii="IRNazanin" w:hAnsi="IRNazanin" w:eastAsia="IRNazanin" w:cs="IRNazanin"/>
          <w:lang w:bidi="fa-IR"/>
          <w:color w:val="111111"/>
          <w:sz w:val="28"/>
          <w:szCs w:val="28"/>
          <w:rtl/>
        </w:rPr>
        <w:t xml:space="preserve">۱۹۱. تهران؛ ملی؛ شماره نسخه: ۱۸۳۱۰</w:t>
      </w:r>
    </w:p>
    <w:p>
      <w:pPr>
        <w:pStyle w:val="BookText"/>
      </w:pPr>
      <w:r>
        <w:rPr>
          <w:rFonts w:ascii="IRNazanin" w:hAnsi="IRNazanin" w:eastAsia="IRNazanin" w:cs="IRNazanin"/>
          <w:lang w:bidi="fa-IR"/>
          <w:color w:val="111111"/>
          <w:sz w:val="28"/>
          <w:szCs w:val="28"/>
          <w:rtl/>
        </w:rPr>
        <w:t xml:space="preserve">بی کا، تا: ۱۳۲۵ق؛ انتقالی از کتابخانه پهلوی - مجموعه نوازی؛ ۲۴گ، اندازه: ۲۰/۵ </w:t>
      </w:r>
      <w:r>
        <w:rPr>
          <w:rFonts w:ascii="Times New Roman" w:hAnsi="Times New Roman" w:eastAsia="Times New Roman" w:cs="Times New Roman"/>
          <w:lang w:val="en-US" w:bidi="en-US"/>
          <w:color w:val="111111"/>
          <w:sz w:val="28"/>
          <w:szCs w:val="28"/>
          <w:rtl/>
        </w:rPr>
        <w:t xml:space="preserve">×30/5 </w:t>
      </w:r>
      <w:r>
        <w:rPr>
          <w:rFonts w:ascii="IRNazanin" w:hAnsi="IRNazanin" w:eastAsia="IRNazanin" w:cs="IRNazanin"/>
          <w:lang w:bidi="fa-IR"/>
          <w:color w:val="111111"/>
          <w:sz w:val="28"/>
          <w:szCs w:val="28"/>
          <w:rtl/>
        </w:rPr>
        <w:t xml:space="preserve">سم [رایانه ]</w:t>
      </w:r>
    </w:p>
    <w:p>
      <w:pPr>
        <w:pStyle w:val="BookText"/>
      </w:pPr>
      <w:r>
        <w:rPr>
          <w:rFonts w:ascii="Amiri" w:hAnsi="Amiri" w:eastAsia="Amiri" w:cs="Amiri"/>
          <w:lang w:bidi="ar-SA"/>
          <w:color w:val="111111"/>
          <w:sz w:val="28"/>
          <w:szCs w:val="28"/>
          <w:rtl/>
        </w:rPr>
        <w:t xml:space="preserve">۱۹۲. تهران؛ الهيات؛ شماره نسخه: ۹۹/۴</w:t>
      </w:r>
    </w:p>
    <w:p>
      <w:pPr>
        <w:pStyle w:val="BookText"/>
      </w:pPr>
      <w:r>
        <w:rPr>
          <w:rFonts w:ascii="IRNazanin" w:hAnsi="IRNazanin" w:eastAsia="IRNazanin" w:cs="IRNazanin"/>
          <w:lang w:bidi="fa-IR"/>
          <w:color w:val="111111"/>
          <w:sz w:val="28"/>
          <w:szCs w:val="28"/>
          <w:rtl/>
        </w:rPr>
        <w:t xml:space="preserve">خط: نستعلیق، کا: محمد باقر بن فتحعلی بن حاج محمد باقر ارغندی ترشیزی، تا: ۱۳۳۹ق؛ کاغذ: فرنگی، جلد: تیماج سبز مقوایی، ۲۱گ(۱۴۰پ - ۱۶۰ر)، ۱۷ سطر(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[ف: ۱۵۴]</w:t>
      </w:r>
    </w:p>
    <w:p>
      <w:pPr>
        <w:pStyle w:val="BookText"/>
      </w:pPr>
      <w:r>
        <w:rPr>
          <w:rFonts w:ascii="IRNazanin" w:hAnsi="IRNazanin" w:eastAsia="IRNazanin" w:cs="IRNazanin"/>
          <w:lang w:bidi="fa-IR"/>
          <w:color w:val="111111"/>
          <w:sz w:val="28"/>
          <w:szCs w:val="28"/>
          <w:rtl/>
        </w:rPr>
        <w:t xml:space="preserve">۱۹۳. تهران؛ ملی؛ شماره نسخه: ۲۰۴۰/۳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بی تا، کاغذ: نخودی، اصفهانی، جلد: مقوایی، رویه تیماج مشکی، ۲۱گ (۱۰۶-۱۲۶ پ)، ۱۹ سطر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۹سم [ف: ۱۱-۱۴۳]</w:t>
      </w:r>
    </w:p>
    <w:p>
      <w:pPr>
        <w:pStyle w:val="BookText"/>
      </w:pPr>
      <w:r>
        <w:rPr>
          <w:rFonts w:ascii="IRNazanin" w:hAnsi="IRNazanin" w:eastAsia="IRNazanin" w:cs="IRNazanin"/>
          <w:lang w:bidi="fa-IR"/>
          <w:color w:val="111111"/>
          <w:sz w:val="28"/>
          <w:szCs w:val="28"/>
          <w:rtl/>
        </w:rPr>
        <w:t xml:space="preserve">۱۹۴. تهران: ملی؛ شماره نسخه: ۳۰۸۰/۴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بی تا، کاغذ: فرنگی نخودی، جلد: تیماج تریاکی روشن مقوایی، دامن دار ضربی مجدول ترنج و دو سرترنج، ۲۳گ ( ۹۲-۷۰ )، ابعاد متن: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۱۴-۲۰۳]</w:t>
      </w:r>
    </w:p>
    <w:p>
      <w:pPr>
        <w:pStyle w:val="BookText"/>
      </w:pPr>
      <w:r>
        <w:rPr>
          <w:rFonts w:ascii="IRNazanin" w:hAnsi="IRNazanin" w:eastAsia="IRNazanin" w:cs="IRNazanin"/>
          <w:lang w:bidi="fa-IR"/>
          <w:color w:val="111111"/>
          <w:sz w:val="28"/>
          <w:szCs w:val="28"/>
          <w:rtl/>
        </w:rPr>
        <w:t xml:space="preserve">۱۹۵. تهران؛ ملی؛ شماره نسخه: ۲۵۷۶/۱</w:t>
      </w:r>
    </w:p>
    <w:p>
      <w:pPr>
        <w:pStyle w:val="BookText"/>
      </w:pPr>
      <w:r>
        <w:rPr>
          <w:rFonts w:ascii="IRNazanin" w:hAnsi="IRNazanin" w:eastAsia="IRNazanin" w:cs="IRNazanin"/>
          <w:lang w:bidi="fa-IR"/>
          <w:color w:val="111111"/>
          <w:sz w:val="28"/>
          <w:szCs w:val="28"/>
          <w:rtl/>
        </w:rPr>
        <w:t xml:space="preserve">آغاز: برابر؛ انجام و یکی از آن کو کب روشن تر بود و آن را نرفکه گویند و چون فکه بمیان آسمان رسد. بی کا، بی تا؛ افتادگی: انجام کاغذ: فرنگی، جلد: تیماج قهوه ای سوخته، عطف تیماج تریاکی روشن یک لا، ۱۹گ (۱پ-۱۹پ)، اندازه: ۱۱/۵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۱۷/۵ سم [ف: ۱۲-۵۱۴]</w:t>
      </w:r>
    </w:p>
    <w:p>
      <w:pPr>
        <w:pStyle w:val="BookText"/>
      </w:pPr>
      <w:r>
        <w:rPr>
          <w:rFonts w:ascii="IRNazanin" w:hAnsi="IRNazanin" w:eastAsia="IRNazanin" w:cs="IRNazanin"/>
          <w:lang w:bidi="fa-IR"/>
          <w:color w:val="111111"/>
          <w:sz w:val="28"/>
          <w:szCs w:val="28"/>
          <w:rtl/>
        </w:rPr>
        <w:t xml:space="preserve">۱۹۶. تهران؛ مجلس؛ شماره نسخه: ۱۲۳۳/۹</w:t>
      </w:r>
    </w:p>
    <w:p>
      <w:pPr>
        <w:pStyle w:val="BookText"/>
      </w:pPr>
      <w:r>
        <w:rPr>
          <w:rFonts w:ascii="IRNazanin" w:hAnsi="IRNazanin" w:eastAsia="IRNazanin" w:cs="IRNazanin"/>
          <w:lang w:bidi="fa-IR"/>
          <w:color w:val="111111"/>
          <w:sz w:val="28"/>
          <w:szCs w:val="28"/>
          <w:rtl/>
        </w:rPr>
        <w:t xml:space="preserve">بی کا، بی تا؛ ۴۱ص (۲۷۳-۳۱۳) [ف: ۵-۴۹۸]</w:t>
      </w:r>
    </w:p>
    <w:p>
      <w:pPr>
        <w:pStyle w:val="BookText"/>
      </w:pPr>
      <w:r>
        <w:rPr>
          <w:rFonts w:ascii="IRNazanin" w:hAnsi="IRNazanin" w:eastAsia="IRNazanin" w:cs="IRNazanin"/>
          <w:lang w:bidi="fa-IR"/>
          <w:color w:val="111111"/>
          <w:sz w:val="28"/>
          <w:szCs w:val="28"/>
          <w:rtl/>
        </w:rPr>
        <w:t xml:space="preserve">۱۹۷. تهران؛ دانشگاه؛ شماره نسخه: ۴۰۵۹/۳</w:t>
      </w:r>
    </w:p>
    <w:p>
      <w:pPr>
        <w:pStyle w:val="BookText"/>
      </w:pPr>
      <w:r>
        <w:rPr>
          <w:rFonts w:ascii="IRNazanin" w:hAnsi="IRNazanin" w:eastAsia="IRNazanin" w:cs="IRNazanin"/>
          <w:lang w:bidi="fa-IR"/>
          <w:color w:val="111111"/>
          <w:sz w:val="28"/>
          <w:szCs w:val="28"/>
          <w:rtl/>
        </w:rPr>
        <w:t xml:space="preserve">خط: نستعلیق، کا: محمد باقر بن قربانعلی مازندرانی بارفروشی، بی تا؛ جان: تهران؛ در زمان فتحعلی شاه ؛ کاغذ: فرنگی کبود، جلد: تیماج تریاکی ضربی، ۳۶ (۹۵- ۱۳۰)، ۱۴ سطر (۱۲۸۶)،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۱۳-۳۰۴۳)</w:t>
      </w:r>
    </w:p>
    <w:p>
      <w:pPr>
        <w:pStyle w:val="BookText"/>
      </w:pPr>
      <w:r>
        <w:rPr>
          <w:rFonts w:ascii="IRNazanin" w:hAnsi="IRNazanin" w:eastAsia="IRNazanin" w:cs="IRNazanin"/>
          <w:lang w:bidi="fa-IR"/>
          <w:color w:val="111111"/>
          <w:sz w:val="28"/>
          <w:szCs w:val="28"/>
          <w:rtl/>
        </w:rPr>
        <w:t xml:space="preserve">۱۹۸. بیرجند؛ دیانی؛ شماره نسخه: ۱۶۶/۳</w:t>
      </w:r>
    </w:p>
    <w:p>
      <w:pPr>
        <w:pStyle w:val="BookText"/>
      </w:pPr>
      <w:r>
        <w:rPr>
          <w:rFonts w:ascii="IRNazanin" w:hAnsi="IRNazanin" w:eastAsia="IRNazanin" w:cs="IRNazanin"/>
          <w:lang w:bidi="fa-IR"/>
          <w:color w:val="111111"/>
          <w:sz w:val="28"/>
          <w:szCs w:val="28"/>
          <w:rtl/>
        </w:rPr>
        <w:t xml:space="preserve">خط: نسخ، بی کا، تا: پنج شنبه ۲۵ جمادی الثانی، ۱۸گ (۶۸ر - ۸۵پ)،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[ف: ۱۲۶]</w:t>
      </w:r>
    </w:p>
    <w:p>
      <w:pPr>
        <w:pStyle w:val="BookText"/>
      </w:pPr>
      <w:r>
        <w:rPr>
          <w:rFonts w:ascii="IRNazanin" w:hAnsi="IRNazanin" w:eastAsia="IRNazanin" w:cs="IRNazanin"/>
          <w:lang w:bidi="fa-IR"/>
          <w:color w:val="111111"/>
          <w:sz w:val="28"/>
          <w:szCs w:val="28"/>
          <w:rtl/>
        </w:rPr>
        <w:t xml:space="preserve">۱۹۹. تهران: دانشگاه؛ شماره نسخه: ۳۰۸۶/۵</w:t>
      </w:r>
    </w:p>
    <w:p>
      <w:pPr>
        <w:pStyle w:val="BookText"/>
      </w:pPr>
      <w:r>
        <w:rPr>
          <w:rFonts w:ascii="IRNazanin" w:hAnsi="IRNazanin" w:eastAsia="IRNazanin" w:cs="IRNazanin"/>
          <w:lang w:bidi="fa-IR"/>
          <w:color w:val="111111"/>
          <w:sz w:val="28"/>
          <w:szCs w:val="28"/>
          <w:rtl/>
        </w:rPr>
        <w:t xml:space="preserve">خط: نسخ، بی کا، بی تا؛ کاغذ: فرنگی، جلد: تیماج حنایی مقوایی عطف سرخ، ۳۲گ (۱۹۳-۲۲۴)، ۲۱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۱۱-۲۰۳۲]</w:t>
      </w:r>
    </w:p>
    <w:p>
      <w:pPr>
        <w:pStyle w:val="BookText"/>
      </w:pPr>
      <w:r>
        <w:rPr>
          <w:rFonts w:ascii="IRNazanin" w:hAnsi="IRNazanin" w:eastAsia="IRNazanin" w:cs="IRNazanin"/>
          <w:lang w:bidi="fa-IR"/>
          <w:color w:val="111111"/>
          <w:sz w:val="28"/>
          <w:szCs w:val="28"/>
          <w:rtl/>
        </w:rPr>
        <w:t xml:space="preserve">۲۰۰. تهران، دانشگاه؛ شماره نسخه: ۷۷۵/۱ -ف</w:t>
      </w:r>
    </w:p>
    <w:p>
      <w:pPr>
        <w:pStyle w:val="BookText"/>
      </w:pPr>
      <w:r>
        <w:rPr>
          <w:rFonts w:ascii="IRNazanin" w:hAnsi="IRNazanin" w:eastAsia="IRNazanin" w:cs="IRNazanin"/>
          <w:lang w:bidi="fa-IR"/>
          <w:color w:val="111111"/>
          <w:sz w:val="28"/>
          <w:szCs w:val="28"/>
          <w:rtl/>
        </w:rPr>
        <w:t xml:space="preserve">نسخه اصل: پاریس 169 .</w:t>
      </w:r>
      <w:r>
        <w:rPr>
          <w:rFonts w:ascii="Times New Roman" w:hAnsi="Times New Roman" w:eastAsia="Times New Roman" w:cs="Times New Roman"/>
          <w:lang w:val="en-US" w:bidi="en-US"/>
          <w:color w:val="111111"/>
          <w:sz w:val="28"/>
          <w:szCs w:val="28"/>
          <w:rtl/>
        </w:rPr>
        <w:t xml:space="preserve">P (</w:t>
      </w:r>
      <w:r>
        <w:rPr>
          <w:rFonts w:ascii="IRNazanin" w:hAnsi="IRNazanin" w:eastAsia="IRNazanin" w:cs="IRNazanin"/>
          <w:lang w:bidi="fa-IR"/>
          <w:color w:val="111111"/>
          <w:sz w:val="28"/>
          <w:szCs w:val="28"/>
          <w:rtl/>
        </w:rPr>
        <w:t xml:space="preserve">بلوشه ۷۲۲)؛ خط: نستعلیق، بی کا، بی تا؛ ۲۲ سطر [فیلمها ف: ۱-۵۳۸]</w:t>
      </w:r>
    </w:p>
    <w:p>
      <w:pPr>
        <w:pStyle w:val="BookText"/>
      </w:pPr>
      <w:r>
        <w:rPr>
          <w:rFonts w:ascii="IRNazanin" w:hAnsi="IRNazanin" w:eastAsia="IRNazanin" w:cs="IRNazanin"/>
          <w:lang w:bidi="fa-IR"/>
          <w:color w:val="111111"/>
          <w:sz w:val="28"/>
          <w:szCs w:val="28"/>
          <w:rtl/>
        </w:rPr>
        <w:t xml:space="preserve">۲۰۱. تهران: دانشگاه، شماره نسخه: ۱۰۰۶/۳ -ف</w:t>
      </w:r>
    </w:p>
    <w:p>
      <w:pPr>
        <w:pStyle w:val="BookText"/>
      </w:pPr>
      <w:r>
        <w:rPr>
          <w:rFonts w:ascii="IRNazanin" w:hAnsi="IRNazanin" w:eastAsia="IRNazanin" w:cs="IRNazanin"/>
          <w:lang w:bidi="fa-IR"/>
          <w:color w:val="111111"/>
          <w:sz w:val="28"/>
          <w:szCs w:val="28"/>
          <w:rtl/>
        </w:rPr>
        <w:t xml:space="preserve">نسخه اصل: با دلیان 683 .</w:t>
      </w:r>
      <w:r>
        <w:rPr>
          <w:rFonts w:ascii="Times New Roman" w:hAnsi="Times New Roman" w:eastAsia="Times New Roman" w:cs="Times New Roman"/>
          <w:lang w:val="en-US" w:bidi="en-US"/>
          <w:color w:val="111111"/>
          <w:sz w:val="28"/>
          <w:szCs w:val="28"/>
          <w:rtl/>
        </w:rPr>
        <w:t xml:space="preserve">Marsh (</w:t>
      </w:r>
      <w:r>
        <w:rPr>
          <w:rFonts w:ascii="IRNazanin" w:hAnsi="IRNazanin" w:eastAsia="IRNazanin" w:cs="IRNazanin"/>
          <w:lang w:bidi="fa-IR"/>
          <w:color w:val="111111"/>
          <w:sz w:val="28"/>
          <w:szCs w:val="28"/>
          <w:rtl/>
        </w:rPr>
        <w:t xml:space="preserve">۱۵۰۷)؛ بی کا، بی تا [فیلمها ف: ۵۵۳-۱ ]</w:t>
      </w:r>
    </w:p>
    <w:p>
      <w:pPr>
        <w:pStyle w:val="BookText"/>
      </w:pPr>
      <w:r>
        <w:rPr>
          <w:rFonts w:ascii="IRNazanin" w:hAnsi="IRNazanin" w:eastAsia="IRNazanin" w:cs="IRNazanin"/>
          <w:lang w:bidi="fa-IR"/>
          <w:color w:val="111111"/>
          <w:sz w:val="28"/>
          <w:szCs w:val="28"/>
          <w:rtl/>
        </w:rPr>
        <w:t xml:space="preserve">۲۰۲. تهران؛ مجلس؛ شماره نسخه: ۷۳۶۲/۳</w:t>
      </w:r>
    </w:p>
    <w:p>
      <w:pPr>
        <w:pStyle w:val="BookText"/>
      </w:pPr>
      <w:r>
        <w:rPr>
          <w:rFonts w:ascii="IRNazanin" w:hAnsi="IRNazanin" w:eastAsia="IRNazanin" w:cs="IRNazanin"/>
          <w:lang w:bidi="fa-IR"/>
          <w:color w:val="111111"/>
          <w:sz w:val="28"/>
          <w:szCs w:val="28"/>
          <w:rtl/>
        </w:rPr>
        <w:t xml:space="preserve">آغاز: مدار رأس الحمل و الميزان باشد و آنچه بیرون بود مدار رأس الجدی و آنچه در اندرون بود؛ انجام: باب بیستم در معرفت سیاره ای چند ثابت که بر اسطرلاب ها ثبت کنند.</w:t>
      </w:r>
    </w:p>
    <w:p>
      <w:pPr>
        <w:pStyle w:val="BookText"/>
      </w:pPr>
      <w:r>
        <w:rPr>
          <w:rFonts w:ascii="IRNazanin" w:hAnsi="IRNazanin" w:eastAsia="IRNazanin" w:cs="IRNazanin"/>
          <w:lang w:bidi="fa-IR"/>
          <w:color w:val="111111"/>
          <w:sz w:val="28"/>
          <w:szCs w:val="28"/>
          <w:rtl/>
        </w:rPr>
        <w:t xml:space="preserve">خط: تحریری، بی کا، بی تا؛ افتادگی: آغاز و انجام؛ جلد: تیماج آبی، ۱۶گ (۲۴۲ر -۲۵۷پ) [ف: ۲۵-۳۴۸]</w:t>
      </w:r>
    </w:p>
    <w:p>
      <w:pPr>
        <w:pStyle w:val="BookText"/>
      </w:pPr>
      <w:r>
        <w:rPr>
          <w:rFonts w:ascii="IRNazanin" w:hAnsi="IRNazanin" w:eastAsia="IRNazanin" w:cs="IRNazanin"/>
          <w:lang w:bidi="fa-IR"/>
          <w:color w:val="111111"/>
          <w:sz w:val="28"/>
          <w:szCs w:val="28"/>
          <w:rtl/>
        </w:rPr>
        <w:t xml:space="preserve">۲۰۳. شیراز؛ ملی؛ شماره نسخه: ف ۳۷۲/۲</w:t>
      </w:r>
    </w:p>
    <w:p>
      <w:pPr>
        <w:pStyle w:val="BookText"/>
      </w:pPr>
      <w:r>
        <w:rPr>
          <w:rFonts w:ascii="IRNazanin" w:hAnsi="IRNazanin" w:eastAsia="IRNazanin" w:cs="IRNazanin"/>
          <w:lang w:bidi="fa-IR"/>
          <w:color w:val="111111"/>
          <w:sz w:val="28"/>
          <w:szCs w:val="28"/>
          <w:rtl/>
        </w:rPr>
        <w:t xml:space="preserve">آغاز: برابر؛ انجام: دو ستاره دیگر باریکتر بر مثال خط مستقيم باشد و عوام آنرا شاهین ترازو خوانند آن ستاره روش نسر طاير بود و کوکبی دیگر از جانب مشرق کا: احتمالا نواب (بسمل)، بی تا؛ افتادگی: انجام؛ ۱۸ گ، ۱۴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۷سم [ف: ۱-۳۵۲]</w:t>
      </w:r>
    </w:p>
    <w:p>
      <w:pPr>
        <w:pStyle w:val="BookText"/>
      </w:pPr>
      <w:r>
        <w:rPr>
          <w:rFonts w:ascii="IRNazanin" w:hAnsi="IRNazanin" w:eastAsia="IRNazanin" w:cs="IRNazanin"/>
          <w:lang w:bidi="fa-IR"/>
          <w:color w:val="111111"/>
          <w:sz w:val="28"/>
          <w:szCs w:val="28"/>
          <w:rtl/>
        </w:rPr>
        <w:t xml:space="preserve">۲۰۴. قم؛ گلپایگانی؛ شماره نسخه: ۱۴۸/۲ - ۱/۱۴۸</w:t>
      </w:r>
    </w:p>
    <w:p>
      <w:pPr>
        <w:pStyle w:val="BookText"/>
      </w:pPr>
      <w:r>
        <w:rPr>
          <w:rFonts w:ascii="IRNazanin" w:hAnsi="IRNazanin" w:eastAsia="IRNazanin" w:cs="IRNazanin"/>
          <w:lang w:bidi="fa-IR"/>
          <w:color w:val="111111"/>
          <w:sz w:val="28"/>
          <w:szCs w:val="28"/>
          <w:rtl/>
        </w:rPr>
        <w:t xml:space="preserve">آغاز: وسط السماء خوانند و خط دیگر را خط مشرق و مغرب و دایره ای که بر کشیده باشند بدین خطها به چهار قسم متساوی شود و ربعی را از دو؛ انجام: برابر از ما قبل «باب دوم در معرفت ارتفاع گرفتن از آفتاب و ستاره» تا آخر؛ خط: نسخ، بی کا، بی تا؛ افتادگی: آغاز؛ مصحح: ۳۴گ، ۱۵ سطر، اندازه: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[ف: ۲-۶۵۶]</w:t>
      </w:r>
    </w:p>
    <w:p>
      <w:pPr>
        <w:pStyle w:val="BookText"/>
      </w:pPr>
      <w:r>
        <w:rPr>
          <w:rFonts w:ascii="IRNazanin" w:hAnsi="IRNazanin" w:eastAsia="IRNazanin" w:cs="IRNazanin"/>
          <w:lang w:bidi="fa-IR"/>
          <w:color w:val="111111"/>
          <w:sz w:val="28"/>
          <w:szCs w:val="28"/>
          <w:rtl/>
        </w:rPr>
        <w:t xml:space="preserve">۲۰۵. قم؛ گلپایگانی، شماره نسخه: ۳۳۶/۲ - ۲/۱۵۶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مصحح: ۲۰گ، ۱۴-۱۷ سطر، اندازه: ۱۴/۵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۲-۶۵۵]</w:t>
      </w:r>
    </w:p>
    <w:p>
      <w:pPr>
        <w:pStyle w:val="BookText"/>
      </w:pPr>
      <w:r>
        <w:rPr>
          <w:rFonts w:ascii="IRNazanin" w:hAnsi="IRNazanin" w:eastAsia="IRNazanin" w:cs="IRNazanin"/>
          <w:lang w:bidi="fa-IR"/>
          <w:color w:val="111111"/>
          <w:sz w:val="28"/>
          <w:szCs w:val="28"/>
          <w:rtl/>
        </w:rPr>
        <w:t xml:space="preserve">۲۰۶. قم؛ گلپایگانی؛ شماره نسخه: ۱۸۹۲/۵ - ۱۰/۲۰۲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مصحح؛ ۲۹گ، ۱۰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۲-۶۵۶] ۲۰۷. قم؛ گلپایگانی؛ شماره نسخه: ۲۲۱۵/۳ - ۱۲/۱۰۵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بی کا، بی تا؛ جلد: ساغری مشکی عطف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تیماج، ۱۵گ، ۱۹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۲-۶۵۶]</w:t>
      </w:r>
    </w:p>
    <w:p>
      <w:pPr>
        <w:pStyle w:val="BookText"/>
      </w:pPr>
      <w:r>
        <w:rPr>
          <w:rFonts w:ascii="IRNazanin" w:hAnsi="IRNazanin" w:eastAsia="IRNazanin" w:cs="IRNazanin"/>
          <w:lang w:bidi="fa-IR"/>
          <w:color w:val="111111"/>
          <w:sz w:val="28"/>
          <w:szCs w:val="28"/>
          <w:rtl/>
        </w:rPr>
        <w:t xml:space="preserve">۲۰۸. قم؛ گلپایگانی؛ شماره نسخه: ۱۰۷۹/۳ - ۶/۱۶۹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دارای علامات بلاغ، مصحح؛ دارای جداول نجومی؛ ۱۸گ، ۱۹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۲-۶۵۶]</w:t>
      </w:r>
    </w:p>
    <w:p>
      <w:pPr>
        <w:pStyle w:val="BookText"/>
      </w:pPr>
      <w:r>
        <w:rPr>
          <w:rFonts w:ascii="IRNazanin" w:hAnsi="IRNazanin" w:eastAsia="IRNazanin" w:cs="IRNazanin"/>
          <w:lang w:bidi="fa-IR"/>
          <w:color w:val="111111"/>
          <w:sz w:val="28"/>
          <w:szCs w:val="28"/>
          <w:rtl/>
        </w:rPr>
        <w:t xml:space="preserve">۲۰۹. تهران؛ ملک؛ شماره نسخه: ۳۰۷۲/۳</w:t>
      </w:r>
    </w:p>
    <w:p>
      <w:pPr>
        <w:pStyle w:val="BookText"/>
      </w:pPr>
      <w:r>
        <w:rPr>
          <w:rFonts w:ascii="IRNazanin" w:hAnsi="IRNazanin" w:eastAsia="IRNazanin" w:cs="IRNazanin"/>
          <w:lang w:bidi="fa-IR"/>
          <w:color w:val="111111"/>
          <w:sz w:val="28"/>
          <w:szCs w:val="28"/>
          <w:rtl/>
        </w:rPr>
        <w:t xml:space="preserve">خط: نستعلیق، بی کا، بی تا، کاغذ: ترمه، جلد: میشن سیاه، ۱۶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۶-۲۰۰]</w:t>
      </w:r>
    </w:p>
    <w:p>
      <w:pPr>
        <w:pStyle w:val="BookText"/>
      </w:pPr>
      <w:r>
        <w:rPr>
          <w:rFonts w:ascii="IRNazanin" w:hAnsi="IRNazanin" w:eastAsia="IRNazanin" w:cs="IRNazanin"/>
          <w:lang w:bidi="fa-IR"/>
          <w:color w:val="111111"/>
          <w:sz w:val="28"/>
          <w:szCs w:val="28"/>
          <w:rtl/>
        </w:rPr>
        <w:t xml:space="preserve">۲۱۰. تهران: ملک، شماره نسخه: ۳۰۹۳/۳</w:t>
      </w:r>
    </w:p>
    <w:p>
      <w:pPr>
        <w:pStyle w:val="BookText"/>
      </w:pPr>
      <w:r>
        <w:rPr>
          <w:rFonts w:ascii="IRNazanin" w:hAnsi="IRNazanin" w:eastAsia="IRNazanin" w:cs="IRNazanin"/>
          <w:lang w:bidi="fa-IR"/>
          <w:color w:val="111111"/>
          <w:sz w:val="28"/>
          <w:szCs w:val="28"/>
          <w:rtl/>
        </w:rPr>
        <w:t xml:space="preserve">خط: شکسته نستعلیق، بی کا، بی تا؛ کاغذ: ترمه، جلد: میشن لایی تریاکی، ۲۹گ (۵۸پ -۸۶پ)، ۱۲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سم [ف: ۲۱۰-۶ ]</w:t>
      </w:r>
    </w:p>
    <w:p>
      <w:pPr>
        <w:pStyle w:val="BookText"/>
      </w:pPr>
      <w:r>
        <w:rPr>
          <w:rFonts w:ascii="IRNazanin" w:hAnsi="IRNazanin" w:eastAsia="IRNazanin" w:cs="IRNazanin"/>
          <w:lang w:bidi="fa-IR"/>
          <w:color w:val="111111"/>
          <w:sz w:val="28"/>
          <w:szCs w:val="28"/>
          <w:rtl/>
        </w:rPr>
        <w:t xml:space="preserve">۲۱۱. یزد؛ وزیری؛ شماره نسخه: ۱۰۵۶/۳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بی تا؛ جلد: مقوایی تیماج آلبالویی، ۱۴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۳-۸۳۷]</w:t>
      </w:r>
    </w:p>
    <w:p>
      <w:pPr>
        <w:pStyle w:val="BookText"/>
      </w:pPr>
      <w:r>
        <w:rPr>
          <w:rFonts w:ascii="IRNazanin" w:hAnsi="IRNazanin" w:eastAsia="IRNazanin" w:cs="IRNazanin"/>
          <w:lang w:bidi="fa-IR"/>
          <w:color w:val="111111"/>
          <w:sz w:val="28"/>
          <w:szCs w:val="28"/>
          <w:rtl/>
        </w:rPr>
        <w:t xml:space="preserve">۲۱۲. یزد؛ وزیری؛ شماره نسخه: ۱۲۳۲/۱</w:t>
      </w:r>
    </w:p>
    <w:p>
      <w:pPr>
        <w:pStyle w:val="BookText"/>
      </w:pPr>
      <w:r>
        <w:rPr>
          <w:rFonts w:ascii="IRNazanin" w:hAnsi="IRNazanin" w:eastAsia="IRNazanin" w:cs="IRNazanin"/>
          <w:lang w:bidi="fa-IR"/>
          <w:color w:val="111111"/>
          <w:sz w:val="28"/>
          <w:szCs w:val="28"/>
          <w:rtl/>
        </w:rPr>
        <w:t xml:space="preserve">بی کا، بی تا، کاغذ: اصفهانی، جلد: تیماج مشکی، ۲۳گ (۱-۲۳)، ۱۷ سطر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۳-۹۰۱]</w:t>
      </w:r>
    </w:p>
    <w:p>
      <w:pPr>
        <w:pStyle w:val="BookText"/>
      </w:pPr>
      <w:r>
        <w:rPr>
          <w:rFonts w:ascii="IRNazanin" w:hAnsi="IRNazanin" w:eastAsia="IRNazanin" w:cs="IRNazanin"/>
          <w:lang w:bidi="fa-IR"/>
          <w:color w:val="111111"/>
          <w:sz w:val="28"/>
          <w:szCs w:val="28"/>
          <w:rtl/>
        </w:rPr>
        <w:t xml:space="preserve">تهران؛ دانشگاه؛ شماره نسخه: ۲۴۶۴/۱ ف</w:t>
      </w:r>
    </w:p>
    <w:p>
      <w:pPr>
        <w:pStyle w:val="BookText"/>
      </w:pPr>
      <w:r>
        <w:rPr>
          <w:rFonts w:ascii="IRNazanin" w:hAnsi="IRNazanin" w:eastAsia="IRNazanin" w:cs="IRNazanin"/>
          <w:lang w:bidi="fa-IR"/>
          <w:color w:val="111111"/>
          <w:sz w:val="28"/>
          <w:szCs w:val="28"/>
          <w:rtl/>
        </w:rPr>
        <w:t xml:space="preserve">نسخه اصل: همان نسخه بالا [فیلمها ف: ۱-۶۹۸]</w:t>
      </w:r>
    </w:p>
    <w:p>
      <w:pPr>
        <w:pStyle w:val="BookText"/>
      </w:pPr>
      <w:r>
        <w:rPr>
          <w:rFonts w:ascii="IRNazanin" w:hAnsi="IRNazanin" w:eastAsia="IRNazanin" w:cs="IRNazanin"/>
          <w:lang w:bidi="fa-IR"/>
          <w:color w:val="111111"/>
          <w:sz w:val="28"/>
          <w:szCs w:val="28"/>
          <w:rtl/>
        </w:rPr>
        <w:t xml:space="preserve">۲۱۳. تهران؛ ملک؛ شماره نسخه: ۳۲۰۸/۱</w:t>
      </w:r>
    </w:p>
    <w:p>
      <w:pPr>
        <w:pStyle w:val="BookText"/>
      </w:pPr>
      <w:r>
        <w:rPr>
          <w:rFonts w:ascii="IRNazanin" w:hAnsi="IRNazanin" w:eastAsia="IRNazanin" w:cs="IRNazanin"/>
          <w:lang w:bidi="fa-IR"/>
          <w:color w:val="111111"/>
          <w:sz w:val="28"/>
          <w:szCs w:val="28"/>
          <w:rtl/>
        </w:rPr>
        <w:t xml:space="preserve">خط: نسخ، بی کا، بی تا، کاغذ: ترمه، جلد: میشن تریاکی، ۱۸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۶-۳۰۰]</w:t>
      </w:r>
    </w:p>
    <w:p>
      <w:pPr>
        <w:pStyle w:val="BookText"/>
      </w:pPr>
      <w:r>
        <w:rPr>
          <w:rFonts w:ascii="IRNazanin" w:hAnsi="IRNazanin" w:eastAsia="IRNazanin" w:cs="IRNazanin"/>
          <w:lang w:bidi="fa-IR"/>
          <w:color w:val="111111"/>
          <w:sz w:val="28"/>
          <w:szCs w:val="28"/>
          <w:rtl/>
        </w:rPr>
        <w:t xml:space="preserve">۲۱۴. تهران؛ ملک؛ شماره نسخه: ۳۲۱۴/۱</w:t>
      </w:r>
    </w:p>
    <w:p>
      <w:pPr>
        <w:pStyle w:val="BookText"/>
      </w:pPr>
      <w:r>
        <w:rPr>
          <w:rFonts w:ascii="IRNazanin" w:hAnsi="IRNazanin" w:eastAsia="IRNazanin" w:cs="IRNazanin"/>
          <w:lang w:bidi="fa-IR"/>
          <w:color w:val="111111"/>
          <w:sz w:val="28"/>
          <w:szCs w:val="28"/>
          <w:rtl/>
        </w:rPr>
        <w:t xml:space="preserve">خط: نسخ، بی کا، بی تا، کاغذ: دولت آبادی، جلد: رویه کاغذ مغزی میشن قهوه ای، ۱۵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۶-۳۰۲]</w:t>
      </w:r>
    </w:p>
    <w:p>
      <w:pPr>
        <w:pStyle w:val="BookText"/>
      </w:pPr>
      <w:r>
        <w:rPr>
          <w:rFonts w:ascii="IRNazanin" w:hAnsi="IRNazanin" w:eastAsia="IRNazanin" w:cs="IRNazanin"/>
          <w:lang w:bidi="fa-IR"/>
          <w:color w:val="111111"/>
          <w:sz w:val="28"/>
          <w:szCs w:val="28"/>
          <w:rtl/>
        </w:rPr>
        <w:t xml:space="preserve">۲۱۵. اردکان یزد؛ امام صادق؛ شماره نسخه: ۶۵/۴</w:t>
      </w:r>
    </w:p>
    <w:p>
      <w:pPr>
        <w:pStyle w:val="BookText"/>
      </w:pPr>
      <w:r>
        <w:rPr>
          <w:rFonts w:ascii="IRNazanin" w:hAnsi="IRNazanin" w:eastAsia="IRNazanin" w:cs="IRNazanin"/>
          <w:lang w:bidi="fa-IR"/>
          <w:color w:val="111111"/>
          <w:sz w:val="28"/>
          <w:szCs w:val="28"/>
          <w:rtl/>
        </w:rPr>
        <w:t xml:space="preserve">خط: نسخ، بی کا، بی تا، دارای اشکال هندسی؛ جلد: تیماج مشکی بدون مقوا، ۳۴گ (۸۰پ -۱۱۳ر)،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سم [ف: ۱-۵۶]</w:t>
      </w:r>
    </w:p>
    <w:p>
      <w:pPr>
        <w:pStyle w:val="BookText"/>
      </w:pPr>
      <w:r>
        <w:rPr>
          <w:rFonts w:ascii="IRNazanin" w:hAnsi="IRNazanin" w:eastAsia="IRNazanin" w:cs="IRNazanin"/>
          <w:lang w:bidi="fa-IR"/>
          <w:color w:val="111111"/>
          <w:sz w:val="28"/>
          <w:szCs w:val="28"/>
          <w:rtl/>
        </w:rPr>
        <w:t xml:space="preserve">۲۱۶. تهران؛ ملک؛ شماره نسخه: ۳۴۰۲/۴</w:t>
      </w:r>
    </w:p>
    <w:p>
      <w:pPr>
        <w:pStyle w:val="BookText"/>
      </w:pPr>
      <w:r>
        <w:rPr>
          <w:rFonts w:ascii="IRNazanin" w:hAnsi="IRNazanin" w:eastAsia="IRNazanin" w:cs="IRNazanin"/>
          <w:lang w:bidi="fa-IR"/>
          <w:color w:val="111111"/>
          <w:sz w:val="28"/>
          <w:szCs w:val="28"/>
          <w:rtl/>
        </w:rPr>
        <w:t xml:space="preserve">خط: نستعلیق، کا: محمد مهدی بن محمد ربيع سمنانی، بی تا؛ کاغذ: پسته ای، جلد: رویه میشن سیاه ضربی مجدول، ۱۳گ (۷۷پ -۸۹پ) [ف: ۶-۳۹۷]</w:t>
      </w:r>
    </w:p>
    <w:p>
      <w:pPr>
        <w:pStyle w:val="BookText"/>
      </w:pPr>
      <w:r>
        <w:rPr>
          <w:rFonts w:ascii="IRNazanin" w:hAnsi="IRNazanin" w:eastAsia="IRNazanin" w:cs="IRNazanin"/>
          <w:lang w:bidi="fa-IR"/>
          <w:color w:val="111111"/>
          <w:sz w:val="28"/>
          <w:szCs w:val="28"/>
          <w:rtl/>
        </w:rPr>
        <w:t xml:space="preserve">۲۱۷. تهران؛ ملک؛ شماره نسخه: ۳۳۸۲/۳</w:t>
      </w:r>
    </w:p>
    <w:p>
      <w:pPr>
        <w:pStyle w:val="BookText"/>
      </w:pPr>
      <w:r>
        <w:rPr>
          <w:rFonts w:ascii="IRNazanin" w:hAnsi="IRNazanin" w:eastAsia="IRNazanin" w:cs="IRNazanin"/>
          <w:lang w:bidi="fa-IR"/>
          <w:color w:val="111111"/>
          <w:sz w:val="28"/>
          <w:szCs w:val="28"/>
          <w:rtl/>
        </w:rPr>
        <w:t xml:space="preserve">خط: نسخ، بی کا، بی تا، مهر «الله، محمد، علی» (بیضی)؛ کاغذ: ترمه، جلد: رویه میشن قهوه ای تازه، ۱۵گ (۱۵ پ-۲۹ر)، ۱۶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۶-۳۸۸]</w:t>
      </w:r>
    </w:p>
    <w:p>
      <w:pPr>
        <w:pStyle w:val="BookText"/>
      </w:pPr>
      <w:r>
        <w:rPr>
          <w:rFonts w:ascii="IRNazanin" w:hAnsi="IRNazanin" w:eastAsia="IRNazanin" w:cs="IRNazanin"/>
          <w:lang w:bidi="fa-IR"/>
          <w:color w:val="111111"/>
          <w:sz w:val="28"/>
          <w:szCs w:val="28"/>
          <w:rtl/>
        </w:rPr>
        <w:t xml:space="preserve">۲۱۸. تهران: مجلس؛ شماره نسخه: ۶۸۵/۱۳</w:t>
      </w:r>
    </w:p>
    <w:p>
      <w:pPr>
        <w:pStyle w:val="BookText"/>
      </w:pPr>
      <w:r>
        <w:rPr>
          <w:rFonts w:ascii="IRNazanin" w:hAnsi="IRNazanin" w:eastAsia="IRNazanin" w:cs="IRNazanin"/>
          <w:lang w:bidi="fa-IR"/>
          <w:color w:val="111111"/>
          <w:sz w:val="28"/>
          <w:szCs w:val="28"/>
          <w:rtl/>
        </w:rPr>
        <w:t xml:space="preserve">بی کا، بی تا، کاغذ: سفید، جلد: مقوایی، عطف و گوشه تیماج مشکی، ۱۵ص (۳۱۹-۳۳۳) [سنا: ف: ۲-۳۰]</w:t>
      </w:r>
    </w:p>
    <w:p>
      <w:pPr>
        <w:pStyle w:val="BookText"/>
      </w:pPr>
      <w:r>
        <w:rPr>
          <w:rFonts w:ascii="IRNazanin" w:hAnsi="IRNazanin" w:eastAsia="IRNazanin" w:cs="IRNazanin"/>
          <w:lang w:bidi="fa-IR"/>
          <w:color w:val="111111"/>
          <w:sz w:val="28"/>
          <w:szCs w:val="28"/>
          <w:rtl/>
        </w:rPr>
        <w:t xml:space="preserve">۲۱۹. تهران؛ مجلس؛ شماره نسخه: ۲۰۶/۷</w:t>
      </w:r>
    </w:p>
    <w:p>
      <w:pPr>
        <w:pStyle w:val="BookText"/>
      </w:pPr>
      <w:r>
        <w:rPr>
          <w:rFonts w:ascii="IRNazanin" w:hAnsi="IRNazanin" w:eastAsia="IRNazanin" w:cs="IRNazanin"/>
          <w:lang w:bidi="fa-IR"/>
          <w:color w:val="111111"/>
          <w:sz w:val="28"/>
          <w:szCs w:val="28"/>
          <w:rtl/>
        </w:rPr>
        <w:t xml:space="preserve">خط: نسخ، بی کا، بی تا؛ ۱۶ سطر، قطع: وزیری،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۲-۱۱۶]</w:t>
      </w:r>
    </w:p>
    <w:p>
      <w:pPr>
        <w:pStyle w:val="BookText"/>
      </w:pPr>
      <w:r>
        <w:rPr>
          <w:rFonts w:ascii="IRNazanin" w:hAnsi="IRNazanin" w:eastAsia="IRNazanin" w:cs="IRNazanin"/>
          <w:lang w:bidi="fa-IR"/>
          <w:color w:val="111111"/>
          <w:sz w:val="28"/>
          <w:szCs w:val="28"/>
          <w:rtl/>
        </w:rPr>
        <w:t xml:space="preserve">۲۲۰. تهران؛ ملی؛ شماره نسخه: ۲۵۶۷۶</w:t>
      </w:r>
    </w:p>
    <w:p>
      <w:pPr>
        <w:pStyle w:val="BookText"/>
      </w:pPr>
      <w:r>
        <w:rPr>
          <w:rFonts w:ascii="IRNazanin" w:hAnsi="IRNazanin" w:eastAsia="IRNazanin" w:cs="IRNazanin"/>
          <w:lang w:bidi="fa-IR"/>
          <w:color w:val="111111"/>
          <w:sz w:val="28"/>
          <w:szCs w:val="28"/>
          <w:rtl/>
        </w:rPr>
        <w:t xml:space="preserve">بی کا، بی تا، خریداری از احمد اقبالیان [رایانه]</w:t>
      </w:r>
    </w:p>
    <w:p>
      <w:pPr>
        <w:pStyle w:val="BookText"/>
      </w:pPr>
      <w:r>
        <w:rPr>
          <w:rFonts w:ascii="IRNazanin" w:hAnsi="IRNazanin" w:eastAsia="IRNazanin" w:cs="IRNazanin"/>
          <w:lang w:bidi="fa-IR"/>
          <w:color w:val="111111"/>
          <w:sz w:val="28"/>
          <w:szCs w:val="28"/>
          <w:rtl/>
        </w:rPr>
        <w:t xml:space="preserve">۲۲۱. اصفهان: شهرداری اصفهان، شماره نسخه: ۱۸/۲</w:t>
      </w:r>
    </w:p>
    <w:p>
      <w:pPr>
        <w:pStyle w:val="BookText"/>
      </w:pPr>
      <w:r>
        <w:rPr>
          <w:rFonts w:ascii="IRNazanin" w:hAnsi="IRNazanin" w:eastAsia="IRNazanin" w:cs="IRNazanin"/>
          <w:lang w:bidi="fa-IR"/>
          <w:color w:val="111111"/>
          <w:sz w:val="28"/>
          <w:szCs w:val="28"/>
          <w:rtl/>
        </w:rPr>
        <w:t xml:space="preserve">بی کا، بیتا (نشریه: ۵-۳۱۰)</w:t>
      </w:r>
    </w:p>
    <w:p>
      <w:pPr>
        <w:pStyle w:val="BookText"/>
      </w:pPr>
      <w:r>
        <w:rPr>
          <w:rFonts w:ascii="IRNazanin" w:hAnsi="IRNazanin" w:eastAsia="IRNazanin" w:cs="IRNazanin"/>
          <w:lang w:bidi="fa-IR"/>
          <w:color w:val="111111"/>
          <w:sz w:val="28"/>
          <w:szCs w:val="28"/>
          <w:rtl/>
        </w:rPr>
        <w:t xml:space="preserve">۲۲۲. تهران؛ مجلس؛ شماره نسخه: ۶۳/۲</w:t>
      </w:r>
    </w:p>
    <w:p>
      <w:pPr>
        <w:pStyle w:val="BookText"/>
      </w:pPr>
      <w:r>
        <w:rPr>
          <w:rFonts w:ascii="IRNazanin" w:hAnsi="IRNazanin" w:eastAsia="IRNazanin" w:cs="IRNazanin"/>
          <w:lang w:bidi="fa-IR"/>
          <w:color w:val="111111"/>
          <w:sz w:val="28"/>
          <w:szCs w:val="28"/>
          <w:rtl/>
        </w:rPr>
        <w:t xml:space="preserve">سرود خط: نستعلیق، بی کا، بی تا، کاغذ: فرنگی شکری رنگ، قطع: وزیری[نشریه: ۱۳-۴۲۵]</w:t>
      </w:r>
    </w:p>
    <w:p>
      <w:pPr>
        <w:pStyle w:val="BookText"/>
      </w:pPr>
      <w:r>
        <w:rPr>
          <w:rFonts w:ascii="IRNazanin" w:hAnsi="IRNazanin" w:eastAsia="IRNazanin" w:cs="IRNazanin"/>
          <w:lang w:bidi="fa-IR"/>
          <w:color w:val="111111"/>
          <w:sz w:val="28"/>
          <w:szCs w:val="28"/>
          <w:rtl/>
        </w:rPr>
        <w:t xml:space="preserve">۲۲۳. تهران؛ مدرسه قنبر علی خان (حضرت ولی عصر)؛ شماره نسخه: ۳۸/۴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كان محمد کاظم بن ملا محمد حسین خویینی، بی تا؛ جلد: تیماج قهوه ای، عطف مشکی، ۱۴گ (91پ -۱۰۴پ) [ف: ۶۷]</w:t>
      </w:r>
    </w:p>
    <w:p>
      <w:pPr>
        <w:pStyle w:val="BookText"/>
      </w:pPr>
      <w:r>
        <w:rPr>
          <w:rFonts w:ascii="IRNazanin" w:hAnsi="IRNazanin" w:eastAsia="IRNazanin" w:cs="IRNazanin"/>
          <w:lang w:bidi="fa-IR"/>
          <w:color w:val="111111"/>
          <w:sz w:val="28"/>
          <w:szCs w:val="28"/>
          <w:rtl/>
        </w:rPr>
        <w:t xml:space="preserve">۲۲۴. تهران: نوربخش؛ شماره نسخه: ۲۵۷/۱</w:t>
      </w:r>
    </w:p>
    <w:p>
      <w:pPr>
        <w:pStyle w:val="BookText"/>
      </w:pPr>
      <w:r>
        <w:rPr>
          <w:rFonts w:ascii="IRNazanin" w:hAnsi="IRNazanin" w:eastAsia="IRNazanin" w:cs="IRNazanin"/>
          <w:lang w:bidi="fa-IR"/>
          <w:color w:val="111111"/>
          <w:sz w:val="28"/>
          <w:szCs w:val="28"/>
          <w:rtl/>
        </w:rPr>
        <w:t xml:space="preserve">آغاز: برابر، انجام آن را اسطرلاب مسمت خوانند. تا باب هفتم را دارد؛ خط: نستعلیق، بی کا، بی تا، افتادگی: انجام؛ کاغذ: اصفهانی، جلد: تیماج مشکی مقوایی، ۲۰ص (۲-۲۱)، ۱۴</w:t>
      </w:r>
    </w:p>
    <w:p>
      <w:pPr>
        <w:pStyle w:val="BookText"/>
      </w:pPr>
      <w:r>
        <w:rPr>
          <w:rFonts w:ascii="IRNazanin" w:hAnsi="IRNazanin" w:eastAsia="IRNazanin" w:cs="IRNazanin"/>
          <w:lang w:bidi="fa-IR"/>
          <w:color w:val="111111"/>
          <w:sz w:val="28"/>
          <w:szCs w:val="28"/>
          <w:rtl/>
        </w:rPr>
        <w:t xml:space="preserve">و ۱۶ سطر، اندازه: ۱۹۶۱۰سم [ف: ۲-۸]</w:t>
      </w:r>
    </w:p>
    <w:p>
      <w:pPr>
        <w:pStyle w:val="BookText"/>
      </w:pPr>
      <w:r>
        <w:rPr>
          <w:rFonts w:ascii="IRNazanin" w:hAnsi="IRNazanin" w:eastAsia="IRNazanin" w:cs="IRNazanin"/>
          <w:lang w:bidi="fa-IR"/>
          <w:color w:val="111111"/>
          <w:sz w:val="28"/>
          <w:szCs w:val="28"/>
          <w:rtl/>
        </w:rPr>
        <w:t xml:space="preserve">۲۲۵. مشهد؛ رضوی؛ شماره نسخه: ۸۶۷۰</w:t>
      </w:r>
    </w:p>
    <w:p>
      <w:pPr>
        <w:pStyle w:val="BookText"/>
      </w:pPr>
      <w:r>
        <w:rPr>
          <w:rFonts w:ascii="IRNazanin" w:hAnsi="IRNazanin" w:eastAsia="IRNazanin" w:cs="IRNazanin"/>
          <w:lang w:bidi="fa-IR"/>
          <w:color w:val="111111"/>
          <w:sz w:val="28"/>
          <w:szCs w:val="28"/>
          <w:rtl/>
        </w:rPr>
        <w:t xml:space="preserve">خط: نستعلیق، كا: غلام رضا، بی تا [الفبائی: ۹۴]</w:t>
      </w:r>
    </w:p>
    <w:p>
      <w:pPr>
        <w:pStyle w:val="BookText"/>
      </w:pPr>
      <w:r>
        <w:rPr>
          <w:rFonts w:ascii="IRNazanin" w:hAnsi="IRNazanin" w:eastAsia="IRNazanin" w:cs="IRNazanin"/>
          <w:lang w:bidi="fa-IR"/>
          <w:color w:val="111111"/>
          <w:sz w:val="28"/>
          <w:szCs w:val="28"/>
          <w:rtl/>
        </w:rPr>
        <w:t xml:space="preserve">۲۲۶. مشهد؛ رضوی؛ شماره نسخه: ض ۱۲۸۰۲</w:t>
      </w:r>
    </w:p>
    <w:p>
      <w:pPr>
        <w:pStyle w:val="BookText"/>
      </w:pPr>
      <w:r>
        <w:rPr>
          <w:rFonts w:ascii="IRNazanin" w:hAnsi="IRNazanin" w:eastAsia="IRNazanin" w:cs="IRNazanin"/>
          <w:lang w:bidi="fa-IR"/>
          <w:color w:val="111111"/>
          <w:sz w:val="28"/>
          <w:szCs w:val="28"/>
          <w:rtl/>
        </w:rPr>
        <w:t xml:space="preserve">بی کا، بی تا [الفبائی: ۹۴]</w:t>
      </w:r>
    </w:p>
    <w:p>
      <w:pPr>
        <w:pStyle w:val="BookText"/>
      </w:pPr>
      <w:r>
        <w:rPr>
          <w:rFonts w:ascii="IRNazanin" w:hAnsi="IRNazanin" w:eastAsia="IRNazanin" w:cs="IRNazanin"/>
          <w:lang w:bidi="fa-IR"/>
          <w:color w:val="111111"/>
          <w:sz w:val="28"/>
          <w:szCs w:val="28"/>
          <w:rtl/>
        </w:rPr>
        <w:t xml:space="preserve">۲۲۷. تهران: دانشگاه؛ شماره نسخه: ۵۸۶۴/۳</w:t>
      </w:r>
    </w:p>
    <w:p>
      <w:pPr>
        <w:pStyle w:val="BookText"/>
      </w:pPr>
      <w:r>
        <w:rPr>
          <w:rFonts w:ascii="IRNazanin" w:hAnsi="IRNazanin" w:eastAsia="IRNazanin" w:cs="IRNazanin"/>
          <w:lang w:bidi="fa-IR"/>
          <w:color w:val="111111"/>
          <w:sz w:val="28"/>
          <w:szCs w:val="28"/>
          <w:rtl/>
        </w:rPr>
        <w:t xml:space="preserve">خط: نستعلیق، بی کا، بی تا، کاغذ: فرنگی، جلد: تیماج آلبالویی ضربی لایی، ۱۲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قطع: بغلی،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۱۱۳-۱۶ ]</w:t>
      </w:r>
    </w:p>
    <w:p>
      <w:pPr>
        <w:pStyle w:val="BookText"/>
      </w:pPr>
      <w:r>
        <w:rPr>
          <w:rFonts w:ascii="IRNazanin" w:hAnsi="IRNazanin" w:eastAsia="IRNazanin" w:cs="IRNazanin"/>
          <w:lang w:bidi="fa-IR"/>
          <w:color w:val="111111"/>
          <w:sz w:val="28"/>
          <w:szCs w:val="28"/>
          <w:rtl/>
        </w:rPr>
        <w:t xml:space="preserve">۲۲۸. تهران، دانشگاه؛ شماره نسخه: ۶۲۲۱/۲</w:t>
      </w:r>
    </w:p>
    <w:p>
      <w:pPr>
        <w:pStyle w:val="BookText"/>
      </w:pPr>
      <w:r>
        <w:rPr>
          <w:rFonts w:ascii="IRNazanin" w:hAnsi="IRNazanin" w:eastAsia="IRNazanin" w:cs="IRNazanin"/>
          <w:lang w:bidi="fa-IR"/>
          <w:color w:val="111111"/>
          <w:sz w:val="28"/>
          <w:szCs w:val="28"/>
          <w:rtl/>
        </w:rPr>
        <w:t xml:space="preserve">خط: نستعلیق، بی کا، بی تا، کاغذ: سپاهانی، جلد: تیماج تریاکی مقوایی، ۱۸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قطع: ربعی،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سم [ف: ۲۲۱-۱۶ ]</w:t>
      </w:r>
    </w:p>
    <w:p>
      <w:pPr>
        <w:pStyle w:val="BookText"/>
      </w:pPr>
      <w:r>
        <w:rPr>
          <w:rFonts w:ascii="IRNazanin" w:hAnsi="IRNazanin" w:eastAsia="IRNazanin" w:cs="IRNazanin"/>
          <w:lang w:bidi="fa-IR"/>
          <w:color w:val="111111"/>
          <w:sz w:val="28"/>
          <w:szCs w:val="28"/>
          <w:rtl/>
        </w:rPr>
        <w:t xml:space="preserve">۲۲۹. تهران: دانشگاه؛ شماره نسخه: ۹۴۶۰/۱</w:t>
      </w:r>
    </w:p>
    <w:p>
      <w:pPr>
        <w:pStyle w:val="BookText"/>
      </w:pPr>
      <w:r>
        <w:rPr>
          <w:rFonts w:ascii="IRNazanin" w:hAnsi="IRNazanin" w:eastAsia="IRNazanin" w:cs="IRNazanin"/>
          <w:lang w:bidi="fa-IR"/>
          <w:color w:val="111111"/>
          <w:sz w:val="28"/>
          <w:szCs w:val="28"/>
          <w:rtl/>
        </w:rPr>
        <w:t xml:space="preserve">خط: نسخ، بی کا، بی تا؛ کاغذ: سپاهانی، جلد: تیماج تریاکی مقوایی، ۱۶گ (۱پ -۱۶ر)، ۲۱ سطر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قطع: ربعی،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۱۷-۳۷۴]</w:t>
      </w:r>
    </w:p>
    <w:p>
      <w:pPr>
        <w:pStyle w:val="BookText"/>
      </w:pPr>
      <w:r>
        <w:rPr>
          <w:rFonts w:ascii="IRNazanin" w:hAnsi="IRNazanin" w:eastAsia="IRNazanin" w:cs="IRNazanin"/>
          <w:lang w:bidi="fa-IR"/>
          <w:color w:val="111111"/>
          <w:sz w:val="28"/>
          <w:szCs w:val="28"/>
          <w:rtl/>
        </w:rPr>
        <w:t xml:space="preserve">۲۳۰. قم: مرکز مطالعات، شماره نسخه: ۸۸۳</w:t>
      </w:r>
    </w:p>
    <w:p>
      <w:pPr>
        <w:pStyle w:val="BookText"/>
      </w:pPr>
      <w:r>
        <w:rPr>
          <w:rFonts w:ascii="IRNazanin" w:hAnsi="IRNazanin" w:eastAsia="IRNazanin" w:cs="IRNazanin"/>
          <w:lang w:bidi="fa-IR"/>
          <w:color w:val="111111"/>
          <w:sz w:val="28"/>
          <w:szCs w:val="28"/>
          <w:rtl/>
        </w:rPr>
        <w:t xml:space="preserve">آغاز: و اگر مرکز کو کب تحت الارض بود قوسی را که میان او اوفق واقع شود انحطاط او گویند؛ انجام: و کواکب طاير آنچه داخل صورت است هفتده اند و آنچه خارجست دو و بعد از آن بر مجره چند کو کب در روشنی به یکدیگر نزدیک برمی آید بر صورت شتری خط: نسخ، بی کا، بی تا، افتادگی: آغاز و انجام؛ مصحح، محشی به امضای «منه مد ظله»؛ جلد: تیماج قهوه ای ضربی مجدول فاقد طبله دوم، ۹۷گ، ۱۷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۲-۱۴۵]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14" w:name="pg20363_209469"/>
    <w:bookmarkEnd w:id="214"/>
    <w:p>
      <w:pPr>
        <w:pStyle w:val="BookText"/>
      </w:pPr>
      <w:r>
        <w:rPr>
          <w:rFonts w:ascii="IRNazanin" w:hAnsi="IRNazanin" w:eastAsia="IRNazanin" w:cs="IRNazanin"/>
          <w:lang w:bidi="fa-IR"/>
          <w:color w:val="111111"/>
          <w:sz w:val="28"/>
          <w:szCs w:val="28"/>
          <w:rtl/>
        </w:rPr>
        <w:t xml:space="preserve">۲۳۱. تهران؛ مهدوی؛ شماره نسخه: ۴۶۲/۱</w:t>
      </w:r>
    </w:p>
    <w:p>
      <w:pPr>
        <w:pStyle w:val="BookText"/>
      </w:pPr>
      <w:r>
        <w:rPr>
          <w:rFonts w:ascii="IRNazanin" w:hAnsi="IRNazanin" w:eastAsia="IRNazanin" w:cs="IRNazanin"/>
          <w:lang w:bidi="fa-IR"/>
          <w:color w:val="111111"/>
          <w:sz w:val="28"/>
          <w:szCs w:val="28"/>
          <w:rtl/>
        </w:rPr>
        <w:t xml:space="preserve">خط: نستعلیق، کا:علی بن محمد بن محمد رضا، بی تا [نشریه: ۲-۱۱۸]</w:t>
      </w:r>
    </w:p>
    <w:p>
      <w:pPr>
        <w:pStyle w:val="BookText"/>
      </w:pPr>
      <w:r>
        <w:rPr>
          <w:rFonts w:ascii="IRNazanin" w:hAnsi="IRNazanin" w:eastAsia="IRNazanin" w:cs="IRNazanin"/>
          <w:lang w:bidi="fa-IR"/>
          <w:color w:val="111111"/>
          <w:sz w:val="28"/>
          <w:szCs w:val="28"/>
          <w:rtl/>
        </w:rPr>
        <w:t xml:space="preserve">۲۳۲. تهران: لغت نامه دهخدا، شماره نسخه: ۴۱/۳</w:t>
      </w:r>
    </w:p>
    <w:p>
      <w:pPr>
        <w:pStyle w:val="BookText"/>
      </w:pPr>
      <w:r>
        <w:rPr>
          <w:rFonts w:ascii="IRNazanin" w:hAnsi="IRNazanin" w:eastAsia="IRNazanin" w:cs="IRNazanin"/>
          <w:lang w:bidi="fa-IR"/>
          <w:color w:val="111111"/>
          <w:sz w:val="28"/>
          <w:szCs w:val="28"/>
          <w:rtl/>
        </w:rPr>
        <w:t xml:space="preserve">بی کا، بی تا [نشریه: ۳-۶]</w:t>
      </w:r>
    </w:p>
    <w:p>
      <w:pPr>
        <w:pStyle w:val="BookText"/>
      </w:pPr>
      <w:r>
        <w:rPr>
          <w:rFonts w:ascii="IRNazanin" w:hAnsi="IRNazanin" w:eastAsia="IRNazanin" w:cs="IRNazanin"/>
          <w:lang w:bidi="fa-IR"/>
          <w:color w:val="111111"/>
          <w:sz w:val="28"/>
          <w:szCs w:val="28"/>
          <w:rtl/>
        </w:rPr>
        <w:t xml:space="preserve">۲۳۳. مشهد؛ رضوی؛ شماره نسخه: ۱۱۹۸۱/۳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ابن ابوالمعالی علم الهدی حسنی حسینی انجویی، بیتا؛ ۲۴گ، ۱۷-۱۸ سطر، قطع: رقعی،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سم [ف: ۲۱۸-۱۰ ]</w:t>
      </w:r>
    </w:p>
    <w:p>
      <w:pPr>
        <w:pStyle w:val="BookText"/>
      </w:pPr>
      <w:r>
        <w:rPr>
          <w:rFonts w:ascii="IRNazanin" w:hAnsi="IRNazanin" w:eastAsia="IRNazanin" w:cs="IRNazanin"/>
          <w:lang w:bidi="fa-IR"/>
          <w:color w:val="111111"/>
          <w:sz w:val="28"/>
          <w:szCs w:val="28"/>
          <w:rtl/>
        </w:rPr>
        <w:t xml:space="preserve">۲۳۴. قم؛ معصومیه؛ شماره نسخه: ۶۵۹/۳</w:t>
      </w:r>
    </w:p>
    <w:p>
      <w:pPr>
        <w:pStyle w:val="BookText"/>
      </w:pPr>
      <w:r>
        <w:rPr>
          <w:rFonts w:ascii="IRNazanin" w:hAnsi="IRNazanin" w:eastAsia="IRNazanin" w:cs="IRNazanin"/>
          <w:lang w:bidi="fa-IR"/>
          <w:color w:val="111111"/>
          <w:sz w:val="28"/>
          <w:szCs w:val="28"/>
          <w:rtl/>
        </w:rPr>
        <w:t xml:space="preserve">خط: نسخ، كا: محمد تقی بن عبدالرحیم خان حسینی، بی تا، جلد: تیماج سوخت با نقش ترنج با سر، لچکی و نقش گل و بوته مذهب داخل آنها، ۳۲گ (۳۵ر - ۶۶پ)،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۲۹۵-۲ ]</w:t>
      </w:r>
    </w:p>
    <w:p>
      <w:pPr>
        <w:pStyle w:val="BookText"/>
      </w:pPr>
      <w:r>
        <w:rPr>
          <w:rFonts w:ascii="IRNazanin" w:hAnsi="IRNazanin" w:eastAsia="IRNazanin" w:cs="IRNazanin"/>
          <w:lang w:bidi="fa-IR"/>
          <w:color w:val="111111"/>
          <w:sz w:val="28"/>
          <w:szCs w:val="28"/>
          <w:rtl/>
        </w:rPr>
        <w:t xml:space="preserve">۲۳۵. مشهد؛ رضوی؛ شماره نسخه: ۱۱۵۰۷/۲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کاغذ: شکری فرنگی، جلد: میشنی خرمایی، ۱۴ سطر، اندازه: 20/3</w:t>
      </w:r>
      <w:r>
        <w:rPr>
          <w:rFonts w:ascii="Times New Roman" w:hAnsi="Times New Roman" w:eastAsia="Times New Roman" w:cs="Times New Roman"/>
          <w:lang w:val="en-US" w:bidi="en-US"/>
          <w:color w:val="111111"/>
          <w:sz w:val="28"/>
          <w:szCs w:val="28"/>
          <w:rtl/>
        </w:rPr>
        <w:t xml:space="preserve">×13/5</w:t>
      </w:r>
      <w:r>
        <w:rPr>
          <w:rFonts w:ascii="IRNazanin" w:hAnsi="IRNazanin" w:eastAsia="IRNazanin" w:cs="IRNazanin"/>
          <w:lang w:bidi="fa-IR"/>
          <w:color w:val="111111"/>
          <w:sz w:val="28"/>
          <w:szCs w:val="28"/>
          <w:rtl/>
        </w:rPr>
        <w:t xml:space="preserve">سم [ف: ۱۸- ۱۲۲]</w:t>
      </w:r>
    </w:p>
    <w:p>
      <w:pPr>
        <w:pStyle w:val="BookText"/>
      </w:pPr>
      <w:r>
        <w:rPr>
          <w:rFonts w:ascii="IRNazanin" w:hAnsi="IRNazanin" w:eastAsia="IRNazanin" w:cs="IRNazanin"/>
          <w:lang w:bidi="fa-IR"/>
          <w:color w:val="111111"/>
          <w:sz w:val="28"/>
          <w:szCs w:val="28"/>
          <w:rtl/>
        </w:rPr>
        <w:t xml:space="preserve">۲۳۶. قم؛ مسجد اعظم؛ شماره نسخه: ۳۷۷۲/۱۰</w:t>
      </w:r>
    </w:p>
    <w:p>
      <w:pPr>
        <w:pStyle w:val="BookText"/>
      </w:pPr>
      <w:r>
        <w:rPr>
          <w:rFonts w:ascii="IRNazanin" w:hAnsi="IRNazanin" w:eastAsia="IRNazanin" w:cs="IRNazanin"/>
          <w:lang w:bidi="fa-IR"/>
          <w:color w:val="111111"/>
          <w:sz w:val="28"/>
          <w:szCs w:val="28"/>
          <w:rtl/>
        </w:rPr>
        <w:t xml:space="preserve">آغاز: بسمله. حمداله ... این نسخه مشتمل است بر بیست باب، باب اول در القاب آلات و خطوط و دوایر اسطرلاب آنچه علامة دروی است حلقه بود؛ انجام: پس با این تعریفات بیست و یک کو کب وصف کرده ... و آن عين الثور است، عيوق، يد الجوز اليمني، رجل الجوز اليسرى شعر الصور اليمانيه، شعر الشامیه، الغميضا، رأس التوام المقدم، رأس التوام المؤخر، قلب الاسد، فرد، صرفه ... ردف، کف الخضیب</w:t>
      </w:r>
    </w:p>
    <w:p>
      <w:pPr>
        <w:pStyle w:val="BookText"/>
      </w:pPr>
      <w:r>
        <w:rPr>
          <w:rFonts w:ascii="IRNazanin" w:hAnsi="IRNazanin" w:eastAsia="IRNazanin" w:cs="IRNazanin"/>
          <w:lang w:bidi="fa-IR"/>
          <w:color w:val="111111"/>
          <w:sz w:val="28"/>
          <w:szCs w:val="28"/>
          <w:rtl/>
        </w:rPr>
        <w:t xml:space="preserve">خط: نستعلیق، بی کا، بی تا، جلد: مقوا، عطف تیماج قهوه ای، 7گ، ۲۰ سطر،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مخ: ۱-۲۹۴]</w:t>
      </w:r>
    </w:p>
    <w:p>
      <w:pPr>
        <w:pStyle w:val="BookText"/>
      </w:pPr>
      <w:r>
        <w:rPr>
          <w:rFonts w:ascii="IRNazanin" w:hAnsi="IRNazanin" w:eastAsia="IRNazanin" w:cs="IRNazanin"/>
          <w:lang w:bidi="fa-IR"/>
          <w:color w:val="111111"/>
          <w:sz w:val="28"/>
          <w:szCs w:val="28"/>
          <w:rtl/>
        </w:rPr>
        <w:t xml:space="preserve">۲۳۷. تهران؛ سپهسالار؛ شماره نسخه: ۲۹۲۵/۶</w:t>
      </w:r>
    </w:p>
    <w:p>
      <w:pPr>
        <w:pStyle w:val="BookText"/>
      </w:pPr>
      <w:r>
        <w:rPr>
          <w:rFonts w:ascii="IRNazanin" w:hAnsi="IRNazanin" w:eastAsia="IRNazanin" w:cs="IRNazanin"/>
          <w:lang w:bidi="fa-IR"/>
          <w:color w:val="111111"/>
          <w:sz w:val="28"/>
          <w:szCs w:val="28"/>
          <w:rtl/>
        </w:rPr>
        <w:t xml:space="preserve">بی کا، بی تا، کاغذ: سپاهانی نخودی، جلد: تیماج مشکی مقوایی، ۳۲ص (۸۵-۱۱۶)، ۲۰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[ف: ۳-۲۷۱]</w:t>
      </w:r>
    </w:p>
    <w:p>
      <w:pPr>
        <w:pStyle w:val="BookText"/>
      </w:pPr>
      <w:r>
        <w:rPr>
          <w:rFonts w:ascii="IRNazanin" w:hAnsi="IRNazanin" w:eastAsia="IRNazanin" w:cs="IRNazanin"/>
          <w:lang w:bidi="fa-IR"/>
          <w:color w:val="111111"/>
          <w:sz w:val="28"/>
          <w:szCs w:val="28"/>
          <w:rtl/>
        </w:rPr>
        <w:t xml:space="preserve">۲۳۸. تهران؛ سپهسالار؛ شماره نسخه: ۶۹۸/۲</w:t>
      </w:r>
    </w:p>
    <w:p>
      <w:pPr>
        <w:pStyle w:val="BookText"/>
      </w:pPr>
      <w:r>
        <w:rPr>
          <w:rFonts w:ascii="IRNazanin" w:hAnsi="IRNazanin" w:eastAsia="IRNazanin" w:cs="IRNazanin"/>
          <w:lang w:bidi="fa-IR"/>
          <w:color w:val="111111"/>
          <w:sz w:val="28"/>
          <w:szCs w:val="28"/>
          <w:rtl/>
        </w:rPr>
        <w:t xml:space="preserve">بی کا، بی تا؛ کاغذ: فرنگی سفید، جلد: تیماج، ۲۸گ (۳۱پ۔ ۵۸پ)، ۱۴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۳-۲۷۰)</w:t>
      </w:r>
    </w:p>
    <w:p>
      <w:pPr>
        <w:pStyle w:val="BookText"/>
      </w:pPr>
      <w:r>
        <w:rPr>
          <w:rFonts w:ascii="IRNazanin" w:hAnsi="IRNazanin" w:eastAsia="IRNazanin" w:cs="IRNazanin"/>
          <w:lang w:bidi="fa-IR"/>
          <w:color w:val="111111"/>
          <w:sz w:val="28"/>
          <w:szCs w:val="28"/>
          <w:rtl/>
        </w:rPr>
        <w:t xml:space="preserve">۲۳۹. قم: مرکز احیاء؛ شماره نسخه: ۶۵۹/۳</w:t>
      </w:r>
    </w:p>
    <w:p>
      <w:pPr>
        <w:pStyle w:val="BookText"/>
      </w:pPr>
      <w:r>
        <w:rPr>
          <w:rFonts w:ascii="IRNazanin" w:hAnsi="IRNazanin" w:eastAsia="IRNazanin" w:cs="IRNazanin"/>
          <w:lang w:bidi="fa-IR"/>
          <w:color w:val="111111"/>
          <w:sz w:val="28"/>
          <w:szCs w:val="28"/>
          <w:rtl/>
        </w:rPr>
        <w:t xml:space="preserve">خط: نسخ و نستعلیق، بی کا، بی تا، جلد: تیماج مشکی، ۲۴گ (۱۰۳پ -۱۲۶پ)،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۲-۳۲۲]</w:t>
      </w:r>
    </w:p>
    <w:p>
      <w:pPr>
        <w:pStyle w:val="BookText"/>
      </w:pPr>
      <w:r>
        <w:rPr>
          <w:rFonts w:ascii="Amiri" w:hAnsi="Amiri" w:eastAsia="Amiri" w:cs="Amiri"/>
          <w:lang w:bidi="ar-SA"/>
          <w:color w:val="111111"/>
          <w:sz w:val="28"/>
          <w:szCs w:val="28"/>
          <w:rtl/>
        </w:rPr>
        <w:t xml:space="preserve">۲۴۰. مشهد: الهيات؛ شماره نسخه: ۴۵۲/۴</w:t>
      </w:r>
    </w:p>
    <w:p>
      <w:pPr>
        <w:pStyle w:val="BookText"/>
      </w:pPr>
      <w:r>
        <w:rPr>
          <w:rFonts w:ascii="IRNazanin" w:hAnsi="IRNazanin" w:eastAsia="IRNazanin" w:cs="IRNazanin"/>
          <w:lang w:bidi="fa-IR"/>
          <w:color w:val="111111"/>
          <w:sz w:val="28"/>
          <w:szCs w:val="28"/>
          <w:rtl/>
        </w:rPr>
        <w:t xml:space="preserve">خط: نستعلیق، بی کا، بی تا؛ جلد: تیماج لایه ای مشکی، ۱۹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۱-۴۰۵]</w:t>
      </w:r>
    </w:p>
    <w:p>
      <w:pPr>
        <w:pStyle w:val="BookText"/>
      </w:pPr>
      <w:r>
        <w:rPr>
          <w:rFonts w:ascii="IRNazanin" w:hAnsi="IRNazanin" w:eastAsia="IRNazanin" w:cs="IRNazanin"/>
          <w:lang w:bidi="fa-IR"/>
          <w:color w:val="111111"/>
          <w:sz w:val="28"/>
          <w:szCs w:val="28"/>
          <w:rtl/>
        </w:rPr>
        <w:t xml:space="preserve">۲۴۱. تهران: مجلس، شماره نسخه: ۶۸۲۳/۳</w:t>
      </w:r>
    </w:p>
    <w:p>
      <w:pPr>
        <w:pStyle w:val="BookText"/>
      </w:pPr>
      <w:r>
        <w:rPr>
          <w:rFonts w:ascii="IRNazanin" w:hAnsi="IRNazanin" w:eastAsia="IRNazanin" w:cs="IRNazanin"/>
          <w:lang w:bidi="fa-IR"/>
          <w:color w:val="111111"/>
          <w:sz w:val="28"/>
          <w:szCs w:val="28"/>
          <w:rtl/>
        </w:rPr>
        <w:t xml:space="preserve">خط: نسخ نازیبا، كا: ابراهيم بن سلمان حسینی، بی تا؛ مصحح؛ جلد: تیماج عنابی ضربی ترنج و سرترنج دار، عطف تیماج قرمز، ۲۰گ (۷۴پ -۹۳پ)،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سم [ف: ۲۰-۲۸۶]</w:t>
      </w:r>
    </w:p>
    <w:p>
      <w:pPr>
        <w:pStyle w:val="BookText"/>
      </w:pPr>
      <w:r>
        <w:rPr>
          <w:rFonts w:ascii="IRNazanin" w:hAnsi="IRNazanin" w:eastAsia="IRNazanin" w:cs="IRNazanin"/>
          <w:lang w:bidi="fa-IR"/>
          <w:color w:val="111111"/>
          <w:sz w:val="28"/>
          <w:szCs w:val="28"/>
          <w:rtl/>
        </w:rPr>
        <w:t xml:space="preserve">۲۴۲. تهران؛ مجلس؛ شماره نسخه: ۶۷۵۰/۵</w:t>
      </w:r>
    </w:p>
    <w:p>
      <w:pPr>
        <w:pStyle w:val="BookText"/>
      </w:pPr>
      <w:r>
        <w:rPr>
          <w:rFonts w:ascii="IRNazanin" w:hAnsi="IRNazanin" w:eastAsia="IRNazanin" w:cs="IRNazanin"/>
          <w:lang w:bidi="fa-IR"/>
          <w:color w:val="111111"/>
          <w:sz w:val="28"/>
          <w:szCs w:val="28"/>
          <w:rtl/>
        </w:rPr>
        <w:t xml:space="preserve">خط: نستعلیق، بی کا، بی تا؛ جلد: مقوایی، عطف و گوشه ها تیماج قهوه ای، ۱۲گ(۱۸۱-۱۹۲ر)،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۲۰-۲۳۶]</w:t>
      </w:r>
    </w:p>
    <w:p>
      <w:pPr>
        <w:pStyle w:val="BookText"/>
      </w:pPr>
      <w:r>
        <w:rPr>
          <w:rFonts w:ascii="IRNazanin" w:hAnsi="IRNazanin" w:eastAsia="IRNazanin" w:cs="IRNazanin"/>
          <w:lang w:bidi="fa-IR"/>
          <w:color w:val="111111"/>
          <w:sz w:val="28"/>
          <w:szCs w:val="28"/>
          <w:rtl/>
        </w:rPr>
        <w:t xml:space="preserve">۲۴۳. تهران؛ مجلس؛ شماره نسخه: ۶۵۹۰/۴</w:t>
      </w:r>
    </w:p>
    <w:p>
      <w:pPr>
        <w:pStyle w:val="BookText"/>
      </w:pPr>
      <w:r>
        <w:rPr>
          <w:rFonts w:ascii="IRNazanin" w:hAnsi="IRNazanin" w:eastAsia="IRNazanin" w:cs="IRNazanin"/>
          <w:lang w:bidi="fa-IR"/>
          <w:color w:val="111111"/>
          <w:sz w:val="28"/>
          <w:szCs w:val="28"/>
          <w:rtl/>
        </w:rPr>
        <w:t xml:space="preserve">انجام: و اسطرلاب می گردانند چنانکه پهلوی اسطرلاب به آفتاب بود تا سایه. خط: نستعلیق، بی کا، بی تا؛ افتادگی: انجام؛ دارای اشکال هندسی؛ جلد: تیماج مشکی، ۱۰گی (۷۱-۸۰پ)، ۱۵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۲۰-۱۴۱]</w:t>
      </w:r>
    </w:p>
    <w:p>
      <w:pPr>
        <w:pStyle w:val="BookText"/>
      </w:pPr>
      <w:r>
        <w:rPr>
          <w:rFonts w:ascii="IRNazanin" w:hAnsi="IRNazanin" w:eastAsia="IRNazanin" w:cs="IRNazanin"/>
          <w:lang w:bidi="fa-IR"/>
          <w:color w:val="111111"/>
          <w:sz w:val="28"/>
          <w:szCs w:val="28"/>
          <w:rtl/>
        </w:rPr>
        <w:t xml:space="preserve">۲۴۴. خوی؛ نمازی؛ شماره نسخه: ۸۶۴/۱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زیبا، بی کا، بی تا؛ جلد: تیماج قهوه ای، ۲۲گ (آپ ۲۲)، ۱۹ سطر، اندازه:</w:t>
      </w:r>
    </w:p>
    <w:p>
      <w:pPr>
        <w:pStyle w:val="BookText"/>
      </w:pPr>
      <w:r>
        <w:rPr>
          <w:rFonts w:ascii="IRNazanin" w:hAnsi="IRNazanin" w:eastAsia="IRNazanin" w:cs="IRNazanin"/>
          <w:lang w:bidi="fa-IR"/>
          <w:color w:val="111111"/>
          <w:sz w:val="28"/>
          <w:szCs w:val="28"/>
          <w:rtl/>
        </w:rPr>
        <w:t xml:space="preserve">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۱۷/۵ سم (میراث اسلامی: دفتر دهم - ۷۵۹]</w:t>
      </w:r>
    </w:p>
    <w:p>
      <w:pPr>
        <w:pStyle w:val="BookText"/>
      </w:pPr>
      <w:r>
        <w:rPr>
          <w:rFonts w:ascii="IRNazanin" w:hAnsi="IRNazanin" w:eastAsia="IRNazanin" w:cs="IRNazanin"/>
          <w:lang w:bidi="fa-IR"/>
          <w:color w:val="111111"/>
          <w:sz w:val="28"/>
          <w:szCs w:val="28"/>
          <w:rtl/>
        </w:rPr>
        <w:t xml:space="preserve">۲۴۵. قم؛ استادی، رضا، شماره نسخه: ۹۱۵۶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جلی، بی کا، بی تا؛ کاغذ: نخودی، جلد: شومیز، ۱۲ سطر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قطع: وزیری،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۱۵/۲ سم [رایانه]</w:t>
      </w:r>
    </w:p>
    <w:p>
      <w:pPr>
        <w:pStyle w:val="BookText"/>
      </w:pPr>
      <w:r>
        <w:rPr>
          <w:rFonts w:ascii="IRNazanin" w:hAnsi="IRNazanin" w:eastAsia="IRNazanin" w:cs="IRNazanin"/>
          <w:lang w:bidi="fa-IR"/>
          <w:color w:val="111111"/>
          <w:sz w:val="28"/>
          <w:szCs w:val="28"/>
          <w:rtl/>
        </w:rPr>
        <w:t xml:space="preserve">۲۴۶. مشهد؛ رضوی؛ شماره نسخه: ۲۴۸۲۷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خفی، بی کا، بی تا؛ مجدول؛ ضمیمه نسخه ش ۲۴۸۲۶؛ کاغذ: حنایی، جلد: مقوا با عطف و گوشه تیماج، ۱۳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قطع: رقعی،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[رایانه]</w:t>
      </w:r>
    </w:p>
    <w:p>
      <w:pPr>
        <w:pStyle w:val="Heading3"/>
      </w:pPr>
      <w:bookmarkStart w:id="1392" w:name="_Toc652"/>
      <w:r>
        <w:t>•بیست باب منظوم / شعر، اسطرلاب / فارسی</w:t>
      </w:r>
      <w:bookmarkEnd w:id="1392"/>
    </w:p>
    <w:p>
      <w:pPr>
        <w:pStyle w:val="BookText"/>
      </w:pPr>
      <w:r>
        <w:rPr>
          <w:rFonts w:ascii="Times New Roman" w:hAnsi="Times New Roman" w:eastAsia="Times New Roman" w:cs="Times New Roman"/>
          <w:lang w:val="en-US" w:bidi="en-US"/>
          <w:color w:val="111111"/>
          <w:sz w:val="28"/>
          <w:szCs w:val="28"/>
          <w:rtl/>
        </w:rPr>
        <w:t xml:space="preserve">bīst bāb-e manzūm</w:t>
      </w:r>
    </w:p>
    <w:p>
      <w:pPr>
        <w:pStyle w:val="BookText"/>
      </w:pPr>
      <w:r>
        <w:rPr>
          <w:rFonts w:ascii="IRNazanin" w:hAnsi="IRNazanin" w:eastAsia="IRNazanin" w:cs="IRNazanin"/>
          <w:lang w:bidi="fa-IR"/>
          <w:color w:val="111111"/>
          <w:sz w:val="28"/>
          <w:szCs w:val="28"/>
          <w:rtl/>
        </w:rPr>
        <w:t xml:space="preserve">وابسته به: بیست باب در معرفت اسطرلاب؛ نصیرالدین طوسی، محمد بن محمد (۵۹۷-۶۷۲ق) تاریخ تأليف: ۱۱۰۴ق؛ محل تأليف: اصفهان مؤلف بیست باب اسطرلاب خواجه نصیر طوسی به نظم در آورده است. سراینده پس از نخستین ابیات خطبه و دیباچه چنین گوید: «بعد حمد خدا و نعت رسول *** میشود عرض نزد اهل قبول / کز برای معونت طلاب</w:t>
      </w:r>
      <w:r>
        <w:rPr>
          <w:rFonts w:ascii="IRNazanin" w:hAnsi="IRNazanin" w:eastAsia="IRNazanin" w:cs="IRNazanin"/>
          <w:lang w:bidi="fa-IR"/>
          <w:color w:val="111111"/>
          <w:sz w:val="28"/>
          <w:szCs w:val="28"/>
          <w:b w:val="1"/>
          <w:bCs w:val="1"/>
          <w:i w:val="1"/>
          <w:iCs w:val="1"/>
          <w:rtl/>
        </w:rPr>
        <w:t xml:space="preserve">نظم کردم به فن اسطرلاب / بیست باب محقق طوسی</w:t>
      </w:r>
      <w:r>
        <w:rPr>
          <w:rFonts w:ascii="IRNazanin" w:hAnsi="IRNazanin" w:eastAsia="IRNazanin" w:cs="IRNazanin"/>
          <w:lang w:bidi="fa-IR"/>
          <w:color w:val="111111"/>
          <w:sz w:val="28"/>
          <w:szCs w:val="28"/>
          <w:rtl/>
        </w:rPr>
        <w:t xml:space="preserve">خواجه فيلسوف قدوسی / ... در صفاهان مقام اهل کمال</w:t>
      </w:r>
      <w:r>
        <w:rPr>
          <w:rFonts w:ascii="IRNazanin" w:hAnsi="IRNazanin" w:eastAsia="IRNazanin" w:cs="IRNazanin"/>
          <w:lang w:bidi="fa-IR"/>
          <w:color w:val="111111"/>
          <w:sz w:val="28"/>
          <w:szCs w:val="28"/>
          <w:b w:val="1"/>
          <w:bCs w:val="1"/>
          <w:i w:val="1"/>
          <w:iCs w:val="1"/>
          <w:rtl/>
        </w:rPr>
        <w:t xml:space="preserve">بهزار و چهار صد از سال / نظمش آمد ز اتفاق صواب </w:t>
      </w:r>
      <w:r>
        <w:rPr>
          <w:rFonts w:ascii="Times New Roman" w:hAnsi="Times New Roman" w:eastAsia="Times New Roman" w:cs="Times New Roman"/>
          <w:lang w:val="en-US" w:bidi="en-US"/>
          <w:color w:val="111111"/>
          <w:sz w:val="28"/>
          <w:szCs w:val="28"/>
          <w:b w:val="1"/>
          <w:bCs w:val="1"/>
          <w:i w:val="1"/>
          <w:iCs w:val="1"/>
          <w:rtl/>
        </w:rPr>
        <w:t xml:space="preserve">×× </w:t>
      </w:r>
      <w:r>
        <w:rPr>
          <w:rFonts w:ascii="IRNazanin" w:hAnsi="IRNazanin" w:eastAsia="IRNazanin" w:cs="IRNazanin"/>
          <w:lang w:bidi="fa-IR"/>
          <w:color w:val="111111"/>
          <w:sz w:val="28"/>
          <w:szCs w:val="28"/>
          <w:b w:val="1"/>
          <w:bCs w:val="1"/>
          <w:i w:val="1"/>
          <w:iCs w:val="1"/>
          <w:rtl/>
        </w:rPr>
        <w:t xml:space="preserve">بعدد (بیست باب اسطرلاب)/ حفظش آسان بر آن پسنديده</w:t>
      </w:r>
      <w:r>
        <w:rPr>
          <w:rFonts w:ascii="IRNazanin" w:hAnsi="IRNazanin" w:eastAsia="IRNazanin" w:cs="IRNazanin"/>
          <w:lang w:bidi="fa-IR"/>
          <w:color w:val="111111"/>
          <w:sz w:val="28"/>
          <w:szCs w:val="28"/>
          <w:rtl/>
        </w:rPr>
        <w:t xml:space="preserve">که ببندد ز عیب آن دیده.» (عبدالحسین حائری) آغاز: بسم الله الرحمان الرحيم</w:t>
      </w:r>
      <w:r>
        <w:rPr>
          <w:rFonts w:ascii="IRNazanin" w:hAnsi="IRNazanin" w:eastAsia="IRNazanin" w:cs="IRNazanin"/>
          <w:lang w:bidi="fa-IR"/>
          <w:color w:val="111111"/>
          <w:sz w:val="28"/>
          <w:szCs w:val="28"/>
          <w:b w:val="1"/>
          <w:bCs w:val="1"/>
          <w:i w:val="1"/>
          <w:iCs w:val="1"/>
          <w:rtl/>
        </w:rPr>
        <w:t xml:space="preserve">عروه و ثقای کتاب کریم / حمد مرصانع توانا را</w:t>
      </w:r>
      <w:r>
        <w:rPr>
          <w:rFonts w:ascii="IRNazanin" w:hAnsi="IRNazanin" w:eastAsia="IRNazanin" w:cs="IRNazanin"/>
          <w:lang w:bidi="fa-IR"/>
          <w:color w:val="111111"/>
          <w:sz w:val="28"/>
          <w:szCs w:val="28"/>
          <w:rtl/>
        </w:rPr>
        <w:t xml:space="preserve">مهر و ماه آفرین دانا را ... رفع سمكها فسواها</w:t>
      </w:r>
      <w:r>
        <w:rPr>
          <w:rFonts w:ascii="IRNazanin" w:hAnsi="IRNazanin" w:eastAsia="IRNazanin" w:cs="IRNazanin"/>
          <w:lang w:bidi="fa-IR"/>
          <w:color w:val="111111"/>
          <w:sz w:val="28"/>
          <w:szCs w:val="28"/>
          <w:b w:val="1"/>
          <w:bCs w:val="1"/>
          <w:i w:val="1"/>
          <w:iCs w:val="1"/>
          <w:rtl/>
        </w:rPr>
        <w:t xml:space="preserve">اخرج ماءها و مرعاها / تا کند حسن بی مثال ظهور</w:t>
      </w:r>
      <w:r>
        <w:rPr>
          <w:rFonts w:ascii="IRNazanin" w:hAnsi="IRNazanin" w:eastAsia="IRNazanin" w:cs="IRNazanin"/>
          <w:lang w:bidi="fa-IR"/>
          <w:color w:val="111111"/>
          <w:sz w:val="28"/>
          <w:szCs w:val="28"/>
          <w:rtl/>
        </w:rPr>
        <w:t xml:space="preserve">ساخت آینه دل پر نور / ساخت در سینه دل چو اسطرلاب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15" w:name="pg20363_209470"/>
    <w:bookmarkEnd w:id="215"/>
    <w:p>
      <w:pPr>
        <w:pStyle w:val="BookText"/>
      </w:pPr>
      <w:r>
        <w:rPr>
          <w:rFonts w:ascii="IRNazanin" w:hAnsi="IRNazanin" w:eastAsia="IRNazanin" w:cs="IRNazanin"/>
          <w:lang w:bidi="fa-IR"/>
          <w:color w:val="111111"/>
          <w:sz w:val="28"/>
          <w:szCs w:val="28"/>
          <w:rtl/>
        </w:rPr>
        <w:t xml:space="preserve">*** تا شود صاحبش دقایق یاب</w:t>
      </w:r>
    </w:p>
    <w:p>
      <w:pPr>
        <w:pStyle w:val="BookText"/>
      </w:pPr>
      <w:r>
        <w:rPr>
          <w:rFonts w:ascii="IRNazanin" w:hAnsi="IRNazanin" w:eastAsia="IRNazanin" w:cs="IRNazanin"/>
          <w:lang w:bidi="fa-IR"/>
          <w:color w:val="111111"/>
          <w:sz w:val="28"/>
          <w:szCs w:val="28"/>
          <w:rtl/>
        </w:rPr>
        <w:t xml:space="preserve">انجام: این کواکب همین کنند اثبات</w:t>
      </w:r>
      <w:r>
        <w:rPr>
          <w:rFonts w:ascii="IRNazanin" w:hAnsi="IRNazanin" w:eastAsia="IRNazanin" w:cs="IRNazanin"/>
          <w:lang w:bidi="fa-IR"/>
          <w:color w:val="111111"/>
          <w:sz w:val="28"/>
          <w:szCs w:val="28"/>
          <w:b w:val="1"/>
          <w:bCs w:val="1"/>
          <w:i w:val="1"/>
          <w:iCs w:val="1"/>
          <w:rtl/>
        </w:rPr>
        <w:t xml:space="preserve">خاصه در اکثر سطرلابات / هر که اینرا شناخت از تحقیق</w:t>
      </w:r>
      <w:r>
        <w:rPr>
          <w:rFonts w:ascii="IRNazanin" w:hAnsi="IRNazanin" w:eastAsia="IRNazanin" w:cs="IRNazanin"/>
          <w:lang w:bidi="fa-IR"/>
          <w:color w:val="111111"/>
          <w:sz w:val="28"/>
          <w:szCs w:val="28"/>
          <w:rtl/>
        </w:rPr>
        <w:t xml:space="preserve">هست کافی و بالله التوفيق</w:t>
      </w:r>
    </w:p>
    <w:p>
      <w:pPr>
        <w:pStyle w:val="BookText"/>
      </w:pPr>
      <w:r>
        <w:rPr>
          <w:rFonts w:ascii="IRNazanin" w:hAnsi="IRNazanin" w:eastAsia="IRNazanin" w:cs="IRNazanin"/>
          <w:lang w:bidi="fa-IR"/>
          <w:color w:val="111111"/>
          <w:sz w:val="28"/>
          <w:szCs w:val="28"/>
          <w:rtl/>
        </w:rPr>
        <w:t xml:space="preserve">همانند:</w:t>
      </w:r>
    </w:p>
    <w:p>
      <w:pPr>
        <w:pStyle w:val="BookText"/>
      </w:pPr>
      <w:r>
        <w:rPr>
          <w:rFonts w:ascii="IRNazanin" w:hAnsi="IRNazanin" w:eastAsia="IRNazanin" w:cs="IRNazanin"/>
          <w:lang w:bidi="fa-IR"/>
          <w:color w:val="111111"/>
          <w:sz w:val="28"/>
          <w:szCs w:val="28"/>
          <w:rtl/>
        </w:rPr>
        <w:t xml:space="preserve">۱. تهران: مجلس؛ شماره نسخه: ۷۶۶/۱۱ - طباطبائی</w:t>
      </w:r>
    </w:p>
    <w:p>
      <w:pPr>
        <w:pStyle w:val="BookText"/>
      </w:pPr>
      <w:r>
        <w:rPr>
          <w:rFonts w:ascii="IRNazanin" w:hAnsi="IRNazanin" w:eastAsia="IRNazanin" w:cs="IRNazanin"/>
          <w:lang w:bidi="fa-IR"/>
          <w:color w:val="111111"/>
          <w:sz w:val="28"/>
          <w:szCs w:val="28"/>
          <w:rtl/>
        </w:rPr>
        <w:t xml:space="preserve">انجام: برابر</w:t>
      </w:r>
    </w:p>
    <w:p>
      <w:pPr>
        <w:pStyle w:val="BookText"/>
      </w:pPr>
      <w:r>
        <w:rPr>
          <w:rFonts w:ascii="IRNazanin" w:hAnsi="IRNazanin" w:eastAsia="IRNazanin" w:cs="IRNazanin"/>
          <w:lang w:bidi="fa-IR"/>
          <w:color w:val="111111"/>
          <w:sz w:val="28"/>
          <w:szCs w:val="28"/>
          <w:rtl/>
        </w:rPr>
        <w:t xml:space="preserve">بی کا، تا: قرن ۱۲؛ کاغذ: اصفهانی نخودی رنگ، جلد: تیماج نیلی دارای ترنج و نیم ترنج ضربی، ۱۱۹ص (۸۵-۲۰۳- حاشیه)، ۱۵ و ۲۸ سطر، قطع: رقعی،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w:t>
      </w:r>
    </w:p>
    <w:p>
      <w:pPr>
        <w:pStyle w:val="BookText"/>
      </w:pPr>
      <w:r>
        <w:rPr>
          <w:rFonts w:ascii="IRNazanin" w:hAnsi="IRNazanin" w:eastAsia="IRNazanin" w:cs="IRNazanin"/>
          <w:lang w:bidi="fa-IR"/>
          <w:color w:val="111111"/>
          <w:sz w:val="28"/>
          <w:szCs w:val="28"/>
          <w:rtl/>
        </w:rPr>
        <w:t xml:space="preserve">[ف: ۲۳-۵۴]</w:t>
      </w:r>
    </w:p>
    <w:p>
      <w:pPr>
        <w:pStyle w:val="BookText"/>
      </w:pPr>
      <w:r>
        <w:rPr>
          <w:rFonts w:ascii="IRNazanin" w:hAnsi="IRNazanin" w:eastAsia="IRNazanin" w:cs="IRNazanin"/>
          <w:lang w:bidi="fa-IR"/>
          <w:color w:val="111111"/>
          <w:sz w:val="28"/>
          <w:szCs w:val="28"/>
          <w:rtl/>
        </w:rPr>
        <w:t xml:space="preserve">۲. تهران؛ مجلس؛ شماره نسخه: ۳۷۶۱/۲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بن حاج طالب طاهر آبادی، تا: ۱۱۸۲ق؛ کاغذ: اصفهانی، جلد: تیماج زرد یک لا، ۴۵ص (۷۷-۱۲۱)، ۱۷ سطر، قطع: رقعی،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۹سم [ف: ۱۰-۱۷۴۳]</w:t>
      </w:r>
    </w:p>
    <w:p>
      <w:pPr>
        <w:pStyle w:val="BookText"/>
      </w:pPr>
      <w:r>
        <w:rPr>
          <w:rFonts w:ascii="IRNazanin" w:hAnsi="IRNazanin" w:eastAsia="IRNazanin" w:cs="IRNazanin"/>
          <w:lang w:bidi="fa-IR"/>
          <w:color w:val="111111"/>
          <w:sz w:val="28"/>
          <w:szCs w:val="28"/>
          <w:rtl/>
        </w:rPr>
        <w:t xml:space="preserve">← بیست فصل ← معرفت تقویم</w:t>
      </w:r>
    </w:p>
    <w:p>
      <w:pPr>
        <w:pStyle w:val="BookText"/>
      </w:pPr>
      <w:r>
        <w:rPr>
          <w:rFonts w:ascii="IRNazanin" w:hAnsi="IRNazanin" w:eastAsia="IRNazanin" w:cs="IRNazanin"/>
          <w:lang w:bidi="fa-IR"/>
          <w:color w:val="111111"/>
          <w:sz w:val="28"/>
          <w:szCs w:val="28"/>
          <w:rtl/>
        </w:rPr>
        <w:t xml:space="preserve">← بیست فصل ← دین کابچاو</w:t>
      </w:r>
    </w:p>
    <w:p>
      <w:pPr>
        <w:pStyle w:val="Heading3"/>
      </w:pPr>
      <w:bookmarkStart w:id="1393" w:name="_Toc653"/>
      <w:r>
        <w:t>• بیست فصل / هیئت / فارسی</w:t>
      </w:r>
      <w:bookmarkEnd w:id="1393"/>
    </w:p>
    <w:p>
      <w:pPr>
        <w:pStyle w:val="BookText"/>
      </w:pPr>
      <w:r>
        <w:rPr>
          <w:rFonts w:ascii="Times New Roman" w:hAnsi="Times New Roman" w:eastAsia="Times New Roman" w:cs="Times New Roman"/>
          <w:lang w:val="en-US" w:bidi="en-US"/>
          <w:color w:val="111111"/>
          <w:sz w:val="28"/>
          <w:szCs w:val="28"/>
          <w:rtl/>
        </w:rPr>
        <w:t xml:space="preserve">bīst fasl</w:t>
      </w:r>
    </w:p>
    <w:p>
      <w:pPr>
        <w:pStyle w:val="BookText"/>
      </w:pPr>
      <w:r>
        <w:rPr>
          <w:rFonts w:ascii="IRNazanin" w:hAnsi="IRNazanin" w:eastAsia="IRNazanin" w:cs="IRNazanin"/>
          <w:lang w:bidi="fa-IR"/>
          <w:color w:val="111111"/>
          <w:sz w:val="28"/>
          <w:szCs w:val="28"/>
          <w:rtl/>
        </w:rPr>
        <w:t xml:space="preserve">تهران؛ دانشگاه؛ شماره نسخه: ۳۰۸۶/۲</w:t>
      </w:r>
    </w:p>
    <w:p>
      <w:pPr>
        <w:pStyle w:val="BookText"/>
      </w:pPr>
      <w:r>
        <w:rPr>
          <w:rFonts w:ascii="IRNazanin" w:hAnsi="IRNazanin" w:eastAsia="IRNazanin" w:cs="IRNazanin"/>
          <w:lang w:bidi="fa-IR"/>
          <w:color w:val="111111"/>
          <w:sz w:val="28"/>
          <w:szCs w:val="28"/>
          <w:rtl/>
        </w:rPr>
        <w:t xml:space="preserve">آغاز: مانند سی فصل طوسی؛ انجام: وحكم همه خانه ها در سعادت ونحوست موافق آنست که ذکر شد و الله اعلم بالصواب. خط: نسخ، بی کا، بی تا، کاغذ: فرنگی، جلد: تیماج حنایی مقوایی عطف سرخ، ۱۰گ (۳۶-۴۵)، ۲۱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۱۱-۲۰۳۲]</w:t>
      </w:r>
    </w:p>
    <w:p>
      <w:pPr>
        <w:pStyle w:val="Heading3"/>
      </w:pPr>
      <w:bookmarkStart w:id="1394" w:name="_Toc654"/>
      <w:r>
        <w:t>• بیست کلمه / حكومت و سیاست / فارسی</w:t>
      </w:r>
      <w:bookmarkEnd w:id="1394"/>
    </w:p>
    <w:p>
      <w:pPr>
        <w:pStyle w:val="BookText"/>
      </w:pPr>
      <w:r>
        <w:rPr>
          <w:rFonts w:ascii="Times New Roman" w:hAnsi="Times New Roman" w:eastAsia="Times New Roman" w:cs="Times New Roman"/>
          <w:lang w:val="en-US" w:bidi="en-US"/>
          <w:color w:val="111111"/>
          <w:sz w:val="28"/>
          <w:szCs w:val="28"/>
          <w:rtl/>
        </w:rPr>
        <w:t xml:space="preserve">bīst kalame</w:t>
      </w:r>
    </w:p>
    <w:p>
      <w:pPr>
        <w:pStyle w:val="BookText"/>
      </w:pPr>
      <w:r>
        <w:rPr>
          <w:rFonts w:ascii="IRNazanin" w:hAnsi="IRNazanin" w:eastAsia="IRNazanin" w:cs="IRNazanin"/>
          <w:lang w:bidi="fa-IR"/>
          <w:color w:val="111111"/>
          <w:sz w:val="28"/>
          <w:szCs w:val="28"/>
          <w:rtl/>
        </w:rPr>
        <w:t xml:space="preserve">رساله مختصری است «مبنی بر بیست کلمه که سلاطین عدالت آئین را از مطالعه آن فوائد کلی است و در خاتمه مواعظ خواجه عبدالله انصاری به نظام الملک آمده است.</w:t>
      </w:r>
    </w:p>
    <w:p>
      <w:pPr>
        <w:pStyle w:val="BookText"/>
      </w:pPr>
      <w:r>
        <w:rPr>
          <w:rFonts w:ascii="IRNazanin" w:hAnsi="IRNazanin" w:eastAsia="IRNazanin" w:cs="IRNazanin"/>
          <w:lang w:bidi="fa-IR"/>
          <w:color w:val="111111"/>
          <w:sz w:val="28"/>
          <w:szCs w:val="28"/>
          <w:rtl/>
        </w:rPr>
        <w:t xml:space="preserve">تهران؛ مجلس؛ شماره نسخه: ۲/۱۵۹۸۰</w:t>
      </w:r>
    </w:p>
    <w:p>
      <w:pPr>
        <w:pStyle w:val="BookText"/>
      </w:pPr>
      <w:r>
        <w:rPr>
          <w:rFonts w:ascii="IRNazanin" w:hAnsi="IRNazanin" w:eastAsia="IRNazanin" w:cs="IRNazanin"/>
          <w:lang w:bidi="fa-IR"/>
          <w:color w:val="111111"/>
          <w:sz w:val="28"/>
          <w:szCs w:val="28"/>
          <w:rtl/>
        </w:rPr>
        <w:t xml:space="preserve">آغاز: بسمله. حضرت حکیمی را حمد و رواست که نفوس ناطقه را بزیور عقل آراست و از آن بعد بندگی خواست و تحیات لايعد و لا يحصى بر خلاصه موجودات که ایجاد عالم طفيل ذات فایض البرکات و آل اطهار اوست صلوات الله علیه و علیهم اجمعین. اما بعد بدانکه این مختصر محتويست بر ... کلمه اول آنکه هر که را از چاکران خود انجام: پانزدهم معاهدت بی مناقضت شانزدهم مراودت بغیر کلفت.</w:t>
      </w:r>
    </w:p>
    <w:p>
      <w:pPr>
        <w:pStyle w:val="BookText"/>
      </w:pPr>
      <w:r>
        <w:rPr>
          <w:rFonts w:ascii="IRNazanin" w:hAnsi="IRNazanin" w:eastAsia="IRNazanin" w:cs="IRNazanin"/>
          <w:lang w:bidi="fa-IR"/>
          <w:color w:val="111111"/>
          <w:sz w:val="28"/>
          <w:szCs w:val="28"/>
          <w:rtl/>
        </w:rPr>
        <w:t xml:space="preserve">خط: نستعلیق خوش، كا: سيد بهاء الدین حسین ولد مقرب الخاقان آقا میرزا سید رضی مستوفی، تا: ۲۷ ربیع الثانی ۱۳۱۲ق، جا: قريه جهره از توابع بلوک خنج از محال فارس؛ رکابه دار؛ جلد: تیماج سرخ، ۸گ (۱۳پ -۲۰ر)، ۱۱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۴۴-۱۶۹]</w:t>
      </w:r>
    </w:p>
    <w:p>
      <w:pPr>
        <w:pStyle w:val="Heading3"/>
      </w:pPr>
      <w:bookmarkStart w:id="1395" w:name="_Toc655"/>
      <w:r>
        <w:t>•بیست نامه و سند / اسناد / فارسی</w:t>
      </w:r>
      <w:bookmarkEnd w:id="1395"/>
    </w:p>
    <w:p>
      <w:pPr>
        <w:pStyle w:val="BookText"/>
      </w:pPr>
      <w:r>
        <w:rPr>
          <w:rFonts w:ascii="Times New Roman" w:hAnsi="Times New Roman" w:eastAsia="Times New Roman" w:cs="Times New Roman"/>
          <w:lang w:val="en-US" w:bidi="en-US"/>
          <w:color w:val="111111"/>
          <w:sz w:val="28"/>
          <w:szCs w:val="28"/>
          <w:rtl/>
        </w:rPr>
        <w:t xml:space="preserve">bīst nāme va sanad</w:t>
      </w:r>
    </w:p>
    <w:p>
      <w:pPr>
        <w:pStyle w:val="BookText"/>
      </w:pPr>
      <w:r>
        <w:rPr>
          <w:rFonts w:ascii="IRNazanin" w:hAnsi="IRNazanin" w:eastAsia="IRNazanin" w:cs="IRNazanin"/>
          <w:lang w:bidi="fa-IR"/>
          <w:color w:val="111111"/>
          <w:sz w:val="28"/>
          <w:szCs w:val="28"/>
          <w:rtl/>
        </w:rPr>
        <w:t xml:space="preserve">شامل: ۱-۷. هفت طغرانامه درباره میرزا محمد حکیم باشی در ۱۱۹۸ و میرزا احمد على مستوفی؛ ۸-۱۰. سه صورت تلگراف؛ 11. صورت جمع و خرج مالیات ئیلان ئیل میرزا محمد حکیم باشی در ۱۲۹۹، با مهر جلال الدوله در یک برگ؛ ۱۲-۱۸. هشت</w:t>
      </w:r>
    </w:p>
    <w:p>
      <w:pPr>
        <w:pStyle w:val="BookText"/>
      </w:pPr>
      <w:r>
        <w:rPr>
          <w:rFonts w:ascii="IRNazanin" w:hAnsi="IRNazanin" w:eastAsia="IRNazanin" w:cs="IRNazanin"/>
          <w:lang w:bidi="fa-IR"/>
          <w:color w:val="111111"/>
          <w:sz w:val="28"/>
          <w:szCs w:val="28"/>
          <w:rtl/>
        </w:rPr>
        <w:t xml:space="preserve">طغرانامه از وزارت مالیه و به آن در ۱۳۰۹، ۱۹. مصالحه نامه خیرالله پیراشکفتی پسر حاجی فتح الله و حاجی میرزا محمد حکیم باشی همه روستای پیراشکفت را با دویست و هشت تومان در ۱۲۹۵؛ ۲۰. رونوشت سند مالكيت و تصرف میرزا محمد حکیم باشی و پسرانش میرزا احمد علی خان حشمة الممالک و حاج میرزا احمد علی خان حشمة الممالك و حاج میرزا ابراهیم اعتماد الاسلام چند روستا را در ۱۳۱۸ با سیاهه آنها.</w:t>
      </w:r>
    </w:p>
    <w:p>
      <w:pPr>
        <w:pStyle w:val="BookText"/>
      </w:pPr>
      <w:r>
        <w:rPr>
          <w:rFonts w:ascii="IRNazanin" w:hAnsi="IRNazanin" w:eastAsia="IRNazanin" w:cs="IRNazanin"/>
          <w:lang w:bidi="fa-IR"/>
          <w:color w:val="111111"/>
          <w:sz w:val="28"/>
          <w:szCs w:val="28"/>
          <w:rtl/>
        </w:rPr>
        <w:t xml:space="preserve">تهران؛ دانشگاه؛ شماره نسخه: ۹۱۷۷/۴</w:t>
      </w:r>
    </w:p>
    <w:p>
      <w:pPr>
        <w:pStyle w:val="BookText"/>
      </w:pPr>
      <w:r>
        <w:rPr>
          <w:rFonts w:ascii="IRNazanin" w:hAnsi="IRNazanin" w:eastAsia="IRNazanin" w:cs="IRNazanin"/>
          <w:lang w:bidi="fa-IR"/>
          <w:color w:val="111111"/>
          <w:sz w:val="28"/>
          <w:szCs w:val="28"/>
          <w:rtl/>
        </w:rPr>
        <w:t xml:space="preserve">بی کا، بی تا [ف: ۱۷-۳۱۰]</w:t>
      </w:r>
    </w:p>
    <w:p>
      <w:pPr>
        <w:pStyle w:val="Heading3"/>
      </w:pPr>
      <w:bookmarkStart w:id="1396" w:name="_Toc656"/>
      <w:r>
        <w:t>•بیست و پنج باب / هیئت / فارسی</w:t>
      </w:r>
      <w:bookmarkEnd w:id="1396"/>
    </w:p>
    <w:p>
      <w:pPr>
        <w:pStyle w:val="BookText"/>
      </w:pPr>
      <w:r>
        <w:rPr>
          <w:rFonts w:ascii="Times New Roman" w:hAnsi="Times New Roman" w:eastAsia="Times New Roman" w:cs="Times New Roman"/>
          <w:lang w:val="en-US" w:bidi="en-US"/>
          <w:color w:val="111111"/>
          <w:sz w:val="28"/>
          <w:szCs w:val="28"/>
          <w:rtl/>
        </w:rPr>
        <w:t xml:space="preserve">bīst va panj bāb</w:t>
      </w:r>
    </w:p>
    <w:p>
      <w:pPr>
        <w:pStyle w:val="BookText"/>
      </w:pPr>
      <w:r>
        <w:rPr>
          <w:rFonts w:ascii="IRNazanin" w:hAnsi="IRNazanin" w:eastAsia="IRNazanin" w:cs="IRNazanin"/>
          <w:lang w:bidi="fa-IR"/>
          <w:color w:val="111111"/>
          <w:sz w:val="28"/>
          <w:szCs w:val="28"/>
          <w:rtl/>
        </w:rPr>
        <w:t xml:space="preserve">مؤلف در مقدمه می گوید که در عصر یزدگرد ساسانی چهل کتاب در نجوم از علمای شرق و غرب به فارسی ترجمه شد و امهات آنها در بیست و پنج باب محور گرد آوری شد که در این رساله در بیست و پنج «باب» تنظیم شده است: باب اول اندر صفت نهاد جهان وافی پیش از خلق.</w:t>
      </w:r>
    </w:p>
    <w:p>
      <w:pPr>
        <w:pStyle w:val="BookText"/>
      </w:pPr>
      <w:r>
        <w:rPr>
          <w:rFonts w:ascii="IRNazanin" w:hAnsi="IRNazanin" w:eastAsia="IRNazanin" w:cs="IRNazanin"/>
          <w:lang w:bidi="fa-IR"/>
          <w:color w:val="111111"/>
          <w:sz w:val="28"/>
          <w:szCs w:val="28"/>
          <w:rtl/>
        </w:rPr>
        <w:t xml:space="preserve">قم؛ مسجد اعظم؛ شماره نسخه: ۲۴۵۷/۳</w:t>
      </w:r>
    </w:p>
    <w:p>
      <w:pPr>
        <w:pStyle w:val="BookText"/>
      </w:pPr>
      <w:r>
        <w:rPr>
          <w:rFonts w:ascii="IRNazanin" w:hAnsi="IRNazanin" w:eastAsia="IRNazanin" w:cs="IRNazanin"/>
          <w:lang w:bidi="fa-IR"/>
          <w:color w:val="111111"/>
          <w:sz w:val="28"/>
          <w:szCs w:val="28"/>
          <w:rtl/>
        </w:rPr>
        <w:t xml:space="preserve">آغاز: برای حکمتی آفرید، هیچ چیزی بی حکمت نیست و خدای عز وجل را منزه دانی و بچیزی مشغول ندانی و معلوم گردانی که اندر آفرینش آسمانها و زمین ها خدای را حکمتی بود؛ انجام: چون مریخ اندر برج بادی بود دلیل کند بر بادهای آشفته و آفت درختان و گرمی و تباهیتا باب شانزدهم را دربردارد؛ خط: نستعلیق، بی کا، تا: قرن ۱۲؛ افتادگی: انجام؛ دارای جداول نجومی؛ ۳۴گ، ۲۲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مخ: ۱-۲۹۶]</w:t>
      </w:r>
    </w:p>
    <w:p>
      <w:pPr>
        <w:pStyle w:val="BookText"/>
      </w:pPr>
      <w:r>
        <w:rPr>
          <w:rFonts w:ascii="IRNazanin" w:hAnsi="IRNazanin" w:eastAsia="IRNazanin" w:cs="IRNazanin"/>
          <w:lang w:bidi="fa-IR"/>
          <w:color w:val="111111"/>
          <w:sz w:val="28"/>
          <w:szCs w:val="28"/>
          <w:rtl/>
        </w:rPr>
        <w:t xml:space="preserve">← بیست و پنج میدان ← صحت الفرس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16" w:name="pg20363_209471"/>
    <w:bookmarkEnd w:id="216"/>
    <w:p>
      <w:pPr>
        <w:pStyle w:val="Heading3"/>
      </w:pPr>
      <w:bookmarkStart w:id="1397" w:name="_Toc657"/>
      <w:r>
        <w:t>• بیست و چهار مجلس / متفرقه / فارسی</w:t>
      </w:r>
      <w:bookmarkEnd w:id="1397"/>
    </w:p>
    <w:p>
      <w:pPr>
        <w:pStyle w:val="BookText"/>
      </w:pPr>
      <w:r>
        <w:rPr>
          <w:rFonts w:ascii="Times New Roman" w:hAnsi="Times New Roman" w:eastAsia="Times New Roman" w:cs="Times New Roman"/>
          <w:lang w:val="en-US" w:bidi="en-US"/>
          <w:color w:val="111111"/>
          <w:sz w:val="28"/>
          <w:szCs w:val="28"/>
          <w:rtl/>
        </w:rPr>
        <w:t xml:space="preserve">bīst-o čahār majles</w:t>
      </w:r>
    </w:p>
    <w:p>
      <w:pPr>
        <w:pStyle w:val="BookText"/>
      </w:pPr>
      <w:r>
        <w:rPr>
          <w:rFonts w:ascii="IRNazanin" w:hAnsi="IRNazanin" w:eastAsia="IRNazanin" w:cs="IRNazanin"/>
          <w:lang w:bidi="fa-IR"/>
          <w:color w:val="111111"/>
          <w:sz w:val="28"/>
          <w:szCs w:val="28"/>
          <w:rtl/>
        </w:rPr>
        <w:t xml:space="preserve">تبریزی، زمان</w:t>
      </w:r>
    </w:p>
    <w:p>
      <w:pPr>
        <w:pStyle w:val="BookText"/>
      </w:pPr>
      <w:r>
        <w:rPr>
          <w:rFonts w:ascii="Times New Roman" w:hAnsi="Times New Roman" w:eastAsia="Times New Roman" w:cs="Times New Roman"/>
          <w:lang w:val="en-US" w:bidi="en-US"/>
          <w:color w:val="111111"/>
          <w:sz w:val="28"/>
          <w:szCs w:val="28"/>
          <w:rtl/>
        </w:rPr>
        <w:t xml:space="preserve">tabrīzī, zamān</w:t>
      </w:r>
    </w:p>
    <w:p>
      <w:pPr>
        <w:pStyle w:val="BookText"/>
      </w:pPr>
      <w:r>
        <w:rPr>
          <w:rFonts w:ascii="IRNazanin" w:hAnsi="IRNazanin" w:eastAsia="IRNazanin" w:cs="IRNazanin"/>
          <w:lang w:bidi="fa-IR"/>
          <w:color w:val="111111"/>
          <w:sz w:val="28"/>
          <w:szCs w:val="28"/>
          <w:rtl/>
        </w:rPr>
        <w:t xml:space="preserve">مشهد؛ رضوی؛ شماره نسخه: ۱۸۲۵۹</w:t>
      </w:r>
    </w:p>
    <w:p>
      <w:pPr>
        <w:pStyle w:val="BookText"/>
      </w:pPr>
      <w:r>
        <w:rPr>
          <w:rFonts w:ascii="IRNazanin" w:hAnsi="IRNazanin" w:eastAsia="IRNazanin" w:cs="IRNazanin"/>
          <w:lang w:bidi="fa-IR"/>
          <w:color w:val="111111"/>
          <w:sz w:val="28"/>
          <w:szCs w:val="28"/>
          <w:rtl/>
        </w:rPr>
        <w:t xml:space="preserve">آغاز: که آنحضرت وداع حیات و قطع زندگی خود، انجام: من الشاهدين و الشاکرین ... این کتاب ششم ماه صفر ... سنه ۱۱۵۸ بی کا، تا: ۱۱۵۸ق؛ افتادگی: آغاز؛ کاغذ: حنایی، جلد: اسقاطی [رایانه ]</w:t>
      </w:r>
    </w:p>
    <w:p>
      <w:pPr>
        <w:pStyle w:val="Heading3"/>
      </w:pPr>
      <w:bookmarkStart w:id="1398" w:name="_Toc658"/>
      <w:r>
        <w:t>•بیست و سه پند / مواعظ / فارسی</w:t>
      </w:r>
      <w:bookmarkEnd w:id="1398"/>
    </w:p>
    <w:p>
      <w:pPr>
        <w:pStyle w:val="BookText"/>
      </w:pPr>
      <w:r>
        <w:rPr>
          <w:rFonts w:ascii="Times New Roman" w:hAnsi="Times New Roman" w:eastAsia="Times New Roman" w:cs="Times New Roman"/>
          <w:lang w:val="en-US" w:bidi="en-US"/>
          <w:color w:val="111111"/>
          <w:sz w:val="28"/>
          <w:szCs w:val="28"/>
          <w:rtl/>
        </w:rPr>
        <w:t xml:space="preserve">bīst va se pand</w:t>
      </w:r>
    </w:p>
    <w:p>
      <w:pPr>
        <w:pStyle w:val="BookText"/>
      </w:pPr>
      <w:r>
        <w:rPr>
          <w:rFonts w:ascii="IRNazanin" w:hAnsi="IRNazanin" w:eastAsia="IRNazanin" w:cs="IRNazanin"/>
          <w:lang w:bidi="fa-IR"/>
          <w:color w:val="111111"/>
          <w:sz w:val="28"/>
          <w:szCs w:val="28"/>
          <w:rtl/>
        </w:rPr>
        <w:t xml:space="preserve">بزرگمهر</w:t>
      </w:r>
    </w:p>
    <w:p>
      <w:pPr>
        <w:pStyle w:val="BookText"/>
      </w:pPr>
      <w:r>
        <w:rPr>
          <w:rFonts w:ascii="Times New Roman" w:hAnsi="Times New Roman" w:eastAsia="Times New Roman" w:cs="Times New Roman"/>
          <w:lang w:val="en-US" w:bidi="en-US"/>
          <w:color w:val="111111"/>
          <w:sz w:val="28"/>
          <w:szCs w:val="28"/>
          <w:rtl/>
        </w:rPr>
        <w:t xml:space="preserve">bozorgmehr</w:t>
      </w:r>
    </w:p>
    <w:p>
      <w:pPr>
        <w:pStyle w:val="BookText"/>
      </w:pPr>
      <w:r>
        <w:rPr>
          <w:rFonts w:ascii="IRNazanin" w:hAnsi="IRNazanin" w:eastAsia="IRNazanin" w:cs="IRNazanin"/>
          <w:lang w:bidi="fa-IR"/>
          <w:color w:val="111111"/>
          <w:sz w:val="28"/>
          <w:szCs w:val="28"/>
          <w:rtl/>
        </w:rPr>
        <w:t xml:space="preserve">در این رساله بیست و سه پند از بوذرجمهر منقول است که به قول نویسنده انوشیروان آنها را به زر نوشته و در صندوق زرین نهاده و قفل زرین بر آن زده است. این بیست و سه اندرز بیشتر در آداب و روش تهذیب نفس انسانی است.</w:t>
      </w:r>
    </w:p>
    <w:p>
      <w:pPr>
        <w:pStyle w:val="BookText"/>
      </w:pPr>
      <w:r>
        <w:rPr>
          <w:rFonts w:ascii="IRNazanin" w:hAnsi="IRNazanin" w:eastAsia="IRNazanin" w:cs="IRNazanin"/>
          <w:lang w:bidi="fa-IR"/>
          <w:color w:val="111111"/>
          <w:sz w:val="28"/>
          <w:szCs w:val="28"/>
          <w:rtl/>
        </w:rPr>
        <w:t xml:space="preserve">تهران؛ ملی؛ شماره نسخه: ۵۷۴/۴</w:t>
      </w:r>
    </w:p>
    <w:p>
      <w:pPr>
        <w:pStyle w:val="BookText"/>
      </w:pPr>
      <w:r>
        <w:rPr>
          <w:rFonts w:ascii="IRNazanin" w:hAnsi="IRNazanin" w:eastAsia="IRNazanin" w:cs="IRNazanin"/>
          <w:lang w:bidi="fa-IR"/>
          <w:color w:val="111111"/>
          <w:sz w:val="28"/>
          <w:szCs w:val="28"/>
          <w:rtl/>
        </w:rPr>
        <w:t xml:space="preserve">آغاز: بسمله، أما بعد چنین روایت کرده اند دانایان اخبار که اهل روزگار پیشین را رسم و قاعده چنان بودی که هیچ امری را؛ انجام: و با بیمروت آمیزش منمایید که هر که مروت ندارد ایمان ندارد. خط: نسخ، بی کا، تا: محتملا قرن ۱۳؛ کاغذ: فرنگی (فستقی)، جلد: ابره پارچه مشکی مقوایی، ۹ص، ۱۵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۲-۷۲]</w:t>
      </w:r>
    </w:p>
    <w:p>
      <w:pPr>
        <w:pStyle w:val="Heading3"/>
      </w:pPr>
      <w:bookmarkStart w:id="1399" w:name="_Toc659"/>
      <w:r>
        <w:t>•بیست و شش مسئله / كلام و اعتقادات / فارسی</w:t>
      </w:r>
      <w:bookmarkEnd w:id="1399"/>
    </w:p>
    <w:p>
      <w:pPr>
        <w:pStyle w:val="BookText"/>
      </w:pPr>
      <w:r>
        <w:rPr>
          <w:rFonts w:ascii="Times New Roman" w:hAnsi="Times New Roman" w:eastAsia="Times New Roman" w:cs="Times New Roman"/>
          <w:lang w:val="en-US" w:bidi="en-US"/>
          <w:color w:val="111111"/>
          <w:sz w:val="28"/>
          <w:szCs w:val="28"/>
          <w:rtl/>
        </w:rPr>
        <w:t xml:space="preserve">bīst -o šeš mas’ale</w:t>
      </w:r>
    </w:p>
    <w:p>
      <w:pPr>
        <w:pStyle w:val="BookText"/>
      </w:pPr>
      <w:r>
        <w:rPr>
          <w:rFonts w:ascii="IRNazanin" w:hAnsi="IRNazanin" w:eastAsia="IRNazanin" w:cs="IRNazanin"/>
          <w:lang w:bidi="fa-IR"/>
          <w:color w:val="111111"/>
          <w:sz w:val="28"/>
          <w:szCs w:val="28"/>
          <w:rtl/>
        </w:rPr>
        <w:t xml:space="preserve">۲۶ مسئله که واجب است اهل تسنن آن را بدانند عبارتند از: اصول دین ۵ تا، فروع ۵، ارکان اسلام ۵ تا، ارکان ایمان ۶ تا و احکام اسلام ۵ تا است و همگی به اختصار توضیح داده شده است.</w:t>
      </w:r>
    </w:p>
    <w:p>
      <w:pPr>
        <w:pStyle w:val="BookText"/>
      </w:pPr>
      <w:r>
        <w:rPr>
          <w:rFonts w:ascii="IRNazanin" w:hAnsi="IRNazanin" w:eastAsia="IRNazanin" w:cs="IRNazanin"/>
          <w:lang w:bidi="fa-IR"/>
          <w:color w:val="111111"/>
          <w:sz w:val="28"/>
          <w:szCs w:val="28"/>
          <w:rtl/>
        </w:rPr>
        <w:t xml:space="preserve">تهران؛ ملی؛ شماره نسخه: ۷۶۰۲</w:t>
      </w:r>
    </w:p>
    <w:p>
      <w:pPr>
        <w:pStyle w:val="BookText"/>
      </w:pPr>
      <w:r>
        <w:rPr>
          <w:rFonts w:ascii="IRNazanin" w:hAnsi="IRNazanin" w:eastAsia="IRNazanin" w:cs="IRNazanin"/>
          <w:lang w:bidi="fa-IR"/>
          <w:color w:val="111111"/>
          <w:sz w:val="28"/>
          <w:szCs w:val="28"/>
          <w:rtl/>
        </w:rPr>
        <w:t xml:space="preserve">آغاز: بسمله. بیست و شش مسئله که در مذهب اهل تسنن واجب است همه کس آنها را بداند و به اهل و عیال و همسایه خود بگوید اینست که اصل دین پنجست و فرع دین نیز پنجست؛ انجام: پنج احکام اسلام واجب و حرام و سنت مکروه و مباحست ... تمت شد در حالت عجز و پریشانی روز کار آه صد آه از موت.</w:t>
      </w:r>
    </w:p>
    <w:p>
      <w:pPr>
        <w:pStyle w:val="BookText"/>
      </w:pPr>
      <w:r>
        <w:rPr>
          <w:rFonts w:ascii="IRNazanin" w:hAnsi="IRNazanin" w:eastAsia="IRNazanin" w:cs="IRNazanin"/>
          <w:lang w:bidi="fa-IR"/>
          <w:color w:val="111111"/>
          <w:sz w:val="28"/>
          <w:szCs w:val="28"/>
          <w:rtl/>
        </w:rPr>
        <w:t xml:space="preserve">خط: نستعلیق، بی کا، تا: ۱۳۰۲ یا ۱۰۳۲ق؛ کاغذ: نخود فرنگی، جلد: تیماج یک لا، عص (۱۴۲-۱۴۷)، ۱۲-۱۴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[رایانه]</w:t>
      </w:r>
    </w:p>
    <w:p>
      <w:pPr>
        <w:pStyle w:val="BookText"/>
      </w:pPr>
      <w:r>
        <w:rPr>
          <w:rFonts w:ascii="IRNazanin" w:hAnsi="IRNazanin" w:eastAsia="IRNazanin" w:cs="IRNazanin"/>
          <w:lang w:bidi="fa-IR"/>
          <w:color w:val="111111"/>
          <w:sz w:val="28"/>
          <w:szCs w:val="28"/>
          <w:rtl/>
        </w:rPr>
        <w:t xml:space="preserve">← بیست و نه باب ← ادویه مفرده</w:t>
      </w:r>
    </w:p>
    <w:p>
      <w:pPr>
        <w:pStyle w:val="Heading3"/>
      </w:pPr>
      <w:bookmarkStart w:id="1400" w:name="_Toc660"/>
      <w:r>
        <w:t>•بیست و نه کلمه = ترجمه منظوم کلمات قصار على(علیه السلام) / شعر، حديث / فارسی</w:t>
      </w:r>
      <w:bookmarkEnd w:id="1400"/>
    </w:p>
    <w:p>
      <w:pPr>
        <w:pStyle w:val="BookText"/>
      </w:pPr>
      <w:r>
        <w:rPr>
          <w:rFonts w:ascii="Times New Roman" w:hAnsi="Times New Roman" w:eastAsia="Times New Roman" w:cs="Times New Roman"/>
          <w:lang w:val="en-US" w:bidi="en-US"/>
          <w:color w:val="111111"/>
          <w:sz w:val="28"/>
          <w:szCs w:val="28"/>
          <w:rtl/>
        </w:rPr>
        <w:t xml:space="preserve">bīst va nuh kalame = t.-ye manzūm-e kalamāt-e qesār-e</w:t>
      </w:r>
    </w:p>
    <w:p>
      <w:pPr>
        <w:pStyle w:val="BookText"/>
      </w:pPr>
      <w:r>
        <w:rPr>
          <w:rFonts w:ascii="Times New Roman" w:hAnsi="Times New Roman" w:eastAsia="Times New Roman" w:cs="Times New Roman"/>
          <w:lang w:val="en-US" w:bidi="en-US"/>
          <w:color w:val="111111"/>
          <w:sz w:val="28"/>
          <w:szCs w:val="28"/>
          <w:rtl/>
        </w:rPr>
        <w:t xml:space="preserve">alī</w:t>
      </w:r>
    </w:p>
    <w:p>
      <w:pPr>
        <w:pStyle w:val="BookText"/>
      </w:pPr>
      <w:r>
        <w:rPr>
          <w:rFonts w:ascii="IRNazanin" w:hAnsi="IRNazanin" w:eastAsia="IRNazanin" w:cs="IRNazanin"/>
          <w:lang w:bidi="fa-IR"/>
          <w:color w:val="111111"/>
          <w:sz w:val="28"/>
          <w:szCs w:val="28"/>
          <w:rtl/>
        </w:rPr>
        <w:t xml:space="preserve">اسدی</w:t>
      </w:r>
    </w:p>
    <w:p>
      <w:pPr>
        <w:pStyle w:val="BookText"/>
      </w:pPr>
      <w:r>
        <w:rPr>
          <w:rFonts w:ascii="Times New Roman" w:hAnsi="Times New Roman" w:eastAsia="Times New Roman" w:cs="Times New Roman"/>
          <w:lang w:val="en-US" w:bidi="en-US"/>
          <w:color w:val="111111"/>
          <w:sz w:val="28"/>
          <w:szCs w:val="28"/>
          <w:rtl/>
        </w:rPr>
        <w:t xml:space="preserve">asadī</w:t>
      </w:r>
    </w:p>
    <w:p>
      <w:pPr>
        <w:pStyle w:val="BookText"/>
      </w:pPr>
      <w:r>
        <w:rPr>
          <w:rFonts w:ascii="IRNazanin" w:hAnsi="IRNazanin" w:eastAsia="IRNazanin" w:cs="IRNazanin"/>
          <w:lang w:bidi="fa-IR"/>
          <w:color w:val="111111"/>
          <w:sz w:val="28"/>
          <w:szCs w:val="28"/>
          <w:rtl/>
        </w:rPr>
        <w:t xml:space="preserve">متن از جاحظ، ترجمه منظوم بیست و نه کلمه از کلمات قصار حضرت على(علیه السلام) است به ترتیب حروف تهجی. در هر حرف یک سخن و هر یک سخن با دو بیت گزارش شده است. آغاز: قال علی(علیه السلام) بهترین سخن ز من بشنو*** هست نام خدای عزوجل / آن که بی نام تو نخواهد شد</w:t>
      </w:r>
      <w:r>
        <w:rPr>
          <w:rFonts w:ascii="IRNazanin" w:hAnsi="IRNazanin" w:eastAsia="IRNazanin" w:cs="IRNazanin"/>
          <w:lang w:bidi="fa-IR"/>
          <w:color w:val="111111"/>
          <w:sz w:val="28"/>
          <w:szCs w:val="28"/>
          <w:b w:val="1"/>
          <w:bCs w:val="1"/>
          <w:i w:val="1"/>
          <w:iCs w:val="1"/>
          <w:rtl/>
        </w:rPr>
        <w:t xml:space="preserve">مشکل کارت ای برادر حل ... اشرف العبادة الاخلاص و الشهادة / همچو خورشید اگر شرف خواهی</w:t>
      </w:r>
      <w:r>
        <w:rPr>
          <w:rFonts w:ascii="IRNazanin" w:hAnsi="IRNazanin" w:eastAsia="IRNazanin" w:cs="IRNazanin"/>
          <w:lang w:bidi="fa-IR"/>
          <w:color w:val="111111"/>
          <w:sz w:val="28"/>
          <w:szCs w:val="28"/>
          <w:rtl/>
        </w:rPr>
        <w:t xml:space="preserve"> آن شرف در عبادت خاص است / چون زبانت شود شهادت گوی*** پس دلت را کمال اخلاص است انجام: اسدی توبه کن که ناظر تو*** مطلع بر گناه خواهد بود / بر بدو نیک تو بروز حساب *** بی تردد گواه خواهد بود</w:t>
      </w:r>
    </w:p>
    <w:p>
      <w:pPr>
        <w:pStyle w:val="BookText"/>
      </w:pPr>
      <w:r>
        <w:rPr>
          <w:rFonts w:ascii="IRNazanin" w:hAnsi="IRNazanin" w:eastAsia="IRNazanin" w:cs="IRNazanin"/>
          <w:lang w:bidi="fa-IR"/>
          <w:color w:val="111111"/>
          <w:sz w:val="28"/>
          <w:szCs w:val="28"/>
          <w:rtl/>
        </w:rPr>
        <w:t xml:space="preserve">[دنا ۶۰۳/۲ (۷ نسخه)؛ الذريعه ۷۱/۹؛ نسخه های منزوی ۱۴/۲؛ فهرستگان حدیث ۱۳۴/۳</w:t>
      </w:r>
    </w:p>
    <w:p>
      <w:pPr>
        <w:pStyle w:val="BookText"/>
      </w:pPr>
      <w:r>
        <w:rPr>
          <w:rFonts w:ascii="IRNazanin" w:hAnsi="IRNazanin" w:eastAsia="IRNazanin" w:cs="IRNazanin"/>
          <w:lang w:bidi="fa-IR"/>
          <w:color w:val="111111"/>
          <w:sz w:val="28"/>
          <w:szCs w:val="28"/>
          <w:rtl/>
        </w:rPr>
        <w:t xml:space="preserve">-۱۳۵]</w:t>
      </w:r>
    </w:p>
    <w:p>
      <w:pPr>
        <w:pStyle w:val="BookText"/>
      </w:pPr>
      <w:r>
        <w:rPr>
          <w:rFonts w:ascii="IRNazanin" w:hAnsi="IRNazanin" w:eastAsia="IRNazanin" w:cs="IRNazanin"/>
          <w:lang w:bidi="fa-IR"/>
          <w:color w:val="111111"/>
          <w:sz w:val="28"/>
          <w:szCs w:val="28"/>
          <w:rtl/>
        </w:rPr>
        <w:t xml:space="preserve">۱. تهران: مجلس؛ شماره نسخه: ۹۰۴۸/۸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مقدمه آغاز کتاب را ندارد؛ خط: نسخ، بی کا، تا: با تاریخ ۹۳۵ق؛ کاغذ: نخودی آهار مهره، جلد: میشن مشکی؛ ۴گ (۲۳۹پ۔ ۲۴۲ر)، ۱۷سطر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۱۲/۲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۱۸/۶ سم [ف: ۲۹/۲ -۶۶۹]</w:t>
      </w:r>
    </w:p>
    <w:p>
      <w:pPr>
        <w:pStyle w:val="BookText"/>
      </w:pPr>
      <w:r>
        <w:rPr>
          <w:rFonts w:ascii="IRNazanin" w:hAnsi="IRNazanin" w:eastAsia="IRNazanin" w:cs="IRNazanin"/>
          <w:lang w:bidi="fa-IR"/>
          <w:color w:val="111111"/>
          <w:sz w:val="28"/>
          <w:szCs w:val="28"/>
          <w:rtl/>
        </w:rPr>
        <w:t xml:space="preserve">۲. تهران، ملک، شماره نسخه: ۴۲۷۵/۱۸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كان محمد سعيد بن محمد تقی خاتون آبادی، تا: ۱۰۸۱ق؛ با یک سرلوح و دو پیشانی، جدول و کمند به زر؛ کاغذ: نوعی ترمه، جلد: رویه روغنی گل و بوته زمینه قهوه ای، ۲گ( ۸۸-۸۷ پ، هامش)، ۱۹ سطر، اندازه: ۲۴/۷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۱۶/۸ سم [ف: ۷-۳۲۶]</w:t>
      </w:r>
    </w:p>
    <w:p>
      <w:pPr>
        <w:pStyle w:val="BookText"/>
      </w:pPr>
      <w:r>
        <w:rPr>
          <w:rFonts w:ascii="IRNazanin" w:hAnsi="IRNazanin" w:eastAsia="IRNazanin" w:cs="IRNazanin"/>
          <w:lang w:bidi="fa-IR"/>
          <w:color w:val="111111"/>
          <w:sz w:val="28"/>
          <w:szCs w:val="28"/>
          <w:rtl/>
        </w:rPr>
        <w:t xml:space="preserve">٣. مشهد؛ گوهرشاد؛ شماره نسخه: ۲۱۸۸/۳۶</w:t>
      </w:r>
    </w:p>
    <w:p>
      <w:pPr>
        <w:pStyle w:val="BookText"/>
      </w:pPr>
      <w:r>
        <w:rPr>
          <w:rFonts w:ascii="IRNazanin" w:hAnsi="IRNazanin" w:eastAsia="IRNazanin" w:cs="IRNazanin"/>
          <w:lang w:bidi="fa-IR"/>
          <w:color w:val="111111"/>
          <w:sz w:val="28"/>
          <w:szCs w:val="28"/>
          <w:rtl/>
        </w:rPr>
        <w:t xml:space="preserve">آغاز و انجام: برابر خط: نسخ خوش، كا: معز الدين محمد بن سلطان محمد قاری نیریزی، تا: ۱۰۸۵ق؛ صفحه اول ديوان الحسين (علیه السلام)، دارای سرلوح مزدوج مذهب مرصع، با یک سرلوح کوچک، دارای کمند؛ واقف: محمد حسام واعظی، ۱۳۹۷ کاغذ: نخودی آهار مهره، جلد: بیرون تیماج ساده و درون تیماج با حاشیه عنابی مزین به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17" w:name="pg20363_209472"/>
    <w:bookmarkEnd w:id="217"/>
    <w:p>
      <w:pPr>
        <w:pStyle w:val="BookText"/>
      </w:pPr>
      <w:r>
        <w:rPr>
          <w:rFonts w:ascii="IRNazanin" w:hAnsi="IRNazanin" w:eastAsia="IRNazanin" w:cs="IRNazanin"/>
          <w:lang w:bidi="fa-IR"/>
          <w:color w:val="111111"/>
          <w:sz w:val="28"/>
          <w:szCs w:val="28"/>
          <w:rtl/>
        </w:rPr>
        <w:t xml:space="preserve">شاخه های گل زرین، اندازه: ۲۷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۵۶۵۵]</w:t>
      </w:r>
    </w:p>
    <w:p>
      <w:pPr>
        <w:pStyle w:val="BookText"/>
      </w:pPr>
      <w:r>
        <w:rPr>
          <w:rFonts w:ascii="IRNazanin" w:hAnsi="IRNazanin" w:eastAsia="IRNazanin" w:cs="IRNazanin"/>
          <w:lang w:bidi="fa-IR"/>
          <w:color w:val="111111"/>
          <w:sz w:val="28"/>
          <w:szCs w:val="28"/>
          <w:rtl/>
        </w:rPr>
        <w:t xml:space="preserve">۴. تهران؛ دانشگاه؛ شماره نسخه: ۱۶۴/۶</w:t>
      </w:r>
    </w:p>
    <w:p>
      <w:pPr>
        <w:pStyle w:val="BookText"/>
      </w:pPr>
      <w:r>
        <w:rPr>
          <w:rFonts w:ascii="IRNazanin" w:hAnsi="IRNazanin" w:eastAsia="IRNazanin" w:cs="IRNazanin"/>
          <w:lang w:bidi="fa-IR"/>
          <w:color w:val="111111"/>
          <w:sz w:val="28"/>
          <w:szCs w:val="28"/>
          <w:rtl/>
        </w:rPr>
        <w:t xml:space="preserve">کا: محمد افضل پسر قيصر على تفرشی، تا: ربيع الثانی ۱۰۹۸ق؛ کاغذ: آهار مهره سفید، جلد: تیماج قهوه یک لا، ۲۵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[ف: ۲-۲۳۰]</w:t>
      </w:r>
    </w:p>
    <w:p>
      <w:pPr>
        <w:pStyle w:val="BookText"/>
      </w:pPr>
      <w:r>
        <w:rPr>
          <w:rFonts w:ascii="IRNazanin" w:hAnsi="IRNazanin" w:eastAsia="IRNazanin" w:cs="IRNazanin"/>
          <w:lang w:bidi="fa-IR"/>
          <w:color w:val="111111"/>
          <w:sz w:val="28"/>
          <w:szCs w:val="28"/>
          <w:rtl/>
        </w:rPr>
        <w:t xml:space="preserve">۵. تهران؛ نوربخش؛ شماره نسخه: ۱۳۳/۵</w:t>
      </w:r>
    </w:p>
    <w:p>
      <w:pPr>
        <w:pStyle w:val="BookText"/>
      </w:pPr>
      <w:r>
        <w:rPr>
          <w:rFonts w:ascii="IRNazanin" w:hAnsi="IRNazanin" w:eastAsia="IRNazanin" w:cs="IRNazanin"/>
          <w:lang w:bidi="fa-IR"/>
          <w:color w:val="111111"/>
          <w:sz w:val="28"/>
          <w:szCs w:val="28"/>
          <w:rtl/>
        </w:rPr>
        <w:t xml:space="preserve">آغاز: برابر؛ انجام: تشنگی مال سخت تر است از تشنگی آب.</w:t>
      </w:r>
    </w:p>
    <w:p>
      <w:pPr>
        <w:pStyle w:val="BookText"/>
      </w:pPr>
      <w:r>
        <w:rPr>
          <w:rFonts w:ascii="IRNazanin" w:hAnsi="IRNazanin" w:eastAsia="IRNazanin" w:cs="IRNazanin"/>
          <w:lang w:bidi="fa-IR"/>
          <w:color w:val="111111"/>
          <w:sz w:val="28"/>
          <w:szCs w:val="28"/>
          <w:rtl/>
        </w:rPr>
        <w:t xml:space="preserve">کا: اسماعيل بن هلال، تا: قرن ۱۳ کاغذ: فرنگی، جلد: تیماج مشکی مقوایی، ۵۱ص (۱۷۸-۲۲۸)،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۱۵۷-۱]</w:t>
      </w:r>
    </w:p>
    <w:p>
      <w:pPr>
        <w:pStyle w:val="BookText"/>
      </w:pPr>
      <w:r>
        <w:rPr>
          <w:rFonts w:ascii="IRNazanin" w:hAnsi="IRNazanin" w:eastAsia="IRNazanin" w:cs="IRNazanin"/>
          <w:lang w:bidi="fa-IR"/>
          <w:color w:val="111111"/>
          <w:sz w:val="28"/>
          <w:szCs w:val="28"/>
          <w:rtl/>
        </w:rPr>
        <w:t xml:space="preserve">۶. تهران؛ ملک، شماره نسخه: ۴۳۷۹/۲۷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كان محمد تقی بن حسین خاتون آبادی اصفهانی، بی تا؛ کاغذ: ترمه، جلد: ساغری سیاه ضربی، ۳گ (۹۲پ -۹۴ر، هامش)، اندازه: ۳۵/۲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۲۱/۱ سم [ف: ۷-۳۷۳]</w:t>
      </w:r>
    </w:p>
    <w:p>
      <w:pPr>
        <w:pStyle w:val="BookText"/>
      </w:pPr>
      <w:r>
        <w:rPr>
          <w:rFonts w:ascii="IRNazanin" w:hAnsi="IRNazanin" w:eastAsia="IRNazanin" w:cs="IRNazanin"/>
          <w:lang w:bidi="fa-IR"/>
          <w:color w:val="111111"/>
          <w:sz w:val="28"/>
          <w:szCs w:val="28"/>
          <w:rtl/>
        </w:rPr>
        <w:t xml:space="preserve">۷. تهران، دانشگاه؛ شماره نسخه: ۲۳۹۸/۳۵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بی تا، کاغذ: سپاهانی، جلد: تیماج مشکی ضربی درون سرخ زرکوب، ص (۴۱۰-۴۱۶)، ۲۰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۹-۱۰۰۹]</w:t>
      </w:r>
    </w:p>
    <w:p>
      <w:pPr>
        <w:pStyle w:val="BookText"/>
      </w:pPr>
      <w:r>
        <w:rPr>
          <w:rFonts w:ascii="IRNazanin" w:hAnsi="IRNazanin" w:eastAsia="IRNazanin" w:cs="IRNazanin"/>
          <w:lang w:bidi="fa-IR"/>
          <w:color w:val="111111"/>
          <w:sz w:val="28"/>
          <w:szCs w:val="28"/>
          <w:rtl/>
        </w:rPr>
        <w:t xml:space="preserve">۸. قم؛ گلپایگانی؛ شماره نسخه: ۲۱۹۲/۳ - ۱۲/۸۲</w:t>
      </w:r>
    </w:p>
    <w:p>
      <w:pPr>
        <w:pStyle w:val="BookText"/>
      </w:pPr>
      <w:r>
        <w:rPr>
          <w:rFonts w:ascii="IRNazanin" w:hAnsi="IRNazanin" w:eastAsia="IRNazanin" w:cs="IRNazanin"/>
          <w:lang w:bidi="fa-IR"/>
          <w:color w:val="111111"/>
          <w:sz w:val="28"/>
          <w:szCs w:val="28"/>
          <w:rtl/>
        </w:rPr>
        <w:t xml:space="preserve">آغاز: برابر؛ انجام: زدن چشم و زشتی گفتار*** راندن شهوت و خطای زبان / یا الها بی رضایت گر زبان و چشم و دل *** زشت گوید یا ببیند یا رود جای مهل خط: نسخ و نستعلیق، بی کا، بی تا؛ جلد: تیماج قهوه ای با جدول و ترنج و سرترنج ضربی، ۱۷گ، ۱۳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۲۷۸۴-۵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مفتاح؛ شماره نسخه: ۵۶۵</w:t>
      </w:r>
    </w:p>
    <w:p>
      <w:pPr>
        <w:pStyle w:val="BookText"/>
      </w:pPr>
      <w:r>
        <w:rPr>
          <w:rFonts w:ascii="IRNazanin" w:hAnsi="IRNazanin" w:eastAsia="IRNazanin" w:cs="IRNazanin"/>
          <w:lang w:bidi="fa-IR"/>
          <w:color w:val="111111"/>
          <w:sz w:val="28"/>
          <w:szCs w:val="28"/>
          <w:rtl/>
        </w:rPr>
        <w:t xml:space="preserve">آغاز: برابر؛ انجام: این گناهان که یاد خواهم کرد </w:t>
      </w:r>
      <w:r>
        <w:rPr>
          <w:rFonts w:ascii="IRNazanin" w:hAnsi="IRNazanin" w:eastAsia="IRNazanin" w:cs="IRNazanin"/>
          <w:lang w:bidi="fa-IR"/>
          <w:color w:val="111111"/>
          <w:sz w:val="28"/>
          <w:szCs w:val="28"/>
          <w:b w:val="1"/>
          <w:bCs w:val="1"/>
          <w:i w:val="1"/>
          <w:iCs w:val="1"/>
          <w:rtl/>
        </w:rPr>
        <w:t xml:space="preserve">یا رب از ما به فضل در گذران / زدن چشم و زشتی گفتار</w:t>
      </w:r>
      <w:r>
        <w:rPr>
          <w:rFonts w:ascii="IRNazanin" w:hAnsi="IRNazanin" w:eastAsia="IRNazanin" w:cs="IRNazanin"/>
          <w:lang w:bidi="fa-IR"/>
          <w:color w:val="111111"/>
          <w:sz w:val="28"/>
          <w:szCs w:val="28"/>
          <w:rtl/>
        </w:rPr>
        <w:t xml:space="preserve"> راندن شهوت و خطای زبان بی کا، بی تا؛ مجدول زر و لاجورد و شنگرف؛ قطع: ربعی [نشریه: ۱۲۰-۷ ]</w:t>
      </w:r>
    </w:p>
    <w:p>
      <w:pPr>
        <w:pStyle w:val="Heading3"/>
      </w:pPr>
      <w:bookmarkStart w:id="1401" w:name="_Toc661"/>
      <w:r>
        <w:t>• بیست و هشت باب / حيوان شناسی / فارسی</w:t>
      </w:r>
      <w:bookmarkEnd w:id="1401"/>
    </w:p>
    <w:p>
      <w:pPr>
        <w:pStyle w:val="BookText"/>
      </w:pPr>
      <w:r>
        <w:rPr>
          <w:rFonts w:ascii="Times New Roman" w:hAnsi="Times New Roman" w:eastAsia="Times New Roman" w:cs="Times New Roman"/>
          <w:lang w:val="en-US" w:bidi="en-US"/>
          <w:color w:val="111111"/>
          <w:sz w:val="28"/>
          <w:szCs w:val="28"/>
          <w:rtl/>
        </w:rPr>
        <w:t xml:space="preserve">bīst va hašt bāb</w:t>
      </w:r>
    </w:p>
    <w:p>
      <w:pPr>
        <w:pStyle w:val="BookText"/>
      </w:pPr>
      <w:r>
        <w:rPr>
          <w:rFonts w:ascii="IRNazanin" w:hAnsi="IRNazanin" w:eastAsia="IRNazanin" w:cs="IRNazanin"/>
          <w:lang w:bidi="fa-IR"/>
          <w:color w:val="111111"/>
          <w:sz w:val="28"/>
          <w:szCs w:val="28"/>
          <w:rtl/>
        </w:rPr>
        <w:t xml:space="preserve">در اسب شناسی و فرس نامه.</w:t>
      </w:r>
    </w:p>
    <w:p>
      <w:pPr>
        <w:pStyle w:val="BookText"/>
      </w:pPr>
      <w:r>
        <w:rPr>
          <w:rFonts w:ascii="IRNazanin" w:hAnsi="IRNazanin" w:eastAsia="IRNazanin" w:cs="IRNazanin"/>
          <w:lang w:bidi="fa-IR"/>
          <w:color w:val="111111"/>
          <w:sz w:val="28"/>
          <w:szCs w:val="28"/>
          <w:rtl/>
        </w:rPr>
        <w:t xml:space="preserve">تهران؛ دانشگاه؛ شماره نسخه:</w:t>
      </w:r>
    </w:p>
    <w:p>
      <w:pPr>
        <w:pStyle w:val="BookText"/>
      </w:pPr>
      <w:r>
        <w:rPr>
          <w:rFonts w:ascii="IRNazanin" w:hAnsi="IRNazanin" w:eastAsia="IRNazanin" w:cs="IRNazanin"/>
          <w:lang w:bidi="fa-IR"/>
          <w:color w:val="111111"/>
          <w:sz w:val="28"/>
          <w:szCs w:val="28"/>
          <w:rtl/>
        </w:rPr>
        <w:t xml:space="preserve">۳۰۱۵/۱۲ آغاز: بسمله. حمدله. این نسخه ایست از گفتار ارستطالیس حکیم که جمع کرده است در وصف اسبان و نیک و بد و هنرها و الوان و علامات هر یک و دردها و بیماریها و درمانهای ایشان این نسخه را تألیف کرده از برای ذوالقرنین که اسکندر رومی خوانند و از</w:t>
      </w:r>
    </w:p>
    <w:p>
      <w:pPr>
        <w:pStyle w:val="BookText"/>
      </w:pPr>
      <w:r>
        <w:rPr>
          <w:rFonts w:ascii="IRNazanin" w:hAnsi="IRNazanin" w:eastAsia="IRNazanin" w:cs="IRNazanin"/>
          <w:lang w:bidi="fa-IR"/>
          <w:color w:val="111111"/>
          <w:sz w:val="28"/>
          <w:szCs w:val="28"/>
          <w:rtl/>
        </w:rPr>
        <w:t xml:space="preserve">دست یکی از نزدیکان پادشاه بدست من افتاد ... و این موسومست به «بیست و هشت باب»؛ انجام: و بسیار رنجها حاصل شود والله اعلم. خط: نستعلیق، بی کا، تا: قرن ۱۱؛ کاغذ: سپاهانی، جلد: تیماج مشکی ضربی مقوایی، ۸۹گ (۲۰۲-۲۹۰)، ۱۸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w:t>
      </w:r>
    </w:p>
    <w:p>
      <w:pPr>
        <w:pStyle w:val="BookText"/>
      </w:pPr>
      <w:r>
        <w:rPr>
          <w:rFonts w:ascii="IRNazanin" w:hAnsi="IRNazanin" w:eastAsia="IRNazanin" w:cs="IRNazanin"/>
          <w:lang w:bidi="fa-IR"/>
          <w:color w:val="111111"/>
          <w:sz w:val="28"/>
          <w:szCs w:val="28"/>
          <w:rtl/>
        </w:rPr>
        <w:t xml:space="preserve">)، اندازه: ۲۱۸۱۰/۵ سم [ف: ۱۰-۱۹۵۵]</w:t>
      </w:r>
    </w:p>
    <w:p>
      <w:pPr>
        <w:pStyle w:val="BookText"/>
      </w:pPr>
      <w:r>
        <w:rPr>
          <w:rFonts w:ascii="IRNazanin" w:hAnsi="IRNazanin" w:eastAsia="IRNazanin" w:cs="IRNazanin"/>
          <w:lang w:bidi="fa-IR"/>
          <w:color w:val="111111"/>
          <w:sz w:val="28"/>
          <w:szCs w:val="28"/>
          <w:rtl/>
        </w:rPr>
        <w:t xml:space="preserve">به بیست و هشت کلمه » وصیت حکما</w:t>
      </w:r>
    </w:p>
    <w:p>
      <w:pPr>
        <w:pStyle w:val="Heading3"/>
      </w:pPr>
      <w:bookmarkStart w:id="1402" w:name="_Toc662"/>
      <w:r>
        <w:t>• بی سر نامه / شعر / فارسی</w:t>
      </w:r>
      <w:bookmarkEnd w:id="1402"/>
    </w:p>
    <w:p>
      <w:pPr>
        <w:pStyle w:val="BookText"/>
      </w:pPr>
      <w:r>
        <w:rPr>
          <w:rFonts w:ascii="Times New Roman" w:hAnsi="Times New Roman" w:eastAsia="Times New Roman" w:cs="Times New Roman"/>
          <w:lang w:val="en-US" w:bidi="en-US"/>
          <w:color w:val="111111"/>
          <w:sz w:val="28"/>
          <w:szCs w:val="28"/>
          <w:rtl/>
        </w:rPr>
        <w:t xml:space="preserve">bī-sar-nāme</w:t>
      </w:r>
    </w:p>
    <w:p>
      <w:pPr>
        <w:pStyle w:val="BookText"/>
      </w:pPr>
      <w:r>
        <w:rPr>
          <w:rFonts w:ascii="IRNazanin" w:hAnsi="IRNazanin" w:eastAsia="IRNazanin" w:cs="IRNazanin"/>
          <w:lang w:bidi="fa-IR"/>
          <w:color w:val="111111"/>
          <w:sz w:val="28"/>
          <w:szCs w:val="28"/>
          <w:rtl/>
        </w:rPr>
        <w:t xml:space="preserve">عطار، محمد بن ابراهیم، ۵۳۷؟ -۶۲۷؟ قمری</w:t>
      </w:r>
    </w:p>
    <w:p>
      <w:pPr>
        <w:pStyle w:val="BookText"/>
      </w:pPr>
      <w:r>
        <w:rPr>
          <w:rFonts w:ascii="Times New Roman" w:hAnsi="Times New Roman" w:eastAsia="Times New Roman" w:cs="Times New Roman"/>
          <w:lang w:val="en-US" w:bidi="en-US"/>
          <w:color w:val="111111"/>
          <w:sz w:val="28"/>
          <w:szCs w:val="28"/>
          <w:rtl/>
        </w:rPr>
        <w:t xml:space="preserve">‘attār, mohammad ebn-e ebrāhīm (1143-1230)</w:t>
      </w:r>
    </w:p>
    <w:p>
      <w:pPr>
        <w:pStyle w:val="BookText"/>
      </w:pPr>
      <w:r>
        <w:rPr>
          <w:rFonts w:ascii="IRNazanin" w:hAnsi="IRNazanin" w:eastAsia="IRNazanin" w:cs="IRNazanin"/>
          <w:lang w:bidi="fa-IR"/>
          <w:color w:val="111111"/>
          <w:sz w:val="28"/>
          <w:szCs w:val="28"/>
          <w:rtl/>
        </w:rPr>
        <w:t xml:space="preserve">در انتساب این رساله به عطار نیشابوری تردید وجود دارد و برخی این را به عطار تونی نسبت داده اند. ترجیع بندی است در نه بند حدود دویست بیت در مناجات به درگاه خداوند متعال و توحید به طریق عرفان و تصوف. بند ترجيع آن این است: «من خدایم من خدایم من خدا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فارغم از کبر و کینه وز هوا / سر بی سرنامه را پیدا کنم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عاشقان را در جهان شیدا کنم».</w:t>
      </w:r>
    </w:p>
    <w:p>
      <w:pPr>
        <w:pStyle w:val="BookText"/>
      </w:pPr>
      <w:r>
        <w:rPr>
          <w:rFonts w:ascii="IRNazanin" w:hAnsi="IRNazanin" w:eastAsia="IRNazanin" w:cs="IRNazanin"/>
          <w:lang w:bidi="fa-IR"/>
          <w:color w:val="111111"/>
          <w:sz w:val="28"/>
          <w:szCs w:val="28"/>
          <w:rtl/>
        </w:rPr>
        <w:t xml:space="preserve">آغاز: من به غیر تو نبینم در جهان</w:t>
      </w:r>
      <w:r>
        <w:rPr>
          <w:rFonts w:ascii="IRNazanin" w:hAnsi="IRNazanin" w:eastAsia="IRNazanin" w:cs="IRNazanin"/>
          <w:lang w:bidi="fa-IR"/>
          <w:color w:val="111111"/>
          <w:sz w:val="28"/>
          <w:szCs w:val="28"/>
          <w:b w:val="1"/>
          <w:bCs w:val="1"/>
          <w:i w:val="1"/>
          <w:iCs w:val="1"/>
          <w:rtl/>
        </w:rPr>
        <w:t xml:space="preserve">قادرا پروردگارا جاودان / من تو را دانم تو را دانم تو را</w:t>
      </w:r>
      <w:r>
        <w:rPr>
          <w:rFonts w:ascii="IRNazanin" w:hAnsi="IRNazanin" w:eastAsia="IRNazanin" w:cs="IRNazanin"/>
          <w:lang w:bidi="fa-IR"/>
          <w:color w:val="111111"/>
          <w:sz w:val="28"/>
          <w:szCs w:val="28"/>
          <w:rtl/>
        </w:rPr>
        <w:t xml:space="preserve">خود تو را کی غیر باشد ای خدا</w:t>
      </w:r>
    </w:p>
    <w:p>
      <w:pPr>
        <w:pStyle w:val="BookText"/>
      </w:pPr>
      <w:r>
        <w:rPr>
          <w:rFonts w:ascii="IRNazanin" w:hAnsi="IRNazanin" w:eastAsia="IRNazanin" w:cs="IRNazanin"/>
          <w:lang w:bidi="fa-IR"/>
          <w:color w:val="111111"/>
          <w:sz w:val="28"/>
          <w:szCs w:val="28"/>
          <w:rtl/>
        </w:rPr>
        <w:t xml:space="preserve">انجام: هر که او خود را فنا کلی شناخت [/ساخت / نساخت ]***اندر آن جائی بقائی کل بساخت [/ یافت / نیافت] چاپ: تهران، ۱۳۵۲ق، باهتمام میر کمالی خوانساری، رقعی،</w:t>
      </w:r>
    </w:p>
    <w:p>
      <w:pPr>
        <w:pStyle w:val="BookText"/>
      </w:pPr>
      <w:r>
        <w:rPr>
          <w:rFonts w:ascii="IRNazanin" w:hAnsi="IRNazanin" w:eastAsia="IRNazanin" w:cs="IRNazanin"/>
          <w:lang w:bidi="fa-IR"/>
          <w:color w:val="111111"/>
          <w:sz w:val="28"/>
          <w:szCs w:val="28"/>
          <w:rtl/>
        </w:rPr>
        <w:t xml:space="preserve">۵۴ص، با کتاب ارواح شاه نعمت الله در یک جلد؛ در لکهنو و کانپور به صورت سنگی؛ به تصحیح احمد خوشنویس (عماد)، با چند اثر دیگر از عطار، تهران، انتشارات سنائی، ۱۳۶۲ [دنا ۶۰۴/۲ ؛ فهرستواره منزوی ۴۰۸/۱۰ که معتقد است از عطار تونی است؛ الذریعه۱۳۱/۱۹ «مثنوی بیسر نامه» از عطار نیشابوری دانسته؛ اعلام ۱۴۶۸/۲ عطار تونی؛ نسخه های منزوی ۲۶۷۵/۴ : «بیسر نامه» از نیشابوری دانسته (نشانی ۱۴ نسخه)؛ مشترک پاکستان</w:t>
      </w:r>
    </w:p>
    <w:p>
      <w:pPr>
        <w:pStyle w:val="BookText"/>
      </w:pPr>
      <w:r>
        <w:rPr>
          <w:rFonts w:ascii="IRNazanin" w:hAnsi="IRNazanin" w:eastAsia="IRNazanin" w:cs="IRNazanin"/>
          <w:lang w:bidi="fa-IR"/>
          <w:color w:val="111111"/>
          <w:sz w:val="28"/>
          <w:szCs w:val="28"/>
          <w:rtl/>
        </w:rPr>
        <w:t xml:space="preserve">۶۰۹/۷ : از تونی دانسته (۳۶ نسخه)؛ مشار ۸۴۹/۱ از نیشابوری دانسته نشانی ۵ چاپ ]</w:t>
      </w:r>
    </w:p>
    <w:p>
      <w:pPr>
        <w:pStyle w:val="BookText"/>
      </w:pPr>
      <w:r>
        <w:rPr>
          <w:rFonts w:ascii="IRNazanin" w:hAnsi="IRNazanin" w:eastAsia="IRNazanin" w:cs="IRNazanin"/>
          <w:lang w:bidi="fa-IR"/>
          <w:color w:val="111111"/>
          <w:sz w:val="28"/>
          <w:szCs w:val="28"/>
          <w:rtl/>
        </w:rPr>
        <w:t xml:space="preserve">۱. تهران: مفتاح؛ شماره نسخه: ۵۷۵/۳</w:t>
      </w:r>
    </w:p>
    <w:p>
      <w:pPr>
        <w:pStyle w:val="BookText"/>
      </w:pPr>
      <w:r>
        <w:rPr>
          <w:rFonts w:ascii="IRNazanin" w:hAnsi="IRNazanin" w:eastAsia="IRNazanin" w:cs="IRNazanin"/>
          <w:lang w:bidi="fa-IR"/>
          <w:color w:val="111111"/>
          <w:sz w:val="28"/>
          <w:szCs w:val="28"/>
          <w:rtl/>
        </w:rPr>
        <w:t xml:space="preserve">خط نستعلیق، بی کا، تا:قرن ۱۰؛ مجدول زر و لاجورد [نشریه: ۷-۲۱۱]</w:t>
      </w:r>
    </w:p>
    <w:p>
      <w:pPr>
        <w:pStyle w:val="BookText"/>
      </w:pPr>
      <w:r>
        <w:rPr>
          <w:rFonts w:ascii="IRNazanin" w:hAnsi="IRNazanin" w:eastAsia="IRNazanin" w:cs="IRNazanin"/>
          <w:lang w:bidi="fa-IR"/>
          <w:color w:val="111111"/>
          <w:sz w:val="28"/>
          <w:szCs w:val="28"/>
          <w:rtl/>
        </w:rPr>
        <w:t xml:space="preserve">۲. تهران؛ علوم پزشکی؛ شماره نسخه: ۱۹۶/۲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تحریری، بی کا، تا: قرن ۱۰ و ۱۱؛ ۵ ص (۶۶۴-۶۶۸)، ۲۳ سطر، اندازه: ۲۴/۵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(نشریه: ۳-۳۲۹]</w:t>
      </w:r>
    </w:p>
    <w:p>
      <w:pPr>
        <w:pStyle w:val="BookText"/>
      </w:pPr>
      <w:r>
        <w:rPr>
          <w:rFonts w:ascii="IRNazanin" w:hAnsi="IRNazanin" w:eastAsia="IRNazanin" w:cs="IRNazanin"/>
          <w:lang w:bidi="fa-IR"/>
          <w:color w:val="111111"/>
          <w:sz w:val="28"/>
          <w:szCs w:val="28"/>
          <w:rtl/>
        </w:rPr>
        <w:t xml:space="preserve">٣. قم؛ مرعشی؛ شماره نسخه: ۱۰۳۹۲/۲۳</w:t>
      </w:r>
    </w:p>
    <w:p>
      <w:pPr>
        <w:pStyle w:val="BookText"/>
      </w:pPr>
      <w:r>
        <w:rPr>
          <w:rFonts w:ascii="IRNazanin" w:hAnsi="IRNazanin" w:eastAsia="IRNazanin" w:cs="IRNazanin"/>
          <w:lang w:bidi="fa-IR"/>
          <w:color w:val="111111"/>
          <w:sz w:val="28"/>
          <w:szCs w:val="28"/>
          <w:rtl/>
        </w:rPr>
        <w:t xml:space="preserve">خط: نستعلیق، بی کا، تا: اوایل قرن ۱۳؛ قطع: رقعي بزرگ [ میراث شهاب: س ش ۴-۶۱]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18" w:name="pg20363_209473"/>
    <w:bookmarkEnd w:id="218"/>
    <w:p>
      <w:pPr>
        <w:pStyle w:val="BookText"/>
      </w:pPr>
      <w:r>
        <w:rPr>
          <w:rFonts w:ascii="Amiri" w:hAnsi="Amiri" w:eastAsia="Amiri" w:cs="Amiri"/>
          <w:lang w:bidi="ar-SA"/>
          <w:color w:val="111111"/>
          <w:sz w:val="28"/>
          <w:szCs w:val="28"/>
          <w:rtl/>
        </w:rPr>
        <w:t xml:space="preserve">۴. تهران؛ دائرة المعارف؛ شماره نسخه: ۱۰۱۷/۴</w:t>
      </w:r>
    </w:p>
    <w:p>
      <w:pPr>
        <w:pStyle w:val="BookText"/>
      </w:pPr>
      <w:r>
        <w:rPr>
          <w:rFonts w:ascii="IRNazanin" w:hAnsi="IRNazanin" w:eastAsia="IRNazanin" w:cs="IRNazanin"/>
          <w:lang w:bidi="fa-IR"/>
          <w:color w:val="111111"/>
          <w:sz w:val="28"/>
          <w:szCs w:val="28"/>
          <w:rtl/>
        </w:rPr>
        <w:t xml:space="preserve">آغاز: برابر، انجام: نه هیچ دیده بدیده، نه هیچ گوش شنیده.</w:t>
      </w:r>
    </w:p>
    <w:p>
      <w:pPr>
        <w:pStyle w:val="BookText"/>
      </w:pPr>
      <w:r>
        <w:rPr>
          <w:rFonts w:ascii="IRNazanin" w:hAnsi="IRNazanin" w:eastAsia="IRNazanin" w:cs="IRNazanin"/>
          <w:lang w:bidi="fa-IR"/>
          <w:color w:val="111111"/>
          <w:sz w:val="28"/>
          <w:szCs w:val="28"/>
          <w:rtl/>
        </w:rPr>
        <w:t xml:space="preserve">در فهرست به عطار تونی نسبت داده ؛ خط نستعلیق تحریری، بی کا، تا: قرن ۱۳؛ افتادگی: انجام؛ ۷گ (۱۱۳پ -۱۱۹پ) [ف: ۲-۳۱]</w:t>
      </w:r>
    </w:p>
    <w:p>
      <w:pPr>
        <w:pStyle w:val="BookText"/>
      </w:pPr>
      <w:r>
        <w:rPr>
          <w:rFonts w:ascii="IRNazanin" w:hAnsi="IRNazanin" w:eastAsia="IRNazanin" w:cs="IRNazanin"/>
          <w:lang w:bidi="fa-IR"/>
          <w:color w:val="111111"/>
          <w:sz w:val="28"/>
          <w:szCs w:val="28"/>
          <w:rtl/>
        </w:rPr>
        <w:t xml:space="preserve">۵. تهران، دانشگاه؛ شماره نسخه: ۴۶۰۴/۴</w:t>
      </w:r>
    </w:p>
    <w:p>
      <w:pPr>
        <w:pStyle w:val="BookText"/>
      </w:pPr>
      <w:r>
        <w:rPr>
          <w:rFonts w:ascii="IRNazanin" w:hAnsi="IRNazanin" w:eastAsia="IRNazanin" w:cs="IRNazanin"/>
          <w:lang w:bidi="fa-IR"/>
          <w:color w:val="111111"/>
          <w:sz w:val="28"/>
          <w:szCs w:val="28"/>
          <w:rtl/>
        </w:rPr>
        <w:t xml:space="preserve">خط: نستعلیق، بی کا، تا: قرن ۱۳؛ کاغذ: فرنگی، جلد: تیماج سرخ ضربی، ۱۰ص (۳۵-۴۴)، ۱۵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۱۴-۳۵۳۶]</w:t>
      </w:r>
    </w:p>
    <w:p>
      <w:pPr>
        <w:pStyle w:val="BookText"/>
      </w:pPr>
      <w:r>
        <w:rPr>
          <w:rFonts w:ascii="IRNazanin" w:hAnsi="IRNazanin" w:eastAsia="IRNazanin" w:cs="IRNazanin"/>
          <w:lang w:bidi="fa-IR"/>
          <w:color w:val="111111"/>
          <w:sz w:val="28"/>
          <w:szCs w:val="28"/>
          <w:rtl/>
        </w:rPr>
        <w:t xml:space="preserve">۶. یزد؛ وزیری؛ شماره نسخه: ۲۷۰۸/۶</w:t>
      </w:r>
    </w:p>
    <w:p>
      <w:pPr>
        <w:pStyle w:val="BookText"/>
      </w:pPr>
      <w:r>
        <w:rPr>
          <w:rFonts w:ascii="IRNazanin" w:hAnsi="IRNazanin" w:eastAsia="IRNazanin" w:cs="IRNazanin"/>
          <w:lang w:bidi="fa-IR"/>
          <w:color w:val="111111"/>
          <w:sz w:val="28"/>
          <w:szCs w:val="28"/>
          <w:rtl/>
        </w:rPr>
        <w:t xml:space="preserve">آغاز: برابر خط: نستعلیق، بی کا، تا: ۱۲۱۳ق؛ اهدایی: نواب؛ کاغذ: سمرقندی، جلد: مقوایی با تیماج مشکی، ۸گ (۱۰۰-۱۰۷)،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سم [ف: ۴-۱۳۹۹]</w:t>
      </w:r>
    </w:p>
    <w:p>
      <w:pPr>
        <w:pStyle w:val="BookText"/>
      </w:pPr>
      <w:r>
        <w:rPr>
          <w:rFonts w:ascii="IRNazanin" w:hAnsi="IRNazanin" w:eastAsia="IRNazanin" w:cs="IRNazanin"/>
          <w:lang w:bidi="fa-IR"/>
          <w:color w:val="111111"/>
          <w:sz w:val="28"/>
          <w:szCs w:val="28"/>
          <w:rtl/>
        </w:rPr>
        <w:t xml:space="preserve">۷. تهران؛ دانشگاه؛ شماره نسخه: ۹۶۸۶/۱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ترک، کا: سید عبدالصمد عصمت فرزند سید ولی زاده سلیم، تا: شوال ۱۲۵۰ق؛ کاغذ: استانبولی، جلد: تیماج قهوه ای زرکوب مقوایی با لولا، بغلی، ۶گ (۲پ -۷پ)، ۱۹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۱۷-۴۵۱]</w:t>
      </w:r>
    </w:p>
    <w:p>
      <w:pPr>
        <w:pStyle w:val="BookText"/>
      </w:pPr>
      <w:r>
        <w:rPr>
          <w:rFonts w:ascii="IRNazanin" w:hAnsi="IRNazanin" w:eastAsia="IRNazanin" w:cs="IRNazanin"/>
          <w:lang w:bidi="fa-IR"/>
          <w:color w:val="111111"/>
          <w:sz w:val="28"/>
          <w:szCs w:val="28"/>
          <w:rtl/>
        </w:rPr>
        <w:t xml:space="preserve">۸. تهران؛ نوربخش، شماره نسخه: ۲۲/۳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بن عبدالباقی، تا: ۱۲۵۵ق؛ کاغذ: ایرانی، جلد: تیماج زرد مقوایی، ۱۶ص (۲۸۸-۳۰۳)، ۱۵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۱-۳۰]</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مشهد؛ الهیات؛ شماره نسخه: ۵۰۲/۶</w:t>
      </w:r>
    </w:p>
    <w:p>
      <w:pPr>
        <w:pStyle w:val="BookText"/>
      </w:pPr>
      <w:r>
        <w:rPr>
          <w:rFonts w:ascii="IRNazanin" w:hAnsi="IRNazanin" w:eastAsia="IRNazanin" w:cs="IRNazanin"/>
          <w:lang w:bidi="fa-IR"/>
          <w:color w:val="111111"/>
          <w:sz w:val="28"/>
          <w:szCs w:val="28"/>
          <w:rtl/>
        </w:rPr>
        <w:t xml:space="preserve">آغاز: من خدایم من خدایم من خدا؛ انجام: عاشقان را در فغان شیدا کنم خط: نستعلیق هندی، کا: سید عبد الجبار قادری، تا: ۱۲۶۹ق؛ مجدول، کمنددار مشکی؛ کاغذ: هندی، جلد: تیماج عنابی ضربی، ۱۰گ، ۱۳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۱-۴۶۲]</w:t>
      </w:r>
    </w:p>
    <w:p>
      <w:pPr>
        <w:pStyle w:val="BookText"/>
      </w:pPr>
      <w:r>
        <w:rPr>
          <w:rFonts w:ascii="IRNazanin" w:hAnsi="IRNazanin" w:eastAsia="IRNazanin" w:cs="IRNazanin"/>
          <w:lang w:bidi="fa-IR"/>
          <w:color w:val="111111"/>
          <w:sz w:val="28"/>
          <w:szCs w:val="28"/>
          <w:rtl/>
        </w:rPr>
        <w:t xml:space="preserve">۱۰. تهران؛ مؤسسه مطالعات اسلامی؛ شماره نسخه: ۲۵/۲</w:t>
      </w:r>
    </w:p>
    <w:p>
      <w:pPr>
        <w:pStyle w:val="BookText"/>
      </w:pPr>
      <w:r>
        <w:rPr>
          <w:rFonts w:ascii="IRNazanin" w:hAnsi="IRNazanin" w:eastAsia="IRNazanin" w:cs="IRNazanin"/>
          <w:lang w:bidi="fa-IR"/>
          <w:color w:val="111111"/>
          <w:sz w:val="28"/>
          <w:szCs w:val="28"/>
          <w:rtl/>
        </w:rPr>
        <w:t xml:space="preserve">آغاز: برابر؛ انجام: من خدایم من خدایم من خدا***فارغم از كبر و کینه وز ریا خط: نستعلیق خوش، بی کا، تا: ۱۲۹۶ق؛ مجدول؛ کاغذ: زرد آهار زرده، جلد: گالینگور ضربی، ۳۵گ (۳پ -۳۷ر)، ۱۵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۸/۳ )،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۲۳]</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همدان؛ برنا، قاسم؛ شماره نسخه: ۳۰/۱</w:t>
      </w:r>
    </w:p>
    <w:p>
      <w:pPr>
        <w:pStyle w:val="BookText"/>
      </w:pPr>
      <w:r>
        <w:rPr>
          <w:rFonts w:ascii="IRNazanin" w:hAnsi="IRNazanin" w:eastAsia="IRNazanin" w:cs="IRNazanin"/>
          <w:lang w:bidi="fa-IR"/>
          <w:color w:val="111111"/>
          <w:sz w:val="28"/>
          <w:szCs w:val="28"/>
          <w:rtl/>
        </w:rPr>
        <w:t xml:space="preserve">خط شکسته نستعلیق، بی کا، تا: قرن ۱۴ [نشریه: ۵-۳۷۶]</w:t>
      </w:r>
    </w:p>
    <w:p>
      <w:pPr>
        <w:pStyle w:val="BookText"/>
      </w:pPr>
      <w:r>
        <w:rPr>
          <w:rFonts w:ascii="IRNazanin" w:hAnsi="IRNazanin" w:eastAsia="IRNazanin" w:cs="IRNazanin"/>
          <w:lang w:bidi="fa-IR"/>
          <w:color w:val="111111"/>
          <w:sz w:val="28"/>
          <w:szCs w:val="28"/>
          <w:rtl/>
        </w:rPr>
        <w:t xml:space="preserve">۱۲. قم؛ مرعشی؛ شماره نسخه: ۴۸۰۶</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زیبا، بی کا، تا: یک شنبه ۵ صفر ۱۳۱۳ق؛ تملک: حسین حسینی نعمت اللهی به تاریخ ذیقعده ۱۳۴۹؛ اهدائی: سالک طریقت سر کار مصطفی خان؛ کاغذ: سبز رنگ، جلد: مقوا عطف پارچه قهوه ای، ۹گ، ۱۳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۱۳-۷]</w:t>
      </w:r>
    </w:p>
    <w:p>
      <w:pPr>
        <w:pStyle w:val="BookText"/>
      </w:pPr>
      <w:r>
        <w:rPr>
          <w:rFonts w:ascii="IRNazanin" w:hAnsi="IRNazanin" w:eastAsia="IRNazanin" w:cs="IRNazanin"/>
          <w:lang w:bidi="fa-IR"/>
          <w:color w:val="111111"/>
          <w:sz w:val="28"/>
          <w:szCs w:val="28"/>
          <w:rtl/>
        </w:rPr>
        <w:t xml:space="preserve">۱۳. قم؛ گلپایگانی؛ شماره نسخه: ۸۳۲۵/۳ - ۵۶/۱۷۵</w:t>
      </w:r>
    </w:p>
    <w:p>
      <w:pPr>
        <w:pStyle w:val="BookText"/>
      </w:pPr>
      <w:r>
        <w:rPr>
          <w:rFonts w:ascii="IRNazanin" w:hAnsi="IRNazanin" w:eastAsia="IRNazanin" w:cs="IRNazanin"/>
          <w:lang w:bidi="fa-IR"/>
          <w:color w:val="111111"/>
          <w:sz w:val="28"/>
          <w:szCs w:val="28"/>
          <w:rtl/>
        </w:rPr>
        <w:t xml:space="preserve">آغاز: برابر۱ خط شکسته، بی کا، بی تا، اگ (۱۴۹-۱۵۵)، ۱۷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۲-۶۶۷]</w:t>
      </w:r>
    </w:p>
    <w:p>
      <w:pPr>
        <w:pStyle w:val="BookText"/>
      </w:pPr>
      <w:r>
        <w:rPr>
          <w:rFonts w:ascii="IRNazanin" w:hAnsi="IRNazanin" w:eastAsia="IRNazanin" w:cs="IRNazanin"/>
          <w:lang w:bidi="fa-IR"/>
          <w:color w:val="111111"/>
          <w:sz w:val="28"/>
          <w:szCs w:val="28"/>
          <w:rtl/>
        </w:rPr>
        <w:t xml:space="preserve">۱۴. تهران؛ مجلس؛ شماره نسخه: ۴۴۳/۶</w:t>
      </w:r>
    </w:p>
    <w:p>
      <w:pPr>
        <w:pStyle w:val="BookText"/>
      </w:pPr>
      <w:r>
        <w:rPr>
          <w:rFonts w:ascii="IRNazanin" w:hAnsi="IRNazanin" w:eastAsia="IRNazanin" w:cs="IRNazanin"/>
          <w:lang w:bidi="fa-IR"/>
          <w:color w:val="111111"/>
          <w:sz w:val="28"/>
          <w:szCs w:val="28"/>
          <w:rtl/>
        </w:rPr>
        <w:t xml:space="preserve">آغاز: برابر ۱</w:t>
      </w:r>
    </w:p>
    <w:p>
      <w:pPr>
        <w:pStyle w:val="BookText"/>
      </w:pPr>
      <w:r>
        <w:rPr>
          <w:rFonts w:ascii="IRNazanin" w:hAnsi="IRNazanin" w:eastAsia="IRNazanin" w:cs="IRNazanin"/>
          <w:lang w:bidi="fa-IR"/>
          <w:color w:val="111111"/>
          <w:sz w:val="28"/>
          <w:szCs w:val="28"/>
          <w:rtl/>
        </w:rPr>
        <w:t xml:space="preserve">خط: نستعلیق، بی کا، بی تا؛ مجدول؛ ۵۰ سطر، قطع: رحلی،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۲-۲۶۰)</w:t>
      </w:r>
    </w:p>
    <w:p>
      <w:pPr>
        <w:pStyle w:val="Heading3"/>
      </w:pPr>
      <w:bookmarkStart w:id="1403" w:name="_Toc663"/>
      <w:r>
        <w:t>• بيضاء الناظرين في تحقيق اصول فروع الدين / اصول فقه / عربی</w:t>
      </w:r>
      <w:bookmarkEnd w:id="1403"/>
    </w:p>
    <w:p>
      <w:pPr>
        <w:pStyle w:val="BookText"/>
      </w:pPr>
      <w:r>
        <w:rPr>
          <w:rFonts w:ascii="Times New Roman" w:hAnsi="Times New Roman" w:eastAsia="Times New Roman" w:cs="Times New Roman"/>
          <w:lang w:val="en-US" w:bidi="en-US"/>
          <w:color w:val="111111"/>
          <w:sz w:val="28"/>
          <w:szCs w:val="28"/>
          <w:rtl/>
        </w:rPr>
        <w:t xml:space="preserve">bayda-un nazirin fi tahqiq-i usul-i foru-id din</w:t>
      </w:r>
    </w:p>
    <w:p>
      <w:pPr>
        <w:pStyle w:val="BookText"/>
      </w:pPr>
      <w:r>
        <w:rPr>
          <w:rFonts w:ascii="IRNazanin" w:hAnsi="IRNazanin" w:eastAsia="IRNazanin" w:cs="IRNazanin"/>
          <w:lang w:bidi="fa-IR"/>
          <w:color w:val="111111"/>
          <w:sz w:val="28"/>
          <w:szCs w:val="28"/>
          <w:rtl/>
        </w:rPr>
        <w:t xml:space="preserve">[دنا ۶۰۴/۲ ]</w:t>
      </w:r>
    </w:p>
    <w:p>
      <w:pPr>
        <w:pStyle w:val="BookText"/>
      </w:pPr>
      <w:r>
        <w:rPr>
          <w:rFonts w:ascii="IRNazanin" w:hAnsi="IRNazanin" w:eastAsia="IRNazanin" w:cs="IRNazanin"/>
          <w:lang w:bidi="fa-IR"/>
          <w:color w:val="111111"/>
          <w:sz w:val="28"/>
          <w:szCs w:val="28"/>
          <w:rtl/>
        </w:rPr>
        <w:t xml:space="preserve">قم؛ فیضیه؛ شماره نسخه: ۱۳۳۶</w:t>
      </w:r>
    </w:p>
    <w:p>
      <w:pPr>
        <w:pStyle w:val="BookText"/>
      </w:pPr>
      <w:r>
        <w:rPr>
          <w:rFonts w:ascii="Amiri" w:hAnsi="Amiri" w:eastAsia="Amiri" w:cs="Amiri"/>
          <w:lang w:bidi="ar-SA"/>
          <w:color w:val="111111"/>
          <w:sz w:val="28"/>
          <w:szCs w:val="28"/>
          <w:rtl/>
        </w:rPr>
        <w:t xml:space="preserve">آغاز: القول في العموم و الخصوص و فيه مقدمة و مطالب؛ انجام: المطلب الثالث عشر في ترك الا ستفصال ...</w:t>
      </w:r>
    </w:p>
    <w:p>
      <w:pPr>
        <w:pStyle w:val="BookText"/>
      </w:pPr>
      <w:r>
        <w:rPr>
          <w:rFonts w:ascii="IRNazanin" w:hAnsi="IRNazanin" w:eastAsia="IRNazanin" w:cs="IRNazanin"/>
          <w:lang w:bidi="fa-IR"/>
          <w:color w:val="111111"/>
          <w:sz w:val="28"/>
          <w:szCs w:val="28"/>
          <w:rtl/>
        </w:rPr>
        <w:t xml:space="preserve">المطلب الرابع عشر از میرزای قمی نام می برد؛ خط: نسخ، كاتب = مؤلف، بی تا؛ ۷۷گ، ۱۸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سم [ف: ۱-۳۶]</w:t>
      </w:r>
    </w:p>
    <w:p>
      <w:pPr>
        <w:pStyle w:val="Heading3"/>
      </w:pPr>
      <w:bookmarkStart w:id="1404" w:name="_Toc664"/>
      <w:r>
        <w:t>• البيضاء في حاشية الزهراء / نحو شعر / عربی</w:t>
      </w:r>
      <w:bookmarkEnd w:id="1404"/>
    </w:p>
    <w:p>
      <w:pPr>
        <w:pStyle w:val="BookText"/>
      </w:pPr>
      <w:r>
        <w:rPr>
          <w:rFonts w:ascii="Times New Roman" w:hAnsi="Times New Roman" w:eastAsia="Times New Roman" w:cs="Times New Roman"/>
          <w:lang w:val="en-US" w:bidi="en-US"/>
          <w:color w:val="111111"/>
          <w:sz w:val="28"/>
          <w:szCs w:val="28"/>
          <w:rtl/>
        </w:rPr>
        <w:t xml:space="preserve">al-baydā’ fi ħāšīyat-iz zahrā’</w:t>
      </w:r>
    </w:p>
    <w:p>
      <w:pPr>
        <w:pStyle w:val="BookText"/>
      </w:pPr>
      <w:r>
        <w:rPr>
          <w:rFonts w:ascii="IRNazanin" w:hAnsi="IRNazanin" w:eastAsia="IRNazanin" w:cs="IRNazanin"/>
          <w:lang w:bidi="fa-IR"/>
          <w:color w:val="111111"/>
          <w:sz w:val="28"/>
          <w:szCs w:val="28"/>
          <w:rtl/>
        </w:rPr>
        <w:t xml:space="preserve">شرحی است بر منظومه مسمی به الزهراء که عبارت باشد از یک قصيده لامیه مطول مفصل هشتصد و اند بیتی در بحر طویل (قافيه متدارک) که قائل در آن کافيه ابن حاجب را در نحو به رشته نظم در آورده است و آن که در حدود نیم قرنی پس از ابن حاجب یعنی بعد از سال ۶۴۶ که سال وفات اوست سروده شده پس از «وافيه في نظم الكافيه» هر دو از ابن حاجب ظاهرة بل قطعة قدیم ترین منظومه ای است (آن هم به صورت قصیده) که از کافیه صورت گرفته است. اینک برای نمونه چند بیت از آن: بدأت بحمدلله ذي الجود والالی ۷۸ و شكر العطايا السابغات على الولا. و منها: و سميتها الزهراء فاسلك بنورها</w:t>
      </w:r>
      <w:r>
        <w:rPr>
          <w:rFonts w:ascii="IRNazanin" w:hAnsi="IRNazanin" w:eastAsia="IRNazanin" w:cs="IRNazanin"/>
          <w:lang w:bidi="fa-IR"/>
          <w:color w:val="111111"/>
          <w:sz w:val="28"/>
          <w:szCs w:val="28"/>
          <w:b w:val="1"/>
          <w:bCs w:val="1"/>
          <w:i w:val="1"/>
          <w:iCs w:val="1"/>
          <w:rtl/>
        </w:rPr>
        <w:t xml:space="preserve">ليهدي في وادی الجهالة مشعلا عليك بها يا طالب العلم إنها</w:t>
      </w:r>
      <w:r>
        <w:rPr>
          <w:rFonts w:ascii="IRNazanin" w:hAnsi="IRNazanin" w:eastAsia="IRNazanin" w:cs="IRNazanin"/>
          <w:lang w:bidi="fa-IR"/>
          <w:color w:val="111111"/>
          <w:sz w:val="28"/>
          <w:szCs w:val="28"/>
          <w:rtl/>
        </w:rPr>
        <w:t xml:space="preserve">نسايم روض فاح مسك و مندلا. ومنها: ولا تک ممن يحسد الفضل أهله</w:t>
      </w:r>
      <w:r>
        <w:rPr>
          <w:rFonts w:ascii="Amiri" w:hAnsi="Amiri" w:eastAsia="Amiri" w:cs="Amiri"/>
          <w:lang w:bidi="ar-SA"/>
          <w:color w:val="111111"/>
          <w:sz w:val="28"/>
          <w:szCs w:val="28"/>
          <w:b w:val="1"/>
          <w:bCs w:val="1"/>
          <w:i w:val="1"/>
          <w:iCs w:val="1"/>
          <w:rtl/>
        </w:rPr>
        <w:t xml:space="preserve">و يكرم جهاً و يحرم فضلا / ولا تعترض من غير فكر معاندا</w:t>
      </w:r>
      <w:r>
        <w:rPr>
          <w:rFonts w:ascii="IRNazanin" w:hAnsi="IRNazanin" w:eastAsia="IRNazanin" w:cs="IRNazanin"/>
          <w:lang w:bidi="fa-IR"/>
          <w:color w:val="111111"/>
          <w:sz w:val="28"/>
          <w:szCs w:val="28"/>
          <w:rtl/>
        </w:rPr>
        <w:t xml:space="preserve">فتغوى من الفهم السقيم و تغفلا / و یارب وفقني على العمل الذي</w:t>
      </w:r>
      <w:r>
        <w:rPr>
          <w:rFonts w:ascii="IRNazanin" w:hAnsi="IRNazanin" w:eastAsia="IRNazanin" w:cs="IRNazanin"/>
          <w:lang w:bidi="fa-IR"/>
          <w:color w:val="111111"/>
          <w:sz w:val="28"/>
          <w:szCs w:val="28"/>
          <w:b w:val="1"/>
          <w:bCs w:val="1"/>
          <w:i w:val="1"/>
          <w:iCs w:val="1"/>
          <w:rtl/>
        </w:rPr>
        <w:t xml:space="preserve">تحب و ترضى كنت مرجی و موئلا / و لا تحزني فيما تعاطيت نظمه</w:t>
      </w:r>
      <w:r>
        <w:rPr>
          <w:rFonts w:ascii="IRNazanin" w:hAnsi="IRNazanin" w:eastAsia="IRNazanin" w:cs="IRNazanin"/>
          <w:lang w:bidi="fa-IR"/>
          <w:color w:val="111111"/>
          <w:sz w:val="28"/>
          <w:szCs w:val="28"/>
          <w:rtl/>
        </w:rPr>
        <w:t xml:space="preserve">وحرک لسانی بالصواب تفضلا / ولا تخذلني یا الهی و سیدی</w:t>
      </w:r>
      <w:r>
        <w:rPr>
          <w:rFonts w:ascii="IRNazanin" w:hAnsi="IRNazanin" w:eastAsia="IRNazanin" w:cs="IRNazanin"/>
          <w:lang w:bidi="fa-IR"/>
          <w:color w:val="111111"/>
          <w:sz w:val="28"/>
          <w:szCs w:val="28"/>
          <w:b w:val="1"/>
          <w:bCs w:val="1"/>
          <w:i w:val="1"/>
          <w:iCs w:val="1"/>
          <w:rtl/>
        </w:rPr>
        <w:t xml:space="preserve">إليك رجائی مستعينا مؤملا. و منها: وصل على المهدي إلى الخق داعية</w:t>
      </w:r>
      <w:r>
        <w:rPr>
          <w:rFonts w:ascii="Amiri" w:hAnsi="Amiri" w:eastAsia="Amiri" w:cs="Amiri"/>
          <w:lang w:bidi="ar-SA"/>
          <w:color w:val="111111"/>
          <w:sz w:val="28"/>
          <w:szCs w:val="28"/>
          <w:rtl/>
        </w:rPr>
        <w:t xml:space="preserve">لناظمها بالعفو ينحو من الصلا / ثمانمات عدها مع نيف*** و ان كان سهو فاعف عنه و افضلا.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19" w:name="pg20363_209474"/>
    <w:bookmarkEnd w:id="219"/>
    <w:p>
      <w:pPr>
        <w:pStyle w:val="BookText"/>
      </w:pPr>
      <w:r>
        <w:rPr>
          <w:rFonts w:ascii="IRNazanin" w:hAnsi="IRNazanin" w:eastAsia="IRNazanin" w:cs="IRNazanin"/>
          <w:lang w:bidi="fa-IR"/>
          <w:color w:val="111111"/>
          <w:sz w:val="28"/>
          <w:szCs w:val="28"/>
          <w:rtl/>
        </w:rPr>
        <w:t xml:space="preserve">مشهد؛ رضوی؛ شماره نسخه: ۳۷۸۷</w:t>
      </w:r>
    </w:p>
    <w:p>
      <w:pPr>
        <w:pStyle w:val="BookText"/>
      </w:pPr>
      <w:r>
        <w:rPr>
          <w:rFonts w:ascii="IRNazanin" w:hAnsi="IRNazanin" w:eastAsia="IRNazanin" w:cs="IRNazanin"/>
          <w:lang w:bidi="fa-IR"/>
          <w:color w:val="111111"/>
          <w:sz w:val="28"/>
          <w:szCs w:val="28"/>
          <w:rtl/>
        </w:rPr>
        <w:t xml:space="preserve">آغاز: و قال عليه السلام رحم الله امرا اصلح من لسانه و روى عن شیخین لبعض اعراب القرآن احب ... من تعليم بعضه ... و کتب الى ابي موسى الأشعري خذ ... بالعربية فانها تزيد في العقل و تنبت بالمروة؛ انجام: فاني الفتها على سبيل السرعة من غير ان اطالع جمة غفيرة من الكتب النحوية و العفو عند كرام الناس مأمول.</w:t>
      </w:r>
    </w:p>
    <w:p>
      <w:pPr>
        <w:pStyle w:val="BookText"/>
      </w:pPr>
      <w:r>
        <w:rPr>
          <w:rFonts w:ascii="IRNazanin" w:hAnsi="IRNazanin" w:eastAsia="IRNazanin" w:cs="IRNazanin"/>
          <w:lang w:bidi="fa-IR"/>
          <w:color w:val="111111"/>
          <w:sz w:val="28"/>
          <w:szCs w:val="28"/>
          <w:rtl/>
        </w:rPr>
        <w:t xml:space="preserve">خط: نسخ، كا: عبدالصمد بن نصر الله بن عبدالصمد، تا: شنبه ۲۱ جمادی الثانی ۷۲۰ق؛ افتادگی: آغاز (سه ورق)؛ این ابیات از اواخر نسخه است: «معما: خليلان ممنوعان من كل لذة </w:t>
      </w:r>
      <w:r>
        <w:rPr>
          <w:rFonts w:ascii="Amiri" w:hAnsi="Amiri" w:eastAsia="Amiri" w:cs="Amiri"/>
          <w:lang w:bidi="ar-SA"/>
          <w:color w:val="111111"/>
          <w:sz w:val="28"/>
          <w:szCs w:val="28"/>
          <w:b w:val="1"/>
          <w:bCs w:val="1"/>
          <w:i w:val="1"/>
          <w:iCs w:val="1"/>
          <w:rtl/>
        </w:rPr>
        <w:t xml:space="preserve">يبيتان طول الدهر يعتنقان / اذا اعتنقا كانا على الاهل حارسا</w:t>
      </w:r>
      <w:r>
        <w:rPr>
          <w:rFonts w:ascii="IRNazanin" w:hAnsi="IRNazanin" w:eastAsia="IRNazanin" w:cs="IRNazanin"/>
          <w:lang w:bidi="fa-IR"/>
          <w:color w:val="111111"/>
          <w:sz w:val="28"/>
          <w:szCs w:val="28"/>
          <w:rtl/>
        </w:rPr>
        <w:t xml:space="preserve">و عند طلوع الفجر يفترقان. معما: ثلاثة أحرف سلبت فوادی</w:t>
      </w:r>
      <w:r>
        <w:rPr>
          <w:rFonts w:ascii="Amiri" w:hAnsi="Amiri" w:eastAsia="Amiri" w:cs="Amiri"/>
          <w:lang w:bidi="ar-SA"/>
          <w:color w:val="111111"/>
          <w:sz w:val="28"/>
          <w:szCs w:val="28"/>
          <w:b w:val="1"/>
          <w:bCs w:val="1"/>
          <w:i w:val="1"/>
          <w:iCs w:val="1"/>
          <w:rtl/>
        </w:rPr>
        <w:t xml:space="preserve">و سلبن السهادي على الرقاد / فاول حاتم و تمام يمن</w:t>
      </w:r>
      <w:r>
        <w:rPr>
          <w:rFonts w:ascii="Amiri" w:hAnsi="Amiri" w:eastAsia="Amiri" w:cs="Amiri"/>
          <w:lang w:bidi="ar-SA"/>
          <w:color w:val="111111"/>
          <w:sz w:val="28"/>
          <w:szCs w:val="28"/>
          <w:rtl/>
        </w:rPr>
        <w:t xml:space="preserve">و اوسطهن حرف من سعاد / سلام الله كل صباح يوم</w:t>
      </w:r>
      <w:r>
        <w:rPr>
          <w:rFonts w:ascii="IRNazanin" w:hAnsi="IRNazanin" w:eastAsia="IRNazanin" w:cs="IRNazanin"/>
          <w:lang w:bidi="fa-IR"/>
          <w:color w:val="111111"/>
          <w:sz w:val="28"/>
          <w:szCs w:val="28"/>
          <w:b w:val="1"/>
          <w:bCs w:val="1"/>
          <w:i w:val="1"/>
          <w:iCs w:val="1"/>
          <w:rtl/>
        </w:rPr>
        <w:t xml:space="preserve">على من عنده قلبی و روحی / و أن لقاء الميمون عندي </w:t>
      </w:r>
      <w:r>
        <w:rPr>
          <w:rFonts w:ascii="IRNazanin" w:hAnsi="IRNazanin" w:eastAsia="IRNazanin" w:cs="IRNazanin"/>
          <w:lang w:bidi="fa-IR"/>
          <w:color w:val="111111"/>
          <w:sz w:val="28"/>
          <w:szCs w:val="28"/>
          <w:b w:val="1"/>
          <w:bCs w:val="1"/>
          <w:i w:val="1"/>
          <w:iCs w:val="1"/>
          <w:rtl/>
        </w:rPr>
        <w:t xml:space="preserve">فتوح في فتوح في فتوح / العلم تاج للفتی</w:t>
      </w:r>
      <w:r>
        <w:rPr>
          <w:rFonts w:ascii="IRNazanin" w:hAnsi="IRNazanin" w:eastAsia="IRNazanin" w:cs="IRNazanin"/>
          <w:lang w:bidi="fa-IR"/>
          <w:color w:val="111111"/>
          <w:sz w:val="28"/>
          <w:szCs w:val="28"/>
          <w:b w:val="1"/>
          <w:bCs w:val="1"/>
          <w:i w:val="1"/>
          <w:iCs w:val="1"/>
          <w:rtl/>
        </w:rPr>
        <w:t xml:space="preserve">العقل طوق من ذهب / الصدق نور واضح</w:t>
      </w:r>
      <w:r>
        <w:rPr>
          <w:rFonts w:ascii="IRNazanin" w:hAnsi="IRNazanin" w:eastAsia="IRNazanin" w:cs="IRNazanin"/>
          <w:lang w:bidi="fa-IR"/>
          <w:color w:val="111111"/>
          <w:sz w:val="28"/>
          <w:szCs w:val="28"/>
          <w:rtl/>
        </w:rPr>
        <w:t xml:space="preserve">و الكذب نار ملتهب / جمال الفتی علم و حلم و حكمة***و ما حازها الا النفوس الكوامل»؛ واقف: ابن خاتون، ۱۰۶۷ق؛ کاغذ: نخودی، جلد: تیماج مشکی، ۲۰۸گ، ۲۱ سطر، قطع: بياض رقعی،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۱۱/۵۳ سم [ف: ۱۲-۳۳ ]</w:t>
      </w:r>
    </w:p>
    <w:p>
      <w:pPr>
        <w:pStyle w:val="Heading3"/>
      </w:pPr>
      <w:bookmarkStart w:id="1405" w:name="_Toc665"/>
      <w:r>
        <w:t>• بيضاء للناظرين في تذكرة الواعظين و الذاکرین / گوناگون / فارسی</w:t>
      </w:r>
      <w:bookmarkEnd w:id="1405"/>
    </w:p>
    <w:p>
      <w:pPr>
        <w:pStyle w:val="BookText"/>
      </w:pPr>
      <w:r>
        <w:rPr>
          <w:rFonts w:ascii="Times New Roman" w:hAnsi="Times New Roman" w:eastAsia="Times New Roman" w:cs="Times New Roman"/>
          <w:lang w:val="en-US" w:bidi="en-US"/>
          <w:color w:val="111111"/>
          <w:sz w:val="28"/>
          <w:szCs w:val="28"/>
          <w:rtl/>
        </w:rPr>
        <w:t xml:space="preserve">li-n-nāzirīn fī tadkirat-il wāʻizīn wa-d</w:t>
      </w:r>
    </w:p>
    <w:p>
      <w:pPr>
        <w:pStyle w:val="BookText"/>
      </w:pPr>
      <w:r>
        <w:rPr>
          <w:rFonts w:ascii="Times New Roman" w:hAnsi="Times New Roman" w:eastAsia="Times New Roman" w:cs="Times New Roman"/>
          <w:lang w:val="en-US" w:bidi="en-US"/>
          <w:color w:val="111111"/>
          <w:sz w:val="28"/>
          <w:szCs w:val="28"/>
          <w:rtl/>
        </w:rPr>
        <w:t xml:space="preserve">baydā’-un dākirīn</w:t>
      </w:r>
    </w:p>
    <w:p>
      <w:pPr>
        <w:pStyle w:val="BookText"/>
      </w:pPr>
      <w:r>
        <w:rPr>
          <w:rFonts w:ascii="IRNazanin" w:hAnsi="IRNazanin" w:eastAsia="IRNazanin" w:cs="IRNazanin"/>
          <w:lang w:bidi="fa-IR"/>
          <w:color w:val="111111"/>
          <w:sz w:val="28"/>
          <w:szCs w:val="28"/>
          <w:rtl/>
        </w:rPr>
        <w:t xml:space="preserve">منتجبی زنجانی، محمد تقی بن اسدالله، ۱۳۸۸ قمری</w:t>
      </w:r>
    </w:p>
    <w:p>
      <w:pPr>
        <w:pStyle w:val="BookText"/>
      </w:pPr>
      <w:r>
        <w:rPr>
          <w:rFonts w:ascii="Times New Roman" w:hAnsi="Times New Roman" w:eastAsia="Times New Roman" w:cs="Times New Roman"/>
          <w:lang w:val="en-US" w:bidi="en-US"/>
          <w:color w:val="111111"/>
          <w:sz w:val="28"/>
          <w:szCs w:val="28"/>
          <w:rtl/>
        </w:rPr>
        <w:t xml:space="preserve">montajabī zanjānī, mohammad taqī ebn-e asad-ol-lāh ( 1968)</w:t>
      </w:r>
    </w:p>
    <w:p>
      <w:pPr>
        <w:pStyle w:val="BookText"/>
      </w:pPr>
      <w:r>
        <w:rPr>
          <w:rFonts w:ascii="IRNazanin" w:hAnsi="IRNazanin" w:eastAsia="IRNazanin" w:cs="IRNazanin"/>
          <w:lang w:bidi="fa-IR"/>
          <w:color w:val="111111"/>
          <w:sz w:val="28"/>
          <w:szCs w:val="28"/>
          <w:rtl/>
        </w:rPr>
        <w:t xml:space="preserve">کتابی است فراهم آمده برای اهل وعظ و منبر، مشتمل بر مواعظ و بیان آداب و سنن اسلامی و تاریخ معصومین (علیهم السلام) در پنج جلد و هر جلد دارای چندین «مجلس» که با ذکر مصایب امام حسین (علیه السلام) و شهادت آن حضرت ختم می شود: جلد ۱. فضائل و مناقب حضرات معصومین و بعضی از غزوات؛ ۲. ولادت و شهادت چهارده معصوم و پاره ای از حالات و معجزات آنها و تاریخ بعضی انبیا و اصحاب کبار؛ ۳. بعضي خطب امیر المومنین و دعاهای سید الساجدین و مواعظ و نصایح دیگر و فضائل نماز و زکات و عقاب تارک آنها؛ ۴. خروج حضرت سید الشهداء از مدینه منوره تا ورود اهل بیت به آنجا؛ ۵. مواعظ و فضایل. این تقسیم که در آغاز جلد دوم کتاب آمده با دقت در تمام مجلدات رعایت نشده و بیشتر مجلدات در ۱۱۴ مجلس به شماره سوره های قرآن می باشد.</w:t>
      </w:r>
    </w:p>
    <w:p>
      <w:pPr>
        <w:pStyle w:val="BookText"/>
      </w:pPr>
      <w:r>
        <w:rPr>
          <w:rFonts w:ascii="IRNazanin" w:hAnsi="IRNazanin" w:eastAsia="IRNazanin" w:cs="IRNazanin"/>
          <w:lang w:bidi="fa-IR"/>
          <w:color w:val="111111"/>
          <w:sz w:val="28"/>
          <w:szCs w:val="28"/>
          <w:rtl/>
        </w:rPr>
        <w:t xml:space="preserve">[دنا ۶۰۴/۲ ]</w:t>
      </w:r>
    </w:p>
    <w:p>
      <w:pPr>
        <w:pStyle w:val="BookText"/>
      </w:pPr>
      <w:r>
        <w:rPr>
          <w:rFonts w:ascii="IRNazanin" w:hAnsi="IRNazanin" w:eastAsia="IRNazanin" w:cs="IRNazanin"/>
          <w:lang w:bidi="fa-IR"/>
          <w:color w:val="111111"/>
          <w:sz w:val="28"/>
          <w:szCs w:val="28"/>
          <w:rtl/>
        </w:rPr>
        <w:t xml:space="preserve">۱. قم؛ مرعشی؛ شماره نسخه: ۱۰۵۷۸</w:t>
      </w:r>
    </w:p>
    <w:p>
      <w:pPr>
        <w:pStyle w:val="BookText"/>
      </w:pPr>
      <w:r>
        <w:rPr>
          <w:rFonts w:ascii="IRNazanin" w:hAnsi="IRNazanin" w:eastAsia="IRNazanin" w:cs="IRNazanin"/>
          <w:lang w:bidi="fa-IR"/>
          <w:color w:val="111111"/>
          <w:sz w:val="28"/>
          <w:szCs w:val="28"/>
          <w:rtl/>
        </w:rPr>
        <w:t xml:space="preserve">جلد اول و شب عید اضحی ۱۳۵۰ به پایان رسیده؛ خط: نسخ و نستعلیق، کاتب = مؤلف، تا: ۱۳۵۰، تقریظی از سید مرتضی حسینی جعفری به تاریخ ۹ محرم ۱۳۶۵؛ جلد: تیماج مشکی عطف تیماج قهوه ای، ۴۹۲گ، مختلف السطر،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۵۶-۲۷]</w:t>
      </w:r>
    </w:p>
    <w:p>
      <w:pPr>
        <w:pStyle w:val="BookText"/>
      </w:pPr>
      <w:r>
        <w:rPr>
          <w:rFonts w:ascii="IRNazanin" w:hAnsi="IRNazanin" w:eastAsia="IRNazanin" w:cs="IRNazanin"/>
          <w:lang w:bidi="fa-IR"/>
          <w:color w:val="111111"/>
          <w:sz w:val="28"/>
          <w:szCs w:val="28"/>
          <w:rtl/>
        </w:rPr>
        <w:t xml:space="preserve">۲. قم؛ مرعشی؛ شماره نسخه: ۱۰۵۷۹</w:t>
      </w:r>
    </w:p>
    <w:p>
      <w:pPr>
        <w:pStyle w:val="BookText"/>
      </w:pPr>
      <w:r>
        <w:rPr>
          <w:rFonts w:ascii="IRNazanin" w:hAnsi="IRNazanin" w:eastAsia="IRNazanin" w:cs="IRNazanin"/>
          <w:lang w:bidi="fa-IR"/>
          <w:color w:val="111111"/>
          <w:sz w:val="28"/>
          <w:szCs w:val="28"/>
          <w:rtl/>
        </w:rPr>
        <w:t xml:space="preserve">جلد دوم در پانزدهم ربیع الاول ۱۳۵۲ آغاز و سوم شعبان ۱۳۶۳ به پایان رسیده؛ خط: نسخ و نستعلیق، کاتب = مؤلف، تا: ۱۳۶۳؛ تقریظی از سید مرتضی حسینی جعفري بتاريخ 9 محرم ۱۳۶۵؛ جلد: تیماج قهوه ای، ۵۴۳گ، مختلف السطر،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۲۷-۵۷]</w:t>
      </w:r>
    </w:p>
    <w:p>
      <w:pPr>
        <w:pStyle w:val="BookText"/>
      </w:pPr>
      <w:r>
        <w:rPr>
          <w:rFonts w:ascii="IRNazanin" w:hAnsi="IRNazanin" w:eastAsia="IRNazanin" w:cs="IRNazanin"/>
          <w:lang w:bidi="fa-IR"/>
          <w:color w:val="111111"/>
          <w:sz w:val="28"/>
          <w:szCs w:val="28"/>
          <w:rtl/>
        </w:rPr>
        <w:t xml:space="preserve">٣. قم؛ مرعشی؛ شماره نسخه: ۱۰۵۸۰</w:t>
      </w:r>
    </w:p>
    <w:p>
      <w:pPr>
        <w:pStyle w:val="BookText"/>
      </w:pPr>
      <w:r>
        <w:rPr>
          <w:rFonts w:ascii="IRNazanin" w:hAnsi="IRNazanin" w:eastAsia="IRNazanin" w:cs="IRNazanin"/>
          <w:lang w:bidi="fa-IR"/>
          <w:color w:val="111111"/>
          <w:sz w:val="28"/>
          <w:szCs w:val="28"/>
          <w:rtl/>
        </w:rPr>
        <w:t xml:space="preserve">جلد چهارم و در پایان خاتمه ای بر آن افزوده شده است در پاره ای از ادعیه و نمازهای مستحبی و اشعار عربی و فارسی و ترکی؛ خط: نسخ و نستعلیق، کاتب = مؤلف، بی تا، تقریظی از سید مرتضی حسینی جعفری به تاریخ ۹ محرم ۱۳۶۵؛ جلد: تیماج قهوه ای، ۶۱۴گ، ۱۶ سطر، اندازه: ۱۰/۵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۲۷-۵۸]</w:t>
      </w:r>
    </w:p>
    <w:p>
      <w:pPr>
        <w:pStyle w:val="BookText"/>
      </w:pPr>
      <w:r>
        <w:rPr>
          <w:rFonts w:ascii="IRNazanin" w:hAnsi="IRNazanin" w:eastAsia="IRNazanin" w:cs="IRNazanin"/>
          <w:lang w:bidi="fa-IR"/>
          <w:color w:val="111111"/>
          <w:sz w:val="28"/>
          <w:szCs w:val="28"/>
          <w:rtl/>
        </w:rPr>
        <w:t xml:space="preserve">۴. قم؛ مرعشی؛ شماره نسخه: ۱۰۵۸۱</w:t>
      </w:r>
    </w:p>
    <w:p>
      <w:pPr>
        <w:pStyle w:val="BookText"/>
      </w:pPr>
      <w:r>
        <w:rPr>
          <w:rFonts w:ascii="IRNazanin" w:hAnsi="IRNazanin" w:eastAsia="IRNazanin" w:cs="IRNazanin"/>
          <w:lang w:bidi="fa-IR"/>
          <w:color w:val="111111"/>
          <w:sz w:val="28"/>
          <w:szCs w:val="28"/>
          <w:rtl/>
        </w:rPr>
        <w:t xml:space="preserve">جلد پنجم ؛ خط: نسخ و نستعلیق، کاتب = مؤلف، بی تا، تقریظی از سید مرتضی حسینی جعفری به تاریخ ۹ محرم ۱۳۶۵؛ جلد: تیماج قهوه ای، ۴۶۱گ، ۱۵ سطر، اندازه: ۱۰/۵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۲۷-۵۸]</w:t>
      </w:r>
    </w:p>
    <w:p>
      <w:pPr>
        <w:pStyle w:val="Heading3"/>
      </w:pPr>
      <w:bookmarkStart w:id="1406" w:name="_Toc666"/>
      <w:r>
        <w:t>•بيضة الاسلام = مختصر کنوز العبادات و الطاعات و رموز الواجبات و المهمات / عرفان و تصوف / عربی</w:t>
      </w:r>
      <w:bookmarkEnd w:id="1406"/>
    </w:p>
    <w:p>
      <w:pPr>
        <w:pStyle w:val="BookText"/>
      </w:pPr>
      <w:r>
        <w:rPr>
          <w:rFonts w:ascii="Times New Roman" w:hAnsi="Times New Roman" w:eastAsia="Times New Roman" w:cs="Times New Roman"/>
          <w:lang w:val="en-US" w:bidi="en-US"/>
          <w:color w:val="111111"/>
          <w:sz w:val="28"/>
          <w:szCs w:val="28"/>
          <w:rtl/>
        </w:rPr>
        <w:t xml:space="preserve">baydat-ul islām = muxtașar-u kunūz-il ‘ibādāt wa-t tāʻāt wa rumūz-il wājibāt wa-l muhimmāt</w:t>
      </w:r>
    </w:p>
    <w:p>
      <w:pPr>
        <w:pStyle w:val="BookText"/>
      </w:pPr>
      <w:r>
        <w:rPr>
          <w:rFonts w:ascii="IRNazanin" w:hAnsi="IRNazanin" w:eastAsia="IRNazanin" w:cs="IRNazanin"/>
          <w:lang w:bidi="fa-IR"/>
          <w:color w:val="111111"/>
          <w:sz w:val="28"/>
          <w:szCs w:val="28"/>
          <w:rtl/>
        </w:rPr>
        <w:t xml:space="preserve">زین العابدين بن محمد على</w:t>
      </w:r>
    </w:p>
    <w:p>
      <w:pPr>
        <w:pStyle w:val="BookText"/>
      </w:pPr>
      <w:r>
        <w:rPr>
          <w:rFonts w:ascii="Times New Roman" w:hAnsi="Times New Roman" w:eastAsia="Times New Roman" w:cs="Times New Roman"/>
          <w:lang w:val="en-US" w:bidi="en-US"/>
          <w:color w:val="111111"/>
          <w:sz w:val="28"/>
          <w:szCs w:val="28"/>
          <w:rtl/>
        </w:rPr>
        <w:t xml:space="preserve">zayn-ol-‘ābedīn ebn-e mohammad ‘alī</w:t>
      </w:r>
    </w:p>
    <w:p>
      <w:pPr>
        <w:pStyle w:val="BookText"/>
      </w:pPr>
      <w:r>
        <w:rPr>
          <w:rFonts w:ascii="IRNazanin" w:hAnsi="IRNazanin" w:eastAsia="IRNazanin" w:cs="IRNazanin"/>
          <w:lang w:bidi="fa-IR"/>
          <w:color w:val="111111"/>
          <w:sz w:val="28"/>
          <w:szCs w:val="28"/>
          <w:rtl/>
        </w:rPr>
        <w:t xml:space="preserve">تهران؛ مجلس؛ شماره نسخه: ۱۸۴۵۸</w:t>
      </w:r>
    </w:p>
    <w:p>
      <w:pPr>
        <w:pStyle w:val="BookText"/>
      </w:pPr>
      <w:r>
        <w:rPr>
          <w:rFonts w:ascii="IRNazanin" w:hAnsi="IRNazanin" w:eastAsia="IRNazanin" w:cs="IRNazanin"/>
          <w:lang w:bidi="fa-IR"/>
          <w:color w:val="111111"/>
          <w:sz w:val="28"/>
          <w:szCs w:val="28"/>
          <w:rtl/>
        </w:rPr>
        <w:t xml:space="preserve">بی کا، تا: ۱۳۰۷ ق [دث. مجلس]</w:t>
      </w:r>
    </w:p>
    <w:p>
      <w:pPr>
        <w:pStyle w:val="Heading3"/>
      </w:pPr>
      <w:bookmarkStart w:id="1407" w:name="_Toc667"/>
      <w:r>
        <w:t>• بيضة البيضاء / كلام و اعتقادات / عربی</w:t>
      </w:r>
      <w:bookmarkEnd w:id="1407"/>
    </w:p>
    <w:p>
      <w:pPr>
        <w:pStyle w:val="BookText"/>
      </w:pPr>
      <w:r>
        <w:rPr>
          <w:rFonts w:ascii="Times New Roman" w:hAnsi="Times New Roman" w:eastAsia="Times New Roman" w:cs="Times New Roman"/>
          <w:lang w:val="en-US" w:bidi="en-US"/>
          <w:color w:val="111111"/>
          <w:sz w:val="28"/>
          <w:szCs w:val="28"/>
          <w:rtl/>
        </w:rPr>
        <w:t xml:space="preserve">baydat-ul bayda"</w:t>
      </w:r>
    </w:p>
    <w:p>
      <w:pPr>
        <w:pStyle w:val="BookText"/>
      </w:pPr>
      <w:r>
        <w:rPr>
          <w:rFonts w:ascii="IRNazanin" w:hAnsi="IRNazanin" w:eastAsia="IRNazanin" w:cs="IRNazanin"/>
          <w:lang w:bidi="fa-IR"/>
          <w:color w:val="111111"/>
          <w:sz w:val="28"/>
          <w:szCs w:val="28"/>
          <w:rtl/>
        </w:rPr>
        <w:t xml:space="preserve">بافقی، محمد حکیم بن عبد الله، ق ۱۱ قمری</w:t>
      </w:r>
    </w:p>
    <w:p>
      <w:pPr>
        <w:pStyle w:val="BookText"/>
      </w:pPr>
      <w:r>
        <w:rPr>
          <w:rFonts w:ascii="Times New Roman" w:hAnsi="Times New Roman" w:eastAsia="Times New Roman" w:cs="Times New Roman"/>
          <w:lang w:val="en-US" w:bidi="en-US"/>
          <w:color w:val="111111"/>
          <w:sz w:val="28"/>
          <w:szCs w:val="28"/>
          <w:rtl/>
        </w:rPr>
        <w:t xml:space="preserve">bāfqī, mohammad hakām ebn-e 'abd-ol-lāh (- 17c)</w:t>
      </w:r>
    </w:p>
    <w:p>
      <w:pPr>
        <w:pStyle w:val="BookText"/>
      </w:pPr>
      <w:r>
        <w:rPr>
          <w:rFonts w:ascii="IRNazanin" w:hAnsi="IRNazanin" w:eastAsia="IRNazanin" w:cs="IRNazanin"/>
          <w:lang w:bidi="fa-IR"/>
          <w:color w:val="111111"/>
          <w:sz w:val="28"/>
          <w:szCs w:val="28"/>
          <w:rtl/>
        </w:rPr>
        <w:t xml:space="preserve">رساله ای مختصر و فلسفی در اصول دین و اثبات بعضی از مسائل اعتقادی دیگر چون حدوث و قدم و حسن و قبح و جبر و اختیار و جز اینها.</w:t>
      </w:r>
    </w:p>
    <w:p>
      <w:pPr>
        <w:pStyle w:val="BookText"/>
      </w:pPr>
      <w:r>
        <w:rPr>
          <w:rFonts w:ascii="IRNazanin" w:hAnsi="IRNazanin" w:eastAsia="IRNazanin" w:cs="IRNazanin"/>
          <w:lang w:bidi="fa-IR"/>
          <w:color w:val="111111"/>
          <w:sz w:val="28"/>
          <w:szCs w:val="28"/>
          <w:rtl/>
        </w:rPr>
        <w:t xml:space="preserve">[دنا ۶۰۵/۲]</w:t>
      </w:r>
    </w:p>
    <w:p>
      <w:pPr>
        <w:pStyle w:val="BookText"/>
      </w:pPr>
      <w:r>
        <w:rPr>
          <w:rFonts w:ascii="IRNazanin" w:hAnsi="IRNazanin" w:eastAsia="IRNazanin" w:cs="IRNazanin"/>
          <w:lang w:bidi="fa-IR"/>
          <w:color w:val="111111"/>
          <w:sz w:val="28"/>
          <w:szCs w:val="28"/>
          <w:rtl/>
        </w:rPr>
        <w:t xml:space="preserve">قم؛ مرعشی؛ شماره نسخه: ۳۹۶۶/۲</w:t>
      </w:r>
    </w:p>
    <w:p>
      <w:pPr>
        <w:pStyle w:val="BookText"/>
      </w:pPr>
      <w:r>
        <w:rPr>
          <w:rFonts w:ascii="IRNazanin" w:hAnsi="IRNazanin" w:eastAsia="IRNazanin" w:cs="IRNazanin"/>
          <w:lang w:bidi="fa-IR"/>
          <w:color w:val="111111"/>
          <w:sz w:val="28"/>
          <w:szCs w:val="28"/>
          <w:rtl/>
        </w:rPr>
        <w:t xml:space="preserve">آغاز: بيضة البيضاء للعقل الحکیم ... الحمدلله الحق المعبود على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20" w:name="pg20363_209475"/>
    <w:bookmarkEnd w:id="220"/>
    <w:p>
      <w:pPr>
        <w:pStyle w:val="BookText"/>
      </w:pPr>
      <w:r>
        <w:rPr>
          <w:rFonts w:ascii="IRNazanin" w:hAnsi="IRNazanin" w:eastAsia="IRNazanin" w:cs="IRNazanin"/>
          <w:lang w:bidi="fa-IR"/>
          <w:color w:val="111111"/>
          <w:sz w:val="28"/>
          <w:szCs w:val="28"/>
          <w:rtl/>
        </w:rPr>
        <w:t xml:space="preserve">أعلى غاية الكمال و نهاية أقصى الجمال، انجام: اختيار المتقابلين في وقت واحد بالشرطين على السواء بحكم عقل تمام ذى الاراء خط: نسخ زیبا، بی کا، بی تا؛ جلد: تیماج قرمز، ۳گ (۱۸ر-۲۰پ)، ۱۷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 سم [ف: ۱۰-۳۴۸]</w:t>
      </w:r>
    </w:p>
    <w:p>
      <w:pPr>
        <w:pStyle w:val="BookText"/>
      </w:pPr>
      <w:r>
        <w:rPr>
          <w:rFonts w:ascii="IRNazanin" w:hAnsi="IRNazanin" w:eastAsia="IRNazanin" w:cs="IRNazanin"/>
          <w:lang w:bidi="fa-IR"/>
          <w:color w:val="111111"/>
          <w:sz w:val="28"/>
          <w:szCs w:val="28"/>
          <w:rtl/>
        </w:rPr>
        <w:t xml:space="preserve">← بیطار نامه ← معرفة الخيل</w:t>
      </w:r>
    </w:p>
    <w:p>
      <w:pPr>
        <w:pStyle w:val="Heading3"/>
      </w:pPr>
      <w:bookmarkStart w:id="1408" w:name="_Toc668"/>
      <w:r>
        <w:t>•بيطارنامه / حيوان شناسی / فارسی</w:t>
      </w:r>
      <w:bookmarkEnd w:id="1408"/>
    </w:p>
    <w:p>
      <w:pPr>
        <w:pStyle w:val="BookText"/>
      </w:pPr>
      <w:r>
        <w:rPr>
          <w:rFonts w:ascii="Times New Roman" w:hAnsi="Times New Roman" w:eastAsia="Times New Roman" w:cs="Times New Roman"/>
          <w:lang w:val="en-US" w:bidi="en-US"/>
          <w:color w:val="111111"/>
          <w:sz w:val="28"/>
          <w:szCs w:val="28"/>
          <w:rtl/>
        </w:rPr>
        <w:t xml:space="preserve">baytār-nāme</w:t>
      </w:r>
    </w:p>
    <w:p>
      <w:pPr>
        <w:pStyle w:val="BookText"/>
      </w:pPr>
      <w:r>
        <w:rPr>
          <w:rFonts w:ascii="IRNazanin" w:hAnsi="IRNazanin" w:eastAsia="IRNazanin" w:cs="IRNazanin"/>
          <w:lang w:bidi="fa-IR"/>
          <w:color w:val="111111"/>
          <w:sz w:val="28"/>
          <w:szCs w:val="28"/>
          <w:rtl/>
        </w:rPr>
        <w:t xml:space="preserve">بیگدلی، عباسقلی، ق ۱۱ قمری</w:t>
      </w:r>
    </w:p>
    <w:p>
      <w:pPr>
        <w:pStyle w:val="BookText"/>
      </w:pPr>
      <w:r>
        <w:rPr>
          <w:rFonts w:ascii="Times New Roman" w:hAnsi="Times New Roman" w:eastAsia="Times New Roman" w:cs="Times New Roman"/>
          <w:lang w:val="en-US" w:bidi="en-US"/>
          <w:color w:val="111111"/>
          <w:sz w:val="28"/>
          <w:szCs w:val="28"/>
          <w:rtl/>
        </w:rPr>
        <w:t xml:space="preserve">bīgdelī, “abbās-qolī (- 17c)</w:t>
      </w:r>
    </w:p>
    <w:p>
      <w:pPr>
        <w:pStyle w:val="BookText"/>
      </w:pPr>
      <w:r>
        <w:rPr>
          <w:rFonts w:ascii="IRNazanin" w:hAnsi="IRNazanin" w:eastAsia="IRNazanin" w:cs="IRNazanin"/>
          <w:lang w:bidi="fa-IR"/>
          <w:color w:val="111111"/>
          <w:sz w:val="28"/>
          <w:szCs w:val="28"/>
          <w:rtl/>
        </w:rPr>
        <w:t xml:space="preserve">اهدا به: شاه عباس ثانی صفوی (۱۰۴۳-۱۰۷۸ق) تاریخ تأليف: رمضان ۱۰۷۰ق کتابی در بیان اوصاف اسب و بيطاری و علامات امراض و کیفیت و طرق علاج آنها، که از متنی ترکی ترجمه نموده؛ دارای یک «دیباچه» و چهار «باب» و یک «خاتمه»: باب اول: در وصف اسبان و چگونه بودن رنگ و نگاه داشتن ایشان به طریق متقدمان، در ده «فصل»: 1) در باب اسبان، ۲) لون اسب که چگونه به کار آید، ۳) نگاه داشتن اسب، ۴) حفظ اسبان از رهگذر جو و کاه و علف، ۵) نگاه داشتن اسب در فصل زمستان، ۶) محافظت کردن پشت اسب که ریش نشود و کوفت نیابد، ۷) فربه کردن اسب، ۸) هرگاه خواهند اسب را از خامی به در آرند، ۹) بدان که هرگاه سپاهی در روز مصاف، ۱۰) سواری کردن و تازیانه زدن؛ باب دوم: در اسباب علت و امراض و علاج ایشان؛ باب سیم: در شناختن بدی و عیب و هنر اسبان، مشتمل بر هشت فصل»: ۱) شناختن نیکی و بدی اسب، ۲) شناختن خجستگی اسب، ۳) شناختن شبکوری، ۴) شناختن اسب اعمش، ۵) شناختن اصمی و ابکمی اسب، ۶) شناختن چپ دستی اسب، ۷) شناختن اسب ارجل، ۸) سیاه کردن سفیدی دست و پای اسب؛ باب چهارم: در خاصیت دماغ و دل و غیره اعضای اسب و استعمال نمودن آن به طريق حکمت؛ خاتمه: در نصایح استعمال و به موقع رسانیدن آن.</w:t>
      </w:r>
    </w:p>
    <w:p>
      <w:pPr>
        <w:pStyle w:val="BookText"/>
      </w:pPr>
      <w:r>
        <w:rPr>
          <w:rFonts w:ascii="IRNazanin" w:hAnsi="IRNazanin" w:eastAsia="IRNazanin" w:cs="IRNazanin"/>
          <w:lang w:bidi="fa-IR"/>
          <w:color w:val="111111"/>
          <w:sz w:val="28"/>
          <w:szCs w:val="28"/>
          <w:rtl/>
        </w:rPr>
        <w:t xml:space="preserve">آغاز: سپاس بی قیاس لایق خالقی است که محبان آگاه و مخلصان درگاه را به اشاره بشارت اولئك هم المقربون بنوازد و به آرایش در خور قاهری است که طاغیان گمراه و بنده تباه را به آتش تقيد يلعنهم الله بگدازد و کریمی که طلعت هر موجود از آثار اوست. ستایش کی شود یارا میسر***چرا احصی ثنا گوید پیمبر</w:t>
      </w:r>
    </w:p>
    <w:p>
      <w:pPr>
        <w:pStyle w:val="BookText"/>
      </w:pPr>
      <w:r>
        <w:rPr>
          <w:rFonts w:ascii="IRNazanin" w:hAnsi="IRNazanin" w:eastAsia="IRNazanin" w:cs="IRNazanin"/>
          <w:lang w:bidi="fa-IR"/>
          <w:color w:val="111111"/>
          <w:sz w:val="28"/>
          <w:szCs w:val="28"/>
          <w:rtl/>
        </w:rPr>
        <w:t xml:space="preserve">انجام: و از همه سرمایه جز نابود و ذخیره دربار ندارد پرده پوشی با همه بینائی کار دیده دوربین حقیقت گزین است. پرده های چشم خود بر خویش می پوشم که نیست </w:t>
      </w:r>
      <w:r>
        <w:rPr>
          <w:rFonts w:ascii="Times New Roman" w:hAnsi="Times New Roman" w:eastAsia="Times New Roman" w:cs="Times New Roman"/>
          <w:lang w:val="en-US" w:bidi="en-US"/>
          <w:color w:val="111111"/>
          <w:sz w:val="28"/>
          <w:szCs w:val="28"/>
          <w:rtl/>
        </w:rPr>
        <w:t xml:space="preserve">xx </w:t>
      </w:r>
      <w:r>
        <w:rPr>
          <w:rFonts w:ascii="IRNazanin" w:hAnsi="IRNazanin" w:eastAsia="IRNazanin" w:cs="IRNazanin"/>
          <w:lang w:bidi="fa-IR"/>
          <w:color w:val="111111"/>
          <w:sz w:val="28"/>
          <w:szCs w:val="28"/>
          <w:rtl/>
        </w:rPr>
        <w:t xml:space="preserve">عيب پوش مردمان جز دیده بینای من</w:t>
      </w:r>
    </w:p>
    <w:p>
      <w:pPr>
        <w:pStyle w:val="BookText"/>
      </w:pPr>
      <w:r>
        <w:rPr>
          <w:rFonts w:ascii="IRNazanin" w:hAnsi="IRNazanin" w:eastAsia="IRNazanin" w:cs="IRNazanin"/>
          <w:lang w:bidi="fa-IR"/>
          <w:color w:val="111111"/>
          <w:sz w:val="28"/>
          <w:szCs w:val="28"/>
          <w:rtl/>
        </w:rPr>
        <w:t xml:space="preserve">چاپ: ضمن گنجینه بهارستان، علوم و فنون -۳، فرسنامه -۱ مسلسل ۱۶، تهران، کتابخانه مجلس شورای اسلامی، ۱۳۸۷ش، با تصحيح سپیده کوتی</w:t>
      </w:r>
    </w:p>
    <w:p>
      <w:pPr>
        <w:pStyle w:val="BookText"/>
      </w:pPr>
      <w:r>
        <w:rPr>
          <w:rFonts w:ascii="IRNazanin" w:hAnsi="IRNazanin" w:eastAsia="IRNazanin" w:cs="IRNazanin"/>
          <w:lang w:bidi="fa-IR"/>
          <w:color w:val="111111"/>
          <w:sz w:val="28"/>
          <w:szCs w:val="28"/>
          <w:rtl/>
        </w:rPr>
        <w:t xml:space="preserve">[دنا ۶۰۵/۲ (۱۰ نسخه)؛ فهرستواره منزوی ۳۸۰۵/۵ ]</w:t>
      </w:r>
    </w:p>
    <w:p>
      <w:pPr>
        <w:pStyle w:val="BookText"/>
      </w:pPr>
      <w:r>
        <w:rPr>
          <w:rFonts w:ascii="IRNazanin" w:hAnsi="IRNazanin" w:eastAsia="IRNazanin" w:cs="IRNazanin"/>
          <w:lang w:bidi="fa-IR"/>
          <w:color w:val="111111"/>
          <w:sz w:val="28"/>
          <w:szCs w:val="28"/>
          <w:rtl/>
        </w:rPr>
        <w:t xml:space="preserve">۱. تهران؛ مینوی؛ شماره نسخه: ۱۵</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تا:شعبان ۱۱۱۱ق؛ ۶۲ص ؛ قطع: ربعی [نشریه: ۶-۶۳۹]</w:t>
      </w:r>
    </w:p>
    <w:p>
      <w:pPr>
        <w:pStyle w:val="BookText"/>
      </w:pPr>
      <w:r>
        <w:rPr>
          <w:rFonts w:ascii="IRNazanin" w:hAnsi="IRNazanin" w:eastAsia="IRNazanin" w:cs="IRNazanin"/>
          <w:lang w:bidi="fa-IR"/>
          <w:color w:val="111111"/>
          <w:sz w:val="28"/>
          <w:szCs w:val="28"/>
          <w:rtl/>
        </w:rPr>
        <w:t xml:space="preserve">قم: مرکز احیاء؛ شماره نسخه: ۲۷۸۱</w:t>
      </w:r>
    </w:p>
    <w:p>
      <w:pPr>
        <w:pStyle w:val="BookText"/>
      </w:pPr>
      <w:r>
        <w:rPr>
          <w:rFonts w:ascii="IRNazanin" w:hAnsi="IRNazanin" w:eastAsia="IRNazanin" w:cs="IRNazanin"/>
          <w:lang w:bidi="fa-IR"/>
          <w:color w:val="111111"/>
          <w:sz w:val="28"/>
          <w:szCs w:val="28"/>
          <w:rtl/>
        </w:rPr>
        <w:t xml:space="preserve">نسخه اصل: همان نسخه بالا [عکسی ف: ۷-۳۷۱]</w:t>
      </w:r>
    </w:p>
    <w:p>
      <w:pPr>
        <w:pStyle w:val="BookText"/>
      </w:pPr>
      <w:r>
        <w:rPr>
          <w:rFonts w:ascii="IRNazanin" w:hAnsi="IRNazanin" w:eastAsia="IRNazanin" w:cs="IRNazanin"/>
          <w:lang w:bidi="fa-IR"/>
          <w:color w:val="111111"/>
          <w:sz w:val="28"/>
          <w:szCs w:val="28"/>
          <w:rtl/>
        </w:rPr>
        <w:t xml:space="preserve">۲. تهران؛ مجلس؛ شماره نسخه: ۱۸۰۸۰ ض</w:t>
      </w:r>
    </w:p>
    <w:p>
      <w:pPr>
        <w:pStyle w:val="BookText"/>
      </w:pPr>
      <w:r>
        <w:rPr>
          <w:rFonts w:ascii="IRNazanin" w:hAnsi="IRNazanin" w:eastAsia="IRNazanin" w:cs="IRNazanin"/>
          <w:lang w:bidi="fa-IR"/>
          <w:color w:val="111111"/>
          <w:sz w:val="28"/>
          <w:szCs w:val="28"/>
          <w:rtl/>
        </w:rPr>
        <w:t xml:space="preserve">بی کا، تا: قرن ۱۳ [د.ث. مجلس]</w:t>
      </w:r>
    </w:p>
    <w:p>
      <w:pPr>
        <w:pStyle w:val="BookText"/>
      </w:pPr>
      <w:r>
        <w:rPr>
          <w:rFonts w:ascii="IRNazanin" w:hAnsi="IRNazanin" w:eastAsia="IRNazanin" w:cs="IRNazanin"/>
          <w:lang w:bidi="fa-IR"/>
          <w:color w:val="111111"/>
          <w:sz w:val="28"/>
          <w:szCs w:val="28"/>
          <w:rtl/>
        </w:rPr>
        <w:t xml:space="preserve">٣. تهران؛ مجلس؛ شماره نسخه: ۴۷/۳</w:t>
      </w:r>
    </w:p>
    <w:p>
      <w:pPr>
        <w:pStyle w:val="BookText"/>
      </w:pPr>
      <w:r>
        <w:rPr>
          <w:rFonts w:ascii="IRNazanin" w:hAnsi="IRNazanin" w:eastAsia="IRNazanin" w:cs="IRNazanin"/>
          <w:lang w:bidi="fa-IR"/>
          <w:color w:val="111111"/>
          <w:sz w:val="28"/>
          <w:szCs w:val="28"/>
          <w:rtl/>
        </w:rPr>
        <w:t xml:space="preserve">سرود خط: نسخ، كا: رضا قلی بن کربلائی اوجاق قلی، تا: با تاریخ ۱۲۴۰ ق (نشریه: ۱۳- ۴۲۰]</w:t>
      </w:r>
    </w:p>
    <w:p>
      <w:pPr>
        <w:pStyle w:val="BookText"/>
      </w:pPr>
      <w:r>
        <w:rPr>
          <w:rFonts w:ascii="IRNazanin" w:hAnsi="IRNazanin" w:eastAsia="IRNazanin" w:cs="IRNazanin"/>
          <w:lang w:bidi="fa-IR"/>
          <w:color w:val="111111"/>
          <w:sz w:val="28"/>
          <w:szCs w:val="28"/>
          <w:rtl/>
        </w:rPr>
        <w:t xml:space="preserve">۴. تهران: مجلس؛ شماره نسخه: ۶۲۸۰/۱</w:t>
      </w:r>
    </w:p>
    <w:p>
      <w:pPr>
        <w:pStyle w:val="BookText"/>
      </w:pPr>
      <w:r>
        <w:rPr>
          <w:rFonts w:ascii="IRNazanin" w:hAnsi="IRNazanin" w:eastAsia="IRNazanin" w:cs="IRNazanin"/>
          <w:lang w:bidi="fa-IR"/>
          <w:color w:val="111111"/>
          <w:sz w:val="28"/>
          <w:szCs w:val="28"/>
          <w:rtl/>
        </w:rPr>
        <w:t xml:space="preserve">خط: شکسته، بی کا، تا: ۱۲۵۷ق، جا: صحرای مال امیر بختیاری؛ کاغذ: فرنگی آهار مهره، ۹۹ص (۲-۱۰۰)، وسطر، قطع: خشتی،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سم [ف: ۱۹-۲۵۸]</w:t>
      </w:r>
    </w:p>
    <w:p>
      <w:pPr>
        <w:pStyle w:val="BookText"/>
      </w:pPr>
      <w:r>
        <w:rPr>
          <w:rFonts w:ascii="IRNazanin" w:hAnsi="IRNazanin" w:eastAsia="IRNazanin" w:cs="IRNazanin"/>
          <w:lang w:bidi="fa-IR"/>
          <w:color w:val="111111"/>
          <w:sz w:val="28"/>
          <w:szCs w:val="28"/>
          <w:rtl/>
        </w:rPr>
        <w:t xml:space="preserve">۵. تهران: انجمن آثار و مفاخر فرهنگی؛ شماره نسخه: ۳۰/۱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بی کا، تا: رمضان ۱۲۵۸ق؛ کاغذ: فرنگی آهار مهره، جلد: تیماج تریاکی روشن، یک لا لبه منگنه دار، ابعاد متن: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 ۱۵۶ص (۱-۱۵۶)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۶۱]</w:t>
      </w:r>
    </w:p>
    <w:p>
      <w:pPr>
        <w:pStyle w:val="BookText"/>
      </w:pPr>
      <w:r>
        <w:rPr>
          <w:rFonts w:ascii="IRNazanin" w:hAnsi="IRNazanin" w:eastAsia="IRNazanin" w:cs="IRNazanin"/>
          <w:lang w:bidi="fa-IR"/>
          <w:color w:val="111111"/>
          <w:sz w:val="28"/>
          <w:szCs w:val="28"/>
          <w:rtl/>
        </w:rPr>
        <w:t xml:space="preserve">تهران، دانشگاه؛ شماره نسخه: ۳۵۷۴/۱ -ف</w:t>
      </w:r>
    </w:p>
    <w:p>
      <w:pPr>
        <w:pStyle w:val="BookText"/>
      </w:pPr>
      <w:r>
        <w:rPr>
          <w:rFonts w:ascii="IRNazanin" w:hAnsi="IRNazanin" w:eastAsia="IRNazanin" w:cs="IRNazanin"/>
          <w:lang w:bidi="fa-IR"/>
          <w:color w:val="111111"/>
          <w:sz w:val="28"/>
          <w:szCs w:val="28"/>
          <w:rtl/>
        </w:rPr>
        <w:t xml:space="preserve">نسخه اصل: همان نسخه بالا [فیلمها ف: ۲-۱۹۰]</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مشهد؛ رضوی؛ شماره نسخه: ۱۰۹۳۷/۲</w:t>
      </w:r>
    </w:p>
    <w:p>
      <w:pPr>
        <w:pStyle w:val="BookText"/>
      </w:pPr>
      <w:r>
        <w:rPr>
          <w:rFonts w:ascii="IRNazanin" w:hAnsi="IRNazanin" w:eastAsia="IRNazanin" w:cs="IRNazanin"/>
          <w:lang w:bidi="fa-IR"/>
          <w:color w:val="111111"/>
          <w:sz w:val="28"/>
          <w:szCs w:val="28"/>
          <w:rtl/>
        </w:rPr>
        <w:t xml:space="preserve">آغاز: برابر؛ انجام: بپاشند خون بایستد و الله اعلم</w:t>
      </w:r>
    </w:p>
    <w:p>
      <w:pPr>
        <w:pStyle w:val="BookText"/>
      </w:pPr>
      <w:r>
        <w:rPr>
          <w:rFonts w:ascii="IRNazanin" w:hAnsi="IRNazanin" w:eastAsia="IRNazanin" w:cs="IRNazanin"/>
          <w:lang w:bidi="fa-IR"/>
          <w:color w:val="111111"/>
          <w:sz w:val="28"/>
          <w:szCs w:val="28"/>
          <w:rtl/>
        </w:rPr>
        <w:t xml:space="preserve">خط: نستعلیق، بی کا، تا: غره رمضان ۱۲۶۶ق؛ کاغذ: حنایی آهار مهره، جلد: تیماج قهوه ای یک لا، ۳۹، ۱۵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۱۹-۶۱۹]</w:t>
      </w:r>
    </w:p>
    <w:p>
      <w:pPr>
        <w:pStyle w:val="BookText"/>
      </w:pPr>
      <w:r>
        <w:rPr>
          <w:rFonts w:ascii="IRNazanin" w:hAnsi="IRNazanin" w:eastAsia="IRNazanin" w:cs="IRNazanin"/>
          <w:lang w:bidi="fa-IR"/>
          <w:color w:val="111111"/>
          <w:sz w:val="28"/>
          <w:szCs w:val="28"/>
          <w:rtl/>
        </w:rPr>
        <w:t xml:space="preserve">٧. تهران؛ مجلس؛ شماره نسخه: ۱۸۰۸۲</w:t>
      </w:r>
    </w:p>
    <w:p>
      <w:pPr>
        <w:pStyle w:val="BookText"/>
      </w:pPr>
      <w:r>
        <w:rPr>
          <w:rFonts w:ascii="IRNazanin" w:hAnsi="IRNazanin" w:eastAsia="IRNazanin" w:cs="IRNazanin"/>
          <w:lang w:bidi="fa-IR"/>
          <w:color w:val="111111"/>
          <w:sz w:val="28"/>
          <w:szCs w:val="28"/>
          <w:rtl/>
        </w:rPr>
        <w:t xml:space="preserve">بی کا، بی تا [د.ث. مجلس]</w:t>
      </w:r>
    </w:p>
    <w:p>
      <w:pPr>
        <w:pStyle w:val="Heading3"/>
      </w:pPr>
      <w:bookmarkStart w:id="1409" w:name="_Toc669"/>
      <w:r>
        <w:t>•بیطار نامه / حيوان شناسی / فارسی</w:t>
      </w:r>
      <w:bookmarkEnd w:id="1409"/>
    </w:p>
    <w:p>
      <w:pPr>
        <w:pStyle w:val="BookText"/>
      </w:pPr>
      <w:r>
        <w:rPr>
          <w:rFonts w:ascii="Times New Roman" w:hAnsi="Times New Roman" w:eastAsia="Times New Roman" w:cs="Times New Roman"/>
          <w:lang w:val="en-US" w:bidi="en-US"/>
          <w:color w:val="111111"/>
          <w:sz w:val="28"/>
          <w:szCs w:val="28"/>
          <w:rtl/>
        </w:rPr>
        <w:t xml:space="preserve">baytār-nāme</w:t>
      </w:r>
    </w:p>
    <w:p>
      <w:pPr>
        <w:pStyle w:val="BookText"/>
      </w:pPr>
      <w:r>
        <w:rPr>
          <w:rFonts w:ascii="IRNazanin" w:hAnsi="IRNazanin" w:eastAsia="IRNazanin" w:cs="IRNazanin"/>
          <w:lang w:bidi="fa-IR"/>
          <w:color w:val="111111"/>
          <w:sz w:val="28"/>
          <w:szCs w:val="28"/>
          <w:rtl/>
        </w:rPr>
        <w:t xml:space="preserve">مؤلف در مقدمه نام خود را نیاورده و همین قدر گوید که در زمان اسکندر ذو القرنین در اسبان وی، وبا افتاد و ارسطاطالیس حکیم در آنجا حاضر بود و چون خبر طاعون به او رسید این کتاب را تصنیف کرد و به خدمت اسکندر فرستاد. به نظر این کتاب از روی کتاب دیگری که از زمان های قدیم رایج بوده است تألیف شده و شاید ترجمه باشد و سبک انشاء به قرن نهم می ماند.</w:t>
      </w:r>
    </w:p>
    <w:p>
      <w:pPr>
        <w:pStyle w:val="BookText"/>
      </w:pPr>
      <w:r>
        <w:rPr>
          <w:rFonts w:ascii="IRNazanin" w:hAnsi="IRNazanin" w:eastAsia="IRNazanin" w:cs="IRNazanin"/>
          <w:lang w:bidi="fa-IR"/>
          <w:color w:val="111111"/>
          <w:sz w:val="28"/>
          <w:szCs w:val="28"/>
          <w:rtl/>
        </w:rPr>
        <w:t xml:space="preserve">[فهرستواره منزوی ۳۷۹۸/۵ ]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21" w:name="pg20363_209476"/>
    <w:bookmarkEnd w:id="221"/>
    <w:p>
      <w:pPr>
        <w:pStyle w:val="BookText"/>
      </w:pPr>
      <w:r>
        <w:rPr>
          <w:rFonts w:ascii="IRNazanin" w:hAnsi="IRNazanin" w:eastAsia="IRNazanin" w:cs="IRNazanin"/>
          <w:lang w:bidi="fa-IR"/>
          <w:color w:val="111111"/>
          <w:sz w:val="28"/>
          <w:szCs w:val="28"/>
          <w:rtl/>
        </w:rPr>
        <w:t xml:space="preserve">تهران؛ مجلس؛ شماره نسخه: ۲۱۶۳</w:t>
      </w:r>
    </w:p>
    <w:p>
      <w:pPr>
        <w:pStyle w:val="BookText"/>
      </w:pPr>
      <w:r>
        <w:rPr>
          <w:rFonts w:ascii="IRNazanin" w:hAnsi="IRNazanin" w:eastAsia="IRNazanin" w:cs="IRNazanin"/>
          <w:lang w:bidi="fa-IR"/>
          <w:color w:val="111111"/>
          <w:sz w:val="28"/>
          <w:szCs w:val="28"/>
          <w:rtl/>
        </w:rPr>
        <w:t xml:space="preserve">آغاز: الحمدلله رب العالمين و العاقبة للمتقين؛ انجام: و اگر صحت یافت فنعم المراد انشاء الله تعالی. خط: تحریری متوسط، بی کا، تا: ۱۲۲۵ق؛ كاتب در آغاز نسخه نوشته: «کتاب بیطار نامه من تصانیف حکیم اعظم ارسطاطالیس رحمة الله عليه»؛ کاغذ: فرنگی آسمانی کلفت آهار مهره، جلد: میشن زرشکی پر رنگ داغ دار، ۱۰۳ص، ۱۰- ۱۱سطر،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w:t>
      </w:r>
    </w:p>
    <w:p>
      <w:pPr>
        <w:pStyle w:val="BookText"/>
      </w:pPr>
      <w:r>
        <w:rPr>
          <w:rFonts w:ascii="IRNazanin" w:hAnsi="IRNazanin" w:eastAsia="IRNazanin" w:cs="IRNazanin"/>
          <w:lang w:bidi="fa-IR"/>
          <w:color w:val="111111"/>
          <w:sz w:val="28"/>
          <w:szCs w:val="28"/>
          <w:rtl/>
        </w:rPr>
        <w:t xml:space="preserve">سم [ف: ۶-۱۳۱]</w:t>
      </w:r>
    </w:p>
    <w:p>
      <w:pPr>
        <w:pStyle w:val="Heading3"/>
      </w:pPr>
      <w:bookmarkStart w:id="1410" w:name="_Toc670"/>
      <w:r>
        <w:t>•بيطاری اسب / حيوان شناسی / فارسی</w:t>
      </w:r>
      <w:bookmarkEnd w:id="1410"/>
    </w:p>
    <w:p>
      <w:pPr>
        <w:pStyle w:val="BookText"/>
      </w:pPr>
      <w:r>
        <w:rPr>
          <w:rFonts w:ascii="Times New Roman" w:hAnsi="Times New Roman" w:eastAsia="Times New Roman" w:cs="Times New Roman"/>
          <w:lang w:val="en-US" w:bidi="en-US"/>
          <w:color w:val="111111"/>
          <w:sz w:val="28"/>
          <w:szCs w:val="28"/>
          <w:rtl/>
        </w:rPr>
        <w:t xml:space="preserve">baytārī-ye asb</w:t>
      </w:r>
    </w:p>
    <w:p>
      <w:pPr>
        <w:pStyle w:val="BookText"/>
      </w:pPr>
      <w:r>
        <w:rPr>
          <w:rFonts w:ascii="IRNazanin" w:hAnsi="IRNazanin" w:eastAsia="IRNazanin" w:cs="IRNazanin"/>
          <w:lang w:bidi="fa-IR"/>
          <w:color w:val="111111"/>
          <w:sz w:val="28"/>
          <w:szCs w:val="28"/>
          <w:rtl/>
        </w:rPr>
        <w:t xml:space="preserve">تهران؛ ملک؛ شماره نسخه: ۲۸۳۱/۴</w:t>
      </w:r>
    </w:p>
    <w:p>
      <w:pPr>
        <w:pStyle w:val="BookText"/>
      </w:pPr>
      <w:r>
        <w:rPr>
          <w:rFonts w:ascii="IRNazanin" w:hAnsi="IRNazanin" w:eastAsia="IRNazanin" w:cs="IRNazanin"/>
          <w:lang w:bidi="fa-IR"/>
          <w:color w:val="111111"/>
          <w:sz w:val="28"/>
          <w:szCs w:val="28"/>
          <w:rtl/>
        </w:rPr>
        <w:t xml:space="preserve">بندی از بیطاری اسب؛ خط: شکسته نستعلیق، بی کا، بی تا؛ ۲گ (۸۲ر-۸۳ر) [ف: ۶- ۱۳۰]</w:t>
      </w:r>
    </w:p>
    <w:p>
      <w:pPr>
        <w:pStyle w:val="Heading3"/>
      </w:pPr>
      <w:bookmarkStart w:id="1411" w:name="_Toc671"/>
      <w:r>
        <w:t>•البيطرة / حيوان شناسی / عربی</w:t>
      </w:r>
      <w:bookmarkEnd w:id="1411"/>
    </w:p>
    <w:p>
      <w:pPr>
        <w:pStyle w:val="BookText"/>
      </w:pPr>
      <w:r>
        <w:rPr>
          <w:rFonts w:ascii="Times New Roman" w:hAnsi="Times New Roman" w:eastAsia="Times New Roman" w:cs="Times New Roman"/>
          <w:lang w:val="en-US" w:bidi="en-US"/>
          <w:color w:val="111111"/>
          <w:sz w:val="28"/>
          <w:szCs w:val="28"/>
          <w:rtl/>
        </w:rPr>
        <w:t xml:space="preserve">al-baytara</w:t>
      </w:r>
    </w:p>
    <w:p>
      <w:pPr>
        <w:pStyle w:val="BookText"/>
      </w:pPr>
      <w:r>
        <w:rPr>
          <w:rFonts w:ascii="IRNazanin" w:hAnsi="IRNazanin" w:eastAsia="IRNazanin" w:cs="IRNazanin"/>
          <w:lang w:bidi="fa-IR"/>
          <w:color w:val="111111"/>
          <w:sz w:val="28"/>
          <w:szCs w:val="28"/>
          <w:rtl/>
        </w:rPr>
        <w:t xml:space="preserve">تهران؛ دانشگاه؛ شماره نسخه: ۱۹۵/۱۲۴ ف</w:t>
      </w:r>
    </w:p>
    <w:p>
      <w:pPr>
        <w:pStyle w:val="BookText"/>
      </w:pPr>
      <w:r>
        <w:rPr>
          <w:rFonts w:ascii="IRNazanin" w:hAnsi="IRNazanin" w:eastAsia="IRNazanin" w:cs="IRNazanin"/>
          <w:lang w:bidi="fa-IR"/>
          <w:color w:val="111111"/>
          <w:sz w:val="28"/>
          <w:szCs w:val="28"/>
          <w:rtl/>
        </w:rPr>
        <w:t xml:space="preserve">نسخه اصل: حمديه ش ۱۴۴۷. با عنوان «باب»؛ بی کا، تا: با تاریخ ۷۵۵ق؛ در هامش [فیلمها ف: ۱-۴۳۰]</w:t>
      </w:r>
    </w:p>
    <w:p>
      <w:pPr>
        <w:pStyle w:val="Heading3"/>
      </w:pPr>
      <w:bookmarkStart w:id="1412" w:name="_Toc672"/>
      <w:r>
        <w:t>•البيطرة / حيوان شناسی / عربی</w:t>
      </w:r>
      <w:bookmarkEnd w:id="1412"/>
    </w:p>
    <w:p>
      <w:pPr>
        <w:pStyle w:val="BookText"/>
      </w:pPr>
      <w:r>
        <w:rPr>
          <w:rFonts w:ascii="Times New Roman" w:hAnsi="Times New Roman" w:eastAsia="Times New Roman" w:cs="Times New Roman"/>
          <w:lang w:val="en-US" w:bidi="en-US"/>
          <w:color w:val="111111"/>
          <w:sz w:val="28"/>
          <w:szCs w:val="28"/>
          <w:rtl/>
        </w:rPr>
        <w:t xml:space="preserve">al-baytara</w:t>
      </w:r>
    </w:p>
    <w:p>
      <w:pPr>
        <w:pStyle w:val="BookText"/>
      </w:pPr>
      <w:r>
        <w:rPr>
          <w:rFonts w:ascii="IRNazanin" w:hAnsi="IRNazanin" w:eastAsia="IRNazanin" w:cs="IRNazanin"/>
          <w:lang w:bidi="fa-IR"/>
          <w:color w:val="111111"/>
          <w:sz w:val="28"/>
          <w:szCs w:val="28"/>
          <w:rtl/>
        </w:rPr>
        <w:t xml:space="preserve">در شناسایی و درمان اسبان و دیگر چهارپایان و در آغاز آمده که از منابع فارسی گرفته شده است.</w:t>
      </w:r>
    </w:p>
    <w:p>
      <w:pPr>
        <w:pStyle w:val="BookText"/>
      </w:pPr>
      <w:r>
        <w:rPr>
          <w:rFonts w:ascii="IRNazanin" w:hAnsi="IRNazanin" w:eastAsia="IRNazanin" w:cs="IRNazanin"/>
          <w:lang w:bidi="fa-IR"/>
          <w:color w:val="111111"/>
          <w:sz w:val="28"/>
          <w:szCs w:val="28"/>
          <w:rtl/>
        </w:rPr>
        <w:t xml:space="preserve">آغاز: بسمله. عونک یا معين على اتمام هذه الرسالة المنقولة عن كتب علماء فارس في ذكر علاجات الداب مع سائر الحيوانات من الإبل و البقرة و الغنم يسمونه بالبيطرة. صفة الدابة التي الايستبين.</w:t>
      </w:r>
    </w:p>
    <w:p>
      <w:pPr>
        <w:pStyle w:val="BookText"/>
      </w:pPr>
      <w:r>
        <w:rPr>
          <w:rFonts w:ascii="IRNazanin" w:hAnsi="IRNazanin" w:eastAsia="IRNazanin" w:cs="IRNazanin"/>
          <w:lang w:bidi="fa-IR"/>
          <w:color w:val="111111"/>
          <w:sz w:val="28"/>
          <w:szCs w:val="28"/>
          <w:rtl/>
        </w:rPr>
        <w:t xml:space="preserve">انجام: للداية الذي متوفيها و اذا رأيت انشاه فان دل على شويها. و بالله التوفيق و المستعان، و عليه توكلی</w:t>
      </w:r>
    </w:p>
    <w:p>
      <w:pPr>
        <w:pStyle w:val="BookText"/>
      </w:pPr>
      <w:r>
        <w:rPr>
          <w:rFonts w:ascii="IRNazanin" w:hAnsi="IRNazanin" w:eastAsia="IRNazanin" w:cs="IRNazanin"/>
          <w:lang w:bidi="fa-IR"/>
          <w:color w:val="111111"/>
          <w:sz w:val="28"/>
          <w:szCs w:val="28"/>
          <w:rtl/>
        </w:rPr>
        <w:t xml:space="preserve">[دنا ۶۰۵/۲ ]</w:t>
      </w:r>
    </w:p>
    <w:p>
      <w:pPr>
        <w:pStyle w:val="BookText"/>
      </w:pPr>
      <w:r>
        <w:rPr>
          <w:rFonts w:ascii="IRNazanin" w:hAnsi="IRNazanin" w:eastAsia="IRNazanin" w:cs="IRNazanin"/>
          <w:lang w:bidi="fa-IR"/>
          <w:color w:val="111111"/>
          <w:sz w:val="28"/>
          <w:szCs w:val="28"/>
          <w:rtl/>
        </w:rPr>
        <w:t xml:space="preserve">تهران؛ مجلس؛ شماره نسخه: ۵۲۷۶/۲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۶۹ ۸گ (۱۶۸-ر۱۷۵ر)، ۳۰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[ف: ۱۶-۹۶]</w:t>
      </w:r>
    </w:p>
    <w:p>
      <w:pPr>
        <w:pStyle w:val="BookText"/>
      </w:pPr>
      <w:r>
        <w:rPr>
          <w:rFonts w:ascii="IRNazanin" w:hAnsi="IRNazanin" w:eastAsia="IRNazanin" w:cs="IRNazanin"/>
          <w:lang w:bidi="fa-IR"/>
          <w:color w:val="111111"/>
          <w:sz w:val="28"/>
          <w:szCs w:val="28"/>
          <w:rtl/>
        </w:rPr>
        <w:t xml:space="preserve">←بیطره ← فرسنامه</w:t>
      </w:r>
    </w:p>
    <w:p>
      <w:pPr>
        <w:pStyle w:val="BookText"/>
      </w:pPr>
      <w:r>
        <w:rPr>
          <w:rFonts w:ascii="IRNazanin" w:hAnsi="IRNazanin" w:eastAsia="IRNazanin" w:cs="IRNazanin"/>
          <w:lang w:bidi="fa-IR"/>
          <w:color w:val="111111"/>
          <w:sz w:val="28"/>
          <w:szCs w:val="28"/>
          <w:rtl/>
        </w:rPr>
        <w:t xml:space="preserve">← بیطره ← اسب نامه</w:t>
      </w:r>
    </w:p>
    <w:p>
      <w:pPr>
        <w:pStyle w:val="Heading3"/>
      </w:pPr>
      <w:bookmarkStart w:id="1413" w:name="_Toc673"/>
      <w:r>
        <w:t>•بیطره / حيوان شناسی / فارسی</w:t>
      </w:r>
      <w:bookmarkEnd w:id="1413"/>
    </w:p>
    <w:p>
      <w:pPr>
        <w:pStyle w:val="BookText"/>
      </w:pPr>
      <w:r>
        <w:rPr>
          <w:rFonts w:ascii="Times New Roman" w:hAnsi="Times New Roman" w:eastAsia="Times New Roman" w:cs="Times New Roman"/>
          <w:lang w:val="en-US" w:bidi="en-US"/>
          <w:color w:val="111111"/>
          <w:sz w:val="28"/>
          <w:szCs w:val="28"/>
          <w:rtl/>
        </w:rPr>
        <w:t xml:space="preserve">baytare</w:t>
      </w:r>
    </w:p>
    <w:p>
      <w:pPr>
        <w:pStyle w:val="BookText"/>
      </w:pPr>
      <w:r>
        <w:rPr>
          <w:rFonts w:ascii="IRNazanin" w:hAnsi="IRNazanin" w:eastAsia="IRNazanin" w:cs="IRNazanin"/>
          <w:lang w:bidi="fa-IR"/>
          <w:color w:val="111111"/>
          <w:sz w:val="28"/>
          <w:szCs w:val="28"/>
          <w:rtl/>
        </w:rPr>
        <w:t xml:space="preserve">همانندی نامعلوم:</w:t>
      </w:r>
    </w:p>
    <w:p>
      <w:pPr>
        <w:pStyle w:val="BookText"/>
      </w:pPr>
      <w:r>
        <w:rPr>
          <w:rFonts w:ascii="IRNazanin" w:hAnsi="IRNazanin" w:eastAsia="IRNazanin" w:cs="IRNazanin"/>
          <w:lang w:bidi="fa-IR"/>
          <w:color w:val="111111"/>
          <w:sz w:val="28"/>
          <w:szCs w:val="28"/>
          <w:rtl/>
        </w:rPr>
        <w:t xml:space="preserve">۱. تهران، دانشگاه؛ شماره نسخه: ۲/ ۲۱۶۰</w:t>
      </w:r>
    </w:p>
    <w:p>
      <w:pPr>
        <w:pStyle w:val="BookText"/>
      </w:pPr>
      <w:r>
        <w:rPr>
          <w:rFonts w:ascii="IRNazanin" w:hAnsi="IRNazanin" w:eastAsia="IRNazanin" w:cs="IRNazanin"/>
          <w:lang w:bidi="fa-IR"/>
          <w:color w:val="111111"/>
          <w:sz w:val="28"/>
          <w:szCs w:val="28"/>
          <w:rtl/>
        </w:rPr>
        <w:t xml:space="preserve">آغاز: في علم البيطرة. بسمله. این مختصریست در علم بیطره یعنی علم بیماریهای چهارپایان و درین نه بیماری ستوران یاد خواهیم کرد؛ انجام: و افسوس این است: یاسا سما ... الاخسارا</w:t>
      </w:r>
    </w:p>
    <w:p>
      <w:pPr>
        <w:pStyle w:val="BookText"/>
      </w:pPr>
      <w:r>
        <w:rPr>
          <w:rFonts w:ascii="IRNazanin" w:hAnsi="IRNazanin" w:eastAsia="IRNazanin" w:cs="IRNazanin"/>
          <w:lang w:bidi="fa-IR"/>
          <w:color w:val="111111"/>
          <w:sz w:val="28"/>
          <w:szCs w:val="28"/>
          <w:rtl/>
        </w:rPr>
        <w:t xml:space="preserve">در نه «فصل»؛ خط: نستعلیق، بی کا، تا: قرن ۱۹ کاغذ: سمرقندی، جلد: تیماج مشکی ضربی زرکوب مقوایی، ۳گ (۱۰۷ر-۱۰۹ر)، ۵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سم [ف: ۹-۸۵۲]</w:t>
      </w:r>
    </w:p>
    <w:p>
      <w:pPr>
        <w:pStyle w:val="BookText"/>
      </w:pPr>
      <w:r>
        <w:rPr>
          <w:rFonts w:ascii="IRNazanin" w:hAnsi="IRNazanin" w:eastAsia="IRNazanin" w:cs="IRNazanin"/>
          <w:lang w:bidi="fa-IR"/>
          <w:color w:val="111111"/>
          <w:sz w:val="28"/>
          <w:szCs w:val="28"/>
          <w:rtl/>
        </w:rPr>
        <w:t xml:space="preserve">۲. تهران؛ دانشگاه؛ شماره نسخه: ۲۴/۲۰-ف</w:t>
      </w:r>
    </w:p>
    <w:p>
      <w:pPr>
        <w:pStyle w:val="BookText"/>
      </w:pPr>
      <w:r>
        <w:rPr>
          <w:rFonts w:ascii="IRNazanin" w:hAnsi="IRNazanin" w:eastAsia="IRNazanin" w:cs="IRNazanin"/>
          <w:lang w:bidi="fa-IR"/>
          <w:color w:val="111111"/>
          <w:sz w:val="28"/>
          <w:szCs w:val="28"/>
          <w:rtl/>
        </w:rPr>
        <w:t xml:space="preserve">نسخه اصل: موزه بریتانیا 27261 .</w:t>
      </w:r>
      <w:r>
        <w:rPr>
          <w:rFonts w:ascii="Times New Roman" w:hAnsi="Times New Roman" w:eastAsia="Times New Roman" w:cs="Times New Roman"/>
          <w:lang w:val="en-US" w:bidi="en-US"/>
          <w:color w:val="111111"/>
          <w:sz w:val="28"/>
          <w:szCs w:val="28"/>
          <w:rtl/>
        </w:rPr>
        <w:t xml:space="preserve">Add</w:t>
      </w:r>
      <w:r>
        <w:rPr>
          <w:rFonts w:ascii="IRNazanin" w:hAnsi="IRNazanin" w:eastAsia="IRNazanin" w:cs="IRNazanin"/>
          <w:lang w:bidi="fa-IR"/>
          <w:color w:val="111111"/>
          <w:sz w:val="28"/>
          <w:szCs w:val="28"/>
          <w:rtl/>
        </w:rPr>
        <w:t xml:space="preserve">؛ مختصر در علم بيطار؛ خط: نسخ و نستعلیق، بی کا، تا: قرن ۹ [فیلمها ف: ۱-۴۰۲]</w:t>
      </w:r>
    </w:p>
    <w:p>
      <w:pPr>
        <w:pStyle w:val="BookText"/>
      </w:pPr>
      <w:r>
        <w:rPr>
          <w:rFonts w:ascii="IRNazanin" w:hAnsi="IRNazanin" w:eastAsia="IRNazanin" w:cs="IRNazanin"/>
          <w:lang w:bidi="fa-IR"/>
          <w:color w:val="111111"/>
          <w:sz w:val="28"/>
          <w:szCs w:val="28"/>
          <w:rtl/>
        </w:rPr>
        <w:t xml:space="preserve">٣. تهران؛ دانشگاه؛ شماره نسخه: ۲۵۴/۵ -في</w:t>
      </w:r>
    </w:p>
    <w:p>
      <w:pPr>
        <w:pStyle w:val="BookText"/>
      </w:pPr>
      <w:r>
        <w:rPr>
          <w:rFonts w:ascii="IRNazanin" w:hAnsi="IRNazanin" w:eastAsia="IRNazanin" w:cs="IRNazanin"/>
          <w:lang w:bidi="fa-IR"/>
          <w:color w:val="111111"/>
          <w:sz w:val="28"/>
          <w:szCs w:val="28"/>
          <w:rtl/>
        </w:rPr>
        <w:t xml:space="preserve">نسخه اصل: اونیورسیته ش ۱۴۱۸؛ بی کا، تا: چهارشنبه ۱۷ صفر ۸۱۴ق؛ در هامش [فيلمها ف: ۱-۴۴۴]</w:t>
      </w:r>
    </w:p>
    <w:p>
      <w:pPr>
        <w:pStyle w:val="BookText"/>
      </w:pPr>
      <w:r>
        <w:rPr>
          <w:rFonts w:ascii="IRNazanin" w:hAnsi="IRNazanin" w:eastAsia="IRNazanin" w:cs="IRNazanin"/>
          <w:lang w:bidi="fa-IR"/>
          <w:color w:val="111111"/>
          <w:sz w:val="28"/>
          <w:szCs w:val="28"/>
          <w:rtl/>
        </w:rPr>
        <w:t xml:space="preserve">۴. تهران؛ ملک؛ شماره نسخه: ۴۸۱/۴</w:t>
      </w:r>
    </w:p>
    <w:p>
      <w:pPr>
        <w:pStyle w:val="BookText"/>
      </w:pPr>
      <w:r>
        <w:rPr>
          <w:rFonts w:ascii="IRNazanin" w:hAnsi="IRNazanin" w:eastAsia="IRNazanin" w:cs="IRNazanin"/>
          <w:lang w:bidi="fa-IR"/>
          <w:color w:val="111111"/>
          <w:sz w:val="28"/>
          <w:szCs w:val="28"/>
          <w:rtl/>
        </w:rPr>
        <w:t xml:space="preserve">آغاز: سپاس و ستایش پادشاهی را سزاست ... و بعد این رسالهای است مختصر در بیان محامد و دمایم و معالجات امراض اسب و این مشتمل است بر شش فصل. خط حاجی ابراهیم کندی</w:t>
      </w:r>
    </w:p>
    <w:p>
      <w:pPr>
        <w:pStyle w:val="BookText"/>
      </w:pPr>
      <w:r>
        <w:rPr>
          <w:rFonts w:ascii="IRNazanin" w:hAnsi="IRNazanin" w:eastAsia="IRNazanin" w:cs="IRNazanin"/>
          <w:lang w:bidi="fa-IR"/>
          <w:color w:val="111111"/>
          <w:sz w:val="28"/>
          <w:szCs w:val="28"/>
          <w:rtl/>
        </w:rPr>
        <w:t xml:space="preserve">خط: شکسته نستعلیق، کا: محمد مومن، تا: شنبه ربيع الثانی ۱۲۱۶ق، جا: قریه رنگ سار گسکر گیلان در منزل حاج ابراهیم وزیر کاغذ: فستقی آبی، جلد: میشن لایی مشکی، ۱۱ سطر [ف: ۳۵-۵ ]</w:t>
      </w:r>
    </w:p>
    <w:p>
      <w:pPr>
        <w:pStyle w:val="BookText"/>
      </w:pPr>
      <w:r>
        <w:rPr>
          <w:rFonts w:ascii="IRNazanin" w:hAnsi="IRNazanin" w:eastAsia="IRNazanin" w:cs="IRNazanin"/>
          <w:lang w:bidi="fa-IR"/>
          <w:color w:val="111111"/>
          <w:sz w:val="28"/>
          <w:szCs w:val="28"/>
          <w:rtl/>
        </w:rPr>
        <w:t xml:space="preserve">۵. تهران علوم پزشکی؛ شماره نسخه: ۲۵۰/۸</w:t>
      </w:r>
    </w:p>
    <w:p>
      <w:pPr>
        <w:pStyle w:val="BookText"/>
      </w:pPr>
      <w:r>
        <w:rPr>
          <w:rFonts w:ascii="IRNazanin" w:hAnsi="IRNazanin" w:eastAsia="IRNazanin" w:cs="IRNazanin"/>
          <w:lang w:bidi="fa-IR"/>
          <w:color w:val="111111"/>
          <w:sz w:val="28"/>
          <w:szCs w:val="28"/>
          <w:rtl/>
        </w:rPr>
        <w:t xml:space="preserve">آغاز: در معالجات امراض چهار پایان انجام و باید آن رشته به قدر محکم باشد که در کشیدن گسیخته نشود و اگر اسب</w:t>
      </w:r>
    </w:p>
    <w:p>
      <w:pPr>
        <w:pStyle w:val="BookText"/>
      </w:pPr>
      <w:r>
        <w:rPr>
          <w:rFonts w:ascii="IRNazanin" w:hAnsi="IRNazanin" w:eastAsia="IRNazanin" w:cs="IRNazanin"/>
          <w:lang w:bidi="fa-IR"/>
          <w:color w:val="111111"/>
          <w:sz w:val="28"/>
          <w:szCs w:val="28"/>
          <w:rtl/>
        </w:rPr>
        <w:t xml:space="preserve">گویا بندیست از کتابی و عنوان «باب چهارم در معالجه امراض باطنی، باب ششم در معالجه جوشش و خارش و سکته، باب دوم در معالجه امراض ختن و سینه» هم دارد؛ خط: تحریری، بی کا، بی تا؛ افتادگی: انجام؛ ۱۲ص (۴۱۵-۴۲۶)، ۱۹-۲۱ سطر</w:t>
      </w:r>
    </w:p>
    <w:p>
      <w:pPr>
        <w:pStyle w:val="BookText"/>
      </w:pPr>
      <w:r>
        <w:rPr>
          <w:rFonts w:ascii="IRNazanin" w:hAnsi="IRNazanin" w:eastAsia="IRNazanin" w:cs="IRNazanin"/>
          <w:lang w:bidi="fa-IR"/>
          <w:color w:val="111111"/>
          <w:sz w:val="28"/>
          <w:szCs w:val="28"/>
          <w:rtl/>
        </w:rPr>
        <w:t xml:space="preserve">(۱۲/۵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۱۳/۵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[نشریه: ۳-۳۳۹]</w:t>
      </w:r>
    </w:p>
    <w:p>
      <w:pPr>
        <w:pStyle w:val="BookText"/>
      </w:pPr>
      <w:r>
        <w:rPr>
          <w:rFonts w:ascii="IRNazanin" w:hAnsi="IRNazanin" w:eastAsia="IRNazanin" w:cs="IRNazanin"/>
          <w:lang w:bidi="fa-IR"/>
          <w:color w:val="111111"/>
          <w:sz w:val="28"/>
          <w:szCs w:val="28"/>
          <w:rtl/>
        </w:rPr>
        <w:t xml:space="preserve">← البيع ← احکام البيع</w:t>
      </w:r>
    </w:p>
    <w:p>
      <w:pPr>
        <w:pStyle w:val="Heading3"/>
      </w:pPr>
      <w:bookmarkStart w:id="1414" w:name="_Toc674"/>
      <w:r>
        <w:t>•البيع / فقه / عربی</w:t>
      </w:r>
      <w:bookmarkEnd w:id="1414"/>
    </w:p>
    <w:p>
      <w:pPr>
        <w:pStyle w:val="BookText"/>
      </w:pPr>
      <w:r>
        <w:rPr>
          <w:rFonts w:ascii="Times New Roman" w:hAnsi="Times New Roman" w:eastAsia="Times New Roman" w:cs="Times New Roman"/>
          <w:lang w:val="en-US" w:bidi="en-US"/>
          <w:color w:val="111111"/>
          <w:sz w:val="28"/>
          <w:szCs w:val="28"/>
          <w:rtl/>
        </w:rPr>
        <w:t xml:space="preserve">al-bay“</w:t>
      </w:r>
    </w:p>
    <w:p>
      <w:pPr>
        <w:pStyle w:val="BookText"/>
      </w:pPr>
      <w:r>
        <w:rPr>
          <w:rFonts w:ascii="IRNazanin" w:hAnsi="IRNazanin" w:eastAsia="IRNazanin" w:cs="IRNazanin"/>
          <w:lang w:bidi="fa-IR"/>
          <w:color w:val="111111"/>
          <w:sz w:val="28"/>
          <w:szCs w:val="28"/>
          <w:rtl/>
        </w:rPr>
        <w:t xml:space="preserve">حسینی نائینی، محمد بن محمد باقر، ۱۰۸۰؟ -۱۱۴۰ ؟ قمری</w:t>
      </w:r>
    </w:p>
    <w:p>
      <w:pPr>
        <w:pStyle w:val="BookText"/>
      </w:pPr>
      <w:r>
        <w:rPr>
          <w:rFonts w:ascii="Times New Roman" w:hAnsi="Times New Roman" w:eastAsia="Times New Roman" w:cs="Times New Roman"/>
          <w:lang w:val="en-US" w:bidi="en-US"/>
          <w:color w:val="111111"/>
          <w:sz w:val="28"/>
          <w:szCs w:val="28"/>
          <w:rtl/>
        </w:rPr>
        <w:t xml:space="preserve">hoseynī nāʻīnī, mohammad ebn-e mohammad bāqer (1670-1728)</w:t>
      </w:r>
    </w:p>
    <w:p>
      <w:pPr>
        <w:pStyle w:val="BookText"/>
      </w:pPr>
      <w:r>
        <w:rPr>
          <w:rFonts w:ascii="IRNazanin" w:hAnsi="IRNazanin" w:eastAsia="IRNazanin" w:cs="IRNazanin"/>
          <w:lang w:bidi="fa-IR"/>
          <w:color w:val="111111"/>
          <w:sz w:val="28"/>
          <w:szCs w:val="28"/>
          <w:rtl/>
        </w:rPr>
        <w:t xml:space="preserve">تاریخ تألیف: شب ۲۸ ربیع الاول ۱۱۲۸؛ محل تأليف: جعفر آباد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22" w:name="pg20363_209477"/>
    <w:bookmarkEnd w:id="222"/>
    <w:p>
      <w:pPr>
        <w:pStyle w:val="BookText"/>
      </w:pPr>
      <w:r>
        <w:rPr>
          <w:rFonts w:ascii="IRNazanin" w:hAnsi="IRNazanin" w:eastAsia="IRNazanin" w:cs="IRNazanin"/>
          <w:lang w:bidi="fa-IR"/>
          <w:color w:val="111111"/>
          <w:sz w:val="28"/>
          <w:szCs w:val="28"/>
          <w:rtl/>
        </w:rPr>
        <w:t xml:space="preserve">اصفهان رساله ای در تعارض حق مشتری و بایع، دارای دو «عين» و چهار «تنبيه». نام رساله مشخص نیست (شاید نام این رساله «عین التحقيق» باشد).</w:t>
      </w:r>
    </w:p>
    <w:p>
      <w:pPr>
        <w:pStyle w:val="BookText"/>
      </w:pPr>
      <w:r>
        <w:rPr>
          <w:rFonts w:ascii="IRNazanin" w:hAnsi="IRNazanin" w:eastAsia="IRNazanin" w:cs="IRNazanin"/>
          <w:lang w:bidi="fa-IR"/>
          <w:color w:val="111111"/>
          <w:sz w:val="28"/>
          <w:szCs w:val="28"/>
          <w:rtl/>
        </w:rPr>
        <w:t xml:space="preserve">قم؛ مرعشی؛ شماره نسخه: ۳۳۸۲/۱</w:t>
      </w:r>
    </w:p>
    <w:p>
      <w:pPr>
        <w:pStyle w:val="BookText"/>
      </w:pPr>
      <w:r>
        <w:rPr>
          <w:rFonts w:ascii="IRNazanin" w:hAnsi="IRNazanin" w:eastAsia="IRNazanin" w:cs="IRNazanin"/>
          <w:lang w:bidi="fa-IR"/>
          <w:color w:val="111111"/>
          <w:sz w:val="28"/>
          <w:szCs w:val="28"/>
          <w:rtl/>
        </w:rPr>
        <w:t xml:space="preserve">آغاز: غیره و قد علم بذلك أن حصر السببية لضرر البائع في نفسه كما في الروضة و المسالك مستدرک ضائع؛ انجام: إلى أن سقانا الله رحيق الحق من عين التحقيق و هدانا إلى الصدق المحقق بنور التوفيق خط: نستعلیق، کا: مختاری، بی تا؛ افتادگی: آغاز؛ جلد: مقوایی پارچه، ۷گ (۱ر-۷ر)،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۹-۱۵۸]</w:t>
      </w:r>
    </w:p>
    <w:p>
      <w:pPr>
        <w:pStyle w:val="Heading3"/>
      </w:pPr>
      <w:bookmarkStart w:id="1415" w:name="_Toc675"/>
      <w:r>
        <w:t>•بيع / فقه / فارسی</w:t>
      </w:r>
      <w:bookmarkEnd w:id="1415"/>
    </w:p>
    <w:p>
      <w:pPr>
        <w:pStyle w:val="BookText"/>
      </w:pPr>
      <w:r>
        <w:rPr>
          <w:rFonts w:ascii="Times New Roman" w:hAnsi="Times New Roman" w:eastAsia="Times New Roman" w:cs="Times New Roman"/>
          <w:lang w:val="en-US" w:bidi="en-US"/>
          <w:color w:val="111111"/>
          <w:sz w:val="28"/>
          <w:szCs w:val="28"/>
          <w:rtl/>
        </w:rPr>
        <w:t xml:space="preserve">bey'</w:t>
      </w:r>
    </w:p>
    <w:p>
      <w:pPr>
        <w:pStyle w:val="BookText"/>
      </w:pPr>
      <w:r>
        <w:rPr>
          <w:rFonts w:ascii="IRNazanin" w:hAnsi="IRNazanin" w:eastAsia="IRNazanin" w:cs="IRNazanin"/>
          <w:lang w:bidi="fa-IR"/>
          <w:color w:val="111111"/>
          <w:sz w:val="28"/>
          <w:szCs w:val="28"/>
          <w:rtl/>
        </w:rPr>
        <w:t xml:space="preserve">آباده ای، محمد جعفر بن محمد صفی، ۱۲۸۰ قمری</w:t>
      </w:r>
    </w:p>
    <w:p>
      <w:pPr>
        <w:pStyle w:val="BookText"/>
      </w:pPr>
      <w:r>
        <w:rPr>
          <w:rFonts w:ascii="Times New Roman" w:hAnsi="Times New Roman" w:eastAsia="Times New Roman" w:cs="Times New Roman"/>
          <w:lang w:val="en-US" w:bidi="en-US"/>
          <w:color w:val="111111"/>
          <w:sz w:val="28"/>
          <w:szCs w:val="28"/>
          <w:rtl/>
        </w:rPr>
        <w:t xml:space="preserve">abadell, mohammad jafar ebn-e mohammad safi ( 1864)</w:t>
      </w:r>
    </w:p>
    <w:p>
      <w:pPr>
        <w:pStyle w:val="BookText"/>
      </w:pPr>
      <w:r>
        <w:rPr>
          <w:rFonts w:ascii="IRNazanin" w:hAnsi="IRNazanin" w:eastAsia="IRNazanin" w:cs="IRNazanin"/>
          <w:lang w:bidi="fa-IR"/>
          <w:color w:val="111111"/>
          <w:sz w:val="28"/>
          <w:szCs w:val="28"/>
          <w:rtl/>
        </w:rPr>
        <w:t xml:space="preserve">رساله ای در مسائل بیع و تجارت، تحت عناوین «مسألة، مسألة» به شکل فتوایی و با اشاره مختصر به دلائل آورده است مؤلف شاگرد حجة الاسلام شفتی است.</w:t>
      </w:r>
    </w:p>
    <w:p>
      <w:pPr>
        <w:pStyle w:val="BookText"/>
      </w:pPr>
      <w:r>
        <w:rPr>
          <w:rFonts w:ascii="IRNazanin" w:hAnsi="IRNazanin" w:eastAsia="IRNazanin" w:cs="IRNazanin"/>
          <w:lang w:bidi="fa-IR"/>
          <w:color w:val="111111"/>
          <w:sz w:val="28"/>
          <w:szCs w:val="28"/>
          <w:rtl/>
        </w:rPr>
        <w:t xml:space="preserve">قم؛ مسجد اعظم؛ شماره نسخه: ۳۸۴۶</w:t>
      </w:r>
    </w:p>
    <w:p>
      <w:pPr>
        <w:pStyle w:val="BookText"/>
      </w:pPr>
      <w:r>
        <w:rPr>
          <w:rFonts w:ascii="IRNazanin" w:hAnsi="IRNazanin" w:eastAsia="IRNazanin" w:cs="IRNazanin"/>
          <w:lang w:bidi="fa-IR"/>
          <w:color w:val="111111"/>
          <w:sz w:val="28"/>
          <w:szCs w:val="28"/>
          <w:rtl/>
        </w:rPr>
        <w:t xml:space="preserve">آغاز: الحمدلله رب العالمين و العاقبة للمتقين و الصلاة و السلام على خير خلقه محمد و آله اجمعين اما بعد غريق لجه معصیت و خاسر دنیا و آخرت ... عرض می نماید خدمت برادران ایمانی؛ انجام: و هم چنین شرط نشده باشد در حین عقد ايصال به مشتری و ظاهر این است که فرق نیست میان آن که ضمیمه متاع باشد یا نقد و میان آن که آن ضمیمه متحد باشد یا متعدد و میان آن که قصد بایع یا مشتری یا هر دو تعلق به ضمیمه فقط گرفته باشد یا به آبق و ضمیمه یا بلاقصد از هر دو خط: نسخ، بی کا، بی تا؛ افتادگی: انجام؛ جلد: مقوا، ۷۲، ۲۰ سطر، اندازه: ۲۱←۱۶سم [ف مخ: ۱-۲۹۶]</w:t>
      </w:r>
    </w:p>
    <w:p>
      <w:pPr>
        <w:pStyle w:val="Heading3"/>
      </w:pPr>
      <w:bookmarkStart w:id="1416" w:name="_Toc676"/>
      <w:r>
        <w:t>•البيع / فقه / عربی</w:t>
      </w:r>
      <w:bookmarkEnd w:id="1416"/>
    </w:p>
    <w:p>
      <w:pPr>
        <w:pStyle w:val="BookText"/>
      </w:pPr>
      <w:r>
        <w:rPr>
          <w:rFonts w:ascii="Times New Roman" w:hAnsi="Times New Roman" w:eastAsia="Times New Roman" w:cs="Times New Roman"/>
          <w:lang w:val="en-US" w:bidi="en-US"/>
          <w:color w:val="111111"/>
          <w:sz w:val="28"/>
          <w:szCs w:val="28"/>
          <w:rtl/>
        </w:rPr>
        <w:t xml:space="preserve">al-bay</w:t>
      </w:r>
    </w:p>
    <w:p>
      <w:pPr>
        <w:pStyle w:val="BookText"/>
      </w:pPr>
      <w:r>
        <w:rPr>
          <w:rFonts w:ascii="IRNazanin" w:hAnsi="IRNazanin" w:eastAsia="IRNazanin" w:cs="IRNazanin"/>
          <w:lang w:bidi="fa-IR"/>
          <w:color w:val="111111"/>
          <w:sz w:val="28"/>
          <w:szCs w:val="28"/>
          <w:rtl/>
        </w:rPr>
        <w:t xml:space="preserve">عرب خوانساری، محمود، ق۱۳ قمری</w:t>
      </w:r>
    </w:p>
    <w:p>
      <w:pPr>
        <w:pStyle w:val="BookText"/>
      </w:pPr>
      <w:r>
        <w:rPr>
          <w:rFonts w:ascii="Times New Roman" w:hAnsi="Times New Roman" w:eastAsia="Times New Roman" w:cs="Times New Roman"/>
          <w:lang w:val="en-US" w:bidi="en-US"/>
          <w:color w:val="111111"/>
          <w:sz w:val="28"/>
          <w:szCs w:val="28"/>
          <w:rtl/>
        </w:rPr>
        <w:t xml:space="preserve">‘arab xānsārī, mahmūd (- 19c)</w:t>
      </w:r>
    </w:p>
    <w:p>
      <w:pPr>
        <w:pStyle w:val="BookText"/>
      </w:pPr>
      <w:r>
        <w:rPr>
          <w:rFonts w:ascii="IRNazanin" w:hAnsi="IRNazanin" w:eastAsia="IRNazanin" w:cs="IRNazanin"/>
          <w:lang w:bidi="fa-IR"/>
          <w:color w:val="111111"/>
          <w:sz w:val="28"/>
          <w:szCs w:val="28"/>
          <w:rtl/>
        </w:rPr>
        <w:t xml:space="preserve">تاریخ تأليف: شنبه ۲۸ ربیع الاول ۱۲۶۰ق</w:t>
      </w:r>
    </w:p>
    <w:p>
      <w:pPr>
        <w:pStyle w:val="BookText"/>
      </w:pPr>
      <w:r>
        <w:rPr>
          <w:rFonts w:ascii="IRNazanin" w:hAnsi="IRNazanin" w:eastAsia="IRNazanin" w:cs="IRNazanin"/>
          <w:lang w:bidi="fa-IR"/>
          <w:color w:val="111111"/>
          <w:sz w:val="28"/>
          <w:szCs w:val="28"/>
          <w:rtl/>
        </w:rPr>
        <w:t xml:space="preserve">تقریرات درس فقه مرحوم حجت است.</w:t>
      </w:r>
    </w:p>
    <w:p>
      <w:pPr>
        <w:pStyle w:val="BookText"/>
      </w:pPr>
      <w:r>
        <w:rPr>
          <w:rFonts w:ascii="IRNazanin" w:hAnsi="IRNazanin" w:eastAsia="IRNazanin" w:cs="IRNazanin"/>
          <w:lang w:bidi="fa-IR"/>
          <w:color w:val="111111"/>
          <w:sz w:val="28"/>
          <w:szCs w:val="28"/>
          <w:rtl/>
        </w:rPr>
        <w:t xml:space="preserve">قم؛ حجت کوهکمری؛ شماره نسخه: ۳۰</w:t>
      </w:r>
    </w:p>
    <w:p>
      <w:pPr>
        <w:pStyle w:val="BookText"/>
      </w:pPr>
      <w:r>
        <w:rPr>
          <w:rFonts w:ascii="Amiri" w:hAnsi="Amiri" w:eastAsia="Amiri" w:cs="Amiri"/>
          <w:lang w:bidi="ar-SA"/>
          <w:color w:val="111111"/>
          <w:sz w:val="28"/>
          <w:szCs w:val="28"/>
          <w:rtl/>
        </w:rPr>
        <w:t xml:space="preserve">آغاز: بسم الله الرحمن الرحيم ... في البيع، مقدمة في تعريفه اعلم ان الاعلام (قدهم) قد ذكروا له</w:t>
      </w:r>
    </w:p>
    <w:p>
      <w:pPr>
        <w:pStyle w:val="BookText"/>
      </w:pPr>
      <w:r>
        <w:rPr>
          <w:rFonts w:ascii="IRNazanin" w:hAnsi="IRNazanin" w:eastAsia="IRNazanin" w:cs="IRNazanin"/>
          <w:lang w:bidi="fa-IR"/>
          <w:color w:val="111111"/>
          <w:sz w:val="28"/>
          <w:szCs w:val="28"/>
          <w:rtl/>
        </w:rPr>
        <w:t xml:space="preserve">خط: نستعلیق، کاتب = مؤلف، بی تا؛ مصحح [ف: ۳۵]</w:t>
      </w:r>
    </w:p>
    <w:p>
      <w:pPr>
        <w:pStyle w:val="Heading3"/>
      </w:pPr>
      <w:bookmarkStart w:id="1417" w:name="_Toc677"/>
      <w:r>
        <w:t>•البيع / فقه / عربی</w:t>
      </w:r>
      <w:bookmarkEnd w:id="1417"/>
    </w:p>
    <w:p>
      <w:pPr>
        <w:pStyle w:val="BookText"/>
      </w:pPr>
      <w:r>
        <w:rPr>
          <w:rFonts w:ascii="Times New Roman" w:hAnsi="Times New Roman" w:eastAsia="Times New Roman" w:cs="Times New Roman"/>
          <w:lang w:val="en-US" w:bidi="en-US"/>
          <w:color w:val="111111"/>
          <w:sz w:val="28"/>
          <w:szCs w:val="28"/>
          <w:rtl/>
        </w:rPr>
        <w:t xml:space="preserve">al-bay“</w:t>
      </w:r>
    </w:p>
    <w:p>
      <w:pPr>
        <w:pStyle w:val="BookText"/>
      </w:pPr>
      <w:r>
        <w:rPr>
          <w:rFonts w:ascii="Times New Roman" w:hAnsi="Times New Roman" w:eastAsia="Times New Roman" w:cs="Times New Roman"/>
          <w:lang w:val="en-US" w:bidi="en-US"/>
          <w:color w:val="111111"/>
          <w:sz w:val="28"/>
          <w:szCs w:val="28"/>
          <w:rtl/>
        </w:rPr>
        <w:t xml:space="preserve">gīlānī qazvīnī, ‘abd-ol-karīm (- 19c)</w:t>
      </w:r>
    </w:p>
    <w:p>
      <w:pPr>
        <w:pStyle w:val="BookText"/>
      </w:pPr>
      <w:r>
        <w:rPr>
          <w:rFonts w:ascii="IRNazanin" w:hAnsi="IRNazanin" w:eastAsia="IRNazanin" w:cs="IRNazanin"/>
          <w:lang w:bidi="fa-IR"/>
          <w:color w:val="111111"/>
          <w:sz w:val="28"/>
          <w:szCs w:val="28"/>
          <w:rtl/>
        </w:rPr>
        <w:t xml:space="preserve">گیلانی قزوینی، عبدالکریم، ق۱۳ قمری کتاب فقهی استدلالی متوسطی است با نقل اقوال بعضی از فقها با عناوین «مسئلة مسئلة». نام مؤلف از وقف نامه ای است که بر</w:t>
      </w:r>
    </w:p>
    <w:p>
      <w:pPr>
        <w:pStyle w:val="BookText"/>
      </w:pPr>
      <w:r>
        <w:rPr>
          <w:rFonts w:ascii="IRNazanin" w:hAnsi="IRNazanin" w:eastAsia="IRNazanin" w:cs="IRNazanin"/>
          <w:lang w:bidi="fa-IR"/>
          <w:color w:val="111111"/>
          <w:sz w:val="28"/>
          <w:szCs w:val="28"/>
          <w:rtl/>
        </w:rPr>
        <w:t xml:space="preserve">فراز برگ اول فرزندش سید جمال الدين قزوینی نوشته است. احتمال می رود که قزوینی تمام یا بعضی از ابواب فقهی دیگر را نیز نوشته باشد.</w:t>
      </w:r>
    </w:p>
    <w:p>
      <w:pPr>
        <w:pStyle w:val="BookText"/>
      </w:pPr>
      <w:r>
        <w:rPr>
          <w:rFonts w:ascii="IRNazanin" w:hAnsi="IRNazanin" w:eastAsia="IRNazanin" w:cs="IRNazanin"/>
          <w:lang w:bidi="fa-IR"/>
          <w:color w:val="111111"/>
          <w:sz w:val="28"/>
          <w:szCs w:val="28"/>
          <w:rtl/>
        </w:rPr>
        <w:t xml:space="preserve">قم؛ مرعشی؛ شماره نسخه: ۲۰۴۵</w:t>
      </w:r>
    </w:p>
    <w:p>
      <w:pPr>
        <w:pStyle w:val="BookText"/>
      </w:pPr>
      <w:r>
        <w:rPr>
          <w:rFonts w:ascii="IRNazanin" w:hAnsi="IRNazanin" w:eastAsia="IRNazanin" w:cs="IRNazanin"/>
          <w:lang w:bidi="fa-IR"/>
          <w:color w:val="111111"/>
          <w:sz w:val="28"/>
          <w:szCs w:val="28"/>
          <w:rtl/>
        </w:rPr>
        <w:t xml:space="preserve">آغاز: كتاب البيع و هو على ما يستفاد من كلام كثير من الفقهاء نقل عین مملوكة من شخص إلى غيره بعوض معين؛ انجام: و منها آن مالا مالية له كحبة الحنطة أو شعير أو نحو هما فالظاهر تعلق حق الاختصاص به.</w:t>
      </w:r>
    </w:p>
    <w:p>
      <w:pPr>
        <w:pStyle w:val="BookText"/>
      </w:pPr>
      <w:r>
        <w:rPr>
          <w:rFonts w:ascii="IRNazanin" w:hAnsi="IRNazanin" w:eastAsia="IRNazanin" w:cs="IRNazanin"/>
          <w:lang w:bidi="fa-IR"/>
          <w:color w:val="111111"/>
          <w:sz w:val="28"/>
          <w:szCs w:val="28"/>
          <w:rtl/>
        </w:rPr>
        <w:t xml:space="preserve">خط: نسخ، كاتب = مؤلف، بی تا؛ وقف نامه کتاب به تاریخ پنجم شعبان ۱۳۰۹؛ مهر: «جمال الدين ابن عبد الكريم الرضوی» (مربع)؛ جلد: تیماج مشکی بدون مقوا، ۷۴گ، ۲۲ سطر، اندازه: ۲۱←۱۷سم [ف: ۶-۵۵]</w:t>
      </w:r>
    </w:p>
    <w:p>
      <w:pPr>
        <w:pStyle w:val="Heading3"/>
      </w:pPr>
      <w:bookmarkStart w:id="1418" w:name="_Toc678"/>
      <w:r>
        <w:t>•البيع = شرح شرایع الاسلام / فقه / عربی</w:t>
      </w:r>
      <w:bookmarkEnd w:id="1418"/>
    </w:p>
    <w:p>
      <w:pPr>
        <w:pStyle w:val="BookText"/>
      </w:pPr>
      <w:r>
        <w:rPr>
          <w:rFonts w:ascii="Times New Roman" w:hAnsi="Times New Roman" w:eastAsia="Times New Roman" w:cs="Times New Roman"/>
          <w:lang w:val="en-US" w:bidi="en-US"/>
          <w:color w:val="111111"/>
          <w:sz w:val="28"/>
          <w:szCs w:val="28"/>
          <w:rtl/>
        </w:rPr>
        <w:t xml:space="preserve">al-bayʻ = š.-u šarāyi'-il islām</w:t>
      </w:r>
    </w:p>
    <w:p>
      <w:pPr>
        <w:pStyle w:val="BookText"/>
      </w:pPr>
      <w:r>
        <w:rPr>
          <w:rFonts w:ascii="IRNazanin" w:hAnsi="IRNazanin" w:eastAsia="IRNazanin" w:cs="IRNazanin"/>
          <w:lang w:bidi="fa-IR"/>
          <w:color w:val="111111"/>
          <w:sz w:val="28"/>
          <w:szCs w:val="28"/>
          <w:rtl/>
        </w:rPr>
        <w:t xml:space="preserve">نجم آبادی، حسن بن ابراهيم، ق۱۳ قمری</w:t>
      </w:r>
    </w:p>
    <w:p>
      <w:pPr>
        <w:pStyle w:val="BookText"/>
      </w:pPr>
      <w:r>
        <w:rPr>
          <w:rFonts w:ascii="Times New Roman" w:hAnsi="Times New Roman" w:eastAsia="Times New Roman" w:cs="Times New Roman"/>
          <w:lang w:val="en-US" w:bidi="en-US"/>
          <w:color w:val="111111"/>
          <w:sz w:val="28"/>
          <w:szCs w:val="28"/>
          <w:rtl/>
        </w:rPr>
        <w:t xml:space="preserve">najm-ābādī, hasan ebn-e ebrāhīm (- 19c)</w:t>
      </w:r>
    </w:p>
    <w:p>
      <w:pPr>
        <w:pStyle w:val="BookText"/>
      </w:pPr>
      <w:r>
        <w:rPr>
          <w:rFonts w:ascii="IRNazanin" w:hAnsi="IRNazanin" w:eastAsia="IRNazanin" w:cs="IRNazanin"/>
          <w:lang w:bidi="fa-IR"/>
          <w:color w:val="111111"/>
          <w:sz w:val="28"/>
          <w:szCs w:val="28"/>
          <w:rtl/>
        </w:rPr>
        <w:t xml:space="preserve">وابسته به شرایع الاسلام في مسائل الحلال و الحرام؛ محقق حلی، جعفر بن حسن (۶۷۶۶۰۲) گزارشی بر کتاب بيع «شرايع» (فصل دوم تجارت تا فصل پنجم در احکام) است.</w:t>
      </w:r>
    </w:p>
    <w:p>
      <w:pPr>
        <w:pStyle w:val="BookText"/>
      </w:pPr>
      <w:r>
        <w:rPr>
          <w:rFonts w:ascii="IRNazanin" w:hAnsi="IRNazanin" w:eastAsia="IRNazanin" w:cs="IRNazanin"/>
          <w:lang w:bidi="fa-IR"/>
          <w:color w:val="111111"/>
          <w:sz w:val="28"/>
          <w:szCs w:val="28"/>
          <w:rtl/>
        </w:rPr>
        <w:t xml:space="preserve">[الذریعه ۱۹۱/۳ ]</w:t>
      </w:r>
    </w:p>
    <w:p>
      <w:pPr>
        <w:pStyle w:val="BookText"/>
      </w:pPr>
      <w:r>
        <w:rPr>
          <w:rFonts w:ascii="IRNazanin" w:hAnsi="IRNazanin" w:eastAsia="IRNazanin" w:cs="IRNazanin"/>
          <w:lang w:bidi="fa-IR"/>
          <w:color w:val="111111"/>
          <w:sz w:val="28"/>
          <w:szCs w:val="28"/>
          <w:rtl/>
        </w:rPr>
        <w:t xml:space="preserve">۱. تهران؛ مجلس؛ شماره نسخه: ۸۲۸۹</w:t>
      </w:r>
    </w:p>
    <w:p>
      <w:pPr>
        <w:pStyle w:val="BookText"/>
      </w:pPr>
      <w:r>
        <w:rPr>
          <w:rFonts w:ascii="IRNazanin" w:hAnsi="IRNazanin" w:eastAsia="IRNazanin" w:cs="IRNazanin"/>
          <w:lang w:bidi="fa-IR"/>
          <w:color w:val="111111"/>
          <w:sz w:val="28"/>
          <w:szCs w:val="28"/>
          <w:rtl/>
        </w:rPr>
        <w:t xml:space="preserve">آغاز: الفصل الثاني مما مر عليه كتاب التجارة في عقد البيع و شروطه و آدابه؛ انجام: و منها ما نقل عن المجلس قدس روحه نام کتاب و مؤلف به استناد فهرست مختصر مجلس ۶۴۲ ذکر شده است. به انضمام خلل الصلاة و فروع صوم؛ خط: تحریری، کاتب = مؤلف، تا: احتمالا قرن ۱۲-۱۳؛ مصحح؛ جلد: تیماج قهوه ای، ۲۰۱گ، مختلف السطر،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۲۷/۲ -۵۲]</w:t>
      </w:r>
    </w:p>
    <w:p>
      <w:pPr>
        <w:pStyle w:val="BookText"/>
      </w:pPr>
      <w:r>
        <w:rPr>
          <w:rFonts w:ascii="IRNazanin" w:hAnsi="IRNazanin" w:eastAsia="IRNazanin" w:cs="IRNazanin"/>
          <w:lang w:bidi="fa-IR"/>
          <w:color w:val="111111"/>
          <w:sz w:val="28"/>
          <w:szCs w:val="28"/>
          <w:rtl/>
        </w:rPr>
        <w:t xml:space="preserve">۲. تهران، دانشگاه؛ شماره نسخه: ۷۲۶</w:t>
      </w:r>
    </w:p>
    <w:p>
      <w:pPr>
        <w:pStyle w:val="BookText"/>
      </w:pPr>
      <w:r>
        <w:rPr>
          <w:rFonts w:ascii="Amiri" w:hAnsi="Amiri" w:eastAsia="Amiri" w:cs="Amiri"/>
          <w:lang w:bidi="ar-SA"/>
          <w:color w:val="111111"/>
          <w:sz w:val="28"/>
          <w:szCs w:val="28"/>
          <w:rtl/>
        </w:rPr>
        <w:t xml:space="preserve">آغاز: بسمله. الحمدلله رب العالمين .. قال ره (الفصل الثاني) مما بني عليه كتاب التجارة (في عقد البيع و شروطه و آدابه. أما العقد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23" w:name="pg20363_209478"/>
    <w:bookmarkEnd w:id="223"/>
    <w:p>
      <w:pPr>
        <w:pStyle w:val="BookText"/>
      </w:pPr>
      <w:r>
        <w:rPr>
          <w:rFonts w:ascii="IRNazanin" w:hAnsi="IRNazanin" w:eastAsia="IRNazanin" w:cs="IRNazanin"/>
          <w:lang w:bidi="fa-IR"/>
          <w:color w:val="111111"/>
          <w:sz w:val="28"/>
          <w:szCs w:val="28"/>
          <w:rtl/>
        </w:rPr>
        <w:t xml:space="preserve">فهو اللفظ الدال على انشاء نقل الملك من مالك الى آخر بعوض معلوم ... و يقوم مقام اللفظ الاشارة مع العذر) شرح هذا المقام يحتاج الى الكلام في جهات؛ انجام: (و اما القول في اقسام العيوب ...) يعلم زواله سريعا ... فلو فرض أن مقتضی خلقه شئی او ينتفع به مقدارا معلوما فنقصان منفعة فردمنه عن ذلك عليه سواء كان ذلک الأمر داخل او لأمر خارجی -هذا اخرما وجد من تصنيف المرحوم ... آقا حسن الطهراني النجم آبادی ... و قد وقع الفراغ من نسخه و تنميقه ليلة الخميس لثمان بقين من جمادى الأولى ليلة تحویل الشمس الى الحمل في المشهد المشرف المرتضوی حامدا مصليا راجيا من الناظرين فيه أن يدعو الى بالخير من شهور سنة ۱۳۰۱. خط: نسخ، بی کا، تا: پنج شنبه (نوروز) ۲۲ جمادى الأول ۱۳۰۱ ق، جا: نجف؛ فضل الله نوری که نسخه را داشته بود در ار نوشته که این کتاب البيع» از آقا حسن طهرانی نجم آبادی می باشد؛ کاغذ: فرنگی، جلد: تیماج سرخ ضربی مقوایی، ۱۲۱ گ، ۲۵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۵-۱۹۳۸]</w:t>
      </w:r>
    </w:p>
    <w:p>
      <w:pPr>
        <w:pStyle w:val="Heading3"/>
      </w:pPr>
      <w:bookmarkStart w:id="1419" w:name="_Toc679"/>
      <w:r>
        <w:t>• البيع / فقه / عربی</w:t>
      </w:r>
      <w:bookmarkEnd w:id="1419"/>
    </w:p>
    <w:p>
      <w:pPr>
        <w:pStyle w:val="BookText"/>
      </w:pPr>
      <w:r>
        <w:rPr>
          <w:rFonts w:ascii="Times New Roman" w:hAnsi="Times New Roman" w:eastAsia="Times New Roman" w:cs="Times New Roman"/>
          <w:lang w:val="en-US" w:bidi="en-US"/>
          <w:color w:val="111111"/>
          <w:sz w:val="28"/>
          <w:szCs w:val="28"/>
          <w:rtl/>
        </w:rPr>
        <w:t xml:space="preserve">al-bay</w:t>
      </w:r>
    </w:p>
    <w:p>
      <w:pPr>
        <w:pStyle w:val="BookText"/>
      </w:pPr>
      <w:r>
        <w:rPr>
          <w:rFonts w:ascii="IRNazanin" w:hAnsi="IRNazanin" w:eastAsia="IRNazanin" w:cs="IRNazanin"/>
          <w:lang w:bidi="fa-IR"/>
          <w:color w:val="111111"/>
          <w:sz w:val="28"/>
          <w:szCs w:val="28"/>
          <w:rtl/>
        </w:rPr>
        <w:t xml:space="preserve">چابلقی بروجردی، رضا بن علی محمد، - ۱۳۱۰ شمسی</w:t>
      </w:r>
    </w:p>
    <w:p>
      <w:pPr>
        <w:pStyle w:val="BookText"/>
      </w:pPr>
      <w:r>
        <w:rPr>
          <w:rFonts w:ascii="Times New Roman" w:hAnsi="Times New Roman" w:eastAsia="Times New Roman" w:cs="Times New Roman"/>
          <w:lang w:val="en-US" w:bidi="en-US"/>
          <w:color w:val="111111"/>
          <w:sz w:val="28"/>
          <w:szCs w:val="28"/>
          <w:rtl/>
        </w:rPr>
        <w:t xml:space="preserve">čābalaqī borūjerdī, rezā ebn-e ‘alī mohammad (- 1931)</w:t>
      </w:r>
    </w:p>
    <w:p>
      <w:pPr>
        <w:pStyle w:val="BookText"/>
      </w:pPr>
      <w:r>
        <w:rPr>
          <w:rFonts w:ascii="IRNazanin" w:hAnsi="IRNazanin" w:eastAsia="IRNazanin" w:cs="IRNazanin"/>
          <w:lang w:bidi="fa-IR"/>
          <w:color w:val="111111"/>
          <w:sz w:val="28"/>
          <w:szCs w:val="28"/>
          <w:rtl/>
        </w:rPr>
        <w:t xml:space="preserve">کتابی در بیع و احکام مربوط به آن و مرتب شده در چند «فصل» با عناوین «قول»: الفصل الأول: له من بیان انواع التجارة و اقسامها و ما يتعلق بها، الفصل الثاني: و شرایط و آدابه العقد هو اللفظ الدال على نقل الملك من مالك الى آخر بعوض معلوم.</w:t>
      </w:r>
    </w:p>
    <w:p>
      <w:pPr>
        <w:pStyle w:val="BookText"/>
      </w:pPr>
      <w:r>
        <w:rPr>
          <w:rFonts w:ascii="IRNazanin" w:hAnsi="IRNazanin" w:eastAsia="IRNazanin" w:cs="IRNazanin"/>
          <w:lang w:bidi="fa-IR"/>
          <w:color w:val="111111"/>
          <w:sz w:val="28"/>
          <w:szCs w:val="28"/>
          <w:rtl/>
        </w:rPr>
        <w:t xml:space="preserve">اراک؛ دهگان؛ شماره نسخه: ۱۶۳</w:t>
      </w:r>
    </w:p>
    <w:p>
      <w:pPr>
        <w:pStyle w:val="BookText"/>
      </w:pPr>
      <w:r>
        <w:rPr>
          <w:rFonts w:ascii="IRNazanin" w:hAnsi="IRNazanin" w:eastAsia="IRNazanin" w:cs="IRNazanin"/>
          <w:lang w:bidi="fa-IR"/>
          <w:color w:val="111111"/>
          <w:sz w:val="28"/>
          <w:szCs w:val="28"/>
          <w:rtl/>
        </w:rPr>
        <w:t xml:space="preserve">آغاز: بسمله، الحمدلله رب العالمین و الصلوة و السلام على اشرف بريته محمد و آله الطيبة الطاهرين، القول في البيع و احكامه قال؛ انجام: الوكالة موقوف على بقاء الأذن و انه لايبقى وكالة بعد ارتفاع الاذن بالعزل ... جلد دوم؛ خط: نسخ خوش، كا: میرزا احمد بدیعی، تا: قرن ۱۴؛ افتادگی: انجام؛ دارای تعلیقاتی از کاتب، دارای نشان «بلاغ»؛ از کتاب های مرحوم ابراهیم دهگان؛ کاغذ: وزیری، جلد: تیماج قهوه ای ضربی مجدول، ۲۹۳، ۱۸سطر، قطع: وزیری،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۱-۲۱۲]</w:t>
      </w:r>
    </w:p>
    <w:p>
      <w:pPr>
        <w:pStyle w:val="Heading3"/>
      </w:pPr>
      <w:bookmarkStart w:id="1420" w:name="_Toc680"/>
      <w:r>
        <w:t>• البيع = شرح شرایع الاسلام / فقه / عربی</w:t>
      </w:r>
      <w:bookmarkEnd w:id="1420"/>
    </w:p>
    <w:p>
      <w:pPr>
        <w:pStyle w:val="BookText"/>
      </w:pPr>
      <w:r>
        <w:rPr>
          <w:rFonts w:ascii="Times New Roman" w:hAnsi="Times New Roman" w:eastAsia="Times New Roman" w:cs="Times New Roman"/>
          <w:lang w:val="en-US" w:bidi="en-US"/>
          <w:color w:val="111111"/>
          <w:sz w:val="28"/>
          <w:szCs w:val="28"/>
          <w:rtl/>
        </w:rPr>
        <w:t xml:space="preserve">al-bay' = š.-u šarāyi'-il islām</w:t>
      </w:r>
    </w:p>
    <w:p>
      <w:pPr>
        <w:pStyle w:val="BookText"/>
      </w:pPr>
      <w:r>
        <w:rPr>
          <w:rFonts w:ascii="IRNazanin" w:hAnsi="IRNazanin" w:eastAsia="IRNazanin" w:cs="IRNazanin"/>
          <w:lang w:bidi="fa-IR"/>
          <w:color w:val="111111"/>
          <w:sz w:val="28"/>
          <w:szCs w:val="28"/>
          <w:rtl/>
        </w:rPr>
        <w:t xml:space="preserve">تهرانی نجفی، هادی بن محمد امین، -۱۳۲۱ قمری</w:t>
      </w:r>
    </w:p>
    <w:p>
      <w:pPr>
        <w:pStyle w:val="BookText"/>
      </w:pPr>
      <w:r>
        <w:rPr>
          <w:rFonts w:ascii="Times New Roman" w:hAnsi="Times New Roman" w:eastAsia="Times New Roman" w:cs="Times New Roman"/>
          <w:lang w:val="en-US" w:bidi="en-US"/>
          <w:color w:val="111111"/>
          <w:sz w:val="28"/>
          <w:szCs w:val="28"/>
          <w:rtl/>
        </w:rPr>
        <w:t xml:space="preserve">tehrānī najafi, hādī ebn-e mohammad amīn (- 1903)</w:t>
      </w:r>
    </w:p>
    <w:p>
      <w:pPr>
        <w:pStyle w:val="BookText"/>
      </w:pPr>
      <w:r>
        <w:rPr>
          <w:rFonts w:ascii="IRNazanin" w:hAnsi="IRNazanin" w:eastAsia="IRNazanin" w:cs="IRNazanin"/>
          <w:lang w:bidi="fa-IR"/>
          <w:color w:val="111111"/>
          <w:sz w:val="28"/>
          <w:szCs w:val="28"/>
          <w:rtl/>
        </w:rPr>
        <w:t xml:space="preserve">وابسته به شرایع الاسلام في مسائل الحلال و الحرام؛ محقق حلی، جعفر بن حسن (۶۰۲- ۶۷۶) شرح مبسوطی است بر کتاب بيع «شرائع الاسلام» که ناتمام مانده است از آغاز كتاب البيع است تا مسئله مقبوض به عقد فاسد. دور نیست این کتاب یکی از بخش های کتاب «ودائع النبوة» یا «ذخائر النبوة» مؤلف باشد. آغاز: بسمله. الحمدلله رب العالمین و صلی الله على محمد و آله الطاهرين و لعنة الله على اعدائهم اجمعین ابد الأبدین و بعد فيقول المسكين المستكين محمد هادی ابن محمد امین حشرهما الله مع الأئمة المعصومين سلام الله عليهم أن هذه جملة مما خطر بالبال في كشف الغطا عما اشار اليه الاساطين قدس الله اسرارهم انجام: قال فما تريد من الرجل قال اريد کرانتی فقد حبسه على خمسة يوما فقال لي ما صنعت بالبغلة قلت رجعته تسليما چاپ: تهران، سنگی، بی ناشر، ۱۳۲۰ق، وزیری، ۱۶۷+۱صص</w:t>
      </w:r>
    </w:p>
    <w:p>
      <w:pPr>
        <w:pStyle w:val="BookText"/>
      </w:pPr>
      <w:r>
        <w:rPr>
          <w:rFonts w:ascii="IRNazanin" w:hAnsi="IRNazanin" w:eastAsia="IRNazanin" w:cs="IRNazanin"/>
          <w:lang w:bidi="fa-IR"/>
          <w:color w:val="111111"/>
          <w:sz w:val="28"/>
          <w:szCs w:val="28"/>
          <w:rtl/>
        </w:rPr>
        <w:t xml:space="preserve">[ دنا ۶۰۶/۲ ، الذريعة ۱۳۱/۱۳ ؛ مشار عربی، ص ۹۸۸]</w:t>
      </w:r>
    </w:p>
    <w:p>
      <w:pPr>
        <w:pStyle w:val="BookText"/>
      </w:pPr>
      <w:r>
        <w:rPr>
          <w:rFonts w:ascii="IRNazanin" w:hAnsi="IRNazanin" w:eastAsia="IRNazanin" w:cs="IRNazanin"/>
          <w:lang w:bidi="fa-IR"/>
          <w:color w:val="111111"/>
          <w:sz w:val="28"/>
          <w:szCs w:val="28"/>
          <w:rtl/>
        </w:rPr>
        <w:t xml:space="preserve">۱. تهران؛ مجلس؛ شماره نسخه: ۱۹۵۰/۲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كتاب التجاره؛ خط: شکسته نستعلیق، بی کا، تا: قرن ۱۳؛ کاغذ: فرنگی نخودی، جلد: مقوا با عطف از تیماج قرمز، ۷۹ص (۳۰۶- ۳۸۴)، ۱۹ سطر، قطع: خشتی، اندازه: ۱۵/۵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۹-۶۶۱]</w:t>
      </w:r>
    </w:p>
    <w:p>
      <w:pPr>
        <w:pStyle w:val="BookText"/>
      </w:pPr>
      <w:r>
        <w:rPr>
          <w:rFonts w:ascii="IRNazanin" w:hAnsi="IRNazanin" w:eastAsia="IRNazanin" w:cs="IRNazanin"/>
          <w:lang w:bidi="fa-IR"/>
          <w:color w:val="111111"/>
          <w:sz w:val="28"/>
          <w:szCs w:val="28"/>
          <w:rtl/>
        </w:rPr>
        <w:t xml:space="preserve">۲. تهران؛ مجلس؛ شماره نسخه: ۲۷۱۷/۲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تجارت؛ خط: نسخ، بی کا، تا: قرن ۱۳ کاغذ: فرنگی سفید، جلد: مشکی تیماج، ۲۰۱ص (۲۲۶-۴۲۶)، ۱۹ سطر، قطع: خشتی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۹-۳۸]</w:t>
      </w:r>
    </w:p>
    <w:p>
      <w:pPr>
        <w:pStyle w:val="BookText"/>
      </w:pPr>
      <w:r>
        <w:rPr>
          <w:rFonts w:ascii="IRNazanin" w:hAnsi="IRNazanin" w:eastAsia="IRNazanin" w:cs="IRNazanin"/>
          <w:lang w:bidi="fa-IR"/>
          <w:color w:val="111111"/>
          <w:sz w:val="28"/>
          <w:szCs w:val="28"/>
          <w:rtl/>
        </w:rPr>
        <w:t xml:space="preserve">٣. قم؛ گلپایگانی؛ شماره نسخه: ۳۰۴۷- ۱۶/۵۷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تحریری، کا: محمود بن اسماعیل اصفهانی، تا: قرن ۱۳؛ مصحح؛ تملك: عبدالستار ایروانی؛ جلد: تیماج سرخ ضربی با ترنج با سر و جدول، ۸۴گ، ۲۳-۲۵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۲۶۰۰-۵ ]</w:t>
      </w:r>
    </w:p>
    <w:p>
      <w:pPr>
        <w:pStyle w:val="BookText"/>
      </w:pPr>
      <w:r>
        <w:rPr>
          <w:rFonts w:ascii="IRNazanin" w:hAnsi="IRNazanin" w:eastAsia="IRNazanin" w:cs="IRNazanin"/>
          <w:lang w:bidi="fa-IR"/>
          <w:color w:val="111111"/>
          <w:sz w:val="28"/>
          <w:szCs w:val="28"/>
          <w:rtl/>
        </w:rPr>
        <w:t xml:space="preserve">۴. مشهد؛ رضوی، شماره نسخه: ۷۷۴۴</w:t>
      </w:r>
    </w:p>
    <w:p>
      <w:pPr>
        <w:pStyle w:val="BookText"/>
      </w:pPr>
      <w:r>
        <w:rPr>
          <w:rFonts w:ascii="IRNazanin" w:hAnsi="IRNazanin" w:eastAsia="IRNazanin" w:cs="IRNazanin"/>
          <w:lang w:bidi="fa-IR"/>
          <w:color w:val="111111"/>
          <w:sz w:val="28"/>
          <w:szCs w:val="28"/>
          <w:rtl/>
        </w:rPr>
        <w:t xml:space="preserve">آغاز: بسمله، في أمور الدنيا و الدين انه خير معين ... و بعد فيقول المسكين؛ انجام: برابر مشتمل بر «الفصل الثاني في عقد البيع و شروطه و آدابه» از کتاب التجاره؛ خط: نسخ، بی کا، تا: قرن ۱۴؛ کاغذ: شکری، جلد: تیماج عنابی ضربی مزین به ترنج و سرترنج، ۶۲ گ، ۲۴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۲۰-۲۸۵]</w:t>
      </w:r>
    </w:p>
    <w:p>
      <w:pPr>
        <w:pStyle w:val="BookText"/>
      </w:pPr>
      <w:r>
        <w:rPr>
          <w:rFonts w:ascii="IRNazanin" w:hAnsi="IRNazanin" w:eastAsia="IRNazanin" w:cs="IRNazanin"/>
          <w:lang w:bidi="fa-IR"/>
          <w:color w:val="111111"/>
          <w:sz w:val="28"/>
          <w:szCs w:val="28"/>
          <w:rtl/>
        </w:rPr>
        <w:t xml:space="preserve">۵. تهران؛ مجلس؛ شماره نسخه: ۹۱۳۸/۱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ابواب المعاملات؛ خط: نسخ، كا: احمد حرائی عراقی، تا: شعبان ۱۳۱۵ق؛ مصحح، با علامت بلغ، محشی به امضای «منه دام ظله»؛ ابتدای نسخه مهر کتابخانه پیمان در خیابان خواجه نصیر در مراغه ۱۳۱۰؛ کاغذ: فرنگی شکری، جلد: میشن عنابی ضربی، با ترنج و سرترنج زرین مجدول، ۶۹گ (۳پ -۷۱ ر)، ۲۵ سطر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24" w:name="pg20363_209479"/>
    <w:bookmarkEnd w:id="224"/>
    <w:p>
      <w:pPr>
        <w:pStyle w:val="BookText"/>
      </w:pPr>
      <w:r>
        <w:rPr>
          <w:rFonts w:ascii="IRNazanin" w:hAnsi="IRNazanin" w:eastAsia="IRNazanin" w:cs="IRNazanin"/>
          <w:lang w:bidi="fa-IR"/>
          <w:color w:val="111111"/>
          <w:sz w:val="28"/>
          <w:szCs w:val="28"/>
          <w:rtl/>
        </w:rPr>
        <w:t xml:space="preserve">اندازه: ۳۱/۹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۲۰/۶ سم [ف: ۲۹/۲ -۷۹۷]</w:t>
      </w:r>
    </w:p>
    <w:p>
      <w:pPr>
        <w:pStyle w:val="BookText"/>
      </w:pPr>
      <w:r>
        <w:rPr>
          <w:rFonts w:ascii="IRNazanin" w:hAnsi="IRNazanin" w:eastAsia="IRNazanin" w:cs="IRNazanin"/>
          <w:lang w:bidi="fa-IR"/>
          <w:color w:val="111111"/>
          <w:sz w:val="28"/>
          <w:szCs w:val="28"/>
          <w:rtl/>
        </w:rPr>
        <w:t xml:space="preserve">۶. قم؛ مرعشی؛ شماره نسخه: ۱۴۸۹۸/۱</w:t>
      </w:r>
    </w:p>
    <w:p>
      <w:pPr>
        <w:pStyle w:val="BookText"/>
      </w:pPr>
      <w:r>
        <w:rPr>
          <w:rFonts w:ascii="IRNazanin" w:hAnsi="IRNazanin" w:eastAsia="IRNazanin" w:cs="IRNazanin"/>
          <w:lang w:bidi="fa-IR"/>
          <w:color w:val="111111"/>
          <w:sz w:val="28"/>
          <w:szCs w:val="28"/>
          <w:rtl/>
        </w:rPr>
        <w:t xml:space="preserve">آغاز: بسمله، الفصل الثاني في ما يبنى عليه كتاب التجاة في بيان العقد، هو البيع و شروطه و آدابه و اعلم ان العقد عبارة عن جعل الشييع اذا عقد؛ انجام: برابر خط: شکسته نستعلیق، کا: حسن بن عباس آقا، تا: محرم ۱۳۱۵ق؛ مصحح، محشی؛ کاغذ: فرنگی، ۷۵گ، ۲۱ سطر،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سم [ف: ۳۷-۵۳۶]</w:t>
      </w:r>
    </w:p>
    <w:p>
      <w:pPr>
        <w:pStyle w:val="BookText"/>
      </w:pPr>
      <w:r>
        <w:rPr>
          <w:rFonts w:ascii="IRNazanin" w:hAnsi="IRNazanin" w:eastAsia="IRNazanin" w:cs="IRNazanin"/>
          <w:lang w:bidi="fa-IR"/>
          <w:color w:val="111111"/>
          <w:sz w:val="28"/>
          <w:szCs w:val="28"/>
          <w:rtl/>
        </w:rPr>
        <w:t xml:space="preserve">۷. قم؛ مسجد اعظم، شماره نسخه: ۲۲۰۵/۱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بخش تجارة؛ خط: نسخ، كا: محمود بروجردی، تا: ۱۳۱۶ق؛ مصحح؛ جلد: تیماج سرخ با ترنج و با سر مجدول، ۱۰۶گ، ۱۹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مخ: ۳-۱۲۱۵]</w:t>
      </w:r>
    </w:p>
    <w:p>
      <w:pPr>
        <w:pStyle w:val="BookText"/>
      </w:pPr>
      <w:r>
        <w:rPr>
          <w:rFonts w:ascii="IRNazanin" w:hAnsi="IRNazanin" w:eastAsia="IRNazanin" w:cs="IRNazanin"/>
          <w:lang w:bidi="fa-IR"/>
          <w:color w:val="111111"/>
          <w:sz w:val="28"/>
          <w:szCs w:val="28"/>
          <w:rtl/>
        </w:rPr>
        <w:t xml:space="preserve">۸. تهران؛ مجلس؛ شماره نسخه: ۱۷۲۷۶ ض</w:t>
      </w:r>
    </w:p>
    <w:p>
      <w:pPr>
        <w:pStyle w:val="BookText"/>
      </w:pPr>
      <w:r>
        <w:rPr>
          <w:rFonts w:ascii="IRNazanin" w:hAnsi="IRNazanin" w:eastAsia="IRNazanin" w:cs="IRNazanin"/>
          <w:lang w:bidi="fa-IR"/>
          <w:color w:val="111111"/>
          <w:sz w:val="28"/>
          <w:szCs w:val="28"/>
          <w:rtl/>
        </w:rPr>
        <w:t xml:space="preserve">بی کا، بیتا [د.ث. مجلس]</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خوی؛ نمازی؛ شماره نسخه: ۲۷۸/۱</w:t>
      </w:r>
    </w:p>
    <w:p>
      <w:pPr>
        <w:pStyle w:val="BookText"/>
      </w:pPr>
      <w:r>
        <w:rPr>
          <w:rFonts w:ascii="IRNazanin" w:hAnsi="IRNazanin" w:eastAsia="IRNazanin" w:cs="IRNazanin"/>
          <w:lang w:bidi="fa-IR"/>
          <w:color w:val="111111"/>
          <w:sz w:val="28"/>
          <w:szCs w:val="28"/>
          <w:rtl/>
        </w:rPr>
        <w:t xml:space="preserve">آغاز: برابر؛ انجام: لمطلق الشروط يحتمل عدم صلوح الصلح الجعلها لما فيه من الاستقلال والحمدلله تعالی عز اسمه.</w:t>
      </w:r>
    </w:p>
    <w:p>
      <w:pPr>
        <w:pStyle w:val="BookText"/>
      </w:pPr>
      <w:r>
        <w:rPr>
          <w:rFonts w:ascii="IRNazanin" w:hAnsi="IRNazanin" w:eastAsia="IRNazanin" w:cs="IRNazanin"/>
          <w:lang w:bidi="fa-IR"/>
          <w:color w:val="111111"/>
          <w:sz w:val="28"/>
          <w:szCs w:val="28"/>
          <w:rtl/>
        </w:rPr>
        <w:t xml:space="preserve">كتاب البيع؛ خط: نسخ، بی کا، بی تا، محشی از مؤلف به لفظ «منه ادام اله ظله»؛ واقف: ساجدی؛ جلد: تیماج سرخ ضربی با ترنج با سر، ۲۱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۱۴۰]</w:t>
      </w:r>
    </w:p>
    <w:p>
      <w:pPr>
        <w:pStyle w:val="BookText"/>
      </w:pPr>
      <w:r>
        <w:rPr>
          <w:rFonts w:ascii="IRNazanin" w:hAnsi="IRNazanin" w:eastAsia="IRNazanin" w:cs="IRNazanin"/>
          <w:lang w:bidi="fa-IR"/>
          <w:color w:val="111111"/>
          <w:sz w:val="28"/>
          <w:szCs w:val="28"/>
          <w:rtl/>
        </w:rPr>
        <w:t xml:space="preserve">۱۰. تهران؛ مجلس؛ شماره نسخه: ۲۷۵۳/۲</w:t>
      </w:r>
    </w:p>
    <w:p>
      <w:pPr>
        <w:pStyle w:val="BookText"/>
      </w:pPr>
      <w:r>
        <w:rPr>
          <w:rFonts w:ascii="IRNazanin" w:hAnsi="IRNazanin" w:eastAsia="IRNazanin" w:cs="IRNazanin"/>
          <w:lang w:bidi="fa-IR"/>
          <w:color w:val="111111"/>
          <w:sz w:val="28"/>
          <w:szCs w:val="28"/>
          <w:rtl/>
        </w:rPr>
        <w:t xml:space="preserve">آغاز: برابر؛ انجام: و قدروى الشيخ قدس سره في الصحيح عن ابی و لاد قال اكتریت بغلا الى قصر بنی هبيرة ذاهبا و جائيا بكذا و كذا الخبر</w:t>
      </w:r>
    </w:p>
    <w:p>
      <w:pPr>
        <w:pStyle w:val="BookText"/>
      </w:pPr>
      <w:r>
        <w:rPr>
          <w:rFonts w:ascii="IRNazanin" w:hAnsi="IRNazanin" w:eastAsia="IRNazanin" w:cs="IRNazanin"/>
          <w:lang w:bidi="fa-IR"/>
          <w:color w:val="111111"/>
          <w:sz w:val="28"/>
          <w:szCs w:val="28"/>
          <w:rtl/>
        </w:rPr>
        <w:t xml:space="preserve">خط: نستعلیق، بی کا، بی تا، کاغذ: فرنگی، جلد: مقوایی کنار و عطف آن چرم مشکی، ۸۵ص (۸۳-۱۶۷)، ۱۹ سطر، قطع: خشتی اندازه: ۲۱/۳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۹-۱۳۸]</w:t>
      </w:r>
    </w:p>
    <w:p>
      <w:pPr>
        <w:pStyle w:val="Heading3"/>
      </w:pPr>
      <w:bookmarkStart w:id="1421" w:name="_Toc681"/>
      <w:r>
        <w:t>• البيع / فقه / عربی</w:t>
      </w:r>
      <w:bookmarkEnd w:id="1421"/>
    </w:p>
    <w:p>
      <w:pPr>
        <w:pStyle w:val="BookText"/>
      </w:pPr>
      <w:r>
        <w:rPr>
          <w:rFonts w:ascii="Times New Roman" w:hAnsi="Times New Roman" w:eastAsia="Times New Roman" w:cs="Times New Roman"/>
          <w:lang w:val="en-US" w:bidi="en-US"/>
          <w:color w:val="111111"/>
          <w:sz w:val="28"/>
          <w:szCs w:val="28"/>
          <w:rtl/>
        </w:rPr>
        <w:t xml:space="preserve">al-bay'</w:t>
      </w:r>
    </w:p>
    <w:p>
      <w:pPr>
        <w:pStyle w:val="BookText"/>
      </w:pPr>
      <w:r>
        <w:rPr>
          <w:rFonts w:ascii="IRNazanin" w:hAnsi="IRNazanin" w:eastAsia="IRNazanin" w:cs="IRNazanin"/>
          <w:lang w:bidi="fa-IR"/>
          <w:color w:val="111111"/>
          <w:sz w:val="28"/>
          <w:szCs w:val="28"/>
          <w:rtl/>
        </w:rPr>
        <w:t xml:space="preserve">تبریزی، صادق بن محمد، - ۱۳۵۱ قمری</w:t>
      </w:r>
    </w:p>
    <w:p>
      <w:pPr>
        <w:pStyle w:val="BookText"/>
      </w:pPr>
      <w:r>
        <w:rPr>
          <w:rFonts w:ascii="Times New Roman" w:hAnsi="Times New Roman" w:eastAsia="Times New Roman" w:cs="Times New Roman"/>
          <w:lang w:val="en-US" w:bidi="en-US"/>
          <w:color w:val="111111"/>
          <w:sz w:val="28"/>
          <w:szCs w:val="28"/>
          <w:rtl/>
        </w:rPr>
        <w:t xml:space="preserve">tabrīzī, sādeq ebn-e mohammad (- 1933)</w:t>
      </w:r>
    </w:p>
    <w:p>
      <w:pPr>
        <w:pStyle w:val="BookText"/>
      </w:pPr>
      <w:r>
        <w:rPr>
          <w:rFonts w:ascii="IRNazanin" w:hAnsi="IRNazanin" w:eastAsia="IRNazanin" w:cs="IRNazanin"/>
          <w:lang w:bidi="fa-IR"/>
          <w:color w:val="111111"/>
          <w:sz w:val="28"/>
          <w:szCs w:val="28"/>
          <w:rtl/>
        </w:rPr>
        <w:t xml:space="preserve">گویا قطعه ای از کتاب باشد که در این نسخه آمده و مشتمل بر احكام شرائط عوضین و غرر می باشد و مخصوصا پیرامون نظریات شیخ مرتضی انصاری در کتاب مکاسب وی گفتگو می نماید.</w:t>
      </w:r>
    </w:p>
    <w:p>
      <w:pPr>
        <w:pStyle w:val="BookText"/>
      </w:pPr>
      <w:r>
        <w:rPr>
          <w:rFonts w:ascii="IRNazanin" w:hAnsi="IRNazanin" w:eastAsia="IRNazanin" w:cs="IRNazanin"/>
          <w:lang w:bidi="fa-IR"/>
          <w:color w:val="111111"/>
          <w:sz w:val="28"/>
          <w:szCs w:val="28"/>
          <w:rtl/>
        </w:rPr>
        <w:t xml:space="preserve">مشهد؛ مدرسه آية الله خوئی؛ شماره نسخه: ۵۳/۲</w:t>
      </w:r>
    </w:p>
    <w:p>
      <w:pPr>
        <w:pStyle w:val="BookText"/>
      </w:pPr>
      <w:r>
        <w:rPr>
          <w:rFonts w:ascii="Amiri" w:hAnsi="Amiri" w:eastAsia="Amiri" w:cs="Amiri"/>
          <w:lang w:bidi="ar-SA"/>
          <w:color w:val="111111"/>
          <w:sz w:val="28"/>
          <w:szCs w:val="28"/>
          <w:rtl/>
        </w:rPr>
        <w:t xml:space="preserve">آغاز: ومن شرائط العوضين العلم بهما والمراد به حالة العوضين لاالشخصين</w:t>
      </w:r>
    </w:p>
    <w:p>
      <w:pPr>
        <w:pStyle w:val="BookText"/>
      </w:pPr>
      <w:r>
        <w:rPr>
          <w:rFonts w:ascii="IRNazanin" w:hAnsi="IRNazanin" w:eastAsia="IRNazanin" w:cs="IRNazanin"/>
          <w:lang w:bidi="fa-IR"/>
          <w:color w:val="111111"/>
          <w:sz w:val="28"/>
          <w:szCs w:val="28"/>
          <w:rtl/>
        </w:rPr>
        <w:t xml:space="preserve">خط: نسخ، كاتب = مؤلف، بی تا؛ مصحح؛ جلد: تیماج قهوه ای، ۳۲گ (۳۹پ - ۷۰ر)،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۳۳]</w:t>
      </w:r>
    </w:p>
    <w:p>
      <w:pPr>
        <w:pStyle w:val="BookText"/>
      </w:pPr>
      <w:r>
        <w:rPr>
          <w:rFonts w:ascii="IRNazanin" w:hAnsi="IRNazanin" w:eastAsia="IRNazanin" w:cs="IRNazanin"/>
          <w:lang w:bidi="fa-IR"/>
          <w:color w:val="111111"/>
          <w:sz w:val="28"/>
          <w:szCs w:val="28"/>
          <w:rtl/>
        </w:rPr>
        <w:t xml:space="preserve">قم: مرکز احیاء؛ شماره نسخه: ۱۵۲۴/۲</w:t>
      </w:r>
    </w:p>
    <w:p>
      <w:pPr>
        <w:pStyle w:val="BookText"/>
      </w:pPr>
      <w:r>
        <w:rPr>
          <w:rFonts w:ascii="IRNazanin" w:hAnsi="IRNazanin" w:eastAsia="IRNazanin" w:cs="IRNazanin"/>
          <w:lang w:bidi="fa-IR"/>
          <w:color w:val="111111"/>
          <w:sz w:val="28"/>
          <w:szCs w:val="28"/>
          <w:rtl/>
        </w:rPr>
        <w:t xml:space="preserve">نسخه اصل: همان نسخه بالا [عکسی ف: ۴-۳۴۲]</w:t>
      </w:r>
    </w:p>
    <w:p>
      <w:pPr>
        <w:pStyle w:val="Heading3"/>
      </w:pPr>
      <w:bookmarkStart w:id="1422" w:name="_Toc682"/>
      <w:r>
        <w:t>• البيع / فقه / عربی</w:t>
      </w:r>
      <w:bookmarkEnd w:id="1422"/>
    </w:p>
    <w:p>
      <w:pPr>
        <w:pStyle w:val="BookText"/>
      </w:pPr>
      <w:r>
        <w:rPr>
          <w:rFonts w:ascii="Times New Roman" w:hAnsi="Times New Roman" w:eastAsia="Times New Roman" w:cs="Times New Roman"/>
          <w:lang w:val="en-US" w:bidi="en-US"/>
          <w:color w:val="111111"/>
          <w:sz w:val="28"/>
          <w:szCs w:val="28"/>
          <w:rtl/>
        </w:rPr>
        <w:t xml:space="preserve">al-bay“</w:t>
      </w:r>
    </w:p>
    <w:p>
      <w:pPr>
        <w:pStyle w:val="BookText"/>
      </w:pPr>
      <w:r>
        <w:rPr>
          <w:rFonts w:ascii="IRNazanin" w:hAnsi="IRNazanin" w:eastAsia="IRNazanin" w:cs="IRNazanin"/>
          <w:lang w:bidi="fa-IR"/>
          <w:color w:val="111111"/>
          <w:sz w:val="28"/>
          <w:szCs w:val="28"/>
          <w:rtl/>
        </w:rPr>
        <w:t xml:space="preserve">خوانساری نجفی، موسی بن محمد، - ۱۳۲۲ شمسی</w:t>
      </w:r>
    </w:p>
    <w:p>
      <w:pPr>
        <w:pStyle w:val="BookText"/>
      </w:pPr>
      <w:r>
        <w:rPr>
          <w:rFonts w:ascii="Times New Roman" w:hAnsi="Times New Roman" w:eastAsia="Times New Roman" w:cs="Times New Roman"/>
          <w:lang w:val="en-US" w:bidi="en-US"/>
          <w:color w:val="111111"/>
          <w:sz w:val="28"/>
          <w:szCs w:val="28"/>
          <w:rtl/>
        </w:rPr>
        <w:t xml:space="preserve">xānsārī-ye najafī, mūsā ben mohammad (- 1943)</w:t>
      </w:r>
    </w:p>
    <w:p>
      <w:pPr>
        <w:pStyle w:val="BookText"/>
      </w:pPr>
      <w:r>
        <w:rPr>
          <w:rFonts w:ascii="IRNazanin" w:hAnsi="IRNazanin" w:eastAsia="IRNazanin" w:cs="IRNazanin"/>
          <w:lang w:bidi="fa-IR"/>
          <w:color w:val="111111"/>
          <w:sz w:val="28"/>
          <w:szCs w:val="28"/>
          <w:rtl/>
        </w:rPr>
        <w:t xml:space="preserve">تقریرات بحث بیع قسمت خیارات استادش مرحوم نائینی را به رشته تحریر آورده است و مرحوم سید محمد حجت در صفحه اول کتاب به این مطلب اشاره کرده است.</w:t>
      </w:r>
    </w:p>
    <w:p>
      <w:pPr>
        <w:pStyle w:val="BookText"/>
      </w:pPr>
      <w:r>
        <w:rPr>
          <w:rFonts w:ascii="IRNazanin" w:hAnsi="IRNazanin" w:eastAsia="IRNazanin" w:cs="IRNazanin"/>
          <w:lang w:bidi="fa-IR"/>
          <w:color w:val="111111"/>
          <w:sz w:val="28"/>
          <w:szCs w:val="28"/>
          <w:rtl/>
        </w:rPr>
        <w:t xml:space="preserve">قم؛ حجت کوهکمری؛ شماره نسخه: ۳۲</w:t>
      </w:r>
    </w:p>
    <w:p>
      <w:pPr>
        <w:pStyle w:val="BookText"/>
      </w:pPr>
      <w:r>
        <w:rPr>
          <w:rFonts w:ascii="IRNazanin" w:hAnsi="IRNazanin" w:eastAsia="IRNazanin" w:cs="IRNazanin"/>
          <w:lang w:bidi="fa-IR"/>
          <w:color w:val="111111"/>
          <w:sz w:val="28"/>
          <w:szCs w:val="28"/>
          <w:rtl/>
        </w:rPr>
        <w:t xml:space="preserve">خط: نسخ، بی کا، بی تا، استكتاب سید محمد حجت؛ افتادگی: آغاز و انجام [ف: ۳۶]</w:t>
      </w:r>
    </w:p>
    <w:p>
      <w:pPr>
        <w:pStyle w:val="Heading3"/>
      </w:pPr>
      <w:bookmarkStart w:id="1423" w:name="_Toc683"/>
      <w:r>
        <w:t>•بيع / فقه / عربی</w:t>
      </w:r>
      <w:bookmarkEnd w:id="1423"/>
    </w:p>
    <w:p>
      <w:pPr>
        <w:pStyle w:val="BookText"/>
      </w:pPr>
      <w:r>
        <w:rPr>
          <w:rFonts w:ascii="Times New Roman" w:hAnsi="Times New Roman" w:eastAsia="Times New Roman" w:cs="Times New Roman"/>
          <w:lang w:val="en-US" w:bidi="en-US"/>
          <w:color w:val="111111"/>
          <w:sz w:val="28"/>
          <w:szCs w:val="28"/>
          <w:rtl/>
        </w:rPr>
        <w:t xml:space="preserve">bey</w:t>
      </w:r>
    </w:p>
    <w:p>
      <w:pPr>
        <w:pStyle w:val="BookText"/>
      </w:pPr>
      <w:r>
        <w:rPr>
          <w:rFonts w:ascii="IRNazanin" w:hAnsi="IRNazanin" w:eastAsia="IRNazanin" w:cs="IRNazanin"/>
          <w:lang w:bidi="fa-IR"/>
          <w:color w:val="111111"/>
          <w:sz w:val="28"/>
          <w:szCs w:val="28"/>
          <w:rtl/>
        </w:rPr>
        <w:t xml:space="preserve">میلانی، محمد هادی، ۱۲۷۴-۱۳۵۳ شمسی</w:t>
      </w:r>
    </w:p>
    <w:p>
      <w:pPr>
        <w:pStyle w:val="BookText"/>
      </w:pPr>
      <w:r>
        <w:rPr>
          <w:rFonts w:ascii="Times New Roman" w:hAnsi="Times New Roman" w:eastAsia="Times New Roman" w:cs="Times New Roman"/>
          <w:lang w:val="en-US" w:bidi="en-US"/>
          <w:color w:val="111111"/>
          <w:sz w:val="28"/>
          <w:szCs w:val="28"/>
          <w:rtl/>
        </w:rPr>
        <w:t xml:space="preserve">mīlānī, mohammad hādī (1895-1974)</w:t>
      </w:r>
    </w:p>
    <w:p>
      <w:pPr>
        <w:pStyle w:val="BookText"/>
      </w:pPr>
      <w:r>
        <w:rPr>
          <w:rFonts w:ascii="IRNazanin" w:hAnsi="IRNazanin" w:eastAsia="IRNazanin" w:cs="IRNazanin"/>
          <w:lang w:bidi="fa-IR"/>
          <w:color w:val="111111"/>
          <w:sz w:val="28"/>
          <w:szCs w:val="28"/>
          <w:rtl/>
        </w:rPr>
        <w:t xml:space="preserve">قم؛ مرعشی؛ شماره نسخه: ۱۰۱۹۸/۱</w:t>
      </w:r>
    </w:p>
    <w:p>
      <w:pPr>
        <w:pStyle w:val="BookText"/>
      </w:pPr>
      <w:r>
        <w:rPr>
          <w:rFonts w:ascii="IRNazanin" w:hAnsi="IRNazanin" w:eastAsia="IRNazanin" w:cs="IRNazanin"/>
          <w:lang w:bidi="fa-IR"/>
          <w:color w:val="111111"/>
          <w:sz w:val="28"/>
          <w:szCs w:val="28"/>
          <w:rtl/>
        </w:rPr>
        <w:t xml:space="preserve">کا: آیت الله میرزا فتاح شهیدی تبریزی، تا: ۱۳۵۴ق؛ مصحح و بسیار نفیس، مطالب قلم خوردگی دارد، برگها پراکندگی دارد. [میراث شهاب: س ش ۴-۶۵]</w:t>
      </w:r>
    </w:p>
    <w:p>
      <w:pPr>
        <w:pStyle w:val="Heading3"/>
      </w:pPr>
      <w:bookmarkStart w:id="1424" w:name="_Toc684"/>
      <w:r>
        <w:t>• البيع / فقه / عربی</w:t>
      </w:r>
      <w:bookmarkEnd w:id="1424"/>
    </w:p>
    <w:p>
      <w:pPr>
        <w:pStyle w:val="BookText"/>
      </w:pPr>
      <w:r>
        <w:rPr>
          <w:rFonts w:ascii="Times New Roman" w:hAnsi="Times New Roman" w:eastAsia="Times New Roman" w:cs="Times New Roman"/>
          <w:lang w:val="en-US" w:bidi="en-US"/>
          <w:color w:val="111111"/>
          <w:sz w:val="28"/>
          <w:szCs w:val="28"/>
          <w:rtl/>
        </w:rPr>
        <w:t xml:space="preserve">al-bay</w:t>
      </w:r>
    </w:p>
    <w:p>
      <w:pPr>
        <w:pStyle w:val="BookText"/>
      </w:pPr>
      <w:r>
        <w:rPr>
          <w:rFonts w:ascii="IRNazanin" w:hAnsi="IRNazanin" w:eastAsia="IRNazanin" w:cs="IRNazanin"/>
          <w:lang w:bidi="fa-IR"/>
          <w:color w:val="111111"/>
          <w:sz w:val="28"/>
          <w:szCs w:val="28"/>
          <w:rtl/>
        </w:rPr>
        <w:t xml:space="preserve">خمینی، مصطفی بن روح الله، ۱۳۰۹-۱۳۵۶ شمسی</w:t>
      </w:r>
    </w:p>
    <w:p>
      <w:pPr>
        <w:pStyle w:val="BookText"/>
      </w:pPr>
      <w:r>
        <w:rPr>
          <w:rFonts w:ascii="Times New Roman" w:hAnsi="Times New Roman" w:eastAsia="Times New Roman" w:cs="Times New Roman"/>
          <w:lang w:val="en-US" w:bidi="en-US"/>
          <w:color w:val="111111"/>
          <w:sz w:val="28"/>
          <w:szCs w:val="28"/>
          <w:rtl/>
        </w:rPr>
        <w:t xml:space="preserve">xomeynī, mostafā ebn-e rūh-ol-lāh (1930-1977)</w:t>
      </w:r>
    </w:p>
    <w:p>
      <w:pPr>
        <w:pStyle w:val="BookText"/>
      </w:pPr>
      <w:r>
        <w:rPr>
          <w:rFonts w:ascii="IRNazanin" w:hAnsi="IRNazanin" w:eastAsia="IRNazanin" w:cs="IRNazanin"/>
          <w:lang w:bidi="fa-IR"/>
          <w:color w:val="111111"/>
          <w:sz w:val="28"/>
          <w:szCs w:val="28"/>
          <w:rtl/>
        </w:rPr>
        <w:t xml:space="preserve">از جمله تأليفات فقهی مرحوم حاج آقا مصطفی خمینی، دورهای در فقه است که جلدهایی از آن به نام تحریرات في الفقه به چاپ رسیده است: ۱. طهارت، ۲. الواجبات في الصلاة، 3. الخلل في الصلاة، ۴. الصوم، ۵. كتاب البيع، از ابتداء تا مبحث تعاقب الايدی در دو جلد، ۶. كتاب الخيارات، جلدهای سوم و چهارم. همچنین بخشی از کتاب البيع به عنوان ولاية الفقيه به چاپ رسیده است و المكاسب المحترمة و تتمه کتاب البيع و جلد اول و دوم از کتاب الخيارات از این دوره، مفقود شده است.</w:t>
      </w:r>
    </w:p>
    <w:p>
      <w:pPr>
        <w:pStyle w:val="BookText"/>
      </w:pPr>
      <w:r>
        <w:rPr>
          <w:rFonts w:ascii="IRNazanin" w:hAnsi="IRNazanin" w:eastAsia="IRNazanin" w:cs="IRNazanin"/>
          <w:lang w:bidi="fa-IR"/>
          <w:color w:val="111111"/>
          <w:sz w:val="28"/>
          <w:szCs w:val="28"/>
          <w:rtl/>
        </w:rPr>
        <w:t xml:space="preserve">قم؛ مرعشی؛ شماره نسخه: ۱۲۳۱ عکسی</w:t>
      </w:r>
    </w:p>
    <w:p>
      <w:pPr>
        <w:pStyle w:val="BookText"/>
      </w:pPr>
      <w:r>
        <w:rPr>
          <w:rFonts w:ascii="Amiri" w:hAnsi="Amiri" w:eastAsia="Amiri" w:cs="Amiri"/>
          <w:lang w:bidi="ar-SA"/>
          <w:color w:val="111111"/>
          <w:sz w:val="28"/>
          <w:szCs w:val="28"/>
          <w:rtl/>
        </w:rPr>
        <w:t xml:space="preserve">آغاز: نسخه: ثالثها ما استظهره العلامة المحشي اليزدي (قدس سره) فقل أن الوجه في جواز رجوع السابق إلى اللاحق انه السبب في ضمانه؛ انجام: و قد تقرر في محله ان الحق هو المراجعة الى العام مطلقا فليتدبر جدا.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25" w:name="pg20363_209480"/>
    <w:bookmarkEnd w:id="225"/>
    <w:p>
      <w:pPr>
        <w:pStyle w:val="BookText"/>
      </w:pPr>
      <w:r>
        <w:rPr>
          <w:rFonts w:ascii="IRNazanin" w:hAnsi="IRNazanin" w:eastAsia="IRNazanin" w:cs="IRNazanin"/>
          <w:lang w:bidi="fa-IR"/>
          <w:color w:val="111111"/>
          <w:sz w:val="28"/>
          <w:szCs w:val="28"/>
          <w:rtl/>
        </w:rPr>
        <w:t xml:space="preserve">نسخه اصل: در کتابخانه آیت الله مرعشی نجفی موجود است. در نسخه بخشی از کتاب البيع را در بر دارد و برخی از مباحث موجود در آن، چنین است: في رجوع السابق إلى اللاحق، حول ما اذا رجعت العين قهقرى الى اليد الأولى، حول بعض مسائل تعاقب الايادى، حول شبهات مسألة بيع المملوك مع ملك غيره، حول شبهة تخلف العقد عن القصد، حول اثبات عدم الفرق بين ما يملک و ما لا يملک، صور مسألة من باع نصف الدار، حول مقتضى القاعدة في ولاية الأب و الجد، حول مسألة ضمان الآباء و الأجداد، حول كيفية حكومة الاسلام و انحائها، حول المقدمة اللازمة لمسألة ولاية الفقيه، حول الأصل اللازم رعايته في مسألة ولاية الفقيه، حول عويصة في مسألة جعل الولاية العامة عقلا، حول الاخبار المستدل بها على ولاية الفقيه، حول الاخبار المستدل بها الحكومة الاسلام، حول التوقيع الرفيع و بعض الاخبار الاخر، حول الآيات المستدل بها لحكومة الاسلام، حول التوقيع الرفيع و بعض الاخبار الاخر، حول الآيات المستدل بها على حكومة الفقيه، حول اسناد بعض ما يستدل به على ولاية الفقيه، شبهة على الحكومة الاسلامية و حلها، ملخص البحث و ثمرة مسألة الولاية، حول مسألة مزاحمة فقيه لفقيه آخر، حول وجه بطلان بيع ما لايصح التكسب به شرعا، حول حقيقة البيع و ما يتوجه الى القوم، حول اقسام الارضین و احکامها، حول مالكية الامام الانفال و الأراضي الموات، حکم التصرف في العامرة و التملک بالحيازة، احياء الارض المعطله و حكمه، حكم الأرض الخراجية و ... . چنانکه گفتیم کتاب البيع ایشان که به همت مؤسسه تنظیم و نشر آثار امام خمینی، در سال ۱۳۷۶ ش، در دو جلد به چاپ رسیده، از ابتدای بيع تا بخشی از مبحث تعاقب الأيدی را در بردارد و در پایان آن آمده است: «هذا آخر ما عثرنا عليه مما سطره پراع العلامة المحقق الشهيد طاب ثراه» و در مقدمه تحريرات في الأصول مطرح شده که تتمه کتاب البيع مفقود است، این در حالی است که نسخه حاضر دقيقا ادامه بخش چاپ شده از کتاب البيع است و مباحث آن تا حکم اراضی خراجیه ادامه دارد. البته چنانکه آوردیم بحث ولایت فقیه از همین بخش، به صورت کتابی مستقل به چاپ رسیده است؛ کاتب = مؤلف، تا: قرن ۱۴؛ متن خط خوردگی دارد، مطابق شماره گذاری مؤلف، این نسخه از صفحه ۵۲۱ شروع و به صفحه ۸۴۰ ختم می شود؛ ۳۲۰ص، ۱۳ سطر [عکسی ف: ۳-۵۲۶]</w:t>
      </w:r>
    </w:p>
    <w:p>
      <w:pPr>
        <w:pStyle w:val="Heading3"/>
      </w:pPr>
      <w:bookmarkStart w:id="1425" w:name="_Toc685"/>
      <w:r>
        <w:t>• البيع / فقه / عربی</w:t>
      </w:r>
      <w:bookmarkEnd w:id="1425"/>
    </w:p>
    <w:p>
      <w:pPr>
        <w:pStyle w:val="BookText"/>
      </w:pPr>
      <w:r>
        <w:rPr>
          <w:rFonts w:ascii="Times New Roman" w:hAnsi="Times New Roman" w:eastAsia="Times New Roman" w:cs="Times New Roman"/>
          <w:lang w:val="en-US" w:bidi="en-US"/>
          <w:color w:val="111111"/>
          <w:sz w:val="28"/>
          <w:szCs w:val="28"/>
          <w:rtl/>
        </w:rPr>
        <w:t xml:space="preserve">al-bay</w:t>
      </w:r>
    </w:p>
    <w:p>
      <w:pPr>
        <w:pStyle w:val="BookText"/>
      </w:pPr>
      <w:r>
        <w:rPr>
          <w:rFonts w:ascii="IRNazanin" w:hAnsi="IRNazanin" w:eastAsia="IRNazanin" w:cs="IRNazanin"/>
          <w:lang w:bidi="fa-IR"/>
          <w:color w:val="111111"/>
          <w:sz w:val="28"/>
          <w:szCs w:val="28"/>
          <w:rtl/>
        </w:rPr>
        <w:t xml:space="preserve">حسینی اصفهانی، حسین بن رضا، ق ۱۴ قمری</w:t>
      </w:r>
    </w:p>
    <w:p>
      <w:pPr>
        <w:pStyle w:val="BookText"/>
      </w:pPr>
      <w:r>
        <w:rPr>
          <w:rFonts w:ascii="Times New Roman" w:hAnsi="Times New Roman" w:eastAsia="Times New Roman" w:cs="Times New Roman"/>
          <w:lang w:val="en-US" w:bidi="en-US"/>
          <w:color w:val="111111"/>
          <w:sz w:val="28"/>
          <w:szCs w:val="28"/>
          <w:rtl/>
        </w:rPr>
        <w:t xml:space="preserve">hoseynī esfahānī, hoseyn ebn-e rezā (- 20c)</w:t>
      </w:r>
    </w:p>
    <w:p>
      <w:pPr>
        <w:pStyle w:val="BookText"/>
      </w:pPr>
      <w:r>
        <w:rPr>
          <w:rFonts w:ascii="IRNazanin" w:hAnsi="IRNazanin" w:eastAsia="IRNazanin" w:cs="IRNazanin"/>
          <w:lang w:bidi="fa-IR"/>
          <w:color w:val="111111"/>
          <w:sz w:val="28"/>
          <w:szCs w:val="28"/>
          <w:rtl/>
        </w:rPr>
        <w:t xml:space="preserve">وابسته به: المكاسب = المتاجر؛ انصاری، مرتضی بن محمد امین (۱۲۸۱-۱۲۱۴)</w:t>
      </w:r>
    </w:p>
    <w:p>
      <w:pPr>
        <w:pStyle w:val="BookText"/>
      </w:pPr>
      <w:r>
        <w:rPr>
          <w:rFonts w:ascii="IRNazanin" w:hAnsi="IRNazanin" w:eastAsia="IRNazanin" w:cs="IRNazanin"/>
          <w:lang w:bidi="fa-IR"/>
          <w:color w:val="111111"/>
          <w:sz w:val="28"/>
          <w:szCs w:val="28"/>
          <w:rtl/>
        </w:rPr>
        <w:t xml:space="preserve">مباحث استدلالی مفصل و پراکنده ای است از احکام بیع که بیشتر آنها ناتمام مانده است. پاره ای از این مباحث به عنوان حاشیه بر کتاب مکاسب شیخ مرتضی انصاری می باشد.</w:t>
      </w:r>
    </w:p>
    <w:p>
      <w:pPr>
        <w:pStyle w:val="BookText"/>
      </w:pPr>
      <w:r>
        <w:rPr>
          <w:rFonts w:ascii="IRNazanin" w:hAnsi="IRNazanin" w:eastAsia="IRNazanin" w:cs="IRNazanin"/>
          <w:lang w:bidi="fa-IR"/>
          <w:color w:val="111111"/>
          <w:sz w:val="28"/>
          <w:szCs w:val="28"/>
          <w:rtl/>
        </w:rPr>
        <w:t xml:space="preserve">قم؛ مرعشی؛ شماره نسخه: ۵۴۶۹/۱</w:t>
      </w:r>
    </w:p>
    <w:p>
      <w:pPr>
        <w:pStyle w:val="BookText"/>
      </w:pPr>
      <w:r>
        <w:rPr>
          <w:rFonts w:ascii="IRNazanin" w:hAnsi="IRNazanin" w:eastAsia="IRNazanin" w:cs="IRNazanin"/>
          <w:lang w:bidi="fa-IR"/>
          <w:color w:val="111111"/>
          <w:sz w:val="28"/>
          <w:szCs w:val="28"/>
          <w:rtl/>
        </w:rPr>
        <w:t xml:space="preserve">آغاز: الحمدلله رب العالمين ... كتاب البيع و الكلام فيه يقع تارة في ماهيته و تارة في شرائطه خط: نستعلیق، کاتب = مؤلف، تا: روز نوروز از ذیحجه ۱۳۲۰ق؛ جلد: مقوایی عطف</w:t>
      </w:r>
    </w:p>
    <w:p>
      <w:pPr>
        <w:pStyle w:val="BookText"/>
      </w:pPr>
      <w:r>
        <w:rPr>
          <w:rFonts w:ascii="IRNazanin" w:hAnsi="IRNazanin" w:eastAsia="IRNazanin" w:cs="IRNazanin"/>
          <w:lang w:bidi="fa-IR"/>
          <w:color w:val="111111"/>
          <w:sz w:val="28"/>
          <w:szCs w:val="28"/>
          <w:rtl/>
        </w:rPr>
        <w:t xml:space="preserve">تیماج قهوه ای، ۱۹۵گ (اپ-۱۹۵پ)، مختلف السطر،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۱۴-۲۵۴]</w:t>
      </w:r>
    </w:p>
    <w:p>
      <w:pPr>
        <w:pStyle w:val="Heading3"/>
      </w:pPr>
      <w:bookmarkStart w:id="1426" w:name="_Toc686"/>
      <w:r>
        <w:t>• البيع / فقه / عربی</w:t>
      </w:r>
      <w:bookmarkEnd w:id="1426"/>
    </w:p>
    <w:p>
      <w:pPr>
        <w:pStyle w:val="BookText"/>
      </w:pPr>
      <w:r>
        <w:rPr>
          <w:rFonts w:ascii="Times New Roman" w:hAnsi="Times New Roman" w:eastAsia="Times New Roman" w:cs="Times New Roman"/>
          <w:lang w:val="en-US" w:bidi="en-US"/>
          <w:color w:val="111111"/>
          <w:sz w:val="28"/>
          <w:szCs w:val="28"/>
          <w:rtl/>
        </w:rPr>
        <w:t xml:space="preserve">al-bay'</w:t>
      </w:r>
    </w:p>
    <w:p>
      <w:pPr>
        <w:pStyle w:val="BookText"/>
      </w:pPr>
      <w:r>
        <w:rPr>
          <w:rFonts w:ascii="IRNazanin" w:hAnsi="IRNazanin" w:eastAsia="IRNazanin" w:cs="IRNazanin"/>
          <w:lang w:bidi="fa-IR"/>
          <w:color w:val="111111"/>
          <w:sz w:val="28"/>
          <w:szCs w:val="28"/>
          <w:rtl/>
        </w:rPr>
        <w:t xml:space="preserve">خوئی، صادق، ق ۱۴ قمری</w:t>
      </w:r>
    </w:p>
    <w:p>
      <w:pPr>
        <w:pStyle w:val="BookText"/>
      </w:pPr>
      <w:r>
        <w:rPr>
          <w:rFonts w:ascii="Times New Roman" w:hAnsi="Times New Roman" w:eastAsia="Times New Roman" w:cs="Times New Roman"/>
          <w:lang w:val="en-US" w:bidi="en-US"/>
          <w:color w:val="111111"/>
          <w:sz w:val="28"/>
          <w:szCs w:val="28"/>
          <w:rtl/>
        </w:rPr>
        <w:t xml:space="preserve">xl'i, sadeq - 20c)</w:t>
      </w:r>
    </w:p>
    <w:p>
      <w:pPr>
        <w:pStyle w:val="BookText"/>
      </w:pPr>
      <w:r>
        <w:rPr>
          <w:rFonts w:ascii="IRNazanin" w:hAnsi="IRNazanin" w:eastAsia="IRNazanin" w:cs="IRNazanin"/>
          <w:lang w:bidi="fa-IR"/>
          <w:color w:val="111111"/>
          <w:sz w:val="28"/>
          <w:szCs w:val="28"/>
          <w:rtl/>
        </w:rPr>
        <w:t xml:space="preserve">تقریرات فقهی درس مرحوم سید محمد حجت (قد) است از ابتدای «بيع» تا «في الاندار للظروف و تحقيق المطلب في».</w:t>
      </w:r>
    </w:p>
    <w:p>
      <w:pPr>
        <w:pStyle w:val="BookText"/>
      </w:pPr>
      <w:r>
        <w:rPr>
          <w:rFonts w:ascii="IRNazanin" w:hAnsi="IRNazanin" w:eastAsia="IRNazanin" w:cs="IRNazanin"/>
          <w:lang w:bidi="fa-IR"/>
          <w:color w:val="111111"/>
          <w:sz w:val="28"/>
          <w:szCs w:val="28"/>
          <w:rtl/>
        </w:rPr>
        <w:t xml:space="preserve">قم، حجت کوهکمری؛ شماره نسخه: ۲۹</w:t>
      </w:r>
    </w:p>
    <w:p>
      <w:pPr>
        <w:pStyle w:val="BookText"/>
      </w:pPr>
      <w:r>
        <w:rPr>
          <w:rFonts w:ascii="IRNazanin" w:hAnsi="IRNazanin" w:eastAsia="IRNazanin" w:cs="IRNazanin"/>
          <w:lang w:bidi="fa-IR"/>
          <w:color w:val="111111"/>
          <w:sz w:val="28"/>
          <w:szCs w:val="28"/>
          <w:rtl/>
        </w:rPr>
        <w:t xml:space="preserve">آغاز: بسم الله الرحمن الرحيم ... كتاب البيع قد عرفه الاعلام (رضوان الله تعالی علیه) بتعريف كثيرة حيث عرفه بعض بأنه مبادلة مال بمال خط: نستعلیق، کا: محمد تبریزی قراچه داغی، تا: ۲۵ ربیع الاول ۱۳۶۰ق؛ مصحح، در صفحه چهلم تاریخ ۵ شعبان ۱۳۵۷ مشهود است [ف: ۳۵]</w:t>
      </w:r>
    </w:p>
    <w:p>
      <w:pPr>
        <w:pStyle w:val="Heading3"/>
      </w:pPr>
      <w:bookmarkStart w:id="1427" w:name="_Toc687"/>
      <w:r>
        <w:t>• البيع / فقه / عربی</w:t>
      </w:r>
      <w:bookmarkEnd w:id="1427"/>
    </w:p>
    <w:p>
      <w:pPr>
        <w:pStyle w:val="BookText"/>
      </w:pPr>
      <w:r>
        <w:rPr>
          <w:rFonts w:ascii="Times New Roman" w:hAnsi="Times New Roman" w:eastAsia="Times New Roman" w:cs="Times New Roman"/>
          <w:lang w:val="en-US" w:bidi="en-US"/>
          <w:color w:val="111111"/>
          <w:sz w:val="28"/>
          <w:szCs w:val="28"/>
          <w:rtl/>
        </w:rPr>
        <w:t xml:space="preserve">al-bay</w:t>
      </w:r>
    </w:p>
    <w:p>
      <w:pPr>
        <w:pStyle w:val="BookText"/>
      </w:pPr>
      <w:r>
        <w:rPr>
          <w:rFonts w:ascii="IRNazanin" w:hAnsi="IRNazanin" w:eastAsia="IRNazanin" w:cs="IRNazanin"/>
          <w:lang w:bidi="fa-IR"/>
          <w:color w:val="111111"/>
          <w:sz w:val="28"/>
          <w:szCs w:val="28"/>
          <w:rtl/>
        </w:rPr>
        <w:t xml:space="preserve">زنجانی، احمد بن محمد رضا، ق۱۴ قمری</w:t>
      </w:r>
    </w:p>
    <w:p>
      <w:pPr>
        <w:pStyle w:val="BookText"/>
      </w:pPr>
      <w:r>
        <w:rPr>
          <w:rFonts w:ascii="Times New Roman" w:hAnsi="Times New Roman" w:eastAsia="Times New Roman" w:cs="Times New Roman"/>
          <w:lang w:val="en-US" w:bidi="en-US"/>
          <w:color w:val="111111"/>
          <w:sz w:val="28"/>
          <w:szCs w:val="28"/>
          <w:rtl/>
        </w:rPr>
        <w:t xml:space="preserve">zanjānī, ahmad ebn-e mohammad rezā (- 20c)</w:t>
      </w:r>
    </w:p>
    <w:p>
      <w:pPr>
        <w:pStyle w:val="BookText"/>
      </w:pPr>
      <w:r>
        <w:rPr>
          <w:rFonts w:ascii="IRNazanin" w:hAnsi="IRNazanin" w:eastAsia="IRNazanin" w:cs="IRNazanin"/>
          <w:lang w:bidi="fa-IR"/>
          <w:color w:val="111111"/>
          <w:sz w:val="28"/>
          <w:szCs w:val="28"/>
          <w:rtl/>
        </w:rPr>
        <w:t xml:space="preserve">تاريخ تأليف: ۲۳ شعبان ۱۳۱۹ق تقریرات درس استادش میرزا عبد الله (هنگامی که استاد یک سال در زنجان اقامت داشت و به تدریس اشتغال می ورزید) است در معنی بیع و معاطاة يا عناوین «فائدة - قاعدة» و گویا تقریر یازده جلسه بحث استاد باشد و درسها ناتمام مانده است.</w:t>
      </w:r>
    </w:p>
    <w:p>
      <w:pPr>
        <w:pStyle w:val="BookText"/>
      </w:pPr>
      <w:r>
        <w:rPr>
          <w:rFonts w:ascii="IRNazanin" w:hAnsi="IRNazanin" w:eastAsia="IRNazanin" w:cs="IRNazanin"/>
          <w:lang w:bidi="fa-IR"/>
          <w:color w:val="111111"/>
          <w:sz w:val="28"/>
          <w:szCs w:val="28"/>
          <w:rtl/>
        </w:rPr>
        <w:t xml:space="preserve">قم: مرکز احیاء؛ شماره نسخه: ۱۴۹۰/۱</w:t>
      </w:r>
    </w:p>
    <w:p>
      <w:pPr>
        <w:pStyle w:val="BookText"/>
      </w:pPr>
      <w:r>
        <w:rPr>
          <w:rFonts w:ascii="IRNazanin" w:hAnsi="IRNazanin" w:eastAsia="IRNazanin" w:cs="IRNazanin"/>
          <w:lang w:bidi="fa-IR"/>
          <w:color w:val="111111"/>
          <w:sz w:val="28"/>
          <w:szCs w:val="28"/>
          <w:rtl/>
        </w:rPr>
        <w:t xml:space="preserve">آغاز: الحمدلله الذي أمرنا بالعلم و العمل الصالح .. و بعد الكلام في المتاجر، الملك عبارة عما يحصل من تبديل المال بالمال خط: نسخ و نستعلیق، كا: احمد بن محمد رضا بن فرج الله زنجانی، تا: ۱۳۱۹-۱۳۴۴ق؛ جلد: مقوایی عطف تیماج قرمز، ۲۲گ (۲پ -۲۳پ)،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۴-۳۳۲]</w:t>
      </w:r>
    </w:p>
    <w:p>
      <w:pPr>
        <w:pStyle w:val="Heading3"/>
      </w:pPr>
      <w:bookmarkStart w:id="1428" w:name="_Toc688"/>
      <w:r>
        <w:t>• البيع / فقه / عربی</w:t>
      </w:r>
      <w:bookmarkEnd w:id="1428"/>
    </w:p>
    <w:p>
      <w:pPr>
        <w:pStyle w:val="BookText"/>
      </w:pPr>
      <w:r>
        <w:rPr>
          <w:rFonts w:ascii="Times New Roman" w:hAnsi="Times New Roman" w:eastAsia="Times New Roman" w:cs="Times New Roman"/>
          <w:lang w:val="en-US" w:bidi="en-US"/>
          <w:color w:val="111111"/>
          <w:sz w:val="28"/>
          <w:szCs w:val="28"/>
          <w:rtl/>
        </w:rPr>
        <w:t xml:space="preserve">al-bay* (taqrīrāt-e sayyid muḥammad-e hojjat)</w:t>
      </w:r>
    </w:p>
    <w:p>
      <w:pPr>
        <w:pStyle w:val="BookText"/>
      </w:pPr>
      <w:r>
        <w:rPr>
          <w:rFonts w:ascii="IRNazanin" w:hAnsi="IRNazanin" w:eastAsia="IRNazanin" w:cs="IRNazanin"/>
          <w:lang w:bidi="fa-IR"/>
          <w:color w:val="111111"/>
          <w:sz w:val="28"/>
          <w:szCs w:val="28"/>
          <w:rtl/>
        </w:rPr>
        <w:t xml:space="preserve">فاضل همدانی، یحیی بن علی اکبر، ق ۱۴ قمری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26" w:name="pg20363_209481"/>
    <w:bookmarkEnd w:id="226"/>
    <w:p>
      <w:pPr>
        <w:pStyle w:val="BookText"/>
      </w:pPr>
      <w:r>
        <w:rPr>
          <w:rFonts w:ascii="Times New Roman" w:hAnsi="Times New Roman" w:eastAsia="Times New Roman" w:cs="Times New Roman"/>
          <w:lang w:val="en-US" w:bidi="en-US"/>
          <w:color w:val="111111"/>
          <w:sz w:val="28"/>
          <w:szCs w:val="28"/>
          <w:rtl/>
        </w:rPr>
        <w:t xml:space="preserve">fāzel-e hamedānī, yahyā ben ‘alī akbar (- 20c)</w:t>
      </w:r>
    </w:p>
    <w:p>
      <w:pPr>
        <w:pStyle w:val="BookText"/>
      </w:pPr>
      <w:r>
        <w:rPr>
          <w:rFonts w:ascii="IRNazanin" w:hAnsi="IRNazanin" w:eastAsia="IRNazanin" w:cs="IRNazanin"/>
          <w:lang w:bidi="fa-IR"/>
          <w:color w:val="111111"/>
          <w:sz w:val="28"/>
          <w:szCs w:val="28"/>
          <w:rtl/>
        </w:rPr>
        <w:t xml:space="preserve">تقریرات درس فقه استادش مرحوم سید محمد حجت (قدس سره)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حجت کوه کمری؛ شماره نسخه: ۳۳</w:t>
      </w:r>
    </w:p>
    <w:p>
      <w:pPr>
        <w:pStyle w:val="BookText"/>
      </w:pPr>
      <w:r>
        <w:rPr>
          <w:rFonts w:ascii="IRNazanin" w:hAnsi="IRNazanin" w:eastAsia="IRNazanin" w:cs="IRNazanin"/>
          <w:lang w:bidi="fa-IR"/>
          <w:color w:val="111111"/>
          <w:sz w:val="28"/>
          <w:szCs w:val="28"/>
          <w:rtl/>
        </w:rPr>
        <w:t xml:space="preserve">ظاهرة جلد اول کتاب البيع وی باشد؛ خط: نستعلیق، کاتب = مؤلف، بی تا [ف: ۳۶]</w:t>
      </w:r>
    </w:p>
    <w:p>
      <w:pPr>
        <w:pStyle w:val="BookText"/>
      </w:pPr>
      <w:r>
        <w:rPr>
          <w:rFonts w:ascii="IRNazanin" w:hAnsi="IRNazanin" w:eastAsia="IRNazanin" w:cs="IRNazanin"/>
          <w:lang w:bidi="fa-IR"/>
          <w:color w:val="111111"/>
          <w:sz w:val="28"/>
          <w:szCs w:val="28"/>
          <w:rtl/>
        </w:rPr>
        <w:t xml:space="preserve">۲. قم؛ حجت کوهکمری؛ شماره نسخه: ۴۹/۲</w:t>
      </w:r>
    </w:p>
    <w:p>
      <w:pPr>
        <w:pStyle w:val="BookText"/>
      </w:pPr>
      <w:r>
        <w:rPr>
          <w:rFonts w:ascii="IRNazanin" w:hAnsi="IRNazanin" w:eastAsia="IRNazanin" w:cs="IRNazanin"/>
          <w:lang w:bidi="fa-IR"/>
          <w:color w:val="111111"/>
          <w:sz w:val="28"/>
          <w:szCs w:val="28"/>
          <w:rtl/>
        </w:rPr>
        <w:t xml:space="preserve">خط: نسخ، كاتب = مؤلف، بی تا [ف: ۴۹]</w:t>
      </w:r>
    </w:p>
    <w:p>
      <w:pPr>
        <w:pStyle w:val="BookText"/>
      </w:pPr>
      <w:r>
        <w:rPr>
          <w:rFonts w:ascii="IRNazanin" w:hAnsi="IRNazanin" w:eastAsia="IRNazanin" w:cs="IRNazanin"/>
          <w:lang w:bidi="fa-IR"/>
          <w:color w:val="111111"/>
          <w:sz w:val="28"/>
          <w:szCs w:val="28"/>
          <w:rtl/>
        </w:rPr>
        <w:t xml:space="preserve">٣. قم؛ حجت کوهکمری؛ شماره نسخه: ۳۱</w:t>
      </w:r>
    </w:p>
    <w:p>
      <w:pPr>
        <w:pStyle w:val="BookText"/>
      </w:pPr>
      <w:r>
        <w:rPr>
          <w:rFonts w:ascii="IRNazanin" w:hAnsi="IRNazanin" w:eastAsia="IRNazanin" w:cs="IRNazanin"/>
          <w:lang w:bidi="fa-IR"/>
          <w:color w:val="111111"/>
          <w:sz w:val="28"/>
          <w:szCs w:val="28"/>
          <w:rtl/>
        </w:rPr>
        <w:t xml:space="preserve">جلد دوم و از بحث «شروط متعاقدین» تا بيع «مایملک وما لايملک»؛ خط: نسخ، كاتب = مؤلف، بی تا؛ مصحح [ف: ۳۶]</w:t>
      </w:r>
    </w:p>
    <w:p>
      <w:pPr>
        <w:pStyle w:val="Heading3"/>
      </w:pPr>
      <w:bookmarkStart w:id="1429" w:name="_Toc689"/>
      <w:r>
        <w:t>• البيع / فقه / عربی</w:t>
      </w:r>
      <w:bookmarkEnd w:id="1429"/>
    </w:p>
    <w:p>
      <w:pPr>
        <w:pStyle w:val="BookText"/>
      </w:pPr>
      <w:r>
        <w:rPr>
          <w:rFonts w:ascii="Times New Roman" w:hAnsi="Times New Roman" w:eastAsia="Times New Roman" w:cs="Times New Roman"/>
          <w:lang w:val="en-US" w:bidi="en-US"/>
          <w:color w:val="111111"/>
          <w:sz w:val="28"/>
          <w:szCs w:val="28"/>
          <w:rtl/>
        </w:rPr>
        <w:t xml:space="preserve">al-bay</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IRNazanin" w:hAnsi="IRNazanin" w:eastAsia="IRNazanin" w:cs="IRNazanin"/>
          <w:lang w:bidi="fa-IR"/>
          <w:color w:val="111111"/>
          <w:sz w:val="28"/>
          <w:szCs w:val="28"/>
          <w:rtl/>
        </w:rPr>
        <w:t xml:space="preserve">۱. قم؛ مرکز احیاء؛ شماره نسخه: ۳۵۲۵</w:t>
      </w:r>
    </w:p>
    <w:p>
      <w:pPr>
        <w:pStyle w:val="BookText"/>
      </w:pPr>
      <w:r>
        <w:rPr>
          <w:rFonts w:ascii="Amiri" w:hAnsi="Amiri" w:eastAsia="Amiri" w:cs="Amiri"/>
          <w:lang w:bidi="ar-SA"/>
          <w:color w:val="111111"/>
          <w:sz w:val="28"/>
          <w:szCs w:val="28"/>
          <w:rtl/>
        </w:rPr>
        <w:t xml:space="preserve">آغاز: الفصل الثاني مما بني عليه التجارة في بيان عقد هو البيع و شروطه و آدابه و اعلم ان العقد؛ انجام: قال فما تريد من الرجل قال اريد كراسي فقد حبسه على خمسة عشر يوما</w:t>
      </w:r>
    </w:p>
    <w:p>
      <w:pPr>
        <w:pStyle w:val="BookText"/>
      </w:pPr>
      <w:r>
        <w:rPr>
          <w:rFonts w:ascii="IRNazanin" w:hAnsi="IRNazanin" w:eastAsia="IRNazanin" w:cs="IRNazanin"/>
          <w:lang w:bidi="fa-IR"/>
          <w:color w:val="111111"/>
          <w:sz w:val="28"/>
          <w:szCs w:val="28"/>
          <w:rtl/>
        </w:rPr>
        <w:t xml:space="preserve">خط: نستعلیق، کاتب = مؤلف، بی تا؛ مصحح؛ با خط خوردگی و اضافات؛ جلد: تیماج قرمز، ۲۳۴، ۹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[محدث ارموی مخ: ۳-۱۱۲۴]</w:t>
      </w:r>
    </w:p>
    <w:p>
      <w:pPr>
        <w:pStyle w:val="BookText"/>
      </w:pPr>
      <w:r>
        <w:rPr>
          <w:rFonts w:ascii="IRNazanin" w:hAnsi="IRNazanin" w:eastAsia="IRNazanin" w:cs="IRNazanin"/>
          <w:lang w:bidi="fa-IR"/>
          <w:color w:val="111111"/>
          <w:sz w:val="28"/>
          <w:szCs w:val="28"/>
          <w:rtl/>
        </w:rPr>
        <w:t xml:space="preserve">۲. قم؛ مرعشی؛ شماره نسخه: ۱۷۹۵</w:t>
      </w:r>
    </w:p>
    <w:p>
      <w:pPr>
        <w:pStyle w:val="BookText"/>
      </w:pPr>
      <w:r>
        <w:rPr>
          <w:rFonts w:ascii="IRNazanin" w:hAnsi="IRNazanin" w:eastAsia="IRNazanin" w:cs="IRNazanin"/>
          <w:lang w:bidi="fa-IR"/>
          <w:color w:val="111111"/>
          <w:sz w:val="28"/>
          <w:szCs w:val="28"/>
          <w:rtl/>
        </w:rPr>
        <w:t xml:space="preserve">آغاز: في عقد البيع و آدابه، البيع لغة عبارة عن مبادلة مال بمال كما عن الفيومي في المصباح المنير؛ انجام: و آن اختل احد القيود لزمت و هل يدخلها خيار الشرط الأقرب ذلک و اما الكلام في العقود الجائزة فلايبعد.</w:t>
      </w:r>
    </w:p>
    <w:p>
      <w:pPr>
        <w:pStyle w:val="BookText"/>
      </w:pPr>
      <w:r>
        <w:rPr>
          <w:rFonts w:ascii="IRNazanin" w:hAnsi="IRNazanin" w:eastAsia="IRNazanin" w:cs="IRNazanin"/>
          <w:lang w:bidi="fa-IR"/>
          <w:color w:val="111111"/>
          <w:sz w:val="28"/>
          <w:szCs w:val="28"/>
          <w:rtl/>
        </w:rPr>
        <w:t xml:space="preserve">فقه استدلالی مفصلی است از احکام بیع تا خیارات، ولی پاره ای از مباحث ناتمام و صفحه ها سفید مانده است. گویا این کتاب تقریرات درس شیخ مرتضی انصاری باشد، زیرا در برگ اول جمله «نظرت فيه» و مهر ایشان دیده می شود؛ خط: نستعلیق، کاتب = مؤلف، بی تا؛ مصحح، در صفحه اول خط شیخ انصاری دیده می شود؛ جلد: تیماج مشکی بدون مقوا، ۲۰۹گ، مختلف السطر،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 [ف: ۵-۱۸۱]</w:t>
      </w:r>
    </w:p>
    <w:p>
      <w:pPr>
        <w:pStyle w:val="BookText"/>
      </w:pPr>
      <w:r>
        <w:rPr>
          <w:rFonts w:ascii="IRNazanin" w:hAnsi="IRNazanin" w:eastAsia="IRNazanin" w:cs="IRNazanin"/>
          <w:lang w:bidi="fa-IR"/>
          <w:color w:val="111111"/>
          <w:sz w:val="28"/>
          <w:szCs w:val="28"/>
          <w:rtl/>
        </w:rPr>
        <w:t xml:space="preserve">٣. رامسر: فرید تنکابنی، عبدالوهاب؛ شماره نسخه: ۴۹</w:t>
      </w:r>
    </w:p>
    <w:p>
      <w:pPr>
        <w:pStyle w:val="BookText"/>
      </w:pPr>
      <w:r>
        <w:rPr>
          <w:rFonts w:ascii="IRNazanin" w:hAnsi="IRNazanin" w:eastAsia="IRNazanin" w:cs="IRNazanin"/>
          <w:lang w:bidi="fa-IR"/>
          <w:color w:val="111111"/>
          <w:sz w:val="28"/>
          <w:szCs w:val="28"/>
          <w:rtl/>
        </w:rPr>
        <w:t xml:space="preserve">آغاز: بسمله، الحمدلله الذي هدانا على المصالح و المفاسد الاصلاح امورنا في الدينا و الاخرة و الصلاة على من أرشدنا على الاعمال الصحيحة المورثة للتجارة النافعة و السعادة الأبدية و على آله اهل الشرف و الكرام. كتاب البيع و اعلم ان المسائل المبحوث؛ انجام: و الاجماعات المحكية عن جماعة من الماهرين المتقنين و الحمدلله اولا و آخرا و انه لا اله الا الله اللهم بحق من حقه علیک عظیم ان تغفر الخطاء و التقصير وان تجعله ذخيرة لمؤلفه الفقر و نصيبه فيما سياتی فانک خیر معین و نصير و صلی الله على محمد و آله الطاهرین.</w:t>
      </w:r>
    </w:p>
    <w:p>
      <w:pPr>
        <w:pStyle w:val="BookText"/>
      </w:pPr>
      <w:r>
        <w:rPr>
          <w:rFonts w:ascii="IRNazanin" w:hAnsi="IRNazanin" w:eastAsia="IRNazanin" w:cs="IRNazanin"/>
          <w:lang w:bidi="fa-IR"/>
          <w:color w:val="111111"/>
          <w:sz w:val="28"/>
          <w:szCs w:val="28"/>
          <w:rtl/>
        </w:rPr>
        <w:t xml:space="preserve">البيع و لواحقه. بعد از مؤلف ریاض است چه او از ریاض نقل قول می کند؛ خط: نستعلیق شکسته، كاتب = مؤلف، بی تا؛ با حواشی زیادی به خط مؤلف و قلم زدگی در کتاب، دو صفحه اخیر درباره اراضی موات؛ کاغذ: نستعلیق شکسته، جلد: مقوایی ته چرم، ۴۳۹گ، ۲۱ سطر (۱۱/۵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اندازه: ۱۲/۵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۱۶/۵سم [نشریه: ۷-۷۸۸]</w:t>
      </w:r>
    </w:p>
    <w:p>
      <w:pPr>
        <w:pStyle w:val="BookText"/>
      </w:pPr>
      <w:r>
        <w:rPr>
          <w:rFonts w:ascii="IRNazanin" w:hAnsi="IRNazanin" w:eastAsia="IRNazanin" w:cs="IRNazanin"/>
          <w:lang w:bidi="fa-IR"/>
          <w:color w:val="111111"/>
          <w:sz w:val="28"/>
          <w:szCs w:val="28"/>
          <w:rtl/>
        </w:rPr>
        <w:t xml:space="preserve">۴. مشهد؛ ادبیات؛ شماره نسخه: ۵۹/۶</w:t>
      </w:r>
    </w:p>
    <w:p>
      <w:pPr>
        <w:pStyle w:val="BookText"/>
      </w:pPr>
      <w:r>
        <w:rPr>
          <w:rFonts w:ascii="IRNazanin" w:hAnsi="IRNazanin" w:eastAsia="IRNazanin" w:cs="IRNazanin"/>
          <w:lang w:bidi="fa-IR"/>
          <w:color w:val="111111"/>
          <w:sz w:val="28"/>
          <w:szCs w:val="28"/>
          <w:rtl/>
        </w:rPr>
        <w:t xml:space="preserve">فیاض شرحی است تحت عنوان «قوله»؛ بی کا، تا: ۱۸ ذیقعده ۱۰۹۰ق؛ افتادگی: آغاز و انجام؛ مصحح، مقابله شده؛ جلد: تیماج مشکی،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۱۹۴]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مسجد اعظم؛ شماره نسخه: ۲۲۹۹/۱</w:t>
      </w:r>
    </w:p>
    <w:p>
      <w:pPr>
        <w:pStyle w:val="BookText"/>
      </w:pPr>
      <w:r>
        <w:rPr>
          <w:rFonts w:ascii="IRNazanin" w:hAnsi="IRNazanin" w:eastAsia="IRNazanin" w:cs="IRNazanin"/>
          <w:lang w:bidi="fa-IR"/>
          <w:color w:val="111111"/>
          <w:sz w:val="28"/>
          <w:szCs w:val="28"/>
          <w:rtl/>
        </w:rPr>
        <w:t xml:space="preserve">آغاز: الحمدلله ... اما بعد فقد التمس مني قرة الناظر و سرور الخاطر ... السيد هادی ان اكتب رسالة مشتملة على بيان احكام البيع لتمييز صحيحه من فاسده و لازمه من جایزه ... و رتبتها على مقامات الأول، في عقد البيع؛ انجام: رابعها: لا يسقط خيار الرد بالتصرف في الثمن قطعة لابتناء الخيار على التصرف في الثمن وثبوت الرد له في المدة المعينه اذا رده او رد مثله</w:t>
      </w:r>
    </w:p>
    <w:p>
      <w:pPr>
        <w:pStyle w:val="BookText"/>
      </w:pPr>
      <w:r>
        <w:rPr>
          <w:rFonts w:ascii="IRNazanin" w:hAnsi="IRNazanin" w:eastAsia="IRNazanin" w:cs="IRNazanin"/>
          <w:lang w:bidi="fa-IR"/>
          <w:color w:val="111111"/>
          <w:sz w:val="28"/>
          <w:szCs w:val="28"/>
          <w:rtl/>
        </w:rPr>
        <w:t xml:space="preserve">در احكام بيع و متاجر که به صورت استدلالی و به خواهش سیدهادی تألیف و تنظیم شده است. تا پایان بحث خیار (مقام هجدهم) را دربردارد؛ خط: نسخ، بی کا، تا: قرن ۱۳؛ افتادگی: انجام؛ جلد: تیماج سرخ با ترنج و با سر و مجدول گرهی، ۱۸گ، ۲۳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مخ: ۱-۲۹۶]</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ملی؛ شماره نسخه: ۳۸۶۱/۳</w:t>
      </w:r>
    </w:p>
    <w:p>
      <w:pPr>
        <w:pStyle w:val="BookText"/>
      </w:pPr>
      <w:r>
        <w:rPr>
          <w:rFonts w:ascii="IRNazanin" w:hAnsi="IRNazanin" w:eastAsia="IRNazanin" w:cs="IRNazanin"/>
          <w:lang w:bidi="fa-IR"/>
          <w:color w:val="111111"/>
          <w:sz w:val="28"/>
          <w:szCs w:val="28"/>
          <w:rtl/>
        </w:rPr>
        <w:t xml:space="preserve">آغاز: کتاب البيع و هو في الأصل، كما في المصباح مبادله مال بمال؛ انجام: البحث الثاني في المعاطات في الايقاعات و الحق عدم جریانه لوجوه مذكوره في كتب القوم</w:t>
      </w:r>
    </w:p>
    <w:p>
      <w:pPr>
        <w:pStyle w:val="BookText"/>
      </w:pPr>
      <w:r>
        <w:rPr>
          <w:rFonts w:ascii="IRNazanin" w:hAnsi="IRNazanin" w:eastAsia="IRNazanin" w:cs="IRNazanin"/>
          <w:lang w:bidi="fa-IR"/>
          <w:color w:val="111111"/>
          <w:sz w:val="28"/>
          <w:szCs w:val="28"/>
          <w:rtl/>
        </w:rPr>
        <w:t xml:space="preserve">تقریر یکی از شاگردان شیخ مرتضی انصاری است که بخشی از آن به دستور مؤلف جداگانه نوشته شده است و باقی را خود مؤلف با خط بد خود نوشته است. در حاشیه برگ ۱۰۰پ نوشته شده است: «و شيخنا المرتضی»؛ خط: نسخ، بی کا، تا: قرن ۱۳؛ مصحح، کاغذ: فرنگی نخودی، جلد: مقوا، رویه تیماج مشکی، در میان ترنج با دو نیم ترنج بالا و پائین کناره گل و بوته منگنه ضربی، ۸گ (۱۳۹ - ۴۶پ)، ۱۸ سطر چلیپا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w:t>
      </w:r>
    </w:p>
    <w:p>
      <w:pPr>
        <w:pStyle w:val="BookText"/>
      </w:pPr>
      <w:r>
        <w:rPr>
          <w:rFonts w:ascii="IRNazanin" w:hAnsi="IRNazanin" w:eastAsia="IRNazanin" w:cs="IRNazanin"/>
          <w:lang w:bidi="fa-IR"/>
          <w:color w:val="111111"/>
          <w:sz w:val="28"/>
          <w:szCs w:val="28"/>
          <w:rtl/>
        </w:rPr>
        <w:t xml:space="preserve">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۱۷-۹۷]</w:t>
      </w:r>
    </w:p>
    <w:p>
      <w:pPr>
        <w:pStyle w:val="BookText"/>
      </w:pPr>
      <w:r>
        <w:rPr>
          <w:rFonts w:ascii="IRNazanin" w:hAnsi="IRNazanin" w:eastAsia="IRNazanin" w:cs="IRNazanin"/>
          <w:lang w:bidi="fa-IR"/>
          <w:color w:val="111111"/>
          <w:sz w:val="28"/>
          <w:szCs w:val="28"/>
          <w:rtl/>
        </w:rPr>
        <w:t xml:space="preserve">۷. قم؛ مرعشی؛ شماره نسخه: ۱۰۹۹۳/۱</w:t>
      </w:r>
    </w:p>
    <w:p>
      <w:pPr>
        <w:pStyle w:val="BookText"/>
      </w:pPr>
      <w:r>
        <w:rPr>
          <w:rFonts w:ascii="IRNazanin" w:hAnsi="IRNazanin" w:eastAsia="IRNazanin" w:cs="IRNazanin"/>
          <w:lang w:bidi="fa-IR"/>
          <w:color w:val="111111"/>
          <w:sz w:val="28"/>
          <w:szCs w:val="28"/>
          <w:rtl/>
        </w:rPr>
        <w:t xml:space="preserve">خط: نسخ، بی کا، تا: قرن ۱۳؛ قطع: رقعی (میراث شهاب: س وش ۲-۳۴]</w:t>
      </w:r>
    </w:p>
    <w:p>
      <w:pPr>
        <w:pStyle w:val="BookText"/>
      </w:pPr>
      <w:r>
        <w:rPr>
          <w:rFonts w:ascii="IRNazanin" w:hAnsi="IRNazanin" w:eastAsia="IRNazanin" w:cs="IRNazanin"/>
          <w:lang w:bidi="fa-IR"/>
          <w:color w:val="111111"/>
          <w:sz w:val="28"/>
          <w:szCs w:val="28"/>
          <w:rtl/>
        </w:rPr>
        <w:t xml:space="preserve">۸. قم؛ مرعشی؛ شماره نسخه: ۱۰۹۹۳/۵</w:t>
      </w:r>
    </w:p>
    <w:p>
      <w:pPr>
        <w:pStyle w:val="BookText"/>
      </w:pPr>
      <w:r>
        <w:rPr>
          <w:rFonts w:ascii="IRNazanin" w:hAnsi="IRNazanin" w:eastAsia="IRNazanin" w:cs="IRNazanin"/>
          <w:lang w:bidi="fa-IR"/>
          <w:color w:val="111111"/>
          <w:sz w:val="28"/>
          <w:szCs w:val="28"/>
          <w:rtl/>
        </w:rPr>
        <w:t xml:space="preserve">القول فيما يدخل في البيع ؛ خط: نسخ، بی کا، تا: قرن ۱۳؛ قطع: رقعی [میراث شهاب: س وش ۲-۳۴]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مروی؛ شماره نسخه: ۵۰۴/۱</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27" w:name="pg20363_209482"/>
    <w:bookmarkEnd w:id="227"/>
    <w:p>
      <w:pPr>
        <w:pStyle w:val="BookText"/>
      </w:pPr>
      <w:r>
        <w:rPr>
          <w:rFonts w:ascii="IRNazanin" w:hAnsi="IRNazanin" w:eastAsia="IRNazanin" w:cs="IRNazanin"/>
          <w:lang w:bidi="fa-IR"/>
          <w:color w:val="111111"/>
          <w:sz w:val="28"/>
          <w:szCs w:val="28"/>
          <w:rtl/>
        </w:rPr>
        <w:t xml:space="preserve">بی کا، تا: ۱۲۹۲ق؛ قطع: وزيري [ف: ۲۸۲]</w:t>
      </w:r>
    </w:p>
    <w:p>
      <w:pPr>
        <w:pStyle w:val="BookText"/>
      </w:pPr>
      <w:r>
        <w:rPr>
          <w:rFonts w:ascii="IRNazanin" w:hAnsi="IRNazanin" w:eastAsia="IRNazanin" w:cs="IRNazanin"/>
          <w:lang w:bidi="fa-IR"/>
          <w:color w:val="111111"/>
          <w:sz w:val="28"/>
          <w:szCs w:val="28"/>
          <w:rtl/>
        </w:rPr>
        <w:t xml:space="preserve">۱۰. مشهد؛ رضوی؛ شماره نسخه: ۱۳۴۸۷</w:t>
      </w:r>
    </w:p>
    <w:p>
      <w:pPr>
        <w:pStyle w:val="BookText"/>
      </w:pPr>
      <w:r>
        <w:rPr>
          <w:rFonts w:ascii="IRNazanin" w:hAnsi="IRNazanin" w:eastAsia="IRNazanin" w:cs="IRNazanin"/>
          <w:lang w:bidi="fa-IR"/>
          <w:color w:val="111111"/>
          <w:sz w:val="28"/>
          <w:szCs w:val="28"/>
          <w:rtl/>
        </w:rPr>
        <w:t xml:space="preserve">آغاز: بسمله، حمدله، کتاب البيع فليعلم أولا أن الفقهاء قد قسموا الفقه الی عبادات و غیر عبادات ثم العبادات قد يفسر بما يتوقف صحتها على قصد القربة؛ انجام: مما يكون في نظر العرف من الآلات المتعارفة لانشاء المعنى العقدی به</w:t>
      </w:r>
    </w:p>
    <w:p>
      <w:pPr>
        <w:pStyle w:val="BookText"/>
      </w:pPr>
      <w:r>
        <w:rPr>
          <w:rFonts w:ascii="IRNazanin" w:hAnsi="IRNazanin" w:eastAsia="IRNazanin" w:cs="IRNazanin"/>
          <w:lang w:bidi="fa-IR"/>
          <w:color w:val="111111"/>
          <w:sz w:val="28"/>
          <w:szCs w:val="28"/>
          <w:rtl/>
        </w:rPr>
        <w:t xml:space="preserve">در این کتاب به آراء بزرگانی چون شیخ طوسی، شهیدین، محقق کرکی، شیخ جعفر کاشف الغطاء، شیخ مرتضی، صاحب جواهر، سیدنا الاستاد و شیخ الاستاد استناد می نماید. منظور از دو نفر اخیر احتمالا مرحوم سید کاظم یزدی و آخوند خراسانی(رحمه الله) باشند؛ خط: نستعلیق، بی کا، تا: قرن ۱۴؛ افتادگی: انجام؛ کاغذ: شکری، جلد: مقوا، عطف و گوشه میشن زرشکی، ۷۲، ۱۸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۲۱/۱ -۱۹۸]</w:t>
      </w:r>
    </w:p>
    <w:p>
      <w:pPr>
        <w:pStyle w:val="BookText"/>
      </w:pPr>
      <w:r>
        <w:rPr>
          <w:rFonts w:ascii="IRNazanin" w:hAnsi="IRNazanin" w:eastAsia="IRNazanin" w:cs="IRNazanin"/>
          <w:lang w:bidi="fa-IR"/>
          <w:color w:val="111111"/>
          <w:sz w:val="28"/>
          <w:szCs w:val="28"/>
          <w:rtl/>
        </w:rPr>
        <w:t xml:space="preserve">۱۱. قم؛ گلپایگانی؛ شماره نسخه: ۶۲۱۰/۲ - ۳۱/۹۰</w:t>
      </w:r>
    </w:p>
    <w:p>
      <w:pPr>
        <w:pStyle w:val="BookText"/>
      </w:pPr>
      <w:r>
        <w:rPr>
          <w:rFonts w:ascii="Amiri" w:hAnsi="Amiri" w:eastAsia="Amiri" w:cs="Amiri"/>
          <w:lang w:bidi="ar-SA"/>
          <w:color w:val="111111"/>
          <w:sz w:val="28"/>
          <w:szCs w:val="28"/>
          <w:rtl/>
        </w:rPr>
        <w:t xml:space="preserve">آغاز: بسمله و به نستعين و نتوسل بمحمد و آله ... و هو يشتمل على مقدمة و مسائل في تعريف البيع اعلم ان العقد بحسب اللغة جعل الشي ذا عقدة و عقد الجعل جعله كذلك؛ انجام: بحسب اللغة بل غرضه تفسير المعاطات المتداولة في ايدي الناس الذين يعتقدون كونها بيعة و قال تمت.</w:t>
      </w:r>
    </w:p>
    <w:p>
      <w:pPr>
        <w:pStyle w:val="BookText"/>
      </w:pPr>
      <w:r>
        <w:rPr>
          <w:rFonts w:ascii="IRNazanin" w:hAnsi="IRNazanin" w:eastAsia="IRNazanin" w:cs="IRNazanin"/>
          <w:lang w:bidi="fa-IR"/>
          <w:color w:val="111111"/>
          <w:sz w:val="28"/>
          <w:szCs w:val="28"/>
          <w:rtl/>
        </w:rPr>
        <w:t xml:space="preserve">احتمالا بخشی از «ودايع النبوة» ملا هادی طهرانی است؛ خط: نستعلیق، بی کا، بی تا؛ مصحح؛ جلد: تیماج سرخ مجدول با ترنج وسرترنج، ۲۸گ، ۱۹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سم [ف: ۲-۶۵۸]</w:t>
      </w:r>
    </w:p>
    <w:p>
      <w:pPr>
        <w:pStyle w:val="BookText"/>
      </w:pPr>
      <w:r>
        <w:rPr>
          <w:rFonts w:ascii="IRNazanin" w:hAnsi="IRNazanin" w:eastAsia="IRNazanin" w:cs="IRNazanin"/>
          <w:lang w:bidi="fa-IR"/>
          <w:color w:val="111111"/>
          <w:sz w:val="28"/>
          <w:szCs w:val="28"/>
          <w:rtl/>
        </w:rPr>
        <w:t xml:space="preserve">۱۲. قم، گلپایگانی؛ شماره نسخه: ۶۱۶۴/۱ -۳۱/۴۴</w:t>
      </w:r>
    </w:p>
    <w:p>
      <w:pPr>
        <w:pStyle w:val="BookText"/>
      </w:pPr>
      <w:r>
        <w:rPr>
          <w:rFonts w:ascii="IRNazanin" w:hAnsi="IRNazanin" w:eastAsia="IRNazanin" w:cs="IRNazanin"/>
          <w:lang w:bidi="fa-IR"/>
          <w:color w:val="111111"/>
          <w:sz w:val="28"/>
          <w:szCs w:val="28"/>
          <w:rtl/>
        </w:rPr>
        <w:t xml:space="preserve">آغاز: بسمله في بيان عقد البيع و شرائطه و آدابه و فيه ثلاثة أقوال الأول في عقد البيع الذي ليس المراد به ههنا معناه المصدرى الذى هو؛ انجام: أحدها في ثمن رقبتها مع اعسار مولاها ... ثانيها اذا خبت على غير مولاها. الى هنا وجد من شرحها بخطه ثم جف قلمه فاغفر اللهم له و احشره مع محمد و آله الاخبار علیه و عليهم صلوات الله الملك الجبار.</w:t>
      </w:r>
    </w:p>
    <w:p>
      <w:pPr>
        <w:pStyle w:val="BookText"/>
      </w:pPr>
      <w:r>
        <w:rPr>
          <w:rFonts w:ascii="IRNazanin" w:hAnsi="IRNazanin" w:eastAsia="IRNazanin" w:cs="IRNazanin"/>
          <w:lang w:bidi="fa-IR"/>
          <w:color w:val="111111"/>
          <w:sz w:val="28"/>
          <w:szCs w:val="28"/>
          <w:rtl/>
        </w:rPr>
        <w:t xml:space="preserve">شرح مزجی است بر متنی در فقه امامیه، به صورت استدلالی و با نقل ادله و اقوال و بررسی آنها، این شرح ناقص مانده و ناسخ در پایان آورد است: «الى هنا وجد من شرحها بخطه ثم جف قلمه»؛ خط: نستعلیق، بی کا، بی تا؛ جلد: مقوایی، ۴۳گ، ۱۹ سطر، اندازه:</w:t>
      </w:r>
    </w:p>
    <w:p>
      <w:pPr>
        <w:pStyle w:val="BookText"/>
      </w:pPr>
      <w:r>
        <w:rPr>
          <w:rFonts w:ascii="IRNazanin" w:hAnsi="IRNazanin" w:eastAsia="IRNazanin" w:cs="IRNazanin"/>
          <w:lang w:bidi="fa-IR"/>
          <w:color w:val="111111"/>
          <w:sz w:val="28"/>
          <w:szCs w:val="28"/>
          <w:rtl/>
        </w:rPr>
        <w:t xml:space="preserve">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۲-۶۵۸]</w:t>
      </w:r>
    </w:p>
    <w:p>
      <w:pPr>
        <w:pStyle w:val="BookText"/>
      </w:pPr>
      <w:r>
        <w:rPr>
          <w:rFonts w:ascii="IRNazanin" w:hAnsi="IRNazanin" w:eastAsia="IRNazanin" w:cs="IRNazanin"/>
          <w:lang w:bidi="fa-IR"/>
          <w:color w:val="111111"/>
          <w:sz w:val="28"/>
          <w:szCs w:val="28"/>
          <w:rtl/>
        </w:rPr>
        <w:t xml:space="preserve">۱۳. مشهد؛ رضوی؛ شماره نسخه: ۹۲۴۸/۲</w:t>
      </w:r>
    </w:p>
    <w:p>
      <w:pPr>
        <w:pStyle w:val="BookText"/>
      </w:pPr>
      <w:r>
        <w:rPr>
          <w:rFonts w:ascii="Amiri" w:hAnsi="Amiri" w:eastAsia="Amiri" w:cs="Amiri"/>
          <w:lang w:bidi="ar-SA"/>
          <w:color w:val="111111"/>
          <w:sz w:val="28"/>
          <w:szCs w:val="28"/>
          <w:rtl/>
        </w:rPr>
        <w:t xml:space="preserve">آغاز: مسألة. اذا تعدد سبب الناقل للعين و المنفعة مدة معينة؛ انجام: و حققناه بين الاسباب فاضبط و اغتنم.</w:t>
      </w:r>
    </w:p>
    <w:p>
      <w:pPr>
        <w:pStyle w:val="BookText"/>
      </w:pPr>
      <w:r>
        <w:rPr>
          <w:rFonts w:ascii="IRNazanin" w:hAnsi="IRNazanin" w:eastAsia="IRNazanin" w:cs="IRNazanin"/>
          <w:lang w:bidi="fa-IR"/>
          <w:color w:val="111111"/>
          <w:sz w:val="28"/>
          <w:szCs w:val="28"/>
          <w:rtl/>
        </w:rPr>
        <w:t xml:space="preserve">من تحریرات میرزا علی رضا در بیع -در حاشیه -: (۲۲ ص) تاریخ تحریر ۱۲۷۶ق؛ خط: نسخ، كا: عبدالوهاب تربتی، تا: ۱۲۵۳ق؛ کاغذ: شکری فرنگی، جلد: تیماج مشکی، ۲۲، ۲۱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۲۰-۲۰۸]</w:t>
      </w:r>
    </w:p>
    <w:p>
      <w:pPr>
        <w:pStyle w:val="BookText"/>
      </w:pPr>
      <w:r>
        <w:rPr>
          <w:rFonts w:ascii="IRNazanin" w:hAnsi="IRNazanin" w:eastAsia="IRNazanin" w:cs="IRNazanin"/>
          <w:lang w:bidi="fa-IR"/>
          <w:color w:val="111111"/>
          <w:sz w:val="28"/>
          <w:szCs w:val="28"/>
          <w:rtl/>
        </w:rPr>
        <w:t xml:space="preserve">۱۴. مشهد؛ مدرسه خیرات خان؛ شماره نسخه: ۳۱/۲</w:t>
      </w:r>
    </w:p>
    <w:p>
      <w:pPr>
        <w:pStyle w:val="BookText"/>
      </w:pPr>
      <w:r>
        <w:rPr>
          <w:rFonts w:ascii="IRNazanin" w:hAnsi="IRNazanin" w:eastAsia="IRNazanin" w:cs="IRNazanin"/>
          <w:lang w:bidi="fa-IR"/>
          <w:color w:val="111111"/>
          <w:sz w:val="28"/>
          <w:szCs w:val="28"/>
          <w:rtl/>
        </w:rPr>
        <w:t xml:space="preserve">آغاز: قاعدة اعلم أن كون المملوكية شرط في المبيع بلا خلاف فيه و عليه الاجماع؛ انجام: من جانب ذلك الباقی القاعده في المجلس باختياره. گویا شرح یا حاشیه ای باشد بر یکی از متون فقهی، عنوان در هامش چنین است «في بيان صحة بيع بيوت مكة» و در متن آمده:</w:t>
      </w:r>
    </w:p>
    <w:p>
      <w:pPr>
        <w:pStyle w:val="BookText"/>
      </w:pPr>
      <w:r>
        <w:rPr>
          <w:rFonts w:ascii="IRNazanin" w:hAnsi="IRNazanin" w:eastAsia="IRNazanin" w:cs="IRNazanin"/>
          <w:lang w:bidi="fa-IR"/>
          <w:color w:val="111111"/>
          <w:sz w:val="28"/>
          <w:szCs w:val="28"/>
          <w:rtl/>
        </w:rPr>
        <w:t xml:space="preserve">قوله وفي بيوت مكة تردد و المروى المنع اختلف کلمات الاصحاب في صحة بيع بيوت مكة»؛ خط: نسخ، بی کا، بی تاب کاغذ: فرنگی سفید، جلد: تیماج مشکی ضربی، ۶۶گ، ۲۳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قطع: خشتی، اندازه: ۲۱</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۱۵سم [رشت و همدان: في: ۱۷۸۱]</w:t>
      </w:r>
    </w:p>
    <w:p>
      <w:pPr>
        <w:pStyle w:val="BookText"/>
      </w:pPr>
      <w:r>
        <w:rPr>
          <w:rFonts w:ascii="IRNazanin" w:hAnsi="IRNazanin" w:eastAsia="IRNazanin" w:cs="IRNazanin"/>
          <w:lang w:bidi="fa-IR"/>
          <w:color w:val="111111"/>
          <w:sz w:val="28"/>
          <w:szCs w:val="28"/>
          <w:rtl/>
        </w:rPr>
        <w:t xml:space="preserve">۱۵. تهران؛ ملی؛ شماره نسخه: ۱۸۴۶۷</w:t>
      </w:r>
    </w:p>
    <w:p>
      <w:pPr>
        <w:pStyle w:val="BookText"/>
      </w:pPr>
      <w:r>
        <w:rPr>
          <w:rFonts w:ascii="IRNazanin" w:hAnsi="IRNazanin" w:eastAsia="IRNazanin" w:cs="IRNazanin"/>
          <w:lang w:bidi="fa-IR"/>
          <w:color w:val="111111"/>
          <w:sz w:val="28"/>
          <w:szCs w:val="28"/>
          <w:rtl/>
        </w:rPr>
        <w:t xml:space="preserve">كتاب البيع و ...؛ بی کا، بی تا انتقالی از کتابخانه پهلوی - مجموعه نوازی؛ ۱۴۳گ، اندازه:</w:t>
      </w:r>
    </w:p>
    <w:p>
      <w:pPr>
        <w:pStyle w:val="BookText"/>
      </w:pPr>
      <w:r>
        <w:rPr>
          <w:rFonts w:ascii="IRNazanin" w:hAnsi="IRNazanin" w:eastAsia="IRNazanin" w:cs="IRNazanin"/>
          <w:lang w:bidi="fa-IR"/>
          <w:color w:val="111111"/>
          <w:sz w:val="28"/>
          <w:szCs w:val="28"/>
          <w:rtl/>
        </w:rPr>
        <w:t xml:space="preserve">۱۷/۲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 سم [رایانه ]</w:t>
      </w:r>
    </w:p>
    <w:p>
      <w:pPr>
        <w:pStyle w:val="BookText"/>
      </w:pPr>
      <w:r>
        <w:rPr>
          <w:rFonts w:ascii="IRNazanin" w:hAnsi="IRNazanin" w:eastAsia="IRNazanin" w:cs="IRNazanin"/>
          <w:lang w:bidi="fa-IR"/>
          <w:color w:val="111111"/>
          <w:sz w:val="28"/>
          <w:szCs w:val="28"/>
          <w:rtl/>
        </w:rPr>
        <w:t xml:space="preserve">۱۶. همدان؛ مدرسه غرب؛ شماره نسخه: ۹۸۶۱/۱</w:t>
      </w:r>
    </w:p>
    <w:p>
      <w:pPr>
        <w:pStyle w:val="BookText"/>
      </w:pPr>
      <w:r>
        <w:rPr>
          <w:rFonts w:ascii="Amiri" w:hAnsi="Amiri" w:eastAsia="Amiri" w:cs="Amiri"/>
          <w:lang w:bidi="ar-SA"/>
          <w:color w:val="111111"/>
          <w:sz w:val="28"/>
          <w:szCs w:val="28"/>
          <w:rtl/>
        </w:rPr>
        <w:t xml:space="preserve">آغاز: الحمد لله رب العالمين الصلوة و السلام على خير خلقه محمد ... اما بعد فاعلم أن تحقيق الكلام في تنقيح ما هو المرام و المقصود في كتاب البيع؛ انجام: و الوديعة و العين المستاجره و الشيىء الغايب و المغصوب اذا كان البايع قادرا على انتزاعه فما لا يظهر له مانع مع وجود ... في المقام تامل جدا.</w:t>
      </w:r>
    </w:p>
    <w:p>
      <w:pPr>
        <w:pStyle w:val="BookText"/>
      </w:pPr>
      <w:r>
        <w:rPr>
          <w:rFonts w:ascii="IRNazanin" w:hAnsi="IRNazanin" w:eastAsia="IRNazanin" w:cs="IRNazanin"/>
          <w:lang w:bidi="fa-IR"/>
          <w:color w:val="111111"/>
          <w:sz w:val="28"/>
          <w:szCs w:val="28"/>
          <w:rtl/>
        </w:rPr>
        <w:t xml:space="preserve">تقریرات؛ خط: شکسته نستعلیق، بی کا، بی تا؛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[رشت و همدان: ف: ۱۵۸۱]</w:t>
      </w:r>
    </w:p>
    <w:p>
      <w:pPr>
        <w:pStyle w:val="Heading3"/>
      </w:pPr>
      <w:bookmarkStart w:id="1430" w:name="_Toc690"/>
      <w:r>
        <w:t>•بيع / فقه / فارسی</w:t>
      </w:r>
      <w:bookmarkEnd w:id="1430"/>
    </w:p>
    <w:p>
      <w:pPr>
        <w:pStyle w:val="BookText"/>
      </w:pPr>
      <w:r>
        <w:rPr>
          <w:rFonts w:ascii="Times New Roman" w:hAnsi="Times New Roman" w:eastAsia="Times New Roman" w:cs="Times New Roman"/>
          <w:lang w:val="en-US" w:bidi="en-US"/>
          <w:color w:val="111111"/>
          <w:sz w:val="28"/>
          <w:szCs w:val="28"/>
          <w:rtl/>
        </w:rPr>
        <w:t xml:space="preserve">bey“</w:t>
      </w:r>
    </w:p>
    <w:p>
      <w:pPr>
        <w:pStyle w:val="BookText"/>
      </w:pPr>
      <w:r>
        <w:rPr>
          <w:rFonts w:ascii="IRNazanin" w:hAnsi="IRNazanin" w:eastAsia="IRNazanin" w:cs="IRNazanin"/>
          <w:lang w:bidi="fa-IR"/>
          <w:color w:val="111111"/>
          <w:sz w:val="28"/>
          <w:szCs w:val="28"/>
          <w:rtl/>
        </w:rPr>
        <w:t xml:space="preserve">تهران؛ ملک؛ شماره نسخه: ۱۸۱۹/۷</w:t>
      </w:r>
    </w:p>
    <w:p>
      <w:pPr>
        <w:pStyle w:val="BookText"/>
      </w:pPr>
      <w:r>
        <w:rPr>
          <w:rFonts w:ascii="IRNazanin" w:hAnsi="IRNazanin" w:eastAsia="IRNazanin" w:cs="IRNazanin"/>
          <w:lang w:bidi="fa-IR"/>
          <w:color w:val="111111"/>
          <w:sz w:val="28"/>
          <w:szCs w:val="28"/>
          <w:rtl/>
        </w:rPr>
        <w:t xml:space="preserve">تکه ای است در بیع؛ خط: نسخ، بی کا، تا: شوال ۱۳۴۲ ق [ف: ۵-۳۷۴]</w:t>
      </w:r>
    </w:p>
    <w:p>
      <w:pPr>
        <w:pStyle w:val="Heading3"/>
      </w:pPr>
      <w:bookmarkStart w:id="1431" w:name="_Toc691"/>
      <w:r>
        <w:t>• بی عاران پاریس (ترجمه) / داستان / فارسی</w:t>
      </w:r>
      <w:bookmarkEnd w:id="1431"/>
    </w:p>
    <w:p>
      <w:pPr>
        <w:pStyle w:val="BookText"/>
      </w:pPr>
      <w:r>
        <w:rPr>
          <w:rFonts w:ascii="Times New Roman" w:hAnsi="Times New Roman" w:eastAsia="Times New Roman" w:cs="Times New Roman"/>
          <w:lang w:val="en-US" w:bidi="en-US"/>
          <w:color w:val="111111"/>
          <w:sz w:val="28"/>
          <w:szCs w:val="28"/>
          <w:rtl/>
        </w:rPr>
        <w:t xml:space="preserve">bī-ārān-e pārīs (t.)</w:t>
      </w:r>
    </w:p>
    <w:p>
      <w:pPr>
        <w:pStyle w:val="BookText"/>
      </w:pPr>
      <w:r>
        <w:rPr>
          <w:rFonts w:ascii="IRNazanin" w:hAnsi="IRNazanin" w:eastAsia="IRNazanin" w:cs="IRNazanin"/>
          <w:lang w:bidi="fa-IR"/>
          <w:color w:val="111111"/>
          <w:sz w:val="28"/>
          <w:szCs w:val="28"/>
          <w:rtl/>
        </w:rPr>
        <w:t xml:space="preserve">ترجمه ای به است از رمان «بی عاران پاریس» يوفسون دو ترای است. [الذريعة ۱۹۴/۳ ؛ مشار فارسی ۵۶۱/۱ ]</w:t>
      </w:r>
    </w:p>
    <w:p>
      <w:pPr>
        <w:pStyle w:val="BookText"/>
      </w:pPr>
      <w:r>
        <w:rPr>
          <w:rFonts w:ascii="IRNazanin" w:hAnsi="IRNazanin" w:eastAsia="IRNazanin" w:cs="IRNazanin"/>
          <w:lang w:bidi="fa-IR"/>
          <w:color w:val="111111"/>
          <w:sz w:val="28"/>
          <w:szCs w:val="28"/>
          <w:rtl/>
        </w:rPr>
        <w:t xml:space="preserve">قم؛ مسجد اعظم؛ شماره نسخه: ۳۸۶۴</w:t>
      </w:r>
    </w:p>
    <w:p>
      <w:pPr>
        <w:pStyle w:val="BookText"/>
      </w:pPr>
      <w:r>
        <w:rPr>
          <w:rFonts w:ascii="IRNazanin" w:hAnsi="IRNazanin" w:eastAsia="IRNazanin" w:cs="IRNazanin"/>
          <w:lang w:bidi="fa-IR"/>
          <w:color w:val="111111"/>
          <w:sz w:val="28"/>
          <w:szCs w:val="28"/>
          <w:rtl/>
        </w:rPr>
        <w:t xml:space="preserve">آغاز: پس از آن که کنت دومرانژی در زیر زمین قصر روشن نوار محبوس گردید و یک روز تمام با دهان روزه دار سرتاسر آن ظلمتکده هولناک بسر برد؛ انجام: شهود قرار گذاشتند که فاصله بین دو حریف رزم آزماسی قدم باشد و در پیش آمدن چند قدم نیز آزاد باشند به اشاره و اجازه رئیس شهود آقای دو گسکین دو قدم جلو آمده وسط دو ابروی باکسیم را نشان کرده آتش داد خط: نستعلیق، بی کا، بی تا، جلد: مقوا، ۵۶گ، ۱۹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مخ: ۱-۴۰۲]</w:t>
      </w:r>
    </w:p>
    <w:p>
      <w:pPr>
        <w:pStyle w:val="Heading3"/>
      </w:pPr>
      <w:bookmarkStart w:id="1432" w:name="_Toc692"/>
      <w:r>
        <w:t>• البيع بشرط الخيار / فقه / عربی</w:t>
      </w:r>
      <w:bookmarkEnd w:id="1432"/>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28" w:name="pg20363_209483"/>
    <w:bookmarkEnd w:id="228"/>
    <w:p>
      <w:pPr>
        <w:pStyle w:val="BookText"/>
      </w:pPr>
      <w:r>
        <w:rPr>
          <w:rFonts w:ascii="Times New Roman" w:hAnsi="Times New Roman" w:eastAsia="Times New Roman" w:cs="Times New Roman"/>
          <w:lang w:val="en-US" w:bidi="en-US"/>
          <w:color w:val="111111"/>
          <w:sz w:val="28"/>
          <w:szCs w:val="28"/>
          <w:rtl/>
        </w:rPr>
        <w:t xml:space="preserve">al-bay' bi-sart-il xīyār</w:t>
      </w:r>
    </w:p>
    <w:p>
      <w:pPr>
        <w:pStyle w:val="BookText"/>
      </w:pPr>
      <w:r>
        <w:rPr>
          <w:rFonts w:ascii="IRNazanin" w:hAnsi="IRNazanin" w:eastAsia="IRNazanin" w:cs="IRNazanin"/>
          <w:lang w:bidi="fa-IR"/>
          <w:color w:val="111111"/>
          <w:sz w:val="28"/>
          <w:szCs w:val="28"/>
          <w:rtl/>
        </w:rPr>
        <w:t xml:space="preserve">تنکابنی، محمد بن سليمان، ۱۲۳۴-۱۳۰۲ قمری</w:t>
      </w:r>
    </w:p>
    <w:p>
      <w:pPr>
        <w:pStyle w:val="BookText"/>
      </w:pPr>
      <w:r>
        <w:rPr>
          <w:rFonts w:ascii="Times New Roman" w:hAnsi="Times New Roman" w:eastAsia="Times New Roman" w:cs="Times New Roman"/>
          <w:lang w:val="en-US" w:bidi="en-US"/>
          <w:color w:val="111111"/>
          <w:sz w:val="28"/>
          <w:szCs w:val="28"/>
          <w:rtl/>
        </w:rPr>
        <w:t xml:space="preserve">tonekābonī, mohammad ebn-e soleymān (1819-1885)</w:t>
      </w:r>
    </w:p>
    <w:p>
      <w:pPr>
        <w:pStyle w:val="BookText"/>
      </w:pPr>
      <w:r>
        <w:rPr>
          <w:rFonts w:ascii="IRNazanin" w:hAnsi="IRNazanin" w:eastAsia="IRNazanin" w:cs="IRNazanin"/>
          <w:lang w:bidi="fa-IR"/>
          <w:color w:val="111111"/>
          <w:sz w:val="28"/>
          <w:szCs w:val="28"/>
          <w:rtl/>
        </w:rPr>
        <w:t xml:space="preserve">تاريخ تأليف: ۷ ربيع الثانی ۱۲۸۳ق؛ محل تأليف: تهران</w:t>
      </w:r>
    </w:p>
    <w:p>
      <w:pPr>
        <w:pStyle w:val="BookText"/>
      </w:pPr>
      <w:r>
        <w:rPr>
          <w:rFonts w:ascii="IRNazanin" w:hAnsi="IRNazanin" w:eastAsia="IRNazanin" w:cs="IRNazanin"/>
          <w:lang w:bidi="fa-IR"/>
          <w:color w:val="111111"/>
          <w:sz w:val="28"/>
          <w:szCs w:val="28"/>
          <w:rtl/>
        </w:rPr>
        <w:t xml:space="preserve">رساله استدلالی است، در این که اگر فروشنده ای شرط خیار نماید تا مدت معینی در حالی که خریدار در آن مدت مقداری از قیمت فروخته شده را برگرداند، آیا این شرط صحیح است یا فاسد؟</w:t>
      </w:r>
    </w:p>
    <w:p>
      <w:pPr>
        <w:pStyle w:val="BookText"/>
      </w:pPr>
      <w:r>
        <w:rPr>
          <w:rFonts w:ascii="IRNazanin" w:hAnsi="IRNazanin" w:eastAsia="IRNazanin" w:cs="IRNazanin"/>
          <w:lang w:bidi="fa-IR"/>
          <w:color w:val="111111"/>
          <w:sz w:val="28"/>
          <w:szCs w:val="28"/>
          <w:rtl/>
        </w:rPr>
        <w:t xml:space="preserve">آغاز: نحمد الله و نشهد ان لا اله الا هو و ان خاتم السفراء محمد بن عبدالله حبيبه و نجیبه و صفیه و نصلی و نسلم على ذلك السفير.</w:t>
      </w:r>
    </w:p>
    <w:p>
      <w:pPr>
        <w:pStyle w:val="BookText"/>
      </w:pPr>
      <w:r>
        <w:rPr>
          <w:rFonts w:ascii="IRNazanin" w:hAnsi="IRNazanin" w:eastAsia="IRNazanin" w:cs="IRNazanin"/>
          <w:lang w:bidi="fa-IR"/>
          <w:color w:val="111111"/>
          <w:sz w:val="28"/>
          <w:szCs w:val="28"/>
          <w:rtl/>
        </w:rPr>
        <w:t xml:space="preserve">قم؛ مرکز احیاء؛ شماره نسخه: ۱۰۱۳/۲ و عکسی ۲۵۳۶/۲</w:t>
      </w:r>
    </w:p>
    <w:p>
      <w:pPr>
        <w:pStyle w:val="BookText"/>
      </w:pPr>
      <w:r>
        <w:rPr>
          <w:rFonts w:ascii="Amiri" w:hAnsi="Amiri" w:eastAsia="Amiri" w:cs="Amiri"/>
          <w:lang w:bidi="ar-SA"/>
          <w:color w:val="111111"/>
          <w:sz w:val="28"/>
          <w:szCs w:val="28"/>
          <w:rtl/>
        </w:rPr>
        <w:t xml:space="preserve">آغاز: برابر؛ انجام: هذا آخر الكلام فيما يتعلق بالمرام كتبتها على وجه الاستعجال مع كسالة البال و اغتشاش الحال.</w:t>
      </w:r>
    </w:p>
    <w:p>
      <w:pPr>
        <w:pStyle w:val="BookText"/>
      </w:pPr>
      <w:r>
        <w:rPr>
          <w:rFonts w:ascii="IRNazanin" w:hAnsi="IRNazanin" w:eastAsia="IRNazanin" w:cs="IRNazanin"/>
          <w:lang w:bidi="fa-IR"/>
          <w:color w:val="111111"/>
          <w:sz w:val="28"/>
          <w:szCs w:val="28"/>
          <w:rtl/>
        </w:rPr>
        <w:t xml:space="preserve">خط: نسخ، كاتب = مؤلف، بی تا؛ جلد: تیماج قهوه ای، ۶گ (هر - ۱۰ر)، اندازه: ۱۳/۵</w:t>
      </w:r>
    </w:p>
    <w:p>
      <w:pPr>
        <w:pStyle w:val="BookText"/>
      </w:pP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۳-۲۳۶] و [عکسی ف: ۷-۱۲۸]</w:t>
      </w:r>
    </w:p>
    <w:p>
      <w:pPr>
        <w:pStyle w:val="Heading3"/>
      </w:pPr>
      <w:bookmarkStart w:id="1433" w:name="_Toc693"/>
      <w:r>
        <w:t>• البيع بشرط الخيار / فقه / عربی</w:t>
      </w:r>
      <w:bookmarkEnd w:id="1433"/>
    </w:p>
    <w:p>
      <w:pPr>
        <w:pStyle w:val="BookText"/>
      </w:pPr>
      <w:r>
        <w:rPr>
          <w:rFonts w:ascii="Times New Roman" w:hAnsi="Times New Roman" w:eastAsia="Times New Roman" w:cs="Times New Roman"/>
          <w:lang w:val="en-US" w:bidi="en-US"/>
          <w:color w:val="111111"/>
          <w:sz w:val="28"/>
          <w:szCs w:val="28"/>
          <w:rtl/>
        </w:rPr>
        <w:t xml:space="preserve">al-bay bi-sart-il xiyar</w:t>
      </w:r>
    </w:p>
    <w:p>
      <w:pPr>
        <w:pStyle w:val="BookText"/>
      </w:pPr>
      <w:r>
        <w:rPr>
          <w:rFonts w:ascii="IRNazanin" w:hAnsi="IRNazanin" w:eastAsia="IRNazanin" w:cs="IRNazanin"/>
          <w:lang w:bidi="fa-IR"/>
          <w:color w:val="111111"/>
          <w:sz w:val="28"/>
          <w:szCs w:val="28"/>
          <w:rtl/>
        </w:rPr>
        <w:t xml:space="preserve">مشهد؛ رضوی؛ شماره نسخه: ۲/۱۱۳۱۰</w:t>
      </w:r>
    </w:p>
    <w:p>
      <w:pPr>
        <w:pStyle w:val="BookText"/>
      </w:pPr>
      <w:r>
        <w:rPr>
          <w:rFonts w:ascii="Amiri" w:hAnsi="Amiri" w:eastAsia="Amiri" w:cs="Amiri"/>
          <w:lang w:bidi="ar-SA"/>
          <w:color w:val="111111"/>
          <w:sz w:val="28"/>
          <w:szCs w:val="28"/>
          <w:rtl/>
        </w:rPr>
        <w:t xml:space="preserve">آغاز: بسمله الحمدلله و الصلوة عليهم محمد و آله اللهم اهدنا لما اختلف فيه من الحق؛ انجام: و عدم التضلع من اصوله ولا حول و لا قوة و ههنا نجس عنان البراعة حامدين لله مصلين على رسوله</w:t>
      </w:r>
    </w:p>
    <w:p>
      <w:pPr>
        <w:pStyle w:val="BookText"/>
      </w:pPr>
      <w:r>
        <w:rPr>
          <w:rFonts w:ascii="IRNazanin" w:hAnsi="IRNazanin" w:eastAsia="IRNazanin" w:cs="IRNazanin"/>
          <w:lang w:bidi="fa-IR"/>
          <w:color w:val="111111"/>
          <w:sz w:val="28"/>
          <w:szCs w:val="28"/>
          <w:rtl/>
        </w:rPr>
        <w:t xml:space="preserve">خط: نستعلیق تحریری، بی کا، تا: قرن ۱۰؛ اهدایی: کتابخانه آیت الله شیخ محمد صالح علامه حائری، تیر ۱۳۵۱؛ کاغذ: نخودی آهاری، جلد: تیماج مشکی، ۱۵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 قطع: خشتی،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[رایانه]</w:t>
      </w:r>
    </w:p>
    <w:p>
      <w:pPr>
        <w:pStyle w:val="Heading3"/>
      </w:pPr>
      <w:bookmarkStart w:id="1434" w:name="_Toc694"/>
      <w:r>
        <w:t>• بيعة الافاخم = شرح عهدنامه مالک اشتر / شرح حديث / فارسی</w:t>
      </w:r>
      <w:bookmarkEnd w:id="1434"/>
    </w:p>
    <w:p>
      <w:pPr>
        <w:pStyle w:val="BookText"/>
      </w:pPr>
      <w:r>
        <w:rPr>
          <w:rFonts w:ascii="Times New Roman" w:hAnsi="Times New Roman" w:eastAsia="Times New Roman" w:cs="Times New Roman"/>
          <w:lang w:val="en-US" w:bidi="en-US"/>
          <w:color w:val="111111"/>
          <w:sz w:val="28"/>
          <w:szCs w:val="28"/>
          <w:rtl/>
        </w:rPr>
        <w:t xml:space="preserve">bey'at-ol afāxem = š.-e ahd-nāme-ye mālek-e aštar</w:t>
      </w:r>
    </w:p>
    <w:p>
      <w:pPr>
        <w:pStyle w:val="BookText"/>
      </w:pPr>
      <w:r>
        <w:rPr>
          <w:rFonts w:ascii="IRNazanin" w:hAnsi="IRNazanin" w:eastAsia="IRNazanin" w:cs="IRNazanin"/>
          <w:lang w:bidi="fa-IR"/>
          <w:color w:val="111111"/>
          <w:sz w:val="28"/>
          <w:szCs w:val="28"/>
          <w:rtl/>
        </w:rPr>
        <w:t xml:space="preserve">رشتی، علی بن محمد، ق۱۳ قمری</w:t>
      </w:r>
    </w:p>
    <w:p>
      <w:pPr>
        <w:pStyle w:val="BookText"/>
      </w:pPr>
      <w:r>
        <w:rPr>
          <w:rFonts w:ascii="Times New Roman" w:hAnsi="Times New Roman" w:eastAsia="Times New Roman" w:cs="Times New Roman"/>
          <w:lang w:val="en-US" w:bidi="en-US"/>
          <w:color w:val="111111"/>
          <w:sz w:val="28"/>
          <w:szCs w:val="28"/>
          <w:rtl/>
        </w:rPr>
        <w:t xml:space="preserve">raštī, ‘alī ebn-e mohammad (- 19c)</w:t>
      </w:r>
    </w:p>
    <w:p>
      <w:pPr>
        <w:pStyle w:val="BookText"/>
      </w:pPr>
      <w:r>
        <w:rPr>
          <w:rFonts w:ascii="IRNazanin" w:hAnsi="IRNazanin" w:eastAsia="IRNazanin" w:cs="IRNazanin"/>
          <w:lang w:bidi="fa-IR"/>
          <w:color w:val="111111"/>
          <w:sz w:val="28"/>
          <w:szCs w:val="28"/>
          <w:rtl/>
        </w:rPr>
        <w:t xml:space="preserve">وابسته به عهد نامه مالک اشتر؛ منسوب به علی بن ابی طالب (عليه السلام)، امام اول</w:t>
      </w:r>
    </w:p>
    <w:p>
      <w:pPr>
        <w:pStyle w:val="BookText"/>
      </w:pPr>
      <w:r>
        <w:rPr>
          <w:rFonts w:ascii="IRNazanin" w:hAnsi="IRNazanin" w:eastAsia="IRNazanin" w:cs="IRNazanin"/>
          <w:lang w:bidi="fa-IR"/>
          <w:color w:val="111111"/>
          <w:sz w:val="28"/>
          <w:szCs w:val="28"/>
          <w:rtl/>
        </w:rPr>
        <w:t xml:space="preserve">(-۴۰)</w:t>
      </w:r>
    </w:p>
    <w:p>
      <w:pPr>
        <w:pStyle w:val="BookText"/>
      </w:pPr>
      <w:r>
        <w:rPr>
          <w:rFonts w:ascii="IRNazanin" w:hAnsi="IRNazanin" w:eastAsia="IRNazanin" w:cs="IRNazanin"/>
          <w:lang w:bidi="fa-IR"/>
          <w:color w:val="111111"/>
          <w:sz w:val="28"/>
          <w:szCs w:val="28"/>
          <w:rtl/>
        </w:rPr>
        <w:t xml:space="preserve">اهدا به: فتحعلی شاه قاجار و برای محمد میرزا شاه والی رشت تاریخ تأليف: ۱۲۳۴ ق [مطابق «بیان عهود امیر کل تمام شده» ] شرح مفصلی است بر عهدنامه حضرت علی</w:t>
      </w:r>
    </w:p>
    <w:p>
      <w:pPr>
        <w:pStyle w:val="BookText"/>
      </w:pPr>
      <w:r>
        <w:rPr>
          <w:rFonts w:ascii="IRNazanin" w:hAnsi="IRNazanin" w:eastAsia="IRNazanin" w:cs="IRNazanin"/>
          <w:lang w:bidi="fa-IR"/>
          <w:color w:val="111111"/>
          <w:sz w:val="28"/>
          <w:szCs w:val="28"/>
          <w:rtl/>
        </w:rPr>
        <w:t xml:space="preserve">(عليه السلام) به مالک اشتر. آغاز: حمد و شکر و مدح بی قیاسی که شاهباز بلند پرواز عقول عالیه ... اما بعد چون حکمت بالغه الوهیت و غایت موهبت ربوبیت اقتضای افاضه جود</w:t>
      </w:r>
    </w:p>
    <w:p>
      <w:pPr>
        <w:pStyle w:val="BookText"/>
      </w:pPr>
      <w:r>
        <w:rPr>
          <w:rFonts w:ascii="IRNazanin" w:hAnsi="IRNazanin" w:eastAsia="IRNazanin" w:cs="IRNazanin"/>
          <w:lang w:bidi="fa-IR"/>
          <w:color w:val="111111"/>
          <w:sz w:val="28"/>
          <w:szCs w:val="28"/>
          <w:rtl/>
        </w:rPr>
        <w:t xml:space="preserve">انجام: عليهم صلوات المصلين ابدالآبدين و اذ قد بلغ الكلام الى الله و الهيم فلا معدل و لامتجاوز فلنقطع الكلام عليه حامدین و مصلین و مسلمين قد تمت ... دست افتاده گیر</w:t>
      </w:r>
    </w:p>
    <w:p>
      <w:pPr>
        <w:pStyle w:val="BookText"/>
      </w:pPr>
      <w:r>
        <w:rPr>
          <w:rFonts w:ascii="IRNazanin" w:hAnsi="IRNazanin" w:eastAsia="IRNazanin" w:cs="IRNazanin"/>
          <w:lang w:bidi="fa-IR"/>
          <w:color w:val="111111"/>
          <w:sz w:val="28"/>
          <w:szCs w:val="28"/>
          <w:rtl/>
        </w:rPr>
        <w:t xml:space="preserve">[دنا ۶۰۹/۲ ؛ نسخه های منزوی ۱۵۵۱/۲ ؛ فهرستواره منزوی ۳۴۶/۶ نام مؤلف على فرزند میرزا احمد)</w:t>
      </w:r>
    </w:p>
    <w:p>
      <w:pPr>
        <w:pStyle w:val="BookText"/>
      </w:pPr>
      <w:r>
        <w:rPr>
          <w:rFonts w:ascii="IRNazanin" w:hAnsi="IRNazanin" w:eastAsia="IRNazanin" w:cs="IRNazanin"/>
          <w:lang w:bidi="fa-IR"/>
          <w:color w:val="111111"/>
          <w:sz w:val="28"/>
          <w:szCs w:val="28"/>
          <w:rtl/>
        </w:rPr>
        <w:t xml:space="preserve">۱. تهران: ملی؛ شماره نسخه: ۲۳۰رف</w:t>
      </w:r>
    </w:p>
    <w:p>
      <w:pPr>
        <w:pStyle w:val="BookText"/>
      </w:pPr>
      <w:r>
        <w:rPr>
          <w:rFonts w:ascii="IRNazanin" w:hAnsi="IRNazanin" w:eastAsia="IRNazanin" w:cs="IRNazanin"/>
          <w:lang w:bidi="fa-IR"/>
          <w:color w:val="111111"/>
          <w:sz w:val="28"/>
          <w:szCs w:val="28"/>
          <w:rtl/>
        </w:rPr>
        <w:t xml:space="preserve">آغاز: برابر؛ انجام: لابراز ملابسة و مخالطه ارباب ظلمت و اهل حجابست و در آن انعکاس ظلمت في الجمله بر حدود حقیقت نازله عابد.</w:t>
      </w:r>
    </w:p>
    <w:p>
      <w:pPr>
        <w:pStyle w:val="BookText"/>
      </w:pPr>
      <w:r>
        <w:rPr>
          <w:rFonts w:ascii="IRNazanin" w:hAnsi="IRNazanin" w:eastAsia="IRNazanin" w:cs="IRNazanin"/>
          <w:lang w:bidi="fa-IR"/>
          <w:color w:val="111111"/>
          <w:sz w:val="28"/>
          <w:szCs w:val="28"/>
          <w:rtl/>
        </w:rPr>
        <w:t xml:space="preserve">خط: نسخ خوش، کاتب = مؤلف، تا: قرن ۱۳، جا: طهران؛ افتادگی: انجام؛ مجدول؛ کاغذ: ترمه، جلد: تیماج قرمز مقوایی، ۴۱۴گ، ۱۸ سطر (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۱-۲۳۶]</w:t>
      </w:r>
    </w:p>
    <w:p>
      <w:pPr>
        <w:pStyle w:val="BookText"/>
      </w:pPr>
      <w:r>
        <w:rPr>
          <w:rFonts w:ascii="IRNazanin" w:hAnsi="IRNazanin" w:eastAsia="IRNazanin" w:cs="IRNazanin"/>
          <w:lang w:bidi="fa-IR"/>
          <w:color w:val="111111"/>
          <w:sz w:val="28"/>
          <w:szCs w:val="28"/>
          <w:rtl/>
        </w:rPr>
        <w:t xml:space="preserve">۲. تهران؛ مجلس؛ شماره نسخه: ۱۳۵۴۲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تقی بن محمد باقر اصفهانی، تا: پنج شنبه ۱۲ جمادی الثانی ۱۲۲۷ق؛ مصحح، محشی به امضاء «منه عفی عنها»؛ جلد: روغنی زمینه مشکی ترنج با سر با نقش گل و پرنده و زمینه زرین، جدول زرین، ۳۹۵گ، ۱۷سطر، اندازه: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۳۷-۳۹]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 ۱۳۷ سرود</w:t>
      </w:r>
    </w:p>
    <w:p>
      <w:pPr>
        <w:pStyle w:val="BookText"/>
      </w:pPr>
      <w:r>
        <w:rPr>
          <w:rFonts w:ascii="IRNazanin" w:hAnsi="IRNazanin" w:eastAsia="IRNazanin" w:cs="IRNazanin"/>
          <w:lang w:bidi="fa-IR"/>
          <w:color w:val="111111"/>
          <w:sz w:val="28"/>
          <w:szCs w:val="28"/>
          <w:rtl/>
        </w:rPr>
        <w:t xml:space="preserve">خط: نسخ، کا: محمد ابراهیم بن حاج محمد خلیل استر آبادی، تا: ۱۲۳۹ق؛ کاغذ: فرنگی آهار مهره نخودی، جلد: تیماج مشکی، قطع: رحلي [نشریه: ۱۳-۴۴۳]</w:t>
      </w:r>
    </w:p>
    <w:p>
      <w:pPr>
        <w:pStyle w:val="Heading3"/>
      </w:pPr>
      <w:bookmarkStart w:id="1435" w:name="_Toc695"/>
      <w:r>
        <w:t>• بیعت نامه / عرفان و تصوف / فارسی</w:t>
      </w:r>
      <w:bookmarkEnd w:id="1435"/>
    </w:p>
    <w:p>
      <w:pPr>
        <w:pStyle w:val="BookText"/>
      </w:pPr>
      <w:r>
        <w:rPr>
          <w:rFonts w:ascii="Times New Roman" w:hAnsi="Times New Roman" w:eastAsia="Times New Roman" w:cs="Times New Roman"/>
          <w:lang w:val="en-US" w:bidi="en-US"/>
          <w:color w:val="111111"/>
          <w:sz w:val="28"/>
          <w:szCs w:val="28"/>
          <w:rtl/>
        </w:rPr>
        <w:t xml:space="preserve">bey-at-nāme</w:t>
      </w:r>
    </w:p>
    <w:p>
      <w:pPr>
        <w:pStyle w:val="BookText"/>
      </w:pPr>
      <w:r>
        <w:rPr>
          <w:rFonts w:ascii="IRNazanin" w:hAnsi="IRNazanin" w:eastAsia="IRNazanin" w:cs="IRNazanin"/>
          <w:lang w:bidi="fa-IR"/>
          <w:color w:val="111111"/>
          <w:sz w:val="28"/>
          <w:szCs w:val="28"/>
          <w:rtl/>
        </w:rPr>
        <w:t xml:space="preserve">نعمة الله ولی، نعمة الله بن عبد الله، ۷۳۰؟ -۸۳۴ قمری</w:t>
      </w:r>
    </w:p>
    <w:p>
      <w:pPr>
        <w:pStyle w:val="BookText"/>
      </w:pPr>
      <w:r>
        <w:rPr>
          <w:rFonts w:ascii="Times New Roman" w:hAnsi="Times New Roman" w:eastAsia="Times New Roman" w:cs="Times New Roman"/>
          <w:lang w:val="en-US" w:bidi="en-US"/>
          <w:color w:val="111111"/>
          <w:sz w:val="28"/>
          <w:szCs w:val="28"/>
          <w:rtl/>
        </w:rPr>
        <w:t xml:space="preserve">ne'mat-ol-lāh-e valī, ne'mat-ol-lāh ebn-e 'abd-ol-lāh (1330-1431)</w:t>
      </w:r>
    </w:p>
    <w:p>
      <w:pPr>
        <w:pStyle w:val="BookText"/>
      </w:pPr>
      <w:r>
        <w:rPr>
          <w:rFonts w:ascii="IRNazanin" w:hAnsi="IRNazanin" w:eastAsia="IRNazanin" w:cs="IRNazanin"/>
          <w:lang w:bidi="fa-IR"/>
          <w:color w:val="111111"/>
          <w:sz w:val="28"/>
          <w:szCs w:val="28"/>
          <w:rtl/>
        </w:rPr>
        <w:t xml:space="preserve">[دنا ۲/۶۰۹؛ فهرستواره منزوی ۱۶۱/۷ ]</w:t>
      </w:r>
    </w:p>
    <w:p>
      <w:pPr>
        <w:pStyle w:val="BookText"/>
      </w:pPr>
      <w:r>
        <w:rPr>
          <w:rFonts w:ascii="IRNazanin" w:hAnsi="IRNazanin" w:eastAsia="IRNazanin" w:cs="IRNazanin"/>
          <w:lang w:bidi="fa-IR"/>
          <w:color w:val="111111"/>
          <w:sz w:val="28"/>
          <w:szCs w:val="28"/>
          <w:rtl/>
        </w:rPr>
        <w:t xml:space="preserve">تهران؛ مجلس؛ شاره نسخه: ۱۴۹/۲۶</w:t>
      </w:r>
    </w:p>
    <w:p>
      <w:pPr>
        <w:pStyle w:val="BookText"/>
      </w:pPr>
      <w:r>
        <w:rPr>
          <w:rFonts w:ascii="IRNazanin" w:hAnsi="IRNazanin" w:eastAsia="IRNazanin" w:cs="IRNazanin"/>
          <w:lang w:bidi="fa-IR"/>
          <w:color w:val="111111"/>
          <w:sz w:val="28"/>
          <w:szCs w:val="28"/>
          <w:rtl/>
        </w:rPr>
        <w:t xml:space="preserve">خط: نستعلیق، بی کا، تا: قرن ۱۲؛ کاغذ: سفید، جلد: تیماج قهوه ای مقوایی، اص (۱۶۵)، ۲۰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[سنا: ف: ۱-۷۵]</w:t>
      </w:r>
    </w:p>
    <w:p>
      <w:pPr>
        <w:pStyle w:val="Heading3"/>
      </w:pPr>
      <w:bookmarkStart w:id="1436" w:name="_Toc696"/>
      <w:r>
        <w:t>• البيع الخياری / فقه / عربی</w:t>
      </w:r>
      <w:bookmarkEnd w:id="1436"/>
    </w:p>
    <w:p>
      <w:pPr>
        <w:pStyle w:val="BookText"/>
      </w:pPr>
      <w:r>
        <w:rPr>
          <w:rFonts w:ascii="Times New Roman" w:hAnsi="Times New Roman" w:eastAsia="Times New Roman" w:cs="Times New Roman"/>
          <w:lang w:val="en-US" w:bidi="en-US"/>
          <w:color w:val="111111"/>
          <w:sz w:val="28"/>
          <w:szCs w:val="28"/>
          <w:rtl/>
        </w:rPr>
        <w:t xml:space="preserve">al-bay-ul xiyārī</w:t>
      </w:r>
    </w:p>
    <w:p>
      <w:pPr>
        <w:pStyle w:val="BookText"/>
      </w:pPr>
      <w:r>
        <w:rPr>
          <w:rFonts w:ascii="IRNazanin" w:hAnsi="IRNazanin" w:eastAsia="IRNazanin" w:cs="IRNazanin"/>
          <w:lang w:bidi="fa-IR"/>
          <w:color w:val="111111"/>
          <w:sz w:val="28"/>
          <w:szCs w:val="28"/>
          <w:rtl/>
        </w:rPr>
        <w:t xml:space="preserve">قم؛ فیضیه؛ شماره نسخه: ۱۲۹۰/۱۷</w:t>
      </w:r>
    </w:p>
    <w:p>
      <w:pPr>
        <w:pStyle w:val="BookText"/>
      </w:pPr>
      <w:r>
        <w:rPr>
          <w:rFonts w:ascii="IRNazanin" w:hAnsi="IRNazanin" w:eastAsia="IRNazanin" w:cs="IRNazanin"/>
          <w:lang w:bidi="fa-IR"/>
          <w:color w:val="111111"/>
          <w:sz w:val="28"/>
          <w:szCs w:val="28"/>
          <w:rtl/>
        </w:rPr>
        <w:t xml:space="preserve">بی کا، بی تا؛ ۱۵گ،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۳-۷۶ ]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29" w:name="pg20363_209484"/>
    <w:bookmarkEnd w:id="229"/>
    <w:p>
      <w:pPr>
        <w:pStyle w:val="Heading3"/>
      </w:pPr>
      <w:bookmarkStart w:id="1437" w:name="_Toc697"/>
      <w:r>
        <w:t>• بیع شرطی پس از زمان خیار / فقه / فارسی</w:t>
      </w:r>
      <w:bookmarkEnd w:id="1437"/>
    </w:p>
    <w:p>
      <w:pPr>
        <w:pStyle w:val="BookText"/>
      </w:pPr>
      <w:r>
        <w:rPr>
          <w:rFonts w:ascii="Times New Roman" w:hAnsi="Times New Roman" w:eastAsia="Times New Roman" w:cs="Times New Roman"/>
          <w:lang w:val="en-US" w:bidi="en-US"/>
          <w:color w:val="111111"/>
          <w:sz w:val="28"/>
          <w:szCs w:val="28"/>
          <w:rtl/>
        </w:rPr>
        <w:t xml:space="preserve">bey'-e šartī pas az zamān-e xiyār</w:t>
      </w:r>
    </w:p>
    <w:p>
      <w:pPr>
        <w:pStyle w:val="BookText"/>
      </w:pPr>
      <w:r>
        <w:rPr>
          <w:rFonts w:ascii="IRNazanin" w:hAnsi="IRNazanin" w:eastAsia="IRNazanin" w:cs="IRNazanin"/>
          <w:lang w:bidi="fa-IR"/>
          <w:color w:val="111111"/>
          <w:sz w:val="28"/>
          <w:szCs w:val="28"/>
          <w:rtl/>
        </w:rPr>
        <w:t xml:space="preserve">زواره ای اصفهانی، حسین بن مرتضی، ق۱۳ قمری</w:t>
      </w:r>
    </w:p>
    <w:p>
      <w:pPr>
        <w:pStyle w:val="BookText"/>
      </w:pPr>
      <w:r>
        <w:rPr>
          <w:rFonts w:ascii="Times New Roman" w:hAnsi="Times New Roman" w:eastAsia="Times New Roman" w:cs="Times New Roman"/>
          <w:lang w:val="en-US" w:bidi="en-US"/>
          <w:color w:val="111111"/>
          <w:sz w:val="28"/>
          <w:szCs w:val="28"/>
          <w:rtl/>
        </w:rPr>
        <w:t xml:space="preserve">zavvāre-ī esfahānī, hoseyn ebn-e morteza (- 19c)</w:t>
      </w:r>
    </w:p>
    <w:p>
      <w:pPr>
        <w:pStyle w:val="BookText"/>
      </w:pPr>
      <w:r>
        <w:rPr>
          <w:rFonts w:ascii="IRNazanin" w:hAnsi="IRNazanin" w:eastAsia="IRNazanin" w:cs="IRNazanin"/>
          <w:lang w:bidi="fa-IR"/>
          <w:color w:val="111111"/>
          <w:sz w:val="28"/>
          <w:szCs w:val="28"/>
          <w:rtl/>
        </w:rPr>
        <w:t xml:space="preserve">تاریخ تأليف: ۲۰ ذیقعده ۱۲۷۰ق پاسخ استدلالی است در سه «مقام» همراه با نقل بعضی از گفته های فقها.</w:t>
      </w:r>
    </w:p>
    <w:p>
      <w:pPr>
        <w:pStyle w:val="BookText"/>
      </w:pPr>
      <w:r>
        <w:rPr>
          <w:rFonts w:ascii="IRNazanin" w:hAnsi="IRNazanin" w:eastAsia="IRNazanin" w:cs="IRNazanin"/>
          <w:lang w:bidi="fa-IR"/>
          <w:color w:val="111111"/>
          <w:sz w:val="28"/>
          <w:szCs w:val="28"/>
          <w:rtl/>
        </w:rPr>
        <w:t xml:space="preserve">قم؛ مرعشی؛ شماره نسخه: ۱۰۸۵۵/۲</w:t>
      </w:r>
    </w:p>
    <w:p>
      <w:pPr>
        <w:pStyle w:val="BookText"/>
      </w:pPr>
      <w:r>
        <w:rPr>
          <w:rFonts w:ascii="IRNazanin" w:hAnsi="IRNazanin" w:eastAsia="IRNazanin" w:cs="IRNazanin"/>
          <w:lang w:bidi="fa-IR"/>
          <w:color w:val="111111"/>
          <w:sz w:val="28"/>
          <w:szCs w:val="28"/>
          <w:rtl/>
        </w:rPr>
        <w:t xml:space="preserve">آغاز: الحمد لله الذي جعل الحكومة لخيار العباد ... سوال هر گاه زید ملکی یا خانه را بعمرو بفروشد بمبایعه شرطیه؛ انجام و تم بفكري الناقص مع قلة الاسباب و الصلاة و السلام على محمد و آله الانجاب</w:t>
      </w:r>
    </w:p>
    <w:p>
      <w:pPr>
        <w:pStyle w:val="BookText"/>
      </w:pPr>
      <w:r>
        <w:rPr>
          <w:rFonts w:ascii="IRNazanin" w:hAnsi="IRNazanin" w:eastAsia="IRNazanin" w:cs="IRNazanin"/>
          <w:lang w:bidi="fa-IR"/>
          <w:color w:val="111111"/>
          <w:sz w:val="28"/>
          <w:szCs w:val="28"/>
          <w:rtl/>
        </w:rPr>
        <w:t xml:space="preserve">خط: نسخ و نستعلیق، کاتب = مؤلف، بی تا؛ جلد: مقوایی عطف تیماج مشکی، ۳گ( 9ر-۱۲پ)،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سم [ف: ۲۷-۲۷۰]</w:t>
      </w:r>
    </w:p>
    <w:p>
      <w:pPr>
        <w:pStyle w:val="Heading3"/>
      </w:pPr>
      <w:bookmarkStart w:id="1438" w:name="_Toc698"/>
      <w:r>
        <w:t>• البيع الفضولی / فقه / عربی</w:t>
      </w:r>
      <w:bookmarkEnd w:id="1438"/>
    </w:p>
    <w:p>
      <w:pPr>
        <w:pStyle w:val="BookText"/>
      </w:pPr>
      <w:r>
        <w:rPr>
          <w:rFonts w:ascii="Times New Roman" w:hAnsi="Times New Roman" w:eastAsia="Times New Roman" w:cs="Times New Roman"/>
          <w:lang w:val="en-US" w:bidi="en-US"/>
          <w:color w:val="111111"/>
          <w:sz w:val="28"/>
          <w:szCs w:val="28"/>
          <w:rtl/>
        </w:rPr>
        <w:t xml:space="preserve">al-bay-ul fudull</w:t>
      </w:r>
    </w:p>
    <w:p>
      <w:pPr>
        <w:pStyle w:val="BookText"/>
      </w:pPr>
      <w:r>
        <w:rPr>
          <w:rFonts w:ascii="IRNazanin" w:hAnsi="IRNazanin" w:eastAsia="IRNazanin" w:cs="IRNazanin"/>
          <w:lang w:bidi="fa-IR"/>
          <w:color w:val="111111"/>
          <w:sz w:val="28"/>
          <w:szCs w:val="28"/>
          <w:rtl/>
        </w:rPr>
        <w:t xml:space="preserve">آقامحمد علی کرمانشاهی، ۱۱۴۴-۱۲۱۶ قمری</w:t>
      </w:r>
    </w:p>
    <w:p>
      <w:pPr>
        <w:pStyle w:val="BookText"/>
      </w:pPr>
      <w:r>
        <w:rPr>
          <w:rFonts w:ascii="Times New Roman" w:hAnsi="Times New Roman" w:eastAsia="Times New Roman" w:cs="Times New Roman"/>
          <w:lang w:val="en-US" w:bidi="en-US"/>
          <w:color w:val="111111"/>
          <w:sz w:val="28"/>
          <w:szCs w:val="28"/>
          <w:rtl/>
        </w:rPr>
        <w:t xml:space="preserve">āqā-mohammad ‘alī kermānšāhī (1732-1802)</w:t>
      </w:r>
    </w:p>
    <w:p>
      <w:pPr>
        <w:pStyle w:val="BookText"/>
      </w:pPr>
      <w:r>
        <w:rPr>
          <w:rFonts w:ascii="IRNazanin" w:hAnsi="IRNazanin" w:eastAsia="IRNazanin" w:cs="IRNazanin"/>
          <w:lang w:bidi="fa-IR"/>
          <w:color w:val="111111"/>
          <w:sz w:val="28"/>
          <w:szCs w:val="28"/>
          <w:rtl/>
        </w:rPr>
        <w:t xml:space="preserve">رساله فقهی و استدلالی است در بیع فضولی در دو «فصل»: ۱. در بحث از اصل مسئله؛ ۲. در فروع متعلقه به بیع فضولی.</w:t>
      </w:r>
    </w:p>
    <w:p>
      <w:pPr>
        <w:pStyle w:val="BookText"/>
      </w:pPr>
      <w:r>
        <w:rPr>
          <w:rFonts w:ascii="IRNazanin" w:hAnsi="IRNazanin" w:eastAsia="IRNazanin" w:cs="IRNazanin"/>
          <w:lang w:bidi="fa-IR"/>
          <w:color w:val="111111"/>
          <w:sz w:val="28"/>
          <w:szCs w:val="28"/>
          <w:rtl/>
        </w:rPr>
        <w:t xml:space="preserve">آغاز: بسمله الحمدلله رب العالمين و الصلوة و السلام على اشرف الأنبياء و المرسلين و عترته الغر الميامين و بعد فهذه الرسالة عويصة تتعلق بمسئلة البيع الفضولی افردتها بالذكر لكثرة ما فيها من الفروع الغامضه و عظیم ما يترتب عليها من الأحكام المعضلة و قد بسطت الكلام في استدلال فيها اثباتا و نفيا بما لا مزيد عليه و قد خلت مصنفات أصحابنا رضوان الله عليهم ... من معظمها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مشهد؛ الهيات؛ شماره نسخه: ۱۹۲۹۹/۲</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كا: محمد علی بن میرزا احمد اصفهانی مشهور به عقدائی، تا: دوشنبه ۱۷ شعبان ۱۲۷۳ق؛ کاغذ: فرنگی آهار مهره، جلد: تیماج عنابی ضربی، ۳۱گ، ۲۱ سطر(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۲-۳۶۶]</w:t>
      </w:r>
    </w:p>
    <w:p>
      <w:pPr>
        <w:pStyle w:val="BookText"/>
      </w:pPr>
      <w:r>
        <w:rPr>
          <w:rFonts w:ascii="IRNazanin" w:hAnsi="IRNazanin" w:eastAsia="IRNazanin" w:cs="IRNazanin"/>
          <w:lang w:bidi="fa-IR"/>
          <w:color w:val="111111"/>
          <w:sz w:val="28"/>
          <w:szCs w:val="28"/>
          <w:rtl/>
        </w:rPr>
        <w:t xml:space="preserve">۲. قم؛ مرعشی؛ شماره نسخه: ۳۱۹۲/۳</w:t>
      </w:r>
    </w:p>
    <w:p>
      <w:pPr>
        <w:pStyle w:val="BookText"/>
      </w:pPr>
      <w:r>
        <w:rPr>
          <w:rFonts w:ascii="IRNazanin" w:hAnsi="IRNazanin" w:eastAsia="IRNazanin" w:cs="IRNazanin"/>
          <w:lang w:bidi="fa-IR"/>
          <w:color w:val="111111"/>
          <w:sz w:val="28"/>
          <w:szCs w:val="28"/>
          <w:rtl/>
        </w:rPr>
        <w:t xml:space="preserve">آغاز: برابر؛ انجام: و بيعه الا خير يدل على عدم الرضا بالاول فتدبر، هذا آخر ما أوردناه من مسائل الفضولی</w:t>
      </w:r>
    </w:p>
    <w:p>
      <w:pPr>
        <w:pStyle w:val="BookText"/>
      </w:pPr>
      <w:r>
        <w:rPr>
          <w:rFonts w:ascii="IRNazanin" w:hAnsi="IRNazanin" w:eastAsia="IRNazanin" w:cs="IRNazanin"/>
          <w:lang w:bidi="fa-IR"/>
          <w:color w:val="111111"/>
          <w:sz w:val="28"/>
          <w:szCs w:val="28"/>
          <w:rtl/>
        </w:rPr>
        <w:t xml:space="preserve">خط: نسخ، بی کا، بی تا، جلد: تیماج قهوه ای ضربی، ۴۲گ (۲۳۴ر -۲۷۵ر)، ۱۸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۸-۴۱۴]</w:t>
      </w:r>
    </w:p>
    <w:p>
      <w:pPr>
        <w:pStyle w:val="Heading3"/>
      </w:pPr>
      <w:bookmarkStart w:id="1439" w:name="_Toc699"/>
      <w:r>
        <w:t>• البيع الفضولی / فقه / عربی</w:t>
      </w:r>
      <w:bookmarkEnd w:id="1439"/>
    </w:p>
    <w:p>
      <w:pPr>
        <w:pStyle w:val="BookText"/>
      </w:pPr>
      <w:r>
        <w:rPr>
          <w:rFonts w:ascii="Times New Roman" w:hAnsi="Times New Roman" w:eastAsia="Times New Roman" w:cs="Times New Roman"/>
          <w:lang w:val="en-US" w:bidi="en-US"/>
          <w:color w:val="111111"/>
          <w:sz w:val="28"/>
          <w:szCs w:val="28"/>
          <w:rtl/>
        </w:rPr>
        <w:t xml:space="preserve">al-bayʻ-ul fudūlī</w:t>
      </w:r>
    </w:p>
    <w:p>
      <w:pPr>
        <w:pStyle w:val="BookText"/>
      </w:pPr>
      <w:r>
        <w:rPr>
          <w:rFonts w:ascii="IRNazanin" w:hAnsi="IRNazanin" w:eastAsia="IRNazanin" w:cs="IRNazanin"/>
          <w:lang w:bidi="fa-IR"/>
          <w:color w:val="111111"/>
          <w:sz w:val="28"/>
          <w:szCs w:val="28"/>
          <w:rtl/>
        </w:rPr>
        <w:t xml:space="preserve">میرزای قمی، ابوالقاسم بن محمد حسن، ۱۱۵۱-۱۲۳۱ قمری</w:t>
      </w:r>
    </w:p>
    <w:p>
      <w:pPr>
        <w:pStyle w:val="BookText"/>
      </w:pPr>
      <w:r>
        <w:rPr>
          <w:rFonts w:ascii="Times New Roman" w:hAnsi="Times New Roman" w:eastAsia="Times New Roman" w:cs="Times New Roman"/>
          <w:lang w:val="en-US" w:bidi="en-US"/>
          <w:color w:val="111111"/>
          <w:sz w:val="28"/>
          <w:szCs w:val="28"/>
          <w:rtl/>
        </w:rPr>
        <w:t xml:space="preserve">mīrzā-ye qomī, ab-ol-qāsem ebn-e mohammad hasan (1739-1816)</w:t>
      </w:r>
    </w:p>
    <w:p>
      <w:pPr>
        <w:pStyle w:val="BookText"/>
      </w:pPr>
      <w:r>
        <w:rPr>
          <w:rFonts w:ascii="IRNazanin" w:hAnsi="IRNazanin" w:eastAsia="IRNazanin" w:cs="IRNazanin"/>
          <w:lang w:bidi="fa-IR"/>
          <w:color w:val="111111"/>
          <w:sz w:val="28"/>
          <w:szCs w:val="28"/>
          <w:rtl/>
        </w:rPr>
        <w:t xml:space="preserve">رساله مختصر و کوتاهی است در بیع فضولی دارای چند«مقصد» و «مطلب». چاپ: دارالخلافه طهران، سنگی، بی ناشر، ۱۳۱۹ق، رحلی، ۲۳ص (جوامع الرسائل: صص ۵۳۸-۵۶۰) ريحانة الأدب: ۷۱/۶ ]</w:t>
      </w:r>
    </w:p>
    <w:p>
      <w:pPr>
        <w:pStyle w:val="BookText"/>
      </w:pPr>
      <w:r>
        <w:rPr>
          <w:rFonts w:ascii="IRNazanin" w:hAnsi="IRNazanin" w:eastAsia="IRNazanin" w:cs="IRNazanin"/>
          <w:lang w:bidi="fa-IR"/>
          <w:color w:val="111111"/>
          <w:sz w:val="28"/>
          <w:szCs w:val="28"/>
          <w:rtl/>
        </w:rPr>
        <w:t xml:space="preserve">۱. قم؛ مرعشی؛ شماره نسخه: ۱۳۲۳۸/۵</w:t>
      </w:r>
    </w:p>
    <w:p>
      <w:pPr>
        <w:pStyle w:val="BookText"/>
      </w:pPr>
      <w:r>
        <w:rPr>
          <w:rFonts w:ascii="Amiri" w:hAnsi="Amiri" w:eastAsia="Amiri" w:cs="Amiri"/>
          <w:lang w:bidi="ar-SA"/>
          <w:color w:val="111111"/>
          <w:sz w:val="28"/>
          <w:szCs w:val="28"/>
          <w:rtl/>
        </w:rPr>
        <w:t xml:space="preserve">آغاز: الفصل الثاني في البيع و فيه مقاصد الأول في حقيقته و شرائطه و فيه مطالب، الاول البيع، هو النقل المعهود لا خصوص الايجاب و القبول؛ انجام: و لا كنهم اشترطوا في ذلك شرطين اولهما عدم علمه بالقيمة حين البيع سواء تمكن من معرفتها بالتوفيق أم لاوسواء كان البائع ايضا جاهلا به او عالما.</w:t>
      </w:r>
    </w:p>
    <w:p>
      <w:pPr>
        <w:pStyle w:val="BookText"/>
      </w:pPr>
      <w:r>
        <w:rPr>
          <w:rFonts w:ascii="IRNazanin" w:hAnsi="IRNazanin" w:eastAsia="IRNazanin" w:cs="IRNazanin"/>
          <w:lang w:bidi="fa-IR"/>
          <w:color w:val="111111"/>
          <w:sz w:val="28"/>
          <w:szCs w:val="28"/>
          <w:rtl/>
        </w:rPr>
        <w:t xml:space="preserve">خط: نستعلیق، کاتب = مؤلف، تا: قرن ۱۳؛ مصحح، محشی، مقابله شده؛ کاغذ: فرنگی، ۱۵گ (۱۵۴ر -۱۶۸پ)، ۲۹ سطر، اندازه: ۱۰/۵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۳۳-۴۵۲]</w:t>
      </w:r>
    </w:p>
    <w:p>
      <w:pPr>
        <w:pStyle w:val="BookText"/>
      </w:pPr>
      <w:r>
        <w:rPr>
          <w:rFonts w:ascii="IRNazanin" w:hAnsi="IRNazanin" w:eastAsia="IRNazanin" w:cs="IRNazanin"/>
          <w:lang w:bidi="fa-IR"/>
          <w:color w:val="111111"/>
          <w:sz w:val="28"/>
          <w:szCs w:val="28"/>
          <w:rtl/>
        </w:rPr>
        <w:t xml:space="preserve">۲. همدان؛ مدرسه غرب؛ شماره نسخه: ۶۴۶/۲۰</w:t>
      </w:r>
    </w:p>
    <w:p>
      <w:pPr>
        <w:pStyle w:val="BookText"/>
      </w:pPr>
      <w:r>
        <w:rPr>
          <w:rFonts w:ascii="IRNazanin" w:hAnsi="IRNazanin" w:eastAsia="IRNazanin" w:cs="IRNazanin"/>
          <w:lang w:bidi="fa-IR"/>
          <w:color w:val="111111"/>
          <w:sz w:val="28"/>
          <w:szCs w:val="28"/>
          <w:rtl/>
        </w:rPr>
        <w:t xml:space="preserve">خط: نسخ، بی کا، تا: پنج شنبه جمادی الثانی ۱۲۱۴ق؛ ۲۲ ص ( ۵۴۰-۵۱۹ )، قطع: ربعی رشت و همدان: ف: ۱۴۲۷]</w:t>
      </w:r>
    </w:p>
    <w:p>
      <w:pPr>
        <w:pStyle w:val="BookText"/>
      </w:pPr>
      <w:r>
        <w:rPr>
          <w:rFonts w:ascii="IRNazanin" w:hAnsi="IRNazanin" w:eastAsia="IRNazanin" w:cs="IRNazanin"/>
          <w:lang w:bidi="fa-IR"/>
          <w:color w:val="111111"/>
          <w:sz w:val="28"/>
          <w:szCs w:val="28"/>
          <w:rtl/>
        </w:rPr>
        <w:t xml:space="preserve">٣. قم؛ مرعشی؛ شماره نسخه: ۹۲۹۰/۱</w:t>
      </w:r>
    </w:p>
    <w:p>
      <w:pPr>
        <w:pStyle w:val="BookText"/>
      </w:pPr>
      <w:r>
        <w:rPr>
          <w:rFonts w:ascii="IRNazanin" w:hAnsi="IRNazanin" w:eastAsia="IRNazanin" w:cs="IRNazanin"/>
          <w:lang w:bidi="fa-IR"/>
          <w:color w:val="111111"/>
          <w:sz w:val="28"/>
          <w:szCs w:val="28"/>
          <w:rtl/>
        </w:rPr>
        <w:t xml:space="preserve">آغاز: سؤال هل يصح بيع الفضولی ام لا ... جواب استقصاء الكلام في هذا المرام لا يسعه المجال لكن نذكر كثيرة من أحكام الفضولی؛ انجام: و هو في الحقيقة في قوة وصية جديدة إلى كل لفظ دل عليه و الامضاء من جهتها و لا ينحصر في لفظ مخصوص و هو كما ذكره. خط: نسخ، كا: محمد حسن پودئی سمیرمی، تا: از عصر مؤلف؛ جلد: تیماج مشکی، ۲۹گ (اپ-۲۹پ)، ۲۱ سطر، اندازه: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۲۴-۷۵]</w:t>
      </w:r>
    </w:p>
    <w:p>
      <w:pPr>
        <w:pStyle w:val="BookText"/>
      </w:pPr>
      <w:r>
        <w:rPr>
          <w:rFonts w:ascii="IRNazanin" w:hAnsi="IRNazanin" w:eastAsia="IRNazanin" w:cs="IRNazanin"/>
          <w:lang w:bidi="fa-IR"/>
          <w:color w:val="111111"/>
          <w:sz w:val="28"/>
          <w:szCs w:val="28"/>
          <w:rtl/>
        </w:rPr>
        <w:t xml:space="preserve">۴. قم؛ مرعشی؛ شماره نسخه: ۹۳۰۵/۱</w:t>
      </w:r>
    </w:p>
    <w:p>
      <w:pPr>
        <w:pStyle w:val="BookText"/>
      </w:pPr>
      <w:r>
        <w:rPr>
          <w:rFonts w:ascii="IRNazanin" w:hAnsi="IRNazanin" w:eastAsia="IRNazanin" w:cs="IRNazanin"/>
          <w:lang w:bidi="fa-IR"/>
          <w:color w:val="111111"/>
          <w:sz w:val="28"/>
          <w:szCs w:val="28"/>
          <w:rtl/>
        </w:rPr>
        <w:t xml:space="preserve">خط: نسخ، بی کا، تا: از عصر مؤلف؛ جلد: تیماج مشکی، ۲۶گ (۱پ-۲۶ر)، ۲۱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۲۴-۹۹)</w:t>
      </w:r>
    </w:p>
    <w:p>
      <w:pPr>
        <w:pStyle w:val="Heading3"/>
      </w:pPr>
      <w:bookmarkStart w:id="1440" w:name="_Toc700"/>
      <w:r>
        <w:t>• البيع الفضولی / فقه / عربی</w:t>
      </w:r>
      <w:bookmarkEnd w:id="1440"/>
    </w:p>
    <w:p>
      <w:pPr>
        <w:pStyle w:val="BookText"/>
      </w:pPr>
      <w:r>
        <w:rPr>
          <w:rFonts w:ascii="Times New Roman" w:hAnsi="Times New Roman" w:eastAsia="Times New Roman" w:cs="Times New Roman"/>
          <w:lang w:val="en-US" w:bidi="en-US"/>
          <w:color w:val="111111"/>
          <w:sz w:val="28"/>
          <w:szCs w:val="28"/>
          <w:rtl/>
        </w:rPr>
        <w:t xml:space="preserve">al-bay'-ul fudūlī</w:t>
      </w:r>
    </w:p>
    <w:p>
      <w:pPr>
        <w:pStyle w:val="BookText"/>
      </w:pPr>
      <w:r>
        <w:rPr>
          <w:rFonts w:ascii="IRNazanin" w:hAnsi="IRNazanin" w:eastAsia="IRNazanin" w:cs="IRNazanin"/>
          <w:lang w:bidi="fa-IR"/>
          <w:color w:val="111111"/>
          <w:sz w:val="28"/>
          <w:szCs w:val="28"/>
          <w:rtl/>
        </w:rPr>
        <w:t xml:space="preserve">عسکری، محمد حسن بن هدایت الله، ۱۲۱۱-۱۲۸۰ قمری</w:t>
      </w:r>
    </w:p>
    <w:p>
      <w:pPr>
        <w:pStyle w:val="BookText"/>
      </w:pPr>
      <w:r>
        <w:rPr>
          <w:rFonts w:ascii="Times New Roman" w:hAnsi="Times New Roman" w:eastAsia="Times New Roman" w:cs="Times New Roman"/>
          <w:lang w:val="en-US" w:bidi="en-US"/>
          <w:color w:val="111111"/>
          <w:sz w:val="28"/>
          <w:szCs w:val="28"/>
          <w:rtl/>
        </w:rPr>
        <w:t xml:space="preserve">‘askarī, mohammad hasan ebn-e hedāyat-ol-lāh (1797 1864)</w:t>
      </w:r>
    </w:p>
    <w:p>
      <w:pPr>
        <w:pStyle w:val="BookText"/>
      </w:pPr>
      <w:r>
        <w:rPr>
          <w:rFonts w:ascii="IRNazanin" w:hAnsi="IRNazanin" w:eastAsia="IRNazanin" w:cs="IRNazanin"/>
          <w:lang w:bidi="fa-IR"/>
          <w:color w:val="111111"/>
          <w:sz w:val="28"/>
          <w:szCs w:val="28"/>
          <w:rtl/>
        </w:rPr>
        <w:t xml:space="preserve">به دستور: حجة الاسلام رشتی</w:t>
      </w:r>
    </w:p>
    <w:p>
      <w:pPr>
        <w:pStyle w:val="BookText"/>
      </w:pPr>
      <w:r>
        <w:rPr>
          <w:rFonts w:ascii="IRNazanin" w:hAnsi="IRNazanin" w:eastAsia="IRNazanin" w:cs="IRNazanin"/>
          <w:lang w:bidi="fa-IR"/>
          <w:color w:val="111111"/>
          <w:sz w:val="28"/>
          <w:szCs w:val="28"/>
          <w:rtl/>
        </w:rPr>
        <w:t xml:space="preserve">از سید میرزا عسکری، محمد حسن بن میرزا هدایت الله بن میرزا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30" w:name="pg20363_209485"/>
    <w:bookmarkEnd w:id="230"/>
    <w:p>
      <w:pPr>
        <w:pStyle w:val="BookText"/>
      </w:pPr>
      <w:r>
        <w:rPr>
          <w:rFonts w:ascii="IRNazanin" w:hAnsi="IRNazanin" w:eastAsia="IRNazanin" w:cs="IRNazanin"/>
          <w:lang w:bidi="fa-IR"/>
          <w:color w:val="111111"/>
          <w:sz w:val="28"/>
          <w:szCs w:val="28"/>
          <w:rtl/>
        </w:rPr>
        <w:t xml:space="preserve">محمد مهدی شهید حسینی مشهدی.</w:t>
      </w:r>
    </w:p>
    <w:p>
      <w:pPr>
        <w:pStyle w:val="BookText"/>
      </w:pPr>
      <w:r>
        <w:rPr>
          <w:rFonts w:ascii="IRNazanin" w:hAnsi="IRNazanin" w:eastAsia="IRNazanin" w:cs="IRNazanin"/>
          <w:lang w:bidi="fa-IR"/>
          <w:color w:val="111111"/>
          <w:sz w:val="28"/>
          <w:szCs w:val="28"/>
          <w:rtl/>
        </w:rPr>
        <w:t xml:space="preserve">آغاز: بسمله حمدله و بعد فيقول الفقير الى ربه الغني ابن هداية الله الحسینی محمد حسن المدعو بالعسكرى ان هذه رسالة في آن الفعل يكفي في اللفظ في اجازة البيع الفضولی ام لا و هذه ما وعدنا ها في اول رسالة قرائة خلف الامام التي التمس منی بهما السيد السند و المأثر و المفاخر مولينا حاجی سید محمد باقر مدظله و كثيرا ما احببت ان احرر مسئلة بيع المعاطاة و الفضولی اولا و احرر هذه ثانيا لكثرة الارتباط بينها و بينهما لكن لما طال الزمان في تأخير ما التمس منی بسبب العوائق التي حررتها في رسالة قرائة خلف الامام لا ينبغي ان اشتغل الى تحرير هما فيزداد طولا إلى طول.</w:t>
      </w:r>
    </w:p>
    <w:p>
      <w:pPr>
        <w:pStyle w:val="BookText"/>
      </w:pPr>
      <w:r>
        <w:rPr>
          <w:rFonts w:ascii="IRNazanin" w:hAnsi="IRNazanin" w:eastAsia="IRNazanin" w:cs="IRNazanin"/>
          <w:lang w:bidi="fa-IR"/>
          <w:color w:val="111111"/>
          <w:sz w:val="28"/>
          <w:szCs w:val="28"/>
          <w:rtl/>
        </w:rPr>
        <w:t xml:space="preserve">.. قزوین؛ میر حسینا قزوینی؛ شماره نسخه: ۱۵۸/۲</w:t>
      </w:r>
    </w:p>
    <w:p>
      <w:pPr>
        <w:pStyle w:val="BookText"/>
      </w:pPr>
      <w:r>
        <w:rPr>
          <w:rFonts w:ascii="IRNazanin" w:hAnsi="IRNazanin" w:eastAsia="IRNazanin" w:cs="IRNazanin"/>
          <w:lang w:bidi="fa-IR"/>
          <w:color w:val="111111"/>
          <w:sz w:val="28"/>
          <w:szCs w:val="28"/>
          <w:rtl/>
        </w:rPr>
        <w:t xml:space="preserve">كان محمود بن حسين هروی، تا: یک شنبه ۲۸ شوال ۱۲۶۰ق، جا: مشهد [نشریه: ۶-۳۴۹] ۲. مشهد؛ الهیات؛ شماره نسخه: ۲۳۶۸۷/۲</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كان عبد المطلب، تا: محرم ۱۲۶۱ق، جا: مشهد مقدس؛ کاغذ: فرنگی؛ جلد: تیماج قهوه ای لایه ای، ۱۴گ (۶۴ -۷۷)، ۱۷ سطر (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۳-۹۷۳]</w:t>
      </w:r>
    </w:p>
    <w:p>
      <w:pPr>
        <w:pStyle w:val="Heading3"/>
      </w:pPr>
      <w:bookmarkStart w:id="1441" w:name="_Toc701"/>
      <w:r>
        <w:t>• البيع الفضولی / فقه / عربی</w:t>
      </w:r>
      <w:bookmarkEnd w:id="1441"/>
    </w:p>
    <w:p>
      <w:pPr>
        <w:pStyle w:val="BookText"/>
      </w:pPr>
      <w:r>
        <w:rPr>
          <w:rFonts w:ascii="Times New Roman" w:hAnsi="Times New Roman" w:eastAsia="Times New Roman" w:cs="Times New Roman"/>
          <w:lang w:val="en-US" w:bidi="en-US"/>
          <w:color w:val="111111"/>
          <w:sz w:val="28"/>
          <w:szCs w:val="28"/>
          <w:rtl/>
        </w:rPr>
        <w:t xml:space="preserve">al-bay-ul fudūlī</w:t>
      </w:r>
    </w:p>
    <w:p>
      <w:pPr>
        <w:pStyle w:val="BookText"/>
      </w:pPr>
      <w:r>
        <w:rPr>
          <w:rFonts w:ascii="IRNazanin" w:hAnsi="IRNazanin" w:eastAsia="IRNazanin" w:cs="IRNazanin"/>
          <w:lang w:bidi="fa-IR"/>
          <w:color w:val="111111"/>
          <w:sz w:val="28"/>
          <w:szCs w:val="28"/>
          <w:rtl/>
        </w:rPr>
        <w:t xml:space="preserve">قمی، محمد صادق، ق۱۳ قمری</w:t>
      </w:r>
    </w:p>
    <w:p>
      <w:pPr>
        <w:pStyle w:val="BookText"/>
      </w:pPr>
      <w:r>
        <w:rPr>
          <w:rFonts w:ascii="Times New Roman" w:hAnsi="Times New Roman" w:eastAsia="Times New Roman" w:cs="Times New Roman"/>
          <w:lang w:val="en-US" w:bidi="en-US"/>
          <w:color w:val="111111"/>
          <w:sz w:val="28"/>
          <w:szCs w:val="28"/>
          <w:rtl/>
        </w:rPr>
        <w:t xml:space="preserve">qomī, mohammad sādeq (- 19c)</w:t>
      </w:r>
    </w:p>
    <w:p>
      <w:pPr>
        <w:pStyle w:val="BookText"/>
      </w:pPr>
      <w:r>
        <w:rPr>
          <w:rFonts w:ascii="IRNazanin" w:hAnsi="IRNazanin" w:eastAsia="IRNazanin" w:cs="IRNazanin"/>
          <w:lang w:bidi="fa-IR"/>
          <w:color w:val="111111"/>
          <w:sz w:val="28"/>
          <w:szCs w:val="28"/>
          <w:rtl/>
        </w:rPr>
        <w:t xml:space="preserve">قم؛ گلپایگانی؛ شماره نسخه: ۶۷۴۵/۱۳ - ۳۴/۱۱۵</w:t>
      </w:r>
    </w:p>
    <w:p>
      <w:pPr>
        <w:pStyle w:val="BookText"/>
      </w:pPr>
      <w:r>
        <w:rPr>
          <w:rFonts w:ascii="IRNazanin" w:hAnsi="IRNazanin" w:eastAsia="IRNazanin" w:cs="IRNazanin"/>
          <w:lang w:bidi="fa-IR"/>
          <w:color w:val="111111"/>
          <w:sz w:val="28"/>
          <w:szCs w:val="28"/>
          <w:rtl/>
        </w:rPr>
        <w:t xml:space="preserve">آغاز: بحث الفضولی مفتاح لابد في كل من البايع او المشتري أن يكون مالكا او ولي اجبارية كالاب و الجد له او اختياري) کالوصی و الوكيل و المأذون؛ انجام: و يمكن الجواب عنه اولا بضعف السند مع عدم الجابر له كيف و الاجماع كما سمعت على خلافه اذ لم اظفر في جواز الرجوع الى الفضولي في غير ما حصل في مقابله نفع للمشترى غير المستدل المزبور</w:t>
      </w:r>
    </w:p>
    <w:p>
      <w:pPr>
        <w:pStyle w:val="BookText"/>
      </w:pPr>
      <w:r>
        <w:rPr>
          <w:rFonts w:ascii="IRNazanin" w:hAnsi="IRNazanin" w:eastAsia="IRNazanin" w:cs="IRNazanin"/>
          <w:lang w:bidi="fa-IR"/>
          <w:color w:val="111111"/>
          <w:sz w:val="28"/>
          <w:szCs w:val="28"/>
          <w:rtl/>
        </w:rPr>
        <w:t xml:space="preserve">خط: نسخ، كاتب = مؤلف، تا: ۱۲۶۱ق؛ افتادگی: انجام؛ مصحح، با حواشی «منه»؛ جلد: تیماج مشکی مجدول، ۱۰گ، ۲۴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۲-۶۵۹]</w:t>
      </w:r>
    </w:p>
    <w:p>
      <w:pPr>
        <w:pStyle w:val="Heading3"/>
      </w:pPr>
      <w:bookmarkStart w:id="1442" w:name="_Toc702"/>
      <w:r>
        <w:t>• البيع الفضولی / فقه / عربی</w:t>
      </w:r>
      <w:bookmarkEnd w:id="1442"/>
    </w:p>
    <w:p>
      <w:pPr>
        <w:pStyle w:val="BookText"/>
      </w:pPr>
      <w:r>
        <w:rPr>
          <w:rFonts w:ascii="Times New Roman" w:hAnsi="Times New Roman" w:eastAsia="Times New Roman" w:cs="Times New Roman"/>
          <w:lang w:val="en-US" w:bidi="en-US"/>
          <w:color w:val="111111"/>
          <w:sz w:val="28"/>
          <w:szCs w:val="28"/>
          <w:rtl/>
        </w:rPr>
        <w:t xml:space="preserve">al-bay-ul fudull</w:t>
      </w:r>
    </w:p>
    <w:p>
      <w:pPr>
        <w:pStyle w:val="BookText"/>
      </w:pPr>
      <w:r>
        <w:rPr>
          <w:rFonts w:ascii="IRNazanin" w:hAnsi="IRNazanin" w:eastAsia="IRNazanin" w:cs="IRNazanin"/>
          <w:lang w:bidi="fa-IR"/>
          <w:color w:val="111111"/>
          <w:sz w:val="28"/>
          <w:szCs w:val="28"/>
          <w:rtl/>
        </w:rPr>
        <w:t xml:space="preserve">بروجردی، محمد رحيم بن محمد، ۱۳۰۹ قمری</w:t>
      </w:r>
    </w:p>
    <w:p>
      <w:pPr>
        <w:pStyle w:val="BookText"/>
      </w:pPr>
      <w:r>
        <w:rPr>
          <w:rFonts w:ascii="Times New Roman" w:hAnsi="Times New Roman" w:eastAsia="Times New Roman" w:cs="Times New Roman"/>
          <w:lang w:val="en-US" w:bidi="en-US"/>
          <w:color w:val="111111"/>
          <w:sz w:val="28"/>
          <w:szCs w:val="28"/>
          <w:rtl/>
        </w:rPr>
        <w:t xml:space="preserve">borūjerdī, mohammad rahīm ebn-e mohammad(- 1892)</w:t>
      </w:r>
    </w:p>
    <w:p>
      <w:pPr>
        <w:pStyle w:val="BookText"/>
      </w:pPr>
      <w:r>
        <w:rPr>
          <w:rFonts w:ascii="IRNazanin" w:hAnsi="IRNazanin" w:eastAsia="IRNazanin" w:cs="IRNazanin"/>
          <w:lang w:bidi="fa-IR"/>
          <w:color w:val="111111"/>
          <w:sz w:val="28"/>
          <w:szCs w:val="28"/>
          <w:rtl/>
        </w:rPr>
        <w:t xml:space="preserve">مشهد؛ رضوی؛ شماره نسخه: ۵۸۴۹</w:t>
      </w:r>
    </w:p>
    <w:p>
      <w:pPr>
        <w:pStyle w:val="BookText"/>
      </w:pPr>
      <w:r>
        <w:rPr>
          <w:rFonts w:ascii="IRNazanin" w:hAnsi="IRNazanin" w:eastAsia="IRNazanin" w:cs="IRNazanin"/>
          <w:lang w:bidi="fa-IR"/>
          <w:color w:val="111111"/>
          <w:sz w:val="28"/>
          <w:szCs w:val="28"/>
          <w:rtl/>
        </w:rPr>
        <w:t xml:space="preserve">آغاز: پس از خطبه: أما بعد فقد التمسنی بعض اعاظم اصحابی في تصنيفي رسالة مبسوطة في بيع الفضولی و كان ذلك عند قرائته مع جماعة من الفضلاء عندى تلك المسئلة؛ انجام: و استفادة ذلك من كلام ابن عباس لا يخلو عن نظر بل منع خط: نسخ، كاتب = مؤلف، بی تا، افتادگی: انجام؛ واقف: منتجب الدین رحیمی، ۱۳۱۷ش؛ کاغذ: نخودی، جلد: مقوا با روکش پارچه، ۱۲گ، ۲۲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۵-۴۹۷]</w:t>
      </w:r>
    </w:p>
    <w:p>
      <w:pPr>
        <w:pStyle w:val="Heading3"/>
      </w:pPr>
      <w:bookmarkStart w:id="1443" w:name="_Toc703"/>
      <w:r>
        <w:t>• البيع المعاطات / فقه / عربی</w:t>
      </w:r>
      <w:bookmarkEnd w:id="1443"/>
    </w:p>
    <w:p>
      <w:pPr>
        <w:pStyle w:val="BookText"/>
      </w:pPr>
      <w:r>
        <w:rPr>
          <w:rFonts w:ascii="Times New Roman" w:hAnsi="Times New Roman" w:eastAsia="Times New Roman" w:cs="Times New Roman"/>
          <w:lang w:val="en-US" w:bidi="en-US"/>
          <w:color w:val="111111"/>
          <w:sz w:val="28"/>
          <w:szCs w:val="28"/>
          <w:rtl/>
        </w:rPr>
        <w:t xml:space="preserve">al-bay-ul mu'atat</w:t>
      </w:r>
    </w:p>
    <w:p>
      <w:pPr>
        <w:pStyle w:val="BookText"/>
      </w:pPr>
      <w:r>
        <w:rPr>
          <w:rFonts w:ascii="IRNazanin" w:hAnsi="IRNazanin" w:eastAsia="IRNazanin" w:cs="IRNazanin"/>
          <w:lang w:bidi="fa-IR"/>
          <w:color w:val="111111"/>
          <w:sz w:val="28"/>
          <w:szCs w:val="28"/>
          <w:rtl/>
        </w:rPr>
        <w:t xml:space="preserve">رضوی، محمد علی بن صادق، ۱۲۳۹-۱۳۱۱ قمری</w:t>
      </w:r>
    </w:p>
    <w:p>
      <w:pPr>
        <w:pStyle w:val="BookText"/>
      </w:pPr>
      <w:r>
        <w:rPr>
          <w:rFonts w:ascii="Times New Roman" w:hAnsi="Times New Roman" w:eastAsia="Times New Roman" w:cs="Times New Roman"/>
          <w:lang w:val="en-US" w:bidi="en-US"/>
          <w:color w:val="111111"/>
          <w:sz w:val="28"/>
          <w:szCs w:val="28"/>
          <w:rtl/>
        </w:rPr>
        <w:t xml:space="preserve">razavī, mohammad ‘alī ebn-e sādeq (1824-1894)</w:t>
      </w:r>
    </w:p>
    <w:p>
      <w:pPr>
        <w:pStyle w:val="BookText"/>
      </w:pPr>
      <w:r>
        <w:rPr>
          <w:rFonts w:ascii="IRNazanin" w:hAnsi="IRNazanin" w:eastAsia="IRNazanin" w:cs="IRNazanin"/>
          <w:lang w:bidi="fa-IR"/>
          <w:color w:val="111111"/>
          <w:sz w:val="28"/>
          <w:szCs w:val="28"/>
          <w:rtl/>
        </w:rPr>
        <w:t xml:space="preserve">آغاز: بسمله، بيع المعاطات قد اختلف الاصحاب في المعاطات بقصد البيع فقال بعضهم انه بیع صحیح.</w:t>
      </w:r>
    </w:p>
    <w:p>
      <w:pPr>
        <w:pStyle w:val="BookText"/>
      </w:pPr>
      <w:r>
        <w:rPr>
          <w:rFonts w:ascii="IRNazanin" w:hAnsi="IRNazanin" w:eastAsia="IRNazanin" w:cs="IRNazanin"/>
          <w:lang w:bidi="fa-IR"/>
          <w:color w:val="111111"/>
          <w:sz w:val="28"/>
          <w:szCs w:val="28"/>
          <w:rtl/>
        </w:rPr>
        <w:t xml:space="preserve">مشهد؛ رضوی، شماره نسخه: ۶۷۳۹</w:t>
      </w:r>
    </w:p>
    <w:p>
      <w:pPr>
        <w:pStyle w:val="BookText"/>
      </w:pPr>
      <w:r>
        <w:rPr>
          <w:rFonts w:ascii="IRNazanin" w:hAnsi="IRNazanin" w:eastAsia="IRNazanin" w:cs="IRNazanin"/>
          <w:lang w:bidi="fa-IR"/>
          <w:color w:val="111111"/>
          <w:sz w:val="28"/>
          <w:szCs w:val="28"/>
          <w:rtl/>
        </w:rPr>
        <w:t xml:space="preserve">آغاز: برابر؛ انجام: و على هذا لاثمرة للنزاع في انها بيع جایز و اباحة محضة.</w:t>
      </w:r>
    </w:p>
    <w:p>
      <w:pPr>
        <w:pStyle w:val="BookText"/>
      </w:pPr>
      <w:r>
        <w:rPr>
          <w:rFonts w:ascii="IRNazanin" w:hAnsi="IRNazanin" w:eastAsia="IRNazanin" w:cs="IRNazanin"/>
          <w:lang w:bidi="fa-IR"/>
          <w:color w:val="111111"/>
          <w:sz w:val="28"/>
          <w:szCs w:val="28"/>
          <w:rtl/>
        </w:rPr>
        <w:t xml:space="preserve">خط: نسخ، بی کا، تا: قرن ۱۳؛ افتادگی: انجام کاغذ: شکری،</w:t>
      </w:r>
    </w:p>
    <w:p>
      <w:pPr>
        <w:pStyle w:val="BookText"/>
      </w:pPr>
      <w:r>
        <w:rPr>
          <w:rFonts w:ascii="IRNazanin" w:hAnsi="IRNazanin" w:eastAsia="IRNazanin" w:cs="IRNazanin"/>
          <w:lang w:bidi="fa-IR"/>
          <w:color w:val="111111"/>
          <w:sz w:val="28"/>
          <w:szCs w:val="28"/>
          <w:rtl/>
        </w:rPr>
        <w:t xml:space="preserve">جلد: مقوا با روکش پارچه، ۴۹گ، ۲۳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۲۰-۶۵] و [ف: ۵-۴۹۷]</w:t>
      </w:r>
    </w:p>
    <w:p>
      <w:pPr>
        <w:pStyle w:val="Heading3"/>
      </w:pPr>
      <w:bookmarkStart w:id="1444" w:name="_Toc704"/>
      <w:r>
        <w:t>• بیع نامه / اسناد / فارسی</w:t>
      </w:r>
      <w:bookmarkEnd w:id="1444"/>
    </w:p>
    <w:p>
      <w:pPr>
        <w:pStyle w:val="BookText"/>
      </w:pPr>
      <w:r>
        <w:rPr>
          <w:rFonts w:ascii="Times New Roman" w:hAnsi="Times New Roman" w:eastAsia="Times New Roman" w:cs="Times New Roman"/>
          <w:lang w:val="en-US" w:bidi="en-US"/>
          <w:color w:val="111111"/>
          <w:sz w:val="28"/>
          <w:szCs w:val="28"/>
          <w:rtl/>
        </w:rPr>
        <w:t xml:space="preserve">bey' nāme</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IRNazanin" w:hAnsi="IRNazanin" w:eastAsia="IRNazanin" w:cs="IRNazanin"/>
          <w:lang w:bidi="fa-IR"/>
          <w:color w:val="111111"/>
          <w:sz w:val="28"/>
          <w:szCs w:val="28"/>
          <w:rtl/>
        </w:rPr>
        <w:t xml:space="preserve">۱. تهران؛ مجلس؛ شماره نسخه: ۸۸۹۰/۳</w:t>
      </w:r>
    </w:p>
    <w:p>
      <w:pPr>
        <w:pStyle w:val="BookText"/>
      </w:pPr>
      <w:r>
        <w:rPr>
          <w:rFonts w:ascii="IRNazanin" w:hAnsi="IRNazanin" w:eastAsia="IRNazanin" w:cs="IRNazanin"/>
          <w:lang w:bidi="fa-IR"/>
          <w:color w:val="111111"/>
          <w:sz w:val="28"/>
          <w:szCs w:val="28"/>
          <w:rtl/>
        </w:rPr>
        <w:t xml:space="preserve">چند نمونه بیع نامه؛ بی کا، تا: قرن ۹، کاغذ: نخودی آهار مهره، جلد: میشن قهوه ای، با ترنج و سرترنج زیتونی، مجدول گرهی، اگ (۷ر-۷پ)، ابعاد متن: 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۱۷/۵ ، اندازه: ۲۳/۳۶۱۴/۶ سم [ف: ۲۹/۱ -۲۴۴]</w:t>
      </w:r>
    </w:p>
    <w:p>
      <w:pPr>
        <w:pStyle w:val="BookText"/>
      </w:pPr>
      <w:r>
        <w:rPr>
          <w:rFonts w:ascii="IRNazanin" w:hAnsi="IRNazanin" w:eastAsia="IRNazanin" w:cs="IRNazanin"/>
          <w:lang w:bidi="fa-IR"/>
          <w:color w:val="111111"/>
          <w:sz w:val="28"/>
          <w:szCs w:val="28"/>
          <w:rtl/>
        </w:rPr>
        <w:t xml:space="preserve">۲. تهران؛ مجلس؛ شماره نسخه: ۸۹۰۳/۲</w:t>
      </w:r>
    </w:p>
    <w:p>
      <w:pPr>
        <w:pStyle w:val="BookText"/>
      </w:pPr>
      <w:r>
        <w:rPr>
          <w:rFonts w:ascii="IRNazanin" w:hAnsi="IRNazanin" w:eastAsia="IRNazanin" w:cs="IRNazanin"/>
          <w:lang w:bidi="fa-IR"/>
          <w:color w:val="111111"/>
          <w:sz w:val="28"/>
          <w:szCs w:val="28"/>
          <w:rtl/>
        </w:rPr>
        <w:t xml:space="preserve">مورخ ۱۰ محرم ۱۲۵۶ق برای خرید چهار راس اسب مادیان با قلون و یک عدد قنلج؛ خط: نسخ و نستعلیق، بی کا، تا: ۱۰ محرم ۱۲۵۶ق؛ مهر: «الواثق الله الغني عبده نقی ۱۲۴» (مستطیل)؛ کاغذ: فرنگی نخودی و حنایی آهار مهره، جلد: تیماج مشکی ساده یک لا، اص (۸)، اندازه: ۲۰/۱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۱۴/۳ سم [ف: ۲۹/۱ -۲۷۲]</w:t>
      </w:r>
    </w:p>
    <w:p>
      <w:pPr>
        <w:pStyle w:val="BookText"/>
      </w:pPr>
      <w:r>
        <w:rPr>
          <w:rFonts w:ascii="IRNazanin" w:hAnsi="IRNazanin" w:eastAsia="IRNazanin" w:cs="IRNazanin"/>
          <w:lang w:bidi="fa-IR"/>
          <w:color w:val="111111"/>
          <w:sz w:val="28"/>
          <w:szCs w:val="28"/>
          <w:rtl/>
        </w:rPr>
        <w:t xml:space="preserve">٣. تهران: مجلس؛ شماره نسخه: ۸۹۶۸/۴۲</w:t>
      </w:r>
    </w:p>
    <w:p>
      <w:pPr>
        <w:pStyle w:val="BookText"/>
      </w:pPr>
      <w:r>
        <w:rPr>
          <w:rFonts w:ascii="IRNazanin" w:hAnsi="IRNazanin" w:eastAsia="IRNazanin" w:cs="IRNazanin"/>
          <w:lang w:bidi="fa-IR"/>
          <w:color w:val="111111"/>
          <w:sz w:val="28"/>
          <w:szCs w:val="28"/>
          <w:rtl/>
        </w:rPr>
        <w:t xml:space="preserve">مربوط به خرید و فروش مزرعه خانیه در آشتیان از توابع دارالمؤمنین قم در ۱۲۵۵ق؛ خط: نستعلیق و شکسته، بی کا، تا: اوایل قرن ۱۴؛ کاغذ: نخودی فرنگی و فستقی، جلد: چرم قهوه ای ضربی با ترنج منقش به گل و مرغ؛ اص (۳۷۳)، اندازه: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31" w:name="pg20363_209486"/>
    <w:bookmarkEnd w:id="231"/>
    <w:p>
      <w:pPr>
        <w:pStyle w:val="BookText"/>
      </w:pPr>
      <w:r>
        <w:rPr>
          <w:rFonts w:ascii="IRNazanin" w:hAnsi="IRNazanin" w:eastAsia="IRNazanin" w:cs="IRNazanin"/>
          <w:lang w:bidi="fa-IR"/>
          <w:color w:val="111111"/>
          <w:sz w:val="28"/>
          <w:szCs w:val="28"/>
          <w:rtl/>
        </w:rPr>
        <w:t xml:space="preserve">۲۱/۸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۱۲/۶ سم [ف: ۲۹/۱-۴۹۷]</w:t>
      </w:r>
    </w:p>
    <w:p>
      <w:pPr>
        <w:pStyle w:val="Heading3"/>
      </w:pPr>
      <w:bookmarkStart w:id="1445" w:name="_Toc705"/>
      <w:r>
        <w:t>• بیع نامه فروش قریه برزدجرد قهپایه / اسناد / فارسی و عربی</w:t>
      </w:r>
      <w:bookmarkEnd w:id="1445"/>
    </w:p>
    <w:p>
      <w:pPr>
        <w:pStyle w:val="BookText"/>
      </w:pPr>
      <w:r>
        <w:rPr>
          <w:rFonts w:ascii="Times New Roman" w:hAnsi="Times New Roman" w:eastAsia="Times New Roman" w:cs="Times New Roman"/>
          <w:lang w:val="en-US" w:bidi="en-US"/>
          <w:color w:val="111111"/>
          <w:sz w:val="28"/>
          <w:szCs w:val="28"/>
          <w:rtl/>
        </w:rPr>
        <w:t xml:space="preserve">bey'-nāme-ye forūš-e qarye-ye barazdjerd-e qohpāye</w:t>
      </w:r>
    </w:p>
    <w:p>
      <w:pPr>
        <w:pStyle w:val="BookText"/>
      </w:pPr>
      <w:r>
        <w:rPr>
          <w:rFonts w:ascii="IRNazanin" w:hAnsi="IRNazanin" w:eastAsia="IRNazanin" w:cs="IRNazanin"/>
          <w:lang w:bidi="fa-IR"/>
          <w:color w:val="111111"/>
          <w:sz w:val="28"/>
          <w:szCs w:val="28"/>
          <w:rtl/>
        </w:rPr>
        <w:t xml:space="preserve">تهران؛ مجلس؛ شماره نسخه: ۱۱۷۴۳</w:t>
      </w:r>
    </w:p>
    <w:p>
      <w:pPr>
        <w:pStyle w:val="BookText"/>
      </w:pPr>
      <w:r>
        <w:rPr>
          <w:rFonts w:ascii="IRNazanin" w:hAnsi="IRNazanin" w:eastAsia="IRNazanin" w:cs="IRNazanin"/>
          <w:lang w:bidi="fa-IR"/>
          <w:color w:val="111111"/>
          <w:sz w:val="28"/>
          <w:szCs w:val="28"/>
          <w:rtl/>
        </w:rPr>
        <w:t xml:space="preserve">خریدار: مولی عبدالوهاب بن عالیجناب. فروشنده: مولی عبدالصمد زاهدی؛ خط: نسخ، كا: شیخ علی بن اشرف بن شیخ علی، تا: ۵ ذیحجه ۸۹۷ق؛ اگ، اندازه: ۹۳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۳۴-۵۹]</w:t>
      </w:r>
    </w:p>
    <w:p>
      <w:pPr>
        <w:pStyle w:val="Heading3"/>
      </w:pPr>
      <w:bookmarkStart w:id="1446" w:name="_Toc706"/>
      <w:r>
        <w:t>• بیع نامه معاملات روستای آشنا خور / اسناد / فارسی</w:t>
      </w:r>
      <w:bookmarkEnd w:id="1446"/>
    </w:p>
    <w:p>
      <w:pPr>
        <w:pStyle w:val="BookText"/>
      </w:pPr>
      <w:r>
        <w:rPr>
          <w:rFonts w:ascii="Times New Roman" w:hAnsi="Times New Roman" w:eastAsia="Times New Roman" w:cs="Times New Roman"/>
          <w:lang w:val="en-US" w:bidi="en-US"/>
          <w:color w:val="111111"/>
          <w:sz w:val="28"/>
          <w:szCs w:val="28"/>
          <w:rtl/>
        </w:rPr>
        <w:t xml:space="preserve">bey' name moʻāmelāt-e rūstāye āšenā xor</w:t>
      </w:r>
    </w:p>
    <w:p>
      <w:pPr>
        <w:pStyle w:val="BookText"/>
      </w:pPr>
      <w:r>
        <w:rPr>
          <w:rFonts w:ascii="IRNazanin" w:hAnsi="IRNazanin" w:eastAsia="IRNazanin" w:cs="IRNazanin"/>
          <w:lang w:bidi="fa-IR"/>
          <w:color w:val="111111"/>
          <w:sz w:val="28"/>
          <w:szCs w:val="28"/>
          <w:rtl/>
        </w:rPr>
        <w:t xml:space="preserve">۱. تهران: انجمن آثار و مفاخر فرهنگی؛ شماره نسخه: ۷۳</w:t>
      </w:r>
    </w:p>
    <w:p>
      <w:pPr>
        <w:pStyle w:val="BookText"/>
      </w:pPr>
      <w:r>
        <w:rPr>
          <w:rFonts w:ascii="IRNazanin" w:hAnsi="IRNazanin" w:eastAsia="IRNazanin" w:cs="IRNazanin"/>
          <w:lang w:bidi="fa-IR"/>
          <w:color w:val="111111"/>
          <w:sz w:val="28"/>
          <w:szCs w:val="28"/>
          <w:rtl/>
        </w:rPr>
        <w:t xml:space="preserve">آغاز: آغاز: بسمله - منظور از نگارش این اوراق شرح معاملات قریه آشنا خور؛ انجام پایان کتاب: كتبه العبد الحقير الجانی ... في الخامس من شهر شعبان المعظم من شهور سنة ثمان و سبعین و ما تين بعد الف.</w:t>
      </w:r>
    </w:p>
    <w:p>
      <w:pPr>
        <w:pStyle w:val="BookText"/>
      </w:pPr>
      <w:r>
        <w:rPr>
          <w:rFonts w:ascii="IRNazanin" w:hAnsi="IRNazanin" w:eastAsia="IRNazanin" w:cs="IRNazanin"/>
          <w:lang w:bidi="fa-IR"/>
          <w:color w:val="111111"/>
          <w:sz w:val="28"/>
          <w:szCs w:val="28"/>
          <w:rtl/>
        </w:rPr>
        <w:t xml:space="preserve">در این نسخه شرح انتقالات شرعی این املاک آمده و از صفحه ۱ تا اوایل صفحه ۱۵ شرح معاملات و بعد از اوایل صفحه ۱۵ تا ۳۰ محاسبات قریه مزبور با اعداد سیاقی ثبت شده است همچنین در سه صفحه پایان کتاب سه شخص: آخوند ملا زین العابدين و آقا میرزا محمدرضا و سومی با مهر ابوالقاسم، صحت این معاملات را تصدیق کرده اند؛ خط: شکسته نستعلیق، كا: ابوالقاسم، تا: ۱۲۷۸ق؛ بخش محاسبات به خط سیاق، با سرلوح، مجدول؛ کاغذ: فرنگی الوان، جلد: تیماج تریاکی روشن، یک لایی، ۳۳ص، ۸ سطر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۱۱۴]</w:t>
      </w:r>
    </w:p>
    <w:p>
      <w:pPr>
        <w:pStyle w:val="BookText"/>
      </w:pPr>
      <w:r>
        <w:rPr>
          <w:rFonts w:ascii="IRNazanin" w:hAnsi="IRNazanin" w:eastAsia="IRNazanin" w:cs="IRNazanin"/>
          <w:lang w:bidi="fa-IR"/>
          <w:color w:val="111111"/>
          <w:sz w:val="28"/>
          <w:szCs w:val="28"/>
          <w:rtl/>
        </w:rPr>
        <w:t xml:space="preserve">تهران؛ دانشگاه؛ شماره نسخه: ۳۵۸۵-ف</w:t>
      </w:r>
    </w:p>
    <w:p>
      <w:pPr>
        <w:pStyle w:val="BookText"/>
      </w:pPr>
      <w:r>
        <w:rPr>
          <w:rFonts w:ascii="IRNazanin" w:hAnsi="IRNazanin" w:eastAsia="IRNazanin" w:cs="IRNazanin"/>
          <w:lang w:bidi="fa-IR"/>
          <w:color w:val="111111"/>
          <w:sz w:val="28"/>
          <w:szCs w:val="28"/>
          <w:rtl/>
        </w:rPr>
        <w:t xml:space="preserve">نسخه اصل: همان نسخه بالا [فیلمها ف: ۲-۱۹۱]</w:t>
      </w:r>
    </w:p>
    <w:p>
      <w:pPr>
        <w:pStyle w:val="BookText"/>
      </w:pPr>
      <w:r>
        <w:rPr>
          <w:rFonts w:ascii="IRNazanin" w:hAnsi="IRNazanin" w:eastAsia="IRNazanin" w:cs="IRNazanin"/>
          <w:lang w:bidi="fa-IR"/>
          <w:color w:val="111111"/>
          <w:sz w:val="28"/>
          <w:szCs w:val="28"/>
          <w:rtl/>
        </w:rPr>
        <w:t xml:space="preserve">۲. قم؛ مرعشی؛ شماره نسخه: ۱۱۳۰۲</w:t>
      </w:r>
    </w:p>
    <w:p>
      <w:pPr>
        <w:pStyle w:val="BookText"/>
      </w:pPr>
      <w:r>
        <w:rPr>
          <w:rFonts w:ascii="IRNazanin" w:hAnsi="IRNazanin" w:eastAsia="IRNazanin" w:cs="IRNazanin"/>
          <w:lang w:bidi="fa-IR"/>
          <w:color w:val="111111"/>
          <w:sz w:val="28"/>
          <w:szCs w:val="28"/>
          <w:rtl/>
        </w:rPr>
        <w:t xml:space="preserve">آغاز: منظور از نگارش این اوراق، شرح معالمات قریه اشنا خور، من قرى و بلوک سر لک بختیاری است؛ انجام: و قبالجات انها در نهایت اعتبار و صحت است و حقیر هم مهر نموده ام و صورت آنها در همین کتابخانه ثبت است</w:t>
      </w:r>
    </w:p>
    <w:p>
      <w:pPr>
        <w:pStyle w:val="BookText"/>
      </w:pPr>
      <w:r>
        <w:rPr>
          <w:rFonts w:ascii="IRNazanin" w:hAnsi="IRNazanin" w:eastAsia="IRNazanin" w:cs="IRNazanin"/>
          <w:lang w:bidi="fa-IR"/>
          <w:color w:val="111111"/>
          <w:sz w:val="28"/>
          <w:szCs w:val="28"/>
          <w:rtl/>
        </w:rPr>
        <w:t xml:space="preserve">شرح مسير توارث و معامله روستای «آشنا خور» از روستاهای سر لک بختیاری که به تایید تنی چند از شخصیت های وقت رسیده است؛ خط: شکسته و سیاق، بی کا، تا: ۵ شعبان ۱۲۷۸ق؛ مجدول دارای کمند، چند تقریظ از: آخوند ملا زین العابدین گلپایگانی، میرزا محمد رضا گلپایگانی، میرزا ابوالقاسم گلپایگانی؛ کاغذ: فرنگی، جلد: تیماج شکلاتی یک لا، ۱۶گ، ۱۲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۵۸۱۳/ ۲۰سم [ف: ۲۸-۴۵۷]</w:t>
      </w:r>
    </w:p>
    <w:p>
      <w:pPr>
        <w:pStyle w:val="Heading3"/>
      </w:pPr>
      <w:bookmarkStart w:id="1447" w:name="_Toc707"/>
      <w:r>
        <w:t>• البيع و الخيارات (التقریرات) / فقه / عربی</w:t>
      </w:r>
      <w:bookmarkEnd w:id="1447"/>
    </w:p>
    <w:p>
      <w:pPr>
        <w:pStyle w:val="BookText"/>
      </w:pPr>
      <w:r>
        <w:rPr>
          <w:rFonts w:ascii="Times New Roman" w:hAnsi="Times New Roman" w:eastAsia="Times New Roman" w:cs="Times New Roman"/>
          <w:lang w:val="en-US" w:bidi="en-US"/>
          <w:color w:val="111111"/>
          <w:sz w:val="28"/>
          <w:szCs w:val="28"/>
          <w:rtl/>
        </w:rPr>
        <w:t xml:space="preserve">al-bay' wa-l xiyārāt (at-taqrīrāt)</w:t>
      </w:r>
    </w:p>
    <w:p>
      <w:pPr>
        <w:pStyle w:val="BookText"/>
      </w:pPr>
      <w:r>
        <w:rPr>
          <w:rFonts w:ascii="IRNazanin" w:hAnsi="IRNazanin" w:eastAsia="IRNazanin" w:cs="IRNazanin"/>
          <w:lang w:bidi="fa-IR"/>
          <w:color w:val="111111"/>
          <w:sz w:val="28"/>
          <w:szCs w:val="28"/>
          <w:rtl/>
        </w:rPr>
        <w:t xml:space="preserve">همدانی، رضا بن محمد هادی، ۱۲۴۱-۱۳۲۲ قمری</w:t>
      </w:r>
    </w:p>
    <w:p>
      <w:pPr>
        <w:pStyle w:val="BookText"/>
      </w:pPr>
      <w:r>
        <w:rPr>
          <w:rFonts w:ascii="Times New Roman" w:hAnsi="Times New Roman" w:eastAsia="Times New Roman" w:cs="Times New Roman"/>
          <w:lang w:val="en-US" w:bidi="en-US"/>
          <w:color w:val="111111"/>
          <w:sz w:val="28"/>
          <w:szCs w:val="28"/>
          <w:rtl/>
        </w:rPr>
        <w:t xml:space="preserve">hamadānī, rezā ebn-e mohammad hādī (1826-1904)</w:t>
      </w:r>
    </w:p>
    <w:p>
      <w:pPr>
        <w:pStyle w:val="BookText"/>
      </w:pPr>
      <w:r>
        <w:rPr>
          <w:rFonts w:ascii="IRNazanin" w:hAnsi="IRNazanin" w:eastAsia="IRNazanin" w:cs="IRNazanin"/>
          <w:lang w:bidi="fa-IR"/>
          <w:color w:val="111111"/>
          <w:sz w:val="28"/>
          <w:szCs w:val="28"/>
          <w:rtl/>
        </w:rPr>
        <w:t xml:space="preserve">تقریرات بيع مرحوم آیت الله میرزا محمد حسن شیرازی ( ۱۳۱۲ ق) است که از سوی مرحوم آیت الله حاج آقا رضا همدانی، مؤلف مصباح الفقيه تحریر شده است.</w:t>
      </w:r>
    </w:p>
    <w:p>
      <w:pPr>
        <w:pStyle w:val="BookText"/>
      </w:pPr>
      <w:r>
        <w:rPr>
          <w:rFonts w:ascii="Amiri" w:hAnsi="Amiri" w:eastAsia="Amiri" w:cs="Amiri"/>
          <w:lang w:bidi="ar-SA"/>
          <w:color w:val="111111"/>
          <w:sz w:val="28"/>
          <w:szCs w:val="28"/>
          <w:rtl/>
        </w:rPr>
        <w:t xml:space="preserve">آغاز: بسمله الحمد لله رب العالمين ... كتاب البيع قبل الشروع في المقصود لابد من بيان معنى البيع و انه هل للشارع او المتشرعه فيه اصطلاح خاص ... فنقول الظاهر انه مستعمل عند الشارع و المتشرعه في معناء العرفي و لا اصطلاح لهما فيه</w:t>
      </w:r>
    </w:p>
    <w:p>
      <w:pPr>
        <w:pStyle w:val="BookText"/>
      </w:pPr>
      <w:r>
        <w:rPr>
          <w:rFonts w:ascii="IRNazanin" w:hAnsi="IRNazanin" w:eastAsia="IRNazanin" w:cs="IRNazanin"/>
          <w:lang w:bidi="fa-IR"/>
          <w:color w:val="111111"/>
          <w:sz w:val="28"/>
          <w:szCs w:val="28"/>
          <w:rtl/>
        </w:rPr>
        <w:t xml:space="preserve">۱. قم؛ مرعشی؛ شماره نسخه:۱۴۹۲۸/۴</w:t>
      </w:r>
    </w:p>
    <w:p>
      <w:pPr>
        <w:pStyle w:val="BookText"/>
      </w:pPr>
      <w:r>
        <w:rPr>
          <w:rFonts w:ascii="IRNazanin" w:hAnsi="IRNazanin" w:eastAsia="IRNazanin" w:cs="IRNazanin"/>
          <w:lang w:bidi="fa-IR"/>
          <w:color w:val="111111"/>
          <w:sz w:val="28"/>
          <w:szCs w:val="28"/>
          <w:rtl/>
        </w:rPr>
        <w:t xml:space="preserve">آغاز: بسمله، الكلام في شروط المتعاقدين منها البلوغ و اعتباره في صحة العقد، مما لا اشکال فيه بل لا خلاف، كما صرح به بعضهم فیبطل بيع الصبی و سایر عقوده؛ انجام: و توهم جریان استصحاب الجواز في صورة الشك، مدفوع بعدم احراز موضوع المستصحب،</w:t>
      </w:r>
    </w:p>
    <w:p>
      <w:pPr>
        <w:pStyle w:val="BookText"/>
      </w:pPr>
      <w:r>
        <w:rPr>
          <w:rFonts w:ascii="Amiri" w:hAnsi="Amiri" w:eastAsia="Amiri" w:cs="Amiri"/>
          <w:lang w:bidi="ar-SA"/>
          <w:color w:val="111111"/>
          <w:sz w:val="28"/>
          <w:szCs w:val="28"/>
          <w:rtl/>
        </w:rPr>
        <w:t xml:space="preserve">الاحتمال اختصاصه بالصورة المذكورة، كما لا يخفى ... ناتمام.</w:t>
      </w:r>
    </w:p>
    <w:p>
      <w:pPr>
        <w:pStyle w:val="BookText"/>
      </w:pPr>
      <w:r>
        <w:rPr>
          <w:rFonts w:ascii="IRNazanin" w:hAnsi="IRNazanin" w:eastAsia="IRNazanin" w:cs="IRNazanin"/>
          <w:lang w:bidi="fa-IR"/>
          <w:color w:val="111111"/>
          <w:sz w:val="28"/>
          <w:szCs w:val="28"/>
          <w:rtl/>
        </w:rPr>
        <w:t xml:space="preserve">بخش اندکی از آن است؛ خط شکسته نستعلیق، كا: عبدالكريم بن مهدی گزی اصفهانی، تا: اواخر قرن ۱۳، جان نجف اشرف؛ افتادگی: انجام؛ محشی؛ کاغذ: فرنگی، جلد: تیماج دارچینی ضربی با ترنج گل و بوته، ۱۴گ (۱۳۷۶ -۳۸۹ر)، ۲۰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w:t>
      </w:r>
    </w:p>
    <w:p>
      <w:pPr>
        <w:pStyle w:val="BookText"/>
      </w:pPr>
      <w:r>
        <w:rPr>
          <w:rFonts w:ascii="IRNazanin" w:hAnsi="IRNazanin" w:eastAsia="IRNazanin" w:cs="IRNazanin"/>
          <w:lang w:bidi="fa-IR"/>
          <w:color w:val="111111"/>
          <w:sz w:val="28"/>
          <w:szCs w:val="28"/>
          <w:rtl/>
        </w:rPr>
        <w:t xml:space="preserve">سم [ف: ۳۷-۵۸۰]</w:t>
      </w:r>
    </w:p>
    <w:p>
      <w:pPr>
        <w:pStyle w:val="BookText"/>
      </w:pPr>
      <w:r>
        <w:rPr>
          <w:rFonts w:ascii="IRNazanin" w:hAnsi="IRNazanin" w:eastAsia="IRNazanin" w:cs="IRNazanin"/>
          <w:lang w:bidi="fa-IR"/>
          <w:color w:val="111111"/>
          <w:sz w:val="28"/>
          <w:szCs w:val="28"/>
          <w:rtl/>
        </w:rPr>
        <w:t xml:space="preserve">۲. تهران؛ مجلس؛ شماره نسخه: ۱۵۲۲۸</w:t>
      </w:r>
    </w:p>
    <w:p>
      <w:pPr>
        <w:pStyle w:val="BookText"/>
      </w:pPr>
      <w:r>
        <w:rPr>
          <w:rFonts w:ascii="IRNazanin" w:hAnsi="IRNazanin" w:eastAsia="IRNazanin" w:cs="IRNazanin"/>
          <w:lang w:bidi="fa-IR"/>
          <w:color w:val="111111"/>
          <w:sz w:val="28"/>
          <w:szCs w:val="28"/>
          <w:rtl/>
        </w:rPr>
        <w:t xml:space="preserve">خط: نسخ و نستعلیق، بی کا، تا: قرن ۱۳ [مختصر ف: ۲۹۸]</w:t>
      </w:r>
    </w:p>
    <w:p>
      <w:pPr>
        <w:pStyle w:val="BookText"/>
      </w:pPr>
      <w:r>
        <w:rPr>
          <w:rFonts w:ascii="IRNazanin" w:hAnsi="IRNazanin" w:eastAsia="IRNazanin" w:cs="IRNazanin"/>
          <w:lang w:bidi="fa-IR"/>
          <w:color w:val="111111"/>
          <w:sz w:val="28"/>
          <w:szCs w:val="28"/>
          <w:rtl/>
        </w:rPr>
        <w:t xml:space="preserve">٣. تهران؛ مجلس؛ شماره نسخه: ۱۵۱۹۴</w:t>
      </w:r>
    </w:p>
    <w:p>
      <w:pPr>
        <w:pStyle w:val="BookText"/>
      </w:pPr>
      <w:r>
        <w:rPr>
          <w:rFonts w:ascii="IRNazanin" w:hAnsi="IRNazanin" w:eastAsia="IRNazanin" w:cs="IRNazanin"/>
          <w:lang w:bidi="fa-IR"/>
          <w:color w:val="111111"/>
          <w:sz w:val="28"/>
          <w:szCs w:val="28"/>
          <w:rtl/>
        </w:rPr>
        <w:t xml:space="preserve">خط: تحریری، بی کا، تا: قرن ۱۳ وقرن ۱۴ [مختصر ف: ۱۹۴]</w:t>
      </w:r>
    </w:p>
    <w:p>
      <w:pPr>
        <w:pStyle w:val="BookText"/>
      </w:pPr>
      <w:r>
        <w:rPr>
          <w:rFonts w:ascii="IRNazanin" w:hAnsi="IRNazanin" w:eastAsia="IRNazanin" w:cs="IRNazanin"/>
          <w:lang w:bidi="fa-IR"/>
          <w:color w:val="111111"/>
          <w:sz w:val="28"/>
          <w:szCs w:val="28"/>
          <w:rtl/>
        </w:rPr>
        <w:t xml:space="preserve">۴. مشهد، رضوی؛ شماره نسخه: ۸۸۵۵</w:t>
      </w:r>
    </w:p>
    <w:p>
      <w:pPr>
        <w:pStyle w:val="BookText"/>
      </w:pPr>
      <w:r>
        <w:rPr>
          <w:rFonts w:ascii="Amiri" w:hAnsi="Amiri" w:eastAsia="Amiri" w:cs="Amiri"/>
          <w:lang w:bidi="ar-SA"/>
          <w:color w:val="111111"/>
          <w:sz w:val="28"/>
          <w:szCs w:val="28"/>
          <w:rtl/>
        </w:rPr>
        <w:t xml:space="preserve">آغاز: برابر؛ انجام: ولكن المسألة بعد محتاجة إلى مزيد تأمل فليتأمل.</w:t>
      </w:r>
    </w:p>
    <w:p>
      <w:pPr>
        <w:pStyle w:val="BookText"/>
      </w:pPr>
      <w:r>
        <w:rPr>
          <w:rFonts w:ascii="IRNazanin" w:hAnsi="IRNazanin" w:eastAsia="IRNazanin" w:cs="IRNazanin"/>
          <w:lang w:bidi="fa-IR"/>
          <w:color w:val="111111"/>
          <w:sz w:val="28"/>
          <w:szCs w:val="28"/>
          <w:rtl/>
        </w:rPr>
        <w:t xml:space="preserve">از ابتدای کتاب بيع تا انتهای مبحث خيارات؛ خط: نسخ، بی کا، تا: قرن ۱۴؛ واقف: آقای حاج قطب المحدثین، بهمن ۱۳۳۸؛ کاغذ: نخودی، جلد: میشن زرشکی، ۲۱۰گ، ۱۹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۲۰-۱۶۸]</w:t>
      </w:r>
    </w:p>
    <w:p>
      <w:pPr>
        <w:pStyle w:val="BookText"/>
      </w:pPr>
      <w:r>
        <w:rPr>
          <w:rFonts w:ascii="IRNazanin" w:hAnsi="IRNazanin" w:eastAsia="IRNazanin" w:cs="IRNazanin"/>
          <w:lang w:bidi="fa-IR"/>
          <w:color w:val="111111"/>
          <w:sz w:val="28"/>
          <w:szCs w:val="28"/>
          <w:rtl/>
        </w:rPr>
        <w:t xml:space="preserve">۵. تهران: مجلس؛ شماره نسخه: ۴۰۳/۳ -طباطبائی</w:t>
      </w:r>
    </w:p>
    <w:p>
      <w:pPr>
        <w:pStyle w:val="BookText"/>
      </w:pPr>
      <w:r>
        <w:rPr>
          <w:rFonts w:ascii="IRNazanin" w:hAnsi="IRNazanin" w:eastAsia="IRNazanin" w:cs="IRNazanin"/>
          <w:lang w:bidi="fa-IR"/>
          <w:color w:val="111111"/>
          <w:sz w:val="28"/>
          <w:szCs w:val="28"/>
          <w:rtl/>
        </w:rPr>
        <w:t xml:space="preserve">آغاز: برابر؛ انجام: ثم ان جعل التصرف في البيع ايضا كاشفا عن الرضا ء بالمعيوب لايخلو عن نظر و لو لبعد العلم بالعيب ايضا لو لم يعلم عدم جواز الارش فتامل انشاء الله تعالی. کاتبه عبد المجيد الحسینی.</w:t>
      </w:r>
    </w:p>
    <w:p>
      <w:pPr>
        <w:pStyle w:val="BookText"/>
      </w:pPr>
      <w:r>
        <w:rPr>
          <w:rFonts w:ascii="IRNazanin" w:hAnsi="IRNazanin" w:eastAsia="IRNazanin" w:cs="IRNazanin"/>
          <w:lang w:bidi="fa-IR"/>
          <w:color w:val="111111"/>
          <w:sz w:val="28"/>
          <w:szCs w:val="28"/>
          <w:rtl/>
        </w:rPr>
        <w:t xml:space="preserve">ترتیب مطالب کتاب از این قرار است: تعریف بیع، معاطات، لزوم تقدم ایجاب، لزوم تنجیز در عقد، قاعده ضمان، الكلام في شروط المتعاقدين، عقد فضولی (که بسیار مفصل است) .. خيارات تا خیار عیب؛ خط: نسخ، كا: سید محمد طباطبائی و عبد المجيد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32" w:name="pg20363_209487"/>
    <w:bookmarkEnd w:id="232"/>
    <w:p>
      <w:pPr>
        <w:pStyle w:val="BookText"/>
      </w:pPr>
      <w:r>
        <w:rPr>
          <w:rFonts w:ascii="IRNazanin" w:hAnsi="IRNazanin" w:eastAsia="IRNazanin" w:cs="IRNazanin"/>
          <w:lang w:bidi="fa-IR"/>
          <w:color w:val="111111"/>
          <w:sz w:val="28"/>
          <w:szCs w:val="28"/>
          <w:rtl/>
        </w:rPr>
        <w:t xml:space="preserve">حسینی، بی تا، دارای حواشی مؤلف که کاتب در بسیاری از موارد آن را در متن داخل کرده و خود این کار را توضیح داده است، چند برگ از اوایل کتاب به قلم سید محمد طباطبائی (پدر اهداء کننده مجموعه است و او خود در ذیل صفحه ۱۵۸ می نویسد: «و الحمد لله كما هو اهله و مستحقه ... فرغ من تسویده العبد ... محمد بن صادق الحسینی الطباطبائي في بلدة سامراء ... ۲۸ شعبان ۱۳۹۰ و النسخة المنقول عنها كان غير مقرو غلطا اسئل الاغماض من الناظرين و الاستغفار لي و لوالدي و لمن يتعلق بی»؛ کاغذ: فرنگی آهار مهره، جلد: تیماج قرمز، ۲۴۴گ (۵۹ر - ۳۰۲)، قطع: وزیری کوچک، اندازه: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w:t>
      </w:r>
    </w:p>
    <w:p>
      <w:pPr>
        <w:pStyle w:val="BookText"/>
      </w:pPr>
      <w:r>
        <w:rPr>
          <w:rFonts w:ascii="IRNazanin" w:hAnsi="IRNazanin" w:eastAsia="IRNazanin" w:cs="IRNazanin"/>
          <w:lang w:bidi="fa-IR"/>
          <w:color w:val="111111"/>
          <w:sz w:val="28"/>
          <w:szCs w:val="28"/>
          <w:rtl/>
        </w:rPr>
        <w:t xml:space="preserve">[ف: ۲۲-۱۵۷]</w:t>
      </w:r>
    </w:p>
    <w:p>
      <w:pPr>
        <w:pStyle w:val="Heading3"/>
      </w:pPr>
      <w:bookmarkStart w:id="1448" w:name="_Toc708"/>
      <w:r>
        <w:t>• البيع و الخيارات / فقه / عربی</w:t>
      </w:r>
      <w:bookmarkEnd w:id="1448"/>
    </w:p>
    <w:p>
      <w:pPr>
        <w:pStyle w:val="BookText"/>
      </w:pPr>
      <w:r>
        <w:rPr>
          <w:rFonts w:ascii="Times New Roman" w:hAnsi="Times New Roman" w:eastAsia="Times New Roman" w:cs="Times New Roman"/>
          <w:lang w:val="en-US" w:bidi="en-US"/>
          <w:color w:val="111111"/>
          <w:sz w:val="28"/>
          <w:szCs w:val="28"/>
          <w:rtl/>
        </w:rPr>
        <w:t xml:space="preserve">al-bay' wa-l xiyārāt</w:t>
      </w:r>
    </w:p>
    <w:p>
      <w:pPr>
        <w:pStyle w:val="BookText"/>
      </w:pPr>
      <w:r>
        <w:rPr>
          <w:rFonts w:ascii="IRNazanin" w:hAnsi="IRNazanin" w:eastAsia="IRNazanin" w:cs="IRNazanin"/>
          <w:lang w:bidi="fa-IR"/>
          <w:color w:val="111111"/>
          <w:sz w:val="28"/>
          <w:szCs w:val="28"/>
          <w:rtl/>
        </w:rPr>
        <w:t xml:space="preserve">قم؛ حجت کوهکمری؛ شماره نسخه: ۳۴</w:t>
      </w:r>
    </w:p>
    <w:p>
      <w:pPr>
        <w:pStyle w:val="BookText"/>
      </w:pPr>
      <w:r>
        <w:rPr>
          <w:rFonts w:ascii="IRNazanin" w:hAnsi="IRNazanin" w:eastAsia="IRNazanin" w:cs="IRNazanin"/>
          <w:lang w:bidi="fa-IR"/>
          <w:color w:val="111111"/>
          <w:sz w:val="28"/>
          <w:szCs w:val="28"/>
          <w:rtl/>
        </w:rPr>
        <w:t xml:space="preserve">و نیز در آخر کتاب مزارعه و کتاب قضاء و حدود و شهادات بتاريخ اول رجب ۱۳۳۳ مکتوب است؛ خط: نستعلیق، بی کا، تا: ۲۲ صفر ۱۳۳۴ق؛ در چند برگ آخر بحث منجزات مریض به خط مرحوم سید محمد حجت ناقص آمده، در صفحه اول مرحوم حجت چنین تعبیر کرده اند: بيع و الخيارات من مصنفات بعض الأجلاء و در همان صفحه توضیحاتی از مرحوم سید حسن حجت درباره کتاب و مؤلف آن مشهود است، محشی، و نیز در آخر کتاب مزارعه و کتاب قضاء و حدود و شهادات به تاریخ اول</w:t>
      </w:r>
    </w:p>
    <w:p>
      <w:pPr>
        <w:pStyle w:val="BookText"/>
      </w:pPr>
      <w:r>
        <w:rPr>
          <w:rFonts w:ascii="IRNazanin" w:hAnsi="IRNazanin" w:eastAsia="IRNazanin" w:cs="IRNazanin"/>
          <w:lang w:bidi="fa-IR"/>
          <w:color w:val="111111"/>
          <w:sz w:val="28"/>
          <w:szCs w:val="28"/>
          <w:rtl/>
        </w:rPr>
        <w:t xml:space="preserve">رجب ۱۳۳۳ مکتوب است [ف: ۳۷]</w:t>
      </w:r>
    </w:p>
    <w:p>
      <w:pPr>
        <w:pStyle w:val="Heading3"/>
      </w:pPr>
      <w:bookmarkStart w:id="1449" w:name="_Toc709"/>
      <w:r>
        <w:t>• البيع و الرهن / فقه / عربی</w:t>
      </w:r>
      <w:bookmarkEnd w:id="1449"/>
    </w:p>
    <w:p>
      <w:pPr>
        <w:pStyle w:val="BookText"/>
      </w:pPr>
      <w:r>
        <w:rPr>
          <w:rFonts w:ascii="Times New Roman" w:hAnsi="Times New Roman" w:eastAsia="Times New Roman" w:cs="Times New Roman"/>
          <w:lang w:val="en-US" w:bidi="en-US"/>
          <w:color w:val="111111"/>
          <w:sz w:val="28"/>
          <w:szCs w:val="28"/>
          <w:rtl/>
        </w:rPr>
        <w:t xml:space="preserve">al-bay wa-r rahn</w:t>
      </w:r>
    </w:p>
    <w:p>
      <w:pPr>
        <w:pStyle w:val="BookText"/>
      </w:pPr>
      <w:r>
        <w:rPr>
          <w:rFonts w:ascii="IRNazanin" w:hAnsi="IRNazanin" w:eastAsia="IRNazanin" w:cs="IRNazanin"/>
          <w:lang w:bidi="fa-IR"/>
          <w:color w:val="111111"/>
          <w:sz w:val="28"/>
          <w:szCs w:val="28"/>
          <w:rtl/>
        </w:rPr>
        <w:t xml:space="preserve">شرح کتابی است با عناوین «قوله اقول» و پاره ای از مباحث با عنوان شرح نیست. قطعه هایی از این کتاب ناتمام مانده و در نسخه با کلمه «ساقط» بدین نکته اشاره شده است.</w:t>
      </w:r>
    </w:p>
    <w:p>
      <w:pPr>
        <w:pStyle w:val="BookText"/>
      </w:pPr>
      <w:r>
        <w:rPr>
          <w:rFonts w:ascii="IRNazanin" w:hAnsi="IRNazanin" w:eastAsia="IRNazanin" w:cs="IRNazanin"/>
          <w:lang w:bidi="fa-IR"/>
          <w:color w:val="111111"/>
          <w:sz w:val="28"/>
          <w:szCs w:val="28"/>
          <w:rtl/>
        </w:rPr>
        <w:t xml:space="preserve">قم؛ مرعشی؛ شماره نسخه: ۷۹۳۸/۲</w:t>
      </w:r>
    </w:p>
    <w:p>
      <w:pPr>
        <w:pStyle w:val="BookText"/>
      </w:pPr>
      <w:r>
        <w:rPr>
          <w:rFonts w:ascii="Amiri" w:hAnsi="Amiri" w:eastAsia="Amiri" w:cs="Amiri"/>
          <w:lang w:bidi="ar-SA"/>
          <w:color w:val="111111"/>
          <w:sz w:val="28"/>
          <w:szCs w:val="28"/>
          <w:rtl/>
        </w:rPr>
        <w:t xml:space="preserve">آغاز: الحمد لله رب العالمين ... كتاب البيع قبل الشروع في المقصود لابد من بيان معنى البيع</w:t>
      </w:r>
    </w:p>
    <w:p>
      <w:pPr>
        <w:pStyle w:val="BookText"/>
      </w:pPr>
      <w:r>
        <w:rPr>
          <w:rFonts w:ascii="IRNazanin" w:hAnsi="IRNazanin" w:eastAsia="IRNazanin" w:cs="IRNazanin"/>
          <w:lang w:bidi="fa-IR"/>
          <w:color w:val="111111"/>
          <w:sz w:val="28"/>
          <w:szCs w:val="28"/>
          <w:rtl/>
        </w:rPr>
        <w:t xml:space="preserve">خط: نسخ، بی کا، تا: جمعه ۲۲ شوال، جلد: تیماج قهوه ای، ۱۳۶گ (۱۰ر۱۴۵ر)،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۳۱سم [ف: ۲۰-۲۷۸]</w:t>
      </w:r>
    </w:p>
    <w:p>
      <w:pPr>
        <w:pStyle w:val="Heading3"/>
      </w:pPr>
      <w:bookmarkStart w:id="1450" w:name="_Toc710"/>
      <w:r>
        <w:t>• البيع و القضاء / فقه / عربی</w:t>
      </w:r>
      <w:bookmarkEnd w:id="1450"/>
    </w:p>
    <w:p>
      <w:pPr>
        <w:pStyle w:val="BookText"/>
      </w:pPr>
      <w:r>
        <w:rPr>
          <w:rFonts w:ascii="Times New Roman" w:hAnsi="Times New Roman" w:eastAsia="Times New Roman" w:cs="Times New Roman"/>
          <w:lang w:val="en-US" w:bidi="en-US"/>
          <w:color w:val="111111"/>
          <w:sz w:val="28"/>
          <w:szCs w:val="28"/>
          <w:rtl/>
        </w:rPr>
        <w:t xml:space="preserve">al-bay waal qada</w:t>
      </w:r>
    </w:p>
    <w:p>
      <w:pPr>
        <w:pStyle w:val="BookText"/>
      </w:pPr>
      <w:r>
        <w:rPr>
          <w:rFonts w:ascii="IRNazanin" w:hAnsi="IRNazanin" w:eastAsia="IRNazanin" w:cs="IRNazanin"/>
          <w:lang w:bidi="fa-IR"/>
          <w:color w:val="111111"/>
          <w:sz w:val="28"/>
          <w:szCs w:val="28"/>
          <w:rtl/>
        </w:rPr>
        <w:t xml:space="preserve">تاریخ تأليف: ۱۷ جمادی الاول ۱۳۸۹ق دو بحث استدلالی است در تعریف و بعضی مسائل بیع، قضاء.</w:t>
      </w:r>
    </w:p>
    <w:p>
      <w:pPr>
        <w:pStyle w:val="BookText"/>
      </w:pPr>
      <w:r>
        <w:rPr>
          <w:rFonts w:ascii="IRNazanin" w:hAnsi="IRNazanin" w:eastAsia="IRNazanin" w:cs="IRNazanin"/>
          <w:lang w:bidi="fa-IR"/>
          <w:color w:val="111111"/>
          <w:sz w:val="28"/>
          <w:szCs w:val="28"/>
          <w:rtl/>
        </w:rPr>
        <w:t xml:space="preserve">قم؛ امام صادق؛ شماره نسخه: ۸۹</w:t>
      </w:r>
    </w:p>
    <w:p>
      <w:pPr>
        <w:pStyle w:val="BookText"/>
      </w:pPr>
      <w:r>
        <w:rPr>
          <w:rFonts w:ascii="IRNazanin" w:hAnsi="IRNazanin" w:eastAsia="IRNazanin" w:cs="IRNazanin"/>
          <w:lang w:bidi="fa-IR"/>
          <w:color w:val="111111"/>
          <w:sz w:val="28"/>
          <w:szCs w:val="28"/>
          <w:rtl/>
        </w:rPr>
        <w:t xml:space="preserve">خط: نستعلیق، کاتب = مؤلف، تا: ۱۷ جمادی الاول ۱۳۸۹ق؛ ۲۲گ، مختلف السطر،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۷۳]</w:t>
      </w:r>
    </w:p>
    <w:p>
      <w:pPr>
        <w:pStyle w:val="Heading3"/>
      </w:pPr>
      <w:bookmarkStart w:id="1451" w:name="_Toc711"/>
      <w:r>
        <w:t>• بيع الوقف/ فقه / عربی</w:t>
      </w:r>
      <w:bookmarkEnd w:id="1451"/>
    </w:p>
    <w:p>
      <w:pPr>
        <w:pStyle w:val="BookText"/>
      </w:pPr>
      <w:r>
        <w:rPr>
          <w:rFonts w:ascii="Times New Roman" w:hAnsi="Times New Roman" w:eastAsia="Times New Roman" w:cs="Times New Roman"/>
          <w:lang w:val="en-US" w:bidi="en-US"/>
          <w:color w:val="111111"/>
          <w:sz w:val="28"/>
          <w:szCs w:val="28"/>
          <w:rtl/>
        </w:rPr>
        <w:t xml:space="preserve">bay'-ul waqf</w:t>
      </w:r>
    </w:p>
    <w:p>
      <w:pPr>
        <w:pStyle w:val="BookText"/>
      </w:pPr>
      <w:r>
        <w:rPr>
          <w:rFonts w:ascii="IRNazanin" w:hAnsi="IRNazanin" w:eastAsia="IRNazanin" w:cs="IRNazanin"/>
          <w:lang w:bidi="fa-IR"/>
          <w:color w:val="111111"/>
          <w:sz w:val="28"/>
          <w:szCs w:val="28"/>
          <w:rtl/>
        </w:rPr>
        <w:t xml:space="preserve">قزوینی، حسین بن محمد ابراهیم، ۲۱۱۲۶-۱۲۰۸ قمری</w:t>
      </w:r>
    </w:p>
    <w:p>
      <w:pPr>
        <w:pStyle w:val="BookText"/>
      </w:pPr>
      <w:r>
        <w:rPr>
          <w:rFonts w:ascii="Times New Roman" w:hAnsi="Times New Roman" w:eastAsia="Times New Roman" w:cs="Times New Roman"/>
          <w:lang w:val="en-US" w:bidi="en-US"/>
          <w:color w:val="111111"/>
          <w:sz w:val="28"/>
          <w:szCs w:val="28"/>
          <w:rtl/>
        </w:rPr>
        <w:t xml:space="preserve">qazvīnī, hoseyn ebn-e mohammad ebrāhīm (1714 1794)</w:t>
      </w:r>
    </w:p>
    <w:p>
      <w:pPr>
        <w:pStyle w:val="BookText"/>
      </w:pPr>
      <w:r>
        <w:rPr>
          <w:rFonts w:ascii="IRNazanin" w:hAnsi="IRNazanin" w:eastAsia="IRNazanin" w:cs="IRNazanin"/>
          <w:lang w:bidi="fa-IR"/>
          <w:color w:val="111111"/>
          <w:sz w:val="28"/>
          <w:szCs w:val="28"/>
          <w:rtl/>
        </w:rPr>
        <w:t xml:space="preserve">اصفهان؛ مدرسه صدر بازار؛ شماره نسخه: ۷۸۹/۲</w:t>
      </w:r>
    </w:p>
    <w:p>
      <w:pPr>
        <w:pStyle w:val="BookText"/>
      </w:pPr>
      <w:r>
        <w:rPr>
          <w:rFonts w:ascii="IRNazanin" w:hAnsi="IRNazanin" w:eastAsia="IRNazanin" w:cs="IRNazanin"/>
          <w:lang w:bidi="fa-IR"/>
          <w:color w:val="111111"/>
          <w:sz w:val="28"/>
          <w:szCs w:val="28"/>
          <w:rtl/>
        </w:rPr>
        <w:t xml:space="preserve">آغاز: الحمدلله الذي وقف عقول العقلاء عن معرفة حقيقة ذاته و كماله و حبس احلام الازكيا، عن نيل حقائق صفات جلاله و جهاله؛ انجام: و على القول الآخر فلاريب في حجره فيحمل على عدم تحصيل الاذن من سيده و الله تعالى يعلم حقائق الاحكام و حججه علیهم السلام. خط: نسخ، كا: محمد شفیع بن عبد الحمید حسینی، بی تا؛ مصحح ۱۵گی (۱۴پ-۲۸ر)،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۳-۵۹۰]</w:t>
      </w:r>
    </w:p>
    <w:p>
      <w:pPr>
        <w:pStyle w:val="Heading3"/>
      </w:pPr>
      <w:bookmarkStart w:id="1452" w:name="_Toc712"/>
      <w:r>
        <w:t>• بيع الوقف / اصول فقه / عربی</w:t>
      </w:r>
      <w:bookmarkEnd w:id="1452"/>
    </w:p>
    <w:p>
      <w:pPr>
        <w:pStyle w:val="BookText"/>
      </w:pPr>
      <w:r>
        <w:rPr>
          <w:rFonts w:ascii="Times New Roman" w:hAnsi="Times New Roman" w:eastAsia="Times New Roman" w:cs="Times New Roman"/>
          <w:lang w:val="en-US" w:bidi="en-US"/>
          <w:color w:val="111111"/>
          <w:sz w:val="28"/>
          <w:szCs w:val="28"/>
          <w:rtl/>
        </w:rPr>
        <w:t xml:space="preserve">bay'-ul waqf</w:t>
      </w:r>
    </w:p>
    <w:p>
      <w:pPr>
        <w:pStyle w:val="BookText"/>
      </w:pPr>
      <w:r>
        <w:rPr>
          <w:rFonts w:ascii="IRNazanin" w:hAnsi="IRNazanin" w:eastAsia="IRNazanin" w:cs="IRNazanin"/>
          <w:lang w:bidi="fa-IR"/>
          <w:color w:val="111111"/>
          <w:sz w:val="28"/>
          <w:szCs w:val="28"/>
          <w:rtl/>
        </w:rPr>
        <w:t xml:space="preserve">صافی گلپایگانی، محمد جواد بن عباس، -۱۳۷۸ قمری</w:t>
      </w:r>
    </w:p>
    <w:p>
      <w:pPr>
        <w:pStyle w:val="BookText"/>
      </w:pPr>
      <w:r>
        <w:rPr>
          <w:rFonts w:ascii="Times New Roman" w:hAnsi="Times New Roman" w:eastAsia="Times New Roman" w:cs="Times New Roman"/>
          <w:lang w:val="en-US" w:bidi="en-US"/>
          <w:color w:val="111111"/>
          <w:sz w:val="28"/>
          <w:szCs w:val="28"/>
          <w:rtl/>
        </w:rPr>
        <w:t xml:space="preserve">safi golpaygani, mohammad javad ebn-e abbas ( 1959)</w:t>
      </w:r>
    </w:p>
    <w:p>
      <w:pPr>
        <w:pStyle w:val="BookText"/>
      </w:pPr>
      <w:r>
        <w:rPr>
          <w:rFonts w:ascii="IRNazanin" w:hAnsi="IRNazanin" w:eastAsia="IRNazanin" w:cs="IRNazanin"/>
          <w:lang w:bidi="fa-IR"/>
          <w:color w:val="111111"/>
          <w:sz w:val="28"/>
          <w:szCs w:val="28"/>
          <w:rtl/>
        </w:rPr>
        <w:t xml:space="preserve">رساله ای است در جواز بيع وقف و عدم جواز آن با استفاده از دروس و اقوال اساتیدش و ذکر اموری چند در مقدمه و پارهای از روایات.</w:t>
      </w:r>
    </w:p>
    <w:p>
      <w:pPr>
        <w:pStyle w:val="BookText"/>
      </w:pPr>
      <w:r>
        <w:rPr>
          <w:rFonts w:ascii="IRNazanin" w:hAnsi="IRNazanin" w:eastAsia="IRNazanin" w:cs="IRNazanin"/>
          <w:lang w:bidi="fa-IR"/>
          <w:color w:val="111111"/>
          <w:sz w:val="28"/>
          <w:szCs w:val="28"/>
          <w:rtl/>
        </w:rPr>
        <w:t xml:space="preserve">قم: مرکز احیاء؛ شماره نسخه: ۱۰۱۱/۷</w:t>
      </w:r>
    </w:p>
    <w:p>
      <w:pPr>
        <w:pStyle w:val="BookText"/>
      </w:pPr>
      <w:r>
        <w:rPr>
          <w:rFonts w:ascii="IRNazanin" w:hAnsi="IRNazanin" w:eastAsia="IRNazanin" w:cs="IRNazanin"/>
          <w:lang w:bidi="fa-IR"/>
          <w:color w:val="111111"/>
          <w:sz w:val="28"/>
          <w:szCs w:val="28"/>
          <w:rtl/>
        </w:rPr>
        <w:t xml:space="preserve">آغاز: الحمد لله رب العالمين ... في بيع الوقف و قبل الشروع في اصل المقصود ينبغی تمهید امور الاول انه لا اشکال في أن مقتضی الأصل عدم جواز بيع الوقف؛ نسخه اصل کتابخانه شيخ لطف الله صافی قم؛ خط: نستعلیق، كاتب = مؤلف، تا: با تاریخ ۱۳۱۵ق، ۲۳ ص (۱۷۵-۱۹۷) [عکسی ف: ۳-۲۶۳]</w:t>
      </w:r>
    </w:p>
    <w:p>
      <w:pPr>
        <w:pStyle w:val="Heading3"/>
      </w:pPr>
      <w:bookmarkStart w:id="1453" w:name="_Toc713"/>
      <w:r>
        <w:t>• بيع الوقف / اصول فقه / عربی</w:t>
      </w:r>
      <w:bookmarkEnd w:id="1453"/>
    </w:p>
    <w:p>
      <w:pPr>
        <w:pStyle w:val="BookText"/>
      </w:pPr>
      <w:r>
        <w:rPr>
          <w:rFonts w:ascii="Times New Roman" w:hAnsi="Times New Roman" w:eastAsia="Times New Roman" w:cs="Times New Roman"/>
          <w:lang w:val="en-US" w:bidi="en-US"/>
          <w:color w:val="111111"/>
          <w:sz w:val="28"/>
          <w:szCs w:val="28"/>
          <w:rtl/>
        </w:rPr>
        <w:t xml:space="preserve">bay-ul waqf</w:t>
      </w:r>
    </w:p>
    <w:p>
      <w:pPr>
        <w:pStyle w:val="BookText"/>
      </w:pPr>
      <w:r>
        <w:rPr>
          <w:rFonts w:ascii="IRNazanin" w:hAnsi="IRNazanin" w:eastAsia="IRNazanin" w:cs="IRNazanin"/>
          <w:lang w:bidi="fa-IR"/>
          <w:color w:val="111111"/>
          <w:sz w:val="28"/>
          <w:szCs w:val="28"/>
          <w:rtl/>
        </w:rPr>
        <w:t xml:space="preserve">صافی گلپایگانی، ابو القاسم بن عباس، ق۱۴ قمری</w:t>
      </w:r>
    </w:p>
    <w:p>
      <w:pPr>
        <w:pStyle w:val="BookText"/>
      </w:pPr>
      <w:r>
        <w:rPr>
          <w:rFonts w:ascii="Times New Roman" w:hAnsi="Times New Roman" w:eastAsia="Times New Roman" w:cs="Times New Roman"/>
          <w:lang w:val="en-US" w:bidi="en-US"/>
          <w:color w:val="111111"/>
          <w:sz w:val="28"/>
          <w:szCs w:val="28"/>
          <w:rtl/>
        </w:rPr>
        <w:t xml:space="preserve">sāfi-ye golpāygānī, ab-ol-qāsem ebn-e “abbās (- 20c)</w:t>
      </w:r>
    </w:p>
    <w:p>
      <w:pPr>
        <w:pStyle w:val="BookText"/>
      </w:pPr>
      <w:r>
        <w:rPr>
          <w:rFonts w:ascii="IRNazanin" w:hAnsi="IRNazanin" w:eastAsia="IRNazanin" w:cs="IRNazanin"/>
          <w:lang w:bidi="fa-IR"/>
          <w:color w:val="111111"/>
          <w:sz w:val="28"/>
          <w:szCs w:val="28"/>
          <w:rtl/>
        </w:rPr>
        <w:t xml:space="preserve">تاريخ تأليف: ۲۸ جمادی الثانی ۱۳۱۷ق رساله ای است در جو از بيع وقف و عدم آن و بررسی اقوال در مسأله و آوردن نظرات اساتیدش در این بحث با اشاره به ادله هر یک و رد و ایراد بسیار.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33" w:name="pg20363_209488"/>
    <w:bookmarkEnd w:id="233"/>
    <w:p>
      <w:pPr>
        <w:pStyle w:val="BookText"/>
      </w:pPr>
      <w:r>
        <w:rPr>
          <w:rFonts w:ascii="IRNazanin" w:hAnsi="IRNazanin" w:eastAsia="IRNazanin" w:cs="IRNazanin"/>
          <w:lang w:bidi="fa-IR"/>
          <w:color w:val="111111"/>
          <w:sz w:val="28"/>
          <w:szCs w:val="28"/>
          <w:rtl/>
        </w:rPr>
        <w:t xml:space="preserve">قم؛ مرکز احیاء؛ شماره نسخه: ۱۰۱۴/۱</w:t>
      </w:r>
    </w:p>
    <w:p>
      <w:pPr>
        <w:pStyle w:val="BookText"/>
      </w:pPr>
      <w:r>
        <w:rPr>
          <w:rFonts w:ascii="IRNazanin" w:hAnsi="IRNazanin" w:eastAsia="IRNazanin" w:cs="IRNazanin"/>
          <w:lang w:bidi="fa-IR"/>
          <w:color w:val="111111"/>
          <w:sz w:val="28"/>
          <w:szCs w:val="28"/>
          <w:rtl/>
        </w:rPr>
        <w:t xml:space="preserve">آغاز: في بيع الوقف اختلفوا في انه هل يجوز بيع الوقف ام لا على اقوال يرتقي الى اربعین قولا و عد بعضهم الأقوال في المسألة اثنی عشر قوة نسخه اصل: شیخ لطف الله صافی - قم؛ خط: نستعلیق، کاتب = مؤلف، تا: قرن ۱۴، ۵۱ص (۱-۵۱) [عکسی ف: ۳-۲۶۶]</w:t>
      </w:r>
    </w:p>
    <w:p>
      <w:pPr>
        <w:pStyle w:val="Heading3"/>
      </w:pPr>
      <w:bookmarkStart w:id="1454" w:name="_Toc714"/>
      <w:r>
        <w:t>• البيقونية في مصطلح الحديث / شعر، درایه، حديث / عربی</w:t>
      </w:r>
      <w:bookmarkEnd w:id="1454"/>
    </w:p>
    <w:p>
      <w:pPr>
        <w:pStyle w:val="BookText"/>
      </w:pPr>
      <w:r>
        <w:rPr>
          <w:rFonts w:ascii="Times New Roman" w:hAnsi="Times New Roman" w:eastAsia="Times New Roman" w:cs="Times New Roman"/>
          <w:lang w:val="en-US" w:bidi="en-US"/>
          <w:color w:val="111111"/>
          <w:sz w:val="28"/>
          <w:szCs w:val="28"/>
          <w:rtl/>
        </w:rPr>
        <w:t xml:space="preserve">al-biyqūnīyya fi mustalaḥ-il ḥadīt</w:t>
      </w:r>
    </w:p>
    <w:p>
      <w:pPr>
        <w:pStyle w:val="BookText"/>
      </w:pPr>
      <w:r>
        <w:rPr>
          <w:rFonts w:ascii="IRNazanin" w:hAnsi="IRNazanin" w:eastAsia="IRNazanin" w:cs="IRNazanin"/>
          <w:lang w:bidi="fa-IR"/>
          <w:color w:val="111111"/>
          <w:sz w:val="28"/>
          <w:szCs w:val="28"/>
          <w:rtl/>
        </w:rPr>
        <w:t xml:space="preserve">بيقونی، طه بن محمد، - ۱۰۸۰ قمری</w:t>
      </w:r>
    </w:p>
    <w:p>
      <w:pPr>
        <w:pStyle w:val="BookText"/>
      </w:pPr>
      <w:r>
        <w:rPr>
          <w:rFonts w:ascii="Times New Roman" w:hAnsi="Times New Roman" w:eastAsia="Times New Roman" w:cs="Times New Roman"/>
          <w:lang w:val="en-US" w:bidi="en-US"/>
          <w:color w:val="111111"/>
          <w:sz w:val="28"/>
          <w:szCs w:val="28"/>
          <w:rtl/>
        </w:rPr>
        <w:t xml:space="preserve">beyqūnī, tāhā ebn-e mohammad (- 1670)</w:t>
      </w:r>
    </w:p>
    <w:p>
      <w:pPr>
        <w:pStyle w:val="BookText"/>
      </w:pPr>
      <w:r>
        <w:rPr>
          <w:rFonts w:ascii="IRNazanin" w:hAnsi="IRNazanin" w:eastAsia="IRNazanin" w:cs="IRNazanin"/>
          <w:lang w:bidi="fa-IR"/>
          <w:color w:val="111111"/>
          <w:sz w:val="28"/>
          <w:szCs w:val="28"/>
          <w:rtl/>
        </w:rPr>
        <w:t xml:space="preserve">منظومه ای است در ۳۴ بیت در مصطلحات علم حدیث. آغاز: ابدا بالحمد مصليا على</w:t>
      </w:r>
      <w:r>
        <w:rPr>
          <w:rFonts w:ascii="IRNazanin" w:hAnsi="IRNazanin" w:eastAsia="IRNazanin" w:cs="IRNazanin"/>
          <w:lang w:bidi="fa-IR"/>
          <w:color w:val="111111"/>
          <w:sz w:val="28"/>
          <w:szCs w:val="28"/>
          <w:b w:val="1"/>
          <w:bCs w:val="1"/>
          <w:i w:val="1"/>
          <w:iCs w:val="1"/>
          <w:rtl/>
        </w:rPr>
        <w:t xml:space="preserve">محمد خير نبی ارسلا / و ذی من اقسام الحديث عده</w:t>
      </w:r>
      <w:r>
        <w:rPr>
          <w:rFonts w:ascii="IRNazanin" w:hAnsi="IRNazanin" w:eastAsia="IRNazanin" w:cs="IRNazanin"/>
          <w:lang w:bidi="fa-IR"/>
          <w:color w:val="111111"/>
          <w:sz w:val="28"/>
          <w:szCs w:val="28"/>
          <w:rtl/>
        </w:rPr>
        <w:t xml:space="preserve">وكل واحد اتی وحده انجام: و قد أتت كالجوهر المكنون*** سميتها منظومة البيقونی / فوق الثلاثين بأربع اتت*** اقسامها تمت بخیر ختمت چاپ: مصر، ۱۲۷۳ و ۱۲۷۶ و ۱۲۹۷ و ۱۳۰۲ و ۱۳۰۶ و ۱۳۲۲ق؛ سنگی، ۱۲۸۱ق، رقعی، ۳ص (صص ۷۰-۷۲)</w:t>
      </w:r>
    </w:p>
    <w:p>
      <w:pPr>
        <w:pStyle w:val="BookText"/>
      </w:pPr>
      <w:r>
        <w:rPr>
          <w:rFonts w:ascii="IRNazanin" w:hAnsi="IRNazanin" w:eastAsia="IRNazanin" w:cs="IRNazanin"/>
          <w:lang w:bidi="fa-IR"/>
          <w:color w:val="111111"/>
          <w:sz w:val="28"/>
          <w:szCs w:val="28"/>
          <w:rtl/>
        </w:rPr>
        <w:t xml:space="preserve">[دنا ۶۰۹/۲ ؛ دلیل مؤلفات الحديث الشريف المطبوعة ۴۱/۱ ؛ الفهرس الشامل للتراث العربي الاسلامي المخطوط، الحديث النبوی و علومه ۳۱۴/۱ ؛ الأوقاف العامة بغداد ۳۰۹/۱ ؛ بروکلمان ذیل ۴۱۹/۲ ؛ مشار عربی، ص ۹۲۲]</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تلقيح الفكر بشرح منظومة؛ الاثر حموی، احمد بن محمد (-۱۰۹۸)</w:t>
      </w:r>
    </w:p>
    <w:p>
      <w:pPr>
        <w:pStyle w:val="BookText"/>
      </w:pPr>
      <w:r>
        <w:rPr>
          <w:rFonts w:ascii="IRNazanin" w:hAnsi="IRNazanin" w:eastAsia="IRNazanin" w:cs="IRNazanin"/>
          <w:lang w:bidi="fa-IR"/>
          <w:color w:val="111111"/>
          <w:sz w:val="28"/>
          <w:szCs w:val="28"/>
          <w:rtl/>
        </w:rPr>
        <w:t xml:space="preserve">۱. قم؛ مرعشی؛ شماره نسخه: ۱۲۴۸/۱۱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یحیی بن صالح بن حسین بن علی سراجی صنعایی</w:t>
      </w:r>
    </w:p>
    <w:p>
      <w:pPr>
        <w:pStyle w:val="BookText"/>
      </w:pPr>
      <w:r>
        <w:rPr>
          <w:rFonts w:ascii="IRNazanin" w:hAnsi="IRNazanin" w:eastAsia="IRNazanin" w:cs="IRNazanin"/>
          <w:lang w:bidi="fa-IR"/>
          <w:color w:val="111111"/>
          <w:sz w:val="28"/>
          <w:szCs w:val="28"/>
          <w:rtl/>
        </w:rPr>
        <w:t xml:space="preserve">ایمنی، تا: ۵ جمادی الثانی ۱۳۹۵ق، ۲ص (۸۰-۸۱)، ۱۳ سطر [عکسی ف: ۳-۵۵۶]</w:t>
      </w:r>
    </w:p>
    <w:p>
      <w:pPr>
        <w:pStyle w:val="BookText"/>
      </w:pPr>
      <w:r>
        <w:rPr>
          <w:rFonts w:ascii="IRNazanin" w:hAnsi="IRNazanin" w:eastAsia="IRNazanin" w:cs="IRNazanin"/>
          <w:lang w:bidi="fa-IR"/>
          <w:color w:val="111111"/>
          <w:sz w:val="28"/>
          <w:szCs w:val="28"/>
          <w:rtl/>
        </w:rPr>
        <w:t xml:space="preserve">۲. تهران؛ مجلس؛ شماره نسخه: ۱۳۸۷۷/۳</w:t>
      </w:r>
    </w:p>
    <w:p>
      <w:pPr>
        <w:pStyle w:val="BookText"/>
      </w:pPr>
      <w:r>
        <w:rPr>
          <w:rFonts w:ascii="IRNazanin" w:hAnsi="IRNazanin" w:eastAsia="IRNazanin" w:cs="IRNazanin"/>
          <w:lang w:bidi="fa-IR"/>
          <w:color w:val="111111"/>
          <w:sz w:val="28"/>
          <w:szCs w:val="28"/>
          <w:rtl/>
        </w:rPr>
        <w:t xml:space="preserve">آغاز و انجام: برابر خط: مغربی، بی کا، بی تا، جلد: مقوا، عطف تیماج سرخ، ۲گ (۵۳پ -۵۴پ)، ۱۹سطر، اندازه: ۱۱/۵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۳۷-۴۵۰]</w:t>
      </w:r>
    </w:p>
    <w:p>
      <w:pPr>
        <w:pStyle w:val="Heading3"/>
      </w:pPr>
      <w:bookmarkStart w:id="1455" w:name="_Toc715"/>
      <w:r>
        <w:t>• بیمارنامه / علوم غریبه / فارسی</w:t>
      </w:r>
      <w:bookmarkEnd w:id="1455"/>
    </w:p>
    <w:p>
      <w:pPr>
        <w:pStyle w:val="BookText"/>
      </w:pPr>
      <w:r>
        <w:rPr>
          <w:rFonts w:ascii="Times New Roman" w:hAnsi="Times New Roman" w:eastAsia="Times New Roman" w:cs="Times New Roman"/>
          <w:lang w:val="en-US" w:bidi="en-US"/>
          <w:color w:val="111111"/>
          <w:sz w:val="28"/>
          <w:szCs w:val="28"/>
          <w:rtl/>
        </w:rPr>
        <w:t xml:space="preserve">bīmār-nāme</w:t>
      </w:r>
    </w:p>
    <w:p>
      <w:pPr>
        <w:pStyle w:val="BookText"/>
      </w:pPr>
      <w:r>
        <w:rPr>
          <w:rFonts w:ascii="IRNazanin" w:hAnsi="IRNazanin" w:eastAsia="IRNazanin" w:cs="IRNazanin"/>
          <w:lang w:bidi="fa-IR"/>
          <w:color w:val="111111"/>
          <w:sz w:val="28"/>
          <w:szCs w:val="28"/>
          <w:rtl/>
        </w:rPr>
        <w:t xml:space="preserve">در بیان دریافت کردن حال بیمار با حساب کردن عدد نام بیمار و مادرش به ابجد کبير و عدد روزهای هفته.</w:t>
      </w:r>
    </w:p>
    <w:p>
      <w:pPr>
        <w:pStyle w:val="BookText"/>
      </w:pPr>
      <w:r>
        <w:rPr>
          <w:rFonts w:ascii="IRNazanin" w:hAnsi="IRNazanin" w:eastAsia="IRNazanin" w:cs="IRNazanin"/>
          <w:lang w:bidi="fa-IR"/>
          <w:color w:val="111111"/>
          <w:sz w:val="28"/>
          <w:szCs w:val="28"/>
          <w:rtl/>
        </w:rPr>
        <w:t xml:space="preserve">تهران؛ دانشگاه؛ شماره نسخه: ۷۹۱۴/۱۵</w:t>
      </w:r>
    </w:p>
    <w:p>
      <w:pPr>
        <w:pStyle w:val="BookText"/>
      </w:pPr>
      <w:r>
        <w:rPr>
          <w:rFonts w:ascii="IRNazanin" w:hAnsi="IRNazanin" w:eastAsia="IRNazanin" w:cs="IRNazanin"/>
          <w:lang w:bidi="fa-IR"/>
          <w:color w:val="111111"/>
          <w:sz w:val="28"/>
          <w:szCs w:val="28"/>
          <w:rtl/>
        </w:rPr>
        <w:t xml:space="preserve">خط: نستعلیق راسته و چلیپا، كا: غلام حیدر، بی تا؛ کاغذ: فرنگی، جلد: گالینگور مشکی مقوایی عطف و گوشه تیماج سرخ، اگ ( ۲۶۷-۱۲۶۷ پ)، ۱۴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 قطع: ربعی، اندازه: ۱۲/۵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سم [ف: ۱۶-۷۳۶]</w:t>
      </w:r>
    </w:p>
    <w:p>
      <w:pPr>
        <w:pStyle w:val="Heading3"/>
      </w:pPr>
      <w:bookmarkStart w:id="1456" w:name="_Toc716"/>
      <w:r>
        <w:t>•بیمارنامه / علوم غریبه / فارسی</w:t>
      </w:r>
      <w:bookmarkEnd w:id="1456"/>
    </w:p>
    <w:p>
      <w:pPr>
        <w:pStyle w:val="BookText"/>
      </w:pPr>
      <w:r>
        <w:rPr>
          <w:rFonts w:ascii="Times New Roman" w:hAnsi="Times New Roman" w:eastAsia="Times New Roman" w:cs="Times New Roman"/>
          <w:lang w:val="en-US" w:bidi="en-US"/>
          <w:color w:val="111111"/>
          <w:sz w:val="28"/>
          <w:szCs w:val="28"/>
          <w:rtl/>
        </w:rPr>
        <w:t xml:space="preserve">bīmār-nāme</w:t>
      </w:r>
    </w:p>
    <w:p>
      <w:pPr>
        <w:pStyle w:val="BookText"/>
      </w:pPr>
      <w:r>
        <w:rPr>
          <w:rFonts w:ascii="IRNazanin" w:hAnsi="IRNazanin" w:eastAsia="IRNazanin" w:cs="IRNazanin"/>
          <w:lang w:bidi="fa-IR"/>
          <w:color w:val="111111"/>
          <w:sz w:val="28"/>
          <w:szCs w:val="28"/>
          <w:rtl/>
        </w:rPr>
        <w:t xml:space="preserve">تهران؛ دانشگاه؛ شماره نسخه: ۷۹۱۴/۱۶</w:t>
      </w:r>
    </w:p>
    <w:p>
      <w:pPr>
        <w:pStyle w:val="BookText"/>
      </w:pPr>
      <w:r>
        <w:rPr>
          <w:rFonts w:ascii="IRNazanin" w:hAnsi="IRNazanin" w:eastAsia="IRNazanin" w:cs="IRNazanin"/>
          <w:lang w:bidi="fa-IR"/>
          <w:color w:val="111111"/>
          <w:sz w:val="28"/>
          <w:szCs w:val="28"/>
          <w:rtl/>
        </w:rPr>
        <w:t xml:space="preserve">نقش مکرم که در گلوی بیمار می اندازند؛ خط: نستعلیق راسته و چلیپا، كا: غلام حیدر، بی تا، کاغذ: فرنگی، جلد: گالینگور مشکی مقوایی عطف و گوشه تیماج سرخ، اص (هامش ۱۲۶۷)، ۱۴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 قطع: ربعی، اندازه: ۱۲/۵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سم [ف: ۱۶-۷۳۶]</w:t>
      </w:r>
    </w:p>
    <w:p>
      <w:pPr>
        <w:pStyle w:val="Heading3"/>
      </w:pPr>
      <w:bookmarkStart w:id="1457" w:name="_Toc717"/>
      <w:r>
        <w:t>•بیمارنامه / متفرقه / فارسی</w:t>
      </w:r>
      <w:bookmarkEnd w:id="1457"/>
    </w:p>
    <w:p>
      <w:pPr>
        <w:pStyle w:val="BookText"/>
      </w:pPr>
      <w:r>
        <w:rPr>
          <w:rFonts w:ascii="Times New Roman" w:hAnsi="Times New Roman" w:eastAsia="Times New Roman" w:cs="Times New Roman"/>
          <w:lang w:val="en-US" w:bidi="en-US"/>
          <w:color w:val="111111"/>
          <w:sz w:val="28"/>
          <w:szCs w:val="28"/>
          <w:rtl/>
        </w:rPr>
        <w:t xml:space="preserve">bīmār-nāme</w:t>
      </w:r>
    </w:p>
    <w:p>
      <w:pPr>
        <w:pStyle w:val="BookText"/>
      </w:pPr>
      <w:r>
        <w:rPr>
          <w:rFonts w:ascii="IRNazanin" w:hAnsi="IRNazanin" w:eastAsia="IRNazanin" w:cs="IRNazanin"/>
          <w:lang w:bidi="fa-IR"/>
          <w:color w:val="111111"/>
          <w:sz w:val="28"/>
          <w:szCs w:val="28"/>
          <w:rtl/>
        </w:rPr>
        <w:t xml:space="preserve">شامل بیمارنامه و طالع نامه است که غالبا با ادعيه و طلسمات همراه می باشد.</w:t>
      </w:r>
    </w:p>
    <w:p>
      <w:pPr>
        <w:pStyle w:val="BookText"/>
      </w:pPr>
      <w:r>
        <w:rPr>
          <w:rFonts w:ascii="IRNazanin" w:hAnsi="IRNazanin" w:eastAsia="IRNazanin" w:cs="IRNazanin"/>
          <w:lang w:bidi="fa-IR"/>
          <w:color w:val="111111"/>
          <w:sz w:val="28"/>
          <w:szCs w:val="28"/>
          <w:rtl/>
        </w:rPr>
        <w:t xml:space="preserve">شیراز؛ شاهچراغ؛ شماره نسخه: ۲۲۶/۱</w:t>
      </w:r>
    </w:p>
    <w:p>
      <w:pPr>
        <w:pStyle w:val="BookText"/>
      </w:pPr>
      <w:r>
        <w:rPr>
          <w:rFonts w:ascii="Amiri" w:hAnsi="Amiri" w:eastAsia="Amiri" w:cs="Amiri"/>
          <w:lang w:bidi="ar-SA"/>
          <w:color w:val="111111"/>
          <w:sz w:val="28"/>
          <w:szCs w:val="28"/>
          <w:rtl/>
        </w:rPr>
        <w:t xml:space="preserve">آغاز: ثور ماده جوزا نر بود سرطان ماده اسد نر بود؛ انجام: انما امره اذا ارادله شيئا أن يقول له.</w:t>
      </w:r>
    </w:p>
    <w:p>
      <w:pPr>
        <w:pStyle w:val="BookText"/>
      </w:pPr>
      <w:r>
        <w:rPr>
          <w:rFonts w:ascii="IRNazanin" w:hAnsi="IRNazanin" w:eastAsia="IRNazanin" w:cs="IRNazanin"/>
          <w:lang w:bidi="fa-IR"/>
          <w:color w:val="111111"/>
          <w:sz w:val="28"/>
          <w:szCs w:val="28"/>
          <w:rtl/>
        </w:rPr>
        <w:t xml:space="preserve">خط: نستعلیق بد، بی کا، بی تا، افتادگی: آغاز و انجام؛ به نظر می رسد که از سه رساله جداگانه بوده ولی در اینجا با هم صحافی شده اند؛ جلد: مقوا با کاغذ سبز، ۳۲ص، اندازه:</w:t>
      </w:r>
    </w:p>
    <w:p>
      <w:pPr>
        <w:pStyle w:val="BookText"/>
      </w:pPr>
      <w:r>
        <w:rPr>
          <w:rFonts w:ascii="IRNazanin" w:hAnsi="IRNazanin" w:eastAsia="IRNazanin" w:cs="IRNazanin"/>
          <w:lang w:bidi="fa-IR"/>
          <w:color w:val="111111"/>
          <w:sz w:val="28"/>
          <w:szCs w:val="28"/>
          <w:rtl/>
        </w:rPr>
        <w:t xml:space="preserve">۱۱/۵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۱۸/۵ سم [ف: ۱-۲۵۰]</w:t>
      </w:r>
    </w:p>
    <w:p>
      <w:pPr>
        <w:pStyle w:val="Heading3"/>
      </w:pPr>
      <w:bookmarkStart w:id="1458" w:name="_Toc718"/>
      <w:r>
        <w:t>•بیمارنامه دانیال نبی / طالع بینی / فارسی</w:t>
      </w:r>
      <w:bookmarkEnd w:id="1458"/>
    </w:p>
    <w:p>
      <w:pPr>
        <w:pStyle w:val="BookText"/>
      </w:pPr>
      <w:r>
        <w:rPr>
          <w:rFonts w:ascii="Times New Roman" w:hAnsi="Times New Roman" w:eastAsia="Times New Roman" w:cs="Times New Roman"/>
          <w:lang w:val="en-US" w:bidi="en-US"/>
          <w:color w:val="111111"/>
          <w:sz w:val="28"/>
          <w:szCs w:val="28"/>
          <w:rtl/>
        </w:rPr>
        <w:t xml:space="preserve">bīmār-nāme-ye dānīyāl-e nabī</w:t>
      </w:r>
    </w:p>
    <w:p>
      <w:pPr>
        <w:pStyle w:val="BookText"/>
      </w:pPr>
      <w:r>
        <w:rPr>
          <w:rFonts w:ascii="IRNazanin" w:hAnsi="IRNazanin" w:eastAsia="IRNazanin" w:cs="IRNazanin"/>
          <w:lang w:bidi="fa-IR"/>
          <w:color w:val="111111"/>
          <w:sz w:val="28"/>
          <w:szCs w:val="28"/>
          <w:rtl/>
        </w:rPr>
        <w:t xml:space="preserve">در طالع بینی بیماران، چه روزی بیمار شده و سرنوشت آن چه خواهد شد؛ در دوازده «باب».</w:t>
      </w:r>
    </w:p>
    <w:p>
      <w:pPr>
        <w:pStyle w:val="BookText"/>
      </w:pPr>
      <w:r>
        <w:rPr>
          <w:rFonts w:ascii="IRNazanin" w:hAnsi="IRNazanin" w:eastAsia="IRNazanin" w:cs="IRNazanin"/>
          <w:lang w:bidi="fa-IR"/>
          <w:color w:val="111111"/>
          <w:sz w:val="28"/>
          <w:szCs w:val="28"/>
          <w:rtl/>
        </w:rPr>
        <w:t xml:space="preserve">قم: مرکز مطالعات؛ شماره نسخه: ۱۰۰۸/۱</w:t>
      </w:r>
    </w:p>
    <w:p>
      <w:pPr>
        <w:pStyle w:val="BookText"/>
      </w:pPr>
      <w:r>
        <w:rPr>
          <w:rFonts w:ascii="IRNazanin" w:hAnsi="IRNazanin" w:eastAsia="IRNazanin" w:cs="IRNazanin"/>
          <w:lang w:bidi="fa-IR"/>
          <w:color w:val="111111"/>
          <w:sz w:val="28"/>
          <w:szCs w:val="28"/>
          <w:rtl/>
        </w:rPr>
        <w:t xml:space="preserve">آغاز: بسمله، بدانکه این رساله ای است در دانستن حال بیمار که آن بیمار چه روز بیمار شده است؛ انجام: اگر پنج بماند بیم بود و اگر شش بماند تقویت باید کرد و اگر هفت ماند بیم بود و الله يعلم.</w:t>
      </w:r>
    </w:p>
    <w:p>
      <w:pPr>
        <w:pStyle w:val="BookText"/>
      </w:pPr>
      <w:r>
        <w:rPr>
          <w:rFonts w:ascii="IRNazanin" w:hAnsi="IRNazanin" w:eastAsia="IRNazanin" w:cs="IRNazanin"/>
          <w:lang w:bidi="fa-IR"/>
          <w:color w:val="111111"/>
          <w:sz w:val="28"/>
          <w:szCs w:val="28"/>
          <w:rtl/>
        </w:rPr>
        <w:t xml:space="preserve">خط: نستعلیق، كا: اسماعيل همدانی، تا: ۱۰۴۲ق؛ جلد: تیماج قهوه ای ضربی مجدول، ۱۹گ (۱پ-۱۹پ)، ۱۱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۸سم [ف: ۲-۲۶۷]</w:t>
      </w:r>
    </w:p>
    <w:p>
      <w:pPr>
        <w:pStyle w:val="BookText"/>
      </w:pPr>
      <w:r>
        <w:rPr>
          <w:rFonts w:ascii="IRNazanin" w:hAnsi="IRNazanin" w:eastAsia="IRNazanin" w:cs="IRNazanin"/>
          <w:lang w:bidi="fa-IR"/>
          <w:color w:val="111111"/>
          <w:sz w:val="28"/>
          <w:szCs w:val="28"/>
          <w:rtl/>
        </w:rPr>
        <w:t xml:space="preserve">←بیمار و طبیب ← داستان شبلی در بغداد</w:t>
      </w:r>
    </w:p>
    <w:p>
      <w:pPr>
        <w:pStyle w:val="Heading3"/>
      </w:pPr>
      <w:bookmarkStart w:id="1459" w:name="_Toc719"/>
      <w:r>
        <w:t>•بیمار و طبيب = مناظره بیمار و طبيب = قصيده بیمار و طبيب = مثنوی بیمار و طبيب = منظومه بیمار و</w:t>
      </w:r>
      <w:bookmarkEnd w:id="1459"/>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34" w:name="pg20363_209489"/>
    <w:bookmarkEnd w:id="234"/>
    <w:p>
      <w:pPr>
        <w:pStyle w:val="Heading3"/>
      </w:pPr>
      <w:bookmarkStart w:id="1460" w:name="_Toc720"/>
      <w:r>
        <w:t>•طبيب / شعر / فارسی</w:t>
      </w:r>
      <w:bookmarkEnd w:id="1460"/>
    </w:p>
    <w:p>
      <w:pPr>
        <w:pStyle w:val="BookText"/>
      </w:pPr>
      <w:r>
        <w:rPr>
          <w:rFonts w:ascii="Times New Roman" w:hAnsi="Times New Roman" w:eastAsia="Times New Roman" w:cs="Times New Roman"/>
          <w:lang w:val="en-US" w:bidi="en-US"/>
          <w:color w:val="111111"/>
          <w:sz w:val="28"/>
          <w:szCs w:val="28"/>
          <w:rtl/>
        </w:rPr>
        <w:t xml:space="preserve">bīmār va tabīb = monāzere-ye bīmār va tabīb = qasīde ye bīmār va tabīb = masnavī-ye bīmār va tabīb</w:t>
      </w:r>
    </w:p>
    <w:p>
      <w:pPr>
        <w:pStyle w:val="BookText"/>
      </w:pPr>
      <w:r>
        <w:rPr>
          <w:rFonts w:ascii="IRNazanin" w:hAnsi="IRNazanin" w:eastAsia="IRNazanin" w:cs="IRNazanin"/>
          <w:lang w:bidi="fa-IR"/>
          <w:color w:val="111111"/>
          <w:sz w:val="28"/>
          <w:szCs w:val="28"/>
          <w:rtl/>
        </w:rPr>
        <w:t xml:space="preserve">قاضی شریف آملی، ۹۵۶ ؟ قمری</w:t>
      </w:r>
    </w:p>
    <w:p>
      <w:pPr>
        <w:pStyle w:val="BookText"/>
      </w:pPr>
      <w:r>
        <w:rPr>
          <w:rFonts w:ascii="Times New Roman" w:hAnsi="Times New Roman" w:eastAsia="Times New Roman" w:cs="Times New Roman"/>
          <w:lang w:val="en-US" w:bidi="en-US"/>
          <w:color w:val="111111"/>
          <w:sz w:val="28"/>
          <w:szCs w:val="28"/>
          <w:rtl/>
        </w:rPr>
        <w:t xml:space="preserve">qāzī šarīf-e āmolī (- 1550)</w:t>
      </w:r>
    </w:p>
    <w:p>
      <w:pPr>
        <w:pStyle w:val="BookText"/>
      </w:pPr>
      <w:r>
        <w:rPr>
          <w:rFonts w:ascii="IRNazanin" w:hAnsi="IRNazanin" w:eastAsia="IRNazanin" w:cs="IRNazanin"/>
          <w:lang w:bidi="fa-IR"/>
          <w:color w:val="111111"/>
          <w:sz w:val="28"/>
          <w:szCs w:val="28"/>
          <w:rtl/>
        </w:rPr>
        <w:t xml:space="preserve">مثنوی عاشقانه بیمار و طبیب در حدود ۹۰ بیت با تخلص «شريف» است. نام سراینده در فهرست ها به صورت های «قاضی شریف، سلیم شریف، ملا محمد شریف، قاضی شریف تبریزی، ملا محمد شریف آملی، جامی، وحشی بافقی، شریف آملی، شریف اصفهانی و ... » آمده است. استاد منزوی در فهرستواره کتابهای فارسی (ج ۱۰، ص ۴۱۴) درباره سراینده می گوید: «وی بایستی همان شريف ثانی، سید علی پس دختر میر سید شریف جرجانی باشد که قاضی بوده و در جنگ چالدران کشته شده است؛ وی پدر شریفی شیرازی بوده که به هند رفته و در ۹۴۴ق در گذشته است». (حسین متقی)</w:t>
      </w:r>
    </w:p>
    <w:p>
      <w:pPr>
        <w:pStyle w:val="BookText"/>
      </w:pPr>
      <w:r>
        <w:rPr>
          <w:rFonts w:ascii="IRNazanin" w:hAnsi="IRNazanin" w:eastAsia="IRNazanin" w:cs="IRNazanin"/>
          <w:lang w:bidi="fa-IR"/>
          <w:color w:val="111111"/>
          <w:sz w:val="28"/>
          <w:szCs w:val="28"/>
          <w:rtl/>
        </w:rPr>
        <w:t xml:space="preserve">آغاز سوی ویرانه ام آمد سحری جلوه کنان*** بهر پرسیدن بیمار خود آن سرو روان / زلف و خالش زپی مرغ دلم دانه و دام</w:t>
      </w:r>
      <w:r>
        <w:rPr>
          <w:rFonts w:ascii="IRNazanin" w:hAnsi="IRNazanin" w:eastAsia="IRNazanin" w:cs="IRNazanin"/>
          <w:lang w:bidi="fa-IR"/>
          <w:color w:val="111111"/>
          <w:sz w:val="28"/>
          <w:szCs w:val="28"/>
          <w:b w:val="1"/>
          <w:bCs w:val="1"/>
          <w:i w:val="1"/>
          <w:iCs w:val="1"/>
          <w:rtl/>
        </w:rPr>
        <w:t xml:space="preserve">ابرو و غمزه به صید افکنی ام تیر و کمان / جیب تا دامنش از زلف پر از مشک و ختن</w:t>
      </w:r>
      <w:r>
        <w:rPr>
          <w:rFonts w:ascii="IRNazanin" w:hAnsi="IRNazanin" w:eastAsia="IRNazanin" w:cs="IRNazanin"/>
          <w:lang w:bidi="fa-IR"/>
          <w:color w:val="111111"/>
          <w:sz w:val="28"/>
          <w:szCs w:val="28"/>
          <w:rtl/>
        </w:rPr>
        <w:t xml:space="preserve"> گوش تا گردنش آویزه پر از لعل چکان</w:t>
      </w:r>
    </w:p>
    <w:p>
      <w:pPr>
        <w:pStyle w:val="BookText"/>
      </w:pPr>
      <w:r>
        <w:rPr>
          <w:rFonts w:ascii="IRNazanin" w:hAnsi="IRNazanin" w:eastAsia="IRNazanin" w:cs="IRNazanin"/>
          <w:lang w:bidi="fa-IR"/>
          <w:color w:val="111111"/>
          <w:sz w:val="28"/>
          <w:szCs w:val="28"/>
          <w:rtl/>
        </w:rPr>
        <w:t xml:space="preserve">انجام: سخت سودای من و یار گره گشته «شريف»***من گران جانم و ابروی کجش سخت کمان چاپ: با تصحیح نیکی ایوبی زاده، ضمن گنجینه بهارستان، ادبیات فارسی-۲ (شعر)، مسلسل ۹، تهران، کتابخانه مجلس شورای اسلام، بهار ۱۳۸۴ش</w:t>
      </w:r>
    </w:p>
    <w:p>
      <w:pPr>
        <w:pStyle w:val="BookText"/>
      </w:pPr>
      <w:r>
        <w:rPr>
          <w:rFonts w:ascii="IRNazanin" w:hAnsi="IRNazanin" w:eastAsia="IRNazanin" w:cs="IRNazanin"/>
          <w:lang w:bidi="fa-IR"/>
          <w:color w:val="111111"/>
          <w:sz w:val="28"/>
          <w:szCs w:val="28"/>
          <w:rtl/>
        </w:rPr>
        <w:t xml:space="preserve">[دنا ۶۱۰/۲ (۲۱ نسخه)؛ الذریعه ۵۱۹/۹ -۵۲۰؛ مشترک پاکستان ۶۸۱/۷ ؛ نسخه های منزوی ۲۶۷۵/۴ ؛ ادبیات ۶۳/۲ ، که نادرست از جامی دانسته؛ فهرستواره منزوی ۴۱۴/۱۰ ]</w:t>
      </w:r>
    </w:p>
    <w:p>
      <w:pPr>
        <w:pStyle w:val="BookText"/>
      </w:pPr>
      <w:r>
        <w:rPr>
          <w:rFonts w:ascii="IRNazanin" w:hAnsi="IRNazanin" w:eastAsia="IRNazanin" w:cs="IRNazanin"/>
          <w:lang w:bidi="fa-IR"/>
          <w:color w:val="111111"/>
          <w:sz w:val="28"/>
          <w:szCs w:val="28"/>
          <w:rtl/>
        </w:rPr>
        <w:t xml:space="preserve">۱. تهران؛ مجلس؛ شماره نسخه: ۳۹۰/۲۲</w:t>
      </w:r>
    </w:p>
    <w:p>
      <w:pPr>
        <w:pStyle w:val="BookText"/>
      </w:pPr>
      <w:r>
        <w:rPr>
          <w:rFonts w:ascii="IRNazanin" w:hAnsi="IRNazanin" w:eastAsia="IRNazanin" w:cs="IRNazanin"/>
          <w:lang w:bidi="fa-IR"/>
          <w:color w:val="111111"/>
          <w:sz w:val="28"/>
          <w:szCs w:val="28"/>
          <w:rtl/>
        </w:rPr>
        <w:t xml:space="preserve">خط: نستعلیق، بی کا، تا: قرن ۱۱؛ کاغذ: سفید،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[سنا: ف: ۱-۲۳۱]</w:t>
      </w:r>
    </w:p>
    <w:p>
      <w:pPr>
        <w:pStyle w:val="BookText"/>
      </w:pPr>
      <w:r>
        <w:rPr>
          <w:rFonts w:ascii="IRNazanin" w:hAnsi="IRNazanin" w:eastAsia="IRNazanin" w:cs="IRNazanin"/>
          <w:lang w:bidi="fa-IR"/>
          <w:color w:val="111111"/>
          <w:sz w:val="28"/>
          <w:szCs w:val="28"/>
          <w:rtl/>
        </w:rPr>
        <w:t xml:space="preserve">۲. تهران؛ ملک؛ شماره نسخه: ۴۷۱۹/۳۶</w:t>
      </w:r>
    </w:p>
    <w:p>
      <w:pPr>
        <w:pStyle w:val="BookText"/>
      </w:pPr>
      <w:r>
        <w:rPr>
          <w:rFonts w:ascii="IRNazanin" w:hAnsi="IRNazanin" w:eastAsia="IRNazanin" w:cs="IRNazanin"/>
          <w:lang w:bidi="fa-IR"/>
          <w:color w:val="111111"/>
          <w:sz w:val="28"/>
          <w:szCs w:val="28"/>
          <w:rtl/>
        </w:rPr>
        <w:t xml:space="preserve">آغاز و انجام:</w:t>
      </w:r>
    </w:p>
    <w:p>
      <w:pPr>
        <w:pStyle w:val="BookText"/>
      </w:pPr>
      <w:r>
        <w:rPr>
          <w:rFonts w:ascii="IRNazanin" w:hAnsi="IRNazanin" w:eastAsia="IRNazanin" w:cs="IRNazanin"/>
          <w:lang w:bidi="fa-IR"/>
          <w:color w:val="111111"/>
          <w:sz w:val="28"/>
          <w:szCs w:val="28"/>
          <w:rtl/>
        </w:rPr>
        <w:t xml:space="preserve">خط شکسته نستعلیق، بی کا، تا: قرن ۱۲؛ کاغذ: نوعی ترمه، جلد: رویه میشن سیاه ضربی، ۲گ (۴۶ر -۴۷ر)، اندازه: ۲۸/۲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۱۷/۲ سم [ف: ۸-۷۱]</w:t>
      </w:r>
    </w:p>
    <w:p>
      <w:pPr>
        <w:pStyle w:val="BookText"/>
      </w:pPr>
      <w:r>
        <w:rPr>
          <w:rFonts w:ascii="IRNazanin" w:hAnsi="IRNazanin" w:eastAsia="IRNazanin" w:cs="IRNazanin"/>
          <w:lang w:bidi="fa-IR"/>
          <w:color w:val="111111"/>
          <w:sz w:val="28"/>
          <w:szCs w:val="28"/>
          <w:rtl/>
        </w:rPr>
        <w:t xml:space="preserve">٣. تهران؛ ملک؛ شماره نسخه: ۵۰۱۴/۷</w:t>
      </w:r>
    </w:p>
    <w:p>
      <w:pPr>
        <w:pStyle w:val="BookText"/>
      </w:pPr>
      <w:r>
        <w:rPr>
          <w:rFonts w:ascii="IRNazanin" w:hAnsi="IRNazanin" w:eastAsia="IRNazanin" w:cs="IRNazanin"/>
          <w:lang w:bidi="fa-IR"/>
          <w:color w:val="111111"/>
          <w:sz w:val="28"/>
          <w:szCs w:val="28"/>
          <w:rtl/>
        </w:rPr>
        <w:t xml:space="preserve">خط: نستعلیق، بی کا، تا: قرن ۱۲؛ کاغذ: پسته ای، جلد: پارچه مشکی مغزی میشن قهوه ای، اص (۴۳)، ۱۵ سطر،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۱۵/۶ سم [ف: ۸-۱۶۷]</w:t>
      </w:r>
    </w:p>
    <w:p>
      <w:pPr>
        <w:pStyle w:val="BookText"/>
      </w:pPr>
      <w:r>
        <w:rPr>
          <w:rFonts w:ascii="IRNazanin" w:hAnsi="IRNazanin" w:eastAsia="IRNazanin" w:cs="IRNazanin"/>
          <w:lang w:bidi="fa-IR"/>
          <w:color w:val="111111"/>
          <w:sz w:val="28"/>
          <w:szCs w:val="28"/>
          <w:rtl/>
        </w:rPr>
        <w:t xml:space="preserve">۴. تهران؛ مجلس؛ شماره نسخه: ۲۶۶۶/۸</w:t>
      </w:r>
    </w:p>
    <w:p>
      <w:pPr>
        <w:pStyle w:val="BookText"/>
      </w:pPr>
      <w:r>
        <w:rPr>
          <w:rFonts w:ascii="IRNazanin" w:hAnsi="IRNazanin" w:eastAsia="IRNazanin" w:cs="IRNazanin"/>
          <w:lang w:bidi="fa-IR"/>
          <w:color w:val="111111"/>
          <w:sz w:val="28"/>
          <w:szCs w:val="28"/>
          <w:rtl/>
        </w:rPr>
        <w:t xml:space="preserve">۹۰ بيت؛ خط: شکسته خوش، كا: فضل الله، تا: ۱۱۷۱ق؛ در چهار ستون چلیپا، مجدول، دارای کمند؛ کاغذ: ترمه اصفهانی، جلد: تیماج عنابی، اگ (۴۲۰-۴۲۶)، ابعاد متن: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سم [ف: ۸-۴۲۶]</w:t>
      </w:r>
    </w:p>
    <w:p>
      <w:pPr>
        <w:pStyle w:val="BookText"/>
      </w:pPr>
      <w:r>
        <w:rPr>
          <w:rFonts w:ascii="IRNazanin" w:hAnsi="IRNazanin" w:eastAsia="IRNazanin" w:cs="IRNazanin"/>
          <w:lang w:bidi="fa-IR"/>
          <w:color w:val="111111"/>
          <w:sz w:val="28"/>
          <w:szCs w:val="28"/>
          <w:rtl/>
        </w:rPr>
        <w:t xml:space="preserve">۵. تهران؛ مجلس؛ شماره نسخه: ۱۴۱۸۱/۴۷</w:t>
      </w:r>
    </w:p>
    <w:p>
      <w:pPr>
        <w:pStyle w:val="BookText"/>
      </w:pPr>
      <w:r>
        <w:rPr>
          <w:rFonts w:ascii="IRNazanin" w:hAnsi="IRNazanin" w:eastAsia="IRNazanin" w:cs="IRNazanin"/>
          <w:lang w:bidi="fa-IR"/>
          <w:color w:val="111111"/>
          <w:sz w:val="28"/>
          <w:szCs w:val="28"/>
          <w:rtl/>
        </w:rPr>
        <w:t xml:space="preserve">خط: نستعلیق، کا: زین العابدین بن محمد، تا: ۱۴ صفر ۱۱۹۲ق، جان شیراز، آستانه شاهچراغ؛ جلد: تیماج، قهوه ای، ۳گ (۱۷۲ر -۱۷۴ پ)، قطع: بياضي،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۳۸-۲۳۸]</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مجلس؛ شماره نسخه: ۴۳۲/۱۸</w:t>
      </w:r>
    </w:p>
    <w:p>
      <w:pPr>
        <w:pStyle w:val="BookText"/>
      </w:pPr>
      <w:r>
        <w:rPr>
          <w:rFonts w:ascii="IRNazanin" w:hAnsi="IRNazanin" w:eastAsia="IRNazanin" w:cs="IRNazanin"/>
          <w:lang w:bidi="fa-IR"/>
          <w:color w:val="111111"/>
          <w:sz w:val="28"/>
          <w:szCs w:val="28"/>
          <w:rtl/>
        </w:rPr>
        <w:t xml:space="preserve">کر آغاز: برابر؛ انجام: ای تو سر دفتر حلقه جویا جهان***سو چون فاخته در حلقه زلفت حیران خط: شکسته نستعلیق، بی کا، تا: نیمه قرن ۱۳؛ افتادگی: انجام؛ مجدول، مذهب، کمند کشی؛ کاغذ: ترمه ناز ک سبز مغز پسته ای، ۴گ (۹۵ر -۹۸پ)، ۱۲ سطر، اندازه:</w:t>
      </w:r>
    </w:p>
    <w:p>
      <w:pPr>
        <w:pStyle w:val="BookText"/>
      </w:pPr>
      <w:r>
        <w:rPr>
          <w:rFonts w:ascii="IRNazanin" w:hAnsi="IRNazanin" w:eastAsia="IRNazanin" w:cs="IRNazanin"/>
          <w:lang w:bidi="fa-IR"/>
          <w:color w:val="111111"/>
          <w:sz w:val="28"/>
          <w:szCs w:val="28"/>
          <w:rtl/>
        </w:rPr>
        <w:t xml:space="preserve">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سم [ف: ۲/ ۴۰-۱۳۷]</w:t>
      </w:r>
    </w:p>
    <w:p>
      <w:pPr>
        <w:pStyle w:val="BookText"/>
      </w:pPr>
      <w:r>
        <w:rPr>
          <w:rFonts w:ascii="IRNazanin" w:hAnsi="IRNazanin" w:eastAsia="IRNazanin" w:cs="IRNazanin"/>
          <w:lang w:bidi="fa-IR"/>
          <w:color w:val="111111"/>
          <w:sz w:val="28"/>
          <w:szCs w:val="28"/>
          <w:rtl/>
        </w:rPr>
        <w:t xml:space="preserve">٧. تهران؛ ملک؛ شماره نسخه: ۴۹۷۴/۱</w:t>
      </w:r>
    </w:p>
    <w:p>
      <w:pPr>
        <w:pStyle w:val="BookText"/>
      </w:pPr>
      <w:r>
        <w:rPr>
          <w:rFonts w:ascii="IRNazanin" w:hAnsi="IRNazanin" w:eastAsia="IRNazanin" w:cs="IRNazanin"/>
          <w:lang w:bidi="fa-IR"/>
          <w:color w:val="111111"/>
          <w:sz w:val="28"/>
          <w:szCs w:val="28"/>
          <w:rtl/>
        </w:rPr>
        <w:t xml:space="preserve">خط: نستعلیق، بی کا، تا: قرن ۱۳ [ف: ۸-۱۵۲]</w:t>
      </w:r>
    </w:p>
    <w:p>
      <w:pPr>
        <w:pStyle w:val="BookText"/>
      </w:pPr>
      <w:r>
        <w:rPr>
          <w:rFonts w:ascii="IRNazanin" w:hAnsi="IRNazanin" w:eastAsia="IRNazanin" w:cs="IRNazanin"/>
          <w:lang w:bidi="fa-IR"/>
          <w:color w:val="111111"/>
          <w:sz w:val="28"/>
          <w:szCs w:val="28"/>
          <w:rtl/>
        </w:rPr>
        <w:t xml:space="preserve">۸. تهران؛ ملک؛ شماره نسخه: ۴۶۷۶/۹</w:t>
      </w:r>
    </w:p>
    <w:p>
      <w:pPr>
        <w:pStyle w:val="BookText"/>
      </w:pPr>
      <w:r>
        <w:rPr>
          <w:rFonts w:ascii="IRNazanin" w:hAnsi="IRNazanin" w:eastAsia="IRNazanin" w:cs="IRNazanin"/>
          <w:lang w:bidi="fa-IR"/>
          <w:color w:val="111111"/>
          <w:sz w:val="28"/>
          <w:szCs w:val="28"/>
          <w:rtl/>
        </w:rPr>
        <w:t xml:space="preserve">آغاز: برابر؛ انجام: خواندم این تازه غزل را بنوایی در باغ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چاک زد غنچه گریبان و گل آمد بفغان خط: نستعلیق، بی کا، تا: قرن ۱۳؛ کاغذ: نوعی ترمه، جلد: میشن زرد سیر مجدول، ۴گ (۱۴۱پ -۱۴۴پ)، ۱۵ سطر،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سم [ف: ۸-۲۰]</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تهران؛ الهيات؛ شماره نسخه: ۱۷۲/۲۰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۱۳؛ دارای غزلهایی از: شرر، عاشق، هاتف، فیض کاشانی، جامی، مجمر، میرزا ابوالحسن يغمای جندقی، قانع، رباعیات یغما، غزل های حافظ، قابل، فتحعلی شاه، بلاک (؟)، آقا محمد زرگر، وفا، کاغذ: فرنگی، جلد: مینا کاری با گل و بوته های سبز و شنگرف و زرین و مشکی و عطف میشن، ۲گ (۱۸۳پ -۱۸۴پ)، ۱۵ سطر (</w:t>
      </w:r>
    </w:p>
    <w:p>
      <w:pPr>
        <w:pStyle w:val="BookText"/>
      </w:pPr>
      <w:r>
        <w:rPr>
          <w:rFonts w:ascii="IRNazanin" w:hAnsi="IRNazanin" w:eastAsia="IRNazanin" w:cs="IRNazanin"/>
          <w:lang w:bidi="fa-IR"/>
          <w:color w:val="111111"/>
          <w:sz w:val="28"/>
          <w:szCs w:val="28"/>
          <w:rtl/>
        </w:rPr>
        <w:t xml:space="preserve">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۲۹/۵ سم [ف: ۱۳۸]</w:t>
      </w:r>
    </w:p>
    <w:p>
      <w:pPr>
        <w:pStyle w:val="BookText"/>
      </w:pPr>
      <w:r>
        <w:rPr>
          <w:rFonts w:ascii="IRNazanin" w:hAnsi="IRNazanin" w:eastAsia="IRNazanin" w:cs="IRNazanin"/>
          <w:lang w:bidi="fa-IR"/>
          <w:color w:val="111111"/>
          <w:sz w:val="28"/>
          <w:szCs w:val="28"/>
          <w:rtl/>
        </w:rPr>
        <w:t xml:space="preserve">۱۰. تهران؛ ملک؛ شماره نسخه: ۵۰۹۱/۱۱</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تا: ۲۷ جمادی الثانی ۱۲۳۳ق؛ کاغذ: نوعی ترمه، جلد: روغنی گل و بوته درون گل نرگس، ۸ سطر، اندازه: ۱۳/۶ ۲۰/۸</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سم [ف: ۸-۲۰۳]</w:t>
      </w:r>
    </w:p>
    <w:p>
      <w:pPr>
        <w:pStyle w:val="BookText"/>
      </w:pPr>
      <w:r>
        <w:rPr>
          <w:rFonts w:ascii="IRNazanin" w:hAnsi="IRNazanin" w:eastAsia="IRNazanin" w:cs="IRNazanin"/>
          <w:lang w:bidi="fa-IR"/>
          <w:color w:val="111111"/>
          <w:sz w:val="28"/>
          <w:szCs w:val="28"/>
          <w:rtl/>
        </w:rPr>
        <w:t xml:space="preserve">۱۱. تهران؛ مجلس؛ شماره نسخه: ۹۴۶۷/۱۰۹</w:t>
      </w:r>
    </w:p>
    <w:p>
      <w:pPr>
        <w:pStyle w:val="BookText"/>
      </w:pPr>
      <w:r>
        <w:rPr>
          <w:rFonts w:ascii="IRNazanin" w:hAnsi="IRNazanin" w:eastAsia="IRNazanin" w:cs="IRNazanin"/>
          <w:lang w:bidi="fa-IR"/>
          <w:color w:val="111111"/>
          <w:sz w:val="28"/>
          <w:szCs w:val="28"/>
          <w:rtl/>
        </w:rPr>
        <w:t xml:space="preserve">خط: نستعلیق، کا: محمد بن جمشید مراغی، تا: ۱۲۴۱ق؛ ۲۰گ (۲۰۱ر - ۲۲۰ر) [مختصر ف: ۷۱۳]</w:t>
      </w:r>
    </w:p>
    <w:p>
      <w:pPr>
        <w:pStyle w:val="BookText"/>
      </w:pPr>
      <w:r>
        <w:rPr>
          <w:rFonts w:ascii="IRNazanin" w:hAnsi="IRNazanin" w:eastAsia="IRNazanin" w:cs="IRNazanin"/>
          <w:lang w:bidi="fa-IR"/>
          <w:color w:val="111111"/>
          <w:sz w:val="28"/>
          <w:szCs w:val="28"/>
          <w:rtl/>
        </w:rPr>
        <w:t xml:space="preserve">۱۲. تهران: مجلس؛ شماره نسخه: ۱۰۰۵۷/۶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۱۲۴۶ق؛ ۴ص (۵۲-۵۵)، ۱۳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۳۲-۷۷]</w:t>
      </w:r>
    </w:p>
    <w:p>
      <w:pPr>
        <w:pStyle w:val="BookText"/>
      </w:pPr>
      <w:r>
        <w:rPr>
          <w:rFonts w:ascii="Amiri" w:hAnsi="Amiri" w:eastAsia="Amiri" w:cs="Amiri"/>
          <w:lang w:bidi="ar-SA"/>
          <w:color w:val="111111"/>
          <w:sz w:val="28"/>
          <w:szCs w:val="28"/>
          <w:rtl/>
        </w:rPr>
        <w:t xml:space="preserve">۱۳. تهران؛ دائرة المعارف؛ شماره نسخه: ۷۹۱/۳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35" w:name="pg20363_209490"/>
    <w:bookmarkEnd w:id="235"/>
    <w:p>
      <w:pPr>
        <w:pStyle w:val="BookText"/>
      </w:pPr>
      <w:r>
        <w:rPr>
          <w:rFonts w:ascii="IRNazanin" w:hAnsi="IRNazanin" w:eastAsia="IRNazanin" w:cs="IRNazanin"/>
          <w:lang w:bidi="fa-IR"/>
          <w:color w:val="111111"/>
          <w:sz w:val="28"/>
          <w:szCs w:val="28"/>
          <w:rtl/>
        </w:rPr>
        <w:t xml:space="preserve">خط: نستعلیق، کا: سرخوش هروی، تا: ۱۲۶۲ق؛ ۴گ (۱۰پ۔ ۱۳پ)؛ ۴گ (۱۰پ -۱۳پ) [ف: ۲-۳۲]</w:t>
      </w:r>
    </w:p>
    <w:p>
      <w:pPr>
        <w:pStyle w:val="BookText"/>
      </w:pPr>
      <w:r>
        <w:rPr>
          <w:rFonts w:ascii="IRNazanin" w:hAnsi="IRNazanin" w:eastAsia="IRNazanin" w:cs="IRNazanin"/>
          <w:lang w:bidi="fa-IR"/>
          <w:color w:val="111111"/>
          <w:sz w:val="28"/>
          <w:szCs w:val="28"/>
          <w:rtl/>
        </w:rPr>
        <w:t xml:space="preserve">۱۴. تهران؛ ملک؛ شماره نسخه: ۴۸۹۹/۹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بی کا، تا: ۱۲۶۲ق، جا: یزد؛ کاغذ: ترمه اصفهانی، جلد: میشن آلبالویی، ۴گ (۶۹ر -۷۲پ)، ۱۲ سطر، اندازه: ۱۹/۲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۱۱/۹ سم [ف: ۸-۱۱۷]</w:t>
      </w:r>
    </w:p>
    <w:p>
      <w:pPr>
        <w:pStyle w:val="BookText"/>
      </w:pPr>
      <w:r>
        <w:rPr>
          <w:rFonts w:ascii="Amiri" w:hAnsi="Amiri" w:eastAsia="Amiri" w:cs="Amiri"/>
          <w:lang w:bidi="ar-SA"/>
          <w:color w:val="111111"/>
          <w:sz w:val="28"/>
          <w:szCs w:val="28"/>
          <w:rtl/>
        </w:rPr>
        <w:t xml:space="preserve">۱۵. تهران؛ دائرة المعارف؛ شماره نسخه: ۱۸۷/۲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پخته، كا: محمد باقر منشی مشهور به ندیم، تا: ۱۲۷۳ق؛ ۳گ (۱۹۷پ-۱۹۹پ) [ف: ۱-۳۸]</w:t>
      </w:r>
    </w:p>
    <w:p>
      <w:pPr>
        <w:pStyle w:val="BookText"/>
      </w:pPr>
      <w:r>
        <w:rPr>
          <w:rFonts w:ascii="IRNazanin" w:hAnsi="IRNazanin" w:eastAsia="IRNazanin" w:cs="IRNazanin"/>
          <w:lang w:bidi="fa-IR"/>
          <w:color w:val="111111"/>
          <w:sz w:val="28"/>
          <w:szCs w:val="28"/>
          <w:rtl/>
        </w:rPr>
        <w:t xml:space="preserve">۱۶. تهران؛ ادبیات، شماره نسخه: ۳۴۹/۷</w:t>
      </w:r>
    </w:p>
    <w:p>
      <w:pPr>
        <w:pStyle w:val="BookText"/>
      </w:pPr>
      <w:r>
        <w:rPr>
          <w:rFonts w:ascii="IRNazanin" w:hAnsi="IRNazanin" w:eastAsia="IRNazanin" w:cs="IRNazanin"/>
          <w:lang w:bidi="fa-IR"/>
          <w:color w:val="111111"/>
          <w:sz w:val="28"/>
          <w:szCs w:val="28"/>
          <w:rtl/>
        </w:rPr>
        <w:t xml:space="preserve">حکمت در فهرست از جامی دانسته شده؛ خط: نستعلیق، بی کا، تا: ۲۷ صفر ۱۲۸۹ق؛ جلد: تیماج مشکی، قطع: ربعی اف: ۲-۶۳]</w:t>
      </w:r>
    </w:p>
    <w:p>
      <w:pPr>
        <w:pStyle w:val="BookText"/>
      </w:pPr>
      <w:r>
        <w:rPr>
          <w:rFonts w:ascii="IRNazanin" w:hAnsi="IRNazanin" w:eastAsia="IRNazanin" w:cs="IRNazanin"/>
          <w:lang w:bidi="fa-IR"/>
          <w:color w:val="111111"/>
          <w:sz w:val="28"/>
          <w:szCs w:val="28"/>
          <w:rtl/>
        </w:rPr>
        <w:t xml:space="preserve">۱۷. تهران؛ مجلس؛ شماره نسخه: ۸۱۷۳/۱۶۰</w:t>
      </w:r>
    </w:p>
    <w:p>
      <w:pPr>
        <w:pStyle w:val="BookText"/>
      </w:pPr>
      <w:r>
        <w:rPr>
          <w:rFonts w:ascii="IRNazanin" w:hAnsi="IRNazanin" w:eastAsia="IRNazanin" w:cs="IRNazanin"/>
          <w:lang w:bidi="fa-IR"/>
          <w:color w:val="111111"/>
          <w:sz w:val="28"/>
          <w:szCs w:val="28"/>
          <w:rtl/>
        </w:rPr>
        <w:t xml:space="preserve">آغاز: برابر؛ انجام: گفت گفتی تو که عیار نیم پس این چیست*** که چنین وقت بدادت به چنین حیله نشان</w:t>
      </w:r>
    </w:p>
    <w:p>
      <w:pPr>
        <w:pStyle w:val="BookText"/>
      </w:pPr>
      <w:r>
        <w:rPr>
          <w:rFonts w:ascii="IRNazanin" w:hAnsi="IRNazanin" w:eastAsia="IRNazanin" w:cs="IRNazanin"/>
          <w:lang w:bidi="fa-IR"/>
          <w:color w:val="111111"/>
          <w:sz w:val="28"/>
          <w:szCs w:val="28"/>
          <w:rtl/>
        </w:rPr>
        <w:t xml:space="preserve">خط: شکسته نستعلیق، كا: صحبت الله خان ملقب به دبیر همایون، تا: آغاز قرن ۱۴؛ راسته و چلیپا، رکابه دار؛ کاغذ: نازک کاهی شکننده، جلد: تیماج قهوه ای دارای دو ردیف جدول ساده، ۳ص ( ۵۷۸-۵۷۶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۱۳/۴ سم [ف: ۲۷/۱ -۳۶۳]</w:t>
      </w:r>
    </w:p>
    <w:p>
      <w:pPr>
        <w:pStyle w:val="BookText"/>
      </w:pPr>
      <w:r>
        <w:rPr>
          <w:rFonts w:ascii="IRNazanin" w:hAnsi="IRNazanin" w:eastAsia="IRNazanin" w:cs="IRNazanin"/>
          <w:lang w:bidi="fa-IR"/>
          <w:color w:val="111111"/>
          <w:sz w:val="28"/>
          <w:szCs w:val="28"/>
          <w:rtl/>
        </w:rPr>
        <w:t xml:space="preserve">۱۸. تهران؛ مجلس؛ شماره نسخه: ۱۸۵۲۳ ض</w:t>
      </w:r>
    </w:p>
    <w:p>
      <w:pPr>
        <w:pStyle w:val="BookText"/>
      </w:pPr>
      <w:r>
        <w:rPr>
          <w:rFonts w:ascii="IRNazanin" w:hAnsi="IRNazanin" w:eastAsia="IRNazanin" w:cs="IRNazanin"/>
          <w:lang w:bidi="fa-IR"/>
          <w:color w:val="111111"/>
          <w:sz w:val="28"/>
          <w:szCs w:val="28"/>
          <w:rtl/>
        </w:rPr>
        <w:t xml:space="preserve">منظومه؛ بی کا، بی تا [د.ث. مجلس]</w:t>
      </w:r>
    </w:p>
    <w:p>
      <w:pPr>
        <w:pStyle w:val="BookText"/>
      </w:pPr>
      <w:r>
        <w:rPr>
          <w:rFonts w:ascii="IRNazanin" w:hAnsi="IRNazanin" w:eastAsia="IRNazanin" w:cs="IRNazanin"/>
          <w:lang w:bidi="fa-IR"/>
          <w:color w:val="111111"/>
          <w:sz w:val="28"/>
          <w:szCs w:val="28"/>
          <w:rtl/>
        </w:rPr>
        <w:t xml:space="preserve">۱۹. تهران، دانشگاه؛ شماره نسخه: ۷۸۷۸/۴</w:t>
      </w:r>
    </w:p>
    <w:p>
      <w:pPr>
        <w:pStyle w:val="BookText"/>
      </w:pPr>
      <w:r>
        <w:rPr>
          <w:rFonts w:ascii="IRNazanin" w:hAnsi="IRNazanin" w:eastAsia="IRNazanin" w:cs="IRNazanin"/>
          <w:lang w:bidi="fa-IR"/>
          <w:color w:val="111111"/>
          <w:sz w:val="28"/>
          <w:szCs w:val="28"/>
          <w:rtl/>
        </w:rPr>
        <w:t xml:space="preserve">خط: نستعلیق، کا: محمد یحیی سیستانی، بی تا؛ مجدول؛ کاغذ: فرنگی، جلد: تیماج تریاکی مقوایی، ۱۵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قطع: ربعی، اندازه: ۲۶/۵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سم [ف: ۱۶-۷۲۳]</w:t>
      </w:r>
    </w:p>
    <w:p>
      <w:pPr>
        <w:pStyle w:val="BookText"/>
      </w:pPr>
      <w:r>
        <w:rPr>
          <w:rFonts w:ascii="IRNazanin" w:hAnsi="IRNazanin" w:eastAsia="IRNazanin" w:cs="IRNazanin"/>
          <w:lang w:bidi="fa-IR"/>
          <w:color w:val="111111"/>
          <w:sz w:val="28"/>
          <w:szCs w:val="28"/>
          <w:rtl/>
        </w:rPr>
        <w:t xml:space="preserve">۲۰. تهران؛ مجلس؛ شماره نسخه: ۱۳۴۶۳/۶۳ حاشیه</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بی تا؛ بی کاتب؛ جلد: تیماج، مشکی سوخت ترنج با سر و لچکی زرین لولادار، ص (۳۹۷-۴۰۳)،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۲۷/۵سم [ف: ۳۶-۴۱۵]</w:t>
      </w:r>
    </w:p>
    <w:p>
      <w:pPr>
        <w:pStyle w:val="BookText"/>
      </w:pPr>
      <w:r>
        <w:rPr>
          <w:rFonts w:ascii="IRNazanin" w:hAnsi="IRNazanin" w:eastAsia="IRNazanin" w:cs="IRNazanin"/>
          <w:lang w:bidi="fa-IR"/>
          <w:color w:val="111111"/>
          <w:sz w:val="28"/>
          <w:szCs w:val="28"/>
          <w:rtl/>
        </w:rPr>
        <w:t xml:space="preserve">۲۱. تهران؛ مجلس؛ شماره نسخه: ۱۴۱۸۳/۱۹</w:t>
      </w:r>
    </w:p>
    <w:p>
      <w:pPr>
        <w:pStyle w:val="BookText"/>
      </w:pPr>
      <w:r>
        <w:rPr>
          <w:rFonts w:ascii="IRNazanin" w:hAnsi="IRNazanin" w:eastAsia="IRNazanin" w:cs="IRNazanin"/>
          <w:lang w:bidi="fa-IR"/>
          <w:color w:val="111111"/>
          <w:sz w:val="28"/>
          <w:szCs w:val="28"/>
          <w:rtl/>
        </w:rPr>
        <w:t xml:space="preserve">خط: شکسته نستعلیق، بی کا، بی تا؛ مجدول زرین و محرر؛ جلد: تیماج دورو مشکی عطف و حاشیه تیماج قهوه ای، کگی (۵۵پ - ۵۶پ)، سطور چلیپا، قطع: بياضی،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۳۸-۲۴۳]</w:t>
      </w:r>
    </w:p>
    <w:p>
      <w:pPr>
        <w:pStyle w:val="BookText"/>
      </w:pPr>
      <w:r>
        <w:rPr>
          <w:rFonts w:ascii="IRNazanin" w:hAnsi="IRNazanin" w:eastAsia="IRNazanin" w:cs="IRNazanin"/>
          <w:lang w:bidi="fa-IR"/>
          <w:color w:val="111111"/>
          <w:sz w:val="28"/>
          <w:szCs w:val="28"/>
          <w:rtl/>
        </w:rPr>
        <w:t xml:space="preserve">۲۲. تهران؛ مجلس؛ شماره نسخه: ۲۶۷۵/۱۸</w:t>
      </w:r>
    </w:p>
    <w:p>
      <w:pPr>
        <w:pStyle w:val="BookText"/>
      </w:pPr>
      <w:r>
        <w:rPr>
          <w:rFonts w:ascii="IRNazanin" w:hAnsi="IRNazanin" w:eastAsia="IRNazanin" w:cs="IRNazanin"/>
          <w:lang w:bidi="fa-IR"/>
          <w:color w:val="111111"/>
          <w:sz w:val="28"/>
          <w:szCs w:val="28"/>
          <w:rtl/>
        </w:rPr>
        <w:t xml:space="preserve">آغاز و انجام: برابر ۹۵ بیت؛ كا: محمد علی شیرازی، بی تا، مجدول الوان؛ کاغذ: فرنگی، جلد: تیماج قهوه ای، ۴گ (۶۶۲-۶۶۵)، ابعاد متن: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اندازه: ۲۱/۵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۳۳/۵ سم [ف: ۸-۴۴۰]</w:t>
      </w:r>
    </w:p>
    <w:p>
      <w:pPr>
        <w:pStyle w:val="BookText"/>
      </w:pPr>
      <w:r>
        <w:rPr>
          <w:rFonts w:ascii="IRNazanin" w:hAnsi="IRNazanin" w:eastAsia="IRNazanin" w:cs="IRNazanin"/>
          <w:lang w:bidi="fa-IR"/>
          <w:color w:val="111111"/>
          <w:sz w:val="28"/>
          <w:szCs w:val="28"/>
          <w:rtl/>
        </w:rPr>
        <w:t xml:space="preserve">۲۳. تهران؛ مجلس؛ شماره نسخه: ۲۳۲۹/۶۶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کاغذ: فرنگی الوان، جلد: میشن قهوه ای ترنج و نیم ترنج و سر ترنج ضربی، ۳گ (۶۸۸-۶۹۰)، ۱۶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۸-۳۳]</w:t>
      </w:r>
    </w:p>
    <w:p>
      <w:pPr>
        <w:pStyle w:val="Heading3"/>
      </w:pPr>
      <w:bookmarkStart w:id="1461" w:name="_Toc721"/>
      <w:r>
        <w:t>• بیماری بدن / طب / فارسی</w:t>
      </w:r>
      <w:bookmarkEnd w:id="1461"/>
    </w:p>
    <w:p>
      <w:pPr>
        <w:pStyle w:val="BookText"/>
      </w:pPr>
      <w:r>
        <w:rPr>
          <w:rFonts w:ascii="Times New Roman" w:hAnsi="Times New Roman" w:eastAsia="Times New Roman" w:cs="Times New Roman"/>
          <w:lang w:val="en-US" w:bidi="en-US"/>
          <w:color w:val="111111"/>
          <w:sz w:val="28"/>
          <w:szCs w:val="28"/>
          <w:rtl/>
        </w:rPr>
        <w:t xml:space="preserve">bīmārī-ye badan</w:t>
      </w:r>
    </w:p>
    <w:p>
      <w:pPr>
        <w:pStyle w:val="BookText"/>
      </w:pPr>
      <w:r>
        <w:rPr>
          <w:rFonts w:ascii="IRNazanin" w:hAnsi="IRNazanin" w:eastAsia="IRNazanin" w:cs="IRNazanin"/>
          <w:lang w:bidi="fa-IR"/>
          <w:color w:val="111111"/>
          <w:sz w:val="28"/>
          <w:szCs w:val="28"/>
          <w:rtl/>
        </w:rPr>
        <w:t xml:space="preserve">رساله در بیماریها و آفت های اندام ها از سر تا به پا. گرفته شده از ذخیره خوارزمشاهی.</w:t>
      </w:r>
    </w:p>
    <w:p>
      <w:pPr>
        <w:pStyle w:val="BookText"/>
      </w:pPr>
      <w:r>
        <w:rPr>
          <w:rFonts w:ascii="IRNazanin" w:hAnsi="IRNazanin" w:eastAsia="IRNazanin" w:cs="IRNazanin"/>
          <w:lang w:bidi="fa-IR"/>
          <w:color w:val="111111"/>
          <w:sz w:val="28"/>
          <w:szCs w:val="28"/>
          <w:rtl/>
        </w:rPr>
        <w:t xml:space="preserve">تهران؛ ملک؛ شماره نسخه: ۴۹۲/۲۵</w:t>
      </w:r>
    </w:p>
    <w:p>
      <w:pPr>
        <w:pStyle w:val="BookText"/>
      </w:pPr>
      <w:r>
        <w:rPr>
          <w:rFonts w:ascii="IRNazanin" w:hAnsi="IRNazanin" w:eastAsia="IRNazanin" w:cs="IRNazanin"/>
          <w:lang w:bidi="fa-IR"/>
          <w:color w:val="111111"/>
          <w:sz w:val="28"/>
          <w:szCs w:val="28"/>
          <w:rtl/>
        </w:rPr>
        <w:t xml:space="preserve">خط: نستعلیق، بی کا، تا: قرن ۱۰؛ کاغذ: ترمه سمرقندی، جلد: رویه میشن ضربی قرمز، پشت معرق قدیمی، ۴۰ص (۱۹۴-۲۳۳ هامش)، ۱۸ سطر، اندازه: ۱۲/۲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۲۰/۷سم [ف: ۵-۴۲]</w:t>
      </w:r>
    </w:p>
    <w:p>
      <w:pPr>
        <w:pStyle w:val="Heading3"/>
      </w:pPr>
      <w:bookmarkStart w:id="1462" w:name="_Toc722"/>
      <w:r>
        <w:t>• بیماری پوست / طب / فارسی</w:t>
      </w:r>
      <w:bookmarkEnd w:id="1462"/>
    </w:p>
    <w:p>
      <w:pPr>
        <w:pStyle w:val="BookText"/>
      </w:pPr>
      <w:r>
        <w:rPr>
          <w:rFonts w:ascii="Times New Roman" w:hAnsi="Times New Roman" w:eastAsia="Times New Roman" w:cs="Times New Roman"/>
          <w:lang w:val="en-US" w:bidi="en-US"/>
          <w:color w:val="111111"/>
          <w:sz w:val="28"/>
          <w:szCs w:val="28"/>
          <w:rtl/>
        </w:rPr>
        <w:t xml:space="preserve">bīmārī-ye pūst</w:t>
      </w:r>
    </w:p>
    <w:p>
      <w:pPr>
        <w:pStyle w:val="BookText"/>
      </w:pPr>
      <w:r>
        <w:rPr>
          <w:rFonts w:ascii="IRNazanin" w:hAnsi="IRNazanin" w:eastAsia="IRNazanin" w:cs="IRNazanin"/>
          <w:lang w:bidi="fa-IR"/>
          <w:color w:val="111111"/>
          <w:sz w:val="28"/>
          <w:szCs w:val="28"/>
          <w:rtl/>
        </w:rPr>
        <w:t xml:space="preserve">مشهد؛ رضوی؛ شماره نسخه: ۱۱۹۲۰</w:t>
      </w:r>
    </w:p>
    <w:p>
      <w:pPr>
        <w:pStyle w:val="BookText"/>
      </w:pPr>
      <w:r>
        <w:rPr>
          <w:rFonts w:ascii="IRNazanin" w:hAnsi="IRNazanin" w:eastAsia="IRNazanin" w:cs="IRNazanin"/>
          <w:lang w:bidi="fa-IR"/>
          <w:color w:val="111111"/>
          <w:sz w:val="28"/>
          <w:szCs w:val="28"/>
          <w:rtl/>
        </w:rPr>
        <w:t xml:space="preserve">آغاز: امراض جلدی از روی معرفت؛ انجام: هر چه زودتر بایستی اقدام شود</w:t>
      </w:r>
    </w:p>
    <w:p>
      <w:pPr>
        <w:pStyle w:val="BookText"/>
      </w:pPr>
      <w:r>
        <w:rPr>
          <w:rFonts w:ascii="IRNazanin" w:hAnsi="IRNazanin" w:eastAsia="IRNazanin" w:cs="IRNazanin"/>
          <w:lang w:bidi="fa-IR"/>
          <w:color w:val="111111"/>
          <w:sz w:val="28"/>
          <w:szCs w:val="28"/>
          <w:rtl/>
        </w:rPr>
        <w:t xml:space="preserve">جزوه درسی؛ خط: نستعلیق تحریری، کا: مریم میرهادی، بی تا؛ کاغذ: فرنگی، جلد: میشن، ابعاد متن: ۱۳۷۹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الفبائی: ۹۴]</w:t>
      </w:r>
    </w:p>
    <w:p>
      <w:pPr>
        <w:pStyle w:val="BookText"/>
      </w:pPr>
      <w:r>
        <w:rPr>
          <w:rFonts w:ascii="IRNazanin" w:hAnsi="IRNazanin" w:eastAsia="IRNazanin" w:cs="IRNazanin"/>
          <w:lang w:bidi="fa-IR"/>
          <w:color w:val="111111"/>
          <w:sz w:val="28"/>
          <w:szCs w:val="28"/>
          <w:rtl/>
        </w:rPr>
        <w:t xml:space="preserve">← بیماری وبا← معالجه مرض وبا (رساله)</w:t>
      </w:r>
    </w:p>
    <w:p>
      <w:pPr>
        <w:pStyle w:val="Heading3"/>
      </w:pPr>
      <w:bookmarkStart w:id="1463" w:name="_Toc723"/>
      <w:r>
        <w:t>• بیماری وبا / طب / فارسی</w:t>
      </w:r>
      <w:bookmarkEnd w:id="1463"/>
    </w:p>
    <w:p>
      <w:pPr>
        <w:pStyle w:val="BookText"/>
      </w:pPr>
      <w:r>
        <w:rPr>
          <w:rFonts w:ascii="Times New Roman" w:hAnsi="Times New Roman" w:eastAsia="Times New Roman" w:cs="Times New Roman"/>
          <w:lang w:val="en-US" w:bidi="en-US"/>
          <w:color w:val="111111"/>
          <w:sz w:val="28"/>
          <w:szCs w:val="28"/>
          <w:rtl/>
        </w:rPr>
        <w:t xml:space="preserve">bīmārī-ye vabā</w:t>
      </w:r>
    </w:p>
    <w:p>
      <w:pPr>
        <w:pStyle w:val="BookText"/>
      </w:pPr>
      <w:r>
        <w:rPr>
          <w:rFonts w:ascii="IRNazanin" w:hAnsi="IRNazanin" w:eastAsia="IRNazanin" w:cs="IRNazanin"/>
          <w:lang w:bidi="fa-IR"/>
          <w:color w:val="111111"/>
          <w:sz w:val="28"/>
          <w:szCs w:val="28"/>
          <w:rtl/>
        </w:rPr>
        <w:t xml:space="preserve">رساله بسیار مختصری است در پزشکی عمومی است برای جلوگیری از طاعون و وبا، آمیخته به مطالبی عرفانی.</w:t>
      </w:r>
    </w:p>
    <w:p>
      <w:pPr>
        <w:pStyle w:val="BookText"/>
      </w:pPr>
      <w:r>
        <w:rPr>
          <w:rFonts w:ascii="IRNazanin" w:hAnsi="IRNazanin" w:eastAsia="IRNazanin" w:cs="IRNazanin"/>
          <w:lang w:bidi="fa-IR"/>
          <w:color w:val="111111"/>
          <w:sz w:val="28"/>
          <w:szCs w:val="28"/>
          <w:rtl/>
        </w:rPr>
        <w:t xml:space="preserve">قم؛ مرعشی؛ شماره نسخه: ۷۴۲۴/۳</w:t>
      </w:r>
    </w:p>
    <w:p>
      <w:pPr>
        <w:pStyle w:val="BookText"/>
      </w:pPr>
      <w:r>
        <w:rPr>
          <w:rFonts w:ascii="IRNazanin" w:hAnsi="IRNazanin" w:eastAsia="IRNazanin" w:cs="IRNazanin"/>
          <w:lang w:bidi="fa-IR"/>
          <w:color w:val="111111"/>
          <w:sz w:val="28"/>
          <w:szCs w:val="28"/>
          <w:rtl/>
        </w:rPr>
        <w:t xml:space="preserve">آغاز: اللهم لا تشمت اعدائي بدائی و اجعل القرآن العظيم شفائی ... چون دأب و عادت فقرا یعنی کافه اطباء انجام: شراب و مفرح تسلیم آن مفرح که اولیا سازند، و صلی الله على السيد السند الشفيع في يوم المحشر.</w:t>
      </w:r>
    </w:p>
    <w:p>
      <w:pPr>
        <w:pStyle w:val="BookText"/>
      </w:pPr>
      <w:r>
        <w:rPr>
          <w:rFonts w:ascii="IRNazanin" w:hAnsi="IRNazanin" w:eastAsia="IRNazanin" w:cs="IRNazanin"/>
          <w:lang w:bidi="fa-IR"/>
          <w:color w:val="111111"/>
          <w:sz w:val="28"/>
          <w:szCs w:val="28"/>
          <w:rtl/>
        </w:rPr>
        <w:t xml:space="preserve">كا: سید محمد حسینی نوربخشی، بی تا، جلد: تیماج مشکی، ۲گ (۳۶۸پ -۳۶۹پ)،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۱۹-۲۳۶]</w:t>
      </w:r>
    </w:p>
    <w:p>
      <w:pPr>
        <w:pStyle w:val="Heading3"/>
      </w:pPr>
      <w:bookmarkStart w:id="1464" w:name="_Toc724"/>
      <w:r>
        <w:t>• بیماریها و داروها / طب / فارسی</w:t>
      </w:r>
      <w:bookmarkEnd w:id="1464"/>
    </w:p>
    <w:p>
      <w:pPr>
        <w:pStyle w:val="BookText"/>
      </w:pPr>
      <w:r>
        <w:rPr>
          <w:rFonts w:ascii="Times New Roman" w:hAnsi="Times New Roman" w:eastAsia="Times New Roman" w:cs="Times New Roman"/>
          <w:lang w:val="en-US" w:bidi="en-US"/>
          <w:color w:val="111111"/>
          <w:sz w:val="28"/>
          <w:szCs w:val="28"/>
          <w:rtl/>
        </w:rPr>
        <w:t xml:space="preserve">bīmārī-hā va dārū-hā</w:t>
      </w:r>
    </w:p>
    <w:p>
      <w:pPr>
        <w:pStyle w:val="BookText"/>
      </w:pPr>
      <w:r>
        <w:rPr>
          <w:rFonts w:ascii="IRNazanin" w:hAnsi="IRNazanin" w:eastAsia="IRNazanin" w:cs="IRNazanin"/>
          <w:lang w:bidi="fa-IR"/>
          <w:color w:val="111111"/>
          <w:sz w:val="28"/>
          <w:szCs w:val="28"/>
          <w:rtl/>
        </w:rPr>
        <w:t xml:space="preserve">همانندی نامعلوم: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36" w:name="pg20363_209491"/>
    <w:bookmarkEnd w:id="236"/>
    <w:p>
      <w:pPr>
        <w:pStyle w:val="BookText"/>
      </w:pPr>
      <w:r>
        <w:rPr>
          <w:rFonts w:ascii="IRNazanin" w:hAnsi="IRNazanin" w:eastAsia="IRNazanin" w:cs="IRNazanin"/>
          <w:lang w:bidi="fa-IR"/>
          <w:color w:val="111111"/>
          <w:sz w:val="28"/>
          <w:szCs w:val="28"/>
          <w:rtl/>
        </w:rPr>
        <w:t xml:space="preserve">۱. تهران؛ ملی؛ شماره نسخه: ۱۸۶۵۴</w:t>
      </w:r>
    </w:p>
    <w:p>
      <w:pPr>
        <w:pStyle w:val="BookText"/>
      </w:pPr>
      <w:r>
        <w:rPr>
          <w:rFonts w:ascii="IRNazanin" w:hAnsi="IRNazanin" w:eastAsia="IRNazanin" w:cs="IRNazanin"/>
          <w:lang w:bidi="fa-IR"/>
          <w:color w:val="111111"/>
          <w:sz w:val="28"/>
          <w:szCs w:val="28"/>
          <w:rtl/>
        </w:rPr>
        <w:t xml:space="preserve">بی کا، بیتا؛ انتقالی از کتابخانه پهلوی - مجموعه نوازی؛ ۹۴گ،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 سم</w:t>
      </w:r>
    </w:p>
    <w:p>
      <w:pPr>
        <w:pStyle w:val="BookText"/>
      </w:pPr>
      <w:r>
        <w:rPr>
          <w:rFonts w:ascii="IRNazanin" w:hAnsi="IRNazanin" w:eastAsia="IRNazanin" w:cs="IRNazanin"/>
          <w:lang w:bidi="fa-IR"/>
          <w:color w:val="111111"/>
          <w:sz w:val="28"/>
          <w:szCs w:val="28"/>
          <w:rtl/>
        </w:rPr>
        <w:t xml:space="preserve">[رایانه]</w:t>
      </w:r>
    </w:p>
    <w:p>
      <w:pPr>
        <w:pStyle w:val="BookText"/>
      </w:pPr>
      <w:r>
        <w:rPr>
          <w:rFonts w:ascii="IRNazanin" w:hAnsi="IRNazanin" w:eastAsia="IRNazanin" w:cs="IRNazanin"/>
          <w:lang w:bidi="fa-IR"/>
          <w:color w:val="111111"/>
          <w:sz w:val="28"/>
          <w:szCs w:val="28"/>
          <w:rtl/>
        </w:rPr>
        <w:t xml:space="preserve">۲. تهران؛ ملی؛ شماره نسخه: ۱۸۱۰۶</w:t>
      </w:r>
    </w:p>
    <w:p>
      <w:pPr>
        <w:pStyle w:val="BookText"/>
      </w:pPr>
      <w:r>
        <w:rPr>
          <w:rFonts w:ascii="IRNazanin" w:hAnsi="IRNazanin" w:eastAsia="IRNazanin" w:cs="IRNazanin"/>
          <w:lang w:bidi="fa-IR"/>
          <w:color w:val="111111"/>
          <w:sz w:val="28"/>
          <w:szCs w:val="28"/>
          <w:rtl/>
        </w:rPr>
        <w:t xml:space="preserve">نسخه ای ناقص؛ بی کا، بی تا؛ انتقالی از کتابخانه پهلوی - مجموعه نوازی؛ اندازه: ۱۲/۳</w:t>
      </w:r>
    </w:p>
    <w:p>
      <w:pPr>
        <w:pStyle w:val="BookText"/>
      </w:pP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۱۹ سم [رایانه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ملی؛ شماره نسخه: ۱۸۱۲۴</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اندازه: ۸/۶</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۱۹/۸ سم [رایانه]</w:t>
      </w:r>
    </w:p>
    <w:p>
      <w:pPr>
        <w:pStyle w:val="BookText"/>
      </w:pPr>
      <w:r>
        <w:rPr>
          <w:rFonts w:ascii="IRNazanin" w:hAnsi="IRNazanin" w:eastAsia="IRNazanin" w:cs="IRNazanin"/>
          <w:lang w:bidi="fa-IR"/>
          <w:color w:val="111111"/>
          <w:sz w:val="28"/>
          <w:szCs w:val="28"/>
          <w:rtl/>
        </w:rPr>
        <w:t xml:space="preserve">۴. تهران؛ ملی؛ شماره نسخه: ۱۸۸۲۸</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۱۹۹گ،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سم [رایانه]</w:t>
      </w:r>
    </w:p>
    <w:p>
      <w:pPr>
        <w:pStyle w:val="BookText"/>
      </w:pPr>
      <w:r>
        <w:rPr>
          <w:rFonts w:ascii="IRNazanin" w:hAnsi="IRNazanin" w:eastAsia="IRNazanin" w:cs="IRNazanin"/>
          <w:lang w:bidi="fa-IR"/>
          <w:color w:val="111111"/>
          <w:sz w:val="28"/>
          <w:szCs w:val="28"/>
          <w:rtl/>
        </w:rPr>
        <w:t xml:space="preserve">۵. تهران؛ ملی؛ شماره نسخه: ۱۸۹۸۷</w:t>
      </w:r>
    </w:p>
    <w:p>
      <w:pPr>
        <w:pStyle w:val="BookText"/>
      </w:pPr>
      <w:r>
        <w:rPr>
          <w:rFonts w:ascii="IRNazanin" w:hAnsi="IRNazanin" w:eastAsia="IRNazanin" w:cs="IRNazanin"/>
          <w:lang w:bidi="fa-IR"/>
          <w:color w:val="111111"/>
          <w:sz w:val="28"/>
          <w:szCs w:val="28"/>
          <w:rtl/>
        </w:rPr>
        <w:t xml:space="preserve">در بیماریها و درمان به نظم و نثر؛ بی کا، بی تا؛ انتقالی از کتابخانه پهلوی - مجموعه نوازی؛ ۷۷گ، اندازه: ۱۸/۱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۱۱/۸ سم [رایانه]</w:t>
      </w:r>
    </w:p>
    <w:p>
      <w:pPr>
        <w:pStyle w:val="BookText"/>
      </w:pPr>
      <w:r>
        <w:rPr>
          <w:rFonts w:ascii="IRNazanin" w:hAnsi="IRNazanin" w:eastAsia="IRNazanin" w:cs="IRNazanin"/>
          <w:lang w:bidi="fa-IR"/>
          <w:color w:val="111111"/>
          <w:sz w:val="28"/>
          <w:szCs w:val="28"/>
          <w:rtl/>
        </w:rPr>
        <w:t xml:space="preserve">۶. تهران؛ ملی؛ شماره نسخه: ۱۸۸۸۸</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۱۰۰گ، اندازه: ۲۴/۱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۱۸/۸</w:t>
      </w:r>
    </w:p>
    <w:p>
      <w:pPr>
        <w:pStyle w:val="BookText"/>
      </w:pPr>
      <w:r>
        <w:rPr>
          <w:rFonts w:ascii="IRNazanin" w:hAnsi="IRNazanin" w:eastAsia="IRNazanin" w:cs="IRNazanin"/>
          <w:lang w:bidi="fa-IR"/>
          <w:color w:val="111111"/>
          <w:sz w:val="28"/>
          <w:szCs w:val="28"/>
          <w:rtl/>
        </w:rPr>
        <w:t xml:space="preserve">سم [رایانه]</w:t>
      </w:r>
    </w:p>
    <w:p>
      <w:pPr>
        <w:pStyle w:val="BookText"/>
      </w:pPr>
      <w:r>
        <w:rPr>
          <w:rFonts w:ascii="IRNazanin" w:hAnsi="IRNazanin" w:eastAsia="IRNazanin" w:cs="IRNazanin"/>
          <w:lang w:bidi="fa-IR"/>
          <w:color w:val="111111"/>
          <w:sz w:val="28"/>
          <w:szCs w:val="28"/>
          <w:rtl/>
        </w:rPr>
        <w:t xml:space="preserve">۷. تهران: ملی؛ شماره نسخه: ۱۸۰۸۵</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سم [رایانه]</w:t>
      </w:r>
    </w:p>
    <w:p>
      <w:pPr>
        <w:pStyle w:val="BookText"/>
      </w:pPr>
      <w:r>
        <w:rPr>
          <w:rFonts w:ascii="IRNazanin" w:hAnsi="IRNazanin" w:eastAsia="IRNazanin" w:cs="IRNazanin"/>
          <w:lang w:bidi="fa-IR"/>
          <w:color w:val="111111"/>
          <w:sz w:val="28"/>
          <w:szCs w:val="28"/>
          <w:rtl/>
        </w:rPr>
        <w:t xml:space="preserve">۸. تهران؛ ملی؛ شماره نسخه: ۱۸۸۶۶</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۲۴گ، اندازه: ۲۰/۷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۱۳/۲</w:t>
      </w:r>
    </w:p>
    <w:p>
      <w:pPr>
        <w:pStyle w:val="BookText"/>
      </w:pPr>
      <w:r>
        <w:rPr>
          <w:rFonts w:ascii="IRNazanin" w:hAnsi="IRNazanin" w:eastAsia="IRNazanin" w:cs="IRNazanin"/>
          <w:lang w:bidi="fa-IR"/>
          <w:color w:val="111111"/>
          <w:sz w:val="28"/>
          <w:szCs w:val="28"/>
          <w:rtl/>
        </w:rPr>
        <w:t xml:space="preserve">سم [رایانه]</w:t>
      </w:r>
    </w:p>
    <w:p>
      <w:pPr>
        <w:pStyle w:val="Heading3"/>
      </w:pPr>
      <w:bookmarkStart w:id="1465" w:name="_Toc725"/>
      <w:r>
        <w:t>•بیماریها و علاج آن / طب / فارسی</w:t>
      </w:r>
      <w:bookmarkEnd w:id="1465"/>
    </w:p>
    <w:p>
      <w:pPr>
        <w:pStyle w:val="BookText"/>
      </w:pPr>
      <w:r>
        <w:rPr>
          <w:rFonts w:ascii="Times New Roman" w:hAnsi="Times New Roman" w:eastAsia="Times New Roman" w:cs="Times New Roman"/>
          <w:lang w:val="en-US" w:bidi="en-US"/>
          <w:color w:val="111111"/>
          <w:sz w:val="28"/>
          <w:szCs w:val="28"/>
          <w:rtl/>
        </w:rPr>
        <w:t xml:space="preserve">bīmārī-hā va ‘alāj-e ān</w:t>
      </w:r>
    </w:p>
    <w:p>
      <w:pPr>
        <w:pStyle w:val="BookText"/>
      </w:pPr>
      <w:r>
        <w:rPr>
          <w:rFonts w:ascii="IRNazanin" w:hAnsi="IRNazanin" w:eastAsia="IRNazanin" w:cs="IRNazanin"/>
          <w:lang w:bidi="fa-IR"/>
          <w:color w:val="111111"/>
          <w:sz w:val="28"/>
          <w:szCs w:val="28"/>
          <w:rtl/>
        </w:rPr>
        <w:t xml:space="preserve">نفیسی، علی اکبر بن محمد حسن، ۱۲۶۳-۱۳۴۳ قمری</w:t>
      </w:r>
    </w:p>
    <w:p>
      <w:pPr>
        <w:pStyle w:val="BookText"/>
      </w:pPr>
      <w:r>
        <w:rPr>
          <w:rFonts w:ascii="Times New Roman" w:hAnsi="Times New Roman" w:eastAsia="Times New Roman" w:cs="Times New Roman"/>
          <w:lang w:val="en-US" w:bidi="en-US"/>
          <w:color w:val="111111"/>
          <w:sz w:val="28"/>
          <w:szCs w:val="28"/>
          <w:rtl/>
        </w:rPr>
        <w:t xml:space="preserve">nafīsī, ‘alī akbar ebn-e mohammad hasan (1847-1925)</w:t>
      </w:r>
    </w:p>
    <w:p>
      <w:pPr>
        <w:pStyle w:val="BookText"/>
      </w:pPr>
      <w:r>
        <w:rPr>
          <w:rFonts w:ascii="IRNazanin" w:hAnsi="IRNazanin" w:eastAsia="IRNazanin" w:cs="IRNazanin"/>
          <w:lang w:bidi="fa-IR"/>
          <w:color w:val="111111"/>
          <w:sz w:val="28"/>
          <w:szCs w:val="28"/>
          <w:rtl/>
        </w:rPr>
        <w:t xml:space="preserve">تهران؛ ملی؛ شماره نسخه: ۱۸۴۲۳</w:t>
      </w:r>
    </w:p>
    <w:p>
      <w:pPr>
        <w:pStyle w:val="BookText"/>
      </w:pPr>
      <w:r>
        <w:rPr>
          <w:rFonts w:ascii="IRNazanin" w:hAnsi="IRNazanin" w:eastAsia="IRNazanin" w:cs="IRNazanin"/>
          <w:lang w:bidi="fa-IR"/>
          <w:color w:val="111111"/>
          <w:sz w:val="28"/>
          <w:szCs w:val="28"/>
          <w:rtl/>
        </w:rPr>
        <w:t xml:space="preserve">کاتب = مؤلف، تا: ۱۳۰۷ق؛ انتقالی از کتابخانه پهلوی مجموعه نوازی؛ ۳۴۹گ، اندازه: ۱۷دسم [رایانه]</w:t>
      </w:r>
    </w:p>
    <w:p>
      <w:pPr>
        <w:pStyle w:val="Heading3"/>
      </w:pPr>
      <w:bookmarkStart w:id="1466" w:name="_Toc726"/>
      <w:r>
        <w:t>•بیماریهای پرندگان / حيوان شناسی / فارسی</w:t>
      </w:r>
      <w:bookmarkEnd w:id="1466"/>
    </w:p>
    <w:p>
      <w:pPr>
        <w:pStyle w:val="BookText"/>
      </w:pPr>
      <w:r>
        <w:rPr>
          <w:rFonts w:ascii="Times New Roman" w:hAnsi="Times New Roman" w:eastAsia="Times New Roman" w:cs="Times New Roman"/>
          <w:lang w:val="en-US" w:bidi="en-US"/>
          <w:color w:val="111111"/>
          <w:sz w:val="28"/>
          <w:szCs w:val="28"/>
          <w:rtl/>
        </w:rPr>
        <w:t xml:space="preserve">bīmārī-hā-ye parandegān</w:t>
      </w:r>
    </w:p>
    <w:p>
      <w:pPr>
        <w:pStyle w:val="BookText"/>
      </w:pPr>
      <w:r>
        <w:rPr>
          <w:rFonts w:ascii="IRNazanin" w:hAnsi="IRNazanin" w:eastAsia="IRNazanin" w:cs="IRNazanin"/>
          <w:lang w:bidi="fa-IR"/>
          <w:color w:val="111111"/>
          <w:sz w:val="28"/>
          <w:szCs w:val="28"/>
          <w:rtl/>
        </w:rPr>
        <w:t xml:space="preserve">[فهرستواره منزوی ۳۷۹۴/۵ با عنوان «بازنامه» ]</w:t>
      </w:r>
    </w:p>
    <w:p>
      <w:pPr>
        <w:pStyle w:val="BookText"/>
      </w:pPr>
      <w:r>
        <w:rPr>
          <w:rFonts w:ascii="IRNazanin" w:hAnsi="IRNazanin" w:eastAsia="IRNazanin" w:cs="IRNazanin"/>
          <w:lang w:bidi="fa-IR"/>
          <w:color w:val="111111"/>
          <w:sz w:val="28"/>
          <w:szCs w:val="28"/>
          <w:rtl/>
        </w:rPr>
        <w:t xml:space="preserve">قم؛ فیضیه؛ شماره نسخه: ۱۷۶۰/۲</w:t>
      </w:r>
    </w:p>
    <w:p>
      <w:pPr>
        <w:pStyle w:val="BookText"/>
      </w:pPr>
      <w:r>
        <w:rPr>
          <w:rFonts w:ascii="IRNazanin" w:hAnsi="IRNazanin" w:eastAsia="IRNazanin" w:cs="IRNazanin"/>
          <w:lang w:bidi="fa-IR"/>
          <w:color w:val="111111"/>
          <w:sz w:val="28"/>
          <w:szCs w:val="28"/>
          <w:rtl/>
        </w:rPr>
        <w:t xml:space="preserve">آغاز: پوشیده نماند که علمای این صنعت و فضلای این علم بسیار قلیلند خط: نستعلیق، بی کا، بی تا؛ وگ (۷۸-۸۶)،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۱۲۹-۳ ]</w:t>
      </w:r>
    </w:p>
    <w:p>
      <w:pPr>
        <w:pStyle w:val="BookText"/>
      </w:pPr>
      <w:r>
        <w:rPr>
          <w:rFonts w:ascii="IRNazanin" w:hAnsi="IRNazanin" w:eastAsia="IRNazanin" w:cs="IRNazanin"/>
          <w:lang w:bidi="fa-IR"/>
          <w:color w:val="111111"/>
          <w:sz w:val="28"/>
          <w:szCs w:val="28"/>
          <w:rtl/>
        </w:rPr>
        <w:t xml:space="preserve">←بیماریهای چشم و درمان آنها ← امراض چشم</w:t>
      </w:r>
    </w:p>
    <w:p>
      <w:pPr>
        <w:pStyle w:val="Heading3"/>
      </w:pPr>
      <w:bookmarkStart w:id="1467" w:name="_Toc727"/>
      <w:r>
        <w:t>•بیماریهای چشم و درمان آنها / طب / فارسی</w:t>
      </w:r>
      <w:bookmarkEnd w:id="1467"/>
    </w:p>
    <w:p>
      <w:pPr>
        <w:pStyle w:val="BookText"/>
      </w:pPr>
      <w:r>
        <w:rPr>
          <w:rFonts w:ascii="Times New Roman" w:hAnsi="Times New Roman" w:eastAsia="Times New Roman" w:cs="Times New Roman"/>
          <w:lang w:val="en-US" w:bidi="en-US"/>
          <w:color w:val="111111"/>
          <w:sz w:val="28"/>
          <w:szCs w:val="28"/>
          <w:rtl/>
        </w:rPr>
        <w:t xml:space="preserve">bīmārī-hā-ye češm va darmān-e ānhā</w:t>
      </w:r>
    </w:p>
    <w:p>
      <w:pPr>
        <w:pStyle w:val="BookText"/>
      </w:pPr>
      <w:r>
        <w:rPr>
          <w:rFonts w:ascii="IRNazanin" w:hAnsi="IRNazanin" w:eastAsia="IRNazanin" w:cs="IRNazanin"/>
          <w:lang w:bidi="fa-IR"/>
          <w:color w:val="111111"/>
          <w:sz w:val="28"/>
          <w:szCs w:val="28"/>
          <w:rtl/>
        </w:rPr>
        <w:t xml:space="preserve">شاید از مقاله نهم «نور العيون» یا از «الأغراض» یا «ذخیره» گرفته شده باشد.</w:t>
      </w:r>
    </w:p>
    <w:p>
      <w:pPr>
        <w:pStyle w:val="BookText"/>
      </w:pPr>
      <w:r>
        <w:rPr>
          <w:rFonts w:ascii="IRNazanin" w:hAnsi="IRNazanin" w:eastAsia="IRNazanin" w:cs="IRNazanin"/>
          <w:lang w:bidi="fa-IR"/>
          <w:color w:val="111111"/>
          <w:sz w:val="28"/>
          <w:szCs w:val="28"/>
          <w:rtl/>
        </w:rPr>
        <w:t xml:space="preserve">تهران؛ علوم پزشکی؛ شماره نسخه: ۲۵۰/۶</w:t>
      </w:r>
    </w:p>
    <w:p>
      <w:pPr>
        <w:pStyle w:val="BookText"/>
      </w:pPr>
      <w:r>
        <w:rPr>
          <w:rFonts w:ascii="IRNazanin" w:hAnsi="IRNazanin" w:eastAsia="IRNazanin" w:cs="IRNazanin"/>
          <w:lang w:bidi="fa-IR"/>
          <w:color w:val="111111"/>
          <w:sz w:val="28"/>
          <w:szCs w:val="28"/>
          <w:rtl/>
        </w:rPr>
        <w:t xml:space="preserve">بی کا، تا: قرن ۱۲ و ۱۳؛ ۱۶ص (۳۶۵-۳۸۰) [نشریه: ۳-۳۳۹]</w:t>
      </w:r>
    </w:p>
    <w:p>
      <w:pPr>
        <w:pStyle w:val="BookText"/>
      </w:pPr>
      <w:r>
        <w:rPr>
          <w:rFonts w:ascii="IRNazanin" w:hAnsi="IRNazanin" w:eastAsia="IRNazanin" w:cs="IRNazanin"/>
          <w:lang w:bidi="fa-IR"/>
          <w:color w:val="111111"/>
          <w:sz w:val="28"/>
          <w:szCs w:val="28"/>
          <w:rtl/>
        </w:rPr>
        <w:t xml:space="preserve">← بیماریهای زنان ← امراض نساء</w:t>
      </w:r>
    </w:p>
    <w:p>
      <w:pPr>
        <w:pStyle w:val="Heading3"/>
      </w:pPr>
      <w:bookmarkStart w:id="1468" w:name="_Toc728"/>
      <w:r>
        <w:t>•بیماریهای سینه و شکم / طب / فارسی</w:t>
      </w:r>
      <w:bookmarkEnd w:id="1468"/>
    </w:p>
    <w:p>
      <w:pPr>
        <w:pStyle w:val="BookText"/>
      </w:pPr>
      <w:r>
        <w:rPr>
          <w:rFonts w:ascii="Times New Roman" w:hAnsi="Times New Roman" w:eastAsia="Times New Roman" w:cs="Times New Roman"/>
          <w:lang w:val="en-US" w:bidi="en-US"/>
          <w:color w:val="111111"/>
          <w:sz w:val="28"/>
          <w:szCs w:val="28"/>
          <w:rtl/>
        </w:rPr>
        <w:t xml:space="preserve">bīmārī-hā-ye sīne va šekam</w:t>
      </w:r>
    </w:p>
    <w:p>
      <w:pPr>
        <w:pStyle w:val="BookText"/>
      </w:pPr>
      <w:r>
        <w:rPr>
          <w:rFonts w:ascii="IRNazanin" w:hAnsi="IRNazanin" w:eastAsia="IRNazanin" w:cs="IRNazanin"/>
          <w:lang w:bidi="fa-IR"/>
          <w:color w:val="111111"/>
          <w:sz w:val="28"/>
          <w:szCs w:val="28"/>
          <w:rtl/>
        </w:rPr>
        <w:t xml:space="preserve">گویا از کتاب های شاگردان دارالفنون باشد در بیماری های سینه و شکم و کیفیت علاج آنها را بنابر قواعد پزشکی جدید؛ در دو «مقاله» دارای فصول: مقاله اول: در اجزاء قواعد در انسان صحيح؛ مقاله دوم: در بیان اجزاء عمل اسكل.</w:t>
      </w:r>
    </w:p>
    <w:p>
      <w:pPr>
        <w:pStyle w:val="BookText"/>
      </w:pPr>
      <w:r>
        <w:rPr>
          <w:rFonts w:ascii="IRNazanin" w:hAnsi="IRNazanin" w:eastAsia="IRNazanin" w:cs="IRNazanin"/>
          <w:lang w:bidi="fa-IR"/>
          <w:color w:val="111111"/>
          <w:sz w:val="28"/>
          <w:szCs w:val="28"/>
          <w:rtl/>
        </w:rPr>
        <w:t xml:space="preserve">آغاز: الحمدلله رب العالمين ..اما بعد این رساله ایست در بیان قواعد جدید که اهل فرنگستان در امراض صدری و بطنی اختراع نموده اند انجام: و به چه وضع در رحم قرار دارد و به چه طریق متولد خواهد شد</w:t>
      </w:r>
    </w:p>
    <w:p>
      <w:pPr>
        <w:pStyle w:val="BookText"/>
      </w:pPr>
      <w:r>
        <w:rPr>
          <w:rFonts w:ascii="IRNazanin" w:hAnsi="IRNazanin" w:eastAsia="IRNazanin" w:cs="IRNazanin"/>
          <w:lang w:bidi="fa-IR"/>
          <w:color w:val="111111"/>
          <w:sz w:val="28"/>
          <w:szCs w:val="28"/>
          <w:rtl/>
        </w:rPr>
        <w:t xml:space="preserve">[دنا ۶۱۱/۲ ؛ فهرستواره منزوی ۳۳۲۵/۵ ]</w:t>
      </w:r>
    </w:p>
    <w:p>
      <w:pPr>
        <w:pStyle w:val="BookText"/>
      </w:pPr>
      <w:r>
        <w:rPr>
          <w:rFonts w:ascii="IRNazanin" w:hAnsi="IRNazanin" w:eastAsia="IRNazanin" w:cs="IRNazanin"/>
          <w:lang w:bidi="fa-IR"/>
          <w:color w:val="111111"/>
          <w:sz w:val="28"/>
          <w:szCs w:val="28"/>
          <w:rtl/>
        </w:rPr>
        <w:t xml:space="preserve">قم؛ مرعشی؛ شماره نسخه: ۳/۱۰۱۸۰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بی کا، تا: اوایل قرن ۱۴؛ جلد: تیماج قرمز بدون مقوا، اگ(۱۱۵پ - ۱۲۱ر)، اندازه:۱۳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سم [ف: ۲۶-۱۴۴]</w:t>
      </w:r>
    </w:p>
    <w:p>
      <w:pPr>
        <w:pStyle w:val="Heading3"/>
      </w:pPr>
      <w:bookmarkStart w:id="1469" w:name="_Toc729"/>
      <w:r>
        <w:t>•بیماری های گوش و گلو و بینی / طب / فارسی</w:t>
      </w:r>
      <w:bookmarkEnd w:id="1469"/>
    </w:p>
    <w:p>
      <w:pPr>
        <w:pStyle w:val="BookText"/>
      </w:pPr>
      <w:r>
        <w:rPr>
          <w:rFonts w:ascii="Times New Roman" w:hAnsi="Times New Roman" w:eastAsia="Times New Roman" w:cs="Times New Roman"/>
          <w:lang w:val="en-US" w:bidi="en-US"/>
          <w:color w:val="111111"/>
          <w:sz w:val="28"/>
          <w:szCs w:val="28"/>
          <w:rtl/>
        </w:rPr>
        <w:t xml:space="preserve">bīmārī-hā-ye gūš va galū va bīnī</w:t>
      </w:r>
    </w:p>
    <w:p>
      <w:pPr>
        <w:pStyle w:val="BookText"/>
      </w:pPr>
      <w:r>
        <w:rPr>
          <w:rFonts w:ascii="IRNazanin" w:hAnsi="IRNazanin" w:eastAsia="IRNazanin" w:cs="IRNazanin"/>
          <w:lang w:bidi="fa-IR"/>
          <w:color w:val="111111"/>
          <w:sz w:val="28"/>
          <w:szCs w:val="28"/>
          <w:rtl/>
        </w:rPr>
        <w:t xml:space="preserve">١. مشهد؛ رضوی؛ شماره نسخه: ۱۱۹۳۰</w:t>
      </w:r>
    </w:p>
    <w:p>
      <w:pPr>
        <w:pStyle w:val="BookText"/>
      </w:pPr>
      <w:r>
        <w:rPr>
          <w:rFonts w:ascii="IRNazanin" w:hAnsi="IRNazanin" w:eastAsia="IRNazanin" w:cs="IRNazanin"/>
          <w:lang w:bidi="fa-IR"/>
          <w:color w:val="111111"/>
          <w:sz w:val="28"/>
          <w:szCs w:val="28"/>
          <w:rtl/>
        </w:rPr>
        <w:t xml:space="preserve">آغاز: بینی عضو مهمی است در مرض شناسی؛ انجام: (لاتین) جزوات درسی؛ خط: نستعلیق تحریری، کا: مریم میر هادی، بی تاب کاغذ: فرنگی، جلد: میشن ضربی، ۱۵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۹سم [الفبائی: ۹۴]</w:t>
      </w:r>
    </w:p>
    <w:p>
      <w:pPr>
        <w:pStyle w:val="BookText"/>
      </w:pPr>
      <w:r>
        <w:rPr>
          <w:rFonts w:ascii="IRNazanin" w:hAnsi="IRNazanin" w:eastAsia="IRNazanin" w:cs="IRNazanin"/>
          <w:lang w:bidi="fa-IR"/>
          <w:color w:val="111111"/>
          <w:sz w:val="28"/>
          <w:szCs w:val="28"/>
          <w:rtl/>
        </w:rPr>
        <w:t xml:space="preserve">۲. مشهد؛ رضوی؛ شماره نسخه: ۱۱۹۳۲</w:t>
      </w:r>
    </w:p>
    <w:p>
      <w:pPr>
        <w:pStyle w:val="BookText"/>
      </w:pPr>
      <w:r>
        <w:rPr>
          <w:rFonts w:ascii="IRNazanin" w:hAnsi="IRNazanin" w:eastAsia="IRNazanin" w:cs="IRNazanin"/>
          <w:lang w:bidi="fa-IR"/>
          <w:color w:val="111111"/>
          <w:sz w:val="28"/>
          <w:szCs w:val="28"/>
          <w:rtl/>
        </w:rPr>
        <w:t xml:space="preserve">آغاز: گلو یا حلق، حنجره، لوزتين؛ انجام: اگر تو مر روی ... باشد جزوات درسی؛ خط: نستعلیق تحریری، کا: مریم میر هادی، بی تاب کاغذ: فرنگی، جلد: مقوا، ۱۸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37" w:name="pg20363_209492"/>
    <w:bookmarkEnd w:id="237"/>
    <w:p>
      <w:pPr>
        <w:pStyle w:val="BookText"/>
      </w:pPr>
      <w:r>
        <w:rPr>
          <w:rFonts w:ascii="IRNazanin" w:hAnsi="IRNazanin" w:eastAsia="IRNazanin" w:cs="IRNazanin"/>
          <w:lang w:bidi="fa-IR"/>
          <w:color w:val="111111"/>
          <w:sz w:val="28"/>
          <w:szCs w:val="28"/>
          <w:rtl/>
        </w:rPr>
        <w:t xml:space="preserve">[الفبائی: ۹۴]</w:t>
      </w:r>
    </w:p>
    <w:p>
      <w:pPr>
        <w:pStyle w:val="Heading3"/>
      </w:pPr>
      <w:bookmarkStart w:id="1470" w:name="_Toc730"/>
      <w:r>
        <w:t>•بیماریهای مفاصل و درمان آنها / طب / فارسی</w:t>
      </w:r>
      <w:bookmarkEnd w:id="1470"/>
    </w:p>
    <w:p>
      <w:pPr>
        <w:pStyle w:val="BookText"/>
      </w:pPr>
      <w:r>
        <w:rPr>
          <w:rFonts w:ascii="Times New Roman" w:hAnsi="Times New Roman" w:eastAsia="Times New Roman" w:cs="Times New Roman"/>
          <w:lang w:val="en-US" w:bidi="en-US"/>
          <w:color w:val="111111"/>
          <w:sz w:val="28"/>
          <w:szCs w:val="28"/>
          <w:rtl/>
        </w:rPr>
        <w:t xml:space="preserve">bīmārī-hā-ye mafāsel va darmān-e ānhā</w:t>
      </w:r>
    </w:p>
    <w:p>
      <w:pPr>
        <w:pStyle w:val="BookText"/>
      </w:pPr>
      <w:r>
        <w:rPr>
          <w:rFonts w:ascii="IRNazanin" w:hAnsi="IRNazanin" w:eastAsia="IRNazanin" w:cs="IRNazanin"/>
          <w:lang w:bidi="fa-IR"/>
          <w:color w:val="111111"/>
          <w:sz w:val="28"/>
          <w:szCs w:val="28"/>
          <w:rtl/>
        </w:rPr>
        <w:t xml:space="preserve">تهران، دانشگاه؛ شماره نسخه: ۳۳۳۷/۱۰</w:t>
      </w:r>
    </w:p>
    <w:p>
      <w:pPr>
        <w:pStyle w:val="BookText"/>
      </w:pPr>
      <w:r>
        <w:rPr>
          <w:rFonts w:ascii="IRNazanin" w:hAnsi="IRNazanin" w:eastAsia="IRNazanin" w:cs="IRNazanin"/>
          <w:lang w:bidi="fa-IR"/>
          <w:color w:val="111111"/>
          <w:sz w:val="28"/>
          <w:szCs w:val="28"/>
          <w:rtl/>
        </w:rPr>
        <w:t xml:space="preserve">آغاز: اضمده اوجاع مفاصل حلبه در سرکه و عسل بجوشانند تا مهرا شود.؛ انجام: بر آن ورم مینهند یا می مالند نافع آید. خط: نستعلیق، بی کا، بی تا، کاغذ: سپاهانی، جلد: تیماج مشکی، ۵گ (۱۸۴-۱۸۸)، ۲۷ سطر (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۲۳۲۲-۱۱]</w:t>
      </w:r>
    </w:p>
    <w:p>
      <w:pPr>
        <w:pStyle w:val="Heading3"/>
      </w:pPr>
      <w:bookmarkStart w:id="1471" w:name="_Toc731"/>
      <w:r>
        <w:t>•بیم و امید / کلام و اعتقادات / فارسی</w:t>
      </w:r>
      <w:bookmarkEnd w:id="1471"/>
    </w:p>
    <w:p>
      <w:pPr>
        <w:pStyle w:val="BookText"/>
      </w:pPr>
      <w:r>
        <w:rPr>
          <w:rFonts w:ascii="Times New Roman" w:hAnsi="Times New Roman" w:eastAsia="Times New Roman" w:cs="Times New Roman"/>
          <w:lang w:val="en-US" w:bidi="en-US"/>
          <w:color w:val="111111"/>
          <w:sz w:val="28"/>
          <w:szCs w:val="28"/>
          <w:rtl/>
        </w:rPr>
        <w:t xml:space="preserve">bīm va omīd</w:t>
      </w:r>
    </w:p>
    <w:p>
      <w:pPr>
        <w:pStyle w:val="BookText"/>
      </w:pPr>
      <w:r>
        <w:rPr>
          <w:rFonts w:ascii="IRNazanin" w:hAnsi="IRNazanin" w:eastAsia="IRNazanin" w:cs="IRNazanin"/>
          <w:lang w:bidi="fa-IR"/>
          <w:color w:val="111111"/>
          <w:sz w:val="28"/>
          <w:szCs w:val="28"/>
          <w:rtl/>
        </w:rPr>
        <w:t xml:space="preserve">شهابی، محمود، ۱۲۸۲-۱۳۶۵ شمسی</w:t>
      </w:r>
    </w:p>
    <w:p>
      <w:pPr>
        <w:pStyle w:val="BookText"/>
      </w:pPr>
      <w:r>
        <w:rPr>
          <w:rFonts w:ascii="Times New Roman" w:hAnsi="Times New Roman" w:eastAsia="Times New Roman" w:cs="Times New Roman"/>
          <w:lang w:val="en-US" w:bidi="en-US"/>
          <w:color w:val="111111"/>
          <w:sz w:val="28"/>
          <w:szCs w:val="28"/>
          <w:rtl/>
        </w:rPr>
        <w:t xml:space="preserve">šahābī, mahmūd (1903-1986)</w:t>
      </w:r>
    </w:p>
    <w:p>
      <w:pPr>
        <w:pStyle w:val="BookText"/>
      </w:pPr>
      <w:r>
        <w:rPr>
          <w:rFonts w:ascii="IRNazanin" w:hAnsi="IRNazanin" w:eastAsia="IRNazanin" w:cs="IRNazanin"/>
          <w:lang w:bidi="fa-IR"/>
          <w:color w:val="111111"/>
          <w:sz w:val="28"/>
          <w:szCs w:val="28"/>
          <w:rtl/>
        </w:rPr>
        <w:t xml:space="preserve">۱. تهران: ملی؛ شماره نسخه: ۲۵۴۴۴</w:t>
      </w:r>
    </w:p>
    <w:p>
      <w:pPr>
        <w:pStyle w:val="BookText"/>
      </w:pPr>
      <w:r>
        <w:rPr>
          <w:rFonts w:ascii="IRNazanin" w:hAnsi="IRNazanin" w:eastAsia="IRNazanin" w:cs="IRNazanin"/>
          <w:lang w:bidi="fa-IR"/>
          <w:color w:val="111111"/>
          <w:sz w:val="28"/>
          <w:szCs w:val="28"/>
          <w:rtl/>
        </w:rPr>
        <w:t xml:space="preserve">نوشته های پراکنده (۱۷)؛ كاتب = مؤلف، بی تا، خریداری از کیومرث محمودی [رایانه ]</w:t>
      </w:r>
    </w:p>
    <w:p>
      <w:pPr>
        <w:pStyle w:val="BookText"/>
      </w:pPr>
      <w:r>
        <w:rPr>
          <w:rFonts w:ascii="IRNazanin" w:hAnsi="IRNazanin" w:eastAsia="IRNazanin" w:cs="IRNazanin"/>
          <w:lang w:bidi="fa-IR"/>
          <w:color w:val="111111"/>
          <w:sz w:val="28"/>
          <w:szCs w:val="28"/>
          <w:rtl/>
        </w:rPr>
        <w:t xml:space="preserve">۲. تهران؛ ملی؛ شماره نسخه: ۲۵۴۴۳</w:t>
      </w:r>
    </w:p>
    <w:p>
      <w:pPr>
        <w:pStyle w:val="BookText"/>
      </w:pPr>
      <w:r>
        <w:rPr>
          <w:rFonts w:ascii="IRNazanin" w:hAnsi="IRNazanin" w:eastAsia="IRNazanin" w:cs="IRNazanin"/>
          <w:lang w:bidi="fa-IR"/>
          <w:color w:val="111111"/>
          <w:sz w:val="28"/>
          <w:szCs w:val="28"/>
          <w:rtl/>
        </w:rPr>
        <w:t xml:space="preserve">رساله بیم و امید؛ کاتب = مؤلف، بی تا، خریداری از کیومرث محمودی [رایانه]</w:t>
      </w:r>
    </w:p>
    <w:p>
      <w:pPr>
        <w:pStyle w:val="BookText"/>
      </w:pPr>
      <w:r>
        <w:rPr>
          <w:rFonts w:ascii="Amiri" w:hAnsi="Amiri" w:eastAsia="Amiri" w:cs="Amiri"/>
          <w:lang w:bidi="ar-SA"/>
          <w:color w:val="111111"/>
          <w:sz w:val="28"/>
          <w:szCs w:val="28"/>
          <w:rtl/>
        </w:rPr>
        <w:t xml:space="preserve">←البينات في تحرير المواريث← التبيينيات في الارث و التوريثات</w:t>
      </w:r>
    </w:p>
    <w:p>
      <w:pPr>
        <w:pStyle w:val="BookText"/>
      </w:pPr>
      <w:r>
        <w:rPr>
          <w:rFonts w:ascii="Amiri" w:hAnsi="Amiri" w:eastAsia="Amiri" w:cs="Amiri"/>
          <w:lang w:bidi="ar-SA"/>
          <w:color w:val="111111"/>
          <w:sz w:val="28"/>
          <w:szCs w:val="28"/>
          <w:rtl/>
        </w:rPr>
        <w:t xml:space="preserve">←البينات في علم المواريث ←التبينيات في الارث و التوريثات</w:t>
      </w:r>
    </w:p>
    <w:p>
      <w:pPr>
        <w:pStyle w:val="Heading3"/>
      </w:pPr>
      <w:bookmarkStart w:id="1472" w:name="_Toc732"/>
      <w:r>
        <w:t>•بین السیدین / فقه / عربی</w:t>
      </w:r>
      <w:bookmarkEnd w:id="1472"/>
    </w:p>
    <w:p>
      <w:pPr>
        <w:pStyle w:val="BookText"/>
      </w:pPr>
      <w:r>
        <w:rPr>
          <w:rFonts w:ascii="Times New Roman" w:hAnsi="Times New Roman" w:eastAsia="Times New Roman" w:cs="Times New Roman"/>
          <w:lang w:val="en-US" w:bidi="en-US"/>
          <w:color w:val="111111"/>
          <w:sz w:val="28"/>
          <w:szCs w:val="28"/>
          <w:rtl/>
        </w:rPr>
        <w:t xml:space="preserve">bayn-us sayyidayn</w:t>
      </w:r>
    </w:p>
    <w:p>
      <w:pPr>
        <w:pStyle w:val="BookText"/>
      </w:pPr>
      <w:r>
        <w:rPr>
          <w:rFonts w:ascii="IRNazanin" w:hAnsi="IRNazanin" w:eastAsia="IRNazanin" w:cs="IRNazanin"/>
          <w:lang w:bidi="fa-IR"/>
          <w:color w:val="111111"/>
          <w:sz w:val="28"/>
          <w:szCs w:val="28"/>
          <w:rtl/>
        </w:rPr>
        <w:t xml:space="preserve">زنجانی، احمد بن عنایت الله، ۱۳۰۸-۱۳۹۳ قمری</w:t>
      </w:r>
    </w:p>
    <w:p>
      <w:pPr>
        <w:pStyle w:val="BookText"/>
      </w:pPr>
      <w:r>
        <w:rPr>
          <w:rFonts w:ascii="Times New Roman" w:hAnsi="Times New Roman" w:eastAsia="Times New Roman" w:cs="Times New Roman"/>
          <w:lang w:val="en-US" w:bidi="en-US"/>
          <w:color w:val="111111"/>
          <w:sz w:val="28"/>
          <w:szCs w:val="28"/>
          <w:rtl/>
        </w:rPr>
        <w:t xml:space="preserve">zanjānī, ahmad ebn-e ‘enāyat-ol-lāh (1891-1973)</w:t>
      </w:r>
    </w:p>
    <w:p>
      <w:pPr>
        <w:pStyle w:val="BookText"/>
      </w:pPr>
      <w:r>
        <w:rPr>
          <w:rFonts w:ascii="IRNazanin" w:hAnsi="IRNazanin" w:eastAsia="IRNazanin" w:cs="IRNazanin"/>
          <w:lang w:bidi="fa-IR"/>
          <w:color w:val="111111"/>
          <w:sz w:val="28"/>
          <w:szCs w:val="28"/>
          <w:rtl/>
        </w:rPr>
        <w:t xml:space="preserve">کتابی است در نقل موارد اختلاف در نظر و فتوا میان دو فقیه مشهور مرحوم سید محمد کاظم یزدی در عروه و مرحوم سید ابوالحسن اصفهانی در حاشیه آن. مؤلف ضمن نقل دلایل طرفین، حق در مسأله به نظر خود بیان کرده است. کتاب در دو جزء است که هر دو در یک مجلد گذارده شده است. جزء نخست از آغاز تا پایان حج در آغاز رجب ۱۳۸۰ و جزء دوم تا پایان در عید قربان ۱۳۸۸ پایان یافته است.</w:t>
      </w:r>
    </w:p>
    <w:p>
      <w:pPr>
        <w:pStyle w:val="BookText"/>
      </w:pPr>
      <w:r>
        <w:rPr>
          <w:rFonts w:ascii="IRNazanin" w:hAnsi="IRNazanin" w:eastAsia="IRNazanin" w:cs="IRNazanin"/>
          <w:lang w:bidi="fa-IR"/>
          <w:color w:val="111111"/>
          <w:sz w:val="28"/>
          <w:szCs w:val="28"/>
          <w:rtl/>
        </w:rPr>
        <w:t xml:space="preserve">قم؛ زنجانی (آية الله)؛ شماره نسخه: ۱۳۰</w:t>
      </w:r>
    </w:p>
    <w:p>
      <w:pPr>
        <w:pStyle w:val="BookText"/>
      </w:pPr>
      <w:r>
        <w:rPr>
          <w:rFonts w:ascii="IRNazanin" w:hAnsi="IRNazanin" w:eastAsia="IRNazanin" w:cs="IRNazanin"/>
          <w:lang w:bidi="fa-IR"/>
          <w:color w:val="111111"/>
          <w:sz w:val="28"/>
          <w:szCs w:val="28"/>
          <w:rtl/>
        </w:rPr>
        <w:t xml:space="preserve">آغاز: بسمله. حمدله. و بعد لما كان كتاب العروة الوثقی کتابا شریفا و سفرا منيفا لم يعمل في الفقه مثله في الجامعية و سهولة العبارة الفه السيد السند العلامة التي انتهت اليه رئاسة الفرقة المحقة مولانا السيد محمد کاظم اليزدي اعلى الله مقامه لعمل مقلدیه به و حيث انه احسن تأليف لهذا الغرض استحسنه الفقهاء الذين صاروا مرجعا بعده و علقوا عليه حواشی فیما خالف انظاهم الشريفة نظره الشريف ليعمل به من يقلدهم مع مراعات الحواشی، و ممن علق</w:t>
      </w:r>
    </w:p>
    <w:p>
      <w:pPr>
        <w:pStyle w:val="BookText"/>
      </w:pPr>
      <w:r>
        <w:rPr>
          <w:rFonts w:ascii="IRNazanin" w:hAnsi="IRNazanin" w:eastAsia="IRNazanin" w:cs="IRNazanin"/>
          <w:lang w:bidi="fa-IR"/>
          <w:color w:val="111111"/>
          <w:sz w:val="28"/>
          <w:szCs w:val="28"/>
          <w:rtl/>
        </w:rPr>
        <w:t xml:space="preserve">عليه مولانا العلامة الذي انتهت اليه ايضا رئاسة الفرقة المحقة السيد ابو الحسن الأصفهانی قدس سره فاجبت أن اجمع موارد اختلاف) انظارهما في اوراق خاصة مشيرا الى دليل كل منهما مع بيان ما هو الحق في نظري القاصر لعله ينتفع به بعض طلبة العلم و لذا نقلت عبارتهما و لكن عبارة المتن نقلتها بالمعنى ملخصا لها مقتصرا على محال الحاجة منها و اما عبارة الحاشية نقلتها بعين العبارة التي برزت من قلمه الشريف فصار هذا هو ما بین یدیک آن شئت سمه بين السيدين ... الحمدلله على نعمه</w:t>
      </w:r>
    </w:p>
    <w:p>
      <w:pPr>
        <w:pStyle w:val="BookText"/>
      </w:pPr>
      <w:r>
        <w:rPr>
          <w:rFonts w:ascii="IRNazanin" w:hAnsi="IRNazanin" w:eastAsia="IRNazanin" w:cs="IRNazanin"/>
          <w:lang w:bidi="fa-IR"/>
          <w:color w:val="111111"/>
          <w:sz w:val="28"/>
          <w:szCs w:val="28"/>
          <w:rtl/>
        </w:rPr>
        <w:t xml:space="preserve">خط: نسخ، کاتب = مؤلف، بی تا؛ قطع: وزيري [ چند نسخه سف: ۲۴۴]</w:t>
      </w:r>
    </w:p>
    <w:p>
      <w:pPr>
        <w:pStyle w:val="Heading3"/>
      </w:pPr>
      <w:bookmarkStart w:id="1473" w:name="_Toc733"/>
      <w:r>
        <w:t>•بینش غرض آفرینش / كلام و اعتقادات / فارسی</w:t>
      </w:r>
      <w:bookmarkEnd w:id="1473"/>
    </w:p>
    <w:p>
      <w:pPr>
        <w:pStyle w:val="BookText"/>
      </w:pPr>
      <w:r>
        <w:rPr>
          <w:rFonts w:ascii="Times New Roman" w:hAnsi="Times New Roman" w:eastAsia="Times New Roman" w:cs="Times New Roman"/>
          <w:lang w:val="en-US" w:bidi="en-US"/>
          <w:color w:val="111111"/>
          <w:sz w:val="28"/>
          <w:szCs w:val="28"/>
          <w:rtl/>
        </w:rPr>
        <w:t xml:space="preserve">bīneš-e qaraz-e āfarīneš</w:t>
      </w:r>
    </w:p>
    <w:p>
      <w:pPr>
        <w:pStyle w:val="BookText"/>
      </w:pPr>
      <w:r>
        <w:rPr>
          <w:rFonts w:ascii="IRNazanin" w:hAnsi="IRNazanin" w:eastAsia="IRNazanin" w:cs="IRNazanin"/>
          <w:lang w:bidi="fa-IR"/>
          <w:color w:val="111111"/>
          <w:sz w:val="28"/>
          <w:szCs w:val="28"/>
          <w:rtl/>
        </w:rPr>
        <w:t xml:space="preserve">فاضل هندی، محمد بن حسن، ۱۰۶۲-۱۱۳۷ قمری</w:t>
      </w:r>
    </w:p>
    <w:p>
      <w:pPr>
        <w:pStyle w:val="BookText"/>
      </w:pPr>
      <w:r>
        <w:rPr>
          <w:rFonts w:ascii="Times New Roman" w:hAnsi="Times New Roman" w:eastAsia="Times New Roman" w:cs="Times New Roman"/>
          <w:lang w:val="en-US" w:bidi="en-US"/>
          <w:color w:val="111111"/>
          <w:sz w:val="28"/>
          <w:szCs w:val="28"/>
          <w:rtl/>
        </w:rPr>
        <w:t xml:space="preserve">fāzel-e hendī, mohammad ebn-e hasan (1652-1725)</w:t>
      </w:r>
    </w:p>
    <w:p>
      <w:pPr>
        <w:pStyle w:val="BookText"/>
      </w:pPr>
      <w:r>
        <w:rPr>
          <w:rFonts w:ascii="IRNazanin" w:hAnsi="IRNazanin" w:eastAsia="IRNazanin" w:cs="IRNazanin"/>
          <w:lang w:bidi="fa-IR"/>
          <w:color w:val="111111"/>
          <w:sz w:val="28"/>
          <w:szCs w:val="28"/>
          <w:rtl/>
        </w:rPr>
        <w:t xml:space="preserve">سند اهداء به: شاه سلطان حسین صفوی تاريخ تأليف: یک شنبه ۷ شعبان ۱۱۱۵ق رساله مختصری است به صورت «سئوال جواب»، در اصول اعتقادات مشتمل بر توحيد و مختصری در نبوت و معاد و امامت و نقض بر عامه. آغاز: حمد و سپاس بی قیاس حکیمی را سزاست که قطره ای از بحر وجودش مجموع کونین است و دو مصراع يک باب از قدرتش همگی نشأتين. انجام و چگونه حکم به اجماع بر مسأله می کنید با مخالفت ایشان و السلام علی من اتبع الهدی. چاپ: دو بار چاپ شده: نخست به کوشش سید جواد مدرس یزدی و بار دیگر از سوی رسول جعفریان به ضمیمه زندگینامه مؤلف به سال ۱۳۷۴ شمسی در اصفهان</w:t>
      </w:r>
    </w:p>
    <w:p>
      <w:pPr>
        <w:pStyle w:val="BookText"/>
      </w:pPr>
      <w:r>
        <w:rPr>
          <w:rFonts w:ascii="IRNazanin" w:hAnsi="IRNazanin" w:eastAsia="IRNazanin" w:cs="IRNazanin"/>
          <w:lang w:bidi="fa-IR"/>
          <w:color w:val="111111"/>
          <w:sz w:val="28"/>
          <w:szCs w:val="28"/>
          <w:rtl/>
        </w:rPr>
        <w:t xml:space="preserve">[دنا ۶۱۱/۲ ]</w:t>
      </w:r>
    </w:p>
    <w:p>
      <w:pPr>
        <w:pStyle w:val="BookText"/>
      </w:pPr>
      <w:r>
        <w:rPr>
          <w:rFonts w:ascii="IRNazanin" w:hAnsi="IRNazanin" w:eastAsia="IRNazanin" w:cs="IRNazanin"/>
          <w:lang w:bidi="fa-IR"/>
          <w:color w:val="111111"/>
          <w:sz w:val="28"/>
          <w:szCs w:val="28"/>
          <w:rtl/>
        </w:rPr>
        <w:t xml:space="preserve">١. مشهد؛ رضوی؛ شماره نسخه: ۴۹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هادی ابن محمد زمان گلپایگانی، تا: ۱۹ ذیحجة ۱۱۱۶ق؛ مجدول؛ واقف: نادرشاه افشار، ۱۱۴۵ق؛ کاغذ: شکری آهار مهره، جلد: تیماج عنابی یک لا، ۵۸گ، ۱۲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۱-۵۵]</w:t>
      </w:r>
    </w:p>
    <w:p>
      <w:pPr>
        <w:pStyle w:val="BookText"/>
      </w:pPr>
      <w:r>
        <w:rPr>
          <w:rFonts w:ascii="IRNazanin" w:hAnsi="IRNazanin" w:eastAsia="IRNazanin" w:cs="IRNazanin"/>
          <w:lang w:bidi="fa-IR"/>
          <w:color w:val="111111"/>
          <w:sz w:val="28"/>
          <w:szCs w:val="28"/>
          <w:rtl/>
        </w:rPr>
        <w:t xml:space="preserve">۲. یزد؛ مدرسی؛ شماره نسخه: بدون شماره۱</w:t>
      </w:r>
    </w:p>
    <w:p>
      <w:pPr>
        <w:pStyle w:val="BookText"/>
      </w:pPr>
      <w:r>
        <w:rPr>
          <w:rFonts w:ascii="IRNazanin" w:hAnsi="IRNazanin" w:eastAsia="IRNazanin" w:cs="IRNazanin"/>
          <w:lang w:bidi="fa-IR"/>
          <w:color w:val="111111"/>
          <w:sz w:val="28"/>
          <w:szCs w:val="28"/>
          <w:rtl/>
        </w:rPr>
        <w:t xml:space="preserve">آغاز: برابر؛ انجام: لعنة الله على من امتطى الجمل و غوی و اقتعد غارب الهوى.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38" w:name="pg20363_209493"/>
    <w:bookmarkEnd w:id="238"/>
    <w:p>
      <w:pPr>
        <w:pStyle w:val="BookText"/>
      </w:pPr>
      <w:r>
        <w:rPr>
          <w:rFonts w:ascii="IRNazanin" w:hAnsi="IRNazanin" w:eastAsia="IRNazanin" w:cs="IRNazanin"/>
          <w:lang w:bidi="fa-IR"/>
          <w:color w:val="111111"/>
          <w:sz w:val="28"/>
          <w:szCs w:val="28"/>
          <w:rtl/>
        </w:rPr>
        <w:t xml:space="preserve">خط شکسته نستعلیق، کا: محمد سامع ابن محمد نصیر، تا: ۶ ذیحجه ۱۱۳۶ق؛ جلد: تیماج تریاکی، ۱۵گ (۱۵۱)، ۲۱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قطع: بياضی،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سم (میراث اسلامی: ۸-۴۵۷]</w:t>
      </w:r>
    </w:p>
    <w:p>
      <w:pPr>
        <w:pStyle w:val="BookText"/>
      </w:pPr>
      <w:r>
        <w:rPr>
          <w:rFonts w:ascii="IRNazanin" w:hAnsi="IRNazanin" w:eastAsia="IRNazanin" w:cs="IRNazanin"/>
          <w:lang w:bidi="fa-IR"/>
          <w:color w:val="111111"/>
          <w:sz w:val="28"/>
          <w:szCs w:val="28"/>
          <w:rtl/>
        </w:rPr>
        <w:t xml:space="preserve">٣. قم؛ مرعشی؛ شماره نسخه: ۱۴۸۸۱/۵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۱۱۵۰ق، مجدول، مذهب؛ کاغذ:شرقی، ۲۶گ (۱۲۹ر-۱۵۴ر)، سطور چلیپا،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۳۷-۵۱۴]</w:t>
      </w:r>
    </w:p>
    <w:p>
      <w:pPr>
        <w:pStyle w:val="BookText"/>
      </w:pPr>
      <w:r>
        <w:rPr>
          <w:rFonts w:ascii="IRNazanin" w:hAnsi="IRNazanin" w:eastAsia="IRNazanin" w:cs="IRNazanin"/>
          <w:lang w:bidi="fa-IR"/>
          <w:color w:val="111111"/>
          <w:sz w:val="28"/>
          <w:szCs w:val="28"/>
          <w:rtl/>
        </w:rPr>
        <w:t xml:space="preserve">۴. مشهد؛ رضوی؛ شماره نسخه: ۱۰۶۴۷/۳</w:t>
      </w:r>
    </w:p>
    <w:p>
      <w:pPr>
        <w:pStyle w:val="BookText"/>
      </w:pPr>
      <w:r>
        <w:rPr>
          <w:rFonts w:ascii="IRNazanin" w:hAnsi="IRNazanin" w:eastAsia="IRNazanin" w:cs="IRNazanin"/>
          <w:lang w:bidi="fa-IR"/>
          <w:color w:val="111111"/>
          <w:sz w:val="28"/>
          <w:szCs w:val="28"/>
          <w:rtl/>
        </w:rPr>
        <w:t xml:space="preserve">آغاز و انجام: برابر خط: نسخ، بی کا، تا: ۱۲۱۷ق؛ کاغذ: آهار مهره شکری، جلد: تیماج خرمایی، ۲۲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۱۱-۳۳۰]</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مرکز احیاء؛ شماره نسخه: ۴۰۶۳/۱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مصحح؛ یادداشت از جمال الدين موسوی در اصفهان و تاریخ ۱۱ رجب ۱۲۳۴؛ جلد: تیماج مشکی ضربی، ۴۱گ (اپ-۴۱پ)، ۱۵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[محدث ارموی مخ: ۱-۲۶۴]</w:t>
      </w:r>
    </w:p>
    <w:p>
      <w:pPr>
        <w:pStyle w:val="BookText"/>
      </w:pPr>
      <w:r>
        <w:rPr>
          <w:rFonts w:ascii="IRNazanin" w:hAnsi="IRNazanin" w:eastAsia="IRNazanin" w:cs="IRNazanin"/>
          <w:lang w:bidi="fa-IR"/>
          <w:color w:val="111111"/>
          <w:sz w:val="28"/>
          <w:szCs w:val="28"/>
          <w:rtl/>
        </w:rPr>
        <w:t xml:space="preserve">← بی نظیر و بدر منیر ← بدر منیر و بی نظیر</w:t>
      </w:r>
    </w:p>
    <w:p>
      <w:pPr>
        <w:pStyle w:val="BookText"/>
      </w:pPr>
      <w:r>
        <w:rPr>
          <w:rFonts w:ascii="IRNazanin" w:hAnsi="IRNazanin" w:eastAsia="IRNazanin" w:cs="IRNazanin"/>
          <w:lang w:bidi="fa-IR"/>
          <w:color w:val="111111"/>
          <w:sz w:val="28"/>
          <w:szCs w:val="28"/>
          <w:rtl/>
        </w:rPr>
        <w:t xml:space="preserve">← بینوایان← داستان ژان والژان</w:t>
      </w:r>
    </w:p>
    <w:p>
      <w:pPr>
        <w:pStyle w:val="Heading3"/>
      </w:pPr>
      <w:bookmarkStart w:id="1474" w:name="_Toc734"/>
      <w:r>
        <w:t>• بینوایان (ترجمه) / داستان / فارسی</w:t>
      </w:r>
      <w:bookmarkEnd w:id="1474"/>
    </w:p>
    <w:p>
      <w:pPr>
        <w:pStyle w:val="BookText"/>
      </w:pPr>
      <w:r>
        <w:rPr>
          <w:rFonts w:ascii="Times New Roman" w:hAnsi="Times New Roman" w:eastAsia="Times New Roman" w:cs="Times New Roman"/>
          <w:lang w:val="en-US" w:bidi="en-US"/>
          <w:color w:val="111111"/>
          <w:sz w:val="28"/>
          <w:szCs w:val="28"/>
          <w:rtl/>
        </w:rPr>
        <w:t xml:space="preserve">bīnavāyān (t.)</w:t>
      </w:r>
    </w:p>
    <w:p>
      <w:pPr>
        <w:pStyle w:val="BookText"/>
      </w:pPr>
      <w:r>
        <w:rPr>
          <w:rFonts w:ascii="IRNazanin" w:hAnsi="IRNazanin" w:eastAsia="IRNazanin" w:cs="IRNazanin"/>
          <w:lang w:bidi="fa-IR"/>
          <w:color w:val="111111"/>
          <w:sz w:val="28"/>
          <w:szCs w:val="28"/>
          <w:rtl/>
        </w:rPr>
        <w:t xml:space="preserve">تهران، مجلس، شماره نسخه: ۱۶۸۷۷</w:t>
      </w:r>
    </w:p>
    <w:p>
      <w:pPr>
        <w:pStyle w:val="BookText"/>
      </w:pPr>
      <w:r>
        <w:rPr>
          <w:rFonts w:ascii="IRNazanin" w:hAnsi="IRNazanin" w:eastAsia="IRNazanin" w:cs="IRNazanin"/>
          <w:lang w:bidi="fa-IR"/>
          <w:color w:val="111111"/>
          <w:sz w:val="28"/>
          <w:szCs w:val="28"/>
          <w:rtl/>
        </w:rPr>
        <w:t xml:space="preserve">چاپ نشده؛ بی کا، بی تا [د.ث. مجلس ]</w:t>
      </w:r>
    </w:p>
    <w:p>
      <w:pPr>
        <w:pStyle w:val="Heading3"/>
      </w:pPr>
      <w:bookmarkStart w:id="1475" w:name="_Toc735"/>
      <w:r>
        <w:t>• بینوایان (ترجمه) / داستان / فارسی</w:t>
      </w:r>
      <w:bookmarkEnd w:id="1475"/>
    </w:p>
    <w:p>
      <w:pPr>
        <w:pStyle w:val="BookText"/>
      </w:pPr>
      <w:r>
        <w:rPr>
          <w:rFonts w:ascii="Times New Roman" w:hAnsi="Times New Roman" w:eastAsia="Times New Roman" w:cs="Times New Roman"/>
          <w:lang w:val="en-US" w:bidi="en-US"/>
          <w:color w:val="111111"/>
          <w:sz w:val="28"/>
          <w:szCs w:val="28"/>
          <w:rtl/>
        </w:rPr>
        <w:t xml:space="preserve">bīnavāyān (t.)</w:t>
      </w:r>
    </w:p>
    <w:p>
      <w:pPr>
        <w:pStyle w:val="BookText"/>
      </w:pPr>
      <w:r>
        <w:rPr>
          <w:rFonts w:ascii="IRNazanin" w:hAnsi="IRNazanin" w:eastAsia="IRNazanin" w:cs="IRNazanin"/>
          <w:lang w:bidi="fa-IR"/>
          <w:color w:val="111111"/>
          <w:sz w:val="28"/>
          <w:szCs w:val="28"/>
          <w:rtl/>
        </w:rPr>
        <w:t xml:space="preserve">مترجم: شیخ ابراهیم زنجانی، ق۱۴ قمری</w:t>
      </w:r>
    </w:p>
    <w:p>
      <w:pPr>
        <w:pStyle w:val="BookText"/>
      </w:pPr>
      <w:r>
        <w:rPr>
          <w:rFonts w:ascii="Times New Roman" w:hAnsi="Times New Roman" w:eastAsia="Times New Roman" w:cs="Times New Roman"/>
          <w:lang w:val="en-US" w:bidi="en-US"/>
          <w:color w:val="111111"/>
          <w:sz w:val="28"/>
          <w:szCs w:val="28"/>
          <w:rtl/>
        </w:rPr>
        <w:t xml:space="preserve">šeyx ebrāhīm-e zanjānī (-20c)</w:t>
      </w:r>
    </w:p>
    <w:p>
      <w:pPr>
        <w:pStyle w:val="BookText"/>
      </w:pPr>
      <w:r>
        <w:rPr>
          <w:rFonts w:ascii="IRNazanin" w:hAnsi="IRNazanin" w:eastAsia="IRNazanin" w:cs="IRNazanin"/>
          <w:lang w:bidi="fa-IR"/>
          <w:color w:val="111111"/>
          <w:sz w:val="28"/>
          <w:szCs w:val="28"/>
          <w:rtl/>
        </w:rPr>
        <w:t xml:space="preserve">تهران؛ مجلس؛ شماره نسخه: ۱۷۳۶۵</w:t>
      </w:r>
    </w:p>
    <w:p>
      <w:pPr>
        <w:pStyle w:val="BookText"/>
      </w:pPr>
      <w:r>
        <w:rPr>
          <w:rFonts w:ascii="IRNazanin" w:hAnsi="IRNazanin" w:eastAsia="IRNazanin" w:cs="IRNazanin"/>
          <w:lang w:bidi="fa-IR"/>
          <w:color w:val="111111"/>
          <w:sz w:val="28"/>
          <w:szCs w:val="28"/>
          <w:rtl/>
        </w:rPr>
        <w:t xml:space="preserve">بی کا، بی تا [د.ث. مجلس]</w:t>
      </w:r>
    </w:p>
    <w:p>
      <w:pPr>
        <w:pStyle w:val="Heading3"/>
      </w:pPr>
      <w:bookmarkStart w:id="1476" w:name="_Toc736"/>
      <w:r>
        <w:t>• البينة / کلام و اعتقادات / عربی</w:t>
      </w:r>
      <w:bookmarkEnd w:id="1476"/>
    </w:p>
    <w:p>
      <w:pPr>
        <w:pStyle w:val="BookText"/>
      </w:pPr>
      <w:r>
        <w:rPr>
          <w:rFonts w:ascii="Times New Roman" w:hAnsi="Times New Roman" w:eastAsia="Times New Roman" w:cs="Times New Roman"/>
          <w:lang w:val="en-US" w:bidi="en-US"/>
          <w:color w:val="111111"/>
          <w:sz w:val="28"/>
          <w:szCs w:val="28"/>
          <w:rtl/>
        </w:rPr>
        <w:t xml:space="preserve">al-bayyina</w:t>
      </w:r>
    </w:p>
    <w:p>
      <w:pPr>
        <w:pStyle w:val="BookText"/>
      </w:pPr>
      <w:r>
        <w:rPr>
          <w:rFonts w:ascii="IRNazanin" w:hAnsi="IRNazanin" w:eastAsia="IRNazanin" w:cs="IRNazanin"/>
          <w:lang w:bidi="fa-IR"/>
          <w:color w:val="111111"/>
          <w:sz w:val="28"/>
          <w:szCs w:val="28"/>
          <w:rtl/>
        </w:rPr>
        <w:t xml:space="preserve">کرمانی، محمد کریم بن ابراهیم، ۱۲۲۵-۱۲۸۸ قمری</w:t>
      </w:r>
    </w:p>
    <w:p>
      <w:pPr>
        <w:pStyle w:val="BookText"/>
      </w:pPr>
      <w:r>
        <w:rPr>
          <w:rFonts w:ascii="Times New Roman" w:hAnsi="Times New Roman" w:eastAsia="Times New Roman" w:cs="Times New Roman"/>
          <w:lang w:val="en-US" w:bidi="en-US"/>
          <w:color w:val="111111"/>
          <w:sz w:val="28"/>
          <w:szCs w:val="28"/>
          <w:rtl/>
        </w:rPr>
        <w:t xml:space="preserve">(1810 -kermānī, mohammad karīm ebn-e ebrāhīm 1871)</w:t>
      </w:r>
    </w:p>
    <w:p>
      <w:pPr>
        <w:pStyle w:val="BookText"/>
      </w:pPr>
      <w:r>
        <w:rPr>
          <w:rFonts w:ascii="IRNazanin" w:hAnsi="IRNazanin" w:eastAsia="IRNazanin" w:cs="IRNazanin"/>
          <w:lang w:bidi="fa-IR"/>
          <w:color w:val="111111"/>
          <w:sz w:val="28"/>
          <w:szCs w:val="28"/>
          <w:rtl/>
        </w:rPr>
        <w:t xml:space="preserve">تاریخ تألیف: شب شنبه ۲۵ جمادی الثانی ۱۲۷۸ق کتابی در چند «فصل» در توحید و نبوت و چگونگی اجتهاد و استنباط احکام از آیات و روایات</w:t>
      </w:r>
    </w:p>
    <w:p>
      <w:pPr>
        <w:pStyle w:val="BookText"/>
      </w:pPr>
      <w:r>
        <w:rPr>
          <w:rFonts w:ascii="IRNazanin" w:hAnsi="IRNazanin" w:eastAsia="IRNazanin" w:cs="IRNazanin"/>
          <w:lang w:bidi="fa-IR"/>
          <w:color w:val="111111"/>
          <w:sz w:val="28"/>
          <w:szCs w:val="28"/>
          <w:rtl/>
        </w:rPr>
        <w:t xml:space="preserve">آغاز: الحمدلله الذي هدانا للاسلام و أكرمنا بالايمان و عرفنا الحق الذي عنه يؤفكون و النبأ العظيم الذي هم فيه مختلفون انجام: و ان أردت التفضيل فعليك بسائر كتبنا الأصولية ففيها غنية و کفاية و بلاغ اریحانة الادب ۵۱/۵]</w:t>
      </w:r>
    </w:p>
    <w:p>
      <w:pPr>
        <w:pStyle w:val="BookText"/>
      </w:pPr>
      <w:r>
        <w:rPr>
          <w:rFonts w:ascii="IRNazanin" w:hAnsi="IRNazanin" w:eastAsia="IRNazanin" w:cs="IRNazanin"/>
          <w:lang w:bidi="fa-IR"/>
          <w:color w:val="111111"/>
          <w:sz w:val="28"/>
          <w:szCs w:val="28"/>
          <w:rtl/>
        </w:rPr>
        <w:t xml:space="preserve">۱. قم؛ مرعشی؛ شماره نسخه: ۱۳۳۰ ۸/۱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اواخر قرن ۱۳؛ مصحح، در پایان دو صفحه مطالبی از کاظم بن قاسم حسینی رشتی «سید کاظم رشتی معروف» متوفی به سال ۱۲۵۹ ق در رابطه با مصنفات حاج کریم خان بن ابراهیم خان کرمانی آمده؛ کاغذ: فرنگی، جلد: تیماج قهوه ای ضربی مجدول با ترنج و سرترنج، ۶گ (۲۹۹-۳۳۴)، ۱۷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۱۴/۵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۲۸-۵۴۱]</w:t>
      </w:r>
    </w:p>
    <w:p>
      <w:pPr>
        <w:pStyle w:val="BookText"/>
      </w:pPr>
      <w:r>
        <w:rPr>
          <w:rFonts w:ascii="IRNazanin" w:hAnsi="IRNazanin" w:eastAsia="IRNazanin" w:cs="IRNazanin"/>
          <w:lang w:bidi="fa-IR"/>
          <w:color w:val="111111"/>
          <w:sz w:val="28"/>
          <w:szCs w:val="28"/>
          <w:rtl/>
        </w:rPr>
        <w:t xml:space="preserve">۲. قم؛ مرعشی؛ شماره نسخه: ۴۵/۲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۱۲۹۰ق؛ جلد: مقوایی عطف تیماج قرمز، ۵۷گ (۱۷-۷۳ر)، ۱۴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۱-۵۷]</w:t>
      </w:r>
    </w:p>
    <w:p>
      <w:pPr>
        <w:pStyle w:val="BookText"/>
      </w:pPr>
      <w:r>
        <w:rPr>
          <w:rFonts w:ascii="IRNazanin" w:hAnsi="IRNazanin" w:eastAsia="IRNazanin" w:cs="IRNazanin"/>
          <w:lang w:bidi="fa-IR"/>
          <w:color w:val="111111"/>
          <w:sz w:val="28"/>
          <w:szCs w:val="28"/>
          <w:rtl/>
        </w:rPr>
        <w:t xml:space="preserve">٣. یزد؛ وزیری؛ شماره نسخه: ۱۴۱۳/۴</w:t>
      </w:r>
    </w:p>
    <w:p>
      <w:pPr>
        <w:pStyle w:val="BookText"/>
      </w:pPr>
      <w:r>
        <w:rPr>
          <w:rFonts w:ascii="IRNazanin" w:hAnsi="IRNazanin" w:eastAsia="IRNazanin" w:cs="IRNazanin"/>
          <w:lang w:bidi="fa-IR"/>
          <w:color w:val="111111"/>
          <w:sz w:val="28"/>
          <w:szCs w:val="28"/>
          <w:rtl/>
        </w:rPr>
        <w:t xml:space="preserve">بی کا، بی تا، کاغذ: فرنگی، جلد: تیماج مشکی ضربی، ۴۲گ ( ۷۸-۳۷ )، ابعاد متن: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۳-۹۵۳]</w:t>
      </w:r>
    </w:p>
    <w:p>
      <w:pPr>
        <w:pStyle w:val="Heading3"/>
      </w:pPr>
      <w:bookmarkStart w:id="1477" w:name="_Toc737"/>
      <w:r>
        <w:t>•بينه / گوناگون / فارسی</w:t>
      </w:r>
      <w:bookmarkEnd w:id="1477"/>
    </w:p>
    <w:p>
      <w:pPr>
        <w:pStyle w:val="BookText"/>
      </w:pPr>
      <w:r>
        <w:rPr>
          <w:rFonts w:ascii="Times New Roman" w:hAnsi="Times New Roman" w:eastAsia="Times New Roman" w:cs="Times New Roman"/>
          <w:lang w:val="en-US" w:bidi="en-US"/>
          <w:color w:val="111111"/>
          <w:sz w:val="28"/>
          <w:szCs w:val="28"/>
          <w:rtl/>
        </w:rPr>
        <w:t xml:space="preserve">bayyene</w:t>
      </w:r>
    </w:p>
    <w:p>
      <w:pPr>
        <w:pStyle w:val="BookText"/>
      </w:pPr>
      <w:r>
        <w:rPr>
          <w:rFonts w:ascii="IRNazanin" w:hAnsi="IRNazanin" w:eastAsia="IRNazanin" w:cs="IRNazanin"/>
          <w:lang w:bidi="fa-IR"/>
          <w:color w:val="111111"/>
          <w:sz w:val="28"/>
          <w:szCs w:val="28"/>
          <w:rtl/>
        </w:rPr>
        <w:t xml:space="preserve">احمد بن محمد رضا، ق۱۳ قمری</w:t>
      </w:r>
    </w:p>
    <w:p>
      <w:pPr>
        <w:pStyle w:val="BookText"/>
      </w:pPr>
      <w:r>
        <w:rPr>
          <w:rFonts w:ascii="Times New Roman" w:hAnsi="Times New Roman" w:eastAsia="Times New Roman" w:cs="Times New Roman"/>
          <w:lang w:val="en-US" w:bidi="en-US"/>
          <w:color w:val="111111"/>
          <w:sz w:val="28"/>
          <w:szCs w:val="28"/>
          <w:rtl/>
        </w:rPr>
        <w:t xml:space="preserve">ahmad ebn-e mohammad rezā (- 19c)</w:t>
      </w:r>
    </w:p>
    <w:p>
      <w:pPr>
        <w:pStyle w:val="BookText"/>
      </w:pPr>
      <w:r>
        <w:rPr>
          <w:rFonts w:ascii="IRNazanin" w:hAnsi="IRNazanin" w:eastAsia="IRNazanin" w:cs="IRNazanin"/>
          <w:lang w:bidi="fa-IR"/>
          <w:color w:val="111111"/>
          <w:sz w:val="28"/>
          <w:szCs w:val="28"/>
          <w:rtl/>
        </w:rPr>
        <w:t xml:space="preserve">تاریخ تأليف: ۱۲۵۰ق؛ محل تأليف: مشهد مقدس مطالب مختلفی است در پنج «مقاله» در اخلاق، اقوال عرفا و حکما، اصل و نسب خلفای ثلاثه مقاله ای از کتاب شرح الزيارة در کفر و فسق خلفای ثلاثه که مراسله علمای ماوراء النهر به مشهد مقدس وجواب آن و نیز مکتوب غزالی در پاسخ به عين القضاة نیز در آن آمده است و مقاله در مبدأ و معاد و وحدت وجود می باشد. مؤلف می گوید: در اوقاتی که در آستانه علی بن موسى الرضا بودم می دیدم که مردمان چه ناله ها می کنند و چه دعاها می نمایند که اگر خیلی کمتر از آن را از انسانی بخواهند آنا دعای آنها مستجاب می شود در حالی که خدا بالاتر است ولی به هیچ یک جواب نمی دهد و همین طور سایر اعمال مذهبی که می نمایند هیچکدام حاصلی ندارد و در این سرگردان بودم و علت عدم استجابت را پرسا تا آنکه دانستم دعای واقعی از دل ما برنمی آید و ما را به دعای واقعی دسترسی نیست پس بر آن شدم که ببینم چگونه می توان به حق دست یافت و او را بندگی نمود. او بعد از این قول مباحثی در معرفت حق و بندگی و جبر و تفویض و نفس اماره و طبیعت و ارسال رسل و مقام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39" w:name="pg20363_209494"/>
    <w:bookmarkEnd w:id="239"/>
    <w:p>
      <w:pPr>
        <w:pStyle w:val="BookText"/>
      </w:pPr>
      <w:r>
        <w:rPr>
          <w:rFonts w:ascii="IRNazanin" w:hAnsi="IRNazanin" w:eastAsia="IRNazanin" w:cs="IRNazanin"/>
          <w:lang w:bidi="fa-IR"/>
          <w:color w:val="111111"/>
          <w:sz w:val="28"/>
          <w:szCs w:val="28"/>
          <w:rtl/>
        </w:rPr>
        <w:t xml:space="preserve">یقین و اظهار مرتبه یقین و بروز کرامات و سبب آنها و نیز در ارشاد پیر و مرید و در ارادت بر پیر و اطاعت از پیرو فرق میان اثر حق و باطل و در احتياج به مرشد و در حقیقت طریقت و در ظهور نور در قلب و در احوالات پیرو علما ودر علم و عالم و در اینکه علم عبارت از چیست و در اوصاف علمای ظار و در مذمت دنیا می گوید.</w:t>
      </w:r>
    </w:p>
    <w:p>
      <w:pPr>
        <w:pStyle w:val="BookText"/>
      </w:pPr>
      <w:r>
        <w:rPr>
          <w:rFonts w:ascii="IRNazanin" w:hAnsi="IRNazanin" w:eastAsia="IRNazanin" w:cs="IRNazanin"/>
          <w:lang w:bidi="fa-IR"/>
          <w:color w:val="111111"/>
          <w:sz w:val="28"/>
          <w:szCs w:val="28"/>
          <w:rtl/>
        </w:rPr>
        <w:t xml:space="preserve">آغاز: الحمدلله رب العالمين و الصلاة و السلام على خير خلقه محمد و آله الطاهرين ... در اوقاتی که در آستانه مبار که علی بن موسى الرضا عليه التحيه و الثناء معتکف و مجاور بودم شبی از شبها به خیالم رسید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ملی؛ شماره نسخه: ۱۶۱۵/۳</w:t>
      </w:r>
    </w:p>
    <w:p>
      <w:pPr>
        <w:pStyle w:val="BookText"/>
      </w:pPr>
      <w:r>
        <w:rPr>
          <w:rFonts w:ascii="IRNazanin" w:hAnsi="IRNazanin" w:eastAsia="IRNazanin" w:cs="IRNazanin"/>
          <w:lang w:bidi="fa-IR"/>
          <w:color w:val="111111"/>
          <w:sz w:val="28"/>
          <w:szCs w:val="28"/>
          <w:rtl/>
        </w:rPr>
        <w:t xml:space="preserve">آغاز: برابر؛ انجام: که ایشان چگونه بندگی نموده اند و بچه مقامات و کرامات رسیده اند. کا: احمد مهندس، تا: ۱۲۶۳ق؛ کاغذ: فرنگی، جلد: مقوایی تیماج تریاکی با ترنج و نیم ترنج، ۷۰ص (۲۰۳- ۲۷۲)، ۲۴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اندازه: ۱۰/۵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۱۰-۱۵۹]</w:t>
      </w:r>
    </w:p>
    <w:p>
      <w:pPr>
        <w:pStyle w:val="BookText"/>
      </w:pPr>
      <w:r>
        <w:rPr>
          <w:rFonts w:ascii="IRNazanin" w:hAnsi="IRNazanin" w:eastAsia="IRNazanin" w:cs="IRNazanin"/>
          <w:lang w:bidi="fa-IR"/>
          <w:color w:val="111111"/>
          <w:sz w:val="28"/>
          <w:szCs w:val="28"/>
          <w:rtl/>
        </w:rPr>
        <w:t xml:space="preserve">۲. قم؛ مسجد اعظم؛ شماره نسخه: ۹۳۴</w:t>
      </w:r>
    </w:p>
    <w:p>
      <w:pPr>
        <w:pStyle w:val="BookText"/>
      </w:pPr>
      <w:r>
        <w:rPr>
          <w:rFonts w:ascii="IRNazanin" w:hAnsi="IRNazanin" w:eastAsia="IRNazanin" w:cs="IRNazanin"/>
          <w:lang w:bidi="fa-IR"/>
          <w:color w:val="111111"/>
          <w:sz w:val="28"/>
          <w:szCs w:val="28"/>
          <w:rtl/>
        </w:rPr>
        <w:t xml:space="preserve">آغاز: برابر، انجام: ليكن با تربیت و ریاضت ترقی حاصل می شود و نطق هم کرامت دیگر است که در حیوان نیست پس وجود همان یک وجود است تجلی به صفت فعل از باطن به ظاهر و از غیب به شهادت دارد وحدت به کثرت دارد خط: نستعلیق، کا: محمد کاظم سعدی، تا: 1 ذیحجه؛ تملك: شمس الدین فدائی؛ جلد: گالینگور مشکی عطف پارچه مشکی، ۱۷۶گ، ۱۴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[ف مخ: ۱-۲۹۷]</w:t>
      </w:r>
    </w:p>
    <w:p>
      <w:pPr>
        <w:pStyle w:val="Heading3"/>
      </w:pPr>
      <w:bookmarkStart w:id="1478" w:name="_Toc738"/>
      <w:r>
        <w:t>• بيوتات الشيعة / رجال / عربی</w:t>
      </w:r>
      <w:bookmarkEnd w:id="1478"/>
    </w:p>
    <w:p>
      <w:pPr>
        <w:pStyle w:val="BookText"/>
      </w:pPr>
      <w:r>
        <w:rPr>
          <w:rFonts w:ascii="Times New Roman" w:hAnsi="Times New Roman" w:eastAsia="Times New Roman" w:cs="Times New Roman"/>
          <w:lang w:val="en-US" w:bidi="en-US"/>
          <w:color w:val="111111"/>
          <w:sz w:val="28"/>
          <w:szCs w:val="28"/>
          <w:rtl/>
        </w:rPr>
        <w:t xml:space="preserve">buyūtāt-uš šī‘a</w:t>
      </w:r>
    </w:p>
    <w:p>
      <w:pPr>
        <w:pStyle w:val="BookText"/>
      </w:pPr>
      <w:r>
        <w:rPr>
          <w:rFonts w:ascii="IRNazanin" w:hAnsi="IRNazanin" w:eastAsia="IRNazanin" w:cs="IRNazanin"/>
          <w:lang w:bidi="fa-IR"/>
          <w:color w:val="111111"/>
          <w:sz w:val="28"/>
          <w:szCs w:val="28"/>
          <w:rtl/>
        </w:rPr>
        <w:t xml:space="preserve">قم؛ مؤسسه آية الله بروجردی؛ شماره نسخه: ۵۸۱/۲</w:t>
      </w:r>
    </w:p>
    <w:p>
      <w:pPr>
        <w:pStyle w:val="BookText"/>
      </w:pPr>
      <w:r>
        <w:rPr>
          <w:rFonts w:ascii="IRNazanin" w:hAnsi="IRNazanin" w:eastAsia="IRNazanin" w:cs="IRNazanin"/>
          <w:lang w:bidi="fa-IR"/>
          <w:color w:val="111111"/>
          <w:sz w:val="28"/>
          <w:szCs w:val="28"/>
          <w:rtl/>
        </w:rPr>
        <w:t xml:space="preserve">آغاز: من ارفع بيوت الشيعة بنيانا ... ابو رافع مولى رسول الله خط: نسخ، كا: حاج احمد بن علی اکبر خادمی بروجردی، تا: پنج شنبه ۱۹ ربیع الاول ۱۳۵۲ق، جلد: تیماج زرد، ۴۶گ ( ۱۷۴-۱۲۹ 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۲-۳۶۴]</w:t>
      </w:r>
    </w:p>
    <w:p>
      <w:pPr>
        <w:pStyle w:val="Heading3"/>
      </w:pPr>
      <w:bookmarkStart w:id="1479" w:name="_Toc739"/>
      <w:r>
        <w:t>• البيوتات العلوية / انساب / عربی</w:t>
      </w:r>
      <w:bookmarkEnd w:id="1479"/>
    </w:p>
    <w:p>
      <w:pPr>
        <w:pStyle w:val="BookText"/>
      </w:pPr>
      <w:r>
        <w:rPr>
          <w:rFonts w:ascii="Times New Roman" w:hAnsi="Times New Roman" w:eastAsia="Times New Roman" w:cs="Times New Roman"/>
          <w:lang w:val="en-US" w:bidi="en-US"/>
          <w:color w:val="111111"/>
          <w:sz w:val="28"/>
          <w:szCs w:val="28"/>
          <w:rtl/>
        </w:rPr>
        <w:t xml:space="preserve">al-buyūtāt-ul “alawīyya</w:t>
      </w:r>
    </w:p>
    <w:p>
      <w:pPr>
        <w:pStyle w:val="BookText"/>
      </w:pPr>
      <w:r>
        <w:rPr>
          <w:rFonts w:ascii="IRNazanin" w:hAnsi="IRNazanin" w:eastAsia="IRNazanin" w:cs="IRNazanin"/>
          <w:lang w:bidi="fa-IR"/>
          <w:color w:val="111111"/>
          <w:sz w:val="28"/>
          <w:szCs w:val="28"/>
          <w:rtl/>
        </w:rPr>
        <w:t xml:space="preserve">قم، مؤسسه آية الله بروجردی؛ شماره نسخه: ۵۸۱/۳</w:t>
      </w:r>
    </w:p>
    <w:p>
      <w:pPr>
        <w:pStyle w:val="BookText"/>
      </w:pPr>
      <w:r>
        <w:rPr>
          <w:rFonts w:ascii="IRNazanin" w:hAnsi="IRNazanin" w:eastAsia="IRNazanin" w:cs="IRNazanin"/>
          <w:lang w:bidi="fa-IR"/>
          <w:color w:val="111111"/>
          <w:sz w:val="28"/>
          <w:szCs w:val="28"/>
          <w:rtl/>
        </w:rPr>
        <w:t xml:space="preserve">آغاز: الحمد لله الذي خلق من الماء بشرا خط: نسخ، كا: حاج احمد بن علی اکبر خادمی بروجردی، تا: ۵ شوال ۱۳۵۲ق؛ جلد: تیماج زرد، ۹۶گ (۱۷۵پ-۲۷۰ر)،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w:t>
      </w:r>
    </w:p>
    <w:p>
      <w:pPr>
        <w:pStyle w:val="BookText"/>
      </w:pPr>
      <w:r>
        <w:rPr>
          <w:rFonts w:ascii="IRNazanin" w:hAnsi="IRNazanin" w:eastAsia="IRNazanin" w:cs="IRNazanin"/>
          <w:lang w:bidi="fa-IR"/>
          <w:color w:val="111111"/>
          <w:sz w:val="28"/>
          <w:szCs w:val="28"/>
          <w:rtl/>
        </w:rPr>
        <w:t xml:space="preserve">سم [ف: ۲-۳۶۴]</w:t>
      </w:r>
    </w:p>
    <w:p>
      <w:pPr>
        <w:pStyle w:val="BookText"/>
      </w:pPr>
      <w:r>
        <w:rPr>
          <w:rFonts w:ascii="Amiri" w:hAnsi="Amiri" w:eastAsia="Amiri" w:cs="Amiri"/>
          <w:lang w:bidi="ar-SA"/>
          <w:color w:val="111111"/>
          <w:sz w:val="28"/>
          <w:szCs w:val="28"/>
          <w:rtl/>
        </w:rPr>
        <w:t xml:space="preserve">←من بيوت الرمل← الرمل</w:t>
      </w:r>
    </w:p>
    <w:p>
      <w:pPr>
        <w:pStyle w:val="Heading3"/>
      </w:pPr>
      <w:bookmarkStart w:id="1480" w:name="_Toc740"/>
      <w:r>
        <w:t>• البيوع / فقه / عربی</w:t>
      </w:r>
      <w:bookmarkEnd w:id="1480"/>
    </w:p>
    <w:p>
      <w:pPr>
        <w:pStyle w:val="BookText"/>
      </w:pPr>
      <w:r>
        <w:rPr>
          <w:rFonts w:ascii="Times New Roman" w:hAnsi="Times New Roman" w:eastAsia="Times New Roman" w:cs="Times New Roman"/>
          <w:lang w:val="en-US" w:bidi="en-US"/>
          <w:color w:val="111111"/>
          <w:sz w:val="28"/>
          <w:szCs w:val="28"/>
          <w:rtl/>
        </w:rPr>
        <w:t xml:space="preserve">al-buyūt</w:t>
      </w:r>
    </w:p>
    <w:p>
      <w:pPr>
        <w:pStyle w:val="BookText"/>
      </w:pPr>
      <w:r>
        <w:rPr>
          <w:rFonts w:ascii="IRNazanin" w:hAnsi="IRNazanin" w:eastAsia="IRNazanin" w:cs="IRNazanin"/>
          <w:lang w:bidi="fa-IR"/>
          <w:color w:val="111111"/>
          <w:sz w:val="28"/>
          <w:szCs w:val="28"/>
          <w:rtl/>
        </w:rPr>
        <w:t xml:space="preserve">کاظمی نجفی، محمد ابراهيم بن قاسم</w:t>
      </w:r>
    </w:p>
    <w:p>
      <w:pPr>
        <w:pStyle w:val="BookText"/>
      </w:pPr>
      <w:r>
        <w:rPr>
          <w:rFonts w:ascii="Times New Roman" w:hAnsi="Times New Roman" w:eastAsia="Times New Roman" w:cs="Times New Roman"/>
          <w:lang w:val="en-US" w:bidi="en-US"/>
          <w:color w:val="111111"/>
          <w:sz w:val="28"/>
          <w:szCs w:val="28"/>
          <w:rtl/>
        </w:rPr>
        <w:t xml:space="preserve">kāzemī najafi, mohammad ebrāhīm ebn-e qāsem</w:t>
      </w:r>
    </w:p>
    <w:p>
      <w:pPr>
        <w:pStyle w:val="BookText"/>
      </w:pPr>
      <w:r>
        <w:rPr>
          <w:rFonts w:ascii="IRNazanin" w:hAnsi="IRNazanin" w:eastAsia="IRNazanin" w:cs="IRNazanin"/>
          <w:lang w:bidi="fa-IR"/>
          <w:color w:val="111111"/>
          <w:sz w:val="28"/>
          <w:szCs w:val="28"/>
          <w:rtl/>
        </w:rPr>
        <w:t xml:space="preserve">مؤلف می گوید پس از آنکه از تحریر ابواب «کتاب طهارة و کتاب صلاة و كتاب زکوة و كتاب صیام و کتاب حج و کتاب مزار و کتاب جهاد و کتاب دیون و کتاب شهادات و کتاب قضايا و الاحکام» فراغت یافتم زمان آن رسید که به کتاب مکاسب و کتاب بيوع بپردازم. مؤلف که در آخر قاسم بن محمد کاظمی معرفی شده می گوید کتاب نکاح دنبال این مجلد خواهد آمد.</w:t>
      </w:r>
    </w:p>
    <w:p>
      <w:pPr>
        <w:pStyle w:val="BookText"/>
      </w:pPr>
      <w:r>
        <w:rPr>
          <w:rFonts w:ascii="IRNazanin" w:hAnsi="IRNazanin" w:eastAsia="IRNazanin" w:cs="IRNazanin"/>
          <w:lang w:bidi="fa-IR"/>
          <w:color w:val="111111"/>
          <w:sz w:val="28"/>
          <w:szCs w:val="28"/>
          <w:rtl/>
        </w:rPr>
        <w:t xml:space="preserve">تهران؛ مجلس؛ شماره نسخه: ۴۴۳۶</w:t>
      </w:r>
    </w:p>
    <w:p>
      <w:pPr>
        <w:pStyle w:val="BookText"/>
      </w:pPr>
      <w:r>
        <w:rPr>
          <w:rFonts w:ascii="IRNazanin" w:hAnsi="IRNazanin" w:eastAsia="IRNazanin" w:cs="IRNazanin"/>
          <w:lang w:bidi="fa-IR"/>
          <w:color w:val="111111"/>
          <w:sz w:val="28"/>
          <w:szCs w:val="28"/>
          <w:rtl/>
        </w:rPr>
        <w:t xml:space="preserve">آغاز: بسمله و به نستعين. الحمد لله رب العالمين وصلى الله على محمد و آله و بعد فيقول المتوسل بالخمسة و بينهم ... محمد بن القاسم الكاظمي الشهير بمحمد ابراهیم؛ انجام: تم كتاب البيوع الذي عقد الشيخ ... على يد جامعه اقل الاقلين القاسم بن محمد الكاظمي نزيل النجف على مشرفه صلوات و يتلوه كتاب النكاح كما ذكره الشيخ. خط: نسخ، كا: خلف بارمانی، تا: قرن ۱۳؛ کاغذ: فرنگی، جلد: تیماج مقوایی ماشی، ۲۹۷گ، ۲۵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۱۲۱-۱۲ ]</w:t>
      </w:r>
    </w:p>
    <w:p>
      <w:pPr>
        <w:pStyle w:val="Heading3"/>
      </w:pPr>
      <w:bookmarkStart w:id="1481" w:name="_Toc741"/>
      <w:r>
        <w:t>•بی وفائی دنیا = پند خسرو پرویز / شعر / فارسی</w:t>
      </w:r>
      <w:bookmarkEnd w:id="1481"/>
    </w:p>
    <w:p>
      <w:pPr>
        <w:pStyle w:val="BookText"/>
      </w:pPr>
      <w:r>
        <w:rPr>
          <w:rFonts w:ascii="Times New Roman" w:hAnsi="Times New Roman" w:eastAsia="Times New Roman" w:cs="Times New Roman"/>
          <w:lang w:val="en-US" w:bidi="en-US"/>
          <w:color w:val="111111"/>
          <w:sz w:val="28"/>
          <w:szCs w:val="28"/>
          <w:rtl/>
        </w:rPr>
        <w:t xml:space="preserve">bī-vafā'ī-ye donyā = pand-e xosro parvīz</w:t>
      </w:r>
    </w:p>
    <w:p>
      <w:pPr>
        <w:pStyle w:val="BookText"/>
      </w:pPr>
      <w:r>
        <w:rPr>
          <w:rFonts w:ascii="IRNazanin" w:hAnsi="IRNazanin" w:eastAsia="IRNazanin" w:cs="IRNazanin"/>
          <w:lang w:bidi="fa-IR"/>
          <w:color w:val="111111"/>
          <w:sz w:val="28"/>
          <w:szCs w:val="28"/>
          <w:rtl/>
        </w:rPr>
        <w:t xml:space="preserve">تهران؛ مجلس؛ شماره نسخه: ۹۴۲۵/۲۲</w:t>
      </w:r>
    </w:p>
    <w:p>
      <w:pPr>
        <w:pStyle w:val="BookText"/>
      </w:pPr>
      <w:r>
        <w:rPr>
          <w:rFonts w:ascii="IRNazanin" w:hAnsi="IRNazanin" w:eastAsia="IRNazanin" w:cs="IRNazanin"/>
          <w:lang w:bidi="fa-IR"/>
          <w:color w:val="111111"/>
          <w:sz w:val="28"/>
          <w:szCs w:val="28"/>
          <w:rtl/>
        </w:rPr>
        <w:t xml:space="preserve">خط: نستعلیق، کا: محمد جعفر بن محمد علی خواجوئی، تا: ۱۲۱۶ق؛ اگ (۷۷۲) [مختصر ف: ۶۳۲]</w:t>
      </w:r>
    </w:p>
    <w:p>
      <w:pPr>
        <w:pStyle w:val="Heading3"/>
      </w:pPr>
      <w:bookmarkStart w:id="1482" w:name="_Toc742"/>
      <w:r>
        <w:t>• بیوگرافی اطباء و پزشکان اردستان / تراجم / فارسی</w:t>
      </w:r>
      <w:bookmarkEnd w:id="1482"/>
    </w:p>
    <w:p>
      <w:pPr>
        <w:pStyle w:val="BookText"/>
      </w:pPr>
      <w:r>
        <w:rPr>
          <w:rFonts w:ascii="Times New Roman" w:hAnsi="Times New Roman" w:eastAsia="Times New Roman" w:cs="Times New Roman"/>
          <w:lang w:val="en-US" w:bidi="en-US"/>
          <w:color w:val="111111"/>
          <w:sz w:val="28"/>
          <w:szCs w:val="28"/>
          <w:rtl/>
        </w:rPr>
        <w:t xml:space="preserve">bīogrāfi-ye atebbā’ va pezeškān-e ardestān</w:t>
      </w:r>
    </w:p>
    <w:p>
      <w:pPr>
        <w:pStyle w:val="BookText"/>
      </w:pPr>
      <w:r>
        <w:rPr>
          <w:rFonts w:ascii="IRNazanin" w:hAnsi="IRNazanin" w:eastAsia="IRNazanin" w:cs="IRNazanin"/>
          <w:lang w:bidi="fa-IR"/>
          <w:color w:val="111111"/>
          <w:sz w:val="28"/>
          <w:szCs w:val="28"/>
          <w:rtl/>
        </w:rPr>
        <w:t xml:space="preserve">شفیعی اردستانی، مرتضی بن احمد، ق۱۴ شمسی</w:t>
      </w:r>
    </w:p>
    <w:p>
      <w:pPr>
        <w:pStyle w:val="BookText"/>
      </w:pPr>
      <w:r>
        <w:rPr>
          <w:rFonts w:ascii="Times New Roman" w:hAnsi="Times New Roman" w:eastAsia="Times New Roman" w:cs="Times New Roman"/>
          <w:lang w:val="en-US" w:bidi="en-US"/>
          <w:color w:val="111111"/>
          <w:sz w:val="28"/>
          <w:szCs w:val="28"/>
          <w:rtl/>
        </w:rPr>
        <w:t xml:space="preserve">šafīʻī ardestānī, morteza ebn-e ahmad (- 20c)</w:t>
      </w:r>
    </w:p>
    <w:p>
      <w:pPr>
        <w:pStyle w:val="BookText"/>
      </w:pPr>
      <w:r>
        <w:rPr>
          <w:rFonts w:ascii="IRNazanin" w:hAnsi="IRNazanin" w:eastAsia="IRNazanin" w:cs="IRNazanin"/>
          <w:lang w:bidi="fa-IR"/>
          <w:color w:val="111111"/>
          <w:sz w:val="28"/>
          <w:szCs w:val="28"/>
          <w:rtl/>
        </w:rPr>
        <w:t xml:space="preserve">شرح حال گروهی از طبیبان و پزشکان اردستان از قرن هشتم تا عصر مؤلف در پنج «بخش»: ۱. اطبای قدیمی؛ ۲. اردستانی هایی که از دارالفنون و دانشگاه تهران و خارج کشور تا سال ۱۳۳۰ش فارغ التحصیل شده اند؛ ۳. بانوان پیشگام در تحصیل علوم پزشکی؛ ۴. دانشجوی ممتاز پزشکی؛ ۵. طبیبان سنتی. در پایان یاد خیری است از چند پزشک.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40" w:name="pg20363_209495"/>
    <w:bookmarkEnd w:id="240"/>
    <w:p>
      <w:pPr>
        <w:pStyle w:val="BookText"/>
      </w:pPr>
      <w:r>
        <w:rPr>
          <w:rFonts w:ascii="IRNazanin" w:hAnsi="IRNazanin" w:eastAsia="IRNazanin" w:cs="IRNazanin"/>
          <w:lang w:bidi="fa-IR"/>
          <w:color w:val="111111"/>
          <w:sz w:val="28"/>
          <w:szCs w:val="28"/>
          <w:rtl/>
        </w:rPr>
        <w:t xml:space="preserve">قم؛ مرعشی؛ شماره نسخه: ۱۰۵۵۴</w:t>
      </w:r>
    </w:p>
    <w:p>
      <w:pPr>
        <w:pStyle w:val="BookText"/>
      </w:pPr>
      <w:r>
        <w:rPr>
          <w:rFonts w:ascii="IRNazanin" w:hAnsi="IRNazanin" w:eastAsia="IRNazanin" w:cs="IRNazanin"/>
          <w:lang w:bidi="fa-IR"/>
          <w:color w:val="111111"/>
          <w:sz w:val="28"/>
          <w:szCs w:val="28"/>
          <w:rtl/>
        </w:rPr>
        <w:t xml:space="preserve">این نسخه بخش اول کتاب و در تهران به تاریخ خرداد ماه ۱۳۷۳ تحریر شده است؛ خط: نستعلیق، کاتب = مؤلف، تا: خرداد ۱۳۷۳ش، جا؛ تهران؛ جلد: گالینگور سبز، ۷۱گ، مختلف السطر،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۲۷-۳۹ ]</w:t>
      </w:r>
    </w:p>
    <w:p>
      <w:pPr>
        <w:pStyle w:val="BookText"/>
      </w:pPr>
      <w:r>
        <w:rPr>
          <w:rFonts w:ascii="IRNazanin" w:hAnsi="IRNazanin" w:eastAsia="IRNazanin" w:cs="IRNazanin"/>
          <w:lang w:bidi="fa-IR"/>
          <w:color w:val="111111"/>
          <w:sz w:val="28"/>
          <w:szCs w:val="28"/>
          <w:rtl/>
        </w:rPr>
        <w:t xml:space="preserve">←بیولوژی ← معرفة الحياة</w:t>
      </w:r>
    </w:p>
    <w:p>
      <w:pPr>
        <w:pStyle w:val="Heading2"/>
      </w:pPr>
      <w:bookmarkStart w:id="1483" w:name="_Toc743"/>
      <w:r>
        <w:t>پ</w:t>
      </w:r>
      <w:bookmarkEnd w:id="1483"/>
    </w:p>
    <w:p>
      <w:pPr>
        <w:pStyle w:val="Heading3"/>
      </w:pPr>
      <w:bookmarkStart w:id="1484" w:name="_Toc744"/>
      <w:r>
        <w:t>• پاپریه در موجزی از اقوال نحویه بزبان پارسیه (رساله) / نحو / فارسی</w:t>
      </w:r>
      <w:bookmarkEnd w:id="1484"/>
    </w:p>
    <w:p>
      <w:pPr>
        <w:pStyle w:val="BookText"/>
      </w:pPr>
      <w:r>
        <w:rPr>
          <w:rFonts w:ascii="Times New Roman" w:hAnsi="Times New Roman" w:eastAsia="Times New Roman" w:cs="Times New Roman"/>
          <w:lang w:val="en-US" w:bidi="en-US"/>
          <w:color w:val="111111"/>
          <w:sz w:val="28"/>
          <w:szCs w:val="28"/>
          <w:rtl/>
        </w:rPr>
        <w:t xml:space="preserve">pāperīye dar mūjezī az aqvāl-e nahvīye be-zabān-e pārsīye (r.)</w:t>
      </w:r>
    </w:p>
    <w:p>
      <w:pPr>
        <w:pStyle w:val="BookText"/>
      </w:pPr>
      <w:r>
        <w:rPr>
          <w:rFonts w:ascii="IRNazanin" w:hAnsi="IRNazanin" w:eastAsia="IRNazanin" w:cs="IRNazanin"/>
          <w:lang w:bidi="fa-IR"/>
          <w:color w:val="111111"/>
          <w:sz w:val="28"/>
          <w:szCs w:val="28"/>
          <w:rtl/>
        </w:rPr>
        <w:t xml:space="preserve">طوسی، علی بن محمد تقی</w:t>
      </w:r>
    </w:p>
    <w:p>
      <w:pPr>
        <w:pStyle w:val="BookText"/>
      </w:pPr>
      <w:r>
        <w:rPr>
          <w:rFonts w:ascii="Times New Roman" w:hAnsi="Times New Roman" w:eastAsia="Times New Roman" w:cs="Times New Roman"/>
          <w:lang w:val="en-US" w:bidi="en-US"/>
          <w:color w:val="111111"/>
          <w:sz w:val="28"/>
          <w:szCs w:val="28"/>
          <w:rtl/>
        </w:rPr>
        <w:t xml:space="preserve">tūsī, ‘alī ebn-e mohammad taqi</w:t>
      </w:r>
    </w:p>
    <w:p>
      <w:pPr>
        <w:pStyle w:val="BookText"/>
      </w:pPr>
      <w:r>
        <w:rPr>
          <w:rFonts w:ascii="IRNazanin" w:hAnsi="IRNazanin" w:eastAsia="IRNazanin" w:cs="IRNazanin"/>
          <w:lang w:bidi="fa-IR"/>
          <w:color w:val="111111"/>
          <w:sz w:val="28"/>
          <w:szCs w:val="28"/>
          <w:rtl/>
        </w:rPr>
        <w:t xml:space="preserve">اهداء به: مظفر الدین ولی عهد در یک «مقدمه» و پنج «باب» به روش پرسش و پاسخ و به فارسی بسیار بد و عرب منش .</w:t>
      </w:r>
    </w:p>
    <w:p>
      <w:pPr>
        <w:pStyle w:val="BookText"/>
      </w:pPr>
      <w:r>
        <w:rPr>
          <w:rFonts w:ascii="IRNazanin" w:hAnsi="IRNazanin" w:eastAsia="IRNazanin" w:cs="IRNazanin"/>
          <w:lang w:bidi="fa-IR"/>
          <w:color w:val="111111"/>
          <w:sz w:val="28"/>
          <w:szCs w:val="28"/>
          <w:rtl/>
        </w:rPr>
        <w:t xml:space="preserve">تهران؛ دانشگاه؛ شماره نسخه: ۳۲۴۶</w:t>
      </w:r>
    </w:p>
    <w:p>
      <w:pPr>
        <w:pStyle w:val="BookText"/>
      </w:pPr>
      <w:r>
        <w:rPr>
          <w:rFonts w:ascii="IRNazanin" w:hAnsi="IRNazanin" w:eastAsia="IRNazanin" w:cs="IRNazanin"/>
          <w:lang w:bidi="fa-IR"/>
          <w:color w:val="111111"/>
          <w:sz w:val="28"/>
          <w:szCs w:val="28"/>
          <w:rtl/>
        </w:rPr>
        <w:t xml:space="preserve">آغاز: بسمله. حمد منزه از ادراک و قياس ملیک غربی مثالی را سزاست؛ انجام: تا از نوشندگان سلسبيل و العافين عن الناس شمرده شوند بفضل الله وجوده على عباده تم بالخير في شهر ذي الحجه سنة ۱۲۹۲ خط: نسخ، بی کا، تا: ذیحجه ۱۲۹۲ق؛ مجدول، خط مورخ شعبان ۱۳۰۴؛ مهر: یحیی خان مشیر الدوله وزیر امور خارجه دولت ایران که می نویسد به فرزندم میرزا حسین آقا محمد الملک بخشیدم؛ کاغذ: فرنگی، جلد: تیماج مشکی ضربی مقوایی، ۴۰گ، ۱۲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۱۱-۲۲۰۵]</w:t>
      </w:r>
    </w:p>
    <w:p>
      <w:pPr>
        <w:pStyle w:val="Heading3"/>
      </w:pPr>
      <w:bookmarkStart w:id="1485" w:name="_Toc745"/>
      <w:r>
        <w:t>• پاتو بیولوژی / طب / فارسی</w:t>
      </w:r>
      <w:bookmarkEnd w:id="1485"/>
    </w:p>
    <w:p>
      <w:pPr>
        <w:pStyle w:val="BookText"/>
      </w:pPr>
      <w:r>
        <w:rPr>
          <w:rFonts w:ascii="Times New Roman" w:hAnsi="Times New Roman" w:eastAsia="Times New Roman" w:cs="Times New Roman"/>
          <w:lang w:val="en-US" w:bidi="en-US"/>
          <w:color w:val="111111"/>
          <w:sz w:val="28"/>
          <w:szCs w:val="28"/>
          <w:rtl/>
        </w:rPr>
        <w:t xml:space="preserve">pāto-bīoloží</w:t>
      </w:r>
    </w:p>
    <w:p>
      <w:pPr>
        <w:pStyle w:val="BookText"/>
      </w:pPr>
      <w:r>
        <w:rPr>
          <w:rFonts w:ascii="IRNazanin" w:hAnsi="IRNazanin" w:eastAsia="IRNazanin" w:cs="IRNazanin"/>
          <w:lang w:bidi="fa-IR"/>
          <w:color w:val="111111"/>
          <w:sz w:val="28"/>
          <w:szCs w:val="28"/>
          <w:rtl/>
        </w:rPr>
        <w:t xml:space="preserve">تهران؛ ملی؛ شماره نسخه: ۲۵۴۷۲</w:t>
      </w:r>
    </w:p>
    <w:p>
      <w:pPr>
        <w:pStyle w:val="BookText"/>
      </w:pPr>
      <w:r>
        <w:rPr>
          <w:rFonts w:ascii="IRNazanin" w:hAnsi="IRNazanin" w:eastAsia="IRNazanin" w:cs="IRNazanin"/>
          <w:lang w:bidi="fa-IR"/>
          <w:color w:val="111111"/>
          <w:sz w:val="28"/>
          <w:szCs w:val="28"/>
          <w:rtl/>
        </w:rPr>
        <w:t xml:space="preserve">بی کا، بی تا؛ خریداری از سهیلا چاره دار [رایانه ]</w:t>
      </w:r>
    </w:p>
    <w:p>
      <w:pPr>
        <w:pStyle w:val="BookText"/>
      </w:pPr>
      <w:r>
        <w:rPr>
          <w:rFonts w:ascii="IRNazanin" w:hAnsi="IRNazanin" w:eastAsia="IRNazanin" w:cs="IRNazanin"/>
          <w:lang w:bidi="fa-IR"/>
          <w:color w:val="111111"/>
          <w:sz w:val="28"/>
          <w:szCs w:val="28"/>
          <w:rtl/>
        </w:rPr>
        <w:t xml:space="preserve">← پاتولوژی ← شفائیه</w:t>
      </w:r>
    </w:p>
    <w:p>
      <w:pPr>
        <w:pStyle w:val="BookText"/>
      </w:pPr>
      <w:r>
        <w:rPr>
          <w:rFonts w:ascii="IRNazanin" w:hAnsi="IRNazanin" w:eastAsia="IRNazanin" w:cs="IRNazanin"/>
          <w:lang w:bidi="fa-IR"/>
          <w:color w:val="111111"/>
          <w:sz w:val="28"/>
          <w:szCs w:val="28"/>
          <w:rtl/>
        </w:rPr>
        <w:t xml:space="preserve">← پاتولوژی ← علم الأمراض</w:t>
      </w:r>
    </w:p>
    <w:p>
      <w:pPr>
        <w:pStyle w:val="Heading3"/>
      </w:pPr>
      <w:bookmarkStart w:id="1486" w:name="_Toc746"/>
      <w:r>
        <w:t>• پاتولوژی = خمسه ناصری / طب / فارسی</w:t>
      </w:r>
      <w:bookmarkEnd w:id="1486"/>
    </w:p>
    <w:p>
      <w:pPr>
        <w:pStyle w:val="BookText"/>
      </w:pPr>
      <w:r>
        <w:rPr>
          <w:rFonts w:ascii="Times New Roman" w:hAnsi="Times New Roman" w:eastAsia="Times New Roman" w:cs="Times New Roman"/>
          <w:lang w:val="en-US" w:bidi="en-US"/>
          <w:color w:val="111111"/>
          <w:sz w:val="28"/>
          <w:szCs w:val="28"/>
          <w:rtl/>
        </w:rPr>
        <w:t xml:space="preserve">pātoložī= xamse-ye nāserī</w:t>
      </w:r>
    </w:p>
    <w:p>
      <w:pPr>
        <w:pStyle w:val="BookText"/>
      </w:pPr>
      <w:r>
        <w:rPr>
          <w:rFonts w:ascii="IRNazanin" w:hAnsi="IRNazanin" w:eastAsia="IRNazanin" w:cs="IRNazanin"/>
          <w:lang w:bidi="fa-IR"/>
          <w:color w:val="111111"/>
          <w:sz w:val="28"/>
          <w:szCs w:val="28"/>
          <w:rtl/>
        </w:rPr>
        <w:t xml:space="preserve">طبيب قوچانی، میرزا نصرت، ق ۱۴ قمری</w:t>
      </w:r>
    </w:p>
    <w:p>
      <w:pPr>
        <w:pStyle w:val="BookText"/>
      </w:pPr>
      <w:r>
        <w:rPr>
          <w:rFonts w:ascii="Times New Roman" w:hAnsi="Times New Roman" w:eastAsia="Times New Roman" w:cs="Times New Roman"/>
          <w:lang w:val="en-US" w:bidi="en-US"/>
          <w:color w:val="111111"/>
          <w:sz w:val="28"/>
          <w:szCs w:val="28"/>
          <w:rtl/>
        </w:rPr>
        <w:t xml:space="preserve">tabīb-e qūčānī, mīrzā nosrat (- 20c)</w:t>
      </w:r>
    </w:p>
    <w:p>
      <w:pPr>
        <w:pStyle w:val="BookText"/>
      </w:pPr>
      <w:r>
        <w:rPr>
          <w:rFonts w:ascii="IRNazanin" w:hAnsi="IRNazanin" w:eastAsia="IRNazanin" w:cs="IRNazanin"/>
          <w:lang w:bidi="fa-IR"/>
          <w:color w:val="111111"/>
          <w:sz w:val="28"/>
          <w:szCs w:val="28"/>
          <w:rtl/>
        </w:rPr>
        <w:t xml:space="preserve">اهدا به: ناصر الدین شاه</w:t>
      </w:r>
    </w:p>
    <w:p>
      <w:pPr>
        <w:pStyle w:val="BookText"/>
      </w:pPr>
      <w:r>
        <w:rPr>
          <w:rFonts w:ascii="IRNazanin" w:hAnsi="IRNazanin" w:eastAsia="IRNazanin" w:cs="IRNazanin"/>
          <w:lang w:bidi="fa-IR"/>
          <w:color w:val="111111"/>
          <w:sz w:val="28"/>
          <w:szCs w:val="28"/>
          <w:rtl/>
        </w:rPr>
        <w:t xml:space="preserve">در اصول علم و عمل طب جدید در یک «مقدمه» و شش مقاله: مقدمه در فضیلت علم طب و تشریح و معالجات و نکات لازم؛ مقاله 1. علم انساج و تولید جنین، در دو فصل؛ فقره ۲. تشریح بدن انسانی، شامل هشت فصل؛ فقره 3. فیزیولوژی؛ فقره ۴. معالجه امراض مشتمل بر دوازده فصل که دو فصل آن بدون شماره گذاری است. چنین معلوم می شود که ترجمه گونه است زیرا در اواخر فصل هفتم از فقره چهارم آمده: «مترجم در مریضخانه دولتی ایران چندین نفر مریض حمره چشم را دیده ام که بکلی کور شده اند ..» آغاز: حمد بی پایان و ثنای فراوان سزاوار حکیمی است جلت و عظمت شانه که دست حکمتش تن موجودات را به تشریف وجود آراسته ... [دنا ۶۱۶/۲ ؛ فهرستواره منزوی ۳۳۲۶/۵ ]</w:t>
      </w:r>
    </w:p>
    <w:p>
      <w:pPr>
        <w:pStyle w:val="BookText"/>
      </w:pPr>
      <w:r>
        <w:rPr>
          <w:rFonts w:ascii="IRNazanin" w:hAnsi="IRNazanin" w:eastAsia="IRNazanin" w:cs="IRNazanin"/>
          <w:lang w:bidi="fa-IR"/>
          <w:color w:val="111111"/>
          <w:sz w:val="28"/>
          <w:szCs w:val="28"/>
          <w:rtl/>
        </w:rPr>
        <w:t xml:space="preserve">۱. همدان، دانشگاه بوعلی؛ شماره نسخه: ۱۴۴</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کاتب = مؤلف، تا: پنج شنبه ۱۲ جمادی الثانی ۱۳۱۶ق؛ قبل از کتاب فهرست و بیوگرافی مؤلف آمده؛ جلد: تیماج قهوه ای، ۳۳۵گ، ۲۰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۷۴]</w:t>
      </w:r>
    </w:p>
    <w:p>
      <w:pPr>
        <w:pStyle w:val="BookText"/>
      </w:pPr>
      <w:r>
        <w:rPr>
          <w:rFonts w:ascii="IRNazanin" w:hAnsi="IRNazanin" w:eastAsia="IRNazanin" w:cs="IRNazanin"/>
          <w:lang w:bidi="fa-IR"/>
          <w:color w:val="111111"/>
          <w:sz w:val="28"/>
          <w:szCs w:val="28"/>
          <w:rtl/>
        </w:rPr>
        <w:t xml:space="preserve">۲. مشهد؛ گوهرشاد؛ شماره نسخه: ۴۰۶</w:t>
      </w:r>
    </w:p>
    <w:p>
      <w:pPr>
        <w:pStyle w:val="BookText"/>
      </w:pPr>
      <w:r>
        <w:rPr>
          <w:rFonts w:ascii="IRNazanin" w:hAnsi="IRNazanin" w:eastAsia="IRNazanin" w:cs="IRNazanin"/>
          <w:lang w:bidi="fa-IR"/>
          <w:color w:val="111111"/>
          <w:sz w:val="28"/>
          <w:szCs w:val="28"/>
          <w:rtl/>
        </w:rPr>
        <w:t xml:space="preserve">آغاز: کرمش از دوا مستغنی اند و رنجوران بیمارستان رحمتش از شفا بی نیاز ... کمترین در عهد جوانی ترک وطن مألوف نموده در این خطه مینو نشان مسکن گرفتم به بینوای ساختم و با بی برگی بسر بردم، مدت سی سال در این مدرسه خالی از وسوسه تحصیل نمودم ... در این اواخر بخیال افتادم که نسخه از ماحصل تحصیلهای خود از طب جدید که معمول به اطبای بزرگوار این روزگار است</w:t>
      </w:r>
    </w:p>
    <w:p>
      <w:pPr>
        <w:pStyle w:val="BookText"/>
      </w:pPr>
      <w:r>
        <w:rPr>
          <w:rFonts w:ascii="IRNazanin" w:hAnsi="IRNazanin" w:eastAsia="IRNazanin" w:cs="IRNazanin"/>
          <w:lang w:bidi="fa-IR"/>
          <w:color w:val="111111"/>
          <w:sz w:val="28"/>
          <w:szCs w:val="28"/>
          <w:rtl/>
        </w:rPr>
        <w:t xml:space="preserve">خط: نسخ، كان صادق طبيب دامغانی الاصل تهراني المسكن، تا: ۱۳۱۴ق، فقره دوم در شنبه ۱۲ ربیع الاول ۱۳۱۴ ق در عهد مظفرالدین شاه و فقره چهارم در ۱۳۱۶ق؛ یادداشتی به خط مؤلف که کاتب نسخه سید صادق حافظ الصحه تمام آن را بر مؤلف خوانده و مؤلف به او اجازه طبابت داده است مورخ ۱۴ جمادی الأول ۱۳۱۷ق؛ مهر: حاج سید سعید؛ کاغذ: کاهی، جلد: تیماج قهوه ای، ۲۷۴گ، ۱۹ سطر(۱۰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۱۵سم[ف: ۲- ۵۱۴]</w:t>
      </w:r>
    </w:p>
    <w:p>
      <w:pPr>
        <w:pStyle w:val="Heading3"/>
      </w:pPr>
      <w:bookmarkStart w:id="1487" w:name="_Toc747"/>
      <w:r>
        <w:t>• پاتولوژی = العلل و الأمراض = کتاب امراض اطب / فارسی</w:t>
      </w:r>
      <w:bookmarkEnd w:id="1487"/>
    </w:p>
    <w:p>
      <w:pPr>
        <w:pStyle w:val="BookText"/>
      </w:pPr>
      <w:r>
        <w:rPr>
          <w:rFonts w:ascii="Times New Roman" w:hAnsi="Times New Roman" w:eastAsia="Times New Roman" w:cs="Times New Roman"/>
          <w:lang w:val="en-US" w:bidi="en-US"/>
          <w:color w:val="111111"/>
          <w:sz w:val="28"/>
          <w:szCs w:val="28"/>
          <w:rtl/>
        </w:rPr>
        <w:t xml:space="preserve">pātoložī= al-'elal va-l amrāz=k.-e amrāz</w:t>
      </w:r>
    </w:p>
    <w:p>
      <w:pPr>
        <w:pStyle w:val="BookText"/>
      </w:pPr>
      <w:r>
        <w:rPr>
          <w:rFonts w:ascii="IRNazanin" w:hAnsi="IRNazanin" w:eastAsia="IRNazanin" w:cs="IRNazanin"/>
          <w:lang w:bidi="fa-IR"/>
          <w:color w:val="111111"/>
          <w:sz w:val="28"/>
          <w:szCs w:val="28"/>
          <w:rtl/>
        </w:rPr>
        <w:t xml:space="preserve">کریزل، ۱۸۱۱-۱۸۷۲ میلادی</w:t>
      </w:r>
    </w:p>
    <w:p>
      <w:pPr>
        <w:pStyle w:val="BookText"/>
      </w:pPr>
      <w:r>
        <w:rPr>
          <w:rFonts w:ascii="Times New Roman" w:hAnsi="Times New Roman" w:eastAsia="Times New Roman" w:cs="Times New Roman"/>
          <w:lang w:val="en-US" w:bidi="en-US"/>
          <w:color w:val="111111"/>
          <w:sz w:val="28"/>
          <w:szCs w:val="28"/>
          <w:rtl/>
        </w:rPr>
        <w:t xml:space="preserve">kerizel (1811-1872)</w:t>
      </w:r>
    </w:p>
    <w:p>
      <w:pPr>
        <w:pStyle w:val="BookText"/>
      </w:pPr>
      <w:r>
        <w:rPr>
          <w:rFonts w:ascii="IRNazanin" w:hAnsi="IRNazanin" w:eastAsia="IRNazanin" w:cs="IRNazanin"/>
          <w:lang w:bidi="fa-IR"/>
          <w:color w:val="111111"/>
          <w:sz w:val="28"/>
          <w:szCs w:val="28"/>
          <w:rtl/>
        </w:rPr>
        <w:t xml:space="preserve">مترجم: علی آبادی ، میرزا رضا ق ۱۴ قمری</w:t>
      </w:r>
    </w:p>
    <w:p>
      <w:pPr>
        <w:pStyle w:val="BookText"/>
      </w:pPr>
      <w:r>
        <w:rPr>
          <w:rFonts w:ascii="IRNazanin" w:hAnsi="IRNazanin" w:eastAsia="IRNazanin" w:cs="IRNazanin"/>
          <w:lang w:bidi="fa-IR"/>
          <w:color w:val="111111"/>
          <w:sz w:val="28"/>
          <w:szCs w:val="28"/>
          <w:rtl/>
        </w:rPr>
        <w:t xml:space="preserve">تاریخ تأليف: ۱۳۱۸ق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 ترجمه از کار کریزل فرانسوی معرفی شده که ترجمه على آبادی و تنکابنی معروف است و از کسان دیگری به صورت نامشخص نامبرده شده که بیشتر باید از دانش آموختگان دارالفنون باشند. نسخه ها نیز به جهت شباهت سر آغاز ها اختلاط دارد. کتابی است در بیان تقسیم و اسباب و علامات و رفتار و دوام و نکس و عود امراض مشتمل بر ده «کتاب»: در حمیات، در امراض حاصله از تغییرات ترکیب خون، در اورام، در اقسام نزف الدم، در ترشحات مرضی، در امراض حاصله از سموم، در امراض حاصله از تغییر تغذیه است، در امراض حاصله از تغییر الات و حصول اشياء غیر طبیعی در بدن، در امراض عصبانی، در امراض مخصوصه به هر آلت و هر عضو.</w:t>
      </w:r>
    </w:p>
    <w:p>
      <w:pPr>
        <w:pStyle w:val="BookText"/>
      </w:pPr>
      <w:r>
        <w:rPr>
          <w:rFonts w:ascii="IRNazanin" w:hAnsi="IRNazanin" w:eastAsia="IRNazanin" w:cs="IRNazanin"/>
          <w:lang w:bidi="fa-IR"/>
          <w:color w:val="111111"/>
          <w:sz w:val="28"/>
          <w:szCs w:val="28"/>
          <w:rtl/>
        </w:rPr>
        <w:t xml:space="preserve">آغاز 1: بسمله. اما بعد بدانکه علم بطبایع امراض</w:t>
      </w:r>
    </w:p>
    <w:p>
      <w:pPr>
        <w:pStyle w:val="BookText"/>
      </w:pPr>
      <w:r>
        <w:rPr>
          <w:rFonts w:ascii="IRNazanin" w:hAnsi="IRNazanin" w:eastAsia="IRNazanin" w:cs="IRNazanin"/>
          <w:lang w:bidi="fa-IR"/>
          <w:color w:val="111111"/>
          <w:sz w:val="28"/>
          <w:szCs w:val="28"/>
          <w:rtl/>
        </w:rPr>
        <w:t xml:space="preserve">علمی است که شناخته می شود از او اعمال بدن انسانی در حالت مرض، چنانکه علم باعمال بدن حیوان علمی است که شناخته می شود</w:t>
      </w:r>
    </w:p>
    <w:p>
      <w:pPr>
        <w:pStyle w:val="BookText"/>
      </w:pPr>
      <w:r>
        <w:rPr>
          <w:rFonts w:ascii="IRNazanin" w:hAnsi="IRNazanin" w:eastAsia="IRNazanin" w:cs="IRNazanin"/>
          <w:lang w:bidi="fa-IR"/>
          <w:color w:val="111111"/>
          <w:sz w:val="28"/>
          <w:szCs w:val="28"/>
          <w:rtl/>
        </w:rPr>
        <w:t xml:space="preserve">آغاز ۲: بسمله پاتولوژی علمی است که در او گفتگو می شود از حال بدن انسان از حیث مرض همینکه در فیزیولوژی گفتگو می شود از احوالات بدن انسان و حالت صحت</w:t>
      </w:r>
    </w:p>
    <w:p>
      <w:pPr>
        <w:pStyle w:val="BookText"/>
      </w:pPr>
      <w:r>
        <w:rPr>
          <w:rFonts w:ascii="IRNazanin" w:hAnsi="IRNazanin" w:eastAsia="IRNazanin" w:cs="IRNazanin"/>
          <w:lang w:bidi="fa-IR"/>
          <w:color w:val="111111"/>
          <w:sz w:val="28"/>
          <w:szCs w:val="28"/>
          <w:rtl/>
        </w:rPr>
        <w:t xml:space="preserve">[دنا ۶۱۵/۲ (۱۶ نسخه)؛ نسخه های منزوی ۴۸۵/۱ ؛ فهرستواره منزوی: ۳۳۲۶/۵ و ۳۵۹۱/۵ ؛ کتاب شناسی نسخ خطی پزشکی ایران: ۴۲؛ مكتبة امير المؤمنین ۱۳۱/۱]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 ۹۵۷۸</w:t>
      </w:r>
    </w:p>
    <w:p>
      <w:pPr>
        <w:pStyle w:val="BookText"/>
      </w:pPr>
      <w:r>
        <w:rPr>
          <w:rFonts w:ascii="IRNazanin" w:hAnsi="IRNazanin" w:eastAsia="IRNazanin" w:cs="IRNazanin"/>
          <w:lang w:bidi="fa-IR"/>
          <w:color w:val="111111"/>
          <w:sz w:val="28"/>
          <w:szCs w:val="28"/>
          <w:rtl/>
        </w:rPr>
        <w:t xml:space="preserve">آغاز: برابر1</w:t>
      </w:r>
    </w:p>
    <w:p>
      <w:pPr>
        <w:pStyle w:val="BookText"/>
      </w:pPr>
      <w:r>
        <w:rPr>
          <w:rFonts w:ascii="IRNazanin" w:hAnsi="IRNazanin" w:eastAsia="IRNazanin" w:cs="IRNazanin"/>
          <w:lang w:bidi="fa-IR"/>
          <w:color w:val="111111"/>
          <w:sz w:val="28"/>
          <w:szCs w:val="28"/>
          <w:rtl/>
        </w:rPr>
        <w:t xml:space="preserve">نام مؤلف به قرینه آغاز نسخه به دست آمد؛ خط: نستعلیق، كان على اكبر متطبب علی آبادی، تا: ۱۹ جمادی الاول ۱۰۳۳ق [این تاریخ نباید صحیح باشد چون با تاریخ ترجمه ناهماهنگ است؛ در انجام نسخه می رسد به نضج پری کارد یعنی غشاء مجلل قلب،</w:t>
      </w:r>
    </w:p>
    <w:p>
      <w:pPr>
        <w:pStyle w:val="BookText"/>
      </w:pPr>
      <w:r>
        <w:rPr>
          <w:rFonts w:ascii="IRNazanin" w:hAnsi="IRNazanin" w:eastAsia="IRNazanin" w:cs="IRNazanin"/>
          <w:lang w:bidi="fa-IR"/>
          <w:color w:val="111111"/>
          <w:sz w:val="28"/>
          <w:szCs w:val="28"/>
          <w:rtl/>
        </w:rPr>
        <w:t xml:space="preserve">کتاب ۱ قسم اول از اقسام امراض در حمیات تا پایان مجلد پنجم است؛ کاغذ: فرنگی، جلد: تیماج حنایی ضربی مقوایی، خشتی، ۴۶۵گ، ۱۶ سطر (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۱۶/۵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۱۷-۴۱۳]</w:t>
      </w:r>
    </w:p>
    <w:p>
      <w:pPr>
        <w:pStyle w:val="BookText"/>
      </w:pPr>
      <w:r>
        <w:rPr>
          <w:rFonts w:ascii="IRNazanin" w:hAnsi="IRNazanin" w:eastAsia="IRNazanin" w:cs="IRNazanin"/>
          <w:lang w:bidi="fa-IR"/>
          <w:color w:val="111111"/>
          <w:sz w:val="28"/>
          <w:szCs w:val="28"/>
          <w:rtl/>
        </w:rPr>
        <w:t xml:space="preserve">۲. تهران؛ مجلس؛ شماره نسخه: ۶۱۳۴</w:t>
      </w:r>
    </w:p>
    <w:p>
      <w:pPr>
        <w:pStyle w:val="BookText"/>
      </w:pPr>
      <w:r>
        <w:rPr>
          <w:rFonts w:ascii="IRNazanin" w:hAnsi="IRNazanin" w:eastAsia="IRNazanin" w:cs="IRNazanin"/>
          <w:lang w:bidi="fa-IR"/>
          <w:color w:val="111111"/>
          <w:sz w:val="28"/>
          <w:szCs w:val="28"/>
          <w:rtl/>
        </w:rPr>
        <w:t xml:space="preserve">جلد یکم کتاب؛ خط: شکسته نستعلیق، بی کا، تا: قرن ۱۳؛ کاغذ: فرنگی سفید کار، جلد: تیماج قهوه ای، ۷۱۷ص، ۱۹ سطر، قطع: خشتی، اندازه: ۲۲/۵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سم [ف: ۱۹-۱۲۶]</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ملی؛ شماره نسخه: ۲۷۷۷</w:t>
      </w:r>
    </w:p>
    <w:p>
      <w:pPr>
        <w:pStyle w:val="BookText"/>
      </w:pPr>
      <w:r>
        <w:rPr>
          <w:rFonts w:ascii="IRNazanin" w:hAnsi="IRNazanin" w:eastAsia="IRNazanin" w:cs="IRNazanin"/>
          <w:lang w:bidi="fa-IR"/>
          <w:color w:val="111111"/>
          <w:sz w:val="28"/>
          <w:szCs w:val="28"/>
          <w:rtl/>
        </w:rPr>
        <w:t xml:space="preserve">آغاز: برابر ۱؛ انجام: ولی از تجربه معلوم گشته است که یک طريق مخصوص جهت امراض علمی است. در فهرست ناشناس؛ خط: نستعلیق، بی کا، تا: محتملا اواخر قرن ۱۳؛ کاغذ: فرنگی، جلد: تیماج تریاکی مقوایی، ۳۳۳گ، ۲۰سطر کامل (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w:t>
      </w:r>
    </w:p>
    <w:p>
      <w:pPr>
        <w:pStyle w:val="BookText"/>
      </w:pPr>
      <w:r>
        <w:rPr>
          <w:rFonts w:ascii="IRNazanin" w:hAnsi="IRNazanin" w:eastAsia="IRNazanin" w:cs="IRNazanin"/>
          <w:lang w:bidi="fa-IR"/>
          <w:color w:val="111111"/>
          <w:sz w:val="28"/>
          <w:szCs w:val="28"/>
          <w:rtl/>
        </w:rPr>
        <w:t xml:space="preserve">سم [ف: ۶-۳۹۸]</w:t>
      </w:r>
    </w:p>
    <w:p>
      <w:pPr>
        <w:pStyle w:val="BookText"/>
      </w:pPr>
      <w:r>
        <w:rPr>
          <w:rFonts w:ascii="IRNazanin" w:hAnsi="IRNazanin" w:eastAsia="IRNazanin" w:cs="IRNazanin"/>
          <w:lang w:bidi="fa-IR"/>
          <w:color w:val="111111"/>
          <w:sz w:val="28"/>
          <w:szCs w:val="28"/>
          <w:rtl/>
        </w:rPr>
        <w:t xml:space="preserve">۴. مشهد؛ رضوی؛ شماره نسخه: ۵۲۰۳</w:t>
      </w:r>
    </w:p>
    <w:p>
      <w:pPr>
        <w:pStyle w:val="BookText"/>
      </w:pPr>
      <w:r>
        <w:rPr>
          <w:rFonts w:ascii="IRNazanin" w:hAnsi="IRNazanin" w:eastAsia="IRNazanin" w:cs="IRNazanin"/>
          <w:lang w:bidi="fa-IR"/>
          <w:color w:val="111111"/>
          <w:sz w:val="28"/>
          <w:szCs w:val="28"/>
          <w:rtl/>
        </w:rPr>
        <w:t xml:space="preserve">آغاز: برابر ۱؛ انجام: سبب اصلی او را یافت خواهد نمود و چون از جميع تغییرات دم کم شدن.</w:t>
      </w:r>
    </w:p>
    <w:p>
      <w:pPr>
        <w:pStyle w:val="BookText"/>
      </w:pPr>
      <w:r>
        <w:rPr>
          <w:rFonts w:ascii="IRNazanin" w:hAnsi="IRNazanin" w:eastAsia="IRNazanin" w:cs="IRNazanin"/>
          <w:lang w:bidi="fa-IR"/>
          <w:color w:val="111111"/>
          <w:sz w:val="28"/>
          <w:szCs w:val="28"/>
          <w:rtl/>
        </w:rPr>
        <w:t xml:space="preserve">خط: نستعلیق مخلوط بشکسته کم اعجام، بی کا، تا: قرن ۱۳؛ واقف: حاج قائم مقام، بهمن ۱۳۹۶، کاغذ: نخودی فرنگی آهاری، جلد: تیماج، ۳۶۲گ، ۱۷ 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۱۷/۴</w:t>
      </w:r>
    </w:p>
    <w:p>
      <w:pPr>
        <w:pStyle w:val="BookText"/>
      </w:pPr>
      <w:r>
        <w:rPr>
          <w:rFonts w:ascii="IRNazanin" w:hAnsi="IRNazanin" w:eastAsia="IRNazanin" w:cs="IRNazanin"/>
          <w:lang w:bidi="fa-IR"/>
          <w:color w:val="111111"/>
          <w:sz w:val="28"/>
          <w:szCs w:val="28"/>
          <w:rtl/>
        </w:rPr>
        <w:t xml:space="preserve">سم [ف: ۶۹-۱۹ ]</w:t>
      </w:r>
    </w:p>
    <w:p>
      <w:pPr>
        <w:pStyle w:val="BookText"/>
      </w:pPr>
      <w:r>
        <w:rPr>
          <w:rFonts w:ascii="IRNazanin" w:hAnsi="IRNazanin" w:eastAsia="IRNazanin" w:cs="IRNazanin"/>
          <w:lang w:bidi="fa-IR"/>
          <w:color w:val="111111"/>
          <w:sz w:val="28"/>
          <w:szCs w:val="28"/>
          <w:rtl/>
        </w:rPr>
        <w:t xml:space="preserve">۵. تهران: مجلس؛ شماره نسخه: ۴۱۱۱</w:t>
      </w:r>
    </w:p>
    <w:p>
      <w:pPr>
        <w:pStyle w:val="BookText"/>
      </w:pPr>
      <w:r>
        <w:rPr>
          <w:rFonts w:ascii="IRNazanin" w:hAnsi="IRNazanin" w:eastAsia="IRNazanin" w:cs="IRNazanin"/>
          <w:lang w:bidi="fa-IR"/>
          <w:color w:val="111111"/>
          <w:sz w:val="28"/>
          <w:szCs w:val="28"/>
          <w:rtl/>
        </w:rPr>
        <w:t xml:space="preserve">آغاز: برابر ۱؛ انجام: بخودی خود جذب شود. قد تم المجلد الأول من كتاب العلل و الأمراض في يوم الاثنين (۱۸ رجب ۱۲۹۱ بید ... این کتاب شانزده هزار و دویست و پنجاه الی چهار صد بیت کتابت دارد)</w:t>
      </w:r>
    </w:p>
    <w:p>
      <w:pPr>
        <w:pStyle w:val="BookText"/>
      </w:pPr>
      <w:r>
        <w:rPr>
          <w:rFonts w:ascii="IRNazanin" w:hAnsi="IRNazanin" w:eastAsia="IRNazanin" w:cs="IRNazanin"/>
          <w:lang w:bidi="fa-IR"/>
          <w:color w:val="111111"/>
          <w:sz w:val="28"/>
          <w:szCs w:val="28"/>
          <w:rtl/>
        </w:rPr>
        <w:t xml:space="preserve">جلد یکم؛ خط: نستعلیق، كان عبد الوهاب بن میرزا محمد حسن وقایع نگار شیرازی، تا: دوشنبه ۱۸ رجب ۱۲۹۱ق؛ دو فهرست یکی به فرانسه و دیگری به فارسی در آغاز دارد؛ کاغذ: فرنگی، جلد: تیماج زرد، ۴۰۴گ، ۱۸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۱۱-۱۰۷]</w:t>
      </w:r>
    </w:p>
    <w:p>
      <w:pPr>
        <w:pStyle w:val="BookText"/>
      </w:pPr>
      <w:r>
        <w:rPr>
          <w:rFonts w:ascii="IRNazanin" w:hAnsi="IRNazanin" w:eastAsia="IRNazanin" w:cs="IRNazanin"/>
          <w:lang w:bidi="fa-IR"/>
          <w:color w:val="111111"/>
          <w:sz w:val="28"/>
          <w:szCs w:val="28"/>
          <w:rtl/>
        </w:rPr>
        <w:t xml:space="preserve">۶. مشهد؛ رضوی؛ شماره نسخه: ۷۴۷۹</w:t>
      </w:r>
    </w:p>
    <w:p>
      <w:pPr>
        <w:pStyle w:val="BookText"/>
      </w:pPr>
      <w:r>
        <w:rPr>
          <w:rFonts w:ascii="IRNazanin" w:hAnsi="IRNazanin" w:eastAsia="IRNazanin" w:cs="IRNazanin"/>
          <w:lang w:bidi="fa-IR"/>
          <w:color w:val="111111"/>
          <w:sz w:val="28"/>
          <w:szCs w:val="28"/>
          <w:rtl/>
        </w:rPr>
        <w:t xml:space="preserve">آغاز: برابر ۱؛ انجام: مثال دویم بعکس می باشد</w:t>
      </w:r>
    </w:p>
    <w:p>
      <w:pPr>
        <w:pStyle w:val="BookText"/>
      </w:pPr>
      <w:r>
        <w:rPr>
          <w:rFonts w:ascii="IRNazanin" w:hAnsi="IRNazanin" w:eastAsia="IRNazanin" w:cs="IRNazanin"/>
          <w:lang w:bidi="fa-IR"/>
          <w:color w:val="111111"/>
          <w:sz w:val="28"/>
          <w:szCs w:val="28"/>
          <w:rtl/>
        </w:rPr>
        <w:t xml:space="preserve">خط: نسخ، كا: ابراهیم اصفهانی، تا: ۵ ربیع الاول ۱۲۹۳ق؛ کاغذ: شکری آهاری، جلد: تیماج قهوه ای، ۴۳۵گ، ۱۵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۱۹-۶۸]</w:t>
      </w:r>
    </w:p>
    <w:p>
      <w:pPr>
        <w:pStyle w:val="BookText"/>
      </w:pPr>
      <w:r>
        <w:rPr>
          <w:rFonts w:ascii="IRNazanin" w:hAnsi="IRNazanin" w:eastAsia="IRNazanin" w:cs="IRNazanin"/>
          <w:lang w:bidi="fa-IR"/>
          <w:color w:val="111111"/>
          <w:sz w:val="28"/>
          <w:szCs w:val="28"/>
          <w:rtl/>
        </w:rPr>
        <w:t xml:space="preserve">6 . قم؛ مسجد اعظم؛ شماره نسخه: ۳۳۳۸</w:t>
      </w:r>
    </w:p>
    <w:p>
      <w:pPr>
        <w:pStyle w:val="BookText"/>
      </w:pPr>
      <w:r>
        <w:rPr>
          <w:rFonts w:ascii="IRNazanin" w:hAnsi="IRNazanin" w:eastAsia="IRNazanin" w:cs="IRNazanin"/>
          <w:lang w:bidi="fa-IR"/>
          <w:color w:val="111111"/>
          <w:sz w:val="28"/>
          <w:szCs w:val="28"/>
          <w:rtl/>
        </w:rPr>
        <w:t xml:space="preserve">آغاز: برابر ۱؛ انجام: زیرا که از افتادن اسکار مورث بروز نرف الدم شود و چون اغلب این مرض بلغمی مزاج ... و مبتلی گردند استعمال مقویه و اغذیه مقویه و شراب کهنه کهنه و غیره نافعست خط: نستعلیق، بی کا، تا: 3 ربيع الاول ۱۲۹۷ق، حسب فرمایش آقا میرزا علی آقا حكیم باشی حضرت ولیعهد؛ مصحح، یادداشتی از على نقی بن حسن بن رحیم بن رضی متطبب در ۱۲۹۷ ق با مهر عبده علی»(بیضوی)؛ مهر: «الراجی علی بن علینقی»(بیضوی)؛ جلد: تیماج قهوه ای با ترنج بزرگ زیبا مجدول، ۳۷۸گ، ۱۴ و ۱۵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مخ: ۱-۲۹۸]</w:t>
      </w:r>
    </w:p>
    <w:p>
      <w:pPr>
        <w:pStyle w:val="BookText"/>
      </w:pPr>
      <w:r>
        <w:rPr>
          <w:rFonts w:ascii="IRNazanin" w:hAnsi="IRNazanin" w:eastAsia="IRNazanin" w:cs="IRNazanin"/>
          <w:lang w:bidi="fa-IR"/>
          <w:color w:val="111111"/>
          <w:sz w:val="28"/>
          <w:szCs w:val="28"/>
          <w:rtl/>
        </w:rPr>
        <w:t xml:space="preserve">۸. قم؛ مرعشی؛ شماره نسخه: ۷۶۴۲</w:t>
      </w:r>
    </w:p>
    <w:p>
      <w:pPr>
        <w:pStyle w:val="BookText"/>
      </w:pPr>
      <w:r>
        <w:rPr>
          <w:rFonts w:ascii="IRNazanin" w:hAnsi="IRNazanin" w:eastAsia="IRNazanin" w:cs="IRNazanin"/>
          <w:lang w:bidi="fa-IR"/>
          <w:color w:val="111111"/>
          <w:sz w:val="28"/>
          <w:szCs w:val="28"/>
          <w:rtl/>
        </w:rPr>
        <w:t xml:space="preserve">آغاز: برابر ۱؛ انجام: مورث اختناق گردد و خطر زیاد است و چون هنو موتراکس</w:t>
      </w:r>
    </w:p>
    <w:p>
      <w:pPr>
        <w:pStyle w:val="BookText"/>
      </w:pPr>
      <w:r>
        <w:rPr>
          <w:rFonts w:ascii="IRNazanin" w:hAnsi="IRNazanin" w:eastAsia="IRNazanin" w:cs="IRNazanin"/>
          <w:lang w:bidi="fa-IR"/>
          <w:color w:val="111111"/>
          <w:sz w:val="28"/>
          <w:szCs w:val="28"/>
          <w:rtl/>
        </w:rPr>
        <w:t xml:space="preserve">خط: نستعلیق، بی کا، تا: شوال ۱۲۹۷ق، (پایان کتاب سوم)؛ جلد: تیماج قهوه ای، ۲۵۵گ، مختلف السطر،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سم [ف: ۴۴-۲۰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قم؛ مرعشی؛ شماره نسخه: ۱۰۴۴۹/۱</w:t>
      </w:r>
    </w:p>
    <w:p>
      <w:pPr>
        <w:pStyle w:val="BookText"/>
      </w:pPr>
      <w:r>
        <w:rPr>
          <w:rFonts w:ascii="IRNazanin" w:hAnsi="IRNazanin" w:eastAsia="IRNazanin" w:cs="IRNazanin"/>
          <w:lang w:bidi="fa-IR"/>
          <w:color w:val="111111"/>
          <w:sz w:val="28"/>
          <w:szCs w:val="28"/>
          <w:rtl/>
        </w:rPr>
        <w:t xml:space="preserve">خط: نستعلیق، كا: تقی بن ملا کاظم لاهیجانی، تا: سه شنبه غره ذیحجه ۱۲۹۸ ق، برای مقرب الخاقان حاج میرزا حبیب الله حکیم باشی؛ جلد: تیماج قهوه ای، ۴۵۸گ (۱پ-۴۵۸ر)، ۱۴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۲۶-۳۶۹]</w:t>
      </w:r>
    </w:p>
    <w:p>
      <w:pPr>
        <w:pStyle w:val="BookText"/>
      </w:pPr>
      <w:r>
        <w:rPr>
          <w:rFonts w:ascii="IRNazanin" w:hAnsi="IRNazanin" w:eastAsia="IRNazanin" w:cs="IRNazanin"/>
          <w:lang w:bidi="fa-IR"/>
          <w:color w:val="111111"/>
          <w:sz w:val="28"/>
          <w:szCs w:val="28"/>
          <w:rtl/>
        </w:rPr>
        <w:t xml:space="preserve">۱۰. تهران؛ ملی؛ شماره نسخه: ۸۲۳۰</w:t>
      </w:r>
    </w:p>
    <w:p>
      <w:pPr>
        <w:pStyle w:val="BookText"/>
      </w:pPr>
      <w:r>
        <w:rPr>
          <w:rFonts w:ascii="IRNazanin" w:hAnsi="IRNazanin" w:eastAsia="IRNazanin" w:cs="IRNazanin"/>
          <w:lang w:bidi="fa-IR"/>
          <w:color w:val="111111"/>
          <w:sz w:val="28"/>
          <w:szCs w:val="28"/>
          <w:rtl/>
        </w:rPr>
        <w:t xml:space="preserve">آغاز: بسمله، الكتاب السادس من كتب العشره من كتاب العلل و المراض في الأمراض الحاصله من السموم امراض سمی امراضی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که منتج شوند بواسطه دخول چیزی در بدن از هر یک از مجازی؛ انجام: و استحمام در ماء فاتر و قلیایی و گوگردی نمایند و نیز نافع است حمام بخار و دوش</w:t>
      </w:r>
    </w:p>
    <w:p>
      <w:pPr>
        <w:pStyle w:val="BookText"/>
      </w:pPr>
      <w:r>
        <w:rPr>
          <w:rFonts w:ascii="IRNazanin" w:hAnsi="IRNazanin" w:eastAsia="IRNazanin" w:cs="IRNazanin"/>
          <w:lang w:bidi="fa-IR"/>
          <w:color w:val="111111"/>
          <w:sz w:val="28"/>
          <w:szCs w:val="28"/>
          <w:rtl/>
        </w:rPr>
        <w:t xml:space="preserve">در نسخه نامی از مترجم نیامده و به علت عدم دسترسی به نسخه ای کامل از این کتاب، معلوم نشد ترجمه میرزا رضا پزشک فرانسوی مسلمان شده است یا سید حسن تنکابنی؛ کتاب ششم مشتمل بر امراض حاصله از سموم می باشد؛ خط: نستعلیق تحریری، كا: يوسف بن محمود، تا: یکشنبه ۱۷ جمادی الاول ۱۲۹۸ق؛ مصحح؛ کاغذ: فرنگی نخودی، جلد: تیماج قهوه ای مقوایی مجدول ضربی، ۸۳گ (۳-۸۶)، ۱۸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 ۱۷/۵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۲۲/۵ سم [رایانه]</w:t>
      </w:r>
    </w:p>
    <w:p>
      <w:pPr>
        <w:pStyle w:val="BookText"/>
      </w:pPr>
      <w:r>
        <w:rPr>
          <w:rFonts w:ascii="Amiri" w:hAnsi="Amiri" w:eastAsia="Amiri" w:cs="Amiri"/>
          <w:lang w:bidi="ar-SA"/>
          <w:color w:val="111111"/>
          <w:sz w:val="28"/>
          <w:szCs w:val="28"/>
          <w:rtl/>
        </w:rPr>
        <w:t xml:space="preserve">۱۱. تهران: عبد العظيم؛ شماره نسخه: ۶۶۱/۷</w:t>
      </w:r>
    </w:p>
    <w:p>
      <w:pPr>
        <w:pStyle w:val="BookText"/>
      </w:pPr>
      <w:r>
        <w:rPr>
          <w:rFonts w:ascii="IRNazanin" w:hAnsi="IRNazanin" w:eastAsia="IRNazanin" w:cs="IRNazanin"/>
          <w:lang w:bidi="fa-IR"/>
          <w:color w:val="111111"/>
          <w:sz w:val="28"/>
          <w:szCs w:val="28"/>
          <w:rtl/>
        </w:rPr>
        <w:t xml:space="preserve">آغاز: برابر ۲ انجام: بعض این علامات میل دارند که با یکدیگر بروز نمایند بواسط این ...</w:t>
      </w:r>
    </w:p>
    <w:p>
      <w:pPr>
        <w:pStyle w:val="BookText"/>
      </w:pPr>
      <w:r>
        <w:rPr>
          <w:rFonts w:ascii="IRNazanin" w:hAnsi="IRNazanin" w:eastAsia="IRNazanin" w:cs="IRNazanin"/>
          <w:lang w:bidi="fa-IR"/>
          <w:color w:val="111111"/>
          <w:sz w:val="28"/>
          <w:szCs w:val="28"/>
          <w:rtl/>
        </w:rPr>
        <w:t xml:space="preserve">بخش اندکی از کتاب را در بردارد؛ خط: شکسته نستعلیق، بی کا، تا: قرن ۱۴؛ ۸گ، ۲۲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سم [ف: ۱-۸۵ ]</w:t>
      </w:r>
    </w:p>
    <w:p>
      <w:pPr>
        <w:pStyle w:val="BookText"/>
      </w:pPr>
      <w:r>
        <w:rPr>
          <w:rFonts w:ascii="IRNazanin" w:hAnsi="IRNazanin" w:eastAsia="IRNazanin" w:cs="IRNazanin"/>
          <w:lang w:bidi="fa-IR"/>
          <w:color w:val="111111"/>
          <w:sz w:val="28"/>
          <w:szCs w:val="28"/>
          <w:rtl/>
        </w:rPr>
        <w:t xml:space="preserve">۱۲. قم؛ گلپایگانی؛ شماره نسخه: ۵۸۴۴/۲ - ۲۹/۱۸۴</w:t>
      </w:r>
    </w:p>
    <w:p>
      <w:pPr>
        <w:pStyle w:val="BookText"/>
      </w:pPr>
      <w:r>
        <w:rPr>
          <w:rFonts w:ascii="IRNazanin" w:hAnsi="IRNazanin" w:eastAsia="IRNazanin" w:cs="IRNazanin"/>
          <w:lang w:bidi="fa-IR"/>
          <w:color w:val="111111"/>
          <w:sz w:val="28"/>
          <w:szCs w:val="28"/>
          <w:rtl/>
        </w:rPr>
        <w:t xml:space="preserve">آغاز: برابر ۲؛ انجام: بروز این حمی درسن و دو سالگی تا ۴۵ سال به ندرت عارض می شود ... وليكن نوشته اند که پسرها با استعداد این مرض بر دختران وامزجه قویه بیشتر مستعدند اما خط: تحریری، بی کا، تا: قرن ۱۴؛ افتادگی: انجام؛ جلد: تیماج</w:t>
      </w:r>
    </w:p>
    <w:p>
      <w:pPr>
        <w:pStyle w:val="BookText"/>
      </w:pPr>
      <w:r>
        <w:rPr>
          <w:rFonts w:ascii="IRNazanin" w:hAnsi="IRNazanin" w:eastAsia="IRNazanin" w:cs="IRNazanin"/>
          <w:lang w:bidi="fa-IR"/>
          <w:color w:val="111111"/>
          <w:sz w:val="28"/>
          <w:szCs w:val="28"/>
          <w:rtl/>
        </w:rPr>
        <w:t xml:space="preserve">قهوه ای، ۱۷گ، ۲۴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۲-۶۶۱]</w:t>
      </w:r>
    </w:p>
    <w:p>
      <w:pPr>
        <w:pStyle w:val="BookText"/>
      </w:pPr>
      <w:r>
        <w:rPr>
          <w:rFonts w:ascii="IRNazanin" w:hAnsi="IRNazanin" w:eastAsia="IRNazanin" w:cs="IRNazanin"/>
          <w:lang w:bidi="fa-IR"/>
          <w:color w:val="111111"/>
          <w:sz w:val="28"/>
          <w:szCs w:val="28"/>
          <w:rtl/>
        </w:rPr>
        <w:t xml:space="preserve">۱۳. یزد؛ وزیری؛ شماره نسخه: ۴۸۳</w:t>
      </w:r>
    </w:p>
    <w:p>
      <w:pPr>
        <w:pStyle w:val="BookText"/>
      </w:pPr>
      <w:r>
        <w:rPr>
          <w:rFonts w:ascii="IRNazanin" w:hAnsi="IRNazanin" w:eastAsia="IRNazanin" w:cs="IRNazanin"/>
          <w:lang w:bidi="fa-IR"/>
          <w:color w:val="111111"/>
          <w:sz w:val="28"/>
          <w:szCs w:val="28"/>
          <w:rtl/>
        </w:rPr>
        <w:t xml:space="preserve">آغاز: برابر ۲؛ انجام: گاهی دیگر چندین سال طول می کشد ولی اغلب از ۹ الی ۱۵ ماه طول مرض است چنین مینماید که مرگ منتهى اليه اوست خط: نستعلیق شکسته، بی کا، تا: از اوایل قرن ۱۴؛ اهدایی: دکتر معتمد ریاضی؛ کاغذ: فرنگی، جلد: مقوایی با تیماج تریاکی،</w:t>
      </w:r>
    </w:p>
    <w:p>
      <w:pPr>
        <w:pStyle w:val="BookText"/>
      </w:pPr>
      <w:r>
        <w:rPr>
          <w:rFonts w:ascii="IRNazanin" w:hAnsi="IRNazanin" w:eastAsia="IRNazanin" w:cs="IRNazanin"/>
          <w:lang w:bidi="fa-IR"/>
          <w:color w:val="111111"/>
          <w:sz w:val="28"/>
          <w:szCs w:val="28"/>
          <w:rtl/>
        </w:rPr>
        <w:t xml:space="preserve">۴۸۱گ، ۲۰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۱-۴۲۳]</w:t>
      </w:r>
    </w:p>
    <w:p>
      <w:pPr>
        <w:pStyle w:val="BookText"/>
      </w:pPr>
      <w:r>
        <w:rPr>
          <w:rFonts w:ascii="IRNazanin" w:hAnsi="IRNazanin" w:eastAsia="IRNazanin" w:cs="IRNazanin"/>
          <w:lang w:bidi="fa-IR"/>
          <w:color w:val="111111"/>
          <w:sz w:val="28"/>
          <w:szCs w:val="28"/>
          <w:rtl/>
        </w:rPr>
        <w:t xml:space="preserve">۱۴. رشت؛ جمعیت نشر فرهنگ؛ شماره نسخه: نامعلوم</w:t>
      </w:r>
    </w:p>
    <w:p>
      <w:pPr>
        <w:pStyle w:val="BookText"/>
      </w:pPr>
      <w:r>
        <w:rPr>
          <w:rFonts w:ascii="IRNazanin" w:hAnsi="IRNazanin" w:eastAsia="IRNazanin" w:cs="IRNazanin"/>
          <w:lang w:bidi="fa-IR"/>
          <w:color w:val="111111"/>
          <w:sz w:val="28"/>
          <w:szCs w:val="28"/>
          <w:rtl/>
        </w:rPr>
        <w:t xml:space="preserve">آغاز: این جلد مشتمل بر پنج مقاله. مقاله اول که عبارت از مقاله ششم از مقالات عشره هر دو جلد است، دران پوازن ها یعنی معالجه سمومات و امراض سمیه، و مشتمل است بر مقدمه و چهار باب اما مقدمه در تعریف عمومی مسموم؛ انجام: مرض سیفلیس مزاجی است که در آلات تناسل به صورت و سیر آبله بروز می نماید و مخصوص است به یکی از بلاد اروپ و ارض جدید و لهذا در اینجا ایراد آن را ننمودیم. نیمه دوم است؛ خط: نستعلیق، كا: عباس قلی خان قاجار قزوینی طبيب، تا: ۱۶ ذیقعده ۱۳۰۳ق؛ جلد: چرمی، ۲۴۱ص، ۲۴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۱۷/۵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۲۲/۵سم (رشت و همدان: ف: ۱۰۹۵]</w:t>
      </w:r>
    </w:p>
    <w:p>
      <w:pPr>
        <w:pStyle w:val="BookText"/>
      </w:pPr>
      <w:r>
        <w:rPr>
          <w:rFonts w:ascii="IRNazanin" w:hAnsi="IRNazanin" w:eastAsia="IRNazanin" w:cs="IRNazanin"/>
          <w:lang w:bidi="fa-IR"/>
          <w:color w:val="111111"/>
          <w:sz w:val="28"/>
          <w:szCs w:val="28"/>
          <w:rtl/>
        </w:rPr>
        <w:t xml:space="preserve">۱۵. قم؛ گلپایگانی؛ شماره نسخه: ۸۵۸۹- ۵۸/۳۹</w:t>
      </w:r>
    </w:p>
    <w:p>
      <w:pPr>
        <w:pStyle w:val="BookText"/>
      </w:pPr>
      <w:r>
        <w:rPr>
          <w:rFonts w:ascii="IRNazanin" w:hAnsi="IRNazanin" w:eastAsia="IRNazanin" w:cs="IRNazanin"/>
          <w:lang w:bidi="fa-IR"/>
          <w:color w:val="111111"/>
          <w:sz w:val="28"/>
          <w:szCs w:val="28"/>
          <w:rtl/>
        </w:rPr>
        <w:t xml:space="preserve">آغاز: فهرست: جنس ششم از امراض در امراض حاصله از اثر سمومات. سموم و تعریف آن. آغاز: بسمله، جنس ششم از امراض در امراض از اثر سمومات. امراض حاصله از اثر سموم امراضی هستند که عارض شوند به واسطه دخول اجزاء؛ از اول جنس ششم تا آخر جنس هشتم</w:t>
      </w:r>
    </w:p>
    <w:p>
      <w:pPr>
        <w:pStyle w:val="BookText"/>
      </w:pPr>
      <w:r>
        <w:rPr>
          <w:rFonts w:ascii="IRNazanin" w:hAnsi="IRNazanin" w:eastAsia="IRNazanin" w:cs="IRNazanin"/>
          <w:lang w:bidi="fa-IR"/>
          <w:color w:val="111111"/>
          <w:sz w:val="28"/>
          <w:szCs w:val="28"/>
          <w:rtl/>
        </w:rPr>
        <w:t xml:space="preserve">خط: نستعلیق، بی کا، تا: ۱۳۰۶ق، ۱۶۶گ، 19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سم [ف: ۲-۶۶۰]</w:t>
      </w:r>
    </w:p>
    <w:p>
      <w:pPr>
        <w:pStyle w:val="BookText"/>
      </w:pPr>
      <w:r>
        <w:rPr>
          <w:rFonts w:ascii="IRNazanin" w:hAnsi="IRNazanin" w:eastAsia="IRNazanin" w:cs="IRNazanin"/>
          <w:lang w:bidi="fa-IR"/>
          <w:color w:val="111111"/>
          <w:sz w:val="28"/>
          <w:szCs w:val="28"/>
          <w:rtl/>
        </w:rPr>
        <w:t xml:space="preserve">۱۶. قم، مؤسسه آية الله بروجردی؛ شماره نسخه: ۲۷۷</w:t>
      </w:r>
    </w:p>
    <w:p>
      <w:pPr>
        <w:pStyle w:val="BookText"/>
      </w:pPr>
      <w:r>
        <w:rPr>
          <w:rFonts w:ascii="IRNazanin" w:hAnsi="IRNazanin" w:eastAsia="IRNazanin" w:cs="IRNazanin"/>
          <w:lang w:bidi="fa-IR"/>
          <w:color w:val="111111"/>
          <w:sz w:val="28"/>
          <w:szCs w:val="28"/>
          <w:rtl/>
        </w:rPr>
        <w:t xml:space="preserve">جلد دوم ؛ خط: نستعلیق، كا: على محمد حسینی، تا: ۱۳۰۸ ق، به درخواست سید احمد حکیم باشی؛ تملکی بدون نام به تاریخ ۱۳۰۰؛ جلد: تیماج مشکی، ۳۰۷گ، مختلف السطر، اندازه: ۲۱/۵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۱-۱۵۹]</w:t>
      </w:r>
    </w:p>
    <w:p>
      <w:pPr>
        <w:pStyle w:val="BookText"/>
      </w:pPr>
      <w:r>
        <w:rPr>
          <w:rFonts w:ascii="IRNazanin" w:hAnsi="IRNazanin" w:eastAsia="IRNazanin" w:cs="IRNazanin"/>
          <w:lang w:bidi="fa-IR"/>
          <w:color w:val="111111"/>
          <w:sz w:val="28"/>
          <w:szCs w:val="28"/>
          <w:rtl/>
        </w:rPr>
        <w:t xml:space="preserve">۱۷. تهران، دانشگاه؛ شماره نسخه: ۱۲۷۹</w:t>
      </w:r>
    </w:p>
    <w:p>
      <w:pPr>
        <w:pStyle w:val="BookText"/>
      </w:pPr>
      <w:r>
        <w:rPr>
          <w:rFonts w:ascii="IRNazanin" w:hAnsi="IRNazanin" w:eastAsia="IRNazanin" w:cs="IRNazanin"/>
          <w:lang w:bidi="fa-IR"/>
          <w:color w:val="111111"/>
          <w:sz w:val="28"/>
          <w:szCs w:val="28"/>
          <w:rtl/>
        </w:rPr>
        <w:t xml:space="preserve">آغاز: در حمیات. پاتولوژی ترجمه میرزا علی رضا. بسمله پات لژی </w:t>
      </w:r>
      <w:r>
        <w:rPr>
          <w:rFonts w:ascii="Times New Roman" w:hAnsi="Times New Roman" w:eastAsia="Times New Roman" w:cs="Times New Roman"/>
          <w:lang w:val="en-US" w:bidi="en-US"/>
          <w:color w:val="111111"/>
          <w:sz w:val="28"/>
          <w:szCs w:val="28"/>
          <w:rtl/>
        </w:rPr>
        <w:t xml:space="preserve">patologie </w:t>
      </w:r>
      <w:r>
        <w:rPr>
          <w:rFonts w:ascii="IRNazanin" w:hAnsi="IRNazanin" w:eastAsia="IRNazanin" w:cs="IRNazanin"/>
          <w:lang w:bidi="fa-IR"/>
          <w:color w:val="111111"/>
          <w:sz w:val="28"/>
          <w:szCs w:val="28"/>
          <w:rtl/>
        </w:rPr>
        <w:t xml:space="preserve">علمی است که در او گفتگو می کنند از احوال بدن انسان در حالت مرض مثل اینکه در فیزیولوژی گفتگو می کنند از حالت بدن انسان در حالت صحت؛ انجام: ذات الجنب مزمن. خارج نمودن نفس که رطوبت خارج می شود ... که زودتر علاج گردد. این کتاب در كمال عجله و اختلال حواس در حین درس خواندن قلمی شد. روز پنج شنبه چهاردهم شهر ذيحجه این اعمال يدي ذات الجنب مزمن را در خدمت میرزا سید حسین خان نظام الحكما و جمعی از شاگردان بودیم که این اعمال يدی را کردند چونکه مریض ضعيف طاقت نداشت آن روز بقدر سه چار ک ریم آمد. حرر عبدالله طبیب ۱۳۱۸ خط: شکسته نستعلیق، بی کا، تا: ۱۳۱۸ق، کاغذ: فرنگی، جلد: تیماج زرد مقوایی، ۱۸۸گ، ۱۵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۷-۲۶۲۲]</w:t>
      </w:r>
    </w:p>
    <w:p>
      <w:pPr>
        <w:pStyle w:val="BookText"/>
      </w:pPr>
      <w:r>
        <w:rPr>
          <w:rFonts w:ascii="IRNazanin" w:hAnsi="IRNazanin" w:eastAsia="IRNazanin" w:cs="IRNazanin"/>
          <w:lang w:bidi="fa-IR"/>
          <w:color w:val="111111"/>
          <w:sz w:val="28"/>
          <w:szCs w:val="28"/>
          <w:rtl/>
        </w:rPr>
        <w:t xml:space="preserve">۱۸. تهران: مجلس؛ شماره نسخه: ۴۱۱۲</w:t>
      </w:r>
    </w:p>
    <w:p>
      <w:pPr>
        <w:pStyle w:val="BookText"/>
      </w:pPr>
      <w:r>
        <w:rPr>
          <w:rFonts w:ascii="IRNazanin" w:hAnsi="IRNazanin" w:eastAsia="IRNazanin" w:cs="IRNazanin"/>
          <w:lang w:bidi="fa-IR"/>
          <w:color w:val="111111"/>
          <w:sz w:val="28"/>
          <w:szCs w:val="28"/>
          <w:rtl/>
        </w:rPr>
        <w:t xml:space="preserve">آغاز: برابر ۱؛ انجام: و ذات الجنب مرکب با ذات الریه است، باید در صدد رفع آنها کوشید. که کار بخودی خود جذب شود</w:t>
      </w:r>
    </w:p>
    <w:p>
      <w:pPr>
        <w:pStyle w:val="BookText"/>
      </w:pPr>
      <w:r>
        <w:rPr>
          <w:rFonts w:ascii="IRNazanin" w:hAnsi="IRNazanin" w:eastAsia="IRNazanin" w:cs="IRNazanin"/>
          <w:lang w:bidi="fa-IR"/>
          <w:color w:val="111111"/>
          <w:sz w:val="28"/>
          <w:szCs w:val="28"/>
          <w:rtl/>
        </w:rPr>
        <w:t xml:space="preserve">جلد 1؛ خط: شکسته نستعلیق، بی کا، تا: قرن ۱۳-۱۴؛ در آخر فهرستی دیگر به زبان و خط فرانسه؛ کاغذ: فرنگی، جلد: تیماج زرد، ۵۲۴گ، ۱۷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۱۶/۵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۱۱-۱۰۸]</w:t>
      </w:r>
    </w:p>
    <w:p>
      <w:pPr>
        <w:pStyle w:val="BookText"/>
      </w:pPr>
      <w:r>
        <w:rPr>
          <w:rFonts w:ascii="IRNazanin" w:hAnsi="IRNazanin" w:eastAsia="IRNazanin" w:cs="IRNazanin"/>
          <w:lang w:bidi="fa-IR"/>
          <w:color w:val="111111"/>
          <w:sz w:val="28"/>
          <w:szCs w:val="28"/>
          <w:rtl/>
        </w:rPr>
        <w:t xml:space="preserve">۱۹. قم؛ مسجد اعظم؛ شماره نسخه: ۲۵۲۳</w:t>
      </w:r>
    </w:p>
    <w:p>
      <w:pPr>
        <w:pStyle w:val="BookText"/>
      </w:pPr>
      <w:r>
        <w:rPr>
          <w:rFonts w:ascii="IRNazanin" w:hAnsi="IRNazanin" w:eastAsia="IRNazanin" w:cs="IRNazanin"/>
          <w:lang w:bidi="fa-IR"/>
          <w:color w:val="111111"/>
          <w:sz w:val="28"/>
          <w:szCs w:val="28"/>
          <w:rtl/>
        </w:rPr>
        <w:t xml:space="preserve">آغاز: نوع پنجم از امراض در تفسیر ترشحات طبیعی، در ترشحات مرض: این امراض عبارتند از عللی که موصوف بودند به یکی از رطوبات طبیعی یا از بروز ترشحی اتفاقی بدون اینکه هیچ علتی در آلت مترشحه نمودار گردند؛ انجام: اشتباهی در تشخیص بهم رسد باید صبر نمود تا از وسایط دیگر بلکه تمیز دهند [...] تمیز داده نشوند که آنها ثبوراتی هستند دانه ای و مملو، على العجاله تمام شد بعون الملک المنان</w:t>
      </w:r>
    </w:p>
    <w:p>
      <w:pPr>
        <w:pStyle w:val="BookText"/>
      </w:pPr>
      <w:r>
        <w:rPr>
          <w:rFonts w:ascii="IRNazanin" w:hAnsi="IRNazanin" w:eastAsia="IRNazanin" w:cs="IRNazanin"/>
          <w:lang w:bidi="fa-IR"/>
          <w:color w:val="111111"/>
          <w:sz w:val="28"/>
          <w:szCs w:val="28"/>
          <w:rtl/>
        </w:rPr>
        <w:t xml:space="preserve">نوع پنجم تا هشتم؛ خط: نستعلیق شکسته، کا: محمود، بی تا، جلد: تیماج قهوه ای با ترنج عالی و بزرگ مجدول گرهی، ۳۱۷گ، ۱۵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۱-۲۹۸]</w:t>
      </w:r>
    </w:p>
    <w:p>
      <w:pPr>
        <w:pStyle w:val="BookText"/>
      </w:pPr>
      <w:r>
        <w:rPr>
          <w:rFonts w:ascii="IRNazanin" w:hAnsi="IRNazanin" w:eastAsia="IRNazanin" w:cs="IRNazanin"/>
          <w:lang w:bidi="fa-IR"/>
          <w:color w:val="111111"/>
          <w:sz w:val="28"/>
          <w:szCs w:val="28"/>
          <w:rtl/>
        </w:rPr>
        <w:t xml:space="preserve">۲۰. قم؛ مرعشی؛ شماره نسخه: ۱۰۴۵۰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41" w:name="pg20363_209498"/>
    <w:bookmarkEnd w:id="241"/>
    <w:p>
      <w:pPr>
        <w:pStyle w:val="BookText"/>
      </w:pPr>
      <w:r>
        <w:rPr>
          <w:rFonts w:ascii="IRNazanin" w:hAnsi="IRNazanin" w:eastAsia="IRNazanin" w:cs="IRNazanin"/>
          <w:lang w:bidi="fa-IR"/>
          <w:color w:val="111111"/>
          <w:sz w:val="28"/>
          <w:szCs w:val="28"/>
          <w:rtl/>
        </w:rPr>
        <w:t xml:space="preserve">جلد دوم ؛ خط: نسخ، بی کا، بی تا، مهر: «بهمن رهنما» (بیضوی)؛ جلد: تیماج نیلی، ۳۱۵گ، ۱۷ سطر، اندازه: ۱۵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 سم [ف مخ: ۳۷۰-۲۶ ]</w:t>
      </w:r>
    </w:p>
    <w:p>
      <w:pPr>
        <w:pStyle w:val="Heading3"/>
      </w:pPr>
      <w:bookmarkStart w:id="1488" w:name="_Toc748"/>
      <w:r>
        <w:t>• پاتولوژی - علم الأمراض = علل الأمراض / طب / فارسی</w:t>
      </w:r>
      <w:bookmarkEnd w:id="1488"/>
    </w:p>
    <w:p>
      <w:pPr>
        <w:pStyle w:val="BookText"/>
      </w:pPr>
      <w:r>
        <w:rPr>
          <w:rFonts w:ascii="Times New Roman" w:hAnsi="Times New Roman" w:eastAsia="Times New Roman" w:cs="Times New Roman"/>
          <w:lang w:val="en-US" w:bidi="en-US"/>
          <w:color w:val="111111"/>
          <w:sz w:val="28"/>
          <w:szCs w:val="28"/>
          <w:rtl/>
        </w:rPr>
        <w:t xml:space="preserve">pātoložī = al-‘elal va-l amrāz = k.-e amrāz</w:t>
      </w:r>
    </w:p>
    <w:p>
      <w:pPr>
        <w:pStyle w:val="BookText"/>
      </w:pPr>
      <w:r>
        <w:rPr>
          <w:rFonts w:ascii="IRNazanin" w:hAnsi="IRNazanin" w:eastAsia="IRNazanin" w:cs="IRNazanin"/>
          <w:lang w:bidi="fa-IR"/>
          <w:color w:val="111111"/>
          <w:sz w:val="28"/>
          <w:szCs w:val="28"/>
          <w:rtl/>
        </w:rPr>
        <w:t xml:space="preserve">کریزل، ۱۸۱۱-۱۸۷۲ میلادی</w:t>
      </w:r>
    </w:p>
    <w:p>
      <w:pPr>
        <w:pStyle w:val="BookText"/>
      </w:pPr>
      <w:r>
        <w:rPr>
          <w:rFonts w:ascii="Times New Roman" w:hAnsi="Times New Roman" w:eastAsia="Times New Roman" w:cs="Times New Roman"/>
          <w:lang w:val="en-US" w:bidi="en-US"/>
          <w:color w:val="111111"/>
          <w:sz w:val="28"/>
          <w:szCs w:val="28"/>
          <w:rtl/>
        </w:rPr>
        <w:t xml:space="preserve">kerizel (1811-1872)</w:t>
      </w:r>
    </w:p>
    <w:p>
      <w:pPr>
        <w:pStyle w:val="BookText"/>
      </w:pPr>
      <w:r>
        <w:rPr>
          <w:rFonts w:ascii="IRNazanin" w:hAnsi="IRNazanin" w:eastAsia="IRNazanin" w:cs="IRNazanin"/>
          <w:lang w:bidi="fa-IR"/>
          <w:color w:val="111111"/>
          <w:sz w:val="28"/>
          <w:szCs w:val="28"/>
          <w:rtl/>
        </w:rPr>
        <w:t xml:space="preserve">مترجم: تنکابنی، حسن بن ابی الحسن ق۱۳ قمری</w:t>
      </w:r>
    </w:p>
    <w:p>
      <w:pPr>
        <w:pStyle w:val="BookText"/>
      </w:pPr>
      <w:r>
        <w:rPr>
          <w:rFonts w:ascii="IRNazanin" w:hAnsi="IRNazanin" w:eastAsia="IRNazanin" w:cs="IRNazanin"/>
          <w:lang w:bidi="fa-IR"/>
          <w:color w:val="111111"/>
          <w:sz w:val="28"/>
          <w:szCs w:val="28"/>
          <w:rtl/>
        </w:rPr>
        <w:t xml:space="preserve">ترجمه کتابی از کریزل فرانسوی به قلم سید حسن تنکابنی، کتابی جامع است در شناخت امراض انسان (پاتولوژی) با شیوهای نو و مؤلف بر خلاف پزشکان پیشین که بیماری ها را به ترتیب حروف الفبا و یا به ترتیب اندام بیان می کردند، تمام را به ده جنس، بخش</w:t>
      </w:r>
    </w:p>
    <w:p>
      <w:pPr>
        <w:pStyle w:val="BookText"/>
      </w:pPr>
      <w:r>
        <w:rPr>
          <w:rFonts w:ascii="IRNazanin" w:hAnsi="IRNazanin" w:eastAsia="IRNazanin" w:cs="IRNazanin"/>
          <w:lang w:bidi="fa-IR"/>
          <w:color w:val="111111"/>
          <w:sz w:val="28"/>
          <w:szCs w:val="28"/>
          <w:rtl/>
        </w:rPr>
        <w:t xml:space="preserve">کرده بدین ترتیب: ۱. تبها، ۲. بیماری های ناشی از تغيير (اختلال) خون، ۳. اورام، ۴. نزف الدم، ۵. ترشحات، ۶. مسمومیتها، ۷. بیماریهای ناشی از تغییر تغذیه به اعضا، ۸ تغییر پذیرفتن آلات (اختلالات در اعضاء داخلی بدن)، ۹. امراض عصبانی، ۱۰. بیماری های خاص هر یک از اندام و اعضاء بدن. این کتاب در دوران ناصر الدین شاه قاجار دوبار ترجمه شده: یک بار به دست دکتر رضا (ظاهرا همان مسیو ریشارد ژول فرانسوی (۱۸۱۶-۱۸۹۱) که در خدمت دربار محمد شاه و ناصر الدین شاه بوده و پس از پذیرفتن کیش اسلام، میرزا رضا خان نام یافت). بار دیگر به دست سید حسن بن ابی الحسن تنکابنی یکی از پزشکان عصر قاجار. ترجمه دکتر رضا در ۱۳۱۸ انجام شده اما تاریخ دقیق ترجمه تنکابنی و تقدم و تأخر هر یک از دیگری دانسته نیست.</w:t>
      </w:r>
    </w:p>
    <w:p>
      <w:pPr>
        <w:pStyle w:val="BookText"/>
      </w:pPr>
      <w:r>
        <w:rPr>
          <w:rFonts w:ascii="IRNazanin" w:hAnsi="IRNazanin" w:eastAsia="IRNazanin" w:cs="IRNazanin"/>
          <w:lang w:bidi="fa-IR"/>
          <w:color w:val="111111"/>
          <w:sz w:val="28"/>
          <w:szCs w:val="28"/>
          <w:rtl/>
        </w:rPr>
        <w:t xml:space="preserve">آغاز: بسمله. الحمدلله و الصلاة على رسول الله وعلى آله آل الله. اما بعد علم بطبايع أمراض علمی است که شناخته میشود از او احوال بدن انسان در حالت مرض ...</w:t>
      </w:r>
    </w:p>
    <w:p>
      <w:pPr>
        <w:pStyle w:val="BookText"/>
      </w:pPr>
      <w:r>
        <w:rPr>
          <w:rFonts w:ascii="IRNazanin" w:hAnsi="IRNazanin" w:eastAsia="IRNazanin" w:cs="IRNazanin"/>
          <w:lang w:bidi="fa-IR"/>
          <w:color w:val="111111"/>
          <w:sz w:val="28"/>
          <w:szCs w:val="28"/>
          <w:rtl/>
        </w:rPr>
        <w:t xml:space="preserve">[نسخه های منزوی ۵۶۸/۱ ؛ فهرستواره منزوی ۳۵۹۲/۵ ]</w:t>
      </w:r>
    </w:p>
    <w:p>
      <w:pPr>
        <w:pStyle w:val="BookText"/>
      </w:pPr>
      <w:r>
        <w:rPr>
          <w:rFonts w:ascii="IRNazanin" w:hAnsi="IRNazanin" w:eastAsia="IRNazanin" w:cs="IRNazanin"/>
          <w:lang w:bidi="fa-IR"/>
          <w:color w:val="111111"/>
          <w:sz w:val="28"/>
          <w:szCs w:val="28"/>
          <w:rtl/>
        </w:rPr>
        <w:t xml:space="preserve">۱. تهران، دانشگاه؛ شماره نسخه: ۱۵۱۹</w:t>
      </w:r>
    </w:p>
    <w:p>
      <w:pPr>
        <w:pStyle w:val="BookText"/>
      </w:pPr>
      <w:r>
        <w:rPr>
          <w:rFonts w:ascii="IRNazanin" w:hAnsi="IRNazanin" w:eastAsia="IRNazanin" w:cs="IRNazanin"/>
          <w:lang w:bidi="fa-IR"/>
          <w:color w:val="111111"/>
          <w:sz w:val="28"/>
          <w:szCs w:val="28"/>
          <w:rtl/>
        </w:rPr>
        <w:t xml:space="preserve">آغاز: برابر؛ انجام: رنج و ایذاهای مریض از بخار.</w:t>
      </w:r>
    </w:p>
    <w:p>
      <w:pPr>
        <w:pStyle w:val="BookText"/>
      </w:pPr>
      <w:r>
        <w:rPr>
          <w:rFonts w:ascii="IRNazanin" w:hAnsi="IRNazanin" w:eastAsia="IRNazanin" w:cs="IRNazanin"/>
          <w:lang w:bidi="fa-IR"/>
          <w:color w:val="111111"/>
          <w:sz w:val="28"/>
          <w:szCs w:val="28"/>
          <w:rtl/>
        </w:rPr>
        <w:t xml:space="preserve">خط: نستعلیق، بی کا، تا: قرن ۱۳؛ با مهر و امضای مؤلف (ص ۶۳۹) و با فهرست در آغاز، در پایان یادداشتی است از حسن طبيب (مؤلف) که در دو ساعت به ظهر روز پنج شنبه ۲۸ محرم ۱۲۹۳ در بند دیلم کنار نزد «جناب آقا» افسرده نشسته بود چون چهارماهی بود که از تهران آگاهی نداشته است. همچنین می نویسد که در ۱۳ رمضان ۱۲۹۸ در بروجرد و در ۲ ذیقعده ۱۳۱۲ در کردستان بوده ام؛ کاغذ: فرنگی، جلد: تیماج تریاکی مقوایی، ۲۴۷گ،۱۸سطر (۱۵۹)،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۸-۱۵۳]</w:t>
      </w:r>
    </w:p>
    <w:p>
      <w:pPr>
        <w:pStyle w:val="BookText"/>
      </w:pPr>
      <w:r>
        <w:rPr>
          <w:rFonts w:ascii="IRNazanin" w:hAnsi="IRNazanin" w:eastAsia="IRNazanin" w:cs="IRNazanin"/>
          <w:lang w:bidi="fa-IR"/>
          <w:color w:val="111111"/>
          <w:sz w:val="28"/>
          <w:szCs w:val="28"/>
          <w:rtl/>
        </w:rPr>
        <w:t xml:space="preserve">۲. قم، گلپایگانی؛ شماره نسخه: ۲۸۱۹- ۱۵/۵۹</w:t>
      </w:r>
    </w:p>
    <w:p>
      <w:pPr>
        <w:pStyle w:val="BookText"/>
      </w:pPr>
      <w:r>
        <w:rPr>
          <w:rFonts w:ascii="IRNazanin" w:hAnsi="IRNazanin" w:eastAsia="IRNazanin" w:cs="IRNazanin"/>
          <w:lang w:bidi="fa-IR"/>
          <w:color w:val="111111"/>
          <w:sz w:val="28"/>
          <w:szCs w:val="28"/>
          <w:rtl/>
        </w:rPr>
        <w:t xml:space="preserve">آغاز: برابر؛ انجام: و مریض باید ادرار در مثانه نگاه ندارد که مثانه متسع شود و اگر منع در خروج ادرار باشد چندین دفعه در او میل زنند و وقتی که فقط در حفظ صحت رفع مرض ... و نطرون و تربانیین استعمال نماید</w:t>
      </w:r>
    </w:p>
    <w:p>
      <w:pPr>
        <w:pStyle w:val="BookText"/>
      </w:pPr>
      <w:r>
        <w:rPr>
          <w:rFonts w:ascii="IRNazanin" w:hAnsi="IRNazanin" w:eastAsia="IRNazanin" w:cs="IRNazanin"/>
          <w:lang w:bidi="fa-IR"/>
          <w:color w:val="111111"/>
          <w:sz w:val="28"/>
          <w:szCs w:val="28"/>
          <w:rtl/>
        </w:rPr>
        <w:t xml:space="preserve">خط: تحریری، بی کا، تا: قرن ۱۳، جلد: مقوا عطف تیماج مشکی، ۳۱۰ گ، ۱۵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۵-۲۹۲۰]</w:t>
      </w:r>
    </w:p>
    <w:p>
      <w:pPr>
        <w:pStyle w:val="BookText"/>
      </w:pPr>
      <w:r>
        <w:rPr>
          <w:rFonts w:ascii="IRNazanin" w:hAnsi="IRNazanin" w:eastAsia="IRNazanin" w:cs="IRNazanin"/>
          <w:lang w:bidi="fa-IR"/>
          <w:color w:val="111111"/>
          <w:sz w:val="28"/>
          <w:szCs w:val="28"/>
          <w:rtl/>
        </w:rPr>
        <w:t xml:space="preserve">٣. مشهد؛ گوهرشاد؛ شماره نسخه: ۱۹۷۱</w:t>
      </w:r>
    </w:p>
    <w:p>
      <w:pPr>
        <w:pStyle w:val="BookText"/>
      </w:pPr>
      <w:r>
        <w:rPr>
          <w:rFonts w:ascii="IRNazanin" w:hAnsi="IRNazanin" w:eastAsia="IRNazanin" w:cs="IRNazanin"/>
          <w:lang w:bidi="fa-IR"/>
          <w:color w:val="111111"/>
          <w:sz w:val="28"/>
          <w:szCs w:val="28"/>
          <w:rtl/>
        </w:rPr>
        <w:t xml:space="preserve">آغاز: برابر؛ انجام: باید در علاج این امراض کوشید که بخار بخودی خود جذب شود. خط: نستعلیق تحریری، بی کا، تا: ۱۲۹۱ق؛ کاغذ: شکری آهار مهره، جلد: میشن قهوه ای، ۳۷۲گ، ۱۷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۵-۳۵۶]</w:t>
      </w:r>
    </w:p>
    <w:p>
      <w:pPr>
        <w:pStyle w:val="BookText"/>
      </w:pPr>
      <w:r>
        <w:rPr>
          <w:rFonts w:ascii="IRNazanin" w:hAnsi="IRNazanin" w:eastAsia="IRNazanin" w:cs="IRNazanin"/>
          <w:lang w:bidi="fa-IR"/>
          <w:color w:val="111111"/>
          <w:sz w:val="28"/>
          <w:szCs w:val="28"/>
          <w:rtl/>
        </w:rPr>
        <w:t xml:space="preserve">۴. قم؛ گلپایگانی؛ شماره نسخه: ۷۶۰۳/۱ - ۳۸/۲۲۳</w:t>
      </w:r>
    </w:p>
    <w:p>
      <w:pPr>
        <w:pStyle w:val="BookText"/>
      </w:pPr>
      <w:r>
        <w:rPr>
          <w:rFonts w:ascii="IRNazanin" w:hAnsi="IRNazanin" w:eastAsia="IRNazanin" w:cs="IRNazanin"/>
          <w:lang w:bidi="fa-IR"/>
          <w:color w:val="111111"/>
          <w:sz w:val="28"/>
          <w:szCs w:val="28"/>
          <w:rtl/>
        </w:rPr>
        <w:t xml:space="preserve">آغاز: برابر؛ انجام: واز برای اسهال ادويه اخیونی خواه از دهان وخواه اماله به کار برند با تدبير قافات تمام شد کتاب حميات جلد اول، خط: نستعلیق، كا: موسی، تا: غره ربیع الاول ۱۲۹۴ق؛ جلد: مقوای عطف گالینگور، ۹۰ گ، ۱۳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۲-۶۶۱]</w:t>
      </w:r>
    </w:p>
    <w:p>
      <w:pPr>
        <w:pStyle w:val="BookText"/>
      </w:pPr>
      <w:r>
        <w:rPr>
          <w:rFonts w:ascii="IRNazanin" w:hAnsi="IRNazanin" w:eastAsia="IRNazanin" w:cs="IRNazanin"/>
          <w:lang w:bidi="fa-IR"/>
          <w:color w:val="111111"/>
          <w:sz w:val="28"/>
          <w:szCs w:val="28"/>
          <w:rtl/>
        </w:rPr>
        <w:t xml:space="preserve">۵. تهران؛ مجلس؛ شماره نسخه: ۶۲۹۸</w:t>
      </w:r>
    </w:p>
    <w:p>
      <w:pPr>
        <w:pStyle w:val="BookText"/>
      </w:pPr>
      <w:r>
        <w:rPr>
          <w:rFonts w:ascii="IRNazanin" w:hAnsi="IRNazanin" w:eastAsia="IRNazanin" w:cs="IRNazanin"/>
          <w:lang w:bidi="fa-IR"/>
          <w:color w:val="111111"/>
          <w:sz w:val="28"/>
          <w:szCs w:val="28"/>
          <w:rtl/>
        </w:rPr>
        <w:t xml:space="preserve">شامل جنس ۶-۸ (سموم، امراض تغيير اغذیه - تبدل انساج)؛ خط: شکسته نستعلیق، کا: محمد حسین تفرشی، تا: ۱۲۹۵ق؛ نام فرانسوی بیماری ها نیز گاه ثبت شده مقاله ۴ ناقص است؛ کاغذ: فرنگی، جلد: تیماج قرمز، ۴۹۴ص، ۱۷ سطر، قطع: خشتی،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۱۹-۲۷۷]</w:t>
      </w:r>
    </w:p>
    <w:p>
      <w:pPr>
        <w:pStyle w:val="BookText"/>
      </w:pPr>
      <w:r>
        <w:rPr>
          <w:rFonts w:ascii="IRNazanin" w:hAnsi="IRNazanin" w:eastAsia="IRNazanin" w:cs="IRNazanin"/>
          <w:lang w:bidi="fa-IR"/>
          <w:color w:val="111111"/>
          <w:sz w:val="28"/>
          <w:szCs w:val="28"/>
          <w:rtl/>
        </w:rPr>
        <w:t xml:space="preserve">۶. تهران؛ مجلس؛ شماره نسخه: ۳۲۵-فیروز</w:t>
      </w:r>
    </w:p>
    <w:p>
      <w:pPr>
        <w:pStyle w:val="BookText"/>
      </w:pPr>
      <w:r>
        <w:rPr>
          <w:rFonts w:ascii="IRNazanin" w:hAnsi="IRNazanin" w:eastAsia="IRNazanin" w:cs="IRNazanin"/>
          <w:lang w:bidi="fa-IR"/>
          <w:color w:val="111111"/>
          <w:sz w:val="28"/>
          <w:szCs w:val="28"/>
          <w:rtl/>
        </w:rPr>
        <w:t xml:space="preserve">بخش دوم است از ترجمه کتاب علل و امراض شامل جنس ۶-۸</w:t>
      </w:r>
    </w:p>
    <w:p>
      <w:pPr>
        <w:pStyle w:val="BookText"/>
      </w:pPr>
      <w:r>
        <w:rPr>
          <w:rFonts w:ascii="IRNazanin" w:hAnsi="IRNazanin" w:eastAsia="IRNazanin" w:cs="IRNazanin"/>
          <w:lang w:bidi="fa-IR"/>
          <w:color w:val="111111"/>
          <w:sz w:val="28"/>
          <w:szCs w:val="28"/>
          <w:rtl/>
        </w:rPr>
        <w:t xml:space="preserve">خط: نستعلیق شکسته، كا: عبدالکریم اشکوری گیلانی، تا: ۱۲۹۶ق؛ کاغذ: فرنگی رنگین، جلد: تیماج يشمی با عطف و گوشه، ۴۱۰ص، ۱۹ سطر، قطع: خشتی، اندازه: ۲۱/۴۶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w:t>
      </w:r>
    </w:p>
    <w:p>
      <w:pPr>
        <w:pStyle w:val="BookText"/>
      </w:pPr>
      <w:r>
        <w:rPr>
          <w:rFonts w:ascii="IRNazanin" w:hAnsi="IRNazanin" w:eastAsia="IRNazanin" w:cs="IRNazanin"/>
          <w:lang w:bidi="fa-IR"/>
          <w:color w:val="111111"/>
          <w:sz w:val="28"/>
          <w:szCs w:val="28"/>
          <w:rtl/>
        </w:rPr>
        <w:t xml:space="preserve">سم [ف: ۲۱-۲۰]</w:t>
      </w:r>
    </w:p>
    <w:p>
      <w:pPr>
        <w:pStyle w:val="BookText"/>
      </w:pPr>
      <w:r>
        <w:rPr>
          <w:rFonts w:ascii="IRNazanin" w:hAnsi="IRNazanin" w:eastAsia="IRNazanin" w:cs="IRNazanin"/>
          <w:lang w:bidi="fa-IR"/>
          <w:color w:val="111111"/>
          <w:sz w:val="28"/>
          <w:szCs w:val="28"/>
          <w:rtl/>
        </w:rPr>
        <w:t xml:space="preserve">۷. همدان؛ دانشگاه بوعلی؛ شماره نسخه: ۲۳۳ جلد دوم؛ خط: نستعلیق، بی کا، تا: رمضان ۱۲۹۶ق؛ مالک کتاب خود را لعنت می کند اگر به کسی کتاب به عاریت دهد و این لعنت نامه را در تاریخ ربیع الاول ۱۳۰۲ نوشته؛ جلد: تیماج سبز، ۱۷۷، ۱۷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۱۲۳]</w:t>
      </w:r>
    </w:p>
    <w:p>
      <w:pPr>
        <w:pStyle w:val="BookText"/>
      </w:pPr>
      <w:r>
        <w:rPr>
          <w:rFonts w:ascii="IRNazanin" w:hAnsi="IRNazanin" w:eastAsia="IRNazanin" w:cs="IRNazanin"/>
          <w:lang w:bidi="fa-IR"/>
          <w:color w:val="111111"/>
          <w:sz w:val="28"/>
          <w:szCs w:val="28"/>
          <w:rtl/>
        </w:rPr>
        <w:t xml:space="preserve">۸. قم؛ گلپایگانی؛ شماره نسخه: ۱۷۹۲- ۱۰/۱۰۲</w:t>
      </w:r>
    </w:p>
    <w:p>
      <w:pPr>
        <w:pStyle w:val="BookText"/>
      </w:pPr>
      <w:r>
        <w:rPr>
          <w:rFonts w:ascii="IRNazanin" w:hAnsi="IRNazanin" w:eastAsia="IRNazanin" w:cs="IRNazanin"/>
          <w:lang w:bidi="fa-IR"/>
          <w:color w:val="111111"/>
          <w:sz w:val="28"/>
          <w:szCs w:val="28"/>
          <w:rtl/>
        </w:rPr>
        <w:t xml:space="preserve">آغاز: برابر؛ انجام: و چون زیاده از خوصله مریضه خون خارج شود بواسطه معالجات مذکوره در کتاب چهارم در مبحث نزف الدم و حمی او را مسدود نمایند.</w:t>
      </w:r>
    </w:p>
    <w:p>
      <w:pPr>
        <w:pStyle w:val="BookText"/>
      </w:pPr>
      <w:r>
        <w:rPr>
          <w:rFonts w:ascii="IRNazanin" w:hAnsi="IRNazanin" w:eastAsia="IRNazanin" w:cs="IRNazanin"/>
          <w:lang w:bidi="fa-IR"/>
          <w:color w:val="111111"/>
          <w:sz w:val="28"/>
          <w:szCs w:val="28"/>
          <w:rtl/>
        </w:rPr>
        <w:t xml:space="preserve">خط: نسخ، كان محمد کاظم کرمانشاهی حسب الامر آقا میرزا اسماعیل حافظ الصحة، تا: شنبه ۱۶ جمادی الثانی ۱۲۹۶ق؛ جلد: تیماج قهوه ای، ۱۰۴گ، ۱۵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۵-۲۹۱۹]</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مجلس؛ شماره نسخه: ۶۲۹۷</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42" w:name="pg20363_209499"/>
    <w:bookmarkEnd w:id="242"/>
    <w:p>
      <w:pPr>
        <w:pStyle w:val="BookText"/>
      </w:pPr>
      <w:r>
        <w:rPr>
          <w:rFonts w:ascii="IRNazanin" w:hAnsi="IRNazanin" w:eastAsia="IRNazanin" w:cs="IRNazanin"/>
          <w:lang w:bidi="fa-IR"/>
          <w:color w:val="111111"/>
          <w:sz w:val="28"/>
          <w:szCs w:val="28"/>
          <w:rtl/>
        </w:rPr>
        <w:t xml:space="preserve">جلد اول شامل چهار جنس (یا مقاله) ۱. حمیات، ۲. تغییر ترکیبات خون، ۳. اورام، ۴. نزف الدم (و مقاله آخر ناقص است)؛ خط: شکسته نستعلیق، بی کا، تا: اوایل قرن قرن ۱۴ یا اواخر ۱۳؛ کاغذ: فرنگی سفید، جلد: تیماج قرمز، ۴۳۲ص، قطع: خشتی اندازه: ۱۷/۵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۲۲/۵سم [ف: ۱۹-۲۷۵]</w:t>
      </w:r>
    </w:p>
    <w:p>
      <w:pPr>
        <w:pStyle w:val="BookText"/>
      </w:pPr>
      <w:r>
        <w:rPr>
          <w:rFonts w:ascii="IRNazanin" w:hAnsi="IRNazanin" w:eastAsia="IRNazanin" w:cs="IRNazanin"/>
          <w:lang w:bidi="fa-IR"/>
          <w:color w:val="111111"/>
          <w:sz w:val="28"/>
          <w:szCs w:val="28"/>
          <w:rtl/>
        </w:rPr>
        <w:t xml:space="preserve">۱۰. قم؛ گلپایگانی؛ شماره نسخه: ۲۹۰۴- ۱۵/۱۴۴</w:t>
      </w:r>
    </w:p>
    <w:p>
      <w:pPr>
        <w:pStyle w:val="BookText"/>
      </w:pPr>
      <w:r>
        <w:rPr>
          <w:rFonts w:ascii="IRNazanin" w:hAnsi="IRNazanin" w:eastAsia="IRNazanin" w:cs="IRNazanin"/>
          <w:lang w:bidi="fa-IR"/>
          <w:color w:val="111111"/>
          <w:sz w:val="28"/>
          <w:szCs w:val="28"/>
          <w:rtl/>
        </w:rPr>
        <w:t xml:space="preserve">آغاز: بسمله در ناخویشهای مخصوص به آلات هاضمه در نبت اسنان و عوارضی که بروز می نماید در این وقت. خروج دندان در اطفال از پنج الی دوازده ماه بعد از تولد؛ انجام: واكتفا به استعمال آبهای گوگردی از داخل و در مدت هفته دو سه حمام گوگردی به کار برده و گاه گاهی مسهل برفقی تجویز نموده اند تمت الكتاب بعون الملک الوهاب.</w:t>
      </w:r>
    </w:p>
    <w:p>
      <w:pPr>
        <w:pStyle w:val="BookText"/>
      </w:pPr>
      <w:r>
        <w:rPr>
          <w:rFonts w:ascii="IRNazanin" w:hAnsi="IRNazanin" w:eastAsia="IRNazanin" w:cs="IRNazanin"/>
          <w:lang w:bidi="fa-IR"/>
          <w:color w:val="111111"/>
          <w:sz w:val="28"/>
          <w:szCs w:val="28"/>
          <w:rtl/>
        </w:rPr>
        <w:t xml:space="preserve">جنس دهم از امراض مخصوصه به آلات هاضمه تا امراض مخصوصه به جلد؛ خط: نستعلیق، کا: زین العابدین، تا: جمعه ۱۷ ذیقعده ۱۳۰۲ق؛ جلد: تیماج قهوه ای مجدول ضربی، ۷۰گ، ۱۷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۲-۶۶۱]</w:t>
      </w:r>
    </w:p>
    <w:p>
      <w:pPr>
        <w:pStyle w:val="BookText"/>
      </w:pPr>
      <w:r>
        <w:rPr>
          <w:rFonts w:ascii="IRNazanin" w:hAnsi="IRNazanin" w:eastAsia="IRNazanin" w:cs="IRNazanin"/>
          <w:lang w:bidi="fa-IR"/>
          <w:color w:val="111111"/>
          <w:sz w:val="28"/>
          <w:szCs w:val="28"/>
          <w:rtl/>
        </w:rPr>
        <w:t xml:space="preserve">۱۱. قم؛ گلپایگانی؛ شماره نسخه: ۷۵۵۴- ۵۱/۱۴</w:t>
      </w:r>
    </w:p>
    <w:p>
      <w:pPr>
        <w:pStyle w:val="BookText"/>
      </w:pPr>
      <w:r>
        <w:rPr>
          <w:rFonts w:ascii="IRNazanin" w:hAnsi="IRNazanin" w:eastAsia="IRNazanin" w:cs="IRNazanin"/>
          <w:lang w:bidi="fa-IR"/>
          <w:color w:val="111111"/>
          <w:sz w:val="28"/>
          <w:szCs w:val="28"/>
          <w:rtl/>
        </w:rPr>
        <w:t xml:space="preserve">آغاز: جلد دوم از پاتولوژی موسیو کریزل، مقاله سادسه در امراض حاصل از سموم جلد دوم، مقاله سادسه و سابعه؛ خط: تحریری، بی کا، بی تاب ۲۳۴، ۲۲ سطر، قطع: رحلی، اندازه: ۳۶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۲-۶۶۰]</w:t>
      </w:r>
    </w:p>
    <w:p>
      <w:pPr>
        <w:pStyle w:val="Heading3"/>
      </w:pPr>
      <w:bookmarkStart w:id="1489" w:name="_Toc749"/>
      <w:r>
        <w:t>• پاتولوژی = پاطولوژی (ترجمه) / طب / فارسی</w:t>
      </w:r>
      <w:bookmarkEnd w:id="1489"/>
    </w:p>
    <w:p>
      <w:pPr>
        <w:pStyle w:val="BookText"/>
      </w:pPr>
      <w:r>
        <w:rPr>
          <w:rFonts w:ascii="Times New Roman" w:hAnsi="Times New Roman" w:eastAsia="Times New Roman" w:cs="Times New Roman"/>
          <w:lang w:val="en-US" w:bidi="en-US"/>
          <w:color w:val="111111"/>
          <w:sz w:val="28"/>
          <w:szCs w:val="28"/>
          <w:rtl/>
        </w:rPr>
        <w:t xml:space="preserve">pātoložī = pātoložī (t.)</w:t>
      </w:r>
    </w:p>
    <w:p>
      <w:pPr>
        <w:pStyle w:val="BookText"/>
      </w:pPr>
      <w:r>
        <w:rPr>
          <w:rFonts w:ascii="IRNazanin" w:hAnsi="IRNazanin" w:eastAsia="IRNazanin" w:cs="IRNazanin"/>
          <w:lang w:bidi="fa-IR"/>
          <w:color w:val="111111"/>
          <w:sz w:val="28"/>
          <w:szCs w:val="28"/>
          <w:rtl/>
        </w:rPr>
        <w:t xml:space="preserve">از سیدرضا، به نام ناصرالدین شاه (۱۲۶۴-۱۳۱۳ق/۱۸۴۸ - ۱۸۹۵م) و مظفر الدین میرزا ولیعهد، از زبان فرانسوی به فارسی در آورده است. در دیباچه از نگارنده متن نام نبرده است. «از تصرفاتی که مترجم در این رساله نموده» سخن رفته است. با سربندهای «فصل»: ۱. در امراض عمومی، ۲. حمیات، 3. امراض مجاری تنفسی، ۴. امراض مجاری تغذیه، ۵. امراض دماغ و اعصاب، ۶. امراض جلدی، ۷. فن ترکیب ادویه.</w:t>
      </w:r>
    </w:p>
    <w:p>
      <w:pPr>
        <w:pStyle w:val="BookText"/>
      </w:pPr>
      <w:r>
        <w:rPr>
          <w:rFonts w:ascii="Amiri" w:hAnsi="Amiri" w:eastAsia="Amiri" w:cs="Amiri"/>
          <w:lang w:bidi="ar-SA"/>
          <w:color w:val="111111"/>
          <w:sz w:val="28"/>
          <w:szCs w:val="28"/>
          <w:rtl/>
        </w:rPr>
        <w:t xml:space="preserve">تهران؛ دائرة المعارف، شماره نسخه: ۷۶۷</w:t>
      </w:r>
    </w:p>
    <w:p>
      <w:pPr>
        <w:pStyle w:val="BookText"/>
      </w:pPr>
      <w:r>
        <w:rPr>
          <w:rFonts w:ascii="IRNazanin" w:hAnsi="IRNazanin" w:eastAsia="IRNazanin" w:cs="IRNazanin"/>
          <w:lang w:bidi="fa-IR"/>
          <w:color w:val="111111"/>
          <w:sz w:val="28"/>
          <w:szCs w:val="28"/>
          <w:rtl/>
        </w:rPr>
        <w:t xml:space="preserve">آغاز: بسمله. الحمدلله الذي جعلنا من أمة محمد خير المرسلين و شيعة على ... اما بعد در این اعصار خجسته آثار که ممالک محروسه ایران؛ انجام: رفع جرب بلکه در اکزیمای مزمن و حادهم مجرب است. تمام شد پاطولوژی مختصر روز جمعه (۶ محرم ۱۳۱۶ق). خط: نستعلیق شکسته تحریری، كا: جليل طبيب، تا: ۶ محرم ۱۳۱۶ق، کاغذ: فرنگی صورتی، جلد: مقوایی تیماج قهوه ای روشن پوشانیده مجدول، ۲۲۶گ، ۱۴ سطر (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 اندازه:</w:t>
      </w:r>
    </w:p>
    <w:p>
      <w:pPr>
        <w:pStyle w:val="BookText"/>
      </w:pPr>
      <w:r>
        <w:rPr>
          <w:rFonts w:ascii="IRNazanin" w:hAnsi="IRNazanin" w:eastAsia="IRNazanin" w:cs="IRNazanin"/>
          <w:lang w:bidi="fa-IR"/>
          <w:color w:val="111111"/>
          <w:sz w:val="28"/>
          <w:szCs w:val="28"/>
          <w:rtl/>
        </w:rPr>
        <w:t xml:space="preserve">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۲-۳۳]</w:t>
      </w:r>
    </w:p>
    <w:p>
      <w:pPr>
        <w:pStyle w:val="Heading3"/>
      </w:pPr>
      <w:bookmarkStart w:id="1490" w:name="_Toc750"/>
      <w:r>
        <w:t>• پاتولوژی / طب / عربی</w:t>
      </w:r>
      <w:bookmarkEnd w:id="1490"/>
    </w:p>
    <w:p>
      <w:pPr>
        <w:pStyle w:val="BookText"/>
      </w:pPr>
      <w:r>
        <w:rPr>
          <w:rFonts w:ascii="Times New Roman" w:hAnsi="Times New Roman" w:eastAsia="Times New Roman" w:cs="Times New Roman"/>
          <w:lang w:val="en-US" w:bidi="en-US"/>
          <w:color w:val="111111"/>
          <w:sz w:val="28"/>
          <w:szCs w:val="28"/>
          <w:rtl/>
        </w:rPr>
        <w:t xml:space="preserve">pātološī</w:t>
      </w:r>
    </w:p>
    <w:p>
      <w:pPr>
        <w:pStyle w:val="BookText"/>
      </w:pPr>
      <w:r>
        <w:rPr>
          <w:rFonts w:ascii="IRNazanin" w:hAnsi="IRNazanin" w:eastAsia="IRNazanin" w:cs="IRNazanin"/>
          <w:lang w:bidi="fa-IR"/>
          <w:color w:val="111111"/>
          <w:sz w:val="28"/>
          <w:szCs w:val="28"/>
          <w:rtl/>
        </w:rPr>
        <w:t xml:space="preserve">تهران؛ مجلس؛ شماره نسخه: ۱۸۵۰۳</w:t>
      </w:r>
    </w:p>
    <w:p>
      <w:pPr>
        <w:pStyle w:val="BookText"/>
      </w:pPr>
      <w:r>
        <w:rPr>
          <w:rFonts w:ascii="IRNazanin" w:hAnsi="IRNazanin" w:eastAsia="IRNazanin" w:cs="IRNazanin"/>
          <w:lang w:bidi="fa-IR"/>
          <w:color w:val="111111"/>
          <w:sz w:val="28"/>
          <w:szCs w:val="28"/>
          <w:rtl/>
        </w:rPr>
        <w:t xml:space="preserve">نسخه نادر؛ بی کا، بی تا [د.ث. مجلس ]</w:t>
      </w:r>
    </w:p>
    <w:p>
      <w:pPr>
        <w:pStyle w:val="Heading3"/>
      </w:pPr>
      <w:bookmarkStart w:id="1491" w:name="_Toc751"/>
      <w:r>
        <w:t>• پاتولوژی / طب / فارسی</w:t>
      </w:r>
      <w:bookmarkEnd w:id="1491"/>
    </w:p>
    <w:p>
      <w:pPr>
        <w:pStyle w:val="BookText"/>
      </w:pPr>
      <w:r>
        <w:rPr>
          <w:rFonts w:ascii="Times New Roman" w:hAnsi="Times New Roman" w:eastAsia="Times New Roman" w:cs="Times New Roman"/>
          <w:lang w:val="en-US" w:bidi="en-US"/>
          <w:color w:val="111111"/>
          <w:sz w:val="28"/>
          <w:szCs w:val="28"/>
          <w:rtl/>
        </w:rPr>
        <w:t xml:space="preserve">pātoložī</w:t>
      </w:r>
    </w:p>
    <w:p>
      <w:pPr>
        <w:pStyle w:val="BookText"/>
      </w:pPr>
      <w:r>
        <w:rPr>
          <w:rFonts w:ascii="IRNazanin" w:hAnsi="IRNazanin" w:eastAsia="IRNazanin" w:cs="IRNazanin"/>
          <w:lang w:bidi="fa-IR"/>
          <w:color w:val="111111"/>
          <w:sz w:val="28"/>
          <w:szCs w:val="28"/>
          <w:rtl/>
        </w:rPr>
        <w:t xml:space="preserve">ترجمه هایی است که مترجم آن مشخص نشده است و ممکن است یکی از ترجمه های شناخته شده باشد و یا جز اینها.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اصفهان؛ دانشگاه؛ شماره نسخه: ۲۲</w:t>
      </w:r>
    </w:p>
    <w:p>
      <w:pPr>
        <w:pStyle w:val="BookText"/>
      </w:pPr>
      <w:r>
        <w:rPr>
          <w:rFonts w:ascii="IRNazanin" w:hAnsi="IRNazanin" w:eastAsia="IRNazanin" w:cs="IRNazanin"/>
          <w:lang w:bidi="fa-IR"/>
          <w:color w:val="111111"/>
          <w:sz w:val="28"/>
          <w:szCs w:val="28"/>
          <w:rtl/>
        </w:rPr>
        <w:t xml:space="preserve">آغاز: علم به طبالع و معالجه، پاتولوژی علمی است که شناخته می شود از احوال بدن انسان خط: شکسته نستعلیق، بی کا، تا: قرن ۱۳؛ افتادگی: انجام (دو سه برگ) نشریه: ۱۱-۸۸۵] ۲. قم؛ گلپایگانی؛ شماره نسخه: ۲۰۲۸- ۱۱/۱۲۸</w:t>
      </w:r>
    </w:p>
    <w:p>
      <w:pPr>
        <w:pStyle w:val="BookText"/>
      </w:pPr>
      <w:r>
        <w:rPr>
          <w:rFonts w:ascii="IRNazanin" w:hAnsi="IRNazanin" w:eastAsia="IRNazanin" w:cs="IRNazanin"/>
          <w:lang w:bidi="fa-IR"/>
          <w:color w:val="111111"/>
          <w:sz w:val="28"/>
          <w:szCs w:val="28"/>
          <w:rtl/>
        </w:rPr>
        <w:t xml:space="preserve">آغاز: الحمدلله رب العالمين والصلوة والسلام على خير خلقه محمد و آله اجمعين ... این رساله ای است در تقسیم امراض. بدانکه قسمت امراض را اگر چه به دلخواهی که منظور است نتوان نمود؛ انجام: شک نیست علاوه بر آنکه اهل آن بلد علامات مخصوص دارند که دلیل از برای آنها نیست مگر تاثیر هوای آن بلد</w:t>
      </w:r>
    </w:p>
    <w:p>
      <w:pPr>
        <w:pStyle w:val="BookText"/>
      </w:pPr>
      <w:r>
        <w:rPr>
          <w:rFonts w:ascii="IRNazanin" w:hAnsi="IRNazanin" w:eastAsia="IRNazanin" w:cs="IRNazanin"/>
          <w:lang w:bidi="fa-IR"/>
          <w:color w:val="111111"/>
          <w:sz w:val="28"/>
          <w:szCs w:val="28"/>
          <w:rtl/>
        </w:rPr>
        <w:t xml:space="preserve">رساله پزشکی است ترجمه شده از زبان خارج به فارسی در دو «مقاله» و هر مقاله چند «باب»؛ خط: شکسته نستعلیق، بی کا، تا: ۱۲۷۴ق؛ جلد: تیماج قهوه ای مجدول خطی و گرهی ضربی، ۲۰۴گ، ۱۹ سطر، اندازه: ۲۱۸۱۷سم [ف: ۲-۶۵۹]</w:t>
      </w:r>
    </w:p>
    <w:p>
      <w:pPr>
        <w:pStyle w:val="BookText"/>
      </w:pPr>
      <w:r>
        <w:rPr>
          <w:rFonts w:ascii="IRNazanin" w:hAnsi="IRNazanin" w:eastAsia="IRNazanin" w:cs="IRNazanin"/>
          <w:lang w:bidi="fa-IR"/>
          <w:color w:val="111111"/>
          <w:sz w:val="28"/>
          <w:szCs w:val="28"/>
          <w:rtl/>
        </w:rPr>
        <w:t xml:space="preserve">٣. تهران؛ دانشگاه، شماره نسخه: ۴۶۰۳/۱</w:t>
      </w:r>
    </w:p>
    <w:p>
      <w:pPr>
        <w:pStyle w:val="BookText"/>
      </w:pPr>
      <w:r>
        <w:rPr>
          <w:rFonts w:ascii="IRNazanin" w:hAnsi="IRNazanin" w:eastAsia="IRNazanin" w:cs="IRNazanin"/>
          <w:lang w:bidi="fa-IR"/>
          <w:color w:val="111111"/>
          <w:sz w:val="28"/>
          <w:szCs w:val="28"/>
          <w:rtl/>
        </w:rPr>
        <w:t xml:space="preserve">آغاز: بسمله. حمدله ... اما بعد این رساله ایست در علم امراض بطور عموم که بزبان فرانسه «پات الژي ژن رال» نامند و مشتمل است بر مقدمه و سه باب؛ انجام: که بفرانسه پرویز گویند تمام شد در روز شنبه ششم ربيع المولود سنه ۱۲۷۷.</w:t>
      </w:r>
    </w:p>
    <w:p>
      <w:pPr>
        <w:pStyle w:val="BookText"/>
      </w:pPr>
      <w:r>
        <w:rPr>
          <w:rFonts w:ascii="IRNazanin" w:hAnsi="IRNazanin" w:eastAsia="IRNazanin" w:cs="IRNazanin"/>
          <w:lang w:bidi="fa-IR"/>
          <w:color w:val="111111"/>
          <w:sz w:val="28"/>
          <w:szCs w:val="28"/>
          <w:rtl/>
        </w:rPr>
        <w:t xml:space="preserve">گویا تقریر درس با ترجمه کتابی است از «حکیم پولاک»؛ خط: نستعلیق، بی کا، تا: ۱۲۷۷ق؛ کاغذ: فرنگی، جلد: تیماج تریاکی ضربی ترنجی مقوایی، ۴۱ص (۱-۴۱)، ۱۹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سم [ف: ۱۴-۳۵۳۵]</w:t>
      </w:r>
    </w:p>
    <w:p>
      <w:pPr>
        <w:pStyle w:val="BookText"/>
      </w:pPr>
      <w:r>
        <w:rPr>
          <w:rFonts w:ascii="IRNazanin" w:hAnsi="IRNazanin" w:eastAsia="IRNazanin" w:cs="IRNazanin"/>
          <w:lang w:bidi="fa-IR"/>
          <w:color w:val="111111"/>
          <w:sz w:val="28"/>
          <w:szCs w:val="28"/>
          <w:rtl/>
        </w:rPr>
        <w:t xml:space="preserve">۴. همدان؛ دانشگاه بوعلی؛ شماره نسخه: ۱۷۴</w:t>
      </w:r>
    </w:p>
    <w:p>
      <w:pPr>
        <w:pStyle w:val="BookText"/>
      </w:pPr>
      <w:r>
        <w:rPr>
          <w:rFonts w:ascii="IRNazanin" w:hAnsi="IRNazanin" w:eastAsia="IRNazanin" w:cs="IRNazanin"/>
          <w:lang w:bidi="fa-IR"/>
          <w:color w:val="111111"/>
          <w:sz w:val="28"/>
          <w:szCs w:val="28"/>
          <w:rtl/>
        </w:rPr>
        <w:t xml:space="preserve">جلد اول، خط: نستعلیق، کا: نصرت خراسانی (نصرت الملک قوچانی)، تا: شعبان ۱۲۸۶ق؛ جلد: تیماج سبز، ۲۱۳گ، ۱۹ سطر، اندازه: ۱۴/۵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۸۷]</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همدان؛ دانشگاه بوعلی؛ شماره نسخه: ۱۵۷</w:t>
      </w:r>
    </w:p>
    <w:p>
      <w:pPr>
        <w:pStyle w:val="BookText"/>
      </w:pPr>
      <w:r>
        <w:rPr>
          <w:rFonts w:ascii="IRNazanin" w:hAnsi="IRNazanin" w:eastAsia="IRNazanin" w:cs="IRNazanin"/>
          <w:lang w:bidi="fa-IR"/>
          <w:color w:val="111111"/>
          <w:sz w:val="28"/>
          <w:szCs w:val="28"/>
          <w:rtl/>
        </w:rPr>
        <w:t xml:space="preserve">جلد دوم و گویا خمسه ناصری باشد؛ خط: نستعلیق، كان نصرت طبيب قوچانی «نصرت الملک»، تا: سه شنبه ۱۶ ربیع الاول ۱۲۹۳ق؛ جلد: تیماج سبز، ۲۱۶گ، ۲۰ سطر، اندازه:</w:t>
      </w:r>
    </w:p>
    <w:p>
      <w:pPr>
        <w:pStyle w:val="BookText"/>
      </w:pPr>
      <w:r>
        <w:rPr>
          <w:rFonts w:ascii="IRNazanin" w:hAnsi="IRNazanin" w:eastAsia="IRNazanin" w:cs="IRNazanin"/>
          <w:lang w:bidi="fa-IR"/>
          <w:color w:val="111111"/>
          <w:sz w:val="28"/>
          <w:szCs w:val="28"/>
          <w:rtl/>
        </w:rPr>
        <w:t xml:space="preserve">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43" w:name="pg20363_209500"/>
    <w:bookmarkEnd w:id="243"/>
    <w:p>
      <w:pPr>
        <w:pStyle w:val="BookText"/>
      </w:pPr>
      <w:r>
        <w:rPr>
          <w:rFonts w:ascii="IRNazanin" w:hAnsi="IRNazanin" w:eastAsia="IRNazanin" w:cs="IRNazanin"/>
          <w:lang w:bidi="fa-IR"/>
          <w:color w:val="111111"/>
          <w:sz w:val="28"/>
          <w:szCs w:val="28"/>
          <w:rtl/>
        </w:rPr>
        <w:t xml:space="preserve">[ف: ۷۹]</w:t>
      </w:r>
    </w:p>
    <w:p>
      <w:pPr>
        <w:pStyle w:val="BookText"/>
      </w:pPr>
      <w:r>
        <w:rPr>
          <w:rFonts w:ascii="IRNazanin" w:hAnsi="IRNazanin" w:eastAsia="IRNazanin" w:cs="IRNazanin"/>
          <w:lang w:bidi="fa-IR"/>
          <w:color w:val="111111"/>
          <w:sz w:val="28"/>
          <w:szCs w:val="28"/>
          <w:rtl/>
        </w:rPr>
        <w:t xml:space="preserve">همدان؛ دانشگاه بوعلی؛ شماره نسخه: ۲۰۱</w:t>
      </w:r>
    </w:p>
    <w:p>
      <w:pPr>
        <w:pStyle w:val="BookText"/>
      </w:pPr>
      <w:r>
        <w:rPr>
          <w:rFonts w:ascii="IRNazanin" w:hAnsi="IRNazanin" w:eastAsia="IRNazanin" w:cs="IRNazanin"/>
          <w:lang w:bidi="fa-IR"/>
          <w:color w:val="111111"/>
          <w:sz w:val="28"/>
          <w:szCs w:val="28"/>
          <w:rtl/>
        </w:rPr>
        <w:t xml:space="preserve">خط: نستعلیق، کا: نصر طبیب (نصرت الملک)، تا: ۱۲۹۴ق؛ جلد: تیماج سبز، ۲۶۱گ، مختلف السطر، اندازه: ۱۵/۵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۱۰۵]</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اصفهان؛ دانشگاه؛ شماره نسخه: ۱۱۹</w:t>
      </w:r>
    </w:p>
    <w:p>
      <w:pPr>
        <w:pStyle w:val="BookText"/>
      </w:pPr>
      <w:r>
        <w:rPr>
          <w:rFonts w:ascii="IRNazanin" w:hAnsi="IRNazanin" w:eastAsia="IRNazanin" w:cs="IRNazanin"/>
          <w:lang w:bidi="fa-IR"/>
          <w:color w:val="111111"/>
          <w:sz w:val="28"/>
          <w:szCs w:val="28"/>
          <w:rtl/>
        </w:rPr>
        <w:t xml:space="preserve">آغاز: علم به طبایع و معالجه امراض پاتولوژی علمی است که شناخته می شود از احوال بدن انسان در حالت مرض؛ انجام: بواسطه مجذوب شدن رطوبت غشاء لحمانی اغشيه لحمانی جمیع بدن هزال یابد جميع ترشحات بدن چه طبیعی و چه طبیعی کم یا بکی</w:t>
      </w:r>
    </w:p>
    <w:p>
      <w:pPr>
        <w:pStyle w:val="BookText"/>
      </w:pPr>
      <w:r>
        <w:rPr>
          <w:rFonts w:ascii="IRNazanin" w:hAnsi="IRNazanin" w:eastAsia="IRNazanin" w:cs="IRNazanin"/>
          <w:lang w:bidi="fa-IR"/>
          <w:color w:val="111111"/>
          <w:sz w:val="28"/>
          <w:szCs w:val="28"/>
          <w:rtl/>
        </w:rPr>
        <w:t xml:space="preserve">ظاهرا یکی از ترجمه های کتاب کریزل فرانسوی است؛ خط: نستعلیق، بی کا، تا: قرن ۱۴؛ افتادگی: انجام؛ جلد: تیماج قهوه ای، ۴۴۱گ، ۱۷ سطر، اندازه: ۱۶/۵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۲۲/۵سم [ف: ۱-۹۰]</w:t>
      </w:r>
    </w:p>
    <w:p>
      <w:pPr>
        <w:pStyle w:val="BookText"/>
      </w:pPr>
      <w:r>
        <w:rPr>
          <w:rFonts w:ascii="IRNazanin" w:hAnsi="IRNazanin" w:eastAsia="IRNazanin" w:cs="IRNazanin"/>
          <w:lang w:bidi="fa-IR"/>
          <w:color w:val="111111"/>
          <w:sz w:val="28"/>
          <w:szCs w:val="28"/>
          <w:rtl/>
        </w:rPr>
        <w:t xml:space="preserve">۷. قم؛ معصومیه؛ شماره نسخه: ۱۴۴/۴ -۸۳۵۴</w:t>
      </w:r>
    </w:p>
    <w:p>
      <w:pPr>
        <w:pStyle w:val="BookText"/>
      </w:pPr>
      <w:r>
        <w:rPr>
          <w:rFonts w:ascii="IRNazanin" w:hAnsi="IRNazanin" w:eastAsia="IRNazanin" w:cs="IRNazanin"/>
          <w:lang w:bidi="fa-IR"/>
          <w:color w:val="111111"/>
          <w:sz w:val="28"/>
          <w:szCs w:val="28"/>
          <w:rtl/>
        </w:rPr>
        <w:t xml:space="preserve">در دستورات طبی احوال بدن انسان، از کتابهای دارالفنون باید باشد؛ خط: نستعلیق، بی کا، تا: قرن ۱۴؛ کاغذ: فرنگی، جلد: تیماج تریاکی، ۵۷۸گ، ۱۷ سطر، قطع: خشتی [ آستانه قم:-۸۴]</w:t>
      </w:r>
    </w:p>
    <w:p>
      <w:pPr>
        <w:pStyle w:val="BookText"/>
      </w:pPr>
      <w:r>
        <w:rPr>
          <w:rFonts w:ascii="IRNazanin" w:hAnsi="IRNazanin" w:eastAsia="IRNazanin" w:cs="IRNazanin"/>
          <w:lang w:bidi="fa-IR"/>
          <w:color w:val="111111"/>
          <w:sz w:val="28"/>
          <w:szCs w:val="28"/>
          <w:rtl/>
        </w:rPr>
        <w:t xml:space="preserve">۸. مشهد؛ رضوی؛ شماره نسخه: ۲۷۲۷۴</w:t>
      </w:r>
    </w:p>
    <w:p>
      <w:pPr>
        <w:pStyle w:val="BookText"/>
      </w:pPr>
      <w:r>
        <w:rPr>
          <w:rFonts w:ascii="IRNazanin" w:hAnsi="IRNazanin" w:eastAsia="IRNazanin" w:cs="IRNazanin"/>
          <w:lang w:bidi="fa-IR"/>
          <w:color w:val="111111"/>
          <w:sz w:val="28"/>
          <w:szCs w:val="28"/>
          <w:rtl/>
        </w:rPr>
        <w:t xml:space="preserve">آغاز: دهم در امراض مخصوصه هر آلت و عضوی، جنس اول در جسمیات اگرچه بعضی از انجام: که عفونت رطوبت را برده و تغییری در آلت داده بقسمی که زودتر علاج گردد ... سنه ۱۳۱۱</w:t>
      </w:r>
    </w:p>
    <w:p>
      <w:pPr>
        <w:pStyle w:val="BookText"/>
      </w:pPr>
      <w:r>
        <w:rPr>
          <w:rFonts w:ascii="IRNazanin" w:hAnsi="IRNazanin" w:eastAsia="IRNazanin" w:cs="IRNazanin"/>
          <w:lang w:bidi="fa-IR"/>
          <w:color w:val="111111"/>
          <w:sz w:val="28"/>
          <w:szCs w:val="28"/>
          <w:rtl/>
        </w:rPr>
        <w:t xml:space="preserve">خط: نستعلیق خفی، بی کا، تا: ۱۳۱۱ق؛ کاغذ: شکری، جلد: مقوا باع طف و گوشه پارچه، ۱۵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قطع: وزیری کوچک،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[رایانه]</w:t>
      </w:r>
    </w:p>
    <w:p>
      <w:pPr>
        <w:pStyle w:val="BookText"/>
      </w:pPr>
      <w:r>
        <w:rPr>
          <w:rFonts w:ascii="IRNazanin" w:hAnsi="IRNazanin" w:eastAsia="IRNazanin" w:cs="IRNazanin"/>
          <w:lang w:bidi="fa-IR"/>
          <w:color w:val="111111"/>
          <w:sz w:val="28"/>
          <w:szCs w:val="28"/>
          <w:rtl/>
        </w:rPr>
        <w:t xml:space="preserve">۹. همدان؛ دانشگاه بوعلی؛ شماره نسخه: ۱۹۱</w:t>
      </w:r>
    </w:p>
    <w:p>
      <w:pPr>
        <w:pStyle w:val="BookText"/>
      </w:pPr>
      <w:r>
        <w:rPr>
          <w:rFonts w:ascii="IRNazanin" w:hAnsi="IRNazanin" w:eastAsia="IRNazanin" w:cs="IRNazanin"/>
          <w:lang w:bidi="fa-IR"/>
          <w:color w:val="111111"/>
          <w:sz w:val="28"/>
          <w:szCs w:val="28"/>
          <w:rtl/>
        </w:rPr>
        <w:t xml:space="preserve">جلد دوم کتاب است؛ خط: نستعلیق، بی کا، تا: چهارشنبه ۱۰ صفر (پایان کتاب سوم)؛ هر بخشی از این جلد دارای فهرست جداگانه می باشد؛ جلد: تیماج سبز، ۳۱۲، ۱۵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۹۸]</w:t>
      </w:r>
    </w:p>
    <w:p>
      <w:pPr>
        <w:pStyle w:val="BookText"/>
      </w:pPr>
      <w:r>
        <w:rPr>
          <w:rFonts w:ascii="IRNazanin" w:hAnsi="IRNazanin" w:eastAsia="IRNazanin" w:cs="IRNazanin"/>
          <w:lang w:bidi="fa-IR"/>
          <w:color w:val="111111"/>
          <w:sz w:val="28"/>
          <w:szCs w:val="28"/>
          <w:rtl/>
        </w:rPr>
        <w:t xml:space="preserve">۱۰. تهران؛ ملی؛ شماره نسخه: ۱۸۲۴۵</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اندازه: ۱۶/۵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۲۰/۵</w:t>
      </w:r>
    </w:p>
    <w:p>
      <w:pPr>
        <w:pStyle w:val="BookText"/>
      </w:pP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تبریز؛ قاضی طباطبائی؛ شماره نسخه: بدون شماره ۶</w:t>
      </w:r>
    </w:p>
    <w:p>
      <w:pPr>
        <w:pStyle w:val="BookText"/>
      </w:pPr>
      <w:r>
        <w:rPr>
          <w:rFonts w:ascii="IRNazanin" w:hAnsi="IRNazanin" w:eastAsia="IRNazanin" w:cs="IRNazanin"/>
          <w:lang w:bidi="fa-IR"/>
          <w:color w:val="111111"/>
          <w:sz w:val="28"/>
          <w:szCs w:val="28"/>
          <w:rtl/>
        </w:rPr>
        <w:t xml:space="preserve">بی کا، بی تا [نشریه: ۷-۵۲۰]</w:t>
      </w:r>
    </w:p>
    <w:p>
      <w:pPr>
        <w:pStyle w:val="BookText"/>
      </w:pPr>
      <w:r>
        <w:rPr>
          <w:rFonts w:ascii="IRNazanin" w:hAnsi="IRNazanin" w:eastAsia="IRNazanin" w:cs="IRNazanin"/>
          <w:lang w:bidi="fa-IR"/>
          <w:color w:val="111111"/>
          <w:sz w:val="28"/>
          <w:szCs w:val="28"/>
          <w:rtl/>
        </w:rPr>
        <w:t xml:space="preserve">← پادزهر ← فادزهر</w:t>
      </w:r>
    </w:p>
    <w:p>
      <w:pPr>
        <w:pStyle w:val="Heading3"/>
      </w:pPr>
      <w:bookmarkStart w:id="1492" w:name="_Toc752"/>
      <w:r>
        <w:t>• پادزهر / طب / فارسی</w:t>
      </w:r>
      <w:bookmarkEnd w:id="1492"/>
    </w:p>
    <w:p>
      <w:pPr>
        <w:pStyle w:val="BookText"/>
      </w:pPr>
      <w:r>
        <w:rPr>
          <w:rFonts w:ascii="Times New Roman" w:hAnsi="Times New Roman" w:eastAsia="Times New Roman" w:cs="Times New Roman"/>
          <w:lang w:val="en-US" w:bidi="en-US"/>
          <w:color w:val="111111"/>
          <w:sz w:val="28"/>
          <w:szCs w:val="28"/>
          <w:rtl/>
        </w:rPr>
        <w:t xml:space="preserve">pādzahr</w:t>
      </w:r>
    </w:p>
    <w:p>
      <w:pPr>
        <w:pStyle w:val="BookText"/>
      </w:pPr>
      <w:r>
        <w:rPr>
          <w:rFonts w:ascii="IRNazanin" w:hAnsi="IRNazanin" w:eastAsia="IRNazanin" w:cs="IRNazanin"/>
          <w:lang w:bidi="fa-IR"/>
          <w:color w:val="111111"/>
          <w:sz w:val="28"/>
          <w:szCs w:val="28"/>
          <w:rtl/>
        </w:rPr>
        <w:t xml:space="preserve">عماد الدین شیرازی، محمود بن مسعود، -۹۸۴؟ قمری</w:t>
      </w:r>
    </w:p>
    <w:p>
      <w:pPr>
        <w:pStyle w:val="BookText"/>
      </w:pPr>
      <w:r>
        <w:rPr>
          <w:rFonts w:ascii="Times New Roman" w:hAnsi="Times New Roman" w:eastAsia="Times New Roman" w:cs="Times New Roman"/>
          <w:lang w:val="en-US" w:bidi="en-US"/>
          <w:color w:val="111111"/>
          <w:sz w:val="28"/>
          <w:szCs w:val="28"/>
          <w:rtl/>
        </w:rPr>
        <w:t xml:space="preserve">‘emād-od-dīn-e šīrāzī, mahmūd ebn-e masóūd (- 1577)</w:t>
      </w:r>
    </w:p>
    <w:p>
      <w:pPr>
        <w:pStyle w:val="BookText"/>
      </w:pPr>
      <w:r>
        <w:rPr>
          <w:rFonts w:ascii="IRNazanin" w:hAnsi="IRNazanin" w:eastAsia="IRNazanin" w:cs="IRNazanin"/>
          <w:lang w:bidi="fa-IR"/>
          <w:color w:val="111111"/>
          <w:sz w:val="28"/>
          <w:szCs w:val="28"/>
          <w:rtl/>
        </w:rPr>
        <w:t xml:space="preserve">گویا نسخه ها با هم جدایی دارند. در نسخه دایرة المعارف آمده: پادزهر جسمی است کانی و از ایران (فارس) می آورند و فادزهر گاو از ولایت تلنگانه (هند) می آورند». چند جا از نورس شاهی» یاد می کند که در پزشکی است و خواص دارویی سنگ های گرانبها و برخی خوراکی ها را در بر دارد. در آن آمده: «اقل العباد محمود گوید». (منزوی، احمد) آغاز: رساله فادزهر، بسمله و سلام على عباده الذين اصطفی، در معالجات بقراطی آورده که از فارس چیزی می آورند که آن را حجر التيس می نامند.</w:t>
      </w:r>
    </w:p>
    <w:p>
      <w:pPr>
        <w:pStyle w:val="BookText"/>
      </w:pPr>
      <w:r>
        <w:rPr>
          <w:rFonts w:ascii="IRNazanin" w:hAnsi="IRNazanin" w:eastAsia="IRNazanin" w:cs="IRNazanin"/>
          <w:lang w:bidi="fa-IR"/>
          <w:color w:val="111111"/>
          <w:sz w:val="28"/>
          <w:szCs w:val="28"/>
          <w:rtl/>
        </w:rPr>
        <w:t xml:space="preserve">[ فهرستواره منزوی ۳۳۲۷/۵ ؛ استوری، پزشکی ۲۴۳ «رساله در پادزهر»]</w:t>
      </w:r>
    </w:p>
    <w:p>
      <w:pPr>
        <w:pStyle w:val="BookText"/>
      </w:pPr>
      <w:r>
        <w:rPr>
          <w:rFonts w:ascii="IRNazanin" w:hAnsi="IRNazanin" w:eastAsia="IRNazanin" w:cs="IRNazanin"/>
          <w:lang w:bidi="fa-IR"/>
          <w:color w:val="111111"/>
          <w:sz w:val="28"/>
          <w:szCs w:val="28"/>
          <w:rtl/>
        </w:rPr>
        <w:t xml:space="preserve">۱. تهران، دانشگاه؛ شماره نسخه: ۸۲۴۶/۳</w:t>
      </w:r>
    </w:p>
    <w:p>
      <w:pPr>
        <w:pStyle w:val="BookText"/>
      </w:pPr>
      <w:r>
        <w:rPr>
          <w:rFonts w:ascii="IRNazanin" w:hAnsi="IRNazanin" w:eastAsia="IRNazanin" w:cs="IRNazanin"/>
          <w:lang w:bidi="fa-IR"/>
          <w:color w:val="111111"/>
          <w:sz w:val="28"/>
          <w:szCs w:val="28"/>
          <w:rtl/>
        </w:rPr>
        <w:t xml:space="preserve">آغاز: برابر؛ انجام: و گویند به وزن آن موم و به وزن آن زیت بود و الله اعلم و احكم</w:t>
      </w:r>
    </w:p>
    <w:p>
      <w:pPr>
        <w:pStyle w:val="BookText"/>
      </w:pPr>
      <w:r>
        <w:rPr>
          <w:rFonts w:ascii="IRNazanin" w:hAnsi="IRNazanin" w:eastAsia="IRNazanin" w:cs="IRNazanin"/>
          <w:lang w:bidi="fa-IR"/>
          <w:color w:val="111111"/>
          <w:sz w:val="28"/>
          <w:szCs w:val="28"/>
          <w:rtl/>
        </w:rPr>
        <w:t xml:space="preserve">خط: نستعلیق، بی کا، تا: قرن ۱۰؛ مجدول؛ کاغذ: سپاهانی، جلد: تیماج مشکی ضربی مقوایی، ۳گ (۶۲پ -۶۴پ)، ۱۹ سطر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سم [ف: ۱۷-۸۶]</w:t>
      </w:r>
    </w:p>
    <w:p>
      <w:pPr>
        <w:pStyle w:val="BookText"/>
      </w:pPr>
      <w:r>
        <w:rPr>
          <w:rFonts w:ascii="IRNazanin" w:hAnsi="IRNazanin" w:eastAsia="IRNazanin" w:cs="IRNazanin"/>
          <w:lang w:bidi="fa-IR"/>
          <w:color w:val="111111"/>
          <w:sz w:val="28"/>
          <w:szCs w:val="28"/>
          <w:rtl/>
        </w:rPr>
        <w:t xml:space="preserve">۲. تهران؛ مجلس؛ شماره نسخه: ۶۱۱۲/۹</w:t>
      </w:r>
    </w:p>
    <w:p>
      <w:pPr>
        <w:pStyle w:val="BookText"/>
      </w:pPr>
      <w:r>
        <w:rPr>
          <w:rFonts w:ascii="IRNazanin" w:hAnsi="IRNazanin" w:eastAsia="IRNazanin" w:cs="IRNazanin"/>
          <w:lang w:bidi="fa-IR"/>
          <w:color w:val="111111"/>
          <w:sz w:val="28"/>
          <w:szCs w:val="28"/>
          <w:rtl/>
        </w:rPr>
        <w:t xml:space="preserve">بخشی از آن رساله است منقول از خط عمادالدین؛ بی کا، تا: قرن ۱۲؛ کاغذ: اصفهانی آهار و مهره، جلد: تیماج قرمز یک لا، ۵ص ( ۵۸۷-۵۸۳ )، قطع:نیم خشتی، اندازه: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۱۹-۱۰۳]</w:t>
      </w:r>
    </w:p>
    <w:p>
      <w:pPr>
        <w:pStyle w:val="BookText"/>
      </w:pPr>
      <w:r>
        <w:rPr>
          <w:rFonts w:ascii="IRNazanin" w:hAnsi="IRNazanin" w:eastAsia="IRNazanin" w:cs="IRNazanin"/>
          <w:lang w:bidi="fa-IR"/>
          <w:color w:val="111111"/>
          <w:sz w:val="28"/>
          <w:szCs w:val="28"/>
          <w:rtl/>
        </w:rPr>
        <w:t xml:space="preserve">٣. تهران: دانشگاه؛ شماره نسخه: ۶۹۴/۸ -ف</w:t>
      </w:r>
    </w:p>
    <w:p>
      <w:pPr>
        <w:pStyle w:val="BookText"/>
      </w:pPr>
      <w:r>
        <w:rPr>
          <w:rFonts w:ascii="IRNazanin" w:hAnsi="IRNazanin" w:eastAsia="IRNazanin" w:cs="IRNazanin"/>
          <w:lang w:bidi="fa-IR"/>
          <w:color w:val="111111"/>
          <w:sz w:val="28"/>
          <w:szCs w:val="28"/>
          <w:rtl/>
        </w:rPr>
        <w:t xml:space="preserve">آغاز: برابر، انجام: و گویند به وزن آن موم و به وزن آن زیت بود و الله اعلم و احكم.</w:t>
      </w:r>
    </w:p>
    <w:p>
      <w:pPr>
        <w:pStyle w:val="BookText"/>
      </w:pPr>
      <w:r>
        <w:rPr>
          <w:rFonts w:ascii="IRNazanin" w:hAnsi="IRNazanin" w:eastAsia="IRNazanin" w:cs="IRNazanin"/>
          <w:lang w:bidi="fa-IR"/>
          <w:color w:val="111111"/>
          <w:sz w:val="28"/>
          <w:szCs w:val="28"/>
          <w:rtl/>
        </w:rPr>
        <w:t xml:space="preserve">نسخه اصل: موزه بریتانیا ش .۱۹۶۱۹</w:t>
      </w:r>
      <w:r>
        <w:rPr>
          <w:rFonts w:ascii="Times New Roman" w:hAnsi="Times New Roman" w:eastAsia="Times New Roman" w:cs="Times New Roman"/>
          <w:lang w:val="en-US" w:bidi="en-US"/>
          <w:color w:val="111111"/>
          <w:sz w:val="28"/>
          <w:szCs w:val="28"/>
          <w:rtl/>
        </w:rPr>
        <w:t xml:space="preserve">Add (</w:t>
      </w:r>
      <w:r>
        <w:rPr>
          <w:rFonts w:ascii="IRNazanin" w:hAnsi="IRNazanin" w:eastAsia="IRNazanin" w:cs="IRNazanin"/>
          <w:lang w:bidi="fa-IR"/>
          <w:color w:val="111111"/>
          <w:sz w:val="28"/>
          <w:szCs w:val="28"/>
          <w:rtl/>
        </w:rPr>
        <w:t xml:space="preserve">ریو ۸۴۳)؛ خط: نستعلیق، بی کا، تا: ۱۱۰۳ق؛ ۱۷گ (۲۶۴پ -۲۸۰)، ۱۵ سطر [فیلمها ف: ۱-۵۲۵]</w:t>
      </w:r>
    </w:p>
    <w:p>
      <w:pPr>
        <w:pStyle w:val="BookText"/>
      </w:pPr>
      <w:r>
        <w:rPr>
          <w:rFonts w:ascii="IRNazanin" w:hAnsi="IRNazanin" w:eastAsia="IRNazanin" w:cs="IRNazanin"/>
          <w:lang w:bidi="fa-IR"/>
          <w:color w:val="111111"/>
          <w:sz w:val="28"/>
          <w:szCs w:val="28"/>
          <w:rtl/>
        </w:rPr>
        <w:t xml:space="preserve">تهران؛ دائرة المعارف، شماره نسخه: ۴۳۱/۸ -عکسی</w:t>
      </w:r>
    </w:p>
    <w:p>
      <w:pPr>
        <w:pStyle w:val="BookText"/>
      </w:pPr>
      <w:r>
        <w:rPr>
          <w:rFonts w:ascii="IRNazanin" w:hAnsi="IRNazanin" w:eastAsia="IRNazanin" w:cs="IRNazanin"/>
          <w:lang w:bidi="fa-IR"/>
          <w:color w:val="111111"/>
          <w:sz w:val="28"/>
          <w:szCs w:val="28"/>
          <w:rtl/>
        </w:rPr>
        <w:t xml:space="preserve">نسخه اصل: همان نسخه بالا [عکسی ف: ۲-۴۶]</w:t>
      </w:r>
    </w:p>
    <w:p>
      <w:pPr>
        <w:pStyle w:val="BookText"/>
      </w:pPr>
      <w:r>
        <w:rPr>
          <w:rFonts w:ascii="IRNazanin" w:hAnsi="IRNazanin" w:eastAsia="IRNazanin" w:cs="IRNazanin"/>
          <w:lang w:bidi="fa-IR"/>
          <w:color w:val="111111"/>
          <w:sz w:val="28"/>
          <w:szCs w:val="28"/>
          <w:rtl/>
        </w:rPr>
        <w:t xml:space="preserve">۴. تهران، دانشگاه؛ شماره نسخه: ۷۵۶۵/۵</w:t>
      </w:r>
    </w:p>
    <w:p>
      <w:pPr>
        <w:pStyle w:val="BookText"/>
      </w:pPr>
      <w:r>
        <w:rPr>
          <w:rFonts w:ascii="IRNazanin" w:hAnsi="IRNazanin" w:eastAsia="IRNazanin" w:cs="IRNazanin"/>
          <w:lang w:bidi="fa-IR"/>
          <w:color w:val="111111"/>
          <w:sz w:val="28"/>
          <w:szCs w:val="28"/>
          <w:rtl/>
        </w:rPr>
        <w:t xml:space="preserve">آغاز طریق خوردن فادزهر و شناختن آن منقول از خط حكيم کمال الدین حسین قدس الله روحه بدانکه بهتر فادزهر شبانکاره است و فادزهر هیدی خوب نیست؛ انجام: و بعد از فراغ آن حرارت و اضطراب عظیم پیدا شد و الله اعلم بالصواب. خط: نستعلیق، کا: کمال الدین حسین، بی تا؛ کاغذ: سپاهانی، جلد: تیماج تریاکی ضربی مقوایی، ۵گ (۶۵-۶۹)، ۱۸ سطر</w:t>
      </w:r>
    </w:p>
    <w:p>
      <w:pPr>
        <w:pStyle w:val="BookText"/>
      </w:pPr>
      <w:r>
        <w:rPr>
          <w:rFonts w:ascii="IRNazanin" w:hAnsi="IRNazanin" w:eastAsia="IRNazanin" w:cs="IRNazanin"/>
          <w:lang w:bidi="fa-IR"/>
          <w:color w:val="111111"/>
          <w:sz w:val="28"/>
          <w:szCs w:val="28"/>
          <w:rtl/>
        </w:rPr>
        <w:t xml:space="preserve">(۴/۵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قطع: بغلی،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سم [ف: ۱۶-۶۳۰]</w:t>
      </w:r>
    </w:p>
    <w:p>
      <w:pPr>
        <w:pStyle w:val="Heading3"/>
      </w:pPr>
      <w:bookmarkStart w:id="1493" w:name="_Toc753"/>
      <w:r>
        <w:t>• پادزهر (رساله در بیان) / طب / فارسی</w:t>
      </w:r>
      <w:bookmarkEnd w:id="1493"/>
    </w:p>
    <w:p>
      <w:pPr>
        <w:pStyle w:val="BookText"/>
      </w:pPr>
      <w:r>
        <w:rPr>
          <w:rFonts w:ascii="Times New Roman" w:hAnsi="Times New Roman" w:eastAsia="Times New Roman" w:cs="Times New Roman"/>
          <w:lang w:val="en-US" w:bidi="en-US"/>
          <w:color w:val="111111"/>
          <w:sz w:val="28"/>
          <w:szCs w:val="28"/>
          <w:rtl/>
        </w:rPr>
        <w:t xml:space="preserve">pādzahr (r. dar bayān)</w:t>
      </w:r>
    </w:p>
    <w:p>
      <w:pPr>
        <w:pStyle w:val="BookText"/>
      </w:pPr>
      <w:r>
        <w:rPr>
          <w:rFonts w:ascii="IRNazanin" w:hAnsi="IRNazanin" w:eastAsia="IRNazanin" w:cs="IRNazanin"/>
          <w:lang w:bidi="fa-IR"/>
          <w:color w:val="111111"/>
          <w:sz w:val="28"/>
          <w:szCs w:val="28"/>
          <w:rtl/>
        </w:rPr>
        <w:t xml:space="preserve">جیلانی، حسن</w:t>
      </w:r>
    </w:p>
    <w:p>
      <w:pPr>
        <w:pStyle w:val="BookText"/>
      </w:pPr>
      <w:r>
        <w:rPr>
          <w:rFonts w:ascii="Times New Roman" w:hAnsi="Times New Roman" w:eastAsia="Times New Roman" w:cs="Times New Roman"/>
          <w:lang w:val="en-US" w:bidi="en-US"/>
          <w:color w:val="111111"/>
          <w:sz w:val="28"/>
          <w:szCs w:val="28"/>
          <w:rtl/>
        </w:rPr>
        <w:t xml:space="preserve">jīlānī, hasan</w:t>
      </w:r>
    </w:p>
    <w:p>
      <w:pPr>
        <w:pStyle w:val="BookText"/>
      </w:pPr>
      <w:r>
        <w:rPr>
          <w:rFonts w:ascii="IRNazanin" w:hAnsi="IRNazanin" w:eastAsia="IRNazanin" w:cs="IRNazanin"/>
          <w:lang w:bidi="fa-IR"/>
          <w:color w:val="111111"/>
          <w:sz w:val="28"/>
          <w:szCs w:val="28"/>
          <w:rtl/>
        </w:rPr>
        <w:t xml:space="preserve">رساله در یک «مقدمه» و سه مقاله» و یک «خاتمه»: مقدمه: در بیان شرافة اعلم طب؛ مقاله 1. بيان شرافت پادزهر و خواص آن؛ مقاله ۲. منافع و مضار پادزهر؛ مقاله ۳. بيان طرق شرب آن؛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44" w:name="pg20363_209501"/>
    <w:bookmarkEnd w:id="244"/>
    <w:p>
      <w:pPr>
        <w:pStyle w:val="BookText"/>
      </w:pPr>
      <w:r>
        <w:rPr>
          <w:rFonts w:ascii="IRNazanin" w:hAnsi="IRNazanin" w:eastAsia="IRNazanin" w:cs="IRNazanin"/>
          <w:lang w:bidi="fa-IR"/>
          <w:color w:val="111111"/>
          <w:sz w:val="28"/>
          <w:szCs w:val="28"/>
          <w:rtl/>
        </w:rPr>
        <w:t xml:space="preserve">خاتمه: در بیان ورد آن فصول اربعه و شب و روز.</w:t>
      </w:r>
    </w:p>
    <w:p>
      <w:pPr>
        <w:pStyle w:val="BookText"/>
      </w:pPr>
      <w:r>
        <w:rPr>
          <w:rFonts w:ascii="IRNazanin" w:hAnsi="IRNazanin" w:eastAsia="IRNazanin" w:cs="IRNazanin"/>
          <w:lang w:bidi="fa-IR"/>
          <w:color w:val="111111"/>
          <w:sz w:val="28"/>
          <w:szCs w:val="28"/>
          <w:rtl/>
        </w:rPr>
        <w:t xml:space="preserve">آغاز: بسمله، الحمدلله رب العالمين و الصوة و السلام على محمد و اله اجمعين قال النبي(صلی الله علیه وآله وسلم) أن الحكمه لتنزل من السماء.</w:t>
      </w:r>
    </w:p>
    <w:p>
      <w:pPr>
        <w:pStyle w:val="BookText"/>
      </w:pPr>
      <w:r>
        <w:rPr>
          <w:rFonts w:ascii="IRNazanin" w:hAnsi="IRNazanin" w:eastAsia="IRNazanin" w:cs="IRNazanin"/>
          <w:lang w:bidi="fa-IR"/>
          <w:color w:val="111111"/>
          <w:sz w:val="28"/>
          <w:szCs w:val="28"/>
          <w:rtl/>
        </w:rPr>
        <w:t xml:space="preserve">انجام: بهذ العبارة ایشان شاکر و کمتر</w:t>
      </w:r>
    </w:p>
    <w:p>
      <w:pPr>
        <w:pStyle w:val="BookText"/>
      </w:pPr>
      <w:r>
        <w:rPr>
          <w:rFonts w:ascii="IRNazanin" w:hAnsi="IRNazanin" w:eastAsia="IRNazanin" w:cs="IRNazanin"/>
          <w:lang w:bidi="fa-IR"/>
          <w:color w:val="111111"/>
          <w:sz w:val="28"/>
          <w:szCs w:val="28"/>
          <w:rtl/>
        </w:rPr>
        <w:t xml:space="preserve">[دنا ۶۱۷/۲ ؛ فهرستواره منزوی ۳۳۲۷/۵ ]</w:t>
      </w:r>
    </w:p>
    <w:p>
      <w:pPr>
        <w:pStyle w:val="BookText"/>
      </w:pPr>
      <w:r>
        <w:rPr>
          <w:rFonts w:ascii="IRNazanin" w:hAnsi="IRNazanin" w:eastAsia="IRNazanin" w:cs="IRNazanin"/>
          <w:lang w:bidi="fa-IR"/>
          <w:color w:val="111111"/>
          <w:sz w:val="28"/>
          <w:szCs w:val="28"/>
          <w:rtl/>
        </w:rPr>
        <w:t xml:space="preserve">تهران؛ ملی؛ شماره نسخه: ۲۷۶۹/۱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سید محمد حسینی، تا: ۱۰۵۰ق؛ کاغذ: اصفهانی، جلد: تیماج یک لا تریاکی، ۲۳ ص (۱-۲۳)، ۱۷سطر کامل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۶-۳۸۲]</w:t>
      </w:r>
    </w:p>
    <w:p>
      <w:pPr>
        <w:pStyle w:val="Heading3"/>
      </w:pPr>
      <w:bookmarkStart w:id="1494" w:name="_Toc754"/>
      <w:r>
        <w:t>• پادزهر / طب / فارسی</w:t>
      </w:r>
      <w:bookmarkEnd w:id="1494"/>
    </w:p>
    <w:p>
      <w:pPr>
        <w:pStyle w:val="BookText"/>
      </w:pPr>
      <w:r>
        <w:rPr>
          <w:rFonts w:ascii="Times New Roman" w:hAnsi="Times New Roman" w:eastAsia="Times New Roman" w:cs="Times New Roman"/>
          <w:lang w:val="en-US" w:bidi="en-US"/>
          <w:color w:val="111111"/>
          <w:sz w:val="28"/>
          <w:szCs w:val="28"/>
          <w:rtl/>
        </w:rPr>
        <w:t xml:space="preserve">pādzahr</w:t>
      </w:r>
    </w:p>
    <w:p>
      <w:pPr>
        <w:pStyle w:val="BookText"/>
      </w:pPr>
      <w:r>
        <w:rPr>
          <w:rFonts w:ascii="IRNazanin" w:hAnsi="IRNazanin" w:eastAsia="IRNazanin" w:cs="IRNazanin"/>
          <w:lang w:bidi="fa-IR"/>
          <w:color w:val="111111"/>
          <w:sz w:val="28"/>
          <w:szCs w:val="28"/>
          <w:rtl/>
        </w:rPr>
        <w:t xml:space="preserve">در فواید پزشکی پادزهر و چگونگی به دست آوردن و استعمال آن، در پنج «فصل»: ۱. بيان ماهیت آن؛ ۲. کیفیت امتحان آن؛ ۳. منافع آن؛ ۴. کیفیت استعمال آن؛ ۵. ذکر نسخ فادزهر.</w:t>
      </w:r>
    </w:p>
    <w:p>
      <w:pPr>
        <w:pStyle w:val="BookText"/>
      </w:pPr>
      <w:r>
        <w:rPr>
          <w:rFonts w:ascii="IRNazanin" w:hAnsi="IRNazanin" w:eastAsia="IRNazanin" w:cs="IRNazanin"/>
          <w:lang w:bidi="fa-IR"/>
          <w:color w:val="111111"/>
          <w:sz w:val="28"/>
          <w:szCs w:val="28"/>
          <w:rtl/>
        </w:rPr>
        <w:t xml:space="preserve">قم؛ مرعشی؛ شماره نسخه: ۷۹۳۶/۸</w:t>
      </w:r>
    </w:p>
    <w:p>
      <w:pPr>
        <w:pStyle w:val="BookText"/>
      </w:pPr>
      <w:r>
        <w:rPr>
          <w:rFonts w:ascii="IRNazanin" w:hAnsi="IRNazanin" w:eastAsia="IRNazanin" w:cs="IRNazanin"/>
          <w:lang w:bidi="fa-IR"/>
          <w:color w:val="111111"/>
          <w:sz w:val="28"/>
          <w:szCs w:val="28"/>
          <w:rtl/>
        </w:rPr>
        <w:t xml:space="preserve">آغاز: باب در اموری که متعلق بفادزهر است که حجر التيس نامند و در او پنج فصل است؛ انجام و در سه صباح بپوشند که نافع است. بی کا، بی تا، اگ (۲۱۶پ -۲۱۷پ)،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۳۱/۵سم [ف: ۲۶۹-۲۰]</w:t>
      </w:r>
    </w:p>
    <w:p>
      <w:pPr>
        <w:pStyle w:val="BookText"/>
      </w:pPr>
      <w:r>
        <w:rPr>
          <w:rFonts w:ascii="IRNazanin" w:hAnsi="IRNazanin" w:eastAsia="IRNazanin" w:cs="IRNazanin"/>
          <w:lang w:bidi="fa-IR"/>
          <w:color w:val="111111"/>
          <w:sz w:val="28"/>
          <w:szCs w:val="28"/>
          <w:rtl/>
        </w:rPr>
        <w:t xml:space="preserve">← پادزهر نامه ← تحفه خانیه</w:t>
      </w:r>
    </w:p>
    <w:p>
      <w:pPr>
        <w:pStyle w:val="Heading3"/>
      </w:pPr>
      <w:bookmarkStart w:id="1495" w:name="_Toc755"/>
      <w:r>
        <w:t>• پادزهرنامه گزین / طب / فارسی</w:t>
      </w:r>
      <w:bookmarkEnd w:id="1495"/>
    </w:p>
    <w:p>
      <w:pPr>
        <w:pStyle w:val="BookText"/>
      </w:pPr>
      <w:r>
        <w:rPr>
          <w:rFonts w:ascii="Times New Roman" w:hAnsi="Times New Roman" w:eastAsia="Times New Roman" w:cs="Times New Roman"/>
          <w:lang w:val="en-US" w:bidi="en-US"/>
          <w:color w:val="111111"/>
          <w:sz w:val="28"/>
          <w:szCs w:val="28"/>
          <w:rtl/>
        </w:rPr>
        <w:t xml:space="preserve">pādzahr-nāme-ye gozīn</w:t>
      </w:r>
    </w:p>
    <w:p>
      <w:pPr>
        <w:pStyle w:val="BookText"/>
      </w:pPr>
      <w:r>
        <w:rPr>
          <w:rFonts w:ascii="IRNazanin" w:hAnsi="IRNazanin" w:eastAsia="IRNazanin" w:cs="IRNazanin"/>
          <w:lang w:bidi="fa-IR"/>
          <w:color w:val="111111"/>
          <w:sz w:val="28"/>
          <w:szCs w:val="28"/>
          <w:rtl/>
        </w:rPr>
        <w:t xml:space="preserve">کاشانی، محمد تقی بن محمد هاشم، ۱۲۵۶-۱۳۱۹ قمری</w:t>
      </w:r>
    </w:p>
    <w:p>
      <w:pPr>
        <w:pStyle w:val="BookText"/>
      </w:pPr>
      <w:r>
        <w:rPr>
          <w:rFonts w:ascii="Times New Roman" w:hAnsi="Times New Roman" w:eastAsia="Times New Roman" w:cs="Times New Roman"/>
          <w:lang w:val="en-US" w:bidi="en-US"/>
          <w:color w:val="111111"/>
          <w:sz w:val="28"/>
          <w:szCs w:val="28"/>
          <w:rtl/>
        </w:rPr>
        <w:t xml:space="preserve">kāšānī, mohammad taqī ebn-e mohammad hāšem (1840-1902)</w:t>
      </w:r>
    </w:p>
    <w:p>
      <w:pPr>
        <w:pStyle w:val="BookText"/>
      </w:pPr>
      <w:r>
        <w:rPr>
          <w:rFonts w:ascii="IRNazanin" w:hAnsi="IRNazanin" w:eastAsia="IRNazanin" w:cs="IRNazanin"/>
          <w:lang w:bidi="fa-IR"/>
          <w:color w:val="111111"/>
          <w:sz w:val="28"/>
          <w:szCs w:val="28"/>
          <w:rtl/>
        </w:rPr>
        <w:t xml:space="preserve">اهدا به: ناصرالدین شاه قاجار (۱۲۶۴-۱۳۱۳ق) نویسنده در مقدمه می گوید: این کتاب از پادزهر نامه مهین خلاصه شده است. شامل: 1. لغت های غیر مشهور در این رساله؛ ۲. بخش زهرها. در بخش لغت های غیر مشهور، لغات مندرج در رساله بر حسب حروف الفباء مرتب شده است. در بخش زهرها انواع زهرها و نشانه های آنها و پادزهرهای لازم در مقابل هر زهر آمده است. (عبدالله انوار)</w:t>
      </w:r>
    </w:p>
    <w:p>
      <w:pPr>
        <w:pStyle w:val="BookText"/>
      </w:pPr>
      <w:r>
        <w:rPr>
          <w:rFonts w:ascii="IRNazanin" w:hAnsi="IRNazanin" w:eastAsia="IRNazanin" w:cs="IRNazanin"/>
          <w:lang w:bidi="fa-IR"/>
          <w:color w:val="111111"/>
          <w:sz w:val="28"/>
          <w:szCs w:val="28"/>
          <w:rtl/>
        </w:rPr>
        <w:t xml:space="preserve">آغاز: بسمله، حمدة لمن ليس لاوليته ابتداء و لا لأزليته انتهاء و الصلوة والسلام على اشرف الانبياء و على عمه سيد الأوصياء و على آله و عترته افضل النقباء و الأصفياء و بعد چنین گوید: بنده در گاه عرض اكتناه حضرت اقدس همایون شاهنشاهی ناصر الدین غازی روحی و روح العالمين فداه لا زال سيفه قاطعا و امره نافذا ابن محمد هاشم بن محمد حسين الانصاری محمد تقى الطبيب الكاشي مترجم مجمع الصحه دار الخلافه طهران که دار الشورای حفظ صحت مملکت ایران است چون چندی گذشت که مشغول به تصنیف و تالیف کتاب پادزهر نامه مهین بود و هر مرضی را که سبب بروز آن یکی از اقسام شرنگها بود بر وجه اكمل در آنجا یاد کردم شایسته چنان دیدم که مختصری از آن کتاب بیرون آورده رساله جداگانه شود که هر کس بتواند آن را فهمید و همه مردمان از آن توانند بهره مند شد لهذا این مختصر رساله را مرتب نموده امراض و زهرهای غیر مشهور و علاجهای مختلفه را که در پادزهر نامه مهین گفته شده بود ترک کردم و آن را پاد زهر نامه گزین نامیدم و برخی از لغتهایی که معروف همه کس نبود پس از دیباچه یاد نمودم تا فهمیدن عبارات این رساله آسان شود و الله الموفق و المعين.</w:t>
      </w:r>
    </w:p>
    <w:p>
      <w:pPr>
        <w:pStyle w:val="BookText"/>
      </w:pPr>
      <w:r>
        <w:rPr>
          <w:rFonts w:ascii="IRNazanin" w:hAnsi="IRNazanin" w:eastAsia="IRNazanin" w:cs="IRNazanin"/>
          <w:lang w:bidi="fa-IR"/>
          <w:color w:val="111111"/>
          <w:sz w:val="28"/>
          <w:szCs w:val="28"/>
          <w:rtl/>
        </w:rPr>
        <w:t xml:space="preserve">انجام: باید آن بخش را پس از گذاردن مرهم با پارچه پیچید تا آنکه از کژی و بدشکلی دور ماند.</w:t>
      </w:r>
    </w:p>
    <w:p>
      <w:pPr>
        <w:pStyle w:val="BookText"/>
      </w:pPr>
      <w:r>
        <w:rPr>
          <w:rFonts w:ascii="IRNazanin" w:hAnsi="IRNazanin" w:eastAsia="IRNazanin" w:cs="IRNazanin"/>
          <w:lang w:bidi="fa-IR"/>
          <w:color w:val="111111"/>
          <w:sz w:val="28"/>
          <w:szCs w:val="28"/>
          <w:rtl/>
        </w:rPr>
        <w:t xml:space="preserve">[دنا ۲/۶۱۶۲۱؛ فهرستواره منزوی ۳۳۲۸/۵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ملی؛ شماره نسخه: ۵۹۷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كاتب = مؤلف، تا: قرن ۱۳، جا: تهران؛ کاغذ: فرنگی، شکری، جلد: تیماج آبی، گل و بوته زر، کوبیده مقوایی، ۸۲گ، ۱۱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۲-۱۰۵]</w:t>
      </w:r>
    </w:p>
    <w:p>
      <w:pPr>
        <w:pStyle w:val="BookText"/>
      </w:pPr>
      <w:r>
        <w:rPr>
          <w:rFonts w:ascii="IRNazanin" w:hAnsi="IRNazanin" w:eastAsia="IRNazanin" w:cs="IRNazanin"/>
          <w:lang w:bidi="fa-IR"/>
          <w:color w:val="111111"/>
          <w:sz w:val="28"/>
          <w:szCs w:val="28"/>
          <w:rtl/>
        </w:rPr>
        <w:t xml:space="preserve">۲. تهران؛ مجلس؛ شماره نسخه: ۱۵۱-فیروز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۱۳؛ مجدول؛ کاغذ: آهار مهره شکری رنگ، جلد: تیماج قهوه ای روشن، ۸۶ص، ۱۱ سطر، قطع: نیم خشتی، اندازه: ۴۳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۲۱-۲۱]</w:t>
      </w:r>
    </w:p>
    <w:p>
      <w:pPr>
        <w:pStyle w:val="Heading3"/>
      </w:pPr>
      <w:bookmarkStart w:id="1496" w:name="_Toc756"/>
      <w:r>
        <w:t>• پادشاهان دهلی / تاریخ / فارسی</w:t>
      </w:r>
      <w:bookmarkEnd w:id="1496"/>
    </w:p>
    <w:p>
      <w:pPr>
        <w:pStyle w:val="BookText"/>
      </w:pPr>
      <w:r>
        <w:rPr>
          <w:rFonts w:ascii="Times New Roman" w:hAnsi="Times New Roman" w:eastAsia="Times New Roman" w:cs="Times New Roman"/>
          <w:lang w:val="en-US" w:bidi="en-US"/>
          <w:color w:val="111111"/>
          <w:sz w:val="28"/>
          <w:szCs w:val="28"/>
          <w:rtl/>
        </w:rPr>
        <w:t xml:space="preserve">pādešāhān-e dehlī</w:t>
      </w:r>
    </w:p>
    <w:p>
      <w:pPr>
        <w:pStyle w:val="BookText"/>
      </w:pPr>
      <w:r>
        <w:rPr>
          <w:rFonts w:ascii="IRNazanin" w:hAnsi="IRNazanin" w:eastAsia="IRNazanin" w:cs="IRNazanin"/>
          <w:lang w:bidi="fa-IR"/>
          <w:color w:val="111111"/>
          <w:sz w:val="28"/>
          <w:szCs w:val="28"/>
          <w:rtl/>
        </w:rPr>
        <w:t xml:space="preserve">درباره پادشاهان دهلی از شهاب الدین غوری تا بابر و کرسی نامه صاحب قران امیر تیمور گورکان و نام پادشاهان و پیغمبر از آدم تابو بیان و نام پادشاهان مغول و افغان.</w:t>
      </w:r>
    </w:p>
    <w:p>
      <w:pPr>
        <w:pStyle w:val="BookText"/>
      </w:pPr>
      <w:r>
        <w:rPr>
          <w:rFonts w:ascii="IRNazanin" w:hAnsi="IRNazanin" w:eastAsia="IRNazanin" w:cs="IRNazanin"/>
          <w:lang w:bidi="fa-IR"/>
          <w:color w:val="111111"/>
          <w:sz w:val="28"/>
          <w:szCs w:val="28"/>
          <w:rtl/>
        </w:rPr>
        <w:t xml:space="preserve">تهران؛ دانشگاه؛ شماره نسخه: ۱۳۳۸/۴۱ -ف</w:t>
      </w:r>
    </w:p>
    <w:p>
      <w:pPr>
        <w:pStyle w:val="BookText"/>
      </w:pPr>
      <w:r>
        <w:rPr>
          <w:rFonts w:ascii="IRNazanin" w:hAnsi="IRNazanin" w:eastAsia="IRNazanin" w:cs="IRNazanin"/>
          <w:lang w:bidi="fa-IR"/>
          <w:color w:val="111111"/>
          <w:sz w:val="28"/>
          <w:szCs w:val="28"/>
          <w:rtl/>
        </w:rPr>
        <w:t xml:space="preserve">نسخه اصل: بادلیان ۶۹</w:t>
      </w:r>
      <w:r>
        <w:rPr>
          <w:rFonts w:ascii="Times New Roman" w:hAnsi="Times New Roman" w:eastAsia="Times New Roman" w:cs="Times New Roman"/>
          <w:lang w:val="en-US" w:bidi="en-US"/>
          <w:color w:val="111111"/>
          <w:sz w:val="28"/>
          <w:szCs w:val="28"/>
          <w:rtl/>
        </w:rPr>
        <w:t xml:space="preserve">Add </w:t>
      </w:r>
      <w:r>
        <w:rPr>
          <w:rFonts w:ascii="IRNazanin" w:hAnsi="IRNazanin" w:eastAsia="IRNazanin" w:cs="IRNazanin"/>
          <w:lang w:bidi="fa-IR"/>
          <w:color w:val="111111"/>
          <w:sz w:val="28"/>
          <w:szCs w:val="28"/>
          <w:rtl/>
        </w:rPr>
        <w:t xml:space="preserve">اوزلی (ش ۱۲۴۱)؛ بی کا، بی تا</w:t>
      </w:r>
    </w:p>
    <w:p>
      <w:pPr>
        <w:pStyle w:val="BookText"/>
      </w:pPr>
      <w:r>
        <w:rPr>
          <w:rFonts w:ascii="IRNazanin" w:hAnsi="IRNazanin" w:eastAsia="IRNazanin" w:cs="IRNazanin"/>
          <w:lang w:bidi="fa-IR"/>
          <w:color w:val="111111"/>
          <w:sz w:val="28"/>
          <w:szCs w:val="28"/>
          <w:rtl/>
        </w:rPr>
        <w:t xml:space="preserve">[فیلمها ف: ۱-۵۸۵]</w:t>
      </w:r>
    </w:p>
    <w:p>
      <w:pPr>
        <w:pStyle w:val="Heading3"/>
      </w:pPr>
      <w:bookmarkStart w:id="1497" w:name="_Toc757"/>
      <w:r>
        <w:t>• پادشاه مصر و پسر آهنگر / شعر / فارسی</w:t>
      </w:r>
      <w:bookmarkEnd w:id="1497"/>
    </w:p>
    <w:p>
      <w:pPr>
        <w:pStyle w:val="BookText"/>
      </w:pPr>
      <w:r>
        <w:rPr>
          <w:rFonts w:ascii="Times New Roman" w:hAnsi="Times New Roman" w:eastAsia="Times New Roman" w:cs="Times New Roman"/>
          <w:lang w:val="en-US" w:bidi="en-US"/>
          <w:color w:val="111111"/>
          <w:sz w:val="28"/>
          <w:szCs w:val="28"/>
          <w:rtl/>
        </w:rPr>
        <w:t xml:space="preserve">pādešāh-e mesr va pesar-e āhangar</w:t>
      </w:r>
    </w:p>
    <w:p>
      <w:pPr>
        <w:pStyle w:val="BookText"/>
      </w:pPr>
      <w:r>
        <w:rPr>
          <w:rFonts w:ascii="IRNazanin" w:hAnsi="IRNazanin" w:eastAsia="IRNazanin" w:cs="IRNazanin"/>
          <w:lang w:bidi="fa-IR"/>
          <w:color w:val="111111"/>
          <w:sz w:val="28"/>
          <w:szCs w:val="28"/>
          <w:rtl/>
        </w:rPr>
        <w:t xml:space="preserve">شعله گلپایگانی، محمد، ق ۱۲ قمری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45" w:name="pg20363_209502"/>
    <w:bookmarkEnd w:id="245"/>
    <w:p>
      <w:pPr>
        <w:pStyle w:val="BookText"/>
      </w:pPr>
      <w:r>
        <w:rPr>
          <w:rFonts w:ascii="Times New Roman" w:hAnsi="Times New Roman" w:eastAsia="Times New Roman" w:cs="Times New Roman"/>
          <w:lang w:val="en-US" w:bidi="en-US"/>
          <w:color w:val="111111"/>
          <w:sz w:val="28"/>
          <w:szCs w:val="28"/>
          <w:rtl/>
        </w:rPr>
        <w:t xml:space="preserve">šoʻle-ye golpāygānī, mohammad (- 180)</w:t>
      </w:r>
    </w:p>
    <w:p>
      <w:pPr>
        <w:pStyle w:val="BookText"/>
      </w:pPr>
      <w:r>
        <w:rPr>
          <w:rFonts w:ascii="IRNazanin" w:hAnsi="IRNazanin" w:eastAsia="IRNazanin" w:cs="IRNazanin"/>
          <w:lang w:bidi="fa-IR"/>
          <w:color w:val="111111"/>
          <w:sz w:val="28"/>
          <w:szCs w:val="28"/>
          <w:rtl/>
        </w:rPr>
        <w:t xml:space="preserve">مثنوی کوتاهی است در داستان پادشاه مصر و حکایت پسر آهنگر. در پایان نسخه حاضر، تاریخ تأليف كتاب ۱۰ جمادی الثانی ۹۸۸ ذکر شده است.</w:t>
      </w:r>
    </w:p>
    <w:p>
      <w:pPr>
        <w:pStyle w:val="BookText"/>
      </w:pPr>
      <w:r>
        <w:rPr>
          <w:rFonts w:ascii="IRNazanin" w:hAnsi="IRNazanin" w:eastAsia="IRNazanin" w:cs="IRNazanin"/>
          <w:lang w:bidi="fa-IR"/>
          <w:color w:val="111111"/>
          <w:sz w:val="28"/>
          <w:szCs w:val="28"/>
          <w:rtl/>
        </w:rPr>
        <w:t xml:space="preserve">[دنا ۶۱۷/۲ ]</w:t>
      </w:r>
    </w:p>
    <w:p>
      <w:pPr>
        <w:pStyle w:val="BookText"/>
      </w:pPr>
      <w:r>
        <w:rPr>
          <w:rFonts w:ascii="IRNazanin" w:hAnsi="IRNazanin" w:eastAsia="IRNazanin" w:cs="IRNazanin"/>
          <w:lang w:bidi="fa-IR"/>
          <w:color w:val="111111"/>
          <w:sz w:val="28"/>
          <w:szCs w:val="28"/>
          <w:rtl/>
        </w:rPr>
        <w:t xml:space="preserve">قم؛ گلپایگانی؛ شماره نسخه: ۴۷۲۴/۳ - ۲۴/۲۴</w:t>
      </w:r>
    </w:p>
    <w:p>
      <w:pPr>
        <w:pStyle w:val="BookText"/>
      </w:pPr>
      <w:r>
        <w:rPr>
          <w:rFonts w:ascii="IRNazanin" w:hAnsi="IRNazanin" w:eastAsia="IRNazanin" w:cs="IRNazanin"/>
          <w:lang w:bidi="fa-IR"/>
          <w:color w:val="111111"/>
          <w:sz w:val="28"/>
          <w:szCs w:val="28"/>
          <w:rtl/>
        </w:rPr>
        <w:t xml:space="preserve">آغاز: به نام آنکه جان را زندگی داد*** بقا را سرخط پایندگی داد / خداوندی که جانها داده اوست</w:t>
      </w:r>
      <w:r>
        <w:rPr>
          <w:rFonts w:ascii="IRNazanin" w:hAnsi="IRNazanin" w:eastAsia="IRNazanin" w:cs="IRNazanin"/>
          <w:lang w:bidi="fa-IR"/>
          <w:color w:val="111111"/>
          <w:sz w:val="28"/>
          <w:szCs w:val="28"/>
          <w:b w:val="1"/>
          <w:bCs w:val="1"/>
          <w:i w:val="1"/>
          <w:iCs w:val="1"/>
          <w:rtl/>
        </w:rPr>
        <w:t xml:space="preserve">بلندی ها همه افتاده اوست؛ انجام: به حمد الله که بر مطلب رسیدم *** گل باغ وصال هر دو چیدم / خداوندا جميع شیعیان را</w:t>
      </w:r>
      <w:r>
        <w:rPr>
          <w:rFonts w:ascii="IRNazanin" w:hAnsi="IRNazanin" w:eastAsia="IRNazanin" w:cs="IRNazanin"/>
          <w:lang w:bidi="fa-IR"/>
          <w:color w:val="111111"/>
          <w:sz w:val="28"/>
          <w:szCs w:val="28"/>
          <w:rtl/>
        </w:rPr>
        <w:t xml:space="preserve"> محبان علی وخاندان را خط: تحریری، بی کا، بی تا، جلد: گالینگور سبز عطف و گوشه تیماج نارنجی، ۵گ، ۲۵ سطر، اندازه:۲۹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۲-۶۶۲]</w:t>
      </w:r>
    </w:p>
    <w:p>
      <w:pPr>
        <w:pStyle w:val="BookText"/>
      </w:pPr>
      <w:r>
        <w:rPr>
          <w:rFonts w:ascii="IRNazanin" w:hAnsi="IRNazanin" w:eastAsia="IRNazanin" w:cs="IRNazanin"/>
          <w:lang w:bidi="fa-IR"/>
          <w:color w:val="111111"/>
          <w:sz w:val="28"/>
          <w:szCs w:val="28"/>
          <w:rtl/>
        </w:rPr>
        <w:t xml:space="preserve">←پادشاه نامه ← جنگ نامه</w:t>
      </w:r>
    </w:p>
    <w:p>
      <w:pPr>
        <w:pStyle w:val="BookText"/>
      </w:pPr>
      <w:r>
        <w:rPr>
          <w:rFonts w:ascii="IRNazanin" w:hAnsi="IRNazanin" w:eastAsia="IRNazanin" w:cs="IRNazanin"/>
          <w:lang w:bidi="fa-IR"/>
          <w:color w:val="111111"/>
          <w:sz w:val="28"/>
          <w:szCs w:val="28"/>
          <w:rtl/>
        </w:rPr>
        <w:t xml:space="preserve">← پادشاه نامه ← ظفرنامه شاه جهانی</w:t>
      </w:r>
    </w:p>
    <w:p>
      <w:pPr>
        <w:pStyle w:val="Heading3"/>
      </w:pPr>
      <w:bookmarkStart w:id="1498" w:name="_Toc758"/>
      <w:r>
        <w:t>• پادشاه نامه = شاهجهان نامه / شعر، تاریخ هند / فارسی</w:t>
      </w:r>
      <w:bookmarkEnd w:id="1498"/>
    </w:p>
    <w:p>
      <w:pPr>
        <w:pStyle w:val="BookText"/>
      </w:pPr>
      <w:r>
        <w:rPr>
          <w:rFonts w:ascii="Times New Roman" w:hAnsi="Times New Roman" w:eastAsia="Times New Roman" w:cs="Times New Roman"/>
          <w:lang w:val="en-US" w:bidi="en-US"/>
          <w:color w:val="111111"/>
          <w:sz w:val="28"/>
          <w:szCs w:val="28"/>
          <w:rtl/>
        </w:rPr>
        <w:t xml:space="preserve">pādešāh-nāme = šāh-jahān-name</w:t>
      </w:r>
    </w:p>
    <w:p>
      <w:pPr>
        <w:pStyle w:val="BookText"/>
      </w:pPr>
      <w:r>
        <w:rPr>
          <w:rFonts w:ascii="IRNazanin" w:hAnsi="IRNazanin" w:eastAsia="IRNazanin" w:cs="IRNazanin"/>
          <w:lang w:bidi="fa-IR"/>
          <w:color w:val="111111"/>
          <w:sz w:val="28"/>
          <w:szCs w:val="28"/>
          <w:rtl/>
        </w:rPr>
        <w:t xml:space="preserve">کلیم کاشانی، -۱۰۶۱ ؟ قمری</w:t>
      </w:r>
    </w:p>
    <w:p>
      <w:pPr>
        <w:pStyle w:val="BookText"/>
      </w:pPr>
      <w:r>
        <w:rPr>
          <w:rFonts w:ascii="Times New Roman" w:hAnsi="Times New Roman" w:eastAsia="Times New Roman" w:cs="Times New Roman"/>
          <w:lang w:val="en-US" w:bidi="en-US"/>
          <w:color w:val="111111"/>
          <w:sz w:val="28"/>
          <w:szCs w:val="28"/>
          <w:rtl/>
        </w:rPr>
        <w:t xml:space="preserve">kalīm-e kāšānī (- 1651)</w:t>
      </w:r>
    </w:p>
    <w:p>
      <w:pPr>
        <w:pStyle w:val="BookText"/>
      </w:pPr>
      <w:r>
        <w:rPr>
          <w:rFonts w:ascii="IRNazanin" w:hAnsi="IRNazanin" w:eastAsia="IRNazanin" w:cs="IRNazanin"/>
          <w:lang w:bidi="fa-IR"/>
          <w:color w:val="111111"/>
          <w:sz w:val="28"/>
          <w:szCs w:val="28"/>
          <w:rtl/>
        </w:rPr>
        <w:t xml:space="preserve">منظومه ای قریب پانزده هزار بیت در فتوحات شاه جهان پادشاه هند است. دنباله «ظفرنامه شاهجهانی» استادش قدسی مشهدی است و در بر گیرنده ده سال نخستین پادشاهی اوست و بیشتر پادشاه نامه» امینای قزوینی که به نثر بوده، مایه این مثنوی است.</w:t>
      </w:r>
    </w:p>
    <w:p>
      <w:pPr>
        <w:pStyle w:val="BookText"/>
      </w:pPr>
      <w:r>
        <w:rPr>
          <w:rFonts w:ascii="IRNazanin" w:hAnsi="IRNazanin" w:eastAsia="IRNazanin" w:cs="IRNazanin"/>
          <w:lang w:bidi="fa-IR"/>
          <w:color w:val="111111"/>
          <w:sz w:val="28"/>
          <w:szCs w:val="28"/>
          <w:rtl/>
        </w:rPr>
        <w:t xml:space="preserve">شهنشاه نامه» نیز گفته شده (مقدمه دیوان کلیم چاپ حسین پرتو</w:t>
      </w:r>
    </w:p>
    <w:p>
      <w:pPr>
        <w:pStyle w:val="BookText"/>
      </w:pPr>
      <w:r>
        <w:rPr>
          <w:rFonts w:ascii="IRNazanin" w:hAnsi="IRNazanin" w:eastAsia="IRNazanin" w:cs="IRNazanin"/>
          <w:lang w:bidi="fa-IR"/>
          <w:color w:val="111111"/>
          <w:sz w:val="28"/>
          <w:szCs w:val="28"/>
          <w:rtl/>
        </w:rPr>
        <w:t xml:space="preserve">بیضائی، تهران، ۱۳۳۶). (احمد منزوی) آغاز: به نام خدایی که از شوق جود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دو عالم عطا کرد وسایل نبود [فهرستواره منزوی ۱۲۸۲/۲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ملک؛ شماره نسخه: ۴۷۰۱</w:t>
      </w:r>
    </w:p>
    <w:p>
      <w:pPr>
        <w:pStyle w:val="BookText"/>
      </w:pPr>
      <w:r>
        <w:rPr>
          <w:rFonts w:ascii="IRNazanin" w:hAnsi="IRNazanin" w:eastAsia="IRNazanin" w:cs="IRNazanin"/>
          <w:lang w:bidi="fa-IR"/>
          <w:color w:val="111111"/>
          <w:sz w:val="28"/>
          <w:szCs w:val="28"/>
          <w:rtl/>
        </w:rPr>
        <w:t xml:space="preserve">آغاز: به خود یک دم ار وا گذارد ترا*** ... دود از جان بر آرد ترا؛ انجام: خبر هم ز اموال آن تیره روز*** گرفتی بماندی اگر چند روز</w:t>
      </w:r>
    </w:p>
    <w:p>
      <w:pPr>
        <w:pStyle w:val="BookText"/>
      </w:pPr>
      <w:r>
        <w:rPr>
          <w:rFonts w:ascii="IRNazanin" w:hAnsi="IRNazanin" w:eastAsia="IRNazanin" w:cs="IRNazanin"/>
          <w:lang w:bidi="fa-IR"/>
          <w:color w:val="111111"/>
          <w:sz w:val="28"/>
          <w:szCs w:val="28"/>
          <w:rtl/>
        </w:rPr>
        <w:t xml:space="preserve">خط: نستعلیق، بی کا، تا: اواخر قرن ۱۱؛ افتادگی: آغاز؛ مجدول مذهب ؛ کاغذ: کاغذ ترمه، جلد: میشن قهوه ای ضربی، ۴۲۱گ، ۱۷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۲-۶۸]</w:t>
      </w:r>
    </w:p>
    <w:p>
      <w:pPr>
        <w:pStyle w:val="BookText"/>
      </w:pPr>
      <w:r>
        <w:rPr>
          <w:rFonts w:ascii="IRNazanin" w:hAnsi="IRNazanin" w:eastAsia="IRNazanin" w:cs="IRNazanin"/>
          <w:lang w:bidi="fa-IR"/>
          <w:color w:val="111111"/>
          <w:sz w:val="28"/>
          <w:szCs w:val="28"/>
          <w:rtl/>
        </w:rPr>
        <w:t xml:space="preserve">۲. تهران: دانشگاه؛ شماره نسخه: ۴۶۹۹-ف</w:t>
      </w:r>
    </w:p>
    <w:p>
      <w:pPr>
        <w:pStyle w:val="BookText"/>
      </w:pPr>
      <w:r>
        <w:rPr>
          <w:rFonts w:ascii="IRNazanin" w:hAnsi="IRNazanin" w:eastAsia="IRNazanin" w:cs="IRNazanin"/>
          <w:lang w:bidi="fa-IR"/>
          <w:color w:val="111111"/>
          <w:sz w:val="28"/>
          <w:szCs w:val="28"/>
          <w:rtl/>
        </w:rPr>
        <w:t xml:space="preserve">نسخه اصل: دیوان هند ۱۳۶۷؛ خط: نستعلیق، کا: سید قاسم، تا: سه شنبه ۲۴ رمضان ۱۰۸۲ق [فیلمها ف: ۳-۸۹]</w:t>
      </w:r>
    </w:p>
    <w:p>
      <w:pPr>
        <w:pStyle w:val="Heading3"/>
      </w:pPr>
      <w:bookmarkStart w:id="1499" w:name="_Toc759"/>
      <w:r>
        <w:t>• پادشاه نامه / تاریخ / فارسی</w:t>
      </w:r>
      <w:bookmarkEnd w:id="1499"/>
    </w:p>
    <w:p>
      <w:pPr>
        <w:pStyle w:val="BookText"/>
      </w:pPr>
      <w:r>
        <w:rPr>
          <w:rFonts w:ascii="Times New Roman" w:hAnsi="Times New Roman" w:eastAsia="Times New Roman" w:cs="Times New Roman"/>
          <w:lang w:val="en-US" w:bidi="en-US"/>
          <w:color w:val="111111"/>
          <w:sz w:val="28"/>
          <w:szCs w:val="28"/>
          <w:rtl/>
        </w:rPr>
        <w:t xml:space="preserve">pādešāh-nāme</w:t>
      </w:r>
    </w:p>
    <w:p>
      <w:pPr>
        <w:pStyle w:val="BookText"/>
      </w:pPr>
      <w:r>
        <w:rPr>
          <w:rFonts w:ascii="IRNazanin" w:hAnsi="IRNazanin" w:eastAsia="IRNazanin" w:cs="IRNazanin"/>
          <w:lang w:bidi="fa-IR"/>
          <w:color w:val="111111"/>
          <w:sz w:val="28"/>
          <w:szCs w:val="28"/>
          <w:rtl/>
        </w:rPr>
        <w:t xml:space="preserve">قزوینی، محمد امین بن ابوالحسن، ق ۱۱ قمری</w:t>
      </w:r>
    </w:p>
    <w:p>
      <w:pPr>
        <w:pStyle w:val="BookText"/>
      </w:pPr>
      <w:r>
        <w:rPr>
          <w:rFonts w:ascii="Times New Roman" w:hAnsi="Times New Roman" w:eastAsia="Times New Roman" w:cs="Times New Roman"/>
          <w:lang w:val="en-US" w:bidi="en-US"/>
          <w:color w:val="111111"/>
          <w:sz w:val="28"/>
          <w:szCs w:val="28"/>
          <w:rtl/>
        </w:rPr>
        <w:t xml:space="preserve">qazvīnī, mohammad amīn ebn-e ab-ol-hasan (- 17c)</w:t>
      </w:r>
    </w:p>
    <w:p>
      <w:pPr>
        <w:pStyle w:val="BookText"/>
      </w:pPr>
      <w:r>
        <w:rPr>
          <w:rFonts w:ascii="IRNazanin" w:hAnsi="IRNazanin" w:eastAsia="IRNazanin" w:cs="IRNazanin"/>
          <w:lang w:bidi="fa-IR"/>
          <w:color w:val="111111"/>
          <w:sz w:val="28"/>
          <w:szCs w:val="28"/>
          <w:rtl/>
        </w:rPr>
        <w:t xml:space="preserve">کتابی در تاریخ ده ساله نخستین شاهی شاهجهان پادشاه (۱۰۳۷ ۱۰۶۸ ق) است که در بیستمین سال پادشاهی او، در یک «مقدمه) و یک «مقاله» و یک «خاتمه» نگاشته است. مقدمه در زایش و شاهزادگی او، مقاله در تاجگذاری و ده ساله نخستین پادشاهی او، خاتمه در مشایخ و دانشمندان و سرایندگان روزگار او. (احمد منزوی)</w:t>
      </w:r>
    </w:p>
    <w:p>
      <w:pPr>
        <w:pStyle w:val="BookText"/>
      </w:pPr>
      <w:r>
        <w:rPr>
          <w:rFonts w:ascii="IRNazanin" w:hAnsi="IRNazanin" w:eastAsia="IRNazanin" w:cs="IRNazanin"/>
          <w:lang w:bidi="fa-IR"/>
          <w:color w:val="111111"/>
          <w:sz w:val="28"/>
          <w:szCs w:val="28"/>
          <w:rtl/>
        </w:rPr>
        <w:t xml:space="preserve">آغاز: طراوت چمن الفاظ و تازگی گلشن معانی به شبنم حمد بهار پیرایی ست</w:t>
      </w:r>
    </w:p>
    <w:p>
      <w:pPr>
        <w:pStyle w:val="BookText"/>
      </w:pPr>
      <w:r>
        <w:rPr>
          <w:rFonts w:ascii="IRNazanin" w:hAnsi="IRNazanin" w:eastAsia="IRNazanin" w:cs="IRNazanin"/>
          <w:lang w:bidi="fa-IR"/>
          <w:color w:val="111111"/>
          <w:sz w:val="28"/>
          <w:szCs w:val="28"/>
          <w:rtl/>
        </w:rPr>
        <w:t xml:space="preserve">[دنا ۶۱۷/۲ ؛ نسخه های منزوی ۴۵۹۰؛ تاریخ تذکره های فارسی ۴۸۹/۲ ]</w:t>
      </w:r>
    </w:p>
    <w:p>
      <w:pPr>
        <w:pStyle w:val="BookText"/>
      </w:pPr>
      <w:r>
        <w:rPr>
          <w:rFonts w:ascii="IRNazanin" w:hAnsi="IRNazanin" w:eastAsia="IRNazanin" w:cs="IRNazanin"/>
          <w:lang w:bidi="fa-IR"/>
          <w:color w:val="111111"/>
          <w:sz w:val="28"/>
          <w:szCs w:val="28"/>
          <w:rtl/>
        </w:rPr>
        <w:t xml:space="preserve">١. مشهد؛ رضوی؛ شماره نسخه: ض۲۷۸۷۶</w:t>
      </w:r>
    </w:p>
    <w:p>
      <w:pPr>
        <w:pStyle w:val="BookText"/>
      </w:pPr>
      <w:r>
        <w:rPr>
          <w:rFonts w:ascii="IRNazanin" w:hAnsi="IRNazanin" w:eastAsia="IRNazanin" w:cs="IRNazanin"/>
          <w:lang w:bidi="fa-IR"/>
          <w:color w:val="111111"/>
          <w:sz w:val="28"/>
          <w:szCs w:val="28"/>
          <w:rtl/>
        </w:rPr>
        <w:t xml:space="preserve">آغاز: برابر، انجام: وب قله قدرت بر صفحه حال آن حضرت که بهترین شاه شاهان را قطعه بود کلک يد اللهی را</w:t>
      </w:r>
    </w:p>
    <w:p>
      <w:pPr>
        <w:pStyle w:val="BookText"/>
      </w:pPr>
      <w:r>
        <w:rPr>
          <w:rFonts w:ascii="IRNazanin" w:hAnsi="IRNazanin" w:eastAsia="IRNazanin" w:cs="IRNazanin"/>
          <w:lang w:bidi="fa-IR"/>
          <w:color w:val="111111"/>
          <w:sz w:val="28"/>
          <w:szCs w:val="28"/>
          <w:rtl/>
        </w:rPr>
        <w:t xml:space="preserve">فقط دو برگ اول کتاب است که به اشتباه در آغاز عالم آرای عباسی صحافی شده؛ خط: نستعلیق، بی کا، تا: ۲۴ جمادی الثانی ۱۲۰۲ق، جا: لاهور، حسب فرمایش بهادر خان والد صفدر خان؛ افتادگی: انجام؛ اهدایی: رهبری، دی ۱۳۸۰؛ کاغذ: کشمیری نخودی، جلد: تیماج فرنگی سرخ مجدول زر کوب، ۲گ (۱پ - آپ)، ۱۷ سطر، اندازه: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w:t>
      </w:r>
    </w:p>
    <w:p>
      <w:pPr>
        <w:pStyle w:val="BookText"/>
      </w:pPr>
      <w:r>
        <w:rPr>
          <w:rFonts w:ascii="IRNazanin" w:hAnsi="IRNazanin" w:eastAsia="IRNazanin" w:cs="IRNazanin"/>
          <w:lang w:bidi="fa-IR"/>
          <w:color w:val="111111"/>
          <w:sz w:val="28"/>
          <w:szCs w:val="28"/>
          <w:rtl/>
        </w:rPr>
        <w:t xml:space="preserve">[اهدائی رهبر: ۸-۳۶۴]</w:t>
      </w:r>
    </w:p>
    <w:p>
      <w:pPr>
        <w:pStyle w:val="BookText"/>
      </w:pPr>
      <w:r>
        <w:rPr>
          <w:rFonts w:ascii="IRNazanin" w:hAnsi="IRNazanin" w:eastAsia="IRNazanin" w:cs="IRNazanin"/>
          <w:lang w:bidi="fa-IR"/>
          <w:color w:val="111111"/>
          <w:sz w:val="28"/>
          <w:szCs w:val="28"/>
          <w:rtl/>
        </w:rPr>
        <w:t xml:space="preserve">۲. تهران؛ دانشگاه؛ شماره نسخه: ۶۲۲۴-ف</w:t>
      </w:r>
    </w:p>
    <w:p>
      <w:pPr>
        <w:pStyle w:val="BookText"/>
      </w:pPr>
      <w:r>
        <w:rPr>
          <w:rFonts w:ascii="IRNazanin" w:hAnsi="IRNazanin" w:eastAsia="IRNazanin" w:cs="IRNazanin"/>
          <w:lang w:bidi="fa-IR"/>
          <w:color w:val="111111"/>
          <w:sz w:val="28"/>
          <w:szCs w:val="28"/>
          <w:rtl/>
        </w:rPr>
        <w:t xml:space="preserve">نسخه اصل: کتابخانه عمومی پنجاب ۲۳۵؛ خط: نستعلیق، بی کا، تا: جمادی الاول ۱۲۵۶ق [فيلمها ف: ۳-۲۱۱]</w:t>
      </w:r>
    </w:p>
    <w:p>
      <w:pPr>
        <w:pStyle w:val="BookText"/>
      </w:pPr>
      <w:r>
        <w:rPr>
          <w:rFonts w:ascii="IRNazanin" w:hAnsi="IRNazanin" w:eastAsia="IRNazanin" w:cs="IRNazanin"/>
          <w:lang w:bidi="fa-IR"/>
          <w:color w:val="111111"/>
          <w:sz w:val="28"/>
          <w:szCs w:val="28"/>
          <w:rtl/>
        </w:rPr>
        <w:t xml:space="preserve">٣. تهران؛ مجلس؛ شماره نسخه: ۱۵۵۶۰</w:t>
      </w:r>
    </w:p>
    <w:p>
      <w:pPr>
        <w:pStyle w:val="BookText"/>
      </w:pPr>
      <w:r>
        <w:rPr>
          <w:rFonts w:ascii="IRNazanin" w:hAnsi="IRNazanin" w:eastAsia="IRNazanin" w:cs="IRNazanin"/>
          <w:lang w:bidi="fa-IR"/>
          <w:color w:val="111111"/>
          <w:sz w:val="28"/>
          <w:szCs w:val="28"/>
          <w:rtl/>
        </w:rPr>
        <w:t xml:space="preserve">آغاز: وقایع راجع کرده به ترتیب جلد دوم پردازد، فرد: من هم انگشت هادم بقبولش بر چشم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دیده چون شمع هنوزم بسر انگشت نگر؛ انجام: توبه نمودن حضرت شاه بلند اقبلا از شرب خمر ... افعال حسنه و اعمال صالحه فرصت جود در فهرست تفصیلی ناشناس آمده؛ خط: نستعلیق، بی کا، تا: قرن ۱۴؛ افتادگی: آغاز و انجام کاغذ کاهی، جلد: چرم قهوه ای روشن ضربی ترنج دار، ۱۹۲گ، ۱۹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۱۶۳-۴۳ ]</w:t>
      </w:r>
    </w:p>
    <w:p>
      <w:pPr>
        <w:pStyle w:val="Heading3"/>
      </w:pPr>
      <w:bookmarkStart w:id="1500" w:name="_Toc760"/>
      <w:r>
        <w:t>• پادشاه نامه / تاریخ / فارسی</w:t>
      </w:r>
      <w:bookmarkEnd w:id="1500"/>
    </w:p>
    <w:p>
      <w:pPr>
        <w:pStyle w:val="BookText"/>
      </w:pPr>
      <w:r>
        <w:rPr>
          <w:rFonts w:ascii="Times New Roman" w:hAnsi="Times New Roman" w:eastAsia="Times New Roman" w:cs="Times New Roman"/>
          <w:lang w:val="en-US" w:bidi="en-US"/>
          <w:color w:val="111111"/>
          <w:sz w:val="28"/>
          <w:szCs w:val="28"/>
          <w:rtl/>
        </w:rPr>
        <w:t xml:space="preserve">pādešāh-nāme</w:t>
      </w:r>
    </w:p>
    <w:p>
      <w:pPr>
        <w:pStyle w:val="BookText"/>
      </w:pPr>
      <w:r>
        <w:rPr>
          <w:rFonts w:ascii="Amiri" w:hAnsi="Amiri" w:eastAsia="Amiri" w:cs="Amiri"/>
          <w:lang w:bidi="ar-SA"/>
          <w:color w:val="111111"/>
          <w:sz w:val="28"/>
          <w:szCs w:val="28"/>
          <w:rtl/>
        </w:rPr>
        <w:t xml:space="preserve">علاء الملك فاضل خان</w:t>
      </w:r>
    </w:p>
    <w:p>
      <w:pPr>
        <w:pStyle w:val="BookText"/>
      </w:pPr>
      <w:r>
        <w:rPr>
          <w:rFonts w:ascii="Times New Roman" w:hAnsi="Times New Roman" w:eastAsia="Times New Roman" w:cs="Times New Roman"/>
          <w:lang w:val="en-US" w:bidi="en-US"/>
          <w:color w:val="111111"/>
          <w:sz w:val="28"/>
          <w:szCs w:val="28"/>
          <w:rtl/>
        </w:rPr>
        <w:t xml:space="preserve">‘alāʻ-ol-molk fāzel xān</w:t>
      </w:r>
    </w:p>
    <w:p>
      <w:pPr>
        <w:pStyle w:val="BookText"/>
      </w:pPr>
      <w:r>
        <w:rPr>
          <w:rFonts w:ascii="IRNazanin" w:hAnsi="IRNazanin" w:eastAsia="IRNazanin" w:cs="IRNazanin"/>
          <w:lang w:bidi="fa-IR"/>
          <w:color w:val="111111"/>
          <w:sz w:val="28"/>
          <w:szCs w:val="28"/>
          <w:rtl/>
        </w:rPr>
        <w:t xml:space="preserve">نویسنده، معاصر شاه جهان پادشاه هندوستان بوده و وقایع آن روزگار را نوشته است.</w:t>
      </w:r>
    </w:p>
    <w:p>
      <w:pPr>
        <w:pStyle w:val="BookText"/>
      </w:pPr>
      <w:r>
        <w:rPr>
          <w:rFonts w:ascii="IRNazanin" w:hAnsi="IRNazanin" w:eastAsia="IRNazanin" w:cs="IRNazanin"/>
          <w:lang w:bidi="fa-IR"/>
          <w:color w:val="111111"/>
          <w:sz w:val="28"/>
          <w:szCs w:val="28"/>
          <w:rtl/>
        </w:rPr>
        <w:t xml:space="preserve">تهران، مرکز فرهنگی خراسان شماره نسخه: بدون شماره عکسی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46" w:name="pg20363_209503"/>
    <w:bookmarkEnd w:id="246"/>
    <w:p>
      <w:pPr>
        <w:pStyle w:val="BookText"/>
      </w:pPr>
      <w:r>
        <w:rPr>
          <w:rFonts w:ascii="IRNazanin" w:hAnsi="IRNazanin" w:eastAsia="IRNazanin" w:cs="IRNazanin"/>
          <w:lang w:bidi="fa-IR"/>
          <w:color w:val="111111"/>
          <w:sz w:val="28"/>
          <w:szCs w:val="28"/>
          <w:rtl/>
        </w:rPr>
        <w:t xml:space="preserve">بی کا، بی تا، ۲۲۲گ [جنگ: 1-۴۴۵]</w:t>
      </w:r>
    </w:p>
    <w:p>
      <w:pPr>
        <w:pStyle w:val="Heading3"/>
      </w:pPr>
      <w:bookmarkStart w:id="1501" w:name="_Toc761"/>
      <w:r>
        <w:t>• پادشاه نامه / تاریخ / فارسی</w:t>
      </w:r>
      <w:bookmarkEnd w:id="1501"/>
    </w:p>
    <w:p>
      <w:pPr>
        <w:pStyle w:val="BookText"/>
      </w:pPr>
      <w:r>
        <w:rPr>
          <w:rFonts w:ascii="Times New Roman" w:hAnsi="Times New Roman" w:eastAsia="Times New Roman" w:cs="Times New Roman"/>
          <w:lang w:val="en-US" w:bidi="en-US"/>
          <w:color w:val="111111"/>
          <w:sz w:val="28"/>
          <w:szCs w:val="28"/>
          <w:rtl/>
        </w:rPr>
        <w:t xml:space="preserve">pādešāh-nāme</w:t>
      </w:r>
    </w:p>
    <w:p>
      <w:pPr>
        <w:pStyle w:val="BookText"/>
      </w:pPr>
      <w:r>
        <w:rPr>
          <w:rFonts w:ascii="IRNazanin" w:hAnsi="IRNazanin" w:eastAsia="IRNazanin" w:cs="IRNazanin"/>
          <w:lang w:bidi="fa-IR"/>
          <w:color w:val="111111"/>
          <w:sz w:val="28"/>
          <w:szCs w:val="28"/>
          <w:rtl/>
        </w:rPr>
        <w:t xml:space="preserve">کتابی دارای سه «گفتار» و یک «فصل». در آخر دیباچه در سبب تأليف آورده است: «و از گفتارها گفتار صدق و سودمند را گزیده تر یافتم از سخن دروغ و گفتار ناسودمند و از سخن سودمند آن شریفتر بود که سودش به شریفترین مردم رسد از آن سخن سودمند که سودش به فرومایگان مردم رسد و شریفترین مردم سروران و شاهان بودند و چون این مراتب را بشناختیم</w:t>
      </w:r>
    </w:p>
    <w:p>
      <w:pPr>
        <w:pStyle w:val="BookText"/>
      </w:pPr>
      <w:r>
        <w:rPr>
          <w:rFonts w:ascii="IRNazanin" w:hAnsi="IRNazanin" w:eastAsia="IRNazanin" w:cs="IRNazanin"/>
          <w:lang w:bidi="fa-IR"/>
          <w:color w:val="111111"/>
          <w:sz w:val="28"/>
          <w:szCs w:val="28"/>
          <w:rtl/>
        </w:rPr>
        <w:t xml:space="preserve">خواستیم که یادگاری سازیم از بهترین سخن راست و گفتار سودمند برای بهترین صنفی از اصناف مردم ... و دستوری ساختیم سر جمله مکارم اخلاق که شاهان را بکارست تا صورت نامه را برابر دیده دارند).</w:t>
      </w:r>
    </w:p>
    <w:p>
      <w:pPr>
        <w:pStyle w:val="BookText"/>
      </w:pPr>
      <w:r>
        <w:rPr>
          <w:rFonts w:ascii="IRNazanin" w:hAnsi="IRNazanin" w:eastAsia="IRNazanin" w:cs="IRNazanin"/>
          <w:lang w:bidi="fa-IR"/>
          <w:color w:val="111111"/>
          <w:sz w:val="28"/>
          <w:szCs w:val="28"/>
          <w:rtl/>
        </w:rPr>
        <w:t xml:space="preserve">تهران؛ مجلس؛ شماره نسخه: ۶۲۱/۱۴</w:t>
      </w:r>
    </w:p>
    <w:p>
      <w:pPr>
        <w:pStyle w:val="BookText"/>
      </w:pPr>
      <w:r>
        <w:rPr>
          <w:rFonts w:ascii="IRNazanin" w:hAnsi="IRNazanin" w:eastAsia="IRNazanin" w:cs="IRNazanin"/>
          <w:lang w:bidi="fa-IR"/>
          <w:color w:val="111111"/>
          <w:sz w:val="28"/>
          <w:szCs w:val="28"/>
          <w:rtl/>
        </w:rPr>
        <w:t xml:space="preserve">آغاز: آغاز گفتاران کنیم که آغاز و انجام هر کردار از و بدوست و ستاینده باشیم وی را چون از وی نیکوئی شناس شدیم مشتمل بر سه گفتار و یک فصل؛ خط: نستعلیق، بی کا، بی تا؛ مجدول؛ قطع: رحلی،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۲-۳۷۸ ]</w:t>
      </w:r>
    </w:p>
    <w:p>
      <w:pPr>
        <w:pStyle w:val="Heading3"/>
      </w:pPr>
      <w:bookmarkStart w:id="1502" w:name="_Toc762"/>
      <w:r>
        <w:t>• پادشاه نامه لاهوری = شاه جهان نامه / تاریخ هند / فارسی</w:t>
      </w:r>
      <w:bookmarkEnd w:id="1502"/>
    </w:p>
    <w:p>
      <w:pPr>
        <w:pStyle w:val="BookText"/>
      </w:pPr>
      <w:r>
        <w:rPr>
          <w:rFonts w:ascii="Times New Roman" w:hAnsi="Times New Roman" w:eastAsia="Times New Roman" w:cs="Times New Roman"/>
          <w:lang w:val="en-US" w:bidi="en-US"/>
          <w:color w:val="111111"/>
          <w:sz w:val="28"/>
          <w:szCs w:val="28"/>
          <w:rtl/>
        </w:rPr>
        <w:t xml:space="preserve">pādešāh-nāme-ye lāhūrī = šāh-jahān-nāme</w:t>
      </w:r>
    </w:p>
    <w:p>
      <w:pPr>
        <w:pStyle w:val="BookText"/>
      </w:pPr>
      <w:r>
        <w:rPr>
          <w:rFonts w:ascii="IRNazanin" w:hAnsi="IRNazanin" w:eastAsia="IRNazanin" w:cs="IRNazanin"/>
          <w:lang w:bidi="fa-IR"/>
          <w:color w:val="111111"/>
          <w:sz w:val="28"/>
          <w:szCs w:val="28"/>
          <w:rtl/>
        </w:rPr>
        <w:t xml:space="preserve">لاهوری، عبدالحمید، ۱۰۶۵ قمری</w:t>
      </w:r>
    </w:p>
    <w:p>
      <w:pPr>
        <w:pStyle w:val="BookText"/>
      </w:pPr>
      <w:r>
        <w:rPr>
          <w:rFonts w:ascii="Times New Roman" w:hAnsi="Times New Roman" w:eastAsia="Times New Roman" w:cs="Times New Roman"/>
          <w:lang w:val="en-US" w:bidi="en-US"/>
          <w:color w:val="111111"/>
          <w:sz w:val="28"/>
          <w:szCs w:val="28"/>
          <w:rtl/>
        </w:rPr>
        <w:t xml:space="preserve">lāhūrī, “abd-ol-hamīd (- 1655)</w:t>
      </w:r>
    </w:p>
    <w:p>
      <w:pPr>
        <w:pStyle w:val="BookText"/>
      </w:pPr>
      <w:r>
        <w:rPr>
          <w:rFonts w:ascii="IRNazanin" w:hAnsi="IRNazanin" w:eastAsia="IRNazanin" w:cs="IRNazanin"/>
          <w:lang w:bidi="fa-IR"/>
          <w:color w:val="111111"/>
          <w:sz w:val="28"/>
          <w:szCs w:val="28"/>
          <w:rtl/>
        </w:rPr>
        <w:t xml:space="preserve">تاریخ تألیف: ۱۰۵۸ق</w:t>
      </w:r>
    </w:p>
    <w:p>
      <w:pPr>
        <w:pStyle w:val="BookText"/>
      </w:pPr>
      <w:r>
        <w:rPr>
          <w:rFonts w:ascii="IRNazanin" w:hAnsi="IRNazanin" w:eastAsia="IRNazanin" w:cs="IRNazanin"/>
          <w:lang w:bidi="fa-IR"/>
          <w:color w:val="111111"/>
          <w:sz w:val="28"/>
          <w:szCs w:val="28"/>
          <w:rtl/>
        </w:rPr>
        <w:t xml:space="preserve">مؤلف از «پادشاه نامه نگاران تیموریان هند است که پس ازمحمدامین «امینا»ی قزوینی به این کار گماشته شده است. در تاریخ و سرگذشت ابوالمظفر شهاب الدین محمد شاهجهان ( ۱۰۶۷-۱۰۳۷ ق)، از آغاز پادشاهی او در ۱۰۳۷ ق تا ۲۰ سال پادشاهی او، در ۲ «دور»: ده ساله نخستین و ده ساله دومین. با مقدمه ای کوتاه در پدران شاه و دنباله ای در سرگذشت پیران و دانشمندان و پزشکان و سرایندگان دربار شاهجهان در ۱۰۵۸ جلالی به انجام رسیده است. در این کتاب رویدادهای روزگار شاهزادگی و ده ساله نخست پادشاهی او از «پادشاهنامه» امینای قزوینی گرفته شده است و چون عبدالحمید لاهوری در ۱۰۶۵ق در گذشت، شاگرد او محمد وارث جای او را گرفت و ده ساله واپسین شاهجهان را این یکی به روش استاد خود ساخت. (احمد منزوی)</w:t>
      </w:r>
    </w:p>
    <w:p>
      <w:pPr>
        <w:pStyle w:val="BookText"/>
      </w:pPr>
      <w:r>
        <w:rPr>
          <w:rFonts w:ascii="IRNazanin" w:hAnsi="IRNazanin" w:eastAsia="IRNazanin" w:cs="IRNazanin"/>
          <w:lang w:bidi="fa-IR"/>
          <w:color w:val="111111"/>
          <w:sz w:val="28"/>
          <w:szCs w:val="28"/>
          <w:rtl/>
        </w:rPr>
        <w:t xml:space="preserve">آغاز دوره ۱: نگارین کلامی که گزارش آن دامن سامعه را جواهر آگین کند</w:t>
      </w:r>
    </w:p>
    <w:p>
      <w:pPr>
        <w:pStyle w:val="BookText"/>
      </w:pPr>
      <w:r>
        <w:rPr>
          <w:rFonts w:ascii="IRNazanin" w:hAnsi="IRNazanin" w:eastAsia="IRNazanin" w:cs="IRNazanin"/>
          <w:lang w:bidi="fa-IR"/>
          <w:color w:val="111111"/>
          <w:sz w:val="28"/>
          <w:szCs w:val="28"/>
          <w:rtl/>
        </w:rPr>
        <w:t xml:space="preserve">دوره ۲: سپاس والا اساس دادار کار ساز و کردگار بی نیاز</w:t>
      </w:r>
    </w:p>
    <w:p>
      <w:pPr>
        <w:pStyle w:val="BookText"/>
      </w:pPr>
      <w:r>
        <w:rPr>
          <w:rFonts w:ascii="IRNazanin" w:hAnsi="IRNazanin" w:eastAsia="IRNazanin" w:cs="IRNazanin"/>
          <w:lang w:bidi="fa-IR"/>
          <w:color w:val="111111"/>
          <w:sz w:val="28"/>
          <w:szCs w:val="28"/>
          <w:rtl/>
        </w:rPr>
        <w:t xml:space="preserve">انجام: بر مفارق جهانیان مبسوط و ممدود باد</w:t>
      </w:r>
    </w:p>
    <w:p>
      <w:pPr>
        <w:pStyle w:val="BookText"/>
      </w:pPr>
      <w:r>
        <w:rPr>
          <w:rFonts w:ascii="IRNazanin" w:hAnsi="IRNazanin" w:eastAsia="IRNazanin" w:cs="IRNazanin"/>
          <w:lang w:bidi="fa-IR"/>
          <w:color w:val="111111"/>
          <w:sz w:val="28"/>
          <w:szCs w:val="28"/>
          <w:rtl/>
        </w:rPr>
        <w:t xml:space="preserve">چاپ: در کلکته در سه جلد به سال های ۱۸۶۶-۱۸۷۳</w:t>
      </w:r>
    </w:p>
    <w:p>
      <w:pPr>
        <w:pStyle w:val="BookText"/>
      </w:pPr>
      <w:r>
        <w:rPr>
          <w:rFonts w:ascii="IRNazanin" w:hAnsi="IRNazanin" w:eastAsia="IRNazanin" w:cs="IRNazanin"/>
          <w:lang w:bidi="fa-IR"/>
          <w:color w:val="111111"/>
          <w:sz w:val="28"/>
          <w:szCs w:val="28"/>
          <w:rtl/>
        </w:rPr>
        <w:t xml:space="preserve">[دنا ۶۱۷/۲ (۴ نسخه)؛ استوری ۶/۱-۵۷۵؛ فهرستواره منزوی ۱۱۵۲/۲ ؛ الذریعه ۱۴/۱۳ «شاهجهان نامه»؛ نسخه های منزوی ۴۵۹۰/۶ (۲۱ نسخه)؛ مشترک پاکستان ۴۴۰/۱۰ (۱۴ نسخه)؛ تاریخ تذکره ها ۴۹۰/۲ ]</w:t>
      </w:r>
    </w:p>
    <w:p>
      <w:pPr>
        <w:pStyle w:val="BookText"/>
      </w:pPr>
      <w:r>
        <w:rPr>
          <w:rFonts w:ascii="IRNazanin" w:hAnsi="IRNazanin" w:eastAsia="IRNazanin" w:cs="IRNazanin"/>
          <w:lang w:bidi="fa-IR"/>
          <w:color w:val="111111"/>
          <w:sz w:val="28"/>
          <w:szCs w:val="28"/>
          <w:rtl/>
        </w:rPr>
        <w:t xml:space="preserve">۱. تهران: دائرة المعارف؛ شماره نسخه: ۱۵۳-عکسی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نسخه اصل: گنج بخش ش ۴۸۶ (گنج ۲۰۲۷/۴ )؛ خط: نستعلیق خوش، بی کا، تا: قرن ۱۰؛ منقش، با چاپ بنگاله ۱۸۶۷م جدایی هایی دارد و کمی مفصل تر است، در دو مجلد: ۱- گ ۱-۲۸۱، ۲- ۵۶۲-۲۸۲ ؛ ۵۶۲گ [عکسی ف: ۲-۴۶]</w:t>
      </w:r>
    </w:p>
    <w:p>
      <w:pPr>
        <w:pStyle w:val="BookText"/>
      </w:pPr>
      <w:r>
        <w:rPr>
          <w:rFonts w:ascii="IRNazanin" w:hAnsi="IRNazanin" w:eastAsia="IRNazanin" w:cs="IRNazanin"/>
          <w:lang w:bidi="fa-IR"/>
          <w:color w:val="111111"/>
          <w:sz w:val="28"/>
          <w:szCs w:val="28"/>
          <w:rtl/>
        </w:rPr>
        <w:t xml:space="preserve">تهران؛ دانشگاه؛ شماره نسخه: ۶۱۹۴/۲ -ف</w:t>
      </w:r>
    </w:p>
    <w:p>
      <w:pPr>
        <w:pStyle w:val="BookText"/>
      </w:pPr>
      <w:r>
        <w:rPr>
          <w:rFonts w:ascii="Amiri" w:hAnsi="Amiri" w:eastAsia="Amiri" w:cs="Amiri"/>
          <w:lang w:bidi="ar-SA"/>
          <w:color w:val="111111"/>
          <w:sz w:val="28"/>
          <w:szCs w:val="28"/>
          <w:rtl/>
        </w:rPr>
        <w:t xml:space="preserve">نسخه اصل: همان نسخه بالا [فيلمها ف: ۳-۲۰۸]</w:t>
      </w:r>
    </w:p>
    <w:p>
      <w:pPr>
        <w:pStyle w:val="BookText"/>
      </w:pPr>
      <w:r>
        <w:rPr>
          <w:rFonts w:ascii="IRNazanin" w:hAnsi="IRNazanin" w:eastAsia="IRNazanin" w:cs="IRNazanin"/>
          <w:lang w:bidi="fa-IR"/>
          <w:color w:val="111111"/>
          <w:sz w:val="28"/>
          <w:szCs w:val="28"/>
          <w:rtl/>
        </w:rPr>
        <w:t xml:space="preserve">۲. تهران؛ ملک؛ شماره نسخه: ۴۱۰۱</w:t>
      </w:r>
    </w:p>
    <w:p>
      <w:pPr>
        <w:pStyle w:val="BookText"/>
      </w:pPr>
      <w:r>
        <w:rPr>
          <w:rFonts w:ascii="IRNazanin" w:hAnsi="IRNazanin" w:eastAsia="IRNazanin" w:cs="IRNazanin"/>
          <w:lang w:bidi="fa-IR"/>
          <w:color w:val="111111"/>
          <w:sz w:val="28"/>
          <w:szCs w:val="28"/>
          <w:rtl/>
        </w:rPr>
        <w:t xml:space="preserve">خط: نستعلیق خوش، كا: محمد صالح، تا: اواخر قرن ۱۱؛ دارای یک سرلوح مذهب، ؛ کاغذ: کاغذ ترمه، جلد: میشن قهوه ای سیر مغزی دار، ۴۲۳گ، ۱۵ سطر، اندازه: ۲۸/۱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۱۶/۸</w:t>
      </w:r>
    </w:p>
    <w:p>
      <w:pPr>
        <w:pStyle w:val="BookText"/>
      </w:pPr>
      <w:r>
        <w:rPr>
          <w:rFonts w:ascii="IRNazanin" w:hAnsi="IRNazanin" w:eastAsia="IRNazanin" w:cs="IRNazanin"/>
          <w:lang w:bidi="fa-IR"/>
          <w:color w:val="111111"/>
          <w:sz w:val="28"/>
          <w:szCs w:val="28"/>
          <w:rtl/>
        </w:rPr>
        <w:t xml:space="preserve">سم [ف: ۲-۶۷]</w:t>
      </w:r>
    </w:p>
    <w:p>
      <w:pPr>
        <w:pStyle w:val="BookText"/>
      </w:pPr>
      <w:r>
        <w:rPr>
          <w:rFonts w:ascii="IRNazanin" w:hAnsi="IRNazanin" w:eastAsia="IRNazanin" w:cs="IRNazanin"/>
          <w:lang w:bidi="fa-IR"/>
          <w:color w:val="111111"/>
          <w:sz w:val="28"/>
          <w:szCs w:val="28"/>
          <w:rtl/>
        </w:rPr>
        <w:t xml:space="preserve">٣. تهران، دانشگاه؛ شماره نسخه: ۷۷۷۴</w:t>
      </w:r>
    </w:p>
    <w:p>
      <w:pPr>
        <w:pStyle w:val="BookText"/>
      </w:pPr>
      <w:r>
        <w:rPr>
          <w:rFonts w:ascii="IRNazanin" w:hAnsi="IRNazanin" w:eastAsia="IRNazanin" w:cs="IRNazanin"/>
          <w:lang w:bidi="fa-IR"/>
          <w:color w:val="111111"/>
          <w:sz w:val="28"/>
          <w:szCs w:val="28"/>
          <w:rtl/>
        </w:rPr>
        <w:t xml:space="preserve">از «ذکر سطوع نیر جاہ و جلال و طلوع کو کب دولت و اقبال یعنی ولادت ... چراغ افروز دومان گورکانی شاه جوان بخت» تا سرگذشت شیدا؛ خط: نستعلیق، بی کا، تا: قرن ۱۲؛ کاغذ: هندی، جلد: تازه، ۱۷۴ گ، ۲۵ سطر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قطع: رحلی، اندازه: ۳۷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۱۶-۶۹۵]</w:t>
      </w:r>
    </w:p>
    <w:p>
      <w:pPr>
        <w:pStyle w:val="BookText"/>
      </w:pPr>
      <w:r>
        <w:rPr>
          <w:rFonts w:ascii="IRNazanin" w:hAnsi="IRNazanin" w:eastAsia="IRNazanin" w:cs="IRNazanin"/>
          <w:lang w:bidi="fa-IR"/>
          <w:color w:val="111111"/>
          <w:sz w:val="28"/>
          <w:szCs w:val="28"/>
          <w:rtl/>
        </w:rPr>
        <w:t xml:space="preserve">۴. تهران، دانشگاه؛ شماره نسخه: ۱۹۱۹-ف</w:t>
      </w:r>
    </w:p>
    <w:p>
      <w:pPr>
        <w:pStyle w:val="BookText"/>
      </w:pPr>
      <w:r>
        <w:rPr>
          <w:rFonts w:ascii="IRNazanin" w:hAnsi="IRNazanin" w:eastAsia="IRNazanin" w:cs="IRNazanin"/>
          <w:lang w:bidi="fa-IR"/>
          <w:color w:val="111111"/>
          <w:sz w:val="28"/>
          <w:szCs w:val="28"/>
          <w:rtl/>
        </w:rPr>
        <w:t xml:space="preserve">نسخه اصل: دیوان هند ش ۳۱۷ اته ۳۲۵؛ بی کا، بی تا [فيلمها ف: ۲۵-۱ ]</w:t>
      </w:r>
    </w:p>
    <w:p>
      <w:pPr>
        <w:pStyle w:val="BookText"/>
      </w:pPr>
      <w:r>
        <w:rPr>
          <w:rFonts w:ascii="IRNazanin" w:hAnsi="IRNazanin" w:eastAsia="IRNazanin" w:cs="IRNazanin"/>
          <w:lang w:bidi="fa-IR"/>
          <w:color w:val="111111"/>
          <w:sz w:val="28"/>
          <w:szCs w:val="28"/>
          <w:rtl/>
        </w:rPr>
        <w:t xml:space="preserve">← پادشاه و حیات ← حکایت پادشاه و گزیدن لب حیات، همسرش</w:t>
      </w:r>
    </w:p>
    <w:p>
      <w:pPr>
        <w:pStyle w:val="Heading3"/>
      </w:pPr>
      <w:bookmarkStart w:id="1503" w:name="_Toc763"/>
      <w:r>
        <w:t>• پادشاهی طغا تيمور بن سودای کاون بن بابا کاون / تاریخ / فارسی</w:t>
      </w:r>
      <w:bookmarkEnd w:id="1503"/>
    </w:p>
    <w:p>
      <w:pPr>
        <w:pStyle w:val="BookText"/>
      </w:pPr>
      <w:r>
        <w:rPr>
          <w:rFonts w:ascii="Times New Roman" w:hAnsi="Times New Roman" w:eastAsia="Times New Roman" w:cs="Times New Roman"/>
          <w:lang w:val="en-US" w:bidi="en-US"/>
          <w:color w:val="111111"/>
          <w:sz w:val="28"/>
          <w:szCs w:val="28"/>
          <w:rtl/>
        </w:rPr>
        <w:t xml:space="preserve">pādešāhī-ye toqā teymūr ebn-e sūdā-ye kāvan ebn-e bābā kāvan</w:t>
      </w:r>
    </w:p>
    <w:p>
      <w:pPr>
        <w:pStyle w:val="BookText"/>
      </w:pPr>
      <w:r>
        <w:rPr>
          <w:rFonts w:ascii="IRNazanin" w:hAnsi="IRNazanin" w:eastAsia="IRNazanin" w:cs="IRNazanin"/>
          <w:lang w:bidi="fa-IR"/>
          <w:color w:val="111111"/>
          <w:sz w:val="28"/>
          <w:szCs w:val="28"/>
          <w:rtl/>
        </w:rPr>
        <w:t xml:space="preserve">حافظ ابرو، عبدالله بن لطف الله، ۷۶۳؟ -۸۳۴؟ قمری</w:t>
      </w:r>
    </w:p>
    <w:p>
      <w:pPr>
        <w:pStyle w:val="BookText"/>
      </w:pPr>
      <w:r>
        <w:rPr>
          <w:rFonts w:ascii="Times New Roman" w:hAnsi="Times New Roman" w:eastAsia="Times New Roman" w:cs="Times New Roman"/>
          <w:lang w:val="en-US" w:bidi="en-US"/>
          <w:color w:val="111111"/>
          <w:sz w:val="28"/>
          <w:szCs w:val="28"/>
          <w:rtl/>
        </w:rPr>
        <w:t xml:space="preserve">hāfez abrū, “abd-ol-lāh ebn-e lotf-ol-lāh (1362-1431)</w:t>
      </w:r>
    </w:p>
    <w:p>
      <w:pPr>
        <w:pStyle w:val="BookText"/>
      </w:pPr>
      <w:r>
        <w:rPr>
          <w:rFonts w:ascii="IRNazanin" w:hAnsi="IRNazanin" w:eastAsia="IRNazanin" w:cs="IRNazanin"/>
          <w:lang w:bidi="fa-IR"/>
          <w:color w:val="111111"/>
          <w:sz w:val="28"/>
          <w:szCs w:val="28"/>
          <w:rtl/>
        </w:rPr>
        <w:t xml:space="preserve">بخش بندی نشده، با سربندهای «ذکر»: ذکر کشته شدن پادشاه</w:t>
      </w:r>
    </w:p>
    <w:p>
      <w:pPr>
        <w:pStyle w:val="BookText"/>
      </w:pPr>
      <w:r>
        <w:rPr>
          <w:rFonts w:ascii="IRNazanin" w:hAnsi="IRNazanin" w:eastAsia="IRNazanin" w:cs="IRNazanin"/>
          <w:lang w:bidi="fa-IR"/>
          <w:color w:val="111111"/>
          <w:sz w:val="28"/>
          <w:szCs w:val="28"/>
          <w:rtl/>
        </w:rPr>
        <w:t xml:space="preserve">طغا تيمور، پادشاهی امیر ولی هندو، محاربه امیر ولی با سلطان اویس، جنگ امیر ولی با سید عماد و عاقبت کار او ... واپسین سربند: ذکر وفات صاحبقرانی.</w:t>
      </w:r>
    </w:p>
    <w:p>
      <w:pPr>
        <w:pStyle w:val="BookText"/>
      </w:pPr>
      <w:r>
        <w:rPr>
          <w:rFonts w:ascii="IRNazanin" w:hAnsi="IRNazanin" w:eastAsia="IRNazanin" w:cs="IRNazanin"/>
          <w:lang w:bidi="fa-IR"/>
          <w:color w:val="111111"/>
          <w:sz w:val="28"/>
          <w:szCs w:val="28"/>
          <w:rtl/>
        </w:rPr>
        <w:t xml:space="preserve">[فهرستواره منزوی ۸۳۳/۲ «پادشاهی ... »؛ مشار فارسی ۹۴۸/۱ «پنج رساله تاریخی» که نخستین آنها همین رساله است.]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47" w:name="pg20363_209504"/>
    <w:bookmarkEnd w:id="247"/>
    <w:p>
      <w:pPr>
        <w:pStyle w:val="BookText"/>
      </w:pPr>
      <w:r>
        <w:rPr>
          <w:rFonts w:ascii="IRNazanin" w:hAnsi="IRNazanin" w:eastAsia="IRNazanin" w:cs="IRNazanin"/>
          <w:lang w:bidi="fa-IR"/>
          <w:color w:val="111111"/>
          <w:sz w:val="28"/>
          <w:szCs w:val="28"/>
          <w:rtl/>
        </w:rPr>
        <w:t xml:space="preserve">تهران؛ دائرة المعارف، شماره نسخه: ۴۴۰/۵ -عکسی</w:t>
      </w:r>
    </w:p>
    <w:p>
      <w:pPr>
        <w:pStyle w:val="BookText"/>
      </w:pPr>
      <w:r>
        <w:rPr>
          <w:rFonts w:ascii="IRNazanin" w:hAnsi="IRNazanin" w:eastAsia="IRNazanin" w:cs="IRNazanin"/>
          <w:lang w:bidi="fa-IR"/>
          <w:color w:val="111111"/>
          <w:sz w:val="28"/>
          <w:szCs w:val="28"/>
          <w:rtl/>
        </w:rPr>
        <w:t xml:space="preserve">آغاز: بعد از وفات سلطان سعيد ابوسعید انارالله برهانه، و در ایام هرج و مرج در هر گوشه ای متغلبی رایت استبداد بر افراشت؛ انجام: و راستکاری سبب رستکاری دانند. ایزد تعالی جله را توفیق رفیق گرداند. بحمد و آله الطاهرين اجمعين. تمت</w:t>
      </w:r>
    </w:p>
    <w:p>
      <w:pPr>
        <w:pStyle w:val="BookText"/>
      </w:pPr>
      <w:r>
        <w:rPr>
          <w:rFonts w:ascii="IRNazanin" w:hAnsi="IRNazanin" w:eastAsia="IRNazanin" w:cs="IRNazanin"/>
          <w:lang w:bidi="fa-IR"/>
          <w:color w:val="111111"/>
          <w:sz w:val="28"/>
          <w:szCs w:val="28"/>
          <w:rtl/>
        </w:rPr>
        <w:t xml:space="preserve">نسخه اصل: ملک ش ۴۱۶۴ (ملک ۲۲۲/۷ ) [رساله های این مجموعه در فهرست اصل و این فهرست عکسی به صورت متفاوت فهرست شده اند؛ خط: نسخ پخته، كا: ابن محمد مهدی آقا بابا شهمیرزادی، تا: رمضان ۱۲۷۱ق؛ ۵۲ص (۲۲۳-۲۷۴)[ عکسی ف: ۲-۴۶]</w:t>
      </w:r>
    </w:p>
    <w:p>
      <w:pPr>
        <w:pStyle w:val="Heading3"/>
      </w:pPr>
      <w:bookmarkStart w:id="1504" w:name="_Toc764"/>
      <w:r>
        <w:t>• پارسی نامه / دستور زبان فارسی</w:t>
      </w:r>
      <w:bookmarkEnd w:id="1504"/>
    </w:p>
    <w:p>
      <w:pPr>
        <w:pStyle w:val="BookText"/>
      </w:pPr>
      <w:r>
        <w:rPr>
          <w:rFonts w:ascii="Times New Roman" w:hAnsi="Times New Roman" w:eastAsia="Times New Roman" w:cs="Times New Roman"/>
          <w:lang w:val="en-US" w:bidi="en-US"/>
          <w:color w:val="111111"/>
          <w:sz w:val="28"/>
          <w:szCs w:val="28"/>
          <w:rtl/>
        </w:rPr>
        <w:t xml:space="preserve">pārsī-nāme</w:t>
      </w:r>
    </w:p>
    <w:p>
      <w:pPr>
        <w:pStyle w:val="BookText"/>
      </w:pPr>
      <w:r>
        <w:rPr>
          <w:rFonts w:ascii="IRNazanin" w:hAnsi="IRNazanin" w:eastAsia="IRNazanin" w:cs="IRNazanin"/>
          <w:lang w:bidi="fa-IR"/>
          <w:color w:val="111111"/>
          <w:sz w:val="28"/>
          <w:szCs w:val="28"/>
          <w:rtl/>
        </w:rPr>
        <w:t xml:space="preserve">ساغر اصفهانی، محمد ابراهيم بن محمد اسماعیل، ۱۳۰۲ قمری</w:t>
      </w:r>
    </w:p>
    <w:p>
      <w:pPr>
        <w:pStyle w:val="BookText"/>
      </w:pPr>
      <w:r>
        <w:rPr>
          <w:rFonts w:ascii="Times New Roman" w:hAnsi="Times New Roman" w:eastAsia="Times New Roman" w:cs="Times New Roman"/>
          <w:lang w:val="en-US" w:bidi="en-US"/>
          <w:color w:val="111111"/>
          <w:sz w:val="28"/>
          <w:szCs w:val="28"/>
          <w:rtl/>
        </w:rPr>
        <w:t xml:space="preserve">ebn-e ebrāhīm sāqar-e esfahānī, mohammad mohammad esmāʻīl (- 1885)</w:t>
      </w:r>
    </w:p>
    <w:p>
      <w:pPr>
        <w:pStyle w:val="BookText"/>
      </w:pPr>
      <w:r>
        <w:rPr>
          <w:rFonts w:ascii="IRNazanin" w:hAnsi="IRNazanin" w:eastAsia="IRNazanin" w:cs="IRNazanin"/>
          <w:lang w:bidi="fa-IR"/>
          <w:color w:val="111111"/>
          <w:sz w:val="28"/>
          <w:szCs w:val="28"/>
          <w:rtl/>
        </w:rPr>
        <w:t xml:space="preserve">دستور زبان فارسی را به طور مختصر در چند بخش بیان نموده است. فهرست مطالب: آغاز اول: در عذر به هم آمیختن سخنان و الفاظ پارسی و تازی است؛ آغاز دوم: در پیدایش زبان پارسی و زمان آن است؛ آغاز سوم: در گزارش جا به جا شدن و پیوستن حرف های پارسی است به یکدیگر؛ آغاز چهارم: در بیان اصل سخن و نام اصل سخن است که در زبان تازی مصدر و اسم مصدر است؛ گفتار ۱. در نگارش سخنان گذشته است که عرب آن را ماضی گوید؛ گفتار ۲. در آینده است که عرب آن را مستقبل و مضارع گوید؛ گفتار 3. در بیان کننده است که آن را اسم فاعل گویند؛ گفتار ۴. در کرده شده است که آن را اسم مفعول نامند؛ گفتار ۵. در فرمودن است که امر باشد؛ گفتار ۶ در باز داشتن است کسی را از کاری که عرب آن را نمی گوید؛ گفتار ۷. در نیست کردن است که نفی گویند؛ گفتار ۸ در انکار کردن است و آن را جحد گویند؛ گفتار 9. در طلب آگاهی و فهمیدن است که به زبان عرب آن را استفهام گویند؛ مطلب اول: در قواعد صرف؛ مطلب دوم: در قانون نحو.</w:t>
      </w:r>
    </w:p>
    <w:p>
      <w:pPr>
        <w:pStyle w:val="BookText"/>
      </w:pPr>
      <w:r>
        <w:rPr>
          <w:rFonts w:ascii="IRNazanin" w:hAnsi="IRNazanin" w:eastAsia="IRNazanin" w:cs="IRNazanin"/>
          <w:lang w:bidi="fa-IR"/>
          <w:color w:val="111111"/>
          <w:sz w:val="28"/>
          <w:szCs w:val="28"/>
          <w:rtl/>
        </w:rPr>
        <w:t xml:space="preserve">تهران؛ مجلس؛ شماره نسخه: ۱۳۱۷۱/۱</w:t>
      </w:r>
    </w:p>
    <w:p>
      <w:pPr>
        <w:pStyle w:val="BookText"/>
      </w:pPr>
      <w:r>
        <w:rPr>
          <w:rFonts w:ascii="IRNazanin" w:hAnsi="IRNazanin" w:eastAsia="IRNazanin" w:cs="IRNazanin"/>
          <w:lang w:bidi="fa-IR"/>
          <w:color w:val="111111"/>
          <w:sz w:val="28"/>
          <w:szCs w:val="28"/>
          <w:rtl/>
        </w:rPr>
        <w:t xml:space="preserve">آغاز: رب اشرح لي صدري و يسر لي ... نخستین آغاز نگارش این سخن و آرایش گذارش نو و کهن در هر زبان و در هر زمان سپاس و ستایش و پرستش و نیایش؛ انجام: و خطایی اگر رفته عفو نمایند که فنون علوم به مرور و دهور و تدریج زمان محکم و مضبوط و بی عیب و مبسوط شده است و الله المستعان و رجائی منه الغفران.</w:t>
      </w:r>
    </w:p>
    <w:p>
      <w:pPr>
        <w:pStyle w:val="BookText"/>
      </w:pPr>
      <w:r>
        <w:rPr>
          <w:rFonts w:ascii="IRNazanin" w:hAnsi="IRNazanin" w:eastAsia="IRNazanin" w:cs="IRNazanin"/>
          <w:lang w:bidi="fa-IR"/>
          <w:color w:val="111111"/>
          <w:sz w:val="28"/>
          <w:szCs w:val="28"/>
          <w:rtl/>
        </w:rPr>
        <w:t xml:space="preserve">خط: نسخ، كان محمد جعفر بن میرزا احمد عقدائی، تا: پنج شنبه ۱۵ ربیع الاول ۱۲۹۷ق؛ جلد: تیماج مشکی، ۵۹گ (۱پ -۵۹پ)، ۱۳ سطر [ف: ۳۶-۲۶۱]</w:t>
      </w:r>
    </w:p>
    <w:p>
      <w:pPr>
        <w:pStyle w:val="Heading3"/>
      </w:pPr>
      <w:bookmarkStart w:id="1505" w:name="_Toc765"/>
      <w:r>
        <w:t>•پاره ای از مسائل عارفان /عرفان و تصوف / فارسی</w:t>
      </w:r>
      <w:bookmarkEnd w:id="1505"/>
    </w:p>
    <w:p>
      <w:pPr>
        <w:pStyle w:val="BookText"/>
      </w:pPr>
      <w:r>
        <w:rPr>
          <w:rFonts w:ascii="Times New Roman" w:hAnsi="Times New Roman" w:eastAsia="Times New Roman" w:cs="Times New Roman"/>
          <w:lang w:val="en-US" w:bidi="en-US"/>
          <w:color w:val="111111"/>
          <w:sz w:val="28"/>
          <w:szCs w:val="28"/>
          <w:rtl/>
        </w:rPr>
        <w:t xml:space="preserve">pāre-ī az masā'el-e 'ārefān</w:t>
      </w:r>
    </w:p>
    <w:p>
      <w:pPr>
        <w:pStyle w:val="BookText"/>
      </w:pPr>
      <w:r>
        <w:rPr>
          <w:rFonts w:ascii="IRNazanin" w:hAnsi="IRNazanin" w:eastAsia="IRNazanin" w:cs="IRNazanin"/>
          <w:lang w:bidi="fa-IR"/>
          <w:color w:val="111111"/>
          <w:sz w:val="28"/>
          <w:szCs w:val="28"/>
          <w:rtl/>
        </w:rPr>
        <w:t xml:space="preserve">اصفهانی، نصرالله بن محمد رضا، ق ۱۴ قمری</w:t>
      </w:r>
    </w:p>
    <w:p>
      <w:pPr>
        <w:pStyle w:val="BookText"/>
      </w:pPr>
      <w:r>
        <w:rPr>
          <w:rFonts w:ascii="Times New Roman" w:hAnsi="Times New Roman" w:eastAsia="Times New Roman" w:cs="Times New Roman"/>
          <w:lang w:val="en-US" w:bidi="en-US"/>
          <w:color w:val="111111"/>
          <w:sz w:val="28"/>
          <w:szCs w:val="28"/>
          <w:rtl/>
        </w:rPr>
        <w:t xml:space="preserve">esfahānī, nasr-ol-lāh ebn-e mohammad rezā (- 20c)</w:t>
      </w:r>
    </w:p>
    <w:p>
      <w:pPr>
        <w:pStyle w:val="BookText"/>
      </w:pPr>
      <w:r>
        <w:rPr>
          <w:rFonts w:ascii="IRNazanin" w:hAnsi="IRNazanin" w:eastAsia="IRNazanin" w:cs="IRNazanin"/>
          <w:lang w:bidi="fa-IR"/>
          <w:color w:val="111111"/>
          <w:sz w:val="28"/>
          <w:szCs w:val="28"/>
          <w:rtl/>
        </w:rPr>
        <w:t xml:space="preserve">تاریخ تأليف: ۱۳۰۱ ق نویسنده از عارفان و صوفیان بوده است پس از حمد خدا و نعت پیغمبر پاره ای از عقاید صوفیان را چون «شناخت پیر» و «رؤیت حق به چشم دل» را پیش کشیده و با استفاده از آیات قرآنی و احادیث تعبیرات دینی برای آنها کرده است.</w:t>
      </w:r>
    </w:p>
    <w:p>
      <w:pPr>
        <w:pStyle w:val="BookText"/>
      </w:pPr>
      <w:r>
        <w:rPr>
          <w:rFonts w:ascii="IRNazanin" w:hAnsi="IRNazanin" w:eastAsia="IRNazanin" w:cs="IRNazanin"/>
          <w:lang w:bidi="fa-IR"/>
          <w:color w:val="111111"/>
          <w:sz w:val="28"/>
          <w:szCs w:val="28"/>
          <w:rtl/>
        </w:rPr>
        <w:t xml:space="preserve">تهران؛ ملی؛ شماره نسخه: ۲۴۳۲</w:t>
      </w:r>
    </w:p>
    <w:p>
      <w:pPr>
        <w:pStyle w:val="BookText"/>
      </w:pPr>
      <w:r>
        <w:rPr>
          <w:rFonts w:ascii="IRNazanin" w:hAnsi="IRNazanin" w:eastAsia="IRNazanin" w:cs="IRNazanin"/>
          <w:lang w:bidi="fa-IR"/>
          <w:color w:val="111111"/>
          <w:sz w:val="28"/>
          <w:szCs w:val="28"/>
          <w:rtl/>
        </w:rPr>
        <w:t xml:space="preserve">آغاز: بسمله، الحمدلله رب العالمين و الصلوة و السلام على سيدنا محمد و اله و أصحابه اجمعين هذا الكتاب؛ انجام: و هو السميع البصير نعم المولی و نعم النصير اغفرانک ربنا و اليك المصير خط: نسخ، كاتب = مؤلف، تا: ۱۳۰۱ق؛ کاغذ: فرنگی، جلد: تیماج، قرمز، مقوایی، ۱۲۲گ، ۱۶ سطر (۱۰</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۱۵/۵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۵-۵۷۲]</w:t>
      </w:r>
    </w:p>
    <w:p>
      <w:pPr>
        <w:pStyle w:val="BookText"/>
      </w:pPr>
      <w:r>
        <w:rPr>
          <w:rFonts w:ascii="IRNazanin" w:hAnsi="IRNazanin" w:eastAsia="IRNazanin" w:cs="IRNazanin"/>
          <w:lang w:bidi="fa-IR"/>
          <w:color w:val="111111"/>
          <w:sz w:val="28"/>
          <w:szCs w:val="28"/>
          <w:rtl/>
        </w:rPr>
        <w:t xml:space="preserve">←پازند ← متون پازند</w:t>
      </w:r>
    </w:p>
    <w:p>
      <w:pPr>
        <w:pStyle w:val="BookText"/>
      </w:pPr>
      <w:r>
        <w:rPr>
          <w:rFonts w:ascii="IRNazanin" w:hAnsi="IRNazanin" w:eastAsia="IRNazanin" w:cs="IRNazanin"/>
          <w:lang w:bidi="fa-IR"/>
          <w:color w:val="111111"/>
          <w:sz w:val="28"/>
          <w:szCs w:val="28"/>
          <w:rtl/>
        </w:rPr>
        <w:t xml:space="preserve">← پاس انفاس ← طریق خواجگان</w:t>
      </w:r>
    </w:p>
    <w:p>
      <w:pPr>
        <w:pStyle w:val="Heading3"/>
      </w:pPr>
      <w:bookmarkStart w:id="1506" w:name="_Toc766"/>
      <w:r>
        <w:t>• پاس انفاس / عرفان و تصوف / فارسی</w:t>
      </w:r>
      <w:bookmarkEnd w:id="1506"/>
    </w:p>
    <w:p>
      <w:pPr>
        <w:pStyle w:val="BookText"/>
      </w:pPr>
      <w:r>
        <w:rPr>
          <w:rFonts w:ascii="Times New Roman" w:hAnsi="Times New Roman" w:eastAsia="Times New Roman" w:cs="Times New Roman"/>
          <w:lang w:val="en-US" w:bidi="en-US"/>
          <w:color w:val="111111"/>
          <w:sz w:val="28"/>
          <w:szCs w:val="28"/>
          <w:rtl/>
        </w:rPr>
        <w:t xml:space="preserve">pās-e anfās</w:t>
      </w:r>
    </w:p>
    <w:p>
      <w:pPr>
        <w:pStyle w:val="BookText"/>
      </w:pPr>
      <w:r>
        <w:rPr>
          <w:rFonts w:ascii="IRNazanin" w:hAnsi="IRNazanin" w:eastAsia="IRNazanin" w:cs="IRNazanin"/>
          <w:lang w:bidi="fa-IR"/>
          <w:color w:val="111111"/>
          <w:sz w:val="28"/>
          <w:szCs w:val="28"/>
          <w:rtl/>
        </w:rPr>
        <w:t xml:space="preserve">دهلوی، فریدالدین مسعود بن سلمان، ۶۶۵ ؟ قمری</w:t>
      </w:r>
    </w:p>
    <w:p>
      <w:pPr>
        <w:pStyle w:val="BookText"/>
      </w:pPr>
      <w:r>
        <w:rPr>
          <w:rFonts w:ascii="Times New Roman" w:hAnsi="Times New Roman" w:eastAsia="Times New Roman" w:cs="Times New Roman"/>
          <w:lang w:val="en-US" w:bidi="en-US"/>
          <w:color w:val="111111"/>
          <w:sz w:val="28"/>
          <w:szCs w:val="28"/>
          <w:rtl/>
        </w:rPr>
        <w:t xml:space="preserve">dehlavī, farīd-od-dīn mas-ūd ebn-e salmān (- 1267)</w:t>
      </w:r>
    </w:p>
    <w:p>
      <w:pPr>
        <w:pStyle w:val="BookText"/>
      </w:pPr>
      <w:r>
        <w:rPr>
          <w:rFonts w:ascii="IRNazanin" w:hAnsi="IRNazanin" w:eastAsia="IRNazanin" w:cs="IRNazanin"/>
          <w:lang w:bidi="fa-IR"/>
          <w:color w:val="111111"/>
          <w:sz w:val="28"/>
          <w:szCs w:val="28"/>
          <w:rtl/>
        </w:rPr>
        <w:t xml:space="preserve">رساله ای است در بیان تحولات قلب و عرفان و معرفت آن.</w:t>
      </w:r>
    </w:p>
    <w:p>
      <w:pPr>
        <w:pStyle w:val="BookText"/>
      </w:pPr>
      <w:r>
        <w:rPr>
          <w:rFonts w:ascii="IRNazanin" w:hAnsi="IRNazanin" w:eastAsia="IRNazanin" w:cs="IRNazanin"/>
          <w:lang w:bidi="fa-IR"/>
          <w:color w:val="111111"/>
          <w:sz w:val="28"/>
          <w:szCs w:val="28"/>
          <w:rtl/>
        </w:rPr>
        <w:t xml:space="preserve">مشهد؛ شیخ علی حیدر؛ شماره نسخه: ۱۳۷۵/۲</w:t>
      </w:r>
    </w:p>
    <w:p>
      <w:pPr>
        <w:pStyle w:val="BookText"/>
      </w:pPr>
      <w:r>
        <w:rPr>
          <w:rFonts w:ascii="IRNazanin" w:hAnsi="IRNazanin" w:eastAsia="IRNazanin" w:cs="IRNazanin"/>
          <w:lang w:bidi="fa-IR"/>
          <w:color w:val="111111"/>
          <w:sz w:val="28"/>
          <w:szCs w:val="28"/>
          <w:rtl/>
        </w:rPr>
        <w:t xml:space="preserve">آغاز: الحمدلله رب العالمين و العاقبة للمتقين و الصلاة و السلام؛ انجام: استاد تو عشق است چو آنجا برسی *** او خود بزبان حال گوید چه کسی خط: نستعلیق، كا: محمد سلطان بابری قادری پیشاوری، تا: ۱۹ شعبان ۱۲۷۹ق؛ جلد: معمولی، ۷گ (۱۹ر۲۵ر)، ۱۳ سطر، اندازه: ۲۳</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۱۴/۵ سم [مؤيد: ۳-۳۱۱]</w:t>
      </w:r>
    </w:p>
    <w:p>
      <w:pPr>
        <w:pStyle w:val="Heading3"/>
      </w:pPr>
      <w:bookmarkStart w:id="1507" w:name="_Toc767"/>
      <w:r>
        <w:t>•پاسخ / نامه نگاری / عربی</w:t>
      </w:r>
      <w:bookmarkEnd w:id="1507"/>
    </w:p>
    <w:p>
      <w:pPr>
        <w:pStyle w:val="BookText"/>
      </w:pPr>
      <w:r>
        <w:rPr>
          <w:rFonts w:ascii="Times New Roman" w:hAnsi="Times New Roman" w:eastAsia="Times New Roman" w:cs="Times New Roman"/>
          <w:lang w:val="en-US" w:bidi="en-US"/>
          <w:color w:val="111111"/>
          <w:sz w:val="28"/>
          <w:szCs w:val="28"/>
          <w:rtl/>
        </w:rPr>
        <w:t xml:space="preserve">pāsox</w:t>
      </w:r>
    </w:p>
    <w:p>
      <w:pPr>
        <w:pStyle w:val="BookText"/>
      </w:pPr>
      <w:r>
        <w:rPr>
          <w:rFonts w:ascii="IRNazanin" w:hAnsi="IRNazanin" w:eastAsia="IRNazanin" w:cs="IRNazanin"/>
          <w:lang w:bidi="fa-IR"/>
          <w:color w:val="111111"/>
          <w:sz w:val="28"/>
          <w:szCs w:val="28"/>
          <w:rtl/>
        </w:rPr>
        <w:t xml:space="preserve">کمال اصفهانی، اسماعیل بن محمد، ۵۶۸؟ -۶۳۵ قمری</w:t>
      </w:r>
    </w:p>
    <w:p>
      <w:pPr>
        <w:pStyle w:val="BookText"/>
      </w:pPr>
      <w:r>
        <w:rPr>
          <w:rFonts w:ascii="Times New Roman" w:hAnsi="Times New Roman" w:eastAsia="Times New Roman" w:cs="Times New Roman"/>
          <w:lang w:val="en-US" w:bidi="en-US"/>
          <w:color w:val="111111"/>
          <w:sz w:val="28"/>
          <w:szCs w:val="28"/>
          <w:rtl/>
        </w:rPr>
        <w:t xml:space="preserve">kamāl-e esfahānī, esmāʻīl ebn-e mohammad (1173 1238)</w:t>
      </w:r>
    </w:p>
    <w:p>
      <w:pPr>
        <w:pStyle w:val="BookText"/>
      </w:pPr>
      <w:r>
        <w:rPr>
          <w:rFonts w:ascii="IRNazanin" w:hAnsi="IRNazanin" w:eastAsia="IRNazanin" w:cs="IRNazanin"/>
          <w:lang w:bidi="fa-IR"/>
          <w:color w:val="111111"/>
          <w:sz w:val="28"/>
          <w:szCs w:val="28"/>
          <w:rtl/>
        </w:rPr>
        <w:t xml:space="preserve">پاسخ کمال اصفهانی به یکی از صواحب عظام.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48" w:name="pg20363_209505"/>
    <w:bookmarkEnd w:id="248"/>
    <w:p>
      <w:pPr>
        <w:pStyle w:val="BookText"/>
      </w:pPr>
      <w:r>
        <w:rPr>
          <w:rFonts w:ascii="IRNazanin" w:hAnsi="IRNazanin" w:eastAsia="IRNazanin" w:cs="IRNazanin"/>
          <w:lang w:bidi="fa-IR"/>
          <w:color w:val="111111"/>
          <w:sz w:val="28"/>
          <w:szCs w:val="28"/>
          <w:rtl/>
        </w:rPr>
        <w:t xml:space="preserve">تهران، دانشگاه؛ شماره نسخه: ۱۹۵/۲۰ -ف</w:t>
      </w:r>
    </w:p>
    <w:p>
      <w:pPr>
        <w:pStyle w:val="BookText"/>
      </w:pPr>
      <w:r>
        <w:rPr>
          <w:rFonts w:ascii="IRNazanin" w:hAnsi="IRNazanin" w:eastAsia="IRNazanin" w:cs="IRNazanin"/>
          <w:lang w:bidi="fa-IR"/>
          <w:color w:val="111111"/>
          <w:sz w:val="28"/>
          <w:szCs w:val="28"/>
          <w:rtl/>
        </w:rPr>
        <w:t xml:space="preserve">نسخه اصل: حمیدیه ش ۱۴۴۷؛ بی کا، تا: با تاریخ ۷۷۵ق [فیلمها ف: ۱-۴۲۳]</w:t>
      </w:r>
    </w:p>
    <w:p>
      <w:pPr>
        <w:pStyle w:val="Heading3"/>
      </w:pPr>
      <w:bookmarkStart w:id="1508" w:name="_Toc768"/>
      <w:r>
        <w:t>•پاسخ ابن سینا / پاسخ پرسش ها / عربی</w:t>
      </w:r>
      <w:bookmarkEnd w:id="1508"/>
    </w:p>
    <w:p>
      <w:pPr>
        <w:pStyle w:val="BookText"/>
      </w:pPr>
      <w:r>
        <w:rPr>
          <w:rFonts w:ascii="Times New Roman" w:hAnsi="Times New Roman" w:eastAsia="Times New Roman" w:cs="Times New Roman"/>
          <w:lang w:val="en-US" w:bidi="en-US"/>
          <w:color w:val="111111"/>
          <w:sz w:val="28"/>
          <w:szCs w:val="28"/>
          <w:rtl/>
        </w:rPr>
        <w:t xml:space="preserve">pāsox-e ebn-e sīnā</w:t>
      </w:r>
    </w:p>
    <w:p>
      <w:pPr>
        <w:pStyle w:val="BookText"/>
      </w:pPr>
      <w:r>
        <w:rPr>
          <w:rFonts w:ascii="IRNazanin" w:hAnsi="IRNazanin" w:eastAsia="IRNazanin" w:cs="IRNazanin"/>
          <w:lang w:bidi="fa-IR"/>
          <w:color w:val="111111"/>
          <w:sz w:val="28"/>
          <w:szCs w:val="28"/>
          <w:rtl/>
        </w:rPr>
        <w:t xml:space="preserve">ابن سینا، حسین بن عبدالله، ۳۷۰؟ -۴۲۸ قمری</w:t>
      </w:r>
    </w:p>
    <w:p>
      <w:pPr>
        <w:pStyle w:val="BookText"/>
      </w:pPr>
      <w:r>
        <w:rPr>
          <w:rFonts w:ascii="Times New Roman" w:hAnsi="Times New Roman" w:eastAsia="Times New Roman" w:cs="Times New Roman"/>
          <w:lang w:val="en-US" w:bidi="en-US"/>
          <w:color w:val="111111"/>
          <w:sz w:val="28"/>
          <w:szCs w:val="28"/>
          <w:rtl/>
        </w:rPr>
        <w:t xml:space="preserve">ebn-e sīnā, hoseyn ebn-e ‘abd-ol-lāh (981-1038)</w:t>
      </w:r>
    </w:p>
    <w:p>
      <w:pPr>
        <w:pStyle w:val="BookText"/>
      </w:pPr>
      <w:r>
        <w:rPr>
          <w:rFonts w:ascii="IRNazanin" w:hAnsi="IRNazanin" w:eastAsia="IRNazanin" w:cs="IRNazanin"/>
          <w:lang w:bidi="fa-IR"/>
          <w:color w:val="111111"/>
          <w:sz w:val="28"/>
          <w:szCs w:val="28"/>
          <w:rtl/>
        </w:rPr>
        <w:t xml:space="preserve">توضیحی از آن گزارش نشده است.</w:t>
      </w:r>
    </w:p>
    <w:p>
      <w:pPr>
        <w:pStyle w:val="BookText"/>
      </w:pPr>
      <w:r>
        <w:rPr>
          <w:rFonts w:ascii="IRNazanin" w:hAnsi="IRNazanin" w:eastAsia="IRNazanin" w:cs="IRNazanin"/>
          <w:lang w:bidi="fa-IR"/>
          <w:color w:val="111111"/>
          <w:sz w:val="28"/>
          <w:szCs w:val="28"/>
          <w:rtl/>
        </w:rPr>
        <w:t xml:space="preserve">همدان؛ مدرسه غرب؛ شماره نسخه: ۱۱۸۷/۱۷</w:t>
      </w:r>
    </w:p>
    <w:p>
      <w:pPr>
        <w:pStyle w:val="BookText"/>
      </w:pPr>
      <w:r>
        <w:rPr>
          <w:rFonts w:ascii="IRNazanin" w:hAnsi="IRNazanin" w:eastAsia="IRNazanin" w:cs="IRNazanin"/>
          <w:lang w:bidi="fa-IR"/>
          <w:color w:val="111111"/>
          <w:sz w:val="28"/>
          <w:szCs w:val="28"/>
          <w:rtl/>
        </w:rPr>
        <w:t xml:space="preserve">آغاز: وصل كتاب الشيخ اطال الله بقائه و ادام تاییده و تمهیده و نعمته دالا على سلامته و على ما خلص اليه من البهجة؛ انجام: و مجالا فيما بعد ذلك غير ضيق و معرفة بما لا اعرفه بلغه و الله اعلم و احكم. خط: نسخ، بی کا، تا: قرن ۱۰ یا ۱۱؛ با سر لوح های زرین؛ کاغذ: اصفهانی نازک، ۲گ (۱۰۵پ - ۱۰۶)، ۲۴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اندازه: ۲۷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[رشت و همدان: ف: ۱۴۶۹]</w:t>
      </w:r>
    </w:p>
    <w:p>
      <w:pPr>
        <w:pStyle w:val="Heading3"/>
      </w:pPr>
      <w:bookmarkStart w:id="1509" w:name="_Toc769"/>
      <w:r>
        <w:t>• پاسخ ابوالسعود چلبی / عرفان و تصوف / فارسی</w:t>
      </w:r>
      <w:bookmarkEnd w:id="1509"/>
    </w:p>
    <w:p>
      <w:pPr>
        <w:pStyle w:val="BookText"/>
      </w:pPr>
      <w:r>
        <w:rPr>
          <w:rFonts w:ascii="Times New Roman" w:hAnsi="Times New Roman" w:eastAsia="Times New Roman" w:cs="Times New Roman"/>
          <w:lang w:val="en-US" w:bidi="en-US"/>
          <w:color w:val="111111"/>
          <w:sz w:val="28"/>
          <w:szCs w:val="28"/>
          <w:rtl/>
        </w:rPr>
        <w:t xml:space="preserve">pāsox-e ab-os-soʻūd-e čalabī</w:t>
      </w:r>
    </w:p>
    <w:p>
      <w:pPr>
        <w:pStyle w:val="BookText"/>
      </w:pPr>
      <w:r>
        <w:rPr>
          <w:rFonts w:ascii="IRNazanin" w:hAnsi="IRNazanin" w:eastAsia="IRNazanin" w:cs="IRNazanin"/>
          <w:lang w:bidi="fa-IR"/>
          <w:color w:val="111111"/>
          <w:sz w:val="28"/>
          <w:szCs w:val="28"/>
          <w:rtl/>
        </w:rPr>
        <w:t xml:space="preserve">چلبی، ابو السعود، ق۱۰ قمری</w:t>
      </w:r>
    </w:p>
    <w:p>
      <w:pPr>
        <w:pStyle w:val="BookText"/>
      </w:pPr>
      <w:r>
        <w:rPr>
          <w:rFonts w:ascii="Times New Roman" w:hAnsi="Times New Roman" w:eastAsia="Times New Roman" w:cs="Times New Roman"/>
          <w:lang w:val="en-US" w:bidi="en-US"/>
          <w:color w:val="111111"/>
          <w:sz w:val="28"/>
          <w:szCs w:val="28"/>
          <w:rtl/>
        </w:rPr>
        <w:t xml:space="preserve">čalabī , ab-os-soʻūd (- 16c)</w:t>
      </w:r>
    </w:p>
    <w:p>
      <w:pPr>
        <w:pStyle w:val="BookText"/>
      </w:pPr>
      <w:r>
        <w:rPr>
          <w:rFonts w:ascii="IRNazanin" w:hAnsi="IRNazanin" w:eastAsia="IRNazanin" w:cs="IRNazanin"/>
          <w:lang w:bidi="fa-IR"/>
          <w:color w:val="111111"/>
          <w:sz w:val="28"/>
          <w:szCs w:val="28"/>
          <w:rtl/>
        </w:rPr>
        <w:t xml:space="preserve">درباره اهل طریقت و تعریف شریعت در زمان سلطان مرادخان در ۹۸۶.</w:t>
      </w:r>
    </w:p>
    <w:p>
      <w:pPr>
        <w:pStyle w:val="BookText"/>
      </w:pPr>
      <w:r>
        <w:rPr>
          <w:rFonts w:ascii="IRNazanin" w:hAnsi="IRNazanin" w:eastAsia="IRNazanin" w:cs="IRNazanin"/>
          <w:lang w:bidi="fa-IR"/>
          <w:color w:val="111111"/>
          <w:sz w:val="28"/>
          <w:szCs w:val="28"/>
          <w:rtl/>
        </w:rPr>
        <w:t xml:space="preserve">تهران؛ دانشگاه؛ شماره نسخه: ۳۷۷۴/۱۱ -ف و ۳۷۷۳/۱۱ -ف</w:t>
      </w:r>
    </w:p>
    <w:p>
      <w:pPr>
        <w:pStyle w:val="BookText"/>
      </w:pPr>
      <w:r>
        <w:rPr>
          <w:rFonts w:ascii="IRNazanin" w:hAnsi="IRNazanin" w:eastAsia="IRNazanin" w:cs="IRNazanin"/>
          <w:lang w:bidi="fa-IR"/>
          <w:color w:val="111111"/>
          <w:sz w:val="28"/>
          <w:szCs w:val="28"/>
          <w:rtl/>
        </w:rPr>
        <w:t xml:space="preserve">نسخه اصل: پاریس . ۱۷۶۹</w:t>
      </w:r>
      <w:r>
        <w:rPr>
          <w:rFonts w:ascii="Times New Roman" w:hAnsi="Times New Roman" w:eastAsia="Times New Roman" w:cs="Times New Roman"/>
          <w:lang w:val="en-US" w:bidi="en-US"/>
          <w:color w:val="111111"/>
          <w:sz w:val="28"/>
          <w:szCs w:val="28"/>
          <w:rtl/>
        </w:rPr>
        <w:t xml:space="preserve">S. P (</w:t>
      </w:r>
      <w:r>
        <w:rPr>
          <w:rFonts w:ascii="IRNazanin" w:hAnsi="IRNazanin" w:eastAsia="IRNazanin" w:cs="IRNazanin"/>
          <w:lang w:bidi="fa-IR"/>
          <w:color w:val="111111"/>
          <w:sz w:val="28"/>
          <w:szCs w:val="28"/>
          <w:rtl/>
        </w:rPr>
        <w:t xml:space="preserve">بلوشه ۱۰۶/۴ ش ۲۱۴۹).</w:t>
      </w:r>
    </w:p>
    <w:p>
      <w:pPr>
        <w:pStyle w:val="BookText"/>
      </w:pPr>
      <w:r>
        <w:rPr>
          <w:rFonts w:ascii="IRNazanin" w:hAnsi="IRNazanin" w:eastAsia="IRNazanin" w:cs="IRNazanin"/>
          <w:lang w:bidi="fa-IR"/>
          <w:color w:val="111111"/>
          <w:sz w:val="28"/>
          <w:szCs w:val="28"/>
          <w:rtl/>
        </w:rPr>
        <w:t xml:space="preserve">خط: نستعلیق، بی کا، تا: ۹۸۶ق [فیلمها ف: ۲-۲۴۷]</w:t>
      </w:r>
    </w:p>
    <w:p>
      <w:pPr>
        <w:pStyle w:val="BookText"/>
      </w:pPr>
      <w:r>
        <w:rPr>
          <w:rFonts w:ascii="IRNazanin" w:hAnsi="IRNazanin" w:eastAsia="IRNazanin" w:cs="IRNazanin"/>
          <w:lang w:bidi="fa-IR"/>
          <w:color w:val="111111"/>
          <w:sz w:val="28"/>
          <w:szCs w:val="28"/>
          <w:rtl/>
        </w:rPr>
        <w:t xml:space="preserve">←پاسخ ارسطو به اسکندر← الحدود</w:t>
      </w:r>
    </w:p>
    <w:p>
      <w:pPr>
        <w:pStyle w:val="BookText"/>
      </w:pPr>
      <w:r>
        <w:rPr>
          <w:rFonts w:ascii="IRNazanin" w:hAnsi="IRNazanin" w:eastAsia="IRNazanin" w:cs="IRNazanin"/>
          <w:lang w:bidi="fa-IR"/>
          <w:color w:val="111111"/>
          <w:sz w:val="28"/>
          <w:szCs w:val="28"/>
          <w:rtl/>
        </w:rPr>
        <w:t xml:space="preserve">← پاسخ استرابادی به عاملی ←جواب مسائل ظهیری</w:t>
      </w:r>
    </w:p>
    <w:p>
      <w:pPr>
        <w:pStyle w:val="Heading3"/>
      </w:pPr>
      <w:bookmarkStart w:id="1510" w:name="_Toc770"/>
      <w:r>
        <w:t>• پاسخ استفتاء / فقه / عربی</w:t>
      </w:r>
      <w:bookmarkEnd w:id="1510"/>
    </w:p>
    <w:p>
      <w:pPr>
        <w:pStyle w:val="BookText"/>
      </w:pPr>
      <w:r>
        <w:rPr>
          <w:rFonts w:ascii="Times New Roman" w:hAnsi="Times New Roman" w:eastAsia="Times New Roman" w:cs="Times New Roman"/>
          <w:lang w:val="en-US" w:bidi="en-US"/>
          <w:color w:val="111111"/>
          <w:sz w:val="28"/>
          <w:szCs w:val="28"/>
          <w:rtl/>
        </w:rPr>
        <w:t xml:space="preserve">pāsox-e esteftā</w:t>
      </w:r>
    </w:p>
    <w:p>
      <w:pPr>
        <w:pStyle w:val="BookText"/>
      </w:pPr>
      <w:r>
        <w:rPr>
          <w:rFonts w:ascii="IRNazanin" w:hAnsi="IRNazanin" w:eastAsia="IRNazanin" w:cs="IRNazanin"/>
          <w:lang w:bidi="fa-IR"/>
          <w:color w:val="111111"/>
          <w:sz w:val="28"/>
          <w:szCs w:val="28"/>
          <w:rtl/>
        </w:rPr>
        <w:t xml:space="preserve">دزفولی، محمد طاهر، -۱۳۱۵ قمری</w:t>
      </w:r>
    </w:p>
    <w:p>
      <w:pPr>
        <w:pStyle w:val="BookText"/>
      </w:pPr>
      <w:r>
        <w:rPr>
          <w:rFonts w:ascii="Times New Roman" w:hAnsi="Times New Roman" w:eastAsia="Times New Roman" w:cs="Times New Roman"/>
          <w:lang w:val="en-US" w:bidi="en-US"/>
          <w:color w:val="111111"/>
          <w:sz w:val="28"/>
          <w:szCs w:val="28"/>
          <w:rtl/>
        </w:rPr>
        <w:t xml:space="preserve">dezfūlī, mohammad tāher (- 1898)</w:t>
      </w:r>
    </w:p>
    <w:p>
      <w:pPr>
        <w:pStyle w:val="BookText"/>
      </w:pPr>
      <w:r>
        <w:rPr>
          <w:rFonts w:ascii="IRNazanin" w:hAnsi="IRNazanin" w:eastAsia="IRNazanin" w:cs="IRNazanin"/>
          <w:lang w:bidi="fa-IR"/>
          <w:color w:val="111111"/>
          <w:sz w:val="28"/>
          <w:szCs w:val="28"/>
          <w:rtl/>
        </w:rPr>
        <w:t xml:space="preserve">تهران؛ مجلس؛ شماره نسخه: ۱۲۴۵/۲</w:t>
      </w:r>
    </w:p>
    <w:p>
      <w:pPr>
        <w:pStyle w:val="BookText"/>
      </w:pPr>
      <w:r>
        <w:rPr>
          <w:rFonts w:ascii="Amiri" w:hAnsi="Amiri" w:eastAsia="Amiri" w:cs="Amiri"/>
          <w:lang w:bidi="ar-SA"/>
          <w:color w:val="111111"/>
          <w:sz w:val="28"/>
          <w:szCs w:val="28"/>
          <w:rtl/>
        </w:rPr>
        <w:t xml:space="preserve">آغاز: مسئلة استفتاها بعض طلب العلوم من جناب استاذن الاكرم ... الشيخ محمد طاهر صوره السئوال ما يقول العلماء رضوان الله عليهم في المسافر ... هل له الخروج في اول العشرات؛ انجام: اذ لا اقامة بعد الوصول ولا قصد مع الذهول ولكن بعد في ذلك للنظر</w:t>
      </w:r>
    </w:p>
    <w:p>
      <w:pPr>
        <w:pStyle w:val="BookText"/>
      </w:pPr>
      <w:r>
        <w:rPr>
          <w:rFonts w:ascii="Amiri" w:hAnsi="Amiri" w:eastAsia="Amiri" w:cs="Amiri"/>
          <w:lang w:bidi="ar-SA"/>
          <w:color w:val="111111"/>
          <w:sz w:val="28"/>
          <w:szCs w:val="28"/>
          <w:rtl/>
        </w:rPr>
        <w:t xml:space="preserve">مجال وللشعر مقال والله العالم بحقايق الاحوال</w:t>
      </w:r>
    </w:p>
    <w:p>
      <w:pPr>
        <w:pStyle w:val="BookText"/>
      </w:pPr>
      <w:r>
        <w:rPr>
          <w:rFonts w:ascii="IRNazanin" w:hAnsi="IRNazanin" w:eastAsia="IRNazanin" w:cs="IRNazanin"/>
          <w:lang w:bidi="fa-IR"/>
          <w:color w:val="111111"/>
          <w:sz w:val="28"/>
          <w:szCs w:val="28"/>
          <w:rtl/>
        </w:rPr>
        <w:t xml:space="preserve">بی کا، بی تا؛ ۲ص (۳۴-۳۵) [سنا: ف: ۲-۱۸۰]</w:t>
      </w:r>
    </w:p>
    <w:p>
      <w:pPr>
        <w:pStyle w:val="Heading3"/>
      </w:pPr>
      <w:bookmarkStart w:id="1511" w:name="_Toc771"/>
      <w:r>
        <w:t>•پاسخ امیر المومنین علی (علیه السلام) به این سوال: کیف دفعكم عن هذا المقام / حديث / عربی</w:t>
      </w:r>
      <w:bookmarkEnd w:id="1511"/>
    </w:p>
    <w:p>
      <w:pPr>
        <w:pStyle w:val="BookText"/>
      </w:pPr>
      <w:r>
        <w:rPr>
          <w:rFonts w:ascii="Times New Roman" w:hAnsi="Times New Roman" w:eastAsia="Times New Roman" w:cs="Times New Roman"/>
          <w:lang w:val="en-US" w:bidi="en-US"/>
          <w:color w:val="111111"/>
          <w:sz w:val="28"/>
          <w:szCs w:val="28"/>
          <w:rtl/>
        </w:rPr>
        <w:t xml:space="preserve">pāsox-e amīr-al-moʻmenīn 'alī be in soāl: kayfa dafa'a kum ‘an hāda-l maqām</w:t>
      </w:r>
    </w:p>
    <w:p>
      <w:pPr>
        <w:pStyle w:val="BookText"/>
      </w:pPr>
      <w:r>
        <w:rPr>
          <w:rFonts w:ascii="IRNazanin" w:hAnsi="IRNazanin" w:eastAsia="IRNazanin" w:cs="IRNazanin"/>
          <w:lang w:bidi="fa-IR"/>
          <w:color w:val="111111"/>
          <w:sz w:val="28"/>
          <w:szCs w:val="28"/>
          <w:rtl/>
        </w:rPr>
        <w:t xml:space="preserve">نقل از شرح ابن ابی الحدید در شرح این قطعه از نهج البلاغه «و من كلام له لبعض اصحابه و قد سئله كيف دفعكم عن هذا المقام و قد كنتم احق بها». در این بخش زوجات و فرزندان آن حضرت را به شرح یاد می کند.</w:t>
      </w:r>
    </w:p>
    <w:p>
      <w:pPr>
        <w:pStyle w:val="BookText"/>
      </w:pPr>
      <w:r>
        <w:rPr>
          <w:rFonts w:ascii="IRNazanin" w:hAnsi="IRNazanin" w:eastAsia="IRNazanin" w:cs="IRNazanin"/>
          <w:lang w:bidi="fa-IR"/>
          <w:color w:val="111111"/>
          <w:sz w:val="28"/>
          <w:szCs w:val="28"/>
          <w:rtl/>
        </w:rPr>
        <w:t xml:space="preserve">تهران؛ مجلس؛ شماره نسخه: ۱۱۳۱/۳ -طباطبائی</w:t>
      </w:r>
    </w:p>
    <w:p>
      <w:pPr>
        <w:pStyle w:val="BookText"/>
      </w:pPr>
      <w:r>
        <w:rPr>
          <w:rFonts w:ascii="IRNazanin" w:hAnsi="IRNazanin" w:eastAsia="IRNazanin" w:cs="IRNazanin"/>
          <w:lang w:bidi="fa-IR"/>
          <w:color w:val="111111"/>
          <w:sz w:val="28"/>
          <w:szCs w:val="28"/>
          <w:rtl/>
        </w:rPr>
        <w:t xml:space="preserve">بی کا، بی تا، ۲ص (۱۷-۱۸) [ف: ۲۳-۵۷۵]</w:t>
      </w:r>
    </w:p>
    <w:p>
      <w:pPr>
        <w:pStyle w:val="Heading3"/>
      </w:pPr>
      <w:bookmarkStart w:id="1512" w:name="_Toc772"/>
      <w:r>
        <w:t>•پاسخ امین الدین تبریزی / پاسخ پرسش ها / عربی</w:t>
      </w:r>
      <w:bookmarkEnd w:id="1512"/>
    </w:p>
    <w:p>
      <w:pPr>
        <w:pStyle w:val="BookText"/>
      </w:pPr>
      <w:r>
        <w:rPr>
          <w:rFonts w:ascii="Times New Roman" w:hAnsi="Times New Roman" w:eastAsia="Times New Roman" w:cs="Times New Roman"/>
          <w:lang w:val="en-US" w:bidi="en-US"/>
          <w:color w:val="111111"/>
          <w:sz w:val="28"/>
          <w:szCs w:val="28"/>
          <w:rtl/>
        </w:rPr>
        <w:t xml:space="preserve">pāsox-e amīn-od-dīn-e tabrīzī</w:t>
      </w:r>
    </w:p>
    <w:p>
      <w:pPr>
        <w:pStyle w:val="BookText"/>
      </w:pPr>
      <w:r>
        <w:rPr>
          <w:rFonts w:ascii="IRNazanin" w:hAnsi="IRNazanin" w:eastAsia="IRNazanin" w:cs="IRNazanin"/>
          <w:lang w:bidi="fa-IR"/>
          <w:color w:val="111111"/>
          <w:sz w:val="28"/>
          <w:szCs w:val="28"/>
          <w:rtl/>
        </w:rPr>
        <w:t xml:space="preserve">حاج بله تبریزی، امین الدین، - ۷۲۰ قمری</w:t>
      </w:r>
    </w:p>
    <w:p>
      <w:pPr>
        <w:pStyle w:val="BookText"/>
      </w:pPr>
      <w:r>
        <w:rPr>
          <w:rFonts w:ascii="Times New Roman" w:hAnsi="Times New Roman" w:eastAsia="Times New Roman" w:cs="Times New Roman"/>
          <w:lang w:val="en-US" w:bidi="en-US"/>
          <w:color w:val="111111"/>
          <w:sz w:val="28"/>
          <w:szCs w:val="28"/>
          <w:rtl/>
        </w:rPr>
        <w:t xml:space="preserve">hāj bale tabrīzī, amīn-od-dīn (- 1321)</w:t>
      </w:r>
    </w:p>
    <w:p>
      <w:pPr>
        <w:pStyle w:val="BookText"/>
      </w:pPr>
      <w:r>
        <w:rPr>
          <w:rFonts w:ascii="IRNazanin" w:hAnsi="IRNazanin" w:eastAsia="IRNazanin" w:cs="IRNazanin"/>
          <w:lang w:bidi="fa-IR"/>
          <w:color w:val="111111"/>
          <w:sz w:val="28"/>
          <w:szCs w:val="28"/>
          <w:rtl/>
        </w:rPr>
        <w:t xml:space="preserve">پاسخ دیگری است به سؤال عضد الدین ایجی از امین الدین تبریزی.</w:t>
      </w:r>
    </w:p>
    <w:p>
      <w:pPr>
        <w:pStyle w:val="BookText"/>
      </w:pPr>
      <w:r>
        <w:rPr>
          <w:rFonts w:ascii="IRNazanin" w:hAnsi="IRNazanin" w:eastAsia="IRNazanin" w:cs="IRNazanin"/>
          <w:lang w:bidi="fa-IR"/>
          <w:color w:val="111111"/>
          <w:sz w:val="28"/>
          <w:szCs w:val="28"/>
          <w:rtl/>
        </w:rPr>
        <w:t xml:space="preserve">تهران؛ مجلس؛ شماره نسخه: ۱۲۳۱/۴۷ - طباطبائی</w:t>
      </w:r>
    </w:p>
    <w:p>
      <w:pPr>
        <w:pStyle w:val="BookText"/>
      </w:pPr>
      <w:r>
        <w:rPr>
          <w:rFonts w:ascii="IRNazanin" w:hAnsi="IRNazanin" w:eastAsia="IRNazanin" w:cs="IRNazanin"/>
          <w:lang w:bidi="fa-IR"/>
          <w:color w:val="111111"/>
          <w:sz w:val="28"/>
          <w:szCs w:val="28"/>
          <w:rtl/>
        </w:rPr>
        <w:t xml:space="preserve">آغاز: أن قيل ما وجه تخصیص الضمير بالعبد على تقدير تعلق من مثله بفاتوا مع تجویز کونه له و للمنزل على تقدير تعلقه بالسوره قلنا الجواب يقتضي مقدمتين؛ انجام: فيكون القسم الرابع فاسدا على الوجهين و الله اعلم و احكم</w:t>
      </w:r>
    </w:p>
    <w:p>
      <w:pPr>
        <w:pStyle w:val="BookText"/>
      </w:pPr>
      <w:r>
        <w:rPr>
          <w:rFonts w:ascii="IRNazanin" w:hAnsi="IRNazanin" w:eastAsia="IRNazanin" w:cs="IRNazanin"/>
          <w:lang w:bidi="fa-IR"/>
          <w:color w:val="111111"/>
          <w:sz w:val="28"/>
          <w:szCs w:val="28"/>
          <w:rtl/>
        </w:rPr>
        <w:t xml:space="preserve">خط: نسخ، كا: شیخ محمد علی بن محمود تبریز، تا: قرن ۱۱؛ کاغذ: اصفهانی نخودی رنگ، جلد: تیماج قهوه ای تیره، اص (۱۳۰)، قطع: وزیری،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۲۳-۸۳۲]</w:t>
      </w:r>
    </w:p>
    <w:p>
      <w:pPr>
        <w:pStyle w:val="Heading3"/>
      </w:pPr>
      <w:bookmarkStart w:id="1513" w:name="_Toc773"/>
      <w:r>
        <w:t>•پاسخ بدخواهان / فارسی</w:t>
      </w:r>
      <w:bookmarkEnd w:id="1513"/>
    </w:p>
    <w:p>
      <w:pPr>
        <w:pStyle w:val="BookText"/>
      </w:pPr>
      <w:r>
        <w:rPr>
          <w:rFonts w:ascii="Times New Roman" w:hAnsi="Times New Roman" w:eastAsia="Times New Roman" w:cs="Times New Roman"/>
          <w:lang w:val="en-US" w:bidi="en-US"/>
          <w:color w:val="111111"/>
          <w:sz w:val="28"/>
          <w:szCs w:val="28"/>
          <w:rtl/>
        </w:rPr>
        <w:t xml:space="preserve">pāsox-e badxāhān</w:t>
      </w:r>
    </w:p>
    <w:p>
      <w:pPr>
        <w:pStyle w:val="BookText"/>
      </w:pPr>
      <w:r>
        <w:rPr>
          <w:rFonts w:ascii="IRNazanin" w:hAnsi="IRNazanin" w:eastAsia="IRNazanin" w:cs="IRNazanin"/>
          <w:lang w:bidi="fa-IR"/>
          <w:color w:val="111111"/>
          <w:sz w:val="28"/>
          <w:szCs w:val="28"/>
          <w:rtl/>
        </w:rPr>
        <w:t xml:space="preserve">کسروی، احمد، ۱۲۶۹-۱۳۲۴ شمسی</w:t>
      </w:r>
    </w:p>
    <w:p>
      <w:pPr>
        <w:pStyle w:val="BookText"/>
      </w:pPr>
      <w:r>
        <w:rPr>
          <w:rFonts w:ascii="Times New Roman" w:hAnsi="Times New Roman" w:eastAsia="Times New Roman" w:cs="Times New Roman"/>
          <w:lang w:val="en-US" w:bidi="en-US"/>
          <w:color w:val="111111"/>
          <w:sz w:val="28"/>
          <w:szCs w:val="28"/>
          <w:rtl/>
        </w:rPr>
        <w:t xml:space="preserve">kasravī, ahmad (1890-1945)</w:t>
      </w:r>
    </w:p>
    <w:p>
      <w:pPr>
        <w:pStyle w:val="BookText"/>
      </w:pPr>
      <w:r>
        <w:rPr>
          <w:rFonts w:ascii="Amiri" w:hAnsi="Amiri" w:eastAsia="Amiri" w:cs="Amiri"/>
          <w:lang w:bidi="ar-SA"/>
          <w:color w:val="111111"/>
          <w:sz w:val="28"/>
          <w:szCs w:val="28"/>
          <w:rtl/>
        </w:rPr>
        <w:t xml:space="preserve">تاريخ تأليف: ۱۳۲۳</w:t>
      </w:r>
    </w:p>
    <w:p>
      <w:pPr>
        <w:pStyle w:val="BookText"/>
      </w:pPr>
      <w:r>
        <w:rPr>
          <w:rFonts w:ascii="IRNazanin" w:hAnsi="IRNazanin" w:eastAsia="IRNazanin" w:cs="IRNazanin"/>
          <w:lang w:bidi="fa-IR"/>
          <w:color w:val="111111"/>
          <w:sz w:val="28"/>
          <w:szCs w:val="28"/>
          <w:rtl/>
        </w:rPr>
        <w:t xml:space="preserve">تهران؛ دانشگاه؛ شماره نسخه: ۴۷۵۲/۳۰ -۴۷۵۴-ف</w:t>
      </w:r>
    </w:p>
    <w:p>
      <w:pPr>
        <w:pStyle w:val="BookText"/>
      </w:pPr>
      <w:r>
        <w:rPr>
          <w:rFonts w:ascii="IRNazanin" w:hAnsi="IRNazanin" w:eastAsia="IRNazanin" w:cs="IRNazanin"/>
          <w:lang w:bidi="fa-IR"/>
          <w:color w:val="111111"/>
          <w:sz w:val="28"/>
          <w:szCs w:val="28"/>
          <w:rtl/>
        </w:rPr>
        <w:t xml:space="preserve">بی کا، بی تا [فيلمها ف: ۳-۱۰۰]</w:t>
      </w:r>
    </w:p>
    <w:p>
      <w:pPr>
        <w:pStyle w:val="Heading3"/>
      </w:pPr>
      <w:bookmarkStart w:id="1514" w:name="_Toc774"/>
      <w:r>
        <w:t>•پاسخ بعضی اخبار مشكله / كلام و اعتقادات / عربی</w:t>
      </w:r>
      <w:bookmarkEnd w:id="1514"/>
    </w:p>
    <w:p>
      <w:pPr>
        <w:pStyle w:val="BookText"/>
      </w:pPr>
      <w:r>
        <w:rPr>
          <w:rFonts w:ascii="Times New Roman" w:hAnsi="Times New Roman" w:eastAsia="Times New Roman" w:cs="Times New Roman"/>
          <w:lang w:val="en-US" w:bidi="en-US"/>
          <w:color w:val="111111"/>
          <w:sz w:val="28"/>
          <w:szCs w:val="28"/>
          <w:rtl/>
        </w:rPr>
        <w:t xml:space="preserve">pāsox-e baʻzī axbār-e moškele</w:t>
      </w:r>
    </w:p>
    <w:p>
      <w:pPr>
        <w:pStyle w:val="BookText"/>
      </w:pPr>
      <w:r>
        <w:rPr>
          <w:rFonts w:ascii="IRNazanin" w:hAnsi="IRNazanin" w:eastAsia="IRNazanin" w:cs="IRNazanin"/>
          <w:lang w:bidi="fa-IR"/>
          <w:color w:val="111111"/>
          <w:sz w:val="28"/>
          <w:szCs w:val="28"/>
          <w:rtl/>
        </w:rPr>
        <w:t xml:space="preserve">چنین می نمایاند که سؤال کننده برخی از اخبار مشكله ای</w:t>
      </w:r>
    </w:p>
    <w:p>
      <w:pPr>
        <w:pStyle w:val="BookText"/>
      </w:pPr>
      <w:r>
        <w:rPr>
          <w:rFonts w:ascii="IRNazanin" w:hAnsi="IRNazanin" w:eastAsia="IRNazanin" w:cs="IRNazanin"/>
          <w:lang w:bidi="fa-IR"/>
          <w:color w:val="111111"/>
          <w:sz w:val="28"/>
          <w:szCs w:val="28"/>
          <w:rtl/>
        </w:rPr>
        <w:t xml:space="preserve">که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49" w:name="pg20363_209506"/>
    <w:bookmarkEnd w:id="249"/>
    <w:p>
      <w:pPr>
        <w:pStyle w:val="BookText"/>
      </w:pPr>
      <w:r>
        <w:rPr>
          <w:rFonts w:ascii="IRNazanin" w:hAnsi="IRNazanin" w:eastAsia="IRNazanin" w:cs="IRNazanin"/>
          <w:lang w:bidi="fa-IR"/>
          <w:color w:val="111111"/>
          <w:sz w:val="28"/>
          <w:szCs w:val="28"/>
          <w:rtl/>
        </w:rPr>
        <w:t xml:space="preserve">سید کاظم رشتی (-۱۲۵۹ق)، در آثارش آورده ندانسته است و از یکی از شاگردان سید در زمان حیات سید از معنی آنها پرسیده و او جواب داده است. در برگ ششم آمده: «قال سلمه الله ما معنی کلام مولینا جناب الحاج السيد كاظم سلمه الله في رسالة السلوک و الان انت بيده محفوظ المراتب في كل العوالم ... اقول المراد من الدرة البيضاء.»</w:t>
      </w:r>
    </w:p>
    <w:p>
      <w:pPr>
        <w:pStyle w:val="BookText"/>
      </w:pPr>
      <w:r>
        <w:rPr>
          <w:rFonts w:ascii="IRNazanin" w:hAnsi="IRNazanin" w:eastAsia="IRNazanin" w:cs="IRNazanin"/>
          <w:lang w:bidi="fa-IR"/>
          <w:color w:val="111111"/>
          <w:sz w:val="28"/>
          <w:szCs w:val="28"/>
          <w:rtl/>
        </w:rPr>
        <w:t xml:space="preserve">مشهد؛ الهیات؛ شماره نسخه: ۲۲۷۲۹</w:t>
      </w:r>
    </w:p>
    <w:p>
      <w:pPr>
        <w:pStyle w:val="BookText"/>
      </w:pPr>
      <w:r>
        <w:rPr>
          <w:rFonts w:ascii="IRNazanin" w:hAnsi="IRNazanin" w:eastAsia="IRNazanin" w:cs="IRNazanin"/>
          <w:lang w:bidi="fa-IR"/>
          <w:color w:val="111111"/>
          <w:sz w:val="28"/>
          <w:szCs w:val="28"/>
          <w:rtl/>
        </w:rPr>
        <w:t xml:space="preserve">خط: نسخ، بی کا، تا: قرن ۱۳؛ افتادگی: آغاز و انجام؛ کاغذ فرنگی آهار مهره؛ جلد: تیماج عنابی لایه ای، ۳۰گ، ۱۴ سطر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۳-۸۶۴]</w:t>
      </w:r>
    </w:p>
    <w:p>
      <w:pPr>
        <w:pStyle w:val="BookText"/>
      </w:pPr>
      <w:r>
        <w:rPr>
          <w:rFonts w:ascii="IRNazanin" w:hAnsi="IRNazanin" w:eastAsia="IRNazanin" w:cs="IRNazanin"/>
          <w:lang w:bidi="fa-IR"/>
          <w:color w:val="111111"/>
          <w:sz w:val="28"/>
          <w:szCs w:val="28"/>
          <w:rtl/>
        </w:rPr>
        <w:t xml:space="preserve">← پاسخ به اعتراضات ← الاعتقادية</w:t>
      </w:r>
    </w:p>
    <w:p>
      <w:pPr>
        <w:pStyle w:val="BookText"/>
      </w:pPr>
      <w:r>
        <w:rPr>
          <w:rFonts w:ascii="IRNazanin" w:hAnsi="IRNazanin" w:eastAsia="IRNazanin" w:cs="IRNazanin"/>
          <w:lang w:bidi="fa-IR"/>
          <w:color w:val="111111"/>
          <w:sz w:val="28"/>
          <w:szCs w:val="28"/>
          <w:rtl/>
        </w:rPr>
        <w:t xml:space="preserve">← پاسخ به پادری ← اثبات نبوت خاصه</w:t>
      </w:r>
    </w:p>
    <w:p>
      <w:pPr>
        <w:pStyle w:val="Heading3"/>
      </w:pPr>
      <w:bookmarkStart w:id="1515" w:name="_Toc775"/>
      <w:r>
        <w:t>•پاسخ به پاسخ آقای جهاندار عضو حزب توده ایران / حكومت و سیاست / فارسی</w:t>
      </w:r>
      <w:bookmarkEnd w:id="1515"/>
    </w:p>
    <w:p>
      <w:pPr>
        <w:pStyle w:val="BookText"/>
      </w:pPr>
      <w:r>
        <w:rPr>
          <w:rFonts w:ascii="Times New Roman" w:hAnsi="Times New Roman" w:eastAsia="Times New Roman" w:cs="Times New Roman"/>
          <w:lang w:val="en-US" w:bidi="en-US"/>
          <w:color w:val="111111"/>
          <w:sz w:val="28"/>
          <w:szCs w:val="28"/>
          <w:rtl/>
        </w:rPr>
        <w:t xml:space="preserve">pāsox be pāsox-e ādā-ye jahāndār‘ozv-e hezb-e tūde ye īrān</w:t>
      </w:r>
    </w:p>
    <w:p>
      <w:pPr>
        <w:pStyle w:val="BookText"/>
      </w:pPr>
      <w:r>
        <w:rPr>
          <w:rFonts w:ascii="IRNazanin" w:hAnsi="IRNazanin" w:eastAsia="IRNazanin" w:cs="IRNazanin"/>
          <w:lang w:bidi="fa-IR"/>
          <w:color w:val="111111"/>
          <w:sz w:val="28"/>
          <w:szCs w:val="28"/>
          <w:rtl/>
        </w:rPr>
        <w:t xml:space="preserve">آزاد، ق۱۳ قمری</w:t>
      </w:r>
    </w:p>
    <w:p>
      <w:pPr>
        <w:pStyle w:val="BookText"/>
      </w:pPr>
      <w:r>
        <w:rPr>
          <w:rFonts w:ascii="Times New Roman" w:hAnsi="Times New Roman" w:eastAsia="Times New Roman" w:cs="Times New Roman"/>
          <w:lang w:val="en-US" w:bidi="en-US"/>
          <w:color w:val="111111"/>
          <w:sz w:val="28"/>
          <w:szCs w:val="28"/>
          <w:rtl/>
        </w:rPr>
        <w:t xml:space="preserve">azad (- 19c)</w:t>
      </w:r>
    </w:p>
    <w:p>
      <w:pPr>
        <w:pStyle w:val="BookText"/>
      </w:pPr>
      <w:r>
        <w:rPr>
          <w:rFonts w:ascii="IRNazanin" w:hAnsi="IRNazanin" w:eastAsia="IRNazanin" w:cs="IRNazanin"/>
          <w:lang w:bidi="fa-IR"/>
          <w:color w:val="111111"/>
          <w:sz w:val="28"/>
          <w:szCs w:val="28"/>
          <w:rtl/>
        </w:rPr>
        <w:t xml:space="preserve">تهران؛ دانشگاه: شماره نسخه: ۴۷۵۲/۵ -۴۷۵۴-ف</w:t>
      </w:r>
    </w:p>
    <w:p>
      <w:pPr>
        <w:pStyle w:val="BookText"/>
      </w:pPr>
      <w:r>
        <w:rPr>
          <w:rFonts w:ascii="IRNazanin" w:hAnsi="IRNazanin" w:eastAsia="IRNazanin" w:cs="IRNazanin"/>
          <w:lang w:bidi="fa-IR"/>
          <w:color w:val="111111"/>
          <w:sz w:val="28"/>
          <w:szCs w:val="28"/>
          <w:rtl/>
        </w:rPr>
        <w:t xml:space="preserve">بی کا، بی تا [فيلمها ف: ۳-۱۰۲]</w:t>
      </w:r>
    </w:p>
    <w:p>
      <w:pPr>
        <w:pStyle w:val="Heading3"/>
      </w:pPr>
      <w:bookmarkStart w:id="1516" w:name="_Toc776"/>
      <w:r>
        <w:t>• پاسخ به پرسش شیخ شرف الدین قونوی / فلسفه / فارسی</w:t>
      </w:r>
      <w:bookmarkEnd w:id="1516"/>
    </w:p>
    <w:p>
      <w:pPr>
        <w:pStyle w:val="BookText"/>
      </w:pPr>
      <w:r>
        <w:rPr>
          <w:rFonts w:ascii="Times New Roman" w:hAnsi="Times New Roman" w:eastAsia="Times New Roman" w:cs="Times New Roman"/>
          <w:lang w:val="en-US" w:bidi="en-US"/>
          <w:color w:val="111111"/>
          <w:sz w:val="28"/>
          <w:szCs w:val="28"/>
          <w:rtl/>
        </w:rPr>
        <w:t xml:space="preserve">pāsox be porseš-e šeyx šaraf-od-dīn-e qūnavī</w:t>
      </w:r>
    </w:p>
    <w:p>
      <w:pPr>
        <w:pStyle w:val="BookText"/>
      </w:pPr>
      <w:r>
        <w:rPr>
          <w:rFonts w:ascii="IRNazanin" w:hAnsi="IRNazanin" w:eastAsia="IRNazanin" w:cs="IRNazanin"/>
          <w:lang w:bidi="fa-IR"/>
          <w:color w:val="111111"/>
          <w:sz w:val="28"/>
          <w:szCs w:val="28"/>
          <w:rtl/>
        </w:rPr>
        <w:t xml:space="preserve">شیخ صدرالدین</w:t>
      </w:r>
    </w:p>
    <w:p>
      <w:pPr>
        <w:pStyle w:val="BookText"/>
      </w:pPr>
      <w:r>
        <w:rPr>
          <w:rFonts w:ascii="Times New Roman" w:hAnsi="Times New Roman" w:eastAsia="Times New Roman" w:cs="Times New Roman"/>
          <w:lang w:val="en-US" w:bidi="en-US"/>
          <w:color w:val="111111"/>
          <w:sz w:val="28"/>
          <w:szCs w:val="28"/>
          <w:rtl/>
        </w:rPr>
        <w:t xml:space="preserve">šayx sadr-od-dīn</w:t>
      </w:r>
    </w:p>
    <w:p>
      <w:pPr>
        <w:pStyle w:val="BookText"/>
      </w:pPr>
      <w:r>
        <w:rPr>
          <w:rFonts w:ascii="IRNazanin" w:hAnsi="IRNazanin" w:eastAsia="IRNazanin" w:cs="IRNazanin"/>
          <w:lang w:bidi="fa-IR"/>
          <w:color w:val="111111"/>
          <w:sz w:val="28"/>
          <w:szCs w:val="28"/>
          <w:rtl/>
        </w:rPr>
        <w:t xml:space="preserve">پرسش از شیخ شرف الدین قونوی پاسخ از شیخ صدرالدین، درباره اینکه از کجا آمده ایم و به کجا می رویم و ما الحاصل؟</w:t>
      </w:r>
    </w:p>
    <w:p>
      <w:pPr>
        <w:pStyle w:val="BookText"/>
      </w:pPr>
      <w:r>
        <w:rPr>
          <w:rFonts w:ascii="IRNazanin" w:hAnsi="IRNazanin" w:eastAsia="IRNazanin" w:cs="IRNazanin"/>
          <w:lang w:bidi="fa-IR"/>
          <w:color w:val="111111"/>
          <w:sz w:val="28"/>
          <w:szCs w:val="28"/>
          <w:rtl/>
        </w:rPr>
        <w:t xml:space="preserve">آغاز: گویند شیخ شرف الدین قونيوی از شیخ صدر الدین قدس سرهما پرسید که من این الى اين و ما الحاصل في البين یعنی درین که موجودیم اول کجا بودیم انجام: که چنین انتظار استعداد او را نیز باطل کند و امت را محقق و زاد و توشه را نیست گرداند ... و انه ولى الخيرات و مفيض السعادات [فهرستواره منزوی ۹۱/۶]</w:t>
      </w:r>
    </w:p>
    <w:p>
      <w:pPr>
        <w:pStyle w:val="BookText"/>
      </w:pPr>
      <w:r>
        <w:rPr>
          <w:rFonts w:ascii="IRNazanin" w:hAnsi="IRNazanin" w:eastAsia="IRNazanin" w:cs="IRNazanin"/>
          <w:lang w:bidi="fa-IR"/>
          <w:color w:val="111111"/>
          <w:sz w:val="28"/>
          <w:szCs w:val="28"/>
          <w:rtl/>
        </w:rPr>
        <w:t xml:space="preserve">تهران؛ مجلس؛ شماره نسخه: ۴۹۴۲/۳۲</w:t>
      </w:r>
    </w:p>
    <w:p>
      <w:pPr>
        <w:pStyle w:val="BookText"/>
      </w:pPr>
      <w:r>
        <w:rPr>
          <w:rFonts w:ascii="IRNazanin" w:hAnsi="IRNazanin" w:eastAsia="IRNazanin" w:cs="IRNazanin"/>
          <w:lang w:bidi="fa-IR"/>
          <w:color w:val="111111"/>
          <w:sz w:val="28"/>
          <w:szCs w:val="28"/>
          <w:rtl/>
        </w:rPr>
        <w:t xml:space="preserve">آغاز: گویند شیخ شرف الدین قونيوی از شیخ صدرالدین قدس سرهما پرسید که من این الى اين و ما الحاصل في البين یعنی درین که موجودیم اول کجا بودیم؛ انجام: که چنین انتظار استعداد او را نیز باطل کند و امت را محقق و زاد و توشه را نیست گرداند ... و انه ولي الخيرات و مفيض السعادات خط: شکسته نستعلیق چلیپا، بی کا، تا: قرن ۱۱؛ کاغذ: سپاهانی، جلد: تیماج کبود، ۲گ (۹۶-۹۷)، ابعاد متن: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۱۴-۱۸۶]</w:t>
      </w:r>
    </w:p>
    <w:p>
      <w:pPr>
        <w:pStyle w:val="BookText"/>
      </w:pPr>
      <w:r>
        <w:rPr>
          <w:rFonts w:ascii="IRNazanin" w:hAnsi="IRNazanin" w:eastAsia="IRNazanin" w:cs="IRNazanin"/>
          <w:lang w:bidi="fa-IR"/>
          <w:color w:val="111111"/>
          <w:sz w:val="28"/>
          <w:szCs w:val="28"/>
          <w:rtl/>
        </w:rPr>
        <w:t xml:space="preserve">←پاسخ به پرسش عبد الوهاب (نشاط) ← رد صوفیان</w:t>
      </w:r>
    </w:p>
    <w:p>
      <w:pPr>
        <w:pStyle w:val="Heading3"/>
      </w:pPr>
      <w:bookmarkStart w:id="1517" w:name="_Toc777"/>
      <w:r>
        <w:t>•پاسخ به پرسشهای کلامی / کلام و اعتقادات / فارسی</w:t>
      </w:r>
      <w:bookmarkEnd w:id="1517"/>
    </w:p>
    <w:p>
      <w:pPr>
        <w:pStyle w:val="BookText"/>
      </w:pPr>
      <w:r>
        <w:rPr>
          <w:rFonts w:ascii="Times New Roman" w:hAnsi="Times New Roman" w:eastAsia="Times New Roman" w:cs="Times New Roman"/>
          <w:lang w:val="en-US" w:bidi="en-US"/>
          <w:color w:val="111111"/>
          <w:sz w:val="28"/>
          <w:szCs w:val="28"/>
          <w:rtl/>
        </w:rPr>
        <w:t xml:space="preserve">pāsox be porseš-hā-ye kalāmī</w:t>
      </w:r>
    </w:p>
    <w:p>
      <w:pPr>
        <w:pStyle w:val="BookText"/>
      </w:pPr>
      <w:r>
        <w:rPr>
          <w:rFonts w:ascii="IRNazanin" w:hAnsi="IRNazanin" w:eastAsia="IRNazanin" w:cs="IRNazanin"/>
          <w:lang w:bidi="fa-IR"/>
          <w:color w:val="111111"/>
          <w:sz w:val="28"/>
          <w:szCs w:val="28"/>
          <w:rtl/>
        </w:rPr>
        <w:t xml:space="preserve">نوری، علی بن جمشید، ۱۲۴۶ قمری</w:t>
      </w:r>
    </w:p>
    <w:p>
      <w:pPr>
        <w:pStyle w:val="BookText"/>
      </w:pPr>
      <w:r>
        <w:rPr>
          <w:rFonts w:ascii="Times New Roman" w:hAnsi="Times New Roman" w:eastAsia="Times New Roman" w:cs="Times New Roman"/>
          <w:lang w:val="en-US" w:bidi="en-US"/>
          <w:color w:val="111111"/>
          <w:sz w:val="28"/>
          <w:szCs w:val="28"/>
          <w:rtl/>
        </w:rPr>
        <w:t xml:space="preserve">nūrī, ‘alī ebn-e jamšīd (- 1831)</w:t>
      </w:r>
    </w:p>
    <w:p>
      <w:pPr>
        <w:pStyle w:val="BookText"/>
      </w:pPr>
      <w:r>
        <w:rPr>
          <w:rFonts w:ascii="IRNazanin" w:hAnsi="IRNazanin" w:eastAsia="IRNazanin" w:cs="IRNazanin"/>
          <w:lang w:bidi="fa-IR"/>
          <w:color w:val="111111"/>
          <w:sz w:val="28"/>
          <w:szCs w:val="28"/>
          <w:rtl/>
        </w:rPr>
        <w:t xml:space="preserve">پاسخ به ۳۵ پرسش</w:t>
      </w:r>
    </w:p>
    <w:p>
      <w:pPr>
        <w:pStyle w:val="BookText"/>
      </w:pPr>
      <w:r>
        <w:rPr>
          <w:rFonts w:ascii="IRNazanin" w:hAnsi="IRNazanin" w:eastAsia="IRNazanin" w:cs="IRNazanin"/>
          <w:lang w:bidi="fa-IR"/>
          <w:color w:val="111111"/>
          <w:sz w:val="28"/>
          <w:szCs w:val="28"/>
          <w:rtl/>
        </w:rPr>
        <w:t xml:space="preserve">گوناگون است که به مباحث گوناگون کلامی و فلسفی می پردازد. در الذریعه از این رساله با نام های گوناگون یاد کرده در جلد دوم (ص ۸۵) با نام «الاسئلة السلطانية» آمده که پرسش ها را از فتحعلی شاه و پاسخ ها را از حکیم نوری دانسته است؛ در جلد ۵ ص</w:t>
      </w:r>
    </w:p>
    <w:p>
      <w:pPr>
        <w:pStyle w:val="BookText"/>
      </w:pPr>
      <w:r>
        <w:rPr>
          <w:rFonts w:ascii="IRNazanin" w:hAnsi="IRNazanin" w:eastAsia="IRNazanin" w:cs="IRNazanin"/>
          <w:lang w:bidi="fa-IR"/>
          <w:color w:val="111111"/>
          <w:sz w:val="28"/>
          <w:szCs w:val="28"/>
          <w:rtl/>
        </w:rPr>
        <w:t xml:space="preserve">۲۱۰) با عنوان جوابات سلطان آقا محمد خان» که پرسش ها را از آقا محمد خان قاجار فرض نموده است؛ در جلد ۱۲ ص ۲۴۶) با عنوان سؤال و جواب» که در حاشیه کشف الفوائد علامه حلی چاپ شده که تقریبا یک سوم از این نگاشته است. برخی پرسش ها را از میرزای قمی دانسته اند که با توجه به مضمون عامیانه برخی پرسش ها این انتساب بسیار بعید است. پرسش ها عبارت است از : 1. تجرد نفس؛ ۲. جایگاه روح نسبت به بدن؛ ۳. چگونگی ورود حضرت ادریس و عیسی به بهشت با بدن جسمانی یا غیر آن؛ ۴. چگونگی بدن میت و صدق و کذب اخبار میت؛ ۵. فنای بهشت و دوزخ؛ ۶. سبب تسميه حواریون حضرت عیسی؛ 7. حقیقت خواب؛ ۸ خلقت بالفعل بهشت و دوزخ؛ 9. خوردن و آشامیدن و ازدواج بهشتیان؛ ۱۰. مرا از قالب مثالی و .... ۱۱. جبر و اختیار؛ ۱۲. دلیل بر نبوت خاصه در مناظره با نصارا؛ ۱۳. خلقت روح و علم بدان؛ ۱۴. جایگاه بهشت دنیا؛ ۱۵. عذاب قبر؛ ۱۶. صدقه و دعا رافع اجل محتوم است؟؛ 17. ملائکه و بیان ذکوریت و انانیت آنها؛ ۱۸. علت سرخی آسمان و .... ۱۹۰ تجرد روح؛ ۲۰. ارتباط روح و بدن؛ ۲۱. قالب مثالی و پرسش از معراج جسمانی؛ ۲۲. جایگاه بهشت و دوزخ حقیقی؛ ۲۳. چگونگی حضور پیامبر و ائمه در نزد محتضر؛ ۲۴. خلقت روح و تفضيل ائمه بر یکدیگر؛ ۲۵. تاثیر لعن بر اشقیاء و صلوات بر اولیاء؛ ۲۶. شرح فقره ای از دعای کمیل؛ ۲۷. رجعت، سؤال قبر، لوح محفوظ و محو و اثبات؛ ۲۸. قضای الهی؛ ۲۹. علم حق در عالم ذر؛ ۳۰. فوت پیامبران و اولیاء؛ ۳۱. حقیقت خواب و اخبار میت؛ ۳۲. جبر و اختیار؛ ۳۳. پرسش از حدیث قرب نوافل و انتساب تردد به خداوند؛ ۳۴. تأويل ابیاتی از شیخ بهائی و ملای روم؛ ۳۵. علم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50" w:name="pg20363_209507"/>
    <w:bookmarkEnd w:id="250"/>
    <w:p>
      <w:pPr>
        <w:pStyle w:val="BookText"/>
      </w:pPr>
      <w:r>
        <w:rPr>
          <w:rFonts w:ascii="IRNazanin" w:hAnsi="IRNazanin" w:eastAsia="IRNazanin" w:cs="IRNazanin"/>
          <w:lang w:bidi="fa-IR"/>
          <w:color w:val="111111"/>
          <w:sz w:val="28"/>
          <w:szCs w:val="28"/>
          <w:rtl/>
        </w:rPr>
        <w:t xml:space="preserve">امام و تنافی آن با وقوع در تهلکه بویژه در اخبار حضرت رضا و حضرت علی علیه السلام. آغاز: سوال علمای امامیه و فقهای اثنی عشریه رضي الله عنهم چه میفرمایند در این مسئله شرعیه که آیا روح انسانی مجرد است یا مادی برای او فانی شدن هست یا نه اگر بفرمایند مجرد است و فانی نمیشود چه میفرمایند در خصوص آیه شریفه كل شي هالك الاوجه انجام: بحلاوت بچشم زهر که شاهد ساقی است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به ارادت بکشم درد که درمان هم از اوست. تا پا از دائره قسمت سراسر رحمت پر حکمت حق بیرون ننهادیر خودسری و خود رائیکه محض و بال است برزخ خود نگشاده باشند. در دائره قسمت ما نقطه تسلیمیم لطف آنچه تو اندیشی حکم آنچه تو فرمائی. در باب بلا نسبت ببعض لا تلقوا فرمودند و نسبت ببعض دیگر در سارعوا بر رخ تمنای ایشان گشودند در حق او مدح در حق تو ذم و در حق او شهد و در حق تو سم فافهم. رضا بداده بده وز جبین گره بگشا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که بر من و تو در اختیار نگشاد است. مجمل و ملخص سخن اینست که عصمت مانع از ارتکاب معاصی است و السلام</w:t>
      </w:r>
    </w:p>
    <w:p>
      <w:pPr>
        <w:pStyle w:val="BookText"/>
      </w:pPr>
      <w:r>
        <w:rPr>
          <w:rFonts w:ascii="IRNazanin" w:hAnsi="IRNazanin" w:eastAsia="IRNazanin" w:cs="IRNazanin"/>
          <w:lang w:bidi="fa-IR"/>
          <w:color w:val="111111"/>
          <w:sz w:val="28"/>
          <w:szCs w:val="28"/>
          <w:rtl/>
        </w:rPr>
        <w:t xml:space="preserve">چاپ: به کوشش حامد ناجی اصفهانی، در گنجینه بهارستان، حکمت (1) (تهران، کتابخانه مجلس شورای اسلامی: ۱۳۷۹)</w:t>
      </w:r>
    </w:p>
    <w:p>
      <w:pPr>
        <w:pStyle w:val="BookText"/>
      </w:pPr>
      <w:r>
        <w:rPr>
          <w:rFonts w:ascii="IRNazanin" w:hAnsi="IRNazanin" w:eastAsia="IRNazanin" w:cs="IRNazanin"/>
          <w:lang w:bidi="fa-IR"/>
          <w:color w:val="111111"/>
          <w:sz w:val="28"/>
          <w:szCs w:val="28"/>
          <w:rtl/>
        </w:rPr>
        <w:t xml:space="preserve">[دنا ۶۱۸/۲ ؛ فهرستواره منزوی ۹۳/۶ و ۱۶۰/۶ با عنوان «روح» ]</w:t>
      </w:r>
    </w:p>
    <w:p>
      <w:pPr>
        <w:pStyle w:val="BookText"/>
      </w:pPr>
      <w:r>
        <w:rPr>
          <w:rFonts w:ascii="IRNazanin" w:hAnsi="IRNazanin" w:eastAsia="IRNazanin" w:cs="IRNazanin"/>
          <w:lang w:bidi="fa-IR"/>
          <w:color w:val="111111"/>
          <w:sz w:val="28"/>
          <w:szCs w:val="28"/>
          <w:rtl/>
        </w:rPr>
        <w:t xml:space="preserve">۱. قم؛ مرکز احیاء؛ شماره نسخه: ۴۲۱۳/۳</w:t>
      </w:r>
    </w:p>
    <w:p>
      <w:pPr>
        <w:pStyle w:val="BookText"/>
      </w:pPr>
      <w:r>
        <w:rPr>
          <w:rFonts w:ascii="IRNazanin" w:hAnsi="IRNazanin" w:eastAsia="IRNazanin" w:cs="IRNazanin"/>
          <w:lang w:bidi="fa-IR"/>
          <w:color w:val="111111"/>
          <w:sz w:val="28"/>
          <w:szCs w:val="28"/>
          <w:rtl/>
        </w:rPr>
        <w:t xml:space="preserve">آغاز: برابر؛ انجام: و خلافت حضرت رسالت بعد از رحلت آن حضرت منحصر به حضرت علی بن ابی طالب است پس خلافت حقه بلافصل خاصه وحق اوست.</w:t>
      </w:r>
    </w:p>
    <w:p>
      <w:pPr>
        <w:pStyle w:val="BookText"/>
      </w:pPr>
      <w:r>
        <w:rPr>
          <w:rFonts w:ascii="IRNazanin" w:hAnsi="IRNazanin" w:eastAsia="IRNazanin" w:cs="IRNazanin"/>
          <w:lang w:bidi="fa-IR"/>
          <w:color w:val="111111"/>
          <w:sz w:val="28"/>
          <w:szCs w:val="28"/>
          <w:rtl/>
        </w:rPr>
        <w:t xml:space="preserve">نام مؤلف به قرینه آغاز نسخه تعیین شد؛ خط: نستعلیق، كان فضلعلی بن درویش محمد تقی نوری، تا: رمضان ۱۲۱۱ق، جان اصفهان؛ مصحح؛ مهر: کاتب «عبده الراجی فضلعلی» (بیضوی)، العبد المذنب فضلعلی» (مربع)؛ جلد: تیماج قهوه ای بدون مقوا، ۱۹گ (۵۵پ -۷۳ر)، ۱۵ سطر، اندازه: ۱۱/۵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۱۷/۵ سم [محدث ارموی مخ: ۱-۴۳]</w:t>
      </w:r>
    </w:p>
    <w:p>
      <w:pPr>
        <w:pStyle w:val="BookText"/>
      </w:pPr>
      <w:r>
        <w:rPr>
          <w:rFonts w:ascii="IRNazanin" w:hAnsi="IRNazanin" w:eastAsia="IRNazanin" w:cs="IRNazanin"/>
          <w:lang w:bidi="fa-IR"/>
          <w:color w:val="111111"/>
          <w:sz w:val="28"/>
          <w:szCs w:val="28"/>
          <w:rtl/>
        </w:rPr>
        <w:t xml:space="preserve">۲. تهران، دانشگاه؛ شماره نسخه: ۳۷۸۳/۹</w:t>
      </w:r>
    </w:p>
    <w:p>
      <w:pPr>
        <w:pStyle w:val="BookText"/>
      </w:pPr>
      <w:r>
        <w:rPr>
          <w:rFonts w:ascii="IRNazanin" w:hAnsi="IRNazanin" w:eastAsia="IRNazanin" w:cs="IRNazanin"/>
          <w:lang w:bidi="fa-IR"/>
          <w:color w:val="111111"/>
          <w:sz w:val="28"/>
          <w:szCs w:val="28"/>
          <w:rtl/>
        </w:rPr>
        <w:t xml:space="preserve">آغاز: سئوال در احادیث هست که وقت سکرات موت پیغمبر ... و ائمه هدی و جبرئیل ... بنزد میت حاضر میشوند؛ انجام: عصمت مانع از ارتکاب مناهی است و السلام و الاكرام.</w:t>
      </w:r>
    </w:p>
    <w:p>
      <w:pPr>
        <w:pStyle w:val="BookText"/>
      </w:pPr>
      <w:r>
        <w:rPr>
          <w:rFonts w:ascii="IRNazanin" w:hAnsi="IRNazanin" w:eastAsia="IRNazanin" w:cs="IRNazanin"/>
          <w:lang w:bidi="fa-IR"/>
          <w:color w:val="111111"/>
          <w:sz w:val="28"/>
          <w:szCs w:val="28"/>
          <w:rtl/>
        </w:rPr>
        <w:t xml:space="preserve">از سؤال ۲۳ تا آخر؛ خط: نستعلیق، کا: میرزا محمد بن میرزا مهدی نوری، تا: ۱۲۴۳ق؛ کاغذ: فرنگی کبود، جلد: تیماج مشکی، ۳۰ص (۹۳-۱۲۲)، ۱۸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۱۲-۲۷۷۱]</w:t>
      </w:r>
    </w:p>
    <w:p>
      <w:pPr>
        <w:pStyle w:val="BookText"/>
      </w:pPr>
      <w:r>
        <w:rPr>
          <w:rFonts w:ascii="IRNazanin" w:hAnsi="IRNazanin" w:eastAsia="IRNazanin" w:cs="IRNazanin"/>
          <w:lang w:bidi="fa-IR"/>
          <w:color w:val="111111"/>
          <w:sz w:val="28"/>
          <w:szCs w:val="28"/>
          <w:rtl/>
        </w:rPr>
        <w:t xml:space="preserve">٣. یزد؛ وزیری؛ شماره نسخه: ۸۹۹/۱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حاج محمد خلیل فرزند محمد حسین قاینی، تا: ربيع الثانی ۱۲۷۷ق؛ اهدایی: وزیری؛ کاغذ: فرنگی، جلد: مقوایی کاغذ ابری عطف پارچه مشکی، ۲۸گ، ۱۶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۲-۷۴۲]</w:t>
      </w:r>
    </w:p>
    <w:p>
      <w:pPr>
        <w:pStyle w:val="BookText"/>
      </w:pPr>
      <w:r>
        <w:rPr>
          <w:rFonts w:ascii="IRNazanin" w:hAnsi="IRNazanin" w:eastAsia="IRNazanin" w:cs="IRNazanin"/>
          <w:lang w:bidi="fa-IR"/>
          <w:color w:val="111111"/>
          <w:sz w:val="28"/>
          <w:szCs w:val="28"/>
          <w:rtl/>
        </w:rPr>
        <w:t xml:space="preserve">۴. مشهد؛ الهیات؛ شماره نسخه: ۱۹۲۸۳/۱</w:t>
      </w:r>
    </w:p>
    <w:p>
      <w:pPr>
        <w:pStyle w:val="BookText"/>
      </w:pPr>
      <w:r>
        <w:rPr>
          <w:rFonts w:ascii="IRNazanin" w:hAnsi="IRNazanin" w:eastAsia="IRNazanin" w:cs="IRNazanin"/>
          <w:lang w:bidi="fa-IR"/>
          <w:color w:val="111111"/>
          <w:sz w:val="28"/>
          <w:szCs w:val="28"/>
          <w:rtl/>
        </w:rPr>
        <w:t xml:space="preserve">خط: نستعلیق، بی کا، بی تا؛ به طور چلیپا؛ جلد: مشمع مشکی، ۴۷گ، ۱۳ و ۱۴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۲-۳۴۷]</w:t>
      </w:r>
    </w:p>
    <w:p>
      <w:pPr>
        <w:pStyle w:val="BookText"/>
      </w:pPr>
      <w:r>
        <w:rPr>
          <w:rFonts w:ascii="IRNazanin" w:hAnsi="IRNazanin" w:eastAsia="IRNazanin" w:cs="IRNazanin"/>
          <w:lang w:bidi="fa-IR"/>
          <w:color w:val="111111"/>
          <w:sz w:val="28"/>
          <w:szCs w:val="28"/>
          <w:rtl/>
        </w:rPr>
        <w:t xml:space="preserve">۵. قم؛ فیضیه؛ شماره نسخه: ۱۱۴۳/۳</w:t>
      </w:r>
    </w:p>
    <w:p>
      <w:pPr>
        <w:pStyle w:val="BookText"/>
      </w:pPr>
      <w:r>
        <w:rPr>
          <w:rFonts w:ascii="IRNazanin" w:hAnsi="IRNazanin" w:eastAsia="IRNazanin" w:cs="IRNazanin"/>
          <w:lang w:bidi="fa-IR"/>
          <w:color w:val="111111"/>
          <w:sz w:val="28"/>
          <w:szCs w:val="28"/>
          <w:rtl/>
        </w:rPr>
        <w:t xml:space="preserve">آغاز: برابر نام مؤلف به قرینه آغاز نسخه تعیین شد. تا سؤال و جواب دوازدهم؛ بی کا، بی تا؛ ۸گ،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[ف: ۳-۵۹]</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مجلس؛ شماره نسخه: ۱۷۱۹/۱۶</w:t>
      </w:r>
    </w:p>
    <w:p>
      <w:pPr>
        <w:pStyle w:val="BookText"/>
      </w:pPr>
      <w:r>
        <w:rPr>
          <w:rFonts w:ascii="IRNazanin" w:hAnsi="IRNazanin" w:eastAsia="IRNazanin" w:cs="IRNazanin"/>
          <w:lang w:bidi="fa-IR"/>
          <w:color w:val="111111"/>
          <w:sz w:val="28"/>
          <w:szCs w:val="28"/>
          <w:rtl/>
        </w:rPr>
        <w:t xml:space="preserve">آغاز و انجام: برابر خط: نسخ تحریری، بی کا، بی تا، کاغذ: نازک اصفهانی، جلد: تیماج قرمز سیر، ۲۶ص (۳۴۳-۳۶۸)، قطع: خشتی، اندازه: ۱۵/۵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۹-۲۶۲]</w:t>
      </w:r>
    </w:p>
    <w:p>
      <w:pPr>
        <w:pStyle w:val="BookText"/>
      </w:pPr>
      <w:r>
        <w:rPr>
          <w:rFonts w:ascii="IRNazanin" w:hAnsi="IRNazanin" w:eastAsia="IRNazanin" w:cs="IRNazanin"/>
          <w:lang w:bidi="fa-IR"/>
          <w:color w:val="111111"/>
          <w:sz w:val="28"/>
          <w:szCs w:val="28"/>
          <w:rtl/>
        </w:rPr>
        <w:t xml:space="preserve">قم: مرکز احیاء؛ شماره نسخه: ۹۰۹/۱۵</w:t>
      </w:r>
    </w:p>
    <w:p>
      <w:pPr>
        <w:pStyle w:val="BookText"/>
      </w:pPr>
      <w:r>
        <w:rPr>
          <w:rFonts w:ascii="IRNazanin" w:hAnsi="IRNazanin" w:eastAsia="IRNazanin" w:cs="IRNazanin"/>
          <w:lang w:bidi="fa-IR"/>
          <w:color w:val="111111"/>
          <w:sz w:val="28"/>
          <w:szCs w:val="28"/>
          <w:rtl/>
        </w:rPr>
        <w:t xml:space="preserve">آغاز: لک الحمد اللهم ملهم الصواب و علی نبیک الأواب الصلاة المستجاب و السلام المستطاب و على اتباعه من الآل و الاصحاب نسخه اصل: همان نسخه بالا؛ تذکر 1: در فهرست این شماره بازیابی آمده است اما عکس حاضر مطابق با نسخه شمار ۱۷۱۹ مجلس است. تذکر ۲: این نسخه در فهرست که با عنوان «اجوبة المسائل» معرفی شده است در واقع در ابتدای خود رساله دیگری را دارد از جلال الدين دوانی در شرح بیت حافظ «پیر ما گفت خطا ...» و آغازی که فهرست نگار ذکر کرده است آغاز همان رساله دوانی است. لازم به تذکر است این تفکیک در فهرست مجلس (۹: ۲۶۲) که اصل نسخه در آنجا معرفی شده است به درستی انجام شده است.) [عکسی ف: ۳-۱۱۵]</w:t>
      </w:r>
    </w:p>
    <w:p>
      <w:pPr>
        <w:pStyle w:val="BookText"/>
      </w:pPr>
      <w:r>
        <w:rPr>
          <w:rFonts w:ascii="IRNazanin" w:hAnsi="IRNazanin" w:eastAsia="IRNazanin" w:cs="IRNazanin"/>
          <w:lang w:bidi="fa-IR"/>
          <w:color w:val="111111"/>
          <w:sz w:val="28"/>
          <w:szCs w:val="28"/>
          <w:rtl/>
        </w:rPr>
        <w:t xml:space="preserve">۷. تهران، دانشگاه؛ شماره نسخه: ۲۸۷۱/۱</w:t>
      </w:r>
    </w:p>
    <w:p>
      <w:pPr>
        <w:pStyle w:val="BookText"/>
      </w:pPr>
      <w:r>
        <w:rPr>
          <w:rFonts w:ascii="IRNazanin" w:hAnsi="IRNazanin" w:eastAsia="IRNazanin" w:cs="IRNazanin"/>
          <w:lang w:bidi="fa-IR"/>
          <w:color w:val="111111"/>
          <w:sz w:val="28"/>
          <w:szCs w:val="28"/>
          <w:rtl/>
        </w:rPr>
        <w:t xml:space="preserve">آغاز: برابر؛ انجام: ویکفیک لبیان اوصافه لقبه بالنوری (چهاردهم شهر جمادى الثاني يوم الاحدسنة ۱۲۴۷)</w:t>
      </w:r>
    </w:p>
    <w:p>
      <w:pPr>
        <w:pStyle w:val="BookText"/>
      </w:pPr>
      <w:r>
        <w:rPr>
          <w:rFonts w:ascii="IRNazanin" w:hAnsi="IRNazanin" w:eastAsia="IRNazanin" w:cs="IRNazanin"/>
          <w:lang w:bidi="fa-IR"/>
          <w:color w:val="111111"/>
          <w:sz w:val="28"/>
          <w:szCs w:val="28"/>
          <w:rtl/>
        </w:rPr>
        <w:t xml:space="preserve">خط: نستعلیق، کا: محمد محسن بن آقا میرزا محمد حسین پسر میرزا عبدالغنی طبیب کرمانی، بی تا، کاغذ: فرنگی کبود و سفید فرنگی، جلد: تیماج مشکی، ۲۴گ (۲پ -۲۵ر) [ف: ۱۰-۱۷۱۵]</w:t>
      </w:r>
    </w:p>
    <w:p>
      <w:pPr>
        <w:pStyle w:val="Heading3"/>
      </w:pPr>
      <w:bookmarkStart w:id="1518" w:name="_Toc778"/>
      <w:r>
        <w:t>• پاسخ به پرسشهای هراسکانی / فلسفه، اخلاق / فارسی</w:t>
      </w:r>
      <w:bookmarkEnd w:id="1518"/>
    </w:p>
    <w:p>
      <w:pPr>
        <w:pStyle w:val="BookText"/>
      </w:pPr>
      <w:r>
        <w:rPr>
          <w:rFonts w:ascii="Times New Roman" w:hAnsi="Times New Roman" w:eastAsia="Times New Roman" w:cs="Times New Roman"/>
          <w:lang w:val="en-US" w:bidi="en-US"/>
          <w:color w:val="111111"/>
          <w:sz w:val="28"/>
          <w:szCs w:val="28"/>
          <w:rtl/>
        </w:rPr>
        <w:t xml:space="preserve">pāsox be porseš-hā-ye harāskānī</w:t>
      </w:r>
    </w:p>
    <w:p>
      <w:pPr>
        <w:pStyle w:val="BookText"/>
      </w:pPr>
      <w:r>
        <w:rPr>
          <w:rFonts w:ascii="IRNazanin" w:hAnsi="IRNazanin" w:eastAsia="IRNazanin" w:cs="IRNazanin"/>
          <w:lang w:bidi="fa-IR"/>
          <w:color w:val="111111"/>
          <w:sz w:val="28"/>
          <w:szCs w:val="28"/>
          <w:rtl/>
        </w:rPr>
        <w:t xml:space="preserve">بابا افضل کاشانی، محمد بن حسین، -۶۶۷ ؟ قمری</w:t>
      </w:r>
    </w:p>
    <w:p>
      <w:pPr>
        <w:pStyle w:val="BookText"/>
      </w:pPr>
      <w:r>
        <w:rPr>
          <w:rFonts w:ascii="Times New Roman" w:hAnsi="Times New Roman" w:eastAsia="Times New Roman" w:cs="Times New Roman"/>
          <w:lang w:val="en-US" w:bidi="en-US"/>
          <w:color w:val="111111"/>
          <w:sz w:val="28"/>
          <w:szCs w:val="28"/>
          <w:rtl/>
        </w:rPr>
        <w:t xml:space="preserve">bābā afzal-e kāšānī, mohammad ebn-e hoseyn (- 1269)</w:t>
      </w:r>
    </w:p>
    <w:p>
      <w:pPr>
        <w:pStyle w:val="BookText"/>
      </w:pPr>
      <w:r>
        <w:rPr>
          <w:rFonts w:ascii="IRNazanin" w:hAnsi="IRNazanin" w:eastAsia="IRNazanin" w:cs="IRNazanin"/>
          <w:lang w:bidi="fa-IR"/>
          <w:color w:val="111111"/>
          <w:sz w:val="28"/>
          <w:szCs w:val="28"/>
          <w:rtl/>
        </w:rPr>
        <w:t xml:space="preserve">منتخب یا منتخب الدین هر اسکانی که از شاگردان و پیروان بابا افضل کاشانی بوده است چون از استاد دور شده بود یازده پرسش در عرفان و اخلاق از استاد کرد و پاسخ خواست و این باز پسین سخنانی بود که بابا به نگارش در آورد تا اینکه در گذشت و از مرق برای هر اسکانی فرستادند و گفتگوی ۷ و ۸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درباره گفته های غزالی است در کیمیای سعادت که در آنجا آمده که خدا در این جهان دانستنی و در آن جهان دیدنی ولی نه با دیدار این جهانی و همین را مردم نپسندیدند و گوینده را بدکیش خواندند. هر اسکانی از استاد که کیمیای سعادت را گزین نموده بود می خواهد روشنش سازد. در همین جا است که هراسکانی از استاد تفسیر چند آیه و خبری را می خواهد و او می گوید سخنی را که بر زبان من نرفته تفسیر گفتن گزاف است مگر اینکه من آنچه از این سخنان دریافتم بر گویم. (دانش پژوه) آغاز: سؤال: آدمی چون از مادر می زاید طالع او همی گیرند و بران حساب هست و سعد و نحس و رنج و راحت بیرون می آورند انجام: و هر چه از حاجت وقت بر گذشت جمله ناسزا و ناشایست شمر و دران سعی کردن ضایع کردن عمر خود دان. این جوابها آخر سخن خواجه بود. چون به جوار رحمت حق پیوست از مرق به منتجب الدين هراسکانی فرستادند که سائل بود.</w:t>
      </w:r>
    </w:p>
    <w:p>
      <w:pPr>
        <w:pStyle w:val="BookText"/>
      </w:pPr>
      <w:r>
        <w:rPr>
          <w:rFonts w:ascii="IRNazanin" w:hAnsi="IRNazanin" w:eastAsia="IRNazanin" w:cs="IRNazanin"/>
          <w:lang w:bidi="fa-IR"/>
          <w:color w:val="111111"/>
          <w:sz w:val="28"/>
          <w:szCs w:val="28"/>
          <w:rtl/>
        </w:rPr>
        <w:t xml:space="preserve">چاپ: در مصنفات افضل الدین محمد مرقی کاشانی، به تصحیح مجتبی مینوی و یحیی مهدوی (تهران، خوارزمی: ۱۳۶۶ (چاپ دوم) (صص ۷۲۸-۷۱۷)</w:t>
      </w:r>
    </w:p>
    <w:p>
      <w:pPr>
        <w:pStyle w:val="BookText"/>
      </w:pPr>
      <w:r>
        <w:rPr>
          <w:rFonts w:ascii="IRNazanin" w:hAnsi="IRNazanin" w:eastAsia="IRNazanin" w:cs="IRNazanin"/>
          <w:lang w:bidi="fa-IR"/>
          <w:color w:val="111111"/>
          <w:sz w:val="28"/>
          <w:szCs w:val="28"/>
          <w:rtl/>
        </w:rPr>
        <w:t xml:space="preserve">[فهرستواره منزوی ۶: ۹۳]</w:t>
      </w:r>
    </w:p>
    <w:p>
      <w:pPr>
        <w:pStyle w:val="BookText"/>
      </w:pPr>
      <w:r>
        <w:rPr>
          <w:rFonts w:ascii="IRNazanin" w:hAnsi="IRNazanin" w:eastAsia="IRNazanin" w:cs="IRNazanin"/>
          <w:lang w:bidi="fa-IR"/>
          <w:color w:val="111111"/>
          <w:sz w:val="28"/>
          <w:szCs w:val="28"/>
          <w:rtl/>
        </w:rPr>
        <w:t xml:space="preserve">۱. تهران؛ ادبیات، شماره نسخه: ۱۴۵/۱۵</w:t>
      </w:r>
    </w:p>
    <w:p>
      <w:pPr>
        <w:pStyle w:val="BookText"/>
      </w:pPr>
      <w:r>
        <w:rPr>
          <w:rFonts w:ascii="IRNazanin" w:hAnsi="IRNazanin" w:eastAsia="IRNazanin" w:cs="IRNazanin"/>
          <w:lang w:bidi="fa-IR"/>
          <w:color w:val="111111"/>
          <w:sz w:val="28"/>
          <w:szCs w:val="28"/>
          <w:rtl/>
        </w:rPr>
        <w:t xml:space="preserve">حکمت خط: نسخ، بی کا، تا: قرن ۹ و ۱۰؛ جلد: تیماج مشکی یک لا، قطع: وزیری [ف: ۲-۴۳]</w:t>
      </w:r>
    </w:p>
    <w:p>
      <w:pPr>
        <w:pStyle w:val="BookText"/>
      </w:pPr>
      <w:r>
        <w:rPr>
          <w:rFonts w:ascii="IRNazanin" w:hAnsi="IRNazanin" w:eastAsia="IRNazanin" w:cs="IRNazanin"/>
          <w:lang w:bidi="fa-IR"/>
          <w:color w:val="111111"/>
          <w:sz w:val="28"/>
          <w:szCs w:val="28"/>
          <w:rtl/>
        </w:rPr>
        <w:t xml:space="preserve">۲. تهران: مجلس؛ شماره نسخه: ۳۴۵۶/۸</w:t>
      </w:r>
    </w:p>
    <w:p>
      <w:pPr>
        <w:pStyle w:val="BookText"/>
      </w:pPr>
      <w:r>
        <w:rPr>
          <w:rFonts w:ascii="IRNazanin" w:hAnsi="IRNazanin" w:eastAsia="IRNazanin" w:cs="IRNazanin"/>
          <w:lang w:bidi="fa-IR"/>
          <w:color w:val="111111"/>
          <w:sz w:val="28"/>
          <w:szCs w:val="28"/>
          <w:rtl/>
        </w:rPr>
        <w:t xml:space="preserve">آغاز: منتخب اشکالی چند که ازو شخصی سئوال کرد و او جواب آنها نوشت و این سخنهای اخر سخن او بود تا بجوار ایزدی پیوست. سؤال نماید؛ انجام: جواب به سؤال ۳: همچنین نفس بهیمی و سبعی تا سحر نفس انسانی باشد نباشد و هیچ سبع بد بیند مردم بهيمه طبع و سبع خواهد بود.</w:t>
      </w:r>
    </w:p>
    <w:p>
      <w:pPr>
        <w:pStyle w:val="BookText"/>
      </w:pPr>
      <w:r>
        <w:rPr>
          <w:rFonts w:ascii="IRNazanin" w:hAnsi="IRNazanin" w:eastAsia="IRNazanin" w:cs="IRNazanin"/>
          <w:lang w:bidi="fa-IR"/>
          <w:color w:val="111111"/>
          <w:sz w:val="28"/>
          <w:szCs w:val="28"/>
          <w:rtl/>
        </w:rPr>
        <w:t xml:space="preserve">پس از سؤال سه در دفتر حاضر سؤال ۱۰ و با نسخه چاپی متفاوت است. اینک آغاز سؤال ۱۰ (که در این دفتر شماره ۴ هست): رقعه از آن او دعاگوی مولانا روز و شب مرید و هواخواه است اما عاجز و بیخبر بازمانده است از آنکه هوی بر خرد مستولی شد و پای ... سؤال آخر در این دفتر همان هفتم مجموعه مصنفات است در معنی روح؛ انجام سؤال ۷: تلك أمة قد خلت لها ما كسبت و لكم ما كسبتم و لاتسالون عما كانوا يعملون</w:t>
      </w:r>
    </w:p>
    <w:p>
      <w:pPr>
        <w:pStyle w:val="BookText"/>
      </w:pPr>
      <w:r>
        <w:rPr>
          <w:rFonts w:ascii="IRNazanin" w:hAnsi="IRNazanin" w:eastAsia="IRNazanin" w:cs="IRNazanin"/>
          <w:lang w:bidi="fa-IR"/>
          <w:color w:val="111111"/>
          <w:sz w:val="28"/>
          <w:szCs w:val="28"/>
          <w:rtl/>
        </w:rPr>
        <w:t xml:space="preserve">بی کا، تا: قرن ۱۰؛ کاغذ: سمرقندی نباتی رنگ، جلد: مقوایی آبی رنگ با عطف گالینگور قهوه ای و گوشه های مشکی، ۱۵ص ( ۱۸۹-۱۷۵ )، قطع: نیم خشتی،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۱۰-۱۳۸۸]</w:t>
      </w:r>
    </w:p>
    <w:p>
      <w:pPr>
        <w:pStyle w:val="BookText"/>
      </w:pPr>
      <w:r>
        <w:rPr>
          <w:rFonts w:ascii="IRNazanin" w:hAnsi="IRNazanin" w:eastAsia="IRNazanin" w:cs="IRNazanin"/>
          <w:lang w:bidi="fa-IR"/>
          <w:color w:val="111111"/>
          <w:sz w:val="28"/>
          <w:szCs w:val="28"/>
          <w:rtl/>
        </w:rPr>
        <w:t xml:space="preserve">٣. تهران؛ مجلس؛ شماره نسخه: ۳۹۸۲/۱۳</w:t>
      </w:r>
    </w:p>
    <w:p>
      <w:pPr>
        <w:pStyle w:val="BookText"/>
      </w:pPr>
      <w:r>
        <w:rPr>
          <w:rFonts w:ascii="IRNazanin" w:hAnsi="IRNazanin" w:eastAsia="IRNazanin" w:cs="IRNazanin"/>
          <w:lang w:bidi="fa-IR"/>
          <w:color w:val="111111"/>
          <w:sz w:val="28"/>
          <w:szCs w:val="28"/>
          <w:rtl/>
        </w:rPr>
        <w:t xml:space="preserve">خط: نسخ، بی کا، تا: قرن ۱۱؛ با نسخه چاپ شده در مجموعه مصنفات اختلافات بسیار دارد؛ کاغذ: اصفهان شکری آهار مهره، پاسخ به پرسشها ۳۸۱ جلد: تیماج قرمز، ۲۱ص (۲۹۱-۳۱۱)، ۱۶ سطر، قطع: رقعی،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سم [ف: ۱۰-۲۱۴۶]</w:t>
      </w:r>
    </w:p>
    <w:p>
      <w:pPr>
        <w:pStyle w:val="BookText"/>
      </w:pPr>
      <w:r>
        <w:rPr>
          <w:rFonts w:ascii="IRNazanin" w:hAnsi="IRNazanin" w:eastAsia="IRNazanin" w:cs="IRNazanin"/>
          <w:lang w:bidi="fa-IR"/>
          <w:color w:val="111111"/>
          <w:sz w:val="28"/>
          <w:szCs w:val="28"/>
          <w:rtl/>
        </w:rPr>
        <w:t xml:space="preserve">۴. تهران، ملک؛ شماره نسخه: ۴۱۹۱/۱۸</w:t>
      </w:r>
    </w:p>
    <w:p>
      <w:pPr>
        <w:pStyle w:val="BookText"/>
      </w:pPr>
      <w:r>
        <w:rPr>
          <w:rFonts w:ascii="IRNazanin" w:hAnsi="IRNazanin" w:eastAsia="IRNazanin" w:cs="IRNazanin"/>
          <w:lang w:bidi="fa-IR"/>
          <w:color w:val="111111"/>
          <w:sz w:val="28"/>
          <w:szCs w:val="28"/>
          <w:rtl/>
        </w:rPr>
        <w:t xml:space="preserve">آغاز: برابر؛ انجام: و فایده بار ندهد. تلك أمة قد حلت لها ما کسبت در نسخه هشت پرسش و پاسخ دیده شد؛ خط: نستعلیق، بی کا، تا: قرن ۱۱؛ کاغذ: ترمه، ۶گ (۱۷۳-۱۷۸پ)، ۱۷ سطر، اندازه: ۱۸/۸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۱۰/۶ سم [ف: ۷-۲۴۷]</w:t>
      </w:r>
    </w:p>
    <w:p>
      <w:pPr>
        <w:pStyle w:val="BookText"/>
      </w:pPr>
      <w:r>
        <w:rPr>
          <w:rFonts w:ascii="Amiri" w:hAnsi="Amiri" w:eastAsia="Amiri" w:cs="Amiri"/>
          <w:lang w:bidi="ar-SA"/>
          <w:color w:val="111111"/>
          <w:sz w:val="28"/>
          <w:szCs w:val="28"/>
          <w:rtl/>
        </w:rPr>
        <w:t xml:space="preserve">۵. تهران؛ الهيات؛ شماره نسخه: ۲۴۲/۵۳</w:t>
      </w:r>
    </w:p>
    <w:p>
      <w:pPr>
        <w:pStyle w:val="BookText"/>
      </w:pPr>
      <w:r>
        <w:rPr>
          <w:rFonts w:ascii="IRNazanin" w:hAnsi="IRNazanin" w:eastAsia="IRNazanin" w:cs="IRNazanin"/>
          <w:lang w:bidi="fa-IR"/>
          <w:color w:val="111111"/>
          <w:sz w:val="28"/>
          <w:szCs w:val="28"/>
          <w:rtl/>
        </w:rPr>
        <w:t xml:space="preserve">خط شکسته نستعلیق، بی کا، تا: قرن ۱۱؛ کاغذ: سپاهانی، جلد: تیماج سرخ مقوایی، وگ</w:t>
      </w:r>
    </w:p>
    <w:p>
      <w:pPr>
        <w:pStyle w:val="BookText"/>
      </w:pPr>
      <w:r>
        <w:rPr>
          <w:rFonts w:ascii="IRNazanin" w:hAnsi="IRNazanin" w:eastAsia="IRNazanin" w:cs="IRNazanin"/>
          <w:lang w:bidi="fa-IR"/>
          <w:color w:val="111111"/>
          <w:sz w:val="28"/>
          <w:szCs w:val="28"/>
          <w:rtl/>
        </w:rPr>
        <w:t xml:space="preserve">(۲۲۷-۲۳۵ر)، ۲۴- ۳۳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اندازه: ۱۷/۵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۱۴۷]</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دانشگاه؛ شماره نسخه: ۲۵۸۱/۶</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کا: شیخ علی بن محمود کاتب، تا: دوشنبه ۲۶ شوال ۱۰۶۲ق، کاغذ: سپاهانی، جلد: تیماج آبی ضربی مقوایی، ۱۸ص (۲۰۹-۲۲۶)، ۱۴ سطر (۵/۵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۱۲/۵ )،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[ف: ۹-۱۳۸۲]</w:t>
      </w:r>
    </w:p>
    <w:p>
      <w:pPr>
        <w:pStyle w:val="BookText"/>
      </w:pPr>
      <w:r>
        <w:rPr>
          <w:rFonts w:ascii="IRNazanin" w:hAnsi="IRNazanin" w:eastAsia="IRNazanin" w:cs="IRNazanin"/>
          <w:lang w:bidi="fa-IR"/>
          <w:color w:val="111111"/>
          <w:sz w:val="28"/>
          <w:szCs w:val="28"/>
          <w:rtl/>
        </w:rPr>
        <w:t xml:space="preserve">۷. تهران؛ مجلس؛ شماره نسخه: ۵۱۸۰/۲۳</w:t>
      </w:r>
    </w:p>
    <w:p>
      <w:pPr>
        <w:pStyle w:val="BookText"/>
      </w:pPr>
      <w:r>
        <w:rPr>
          <w:rFonts w:ascii="IRNazanin" w:hAnsi="IRNazanin" w:eastAsia="IRNazanin" w:cs="IRNazanin"/>
          <w:lang w:bidi="fa-IR"/>
          <w:color w:val="111111"/>
          <w:sz w:val="28"/>
          <w:szCs w:val="28"/>
          <w:rtl/>
        </w:rPr>
        <w:t xml:space="preserve">آغاز: برابر، انجام: و چون خرد غالب شد ارزوهای تن و کام و مراد وی کم شوند و مغلوب کردند تنها ۵ پرسش و پاسخ است؛ خط: نستعلیق، بی کا، تا: ۱۰۶۹ق؛ ۳گ (۲۷۱-۲۷۳) [ف: ۱۵-۳۲۹]</w:t>
      </w:r>
    </w:p>
    <w:p>
      <w:pPr>
        <w:pStyle w:val="BookText"/>
      </w:pPr>
      <w:r>
        <w:rPr>
          <w:rFonts w:ascii="IRNazanin" w:hAnsi="IRNazanin" w:eastAsia="IRNazanin" w:cs="IRNazanin"/>
          <w:lang w:bidi="fa-IR"/>
          <w:color w:val="111111"/>
          <w:sz w:val="28"/>
          <w:szCs w:val="28"/>
          <w:rtl/>
        </w:rPr>
        <w:t xml:space="preserve">۸. تهران، دانشگاه؛ شماره نسخه: ۴۲۸/۲</w:t>
      </w:r>
    </w:p>
    <w:p>
      <w:pPr>
        <w:pStyle w:val="BookText"/>
      </w:pPr>
      <w:r>
        <w:rPr>
          <w:rFonts w:ascii="IRNazanin" w:hAnsi="IRNazanin" w:eastAsia="IRNazanin" w:cs="IRNazanin"/>
          <w:lang w:bidi="fa-IR"/>
          <w:color w:val="111111"/>
          <w:sz w:val="28"/>
          <w:szCs w:val="28"/>
          <w:rtl/>
        </w:rPr>
        <w:t xml:space="preserve">آغاز: برابر، انجام: و از جهان نام گذشتگان بردن خاصه جز پند و فائده بار ندهد تلك أمة قد خلت ... عما كانوا يعملون</w:t>
      </w:r>
    </w:p>
    <w:p>
      <w:pPr>
        <w:pStyle w:val="BookText"/>
      </w:pPr>
      <w:r>
        <w:rPr>
          <w:rFonts w:ascii="IRNazanin" w:hAnsi="IRNazanin" w:eastAsia="IRNazanin" w:cs="IRNazanin"/>
          <w:lang w:bidi="fa-IR"/>
          <w:color w:val="111111"/>
          <w:sz w:val="28"/>
          <w:szCs w:val="28"/>
          <w:rtl/>
        </w:rPr>
        <w:t xml:space="preserve">خط: شکسته نستعلیق خوش، بی کا، تا: ۱۰۸۳ق؛ کاغذ: سمرقندی، جلد: تیماج زرد ساده، ۴گی (۱۰ب تا ۱۴ب)، ۱۷ سطر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۳-۱۹۲]</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ملی؛ شماره نسخه: ۳۰۳۰/۳</w:t>
      </w:r>
    </w:p>
    <w:p>
      <w:pPr>
        <w:pStyle w:val="BookText"/>
      </w:pPr>
      <w:r>
        <w:rPr>
          <w:rFonts w:ascii="IRNazanin" w:hAnsi="IRNazanin" w:eastAsia="IRNazanin" w:cs="IRNazanin"/>
          <w:lang w:bidi="fa-IR"/>
          <w:color w:val="111111"/>
          <w:sz w:val="28"/>
          <w:szCs w:val="28"/>
          <w:rtl/>
        </w:rPr>
        <w:t xml:space="preserve">آغاز: منتخب اشکالی چند که از او شخصی سوال؛ انجام: چنانکه روشن شده است بر علماء و مردم بگفته بنموده تمام شد سخن در میان خط: نستعلیق، کا: محمد حسین بن امیر محمد قاسم حسینی، تا: ۱۱۵۳ق؛ کاغذ: اصفهانی، جلد: مقوایی، عطف میشن مشکی، عص (۳۸-۴۳)، ۱۶ سطر کامل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 اندازه: ۱۱/۵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۱۶/۵سم [ف: ۶-۸۱۳]</w:t>
      </w:r>
    </w:p>
    <w:p>
      <w:pPr>
        <w:pStyle w:val="BookText"/>
      </w:pPr>
      <w:r>
        <w:rPr>
          <w:rFonts w:ascii="IRNazanin" w:hAnsi="IRNazanin" w:eastAsia="IRNazanin" w:cs="IRNazanin"/>
          <w:lang w:bidi="fa-IR"/>
          <w:color w:val="111111"/>
          <w:sz w:val="28"/>
          <w:szCs w:val="28"/>
          <w:rtl/>
        </w:rPr>
        <w:t xml:space="preserve">۱۰. تهران: حقوق؛ شماره نسخه: ۷۲/۱۰ -ب</w:t>
      </w:r>
    </w:p>
    <w:p>
      <w:pPr>
        <w:pStyle w:val="BookText"/>
      </w:pPr>
      <w:r>
        <w:rPr>
          <w:rFonts w:ascii="IRNazanin" w:hAnsi="IRNazanin" w:eastAsia="IRNazanin" w:cs="IRNazanin"/>
          <w:lang w:bidi="fa-IR"/>
          <w:color w:val="111111"/>
          <w:sz w:val="28"/>
          <w:szCs w:val="28"/>
          <w:rtl/>
        </w:rPr>
        <w:t xml:space="preserve">به ترتیب چاپی نیست؛ خط: نستعلیق، کا: محمد علی بن حاجی ملا عبدالغني تفرشی، تا: ۱۲۹۴ق؛ کاغذ: فرنگی، جلد: تیماج سرخ مقوایی، ۴گ (۱۳۱ر-۱۳۴ر)، ۱۹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w:t>
      </w:r>
    </w:p>
    <w:p>
      <w:pPr>
        <w:pStyle w:val="BookText"/>
      </w:pPr>
      <w:r>
        <w:rPr>
          <w:rFonts w:ascii="IRNazanin" w:hAnsi="IRNazanin" w:eastAsia="IRNazanin" w:cs="IRNazanin"/>
          <w:lang w:bidi="fa-IR"/>
          <w:color w:val="111111"/>
          <w:sz w:val="28"/>
          <w:szCs w:val="28"/>
          <w:rtl/>
        </w:rPr>
        <w:t xml:space="preserve">)،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۲۹/۵سم [ف: ۲۳]</w:t>
      </w:r>
    </w:p>
    <w:p>
      <w:pPr>
        <w:pStyle w:val="BookText"/>
      </w:pPr>
      <w:r>
        <w:rPr>
          <w:rFonts w:ascii="IRNazanin" w:hAnsi="IRNazanin" w:eastAsia="IRNazanin" w:cs="IRNazanin"/>
          <w:lang w:bidi="fa-IR"/>
          <w:color w:val="111111"/>
          <w:sz w:val="28"/>
          <w:szCs w:val="28"/>
          <w:rtl/>
        </w:rPr>
        <w:t xml:space="preserve">۱۱. تهران، دانشگاه؛ شماره نسخه: ۴۳۱/۷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51" w:name="pg20363_209509"/>
    <w:bookmarkEnd w:id="251"/>
    <w:p>
      <w:pPr>
        <w:pStyle w:val="BookText"/>
      </w:pPr>
      <w:r>
        <w:rPr>
          <w:rFonts w:ascii="IRNazanin" w:hAnsi="IRNazanin" w:eastAsia="IRNazanin" w:cs="IRNazanin"/>
          <w:lang w:bidi="fa-IR"/>
          <w:color w:val="111111"/>
          <w:sz w:val="28"/>
          <w:szCs w:val="28"/>
          <w:rtl/>
        </w:rPr>
        <w:t xml:space="preserve">خط: تعليق، كان محمد على، تا: ۱۳۰۲ق، جان تهران، مدرسه سپهسالار تهران؛ کاغذ: فرنگی، جلد: تیماج سرخ ضربی، وگی ( ۱۳۲-۱۲۴ )، ۱۴ سطر (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 اندازه:۱۸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سم [ف: ۱۹۳-۳]</w:t>
      </w:r>
    </w:p>
    <w:p>
      <w:pPr>
        <w:pStyle w:val="BookText"/>
      </w:pPr>
      <w:r>
        <w:rPr>
          <w:rFonts w:ascii="IRNazanin" w:hAnsi="IRNazanin" w:eastAsia="IRNazanin" w:cs="IRNazanin"/>
          <w:lang w:bidi="fa-IR"/>
          <w:color w:val="111111"/>
          <w:sz w:val="28"/>
          <w:szCs w:val="28"/>
          <w:rtl/>
        </w:rPr>
        <w:t xml:space="preserve">۱۲. تهران؛ ملی؛ شماره نسخه: ۲۴۵۴/۶/۱۱</w:t>
      </w:r>
    </w:p>
    <w:p>
      <w:pPr>
        <w:pStyle w:val="BookText"/>
      </w:pPr>
      <w:r>
        <w:rPr>
          <w:rFonts w:ascii="IRNazanin" w:hAnsi="IRNazanin" w:eastAsia="IRNazanin" w:cs="IRNazanin"/>
          <w:lang w:bidi="fa-IR"/>
          <w:color w:val="111111"/>
          <w:sz w:val="28"/>
          <w:szCs w:val="28"/>
          <w:rtl/>
        </w:rPr>
        <w:t xml:space="preserve">خط شکسته نستعلیق، کا: محمد خان، تا: ۱۳۳۳ق، جا: تهران؛ کاغذ: فرنگی، جلد: مقوایی، ۱۶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۵۹۶۵]</w:t>
      </w:r>
    </w:p>
    <w:p>
      <w:pPr>
        <w:pStyle w:val="BookText"/>
      </w:pPr>
      <w:r>
        <w:rPr>
          <w:rFonts w:ascii="IRNazanin" w:hAnsi="IRNazanin" w:eastAsia="IRNazanin" w:cs="IRNazanin"/>
          <w:lang w:bidi="fa-IR"/>
          <w:color w:val="111111"/>
          <w:sz w:val="28"/>
          <w:szCs w:val="28"/>
          <w:rtl/>
        </w:rPr>
        <w:t xml:space="preserve">۱۳. تهران؛ مجلس؛ شماره نسخه: ۵۰۳۱/۲۲</w:t>
      </w:r>
    </w:p>
    <w:p>
      <w:pPr>
        <w:pStyle w:val="BookText"/>
      </w:pPr>
      <w:r>
        <w:rPr>
          <w:rFonts w:ascii="IRNazanin" w:hAnsi="IRNazanin" w:eastAsia="IRNazanin" w:cs="IRNazanin"/>
          <w:lang w:bidi="fa-IR"/>
          <w:color w:val="111111"/>
          <w:sz w:val="28"/>
          <w:szCs w:val="28"/>
          <w:rtl/>
        </w:rPr>
        <w:t xml:space="preserve">آغاز: برابر؛ انجام: لمع المحسنين. این جوابها آخر سخن خواجه بود چون بجوار رحمت حق پیوست از مرق بمنتجب الدین هر اسکانی فرستادند، که سؤال کرده بود.</w:t>
      </w:r>
    </w:p>
    <w:p>
      <w:pPr>
        <w:pStyle w:val="BookText"/>
      </w:pPr>
      <w:r>
        <w:rPr>
          <w:rFonts w:ascii="IRNazanin" w:hAnsi="IRNazanin" w:eastAsia="IRNazanin" w:cs="IRNazanin"/>
          <w:lang w:bidi="fa-IR"/>
          <w:color w:val="111111"/>
          <w:sz w:val="28"/>
          <w:szCs w:val="28"/>
          <w:rtl/>
        </w:rPr>
        <w:t xml:space="preserve">و السلام على اهل السلام خط: نسخ خوب، كا: محمد على متخلص بعبرت نائینی، تا: دوشنبه ۱۳ ذیقعده ۱۳۴۷ق؛ کاغذ: فرنگی، جلد: تیماج مشکی ضربی، ۱۳ص (۶۲-۷۰پ)، ۱۸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۱۴-۳۴۵]</w:t>
      </w:r>
    </w:p>
    <w:p>
      <w:pPr>
        <w:pStyle w:val="BookText"/>
      </w:pPr>
      <w:r>
        <w:rPr>
          <w:rFonts w:ascii="IRNazanin" w:hAnsi="IRNazanin" w:eastAsia="IRNazanin" w:cs="IRNazanin"/>
          <w:lang w:bidi="fa-IR"/>
          <w:color w:val="111111"/>
          <w:sz w:val="28"/>
          <w:szCs w:val="28"/>
          <w:rtl/>
        </w:rPr>
        <w:t xml:space="preserve">۱۴. تهران؛ سپهسالار؛ شماره نسخه: ۲۹۱۲/۲۸</w:t>
      </w:r>
    </w:p>
    <w:p>
      <w:pPr>
        <w:pStyle w:val="BookText"/>
      </w:pPr>
      <w:r>
        <w:rPr>
          <w:rFonts w:ascii="IRNazanin" w:hAnsi="IRNazanin" w:eastAsia="IRNazanin" w:cs="IRNazanin"/>
          <w:lang w:bidi="fa-IR"/>
          <w:color w:val="111111"/>
          <w:sz w:val="28"/>
          <w:szCs w:val="28"/>
          <w:rtl/>
        </w:rPr>
        <w:t xml:space="preserve">آغاز: برابر؛ انجام: از مجاهدت مبارک تر نیست. و الذين جاهدوا ... المحسنين (برابر ص</w:t>
      </w:r>
    </w:p>
    <w:p>
      <w:pPr>
        <w:pStyle w:val="BookText"/>
      </w:pPr>
      <w:r>
        <w:rPr>
          <w:rFonts w:ascii="IRNazanin" w:hAnsi="IRNazanin" w:eastAsia="IRNazanin" w:cs="IRNazanin"/>
          <w:lang w:bidi="fa-IR"/>
          <w:color w:val="111111"/>
          <w:sz w:val="28"/>
          <w:szCs w:val="28"/>
          <w:rtl/>
        </w:rPr>
        <w:t xml:space="preserve">۷۲۱ مصنفات) این جوابها آخر سخن خواهد بود. چون به جوار حق پیوست. از مرق به منتجب الدين هر اسکانی فرستادند که سایل بود (ص ۷۲۸ مصنفات)</w:t>
      </w:r>
    </w:p>
    <w:p>
      <w:pPr>
        <w:pStyle w:val="BookText"/>
      </w:pPr>
      <w:r>
        <w:rPr>
          <w:rFonts w:ascii="IRNazanin" w:hAnsi="IRNazanin" w:eastAsia="IRNazanin" w:cs="IRNazanin"/>
          <w:lang w:bidi="fa-IR"/>
          <w:color w:val="111111"/>
          <w:sz w:val="28"/>
          <w:szCs w:val="28"/>
          <w:rtl/>
        </w:rPr>
        <w:t xml:space="preserve">بی کا، بی تاب ترتیب پرسش و پاسخها در نسخه ما مانند دیگر نسخه ها با چاپی یکی نیست؛ کاغذ: فرنگی سفید، جلد: تیماج حنایی ضربی مقوایی، ۲گ (۱۳۷ر-۱۳۸ پ)، ۳۰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۳-۲۸۴]</w:t>
      </w:r>
    </w:p>
    <w:p>
      <w:pPr>
        <w:pStyle w:val="BookText"/>
      </w:pPr>
      <w:r>
        <w:rPr>
          <w:rFonts w:ascii="IRNazanin" w:hAnsi="IRNazanin" w:eastAsia="IRNazanin" w:cs="IRNazanin"/>
          <w:lang w:bidi="fa-IR"/>
          <w:color w:val="111111"/>
          <w:sz w:val="28"/>
          <w:szCs w:val="28"/>
          <w:rtl/>
        </w:rPr>
        <w:t xml:space="preserve">۱۵. قم؛ مسجد اعظم؛ شماره نسخه: ۲۴/۷</w:t>
      </w:r>
    </w:p>
    <w:p>
      <w:pPr>
        <w:pStyle w:val="BookText"/>
      </w:pPr>
      <w:r>
        <w:rPr>
          <w:rFonts w:ascii="IRNazanin" w:hAnsi="IRNazanin" w:eastAsia="IRNazanin" w:cs="IRNazanin"/>
          <w:lang w:bidi="fa-IR"/>
          <w:color w:val="111111"/>
          <w:sz w:val="28"/>
          <w:szCs w:val="28"/>
          <w:rtl/>
        </w:rPr>
        <w:t xml:space="preserve">آغاز: برابر؛ انجام: و بگریزید و دور شوید از هر چه به خود بد می شناسید که از مجاهده مبارک ترین است قال تعالى و الذين جاهدوا فينا لنهدينهم سبلنا ... و این جوابها آخر سخن خواجه بود چون به جوار حق پیوست</w:t>
      </w:r>
    </w:p>
    <w:p>
      <w:pPr>
        <w:pStyle w:val="BookText"/>
      </w:pPr>
      <w:r>
        <w:rPr>
          <w:rFonts w:ascii="IRNazanin" w:hAnsi="IRNazanin" w:eastAsia="IRNazanin" w:cs="IRNazanin"/>
          <w:lang w:bidi="fa-IR"/>
          <w:color w:val="111111"/>
          <w:sz w:val="28"/>
          <w:szCs w:val="28"/>
          <w:rtl/>
        </w:rPr>
        <w:t xml:space="preserve">خط: نسخ، بی کا، بی تا، جلد: تیماج قهوه ای روشن مجدول عطف تیماج زرشکی مذهب، ۸گ، ۲۷ سطر،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مخ: ۲۹۹-۱]</w:t>
      </w:r>
    </w:p>
    <w:p>
      <w:pPr>
        <w:pStyle w:val="BookText"/>
      </w:pPr>
      <w:r>
        <w:rPr>
          <w:rFonts w:ascii="IRNazanin" w:hAnsi="IRNazanin" w:eastAsia="IRNazanin" w:cs="IRNazanin"/>
          <w:lang w:bidi="fa-IR"/>
          <w:color w:val="111111"/>
          <w:sz w:val="28"/>
          <w:szCs w:val="28"/>
          <w:rtl/>
        </w:rPr>
        <w:t xml:space="preserve">۱۶. تهران، دانشگاه؛ شماره نسخه: ۲۲۶۷/۷/۳</w:t>
      </w:r>
    </w:p>
    <w:p>
      <w:pPr>
        <w:pStyle w:val="BookText"/>
      </w:pPr>
      <w:r>
        <w:rPr>
          <w:rFonts w:ascii="IRNazanin" w:hAnsi="IRNazanin" w:eastAsia="IRNazanin" w:cs="IRNazanin"/>
          <w:lang w:bidi="fa-IR"/>
          <w:color w:val="111111"/>
          <w:sz w:val="28"/>
          <w:szCs w:val="28"/>
          <w:rtl/>
        </w:rPr>
        <w:t xml:space="preserve">بندها در این نامه در مقایسه با چاپی بدین ترتیب آمده است: ۱، ۲، ۹، ۷، ۸، ۵، ۱۰، ۴، خط: نستعلیق، بی کا، بی تا، کاغذ: فرنگی، جلد: تیماج تریاکی گرد، ۴گ (۱۹پ - ۲۲پ)، اندازه:</w:t>
      </w:r>
    </w:p>
    <w:p>
      <w:pPr>
        <w:pStyle w:val="BookText"/>
      </w:pPr>
      <w:r>
        <w:rPr>
          <w:rFonts w:ascii="IRNazanin" w:hAnsi="IRNazanin" w:eastAsia="IRNazanin" w:cs="IRNazanin"/>
          <w:lang w:bidi="fa-IR"/>
          <w:color w:val="111111"/>
          <w:sz w:val="28"/>
          <w:szCs w:val="28"/>
          <w:rtl/>
        </w:rPr>
        <w:t xml:space="preserve">۱۸/۵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۲۸/۵ سم [ف: ۹-۹۱۹]</w:t>
      </w:r>
    </w:p>
    <w:p>
      <w:pPr>
        <w:pStyle w:val="BookText"/>
      </w:pPr>
      <w:r>
        <w:rPr>
          <w:rFonts w:ascii="IRNazanin" w:hAnsi="IRNazanin" w:eastAsia="IRNazanin" w:cs="IRNazanin"/>
          <w:lang w:bidi="fa-IR"/>
          <w:color w:val="111111"/>
          <w:sz w:val="28"/>
          <w:szCs w:val="28"/>
          <w:rtl/>
        </w:rPr>
        <w:t xml:space="preserve">۱۷. تهران؛ مجلس؛ شماره نسخه: ۱۹۱۹/۴</w:t>
      </w:r>
    </w:p>
    <w:p>
      <w:pPr>
        <w:pStyle w:val="BookText"/>
      </w:pPr>
      <w:r>
        <w:rPr>
          <w:rFonts w:ascii="IRNazanin" w:hAnsi="IRNazanin" w:eastAsia="IRNazanin" w:cs="IRNazanin"/>
          <w:lang w:bidi="fa-IR"/>
          <w:color w:val="111111"/>
          <w:sz w:val="28"/>
          <w:szCs w:val="28"/>
          <w:rtl/>
        </w:rPr>
        <w:t xml:space="preserve">آغاز: سئوال چون خواهند که خرد بر هوا مستولی باشد چه عمل باید کرد و بر چه طریق زندگانی باید کرد پیوسته. جواب هوا آرزوی کارهای ناپاینده بود و چون بسیار شوند؛ انجام: و چون خرد غالب شد آرزوهای تن و کام و مراد وی کم و شود و مغلوب گردد.</w:t>
      </w:r>
    </w:p>
    <w:p>
      <w:pPr>
        <w:pStyle w:val="BookText"/>
      </w:pPr>
      <w:r>
        <w:rPr>
          <w:rFonts w:ascii="IRNazanin" w:hAnsi="IRNazanin" w:eastAsia="IRNazanin" w:cs="IRNazanin"/>
          <w:lang w:bidi="fa-IR"/>
          <w:color w:val="111111"/>
          <w:sz w:val="28"/>
          <w:szCs w:val="28"/>
          <w:rtl/>
        </w:rPr>
        <w:t xml:space="preserve">سوال دهم چاپی را دارد؛ بی کا، بی تا؛ کاغذ: اصفهان نخودی، جلد: مقوای مشکی با عطف از کالینگور آبی، اص (۴۰)، چیلپا سطر، قطع: بياضي،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۱۳/۶ سم [ف: ۹-۶۱۸]</w:t>
      </w:r>
    </w:p>
    <w:p>
      <w:pPr>
        <w:pStyle w:val="BookText"/>
      </w:pPr>
      <w:r>
        <w:rPr>
          <w:rFonts w:ascii="IRNazanin" w:hAnsi="IRNazanin" w:eastAsia="IRNazanin" w:cs="IRNazanin"/>
          <w:lang w:bidi="fa-IR"/>
          <w:color w:val="111111"/>
          <w:sz w:val="28"/>
          <w:szCs w:val="28"/>
          <w:rtl/>
        </w:rPr>
        <w:t xml:space="preserve">۱۸. تهران؛ مروی؛ شماره نسخه: ۸۵۱/۱۱</w:t>
      </w:r>
    </w:p>
    <w:p>
      <w:pPr>
        <w:pStyle w:val="BookText"/>
      </w:pPr>
      <w:r>
        <w:rPr>
          <w:rFonts w:ascii="IRNazanin" w:hAnsi="IRNazanin" w:eastAsia="IRNazanin" w:cs="IRNazanin"/>
          <w:lang w:bidi="fa-IR"/>
          <w:color w:val="111111"/>
          <w:sz w:val="28"/>
          <w:szCs w:val="28"/>
          <w:rtl/>
        </w:rPr>
        <w:t xml:space="preserve">بی کا، بی تا؛ قطع: رقعي [ف: ۳۱۵]</w:t>
      </w:r>
    </w:p>
    <w:p>
      <w:pPr>
        <w:pStyle w:val="BookText"/>
      </w:pPr>
      <w:r>
        <w:rPr>
          <w:rFonts w:ascii="IRNazanin" w:hAnsi="IRNazanin" w:eastAsia="IRNazanin" w:cs="IRNazanin"/>
          <w:lang w:bidi="fa-IR"/>
          <w:color w:val="111111"/>
          <w:sz w:val="28"/>
          <w:szCs w:val="28"/>
          <w:rtl/>
        </w:rPr>
        <w:t xml:space="preserve">۱۹. تهران، دانشگاه؛ شماره نسخه: ۳۹۰۳/۱۰</w:t>
      </w:r>
    </w:p>
    <w:p>
      <w:pPr>
        <w:pStyle w:val="BookText"/>
      </w:pPr>
      <w:r>
        <w:rPr>
          <w:rFonts w:ascii="IRNazanin" w:hAnsi="IRNazanin" w:eastAsia="IRNazanin" w:cs="IRNazanin"/>
          <w:lang w:bidi="fa-IR"/>
          <w:color w:val="111111"/>
          <w:sz w:val="28"/>
          <w:szCs w:val="28"/>
          <w:rtl/>
        </w:rPr>
        <w:t xml:space="preserve">تا نیمه پرسش و پاسخ هشتم همان شماره پنجم چاپی در ۱۷۲۱ خط: نسخ خوش، بی کا، بی تا، کاغذ: سپاهانی، جلد: پارچه ترمه ای مقوایی، ۷ص (۲۸-۳۴)، ۱۷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۱۲-۲۸۹۲]</w:t>
      </w:r>
    </w:p>
    <w:p>
      <w:pPr>
        <w:pStyle w:val="BookText"/>
      </w:pPr>
      <w:r>
        <w:rPr>
          <w:rFonts w:ascii="IRNazanin" w:hAnsi="IRNazanin" w:eastAsia="IRNazanin" w:cs="IRNazanin"/>
          <w:lang w:bidi="fa-IR"/>
          <w:color w:val="111111"/>
          <w:sz w:val="28"/>
          <w:szCs w:val="28"/>
          <w:rtl/>
        </w:rPr>
        <w:t xml:space="preserve">۲۰. تهران؛ مجلس؛ شماره نسخه: ۴۸۰۵/۱۱</w:t>
      </w:r>
    </w:p>
    <w:p>
      <w:pPr>
        <w:pStyle w:val="BookText"/>
      </w:pPr>
      <w:r>
        <w:rPr>
          <w:rFonts w:ascii="IRNazanin" w:hAnsi="IRNazanin" w:eastAsia="IRNazanin" w:cs="IRNazanin"/>
          <w:lang w:bidi="fa-IR"/>
          <w:color w:val="111111"/>
          <w:sz w:val="28"/>
          <w:szCs w:val="28"/>
          <w:rtl/>
        </w:rPr>
        <w:t xml:space="preserve">آغاز: برابر؛ انجام و دور شوید از هر چه بخود بد میشناسید ... جوابها از سخن خواجه بود چون بجوار حق پیوست.</w:t>
      </w:r>
    </w:p>
    <w:p>
      <w:pPr>
        <w:pStyle w:val="BookText"/>
      </w:pPr>
      <w:r>
        <w:rPr>
          <w:rFonts w:ascii="IRNazanin" w:hAnsi="IRNazanin" w:eastAsia="IRNazanin" w:cs="IRNazanin"/>
          <w:lang w:bidi="fa-IR"/>
          <w:color w:val="111111"/>
          <w:sz w:val="28"/>
          <w:szCs w:val="28"/>
          <w:rtl/>
        </w:rPr>
        <w:t xml:space="preserve">خط: نسخ، بی کا، بی تا؛ کاغذ: سپاهانی، جلد: تیماج قرمز، ص ( ۴۸-۴۶ )، اندازه: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۱۳-۲۰۷]</w:t>
      </w:r>
    </w:p>
    <w:p>
      <w:pPr>
        <w:pStyle w:val="BookText"/>
      </w:pPr>
      <w:r>
        <w:rPr>
          <w:rFonts w:ascii="IRNazanin" w:hAnsi="IRNazanin" w:eastAsia="IRNazanin" w:cs="IRNazanin"/>
          <w:lang w:bidi="fa-IR"/>
          <w:color w:val="111111"/>
          <w:sz w:val="28"/>
          <w:szCs w:val="28"/>
          <w:rtl/>
        </w:rPr>
        <w:t xml:space="preserve">۲۱. مشهد؛ رضوی؛ شماره نسخه: ۵۹۷۴/۳</w:t>
      </w:r>
    </w:p>
    <w:p>
      <w:pPr>
        <w:pStyle w:val="BookText"/>
      </w:pPr>
      <w:r>
        <w:rPr>
          <w:rFonts w:ascii="IRNazanin" w:hAnsi="IRNazanin" w:eastAsia="IRNazanin" w:cs="IRNazanin"/>
          <w:lang w:bidi="fa-IR"/>
          <w:color w:val="111111"/>
          <w:sz w:val="28"/>
          <w:szCs w:val="28"/>
          <w:rtl/>
        </w:rPr>
        <w:t xml:space="preserve">آغاز: و من مکاتبه کلماتی چند از اقلام مبارک آن خلاصه احباء عصر نو باوه بوستان خرد و اتاه من فضله؛ انجام: ساعات شب روز خویشتن را به مجاهده مستغرق گرداند تا بر جاده که از ازل سوی ابد است مستقیم گرددد انشاء الله تعالى و الذين جاهده اقينا النهدينهم سبلنا و أن الله لمع المحسنين.</w:t>
      </w:r>
    </w:p>
    <w:p>
      <w:pPr>
        <w:pStyle w:val="BookText"/>
      </w:pPr>
      <w:r>
        <w:rPr>
          <w:rFonts w:ascii="IRNazanin" w:hAnsi="IRNazanin" w:eastAsia="IRNazanin" w:cs="IRNazanin"/>
          <w:lang w:bidi="fa-IR"/>
          <w:color w:val="111111"/>
          <w:sz w:val="28"/>
          <w:szCs w:val="28"/>
          <w:rtl/>
        </w:rPr>
        <w:t xml:space="preserve">در مجموعه مختصریست شامل بر تعدادی از افادات بابا افضل کاشانی: ۱- پاسخ به نامه شیخ شمس الدین (به شماره ۵۹۷۴ ثبت شده) ۲- گفتاری در توحید ۳- پرسش و پاسخ از طالع مواليد ۴ باز پرسش و پاسخ از طالع مواليد ۵- پاسخ و پرسش از هوای نفس ۶- در بقاء روح ۷- غلبه بر هوای نفس ۸- گفتاری حکمتی در تقسیم موجودات ۹- گفتاری در نفس. که از شماره سه تا هفت به پاسخ پرسشهای هراسکانی مربوط می شود و شماره نه مربوط به فایده جدائی روح از تن است؛ خط: نستعلیق متوسط، بی کا، بی تا، در فهرست با شماره ۵۹۷۵ آمده است. بطور چلیپا؛ مجدول به طلا و تحریر؛ واقف: نائینی؛ اگ، اندازه: ۴۳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۶-۴۰۴]</w:t>
      </w:r>
    </w:p>
    <w:p>
      <w:pPr>
        <w:pStyle w:val="Heading3"/>
      </w:pPr>
      <w:bookmarkStart w:id="1519" w:name="_Toc779"/>
      <w:r>
        <w:t>•پاسخ به پزشکی / عرفان و تصوف / فارسی</w:t>
      </w:r>
      <w:bookmarkEnd w:id="1519"/>
    </w:p>
    <w:p>
      <w:pPr>
        <w:pStyle w:val="BookText"/>
      </w:pPr>
      <w:r>
        <w:rPr>
          <w:rFonts w:ascii="Times New Roman" w:hAnsi="Times New Roman" w:eastAsia="Times New Roman" w:cs="Times New Roman"/>
          <w:lang w:val="en-US" w:bidi="en-US"/>
          <w:color w:val="111111"/>
          <w:sz w:val="28"/>
          <w:szCs w:val="28"/>
          <w:rtl/>
        </w:rPr>
        <w:t xml:space="preserve">pāsox be pezeškī</w:t>
      </w:r>
    </w:p>
    <w:p>
      <w:pPr>
        <w:pStyle w:val="BookText"/>
      </w:pPr>
      <w:r>
        <w:rPr>
          <w:rFonts w:ascii="IRNazanin" w:hAnsi="IRNazanin" w:eastAsia="IRNazanin" w:cs="IRNazanin"/>
          <w:lang w:bidi="fa-IR"/>
          <w:color w:val="111111"/>
          <w:sz w:val="28"/>
          <w:szCs w:val="28"/>
          <w:rtl/>
        </w:rPr>
        <w:t xml:space="preserve">نوربخش خراسانی، محمد بن محمد، ۷۹۵-۸۶۹ قمری</w:t>
      </w:r>
    </w:p>
    <w:p>
      <w:pPr>
        <w:pStyle w:val="BookText"/>
      </w:pPr>
      <w:r>
        <w:rPr>
          <w:rFonts w:ascii="Times New Roman" w:hAnsi="Times New Roman" w:eastAsia="Times New Roman" w:cs="Times New Roman"/>
          <w:lang w:val="en-US" w:bidi="en-US"/>
          <w:color w:val="111111"/>
          <w:sz w:val="28"/>
          <w:szCs w:val="28"/>
          <w:rtl/>
        </w:rPr>
        <w:t xml:space="preserve">nūrbaxs-e xorāsānī, mohammad ebn-e mohammad (1393-1465)</w:t>
      </w:r>
    </w:p>
    <w:p>
      <w:pPr>
        <w:pStyle w:val="BookText"/>
      </w:pPr>
      <w:r>
        <w:rPr>
          <w:rFonts w:ascii="IRNazanin" w:hAnsi="IRNazanin" w:eastAsia="IRNazanin" w:cs="IRNazanin"/>
          <w:lang w:bidi="fa-IR"/>
          <w:color w:val="111111"/>
          <w:sz w:val="28"/>
          <w:szCs w:val="28"/>
          <w:rtl/>
        </w:rPr>
        <w:t xml:space="preserve">تهران؛ دانشگاه؛ شماره نسخه: ۴۱۳/۲۴ -ف</w:t>
      </w:r>
    </w:p>
    <w:p>
      <w:pPr>
        <w:pStyle w:val="BookText"/>
      </w:pPr>
      <w:r>
        <w:rPr>
          <w:rFonts w:ascii="IRNazanin" w:hAnsi="IRNazanin" w:eastAsia="IRNazanin" w:cs="IRNazanin"/>
          <w:lang w:bidi="fa-IR"/>
          <w:color w:val="111111"/>
          <w:sz w:val="28"/>
          <w:szCs w:val="28"/>
          <w:rtl/>
        </w:rPr>
        <w:t xml:space="preserve">نسخه اصل: ایاصوفيا ش ۴۷۹۵؛ خط: نسخ، بی کا، تا: ۸۵۵ق؛ ۴گ ( ۲۳۳-۲۳۰ )، ۱۴ سطر [فیلمها ف: ۱-۴۱۳]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52" w:name="pg20363_209510"/>
    <w:bookmarkEnd w:id="252"/>
    <w:p>
      <w:pPr>
        <w:pStyle w:val="Heading3"/>
      </w:pPr>
      <w:bookmarkStart w:id="1520" w:name="_Toc780"/>
      <w:r>
        <w:t>•پاسخ به جمعی از افاضل ابهر / فلسفه / فارسی</w:t>
      </w:r>
      <w:bookmarkEnd w:id="1520"/>
    </w:p>
    <w:p>
      <w:pPr>
        <w:pStyle w:val="BookText"/>
      </w:pPr>
      <w:r>
        <w:rPr>
          <w:rFonts w:ascii="Times New Roman" w:hAnsi="Times New Roman" w:eastAsia="Times New Roman" w:cs="Times New Roman"/>
          <w:lang w:val="en-US" w:bidi="en-US"/>
          <w:color w:val="111111"/>
          <w:sz w:val="28"/>
          <w:szCs w:val="28"/>
          <w:rtl/>
        </w:rPr>
        <w:t xml:space="preserve">pāsox be jamʻī az afāzel-e abhar</w:t>
      </w:r>
    </w:p>
    <w:p>
      <w:pPr>
        <w:pStyle w:val="BookText"/>
      </w:pPr>
      <w:r>
        <w:rPr>
          <w:rFonts w:ascii="IRNazanin" w:hAnsi="IRNazanin" w:eastAsia="IRNazanin" w:cs="IRNazanin"/>
          <w:lang w:bidi="fa-IR"/>
          <w:color w:val="111111"/>
          <w:sz w:val="28"/>
          <w:szCs w:val="28"/>
          <w:rtl/>
        </w:rPr>
        <w:t xml:space="preserve">صدرالدین شیرازی، محمد بن ابراهيم، ۹۷۹-۱۰۵۰ قمری</w:t>
      </w:r>
    </w:p>
    <w:p>
      <w:pPr>
        <w:pStyle w:val="BookText"/>
      </w:pPr>
      <w:r>
        <w:rPr>
          <w:rFonts w:ascii="Times New Roman" w:hAnsi="Times New Roman" w:eastAsia="Times New Roman" w:cs="Times New Roman"/>
          <w:lang w:val="en-US" w:bidi="en-US"/>
          <w:color w:val="111111"/>
          <w:sz w:val="28"/>
          <w:szCs w:val="28"/>
          <w:rtl/>
        </w:rPr>
        <w:t xml:space="preserve">sadr-od-dīn-e šīrāzī, mohammad ebn-e ebrāhīm (1572 1641)</w:t>
      </w:r>
    </w:p>
    <w:p>
      <w:pPr>
        <w:pStyle w:val="BookText"/>
      </w:pPr>
      <w:r>
        <w:rPr>
          <w:rFonts w:ascii="IRNazanin" w:hAnsi="IRNazanin" w:eastAsia="IRNazanin" w:cs="IRNazanin"/>
          <w:lang w:bidi="fa-IR"/>
          <w:color w:val="111111"/>
          <w:sz w:val="28"/>
          <w:szCs w:val="28"/>
          <w:rtl/>
        </w:rPr>
        <w:t xml:space="preserve">این رساله ، پاسخی است که ملاصدرا به جمعی از افاضل ابهر در خصوص یک مسئله حکمتی داده است. اصل جواب به عربی است ولی بعد از آن شرحی به فارسی در توضیح مطلب داده شده است.</w:t>
      </w:r>
    </w:p>
    <w:p>
      <w:pPr>
        <w:pStyle w:val="BookText"/>
      </w:pPr>
      <w:r>
        <w:rPr>
          <w:rFonts w:ascii="IRNazanin" w:hAnsi="IRNazanin" w:eastAsia="IRNazanin" w:cs="IRNazanin"/>
          <w:lang w:bidi="fa-IR"/>
          <w:color w:val="111111"/>
          <w:sz w:val="28"/>
          <w:szCs w:val="28"/>
          <w:rtl/>
        </w:rPr>
        <w:t xml:space="preserve">شیراز؛ ملی؛ شماره نسخه: ۵۴-الف/۴۹۲/۲</w:t>
      </w:r>
    </w:p>
    <w:p>
      <w:pPr>
        <w:pStyle w:val="BookText"/>
      </w:pPr>
      <w:r>
        <w:rPr>
          <w:rFonts w:ascii="IRNazanin" w:hAnsi="IRNazanin" w:eastAsia="IRNazanin" w:cs="IRNazanin"/>
          <w:lang w:bidi="fa-IR"/>
          <w:color w:val="111111"/>
          <w:sz w:val="28"/>
          <w:szCs w:val="28"/>
          <w:rtl/>
        </w:rPr>
        <w:t xml:space="preserve">آغاز: بسمله - كتب بعض الأفاضل من سكان الأبهر الی جدی العارف العلامة رفع الله قدره و اعلی مقامه ليسأله عن هذه المسئله؛ انجام: و هو يوم لقاء الله و كان في هذا المعنى ما قاله العارف الشيرازی این جان عاریت که به «حافظ» سپرده دوست. خط: نسخ، بی کا، بی تا؛ جلد: مقوا با تیماج سرخ، ۴ص، ۱۷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۲-۹۰]</w:t>
      </w:r>
    </w:p>
    <w:p>
      <w:pPr>
        <w:pStyle w:val="Heading3"/>
      </w:pPr>
      <w:bookmarkStart w:id="1521" w:name="_Toc781"/>
      <w:r>
        <w:t>• پاسخ به چند سؤال / کلام و اعتقادات / فارسی</w:t>
      </w:r>
      <w:bookmarkEnd w:id="1521"/>
    </w:p>
    <w:p>
      <w:pPr>
        <w:pStyle w:val="BookText"/>
      </w:pPr>
      <w:r>
        <w:rPr>
          <w:rFonts w:ascii="Times New Roman" w:hAnsi="Times New Roman" w:eastAsia="Times New Roman" w:cs="Times New Roman"/>
          <w:lang w:val="en-US" w:bidi="en-US"/>
          <w:color w:val="111111"/>
          <w:sz w:val="28"/>
          <w:szCs w:val="28"/>
          <w:rtl/>
        </w:rPr>
        <w:t xml:space="preserve">pāsox be cand so'āl</w:t>
      </w:r>
    </w:p>
    <w:p>
      <w:pPr>
        <w:pStyle w:val="BookText"/>
      </w:pPr>
      <w:r>
        <w:rPr>
          <w:rFonts w:ascii="IRNazanin" w:hAnsi="IRNazanin" w:eastAsia="IRNazanin" w:cs="IRNazanin"/>
          <w:lang w:bidi="fa-IR"/>
          <w:color w:val="111111"/>
          <w:sz w:val="28"/>
          <w:szCs w:val="28"/>
          <w:rtl/>
        </w:rPr>
        <w:t xml:space="preserve">همدانی شیخی، محمد باقر بن محمد جعفر، ۱۲۳۹ ۱۳۱۹ قمری</w:t>
      </w:r>
    </w:p>
    <w:p>
      <w:pPr>
        <w:pStyle w:val="BookText"/>
      </w:pPr>
      <w:r>
        <w:rPr>
          <w:rFonts w:ascii="Times New Roman" w:hAnsi="Times New Roman" w:eastAsia="Times New Roman" w:cs="Times New Roman"/>
          <w:lang w:val="en-US" w:bidi="en-US"/>
          <w:color w:val="111111"/>
          <w:sz w:val="28"/>
          <w:szCs w:val="28"/>
          <w:rtl/>
        </w:rPr>
        <w:t xml:space="preserve">hamadānī šayxī, mohammad bāqer ebn-e mohammad ja'far (1824-1902)</w:t>
      </w:r>
    </w:p>
    <w:p>
      <w:pPr>
        <w:pStyle w:val="BookText"/>
      </w:pPr>
      <w:r>
        <w:rPr>
          <w:rFonts w:ascii="IRNazanin" w:hAnsi="IRNazanin" w:eastAsia="IRNazanin" w:cs="IRNazanin"/>
          <w:lang w:bidi="fa-IR"/>
          <w:color w:val="111111"/>
          <w:sz w:val="28"/>
          <w:szCs w:val="28"/>
          <w:rtl/>
        </w:rPr>
        <w:t xml:space="preserve">تاریخ تأليف: دوشنبه ۲۳ محرم ۱۲۷۸ق</w:t>
      </w:r>
    </w:p>
    <w:p>
      <w:pPr>
        <w:pStyle w:val="BookText"/>
      </w:pPr>
      <w:r>
        <w:rPr>
          <w:rFonts w:ascii="IRNazanin" w:hAnsi="IRNazanin" w:eastAsia="IRNazanin" w:cs="IRNazanin"/>
          <w:lang w:bidi="fa-IR"/>
          <w:color w:val="111111"/>
          <w:sz w:val="28"/>
          <w:szCs w:val="28"/>
          <w:rtl/>
        </w:rPr>
        <w:t xml:space="preserve">رساله کوتاهی است در پاسخ به چند سؤال اعتقادی از جمله: ۱. معنی اینکه حضرات ائمه علل اربع هستند؛ ۲. معبود حضرات چه چیز است مخاطب در قرائت حضرات ایاک نعبد کیست؛ ۳. ایشان با خداوند عالم متحدند یا مغایر هستند؛ ۴. معرفت امام زمان که از اصول مذهب است چیست مراد از امام زمان؛ ۵. علل اربع مرکب اند یا بسيط.</w:t>
      </w:r>
    </w:p>
    <w:p>
      <w:pPr>
        <w:pStyle w:val="BookText"/>
      </w:pPr>
      <w:r>
        <w:rPr>
          <w:rFonts w:ascii="IRNazanin" w:hAnsi="IRNazanin" w:eastAsia="IRNazanin" w:cs="IRNazanin"/>
          <w:lang w:bidi="fa-IR"/>
          <w:color w:val="111111"/>
          <w:sz w:val="28"/>
          <w:szCs w:val="28"/>
          <w:rtl/>
        </w:rPr>
        <w:t xml:space="preserve">تهران؛ عبدالعظیم؛ شماره نسخه: ۶۰۲/۱۷</w:t>
      </w:r>
    </w:p>
    <w:p>
      <w:pPr>
        <w:pStyle w:val="BookText"/>
      </w:pPr>
      <w:r>
        <w:rPr>
          <w:rFonts w:ascii="IRNazanin" w:hAnsi="IRNazanin" w:eastAsia="IRNazanin" w:cs="IRNazanin"/>
          <w:lang w:bidi="fa-IR"/>
          <w:color w:val="111111"/>
          <w:sz w:val="28"/>
          <w:szCs w:val="28"/>
          <w:rtl/>
        </w:rPr>
        <w:t xml:space="preserve">آغاز: حمدله ... و بعد این چند کلمه ای است در جواب چند مسئله که بعضی سؤال کرده بودند ... سؤال معنی این که حضرات ائمه علل اربع هستند چه چیز است ؟؛ انجام و همچنین در سایر اسباب و مسببات آن ها و ذات مقدس او رطوبت و چربی و گرمی و سایر اسباب و آلات نیست. و السلام علی من اتبع الهدی۔ خط: نسخ، كا: احمد بن أبي القاسم مازندرانی، تا: ۱۲۹۸ق؛ ۶گ، ۱۵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۱-۸۵]</w:t>
      </w:r>
    </w:p>
    <w:p>
      <w:pPr>
        <w:pStyle w:val="Heading3"/>
      </w:pPr>
      <w:bookmarkStart w:id="1522" w:name="_Toc782"/>
      <w:r>
        <w:t>•پاسخ به حاکم لاهیجان / پاسخ پرسش ها</w:t>
      </w:r>
      <w:bookmarkEnd w:id="1522"/>
    </w:p>
    <w:p>
      <w:pPr>
        <w:pStyle w:val="BookText"/>
      </w:pPr>
      <w:r>
        <w:rPr>
          <w:rFonts w:ascii="Times New Roman" w:hAnsi="Times New Roman" w:eastAsia="Times New Roman" w:cs="Times New Roman"/>
          <w:lang w:val="en-US" w:bidi="en-US"/>
          <w:color w:val="111111"/>
          <w:sz w:val="28"/>
          <w:szCs w:val="28"/>
          <w:rtl/>
        </w:rPr>
        <w:t xml:space="preserve">pāsox be hākem-e lāhījān</w:t>
      </w:r>
    </w:p>
    <w:p>
      <w:pPr>
        <w:pStyle w:val="BookText"/>
      </w:pPr>
      <w:r>
        <w:rPr>
          <w:rFonts w:ascii="IRNazanin" w:hAnsi="IRNazanin" w:eastAsia="IRNazanin" w:cs="IRNazanin"/>
          <w:lang w:bidi="fa-IR"/>
          <w:color w:val="111111"/>
          <w:sz w:val="28"/>
          <w:szCs w:val="28"/>
          <w:rtl/>
        </w:rPr>
        <w:t xml:space="preserve">شیخ بهائی، محمد بن حسین، ۹۵۳-۱۰۳۰ قمری</w:t>
      </w:r>
    </w:p>
    <w:p>
      <w:pPr>
        <w:pStyle w:val="BookText"/>
      </w:pPr>
      <w:r>
        <w:rPr>
          <w:rFonts w:ascii="Times New Roman" w:hAnsi="Times New Roman" w:eastAsia="Times New Roman" w:cs="Times New Roman"/>
          <w:lang w:val="en-US" w:bidi="en-US"/>
          <w:color w:val="111111"/>
          <w:sz w:val="28"/>
          <w:szCs w:val="28"/>
          <w:rtl/>
        </w:rPr>
        <w:t xml:space="preserve">šeyx-e bahā'ī, mohammad ebn-e hoseyn (1547-1621)</w:t>
      </w:r>
    </w:p>
    <w:p>
      <w:pPr>
        <w:pStyle w:val="BookText"/>
      </w:pPr>
      <w:r>
        <w:rPr>
          <w:rFonts w:ascii="IRNazanin" w:hAnsi="IRNazanin" w:eastAsia="IRNazanin" w:cs="IRNazanin"/>
          <w:lang w:bidi="fa-IR"/>
          <w:color w:val="111111"/>
          <w:sz w:val="28"/>
          <w:szCs w:val="28"/>
          <w:rtl/>
        </w:rPr>
        <w:t xml:space="preserve">تهران؛ شهشهانی ، حسین؛ شماره نسخه: بدون شماره</w:t>
      </w:r>
    </w:p>
    <w:p>
      <w:pPr>
        <w:pStyle w:val="BookText"/>
      </w:pPr>
      <w:r>
        <w:rPr>
          <w:rFonts w:ascii="IRNazanin" w:hAnsi="IRNazanin" w:eastAsia="IRNazanin" w:cs="IRNazanin"/>
          <w:lang w:bidi="fa-IR"/>
          <w:color w:val="111111"/>
          <w:sz w:val="28"/>
          <w:szCs w:val="28"/>
          <w:rtl/>
        </w:rPr>
        <w:t xml:space="preserve">بی کا، تا: ۱۰۹۸ق [میراث اسلامی: ۵-۶۰۳]</w:t>
      </w:r>
    </w:p>
    <w:p>
      <w:pPr>
        <w:pStyle w:val="Heading3"/>
      </w:pPr>
      <w:bookmarkStart w:id="1523" w:name="_Toc783"/>
      <w:r>
        <w:t>• پاسخ به دو پرسش / پاسخ پرسش ها / فارسی</w:t>
      </w:r>
      <w:bookmarkEnd w:id="1523"/>
    </w:p>
    <w:p>
      <w:pPr>
        <w:pStyle w:val="BookText"/>
      </w:pPr>
      <w:r>
        <w:rPr>
          <w:rFonts w:ascii="Times New Roman" w:hAnsi="Times New Roman" w:eastAsia="Times New Roman" w:cs="Times New Roman"/>
          <w:lang w:val="en-US" w:bidi="en-US"/>
          <w:color w:val="111111"/>
          <w:sz w:val="28"/>
          <w:szCs w:val="28"/>
          <w:rtl/>
        </w:rPr>
        <w:t xml:space="preserve">pāsox be do porseš</w:t>
      </w:r>
    </w:p>
    <w:p>
      <w:pPr>
        <w:pStyle w:val="BookText"/>
      </w:pPr>
      <w:r>
        <w:rPr>
          <w:rFonts w:ascii="IRNazanin" w:hAnsi="IRNazanin" w:eastAsia="IRNazanin" w:cs="IRNazanin"/>
          <w:lang w:bidi="fa-IR"/>
          <w:color w:val="111111"/>
          <w:sz w:val="28"/>
          <w:szCs w:val="28"/>
          <w:rtl/>
        </w:rPr>
        <w:t xml:space="preserve">تهرانی نجفی، هادی بن محمد امین،-۱۳۲۱ قمری</w:t>
      </w:r>
    </w:p>
    <w:p>
      <w:pPr>
        <w:pStyle w:val="BookText"/>
      </w:pPr>
      <w:r>
        <w:rPr>
          <w:rFonts w:ascii="Times New Roman" w:hAnsi="Times New Roman" w:eastAsia="Times New Roman" w:cs="Times New Roman"/>
          <w:lang w:val="en-US" w:bidi="en-US"/>
          <w:color w:val="111111"/>
          <w:sz w:val="28"/>
          <w:szCs w:val="28"/>
          <w:rtl/>
        </w:rPr>
        <w:t xml:space="preserve">tehrānī najafī, hādī ebn-e mohammad amīn (- 1903)</w:t>
      </w:r>
    </w:p>
    <w:p>
      <w:pPr>
        <w:pStyle w:val="BookText"/>
      </w:pPr>
      <w:r>
        <w:rPr>
          <w:rFonts w:ascii="IRNazanin" w:hAnsi="IRNazanin" w:eastAsia="IRNazanin" w:cs="IRNazanin"/>
          <w:lang w:bidi="fa-IR"/>
          <w:color w:val="111111"/>
          <w:sz w:val="28"/>
          <w:szCs w:val="28"/>
          <w:rtl/>
        </w:rPr>
        <w:t xml:space="preserve">پاسخ به دو پرسش است که شخصی درباره دو شبهه از شبهات شیخیه از مؤلف پرسیده و وی آنها را پاسخ گفته است: ۱. المعرفة فرع ادراکی المعروف؛ ۲- کلام کرمانی در ارشاد که امام غائب به کار مردم نمی خورد و احتیاج به امام حي حاضر معصوم دارند.</w:t>
      </w:r>
    </w:p>
    <w:p>
      <w:pPr>
        <w:pStyle w:val="BookText"/>
      </w:pPr>
      <w:r>
        <w:rPr>
          <w:rFonts w:ascii="IRNazanin" w:hAnsi="IRNazanin" w:eastAsia="IRNazanin" w:cs="IRNazanin"/>
          <w:lang w:bidi="fa-IR"/>
          <w:color w:val="111111"/>
          <w:sz w:val="28"/>
          <w:szCs w:val="28"/>
          <w:rtl/>
        </w:rPr>
        <w:t xml:space="preserve">آغاز: حجة الاسلاما ... چه می فرمائید در جواب این دو شبهه که بعضی از اشخاص در ذهن بعضی از عوام مرکوز نموده اند انجام این مجملی است از احوال دشمنان دین و تفصیل را در رساله بیان کردیم</w:t>
      </w:r>
    </w:p>
    <w:p>
      <w:pPr>
        <w:pStyle w:val="BookText"/>
      </w:pPr>
      <w:r>
        <w:rPr>
          <w:rFonts w:ascii="IRNazanin" w:hAnsi="IRNazanin" w:eastAsia="IRNazanin" w:cs="IRNazanin"/>
          <w:lang w:bidi="fa-IR"/>
          <w:color w:val="111111"/>
          <w:sz w:val="28"/>
          <w:szCs w:val="28"/>
          <w:rtl/>
        </w:rPr>
        <w:t xml:space="preserve">۱. قم، مرکز احیاء؛ شماره نسخه: ۴۲۶۵/۴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۱۴؛ جلد: تیماج قهوه ای، ۱۰گ (۱۷۸پ -۱۸۷ر)، ۲۳ سطر، اندازه: ۱۵/۵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 سم [محدث ارموی مخ: ۱-۲۶۴ ۲]</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مرکز احیاء؛ شماره نسخه: ۴۳۰۷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اكبر بن فیض الله بدررنجبر، تا: 11 جمادی الاول ۱۳۱۴ق، جا: کربلا؛ از روی نسخه عبدالعلی آقا برادر میرزا صادق شاگرد مؤلف به تاریخ دوشنبه ۱۱ جمادی الاول ۱۳۱۴ در کربلا نگاشته، ۲۰/۴/۴ جهت کتابخانه محدث؛ جلد: مقوایی، عطف پارچه ای، ۱۲گ، مختلف السطر،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 محدث ارموی مخ: ۱-۲۶۵]</w:t>
      </w:r>
    </w:p>
    <w:p>
      <w:pPr>
        <w:pStyle w:val="BookText"/>
      </w:pPr>
      <w:r>
        <w:rPr>
          <w:rFonts w:ascii="IRNazanin" w:hAnsi="IRNazanin" w:eastAsia="IRNazanin" w:cs="IRNazanin"/>
          <w:lang w:bidi="fa-IR"/>
          <w:color w:val="111111"/>
          <w:sz w:val="28"/>
          <w:szCs w:val="28"/>
          <w:rtl/>
        </w:rPr>
        <w:t xml:space="preserve">٣. قم؛ مرعشی؛ شماره نسخه: ۳۱۳۵/۴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علی بن حسین غروی، تا: چهارشنبه ۱۶ ربیع الثانی ۱۳۲۲ق؛ مصحح؛ جلد: تیماج قرمز، ۱۰گ (۱۵۲پ -۱۶۱ر)، ۲۲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۸-۳۶۴]</w:t>
      </w:r>
    </w:p>
    <w:p>
      <w:pPr>
        <w:pStyle w:val="Heading3"/>
      </w:pPr>
      <w:bookmarkStart w:id="1524" w:name="_Toc784"/>
      <w:r>
        <w:t>• پاسخ به دوستی / پاسخ پرسشها</w:t>
      </w:r>
      <w:bookmarkEnd w:id="1524"/>
    </w:p>
    <w:p>
      <w:pPr>
        <w:pStyle w:val="BookText"/>
      </w:pPr>
      <w:r>
        <w:rPr>
          <w:rFonts w:ascii="Times New Roman" w:hAnsi="Times New Roman" w:eastAsia="Times New Roman" w:cs="Times New Roman"/>
          <w:lang w:val="en-US" w:bidi="en-US"/>
          <w:color w:val="111111"/>
          <w:sz w:val="28"/>
          <w:szCs w:val="28"/>
          <w:rtl/>
        </w:rPr>
        <w:t xml:space="preserve">pāsox be dūstī ...</w:t>
      </w:r>
    </w:p>
    <w:p>
      <w:pPr>
        <w:pStyle w:val="BookText"/>
      </w:pPr>
      <w:r>
        <w:rPr>
          <w:rFonts w:ascii="IRNazanin" w:hAnsi="IRNazanin" w:eastAsia="IRNazanin" w:cs="IRNazanin"/>
          <w:lang w:bidi="fa-IR"/>
          <w:color w:val="111111"/>
          <w:sz w:val="28"/>
          <w:szCs w:val="28"/>
          <w:rtl/>
        </w:rPr>
        <w:t xml:space="preserve">کرمانی، محمد کریم بن ابراهیم، ۱۲۲۵-۱۲۸۸ قمری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53" w:name="pg20363_209511"/>
    <w:bookmarkEnd w:id="253"/>
    <w:p>
      <w:pPr>
        <w:pStyle w:val="BookText"/>
      </w:pPr>
      <w:r>
        <w:rPr>
          <w:rFonts w:ascii="Times New Roman" w:hAnsi="Times New Roman" w:eastAsia="Times New Roman" w:cs="Times New Roman"/>
          <w:lang w:val="en-US" w:bidi="en-US"/>
          <w:color w:val="111111"/>
          <w:sz w:val="28"/>
          <w:szCs w:val="28"/>
          <w:rtl/>
        </w:rPr>
        <w:t xml:space="preserve">(1810 ebn-e ebrāhīm kermānī, mohammad karīm 1871)</w:t>
      </w:r>
    </w:p>
    <w:p>
      <w:pPr>
        <w:pStyle w:val="BookText"/>
      </w:pPr>
      <w:r>
        <w:rPr>
          <w:rFonts w:ascii="IRNazanin" w:hAnsi="IRNazanin" w:eastAsia="IRNazanin" w:cs="IRNazanin"/>
          <w:lang w:bidi="fa-IR"/>
          <w:color w:val="111111"/>
          <w:sz w:val="28"/>
          <w:szCs w:val="28"/>
          <w:rtl/>
        </w:rPr>
        <w:t xml:space="preserve">تهران؛ ادبیات، شماره نسخه: ۸۱/۳ - د</w:t>
      </w:r>
    </w:p>
    <w:p>
      <w:pPr>
        <w:pStyle w:val="BookText"/>
      </w:pPr>
      <w:r>
        <w:rPr>
          <w:rFonts w:ascii="IRNazanin" w:hAnsi="IRNazanin" w:eastAsia="IRNazanin" w:cs="IRNazanin"/>
          <w:lang w:bidi="fa-IR"/>
          <w:color w:val="111111"/>
          <w:sz w:val="28"/>
          <w:szCs w:val="28"/>
          <w:rtl/>
        </w:rPr>
        <w:t xml:space="preserve">پاسخ به دوستی درباره گرفتاری قوم لوط و رهیدن خاندان او در آن شهر؛ خط: نستعلیق، بی کا، بی تا، کاغذ: فرنگی، جلد: تیماج عنابی ضربی، ۱۸گ (۲۸پ -۴۵پ)، ۱۴ سطر</w:t>
      </w:r>
    </w:p>
    <w:p>
      <w:pPr>
        <w:pStyle w:val="BookText"/>
      </w:pPr>
      <w:r>
        <w:rPr>
          <w:rFonts w:ascii="IRNazanin" w:hAnsi="IRNazanin" w:eastAsia="IRNazanin" w:cs="IRNazanin"/>
          <w:lang w:bidi="fa-IR"/>
          <w:color w:val="111111"/>
          <w:sz w:val="28"/>
          <w:szCs w:val="28"/>
          <w:rtl/>
        </w:rPr>
        <w:t xml:space="preserve">(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 [ف: ۲۹۳-۱ ]</w:t>
      </w:r>
    </w:p>
    <w:p>
      <w:pPr>
        <w:pStyle w:val="Heading3"/>
      </w:pPr>
      <w:bookmarkStart w:id="1525" w:name="_Toc785"/>
      <w:r>
        <w:t>•پاسخ به رساله فراموشخانه / تاریخ ایران، حکومت و سیاست / فارسی</w:t>
      </w:r>
      <w:bookmarkEnd w:id="1525"/>
    </w:p>
    <w:p>
      <w:pPr>
        <w:pStyle w:val="BookText"/>
      </w:pPr>
      <w:r>
        <w:rPr>
          <w:rFonts w:ascii="Times New Roman" w:hAnsi="Times New Roman" w:eastAsia="Times New Roman" w:cs="Times New Roman"/>
          <w:lang w:val="en-US" w:bidi="en-US"/>
          <w:color w:val="111111"/>
          <w:sz w:val="28"/>
          <w:szCs w:val="28"/>
          <w:rtl/>
        </w:rPr>
        <w:t xml:space="preserve">pāsox be r.-ye farāmūš-xāne</w:t>
      </w:r>
    </w:p>
    <w:p>
      <w:pPr>
        <w:pStyle w:val="BookText"/>
      </w:pPr>
      <w:r>
        <w:rPr>
          <w:rFonts w:ascii="IRNazanin" w:hAnsi="IRNazanin" w:eastAsia="IRNazanin" w:cs="IRNazanin"/>
          <w:lang w:bidi="fa-IR"/>
          <w:color w:val="111111"/>
          <w:sz w:val="28"/>
          <w:szCs w:val="28"/>
          <w:rtl/>
        </w:rPr>
        <w:t xml:space="preserve">وابسته به: فراموشخانه = اسرار فراموش خانه؛ ملكم (۱۲۴۹- ۱۳۲۶ق) گویا از علی منشی تبریزی در خرده گیری از آن رساله.</w:t>
      </w:r>
    </w:p>
    <w:p>
      <w:pPr>
        <w:pStyle w:val="BookText"/>
      </w:pPr>
      <w:r>
        <w:rPr>
          <w:rFonts w:ascii="IRNazanin" w:hAnsi="IRNazanin" w:eastAsia="IRNazanin" w:cs="IRNazanin"/>
          <w:lang w:bidi="fa-IR"/>
          <w:color w:val="111111"/>
          <w:sz w:val="28"/>
          <w:szCs w:val="28"/>
          <w:rtl/>
        </w:rPr>
        <w:t xml:space="preserve">تهران؛ دانشگاه؛ شماره نسخه: ۳۲۵۷/۶</w:t>
      </w:r>
    </w:p>
    <w:p>
      <w:pPr>
        <w:pStyle w:val="BookText"/>
      </w:pPr>
      <w:r>
        <w:rPr>
          <w:rFonts w:ascii="IRNazanin" w:hAnsi="IRNazanin" w:eastAsia="IRNazanin" w:cs="IRNazanin"/>
          <w:lang w:bidi="fa-IR"/>
          <w:color w:val="111111"/>
          <w:sz w:val="28"/>
          <w:szCs w:val="28"/>
          <w:rtl/>
        </w:rPr>
        <w:t xml:space="preserve">آغاز: جوابی است که يکنفر از اهل تبریز بكتابچه فراموشخانه نوشته است بسم الله و الحمد الله و الصلوة على محمد و آله در این تاریخ کتابچه ای از میرزا ملکم در باب فراموشخانه بنظر رسید که بیکی از علماء نوشته.؛ انجام: و تخلف از قول او را بی کا، بی تا، افتادگی: انجام؛ کاغذ: فرنگی، جلد: مقوا عطف تیماج تریاکی، وگ (۱۷۲-۱۸۰)، ۱۳ سطر(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۱۱-۲۲۱۴]</w:t>
      </w:r>
    </w:p>
    <w:p>
      <w:pPr>
        <w:pStyle w:val="Heading3"/>
      </w:pPr>
      <w:bookmarkStart w:id="1526" w:name="_Toc786"/>
      <w:r>
        <w:t>• پاسخ به سؤالات اهالی رشت / کلام و اعتقادات / فارسی</w:t>
      </w:r>
      <w:bookmarkEnd w:id="1526"/>
    </w:p>
    <w:p>
      <w:pPr>
        <w:pStyle w:val="BookText"/>
      </w:pPr>
      <w:r>
        <w:rPr>
          <w:rFonts w:ascii="Times New Roman" w:hAnsi="Times New Roman" w:eastAsia="Times New Roman" w:cs="Times New Roman"/>
          <w:lang w:val="en-US" w:bidi="en-US"/>
          <w:color w:val="111111"/>
          <w:sz w:val="28"/>
          <w:szCs w:val="28"/>
          <w:rtl/>
        </w:rPr>
        <w:t xml:space="preserve">pāsox be so’ālāt-e ahālī-ye rašt</w:t>
      </w:r>
    </w:p>
    <w:p>
      <w:pPr>
        <w:pStyle w:val="BookText"/>
      </w:pPr>
      <w:r>
        <w:rPr>
          <w:rFonts w:ascii="IRNazanin" w:hAnsi="IRNazanin" w:eastAsia="IRNazanin" w:cs="IRNazanin"/>
          <w:lang w:bidi="fa-IR"/>
          <w:color w:val="111111"/>
          <w:sz w:val="28"/>
          <w:szCs w:val="28"/>
          <w:rtl/>
        </w:rPr>
        <w:t xml:space="preserve">همدانی شیخی، محمد باقر بن محمد جعفر، ۱۲۳۹ ۱۳۱۹ قمری</w:t>
      </w:r>
    </w:p>
    <w:p>
      <w:pPr>
        <w:pStyle w:val="BookText"/>
      </w:pPr>
      <w:r>
        <w:rPr>
          <w:rFonts w:ascii="Times New Roman" w:hAnsi="Times New Roman" w:eastAsia="Times New Roman" w:cs="Times New Roman"/>
          <w:lang w:val="en-US" w:bidi="en-US"/>
          <w:color w:val="111111"/>
          <w:sz w:val="28"/>
          <w:szCs w:val="28"/>
          <w:rtl/>
        </w:rPr>
        <w:t xml:space="preserve">hamadānī šayxī, mohammad bāqer ebn-e mohammad ja'far (1824-1902)</w:t>
      </w:r>
    </w:p>
    <w:p>
      <w:pPr>
        <w:pStyle w:val="BookText"/>
      </w:pPr>
      <w:r>
        <w:rPr>
          <w:rFonts w:ascii="IRNazanin" w:hAnsi="IRNazanin" w:eastAsia="IRNazanin" w:cs="IRNazanin"/>
          <w:lang w:bidi="fa-IR"/>
          <w:color w:val="111111"/>
          <w:sz w:val="28"/>
          <w:szCs w:val="28"/>
          <w:rtl/>
        </w:rPr>
        <w:t xml:space="preserve">تاریخ تأليف: 15 ذیحجه ۱۲۹۸ق</w:t>
      </w:r>
    </w:p>
    <w:p>
      <w:pPr>
        <w:pStyle w:val="BookText"/>
      </w:pPr>
      <w:r>
        <w:rPr>
          <w:rFonts w:ascii="IRNazanin" w:hAnsi="IRNazanin" w:eastAsia="IRNazanin" w:cs="IRNazanin"/>
          <w:lang w:bidi="fa-IR"/>
          <w:color w:val="111111"/>
          <w:sz w:val="28"/>
          <w:szCs w:val="28"/>
          <w:rtl/>
        </w:rPr>
        <w:t xml:space="preserve">پاسخ به چند سؤال است درباره عقاید شیخیه و اظهاراتی که همدانی در مجالس درس نموده و مورد سؤال عده ای از اهالی رشت واقع شده است.</w:t>
      </w:r>
    </w:p>
    <w:p>
      <w:pPr>
        <w:pStyle w:val="BookText"/>
      </w:pPr>
      <w:r>
        <w:rPr>
          <w:rFonts w:ascii="IRNazanin" w:hAnsi="IRNazanin" w:eastAsia="IRNazanin" w:cs="IRNazanin"/>
          <w:lang w:bidi="fa-IR"/>
          <w:color w:val="111111"/>
          <w:sz w:val="28"/>
          <w:szCs w:val="28"/>
          <w:rtl/>
        </w:rPr>
        <w:t xml:space="preserve">تهران؛ عبدالعظیم؛ شماره نسخه: ۶۰۲/۱۹</w:t>
      </w:r>
    </w:p>
    <w:p>
      <w:pPr>
        <w:pStyle w:val="BookText"/>
      </w:pPr>
      <w:r>
        <w:rPr>
          <w:rFonts w:ascii="IRNazanin" w:hAnsi="IRNazanin" w:eastAsia="IRNazanin" w:cs="IRNazanin"/>
          <w:lang w:bidi="fa-IR"/>
          <w:color w:val="111111"/>
          <w:sz w:val="28"/>
          <w:szCs w:val="28"/>
          <w:rtl/>
        </w:rPr>
        <w:t xml:space="preserve">آغاز: الحمد لله و سلام على الذين اصطفى و اللعنة على من سلک سبيل الروي و بعد چون بعضی از برادران دینی ... از محال رشت بعضی سؤالات فرموده بودند. سؤال در یکی از مجالس درس فرموده اید که انداختن سنگ به هوا؛ انجام: اما از برای غیر علقا که اعتنایی نیست و از برای آن ها خود را به زحمت نمی اندازیم و الحمد لله رب العالمين.</w:t>
      </w:r>
    </w:p>
    <w:p>
      <w:pPr>
        <w:pStyle w:val="BookText"/>
      </w:pPr>
      <w:r>
        <w:rPr>
          <w:rFonts w:ascii="IRNazanin" w:hAnsi="IRNazanin" w:eastAsia="IRNazanin" w:cs="IRNazanin"/>
          <w:lang w:bidi="fa-IR"/>
          <w:color w:val="111111"/>
          <w:sz w:val="28"/>
          <w:szCs w:val="28"/>
          <w:rtl/>
        </w:rPr>
        <w:t xml:space="preserve">خط: نسخ، بی کا، بی تا، ۴ گ، ۱۵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۱-۸۷]</w:t>
      </w:r>
    </w:p>
    <w:p>
      <w:pPr>
        <w:pStyle w:val="Heading3"/>
      </w:pPr>
      <w:bookmarkStart w:id="1527" w:name="_Toc787"/>
      <w:r>
        <w:t>•پاسخ به سؤالات عباسقلی میرزا / کلام و اعتقادات / فارسی</w:t>
      </w:r>
      <w:bookmarkEnd w:id="1527"/>
    </w:p>
    <w:p>
      <w:pPr>
        <w:pStyle w:val="BookText"/>
      </w:pPr>
      <w:r>
        <w:rPr>
          <w:rFonts w:ascii="Times New Roman" w:hAnsi="Times New Roman" w:eastAsia="Times New Roman" w:cs="Times New Roman"/>
          <w:lang w:val="en-US" w:bidi="en-US"/>
          <w:color w:val="111111"/>
          <w:sz w:val="28"/>
          <w:szCs w:val="28"/>
          <w:rtl/>
        </w:rPr>
        <w:t xml:space="preserve">pāsox be so’ālāt-e 'abbās-qolī mīrzā</w:t>
      </w:r>
    </w:p>
    <w:p>
      <w:pPr>
        <w:pStyle w:val="BookText"/>
      </w:pPr>
      <w:r>
        <w:rPr>
          <w:rFonts w:ascii="IRNazanin" w:hAnsi="IRNazanin" w:eastAsia="IRNazanin" w:cs="IRNazanin"/>
          <w:lang w:bidi="fa-IR"/>
          <w:color w:val="111111"/>
          <w:sz w:val="28"/>
          <w:szCs w:val="28"/>
          <w:rtl/>
        </w:rPr>
        <w:t xml:space="preserve">همدانی شیخی، محمد باقر بن محمد جعفر، ۱۲۳۹ ۱۳۱۹ قمری</w:t>
      </w:r>
    </w:p>
    <w:p>
      <w:pPr>
        <w:pStyle w:val="BookText"/>
      </w:pPr>
      <w:r>
        <w:rPr>
          <w:rFonts w:ascii="Times New Roman" w:hAnsi="Times New Roman" w:eastAsia="Times New Roman" w:cs="Times New Roman"/>
          <w:lang w:val="en-US" w:bidi="en-US"/>
          <w:color w:val="111111"/>
          <w:sz w:val="28"/>
          <w:szCs w:val="28"/>
          <w:rtl/>
        </w:rPr>
        <w:t xml:space="preserve">hamadānī šayxī, mohammad bāger ebn-e mohammad ja'far (1824-1902)</w:t>
      </w:r>
    </w:p>
    <w:p>
      <w:pPr>
        <w:pStyle w:val="BookText"/>
      </w:pPr>
      <w:r>
        <w:rPr>
          <w:rFonts w:ascii="IRNazanin" w:hAnsi="IRNazanin" w:eastAsia="IRNazanin" w:cs="IRNazanin"/>
          <w:lang w:bidi="fa-IR"/>
          <w:color w:val="111111"/>
          <w:sz w:val="28"/>
          <w:szCs w:val="28"/>
          <w:rtl/>
        </w:rPr>
        <w:t xml:space="preserve">تاریخ تأليف: پنج شنبه ۷ ذیحجه ۱۲۹۷ق شاهزاده عباسقلی میرزا سؤالی نموده درباره آیه شریفه «ان الذين آمنوا و الذين هادوا والنصارى و الصائبين من آمن بالله و اليوم الآخر و عمل صالحا فلهم أجرهم عند ربهم ... » و اینکه خلفای مسیحی جلفای اصفهان ادعا کرده اند که: طبق آیه مذکور، ما ایمان به خدا داریم و از اهل فلاح هستیم شما چرا ما را کافر و مخلد در نار می دانید؛ ، مؤلف در این رساله به این شبهه پاسخ داده است.</w:t>
      </w:r>
    </w:p>
    <w:p>
      <w:pPr>
        <w:pStyle w:val="BookText"/>
      </w:pPr>
      <w:r>
        <w:rPr>
          <w:rFonts w:ascii="IRNazanin" w:hAnsi="IRNazanin" w:eastAsia="IRNazanin" w:cs="IRNazanin"/>
          <w:lang w:bidi="fa-IR"/>
          <w:color w:val="111111"/>
          <w:sz w:val="28"/>
          <w:szCs w:val="28"/>
          <w:rtl/>
        </w:rPr>
        <w:t xml:space="preserve">تهران؛ عبدالعظیم؛ شماره نسخه: ۶۰۲/۱۱</w:t>
      </w:r>
    </w:p>
    <w:p>
      <w:pPr>
        <w:pStyle w:val="BookText"/>
      </w:pPr>
      <w:r>
        <w:rPr>
          <w:rFonts w:ascii="IRNazanin" w:hAnsi="IRNazanin" w:eastAsia="IRNazanin" w:cs="IRNazanin"/>
          <w:lang w:bidi="fa-IR"/>
          <w:color w:val="111111"/>
          <w:sz w:val="28"/>
          <w:szCs w:val="28"/>
          <w:rtl/>
        </w:rPr>
        <w:t xml:space="preserve">آغاز: الحمد لله و سلام على الذين اصطفی و بعد ون سر کار نواب مستطاب اشرف امجد والا شاهزاده عباس قلی میرزا ... مرا امر فرموده بودند به جواب مختصری به زبان فارسی از برای فرمایشی.؛ انجام: شما نمی توانید او را بشناسید و تکلیف ما لا يطاق از برای احدی نیست والسلام عليكم و رحمة الله .. خط: نسخ، بی کا، تا: قرن ۱۳، با علامت بلاغ؛ ۱۰گ، ۱۵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۱-۸۷]</w:t>
      </w:r>
    </w:p>
    <w:p>
      <w:pPr>
        <w:pStyle w:val="Heading3"/>
      </w:pPr>
      <w:bookmarkStart w:id="1528" w:name="_Toc788"/>
      <w:r>
        <w:t>•پاسخ به سؤال حاج آقا محمد قوانینی درباره مؤلف جامع الاحاديث / پاسخ پرسش ها</w:t>
      </w:r>
      <w:bookmarkEnd w:id="1528"/>
    </w:p>
    <w:p>
      <w:pPr>
        <w:pStyle w:val="BookText"/>
      </w:pPr>
      <w:r>
        <w:rPr>
          <w:rFonts w:ascii="Times New Roman" w:hAnsi="Times New Roman" w:eastAsia="Times New Roman" w:cs="Times New Roman"/>
          <w:lang w:val="en-US" w:bidi="en-US"/>
          <w:color w:val="111111"/>
          <w:sz w:val="28"/>
          <w:szCs w:val="28"/>
          <w:rtl/>
        </w:rPr>
        <w:t xml:space="preserve">pāsox be so’āl-e hāj āqā mohammad-e qavānīnī darbāre-ye mo’allef-e jāmeʻ-ol ahādīs</w:t>
      </w:r>
    </w:p>
    <w:p>
      <w:pPr>
        <w:pStyle w:val="BookText"/>
      </w:pPr>
      <w:r>
        <w:rPr>
          <w:rFonts w:ascii="IRNazanin" w:hAnsi="IRNazanin" w:eastAsia="IRNazanin" w:cs="IRNazanin"/>
          <w:lang w:bidi="fa-IR"/>
          <w:color w:val="111111"/>
          <w:sz w:val="28"/>
          <w:szCs w:val="28"/>
          <w:rtl/>
        </w:rPr>
        <w:t xml:space="preserve">طباطبائی بروجردی، محمد حسین، ۱۲۵۳-۱۳۴۰ شمسی</w:t>
      </w:r>
    </w:p>
    <w:p>
      <w:pPr>
        <w:pStyle w:val="BookText"/>
      </w:pPr>
      <w:r>
        <w:rPr>
          <w:rFonts w:ascii="Times New Roman" w:hAnsi="Times New Roman" w:eastAsia="Times New Roman" w:cs="Times New Roman"/>
          <w:lang w:val="en-US" w:bidi="en-US"/>
          <w:color w:val="111111"/>
          <w:sz w:val="28"/>
          <w:szCs w:val="28"/>
          <w:rtl/>
        </w:rPr>
        <w:t xml:space="preserve">tabātabā'ī borūjerdī, mohammad hoseyn (1874-1961)</w:t>
      </w:r>
    </w:p>
    <w:p>
      <w:pPr>
        <w:pStyle w:val="BookText"/>
      </w:pPr>
      <w:r>
        <w:rPr>
          <w:rFonts w:ascii="IRNazanin" w:hAnsi="IRNazanin" w:eastAsia="IRNazanin" w:cs="IRNazanin"/>
          <w:lang w:bidi="fa-IR"/>
          <w:color w:val="111111"/>
          <w:sz w:val="28"/>
          <w:szCs w:val="28"/>
          <w:rtl/>
        </w:rPr>
        <w:t xml:space="preserve">مشهد؛ رضوی؛ شماره نسخه: ض۲۱۱۳۵</w:t>
      </w:r>
    </w:p>
    <w:p>
      <w:pPr>
        <w:pStyle w:val="BookText"/>
      </w:pPr>
      <w:r>
        <w:rPr>
          <w:rFonts w:ascii="IRNazanin" w:hAnsi="IRNazanin" w:eastAsia="IRNazanin" w:cs="IRNazanin"/>
          <w:lang w:bidi="fa-IR"/>
          <w:color w:val="111111"/>
          <w:sz w:val="28"/>
          <w:szCs w:val="28"/>
          <w:rtl/>
        </w:rPr>
        <w:t xml:space="preserve">کا: سید مصطفی صفائی خوانساری، تا: ۱۳۶۸ق؛ اص، قطع: وزیری اهدائی ف: ۳۳۶]</w:t>
      </w:r>
    </w:p>
    <w:p>
      <w:pPr>
        <w:pStyle w:val="BookText"/>
      </w:pPr>
      <w:r>
        <w:rPr>
          <w:rFonts w:ascii="IRNazanin" w:hAnsi="IRNazanin" w:eastAsia="IRNazanin" w:cs="IRNazanin"/>
          <w:lang w:bidi="fa-IR"/>
          <w:color w:val="111111"/>
          <w:sz w:val="28"/>
          <w:szCs w:val="28"/>
          <w:rtl/>
        </w:rPr>
        <w:t xml:space="preserve">←پاسخ به سؤال حسین بن عبدالقادر بحرانی درباره فناء في الله ← البحرانية</w:t>
      </w:r>
    </w:p>
    <w:p>
      <w:pPr>
        <w:pStyle w:val="BookText"/>
      </w:pPr>
      <w:r>
        <w:rPr>
          <w:rFonts w:ascii="IRNazanin" w:hAnsi="IRNazanin" w:eastAsia="IRNazanin" w:cs="IRNazanin"/>
          <w:lang w:bidi="fa-IR"/>
          <w:color w:val="111111"/>
          <w:sz w:val="28"/>
          <w:szCs w:val="28"/>
          <w:rtl/>
        </w:rPr>
        <w:t xml:space="preserve">←پاسخ به سوال درباره معلول ← اجوبة مسائل محمد مهدی بن شفیع استر آبادی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54" w:name="pg20363_209512"/>
    <w:bookmarkEnd w:id="254"/>
    <w:p>
      <w:pPr>
        <w:pStyle w:val="BookText"/>
      </w:pPr>
      <w:r>
        <w:rPr>
          <w:rFonts w:ascii="IRNazanin" w:hAnsi="IRNazanin" w:eastAsia="IRNazanin" w:cs="IRNazanin"/>
          <w:lang w:bidi="fa-IR"/>
          <w:color w:val="111111"/>
          <w:sz w:val="28"/>
          <w:szCs w:val="28"/>
          <w:rtl/>
        </w:rPr>
        <w:t xml:space="preserve">←پاسخ به سؤال ملا علی اصغر ← شرح خطبة البيان</w:t>
      </w:r>
    </w:p>
    <w:p>
      <w:pPr>
        <w:pStyle w:val="Heading3"/>
      </w:pPr>
      <w:bookmarkStart w:id="1529" w:name="_Toc789"/>
      <w:r>
        <w:t>•پاسخ به سؤالی از اسلامبول درباره طالع عقرب / پاسخ پرسش ها</w:t>
      </w:r>
      <w:bookmarkEnd w:id="1529"/>
    </w:p>
    <w:p>
      <w:pPr>
        <w:pStyle w:val="BookText"/>
      </w:pPr>
      <w:r>
        <w:rPr>
          <w:rFonts w:ascii="Times New Roman" w:hAnsi="Times New Roman" w:eastAsia="Times New Roman" w:cs="Times New Roman"/>
          <w:lang w:val="en-US" w:bidi="en-US"/>
          <w:color w:val="111111"/>
          <w:sz w:val="28"/>
          <w:szCs w:val="28"/>
          <w:rtl/>
        </w:rPr>
        <w:t xml:space="preserve">pāsox be so’ālī az eslāmbool darbāre-ye tāle -e aqrab</w:t>
      </w:r>
    </w:p>
    <w:p>
      <w:pPr>
        <w:pStyle w:val="BookText"/>
      </w:pPr>
      <w:r>
        <w:rPr>
          <w:rFonts w:ascii="IRNazanin" w:hAnsi="IRNazanin" w:eastAsia="IRNazanin" w:cs="IRNazanin"/>
          <w:lang w:bidi="fa-IR"/>
          <w:color w:val="111111"/>
          <w:sz w:val="28"/>
          <w:szCs w:val="28"/>
          <w:rtl/>
        </w:rPr>
        <w:t xml:space="preserve">تهران؛ مجلس؛ شماره نسخه: ۹۰۴۳/۱۷</w:t>
      </w:r>
    </w:p>
    <w:p>
      <w:pPr>
        <w:pStyle w:val="BookText"/>
      </w:pPr>
      <w:r>
        <w:rPr>
          <w:rFonts w:ascii="IRNazanin" w:hAnsi="IRNazanin" w:eastAsia="IRNazanin" w:cs="IRNazanin"/>
          <w:lang w:bidi="fa-IR"/>
          <w:color w:val="111111"/>
          <w:sz w:val="28"/>
          <w:szCs w:val="28"/>
          <w:rtl/>
        </w:rPr>
        <w:t xml:space="preserve">خط: نستعلیق شکسته تحریری، كا: جامع، تا: قرن ۱۳؛ کاغذ: فرنگی شکری آهار مهره، جلد: تیماج عنابی ضربی با ترنج و سر ترنج و جدول گرهی یک لا، ۲گ (۶۴-۶۵ر)، اندازه: ۱۵/۹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۱۰/۶ سم [ف: ۲۹/۲ -۶۵۹]</w:t>
      </w:r>
    </w:p>
    <w:p>
      <w:pPr>
        <w:pStyle w:val="Heading3"/>
      </w:pPr>
      <w:bookmarkStart w:id="1530" w:name="_Toc790"/>
      <w:r>
        <w:t>• پاسخ به سؤالی درباره عمل به فتاوای کتب فقهی / فقه / عربی</w:t>
      </w:r>
      <w:bookmarkEnd w:id="1530"/>
    </w:p>
    <w:p>
      <w:pPr>
        <w:pStyle w:val="BookText"/>
      </w:pPr>
      <w:r>
        <w:rPr>
          <w:rFonts w:ascii="Times New Roman" w:hAnsi="Times New Roman" w:eastAsia="Times New Roman" w:cs="Times New Roman"/>
          <w:lang w:val="en-US" w:bidi="en-US"/>
          <w:color w:val="111111"/>
          <w:sz w:val="28"/>
          <w:szCs w:val="28"/>
          <w:rtl/>
        </w:rPr>
        <w:t xml:space="preserve">pāsox be so’ālī darbāre-ye ‘amal be fatāvā-ye kotob-e feqhī</w:t>
      </w:r>
    </w:p>
    <w:p>
      <w:pPr>
        <w:pStyle w:val="BookText"/>
      </w:pPr>
      <w:r>
        <w:rPr>
          <w:rFonts w:ascii="IRNazanin" w:hAnsi="IRNazanin" w:eastAsia="IRNazanin" w:cs="IRNazanin"/>
          <w:lang w:bidi="fa-IR"/>
          <w:color w:val="111111"/>
          <w:sz w:val="28"/>
          <w:szCs w:val="28"/>
          <w:rtl/>
        </w:rPr>
        <w:t xml:space="preserve">حر عاملی، محمد بن حسن، ۱۰۳۳-۱۱۰۴ قمری</w:t>
      </w:r>
    </w:p>
    <w:p>
      <w:pPr>
        <w:pStyle w:val="BookText"/>
      </w:pPr>
      <w:r>
        <w:rPr>
          <w:rFonts w:ascii="Times New Roman" w:hAnsi="Times New Roman" w:eastAsia="Times New Roman" w:cs="Times New Roman"/>
          <w:lang w:val="en-US" w:bidi="en-US"/>
          <w:color w:val="111111"/>
          <w:sz w:val="28"/>
          <w:szCs w:val="28"/>
          <w:rtl/>
        </w:rPr>
        <w:t xml:space="preserve">horr-e ‘āmelī, mohammad ebn-e hasan (1624-1693)</w:t>
      </w:r>
    </w:p>
    <w:p>
      <w:pPr>
        <w:pStyle w:val="BookText"/>
      </w:pPr>
      <w:r>
        <w:rPr>
          <w:rFonts w:ascii="IRNazanin" w:hAnsi="IRNazanin" w:eastAsia="IRNazanin" w:cs="IRNazanin"/>
          <w:lang w:bidi="fa-IR"/>
          <w:color w:val="111111"/>
          <w:sz w:val="28"/>
          <w:szCs w:val="28"/>
          <w:rtl/>
        </w:rPr>
        <w:t xml:space="preserve">تهران؛ مجلس؛ شماره نسخه: ۹۶۷۱/۲</w:t>
      </w:r>
    </w:p>
    <w:p>
      <w:pPr>
        <w:pStyle w:val="BookText"/>
      </w:pPr>
      <w:r>
        <w:rPr>
          <w:rFonts w:ascii="IRNazanin" w:hAnsi="IRNazanin" w:eastAsia="IRNazanin" w:cs="IRNazanin"/>
          <w:lang w:bidi="fa-IR"/>
          <w:color w:val="111111"/>
          <w:sz w:val="28"/>
          <w:szCs w:val="28"/>
          <w:rtl/>
        </w:rPr>
        <w:t xml:space="preserve">آغاز: بسمله. الحمدلله على افضاله و الصلوة و السلام على محمد و آله و بعد فقد سأل بعض فضلاء الصلحاء عمن له معرفة بالعربية هل يجوز له أن يعمل بما يفهمه من فتاوى الكتب الفقهية ام يجب عليه أن يعمل بما يفهمه من احادیث الكتب الأربعة و نحوها من الكتب المعتمدة و الجواب و بالله التوفيق انه ينبغي للانسان؛ انجام: بكتاب واحد معتمد لكن يعمل بما فيه من الحديث الصريح و الله ولی التوفيق خط: نستعلیق، كا: عبدالرحمان، بی تا؛ جلد: تیماج قهوه ای با ترنج و سرترنج، اگ (۳۱ر - ۳۱پ)، ۲۵ سطر، اندازه: ۱۲/۵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۳۱-۴۴]</w:t>
      </w:r>
    </w:p>
    <w:p>
      <w:pPr>
        <w:pStyle w:val="Heading3"/>
      </w:pPr>
      <w:bookmarkStart w:id="1531" w:name="_Toc791"/>
      <w:r>
        <w:t>•پاسخ به شبهات سلمان از سماء رحمن نازل / بهائیت / فارسی</w:t>
      </w:r>
      <w:bookmarkEnd w:id="1531"/>
    </w:p>
    <w:p>
      <w:pPr>
        <w:pStyle w:val="BookText"/>
      </w:pPr>
      <w:r>
        <w:rPr>
          <w:rFonts w:ascii="Times New Roman" w:hAnsi="Times New Roman" w:eastAsia="Times New Roman" w:cs="Times New Roman"/>
          <w:lang w:val="en-US" w:bidi="en-US"/>
          <w:color w:val="111111"/>
          <w:sz w:val="28"/>
          <w:szCs w:val="28"/>
          <w:rtl/>
        </w:rPr>
        <w:t xml:space="preserve">pāsox be šobahāt-e salmān az samā’ rahmān nāzel</w:t>
      </w:r>
    </w:p>
    <w:p>
      <w:pPr>
        <w:pStyle w:val="BookText"/>
      </w:pPr>
      <w:r>
        <w:rPr>
          <w:rFonts w:ascii="IRNazanin" w:hAnsi="IRNazanin" w:eastAsia="IRNazanin" w:cs="IRNazanin"/>
          <w:lang w:bidi="fa-IR"/>
          <w:color w:val="111111"/>
          <w:sz w:val="28"/>
          <w:szCs w:val="28"/>
          <w:rtl/>
        </w:rPr>
        <w:t xml:space="preserve">بهاء الله، حسینعلی بن میرزا بزرگ، ۱۲۳۳-۱۳۰۹ قمری</w:t>
      </w:r>
    </w:p>
    <w:p>
      <w:pPr>
        <w:pStyle w:val="BookText"/>
      </w:pPr>
      <w:r>
        <w:rPr>
          <w:rFonts w:ascii="Times New Roman" w:hAnsi="Times New Roman" w:eastAsia="Times New Roman" w:cs="Times New Roman"/>
          <w:lang w:val="en-US" w:bidi="en-US"/>
          <w:color w:val="111111"/>
          <w:sz w:val="28"/>
          <w:szCs w:val="28"/>
          <w:rtl/>
        </w:rPr>
        <w:t xml:space="preserve">bahā’-ol-lāh, hoseyn-alī ebn-e mīrzā bozorg (1818 1892)</w:t>
      </w:r>
    </w:p>
    <w:p>
      <w:pPr>
        <w:pStyle w:val="BookText"/>
      </w:pPr>
      <w:r>
        <w:rPr>
          <w:rFonts w:ascii="IRNazanin" w:hAnsi="IRNazanin" w:eastAsia="IRNazanin" w:cs="IRNazanin"/>
          <w:lang w:bidi="fa-IR"/>
          <w:color w:val="111111"/>
          <w:sz w:val="28"/>
          <w:szCs w:val="28"/>
          <w:rtl/>
        </w:rPr>
        <w:t xml:space="preserve">تهران؛ مجلس؛ شماره نسخه: ۱۴۵۶۷/۲</w:t>
      </w:r>
    </w:p>
    <w:p>
      <w:pPr>
        <w:pStyle w:val="BookText"/>
      </w:pPr>
      <w:r>
        <w:rPr>
          <w:rFonts w:ascii="IRNazanin" w:hAnsi="IRNazanin" w:eastAsia="IRNazanin" w:cs="IRNazanin"/>
          <w:lang w:bidi="fa-IR"/>
          <w:color w:val="111111"/>
          <w:sz w:val="28"/>
          <w:szCs w:val="28"/>
          <w:rtl/>
        </w:rPr>
        <w:t xml:space="preserve">آغاز: السلمان از شهر جان بنسايم قدس رحمن بر اهل اکوان و امکان مرور نما و بقدم استقامت؛ انجام: و البهاء علیک یا سلمان و على الذين ما باعوا كلمات الله بتوهمات مردود. خط: نستعلیق ریز، بی کا، تا: قرن ۱۳، جلد: تیماج يشمی، وگ ( ۵۱-۴۳ پ)، ۱۸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۱۳/۳ سم [ف: ۴۱-۵۲]</w:t>
      </w:r>
    </w:p>
    <w:p>
      <w:pPr>
        <w:pStyle w:val="BookText"/>
      </w:pPr>
      <w:r>
        <w:rPr>
          <w:rFonts w:ascii="IRNazanin" w:hAnsi="IRNazanin" w:eastAsia="IRNazanin" w:cs="IRNazanin"/>
          <w:lang w:bidi="fa-IR"/>
          <w:color w:val="111111"/>
          <w:sz w:val="28"/>
          <w:szCs w:val="28"/>
          <w:rtl/>
        </w:rPr>
        <w:t xml:space="preserve">←پاسخ به شبهات نبوت ← رساله کلامی</w:t>
      </w:r>
    </w:p>
    <w:p>
      <w:pPr>
        <w:pStyle w:val="Heading3"/>
      </w:pPr>
      <w:bookmarkStart w:id="1532" w:name="_Toc792"/>
      <w:r>
        <w:t>• پاسخ به شبهه ای درباره رد شمس / کلام و اعتقادات / فارسی</w:t>
      </w:r>
      <w:bookmarkEnd w:id="1532"/>
    </w:p>
    <w:p>
      <w:pPr>
        <w:pStyle w:val="BookText"/>
      </w:pPr>
      <w:r>
        <w:rPr>
          <w:rFonts w:ascii="Times New Roman" w:hAnsi="Times New Roman" w:eastAsia="Times New Roman" w:cs="Times New Roman"/>
          <w:lang w:val="en-US" w:bidi="en-US"/>
          <w:color w:val="111111"/>
          <w:sz w:val="28"/>
          <w:szCs w:val="28"/>
          <w:rtl/>
        </w:rPr>
        <w:t xml:space="preserve">pāsox be šobhe-ī darbāre-ye radd-e šams</w:t>
      </w:r>
    </w:p>
    <w:p>
      <w:pPr>
        <w:pStyle w:val="BookText"/>
      </w:pPr>
      <w:r>
        <w:rPr>
          <w:rFonts w:ascii="IRNazanin" w:hAnsi="IRNazanin" w:eastAsia="IRNazanin" w:cs="IRNazanin"/>
          <w:lang w:bidi="fa-IR"/>
          <w:color w:val="111111"/>
          <w:sz w:val="28"/>
          <w:szCs w:val="28"/>
          <w:rtl/>
        </w:rPr>
        <w:t xml:space="preserve">همدانی شیخی، محمد باقر بن محمد جعفر، ۱۲۳۹ ۱۳۱۹ قمری</w:t>
      </w:r>
    </w:p>
    <w:p>
      <w:pPr>
        <w:pStyle w:val="BookText"/>
      </w:pPr>
      <w:r>
        <w:rPr>
          <w:rFonts w:ascii="Times New Roman" w:hAnsi="Times New Roman" w:eastAsia="Times New Roman" w:cs="Times New Roman"/>
          <w:lang w:val="en-US" w:bidi="en-US"/>
          <w:color w:val="111111"/>
          <w:sz w:val="28"/>
          <w:szCs w:val="28"/>
          <w:rtl/>
        </w:rPr>
        <w:t xml:space="preserve">hamadānī šayxī, mohammad bāqer ebn-e mohammad ja'far (1824-1902)</w:t>
      </w:r>
    </w:p>
    <w:p>
      <w:pPr>
        <w:pStyle w:val="BookText"/>
      </w:pPr>
      <w:r>
        <w:rPr>
          <w:rFonts w:ascii="IRNazanin" w:hAnsi="IRNazanin" w:eastAsia="IRNazanin" w:cs="IRNazanin"/>
          <w:lang w:bidi="fa-IR"/>
          <w:color w:val="111111"/>
          <w:sz w:val="28"/>
          <w:szCs w:val="28"/>
          <w:rtl/>
        </w:rPr>
        <w:t xml:space="preserve">تاريخ تأليف: شنبه ۱۳ ذیقعده ۱۲۹۰ق؛ محل تألیف: کربلا مؤلف گوید: چون بعضی از اکابر دولت ایران معاشرت دارند با بعضی از منافقین که ظاهرا اظهار تشیع می کنند و باطنا از نصاری بدترند و ایشان به خیال خودشان ایرادی وارد آورده اند بر رد شمس از برای حضرت امیر المؤمنین (علیه السلام)، و آن جناب عبارات ایشان را فرستاده و جوابی خواسته اند، پس آن عبارات را ذکر می کنم و جواب آن را عرض می کنم.</w:t>
      </w:r>
    </w:p>
    <w:p>
      <w:pPr>
        <w:pStyle w:val="BookText"/>
      </w:pPr>
      <w:r>
        <w:rPr>
          <w:rFonts w:ascii="IRNazanin" w:hAnsi="IRNazanin" w:eastAsia="IRNazanin" w:cs="IRNazanin"/>
          <w:lang w:bidi="fa-IR"/>
          <w:color w:val="111111"/>
          <w:sz w:val="28"/>
          <w:szCs w:val="28"/>
          <w:rtl/>
        </w:rPr>
        <w:t xml:space="preserve">آغاز: حمدله. وصلى الله على محمد و آله الطاهرين ... و بعد چنین گوید بنده خاکسار خاسر ابن محمد جعفر، محمد باقر ... که چون بعضی از اکابر دولت ایران معاشرت دارند با بعضی از منافقین.</w:t>
      </w:r>
    </w:p>
    <w:p>
      <w:pPr>
        <w:pStyle w:val="BookText"/>
      </w:pPr>
      <w:r>
        <w:rPr>
          <w:rFonts w:ascii="IRNazanin" w:hAnsi="IRNazanin" w:eastAsia="IRNazanin" w:cs="IRNazanin"/>
          <w:lang w:bidi="fa-IR"/>
          <w:color w:val="111111"/>
          <w:sz w:val="28"/>
          <w:szCs w:val="28"/>
          <w:rtl/>
        </w:rPr>
        <w:t xml:space="preserve">انجام: و همین قدر بیان از برای صاحبان شعور و متدینان بی غرض و منظور کافی است و صلى الله ... و چون در سفر کتاب همراه نبود از ذکر کردن اصل حديث و بعضی از واقعات این قضیه محروم شدم تمام شد.</w:t>
      </w:r>
    </w:p>
    <w:p>
      <w:pPr>
        <w:pStyle w:val="BookText"/>
      </w:pPr>
      <w:r>
        <w:rPr>
          <w:rFonts w:ascii="IRNazanin" w:hAnsi="IRNazanin" w:eastAsia="IRNazanin" w:cs="IRNazanin"/>
          <w:lang w:bidi="fa-IR"/>
          <w:color w:val="111111"/>
          <w:sz w:val="28"/>
          <w:szCs w:val="28"/>
          <w:rtl/>
        </w:rPr>
        <w:t xml:space="preserve">[فهرستواره منزوی ۳۶۶/۹ ]</w:t>
      </w:r>
    </w:p>
    <w:p>
      <w:pPr>
        <w:pStyle w:val="BookText"/>
      </w:pPr>
      <w:r>
        <w:rPr>
          <w:rFonts w:ascii="IRNazanin" w:hAnsi="IRNazanin" w:eastAsia="IRNazanin" w:cs="IRNazanin"/>
          <w:lang w:bidi="fa-IR"/>
          <w:color w:val="111111"/>
          <w:sz w:val="28"/>
          <w:szCs w:val="28"/>
          <w:rtl/>
        </w:rPr>
        <w:t xml:space="preserve">تهران؛ عبدالعظیم؛ شماره نسخه: ۶۰۲/۸</w:t>
      </w:r>
    </w:p>
    <w:p>
      <w:pPr>
        <w:pStyle w:val="BookText"/>
      </w:pPr>
      <w:r>
        <w:rPr>
          <w:rFonts w:ascii="IRNazanin" w:hAnsi="IRNazanin" w:eastAsia="IRNazanin" w:cs="IRNazanin"/>
          <w:lang w:bidi="fa-IR"/>
          <w:color w:val="111111"/>
          <w:sz w:val="28"/>
          <w:szCs w:val="28"/>
          <w:rtl/>
        </w:rPr>
        <w:t xml:space="preserve">آغاز: حمدله. و صلی الله على محمد و آله الطاهرين ... و بعد چنین گوید بنده خاکسار خاسر ابن محمد جعفر، محمد باقر ... که چون بعضی از اکابر دولت ایران معاشرت دارند با بعضی از منافقین؛ انجام: و همین قدر بیان از برای صاحبان شعور و متدینان بی غرض و منظور کافی است و صلی الله ... و چون در سفر کتاب همراه نبود از ذکر کردن اصل حديث و بعضی از واقعات این قضیه محروم شدم تمام شد. خط: نسخ، بی کا، تا: قرن ۱۳؛ با علامت بلاغ؛ ۶ گ، ۱۵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۱-۸۹]</w:t>
      </w:r>
    </w:p>
    <w:p>
      <w:pPr>
        <w:pStyle w:val="Heading3"/>
      </w:pPr>
      <w:bookmarkStart w:id="1533" w:name="_Toc793"/>
      <w:r>
        <w:t>•پاسخ به شبهه قائلين به وحدت وجود / فلسفه / عربی</w:t>
      </w:r>
      <w:bookmarkEnd w:id="1533"/>
    </w:p>
    <w:p>
      <w:pPr>
        <w:pStyle w:val="BookText"/>
      </w:pPr>
      <w:r>
        <w:rPr>
          <w:rFonts w:ascii="Times New Roman" w:hAnsi="Times New Roman" w:eastAsia="Times New Roman" w:cs="Times New Roman"/>
          <w:lang w:val="en-US" w:bidi="en-US"/>
          <w:color w:val="111111"/>
          <w:sz w:val="28"/>
          <w:szCs w:val="28"/>
          <w:rtl/>
        </w:rPr>
        <w:t xml:space="preserve">pāsox be šobhe-ye qā'elīn be vahdat-e vojūd</w:t>
      </w:r>
    </w:p>
    <w:p>
      <w:pPr>
        <w:pStyle w:val="BookText"/>
      </w:pPr>
      <w:r>
        <w:rPr>
          <w:rFonts w:ascii="IRNazanin" w:hAnsi="IRNazanin" w:eastAsia="IRNazanin" w:cs="IRNazanin"/>
          <w:lang w:bidi="fa-IR"/>
          <w:color w:val="111111"/>
          <w:sz w:val="28"/>
          <w:szCs w:val="28"/>
          <w:rtl/>
        </w:rPr>
        <w:t xml:space="preserve">تنکابنی، محمد بن عبد الفتاح، ۱۰۴۰-۱۱۲۴ ؟ قمری</w:t>
      </w:r>
    </w:p>
    <w:p>
      <w:pPr>
        <w:pStyle w:val="BookText"/>
      </w:pPr>
      <w:r>
        <w:rPr>
          <w:rFonts w:ascii="Times New Roman" w:hAnsi="Times New Roman" w:eastAsia="Times New Roman" w:cs="Times New Roman"/>
          <w:lang w:val="en-US" w:bidi="en-US"/>
          <w:color w:val="111111"/>
          <w:sz w:val="28"/>
          <w:szCs w:val="28"/>
          <w:rtl/>
        </w:rPr>
        <w:t xml:space="preserve">tonekābonī, mohammad ebn-e 'abd-ol-fattāh (1631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55" w:name="pg20363_209513"/>
    <w:bookmarkEnd w:id="255"/>
    <w:p>
      <w:pPr>
        <w:pStyle w:val="BookText"/>
      </w:pPr>
      <w:r>
        <w:rPr>
          <w:rFonts w:ascii="Times New Roman" w:hAnsi="Times New Roman" w:eastAsia="Times New Roman" w:cs="Times New Roman"/>
          <w:lang w:val="en-US" w:bidi="en-US"/>
          <w:color w:val="111111"/>
          <w:sz w:val="28"/>
          <w:szCs w:val="28"/>
          <w:rtl/>
        </w:rPr>
        <w:t xml:space="preserve">1712.</w:t>
      </w:r>
    </w:p>
    <w:p>
      <w:pPr>
        <w:pStyle w:val="BookText"/>
      </w:pPr>
      <w:r>
        <w:rPr>
          <w:rFonts w:ascii="IRNazanin" w:hAnsi="IRNazanin" w:eastAsia="IRNazanin" w:cs="IRNazanin"/>
          <w:lang w:bidi="fa-IR"/>
          <w:color w:val="111111"/>
          <w:sz w:val="28"/>
          <w:szCs w:val="28"/>
          <w:rtl/>
        </w:rPr>
        <w:t xml:space="preserve">در نظریه قائلان به وحدت وجود، قول به وحدت از آنجا ناشی می شود که وجود ممکنات را با اعتباری می گرفت یا اصیل در اعتباری. اعتباری مخالف در بداهت می شد و در شق ثانی اثبات وحدت می گشت. محمد بن عبد الفتاح بر این قول ایراد گرفته است که فرق است بین امور اختراعی و امور اعتباری. در اختراعی این قول صحیح است ولی در اعتباری لازم نیست که وجود اعتبار صرف باشد بلکه از آنچه منشاء انتزاع دارد اگر وجودی اخذ و اعتبار شود بدون آنکه آن امر صرف اختراع ذهن باشد باز اعتباری است پس با این قید دیگر مسأله اعتباری مخالف با بداهت نیست. نویسنده پس از این ایراد خود به پاسخ برمی خیزد و مسأله امکان را در وجود با امکان در ماهیت فرق می گذارد و سپس به سایر مسائل می پردازد. (انوار)</w:t>
      </w:r>
    </w:p>
    <w:p>
      <w:pPr>
        <w:pStyle w:val="BookText"/>
      </w:pPr>
      <w:r>
        <w:rPr>
          <w:rFonts w:ascii="IRNazanin" w:hAnsi="IRNazanin" w:eastAsia="IRNazanin" w:cs="IRNazanin"/>
          <w:lang w:bidi="fa-IR"/>
          <w:color w:val="111111"/>
          <w:sz w:val="28"/>
          <w:szCs w:val="28"/>
          <w:rtl/>
        </w:rPr>
        <w:t xml:space="preserve">آغاز: بسمله و به نستعين، الحمد لله رب العالمين و الصلوه على سیدنا و افضل الانبياء المرسلين محمد و آله الطيبين الطاهرين قوله.</w:t>
      </w:r>
    </w:p>
    <w:p>
      <w:pPr>
        <w:pStyle w:val="BookText"/>
      </w:pPr>
      <w:r>
        <w:rPr>
          <w:rFonts w:ascii="IRNazanin" w:hAnsi="IRNazanin" w:eastAsia="IRNazanin" w:cs="IRNazanin"/>
          <w:lang w:bidi="fa-IR"/>
          <w:color w:val="111111"/>
          <w:sz w:val="28"/>
          <w:szCs w:val="28"/>
          <w:rtl/>
        </w:rPr>
        <w:t xml:space="preserve">۱. تهران؛ ملی؛ شماره نسخه: ۱۸۸۹/۱۲</w:t>
      </w:r>
    </w:p>
    <w:p>
      <w:pPr>
        <w:pStyle w:val="BookText"/>
      </w:pPr>
      <w:r>
        <w:rPr>
          <w:rFonts w:ascii="IRNazanin" w:hAnsi="IRNazanin" w:eastAsia="IRNazanin" w:cs="IRNazanin"/>
          <w:lang w:bidi="fa-IR"/>
          <w:color w:val="111111"/>
          <w:sz w:val="28"/>
          <w:szCs w:val="28"/>
          <w:rtl/>
        </w:rPr>
        <w:t xml:space="preserve">آغاز: بسمله و به نستعين، الحمد لله رب العالمین و الصلوه على سیدنا و افضل الانبياء المرسلین محمد و آله الطيبين الطاهرين قوله؛ انجام: على العوارض الاعتباريه النفس الامريه يصدق</w:t>
      </w:r>
    </w:p>
    <w:p>
      <w:pPr>
        <w:pStyle w:val="BookText"/>
      </w:pPr>
      <w:r>
        <w:rPr>
          <w:rFonts w:ascii="IRNazanin" w:hAnsi="IRNazanin" w:eastAsia="IRNazanin" w:cs="IRNazanin"/>
          <w:lang w:bidi="fa-IR"/>
          <w:color w:val="111111"/>
          <w:sz w:val="28"/>
          <w:szCs w:val="28"/>
          <w:rtl/>
        </w:rPr>
        <w:t xml:space="preserve">خط: نستعلیق، کا: نورالدين محمد شفیع، تا: ۱۱۲۱ق، جان اصفهان، خاتون آباد؛ کاغذ: فرنگی، جلد: تیماج تریاکی یک لا، ۲۹ص (۱۶۷- ۱۹۵)، ۱۵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۱۰-۵۴۰]</w:t>
      </w:r>
    </w:p>
    <w:p>
      <w:pPr>
        <w:pStyle w:val="BookText"/>
      </w:pPr>
      <w:r>
        <w:rPr>
          <w:rFonts w:ascii="IRNazanin" w:hAnsi="IRNazanin" w:eastAsia="IRNazanin" w:cs="IRNazanin"/>
          <w:lang w:bidi="fa-IR"/>
          <w:color w:val="111111"/>
          <w:sz w:val="28"/>
          <w:szCs w:val="28"/>
          <w:rtl/>
        </w:rPr>
        <w:t xml:space="preserve">۲. تهران؛ ملی؛ شماره نسخه: ۱۹۵۱۷</w:t>
      </w:r>
    </w:p>
    <w:p>
      <w:pPr>
        <w:pStyle w:val="BookText"/>
      </w:pPr>
      <w:r>
        <w:rPr>
          <w:rFonts w:ascii="IRNazanin" w:hAnsi="IRNazanin" w:eastAsia="IRNazanin" w:cs="IRNazanin"/>
          <w:lang w:bidi="fa-IR"/>
          <w:color w:val="111111"/>
          <w:sz w:val="28"/>
          <w:szCs w:val="28"/>
          <w:rtl/>
        </w:rPr>
        <w:t xml:space="preserve">بی کا، بی تا؛ خریداری از علیرضا طاهری یزدی [رایانه]</w:t>
      </w:r>
    </w:p>
    <w:p>
      <w:pPr>
        <w:pStyle w:val="Heading3"/>
      </w:pPr>
      <w:bookmarkStart w:id="1534" w:name="_Toc794"/>
      <w:r>
        <w:t>•پاسخ به شیخیه / كلام و اعتقادات / فارسی</w:t>
      </w:r>
      <w:bookmarkEnd w:id="1534"/>
    </w:p>
    <w:p>
      <w:pPr>
        <w:pStyle w:val="BookText"/>
      </w:pPr>
      <w:r>
        <w:rPr>
          <w:rFonts w:ascii="Times New Roman" w:hAnsi="Times New Roman" w:eastAsia="Times New Roman" w:cs="Times New Roman"/>
          <w:lang w:val="en-US" w:bidi="en-US"/>
          <w:color w:val="111111"/>
          <w:sz w:val="28"/>
          <w:szCs w:val="28"/>
          <w:rtl/>
        </w:rPr>
        <w:t xml:space="preserve">pāsox be šeyxīye</w:t>
      </w:r>
    </w:p>
    <w:p>
      <w:pPr>
        <w:pStyle w:val="BookText"/>
      </w:pPr>
      <w:r>
        <w:rPr>
          <w:rFonts w:ascii="IRNazanin" w:hAnsi="IRNazanin" w:eastAsia="IRNazanin" w:cs="IRNazanin"/>
          <w:lang w:bidi="fa-IR"/>
          <w:color w:val="111111"/>
          <w:sz w:val="28"/>
          <w:szCs w:val="28"/>
          <w:rtl/>
        </w:rPr>
        <w:t xml:space="preserve">رساله ای است در جواب یکی از پیروان فرقه شیخیه که مدعی بود کامل ناطق در هر عصری باید یکی باشد و همه باید از او پیروی کنند، اما مؤلف معتقد است که در هر عصری ممکن است یک نفر باشد یا متعدد باشد و با مقدمه کوتاهی در اثبات نبوت پیامبر و امامت حضرت علی (ع) و یازده امام بعد از ایشان، بحث را خطاب به شیعیان اثنی عشری ادامه می دهد که متأسفانه از اینجا به بعد از انجام افتادگی دارد که بدین ترتیب معلوم نشد مؤلف از علمای شیخیه است که در این رابطه نظری دیگر دارد یا از مخالفان شیخیه.</w:t>
      </w:r>
    </w:p>
    <w:p>
      <w:pPr>
        <w:pStyle w:val="BookText"/>
      </w:pPr>
      <w:r>
        <w:rPr>
          <w:rFonts w:ascii="IRNazanin" w:hAnsi="IRNazanin" w:eastAsia="IRNazanin" w:cs="IRNazanin"/>
          <w:lang w:bidi="fa-IR"/>
          <w:color w:val="111111"/>
          <w:sz w:val="28"/>
          <w:szCs w:val="28"/>
          <w:rtl/>
        </w:rPr>
        <w:t xml:space="preserve">تهران؛ ملی؛ شماره نسخه: ۶۹۵۶</w:t>
      </w:r>
    </w:p>
    <w:p>
      <w:pPr>
        <w:pStyle w:val="BookText"/>
      </w:pPr>
      <w:r>
        <w:rPr>
          <w:rFonts w:ascii="IRNazanin" w:hAnsi="IRNazanin" w:eastAsia="IRNazanin" w:cs="IRNazanin"/>
          <w:lang w:bidi="fa-IR"/>
          <w:color w:val="111111"/>
          <w:sz w:val="28"/>
          <w:szCs w:val="28"/>
          <w:rtl/>
        </w:rPr>
        <w:t xml:space="preserve">آغاز: بسمله و صلى الله على محمد و آله الطاهرين و لعنة الله على اعدائهم اجمعین چون در این شبها در مجلسی اتفاق افتاد حاضر بودم شخصی مدعی این بود که کامل ناطق در هر عصری باید منحصر بفرد باشد و زیاده از یک نفر جایز نیست و استدلالش این بود که ضرورت مذهب شیخیه این است که انجام: پس احتیاج به ابطال فرقی که غیر که غیر از اثنا عشری عستند نیست چرا که خداوند باطل کرده باینکه حق نیستند و عجالة حال هم روی سخن با آن جماعت هم نیست روی سخن با شیعه اثنی عشری است</w:t>
      </w:r>
    </w:p>
    <w:p>
      <w:pPr>
        <w:pStyle w:val="BookText"/>
      </w:pPr>
      <w:r>
        <w:rPr>
          <w:rFonts w:ascii="IRNazanin" w:hAnsi="IRNazanin" w:eastAsia="IRNazanin" w:cs="IRNazanin"/>
          <w:lang w:bidi="fa-IR"/>
          <w:color w:val="111111"/>
          <w:sz w:val="28"/>
          <w:szCs w:val="28"/>
          <w:rtl/>
        </w:rPr>
        <w:t xml:space="preserve">خط: نستعلیق تحریری بد و ناخوش، بی کا، بی تا؛ مصحح، محشی؛ خریداری از مشیری؛ کاغذ: فرنگی نخودی، جلد: تیماج قهوه ای یک لا مجدول میان جداول بوته های ریسه ای ضربی، ۴گی (۱۰۴پ -۱۰۷پ)، ۲۰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۱۷/۸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[رایانه]</w:t>
      </w:r>
    </w:p>
    <w:p>
      <w:pPr>
        <w:pStyle w:val="Heading3"/>
      </w:pPr>
      <w:bookmarkStart w:id="1535" w:name="_Toc795"/>
      <w:r>
        <w:t>•پاسخ به عارف / فلسفه / عربی</w:t>
      </w:r>
      <w:bookmarkEnd w:id="1535"/>
    </w:p>
    <w:p>
      <w:pPr>
        <w:pStyle w:val="BookText"/>
      </w:pPr>
      <w:r>
        <w:rPr>
          <w:rFonts w:ascii="Times New Roman" w:hAnsi="Times New Roman" w:eastAsia="Times New Roman" w:cs="Times New Roman"/>
          <w:lang w:val="en-US" w:bidi="en-US"/>
          <w:color w:val="111111"/>
          <w:sz w:val="28"/>
          <w:szCs w:val="28"/>
          <w:rtl/>
        </w:rPr>
        <w:t xml:space="preserve">pāsox be 'āref</w:t>
      </w:r>
    </w:p>
    <w:p>
      <w:pPr>
        <w:pStyle w:val="BookText"/>
      </w:pPr>
      <w:r>
        <w:rPr>
          <w:rFonts w:ascii="IRNazanin" w:hAnsi="IRNazanin" w:eastAsia="IRNazanin" w:cs="IRNazanin"/>
          <w:lang w:bidi="fa-IR"/>
          <w:color w:val="111111"/>
          <w:sz w:val="28"/>
          <w:szCs w:val="28"/>
          <w:rtl/>
        </w:rPr>
        <w:t xml:space="preserve">سبزواری، هادی بن مهدی، ۱۲۱۲-۱۲۸۹ قمری</w:t>
      </w:r>
    </w:p>
    <w:p>
      <w:pPr>
        <w:pStyle w:val="BookText"/>
      </w:pPr>
      <w:r>
        <w:rPr>
          <w:rFonts w:ascii="Times New Roman" w:hAnsi="Times New Roman" w:eastAsia="Times New Roman" w:cs="Times New Roman"/>
          <w:lang w:val="en-US" w:bidi="en-US"/>
          <w:color w:val="111111"/>
          <w:sz w:val="28"/>
          <w:szCs w:val="28"/>
          <w:rtl/>
        </w:rPr>
        <w:t xml:space="preserve">sabzevārī, hādī ebn-e mahdī (1798-1872)</w:t>
      </w:r>
    </w:p>
    <w:p>
      <w:pPr>
        <w:pStyle w:val="BookText"/>
      </w:pPr>
      <w:r>
        <w:rPr>
          <w:rFonts w:ascii="IRNazanin" w:hAnsi="IRNazanin" w:eastAsia="IRNazanin" w:cs="IRNazanin"/>
          <w:lang w:bidi="fa-IR"/>
          <w:color w:val="111111"/>
          <w:sz w:val="28"/>
          <w:szCs w:val="28"/>
          <w:rtl/>
        </w:rPr>
        <w:t xml:space="preserve">اسماعیل متخلص به عارف از استاد خویش ملا هادی (گویا حاج ملا هادی سبزواری) درباره زندگی کنونی صاحب الزمان و مطالب دیگر پرسیده و وی بدان پاسخ گفته است و در آن از فیض یاد می کند.</w:t>
      </w:r>
    </w:p>
    <w:p>
      <w:pPr>
        <w:pStyle w:val="BookText"/>
      </w:pPr>
      <w:r>
        <w:rPr>
          <w:rFonts w:ascii="IRNazanin" w:hAnsi="IRNazanin" w:eastAsia="IRNazanin" w:cs="IRNazanin"/>
          <w:lang w:bidi="fa-IR"/>
          <w:color w:val="111111"/>
          <w:sz w:val="28"/>
          <w:szCs w:val="28"/>
          <w:rtl/>
        </w:rPr>
        <w:t xml:space="preserve">تهران؛ سپهسالار؛ شماره نسخه: ۲۹۹۲/۱</w:t>
      </w:r>
    </w:p>
    <w:p>
      <w:pPr>
        <w:pStyle w:val="BookText"/>
      </w:pPr>
      <w:r>
        <w:rPr>
          <w:rFonts w:ascii="IRNazanin" w:hAnsi="IRNazanin" w:eastAsia="IRNazanin" w:cs="IRNazanin"/>
          <w:lang w:bidi="fa-IR"/>
          <w:color w:val="111111"/>
          <w:sz w:val="28"/>
          <w:szCs w:val="28"/>
          <w:rtl/>
        </w:rPr>
        <w:t xml:space="preserve">آغاز: بسمله. الحمدلله الذي هدانا لهذا و ما کنا ... و بعد فيقول اسماعيل المتخلص بعارف ملتمسا عن الاستاد ... مولانا الهادی؛ انجام: فمن رفعه يلزم وضعه ... خط: نستعلیق، کا: حسن بن نصر الله، بی تا، کاتب گویا شاگرد ملا هادی سبزواری است؛ کاغذ: فرنگی، جلد: مقوا، ۲۷گ (آپ - ۲۷ر)، ۱۷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سم [ف: ۳-۲۷۹]</w:t>
      </w:r>
    </w:p>
    <w:p>
      <w:pPr>
        <w:pStyle w:val="Heading3"/>
      </w:pPr>
      <w:bookmarkStart w:id="1536" w:name="_Toc796"/>
      <w:r>
        <w:t>•پاسخ به کسرویان / كلام و اعتقادات / فارسی</w:t>
      </w:r>
      <w:bookmarkEnd w:id="1536"/>
    </w:p>
    <w:p>
      <w:pPr>
        <w:pStyle w:val="BookText"/>
      </w:pPr>
      <w:r>
        <w:rPr>
          <w:rFonts w:ascii="Times New Roman" w:hAnsi="Times New Roman" w:eastAsia="Times New Roman" w:cs="Times New Roman"/>
          <w:lang w:val="en-US" w:bidi="en-US"/>
          <w:color w:val="111111"/>
          <w:sz w:val="28"/>
          <w:szCs w:val="28"/>
          <w:rtl/>
        </w:rPr>
        <w:t xml:space="preserve">pāsox be kasravīyān</w:t>
      </w:r>
    </w:p>
    <w:p>
      <w:pPr>
        <w:pStyle w:val="BookText"/>
      </w:pPr>
      <w:r>
        <w:rPr>
          <w:rFonts w:ascii="IRNazanin" w:hAnsi="IRNazanin" w:eastAsia="IRNazanin" w:cs="IRNazanin"/>
          <w:lang w:bidi="fa-IR"/>
          <w:color w:val="111111"/>
          <w:sz w:val="28"/>
          <w:szCs w:val="28"/>
          <w:rtl/>
        </w:rPr>
        <w:t xml:space="preserve">دعوتی، میر ابوالفتح، ق۱۴ قمری</w:t>
      </w:r>
    </w:p>
    <w:p>
      <w:pPr>
        <w:pStyle w:val="BookText"/>
      </w:pPr>
      <w:r>
        <w:rPr>
          <w:rFonts w:ascii="Times New Roman" w:hAnsi="Times New Roman" w:eastAsia="Times New Roman" w:cs="Times New Roman"/>
          <w:lang w:val="en-US" w:bidi="en-US"/>
          <w:color w:val="111111"/>
          <w:sz w:val="28"/>
          <w:szCs w:val="28"/>
          <w:rtl/>
        </w:rPr>
        <w:t xml:space="preserve">da'vatī, mīr ab-ol-fath (- 20c)</w:t>
      </w:r>
    </w:p>
    <w:p>
      <w:pPr>
        <w:pStyle w:val="BookText"/>
      </w:pPr>
      <w:r>
        <w:rPr>
          <w:rFonts w:ascii="IRNazanin" w:hAnsi="IRNazanin" w:eastAsia="IRNazanin" w:cs="IRNazanin"/>
          <w:lang w:bidi="fa-IR"/>
          <w:color w:val="111111"/>
          <w:sz w:val="28"/>
          <w:szCs w:val="28"/>
          <w:rtl/>
        </w:rPr>
        <w:t xml:space="preserve">از میر ابوالفتح دعوتی با مقدمه ناصر مکارم شیرازی.</w:t>
      </w:r>
    </w:p>
    <w:p>
      <w:pPr>
        <w:pStyle w:val="BookText"/>
      </w:pPr>
      <w:r>
        <w:rPr>
          <w:rFonts w:ascii="IRNazanin" w:hAnsi="IRNazanin" w:eastAsia="IRNazanin" w:cs="IRNazanin"/>
          <w:lang w:bidi="fa-IR"/>
          <w:color w:val="111111"/>
          <w:sz w:val="28"/>
          <w:szCs w:val="28"/>
          <w:rtl/>
        </w:rPr>
        <w:t xml:space="preserve">تهران؛ دانشگاه؛ شماره نسخه: ۴۷۵۲/۱۲ -۴۷۵۴-ف</w:t>
      </w:r>
    </w:p>
    <w:p>
      <w:pPr>
        <w:pStyle w:val="BookText"/>
      </w:pPr>
      <w:r>
        <w:rPr>
          <w:rFonts w:ascii="IRNazanin" w:hAnsi="IRNazanin" w:eastAsia="IRNazanin" w:cs="IRNazanin"/>
          <w:lang w:bidi="fa-IR"/>
          <w:color w:val="111111"/>
          <w:sz w:val="28"/>
          <w:szCs w:val="28"/>
          <w:rtl/>
        </w:rPr>
        <w:t xml:space="preserve">بی کا، بی تا [فیلمها ف: ۳-۱۰۲]</w:t>
      </w:r>
    </w:p>
    <w:p>
      <w:pPr>
        <w:pStyle w:val="Heading3"/>
      </w:pPr>
      <w:bookmarkStart w:id="1537" w:name="_Toc797"/>
      <w:r>
        <w:t>•پاسخ به محمد شفیع بن محمد مقیم کاشانی / فقه / فارسی</w:t>
      </w:r>
      <w:bookmarkEnd w:id="1537"/>
    </w:p>
    <w:p>
      <w:pPr>
        <w:pStyle w:val="BookText"/>
      </w:pPr>
      <w:r>
        <w:rPr>
          <w:rFonts w:ascii="Times New Roman" w:hAnsi="Times New Roman" w:eastAsia="Times New Roman" w:cs="Times New Roman"/>
          <w:lang w:val="en-US" w:bidi="en-US"/>
          <w:color w:val="111111"/>
          <w:sz w:val="28"/>
          <w:szCs w:val="28"/>
          <w:rtl/>
        </w:rPr>
        <w:t xml:space="preserve">pasox be mohammad safi ebn-e mohammad moqim-e kāšānī</w:t>
      </w:r>
    </w:p>
    <w:p>
      <w:pPr>
        <w:pStyle w:val="BookText"/>
      </w:pPr>
      <w:r>
        <w:rPr>
          <w:rFonts w:ascii="IRNazanin" w:hAnsi="IRNazanin" w:eastAsia="IRNazanin" w:cs="IRNazanin"/>
          <w:lang w:bidi="fa-IR"/>
          <w:color w:val="111111"/>
          <w:sz w:val="28"/>
          <w:szCs w:val="28"/>
          <w:rtl/>
        </w:rPr>
        <w:t xml:space="preserve">فیض کاشانی، محمد بن شاه مرتضی، ۱۰۰۶-۱۰۹۱ قمری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56" w:name="pg20363_209514"/>
    <w:bookmarkEnd w:id="256"/>
    <w:p>
      <w:pPr>
        <w:pStyle w:val="BookText"/>
      </w:pPr>
      <w:r>
        <w:rPr>
          <w:rFonts w:ascii="Times New Roman" w:hAnsi="Times New Roman" w:eastAsia="Times New Roman" w:cs="Times New Roman"/>
          <w:lang w:val="en-US" w:bidi="en-US"/>
          <w:color w:val="111111"/>
          <w:sz w:val="28"/>
          <w:szCs w:val="28"/>
          <w:rtl/>
        </w:rPr>
        <w:t xml:space="preserve">feyz-e kāšānī, mohammad ebn-e šāh morteza (1598 1680)</w:t>
      </w:r>
    </w:p>
    <w:p>
      <w:pPr>
        <w:pStyle w:val="BookText"/>
      </w:pPr>
      <w:r>
        <w:rPr>
          <w:rFonts w:ascii="IRNazanin" w:hAnsi="IRNazanin" w:eastAsia="IRNazanin" w:cs="IRNazanin"/>
          <w:lang w:bidi="fa-IR"/>
          <w:color w:val="111111"/>
          <w:sz w:val="28"/>
          <w:szCs w:val="28"/>
          <w:rtl/>
        </w:rPr>
        <w:t xml:space="preserve">رساله ای است بسیار کوتاه، در پاسخ پرسش میرزا محمد شفیع بن محمد مقیم کاشانی، از نجاست و حرمت عصير عنبی و تمری. این رساله، ظاهرا در آثار فیض، ثبت نشده است. میرزا محمد شفیع، شاگرد فیض و نوه ملاصدرا و صاحب کتاب انیس الأسفار و جلیس الابرار است و نخبه فيض را، در همین مجموعه، در سال ۱۰۸۱ق مقابله و تصحیح کرده. وی تا سال ۱۱۲۰ق در قید حیات بوده است.</w:t>
      </w:r>
    </w:p>
    <w:p>
      <w:pPr>
        <w:pStyle w:val="BookText"/>
      </w:pPr>
      <w:r>
        <w:rPr>
          <w:rFonts w:ascii="IRNazanin" w:hAnsi="IRNazanin" w:eastAsia="IRNazanin" w:cs="IRNazanin"/>
          <w:lang w:bidi="fa-IR"/>
          <w:color w:val="111111"/>
          <w:sz w:val="28"/>
          <w:szCs w:val="28"/>
          <w:rtl/>
        </w:rPr>
        <w:t xml:space="preserve">[الذريعة ۴۵۲/۲ ؛ ریحانة الادب ۳۶۹/۴ ]</w:t>
      </w:r>
    </w:p>
    <w:p>
      <w:pPr>
        <w:pStyle w:val="BookText"/>
      </w:pPr>
      <w:r>
        <w:rPr>
          <w:rFonts w:ascii="IRNazanin" w:hAnsi="IRNazanin" w:eastAsia="IRNazanin" w:cs="IRNazanin"/>
          <w:lang w:bidi="fa-IR"/>
          <w:color w:val="111111"/>
          <w:sz w:val="28"/>
          <w:szCs w:val="28"/>
          <w:rtl/>
        </w:rPr>
        <w:t xml:space="preserve">قم؛ مرعشی؛ شماره نسخه: ۱۳۴۲۹/۲</w:t>
      </w:r>
    </w:p>
    <w:p>
      <w:pPr>
        <w:pStyle w:val="BookText"/>
      </w:pPr>
      <w:r>
        <w:rPr>
          <w:rFonts w:ascii="IRNazanin" w:hAnsi="IRNazanin" w:eastAsia="IRNazanin" w:cs="IRNazanin"/>
          <w:lang w:bidi="fa-IR"/>
          <w:color w:val="111111"/>
          <w:sz w:val="28"/>
          <w:szCs w:val="28"/>
          <w:rtl/>
        </w:rPr>
        <w:t xml:space="preserve">آغاز: رقیمه کریمه قرة العینی میرزا محمد شفيع وفقه الله لما يحب و یرضی رسید و بر مضمون آن مطلع گردید از نجاست و حرمت عصير عنبی و تمری سؤال نموده بودند، انجام: تا محتاج به تحلیل شود بكم آمدن و العلم عند الله</w:t>
      </w:r>
    </w:p>
    <w:p>
      <w:pPr>
        <w:pStyle w:val="BookText"/>
      </w:pPr>
      <w:r>
        <w:rPr>
          <w:rFonts w:ascii="IRNazanin" w:hAnsi="IRNazanin" w:eastAsia="IRNazanin" w:cs="IRNazanin"/>
          <w:lang w:bidi="fa-IR"/>
          <w:color w:val="111111"/>
          <w:sz w:val="28"/>
          <w:szCs w:val="28"/>
          <w:rtl/>
        </w:rPr>
        <w:t xml:space="preserve">خط: نستعلیق، كا: ظاهرة: محمد شفیع بن محمد مقیم، کاشانی، تا: قرن ۱۱؛ کاغذ: شرقی، جلد: مشمعی مشکی، عطف: تیماج مشکی، اگ (۱۲۰)، ۱۹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۹سم [ف: ۳۴-۷۶]</w:t>
      </w:r>
    </w:p>
    <w:p>
      <w:pPr>
        <w:pStyle w:val="Heading3"/>
      </w:pPr>
      <w:bookmarkStart w:id="1538" w:name="_Toc798"/>
      <w:r>
        <w:t>•پاسخ به محمد قاسم خراسانی / فلسفه / فارسی</w:t>
      </w:r>
      <w:bookmarkEnd w:id="1538"/>
    </w:p>
    <w:p>
      <w:pPr>
        <w:pStyle w:val="BookText"/>
      </w:pPr>
      <w:r>
        <w:rPr>
          <w:rFonts w:ascii="Times New Roman" w:hAnsi="Times New Roman" w:eastAsia="Times New Roman" w:cs="Times New Roman"/>
          <w:lang w:val="en-US" w:bidi="en-US"/>
          <w:color w:val="111111"/>
          <w:sz w:val="28"/>
          <w:szCs w:val="28"/>
          <w:rtl/>
        </w:rPr>
        <w:t xml:space="preserve">pāsox be mohammad qāsem-e xorāsānī</w:t>
      </w:r>
    </w:p>
    <w:p>
      <w:pPr>
        <w:pStyle w:val="BookText"/>
      </w:pPr>
      <w:r>
        <w:rPr>
          <w:rFonts w:ascii="IRNazanin" w:hAnsi="IRNazanin" w:eastAsia="IRNazanin" w:cs="IRNazanin"/>
          <w:lang w:bidi="fa-IR"/>
          <w:color w:val="111111"/>
          <w:sz w:val="28"/>
          <w:szCs w:val="28"/>
          <w:rtl/>
        </w:rPr>
        <w:t xml:space="preserve">فیض کاشانی، محمد بن شاه مرتضی، ۱۰۰۶-۱۰۹۱ قمری</w:t>
      </w:r>
    </w:p>
    <w:p>
      <w:pPr>
        <w:pStyle w:val="BookText"/>
      </w:pPr>
      <w:r>
        <w:rPr>
          <w:rFonts w:ascii="Times New Roman" w:hAnsi="Times New Roman" w:eastAsia="Times New Roman" w:cs="Times New Roman"/>
          <w:lang w:val="en-US" w:bidi="en-US"/>
          <w:color w:val="111111"/>
          <w:sz w:val="28"/>
          <w:szCs w:val="28"/>
          <w:rtl/>
        </w:rPr>
        <w:t xml:space="preserve">feyz-e kāšānī, mohammad ebn-e šāh morteza (1598 1680)</w:t>
      </w:r>
    </w:p>
    <w:p>
      <w:pPr>
        <w:pStyle w:val="BookText"/>
      </w:pPr>
      <w:r>
        <w:rPr>
          <w:rFonts w:ascii="IRNazanin" w:hAnsi="IRNazanin" w:eastAsia="IRNazanin" w:cs="IRNazanin"/>
          <w:lang w:bidi="fa-IR"/>
          <w:color w:val="111111"/>
          <w:sz w:val="28"/>
          <w:szCs w:val="28"/>
          <w:rtl/>
        </w:rPr>
        <w:t xml:space="preserve">تاریخ تأليف: رجب ۱۰۸۷ق پاسخ به نامه یکی از دوستان خراسانی مسأله مولانا محمد قاسم درباره مسئله اشتراک لفظی یا معنوی و وجود و صفات.</w:t>
      </w:r>
    </w:p>
    <w:p>
      <w:pPr>
        <w:pStyle w:val="BookText"/>
      </w:pPr>
      <w:r>
        <w:rPr>
          <w:rFonts w:ascii="IRNazanin" w:hAnsi="IRNazanin" w:eastAsia="IRNazanin" w:cs="IRNazanin"/>
          <w:lang w:bidi="fa-IR"/>
          <w:color w:val="111111"/>
          <w:sz w:val="28"/>
          <w:szCs w:val="28"/>
          <w:rtl/>
        </w:rPr>
        <w:t xml:space="preserve">[الذریعه ۱۹۳/۵ ]</w:t>
      </w:r>
    </w:p>
    <w:p>
      <w:pPr>
        <w:pStyle w:val="BookText"/>
      </w:pPr>
      <w:r>
        <w:rPr>
          <w:rFonts w:ascii="IRNazanin" w:hAnsi="IRNazanin" w:eastAsia="IRNazanin" w:cs="IRNazanin"/>
          <w:lang w:bidi="fa-IR"/>
          <w:color w:val="111111"/>
          <w:sz w:val="28"/>
          <w:szCs w:val="28"/>
          <w:rtl/>
        </w:rPr>
        <w:t xml:space="preserve">تهران؛ مهدوی؛ شماره نسخه: ۳۶۴/۱۶</w:t>
      </w:r>
    </w:p>
    <w:p>
      <w:pPr>
        <w:pStyle w:val="BookText"/>
      </w:pPr>
      <w:r>
        <w:rPr>
          <w:rFonts w:ascii="IRNazanin" w:hAnsi="IRNazanin" w:eastAsia="IRNazanin" w:cs="IRNazanin"/>
          <w:lang w:bidi="fa-IR"/>
          <w:color w:val="111111"/>
          <w:sz w:val="28"/>
          <w:szCs w:val="28"/>
          <w:rtl/>
        </w:rPr>
        <w:t xml:space="preserve">كا: على بن احمد رشتی، بی تا، جان یزد؛ کاغذ: فرنگی، جلد: تیماج تریاکی ضربی مقوایی، ۱۹ سطر، قطع: جيبي [نشریه: ۲-۱۷۹]</w:t>
      </w:r>
    </w:p>
    <w:p>
      <w:pPr>
        <w:pStyle w:val="Heading3"/>
      </w:pPr>
      <w:bookmarkStart w:id="1539" w:name="_Toc799"/>
      <w:r>
        <w:t>• پاسخ به مسائل / پاسخ پرسش ها / فارسی</w:t>
      </w:r>
      <w:bookmarkEnd w:id="1539"/>
    </w:p>
    <w:p>
      <w:pPr>
        <w:pStyle w:val="BookText"/>
      </w:pPr>
      <w:r>
        <w:rPr>
          <w:rFonts w:ascii="Times New Roman" w:hAnsi="Times New Roman" w:eastAsia="Times New Roman" w:cs="Times New Roman"/>
          <w:lang w:val="en-US" w:bidi="en-US"/>
          <w:color w:val="111111"/>
          <w:sz w:val="28"/>
          <w:szCs w:val="28"/>
          <w:rtl/>
        </w:rPr>
        <w:t xml:space="preserve">pāsox be masā'el</w:t>
      </w:r>
    </w:p>
    <w:p>
      <w:pPr>
        <w:pStyle w:val="BookText"/>
      </w:pPr>
      <w:r>
        <w:rPr>
          <w:rFonts w:ascii="IRNazanin" w:hAnsi="IRNazanin" w:eastAsia="IRNazanin" w:cs="IRNazanin"/>
          <w:lang w:bidi="fa-IR"/>
          <w:color w:val="111111"/>
          <w:sz w:val="28"/>
          <w:szCs w:val="28"/>
          <w:rtl/>
        </w:rPr>
        <w:t xml:space="preserve">شیخ بهائی، محمد بن حسین، ۹۵۳- ۱۰۳۰ قمری</w:t>
      </w:r>
    </w:p>
    <w:p>
      <w:pPr>
        <w:pStyle w:val="BookText"/>
      </w:pPr>
      <w:r>
        <w:rPr>
          <w:rFonts w:ascii="Times New Roman" w:hAnsi="Times New Roman" w:eastAsia="Times New Roman" w:cs="Times New Roman"/>
          <w:lang w:val="en-US" w:bidi="en-US"/>
          <w:color w:val="111111"/>
          <w:sz w:val="28"/>
          <w:szCs w:val="28"/>
          <w:rtl/>
        </w:rPr>
        <w:t xml:space="preserve">šeyx-e bahā'ī, mohammad ebn-e hoseyn (1547-1621)</w:t>
      </w:r>
    </w:p>
    <w:p>
      <w:pPr>
        <w:pStyle w:val="BookText"/>
      </w:pPr>
      <w:r>
        <w:rPr>
          <w:rFonts w:ascii="IRNazanin" w:hAnsi="IRNazanin" w:eastAsia="IRNazanin" w:cs="IRNazanin"/>
          <w:lang w:bidi="fa-IR"/>
          <w:color w:val="111111"/>
          <w:sz w:val="28"/>
          <w:szCs w:val="28"/>
          <w:rtl/>
        </w:rPr>
        <w:t xml:space="preserve">جواب مسائلی که به نظر بندگان اشرف به دفعات از مجتهد عصر شیخ بهاء الدين عليه الرحمة سؤال فرموده نزدیک به آنچه که در نسخه سپهسالار (۲۷۶/۳ ش ۳/ ۸۱۵۰، با عنوان: اجوبة مسائل شاه عباس) آمده است.</w:t>
      </w:r>
    </w:p>
    <w:p>
      <w:pPr>
        <w:pStyle w:val="BookText"/>
      </w:pPr>
      <w:r>
        <w:rPr>
          <w:rFonts w:ascii="IRNazanin" w:hAnsi="IRNazanin" w:eastAsia="IRNazanin" w:cs="IRNazanin"/>
          <w:lang w:bidi="fa-IR"/>
          <w:color w:val="111111"/>
          <w:sz w:val="28"/>
          <w:szCs w:val="28"/>
          <w:rtl/>
        </w:rPr>
        <w:t xml:space="preserve">تهران؛ دانشگاه؛ شماره نسخه: ۷۰۱۳/۱۱</w:t>
      </w:r>
    </w:p>
    <w:p>
      <w:pPr>
        <w:pStyle w:val="BookText"/>
      </w:pPr>
      <w:r>
        <w:rPr>
          <w:rFonts w:ascii="IRNazanin" w:hAnsi="IRNazanin" w:eastAsia="IRNazanin" w:cs="IRNazanin"/>
          <w:lang w:bidi="fa-IR"/>
          <w:color w:val="111111"/>
          <w:sz w:val="28"/>
          <w:szCs w:val="28"/>
          <w:rtl/>
        </w:rPr>
        <w:t xml:space="preserve">خط: نستعلیق، بی کا، بی تا، کاغذ: فرنگی، جلد: تیماج تریاکی الایی، ۳گ (۴۱پ -۴۳پ)، ۲۱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قطع: ربعی،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۱۶-۴۲۹]</w:t>
      </w:r>
    </w:p>
    <w:p>
      <w:pPr>
        <w:pStyle w:val="Heading3"/>
      </w:pPr>
      <w:bookmarkStart w:id="1540" w:name="_Toc800"/>
      <w:r>
        <w:t>• پاسخ به ملا جلال دوانی / نامه نگاری / فارسی</w:t>
      </w:r>
      <w:bookmarkEnd w:id="1540"/>
    </w:p>
    <w:p>
      <w:pPr>
        <w:pStyle w:val="BookText"/>
      </w:pPr>
      <w:r>
        <w:rPr>
          <w:rFonts w:ascii="Times New Roman" w:hAnsi="Times New Roman" w:eastAsia="Times New Roman" w:cs="Times New Roman"/>
          <w:lang w:val="en-US" w:bidi="en-US"/>
          <w:color w:val="111111"/>
          <w:sz w:val="28"/>
          <w:szCs w:val="28"/>
          <w:rtl/>
        </w:rPr>
        <w:t xml:space="preserve">pāsox be mollā jalāl-e davvānī</w:t>
      </w:r>
    </w:p>
    <w:p>
      <w:pPr>
        <w:pStyle w:val="BookText"/>
      </w:pPr>
      <w:r>
        <w:rPr>
          <w:rFonts w:ascii="IRNazanin" w:hAnsi="IRNazanin" w:eastAsia="IRNazanin" w:cs="IRNazanin"/>
          <w:lang w:bidi="fa-IR"/>
          <w:color w:val="111111"/>
          <w:sz w:val="28"/>
          <w:szCs w:val="28"/>
          <w:rtl/>
        </w:rPr>
        <w:t xml:space="preserve">تهران؛ ملک؛ شماره نسخه: ۴۱۷۱/۳۱</w:t>
      </w:r>
    </w:p>
    <w:p>
      <w:pPr>
        <w:pStyle w:val="BookText"/>
      </w:pPr>
      <w:r>
        <w:rPr>
          <w:rFonts w:ascii="IRNazanin" w:hAnsi="IRNazanin" w:eastAsia="IRNazanin" w:cs="IRNazanin"/>
          <w:lang w:bidi="fa-IR"/>
          <w:color w:val="111111"/>
          <w:sz w:val="28"/>
          <w:szCs w:val="28"/>
          <w:rtl/>
        </w:rPr>
        <w:t xml:space="preserve">خط: نستعلیق، بی کا، تا: قرن ۱۱[ف: ۷-۲۲۶]</w:t>
      </w:r>
    </w:p>
    <w:p>
      <w:pPr>
        <w:pStyle w:val="Heading3"/>
      </w:pPr>
      <w:bookmarkStart w:id="1541" w:name="_Toc801"/>
      <w:r>
        <w:t>• پاسخ به مهذب الدين / نامه نگاری / فارسی</w:t>
      </w:r>
      <w:bookmarkEnd w:id="1541"/>
    </w:p>
    <w:p>
      <w:pPr>
        <w:pStyle w:val="BookText"/>
      </w:pPr>
      <w:r>
        <w:rPr>
          <w:rFonts w:ascii="Times New Roman" w:hAnsi="Times New Roman" w:eastAsia="Times New Roman" w:cs="Times New Roman"/>
          <w:lang w:val="en-US" w:bidi="en-US"/>
          <w:color w:val="111111"/>
          <w:sz w:val="28"/>
          <w:szCs w:val="28"/>
          <w:rtl/>
        </w:rPr>
        <w:t xml:space="preserve">pāsox be mohazzab-od-dīn</w:t>
      </w:r>
    </w:p>
    <w:p>
      <w:pPr>
        <w:pStyle w:val="BookText"/>
      </w:pPr>
      <w:r>
        <w:rPr>
          <w:rFonts w:ascii="IRNazanin" w:hAnsi="IRNazanin" w:eastAsia="IRNazanin" w:cs="IRNazanin"/>
          <w:lang w:bidi="fa-IR"/>
          <w:color w:val="111111"/>
          <w:sz w:val="28"/>
          <w:szCs w:val="28"/>
          <w:rtl/>
        </w:rPr>
        <w:t xml:space="preserve">عزیز الدين عدیل</w:t>
      </w:r>
    </w:p>
    <w:p>
      <w:pPr>
        <w:pStyle w:val="BookText"/>
      </w:pPr>
      <w:r>
        <w:rPr>
          <w:rFonts w:ascii="Times New Roman" w:hAnsi="Times New Roman" w:eastAsia="Times New Roman" w:cs="Times New Roman"/>
          <w:lang w:val="en-US" w:bidi="en-US"/>
          <w:color w:val="111111"/>
          <w:sz w:val="28"/>
          <w:szCs w:val="28"/>
          <w:rtl/>
        </w:rPr>
        <w:t xml:space="preserve">‘azīz-od-dīn 'odayl</w:t>
      </w:r>
    </w:p>
    <w:p>
      <w:pPr>
        <w:pStyle w:val="BookText"/>
      </w:pPr>
      <w:r>
        <w:rPr>
          <w:rFonts w:ascii="IRNazanin" w:hAnsi="IRNazanin" w:eastAsia="IRNazanin" w:cs="IRNazanin"/>
          <w:lang w:bidi="fa-IR"/>
          <w:color w:val="111111"/>
          <w:sz w:val="28"/>
          <w:szCs w:val="28"/>
          <w:rtl/>
        </w:rPr>
        <w:t xml:space="preserve">پاسخ عزیز الدين عدیل به مهذب الدين فهرجي.</w:t>
      </w:r>
    </w:p>
    <w:p>
      <w:pPr>
        <w:pStyle w:val="BookText"/>
      </w:pPr>
      <w:r>
        <w:rPr>
          <w:rFonts w:ascii="IRNazanin" w:hAnsi="IRNazanin" w:eastAsia="IRNazanin" w:cs="IRNazanin"/>
          <w:lang w:bidi="fa-IR"/>
          <w:color w:val="111111"/>
          <w:sz w:val="28"/>
          <w:szCs w:val="28"/>
          <w:rtl/>
        </w:rPr>
        <w:t xml:space="preserve">تهران؛ دانشگاه؛ شماره نسخه: ۱۹۵/۲۵ ف</w:t>
      </w:r>
    </w:p>
    <w:p>
      <w:pPr>
        <w:pStyle w:val="BookText"/>
      </w:pPr>
      <w:r>
        <w:rPr>
          <w:rFonts w:ascii="IRNazanin" w:hAnsi="IRNazanin" w:eastAsia="IRNazanin" w:cs="IRNazanin"/>
          <w:lang w:bidi="fa-IR"/>
          <w:color w:val="111111"/>
          <w:sz w:val="28"/>
          <w:szCs w:val="28"/>
          <w:rtl/>
        </w:rPr>
        <w:t xml:space="preserve">نسخه اصل: حمیدیه ش</w:t>
      </w:r>
    </w:p>
    <w:p>
      <w:pPr>
        <w:pStyle w:val="BookText"/>
      </w:pPr>
      <w:r>
        <w:rPr>
          <w:rFonts w:ascii="IRNazanin" w:hAnsi="IRNazanin" w:eastAsia="IRNazanin" w:cs="IRNazanin"/>
          <w:lang w:bidi="fa-IR"/>
          <w:color w:val="111111"/>
          <w:sz w:val="28"/>
          <w:szCs w:val="28"/>
          <w:rtl/>
        </w:rPr>
        <w:t xml:space="preserve">۱۴۴۷؛ بی کا، تا: با تاریخ ۷۵۵ق [فیلمها ف: ۱-۴۲۳]</w:t>
      </w:r>
    </w:p>
    <w:p>
      <w:pPr>
        <w:pStyle w:val="Heading3"/>
      </w:pPr>
      <w:bookmarkStart w:id="1542" w:name="_Toc802"/>
      <w:r>
        <w:t>• پاسخ به نامه امیر خسرو دهلوی / نامه نگاری / فارسی</w:t>
      </w:r>
      <w:bookmarkEnd w:id="1542"/>
    </w:p>
    <w:p>
      <w:pPr>
        <w:pStyle w:val="BookText"/>
      </w:pPr>
      <w:r>
        <w:rPr>
          <w:rFonts w:ascii="Times New Roman" w:hAnsi="Times New Roman" w:eastAsia="Times New Roman" w:cs="Times New Roman"/>
          <w:lang w:val="en-US" w:bidi="en-US"/>
          <w:color w:val="111111"/>
          <w:sz w:val="28"/>
          <w:szCs w:val="28"/>
          <w:rtl/>
        </w:rPr>
        <w:t xml:space="preserve">pāsox be nāme-ye amīr xosro dehlavī</w:t>
      </w:r>
    </w:p>
    <w:p>
      <w:pPr>
        <w:pStyle w:val="BookText"/>
      </w:pPr>
      <w:r>
        <w:rPr>
          <w:rFonts w:ascii="IRNazanin" w:hAnsi="IRNazanin" w:eastAsia="IRNazanin" w:cs="IRNazanin"/>
          <w:lang w:bidi="fa-IR"/>
          <w:color w:val="111111"/>
          <w:sz w:val="28"/>
          <w:szCs w:val="28"/>
          <w:rtl/>
        </w:rPr>
        <w:t xml:space="preserve">باوردی، شعبان، ق۸ قمری</w:t>
      </w:r>
    </w:p>
    <w:p>
      <w:pPr>
        <w:pStyle w:val="BookText"/>
      </w:pPr>
      <w:r>
        <w:rPr>
          <w:rFonts w:ascii="Times New Roman" w:hAnsi="Times New Roman" w:eastAsia="Times New Roman" w:cs="Times New Roman"/>
          <w:lang w:val="en-US" w:bidi="en-US"/>
          <w:color w:val="111111"/>
          <w:sz w:val="28"/>
          <w:szCs w:val="28"/>
          <w:rtl/>
        </w:rPr>
        <w:t xml:space="preserve">bāvardī, šaobān (- 140)</w:t>
      </w:r>
    </w:p>
    <w:p>
      <w:pPr>
        <w:pStyle w:val="BookText"/>
      </w:pPr>
      <w:r>
        <w:rPr>
          <w:rFonts w:ascii="IRNazanin" w:hAnsi="IRNazanin" w:eastAsia="IRNazanin" w:cs="IRNazanin"/>
          <w:lang w:bidi="fa-IR"/>
          <w:color w:val="111111"/>
          <w:sz w:val="28"/>
          <w:szCs w:val="28"/>
          <w:rtl/>
        </w:rPr>
        <w:t xml:space="preserve">تهران؛ مجلس؛ شماره نسخه: ۹۴۶۶/۱۲۰</w:t>
      </w:r>
    </w:p>
    <w:p>
      <w:pPr>
        <w:pStyle w:val="BookText"/>
      </w:pPr>
      <w:r>
        <w:rPr>
          <w:rFonts w:ascii="IRNazanin" w:hAnsi="IRNazanin" w:eastAsia="IRNazanin" w:cs="IRNazanin"/>
          <w:lang w:bidi="fa-IR"/>
          <w:color w:val="111111"/>
          <w:sz w:val="28"/>
          <w:szCs w:val="28"/>
          <w:rtl/>
        </w:rPr>
        <w:t xml:space="preserve">خط: نستعلیق، کا: نظام الدین احمد بن خواجه محمد علی اخی مازندرانی، تا ۲۴ ذیحجه ۱۰۳۹ق، ۵ ص (۲۵۰-۲۵۴) [مختصر ف: ۱۱۹]</w:t>
      </w:r>
    </w:p>
    <w:p>
      <w:pPr>
        <w:pStyle w:val="Heading3"/>
      </w:pPr>
      <w:bookmarkStart w:id="1543" w:name="_Toc803"/>
      <w:r>
        <w:t>•پاسخ به نامه حاج محمد علی بن آقا عبدالواحد یزدی امام جمعه / پاسخ پرسش ها / فارسی</w:t>
      </w:r>
      <w:bookmarkEnd w:id="1543"/>
    </w:p>
    <w:p>
      <w:pPr>
        <w:pStyle w:val="BookText"/>
      </w:pPr>
      <w:r>
        <w:rPr>
          <w:rFonts w:ascii="Times New Roman" w:hAnsi="Times New Roman" w:eastAsia="Times New Roman" w:cs="Times New Roman"/>
          <w:lang w:val="en-US" w:bidi="en-US"/>
          <w:color w:val="111111"/>
          <w:sz w:val="28"/>
          <w:szCs w:val="28"/>
          <w:rtl/>
        </w:rPr>
        <w:t xml:space="preserve">pāsox be nāme-ye hāj mohammad ‘alī ebn-e ācā “abd ol-vāhed-e yazdī emām jom'e</w:t>
      </w:r>
    </w:p>
    <w:p>
      <w:pPr>
        <w:pStyle w:val="BookText"/>
      </w:pPr>
      <w:r>
        <w:rPr>
          <w:rFonts w:ascii="IRNazanin" w:hAnsi="IRNazanin" w:eastAsia="IRNazanin" w:cs="IRNazanin"/>
          <w:lang w:bidi="fa-IR"/>
          <w:color w:val="111111"/>
          <w:sz w:val="28"/>
          <w:szCs w:val="28"/>
          <w:rtl/>
        </w:rPr>
        <w:t xml:space="preserve">تهران؛ ملک؛ شماره نسخه: ۲۸۱۵/۲۲</w:t>
      </w:r>
    </w:p>
    <w:p>
      <w:pPr>
        <w:pStyle w:val="BookText"/>
      </w:pPr>
      <w:r>
        <w:rPr>
          <w:rFonts w:ascii="IRNazanin" w:hAnsi="IRNazanin" w:eastAsia="IRNazanin" w:cs="IRNazanin"/>
          <w:lang w:bidi="fa-IR"/>
          <w:color w:val="111111"/>
          <w:sz w:val="28"/>
          <w:szCs w:val="28"/>
          <w:rtl/>
        </w:rPr>
        <w:t xml:space="preserve">آغاز: صورت کتابتی که مخدوم مطاع حاج محمد على خلف المرحوم آقا عبدالواحد الیزدی امام جمعه ... آغاز پاسخ: بسمله و الحمدلله و سلام على عباده ... که طالب صادق ... منال پیدا کرد؛ انجام: و الاعتساف في الأمور الدنيا و الدين بحق آل طه و پس سلام الله عليهم اجمعین آمین خط: نسخ، بی کا، تا: قرن ۱۲؛ کاغذ: پسته ای، جلد: میشن لایی سیاه، ۶گ (۱۴۳پ-۱۴۸پ)، ۲۱ سطر، اندازه:۲۱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۶-۱۱۶]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57" w:name="pg20363_209515"/>
    <w:bookmarkEnd w:id="257"/>
    <w:p>
      <w:pPr>
        <w:pStyle w:val="Heading3"/>
      </w:pPr>
      <w:bookmarkStart w:id="1544" w:name="_Toc804"/>
      <w:r>
        <w:t>•پاسخ به نامه کاشانی / نامه نگاری / فارسی</w:t>
      </w:r>
      <w:bookmarkEnd w:id="1544"/>
    </w:p>
    <w:p>
      <w:pPr>
        <w:pStyle w:val="BookText"/>
      </w:pPr>
      <w:r>
        <w:rPr>
          <w:rFonts w:ascii="Times New Roman" w:hAnsi="Times New Roman" w:eastAsia="Times New Roman" w:cs="Times New Roman"/>
          <w:lang w:val="en-US" w:bidi="en-US"/>
          <w:color w:val="111111"/>
          <w:sz w:val="28"/>
          <w:szCs w:val="28"/>
          <w:rtl/>
        </w:rPr>
        <w:t xml:space="preserve">pāsox be nāme-ye kāšānī</w:t>
      </w:r>
    </w:p>
    <w:p>
      <w:pPr>
        <w:pStyle w:val="BookText"/>
      </w:pPr>
      <w:r>
        <w:rPr>
          <w:rFonts w:ascii="IRNazanin" w:hAnsi="IRNazanin" w:eastAsia="IRNazanin" w:cs="IRNazanin"/>
          <w:lang w:bidi="fa-IR"/>
          <w:color w:val="111111"/>
          <w:sz w:val="28"/>
          <w:szCs w:val="28"/>
          <w:rtl/>
        </w:rPr>
        <w:t xml:space="preserve">علاء الدوله سمنانی، احمد بن محمد، ۶۵۹-۷۳۶؟ قمری</w:t>
      </w:r>
    </w:p>
    <w:p>
      <w:pPr>
        <w:pStyle w:val="BookText"/>
      </w:pPr>
      <w:r>
        <w:rPr>
          <w:rFonts w:ascii="Times New Roman" w:hAnsi="Times New Roman" w:eastAsia="Times New Roman" w:cs="Times New Roman"/>
          <w:lang w:val="en-US" w:bidi="en-US"/>
          <w:color w:val="111111"/>
          <w:sz w:val="28"/>
          <w:szCs w:val="28"/>
          <w:rtl/>
        </w:rPr>
        <w:t xml:space="preserve">‘alāʻ-od dowle-ye semnānī, ahmad ebn-e mohammad (1262-1336)</w:t>
      </w:r>
    </w:p>
    <w:p>
      <w:pPr>
        <w:pStyle w:val="BookText"/>
      </w:pPr>
      <w:r>
        <w:rPr>
          <w:rFonts w:ascii="IRNazanin" w:hAnsi="IRNazanin" w:eastAsia="IRNazanin" w:cs="IRNazanin"/>
          <w:lang w:bidi="fa-IR"/>
          <w:color w:val="111111"/>
          <w:sz w:val="28"/>
          <w:szCs w:val="28"/>
          <w:rtl/>
        </w:rPr>
        <w:t xml:space="preserve">تهران، دانشگاه؛ شماره نسخه: ۳۶۵۴/۱7</w:t>
      </w:r>
    </w:p>
    <w:p>
      <w:pPr>
        <w:pStyle w:val="BookText"/>
      </w:pPr>
      <w:r>
        <w:rPr>
          <w:rFonts w:ascii="IRNazanin" w:hAnsi="IRNazanin" w:eastAsia="IRNazanin" w:cs="IRNazanin"/>
          <w:lang w:bidi="fa-IR"/>
          <w:color w:val="111111"/>
          <w:sz w:val="28"/>
          <w:szCs w:val="28"/>
          <w:rtl/>
        </w:rPr>
        <w:t xml:space="preserve">خط: نسخ، كا: علی عسکر بن مؤمن تولمی، بی تا، کاغذ: فرنگی، جلد: تیماج مشکی ضربی ترنجی مقوایی، ۳گ (۴۷پ۱۴۹)، ۲۹ سطر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[ف: ۱۲-۲۶۶۴]</w:t>
      </w:r>
    </w:p>
    <w:p>
      <w:pPr>
        <w:pStyle w:val="Heading3"/>
      </w:pPr>
      <w:bookmarkStart w:id="1545" w:name="_Toc805"/>
      <w:r>
        <w:t>•پاسخ به هفت پرسش / پاسخ پرسش ها / فارسی</w:t>
      </w:r>
      <w:bookmarkEnd w:id="1545"/>
    </w:p>
    <w:p>
      <w:pPr>
        <w:pStyle w:val="BookText"/>
      </w:pPr>
      <w:r>
        <w:rPr>
          <w:rFonts w:ascii="Times New Roman" w:hAnsi="Times New Roman" w:eastAsia="Times New Roman" w:cs="Times New Roman"/>
          <w:lang w:val="en-US" w:bidi="en-US"/>
          <w:color w:val="111111"/>
          <w:sz w:val="28"/>
          <w:szCs w:val="28"/>
          <w:rtl/>
        </w:rPr>
        <w:t xml:space="preserve">pāsox be haft porses</w:t>
      </w:r>
    </w:p>
    <w:p>
      <w:pPr>
        <w:pStyle w:val="BookText"/>
      </w:pPr>
      <w:r>
        <w:rPr>
          <w:rFonts w:ascii="IRNazanin" w:hAnsi="IRNazanin" w:eastAsia="IRNazanin" w:cs="IRNazanin"/>
          <w:lang w:bidi="fa-IR"/>
          <w:color w:val="111111"/>
          <w:sz w:val="28"/>
          <w:szCs w:val="28"/>
          <w:rtl/>
        </w:rPr>
        <w:t xml:space="preserve">تبریزی، عبدالرحيم بن ولی محمد</w:t>
      </w:r>
    </w:p>
    <w:p>
      <w:pPr>
        <w:pStyle w:val="BookText"/>
      </w:pPr>
      <w:r>
        <w:rPr>
          <w:rFonts w:ascii="Times New Roman" w:hAnsi="Times New Roman" w:eastAsia="Times New Roman" w:cs="Times New Roman"/>
          <w:lang w:val="en-US" w:bidi="en-US"/>
          <w:color w:val="111111"/>
          <w:sz w:val="28"/>
          <w:szCs w:val="28"/>
          <w:rtl/>
        </w:rPr>
        <w:t xml:space="preserve">tabrīzī, ‘abd-or-rahīm ebn-e valī mohammad</w:t>
      </w:r>
    </w:p>
    <w:p>
      <w:pPr>
        <w:pStyle w:val="BookText"/>
      </w:pPr>
      <w:r>
        <w:rPr>
          <w:rFonts w:ascii="Amiri" w:hAnsi="Amiri" w:eastAsia="Amiri" w:cs="Amiri"/>
          <w:lang w:bidi="ar-SA"/>
          <w:color w:val="111111"/>
          <w:sz w:val="28"/>
          <w:szCs w:val="28"/>
          <w:rtl/>
        </w:rPr>
        <w:t xml:space="preserve">تاريخ تأليف: ۱۲۵۸ق</w:t>
      </w:r>
    </w:p>
    <w:p>
      <w:pPr>
        <w:pStyle w:val="BookText"/>
      </w:pPr>
      <w:r>
        <w:rPr>
          <w:rFonts w:ascii="IRNazanin" w:hAnsi="IRNazanin" w:eastAsia="IRNazanin" w:cs="IRNazanin"/>
          <w:lang w:bidi="fa-IR"/>
          <w:color w:val="111111"/>
          <w:sz w:val="28"/>
          <w:szCs w:val="28"/>
          <w:rtl/>
        </w:rPr>
        <w:t xml:space="preserve">یکی از اهالی قراباغ در باب برخی مسائل اعتقادی از آخوند ملامحمد ممقانی سؤالاتی نموده که ایشان به جهت اشتغال به تدارک سفر و سایر مشاغل پاسخ به این سؤالات را به مؤلف محول کرده است.</w:t>
      </w:r>
    </w:p>
    <w:p>
      <w:pPr>
        <w:pStyle w:val="BookText"/>
      </w:pPr>
      <w:r>
        <w:rPr>
          <w:rFonts w:ascii="IRNazanin" w:hAnsi="IRNazanin" w:eastAsia="IRNazanin" w:cs="IRNazanin"/>
          <w:lang w:bidi="fa-IR"/>
          <w:color w:val="111111"/>
          <w:sz w:val="28"/>
          <w:szCs w:val="28"/>
          <w:rtl/>
        </w:rPr>
        <w:t xml:space="preserve">آغاز: بسمله. حمدله ... اما بعد بنده خاکسار عبد الرحيم بن ولی محمد التبریزی بر صفحه ضمایر صافيه برادران صافی طویت می نگارد که یکی از طالبان عرفان از ... زنجان ... مسائل چند ... عنوان کرده و حل آنها را از جناب ... الآخوند الملا محمد الممقانی ...... در خواسته بود و آنجناب ... بعهده این خاکسار واگذار فرمودند</w:t>
      </w:r>
    </w:p>
    <w:p>
      <w:pPr>
        <w:pStyle w:val="BookText"/>
      </w:pPr>
      <w:r>
        <w:rPr>
          <w:rFonts w:ascii="IRNazanin" w:hAnsi="IRNazanin" w:eastAsia="IRNazanin" w:cs="IRNazanin"/>
          <w:lang w:bidi="fa-IR"/>
          <w:color w:val="111111"/>
          <w:sz w:val="28"/>
          <w:szCs w:val="28"/>
          <w:rtl/>
        </w:rPr>
        <w:t xml:space="preserve">[فهرستواره منزوی ۱۶۰/۹ ]</w:t>
      </w:r>
    </w:p>
    <w:p>
      <w:pPr>
        <w:pStyle w:val="BookText"/>
      </w:pPr>
      <w:r>
        <w:rPr>
          <w:rFonts w:ascii="IRNazanin" w:hAnsi="IRNazanin" w:eastAsia="IRNazanin" w:cs="IRNazanin"/>
          <w:lang w:bidi="fa-IR"/>
          <w:color w:val="111111"/>
          <w:sz w:val="28"/>
          <w:szCs w:val="28"/>
          <w:rtl/>
        </w:rPr>
        <w:t xml:space="preserve">۱. تهران؛ مجلس؛ شماره نسخه:۱۰۲۹۸/۴</w:t>
      </w:r>
    </w:p>
    <w:p>
      <w:pPr>
        <w:pStyle w:val="BookText"/>
      </w:pPr>
      <w:r>
        <w:rPr>
          <w:rFonts w:ascii="IRNazanin" w:hAnsi="IRNazanin" w:eastAsia="IRNazanin" w:cs="IRNazanin"/>
          <w:lang w:bidi="fa-IR"/>
          <w:color w:val="111111"/>
          <w:sz w:val="28"/>
          <w:szCs w:val="28"/>
          <w:rtl/>
        </w:rPr>
        <w:t xml:space="preserve">آغاز: برابر؛ انجام: و این فقیر در شرح کتاب مشارق الانوار ... ربيع المولود سنه ۱۲۵۸</w:t>
      </w:r>
    </w:p>
    <w:p>
      <w:pPr>
        <w:pStyle w:val="BookText"/>
      </w:pPr>
      <w:r>
        <w:rPr>
          <w:rFonts w:ascii="IRNazanin" w:hAnsi="IRNazanin" w:eastAsia="IRNazanin" w:cs="IRNazanin"/>
          <w:lang w:bidi="fa-IR"/>
          <w:color w:val="111111"/>
          <w:sz w:val="28"/>
          <w:szCs w:val="28"/>
          <w:rtl/>
        </w:rPr>
        <w:t xml:space="preserve">خط: نسخ و نستعلیق، بی کا، تا: ۱۲۵۸ق؛ جلد: تیماج قهوه ای، مجدول، ۴۷ص (۱۵۳-۱۹۹)، ۱۶-۲۸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۳۲-۳۰۸]</w:t>
      </w:r>
    </w:p>
    <w:p>
      <w:pPr>
        <w:pStyle w:val="BookText"/>
      </w:pPr>
      <w:r>
        <w:rPr>
          <w:rFonts w:ascii="IRNazanin" w:hAnsi="IRNazanin" w:eastAsia="IRNazanin" w:cs="IRNazanin"/>
          <w:lang w:bidi="fa-IR"/>
          <w:color w:val="111111"/>
          <w:sz w:val="28"/>
          <w:szCs w:val="28"/>
          <w:rtl/>
        </w:rPr>
        <w:t xml:space="preserve">۲. تهران، دانشگاه؛ شماره نسخه: ۳۰۷۲/۶</w:t>
      </w:r>
    </w:p>
    <w:p>
      <w:pPr>
        <w:pStyle w:val="BookText"/>
      </w:pPr>
      <w:r>
        <w:rPr>
          <w:rFonts w:ascii="IRNazanin" w:hAnsi="IRNazanin" w:eastAsia="IRNazanin" w:cs="IRNazanin"/>
          <w:lang w:bidi="fa-IR"/>
          <w:color w:val="111111"/>
          <w:sz w:val="28"/>
          <w:szCs w:val="28"/>
          <w:rtl/>
        </w:rPr>
        <w:t xml:space="preserve">آغاز: برابر؛ انجام: و آنچه ذکر شد برای اهل معرفت و بصیرت کافی است و السلام ... و الحمد الله رب العالمين[ العالمين]</w:t>
      </w:r>
    </w:p>
    <w:p>
      <w:pPr>
        <w:pStyle w:val="BookText"/>
      </w:pPr>
      <w:r>
        <w:rPr>
          <w:rFonts w:ascii="IRNazanin" w:hAnsi="IRNazanin" w:eastAsia="IRNazanin" w:cs="IRNazanin"/>
          <w:lang w:bidi="fa-IR"/>
          <w:color w:val="111111"/>
          <w:sz w:val="28"/>
          <w:szCs w:val="28"/>
          <w:rtl/>
        </w:rPr>
        <w:t xml:space="preserve">خط: نستعلیق، بی کا، تا: قرن ۱۳ کاغذ: سپاهانی و فرنگی، جلد: تیماج مشکی، ۲۳گ (۲۰۰-۲۲۲)، ۱۷ سطر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۱۱-۲۰۱۷]</w:t>
      </w:r>
    </w:p>
    <w:p>
      <w:pPr>
        <w:pStyle w:val="Heading3"/>
      </w:pPr>
      <w:bookmarkStart w:id="1546" w:name="_Toc806"/>
      <w:r>
        <w:t>•پاسخ به هفت سؤال / پاسخ پرسش ها / فارسی</w:t>
      </w:r>
      <w:bookmarkEnd w:id="1546"/>
    </w:p>
    <w:p>
      <w:pPr>
        <w:pStyle w:val="BookText"/>
      </w:pPr>
      <w:r>
        <w:rPr>
          <w:rFonts w:ascii="Times New Roman" w:hAnsi="Times New Roman" w:eastAsia="Times New Roman" w:cs="Times New Roman"/>
          <w:lang w:val="en-US" w:bidi="en-US"/>
          <w:color w:val="111111"/>
          <w:sz w:val="28"/>
          <w:szCs w:val="28"/>
          <w:rtl/>
        </w:rPr>
        <w:t xml:space="preserve">pāsox be haft so'āl</w:t>
      </w:r>
    </w:p>
    <w:p>
      <w:pPr>
        <w:pStyle w:val="BookText"/>
      </w:pPr>
      <w:r>
        <w:rPr>
          <w:rFonts w:ascii="IRNazanin" w:hAnsi="IRNazanin" w:eastAsia="IRNazanin" w:cs="IRNazanin"/>
          <w:lang w:bidi="fa-IR"/>
          <w:color w:val="111111"/>
          <w:sz w:val="28"/>
          <w:szCs w:val="28"/>
          <w:rtl/>
        </w:rPr>
        <w:t xml:space="preserve">همدانی شیخی، محمد باقر بن محمد جعفر، ۱۲۳۹ ۱۳۱۹ قمری</w:t>
      </w:r>
    </w:p>
    <w:p>
      <w:pPr>
        <w:pStyle w:val="BookText"/>
      </w:pPr>
      <w:r>
        <w:rPr>
          <w:rFonts w:ascii="Times New Roman" w:hAnsi="Times New Roman" w:eastAsia="Times New Roman" w:cs="Times New Roman"/>
          <w:lang w:val="en-US" w:bidi="en-US"/>
          <w:color w:val="111111"/>
          <w:sz w:val="28"/>
          <w:szCs w:val="28"/>
          <w:rtl/>
        </w:rPr>
        <w:t xml:space="preserve">hamadānī šayxī, mohammad bāqer ebn-e mohammad ja'far (1824-1902)</w:t>
      </w:r>
    </w:p>
    <w:p>
      <w:pPr>
        <w:pStyle w:val="BookText"/>
      </w:pPr>
      <w:r>
        <w:rPr>
          <w:rFonts w:ascii="IRNazanin" w:hAnsi="IRNazanin" w:eastAsia="IRNazanin" w:cs="IRNazanin"/>
          <w:lang w:bidi="fa-IR"/>
          <w:color w:val="111111"/>
          <w:sz w:val="28"/>
          <w:szCs w:val="28"/>
          <w:rtl/>
        </w:rPr>
        <w:t xml:space="preserve">مؤلف مسائل مزبور را یکایک طرح کرده و پاسخ گفته موضوع این سوالات نیز عقائد شیخیه است.</w:t>
      </w:r>
    </w:p>
    <w:p>
      <w:pPr>
        <w:pStyle w:val="BookText"/>
      </w:pPr>
      <w:r>
        <w:rPr>
          <w:rFonts w:ascii="IRNazanin" w:hAnsi="IRNazanin" w:eastAsia="IRNazanin" w:cs="IRNazanin"/>
          <w:lang w:bidi="fa-IR"/>
          <w:color w:val="111111"/>
          <w:sz w:val="28"/>
          <w:szCs w:val="28"/>
          <w:rtl/>
        </w:rPr>
        <w:t xml:space="preserve">آغاز: چنین گوید این خاکسار تبه روز گار محمد باقر عفالله عنه که در این اوان محنت اقتران مسائلی چند رسید از بعضی از اعاظم و اعیان که پایه شرافت ظاهر و باطن ایشان بیش از آن بود که در بیان آید پس مبادرت در امتثال فرمایش ایشان نمودم هر یکی از مسائل را مصدر ساخته جواب را تلو آن عرض میکنم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۲۷۶۹/۶</w:t>
      </w:r>
    </w:p>
    <w:p>
      <w:pPr>
        <w:pStyle w:val="BookText"/>
      </w:pPr>
      <w:r>
        <w:rPr>
          <w:rFonts w:ascii="IRNazanin" w:hAnsi="IRNazanin" w:eastAsia="IRNazanin" w:cs="IRNazanin"/>
          <w:lang w:bidi="fa-IR"/>
          <w:color w:val="111111"/>
          <w:sz w:val="28"/>
          <w:szCs w:val="28"/>
          <w:rtl/>
        </w:rPr>
        <w:t xml:space="preserve">آغاز: برابر؛ انجام: كتبه تراب اقدام المومنین اقل العباد المكرمين صلوات الله عليهم أجمعين في يوم اتب أحد عشر شهر رمضان المبارک من شهور سنه ۱۲۹۶. انا لله و انا اليه راجعون و لعنة الله على اعدائهم اجمعین و صلی الله على محمد و آله الطاهرين</w:t>
      </w:r>
    </w:p>
    <w:p>
      <w:pPr>
        <w:pStyle w:val="BookText"/>
      </w:pPr>
      <w:r>
        <w:rPr>
          <w:rFonts w:ascii="IRNazanin" w:hAnsi="IRNazanin" w:eastAsia="IRNazanin" w:cs="IRNazanin"/>
          <w:lang w:bidi="fa-IR"/>
          <w:color w:val="111111"/>
          <w:sz w:val="28"/>
          <w:szCs w:val="28"/>
          <w:rtl/>
        </w:rPr>
        <w:t xml:space="preserve">خط: نستعلیق، کا: ابراهيم بن علی اصغر، تا: ۱۲۹۷ق؛ کاغذ: فرنگی آهاردار، جلد: تیماج قهوه ایی کمرنگی، ۳۳ (۱۹۳ -۲۲۵)، ۱۶ سطر، قطع: رقعی،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[ف: ۹-۱۹۳]</w:t>
      </w:r>
    </w:p>
    <w:p>
      <w:pPr>
        <w:pStyle w:val="BookText"/>
      </w:pPr>
      <w:r>
        <w:rPr>
          <w:rFonts w:ascii="IRNazanin" w:hAnsi="IRNazanin" w:eastAsia="IRNazanin" w:cs="IRNazanin"/>
          <w:lang w:bidi="fa-IR"/>
          <w:color w:val="111111"/>
          <w:sz w:val="28"/>
          <w:szCs w:val="28"/>
          <w:rtl/>
        </w:rPr>
        <w:t xml:space="preserve">٢. مشهد؛ رضوی؛ شماره نسخه: ۲۹۵۹۸</w:t>
      </w:r>
    </w:p>
    <w:p>
      <w:pPr>
        <w:pStyle w:val="BookText"/>
      </w:pPr>
      <w:r>
        <w:rPr>
          <w:rFonts w:ascii="IRNazanin" w:hAnsi="IRNazanin" w:eastAsia="IRNazanin" w:cs="IRNazanin"/>
          <w:lang w:bidi="fa-IR"/>
          <w:color w:val="111111"/>
          <w:sz w:val="28"/>
          <w:szCs w:val="28"/>
          <w:rtl/>
        </w:rPr>
        <w:t xml:space="preserve">آغاز: برابر؛ انجام: واري القلوب عن الحجه في العمل و لقد عجبت ... و السلام علی من اتبع الهدی</w:t>
      </w:r>
    </w:p>
    <w:p>
      <w:pPr>
        <w:pStyle w:val="BookText"/>
      </w:pPr>
      <w:r>
        <w:rPr>
          <w:rFonts w:ascii="IRNazanin" w:hAnsi="IRNazanin" w:eastAsia="IRNazanin" w:cs="IRNazanin"/>
          <w:lang w:bidi="fa-IR"/>
          <w:color w:val="111111"/>
          <w:sz w:val="28"/>
          <w:szCs w:val="28"/>
          <w:rtl/>
        </w:rPr>
        <w:t xml:space="preserve">در فهرست با نام «جواب مسائل و شبهات». نام کتاب با توجه به آغاز نسخه تعیین شد؛ خط: نستعلیق تحریری، كان ابوالقاسم، تا: ۱۲۹۷ق؛ کاغذ: نباتی، جلد: تیماج ضربی مزین به جداول خط کشی و حواشی زنجیره ای ضربی، ۵۷گ، ۱۲-۱۳ سطر ، اندازه: ۱۶/۳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۱۰/۳</w:t>
      </w:r>
    </w:p>
    <w:p>
      <w:pPr>
        <w:pStyle w:val="BookText"/>
      </w:pPr>
      <w:r>
        <w:rPr>
          <w:rFonts w:ascii="IRNazanin" w:hAnsi="IRNazanin" w:eastAsia="IRNazanin" w:cs="IRNazanin"/>
          <w:lang w:bidi="fa-IR"/>
          <w:color w:val="111111"/>
          <w:sz w:val="28"/>
          <w:szCs w:val="28"/>
          <w:rtl/>
        </w:rPr>
        <w:t xml:space="preserve">سم [رایانه]</w:t>
      </w:r>
    </w:p>
    <w:p>
      <w:pPr>
        <w:pStyle w:val="Heading3"/>
      </w:pPr>
      <w:bookmarkStart w:id="1547" w:name="_Toc807"/>
      <w:r>
        <w:t>•پاسخ به یک ایرانی / فارسی</w:t>
      </w:r>
      <w:bookmarkEnd w:id="1547"/>
    </w:p>
    <w:p>
      <w:pPr>
        <w:pStyle w:val="BookText"/>
      </w:pPr>
      <w:r>
        <w:rPr>
          <w:rFonts w:ascii="Times New Roman" w:hAnsi="Times New Roman" w:eastAsia="Times New Roman" w:cs="Times New Roman"/>
          <w:lang w:val="en-US" w:bidi="en-US"/>
          <w:color w:val="111111"/>
          <w:sz w:val="28"/>
          <w:szCs w:val="28"/>
          <w:rtl/>
        </w:rPr>
        <w:t xml:space="preserve">pāsox be yek īrānī</w:t>
      </w:r>
    </w:p>
    <w:p>
      <w:pPr>
        <w:pStyle w:val="BookText"/>
      </w:pPr>
      <w:r>
        <w:rPr>
          <w:rFonts w:ascii="IRNazanin" w:hAnsi="IRNazanin" w:eastAsia="IRNazanin" w:cs="IRNazanin"/>
          <w:lang w:bidi="fa-IR"/>
          <w:color w:val="111111"/>
          <w:sz w:val="28"/>
          <w:szCs w:val="28"/>
          <w:rtl/>
        </w:rPr>
        <w:t xml:space="preserve">جهاندار، ق۱۴ قمری</w:t>
      </w:r>
    </w:p>
    <w:p>
      <w:pPr>
        <w:pStyle w:val="BookText"/>
      </w:pPr>
      <w:r>
        <w:rPr>
          <w:rFonts w:ascii="Times New Roman" w:hAnsi="Times New Roman" w:eastAsia="Times New Roman" w:cs="Times New Roman"/>
          <w:lang w:val="en-US" w:bidi="en-US"/>
          <w:color w:val="111111"/>
          <w:sz w:val="28"/>
          <w:szCs w:val="28"/>
          <w:rtl/>
        </w:rPr>
        <w:t xml:space="preserve">jahāndār (- 20c)</w:t>
      </w:r>
    </w:p>
    <w:p>
      <w:pPr>
        <w:pStyle w:val="BookText"/>
      </w:pPr>
      <w:r>
        <w:rPr>
          <w:rFonts w:ascii="IRNazanin" w:hAnsi="IRNazanin" w:eastAsia="IRNazanin" w:cs="IRNazanin"/>
          <w:lang w:bidi="fa-IR"/>
          <w:color w:val="111111"/>
          <w:sz w:val="28"/>
          <w:szCs w:val="28"/>
          <w:rtl/>
        </w:rPr>
        <w:t xml:space="preserve">از جهاندار عضو حزب توده ایران، ۱۳۲۴.</w:t>
      </w:r>
    </w:p>
    <w:p>
      <w:pPr>
        <w:pStyle w:val="BookText"/>
      </w:pPr>
      <w:r>
        <w:rPr>
          <w:rFonts w:ascii="IRNazanin" w:hAnsi="IRNazanin" w:eastAsia="IRNazanin" w:cs="IRNazanin"/>
          <w:lang w:bidi="fa-IR"/>
          <w:color w:val="111111"/>
          <w:sz w:val="28"/>
          <w:szCs w:val="28"/>
          <w:rtl/>
        </w:rPr>
        <w:t xml:space="preserve">تهران؛ دانشگاه؛ شماره نسخه: ۴۷۵۲/۶ -۴۷۵۴ف</w:t>
      </w:r>
    </w:p>
    <w:p>
      <w:pPr>
        <w:pStyle w:val="BookText"/>
      </w:pPr>
      <w:r>
        <w:rPr>
          <w:rFonts w:ascii="IRNazanin" w:hAnsi="IRNazanin" w:eastAsia="IRNazanin" w:cs="IRNazanin"/>
          <w:lang w:bidi="fa-IR"/>
          <w:color w:val="111111"/>
          <w:sz w:val="28"/>
          <w:szCs w:val="28"/>
          <w:rtl/>
        </w:rPr>
        <w:t xml:space="preserve">بی کا، بی تا [فيلمها ف: ۳-۱۰۲]</w:t>
      </w:r>
    </w:p>
    <w:p>
      <w:pPr>
        <w:pStyle w:val="Heading3"/>
      </w:pPr>
      <w:bookmarkStart w:id="1548" w:name="_Toc808"/>
      <w:r>
        <w:t>•پاسخ به یک نامه / نامه نگاری / عربی، فارسی</w:t>
      </w:r>
      <w:bookmarkEnd w:id="1548"/>
    </w:p>
    <w:p>
      <w:pPr>
        <w:pStyle w:val="BookText"/>
      </w:pPr>
      <w:r>
        <w:rPr>
          <w:rFonts w:ascii="Times New Roman" w:hAnsi="Times New Roman" w:eastAsia="Times New Roman" w:cs="Times New Roman"/>
          <w:lang w:val="en-US" w:bidi="en-US"/>
          <w:color w:val="111111"/>
          <w:sz w:val="28"/>
          <w:szCs w:val="28"/>
          <w:rtl/>
        </w:rPr>
        <w:t xml:space="preserve">pāsox be yek nāme</w:t>
      </w:r>
    </w:p>
    <w:p>
      <w:pPr>
        <w:pStyle w:val="BookText"/>
      </w:pPr>
      <w:r>
        <w:rPr>
          <w:rFonts w:ascii="IRNazanin" w:hAnsi="IRNazanin" w:eastAsia="IRNazanin" w:cs="IRNazanin"/>
          <w:lang w:bidi="fa-IR"/>
          <w:color w:val="111111"/>
          <w:sz w:val="28"/>
          <w:szCs w:val="28"/>
          <w:rtl/>
        </w:rPr>
        <w:t xml:space="preserve">نویسنده پاسخ یکی از صاحب منصبان حکومت (گویا) قاجاریه است. این نامه پاسخی است به نامه درخواست پاداش برای کتابی که مسائل عرضه کرده است. نویسنده این نامه در پاسخ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58" w:name="pg20363_209516"/>
    <w:bookmarkEnd w:id="258"/>
    <w:p>
      <w:pPr>
        <w:pStyle w:val="BookText"/>
      </w:pPr>
      <w:r>
        <w:rPr>
          <w:rFonts w:ascii="IRNazanin" w:hAnsi="IRNazanin" w:eastAsia="IRNazanin" w:cs="IRNazanin"/>
          <w:lang w:bidi="fa-IR"/>
          <w:color w:val="111111"/>
          <w:sz w:val="28"/>
          <w:szCs w:val="28"/>
          <w:rtl/>
        </w:rPr>
        <w:t xml:space="preserve">درخواست آن شخص در ضمن نامه خود چنین نوشته است: حضرت صاحب رقعه که خود را در عقل و ادراک از اوج افلاک برتر شمارد همان بهتر که از کتاب خود به جواب حقیر کفایت کند و مکتوب مرسل را مکتوم و مهمل گذارد تا ارباب نظر از مطالعه آن به معاتبه برنخیزند و هر دو از لوم لاوم در امان مانیم سبحان الله اگر این مرد عزیز را عقل و تمیز بودی چگونه از چون من که ارجح فلسي على نفسي و حسي على قلبی و عینی و فضتي على مهجتی آمل کرم می شد و سائل درم می گشت و العجب ثم العجب ... بنده حقیر که در جرکه عمال ممالک محسوبم و در حضرت نائب السلطنت بجای عمل منسوب است</w:t>
      </w:r>
    </w:p>
    <w:p>
      <w:pPr>
        <w:pStyle w:val="BookText"/>
      </w:pPr>
      <w:r>
        <w:rPr>
          <w:rFonts w:ascii="IRNazanin" w:hAnsi="IRNazanin" w:eastAsia="IRNazanin" w:cs="IRNazanin"/>
          <w:lang w:bidi="fa-IR"/>
          <w:color w:val="111111"/>
          <w:sz w:val="28"/>
          <w:szCs w:val="28"/>
          <w:rtl/>
        </w:rPr>
        <w:t xml:space="preserve">که از دربار والا به درگاه اعلى مامور گشته سهام چند در عمده الأنام دارم که ضروری چند نمره فرق جواب فرستم یا بر رقعه مجهولی صره معلوم فشانم ...»</w:t>
      </w:r>
    </w:p>
    <w:p>
      <w:pPr>
        <w:pStyle w:val="BookText"/>
      </w:pPr>
      <w:r>
        <w:rPr>
          <w:rFonts w:ascii="IRNazanin" w:hAnsi="IRNazanin" w:eastAsia="IRNazanin" w:cs="IRNazanin"/>
          <w:lang w:bidi="fa-IR"/>
          <w:color w:val="111111"/>
          <w:sz w:val="28"/>
          <w:szCs w:val="28"/>
          <w:rtl/>
        </w:rPr>
        <w:t xml:space="preserve">تهران؛ مجلس؛ شماره نسخه: ۱۷۸۳/۱۱</w:t>
      </w:r>
    </w:p>
    <w:p>
      <w:pPr>
        <w:pStyle w:val="BookText"/>
      </w:pPr>
      <w:r>
        <w:rPr>
          <w:rFonts w:ascii="IRNazanin" w:hAnsi="IRNazanin" w:eastAsia="IRNazanin" w:cs="IRNazanin"/>
          <w:lang w:bidi="fa-IR"/>
          <w:color w:val="111111"/>
          <w:sz w:val="28"/>
          <w:szCs w:val="28"/>
          <w:rtl/>
        </w:rPr>
        <w:t xml:space="preserve">آغاز: جاء الكتاب نجائل روح و ریحان و مراحته مما حوبل نكت البراعه و البلاغة و الفصاحه جمعت صحيفتك الشريفة بالكتابه بين اللطافة و الظرافة؛ انجام: و حالتكم و عرفت مکنون مقالتكم و الله خير ختام خط: شکسته نستعلیق، کا: محمد حسین بن اسماعيل بن حسین تفرشی، بی تا، جلد: تیماج مشکی، ۲ص (۶۱۲-۶۱۳)، ۱۹ سطر ، قطع: خشتی،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۹-۲۸۶]</w:t>
      </w:r>
    </w:p>
    <w:p>
      <w:pPr>
        <w:pStyle w:val="Heading3"/>
      </w:pPr>
      <w:bookmarkStart w:id="1549" w:name="_Toc809"/>
      <w:r>
        <w:t>•پاسخ پرسش اهل مولتان = جواب پرسش اهل مولتان / کلام و اعتقادات / فارسی</w:t>
      </w:r>
      <w:bookmarkEnd w:id="1549"/>
    </w:p>
    <w:p>
      <w:pPr>
        <w:pStyle w:val="BookText"/>
      </w:pPr>
      <w:r>
        <w:rPr>
          <w:rFonts w:ascii="Times New Roman" w:hAnsi="Times New Roman" w:eastAsia="Times New Roman" w:cs="Times New Roman"/>
          <w:lang w:val="en-US" w:bidi="en-US"/>
          <w:color w:val="111111"/>
          <w:sz w:val="28"/>
          <w:szCs w:val="28"/>
          <w:rtl/>
        </w:rPr>
        <w:t xml:space="preserve">pāsox-e porseš-e ahl-e mūltān = javāb-e porseš-e ahl-e mūltān</w:t>
      </w:r>
    </w:p>
    <w:p>
      <w:pPr>
        <w:pStyle w:val="BookText"/>
      </w:pPr>
      <w:r>
        <w:rPr>
          <w:rFonts w:ascii="IRNazanin" w:hAnsi="IRNazanin" w:eastAsia="IRNazanin" w:cs="IRNazanin"/>
          <w:lang w:bidi="fa-IR"/>
          <w:color w:val="111111"/>
          <w:sz w:val="28"/>
          <w:szCs w:val="28"/>
          <w:rtl/>
        </w:rPr>
        <w:t xml:space="preserve">فیض کاشانی، محمد بن شاه مرتضی، ۱۰۰۶-۱۰۹۱ قمری</w:t>
      </w:r>
    </w:p>
    <w:p>
      <w:pPr>
        <w:pStyle w:val="BookText"/>
      </w:pPr>
      <w:r>
        <w:rPr>
          <w:rFonts w:ascii="Times New Roman" w:hAnsi="Times New Roman" w:eastAsia="Times New Roman" w:cs="Times New Roman"/>
          <w:lang w:val="en-US" w:bidi="en-US"/>
          <w:color w:val="111111"/>
          <w:sz w:val="28"/>
          <w:szCs w:val="28"/>
          <w:rtl/>
        </w:rPr>
        <w:t xml:space="preserve">feyz-e kāšānī, mohammad ebn-e šāh morteza (1598 1680)</w:t>
      </w:r>
    </w:p>
    <w:p>
      <w:pPr>
        <w:pStyle w:val="BookText"/>
      </w:pPr>
      <w:r>
        <w:rPr>
          <w:rFonts w:ascii="IRNazanin" w:hAnsi="IRNazanin" w:eastAsia="IRNazanin" w:cs="IRNazanin"/>
          <w:lang w:bidi="fa-IR"/>
          <w:color w:val="111111"/>
          <w:sz w:val="28"/>
          <w:szCs w:val="28"/>
          <w:rtl/>
        </w:rPr>
        <w:t xml:space="preserve">پاسخ پرسش صوفیان اهل مولتان است که می پرسند از دلیل بر حقیقت مذهب شیعه و جواز سب بعض صحابه چیست. این پرسش توسط عبدالسلام تاجر اصفهانی به فیض تقدیم شده است.</w:t>
      </w:r>
    </w:p>
    <w:p>
      <w:pPr>
        <w:pStyle w:val="BookText"/>
      </w:pPr>
      <w:r>
        <w:rPr>
          <w:rFonts w:ascii="IRNazanin" w:hAnsi="IRNazanin" w:eastAsia="IRNazanin" w:cs="IRNazanin"/>
          <w:lang w:bidi="fa-IR"/>
          <w:color w:val="111111"/>
          <w:sz w:val="28"/>
          <w:szCs w:val="28"/>
          <w:rtl/>
        </w:rPr>
        <w:t xml:space="preserve">آغاز: اما بعد غرض از این نوشته بیان آنست که طایفه ای از صوفیان شهر مولتان که از خانواده مشایخ کبار آن بلاد بودند مکتوبی به شخصی از قوم خودشان عبد السلام نام که در شهر اصفهان بتجارت مشغول بود فرستاده بودند ... الحمد لله و سلام على عباده ... اما بعد طالبان راه حق باید بدانند که براهین عقلیه انجام: و این سخنان را بمشافهه بیان توان نمود و بنوشتن بیش از این نتوان و العلم عند الله</w:t>
      </w:r>
    </w:p>
    <w:p>
      <w:pPr>
        <w:pStyle w:val="BookText"/>
      </w:pPr>
      <w:r>
        <w:rPr>
          <w:rFonts w:ascii="IRNazanin" w:hAnsi="IRNazanin" w:eastAsia="IRNazanin" w:cs="IRNazanin"/>
          <w:lang w:bidi="fa-IR"/>
          <w:color w:val="111111"/>
          <w:sz w:val="28"/>
          <w:szCs w:val="28"/>
          <w:rtl/>
        </w:rPr>
        <w:t xml:space="preserve">۱. قم؛ مرعشی؛ شماره نسخه: ۸۲/۵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زیبا، بی کا، تا: حدود قرن ۱۱؛ برای محمد هادی بن شاه مرتضی ثاني ابن محمد مؤمن کاشانی نوه برادر فیض کاشانی و در حیات فیض کتابت شده و دستخط وی در آغاز مجموعه آمده، مصحح، کاغذ: شرقی، جلد: تیماج مشکی، ۴گ (۳۸پ - ۴۱پ)، ۱۸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سم [ف: ۱-۱۰۱]</w:t>
      </w:r>
    </w:p>
    <w:p>
      <w:pPr>
        <w:pStyle w:val="BookText"/>
      </w:pPr>
      <w:r>
        <w:rPr>
          <w:rFonts w:ascii="IRNazanin" w:hAnsi="IRNazanin" w:eastAsia="IRNazanin" w:cs="IRNazanin"/>
          <w:lang w:bidi="fa-IR"/>
          <w:color w:val="111111"/>
          <w:sz w:val="28"/>
          <w:szCs w:val="28"/>
          <w:rtl/>
        </w:rPr>
        <w:t xml:space="preserve">۲. مشهد؛ رضوی؛ شماره نسخه: ۲۱۲۳۷</w:t>
      </w:r>
    </w:p>
    <w:p>
      <w:pPr>
        <w:pStyle w:val="BookText"/>
      </w:pPr>
      <w:r>
        <w:rPr>
          <w:rFonts w:ascii="IRNazanin" w:hAnsi="IRNazanin" w:eastAsia="IRNazanin" w:cs="IRNazanin"/>
          <w:lang w:bidi="fa-IR"/>
          <w:color w:val="111111"/>
          <w:sz w:val="28"/>
          <w:szCs w:val="28"/>
          <w:rtl/>
        </w:rPr>
        <w:t xml:space="preserve">آغاز: برابر؛ انجام: و الصلوة على رسول الله و اهل بیت رسول الله صلی الله علیه و آله</w:t>
      </w:r>
    </w:p>
    <w:p>
      <w:pPr>
        <w:pStyle w:val="BookText"/>
      </w:pPr>
      <w:r>
        <w:rPr>
          <w:rFonts w:ascii="IRNazanin" w:hAnsi="IRNazanin" w:eastAsia="IRNazanin" w:cs="IRNazanin"/>
          <w:lang w:bidi="fa-IR"/>
          <w:color w:val="111111"/>
          <w:sz w:val="28"/>
          <w:szCs w:val="28"/>
          <w:rtl/>
        </w:rPr>
        <w:t xml:space="preserve">خط: نستعلیق، بی کا، تا: ۱۳۴۰ق، کاغذ: نخودی، جلد: مقوا [رایانه ]</w:t>
      </w:r>
    </w:p>
    <w:p>
      <w:pPr>
        <w:pStyle w:val="Heading3"/>
      </w:pPr>
      <w:bookmarkStart w:id="1550" w:name="_Toc810"/>
      <w:r>
        <w:t>•بهادرخان / پاسخ پرسش ها / فارسی</w:t>
      </w:r>
      <w:bookmarkEnd w:id="1550"/>
    </w:p>
    <w:p>
      <w:pPr>
        <w:pStyle w:val="BookText"/>
      </w:pPr>
      <w:r>
        <w:rPr>
          <w:rFonts w:ascii="Times New Roman" w:hAnsi="Times New Roman" w:eastAsia="Times New Roman" w:cs="Times New Roman"/>
          <w:lang w:val="en-US" w:bidi="en-US"/>
          <w:color w:val="111111"/>
          <w:sz w:val="28"/>
          <w:szCs w:val="28"/>
          <w:rtl/>
        </w:rPr>
        <w:t xml:space="preserve">pāsox-e porseš-e bahādor-xān</w:t>
      </w:r>
    </w:p>
    <w:p>
      <w:pPr>
        <w:pStyle w:val="BookText"/>
      </w:pPr>
      <w:r>
        <w:rPr>
          <w:rFonts w:ascii="IRNazanin" w:hAnsi="IRNazanin" w:eastAsia="IRNazanin" w:cs="IRNazanin"/>
          <w:lang w:bidi="fa-IR"/>
          <w:color w:val="111111"/>
          <w:sz w:val="28"/>
          <w:szCs w:val="28"/>
          <w:rtl/>
        </w:rPr>
        <w:t xml:space="preserve">اسلمی هندی، محمد سعید، ق۱۳ قمری</w:t>
      </w:r>
    </w:p>
    <w:p>
      <w:pPr>
        <w:pStyle w:val="BookText"/>
      </w:pPr>
      <w:r>
        <w:rPr>
          <w:rFonts w:ascii="Times New Roman" w:hAnsi="Times New Roman" w:eastAsia="Times New Roman" w:cs="Times New Roman"/>
          <w:lang w:val="en-US" w:bidi="en-US"/>
          <w:color w:val="111111"/>
          <w:sz w:val="28"/>
          <w:szCs w:val="28"/>
          <w:rtl/>
        </w:rPr>
        <w:t xml:space="preserve">aslamī hendī, mohammad saʻid (- 19c)</w:t>
      </w:r>
    </w:p>
    <w:p>
      <w:pPr>
        <w:pStyle w:val="BookText"/>
      </w:pPr>
      <w:r>
        <w:rPr>
          <w:rFonts w:ascii="IRNazanin" w:hAnsi="IRNazanin" w:eastAsia="IRNazanin" w:cs="IRNazanin"/>
          <w:lang w:bidi="fa-IR"/>
          <w:color w:val="111111"/>
          <w:sz w:val="28"/>
          <w:szCs w:val="28"/>
          <w:rtl/>
        </w:rPr>
        <w:t xml:space="preserve">پاسخ پرسشی است در موضوع شفاعت پیغمبر اکرم(صلی الله علیه وآله وسلم)، این پرسش در اطراف گفته های خود اسلمی در کتاب «سفينة النجاة» می باشد.</w:t>
      </w:r>
    </w:p>
    <w:p>
      <w:pPr>
        <w:pStyle w:val="BookText"/>
      </w:pPr>
      <w:r>
        <w:rPr>
          <w:rFonts w:ascii="IRNazanin" w:hAnsi="IRNazanin" w:eastAsia="IRNazanin" w:cs="IRNazanin"/>
          <w:lang w:bidi="fa-IR"/>
          <w:color w:val="111111"/>
          <w:sz w:val="28"/>
          <w:szCs w:val="28"/>
          <w:rtl/>
        </w:rPr>
        <w:t xml:space="preserve">قم؛ مرعشی؛ شماره نسخه: ۶۵۰/۲</w:t>
      </w:r>
    </w:p>
    <w:p>
      <w:pPr>
        <w:pStyle w:val="BookText"/>
      </w:pPr>
      <w:r>
        <w:rPr>
          <w:rFonts w:ascii="IRNazanin" w:hAnsi="IRNazanin" w:eastAsia="IRNazanin" w:cs="IRNazanin"/>
          <w:lang w:bidi="fa-IR"/>
          <w:color w:val="111111"/>
          <w:sz w:val="28"/>
          <w:szCs w:val="28"/>
          <w:rtl/>
        </w:rPr>
        <w:t xml:space="preserve">آغاز: سؤال نواب مستطاب سراج الامراء عظيم جاه بهادر ادام الله اقباله و أحسن الله حاله و مآله؛ انجام: وامعان نظر ضروری است و آن عزيز الوجود است، و الله يقول الحق وهو يهدي السبيل</w:t>
      </w:r>
    </w:p>
    <w:p>
      <w:pPr>
        <w:pStyle w:val="BookText"/>
      </w:pPr>
      <w:r>
        <w:rPr>
          <w:rFonts w:ascii="IRNazanin" w:hAnsi="IRNazanin" w:eastAsia="IRNazanin" w:cs="IRNazanin"/>
          <w:lang w:bidi="fa-IR"/>
          <w:color w:val="111111"/>
          <w:sz w:val="28"/>
          <w:szCs w:val="28"/>
          <w:rtl/>
        </w:rPr>
        <w:t xml:space="preserve">خط: نستعلیق، بی کا، تا: سه شنبه ۷ ذیحجه ۱۲۵۵ق؛ جلد: تیماج قهوه ای، ۱۵گ (هر -۱۹ر)، ۱۱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۲-۲۴۷]</w:t>
      </w:r>
    </w:p>
    <w:p>
      <w:pPr>
        <w:pStyle w:val="Heading3"/>
      </w:pPr>
      <w:bookmarkStart w:id="1551" w:name="_Toc811"/>
      <w:r>
        <w:t>•پاسخ پرسش حاج ملاحسین بن ملاعلی یزدی / پاسخ پرسش ها / عربی</w:t>
      </w:r>
      <w:bookmarkEnd w:id="1551"/>
    </w:p>
    <w:p>
      <w:pPr>
        <w:pStyle w:val="BookText"/>
      </w:pPr>
      <w:r>
        <w:rPr>
          <w:rFonts w:ascii="Times New Roman" w:hAnsi="Times New Roman" w:eastAsia="Times New Roman" w:cs="Times New Roman"/>
          <w:lang w:val="en-US" w:bidi="en-US"/>
          <w:color w:val="111111"/>
          <w:sz w:val="28"/>
          <w:szCs w:val="28"/>
          <w:rtl/>
        </w:rPr>
        <w:t xml:space="preserve">pāsox-e porses-e hāj mollā-hoseyn ebn-e mollā- alī</w:t>
      </w:r>
    </w:p>
    <w:p>
      <w:pPr>
        <w:pStyle w:val="BookText"/>
      </w:pPr>
      <w:r>
        <w:rPr>
          <w:rFonts w:ascii="Times New Roman" w:hAnsi="Times New Roman" w:eastAsia="Times New Roman" w:cs="Times New Roman"/>
          <w:lang w:val="en-US" w:bidi="en-US"/>
          <w:color w:val="111111"/>
          <w:sz w:val="28"/>
          <w:szCs w:val="28"/>
          <w:rtl/>
        </w:rPr>
        <w:t xml:space="preserve">yazdī</w:t>
      </w:r>
    </w:p>
    <w:p>
      <w:pPr>
        <w:pStyle w:val="BookText"/>
      </w:pPr>
      <w:r>
        <w:rPr>
          <w:rFonts w:ascii="IRNazanin" w:hAnsi="IRNazanin" w:eastAsia="IRNazanin" w:cs="IRNazanin"/>
          <w:lang w:bidi="fa-IR"/>
          <w:color w:val="111111"/>
          <w:sz w:val="28"/>
          <w:szCs w:val="28"/>
          <w:rtl/>
        </w:rPr>
        <w:t xml:space="preserve">تهران؛ الهیات؛ شماره نسخه: ۶۰۴/۳</w:t>
      </w:r>
    </w:p>
    <w:p>
      <w:pPr>
        <w:pStyle w:val="BookText"/>
      </w:pPr>
      <w:r>
        <w:rPr>
          <w:rFonts w:ascii="IRNazanin" w:hAnsi="IRNazanin" w:eastAsia="IRNazanin" w:cs="IRNazanin"/>
          <w:lang w:bidi="fa-IR"/>
          <w:color w:val="111111"/>
          <w:sz w:val="28"/>
          <w:szCs w:val="28"/>
          <w:rtl/>
        </w:rPr>
        <w:t xml:space="preserve">خط: نسخ، كا: حسين بن عبدالحسین ماهانی، تا: ۱۸ رمضان ۱۲۷۲ق؛ کاغذ: فرنگی، جلد: تیماج قهوه ای ضربی مقوایی، ۳۳گ (۵۴پ -۸۶پ)، ۱۸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۵۵۳]</w:t>
      </w:r>
    </w:p>
    <w:p>
      <w:pPr>
        <w:pStyle w:val="BookText"/>
      </w:pPr>
      <w:r>
        <w:rPr>
          <w:rFonts w:ascii="IRNazanin" w:hAnsi="IRNazanin" w:eastAsia="IRNazanin" w:cs="IRNazanin"/>
          <w:lang w:bidi="fa-IR"/>
          <w:color w:val="111111"/>
          <w:sz w:val="28"/>
          <w:szCs w:val="28"/>
          <w:rtl/>
        </w:rPr>
        <w:t xml:space="preserve">←پاسخ پرسشهای آقا رضا شش انگشتی ← پاسخ پرسشهای اعتقادی</w:t>
      </w:r>
    </w:p>
    <w:p>
      <w:pPr>
        <w:pStyle w:val="Heading3"/>
      </w:pPr>
      <w:bookmarkStart w:id="1552" w:name="_Toc812"/>
      <w:r>
        <w:t>•پاسخ پرسشهای ارومی / پاسخ پرسش ها / فارسی</w:t>
      </w:r>
      <w:bookmarkEnd w:id="1552"/>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59" w:name="pg20363_209517"/>
    <w:bookmarkEnd w:id="259"/>
    <w:p>
      <w:pPr>
        <w:pStyle w:val="BookText"/>
      </w:pPr>
      <w:r>
        <w:rPr>
          <w:rFonts w:ascii="Times New Roman" w:hAnsi="Times New Roman" w:eastAsia="Times New Roman" w:cs="Times New Roman"/>
          <w:lang w:val="en-US" w:bidi="en-US"/>
          <w:color w:val="111111"/>
          <w:sz w:val="28"/>
          <w:szCs w:val="28"/>
          <w:rtl/>
        </w:rPr>
        <w:t xml:space="preserve">pāsox-e porseš-hā-ye orūmī</w:t>
      </w:r>
    </w:p>
    <w:p>
      <w:pPr>
        <w:pStyle w:val="BookText"/>
      </w:pPr>
      <w:r>
        <w:rPr>
          <w:rFonts w:ascii="IRNazanin" w:hAnsi="IRNazanin" w:eastAsia="IRNazanin" w:cs="IRNazanin"/>
          <w:lang w:bidi="fa-IR"/>
          <w:color w:val="111111"/>
          <w:sz w:val="28"/>
          <w:szCs w:val="28"/>
          <w:rtl/>
        </w:rPr>
        <w:t xml:space="preserve">ارومی، محمد بن فضعلی، ق۱۳ قمری</w:t>
      </w:r>
    </w:p>
    <w:p>
      <w:pPr>
        <w:pStyle w:val="BookText"/>
      </w:pPr>
      <w:r>
        <w:rPr>
          <w:rFonts w:ascii="Times New Roman" w:hAnsi="Times New Roman" w:eastAsia="Times New Roman" w:cs="Times New Roman"/>
          <w:lang w:val="en-US" w:bidi="en-US"/>
          <w:color w:val="111111"/>
          <w:sz w:val="28"/>
          <w:szCs w:val="28"/>
          <w:rtl/>
        </w:rPr>
        <w:t xml:space="preserve">orūmī, mohammad ebn-e faz-alī (- 19c)</w:t>
      </w:r>
    </w:p>
    <w:p>
      <w:pPr>
        <w:pStyle w:val="BookText"/>
      </w:pPr>
      <w:r>
        <w:rPr>
          <w:rFonts w:ascii="Amiri" w:hAnsi="Amiri" w:eastAsia="Amiri" w:cs="Amiri"/>
          <w:lang w:bidi="ar-SA"/>
          <w:color w:val="111111"/>
          <w:sz w:val="28"/>
          <w:szCs w:val="28"/>
          <w:rtl/>
        </w:rPr>
        <w:t xml:space="preserve">تاريخ تأليف: شنبه غره رمضان ۱۲۷۳ق</w:t>
      </w:r>
    </w:p>
    <w:p>
      <w:pPr>
        <w:pStyle w:val="BookText"/>
      </w:pPr>
      <w:r>
        <w:rPr>
          <w:rFonts w:ascii="IRNazanin" w:hAnsi="IRNazanin" w:eastAsia="IRNazanin" w:cs="IRNazanin"/>
          <w:lang w:bidi="fa-IR"/>
          <w:color w:val="111111"/>
          <w:sz w:val="28"/>
          <w:szCs w:val="28"/>
          <w:rtl/>
        </w:rPr>
        <w:t xml:space="preserve">پاسخ های استدلالی است با شواهدی از آیات و احادیث بر پرسش های آخوند ملا عباسقلی امجد ارومی که به صورت متن و شرح نگاشته شده درباره: صفات الهی، معنی تفویض، تفسیر آیه «الخبيثات للخبيثين» و آیه «و لا يجعل الله للكافرين على المومنین سبيلا» سعادت و شقاوت. بعضی فرازهای پاسخ عربی است.</w:t>
      </w:r>
    </w:p>
    <w:p>
      <w:pPr>
        <w:pStyle w:val="BookText"/>
      </w:pPr>
      <w:r>
        <w:rPr>
          <w:rFonts w:ascii="IRNazanin" w:hAnsi="IRNazanin" w:eastAsia="IRNazanin" w:cs="IRNazanin"/>
          <w:lang w:bidi="fa-IR"/>
          <w:color w:val="111111"/>
          <w:sz w:val="28"/>
          <w:szCs w:val="28"/>
          <w:rtl/>
        </w:rPr>
        <w:t xml:space="preserve">قم؛ مرعشی؛ شماره نسخه: ۱۰۹۸۳/۱</w:t>
      </w:r>
    </w:p>
    <w:p>
      <w:pPr>
        <w:pStyle w:val="BookText"/>
      </w:pPr>
      <w:r>
        <w:rPr>
          <w:rFonts w:ascii="IRNazanin" w:hAnsi="IRNazanin" w:eastAsia="IRNazanin" w:cs="IRNazanin"/>
          <w:lang w:bidi="fa-IR"/>
          <w:color w:val="111111"/>
          <w:sz w:val="28"/>
          <w:szCs w:val="28"/>
          <w:rtl/>
        </w:rPr>
        <w:t xml:space="preserve">آغاز: احمد کی یا من يستجيب لدعوة الداعين و يجيب لمسئلة السائلین و اصلی و اسلم على نبيه و رسوله محمد الذي جعله رحمة للعالمين؛ انجام: و اذکر بدعاء الخير حین مطالعتها و الله خليفتی و هو خالقی و رازقی و حمیتی و محیی و بیده حشری ونشری خط: نستعلیق، کا: ارومی، بی تا، مجدول؛ جلد: مقوایی عطف و حواشی تیماج مشکی، ۲۸گ (۲پ-۲۹پ)،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۲۷-۳۹۴]</w:t>
      </w:r>
    </w:p>
    <w:p>
      <w:pPr>
        <w:pStyle w:val="Heading3"/>
      </w:pPr>
      <w:bookmarkStart w:id="1553" w:name="_Toc813"/>
      <w:r>
        <w:t>•پاسخ پرسشهای اصلان خان / پاسخ پرسش ها / فارسی</w:t>
      </w:r>
      <w:bookmarkEnd w:id="1553"/>
    </w:p>
    <w:p>
      <w:pPr>
        <w:pStyle w:val="BookText"/>
      </w:pPr>
      <w:r>
        <w:rPr>
          <w:rFonts w:ascii="Times New Roman" w:hAnsi="Times New Roman" w:eastAsia="Times New Roman" w:cs="Times New Roman"/>
          <w:lang w:val="en-US" w:bidi="en-US"/>
          <w:color w:val="111111"/>
          <w:sz w:val="28"/>
          <w:szCs w:val="28"/>
          <w:rtl/>
        </w:rPr>
        <w:t xml:space="preserve">pāsox-e porseš-hā-ye aslān xān</w:t>
      </w:r>
    </w:p>
    <w:p>
      <w:pPr>
        <w:pStyle w:val="BookText"/>
      </w:pPr>
      <w:r>
        <w:rPr>
          <w:rFonts w:ascii="IRNazanin" w:hAnsi="IRNazanin" w:eastAsia="IRNazanin" w:cs="IRNazanin"/>
          <w:lang w:bidi="fa-IR"/>
          <w:color w:val="111111"/>
          <w:sz w:val="28"/>
          <w:szCs w:val="28"/>
          <w:rtl/>
        </w:rPr>
        <w:t xml:space="preserve">کرمانی، محمد بن محمد کریم، ۱۲۶۳-۱۳۲۴ قمری</w:t>
      </w:r>
    </w:p>
    <w:p>
      <w:pPr>
        <w:pStyle w:val="BookText"/>
      </w:pPr>
      <w:r>
        <w:rPr>
          <w:rFonts w:ascii="Times New Roman" w:hAnsi="Times New Roman" w:eastAsia="Times New Roman" w:cs="Times New Roman"/>
          <w:lang w:val="en-US" w:bidi="en-US"/>
          <w:color w:val="111111"/>
          <w:sz w:val="28"/>
          <w:szCs w:val="28"/>
          <w:rtl/>
        </w:rPr>
        <w:t xml:space="preserve">kermānī, mohammad ebn-e mohammad karīm (1847</w:t>
      </w:r>
    </w:p>
    <w:p>
      <w:pPr>
        <w:pStyle w:val="BookText"/>
      </w:pPr>
      <w:r>
        <w:rPr>
          <w:rFonts w:ascii="Times New Roman" w:hAnsi="Times New Roman" w:eastAsia="Times New Roman" w:cs="Times New Roman"/>
          <w:lang w:val="en-US" w:bidi="en-US"/>
          <w:color w:val="111111"/>
          <w:sz w:val="28"/>
          <w:szCs w:val="28"/>
          <w:rtl/>
        </w:rPr>
        <w:t xml:space="preserve">1906.</w:t>
      </w:r>
    </w:p>
    <w:p>
      <w:pPr>
        <w:pStyle w:val="BookText"/>
      </w:pPr>
      <w:r>
        <w:rPr>
          <w:rFonts w:ascii="IRNazanin" w:hAnsi="IRNazanin" w:eastAsia="IRNazanin" w:cs="IRNazanin"/>
          <w:lang w:bidi="fa-IR"/>
          <w:color w:val="111111"/>
          <w:sz w:val="28"/>
          <w:szCs w:val="28"/>
          <w:rtl/>
        </w:rPr>
        <w:t xml:space="preserve">پنج پرسش است از امیر اصلان خان همدانی درباره روح و بدن انسان پس از مرگ وی، و نظر حاج کریم خان و آنچه در کتاب ارشاد العوام» خود درباره این موضوع گفته است. پاسخ ها در این رساله نسبتا مختصر و مؤلف گفته های پدر را تأیید و تثبیت می کند.</w:t>
      </w:r>
    </w:p>
    <w:p>
      <w:pPr>
        <w:pStyle w:val="BookText"/>
      </w:pPr>
      <w:r>
        <w:rPr>
          <w:rFonts w:ascii="IRNazanin" w:hAnsi="IRNazanin" w:eastAsia="IRNazanin" w:cs="IRNazanin"/>
          <w:lang w:bidi="fa-IR"/>
          <w:color w:val="111111"/>
          <w:sz w:val="28"/>
          <w:szCs w:val="28"/>
          <w:rtl/>
        </w:rPr>
        <w:t xml:space="preserve">آغاز: الحمدلله رب العالمين ... عالیجاه سعادت همراه مخدوم مکرم و مطاع مفخم مقرب الحضرة العلية وصاحب المكارم السنية انجام: بلکه دهنه آتش کشیده است تا به این دنیا و هر کس در حد خود می ایستد و همین قدر در جواب کافی است..</w:t>
      </w:r>
    </w:p>
    <w:p>
      <w:pPr>
        <w:pStyle w:val="BookText"/>
      </w:pPr>
      <w:r>
        <w:rPr>
          <w:rFonts w:ascii="IRNazanin" w:hAnsi="IRNazanin" w:eastAsia="IRNazanin" w:cs="IRNazanin"/>
          <w:lang w:bidi="fa-IR"/>
          <w:color w:val="111111"/>
          <w:sz w:val="28"/>
          <w:szCs w:val="28"/>
          <w:rtl/>
        </w:rPr>
        <w:t xml:space="preserve">[فهرستواره منزوی ۲۴۹/۹ ]</w:t>
      </w:r>
    </w:p>
    <w:p>
      <w:pPr>
        <w:pStyle w:val="BookText"/>
      </w:pPr>
      <w:r>
        <w:rPr>
          <w:rFonts w:ascii="IRNazanin" w:hAnsi="IRNazanin" w:eastAsia="IRNazanin" w:cs="IRNazanin"/>
          <w:lang w:bidi="fa-IR"/>
          <w:color w:val="111111"/>
          <w:sz w:val="28"/>
          <w:szCs w:val="28"/>
          <w:rtl/>
        </w:rPr>
        <w:t xml:space="preserve">۱. قم: مرکز احیاء؛ شماره نسخه: ۲۰۲/۲</w:t>
      </w:r>
    </w:p>
    <w:p>
      <w:pPr>
        <w:pStyle w:val="BookText"/>
      </w:pPr>
      <w:r>
        <w:rPr>
          <w:rFonts w:ascii="IRNazanin" w:hAnsi="IRNazanin" w:eastAsia="IRNazanin" w:cs="IRNazanin"/>
          <w:lang w:bidi="fa-IR"/>
          <w:color w:val="111111"/>
          <w:sz w:val="28"/>
          <w:szCs w:val="28"/>
          <w:rtl/>
        </w:rPr>
        <w:t xml:space="preserve">آغاز و انجام: برابر خط: نسخ و نستعلیق، کا: محمد سنقری، تا: رمضان ۱۳۰۲ق؛ جلد: تیماج قهوه ای بدون مقوا، ۸۰گ، ۱۶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۲۹۳-۱]</w:t>
      </w:r>
    </w:p>
    <w:p>
      <w:pPr>
        <w:pStyle w:val="BookText"/>
      </w:pPr>
      <w:r>
        <w:rPr>
          <w:rFonts w:ascii="IRNazanin" w:hAnsi="IRNazanin" w:eastAsia="IRNazanin" w:cs="IRNazanin"/>
          <w:lang w:bidi="fa-IR"/>
          <w:color w:val="111111"/>
          <w:sz w:val="28"/>
          <w:szCs w:val="28"/>
          <w:rtl/>
        </w:rPr>
        <w:t xml:space="preserve">۲. قم؛ مرکز احیاء؛ شماره نسخه: ۸۵۰/۱</w:t>
      </w:r>
    </w:p>
    <w:p>
      <w:pPr>
        <w:pStyle w:val="BookText"/>
      </w:pPr>
      <w:r>
        <w:rPr>
          <w:rFonts w:ascii="IRNazanin" w:hAnsi="IRNazanin" w:eastAsia="IRNazanin" w:cs="IRNazanin"/>
          <w:lang w:bidi="fa-IR"/>
          <w:color w:val="111111"/>
          <w:sz w:val="28"/>
          <w:szCs w:val="28"/>
          <w:rtl/>
        </w:rPr>
        <w:t xml:space="preserve">خط: نستعلیق، كان محمد بن جواد قزوینی طهرانی، بی تا، جلد: تیماج قهوه ای، ۲۰گ(۱پ-۲۰ر)،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۳-۶۲]</w:t>
      </w:r>
    </w:p>
    <w:p>
      <w:pPr>
        <w:pStyle w:val="Heading3"/>
      </w:pPr>
      <w:bookmarkStart w:id="1554" w:name="_Toc814"/>
      <w:r>
        <w:t>•پاسخ پرسشهای اعتقادی = اجوبة الاسئله / پاسخ پرسش ها / فارسی</w:t>
      </w:r>
      <w:bookmarkEnd w:id="1554"/>
    </w:p>
    <w:p>
      <w:pPr>
        <w:pStyle w:val="BookText"/>
      </w:pPr>
      <w:r>
        <w:rPr>
          <w:rFonts w:ascii="Times New Roman" w:hAnsi="Times New Roman" w:eastAsia="Times New Roman" w:cs="Times New Roman"/>
          <w:lang w:val="en-US" w:bidi="en-US"/>
          <w:color w:val="111111"/>
          <w:sz w:val="28"/>
          <w:szCs w:val="28"/>
          <w:rtl/>
        </w:rPr>
        <w:t xml:space="preserve">pāsox-e porseš-hā-ye e'teqādī= ajvebat-ol as'ela</w:t>
      </w:r>
    </w:p>
    <w:p>
      <w:pPr>
        <w:pStyle w:val="BookText"/>
      </w:pPr>
      <w:r>
        <w:rPr>
          <w:rFonts w:ascii="IRNazanin" w:hAnsi="IRNazanin" w:eastAsia="IRNazanin" w:cs="IRNazanin"/>
          <w:lang w:bidi="fa-IR"/>
          <w:color w:val="111111"/>
          <w:sz w:val="28"/>
          <w:szCs w:val="28"/>
          <w:rtl/>
        </w:rPr>
        <w:t xml:space="preserve">میرزا بابا شیرازی، ابوالقاسم بن عبد النبي، ۱۲۱۲؟ - ۱۲۸۶ قمری</w:t>
      </w:r>
    </w:p>
    <w:p>
      <w:pPr>
        <w:pStyle w:val="BookText"/>
      </w:pPr>
      <w:r>
        <w:rPr>
          <w:rFonts w:ascii="Times New Roman" w:hAnsi="Times New Roman" w:eastAsia="Times New Roman" w:cs="Times New Roman"/>
          <w:lang w:val="en-US" w:bidi="en-US"/>
          <w:color w:val="111111"/>
          <w:sz w:val="28"/>
          <w:szCs w:val="28"/>
          <w:rtl/>
        </w:rPr>
        <w:t xml:space="preserve">mīrzā bābā šīrāzī, ab-ol-qāsem ebn-e ‘abd-on-nabī (1798-1870)</w:t>
      </w:r>
    </w:p>
    <w:p>
      <w:pPr>
        <w:pStyle w:val="BookText"/>
      </w:pPr>
      <w:r>
        <w:rPr>
          <w:rFonts w:ascii="IRNazanin" w:hAnsi="IRNazanin" w:eastAsia="IRNazanin" w:cs="IRNazanin"/>
          <w:lang w:bidi="fa-IR"/>
          <w:color w:val="111111"/>
          <w:sz w:val="28"/>
          <w:szCs w:val="28"/>
          <w:rtl/>
        </w:rPr>
        <w:t xml:space="preserve">مشتمل بر دوازده پرسش و پاسخ در معارف و اعتقادات: صلوات بر خاندان عصمت مکمل آن ذوات قدسیه است یا مکمل صلوات فرستنده؛ معنی حدیث قصر صلوة؛ ابدان عنصری حجج الهيه؛ وجه تسمیه امام هشتم به قبله هفتم؛ تهالك سالک؛ معنی</w:t>
      </w:r>
    </w:p>
    <w:p>
      <w:pPr>
        <w:pStyle w:val="BookText"/>
      </w:pPr>
      <w:r>
        <w:rPr>
          <w:rFonts w:ascii="IRNazanin" w:hAnsi="IRNazanin" w:eastAsia="IRNazanin" w:cs="IRNazanin"/>
          <w:lang w:bidi="fa-IR"/>
          <w:color w:val="111111"/>
          <w:sz w:val="28"/>
          <w:szCs w:val="28"/>
          <w:rtl/>
        </w:rPr>
        <w:t xml:space="preserve">حدیث «کنت کنزا مخفیا» اخوت پیغمبر(صلی الله علیه وآله وسلم)با امیر مؤمنان و اخوت دادن اصحاب با یکدیگر اختلاف نظر عرفاء با شیخ احمد احسائی در علت العلل اشیاء؛ آخرین مقام صاحب ولایت جزئیه؛ ادوار در لسان شریعت و عرفاء؛ معنی حدیث شریف «انا و على ابو هذه الأمة» و هم منظومه عربی در مسئله «ربط حادث به قدیم» که پنداشته نام آن «منهاج الهدی» باشد. در آن از قوائم الانوار و طوالع الاسرار و تباشير الحکمه یا تحفه ناصریه او یاد شده است.</w:t>
      </w:r>
    </w:p>
    <w:p>
      <w:pPr>
        <w:pStyle w:val="BookText"/>
      </w:pPr>
      <w:r>
        <w:rPr>
          <w:rFonts w:ascii="IRNazanin" w:hAnsi="IRNazanin" w:eastAsia="IRNazanin" w:cs="IRNazanin"/>
          <w:lang w:bidi="fa-IR"/>
          <w:color w:val="111111"/>
          <w:sz w:val="28"/>
          <w:szCs w:val="28"/>
          <w:rtl/>
        </w:rPr>
        <w:t xml:space="preserve">آغاز: الحمد لوليه مبدأ خلقه و منشأ لواء رحمته و آخر دعوی اهل حبه و الصلوة ... اما بعد فاعلم ايها الولد الحنان البار الشفيق المستمسك بزمام التوفيق</w:t>
      </w:r>
    </w:p>
    <w:p>
      <w:pPr>
        <w:pStyle w:val="BookText"/>
      </w:pPr>
      <w:r>
        <w:rPr>
          <w:rFonts w:ascii="IRNazanin" w:hAnsi="IRNazanin" w:eastAsia="IRNazanin" w:cs="IRNazanin"/>
          <w:lang w:bidi="fa-IR"/>
          <w:color w:val="111111"/>
          <w:sz w:val="28"/>
          <w:szCs w:val="28"/>
          <w:rtl/>
        </w:rPr>
        <w:t xml:space="preserve">انجام: بقوله صلى الله عليه و آله علماء امتی کانبیاء بنی اسرائیل او کافضل و تفصیل این مطلب شريف را در کتاب مذکور طلب فرمایند تمت اجوبة الاسؤلة بتوفيق الله.</w:t>
      </w:r>
    </w:p>
    <w:p>
      <w:pPr>
        <w:pStyle w:val="BookText"/>
      </w:pPr>
      <w:r>
        <w:rPr>
          <w:rFonts w:ascii="IRNazanin" w:hAnsi="IRNazanin" w:eastAsia="IRNazanin" w:cs="IRNazanin"/>
          <w:lang w:bidi="fa-IR"/>
          <w:color w:val="111111"/>
          <w:sz w:val="28"/>
          <w:szCs w:val="28"/>
          <w:rtl/>
        </w:rPr>
        <w:t xml:space="preserve">[دنا ۶۲۱/۲ ؛ فهرستواره منزوی ۳۹/۷ (۱ نسخه) و ۱۶۰/۹ ]</w:t>
      </w:r>
    </w:p>
    <w:p>
      <w:pPr>
        <w:pStyle w:val="BookText"/>
      </w:pPr>
      <w:r>
        <w:rPr>
          <w:rFonts w:ascii="IRNazanin" w:hAnsi="IRNazanin" w:eastAsia="IRNazanin" w:cs="IRNazanin"/>
          <w:lang w:bidi="fa-IR"/>
          <w:color w:val="111111"/>
          <w:sz w:val="28"/>
          <w:szCs w:val="28"/>
          <w:rtl/>
        </w:rPr>
        <w:t xml:space="preserve">١. مشهد؛ رضوی؛ شماره نسخه: ۹۴۰۵</w:t>
      </w:r>
    </w:p>
    <w:p>
      <w:pPr>
        <w:pStyle w:val="BookText"/>
      </w:pPr>
      <w:r>
        <w:rPr>
          <w:rFonts w:ascii="IRNazanin" w:hAnsi="IRNazanin" w:eastAsia="IRNazanin" w:cs="IRNazanin"/>
          <w:lang w:bidi="fa-IR"/>
          <w:color w:val="111111"/>
          <w:sz w:val="28"/>
          <w:szCs w:val="28"/>
          <w:rtl/>
        </w:rPr>
        <w:t xml:space="preserve">آغاز: برابر؛ انجام: و سموها بمنهاج الهدى للعلم تکميلا تذکر: نام مؤلف به قرينه اغاز نسخه تعیین شد؛ خط: نستعلیق و شکسته، بی کا، تا: ذیحجه ۱۲۸۲ق؛ واقف: شمس الدین پرویزی؛ کاغذ: فستقی، ۳۴گ، ۱۶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۱۱-۱۰]</w:t>
      </w:r>
    </w:p>
    <w:p>
      <w:pPr>
        <w:pStyle w:val="BookText"/>
      </w:pPr>
      <w:r>
        <w:rPr>
          <w:rFonts w:ascii="IRNazanin" w:hAnsi="IRNazanin" w:eastAsia="IRNazanin" w:cs="IRNazanin"/>
          <w:lang w:bidi="fa-IR"/>
          <w:color w:val="111111"/>
          <w:sz w:val="28"/>
          <w:szCs w:val="28"/>
          <w:rtl/>
        </w:rPr>
        <w:t xml:space="preserve">۲. مشهد؛ رضوی؛ شماره نسخه: ۱۱۰۲۴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ربيع الاول ۱۲۸۴ق؛ کاغذ: نخودی، جلد: تیماج، ۱۱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[الفبائی: ۲۱]</w:t>
      </w:r>
    </w:p>
    <w:p>
      <w:pPr>
        <w:pStyle w:val="BookText"/>
      </w:pPr>
      <w:r>
        <w:rPr>
          <w:rFonts w:ascii="IRNazanin" w:hAnsi="IRNazanin" w:eastAsia="IRNazanin" w:cs="IRNazanin"/>
          <w:lang w:bidi="fa-IR"/>
          <w:color w:val="111111"/>
          <w:sz w:val="28"/>
          <w:szCs w:val="28"/>
          <w:rtl/>
        </w:rPr>
        <w:t xml:space="preserve">٣. چالوس؛ امام صادق؛ شماره نسخه: ۵۳۱/۳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تا: ربیع الاول ۱۲۸۴ق؛ مصحح؛ جلد: تیماج قهوه ای، ۲۷گ [ف: ۲۷۷]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60" w:name="pg20363_209518"/>
    <w:bookmarkEnd w:id="260"/>
    <w:p>
      <w:pPr>
        <w:pStyle w:val="BookText"/>
      </w:pPr>
      <w:r>
        <w:rPr>
          <w:rFonts w:ascii="IRNazanin" w:hAnsi="IRNazanin" w:eastAsia="IRNazanin" w:cs="IRNazanin"/>
          <w:lang w:bidi="fa-IR"/>
          <w:color w:val="111111"/>
          <w:sz w:val="28"/>
          <w:szCs w:val="28"/>
          <w:rtl/>
        </w:rPr>
        <w:t xml:space="preserve">۴. قم: مرکز احیاء؛ شماره نسخه: ۱۸۱۸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خوش، بی کا، تا: قرن ۱۴، در پایان این نسخه قصیده ای از جلال الدين و چکامه ای از عشقی افزوده شده، گویا در مدح میرزا ابوالقاسم ذهبی؛ جلد: مقوایی عطف تیماج قهوه ای، ۴۹گ، ۱۵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۵-۲۳۷]</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شیراز؛ شاهچراغ؛ شماره نسخه: ۶۱۸/۸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مؤلف در فهرست شناسایی نشده که با توجه به آغاز آن تعیین گردید؛ خط: شکسته نستعلیق خوب، كا: اسماعیل راثی، تا: ۱۳۱۰ق، کاغذ: آبی و خاکستری، جلد: مقوا با تیماج قهوه ای،</w:t>
      </w:r>
    </w:p>
    <w:p>
      <w:pPr>
        <w:pStyle w:val="BookText"/>
      </w:pPr>
      <w:r>
        <w:rPr>
          <w:rFonts w:ascii="IRNazanin" w:hAnsi="IRNazanin" w:eastAsia="IRNazanin" w:cs="IRNazanin"/>
          <w:lang w:bidi="fa-IR"/>
          <w:color w:val="111111"/>
          <w:sz w:val="28"/>
          <w:szCs w:val="28"/>
          <w:rtl/>
        </w:rPr>
        <w:t xml:space="preserve">۵۱ص، ۱۹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۲-۳۱۹]</w:t>
      </w:r>
    </w:p>
    <w:p>
      <w:pPr>
        <w:pStyle w:val="BookText"/>
      </w:pPr>
      <w:r>
        <w:rPr>
          <w:rFonts w:ascii="IRNazanin" w:hAnsi="IRNazanin" w:eastAsia="IRNazanin" w:cs="IRNazanin"/>
          <w:lang w:bidi="fa-IR"/>
          <w:color w:val="111111"/>
          <w:sz w:val="28"/>
          <w:szCs w:val="28"/>
          <w:rtl/>
        </w:rPr>
        <w:t xml:space="preserve">۶. تهران؛ مجلس؛ شماره نسخه: ۱۰۶۳۴/۲</w:t>
      </w:r>
    </w:p>
    <w:p>
      <w:pPr>
        <w:pStyle w:val="BookText"/>
      </w:pPr>
      <w:r>
        <w:rPr>
          <w:rFonts w:ascii="IRNazanin" w:hAnsi="IRNazanin" w:eastAsia="IRNazanin" w:cs="IRNazanin"/>
          <w:lang w:bidi="fa-IR"/>
          <w:color w:val="111111"/>
          <w:sz w:val="28"/>
          <w:szCs w:val="28"/>
          <w:rtl/>
        </w:rPr>
        <w:t xml:space="preserve">آغاز: برابر؛ انجام: علما امتی کانبیاء بنی اسرائیل او افضل، تفصیل این مطلب شريف عزیز را در کتاب قوائم الانوار طلب فرمایید.</w:t>
      </w:r>
    </w:p>
    <w:p>
      <w:pPr>
        <w:pStyle w:val="BookText"/>
      </w:pPr>
      <w:r>
        <w:rPr>
          <w:rFonts w:ascii="IRNazanin" w:hAnsi="IRNazanin" w:eastAsia="IRNazanin" w:cs="IRNazanin"/>
          <w:lang w:bidi="fa-IR"/>
          <w:color w:val="111111"/>
          <w:sz w:val="28"/>
          <w:szCs w:val="28"/>
          <w:rtl/>
        </w:rPr>
        <w:t xml:space="preserve">خط: نستعلیق، کا: محمدرضا ويشتعلی، تا: ۲۵ محرم ۱۳۱۹ق؛ جلد: مقوا، ۴۵ص (۷۳-۱۱۷)،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۳۳/۱ -۱۴۰]</w:t>
      </w:r>
    </w:p>
    <w:p>
      <w:pPr>
        <w:pStyle w:val="BookText"/>
      </w:pPr>
      <w:r>
        <w:rPr>
          <w:rFonts w:ascii="IRNazanin" w:hAnsi="IRNazanin" w:eastAsia="IRNazanin" w:cs="IRNazanin"/>
          <w:lang w:bidi="fa-IR"/>
          <w:color w:val="111111"/>
          <w:sz w:val="28"/>
          <w:szCs w:val="28"/>
          <w:rtl/>
        </w:rPr>
        <w:t xml:space="preserve">۷. قم؛ مرعشی؛ شماره نسخه: ۷۳۵۴/۲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حاج محسن مدرس خوشنویس بن ملا حسنعلی اردبیلی ملقب به عماد الفقراء، تا: ۱۳۶۲ق؛ جلد: تیماج قهوه ای، ۱۸گ (۱۸ر۳۵پ)، ۱۹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۱۹-۱۵۴]</w:t>
      </w:r>
    </w:p>
    <w:p>
      <w:pPr>
        <w:pStyle w:val="BookText"/>
      </w:pPr>
      <w:r>
        <w:rPr>
          <w:rFonts w:ascii="IRNazanin" w:hAnsi="IRNazanin" w:eastAsia="IRNazanin" w:cs="IRNazanin"/>
          <w:lang w:bidi="fa-IR"/>
          <w:color w:val="111111"/>
          <w:sz w:val="28"/>
          <w:szCs w:val="28"/>
          <w:rtl/>
        </w:rPr>
        <w:t xml:space="preserve">۸. قم؛ مرکز احیاء؛ شماره نسخه: ۱۴۷۶/۱</w:t>
      </w:r>
    </w:p>
    <w:p>
      <w:pPr>
        <w:pStyle w:val="BookText"/>
      </w:pPr>
      <w:r>
        <w:rPr>
          <w:rFonts w:ascii="IRNazanin" w:hAnsi="IRNazanin" w:eastAsia="IRNazanin" w:cs="IRNazanin"/>
          <w:lang w:bidi="fa-IR"/>
          <w:color w:val="111111"/>
          <w:sz w:val="28"/>
          <w:szCs w:val="28"/>
          <w:rtl/>
        </w:rPr>
        <w:t xml:space="preserve">آغاز: برابر؛ انجام: زیرا که در ظهور ایشان از این دو نور مبارک با این امت مرحومه مساوق و همدوشند پس انبیا و رسل نیز دو پدر هستند.. .</w:t>
      </w:r>
    </w:p>
    <w:p>
      <w:pPr>
        <w:pStyle w:val="BookText"/>
      </w:pPr>
      <w:r>
        <w:rPr>
          <w:rFonts w:ascii="IRNazanin" w:hAnsi="IRNazanin" w:eastAsia="IRNazanin" w:cs="IRNazanin"/>
          <w:lang w:bidi="fa-IR"/>
          <w:color w:val="111111"/>
          <w:sz w:val="28"/>
          <w:szCs w:val="28"/>
          <w:rtl/>
        </w:rPr>
        <w:t xml:space="preserve">خط: نستعلیق، كا: عبدالله بن ملا محمد مازندرانی، بی تا، افتادگی: انجام؛ جلد: تیماج قهوه ای بدون مقوا، ۳۳گ (۱پ -۳۳پ)،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۴-۳۱۲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دانشگاه؛ شماره نسخه: ۳۸۸۷/۴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محسن موسوی سپاهانی، بی تا، کاغذ: فرنگی، جلد: تیماج سرخ ضربی، ۳۹گ (۱۲۳پ - ۱۶۱)، ۱۴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۱۲-۲۸۷۴]</w:t>
      </w:r>
    </w:p>
    <w:p>
      <w:pPr>
        <w:pStyle w:val="Heading3"/>
      </w:pPr>
      <w:bookmarkStart w:id="1555" w:name="_Toc815"/>
      <w:r>
        <w:t>• پاسخ پرسشهای اعتقادی / کلام و اعتقادات / فارسی</w:t>
      </w:r>
      <w:bookmarkEnd w:id="1555"/>
    </w:p>
    <w:p>
      <w:pPr>
        <w:pStyle w:val="BookText"/>
      </w:pPr>
      <w:r>
        <w:rPr>
          <w:rFonts w:ascii="Times New Roman" w:hAnsi="Times New Roman" w:eastAsia="Times New Roman" w:cs="Times New Roman"/>
          <w:lang w:val="en-US" w:bidi="en-US"/>
          <w:color w:val="111111"/>
          <w:sz w:val="28"/>
          <w:szCs w:val="28"/>
          <w:rtl/>
        </w:rPr>
        <w:t xml:space="preserve">pāsox-e porseš-hā-ye eʻteqādī</w:t>
      </w:r>
    </w:p>
    <w:p>
      <w:pPr>
        <w:pStyle w:val="BookText"/>
      </w:pPr>
      <w:r>
        <w:rPr>
          <w:rFonts w:ascii="IRNazanin" w:hAnsi="IRNazanin" w:eastAsia="IRNazanin" w:cs="IRNazanin"/>
          <w:lang w:bidi="fa-IR"/>
          <w:color w:val="111111"/>
          <w:sz w:val="28"/>
          <w:szCs w:val="28"/>
          <w:rtl/>
        </w:rPr>
        <w:t xml:space="preserve">کرمانی، محمد کریم بن ابراهیم، ۱۲۲۵-۱۲۸۸ قمری</w:t>
      </w:r>
    </w:p>
    <w:p>
      <w:pPr>
        <w:pStyle w:val="BookText"/>
      </w:pPr>
      <w:r>
        <w:rPr>
          <w:rFonts w:ascii="Times New Roman" w:hAnsi="Times New Roman" w:eastAsia="Times New Roman" w:cs="Times New Roman"/>
          <w:lang w:val="en-US" w:bidi="en-US"/>
          <w:color w:val="111111"/>
          <w:sz w:val="28"/>
          <w:szCs w:val="28"/>
          <w:rtl/>
        </w:rPr>
        <w:t xml:space="preserve">kermānī, mohammad karīm ebn-e ebrāhīm (1810 -1871)</w:t>
      </w:r>
    </w:p>
    <w:p>
      <w:pPr>
        <w:pStyle w:val="BookText"/>
      </w:pPr>
      <w:r>
        <w:rPr>
          <w:rFonts w:ascii="IRNazanin" w:hAnsi="IRNazanin" w:eastAsia="IRNazanin" w:cs="IRNazanin"/>
          <w:lang w:bidi="fa-IR"/>
          <w:color w:val="111111"/>
          <w:sz w:val="28"/>
          <w:szCs w:val="28"/>
          <w:rtl/>
        </w:rPr>
        <w:t xml:space="preserve">تاريخ تأليف: اواسط صفر ۱۲۹۳ق مؤلف که خود را منتسب به طباطبا معرفی می کند، می گوید:« بعضی از اکابر سؤالاتی برای جناب قبلگاه فرستاد و چون ایشان فرصت پاسخگویی بدانها را نداشت، من از زبان ایشان جواب عرض می کنم» و این مختصر مشتمل بر سؤالات رسیده و پاسخ های طباطبایی است و در موضوعات مختلف عقاید شیخیه در آن بیان شده است. (حافظیان)</w:t>
      </w:r>
    </w:p>
    <w:p>
      <w:pPr>
        <w:pStyle w:val="BookText"/>
      </w:pPr>
      <w:r>
        <w:rPr>
          <w:rFonts w:ascii="IRNazanin" w:hAnsi="IRNazanin" w:eastAsia="IRNazanin" w:cs="IRNazanin"/>
          <w:lang w:bidi="fa-IR"/>
          <w:color w:val="111111"/>
          <w:sz w:val="28"/>
          <w:szCs w:val="28"/>
          <w:rtl/>
        </w:rPr>
        <w:t xml:space="preserve">آغاز: آغاز: حمدله. و صلی الله على محمد و آله الطاهرین و رهطه المخلصين و لعنة الله على اعدائهم اجمعین. و بعد چنین گوید العبد المنتمي الى الطباطبا من آل عبا که جناب قبلگاه بعض الحواج و المعتمرین فرمایش فرمودند که بعضی از اکابر ...</w:t>
      </w:r>
    </w:p>
    <w:p>
      <w:pPr>
        <w:pStyle w:val="BookText"/>
      </w:pPr>
      <w:r>
        <w:rPr>
          <w:rFonts w:ascii="IRNazanin" w:hAnsi="IRNazanin" w:eastAsia="IRNazanin" w:cs="IRNazanin"/>
          <w:lang w:bidi="fa-IR"/>
          <w:color w:val="111111"/>
          <w:sz w:val="28"/>
          <w:szCs w:val="28"/>
          <w:rtl/>
        </w:rPr>
        <w:t xml:space="preserve">چاپ: تبریز، سنگی، ۱۳۳۵، خشتی، ۱۸ص</w:t>
      </w:r>
    </w:p>
    <w:p>
      <w:pPr>
        <w:pStyle w:val="BookText"/>
      </w:pPr>
      <w:r>
        <w:rPr>
          <w:rFonts w:ascii="IRNazanin" w:hAnsi="IRNazanin" w:eastAsia="IRNazanin" w:cs="IRNazanin"/>
          <w:lang w:bidi="fa-IR"/>
          <w:color w:val="111111"/>
          <w:sz w:val="28"/>
          <w:szCs w:val="28"/>
          <w:rtl/>
        </w:rPr>
        <w:t xml:space="preserve">۱. قم، گلپایگانی؛ شماره نسخه: ۹۰۸/۱ - ۵/۱۹۸</w:t>
      </w:r>
    </w:p>
    <w:p>
      <w:pPr>
        <w:pStyle w:val="BookText"/>
      </w:pPr>
      <w:r>
        <w:rPr>
          <w:rFonts w:ascii="IRNazanin" w:hAnsi="IRNazanin" w:eastAsia="IRNazanin" w:cs="IRNazanin"/>
          <w:lang w:bidi="fa-IR"/>
          <w:color w:val="111111"/>
          <w:sz w:val="28"/>
          <w:szCs w:val="28"/>
          <w:rtl/>
        </w:rPr>
        <w:t xml:space="preserve">آغاز: برابر؛ انجام: هر کافر و منافقی والانصاف افضل الاوصاف کائنة ما كانت وبالغته ما بلغت تمام شد جواب این سؤالات نام مؤلف به قرینه آغاز و کتاب شناسی ذکر شد؛ خط: نستعلیق، كان صادق نراقی سلطانی، تا: شنبه ۴ ربیع الثانی ۱۲۹۳ق؛ مصحح؛ جلد: پارچه، قهوه ای، ضربی، مجدول، ۲۶گ، ۱۴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۴-۲۳۳۵]</w:t>
      </w:r>
    </w:p>
    <w:p>
      <w:pPr>
        <w:pStyle w:val="BookText"/>
      </w:pPr>
      <w:r>
        <w:rPr>
          <w:rFonts w:ascii="IRNazanin" w:hAnsi="IRNazanin" w:eastAsia="IRNazanin" w:cs="IRNazanin"/>
          <w:lang w:bidi="fa-IR"/>
          <w:color w:val="111111"/>
          <w:sz w:val="28"/>
          <w:szCs w:val="28"/>
          <w:rtl/>
        </w:rPr>
        <w:t xml:space="preserve">۲. همدان؛ دانشگاه بوعلی؛ شماره نسخه: ۲۷۷/۲</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کا: ملا على مؤذن، تا: ۱۲۹۴ق؛ جلد: تیماج قهوه ای، ۱۷گ (۹-۲۵ر)، اندازه: ۱۰/۵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۱۴۶]</w:t>
      </w:r>
    </w:p>
    <w:p>
      <w:pPr>
        <w:pStyle w:val="BookText"/>
      </w:pPr>
      <w:r>
        <w:rPr>
          <w:rFonts w:ascii="IRNazanin" w:hAnsi="IRNazanin" w:eastAsia="IRNazanin" w:cs="IRNazanin"/>
          <w:lang w:bidi="fa-IR"/>
          <w:color w:val="111111"/>
          <w:sz w:val="28"/>
          <w:szCs w:val="28"/>
          <w:rtl/>
        </w:rPr>
        <w:t xml:space="preserve">٣. تهران؛ عبدالعظیم؛ شماره نسخه: ۶۰۲/۹</w:t>
      </w:r>
    </w:p>
    <w:p>
      <w:pPr>
        <w:pStyle w:val="BookText"/>
      </w:pPr>
      <w:r>
        <w:rPr>
          <w:rFonts w:ascii="IRNazanin" w:hAnsi="IRNazanin" w:eastAsia="IRNazanin" w:cs="IRNazanin"/>
          <w:lang w:bidi="fa-IR"/>
          <w:color w:val="111111"/>
          <w:sz w:val="28"/>
          <w:szCs w:val="28"/>
          <w:rtl/>
        </w:rPr>
        <w:t xml:space="preserve">آغاز: برابر؛ انجام: و به بی انصافی کافر و منافق شده و می شود هر کافر و منافقی و الانصاف افضل الاوصاف کائنة ما كانت و بالغة ما بلغت.</w:t>
      </w:r>
    </w:p>
    <w:p>
      <w:pPr>
        <w:pStyle w:val="BookText"/>
      </w:pPr>
      <w:r>
        <w:rPr>
          <w:rFonts w:ascii="IRNazanin" w:hAnsi="IRNazanin" w:eastAsia="IRNazanin" w:cs="IRNazanin"/>
          <w:lang w:bidi="fa-IR"/>
          <w:color w:val="111111"/>
          <w:sz w:val="28"/>
          <w:szCs w:val="28"/>
          <w:rtl/>
        </w:rPr>
        <w:t xml:space="preserve">تمام شد جواب این سؤالات ... نام مؤلف در فهرست محمد طباطبائی آمده است؛ خط: نسخ، كان محمد بن احمد مازندرانی، تا: ۱۳ محرم ۱۲۹۸ق، علامت بلاغ دارد؛ ۲۱گ (۷۱ر۹۱ر)، ۱۵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۱-۸۶]</w:t>
      </w:r>
    </w:p>
    <w:p>
      <w:pPr>
        <w:pStyle w:val="BookText"/>
      </w:pPr>
      <w:r>
        <w:rPr>
          <w:rFonts w:ascii="IRNazanin" w:hAnsi="IRNazanin" w:eastAsia="IRNazanin" w:cs="IRNazanin"/>
          <w:lang w:bidi="fa-IR"/>
          <w:color w:val="111111"/>
          <w:sz w:val="28"/>
          <w:szCs w:val="28"/>
          <w:rtl/>
        </w:rPr>
        <w:t xml:space="preserve">۴. قم؛ مسجد اعظم؛ شماره نسخه: ۲۹۶۷/۳</w:t>
      </w:r>
    </w:p>
    <w:p>
      <w:pPr>
        <w:pStyle w:val="BookText"/>
      </w:pPr>
      <w:r>
        <w:rPr>
          <w:rFonts w:ascii="IRNazanin" w:hAnsi="IRNazanin" w:eastAsia="IRNazanin" w:cs="IRNazanin"/>
          <w:lang w:bidi="fa-IR"/>
          <w:color w:val="111111"/>
          <w:sz w:val="28"/>
          <w:szCs w:val="28"/>
          <w:rtl/>
        </w:rPr>
        <w:t xml:space="preserve">آغاز: برابر؛ انجام: کافر و منافق شده هر کافر و منافقی و الانصاف افضل الاوصاف کائنة ما كانت و بالغة ما بلغت تمام شد جواب این سئولات.</w:t>
      </w:r>
    </w:p>
    <w:p>
      <w:pPr>
        <w:pStyle w:val="BookText"/>
      </w:pPr>
      <w:r>
        <w:rPr>
          <w:rFonts w:ascii="IRNazanin" w:hAnsi="IRNazanin" w:eastAsia="IRNazanin" w:cs="IRNazanin"/>
          <w:lang w:bidi="fa-IR"/>
          <w:color w:val="111111"/>
          <w:sz w:val="28"/>
          <w:szCs w:val="28"/>
          <w:rtl/>
        </w:rPr>
        <w:t xml:space="preserve">نام مؤلف به قرینه آغاز نسخه تعیین شد؛ خط: نستعلیق، کا: محمد رضا نائینی، تا: ۱۳۰۴ق؛ ۲۱گی، ۱۴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[ف مخ: ۳-۱۱۱۸]</w:t>
      </w:r>
    </w:p>
    <w:p>
      <w:pPr>
        <w:pStyle w:val="BookText"/>
      </w:pPr>
      <w:r>
        <w:rPr>
          <w:rFonts w:ascii="IRNazanin" w:hAnsi="IRNazanin" w:eastAsia="IRNazanin" w:cs="IRNazanin"/>
          <w:lang w:bidi="fa-IR"/>
          <w:color w:val="111111"/>
          <w:sz w:val="28"/>
          <w:szCs w:val="28"/>
          <w:rtl/>
        </w:rPr>
        <w:t xml:space="preserve">۵. اصفهان؛ دانشگاه؛ شماره نسخه: ۲۰۰/۴</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در فهرست به نام «پاسخ پرسشهای آقا رضا شش انگشتی» آمده است؛ كا: عبدالحسين بن عزيز بن حسن بن منصور همدانی، بی تا؛ جلد: تیماج قهوه ای ساغری، ۱۷گ (۷۰پ -۸۶پ)،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۱-۱۴۸]</w:t>
      </w:r>
    </w:p>
    <w:p>
      <w:pPr>
        <w:pStyle w:val="Heading3"/>
      </w:pPr>
      <w:bookmarkStart w:id="1556" w:name="_Toc816"/>
      <w:r>
        <w:t>• پاسخ پرسشهای اهل قفقاز / پاسخ پرسش ها / فارسی</w:t>
      </w:r>
      <w:bookmarkEnd w:id="1556"/>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61" w:name="pg20363_209519"/>
    <w:bookmarkEnd w:id="261"/>
    <w:p>
      <w:pPr>
        <w:pStyle w:val="BookText"/>
      </w:pPr>
      <w:r>
        <w:rPr>
          <w:rFonts w:ascii="Times New Roman" w:hAnsi="Times New Roman" w:eastAsia="Times New Roman" w:cs="Times New Roman"/>
          <w:lang w:val="en-US" w:bidi="en-US"/>
          <w:color w:val="111111"/>
          <w:sz w:val="28"/>
          <w:szCs w:val="28"/>
          <w:rtl/>
        </w:rPr>
        <w:t xml:space="preserve">pāsox-e porseš-hā-ye ahl-e qafqāz</w:t>
      </w:r>
    </w:p>
    <w:p>
      <w:pPr>
        <w:pStyle w:val="BookText"/>
      </w:pPr>
      <w:r>
        <w:rPr>
          <w:rFonts w:ascii="IRNazanin" w:hAnsi="IRNazanin" w:eastAsia="IRNazanin" w:cs="IRNazanin"/>
          <w:lang w:bidi="fa-IR"/>
          <w:color w:val="111111"/>
          <w:sz w:val="28"/>
          <w:szCs w:val="28"/>
          <w:rtl/>
        </w:rPr>
        <w:t xml:space="preserve">مامقانی، حسین بن محمد، ق۱۳ قمری</w:t>
      </w:r>
    </w:p>
    <w:p>
      <w:pPr>
        <w:pStyle w:val="BookText"/>
      </w:pPr>
      <w:r>
        <w:rPr>
          <w:rFonts w:ascii="Times New Roman" w:hAnsi="Times New Roman" w:eastAsia="Times New Roman" w:cs="Times New Roman"/>
          <w:lang w:val="en-US" w:bidi="en-US"/>
          <w:color w:val="111111"/>
          <w:sz w:val="28"/>
          <w:szCs w:val="28"/>
          <w:rtl/>
        </w:rPr>
        <w:t xml:space="preserve">māmaqānī, hoseyn ebn-e mohammad (- 19c)</w:t>
      </w:r>
    </w:p>
    <w:p>
      <w:pPr>
        <w:pStyle w:val="BookText"/>
      </w:pPr>
      <w:r>
        <w:rPr>
          <w:rFonts w:ascii="IRNazanin" w:hAnsi="IRNazanin" w:eastAsia="IRNazanin" w:cs="IRNazanin"/>
          <w:lang w:bidi="fa-IR"/>
          <w:color w:val="111111"/>
          <w:sz w:val="28"/>
          <w:szCs w:val="28"/>
          <w:rtl/>
        </w:rPr>
        <w:t xml:space="preserve">پاسخ های استدلالی بر نه پرسش است درباره: آیا نبوت مقارن خلقت حضرت پیامبر بود، خبث در ابتدای خلقت بوده یا بعد قبول شده، سگ و خنزیر از آغاز خلقت نجس بوده اند، مشیت با چه چیز خلق شده، معنی امام حاضر است و ناظر، وجود حضرت امیر در جاهای مختلف در یک وقت، حضرت جبرئیل و سوال از امیر(عليه السلام)، علم حضرت امیر به این که سائل خاتم جبرئیل است، بخشایش گناهان عزاداران امام حسین(عليه السلام).</w:t>
      </w:r>
    </w:p>
    <w:p>
      <w:pPr>
        <w:pStyle w:val="BookText"/>
      </w:pPr>
      <w:r>
        <w:rPr>
          <w:rFonts w:ascii="IRNazanin" w:hAnsi="IRNazanin" w:eastAsia="IRNazanin" w:cs="IRNazanin"/>
          <w:lang w:bidi="fa-IR"/>
          <w:color w:val="111111"/>
          <w:sz w:val="28"/>
          <w:szCs w:val="28"/>
          <w:rtl/>
        </w:rPr>
        <w:t xml:space="preserve">قم، مرکز احیاء؛ شماره نسخه: ۳۵۷/۵</w:t>
      </w:r>
    </w:p>
    <w:p>
      <w:pPr>
        <w:pStyle w:val="BookText"/>
      </w:pPr>
      <w:r>
        <w:rPr>
          <w:rFonts w:ascii="IRNazanin" w:hAnsi="IRNazanin" w:eastAsia="IRNazanin" w:cs="IRNazanin"/>
          <w:lang w:bidi="fa-IR"/>
          <w:color w:val="111111"/>
          <w:sz w:val="28"/>
          <w:szCs w:val="28"/>
          <w:rtl/>
        </w:rPr>
        <w:t xml:space="preserve">آغاز: الحمدلله رب العالمين ... بعضی از طالبين حق و یقین و جمعی از محبین و موالین از اهل قفقازیه در باب چند مسئله دینیه.؛ انجام: و در زمره اصحاب آنجناب محشور فرموده در دار رضوان خود ساکن گرداند، اللهم ارزقنی شفاعة الحسين عليه السلام. خط: نستعلیق، کا:محمد جعفر قراچه داغی، تا: ۱۲۹۰ق؛ جلد: تیماج قهوه ای، ۶۲گ (۵۹پ - ۱۲۰پ)،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سم [ف: ۱-۴۶۷]</w:t>
      </w:r>
    </w:p>
    <w:p>
      <w:pPr>
        <w:pStyle w:val="Heading3"/>
      </w:pPr>
      <w:bookmarkStart w:id="1557" w:name="_Toc817"/>
      <w:r>
        <w:t>•پاسخ پرسشهای ترمذی / عرفان و تصوف، پاسخ پرسش ها</w:t>
      </w:r>
      <w:bookmarkEnd w:id="1557"/>
    </w:p>
    <w:p>
      <w:pPr>
        <w:pStyle w:val="BookText"/>
      </w:pPr>
      <w:r>
        <w:rPr>
          <w:rFonts w:ascii="Times New Roman" w:hAnsi="Times New Roman" w:eastAsia="Times New Roman" w:cs="Times New Roman"/>
          <w:lang w:val="en-US" w:bidi="en-US"/>
          <w:color w:val="111111"/>
          <w:sz w:val="28"/>
          <w:szCs w:val="28"/>
          <w:rtl/>
        </w:rPr>
        <w:t xml:space="preserve">pāsox-e porseš-hā-ye termezī</w:t>
      </w:r>
    </w:p>
    <w:p>
      <w:pPr>
        <w:pStyle w:val="BookText"/>
      </w:pPr>
      <w:r>
        <w:rPr>
          <w:rFonts w:ascii="IRNazanin" w:hAnsi="IRNazanin" w:eastAsia="IRNazanin" w:cs="IRNazanin"/>
          <w:lang w:bidi="fa-IR"/>
          <w:color w:val="111111"/>
          <w:sz w:val="28"/>
          <w:szCs w:val="28"/>
          <w:rtl/>
        </w:rPr>
        <w:t xml:space="preserve">نعمة الله ولی، نعمة الله بن عبد الله، ۷۳۰؟ -۸۳۴ قمری</w:t>
      </w:r>
    </w:p>
    <w:p>
      <w:pPr>
        <w:pStyle w:val="BookText"/>
      </w:pPr>
      <w:r>
        <w:rPr>
          <w:rFonts w:ascii="Times New Roman" w:hAnsi="Times New Roman" w:eastAsia="Times New Roman" w:cs="Times New Roman"/>
          <w:lang w:val="en-US" w:bidi="en-US"/>
          <w:color w:val="111111"/>
          <w:sz w:val="28"/>
          <w:szCs w:val="28"/>
          <w:rtl/>
        </w:rPr>
        <w:t xml:space="preserve">ne'mat-ol-lāh-e valī, ne'mat-ol-lāh ebn-e 'abd-ol-lāh (1330-1431)</w:t>
      </w:r>
    </w:p>
    <w:p>
      <w:pPr>
        <w:pStyle w:val="BookText"/>
      </w:pPr>
      <w:r>
        <w:rPr>
          <w:rFonts w:ascii="IRNazanin" w:hAnsi="IRNazanin" w:eastAsia="IRNazanin" w:cs="IRNazanin"/>
          <w:lang w:bidi="fa-IR"/>
          <w:color w:val="111111"/>
          <w:sz w:val="28"/>
          <w:szCs w:val="28"/>
          <w:rtl/>
        </w:rPr>
        <w:t xml:space="preserve">در آغاز از صد و پنج پرسش او و پاسخ ابن العربی (مقدمه ختم الاولیاء چاپ عثمان يحيی) یاد شده آنگاه به چند پرسش: منازل اولیاء، ختم الأولياء، مقام الأولياء، وحی، خلق الله في الظلمة، صفة آدم، پاسخ داده شده است.</w:t>
      </w:r>
    </w:p>
    <w:p>
      <w:pPr>
        <w:pStyle w:val="BookText"/>
      </w:pPr>
      <w:r>
        <w:rPr>
          <w:rFonts w:ascii="IRNazanin" w:hAnsi="IRNazanin" w:eastAsia="IRNazanin" w:cs="IRNazanin"/>
          <w:lang w:bidi="fa-IR"/>
          <w:color w:val="111111"/>
          <w:sz w:val="28"/>
          <w:szCs w:val="28"/>
          <w:rtl/>
        </w:rPr>
        <w:t xml:space="preserve">تهران؛ ملک؛ شماره نسخه: ۴۲۶۲/۱۲</w:t>
      </w:r>
    </w:p>
    <w:p>
      <w:pPr>
        <w:pStyle w:val="BookText"/>
      </w:pPr>
      <w:r>
        <w:rPr>
          <w:rFonts w:ascii="IRNazanin" w:hAnsi="IRNazanin" w:eastAsia="IRNazanin" w:cs="IRNazanin"/>
          <w:lang w:bidi="fa-IR"/>
          <w:color w:val="111111"/>
          <w:sz w:val="28"/>
          <w:szCs w:val="28"/>
          <w:rtl/>
        </w:rPr>
        <w:t xml:space="preserve">خط: نستعلیق، كا: میر غلام محی الدین، تا: ۴ شوال ۱۱۰۹ق؛ کاغذ: ترمه، جلد: رویه میشن قهوه ای ضربی، ۶گ (۹۱ر-۹۶ر)،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۴-۶۷۲]</w:t>
      </w:r>
    </w:p>
    <w:p>
      <w:pPr>
        <w:pStyle w:val="Heading3"/>
      </w:pPr>
      <w:bookmarkStart w:id="1558" w:name="_Toc818"/>
      <w:r>
        <w:t>• پاسخ پرسشهای حسین خان قونسول / پاسخ پرسش ها / فارسی</w:t>
      </w:r>
      <w:bookmarkEnd w:id="1558"/>
    </w:p>
    <w:p>
      <w:pPr>
        <w:pStyle w:val="BookText"/>
      </w:pPr>
      <w:r>
        <w:rPr>
          <w:rFonts w:ascii="Times New Roman" w:hAnsi="Times New Roman" w:eastAsia="Times New Roman" w:cs="Times New Roman"/>
          <w:lang w:val="en-US" w:bidi="en-US"/>
          <w:color w:val="111111"/>
          <w:sz w:val="28"/>
          <w:szCs w:val="28"/>
          <w:rtl/>
        </w:rPr>
        <w:t xml:space="preserve">pāsox-e porseš-hā-ye hoseyn-xān-e qonsül</w:t>
      </w:r>
    </w:p>
    <w:p>
      <w:pPr>
        <w:pStyle w:val="BookText"/>
      </w:pPr>
      <w:r>
        <w:rPr>
          <w:rFonts w:ascii="IRNazanin" w:hAnsi="IRNazanin" w:eastAsia="IRNazanin" w:cs="IRNazanin"/>
          <w:lang w:bidi="fa-IR"/>
          <w:color w:val="111111"/>
          <w:sz w:val="28"/>
          <w:szCs w:val="28"/>
          <w:rtl/>
        </w:rPr>
        <w:t xml:space="preserve">کرمانی، محمد بن محمد کریم، ۱۲۶۳-۱۳۲۴ قمری</w:t>
      </w:r>
    </w:p>
    <w:p>
      <w:pPr>
        <w:pStyle w:val="BookText"/>
      </w:pPr>
      <w:r>
        <w:rPr>
          <w:rFonts w:ascii="Times New Roman" w:hAnsi="Times New Roman" w:eastAsia="Times New Roman" w:cs="Times New Roman"/>
          <w:lang w:val="en-US" w:bidi="en-US"/>
          <w:color w:val="111111"/>
          <w:sz w:val="28"/>
          <w:szCs w:val="28"/>
          <w:rtl/>
        </w:rPr>
        <w:t xml:space="preserve">kermānī, mohammad ebn-e mohammad karīm (1847 1906)</w:t>
      </w:r>
    </w:p>
    <w:p>
      <w:pPr>
        <w:pStyle w:val="BookText"/>
      </w:pPr>
      <w:r>
        <w:rPr>
          <w:rFonts w:ascii="IRNazanin" w:hAnsi="IRNazanin" w:eastAsia="IRNazanin" w:cs="IRNazanin"/>
          <w:lang w:bidi="fa-IR"/>
          <w:color w:val="111111"/>
          <w:sz w:val="28"/>
          <w:szCs w:val="28"/>
          <w:rtl/>
        </w:rPr>
        <w:t xml:space="preserve">تاریخ تأليف: یک شنبه ۲۶ ربيع الثاني ۱۳۰۹ق دو پرسش است از حاج میرزا حسین خان قونسول ایران درباره</w:t>
      </w:r>
    </w:p>
    <w:p>
      <w:pPr>
        <w:pStyle w:val="BookText"/>
      </w:pPr>
      <w:r>
        <w:rPr>
          <w:rFonts w:ascii="IRNazanin" w:hAnsi="IRNazanin" w:eastAsia="IRNazanin" w:cs="IRNazanin"/>
          <w:lang w:bidi="fa-IR"/>
          <w:color w:val="111111"/>
          <w:sz w:val="28"/>
          <w:szCs w:val="28"/>
          <w:rtl/>
        </w:rPr>
        <w:t xml:space="preserve">اینکه: با وجود ثبوت لوح محفوظ مقصود از «انشاءالله» چیست بساط قدیم چگونه بلوث حدوث ملطخ می شود؟ کرمانی به تفصيل به روش مخصوص شیخیه پاسخ گفته است.</w:t>
      </w:r>
    </w:p>
    <w:p>
      <w:pPr>
        <w:pStyle w:val="BookText"/>
      </w:pPr>
      <w:r>
        <w:rPr>
          <w:rFonts w:ascii="IRNazanin" w:hAnsi="IRNazanin" w:eastAsia="IRNazanin" w:cs="IRNazanin"/>
          <w:lang w:bidi="fa-IR"/>
          <w:color w:val="111111"/>
          <w:sz w:val="28"/>
          <w:szCs w:val="28"/>
          <w:rtl/>
        </w:rPr>
        <w:t xml:space="preserve">قم؛ مرعشی؛ شماره نسخه: ۸۷۶۷/۴</w:t>
      </w:r>
    </w:p>
    <w:p>
      <w:pPr>
        <w:pStyle w:val="BookText"/>
      </w:pPr>
      <w:r>
        <w:rPr>
          <w:rFonts w:ascii="IRNazanin" w:hAnsi="IRNazanin" w:eastAsia="IRNazanin" w:cs="IRNazanin"/>
          <w:lang w:bidi="fa-IR"/>
          <w:color w:val="111111"/>
          <w:sz w:val="28"/>
          <w:szCs w:val="28"/>
          <w:rtl/>
        </w:rPr>
        <w:t xml:space="preserve">آغاز: الحمدلله و سلام على عباده الذين اصطفی ... چندی پیش از این رقیمه کریمه عنبر شمیمه زیارت شد؛ انجام: و همین قدرها هم در جواب این مسئله کافی است انشاء الله. خط: نسخ، كان محمود بن غلامعلی اصفهانی، تا: ۱۳۰۹ق، جان کرمان، مدرسه ابراهیم خان؛ جلد: تیماج قرمز، ۱۳ (۱۸۴ر - ۱۹۶پ)، اندازه: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۲۰سم [ف: ۲۲-۳۰۲]</w:t>
      </w:r>
    </w:p>
    <w:p>
      <w:pPr>
        <w:pStyle w:val="Heading3"/>
      </w:pPr>
      <w:bookmarkStart w:id="1559" w:name="_Toc819"/>
      <w:r>
        <w:t>• پاسخ پرسشهای شاه بخارا / پاسخ پرسش ها / فارسی</w:t>
      </w:r>
      <w:bookmarkEnd w:id="1559"/>
    </w:p>
    <w:p>
      <w:pPr>
        <w:pStyle w:val="BookText"/>
      </w:pPr>
      <w:r>
        <w:rPr>
          <w:rFonts w:ascii="Times New Roman" w:hAnsi="Times New Roman" w:eastAsia="Times New Roman" w:cs="Times New Roman"/>
          <w:lang w:val="en-US" w:bidi="en-US"/>
          <w:color w:val="111111"/>
          <w:sz w:val="28"/>
          <w:szCs w:val="28"/>
          <w:rtl/>
        </w:rPr>
        <w:t xml:space="preserve">pāsox-e porseš-hā-ye šāh-e boxārā</w:t>
      </w:r>
    </w:p>
    <w:p>
      <w:pPr>
        <w:pStyle w:val="BookText"/>
      </w:pPr>
      <w:r>
        <w:rPr>
          <w:rFonts w:ascii="IRNazanin" w:hAnsi="IRNazanin" w:eastAsia="IRNazanin" w:cs="IRNazanin"/>
          <w:lang w:bidi="fa-IR"/>
          <w:color w:val="111111"/>
          <w:sz w:val="28"/>
          <w:szCs w:val="28"/>
          <w:rtl/>
        </w:rPr>
        <w:t xml:space="preserve">دهلوی، عبدالعزیز بن احمد، ۱۱۵۹- ۱۲۳۹ قمری</w:t>
      </w:r>
    </w:p>
    <w:p>
      <w:pPr>
        <w:pStyle w:val="BookText"/>
      </w:pPr>
      <w:r>
        <w:rPr>
          <w:rFonts w:ascii="Times New Roman" w:hAnsi="Times New Roman" w:eastAsia="Times New Roman" w:cs="Times New Roman"/>
          <w:lang w:val="en-US" w:bidi="en-US"/>
          <w:color w:val="111111"/>
          <w:sz w:val="28"/>
          <w:szCs w:val="28"/>
          <w:rtl/>
        </w:rPr>
        <w:t xml:space="preserve">dehlavī, ‘abd-ol-“azīz ebn-e ahmad (1746-1824)</w:t>
      </w:r>
    </w:p>
    <w:p>
      <w:pPr>
        <w:pStyle w:val="BookText"/>
      </w:pPr>
      <w:r>
        <w:rPr>
          <w:rFonts w:ascii="IRNazanin" w:hAnsi="IRNazanin" w:eastAsia="IRNazanin" w:cs="IRNazanin"/>
          <w:lang w:bidi="fa-IR"/>
          <w:color w:val="111111"/>
          <w:sz w:val="28"/>
          <w:szCs w:val="28"/>
          <w:rtl/>
        </w:rPr>
        <w:t xml:space="preserve">پاسخ ده پرسش پادشاه بخارا است که غالبا فقهی و عقیدتی می باشد. اما مسائل: 1. طريق اسلام فرقه امامیه، ۲- قصاص قتل آنکه سب صحابه کند، ۳- تفضيل الشيخين، ۴- امامت تفضيليه، ۵- سب مروان و معاویه، ۶- رفع یدین، ۷- تحصیل علم منطق و زبان، ۸- استماع غنا، ۹- نکاح خنثی، ۱۰- تحقیق حدیث متعه.</w:t>
      </w:r>
    </w:p>
    <w:p>
      <w:pPr>
        <w:pStyle w:val="BookText"/>
      </w:pPr>
      <w:r>
        <w:rPr>
          <w:rFonts w:ascii="IRNazanin" w:hAnsi="IRNazanin" w:eastAsia="IRNazanin" w:cs="IRNazanin"/>
          <w:lang w:bidi="fa-IR"/>
          <w:color w:val="111111"/>
          <w:sz w:val="28"/>
          <w:szCs w:val="28"/>
          <w:rtl/>
        </w:rPr>
        <w:t xml:space="preserve">آغاز: الحمدلله رب العالمين ... سؤال اول آنکه فرقه امامیه که في زماننا مذهب ایشان مروج است چاپ: با عنوان «جوابات سؤالات عشره شاه بخارا» همراه «وسيلة النجات» مؤلف چاپ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 ۳۴۹۲۹</w:t>
      </w:r>
    </w:p>
    <w:p>
      <w:pPr>
        <w:pStyle w:val="BookText"/>
      </w:pPr>
      <w:r>
        <w:rPr>
          <w:rFonts w:ascii="IRNazanin" w:hAnsi="IRNazanin" w:eastAsia="IRNazanin" w:cs="IRNazanin"/>
          <w:lang w:bidi="fa-IR"/>
          <w:color w:val="111111"/>
          <w:sz w:val="28"/>
          <w:szCs w:val="28"/>
          <w:rtl/>
        </w:rPr>
        <w:t xml:space="preserve">آغاز: برابر؛ انجام: مطلقا ممنوع نیست زیرا که آلة عذاب قوم نوح عليه السلام آب طوفان بود در نسخه حاضر به جای سؤال دهم چنین آمده: «كل دخان حرام»</w:t>
      </w:r>
    </w:p>
    <w:p>
      <w:pPr>
        <w:pStyle w:val="BookText"/>
      </w:pPr>
      <w:r>
        <w:rPr>
          <w:rFonts w:ascii="IRNazanin" w:hAnsi="IRNazanin" w:eastAsia="IRNazanin" w:cs="IRNazanin"/>
          <w:lang w:bidi="fa-IR"/>
          <w:color w:val="111111"/>
          <w:sz w:val="28"/>
          <w:szCs w:val="28"/>
          <w:rtl/>
        </w:rPr>
        <w:t xml:space="preserve">حديث نیست؛ خط: نستعلیق، بی کا، تا: ۱۲۳۱ق؛ اهدایی: رهبری، اردیبهشت ۱۳۸۶؛ کاغذ: نخودی آهار مهره، جلد: تیماج ماشی فرنگی، وگ، ۱۵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[اهدائی رهبر: ۳-۱۹۰]</w:t>
      </w:r>
    </w:p>
    <w:p>
      <w:pPr>
        <w:pStyle w:val="BookText"/>
      </w:pPr>
      <w:r>
        <w:rPr>
          <w:rFonts w:ascii="IRNazanin" w:hAnsi="IRNazanin" w:eastAsia="IRNazanin" w:cs="IRNazanin"/>
          <w:lang w:bidi="fa-IR"/>
          <w:color w:val="111111"/>
          <w:sz w:val="28"/>
          <w:szCs w:val="28"/>
          <w:rtl/>
        </w:rPr>
        <w:t xml:space="preserve">۲. قم؛ مرعشی؛ شماره نسخه: ۵۲۴/۱</w:t>
      </w:r>
    </w:p>
    <w:p>
      <w:pPr>
        <w:pStyle w:val="BookText"/>
      </w:pPr>
      <w:r>
        <w:rPr>
          <w:rFonts w:ascii="IRNazanin" w:hAnsi="IRNazanin" w:eastAsia="IRNazanin" w:cs="IRNazanin"/>
          <w:lang w:bidi="fa-IR"/>
          <w:color w:val="111111"/>
          <w:sz w:val="28"/>
          <w:szCs w:val="28"/>
          <w:rtl/>
        </w:rPr>
        <w:t xml:space="preserve">آغاز: برابر؛ انجام: گفت که پیغمبر خدا ما را امر کردند که امام را جواب سلام بدهیم و با همدیگر محبت داریم و یکی بر دیگری سلام گوید خط: نستعلیق، كا: عبدالرحمن، تا: ۲۷ محرم ۱۲۷۳ق؛ جلد: مقوایی عطف تیماج مشکی، ۱۳گ (۱پ -۱۳ر)، ۱۱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۲-۱۲۷]</w:t>
      </w:r>
    </w:p>
    <w:p>
      <w:pPr>
        <w:pStyle w:val="Heading3"/>
      </w:pPr>
      <w:bookmarkStart w:id="1560" w:name="_Toc820"/>
      <w:r>
        <w:t>• پاسخ پرسشهای عباد / عرفان و تصوف / عربی</w:t>
      </w:r>
      <w:bookmarkEnd w:id="1560"/>
    </w:p>
    <w:p>
      <w:pPr>
        <w:pStyle w:val="BookText"/>
      </w:pPr>
      <w:r>
        <w:rPr>
          <w:rFonts w:ascii="Times New Roman" w:hAnsi="Times New Roman" w:eastAsia="Times New Roman" w:cs="Times New Roman"/>
          <w:lang w:val="en-US" w:bidi="en-US"/>
          <w:color w:val="111111"/>
          <w:sz w:val="28"/>
          <w:szCs w:val="28"/>
          <w:rtl/>
        </w:rPr>
        <w:t xml:space="preserve">pāsox-e porseš-hā-ye 'abbād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62" w:name="pg20363_209520"/>
    <w:bookmarkEnd w:id="262"/>
    <w:p>
      <w:pPr>
        <w:pStyle w:val="BookText"/>
      </w:pPr>
      <w:r>
        <w:rPr>
          <w:rFonts w:ascii="IRNazanin" w:hAnsi="IRNazanin" w:eastAsia="IRNazanin" w:cs="IRNazanin"/>
          <w:lang w:bidi="fa-IR"/>
          <w:color w:val="111111"/>
          <w:sz w:val="28"/>
          <w:szCs w:val="28"/>
          <w:rtl/>
        </w:rPr>
        <w:t xml:space="preserve">پاسخ چند پرسش است که عبدالرحمان بن عبدالله عباد تقدیم نموده است، این پاسخ ها عرفانی و در موضوع معنی «لا اله الا الله» و معنی حضور و کشف و حالات سماع و علم بچیزی و رؤيا و جز اینها بحث می کند، این پاسخ ها در چند «فصل» تنظیم شده و دارای مقدمه ای است در فائده پرسش، در آخر قصيده الاميه ابن عيد روس را شرح مینماید. گمان می رود که این کتاب از ابو محمد عبدالله علوی حسنی باشد.</w:t>
      </w:r>
    </w:p>
    <w:p>
      <w:pPr>
        <w:pStyle w:val="BookText"/>
      </w:pPr>
      <w:r>
        <w:rPr>
          <w:rFonts w:ascii="Amiri" w:hAnsi="Amiri" w:eastAsia="Amiri" w:cs="Amiri"/>
          <w:lang w:bidi="ar-SA"/>
          <w:color w:val="111111"/>
          <w:sz w:val="28"/>
          <w:szCs w:val="28"/>
          <w:rtl/>
        </w:rPr>
        <w:t xml:space="preserve">آغاز: الحمد لله الذي لا يخيب من أمله و لا يرد من سأله و لا يقطع من وصله و لا يبخس من عامله و لا يسلب من شكره</w:t>
      </w:r>
    </w:p>
    <w:p>
      <w:pPr>
        <w:pStyle w:val="BookText"/>
      </w:pPr>
      <w:r>
        <w:rPr>
          <w:rFonts w:ascii="IRNazanin" w:hAnsi="IRNazanin" w:eastAsia="IRNazanin" w:cs="IRNazanin"/>
          <w:lang w:bidi="fa-IR"/>
          <w:color w:val="111111"/>
          <w:sz w:val="28"/>
          <w:szCs w:val="28"/>
          <w:rtl/>
        </w:rPr>
        <w:t xml:space="preserve">قم؛ مرعشی؛ شماره نسخه: ۴۵۵/۳</w:t>
      </w:r>
    </w:p>
    <w:p>
      <w:pPr>
        <w:pStyle w:val="BookText"/>
      </w:pPr>
      <w:r>
        <w:rPr>
          <w:rFonts w:ascii="IRNazanin" w:hAnsi="IRNazanin" w:eastAsia="IRNazanin" w:cs="IRNazanin"/>
          <w:lang w:bidi="fa-IR"/>
          <w:color w:val="111111"/>
          <w:sz w:val="28"/>
          <w:szCs w:val="28"/>
          <w:rtl/>
        </w:rPr>
        <w:t xml:space="preserve">خط: نسخ، بی کا، بی تا؛ جلد: تیماج قهوه ای، ۲۳گ (۵۸ -۸۰ر)، مختلف السطر،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۲-۵۸]</w:t>
      </w:r>
    </w:p>
    <w:p>
      <w:pPr>
        <w:pStyle w:val="Heading3"/>
      </w:pPr>
      <w:bookmarkStart w:id="1561" w:name="_Toc821"/>
      <w:r>
        <w:t>•پاسخ پرسشهای عرفانی / عرفان و تصوف / عربی</w:t>
      </w:r>
      <w:bookmarkEnd w:id="1561"/>
    </w:p>
    <w:p>
      <w:pPr>
        <w:pStyle w:val="BookText"/>
      </w:pPr>
      <w:r>
        <w:rPr>
          <w:rFonts w:ascii="Times New Roman" w:hAnsi="Times New Roman" w:eastAsia="Times New Roman" w:cs="Times New Roman"/>
          <w:lang w:val="en-US" w:bidi="en-US"/>
          <w:color w:val="111111"/>
          <w:sz w:val="28"/>
          <w:szCs w:val="28"/>
          <w:rtl/>
        </w:rPr>
        <w:t xml:space="preserve">pāsox-e porseš-hā-ye 'erfānī</w:t>
      </w:r>
    </w:p>
    <w:p>
      <w:pPr>
        <w:pStyle w:val="BookText"/>
      </w:pPr>
      <w:r>
        <w:rPr>
          <w:rFonts w:ascii="IRNazanin" w:hAnsi="IRNazanin" w:eastAsia="IRNazanin" w:cs="IRNazanin"/>
          <w:lang w:bidi="fa-IR"/>
          <w:color w:val="111111"/>
          <w:sz w:val="28"/>
          <w:szCs w:val="28"/>
          <w:rtl/>
        </w:rPr>
        <w:t xml:space="preserve">تهران؛ سپهسالار؛ شماره نسخه: ۳۸۷۵/۵</w:t>
      </w:r>
    </w:p>
    <w:p>
      <w:pPr>
        <w:pStyle w:val="BookText"/>
      </w:pPr>
      <w:r>
        <w:rPr>
          <w:rFonts w:ascii="IRNazanin" w:hAnsi="IRNazanin" w:eastAsia="IRNazanin" w:cs="IRNazanin"/>
          <w:lang w:bidi="fa-IR"/>
          <w:color w:val="111111"/>
          <w:sz w:val="28"/>
          <w:szCs w:val="28"/>
          <w:rtl/>
        </w:rPr>
        <w:t xml:space="preserve">آغاز: بسمله. الحمدلله حمد الشاکرین ... سألت رحمک الله و ایانا، هذه الاسئلة و نحن انشاء الله نجيب عن بعضها ... ما الفرق بين الفترة و الوقعة ... (جواب سفید) و بالله التوفيق و الفترة في الأعمال؛ انجام: عن شأن الشيخ و حقيقة تحت الأجوبة. خط: نسخ، بی کا، تا: قرن ۷، جلد: تیماج قهوه ای مقوایی، کناره حنایی، ۴گ (۴۷ر - ۵۰پ)، ۱۶ سطر، اندازه: ۱۲/۵</w:t>
      </w:r>
    </w:p>
    <w:p>
      <w:pPr>
        <w:pStyle w:val="BookText"/>
      </w:pP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۱۸/۵ سم [ف: ۲۷۸-۳ ]</w:t>
      </w:r>
    </w:p>
    <w:p>
      <w:pPr>
        <w:pStyle w:val="BookText"/>
      </w:pPr>
      <w:r>
        <w:rPr>
          <w:rFonts w:ascii="IRNazanin" w:hAnsi="IRNazanin" w:eastAsia="IRNazanin" w:cs="IRNazanin"/>
          <w:lang w:bidi="fa-IR"/>
          <w:color w:val="111111"/>
          <w:sz w:val="28"/>
          <w:szCs w:val="28"/>
          <w:rtl/>
        </w:rPr>
        <w:t xml:space="preserve">تهران؛ دانشگاه؛ شماره نسخه: ۱۶۰۳/۵ -ف</w:t>
      </w:r>
    </w:p>
    <w:p>
      <w:pPr>
        <w:pStyle w:val="BookText"/>
      </w:pPr>
      <w:r>
        <w:rPr>
          <w:rFonts w:ascii="Amiri" w:hAnsi="Amiri" w:eastAsia="Amiri" w:cs="Amiri"/>
          <w:lang w:bidi="ar-SA"/>
          <w:color w:val="111111"/>
          <w:sz w:val="28"/>
          <w:szCs w:val="28"/>
          <w:rtl/>
        </w:rPr>
        <w:t xml:space="preserve">نسخه اصل: همان نسخه بالا [فيلمها ف: ۱-۶۱۴]</w:t>
      </w:r>
    </w:p>
    <w:p>
      <w:pPr>
        <w:pStyle w:val="BookText"/>
      </w:pPr>
      <w:r>
        <w:rPr>
          <w:rFonts w:ascii="IRNazanin" w:hAnsi="IRNazanin" w:eastAsia="IRNazanin" w:cs="IRNazanin"/>
          <w:lang w:bidi="fa-IR"/>
          <w:color w:val="111111"/>
          <w:sz w:val="28"/>
          <w:szCs w:val="28"/>
          <w:rtl/>
        </w:rPr>
        <w:t xml:space="preserve">←پاسخ پرسشهای کاشی ← تشکیک در ذاتی</w:t>
      </w:r>
    </w:p>
    <w:p>
      <w:pPr>
        <w:pStyle w:val="Heading3"/>
      </w:pPr>
      <w:bookmarkStart w:id="1562" w:name="_Toc822"/>
      <w:r>
        <w:t>•پاسخ پرسشهای محمد مهدی میرزا = غیبت / اخلاق، کلام و اعتقادات، پاسخ پرسش ها / فارسی</w:t>
      </w:r>
      <w:bookmarkEnd w:id="1562"/>
    </w:p>
    <w:p>
      <w:pPr>
        <w:pStyle w:val="BookText"/>
      </w:pPr>
      <w:r>
        <w:rPr>
          <w:rFonts w:ascii="Times New Roman" w:hAnsi="Times New Roman" w:eastAsia="Times New Roman" w:cs="Times New Roman"/>
          <w:lang w:val="en-US" w:bidi="en-US"/>
          <w:color w:val="111111"/>
          <w:sz w:val="28"/>
          <w:szCs w:val="28"/>
          <w:rtl/>
        </w:rPr>
        <w:t xml:space="preserve">pāsox-e porseš-hā-ye mohammad mahdī mīrzā = qeybat</w:t>
      </w:r>
    </w:p>
    <w:p>
      <w:pPr>
        <w:pStyle w:val="BookText"/>
      </w:pPr>
      <w:r>
        <w:rPr>
          <w:rFonts w:ascii="IRNazanin" w:hAnsi="IRNazanin" w:eastAsia="IRNazanin" w:cs="IRNazanin"/>
          <w:lang w:bidi="fa-IR"/>
          <w:color w:val="111111"/>
          <w:sz w:val="28"/>
          <w:szCs w:val="28"/>
          <w:rtl/>
        </w:rPr>
        <w:t xml:space="preserve">همدانی شیخی، محمد باقر بن محمد جعفر، ۱۲۳۹ ۱۳۱۹ قمری</w:t>
      </w:r>
    </w:p>
    <w:p>
      <w:pPr>
        <w:pStyle w:val="BookText"/>
      </w:pPr>
      <w:r>
        <w:rPr>
          <w:rFonts w:ascii="Times New Roman" w:hAnsi="Times New Roman" w:eastAsia="Times New Roman" w:cs="Times New Roman"/>
          <w:lang w:val="en-US" w:bidi="en-US"/>
          <w:color w:val="111111"/>
          <w:sz w:val="28"/>
          <w:szCs w:val="28"/>
          <w:rtl/>
        </w:rPr>
        <w:t xml:space="preserve">hamadānī šayxī, mohammad bāqer ebn-e mohammad ja'far (1824-1902)</w:t>
      </w:r>
    </w:p>
    <w:p>
      <w:pPr>
        <w:pStyle w:val="BookText"/>
      </w:pPr>
      <w:r>
        <w:rPr>
          <w:rFonts w:ascii="IRNazanin" w:hAnsi="IRNazanin" w:eastAsia="IRNazanin" w:cs="IRNazanin"/>
          <w:lang w:bidi="fa-IR"/>
          <w:color w:val="111111"/>
          <w:sz w:val="28"/>
          <w:szCs w:val="28"/>
          <w:rtl/>
        </w:rPr>
        <w:t xml:space="preserve">به خواهش: نواب والا محمد مهدی میرزا</w:t>
      </w:r>
    </w:p>
    <w:p>
      <w:pPr>
        <w:pStyle w:val="BookText"/>
      </w:pPr>
      <w:r>
        <w:rPr>
          <w:rFonts w:ascii="IRNazanin" w:hAnsi="IRNazanin" w:eastAsia="IRNazanin" w:cs="IRNazanin"/>
          <w:lang w:bidi="fa-IR"/>
          <w:color w:val="111111"/>
          <w:sz w:val="28"/>
          <w:szCs w:val="28"/>
          <w:rtl/>
        </w:rPr>
        <w:t xml:space="preserve">چهار پرسش است راجع به احکام غیبت نمودن بدین قرار: چند حدیث راجع به غیبت، معنی غیبت، در غیبت عنوان واجب و مستحب و مکروه و مباح و حرام می آید یا نه، کفاره غیبت. در گلپایگانی تعداد پرسش ها ۵ و در مجلس ۶ پرسش دانسته شده است. مؤلف پاسخ این پرسش ها را ضمن «فصل» نوشته است. این رساله در نسخه مرعشی و دانشگاه تهران از محمد کریم بن ابراهیم کرمانی (۱۲۲۵-۱۲۸۸ ق) دانسته شده است. همچنین در نسخه مجلس و گلپایگانی موضوع آن غیبت ولی عصر دانسته شده است نه غیبت به معنای اخلاقی. قراین دلالت بر آن دارد که این رساله در سال ۱۲۹۰ ق نگاشته شده است و نسخهای پیش از این تاریخ از آن موجود نیست که اگر این تاریخ تأليف درست باشد انتساب آن به کرمانی منتفی است. آغاز: الحمدلله رب العالمين ... و بعد چون در این اوان سعادت اقتران رقیمه کریمه بجهت افتخار این خاکسار از مصدر جلال و جمال و منبع فوال ... محمد مهدی میرزا لازال محمدا کاسمه محمود كصفته صادر گشته فرمایشات ایشان را مصدر و مقدم داشته و جواب آن را متأخر نگاشت آغاز نام محمد مهدی میرزا: بسمله حمد و سپاس بی قیاس خداوندی را سزاست که پیغمبر عربی ... و بعد چون دوستدار اولیاء آغاز مطالب رساله: عرض می شود که چون از برای این مسئله شئون و شعب است ... فصل در معنی غیبت است انجام: و بهمین قدر در این مختصر اکتفا می کنم چرا که از برای طالبان حق کافی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۴۵/۳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فهرست از محمد کریم بن ابراهیم کرمانی دانسته شده است. چهار پرسش؛ خط: نستعلیق، بی کا، تا: ۱۲۹۰ق، جلد: مقوایی عطف تیماج قرمز، ۱۸گ (۷۵پ - ۹۲ر)، ۱۴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۱-۵۷]</w:t>
      </w:r>
    </w:p>
    <w:p>
      <w:pPr>
        <w:pStyle w:val="BookText"/>
      </w:pPr>
      <w:r>
        <w:rPr>
          <w:rFonts w:ascii="IRNazanin" w:hAnsi="IRNazanin" w:eastAsia="IRNazanin" w:cs="IRNazanin"/>
          <w:lang w:bidi="fa-IR"/>
          <w:color w:val="111111"/>
          <w:sz w:val="28"/>
          <w:szCs w:val="28"/>
          <w:rtl/>
        </w:rPr>
        <w:t xml:space="preserve">۲. تهران؛ مجلس؛ شماره نسخه: ۲۷۶۹/۴</w:t>
      </w:r>
    </w:p>
    <w:p>
      <w:pPr>
        <w:pStyle w:val="BookText"/>
      </w:pPr>
      <w:r>
        <w:rPr>
          <w:rFonts w:ascii="IRNazanin" w:hAnsi="IRNazanin" w:eastAsia="IRNazanin" w:cs="IRNazanin"/>
          <w:lang w:bidi="fa-IR"/>
          <w:color w:val="111111"/>
          <w:sz w:val="28"/>
          <w:szCs w:val="28"/>
          <w:rtl/>
        </w:rPr>
        <w:t xml:space="preserve">آغاز و انجام: برابر، و فارغ شدم از نوشتن پنجشنبه بیست و هشتم شهر جمادی الاخره از شهور سنه ۱۲۹۰ حامد مصلية مستغفرة تمت.</w:t>
      </w:r>
    </w:p>
    <w:p>
      <w:pPr>
        <w:pStyle w:val="BookText"/>
      </w:pPr>
      <w:r>
        <w:rPr>
          <w:rFonts w:ascii="IRNazanin" w:hAnsi="IRNazanin" w:eastAsia="IRNazanin" w:cs="IRNazanin"/>
          <w:lang w:bidi="fa-IR"/>
          <w:color w:val="111111"/>
          <w:sz w:val="28"/>
          <w:szCs w:val="28"/>
          <w:rtl/>
        </w:rPr>
        <w:t xml:space="preserve">پاسخ به شش سؤال در شش فصل؛ خط: نستعلیق، كا: ابراهيم بن علی اصغر، تا: ۱۲۹۷ق؛ کاغذ: فرنگی آهاری، جلد: تیماج قهوه ای، ۳۲ص (۱۱۳-۱۴۵)، ۱۶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۹-۱۹۱]</w:t>
      </w:r>
    </w:p>
    <w:p>
      <w:pPr>
        <w:pStyle w:val="BookText"/>
      </w:pPr>
      <w:r>
        <w:rPr>
          <w:rFonts w:ascii="IRNazanin" w:hAnsi="IRNazanin" w:eastAsia="IRNazanin" w:cs="IRNazanin"/>
          <w:lang w:bidi="fa-IR"/>
          <w:color w:val="111111"/>
          <w:sz w:val="28"/>
          <w:szCs w:val="28"/>
          <w:rtl/>
        </w:rPr>
        <w:t xml:space="preserve">٣. تهران، دانشگاه؛ شماره نسخه: ۳۵۷۲/۱</w:t>
      </w:r>
    </w:p>
    <w:p>
      <w:pPr>
        <w:pStyle w:val="BookText"/>
      </w:pPr>
      <w:r>
        <w:rPr>
          <w:rFonts w:ascii="IRNazanin" w:hAnsi="IRNazanin" w:eastAsia="IRNazanin" w:cs="IRNazanin"/>
          <w:lang w:bidi="fa-IR"/>
          <w:color w:val="111111"/>
          <w:sz w:val="28"/>
          <w:szCs w:val="28"/>
          <w:rtl/>
        </w:rPr>
        <w:t xml:space="preserve">آغاز: برابر؛ انجام: و فارغ شد از نوشتن آن بتاريخ يوم سه شنبه بیست و هفتم شعبان ... ۱۲۹۵ ... مستغفرا. در فهرست از محمد کریم بن ابراهیم کرمانی دانسته شده است؛ خط: نستعلیق، کا: میر علی اکبر کاشانی لاجوردی، تا: ۱۳۱۳ق؛ کاغذ: فرنگی، جلد: تیماج تریاکی ضربی مقوایی، ۳۸ص (1 -۳۸)، ۱۵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۱۲-۲۵۸۸ ]</w:t>
      </w:r>
    </w:p>
    <w:p>
      <w:pPr>
        <w:pStyle w:val="BookText"/>
      </w:pPr>
      <w:r>
        <w:rPr>
          <w:rFonts w:ascii="IRNazanin" w:hAnsi="IRNazanin" w:eastAsia="IRNazanin" w:cs="IRNazanin"/>
          <w:lang w:bidi="fa-IR"/>
          <w:color w:val="111111"/>
          <w:sz w:val="28"/>
          <w:szCs w:val="28"/>
          <w:rtl/>
        </w:rPr>
        <w:t xml:space="preserve">۴. قم؛ گلپایگانی؛ شماره نسخه: ۱۰۴۳/۱۴ - ۶/۱۳۳</w:t>
      </w:r>
    </w:p>
    <w:p>
      <w:pPr>
        <w:pStyle w:val="BookText"/>
      </w:pPr>
      <w:r>
        <w:rPr>
          <w:rFonts w:ascii="IRNazanin" w:hAnsi="IRNazanin" w:eastAsia="IRNazanin" w:cs="IRNazanin"/>
          <w:lang w:bidi="fa-IR"/>
          <w:color w:val="111111"/>
          <w:sz w:val="28"/>
          <w:szCs w:val="28"/>
          <w:rtl/>
        </w:rPr>
        <w:t xml:space="preserve">آغاز و انجام: برابر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63" w:name="pg20363_209521"/>
    <w:bookmarkEnd w:id="263"/>
    <w:p>
      <w:pPr>
        <w:pStyle w:val="BookText"/>
      </w:pPr>
      <w:r>
        <w:rPr>
          <w:rFonts w:ascii="IRNazanin" w:hAnsi="IRNazanin" w:eastAsia="IRNazanin" w:cs="IRNazanin"/>
          <w:lang w:bidi="fa-IR"/>
          <w:color w:val="111111"/>
          <w:sz w:val="28"/>
          <w:szCs w:val="28"/>
          <w:rtl/>
        </w:rPr>
        <w:t xml:space="preserve">در ۵ فصل؛ خط: شکسته نستعلیق، بی کا، بی تا، ۱۷، ۱۶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۴-۲۱۰۹]</w:t>
      </w:r>
    </w:p>
    <w:p>
      <w:pPr>
        <w:pStyle w:val="BookText"/>
      </w:pPr>
      <w:r>
        <w:rPr>
          <w:rFonts w:ascii="IRNazanin" w:hAnsi="IRNazanin" w:eastAsia="IRNazanin" w:cs="IRNazanin"/>
          <w:lang w:bidi="fa-IR"/>
          <w:color w:val="111111"/>
          <w:sz w:val="28"/>
          <w:szCs w:val="28"/>
          <w:rtl/>
        </w:rPr>
        <w:t xml:space="preserve">←پاسخ پرسشهای ملا خليل قزوینی ← طریق حقه</w:t>
      </w:r>
    </w:p>
    <w:p>
      <w:pPr>
        <w:pStyle w:val="Heading3"/>
      </w:pPr>
      <w:bookmarkStart w:id="1563" w:name="_Toc823"/>
      <w:r>
        <w:t>•پاسخ پرسشهای ملا زین العابدین کرمانی / پاسخ پرسش ها / فارسی</w:t>
      </w:r>
      <w:bookmarkEnd w:id="1563"/>
    </w:p>
    <w:p>
      <w:pPr>
        <w:pStyle w:val="BookText"/>
      </w:pPr>
      <w:r>
        <w:rPr>
          <w:rFonts w:ascii="Times New Roman" w:hAnsi="Times New Roman" w:eastAsia="Times New Roman" w:cs="Times New Roman"/>
          <w:lang w:val="en-US" w:bidi="en-US"/>
          <w:color w:val="111111"/>
          <w:sz w:val="28"/>
          <w:szCs w:val="28"/>
          <w:rtl/>
        </w:rPr>
        <w:t xml:space="preserve">pāsox-e porseš-hā-ye mollā zayn-ol-'ābedīn-e kermānī</w:t>
      </w:r>
    </w:p>
    <w:p>
      <w:pPr>
        <w:pStyle w:val="BookText"/>
      </w:pPr>
      <w:r>
        <w:rPr>
          <w:rFonts w:ascii="IRNazanin" w:hAnsi="IRNazanin" w:eastAsia="IRNazanin" w:cs="IRNazanin"/>
          <w:lang w:bidi="fa-IR"/>
          <w:color w:val="111111"/>
          <w:sz w:val="28"/>
          <w:szCs w:val="28"/>
          <w:rtl/>
        </w:rPr>
        <w:t xml:space="preserve">همدانی شیخی، محمد باقر بن محمد جعفر، ۱۲۳۹ ۱۳۱۹ قمری</w:t>
      </w:r>
    </w:p>
    <w:p>
      <w:pPr>
        <w:pStyle w:val="BookText"/>
      </w:pPr>
      <w:r>
        <w:rPr>
          <w:rFonts w:ascii="Times New Roman" w:hAnsi="Times New Roman" w:eastAsia="Times New Roman" w:cs="Times New Roman"/>
          <w:lang w:val="en-US" w:bidi="en-US"/>
          <w:color w:val="111111"/>
          <w:sz w:val="28"/>
          <w:szCs w:val="28"/>
          <w:rtl/>
        </w:rPr>
        <w:t xml:space="preserve">hamadānī šayxī, mohammad bāqer ebn-e mohammad ja'far (1824-1902)</w:t>
      </w:r>
    </w:p>
    <w:p>
      <w:pPr>
        <w:pStyle w:val="BookText"/>
      </w:pPr>
      <w:r>
        <w:rPr>
          <w:rFonts w:ascii="IRNazanin" w:hAnsi="IRNazanin" w:eastAsia="IRNazanin" w:cs="IRNazanin"/>
          <w:lang w:bidi="fa-IR"/>
          <w:color w:val="111111"/>
          <w:sz w:val="28"/>
          <w:szCs w:val="28"/>
          <w:rtl/>
        </w:rPr>
        <w:t xml:space="preserve">بیست و نه پرسش و جواب ها بسیار کوتاه می باشد، درباره مسائل اعتقادی و بعضی از مطالب متعلق به روابط بین همدانی و حاج کریم خان.</w:t>
      </w:r>
    </w:p>
    <w:p>
      <w:pPr>
        <w:pStyle w:val="BookText"/>
      </w:pPr>
      <w:r>
        <w:rPr>
          <w:rFonts w:ascii="IRNazanin" w:hAnsi="IRNazanin" w:eastAsia="IRNazanin" w:cs="IRNazanin"/>
          <w:lang w:bidi="fa-IR"/>
          <w:color w:val="111111"/>
          <w:sz w:val="28"/>
          <w:szCs w:val="28"/>
          <w:rtl/>
        </w:rPr>
        <w:t xml:space="preserve">همدان؛ دانشگاه بوعلی؛ شماره نسخه: ۲۷۷/۴</w:t>
      </w:r>
    </w:p>
    <w:p>
      <w:pPr>
        <w:pStyle w:val="BookText"/>
      </w:pPr>
      <w:r>
        <w:rPr>
          <w:rFonts w:ascii="IRNazanin" w:hAnsi="IRNazanin" w:eastAsia="IRNazanin" w:cs="IRNazanin"/>
          <w:lang w:bidi="fa-IR"/>
          <w:color w:val="111111"/>
          <w:sz w:val="28"/>
          <w:szCs w:val="28"/>
          <w:rtl/>
        </w:rPr>
        <w:t xml:space="preserve">آغاز: سؤالات آخوند ملا زین العابدین ...... بعرض اقدس عالی می رساند ... که از عتبات عالیات آمده ام بهمدان</w:t>
      </w:r>
    </w:p>
    <w:p>
      <w:pPr>
        <w:pStyle w:val="BookText"/>
      </w:pPr>
      <w:r>
        <w:rPr>
          <w:rFonts w:ascii="IRNazanin" w:hAnsi="IRNazanin" w:eastAsia="IRNazanin" w:cs="IRNazanin"/>
          <w:lang w:bidi="fa-IR"/>
          <w:color w:val="111111"/>
          <w:sz w:val="28"/>
          <w:szCs w:val="28"/>
          <w:rtl/>
        </w:rPr>
        <w:t xml:space="preserve">خط: نستعلیق، کا: يوسف بن حیدر، تا: ۱۲۹۵ق؛ جلد: تیماج قهوه ای، ۱۳گ (۱۳۳-۱۴۵ ر)، اندازه: ۱۰/۵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۱۴۷]</w:t>
      </w:r>
    </w:p>
    <w:p>
      <w:pPr>
        <w:pStyle w:val="Heading3"/>
      </w:pPr>
      <w:bookmarkStart w:id="1564" w:name="_Toc824"/>
      <w:r>
        <w:t>• پاسخ پرسشهای میرزا اسحاق خان / پاسخ پرسش ها / فارسی</w:t>
      </w:r>
      <w:bookmarkEnd w:id="1564"/>
    </w:p>
    <w:p>
      <w:pPr>
        <w:pStyle w:val="BookText"/>
      </w:pPr>
      <w:r>
        <w:rPr>
          <w:rFonts w:ascii="Times New Roman" w:hAnsi="Times New Roman" w:eastAsia="Times New Roman" w:cs="Times New Roman"/>
          <w:lang w:val="en-US" w:bidi="en-US"/>
          <w:color w:val="111111"/>
          <w:sz w:val="28"/>
          <w:szCs w:val="28"/>
          <w:rtl/>
        </w:rPr>
        <w:t xml:space="preserve">pāsox-e porseš-hā-ye mīrzā eshāq xān</w:t>
      </w:r>
    </w:p>
    <w:p>
      <w:pPr>
        <w:pStyle w:val="BookText"/>
      </w:pPr>
      <w:r>
        <w:rPr>
          <w:rFonts w:ascii="IRNazanin" w:hAnsi="IRNazanin" w:eastAsia="IRNazanin" w:cs="IRNazanin"/>
          <w:lang w:bidi="fa-IR"/>
          <w:color w:val="111111"/>
          <w:sz w:val="28"/>
          <w:szCs w:val="28"/>
          <w:rtl/>
        </w:rPr>
        <w:t xml:space="preserve">همدانی شیخی، محمد باقر بن محمد جعفر، ۱۲۳۹ ۱۳۱۹ قمری</w:t>
      </w:r>
    </w:p>
    <w:p>
      <w:pPr>
        <w:pStyle w:val="BookText"/>
      </w:pPr>
      <w:r>
        <w:rPr>
          <w:rFonts w:ascii="Times New Roman" w:hAnsi="Times New Roman" w:eastAsia="Times New Roman" w:cs="Times New Roman"/>
          <w:lang w:val="en-US" w:bidi="en-US"/>
          <w:color w:val="111111"/>
          <w:sz w:val="28"/>
          <w:szCs w:val="28"/>
          <w:rtl/>
        </w:rPr>
        <w:t xml:space="preserve">hamadānī šayxī, mohammad bāqer ebn-e mohammad ja'far (1824-1902)</w:t>
      </w:r>
    </w:p>
    <w:p>
      <w:pPr>
        <w:pStyle w:val="BookText"/>
      </w:pPr>
      <w:r>
        <w:rPr>
          <w:rFonts w:ascii="IRNazanin" w:hAnsi="IRNazanin" w:eastAsia="IRNazanin" w:cs="IRNazanin"/>
          <w:lang w:bidi="fa-IR"/>
          <w:color w:val="111111"/>
          <w:sz w:val="28"/>
          <w:szCs w:val="28"/>
          <w:rtl/>
        </w:rPr>
        <w:t xml:space="preserve">تاریخ تأليف: چهارشنبه اواسط جمادی الاول ۱۲۹۵ق پاسخ به سؤالات میرزا اسحاق خان است با عناوین «قال سلمه الله اقول» در موضوعات مذهبی. پاسخ ها مفصل و در تثبیت مبانی شیخیها و مخصوصا رکن رابع می باشد که میرزا اسحاق یزدی از یزد فرستاده و همدانی به آنها جواب می گوید.</w:t>
      </w:r>
    </w:p>
    <w:p>
      <w:pPr>
        <w:pStyle w:val="BookText"/>
      </w:pPr>
      <w:r>
        <w:rPr>
          <w:rFonts w:ascii="IRNazanin" w:hAnsi="IRNazanin" w:eastAsia="IRNazanin" w:cs="IRNazanin"/>
          <w:lang w:bidi="fa-IR"/>
          <w:color w:val="111111"/>
          <w:sz w:val="28"/>
          <w:szCs w:val="28"/>
          <w:rtl/>
        </w:rPr>
        <w:t xml:space="preserve">آغاز: الحمد لله الذي هدانا للاسلام و وفقنا بالوصول الى دلائله بالتمام باقامة الدليل و انارة البرهان ... اما بعد فقد جائنا کتاب کریم و خطاب جسيم من بعض الاعاظم .. الميرزا اسحق خان</w:t>
      </w:r>
    </w:p>
    <w:p>
      <w:pPr>
        <w:pStyle w:val="BookText"/>
      </w:pPr>
      <w:r>
        <w:rPr>
          <w:rFonts w:ascii="IRNazanin" w:hAnsi="IRNazanin" w:eastAsia="IRNazanin" w:cs="IRNazanin"/>
          <w:lang w:bidi="fa-IR"/>
          <w:color w:val="111111"/>
          <w:sz w:val="28"/>
          <w:szCs w:val="28"/>
          <w:rtl/>
        </w:rPr>
        <w:t xml:space="preserve">انجام: در یک بلد یک مطلب را بگویند و اگر احیانا در بلادی متباعده واقع شدند و باید چیزی گفت خواهند گفت و صلى الله على محمد و آله الطيبين و اولیائهم المكرمين و لعنة الله على اعدائهم اجمعين و قد تم.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زنجانی (آية الله)؛ شماره نسخه: ۹۷/۲</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نام مؤلف به قرینه همخوانی آغاز نسخه با نسخه دانشگاه بوعلی تعیین شد؛ خط: نسخ، بی کا، تا: قرن ۱۳؛ قطع: بياض رقعی (چند نسخه -ف: ۲۳۲]</w:t>
      </w:r>
    </w:p>
    <w:p>
      <w:pPr>
        <w:pStyle w:val="BookText"/>
      </w:pPr>
      <w:r>
        <w:rPr>
          <w:rFonts w:ascii="Amiri" w:hAnsi="Amiri" w:eastAsia="Amiri" w:cs="Amiri"/>
          <w:lang w:bidi="ar-SA"/>
          <w:color w:val="111111"/>
          <w:sz w:val="28"/>
          <w:szCs w:val="28"/>
          <w:rtl/>
        </w:rPr>
        <w:t xml:space="preserve">۲. تهران، عبد العظيم؛ شماره نسخه: ۶۰۱/۲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نام مؤلف به قرینه همخوانی آغاز نسخه با نسخه دانشگاه بوعلی تعیین شد؛ خط: نسخ، بی کا، تا: چهارشنبه اواسط جمادی الاول ۱۲۶۵ق؛ ۷۴گ، ۱۶ سطر، اندازه: 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۱۷/۵ سم [ف: ۱-۱۸۵]</w:t>
      </w:r>
    </w:p>
    <w:p>
      <w:pPr>
        <w:pStyle w:val="BookText"/>
      </w:pPr>
      <w:r>
        <w:rPr>
          <w:rFonts w:ascii="IRNazanin" w:hAnsi="IRNazanin" w:eastAsia="IRNazanin" w:cs="IRNazanin"/>
          <w:lang w:bidi="fa-IR"/>
          <w:color w:val="111111"/>
          <w:sz w:val="28"/>
          <w:szCs w:val="28"/>
          <w:rtl/>
        </w:rPr>
        <w:t xml:space="preserve">٣. همدان؛ دانشگاه بوعلی؛ شماره نسخه: ۲۷۷/۶</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كا: يوسف بن حیدر، تا: ۱۲۹۵ق؛ جلد: تیماج قهوه ای، ۷۵گ (۱۶۳پ -۲۳۷پ)، اندازه: ۱۰/۵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۱۴۸]</w:t>
      </w:r>
    </w:p>
    <w:p>
      <w:pPr>
        <w:pStyle w:val="BookText"/>
      </w:pPr>
      <w:r>
        <w:rPr>
          <w:rFonts w:ascii="IRNazanin" w:hAnsi="IRNazanin" w:eastAsia="IRNazanin" w:cs="IRNazanin"/>
          <w:lang w:bidi="fa-IR"/>
          <w:color w:val="111111"/>
          <w:sz w:val="28"/>
          <w:szCs w:val="28"/>
          <w:rtl/>
        </w:rPr>
        <w:t xml:space="preserve">۴. اصفهان؛ علامه فانی (ضياء الدين)؛ شماره نسخه: ۳۹/۱</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نام مؤلف به قرینه همخوانی آغاز نسخه با نسخه دانشگاه بوعلی ص ۱۴۸ تعیین شد؛ خط: نستعلیق زیبا، كا: ابراهیم بن علی اصغر، تا: محرم ۱۲۹۶ق؛ جلد: تیماج قهوه ای، ۷۹گ (۱پ-۷۹ر)، ۱۶ سطر [سه کتابخانه اصفهان: ف: ۱۲۲]</w:t>
      </w:r>
    </w:p>
    <w:p>
      <w:pPr>
        <w:pStyle w:val="Heading3"/>
      </w:pPr>
      <w:bookmarkStart w:id="1565" w:name="_Toc825"/>
      <w:r>
        <w:t>• پاسخ پرسشهای میرزا کریم / پاسخ پرسش ها / فارسی</w:t>
      </w:r>
      <w:bookmarkEnd w:id="1565"/>
    </w:p>
    <w:p>
      <w:pPr>
        <w:pStyle w:val="BookText"/>
      </w:pPr>
      <w:r>
        <w:rPr>
          <w:rFonts w:ascii="Times New Roman" w:hAnsi="Times New Roman" w:eastAsia="Times New Roman" w:cs="Times New Roman"/>
          <w:lang w:val="en-US" w:bidi="en-US"/>
          <w:color w:val="111111"/>
          <w:sz w:val="28"/>
          <w:szCs w:val="28"/>
          <w:rtl/>
        </w:rPr>
        <w:t xml:space="preserve">pāsox-e porseš-hā-ye mīrzā karīm</w:t>
      </w:r>
    </w:p>
    <w:p>
      <w:pPr>
        <w:pStyle w:val="BookText"/>
      </w:pPr>
      <w:r>
        <w:rPr>
          <w:rFonts w:ascii="IRNazanin" w:hAnsi="IRNazanin" w:eastAsia="IRNazanin" w:cs="IRNazanin"/>
          <w:lang w:bidi="fa-IR"/>
          <w:color w:val="111111"/>
          <w:sz w:val="28"/>
          <w:szCs w:val="28"/>
          <w:rtl/>
        </w:rPr>
        <w:t xml:space="preserve">همدانی شیخی، محمد باقر بن محمد جعفر، ۱۲۳۹ -۱۳۱۹ قمری</w:t>
      </w:r>
    </w:p>
    <w:p>
      <w:pPr>
        <w:pStyle w:val="BookText"/>
      </w:pPr>
      <w:r>
        <w:rPr>
          <w:rFonts w:ascii="Times New Roman" w:hAnsi="Times New Roman" w:eastAsia="Times New Roman" w:cs="Times New Roman"/>
          <w:lang w:val="en-US" w:bidi="en-US"/>
          <w:color w:val="111111"/>
          <w:sz w:val="28"/>
          <w:szCs w:val="28"/>
          <w:rtl/>
        </w:rPr>
        <w:t xml:space="preserve">hamadānī šayxī, mohammad bāqer ebn-e mohammad jafar (1824-1902)</w:t>
      </w:r>
    </w:p>
    <w:p>
      <w:pPr>
        <w:pStyle w:val="BookText"/>
      </w:pPr>
      <w:r>
        <w:rPr>
          <w:rFonts w:ascii="IRNazanin" w:hAnsi="IRNazanin" w:eastAsia="IRNazanin" w:cs="IRNazanin"/>
          <w:lang w:bidi="fa-IR"/>
          <w:color w:val="111111"/>
          <w:sz w:val="28"/>
          <w:szCs w:val="28"/>
          <w:rtl/>
        </w:rPr>
        <w:t xml:space="preserve">تاريخ تأليف: جمعه ۵ جمادی الثانی ۱۲۹۲ق</w:t>
      </w:r>
    </w:p>
    <w:p>
      <w:pPr>
        <w:pStyle w:val="BookText"/>
      </w:pPr>
      <w:r>
        <w:rPr>
          <w:rFonts w:ascii="IRNazanin" w:hAnsi="IRNazanin" w:eastAsia="IRNazanin" w:cs="IRNazanin"/>
          <w:lang w:bidi="fa-IR"/>
          <w:color w:val="111111"/>
          <w:sz w:val="28"/>
          <w:szCs w:val="28"/>
          <w:rtl/>
        </w:rPr>
        <w:t xml:space="preserve">بیشتر این پرسش ها که چهارده پرسش است مربوط به سلوک شخص همدانی و اعتراض بر بعضی از خصوصیات دینی و اخلاقی وی می باشد.</w:t>
      </w:r>
    </w:p>
    <w:p>
      <w:pPr>
        <w:pStyle w:val="BookText"/>
      </w:pPr>
      <w:r>
        <w:rPr>
          <w:rFonts w:ascii="IRNazanin" w:hAnsi="IRNazanin" w:eastAsia="IRNazanin" w:cs="IRNazanin"/>
          <w:lang w:bidi="fa-IR"/>
          <w:color w:val="111111"/>
          <w:sz w:val="28"/>
          <w:szCs w:val="28"/>
          <w:rtl/>
        </w:rPr>
        <w:t xml:space="preserve">همدان؛ دانشگاه بوعلی، شماره نسخه: ۲۷۷/۵</w:t>
      </w:r>
    </w:p>
    <w:p>
      <w:pPr>
        <w:pStyle w:val="BookText"/>
      </w:pPr>
      <w:r>
        <w:rPr>
          <w:rFonts w:ascii="IRNazanin" w:hAnsi="IRNazanin" w:eastAsia="IRNazanin" w:cs="IRNazanin"/>
          <w:lang w:bidi="fa-IR"/>
          <w:color w:val="111111"/>
          <w:sz w:val="28"/>
          <w:szCs w:val="28"/>
          <w:rtl/>
        </w:rPr>
        <w:t xml:space="preserve">آغاز: الحمد لله رب العالمين ... در این اوان محنت اقتران تعليقهای از کرمان از بعضی اخوان رسید خط: نستعلیق، کا: يوسف بن حیدر، تا: ۱۲۹۵ق؛ جلد: تیماج قهوه ای، ۱۷گ(۱۴۵ر-۱۶۱ر)، اندازه: ۱۰/۵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۱۴۸]</w:t>
      </w:r>
    </w:p>
    <w:p>
      <w:pPr>
        <w:pStyle w:val="Heading3"/>
      </w:pPr>
      <w:bookmarkStart w:id="1566" w:name="_Toc826"/>
      <w:r>
        <w:t>•پاسخ پرسشهای نذر على = ترجیح بلامرجح = الرسالة القمية = القمية = جواب المسائل القميه / پاسخ پرسش ها / فارسی</w:t>
      </w:r>
      <w:bookmarkEnd w:id="1566"/>
    </w:p>
    <w:p>
      <w:pPr>
        <w:pStyle w:val="BookText"/>
      </w:pPr>
      <w:r>
        <w:rPr>
          <w:rFonts w:ascii="Times New Roman" w:hAnsi="Times New Roman" w:eastAsia="Times New Roman" w:cs="Times New Roman"/>
          <w:lang w:val="en-US" w:bidi="en-US"/>
          <w:color w:val="111111"/>
          <w:sz w:val="28"/>
          <w:szCs w:val="28"/>
          <w:rtl/>
        </w:rPr>
        <w:t xml:space="preserve">pāsox-e porseš-hā-ye nazr ‘alī = tarjīh-e be-la-morajjeh = ar-r.-ol qommīya = al-qommīya = javāb-ol masā’el el qommīya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قزوینی، خلیل بن غازی، ۱۰۰۱-۱۰۸۹ قمری</w:t>
      </w:r>
    </w:p>
    <w:p>
      <w:pPr>
        <w:pStyle w:val="BookText"/>
      </w:pPr>
      <w:r>
        <w:rPr>
          <w:rFonts w:ascii="Times New Roman" w:hAnsi="Times New Roman" w:eastAsia="Times New Roman" w:cs="Times New Roman"/>
          <w:lang w:val="en-US" w:bidi="en-US"/>
          <w:color w:val="111111"/>
          <w:sz w:val="28"/>
          <w:szCs w:val="28"/>
          <w:rtl/>
        </w:rPr>
        <w:t xml:space="preserve">qazvīnī, xalīl ebn-e qāzī (1593-1678)</w:t>
      </w:r>
    </w:p>
    <w:p>
      <w:pPr>
        <w:pStyle w:val="BookText"/>
      </w:pPr>
      <w:r>
        <w:rPr>
          <w:rFonts w:ascii="IRNazanin" w:hAnsi="IRNazanin" w:eastAsia="IRNazanin" w:cs="IRNazanin"/>
          <w:lang w:bidi="fa-IR"/>
          <w:color w:val="111111"/>
          <w:sz w:val="28"/>
          <w:szCs w:val="28"/>
          <w:rtl/>
        </w:rPr>
        <w:t xml:space="preserve">تاریخ تأليف: قرن ۱۱</w:t>
      </w:r>
    </w:p>
    <w:p>
      <w:pPr>
        <w:pStyle w:val="BookText"/>
      </w:pPr>
      <w:r>
        <w:rPr>
          <w:rFonts w:ascii="IRNazanin" w:hAnsi="IRNazanin" w:eastAsia="IRNazanin" w:cs="IRNazanin"/>
          <w:lang w:bidi="fa-IR"/>
          <w:color w:val="111111"/>
          <w:sz w:val="28"/>
          <w:szCs w:val="28"/>
          <w:rtl/>
        </w:rPr>
        <w:t xml:space="preserve">پاسخ به چند پرسش شخصی به نام نذر على است و ایشان به اختصار جواب آنها را گفته که سه سؤال پرسیده: ترجیح بی مرجح و تخلف معلول از علت و توقف علم بر فكر حتی در انبیا و اولیاء. مؤلف بیشتر به توضیح «ترجیح بلا مرجح» پرداخته و قائل به جواز آن شده و همچنین «تخلف معلول از علت» را قبول کرده است و جایز می داند.</w:t>
      </w:r>
    </w:p>
    <w:p>
      <w:pPr>
        <w:pStyle w:val="BookText"/>
      </w:pPr>
      <w:r>
        <w:rPr>
          <w:rFonts w:ascii="IRNazanin" w:hAnsi="IRNazanin" w:eastAsia="IRNazanin" w:cs="IRNazanin"/>
          <w:lang w:bidi="fa-IR"/>
          <w:color w:val="111111"/>
          <w:sz w:val="28"/>
          <w:szCs w:val="28"/>
          <w:rtl/>
        </w:rPr>
        <w:t xml:space="preserve">آغاز: بسمله عرضه داشت کمترین نذر على بر لوح عرض مینگارد که بنده را قوت مطالعه حاشیه عده که عاليحضرت مخدومی نوشته اند نیست استدعا آنکه شفقت نموده در تحت مسایل معروضه ذيل شرح فارسی که فهم کمترین دریابد قلمی نماید اول آنکه جمعی مذکور می سازند که خدا ترجیح بلا مرجح را جایز می دانند ... الثقة بالله وحده تبارک و تعالی بدای ای برادر اید ک الله تعالی که توضیح این بمقدمه و مسأله می شود انجام: و در کافی مذکور است و ما در شافی ذکر کرده ایم شرح آنها را و دفع کرده ایم خیالات مخالف آنها را لايعلم الغيب الا الله تمت</w:t>
      </w:r>
    </w:p>
    <w:p>
      <w:pPr>
        <w:pStyle w:val="BookText"/>
      </w:pPr>
      <w:r>
        <w:rPr>
          <w:rFonts w:ascii="IRNazanin" w:hAnsi="IRNazanin" w:eastAsia="IRNazanin" w:cs="IRNazanin"/>
          <w:lang w:bidi="fa-IR"/>
          <w:color w:val="111111"/>
          <w:sz w:val="28"/>
          <w:szCs w:val="28"/>
          <w:rtl/>
        </w:rPr>
        <w:t xml:space="preserve">[ريحانة الأدب ۴۵۰/۴ ؛ الذريعة ۵/ ۲۳۰ «جوابات المسائل القمية» و ۱۴۴/۱۱ ؛ دنا ۶۲۲/۲ ، دنا ۱۰۳۲/۳ «۱ نسخه با عنوان جواب المسائل»؛ فهرستواره منزوی ۱۵۸/۶ و ۱۶۰/۹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۲۰۶/۶ -طباطبائی</w:t>
      </w:r>
    </w:p>
    <w:p>
      <w:pPr>
        <w:pStyle w:val="BookText"/>
      </w:pPr>
      <w:r>
        <w:rPr>
          <w:rFonts w:ascii="IRNazanin" w:hAnsi="IRNazanin" w:eastAsia="IRNazanin" w:cs="IRNazanin"/>
          <w:lang w:bidi="fa-IR"/>
          <w:color w:val="111111"/>
          <w:sz w:val="28"/>
          <w:szCs w:val="28"/>
          <w:rtl/>
        </w:rPr>
        <w:t xml:space="preserve">آغاز: از فضیلت پناه ملا خلیل قزوینی پرسیدند آن که خدام قائلند به تخلف معلول از علت تامه توجه نموده حقیقت آن را توضیح نمایند الثقة بالله و حده و جل قدرته بدان ای برادر توضیح این مقدمه در دو مقدمه و یک مسئله می شود مقدمه اولی در بیان معنی تخلف معلول از علت؛ انجام: ما در کتاب شافی در شرح باب بداء تفصیل این را ذکر کرده ایم می فهمد آن را کسی که خواهد.</w:t>
      </w:r>
    </w:p>
    <w:p>
      <w:pPr>
        <w:pStyle w:val="BookText"/>
      </w:pPr>
      <w:r>
        <w:rPr>
          <w:rFonts w:ascii="IRNazanin" w:hAnsi="IRNazanin" w:eastAsia="IRNazanin" w:cs="IRNazanin"/>
          <w:lang w:bidi="fa-IR"/>
          <w:color w:val="111111"/>
          <w:sz w:val="28"/>
          <w:szCs w:val="28"/>
          <w:rtl/>
        </w:rPr>
        <w:t xml:space="preserve">بی کا، تا: قرن ۱۱؛ کاغذ: اصفهانی شکری رنگ، جلد: تیماج قهوه ای سیر عطف و حاشیه تیماج قرمز، ۵گ (۳۰ر -۳۴پ)، قطع: رقعی،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۲۲-۷۴]</w:t>
      </w:r>
    </w:p>
    <w:p>
      <w:pPr>
        <w:pStyle w:val="BookText"/>
      </w:pPr>
      <w:r>
        <w:rPr>
          <w:rFonts w:ascii="IRNazanin" w:hAnsi="IRNazanin" w:eastAsia="IRNazanin" w:cs="IRNazanin"/>
          <w:lang w:bidi="fa-IR"/>
          <w:color w:val="111111"/>
          <w:sz w:val="28"/>
          <w:szCs w:val="28"/>
          <w:rtl/>
        </w:rPr>
        <w:t xml:space="preserve">۲. قم؛ مرعشی؛ شماره نسخه: ۶/۱۱۵۲۰</w:t>
      </w:r>
    </w:p>
    <w:p>
      <w:pPr>
        <w:pStyle w:val="BookText"/>
      </w:pPr>
      <w:r>
        <w:rPr>
          <w:rFonts w:ascii="IRNazanin" w:hAnsi="IRNazanin" w:eastAsia="IRNazanin" w:cs="IRNazanin"/>
          <w:lang w:bidi="fa-IR"/>
          <w:color w:val="111111"/>
          <w:sz w:val="28"/>
          <w:szCs w:val="28"/>
          <w:rtl/>
        </w:rPr>
        <w:t xml:space="preserve">آغاز و انجام: برابر خط: شکسته نستعلیق، كا: عبدالعظیم فرزند عاشور، تبریزی، تا: قرن ۱۱؛ مصحح؛ مهر: «عبده أروج» (مربع)، «محمد میثم شرع ۱۲۱۷» (مربع)؛ کاغذ: شرقی، ۸گ (۱۱۶-۱۲۳)، ۱۷ سطر، اندازه: ۱۴۶۷ سم [ف: ۲۹-۱۶۶]</w:t>
      </w:r>
    </w:p>
    <w:p>
      <w:pPr>
        <w:pStyle w:val="BookText"/>
      </w:pPr>
      <w:r>
        <w:rPr>
          <w:rFonts w:ascii="IRNazanin" w:hAnsi="IRNazanin" w:eastAsia="IRNazanin" w:cs="IRNazanin"/>
          <w:lang w:bidi="fa-IR"/>
          <w:color w:val="111111"/>
          <w:sz w:val="28"/>
          <w:szCs w:val="28"/>
          <w:rtl/>
        </w:rPr>
        <w:t xml:space="preserve">٣. تهران؛ مجلس؛ شماره نسخه:۱۰۷۰۸/۶</w:t>
      </w:r>
    </w:p>
    <w:p>
      <w:pPr>
        <w:pStyle w:val="BookText"/>
      </w:pPr>
      <w:r>
        <w:rPr>
          <w:rFonts w:ascii="IRNazanin" w:hAnsi="IRNazanin" w:eastAsia="IRNazanin" w:cs="IRNazanin"/>
          <w:lang w:bidi="fa-IR"/>
          <w:color w:val="111111"/>
          <w:sz w:val="28"/>
          <w:szCs w:val="28"/>
          <w:rtl/>
        </w:rPr>
        <w:t xml:space="preserve">آغاز: از فضیلت پناه ملا خلیل قزوینی پرسیدند آن که خدام قائلند به تخلف معلول از علت تامه توجه نموده حقیقت آن را توضیح نمایند. الثقة بالله وحده و جل قدرته بدان ای برادر، توضیح این مقدمه در دو مقدمه و یک مسئله می شود مقدمه اولی در بیان معنی تخلف معلول از علت؛ انجام: برابر خط: نستعلیق، بی کا، تا: قرن ۱۱؛ جلد: تیماج قهوه ای، ۸ص</w:t>
      </w:r>
    </w:p>
    <w:p>
      <w:pPr>
        <w:pStyle w:val="BookText"/>
      </w:pPr>
      <w:r>
        <w:rPr>
          <w:rFonts w:ascii="IRNazanin" w:hAnsi="IRNazanin" w:eastAsia="IRNazanin" w:cs="IRNazanin"/>
          <w:lang w:bidi="fa-IR"/>
          <w:color w:val="111111"/>
          <w:sz w:val="28"/>
          <w:szCs w:val="28"/>
          <w:rtl/>
        </w:rPr>
        <w:t xml:space="preserve">( ۱۱۵-۱۰۸ )،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۳۳/۱ -۱۸۳]</w:t>
      </w:r>
    </w:p>
    <w:p>
      <w:pPr>
        <w:pStyle w:val="BookText"/>
      </w:pPr>
      <w:r>
        <w:rPr>
          <w:rFonts w:ascii="IRNazanin" w:hAnsi="IRNazanin" w:eastAsia="IRNazanin" w:cs="IRNazanin"/>
          <w:lang w:bidi="fa-IR"/>
          <w:color w:val="111111"/>
          <w:sz w:val="28"/>
          <w:szCs w:val="28"/>
          <w:rtl/>
        </w:rPr>
        <w:t xml:space="preserve">۴. قم: مرعشی؛ شماره نسخه: ۶۵۴۳/۱۳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كا: كرم الله بن عطاء، تا: دوشنبه ۱۸ شوال ۱۰۸۳ق، جا: مکه؛ جلد: تیماج قرمز عطف و حاشیه تیماج سبز، ۳گ (۸۰پ -۱۸۲)،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۳۶/۵ سم [ف: ۱۷-۱۲۶]</w:t>
      </w:r>
    </w:p>
    <w:p>
      <w:pPr>
        <w:pStyle w:val="BookText"/>
      </w:pPr>
      <w:r>
        <w:rPr>
          <w:rFonts w:ascii="IRNazanin" w:hAnsi="IRNazanin" w:eastAsia="IRNazanin" w:cs="IRNazanin"/>
          <w:lang w:bidi="fa-IR"/>
          <w:color w:val="111111"/>
          <w:sz w:val="28"/>
          <w:szCs w:val="28"/>
          <w:rtl/>
        </w:rPr>
        <w:t xml:space="preserve">۵. تهران؛ مهدوی؛ شماره نسخه: ۵۹۲/۱۸</w:t>
      </w:r>
    </w:p>
    <w:p>
      <w:pPr>
        <w:pStyle w:val="BookText"/>
      </w:pPr>
      <w:r>
        <w:rPr>
          <w:rFonts w:ascii="IRNazanin" w:hAnsi="IRNazanin" w:eastAsia="IRNazanin" w:cs="IRNazanin"/>
          <w:lang w:bidi="fa-IR"/>
          <w:color w:val="111111"/>
          <w:sz w:val="28"/>
          <w:szCs w:val="28"/>
          <w:rtl/>
        </w:rPr>
        <w:t xml:space="preserve">خط: نسخ، كا: محمد اسمعيل بن عبدالنبي نصيری، تا: قرن ۱۲؛ جلد: تیماج مشکی ضربی مقوایی، لاگ (۲۲۳-۲۲۹پ)، قطع: خشتی [نشریه: ۲-۱۲۶]</w:t>
      </w:r>
    </w:p>
    <w:p>
      <w:pPr>
        <w:pStyle w:val="BookText"/>
      </w:pPr>
      <w:r>
        <w:rPr>
          <w:rFonts w:ascii="IRNazanin" w:hAnsi="IRNazanin" w:eastAsia="IRNazanin" w:cs="IRNazanin"/>
          <w:lang w:bidi="fa-IR"/>
          <w:color w:val="111111"/>
          <w:sz w:val="28"/>
          <w:szCs w:val="28"/>
          <w:rtl/>
        </w:rPr>
        <w:t xml:space="preserve">۶. قم؛ گلپایگانی؛ شماره نسخه: ۲۲- ۳۵/۳۳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۱۱۰۲ق؛ مجدول مذهب؛ جلد: تیماج دورو، ۵گ، ۲۵ سطر، اندازه: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۴-۲۰۲۷]</w:t>
      </w:r>
    </w:p>
    <w:p>
      <w:pPr>
        <w:pStyle w:val="BookText"/>
      </w:pPr>
      <w:r>
        <w:rPr>
          <w:rFonts w:ascii="IRNazanin" w:hAnsi="IRNazanin" w:eastAsia="IRNazanin" w:cs="IRNazanin"/>
          <w:lang w:bidi="fa-IR"/>
          <w:color w:val="111111"/>
          <w:sz w:val="28"/>
          <w:szCs w:val="28"/>
          <w:rtl/>
        </w:rPr>
        <w:t xml:space="preserve">۷. قم؛ مرعشی؛ شماره نسخه: ۴۰۷۶/۱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کا: محمد رضا بن محمد هاشم منجردین جی، تا: ۲۵ ذیحجه ۱۱۲۴ق؛ جلد: تیماج قهوه ای بدون مقوا، ۸گ (۲پور)،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۱۱-۸۱]</w:t>
      </w:r>
    </w:p>
    <w:p>
      <w:pPr>
        <w:pStyle w:val="BookText"/>
      </w:pPr>
      <w:r>
        <w:rPr>
          <w:rFonts w:ascii="IRNazanin" w:hAnsi="IRNazanin" w:eastAsia="IRNazanin" w:cs="IRNazanin"/>
          <w:lang w:bidi="fa-IR"/>
          <w:color w:val="111111"/>
          <w:sz w:val="28"/>
          <w:szCs w:val="28"/>
          <w:rtl/>
        </w:rPr>
        <w:t xml:space="preserve">۸. مشهد؛ رضوی؛ شماره نسخه: ۲۳۴۸۰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بی کا، تا: ۱۱۲۶ق [رایانه]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مجلس؛ شماره نسخه: ۱۵۴۳۲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مشتمل بر پنج مساله؛ خط: نستعلیق، کا: نصیر، تا: قرن ۱۳؛ مصحح، با امضای «بلغ المقابلة»؛ جلد: تیماج يشمی، ۱۸، ۱۲ سطر، اندازه: ۱۰/۷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۲۱/۴ سم [ف: ۴۳-۸۷]</w:t>
      </w:r>
    </w:p>
    <w:p>
      <w:pPr>
        <w:pStyle w:val="BookText"/>
      </w:pPr>
      <w:r>
        <w:rPr>
          <w:rFonts w:ascii="IRNazanin" w:hAnsi="IRNazanin" w:eastAsia="IRNazanin" w:cs="IRNazanin"/>
          <w:lang w:bidi="fa-IR"/>
          <w:color w:val="111111"/>
          <w:sz w:val="28"/>
          <w:szCs w:val="28"/>
          <w:rtl/>
        </w:rPr>
        <w:t xml:space="preserve">۱۰. قم؛ مرعشی؛ شماره نسخه: ۹۵۶۲/۲</w:t>
      </w:r>
    </w:p>
    <w:p>
      <w:pPr>
        <w:pStyle w:val="BookText"/>
      </w:pPr>
      <w:r>
        <w:rPr>
          <w:rFonts w:ascii="IRNazanin" w:hAnsi="IRNazanin" w:eastAsia="IRNazanin" w:cs="IRNazanin"/>
          <w:lang w:bidi="fa-IR"/>
          <w:color w:val="111111"/>
          <w:sz w:val="28"/>
          <w:szCs w:val="28"/>
          <w:rtl/>
        </w:rPr>
        <w:t xml:space="preserve">خط: نستعلیق، کا: محمد مهدی بن محمد رضا اصفهانی مشهور به ارباب، تا: ۱۲۵۷ق؛ جلد: تیماج قرمز عطف تیماج قهوه ای، ۷گ ( ۱۸۱-۷۵ )، ۱۶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۲۴-۳۰۴]</w:t>
      </w:r>
    </w:p>
    <w:p>
      <w:pPr>
        <w:pStyle w:val="BookText"/>
      </w:pPr>
      <w:r>
        <w:rPr>
          <w:rFonts w:ascii="IRNazanin" w:hAnsi="IRNazanin" w:eastAsia="IRNazanin" w:cs="IRNazanin"/>
          <w:lang w:bidi="fa-IR"/>
          <w:color w:val="111111"/>
          <w:sz w:val="28"/>
          <w:szCs w:val="28"/>
          <w:rtl/>
        </w:rPr>
        <w:t xml:space="preserve">۱۱. تهران؛ دانشگاه؛ شماره نسخه: ۵۸۶۵/۳</w:t>
      </w:r>
    </w:p>
    <w:p>
      <w:pPr>
        <w:pStyle w:val="BookText"/>
      </w:pPr>
      <w:r>
        <w:rPr>
          <w:rFonts w:ascii="IRNazanin" w:hAnsi="IRNazanin" w:eastAsia="IRNazanin" w:cs="IRNazanin"/>
          <w:lang w:bidi="fa-IR"/>
          <w:color w:val="111111"/>
          <w:sz w:val="28"/>
          <w:szCs w:val="28"/>
          <w:rtl/>
        </w:rPr>
        <w:t xml:space="preserve">خط: نستعلیق، كا: على بن اسد بیک فراش خلوت ناصر الدین شاه، تا: ۱۹ صفر ۱۲۸۷ق؛ کاغذ: فرنگی، جلد: تیماج تریاکی ضربی مقوایی، ۱۵گ (۶۷-۸۱)، ۱۵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قطع: ربعی،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۱۶-۱۱۳]</w:t>
      </w:r>
    </w:p>
    <w:p>
      <w:pPr>
        <w:pStyle w:val="BookText"/>
      </w:pPr>
      <w:r>
        <w:rPr>
          <w:rFonts w:ascii="IRNazanin" w:hAnsi="IRNazanin" w:eastAsia="IRNazanin" w:cs="IRNazanin"/>
          <w:lang w:bidi="fa-IR"/>
          <w:color w:val="111111"/>
          <w:sz w:val="28"/>
          <w:szCs w:val="28"/>
          <w:rtl/>
        </w:rPr>
        <w:t xml:space="preserve">۱۲. مشهد؛ رضوی؛ شماره نسخه: ۲۳۴۵۶</w:t>
      </w:r>
    </w:p>
    <w:p>
      <w:pPr>
        <w:pStyle w:val="BookText"/>
      </w:pPr>
      <w:r>
        <w:rPr>
          <w:rFonts w:ascii="IRNazanin" w:hAnsi="IRNazanin" w:eastAsia="IRNazanin" w:cs="IRNazanin"/>
          <w:lang w:bidi="fa-IR"/>
          <w:color w:val="111111"/>
          <w:sz w:val="28"/>
          <w:szCs w:val="28"/>
          <w:rtl/>
        </w:rPr>
        <w:t xml:space="preserve">آغاز: تحقیق معنی ترجیح بلا مرجع؛ انجام: لا يعلم الغيب الا هو.</w:t>
      </w:r>
    </w:p>
    <w:p>
      <w:pPr>
        <w:pStyle w:val="BookText"/>
      </w:pPr>
      <w:r>
        <w:rPr>
          <w:rFonts w:ascii="IRNazanin" w:hAnsi="IRNazanin" w:eastAsia="IRNazanin" w:cs="IRNazanin"/>
          <w:lang w:bidi="fa-IR"/>
          <w:color w:val="111111"/>
          <w:sz w:val="28"/>
          <w:szCs w:val="28"/>
          <w:rtl/>
        </w:rPr>
        <w:t xml:space="preserve">خط: نسخ، بی کا، بی تا</w:t>
      </w:r>
    </w:p>
    <w:p>
      <w:pPr>
        <w:pStyle w:val="BookText"/>
      </w:pPr>
      <w:r>
        <w:rPr>
          <w:rFonts w:ascii="IRNazanin" w:hAnsi="IRNazanin" w:eastAsia="IRNazanin" w:cs="IRNazanin"/>
          <w:lang w:bidi="fa-IR"/>
          <w:color w:val="111111"/>
          <w:sz w:val="28"/>
          <w:szCs w:val="28"/>
          <w:rtl/>
        </w:rPr>
        <w:t xml:space="preserve">[رایانه ]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64" w:name="pg20363_209523"/>
    <w:bookmarkEnd w:id="264"/>
    <w:p>
      <w:pPr>
        <w:pStyle w:val="BookText"/>
      </w:pPr>
      <w:r>
        <w:rPr>
          <w:rFonts w:ascii="IRNazanin" w:hAnsi="IRNazanin" w:eastAsia="IRNazanin" w:cs="IRNazanin"/>
          <w:lang w:bidi="fa-IR"/>
          <w:color w:val="111111"/>
          <w:sz w:val="28"/>
          <w:szCs w:val="28"/>
          <w:rtl/>
        </w:rPr>
        <w:t xml:space="preserve">۱۳. تهران؛ دانشگاه؛ شماره نسخه: ۴۶۶۸/۹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کاغذ: سپاهانی، جلد: تیماج قهوه ای زرکوب مقوایی با لولا، ۲۰ص (۴۴۰-۴۵۹)، ۱۹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۴)،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۹سم [ف: ۱۴-۳۶۱۸]</w:t>
      </w:r>
    </w:p>
    <w:p>
      <w:pPr>
        <w:pStyle w:val="BookText"/>
      </w:pPr>
      <w:r>
        <w:rPr>
          <w:rFonts w:ascii="IRNazanin" w:hAnsi="IRNazanin" w:eastAsia="IRNazanin" w:cs="IRNazanin"/>
          <w:lang w:bidi="fa-IR"/>
          <w:color w:val="111111"/>
          <w:sz w:val="28"/>
          <w:szCs w:val="28"/>
          <w:rtl/>
        </w:rPr>
        <w:t xml:space="preserve">۱۴. تهران؛ مجلس؛ شماره نسخه: ۹۵۱۶/۴</w:t>
      </w:r>
    </w:p>
    <w:p>
      <w:pPr>
        <w:pStyle w:val="BookText"/>
      </w:pPr>
      <w:r>
        <w:rPr>
          <w:rFonts w:ascii="IRNazanin" w:hAnsi="IRNazanin" w:eastAsia="IRNazanin" w:cs="IRNazanin"/>
          <w:lang w:bidi="fa-IR"/>
          <w:color w:val="111111"/>
          <w:sz w:val="28"/>
          <w:szCs w:val="28"/>
          <w:rtl/>
        </w:rPr>
        <w:t xml:space="preserve">آغاز و انجام: برابر خط: نسخ، كا: محمد رضا بن میر عبدالله حسینی دریاباری، بی تا؛</w:t>
      </w:r>
    </w:p>
    <w:p>
      <w:pPr>
        <w:pStyle w:val="BookText"/>
      </w:pPr>
      <w:r>
        <w:rPr>
          <w:rFonts w:ascii="IRNazanin" w:hAnsi="IRNazanin" w:eastAsia="IRNazanin" w:cs="IRNazanin"/>
          <w:lang w:bidi="fa-IR"/>
          <w:color w:val="111111"/>
          <w:sz w:val="28"/>
          <w:szCs w:val="28"/>
          <w:rtl/>
        </w:rPr>
        <w:t xml:space="preserve">جلد: تیماج قهوه ای، وگ (۱۵۵ر -۱۶۳پ)، ۲۳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۳۰-۱۸۸] ۱۵. قم؛ مسجد اعظم، شماره نسخه: ۷۶۶/۲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جلد: تیماج زرشکی، ۱۴ گ، ۱۷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مخ: ۴-۱۵۳۳]</w:t>
      </w:r>
    </w:p>
    <w:p>
      <w:pPr>
        <w:pStyle w:val="BookText"/>
      </w:pPr>
      <w:r>
        <w:rPr>
          <w:rFonts w:ascii="IRNazanin" w:hAnsi="IRNazanin" w:eastAsia="IRNazanin" w:cs="IRNazanin"/>
          <w:lang w:bidi="fa-IR"/>
          <w:color w:val="111111"/>
          <w:sz w:val="28"/>
          <w:szCs w:val="28"/>
          <w:rtl/>
        </w:rPr>
        <w:t xml:space="preserve">۱۶. تهران؛ الهیات؛ شماره نسخه:۷۴۹/۱۵</w:t>
      </w:r>
    </w:p>
    <w:p>
      <w:pPr>
        <w:pStyle w:val="BookText"/>
      </w:pPr>
      <w:r>
        <w:rPr>
          <w:rFonts w:ascii="IRNazanin" w:hAnsi="IRNazanin" w:eastAsia="IRNazanin" w:cs="IRNazanin"/>
          <w:lang w:bidi="fa-IR"/>
          <w:color w:val="111111"/>
          <w:sz w:val="28"/>
          <w:szCs w:val="28"/>
          <w:rtl/>
        </w:rPr>
        <w:t xml:space="preserve">بی کا، بی تا، کاغذ: اصفهانی، جلد: تیماج قهوه ای ضربی مقوایی، ۶گ (۱۶۸ر-۱۷۳ر)،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سم [ف: ۳۸۰]</w:t>
      </w:r>
    </w:p>
    <w:p>
      <w:pPr>
        <w:pStyle w:val="BookText"/>
      </w:pPr>
      <w:r>
        <w:rPr>
          <w:rFonts w:ascii="IRNazanin" w:hAnsi="IRNazanin" w:eastAsia="IRNazanin" w:cs="IRNazanin"/>
          <w:lang w:bidi="fa-IR"/>
          <w:color w:val="111111"/>
          <w:sz w:val="28"/>
          <w:szCs w:val="28"/>
          <w:rtl/>
        </w:rPr>
        <w:t xml:space="preserve">۱۷. تهران؛ مجلس؛ شماره نسخه: ۱۲۰۷/۵</w:t>
      </w:r>
    </w:p>
    <w:p>
      <w:pPr>
        <w:pStyle w:val="BookText"/>
      </w:pPr>
      <w:r>
        <w:rPr>
          <w:rFonts w:ascii="IRNazanin" w:hAnsi="IRNazanin" w:eastAsia="IRNazanin" w:cs="IRNazanin"/>
          <w:lang w:bidi="fa-IR"/>
          <w:color w:val="111111"/>
          <w:sz w:val="28"/>
          <w:szCs w:val="28"/>
          <w:rtl/>
        </w:rPr>
        <w:t xml:space="preserve">آغاز: سئوال در جواز ترجیح بلامرجح جواب بدان ای برادر اید ک الله تعالی توضیح؛ انجام: برابر</w:t>
      </w:r>
    </w:p>
    <w:p>
      <w:pPr>
        <w:pStyle w:val="BookText"/>
      </w:pPr>
      <w:r>
        <w:rPr>
          <w:rFonts w:ascii="IRNazanin" w:hAnsi="IRNazanin" w:eastAsia="IRNazanin" w:cs="IRNazanin"/>
          <w:lang w:bidi="fa-IR"/>
          <w:color w:val="111111"/>
          <w:sz w:val="28"/>
          <w:szCs w:val="28"/>
          <w:rtl/>
        </w:rPr>
        <w:t xml:space="preserve">بی کا، بی تا؛ ۹ص (۳۸-۴۶) [ف: ۵-۵۰۱]</w:t>
      </w:r>
    </w:p>
    <w:p>
      <w:pPr>
        <w:pStyle w:val="BookText"/>
      </w:pPr>
      <w:r>
        <w:rPr>
          <w:rFonts w:ascii="IRNazanin" w:hAnsi="IRNazanin" w:eastAsia="IRNazanin" w:cs="IRNazanin"/>
          <w:lang w:bidi="fa-IR"/>
          <w:color w:val="111111"/>
          <w:sz w:val="28"/>
          <w:szCs w:val="28"/>
          <w:rtl/>
        </w:rPr>
        <w:t xml:space="preserve">۱۸. تهران؛ سپهسالار؛ شماره نسخه: ۲۷۹۹/۲۲</w:t>
      </w:r>
    </w:p>
    <w:p>
      <w:pPr>
        <w:pStyle w:val="BookText"/>
      </w:pPr>
      <w:r>
        <w:rPr>
          <w:rFonts w:ascii="IRNazanin" w:hAnsi="IRNazanin" w:eastAsia="IRNazanin" w:cs="IRNazanin"/>
          <w:lang w:bidi="fa-IR"/>
          <w:color w:val="111111"/>
          <w:sz w:val="28"/>
          <w:szCs w:val="28"/>
          <w:rtl/>
        </w:rPr>
        <w:t xml:space="preserve">بی کا، بی تا، کاغذ: سپاهانی، جلد: تیماج سرخ ضربی مقوایی، ۵ص (۱۶۰-۱۶۴)، ۲۱-۳۴ سطر و برخی چلیپا، اندازه: ۳۸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اف: ۳-۲۸۳]</w:t>
      </w:r>
    </w:p>
    <w:p>
      <w:pPr>
        <w:pStyle w:val="Heading3"/>
      </w:pPr>
      <w:bookmarkStart w:id="1567" w:name="_Toc827"/>
      <w:r>
        <w:t>• پاسخ پرسشی از توحید / پاسخ پرسش ها / فارسی</w:t>
      </w:r>
      <w:bookmarkEnd w:id="1567"/>
    </w:p>
    <w:p>
      <w:pPr>
        <w:pStyle w:val="BookText"/>
      </w:pPr>
      <w:r>
        <w:rPr>
          <w:rFonts w:ascii="Times New Roman" w:hAnsi="Times New Roman" w:eastAsia="Times New Roman" w:cs="Times New Roman"/>
          <w:lang w:val="en-US" w:bidi="en-US"/>
          <w:color w:val="111111"/>
          <w:sz w:val="28"/>
          <w:szCs w:val="28"/>
          <w:rtl/>
        </w:rPr>
        <w:t xml:space="preserve">pāsox-e porsešī az towhīd</w:t>
      </w:r>
    </w:p>
    <w:p>
      <w:pPr>
        <w:pStyle w:val="BookText"/>
      </w:pPr>
      <w:r>
        <w:rPr>
          <w:rFonts w:ascii="IRNazanin" w:hAnsi="IRNazanin" w:eastAsia="IRNazanin" w:cs="IRNazanin"/>
          <w:lang w:bidi="fa-IR"/>
          <w:color w:val="111111"/>
          <w:sz w:val="28"/>
          <w:szCs w:val="28"/>
          <w:rtl/>
        </w:rPr>
        <w:t xml:space="preserve">کرمانی، محمد کریم بن ابراهیم، ۱۲۲۵-۱۲۸۸ قمری</w:t>
      </w:r>
    </w:p>
    <w:p>
      <w:pPr>
        <w:pStyle w:val="BookText"/>
      </w:pPr>
      <w:r>
        <w:rPr>
          <w:rFonts w:ascii="Times New Roman" w:hAnsi="Times New Roman" w:eastAsia="Times New Roman" w:cs="Times New Roman"/>
          <w:lang w:val="en-US" w:bidi="en-US"/>
          <w:color w:val="111111"/>
          <w:sz w:val="28"/>
          <w:szCs w:val="28"/>
          <w:rtl/>
        </w:rPr>
        <w:t xml:space="preserve">(1810 -kermānī, mohammad karīm ebn-e ebrāhīm 1871)</w:t>
      </w:r>
    </w:p>
    <w:p>
      <w:pPr>
        <w:pStyle w:val="BookText"/>
      </w:pPr>
      <w:r>
        <w:rPr>
          <w:rFonts w:ascii="IRNazanin" w:hAnsi="IRNazanin" w:eastAsia="IRNazanin" w:cs="IRNazanin"/>
          <w:lang w:bidi="fa-IR"/>
          <w:color w:val="111111"/>
          <w:sz w:val="28"/>
          <w:szCs w:val="28"/>
          <w:rtl/>
        </w:rPr>
        <w:t xml:space="preserve">پاسخ پرسش یکی از اعیان نظام است درباره جمله «من سأل عن التوحيد فهو جاهل و من اجاب فهو مشرک و من يعرف فهو ملحد و من لا يعرف فهو كافر»..</w:t>
      </w:r>
    </w:p>
    <w:p>
      <w:pPr>
        <w:pStyle w:val="BookText"/>
      </w:pPr>
      <w:r>
        <w:rPr>
          <w:rFonts w:ascii="IRNazanin" w:hAnsi="IRNazanin" w:eastAsia="IRNazanin" w:cs="IRNazanin"/>
          <w:lang w:bidi="fa-IR"/>
          <w:color w:val="111111"/>
          <w:sz w:val="28"/>
          <w:szCs w:val="28"/>
          <w:rtl/>
        </w:rPr>
        <w:t xml:space="preserve">اصفهان؛ دانشگاه؛ شماره نسخه: ۲۰۰/۷</w:t>
      </w:r>
    </w:p>
    <w:p>
      <w:pPr>
        <w:pStyle w:val="BookText"/>
      </w:pPr>
      <w:r>
        <w:rPr>
          <w:rFonts w:ascii="IRNazanin" w:hAnsi="IRNazanin" w:eastAsia="IRNazanin" w:cs="IRNazanin"/>
          <w:lang w:bidi="fa-IR"/>
          <w:color w:val="111111"/>
          <w:sz w:val="28"/>
          <w:szCs w:val="28"/>
          <w:rtl/>
        </w:rPr>
        <w:t xml:space="preserve">آغاز: الحمدلله ...... و بعد این کلمه ای چند در جواب یکی از برادران دینی که به اشاره یکی از اعیان عظام سؤال نموده عرض می کنم</w:t>
      </w:r>
    </w:p>
    <w:p>
      <w:pPr>
        <w:pStyle w:val="BookText"/>
      </w:pPr>
      <w:r>
        <w:rPr>
          <w:rFonts w:ascii="IRNazanin" w:hAnsi="IRNazanin" w:eastAsia="IRNazanin" w:cs="IRNazanin"/>
          <w:lang w:bidi="fa-IR"/>
          <w:color w:val="111111"/>
          <w:sz w:val="28"/>
          <w:szCs w:val="28"/>
          <w:rtl/>
        </w:rPr>
        <w:t xml:space="preserve">کا: عبد الحسين بن عزيز بن حسن بن منصور همدانی، تا: ۱۰ رجب ۱۳۰۴ق؛ جلد: تیماج قهوه ای ساغری، ۵گ (۱۸۰ر-۱۸۴ر)،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۱-۱۴۹]</w:t>
      </w:r>
    </w:p>
    <w:p>
      <w:pPr>
        <w:pStyle w:val="Heading3"/>
      </w:pPr>
      <w:bookmarkStart w:id="1568" w:name="_Toc828"/>
      <w:r>
        <w:t>• پاسخ پرسش یکی از بزرگان / پاسخ پرسش ها / فارسی</w:t>
      </w:r>
      <w:bookmarkEnd w:id="1568"/>
    </w:p>
    <w:p>
      <w:pPr>
        <w:pStyle w:val="BookText"/>
      </w:pPr>
      <w:r>
        <w:rPr>
          <w:rFonts w:ascii="Times New Roman" w:hAnsi="Times New Roman" w:eastAsia="Times New Roman" w:cs="Times New Roman"/>
          <w:lang w:val="en-US" w:bidi="en-US"/>
          <w:color w:val="111111"/>
          <w:sz w:val="28"/>
          <w:szCs w:val="28"/>
          <w:rtl/>
        </w:rPr>
        <w:t xml:space="preserve">pāsox-e porseš-e yekī az bozorgān</w:t>
      </w:r>
    </w:p>
    <w:p>
      <w:pPr>
        <w:pStyle w:val="BookText"/>
      </w:pPr>
      <w:r>
        <w:rPr>
          <w:rFonts w:ascii="IRNazanin" w:hAnsi="IRNazanin" w:eastAsia="IRNazanin" w:cs="IRNazanin"/>
          <w:lang w:bidi="fa-IR"/>
          <w:color w:val="111111"/>
          <w:sz w:val="28"/>
          <w:szCs w:val="28"/>
          <w:rtl/>
        </w:rPr>
        <w:t xml:space="preserve">عبدالرزاق کاشی، عبدالرزاق بن احمد، -۷۳۶ ؟ قمری</w:t>
      </w:r>
    </w:p>
    <w:p>
      <w:pPr>
        <w:pStyle w:val="BookText"/>
      </w:pPr>
      <w:r>
        <w:rPr>
          <w:rFonts w:ascii="Times New Roman" w:hAnsi="Times New Roman" w:eastAsia="Times New Roman" w:cs="Times New Roman"/>
          <w:lang w:val="en-US" w:bidi="en-US"/>
          <w:color w:val="111111"/>
          <w:sz w:val="28"/>
          <w:szCs w:val="28"/>
          <w:rtl/>
        </w:rPr>
        <w:t xml:space="preserve">‘abd-or-razzāq-e kāšī, 'abd-or-razzāq ebn-e ahmad ( 1336)</w:t>
      </w:r>
    </w:p>
    <w:p>
      <w:pPr>
        <w:pStyle w:val="BookText"/>
      </w:pPr>
      <w:r>
        <w:rPr>
          <w:rFonts w:ascii="IRNazanin" w:hAnsi="IRNazanin" w:eastAsia="IRNazanin" w:cs="IRNazanin"/>
          <w:lang w:bidi="fa-IR"/>
          <w:color w:val="111111"/>
          <w:sz w:val="28"/>
          <w:szCs w:val="28"/>
          <w:rtl/>
        </w:rPr>
        <w:t xml:space="preserve">به درخواست: مولانا محمود فضل آغاز: بسمله، حق - تعالى - بالهام تحقيق حجاب تقلید از ضمایر همگان مرفوع گرداناد و بانعام توفيق غطاء تلبيس از بصائر سالكان مكشوف ... موجب تحریر این کلمات آن بود که در بعضی از محاورات یاران و دوستان ثابت قدم سلسله اطناب سخن بدان کشید که بزرگی از بزرگان روزگار انجام: این امانت جز بأهل آن نسپاری و این سر از عوام نگه داری. إن الله يأمركم أن تؤدوا الأمانات إلى أهلها الله نعما يعظكم به إن الله كان سميعا بصيرا چاپ: در مجموعه رسائل و مصنفات کاشانی (تهران، میراث مکتوب)</w:t>
      </w:r>
    </w:p>
    <w:p>
      <w:pPr>
        <w:pStyle w:val="BookText"/>
      </w:pPr>
      <w:r>
        <w:rPr>
          <w:rFonts w:ascii="Amiri" w:hAnsi="Amiri" w:eastAsia="Amiri" w:cs="Amiri"/>
          <w:lang w:bidi="ar-SA"/>
          <w:color w:val="111111"/>
          <w:sz w:val="28"/>
          <w:szCs w:val="28"/>
          <w:rtl/>
        </w:rPr>
        <w:t xml:space="preserve">تهران؛ الهيات؛ شماره نسخه: ۱۴/۶</w:t>
      </w:r>
    </w:p>
    <w:p>
      <w:pPr>
        <w:pStyle w:val="BookText"/>
      </w:pPr>
      <w:r>
        <w:rPr>
          <w:rFonts w:ascii="IRNazanin" w:hAnsi="IRNazanin" w:eastAsia="IRNazanin" w:cs="IRNazanin"/>
          <w:lang w:bidi="fa-IR"/>
          <w:color w:val="111111"/>
          <w:sz w:val="28"/>
          <w:szCs w:val="28"/>
          <w:rtl/>
        </w:rPr>
        <w:t xml:space="preserve">آغاز: برابر؛ انجام: و از غوغای عوام و جهال نگهداری و الله اعلم بالصواب آغاز شباهت تامی به رساله يوحناییه دارد؛ خط: نسخ، كا: محمد عرب، تا: ۳ ذیحجه ۱۰۳۷ق، برای آخوندی خود در قرن ۱۲؛ کاغذ: سپاهانی، جلد: تیماج مقوایی، ۴گ (۳۸۱پ -۳۸۴ر)،</w:t>
      </w:r>
    </w:p>
    <w:p>
      <w:pPr>
        <w:pStyle w:val="BookText"/>
      </w:pPr>
      <w:r>
        <w:rPr>
          <w:rFonts w:ascii="IRNazanin" w:hAnsi="IRNazanin" w:eastAsia="IRNazanin" w:cs="IRNazanin"/>
          <w:lang w:bidi="fa-IR"/>
          <w:color w:val="111111"/>
          <w:sz w:val="28"/>
          <w:szCs w:val="28"/>
          <w:rtl/>
        </w:rPr>
        <w:t xml:space="preserve">اندازه: ۲۷/۵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[ف: ۱۵۲]</w:t>
      </w:r>
    </w:p>
    <w:p>
      <w:pPr>
        <w:pStyle w:val="Heading3"/>
      </w:pPr>
      <w:bookmarkStart w:id="1569" w:name="_Toc829"/>
      <w:r>
        <w:t>• پاسخ پسکویچ به نایب السلطنه / اسناد / فارسی</w:t>
      </w:r>
      <w:bookmarkEnd w:id="1569"/>
    </w:p>
    <w:p>
      <w:pPr>
        <w:pStyle w:val="BookText"/>
      </w:pPr>
      <w:r>
        <w:rPr>
          <w:rFonts w:ascii="Times New Roman" w:hAnsi="Times New Roman" w:eastAsia="Times New Roman" w:cs="Times New Roman"/>
          <w:lang w:val="en-US" w:bidi="en-US"/>
          <w:color w:val="111111"/>
          <w:sz w:val="28"/>
          <w:szCs w:val="28"/>
          <w:rtl/>
        </w:rPr>
        <w:t xml:space="preserve">pāsox-e peskovīč be nāyeb-os-sāltane</w:t>
      </w:r>
    </w:p>
    <w:p>
      <w:pPr>
        <w:pStyle w:val="BookText"/>
      </w:pPr>
      <w:r>
        <w:rPr>
          <w:rFonts w:ascii="IRNazanin" w:hAnsi="IRNazanin" w:eastAsia="IRNazanin" w:cs="IRNazanin"/>
          <w:lang w:bidi="fa-IR"/>
          <w:color w:val="111111"/>
          <w:sz w:val="28"/>
          <w:szCs w:val="28"/>
          <w:rtl/>
        </w:rPr>
        <w:t xml:space="preserve">تهران، ملک، شماره نسخه: ۳۶۸۲/۶</w:t>
      </w:r>
    </w:p>
    <w:p>
      <w:pPr>
        <w:pStyle w:val="BookText"/>
      </w:pPr>
      <w:r>
        <w:rPr>
          <w:rFonts w:ascii="IRNazanin" w:hAnsi="IRNazanin" w:eastAsia="IRNazanin" w:cs="IRNazanin"/>
          <w:lang w:bidi="fa-IR"/>
          <w:color w:val="111111"/>
          <w:sz w:val="28"/>
          <w:szCs w:val="28"/>
          <w:rtl/>
        </w:rPr>
        <w:t xml:space="preserve">خط: شکسته نستعلیق ریز، بی کا، تا: قرن ۱۳ [ف: ۷-۲۳ ]</w:t>
      </w:r>
    </w:p>
    <w:p>
      <w:pPr>
        <w:pStyle w:val="Heading3"/>
      </w:pPr>
      <w:bookmarkStart w:id="1570" w:name="_Toc830"/>
      <w:r>
        <w:t>• پاسخ تهرانی به داماد / فقه / عربی</w:t>
      </w:r>
      <w:bookmarkEnd w:id="1570"/>
    </w:p>
    <w:p>
      <w:pPr>
        <w:pStyle w:val="BookText"/>
      </w:pPr>
      <w:r>
        <w:rPr>
          <w:rFonts w:ascii="Times New Roman" w:hAnsi="Times New Roman" w:eastAsia="Times New Roman" w:cs="Times New Roman"/>
          <w:lang w:val="en-US" w:bidi="en-US"/>
          <w:color w:val="111111"/>
          <w:sz w:val="28"/>
          <w:szCs w:val="28"/>
          <w:rtl/>
        </w:rPr>
        <w:t xml:space="preserve">pāsox-e tehrānī be dāmād</w:t>
      </w:r>
    </w:p>
    <w:p>
      <w:pPr>
        <w:pStyle w:val="BookText"/>
      </w:pPr>
      <w:r>
        <w:rPr>
          <w:rFonts w:ascii="IRNazanin" w:hAnsi="IRNazanin" w:eastAsia="IRNazanin" w:cs="IRNazanin"/>
          <w:lang w:bidi="fa-IR"/>
          <w:color w:val="111111"/>
          <w:sz w:val="28"/>
          <w:szCs w:val="28"/>
          <w:rtl/>
        </w:rPr>
        <w:t xml:space="preserve">شیخ العراقين، عبد الحسين بن على، -۱۲۸۶ قمری</w:t>
      </w:r>
    </w:p>
    <w:p>
      <w:pPr>
        <w:pStyle w:val="BookText"/>
      </w:pPr>
      <w:r>
        <w:rPr>
          <w:rFonts w:ascii="Times New Roman" w:hAnsi="Times New Roman" w:eastAsia="Times New Roman" w:cs="Times New Roman"/>
          <w:lang w:val="en-US" w:bidi="en-US"/>
          <w:color w:val="111111"/>
          <w:sz w:val="28"/>
          <w:szCs w:val="28"/>
          <w:rtl/>
        </w:rPr>
        <w:t xml:space="preserve">šayx-ol-'erāqayn, 'abd-ol-hoseyn ebn-e ‘alī (- 1870)</w:t>
      </w:r>
    </w:p>
    <w:p>
      <w:pPr>
        <w:pStyle w:val="BookText"/>
      </w:pPr>
      <w:r>
        <w:rPr>
          <w:rFonts w:ascii="IRNazanin" w:hAnsi="IRNazanin" w:eastAsia="IRNazanin" w:cs="IRNazanin"/>
          <w:lang w:bidi="fa-IR"/>
          <w:color w:val="111111"/>
          <w:sz w:val="28"/>
          <w:szCs w:val="28"/>
          <w:rtl/>
        </w:rPr>
        <w:t xml:space="preserve">آقا میرزا سید صالح داماد عرب تهرانی (- ۱۳۳۰) از شیخ العراقين، سؤالی از وکالت در طلاق ضمن عقد لازم پرسیده و او پاسخ داده است.</w:t>
      </w:r>
    </w:p>
    <w:p>
      <w:pPr>
        <w:pStyle w:val="BookText"/>
      </w:pPr>
      <w:r>
        <w:rPr>
          <w:rFonts w:ascii="IRNazanin" w:hAnsi="IRNazanin" w:eastAsia="IRNazanin" w:cs="IRNazanin"/>
          <w:lang w:bidi="fa-IR"/>
          <w:color w:val="111111"/>
          <w:sz w:val="28"/>
          <w:szCs w:val="28"/>
          <w:rtl/>
        </w:rPr>
        <w:t xml:space="preserve">[دنا ۶۲۳/۲ ؛ مستدرک ۳۰۸۷۷؛ ریحانة الادب ۲: ۴۰۱ و ۷۵]</w:t>
      </w:r>
    </w:p>
    <w:p>
      <w:pPr>
        <w:pStyle w:val="BookText"/>
      </w:pPr>
      <w:r>
        <w:rPr>
          <w:rFonts w:ascii="IRNazanin" w:hAnsi="IRNazanin" w:eastAsia="IRNazanin" w:cs="IRNazanin"/>
          <w:lang w:bidi="fa-IR"/>
          <w:color w:val="111111"/>
          <w:sz w:val="28"/>
          <w:szCs w:val="28"/>
          <w:rtl/>
        </w:rPr>
        <w:t xml:space="preserve">تهران؛ دانشگاه؛ شماره نسخه: ۷۷۰/۱</w:t>
      </w:r>
    </w:p>
    <w:p>
      <w:pPr>
        <w:pStyle w:val="BookText"/>
      </w:pPr>
      <w:r>
        <w:rPr>
          <w:rFonts w:ascii="Amiri" w:hAnsi="Amiri" w:eastAsia="Amiri" w:cs="Amiri"/>
          <w:lang w:bidi="ar-SA"/>
          <w:color w:val="111111"/>
          <w:sz w:val="28"/>
          <w:szCs w:val="28"/>
          <w:rtl/>
        </w:rPr>
        <w:t xml:space="preserve">آغاز: بسمله. السئوال: هل القائل بان وقوع الوكالة في ضمن العقد اللازم يوجب عدم انعزال الوكيل بالعزم و عدم صحة العزل يقول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65" w:name="pg20363_209524"/>
    <w:bookmarkEnd w:id="265"/>
    <w:p>
      <w:pPr>
        <w:pStyle w:val="BookText"/>
      </w:pPr>
      <w:r>
        <w:rPr>
          <w:rFonts w:ascii="IRNazanin" w:hAnsi="IRNazanin" w:eastAsia="IRNazanin" w:cs="IRNazanin"/>
          <w:lang w:bidi="fa-IR"/>
          <w:color w:val="111111"/>
          <w:sz w:val="28"/>
          <w:szCs w:val="28"/>
          <w:rtl/>
        </w:rPr>
        <w:t xml:space="preserve">بالتفصيل ... الجواب: بسم الله تعالی. نعم يمكن الفرق بين الطلاق و غيره؛ انجام: اذ لاتعقل النيابة عن الميت. فتأمل. انتهى كلامه اطال الله بقائه. خط: نسخ ریز و درشت، بی کا، بی تا، کاغذ: فرنگی، جلد: تیماج سرخ ضربی مقوایی، ۳گ (گ کب -۵ب )، ۲۱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۵-۱۷۹۸]</w:t>
      </w:r>
    </w:p>
    <w:p>
      <w:pPr>
        <w:pStyle w:val="Heading3"/>
      </w:pPr>
      <w:bookmarkStart w:id="1571" w:name="_Toc831"/>
      <w:r>
        <w:t>•پاسخ تیره سخنان / کلام و اعتقادات / فارسی</w:t>
      </w:r>
      <w:bookmarkEnd w:id="1571"/>
    </w:p>
    <w:p>
      <w:pPr>
        <w:pStyle w:val="BookText"/>
      </w:pPr>
      <w:r>
        <w:rPr>
          <w:rFonts w:ascii="Times New Roman" w:hAnsi="Times New Roman" w:eastAsia="Times New Roman" w:cs="Times New Roman"/>
          <w:lang w:val="en-US" w:bidi="en-US"/>
          <w:color w:val="111111"/>
          <w:sz w:val="28"/>
          <w:szCs w:val="28"/>
          <w:rtl/>
        </w:rPr>
        <w:t xml:space="preserve">pāsox-e tīreh soxanān</w:t>
      </w:r>
    </w:p>
    <w:p>
      <w:pPr>
        <w:pStyle w:val="BookText"/>
      </w:pPr>
      <w:r>
        <w:rPr>
          <w:rFonts w:ascii="IRNazanin" w:hAnsi="IRNazanin" w:eastAsia="IRNazanin" w:cs="IRNazanin"/>
          <w:lang w:bidi="fa-IR"/>
          <w:color w:val="111111"/>
          <w:sz w:val="28"/>
          <w:szCs w:val="28"/>
          <w:rtl/>
        </w:rPr>
        <w:t xml:space="preserve">بروجردی، بيان الحق، ق ۱۴ قمری</w:t>
      </w:r>
    </w:p>
    <w:p>
      <w:pPr>
        <w:pStyle w:val="BookText"/>
      </w:pPr>
      <w:r>
        <w:rPr>
          <w:rFonts w:ascii="Times New Roman" w:hAnsi="Times New Roman" w:eastAsia="Times New Roman" w:cs="Times New Roman"/>
          <w:lang w:val="en-US" w:bidi="en-US"/>
          <w:color w:val="111111"/>
          <w:sz w:val="28"/>
          <w:szCs w:val="28"/>
          <w:rtl/>
        </w:rPr>
        <w:t xml:space="preserve">borūjerdī, bayān-ol haqq (- 20c)</w:t>
      </w:r>
    </w:p>
    <w:p>
      <w:pPr>
        <w:pStyle w:val="BookText"/>
      </w:pPr>
      <w:r>
        <w:rPr>
          <w:rFonts w:ascii="IRNazanin" w:hAnsi="IRNazanin" w:eastAsia="IRNazanin" w:cs="IRNazanin"/>
          <w:lang w:bidi="fa-IR"/>
          <w:color w:val="111111"/>
          <w:sz w:val="28"/>
          <w:szCs w:val="28"/>
          <w:rtl/>
        </w:rPr>
        <w:t xml:space="preserve">١. مشهد؛ رضوی؛ شماره نسخه: ۲۵۸۰۶</w:t>
      </w:r>
    </w:p>
    <w:p>
      <w:pPr>
        <w:pStyle w:val="BookText"/>
      </w:pPr>
      <w:r>
        <w:rPr>
          <w:rFonts w:ascii="IRNazanin" w:hAnsi="IRNazanin" w:eastAsia="IRNazanin" w:cs="IRNazanin"/>
          <w:lang w:bidi="fa-IR"/>
          <w:color w:val="111111"/>
          <w:sz w:val="28"/>
          <w:szCs w:val="28"/>
          <w:rtl/>
        </w:rPr>
        <w:t xml:space="preserve">آغاز: بسمله. در پاسخ از خورده گیریهای این مرد بی خرد (كذا)؛ انجام: با خلافت اسلامی می کردند و پاسخ آن ۱۹۱</w:t>
      </w:r>
    </w:p>
    <w:p>
      <w:pPr>
        <w:pStyle w:val="BookText"/>
      </w:pPr>
      <w:r>
        <w:rPr>
          <w:rFonts w:ascii="IRNazanin" w:hAnsi="IRNazanin" w:eastAsia="IRNazanin" w:cs="IRNazanin"/>
          <w:lang w:bidi="fa-IR"/>
          <w:color w:val="111111"/>
          <w:sz w:val="28"/>
          <w:szCs w:val="28"/>
          <w:rtl/>
        </w:rPr>
        <w:t xml:space="preserve">جلد ۲؛ خط: نسخ و نستعلیق، کاتب = مؤلف، تا: ۱۳۲۴ق، کاغذ: شکری، جلد: مقوا (رایانه) ۲. مشهد؛ رضوی؛ شماره نسخه: ۲۵۷۴۹</w:t>
      </w:r>
    </w:p>
    <w:p>
      <w:pPr>
        <w:pStyle w:val="BookText"/>
      </w:pPr>
      <w:r>
        <w:rPr>
          <w:rFonts w:ascii="IRNazanin" w:hAnsi="IRNazanin" w:eastAsia="IRNazanin" w:cs="IRNazanin"/>
          <w:lang w:bidi="fa-IR"/>
          <w:color w:val="111111"/>
          <w:sz w:val="28"/>
          <w:szCs w:val="28"/>
          <w:rtl/>
        </w:rPr>
        <w:t xml:space="preserve">آغاز: بسمله. د. گفتار است گفتار نخستین در رنگهائیکه بعد از پیغمبر؛ انجام: آشتی بدهد و بیان هوده آن</w:t>
      </w:r>
    </w:p>
    <w:p>
      <w:pPr>
        <w:pStyle w:val="BookText"/>
      </w:pPr>
      <w:r>
        <w:rPr>
          <w:rFonts w:ascii="IRNazanin" w:hAnsi="IRNazanin" w:eastAsia="IRNazanin" w:cs="IRNazanin"/>
          <w:lang w:bidi="fa-IR"/>
          <w:color w:val="111111"/>
          <w:sz w:val="28"/>
          <w:szCs w:val="28"/>
          <w:rtl/>
        </w:rPr>
        <w:t xml:space="preserve">خط: نستعلیق، کاتب = مؤلف، بی تا، کاغذ: مشقی، جلد: گالینگور با عطف و گوشه تیماج</w:t>
      </w:r>
    </w:p>
    <w:p>
      <w:pPr>
        <w:pStyle w:val="BookText"/>
      </w:pPr>
      <w:r>
        <w:rPr>
          <w:rFonts w:ascii="IRNazanin" w:hAnsi="IRNazanin" w:eastAsia="IRNazanin" w:cs="IRNazanin"/>
          <w:lang w:bidi="fa-IR"/>
          <w:color w:val="111111"/>
          <w:sz w:val="28"/>
          <w:szCs w:val="28"/>
          <w:rtl/>
        </w:rPr>
        <w:t xml:space="preserve">[رایانه]</w:t>
      </w:r>
    </w:p>
    <w:p>
      <w:pPr>
        <w:pStyle w:val="Heading3"/>
      </w:pPr>
      <w:bookmarkStart w:id="1572" w:name="_Toc832"/>
      <w:r>
        <w:t>•پاسخ چند پرسش / پاسخ پرسش ها، عرفان و تصوف / فارسی</w:t>
      </w:r>
      <w:bookmarkEnd w:id="1572"/>
    </w:p>
    <w:p>
      <w:pPr>
        <w:pStyle w:val="BookText"/>
      </w:pPr>
      <w:r>
        <w:rPr>
          <w:rFonts w:ascii="Times New Roman" w:hAnsi="Times New Roman" w:eastAsia="Times New Roman" w:cs="Times New Roman"/>
          <w:lang w:val="en-US" w:bidi="en-US"/>
          <w:color w:val="111111"/>
          <w:sz w:val="28"/>
          <w:szCs w:val="28"/>
          <w:rtl/>
        </w:rPr>
        <w:t xml:space="preserve">pāsox-e cand porseš</w:t>
      </w:r>
    </w:p>
    <w:p>
      <w:pPr>
        <w:pStyle w:val="BookText"/>
      </w:pPr>
      <w:r>
        <w:rPr>
          <w:rFonts w:ascii="IRNazanin" w:hAnsi="IRNazanin" w:eastAsia="IRNazanin" w:cs="IRNazanin"/>
          <w:lang w:bidi="fa-IR"/>
          <w:color w:val="111111"/>
          <w:sz w:val="28"/>
          <w:szCs w:val="28"/>
          <w:rtl/>
        </w:rPr>
        <w:t xml:space="preserve">نعمة الله ولی، نعمة الله بن عبدالله، ۷۳۰؟ -۸۳۴ قمری</w:t>
      </w:r>
    </w:p>
    <w:p>
      <w:pPr>
        <w:pStyle w:val="BookText"/>
      </w:pPr>
      <w:r>
        <w:rPr>
          <w:rFonts w:ascii="Times New Roman" w:hAnsi="Times New Roman" w:eastAsia="Times New Roman" w:cs="Times New Roman"/>
          <w:lang w:val="en-US" w:bidi="en-US"/>
          <w:color w:val="111111"/>
          <w:sz w:val="28"/>
          <w:szCs w:val="28"/>
          <w:rtl/>
        </w:rPr>
        <w:t xml:space="preserve">ne'mat-ol-lāh-e valī, ne'mat-ol-lāh ebn-e ‘abd-ol-lāh (1330-1431)</w:t>
      </w:r>
    </w:p>
    <w:p>
      <w:pPr>
        <w:pStyle w:val="BookText"/>
      </w:pPr>
      <w:r>
        <w:rPr>
          <w:rFonts w:ascii="IRNazanin" w:hAnsi="IRNazanin" w:eastAsia="IRNazanin" w:cs="IRNazanin"/>
          <w:lang w:bidi="fa-IR"/>
          <w:color w:val="111111"/>
          <w:sz w:val="28"/>
          <w:szCs w:val="28"/>
          <w:rtl/>
        </w:rPr>
        <w:t xml:space="preserve">شامل ۱۲ سؤال که در مسائل مختلف تصوف از او کرده اند و وی پاسخ نوشته است. آغاز: سؤال ما الانسان الجواب طائفه گفته اند که مسمای انسان لطيفه ایست ربانی .. انجام: قبول عارفان و عاشقان باد، بمحمد و آله الامجاد.</w:t>
      </w:r>
    </w:p>
    <w:p>
      <w:pPr>
        <w:pStyle w:val="BookText"/>
      </w:pPr>
      <w:r>
        <w:rPr>
          <w:rFonts w:ascii="IRNazanin" w:hAnsi="IRNazanin" w:eastAsia="IRNazanin" w:cs="IRNazanin"/>
          <w:lang w:bidi="fa-IR"/>
          <w:color w:val="111111"/>
          <w:sz w:val="28"/>
          <w:szCs w:val="28"/>
          <w:rtl/>
        </w:rPr>
        <w:t xml:space="preserve">۱. تهران؛ مجلس؛ شماره نسخه: ۳۰۶۷/۸۷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خوش، بی کا، تا: ۱۲۶۵ق؛ مجدول، مذهب؛ کاغذ: فرنگی نازک شکری آهار مهره، جلد: تیماج مشکی، ۵ص ( ۴۱۲-۴۰۸ )، ۲۵ سطر، قطع: وزیری، اندازه: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۲۳/۵سم [ف: ۶۱۰-۱۰ ]</w:t>
      </w:r>
    </w:p>
    <w:p>
      <w:pPr>
        <w:pStyle w:val="BookText"/>
      </w:pPr>
      <w:r>
        <w:rPr>
          <w:rFonts w:ascii="IRNazanin" w:hAnsi="IRNazanin" w:eastAsia="IRNazanin" w:cs="IRNazanin"/>
          <w:lang w:bidi="fa-IR"/>
          <w:color w:val="111111"/>
          <w:sz w:val="28"/>
          <w:szCs w:val="28"/>
          <w:rtl/>
        </w:rPr>
        <w:t xml:space="preserve">۲. تهران؛ نوربخش؛ شماره نسخه: ۱۸/۱۵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 دکتر جواد نوربخش، بی تا، کاغذ: فرنگی، جلد: مقوایی، وص ( ۴۹۶-۴۸۸ )، اندازه: ۱۷/۵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۱-۲۶]</w:t>
      </w:r>
    </w:p>
    <w:p>
      <w:pPr>
        <w:pStyle w:val="Heading3"/>
      </w:pPr>
      <w:bookmarkStart w:id="1573" w:name="_Toc833"/>
      <w:r>
        <w:t>• پاسخ چند پرسش / پاسخ پرسش ها، کلام و اعتقادات / فارسی</w:t>
      </w:r>
      <w:bookmarkEnd w:id="1573"/>
    </w:p>
    <w:p>
      <w:pPr>
        <w:pStyle w:val="BookText"/>
      </w:pPr>
      <w:r>
        <w:rPr>
          <w:rFonts w:ascii="Times New Roman" w:hAnsi="Times New Roman" w:eastAsia="Times New Roman" w:cs="Times New Roman"/>
          <w:lang w:val="en-US" w:bidi="en-US"/>
          <w:color w:val="111111"/>
          <w:sz w:val="28"/>
          <w:szCs w:val="28"/>
          <w:rtl/>
        </w:rPr>
        <w:t xml:space="preserve">pāsox-e čand porses</w:t>
      </w:r>
    </w:p>
    <w:p>
      <w:pPr>
        <w:pStyle w:val="BookText"/>
      </w:pPr>
      <w:r>
        <w:rPr>
          <w:rFonts w:ascii="IRNazanin" w:hAnsi="IRNazanin" w:eastAsia="IRNazanin" w:cs="IRNazanin"/>
          <w:lang w:bidi="fa-IR"/>
          <w:color w:val="111111"/>
          <w:sz w:val="28"/>
          <w:szCs w:val="28"/>
          <w:rtl/>
        </w:rPr>
        <w:t xml:space="preserve">کرمانی، محمد قاسم بن کریم، ق۱۴ قمری</w:t>
      </w:r>
    </w:p>
    <w:p>
      <w:pPr>
        <w:pStyle w:val="BookText"/>
      </w:pPr>
      <w:r>
        <w:rPr>
          <w:rFonts w:ascii="Times New Roman" w:hAnsi="Times New Roman" w:eastAsia="Times New Roman" w:cs="Times New Roman"/>
          <w:lang w:val="en-US" w:bidi="en-US"/>
          <w:color w:val="111111"/>
          <w:sz w:val="28"/>
          <w:szCs w:val="28"/>
          <w:rtl/>
        </w:rPr>
        <w:t xml:space="preserve">kermānī, mohammad qāsem ebn-e karīm (- 20c)</w:t>
      </w:r>
    </w:p>
    <w:p>
      <w:pPr>
        <w:pStyle w:val="BookText"/>
      </w:pPr>
      <w:r>
        <w:rPr>
          <w:rFonts w:ascii="IRNazanin" w:hAnsi="IRNazanin" w:eastAsia="IRNazanin" w:cs="IRNazanin"/>
          <w:lang w:bidi="fa-IR"/>
          <w:color w:val="111111"/>
          <w:sz w:val="28"/>
          <w:szCs w:val="28"/>
          <w:rtl/>
        </w:rPr>
        <w:t xml:space="preserve">تاریخ تأليف: عصر سه شنبه ۲۲ شوال ۱۲۹۴ق پاسخ چند پرسش اعتقادی است پیرامون مرام شیخیها و اعتقاد آنها نسبت به رکن رابع و مشایخ خود که بعضی از برادران ایمانی از حاج کریم خان پرسیده و وی پاسخ را به فرزندش واگذار کرده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مرکز احیاء؛ شماره نسخه: ۲۰۲/۱</w:t>
      </w:r>
    </w:p>
    <w:p>
      <w:pPr>
        <w:pStyle w:val="BookText"/>
      </w:pPr>
      <w:r>
        <w:rPr>
          <w:rFonts w:ascii="IRNazanin" w:hAnsi="IRNazanin" w:eastAsia="IRNazanin" w:cs="IRNazanin"/>
          <w:lang w:bidi="fa-IR"/>
          <w:color w:val="111111"/>
          <w:sz w:val="28"/>
          <w:szCs w:val="28"/>
          <w:rtl/>
        </w:rPr>
        <w:t xml:space="preserve">آغاز: الحمدلله و سلام على عباده الذين اصطفی ... چون یکی از دوستان ایقانی و برادران ایمانی سوالی چند نموده بود؛ انجام: و از این جهت ما فارغ البال تقلید می کنیم و همین قدر در این مقام کافی است</w:t>
      </w:r>
    </w:p>
    <w:p>
      <w:pPr>
        <w:pStyle w:val="BookText"/>
      </w:pPr>
      <w:r>
        <w:rPr>
          <w:rFonts w:ascii="IRNazanin" w:hAnsi="IRNazanin" w:eastAsia="IRNazanin" w:cs="IRNazanin"/>
          <w:lang w:bidi="fa-IR"/>
          <w:color w:val="111111"/>
          <w:sz w:val="28"/>
          <w:szCs w:val="28"/>
          <w:rtl/>
        </w:rPr>
        <w:t xml:space="preserve">خط: نسخ و نستعلیق، كا: محمد ابراهیم، تا: ذیحجه ۱۲۹۶ق؛ جلد: تیماج قهوه ای، ۳۹گ (۲پ-۴۰ر)، اندازه:۱۱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۱-۲۹۲]</w:t>
      </w:r>
    </w:p>
    <w:p>
      <w:pPr>
        <w:pStyle w:val="BookText"/>
      </w:pPr>
      <w:r>
        <w:rPr>
          <w:rFonts w:ascii="IRNazanin" w:hAnsi="IRNazanin" w:eastAsia="IRNazanin" w:cs="IRNazanin"/>
          <w:lang w:bidi="fa-IR"/>
          <w:color w:val="111111"/>
          <w:sz w:val="28"/>
          <w:szCs w:val="28"/>
          <w:rtl/>
        </w:rPr>
        <w:t xml:space="preserve">۲. قم؛ مرکز احیاء؛ شماره نسخه: ۲/ ۸۵۰</w:t>
      </w:r>
    </w:p>
    <w:p>
      <w:pPr>
        <w:pStyle w:val="BookText"/>
      </w:pPr>
      <w:r>
        <w:rPr>
          <w:rFonts w:ascii="IRNazanin" w:hAnsi="IRNazanin" w:eastAsia="IRNazanin" w:cs="IRNazanin"/>
          <w:lang w:bidi="fa-IR"/>
          <w:color w:val="111111"/>
          <w:sz w:val="28"/>
          <w:szCs w:val="28"/>
          <w:rtl/>
        </w:rPr>
        <w:t xml:space="preserve">خط: نستعلیق، کا: محمد بن جواد قزوینی طهرانی، بی تا؛ جلد: تیماج قهوه ای، ۲۹گ (۲۱-۱۴۹)،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۳-۶۲]</w:t>
      </w:r>
    </w:p>
    <w:p>
      <w:pPr>
        <w:pStyle w:val="Heading3"/>
      </w:pPr>
      <w:bookmarkStart w:id="1574" w:name="_Toc834"/>
      <w:r>
        <w:t>• پاسخ چند مسأله / پاسخ پرسش ها / فارسی</w:t>
      </w:r>
      <w:bookmarkEnd w:id="1574"/>
    </w:p>
    <w:p>
      <w:pPr>
        <w:pStyle w:val="BookText"/>
      </w:pPr>
      <w:r>
        <w:rPr>
          <w:rFonts w:ascii="Times New Roman" w:hAnsi="Times New Roman" w:eastAsia="Times New Roman" w:cs="Times New Roman"/>
          <w:lang w:val="en-US" w:bidi="en-US"/>
          <w:color w:val="111111"/>
          <w:sz w:val="28"/>
          <w:szCs w:val="28"/>
          <w:rtl/>
        </w:rPr>
        <w:t xml:space="preserve">pāsox-e cand mas’ale</w:t>
      </w:r>
    </w:p>
    <w:p>
      <w:pPr>
        <w:pStyle w:val="BookText"/>
      </w:pPr>
      <w:r>
        <w:rPr>
          <w:rFonts w:ascii="IRNazanin" w:hAnsi="IRNazanin" w:eastAsia="IRNazanin" w:cs="IRNazanin"/>
          <w:lang w:bidi="fa-IR"/>
          <w:color w:val="111111"/>
          <w:sz w:val="28"/>
          <w:szCs w:val="28"/>
          <w:rtl/>
        </w:rPr>
        <w:t xml:space="preserve">رشتی، کاظم بن قاسم، ۱۲۱۲-۱۲۵۹ قمری</w:t>
      </w:r>
    </w:p>
    <w:p>
      <w:pPr>
        <w:pStyle w:val="BookText"/>
      </w:pPr>
      <w:r>
        <w:rPr>
          <w:rFonts w:ascii="Times New Roman" w:hAnsi="Times New Roman" w:eastAsia="Times New Roman" w:cs="Times New Roman"/>
          <w:lang w:val="en-US" w:bidi="en-US"/>
          <w:color w:val="111111"/>
          <w:sz w:val="28"/>
          <w:szCs w:val="28"/>
          <w:rtl/>
        </w:rPr>
        <w:t xml:space="preserve">raštī, kāzem ebn-e qāsem (1798-1843)</w:t>
      </w:r>
    </w:p>
    <w:p>
      <w:pPr>
        <w:pStyle w:val="BookText"/>
      </w:pPr>
      <w:r>
        <w:rPr>
          <w:rFonts w:ascii="IRNazanin" w:hAnsi="IRNazanin" w:eastAsia="IRNazanin" w:cs="IRNazanin"/>
          <w:lang w:bidi="fa-IR"/>
          <w:color w:val="111111"/>
          <w:sz w:val="28"/>
          <w:szCs w:val="28"/>
          <w:rtl/>
        </w:rPr>
        <w:t xml:space="preserve">در معنی قاب قوسین و جز آن.</w:t>
      </w:r>
    </w:p>
    <w:p>
      <w:pPr>
        <w:pStyle w:val="BookText"/>
      </w:pPr>
      <w:r>
        <w:rPr>
          <w:rFonts w:ascii="IRNazanin" w:hAnsi="IRNazanin" w:eastAsia="IRNazanin" w:cs="IRNazanin"/>
          <w:lang w:bidi="fa-IR"/>
          <w:color w:val="111111"/>
          <w:sz w:val="28"/>
          <w:szCs w:val="28"/>
          <w:rtl/>
        </w:rPr>
        <w:t xml:space="preserve">تهران؛ الهیات؛ شماره نسخه: ۵۵۹/۲</w:t>
      </w:r>
    </w:p>
    <w:p>
      <w:pPr>
        <w:pStyle w:val="BookText"/>
      </w:pPr>
      <w:r>
        <w:rPr>
          <w:rFonts w:ascii="IRNazanin" w:hAnsi="IRNazanin" w:eastAsia="IRNazanin" w:cs="IRNazanin"/>
          <w:lang w:bidi="fa-IR"/>
          <w:color w:val="111111"/>
          <w:sz w:val="28"/>
          <w:szCs w:val="28"/>
          <w:rtl/>
        </w:rPr>
        <w:t xml:space="preserve">خط: نستعلیق، بی کا، تا: قرن ۱۳؛ کاغذ: فرنگی، جلد: تیماج سرخ ضربی حاشیه سبز، ۱۶گ (۲۰پ -۳۵ر)، ۱۵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 اندازه: ۱۰/۵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۳۲۸]</w:t>
      </w:r>
    </w:p>
    <w:p>
      <w:pPr>
        <w:pStyle w:val="Heading3"/>
      </w:pPr>
      <w:bookmarkStart w:id="1575" w:name="_Toc835"/>
      <w:r>
        <w:t>• پاسخ حاجی بکتاش ولی پرسش ها / فارسی</w:t>
      </w:r>
      <w:bookmarkEnd w:id="1575"/>
    </w:p>
    <w:p>
      <w:pPr>
        <w:pStyle w:val="BookText"/>
      </w:pPr>
      <w:r>
        <w:rPr>
          <w:rFonts w:ascii="Times New Roman" w:hAnsi="Times New Roman" w:eastAsia="Times New Roman" w:cs="Times New Roman"/>
          <w:lang w:val="en-US" w:bidi="en-US"/>
          <w:color w:val="111111"/>
          <w:sz w:val="28"/>
          <w:szCs w:val="28"/>
          <w:rtl/>
        </w:rPr>
        <w:t xml:space="preserve">pāsox-e hājī baktāš valī</w:t>
      </w:r>
    </w:p>
    <w:p>
      <w:pPr>
        <w:pStyle w:val="BookText"/>
      </w:pPr>
      <w:r>
        <w:rPr>
          <w:rFonts w:ascii="Times New Roman" w:hAnsi="Times New Roman" w:eastAsia="Times New Roman" w:cs="Times New Roman"/>
          <w:lang w:val="en-US" w:bidi="en-US"/>
          <w:color w:val="111111"/>
          <w:sz w:val="28"/>
          <w:szCs w:val="28"/>
          <w:rtl/>
        </w:rPr>
        <w:t xml:space="preserve">hājī baktāš valī</w:t>
      </w:r>
    </w:p>
    <w:p>
      <w:pPr>
        <w:pStyle w:val="BookText"/>
      </w:pPr>
      <w:r>
        <w:rPr>
          <w:rFonts w:ascii="IRNazanin" w:hAnsi="IRNazanin" w:eastAsia="IRNazanin" w:cs="IRNazanin"/>
          <w:lang w:bidi="fa-IR"/>
          <w:color w:val="111111"/>
          <w:sz w:val="28"/>
          <w:szCs w:val="28"/>
          <w:rtl/>
        </w:rPr>
        <w:t xml:space="preserve">تهران؛ مینوی؛ شماره نسخه: ۱۹۹/۳ بخش۳ و ۲۰۰/۳ بخش ۳</w:t>
      </w:r>
    </w:p>
    <w:p>
      <w:pPr>
        <w:pStyle w:val="BookText"/>
      </w:pPr>
      <w:r>
        <w:rPr>
          <w:rFonts w:ascii="IRNazanin" w:hAnsi="IRNazanin" w:eastAsia="IRNazanin" w:cs="IRNazanin"/>
          <w:lang w:bidi="fa-IR"/>
          <w:color w:val="111111"/>
          <w:sz w:val="28"/>
          <w:szCs w:val="28"/>
          <w:rtl/>
        </w:rPr>
        <w:t xml:space="preserve">بی کا، بی تا [ف: ۱۲۴]</w:t>
      </w:r>
    </w:p>
    <w:p>
      <w:pPr>
        <w:pStyle w:val="Heading3"/>
      </w:pPr>
      <w:bookmarkStart w:id="1576" w:name="_Toc836"/>
      <w:r>
        <w:t>•پاسخ حقیقت / فارسی</w:t>
      </w:r>
      <w:bookmarkEnd w:id="1576"/>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66" w:name="pg20363_209525"/>
    <w:bookmarkEnd w:id="266"/>
    <w:p>
      <w:pPr>
        <w:pStyle w:val="BookText"/>
      </w:pPr>
      <w:r>
        <w:rPr>
          <w:rFonts w:ascii="Times New Roman" w:hAnsi="Times New Roman" w:eastAsia="Times New Roman" w:cs="Times New Roman"/>
          <w:lang w:val="en-US" w:bidi="en-US"/>
          <w:color w:val="111111"/>
          <w:sz w:val="28"/>
          <w:szCs w:val="28"/>
          <w:rtl/>
        </w:rPr>
        <w:t xml:space="preserve">pāsox-e haqīqat</w:t>
      </w:r>
    </w:p>
    <w:p>
      <w:pPr>
        <w:pStyle w:val="BookText"/>
      </w:pPr>
      <w:r>
        <w:rPr>
          <w:rFonts w:ascii="IRNazanin" w:hAnsi="IRNazanin" w:eastAsia="IRNazanin" w:cs="IRNazanin"/>
          <w:lang w:bidi="fa-IR"/>
          <w:color w:val="111111"/>
          <w:sz w:val="28"/>
          <w:szCs w:val="28"/>
          <w:rtl/>
        </w:rPr>
        <w:t xml:space="preserve">کسروی، احمد، ۱۲۶۹-۱۳۲۴ شمسی</w:t>
      </w:r>
    </w:p>
    <w:p>
      <w:pPr>
        <w:pStyle w:val="BookText"/>
      </w:pPr>
      <w:r>
        <w:rPr>
          <w:rFonts w:ascii="Times New Roman" w:hAnsi="Times New Roman" w:eastAsia="Times New Roman" w:cs="Times New Roman"/>
          <w:lang w:val="en-US" w:bidi="en-US"/>
          <w:color w:val="111111"/>
          <w:sz w:val="28"/>
          <w:szCs w:val="28"/>
          <w:rtl/>
        </w:rPr>
        <w:t xml:space="preserve">kasravī, ahmad (1890-1945)</w:t>
      </w:r>
    </w:p>
    <w:p>
      <w:pPr>
        <w:pStyle w:val="BookText"/>
      </w:pPr>
      <w:r>
        <w:rPr>
          <w:rFonts w:ascii="IRNazanin" w:hAnsi="IRNazanin" w:eastAsia="IRNazanin" w:cs="IRNazanin"/>
          <w:lang w:bidi="fa-IR"/>
          <w:color w:val="111111"/>
          <w:sz w:val="28"/>
          <w:szCs w:val="28"/>
          <w:rtl/>
        </w:rPr>
        <w:t xml:space="preserve">گویا گفتاری از پیمان چاپ ۱ در ۱۳۲۳ و چاپ ۲ در ۱۳۴۲.چاپ: چاپ ۲ در ۱۳۴۲.</w:t>
      </w:r>
    </w:p>
    <w:p>
      <w:pPr>
        <w:pStyle w:val="BookText"/>
      </w:pPr>
      <w:r>
        <w:rPr>
          <w:rFonts w:ascii="IRNazanin" w:hAnsi="IRNazanin" w:eastAsia="IRNazanin" w:cs="IRNazanin"/>
          <w:lang w:bidi="fa-IR"/>
          <w:color w:val="111111"/>
          <w:sz w:val="28"/>
          <w:szCs w:val="28"/>
          <w:rtl/>
        </w:rPr>
        <w:t xml:space="preserve">تهران، دانشگاه؛ شماره نسخه: ۴۷۵۲/۳۱ -۴۷۵۴-ف</w:t>
      </w:r>
    </w:p>
    <w:p>
      <w:pPr>
        <w:pStyle w:val="BookText"/>
      </w:pPr>
      <w:r>
        <w:rPr>
          <w:rFonts w:ascii="IRNazanin" w:hAnsi="IRNazanin" w:eastAsia="IRNazanin" w:cs="IRNazanin"/>
          <w:lang w:bidi="fa-IR"/>
          <w:color w:val="111111"/>
          <w:sz w:val="28"/>
          <w:szCs w:val="28"/>
          <w:rtl/>
        </w:rPr>
        <w:t xml:space="preserve">بی کا، بی تا [فيلمها ف: ۳-۱۰۰]</w:t>
      </w:r>
    </w:p>
    <w:p>
      <w:pPr>
        <w:pStyle w:val="Heading3"/>
      </w:pPr>
      <w:bookmarkStart w:id="1577" w:name="_Toc837"/>
      <w:r>
        <w:t>• پاسخ درباره کسی که ادعای وکالت صاحب الزمان را می کند / پاسخ پرسشها، کلام و اعتقادات</w:t>
      </w:r>
      <w:bookmarkEnd w:id="1577"/>
    </w:p>
    <w:p>
      <w:pPr>
        <w:pStyle w:val="BookText"/>
      </w:pPr>
      <w:r>
        <w:rPr>
          <w:rFonts w:ascii="Times New Roman" w:hAnsi="Times New Roman" w:eastAsia="Times New Roman" w:cs="Times New Roman"/>
          <w:lang w:val="en-US" w:bidi="en-US"/>
          <w:color w:val="111111"/>
          <w:sz w:val="28"/>
          <w:szCs w:val="28"/>
          <w:rtl/>
        </w:rPr>
        <w:t xml:space="preserve">pāsox darbāre-ye kasī ke eddeśā-ye vekālat-e sāheb-oz zamān rā mī-konad</w:t>
      </w:r>
    </w:p>
    <w:p>
      <w:pPr>
        <w:pStyle w:val="BookText"/>
      </w:pPr>
      <w:r>
        <w:rPr>
          <w:rFonts w:ascii="IRNazanin" w:hAnsi="IRNazanin" w:eastAsia="IRNazanin" w:cs="IRNazanin"/>
          <w:lang w:bidi="fa-IR"/>
          <w:color w:val="111111"/>
          <w:sz w:val="28"/>
          <w:szCs w:val="28"/>
          <w:rtl/>
        </w:rPr>
        <w:t xml:space="preserve">احسائی، احمد بن زین الدین، ۱۱۶۶-۱۲۴۱ قمری</w:t>
      </w:r>
    </w:p>
    <w:p>
      <w:pPr>
        <w:pStyle w:val="BookText"/>
      </w:pPr>
      <w:r>
        <w:rPr>
          <w:rFonts w:ascii="Times New Roman" w:hAnsi="Times New Roman" w:eastAsia="Times New Roman" w:cs="Times New Roman"/>
          <w:lang w:val="en-US" w:bidi="en-US"/>
          <w:color w:val="111111"/>
          <w:sz w:val="28"/>
          <w:szCs w:val="28"/>
          <w:rtl/>
        </w:rPr>
        <w:t xml:space="preserve">ahsāʻī, ahmad ebn-e zayn-od-dīn (1753-1826)</w:t>
      </w:r>
    </w:p>
    <w:p>
      <w:pPr>
        <w:pStyle w:val="BookText"/>
      </w:pPr>
      <w:r>
        <w:rPr>
          <w:rFonts w:ascii="IRNazanin" w:hAnsi="IRNazanin" w:eastAsia="IRNazanin" w:cs="IRNazanin"/>
          <w:lang w:bidi="fa-IR"/>
          <w:color w:val="111111"/>
          <w:sz w:val="28"/>
          <w:szCs w:val="28"/>
          <w:rtl/>
        </w:rPr>
        <w:t xml:space="preserve">همدان؛ مدرسه غرب؛ شماره نسخه:۱۰۱۸۶۱۶</w:t>
      </w:r>
    </w:p>
    <w:p>
      <w:pPr>
        <w:pStyle w:val="BookText"/>
      </w:pPr>
      <w:r>
        <w:rPr>
          <w:rFonts w:ascii="IRNazanin" w:hAnsi="IRNazanin" w:eastAsia="IRNazanin" w:cs="IRNazanin"/>
          <w:lang w:bidi="fa-IR"/>
          <w:color w:val="111111"/>
          <w:sz w:val="28"/>
          <w:szCs w:val="28"/>
          <w:rtl/>
        </w:rPr>
        <w:t xml:space="preserve">خط: نسخ، بی کا، بی تا؛ اندازه: ۲۱</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۱۳سم [رشت و همدان: في: ۱۵۹۳]</w:t>
      </w:r>
    </w:p>
    <w:p>
      <w:pPr>
        <w:pStyle w:val="Heading3"/>
      </w:pPr>
      <w:bookmarkStart w:id="1578" w:name="_Toc838"/>
      <w:r>
        <w:t>•پاسخ دوازده پرسش / پاسخ پرسش ها / فارسی</w:t>
      </w:r>
      <w:bookmarkEnd w:id="1578"/>
    </w:p>
    <w:p>
      <w:pPr>
        <w:pStyle w:val="BookText"/>
      </w:pPr>
      <w:r>
        <w:rPr>
          <w:rFonts w:ascii="Times New Roman" w:hAnsi="Times New Roman" w:eastAsia="Times New Roman" w:cs="Times New Roman"/>
          <w:lang w:val="en-US" w:bidi="en-US"/>
          <w:color w:val="111111"/>
          <w:sz w:val="28"/>
          <w:szCs w:val="28"/>
          <w:rtl/>
        </w:rPr>
        <w:t xml:space="preserve">pāsox-e davāzdah porseš</w:t>
      </w:r>
    </w:p>
    <w:p>
      <w:pPr>
        <w:pStyle w:val="BookText"/>
      </w:pPr>
      <w:r>
        <w:rPr>
          <w:rFonts w:ascii="IRNazanin" w:hAnsi="IRNazanin" w:eastAsia="IRNazanin" w:cs="IRNazanin"/>
          <w:lang w:bidi="fa-IR"/>
          <w:color w:val="111111"/>
          <w:sz w:val="28"/>
          <w:szCs w:val="28"/>
          <w:rtl/>
        </w:rPr>
        <w:t xml:space="preserve">تابنده، سلطان حسین، ۱۲۹۳- ۱۳۷۱ شمسی</w:t>
      </w:r>
    </w:p>
    <w:p>
      <w:pPr>
        <w:pStyle w:val="BookText"/>
      </w:pPr>
      <w:r>
        <w:rPr>
          <w:rFonts w:ascii="Times New Roman" w:hAnsi="Times New Roman" w:eastAsia="Times New Roman" w:cs="Times New Roman"/>
          <w:lang w:val="en-US" w:bidi="en-US"/>
          <w:color w:val="111111"/>
          <w:sz w:val="28"/>
          <w:szCs w:val="28"/>
          <w:rtl/>
        </w:rPr>
        <w:t xml:space="preserve">tābande, soltān hoseyn (1914-1992)</w:t>
      </w:r>
    </w:p>
    <w:p>
      <w:pPr>
        <w:pStyle w:val="BookText"/>
      </w:pPr>
      <w:r>
        <w:rPr>
          <w:rFonts w:ascii="IRNazanin" w:hAnsi="IRNazanin" w:eastAsia="IRNazanin" w:cs="IRNazanin"/>
          <w:lang w:bidi="fa-IR"/>
          <w:color w:val="111111"/>
          <w:sz w:val="28"/>
          <w:szCs w:val="28"/>
          <w:rtl/>
        </w:rPr>
        <w:t xml:space="preserve">پرسش های دانشجویی کرمانشاهی است درباره بعضی آیات و روایات و عقیده و روش صوفیان و پاسخ ها بسیار کوتاه و گذرا می باشد و راجع به آیات به تفاسير حوالت شده است.</w:t>
      </w:r>
    </w:p>
    <w:p>
      <w:pPr>
        <w:pStyle w:val="BookText"/>
      </w:pPr>
      <w:r>
        <w:rPr>
          <w:rFonts w:ascii="IRNazanin" w:hAnsi="IRNazanin" w:eastAsia="IRNazanin" w:cs="IRNazanin"/>
          <w:lang w:bidi="fa-IR"/>
          <w:color w:val="111111"/>
          <w:sz w:val="28"/>
          <w:szCs w:val="28"/>
          <w:rtl/>
        </w:rPr>
        <w:t xml:space="preserve">مشهد؛ میبدی؛ شماره نسخه: ۴۸۷</w:t>
      </w:r>
    </w:p>
    <w:p>
      <w:pPr>
        <w:pStyle w:val="BookText"/>
      </w:pPr>
      <w:r>
        <w:rPr>
          <w:rFonts w:ascii="IRNazanin" w:hAnsi="IRNazanin" w:eastAsia="IRNazanin" w:cs="IRNazanin"/>
          <w:lang w:bidi="fa-IR"/>
          <w:color w:val="111111"/>
          <w:sz w:val="28"/>
          <w:szCs w:val="28"/>
          <w:rtl/>
        </w:rPr>
        <w:t xml:space="preserve">خط: نستعلیق، بی کا، بی تا، گویا به خط تابنده، در این نسخه مقدمه ای از جناب میبدی</w:t>
      </w:r>
    </w:p>
    <w:p>
      <w:pPr>
        <w:pStyle w:val="BookText"/>
      </w:pPr>
      <w:r>
        <w:rPr>
          <w:rFonts w:ascii="IRNazanin" w:hAnsi="IRNazanin" w:eastAsia="IRNazanin" w:cs="IRNazanin"/>
          <w:lang w:bidi="fa-IR"/>
          <w:color w:val="111111"/>
          <w:sz w:val="28"/>
          <w:szCs w:val="28"/>
          <w:rtl/>
        </w:rPr>
        <w:t xml:space="preserve">(مؤسس کتابخانه) و عکس تابنده و عکس حاج شیخ مرتضی اردکانی افزوده شده است؛ جلد:کالینگور مشکی، ۱۲ ، مکی، ۱۲گ، مختلف السطر، اندازه: ۲۱</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۲۹/۵ سم [ف: ۲-۱۵۸]</w:t>
      </w:r>
    </w:p>
    <w:p>
      <w:pPr>
        <w:pStyle w:val="Heading3"/>
      </w:pPr>
      <w:bookmarkStart w:id="1579" w:name="_Toc839"/>
      <w:r>
        <w:t>•پاسخ دوانی به ترکه / معانی بیان / عربی</w:t>
      </w:r>
      <w:bookmarkEnd w:id="1579"/>
    </w:p>
    <w:p>
      <w:pPr>
        <w:pStyle w:val="BookText"/>
      </w:pPr>
      <w:r>
        <w:rPr>
          <w:rFonts w:ascii="Times New Roman" w:hAnsi="Times New Roman" w:eastAsia="Times New Roman" w:cs="Times New Roman"/>
          <w:lang w:val="en-US" w:bidi="en-US"/>
          <w:color w:val="111111"/>
          <w:sz w:val="28"/>
          <w:szCs w:val="28"/>
          <w:rtl/>
        </w:rPr>
        <w:t xml:space="preserve">pāsox-e davvānī be torke</w:t>
      </w:r>
    </w:p>
    <w:p>
      <w:pPr>
        <w:pStyle w:val="BookText"/>
      </w:pPr>
      <w:r>
        <w:rPr>
          <w:rFonts w:ascii="IRNazanin" w:hAnsi="IRNazanin" w:eastAsia="IRNazanin" w:cs="IRNazanin"/>
          <w:lang w:bidi="fa-IR"/>
          <w:color w:val="111111"/>
          <w:sz w:val="28"/>
          <w:szCs w:val="28"/>
          <w:rtl/>
        </w:rPr>
        <w:t xml:space="preserve">دوانی، محمد بن اسعد، ۸۳۰-۹۰۸؟ قمری</w:t>
      </w:r>
    </w:p>
    <w:p>
      <w:pPr>
        <w:pStyle w:val="BookText"/>
      </w:pPr>
      <w:r>
        <w:rPr>
          <w:rFonts w:ascii="Times New Roman" w:hAnsi="Times New Roman" w:eastAsia="Times New Roman" w:cs="Times New Roman"/>
          <w:lang w:val="en-US" w:bidi="en-US"/>
          <w:color w:val="111111"/>
          <w:sz w:val="28"/>
          <w:szCs w:val="28"/>
          <w:rtl/>
        </w:rPr>
        <w:t xml:space="preserve">davvānī, mohammad ebn-e as‘ad (1427-1503)</w:t>
      </w:r>
    </w:p>
    <w:p>
      <w:pPr>
        <w:pStyle w:val="BookText"/>
      </w:pPr>
      <w:r>
        <w:rPr>
          <w:rFonts w:ascii="IRNazanin" w:hAnsi="IRNazanin" w:eastAsia="IRNazanin" w:cs="IRNazanin"/>
          <w:lang w:bidi="fa-IR"/>
          <w:color w:val="111111"/>
          <w:sz w:val="28"/>
          <w:szCs w:val="28"/>
          <w:rtl/>
        </w:rPr>
        <w:t xml:space="preserve">مؤلف به شبهه ای که جمال الدین ترکه درباره حاشیه مطول تفتازانی یاد کرده است پاسخ می دهد.</w:t>
      </w:r>
    </w:p>
    <w:p>
      <w:pPr>
        <w:pStyle w:val="BookText"/>
      </w:pPr>
      <w:r>
        <w:rPr>
          <w:rFonts w:ascii="IRNazanin" w:hAnsi="IRNazanin" w:eastAsia="IRNazanin" w:cs="IRNazanin"/>
          <w:lang w:bidi="fa-IR"/>
          <w:color w:val="111111"/>
          <w:sz w:val="28"/>
          <w:szCs w:val="28"/>
          <w:rtl/>
        </w:rPr>
        <w:t xml:space="preserve">تهران؛ سپهسالار؛ شماره نسخه: ۲۹۱۹/۹</w:t>
      </w:r>
    </w:p>
    <w:p>
      <w:pPr>
        <w:pStyle w:val="BookText"/>
      </w:pPr>
      <w:r>
        <w:rPr>
          <w:rFonts w:ascii="IRNazanin" w:hAnsi="IRNazanin" w:eastAsia="IRNazanin" w:cs="IRNazanin"/>
          <w:lang w:bidi="fa-IR"/>
          <w:color w:val="111111"/>
          <w:sz w:val="28"/>
          <w:szCs w:val="28"/>
          <w:rtl/>
        </w:rPr>
        <w:t xml:space="preserve">آغاز: بسمله. ربنا افتح بيننا ... ذکر خاتمة المحققين ...... التفتازانی .....آن اختصاص جنس الحمد بالله تعالى يستلزم اختصاص جميع المحامد</w:t>
      </w:r>
    </w:p>
    <w:p>
      <w:pPr>
        <w:pStyle w:val="BookText"/>
      </w:pPr>
      <w:r>
        <w:rPr>
          <w:rFonts w:ascii="IRNazanin" w:hAnsi="IRNazanin" w:eastAsia="IRNazanin" w:cs="IRNazanin"/>
          <w:lang w:bidi="fa-IR"/>
          <w:color w:val="111111"/>
          <w:sz w:val="28"/>
          <w:szCs w:val="28"/>
          <w:rtl/>
        </w:rPr>
        <w:t xml:space="preserve">خط: نسخ، بی کا، بی تا، کاغذ: سپاهانی نخودی، جلد: تیماج سرخ ضربی مقوایی کناره مشکی، ۱۱گ (۲۲ر -۳۲پ)، ۲۹ سطر، اندازه: 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۳-۲۷۸]</w:t>
      </w:r>
    </w:p>
    <w:p>
      <w:pPr>
        <w:pStyle w:val="Heading3"/>
      </w:pPr>
      <w:bookmarkStart w:id="1580" w:name="_Toc840"/>
      <w:r>
        <w:t>• پاسخ دو سؤال / کلام و اعتقادات / عربی</w:t>
      </w:r>
      <w:bookmarkEnd w:id="1580"/>
    </w:p>
    <w:p>
      <w:pPr>
        <w:pStyle w:val="BookText"/>
      </w:pPr>
      <w:r>
        <w:rPr>
          <w:rFonts w:ascii="Times New Roman" w:hAnsi="Times New Roman" w:eastAsia="Times New Roman" w:cs="Times New Roman"/>
          <w:lang w:val="en-US" w:bidi="en-US"/>
          <w:color w:val="111111"/>
          <w:sz w:val="28"/>
          <w:szCs w:val="28"/>
          <w:rtl/>
        </w:rPr>
        <w:t xml:space="preserve">pāsox-e do so'āl</w:t>
      </w:r>
    </w:p>
    <w:p>
      <w:pPr>
        <w:pStyle w:val="BookText"/>
      </w:pPr>
      <w:r>
        <w:rPr>
          <w:rFonts w:ascii="IRNazanin" w:hAnsi="IRNazanin" w:eastAsia="IRNazanin" w:cs="IRNazanin"/>
          <w:lang w:bidi="fa-IR"/>
          <w:color w:val="111111"/>
          <w:sz w:val="28"/>
          <w:szCs w:val="28"/>
          <w:rtl/>
        </w:rPr>
        <w:t xml:space="preserve">احسائی، احمد بن زین الدین، ۱۹۶۶-۱۲۴۱ قمری</w:t>
      </w:r>
    </w:p>
    <w:p>
      <w:pPr>
        <w:pStyle w:val="BookText"/>
      </w:pPr>
      <w:r>
        <w:rPr>
          <w:rFonts w:ascii="Times New Roman" w:hAnsi="Times New Roman" w:eastAsia="Times New Roman" w:cs="Times New Roman"/>
          <w:lang w:val="en-US" w:bidi="en-US"/>
          <w:color w:val="111111"/>
          <w:sz w:val="28"/>
          <w:szCs w:val="28"/>
          <w:rtl/>
        </w:rPr>
        <w:t xml:space="preserve">ahsāʻī, ahmad ebn-e zayn-od-dīn (1753-1826)</w:t>
      </w:r>
    </w:p>
    <w:p>
      <w:pPr>
        <w:pStyle w:val="BookText"/>
      </w:pPr>
      <w:r>
        <w:rPr>
          <w:rFonts w:ascii="IRNazanin" w:hAnsi="IRNazanin" w:eastAsia="IRNazanin" w:cs="IRNazanin"/>
          <w:lang w:bidi="fa-IR"/>
          <w:color w:val="111111"/>
          <w:sz w:val="28"/>
          <w:szCs w:val="28"/>
          <w:rtl/>
        </w:rPr>
        <w:t xml:space="preserve">مشهد؛ رضوی؛ شماره نسخه: ۲۶۶۱۹</w:t>
      </w:r>
    </w:p>
    <w:p>
      <w:pPr>
        <w:pStyle w:val="BookText"/>
      </w:pPr>
      <w:r>
        <w:rPr>
          <w:rFonts w:ascii="IRNazanin" w:hAnsi="IRNazanin" w:eastAsia="IRNazanin" w:cs="IRNazanin"/>
          <w:lang w:bidi="fa-IR"/>
          <w:color w:val="111111"/>
          <w:sz w:val="28"/>
          <w:szCs w:val="28"/>
          <w:rtl/>
        </w:rPr>
        <w:t xml:space="preserve">آغاز: بسمله ... حمد له ... اما بعد فيقول انه قد ارسل الى بعض الاخوان؛ انجام: لانه قال محدث غیر مخلوق و غیر ازلی مع الله تعالى ذكره ، انجامه: ۲۶۶۱۹ و الضيق الوقت</w:t>
      </w:r>
    </w:p>
    <w:p>
      <w:pPr>
        <w:pStyle w:val="BookText"/>
      </w:pPr>
      <w:r>
        <w:rPr>
          <w:rFonts w:ascii="IRNazanin" w:hAnsi="IRNazanin" w:eastAsia="IRNazanin" w:cs="IRNazanin"/>
          <w:lang w:bidi="fa-IR"/>
          <w:color w:val="111111"/>
          <w:sz w:val="28"/>
          <w:szCs w:val="28"/>
          <w:rtl/>
        </w:rPr>
        <w:t xml:space="preserve">خط: نسخ، كا: موسوی، یحیی بن محسن، تا: قرن ۱۳؛ وقف مؤبد و حبس مخلد نمودند، جمادی الثانی سنه ۱۳۱۹؛ جلد: تیماج برون جلد تیماج خرمایی، ۱۴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 قطع: رقعی،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سم [رایانه]</w:t>
      </w:r>
    </w:p>
    <w:p>
      <w:pPr>
        <w:pStyle w:val="Heading3"/>
      </w:pPr>
      <w:bookmarkStart w:id="1581" w:name="_Toc841"/>
      <w:r>
        <w:t>•پاسخ رساله دربندی / کلام و اعتقادات / فارسی</w:t>
      </w:r>
      <w:bookmarkEnd w:id="1581"/>
    </w:p>
    <w:p>
      <w:pPr>
        <w:pStyle w:val="BookText"/>
      </w:pPr>
      <w:r>
        <w:rPr>
          <w:rFonts w:ascii="Times New Roman" w:hAnsi="Times New Roman" w:eastAsia="Times New Roman" w:cs="Times New Roman"/>
          <w:lang w:val="en-US" w:bidi="en-US"/>
          <w:color w:val="111111"/>
          <w:sz w:val="28"/>
          <w:szCs w:val="28"/>
          <w:rtl/>
        </w:rPr>
        <w:t xml:space="preserve">pāsox-e r.-ye darbandī</w:t>
      </w:r>
    </w:p>
    <w:p>
      <w:pPr>
        <w:pStyle w:val="BookText"/>
      </w:pPr>
      <w:r>
        <w:rPr>
          <w:rFonts w:ascii="IRNazanin" w:hAnsi="IRNazanin" w:eastAsia="IRNazanin" w:cs="IRNazanin"/>
          <w:lang w:bidi="fa-IR"/>
          <w:color w:val="111111"/>
          <w:sz w:val="28"/>
          <w:szCs w:val="28"/>
          <w:rtl/>
        </w:rPr>
        <w:t xml:space="preserve">استر آبادی، محمد ابراهيم بن محمد خلیل، ق۱۳ قمری</w:t>
      </w:r>
    </w:p>
    <w:p>
      <w:pPr>
        <w:pStyle w:val="BookText"/>
      </w:pPr>
      <w:r>
        <w:rPr>
          <w:rFonts w:ascii="Times New Roman" w:hAnsi="Times New Roman" w:eastAsia="Times New Roman" w:cs="Times New Roman"/>
          <w:lang w:val="en-US" w:bidi="en-US"/>
          <w:color w:val="111111"/>
          <w:sz w:val="28"/>
          <w:szCs w:val="28"/>
          <w:rtl/>
        </w:rPr>
        <w:t xml:space="preserve">ebn-e mohammad</w:t>
      </w:r>
    </w:p>
    <w:p>
      <w:pPr>
        <w:pStyle w:val="BookText"/>
      </w:pPr>
      <w:r>
        <w:rPr>
          <w:rFonts w:ascii="Times New Roman" w:hAnsi="Times New Roman" w:eastAsia="Times New Roman" w:cs="Times New Roman"/>
          <w:lang w:val="en-US" w:bidi="en-US"/>
          <w:color w:val="111111"/>
          <w:sz w:val="28"/>
          <w:szCs w:val="28"/>
          <w:rtl/>
        </w:rPr>
        <w:t xml:space="preserve">estarābādī, mohammad ebrāhīm xalil (- 19c)</w:t>
      </w:r>
    </w:p>
    <w:p>
      <w:pPr>
        <w:pStyle w:val="BookText"/>
      </w:pPr>
      <w:r>
        <w:rPr>
          <w:rFonts w:ascii="IRNazanin" w:hAnsi="IRNazanin" w:eastAsia="IRNazanin" w:cs="IRNazanin"/>
          <w:lang w:bidi="fa-IR"/>
          <w:color w:val="111111"/>
          <w:sz w:val="28"/>
          <w:szCs w:val="28"/>
          <w:rtl/>
        </w:rPr>
        <w:t xml:space="preserve">مؤلف می گوید در بندی رساله ای درباره تقویت کیش نصرانیان نوشته و به گیلان فرستاده بود که دانشمندان گیلانی اگر بتوانند آن را پاسخ گویند ولی دانشمندان آن دیار به جهت كمال وضوح بطلان آن کیش درصدد پاسخ گویی برنیامدند و مردم مسلمان ولایت حاجی طرخان خواستار پاسخ رساله شدند لذا این بنده به نوشتن پاسخ آن پرداختم و برادر ایمانی من آمیرزا مهدی مقدس نوری مرا در اینکار تشویق و ترغیب نمودند. وی نیز گوید کتابی که من در پاسخ دربندی تهیه نمودم مفصل بود ولی به راهنمایی همین نوری مذکور آن را مختصر نمود که به نظر ناصرالدین شاه برسانند و سپس به چاپ آن اقدام نمایند. وی در مقدمه از میرزا آقاخان صدراعظم یاد می کند.</w:t>
      </w:r>
    </w:p>
    <w:p>
      <w:pPr>
        <w:pStyle w:val="BookText"/>
      </w:pPr>
      <w:r>
        <w:rPr>
          <w:rFonts w:ascii="IRNazanin" w:hAnsi="IRNazanin" w:eastAsia="IRNazanin" w:cs="IRNazanin"/>
          <w:lang w:bidi="fa-IR"/>
          <w:color w:val="111111"/>
          <w:sz w:val="28"/>
          <w:szCs w:val="28"/>
          <w:rtl/>
        </w:rPr>
        <w:t xml:space="preserve">[فهرستواره منزوی ۱۵۹/۹ ]</w:t>
      </w:r>
    </w:p>
    <w:p>
      <w:pPr>
        <w:pStyle w:val="BookText"/>
      </w:pPr>
      <w:r>
        <w:rPr>
          <w:rFonts w:ascii="IRNazanin" w:hAnsi="IRNazanin" w:eastAsia="IRNazanin" w:cs="IRNazanin"/>
          <w:lang w:bidi="fa-IR"/>
          <w:color w:val="111111"/>
          <w:sz w:val="28"/>
          <w:szCs w:val="28"/>
          <w:rtl/>
        </w:rPr>
        <w:t xml:space="preserve">تهران؛ مجلس؛ شماره نسخه: ۲۹۰۵/۵</w:t>
      </w:r>
    </w:p>
    <w:p>
      <w:pPr>
        <w:pStyle w:val="BookText"/>
      </w:pPr>
      <w:r>
        <w:rPr>
          <w:rFonts w:ascii="IRNazanin" w:hAnsi="IRNazanin" w:eastAsia="IRNazanin" w:cs="IRNazanin"/>
          <w:lang w:bidi="fa-IR"/>
          <w:color w:val="111111"/>
          <w:sz w:val="28"/>
          <w:szCs w:val="28"/>
          <w:rtl/>
        </w:rPr>
        <w:t xml:space="preserve">آغاز: بعد از حمد و ثنا و سپاس یگانه بی همتا و درود بی نهایت بر روان پاک انبیا و اولیاء بر صاحبان عقول صافيه و ادراکات عاليه مخفی و مستور نماند که چون در زمان ... ناصرالدین شاه ... جماعت اسلامیان که در ولایت حاجی طرخان سکنی دارند رساله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67" w:name="pg20363_209526"/>
    <w:bookmarkEnd w:id="267"/>
    <w:p>
      <w:pPr>
        <w:pStyle w:val="BookText"/>
      </w:pPr>
      <w:r>
        <w:rPr>
          <w:rFonts w:ascii="IRNazanin" w:hAnsi="IRNazanin" w:eastAsia="IRNazanin" w:cs="IRNazanin"/>
          <w:lang w:bidi="fa-IR"/>
          <w:color w:val="111111"/>
          <w:sz w:val="28"/>
          <w:szCs w:val="28"/>
          <w:rtl/>
        </w:rPr>
        <w:t xml:space="preserve">را که مرتد منفر دربندی در تقویت طریقه نصاری نوشته است بمت ولایت گیلان ارسال نموده که جوابی نوشته؛ انجام: و سابقا مذکور شد که در تورات مذکور است که از بنی اسرائیل پیغمبری مثل موسی نخواهد آمد و ایضا عیسی فرموده است که رئیس جهان خواهد آمد و مانند آنها از آنچه مذکور شد سابقا و انصا در کتابهای انبیای سلف مذکور است که آن پیغمبر موعود دوازده امیر از او حاصل شود و از عیسی فرزندی حاصل نشد که امیر یاغیر امیر</w:t>
      </w:r>
    </w:p>
    <w:p>
      <w:pPr>
        <w:pStyle w:val="BookText"/>
      </w:pPr>
      <w:r>
        <w:rPr>
          <w:rFonts w:ascii="IRNazanin" w:hAnsi="IRNazanin" w:eastAsia="IRNazanin" w:cs="IRNazanin"/>
          <w:lang w:bidi="fa-IR"/>
          <w:color w:val="111111"/>
          <w:sz w:val="28"/>
          <w:szCs w:val="28"/>
          <w:rtl/>
        </w:rPr>
        <w:t xml:space="preserve">خط: نستعلیق، بی کا، تا: قرن ۱۴؛ افتادگی: انجام؛ کاغذ: فرنگی، جلد: تیماج عنابی یک لا، ۳۳ص (۴۴۴-۴۷۶)، ۱۵سطر، قطع: رقعی، اندازه: ۱۹/۶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سم [ف: ۱۰-۳۰۲]</w:t>
      </w:r>
    </w:p>
    <w:p>
      <w:pPr>
        <w:pStyle w:val="Heading3"/>
      </w:pPr>
      <w:bookmarkStart w:id="1582" w:name="_Toc842"/>
      <w:r>
        <w:t>• پاسخ رشتی / پاسخ پرسش ها / فارسی</w:t>
      </w:r>
      <w:bookmarkEnd w:id="1582"/>
    </w:p>
    <w:p>
      <w:pPr>
        <w:pStyle w:val="BookText"/>
      </w:pPr>
      <w:r>
        <w:rPr>
          <w:rFonts w:ascii="Times New Roman" w:hAnsi="Times New Roman" w:eastAsia="Times New Roman" w:cs="Times New Roman"/>
          <w:lang w:val="en-US" w:bidi="en-US"/>
          <w:color w:val="111111"/>
          <w:sz w:val="28"/>
          <w:szCs w:val="28"/>
          <w:rtl/>
        </w:rPr>
        <w:t xml:space="preserve">pāsox-e raštī</w:t>
      </w:r>
    </w:p>
    <w:p>
      <w:pPr>
        <w:pStyle w:val="BookText"/>
      </w:pPr>
      <w:r>
        <w:rPr>
          <w:rFonts w:ascii="IRNazanin" w:hAnsi="IRNazanin" w:eastAsia="IRNazanin" w:cs="IRNazanin"/>
          <w:lang w:bidi="fa-IR"/>
          <w:color w:val="111111"/>
          <w:sz w:val="28"/>
          <w:szCs w:val="28"/>
          <w:rtl/>
        </w:rPr>
        <w:t xml:space="preserve">رشتی، علی بن محمد، ق۱۳ قمری</w:t>
      </w:r>
    </w:p>
    <w:p>
      <w:pPr>
        <w:pStyle w:val="BookText"/>
      </w:pPr>
      <w:r>
        <w:rPr>
          <w:rFonts w:ascii="Times New Roman" w:hAnsi="Times New Roman" w:eastAsia="Times New Roman" w:cs="Times New Roman"/>
          <w:lang w:val="en-US" w:bidi="en-US"/>
          <w:color w:val="111111"/>
          <w:sz w:val="28"/>
          <w:szCs w:val="28"/>
          <w:rtl/>
        </w:rPr>
        <w:t xml:space="preserve">raštī, ‘alī ebn-e mohammad (- 19c)</w:t>
      </w:r>
    </w:p>
    <w:p>
      <w:pPr>
        <w:pStyle w:val="BookText"/>
      </w:pPr>
      <w:r>
        <w:rPr>
          <w:rFonts w:ascii="IRNazanin" w:hAnsi="IRNazanin" w:eastAsia="IRNazanin" w:cs="IRNazanin"/>
          <w:lang w:bidi="fa-IR"/>
          <w:color w:val="111111"/>
          <w:sz w:val="28"/>
          <w:szCs w:val="28"/>
          <w:rtl/>
        </w:rPr>
        <w:t xml:space="preserve">مؤلف در آغاز این با روش عرفان شیخی از صوفیان نکوهیده و دشنام ها به آنها داده سپس به این پرسش پاسخ می دهد که اگر دختر را برای صغیری در نود و نه سال عقد ببندند و دختر پس از آن پسر را نپسندد آیا می توان با رعایت صرفه پسر مدت را بخشید یا نه؟ این را حاج محمد حسن معروف از میرزا ابوالقاسم هم پرسیده بود و پاسخ گرفت. مولی محمد تقی هم بدان پاسخی داده است. رشتی در این میانه می خواهد داوری کند و از آن بر می آید که محمد جعفر نجفی می گوید که می توان مدت را بخشید ولی حاجی محمد ابراهیم کرباسی این بخشش را ناروا می داند. رشتی در آغاز آن می گوید که من در نگارش هایم تصوف را تباه ساختم به ویژه در گزارشی که در ۱۵ هزار بیت برای سفارش نامه امیر مؤمنان برای اشتر نوشته ام و نیز در رشحات علویه درباره شبهه آکل و مأكول و در منتخب الرشحات و در فاتحة الكتاب که گزارشی است بر نامه شیخ احمد احسائی به خود من. این نامه از گی ۱۳پ نسخه ما فارسی می شود و پیش از آن به تازی است نام رشتی هم در آن یاد شده است.</w:t>
      </w:r>
    </w:p>
    <w:p>
      <w:pPr>
        <w:pStyle w:val="BookText"/>
      </w:pPr>
      <w:r>
        <w:rPr>
          <w:rFonts w:ascii="IRNazanin" w:hAnsi="IRNazanin" w:eastAsia="IRNazanin" w:cs="IRNazanin"/>
          <w:lang w:bidi="fa-IR"/>
          <w:color w:val="111111"/>
          <w:sz w:val="28"/>
          <w:szCs w:val="28"/>
          <w:rtl/>
        </w:rPr>
        <w:t xml:space="preserve">تهران؛ دانشگاه؛ شماره نسخه: ۸۶۵</w:t>
      </w:r>
    </w:p>
    <w:p>
      <w:pPr>
        <w:pStyle w:val="BookText"/>
      </w:pPr>
      <w:r>
        <w:rPr>
          <w:rFonts w:ascii="IRNazanin" w:hAnsi="IRNazanin" w:eastAsia="IRNazanin" w:cs="IRNazanin"/>
          <w:lang w:bidi="fa-IR"/>
          <w:color w:val="111111"/>
          <w:sz w:val="28"/>
          <w:szCs w:val="28"/>
          <w:rtl/>
        </w:rPr>
        <w:t xml:space="preserve">آغاز: بسمله. الحمدلله رب العالمين و الصلوة على محمد و آله الطيبين الطاهرين لا سيما وزیره و اخيه ... على امير المؤمنين الذي هو منه كالضوء من الضوء؛ انجام: و يبدلوا السيئات بالحسنات و الصلوة و السلام على محمد و علی و آلهما وقد بلغ الى هنا بميسور النظر ظاهرا اولا و آخرا (كتبه العبد ... محمد حسین ابن عبدالله بامر صاحب المعظم اللهم وفقه ... بجاه محمد و عترته الطاهرة).</w:t>
      </w:r>
    </w:p>
    <w:p>
      <w:pPr>
        <w:pStyle w:val="BookText"/>
      </w:pPr>
      <w:r>
        <w:rPr>
          <w:rFonts w:ascii="IRNazanin" w:hAnsi="IRNazanin" w:eastAsia="IRNazanin" w:cs="IRNazanin"/>
          <w:lang w:bidi="fa-IR"/>
          <w:color w:val="111111"/>
          <w:sz w:val="28"/>
          <w:szCs w:val="28"/>
          <w:rtl/>
        </w:rPr>
        <w:t xml:space="preserve">خط: نستعلیق، کا: محمد حسین بن عبدالله، بی تا، به دستور صاحب المعظم»؛ کاغذ: فرنگی، جلد: تیماج سرخ ضربی، ۶۳گ (آپ-۶۰ر)، ۱۸ سطر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اندازه:</w:t>
      </w:r>
    </w:p>
    <w:p>
      <w:pPr>
        <w:pStyle w:val="BookText"/>
      </w:pPr>
      <w:r>
        <w:rPr>
          <w:rFonts w:ascii="IRNazanin" w:hAnsi="IRNazanin" w:eastAsia="IRNazanin" w:cs="IRNazanin"/>
          <w:lang w:bidi="fa-IR"/>
          <w:color w:val="111111"/>
          <w:sz w:val="28"/>
          <w:szCs w:val="28"/>
          <w:rtl/>
        </w:rPr>
        <w:t xml:space="preserve">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[ف: ۵-۱۷۹۹]</w:t>
      </w:r>
    </w:p>
    <w:p>
      <w:pPr>
        <w:pStyle w:val="Heading3"/>
      </w:pPr>
      <w:bookmarkStart w:id="1583" w:name="_Toc843"/>
      <w:r>
        <w:t>•پاسخ سلطان محمد به شاه عباس / اسناد / فارسی</w:t>
      </w:r>
      <w:bookmarkEnd w:id="1583"/>
    </w:p>
    <w:p>
      <w:pPr>
        <w:pStyle w:val="BookText"/>
      </w:pPr>
      <w:r>
        <w:rPr>
          <w:rFonts w:ascii="Times New Roman" w:hAnsi="Times New Roman" w:eastAsia="Times New Roman" w:cs="Times New Roman"/>
          <w:lang w:val="en-US" w:bidi="en-US"/>
          <w:color w:val="111111"/>
          <w:sz w:val="28"/>
          <w:szCs w:val="28"/>
          <w:rtl/>
        </w:rPr>
        <w:t xml:space="preserve">pāsox-e soltān mohammad be šāh “abbās</w:t>
      </w:r>
    </w:p>
    <w:p>
      <w:pPr>
        <w:pStyle w:val="BookText"/>
      </w:pPr>
      <w:r>
        <w:rPr>
          <w:rFonts w:ascii="IRNazanin" w:hAnsi="IRNazanin" w:eastAsia="IRNazanin" w:cs="IRNazanin"/>
          <w:lang w:bidi="fa-IR"/>
          <w:color w:val="111111"/>
          <w:sz w:val="28"/>
          <w:szCs w:val="28"/>
          <w:rtl/>
        </w:rPr>
        <w:t xml:space="preserve">تهران؛ ملک؛ شماره نسخه: ۹۷۵/۷</w:t>
      </w:r>
    </w:p>
    <w:p>
      <w:pPr>
        <w:pStyle w:val="BookText"/>
      </w:pPr>
      <w:r>
        <w:rPr>
          <w:rFonts w:ascii="IRNazanin" w:hAnsi="IRNazanin" w:eastAsia="IRNazanin" w:cs="IRNazanin"/>
          <w:lang w:bidi="fa-IR"/>
          <w:color w:val="111111"/>
          <w:sz w:val="28"/>
          <w:szCs w:val="28"/>
          <w:rtl/>
        </w:rPr>
        <w:t xml:space="preserve">آغاز: عاليحضرت گردون سطوت، خورشید طلعت، جمشید فطنت که همراه ذوالفقار خان فرستاده است؛ خط: نستعلیق، بی کا، تا: قرن ۱۱؛ کاغذ: ترمه، رویه میشن قهوه ای یک لا، ۲۲ سطر، اندازه: ۲۴/۴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۷-۹۳]</w:t>
      </w:r>
    </w:p>
    <w:p>
      <w:pPr>
        <w:pStyle w:val="Heading3"/>
      </w:pPr>
      <w:bookmarkStart w:id="1584" w:name="_Toc844"/>
      <w:r>
        <w:t>•پاسخ سنائی به سلطان سنجر = حکایت سلطان سنجر و حکیم سنائی / شعر / فارسی</w:t>
      </w:r>
      <w:bookmarkEnd w:id="1584"/>
    </w:p>
    <w:p>
      <w:pPr>
        <w:pStyle w:val="BookText"/>
      </w:pPr>
      <w:r>
        <w:rPr>
          <w:rFonts w:ascii="Times New Roman" w:hAnsi="Times New Roman" w:eastAsia="Times New Roman" w:cs="Times New Roman"/>
          <w:lang w:val="en-US" w:bidi="en-US"/>
          <w:color w:val="111111"/>
          <w:sz w:val="28"/>
          <w:szCs w:val="28"/>
          <w:rtl/>
        </w:rPr>
        <w:t xml:space="preserve">pāsox-e sanā'ī be soltān sanjar = hekāyat-e soltān sanjar va hakām sanā'ī</w:t>
      </w:r>
    </w:p>
    <w:p>
      <w:pPr>
        <w:pStyle w:val="BookText"/>
      </w:pPr>
      <w:r>
        <w:rPr>
          <w:rFonts w:ascii="IRNazanin" w:hAnsi="IRNazanin" w:eastAsia="IRNazanin" w:cs="IRNazanin"/>
          <w:lang w:bidi="fa-IR"/>
          <w:color w:val="111111"/>
          <w:sz w:val="28"/>
          <w:szCs w:val="28"/>
          <w:rtl/>
        </w:rPr>
        <w:t xml:space="preserve">سنایی، مجدود بن آدم، ۴۷۳؟ -۵۲۵ ؟ قمری</w:t>
      </w:r>
    </w:p>
    <w:p>
      <w:pPr>
        <w:pStyle w:val="BookText"/>
      </w:pPr>
      <w:r>
        <w:rPr>
          <w:rFonts w:ascii="Times New Roman" w:hAnsi="Times New Roman" w:eastAsia="Times New Roman" w:cs="Times New Roman"/>
          <w:lang w:val="en-US" w:bidi="en-US"/>
          <w:color w:val="111111"/>
          <w:sz w:val="28"/>
          <w:szCs w:val="28"/>
          <w:rtl/>
        </w:rPr>
        <w:t xml:space="preserve">sanā'ī, majdūd ebn-e ādam (1081-1132)</w:t>
      </w:r>
    </w:p>
    <w:p>
      <w:pPr>
        <w:pStyle w:val="BookText"/>
      </w:pPr>
      <w:r>
        <w:rPr>
          <w:rFonts w:ascii="IRNazanin" w:hAnsi="IRNazanin" w:eastAsia="IRNazanin" w:cs="IRNazanin"/>
          <w:lang w:bidi="fa-IR"/>
          <w:color w:val="111111"/>
          <w:sz w:val="28"/>
          <w:szCs w:val="28"/>
          <w:rtl/>
        </w:rPr>
        <w:t xml:space="preserve">قصیده است در پرسش از مذهب حق و پاسخ سنایی</w:t>
      </w:r>
    </w:p>
    <w:p>
      <w:pPr>
        <w:pStyle w:val="BookText"/>
      </w:pPr>
      <w:r>
        <w:rPr>
          <w:rFonts w:ascii="IRNazanin" w:hAnsi="IRNazanin" w:eastAsia="IRNazanin" w:cs="IRNazanin"/>
          <w:lang w:bidi="fa-IR"/>
          <w:color w:val="111111"/>
          <w:sz w:val="28"/>
          <w:szCs w:val="28"/>
          <w:rtl/>
        </w:rPr>
        <w:t xml:space="preserve">۱. تهران؛ ملک؛ شماره نسخه: ۶۰۵۳/۶۰</w:t>
      </w:r>
    </w:p>
    <w:p>
      <w:pPr>
        <w:pStyle w:val="BookText"/>
      </w:pPr>
      <w:r>
        <w:rPr>
          <w:rFonts w:ascii="IRNazanin" w:hAnsi="IRNazanin" w:eastAsia="IRNazanin" w:cs="IRNazanin"/>
          <w:lang w:bidi="fa-IR"/>
          <w:color w:val="111111"/>
          <w:sz w:val="28"/>
          <w:szCs w:val="28"/>
          <w:rtl/>
        </w:rPr>
        <w:t xml:space="preserve">آغاز: کار عاشق نیست از دل مهر دل بر داشتن خط: شکسته نستعلیق، بی کا، تا: قرن ۱۲؛ کاغذ: فستقی، جلد: میشن لایی زرد سیر، ۱۰۰گ (۶۵ر -۱۶۴پ)، اندازه:</w:t>
      </w:r>
    </w:p>
    <w:p>
      <w:pPr>
        <w:pStyle w:val="BookText"/>
      </w:pPr>
      <w:r>
        <w:rPr>
          <w:rFonts w:ascii="IRNazanin" w:hAnsi="IRNazanin" w:eastAsia="IRNazanin" w:cs="IRNazanin"/>
          <w:lang w:bidi="fa-IR"/>
          <w:color w:val="111111"/>
          <w:sz w:val="28"/>
          <w:szCs w:val="28"/>
          <w:rtl/>
        </w:rPr>
        <w:t xml:space="preserve">۲۴/۲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[ف: ۹-۱۲۸]</w:t>
      </w:r>
    </w:p>
    <w:p>
      <w:pPr>
        <w:pStyle w:val="BookText"/>
      </w:pPr>
      <w:r>
        <w:rPr>
          <w:rFonts w:ascii="IRNazanin" w:hAnsi="IRNazanin" w:eastAsia="IRNazanin" w:cs="IRNazanin"/>
          <w:lang w:bidi="fa-IR"/>
          <w:color w:val="111111"/>
          <w:sz w:val="28"/>
          <w:szCs w:val="28"/>
          <w:rtl/>
        </w:rPr>
        <w:t xml:space="preserve">۲. تهران؛ مجلس؛ شماره نسخه: ۱۴۶۸۹/۵</w:t>
      </w:r>
    </w:p>
    <w:p>
      <w:pPr>
        <w:pStyle w:val="BookText"/>
      </w:pPr>
      <w:r>
        <w:rPr>
          <w:rFonts w:ascii="IRNazanin" w:hAnsi="IRNazanin" w:eastAsia="IRNazanin" w:cs="IRNazanin"/>
          <w:lang w:bidi="fa-IR"/>
          <w:color w:val="111111"/>
          <w:sz w:val="28"/>
          <w:szCs w:val="28"/>
          <w:rtl/>
        </w:rPr>
        <w:t xml:space="preserve">آغاز: کار عاقل نیست در دل مهر دلبر داشتن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جان نگین مهر مهر شاخ بی بر داشتن یا می گوید: گر همی خواهی که مهرت را بود مهر قبول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مهر حیدر بایدت با جان برابر داشتن خط: نستعلیق خوش، بی کا، تا: شب یک شنبه ۳۰ جمادی الثانی ۱۳۱۰ق، جا: دارالسلطنه قزوین؛ کاغذ: خط دار، جلد: تیماج قهوه ای روشن ضربی، ۳گی (۹۶ر -۹۸ر)، ۱۵ سطر، اندازه: ۱۳/۵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۲۰/۷سم [ف: ۱۶۰۴۱]</w:t>
      </w:r>
    </w:p>
    <w:p>
      <w:pPr>
        <w:pStyle w:val="Heading3"/>
      </w:pPr>
      <w:bookmarkStart w:id="1585" w:name="_Toc845"/>
      <w:r>
        <w:t>•پاسخ سؤالات / پاسخ پرسش ها / فارسی</w:t>
      </w:r>
      <w:bookmarkEnd w:id="1585"/>
    </w:p>
    <w:p>
      <w:pPr>
        <w:pStyle w:val="BookText"/>
      </w:pPr>
      <w:r>
        <w:rPr>
          <w:rFonts w:ascii="Times New Roman" w:hAnsi="Times New Roman" w:eastAsia="Times New Roman" w:cs="Times New Roman"/>
          <w:lang w:val="en-US" w:bidi="en-US"/>
          <w:color w:val="111111"/>
          <w:sz w:val="28"/>
          <w:szCs w:val="28"/>
          <w:rtl/>
        </w:rPr>
        <w:t xml:space="preserve">pāsox-e so’ālāt</w:t>
      </w:r>
    </w:p>
    <w:p>
      <w:pPr>
        <w:pStyle w:val="BookText"/>
      </w:pPr>
      <w:r>
        <w:rPr>
          <w:rFonts w:ascii="IRNazanin" w:hAnsi="IRNazanin" w:eastAsia="IRNazanin" w:cs="IRNazanin"/>
          <w:lang w:bidi="fa-IR"/>
          <w:color w:val="111111"/>
          <w:sz w:val="28"/>
          <w:szCs w:val="28"/>
          <w:rtl/>
        </w:rPr>
        <w:t xml:space="preserve">یزد؛ وزیری؛ شماره نسخه: ۲۰۰۴/۳</w:t>
      </w:r>
    </w:p>
    <w:p>
      <w:pPr>
        <w:pStyle w:val="BookText"/>
      </w:pPr>
      <w:r>
        <w:rPr>
          <w:rFonts w:ascii="IRNazanin" w:hAnsi="IRNazanin" w:eastAsia="IRNazanin" w:cs="IRNazanin"/>
          <w:lang w:bidi="fa-IR"/>
          <w:color w:val="111111"/>
          <w:sz w:val="28"/>
          <w:szCs w:val="28"/>
          <w:rtl/>
        </w:rPr>
        <w:t xml:space="preserve">آغاز: دیگر را فلک اسمش گویند و آسمان دیگر را فلک الزهره و آسمان دیگر را فلک العطارد؛ انجام: و آسمان دیگر را فلک المريخ گویند. در جواب سؤالات متفرقه؛ خط: نستعلیق، بی کا، بی تا؛ افتادگی: آغاز و انجام کاغذ: اصفهانی، جلد: مقوایی روکش کاغذ ابری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68" w:name="pg20363_209527"/>
    <w:bookmarkEnd w:id="268"/>
    <w:p>
      <w:pPr>
        <w:pStyle w:val="BookText"/>
      </w:pPr>
      <w:r>
        <w:rPr>
          <w:rFonts w:ascii="IRNazanin" w:hAnsi="IRNazanin" w:eastAsia="IRNazanin" w:cs="IRNazanin"/>
          <w:lang w:bidi="fa-IR"/>
          <w:color w:val="111111"/>
          <w:sz w:val="28"/>
          <w:szCs w:val="28"/>
          <w:rtl/>
        </w:rPr>
        <w:t xml:space="preserve">عطف تیماج قرمز، ۱۶گ،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۴-۱۱۲۴]</w:t>
      </w:r>
    </w:p>
    <w:p>
      <w:pPr>
        <w:pStyle w:val="BookText"/>
      </w:pPr>
      <w:r>
        <w:rPr>
          <w:rFonts w:ascii="IRNazanin" w:hAnsi="IRNazanin" w:eastAsia="IRNazanin" w:cs="IRNazanin"/>
          <w:lang w:bidi="fa-IR"/>
          <w:color w:val="111111"/>
          <w:sz w:val="28"/>
          <w:szCs w:val="28"/>
          <w:rtl/>
        </w:rPr>
        <w:t xml:space="preserve">←پاسخ سؤال درباره امر به معروف و نهی از منکر← اجوبة مسائل محمد مهدی بن شفيع استر آبادی</w:t>
      </w:r>
    </w:p>
    <w:p>
      <w:pPr>
        <w:pStyle w:val="BookText"/>
      </w:pPr>
      <w:r>
        <w:rPr>
          <w:rFonts w:ascii="IRNazanin" w:hAnsi="IRNazanin" w:eastAsia="IRNazanin" w:cs="IRNazanin"/>
          <w:lang w:bidi="fa-IR"/>
          <w:color w:val="111111"/>
          <w:sz w:val="28"/>
          <w:szCs w:val="28"/>
          <w:rtl/>
        </w:rPr>
        <w:t xml:space="preserve">←پاسخ سؤال سید حسین بن سید عبدالقادر بحرانی← البحرانية</w:t>
      </w:r>
    </w:p>
    <w:p>
      <w:pPr>
        <w:pStyle w:val="Heading3"/>
      </w:pPr>
      <w:bookmarkStart w:id="1586" w:name="_Toc846"/>
      <w:r>
        <w:t>•پاسخ سؤال نظام الملكك / نامه نگاری / عربی</w:t>
      </w:r>
      <w:bookmarkEnd w:id="1586"/>
    </w:p>
    <w:p>
      <w:pPr>
        <w:pStyle w:val="BookText"/>
      </w:pPr>
      <w:r>
        <w:rPr>
          <w:rFonts w:ascii="Times New Roman" w:hAnsi="Times New Roman" w:eastAsia="Times New Roman" w:cs="Times New Roman"/>
          <w:lang w:val="en-US" w:bidi="en-US"/>
          <w:color w:val="111111"/>
          <w:sz w:val="28"/>
          <w:szCs w:val="28"/>
          <w:rtl/>
        </w:rPr>
        <w:t xml:space="preserve">pāsox-e so’āl-e nezām-ol-molk</w:t>
      </w:r>
    </w:p>
    <w:p>
      <w:pPr>
        <w:pStyle w:val="BookText"/>
      </w:pPr>
      <w:r>
        <w:rPr>
          <w:rFonts w:ascii="IRNazanin" w:hAnsi="IRNazanin" w:eastAsia="IRNazanin" w:cs="IRNazanin"/>
          <w:lang w:bidi="fa-IR"/>
          <w:color w:val="111111"/>
          <w:sz w:val="28"/>
          <w:szCs w:val="28"/>
          <w:rtl/>
        </w:rPr>
        <w:t xml:space="preserve">غزالی، محمد بن محمد، ۴۵۰-۵۰۵ قمری</w:t>
      </w:r>
    </w:p>
    <w:p>
      <w:pPr>
        <w:pStyle w:val="BookText"/>
      </w:pPr>
      <w:r>
        <w:rPr>
          <w:rFonts w:ascii="Times New Roman" w:hAnsi="Times New Roman" w:eastAsia="Times New Roman" w:cs="Times New Roman"/>
          <w:lang w:val="en-US" w:bidi="en-US"/>
          <w:color w:val="111111"/>
          <w:sz w:val="28"/>
          <w:szCs w:val="28"/>
          <w:rtl/>
        </w:rPr>
        <w:t xml:space="preserve">qazzālī, mohammad ebn-e mohammad (1059-1112)</w:t>
      </w:r>
    </w:p>
    <w:p>
      <w:pPr>
        <w:pStyle w:val="BookText"/>
      </w:pPr>
      <w:r>
        <w:rPr>
          <w:rFonts w:ascii="IRNazanin" w:hAnsi="IRNazanin" w:eastAsia="IRNazanin" w:cs="IRNazanin"/>
          <w:lang w:bidi="fa-IR"/>
          <w:color w:val="111111"/>
          <w:sz w:val="28"/>
          <w:szCs w:val="28"/>
          <w:rtl/>
        </w:rPr>
        <w:t xml:space="preserve">پاسخ کوتاهی است از غزالی به نظام الملک که در این پاسخ وعظ گونه، غزالی مردم دنیا را به سه گروه تقسیم می کند:۱. العوام: الذين قصروا نظرهم على العاجل من الدنيا؛ ۲.الخواص: المرجحون الآخرة؛ ۳. الأخص: هم الذين علموا أن كل شيء فوقه شیء.</w:t>
      </w:r>
    </w:p>
    <w:p>
      <w:pPr>
        <w:pStyle w:val="BookText"/>
      </w:pPr>
      <w:r>
        <w:rPr>
          <w:rFonts w:ascii="Amiri" w:hAnsi="Amiri" w:eastAsia="Amiri" w:cs="Amiri"/>
          <w:lang w:bidi="ar-SA"/>
          <w:color w:val="111111"/>
          <w:sz w:val="28"/>
          <w:szCs w:val="28"/>
          <w:rtl/>
        </w:rPr>
        <w:t xml:space="preserve">[هدية العارفين ۷۹/۲ ]</w:t>
      </w:r>
    </w:p>
    <w:p>
      <w:pPr>
        <w:pStyle w:val="BookText"/>
      </w:pPr>
      <w:r>
        <w:rPr>
          <w:rFonts w:ascii="IRNazanin" w:hAnsi="IRNazanin" w:eastAsia="IRNazanin" w:cs="IRNazanin"/>
          <w:lang w:bidi="fa-IR"/>
          <w:color w:val="111111"/>
          <w:sz w:val="28"/>
          <w:szCs w:val="28"/>
          <w:rtl/>
        </w:rPr>
        <w:t xml:space="preserve">قم؛ مرعشی؛ شماره نسخه: ۱۲۵۸۹/۲۰</w:t>
      </w:r>
    </w:p>
    <w:p>
      <w:pPr>
        <w:pStyle w:val="BookText"/>
      </w:pPr>
      <w:r>
        <w:rPr>
          <w:rFonts w:ascii="IRNazanin" w:hAnsi="IRNazanin" w:eastAsia="IRNazanin" w:cs="IRNazanin"/>
          <w:lang w:bidi="fa-IR"/>
          <w:color w:val="111111"/>
          <w:sz w:val="28"/>
          <w:szCs w:val="28"/>
          <w:rtl/>
        </w:rPr>
        <w:t xml:space="preserve">آغاز: هذا الجواب من الغزالي من طوس إلى الوزير السعيد نظام الملك لكل وجهة هو موليها فاستبقوا الخيرات، اعلم أن الخلق في توجههم إلى ما هو قبلتهم ثلاث طوائف إحديها العوام؛ انجام: و الطريق إلى الله تعالى من بغداد و من طوس و من كل الواضع واحد ليس بعضها أقرب من بعض و أسأل الله تعالى أن يوقظ من نوم الغفلة لينظر في يومه لغده قبل أن يخرج الأمر من يده، و السلام خط: شکسته نستعلیق، بی کا، تا: قرن ۱۱؛ کاغذ: شرقی، اگ (۵۹ر)، سطور چلیپا،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سم [ف: ۳۱-۶۹۰]</w:t>
      </w:r>
    </w:p>
    <w:p>
      <w:pPr>
        <w:pStyle w:val="Heading3"/>
      </w:pPr>
      <w:bookmarkStart w:id="1587" w:name="_Toc847"/>
      <w:r>
        <w:t>•پاسخ سه پرسش / تفسير / عربی</w:t>
      </w:r>
      <w:bookmarkEnd w:id="1587"/>
    </w:p>
    <w:p>
      <w:pPr>
        <w:pStyle w:val="BookText"/>
      </w:pPr>
      <w:r>
        <w:rPr>
          <w:rFonts w:ascii="Times New Roman" w:hAnsi="Times New Roman" w:eastAsia="Times New Roman" w:cs="Times New Roman"/>
          <w:lang w:val="en-US" w:bidi="en-US"/>
          <w:color w:val="111111"/>
          <w:sz w:val="28"/>
          <w:szCs w:val="28"/>
          <w:rtl/>
        </w:rPr>
        <w:t xml:space="preserve">pāsox-e se porseš</w:t>
      </w:r>
    </w:p>
    <w:p>
      <w:pPr>
        <w:pStyle w:val="BookText"/>
      </w:pPr>
      <w:r>
        <w:rPr>
          <w:rFonts w:ascii="IRNazanin" w:hAnsi="IRNazanin" w:eastAsia="IRNazanin" w:cs="IRNazanin"/>
          <w:lang w:bidi="fa-IR"/>
          <w:color w:val="111111"/>
          <w:sz w:val="28"/>
          <w:szCs w:val="28"/>
          <w:rtl/>
        </w:rPr>
        <w:t xml:space="preserve">نخست شرحی است درباره آیه «و ما انزل على الملكين» دومی در تفسیر آیه «ربنا انی اسکنت ذرينی بواد غیر ذی ذرع في بيتك المحرم» در شرح بیتک المحرم، سومی آیه افک.</w:t>
      </w:r>
    </w:p>
    <w:p>
      <w:pPr>
        <w:pStyle w:val="BookText"/>
      </w:pPr>
      <w:r>
        <w:rPr>
          <w:rFonts w:ascii="IRNazanin" w:hAnsi="IRNazanin" w:eastAsia="IRNazanin" w:cs="IRNazanin"/>
          <w:lang w:bidi="fa-IR"/>
          <w:color w:val="111111"/>
          <w:sz w:val="28"/>
          <w:szCs w:val="28"/>
          <w:rtl/>
        </w:rPr>
        <w:t xml:space="preserve">تهران؛ ملک؛ شماره نسخه: ۲۱۸۲/۱۶</w:t>
      </w:r>
    </w:p>
    <w:p>
      <w:pPr>
        <w:pStyle w:val="BookText"/>
      </w:pPr>
      <w:r>
        <w:rPr>
          <w:rFonts w:ascii="IRNazanin" w:hAnsi="IRNazanin" w:eastAsia="IRNazanin" w:cs="IRNazanin"/>
          <w:lang w:bidi="fa-IR"/>
          <w:color w:val="111111"/>
          <w:sz w:val="28"/>
          <w:szCs w:val="28"/>
          <w:rtl/>
        </w:rPr>
        <w:t xml:space="preserve">خط: شکسته نستعلیق، بی کا، تا: قرن ۱۱، ۳گ (۱۵۵پ -۱۵۷ر) [ف: ۵-۴۴۴]</w:t>
      </w:r>
    </w:p>
    <w:p>
      <w:pPr>
        <w:pStyle w:val="Heading3"/>
      </w:pPr>
      <w:bookmarkStart w:id="1588" w:name="_Toc848"/>
      <w:r>
        <w:t>•پاسخ سه نامه / نامه نگاری / فارسی</w:t>
      </w:r>
      <w:bookmarkEnd w:id="1588"/>
    </w:p>
    <w:p>
      <w:pPr>
        <w:pStyle w:val="BookText"/>
      </w:pPr>
      <w:r>
        <w:rPr>
          <w:rFonts w:ascii="Times New Roman" w:hAnsi="Times New Roman" w:eastAsia="Times New Roman" w:cs="Times New Roman"/>
          <w:lang w:val="en-US" w:bidi="en-US"/>
          <w:color w:val="111111"/>
          <w:sz w:val="28"/>
          <w:szCs w:val="28"/>
          <w:rtl/>
        </w:rPr>
        <w:t xml:space="preserve">pāsox-e se nāme</w:t>
      </w:r>
    </w:p>
    <w:p>
      <w:pPr>
        <w:pStyle w:val="BookText"/>
      </w:pPr>
      <w:r>
        <w:rPr>
          <w:rFonts w:ascii="Amiri" w:hAnsi="Amiri" w:eastAsia="Amiri" w:cs="Amiri"/>
          <w:lang w:bidi="ar-SA"/>
          <w:color w:val="111111"/>
          <w:sz w:val="28"/>
          <w:szCs w:val="28"/>
          <w:rtl/>
        </w:rPr>
        <w:t xml:space="preserve">تهران؛ الهيات، شماره نسخه: ۳۲/۲</w:t>
      </w:r>
    </w:p>
    <w:p>
      <w:pPr>
        <w:pStyle w:val="BookText"/>
      </w:pPr>
      <w:r>
        <w:rPr>
          <w:rFonts w:ascii="IRNazanin" w:hAnsi="IRNazanin" w:eastAsia="IRNazanin" w:cs="IRNazanin"/>
          <w:lang w:bidi="fa-IR"/>
          <w:color w:val="111111"/>
          <w:sz w:val="28"/>
          <w:szCs w:val="28"/>
          <w:rtl/>
        </w:rPr>
        <w:t xml:space="preserve">١-نامه محمد صادق خان، ۲ – پاسخ ملا محمد جواد اردبیلی، 3 پاسخ به همین اردبیلی؛ خط: نستعلیق، بی کا، تا: قرن ۱۳؛ افتادگی: آغاز؛ در برگ ۲۸ر اشعار فارسی در مصایب اهل بیت از آخوند ملا اسماعیل؛ کاغذ: فرنگی، جلد: تیماج سبز مقوایی، گ (۲۴ر - ۳۰ر)، ۱۶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۲۲/۵سم [ف: ۲۲۱]</w:t>
      </w:r>
    </w:p>
    <w:p>
      <w:pPr>
        <w:pStyle w:val="Heading3"/>
      </w:pPr>
      <w:bookmarkStart w:id="1589" w:name="_Toc849"/>
      <w:r>
        <w:t>•پاسخ سید داماد در این مساله که زنا حق خداست یا خلق / كلام و اعتقادات / عربی</w:t>
      </w:r>
      <w:bookmarkEnd w:id="1589"/>
    </w:p>
    <w:p>
      <w:pPr>
        <w:pStyle w:val="BookText"/>
      </w:pPr>
      <w:r>
        <w:rPr>
          <w:rFonts w:ascii="Times New Roman" w:hAnsi="Times New Roman" w:eastAsia="Times New Roman" w:cs="Times New Roman"/>
          <w:lang w:val="en-US" w:bidi="en-US"/>
          <w:color w:val="111111"/>
          <w:sz w:val="28"/>
          <w:szCs w:val="28"/>
          <w:rtl/>
        </w:rPr>
        <w:t xml:space="preserve">pāsox-e seyyed-e dāmād dar īn masale ke zenā haqq-e xodāst yā xalq</w:t>
      </w:r>
    </w:p>
    <w:p>
      <w:pPr>
        <w:pStyle w:val="BookText"/>
      </w:pPr>
      <w:r>
        <w:rPr>
          <w:rFonts w:ascii="IRNazanin" w:hAnsi="IRNazanin" w:eastAsia="IRNazanin" w:cs="IRNazanin"/>
          <w:lang w:bidi="fa-IR"/>
          <w:color w:val="111111"/>
          <w:sz w:val="28"/>
          <w:szCs w:val="28"/>
          <w:rtl/>
        </w:rPr>
        <w:t xml:space="preserve">میرداماد، محمد باقر بن محمد، -۱۰۴۱؟ قمری</w:t>
      </w:r>
    </w:p>
    <w:p>
      <w:pPr>
        <w:pStyle w:val="BookText"/>
      </w:pPr>
      <w:r>
        <w:rPr>
          <w:rFonts w:ascii="Times New Roman" w:hAnsi="Times New Roman" w:eastAsia="Times New Roman" w:cs="Times New Roman"/>
          <w:lang w:val="en-US" w:bidi="en-US"/>
          <w:color w:val="111111"/>
          <w:sz w:val="28"/>
          <w:szCs w:val="28"/>
          <w:rtl/>
        </w:rPr>
        <w:t xml:space="preserve">mīrdāmād, mohammad bāger ebn-e mohammad ( 1632)</w:t>
      </w:r>
    </w:p>
    <w:p>
      <w:pPr>
        <w:pStyle w:val="BookText"/>
      </w:pPr>
      <w:r>
        <w:rPr>
          <w:rFonts w:ascii="IRNazanin" w:hAnsi="IRNazanin" w:eastAsia="IRNazanin" w:cs="IRNazanin"/>
          <w:lang w:bidi="fa-IR"/>
          <w:color w:val="111111"/>
          <w:sz w:val="28"/>
          <w:szCs w:val="28"/>
          <w:rtl/>
        </w:rPr>
        <w:t xml:space="preserve">تهران، دانشگاه، شماره نسخه: ۷۵۵۰/۱۴</w:t>
      </w:r>
    </w:p>
    <w:p>
      <w:pPr>
        <w:pStyle w:val="BookText"/>
      </w:pPr>
      <w:r>
        <w:rPr>
          <w:rFonts w:ascii="IRNazanin" w:hAnsi="IRNazanin" w:eastAsia="IRNazanin" w:cs="IRNazanin"/>
          <w:lang w:bidi="fa-IR"/>
          <w:color w:val="111111"/>
          <w:sz w:val="28"/>
          <w:szCs w:val="28"/>
          <w:rtl/>
        </w:rPr>
        <w:t xml:space="preserve">خط: نستعلیق چلیپا، كا: محمد بن أبي الفتح تنکابنی، تا: قرن ۱۱؛ راسته و چلیپا؛ کاغذ: سپاهانی، جلد: تیماج حنایی ضربی مقوایی، اص (۴۸)، ۲۸ سطر (۱۰/۵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۲۰/۵ )، قطع: وزیری،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۱۶-۶۲۴]</w:t>
      </w:r>
    </w:p>
    <w:p>
      <w:pPr>
        <w:pStyle w:val="Heading3"/>
      </w:pPr>
      <w:bookmarkStart w:id="1590" w:name="_Toc850"/>
      <w:r>
        <w:t>•پاسخ سید محمد کاظم رشتی / پاسخ پرسش ها</w:t>
      </w:r>
      <w:bookmarkEnd w:id="1590"/>
    </w:p>
    <w:p>
      <w:pPr>
        <w:pStyle w:val="BookText"/>
      </w:pPr>
      <w:r>
        <w:rPr>
          <w:rFonts w:ascii="Times New Roman" w:hAnsi="Times New Roman" w:eastAsia="Times New Roman" w:cs="Times New Roman"/>
          <w:lang w:val="en-US" w:bidi="en-US"/>
          <w:color w:val="111111"/>
          <w:sz w:val="28"/>
          <w:szCs w:val="28"/>
          <w:rtl/>
        </w:rPr>
        <w:t xml:space="preserve">pāsox-e seyyed mohammad kāzem-e raštī</w:t>
      </w:r>
    </w:p>
    <w:p>
      <w:pPr>
        <w:pStyle w:val="BookText"/>
      </w:pPr>
      <w:r>
        <w:rPr>
          <w:rFonts w:ascii="IRNazanin" w:hAnsi="IRNazanin" w:eastAsia="IRNazanin" w:cs="IRNazanin"/>
          <w:lang w:bidi="fa-IR"/>
          <w:color w:val="111111"/>
          <w:sz w:val="28"/>
          <w:szCs w:val="28"/>
          <w:rtl/>
        </w:rPr>
        <w:t xml:space="preserve">رشتی، کاظم بن قاسم، ۱۲۱۲-۱۲۵۹ قمری</w:t>
      </w:r>
    </w:p>
    <w:p>
      <w:pPr>
        <w:pStyle w:val="BookText"/>
      </w:pPr>
      <w:r>
        <w:rPr>
          <w:rFonts w:ascii="Times New Roman" w:hAnsi="Times New Roman" w:eastAsia="Times New Roman" w:cs="Times New Roman"/>
          <w:lang w:val="en-US" w:bidi="en-US"/>
          <w:color w:val="111111"/>
          <w:sz w:val="28"/>
          <w:szCs w:val="28"/>
          <w:rtl/>
        </w:rPr>
        <w:t xml:space="preserve">raštī, kāzem ebn-e qāsem (1798-1843)</w:t>
      </w:r>
    </w:p>
    <w:p>
      <w:pPr>
        <w:pStyle w:val="BookText"/>
      </w:pPr>
      <w:r>
        <w:rPr>
          <w:rFonts w:ascii="IRNazanin" w:hAnsi="IRNazanin" w:eastAsia="IRNazanin" w:cs="IRNazanin"/>
          <w:lang w:bidi="fa-IR"/>
          <w:color w:val="111111"/>
          <w:sz w:val="28"/>
          <w:szCs w:val="28"/>
          <w:rtl/>
        </w:rPr>
        <w:t xml:space="preserve">تهران؛ مفتاح؛ شماره نسخه: ۱۲۶۱/۱۰</w:t>
      </w:r>
    </w:p>
    <w:p>
      <w:pPr>
        <w:pStyle w:val="BookText"/>
      </w:pPr>
      <w:r>
        <w:rPr>
          <w:rFonts w:ascii="IRNazanin" w:hAnsi="IRNazanin" w:eastAsia="IRNazanin" w:cs="IRNazanin"/>
          <w:lang w:bidi="fa-IR"/>
          <w:color w:val="111111"/>
          <w:sz w:val="28"/>
          <w:szCs w:val="28"/>
          <w:rtl/>
        </w:rPr>
        <w:t xml:space="preserve">خط: نستعلیق، كا: على بن احمد همدانی، تا: دوشنبه ۱۵ شوال ۱۲۶۸ق، در تابستان در خانه ملک آرای یک سال و نیم گذشته از فرمان روایی سیف الله میرزا؛ قطع: ربعی آنشریه: ۷-۲۷۴]</w:t>
      </w:r>
    </w:p>
    <w:p>
      <w:pPr>
        <w:pStyle w:val="Heading3"/>
      </w:pPr>
      <w:bookmarkStart w:id="1591" w:name="_Toc851"/>
      <w:r>
        <w:t>•پاسخ شاگردش / پاسخ پرسش ها</w:t>
      </w:r>
      <w:bookmarkEnd w:id="1591"/>
    </w:p>
    <w:p>
      <w:pPr>
        <w:pStyle w:val="BookText"/>
      </w:pPr>
      <w:r>
        <w:rPr>
          <w:rFonts w:ascii="Times New Roman" w:hAnsi="Times New Roman" w:eastAsia="Times New Roman" w:cs="Times New Roman"/>
          <w:lang w:val="en-US" w:bidi="en-US"/>
          <w:color w:val="111111"/>
          <w:sz w:val="28"/>
          <w:szCs w:val="28"/>
          <w:rtl/>
        </w:rPr>
        <w:t xml:space="preserve">pāsox-e šāgerd-aš</w:t>
      </w:r>
    </w:p>
    <w:p>
      <w:pPr>
        <w:pStyle w:val="BookText"/>
      </w:pPr>
      <w:r>
        <w:rPr>
          <w:rFonts w:ascii="IRNazanin" w:hAnsi="IRNazanin" w:eastAsia="IRNazanin" w:cs="IRNazanin"/>
          <w:lang w:bidi="fa-IR"/>
          <w:color w:val="111111"/>
          <w:sz w:val="28"/>
          <w:szCs w:val="28"/>
          <w:rtl/>
        </w:rPr>
        <w:t xml:space="preserve">غزالی، محمد بن محمد، ۴۵۰-۵۰۵ قمری</w:t>
      </w:r>
    </w:p>
    <w:p>
      <w:pPr>
        <w:pStyle w:val="BookText"/>
      </w:pPr>
      <w:r>
        <w:rPr>
          <w:rFonts w:ascii="Times New Roman" w:hAnsi="Times New Roman" w:eastAsia="Times New Roman" w:cs="Times New Roman"/>
          <w:lang w:val="en-US" w:bidi="en-US"/>
          <w:color w:val="111111"/>
          <w:sz w:val="28"/>
          <w:szCs w:val="28"/>
          <w:rtl/>
        </w:rPr>
        <w:t xml:space="preserve">qazzālī, mohammad ebn-e mohammad (1059-1112)</w:t>
      </w:r>
    </w:p>
    <w:p>
      <w:pPr>
        <w:pStyle w:val="BookText"/>
      </w:pPr>
      <w:r>
        <w:rPr>
          <w:rFonts w:ascii="IRNazanin" w:hAnsi="IRNazanin" w:eastAsia="IRNazanin" w:cs="IRNazanin"/>
          <w:lang w:bidi="fa-IR"/>
          <w:color w:val="111111"/>
          <w:sz w:val="28"/>
          <w:szCs w:val="28"/>
          <w:rtl/>
        </w:rPr>
        <w:t xml:space="preserve">تبریز؛ ثقة الاسلام؛ شماره نسخه: بدون شماره/۲</w:t>
      </w:r>
    </w:p>
    <w:p>
      <w:pPr>
        <w:pStyle w:val="BookText"/>
      </w:pPr>
      <w:r>
        <w:rPr>
          <w:rFonts w:ascii="IRNazanin" w:hAnsi="IRNazanin" w:eastAsia="IRNazanin" w:cs="IRNazanin"/>
          <w:lang w:bidi="fa-IR"/>
          <w:color w:val="111111"/>
          <w:sz w:val="28"/>
          <w:szCs w:val="28"/>
          <w:rtl/>
        </w:rPr>
        <w:t xml:space="preserve">رساله غزالی در پاسخ شاگردش؛ بی کا، بی تا [نشریه: ۷-۵۳۹]</w:t>
      </w:r>
    </w:p>
    <w:p>
      <w:pPr>
        <w:pStyle w:val="Heading3"/>
      </w:pPr>
      <w:bookmarkStart w:id="1592" w:name="_Toc852"/>
      <w:r>
        <w:t>• پاسخ شاه به پادشاه ترکستان / تاریخ ایران / فارسی</w:t>
      </w:r>
      <w:bookmarkEnd w:id="1592"/>
    </w:p>
    <w:p>
      <w:pPr>
        <w:pStyle w:val="BookText"/>
      </w:pPr>
      <w:r>
        <w:rPr>
          <w:rFonts w:ascii="Times New Roman" w:hAnsi="Times New Roman" w:eastAsia="Times New Roman" w:cs="Times New Roman"/>
          <w:lang w:val="en-US" w:bidi="en-US"/>
          <w:color w:val="111111"/>
          <w:sz w:val="28"/>
          <w:szCs w:val="28"/>
          <w:rtl/>
        </w:rPr>
        <w:t xml:space="preserve">pāsox-e šāh be pādešāh-e torkestān</w:t>
      </w:r>
    </w:p>
    <w:p>
      <w:pPr>
        <w:pStyle w:val="BookText"/>
      </w:pPr>
      <w:r>
        <w:rPr>
          <w:rFonts w:ascii="IRNazanin" w:hAnsi="IRNazanin" w:eastAsia="IRNazanin" w:cs="IRNazanin"/>
          <w:lang w:bidi="fa-IR"/>
          <w:color w:val="111111"/>
          <w:sz w:val="28"/>
          <w:szCs w:val="28"/>
          <w:rtl/>
        </w:rPr>
        <w:t xml:space="preserve">تهران؛ ملک، شماره نسخه: ۴۳۱۸/۱۶</w:t>
      </w:r>
    </w:p>
    <w:p>
      <w:pPr>
        <w:pStyle w:val="BookText"/>
      </w:pPr>
      <w:r>
        <w:rPr>
          <w:rFonts w:ascii="IRNazanin" w:hAnsi="IRNazanin" w:eastAsia="IRNazanin" w:cs="IRNazanin"/>
          <w:lang w:bidi="fa-IR"/>
          <w:color w:val="111111"/>
          <w:sz w:val="28"/>
          <w:szCs w:val="28"/>
          <w:rtl/>
        </w:rPr>
        <w:t xml:space="preserve">خط: شکسته نستعلیق، بی کا، تا: قرن ۱۳ [ف: ۷-۳۴۱)</w:t>
      </w:r>
    </w:p>
    <w:p>
      <w:pPr>
        <w:pStyle w:val="Heading3"/>
      </w:pPr>
      <w:bookmarkStart w:id="1593" w:name="_Toc853"/>
      <w:r>
        <w:t>•پاسخ شاه به محمودخان خواندگار روم / تاریخ ایران،</w:t>
      </w:r>
      <w:bookmarkEnd w:id="1593"/>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69" w:name="pg20363_209528"/>
    <w:bookmarkEnd w:id="269"/>
    <w:p>
      <w:pPr>
        <w:pStyle w:val="Heading3"/>
      </w:pPr>
      <w:bookmarkStart w:id="1594" w:name="_Toc854"/>
      <w:r>
        <w:t>•اسناد / فارسی</w:t>
      </w:r>
      <w:bookmarkEnd w:id="1594"/>
    </w:p>
    <w:p>
      <w:pPr>
        <w:pStyle w:val="BookText"/>
      </w:pPr>
      <w:r>
        <w:rPr>
          <w:rFonts w:ascii="Times New Roman" w:hAnsi="Times New Roman" w:eastAsia="Times New Roman" w:cs="Times New Roman"/>
          <w:lang w:val="en-US" w:bidi="en-US"/>
          <w:color w:val="111111"/>
          <w:sz w:val="28"/>
          <w:szCs w:val="28"/>
          <w:rtl/>
        </w:rPr>
        <w:t xml:space="preserve">pāsox-e šāh be mahmūd-xan xāndegār-e rūm</w:t>
      </w:r>
    </w:p>
    <w:p>
      <w:pPr>
        <w:pStyle w:val="BookText"/>
      </w:pPr>
      <w:r>
        <w:rPr>
          <w:rFonts w:ascii="IRNazanin" w:hAnsi="IRNazanin" w:eastAsia="IRNazanin" w:cs="IRNazanin"/>
          <w:lang w:bidi="fa-IR"/>
          <w:color w:val="111111"/>
          <w:sz w:val="28"/>
          <w:szCs w:val="28"/>
          <w:rtl/>
        </w:rPr>
        <w:t xml:space="preserve">تهران؛ ملک؛ شماره نسخه: ۴۳۱۸/۱۵</w:t>
      </w:r>
    </w:p>
    <w:p>
      <w:pPr>
        <w:pStyle w:val="BookText"/>
      </w:pPr>
      <w:r>
        <w:rPr>
          <w:rFonts w:ascii="IRNazanin" w:hAnsi="IRNazanin" w:eastAsia="IRNazanin" w:cs="IRNazanin"/>
          <w:lang w:bidi="fa-IR"/>
          <w:color w:val="111111"/>
          <w:sz w:val="28"/>
          <w:szCs w:val="28"/>
          <w:rtl/>
        </w:rPr>
        <w:t xml:space="preserve">خط: شکسته نستعلیق، بی کا، تا: قرن ۱۳ [ف: ۷-۳۴۱]</w:t>
      </w:r>
    </w:p>
    <w:p>
      <w:pPr>
        <w:pStyle w:val="Heading3"/>
      </w:pPr>
      <w:bookmarkStart w:id="1595" w:name="_Toc855"/>
      <w:r>
        <w:t>• پاسخ شاه به محمودشاه افغان / تاریخ ایران، اسناد / فارسی</w:t>
      </w:r>
      <w:bookmarkEnd w:id="1595"/>
    </w:p>
    <w:p>
      <w:pPr>
        <w:pStyle w:val="BookText"/>
      </w:pPr>
      <w:r>
        <w:rPr>
          <w:rFonts w:ascii="Times New Roman" w:hAnsi="Times New Roman" w:eastAsia="Times New Roman" w:cs="Times New Roman"/>
          <w:lang w:val="en-US" w:bidi="en-US"/>
          <w:color w:val="111111"/>
          <w:sz w:val="28"/>
          <w:szCs w:val="28"/>
          <w:rtl/>
        </w:rPr>
        <w:t xml:space="preserve">pāsox-e šāh be mahmūd-šāh-e afqān</w:t>
      </w:r>
    </w:p>
    <w:p>
      <w:pPr>
        <w:pStyle w:val="BookText"/>
      </w:pPr>
      <w:r>
        <w:rPr>
          <w:rFonts w:ascii="IRNazanin" w:hAnsi="IRNazanin" w:eastAsia="IRNazanin" w:cs="IRNazanin"/>
          <w:lang w:bidi="fa-IR"/>
          <w:color w:val="111111"/>
          <w:sz w:val="28"/>
          <w:szCs w:val="28"/>
          <w:rtl/>
        </w:rPr>
        <w:t xml:space="preserve">تهران؛ ملک؛ شماره نسخه: ۴۳۱۸/۲۱</w:t>
      </w:r>
    </w:p>
    <w:p>
      <w:pPr>
        <w:pStyle w:val="BookText"/>
      </w:pPr>
      <w:r>
        <w:rPr>
          <w:rFonts w:ascii="IRNazanin" w:hAnsi="IRNazanin" w:eastAsia="IRNazanin" w:cs="IRNazanin"/>
          <w:lang w:bidi="fa-IR"/>
          <w:color w:val="111111"/>
          <w:sz w:val="28"/>
          <w:szCs w:val="28"/>
          <w:rtl/>
        </w:rPr>
        <w:t xml:space="preserve">خط: شکسته نستعلیق، بی کا، تا: قرن ۱۳ [ف: ۷-۳۴۱]</w:t>
      </w:r>
    </w:p>
    <w:p>
      <w:pPr>
        <w:pStyle w:val="Heading3"/>
      </w:pPr>
      <w:bookmarkStart w:id="1596" w:name="_Toc856"/>
      <w:r>
        <w:t>•پاسخ شاه طهماسب به عبیدالله خان اوزبک / اسناد / فارسی</w:t>
      </w:r>
      <w:bookmarkEnd w:id="1596"/>
    </w:p>
    <w:p>
      <w:pPr>
        <w:pStyle w:val="BookText"/>
      </w:pPr>
      <w:r>
        <w:rPr>
          <w:rFonts w:ascii="Times New Roman" w:hAnsi="Times New Roman" w:eastAsia="Times New Roman" w:cs="Times New Roman"/>
          <w:lang w:val="en-US" w:bidi="en-US"/>
          <w:color w:val="111111"/>
          <w:sz w:val="28"/>
          <w:szCs w:val="28"/>
          <w:rtl/>
        </w:rPr>
        <w:t xml:space="preserve">pāsox-e šāh tahmāsb be ‘obeyd-ol-lāh-xān-e ozbak</w:t>
      </w:r>
    </w:p>
    <w:p>
      <w:pPr>
        <w:pStyle w:val="BookText"/>
      </w:pPr>
      <w:r>
        <w:rPr>
          <w:rFonts w:ascii="IRNazanin" w:hAnsi="IRNazanin" w:eastAsia="IRNazanin" w:cs="IRNazanin"/>
          <w:lang w:bidi="fa-IR"/>
          <w:color w:val="111111"/>
          <w:sz w:val="28"/>
          <w:szCs w:val="28"/>
          <w:rtl/>
        </w:rPr>
        <w:t xml:space="preserve">طهماسب صفوی اول، شاه ایران، ۹۱۹-۹۸۴ قمری</w:t>
      </w:r>
    </w:p>
    <w:p>
      <w:pPr>
        <w:pStyle w:val="BookText"/>
      </w:pPr>
      <w:r>
        <w:rPr>
          <w:rFonts w:ascii="Times New Roman" w:hAnsi="Times New Roman" w:eastAsia="Times New Roman" w:cs="Times New Roman"/>
          <w:lang w:val="en-US" w:bidi="en-US"/>
          <w:color w:val="111111"/>
          <w:sz w:val="28"/>
          <w:szCs w:val="28"/>
          <w:rtl/>
        </w:rPr>
        <w:t xml:space="preserve">tahmāsb-e safavī-ye avval, šāh-e īrān (1514-1577)</w:t>
      </w:r>
    </w:p>
    <w:p>
      <w:pPr>
        <w:pStyle w:val="BookText"/>
      </w:pPr>
      <w:r>
        <w:rPr>
          <w:rFonts w:ascii="IRNazanin" w:hAnsi="IRNazanin" w:eastAsia="IRNazanin" w:cs="IRNazanin"/>
          <w:lang w:bidi="fa-IR"/>
          <w:color w:val="111111"/>
          <w:sz w:val="28"/>
          <w:szCs w:val="28"/>
          <w:rtl/>
        </w:rPr>
        <w:t xml:space="preserve">تهران؛ ملک؛ شماره نسخه: ۹۷۵/۱۳</w:t>
      </w:r>
    </w:p>
    <w:p>
      <w:pPr>
        <w:pStyle w:val="BookText"/>
      </w:pPr>
      <w:r>
        <w:rPr>
          <w:rFonts w:ascii="IRNazanin" w:hAnsi="IRNazanin" w:eastAsia="IRNazanin" w:cs="IRNazanin"/>
          <w:lang w:bidi="fa-IR"/>
          <w:color w:val="111111"/>
          <w:sz w:val="28"/>
          <w:szCs w:val="28"/>
          <w:rtl/>
        </w:rPr>
        <w:t xml:space="preserve">آغاز: مکتوب بدایع املای، غرایب انشائ که از قلم شکسته رقم خط: نستعلیق، بی کا، تا: قرن ۱۱؛ کاغذ: ترمه، رویه میشن قهوه ای یک لا، ۴گ( ۵۰ر -۵۳پ)، ۲۲ سطر، اندازه:</w:t>
      </w:r>
    </w:p>
    <w:p>
      <w:pPr>
        <w:pStyle w:val="BookText"/>
      </w:pPr>
      <w:r>
        <w:rPr>
          <w:rFonts w:ascii="IRNazanin" w:hAnsi="IRNazanin" w:eastAsia="IRNazanin" w:cs="IRNazanin"/>
          <w:lang w:bidi="fa-IR"/>
          <w:color w:val="111111"/>
          <w:sz w:val="28"/>
          <w:szCs w:val="28"/>
          <w:rtl/>
        </w:rPr>
        <w:t xml:space="preserve">۲۴/۴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۷-۹۴]</w:t>
      </w:r>
    </w:p>
    <w:p>
      <w:pPr>
        <w:pStyle w:val="BookText"/>
      </w:pPr>
      <w:r>
        <w:rPr>
          <w:rFonts w:ascii="IRNazanin" w:hAnsi="IRNazanin" w:eastAsia="IRNazanin" w:cs="IRNazanin"/>
          <w:lang w:bidi="fa-IR"/>
          <w:color w:val="111111"/>
          <w:sz w:val="28"/>
          <w:szCs w:val="28"/>
          <w:rtl/>
        </w:rPr>
        <w:t xml:space="preserve">←پاسخ شبهات پادری ← رد پادری</w:t>
      </w:r>
    </w:p>
    <w:p>
      <w:pPr>
        <w:pStyle w:val="Heading3"/>
      </w:pPr>
      <w:bookmarkStart w:id="1597" w:name="_Toc857"/>
      <w:r>
        <w:t>•پاسخ شیخ محمود افندی / فقه / ترکی</w:t>
      </w:r>
      <w:bookmarkEnd w:id="1597"/>
    </w:p>
    <w:p>
      <w:pPr>
        <w:pStyle w:val="BookText"/>
      </w:pPr>
      <w:r>
        <w:rPr>
          <w:rFonts w:ascii="Times New Roman" w:hAnsi="Times New Roman" w:eastAsia="Times New Roman" w:cs="Times New Roman"/>
          <w:lang w:val="en-US" w:bidi="en-US"/>
          <w:color w:val="111111"/>
          <w:sz w:val="28"/>
          <w:szCs w:val="28"/>
          <w:rtl/>
        </w:rPr>
        <w:t xml:space="preserve">pāsox-e šeyx mahmūd afandī</w:t>
      </w:r>
    </w:p>
    <w:p>
      <w:pPr>
        <w:pStyle w:val="BookText"/>
      </w:pPr>
      <w:r>
        <w:rPr>
          <w:rFonts w:ascii="IRNazanin" w:hAnsi="IRNazanin" w:eastAsia="IRNazanin" w:cs="IRNazanin"/>
          <w:lang w:bidi="fa-IR"/>
          <w:color w:val="111111"/>
          <w:sz w:val="28"/>
          <w:szCs w:val="28"/>
          <w:rtl/>
        </w:rPr>
        <w:t xml:space="preserve">تهران؛ ملک؛ شماره نسخه: ۲۸۱۸/۲</w:t>
      </w:r>
    </w:p>
    <w:p>
      <w:pPr>
        <w:pStyle w:val="BookText"/>
      </w:pPr>
      <w:r>
        <w:rPr>
          <w:rFonts w:ascii="IRNazanin" w:hAnsi="IRNazanin" w:eastAsia="IRNazanin" w:cs="IRNazanin"/>
          <w:lang w:bidi="fa-IR"/>
          <w:color w:val="111111"/>
          <w:sz w:val="28"/>
          <w:szCs w:val="28"/>
          <w:rtl/>
        </w:rPr>
        <w:t xml:space="preserve">آغاز: بسمله، بعد السلام انها اولنوب اعلام اولنوب که طریق حق اعز طرق و اشرف سبل او لمغين برسالک؛ انجام: بودر بوندن غیری حقیقته یول اولماز، و الله اعلم بالصواب خط: شکسته نستعلیق، بی کا، بی تا، کاغذ: پسته ای، جلد: کاغذ ساغری سیاه فرنگی، ۳گ (۱۰۵ر -۱۰۷پ)، ۱۹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[ف: ۶-۱۱۸]</w:t>
      </w:r>
    </w:p>
    <w:p>
      <w:pPr>
        <w:pStyle w:val="Heading3"/>
      </w:pPr>
      <w:bookmarkStart w:id="1598" w:name="_Toc858"/>
      <w:r>
        <w:t>•پاسخ شیرازیان به پرسش کرمانیان / فلسفه / فارسی</w:t>
      </w:r>
      <w:bookmarkEnd w:id="1598"/>
    </w:p>
    <w:p>
      <w:pPr>
        <w:pStyle w:val="BookText"/>
      </w:pPr>
      <w:r>
        <w:rPr>
          <w:rFonts w:ascii="Times New Roman" w:hAnsi="Times New Roman" w:eastAsia="Times New Roman" w:cs="Times New Roman"/>
          <w:lang w:val="en-US" w:bidi="en-US"/>
          <w:color w:val="111111"/>
          <w:sz w:val="28"/>
          <w:szCs w:val="28"/>
          <w:rtl/>
        </w:rPr>
        <w:t xml:space="preserve">pāsox-e šīrāzīyān be porseš-e kermānīyān</w:t>
      </w:r>
    </w:p>
    <w:p>
      <w:pPr>
        <w:pStyle w:val="BookText"/>
      </w:pPr>
      <w:r>
        <w:rPr>
          <w:rFonts w:ascii="IRNazanin" w:hAnsi="IRNazanin" w:eastAsia="IRNazanin" w:cs="IRNazanin"/>
          <w:lang w:bidi="fa-IR"/>
          <w:color w:val="111111"/>
          <w:sz w:val="28"/>
          <w:szCs w:val="28"/>
          <w:rtl/>
        </w:rPr>
        <w:t xml:space="preserve">درباره ایمان، و از رهگذر فلسفی در آن گفتگو شده است.</w:t>
      </w:r>
    </w:p>
    <w:p>
      <w:pPr>
        <w:pStyle w:val="BookText"/>
      </w:pPr>
      <w:r>
        <w:rPr>
          <w:rFonts w:ascii="IRNazanin" w:hAnsi="IRNazanin" w:eastAsia="IRNazanin" w:cs="IRNazanin"/>
          <w:lang w:bidi="fa-IR"/>
          <w:color w:val="111111"/>
          <w:sz w:val="28"/>
          <w:szCs w:val="28"/>
          <w:rtl/>
        </w:rPr>
        <w:t xml:space="preserve">تهران؛ سپهسالار؛ شماره نسخه: ۲۹۱۹/۷</w:t>
      </w:r>
    </w:p>
    <w:p>
      <w:pPr>
        <w:pStyle w:val="BookText"/>
      </w:pPr>
      <w:r>
        <w:rPr>
          <w:rFonts w:ascii="IRNazanin" w:hAnsi="IRNazanin" w:eastAsia="IRNazanin" w:cs="IRNazanin"/>
          <w:lang w:bidi="fa-IR"/>
          <w:color w:val="111111"/>
          <w:sz w:val="28"/>
          <w:szCs w:val="28"/>
          <w:rtl/>
        </w:rPr>
        <w:t xml:space="preserve">آغاز: علماء اسلام و فضلاء انام چه فرمایند در این مناظره که درویشی سؤال کرد که ایمان موجود است یا معدوم</w:t>
      </w:r>
    </w:p>
    <w:p>
      <w:pPr>
        <w:pStyle w:val="BookText"/>
      </w:pPr>
      <w:r>
        <w:rPr>
          <w:rFonts w:ascii="IRNazanin" w:hAnsi="IRNazanin" w:eastAsia="IRNazanin" w:cs="IRNazanin"/>
          <w:lang w:bidi="fa-IR"/>
          <w:color w:val="111111"/>
          <w:sz w:val="28"/>
          <w:szCs w:val="28"/>
          <w:rtl/>
        </w:rPr>
        <w:t xml:space="preserve">خط: نسخ، بی کا، بی تا، از روی خط دوانی نوشته شده؛ کاغذ: سپاهانی نخودی، جلد: تیماج سرخ ضربی، مقوایی کناره مشکی، کگی (۲۰پ - ۲۱پ)، ۲۹ سطر، اندازه: 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۳-۲۸۰]</w:t>
      </w:r>
    </w:p>
    <w:p>
      <w:pPr>
        <w:pStyle w:val="Heading3"/>
      </w:pPr>
      <w:bookmarkStart w:id="1599" w:name="_Toc859"/>
      <w:r>
        <w:t>•پاسخ طوسی به پرسش شمس الاسلام / فلسفه / عربی</w:t>
      </w:r>
      <w:bookmarkEnd w:id="1599"/>
    </w:p>
    <w:p>
      <w:pPr>
        <w:pStyle w:val="BookText"/>
      </w:pPr>
      <w:r>
        <w:rPr>
          <w:rFonts w:ascii="Times New Roman" w:hAnsi="Times New Roman" w:eastAsia="Times New Roman" w:cs="Times New Roman"/>
          <w:lang w:val="en-US" w:bidi="en-US"/>
          <w:color w:val="111111"/>
          <w:sz w:val="28"/>
          <w:szCs w:val="28"/>
          <w:rtl/>
        </w:rPr>
        <w:t xml:space="preserve">pāsox-e tūsī be porseš-e šams-ol-eslām</w:t>
      </w:r>
    </w:p>
    <w:p>
      <w:pPr>
        <w:pStyle w:val="BookText"/>
      </w:pPr>
      <w:r>
        <w:rPr>
          <w:rFonts w:ascii="IRNazanin" w:hAnsi="IRNazanin" w:eastAsia="IRNazanin" w:cs="IRNazanin"/>
          <w:lang w:bidi="fa-IR"/>
          <w:color w:val="111111"/>
          <w:sz w:val="28"/>
          <w:szCs w:val="28"/>
          <w:rtl/>
        </w:rPr>
        <w:t xml:space="preserve">نصير الدین طوسی، محمد بن محمد، ۵۹۷-۶۷۲ قمری</w:t>
      </w:r>
    </w:p>
    <w:p>
      <w:pPr>
        <w:pStyle w:val="BookText"/>
      </w:pPr>
      <w:r>
        <w:rPr>
          <w:rFonts w:ascii="Times New Roman" w:hAnsi="Times New Roman" w:eastAsia="Times New Roman" w:cs="Times New Roman"/>
          <w:lang w:val="en-US" w:bidi="en-US"/>
          <w:color w:val="111111"/>
          <w:sz w:val="28"/>
          <w:szCs w:val="28"/>
          <w:rtl/>
        </w:rPr>
        <w:t xml:space="preserve">nasīr-od-dīn-e tūsī, mohammad ebn-e mohammad (1201-1274)</w:t>
      </w:r>
    </w:p>
    <w:p>
      <w:pPr>
        <w:pStyle w:val="BookText"/>
      </w:pPr>
      <w:r>
        <w:rPr>
          <w:rFonts w:ascii="IRNazanin" w:hAnsi="IRNazanin" w:eastAsia="IRNazanin" w:cs="IRNazanin"/>
          <w:lang w:bidi="fa-IR"/>
          <w:color w:val="111111"/>
          <w:sz w:val="28"/>
          <w:szCs w:val="28"/>
          <w:rtl/>
        </w:rPr>
        <w:t xml:space="preserve">چاپ: در سال ۱۳۳۵ خ در سه گفتار خواجه طوسی (۲۹۶ انتشارات دانشگاه) چاپ شده</w:t>
      </w:r>
    </w:p>
    <w:p>
      <w:pPr>
        <w:pStyle w:val="BookText"/>
      </w:pPr>
      <w:r>
        <w:rPr>
          <w:rFonts w:ascii="IRNazanin" w:hAnsi="IRNazanin" w:eastAsia="IRNazanin" w:cs="IRNazanin"/>
          <w:lang w:bidi="fa-IR"/>
          <w:color w:val="111111"/>
          <w:sz w:val="28"/>
          <w:szCs w:val="28"/>
          <w:rtl/>
        </w:rPr>
        <w:t xml:space="preserve">تهران؛ دانشگاه؛ شماره نسخه:</w:t>
      </w:r>
    </w:p>
    <w:p>
      <w:pPr>
        <w:pStyle w:val="BookText"/>
      </w:pPr>
      <w:r>
        <w:rPr>
          <w:rFonts w:ascii="IRNazanin" w:hAnsi="IRNazanin" w:eastAsia="IRNazanin" w:cs="IRNazanin"/>
          <w:lang w:bidi="fa-IR"/>
          <w:color w:val="111111"/>
          <w:sz w:val="28"/>
          <w:szCs w:val="28"/>
          <w:rtl/>
        </w:rPr>
        <w:t xml:space="preserve">۱۲۵۷/۳۱ کا: ساروی، بی تا، کاغذ: فرنگی، جلد: تیماج قهوه ای ضربی مقوایی ته آن گلی، ۳۹گ (۱۲۹ر - ۱۶۷ر)، ۲۶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۷-۲۶۷۵]</w:t>
      </w:r>
    </w:p>
    <w:p>
      <w:pPr>
        <w:pStyle w:val="Heading3"/>
      </w:pPr>
      <w:bookmarkStart w:id="1600" w:name="_Toc860"/>
      <w:r>
        <w:t>•پاسخ طوسی به پرسش کیشی / فلسفه / فارسی و عربی</w:t>
      </w:r>
      <w:bookmarkEnd w:id="1600"/>
    </w:p>
    <w:p>
      <w:pPr>
        <w:pStyle w:val="BookText"/>
      </w:pPr>
      <w:r>
        <w:rPr>
          <w:rFonts w:ascii="Times New Roman" w:hAnsi="Times New Roman" w:eastAsia="Times New Roman" w:cs="Times New Roman"/>
          <w:lang w:val="en-US" w:bidi="en-US"/>
          <w:color w:val="111111"/>
          <w:sz w:val="28"/>
          <w:szCs w:val="28"/>
          <w:rtl/>
        </w:rPr>
        <w:t xml:space="preserve">pāsox-e tūsī be porseš-e kīšī</w:t>
      </w:r>
    </w:p>
    <w:p>
      <w:pPr>
        <w:pStyle w:val="BookText"/>
      </w:pPr>
      <w:r>
        <w:rPr>
          <w:rFonts w:ascii="IRNazanin" w:hAnsi="IRNazanin" w:eastAsia="IRNazanin" w:cs="IRNazanin"/>
          <w:lang w:bidi="fa-IR"/>
          <w:color w:val="111111"/>
          <w:sz w:val="28"/>
          <w:szCs w:val="28"/>
          <w:rtl/>
        </w:rPr>
        <w:t xml:space="preserve">نصیر الدین طوسی، محمد بن محمد، ۵۹۷-۶۷۲ قمری</w:t>
      </w:r>
    </w:p>
    <w:p>
      <w:pPr>
        <w:pStyle w:val="BookText"/>
      </w:pPr>
      <w:r>
        <w:rPr>
          <w:rFonts w:ascii="Times New Roman" w:hAnsi="Times New Roman" w:eastAsia="Times New Roman" w:cs="Times New Roman"/>
          <w:lang w:val="en-US" w:bidi="en-US"/>
          <w:color w:val="111111"/>
          <w:sz w:val="28"/>
          <w:szCs w:val="28"/>
          <w:rtl/>
        </w:rPr>
        <w:t xml:space="preserve">nasīr-od-dīn-e tūsī, mohammad ebn-e mohammad (1201-1274)</w:t>
      </w:r>
    </w:p>
    <w:p>
      <w:pPr>
        <w:pStyle w:val="BookText"/>
      </w:pPr>
      <w:r>
        <w:rPr>
          <w:rFonts w:ascii="IRNazanin" w:hAnsi="IRNazanin" w:eastAsia="IRNazanin" w:cs="IRNazanin"/>
          <w:lang w:bidi="fa-IR"/>
          <w:color w:val="111111"/>
          <w:sz w:val="28"/>
          <w:szCs w:val="28"/>
          <w:rtl/>
        </w:rPr>
        <w:t xml:space="preserve">شمس الدین محمد کیشی از معاصران خواجه و خواجه نصیر مراسلاتی به فارسی دارد و این یکی از نامه های اوست که از اصفهان به خواجه نگاشته است. از مفاد دیباچه نامه کیشی بر می آید که مواصلات و مراسلات وی با خواجه با این نامه آغاز شده، زیرا که پیش از ذكر سؤال نخستین گوید «سه مسئله القاء میفتد تا ابتداء مواصلت از استفاده علمی عاطل نماند». کیشی پاسخ سه مسئله را که در این نامه مفصل نوشته از خواجه خواسته: 1. شيخ رئيس روح رمسه ... فرق میان موجبه معدوله و سالبه بسيطه بیان کرده .... ۲. شیخ به برهان ثابت کرده است که صور نوعی بسائط نزد امتزاج باقی اند، پس لازم آید که مواد ایشان همچنان که در حالت انفراد متحصل الوجود بوده اند به صورت نوعی در حالت امتزاج متقوم الوجود باشند ... ؛ 3. وجود خاص که حاصل است مر جوهر مفارق را که بدان وجود موجود است در عین خود همان است که خود بدان معقول است ... و این شک را بزيادت ملاحظه مخصوص نمایند. خواجه پس از نقل سؤالات کیشی یکایک آنها را پاسخ گفته است. آغاز: كتبه الاستاد ... شمس الملة و الدين .. الكيشی ... حين كان باسفهان إلى ... الطوسی ...... پرتو خورشید ضمیر منیر مخدوم ... که سبب اهتداء سالکان طریقت.. است ... بواسطه دریچهای حواس بر محبوسان چهار دیوار طبایع فایض باد ... سه مسئله القا میافتد تا ابتدا مواصلت از غایت ا نکه استفادت علمی است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70" w:name="pg20363_209529"/>
    <w:bookmarkEnd w:id="270"/>
    <w:p>
      <w:pPr>
        <w:pStyle w:val="BookText"/>
      </w:pPr>
      <w:r>
        <w:rPr>
          <w:rFonts w:ascii="IRNazanin" w:hAnsi="IRNazanin" w:eastAsia="IRNazanin" w:cs="IRNazanin"/>
          <w:lang w:bidi="fa-IR"/>
          <w:color w:val="111111"/>
          <w:sz w:val="28"/>
          <w:szCs w:val="28"/>
          <w:rtl/>
        </w:rPr>
        <w:t xml:space="preserve">عاطل نماند ...</w:t>
      </w:r>
    </w:p>
    <w:p>
      <w:pPr>
        <w:pStyle w:val="BookText"/>
      </w:pPr>
      <w:r>
        <w:rPr>
          <w:rFonts w:ascii="IRNazanin" w:hAnsi="IRNazanin" w:eastAsia="IRNazanin" w:cs="IRNazanin"/>
          <w:lang w:bidi="fa-IR"/>
          <w:color w:val="111111"/>
          <w:sz w:val="28"/>
          <w:szCs w:val="28"/>
          <w:rtl/>
        </w:rPr>
        <w:t xml:space="preserve">(آغاز پاسخ خواجه به سؤال کیشی:) تا ذكر مناقب و فضائل ذات شریف و نفس نفیس خداوند ملک الحكماء و العلماء سید الاكابر ... مفخر ایران ادام ميامن ایامه و حصل جوامع مرامه بمسامع دعاگوی مخلص او محمد الطوسی رسیده است مرید صادق بل محب و عاشق شده است ... سؤال اول فرموده است: که شيخ رئيس فرق میان موجبه معدوله و سالبه بسيطه آن کرده است</w:t>
      </w:r>
    </w:p>
    <w:p>
      <w:pPr>
        <w:pStyle w:val="BookText"/>
      </w:pPr>
      <w:r>
        <w:rPr>
          <w:rFonts w:ascii="IRNazanin" w:hAnsi="IRNazanin" w:eastAsia="IRNazanin" w:cs="IRNazanin"/>
          <w:lang w:bidi="fa-IR"/>
          <w:color w:val="111111"/>
          <w:sz w:val="28"/>
          <w:szCs w:val="28"/>
          <w:rtl/>
        </w:rPr>
        <w:t xml:space="preserve">انجام: (انجام نامه کیشی به خواجه:) از کمال فضل و تمام افضال مخدومی بدیع نباشد. توقع آن است که این تصدیع را تحمل فرماید و خادم داعی را از جمله مستفیدان شمرد و مجامع خاطر را ملازم حضرت عليا زاده الله علاء داند حق تعالی از همه مکاره حارس و در همه مطالب معین باد بمنه و سعة لطفه و جوده.</w:t>
      </w:r>
    </w:p>
    <w:p>
      <w:pPr>
        <w:pStyle w:val="BookText"/>
      </w:pPr>
      <w:r>
        <w:rPr>
          <w:rFonts w:ascii="IRNazanin" w:hAnsi="IRNazanin" w:eastAsia="IRNazanin" w:cs="IRNazanin"/>
          <w:lang w:bidi="fa-IR"/>
          <w:color w:val="111111"/>
          <w:sz w:val="28"/>
          <w:szCs w:val="28"/>
          <w:rtl/>
        </w:rPr>
        <w:t xml:space="preserve">( انجام پاسخ خواجه:) اینست آنچه برین سئوالها در خاطر آمد انشاالله که پسندیده باشد و اگر بمعاودت محتاج باشد توقع است که اعلام فرماید ... فيما بعد اگر خدای تعالی فراغتی کرامت کند آن خدمت بجای آورده شود ان شاء الله و هو ولي التوفيق و ملهم التحقيق. کامرانی و شادمانی و حصول امانی میسر باد با بقاء جاودانی و صلواته على سيدنا محمد و آله .. الطاهرين</w:t>
      </w:r>
    </w:p>
    <w:p>
      <w:pPr>
        <w:pStyle w:val="BookText"/>
      </w:pPr>
      <w:r>
        <w:rPr>
          <w:rFonts w:ascii="IRNazanin" w:hAnsi="IRNazanin" w:eastAsia="IRNazanin" w:cs="IRNazanin"/>
          <w:lang w:bidi="fa-IR"/>
          <w:color w:val="111111"/>
          <w:sz w:val="28"/>
          <w:szCs w:val="28"/>
          <w:rtl/>
        </w:rPr>
        <w:t xml:space="preserve">چاپ: در احوال و آثار خواجه مدرس رضوی؛ نیز در اجوبة المسائل النصيرية (تهران، پژهشگاه علوم انسانی: ۱۳۸۳)، به اهتمام عبدالله نورانی</w:t>
      </w:r>
    </w:p>
    <w:p>
      <w:pPr>
        <w:pStyle w:val="BookText"/>
      </w:pPr>
      <w:r>
        <w:rPr>
          <w:rFonts w:ascii="IRNazanin" w:hAnsi="IRNazanin" w:eastAsia="IRNazanin" w:cs="IRNazanin"/>
          <w:lang w:bidi="fa-IR"/>
          <w:color w:val="111111"/>
          <w:sz w:val="28"/>
          <w:szCs w:val="28"/>
          <w:rtl/>
        </w:rPr>
        <w:t xml:space="preserve">[دنا ۶۲۴/۲ (۸ نسخه)]</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١- نامه کیشی به خواجه؛ کیشی، شمس الدین محمد بن احمد (۶۱۵ -۶۹۵ )</w:t>
      </w:r>
    </w:p>
    <w:p>
      <w:pPr>
        <w:pStyle w:val="BookText"/>
      </w:pPr>
      <w:r>
        <w:rPr>
          <w:rFonts w:ascii="IRNazanin" w:hAnsi="IRNazanin" w:eastAsia="IRNazanin" w:cs="IRNazanin"/>
          <w:lang w:bidi="fa-IR"/>
          <w:color w:val="111111"/>
          <w:sz w:val="28"/>
          <w:szCs w:val="28"/>
          <w:rtl/>
        </w:rPr>
        <w:t xml:space="preserve">١. یزد: وزیری؛ شماره نسخه: ۲۳۷۷/۸</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تا: ۹۶۵ق؛ کاغذ: فرنگی، جلد: مقوایی رو کش کاغذ عنابی عطف تیماج قرمز، ۴گ (۱۰۴-۱۰۸)، اندازه:</w:t>
      </w:r>
    </w:p>
    <w:p>
      <w:pPr>
        <w:pStyle w:val="BookText"/>
      </w:pPr>
      <w:r>
        <w:rPr>
          <w:rFonts w:ascii="IRNazanin" w:hAnsi="IRNazanin" w:eastAsia="IRNazanin" w:cs="IRNazanin"/>
          <w:lang w:bidi="fa-IR"/>
          <w:color w:val="111111"/>
          <w:sz w:val="28"/>
          <w:szCs w:val="28"/>
          <w:rtl/>
        </w:rPr>
        <w:t xml:space="preserve">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[ف: ۴-۱۲۶۹]</w:t>
      </w:r>
    </w:p>
    <w:p>
      <w:pPr>
        <w:pStyle w:val="BookText"/>
      </w:pPr>
      <w:r>
        <w:rPr>
          <w:rFonts w:ascii="IRNazanin" w:hAnsi="IRNazanin" w:eastAsia="IRNazanin" w:cs="IRNazanin"/>
          <w:lang w:bidi="fa-IR"/>
          <w:color w:val="111111"/>
          <w:sz w:val="28"/>
          <w:szCs w:val="28"/>
          <w:rtl/>
        </w:rPr>
        <w:t xml:space="preserve">۲. تهران؛ ملک؛ شماره نسخه: ۴۶۸۱/۱۵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کا: محمد قاسم بن بهزاد، تا: قرن ۱۱ کاغذ: نوعی ترمه، جلد: میشن زرد سیر، ۲گ (۴۲ر -۴۳پ)، اندازه: ۲۵/۲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۱۶/۶ سم [ف: ۸-۲۵]</w:t>
      </w:r>
    </w:p>
    <w:p>
      <w:pPr>
        <w:pStyle w:val="BookText"/>
      </w:pPr>
      <w:r>
        <w:rPr>
          <w:rFonts w:ascii="IRNazanin" w:hAnsi="IRNazanin" w:eastAsia="IRNazanin" w:cs="IRNazanin"/>
          <w:lang w:bidi="fa-IR"/>
          <w:color w:val="111111"/>
          <w:sz w:val="28"/>
          <w:szCs w:val="28"/>
          <w:rtl/>
        </w:rPr>
        <w:t xml:space="preserve">٣. همدان؛ مدرسه غرب؛ شماره نسخه: ۱۱۸۷/۵۲</w:t>
      </w:r>
    </w:p>
    <w:p>
      <w:pPr>
        <w:pStyle w:val="BookText"/>
      </w:pPr>
      <w:r>
        <w:rPr>
          <w:rFonts w:ascii="IRNazanin" w:hAnsi="IRNazanin" w:eastAsia="IRNazanin" w:cs="IRNazanin"/>
          <w:lang w:bidi="fa-IR"/>
          <w:color w:val="111111"/>
          <w:sz w:val="28"/>
          <w:szCs w:val="28"/>
          <w:rtl/>
        </w:rPr>
        <w:t xml:space="preserve">خط: نسخ، بی کا، تا: قرن ۱۰ یا ۱۱؛ با سرلوحهای زرین؛ کاغذ: اصفهانی نازک، ۴گ (۲۳۴-۲۳۷)، ۲۴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[رشت و همدان: ف: ۱۴۷۶]</w:t>
      </w:r>
    </w:p>
    <w:p>
      <w:pPr>
        <w:pStyle w:val="BookText"/>
      </w:pPr>
      <w:r>
        <w:rPr>
          <w:rFonts w:ascii="IRNazanin" w:hAnsi="IRNazanin" w:eastAsia="IRNazanin" w:cs="IRNazanin"/>
          <w:lang w:bidi="fa-IR"/>
          <w:color w:val="111111"/>
          <w:sz w:val="28"/>
          <w:szCs w:val="28"/>
          <w:rtl/>
        </w:rPr>
        <w:t xml:space="preserve">۴. شیراز؛ محلاتی، صدرالدین؛ شماره نسخه: ۱۷/۱۸</w:t>
      </w:r>
    </w:p>
    <w:p>
      <w:pPr>
        <w:pStyle w:val="BookText"/>
      </w:pPr>
      <w:r>
        <w:rPr>
          <w:rFonts w:ascii="IRNazanin" w:hAnsi="IRNazanin" w:eastAsia="IRNazanin" w:cs="IRNazanin"/>
          <w:lang w:bidi="fa-IR"/>
          <w:color w:val="111111"/>
          <w:sz w:val="28"/>
          <w:szCs w:val="28"/>
          <w:rtl/>
        </w:rPr>
        <w:t xml:space="preserve">بی کا، تا: ۱۰۵۶ق، جا: اصفهان [نشریه: ۵-۲۷۳]</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مرعشی؛ شماره نسخه: ۲۸۶/۱۸</w:t>
      </w:r>
    </w:p>
    <w:p>
      <w:pPr>
        <w:pStyle w:val="BookText"/>
      </w:pPr>
      <w:r>
        <w:rPr>
          <w:rFonts w:ascii="IRNazanin" w:hAnsi="IRNazanin" w:eastAsia="IRNazanin" w:cs="IRNazanin"/>
          <w:lang w:bidi="fa-IR"/>
          <w:color w:val="111111"/>
          <w:sz w:val="28"/>
          <w:szCs w:val="28"/>
          <w:rtl/>
        </w:rPr>
        <w:t xml:space="preserve">آغاز: جواب له: تا ذكر مناقب و فضایل ذات شریف و نفس نفیس خدام ملك الحكماء و العلماء سيد الأكابر و الفضلاء قدوة المبرزين و المحققين كاشف أسرار المتقدمين و المتأخرين شمس الملة و الدين أفضل و مفخر ایران، أدام الله ميامن أيامه و حصل جوامع مرامه بمسامع، دعاگوی مخلص او محمد الطوسی رسیده است؛ انجام: برابر خط: نستعلیق، کا: شاه مراد بن نقد على فراهانی ورامینی، تا: ۱۰۷۲ق؛ کاغذ: شرقی نخودی، جلد: دورو تیماج، برون مشکی، درون زرشکی، ۳گ (۵۲پ -۵۴ر)، ۲۷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۲۷/۵سم</w:t>
      </w:r>
    </w:p>
    <w:p>
      <w:pPr>
        <w:pStyle w:val="BookText"/>
      </w:pPr>
      <w:r>
        <w:rPr>
          <w:rFonts w:ascii="IRNazanin" w:hAnsi="IRNazanin" w:eastAsia="IRNazanin" w:cs="IRNazanin"/>
          <w:lang w:bidi="fa-IR"/>
          <w:color w:val="111111"/>
          <w:sz w:val="28"/>
          <w:szCs w:val="28"/>
          <w:rtl/>
        </w:rPr>
        <w:t xml:space="preserve">[میراث شهاب: ۴۲-۱۲۲]</w:t>
      </w:r>
    </w:p>
    <w:p>
      <w:pPr>
        <w:pStyle w:val="BookText"/>
      </w:pPr>
      <w:r>
        <w:rPr>
          <w:rFonts w:ascii="IRNazanin" w:hAnsi="IRNazanin" w:eastAsia="IRNazanin" w:cs="IRNazanin"/>
          <w:lang w:bidi="fa-IR"/>
          <w:color w:val="111111"/>
          <w:sz w:val="28"/>
          <w:szCs w:val="28"/>
          <w:rtl/>
        </w:rPr>
        <w:t xml:space="preserve">6 . تهران، دانشگاه؛ شماره نسخه: ۱۰۳۵/۲۶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تعليق، كا: شهاب الدين على حسنی حسینی دیباجی، تا: با تاریخ ۱۰۹۹ق، جان کرمان؛ کاغذ: فرنگی، جلد: تیماج مشکی ضربی طلاکوب، ۴ص (۲۳۹- ۲۴۲)، سطور چلیپا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۱۱/۴ )،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۳-۱۸۹]</w:t>
      </w:r>
    </w:p>
    <w:p>
      <w:pPr>
        <w:pStyle w:val="BookText"/>
      </w:pPr>
      <w:r>
        <w:rPr>
          <w:rFonts w:ascii="IRNazanin" w:hAnsi="IRNazanin" w:eastAsia="IRNazanin" w:cs="IRNazanin"/>
          <w:lang w:bidi="fa-IR"/>
          <w:color w:val="111111"/>
          <w:sz w:val="28"/>
          <w:szCs w:val="28"/>
          <w:rtl/>
        </w:rPr>
        <w:t xml:space="preserve">۷. تهران؛ مجلس؛ شماره نسخه: ۱۸۳۰/۲۷</w:t>
      </w:r>
    </w:p>
    <w:p>
      <w:pPr>
        <w:pStyle w:val="BookText"/>
      </w:pPr>
      <w:r>
        <w:rPr>
          <w:rFonts w:ascii="IRNazanin" w:hAnsi="IRNazanin" w:eastAsia="IRNazanin" w:cs="IRNazanin"/>
          <w:lang w:bidi="fa-IR"/>
          <w:color w:val="111111"/>
          <w:sz w:val="28"/>
          <w:szCs w:val="28"/>
          <w:rtl/>
        </w:rPr>
        <w:t xml:space="preserve">آغاز: تا ذكر مناقب و فضائل ذات شریف و نفس نفیس خداوند ملک الحكماء و العلماء سید الاكابر ... مفخر ایران ادام میامن ایامه و حصل جوامع مرامه بمسامع دعاگوی مخلص او محمد الطوسی رسیده است مرید صادق بل محبت و عاشق شده است ... سؤال اول فرموده است: که شيخ رئيس فرق میان موجبه معدوله و سالبه بسيطه آن کرده است؛ انجام: برابر این نسخه فقط قسمت پاسخ خواجه طوسی است؛ كا: محمد میر حسین استرابادی، بی تا، متن سؤال های کیشی را که خواجه نقل کرده با آنچه ما در نامه کیشی می بینیم متفاوت است و نیز نسخه ما با نسخه ای که استاد مدرس رضوی هر سه سؤال را نقل کرده اند، به طوری که از ذیل سخنان ایشان پیداست مرجع ایشان در این باب یکی جنگی است حاوی رسائل متفرقه و این دو نامه متعلق به کتابخانه ملک (تهران) و دیگری مجموعه ای در کتابخانه مجلس جزء کتب مرحوم تنکابنی، نسخه حاضر نیز جزء مجموعه ای است از کتب تنکابنی بنابراین با ایشان سئوالات را از نسخه ملک نقل کرده اند یا در کتب تنکابنی نسخه متعدد است و نگارنده هنوز از آن اطلاع ندارد؛ ۷ص (۱۵۶-۱۶۲) [ف: ۹-۴۶۶]</w:t>
      </w:r>
    </w:p>
    <w:p>
      <w:pPr>
        <w:pStyle w:val="BookText"/>
      </w:pPr>
      <w:r>
        <w:rPr>
          <w:rFonts w:ascii="IRNazanin" w:hAnsi="IRNazanin" w:eastAsia="IRNazanin" w:cs="IRNazanin"/>
          <w:lang w:bidi="fa-IR"/>
          <w:color w:val="111111"/>
          <w:sz w:val="28"/>
          <w:szCs w:val="28"/>
          <w:rtl/>
        </w:rPr>
        <w:t xml:space="preserve">۸. تهران؛ مهدوی؛ شماره نسخه: ۳۶۴/۲۶</w:t>
      </w:r>
    </w:p>
    <w:p>
      <w:pPr>
        <w:pStyle w:val="BookText"/>
      </w:pPr>
      <w:r>
        <w:rPr>
          <w:rFonts w:ascii="IRNazanin" w:hAnsi="IRNazanin" w:eastAsia="IRNazanin" w:cs="IRNazanin"/>
          <w:lang w:bidi="fa-IR"/>
          <w:color w:val="111111"/>
          <w:sz w:val="28"/>
          <w:szCs w:val="28"/>
          <w:rtl/>
        </w:rPr>
        <w:t xml:space="preserve">كان على بن احمد رشتی، بی تا، جان یزد؛ کاغذ: فرنگی، جلد: تیماج تریاکی ضربی مقوایی، ۱۹ سطر، قطع: جيبي [نشريه: ۲-۱۷۹]</w:t>
      </w:r>
    </w:p>
    <w:p>
      <w:pPr>
        <w:pStyle w:val="BookText"/>
      </w:pPr>
      <w:r>
        <w:rPr>
          <w:rFonts w:ascii="IRNazanin" w:hAnsi="IRNazanin" w:eastAsia="IRNazanin" w:cs="IRNazanin"/>
          <w:lang w:bidi="fa-IR"/>
          <w:color w:val="111111"/>
          <w:sz w:val="28"/>
          <w:szCs w:val="28"/>
          <w:rtl/>
        </w:rPr>
        <w:t xml:space="preserve">← پاسخ طوسی در باره تنفس ← الاسئلة والأجوبة (امین الدوله)</w:t>
      </w:r>
    </w:p>
    <w:p>
      <w:pPr>
        <w:pStyle w:val="Heading3"/>
      </w:pPr>
      <w:bookmarkStart w:id="1601" w:name="_Toc861"/>
      <w:r>
        <w:t>• پاسخ طوسی درباره سخن حنین و ابن سینا درباره نضج و بول / طب / عربی</w:t>
      </w:r>
      <w:bookmarkEnd w:id="1601"/>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71" w:name="pg20363_209530"/>
    <w:bookmarkEnd w:id="271"/>
    <w:p>
      <w:pPr>
        <w:pStyle w:val="BookText"/>
      </w:pPr>
      <w:r>
        <w:rPr>
          <w:rFonts w:ascii="Times New Roman" w:hAnsi="Times New Roman" w:eastAsia="Times New Roman" w:cs="Times New Roman"/>
          <w:lang w:val="en-US" w:bidi="en-US"/>
          <w:color w:val="111111"/>
          <w:sz w:val="28"/>
          <w:szCs w:val="28"/>
          <w:rtl/>
        </w:rPr>
        <w:t xml:space="preserve">pāsox-e tūsī darbāre-ye soxan-e honayn va ebn-e sīnā darbāre-ye nazj va bowl</w:t>
      </w:r>
    </w:p>
    <w:p>
      <w:pPr>
        <w:pStyle w:val="BookText"/>
      </w:pPr>
      <w:r>
        <w:rPr>
          <w:rFonts w:ascii="IRNazanin" w:hAnsi="IRNazanin" w:eastAsia="IRNazanin" w:cs="IRNazanin"/>
          <w:lang w:bidi="fa-IR"/>
          <w:color w:val="111111"/>
          <w:sz w:val="28"/>
          <w:szCs w:val="28"/>
          <w:rtl/>
        </w:rPr>
        <w:t xml:space="preserve">نصیرالدین طوسی، محمد بن محمد، ۵۹۷-۶۷۲ قمری</w:t>
      </w:r>
    </w:p>
    <w:p>
      <w:pPr>
        <w:pStyle w:val="BookText"/>
      </w:pPr>
      <w:r>
        <w:rPr>
          <w:rFonts w:ascii="Times New Roman" w:hAnsi="Times New Roman" w:eastAsia="Times New Roman" w:cs="Times New Roman"/>
          <w:lang w:val="en-US" w:bidi="en-US"/>
          <w:color w:val="111111"/>
          <w:sz w:val="28"/>
          <w:szCs w:val="28"/>
          <w:rtl/>
        </w:rPr>
        <w:t xml:space="preserve">nasīr-od-dīn-e tūsī, mohammad ebn-e mohammad (1201-1274)</w:t>
      </w:r>
    </w:p>
    <w:p>
      <w:pPr>
        <w:pStyle w:val="BookText"/>
      </w:pPr>
      <w:r>
        <w:rPr>
          <w:rFonts w:ascii="IRNazanin" w:hAnsi="IRNazanin" w:eastAsia="IRNazanin" w:cs="IRNazanin"/>
          <w:lang w:bidi="fa-IR"/>
          <w:color w:val="111111"/>
          <w:sz w:val="28"/>
          <w:szCs w:val="28"/>
          <w:rtl/>
        </w:rPr>
        <w:t xml:space="preserve">پرسیده اند که چرا شیخ رئیس در قانون درباره بول سخنی گفت که با گفتار حنین در کتاب المسائل نمی سازد و گویا خواجه طوسی است که بدان پاسخ گفته است.</w:t>
      </w:r>
    </w:p>
    <w:p>
      <w:pPr>
        <w:pStyle w:val="BookText"/>
      </w:pPr>
      <w:r>
        <w:rPr>
          <w:rFonts w:ascii="IRNazanin" w:hAnsi="IRNazanin" w:eastAsia="IRNazanin" w:cs="IRNazanin"/>
          <w:lang w:bidi="fa-IR"/>
          <w:color w:val="111111"/>
          <w:sz w:val="28"/>
          <w:szCs w:val="28"/>
          <w:rtl/>
        </w:rPr>
        <w:t xml:space="preserve">آغاز: قال حنين في المسائل «ان النضج يفعل في صبغ البول او الاثم في قوامه» و قال الشيخ الرئيس في الفصل الثالث من التعليم الثالث في قام البول « ... يعلم أن صبغا ليس عن نضج» ... كيف يرى الراي العالي في دفع هذا الاشكال ... و لرأيه مزيد السمو ... الجواب اقول كل واحد من الصبغ و القوام قد يكونان طبیعين.</w:t>
      </w:r>
    </w:p>
    <w:p>
      <w:pPr>
        <w:pStyle w:val="BookText"/>
      </w:pPr>
      <w:r>
        <w:rPr>
          <w:rFonts w:ascii="IRNazanin" w:hAnsi="IRNazanin" w:eastAsia="IRNazanin" w:cs="IRNazanin"/>
          <w:lang w:bidi="fa-IR"/>
          <w:color w:val="111111"/>
          <w:sz w:val="28"/>
          <w:szCs w:val="28"/>
          <w:rtl/>
        </w:rPr>
        <w:t xml:space="preserve">انجام: و ليس بين الكلامین تناقض فهذا ما عندي فيه. و الله اعلم چاپ: در ضمن اجوبة المسائل النصيرية، به اهتمام عبدالله نورانی، ۱۳۸۳ش، چاپ شده است.</w:t>
      </w:r>
    </w:p>
    <w:p>
      <w:pPr>
        <w:pStyle w:val="BookText"/>
      </w:pPr>
      <w:r>
        <w:rPr>
          <w:rFonts w:ascii="IRNazanin" w:hAnsi="IRNazanin" w:eastAsia="IRNazanin" w:cs="IRNazanin"/>
          <w:lang w:bidi="fa-IR"/>
          <w:color w:val="111111"/>
          <w:sz w:val="28"/>
          <w:szCs w:val="28"/>
          <w:rtl/>
        </w:rPr>
        <w:t xml:space="preserve">[دنا ۶۲۵/۲ ]</w:t>
      </w:r>
    </w:p>
    <w:p>
      <w:pPr>
        <w:pStyle w:val="BookText"/>
      </w:pPr>
      <w:r>
        <w:rPr>
          <w:rFonts w:ascii="IRNazanin" w:hAnsi="IRNazanin" w:eastAsia="IRNazanin" w:cs="IRNazanin"/>
          <w:lang w:bidi="fa-IR"/>
          <w:color w:val="111111"/>
          <w:sz w:val="28"/>
          <w:szCs w:val="28"/>
          <w:rtl/>
        </w:rPr>
        <w:t xml:space="preserve">تهران دانشگاه؛ شماره نسخه: ۱۰۷۹/۸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طوسی در اینجا مانند گفتار دیگر خود (ش ۱۰۷۹/۱۲ ) درباره علت ها و معلولها به روش ریاضی گفتگو نمود. پیش از این در همین دفتر (۱۰۷۹) پاسخی است از طوسی درباره گفتار شیخ (۱۰۷۹/۷ ) و همه اینها می رساند که پاسخ دهنده باید همو باشد به ویژه آنکه شماره های ۱ تا ۴ همین دفتر هم سخنان خواجه می باشد. گویا اینها همان گفتگوهای دبیران و طوسی است که شیرازی از آنها بهره برده و در دیباچه شرح کلیات یاد نمود. خط: نستعلیق، بی کا، بی تا؛ ۲ص (۲۰-۲۱) [ف: ۴-۷۲۵]</w:t>
      </w:r>
    </w:p>
    <w:p>
      <w:pPr>
        <w:pStyle w:val="Heading3"/>
      </w:pPr>
      <w:bookmarkStart w:id="1602" w:name="_Toc862"/>
      <w:r>
        <w:t>• پاسخ طوسی درباره مزاج اندامها / طب / عربی</w:t>
      </w:r>
      <w:bookmarkEnd w:id="1602"/>
    </w:p>
    <w:p>
      <w:pPr>
        <w:pStyle w:val="BookText"/>
      </w:pPr>
      <w:r>
        <w:rPr>
          <w:rFonts w:ascii="Times New Roman" w:hAnsi="Times New Roman" w:eastAsia="Times New Roman" w:cs="Times New Roman"/>
          <w:lang w:val="en-US" w:bidi="en-US"/>
          <w:color w:val="111111"/>
          <w:sz w:val="28"/>
          <w:szCs w:val="28"/>
          <w:rtl/>
        </w:rPr>
        <w:t xml:space="preserve">pāsox-e tūsī darbāre-ye mezāj-e andām-hā</w:t>
      </w:r>
    </w:p>
    <w:p>
      <w:pPr>
        <w:pStyle w:val="BookText"/>
      </w:pPr>
      <w:r>
        <w:rPr>
          <w:rFonts w:ascii="IRNazanin" w:hAnsi="IRNazanin" w:eastAsia="IRNazanin" w:cs="IRNazanin"/>
          <w:lang w:bidi="fa-IR"/>
          <w:color w:val="111111"/>
          <w:sz w:val="28"/>
          <w:szCs w:val="28"/>
          <w:rtl/>
        </w:rPr>
        <w:t xml:space="preserve">نصیر الدین طوسی، محمد بن محمد، ۵۹۷-۶۷۲ قمری</w:t>
      </w:r>
    </w:p>
    <w:p>
      <w:pPr>
        <w:pStyle w:val="BookText"/>
      </w:pPr>
      <w:r>
        <w:rPr>
          <w:rFonts w:ascii="Times New Roman" w:hAnsi="Times New Roman" w:eastAsia="Times New Roman" w:cs="Times New Roman"/>
          <w:lang w:val="en-US" w:bidi="en-US"/>
          <w:color w:val="111111"/>
          <w:sz w:val="28"/>
          <w:szCs w:val="28"/>
          <w:rtl/>
        </w:rPr>
        <w:t xml:space="preserve">nasīr-od-dīn-e tūsī, mohammad ebn-e mohammad (1201-1274)</w:t>
      </w:r>
    </w:p>
    <w:p>
      <w:pPr>
        <w:pStyle w:val="BookText"/>
      </w:pPr>
      <w:r>
        <w:rPr>
          <w:rFonts w:ascii="IRNazanin" w:hAnsi="IRNazanin" w:eastAsia="IRNazanin" w:cs="IRNazanin"/>
          <w:lang w:bidi="fa-IR"/>
          <w:color w:val="111111"/>
          <w:sz w:val="28"/>
          <w:szCs w:val="28"/>
          <w:rtl/>
        </w:rPr>
        <w:t xml:space="preserve">شيخ رئیس در فصل ۲ تعلیم ۳ در مزاج اندام ها از قانون چهار دلیل برای خشکتری بودن مو از استخوان آورد و دانشمندی (گویا دبیران کاتبی) این را از خواجه می پرسد و او پاسخ می دهد و می خواهد که او بدان بنگرد و اندیشه خویش را بر گوید. آغاز: سئوال بعض الأفاضل من ... الطوسی ... استدل الشيخ الرئيس ... في الفصل الثاني من التعليم الثالث في امزجة الاعضاء ... أن ينعم بيان هذه الشبه ... پاسخ طوسی: وقف الداعی و المخلص على هذا السئوال و اجاب عنه.. أما في الاستدلال فمعلوم أن الدم السودائی انجام: فهذا ما حضرني فيه و لينعم النظر في ذلك و يخبر بما يخطر بباله على ذلك انشاالله و هو ولي التوفيق. چاپ: ضمن اجوبة المسائل النصيرية، عبدالله نورانی، ۱۳۸۳ش</w:t>
      </w:r>
    </w:p>
    <w:p>
      <w:pPr>
        <w:pStyle w:val="BookText"/>
      </w:pPr>
      <w:r>
        <w:rPr>
          <w:rFonts w:ascii="IRNazanin" w:hAnsi="IRNazanin" w:eastAsia="IRNazanin" w:cs="IRNazanin"/>
          <w:lang w:bidi="fa-IR"/>
          <w:color w:val="111111"/>
          <w:sz w:val="28"/>
          <w:szCs w:val="28"/>
          <w:rtl/>
        </w:rPr>
        <w:t xml:space="preserve">[ دنا ۶۲۵/۲ ]</w:t>
      </w:r>
    </w:p>
    <w:p>
      <w:pPr>
        <w:pStyle w:val="BookText"/>
      </w:pPr>
      <w:r>
        <w:rPr>
          <w:rFonts w:ascii="IRNazanin" w:hAnsi="IRNazanin" w:eastAsia="IRNazanin" w:cs="IRNazanin"/>
          <w:lang w:bidi="fa-IR"/>
          <w:color w:val="111111"/>
          <w:sz w:val="28"/>
          <w:szCs w:val="28"/>
          <w:rtl/>
        </w:rPr>
        <w:t xml:space="preserve">تهران؛ دانشگاه؛ شماره نسخه: ۱۰۷۹/۲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تعليق، بی کا، بی تابه در دنبال آن گفتاری است درباره «نشف» که در سخن شیخ در اینجا آمده و آنهم پرسش و پاسخ گونه</w:t>
      </w:r>
    </w:p>
    <w:p>
      <w:pPr>
        <w:pStyle w:val="BookText"/>
      </w:pPr>
      <w:r>
        <w:rPr>
          <w:rFonts w:ascii="IRNazanin" w:hAnsi="IRNazanin" w:eastAsia="IRNazanin" w:cs="IRNazanin"/>
          <w:lang w:bidi="fa-IR"/>
          <w:color w:val="111111"/>
          <w:sz w:val="28"/>
          <w:szCs w:val="28"/>
          <w:rtl/>
        </w:rPr>
        <w:t xml:space="preserve">است و نیز درباره «مخ» ص ۶؛ ۳ ص (۴-۶) [ف: ۳-۱۸۵)</w:t>
      </w:r>
    </w:p>
    <w:p>
      <w:pPr>
        <w:pStyle w:val="Heading3"/>
      </w:pPr>
      <w:bookmarkStart w:id="1603" w:name="_Toc863"/>
      <w:r>
        <w:t>• پاسخ عاملی به پرسش طوسی از خسروشاهی / فلسفه / عربی</w:t>
      </w:r>
      <w:bookmarkEnd w:id="1603"/>
    </w:p>
    <w:p>
      <w:pPr>
        <w:pStyle w:val="BookText"/>
      </w:pPr>
      <w:r>
        <w:rPr>
          <w:rFonts w:ascii="Times New Roman" w:hAnsi="Times New Roman" w:eastAsia="Times New Roman" w:cs="Times New Roman"/>
          <w:lang w:val="en-US" w:bidi="en-US"/>
          <w:color w:val="111111"/>
          <w:sz w:val="28"/>
          <w:szCs w:val="28"/>
          <w:rtl/>
        </w:rPr>
        <w:t xml:space="preserve">pāsox-e ‘āmelī be porseš-e tūsī az Xosrošāhī</w:t>
      </w:r>
    </w:p>
    <w:p>
      <w:pPr>
        <w:pStyle w:val="BookText"/>
      </w:pPr>
      <w:r>
        <w:rPr>
          <w:rFonts w:ascii="IRNazanin" w:hAnsi="IRNazanin" w:eastAsia="IRNazanin" w:cs="IRNazanin"/>
          <w:lang w:bidi="fa-IR"/>
          <w:color w:val="111111"/>
          <w:sz w:val="28"/>
          <w:szCs w:val="28"/>
          <w:rtl/>
        </w:rPr>
        <w:t xml:space="preserve">علوی عاملی، احمد بن زین العابدین، -۱۰۵۴ قمری</w:t>
      </w:r>
    </w:p>
    <w:p>
      <w:pPr>
        <w:pStyle w:val="BookText"/>
      </w:pPr>
      <w:r>
        <w:rPr>
          <w:rFonts w:ascii="Times New Roman" w:hAnsi="Times New Roman" w:eastAsia="Times New Roman" w:cs="Times New Roman"/>
          <w:lang w:val="en-US" w:bidi="en-US"/>
          <w:color w:val="111111"/>
          <w:sz w:val="28"/>
          <w:szCs w:val="28"/>
          <w:rtl/>
        </w:rPr>
        <w:t xml:space="preserve">‘alavī āmelī, ahmad ebn-e zayn-ol-‘ābedīn (- 1645)</w:t>
      </w:r>
    </w:p>
    <w:p>
      <w:pPr>
        <w:pStyle w:val="BookText"/>
      </w:pPr>
      <w:r>
        <w:rPr>
          <w:rFonts w:ascii="IRNazanin" w:hAnsi="IRNazanin" w:eastAsia="IRNazanin" w:cs="IRNazanin"/>
          <w:lang w:bidi="fa-IR"/>
          <w:color w:val="111111"/>
          <w:sz w:val="28"/>
          <w:szCs w:val="28"/>
          <w:rtl/>
        </w:rPr>
        <w:t xml:space="preserve">مؤلف شاگرد و شوهر دختر میرداماد است که به دستور محمد صالح کرامی به سه پرسشی که خواجه طوسی از خسروشاهی کرده بود پاسخ گفت و در آن از شرح اشارت طوسی (نمط ۵ فصل زمان) و مقاله ۲ الهی شفا (بحث عقل و نفس) و تعليقات ابن سینا و تعلیقات خود بر جواهر و اعراض تجرید یاد نموده است.</w:t>
      </w:r>
    </w:p>
    <w:p>
      <w:pPr>
        <w:pStyle w:val="BookText"/>
      </w:pPr>
      <w:r>
        <w:rPr>
          <w:rFonts w:ascii="IRNazanin" w:hAnsi="IRNazanin" w:eastAsia="IRNazanin" w:cs="IRNazanin"/>
          <w:lang w:bidi="fa-IR"/>
          <w:color w:val="111111"/>
          <w:sz w:val="28"/>
          <w:szCs w:val="28"/>
          <w:rtl/>
        </w:rPr>
        <w:t xml:space="preserve">[دنا ۶۲۵/۲ ]</w:t>
      </w:r>
    </w:p>
    <w:p>
      <w:pPr>
        <w:pStyle w:val="BookText"/>
      </w:pPr>
      <w:r>
        <w:rPr>
          <w:rFonts w:ascii="IRNazanin" w:hAnsi="IRNazanin" w:eastAsia="IRNazanin" w:cs="IRNazanin"/>
          <w:lang w:bidi="fa-IR"/>
          <w:color w:val="111111"/>
          <w:sz w:val="28"/>
          <w:szCs w:val="28"/>
          <w:rtl/>
        </w:rPr>
        <w:t xml:space="preserve">تهران؛ دانشگاه؛ شماره نسخه: ۱۰۷۹/۲۹</w:t>
      </w:r>
    </w:p>
    <w:p>
      <w:pPr>
        <w:pStyle w:val="BookText"/>
      </w:pPr>
      <w:r>
        <w:rPr>
          <w:rFonts w:ascii="IRNazanin" w:hAnsi="IRNazanin" w:eastAsia="IRNazanin" w:cs="IRNazanin"/>
          <w:lang w:bidi="fa-IR"/>
          <w:color w:val="111111"/>
          <w:sz w:val="28"/>
          <w:szCs w:val="28"/>
          <w:rtl/>
        </w:rPr>
        <w:t xml:space="preserve">آغاز: بسمله الحمدلله على الائه ... فيقول ... احمد بن زین العابدین (بریده شده) انه لما صدر عن منبع زلال الافاضل ... مولانا محمد الصالح الكرامی.. مخلصه الداعي يتصدى للجواب عن الأسئلة التي ارسلها نصير ... (بریده شده) إلى ... شمس الدین[ ابو]محمد الخسروشاهی.. الأولى لما امتنع وجود حركة من غير أن يكون على حد معين من السرعة و البطوء؛ انجام: فان الفاعل الواحد قد يفعل بسبب اختلاف امور عقلیه او عدميه افعالا كثيرة. خط: تعليق، بی کا، بی تا، (ص ۱۷۸-۱۸۱). [ف: ۳-۱۸۹]</w:t>
      </w:r>
    </w:p>
    <w:p>
      <w:pPr>
        <w:pStyle w:val="Heading3"/>
      </w:pPr>
      <w:bookmarkStart w:id="1604" w:name="_Toc864"/>
      <w:r>
        <w:t>•پاسخ عبد المومن خان به شاه عباس / اسناد / فارسی</w:t>
      </w:r>
      <w:bookmarkEnd w:id="1604"/>
    </w:p>
    <w:p>
      <w:pPr>
        <w:pStyle w:val="BookText"/>
      </w:pPr>
      <w:r>
        <w:rPr>
          <w:rFonts w:ascii="Times New Roman" w:hAnsi="Times New Roman" w:eastAsia="Times New Roman" w:cs="Times New Roman"/>
          <w:lang w:val="en-US" w:bidi="en-US"/>
          <w:color w:val="111111"/>
          <w:sz w:val="28"/>
          <w:szCs w:val="28"/>
          <w:rtl/>
        </w:rPr>
        <w:t xml:space="preserve">pāsox-e 'abd-ol-mo'men xān be šāh 'abbās</w:t>
      </w:r>
    </w:p>
    <w:p>
      <w:pPr>
        <w:pStyle w:val="BookText"/>
      </w:pPr>
      <w:r>
        <w:rPr>
          <w:rFonts w:ascii="IRNazanin" w:hAnsi="IRNazanin" w:eastAsia="IRNazanin" w:cs="IRNazanin"/>
          <w:lang w:bidi="fa-IR"/>
          <w:color w:val="111111"/>
          <w:sz w:val="28"/>
          <w:szCs w:val="28"/>
          <w:rtl/>
        </w:rPr>
        <w:t xml:space="preserve">تهران؛ ملک؛ شماره نسخه: ۹۷۵/۱۵</w:t>
      </w:r>
    </w:p>
    <w:p>
      <w:pPr>
        <w:pStyle w:val="BookText"/>
      </w:pPr>
      <w:r>
        <w:rPr>
          <w:rFonts w:ascii="IRNazanin" w:hAnsi="IRNazanin" w:eastAsia="IRNazanin" w:cs="IRNazanin"/>
          <w:lang w:bidi="fa-IR"/>
          <w:color w:val="111111"/>
          <w:sz w:val="28"/>
          <w:szCs w:val="28"/>
          <w:rtl/>
        </w:rPr>
        <w:t xml:space="preserve">آغاز: نامه محبت فزون و مراسله مودت نمون که مبنی بر اصلاح جانبين خط: نستعلیق، بی کا، تا: قرن ۱۱؛ کاغذ: ترمه، رویه میشن قهوه ای یک لا، ۲گ (۵۴ر -۵۵پ)، ۲۲ سطر، اندازه: ۲۴/۴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[ف: ۷-۹۴]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72" w:name="pg20363_209531"/>
    <w:bookmarkEnd w:id="272"/>
    <w:p>
      <w:pPr>
        <w:pStyle w:val="Heading3"/>
      </w:pPr>
      <w:bookmarkStart w:id="1605" w:name="_Toc865"/>
      <w:r>
        <w:t>•پاسخ عبد المؤمن خان به شاه عباس / اسناد / فارسی</w:t>
      </w:r>
      <w:bookmarkEnd w:id="1605"/>
    </w:p>
    <w:p>
      <w:pPr>
        <w:pStyle w:val="BookText"/>
      </w:pPr>
      <w:r>
        <w:rPr>
          <w:rFonts w:ascii="Times New Roman" w:hAnsi="Times New Roman" w:eastAsia="Times New Roman" w:cs="Times New Roman"/>
          <w:lang w:val="en-US" w:bidi="en-US"/>
          <w:color w:val="111111"/>
          <w:sz w:val="28"/>
          <w:szCs w:val="28"/>
          <w:rtl/>
        </w:rPr>
        <w:t xml:space="preserve">pāsox-e 'abd-ol-mo’men xān be šāh 'abbās</w:t>
      </w:r>
    </w:p>
    <w:p>
      <w:pPr>
        <w:pStyle w:val="BookText"/>
      </w:pPr>
      <w:r>
        <w:rPr>
          <w:rFonts w:ascii="IRNazanin" w:hAnsi="IRNazanin" w:eastAsia="IRNazanin" w:cs="IRNazanin"/>
          <w:lang w:bidi="fa-IR"/>
          <w:color w:val="111111"/>
          <w:sz w:val="28"/>
          <w:szCs w:val="28"/>
          <w:rtl/>
        </w:rPr>
        <w:t xml:space="preserve">تهران؛ ملک؛ شماره نسخه: ۹۷۵/۱۶</w:t>
      </w:r>
    </w:p>
    <w:p>
      <w:pPr>
        <w:pStyle w:val="BookText"/>
      </w:pPr>
      <w:r>
        <w:rPr>
          <w:rFonts w:ascii="IRNazanin" w:hAnsi="IRNazanin" w:eastAsia="IRNazanin" w:cs="IRNazanin"/>
          <w:lang w:bidi="fa-IR"/>
          <w:color w:val="111111"/>
          <w:sz w:val="28"/>
          <w:szCs w:val="28"/>
          <w:rtl/>
        </w:rPr>
        <w:t xml:space="preserve">آغاز: عالیجناب، سلطنت پناه</w:t>
      </w:r>
    </w:p>
    <w:p>
      <w:pPr>
        <w:pStyle w:val="BookText"/>
      </w:pPr>
      <w:r>
        <w:rPr>
          <w:rFonts w:ascii="IRNazanin" w:hAnsi="IRNazanin" w:eastAsia="IRNazanin" w:cs="IRNazanin"/>
          <w:lang w:bidi="fa-IR"/>
          <w:color w:val="111111"/>
          <w:sz w:val="28"/>
          <w:szCs w:val="28"/>
          <w:rtl/>
        </w:rPr>
        <w:t xml:space="preserve">همراه امامقلی بیک؛ خط: نستعلیق، بی کا، تا: قرن ۱۱؛ کاغذ: ترمه، رویه میشن قهوه ای یک لا، ۲گ (۵۵-۵۶ر)، ۲۲ سطر، اندازه: ۲۴/۴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۷-۹۴]</w:t>
      </w:r>
    </w:p>
    <w:p>
      <w:pPr>
        <w:pStyle w:val="Heading3"/>
      </w:pPr>
      <w:bookmarkStart w:id="1606" w:name="_Toc866"/>
      <w:r>
        <w:t>•پاسخ عبیدالله خان به شاه طهماسب / اسناد / فارسی</w:t>
      </w:r>
      <w:bookmarkEnd w:id="1606"/>
    </w:p>
    <w:p>
      <w:pPr>
        <w:pStyle w:val="BookText"/>
      </w:pPr>
      <w:r>
        <w:rPr>
          <w:rFonts w:ascii="Times New Roman" w:hAnsi="Times New Roman" w:eastAsia="Times New Roman" w:cs="Times New Roman"/>
          <w:lang w:val="en-US" w:bidi="en-US"/>
          <w:color w:val="111111"/>
          <w:sz w:val="28"/>
          <w:szCs w:val="28"/>
          <w:rtl/>
        </w:rPr>
        <w:t xml:space="preserve">pāsox-e ‘obeyd-ol-lāh xān be šāh tahmāsb</w:t>
      </w:r>
    </w:p>
    <w:p>
      <w:pPr>
        <w:pStyle w:val="BookText"/>
      </w:pPr>
      <w:r>
        <w:rPr>
          <w:rFonts w:ascii="IRNazanin" w:hAnsi="IRNazanin" w:eastAsia="IRNazanin" w:cs="IRNazanin"/>
          <w:lang w:bidi="fa-IR"/>
          <w:color w:val="111111"/>
          <w:sz w:val="28"/>
          <w:szCs w:val="28"/>
          <w:rtl/>
        </w:rPr>
        <w:t xml:space="preserve">تهران؛ ملک؛ شماره نسخه: ۹۷۵/۱۲</w:t>
      </w:r>
    </w:p>
    <w:p>
      <w:pPr>
        <w:pStyle w:val="BookText"/>
      </w:pPr>
      <w:r>
        <w:rPr>
          <w:rFonts w:ascii="IRNazanin" w:hAnsi="IRNazanin" w:eastAsia="IRNazanin" w:cs="IRNazanin"/>
          <w:lang w:bidi="fa-IR"/>
          <w:color w:val="111111"/>
          <w:sz w:val="28"/>
          <w:szCs w:val="28"/>
          <w:rtl/>
        </w:rPr>
        <w:t xml:space="preserve">آغاز: نامه نامی و صحیفه گرامی که از جانب سلطنت و نصفت خط: نستعلیق، بی کا، تا: قرن ۱۱ کاغذ: ترمه، رویه میشن قهوه ای یک لا، ۱۰گ (۴۱-۵۰ر)، ۲۲ سطر، اندازه:</w:t>
      </w:r>
    </w:p>
    <w:p>
      <w:pPr>
        <w:pStyle w:val="BookText"/>
      </w:pPr>
      <w:r>
        <w:rPr>
          <w:rFonts w:ascii="IRNazanin" w:hAnsi="IRNazanin" w:eastAsia="IRNazanin" w:cs="IRNazanin"/>
          <w:lang w:bidi="fa-IR"/>
          <w:color w:val="111111"/>
          <w:sz w:val="28"/>
          <w:szCs w:val="28"/>
          <w:rtl/>
        </w:rPr>
        <w:t xml:space="preserve">۲۴/۴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[ف: ۹۴-۷]</w:t>
      </w:r>
    </w:p>
    <w:p>
      <w:pPr>
        <w:pStyle w:val="Heading3"/>
      </w:pPr>
      <w:bookmarkStart w:id="1607" w:name="_Toc867"/>
      <w:r>
        <w:t>•پاسخ عزل نامه / نامه نگاری / فارسی</w:t>
      </w:r>
      <w:bookmarkEnd w:id="1607"/>
    </w:p>
    <w:p>
      <w:pPr>
        <w:pStyle w:val="BookText"/>
      </w:pPr>
      <w:r>
        <w:rPr>
          <w:rFonts w:ascii="Times New Roman" w:hAnsi="Times New Roman" w:eastAsia="Times New Roman" w:cs="Times New Roman"/>
          <w:lang w:val="en-US" w:bidi="en-US"/>
          <w:color w:val="111111"/>
          <w:sz w:val="28"/>
          <w:szCs w:val="28"/>
          <w:rtl/>
        </w:rPr>
        <w:t xml:space="preserve">pāsox-e 'azl-nāme</w:t>
      </w:r>
    </w:p>
    <w:p>
      <w:pPr>
        <w:pStyle w:val="BookText"/>
      </w:pPr>
      <w:r>
        <w:rPr>
          <w:rFonts w:ascii="IRNazanin" w:hAnsi="IRNazanin" w:eastAsia="IRNazanin" w:cs="IRNazanin"/>
          <w:lang w:bidi="fa-IR"/>
          <w:color w:val="111111"/>
          <w:sz w:val="28"/>
          <w:szCs w:val="28"/>
          <w:rtl/>
        </w:rPr>
        <w:t xml:space="preserve">تهران؛ مجلس؛ شماره نسخه: ۵۹۹۶/۲۸</w:t>
      </w:r>
    </w:p>
    <w:p>
      <w:pPr>
        <w:pStyle w:val="BookText"/>
      </w:pPr>
      <w:r>
        <w:rPr>
          <w:rFonts w:ascii="IRNazanin" w:hAnsi="IRNazanin" w:eastAsia="IRNazanin" w:cs="IRNazanin"/>
          <w:lang w:bidi="fa-IR"/>
          <w:color w:val="111111"/>
          <w:sz w:val="28"/>
          <w:szCs w:val="28"/>
          <w:rtl/>
        </w:rPr>
        <w:t xml:space="preserve">از قاضی قیر به مولانا علی نقی؛ خط: شکسته نستعلیق، بی کا، تا: ۱۰۹۸ یا ۱۱۰۰ق؛ ۳ص (۱۰۴-۱۰۶) [ف: ۱۷-۳۷۳]</w:t>
      </w:r>
    </w:p>
    <w:p>
      <w:pPr>
        <w:pStyle w:val="Heading3"/>
      </w:pPr>
      <w:bookmarkStart w:id="1608" w:name="_Toc868"/>
      <w:r>
        <w:t>• پاسخ عزیز الدین به سیاوش / عرفان و تصوف / فارسی</w:t>
      </w:r>
      <w:bookmarkEnd w:id="1608"/>
    </w:p>
    <w:p>
      <w:pPr>
        <w:pStyle w:val="BookText"/>
      </w:pPr>
      <w:r>
        <w:rPr>
          <w:rFonts w:ascii="Times New Roman" w:hAnsi="Times New Roman" w:eastAsia="Times New Roman" w:cs="Times New Roman"/>
          <w:lang w:val="en-US" w:bidi="en-US"/>
          <w:color w:val="111111"/>
          <w:sz w:val="28"/>
          <w:szCs w:val="28"/>
          <w:rtl/>
        </w:rPr>
        <w:t xml:space="preserve">pāsox-e 'azīz-od-dīn be sīyāvaš</w:t>
      </w:r>
    </w:p>
    <w:p>
      <w:pPr>
        <w:pStyle w:val="BookText"/>
      </w:pPr>
      <w:r>
        <w:rPr>
          <w:rFonts w:ascii="IRNazanin" w:hAnsi="IRNazanin" w:eastAsia="IRNazanin" w:cs="IRNazanin"/>
          <w:lang w:bidi="fa-IR"/>
          <w:color w:val="111111"/>
          <w:sz w:val="28"/>
          <w:szCs w:val="28"/>
          <w:rtl/>
        </w:rPr>
        <w:t xml:space="preserve">نسفی، عزیز الدین بن محمد، ق۷ قمری</w:t>
      </w:r>
    </w:p>
    <w:p>
      <w:pPr>
        <w:pStyle w:val="BookText"/>
      </w:pPr>
      <w:r>
        <w:rPr>
          <w:rFonts w:ascii="Times New Roman" w:hAnsi="Times New Roman" w:eastAsia="Times New Roman" w:cs="Times New Roman"/>
          <w:lang w:val="en-US" w:bidi="en-US"/>
          <w:color w:val="111111"/>
          <w:sz w:val="28"/>
          <w:szCs w:val="28"/>
          <w:rtl/>
        </w:rPr>
        <w:t xml:space="preserve">nasafī, ‘azīz-od-dīn ebn-e mohammad (- 13c)</w:t>
      </w:r>
    </w:p>
    <w:p>
      <w:pPr>
        <w:pStyle w:val="BookText"/>
      </w:pPr>
      <w:r>
        <w:rPr>
          <w:rFonts w:ascii="IRNazanin" w:hAnsi="IRNazanin" w:eastAsia="IRNazanin" w:cs="IRNazanin"/>
          <w:lang w:bidi="fa-IR"/>
          <w:color w:val="111111"/>
          <w:sz w:val="28"/>
          <w:szCs w:val="28"/>
          <w:rtl/>
        </w:rPr>
        <w:t xml:space="preserve">فردی به نام سیاوش، پرسش هایی عرفانی از سید عزیزالدين نموده و او پاسخ گفته است. آغاز سؤال: آیا داننده رمز معانی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که در سر حقیقی راز دانی انجام جواب: سیاوش از درت دریوزه دارد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کرم فرما بلفظ درفشانی آنجام سؤال: آیا داننده سر معانی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بگویم با تو من اسرار جانی انجام جواب: بیان از سید عزت پدید است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همه دم می کند این درفشانی</w:t>
      </w:r>
    </w:p>
    <w:p>
      <w:pPr>
        <w:pStyle w:val="BookText"/>
      </w:pPr>
      <w:r>
        <w:rPr>
          <w:rFonts w:ascii="IRNazanin" w:hAnsi="IRNazanin" w:eastAsia="IRNazanin" w:cs="IRNazanin"/>
          <w:lang w:bidi="fa-IR"/>
          <w:color w:val="111111"/>
          <w:sz w:val="28"/>
          <w:szCs w:val="28"/>
          <w:rtl/>
        </w:rPr>
        <w:t xml:space="preserve">[دنا ۶۲۵/۲ ؛ فهرستواره منزوی ۱۳۴/۷ ]</w:t>
      </w:r>
    </w:p>
    <w:p>
      <w:pPr>
        <w:pStyle w:val="BookText"/>
      </w:pPr>
      <w:r>
        <w:rPr>
          <w:rFonts w:ascii="IRNazanin" w:hAnsi="IRNazanin" w:eastAsia="IRNazanin" w:cs="IRNazanin"/>
          <w:lang w:bidi="fa-IR"/>
          <w:color w:val="111111"/>
          <w:sz w:val="28"/>
          <w:szCs w:val="28"/>
          <w:rtl/>
        </w:rPr>
        <w:t xml:space="preserve">تهران؛ سپهسالار؛ شماره نسخه: ۶۵۵۳/۹</w:t>
      </w:r>
    </w:p>
    <w:p>
      <w:pPr>
        <w:pStyle w:val="BookText"/>
      </w:pPr>
      <w:r>
        <w:rPr>
          <w:rFonts w:ascii="IRNazanin" w:hAnsi="IRNazanin" w:eastAsia="IRNazanin" w:cs="IRNazanin"/>
          <w:lang w:bidi="fa-IR"/>
          <w:color w:val="111111"/>
          <w:sz w:val="28"/>
          <w:szCs w:val="28"/>
          <w:rtl/>
        </w:rPr>
        <w:t xml:space="preserve">بی کا، بی تا؛ کاغذ: سپاهانی نخودی، جلد: تیماج سرخ حنایی یک لا، اگ (۵۷ ر-۵۸ ر)، ۱۷ سطر، اندازه: ۲۳/۵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۳-۲۸۲]</w:t>
      </w:r>
    </w:p>
    <w:p>
      <w:pPr>
        <w:pStyle w:val="Heading3"/>
      </w:pPr>
      <w:bookmarkStart w:id="1609" w:name="_Toc869"/>
      <w:r>
        <w:t>•پاسخ عضدالدين / كلام و اعتقادات / عربی</w:t>
      </w:r>
      <w:bookmarkEnd w:id="1609"/>
    </w:p>
    <w:p>
      <w:pPr>
        <w:pStyle w:val="BookText"/>
      </w:pPr>
      <w:r>
        <w:rPr>
          <w:rFonts w:ascii="Times New Roman" w:hAnsi="Times New Roman" w:eastAsia="Times New Roman" w:cs="Times New Roman"/>
          <w:lang w:val="en-US" w:bidi="en-US"/>
          <w:color w:val="111111"/>
          <w:sz w:val="28"/>
          <w:szCs w:val="28"/>
          <w:rtl/>
        </w:rPr>
        <w:t xml:space="preserve">pāsox-e ‘azod-od-dīn</w:t>
      </w:r>
    </w:p>
    <w:p>
      <w:pPr>
        <w:pStyle w:val="BookText"/>
      </w:pPr>
      <w:r>
        <w:rPr>
          <w:rFonts w:ascii="IRNazanin" w:hAnsi="IRNazanin" w:eastAsia="IRNazanin" w:cs="IRNazanin"/>
          <w:lang w:bidi="fa-IR"/>
          <w:color w:val="111111"/>
          <w:sz w:val="28"/>
          <w:szCs w:val="28"/>
          <w:rtl/>
        </w:rPr>
        <w:t xml:space="preserve">عضد الدین ایجی، عبدالرحمن بن احمد، ۷۰۰؟ -۷۵۶ قمری</w:t>
      </w:r>
    </w:p>
    <w:p>
      <w:pPr>
        <w:pStyle w:val="BookText"/>
      </w:pPr>
      <w:r>
        <w:rPr>
          <w:rFonts w:ascii="Times New Roman" w:hAnsi="Times New Roman" w:eastAsia="Times New Roman" w:cs="Times New Roman"/>
          <w:lang w:val="en-US" w:bidi="en-US"/>
          <w:color w:val="111111"/>
          <w:sz w:val="28"/>
          <w:szCs w:val="28"/>
          <w:rtl/>
        </w:rPr>
        <w:t xml:space="preserve">‘azod-od-dīn-e ījī, 'abd-or-rahmān ebn-e ahmad (1301 1356)</w:t>
      </w:r>
    </w:p>
    <w:p>
      <w:pPr>
        <w:pStyle w:val="BookText"/>
      </w:pPr>
      <w:r>
        <w:rPr>
          <w:rFonts w:ascii="IRNazanin" w:hAnsi="IRNazanin" w:eastAsia="IRNazanin" w:cs="IRNazanin"/>
          <w:lang w:bidi="fa-IR"/>
          <w:color w:val="111111"/>
          <w:sz w:val="28"/>
          <w:szCs w:val="28"/>
          <w:rtl/>
        </w:rPr>
        <w:t xml:space="preserve">پاسخ به اعتراضی است که خود او طرح کرده است.</w:t>
      </w:r>
    </w:p>
    <w:p>
      <w:pPr>
        <w:pStyle w:val="BookText"/>
      </w:pPr>
      <w:r>
        <w:rPr>
          <w:rFonts w:ascii="IRNazanin" w:hAnsi="IRNazanin" w:eastAsia="IRNazanin" w:cs="IRNazanin"/>
          <w:lang w:bidi="fa-IR"/>
          <w:color w:val="111111"/>
          <w:sz w:val="28"/>
          <w:szCs w:val="28"/>
          <w:rtl/>
        </w:rPr>
        <w:t xml:space="preserve">تهران؛ مجلس؛ شماره نسخه: ۱۲۳۱/۴۸ -طباطبائی</w:t>
      </w:r>
    </w:p>
    <w:p>
      <w:pPr>
        <w:pStyle w:val="BookText"/>
      </w:pPr>
      <w:r>
        <w:rPr>
          <w:rFonts w:ascii="IRNazanin" w:hAnsi="IRNazanin" w:eastAsia="IRNazanin" w:cs="IRNazanin"/>
          <w:lang w:bidi="fa-IR"/>
          <w:color w:val="111111"/>
          <w:sz w:val="28"/>
          <w:szCs w:val="28"/>
          <w:rtl/>
        </w:rPr>
        <w:t xml:space="preserve">آغاز: هذا الجواب لعضد الدین حشره الله مع من احبه اذا كان الضمير عايدة الى المزل و من صلة فاتوا</w:t>
      </w:r>
    </w:p>
    <w:p>
      <w:pPr>
        <w:pStyle w:val="BookText"/>
      </w:pPr>
      <w:r>
        <w:rPr>
          <w:rFonts w:ascii="IRNazanin" w:hAnsi="IRNazanin" w:eastAsia="IRNazanin" w:cs="IRNazanin"/>
          <w:lang w:bidi="fa-IR"/>
          <w:color w:val="111111"/>
          <w:sz w:val="28"/>
          <w:szCs w:val="28"/>
          <w:rtl/>
        </w:rPr>
        <w:t xml:space="preserve">خط: نسخ، كا: شیخ محمد علی بن محمود تبریز، تا: قرن ۱۱؛ کاغذ: اصفهانی نخودی رنگ، جلد: تیماج قهوه ای تیره، اص (۱۳۱ر)، قطع: وزیری،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۲۳-۸۳۳]</w:t>
      </w:r>
    </w:p>
    <w:p>
      <w:pPr>
        <w:pStyle w:val="Heading3"/>
      </w:pPr>
      <w:bookmarkStart w:id="1610" w:name="_Toc870"/>
      <w:r>
        <w:t>•پاسخ عضدالدین به جاربردی / کلام و اعتقادات / عربی</w:t>
      </w:r>
      <w:bookmarkEnd w:id="1610"/>
    </w:p>
    <w:p>
      <w:pPr>
        <w:pStyle w:val="BookText"/>
      </w:pPr>
      <w:r>
        <w:rPr>
          <w:rFonts w:ascii="Times New Roman" w:hAnsi="Times New Roman" w:eastAsia="Times New Roman" w:cs="Times New Roman"/>
          <w:lang w:val="en-US" w:bidi="en-US"/>
          <w:color w:val="111111"/>
          <w:sz w:val="28"/>
          <w:szCs w:val="28"/>
          <w:rtl/>
        </w:rPr>
        <w:t xml:space="preserve">pāsox-e 'azod-od-dīn be jārbardī</w:t>
      </w:r>
    </w:p>
    <w:p>
      <w:pPr>
        <w:pStyle w:val="BookText"/>
      </w:pPr>
      <w:r>
        <w:rPr>
          <w:rFonts w:ascii="IRNazanin" w:hAnsi="IRNazanin" w:eastAsia="IRNazanin" w:cs="IRNazanin"/>
          <w:lang w:bidi="fa-IR"/>
          <w:color w:val="111111"/>
          <w:sz w:val="28"/>
          <w:szCs w:val="28"/>
          <w:rtl/>
        </w:rPr>
        <w:t xml:space="preserve">عضدالدین ایجی، عبدالرحمن بن احمد، ۷۰۰؟ -۷۵۶ قمری</w:t>
      </w:r>
    </w:p>
    <w:p>
      <w:pPr>
        <w:pStyle w:val="BookText"/>
      </w:pPr>
      <w:r>
        <w:rPr>
          <w:rFonts w:ascii="Times New Roman" w:hAnsi="Times New Roman" w:eastAsia="Times New Roman" w:cs="Times New Roman"/>
          <w:lang w:val="en-US" w:bidi="en-US"/>
          <w:color w:val="111111"/>
          <w:sz w:val="28"/>
          <w:szCs w:val="28"/>
          <w:rtl/>
        </w:rPr>
        <w:t xml:space="preserve">‘azod-od-dīn-e ījī, 'abd-or-rahmān ebn-e ahmad (1301 1356)</w:t>
      </w:r>
    </w:p>
    <w:p>
      <w:pPr>
        <w:pStyle w:val="BookText"/>
      </w:pPr>
      <w:r>
        <w:rPr>
          <w:rFonts w:ascii="IRNazanin" w:hAnsi="IRNazanin" w:eastAsia="IRNazanin" w:cs="IRNazanin"/>
          <w:lang w:bidi="fa-IR"/>
          <w:color w:val="111111"/>
          <w:sz w:val="28"/>
          <w:szCs w:val="28"/>
          <w:rtl/>
        </w:rPr>
        <w:t xml:space="preserve">مؤلف اعتراض جاربردی را با ده وجه پاسخ گفته است.</w:t>
      </w:r>
    </w:p>
    <w:p>
      <w:pPr>
        <w:pStyle w:val="BookText"/>
      </w:pPr>
      <w:r>
        <w:rPr>
          <w:rFonts w:ascii="IRNazanin" w:hAnsi="IRNazanin" w:eastAsia="IRNazanin" w:cs="IRNazanin"/>
          <w:lang w:bidi="fa-IR"/>
          <w:color w:val="111111"/>
          <w:sz w:val="28"/>
          <w:szCs w:val="28"/>
          <w:rtl/>
        </w:rPr>
        <w:t xml:space="preserve">تهران؛ مجلس؛ شماره نسخه: ۱۲۳۱/۴۴ -طباطبائی</w:t>
      </w:r>
    </w:p>
    <w:p>
      <w:pPr>
        <w:pStyle w:val="BookText"/>
      </w:pPr>
      <w:r>
        <w:rPr>
          <w:rFonts w:ascii="IRNazanin" w:hAnsi="IRNazanin" w:eastAsia="IRNazanin" w:cs="IRNazanin"/>
          <w:lang w:bidi="fa-IR"/>
          <w:color w:val="111111"/>
          <w:sz w:val="28"/>
          <w:szCs w:val="28"/>
          <w:rtl/>
        </w:rPr>
        <w:t xml:space="preserve">آغاز: ثم كتبه عضدالدين على الجواب للجاربردی اقول و اعوذ بالله من الخطاء و الخطل ... الكلام على هذا الجواب من وجوه عشره الاول انه كلام يمجه الاسماع و ينفر عنه الطباع ككلمات المبرسم غير منظوم و کهن يان المحموم ليس له مفهوم؛ انجام: فاقبل النصيحه و اتق الفضيحه ولا ترجع بعد إلى مثل هذا فانه عارفي الاعقاب و نار يوم الحساب خط: نسخ، كا: شیخ محمد علی بن محمود تبریز، تا: قرن ۱۱؛ کاغذ: اصفهانی نخودی رنگ، جلد: تیماج قهوه ای، ۲گ ( ۱۲۹-۱۲۸ پ)، قطع: وزیری،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۲۳-۸۳۱]</w:t>
      </w:r>
    </w:p>
    <w:p>
      <w:pPr>
        <w:pStyle w:val="BookText"/>
      </w:pPr>
      <w:r>
        <w:rPr>
          <w:rFonts w:ascii="IRNazanin" w:hAnsi="IRNazanin" w:eastAsia="IRNazanin" w:cs="IRNazanin"/>
          <w:lang w:bidi="fa-IR"/>
          <w:color w:val="111111"/>
          <w:sz w:val="28"/>
          <w:szCs w:val="28"/>
          <w:rtl/>
        </w:rPr>
        <w:t xml:space="preserve">← پاسخ علوی به استر آبادی ← نجاست خمر</w:t>
      </w:r>
    </w:p>
    <w:p>
      <w:pPr>
        <w:pStyle w:val="Heading3"/>
      </w:pPr>
      <w:bookmarkStart w:id="1611" w:name="_Toc871"/>
      <w:r>
        <w:t>•پاسخ غزالی به پرسشهای پیروان سنت / پاسخ پرسش ها / فارسی</w:t>
      </w:r>
      <w:bookmarkEnd w:id="1611"/>
    </w:p>
    <w:p>
      <w:pPr>
        <w:pStyle w:val="BookText"/>
      </w:pPr>
      <w:r>
        <w:rPr>
          <w:rFonts w:ascii="Times New Roman" w:hAnsi="Times New Roman" w:eastAsia="Times New Roman" w:cs="Times New Roman"/>
          <w:lang w:val="en-US" w:bidi="en-US"/>
          <w:color w:val="111111"/>
          <w:sz w:val="28"/>
          <w:szCs w:val="28"/>
          <w:rtl/>
        </w:rPr>
        <w:t xml:space="preserve">pāsox-e qazzālī be porseš-hā-ye peyrovān-e sonnat</w:t>
      </w:r>
    </w:p>
    <w:p>
      <w:pPr>
        <w:pStyle w:val="BookText"/>
      </w:pPr>
      <w:r>
        <w:rPr>
          <w:rFonts w:ascii="IRNazanin" w:hAnsi="IRNazanin" w:eastAsia="IRNazanin" w:cs="IRNazanin"/>
          <w:lang w:bidi="fa-IR"/>
          <w:color w:val="111111"/>
          <w:sz w:val="28"/>
          <w:szCs w:val="28"/>
          <w:rtl/>
        </w:rPr>
        <w:t xml:space="preserve">غزالی، محمد بن محمد، ۴۵۰-۵۰۵ قمری</w:t>
      </w:r>
    </w:p>
    <w:p>
      <w:pPr>
        <w:pStyle w:val="BookText"/>
      </w:pPr>
      <w:r>
        <w:rPr>
          <w:rFonts w:ascii="Times New Roman" w:hAnsi="Times New Roman" w:eastAsia="Times New Roman" w:cs="Times New Roman"/>
          <w:lang w:val="en-US" w:bidi="en-US"/>
          <w:color w:val="111111"/>
          <w:sz w:val="28"/>
          <w:szCs w:val="28"/>
          <w:rtl/>
        </w:rPr>
        <w:t xml:space="preserve">qazzālī, mohammad ebn-e mohammad (1059-1112)</w:t>
      </w:r>
    </w:p>
    <w:p>
      <w:pPr>
        <w:pStyle w:val="BookText"/>
      </w:pPr>
      <w:r>
        <w:rPr>
          <w:rFonts w:ascii="IRNazanin" w:hAnsi="IRNazanin" w:eastAsia="IRNazanin" w:cs="IRNazanin"/>
          <w:lang w:bidi="fa-IR"/>
          <w:color w:val="111111"/>
          <w:sz w:val="28"/>
          <w:szCs w:val="28"/>
          <w:rtl/>
        </w:rPr>
        <w:t xml:space="preserve">در سال ۵۰۳ تنی چند از پیروان ابو حنيفه و مالک و شافعی چون دیدند غزالی (۴۰۵-۵۰۵) در «المنخول» از ابوحنیفه بد گفت و به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73" w:name="pg20363_209532"/>
    <w:bookmarkEnd w:id="273"/>
    <w:p>
      <w:pPr>
        <w:pStyle w:val="BookText"/>
      </w:pPr>
      <w:r>
        <w:rPr>
          <w:rFonts w:ascii="IRNazanin" w:hAnsi="IRNazanin" w:eastAsia="IRNazanin" w:cs="IRNazanin"/>
          <w:lang w:bidi="fa-IR"/>
          <w:color w:val="111111"/>
          <w:sz w:val="28"/>
          <w:szCs w:val="28"/>
          <w:rtl/>
        </w:rPr>
        <w:t xml:space="preserve">پیروی صوفیان و فیلسوفان سخنانی بیاورد گردهم آمده و از « مشكوة الانوار» و «کیمیای سعادت» این گفتارها: «لا اله الا الله توحيد العوام» و «لا اله الا هو توحيد الخواص» و</w:t>
      </w:r>
    </w:p>
    <w:p>
      <w:pPr>
        <w:pStyle w:val="BookText"/>
      </w:pPr>
      <w:r>
        <w:rPr>
          <w:rFonts w:ascii="IRNazanin" w:hAnsi="IRNazanin" w:eastAsia="IRNazanin" w:cs="IRNazanin"/>
          <w:lang w:bidi="fa-IR"/>
          <w:color w:val="111111"/>
          <w:sz w:val="28"/>
          <w:szCs w:val="28"/>
          <w:rtl/>
        </w:rPr>
        <w:t xml:space="preserve">«الله هو النور» و« روان مردمی در اینجهان بیگانه استو شیفته جهان بالا» و «افشاء سر الربوبية كفر» را در آورده و گفته اند از اینجا چه می خواهی، و در اینکه خدا را به روشنی مانند ساختی مجوس شدی و درباره روان آنچه گفتی به ترسایان و فیلسوفان نزدیک گشتی. آنها این سخنان را به شاه (محمد سلجوقی ۴۹۸-۵۱۱) رساندند غزالی که در این هنگام پنجاه و سه سال داشت و گوشه گزیده بود به دستور او ناگزیر به لشگر گاه طوس رفته و به همه خرده گیری ها | پاسخ داد و به دانشمندان طوس گفت که در معقولات تنها برهان می پذیرم و در شرعیات پیرو کسی نیستم و قرآن را به کار می بندم. شاه همین که پندهای غزالی را بشنود و سخنان او را استوار بدید نواز شش نمود و به دشمنانش ارجى ننهاد.</w:t>
      </w:r>
    </w:p>
    <w:p>
      <w:pPr>
        <w:pStyle w:val="BookText"/>
      </w:pPr>
      <w:r>
        <w:rPr>
          <w:rFonts w:ascii="IRNazanin" w:hAnsi="IRNazanin" w:eastAsia="IRNazanin" w:cs="IRNazanin"/>
          <w:lang w:bidi="fa-IR"/>
          <w:color w:val="111111"/>
          <w:sz w:val="28"/>
          <w:szCs w:val="28"/>
          <w:rtl/>
        </w:rPr>
        <w:t xml:space="preserve">چاپ: این گفتگو در «فضائل الأنام من رسائل حجة الاسلام» چاپ هند دیده می شود.</w:t>
      </w:r>
    </w:p>
    <w:p>
      <w:pPr>
        <w:pStyle w:val="BookText"/>
      </w:pPr>
      <w:r>
        <w:rPr>
          <w:rFonts w:ascii="IRNazanin" w:hAnsi="IRNazanin" w:eastAsia="IRNazanin" w:cs="IRNazanin"/>
          <w:lang w:bidi="fa-IR"/>
          <w:color w:val="111111"/>
          <w:sz w:val="28"/>
          <w:szCs w:val="28"/>
          <w:rtl/>
        </w:rPr>
        <w:t xml:space="preserve">[دنا ۶۲۵/۲ ؛ فهرستواره منزوی ۸۹/۶]</w:t>
      </w:r>
    </w:p>
    <w:p>
      <w:pPr>
        <w:pStyle w:val="BookText"/>
      </w:pPr>
      <w:r>
        <w:rPr>
          <w:rFonts w:ascii="IRNazanin" w:hAnsi="IRNazanin" w:eastAsia="IRNazanin" w:cs="IRNazanin"/>
          <w:lang w:bidi="fa-IR"/>
          <w:color w:val="111111"/>
          <w:sz w:val="28"/>
          <w:szCs w:val="28"/>
          <w:rtl/>
        </w:rPr>
        <w:t xml:space="preserve">تهران؛ دانشگاه؛ شماره نسخه: ۳۴۰/۲</w:t>
      </w:r>
    </w:p>
    <w:p>
      <w:pPr>
        <w:pStyle w:val="BookText"/>
      </w:pPr>
      <w:r>
        <w:rPr>
          <w:rFonts w:ascii="IRNazanin" w:hAnsi="IRNazanin" w:eastAsia="IRNazanin" w:cs="IRNazanin"/>
          <w:lang w:bidi="fa-IR"/>
          <w:color w:val="111111"/>
          <w:sz w:val="28"/>
          <w:szCs w:val="28"/>
          <w:rtl/>
        </w:rPr>
        <w:t xml:space="preserve">خط: تعليق، بی کا، تا: ۱۲۶۰ق؛ تملک و مهر: محمد باقر پسر ابراهیم حسینی لواسانی رازی تهرانی، شیخ العراقين؛ کاغذ: ترمه سمرقندی رنگارنگ، جلد: تیماج ضربی، ۱۱گ (گ ۲۷ب ۳۷ب )، ۱۵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۲۰/۵سم [ف: ۳-۱۹۰]</w:t>
      </w:r>
    </w:p>
    <w:p>
      <w:pPr>
        <w:pStyle w:val="Heading3"/>
      </w:pPr>
      <w:bookmarkStart w:id="1612" w:name="_Toc872"/>
      <w:r>
        <w:t>• پاسخ غزالی به صدر الاسلام / نامه نگاری / فارسی</w:t>
      </w:r>
      <w:bookmarkEnd w:id="1612"/>
    </w:p>
    <w:p>
      <w:pPr>
        <w:pStyle w:val="BookText"/>
      </w:pPr>
      <w:r>
        <w:rPr>
          <w:rFonts w:ascii="Times New Roman" w:hAnsi="Times New Roman" w:eastAsia="Times New Roman" w:cs="Times New Roman"/>
          <w:lang w:val="en-US" w:bidi="en-US"/>
          <w:color w:val="111111"/>
          <w:sz w:val="28"/>
          <w:szCs w:val="28"/>
          <w:rtl/>
        </w:rPr>
        <w:t xml:space="preserve">pāsox-e qazzālī be sadr-ol-eslām</w:t>
      </w:r>
    </w:p>
    <w:p>
      <w:pPr>
        <w:pStyle w:val="BookText"/>
      </w:pPr>
      <w:r>
        <w:rPr>
          <w:rFonts w:ascii="IRNazanin" w:hAnsi="IRNazanin" w:eastAsia="IRNazanin" w:cs="IRNazanin"/>
          <w:lang w:bidi="fa-IR"/>
          <w:color w:val="111111"/>
          <w:sz w:val="28"/>
          <w:szCs w:val="28"/>
          <w:rtl/>
        </w:rPr>
        <w:t xml:space="preserve">غزالی، محمد بن محمد، ۴۵۰-۵۰۵ قمری</w:t>
      </w:r>
    </w:p>
    <w:p>
      <w:pPr>
        <w:pStyle w:val="BookText"/>
      </w:pPr>
      <w:r>
        <w:rPr>
          <w:rFonts w:ascii="Times New Roman" w:hAnsi="Times New Roman" w:eastAsia="Times New Roman" w:cs="Times New Roman"/>
          <w:lang w:val="en-US" w:bidi="en-US"/>
          <w:color w:val="111111"/>
          <w:sz w:val="28"/>
          <w:szCs w:val="28"/>
          <w:rtl/>
        </w:rPr>
        <w:t xml:space="preserve">qazzālī, mohammad ebn-e mohammad (1059-1112)</w:t>
      </w:r>
    </w:p>
    <w:p>
      <w:pPr>
        <w:pStyle w:val="BookText"/>
      </w:pPr>
      <w:r>
        <w:rPr>
          <w:rFonts w:ascii="IRNazanin" w:hAnsi="IRNazanin" w:eastAsia="IRNazanin" w:cs="IRNazanin"/>
          <w:lang w:bidi="fa-IR"/>
          <w:color w:val="111111"/>
          <w:sz w:val="28"/>
          <w:szCs w:val="28"/>
          <w:rtl/>
        </w:rPr>
        <w:t xml:space="preserve">به صدرالاسلام در نپذیرفتن تدریس در نظاميه</w:t>
      </w:r>
    </w:p>
    <w:p>
      <w:pPr>
        <w:pStyle w:val="BookText"/>
      </w:pPr>
      <w:r>
        <w:rPr>
          <w:rFonts w:ascii="IRNazanin" w:hAnsi="IRNazanin" w:eastAsia="IRNazanin" w:cs="IRNazanin"/>
          <w:lang w:bidi="fa-IR"/>
          <w:color w:val="111111"/>
          <w:sz w:val="28"/>
          <w:szCs w:val="28"/>
          <w:rtl/>
        </w:rPr>
        <w:t xml:space="preserve">تهران؛ مفتاح؛ شماره نسخه: ۱۴۳۰/۳</w:t>
      </w:r>
    </w:p>
    <w:p>
      <w:pPr>
        <w:pStyle w:val="BookText"/>
      </w:pPr>
      <w:r>
        <w:rPr>
          <w:rFonts w:ascii="IRNazanin" w:hAnsi="IRNazanin" w:eastAsia="IRNazanin" w:cs="IRNazanin"/>
          <w:lang w:bidi="fa-IR"/>
          <w:color w:val="111111"/>
          <w:sz w:val="28"/>
          <w:szCs w:val="28"/>
          <w:rtl/>
        </w:rPr>
        <w:t xml:space="preserve">خط: نستعلیق، بی کا، تا: قرن ۱۰ [نشریه: ۷-۲۸۰]</w:t>
      </w:r>
    </w:p>
    <w:p>
      <w:pPr>
        <w:pStyle w:val="Heading3"/>
      </w:pPr>
      <w:bookmarkStart w:id="1613" w:name="_Toc873"/>
      <w:r>
        <w:t>• پاسخ فراهانی به فتحعلی شاه / تاریخ ایران / فارسی</w:t>
      </w:r>
      <w:bookmarkEnd w:id="1613"/>
    </w:p>
    <w:p>
      <w:pPr>
        <w:pStyle w:val="BookText"/>
      </w:pPr>
      <w:r>
        <w:rPr>
          <w:rFonts w:ascii="Times New Roman" w:hAnsi="Times New Roman" w:eastAsia="Times New Roman" w:cs="Times New Roman"/>
          <w:lang w:val="en-US" w:bidi="en-US"/>
          <w:color w:val="111111"/>
          <w:sz w:val="28"/>
          <w:szCs w:val="28"/>
          <w:rtl/>
        </w:rPr>
        <w:t xml:space="preserve">pāsox-e farāhānī be fath-‘alī šāh</w:t>
      </w:r>
    </w:p>
    <w:p>
      <w:pPr>
        <w:pStyle w:val="BookText"/>
      </w:pPr>
      <w:r>
        <w:rPr>
          <w:rFonts w:ascii="IRNazanin" w:hAnsi="IRNazanin" w:eastAsia="IRNazanin" w:cs="IRNazanin"/>
          <w:lang w:bidi="fa-IR"/>
          <w:color w:val="111111"/>
          <w:sz w:val="28"/>
          <w:szCs w:val="28"/>
          <w:rtl/>
        </w:rPr>
        <w:t xml:space="preserve">قائم مقام، ابوالقاسم بن عیسی، ۱۱۹۳-۱۲۵۱ قمری</w:t>
      </w:r>
    </w:p>
    <w:p>
      <w:pPr>
        <w:pStyle w:val="BookText"/>
      </w:pPr>
      <w:r>
        <w:rPr>
          <w:rFonts w:ascii="Times New Roman" w:hAnsi="Times New Roman" w:eastAsia="Times New Roman" w:cs="Times New Roman"/>
          <w:lang w:val="en-US" w:bidi="en-US"/>
          <w:color w:val="111111"/>
          <w:sz w:val="28"/>
          <w:szCs w:val="28"/>
          <w:rtl/>
        </w:rPr>
        <w:t xml:space="preserve">qā'em-maqām, ab-ol-qāsem ebn-e ‘īsā (1779-1836)</w:t>
      </w:r>
    </w:p>
    <w:p>
      <w:pPr>
        <w:pStyle w:val="BookText"/>
      </w:pPr>
      <w:r>
        <w:rPr>
          <w:rFonts w:ascii="IRNazanin" w:hAnsi="IRNazanin" w:eastAsia="IRNazanin" w:cs="IRNazanin"/>
          <w:lang w:bidi="fa-IR"/>
          <w:color w:val="111111"/>
          <w:sz w:val="28"/>
          <w:szCs w:val="28"/>
          <w:rtl/>
        </w:rPr>
        <w:t xml:space="preserve">تاریخ تأليف: ۱۲۲۷ق پاسخ ابوالقاسم قائم مقام فراهانی است به فتحعلیشاه در چهار فصل» آغاز: بسمله و حمدله، داعی بی ریب ریا و سعادت جوی نشأتين اولی و اخرى انجام: والمطاع امره الاعلى و السلام عليكم و رحمة الله بركاته</w:t>
      </w:r>
    </w:p>
    <w:p>
      <w:pPr>
        <w:pStyle w:val="BookText"/>
      </w:pPr>
      <w:r>
        <w:rPr>
          <w:rFonts w:ascii="IRNazanin" w:hAnsi="IRNazanin" w:eastAsia="IRNazanin" w:cs="IRNazanin"/>
          <w:lang w:bidi="fa-IR"/>
          <w:color w:val="111111"/>
          <w:sz w:val="28"/>
          <w:szCs w:val="28"/>
          <w:rtl/>
        </w:rPr>
        <w:t xml:space="preserve">تهران؛ ادبیات؛ شماره نسخه: ۱۱۰/۲ - د</w:t>
      </w:r>
    </w:p>
    <w:p>
      <w:pPr>
        <w:pStyle w:val="BookText"/>
      </w:pPr>
      <w:r>
        <w:rPr>
          <w:rFonts w:ascii="IRNazanin" w:hAnsi="IRNazanin" w:eastAsia="IRNazanin" w:cs="IRNazanin"/>
          <w:lang w:bidi="fa-IR"/>
          <w:color w:val="111111"/>
          <w:sz w:val="28"/>
          <w:szCs w:val="28"/>
          <w:rtl/>
        </w:rPr>
        <w:t xml:space="preserve">آغاز: بسمله و حمدله، داعی بی ریب ریا و سعادت جوی نشأتين اولی و اخرى؛ انجام: والمطاع امره الاعلى و السلام عليكم و رحمة الله بركاته خط: نسخ، بی کا، بی تا؛ (۳۱پ -۵۳پ) [ف: ۱-۵۱]</w:t>
      </w:r>
    </w:p>
    <w:p>
      <w:pPr>
        <w:pStyle w:val="Heading3"/>
      </w:pPr>
      <w:bookmarkStart w:id="1614" w:name="_Toc874"/>
      <w:r>
        <w:t>•پاسخ قاضی شرف الدین / نامه نگاری / فارسی</w:t>
      </w:r>
      <w:bookmarkEnd w:id="1614"/>
    </w:p>
    <w:p>
      <w:pPr>
        <w:pStyle w:val="BookText"/>
      </w:pPr>
      <w:r>
        <w:rPr>
          <w:rFonts w:ascii="Times New Roman" w:hAnsi="Times New Roman" w:eastAsia="Times New Roman" w:cs="Times New Roman"/>
          <w:lang w:val="en-US" w:bidi="en-US"/>
          <w:color w:val="111111"/>
          <w:sz w:val="28"/>
          <w:szCs w:val="28"/>
          <w:rtl/>
        </w:rPr>
        <w:t xml:space="preserve">pāsox-e qāzī šaraf-od-dīn</w:t>
      </w:r>
    </w:p>
    <w:p>
      <w:pPr>
        <w:pStyle w:val="BookText"/>
      </w:pPr>
      <w:r>
        <w:rPr>
          <w:rFonts w:ascii="IRNazanin" w:hAnsi="IRNazanin" w:eastAsia="IRNazanin" w:cs="IRNazanin"/>
          <w:lang w:bidi="fa-IR"/>
          <w:color w:val="111111"/>
          <w:sz w:val="28"/>
          <w:szCs w:val="28"/>
          <w:rtl/>
        </w:rPr>
        <w:t xml:space="preserve">مجدالدین بغدادی، محمد، ۵۴۴؟ -۶۰۷ قمری</w:t>
      </w:r>
    </w:p>
    <w:p>
      <w:pPr>
        <w:pStyle w:val="BookText"/>
      </w:pPr>
      <w:r>
        <w:rPr>
          <w:rFonts w:ascii="Times New Roman" w:hAnsi="Times New Roman" w:eastAsia="Times New Roman" w:cs="Times New Roman"/>
          <w:lang w:val="en-US" w:bidi="en-US"/>
          <w:color w:val="111111"/>
          <w:sz w:val="28"/>
          <w:szCs w:val="28"/>
          <w:rtl/>
        </w:rPr>
        <w:t xml:space="preserve">majd-od-dīn-e baqdādī, mohammad (1150-1211)</w:t>
      </w:r>
    </w:p>
    <w:p>
      <w:pPr>
        <w:pStyle w:val="BookText"/>
      </w:pPr>
      <w:r>
        <w:rPr>
          <w:rFonts w:ascii="IRNazanin" w:hAnsi="IRNazanin" w:eastAsia="IRNazanin" w:cs="IRNazanin"/>
          <w:lang w:bidi="fa-IR"/>
          <w:color w:val="111111"/>
          <w:sz w:val="28"/>
          <w:szCs w:val="28"/>
          <w:rtl/>
        </w:rPr>
        <w:t xml:space="preserve">تهران، دانشگاه؛ شماره نسخه: ۴۶۲/۳۲ (آ) - ۴۶۳/۳۲ (ب)-ف</w:t>
      </w:r>
    </w:p>
    <w:p>
      <w:pPr>
        <w:pStyle w:val="BookText"/>
      </w:pPr>
      <w:r>
        <w:rPr>
          <w:rFonts w:ascii="IRNazanin" w:hAnsi="IRNazanin" w:eastAsia="IRNazanin" w:cs="IRNazanin"/>
          <w:lang w:bidi="fa-IR"/>
          <w:color w:val="111111"/>
          <w:sz w:val="28"/>
          <w:szCs w:val="28"/>
          <w:rtl/>
        </w:rPr>
        <w:t xml:space="preserve">نسخه اصل: کوپرولوش ۱۵۸۹؛ بی کا، تا: با تاریخ ۷۵۴ق؛ اگ (۴۱۸ر -۴۱۸پ) [فیلمها ف: ۱-۴۸۱]</w:t>
      </w:r>
    </w:p>
    <w:p>
      <w:pPr>
        <w:pStyle w:val="Heading3"/>
      </w:pPr>
      <w:bookmarkStart w:id="1615" w:name="_Toc875"/>
      <w:r>
        <w:t>• پاسخ قاضی محمود به شیخ علی نقی نامه نگاری افارسی</w:t>
      </w:r>
      <w:bookmarkEnd w:id="1615"/>
    </w:p>
    <w:p>
      <w:pPr>
        <w:pStyle w:val="BookText"/>
      </w:pPr>
      <w:r>
        <w:rPr>
          <w:rFonts w:ascii="Times New Roman" w:hAnsi="Times New Roman" w:eastAsia="Times New Roman" w:cs="Times New Roman"/>
          <w:lang w:val="en-US" w:bidi="en-US"/>
          <w:color w:val="111111"/>
          <w:sz w:val="28"/>
          <w:szCs w:val="28"/>
          <w:rtl/>
        </w:rPr>
        <w:t xml:space="preserve">pāsox-e qāzī mahmūd be šeyx ‘alī naqī</w:t>
      </w:r>
    </w:p>
    <w:p>
      <w:pPr>
        <w:pStyle w:val="BookText"/>
      </w:pPr>
      <w:r>
        <w:rPr>
          <w:rFonts w:ascii="IRNazanin" w:hAnsi="IRNazanin" w:eastAsia="IRNazanin" w:cs="IRNazanin"/>
          <w:lang w:bidi="fa-IR"/>
          <w:color w:val="111111"/>
          <w:sz w:val="28"/>
          <w:szCs w:val="28"/>
          <w:rtl/>
        </w:rPr>
        <w:t xml:space="preserve">تهران؛ ملک؛ شماره نسخه: ۴۶۷۱/۶۰</w:t>
      </w:r>
    </w:p>
    <w:p>
      <w:pPr>
        <w:pStyle w:val="BookText"/>
      </w:pPr>
      <w:r>
        <w:rPr>
          <w:rFonts w:ascii="IRNazanin" w:hAnsi="IRNazanin" w:eastAsia="IRNazanin" w:cs="IRNazanin"/>
          <w:lang w:bidi="fa-IR"/>
          <w:color w:val="111111"/>
          <w:sz w:val="28"/>
          <w:szCs w:val="28"/>
          <w:rtl/>
        </w:rPr>
        <w:t xml:space="preserve">خط: نستعلیق، بی کا، تا: قرن ۱۱]ف: ۸-۹]</w:t>
      </w:r>
    </w:p>
    <w:p>
      <w:pPr>
        <w:pStyle w:val="Heading3"/>
      </w:pPr>
      <w:bookmarkStart w:id="1616" w:name="_Toc876"/>
      <w:r>
        <w:t>•پاسخ قصيده بال مرصع / شعر / فارسی</w:t>
      </w:r>
      <w:bookmarkEnd w:id="1616"/>
    </w:p>
    <w:p>
      <w:pPr>
        <w:pStyle w:val="BookText"/>
      </w:pPr>
      <w:r>
        <w:rPr>
          <w:rFonts w:ascii="Times New Roman" w:hAnsi="Times New Roman" w:eastAsia="Times New Roman" w:cs="Times New Roman"/>
          <w:lang w:val="en-US" w:bidi="en-US"/>
          <w:color w:val="111111"/>
          <w:sz w:val="28"/>
          <w:szCs w:val="28"/>
          <w:rtl/>
        </w:rPr>
        <w:t xml:space="preserve">pāsox-e qasīde-ye bāl-e morassa</w:t>
      </w:r>
    </w:p>
    <w:p>
      <w:pPr>
        <w:pStyle w:val="BookText"/>
      </w:pPr>
      <w:r>
        <w:rPr>
          <w:rFonts w:ascii="IRNazanin" w:hAnsi="IRNazanin" w:eastAsia="IRNazanin" w:cs="IRNazanin"/>
          <w:lang w:bidi="fa-IR"/>
          <w:color w:val="111111"/>
          <w:sz w:val="28"/>
          <w:szCs w:val="28"/>
          <w:rtl/>
        </w:rPr>
        <w:t xml:space="preserve">انوری، محمد بن محمد، ۵۸۵ ؟ قمری</w:t>
      </w:r>
    </w:p>
    <w:p>
      <w:pPr>
        <w:pStyle w:val="BookText"/>
      </w:pPr>
      <w:r>
        <w:rPr>
          <w:rFonts w:ascii="Times New Roman" w:hAnsi="Times New Roman" w:eastAsia="Times New Roman" w:cs="Times New Roman"/>
          <w:lang w:val="en-US" w:bidi="en-US"/>
          <w:color w:val="111111"/>
          <w:sz w:val="28"/>
          <w:szCs w:val="28"/>
          <w:rtl/>
        </w:rPr>
        <w:t xml:space="preserve">anvarī, mohammad ebn-e mohammad (- 1190) an</w:t>
      </w:r>
    </w:p>
    <w:p>
      <w:pPr>
        <w:pStyle w:val="BookText"/>
      </w:pPr>
      <w:r>
        <w:rPr>
          <w:rFonts w:ascii="IRNazanin" w:hAnsi="IRNazanin" w:eastAsia="IRNazanin" w:cs="IRNazanin"/>
          <w:lang w:bidi="fa-IR"/>
          <w:color w:val="111111"/>
          <w:sz w:val="28"/>
          <w:szCs w:val="28"/>
          <w:rtl/>
        </w:rPr>
        <w:t xml:space="preserve">وابسته به: قصیده نونيه = قصيده بال مرصع؛ فاخر رازی، ابوالمفاخر (۶)</w:t>
      </w:r>
    </w:p>
    <w:p>
      <w:pPr>
        <w:pStyle w:val="BookText"/>
      </w:pPr>
      <w:r>
        <w:rPr>
          <w:rFonts w:ascii="IRNazanin" w:hAnsi="IRNazanin" w:eastAsia="IRNazanin" w:cs="IRNazanin"/>
          <w:lang w:bidi="fa-IR"/>
          <w:color w:val="111111"/>
          <w:sz w:val="28"/>
          <w:szCs w:val="28"/>
          <w:rtl/>
        </w:rPr>
        <w:t xml:space="preserve">تهران، دانشگاه، شماره نسخه: ۹۵۹۶/۸</w:t>
      </w:r>
    </w:p>
    <w:p>
      <w:pPr>
        <w:pStyle w:val="BookText"/>
      </w:pPr>
      <w:r>
        <w:rPr>
          <w:rFonts w:ascii="IRNazanin" w:hAnsi="IRNazanin" w:eastAsia="IRNazanin" w:cs="IRNazanin"/>
          <w:lang w:bidi="fa-IR"/>
          <w:color w:val="111111"/>
          <w:sz w:val="28"/>
          <w:szCs w:val="28"/>
          <w:rtl/>
        </w:rPr>
        <w:t xml:space="preserve">آغاز: صبح زر افشان چو دید درج عقيق يمن***ریخت ز صندوق رخ شده در عدن بی کا، بی تا [ف: ۱۷-۴۱۶]</w:t>
      </w:r>
    </w:p>
    <w:p>
      <w:pPr>
        <w:pStyle w:val="Heading3"/>
      </w:pPr>
      <w:bookmarkStart w:id="1617" w:name="_Toc877"/>
      <w:r>
        <w:t>• پاسخ قصيده بال مرصع / شعر / فارسی</w:t>
      </w:r>
      <w:bookmarkEnd w:id="1617"/>
    </w:p>
    <w:p>
      <w:pPr>
        <w:pStyle w:val="BookText"/>
      </w:pPr>
      <w:r>
        <w:rPr>
          <w:rFonts w:ascii="Times New Roman" w:hAnsi="Times New Roman" w:eastAsia="Times New Roman" w:cs="Times New Roman"/>
          <w:lang w:val="en-US" w:bidi="en-US"/>
          <w:color w:val="111111"/>
          <w:sz w:val="28"/>
          <w:szCs w:val="28"/>
          <w:rtl/>
        </w:rPr>
        <w:t xml:space="preserve">pāsox-e qasīde-ye bāl-e morassa</w:t>
      </w:r>
    </w:p>
    <w:p>
      <w:pPr>
        <w:pStyle w:val="BookText"/>
      </w:pPr>
      <w:r>
        <w:rPr>
          <w:rFonts w:ascii="IRNazanin" w:hAnsi="IRNazanin" w:eastAsia="IRNazanin" w:cs="IRNazanin"/>
          <w:lang w:bidi="fa-IR"/>
          <w:color w:val="111111"/>
          <w:sz w:val="28"/>
          <w:szCs w:val="28"/>
          <w:rtl/>
        </w:rPr>
        <w:t xml:space="preserve">خواجوی کرمانی، محمود بن علی، ۶۸۹-۷۵۳ قمری</w:t>
      </w:r>
    </w:p>
    <w:p>
      <w:pPr>
        <w:pStyle w:val="BookText"/>
      </w:pPr>
      <w:r>
        <w:rPr>
          <w:rFonts w:ascii="Times New Roman" w:hAnsi="Times New Roman" w:eastAsia="Times New Roman" w:cs="Times New Roman"/>
          <w:lang w:val="en-US" w:bidi="en-US"/>
          <w:color w:val="111111"/>
          <w:sz w:val="28"/>
          <w:szCs w:val="28"/>
          <w:rtl/>
        </w:rPr>
        <w:t xml:space="preserve">xājū-ye kermānī, mahmūd ebn-e ‘alī (1291-1353)</w:t>
      </w:r>
    </w:p>
    <w:p>
      <w:pPr>
        <w:pStyle w:val="BookText"/>
      </w:pPr>
      <w:r>
        <w:rPr>
          <w:rFonts w:ascii="IRNazanin" w:hAnsi="IRNazanin" w:eastAsia="IRNazanin" w:cs="IRNazanin"/>
          <w:lang w:bidi="fa-IR"/>
          <w:color w:val="111111"/>
          <w:sz w:val="28"/>
          <w:szCs w:val="28"/>
          <w:rtl/>
        </w:rPr>
        <w:t xml:space="preserve">وابسته به: قصیده نونيه = قصيده بال مرصع؛ فاخر رازی، ابوالمفاخر (۶)</w:t>
      </w:r>
    </w:p>
    <w:p>
      <w:pPr>
        <w:pStyle w:val="BookText"/>
      </w:pPr>
      <w:r>
        <w:rPr>
          <w:rFonts w:ascii="IRNazanin" w:hAnsi="IRNazanin" w:eastAsia="IRNazanin" w:cs="IRNazanin"/>
          <w:lang w:bidi="fa-IR"/>
          <w:color w:val="111111"/>
          <w:sz w:val="28"/>
          <w:szCs w:val="28"/>
          <w:rtl/>
        </w:rPr>
        <w:t xml:space="preserve">تهران؛ دانشگاه؛ شماره نسخه: ۹۵۹۶/۵</w:t>
      </w:r>
    </w:p>
    <w:p>
      <w:pPr>
        <w:pStyle w:val="BookText"/>
      </w:pPr>
      <w:r>
        <w:rPr>
          <w:rFonts w:ascii="IRNazanin" w:hAnsi="IRNazanin" w:eastAsia="IRNazanin" w:cs="IRNazanin"/>
          <w:lang w:bidi="fa-IR"/>
          <w:color w:val="111111"/>
          <w:sz w:val="28"/>
          <w:szCs w:val="28"/>
          <w:rtl/>
        </w:rPr>
        <w:t xml:space="preserve">آغاز: قرطه زر چاک زد لعبت سیمین بدن***اشک ملمع فشاند شمع مرصع لگن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74" w:name="pg20363_209533"/>
    <w:bookmarkEnd w:id="274"/>
    <w:p>
      <w:pPr>
        <w:pStyle w:val="BookText"/>
      </w:pPr>
      <w:r>
        <w:rPr>
          <w:rFonts w:ascii="IRNazanin" w:hAnsi="IRNazanin" w:eastAsia="IRNazanin" w:cs="IRNazanin"/>
          <w:lang w:bidi="fa-IR"/>
          <w:color w:val="111111"/>
          <w:sz w:val="28"/>
          <w:szCs w:val="28"/>
          <w:rtl/>
        </w:rPr>
        <w:t xml:space="preserve">بی کا، بی تا [ف: ۱۷-۴۱۶]</w:t>
      </w:r>
    </w:p>
    <w:p>
      <w:pPr>
        <w:pStyle w:val="Heading3"/>
      </w:pPr>
      <w:bookmarkStart w:id="1618" w:name="_Toc878"/>
      <w:r>
        <w:t>• پاسخ قصيده بال مرصع / شعر / فارسی</w:t>
      </w:r>
      <w:bookmarkEnd w:id="1618"/>
    </w:p>
    <w:p>
      <w:pPr>
        <w:pStyle w:val="BookText"/>
      </w:pPr>
      <w:r>
        <w:rPr>
          <w:rFonts w:ascii="IRNazanin" w:hAnsi="IRNazanin" w:eastAsia="IRNazanin" w:cs="IRNazanin"/>
          <w:lang w:bidi="fa-IR"/>
          <w:color w:val="111111"/>
          <w:sz w:val="28"/>
          <w:szCs w:val="28"/>
          <w:rtl/>
        </w:rPr>
        <w:t xml:space="preserve">ابیوردی، سودایی، ۸۵۳- قمری</w:t>
      </w:r>
    </w:p>
    <w:p>
      <w:pPr>
        <w:pStyle w:val="BookText"/>
      </w:pPr>
      <w:r>
        <w:rPr>
          <w:rFonts w:ascii="Times New Roman" w:hAnsi="Times New Roman" w:eastAsia="Times New Roman" w:cs="Times New Roman"/>
          <w:lang w:val="en-US" w:bidi="en-US"/>
          <w:color w:val="111111"/>
          <w:sz w:val="28"/>
          <w:szCs w:val="28"/>
          <w:rtl/>
        </w:rPr>
        <w:t xml:space="preserve">pāsox-e qasīde-ye bāl-e morassa'</w:t>
      </w:r>
    </w:p>
    <w:p>
      <w:pPr>
        <w:pStyle w:val="BookText"/>
      </w:pPr>
      <w:r>
        <w:rPr>
          <w:rFonts w:ascii="Times New Roman" w:hAnsi="Times New Roman" w:eastAsia="Times New Roman" w:cs="Times New Roman"/>
          <w:lang w:val="en-US" w:bidi="en-US"/>
          <w:color w:val="111111"/>
          <w:sz w:val="28"/>
          <w:szCs w:val="28"/>
          <w:rtl/>
        </w:rPr>
        <w:t xml:space="preserve">abīvardī, sowdā’ī (- 1450)</w:t>
      </w:r>
    </w:p>
    <w:p>
      <w:pPr>
        <w:pStyle w:val="BookText"/>
      </w:pPr>
      <w:r>
        <w:rPr>
          <w:rFonts w:ascii="IRNazanin" w:hAnsi="IRNazanin" w:eastAsia="IRNazanin" w:cs="IRNazanin"/>
          <w:lang w:bidi="fa-IR"/>
          <w:color w:val="111111"/>
          <w:sz w:val="28"/>
          <w:szCs w:val="28"/>
          <w:rtl/>
        </w:rPr>
        <w:t xml:space="preserve">وابسته به: قصیده نونيه = قصيده بال مرصع؛ فاخر رازی، ابوالمفاخر (۶)</w:t>
      </w:r>
    </w:p>
    <w:p>
      <w:pPr>
        <w:pStyle w:val="BookText"/>
      </w:pPr>
      <w:r>
        <w:rPr>
          <w:rFonts w:ascii="IRNazanin" w:hAnsi="IRNazanin" w:eastAsia="IRNazanin" w:cs="IRNazanin"/>
          <w:lang w:bidi="fa-IR"/>
          <w:color w:val="111111"/>
          <w:sz w:val="28"/>
          <w:szCs w:val="28"/>
          <w:rtl/>
        </w:rPr>
        <w:t xml:space="preserve">تهران؛ دانشگاه؛ شماره نسخه: ۹۵۹۶/۶</w:t>
      </w:r>
    </w:p>
    <w:p>
      <w:pPr>
        <w:pStyle w:val="BookText"/>
      </w:pPr>
      <w:r>
        <w:rPr>
          <w:rFonts w:ascii="IRNazanin" w:hAnsi="IRNazanin" w:eastAsia="IRNazanin" w:cs="IRNazanin"/>
          <w:lang w:bidi="fa-IR"/>
          <w:color w:val="111111"/>
          <w:sz w:val="28"/>
          <w:szCs w:val="28"/>
          <w:rtl/>
        </w:rPr>
        <w:t xml:space="preserve">بی کا، بی تا [ف: ۱۷-۴۱۶)</w:t>
      </w:r>
    </w:p>
    <w:p>
      <w:pPr>
        <w:pStyle w:val="Heading3"/>
      </w:pPr>
      <w:bookmarkStart w:id="1619" w:name="_Toc879"/>
      <w:r>
        <w:t>• پاسخ قصيده بال مرصع / شعر / فارسی</w:t>
      </w:r>
      <w:bookmarkEnd w:id="1619"/>
    </w:p>
    <w:p>
      <w:pPr>
        <w:pStyle w:val="BookText"/>
      </w:pPr>
      <w:r>
        <w:rPr>
          <w:rFonts w:ascii="Times New Roman" w:hAnsi="Times New Roman" w:eastAsia="Times New Roman" w:cs="Times New Roman"/>
          <w:lang w:val="en-US" w:bidi="en-US"/>
          <w:color w:val="111111"/>
          <w:sz w:val="28"/>
          <w:szCs w:val="28"/>
          <w:rtl/>
        </w:rPr>
        <w:t xml:space="preserve">pāsox-e qasīde-ye bāl-e morassa</w:t>
      </w:r>
    </w:p>
    <w:p>
      <w:pPr>
        <w:pStyle w:val="BookText"/>
      </w:pPr>
      <w:r>
        <w:rPr>
          <w:rFonts w:ascii="IRNazanin" w:hAnsi="IRNazanin" w:eastAsia="IRNazanin" w:cs="IRNazanin"/>
          <w:lang w:bidi="fa-IR"/>
          <w:color w:val="111111"/>
          <w:sz w:val="28"/>
          <w:szCs w:val="28"/>
          <w:rtl/>
        </w:rPr>
        <w:t xml:space="preserve">ابن حسام، محمد بن حسام الدین، ۸۷۵؟ قمری</w:t>
      </w:r>
    </w:p>
    <w:p>
      <w:pPr>
        <w:pStyle w:val="BookText"/>
      </w:pPr>
      <w:r>
        <w:rPr>
          <w:rFonts w:ascii="Times New Roman" w:hAnsi="Times New Roman" w:eastAsia="Times New Roman" w:cs="Times New Roman"/>
          <w:lang w:val="en-US" w:bidi="en-US"/>
          <w:color w:val="111111"/>
          <w:sz w:val="28"/>
          <w:szCs w:val="28"/>
          <w:rtl/>
        </w:rPr>
        <w:t xml:space="preserve">ebn-e hosām, mohammad ebn-e hosām-od-dīn (- 1471)</w:t>
      </w:r>
    </w:p>
    <w:p>
      <w:pPr>
        <w:pStyle w:val="BookText"/>
      </w:pPr>
      <w:r>
        <w:rPr>
          <w:rFonts w:ascii="IRNazanin" w:hAnsi="IRNazanin" w:eastAsia="IRNazanin" w:cs="IRNazanin"/>
          <w:lang w:bidi="fa-IR"/>
          <w:color w:val="111111"/>
          <w:sz w:val="28"/>
          <w:szCs w:val="28"/>
          <w:rtl/>
        </w:rPr>
        <w:t xml:space="preserve">وابسته به: قصیده نونيه = قصيده بال مرصع؛ فاخر رازی، ابوالمفاخر (۶)</w:t>
      </w:r>
    </w:p>
    <w:p>
      <w:pPr>
        <w:pStyle w:val="BookText"/>
      </w:pPr>
      <w:r>
        <w:rPr>
          <w:rFonts w:ascii="IRNazanin" w:hAnsi="IRNazanin" w:eastAsia="IRNazanin" w:cs="IRNazanin"/>
          <w:lang w:bidi="fa-IR"/>
          <w:color w:val="111111"/>
          <w:sz w:val="28"/>
          <w:szCs w:val="28"/>
          <w:rtl/>
        </w:rPr>
        <w:t xml:space="preserve">تهران؛ دانشگاه؛ شماره نسخه: ۹۵۹۶/۷</w:t>
      </w:r>
    </w:p>
    <w:p>
      <w:pPr>
        <w:pStyle w:val="BookText"/>
      </w:pPr>
      <w:r>
        <w:rPr>
          <w:rFonts w:ascii="IRNazanin" w:hAnsi="IRNazanin" w:eastAsia="IRNazanin" w:cs="IRNazanin"/>
          <w:lang w:bidi="fa-IR"/>
          <w:color w:val="111111"/>
          <w:sz w:val="28"/>
          <w:szCs w:val="28"/>
          <w:rtl/>
        </w:rPr>
        <w:t xml:space="preserve">بی کا، بی تا [ف: ۱۷-۴۱۶]</w:t>
      </w:r>
    </w:p>
    <w:p>
      <w:pPr>
        <w:pStyle w:val="Heading3"/>
      </w:pPr>
      <w:bookmarkStart w:id="1620" w:name="_Toc880"/>
      <w:r>
        <w:t>• پاسخ قصيده بال مرصع / شعر / فارسی</w:t>
      </w:r>
      <w:bookmarkEnd w:id="1620"/>
    </w:p>
    <w:p>
      <w:pPr>
        <w:pStyle w:val="BookText"/>
      </w:pPr>
      <w:r>
        <w:rPr>
          <w:rFonts w:ascii="Times New Roman" w:hAnsi="Times New Roman" w:eastAsia="Times New Roman" w:cs="Times New Roman"/>
          <w:lang w:val="en-US" w:bidi="en-US"/>
          <w:color w:val="111111"/>
          <w:sz w:val="28"/>
          <w:szCs w:val="28"/>
          <w:rtl/>
        </w:rPr>
        <w:t xml:space="preserve">pāsox-e qasīde-ye bāl-e morassa</w:t>
      </w:r>
    </w:p>
    <w:p>
      <w:pPr>
        <w:pStyle w:val="BookText"/>
      </w:pPr>
      <w:r>
        <w:rPr>
          <w:rFonts w:ascii="IRNazanin" w:hAnsi="IRNazanin" w:eastAsia="IRNazanin" w:cs="IRNazanin"/>
          <w:lang w:bidi="fa-IR"/>
          <w:color w:val="111111"/>
          <w:sz w:val="28"/>
          <w:szCs w:val="28"/>
          <w:rtl/>
        </w:rPr>
        <w:t xml:space="preserve">هلالی جغتایی، بدر الدين، -۹۳۵؟ قمری</w:t>
      </w:r>
    </w:p>
    <w:p>
      <w:pPr>
        <w:pStyle w:val="BookText"/>
      </w:pPr>
      <w:r>
        <w:rPr>
          <w:rFonts w:ascii="Times New Roman" w:hAnsi="Times New Roman" w:eastAsia="Times New Roman" w:cs="Times New Roman"/>
          <w:lang w:val="en-US" w:bidi="en-US"/>
          <w:color w:val="111111"/>
          <w:sz w:val="28"/>
          <w:szCs w:val="28"/>
          <w:rtl/>
        </w:rPr>
        <w:t xml:space="preserve">helālī joqatāyī, badr-od-dīn (- 1529)</w:t>
      </w:r>
    </w:p>
    <w:p>
      <w:pPr>
        <w:pStyle w:val="BookText"/>
      </w:pPr>
      <w:r>
        <w:rPr>
          <w:rFonts w:ascii="IRNazanin" w:hAnsi="IRNazanin" w:eastAsia="IRNazanin" w:cs="IRNazanin"/>
          <w:lang w:bidi="fa-IR"/>
          <w:color w:val="111111"/>
          <w:sz w:val="28"/>
          <w:szCs w:val="28"/>
          <w:rtl/>
        </w:rPr>
        <w:t xml:space="preserve">وابسته به: قصیده نونيه = قصيده بال ابوالمفاخر (۶)</w:t>
      </w:r>
    </w:p>
    <w:p>
      <w:pPr>
        <w:pStyle w:val="BookText"/>
      </w:pPr>
      <w:r>
        <w:rPr>
          <w:rFonts w:ascii="IRNazanin" w:hAnsi="IRNazanin" w:eastAsia="IRNazanin" w:cs="IRNazanin"/>
          <w:lang w:bidi="fa-IR"/>
          <w:color w:val="111111"/>
          <w:sz w:val="28"/>
          <w:szCs w:val="28"/>
          <w:rtl/>
        </w:rPr>
        <w:t xml:space="preserve">مرصع؛ فاخر رازی،</w:t>
      </w:r>
    </w:p>
    <w:p>
      <w:pPr>
        <w:pStyle w:val="BookText"/>
      </w:pPr>
      <w:r>
        <w:rPr>
          <w:rFonts w:ascii="IRNazanin" w:hAnsi="IRNazanin" w:eastAsia="IRNazanin" w:cs="IRNazanin"/>
          <w:lang w:bidi="fa-IR"/>
          <w:color w:val="111111"/>
          <w:sz w:val="28"/>
          <w:szCs w:val="28"/>
          <w:rtl/>
        </w:rPr>
        <w:t xml:space="preserve">تهران؛ دانشگاه؛ شماره نسخه: ۹۵۹۶/۹</w:t>
      </w:r>
    </w:p>
    <w:p>
      <w:pPr>
        <w:pStyle w:val="BookText"/>
      </w:pPr>
      <w:r>
        <w:rPr>
          <w:rFonts w:ascii="IRNazanin" w:hAnsi="IRNazanin" w:eastAsia="IRNazanin" w:cs="IRNazanin"/>
          <w:lang w:bidi="fa-IR"/>
          <w:color w:val="111111"/>
          <w:sz w:val="28"/>
          <w:szCs w:val="28"/>
          <w:rtl/>
        </w:rPr>
        <w:t xml:space="preserve">آغاز: تخت مرصع گرفت شاه ملمع بدن ***جیب مرقع درید شاهد گل پیرهن</w:t>
      </w:r>
    </w:p>
    <w:p>
      <w:pPr>
        <w:pStyle w:val="BookText"/>
      </w:pPr>
      <w:r>
        <w:rPr>
          <w:rFonts w:ascii="IRNazanin" w:hAnsi="IRNazanin" w:eastAsia="IRNazanin" w:cs="IRNazanin"/>
          <w:lang w:bidi="fa-IR"/>
          <w:color w:val="111111"/>
          <w:sz w:val="28"/>
          <w:szCs w:val="28"/>
          <w:rtl/>
        </w:rPr>
        <w:t xml:space="preserve">بی کا، بی تا [ف: ۱۷-۴۱۶)</w:t>
      </w:r>
    </w:p>
    <w:p>
      <w:pPr>
        <w:pStyle w:val="Heading3"/>
      </w:pPr>
      <w:bookmarkStart w:id="1621" w:name="_Toc881"/>
      <w:r>
        <w:t>• پاسخ قصيده بال مرصع / شعر / فارسی</w:t>
      </w:r>
      <w:bookmarkEnd w:id="1621"/>
    </w:p>
    <w:p>
      <w:pPr>
        <w:pStyle w:val="BookText"/>
      </w:pPr>
      <w:r>
        <w:rPr>
          <w:rFonts w:ascii="Times New Roman" w:hAnsi="Times New Roman" w:eastAsia="Times New Roman" w:cs="Times New Roman"/>
          <w:lang w:val="en-US" w:bidi="en-US"/>
          <w:color w:val="111111"/>
          <w:sz w:val="28"/>
          <w:szCs w:val="28"/>
          <w:rtl/>
        </w:rPr>
        <w:t xml:space="preserve">pāsox-e qasīde-ye bāl-e morassa“</w:t>
      </w:r>
    </w:p>
    <w:p>
      <w:pPr>
        <w:pStyle w:val="BookText"/>
      </w:pPr>
      <w:r>
        <w:rPr>
          <w:rFonts w:ascii="IRNazanin" w:hAnsi="IRNazanin" w:eastAsia="IRNazanin" w:cs="IRNazanin"/>
          <w:lang w:bidi="fa-IR"/>
          <w:color w:val="111111"/>
          <w:sz w:val="28"/>
          <w:szCs w:val="28"/>
          <w:rtl/>
        </w:rPr>
        <w:t xml:space="preserve">اطحمه، نظام الدین احمد</w:t>
      </w:r>
    </w:p>
    <w:p>
      <w:pPr>
        <w:pStyle w:val="BookText"/>
      </w:pPr>
      <w:r>
        <w:rPr>
          <w:rFonts w:ascii="Times New Roman" w:hAnsi="Times New Roman" w:eastAsia="Times New Roman" w:cs="Times New Roman"/>
          <w:lang w:val="en-US" w:bidi="en-US"/>
          <w:color w:val="111111"/>
          <w:sz w:val="28"/>
          <w:szCs w:val="28"/>
          <w:rtl/>
        </w:rPr>
        <w:t xml:space="preserve">athame, nezām-od-dīn ahmad</w:t>
      </w:r>
    </w:p>
    <w:p>
      <w:pPr>
        <w:pStyle w:val="BookText"/>
      </w:pPr>
      <w:r>
        <w:rPr>
          <w:rFonts w:ascii="IRNazanin" w:hAnsi="IRNazanin" w:eastAsia="IRNazanin" w:cs="IRNazanin"/>
          <w:lang w:bidi="fa-IR"/>
          <w:color w:val="111111"/>
          <w:sz w:val="28"/>
          <w:szCs w:val="28"/>
          <w:rtl/>
        </w:rPr>
        <w:t xml:space="preserve">وابسته به: قصیده نونيه = قصيده بال مرصع؛ فاخر رازی،</w:t>
      </w:r>
    </w:p>
    <w:p>
      <w:pPr>
        <w:pStyle w:val="BookText"/>
      </w:pPr>
      <w:r>
        <w:rPr>
          <w:rFonts w:ascii="IRNazanin" w:hAnsi="IRNazanin" w:eastAsia="IRNazanin" w:cs="IRNazanin"/>
          <w:lang w:bidi="fa-IR"/>
          <w:color w:val="111111"/>
          <w:sz w:val="28"/>
          <w:szCs w:val="28"/>
          <w:rtl/>
        </w:rPr>
        <w:t xml:space="preserve">ابو المفاخر (۶)</w:t>
      </w:r>
    </w:p>
    <w:p>
      <w:pPr>
        <w:pStyle w:val="BookText"/>
      </w:pPr>
      <w:r>
        <w:rPr>
          <w:rFonts w:ascii="IRNazanin" w:hAnsi="IRNazanin" w:eastAsia="IRNazanin" w:cs="IRNazanin"/>
          <w:lang w:bidi="fa-IR"/>
          <w:color w:val="111111"/>
          <w:sz w:val="28"/>
          <w:szCs w:val="28"/>
          <w:rtl/>
        </w:rPr>
        <w:t xml:space="preserve">تهران؛ دانشگاه؛ شماره نسخه: ۹۵۹۶/۱۴</w:t>
      </w:r>
    </w:p>
    <w:p>
      <w:pPr>
        <w:pStyle w:val="BookText"/>
      </w:pPr>
      <w:r>
        <w:rPr>
          <w:rFonts w:ascii="IRNazanin" w:hAnsi="IRNazanin" w:eastAsia="IRNazanin" w:cs="IRNazanin"/>
          <w:lang w:bidi="fa-IR"/>
          <w:color w:val="111111"/>
          <w:sz w:val="28"/>
          <w:szCs w:val="28"/>
          <w:rtl/>
        </w:rPr>
        <w:t xml:space="preserve">آغاز: قلیه شامی کشید صبح ملمع بدن*** هاون زرینه گرفت مطبخی سیم تن بی کا، بی تا [ف: ۱۷-۴۱۶]</w:t>
      </w:r>
    </w:p>
    <w:p>
      <w:pPr>
        <w:pStyle w:val="Heading3"/>
      </w:pPr>
      <w:bookmarkStart w:id="1622" w:name="_Toc882"/>
      <w:r>
        <w:t>• پاسخ قصيده بال مرصع / شعر / فارسی</w:t>
      </w:r>
      <w:bookmarkEnd w:id="1622"/>
    </w:p>
    <w:p>
      <w:pPr>
        <w:pStyle w:val="BookText"/>
      </w:pPr>
      <w:r>
        <w:rPr>
          <w:rFonts w:ascii="Times New Roman" w:hAnsi="Times New Roman" w:eastAsia="Times New Roman" w:cs="Times New Roman"/>
          <w:lang w:val="en-US" w:bidi="en-US"/>
          <w:color w:val="111111"/>
          <w:sz w:val="28"/>
          <w:szCs w:val="28"/>
          <w:rtl/>
        </w:rPr>
        <w:t xml:space="preserve">pāsox-e qasīde-ye bāl-e morassa</w:t>
      </w:r>
    </w:p>
    <w:p>
      <w:pPr>
        <w:pStyle w:val="BookText"/>
      </w:pPr>
      <w:r>
        <w:rPr>
          <w:rFonts w:ascii="IRNazanin" w:hAnsi="IRNazanin" w:eastAsia="IRNazanin" w:cs="IRNazanin"/>
          <w:lang w:bidi="fa-IR"/>
          <w:color w:val="111111"/>
          <w:sz w:val="28"/>
          <w:szCs w:val="28"/>
          <w:rtl/>
        </w:rPr>
        <w:t xml:space="preserve">خاوری قزوینی، آقا معصوم</w:t>
      </w:r>
    </w:p>
    <w:p>
      <w:pPr>
        <w:pStyle w:val="BookText"/>
      </w:pPr>
      <w:r>
        <w:rPr>
          <w:rFonts w:ascii="Times New Roman" w:hAnsi="Times New Roman" w:eastAsia="Times New Roman" w:cs="Times New Roman"/>
          <w:lang w:val="en-US" w:bidi="en-US"/>
          <w:color w:val="111111"/>
          <w:sz w:val="28"/>
          <w:szCs w:val="28"/>
          <w:rtl/>
        </w:rPr>
        <w:t xml:space="preserve">xavari qazvini, aqa masum</w:t>
      </w:r>
    </w:p>
    <w:p>
      <w:pPr>
        <w:pStyle w:val="BookText"/>
      </w:pPr>
      <w:r>
        <w:rPr>
          <w:rFonts w:ascii="IRNazanin" w:hAnsi="IRNazanin" w:eastAsia="IRNazanin" w:cs="IRNazanin"/>
          <w:lang w:bidi="fa-IR"/>
          <w:color w:val="111111"/>
          <w:sz w:val="28"/>
          <w:szCs w:val="28"/>
          <w:rtl/>
        </w:rPr>
        <w:t xml:space="preserve">وابسته به: قصیده نونيه = قصيده بال مرصع؛ فاخر رازی، ابوالمفاخر (۶)</w:t>
      </w:r>
    </w:p>
    <w:p>
      <w:pPr>
        <w:pStyle w:val="BookText"/>
      </w:pPr>
      <w:r>
        <w:rPr>
          <w:rFonts w:ascii="IRNazanin" w:hAnsi="IRNazanin" w:eastAsia="IRNazanin" w:cs="IRNazanin"/>
          <w:lang w:bidi="fa-IR"/>
          <w:color w:val="111111"/>
          <w:sz w:val="28"/>
          <w:szCs w:val="28"/>
          <w:rtl/>
        </w:rPr>
        <w:t xml:space="preserve">تهران؛ دانشگاه، شماره نسخه: ۹۵۹۶/۱۱</w:t>
      </w:r>
    </w:p>
    <w:p>
      <w:pPr>
        <w:pStyle w:val="BookText"/>
      </w:pPr>
      <w:r>
        <w:rPr>
          <w:rFonts w:ascii="IRNazanin" w:hAnsi="IRNazanin" w:eastAsia="IRNazanin" w:cs="IRNazanin"/>
          <w:lang w:bidi="fa-IR"/>
          <w:color w:val="111111"/>
          <w:sz w:val="28"/>
          <w:szCs w:val="28"/>
          <w:rtl/>
        </w:rPr>
        <w:t xml:space="preserve">آغاز: خسرو خاور چو کند جوشن زرین زتن***گشته پلگینه پوش سحنه دیر کهن بی کا، بی تا [ف: ۱۷-۴۱۶]</w:t>
      </w:r>
    </w:p>
    <w:p>
      <w:pPr>
        <w:pStyle w:val="Heading3"/>
      </w:pPr>
      <w:bookmarkStart w:id="1623" w:name="_Toc883"/>
      <w:r>
        <w:t>• پاسخ قصيده بال مرصع / ادبیات / فارسی</w:t>
      </w:r>
      <w:bookmarkEnd w:id="1623"/>
    </w:p>
    <w:p>
      <w:pPr>
        <w:pStyle w:val="BookText"/>
      </w:pPr>
      <w:r>
        <w:rPr>
          <w:rFonts w:ascii="Times New Roman" w:hAnsi="Times New Roman" w:eastAsia="Times New Roman" w:cs="Times New Roman"/>
          <w:lang w:val="en-US" w:bidi="en-US"/>
          <w:color w:val="111111"/>
          <w:sz w:val="28"/>
          <w:szCs w:val="28"/>
          <w:rtl/>
        </w:rPr>
        <w:t xml:space="preserve">pāsox-e qasīde-ye bāl-e morassa'</w:t>
      </w:r>
    </w:p>
    <w:p>
      <w:pPr>
        <w:pStyle w:val="BookText"/>
      </w:pPr>
      <w:r>
        <w:rPr>
          <w:rFonts w:ascii="IRNazanin" w:hAnsi="IRNazanin" w:eastAsia="IRNazanin" w:cs="IRNazanin"/>
          <w:lang w:bidi="fa-IR"/>
          <w:color w:val="111111"/>
          <w:sz w:val="28"/>
          <w:szCs w:val="28"/>
          <w:rtl/>
        </w:rPr>
        <w:t xml:space="preserve">شوقی نراقی</w:t>
      </w:r>
    </w:p>
    <w:p>
      <w:pPr>
        <w:pStyle w:val="BookText"/>
      </w:pPr>
      <w:r>
        <w:rPr>
          <w:rFonts w:ascii="Times New Roman" w:hAnsi="Times New Roman" w:eastAsia="Times New Roman" w:cs="Times New Roman"/>
          <w:lang w:val="en-US" w:bidi="en-US"/>
          <w:color w:val="111111"/>
          <w:sz w:val="28"/>
          <w:szCs w:val="28"/>
          <w:rtl/>
        </w:rPr>
        <w:t xml:space="preserve">šowqī narāqī</w:t>
      </w:r>
    </w:p>
    <w:p>
      <w:pPr>
        <w:pStyle w:val="BookText"/>
      </w:pPr>
      <w:r>
        <w:rPr>
          <w:rFonts w:ascii="IRNazanin" w:hAnsi="IRNazanin" w:eastAsia="IRNazanin" w:cs="IRNazanin"/>
          <w:lang w:bidi="fa-IR"/>
          <w:color w:val="111111"/>
          <w:sz w:val="28"/>
          <w:szCs w:val="28"/>
          <w:rtl/>
        </w:rPr>
        <w:t xml:space="preserve">وابسته به: قصیده نونيه = قصيده بال مرصع؛ فاخر رازی، ابوالمفاخر (۶)</w:t>
      </w:r>
    </w:p>
    <w:p>
      <w:pPr>
        <w:pStyle w:val="BookText"/>
      </w:pPr>
      <w:r>
        <w:rPr>
          <w:rFonts w:ascii="IRNazanin" w:hAnsi="IRNazanin" w:eastAsia="IRNazanin" w:cs="IRNazanin"/>
          <w:lang w:bidi="fa-IR"/>
          <w:color w:val="111111"/>
          <w:sz w:val="28"/>
          <w:szCs w:val="28"/>
          <w:rtl/>
        </w:rPr>
        <w:t xml:space="preserve">تهران؛ دانشگاه؛ شماره نسخه: ۹۵۹۶/۱۰</w:t>
      </w:r>
    </w:p>
    <w:p>
      <w:pPr>
        <w:pStyle w:val="BookText"/>
      </w:pPr>
      <w:r>
        <w:rPr>
          <w:rFonts w:ascii="IRNazanin" w:hAnsi="IRNazanin" w:eastAsia="IRNazanin" w:cs="IRNazanin"/>
          <w:lang w:bidi="fa-IR"/>
          <w:color w:val="111111"/>
          <w:sz w:val="28"/>
          <w:szCs w:val="28"/>
          <w:rtl/>
        </w:rPr>
        <w:t xml:space="preserve">آغاز: مشعب گیتی فروز صبح چو شد شعله زن***داد جهان را فروغ شمع لكن؟ بی کا، بی تا [ف: ۱۷-۴۱۶]</w:t>
      </w:r>
    </w:p>
    <w:p>
      <w:pPr>
        <w:pStyle w:val="Heading3"/>
      </w:pPr>
      <w:bookmarkStart w:id="1624" w:name="_Toc884"/>
      <w:r>
        <w:t>•پاسخ قصيده بال مرصع / شعر / فارسی</w:t>
      </w:r>
      <w:bookmarkEnd w:id="1624"/>
    </w:p>
    <w:p>
      <w:pPr>
        <w:pStyle w:val="BookText"/>
      </w:pPr>
      <w:r>
        <w:rPr>
          <w:rFonts w:ascii="Times New Roman" w:hAnsi="Times New Roman" w:eastAsia="Times New Roman" w:cs="Times New Roman"/>
          <w:lang w:val="en-US" w:bidi="en-US"/>
          <w:color w:val="111111"/>
          <w:sz w:val="28"/>
          <w:szCs w:val="28"/>
          <w:rtl/>
        </w:rPr>
        <w:t xml:space="preserve">pāsox-e qasīde-ye bāl-e morassa</w:t>
      </w:r>
    </w:p>
    <w:p>
      <w:pPr>
        <w:pStyle w:val="BookText"/>
      </w:pPr>
      <w:r>
        <w:rPr>
          <w:rFonts w:ascii="IRNazanin" w:hAnsi="IRNazanin" w:eastAsia="IRNazanin" w:cs="IRNazanin"/>
          <w:lang w:bidi="fa-IR"/>
          <w:color w:val="111111"/>
          <w:sz w:val="28"/>
          <w:szCs w:val="28"/>
          <w:rtl/>
        </w:rPr>
        <w:t xml:space="preserve">کاشی، رسول</w:t>
      </w:r>
    </w:p>
    <w:p>
      <w:pPr>
        <w:pStyle w:val="BookText"/>
      </w:pPr>
      <w:r>
        <w:rPr>
          <w:rFonts w:ascii="Times New Roman" w:hAnsi="Times New Roman" w:eastAsia="Times New Roman" w:cs="Times New Roman"/>
          <w:lang w:val="en-US" w:bidi="en-US"/>
          <w:color w:val="111111"/>
          <w:sz w:val="28"/>
          <w:szCs w:val="28"/>
          <w:rtl/>
        </w:rPr>
        <w:t xml:space="preserve">kāšī, rasul</w:t>
      </w:r>
    </w:p>
    <w:p>
      <w:pPr>
        <w:pStyle w:val="BookText"/>
      </w:pPr>
      <w:r>
        <w:rPr>
          <w:rFonts w:ascii="IRNazanin" w:hAnsi="IRNazanin" w:eastAsia="IRNazanin" w:cs="IRNazanin"/>
          <w:lang w:bidi="fa-IR"/>
          <w:color w:val="111111"/>
          <w:sz w:val="28"/>
          <w:szCs w:val="28"/>
          <w:rtl/>
        </w:rPr>
        <w:t xml:space="preserve">وابسته به: قصیده نونيه = قصيده بال مرصع فاخر رازی، ابوالمفاخر (۶)</w:t>
      </w:r>
    </w:p>
    <w:p>
      <w:pPr>
        <w:pStyle w:val="BookText"/>
      </w:pPr>
      <w:r>
        <w:rPr>
          <w:rFonts w:ascii="IRNazanin" w:hAnsi="IRNazanin" w:eastAsia="IRNazanin" w:cs="IRNazanin"/>
          <w:lang w:bidi="fa-IR"/>
          <w:color w:val="111111"/>
          <w:sz w:val="28"/>
          <w:szCs w:val="28"/>
          <w:rtl/>
        </w:rPr>
        <w:t xml:space="preserve">تهران؛ دانشگاه؛ شماره نسخه: ۹۵۹۶/۱۲</w:t>
      </w:r>
    </w:p>
    <w:p>
      <w:pPr>
        <w:pStyle w:val="BookText"/>
      </w:pPr>
      <w:r>
        <w:rPr>
          <w:rFonts w:ascii="IRNazanin" w:hAnsi="IRNazanin" w:eastAsia="IRNazanin" w:cs="IRNazanin"/>
          <w:lang w:bidi="fa-IR"/>
          <w:color w:val="111111"/>
          <w:sz w:val="28"/>
          <w:szCs w:val="28"/>
          <w:rtl/>
        </w:rPr>
        <w:t xml:space="preserve">آغاز: رفت و در آشیان طوطی شکر شکن***جلو گه زاغ شد عرضه این نه چمن بی کا، بی تا [ف: ۱۷-۴۱۶]</w:t>
      </w:r>
    </w:p>
    <w:p>
      <w:pPr>
        <w:pStyle w:val="Heading3"/>
      </w:pPr>
      <w:bookmarkStart w:id="1625" w:name="_Toc885"/>
      <w:r>
        <w:t>•پاسخ قنبر به سؤال / متفرقه / عربی، فارسی</w:t>
      </w:r>
      <w:bookmarkEnd w:id="1625"/>
    </w:p>
    <w:p>
      <w:pPr>
        <w:pStyle w:val="BookText"/>
      </w:pPr>
      <w:r>
        <w:rPr>
          <w:rFonts w:ascii="Times New Roman" w:hAnsi="Times New Roman" w:eastAsia="Times New Roman" w:cs="Times New Roman"/>
          <w:lang w:val="en-US" w:bidi="en-US"/>
          <w:color w:val="111111"/>
          <w:sz w:val="28"/>
          <w:szCs w:val="28"/>
          <w:rtl/>
        </w:rPr>
        <w:t xml:space="preserve">pāsox-e qanbar be so'āl</w:t>
      </w:r>
    </w:p>
    <w:p>
      <w:pPr>
        <w:pStyle w:val="BookText"/>
      </w:pPr>
      <w:r>
        <w:rPr>
          <w:rFonts w:ascii="IRNazanin" w:hAnsi="IRNazanin" w:eastAsia="IRNazanin" w:cs="IRNazanin"/>
          <w:lang w:bidi="fa-IR"/>
          <w:color w:val="111111"/>
          <w:sz w:val="28"/>
          <w:szCs w:val="28"/>
          <w:rtl/>
        </w:rPr>
        <w:t xml:space="preserve">تهران؛ مجلس؛ شماره نسخه: ۱۲۰۲/۶۲ -طباطبائی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75" w:name="pg20363_209534"/>
    <w:bookmarkEnd w:id="275"/>
    <w:p>
      <w:pPr>
        <w:pStyle w:val="BookText"/>
      </w:pPr>
      <w:r>
        <w:rPr>
          <w:rFonts w:ascii="IRNazanin" w:hAnsi="IRNazanin" w:eastAsia="IRNazanin" w:cs="IRNazanin"/>
          <w:lang w:bidi="fa-IR"/>
          <w:color w:val="111111"/>
          <w:sz w:val="28"/>
          <w:szCs w:val="28"/>
          <w:rtl/>
        </w:rPr>
        <w:t xml:space="preserve">آغاز: در کتاب رجال کشی مسطور است از قنبر پرسیدند که مولی و غلام کیستی در جواب گفت: انا مولی من ضرب بسيفين خط: نستعلیق، بی کا، تا: قرن ۱۳؛ اص (۵۹ر) [ف: ۲۳-۷۳۳]</w:t>
      </w:r>
    </w:p>
    <w:p>
      <w:pPr>
        <w:pStyle w:val="BookText"/>
      </w:pPr>
      <w:r>
        <w:rPr>
          <w:rFonts w:ascii="IRNazanin" w:hAnsi="IRNazanin" w:eastAsia="IRNazanin" w:cs="IRNazanin"/>
          <w:lang w:bidi="fa-IR"/>
          <w:color w:val="111111"/>
          <w:sz w:val="28"/>
          <w:szCs w:val="28"/>
          <w:rtl/>
        </w:rPr>
        <w:t xml:space="preserve">←پاسخ قونوی به طوسی ← الرسالة الهادية</w:t>
      </w:r>
    </w:p>
    <w:p>
      <w:pPr>
        <w:pStyle w:val="Heading3"/>
      </w:pPr>
      <w:bookmarkStart w:id="1626" w:name="_Toc886"/>
      <w:r>
        <w:t>•پاسخ کامران بیک به شاه گیلان / اسناد / فارسی</w:t>
      </w:r>
      <w:bookmarkEnd w:id="1626"/>
    </w:p>
    <w:p>
      <w:pPr>
        <w:pStyle w:val="BookText"/>
      </w:pPr>
      <w:r>
        <w:rPr>
          <w:rFonts w:ascii="Times New Roman" w:hAnsi="Times New Roman" w:eastAsia="Times New Roman" w:cs="Times New Roman"/>
          <w:lang w:val="en-US" w:bidi="en-US"/>
          <w:color w:val="111111"/>
          <w:sz w:val="28"/>
          <w:szCs w:val="28"/>
          <w:rtl/>
        </w:rPr>
        <w:t xml:space="preserve">pāsox-e kāmrān beyk be šāh-e gīlān</w:t>
      </w:r>
    </w:p>
    <w:p>
      <w:pPr>
        <w:pStyle w:val="BookText"/>
      </w:pPr>
      <w:r>
        <w:rPr>
          <w:rFonts w:ascii="IRNazanin" w:hAnsi="IRNazanin" w:eastAsia="IRNazanin" w:cs="IRNazanin"/>
          <w:lang w:bidi="fa-IR"/>
          <w:color w:val="111111"/>
          <w:sz w:val="28"/>
          <w:szCs w:val="28"/>
          <w:rtl/>
        </w:rPr>
        <w:t xml:space="preserve">تهران؛ ملک؛ شماره نسخه: ۹۷۵/۲۲</w:t>
      </w:r>
    </w:p>
    <w:p>
      <w:pPr>
        <w:pStyle w:val="BookText"/>
      </w:pPr>
      <w:r>
        <w:rPr>
          <w:rFonts w:ascii="IRNazanin" w:hAnsi="IRNazanin" w:eastAsia="IRNazanin" w:cs="IRNazanin"/>
          <w:lang w:bidi="fa-IR"/>
          <w:color w:val="111111"/>
          <w:sz w:val="28"/>
          <w:szCs w:val="28"/>
          <w:rtl/>
        </w:rPr>
        <w:t xml:space="preserve">آغاز: مکتوب شریف اعليحضرت سلطنت پناهی عالیجاهی خط: نستعلیق، بی کا، تا: قرن ۱۱؛ کاغذ: ترمه، رویه میشن قهوه ای یک لا، ۲گ (۶۳ر – ۶۴ر)، ۲۲ سطر، اندازه: ۲۴/۴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[ف: ۷-۹۵]</w:t>
      </w:r>
    </w:p>
    <w:p>
      <w:pPr>
        <w:pStyle w:val="BookText"/>
      </w:pPr>
      <w:r>
        <w:rPr>
          <w:rFonts w:ascii="IRNazanin" w:hAnsi="IRNazanin" w:eastAsia="IRNazanin" w:cs="IRNazanin"/>
          <w:lang w:bidi="fa-IR"/>
          <w:color w:val="111111"/>
          <w:sz w:val="28"/>
          <w:szCs w:val="28"/>
          <w:rtl/>
        </w:rPr>
        <w:t xml:space="preserve">← پاسخ کسروی ← مفتاح بیان</w:t>
      </w:r>
    </w:p>
    <w:p>
      <w:pPr>
        <w:pStyle w:val="Heading3"/>
      </w:pPr>
      <w:bookmarkStart w:id="1627" w:name="_Toc887"/>
      <w:r>
        <w:t>•پاسخ محمد صادقا به نامه میرزا علی بیک درباره جعل فلسفی / فلسفه / فارسی</w:t>
      </w:r>
      <w:bookmarkEnd w:id="1627"/>
    </w:p>
    <w:p>
      <w:pPr>
        <w:pStyle w:val="BookText"/>
      </w:pPr>
      <w:r>
        <w:rPr>
          <w:rFonts w:ascii="Times New Roman" w:hAnsi="Times New Roman" w:eastAsia="Times New Roman" w:cs="Times New Roman"/>
          <w:lang w:val="en-US" w:bidi="en-US"/>
          <w:color w:val="111111"/>
          <w:sz w:val="28"/>
          <w:szCs w:val="28"/>
          <w:rtl/>
        </w:rPr>
        <w:t xml:space="preserve">pāsox-e mohammad sādeqā be nāme-ye mīrzā ‘alī beyk darbāre-ye ja‘l-e falsafī</w:t>
      </w:r>
    </w:p>
    <w:p>
      <w:pPr>
        <w:pStyle w:val="BookText"/>
      </w:pPr>
      <w:r>
        <w:rPr>
          <w:rFonts w:ascii="IRNazanin" w:hAnsi="IRNazanin" w:eastAsia="IRNazanin" w:cs="IRNazanin"/>
          <w:lang w:bidi="fa-IR"/>
          <w:color w:val="111111"/>
          <w:sz w:val="28"/>
          <w:szCs w:val="28"/>
          <w:rtl/>
        </w:rPr>
        <w:t xml:space="preserve">تهران؛ دانشگاه؛ شماره نسخه: ۱۶۳۱/۹ -ف</w:t>
      </w:r>
    </w:p>
    <w:p>
      <w:pPr>
        <w:pStyle w:val="BookText"/>
      </w:pPr>
      <w:r>
        <w:rPr>
          <w:rFonts w:ascii="IRNazanin" w:hAnsi="IRNazanin" w:eastAsia="IRNazanin" w:cs="IRNazanin"/>
          <w:lang w:bidi="fa-IR"/>
          <w:color w:val="111111"/>
          <w:sz w:val="28"/>
          <w:szCs w:val="28"/>
          <w:rtl/>
        </w:rPr>
        <w:t xml:space="preserve">نسخه اصل: مجلس ۱۲۹۰۹ (۲۲۱)؛ بی کا، بی تا [فيلمها ف: ۱-۶۲۴]</w:t>
      </w:r>
    </w:p>
    <w:p>
      <w:pPr>
        <w:pStyle w:val="Heading3"/>
      </w:pPr>
      <w:bookmarkStart w:id="1628" w:name="_Toc888"/>
      <w:r>
        <w:t>•پاسخ مصطفی علی شاه / نامه نگاری، شعر / فارسی</w:t>
      </w:r>
      <w:bookmarkEnd w:id="1628"/>
    </w:p>
    <w:p>
      <w:pPr>
        <w:pStyle w:val="BookText"/>
      </w:pPr>
      <w:r>
        <w:rPr>
          <w:rFonts w:ascii="Times New Roman" w:hAnsi="Times New Roman" w:eastAsia="Times New Roman" w:cs="Times New Roman"/>
          <w:lang w:val="en-US" w:bidi="en-US"/>
          <w:color w:val="111111"/>
          <w:sz w:val="28"/>
          <w:szCs w:val="28"/>
          <w:rtl/>
        </w:rPr>
        <w:t xml:space="preserve">pāsox-e mostafā'alī šāh</w:t>
      </w:r>
    </w:p>
    <w:p>
      <w:pPr>
        <w:pStyle w:val="BookText"/>
      </w:pPr>
      <w:r>
        <w:rPr>
          <w:rFonts w:ascii="IRNazanin" w:hAnsi="IRNazanin" w:eastAsia="IRNazanin" w:cs="IRNazanin"/>
          <w:lang w:bidi="fa-IR"/>
          <w:color w:val="111111"/>
          <w:sz w:val="28"/>
          <w:szCs w:val="28"/>
          <w:rtl/>
        </w:rPr>
        <w:t xml:space="preserve">پاسخ به نامه آقا میرزا هادی قدرت علی شاہ صدر ثانی هر دو به</w:t>
      </w:r>
    </w:p>
    <w:p>
      <w:pPr>
        <w:pStyle w:val="BookText"/>
      </w:pPr>
      <w:r>
        <w:rPr>
          <w:rFonts w:ascii="IRNazanin" w:hAnsi="IRNazanin" w:eastAsia="IRNazanin" w:cs="IRNazanin"/>
          <w:lang w:bidi="fa-IR"/>
          <w:color w:val="111111"/>
          <w:sz w:val="28"/>
          <w:szCs w:val="28"/>
          <w:rtl/>
        </w:rPr>
        <w:t xml:space="preserve">تهران؛ دانشگاه؛ شماره نسخه: ۵۰۵۶/۵</w:t>
      </w:r>
    </w:p>
    <w:p>
      <w:pPr>
        <w:pStyle w:val="BookText"/>
      </w:pPr>
      <w:r>
        <w:rPr>
          <w:rFonts w:ascii="IRNazanin" w:hAnsi="IRNazanin" w:eastAsia="IRNazanin" w:cs="IRNazanin"/>
          <w:lang w:bidi="fa-IR"/>
          <w:color w:val="111111"/>
          <w:sz w:val="28"/>
          <w:szCs w:val="28"/>
          <w:rtl/>
        </w:rPr>
        <w:t xml:space="preserve">خط: نستعلیق، كا: غلامحسین عباداللهی، تا: سه شنبه ۱ محرم ۱۳۴۲ق، کاغذ: فرنگی، جلد: تیماج سبز مقوایی، ۶گ (۱۶۰ر - ۱۶۵پ)، ۱۷ سطر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قطع: ربعی،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۱۵-۴۰۹۹]</w:t>
      </w:r>
    </w:p>
    <w:p>
      <w:pPr>
        <w:pStyle w:val="Heading3"/>
      </w:pPr>
      <w:bookmarkStart w:id="1629" w:name="_Toc889"/>
      <w:r>
        <w:t>•پاسخ مقابی / کلام و اعتقادات / عربی</w:t>
      </w:r>
      <w:bookmarkEnd w:id="1629"/>
    </w:p>
    <w:p>
      <w:pPr>
        <w:pStyle w:val="BookText"/>
      </w:pPr>
      <w:r>
        <w:rPr>
          <w:rFonts w:ascii="Times New Roman" w:hAnsi="Times New Roman" w:eastAsia="Times New Roman" w:cs="Times New Roman"/>
          <w:lang w:val="en-US" w:bidi="en-US"/>
          <w:color w:val="111111"/>
          <w:sz w:val="28"/>
          <w:szCs w:val="28"/>
          <w:rtl/>
        </w:rPr>
        <w:t xml:space="preserve">pāsox-e maqābī</w:t>
      </w:r>
    </w:p>
    <w:p>
      <w:pPr>
        <w:pStyle w:val="BookText"/>
      </w:pPr>
      <w:r>
        <w:rPr>
          <w:rFonts w:ascii="IRNazanin" w:hAnsi="IRNazanin" w:eastAsia="IRNazanin" w:cs="IRNazanin"/>
          <w:lang w:bidi="fa-IR"/>
          <w:color w:val="111111"/>
          <w:sz w:val="28"/>
          <w:szCs w:val="28"/>
          <w:rtl/>
        </w:rPr>
        <w:t xml:space="preserve">مقابی بحرانی، محمد بن على، ق ۱۲ قمری</w:t>
      </w:r>
    </w:p>
    <w:p>
      <w:pPr>
        <w:pStyle w:val="BookText"/>
      </w:pPr>
      <w:r>
        <w:rPr>
          <w:rFonts w:ascii="Times New Roman" w:hAnsi="Times New Roman" w:eastAsia="Times New Roman" w:cs="Times New Roman"/>
          <w:lang w:val="en-US" w:bidi="en-US"/>
          <w:color w:val="111111"/>
          <w:sz w:val="28"/>
          <w:szCs w:val="28"/>
          <w:rtl/>
        </w:rPr>
        <w:t xml:space="preserve">maqābī bahrānī, mohammad ebn-e ‘alī (- 18c)</w:t>
      </w:r>
    </w:p>
    <w:p>
      <w:pPr>
        <w:pStyle w:val="BookText"/>
      </w:pPr>
      <w:r>
        <w:rPr>
          <w:rFonts w:ascii="IRNazanin" w:hAnsi="IRNazanin" w:eastAsia="IRNazanin" w:cs="IRNazanin"/>
          <w:lang w:bidi="fa-IR"/>
          <w:color w:val="111111"/>
          <w:sz w:val="28"/>
          <w:szCs w:val="28"/>
          <w:rtl/>
        </w:rPr>
        <w:t xml:space="preserve">پاسخ سؤالی است در باره عذاب قبر.</w:t>
      </w:r>
    </w:p>
    <w:p>
      <w:pPr>
        <w:pStyle w:val="BookText"/>
      </w:pPr>
      <w:r>
        <w:rPr>
          <w:rFonts w:ascii="IRNazanin" w:hAnsi="IRNazanin" w:eastAsia="IRNazanin" w:cs="IRNazanin"/>
          <w:lang w:bidi="fa-IR"/>
          <w:color w:val="111111"/>
          <w:sz w:val="28"/>
          <w:szCs w:val="28"/>
          <w:rtl/>
        </w:rPr>
        <w:t xml:space="preserve">[دنا ۶۲۶/۲ ]</w:t>
      </w:r>
    </w:p>
    <w:p>
      <w:pPr>
        <w:pStyle w:val="BookText"/>
      </w:pPr>
      <w:r>
        <w:rPr>
          <w:rFonts w:ascii="IRNazanin" w:hAnsi="IRNazanin" w:eastAsia="IRNazanin" w:cs="IRNazanin"/>
          <w:lang w:bidi="fa-IR"/>
          <w:color w:val="111111"/>
          <w:sz w:val="28"/>
          <w:szCs w:val="28"/>
          <w:rtl/>
        </w:rPr>
        <w:t xml:space="preserve">تهران؛ دانشگاه؛ شماره نسخه: ۶۹۵/۲</w:t>
      </w:r>
    </w:p>
    <w:p>
      <w:pPr>
        <w:pStyle w:val="BookText"/>
      </w:pPr>
      <w:r>
        <w:rPr>
          <w:rFonts w:ascii="IRNazanin" w:hAnsi="IRNazanin" w:eastAsia="IRNazanin" w:cs="IRNazanin"/>
          <w:lang w:bidi="fa-IR"/>
          <w:color w:val="111111"/>
          <w:sz w:val="28"/>
          <w:szCs w:val="28"/>
          <w:rtl/>
        </w:rPr>
        <w:t xml:space="preserve">آغاز: بسمله الحمدلله رب العالمين ... فيقول شيخنا الشيخ محمد بن على البحراني أنه قد وردت على من بعض منکری عذاب القبر مسئلة اراد الجواب عنها فلما وردت عليه هذه الرسالة استحسنها فاذعن بالحق بعد الانكار؛ انجام: کالكفار يخدلهم خدالی النار التي خلقها الله في المشرق و فيها كمل كفاية و الله ولی الهداية. و الحمدلله رب العالمين. خط: نسخ، كا: بازیاری، تا: نزدیک ۱۱۶۹ق؛ دنبال آن (در گی ۳۷۲پ -۱۳۷۷) رساله ای است در سرگذشت چهارده معصوم در ۱۴ «باب»؛ کاغذ: فرنگی، جلد: تیماج مشکی کهنه ضربی مقوایی، وگی (۳۶۴پ - ۳۷۲پ)، ۱۷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۳-۵۴۶]</w:t>
      </w:r>
    </w:p>
    <w:p>
      <w:pPr>
        <w:pStyle w:val="BookText"/>
      </w:pPr>
      <w:r>
        <w:rPr>
          <w:rFonts w:ascii="IRNazanin" w:hAnsi="IRNazanin" w:eastAsia="IRNazanin" w:cs="IRNazanin"/>
          <w:lang w:bidi="fa-IR"/>
          <w:color w:val="111111"/>
          <w:sz w:val="28"/>
          <w:szCs w:val="28"/>
          <w:rtl/>
        </w:rPr>
        <w:t xml:space="preserve">←پاسخ ملا علی نوری ← مسائل احتياط</w:t>
      </w:r>
    </w:p>
    <w:p>
      <w:pPr>
        <w:pStyle w:val="Heading3"/>
      </w:pPr>
      <w:bookmarkStart w:id="1630" w:name="_Toc890"/>
      <w:r>
        <w:t>•پاسخ ملکشاه به عريضه خواجه نظام الملک نامه نگاری / فارسی</w:t>
      </w:r>
      <w:bookmarkEnd w:id="1630"/>
    </w:p>
    <w:p>
      <w:pPr>
        <w:pStyle w:val="BookText"/>
      </w:pPr>
      <w:r>
        <w:rPr>
          <w:rFonts w:ascii="Times New Roman" w:hAnsi="Times New Roman" w:eastAsia="Times New Roman" w:cs="Times New Roman"/>
          <w:lang w:val="en-US" w:bidi="en-US"/>
          <w:color w:val="111111"/>
          <w:sz w:val="28"/>
          <w:szCs w:val="28"/>
          <w:rtl/>
        </w:rPr>
        <w:t xml:space="preserve">pāsox-e malek-šāh be 'arīze-ye xāje nezām-ol-molk</w:t>
      </w:r>
    </w:p>
    <w:p>
      <w:pPr>
        <w:pStyle w:val="BookText"/>
      </w:pPr>
      <w:r>
        <w:rPr>
          <w:rFonts w:ascii="IRNazanin" w:hAnsi="IRNazanin" w:eastAsia="IRNazanin" w:cs="IRNazanin"/>
          <w:lang w:bidi="fa-IR"/>
          <w:color w:val="111111"/>
          <w:sz w:val="28"/>
          <w:szCs w:val="28"/>
          <w:rtl/>
        </w:rPr>
        <w:t xml:space="preserve">تهران؛ مجلس؛ شماره نسخه: ۳۴۵۵/۱۳۸</w:t>
      </w:r>
    </w:p>
    <w:p>
      <w:pPr>
        <w:pStyle w:val="BookText"/>
      </w:pPr>
      <w:r>
        <w:rPr>
          <w:rFonts w:ascii="IRNazanin" w:hAnsi="IRNazanin" w:eastAsia="IRNazanin" w:cs="IRNazanin"/>
          <w:lang w:bidi="fa-IR"/>
          <w:color w:val="111111"/>
          <w:sz w:val="28"/>
          <w:szCs w:val="28"/>
          <w:rtl/>
        </w:rPr>
        <w:t xml:space="preserve">بی کا، بی تا [ف: ۱۰-۱۳۴۹]</w:t>
      </w:r>
    </w:p>
    <w:p>
      <w:pPr>
        <w:pStyle w:val="Heading3"/>
      </w:pPr>
      <w:bookmarkStart w:id="1631" w:name="_Toc891"/>
      <w:r>
        <w:t>•پاسخ مولانا عبدالله درباره وضو گرفتن با آب غصبی / فقه</w:t>
      </w:r>
      <w:bookmarkEnd w:id="1631"/>
    </w:p>
    <w:p>
      <w:pPr>
        <w:pStyle w:val="BookText"/>
      </w:pPr>
      <w:r>
        <w:rPr>
          <w:rFonts w:ascii="Times New Roman" w:hAnsi="Times New Roman" w:eastAsia="Times New Roman" w:cs="Times New Roman"/>
          <w:lang w:val="en-US" w:bidi="en-US"/>
          <w:color w:val="111111"/>
          <w:sz w:val="28"/>
          <w:szCs w:val="28"/>
          <w:rtl/>
        </w:rPr>
        <w:t xml:space="preserve">pāsox-e mowlānā 'abd-ol-lāh darbāre-ye vozū gereftan bā āb-e qasbī</w:t>
      </w:r>
    </w:p>
    <w:p>
      <w:pPr>
        <w:pStyle w:val="BookText"/>
      </w:pPr>
      <w:r>
        <w:rPr>
          <w:rFonts w:ascii="IRNazanin" w:hAnsi="IRNazanin" w:eastAsia="IRNazanin" w:cs="IRNazanin"/>
          <w:lang w:bidi="fa-IR"/>
          <w:color w:val="111111"/>
          <w:sz w:val="28"/>
          <w:szCs w:val="28"/>
          <w:rtl/>
        </w:rPr>
        <w:t xml:space="preserve">تهران؛ مفتاح؛ شماره نسخه: ۱۴۲۴/۷</w:t>
      </w:r>
    </w:p>
    <w:p>
      <w:pPr>
        <w:pStyle w:val="BookText"/>
      </w:pPr>
      <w:r>
        <w:rPr>
          <w:rFonts w:ascii="IRNazanin" w:hAnsi="IRNazanin" w:eastAsia="IRNazanin" w:cs="IRNazanin"/>
          <w:lang w:bidi="fa-IR"/>
          <w:color w:val="111111"/>
          <w:sz w:val="28"/>
          <w:szCs w:val="28"/>
          <w:rtl/>
        </w:rPr>
        <w:t xml:space="preserve">به پرسشی که نویسنده نسخه از او شنیده بود؛ خط: نسخ، كا: محمد علی بن مقصود على طالقانی، بی تاب محشی؛ قطع: ربعی [نشریه: ۷-۲۷۹]</w:t>
      </w:r>
    </w:p>
    <w:p>
      <w:pPr>
        <w:pStyle w:val="Heading3"/>
      </w:pPr>
      <w:bookmarkStart w:id="1632" w:name="_Toc892"/>
      <w:r>
        <w:t>•پاسخ میرزا تقی کرمانی / نامه نگاری / فارسی</w:t>
      </w:r>
      <w:bookmarkEnd w:id="1632"/>
    </w:p>
    <w:p>
      <w:pPr>
        <w:pStyle w:val="BookText"/>
      </w:pPr>
      <w:r>
        <w:rPr>
          <w:rFonts w:ascii="IRNazanin" w:hAnsi="IRNazanin" w:eastAsia="IRNazanin" w:cs="IRNazanin"/>
          <w:lang w:bidi="fa-IR"/>
          <w:color w:val="111111"/>
          <w:sz w:val="28"/>
          <w:szCs w:val="28"/>
          <w:rtl/>
        </w:rPr>
        <w:t xml:space="preserve">کرمانی، میرزا تقی، ق۱۳ قمری</w:t>
      </w:r>
    </w:p>
    <w:p>
      <w:pPr>
        <w:pStyle w:val="BookText"/>
      </w:pPr>
      <w:r>
        <w:rPr>
          <w:rFonts w:ascii="Times New Roman" w:hAnsi="Times New Roman" w:eastAsia="Times New Roman" w:cs="Times New Roman"/>
          <w:lang w:val="en-US" w:bidi="en-US"/>
          <w:color w:val="111111"/>
          <w:sz w:val="28"/>
          <w:szCs w:val="28"/>
          <w:rtl/>
        </w:rPr>
        <w:t xml:space="preserve">pāsox-e mīrzā taqī-ye kermānī m X-e kermānī, mīrzā taqi (- 19c)</w:t>
      </w:r>
    </w:p>
    <w:p>
      <w:pPr>
        <w:pStyle w:val="BookText"/>
      </w:pPr>
      <w:r>
        <w:rPr>
          <w:rFonts w:ascii="IRNazanin" w:hAnsi="IRNazanin" w:eastAsia="IRNazanin" w:cs="IRNazanin"/>
          <w:lang w:bidi="fa-IR"/>
          <w:color w:val="111111"/>
          <w:sz w:val="28"/>
          <w:szCs w:val="28"/>
          <w:rtl/>
        </w:rPr>
        <w:t xml:space="preserve">تهران؛ ملک؛ شماره نسخه: ۱۴۸۱/۱۲</w:t>
      </w:r>
    </w:p>
    <w:p>
      <w:pPr>
        <w:pStyle w:val="BookText"/>
      </w:pPr>
      <w:r>
        <w:rPr>
          <w:rFonts w:ascii="IRNazanin" w:hAnsi="IRNazanin" w:eastAsia="IRNazanin" w:cs="IRNazanin"/>
          <w:lang w:bidi="fa-IR"/>
          <w:color w:val="111111"/>
          <w:sz w:val="28"/>
          <w:szCs w:val="28"/>
          <w:rtl/>
        </w:rPr>
        <w:t xml:space="preserve">كان محمد رفیع طبسی، بی تا، در ۲۸۰ر تا ۲۸۱پ تعریف عشق و ایمان است و سرگذشت پادشاهان روزگار پیامبر به فارسی [ف: ۲۷۳-۵ ]</w:t>
      </w:r>
    </w:p>
    <w:p>
      <w:pPr>
        <w:pStyle w:val="Heading3"/>
      </w:pPr>
      <w:bookmarkStart w:id="1633" w:name="_Toc893"/>
      <w:r>
        <w:t>•پاسخ میرزا زین العابدین طبيب / طب / عربی</w:t>
      </w:r>
      <w:bookmarkEnd w:id="1633"/>
    </w:p>
    <w:p>
      <w:pPr>
        <w:pStyle w:val="BookText"/>
      </w:pPr>
      <w:r>
        <w:rPr>
          <w:rFonts w:ascii="Times New Roman" w:hAnsi="Times New Roman" w:eastAsia="Times New Roman" w:cs="Times New Roman"/>
          <w:lang w:val="en-US" w:bidi="en-US"/>
          <w:color w:val="111111"/>
          <w:sz w:val="28"/>
          <w:szCs w:val="28"/>
          <w:rtl/>
        </w:rPr>
        <w:t xml:space="preserve">pāsox-e mīrzā zayn-ol-‘ābedīn-e tabīb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76" w:name="pg20363_209535"/>
    <w:bookmarkEnd w:id="276"/>
    <w:p>
      <w:pPr>
        <w:pStyle w:val="BookText"/>
      </w:pPr>
      <w:r>
        <w:rPr>
          <w:rFonts w:ascii="IRNazanin" w:hAnsi="IRNazanin" w:eastAsia="IRNazanin" w:cs="IRNazanin"/>
          <w:lang w:bidi="fa-IR"/>
          <w:color w:val="111111"/>
          <w:sz w:val="28"/>
          <w:szCs w:val="28"/>
          <w:rtl/>
        </w:rPr>
        <w:t xml:space="preserve">کرمانی، محمد کریم بن ابراهیم، ۱۲۲۵-۱۲۸۸ قمری</w:t>
      </w:r>
    </w:p>
    <w:p>
      <w:pPr>
        <w:pStyle w:val="BookText"/>
      </w:pPr>
      <w:r>
        <w:rPr>
          <w:rFonts w:ascii="Times New Roman" w:hAnsi="Times New Roman" w:eastAsia="Times New Roman" w:cs="Times New Roman"/>
          <w:lang w:val="en-US" w:bidi="en-US"/>
          <w:color w:val="111111"/>
          <w:sz w:val="28"/>
          <w:szCs w:val="28"/>
          <w:rtl/>
        </w:rPr>
        <w:t xml:space="preserve">(1810 -ebn-e ebrāhīm kermānī, mohammad karīm 1871)</w:t>
      </w:r>
    </w:p>
    <w:p>
      <w:pPr>
        <w:pStyle w:val="BookText"/>
      </w:pPr>
      <w:r>
        <w:rPr>
          <w:rFonts w:ascii="IRNazanin" w:hAnsi="IRNazanin" w:eastAsia="IRNazanin" w:cs="IRNazanin"/>
          <w:lang w:bidi="fa-IR"/>
          <w:color w:val="111111"/>
          <w:sz w:val="28"/>
          <w:szCs w:val="28"/>
          <w:rtl/>
        </w:rPr>
        <w:t xml:space="preserve">تاريخ تأليف: ۲۰ جمادی الثانی ۱۲۶۵ق در شرح عبارات قانون «ان في النبض طبيعة موسیقاریه»، در پاسخ سؤال میرزا زین العابدین طبيب.</w:t>
      </w:r>
    </w:p>
    <w:p>
      <w:pPr>
        <w:pStyle w:val="BookText"/>
      </w:pPr>
      <w:r>
        <w:rPr>
          <w:rFonts w:ascii="IRNazanin" w:hAnsi="IRNazanin" w:eastAsia="IRNazanin" w:cs="IRNazanin"/>
          <w:lang w:bidi="fa-IR"/>
          <w:color w:val="111111"/>
          <w:sz w:val="28"/>
          <w:szCs w:val="28"/>
          <w:rtl/>
        </w:rPr>
        <w:t xml:space="preserve">[فهرست مشایخ ص ۵۰۲؛ دنا ۶۲۶/۲ ]</w:t>
      </w:r>
    </w:p>
    <w:p>
      <w:pPr>
        <w:pStyle w:val="BookText"/>
      </w:pPr>
      <w:r>
        <w:rPr>
          <w:rFonts w:ascii="IRNazanin" w:hAnsi="IRNazanin" w:eastAsia="IRNazanin" w:cs="IRNazanin"/>
          <w:lang w:bidi="fa-IR"/>
          <w:color w:val="111111"/>
          <w:sz w:val="28"/>
          <w:szCs w:val="28"/>
          <w:rtl/>
        </w:rPr>
        <w:t xml:space="preserve">تهران؛ مجلس؛ شماره نسخه: ۲۸/۲</w:t>
      </w:r>
    </w:p>
    <w:p>
      <w:pPr>
        <w:pStyle w:val="BookText"/>
      </w:pPr>
      <w:r>
        <w:rPr>
          <w:rFonts w:ascii="IRNazanin" w:hAnsi="IRNazanin" w:eastAsia="IRNazanin" w:cs="IRNazanin"/>
          <w:lang w:bidi="fa-IR"/>
          <w:color w:val="111111"/>
          <w:sz w:val="28"/>
          <w:szCs w:val="28"/>
          <w:rtl/>
        </w:rPr>
        <w:t xml:space="preserve">سرود خط شکسته نستعلیق، کاتب = مؤلف، تا: ۱۲۶۴ق (نشریه: ۱۳-۴۱۴]</w:t>
      </w:r>
    </w:p>
    <w:p>
      <w:pPr>
        <w:pStyle w:val="Heading3"/>
      </w:pPr>
      <w:bookmarkStart w:id="1634" w:name="_Toc894"/>
      <w:r>
        <w:t>• پاسخ نامه / عرفان و تصوف / فارسی</w:t>
      </w:r>
      <w:bookmarkEnd w:id="1634"/>
    </w:p>
    <w:p>
      <w:pPr>
        <w:pStyle w:val="BookText"/>
      </w:pPr>
      <w:r>
        <w:rPr>
          <w:rFonts w:ascii="Times New Roman" w:hAnsi="Times New Roman" w:eastAsia="Times New Roman" w:cs="Times New Roman"/>
          <w:lang w:val="en-US" w:bidi="en-US"/>
          <w:color w:val="111111"/>
          <w:sz w:val="28"/>
          <w:szCs w:val="28"/>
          <w:rtl/>
        </w:rPr>
        <w:t xml:space="preserve">pāsox-e nāme</w:t>
      </w:r>
    </w:p>
    <w:p>
      <w:pPr>
        <w:pStyle w:val="BookText"/>
      </w:pPr>
      <w:r>
        <w:rPr>
          <w:rFonts w:ascii="IRNazanin" w:hAnsi="IRNazanin" w:eastAsia="IRNazanin" w:cs="IRNazanin"/>
          <w:lang w:bidi="fa-IR"/>
          <w:color w:val="111111"/>
          <w:sz w:val="28"/>
          <w:szCs w:val="28"/>
          <w:rtl/>
        </w:rPr>
        <w:t xml:space="preserve">علاء الدوله سمنانی، احمد بن محمد، ۶۵۹-۷۳۶ ؟ قمری</w:t>
      </w:r>
    </w:p>
    <w:p>
      <w:pPr>
        <w:pStyle w:val="BookText"/>
      </w:pPr>
      <w:r>
        <w:rPr>
          <w:rFonts w:ascii="Times New Roman" w:hAnsi="Times New Roman" w:eastAsia="Times New Roman" w:cs="Times New Roman"/>
          <w:lang w:val="en-US" w:bidi="en-US"/>
          <w:color w:val="111111"/>
          <w:sz w:val="28"/>
          <w:szCs w:val="28"/>
          <w:rtl/>
        </w:rPr>
        <w:t xml:space="preserve">‘alāʻ-od dowle-ye semnānī, ahmad ebn-e mohammad (1262-1336)</w:t>
      </w:r>
    </w:p>
    <w:p>
      <w:pPr>
        <w:pStyle w:val="BookText"/>
      </w:pPr>
      <w:r>
        <w:rPr>
          <w:rFonts w:ascii="IRNazanin" w:hAnsi="IRNazanin" w:eastAsia="IRNazanin" w:cs="IRNazanin"/>
          <w:lang w:bidi="fa-IR"/>
          <w:color w:val="111111"/>
          <w:sz w:val="28"/>
          <w:szCs w:val="28"/>
          <w:rtl/>
        </w:rPr>
        <w:t xml:space="preserve">در آن به شیخ محيي الدين عربی تاخته است.</w:t>
      </w:r>
    </w:p>
    <w:p>
      <w:pPr>
        <w:pStyle w:val="BookText"/>
      </w:pPr>
      <w:r>
        <w:rPr>
          <w:rFonts w:ascii="IRNazanin" w:hAnsi="IRNazanin" w:eastAsia="IRNazanin" w:cs="IRNazanin"/>
          <w:lang w:bidi="fa-IR"/>
          <w:color w:val="111111"/>
          <w:sz w:val="28"/>
          <w:szCs w:val="28"/>
          <w:rtl/>
        </w:rPr>
        <w:t xml:space="preserve">[ نسخه های منزوی ۱۴۳۱؛ دنا ۶۲۶/۲ ]</w:t>
      </w:r>
    </w:p>
    <w:p>
      <w:pPr>
        <w:pStyle w:val="BookText"/>
      </w:pPr>
      <w:r>
        <w:rPr>
          <w:rFonts w:ascii="IRNazanin" w:hAnsi="IRNazanin" w:eastAsia="IRNazanin" w:cs="IRNazanin"/>
          <w:lang w:bidi="fa-IR"/>
          <w:color w:val="111111"/>
          <w:sz w:val="28"/>
          <w:szCs w:val="28"/>
          <w:rtl/>
        </w:rPr>
        <w:t xml:space="preserve">تهران؛ ملک؛ شماره نسخه: ۴۱۹۰/۱۴</w:t>
      </w:r>
    </w:p>
    <w:p>
      <w:pPr>
        <w:pStyle w:val="BookText"/>
      </w:pPr>
      <w:r>
        <w:rPr>
          <w:rFonts w:ascii="IRNazanin" w:hAnsi="IRNazanin" w:eastAsia="IRNazanin" w:cs="IRNazanin"/>
          <w:lang w:bidi="fa-IR"/>
          <w:color w:val="111111"/>
          <w:sz w:val="28"/>
          <w:szCs w:val="28"/>
          <w:rtl/>
        </w:rPr>
        <w:t xml:space="preserve">آغاز: بزرگان دین و روندگان راه یقین باتفاق گفته اند از معرفت خود برخورداری کسی یابد که دارای طیب لقمه و صدق لهجه ... باشد، چون هر دو مفقود است از این طامات و ترهات چه مقصود؛ انجام: دريغ باشد که در این قیال و قال که مثمر جدال است با زمانی، و السلام علی من اتبع الهدی. كان محمد بن غياث الدين النوربخشی، تا: ۸۷۶ق؛ کاغذ: ترمه، جلد: رویه میشن یشمی لایی، ۴گ (۱۱۵پ -۱۱۸پ)، ۱۵ سطر، اندازه: ۱۷/۶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۱۳/۲ سم [ف: ۷-۲۴۱]</w:t>
      </w:r>
    </w:p>
    <w:p>
      <w:pPr>
        <w:pStyle w:val="Heading3"/>
      </w:pPr>
      <w:bookmarkStart w:id="1635" w:name="_Toc895"/>
      <w:r>
        <w:t>• پاسخ نامه / كلام و اعتقادات / فارسی</w:t>
      </w:r>
      <w:bookmarkEnd w:id="1635"/>
    </w:p>
    <w:p>
      <w:pPr>
        <w:pStyle w:val="BookText"/>
      </w:pPr>
      <w:r>
        <w:rPr>
          <w:rFonts w:ascii="Times New Roman" w:hAnsi="Times New Roman" w:eastAsia="Times New Roman" w:cs="Times New Roman"/>
          <w:lang w:val="en-US" w:bidi="en-US"/>
          <w:color w:val="111111"/>
          <w:sz w:val="28"/>
          <w:szCs w:val="28"/>
          <w:rtl/>
        </w:rPr>
        <w:t xml:space="preserve">pāsox-e nāme</w:t>
      </w:r>
    </w:p>
    <w:p>
      <w:pPr>
        <w:pStyle w:val="BookText"/>
      </w:pPr>
      <w:r>
        <w:rPr>
          <w:rFonts w:ascii="IRNazanin" w:hAnsi="IRNazanin" w:eastAsia="IRNazanin" w:cs="IRNazanin"/>
          <w:lang w:bidi="fa-IR"/>
          <w:color w:val="111111"/>
          <w:sz w:val="28"/>
          <w:szCs w:val="28"/>
          <w:rtl/>
        </w:rPr>
        <w:t xml:space="preserve">عصار، محمد بن محمود، ۲۱۲۶۴-۱۳۵۶ ؟ قمری</w:t>
      </w:r>
    </w:p>
    <w:p>
      <w:pPr>
        <w:pStyle w:val="BookText"/>
      </w:pPr>
      <w:r>
        <w:rPr>
          <w:rFonts w:ascii="Times New Roman" w:hAnsi="Times New Roman" w:eastAsia="Times New Roman" w:cs="Times New Roman"/>
          <w:lang w:val="en-US" w:bidi="en-US"/>
          <w:color w:val="111111"/>
          <w:sz w:val="28"/>
          <w:szCs w:val="28"/>
          <w:rtl/>
        </w:rPr>
        <w:t xml:space="preserve">‘assār, mohammad ebn-e mahmūd (1848-1937)</w:t>
      </w:r>
    </w:p>
    <w:p>
      <w:pPr>
        <w:pStyle w:val="BookText"/>
      </w:pPr>
      <w:r>
        <w:rPr>
          <w:rFonts w:ascii="IRNazanin" w:hAnsi="IRNazanin" w:eastAsia="IRNazanin" w:cs="IRNazanin"/>
          <w:lang w:bidi="fa-IR"/>
          <w:color w:val="111111"/>
          <w:sz w:val="28"/>
          <w:szCs w:val="28"/>
          <w:rtl/>
        </w:rPr>
        <w:t xml:space="preserve">تاریخ تألیف: شب ۷ ربيع الثانی ۱۲۳۳ق در بیان ۲۱ مسئله از مسائل دینی و اعتقادی است که در پاسخ پرسش از آنها تأليف نموده است.</w:t>
      </w:r>
    </w:p>
    <w:p>
      <w:pPr>
        <w:pStyle w:val="BookText"/>
      </w:pPr>
      <w:r>
        <w:rPr>
          <w:rFonts w:ascii="IRNazanin" w:hAnsi="IRNazanin" w:eastAsia="IRNazanin" w:cs="IRNazanin"/>
          <w:lang w:bidi="fa-IR"/>
          <w:color w:val="111111"/>
          <w:sz w:val="28"/>
          <w:szCs w:val="28"/>
          <w:rtl/>
        </w:rPr>
        <w:t xml:space="preserve">[دنا ۶۲۶/۲ ]</w:t>
      </w:r>
    </w:p>
    <w:p>
      <w:pPr>
        <w:pStyle w:val="BookText"/>
      </w:pPr>
      <w:r>
        <w:rPr>
          <w:rFonts w:ascii="IRNazanin" w:hAnsi="IRNazanin" w:eastAsia="IRNazanin" w:cs="IRNazanin"/>
          <w:lang w:bidi="fa-IR"/>
          <w:color w:val="111111"/>
          <w:sz w:val="28"/>
          <w:szCs w:val="28"/>
          <w:rtl/>
        </w:rPr>
        <w:t xml:space="preserve">١. مشهد؛ رضوی؛ شماره نسخه: ۳۶۲</w:t>
      </w:r>
    </w:p>
    <w:p>
      <w:pPr>
        <w:pStyle w:val="BookText"/>
      </w:pPr>
      <w:r>
        <w:rPr>
          <w:rFonts w:ascii="IRNazanin" w:hAnsi="IRNazanin" w:eastAsia="IRNazanin" w:cs="IRNazanin"/>
          <w:lang w:bidi="fa-IR"/>
          <w:color w:val="111111"/>
          <w:sz w:val="28"/>
          <w:szCs w:val="28"/>
          <w:rtl/>
        </w:rPr>
        <w:t xml:space="preserve">آغاز: فدایت شوم رقیمه کریمه و رسيله جميله؛ انجام: يارب دعای خسته دلان مستجاب کن خط: نستعلیق و شکسته، کاتب = مؤلف، تا: شب ۷ ربیع الثانی ۱۳۳۳ق؛ واقف: محمد عصار؛ ۱۶۳گ، مختلف السطر،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۴-۳۷]</w:t>
      </w:r>
    </w:p>
    <w:p>
      <w:pPr>
        <w:pStyle w:val="BookText"/>
      </w:pPr>
      <w:r>
        <w:rPr>
          <w:rFonts w:ascii="IRNazanin" w:hAnsi="IRNazanin" w:eastAsia="IRNazanin" w:cs="IRNazanin"/>
          <w:lang w:bidi="fa-IR"/>
          <w:color w:val="111111"/>
          <w:sz w:val="28"/>
          <w:szCs w:val="28"/>
          <w:rtl/>
        </w:rPr>
        <w:t xml:space="preserve">۲. مشهد؛ رضوی؛ شماره نسخه: ۱۱۶۹۱</w:t>
      </w:r>
    </w:p>
    <w:p>
      <w:pPr>
        <w:pStyle w:val="BookText"/>
      </w:pPr>
      <w:r>
        <w:rPr>
          <w:rFonts w:ascii="IRNazanin" w:hAnsi="IRNazanin" w:eastAsia="IRNazanin" w:cs="IRNazanin"/>
          <w:lang w:bidi="fa-IR"/>
          <w:color w:val="111111"/>
          <w:sz w:val="28"/>
          <w:szCs w:val="28"/>
          <w:rtl/>
        </w:rPr>
        <w:t xml:space="preserve">آغاز: بسمله فدایت شوم رقیمه کریمه و رسيله جميله؛ انجام: نبرده از من آشفته ضعیف سبق خط: نستعلیق تحریری، بی کا، بی تا؛ کاغذ: فرنگی، جلد: مقوا، ۲۲ سطر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۲۷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۷سم [الفبائی: ۹۵]</w:t>
      </w:r>
    </w:p>
    <w:p>
      <w:pPr>
        <w:pStyle w:val="Heading3"/>
      </w:pPr>
      <w:bookmarkStart w:id="1636" w:name="_Toc896"/>
      <w:r>
        <w:t>• پاسخ نامه</w:t>
      </w:r>
      <w:bookmarkEnd w:id="1636"/>
    </w:p>
    <w:p>
      <w:pPr>
        <w:pStyle w:val="BookText"/>
      </w:pPr>
      <w:r>
        <w:rPr>
          <w:rFonts w:ascii="Times New Roman" w:hAnsi="Times New Roman" w:eastAsia="Times New Roman" w:cs="Times New Roman"/>
          <w:lang w:val="en-US" w:bidi="en-US"/>
          <w:color w:val="111111"/>
          <w:sz w:val="28"/>
          <w:szCs w:val="28"/>
          <w:rtl/>
        </w:rPr>
        <w:t xml:space="preserve">pāsox-e nāme</w:t>
      </w:r>
    </w:p>
    <w:p>
      <w:pPr>
        <w:pStyle w:val="BookText"/>
      </w:pPr>
      <w:r>
        <w:rPr>
          <w:rFonts w:ascii="IRNazanin" w:hAnsi="IRNazanin" w:eastAsia="IRNazanin" w:cs="IRNazanin"/>
          <w:lang w:bidi="fa-IR"/>
          <w:color w:val="111111"/>
          <w:sz w:val="28"/>
          <w:szCs w:val="28"/>
          <w:rtl/>
        </w:rPr>
        <w:t xml:space="preserve">پاسخ آن بسیار دراز و مفصل، در فهرست (ص ۸۱) آمده است: رساله ملازین العابدین نجف آبادی و جواب آن).</w:t>
      </w:r>
    </w:p>
    <w:p>
      <w:pPr>
        <w:pStyle w:val="BookText"/>
      </w:pPr>
      <w:r>
        <w:rPr>
          <w:rFonts w:ascii="IRNazanin" w:hAnsi="IRNazanin" w:eastAsia="IRNazanin" w:cs="IRNazanin"/>
          <w:lang w:bidi="fa-IR"/>
          <w:color w:val="111111"/>
          <w:sz w:val="28"/>
          <w:szCs w:val="28"/>
          <w:rtl/>
        </w:rPr>
        <w:t xml:space="preserve">تهران دانشگاه؛ شماره نسخه: ۳۹۸۹/۲ -ف</w:t>
      </w:r>
    </w:p>
    <w:p>
      <w:pPr>
        <w:pStyle w:val="BookText"/>
      </w:pPr>
      <w:r>
        <w:rPr>
          <w:rFonts w:ascii="IRNazanin" w:hAnsi="IRNazanin" w:eastAsia="IRNazanin" w:cs="IRNazanin"/>
          <w:lang w:bidi="fa-IR"/>
          <w:color w:val="111111"/>
          <w:sz w:val="28"/>
          <w:szCs w:val="28"/>
          <w:rtl/>
        </w:rPr>
        <w:t xml:space="preserve">نسخه اصل: دانشگاه کمبریج .۶۴</w:t>
      </w:r>
      <w:r>
        <w:rPr>
          <w:rFonts w:ascii="Times New Roman" w:hAnsi="Times New Roman" w:eastAsia="Times New Roman" w:cs="Times New Roman"/>
          <w:lang w:val="en-US" w:bidi="en-US"/>
          <w:color w:val="111111"/>
          <w:sz w:val="28"/>
          <w:szCs w:val="28"/>
          <w:rtl/>
        </w:rPr>
        <w:t xml:space="preserve">f) </w:t>
      </w:r>
      <w:r>
        <w:rPr>
          <w:rFonts w:ascii="IRNazanin" w:hAnsi="IRNazanin" w:eastAsia="IRNazanin" w:cs="IRNazanin"/>
          <w:lang w:bidi="fa-IR"/>
          <w:color w:val="111111"/>
          <w:sz w:val="28"/>
          <w:szCs w:val="28"/>
          <w:rtl/>
        </w:rPr>
        <w:t xml:space="preserve">۷)؛ بی کا، بی تا [فیلمها ف: ۲ ۲۹۰ ]</w:t>
      </w:r>
    </w:p>
    <w:p>
      <w:pPr>
        <w:pStyle w:val="Heading3"/>
      </w:pPr>
      <w:bookmarkStart w:id="1637" w:name="_Toc897"/>
      <w:r>
        <w:t>•پاسخ نامه امیر تیمور گورگان / تاریخ ایران اسناد / فارسی</w:t>
      </w:r>
      <w:bookmarkEnd w:id="1637"/>
    </w:p>
    <w:p>
      <w:pPr>
        <w:pStyle w:val="BookText"/>
      </w:pPr>
      <w:r>
        <w:rPr>
          <w:rFonts w:ascii="Times New Roman" w:hAnsi="Times New Roman" w:eastAsia="Times New Roman" w:cs="Times New Roman"/>
          <w:lang w:val="en-US" w:bidi="en-US"/>
          <w:color w:val="111111"/>
          <w:sz w:val="28"/>
          <w:szCs w:val="28"/>
          <w:rtl/>
        </w:rPr>
        <w:t xml:space="preserve">pāsox-e nāme-ye amīr teymūr-e gūrgān</w:t>
      </w:r>
    </w:p>
    <w:p>
      <w:pPr>
        <w:pStyle w:val="BookText"/>
      </w:pPr>
      <w:r>
        <w:rPr>
          <w:rFonts w:ascii="IRNazanin" w:hAnsi="IRNazanin" w:eastAsia="IRNazanin" w:cs="IRNazanin"/>
          <w:lang w:bidi="fa-IR"/>
          <w:color w:val="111111"/>
          <w:sz w:val="28"/>
          <w:szCs w:val="28"/>
          <w:rtl/>
        </w:rPr>
        <w:t xml:space="preserve">تهران؛ ملک؛ شماره نسخه: ۴۳۴۱/۲۱</w:t>
      </w:r>
    </w:p>
    <w:p>
      <w:pPr>
        <w:pStyle w:val="BookText"/>
      </w:pPr>
      <w:r>
        <w:rPr>
          <w:rFonts w:ascii="IRNazanin" w:hAnsi="IRNazanin" w:eastAsia="IRNazanin" w:cs="IRNazanin"/>
          <w:lang w:bidi="fa-IR"/>
          <w:color w:val="111111"/>
          <w:sz w:val="28"/>
          <w:szCs w:val="28"/>
          <w:rtl/>
        </w:rPr>
        <w:t xml:space="preserve">خط: نستعلیق، كا: میر علی اکبر ولد میر محمد محسن زکی حسینی، تا: قرن ۱۳، جان محمد آباد بیدر [ف: ۷-۳۶۱]</w:t>
      </w:r>
    </w:p>
    <w:p>
      <w:pPr>
        <w:pStyle w:val="Heading3"/>
      </w:pPr>
      <w:bookmarkStart w:id="1638" w:name="_Toc898"/>
      <w:r>
        <w:t>•پاسخ نامه باب / بهائیت / فارسی</w:t>
      </w:r>
      <w:bookmarkEnd w:id="1638"/>
    </w:p>
    <w:p>
      <w:pPr>
        <w:pStyle w:val="BookText"/>
      </w:pPr>
      <w:r>
        <w:rPr>
          <w:rFonts w:ascii="Times New Roman" w:hAnsi="Times New Roman" w:eastAsia="Times New Roman" w:cs="Times New Roman"/>
          <w:lang w:val="en-US" w:bidi="en-US"/>
          <w:color w:val="111111"/>
          <w:sz w:val="28"/>
          <w:szCs w:val="28"/>
          <w:rtl/>
        </w:rPr>
        <w:t xml:space="preserve">pāsox-e nāme-ye bāb</w:t>
      </w:r>
    </w:p>
    <w:p>
      <w:pPr>
        <w:pStyle w:val="BookText"/>
      </w:pPr>
      <w:r>
        <w:rPr>
          <w:rFonts w:ascii="IRNazanin" w:hAnsi="IRNazanin" w:eastAsia="IRNazanin" w:cs="IRNazanin"/>
          <w:lang w:bidi="fa-IR"/>
          <w:color w:val="111111"/>
          <w:sz w:val="28"/>
          <w:szCs w:val="28"/>
          <w:rtl/>
        </w:rPr>
        <w:t xml:space="preserve">باب، على محمد بن محمد رضا، ۱۲۳۶؟ -۱۲۶۶ قمری</w:t>
      </w:r>
    </w:p>
    <w:p>
      <w:pPr>
        <w:pStyle w:val="BookText"/>
      </w:pPr>
      <w:r>
        <w:rPr>
          <w:rFonts w:ascii="Times New Roman" w:hAnsi="Times New Roman" w:eastAsia="Times New Roman" w:cs="Times New Roman"/>
          <w:lang w:val="en-US" w:bidi="en-US"/>
          <w:color w:val="111111"/>
          <w:sz w:val="28"/>
          <w:szCs w:val="28"/>
          <w:rtl/>
        </w:rPr>
        <w:t xml:space="preserve">bāb, “alī mohammad ebn-e mohammad rezā (1821 1850)</w:t>
      </w:r>
    </w:p>
    <w:p>
      <w:pPr>
        <w:pStyle w:val="BookText"/>
      </w:pPr>
      <w:r>
        <w:rPr>
          <w:rFonts w:ascii="IRNazanin" w:hAnsi="IRNazanin" w:eastAsia="IRNazanin" w:cs="IRNazanin"/>
          <w:lang w:bidi="fa-IR"/>
          <w:color w:val="111111"/>
          <w:sz w:val="28"/>
          <w:szCs w:val="28"/>
          <w:rtl/>
        </w:rPr>
        <w:t xml:space="preserve">در پاسخ اینکه چرا از برادر بزرگ خود میرزا یحیی صبح ازل که سرور گروه بهائیان بوده است برگشتید و همه در اسلامبول انجمن کردید و او را عزل نمودید و حروف عليين به سجين مبدل شد. نکات بسیاری درباره این گروه دارد و پیداست که نزاع رهبران آنها بر سر ریاست بوده است. نام آن در فهارس گوناگون آمده است. آغاز: هو المجيب. نامه آن جناب بین یدی العرش حاضر و بر مقر انه لا يعرف بما سواه و ما فيه بلحاظ الله ملحوظ آمد</w:t>
      </w:r>
    </w:p>
    <w:p>
      <w:pPr>
        <w:pStyle w:val="BookText"/>
      </w:pPr>
      <w:r>
        <w:rPr>
          <w:rFonts w:ascii="IRNazanin" w:hAnsi="IRNazanin" w:eastAsia="IRNazanin" w:cs="IRNazanin"/>
          <w:lang w:bidi="fa-IR"/>
          <w:color w:val="111111"/>
          <w:sz w:val="28"/>
          <w:szCs w:val="28"/>
          <w:rtl/>
        </w:rPr>
        <w:t xml:space="preserve">[نسخه های منزوی ۱۷۳۳]</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 ۴۲۳۰ و ۴۹۹۴-ف</w:t>
      </w:r>
    </w:p>
    <w:p>
      <w:pPr>
        <w:pStyle w:val="BookText"/>
      </w:pPr>
      <w:r>
        <w:rPr>
          <w:rFonts w:ascii="IRNazanin" w:hAnsi="IRNazanin" w:eastAsia="IRNazanin" w:cs="IRNazanin"/>
          <w:lang w:bidi="fa-IR"/>
          <w:color w:val="111111"/>
          <w:sz w:val="28"/>
          <w:szCs w:val="28"/>
          <w:rtl/>
        </w:rPr>
        <w:t xml:space="preserve">آغاز: برابر؛ انجام: الناظر الكريم بتاريخ سلخ شهر شعبان المعظم قلمی شد سنه ۱۲۹۷</w:t>
      </w:r>
    </w:p>
    <w:p>
      <w:pPr>
        <w:pStyle w:val="BookText"/>
      </w:pPr>
      <w:r>
        <w:rPr>
          <w:rFonts w:ascii="IRNazanin" w:hAnsi="IRNazanin" w:eastAsia="IRNazanin" w:cs="IRNazanin"/>
          <w:lang w:bidi="fa-IR"/>
          <w:color w:val="111111"/>
          <w:sz w:val="28"/>
          <w:szCs w:val="28"/>
          <w:rtl/>
        </w:rPr>
        <w:t xml:space="preserve">خط: شکسته نستعلیق، کاتب = مؤلف؛ مذهب؛ کاغذ: فرنگی،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77" w:name="pg20363_209536"/>
    <w:bookmarkEnd w:id="277"/>
    <w:p>
      <w:pPr>
        <w:pStyle w:val="BookText"/>
      </w:pPr>
      <w:r>
        <w:rPr>
          <w:rFonts w:ascii="IRNazanin" w:hAnsi="IRNazanin" w:eastAsia="IRNazanin" w:cs="IRNazanin"/>
          <w:lang w:bidi="fa-IR"/>
          <w:color w:val="111111"/>
          <w:sz w:val="28"/>
          <w:szCs w:val="28"/>
          <w:rtl/>
        </w:rPr>
        <w:t xml:space="preserve">جلد: تیماج تریاکی مقوایی، ۱۲۸ گ، ۱۲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۱۳-۳۲۰۴] و [فیلمها ف: ۳-۱۲۱]</w:t>
      </w:r>
    </w:p>
    <w:p>
      <w:pPr>
        <w:pStyle w:val="BookText"/>
      </w:pPr>
      <w:r>
        <w:rPr>
          <w:rFonts w:ascii="IRNazanin" w:hAnsi="IRNazanin" w:eastAsia="IRNazanin" w:cs="IRNazanin"/>
          <w:lang w:bidi="fa-IR"/>
          <w:color w:val="111111"/>
          <w:sz w:val="28"/>
          <w:szCs w:val="28"/>
          <w:rtl/>
        </w:rPr>
        <w:t xml:space="preserve">تهران؛ مجلس؛ شماره نسخه: ۴۹۸۹</w:t>
      </w:r>
    </w:p>
    <w:p>
      <w:pPr>
        <w:pStyle w:val="BookText"/>
      </w:pPr>
      <w:r>
        <w:rPr>
          <w:rFonts w:ascii="IRNazanin" w:hAnsi="IRNazanin" w:eastAsia="IRNazanin" w:cs="IRNazanin"/>
          <w:lang w:bidi="fa-IR"/>
          <w:color w:val="111111"/>
          <w:sz w:val="28"/>
          <w:szCs w:val="28"/>
          <w:rtl/>
        </w:rPr>
        <w:t xml:space="preserve">نسخه اصل: همان نسخه بالا [فیلمها ف: ۳-۱۲۰]</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 ۱۴۵۶۷/۱</w:t>
      </w:r>
    </w:p>
    <w:p>
      <w:pPr>
        <w:pStyle w:val="BookText"/>
      </w:pPr>
      <w:r>
        <w:rPr>
          <w:rFonts w:ascii="IRNazanin" w:hAnsi="IRNazanin" w:eastAsia="IRNazanin" w:cs="IRNazanin"/>
          <w:lang w:bidi="fa-IR"/>
          <w:color w:val="111111"/>
          <w:sz w:val="28"/>
          <w:szCs w:val="28"/>
          <w:rtl/>
        </w:rPr>
        <w:t xml:space="preserve">آغاز: برابر، انجام: و انك انت الغفور الرحيم المعطى العزيز الباذل الناصر الكريم. خط: نستعلیق، بی کا، تا: قرن ۱۳؛ جلد: تیماج يشمی، ۴۳گ (۱پ -۴۳پ)، ۱۸ سطر، اندازه:</w:t>
      </w:r>
    </w:p>
    <w:p>
      <w:pPr>
        <w:pStyle w:val="BookText"/>
      </w:pPr>
      <w:r>
        <w:rPr>
          <w:rFonts w:ascii="IRNazanin" w:hAnsi="IRNazanin" w:eastAsia="IRNazanin" w:cs="IRNazanin"/>
          <w:lang w:bidi="fa-IR"/>
          <w:color w:val="111111"/>
          <w:sz w:val="28"/>
          <w:szCs w:val="28"/>
          <w:rtl/>
        </w:rPr>
        <w:t xml:space="preserve">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۱۳/۳ سم [ف: ۴۱-۵۲]</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ملی؛ شماره نسخه: ۶۷۲</w:t>
      </w:r>
    </w:p>
    <w:p>
      <w:pPr>
        <w:pStyle w:val="BookText"/>
      </w:pPr>
      <w:r>
        <w:rPr>
          <w:rFonts w:ascii="IRNazanin" w:hAnsi="IRNazanin" w:eastAsia="IRNazanin" w:cs="IRNazanin"/>
          <w:lang w:bidi="fa-IR"/>
          <w:color w:val="111111"/>
          <w:sz w:val="28"/>
          <w:szCs w:val="28"/>
          <w:rtl/>
        </w:rPr>
        <w:t xml:space="preserve">آغاز: برابر؛ انجام: و انك انت الغفور الرحیم المعطي العزيز الباذل الناصر الكريم. خط: نسخ، كان محمد کاظم بن ملا محمد باقر، تا: جمعه ۲۱ شعبان ۱۲۹۱ق؛ کاغذ: فرنگی شکری، جلد: تیماج قرمز مقوایی، ۹۲گ، ۱۵ سطر کامل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۲-۱۷۳]</w:t>
      </w:r>
    </w:p>
    <w:p>
      <w:pPr>
        <w:pStyle w:val="Heading3"/>
      </w:pPr>
      <w:bookmarkStart w:id="1639" w:name="_Toc899"/>
      <w:r>
        <w:t>• پاسخ نامه شاه جهان از طرف شاه عباس /تاریخ ایران و اسناد / فارسی</w:t>
      </w:r>
      <w:bookmarkEnd w:id="1639"/>
    </w:p>
    <w:p>
      <w:pPr>
        <w:pStyle w:val="BookText"/>
      </w:pPr>
      <w:r>
        <w:rPr>
          <w:rFonts w:ascii="Times New Roman" w:hAnsi="Times New Roman" w:eastAsia="Times New Roman" w:cs="Times New Roman"/>
          <w:lang w:val="en-US" w:bidi="en-US"/>
          <w:color w:val="111111"/>
          <w:sz w:val="28"/>
          <w:szCs w:val="28"/>
          <w:rtl/>
        </w:rPr>
        <w:t xml:space="preserve">pāsox-e nāme-ye šāh jahān az taraf-e šāh ‘abbās</w:t>
      </w:r>
    </w:p>
    <w:p>
      <w:pPr>
        <w:pStyle w:val="BookText"/>
      </w:pPr>
      <w:r>
        <w:rPr>
          <w:rFonts w:ascii="IRNazanin" w:hAnsi="IRNazanin" w:eastAsia="IRNazanin" w:cs="IRNazanin"/>
          <w:lang w:bidi="fa-IR"/>
          <w:color w:val="111111"/>
          <w:sz w:val="28"/>
          <w:szCs w:val="28"/>
          <w:rtl/>
        </w:rPr>
        <w:t xml:space="preserve">تهران؛ ملک؛ شماره نسخه: ۴۳۴۱/۲۷</w:t>
      </w:r>
    </w:p>
    <w:p>
      <w:pPr>
        <w:pStyle w:val="BookText"/>
      </w:pPr>
      <w:r>
        <w:rPr>
          <w:rFonts w:ascii="IRNazanin" w:hAnsi="IRNazanin" w:eastAsia="IRNazanin" w:cs="IRNazanin"/>
          <w:lang w:bidi="fa-IR"/>
          <w:color w:val="111111"/>
          <w:sz w:val="28"/>
          <w:szCs w:val="28"/>
          <w:rtl/>
        </w:rPr>
        <w:t xml:space="preserve">خط: نستعلیق، کا: میر علی اکبر ولد میر محمد محسن زکی حسینی، تا: قرن ۱۳، جان محمد آباد بیدر [ف: ۷-۳۶۱]</w:t>
      </w:r>
    </w:p>
    <w:p>
      <w:pPr>
        <w:pStyle w:val="Heading3"/>
      </w:pPr>
      <w:bookmarkStart w:id="1640" w:name="_Toc900"/>
      <w:r>
        <w:t>• پاسخ نامه شاه عباس به عبدالمؤمن خان / اسناد / فارسی</w:t>
      </w:r>
      <w:bookmarkEnd w:id="1640"/>
    </w:p>
    <w:p>
      <w:pPr>
        <w:pStyle w:val="BookText"/>
      </w:pPr>
      <w:r>
        <w:rPr>
          <w:rFonts w:ascii="Times New Roman" w:hAnsi="Times New Roman" w:eastAsia="Times New Roman" w:cs="Times New Roman"/>
          <w:lang w:val="en-US" w:bidi="en-US"/>
          <w:color w:val="111111"/>
          <w:sz w:val="28"/>
          <w:szCs w:val="28"/>
          <w:rtl/>
        </w:rPr>
        <w:t xml:space="preserve">pāsox-e nāme-ye šāh ‘abbās be “abd-ol-mo’men xān</w:t>
      </w:r>
    </w:p>
    <w:p>
      <w:pPr>
        <w:pStyle w:val="BookText"/>
      </w:pPr>
      <w:r>
        <w:rPr>
          <w:rFonts w:ascii="IRNazanin" w:hAnsi="IRNazanin" w:eastAsia="IRNazanin" w:cs="IRNazanin"/>
          <w:lang w:bidi="fa-IR"/>
          <w:color w:val="111111"/>
          <w:sz w:val="28"/>
          <w:szCs w:val="28"/>
          <w:rtl/>
        </w:rPr>
        <w:t xml:space="preserve">تهران؛ دانشگاه؛ شماره نسخه: ۹۵۷۱/۳</w:t>
      </w:r>
    </w:p>
    <w:p>
      <w:pPr>
        <w:pStyle w:val="BookText"/>
      </w:pPr>
      <w:r>
        <w:rPr>
          <w:rFonts w:ascii="IRNazanin" w:hAnsi="IRNazanin" w:eastAsia="IRNazanin" w:cs="IRNazanin"/>
          <w:lang w:bidi="fa-IR"/>
          <w:color w:val="111111"/>
          <w:sz w:val="28"/>
          <w:szCs w:val="28"/>
          <w:rtl/>
        </w:rPr>
        <w:t xml:space="preserve">بی کا، تا: قرن ۱۱؛ کاغذ: سپاهانی، جلد: تیماج سیاه لایی، ربعی، ۵گ (۸۶ر-۹۰پ)، ۱۵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۱۷ - ۴۰۹ ]</w:t>
      </w:r>
    </w:p>
    <w:p>
      <w:pPr>
        <w:pStyle w:val="Heading3"/>
      </w:pPr>
      <w:bookmarkStart w:id="1641" w:name="_Toc901"/>
      <w:r>
        <w:t>• پاسخ نامه شیخ محمد بن نویسنده / عرفان و تصوف / عربی</w:t>
      </w:r>
      <w:bookmarkEnd w:id="1641"/>
    </w:p>
    <w:p>
      <w:pPr>
        <w:pStyle w:val="BookText"/>
      </w:pPr>
      <w:r>
        <w:rPr>
          <w:rFonts w:ascii="Times New Roman" w:hAnsi="Times New Roman" w:eastAsia="Times New Roman" w:cs="Times New Roman"/>
          <w:lang w:val="en-US" w:bidi="en-US"/>
          <w:color w:val="111111"/>
          <w:sz w:val="28"/>
          <w:szCs w:val="28"/>
          <w:rtl/>
        </w:rPr>
        <w:t xml:space="preserve">pāsox-e nāme-ye šeyx mohammad be nevīsande</w:t>
      </w:r>
    </w:p>
    <w:p>
      <w:pPr>
        <w:pStyle w:val="BookText"/>
      </w:pPr>
      <w:r>
        <w:rPr>
          <w:rFonts w:ascii="IRNazanin" w:hAnsi="IRNazanin" w:eastAsia="IRNazanin" w:cs="IRNazanin"/>
          <w:lang w:bidi="fa-IR"/>
          <w:color w:val="111111"/>
          <w:sz w:val="28"/>
          <w:szCs w:val="28"/>
          <w:rtl/>
        </w:rPr>
        <w:t xml:space="preserve">نامه ای است در پاسخ نامه ای از شیخ محمد بن نویسنده در الطايف و نكات عرفانی.</w:t>
      </w:r>
    </w:p>
    <w:p>
      <w:pPr>
        <w:pStyle w:val="BookText"/>
      </w:pPr>
      <w:r>
        <w:rPr>
          <w:rFonts w:ascii="IRNazanin" w:hAnsi="IRNazanin" w:eastAsia="IRNazanin" w:cs="IRNazanin"/>
          <w:lang w:bidi="fa-IR"/>
          <w:color w:val="111111"/>
          <w:sz w:val="28"/>
          <w:szCs w:val="28"/>
          <w:rtl/>
        </w:rPr>
        <w:t xml:space="preserve">تهران؛ مجلس؛ شماره نسخه: ۱۲۰۶۲/۲</w:t>
      </w:r>
    </w:p>
    <w:p>
      <w:pPr>
        <w:pStyle w:val="BookText"/>
      </w:pPr>
      <w:r>
        <w:rPr>
          <w:rFonts w:ascii="IRNazanin" w:hAnsi="IRNazanin" w:eastAsia="IRNazanin" w:cs="IRNazanin"/>
          <w:lang w:bidi="fa-IR"/>
          <w:color w:val="111111"/>
          <w:sz w:val="28"/>
          <w:szCs w:val="28"/>
          <w:rtl/>
        </w:rPr>
        <w:t xml:space="preserve">آغاز: مخلص نوازی و پرسش حالات و اظهار دلبستگی و موالات که حضرت ملاذ مخدوم محب الدنيا و الدین شیخ محمد حماه الله لحفظه</w:t>
      </w:r>
    </w:p>
    <w:p>
      <w:pPr>
        <w:pStyle w:val="BookText"/>
      </w:pPr>
      <w:r>
        <w:rPr>
          <w:rFonts w:ascii="IRNazanin" w:hAnsi="IRNazanin" w:eastAsia="IRNazanin" w:cs="IRNazanin"/>
          <w:lang w:bidi="fa-IR"/>
          <w:color w:val="111111"/>
          <w:sz w:val="28"/>
          <w:szCs w:val="28"/>
          <w:rtl/>
        </w:rPr>
        <w:t xml:space="preserve">خط: نستعلیق، بی کا، بی تا، جلد: تیماج، مشکی، ۴ص (۱۰-۱۳)، ۱۴سطر، اندازه: ۱۰/۵</w:t>
      </w:r>
    </w:p>
    <w:p>
      <w:pPr>
        <w:pStyle w:val="BookText"/>
      </w:pP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۱۶/۵سم [ف: ۳۵-۷۴]</w:t>
      </w:r>
    </w:p>
    <w:p>
      <w:pPr>
        <w:pStyle w:val="Heading3"/>
      </w:pPr>
      <w:bookmarkStart w:id="1642" w:name="_Toc902"/>
      <w:r>
        <w:t>• پاسخ نامه عبد المؤمن خان / اسناد / فارسی</w:t>
      </w:r>
      <w:bookmarkEnd w:id="1642"/>
    </w:p>
    <w:p>
      <w:pPr>
        <w:pStyle w:val="BookText"/>
      </w:pPr>
      <w:r>
        <w:rPr>
          <w:rFonts w:ascii="Times New Roman" w:hAnsi="Times New Roman" w:eastAsia="Times New Roman" w:cs="Times New Roman"/>
          <w:lang w:val="en-US" w:bidi="en-US"/>
          <w:color w:val="111111"/>
          <w:sz w:val="28"/>
          <w:szCs w:val="28"/>
          <w:rtl/>
        </w:rPr>
        <w:t xml:space="preserve">pāsox-e nāme-ye ‘abd-ol-mo’men xān</w:t>
      </w:r>
    </w:p>
    <w:p>
      <w:pPr>
        <w:pStyle w:val="BookText"/>
      </w:pPr>
      <w:r>
        <w:rPr>
          <w:rFonts w:ascii="IRNazanin" w:hAnsi="IRNazanin" w:eastAsia="IRNazanin" w:cs="IRNazanin"/>
          <w:lang w:bidi="fa-IR"/>
          <w:color w:val="111111"/>
          <w:sz w:val="28"/>
          <w:szCs w:val="28"/>
          <w:rtl/>
        </w:rPr>
        <w:t xml:space="preserve">عباس صفوی، شاه ایران، ۹۷۸-۱۰۳۸ قمری</w:t>
      </w:r>
    </w:p>
    <w:p>
      <w:pPr>
        <w:pStyle w:val="BookText"/>
      </w:pPr>
      <w:r>
        <w:rPr>
          <w:rFonts w:ascii="Times New Roman" w:hAnsi="Times New Roman" w:eastAsia="Times New Roman" w:cs="Times New Roman"/>
          <w:lang w:val="en-US" w:bidi="en-US"/>
          <w:color w:val="111111"/>
          <w:sz w:val="28"/>
          <w:szCs w:val="28"/>
          <w:rtl/>
        </w:rPr>
        <w:t xml:space="preserve">‘abbās-e safavī, šāh-e īrān (1571-1629)</w:t>
      </w:r>
    </w:p>
    <w:p>
      <w:pPr>
        <w:pStyle w:val="BookText"/>
      </w:pPr>
      <w:r>
        <w:rPr>
          <w:rFonts w:ascii="IRNazanin" w:hAnsi="IRNazanin" w:eastAsia="IRNazanin" w:cs="IRNazanin"/>
          <w:lang w:bidi="fa-IR"/>
          <w:color w:val="111111"/>
          <w:sz w:val="28"/>
          <w:szCs w:val="28"/>
          <w:rtl/>
        </w:rPr>
        <w:t xml:space="preserve">که همراه امامقلی بیک فرستاده است.</w:t>
      </w:r>
    </w:p>
    <w:p>
      <w:pPr>
        <w:pStyle w:val="BookText"/>
      </w:pPr>
      <w:r>
        <w:rPr>
          <w:rFonts w:ascii="IRNazanin" w:hAnsi="IRNazanin" w:eastAsia="IRNazanin" w:cs="IRNazanin"/>
          <w:lang w:bidi="fa-IR"/>
          <w:color w:val="111111"/>
          <w:sz w:val="28"/>
          <w:szCs w:val="28"/>
          <w:rtl/>
        </w:rPr>
        <w:t xml:space="preserve">تهران؛ ملک؛ شماره نسخه: ۹۷۵/۱۷</w:t>
      </w:r>
    </w:p>
    <w:p>
      <w:pPr>
        <w:pStyle w:val="BookText"/>
      </w:pPr>
      <w:r>
        <w:rPr>
          <w:rFonts w:ascii="IRNazanin" w:hAnsi="IRNazanin" w:eastAsia="IRNazanin" w:cs="IRNazanin"/>
          <w:lang w:bidi="fa-IR"/>
          <w:color w:val="111111"/>
          <w:sz w:val="28"/>
          <w:szCs w:val="28"/>
          <w:rtl/>
        </w:rPr>
        <w:t xml:space="preserve">آغاز: بسمله، و من يتوكل على الله فهو حسبه ... خطاب عتاب آمیز و صحیفه شور انگیز خط: نستعلیق، بی کا، تا: قرن ۱۱؛ کاغذ: ترمه، رویه میشن قهوه ای یک لا، ۲گ (۶هر -۵۷ر)، ۲۲ سطر، اندازه: ۲۴/۴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۷-۹۴]</w:t>
      </w:r>
    </w:p>
    <w:p>
      <w:pPr>
        <w:pStyle w:val="Heading3"/>
      </w:pPr>
      <w:bookmarkStart w:id="1643" w:name="_Toc903"/>
      <w:r>
        <w:t>•پاسخ نامه عبد المؤمن خان اوزبک / نامه نگاری، اسناد / فارسی</w:t>
      </w:r>
      <w:bookmarkEnd w:id="1643"/>
    </w:p>
    <w:p>
      <w:pPr>
        <w:pStyle w:val="BookText"/>
      </w:pPr>
      <w:r>
        <w:rPr>
          <w:rFonts w:ascii="Times New Roman" w:hAnsi="Times New Roman" w:eastAsia="Times New Roman" w:cs="Times New Roman"/>
          <w:lang w:val="en-US" w:bidi="en-US"/>
          <w:color w:val="111111"/>
          <w:sz w:val="28"/>
          <w:szCs w:val="28"/>
          <w:rtl/>
        </w:rPr>
        <w:t xml:space="preserve">pāsox-e nāme-ye ‘abd-ol-mo'men-xan-e ozbak</w:t>
      </w:r>
    </w:p>
    <w:p>
      <w:pPr>
        <w:pStyle w:val="BookText"/>
      </w:pPr>
      <w:r>
        <w:rPr>
          <w:rFonts w:ascii="IRNazanin" w:hAnsi="IRNazanin" w:eastAsia="IRNazanin" w:cs="IRNazanin"/>
          <w:lang w:bidi="fa-IR"/>
          <w:color w:val="111111"/>
          <w:sz w:val="28"/>
          <w:szCs w:val="28"/>
          <w:rtl/>
        </w:rPr>
        <w:t xml:space="preserve">تهران؛ ملک؛ شماره نسخه: ۴۳۴۱/۱۹</w:t>
      </w:r>
    </w:p>
    <w:p>
      <w:pPr>
        <w:pStyle w:val="BookText"/>
      </w:pPr>
      <w:r>
        <w:rPr>
          <w:rFonts w:ascii="IRNazanin" w:hAnsi="IRNazanin" w:eastAsia="IRNazanin" w:cs="IRNazanin"/>
          <w:lang w:bidi="fa-IR"/>
          <w:color w:val="111111"/>
          <w:sz w:val="28"/>
          <w:szCs w:val="28"/>
          <w:rtl/>
        </w:rPr>
        <w:t xml:space="preserve">اسکندر بیگ منشی در مجلس پادشاه ایستاده مسوده نمود؛ خط: نستعلیق، کا: میر علی اکبر ولد میر محمد محسن زکی حسینی، تا: قرن ۱۳، جان محمد آباد بیدر [ف: ۷-۳۶۱]</w:t>
      </w:r>
    </w:p>
    <w:p>
      <w:pPr>
        <w:pStyle w:val="BookText"/>
      </w:pPr>
      <w:r>
        <w:rPr>
          <w:rFonts w:ascii="IRNazanin" w:hAnsi="IRNazanin" w:eastAsia="IRNazanin" w:cs="IRNazanin"/>
          <w:lang w:bidi="fa-IR"/>
          <w:color w:val="111111"/>
          <w:sz w:val="28"/>
          <w:szCs w:val="28"/>
          <w:rtl/>
        </w:rPr>
        <w:t xml:space="preserve">←پاسخ نامه ملا عبدالخالق ← جواب مسائل الملا عبدالخالق الیزدی</w:t>
      </w:r>
    </w:p>
    <w:p>
      <w:pPr>
        <w:pStyle w:val="Heading3"/>
      </w:pPr>
      <w:bookmarkStart w:id="1644" w:name="_Toc904"/>
      <w:r>
        <w:t>• پاسخ نامه ملا عبدالخالق / نامه نگاری، کلام و اعتقادات</w:t>
      </w:r>
      <w:bookmarkEnd w:id="1644"/>
    </w:p>
    <w:p>
      <w:pPr>
        <w:pStyle w:val="BookText"/>
      </w:pPr>
      <w:r>
        <w:rPr>
          <w:rFonts w:ascii="Times New Roman" w:hAnsi="Times New Roman" w:eastAsia="Times New Roman" w:cs="Times New Roman"/>
          <w:lang w:val="en-US" w:bidi="en-US"/>
          <w:color w:val="111111"/>
          <w:sz w:val="28"/>
          <w:szCs w:val="28"/>
          <w:rtl/>
        </w:rPr>
        <w:t xml:space="preserve">pāsox-e nāme-ye mollā 'abd-ol-xāleq</w:t>
      </w:r>
    </w:p>
    <w:p>
      <w:pPr>
        <w:pStyle w:val="BookText"/>
      </w:pPr>
      <w:r>
        <w:rPr>
          <w:rFonts w:ascii="IRNazanin" w:hAnsi="IRNazanin" w:eastAsia="IRNazanin" w:cs="IRNazanin"/>
          <w:lang w:bidi="fa-IR"/>
          <w:color w:val="111111"/>
          <w:sz w:val="28"/>
          <w:szCs w:val="28"/>
          <w:rtl/>
        </w:rPr>
        <w:t xml:space="preserve">؟ کرمانی، محمد کریم بن ابراهیم، ۱۲۲۵-۱۲۸۸ قمری</w:t>
      </w:r>
    </w:p>
    <w:p>
      <w:pPr>
        <w:pStyle w:val="BookText"/>
      </w:pPr>
      <w:r>
        <w:rPr>
          <w:rFonts w:ascii="Times New Roman" w:hAnsi="Times New Roman" w:eastAsia="Times New Roman" w:cs="Times New Roman"/>
          <w:lang w:val="en-US" w:bidi="en-US"/>
          <w:color w:val="111111"/>
          <w:sz w:val="28"/>
          <w:szCs w:val="28"/>
          <w:rtl/>
        </w:rPr>
        <w:t xml:space="preserve">(1810 -ebn-e ebrāhīm kermānī, mohammad karīm 1871)</w:t>
      </w:r>
    </w:p>
    <w:p>
      <w:pPr>
        <w:pStyle w:val="BookText"/>
      </w:pPr>
      <w:r>
        <w:rPr>
          <w:rFonts w:ascii="IRNazanin" w:hAnsi="IRNazanin" w:eastAsia="IRNazanin" w:cs="IRNazanin"/>
          <w:lang w:bidi="fa-IR"/>
          <w:color w:val="111111"/>
          <w:sz w:val="28"/>
          <w:szCs w:val="28"/>
          <w:rtl/>
        </w:rPr>
        <w:t xml:space="preserve">پاسخ نامه ملا عبدالخالق که بابی شده و دونامه به نگارنده این پاسخ که گویا همان حاج کریم خان باشد نوشته بود و او نامه نخست را در چهار هزار بیت پاسخ داده و این که در نسخه ماست پاسخ نامه دوم است. پاسخ گو، وی را از پیروی باب برحذر می دارد و به گفته خود این نامه را به منظور «اتمام حجت» برای وی می نگارد.</w:t>
      </w:r>
    </w:p>
    <w:p>
      <w:pPr>
        <w:pStyle w:val="BookText"/>
      </w:pPr>
      <w:r>
        <w:rPr>
          <w:rFonts w:ascii="IRNazanin" w:hAnsi="IRNazanin" w:eastAsia="IRNazanin" w:cs="IRNazanin"/>
          <w:lang w:bidi="fa-IR"/>
          <w:color w:val="111111"/>
          <w:sz w:val="28"/>
          <w:szCs w:val="28"/>
          <w:rtl/>
        </w:rPr>
        <w:t xml:space="preserve">قم؛ حجتیه؛ شماره نسخه: ۳۳۷/۵</w:t>
      </w:r>
    </w:p>
    <w:p>
      <w:pPr>
        <w:pStyle w:val="BookText"/>
      </w:pPr>
      <w:r>
        <w:rPr>
          <w:rFonts w:ascii="IRNazanin" w:hAnsi="IRNazanin" w:eastAsia="IRNazanin" w:cs="IRNazanin"/>
          <w:lang w:bidi="fa-IR"/>
          <w:color w:val="111111"/>
          <w:sz w:val="28"/>
          <w:szCs w:val="28"/>
          <w:rtl/>
        </w:rPr>
        <w:t xml:space="preserve">خط: نسخ، بی کا، تا: ۱۲۶۲ق، جا: ماهان کرمان؛ سطر، قطع: خشتی [ف: ۱۰۵]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78" w:name="pg20363_209537"/>
    <w:bookmarkEnd w:id="278"/>
    <w:p>
      <w:pPr>
        <w:pStyle w:val="Heading3"/>
      </w:pPr>
      <w:bookmarkStart w:id="1645" w:name="_Toc905"/>
      <w:r>
        <w:t>•پاسخ نامه میرزا براری / نامه نگاری / فارسی</w:t>
      </w:r>
      <w:bookmarkEnd w:id="1645"/>
    </w:p>
    <w:p>
      <w:pPr>
        <w:pStyle w:val="BookText"/>
      </w:pPr>
      <w:r>
        <w:rPr>
          <w:rFonts w:ascii="Times New Roman" w:hAnsi="Times New Roman" w:eastAsia="Times New Roman" w:cs="Times New Roman"/>
          <w:lang w:val="en-US" w:bidi="en-US"/>
          <w:color w:val="111111"/>
          <w:sz w:val="28"/>
          <w:szCs w:val="28"/>
          <w:rtl/>
        </w:rPr>
        <w:t xml:space="preserve">pāsox-e nāme-ye mīrzā barārī</w:t>
      </w:r>
    </w:p>
    <w:p>
      <w:pPr>
        <w:pStyle w:val="BookText"/>
      </w:pPr>
      <w:r>
        <w:rPr>
          <w:rFonts w:ascii="IRNazanin" w:hAnsi="IRNazanin" w:eastAsia="IRNazanin" w:cs="IRNazanin"/>
          <w:lang w:bidi="fa-IR"/>
          <w:color w:val="111111"/>
          <w:sz w:val="28"/>
          <w:szCs w:val="28"/>
          <w:rtl/>
        </w:rPr>
        <w:t xml:space="preserve">در تاریخ نامه میرزا براری (محمد براری امی پسر محمد ...) که کتاب عشره و کتاب مجمل مفصل از تألیفات خویش را برای نویسنده این نامه فرستاده است. دنباله نامه از این مجموعه افتاده و نام نویسنده را ندارد. در این نامه آمده است: «کتاب مستطابی که مسمی به عقول عشره گردیده صادریست نادر ... جلد دوم که موسوم به مجمل مفصل شد مفصل مجمل این مجمل است». این دو بیت را که می گوید «مناسب مقام به خاطر مستهام رسیده بود» درباره کتاب عشره آورده است: از تو آباد شد جهان سخن</w:t>
      </w:r>
      <w:r>
        <w:rPr>
          <w:rFonts w:ascii="IRNazanin" w:hAnsi="IRNazanin" w:eastAsia="IRNazanin" w:cs="IRNazanin"/>
          <w:lang w:bidi="fa-IR"/>
          <w:color w:val="111111"/>
          <w:sz w:val="28"/>
          <w:szCs w:val="28"/>
          <w:b w:val="1"/>
          <w:bCs w:val="1"/>
          <w:i w:val="1"/>
          <w:iCs w:val="1"/>
          <w:rtl/>
        </w:rPr>
        <w:t xml:space="preserve">به سر معنی و به جان سخن / زاده طبع عیسوی نفست</w:t>
      </w:r>
      <w:r>
        <w:rPr>
          <w:rFonts w:ascii="IRNazanin" w:hAnsi="IRNazanin" w:eastAsia="IRNazanin" w:cs="IRNazanin"/>
          <w:lang w:bidi="fa-IR"/>
          <w:color w:val="111111"/>
          <w:sz w:val="28"/>
          <w:szCs w:val="28"/>
          <w:rtl/>
        </w:rPr>
        <w:t xml:space="preserve">خلف الصدق خاندان سخن / جز خیال تو در صف معنی*** که تواند کشد کمان سخن</w:t>
      </w:r>
    </w:p>
    <w:p>
      <w:pPr>
        <w:pStyle w:val="BookText"/>
      </w:pPr>
      <w:r>
        <w:rPr>
          <w:rFonts w:ascii="IRNazanin" w:hAnsi="IRNazanin" w:eastAsia="IRNazanin" w:cs="IRNazanin"/>
          <w:lang w:bidi="fa-IR"/>
          <w:color w:val="111111"/>
          <w:sz w:val="28"/>
          <w:szCs w:val="28"/>
          <w:rtl/>
        </w:rPr>
        <w:t xml:space="preserve">تهران؛ مجلس؛ شماره نسخه: ۳۲۸/۴ -فیروز</w:t>
      </w:r>
    </w:p>
    <w:p>
      <w:pPr>
        <w:pStyle w:val="BookText"/>
      </w:pPr>
      <w:r>
        <w:rPr>
          <w:rFonts w:ascii="IRNazanin" w:hAnsi="IRNazanin" w:eastAsia="IRNazanin" w:cs="IRNazanin"/>
          <w:lang w:bidi="fa-IR"/>
          <w:color w:val="111111"/>
          <w:sz w:val="28"/>
          <w:szCs w:val="28"/>
          <w:rtl/>
        </w:rPr>
        <w:t xml:space="preserve">آغاز: نامه: حواب نامه میرزا براری بعد از تمهيد قوافل اخلاص ... گرامی نامه عطوفت شمامه با دو جلد کتاب حکمت آمیز تقریظ کتاب عقول عشره و مجمل مفصل؛ كا: سید علی، بی تا؛ جلد: تیماج سیاه یک لا، 1گ (۱۷)، قطع: بياض رقعی،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۲۱-۲۹۵)</w:t>
      </w:r>
    </w:p>
    <w:p>
      <w:pPr>
        <w:pStyle w:val="Heading3"/>
      </w:pPr>
      <w:bookmarkStart w:id="1646" w:name="_Toc906"/>
      <w:r>
        <w:t>•پاسخ نامه میرزا سید علی بروجردی / نامه نگاری، عرفان و تصوف / فارسی</w:t>
      </w:r>
      <w:bookmarkEnd w:id="1646"/>
    </w:p>
    <w:p>
      <w:pPr>
        <w:pStyle w:val="BookText"/>
      </w:pPr>
      <w:r>
        <w:rPr>
          <w:rFonts w:ascii="Times New Roman" w:hAnsi="Times New Roman" w:eastAsia="Times New Roman" w:cs="Times New Roman"/>
          <w:lang w:val="en-US" w:bidi="en-US"/>
          <w:color w:val="111111"/>
          <w:sz w:val="28"/>
          <w:szCs w:val="28"/>
          <w:rtl/>
        </w:rPr>
        <w:t xml:space="preserve">pāsox-e nāme-ye mīrzā seyyed ‘alī-ye borūjerdi</w:t>
      </w:r>
    </w:p>
    <w:p>
      <w:pPr>
        <w:pStyle w:val="BookText"/>
      </w:pPr>
      <w:r>
        <w:rPr>
          <w:rFonts w:ascii="IRNazanin" w:hAnsi="IRNazanin" w:eastAsia="IRNazanin" w:cs="IRNazanin"/>
          <w:lang w:bidi="fa-IR"/>
          <w:color w:val="111111"/>
          <w:sz w:val="28"/>
          <w:szCs w:val="28"/>
          <w:rtl/>
        </w:rPr>
        <w:t xml:space="preserve">درویش شیرازی، محمد هاشم بن اسماعیل، ۱۱۱۰؟ - ۱۱۹۹ قمری</w:t>
      </w:r>
    </w:p>
    <w:p>
      <w:pPr>
        <w:pStyle w:val="BookText"/>
      </w:pPr>
      <w:r>
        <w:rPr>
          <w:rFonts w:ascii="Times New Roman" w:hAnsi="Times New Roman" w:eastAsia="Times New Roman" w:cs="Times New Roman"/>
          <w:lang w:val="en-US" w:bidi="en-US"/>
          <w:color w:val="111111"/>
          <w:sz w:val="28"/>
          <w:szCs w:val="28"/>
          <w:rtl/>
        </w:rPr>
        <w:t xml:space="preserve">darvīš-e šīrāzī, mohammad hāšem ebn-e esmāʻīl (1699 1785)</w:t>
      </w:r>
    </w:p>
    <w:p>
      <w:pPr>
        <w:pStyle w:val="BookText"/>
      </w:pPr>
      <w:r>
        <w:rPr>
          <w:rFonts w:ascii="IRNazanin" w:hAnsi="IRNazanin" w:eastAsia="IRNazanin" w:cs="IRNazanin"/>
          <w:lang w:bidi="fa-IR"/>
          <w:color w:val="111111"/>
          <w:sz w:val="28"/>
          <w:szCs w:val="28"/>
          <w:rtl/>
        </w:rPr>
        <w:t xml:space="preserve">درباره درویشی</w:t>
      </w:r>
    </w:p>
    <w:p>
      <w:pPr>
        <w:pStyle w:val="BookText"/>
      </w:pPr>
      <w:r>
        <w:rPr>
          <w:rFonts w:ascii="IRNazanin" w:hAnsi="IRNazanin" w:eastAsia="IRNazanin" w:cs="IRNazanin"/>
          <w:lang w:bidi="fa-IR"/>
          <w:color w:val="111111"/>
          <w:sz w:val="28"/>
          <w:szCs w:val="28"/>
          <w:rtl/>
        </w:rPr>
        <w:t xml:space="preserve">تهران؛ ملک؛ شماره نسخه:930/۶</w:t>
      </w:r>
    </w:p>
    <w:p>
      <w:pPr>
        <w:pStyle w:val="BookText"/>
      </w:pPr>
      <w:r>
        <w:rPr>
          <w:rFonts w:ascii="IRNazanin" w:hAnsi="IRNazanin" w:eastAsia="IRNazanin" w:cs="IRNazanin"/>
          <w:lang w:bidi="fa-IR"/>
          <w:color w:val="111111"/>
          <w:sz w:val="28"/>
          <w:szCs w:val="28"/>
          <w:rtl/>
        </w:rPr>
        <w:t xml:space="preserve">آغاز: جواب مراسله میرزا سید علی بروجردی که ... آقا محمد هاشم درویش ... نوشته اند: سلام علیک أی نژاد رسول ... الحمدلله الذي انزل الكتاب ... سلامی که روایح عنبرین فوایح آن؛ انجام: به صفت درویشان حقیقت نشان متصف سازد، درویشی به صفات است نه قول، السلام عليكم و علی من اتبع الهدی بی کا، تا: قرن ۱۲؛ کاغذ: پسته ای، جلد: میشن قهوه ای، ۱۲گ (۱۸۳ر-۱۹۴ر در متن و هامش)،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۵-۲۱۷]</w:t>
      </w:r>
    </w:p>
    <w:p>
      <w:pPr>
        <w:pStyle w:val="Heading3"/>
      </w:pPr>
      <w:bookmarkStart w:id="1647" w:name="_Toc907"/>
      <w:r>
        <w:t>• پاسخ نامه نجاشی / نامه نگاری / عربی</w:t>
      </w:r>
      <w:bookmarkEnd w:id="1647"/>
    </w:p>
    <w:p>
      <w:pPr>
        <w:pStyle w:val="BookText"/>
      </w:pPr>
      <w:r>
        <w:rPr>
          <w:rFonts w:ascii="Times New Roman" w:hAnsi="Times New Roman" w:eastAsia="Times New Roman" w:cs="Times New Roman"/>
          <w:lang w:val="en-US" w:bidi="en-US"/>
          <w:color w:val="111111"/>
          <w:sz w:val="28"/>
          <w:szCs w:val="28"/>
          <w:rtl/>
        </w:rPr>
        <w:t xml:space="preserve">pāsox-e nāme-ye najāšī</w:t>
      </w:r>
    </w:p>
    <w:p>
      <w:pPr>
        <w:pStyle w:val="BookText"/>
      </w:pPr>
      <w:r>
        <w:rPr>
          <w:rFonts w:ascii="IRNazanin" w:hAnsi="IRNazanin" w:eastAsia="IRNazanin" w:cs="IRNazanin"/>
          <w:lang w:bidi="fa-IR"/>
          <w:color w:val="111111"/>
          <w:sz w:val="28"/>
          <w:szCs w:val="28"/>
          <w:rtl/>
        </w:rPr>
        <w:t xml:space="preserve">منسوب به علی بن ابی طالب (ع)، امام اول، - ۴۰ قمری</w:t>
      </w:r>
    </w:p>
    <w:p>
      <w:pPr>
        <w:pStyle w:val="BookText"/>
      </w:pPr>
      <w:r>
        <w:rPr>
          <w:rFonts w:ascii="Times New Roman" w:hAnsi="Times New Roman" w:eastAsia="Times New Roman" w:cs="Times New Roman"/>
          <w:lang w:val="en-US" w:bidi="en-US"/>
          <w:color w:val="111111"/>
          <w:sz w:val="28"/>
          <w:szCs w:val="28"/>
          <w:rtl/>
        </w:rPr>
        <w:t xml:space="preserve">(mansüb be) ‘alī ebn-e abī tāleb, emām-e avval (- 661)</w:t>
      </w:r>
    </w:p>
    <w:p>
      <w:pPr>
        <w:pStyle w:val="BookText"/>
      </w:pPr>
      <w:r>
        <w:rPr>
          <w:rFonts w:ascii="IRNazanin" w:hAnsi="IRNazanin" w:eastAsia="IRNazanin" w:cs="IRNazanin"/>
          <w:lang w:bidi="fa-IR"/>
          <w:color w:val="111111"/>
          <w:sz w:val="28"/>
          <w:szCs w:val="28"/>
          <w:rtl/>
        </w:rPr>
        <w:t xml:space="preserve">توسط امیر المؤمنین(عليه السلام) به امر پیامبر اکرم (صلی الله علیه وآله وسلم).</w:t>
      </w:r>
    </w:p>
    <w:p>
      <w:pPr>
        <w:pStyle w:val="BookText"/>
      </w:pPr>
      <w:r>
        <w:rPr>
          <w:rFonts w:ascii="IRNazanin" w:hAnsi="IRNazanin" w:eastAsia="IRNazanin" w:cs="IRNazanin"/>
          <w:lang w:bidi="fa-IR"/>
          <w:color w:val="111111"/>
          <w:sz w:val="28"/>
          <w:szCs w:val="28"/>
          <w:rtl/>
        </w:rPr>
        <w:t xml:space="preserve">تهران؛ ملک؛ شماره نسخه: ۶۰۴/۷۳</w:t>
      </w:r>
    </w:p>
    <w:p>
      <w:pPr>
        <w:pStyle w:val="BookText"/>
      </w:pPr>
      <w:r>
        <w:rPr>
          <w:rFonts w:ascii="IRNazanin" w:hAnsi="IRNazanin" w:eastAsia="IRNazanin" w:cs="IRNazanin"/>
          <w:lang w:bidi="fa-IR"/>
          <w:color w:val="111111"/>
          <w:sz w:val="28"/>
          <w:szCs w:val="28"/>
          <w:rtl/>
        </w:rPr>
        <w:t xml:space="preserve">خط: نسخ، كا: شمس الدين محمد بن علی بن حسن جباعی، تا: قرن ۹ [ف: ۵-۱۱۰]</w:t>
      </w:r>
    </w:p>
    <w:p>
      <w:pPr>
        <w:pStyle w:val="Heading3"/>
      </w:pPr>
      <w:bookmarkStart w:id="1648" w:name="_Toc908"/>
      <w:r>
        <w:t>•پاسخ نامه والی بغداد به حضرت والا /نامه نگاری /فارسی</w:t>
      </w:r>
      <w:bookmarkEnd w:id="1648"/>
    </w:p>
    <w:p>
      <w:pPr>
        <w:pStyle w:val="BookText"/>
      </w:pPr>
      <w:r>
        <w:rPr>
          <w:rFonts w:ascii="Times New Roman" w:hAnsi="Times New Roman" w:eastAsia="Times New Roman" w:cs="Times New Roman"/>
          <w:lang w:val="en-US" w:bidi="en-US"/>
          <w:color w:val="111111"/>
          <w:sz w:val="28"/>
          <w:szCs w:val="28"/>
          <w:rtl/>
        </w:rPr>
        <w:t xml:space="preserve">pāsox-e nāme vālī baqdād be hazrat-e vālā</w:t>
      </w:r>
    </w:p>
    <w:p>
      <w:pPr>
        <w:pStyle w:val="BookText"/>
      </w:pPr>
      <w:r>
        <w:rPr>
          <w:rFonts w:ascii="IRNazanin" w:hAnsi="IRNazanin" w:eastAsia="IRNazanin" w:cs="IRNazanin"/>
          <w:lang w:bidi="fa-IR"/>
          <w:color w:val="111111"/>
          <w:sz w:val="28"/>
          <w:szCs w:val="28"/>
          <w:rtl/>
        </w:rPr>
        <w:t xml:space="preserve">تهران؛ ملک؛ شماره نسخه: ۵۰۵۶/۱۰</w:t>
      </w:r>
    </w:p>
    <w:p>
      <w:pPr>
        <w:pStyle w:val="BookText"/>
      </w:pPr>
      <w:r>
        <w:rPr>
          <w:rFonts w:ascii="IRNazanin" w:hAnsi="IRNazanin" w:eastAsia="IRNazanin" w:cs="IRNazanin"/>
          <w:lang w:bidi="fa-IR"/>
          <w:color w:val="111111"/>
          <w:sz w:val="28"/>
          <w:szCs w:val="28"/>
          <w:rtl/>
        </w:rPr>
        <w:t xml:space="preserve">مورخ محرم ۱۲۴۶؛ خط: شکسته نستعلیق، بی کا، تا: قرن ۱۳؛ ۲گ (ور -۱۰ر)، ۱۶ سطر، اندازه: ۲۰/۱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۳۰/۷سم [ف: ۸-۱۷۹]</w:t>
      </w:r>
    </w:p>
    <w:p>
      <w:pPr>
        <w:pStyle w:val="Heading3"/>
      </w:pPr>
      <w:bookmarkStart w:id="1649" w:name="_Toc909"/>
      <w:r>
        <w:t>• پاسخ نامه یزدی / پاسخ پرسش ها / فارسی</w:t>
      </w:r>
      <w:bookmarkEnd w:id="1649"/>
    </w:p>
    <w:p>
      <w:pPr>
        <w:pStyle w:val="BookText"/>
      </w:pPr>
      <w:r>
        <w:rPr>
          <w:rFonts w:ascii="Times New Roman" w:hAnsi="Times New Roman" w:eastAsia="Times New Roman" w:cs="Times New Roman"/>
          <w:lang w:val="en-US" w:bidi="en-US"/>
          <w:color w:val="111111"/>
          <w:sz w:val="28"/>
          <w:szCs w:val="28"/>
          <w:rtl/>
        </w:rPr>
        <w:t xml:space="preserve">pāsox-e nāme-ye yazdī</w:t>
      </w:r>
    </w:p>
    <w:p>
      <w:pPr>
        <w:pStyle w:val="BookText"/>
      </w:pPr>
      <w:r>
        <w:rPr>
          <w:rFonts w:ascii="IRNazanin" w:hAnsi="IRNazanin" w:eastAsia="IRNazanin" w:cs="IRNazanin"/>
          <w:lang w:bidi="fa-IR"/>
          <w:color w:val="111111"/>
          <w:sz w:val="28"/>
          <w:szCs w:val="28"/>
          <w:rtl/>
        </w:rPr>
        <w:t xml:space="preserve">اخباری، محمد بن عبد النبی، ۱۱۷۸-۱۲۳۲ ؟ قمری</w:t>
      </w:r>
    </w:p>
    <w:p>
      <w:pPr>
        <w:pStyle w:val="BookText"/>
      </w:pPr>
      <w:r>
        <w:rPr>
          <w:rFonts w:ascii="Times New Roman" w:hAnsi="Times New Roman" w:eastAsia="Times New Roman" w:cs="Times New Roman"/>
          <w:lang w:val="en-US" w:bidi="en-US"/>
          <w:color w:val="111111"/>
          <w:sz w:val="28"/>
          <w:szCs w:val="28"/>
          <w:rtl/>
        </w:rPr>
        <w:t xml:space="preserve">axbārī, mohammad ebn-e ‘abd-on-nabī (1765-1817)</w:t>
      </w:r>
    </w:p>
    <w:p>
      <w:pPr>
        <w:pStyle w:val="BookText"/>
      </w:pPr>
      <w:r>
        <w:rPr>
          <w:rFonts w:ascii="IRNazanin" w:hAnsi="IRNazanin" w:eastAsia="IRNazanin" w:cs="IRNazanin"/>
          <w:lang w:bidi="fa-IR"/>
          <w:color w:val="111111"/>
          <w:sz w:val="28"/>
          <w:szCs w:val="28"/>
          <w:rtl/>
        </w:rPr>
        <w:t xml:space="preserve">از مقدمه رساله معلوم می شود که حاج محمد علی بن عبدالواحد یزدی امام جمعه یزد این نامه را برای کسی یا از طرف کسی که از او خواسته است را به میرزا محمد اخباری نوشته و از او خواسته است تا دلیل حکم به لزوم جهر در تسبیحات اربعه (در رکعات ۳ و ۴ از نمازهای یومیه) را که خلاف مشهور و روش علماء و مجتهدان است، بیان دارد. نویسنده نامه (حاج محمدعلی) ادله قائلان بوجوب اخفات را نیز نقل کرده و خواسته است اخباری درباره آنها نیز نظر بدهد. میرزا محمد اخباری که در آن زمان در سفر بافق بوده در جواب پیش از این که به رد دلیل های او و اثبات مقصود خود بپردازد، می گوید: اگر با پاسخ هایی که در این نامه داده شده موافقت دارید، زهی وفاق و اگر آنها را کافی نمی دانید، پس از باز گشت از سفر، به ملاقات من بیایند تا بتفصيل سخن بگوییم. عین عبارت اوست: «اگر منظور استیفاء کلام در این مرام باشد حقیر عنقریب عازم تخفیف تصد یعات دوستان بافق است، از باب الحكمة ضالة المؤمن اگر در ضمن صله اخوت ایمانی و خلت روحانی طلب ضاله خود فرمایند، دور از شیوه مرضیه نخواهد بود. نشان گم شده خود بجوز خرد و بزرگ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سراغ یوسف خود کن زبنده و آزاد. و گویا حقیر بیست و هفتم روانه باشم بشرط الاستخاره و له الحكم.» (عبدالحسین حائری)</w:t>
      </w:r>
    </w:p>
    <w:p>
      <w:pPr>
        <w:pStyle w:val="BookText"/>
      </w:pPr>
      <w:r>
        <w:rPr>
          <w:rFonts w:ascii="IRNazanin" w:hAnsi="IRNazanin" w:eastAsia="IRNazanin" w:cs="IRNazanin"/>
          <w:lang w:bidi="fa-IR"/>
          <w:color w:val="111111"/>
          <w:sz w:val="28"/>
          <w:szCs w:val="28"/>
          <w:rtl/>
        </w:rPr>
        <w:t xml:space="preserve">انجام: آتش بشکوه در دل اندوهگین مزن*** حسنت سرشته نفس آتشین مزن / ترسم که نازنین دلت اندوهگین شود***پس بر غباز خاطر ما آتشین مزن</w:t>
      </w:r>
    </w:p>
    <w:p>
      <w:pPr>
        <w:pStyle w:val="BookText"/>
      </w:pPr>
      <w:r>
        <w:rPr>
          <w:rFonts w:ascii="IRNazanin" w:hAnsi="IRNazanin" w:eastAsia="IRNazanin" w:cs="IRNazanin"/>
          <w:lang w:bidi="fa-IR"/>
          <w:color w:val="111111"/>
          <w:sz w:val="28"/>
          <w:szCs w:val="28"/>
          <w:rtl/>
        </w:rPr>
        <w:t xml:space="preserve">۱. تهران؛ مجلس؛ شماره نسخه: ۲۷۹۷/۴</w:t>
      </w:r>
    </w:p>
    <w:p>
      <w:pPr>
        <w:pStyle w:val="BookText"/>
      </w:pPr>
      <w:r>
        <w:rPr>
          <w:rFonts w:ascii="IRNazanin" w:hAnsi="IRNazanin" w:eastAsia="IRNazanin" w:cs="IRNazanin"/>
          <w:lang w:bidi="fa-IR"/>
          <w:color w:val="111111"/>
          <w:sz w:val="28"/>
          <w:szCs w:val="28"/>
          <w:rtl/>
        </w:rPr>
        <w:t xml:space="preserve">آغاز: نامه سؤال: بذروه عرض مقدس عالم میرساند احقر داعی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79" w:name="pg20363_209538"/>
    <w:bookmarkEnd w:id="279"/>
    <w:p>
      <w:pPr>
        <w:pStyle w:val="BookText"/>
      </w:pPr>
      <w:r>
        <w:rPr>
          <w:rFonts w:ascii="IRNazanin" w:hAnsi="IRNazanin" w:eastAsia="IRNazanin" w:cs="IRNazanin"/>
          <w:lang w:bidi="fa-IR"/>
          <w:color w:val="111111"/>
          <w:sz w:val="28"/>
          <w:szCs w:val="28"/>
          <w:rtl/>
        </w:rPr>
        <w:t xml:space="preserve">محمدعلی که در این اوان مذکور شد که ملازمان سامی، بنایشان در رکعت آخر مغرب و دو رکعت آخر عشاء در تسبیحات آنها اخفات است و چون مخلص حقیر میخواهد که در عملیات بدون دلیل و برهان اقدام نکرده باشد ... آغاز پاسخ: بسمله، الحمدلله و سلام على عباده، گر طالب صادقی ز نایاب منال پیدا گردد و آن عقده که بسته است و هست و با خیال هم و اگر «... مخدما: سئوالی کن زمن امروز تا غوغا بشهر افتد*** که اعجاز فلانی کرد گویا بی زبانی را در خصوص جهر تسبیحات استفسار دلیل فرموده اند ... حقير اول آنچه در خصوص ادله سر کار در نظر داشت عرض میکند و آخر آنچه در این خصوص دیده و بر آن اعتماد است؛ انجام: برابر خط: نسخ متوسط، کا: محمد ابراهیم طبسی خراسانی، تا: ۱۲۲۳ق؛ در صدر نسخه نوشته شده: «صورت کتابتیکه مخدوم مطاع حاجی محمد على خلف المرحوم آقا عبدالواحد الیزدی امام جمعه و جماعة خاکسار نوشته»؛ کاغذ: فرنگی سفید آهار مهره، جلد: میشن خرمایی بی مقوا، وص (۱۵۵-۱۶۳)، ۲۳ سطر، قطع: خشتی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۱۰-۷۰]</w:t>
      </w:r>
    </w:p>
    <w:p>
      <w:pPr>
        <w:pStyle w:val="BookText"/>
      </w:pPr>
      <w:r>
        <w:rPr>
          <w:rFonts w:ascii="IRNazanin" w:hAnsi="IRNazanin" w:eastAsia="IRNazanin" w:cs="IRNazanin"/>
          <w:lang w:bidi="fa-IR"/>
          <w:color w:val="111111"/>
          <w:sz w:val="28"/>
          <w:szCs w:val="28"/>
          <w:rtl/>
        </w:rPr>
        <w:t xml:space="preserve">۲. قم؛ مرعشی؛ شماره نسخه: ۷۱۵۶/۴</w:t>
      </w:r>
    </w:p>
    <w:p>
      <w:pPr>
        <w:pStyle w:val="BookText"/>
      </w:pPr>
      <w:r>
        <w:rPr>
          <w:rFonts w:ascii="IRNazanin" w:hAnsi="IRNazanin" w:eastAsia="IRNazanin" w:cs="IRNazanin"/>
          <w:lang w:bidi="fa-IR"/>
          <w:color w:val="111111"/>
          <w:sz w:val="28"/>
          <w:szCs w:val="28"/>
          <w:rtl/>
        </w:rPr>
        <w:t xml:space="preserve">آغاز: الحمدلله و سلام على عباده الذين اصطفی، گر طالب صادق ز نایاب منال پیدا گردد؛ انجام: برابر خط: نستعلیق، بی کا، بی تا؛ جلد: تیماج قهوه ای، ۱۲گ (۵۸پ - ۶۹پ)،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۱۸-۲۹۹]</w:t>
      </w:r>
    </w:p>
    <w:p>
      <w:pPr>
        <w:pStyle w:val="Heading3"/>
      </w:pPr>
      <w:bookmarkStart w:id="1650" w:name="_Toc910"/>
      <w:r>
        <w:t>•پاسخ وپرسش/ عرفان و تصوف / فارسی</w:t>
      </w:r>
      <w:bookmarkEnd w:id="1650"/>
    </w:p>
    <w:p>
      <w:pPr>
        <w:pStyle w:val="BookText"/>
      </w:pPr>
      <w:r>
        <w:rPr>
          <w:rFonts w:ascii="Times New Roman" w:hAnsi="Times New Roman" w:eastAsia="Times New Roman" w:cs="Times New Roman"/>
          <w:lang w:val="en-US" w:bidi="en-US"/>
          <w:color w:val="111111"/>
          <w:sz w:val="28"/>
          <w:szCs w:val="28"/>
          <w:rtl/>
        </w:rPr>
        <w:t xml:space="preserve">pāsox va porseš</w:t>
      </w:r>
    </w:p>
    <w:p>
      <w:pPr>
        <w:pStyle w:val="BookText"/>
      </w:pPr>
      <w:r>
        <w:rPr>
          <w:rFonts w:ascii="IRNazanin" w:hAnsi="IRNazanin" w:eastAsia="IRNazanin" w:cs="IRNazanin"/>
          <w:lang w:bidi="fa-IR"/>
          <w:color w:val="111111"/>
          <w:sz w:val="28"/>
          <w:szCs w:val="28"/>
          <w:rtl/>
        </w:rPr>
        <w:t xml:space="preserve">چشتی، عبدالرحيم</w:t>
      </w:r>
    </w:p>
    <w:p>
      <w:pPr>
        <w:pStyle w:val="BookText"/>
      </w:pPr>
      <w:r>
        <w:rPr>
          <w:rFonts w:ascii="Times New Roman" w:hAnsi="Times New Roman" w:eastAsia="Times New Roman" w:cs="Times New Roman"/>
          <w:lang w:val="en-US" w:bidi="en-US"/>
          <w:color w:val="111111"/>
          <w:sz w:val="28"/>
          <w:szCs w:val="28"/>
          <w:rtl/>
        </w:rPr>
        <w:t xml:space="preserve">čaštī, ‘abd-or-rahīm</w:t>
      </w:r>
    </w:p>
    <w:p>
      <w:pPr>
        <w:pStyle w:val="BookText"/>
      </w:pPr>
      <w:r>
        <w:rPr>
          <w:rFonts w:ascii="IRNazanin" w:hAnsi="IRNazanin" w:eastAsia="IRNazanin" w:cs="IRNazanin"/>
          <w:lang w:bidi="fa-IR"/>
          <w:color w:val="111111"/>
          <w:sz w:val="28"/>
          <w:szCs w:val="28"/>
          <w:rtl/>
        </w:rPr>
        <w:t xml:space="preserve">گویا از: شه عبدالرحیم چشتی مرید امین الدین، محمد حسینی، علی میران باشد. در مقدمه چنین آمده: الوف دعوات و صنوف تحيات از شاه عبدالرحیم که خاک آستانه محمد حسینی، امین الدین علی میران قدس الله سره است به کرم قبول فرماید.</w:t>
      </w:r>
    </w:p>
    <w:p>
      <w:pPr>
        <w:pStyle w:val="BookText"/>
      </w:pPr>
      <w:r>
        <w:rPr>
          <w:rFonts w:ascii="IRNazanin" w:hAnsi="IRNazanin" w:eastAsia="IRNazanin" w:cs="IRNazanin"/>
          <w:lang w:bidi="fa-IR"/>
          <w:color w:val="111111"/>
          <w:sz w:val="28"/>
          <w:szCs w:val="28"/>
          <w:rtl/>
        </w:rPr>
        <w:t xml:space="preserve">[دنا ۶۲۷/۲ ؛ فهرستواره منزوی ۱۶۴/۷ ]</w:t>
      </w:r>
    </w:p>
    <w:p>
      <w:pPr>
        <w:pStyle w:val="BookText"/>
      </w:pPr>
      <w:r>
        <w:rPr>
          <w:rFonts w:ascii="IRNazanin" w:hAnsi="IRNazanin" w:eastAsia="IRNazanin" w:cs="IRNazanin"/>
          <w:lang w:bidi="fa-IR"/>
          <w:color w:val="111111"/>
          <w:sz w:val="28"/>
          <w:szCs w:val="28"/>
          <w:rtl/>
        </w:rPr>
        <w:t xml:space="preserve">تهران؛ نوربخش، شماره نسخه: ۳۰۴/۴</w:t>
      </w:r>
    </w:p>
    <w:p>
      <w:pPr>
        <w:pStyle w:val="BookText"/>
      </w:pPr>
      <w:r>
        <w:rPr>
          <w:rFonts w:ascii="IRNazanin" w:hAnsi="IRNazanin" w:eastAsia="IRNazanin" w:cs="IRNazanin"/>
          <w:lang w:bidi="fa-IR"/>
          <w:color w:val="111111"/>
          <w:sz w:val="28"/>
          <w:szCs w:val="28"/>
          <w:rtl/>
        </w:rPr>
        <w:t xml:space="preserve">آغاز: مکتوب چهارم. خود را شناسد و خدا را شناسد؛ انجام: همت مردان دل همین است که بیعت نفس را کردن. خط: مختلف، كا: نصیر الدین محمد، تا: قرن ۱۱؛ افتادگی: انجام؛ کاغذ: ترکی، جلد: تیماج سرخ مقوایی دارای حاشیه و ترنج، ۱۱ص (۱۹۲-۲۰۲)،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۲-۴۷]</w:t>
      </w:r>
    </w:p>
    <w:p>
      <w:pPr>
        <w:pStyle w:val="Heading3"/>
      </w:pPr>
      <w:bookmarkStart w:id="1651" w:name="_Toc911"/>
      <w:r>
        <w:t>•پاسخ وپرسش/ عرفان و تصوف، پاسخ پرسش ها / فارسی</w:t>
      </w:r>
      <w:bookmarkEnd w:id="1651"/>
    </w:p>
    <w:p>
      <w:pPr>
        <w:pStyle w:val="BookText"/>
      </w:pPr>
      <w:r>
        <w:rPr>
          <w:rFonts w:ascii="Times New Roman" w:hAnsi="Times New Roman" w:eastAsia="Times New Roman" w:cs="Times New Roman"/>
          <w:lang w:val="en-US" w:bidi="en-US"/>
          <w:color w:val="111111"/>
          <w:sz w:val="28"/>
          <w:szCs w:val="28"/>
          <w:rtl/>
        </w:rPr>
        <w:t xml:space="preserve">pāsox va porseš</w:t>
      </w:r>
    </w:p>
    <w:p>
      <w:pPr>
        <w:pStyle w:val="BookText"/>
      </w:pPr>
      <w:r>
        <w:rPr>
          <w:rFonts w:ascii="IRNazanin" w:hAnsi="IRNazanin" w:eastAsia="IRNazanin" w:cs="IRNazanin"/>
          <w:lang w:bidi="fa-IR"/>
          <w:color w:val="111111"/>
          <w:sz w:val="28"/>
          <w:szCs w:val="28"/>
          <w:rtl/>
        </w:rPr>
        <w:t xml:space="preserve">آقامحمد علی کرمانشاهی، ۱۱۴۴-۱۲۱۶ قمری</w:t>
      </w:r>
    </w:p>
    <w:p>
      <w:pPr>
        <w:pStyle w:val="BookText"/>
      </w:pPr>
      <w:r>
        <w:rPr>
          <w:rFonts w:ascii="Times New Roman" w:hAnsi="Times New Roman" w:eastAsia="Times New Roman" w:cs="Times New Roman"/>
          <w:lang w:val="en-US" w:bidi="en-US"/>
          <w:color w:val="111111"/>
          <w:sz w:val="28"/>
          <w:szCs w:val="28"/>
          <w:rtl/>
        </w:rPr>
        <w:t xml:space="preserve">āqā-mohammad ‘alī kermānšāhī (1732-1802)</w:t>
      </w:r>
    </w:p>
    <w:p>
      <w:pPr>
        <w:pStyle w:val="BookText"/>
      </w:pPr>
      <w:r>
        <w:rPr>
          <w:rFonts w:ascii="IRNazanin" w:hAnsi="IRNazanin" w:eastAsia="IRNazanin" w:cs="IRNazanin"/>
          <w:lang w:bidi="fa-IR"/>
          <w:color w:val="111111"/>
          <w:sz w:val="28"/>
          <w:szCs w:val="28"/>
          <w:rtl/>
        </w:rPr>
        <w:t xml:space="preserve">پاسخ پرسش هایی است که از او کرده اند.</w:t>
      </w:r>
    </w:p>
    <w:p>
      <w:pPr>
        <w:pStyle w:val="BookText"/>
      </w:pPr>
      <w:r>
        <w:rPr>
          <w:rFonts w:ascii="IRNazanin" w:hAnsi="IRNazanin" w:eastAsia="IRNazanin" w:cs="IRNazanin"/>
          <w:lang w:bidi="fa-IR"/>
          <w:color w:val="111111"/>
          <w:sz w:val="28"/>
          <w:szCs w:val="28"/>
          <w:rtl/>
        </w:rPr>
        <w:t xml:space="preserve">[ فهرستواره ۳۹۸/۷ ]</w:t>
      </w:r>
    </w:p>
    <w:p>
      <w:pPr>
        <w:pStyle w:val="BookText"/>
      </w:pPr>
      <w:r>
        <w:rPr>
          <w:rFonts w:ascii="IRNazanin" w:hAnsi="IRNazanin" w:eastAsia="IRNazanin" w:cs="IRNazanin"/>
          <w:lang w:bidi="fa-IR"/>
          <w:color w:val="111111"/>
          <w:sz w:val="28"/>
          <w:szCs w:val="28"/>
          <w:rtl/>
        </w:rPr>
        <w:t xml:space="preserve">تهران؛ سپهسالار؛ شماره نسخه: ۶۵۵۸/۲</w:t>
      </w:r>
    </w:p>
    <w:p>
      <w:pPr>
        <w:pStyle w:val="BookText"/>
      </w:pPr>
      <w:r>
        <w:rPr>
          <w:rFonts w:ascii="IRNazanin" w:hAnsi="IRNazanin" w:eastAsia="IRNazanin" w:cs="IRNazanin"/>
          <w:lang w:bidi="fa-IR"/>
          <w:color w:val="111111"/>
          <w:sz w:val="28"/>
          <w:szCs w:val="28"/>
          <w:rtl/>
        </w:rPr>
        <w:t xml:space="preserve">آغاز: بسمله. حمدله ... سؤال در معنی قول رسول خدای حسین منی و انا من حسین؛ انجام: بقوة و كن من الشاکرین.</w:t>
      </w:r>
    </w:p>
    <w:p>
      <w:pPr>
        <w:pStyle w:val="BookText"/>
      </w:pPr>
      <w:r>
        <w:rPr>
          <w:rFonts w:ascii="IRNazanin" w:hAnsi="IRNazanin" w:eastAsia="IRNazanin" w:cs="IRNazanin"/>
          <w:lang w:bidi="fa-IR"/>
          <w:color w:val="111111"/>
          <w:sz w:val="28"/>
          <w:szCs w:val="28"/>
          <w:rtl/>
        </w:rPr>
        <w:t xml:space="preserve">خط: نسخ، كا: محمد رضای شیرازی، تا: ۲۰ رجب ۱۲۵۸ق، ۶گ ( ۴۰-۳۵ ر) [ف: ۵-۱۹]</w:t>
      </w:r>
    </w:p>
    <w:p>
      <w:pPr>
        <w:pStyle w:val="Heading3"/>
      </w:pPr>
      <w:bookmarkStart w:id="1652" w:name="_Toc912"/>
      <w:r>
        <w:t>• پاسخ و پرسش / گوناگون / فارسی</w:t>
      </w:r>
      <w:bookmarkEnd w:id="1652"/>
    </w:p>
    <w:p>
      <w:pPr>
        <w:pStyle w:val="BookText"/>
      </w:pPr>
      <w:r>
        <w:rPr>
          <w:rFonts w:ascii="Times New Roman" w:hAnsi="Times New Roman" w:eastAsia="Times New Roman" w:cs="Times New Roman"/>
          <w:lang w:val="en-US" w:bidi="en-US"/>
          <w:color w:val="111111"/>
          <w:sz w:val="28"/>
          <w:szCs w:val="28"/>
          <w:rtl/>
        </w:rPr>
        <w:t xml:space="preserve">pāsox va porseš</w:t>
      </w:r>
    </w:p>
    <w:p>
      <w:pPr>
        <w:pStyle w:val="BookText"/>
      </w:pPr>
      <w:r>
        <w:rPr>
          <w:rFonts w:ascii="IRNazanin" w:hAnsi="IRNazanin" w:eastAsia="IRNazanin" w:cs="IRNazanin"/>
          <w:lang w:bidi="fa-IR"/>
          <w:color w:val="111111"/>
          <w:sz w:val="28"/>
          <w:szCs w:val="28"/>
          <w:rtl/>
        </w:rPr>
        <w:t xml:space="preserve">کوثر همدانی، علی نقی بن محمد رضا،-۱۲۹۶ ؟ قمری</w:t>
      </w:r>
    </w:p>
    <w:p>
      <w:pPr>
        <w:pStyle w:val="BookText"/>
      </w:pPr>
      <w:r>
        <w:rPr>
          <w:rFonts w:ascii="Times New Roman" w:hAnsi="Times New Roman" w:eastAsia="Times New Roman" w:cs="Times New Roman"/>
          <w:lang w:val="en-US" w:bidi="en-US"/>
          <w:color w:val="111111"/>
          <w:sz w:val="28"/>
          <w:szCs w:val="28"/>
          <w:rtl/>
        </w:rPr>
        <w:t xml:space="preserve">kosar-e hamedānī, ‘alī naqī ebn-e mohammad rezā ( 1879)</w:t>
      </w:r>
    </w:p>
    <w:p>
      <w:pPr>
        <w:pStyle w:val="BookText"/>
      </w:pPr>
      <w:r>
        <w:rPr>
          <w:rFonts w:ascii="IRNazanin" w:hAnsi="IRNazanin" w:eastAsia="IRNazanin" w:cs="IRNazanin"/>
          <w:lang w:bidi="fa-IR"/>
          <w:color w:val="111111"/>
          <w:sz w:val="28"/>
          <w:szCs w:val="28"/>
          <w:rtl/>
        </w:rPr>
        <w:t xml:space="preserve">سؤال و جواب از مسائل متفرقه است و در مجلسی که به دستور عزالدوله عبدالصمد میرزا و با حضور حاج محمد کریم خان کرمانی تشکیل شده بود تقریر یافته است.</w:t>
      </w:r>
    </w:p>
    <w:p>
      <w:pPr>
        <w:pStyle w:val="BookText"/>
      </w:pPr>
      <w:r>
        <w:rPr>
          <w:rFonts w:ascii="IRNazanin" w:hAnsi="IRNazanin" w:eastAsia="IRNazanin" w:cs="IRNazanin"/>
          <w:lang w:bidi="fa-IR"/>
          <w:color w:val="111111"/>
          <w:sz w:val="28"/>
          <w:szCs w:val="28"/>
          <w:rtl/>
        </w:rPr>
        <w:t xml:space="preserve">تهران؛ نوربخش؛ شماره نسخه: ۶۶</w:t>
      </w:r>
    </w:p>
    <w:p>
      <w:pPr>
        <w:pStyle w:val="BookText"/>
      </w:pPr>
      <w:r>
        <w:rPr>
          <w:rFonts w:ascii="IRNazanin" w:hAnsi="IRNazanin" w:eastAsia="IRNazanin" w:cs="IRNazanin"/>
          <w:lang w:bidi="fa-IR"/>
          <w:color w:val="111111"/>
          <w:sz w:val="28"/>
          <w:szCs w:val="28"/>
          <w:rtl/>
        </w:rPr>
        <w:t xml:space="preserve">آغاز: الحمد لله رب العالمين ... و بعد معروض میدارد؛ انجام: غیر این منطق لبی بگشا دمی. خط: نستعلیق، كا: ابوالقاسم، بی تا، کاغذ: ایرانی، جلد: تیماج پشمی یک لا، ۱۰۰، ۱۰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سم [ف: ۱-۹۸]</w:t>
      </w:r>
    </w:p>
    <w:p>
      <w:pPr>
        <w:pStyle w:val="Heading3"/>
      </w:pPr>
      <w:bookmarkStart w:id="1653" w:name="_Toc913"/>
      <w:r>
        <w:t>• پاسخ و رد بر کسروی / کلام و اعتقادات / فارسی</w:t>
      </w:r>
      <w:bookmarkEnd w:id="1653"/>
    </w:p>
    <w:p>
      <w:pPr>
        <w:pStyle w:val="BookText"/>
      </w:pPr>
      <w:r>
        <w:rPr>
          <w:rFonts w:ascii="Times New Roman" w:hAnsi="Times New Roman" w:eastAsia="Times New Roman" w:cs="Times New Roman"/>
          <w:lang w:val="en-US" w:bidi="en-US"/>
          <w:color w:val="111111"/>
          <w:sz w:val="28"/>
          <w:szCs w:val="28"/>
          <w:rtl/>
        </w:rPr>
        <w:t xml:space="preserve">pāsox va rad bar kasravī</w:t>
      </w:r>
    </w:p>
    <w:p>
      <w:pPr>
        <w:pStyle w:val="BookText"/>
      </w:pPr>
      <w:r>
        <w:rPr>
          <w:rFonts w:ascii="IRNazanin" w:hAnsi="IRNazanin" w:eastAsia="IRNazanin" w:cs="IRNazanin"/>
          <w:lang w:bidi="fa-IR"/>
          <w:color w:val="111111"/>
          <w:sz w:val="28"/>
          <w:szCs w:val="28"/>
          <w:rtl/>
        </w:rPr>
        <w:t xml:space="preserve">تهران، دانشگاه؛ شماره نسخه: ۴۷۵۲/۷ -۴۷۵۴-ف</w:t>
      </w:r>
    </w:p>
    <w:p>
      <w:pPr>
        <w:pStyle w:val="BookText"/>
      </w:pPr>
      <w:r>
        <w:rPr>
          <w:rFonts w:ascii="IRNazanin" w:hAnsi="IRNazanin" w:eastAsia="IRNazanin" w:cs="IRNazanin"/>
          <w:lang w:bidi="fa-IR"/>
          <w:color w:val="111111"/>
          <w:sz w:val="28"/>
          <w:szCs w:val="28"/>
          <w:rtl/>
        </w:rPr>
        <w:t xml:space="preserve">بی کا، بی تا [فيلمها ف: ۳-۱۰۲]</w:t>
      </w:r>
    </w:p>
    <w:p>
      <w:pPr>
        <w:pStyle w:val="Heading3"/>
      </w:pPr>
      <w:bookmarkStart w:id="1654" w:name="_Toc914"/>
      <w:r>
        <w:t>• پاسخ و گفتار سبزواری / فلسفه / عربی</w:t>
      </w:r>
      <w:bookmarkEnd w:id="1654"/>
    </w:p>
    <w:p>
      <w:pPr>
        <w:pStyle w:val="BookText"/>
      </w:pPr>
      <w:r>
        <w:rPr>
          <w:rFonts w:ascii="Times New Roman" w:hAnsi="Times New Roman" w:eastAsia="Times New Roman" w:cs="Times New Roman"/>
          <w:lang w:val="en-US" w:bidi="en-US"/>
          <w:color w:val="111111"/>
          <w:sz w:val="28"/>
          <w:szCs w:val="28"/>
          <w:rtl/>
        </w:rPr>
        <w:t xml:space="preserve">pāsox va goftār-e sabzevārī</w:t>
      </w:r>
    </w:p>
    <w:p>
      <w:pPr>
        <w:pStyle w:val="BookText"/>
      </w:pPr>
      <w:r>
        <w:rPr>
          <w:rFonts w:ascii="IRNazanin" w:hAnsi="IRNazanin" w:eastAsia="IRNazanin" w:cs="IRNazanin"/>
          <w:lang w:bidi="fa-IR"/>
          <w:color w:val="111111"/>
          <w:sz w:val="28"/>
          <w:szCs w:val="28"/>
          <w:rtl/>
        </w:rPr>
        <w:t xml:space="preserve">سبزواری، هادی بن مهدی، ۱۲۱۲-۱۲۸۹ قمری</w:t>
      </w:r>
    </w:p>
    <w:p>
      <w:pPr>
        <w:pStyle w:val="BookText"/>
      </w:pPr>
      <w:r>
        <w:rPr>
          <w:rFonts w:ascii="Times New Roman" w:hAnsi="Times New Roman" w:eastAsia="Times New Roman" w:cs="Times New Roman"/>
          <w:lang w:val="en-US" w:bidi="en-US"/>
          <w:color w:val="111111"/>
          <w:sz w:val="28"/>
          <w:szCs w:val="28"/>
          <w:rtl/>
        </w:rPr>
        <w:t xml:space="preserve">sabzevārī, hādī ebn-e mahdī (1798-1872)</w:t>
      </w:r>
    </w:p>
    <w:p>
      <w:pPr>
        <w:pStyle w:val="BookText"/>
      </w:pPr>
      <w:r>
        <w:rPr>
          <w:rFonts w:ascii="IRNazanin" w:hAnsi="IRNazanin" w:eastAsia="IRNazanin" w:cs="IRNazanin"/>
          <w:lang w:bidi="fa-IR"/>
          <w:color w:val="111111"/>
          <w:sz w:val="28"/>
          <w:szCs w:val="28"/>
          <w:rtl/>
        </w:rPr>
        <w:t xml:space="preserve">در این گفتار پاسخها و سخنانی است از فیلسوف سبزواری درباره ازل، جهان مثالی، هستی، حدیث طینت و حدیث های دیگر که نویسنده نسخه (فیروز کوهی) آورده و چنین بر می آید که از شاگردان او بوده و در زندگی استاد این سخنان را گرد آورده است. در بند آخرین شعرهای فارسی دیده می شود و بند پیش از آن به فارسی است.</w:t>
      </w:r>
    </w:p>
    <w:p>
      <w:pPr>
        <w:pStyle w:val="BookText"/>
      </w:pPr>
      <w:r>
        <w:rPr>
          <w:rFonts w:ascii="IRNazanin" w:hAnsi="IRNazanin" w:eastAsia="IRNazanin" w:cs="IRNazanin"/>
          <w:lang w:bidi="fa-IR"/>
          <w:color w:val="111111"/>
          <w:sz w:val="28"/>
          <w:szCs w:val="28"/>
          <w:rtl/>
        </w:rPr>
        <w:t xml:space="preserve">تهران؛ دانشگاه؛ شماره نسخه: ۳۲۴/۳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80" w:name="pg20363_209539"/>
    <w:bookmarkEnd w:id="280"/>
    <w:p>
      <w:pPr>
        <w:pStyle w:val="BookText"/>
      </w:pPr>
      <w:r>
        <w:rPr>
          <w:rFonts w:ascii="IRNazanin" w:hAnsi="IRNazanin" w:eastAsia="IRNazanin" w:cs="IRNazanin"/>
          <w:lang w:bidi="fa-IR"/>
          <w:color w:val="111111"/>
          <w:sz w:val="28"/>
          <w:szCs w:val="28"/>
          <w:rtl/>
        </w:rPr>
        <w:t xml:space="preserve">آغاز: قال الشارح ره في شرح رسالة العلم للعلامة الكاشی ... و قال استادنا ... زبدة متالهة الاسلام الهادي الى دار السلام؛ انجام: و بین القلة و الكثرة المدلول عليها بلفظ قديما فعل كما بين الادبار خط: تعليق و نسخ، بی کا، بی تا؛ افتادگی: انجام؛ وگ (۱۲۰ ر ۱۲۹پ). [ف: ۳-۱۷۸]</w:t>
      </w:r>
    </w:p>
    <w:p>
      <w:pPr>
        <w:pStyle w:val="Heading3"/>
      </w:pPr>
      <w:bookmarkStart w:id="1655" w:name="_Toc915"/>
      <w:r>
        <w:t>• پاسخهای سید کاظم رشتی (منتخب) / پاسخ پرسش ها / عربی</w:t>
      </w:r>
      <w:bookmarkEnd w:id="1655"/>
    </w:p>
    <w:p>
      <w:pPr>
        <w:pStyle w:val="BookText"/>
      </w:pPr>
      <w:r>
        <w:rPr>
          <w:rFonts w:ascii="Times New Roman" w:hAnsi="Times New Roman" w:eastAsia="Times New Roman" w:cs="Times New Roman"/>
          <w:lang w:val="en-US" w:bidi="en-US"/>
          <w:color w:val="111111"/>
          <w:sz w:val="28"/>
          <w:szCs w:val="28"/>
          <w:rtl/>
        </w:rPr>
        <w:t xml:space="preserve">pāsox-hā-ye seyyed kāzem-e raštī (mn.)</w:t>
      </w:r>
    </w:p>
    <w:p>
      <w:pPr>
        <w:pStyle w:val="BookText"/>
      </w:pPr>
      <w:r>
        <w:rPr>
          <w:rFonts w:ascii="IRNazanin" w:hAnsi="IRNazanin" w:eastAsia="IRNazanin" w:cs="IRNazanin"/>
          <w:lang w:bidi="fa-IR"/>
          <w:color w:val="111111"/>
          <w:sz w:val="28"/>
          <w:szCs w:val="28"/>
          <w:rtl/>
        </w:rPr>
        <w:t xml:space="preserve">رشتی، کاظم بن قاسم، ۱۲۱۲-۱۲۵۹ قمری</w:t>
      </w:r>
    </w:p>
    <w:p>
      <w:pPr>
        <w:pStyle w:val="BookText"/>
      </w:pPr>
      <w:r>
        <w:rPr>
          <w:rFonts w:ascii="Times New Roman" w:hAnsi="Times New Roman" w:eastAsia="Times New Roman" w:cs="Times New Roman"/>
          <w:lang w:val="en-US" w:bidi="en-US"/>
          <w:color w:val="111111"/>
          <w:sz w:val="28"/>
          <w:szCs w:val="28"/>
          <w:rtl/>
        </w:rPr>
        <w:t xml:space="preserve">raštī, kāzem ebn-e qāsem (1798-1843)</w:t>
      </w:r>
    </w:p>
    <w:p>
      <w:pPr>
        <w:pStyle w:val="BookText"/>
      </w:pPr>
      <w:r>
        <w:rPr>
          <w:rFonts w:ascii="IRNazanin" w:hAnsi="IRNazanin" w:eastAsia="IRNazanin" w:cs="IRNazanin"/>
          <w:lang w:bidi="fa-IR"/>
          <w:color w:val="111111"/>
          <w:sz w:val="28"/>
          <w:szCs w:val="28"/>
          <w:rtl/>
        </w:rPr>
        <w:t xml:space="preserve">گزیده ای است از پاسخ های سید کاظم رشتی</w:t>
      </w:r>
    </w:p>
    <w:p>
      <w:pPr>
        <w:pStyle w:val="BookText"/>
      </w:pPr>
      <w:r>
        <w:rPr>
          <w:rFonts w:ascii="IRNazanin" w:hAnsi="IRNazanin" w:eastAsia="IRNazanin" w:cs="IRNazanin"/>
          <w:lang w:bidi="fa-IR"/>
          <w:color w:val="111111"/>
          <w:sz w:val="28"/>
          <w:szCs w:val="28"/>
          <w:rtl/>
        </w:rPr>
        <w:t xml:space="preserve">تهران؛ حقوق؛ شماره نسخه: ۱۸۴/۵ -ج</w:t>
      </w:r>
    </w:p>
    <w:p>
      <w:pPr>
        <w:pStyle w:val="BookText"/>
      </w:pPr>
      <w:r>
        <w:rPr>
          <w:rFonts w:ascii="IRNazanin" w:hAnsi="IRNazanin" w:eastAsia="IRNazanin" w:cs="IRNazanin"/>
          <w:lang w:bidi="fa-IR"/>
          <w:color w:val="111111"/>
          <w:sz w:val="28"/>
          <w:szCs w:val="28"/>
          <w:rtl/>
        </w:rPr>
        <w:t xml:space="preserve">آغاز: بسمله. حمدله ... اما بعد فهذه خمسة مسائل انتخبها من اجوبة مسائل ..... السيد كاظم الرشتی سلمه الله تعالی؛ انجام: مع اني ما تركت شيئا منها و السلام کا: مهدی بن زین العابدین، بی تا، ۶گ (۵۴ر - ۵۹پ) [ف: ۳۵۲]</w:t>
      </w:r>
    </w:p>
    <w:p>
      <w:pPr>
        <w:pStyle w:val="BookText"/>
      </w:pPr>
      <w:r>
        <w:rPr>
          <w:rFonts w:ascii="IRNazanin" w:hAnsi="IRNazanin" w:eastAsia="IRNazanin" w:cs="IRNazanin"/>
          <w:lang w:bidi="fa-IR"/>
          <w:color w:val="111111"/>
          <w:sz w:val="28"/>
          <w:szCs w:val="28"/>
          <w:rtl/>
        </w:rPr>
        <w:t xml:space="preserve">←پاسخهای کرکی← اجوبة المسائل</w:t>
      </w:r>
    </w:p>
    <w:p>
      <w:pPr>
        <w:pStyle w:val="BookText"/>
      </w:pPr>
      <w:r>
        <w:rPr>
          <w:rFonts w:ascii="Times New Roman" w:hAnsi="Times New Roman" w:eastAsia="Times New Roman" w:cs="Times New Roman"/>
          <w:lang w:val="en-US" w:bidi="en-US"/>
          <w:color w:val="111111"/>
          <w:sz w:val="28"/>
          <w:szCs w:val="28"/>
          <w:rtl/>
        </w:rPr>
        <w:t xml:space="preserve">pāsox-hā-ye hamadānī</w:t>
      </w:r>
    </w:p>
    <w:p>
      <w:pPr>
        <w:pStyle w:val="Heading3"/>
      </w:pPr>
      <w:bookmarkStart w:id="1656" w:name="_Toc916"/>
      <w:r>
        <w:t>• پاسخهای همدانی / پاسخ پرسش ها / فارسی</w:t>
      </w:r>
      <w:bookmarkEnd w:id="1656"/>
    </w:p>
    <w:p>
      <w:pPr>
        <w:pStyle w:val="BookText"/>
      </w:pPr>
      <w:r>
        <w:rPr>
          <w:rFonts w:ascii="IRNazanin" w:hAnsi="IRNazanin" w:eastAsia="IRNazanin" w:cs="IRNazanin"/>
          <w:lang w:bidi="fa-IR"/>
          <w:color w:val="111111"/>
          <w:sz w:val="28"/>
          <w:szCs w:val="28"/>
          <w:rtl/>
        </w:rPr>
        <w:t xml:space="preserve">همدانی شیخی، محمد باقر بن محمد جعفر، ۱۲۳۹ ۱۳۱۹ قمری</w:t>
      </w:r>
    </w:p>
    <w:p>
      <w:pPr>
        <w:pStyle w:val="BookText"/>
      </w:pPr>
      <w:r>
        <w:rPr>
          <w:rFonts w:ascii="Times New Roman" w:hAnsi="Times New Roman" w:eastAsia="Times New Roman" w:cs="Times New Roman"/>
          <w:lang w:val="en-US" w:bidi="en-US"/>
          <w:color w:val="111111"/>
          <w:sz w:val="28"/>
          <w:szCs w:val="28"/>
          <w:rtl/>
        </w:rPr>
        <w:t xml:space="preserve">hamadānī šayxī, mohammad bāqer ebn-e mohammad ja'far (1824-1902)</w:t>
      </w:r>
    </w:p>
    <w:p>
      <w:pPr>
        <w:pStyle w:val="BookText"/>
      </w:pPr>
      <w:r>
        <w:rPr>
          <w:rFonts w:ascii="IRNazanin" w:hAnsi="IRNazanin" w:eastAsia="IRNazanin" w:cs="IRNazanin"/>
          <w:lang w:bidi="fa-IR"/>
          <w:color w:val="111111"/>
          <w:sz w:val="28"/>
          <w:szCs w:val="28"/>
          <w:rtl/>
        </w:rPr>
        <w:t xml:space="preserve">پاسخ در برابر پرسشی است که پیروان کتاب کرده و از قرآن و غیبت امام خرده گرفته بودند.</w:t>
      </w:r>
    </w:p>
    <w:p>
      <w:pPr>
        <w:pStyle w:val="BookText"/>
      </w:pPr>
      <w:r>
        <w:rPr>
          <w:rFonts w:ascii="IRNazanin" w:hAnsi="IRNazanin" w:eastAsia="IRNazanin" w:cs="IRNazanin"/>
          <w:lang w:bidi="fa-IR"/>
          <w:color w:val="111111"/>
          <w:sz w:val="28"/>
          <w:szCs w:val="28"/>
          <w:rtl/>
        </w:rPr>
        <w:t xml:space="preserve">تهران؛ دانشگاه؛ شماره نسخه: ۹۳۲</w:t>
      </w:r>
    </w:p>
    <w:p>
      <w:pPr>
        <w:pStyle w:val="BookText"/>
      </w:pPr>
      <w:r>
        <w:rPr>
          <w:rFonts w:ascii="IRNazanin" w:hAnsi="IRNazanin" w:eastAsia="IRNazanin" w:cs="IRNazanin"/>
          <w:lang w:bidi="fa-IR"/>
          <w:color w:val="111111"/>
          <w:sz w:val="28"/>
          <w:szCs w:val="28"/>
          <w:rtl/>
        </w:rPr>
        <w:t xml:space="preserve">آغاز: بسمله. الحمدلله رب العالمين ... اما بعد چنین گوید این بنده خاکسار محمد باقر ... که در این اوان محنت اقتران سئوالاتی چند رسید از بعضی از اشکالات که رفع آنها را خواسته پس عنوان سئولات را سئوال و عنوان جوابها را جواب قرار داده؛ انجام: و رد شمس و شق قمر هدایت نکردند فما تغن الآيات و النذر عن قوم لايؤمنون ... و لعنة الله على اعدائهم اجمعين قد تم في الثاني عشر من شهر ذي القعدة الحرام من شهور سنة ۱۲۹۹ حامد مصلية مستغفرا ( تمت)</w:t>
      </w:r>
    </w:p>
    <w:p>
      <w:pPr>
        <w:pStyle w:val="BookText"/>
      </w:pPr>
      <w:r>
        <w:rPr>
          <w:rFonts w:ascii="IRNazanin" w:hAnsi="IRNazanin" w:eastAsia="IRNazanin" w:cs="IRNazanin"/>
          <w:lang w:bidi="fa-IR"/>
          <w:color w:val="111111"/>
          <w:sz w:val="28"/>
          <w:szCs w:val="28"/>
          <w:rtl/>
        </w:rPr>
        <w:t xml:space="preserve">خط: نستعلیق، بی کا، تا: ۱۲۹۹ق؛ همانند نسخه اصل است؛ کاغذ: فرنگی، جلد: تیماج زرد تازه، ۲۲گ، ۶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۶-۲۱۵۱]</w:t>
      </w:r>
    </w:p>
    <w:p>
      <w:pPr>
        <w:pStyle w:val="BookText"/>
      </w:pPr>
      <w:r>
        <w:rPr>
          <w:rFonts w:ascii="IRNazanin" w:hAnsi="IRNazanin" w:eastAsia="IRNazanin" w:cs="IRNazanin"/>
          <w:lang w:bidi="fa-IR"/>
          <w:color w:val="111111"/>
          <w:sz w:val="28"/>
          <w:szCs w:val="28"/>
          <w:rtl/>
        </w:rPr>
        <w:t xml:space="preserve">←پاسخ همدانی برازی قزوینی← الواحد لا يصدر عنه الا الواحد</w:t>
      </w:r>
    </w:p>
    <w:p>
      <w:pPr>
        <w:pStyle w:val="Heading3"/>
      </w:pPr>
      <w:bookmarkStart w:id="1657" w:name="_Toc917"/>
      <w:r>
        <w:t>• پاسخی از سلطان محمد پادشاه روم به شاه عباس / اسناد / فارسی</w:t>
      </w:r>
      <w:bookmarkEnd w:id="1657"/>
    </w:p>
    <w:p>
      <w:pPr>
        <w:pStyle w:val="BookText"/>
      </w:pPr>
      <w:r>
        <w:rPr>
          <w:rFonts w:ascii="Times New Roman" w:hAnsi="Times New Roman" w:eastAsia="Times New Roman" w:cs="Times New Roman"/>
          <w:lang w:val="en-US" w:bidi="en-US"/>
          <w:color w:val="111111"/>
          <w:sz w:val="28"/>
          <w:szCs w:val="28"/>
          <w:rtl/>
        </w:rPr>
        <w:t xml:space="preserve">pāsoxī az soltan mohammad pādešāh-e rūm be šāh</w:t>
      </w:r>
    </w:p>
    <w:p>
      <w:pPr>
        <w:pStyle w:val="BookText"/>
      </w:pPr>
      <w:r>
        <w:rPr>
          <w:rFonts w:ascii="Times New Roman" w:hAnsi="Times New Roman" w:eastAsia="Times New Roman" w:cs="Times New Roman"/>
          <w:lang w:val="en-US" w:bidi="en-US"/>
          <w:color w:val="111111"/>
          <w:sz w:val="28"/>
          <w:szCs w:val="28"/>
          <w:rtl/>
        </w:rPr>
        <w:t xml:space="preserve">abbas</w:t>
      </w:r>
    </w:p>
    <w:p>
      <w:pPr>
        <w:pStyle w:val="BookText"/>
      </w:pPr>
      <w:r>
        <w:rPr>
          <w:rFonts w:ascii="IRNazanin" w:hAnsi="IRNazanin" w:eastAsia="IRNazanin" w:cs="IRNazanin"/>
          <w:lang w:bidi="fa-IR"/>
          <w:color w:val="111111"/>
          <w:sz w:val="28"/>
          <w:szCs w:val="28"/>
          <w:rtl/>
        </w:rPr>
        <w:t xml:space="preserve">تهران؛ ملکی؛ شماره نسخه: ۹۷۵/۸</w:t>
      </w:r>
    </w:p>
    <w:p>
      <w:pPr>
        <w:pStyle w:val="BookText"/>
      </w:pPr>
      <w:r>
        <w:rPr>
          <w:rFonts w:ascii="IRNazanin" w:hAnsi="IRNazanin" w:eastAsia="IRNazanin" w:cs="IRNazanin"/>
          <w:lang w:bidi="fa-IR"/>
          <w:color w:val="111111"/>
          <w:sz w:val="28"/>
          <w:szCs w:val="28"/>
          <w:rtl/>
        </w:rPr>
        <w:t xml:space="preserve">آغاز: منت خدای را که به تایید ذو المنن</w:t>
      </w:r>
    </w:p>
    <w:p>
      <w:pPr>
        <w:pStyle w:val="BookText"/>
      </w:pPr>
      <w:r>
        <w:rPr>
          <w:rFonts w:ascii="IRNazanin" w:hAnsi="IRNazanin" w:eastAsia="IRNazanin" w:cs="IRNazanin"/>
          <w:lang w:bidi="fa-IR"/>
          <w:color w:val="111111"/>
          <w:sz w:val="28"/>
          <w:szCs w:val="28"/>
          <w:rtl/>
        </w:rPr>
        <w:t xml:space="preserve">خط: نستعلیق، بی کا، تا: قرن ۱۱؛ کاغذ: ترمه، رویه میشن قهوه ای یک لایی، ۳گ (۴۲پ -۴۴ر)، ۲۲ سطر، اندازه: ۲۴/۴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۹۳-۷]</w:t>
      </w:r>
    </w:p>
    <w:p>
      <w:pPr>
        <w:pStyle w:val="BookText"/>
      </w:pPr>
      <w:r>
        <w:rPr>
          <w:rFonts w:ascii="IRNazanin" w:hAnsi="IRNazanin" w:eastAsia="IRNazanin" w:cs="IRNazanin"/>
          <w:lang w:bidi="fa-IR"/>
          <w:color w:val="111111"/>
          <w:sz w:val="28"/>
          <w:szCs w:val="28"/>
          <w:rtl/>
        </w:rPr>
        <w:t xml:space="preserve">← پاطولوژی (ترجمه) ← پاتولوژی</w:t>
      </w:r>
    </w:p>
    <w:p>
      <w:pPr>
        <w:pStyle w:val="Heading3"/>
      </w:pPr>
      <w:bookmarkStart w:id="1658" w:name="_Toc918"/>
      <w:r>
        <w:t>• پاکتهای خالی سندهای امیر خان سردار / اسناد</w:t>
      </w:r>
      <w:bookmarkEnd w:id="1658"/>
    </w:p>
    <w:p>
      <w:pPr>
        <w:pStyle w:val="BookText"/>
      </w:pPr>
      <w:r>
        <w:rPr>
          <w:rFonts w:ascii="Times New Roman" w:hAnsi="Times New Roman" w:eastAsia="Times New Roman" w:cs="Times New Roman"/>
          <w:lang w:val="en-US" w:bidi="en-US"/>
          <w:color w:val="111111"/>
          <w:sz w:val="28"/>
          <w:szCs w:val="28"/>
          <w:rtl/>
        </w:rPr>
        <w:t xml:space="preserve">pākat-hā-ye xālī-ye sanad-hā-ye amīr-xān sardār</w:t>
      </w:r>
    </w:p>
    <w:p>
      <w:pPr>
        <w:pStyle w:val="BookText"/>
      </w:pPr>
      <w:r>
        <w:rPr>
          <w:rFonts w:ascii="IRNazanin" w:hAnsi="IRNazanin" w:eastAsia="IRNazanin" w:cs="IRNazanin"/>
          <w:lang w:bidi="fa-IR"/>
          <w:color w:val="111111"/>
          <w:sz w:val="28"/>
          <w:szCs w:val="28"/>
          <w:rtl/>
        </w:rPr>
        <w:t xml:space="preserve">تهران؛ دانشگاه؛ شماره نسخه: ۹۱۳۸</w:t>
      </w:r>
    </w:p>
    <w:p>
      <w:pPr>
        <w:pStyle w:val="BookText"/>
      </w:pPr>
      <w:r>
        <w:rPr>
          <w:rFonts w:ascii="IRNazanin" w:hAnsi="IRNazanin" w:eastAsia="IRNazanin" w:cs="IRNazanin"/>
          <w:lang w:bidi="fa-IR"/>
          <w:color w:val="111111"/>
          <w:sz w:val="28"/>
          <w:szCs w:val="28"/>
          <w:rtl/>
        </w:rPr>
        <w:t xml:space="preserve">بی کا، بی تا [ف: ۱۷-۳۰۱]</w:t>
      </w:r>
    </w:p>
    <w:p>
      <w:pPr>
        <w:pStyle w:val="Heading3"/>
      </w:pPr>
      <w:bookmarkStart w:id="1659" w:name="_Toc919"/>
      <w:r>
        <w:t>• پاکجویی کسروی / فارسی</w:t>
      </w:r>
      <w:bookmarkEnd w:id="1659"/>
    </w:p>
    <w:p>
      <w:pPr>
        <w:pStyle w:val="BookText"/>
      </w:pPr>
      <w:r>
        <w:rPr>
          <w:rFonts w:ascii="Times New Roman" w:hAnsi="Times New Roman" w:eastAsia="Times New Roman" w:cs="Times New Roman"/>
          <w:lang w:val="en-US" w:bidi="en-US"/>
          <w:color w:val="111111"/>
          <w:sz w:val="28"/>
          <w:szCs w:val="28"/>
          <w:rtl/>
        </w:rPr>
        <w:t xml:space="preserve">pākjū’i-ye kasravī</w:t>
      </w:r>
    </w:p>
    <w:p>
      <w:pPr>
        <w:pStyle w:val="BookText"/>
      </w:pPr>
      <w:r>
        <w:rPr>
          <w:rFonts w:ascii="IRNazanin" w:hAnsi="IRNazanin" w:eastAsia="IRNazanin" w:cs="IRNazanin"/>
          <w:lang w:bidi="fa-IR"/>
          <w:color w:val="111111"/>
          <w:sz w:val="28"/>
          <w:szCs w:val="28"/>
          <w:rtl/>
        </w:rPr>
        <w:t xml:space="preserve">تهران؛ دانشگاه؛ شماره نسخه: ۴۷۵۲/۸ -۴۷۵۴-ف</w:t>
      </w:r>
    </w:p>
    <w:p>
      <w:pPr>
        <w:pStyle w:val="BookText"/>
      </w:pPr>
      <w:r>
        <w:rPr>
          <w:rFonts w:ascii="IRNazanin" w:hAnsi="IRNazanin" w:eastAsia="IRNazanin" w:cs="IRNazanin"/>
          <w:lang w:bidi="fa-IR"/>
          <w:color w:val="111111"/>
          <w:sz w:val="28"/>
          <w:szCs w:val="28"/>
          <w:rtl/>
        </w:rPr>
        <w:t xml:space="preserve">بی کا، بی تا [فيلمها ف: ۳-۱۰۲]</w:t>
      </w:r>
    </w:p>
    <w:p>
      <w:pPr>
        <w:pStyle w:val="Heading3"/>
      </w:pPr>
      <w:bookmarkStart w:id="1660" w:name="_Toc920"/>
      <w:r>
        <w:t>• پاکخویی / فارسی</w:t>
      </w:r>
      <w:bookmarkEnd w:id="1660"/>
    </w:p>
    <w:p>
      <w:pPr>
        <w:pStyle w:val="BookText"/>
      </w:pPr>
      <w:r>
        <w:rPr>
          <w:rFonts w:ascii="Times New Roman" w:hAnsi="Times New Roman" w:eastAsia="Times New Roman" w:cs="Times New Roman"/>
          <w:lang w:val="en-US" w:bidi="en-US"/>
          <w:color w:val="111111"/>
          <w:sz w:val="28"/>
          <w:szCs w:val="28"/>
          <w:rtl/>
        </w:rPr>
        <w:t xml:space="preserve">pākxū’ī</w:t>
      </w:r>
    </w:p>
    <w:p>
      <w:pPr>
        <w:pStyle w:val="BookText"/>
      </w:pPr>
      <w:r>
        <w:rPr>
          <w:rFonts w:ascii="IRNazanin" w:hAnsi="IRNazanin" w:eastAsia="IRNazanin" w:cs="IRNazanin"/>
          <w:lang w:bidi="fa-IR"/>
          <w:color w:val="111111"/>
          <w:sz w:val="28"/>
          <w:szCs w:val="28"/>
          <w:rtl/>
        </w:rPr>
        <w:t xml:space="preserve">کسروی، احمد، ۱۲۶۹-۱۳۲۴ شمسی</w:t>
      </w:r>
    </w:p>
    <w:p>
      <w:pPr>
        <w:pStyle w:val="BookText"/>
      </w:pPr>
      <w:r>
        <w:rPr>
          <w:rFonts w:ascii="Times New Roman" w:hAnsi="Times New Roman" w:eastAsia="Times New Roman" w:cs="Times New Roman"/>
          <w:lang w:val="en-US" w:bidi="en-US"/>
          <w:color w:val="111111"/>
          <w:sz w:val="28"/>
          <w:szCs w:val="28"/>
          <w:rtl/>
        </w:rPr>
        <w:t xml:space="preserve">kasravī, ahmad (1890-1945)</w:t>
      </w:r>
    </w:p>
    <w:p>
      <w:pPr>
        <w:pStyle w:val="BookText"/>
      </w:pPr>
      <w:r>
        <w:rPr>
          <w:rFonts w:ascii="IRNazanin" w:hAnsi="IRNazanin" w:eastAsia="IRNazanin" w:cs="IRNazanin"/>
          <w:lang w:bidi="fa-IR"/>
          <w:color w:val="111111"/>
          <w:sz w:val="28"/>
          <w:szCs w:val="28"/>
          <w:rtl/>
        </w:rPr>
        <w:t xml:space="preserve">تهران؛ دانشگاه؛ شماره نسخه: ۴۷۵۲/۱۳ -۴۷۵۴ف</w:t>
      </w:r>
    </w:p>
    <w:p>
      <w:pPr>
        <w:pStyle w:val="BookText"/>
      </w:pPr>
      <w:r>
        <w:rPr>
          <w:rFonts w:ascii="IRNazanin" w:hAnsi="IRNazanin" w:eastAsia="IRNazanin" w:cs="IRNazanin"/>
          <w:lang w:bidi="fa-IR"/>
          <w:color w:val="111111"/>
          <w:sz w:val="28"/>
          <w:szCs w:val="28"/>
          <w:rtl/>
        </w:rPr>
        <w:t xml:space="preserve">بی کا، بی تا [فيلمها ف: ۳-۹۹]</w:t>
      </w:r>
    </w:p>
    <w:p>
      <w:pPr>
        <w:pStyle w:val="Heading3"/>
      </w:pPr>
      <w:bookmarkStart w:id="1661" w:name="_Toc921"/>
      <w:r>
        <w:t>• پاک کردن رنگها / صنعت / عربی</w:t>
      </w:r>
      <w:bookmarkEnd w:id="1661"/>
    </w:p>
    <w:p>
      <w:pPr>
        <w:pStyle w:val="BookText"/>
      </w:pPr>
      <w:r>
        <w:rPr>
          <w:rFonts w:ascii="Times New Roman" w:hAnsi="Times New Roman" w:eastAsia="Times New Roman" w:cs="Times New Roman"/>
          <w:lang w:val="en-US" w:bidi="en-US"/>
          <w:color w:val="111111"/>
          <w:sz w:val="28"/>
          <w:szCs w:val="28"/>
          <w:rtl/>
        </w:rPr>
        <w:t xml:space="preserve">pāk-kardan-e rang-hā</w:t>
      </w:r>
    </w:p>
    <w:p>
      <w:pPr>
        <w:pStyle w:val="BookText"/>
      </w:pPr>
      <w:r>
        <w:rPr>
          <w:rFonts w:ascii="IRNazanin" w:hAnsi="IRNazanin" w:eastAsia="IRNazanin" w:cs="IRNazanin"/>
          <w:lang w:bidi="fa-IR"/>
          <w:color w:val="111111"/>
          <w:sz w:val="28"/>
          <w:szCs w:val="28"/>
          <w:rtl/>
        </w:rPr>
        <w:t xml:space="preserve">تهران؛ مجلس؛ شماره نسخه: ۱۲۰۲/۲۰ -طباطبائی</w:t>
      </w:r>
    </w:p>
    <w:p>
      <w:pPr>
        <w:pStyle w:val="BookText"/>
      </w:pPr>
      <w:r>
        <w:rPr>
          <w:rFonts w:ascii="IRNazanin" w:hAnsi="IRNazanin" w:eastAsia="IRNazanin" w:cs="IRNazanin"/>
          <w:lang w:bidi="fa-IR"/>
          <w:color w:val="111111"/>
          <w:sz w:val="28"/>
          <w:szCs w:val="28"/>
          <w:rtl/>
        </w:rPr>
        <w:t xml:space="preserve">آغاز: في قلع الاصباغ يقلع السواد بغسله بماء الأترج؛ قلع آثار دستور علمی و تجربی پاک کردن انواع رنگها و لکه ها؛ خط: نستعلیق، بی کا، تا: قرن ۱۳؛ ۳۲گ [ف: ۲۳-۷۲۱]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81" w:name="pg20363_209540"/>
    <w:bookmarkEnd w:id="281"/>
    <w:p>
      <w:pPr>
        <w:pStyle w:val="Heading3"/>
      </w:pPr>
      <w:bookmarkStart w:id="1662" w:name="_Toc922"/>
      <w:r>
        <w:t>• پاکی / فقه / فارسی</w:t>
      </w:r>
      <w:bookmarkEnd w:id="1662"/>
    </w:p>
    <w:p>
      <w:pPr>
        <w:pStyle w:val="BookText"/>
      </w:pPr>
      <w:r>
        <w:rPr>
          <w:rFonts w:ascii="Times New Roman" w:hAnsi="Times New Roman" w:eastAsia="Times New Roman" w:cs="Times New Roman"/>
          <w:lang w:val="en-US" w:bidi="en-US"/>
          <w:color w:val="111111"/>
          <w:sz w:val="28"/>
          <w:szCs w:val="28"/>
          <w:rtl/>
        </w:rPr>
        <w:t xml:space="preserve">pākī</w:t>
      </w:r>
    </w:p>
    <w:p>
      <w:pPr>
        <w:pStyle w:val="BookText"/>
      </w:pPr>
      <w:r>
        <w:rPr>
          <w:rFonts w:ascii="IRNazanin" w:hAnsi="IRNazanin" w:eastAsia="IRNazanin" w:cs="IRNazanin"/>
          <w:lang w:bidi="fa-IR"/>
          <w:color w:val="111111"/>
          <w:sz w:val="28"/>
          <w:szCs w:val="28"/>
          <w:rtl/>
        </w:rPr>
        <w:t xml:space="preserve">رساله در پاکی به روش پرسش و پاسخ.</w:t>
      </w:r>
    </w:p>
    <w:p>
      <w:pPr>
        <w:pStyle w:val="BookText"/>
      </w:pPr>
      <w:r>
        <w:rPr>
          <w:rFonts w:ascii="IRNazanin" w:hAnsi="IRNazanin" w:eastAsia="IRNazanin" w:cs="IRNazanin"/>
          <w:lang w:bidi="fa-IR"/>
          <w:color w:val="111111"/>
          <w:sz w:val="28"/>
          <w:szCs w:val="28"/>
          <w:rtl/>
        </w:rPr>
        <w:t xml:space="preserve">تهران؛ دانشگاه؛ شماره نسخه: ۹۲۹۸/۲</w:t>
      </w:r>
    </w:p>
    <w:p>
      <w:pPr>
        <w:pStyle w:val="BookText"/>
      </w:pPr>
      <w:r>
        <w:rPr>
          <w:rFonts w:ascii="IRNazanin" w:hAnsi="IRNazanin" w:eastAsia="IRNazanin" w:cs="IRNazanin"/>
          <w:lang w:bidi="fa-IR"/>
          <w:color w:val="111111"/>
          <w:sz w:val="28"/>
          <w:szCs w:val="28"/>
          <w:rtl/>
        </w:rPr>
        <w:t xml:space="preserve">خط: نسخ، بی کا، تا: قرن ۱۳؛ کاغذ: فرنگی، جلد: تیماج مشکی ضربی لایی، ۴۲گ (۱۷۵-۲۱۶پ)، ۱۰ سطر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قطع: بغلی،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سم [ف: ۱۷- ۳۴۲]</w:t>
      </w:r>
    </w:p>
    <w:p>
      <w:pPr>
        <w:pStyle w:val="Heading3"/>
      </w:pPr>
      <w:bookmarkStart w:id="1663" w:name="_Toc923"/>
      <w:r>
        <w:t>• پانزده صلح نامه و اجاره نامه و بیع نامه / اسناد / فارسی</w:t>
      </w:r>
      <w:bookmarkEnd w:id="1663"/>
    </w:p>
    <w:p>
      <w:pPr>
        <w:pStyle w:val="BookText"/>
      </w:pPr>
      <w:r>
        <w:rPr>
          <w:rFonts w:ascii="Times New Roman" w:hAnsi="Times New Roman" w:eastAsia="Times New Roman" w:cs="Times New Roman"/>
          <w:lang w:val="en-US" w:bidi="en-US"/>
          <w:color w:val="111111"/>
          <w:sz w:val="28"/>
          <w:szCs w:val="28"/>
          <w:rtl/>
        </w:rPr>
        <w:t xml:space="preserve">pānzdah solh-nāme va ejāre-nāme va bey'-nāme</w:t>
      </w:r>
    </w:p>
    <w:p>
      <w:pPr>
        <w:pStyle w:val="BookText"/>
      </w:pPr>
      <w:r>
        <w:rPr>
          <w:rFonts w:ascii="IRNazanin" w:hAnsi="IRNazanin" w:eastAsia="IRNazanin" w:cs="IRNazanin"/>
          <w:lang w:bidi="fa-IR"/>
          <w:color w:val="111111"/>
          <w:sz w:val="28"/>
          <w:szCs w:val="28"/>
          <w:rtl/>
        </w:rPr>
        <w:t xml:space="preserve">شامل: ۱- صلح نامه (۱۳۱۰ق) (۱۳۰۸ق) دو صلح نامه است که به یکدیگر منضم شده است؛ ۲- بیع نامه (۱۲۸۸ ق)؛ 3- دو بیع نامه منضم به هم (۱۳۰۱ ق) (۱۳۰۰ ق)؛ ۴- بیع نامه (۱۳۱۰ ق)؛ ۵- بیع نامه (۱۲۴۶ ق)؛ ۶- بیع نامه (۱۳۱۳ق)؛ ۷- صلح نامه (۱۳۱۷ ق)؛ ۸- اجاره نامه (۱۲۰۸ ق)؛ ۹- بیع نامه (۱۳۱۳ ق)؛ ۱۰ اجاره نامه (۱۳۱۰ ق)؛ 11- بیع نامه (۱۳۱۲ ق)؛ ۱۲- صلح نامه (۱۲۴۹ ق)؛ ۱۳- بیع نامه (۱۳۱۵ ق)؛ ۱۴- بیع نامه (۱۳۱۳ ق)؛ ۱۵ صلح نامه (۱۲۸۳ق).</w:t>
      </w:r>
    </w:p>
    <w:p>
      <w:pPr>
        <w:pStyle w:val="BookText"/>
      </w:pPr>
      <w:r>
        <w:rPr>
          <w:rFonts w:ascii="IRNazanin" w:hAnsi="IRNazanin" w:eastAsia="IRNazanin" w:cs="IRNazanin"/>
          <w:lang w:bidi="fa-IR"/>
          <w:color w:val="111111"/>
          <w:sz w:val="28"/>
          <w:szCs w:val="28"/>
          <w:rtl/>
        </w:rPr>
        <w:t xml:space="preserve">تهران؛ مجلس؛ شماره نسخه: ۱۱۷۸۱</w:t>
      </w:r>
    </w:p>
    <w:p>
      <w:pPr>
        <w:pStyle w:val="BookText"/>
      </w:pPr>
      <w:r>
        <w:rPr>
          <w:rFonts w:ascii="IRNazanin" w:hAnsi="IRNazanin" w:eastAsia="IRNazanin" w:cs="IRNazanin"/>
          <w:lang w:bidi="fa-IR"/>
          <w:color w:val="111111"/>
          <w:sz w:val="28"/>
          <w:szCs w:val="28"/>
          <w:rtl/>
        </w:rPr>
        <w:t xml:space="preserve">بی کا، بی تا؛ ۱۵گ [ف: ۳۱-۶۶]</w:t>
      </w:r>
    </w:p>
    <w:p>
      <w:pPr>
        <w:pStyle w:val="BookText"/>
      </w:pPr>
      <w:r>
        <w:rPr>
          <w:rFonts w:ascii="IRNazanin" w:hAnsi="IRNazanin" w:eastAsia="IRNazanin" w:cs="IRNazanin"/>
          <w:lang w:bidi="fa-IR"/>
          <w:color w:val="111111"/>
          <w:sz w:val="28"/>
          <w:szCs w:val="28"/>
          <w:rtl/>
        </w:rPr>
        <w:t xml:space="preserve">←پانصد رباعی (سفینه تبریز) ← خلاصة الاشعار</w:t>
      </w:r>
    </w:p>
    <w:p>
      <w:pPr>
        <w:pStyle w:val="Heading3"/>
      </w:pPr>
      <w:bookmarkStart w:id="1664" w:name="_Toc924"/>
      <w:r>
        <w:t>•پایان نامه دکتری /</w:t>
      </w:r>
      <w:bookmarkEnd w:id="1664"/>
    </w:p>
    <w:p>
      <w:pPr>
        <w:pStyle w:val="BookText"/>
      </w:pPr>
      <w:r>
        <w:rPr>
          <w:rFonts w:ascii="Times New Roman" w:hAnsi="Times New Roman" w:eastAsia="Times New Roman" w:cs="Times New Roman"/>
          <w:lang w:val="en-US" w:bidi="en-US"/>
          <w:color w:val="111111"/>
          <w:sz w:val="28"/>
          <w:szCs w:val="28"/>
          <w:rtl/>
        </w:rPr>
        <w:t xml:space="preserve">pāyān-nāme-ye doktorī</w:t>
      </w:r>
    </w:p>
    <w:p>
      <w:pPr>
        <w:pStyle w:val="BookText"/>
      </w:pPr>
      <w:r>
        <w:rPr>
          <w:rFonts w:ascii="IRNazanin" w:hAnsi="IRNazanin" w:eastAsia="IRNazanin" w:cs="IRNazanin"/>
          <w:lang w:bidi="fa-IR"/>
          <w:color w:val="111111"/>
          <w:sz w:val="28"/>
          <w:szCs w:val="28"/>
          <w:rtl/>
        </w:rPr>
        <w:t xml:space="preserve">تهران؛ دانشگاه؛ شماره نسخه: ۵۱۸۴-ف</w:t>
      </w:r>
    </w:p>
    <w:p>
      <w:pPr>
        <w:pStyle w:val="BookText"/>
      </w:pPr>
      <w:r>
        <w:rPr>
          <w:rFonts w:ascii="IRNazanin" w:hAnsi="IRNazanin" w:eastAsia="IRNazanin" w:cs="IRNazanin"/>
          <w:lang w:bidi="fa-IR"/>
          <w:color w:val="111111"/>
          <w:sz w:val="28"/>
          <w:szCs w:val="28"/>
          <w:rtl/>
        </w:rPr>
        <w:t xml:space="preserve">دور سوم سیما کوبان حافظی چاپ ۱۹۷۵ پاریس به نام </w:t>
      </w:r>
      <w:r>
        <w:rPr>
          <w:rFonts w:ascii="Times New Roman" w:hAnsi="Times New Roman" w:eastAsia="Times New Roman" w:cs="Times New Roman"/>
          <w:lang w:val="en-US" w:bidi="en-US"/>
          <w:color w:val="111111"/>
          <w:sz w:val="28"/>
          <w:szCs w:val="28"/>
          <w:rtl/>
        </w:rPr>
        <w:t xml:space="preserve">yazd face a la modernisation </w:t>
      </w:r>
      <w:r>
        <w:rPr>
          <w:rFonts w:ascii="IRNazanin" w:hAnsi="IRNazanin" w:eastAsia="IRNazanin" w:cs="IRNazanin"/>
          <w:lang w:bidi="fa-IR"/>
          <w:color w:val="111111"/>
          <w:sz w:val="28"/>
          <w:szCs w:val="28"/>
          <w:rtl/>
        </w:rPr>
        <w:t xml:space="preserve">بی کا، بی تا [فيلمها ف: ۳-۱۴۱]</w:t>
      </w:r>
    </w:p>
    <w:p>
      <w:pPr>
        <w:pStyle w:val="Heading3"/>
      </w:pPr>
      <w:bookmarkStart w:id="1665" w:name="_Toc925"/>
      <w:r>
        <w:t>• پایداری روان پس از مرگ = حال نفوس بعد از فساد تنها / فلسفه / فارسی جزوی</w:t>
      </w:r>
      <w:bookmarkEnd w:id="1665"/>
    </w:p>
    <w:p>
      <w:pPr>
        <w:pStyle w:val="BookText"/>
      </w:pPr>
      <w:r>
        <w:rPr>
          <w:rFonts w:ascii="Times New Roman" w:hAnsi="Times New Roman" w:eastAsia="Times New Roman" w:cs="Times New Roman"/>
          <w:lang w:val="en-US" w:bidi="en-US"/>
          <w:color w:val="111111"/>
          <w:sz w:val="28"/>
          <w:szCs w:val="28"/>
          <w:rtl/>
        </w:rPr>
        <w:t xml:space="preserve">pāydārī-ye ravān pas az marg = hāl-e nofūs-e jozvī bad az fesād-e tan-hā</w:t>
      </w:r>
    </w:p>
    <w:p>
      <w:pPr>
        <w:pStyle w:val="BookText"/>
      </w:pPr>
      <w:r>
        <w:rPr>
          <w:rFonts w:ascii="IRNazanin" w:hAnsi="IRNazanin" w:eastAsia="IRNazanin" w:cs="IRNazanin"/>
          <w:lang w:bidi="fa-IR"/>
          <w:color w:val="111111"/>
          <w:sz w:val="28"/>
          <w:szCs w:val="28"/>
          <w:rtl/>
        </w:rPr>
        <w:t xml:space="preserve">بابا افضل کاشانی، محمد بن حسین، -۶۶۷؟ قمری</w:t>
      </w:r>
    </w:p>
    <w:p>
      <w:pPr>
        <w:pStyle w:val="BookText"/>
      </w:pPr>
      <w:r>
        <w:rPr>
          <w:rFonts w:ascii="Times New Roman" w:hAnsi="Times New Roman" w:eastAsia="Times New Roman" w:cs="Times New Roman"/>
          <w:lang w:val="en-US" w:bidi="en-US"/>
          <w:color w:val="111111"/>
          <w:sz w:val="28"/>
          <w:szCs w:val="28"/>
          <w:rtl/>
        </w:rPr>
        <w:t xml:space="preserve">bābā afzal-e kāšānī, mohammad ebn-e hoseyn (- 1269)</w:t>
      </w:r>
    </w:p>
    <w:p>
      <w:pPr>
        <w:pStyle w:val="BookText"/>
      </w:pPr>
      <w:r>
        <w:rPr>
          <w:rFonts w:ascii="IRNazanin" w:hAnsi="IRNazanin" w:eastAsia="IRNazanin" w:cs="IRNazanin"/>
          <w:lang w:bidi="fa-IR"/>
          <w:color w:val="111111"/>
          <w:sz w:val="28"/>
          <w:szCs w:val="28"/>
          <w:rtl/>
        </w:rPr>
        <w:t xml:space="preserve">در اینکه نفس درک کننده کلیات و جزئیات است و از آنجا که درک کلیات به وسیله آلتی صورت نمی پذیرد، از بین رفتن تن یابندگی کلی از بین نمی رود، در حالی که درک جزئیات با آلت جزئی و محسوس ممکن می شود و لذا با از بین رفتن جسم این گونه ادراک نیز از بین می رود. آغاز: موجودات یا کلی اند یا جزوی؛ و نفس یا متصرف امور کلی بود بهمگی خود، یا متصرف امور جزوی بجملگی انجام: که نیز آسیب هیچ تغیری بوی نپیوندد و زوال و فساد نپذیرد. تلك الجنة التي نورث من عبادنا كان تقيا في مقعد صدق عند مليك مقتدر. چاپ: در مصنفات افضل الدین محمد مرقی کاشانی، به تصحیح مجتبی مینوی و یحیی مهدوی (تهران، خوارزمی: ۱۳۶۶ (چاپ دوم) (ص ۶۴۱-۶۴۳)</w:t>
      </w:r>
    </w:p>
    <w:p>
      <w:pPr>
        <w:pStyle w:val="BookText"/>
      </w:pPr>
      <w:r>
        <w:rPr>
          <w:rFonts w:ascii="IRNazanin" w:hAnsi="IRNazanin" w:eastAsia="IRNazanin" w:cs="IRNazanin"/>
          <w:lang w:bidi="fa-IR"/>
          <w:color w:val="111111"/>
          <w:sz w:val="28"/>
          <w:szCs w:val="28"/>
          <w:rtl/>
        </w:rPr>
        <w:t xml:space="preserve">[دنا ۶۲۸/۲ (۱۱ نسخه)؛ فهرستواره منزوی ۸۹/۶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ادبیات؛ شماره نسخه: ۱۴۵/۱۷</w:t>
      </w:r>
    </w:p>
    <w:p>
      <w:pPr>
        <w:pStyle w:val="BookText"/>
      </w:pPr>
      <w:r>
        <w:rPr>
          <w:rFonts w:ascii="IRNazanin" w:hAnsi="IRNazanin" w:eastAsia="IRNazanin" w:cs="IRNazanin"/>
          <w:lang w:bidi="fa-IR"/>
          <w:color w:val="111111"/>
          <w:sz w:val="28"/>
          <w:szCs w:val="28"/>
          <w:rtl/>
        </w:rPr>
        <w:t xml:space="preserve">حکمت خط: نسخ، بی کا، تا: قرن ۹ و ۱۰؛ جلد: تیماج مشکی یک لا، قطع: وزیری [ف: ۲-۴۳)</w:t>
      </w:r>
    </w:p>
    <w:p>
      <w:pPr>
        <w:pStyle w:val="BookText"/>
      </w:pPr>
      <w:r>
        <w:rPr>
          <w:rFonts w:ascii="IRNazanin" w:hAnsi="IRNazanin" w:eastAsia="IRNazanin" w:cs="IRNazanin"/>
          <w:lang w:bidi="fa-IR"/>
          <w:color w:val="111111"/>
          <w:sz w:val="28"/>
          <w:szCs w:val="28"/>
          <w:rtl/>
        </w:rPr>
        <w:t xml:space="preserve">۲. تهران؛ سپهسالار؛ شماره نسخه: ۱۲۱۵/۲</w:t>
      </w:r>
    </w:p>
    <w:p>
      <w:pPr>
        <w:pStyle w:val="BookText"/>
      </w:pPr>
      <w:r>
        <w:rPr>
          <w:rFonts w:ascii="IRNazanin" w:hAnsi="IRNazanin" w:eastAsia="IRNazanin" w:cs="IRNazanin"/>
          <w:lang w:bidi="fa-IR"/>
          <w:color w:val="111111"/>
          <w:sz w:val="28"/>
          <w:szCs w:val="28"/>
          <w:rtl/>
        </w:rPr>
        <w:t xml:space="preserve">خط: نستعلیق، بی کا، تا: قرن ۱۰؛ ۲ ص (۸۰-۸۱) [ف: ۵-۴۶۱]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ملک، شماره نسخه: ۴۱۹۱/۳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۱۱، کاغذ: ترمه، ۲گ (۳۱پ- ۳۲پ)، ۱۷ سطر، اندازه: ۱۸/۸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۱۰/۶ سم [ف: ۷-۲۴۳]</w:t>
      </w:r>
    </w:p>
    <w:p>
      <w:pPr>
        <w:pStyle w:val="BookText"/>
      </w:pPr>
      <w:r>
        <w:rPr>
          <w:rFonts w:ascii="IRNazanin" w:hAnsi="IRNazanin" w:eastAsia="IRNazanin" w:cs="IRNazanin"/>
          <w:lang w:bidi="fa-IR"/>
          <w:color w:val="111111"/>
          <w:sz w:val="28"/>
          <w:szCs w:val="28"/>
          <w:rtl/>
        </w:rPr>
        <w:t xml:space="preserve">۴. تهران؛ دانشگاه؛ شماره نسخه: ۲۴۰۱/۱۶/۳</w:t>
      </w:r>
    </w:p>
    <w:p>
      <w:pPr>
        <w:pStyle w:val="BookText"/>
      </w:pPr>
      <w:r>
        <w:rPr>
          <w:rFonts w:ascii="IRNazanin" w:hAnsi="IRNazanin" w:eastAsia="IRNazanin" w:cs="IRNazanin"/>
          <w:lang w:bidi="fa-IR"/>
          <w:color w:val="111111"/>
          <w:sz w:val="28"/>
          <w:szCs w:val="28"/>
          <w:rtl/>
        </w:rPr>
        <w:t xml:space="preserve">خط: نستعلیق، كا: رضا بن موسی کشمیری، تا قرن ۱۱، جان طوس؛ کاغذ: سپاهانی، جلد: تیماج عنابی ضربی زرکوب مقوایی، ۲۸ سطر (۱۳/۵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۹-۱۰۱۵]</w:t>
      </w:r>
    </w:p>
    <w:p>
      <w:pPr>
        <w:pStyle w:val="BookText"/>
      </w:pPr>
      <w:r>
        <w:rPr>
          <w:rFonts w:ascii="IRNazanin" w:hAnsi="IRNazanin" w:eastAsia="IRNazanin" w:cs="IRNazanin"/>
          <w:lang w:bidi="fa-IR"/>
          <w:color w:val="111111"/>
          <w:sz w:val="28"/>
          <w:szCs w:val="28"/>
          <w:rtl/>
        </w:rPr>
        <w:t xml:space="preserve">۵. تهران؛ دانشگاه؛ شماره نسخه: ۲۴۰۱/۱۹/۲</w:t>
      </w:r>
    </w:p>
    <w:p>
      <w:pPr>
        <w:pStyle w:val="BookText"/>
      </w:pPr>
      <w:r>
        <w:rPr>
          <w:rFonts w:ascii="IRNazanin" w:hAnsi="IRNazanin" w:eastAsia="IRNazanin" w:cs="IRNazanin"/>
          <w:lang w:bidi="fa-IR"/>
          <w:color w:val="111111"/>
          <w:sz w:val="28"/>
          <w:szCs w:val="28"/>
          <w:rtl/>
        </w:rPr>
        <w:t xml:space="preserve">خط: نستعلیق، کا: رضا بن موسی کشمیری، تا قرن ۱۱، جان طوس؛ کاغذ: سپاهانی، جلد: تیماج عنابی، ۲۸ سطر (۱۳/۵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۱۹/۵)،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 سم [ف: ۹-۱۰۱۵]</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مجلس؛ شماره نسخه: ۴۹۴۲/۳۳</w:t>
      </w:r>
    </w:p>
    <w:p>
      <w:pPr>
        <w:pStyle w:val="BookText"/>
      </w:pPr>
      <w:r>
        <w:rPr>
          <w:rFonts w:ascii="IRNazanin" w:hAnsi="IRNazanin" w:eastAsia="IRNazanin" w:cs="IRNazanin"/>
          <w:lang w:bidi="fa-IR"/>
          <w:color w:val="111111"/>
          <w:sz w:val="28"/>
          <w:szCs w:val="28"/>
          <w:rtl/>
        </w:rPr>
        <w:t xml:space="preserve">آغاز: برابر؛ انجام: که وجود ضروری و ذاتی اوست باقیماند و این یافت مستدام گردد و تمام نشود ... که نیز آسیبی بوی راه نیاید و السلام</w:t>
      </w:r>
    </w:p>
    <w:p>
      <w:pPr>
        <w:pStyle w:val="BookText"/>
      </w:pPr>
      <w:r>
        <w:rPr>
          <w:rFonts w:ascii="IRNazanin" w:hAnsi="IRNazanin" w:eastAsia="IRNazanin" w:cs="IRNazanin"/>
          <w:lang w:bidi="fa-IR"/>
          <w:color w:val="111111"/>
          <w:sz w:val="28"/>
          <w:szCs w:val="28"/>
          <w:rtl/>
        </w:rPr>
        <w:t xml:space="preserve">خط: شکسته نستعلیق چلیپا، بی کا، تا: قرن ۱۱؛ کاغذ: سپاهانی، جلد: تیماج کبود، اص</w:t>
      </w:r>
    </w:p>
    <w:p>
      <w:pPr>
        <w:pStyle w:val="BookText"/>
      </w:pPr>
      <w:r>
        <w:rPr>
          <w:rFonts w:ascii="IRNazanin" w:hAnsi="IRNazanin" w:eastAsia="IRNazanin" w:cs="IRNazanin"/>
          <w:lang w:bidi="fa-IR"/>
          <w:color w:val="111111"/>
          <w:sz w:val="28"/>
          <w:szCs w:val="28"/>
          <w:rtl/>
        </w:rPr>
        <w:t xml:space="preserve">(۹۷ر)، ابعاد متن: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۱۴-۱۸۶]</w:t>
      </w:r>
    </w:p>
    <w:p>
      <w:pPr>
        <w:pStyle w:val="BookText"/>
      </w:pPr>
      <w:r>
        <w:rPr>
          <w:rFonts w:ascii="IRNazanin" w:hAnsi="IRNazanin" w:eastAsia="IRNazanin" w:cs="IRNazanin"/>
          <w:lang w:bidi="fa-IR"/>
          <w:color w:val="111111"/>
          <w:sz w:val="28"/>
          <w:szCs w:val="28"/>
          <w:rtl/>
        </w:rPr>
        <w:t xml:space="preserve">۷. تهران؛ مجلس؛ شماره نسخه: ۵۱۸۰/۲۴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۱۰۶۹ق؛ ۲گ (۲۷۳-۲۷۴) [ف: ۱۵-۳۳۰]</w:t>
      </w:r>
    </w:p>
    <w:p>
      <w:pPr>
        <w:pStyle w:val="BookText"/>
      </w:pPr>
      <w:r>
        <w:rPr>
          <w:rFonts w:ascii="IRNazanin" w:hAnsi="IRNazanin" w:eastAsia="IRNazanin" w:cs="IRNazanin"/>
          <w:lang w:bidi="fa-IR"/>
          <w:color w:val="111111"/>
          <w:sz w:val="28"/>
          <w:szCs w:val="28"/>
          <w:rtl/>
        </w:rPr>
        <w:t xml:space="preserve">۸. تهران: دانشگاه؛ شماره نسخه: ۴۲۸/۱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تعلیق، بی کا، تا: ۱۰۸۳ق؛ ۲گ (۲ر -۳ر) [ف: ۳-۳۲۷]</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مجلس؛ شماره نسخه: ۴۸۶۸/۷</w:t>
      </w:r>
    </w:p>
    <w:p>
      <w:pPr>
        <w:pStyle w:val="BookText"/>
      </w:pPr>
      <w:r>
        <w:rPr>
          <w:rFonts w:ascii="IRNazanin" w:hAnsi="IRNazanin" w:eastAsia="IRNazanin" w:cs="IRNazanin"/>
          <w:lang w:bidi="fa-IR"/>
          <w:color w:val="111111"/>
          <w:sz w:val="28"/>
          <w:szCs w:val="28"/>
          <w:rtl/>
        </w:rPr>
        <w:t xml:space="preserve">آغاز و انجام: برابر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82" w:name="pg20363_209541"/>
    <w:bookmarkEnd w:id="282"/>
    <w:p>
      <w:pPr>
        <w:pStyle w:val="BookText"/>
      </w:pPr>
      <w:r>
        <w:rPr>
          <w:rFonts w:ascii="IRNazanin" w:hAnsi="IRNazanin" w:eastAsia="IRNazanin" w:cs="IRNazanin"/>
          <w:lang w:bidi="fa-IR"/>
          <w:color w:val="111111"/>
          <w:sz w:val="28"/>
          <w:szCs w:val="28"/>
          <w:rtl/>
        </w:rPr>
        <w:t xml:space="preserve">خط: نستعلیق، بی کا، تا: قرن ۱۳؛ جلد: تیماج مقوایی مشکی، ۳۴گ، ۲۷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[ف: ۱۳-۳۰۹]</w:t>
      </w:r>
    </w:p>
    <w:p>
      <w:pPr>
        <w:pStyle w:val="BookText"/>
      </w:pPr>
      <w:r>
        <w:rPr>
          <w:rFonts w:ascii="IRNazanin" w:hAnsi="IRNazanin" w:eastAsia="IRNazanin" w:cs="IRNazanin"/>
          <w:lang w:bidi="fa-IR"/>
          <w:color w:val="111111"/>
          <w:sz w:val="28"/>
          <w:szCs w:val="28"/>
          <w:rtl/>
        </w:rPr>
        <w:t xml:space="preserve">۱۰. تهران: دانشگاه؛ شماره نسخه: ۴۳۱/۶</w:t>
      </w:r>
    </w:p>
    <w:p>
      <w:pPr>
        <w:pStyle w:val="BookText"/>
      </w:pPr>
      <w:r>
        <w:rPr>
          <w:rFonts w:ascii="IRNazanin" w:hAnsi="IRNazanin" w:eastAsia="IRNazanin" w:cs="IRNazanin"/>
          <w:lang w:bidi="fa-IR"/>
          <w:color w:val="111111"/>
          <w:sz w:val="28"/>
          <w:szCs w:val="28"/>
          <w:rtl/>
        </w:rPr>
        <w:t xml:space="preserve">خط: تعليق، كا: محمد على، تا: ۱۳۰۲ق؛ ۲گ (۱۲۲-۱۲۳پ) [ف: ۳-۳۲۷]</w:t>
      </w:r>
    </w:p>
    <w:p>
      <w:pPr>
        <w:pStyle w:val="BookText"/>
      </w:pPr>
      <w:r>
        <w:rPr>
          <w:rFonts w:ascii="IRNazanin" w:hAnsi="IRNazanin" w:eastAsia="IRNazanin" w:cs="IRNazanin"/>
          <w:lang w:bidi="fa-IR"/>
          <w:color w:val="111111"/>
          <w:sz w:val="28"/>
          <w:szCs w:val="28"/>
          <w:rtl/>
        </w:rPr>
        <w:t xml:space="preserve">۱۱. تهران؛ ملی؛ شماره نسخه: ۲۴۵۴/۶/۳</w:t>
      </w:r>
    </w:p>
    <w:p>
      <w:pPr>
        <w:pStyle w:val="BookText"/>
      </w:pPr>
      <w:r>
        <w:rPr>
          <w:rFonts w:ascii="IRNazanin" w:hAnsi="IRNazanin" w:eastAsia="IRNazanin" w:cs="IRNazanin"/>
          <w:lang w:bidi="fa-IR"/>
          <w:color w:val="111111"/>
          <w:sz w:val="28"/>
          <w:szCs w:val="28"/>
          <w:rtl/>
        </w:rPr>
        <w:t xml:space="preserve">خط شکسته نستعلیق، كان محمد خان، تا: ۱۳۳۳ق، جا؛ تهران؛ کاغذ:</w:t>
      </w:r>
    </w:p>
    <w:p>
      <w:pPr>
        <w:pStyle w:val="BookText"/>
      </w:pPr>
      <w:r>
        <w:rPr>
          <w:rFonts w:ascii="IRNazanin" w:hAnsi="IRNazanin" w:eastAsia="IRNazanin" w:cs="IRNazanin"/>
          <w:lang w:bidi="fa-IR"/>
          <w:color w:val="111111"/>
          <w:sz w:val="28"/>
          <w:szCs w:val="28"/>
          <w:rtl/>
        </w:rPr>
        <w:t xml:space="preserve">فرنگی، جلد: مقوایی، ۱۶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۵-۵۹۶]</w:t>
      </w:r>
    </w:p>
    <w:p>
      <w:pPr>
        <w:pStyle w:val="BookText"/>
      </w:pPr>
      <w:r>
        <w:rPr>
          <w:rFonts w:ascii="IRNazanin" w:hAnsi="IRNazanin" w:eastAsia="IRNazanin" w:cs="IRNazanin"/>
          <w:lang w:bidi="fa-IR"/>
          <w:color w:val="111111"/>
          <w:sz w:val="28"/>
          <w:szCs w:val="28"/>
          <w:rtl/>
        </w:rPr>
        <w:t xml:space="preserve">۱۲. تهران: مجلس؛ شماره نسخه: ۵۰۳۱/۲</w:t>
      </w:r>
    </w:p>
    <w:p>
      <w:pPr>
        <w:pStyle w:val="BookText"/>
      </w:pPr>
      <w:r>
        <w:rPr>
          <w:rFonts w:ascii="IRNazanin" w:hAnsi="IRNazanin" w:eastAsia="IRNazanin" w:cs="IRNazanin"/>
          <w:lang w:bidi="fa-IR"/>
          <w:color w:val="111111"/>
          <w:sz w:val="28"/>
          <w:szCs w:val="28"/>
          <w:rtl/>
        </w:rPr>
        <w:t xml:space="preserve">آغاز: برابر؛ انجام: عند ملک مقتدر ... شخص جزوی بحقیقت کلی وجود آرد و داننده معنی ... و حکم کننده مرصدق این گفتار خط: نسخ خوب، كان محمد على متخلص به عبرت نائینی، تا: دوشنبه ذیقعده ۱۳۴۷ق؛ کاغذ: فرنگی، جلد: تیماج مشکی ضربی، ۳ص (۵۳)، ۱۸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۳۳۷-۱۴ ]</w:t>
      </w:r>
    </w:p>
    <w:p>
      <w:pPr>
        <w:pStyle w:val="BookText"/>
      </w:pPr>
      <w:r>
        <w:rPr>
          <w:rFonts w:ascii="IRNazanin" w:hAnsi="IRNazanin" w:eastAsia="IRNazanin" w:cs="IRNazanin"/>
          <w:lang w:bidi="fa-IR"/>
          <w:color w:val="111111"/>
          <w:sz w:val="28"/>
          <w:szCs w:val="28"/>
          <w:rtl/>
        </w:rPr>
        <w:t xml:space="preserve">۱۳. تهران، دانشگاه؛ شماره نسخه: ۲۲۶۷/۶/۴</w:t>
      </w:r>
    </w:p>
    <w:p>
      <w:pPr>
        <w:pStyle w:val="BookText"/>
      </w:pPr>
      <w:r>
        <w:rPr>
          <w:rFonts w:ascii="IRNazanin" w:hAnsi="IRNazanin" w:eastAsia="IRNazanin" w:cs="IRNazanin"/>
          <w:lang w:bidi="fa-IR"/>
          <w:color w:val="111111"/>
          <w:sz w:val="28"/>
          <w:szCs w:val="28"/>
          <w:rtl/>
        </w:rPr>
        <w:t xml:space="preserve">شماره ۱۷ چاپی؛ خط: نستعلیق، بی کا، بی تا، کاغذ: فرنگی، جلد: تیماج تریاکی گرد، اندازه: ۱۸/۵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۲۸/۵سم [ف: ۹-۹۱۸]</w:t>
      </w:r>
    </w:p>
    <w:p>
      <w:pPr>
        <w:pStyle w:val="BookText"/>
      </w:pPr>
      <w:r>
        <w:rPr>
          <w:rFonts w:ascii="IRNazanin" w:hAnsi="IRNazanin" w:eastAsia="IRNazanin" w:cs="IRNazanin"/>
          <w:lang w:bidi="fa-IR"/>
          <w:color w:val="111111"/>
          <w:sz w:val="28"/>
          <w:szCs w:val="28"/>
          <w:rtl/>
        </w:rPr>
        <w:t xml:space="preserve">۱۴. تهران؛ مجلس؛ شماره نسخه: ۴۸۰۵/۱۳</w:t>
      </w:r>
    </w:p>
    <w:p>
      <w:pPr>
        <w:pStyle w:val="BookText"/>
      </w:pPr>
      <w:r>
        <w:rPr>
          <w:rFonts w:ascii="IRNazanin" w:hAnsi="IRNazanin" w:eastAsia="IRNazanin" w:cs="IRNazanin"/>
          <w:lang w:bidi="fa-IR"/>
          <w:color w:val="111111"/>
          <w:sz w:val="28"/>
          <w:szCs w:val="28"/>
          <w:rtl/>
        </w:rPr>
        <w:t xml:space="preserve">آغاز: برابر؛ انجام: شخص کلی بحقیقت کلی وجود دارد و داننده معنی این کلمه نه شخص جزئی بود بلکه حقیقت کلیست داننده این و حکم کننده بر صدق این گفتار خط: نسخ، بی کا، بی تا، کاغذ: سپاهانی، جلد: تیماج قرمز، اگ ( ۴۹-۴۹ )، اندازه: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۱۳-۲۰۸]</w:t>
      </w:r>
    </w:p>
    <w:p>
      <w:pPr>
        <w:pStyle w:val="BookText"/>
      </w:pPr>
      <w:r>
        <w:rPr>
          <w:rFonts w:ascii="IRNazanin" w:hAnsi="IRNazanin" w:eastAsia="IRNazanin" w:cs="IRNazanin"/>
          <w:lang w:bidi="fa-IR"/>
          <w:color w:val="111111"/>
          <w:sz w:val="28"/>
          <w:szCs w:val="28"/>
          <w:rtl/>
        </w:rPr>
        <w:t xml:space="preserve">۱۵. تهران؛ سپهسالار؛ شماره نسخه: ۲۹۱۲/۳۶</w:t>
      </w:r>
    </w:p>
    <w:p>
      <w:pPr>
        <w:pStyle w:val="BookText"/>
      </w:pPr>
      <w:r>
        <w:rPr>
          <w:rFonts w:ascii="IRNazanin" w:hAnsi="IRNazanin" w:eastAsia="IRNazanin" w:cs="IRNazanin"/>
          <w:lang w:bidi="fa-IR"/>
          <w:color w:val="111111"/>
          <w:sz w:val="28"/>
          <w:szCs w:val="28"/>
          <w:rtl/>
        </w:rPr>
        <w:t xml:space="preserve">بی کا، بی تا، اگ (۱۴۰پ) [ف: ۵- ۴۶۰]</w:t>
      </w:r>
    </w:p>
    <w:p>
      <w:pPr>
        <w:pStyle w:val="BookText"/>
      </w:pPr>
      <w:r>
        <w:rPr>
          <w:rFonts w:ascii="IRNazanin" w:hAnsi="IRNazanin" w:eastAsia="IRNazanin" w:cs="IRNazanin"/>
          <w:lang w:bidi="fa-IR"/>
          <w:color w:val="111111"/>
          <w:sz w:val="28"/>
          <w:szCs w:val="28"/>
          <w:rtl/>
        </w:rPr>
        <w:t xml:space="preserve">۱۶. تهران: نوربخش: شماره نسخه: ۵۷۳/۷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کاغذ: ایرانی، جلد: تیماج تریاکی، مقوایی، ۳ص (۲۶۸-۲۷۰)، ۱۷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سم [ف: ۲ -۲۲۴ ]</w:t>
      </w:r>
    </w:p>
    <w:p>
      <w:pPr>
        <w:pStyle w:val="BookText"/>
      </w:pPr>
      <w:r>
        <w:rPr>
          <w:rFonts w:ascii="IRNazanin" w:hAnsi="IRNazanin" w:eastAsia="IRNazanin" w:cs="IRNazanin"/>
          <w:lang w:bidi="fa-IR"/>
          <w:color w:val="111111"/>
          <w:sz w:val="28"/>
          <w:szCs w:val="28"/>
          <w:rtl/>
        </w:rPr>
        <w:t xml:space="preserve">۱۷. تهران؛ مجلس؛ شماره نسخه: ۲۹ /۳۴۵۶</w:t>
      </w:r>
    </w:p>
    <w:p>
      <w:pPr>
        <w:pStyle w:val="BookText"/>
      </w:pPr>
      <w:r>
        <w:rPr>
          <w:rFonts w:ascii="IRNazanin" w:hAnsi="IRNazanin" w:eastAsia="IRNazanin" w:cs="IRNazanin"/>
          <w:lang w:bidi="fa-IR"/>
          <w:color w:val="111111"/>
          <w:sz w:val="28"/>
          <w:szCs w:val="28"/>
          <w:rtl/>
        </w:rPr>
        <w:t xml:space="preserve">آغاز: برابر؛ انجام: آخرین: و سخاوت تبع شجاعت و جواز داشتن دنیا اینست اصول سیاست و اخلاق که گفته شد و السلام و الحمدلله رب العالمین و صلی الله على محمد و آله الطاهرين بی کا، بی تا، کاغذ: سمرقندی نباتی رنگ، جلد: مقوایی آبی رنگ با عطف گالینگور قهوه ای و گوشه های مشکی، ۳ص (۲۴۶ -۲۴۸)، قطع: نیم خشتی،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۱۰-۱۳۹۲]</w:t>
      </w:r>
    </w:p>
    <w:p>
      <w:pPr>
        <w:pStyle w:val="Heading3"/>
      </w:pPr>
      <w:bookmarkStart w:id="1666" w:name="_Toc926"/>
      <w:r>
        <w:t>•پتیت بوفن/ حيوان شناسی / فارسی</w:t>
      </w:r>
      <w:bookmarkEnd w:id="1666"/>
    </w:p>
    <w:p>
      <w:pPr>
        <w:pStyle w:val="BookText"/>
      </w:pPr>
      <w:r>
        <w:rPr>
          <w:rFonts w:ascii="Times New Roman" w:hAnsi="Times New Roman" w:eastAsia="Times New Roman" w:cs="Times New Roman"/>
          <w:lang w:val="en-US" w:bidi="en-US"/>
          <w:color w:val="111111"/>
          <w:sz w:val="28"/>
          <w:szCs w:val="28"/>
          <w:rtl/>
        </w:rPr>
        <w:t xml:space="preserve">petīt būfan</w:t>
      </w:r>
    </w:p>
    <w:p>
      <w:pPr>
        <w:pStyle w:val="BookText"/>
      </w:pPr>
      <w:r>
        <w:rPr>
          <w:rFonts w:ascii="IRNazanin" w:hAnsi="IRNazanin" w:eastAsia="IRNazanin" w:cs="IRNazanin"/>
          <w:lang w:bidi="fa-IR"/>
          <w:color w:val="111111"/>
          <w:sz w:val="28"/>
          <w:szCs w:val="28"/>
          <w:rtl/>
        </w:rPr>
        <w:t xml:space="preserve">کتابی در شناخت انواع حیوانات اهلی و وحشی و خصایص و ویژگی های زندگی هر یک از آنها، فراهم آمده برای مبتدیان و آنان که می خواهند کلیاتی از این علم بدانند، ترجمه شده از کتاب های اروپایی است؛ مشتمل بر ۱۲ طبقه» و هر طبقه دارای ابواب و فصول و شعب: طبقه ۱. پستانداران، دارای دوازده باب؛ ٢. انواع طیور، دارای شش باب؛ ۳. حيوانات فقری، دارای سه باب؛ ۴. حيوانات باتراسين، دارای چهار طبقه؛ ۵. انواع ماهیها، دارای ده شعبه؛ ۶. حيوانات ذو مفاصل، دارای دو شعبه؛ ۷. حيوانات وحشی، دارای دو شعبه؛ ۸. حیوانات ریه دار، دارای دو شعبه؛ ۹. حشرات ذره بینی، دارای پنج شعبه؛ ۱۰. حيوانات بدون استخوان، دارای چهار شعبه؛ ۱۱. حیوانات نباتی، دارای چهار شعبه؛ ۱۲. حیوانات آبی ذره بینی.</w:t>
      </w:r>
    </w:p>
    <w:p>
      <w:pPr>
        <w:pStyle w:val="BookText"/>
      </w:pPr>
      <w:r>
        <w:rPr>
          <w:rFonts w:ascii="IRNazanin" w:hAnsi="IRNazanin" w:eastAsia="IRNazanin" w:cs="IRNazanin"/>
          <w:lang w:bidi="fa-IR"/>
          <w:color w:val="111111"/>
          <w:sz w:val="28"/>
          <w:szCs w:val="28"/>
          <w:rtl/>
        </w:rPr>
        <w:t xml:space="preserve">[دنا ۶۲۸/۲ ؛ فهرستواره منزوی ۳۷۹۹/۵ ]</w:t>
      </w:r>
    </w:p>
    <w:p>
      <w:pPr>
        <w:pStyle w:val="BookText"/>
      </w:pPr>
      <w:r>
        <w:rPr>
          <w:rFonts w:ascii="IRNazanin" w:hAnsi="IRNazanin" w:eastAsia="IRNazanin" w:cs="IRNazanin"/>
          <w:lang w:bidi="fa-IR"/>
          <w:color w:val="111111"/>
          <w:sz w:val="28"/>
          <w:szCs w:val="28"/>
          <w:rtl/>
        </w:rPr>
        <w:t xml:space="preserve">قم؛ مرعشی؛ شماره نسخه: ۵۶۶۸</w:t>
      </w:r>
    </w:p>
    <w:p>
      <w:pPr>
        <w:pStyle w:val="BookText"/>
      </w:pPr>
      <w:r>
        <w:rPr>
          <w:rFonts w:ascii="IRNazanin" w:hAnsi="IRNazanin" w:eastAsia="IRNazanin" w:cs="IRNazanin"/>
          <w:lang w:bidi="fa-IR"/>
          <w:color w:val="111111"/>
          <w:sz w:val="28"/>
          <w:szCs w:val="28"/>
          <w:rtl/>
        </w:rPr>
        <w:t xml:space="preserve">آغاز: بعد از آنکه تلاميذ ما مشغول به تحصیل و مطالعه تاریخ طبیعی شوند از وضع تكوين حيوانات و وظایف اعمال آنها؛ انجام: و انسان را بانفراد که امر به ستایش و بندگی خالق یکتا و معبود حقیقی شده است. خط: نستعلیق، بی کا، بی تا، جلد: مقوایی عطف تیماج قهوه ای، ۱۷۳گ، ۱۷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۱۵-۶۷]</w:t>
      </w:r>
    </w:p>
    <w:p>
      <w:pPr>
        <w:pStyle w:val="Heading3"/>
      </w:pPr>
      <w:bookmarkStart w:id="1667" w:name="_Toc927"/>
      <w:r>
        <w:t>• پختن حلوا / آشپزی / فارسی</w:t>
      </w:r>
      <w:bookmarkEnd w:id="1667"/>
    </w:p>
    <w:p>
      <w:pPr>
        <w:pStyle w:val="BookText"/>
      </w:pPr>
      <w:r>
        <w:rPr>
          <w:rFonts w:ascii="Times New Roman" w:hAnsi="Times New Roman" w:eastAsia="Times New Roman" w:cs="Times New Roman"/>
          <w:lang w:val="en-US" w:bidi="en-US"/>
          <w:color w:val="111111"/>
          <w:sz w:val="28"/>
          <w:szCs w:val="28"/>
          <w:rtl/>
        </w:rPr>
        <w:t xml:space="preserve">poxtan-e halvā</w:t>
      </w:r>
    </w:p>
    <w:p>
      <w:pPr>
        <w:pStyle w:val="BookText"/>
      </w:pPr>
      <w:r>
        <w:rPr>
          <w:rFonts w:ascii="IRNazanin" w:hAnsi="IRNazanin" w:eastAsia="IRNazanin" w:cs="IRNazanin"/>
          <w:lang w:bidi="fa-IR"/>
          <w:color w:val="111111"/>
          <w:sz w:val="28"/>
          <w:szCs w:val="28"/>
          <w:rtl/>
        </w:rPr>
        <w:t xml:space="preserve">تهران؛ ملک، شماره نسخه: ۴۹۲/۳۲</w:t>
      </w:r>
    </w:p>
    <w:p>
      <w:pPr>
        <w:pStyle w:val="BookText"/>
      </w:pPr>
      <w:r>
        <w:rPr>
          <w:rFonts w:ascii="IRNazanin" w:hAnsi="IRNazanin" w:eastAsia="IRNazanin" w:cs="IRNazanin"/>
          <w:lang w:bidi="fa-IR"/>
          <w:color w:val="111111"/>
          <w:sz w:val="28"/>
          <w:szCs w:val="28"/>
          <w:rtl/>
        </w:rPr>
        <w:t xml:space="preserve">آغاز: حمدله ... این رساله ایست در بیان پختن حلواها که مصالح آن بوزن در آمده و در پختن تجربه نموده؛ انجام: و در ظرفی پهن کنند تا خشک شود خط: نستعلیق، بی کا، تا: قرن ۱۰؛ کاغذ: ترمه سمرقندی، جلد: رویه میشن ضربی قرمز، پشت معرق قدیمی، ۲۲ص (۳۶۴-۳۸۵ هامش)، ۱۸ سطر، اندازه: ۱۲/۲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۲۰/۷سم [ف: ۵-۴۳]</w:t>
      </w:r>
    </w:p>
    <w:p>
      <w:pPr>
        <w:pStyle w:val="Heading3"/>
      </w:pPr>
      <w:bookmarkStart w:id="1668" w:name="_Toc928"/>
      <w:r>
        <w:t>• پختن حلوا / آشپزی / فارسی</w:t>
      </w:r>
      <w:bookmarkEnd w:id="1668"/>
    </w:p>
    <w:p>
      <w:pPr>
        <w:pStyle w:val="BookText"/>
      </w:pPr>
      <w:r>
        <w:rPr>
          <w:rFonts w:ascii="Times New Roman" w:hAnsi="Times New Roman" w:eastAsia="Times New Roman" w:cs="Times New Roman"/>
          <w:lang w:val="en-US" w:bidi="en-US"/>
          <w:color w:val="111111"/>
          <w:sz w:val="28"/>
          <w:szCs w:val="28"/>
          <w:rtl/>
        </w:rPr>
        <w:t xml:space="preserve">poxtan-e halvā</w:t>
      </w:r>
    </w:p>
    <w:p>
      <w:pPr>
        <w:pStyle w:val="BookText"/>
      </w:pPr>
      <w:r>
        <w:rPr>
          <w:rFonts w:ascii="IRNazanin" w:hAnsi="IRNazanin" w:eastAsia="IRNazanin" w:cs="IRNazanin"/>
          <w:lang w:bidi="fa-IR"/>
          <w:color w:val="111111"/>
          <w:sz w:val="28"/>
          <w:szCs w:val="28"/>
          <w:rtl/>
        </w:rPr>
        <w:t xml:space="preserve">روش تهیه چند نوع حلوا در رساله حاضر گرد آمده است.</w:t>
      </w:r>
    </w:p>
    <w:p>
      <w:pPr>
        <w:pStyle w:val="BookText"/>
      </w:pPr>
      <w:r>
        <w:rPr>
          <w:rFonts w:ascii="IRNazanin" w:hAnsi="IRNazanin" w:eastAsia="IRNazanin" w:cs="IRNazanin"/>
          <w:lang w:bidi="fa-IR"/>
          <w:color w:val="111111"/>
          <w:sz w:val="28"/>
          <w:szCs w:val="28"/>
          <w:rtl/>
        </w:rPr>
        <w:t xml:space="preserve">تهران؛ مجلس؛ شماره نسخه: ۶۶۴۵/۹</w:t>
      </w:r>
    </w:p>
    <w:p>
      <w:pPr>
        <w:pStyle w:val="BookText"/>
      </w:pPr>
      <w:r>
        <w:rPr>
          <w:rFonts w:ascii="IRNazanin" w:hAnsi="IRNazanin" w:eastAsia="IRNazanin" w:cs="IRNazanin"/>
          <w:lang w:bidi="fa-IR"/>
          <w:color w:val="111111"/>
          <w:sz w:val="28"/>
          <w:szCs w:val="28"/>
          <w:rtl/>
        </w:rPr>
        <w:t xml:space="preserve">آغاز: الحمدالله رب العالمين ... اما بعد این رساله ای است در پختن حلواها که مصالح آن به وزن در آمده و تجربه نموده اند؛ انجام: و مغز پسته و مغز بادام مقشر بر آن ریزند و بر هم زنند و در ظرفی پهن کنند تا خشک شود. خط: نستعلیق زیبا، بی کا، تا: قرن ۱۳: مجدول؛ جلد: تیماج تریاکی ترنج و سرترنج دار ضربی، ۶گ (۱۴۴پ -۱۴۹پ)، ۱۸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83" w:name="pg20363_209542"/>
    <w:bookmarkEnd w:id="283"/>
    <w:p>
      <w:pPr>
        <w:pStyle w:val="BookText"/>
      </w:pPr>
      <w:r>
        <w:rPr>
          <w:rFonts w:ascii="IRNazanin" w:hAnsi="IRNazanin" w:eastAsia="IRNazanin" w:cs="IRNazanin"/>
          <w:lang w:bidi="fa-IR"/>
          <w:color w:val="111111"/>
          <w:sz w:val="28"/>
          <w:szCs w:val="28"/>
          <w:rtl/>
        </w:rPr>
        <w:t xml:space="preserve">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۲۰-۱۷۱]</w:t>
      </w:r>
    </w:p>
    <w:p>
      <w:pPr>
        <w:pStyle w:val="Heading3"/>
      </w:pPr>
      <w:bookmarkStart w:id="1669" w:name="_Toc929"/>
      <w:r>
        <w:t>• پختن شیرینی = تهیه انواع مرباها و حلواها / آشپزی / فارسی</w:t>
      </w:r>
      <w:bookmarkEnd w:id="1669"/>
    </w:p>
    <w:p>
      <w:pPr>
        <w:pStyle w:val="BookText"/>
      </w:pPr>
      <w:r>
        <w:rPr>
          <w:rFonts w:ascii="Times New Roman" w:hAnsi="Times New Roman" w:eastAsia="Times New Roman" w:cs="Times New Roman"/>
          <w:lang w:val="en-US" w:bidi="en-US"/>
          <w:color w:val="111111"/>
          <w:sz w:val="28"/>
          <w:szCs w:val="28"/>
          <w:rtl/>
        </w:rPr>
        <w:t xml:space="preserve">poxtan-e šīrīnī = tahīye-ye anvā‘-e morabbā-hā va halvā-hā</w:t>
      </w:r>
    </w:p>
    <w:p>
      <w:pPr>
        <w:pStyle w:val="BookText"/>
      </w:pPr>
      <w:r>
        <w:rPr>
          <w:rFonts w:ascii="IRNazanin" w:hAnsi="IRNazanin" w:eastAsia="IRNazanin" w:cs="IRNazanin"/>
          <w:lang w:bidi="fa-IR"/>
          <w:color w:val="111111"/>
          <w:sz w:val="28"/>
          <w:szCs w:val="28"/>
          <w:rtl/>
        </w:rPr>
        <w:t xml:space="preserve">چند فصل است از کتابی (شاید فصل ۷ و ۸ و ۹ و ۱۰) در تهیه مرباها و حلواها و پروده ها ... مانند: (در فصل هفتم): مرباء بالنگ، پروردن نارنج و آلوی بخارا و تمرهندی، مربای انار، مربای هلیله کابلی، مربای زنجبیل، پروردن سیر در عسل و زعفران؛ (در فصل هشتم: حلوای صابونی، حلوای عنبر، حلوای کلاج و لوزینه؛ (در فصل نهم): انواع حلوای عسل؛ (در فصل دهم): حلوای دوشابی، زلوبیا، حلوای سوهانی، حلوای ارده، حلوای ترک، چاپ: به کوشش مهبانو علیزاده، در میراث بهارستان، دفتر دوم، صص ۷۸۷- ۸۲۴، تهران، ۱۳۸۸ش، کتابخانه مجلس شورای اسلامی</w:t>
      </w:r>
    </w:p>
    <w:p>
      <w:pPr>
        <w:pStyle w:val="BookText"/>
      </w:pPr>
      <w:r>
        <w:rPr>
          <w:rFonts w:ascii="IRNazanin" w:hAnsi="IRNazanin" w:eastAsia="IRNazanin" w:cs="IRNazanin"/>
          <w:lang w:bidi="fa-IR"/>
          <w:color w:val="111111"/>
          <w:sz w:val="28"/>
          <w:szCs w:val="28"/>
          <w:rtl/>
        </w:rPr>
        <w:t xml:space="preserve">تهران؛ مجلس؛ شماره نسخه: ۸۳۸/۶ -طباطبائی</w:t>
      </w:r>
    </w:p>
    <w:p>
      <w:pPr>
        <w:pStyle w:val="BookText"/>
      </w:pPr>
      <w:r>
        <w:rPr>
          <w:rFonts w:ascii="IRNazanin" w:hAnsi="IRNazanin" w:eastAsia="IRNazanin" w:cs="IRNazanin"/>
          <w:lang w:bidi="fa-IR"/>
          <w:color w:val="111111"/>
          <w:sz w:val="28"/>
          <w:szCs w:val="28"/>
          <w:rtl/>
        </w:rPr>
        <w:t xml:space="preserve">آغاز: فصل در مرباها و آن انواع است. نوع اول در پروردن بالنگ؛ انجام: حلوای حلبه دوشاب دومن و حلبه شیرین کرده برو ریزد و پخته سازد ... و به آب صافی نشوید و به ظرفی کند و بنهد و دستمال نم کرده بر وی اندازد تا برود و بکار برد</w:t>
      </w:r>
    </w:p>
    <w:p>
      <w:pPr>
        <w:pStyle w:val="BookText"/>
      </w:pPr>
      <w:r>
        <w:rPr>
          <w:rFonts w:ascii="IRNazanin" w:hAnsi="IRNazanin" w:eastAsia="IRNazanin" w:cs="IRNazanin"/>
          <w:lang w:bidi="fa-IR"/>
          <w:color w:val="111111"/>
          <w:sz w:val="28"/>
          <w:szCs w:val="28"/>
          <w:rtl/>
        </w:rPr>
        <w:t xml:space="preserve">خط: نسخ، بی کا، تا: قرن ۱۲؛ افتادگی: آغاز و انجام</w:t>
      </w:r>
    </w:p>
    <w:p>
      <w:pPr>
        <w:pStyle w:val="BookText"/>
      </w:pPr>
      <w:r>
        <w:rPr>
          <w:rFonts w:ascii="IRNazanin" w:hAnsi="IRNazanin" w:eastAsia="IRNazanin" w:cs="IRNazanin"/>
          <w:lang w:bidi="fa-IR"/>
          <w:color w:val="111111"/>
          <w:sz w:val="28"/>
          <w:szCs w:val="28"/>
          <w:rtl/>
        </w:rPr>
        <w:t xml:space="preserve">کاغذ: اصفهانی، جلد: تیماج مشکی، ۱۵ص (۳۵۸- ۳۷۲)، ۱۹سطر، قطع: وزیری، اندازه: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۲۳-۱۳۳]</w:t>
      </w:r>
    </w:p>
    <w:p>
      <w:pPr>
        <w:pStyle w:val="Heading3"/>
      </w:pPr>
      <w:bookmarkStart w:id="1670" w:name="_Toc930"/>
      <w:r>
        <w:t>• پختن طعام / آشپزی / فارسی</w:t>
      </w:r>
      <w:bookmarkEnd w:id="1670"/>
    </w:p>
    <w:p>
      <w:pPr>
        <w:pStyle w:val="BookText"/>
      </w:pPr>
      <w:r>
        <w:rPr>
          <w:rFonts w:ascii="Times New Roman" w:hAnsi="Times New Roman" w:eastAsia="Times New Roman" w:cs="Times New Roman"/>
          <w:lang w:val="en-US" w:bidi="en-US"/>
          <w:color w:val="111111"/>
          <w:sz w:val="28"/>
          <w:szCs w:val="28"/>
          <w:rtl/>
        </w:rPr>
        <w:t xml:space="preserve">poxtan-e ta'ām</w:t>
      </w:r>
    </w:p>
    <w:p>
      <w:pPr>
        <w:pStyle w:val="BookText"/>
      </w:pPr>
      <w:r>
        <w:rPr>
          <w:rFonts w:ascii="IRNazanin" w:hAnsi="IRNazanin" w:eastAsia="IRNazanin" w:cs="IRNazanin"/>
          <w:lang w:bidi="fa-IR"/>
          <w:color w:val="111111"/>
          <w:sz w:val="28"/>
          <w:szCs w:val="28"/>
          <w:rtl/>
        </w:rPr>
        <w:t xml:space="preserve">تهران؛ ملک؛ شماره نسخه: ۴۹۲/۳۱</w:t>
      </w:r>
    </w:p>
    <w:p>
      <w:pPr>
        <w:pStyle w:val="BookText"/>
      </w:pPr>
      <w:r>
        <w:rPr>
          <w:rFonts w:ascii="IRNazanin" w:hAnsi="IRNazanin" w:eastAsia="IRNazanin" w:cs="IRNazanin"/>
          <w:lang w:bidi="fa-IR"/>
          <w:color w:val="111111"/>
          <w:sz w:val="28"/>
          <w:szCs w:val="28"/>
          <w:rtl/>
        </w:rPr>
        <w:t xml:space="preserve">انجام: و بیرون آرند و با عسل بخورند [تمام شد] کتاب طباخ نامه خط: نستعلیق، بی کا، تا: قرن ۱۰؛ کاغذ: ترمه سمرقندی، جلد: رویه میشن ضربی قرمز، پشت معرق قدیمی، ۱۵ص (۳۴۹-۳۶۳ هامش)، ۱۸ سطر، اندازه: ۱۲/۲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۲۰/۷سم [ف: ۵-۴۳]</w:t>
      </w:r>
    </w:p>
    <w:p>
      <w:pPr>
        <w:pStyle w:val="Heading3"/>
      </w:pPr>
      <w:bookmarkStart w:id="1671" w:name="_Toc931"/>
      <w:r>
        <w:t>• پدماوت (دیوان اشعار) / ادبیات / اردو</w:t>
      </w:r>
      <w:bookmarkEnd w:id="1671"/>
    </w:p>
    <w:p>
      <w:pPr>
        <w:pStyle w:val="BookText"/>
      </w:pPr>
      <w:r>
        <w:rPr>
          <w:rFonts w:ascii="Times New Roman" w:hAnsi="Times New Roman" w:eastAsia="Times New Roman" w:cs="Times New Roman"/>
          <w:lang w:val="en-US" w:bidi="en-US"/>
          <w:color w:val="111111"/>
          <w:sz w:val="28"/>
          <w:szCs w:val="28"/>
          <w:rtl/>
        </w:rPr>
        <w:t xml:space="preserve">padmāvat (d.-e ašʻār)</w:t>
      </w:r>
    </w:p>
    <w:p>
      <w:pPr>
        <w:pStyle w:val="BookText"/>
      </w:pPr>
      <w:r>
        <w:rPr>
          <w:rFonts w:ascii="IRNazanin" w:hAnsi="IRNazanin" w:eastAsia="IRNazanin" w:cs="IRNazanin"/>
          <w:lang w:bidi="fa-IR"/>
          <w:color w:val="111111"/>
          <w:sz w:val="28"/>
          <w:szCs w:val="28"/>
          <w:rtl/>
        </w:rPr>
        <w:t xml:space="preserve">جایسی، ملک محمد، ۹۰۶-۹۹۶ قمری</w:t>
      </w:r>
    </w:p>
    <w:p>
      <w:pPr>
        <w:pStyle w:val="BookText"/>
      </w:pPr>
      <w:r>
        <w:rPr>
          <w:rFonts w:ascii="Times New Roman" w:hAnsi="Times New Roman" w:eastAsia="Times New Roman" w:cs="Times New Roman"/>
          <w:lang w:val="en-US" w:bidi="en-US"/>
          <w:color w:val="111111"/>
          <w:sz w:val="28"/>
          <w:szCs w:val="28"/>
          <w:rtl/>
        </w:rPr>
        <w:t xml:space="preserve">jāīsī, malek mohammad (1501-1588)</w:t>
      </w:r>
    </w:p>
    <w:p>
      <w:pPr>
        <w:pStyle w:val="BookText"/>
      </w:pPr>
      <w:r>
        <w:rPr>
          <w:rFonts w:ascii="IRNazanin" w:hAnsi="IRNazanin" w:eastAsia="IRNazanin" w:cs="IRNazanin"/>
          <w:lang w:bidi="fa-IR"/>
          <w:color w:val="111111"/>
          <w:sz w:val="28"/>
          <w:szCs w:val="28"/>
          <w:rtl/>
        </w:rPr>
        <w:t xml:space="preserve">مشهد؛ رضوی؛ شماره نسخه: ۲۴۶۷۲</w:t>
      </w:r>
    </w:p>
    <w:p>
      <w:pPr>
        <w:pStyle w:val="BookText"/>
      </w:pPr>
      <w:r>
        <w:rPr>
          <w:rFonts w:ascii="IRNazanin" w:hAnsi="IRNazanin" w:eastAsia="IRNazanin" w:cs="IRNazanin"/>
          <w:lang w:bidi="fa-IR"/>
          <w:color w:val="111111"/>
          <w:sz w:val="28"/>
          <w:szCs w:val="28"/>
          <w:rtl/>
        </w:rPr>
        <w:t xml:space="preserve">آغاز: بسمله، آوا یک کرتارو جهنه جنود سه (كذا)؛ انجام: کاری رام جوادی ... کی کهنی مارهی خط: نستعلیق، بی کا، تا: قرن ۱۲ [رایانه ]</w:t>
      </w:r>
    </w:p>
    <w:p>
      <w:pPr>
        <w:pStyle w:val="Heading3"/>
      </w:pPr>
      <w:bookmarkStart w:id="1672" w:name="_Toc932"/>
      <w:r>
        <w:t>•پدوماوت / شعر / پنجابی</w:t>
      </w:r>
      <w:bookmarkEnd w:id="1672"/>
    </w:p>
    <w:p>
      <w:pPr>
        <w:pStyle w:val="BookText"/>
      </w:pPr>
      <w:r>
        <w:rPr>
          <w:rFonts w:ascii="Times New Roman" w:hAnsi="Times New Roman" w:eastAsia="Times New Roman" w:cs="Times New Roman"/>
          <w:lang w:val="en-US" w:bidi="en-US"/>
          <w:color w:val="111111"/>
          <w:sz w:val="28"/>
          <w:szCs w:val="28"/>
          <w:rtl/>
        </w:rPr>
        <w:t xml:space="preserve">padomāvat</w:t>
      </w:r>
    </w:p>
    <w:p>
      <w:pPr>
        <w:pStyle w:val="BookText"/>
      </w:pPr>
      <w:r>
        <w:rPr>
          <w:rFonts w:ascii="IRNazanin" w:hAnsi="IRNazanin" w:eastAsia="IRNazanin" w:cs="IRNazanin"/>
          <w:lang w:bidi="fa-IR"/>
          <w:color w:val="111111"/>
          <w:sz w:val="28"/>
          <w:szCs w:val="28"/>
          <w:rtl/>
        </w:rPr>
        <w:t xml:space="preserve">جایسی، ملک محمد، ۹۰۶-۹۹۶ قمری</w:t>
      </w:r>
    </w:p>
    <w:p>
      <w:pPr>
        <w:pStyle w:val="BookText"/>
      </w:pPr>
      <w:r>
        <w:rPr>
          <w:rFonts w:ascii="Times New Roman" w:hAnsi="Times New Roman" w:eastAsia="Times New Roman" w:cs="Times New Roman"/>
          <w:lang w:val="en-US" w:bidi="en-US"/>
          <w:color w:val="111111"/>
          <w:sz w:val="28"/>
          <w:szCs w:val="28"/>
          <w:rtl/>
        </w:rPr>
        <w:t xml:space="preserve">jāīsī, malek mohammad (1501-1588)</w:t>
      </w:r>
    </w:p>
    <w:p>
      <w:pPr>
        <w:pStyle w:val="BookText"/>
      </w:pPr>
      <w:r>
        <w:rPr>
          <w:rFonts w:ascii="IRNazanin" w:hAnsi="IRNazanin" w:eastAsia="IRNazanin" w:cs="IRNazanin"/>
          <w:lang w:bidi="fa-IR"/>
          <w:color w:val="111111"/>
          <w:sz w:val="28"/>
          <w:szCs w:val="28"/>
          <w:rtl/>
        </w:rPr>
        <w:t xml:space="preserve">داستان راجه های هند است. در این منظومه داستان پدماوت از راجه های هند به تفصیل توصیف شده است.</w:t>
      </w:r>
    </w:p>
    <w:p>
      <w:pPr>
        <w:pStyle w:val="BookText"/>
      </w:pPr>
      <w:r>
        <w:rPr>
          <w:rFonts w:ascii="IRNazanin" w:hAnsi="IRNazanin" w:eastAsia="IRNazanin" w:cs="IRNazanin"/>
          <w:lang w:bidi="fa-IR"/>
          <w:color w:val="111111"/>
          <w:sz w:val="28"/>
          <w:szCs w:val="28"/>
          <w:rtl/>
        </w:rPr>
        <w:t xml:space="preserve">[ مشترک پاکستان ۲۱۴۴/۴ ؛ موزه سالار ۷۰۶/۳ ؛ فهرستواره ۴۱۸/۱۰ ]</w:t>
      </w:r>
    </w:p>
    <w:p>
      <w:pPr>
        <w:pStyle w:val="BookText"/>
      </w:pPr>
      <w:r>
        <w:rPr>
          <w:rFonts w:ascii="IRNazanin" w:hAnsi="IRNazanin" w:eastAsia="IRNazanin" w:cs="IRNazanin"/>
          <w:lang w:bidi="fa-IR"/>
          <w:color w:val="111111"/>
          <w:sz w:val="28"/>
          <w:szCs w:val="28"/>
          <w:rtl/>
        </w:rPr>
        <w:t xml:space="preserve">قم؛ گلپایگانی؛ شماره نسخه: ۱۹۶۴- ۱۱/۶۴</w:t>
      </w:r>
    </w:p>
    <w:p>
      <w:pPr>
        <w:pStyle w:val="BookText"/>
      </w:pPr>
      <w:r>
        <w:rPr>
          <w:rFonts w:ascii="IRNazanin" w:hAnsi="IRNazanin" w:eastAsia="IRNazanin" w:cs="IRNazanin"/>
          <w:lang w:bidi="fa-IR"/>
          <w:color w:val="111111"/>
          <w:sz w:val="28"/>
          <w:szCs w:val="28"/>
          <w:rtl/>
        </w:rPr>
        <w:t xml:space="preserve">آغاز: بسمله. در توحید باری تعالی عز اسمه: سنورون آدایک کر تارو*** جن جيو دينهه کينهه سنسارو؛ انجام: سیت بند کیلاس سمیرو*** گیون الکه پور جهان کبیر و / پتن پور گهر گهرنه هیر پهری سینسار*** هیرت کهون نه پیوملا نا کوئی ملا انهار خط: نستعلیق، بی کا، بی تا؛ با سرلوح مزدوج مرصع جلد: مقوا قرمز و مشکی عطف پارچه، ۲۵۱گ، ۱۳ سطر،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۲-۶۶۳]</w:t>
      </w:r>
    </w:p>
    <w:p>
      <w:pPr>
        <w:pStyle w:val="Heading3"/>
      </w:pPr>
      <w:bookmarkStart w:id="1673" w:name="_Toc933"/>
      <w:r>
        <w:t>• پراکنده اولیاء / متفرقه / فارسی</w:t>
      </w:r>
      <w:bookmarkEnd w:id="1673"/>
    </w:p>
    <w:p>
      <w:pPr>
        <w:pStyle w:val="BookText"/>
      </w:pPr>
      <w:r>
        <w:rPr>
          <w:rFonts w:ascii="Times New Roman" w:hAnsi="Times New Roman" w:eastAsia="Times New Roman" w:cs="Times New Roman"/>
          <w:lang w:val="en-US" w:bidi="en-US"/>
          <w:color w:val="111111"/>
          <w:sz w:val="28"/>
          <w:szCs w:val="28"/>
          <w:rtl/>
        </w:rPr>
        <w:t xml:space="preserve">parākande-ye owlīyā’</w:t>
      </w:r>
    </w:p>
    <w:p>
      <w:pPr>
        <w:pStyle w:val="BookText"/>
      </w:pPr>
      <w:r>
        <w:rPr>
          <w:rFonts w:ascii="IRNazanin" w:hAnsi="IRNazanin" w:eastAsia="IRNazanin" w:cs="IRNazanin"/>
          <w:lang w:bidi="fa-IR"/>
          <w:color w:val="111111"/>
          <w:sz w:val="28"/>
          <w:szCs w:val="28"/>
          <w:rtl/>
        </w:rPr>
        <w:t xml:space="preserve">اولیاء، حسین بن اسماعيل، ۱۲۶۵-۱۳۱۱ شمسی</w:t>
      </w:r>
    </w:p>
    <w:p>
      <w:pPr>
        <w:pStyle w:val="BookText"/>
      </w:pPr>
      <w:r>
        <w:rPr>
          <w:rFonts w:ascii="Times New Roman" w:hAnsi="Times New Roman" w:eastAsia="Times New Roman" w:cs="Times New Roman"/>
          <w:lang w:val="en-US" w:bidi="en-US"/>
          <w:color w:val="111111"/>
          <w:sz w:val="28"/>
          <w:szCs w:val="28"/>
          <w:rtl/>
        </w:rPr>
        <w:t xml:space="preserve">owliya', hoseyn ebn-e esma'il (1886-1932)</w:t>
      </w:r>
    </w:p>
    <w:p>
      <w:pPr>
        <w:pStyle w:val="BookText"/>
      </w:pPr>
      <w:r>
        <w:rPr>
          <w:rFonts w:ascii="IRNazanin" w:hAnsi="IRNazanin" w:eastAsia="IRNazanin" w:cs="IRNazanin"/>
          <w:lang w:bidi="fa-IR"/>
          <w:color w:val="111111"/>
          <w:sz w:val="28"/>
          <w:szCs w:val="28"/>
          <w:rtl/>
        </w:rPr>
        <w:t xml:space="preserve">مجموعه ای است متفرقه در پنج جلد.</w:t>
      </w:r>
    </w:p>
    <w:p>
      <w:pPr>
        <w:pStyle w:val="BookText"/>
      </w:pPr>
      <w:r>
        <w:rPr>
          <w:rFonts w:ascii="IRNazanin" w:hAnsi="IRNazanin" w:eastAsia="IRNazanin" w:cs="IRNazanin"/>
          <w:lang w:bidi="fa-IR"/>
          <w:color w:val="111111"/>
          <w:sz w:val="28"/>
          <w:szCs w:val="28"/>
          <w:rtl/>
        </w:rPr>
        <w:t xml:space="preserve">١. مشهد؛ رضوی؛ شماره نسخه: ۷۲۹۰</w:t>
      </w:r>
    </w:p>
    <w:p>
      <w:pPr>
        <w:pStyle w:val="BookText"/>
      </w:pPr>
      <w:r>
        <w:rPr>
          <w:rFonts w:ascii="IRNazanin" w:hAnsi="IRNazanin" w:eastAsia="IRNazanin" w:cs="IRNazanin"/>
          <w:lang w:bidi="fa-IR"/>
          <w:color w:val="111111"/>
          <w:sz w:val="28"/>
          <w:szCs w:val="28"/>
          <w:rtl/>
        </w:rPr>
        <w:t xml:space="preserve">آغاز: ستایش و پرستش مرذات خالقی را انجام و حشرنا في زمرته و تحت لوائه آمین یا رب العالمين ... رجب المرجب ۱۳۴۷/ق جلد 1؛ خط: نسخ، كاتب = مؤلف، تا: ۱۳۴۹-۱۳۴۷ق، کاغذ: فرنگی، جلد: ساغری، ابعاد متن: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[الفبائی: ۹۵]</w:t>
      </w:r>
    </w:p>
    <w:p>
      <w:pPr>
        <w:pStyle w:val="BookText"/>
      </w:pPr>
      <w:r>
        <w:rPr>
          <w:rFonts w:ascii="IRNazanin" w:hAnsi="IRNazanin" w:eastAsia="IRNazanin" w:cs="IRNazanin"/>
          <w:lang w:bidi="fa-IR"/>
          <w:color w:val="111111"/>
          <w:sz w:val="28"/>
          <w:szCs w:val="28"/>
          <w:rtl/>
        </w:rPr>
        <w:t xml:space="preserve">۲. مشهد؛ رضوی؛ شماره نسخه: ۷۲۹۱</w:t>
      </w:r>
    </w:p>
    <w:p>
      <w:pPr>
        <w:pStyle w:val="BookText"/>
      </w:pPr>
      <w:r>
        <w:rPr>
          <w:rFonts w:ascii="IRNazanin" w:hAnsi="IRNazanin" w:eastAsia="IRNazanin" w:cs="IRNazanin"/>
          <w:lang w:bidi="fa-IR"/>
          <w:color w:val="111111"/>
          <w:sz w:val="28"/>
          <w:szCs w:val="28"/>
          <w:rtl/>
        </w:rPr>
        <w:t xml:space="preserve">آغاز: الحمدلله رب العالمين؛ انجام: انعام را در مطلق مواشی استعمال میکند ... شهر صفر المضفر سنه ۱۳۴۹ جلد ۲؛ خط: نسخ، كاتب مؤلف، تا: ۱۳۴۹ - ۱۳۵۱ق، کاغذ: شکری،</w:t>
      </w:r>
    </w:p>
    <w:p>
      <w:pPr>
        <w:pStyle w:val="BookText"/>
      </w:pPr>
      <w:r>
        <w:rPr>
          <w:rFonts w:ascii="IRNazanin" w:hAnsi="IRNazanin" w:eastAsia="IRNazanin" w:cs="IRNazanin"/>
          <w:lang w:bidi="fa-IR"/>
          <w:color w:val="111111"/>
          <w:sz w:val="28"/>
          <w:szCs w:val="28"/>
          <w:rtl/>
        </w:rPr>
        <w:t xml:space="preserve">جلد: میشن، ابعاد متن: ۲۶۸۱۵،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[الفبائی: ۹۵]</w:t>
      </w:r>
    </w:p>
    <w:p>
      <w:pPr>
        <w:pStyle w:val="BookText"/>
      </w:pPr>
      <w:r>
        <w:rPr>
          <w:rFonts w:ascii="IRNazanin" w:hAnsi="IRNazanin" w:eastAsia="IRNazanin" w:cs="IRNazanin"/>
          <w:lang w:bidi="fa-IR"/>
          <w:color w:val="111111"/>
          <w:sz w:val="28"/>
          <w:szCs w:val="28"/>
          <w:rtl/>
        </w:rPr>
        <w:t xml:space="preserve">٣. مشهد؛ رضوی؛ شماره نسخه: ۷۲۹۲</w:t>
      </w:r>
    </w:p>
    <w:p>
      <w:pPr>
        <w:pStyle w:val="BookText"/>
      </w:pPr>
      <w:r>
        <w:rPr>
          <w:rFonts w:ascii="IRNazanin" w:hAnsi="IRNazanin" w:eastAsia="IRNazanin" w:cs="IRNazanin"/>
          <w:lang w:bidi="fa-IR"/>
          <w:color w:val="111111"/>
          <w:sz w:val="28"/>
          <w:szCs w:val="28"/>
          <w:rtl/>
        </w:rPr>
        <w:t xml:space="preserve">آغاز: الحمدلله رب العالمين؛ انجام: که باو ایمان نیاورده است ... رمضان المبارک سنه ۱۳۴۹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84" w:name="pg20363_209543"/>
    <w:bookmarkEnd w:id="284"/>
    <w:p>
      <w:pPr>
        <w:pStyle w:val="BookText"/>
      </w:pPr>
      <w:r>
        <w:rPr>
          <w:rFonts w:ascii="IRNazanin" w:hAnsi="IRNazanin" w:eastAsia="IRNazanin" w:cs="IRNazanin"/>
          <w:lang w:bidi="fa-IR"/>
          <w:color w:val="111111"/>
          <w:sz w:val="28"/>
          <w:szCs w:val="28"/>
          <w:rtl/>
        </w:rPr>
        <w:t xml:space="preserve">جلد ۳؛ خط: نسخ، كاتب =مؤلف، تا: ۱۳۴۹-۱۳۵۱ق؛ کاغذ: فرنگی، جلد: میشن، ابعاد متن: ۱۵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(الفبائی: ۹۵]</w:t>
      </w:r>
    </w:p>
    <w:p>
      <w:pPr>
        <w:pStyle w:val="BookText"/>
      </w:pPr>
      <w:r>
        <w:rPr>
          <w:rFonts w:ascii="IRNazanin" w:hAnsi="IRNazanin" w:eastAsia="IRNazanin" w:cs="IRNazanin"/>
          <w:lang w:bidi="fa-IR"/>
          <w:color w:val="111111"/>
          <w:sz w:val="28"/>
          <w:szCs w:val="28"/>
          <w:rtl/>
        </w:rPr>
        <w:t xml:space="preserve">۴. مشهد؛ رضوی؛ شماره نسخه: ۷۲۹۳</w:t>
      </w:r>
    </w:p>
    <w:p>
      <w:pPr>
        <w:pStyle w:val="BookText"/>
      </w:pPr>
      <w:r>
        <w:rPr>
          <w:rFonts w:ascii="IRNazanin" w:hAnsi="IRNazanin" w:eastAsia="IRNazanin" w:cs="IRNazanin"/>
          <w:lang w:bidi="fa-IR"/>
          <w:color w:val="111111"/>
          <w:sz w:val="28"/>
          <w:szCs w:val="28"/>
          <w:rtl/>
        </w:rPr>
        <w:t xml:space="preserve">آغاز: الحمدلله رب العالمين، انجام: و بحر العلم المتلاطم . چنین بود ۱۰۱۳ جلد ۴، خط: نسخ، كاتب =مؤلف، تا: ۱۳۴۹ - ۱۳۵۰ق، کاغذ: فرنگی، جلد: تیماج، ابعاد متن: ۲۳۸۱۴،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[الفبائی: ۹۵]</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مشهد؛ رضوی؛ شماره نسخه: ۷۲۹۴</w:t>
      </w:r>
    </w:p>
    <w:p>
      <w:pPr>
        <w:pStyle w:val="BookText"/>
      </w:pPr>
      <w:r>
        <w:rPr>
          <w:rFonts w:ascii="IRNazanin" w:hAnsi="IRNazanin" w:eastAsia="IRNazanin" w:cs="IRNazanin"/>
          <w:lang w:bidi="fa-IR"/>
          <w:color w:val="111111"/>
          <w:sz w:val="28"/>
          <w:szCs w:val="28"/>
          <w:rtl/>
        </w:rPr>
        <w:t xml:space="preserve">آغاز: الحمدلله رب العالمين؛ انجام: بملاقات نجس نجس میشود جلد۵؛ خط: نسخ، كاتب مؤلف، تا: ۱۳۴۹-۱۳۵۱ق؛ کاغذ: فرنگی، جلد: تیماج، ابعاد متن: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(الفبائی: ۹۵]</w:t>
      </w:r>
    </w:p>
    <w:p>
      <w:pPr>
        <w:pStyle w:val="BookText"/>
      </w:pPr>
      <w:r>
        <w:rPr>
          <w:rFonts w:ascii="IRNazanin" w:hAnsi="IRNazanin" w:eastAsia="IRNazanin" w:cs="IRNazanin"/>
          <w:lang w:bidi="fa-IR"/>
          <w:color w:val="111111"/>
          <w:sz w:val="28"/>
          <w:szCs w:val="28"/>
          <w:rtl/>
        </w:rPr>
        <w:t xml:space="preserve">← پراکنده ها ← متفرقات</w:t>
      </w:r>
    </w:p>
    <w:p>
      <w:pPr>
        <w:pStyle w:val="Heading3"/>
      </w:pPr>
      <w:bookmarkStart w:id="1674" w:name="_Toc934"/>
      <w:r>
        <w:t>• پراکنده هایی در علم کیمیا و وصیت جلد کی /-</w:t>
      </w:r>
      <w:bookmarkEnd w:id="1674"/>
    </w:p>
    <w:p>
      <w:pPr>
        <w:pStyle w:val="BookText"/>
      </w:pPr>
      <w:r>
        <w:rPr>
          <w:rFonts w:ascii="Times New Roman" w:hAnsi="Times New Roman" w:eastAsia="Times New Roman" w:cs="Times New Roman"/>
          <w:lang w:val="en-US" w:bidi="en-US"/>
          <w:color w:val="111111"/>
          <w:sz w:val="28"/>
          <w:szCs w:val="28"/>
          <w:rtl/>
        </w:rPr>
        <w:t xml:space="preserve">parākande-hā-ī dar ‘elm-e kīmīyā va vasīyyat-e jaldakī</w:t>
      </w:r>
    </w:p>
    <w:p>
      <w:pPr>
        <w:pStyle w:val="BookText"/>
      </w:pPr>
      <w:r>
        <w:rPr>
          <w:rFonts w:ascii="IRNazanin" w:hAnsi="IRNazanin" w:eastAsia="IRNazanin" w:cs="IRNazanin"/>
          <w:lang w:bidi="fa-IR"/>
          <w:color w:val="111111"/>
          <w:sz w:val="28"/>
          <w:szCs w:val="28"/>
          <w:rtl/>
        </w:rPr>
        <w:t xml:space="preserve">تهران؛ مجلس؛ شماره نسخه: ۶۷۹۲/۶</w:t>
      </w:r>
    </w:p>
    <w:p>
      <w:pPr>
        <w:pStyle w:val="BookText"/>
      </w:pPr>
      <w:r>
        <w:rPr>
          <w:rFonts w:ascii="IRNazanin" w:hAnsi="IRNazanin" w:eastAsia="IRNazanin" w:cs="IRNazanin"/>
          <w:lang w:bidi="fa-IR"/>
          <w:color w:val="111111"/>
          <w:sz w:val="28"/>
          <w:szCs w:val="28"/>
          <w:rtl/>
        </w:rPr>
        <w:t xml:space="preserve">خط: نستعلیق، بی کا، تا: ۱۱۰۴ق، جا: دارالسلطنه اصفهان؛ در جلد: تیماج مشکی، ۲گ( ۱۴۱ - ۴۲ر)،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۲۰-۲۶۱]</w:t>
      </w:r>
    </w:p>
    <w:p>
      <w:pPr>
        <w:pStyle w:val="BookText"/>
      </w:pPr>
      <w:r>
        <w:rPr>
          <w:rFonts w:ascii="Times New Roman" w:hAnsi="Times New Roman" w:eastAsia="Times New Roman" w:cs="Times New Roman"/>
          <w:lang w:val="en-US" w:bidi="en-US"/>
          <w:color w:val="111111"/>
          <w:sz w:val="28"/>
          <w:szCs w:val="28"/>
          <w:rtl/>
        </w:rPr>
        <w:t xml:space="preserve">partow-e andīše</w:t>
      </w:r>
    </w:p>
    <w:p>
      <w:pPr>
        <w:pStyle w:val="Heading3"/>
      </w:pPr>
      <w:bookmarkStart w:id="1675" w:name="_Toc935"/>
      <w:r>
        <w:t>• پرتو اندیشه / شعر / فارسی بقائی نائینی، جلال، ۱۲۸۷ شمسی</w:t>
      </w:r>
      <w:bookmarkEnd w:id="1675"/>
    </w:p>
    <w:p>
      <w:pPr>
        <w:pStyle w:val="BookText"/>
      </w:pPr>
      <w:r>
        <w:rPr>
          <w:rFonts w:ascii="IRNazanin" w:hAnsi="IRNazanin" w:eastAsia="IRNazanin" w:cs="IRNazanin"/>
          <w:lang w:bidi="fa-IR"/>
          <w:color w:val="111111"/>
          <w:sz w:val="28"/>
          <w:szCs w:val="28"/>
          <w:rtl/>
        </w:rPr>
        <w:t xml:space="preserve">قطعات شعرهای اوست با عنوان های گوناگون</w:t>
      </w:r>
    </w:p>
    <w:p>
      <w:pPr>
        <w:pStyle w:val="BookText"/>
      </w:pPr>
      <w:r>
        <w:rPr>
          <w:rFonts w:ascii="Times New Roman" w:hAnsi="Times New Roman" w:eastAsia="Times New Roman" w:cs="Times New Roman"/>
          <w:lang w:val="en-US" w:bidi="en-US"/>
          <w:color w:val="111111"/>
          <w:sz w:val="28"/>
          <w:szCs w:val="28"/>
          <w:rtl/>
        </w:rPr>
        <w:t xml:space="preserve">baqa'i na ini, jalal (1908 -)</w:t>
      </w:r>
    </w:p>
    <w:p>
      <w:pPr>
        <w:pStyle w:val="BookText"/>
      </w:pPr>
      <w:r>
        <w:rPr>
          <w:rFonts w:ascii="IRNazanin" w:hAnsi="IRNazanin" w:eastAsia="IRNazanin" w:cs="IRNazanin"/>
          <w:lang w:bidi="fa-IR"/>
          <w:color w:val="111111"/>
          <w:sz w:val="28"/>
          <w:szCs w:val="28"/>
          <w:rtl/>
        </w:rPr>
        <w:t xml:space="preserve">تهران، دانشگاه؛ شماره نسخه: ۵۷۱۴-ف</w:t>
      </w:r>
    </w:p>
    <w:p>
      <w:pPr>
        <w:pStyle w:val="BookText"/>
      </w:pPr>
      <w:r>
        <w:rPr>
          <w:rFonts w:ascii="IRNazanin" w:hAnsi="IRNazanin" w:eastAsia="IRNazanin" w:cs="IRNazanin"/>
          <w:lang w:bidi="fa-IR"/>
          <w:color w:val="111111"/>
          <w:sz w:val="28"/>
          <w:szCs w:val="28"/>
          <w:rtl/>
        </w:rPr>
        <w:t xml:space="preserve">نسخه اصل: نسخه خود او؛ بی کا، بی تا [فيلمها ف: ۳-۱۷۷]</w:t>
      </w:r>
    </w:p>
    <w:p>
      <w:pPr>
        <w:pStyle w:val="Heading3"/>
      </w:pPr>
      <w:bookmarkStart w:id="1676" w:name="_Toc936"/>
      <w:r>
        <w:t>•پرتو انوار / عرفان و تصوف / فارسی</w:t>
      </w:r>
      <w:bookmarkEnd w:id="1676"/>
    </w:p>
    <w:p>
      <w:pPr>
        <w:pStyle w:val="BookText"/>
      </w:pPr>
      <w:r>
        <w:rPr>
          <w:rFonts w:ascii="Times New Roman" w:hAnsi="Times New Roman" w:eastAsia="Times New Roman" w:cs="Times New Roman"/>
          <w:lang w:val="en-US" w:bidi="en-US"/>
          <w:color w:val="111111"/>
          <w:sz w:val="28"/>
          <w:szCs w:val="28"/>
          <w:rtl/>
        </w:rPr>
        <w:t xml:space="preserve">partow-e anvār</w:t>
      </w:r>
    </w:p>
    <w:p>
      <w:pPr>
        <w:pStyle w:val="BookText"/>
      </w:pPr>
      <w:r>
        <w:rPr>
          <w:rFonts w:ascii="IRNazanin" w:hAnsi="IRNazanin" w:eastAsia="IRNazanin" w:cs="IRNazanin"/>
          <w:lang w:bidi="fa-IR"/>
          <w:color w:val="111111"/>
          <w:sz w:val="28"/>
          <w:szCs w:val="28"/>
          <w:rtl/>
        </w:rPr>
        <w:t xml:space="preserve">گیلانی، حسین بن محمد بشیر، ق۱۳ قمری</w:t>
      </w:r>
    </w:p>
    <w:p>
      <w:pPr>
        <w:pStyle w:val="BookText"/>
      </w:pPr>
      <w:r>
        <w:rPr>
          <w:rFonts w:ascii="Times New Roman" w:hAnsi="Times New Roman" w:eastAsia="Times New Roman" w:cs="Times New Roman"/>
          <w:lang w:val="en-US" w:bidi="en-US"/>
          <w:color w:val="111111"/>
          <w:sz w:val="28"/>
          <w:szCs w:val="28"/>
          <w:rtl/>
        </w:rPr>
        <w:t xml:space="preserve">gīlānī, hoseyn mohammad (- 19c)</w:t>
      </w:r>
    </w:p>
    <w:p>
      <w:pPr>
        <w:pStyle w:val="BookText"/>
      </w:pPr>
      <w:r>
        <w:rPr>
          <w:rFonts w:ascii="IRNazanin" w:hAnsi="IRNazanin" w:eastAsia="IRNazanin" w:cs="IRNazanin"/>
          <w:lang w:bidi="fa-IR"/>
          <w:color w:val="111111"/>
          <w:sz w:val="28"/>
          <w:szCs w:val="28"/>
          <w:rtl/>
        </w:rPr>
        <w:t xml:space="preserve">تاريخ تأليف: ۱۱ محرم ۱۲۲۱ق؛ محل تألیف: کربلا کتابی است کلامی مرتب بر پنج «لمعه»: ۱. اشاره به فرط ظهور نور هستی حق و عدم خفای جناب واجب مطلق الا من حيث النقص و القصور من الخلق؛ ۲. اثبات صفات و بیان بودن صفات کمالیه عین ذات؛ ۳. بیان احتیاج به سفرا و امنای حضرت اله و اثبات نبوت جناب رسالت و ختمی پناه؛ ۴. بیان احتیاج به وجود امام برای نوع انسان از خواص و عوام ... ۵. اثبات معاد و حشر نفوس و اجساد و ... آغاز: سبحانك يا الهى لا احصی ثناء عليك ... در آغاز حمد تو ای ذوالجلال، جواهر حمد و سپاس و ظواهر</w:t>
      </w:r>
    </w:p>
    <w:p>
      <w:pPr>
        <w:pStyle w:val="BookText"/>
      </w:pPr>
      <w:r>
        <w:rPr>
          <w:rFonts w:ascii="IRNazanin" w:hAnsi="IRNazanin" w:eastAsia="IRNazanin" w:cs="IRNazanin"/>
          <w:lang w:bidi="fa-IR"/>
          <w:color w:val="111111"/>
          <w:sz w:val="28"/>
          <w:szCs w:val="28"/>
          <w:rtl/>
        </w:rPr>
        <w:t xml:space="preserve">[دنا ۶۲۹/۲ ؛ فهرستواره منزوی ۱۶۴/۷ ]</w:t>
      </w:r>
    </w:p>
    <w:p>
      <w:pPr>
        <w:pStyle w:val="BookText"/>
      </w:pPr>
      <w:r>
        <w:rPr>
          <w:rFonts w:ascii="IRNazanin" w:hAnsi="IRNazanin" w:eastAsia="IRNazanin" w:cs="IRNazanin"/>
          <w:lang w:bidi="fa-IR"/>
          <w:color w:val="111111"/>
          <w:sz w:val="28"/>
          <w:szCs w:val="28"/>
          <w:rtl/>
        </w:rPr>
        <w:t xml:space="preserve">١. شیراز؛ شاهچراغ؛ شماره نسخه: ۵۷۱/۱</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تا: ۱۲۳۳ق؛ ۱۱۳گ (۱-۱۱۳)،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سم [ف: ۳-۱۱۰]</w:t>
      </w:r>
    </w:p>
    <w:p>
      <w:pPr>
        <w:pStyle w:val="BookText"/>
      </w:pPr>
      <w:r>
        <w:rPr>
          <w:rFonts w:ascii="IRNazanin" w:hAnsi="IRNazanin" w:eastAsia="IRNazanin" w:cs="IRNazanin"/>
          <w:lang w:bidi="fa-IR"/>
          <w:color w:val="111111"/>
          <w:sz w:val="28"/>
          <w:szCs w:val="28"/>
          <w:rtl/>
        </w:rPr>
        <w:t xml:space="preserve">۲. تهران: ملک؛ شماره نسخه: ۲۸۹۵/۱</w:t>
      </w:r>
    </w:p>
    <w:p>
      <w:pPr>
        <w:pStyle w:val="BookText"/>
      </w:pPr>
      <w:r>
        <w:rPr>
          <w:rFonts w:ascii="IRNazanin" w:hAnsi="IRNazanin" w:eastAsia="IRNazanin" w:cs="IRNazanin"/>
          <w:lang w:bidi="fa-IR"/>
          <w:color w:val="111111"/>
          <w:sz w:val="28"/>
          <w:szCs w:val="28"/>
          <w:rtl/>
        </w:rPr>
        <w:t xml:space="preserve">آغاز: برابر؛ انجام: و تحية حامد مصلية و السلام خط: شکسته نستعلیق، بی کا، تا: ۱۲۶۲ق، کاغذ: پسته ای، جلد: میشن تریاکی، ۱۷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۶-۱۵۹]</w:t>
      </w:r>
    </w:p>
    <w:p>
      <w:pPr>
        <w:pStyle w:val="BookText"/>
      </w:pPr>
      <w:r>
        <w:rPr>
          <w:rFonts w:ascii="IRNazanin" w:hAnsi="IRNazanin" w:eastAsia="IRNazanin" w:cs="IRNazanin"/>
          <w:lang w:bidi="fa-IR"/>
          <w:color w:val="111111"/>
          <w:sz w:val="28"/>
          <w:szCs w:val="28"/>
          <w:rtl/>
        </w:rPr>
        <w:t xml:space="preserve">٣. قم؛ مسجد اعظم؛ شماره نسخه: ۱۵۷۸</w:t>
      </w:r>
    </w:p>
    <w:p>
      <w:pPr>
        <w:pStyle w:val="BookText"/>
      </w:pPr>
      <w:r>
        <w:rPr>
          <w:rFonts w:ascii="IRNazanin" w:hAnsi="IRNazanin" w:eastAsia="IRNazanin" w:cs="IRNazanin"/>
          <w:lang w:bidi="fa-IR"/>
          <w:color w:val="111111"/>
          <w:sz w:val="28"/>
          <w:szCs w:val="28"/>
          <w:rtl/>
        </w:rPr>
        <w:t xml:space="preserve">آغاز: لمعات انوارش کوه هستی فرو ریخته، ساکنان صوامع قدس از شهود اشعه لوامع جمال باکمالش پیوسته بی هوشند ... اما بعد بر صفحه توصیف چنین نگارش می دهد فرسوده بادیه عجز ونادانی، حسین بن محمد جیلانی؛ انجام: یا عیب و نقص آن را به آستین عفو و اغماض پوشند که انسان مساوق سهو و نسیان و غبار آلود حدوث و امکان است و قد وقع الفراغ من تأليفه في مشهد سید الشهداء عليه و على آبائه الف الف تحية و سلام. خط: نستعلیق، بی کا، تا: ۱۱ محرم ۱۳۲۱ق، جان کربلا؛ افتادگی: آغاز؛ جلد: تیماج سیاه بدون مقوا، ۹۸گ، مختلف السطر،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مخ: ۱-۲۹۸]</w:t>
      </w:r>
    </w:p>
    <w:p>
      <w:pPr>
        <w:pStyle w:val="BookText"/>
      </w:pPr>
      <w:r>
        <w:rPr>
          <w:rFonts w:ascii="IRNazanin" w:hAnsi="IRNazanin" w:eastAsia="IRNazanin" w:cs="IRNazanin"/>
          <w:lang w:bidi="fa-IR"/>
          <w:color w:val="111111"/>
          <w:sz w:val="28"/>
          <w:szCs w:val="28"/>
          <w:rtl/>
        </w:rPr>
        <w:t xml:space="preserve">۴. همدان؛ مدرسه غرب: شماره نسخه: ۲۵۵۸</w:t>
      </w:r>
    </w:p>
    <w:p>
      <w:pPr>
        <w:pStyle w:val="BookText"/>
      </w:pPr>
      <w:r>
        <w:rPr>
          <w:rFonts w:ascii="IRNazanin" w:hAnsi="IRNazanin" w:eastAsia="IRNazanin" w:cs="IRNazanin"/>
          <w:lang w:bidi="fa-IR"/>
          <w:color w:val="111111"/>
          <w:sz w:val="28"/>
          <w:szCs w:val="28"/>
          <w:rtl/>
        </w:rPr>
        <w:t xml:space="preserve">آغاز: تا نه نظر بر قدش انداختند*** قائمه عرش نیفراختند / قامت طوبی ز قدش سایه ایست *** سدره ز کاخ شرفش پایه ایست ... و سلام نا معدود بر آل طاهرین و عترت طیبین او باد ... اما بعد بر صفحه ترصیف چنین نگارش می دهد فرسوده بادیه عجز و نادانی حسین بن محمد بشیر جیلانی بشر هما الله الرحمن بالمغفرة ... لهذا آن را مرسوم بر پرتو انوار ساخت و مطالب آن در سلک پنج المعه انسلاک و انتظام یافت؛ انجام: بلکه کلام کلیم مشتمل است بر معانی ظاهره و باطنه و باطن آن نیز مشتمل است بر بطون بسیار كما ورد في الأخبار و الاثار و الحمد لله العلي الغفار على ختم الرسالة المرسومة به پرتو انوار و الصلوة و السلام</w:t>
      </w:r>
    </w:p>
    <w:p>
      <w:pPr>
        <w:pStyle w:val="BookText"/>
      </w:pPr>
      <w:r>
        <w:rPr>
          <w:rFonts w:ascii="IRNazanin" w:hAnsi="IRNazanin" w:eastAsia="IRNazanin" w:cs="IRNazanin"/>
          <w:lang w:bidi="fa-IR"/>
          <w:color w:val="111111"/>
          <w:sz w:val="28"/>
          <w:szCs w:val="28"/>
          <w:rtl/>
        </w:rPr>
        <w:t xml:space="preserve">خط: شکسته نستعلیق، بی کا، بیتا؛ قطع: بیاضی رشت و همدان: ف: ۱۲۴۴]</w:t>
      </w:r>
    </w:p>
    <w:p>
      <w:pPr>
        <w:pStyle w:val="Heading3"/>
      </w:pPr>
      <w:bookmarkStart w:id="1677" w:name="_Toc937"/>
      <w:r>
        <w:t>• پرتونامه / عرفان و تصوف / فارسی</w:t>
      </w:r>
      <w:bookmarkEnd w:id="1677"/>
    </w:p>
    <w:p>
      <w:pPr>
        <w:pStyle w:val="BookText"/>
      </w:pPr>
      <w:r>
        <w:rPr>
          <w:rFonts w:ascii="Times New Roman" w:hAnsi="Times New Roman" w:eastAsia="Times New Roman" w:cs="Times New Roman"/>
          <w:lang w:val="en-US" w:bidi="en-US"/>
          <w:color w:val="111111"/>
          <w:sz w:val="28"/>
          <w:szCs w:val="28"/>
          <w:rtl/>
        </w:rPr>
        <w:t xml:space="preserve">partow-nāme</w:t>
      </w:r>
    </w:p>
    <w:p>
      <w:pPr>
        <w:pStyle w:val="BookText"/>
      </w:pPr>
      <w:r>
        <w:rPr>
          <w:rFonts w:ascii="IRNazanin" w:hAnsi="IRNazanin" w:eastAsia="IRNazanin" w:cs="IRNazanin"/>
          <w:lang w:bidi="fa-IR"/>
          <w:color w:val="111111"/>
          <w:sz w:val="28"/>
          <w:szCs w:val="28"/>
          <w:rtl/>
        </w:rPr>
        <w:t xml:space="preserve">؟ سهروردی، یحیی بن حبش، ۵۴۹؟ -۵۸۷ ؟ قمری</w:t>
      </w:r>
    </w:p>
    <w:p>
      <w:pPr>
        <w:pStyle w:val="BookText"/>
      </w:pPr>
      <w:r>
        <w:rPr>
          <w:rFonts w:ascii="Times New Roman" w:hAnsi="Times New Roman" w:eastAsia="Times New Roman" w:cs="Times New Roman"/>
          <w:lang w:val="en-US" w:bidi="en-US"/>
          <w:color w:val="111111"/>
          <w:sz w:val="28"/>
          <w:szCs w:val="28"/>
          <w:rtl/>
        </w:rPr>
        <w:t xml:space="preserve">sohravardī, yahyā ebn-e hebaš (1155-1192)</w:t>
      </w:r>
    </w:p>
    <w:p>
      <w:pPr>
        <w:pStyle w:val="BookText"/>
      </w:pPr>
      <w:r>
        <w:rPr>
          <w:rFonts w:ascii="IRNazanin" w:hAnsi="IRNazanin" w:eastAsia="IRNazanin" w:cs="IRNazanin"/>
          <w:lang w:bidi="fa-IR"/>
          <w:color w:val="111111"/>
          <w:sz w:val="28"/>
          <w:szCs w:val="28"/>
          <w:rtl/>
        </w:rPr>
        <w:t xml:space="preserve">اهدا به: رکن الدین سلیمانشاه بن عز الدين قلیج ارسلان بن مسعود</w:t>
      </w:r>
    </w:p>
    <w:p>
      <w:pPr>
        <w:pStyle w:val="BookText"/>
      </w:pPr>
      <w:r>
        <w:rPr>
          <w:rFonts w:ascii="IRNazanin" w:hAnsi="IRNazanin" w:eastAsia="IRNazanin" w:cs="IRNazanin"/>
          <w:lang w:bidi="fa-IR"/>
          <w:color w:val="111111"/>
          <w:sz w:val="28"/>
          <w:szCs w:val="28"/>
          <w:rtl/>
        </w:rPr>
        <w:t xml:space="preserve">به شهاب الدین یحیی سهروردی نسبت داده شده. مؤلف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85" w:name="pg20363_209544"/>
    <w:bookmarkEnd w:id="285"/>
    <w:p>
      <w:pPr>
        <w:pStyle w:val="BookText"/>
      </w:pPr>
      <w:r>
        <w:rPr>
          <w:rFonts w:ascii="IRNazanin" w:hAnsi="IRNazanin" w:eastAsia="IRNazanin" w:cs="IRNazanin"/>
          <w:lang w:bidi="fa-IR"/>
          <w:color w:val="111111"/>
          <w:sz w:val="28"/>
          <w:szCs w:val="28"/>
          <w:rtl/>
        </w:rPr>
        <w:t xml:space="preserve">می گوید: آن را به حکم ملک عادل عالم مؤید رکن الدین سلیمانشاه بن سلطان عزالدنيا و الدین قلج ارسلان بن مسعود ساختم و نامش، پرتو نامه سليمانشاهی کرده آمد. ركن الدين سليمانشاه از ۵۹۷ تا ۶۰۰ ق سلطنت کرده است (لین پول، ۱۳۷) پس بایستی این کتاب، میان همان سال ها تأليف شده باشد، بنابراین نسبت آن به شهاب الدين يحيی سهروردی (۵۴۹ ۵۸۷ق) دچار تردید می شود. البته در دو چاپ انجام شده از آن نام این پادشاه نیامده است. ساخته شده در ۱۰ «فصل»: ۱. شرح بعضی اصطلاحات و تعريف جسم و بعضی احوال او؛ ۲. نهایت محدود و مکان و اشارتی به کون و فاسد؛ ۳. استبصار؛ ۴. قوای نفس؛ ۵. ذات واجب الوجود و صفاتش؛ ۶. فعل واجب الوجود؛ ۷. غایت ترتیب وجود؛ ۸ اسباب حوادث، خیر و شر، و قضا و قدر؛ ۹. بقای نفس و سعادت و شقاوت و مانند آن؛ ۱۰. نبوات و مقامات و مانند آن.</w:t>
      </w:r>
    </w:p>
    <w:p>
      <w:pPr>
        <w:pStyle w:val="BookText"/>
      </w:pPr>
      <w:r>
        <w:rPr>
          <w:rFonts w:ascii="IRNazanin" w:hAnsi="IRNazanin" w:eastAsia="IRNazanin" w:cs="IRNazanin"/>
          <w:lang w:bidi="fa-IR"/>
          <w:color w:val="111111"/>
          <w:sz w:val="28"/>
          <w:szCs w:val="28"/>
          <w:rtl/>
        </w:rPr>
        <w:t xml:space="preserve">آغاز: بدانکه این مختصریست که ساخته شده بحكم اشارت بعضی از محبان فضیلت و نامش پر تو نامه» کرده آمد. و بعضی مواضع که اصطلاحات علماء مشائین در آنجا صعوبتی داشت تا مفضی بود بتطويل اصطلاحی نزدیکتر کردیم. انجام: و أجعل الفتوه حلیتنا و الأشراق سبیلنا. والحمد لله أولا و آخرا و ظاهرا و باطنا و صل علی نبیک محمد و آله و صحبه اجمعین.</w:t>
      </w:r>
    </w:p>
    <w:p>
      <w:pPr>
        <w:pStyle w:val="BookText"/>
      </w:pPr>
      <w:r>
        <w:rPr>
          <w:rFonts w:ascii="IRNazanin" w:hAnsi="IRNazanin" w:eastAsia="IRNazanin" w:cs="IRNazanin"/>
          <w:lang w:bidi="fa-IR"/>
          <w:color w:val="111111"/>
          <w:sz w:val="28"/>
          <w:szCs w:val="28"/>
          <w:rtl/>
        </w:rPr>
        <w:t xml:space="preserve">چاپ: مجموعه مصنفات شیخ اشراق، جلد سوم، تصحیح و تحشیه و مقدمه سید حسین نصر (تهران، پژوهشگاه علوم انسانی و مطالعات فرهنگی: ۱۳۸۰ (چاپ سوم)</w:t>
      </w:r>
    </w:p>
    <w:p>
      <w:pPr>
        <w:pStyle w:val="BookText"/>
      </w:pPr>
      <w:r>
        <w:rPr>
          <w:rFonts w:ascii="IRNazanin" w:hAnsi="IRNazanin" w:eastAsia="IRNazanin" w:cs="IRNazanin"/>
          <w:lang w:bidi="fa-IR"/>
          <w:color w:val="111111"/>
          <w:sz w:val="28"/>
          <w:szCs w:val="28"/>
          <w:rtl/>
        </w:rPr>
        <w:t xml:space="preserve">[دنا ۶۲۹/۲ ؛ فهرستواره منزوی ۸۹/۶ ]</w:t>
      </w:r>
    </w:p>
    <w:p>
      <w:pPr>
        <w:pStyle w:val="BookText"/>
      </w:pPr>
      <w:r>
        <w:rPr>
          <w:rFonts w:ascii="IRNazanin" w:hAnsi="IRNazanin" w:eastAsia="IRNazanin" w:cs="IRNazanin"/>
          <w:lang w:bidi="fa-IR"/>
          <w:color w:val="111111"/>
          <w:sz w:val="28"/>
          <w:szCs w:val="28"/>
          <w:rtl/>
        </w:rPr>
        <w:t xml:space="preserve">۱. تهران، دانشگاه؛ شماره نسخه: ۸۲۲۵/۶</w:t>
      </w:r>
    </w:p>
    <w:p>
      <w:pPr>
        <w:pStyle w:val="BookText"/>
      </w:pPr>
      <w:r>
        <w:rPr>
          <w:rFonts w:ascii="IRNazanin" w:hAnsi="IRNazanin" w:eastAsia="IRNazanin" w:cs="IRNazanin"/>
          <w:lang w:bidi="fa-IR"/>
          <w:color w:val="111111"/>
          <w:sz w:val="28"/>
          <w:szCs w:val="28"/>
          <w:rtl/>
        </w:rPr>
        <w:t xml:space="preserve">خط: نسخ، کا: صدرالدین محمد بن ابراهيم بن یحیی شیرازی، تا: شوال ۱۰۰۶ق، جا: قزوین؛ کاغذ: سپاهانی، فاقد جلد، ۴۰ص (۱۴۲پ-۱۸۱ر)، ۱۵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۴/۵ )، قطع: ربعی،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سم [ف: ۱۷-۶۱]</w:t>
      </w:r>
    </w:p>
    <w:p>
      <w:pPr>
        <w:pStyle w:val="BookText"/>
      </w:pPr>
      <w:r>
        <w:rPr>
          <w:rFonts w:ascii="Amiri" w:hAnsi="Amiri" w:eastAsia="Amiri" w:cs="Amiri"/>
          <w:lang w:bidi="ar-SA"/>
          <w:color w:val="111111"/>
          <w:sz w:val="28"/>
          <w:szCs w:val="28"/>
          <w:rtl/>
        </w:rPr>
        <w:t xml:space="preserve">۲. تهران؛ دائرة المعارف؛ شماره نسخه: ۵۵/۴</w:t>
      </w:r>
    </w:p>
    <w:p>
      <w:pPr>
        <w:pStyle w:val="BookText"/>
      </w:pPr>
      <w:r>
        <w:rPr>
          <w:rFonts w:ascii="IRNazanin" w:hAnsi="IRNazanin" w:eastAsia="IRNazanin" w:cs="IRNazanin"/>
          <w:lang w:bidi="fa-IR"/>
          <w:color w:val="111111"/>
          <w:sz w:val="28"/>
          <w:szCs w:val="28"/>
          <w:rtl/>
        </w:rPr>
        <w:t xml:space="preserve">آغاز: برابر؛ انجام: و خواب و الهام او به کمال رسد. و الله اعلم و من الله التوفيق ... در فهرست ناشناس؛ خط: نستعلیق پخته، كا: عبدالغنی حسینی تفرشی، تا: ۱۰۰۶ق، جا: دارالسلطنه قزوین؛ ۱۹گ (۲۹پ -۴۷ر) [ف: ۱- ۳۹]</w:t>
      </w:r>
    </w:p>
    <w:p>
      <w:pPr>
        <w:pStyle w:val="BookText"/>
      </w:pPr>
      <w:r>
        <w:rPr>
          <w:rFonts w:ascii="IRNazanin" w:hAnsi="IRNazanin" w:eastAsia="IRNazanin" w:cs="IRNazanin"/>
          <w:lang w:bidi="fa-IR"/>
          <w:color w:val="111111"/>
          <w:sz w:val="28"/>
          <w:szCs w:val="28"/>
          <w:rtl/>
        </w:rPr>
        <w:t xml:space="preserve">٣. تهران، دانشگاه، شماره نسخه: ۶۶۱۶/۱۷</w:t>
      </w:r>
    </w:p>
    <w:p>
      <w:pPr>
        <w:pStyle w:val="BookText"/>
      </w:pPr>
      <w:r>
        <w:rPr>
          <w:rFonts w:ascii="IRNazanin" w:hAnsi="IRNazanin" w:eastAsia="IRNazanin" w:cs="IRNazanin"/>
          <w:lang w:bidi="fa-IR"/>
          <w:color w:val="111111"/>
          <w:sz w:val="28"/>
          <w:szCs w:val="28"/>
          <w:rtl/>
        </w:rPr>
        <w:t xml:space="preserve">خط: نسخ، كا: احمد سروی، تا: ۱۰۷۱ق؛ افتادگی: انجام کاغذ: سپاهانی، جلد: تیماج تریاکی ضربی مقوایی، ۱۶گ (۴۷پ۔ ۶۲پ)، ۲۷ سطر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قطع: رحلی،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۳۱۰-۱۶ ]</w:t>
      </w:r>
    </w:p>
    <w:p>
      <w:pPr>
        <w:pStyle w:val="BookText"/>
      </w:pPr>
      <w:r>
        <w:rPr>
          <w:rFonts w:ascii="IRNazanin" w:hAnsi="IRNazanin" w:eastAsia="IRNazanin" w:cs="IRNazanin"/>
          <w:lang w:bidi="fa-IR"/>
          <w:color w:val="111111"/>
          <w:sz w:val="28"/>
          <w:szCs w:val="28"/>
          <w:rtl/>
        </w:rPr>
        <w:t xml:space="preserve">۴. تهران، دانشگاه؛ شماره نسخه: ۵۸۶۵/۵</w:t>
      </w:r>
    </w:p>
    <w:p>
      <w:pPr>
        <w:pStyle w:val="BookText"/>
      </w:pPr>
      <w:r>
        <w:rPr>
          <w:rFonts w:ascii="IRNazanin" w:hAnsi="IRNazanin" w:eastAsia="IRNazanin" w:cs="IRNazanin"/>
          <w:lang w:bidi="fa-IR"/>
          <w:color w:val="111111"/>
          <w:sz w:val="28"/>
          <w:szCs w:val="28"/>
          <w:rtl/>
        </w:rPr>
        <w:t xml:space="preserve">خط: نستعلیق، كا: على بن اسد بیگ فراش خلوت ناصر الدین شاه، تا: صفر ۱۲۸۷ق؛ کاغذ: فرنگی، جلد: تیماج تریاکی ضربی مقوایی، ۶۵گ (۱۲۰-۱۸۴)، ۱۵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قطع: ربعی،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۱۶-۱۱۳]</w:t>
      </w:r>
    </w:p>
    <w:p>
      <w:pPr>
        <w:pStyle w:val="BookText"/>
      </w:pPr>
      <w:r>
        <w:rPr>
          <w:rFonts w:ascii="IRNazanin" w:hAnsi="IRNazanin" w:eastAsia="IRNazanin" w:cs="IRNazanin"/>
          <w:lang w:bidi="fa-IR"/>
          <w:color w:val="111111"/>
          <w:sz w:val="28"/>
          <w:szCs w:val="28"/>
          <w:rtl/>
        </w:rPr>
        <w:t xml:space="preserve">۵. یزد؛ سریزدی؛ شماره نسخه: ۹۱/۶</w:t>
      </w:r>
    </w:p>
    <w:p>
      <w:pPr>
        <w:pStyle w:val="BookText"/>
      </w:pPr>
      <w:r>
        <w:rPr>
          <w:rFonts w:ascii="IRNazanin" w:hAnsi="IRNazanin" w:eastAsia="IRNazanin" w:cs="IRNazanin"/>
          <w:lang w:bidi="fa-IR"/>
          <w:color w:val="111111"/>
          <w:sz w:val="28"/>
          <w:szCs w:val="28"/>
          <w:rtl/>
        </w:rPr>
        <w:t xml:space="preserve">آغاز: این مختصری است که ساخته شد به حکم اشارت ملک عادل عالم مؤيد الدين رکن الدین سلیمانشاه خط: نستعلیق، کا: شاه محمد بن محمد زمان میبدی، بیتا؛ مصحح؛ جلد: تیماج دو رو بدون مقوا رو قهوه ای ضربی، پشت و دور قرمز، ۲۷گ (۱۲۰پ -۱۴۶ر)، ۱۸سطر،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۱-۷۶]</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دانشگاه؛ شماره نسخه: ۱۲۵۷/۳۶</w:t>
      </w:r>
    </w:p>
    <w:p>
      <w:pPr>
        <w:pStyle w:val="BookText"/>
      </w:pPr>
      <w:r>
        <w:rPr>
          <w:rFonts w:ascii="IRNazanin" w:hAnsi="IRNazanin" w:eastAsia="IRNazanin" w:cs="IRNazanin"/>
          <w:lang w:bidi="fa-IR"/>
          <w:color w:val="111111"/>
          <w:sz w:val="28"/>
          <w:szCs w:val="28"/>
          <w:rtl/>
        </w:rPr>
        <w:t xml:space="preserve">آغاز: برابر؛ انجام: و جماعتی از حکیمان روشن روان ... و نور عالم در نیمه فصل نهم پایان می یابد؛ بی کا، بی تا؛ افتادگی: انجام؛ کاغذ: فرنگی، جلد: تیماج قهوه ای ضربی مقوایی به آن گلی، ۱۴گ (۱۹۰ر-۲۰۳پ)، ۲۶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 [ف: ۲۶۷۶-۷ ]</w:t>
      </w:r>
    </w:p>
    <w:p>
      <w:pPr>
        <w:pStyle w:val="Heading3"/>
      </w:pPr>
      <w:bookmarkStart w:id="1678" w:name="_Toc938"/>
      <w:r>
        <w:t>• پرچم / فارسی</w:t>
      </w:r>
      <w:bookmarkEnd w:id="1678"/>
    </w:p>
    <w:p>
      <w:pPr>
        <w:pStyle w:val="BookText"/>
      </w:pPr>
      <w:r>
        <w:rPr>
          <w:rFonts w:ascii="Times New Roman" w:hAnsi="Times New Roman" w:eastAsia="Times New Roman" w:cs="Times New Roman"/>
          <w:lang w:val="en-US" w:bidi="en-US"/>
          <w:color w:val="111111"/>
          <w:sz w:val="28"/>
          <w:szCs w:val="28"/>
          <w:rtl/>
        </w:rPr>
        <w:t xml:space="preserve">parčam</w:t>
      </w:r>
    </w:p>
    <w:p>
      <w:pPr>
        <w:pStyle w:val="BookText"/>
      </w:pPr>
      <w:r>
        <w:rPr>
          <w:rFonts w:ascii="IRNazanin" w:hAnsi="IRNazanin" w:eastAsia="IRNazanin" w:cs="IRNazanin"/>
          <w:lang w:bidi="fa-IR"/>
          <w:color w:val="111111"/>
          <w:sz w:val="28"/>
          <w:szCs w:val="28"/>
          <w:rtl/>
        </w:rPr>
        <w:t xml:space="preserve">کسروی، احمد، ۱۲۶۹-۱۳۲۴ شمسی</w:t>
      </w:r>
    </w:p>
    <w:p>
      <w:pPr>
        <w:pStyle w:val="BookText"/>
      </w:pPr>
      <w:r>
        <w:rPr>
          <w:rFonts w:ascii="Times New Roman" w:hAnsi="Times New Roman" w:eastAsia="Times New Roman" w:cs="Times New Roman"/>
          <w:lang w:val="en-US" w:bidi="en-US"/>
          <w:color w:val="111111"/>
          <w:sz w:val="28"/>
          <w:szCs w:val="28"/>
          <w:rtl/>
        </w:rPr>
        <w:t xml:space="preserve">kasravī, ahmad (1890-1945)</w:t>
      </w:r>
    </w:p>
    <w:p>
      <w:pPr>
        <w:pStyle w:val="BookText"/>
      </w:pPr>
      <w:r>
        <w:rPr>
          <w:rFonts w:ascii="IRNazanin" w:hAnsi="IRNazanin" w:eastAsia="IRNazanin" w:cs="IRNazanin"/>
          <w:lang w:bidi="fa-IR"/>
          <w:color w:val="111111"/>
          <w:sz w:val="28"/>
          <w:szCs w:val="28"/>
          <w:rtl/>
        </w:rPr>
        <w:t xml:space="preserve">تهران؛ دانشگاه؛ شماره نسخه: ۴۷۵۲/۱۴ -۴۷۵۴-ف</w:t>
      </w:r>
    </w:p>
    <w:p>
      <w:pPr>
        <w:pStyle w:val="BookText"/>
      </w:pPr>
      <w:r>
        <w:rPr>
          <w:rFonts w:ascii="IRNazanin" w:hAnsi="IRNazanin" w:eastAsia="IRNazanin" w:cs="IRNazanin"/>
          <w:lang w:bidi="fa-IR"/>
          <w:color w:val="111111"/>
          <w:sz w:val="28"/>
          <w:szCs w:val="28"/>
          <w:rtl/>
        </w:rPr>
        <w:t xml:space="preserve">بی کا، بی تا [فیلمها ف: ۳-۹۹]</w:t>
      </w:r>
    </w:p>
    <w:p>
      <w:pPr>
        <w:pStyle w:val="Heading3"/>
      </w:pPr>
      <w:bookmarkStart w:id="1679" w:name="_Toc939"/>
      <w:r>
        <w:t>• پرده برانداخت و پردگی شناخت / عرفان و تصوف / فارسی</w:t>
      </w:r>
      <w:bookmarkEnd w:id="1679"/>
    </w:p>
    <w:p>
      <w:pPr>
        <w:pStyle w:val="BookText"/>
      </w:pPr>
      <w:r>
        <w:rPr>
          <w:rFonts w:ascii="Times New Roman" w:hAnsi="Times New Roman" w:eastAsia="Times New Roman" w:cs="Times New Roman"/>
          <w:lang w:val="en-US" w:bidi="en-US"/>
          <w:color w:val="111111"/>
          <w:sz w:val="28"/>
          <w:szCs w:val="28"/>
          <w:rtl/>
        </w:rPr>
        <w:t xml:space="preserve">parde bar-andāxt va pardegī šenāxt</w:t>
      </w:r>
    </w:p>
    <w:p>
      <w:pPr>
        <w:pStyle w:val="BookText"/>
      </w:pPr>
      <w:r>
        <w:rPr>
          <w:rFonts w:ascii="IRNazanin" w:hAnsi="IRNazanin" w:eastAsia="IRNazanin" w:cs="IRNazanin"/>
          <w:lang w:bidi="fa-IR"/>
          <w:color w:val="111111"/>
          <w:sz w:val="28"/>
          <w:szCs w:val="28"/>
          <w:rtl/>
        </w:rPr>
        <w:t xml:space="preserve">عین القضاة، عبد الله بن محمد، ۴۹۲-۵۲۵ قمری</w:t>
      </w:r>
    </w:p>
    <w:p>
      <w:pPr>
        <w:pStyle w:val="BookText"/>
      </w:pPr>
      <w:r>
        <w:rPr>
          <w:rFonts w:ascii="Times New Roman" w:hAnsi="Times New Roman" w:eastAsia="Times New Roman" w:cs="Times New Roman"/>
          <w:lang w:val="en-US" w:bidi="en-US"/>
          <w:color w:val="111111"/>
          <w:sz w:val="28"/>
          <w:szCs w:val="28"/>
          <w:rtl/>
        </w:rPr>
        <w:t xml:space="preserve">‘ayn-ol-qozāt, ‘abd-ol-lāh ebn-e mohammad (1100 1132)</w:t>
      </w:r>
    </w:p>
    <w:p>
      <w:pPr>
        <w:pStyle w:val="BookText"/>
      </w:pPr>
      <w:r>
        <w:rPr>
          <w:rFonts w:ascii="IRNazanin" w:hAnsi="IRNazanin" w:eastAsia="IRNazanin" w:cs="IRNazanin"/>
          <w:lang w:bidi="fa-IR"/>
          <w:color w:val="111111"/>
          <w:sz w:val="28"/>
          <w:szCs w:val="28"/>
          <w:rtl/>
        </w:rPr>
        <w:t xml:space="preserve">رساله عرفانی مختصری است در اصول طریقت و تقسیم علم به دو قسم اعتقادی و عملی که هر کدام در ضمن چندین «فصل» توضیح داده شده اند.</w:t>
      </w:r>
    </w:p>
    <w:p>
      <w:pPr>
        <w:pStyle w:val="BookText"/>
      </w:pPr>
      <w:r>
        <w:rPr>
          <w:rFonts w:ascii="IRNazanin" w:hAnsi="IRNazanin" w:eastAsia="IRNazanin" w:cs="IRNazanin"/>
          <w:lang w:bidi="fa-IR"/>
          <w:color w:val="111111"/>
          <w:sz w:val="28"/>
          <w:szCs w:val="28"/>
          <w:rtl/>
        </w:rPr>
        <w:t xml:space="preserve">[مشترک پاکستان ۱۳۲۸/۳ ؛ فهرستواره منزوی ۱۶۴/۷ ]</w:t>
      </w:r>
    </w:p>
    <w:p>
      <w:pPr>
        <w:pStyle w:val="BookText"/>
      </w:pPr>
      <w:r>
        <w:rPr>
          <w:rFonts w:ascii="IRNazanin" w:hAnsi="IRNazanin" w:eastAsia="IRNazanin" w:cs="IRNazanin"/>
          <w:lang w:bidi="fa-IR"/>
          <w:color w:val="111111"/>
          <w:sz w:val="28"/>
          <w:szCs w:val="28"/>
          <w:rtl/>
        </w:rPr>
        <w:t xml:space="preserve">قم: مرکز احیاء؛ شماره نسخه: ۲۰۱۳</w:t>
      </w:r>
    </w:p>
    <w:p>
      <w:pPr>
        <w:pStyle w:val="BookText"/>
      </w:pPr>
      <w:r>
        <w:rPr>
          <w:rFonts w:ascii="IRNazanin" w:hAnsi="IRNazanin" w:eastAsia="IRNazanin" w:cs="IRNazanin"/>
          <w:lang w:bidi="fa-IR"/>
          <w:color w:val="111111"/>
          <w:sz w:val="28"/>
          <w:szCs w:val="28"/>
          <w:rtl/>
        </w:rPr>
        <w:t xml:space="preserve">آغاز: اقرب طرق طريق توحید است هر که از ابتداء علم توحید را رفیق خود ساخت شیطان که تعمیر عالم کفر و جحود یاد فرموده نسخه اصل: کتابخانه دانشگاه کراچی پاکستان ۲۱۳۴؛ خط: نستعلیق، بی کا، بی تا؛ ۴۹ص [عکسی ف: ۶-۲۹]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86" w:name="pg20363_209545"/>
    <w:bookmarkEnd w:id="286"/>
    <w:p>
      <w:pPr>
        <w:pStyle w:val="Heading3"/>
      </w:pPr>
      <w:bookmarkStart w:id="1680" w:name="_Toc940"/>
      <w:r>
        <w:t>•پرده حجاب / عرفان و تصوف / فارسی</w:t>
      </w:r>
      <w:bookmarkEnd w:id="1680"/>
    </w:p>
    <w:p>
      <w:pPr>
        <w:pStyle w:val="BookText"/>
      </w:pPr>
      <w:r>
        <w:rPr>
          <w:rFonts w:ascii="Times New Roman" w:hAnsi="Times New Roman" w:eastAsia="Times New Roman" w:cs="Times New Roman"/>
          <w:lang w:val="en-US" w:bidi="en-US"/>
          <w:color w:val="111111"/>
          <w:sz w:val="28"/>
          <w:szCs w:val="28"/>
          <w:rtl/>
        </w:rPr>
        <w:t xml:space="preserve">parde-ye hejāb</w:t>
      </w:r>
    </w:p>
    <w:p>
      <w:pPr>
        <w:pStyle w:val="BookText"/>
      </w:pPr>
      <w:r>
        <w:rPr>
          <w:rFonts w:ascii="IRNazanin" w:hAnsi="IRNazanin" w:eastAsia="IRNazanin" w:cs="IRNazanin"/>
          <w:lang w:bidi="fa-IR"/>
          <w:color w:val="111111"/>
          <w:sz w:val="28"/>
          <w:szCs w:val="28"/>
          <w:rtl/>
        </w:rPr>
        <w:t xml:space="preserve">انصاری، عبدالله بن محمد، ۳۹۶-۴۸۱ قمری</w:t>
      </w:r>
    </w:p>
    <w:p>
      <w:pPr>
        <w:pStyle w:val="BookText"/>
      </w:pPr>
      <w:r>
        <w:rPr>
          <w:rFonts w:ascii="Times New Roman" w:hAnsi="Times New Roman" w:eastAsia="Times New Roman" w:cs="Times New Roman"/>
          <w:lang w:val="en-US" w:bidi="en-US"/>
          <w:color w:val="111111"/>
          <w:sz w:val="28"/>
          <w:szCs w:val="28"/>
          <w:rtl/>
        </w:rPr>
        <w:t xml:space="preserve">ansārī, ‘abd-ol-lāh ebn-e mohammad (1006-1089)</w:t>
      </w:r>
    </w:p>
    <w:p>
      <w:pPr>
        <w:pStyle w:val="BookText"/>
      </w:pPr>
      <w:r>
        <w:rPr>
          <w:rFonts w:ascii="IRNazanin" w:hAnsi="IRNazanin" w:eastAsia="IRNazanin" w:cs="IRNazanin"/>
          <w:lang w:bidi="fa-IR"/>
          <w:color w:val="111111"/>
          <w:sz w:val="28"/>
          <w:szCs w:val="28"/>
          <w:rtl/>
        </w:rPr>
        <w:t xml:space="preserve">به نظم و نثر.</w:t>
      </w:r>
    </w:p>
    <w:p>
      <w:pPr>
        <w:pStyle w:val="BookText"/>
      </w:pPr>
      <w:r>
        <w:rPr>
          <w:rFonts w:ascii="Amiri" w:hAnsi="Amiri" w:eastAsia="Amiri" w:cs="Amiri"/>
          <w:lang w:bidi="ar-SA"/>
          <w:color w:val="111111"/>
          <w:sz w:val="28"/>
          <w:szCs w:val="28"/>
          <w:rtl/>
        </w:rPr>
        <w:t xml:space="preserve">آغاز: الحمد لله رب العالمين و الصلوة على خير خلقه محمد و</w:t>
      </w:r>
    </w:p>
    <w:p>
      <w:pPr>
        <w:pStyle w:val="BookText"/>
      </w:pPr>
      <w:r>
        <w:rPr>
          <w:rFonts w:ascii="IRNazanin" w:hAnsi="IRNazanin" w:eastAsia="IRNazanin" w:cs="IRNazanin"/>
          <w:lang w:bidi="fa-IR"/>
          <w:color w:val="111111"/>
          <w:sz w:val="28"/>
          <w:szCs w:val="28"/>
          <w:rtl/>
        </w:rPr>
        <w:t xml:space="preserve">آله اجمعین. اما بعد این مختصریست از مقولات قدوة المحققين ... خواجه عبدالله انصاری ... بدانکه خدای تعالی این جهان را محل اسرار گردانیده و ودیعت هر سری به مکنونات رسانیده</w:t>
      </w:r>
    </w:p>
    <w:p>
      <w:pPr>
        <w:pStyle w:val="BookText"/>
      </w:pPr>
      <w:r>
        <w:rPr>
          <w:rFonts w:ascii="IRNazanin" w:hAnsi="IRNazanin" w:eastAsia="IRNazanin" w:cs="IRNazanin"/>
          <w:lang w:bidi="fa-IR"/>
          <w:color w:val="111111"/>
          <w:sz w:val="28"/>
          <w:szCs w:val="28"/>
          <w:rtl/>
        </w:rPr>
        <w:t xml:space="preserve">انجام: الهی به لطف ما را دستگیر و پایدار و دل در قرب گرم و جان در انتظار و در پیش حجاب بسیار الهی حجابها از راه بردار و ما را به ما مگذار برحمتك يا عزيز يا غفار.</w:t>
      </w:r>
    </w:p>
    <w:p>
      <w:pPr>
        <w:pStyle w:val="BookText"/>
      </w:pPr>
      <w:r>
        <w:rPr>
          <w:rFonts w:ascii="IRNazanin" w:hAnsi="IRNazanin" w:eastAsia="IRNazanin" w:cs="IRNazanin"/>
          <w:lang w:bidi="fa-IR"/>
          <w:color w:val="111111"/>
          <w:sz w:val="28"/>
          <w:szCs w:val="28"/>
          <w:rtl/>
        </w:rPr>
        <w:t xml:space="preserve">چاپ: در مجموعه رسائل فارسی خواجه عبدالله انصاری، ج۲  (تهران، انتشارات توس، ۱۳۷۷ (چاپ دوم))، با تحقیق محمد سرور مولایی</w:t>
      </w:r>
    </w:p>
    <w:p>
      <w:pPr>
        <w:pStyle w:val="BookText"/>
      </w:pPr>
      <w:r>
        <w:rPr>
          <w:rFonts w:ascii="IRNazanin" w:hAnsi="IRNazanin" w:eastAsia="IRNazanin" w:cs="IRNazanin"/>
          <w:lang w:bidi="fa-IR"/>
          <w:color w:val="111111"/>
          <w:sz w:val="28"/>
          <w:szCs w:val="28"/>
          <w:rtl/>
        </w:rPr>
        <w:t xml:space="preserve">[فهرستواره منزوی ۱۶۵/۷ ]</w:t>
      </w:r>
    </w:p>
    <w:p>
      <w:pPr>
        <w:pStyle w:val="BookText"/>
      </w:pPr>
      <w:r>
        <w:rPr>
          <w:rFonts w:ascii="IRNazanin" w:hAnsi="IRNazanin" w:eastAsia="IRNazanin" w:cs="IRNazanin"/>
          <w:lang w:bidi="fa-IR"/>
          <w:color w:val="111111"/>
          <w:sz w:val="28"/>
          <w:szCs w:val="28"/>
          <w:rtl/>
        </w:rPr>
        <w:t xml:space="preserve">۱. تهران: دانشگاه؛ شماره نسخه: ۶۱۷/۴ -ف</w:t>
      </w:r>
    </w:p>
    <w:p>
      <w:pPr>
        <w:pStyle w:val="BookText"/>
      </w:pPr>
      <w:r>
        <w:rPr>
          <w:rFonts w:ascii="IRNazanin" w:hAnsi="IRNazanin" w:eastAsia="IRNazanin" w:cs="IRNazanin"/>
          <w:lang w:bidi="fa-IR"/>
          <w:color w:val="111111"/>
          <w:sz w:val="28"/>
          <w:szCs w:val="28"/>
          <w:rtl/>
        </w:rPr>
        <w:t xml:space="preserve">نسخه اصل: شهید علی پاشا ش ۱۳۸۳؛ كا: درویش حیدر قلی، تا: ۹۰۶ق ؛ با شعر فارسی؛ ۲گ (۱۱۷-۱۱۸)، ۱۱سطر [فیلمها ف: ۱-۵۱۳]</w:t>
      </w:r>
    </w:p>
    <w:p>
      <w:pPr>
        <w:pStyle w:val="BookText"/>
      </w:pPr>
      <w:r>
        <w:rPr>
          <w:rFonts w:ascii="IRNazanin" w:hAnsi="IRNazanin" w:eastAsia="IRNazanin" w:cs="IRNazanin"/>
          <w:lang w:bidi="fa-IR"/>
          <w:color w:val="111111"/>
          <w:sz w:val="28"/>
          <w:szCs w:val="28"/>
          <w:rtl/>
        </w:rPr>
        <w:t xml:space="preserve">۱. تهران؛ مجلس؛ شماره نسخه: ۵۱۳۸/۱۲۷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با عنوان «مقولات». نام رساله با توجه به آغاز آن تعیین شد؛ خط: نستعلیق، بی کا، تا: قرن ۱۱؛ اگ (۵۰۷) [ف: ۱۵-۱۹۴]</w:t>
      </w:r>
    </w:p>
    <w:p>
      <w:pPr>
        <w:pStyle w:val="BookText"/>
      </w:pPr>
      <w:r>
        <w:rPr>
          <w:rFonts w:ascii="Amiri" w:hAnsi="Amiri" w:eastAsia="Amiri" w:cs="Amiri"/>
          <w:lang w:bidi="ar-SA"/>
          <w:color w:val="111111"/>
          <w:sz w:val="28"/>
          <w:szCs w:val="28"/>
          <w:rtl/>
        </w:rPr>
        <w:t xml:space="preserve">۲. تهران؛ مجلس؛ شماره نسخه: ۶۴/۱ - فيروز</w:t>
      </w:r>
    </w:p>
    <w:p>
      <w:pPr>
        <w:pStyle w:val="BookText"/>
      </w:pPr>
      <w:r>
        <w:rPr>
          <w:rFonts w:ascii="IRNazanin" w:hAnsi="IRNazanin" w:eastAsia="IRNazanin" w:cs="IRNazanin"/>
          <w:lang w:bidi="fa-IR"/>
          <w:color w:val="111111"/>
          <w:sz w:val="28"/>
          <w:szCs w:val="28"/>
          <w:rtl/>
        </w:rPr>
        <w:t xml:space="preserve">آغاز: برابر؛ انجام: عذر بسیار خواستن بی مروتی است عذر ناقبول کردن بی فتوتی است تمام شد رساله ندیم حضرت باری خواجه انصاری الموسوم به پرده حجاب در دار السلطنه اصفهان. كتبه ابو الحسن ابن سید محمد الحسینی. سنه ۱۱۳۴</w:t>
      </w:r>
    </w:p>
    <w:p>
      <w:pPr>
        <w:pStyle w:val="BookText"/>
      </w:pPr>
      <w:r>
        <w:rPr>
          <w:rFonts w:ascii="IRNazanin" w:hAnsi="IRNazanin" w:eastAsia="IRNazanin" w:cs="IRNazanin"/>
          <w:lang w:bidi="fa-IR"/>
          <w:color w:val="111111"/>
          <w:sz w:val="28"/>
          <w:szCs w:val="28"/>
          <w:rtl/>
        </w:rPr>
        <w:t xml:space="preserve">در فهرست با عنوان «مقولات». نام رساله با توجه به آغاز آن تعیین شد؛ خط: نستعلیق، كا: ابو الحسن بن سید محمد، تا: ۱۱۳۴ق، جان اصفهان؛ فقراتی از الهی نامه خواجه نیز در اواخر این نسخه دیده می شود. تفاوت های دیگر نیز با نسخه چاپ وحید دارد، کاتب نسخه در رقم خویش از این رساله با نام پرده حجاب یاد می کند، در حواشی صفحات یک فقره حاشیه است از کاتب نسخه و شعری به خط محمد على؛ کاغذ: اصفهانی شکری، جلد: تیماج قرمز یک لا، ۴۱ص (۲-۴۳)، ۹ سطر، قطع: نیم خشتی، اندازه: ۲۰۷۱۳سم [ف: ۲۱-۲۱۶]</w:t>
      </w:r>
    </w:p>
    <w:p>
      <w:pPr>
        <w:pStyle w:val="BookText"/>
      </w:pPr>
      <w:r>
        <w:rPr>
          <w:rFonts w:ascii="IRNazanin" w:hAnsi="IRNazanin" w:eastAsia="IRNazanin" w:cs="IRNazanin"/>
          <w:lang w:bidi="fa-IR"/>
          <w:color w:val="111111"/>
          <w:sz w:val="28"/>
          <w:szCs w:val="28"/>
          <w:rtl/>
        </w:rPr>
        <w:t xml:space="preserve">٣. مشهد؛ رضوی؛ شماره نسخه: ۲/۱۴۱۹۰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نام رساله با توجه به آغاز و انجام آن تعیین شد؛ خط: نستعلیق مخلوط به شکسته، بی کا، تا: رجب ۱۲۷۲ق؛ کاغذ: نخودی، جلد: میشن خرمایی ضربی، ۱۷ سطر، اندازه: ۲۱/۳</w:t>
      </w:r>
      <w:r>
        <w:rPr>
          <w:rFonts w:ascii="Times New Roman" w:hAnsi="Times New Roman" w:eastAsia="Times New Roman" w:cs="Times New Roman"/>
          <w:lang w:val="en-US" w:bidi="en-US"/>
          <w:color w:val="111111"/>
          <w:sz w:val="28"/>
          <w:szCs w:val="28"/>
          <w:rtl/>
        </w:rPr>
        <w:t xml:space="preserve">x</w:t>
      </w:r>
      <w:r>
        <w:rPr>
          <w:rFonts w:ascii="IRNazanin" w:hAnsi="IRNazanin" w:eastAsia="IRNazanin" w:cs="IRNazanin"/>
          <w:lang w:bidi="fa-IR"/>
          <w:color w:val="111111"/>
          <w:sz w:val="28"/>
          <w:szCs w:val="28"/>
          <w:rtl/>
        </w:rPr>
        <w:t xml:space="preserve">۱۶سم [ف: ۱۷-۸۷]</w:t>
      </w:r>
    </w:p>
    <w:p>
      <w:pPr>
        <w:pStyle w:val="BookText"/>
      </w:pPr>
      <w:r>
        <w:rPr>
          <w:rFonts w:ascii="IRNazanin" w:hAnsi="IRNazanin" w:eastAsia="IRNazanin" w:cs="IRNazanin"/>
          <w:lang w:bidi="fa-IR"/>
          <w:color w:val="111111"/>
          <w:sz w:val="28"/>
          <w:szCs w:val="28"/>
          <w:rtl/>
        </w:rPr>
        <w:t xml:space="preserve">۲. تهران، دانشگاه؛ شماره نسخه: ۴۱۰۲/۴ -ف</w:t>
      </w:r>
    </w:p>
    <w:p>
      <w:pPr>
        <w:pStyle w:val="BookText"/>
      </w:pPr>
      <w:r>
        <w:rPr>
          <w:rFonts w:ascii="IRNazanin" w:hAnsi="IRNazanin" w:eastAsia="IRNazanin" w:cs="IRNazanin"/>
          <w:lang w:bidi="fa-IR"/>
          <w:color w:val="111111"/>
          <w:sz w:val="28"/>
          <w:szCs w:val="28"/>
          <w:rtl/>
        </w:rPr>
        <w:t xml:space="preserve">نسخه اصل: دانشگاه بمبئی بی کا، بیتا [فیلمها ف: ۳-۱۵]</w:t>
      </w:r>
    </w:p>
    <w:p>
      <w:pPr>
        <w:pStyle w:val="BookText"/>
      </w:pPr>
      <w:r>
        <w:rPr>
          <w:rFonts w:ascii="IRNazanin" w:hAnsi="IRNazanin" w:eastAsia="IRNazanin" w:cs="IRNazanin"/>
          <w:lang w:bidi="fa-IR"/>
          <w:color w:val="111111"/>
          <w:sz w:val="28"/>
          <w:szCs w:val="28"/>
          <w:rtl/>
        </w:rPr>
        <w:t xml:space="preserve">تهران؛ مینوی؛ شماره نسخه: ۱۳۹/۴بخش۳ و ۱۳۸/۴ بخش۳</w:t>
      </w:r>
    </w:p>
    <w:p>
      <w:pPr>
        <w:pStyle w:val="BookText"/>
      </w:pPr>
      <w:r>
        <w:rPr>
          <w:rFonts w:ascii="IRNazanin" w:hAnsi="IRNazanin" w:eastAsia="IRNazanin" w:cs="IRNazanin"/>
          <w:lang w:bidi="fa-IR"/>
          <w:color w:val="111111"/>
          <w:sz w:val="28"/>
          <w:szCs w:val="28"/>
          <w:rtl/>
        </w:rPr>
        <w:t xml:space="preserve">نسخه اصل: همان نسخه اصل بالا، ۱۲گ (۵۹-۷۰) [ف: ۱۱۱]</w:t>
      </w:r>
    </w:p>
    <w:p>
      <w:pPr>
        <w:pStyle w:val="BookText"/>
      </w:pPr>
      <w:r>
        <w:rPr>
          <w:rFonts w:ascii="IRNazanin" w:hAnsi="IRNazanin" w:eastAsia="IRNazanin" w:cs="IRNazanin"/>
          <w:lang w:bidi="fa-IR"/>
          <w:color w:val="111111"/>
          <w:sz w:val="28"/>
          <w:szCs w:val="28"/>
          <w:rtl/>
        </w:rPr>
        <w:t xml:space="preserve">← پرسپکتیو ← مفتاح الناظرين</w:t>
      </w:r>
    </w:p>
    <w:p>
      <w:pPr>
        <w:pStyle w:val="Heading3"/>
      </w:pPr>
      <w:bookmarkStart w:id="1681" w:name="_Toc941"/>
      <w:r>
        <w:t>•پرستاری و خواهران پرستار / زبان فرانسه / فارسی</w:t>
      </w:r>
      <w:bookmarkEnd w:id="1681"/>
    </w:p>
    <w:p>
      <w:pPr>
        <w:pStyle w:val="BookText"/>
      </w:pPr>
      <w:r>
        <w:rPr>
          <w:rFonts w:ascii="Times New Roman" w:hAnsi="Times New Roman" w:eastAsia="Times New Roman" w:cs="Times New Roman"/>
          <w:lang w:val="en-US" w:bidi="en-US"/>
          <w:color w:val="111111"/>
          <w:sz w:val="28"/>
          <w:szCs w:val="28"/>
          <w:rtl/>
        </w:rPr>
        <w:t xml:space="preserve">parastārī va xāharān-e parastār</w:t>
      </w:r>
    </w:p>
    <w:p>
      <w:pPr>
        <w:pStyle w:val="BookText"/>
      </w:pPr>
      <w:r>
        <w:rPr>
          <w:rFonts w:ascii="IRNazanin" w:hAnsi="IRNazanin" w:eastAsia="IRNazanin" w:cs="IRNazanin"/>
          <w:lang w:bidi="fa-IR"/>
          <w:color w:val="111111"/>
          <w:sz w:val="28"/>
          <w:szCs w:val="28"/>
          <w:rtl/>
        </w:rPr>
        <w:t xml:space="preserve">شروین، محمود، ۱۲۸۹ شمسی</w:t>
      </w:r>
    </w:p>
    <w:p>
      <w:pPr>
        <w:pStyle w:val="BookText"/>
      </w:pPr>
      <w:r>
        <w:rPr>
          <w:rFonts w:ascii="Times New Roman" w:hAnsi="Times New Roman" w:eastAsia="Times New Roman" w:cs="Times New Roman"/>
          <w:lang w:val="en-US" w:bidi="en-US"/>
          <w:color w:val="111111"/>
          <w:sz w:val="28"/>
          <w:szCs w:val="28"/>
          <w:rtl/>
        </w:rPr>
        <w:t xml:space="preserve">šervīn, mahmūd (1910-)</w:t>
      </w:r>
    </w:p>
    <w:p>
      <w:pPr>
        <w:pStyle w:val="BookText"/>
      </w:pPr>
      <w:r>
        <w:rPr>
          <w:rFonts w:ascii="IRNazanin" w:hAnsi="IRNazanin" w:eastAsia="IRNazanin" w:cs="IRNazanin"/>
          <w:lang w:bidi="fa-IR"/>
          <w:color w:val="111111"/>
          <w:sz w:val="28"/>
          <w:szCs w:val="28"/>
          <w:rtl/>
        </w:rPr>
        <w:t xml:space="preserve">تهران؛ مجلس؛ شماره نسخه: ۱۱۲۷۴</w:t>
      </w:r>
    </w:p>
    <w:p>
      <w:pPr>
        <w:pStyle w:val="BookText"/>
      </w:pPr>
      <w:r>
        <w:rPr>
          <w:rFonts w:ascii="IRNazanin" w:hAnsi="IRNazanin" w:eastAsia="IRNazanin" w:cs="IRNazanin"/>
          <w:lang w:bidi="fa-IR"/>
          <w:color w:val="111111"/>
          <w:sz w:val="28"/>
          <w:szCs w:val="28"/>
          <w:rtl/>
        </w:rPr>
        <w:t xml:space="preserve">حروفچینی؛ بی کا، تا: قرن ۱۴ [مختصر ف: ۱۱۹]</w:t>
      </w:r>
    </w:p>
    <w:p>
      <w:pPr>
        <w:pStyle w:val="BookText"/>
      </w:pPr>
      <w:r>
        <w:rPr>
          <w:rFonts w:ascii="IRNazanin" w:hAnsi="IRNazanin" w:eastAsia="IRNazanin" w:cs="IRNazanin"/>
          <w:lang w:bidi="fa-IR"/>
          <w:color w:val="111111"/>
          <w:sz w:val="28"/>
          <w:szCs w:val="28"/>
          <w:rtl/>
        </w:rPr>
        <w:t xml:space="preserve">← پرسش از خواجه طوسی ← اسئلة قاضي القضاة هرات</w:t>
      </w:r>
    </w:p>
    <w:p>
      <w:pPr>
        <w:pStyle w:val="Heading3"/>
      </w:pPr>
      <w:bookmarkStart w:id="1682" w:name="_Toc942"/>
      <w:r>
        <w:t>• پرسش از خواجه نصیر / مواعظ / فارسی</w:t>
      </w:r>
      <w:bookmarkEnd w:id="1682"/>
    </w:p>
    <w:p>
      <w:pPr>
        <w:pStyle w:val="BookText"/>
      </w:pPr>
      <w:r>
        <w:rPr>
          <w:rFonts w:ascii="Times New Roman" w:hAnsi="Times New Roman" w:eastAsia="Times New Roman" w:cs="Times New Roman"/>
          <w:lang w:val="en-US" w:bidi="en-US"/>
          <w:color w:val="111111"/>
          <w:sz w:val="28"/>
          <w:szCs w:val="28"/>
          <w:rtl/>
        </w:rPr>
        <w:t xml:space="preserve">porseš az xāje nasīr</w:t>
      </w:r>
    </w:p>
    <w:p>
      <w:pPr>
        <w:pStyle w:val="BookText"/>
      </w:pPr>
      <w:r>
        <w:rPr>
          <w:rFonts w:ascii="IRNazanin" w:hAnsi="IRNazanin" w:eastAsia="IRNazanin" w:cs="IRNazanin"/>
          <w:lang w:bidi="fa-IR"/>
          <w:color w:val="111111"/>
          <w:sz w:val="28"/>
          <w:szCs w:val="28"/>
          <w:rtl/>
        </w:rPr>
        <w:t xml:space="preserve">نصیر الدین طوسی، محمد بن محمد، ۵۹۷-۶۷۲ قمری</w:t>
      </w:r>
    </w:p>
    <w:p>
      <w:pPr>
        <w:pStyle w:val="BookText"/>
      </w:pPr>
      <w:r>
        <w:rPr>
          <w:rFonts w:ascii="Times New Roman" w:hAnsi="Times New Roman" w:eastAsia="Times New Roman" w:cs="Times New Roman"/>
          <w:lang w:val="en-US" w:bidi="en-US"/>
          <w:color w:val="111111"/>
          <w:sz w:val="28"/>
          <w:szCs w:val="28"/>
          <w:rtl/>
        </w:rPr>
        <w:t xml:space="preserve">nasīr-od-dīn-e tūsī, mohammad ebn-e mohammad (1201-1274)</w:t>
      </w:r>
    </w:p>
    <w:p>
      <w:pPr>
        <w:pStyle w:val="BookText"/>
      </w:pPr>
      <w:r>
        <w:rPr>
          <w:rFonts w:ascii="IRNazanin" w:hAnsi="IRNazanin" w:eastAsia="IRNazanin" w:cs="IRNazanin"/>
          <w:lang w:bidi="fa-IR"/>
          <w:color w:val="111111"/>
          <w:sz w:val="28"/>
          <w:szCs w:val="28"/>
          <w:rtl/>
        </w:rPr>
        <w:t xml:space="preserve">بندی بدین گونه «از خواجه نصیر طوسی رحمه الله پرسیدند که چه فرمایی در حق دنیا؟ گفت: چگویم در حق چیزی که با محنت بدست آرند ... در خانه اگر کس است یک حرف بس است)</w:t>
      </w:r>
    </w:p>
    <w:p>
      <w:pPr>
        <w:pStyle w:val="BookText"/>
      </w:pPr>
      <w:r>
        <w:rPr>
          <w:rFonts w:ascii="IRNazanin" w:hAnsi="IRNazanin" w:eastAsia="IRNazanin" w:cs="IRNazanin"/>
          <w:lang w:bidi="fa-IR"/>
          <w:color w:val="111111"/>
          <w:sz w:val="28"/>
          <w:szCs w:val="28"/>
          <w:rtl/>
        </w:rPr>
        <w:t xml:space="preserve">تهران؛ دانشگاه؛ شماره نسخه: ۷۰۴۳/۱</w:t>
      </w:r>
    </w:p>
    <w:p>
      <w:pPr>
        <w:pStyle w:val="BookText"/>
      </w:pPr>
      <w:r>
        <w:rPr>
          <w:rFonts w:ascii="IRNazanin" w:hAnsi="IRNazanin" w:eastAsia="IRNazanin" w:cs="IRNazanin"/>
          <w:lang w:bidi="fa-IR"/>
          <w:color w:val="111111"/>
          <w:sz w:val="28"/>
          <w:szCs w:val="28"/>
          <w:rtl/>
        </w:rPr>
        <w:t xml:space="preserve">خط: نستعلیق، بی کا، تا: قرن ۱۱؛ کاغذ: سپاهانی، جلد: تیماج سبز ضربی مقوایی، ۳ ص، ۷۱ سطر (۱۲</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۴)، قطع: بياضي،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سم [ف: ۱۶-۴۳۷]</w:t>
      </w:r>
    </w:p>
    <w:p>
      <w:pPr>
        <w:pStyle w:val="Heading3"/>
      </w:pPr>
      <w:bookmarkStart w:id="1683" w:name="_Toc943"/>
      <w:r>
        <w:t>•پرسش از سعدی و پاسخ او / عرفان و تصوف / فارسی</w:t>
      </w:r>
      <w:bookmarkEnd w:id="1683"/>
    </w:p>
    <w:p>
      <w:pPr>
        <w:pStyle w:val="BookText"/>
      </w:pPr>
      <w:r>
        <w:rPr>
          <w:rFonts w:ascii="Times New Roman" w:hAnsi="Times New Roman" w:eastAsia="Times New Roman" w:cs="Times New Roman"/>
          <w:lang w:val="en-US" w:bidi="en-US"/>
          <w:color w:val="111111"/>
          <w:sz w:val="28"/>
          <w:szCs w:val="28"/>
          <w:rtl/>
        </w:rPr>
        <w:t xml:space="preserve">porseš az sa'dī va pāsox-e ū</w:t>
      </w:r>
    </w:p>
    <w:p>
      <w:pPr>
        <w:pStyle w:val="BookText"/>
      </w:pPr>
      <w:r>
        <w:rPr>
          <w:rFonts w:ascii="IRNazanin" w:hAnsi="IRNazanin" w:eastAsia="IRNazanin" w:cs="IRNazanin"/>
          <w:lang w:bidi="fa-IR"/>
          <w:color w:val="111111"/>
          <w:sz w:val="28"/>
          <w:szCs w:val="28"/>
          <w:rtl/>
        </w:rPr>
        <w:t xml:space="preserve">سعد الدين نطنزی، ق۷ قمری</w:t>
      </w:r>
    </w:p>
    <w:p>
      <w:pPr>
        <w:pStyle w:val="BookText"/>
      </w:pPr>
      <w:r>
        <w:rPr>
          <w:rFonts w:ascii="Times New Roman" w:hAnsi="Times New Roman" w:eastAsia="Times New Roman" w:cs="Times New Roman"/>
          <w:lang w:val="en-US" w:bidi="en-US"/>
          <w:color w:val="111111"/>
          <w:sz w:val="28"/>
          <w:szCs w:val="28"/>
          <w:rtl/>
        </w:rPr>
        <w:t xml:space="preserve">sa'd-od-dīn-e natanzī (- 13c)</w:t>
      </w:r>
    </w:p>
    <w:p>
      <w:pPr>
        <w:pStyle w:val="BookText"/>
      </w:pPr>
      <w:r>
        <w:rPr>
          <w:rFonts w:ascii="IRNazanin" w:hAnsi="IRNazanin" w:eastAsia="IRNazanin" w:cs="IRNazanin"/>
          <w:lang w:bidi="fa-IR"/>
          <w:color w:val="111111"/>
          <w:sz w:val="28"/>
          <w:szCs w:val="28"/>
          <w:rtl/>
        </w:rPr>
        <w:t xml:space="preserve">تهران؛ دانشگاه؛ شماره نسخه: ۱۹۵/۱۵۲ -ف</w:t>
      </w:r>
    </w:p>
    <w:p>
      <w:pPr>
        <w:pStyle w:val="BookText"/>
      </w:pPr>
      <w:r>
        <w:rPr>
          <w:rFonts w:ascii="IRNazanin" w:hAnsi="IRNazanin" w:eastAsia="IRNazanin" w:cs="IRNazanin"/>
          <w:lang w:bidi="fa-IR"/>
          <w:color w:val="111111"/>
          <w:sz w:val="28"/>
          <w:szCs w:val="28"/>
          <w:rtl/>
        </w:rPr>
        <w:t xml:space="preserve">نسخه اصل: حمديه ش ۱۴۴۷. پرسش او از ملک الحكماء سعدی شیرازی و پاسخ او؛ بی کا، تا: با تاریخ ۷۵۵ق؛ در هامش است. [فیلمها ف: ۱-۴۳۲]</w:t>
      </w:r>
    </w:p>
    <w:p>
      <w:pPr>
        <w:pStyle w:val="Heading3"/>
      </w:pPr>
      <w:bookmarkStart w:id="1684" w:name="_Toc944"/>
      <w:r>
        <w:t>• پرسش امیر مرتضی از سید نعمة الله کرمانی و</w:t>
      </w:r>
      <w:bookmarkEnd w:id="1684"/>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87" w:name="pg20363_209546"/>
    <w:bookmarkEnd w:id="287"/>
    <w:p>
      <w:pPr>
        <w:pStyle w:val="Heading3"/>
      </w:pPr>
      <w:bookmarkStart w:id="1685" w:name="_Toc945"/>
      <w:r>
        <w:t>•پاسخ او /عرفان و تصوف / فارسی</w:t>
      </w:r>
      <w:bookmarkEnd w:id="1685"/>
    </w:p>
    <w:p>
      <w:pPr>
        <w:pStyle w:val="BookText"/>
      </w:pPr>
      <w:r>
        <w:rPr>
          <w:rFonts w:ascii="Times New Roman" w:hAnsi="Times New Roman" w:eastAsia="Times New Roman" w:cs="Times New Roman"/>
          <w:lang w:val="en-US" w:bidi="en-US"/>
          <w:color w:val="111111"/>
          <w:sz w:val="28"/>
          <w:szCs w:val="28"/>
          <w:rtl/>
        </w:rPr>
        <w:t xml:space="preserve">porseš-e amīr morteza az seyyed ne'mat-ol-lāh-e kermānī va pāsox-e ū</w:t>
      </w:r>
    </w:p>
    <w:p>
      <w:pPr>
        <w:pStyle w:val="BookText"/>
      </w:pPr>
      <w:r>
        <w:rPr>
          <w:rFonts w:ascii="IRNazanin" w:hAnsi="IRNazanin" w:eastAsia="IRNazanin" w:cs="IRNazanin"/>
          <w:lang w:bidi="fa-IR"/>
          <w:color w:val="111111"/>
          <w:sz w:val="28"/>
          <w:szCs w:val="28"/>
          <w:rtl/>
        </w:rPr>
        <w:t xml:space="preserve">نعمة الله ولی، نعمة الله بن عبد الله، ۷۳۰؟ -۸۳۴ قمری</w:t>
      </w:r>
    </w:p>
    <w:p>
      <w:pPr>
        <w:pStyle w:val="BookText"/>
      </w:pPr>
      <w:r>
        <w:rPr>
          <w:rFonts w:ascii="Times New Roman" w:hAnsi="Times New Roman" w:eastAsia="Times New Roman" w:cs="Times New Roman"/>
          <w:lang w:val="en-US" w:bidi="en-US"/>
          <w:color w:val="111111"/>
          <w:sz w:val="28"/>
          <w:szCs w:val="28"/>
          <w:rtl/>
        </w:rPr>
        <w:t xml:space="preserve">ne'mat-ol-lāh-e valī, ne'mat-ol-lāh ebn-e “abd-ol-lāh (1330-1431)</w:t>
      </w:r>
    </w:p>
    <w:p>
      <w:pPr>
        <w:pStyle w:val="BookText"/>
      </w:pPr>
      <w:r>
        <w:rPr>
          <w:rFonts w:ascii="IRNazanin" w:hAnsi="IRNazanin" w:eastAsia="IRNazanin" w:cs="IRNazanin"/>
          <w:lang w:bidi="fa-IR"/>
          <w:color w:val="111111"/>
          <w:sz w:val="28"/>
          <w:szCs w:val="28"/>
          <w:rtl/>
        </w:rPr>
        <w:t xml:space="preserve">پرسش امیر مرتضی از سید نعمت الله [کرمانی و پاسخ او هر دو به نظم فارسی در نه بیت است.</w:t>
      </w:r>
    </w:p>
    <w:p>
      <w:pPr>
        <w:pStyle w:val="BookText"/>
      </w:pPr>
      <w:r>
        <w:rPr>
          <w:rFonts w:ascii="IRNazanin" w:hAnsi="IRNazanin" w:eastAsia="IRNazanin" w:cs="IRNazanin"/>
          <w:lang w:bidi="fa-IR"/>
          <w:color w:val="111111"/>
          <w:sz w:val="28"/>
          <w:szCs w:val="28"/>
          <w:rtl/>
        </w:rPr>
        <w:t xml:space="preserve">۱. تهران؛ مجلس؛ شماره نسخه: ۵۳۱/۲</w:t>
      </w:r>
    </w:p>
    <w:p>
      <w:pPr>
        <w:pStyle w:val="BookText"/>
      </w:pPr>
      <w:r>
        <w:rPr>
          <w:rFonts w:ascii="IRNazanin" w:hAnsi="IRNazanin" w:eastAsia="IRNazanin" w:cs="IRNazanin"/>
          <w:lang w:bidi="fa-IR"/>
          <w:color w:val="111111"/>
          <w:sz w:val="28"/>
          <w:szCs w:val="28"/>
          <w:rtl/>
        </w:rPr>
        <w:t xml:space="preserve">خط: نستعلیق، بی کا، تا: قرن ۱۰؛ کاغذ: سفید ترمه، جلد: مشکی مقوایی عطف تيماج قهوه ای، اص (۹۰پ)، ۲۳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۲۶/۵سم [سنا: ف: ۱-۳۳۵]</w:t>
      </w:r>
    </w:p>
    <w:p>
      <w:pPr>
        <w:pStyle w:val="BookText"/>
      </w:pPr>
      <w:r>
        <w:rPr>
          <w:rFonts w:ascii="IRNazanin" w:hAnsi="IRNazanin" w:eastAsia="IRNazanin" w:cs="IRNazanin"/>
          <w:lang w:bidi="fa-IR"/>
          <w:color w:val="111111"/>
          <w:sz w:val="28"/>
          <w:szCs w:val="28"/>
          <w:rtl/>
        </w:rPr>
        <w:t xml:space="preserve">تهران؛ دانشگاه؛ شماره نسخه: ۳۴۹۷/۲ - ف</w:t>
      </w:r>
    </w:p>
    <w:p>
      <w:pPr>
        <w:pStyle w:val="BookText"/>
      </w:pPr>
      <w:r>
        <w:rPr>
          <w:rFonts w:ascii="IRNazanin" w:hAnsi="IRNazanin" w:eastAsia="IRNazanin" w:cs="IRNazanin"/>
          <w:lang w:bidi="fa-IR"/>
          <w:color w:val="111111"/>
          <w:sz w:val="28"/>
          <w:szCs w:val="28"/>
          <w:rtl/>
        </w:rPr>
        <w:t xml:space="preserve">نسخه اصل: همان نسخه بالا [فیلمها ف: ۲-۱۵۳]</w:t>
      </w:r>
    </w:p>
    <w:p>
      <w:pPr>
        <w:pStyle w:val="BookText"/>
      </w:pPr>
      <w:r>
        <w:rPr>
          <w:rFonts w:ascii="IRNazanin" w:hAnsi="IRNazanin" w:eastAsia="IRNazanin" w:cs="IRNazanin"/>
          <w:lang w:bidi="fa-IR"/>
          <w:color w:val="111111"/>
          <w:sz w:val="28"/>
          <w:szCs w:val="28"/>
          <w:rtl/>
        </w:rPr>
        <w:t xml:space="preserve">۲. تهران؛ ملک، شماره نسخه: ۴۲۶۲/۷۰</w:t>
      </w:r>
    </w:p>
    <w:p>
      <w:pPr>
        <w:pStyle w:val="BookText"/>
      </w:pPr>
      <w:r>
        <w:rPr>
          <w:rFonts w:ascii="IRNazanin" w:hAnsi="IRNazanin" w:eastAsia="IRNazanin" w:cs="IRNazanin"/>
          <w:lang w:bidi="fa-IR"/>
          <w:color w:val="111111"/>
          <w:sz w:val="28"/>
          <w:szCs w:val="28"/>
          <w:rtl/>
        </w:rPr>
        <w:t xml:space="preserve">خط: نستعلیق، كا: میر غلام محی الدین، بی تا، کاغذ: ترمه، جلد: رویه میشن قهوه ای ضربی، اگ (۳۶۳پ)،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۶۷۷-۴ ]</w:t>
      </w:r>
    </w:p>
    <w:p>
      <w:pPr>
        <w:pStyle w:val="Heading3"/>
      </w:pPr>
      <w:bookmarkStart w:id="1686" w:name="_Toc946"/>
      <w:r>
        <w:t>• پرسش بوذرجمهر از استادش / اخلاق / فارسی</w:t>
      </w:r>
      <w:bookmarkEnd w:id="1686"/>
    </w:p>
    <w:p>
      <w:pPr>
        <w:pStyle w:val="BookText"/>
      </w:pPr>
      <w:r>
        <w:rPr>
          <w:rFonts w:ascii="Times New Roman" w:hAnsi="Times New Roman" w:eastAsia="Times New Roman" w:cs="Times New Roman"/>
          <w:lang w:val="en-US" w:bidi="en-US"/>
          <w:color w:val="111111"/>
          <w:sz w:val="28"/>
          <w:szCs w:val="28"/>
          <w:rtl/>
        </w:rPr>
        <w:t xml:space="preserve">porseš-e būzarjomehr az ostād-aš</w:t>
      </w:r>
    </w:p>
    <w:p>
      <w:pPr>
        <w:pStyle w:val="BookText"/>
      </w:pPr>
      <w:r>
        <w:rPr>
          <w:rFonts w:ascii="IRNazanin" w:hAnsi="IRNazanin" w:eastAsia="IRNazanin" w:cs="IRNazanin"/>
          <w:lang w:bidi="fa-IR"/>
          <w:color w:val="111111"/>
          <w:sz w:val="28"/>
          <w:szCs w:val="28"/>
          <w:rtl/>
        </w:rPr>
        <w:t xml:space="preserve">بزرگمهر</w:t>
      </w:r>
    </w:p>
    <w:p>
      <w:pPr>
        <w:pStyle w:val="BookText"/>
      </w:pPr>
      <w:r>
        <w:rPr>
          <w:rFonts w:ascii="Times New Roman" w:hAnsi="Times New Roman" w:eastAsia="Times New Roman" w:cs="Times New Roman"/>
          <w:lang w:val="en-US" w:bidi="en-US"/>
          <w:color w:val="111111"/>
          <w:sz w:val="28"/>
          <w:szCs w:val="28"/>
          <w:rtl/>
        </w:rPr>
        <w:t xml:space="preserve">bozorgmehr</w:t>
      </w:r>
    </w:p>
    <w:p>
      <w:pPr>
        <w:pStyle w:val="BookText"/>
      </w:pPr>
      <w:r>
        <w:rPr>
          <w:rFonts w:ascii="IRNazanin" w:hAnsi="IRNazanin" w:eastAsia="IRNazanin" w:cs="IRNazanin"/>
          <w:lang w:bidi="fa-IR"/>
          <w:color w:val="111111"/>
          <w:sz w:val="28"/>
          <w:szCs w:val="28"/>
          <w:rtl/>
        </w:rPr>
        <w:t xml:space="preserve">تهران؛ مجلس؛ شماره نسخه: ۹۴۶۶/۱۷۶</w:t>
      </w:r>
    </w:p>
    <w:p>
      <w:pPr>
        <w:pStyle w:val="BookText"/>
      </w:pPr>
      <w:r>
        <w:rPr>
          <w:rFonts w:ascii="IRNazanin" w:hAnsi="IRNazanin" w:eastAsia="IRNazanin" w:cs="IRNazanin"/>
          <w:lang w:bidi="fa-IR"/>
          <w:color w:val="111111"/>
          <w:sz w:val="28"/>
          <w:szCs w:val="28"/>
          <w:rtl/>
        </w:rPr>
        <w:t xml:space="preserve">به نقل از نگارستان معین الدین جوینی؛ خط: نستعلیق، كا: نظام الدین احمد طبيب غفاری مازندرانی، تا: صفر ۱۰۴۰ق؛ اص (۳۷۲ - همان) [مختصر ف: ۱۱۹]</w:t>
      </w:r>
    </w:p>
    <w:p>
      <w:pPr>
        <w:pStyle w:val="Heading3"/>
      </w:pPr>
      <w:bookmarkStart w:id="1687" w:name="_Toc947"/>
      <w:r>
        <w:t>• پرسش زرتشت / شعر / فارسی</w:t>
      </w:r>
      <w:bookmarkEnd w:id="1687"/>
    </w:p>
    <w:p>
      <w:pPr>
        <w:pStyle w:val="BookText"/>
      </w:pPr>
      <w:r>
        <w:rPr>
          <w:rFonts w:ascii="Times New Roman" w:hAnsi="Times New Roman" w:eastAsia="Times New Roman" w:cs="Times New Roman"/>
          <w:lang w:val="en-US" w:bidi="en-US"/>
          <w:color w:val="111111"/>
          <w:sz w:val="28"/>
          <w:szCs w:val="28"/>
          <w:rtl/>
        </w:rPr>
        <w:t xml:space="preserve">porseš-e zartošt</w:t>
      </w:r>
    </w:p>
    <w:p>
      <w:pPr>
        <w:pStyle w:val="BookText"/>
      </w:pPr>
      <w:r>
        <w:rPr>
          <w:rFonts w:ascii="IRNazanin" w:hAnsi="IRNazanin" w:eastAsia="IRNazanin" w:cs="IRNazanin"/>
          <w:lang w:bidi="fa-IR"/>
          <w:color w:val="111111"/>
          <w:sz w:val="28"/>
          <w:szCs w:val="28"/>
          <w:rtl/>
        </w:rPr>
        <w:t xml:space="preserve">پرسش زرتشت از جهت یوزد اثر کر و برشنوم و پاسخ یزدان از فر کرد نهم از روایت بهمن پونجيه</w:t>
      </w:r>
    </w:p>
    <w:p>
      <w:pPr>
        <w:pStyle w:val="BookText"/>
      </w:pPr>
      <w:r>
        <w:rPr>
          <w:rFonts w:ascii="IRNazanin" w:hAnsi="IRNazanin" w:eastAsia="IRNazanin" w:cs="IRNazanin"/>
          <w:lang w:bidi="fa-IR"/>
          <w:color w:val="111111"/>
          <w:sz w:val="28"/>
          <w:szCs w:val="28"/>
          <w:rtl/>
        </w:rPr>
        <w:t xml:space="preserve">تهران؛ مجلس؛ شماره نسخه: ۱۳۷۴۱/۳</w:t>
      </w:r>
    </w:p>
    <w:p>
      <w:pPr>
        <w:pStyle w:val="BookText"/>
      </w:pPr>
      <w:r>
        <w:rPr>
          <w:rFonts w:ascii="IRNazanin" w:hAnsi="IRNazanin" w:eastAsia="IRNazanin" w:cs="IRNazanin"/>
          <w:lang w:bidi="fa-IR"/>
          <w:color w:val="111111"/>
          <w:sz w:val="28"/>
          <w:szCs w:val="28"/>
          <w:rtl/>
        </w:rPr>
        <w:t xml:space="preserve">آغاز: بپرسید زرتشت از غیبدان*** که ای دادگستر خدای جهان / بخواهم که دانم همه رازها***یکایک بگویم همه خلق را؛ انجام: اگر نام کاتب بخواهی بدان </w:t>
      </w:r>
      <w:r>
        <w:rPr>
          <w:rFonts w:ascii="IRNazanin" w:hAnsi="IRNazanin" w:eastAsia="IRNazanin" w:cs="IRNazanin"/>
          <w:lang w:bidi="fa-IR"/>
          <w:color w:val="111111"/>
          <w:sz w:val="28"/>
          <w:szCs w:val="28"/>
          <w:b w:val="1"/>
          <w:bCs w:val="1"/>
          <w:i w:val="1"/>
          <w:iCs w:val="1"/>
          <w:rtl/>
        </w:rPr>
        <w:t xml:space="preserve">انوشیروان پوران مرزبان / انوشیروان کرد این را به نظم</w:t>
      </w:r>
      <w:r>
        <w:rPr>
          <w:rFonts w:ascii="IRNazanin" w:hAnsi="IRNazanin" w:eastAsia="IRNazanin" w:cs="IRNazanin"/>
          <w:lang w:bidi="fa-IR"/>
          <w:color w:val="111111"/>
          <w:sz w:val="28"/>
          <w:szCs w:val="28"/>
          <w:rtl/>
        </w:rPr>
        <w:t xml:space="preserve"> که خلقان بخوانند یا بند بزم خط: نسخ، كا: فریدون بن مرزبان، تا: ۱۱ بهمن ماه الهی ۹۹۶ یزدجرد بن شهریار سنه ۱۰۳۶ق؛ جلد: پارچه ای (برزنت) مشکی عطف و گوشته تیماج، ۶گ (۱۳۱ر -۱۳۱۶) [ف: ۳۷-۲۷۲]</w:t>
      </w:r>
    </w:p>
    <w:p>
      <w:pPr>
        <w:pStyle w:val="Heading3"/>
      </w:pPr>
      <w:bookmarkStart w:id="1688" w:name="_Toc948"/>
      <w:r>
        <w:t>• پرسش شیخ ابو علی / فقه / عربی</w:t>
      </w:r>
      <w:bookmarkEnd w:id="1688"/>
    </w:p>
    <w:p>
      <w:pPr>
        <w:pStyle w:val="BookText"/>
      </w:pPr>
      <w:r>
        <w:rPr>
          <w:rFonts w:ascii="Times New Roman" w:hAnsi="Times New Roman" w:eastAsia="Times New Roman" w:cs="Times New Roman"/>
          <w:lang w:val="en-US" w:bidi="en-US"/>
          <w:color w:val="111111"/>
          <w:sz w:val="28"/>
          <w:szCs w:val="28"/>
          <w:rtl/>
        </w:rPr>
        <w:t xml:space="preserve">porseš-e šeyx abū- alī</w:t>
      </w:r>
    </w:p>
    <w:p>
      <w:pPr>
        <w:pStyle w:val="BookText"/>
      </w:pPr>
      <w:r>
        <w:rPr>
          <w:rFonts w:ascii="IRNazanin" w:hAnsi="IRNazanin" w:eastAsia="IRNazanin" w:cs="IRNazanin"/>
          <w:lang w:bidi="fa-IR"/>
          <w:color w:val="111111"/>
          <w:sz w:val="28"/>
          <w:szCs w:val="28"/>
          <w:rtl/>
        </w:rPr>
        <w:t xml:space="preserve">پرسشی است که شیخ ابو علی پرسیده و پاسخی در اینجا دیده نمی شود: «صورة ما استفتاء عنى الحبر الوفي الشيخ ابو على وفقه الله تعالى: هو الحكم العدل. ما قول مدعية الاقتصار على العمل بالاخبار في الخبر الوارد عن الصادق ع في امرة ليس لها الأقمیص و لها مولود فيبول عليها و قوله .. تغسل القميص في اليوم مرة فهل يقتصرون على امرءة ام يعمون الحكم ... و مع فقده يجب الوقوف على ظاهره انتهى صورة الخط».</w:t>
      </w:r>
    </w:p>
    <w:p>
      <w:pPr>
        <w:pStyle w:val="BookText"/>
      </w:pPr>
      <w:r>
        <w:rPr>
          <w:rFonts w:ascii="IRNazanin" w:hAnsi="IRNazanin" w:eastAsia="IRNazanin" w:cs="IRNazanin"/>
          <w:lang w:bidi="fa-IR"/>
          <w:color w:val="111111"/>
          <w:sz w:val="28"/>
          <w:szCs w:val="28"/>
          <w:rtl/>
        </w:rPr>
        <w:t xml:space="preserve">تهران، دانشگاه؛ شماره نسخه: ۹۲۲/۱۸</w:t>
      </w:r>
    </w:p>
    <w:p>
      <w:pPr>
        <w:pStyle w:val="BookText"/>
      </w:pPr>
      <w:r>
        <w:rPr>
          <w:rFonts w:ascii="IRNazanin" w:hAnsi="IRNazanin" w:eastAsia="IRNazanin" w:cs="IRNazanin"/>
          <w:lang w:bidi="fa-IR"/>
          <w:color w:val="111111"/>
          <w:sz w:val="28"/>
          <w:szCs w:val="28"/>
          <w:rtl/>
        </w:rPr>
        <w:t xml:space="preserve">خط: نستعلیق، بی کا، بی تا، کاغذ: فرنگی، جلد: تیماج زرد ضربی مقوایی، ۲گ (۱۵۴پ -۱۵۵ر)، ۱۷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۵-۱۶۹۲]</w:t>
      </w:r>
    </w:p>
    <w:p>
      <w:pPr>
        <w:pStyle w:val="Heading3"/>
      </w:pPr>
      <w:bookmarkStart w:id="1689" w:name="_Toc949"/>
      <w:r>
        <w:t>•/ عرفان و تصوف / فارسی</w:t>
      </w:r>
      <w:bookmarkEnd w:id="1689"/>
    </w:p>
    <w:p>
      <w:pPr>
        <w:pStyle w:val="BookText"/>
      </w:pPr>
      <w:r>
        <w:rPr>
          <w:rFonts w:ascii="Times New Roman" w:hAnsi="Times New Roman" w:eastAsia="Times New Roman" w:cs="Times New Roman"/>
          <w:lang w:val="en-US" w:bidi="en-US"/>
          <w:color w:val="111111"/>
          <w:sz w:val="28"/>
          <w:szCs w:val="28"/>
          <w:rtl/>
        </w:rPr>
        <w:t xml:space="preserve">porses-e erfani</w:t>
      </w:r>
    </w:p>
    <w:p>
      <w:pPr>
        <w:pStyle w:val="BookText"/>
      </w:pPr>
      <w:r>
        <w:rPr>
          <w:rFonts w:ascii="IRNazanin" w:hAnsi="IRNazanin" w:eastAsia="IRNazanin" w:cs="IRNazanin"/>
          <w:lang w:bidi="fa-IR"/>
          <w:color w:val="111111"/>
          <w:sz w:val="28"/>
          <w:szCs w:val="28"/>
          <w:rtl/>
        </w:rPr>
        <w:t xml:space="preserve">تهران؛ دانشگاه؛ شماره نسخه: ۴۷۲/۶</w:t>
      </w:r>
    </w:p>
    <w:p>
      <w:pPr>
        <w:pStyle w:val="BookText"/>
      </w:pPr>
      <w:r>
        <w:rPr>
          <w:rFonts w:ascii="IRNazanin" w:hAnsi="IRNazanin" w:eastAsia="IRNazanin" w:cs="IRNazanin"/>
          <w:lang w:bidi="fa-IR"/>
          <w:color w:val="111111"/>
          <w:sz w:val="28"/>
          <w:szCs w:val="28"/>
          <w:rtl/>
        </w:rPr>
        <w:t xml:space="preserve">-ف نسخه اصل: ملت افندی علی امیری ش ۱۰۱۷؛ خط: نستعلیق، بی کا، تا: ۸۵۵ق؛ ۲گی (۲۷ر -۲۸پ) [فیلمها ف: ۱-۴۸۷]</w:t>
      </w:r>
    </w:p>
    <w:p>
      <w:pPr>
        <w:pStyle w:val="Heading3"/>
      </w:pPr>
      <w:bookmarkStart w:id="1690" w:name="_Toc950"/>
      <w:r>
        <w:t>•پرسش کسری و پاسخ ارسطو / اخلاق / فارسی</w:t>
      </w:r>
      <w:bookmarkEnd w:id="1690"/>
    </w:p>
    <w:p>
      <w:pPr>
        <w:pStyle w:val="BookText"/>
      </w:pPr>
      <w:r>
        <w:rPr>
          <w:rFonts w:ascii="Times New Roman" w:hAnsi="Times New Roman" w:eastAsia="Times New Roman" w:cs="Times New Roman"/>
          <w:lang w:val="en-US" w:bidi="en-US"/>
          <w:color w:val="111111"/>
          <w:sz w:val="28"/>
          <w:szCs w:val="28"/>
          <w:rtl/>
        </w:rPr>
        <w:t xml:space="preserve">porses-e kasrā va pāsox-e arastā</w:t>
      </w:r>
    </w:p>
    <w:p>
      <w:pPr>
        <w:pStyle w:val="BookText"/>
      </w:pPr>
      <w:r>
        <w:rPr>
          <w:rFonts w:ascii="IRNazanin" w:hAnsi="IRNazanin" w:eastAsia="IRNazanin" w:cs="IRNazanin"/>
          <w:lang w:bidi="fa-IR"/>
          <w:color w:val="111111"/>
          <w:sz w:val="28"/>
          <w:szCs w:val="28"/>
          <w:rtl/>
        </w:rPr>
        <w:t xml:space="preserve">از ناشناسی که پس از دیباچه کوتاه آن می گوید: این رساله در پرسش شاه کسری و پاسخ ارسطو در بر گیرنده شرایطی چند که بزرگان را بدان حاجت و منفعت می یابند. (احمد منزوی)</w:t>
      </w:r>
    </w:p>
    <w:p>
      <w:pPr>
        <w:pStyle w:val="BookText"/>
      </w:pPr>
      <w:r>
        <w:rPr>
          <w:rFonts w:ascii="IRNazanin" w:hAnsi="IRNazanin" w:eastAsia="IRNazanin" w:cs="IRNazanin"/>
          <w:lang w:bidi="fa-IR"/>
          <w:color w:val="111111"/>
          <w:sz w:val="28"/>
          <w:szCs w:val="28"/>
          <w:rtl/>
        </w:rPr>
        <w:t xml:space="preserve">فهرستواره منزوی ۴۲۱/۱۰ ]</w:t>
      </w:r>
    </w:p>
    <w:p>
      <w:pPr>
        <w:pStyle w:val="BookText"/>
      </w:pPr>
      <w:r>
        <w:rPr>
          <w:rFonts w:ascii="IRNazanin" w:hAnsi="IRNazanin" w:eastAsia="IRNazanin" w:cs="IRNazanin"/>
          <w:lang w:bidi="fa-IR"/>
          <w:color w:val="111111"/>
          <w:sz w:val="28"/>
          <w:szCs w:val="28"/>
          <w:rtl/>
        </w:rPr>
        <w:t xml:space="preserve">رشت؛ جمعیت نشر فرهنگ؛ شماره نسخه: ۱۲۶/۲</w:t>
      </w:r>
    </w:p>
    <w:p>
      <w:pPr>
        <w:pStyle w:val="BookText"/>
      </w:pPr>
      <w:r>
        <w:rPr>
          <w:rFonts w:ascii="IRNazanin" w:hAnsi="IRNazanin" w:eastAsia="IRNazanin" w:cs="IRNazanin"/>
          <w:lang w:bidi="fa-IR"/>
          <w:color w:val="111111"/>
          <w:sz w:val="28"/>
          <w:szCs w:val="28"/>
          <w:rtl/>
        </w:rPr>
        <w:t xml:space="preserve">خ آغاز: بسمله تبارک و تعالی. بدانکه این رساله ایست که پادشاه کسری سوال کرد از حکیم ارسطو در باب شرایطی چند که بزرگان را بدان حاجت و منفعت می یابند بنابراین نظم شد تا بفهم نزدیک تر آید. بدان ای هنرمند نیکوسیر ۸۸ که ... خیری رسانی از شر / که در دوری کسری که او شاه بود</w:t>
      </w:r>
      <w:r>
        <w:rPr>
          <w:rFonts w:ascii="IRNazanin" w:hAnsi="IRNazanin" w:eastAsia="IRNazanin" w:cs="IRNazanin"/>
          <w:lang w:bidi="fa-IR"/>
          <w:color w:val="111111"/>
          <w:sz w:val="28"/>
          <w:szCs w:val="28"/>
          <w:b w:val="1"/>
          <w:bCs w:val="1"/>
          <w:i w:val="1"/>
          <w:iCs w:val="1"/>
          <w:rtl/>
        </w:rPr>
        <w:t xml:space="preserve">زهر نیک و بد جانش آگاه بود / مر اورا اگر زحمتی رخ نمود</w:t>
      </w:r>
      <w:r>
        <w:rPr>
          <w:rFonts w:ascii="IRNazanin" w:hAnsi="IRNazanin" w:eastAsia="IRNazanin" w:cs="IRNazanin"/>
          <w:lang w:bidi="fa-IR"/>
          <w:color w:val="111111"/>
          <w:sz w:val="28"/>
          <w:szCs w:val="28"/>
          <w:rtl/>
        </w:rPr>
        <w:t xml:space="preserve"> که آسان طریق علاجش نبود؛ انجام: زنی کر نزاید ز فرزند هیچ*** مر او را مبين آرزو به هیچ / بشوره زمین تخم آدم مکار***که شوره زمین ناورد هیچ بار</w:t>
      </w:r>
    </w:p>
    <w:p>
      <w:pPr>
        <w:pStyle w:val="BookText"/>
      </w:pPr>
      <w:r>
        <w:rPr>
          <w:rFonts w:ascii="IRNazanin" w:hAnsi="IRNazanin" w:eastAsia="IRNazanin" w:cs="IRNazanin"/>
          <w:lang w:bidi="fa-IR"/>
          <w:color w:val="111111"/>
          <w:sz w:val="28"/>
          <w:szCs w:val="28"/>
          <w:rtl/>
        </w:rPr>
        <w:t xml:space="preserve">خط: نستعلیق، بی کا، تا: قرن ۱۳ [رشت و همدان: ف: ۱۲۰۴]</w:t>
      </w:r>
    </w:p>
    <w:p>
      <w:pPr>
        <w:pStyle w:val="Heading3"/>
      </w:pPr>
      <w:bookmarkStart w:id="1691" w:name="_Toc951"/>
      <w:r>
        <w:t>• پرسش مأمون از برادران بنی موسی درباره گردش کره زمین / ستاره شناسی / عربی</w:t>
      </w:r>
      <w:bookmarkEnd w:id="1691"/>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88" w:name="pg20363_209547"/>
    <w:bookmarkEnd w:id="288"/>
    <w:p>
      <w:pPr>
        <w:pStyle w:val="BookText"/>
      </w:pPr>
      <w:r>
        <w:rPr>
          <w:rFonts w:ascii="Times New Roman" w:hAnsi="Times New Roman" w:eastAsia="Times New Roman" w:cs="Times New Roman"/>
          <w:lang w:val="en-US" w:bidi="en-US"/>
          <w:color w:val="111111"/>
          <w:sz w:val="28"/>
          <w:szCs w:val="28"/>
          <w:rtl/>
        </w:rPr>
        <w:t xml:space="preserve">porseš-e ma’mūn az barādarān-e banī mūsā darbāre-ye</w:t>
      </w:r>
    </w:p>
    <w:p>
      <w:pPr>
        <w:pStyle w:val="BookText"/>
      </w:pPr>
      <w:r>
        <w:rPr>
          <w:rFonts w:ascii="Times New Roman" w:hAnsi="Times New Roman" w:eastAsia="Times New Roman" w:cs="Times New Roman"/>
          <w:lang w:val="en-US" w:bidi="en-US"/>
          <w:color w:val="111111"/>
          <w:sz w:val="28"/>
          <w:szCs w:val="28"/>
          <w:rtl/>
        </w:rPr>
        <w:t xml:space="preserve">gardeš-e kore zamīn</w:t>
      </w:r>
    </w:p>
    <w:p>
      <w:pPr>
        <w:pStyle w:val="BookText"/>
      </w:pPr>
      <w:r>
        <w:rPr>
          <w:rFonts w:ascii="IRNazanin" w:hAnsi="IRNazanin" w:eastAsia="IRNazanin" w:cs="IRNazanin"/>
          <w:lang w:bidi="fa-IR"/>
          <w:color w:val="111111"/>
          <w:sz w:val="28"/>
          <w:szCs w:val="28"/>
          <w:rtl/>
        </w:rPr>
        <w:t xml:space="preserve">تهران؛ مجلس؛ شماره نسخه: ۸۸۲۵/۲۶</w:t>
      </w:r>
    </w:p>
    <w:p>
      <w:pPr>
        <w:pStyle w:val="BookText"/>
      </w:pPr>
      <w:r>
        <w:rPr>
          <w:rFonts w:ascii="IRNazanin" w:hAnsi="IRNazanin" w:eastAsia="IRNazanin" w:cs="IRNazanin"/>
          <w:lang w:bidi="fa-IR"/>
          <w:color w:val="111111"/>
          <w:sz w:val="28"/>
          <w:szCs w:val="28"/>
          <w:rtl/>
        </w:rPr>
        <w:t xml:space="preserve">خط: نستعلیق، کا: سید محمد طباطبایی طبیب یزدی، تا: با تاریخ ۱۲۸۶ق، جا: درالخلافه تهران؛ کاغذ: فرنگی نخودی آهارمهره، جلد: میشین قهوه ای مجدول، اگ (۱۰۴ر)، اندازه:</w:t>
      </w:r>
    </w:p>
    <w:p>
      <w:pPr>
        <w:pStyle w:val="BookText"/>
      </w:pPr>
      <w:r>
        <w:rPr>
          <w:rFonts w:ascii="IRNazanin" w:hAnsi="IRNazanin" w:eastAsia="IRNazanin" w:cs="IRNazanin"/>
          <w:lang w:bidi="fa-IR"/>
          <w:color w:val="111111"/>
          <w:sz w:val="28"/>
          <w:szCs w:val="28"/>
          <w:rtl/>
        </w:rPr>
        <w:t xml:space="preserve">۳۵/۳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۲۹/۱ -۶۰]</w:t>
      </w:r>
    </w:p>
    <w:p>
      <w:pPr>
        <w:pStyle w:val="Heading3"/>
      </w:pPr>
      <w:bookmarkStart w:id="1692" w:name="_Toc952"/>
      <w:r>
        <w:t>•پرسش محمد ولی میرزا / پاسخ پرسش ها / فارسی</w:t>
      </w:r>
      <w:bookmarkEnd w:id="1692"/>
    </w:p>
    <w:p>
      <w:pPr>
        <w:pStyle w:val="BookText"/>
      </w:pPr>
      <w:r>
        <w:rPr>
          <w:rFonts w:ascii="Times New Roman" w:hAnsi="Times New Roman" w:eastAsia="Times New Roman" w:cs="Times New Roman"/>
          <w:lang w:val="en-US" w:bidi="en-US"/>
          <w:color w:val="111111"/>
          <w:sz w:val="28"/>
          <w:szCs w:val="28"/>
          <w:rtl/>
        </w:rPr>
        <w:t xml:space="preserve">porseš-e mohammad valī mīrzā</w:t>
      </w:r>
    </w:p>
    <w:p>
      <w:pPr>
        <w:pStyle w:val="BookText"/>
      </w:pPr>
      <w:r>
        <w:rPr>
          <w:rFonts w:ascii="IRNazanin" w:hAnsi="IRNazanin" w:eastAsia="IRNazanin" w:cs="IRNazanin"/>
          <w:lang w:bidi="fa-IR"/>
          <w:color w:val="111111"/>
          <w:sz w:val="28"/>
          <w:szCs w:val="28"/>
          <w:rtl/>
        </w:rPr>
        <w:t xml:space="preserve">پرسش محمد ولی میرزا و پاسخ او از آقا ابو محمد مشهدی، پسر شیخ حسین عاملی. نام پرسش کننده در نسخه سفید مانده است. هفت نامه است و در هریک چند پرسش و پاسخ</w:t>
      </w:r>
    </w:p>
    <w:p>
      <w:pPr>
        <w:pStyle w:val="BookText"/>
      </w:pPr>
      <w:r>
        <w:rPr>
          <w:rFonts w:ascii="IRNazanin" w:hAnsi="IRNazanin" w:eastAsia="IRNazanin" w:cs="IRNazanin"/>
          <w:lang w:bidi="fa-IR"/>
          <w:color w:val="111111"/>
          <w:sz w:val="28"/>
          <w:szCs w:val="28"/>
          <w:rtl/>
        </w:rPr>
        <w:t xml:space="preserve">تهران؛ ملک؛ شماره نسخه: ۳۲۴۰/۱۲</w:t>
      </w:r>
    </w:p>
    <w:p>
      <w:pPr>
        <w:pStyle w:val="BookText"/>
      </w:pPr>
      <w:r>
        <w:rPr>
          <w:rFonts w:ascii="IRNazanin" w:hAnsi="IRNazanin" w:eastAsia="IRNazanin" w:cs="IRNazanin"/>
          <w:lang w:bidi="fa-IR"/>
          <w:color w:val="111111"/>
          <w:sz w:val="28"/>
          <w:szCs w:val="28"/>
          <w:rtl/>
        </w:rPr>
        <w:t xml:space="preserve">آغاز: بسمله، در بیان سئوالاتی که سر کار نواب مستطاب ... از جناب آقا ابو محمد مشهدی فرموده اند ... سئوال چه می فرمایند آیا طالع جلوس ولایت را هم طالع تحویل می باشد، که شمس وقتی که برسد بموضع وقت جلوس؛ انجام: بر موضع کسوف و خسوف و غیره. تمت، هو المستعان خط: نسخ، بی کا، بی تا؛ مجدول؛ کاغذ: پسته ای، جلد: رویه میشن سیاه ضربی، وگ (۲۰۸ر -۲۱۶پ)، ۲۱ سطر، اندازه: ۱۵/۴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۶-۳۲۳]</w:t>
      </w:r>
    </w:p>
    <w:p>
      <w:pPr>
        <w:pStyle w:val="BookText"/>
      </w:pPr>
      <w:r>
        <w:rPr>
          <w:rFonts w:ascii="IRNazanin" w:hAnsi="IRNazanin" w:eastAsia="IRNazanin" w:cs="IRNazanin"/>
          <w:lang w:bidi="fa-IR"/>
          <w:color w:val="111111"/>
          <w:sz w:val="28"/>
          <w:szCs w:val="28"/>
          <w:rtl/>
        </w:rPr>
        <w:t xml:space="preserve">←پرسش و پاسخ ← اسکندریه</w:t>
      </w:r>
    </w:p>
    <w:p>
      <w:pPr>
        <w:pStyle w:val="BookText"/>
      </w:pPr>
      <w:r>
        <w:rPr>
          <w:rFonts w:ascii="IRNazanin" w:hAnsi="IRNazanin" w:eastAsia="IRNazanin" w:cs="IRNazanin"/>
          <w:lang w:bidi="fa-IR"/>
          <w:color w:val="111111"/>
          <w:sz w:val="28"/>
          <w:szCs w:val="28"/>
          <w:rtl/>
        </w:rPr>
        <w:t xml:space="preserve">← پرسش و پاسخ ← لعان</w:t>
      </w:r>
    </w:p>
    <w:p>
      <w:pPr>
        <w:pStyle w:val="BookText"/>
      </w:pPr>
      <w:r>
        <w:rPr>
          <w:rFonts w:ascii="IRNazanin" w:hAnsi="IRNazanin" w:eastAsia="IRNazanin" w:cs="IRNazanin"/>
          <w:lang w:bidi="fa-IR"/>
          <w:color w:val="111111"/>
          <w:sz w:val="28"/>
          <w:szCs w:val="28"/>
          <w:rtl/>
        </w:rPr>
        <w:t xml:space="preserve">←پرسش و پاسخ ← فالنامه</w:t>
      </w:r>
    </w:p>
    <w:p>
      <w:pPr>
        <w:pStyle w:val="BookText"/>
      </w:pPr>
      <w:r>
        <w:rPr>
          <w:rFonts w:ascii="IRNazanin" w:hAnsi="IRNazanin" w:eastAsia="IRNazanin" w:cs="IRNazanin"/>
          <w:lang w:bidi="fa-IR"/>
          <w:color w:val="111111"/>
          <w:sz w:val="28"/>
          <w:szCs w:val="28"/>
          <w:rtl/>
        </w:rPr>
        <w:t xml:space="preserve">←پرسش و پاسخ ← اجوبة المسائل</w:t>
      </w:r>
    </w:p>
    <w:p>
      <w:pPr>
        <w:pStyle w:val="BookText"/>
      </w:pPr>
      <w:r>
        <w:rPr>
          <w:rFonts w:ascii="IRNazanin" w:hAnsi="IRNazanin" w:eastAsia="IRNazanin" w:cs="IRNazanin"/>
          <w:lang w:bidi="fa-IR"/>
          <w:color w:val="111111"/>
          <w:sz w:val="28"/>
          <w:szCs w:val="28"/>
          <w:rtl/>
        </w:rPr>
        <w:t xml:space="preserve">←پرسش و پاسخ ← علت آفرینش</w:t>
      </w:r>
    </w:p>
    <w:p>
      <w:pPr>
        <w:pStyle w:val="BookText"/>
      </w:pPr>
      <w:r>
        <w:rPr>
          <w:rFonts w:ascii="IRNazanin" w:hAnsi="IRNazanin" w:eastAsia="IRNazanin" w:cs="IRNazanin"/>
          <w:lang w:bidi="fa-IR"/>
          <w:color w:val="111111"/>
          <w:sz w:val="28"/>
          <w:szCs w:val="28"/>
          <w:rtl/>
        </w:rPr>
        <w:t xml:space="preserve">← پرسش و پاسخ ← مناظره میرزا یوسف علی</w:t>
      </w:r>
    </w:p>
    <w:p>
      <w:pPr>
        <w:pStyle w:val="Heading3"/>
      </w:pPr>
      <w:bookmarkStart w:id="1693" w:name="_Toc953"/>
      <w:r>
        <w:t>• پرسش و پاسخ / پاسخ پرسش ها، اخلاق / فارسی</w:t>
      </w:r>
      <w:bookmarkEnd w:id="1693"/>
    </w:p>
    <w:p>
      <w:pPr>
        <w:pStyle w:val="BookText"/>
      </w:pPr>
      <w:r>
        <w:rPr>
          <w:rFonts w:ascii="Times New Roman" w:hAnsi="Times New Roman" w:eastAsia="Times New Roman" w:cs="Times New Roman"/>
          <w:lang w:val="en-US" w:bidi="en-US"/>
          <w:color w:val="111111"/>
          <w:sz w:val="28"/>
          <w:szCs w:val="28"/>
          <w:rtl/>
        </w:rPr>
        <w:t xml:space="preserve">porseš va pāsox</w:t>
      </w:r>
    </w:p>
    <w:p>
      <w:pPr>
        <w:pStyle w:val="BookText"/>
      </w:pPr>
      <w:r>
        <w:rPr>
          <w:rFonts w:ascii="IRNazanin" w:hAnsi="IRNazanin" w:eastAsia="IRNazanin" w:cs="IRNazanin"/>
          <w:lang w:bidi="fa-IR"/>
          <w:color w:val="111111"/>
          <w:sz w:val="28"/>
          <w:szCs w:val="28"/>
          <w:rtl/>
        </w:rPr>
        <w:t xml:space="preserve">غزالی، محمد بن محمد، ۴۵۰-۵۰۵ قمری</w:t>
      </w:r>
    </w:p>
    <w:p>
      <w:pPr>
        <w:pStyle w:val="BookText"/>
      </w:pPr>
      <w:r>
        <w:rPr>
          <w:rFonts w:ascii="Times New Roman" w:hAnsi="Times New Roman" w:eastAsia="Times New Roman" w:cs="Times New Roman"/>
          <w:lang w:val="en-US" w:bidi="en-US"/>
          <w:color w:val="111111"/>
          <w:sz w:val="28"/>
          <w:szCs w:val="28"/>
          <w:rtl/>
        </w:rPr>
        <w:t xml:space="preserve">qazzālī, mohammad ebn-e mohammad (1059-1112)</w:t>
      </w:r>
    </w:p>
    <w:p>
      <w:pPr>
        <w:pStyle w:val="BookText"/>
      </w:pPr>
      <w:r>
        <w:rPr>
          <w:rFonts w:ascii="IRNazanin" w:hAnsi="IRNazanin" w:eastAsia="IRNazanin" w:cs="IRNazanin"/>
          <w:lang w:bidi="fa-IR"/>
          <w:color w:val="111111"/>
          <w:sz w:val="28"/>
          <w:szCs w:val="28"/>
          <w:rtl/>
        </w:rPr>
        <w:t xml:space="preserve">نامه از پادشاهی به حجة الاسلام غزالی که از او طلب نصیحت می کند و چون این نامه به حضرت رسید حسب الالتماس این چند اوراق را نوشته بدو فرستاد. با عنوان های «ای عزیز» و «فصل».</w:t>
      </w:r>
    </w:p>
    <w:p>
      <w:pPr>
        <w:pStyle w:val="BookText"/>
      </w:pPr>
      <w:r>
        <w:rPr>
          <w:rFonts w:ascii="IRNazanin" w:hAnsi="IRNazanin" w:eastAsia="IRNazanin" w:cs="IRNazanin"/>
          <w:lang w:bidi="fa-IR"/>
          <w:color w:val="111111"/>
          <w:sz w:val="28"/>
          <w:szCs w:val="28"/>
          <w:rtl/>
        </w:rPr>
        <w:t xml:space="preserve">تهران؛ ملک؛ شماره نسخه: ۵۸۹۳/۳</w:t>
      </w:r>
    </w:p>
    <w:p>
      <w:pPr>
        <w:pStyle w:val="BookText"/>
      </w:pPr>
      <w:r>
        <w:rPr>
          <w:rFonts w:ascii="IRNazanin" w:hAnsi="IRNazanin" w:eastAsia="IRNazanin" w:cs="IRNazanin"/>
          <w:lang w:bidi="fa-IR"/>
          <w:color w:val="111111"/>
          <w:sz w:val="28"/>
          <w:szCs w:val="28"/>
          <w:rtl/>
        </w:rPr>
        <w:t xml:space="preserve">آغاز: بسمله. دو کلمه یکی از ملوک جهان بحضرت خواجه انام محمد غزالی نوشته و از او طلب نصیحت کرده آغاز نامه دوم: بسمله. حمدله.</w:t>
      </w:r>
    </w:p>
    <w:p>
      <w:pPr>
        <w:pStyle w:val="BookText"/>
      </w:pPr>
      <w:r>
        <w:rPr>
          <w:rFonts w:ascii="IRNazanin" w:hAnsi="IRNazanin" w:eastAsia="IRNazanin" w:cs="IRNazanin"/>
          <w:lang w:bidi="fa-IR"/>
          <w:color w:val="111111"/>
          <w:sz w:val="28"/>
          <w:szCs w:val="28"/>
          <w:rtl/>
        </w:rPr>
        <w:t xml:space="preserve">والصلاة و السلام على محمد وآله اجمعین، اما بعد بدان و آگاه باش ای عزیز روزگار حال تو از دو وجه بیرون نیست. یا اینست که از زمره گرویدگان و معتقدان؛ انجام: کای عزیز روزگار و ای گزیده پروردگار، التماس که از ما کردی اگر از سر صدق و رغبت است زینهار الف زینهار که از هفته یک روز ... بندگی خدای کنی ... خط: نستعلیق، بی کا، تا: ذیقعده ۱۱۰۳ق، کاغذ: فستقی، جلد: کاغذ ابری فرنگی عطف و گوشه میشن قهوه ای، ۱۳ سطر [ف: ۹-۹۱]</w:t>
      </w:r>
    </w:p>
    <w:p>
      <w:pPr>
        <w:pStyle w:val="Heading3"/>
      </w:pPr>
      <w:bookmarkStart w:id="1694" w:name="_Toc954"/>
      <w:r>
        <w:t>• پرسش و پاسخ / فلسفه / فارسی</w:t>
      </w:r>
      <w:bookmarkEnd w:id="1694"/>
    </w:p>
    <w:p>
      <w:pPr>
        <w:pStyle w:val="BookText"/>
      </w:pPr>
      <w:r>
        <w:rPr>
          <w:rFonts w:ascii="Times New Roman" w:hAnsi="Times New Roman" w:eastAsia="Times New Roman" w:cs="Times New Roman"/>
          <w:lang w:val="en-US" w:bidi="en-US"/>
          <w:color w:val="111111"/>
          <w:sz w:val="28"/>
          <w:szCs w:val="28"/>
          <w:rtl/>
        </w:rPr>
        <w:t xml:space="preserve">porseš va pāsox</w:t>
      </w:r>
    </w:p>
    <w:p>
      <w:pPr>
        <w:pStyle w:val="BookText"/>
      </w:pPr>
      <w:r>
        <w:rPr>
          <w:rFonts w:ascii="IRNazanin" w:hAnsi="IRNazanin" w:eastAsia="IRNazanin" w:cs="IRNazanin"/>
          <w:lang w:bidi="fa-IR"/>
          <w:color w:val="111111"/>
          <w:sz w:val="28"/>
          <w:szCs w:val="28"/>
          <w:rtl/>
        </w:rPr>
        <w:t xml:space="preserve">بابا افضل کاشانی، محمد بن حسین، -۶۶۷ ؟ قمری</w:t>
      </w:r>
    </w:p>
    <w:p>
      <w:pPr>
        <w:pStyle w:val="BookText"/>
      </w:pPr>
      <w:r>
        <w:rPr>
          <w:rFonts w:ascii="Times New Roman" w:hAnsi="Times New Roman" w:eastAsia="Times New Roman" w:cs="Times New Roman"/>
          <w:lang w:val="en-US" w:bidi="en-US"/>
          <w:color w:val="111111"/>
          <w:sz w:val="28"/>
          <w:szCs w:val="28"/>
          <w:rtl/>
        </w:rPr>
        <w:t xml:space="preserve">bābā afzal-e kāšānī, mohammad ebn-e hoseyn (- 1269)</w:t>
      </w:r>
    </w:p>
    <w:p>
      <w:pPr>
        <w:pStyle w:val="BookText"/>
      </w:pPr>
      <w:r>
        <w:rPr>
          <w:rFonts w:ascii="IRNazanin" w:hAnsi="IRNazanin" w:eastAsia="IRNazanin" w:cs="IRNazanin"/>
          <w:lang w:bidi="fa-IR"/>
          <w:color w:val="111111"/>
          <w:sz w:val="28"/>
          <w:szCs w:val="28"/>
          <w:rtl/>
        </w:rPr>
        <w:t xml:space="preserve">مشهد؛ رضوی؛ شماره نسخه: ۲۲۴۹۶</w:t>
      </w:r>
    </w:p>
    <w:p>
      <w:pPr>
        <w:pStyle w:val="BookText"/>
      </w:pPr>
      <w:r>
        <w:rPr>
          <w:rFonts w:ascii="IRNazanin" w:hAnsi="IRNazanin" w:eastAsia="IRNazanin" w:cs="IRNazanin"/>
          <w:lang w:bidi="fa-IR"/>
          <w:color w:val="111111"/>
          <w:sz w:val="28"/>
          <w:szCs w:val="28"/>
          <w:rtl/>
        </w:rPr>
        <w:t xml:space="preserve">آغاز: لفظ توحید را چون مترجم کنند به لغت؛ انجام: عندملیک مقتدر من فوائده قدس سره خط: نستعلیق، بی کا، بی تا [رایانه ]</w:t>
      </w:r>
    </w:p>
    <w:p>
      <w:pPr>
        <w:pStyle w:val="Heading3"/>
      </w:pPr>
      <w:bookmarkStart w:id="1695" w:name="_Toc955"/>
      <w:r>
        <w:t>• پرسش و پاسخ / فقه / فارسی</w:t>
      </w:r>
      <w:bookmarkEnd w:id="1695"/>
    </w:p>
    <w:p>
      <w:pPr>
        <w:pStyle w:val="BookText"/>
      </w:pPr>
      <w:r>
        <w:rPr>
          <w:rFonts w:ascii="Times New Roman" w:hAnsi="Times New Roman" w:eastAsia="Times New Roman" w:cs="Times New Roman"/>
          <w:lang w:val="en-US" w:bidi="en-US"/>
          <w:color w:val="111111"/>
          <w:sz w:val="28"/>
          <w:szCs w:val="28"/>
          <w:rtl/>
        </w:rPr>
        <w:t xml:space="preserve">porseš va pāsox</w:t>
      </w:r>
    </w:p>
    <w:p>
      <w:pPr>
        <w:pStyle w:val="BookText"/>
      </w:pPr>
      <w:r>
        <w:rPr>
          <w:rFonts w:ascii="IRNazanin" w:hAnsi="IRNazanin" w:eastAsia="IRNazanin" w:cs="IRNazanin"/>
          <w:lang w:bidi="fa-IR"/>
          <w:color w:val="111111"/>
          <w:sz w:val="28"/>
          <w:szCs w:val="28"/>
          <w:rtl/>
        </w:rPr>
        <w:t xml:space="preserve">؟ مجلسی، محمد باقر بن محمد تقی، ۱۰۳۷-۱۱۱۰ قمری</w:t>
      </w:r>
    </w:p>
    <w:p>
      <w:pPr>
        <w:pStyle w:val="BookText"/>
      </w:pPr>
      <w:r>
        <w:rPr>
          <w:rFonts w:ascii="Times New Roman" w:hAnsi="Times New Roman" w:eastAsia="Times New Roman" w:cs="Times New Roman"/>
          <w:lang w:val="en-US" w:bidi="en-US"/>
          <w:color w:val="111111"/>
          <w:sz w:val="28"/>
          <w:szCs w:val="28"/>
          <w:rtl/>
        </w:rPr>
        <w:t xml:space="preserve">majlesī, mohammad bāqer ebn-e mohammad taqī</w:t>
      </w:r>
    </w:p>
    <w:p>
      <w:pPr>
        <w:pStyle w:val="BookText"/>
      </w:pPr>
      <w:r>
        <w:rPr>
          <w:rFonts w:ascii="Times New Roman" w:hAnsi="Times New Roman" w:eastAsia="Times New Roman" w:cs="Times New Roman"/>
          <w:lang w:val="en-US" w:bidi="en-US"/>
          <w:color w:val="111111"/>
          <w:sz w:val="28"/>
          <w:szCs w:val="28"/>
          <w:rtl/>
        </w:rPr>
        <w:t xml:space="preserve">(1628–1699)</w:t>
      </w:r>
    </w:p>
    <w:p>
      <w:pPr>
        <w:pStyle w:val="BookText"/>
      </w:pPr>
      <w:r>
        <w:rPr>
          <w:rFonts w:ascii="IRNazanin" w:hAnsi="IRNazanin" w:eastAsia="IRNazanin" w:cs="IRNazanin"/>
          <w:lang w:bidi="fa-IR"/>
          <w:color w:val="111111"/>
          <w:sz w:val="28"/>
          <w:szCs w:val="28"/>
          <w:rtl/>
        </w:rPr>
        <w:t xml:space="preserve">رساله ای است فقهی به شیوه سؤال و جواب، منسوب به ملا محمد باقر مجلسی.</w:t>
      </w:r>
    </w:p>
    <w:p>
      <w:pPr>
        <w:pStyle w:val="BookText"/>
      </w:pPr>
      <w:r>
        <w:rPr>
          <w:rFonts w:ascii="IRNazanin" w:hAnsi="IRNazanin" w:eastAsia="IRNazanin" w:cs="IRNazanin"/>
          <w:lang w:bidi="fa-IR"/>
          <w:color w:val="111111"/>
          <w:sz w:val="28"/>
          <w:szCs w:val="28"/>
          <w:rtl/>
        </w:rPr>
        <w:t xml:space="preserve">[الذريعة ۱۸۷/۵ ؛ نسخه های منزوی ۹۰۱/۲ ]</w:t>
      </w:r>
    </w:p>
    <w:p>
      <w:pPr>
        <w:pStyle w:val="BookText"/>
      </w:pPr>
      <w:r>
        <w:rPr>
          <w:rFonts w:ascii="IRNazanin" w:hAnsi="IRNazanin" w:eastAsia="IRNazanin" w:cs="IRNazanin"/>
          <w:lang w:bidi="fa-IR"/>
          <w:color w:val="111111"/>
          <w:sz w:val="28"/>
          <w:szCs w:val="28"/>
          <w:rtl/>
        </w:rPr>
        <w:t xml:space="preserve">تهران؛ مجلس؛ شماره نسخه: ۴۹۰۳/۲۰</w:t>
      </w:r>
    </w:p>
    <w:p>
      <w:pPr>
        <w:pStyle w:val="BookText"/>
      </w:pPr>
      <w:r>
        <w:rPr>
          <w:rFonts w:ascii="IRNazanin" w:hAnsi="IRNazanin" w:eastAsia="IRNazanin" w:cs="IRNazanin"/>
          <w:lang w:bidi="fa-IR"/>
          <w:color w:val="111111"/>
          <w:sz w:val="28"/>
          <w:szCs w:val="28"/>
          <w:rtl/>
        </w:rPr>
        <w:t xml:space="preserve">آغاز: بسمله. هذه اسئلة ينسب الى بعض الأذكياء و اجوبة ينسب الى مولینا محمد باقر بن محمد تقی سؤال: آب چاه بملاقات نجاست نجس میشود یا نه؟ جواب: نجس میشود؛ انجام: موجب کفر نمیشود اما جز ایت بر خدای و ائمه هدی علیهم السلام است. تمت تحریرة في شهر ذيقعدة سنة مائة و تسع بعد الألف من الهجرة النبوية خط: نستعلیق، کا: محمد مؤمن بن علینقی باکی، تا: ذیقعده ۱۱۰۹ق، جا: اصفهان؛ کاغذ: سپاهانی، جلد: تیماج سرخ یک لای ۵گ (۱۸۸ر-۱۹۲پ)، ۴۸ سطر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۱۴-۱۲۷]</w:t>
      </w:r>
    </w:p>
    <w:p>
      <w:pPr>
        <w:pStyle w:val="Heading3"/>
      </w:pPr>
      <w:bookmarkStart w:id="1696" w:name="_Toc956"/>
      <w:r>
        <w:t>• پرسش و پاسخ / پاسخ پرسش ها / فارسی</w:t>
      </w:r>
      <w:bookmarkEnd w:id="1696"/>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89" w:name="pg20363_209548"/>
    <w:bookmarkEnd w:id="289"/>
    <w:p>
      <w:pPr>
        <w:pStyle w:val="BookText"/>
      </w:pPr>
      <w:r>
        <w:rPr>
          <w:rFonts w:ascii="Times New Roman" w:hAnsi="Times New Roman" w:eastAsia="Times New Roman" w:cs="Times New Roman"/>
          <w:lang w:val="en-US" w:bidi="en-US"/>
          <w:color w:val="111111"/>
          <w:sz w:val="28"/>
          <w:szCs w:val="28"/>
          <w:rtl/>
        </w:rPr>
        <w:t xml:space="preserve">porseš va pāsox</w:t>
      </w:r>
    </w:p>
    <w:p>
      <w:pPr>
        <w:pStyle w:val="BookText"/>
      </w:pPr>
      <w:r>
        <w:rPr>
          <w:rFonts w:ascii="IRNazanin" w:hAnsi="IRNazanin" w:eastAsia="IRNazanin" w:cs="IRNazanin"/>
          <w:lang w:bidi="fa-IR"/>
          <w:color w:val="111111"/>
          <w:sz w:val="28"/>
          <w:szCs w:val="28"/>
          <w:rtl/>
        </w:rPr>
        <w:t xml:space="preserve">دهلوی، عبد العزیز بن احمد، ۱۱۵۹-۱۲۳۹ قمری</w:t>
      </w:r>
    </w:p>
    <w:p>
      <w:pPr>
        <w:pStyle w:val="BookText"/>
      </w:pPr>
      <w:r>
        <w:rPr>
          <w:rFonts w:ascii="Times New Roman" w:hAnsi="Times New Roman" w:eastAsia="Times New Roman" w:cs="Times New Roman"/>
          <w:lang w:val="en-US" w:bidi="en-US"/>
          <w:color w:val="111111"/>
          <w:sz w:val="28"/>
          <w:szCs w:val="28"/>
          <w:rtl/>
        </w:rPr>
        <w:t xml:space="preserve">dehlavī, 'abd-ol-“azīz ebn-e ahmad (1746-1824)</w:t>
      </w:r>
    </w:p>
    <w:p>
      <w:pPr>
        <w:pStyle w:val="BookText"/>
      </w:pPr>
      <w:r>
        <w:rPr>
          <w:rFonts w:ascii="IRNazanin" w:hAnsi="IRNazanin" w:eastAsia="IRNazanin" w:cs="IRNazanin"/>
          <w:lang w:bidi="fa-IR"/>
          <w:color w:val="111111"/>
          <w:sz w:val="28"/>
          <w:szCs w:val="28"/>
          <w:rtl/>
        </w:rPr>
        <w:t xml:space="preserve">۱. قم؛ مرعشی؛ شماره نسخه: ۵۲۴/۲</w:t>
      </w:r>
    </w:p>
    <w:p>
      <w:pPr>
        <w:pStyle w:val="BookText"/>
      </w:pPr>
      <w:r>
        <w:rPr>
          <w:rFonts w:ascii="IRNazanin" w:hAnsi="IRNazanin" w:eastAsia="IRNazanin" w:cs="IRNazanin"/>
          <w:lang w:bidi="fa-IR"/>
          <w:color w:val="111111"/>
          <w:sz w:val="28"/>
          <w:szCs w:val="28"/>
          <w:rtl/>
        </w:rPr>
        <w:t xml:space="preserve">آغاز: سؤال اول چه میفرمایند علمای اهل سنت كثرهم الله تعالی در باب تعزیه داری و ساختن قبور و ضرایح؛ انجام: و ذلك في اليوم السابع أو الرابع عشر أو الحادي و العشرون و يحلق رأس المولود و يتصدق بوزنه ورقاً</w:t>
      </w:r>
    </w:p>
    <w:p>
      <w:pPr>
        <w:pStyle w:val="BookText"/>
      </w:pPr>
      <w:r>
        <w:rPr>
          <w:rFonts w:ascii="IRNazanin" w:hAnsi="IRNazanin" w:eastAsia="IRNazanin" w:cs="IRNazanin"/>
          <w:lang w:bidi="fa-IR"/>
          <w:color w:val="111111"/>
          <w:sz w:val="28"/>
          <w:szCs w:val="28"/>
          <w:rtl/>
        </w:rPr>
        <w:t xml:space="preserve">بیست و نه پرسش و پاسخ کوتاه است در موضوعات فقهی و اعتقادی و فلسفی که دهلوی بجهت شخصی نگاشته است، و در آخر متفرقاتی است که گویا کاتب نسخه اضافه نموده است؛ خط: نستعلیق، کا: عبدالرحمن، تا: ۲۷ محرم ۱۲۷۳ق؛ جلد: مقوایی عطف تیماج مشکی، ۶۳گ (۱۳-۷۵ر)، ۱۱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۲-۱۲۸]</w:t>
      </w:r>
    </w:p>
    <w:p>
      <w:pPr>
        <w:pStyle w:val="BookText"/>
      </w:pPr>
      <w:r>
        <w:rPr>
          <w:rFonts w:ascii="IRNazanin" w:hAnsi="IRNazanin" w:eastAsia="IRNazanin" w:cs="IRNazanin"/>
          <w:lang w:bidi="fa-IR"/>
          <w:color w:val="111111"/>
          <w:sz w:val="28"/>
          <w:szCs w:val="28"/>
          <w:rtl/>
        </w:rPr>
        <w:t xml:space="preserve">۲. مشهد؛ شیخ علی حیدر؛ شماره نسخه: ۱۳۷۵/۱</w:t>
      </w:r>
    </w:p>
    <w:p>
      <w:pPr>
        <w:pStyle w:val="BookText"/>
      </w:pPr>
      <w:r>
        <w:rPr>
          <w:rFonts w:ascii="IRNazanin" w:hAnsi="IRNazanin" w:eastAsia="IRNazanin" w:cs="IRNazanin"/>
          <w:lang w:bidi="fa-IR"/>
          <w:color w:val="111111"/>
          <w:sz w:val="28"/>
          <w:szCs w:val="28"/>
          <w:rtl/>
        </w:rPr>
        <w:t xml:space="preserve">آغاز: بعد حمد رب العالمين و نعت سید المرسلینی صلوات الله علیه و آله؛ انجام: ملکت کونین و مکان بر درت ذلک فضل الله يؤتيه من يشاء و الله اعلم بالصواب</w:t>
      </w:r>
    </w:p>
    <w:p>
      <w:pPr>
        <w:pStyle w:val="BookText"/>
      </w:pPr>
      <w:r>
        <w:rPr>
          <w:rFonts w:ascii="IRNazanin" w:hAnsi="IRNazanin" w:eastAsia="IRNazanin" w:cs="IRNazanin"/>
          <w:lang w:bidi="fa-IR"/>
          <w:color w:val="111111"/>
          <w:sz w:val="28"/>
          <w:szCs w:val="28"/>
          <w:rtl/>
        </w:rPr>
        <w:t xml:space="preserve">سؤال و جوابهایی در امور فقهی است که در سال ۱۲۲۹ شخصی از اطراف بنارس هند به شاه جهان آباد آمده و این سؤالات را از عبد العزیز دهلوی نموده است؛ خط: نستعلیق، کا: محمد سلطان بابری قادری پیشاوری، تا: ۱۹ شعبان ۱۲۷۹ق؛ جلد: معمولی، ۱۹گ (1پ-۱۹ر)، ۱۳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(مؤید: ۳-۳۱۰)</w:t>
      </w:r>
    </w:p>
    <w:p>
      <w:pPr>
        <w:pStyle w:val="Heading3"/>
      </w:pPr>
      <w:bookmarkStart w:id="1697" w:name="_Toc957"/>
      <w:r>
        <w:t>• پرسش و پاسخ (سؤال و جواب) / فقه / فارسی</w:t>
      </w:r>
      <w:bookmarkEnd w:id="1697"/>
    </w:p>
    <w:p>
      <w:pPr>
        <w:pStyle w:val="BookText"/>
      </w:pPr>
      <w:r>
        <w:rPr>
          <w:rFonts w:ascii="Times New Roman" w:hAnsi="Times New Roman" w:eastAsia="Times New Roman" w:cs="Times New Roman"/>
          <w:lang w:val="en-US" w:bidi="en-US"/>
          <w:color w:val="111111"/>
          <w:sz w:val="28"/>
          <w:szCs w:val="28"/>
          <w:rtl/>
        </w:rPr>
        <w:t xml:space="preserve">porseš va pāsox-e (so’āl va javāb)</w:t>
      </w:r>
    </w:p>
    <w:p>
      <w:pPr>
        <w:pStyle w:val="BookText"/>
      </w:pPr>
      <w:r>
        <w:rPr>
          <w:rFonts w:ascii="IRNazanin" w:hAnsi="IRNazanin" w:eastAsia="IRNazanin" w:cs="IRNazanin"/>
          <w:lang w:bidi="fa-IR"/>
          <w:color w:val="111111"/>
          <w:sz w:val="28"/>
          <w:szCs w:val="28"/>
          <w:rtl/>
        </w:rPr>
        <w:t xml:space="preserve">انصاری، مرتضی بن محمد امین، ۱۲۱۴-۱۲۸۱ قمری</w:t>
      </w:r>
    </w:p>
    <w:p>
      <w:pPr>
        <w:pStyle w:val="BookText"/>
      </w:pPr>
      <w:r>
        <w:rPr>
          <w:rFonts w:ascii="Times New Roman" w:hAnsi="Times New Roman" w:eastAsia="Times New Roman" w:cs="Times New Roman"/>
          <w:lang w:val="en-US" w:bidi="en-US"/>
          <w:color w:val="111111"/>
          <w:sz w:val="28"/>
          <w:szCs w:val="28"/>
          <w:rtl/>
        </w:rPr>
        <w:t xml:space="preserve">ansārī, morteza ebn-e mohammad amīn (1800-1865)</w:t>
      </w:r>
    </w:p>
    <w:p>
      <w:pPr>
        <w:pStyle w:val="BookText"/>
      </w:pPr>
      <w:r>
        <w:rPr>
          <w:rFonts w:ascii="IRNazanin" w:hAnsi="IRNazanin" w:eastAsia="IRNazanin" w:cs="IRNazanin"/>
          <w:lang w:bidi="fa-IR"/>
          <w:color w:val="111111"/>
          <w:sz w:val="28"/>
          <w:szCs w:val="28"/>
          <w:rtl/>
        </w:rPr>
        <w:t xml:space="preserve">رساله صورت سئوالات و جواب های شیخ است در مسائل عملیه مبتلا به مکلف که توسط محمد یوسف استر آبادی گردآوری شده است. چاپ: دارالخلافه طهران، سنگی، ۱۲۷۱، خشتی، بدون شماره صفحه</w:t>
      </w:r>
    </w:p>
    <w:p>
      <w:pPr>
        <w:pStyle w:val="BookText"/>
      </w:pPr>
      <w:r>
        <w:rPr>
          <w:rFonts w:ascii="IRNazanin" w:hAnsi="IRNazanin" w:eastAsia="IRNazanin" w:cs="IRNazanin"/>
          <w:lang w:bidi="fa-IR"/>
          <w:color w:val="111111"/>
          <w:sz w:val="28"/>
          <w:szCs w:val="28"/>
          <w:rtl/>
        </w:rPr>
        <w:t xml:space="preserve">مشهد؛ رضوی؛ شماره نسخه: ۳۷۶۳۴</w:t>
      </w:r>
    </w:p>
    <w:p>
      <w:pPr>
        <w:pStyle w:val="BookText"/>
      </w:pPr>
      <w:r>
        <w:rPr>
          <w:rFonts w:ascii="IRNazanin" w:hAnsi="IRNazanin" w:eastAsia="IRNazanin" w:cs="IRNazanin"/>
          <w:lang w:bidi="fa-IR"/>
          <w:color w:val="111111"/>
          <w:sz w:val="28"/>
          <w:szCs w:val="28"/>
          <w:rtl/>
        </w:rPr>
        <w:t xml:space="preserve">آغاز: بسمله. حمدله چنین گوید احقر عبادالله فقير مضطر ... محمد یوسف استر آبادی حائری ... که علاوه بر اجابت التماس جمعی از اخلاء؛ انجام: تا این ناخوشی از او بر طرف شود و الله العالم تمام شد کتاب رساله حاج شیخ مرتضی</w:t>
      </w:r>
    </w:p>
    <w:p>
      <w:pPr>
        <w:pStyle w:val="BookText"/>
      </w:pPr>
      <w:r>
        <w:rPr>
          <w:rFonts w:ascii="IRNazanin" w:hAnsi="IRNazanin" w:eastAsia="IRNazanin" w:cs="IRNazanin"/>
          <w:lang w:bidi="fa-IR"/>
          <w:color w:val="111111"/>
          <w:sz w:val="28"/>
          <w:szCs w:val="28"/>
          <w:rtl/>
        </w:rPr>
        <w:t xml:space="preserve">خط: نستعلیق خوش، کا: محمدرضا بن محمد علی شیرازی، تا: قرن ۱۳؛ اهدایی: رهبری، مهر ۱۳۸۶ کاغذ: نخودی آهار مهره فرنگی، جلد: تیماج، ۱۴۲، ۱۰ سطر، اندازه: ۱۵/۵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w:t>
      </w:r>
    </w:p>
    <w:p>
      <w:pPr>
        <w:pStyle w:val="BookText"/>
      </w:pPr>
      <w:r>
        <w:rPr>
          <w:rFonts w:ascii="IRNazanin" w:hAnsi="IRNazanin" w:eastAsia="IRNazanin" w:cs="IRNazanin"/>
          <w:lang w:bidi="fa-IR"/>
          <w:color w:val="111111"/>
          <w:sz w:val="28"/>
          <w:szCs w:val="28"/>
          <w:rtl/>
        </w:rPr>
        <w:t xml:space="preserve">[زاهدائی رهبر: ۳-۱۱۴]</w:t>
      </w:r>
    </w:p>
    <w:p>
      <w:pPr>
        <w:pStyle w:val="Heading3"/>
      </w:pPr>
      <w:bookmarkStart w:id="1698" w:name="_Toc958"/>
      <w:r>
        <w:t>•پرسش و پاسخ / فقه / عربی و فارسی</w:t>
      </w:r>
      <w:bookmarkEnd w:id="1698"/>
    </w:p>
    <w:p>
      <w:pPr>
        <w:pStyle w:val="BookText"/>
      </w:pPr>
      <w:r>
        <w:rPr>
          <w:rFonts w:ascii="Times New Roman" w:hAnsi="Times New Roman" w:eastAsia="Times New Roman" w:cs="Times New Roman"/>
          <w:lang w:val="en-US" w:bidi="en-US"/>
          <w:color w:val="111111"/>
          <w:sz w:val="28"/>
          <w:szCs w:val="28"/>
          <w:rtl/>
        </w:rPr>
        <w:t xml:space="preserve">porseš va pāsox</w:t>
      </w:r>
    </w:p>
    <w:p>
      <w:pPr>
        <w:pStyle w:val="BookText"/>
      </w:pPr>
      <w:r>
        <w:rPr>
          <w:rFonts w:ascii="IRNazanin" w:hAnsi="IRNazanin" w:eastAsia="IRNazanin" w:cs="IRNazanin"/>
          <w:lang w:bidi="fa-IR"/>
          <w:color w:val="111111"/>
          <w:sz w:val="28"/>
          <w:szCs w:val="28"/>
          <w:rtl/>
        </w:rPr>
        <w:t xml:space="preserve">حائری، محمد بن محمد ابراهیم، ق۱۳ قمری</w:t>
      </w:r>
    </w:p>
    <w:p>
      <w:pPr>
        <w:pStyle w:val="BookText"/>
      </w:pPr>
      <w:r>
        <w:rPr>
          <w:rFonts w:ascii="Times New Roman" w:hAnsi="Times New Roman" w:eastAsia="Times New Roman" w:cs="Times New Roman"/>
          <w:lang w:val="en-US" w:bidi="en-US"/>
          <w:color w:val="111111"/>
          <w:sz w:val="28"/>
          <w:szCs w:val="28"/>
          <w:rtl/>
        </w:rPr>
        <w:t xml:space="preserve">hā'erī, mohammad ebn-e mohammad ebrāhīm (- 19c)</w:t>
      </w:r>
    </w:p>
    <w:p>
      <w:pPr>
        <w:pStyle w:val="BookText"/>
      </w:pPr>
      <w:r>
        <w:rPr>
          <w:rFonts w:ascii="IRNazanin" w:hAnsi="IRNazanin" w:eastAsia="IRNazanin" w:cs="IRNazanin"/>
          <w:lang w:bidi="fa-IR"/>
          <w:color w:val="111111"/>
          <w:sz w:val="28"/>
          <w:szCs w:val="28"/>
          <w:rtl/>
        </w:rPr>
        <w:t xml:space="preserve">پرسش و پاسخ هایی است فقهی پراکنده به فارسی یا عربی بعضی به طور مختصر و بعضی به طور استدلالی مفصل.</w:t>
      </w:r>
    </w:p>
    <w:p>
      <w:pPr>
        <w:pStyle w:val="BookText"/>
      </w:pPr>
      <w:r>
        <w:rPr>
          <w:rFonts w:ascii="IRNazanin" w:hAnsi="IRNazanin" w:eastAsia="IRNazanin" w:cs="IRNazanin"/>
          <w:lang w:bidi="fa-IR"/>
          <w:color w:val="111111"/>
          <w:sz w:val="28"/>
          <w:szCs w:val="28"/>
          <w:rtl/>
        </w:rPr>
        <w:t xml:space="preserve">قم؛ مرعشی؛ شماره نسخه: ۱۷۴</w:t>
      </w:r>
    </w:p>
    <w:p>
      <w:pPr>
        <w:pStyle w:val="BookText"/>
      </w:pPr>
      <w:r>
        <w:rPr>
          <w:rFonts w:ascii="IRNazanin" w:hAnsi="IRNazanin" w:eastAsia="IRNazanin" w:cs="IRNazanin"/>
          <w:lang w:bidi="fa-IR"/>
          <w:color w:val="111111"/>
          <w:sz w:val="28"/>
          <w:szCs w:val="28"/>
          <w:rtl/>
        </w:rPr>
        <w:t xml:space="preserve">آغاز: مسئله ربا حرام است یعنی معامله نمودن در مکيل و موزون با زیاداتی از یک طرف حرام است؛ انجام: و يلزم ايضا الحكم بفسق كل من الاشخاص العاصین و عدم جواز الاقتداء بهم و عدم جواز قبول شهادتهم.</w:t>
      </w:r>
    </w:p>
    <w:p>
      <w:pPr>
        <w:pStyle w:val="BookText"/>
      </w:pPr>
      <w:r>
        <w:rPr>
          <w:rFonts w:ascii="IRNazanin" w:hAnsi="IRNazanin" w:eastAsia="IRNazanin" w:cs="IRNazanin"/>
          <w:lang w:bidi="fa-IR"/>
          <w:color w:val="111111"/>
          <w:sz w:val="28"/>
          <w:szCs w:val="28"/>
          <w:rtl/>
        </w:rPr>
        <w:t xml:space="preserve">خط: نستعلیق نازیبا، بی کا، بی تا، ۱۲۲گ، مختلف السطر،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۱-۱۹۰]</w:t>
      </w:r>
    </w:p>
    <w:p>
      <w:pPr>
        <w:pStyle w:val="Heading3"/>
      </w:pPr>
      <w:bookmarkStart w:id="1699" w:name="_Toc959"/>
      <w:r>
        <w:t>•پرسش و پاسخ / فقه / فارسی</w:t>
      </w:r>
      <w:bookmarkEnd w:id="1699"/>
    </w:p>
    <w:p>
      <w:pPr>
        <w:pStyle w:val="BookText"/>
      </w:pPr>
      <w:r>
        <w:rPr>
          <w:rFonts w:ascii="Times New Roman" w:hAnsi="Times New Roman" w:eastAsia="Times New Roman" w:cs="Times New Roman"/>
          <w:lang w:val="en-US" w:bidi="en-US"/>
          <w:color w:val="111111"/>
          <w:sz w:val="28"/>
          <w:szCs w:val="28"/>
          <w:rtl/>
        </w:rPr>
        <w:t xml:space="preserve">porseš va pāsox</w:t>
      </w:r>
    </w:p>
    <w:p>
      <w:pPr>
        <w:pStyle w:val="BookText"/>
      </w:pPr>
      <w:r>
        <w:rPr>
          <w:rFonts w:ascii="IRNazanin" w:hAnsi="IRNazanin" w:eastAsia="IRNazanin" w:cs="IRNazanin"/>
          <w:lang w:bidi="fa-IR"/>
          <w:color w:val="111111"/>
          <w:sz w:val="28"/>
          <w:szCs w:val="28"/>
          <w:rtl/>
        </w:rPr>
        <w:t xml:space="preserve">تنکابنی، محمد بن سليمان، ۱۲۳۴-۱۳۰۲ قمری</w:t>
      </w:r>
    </w:p>
    <w:p>
      <w:pPr>
        <w:pStyle w:val="BookText"/>
      </w:pPr>
      <w:r>
        <w:rPr>
          <w:rFonts w:ascii="Times New Roman" w:hAnsi="Times New Roman" w:eastAsia="Times New Roman" w:cs="Times New Roman"/>
          <w:lang w:val="en-US" w:bidi="en-US"/>
          <w:color w:val="111111"/>
          <w:sz w:val="28"/>
          <w:szCs w:val="28"/>
          <w:rtl/>
        </w:rPr>
        <w:t xml:space="preserve">tonekābonī, mohammad ebn-e soleymān (1819-1885)</w:t>
      </w:r>
    </w:p>
    <w:p>
      <w:pPr>
        <w:pStyle w:val="BookText"/>
      </w:pPr>
      <w:r>
        <w:rPr>
          <w:rFonts w:ascii="IRNazanin" w:hAnsi="IRNazanin" w:eastAsia="IRNazanin" w:cs="IRNazanin"/>
          <w:lang w:bidi="fa-IR"/>
          <w:color w:val="111111"/>
          <w:sz w:val="28"/>
          <w:szCs w:val="28"/>
          <w:rtl/>
        </w:rPr>
        <w:t xml:space="preserve">رساله مختصری در پاسخ سؤالاتی است که «سید محمد هاشم تنکابنی» از دارالخلافه طهران برای وی فرستاده است.</w:t>
      </w:r>
    </w:p>
    <w:p>
      <w:pPr>
        <w:pStyle w:val="BookText"/>
      </w:pPr>
      <w:r>
        <w:rPr>
          <w:rFonts w:ascii="IRNazanin" w:hAnsi="IRNazanin" w:eastAsia="IRNazanin" w:cs="IRNazanin"/>
          <w:lang w:bidi="fa-IR"/>
          <w:color w:val="111111"/>
          <w:sz w:val="28"/>
          <w:szCs w:val="28"/>
          <w:rtl/>
        </w:rPr>
        <w:t xml:space="preserve">چالوس؛ امام صادق، شماره نسخه: ۴۲۶/۳</w:t>
      </w:r>
    </w:p>
    <w:p>
      <w:pPr>
        <w:pStyle w:val="BookText"/>
      </w:pPr>
      <w:r>
        <w:rPr>
          <w:rFonts w:ascii="IRNazanin" w:hAnsi="IRNazanin" w:eastAsia="IRNazanin" w:cs="IRNazanin"/>
          <w:lang w:bidi="fa-IR"/>
          <w:color w:val="111111"/>
          <w:sz w:val="28"/>
          <w:szCs w:val="28"/>
          <w:rtl/>
        </w:rPr>
        <w:t xml:space="preserve">آغاز: ستایش و سپاس بی قیاس سزای حکیم علیم علام عالم است که مبدع و خالق عالم است و درود غير معدود بر روان احمد و امام معصوم مسعود باد و بعد؛ انجام: چه این تکلیف نماز خواننده بترسد یا نه و اگر این شخص بترسد و غالب مردمان نترسند نماز برای آن لازم نیست بی کا، تا: جمادی الاول ۱۳۰۱ق؛ جلد: تیماج،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۲۳۹]</w:t>
      </w:r>
    </w:p>
    <w:p>
      <w:pPr>
        <w:pStyle w:val="Heading3"/>
      </w:pPr>
      <w:bookmarkStart w:id="1700" w:name="_Toc960"/>
      <w:r>
        <w:t>• پرسش و پاسخ فارسی</w:t>
      </w:r>
      <w:bookmarkEnd w:id="1700"/>
    </w:p>
    <w:p>
      <w:pPr>
        <w:pStyle w:val="BookText"/>
      </w:pPr>
      <w:r>
        <w:rPr>
          <w:rFonts w:ascii="Times New Roman" w:hAnsi="Times New Roman" w:eastAsia="Times New Roman" w:cs="Times New Roman"/>
          <w:lang w:val="en-US" w:bidi="en-US"/>
          <w:color w:val="111111"/>
          <w:sz w:val="28"/>
          <w:szCs w:val="28"/>
          <w:rtl/>
        </w:rPr>
        <w:t xml:space="preserve">porseš va pāsox</w:t>
      </w:r>
    </w:p>
    <w:p>
      <w:pPr>
        <w:pStyle w:val="BookText"/>
      </w:pPr>
      <w:r>
        <w:rPr>
          <w:rFonts w:ascii="IRNazanin" w:hAnsi="IRNazanin" w:eastAsia="IRNazanin" w:cs="IRNazanin"/>
          <w:lang w:bidi="fa-IR"/>
          <w:color w:val="111111"/>
          <w:sz w:val="28"/>
          <w:szCs w:val="28"/>
          <w:rtl/>
        </w:rPr>
        <w:t xml:space="preserve">کسروی، احمد، ۱۲۶۹-۱۳۲۴ شمسی</w:t>
      </w:r>
    </w:p>
    <w:p>
      <w:pPr>
        <w:pStyle w:val="BookText"/>
      </w:pPr>
      <w:r>
        <w:rPr>
          <w:rFonts w:ascii="Times New Roman" w:hAnsi="Times New Roman" w:eastAsia="Times New Roman" w:cs="Times New Roman"/>
          <w:lang w:val="en-US" w:bidi="en-US"/>
          <w:color w:val="111111"/>
          <w:sz w:val="28"/>
          <w:szCs w:val="28"/>
          <w:rtl/>
        </w:rPr>
        <w:t xml:space="preserve">kasravī, ahmad (1890-1945)</w:t>
      </w:r>
    </w:p>
    <w:p>
      <w:pPr>
        <w:pStyle w:val="BookText"/>
      </w:pPr>
      <w:r>
        <w:rPr>
          <w:rFonts w:ascii="IRNazanin" w:hAnsi="IRNazanin" w:eastAsia="IRNazanin" w:cs="IRNazanin"/>
          <w:lang w:bidi="fa-IR"/>
          <w:color w:val="111111"/>
          <w:sz w:val="28"/>
          <w:szCs w:val="28"/>
          <w:rtl/>
        </w:rPr>
        <w:t xml:space="preserve">در سال ۱۳۲۴</w:t>
      </w:r>
    </w:p>
    <w:p>
      <w:pPr>
        <w:pStyle w:val="BookText"/>
      </w:pPr>
      <w:r>
        <w:rPr>
          <w:rFonts w:ascii="IRNazanin" w:hAnsi="IRNazanin" w:eastAsia="IRNazanin" w:cs="IRNazanin"/>
          <w:lang w:bidi="fa-IR"/>
          <w:color w:val="111111"/>
          <w:sz w:val="28"/>
          <w:szCs w:val="28"/>
          <w:rtl/>
        </w:rPr>
        <w:t xml:space="preserve">تهران، دانشگاه؛ شماره نسخه: ۴۷۵۲/۱۵ -۴۷۵۴-ف</w:t>
      </w:r>
    </w:p>
    <w:p>
      <w:pPr>
        <w:pStyle w:val="BookText"/>
      </w:pPr>
      <w:r>
        <w:rPr>
          <w:rFonts w:ascii="IRNazanin" w:hAnsi="IRNazanin" w:eastAsia="IRNazanin" w:cs="IRNazanin"/>
          <w:lang w:bidi="fa-IR"/>
          <w:color w:val="111111"/>
          <w:sz w:val="28"/>
          <w:szCs w:val="28"/>
          <w:rtl/>
        </w:rPr>
        <w:t xml:space="preserve">بی کا، بی تا [فيلمها ف: ۳-۹۹]</w:t>
      </w:r>
    </w:p>
    <w:p>
      <w:pPr>
        <w:pStyle w:val="Heading3"/>
      </w:pPr>
      <w:bookmarkStart w:id="1701" w:name="_Toc961"/>
      <w:r>
        <w:t>•پرسش و پاسخ/ کلام و اعتقادات / فارسی</w:t>
      </w:r>
      <w:bookmarkEnd w:id="1701"/>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90" w:name="pg20363_209549"/>
    <w:bookmarkEnd w:id="290"/>
    <w:p>
      <w:pPr>
        <w:pStyle w:val="BookText"/>
      </w:pPr>
      <w:r>
        <w:rPr>
          <w:rFonts w:ascii="Times New Roman" w:hAnsi="Times New Roman" w:eastAsia="Times New Roman" w:cs="Times New Roman"/>
          <w:lang w:val="en-US" w:bidi="en-US"/>
          <w:color w:val="111111"/>
          <w:sz w:val="28"/>
          <w:szCs w:val="28"/>
          <w:rtl/>
        </w:rPr>
        <w:t xml:space="preserve">porseš va pāsox</w:t>
      </w:r>
    </w:p>
    <w:p>
      <w:pPr>
        <w:pStyle w:val="BookText"/>
      </w:pPr>
      <w:r>
        <w:rPr>
          <w:rFonts w:ascii="IRNazanin" w:hAnsi="IRNazanin" w:eastAsia="IRNazanin" w:cs="IRNazanin"/>
          <w:lang w:bidi="fa-IR"/>
          <w:color w:val="111111"/>
          <w:sz w:val="28"/>
          <w:szCs w:val="28"/>
          <w:rtl/>
        </w:rPr>
        <w:t xml:space="preserve">شیخ الاسلام رشتی، حسن بن مرتضی، ق ۱۴ قمری</w:t>
      </w:r>
    </w:p>
    <w:p>
      <w:pPr>
        <w:pStyle w:val="BookText"/>
      </w:pPr>
      <w:r>
        <w:rPr>
          <w:rFonts w:ascii="Times New Roman" w:hAnsi="Times New Roman" w:eastAsia="Times New Roman" w:cs="Times New Roman"/>
          <w:lang w:val="en-US" w:bidi="en-US"/>
          <w:color w:val="111111"/>
          <w:sz w:val="28"/>
          <w:szCs w:val="28"/>
          <w:rtl/>
        </w:rPr>
        <w:t xml:space="preserve">šeyx-ol-eslām-e raštī, hasan ebn-e morteza (- 20c)</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IRNazanin" w:hAnsi="IRNazanin" w:eastAsia="IRNazanin" w:cs="IRNazanin"/>
          <w:lang w:bidi="fa-IR"/>
          <w:color w:val="111111"/>
          <w:sz w:val="28"/>
          <w:szCs w:val="28"/>
          <w:rtl/>
        </w:rPr>
        <w:t xml:space="preserve">۱. قم؛ مرعشی؛ شماره نسخه: ۱۵۹/۲</w:t>
      </w:r>
    </w:p>
    <w:p>
      <w:pPr>
        <w:pStyle w:val="BookText"/>
      </w:pPr>
      <w:r>
        <w:rPr>
          <w:rFonts w:ascii="IRNazanin" w:hAnsi="IRNazanin" w:eastAsia="IRNazanin" w:cs="IRNazanin"/>
          <w:lang w:bidi="fa-IR"/>
          <w:color w:val="111111"/>
          <w:sz w:val="28"/>
          <w:szCs w:val="28"/>
          <w:rtl/>
        </w:rPr>
        <w:t xml:space="preserve">آغاز: الحمدلله رب العالمين ... و بعد این بنده راجی رحمة ربه حسن بن مغفور مبرور حاج شیخ مرتضی حلی معروف برشتی؛ انجام: و در خاطر و خیال خود این گونه حرفهای بی معنی راه نده و السلام.</w:t>
      </w:r>
    </w:p>
    <w:p>
      <w:pPr>
        <w:pStyle w:val="BookText"/>
      </w:pPr>
      <w:r>
        <w:rPr>
          <w:rFonts w:ascii="IRNazanin" w:hAnsi="IRNazanin" w:eastAsia="IRNazanin" w:cs="IRNazanin"/>
          <w:lang w:bidi="fa-IR"/>
          <w:color w:val="111111"/>
          <w:sz w:val="28"/>
          <w:szCs w:val="28"/>
          <w:rtl/>
        </w:rPr>
        <w:t xml:space="preserve">پاسخ از پرسش هایی است راجع به بعضی از مسائل اعتقادی که از مؤلف نموده اند و بنا به گفته الذریعه ۳۱/۱۳ به نام ركن الدين محمد تقی میرزا برادر ناصرالدین شاه قاجار در ایام حكومتش در مشهد مقدس به سال ۱۲۹۹ نوشته است؛ خط: نسخ، كاتب = مؤلف، بی تا؛ جلد: تیماج سبز، ۲۸گ (۲۳۶پ -۲۶۳ر)، ۲۰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۱-۱۷۹]</w:t>
      </w:r>
    </w:p>
    <w:p>
      <w:pPr>
        <w:pStyle w:val="BookText"/>
      </w:pPr>
      <w:r>
        <w:rPr>
          <w:rFonts w:ascii="IRNazanin" w:hAnsi="IRNazanin" w:eastAsia="IRNazanin" w:cs="IRNazanin"/>
          <w:lang w:bidi="fa-IR"/>
          <w:color w:val="111111"/>
          <w:sz w:val="28"/>
          <w:szCs w:val="28"/>
          <w:rtl/>
        </w:rPr>
        <w:t xml:space="preserve">٢. اصفهان، دانشگاه؛ شماره نسخه: ۲۰/۱</w:t>
      </w:r>
    </w:p>
    <w:p>
      <w:pPr>
        <w:pStyle w:val="BookText"/>
      </w:pPr>
      <w:r>
        <w:rPr>
          <w:rFonts w:ascii="IRNazanin" w:hAnsi="IRNazanin" w:eastAsia="IRNazanin" w:cs="IRNazanin"/>
          <w:lang w:bidi="fa-IR"/>
          <w:color w:val="111111"/>
          <w:sz w:val="28"/>
          <w:szCs w:val="28"/>
          <w:rtl/>
        </w:rPr>
        <w:t xml:space="preserve">آغاز: الحمدلله الذي خلق العقل ابتداء نقطة للامكان و خط منه تمام ما في الأزمنة و الدهور و الاكوان؛ انجام: و بیان این کلیه دلیل از برای صدق آن مثال سنگ و چقماق است.</w:t>
      </w:r>
    </w:p>
    <w:p>
      <w:pPr>
        <w:pStyle w:val="BookText"/>
      </w:pPr>
      <w:r>
        <w:rPr>
          <w:rFonts w:ascii="IRNazanin" w:hAnsi="IRNazanin" w:eastAsia="IRNazanin" w:cs="IRNazanin"/>
          <w:lang w:bidi="fa-IR"/>
          <w:color w:val="111111"/>
          <w:sz w:val="28"/>
          <w:szCs w:val="28"/>
          <w:rtl/>
        </w:rPr>
        <w:t xml:space="preserve">پاسخ پرسشی است در چگونگی عقل بالتفاوت نزد اشخاص؛ خط: نسخ، بی کا، تا: ۱۰ شوال ۱۳۰۸ق؛ جلد: مقوایی ابر و باد، عطف تیماج قهوهای، وگ (آپوپ)، ۱۱ سطر، اندازه:</w:t>
      </w:r>
    </w:p>
    <w:p>
      <w:pPr>
        <w:pStyle w:val="BookText"/>
      </w:pPr>
      <w:r>
        <w:rPr>
          <w:rFonts w:ascii="IRNazanin" w:hAnsi="IRNazanin" w:eastAsia="IRNazanin" w:cs="IRNazanin"/>
          <w:lang w:bidi="fa-IR"/>
          <w:color w:val="111111"/>
          <w:sz w:val="28"/>
          <w:szCs w:val="28"/>
          <w:rtl/>
        </w:rPr>
        <w:t xml:space="preserve">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[ف: ۱-۲۸]</w:t>
      </w:r>
    </w:p>
    <w:p>
      <w:pPr>
        <w:pStyle w:val="BookText"/>
      </w:pPr>
      <w:r>
        <w:rPr>
          <w:rFonts w:ascii="IRNazanin" w:hAnsi="IRNazanin" w:eastAsia="IRNazanin" w:cs="IRNazanin"/>
          <w:lang w:bidi="fa-IR"/>
          <w:color w:val="111111"/>
          <w:sz w:val="28"/>
          <w:szCs w:val="28"/>
          <w:rtl/>
        </w:rPr>
        <w:t xml:space="preserve">٣. اصفهان؛ دانشگاه؛ شماره نسخه: ۲۰/۲</w:t>
      </w:r>
    </w:p>
    <w:p>
      <w:pPr>
        <w:pStyle w:val="BookText"/>
      </w:pPr>
      <w:r>
        <w:rPr>
          <w:rFonts w:ascii="IRNazanin" w:hAnsi="IRNazanin" w:eastAsia="IRNazanin" w:cs="IRNazanin"/>
          <w:lang w:bidi="fa-IR"/>
          <w:color w:val="111111"/>
          <w:sz w:val="28"/>
          <w:szCs w:val="28"/>
          <w:rtl/>
        </w:rPr>
        <w:t xml:space="preserve">آغاز: الحمدلله على اهداء عباده و اولیائه ... اما بعد این مطالب سؤال شده را از بادکوبه خدمت جناب معارف آداب حقایق نصاب؛ انجام: ربنا اغفرلنا و اسرافنا في أمرنا و ثبت اقدامنا و انصرنا على القوم الكافرين.</w:t>
      </w:r>
    </w:p>
    <w:p>
      <w:pPr>
        <w:pStyle w:val="BookText"/>
      </w:pPr>
      <w:r>
        <w:rPr>
          <w:rFonts w:ascii="IRNazanin" w:hAnsi="IRNazanin" w:eastAsia="IRNazanin" w:cs="IRNazanin"/>
          <w:lang w:bidi="fa-IR"/>
          <w:color w:val="111111"/>
          <w:sz w:val="28"/>
          <w:szCs w:val="28"/>
          <w:rtl/>
        </w:rPr>
        <w:t xml:space="preserve">پاسخ پرسشی است که اهالی بادکوبه از حاج محمد جعفر بادکوبه ای نموده اند و وی پاسخ آن را به مؤلف سپرده است. سؤال در مورد پیامبر و ائمه (علیهم السلام) می باشد که زمان شروع پیامبری و علامت پیغمبری و بیان معجزه ای از آن حضرات و تفصیل آنان بر سائر پیامبران و خواب و حیات آنان بعد از فوت می باشد؛ خط: نسخ، بی کا، تا: یکشنبه ۸ شوال ۱۳۰۸ق؛ جلد: مقوایی ابر و باد، عطف تیماج قهوه ای، ۱۰گ (۱۰پ-۱۹پ)، ۱۱سطر،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(ف: ۱-۲۸)</w:t>
      </w:r>
    </w:p>
    <w:p>
      <w:pPr>
        <w:pStyle w:val="Heading3"/>
      </w:pPr>
      <w:bookmarkStart w:id="1702" w:name="_Toc962"/>
      <w:r>
        <w:t>• پرسش و پاسخ / کلام و اعتقادات، پاسخ پرسش ها / فارسی</w:t>
      </w:r>
      <w:bookmarkEnd w:id="1702"/>
    </w:p>
    <w:p>
      <w:pPr>
        <w:pStyle w:val="BookText"/>
      </w:pPr>
      <w:r>
        <w:rPr>
          <w:rFonts w:ascii="Times New Roman" w:hAnsi="Times New Roman" w:eastAsia="Times New Roman" w:cs="Times New Roman"/>
          <w:lang w:val="en-US" w:bidi="en-US"/>
          <w:color w:val="111111"/>
          <w:sz w:val="28"/>
          <w:szCs w:val="28"/>
          <w:rtl/>
        </w:rPr>
        <w:t xml:space="preserve">porseš va pāsox</w:t>
      </w:r>
    </w:p>
    <w:p>
      <w:pPr>
        <w:pStyle w:val="BookText"/>
      </w:pPr>
      <w:r>
        <w:rPr>
          <w:rFonts w:ascii="IRNazanin" w:hAnsi="IRNazanin" w:eastAsia="IRNazanin" w:cs="IRNazanin"/>
          <w:lang w:bidi="fa-IR"/>
          <w:color w:val="111111"/>
          <w:sz w:val="28"/>
          <w:szCs w:val="28"/>
          <w:rtl/>
        </w:rPr>
        <w:t xml:space="preserve">درباره روح و مراتب ائمه و روز الست و جز اینها.</w:t>
      </w:r>
    </w:p>
    <w:p>
      <w:pPr>
        <w:pStyle w:val="BookText"/>
      </w:pPr>
      <w:r>
        <w:rPr>
          <w:rFonts w:ascii="IRNazanin" w:hAnsi="IRNazanin" w:eastAsia="IRNazanin" w:cs="IRNazanin"/>
          <w:lang w:bidi="fa-IR"/>
          <w:color w:val="111111"/>
          <w:sz w:val="28"/>
          <w:szCs w:val="28"/>
          <w:rtl/>
        </w:rPr>
        <w:t xml:space="preserve">تهران؛ ملک؛ شماره نسخه: ۱۸۱۴/۳</w:t>
      </w:r>
    </w:p>
    <w:p>
      <w:pPr>
        <w:pStyle w:val="BookText"/>
      </w:pPr>
      <w:r>
        <w:rPr>
          <w:rFonts w:ascii="IRNazanin" w:hAnsi="IRNazanin" w:eastAsia="IRNazanin" w:cs="IRNazanin"/>
          <w:lang w:bidi="fa-IR"/>
          <w:color w:val="111111"/>
          <w:sz w:val="28"/>
          <w:szCs w:val="28"/>
          <w:rtl/>
        </w:rPr>
        <w:t xml:space="preserve">خط: نستعلیق، بی کا، تا: قرن ۱۳ کاغذ: پسته ای، جلد: میشن قهوه ای، ۲۰ سطر [ف: ۵-۳۷۳]</w:t>
      </w:r>
    </w:p>
    <w:p>
      <w:pPr>
        <w:pStyle w:val="Heading3"/>
      </w:pPr>
      <w:bookmarkStart w:id="1703" w:name="_Toc963"/>
      <w:r>
        <w:t>• پرسش و پاسخ / گوناگون / عربی</w:t>
      </w:r>
      <w:bookmarkEnd w:id="1703"/>
    </w:p>
    <w:p>
      <w:pPr>
        <w:pStyle w:val="BookText"/>
      </w:pPr>
      <w:r>
        <w:rPr>
          <w:rFonts w:ascii="Times New Roman" w:hAnsi="Times New Roman" w:eastAsia="Times New Roman" w:cs="Times New Roman"/>
          <w:lang w:val="en-US" w:bidi="en-US"/>
          <w:color w:val="111111"/>
          <w:sz w:val="28"/>
          <w:szCs w:val="28"/>
          <w:rtl/>
        </w:rPr>
        <w:t xml:space="preserve">porseš va pāsox</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۴۵۷/۱</w:t>
      </w:r>
    </w:p>
    <w:p>
      <w:pPr>
        <w:pStyle w:val="BookText"/>
      </w:pPr>
      <w:r>
        <w:rPr>
          <w:rFonts w:ascii="IRNazanin" w:hAnsi="IRNazanin" w:eastAsia="IRNazanin" w:cs="IRNazanin"/>
          <w:lang w:bidi="fa-IR"/>
          <w:color w:val="111111"/>
          <w:sz w:val="28"/>
          <w:szCs w:val="28"/>
          <w:rtl/>
        </w:rPr>
        <w:t xml:space="preserve">آغاز: الثلاثة فهو المطلوب و هو الذي نسميه بالروح؛ انجام: و أما ذلك الموجود و ماهيته لا يعلمه الا الله سبحانه و تعالی</w:t>
      </w:r>
    </w:p>
    <w:p>
      <w:pPr>
        <w:pStyle w:val="BookText"/>
      </w:pPr>
      <w:r>
        <w:rPr>
          <w:rFonts w:ascii="IRNazanin" w:hAnsi="IRNazanin" w:eastAsia="IRNazanin" w:cs="IRNazanin"/>
          <w:lang w:bidi="fa-IR"/>
          <w:color w:val="111111"/>
          <w:sz w:val="28"/>
          <w:szCs w:val="28"/>
          <w:rtl/>
        </w:rPr>
        <w:t xml:space="preserve">پرسش و پاسخ های پراکنده ای است در موضوعات مختلف فقهی و گاهی اعتقادی که از علامه حلی و فرزندش فخر المحققين شده است، پاسخ ها نسبتا مفصل و استدلالی می باشد؛ خط: نسخ نازیبا، كان نصر الله بن برقع طرفی، تا: غره شعبان ۹۶۳ق؛ افتادگی: آغاز؛ جلد: تیماج قرمز، ۱۰۵گ (۱ر۱۰۵پ)، ۲۳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۲-۵۹]</w:t>
      </w:r>
    </w:p>
    <w:p>
      <w:pPr>
        <w:pStyle w:val="BookText"/>
      </w:pPr>
      <w:r>
        <w:rPr>
          <w:rFonts w:ascii="IRNazanin" w:hAnsi="IRNazanin" w:eastAsia="IRNazanin" w:cs="IRNazanin"/>
          <w:lang w:bidi="fa-IR"/>
          <w:color w:val="111111"/>
          <w:sz w:val="28"/>
          <w:szCs w:val="28"/>
          <w:rtl/>
        </w:rPr>
        <w:t xml:space="preserve">۲. تهران؛ ملک؛ شماره نسخه: ۶۱۱۵/۵</w:t>
      </w:r>
    </w:p>
    <w:p>
      <w:pPr>
        <w:pStyle w:val="BookText"/>
      </w:pPr>
      <w:r>
        <w:rPr>
          <w:rFonts w:ascii="IRNazanin" w:hAnsi="IRNazanin" w:eastAsia="IRNazanin" w:cs="IRNazanin"/>
          <w:lang w:bidi="fa-IR"/>
          <w:color w:val="111111"/>
          <w:sz w:val="28"/>
          <w:szCs w:val="28"/>
          <w:rtl/>
        </w:rPr>
        <w:t xml:space="preserve">آغاز: سئل أحد من الطلاب من مسئلة استفهامات القرآن. بسمله. الحمدلله الذي ابدع جوهريات ذوات اهل انشاء ... و بعد لما سئل احد من الطلاب؛ انجام: سبحان الله رب العرش عما يصفون، و السلام على المرسلین، و الحمدلله رب العالمين خط: نستعلیق، بی کا، تا: قرن ۱۳؛ جلد: میشن قهوه ای، ۴۴گ (۲۰ر۶۳ر)، ۱۹ سطر [ف: ۹-۱۷۱]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 ۲۸۶۵</w:t>
      </w:r>
    </w:p>
    <w:p>
      <w:pPr>
        <w:pStyle w:val="BookText"/>
      </w:pPr>
      <w:r>
        <w:rPr>
          <w:rFonts w:ascii="IRNazanin" w:hAnsi="IRNazanin" w:eastAsia="IRNazanin" w:cs="IRNazanin"/>
          <w:lang w:bidi="fa-IR"/>
          <w:color w:val="111111"/>
          <w:sz w:val="28"/>
          <w:szCs w:val="28"/>
          <w:rtl/>
        </w:rPr>
        <w:t xml:space="preserve">پرسش این کمونه از طوسی و پاسخ او؛ بی کا، بی تاب؛ ۳گ (۳۹پ - ۴۱پ) [سنا: ف: ۱-۱۴۶]</w:t>
      </w:r>
    </w:p>
    <w:p>
      <w:pPr>
        <w:pStyle w:val="BookText"/>
      </w:pPr>
      <w:r>
        <w:rPr>
          <w:rFonts w:ascii="IRNazanin" w:hAnsi="IRNazanin" w:eastAsia="IRNazanin" w:cs="IRNazanin"/>
          <w:lang w:bidi="fa-IR"/>
          <w:color w:val="111111"/>
          <w:sz w:val="28"/>
          <w:szCs w:val="28"/>
          <w:rtl/>
        </w:rPr>
        <w:t xml:space="preserve">۴. تهران؛ مجلس؛ شماره نسخه: ۷۷۰/۴۴ - طباطبائی</w:t>
      </w:r>
    </w:p>
    <w:p>
      <w:pPr>
        <w:pStyle w:val="BookText"/>
      </w:pPr>
      <w:r>
        <w:rPr>
          <w:rFonts w:ascii="IRNazanin" w:hAnsi="IRNazanin" w:eastAsia="IRNazanin" w:cs="IRNazanin"/>
          <w:lang w:bidi="fa-IR"/>
          <w:color w:val="111111"/>
          <w:sz w:val="28"/>
          <w:szCs w:val="28"/>
          <w:rtl/>
        </w:rPr>
        <w:t xml:space="preserve">آغاز: ان قلت ما اسم ام موسى عليه السلام قلت الروايات في ذلك مختلفه درباره چند حدیث مشکل. چند پرسش است و از آن جمله از حديث «الحمام يوم و يوم لا ... » با عنوان سؤال و جواب و یا آن قلت و قلت؛ بی کا، بی تا؛ کاغذ: فرنگی سفید آهار مهره، جلد: تیماج مشکی، ۲۱۰گ (حاشیه)، ۱۹، ۲۰ و ۲۷ سطر، قطع: رقعی،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۲۳-۷۱]</w:t>
      </w:r>
    </w:p>
    <w:p>
      <w:pPr>
        <w:pStyle w:val="Heading3"/>
      </w:pPr>
      <w:bookmarkStart w:id="1704" w:name="_Toc964"/>
      <w:r>
        <w:t>• پرسش و پاسخ / گوناگون / فارسی</w:t>
      </w:r>
      <w:bookmarkEnd w:id="1704"/>
    </w:p>
    <w:p>
      <w:pPr>
        <w:pStyle w:val="BookText"/>
      </w:pPr>
      <w:r>
        <w:rPr>
          <w:rFonts w:ascii="Times New Roman" w:hAnsi="Times New Roman" w:eastAsia="Times New Roman" w:cs="Times New Roman"/>
          <w:lang w:val="en-US" w:bidi="en-US"/>
          <w:color w:val="111111"/>
          <w:sz w:val="28"/>
          <w:szCs w:val="28"/>
          <w:rtl/>
        </w:rPr>
        <w:t xml:space="preserve">porseš va pāsox</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IRNazanin" w:hAnsi="IRNazanin" w:eastAsia="IRNazanin" w:cs="IRNazanin"/>
          <w:lang w:bidi="fa-IR"/>
          <w:color w:val="111111"/>
          <w:sz w:val="28"/>
          <w:szCs w:val="28"/>
          <w:rtl/>
        </w:rPr>
        <w:t xml:space="preserve">۱. قم، مرکز احیاء؛ شماره نسخه: ۴۲۳۶</w:t>
      </w:r>
    </w:p>
    <w:p>
      <w:pPr>
        <w:pStyle w:val="BookText"/>
      </w:pPr>
      <w:r>
        <w:rPr>
          <w:rFonts w:ascii="IRNazanin" w:hAnsi="IRNazanin" w:eastAsia="IRNazanin" w:cs="IRNazanin"/>
          <w:lang w:bidi="fa-IR"/>
          <w:color w:val="111111"/>
          <w:sz w:val="28"/>
          <w:szCs w:val="28"/>
          <w:rtl/>
        </w:rPr>
        <w:t xml:space="preserve">آغاز: زیر سایه شاخها همی نشینند چون بید و زیتون و نی و ماننده آن زیرا که ایشانرا فرموده آمد که نشینید زیر بامهای خانه و سایه شاخ را دارید تا یادگار باشد از سایه ایزدی؛ انجام: و صواب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آنست که اندر جدول نهیم همچنانکه بروج را و کواکب را کردیم و جنس از جنس جدا تا یافتن آن بجستن و اندر یافتنش بدانستن آسانتر باشد ان شاء الله تعالی.</w:t>
      </w:r>
    </w:p>
    <w:p>
      <w:pPr>
        <w:pStyle w:val="BookText"/>
      </w:pPr>
      <w:r>
        <w:rPr>
          <w:rFonts w:ascii="IRNazanin" w:hAnsi="IRNazanin" w:eastAsia="IRNazanin" w:cs="IRNazanin"/>
          <w:lang w:bidi="fa-IR"/>
          <w:color w:val="111111"/>
          <w:sz w:val="28"/>
          <w:szCs w:val="28"/>
          <w:rtl/>
        </w:rPr>
        <w:t xml:space="preserve">پرسش هایی است در مسائل نجومی با پاسخ آنها و در آن مفصل به تشریح اسطرلاب پرداخته و جدولهای بسیاری درباره نجوم و اختیارات ایام آورده و در آغاز مفصلا به اعیاد پارسیان و ایام سال ایشان پرداخته و متن آن از پارسی سده ششم یا هفتم می باشد که چون آغاز و انجام کتاب افتاده معلوم نشد که چیست؛ خط: نستعلیق، بی کا، تا: قرن ۸ افتادگی: آغاز و انجام؛ دارای اشکال هندسی، مصحح؛ تملک با مهر «یاعلی الاعلی» (مربع)؛ جلد: تیماج قهوه ای بدون مقوا، ۶۳، ۱۸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سم</w:t>
      </w:r>
    </w:p>
    <w:p>
      <w:pPr>
        <w:pStyle w:val="BookText"/>
      </w:pPr>
      <w:r>
        <w:rPr>
          <w:rFonts w:ascii="IRNazanin" w:hAnsi="IRNazanin" w:eastAsia="IRNazanin" w:cs="IRNazanin"/>
          <w:lang w:bidi="fa-IR"/>
          <w:color w:val="111111"/>
          <w:sz w:val="28"/>
          <w:szCs w:val="28"/>
          <w:rtl/>
        </w:rPr>
        <w:t xml:space="preserve">[محدث ارموی مخ: ۱-۲۶۶]</w:t>
      </w:r>
    </w:p>
    <w:p>
      <w:pPr>
        <w:pStyle w:val="BookText"/>
      </w:pPr>
      <w:r>
        <w:rPr>
          <w:rFonts w:ascii="IRNazanin" w:hAnsi="IRNazanin" w:eastAsia="IRNazanin" w:cs="IRNazanin"/>
          <w:lang w:bidi="fa-IR"/>
          <w:color w:val="111111"/>
          <w:sz w:val="28"/>
          <w:szCs w:val="28"/>
          <w:rtl/>
        </w:rPr>
        <w:t xml:space="preserve">۲. تهران؛ مینوی؛ شماره نسخه: ۱۰۷/۱</w:t>
      </w:r>
    </w:p>
    <w:p>
      <w:pPr>
        <w:pStyle w:val="BookText"/>
      </w:pPr>
      <w:r>
        <w:rPr>
          <w:rFonts w:ascii="IRNazanin" w:hAnsi="IRNazanin" w:eastAsia="IRNazanin" w:cs="IRNazanin"/>
          <w:lang w:bidi="fa-IR"/>
          <w:color w:val="111111"/>
          <w:sz w:val="28"/>
          <w:szCs w:val="28"/>
          <w:rtl/>
        </w:rPr>
        <w:t xml:space="preserve">پرسش و پاسخ میان مردی صاحب دل و چنگ و اجزای چنگ؛ خط: نسخ، كا: شیخ محمود، تا: ۸۶۴ق، جا: شیراز؛ برای ابوالفتح پسر بوداق بهادر خان پسر جهانشاه پسر قره يوسف ترکمان قرقوینلو نقل شده است. گردآورنده حسام محمد رشید خوارزمی است از قرن ۸ و ۹. از روی نسخه ش ۱۳۴ چستر بیتی (۶۴/۲) [نشریه: ۶-۶۸۱]</w:t>
      </w:r>
    </w:p>
    <w:p>
      <w:pPr>
        <w:pStyle w:val="BookText"/>
      </w:pPr>
      <w:r>
        <w:rPr>
          <w:rFonts w:ascii="IRNazanin" w:hAnsi="IRNazanin" w:eastAsia="IRNazanin" w:cs="IRNazanin"/>
          <w:lang w:bidi="fa-IR"/>
          <w:color w:val="111111"/>
          <w:sz w:val="28"/>
          <w:szCs w:val="28"/>
          <w:rtl/>
        </w:rPr>
        <w:t xml:space="preserve">٣. تهران؛ مجلس؛ شماره نسخه: ۱۳۸۴۲/۳۳</w:t>
      </w:r>
    </w:p>
    <w:p>
      <w:pPr>
        <w:pStyle w:val="BookText"/>
      </w:pPr>
      <w:r>
        <w:rPr>
          <w:rFonts w:ascii="IRNazanin" w:hAnsi="IRNazanin" w:eastAsia="IRNazanin" w:cs="IRNazanin"/>
          <w:lang w:bidi="fa-IR"/>
          <w:color w:val="111111"/>
          <w:sz w:val="28"/>
          <w:szCs w:val="28"/>
          <w:rtl/>
        </w:rPr>
        <w:t xml:space="preserve">آغاز: مشرفه مهرداد و شريف سلاطغ لطيف خط: نستعلیق، بی کا، تا: ۱۰۳۶ق؛ جلد: مقوایی آبی عطف پارچه، ۴گ (۲۲۸ر -۲۳۱پ)، ۱۸ سطر [ف: ۳۷-۴۰۷]</w:t>
      </w:r>
    </w:p>
    <w:p>
      <w:pPr>
        <w:pStyle w:val="BookText"/>
      </w:pPr>
      <w:r>
        <w:rPr>
          <w:rFonts w:ascii="IRNazanin" w:hAnsi="IRNazanin" w:eastAsia="IRNazanin" w:cs="IRNazanin"/>
          <w:lang w:bidi="fa-IR"/>
          <w:color w:val="111111"/>
          <w:sz w:val="28"/>
          <w:szCs w:val="28"/>
          <w:rtl/>
        </w:rPr>
        <w:t xml:space="preserve">۴. تهران: دانشگاه؛ شماره نسخه: ۲۹۵۰/۸۲</w:t>
      </w:r>
    </w:p>
    <w:p>
      <w:pPr>
        <w:pStyle w:val="BookText"/>
      </w:pPr>
      <w:r>
        <w:rPr>
          <w:rFonts w:ascii="Amiri" w:hAnsi="Amiri" w:eastAsia="Amiri" w:cs="Amiri"/>
          <w:lang w:bidi="ar-SA"/>
          <w:color w:val="111111"/>
          <w:sz w:val="28"/>
          <w:szCs w:val="28"/>
          <w:rtl/>
        </w:rPr>
        <w:t xml:space="preserve">آغاز: شرطين.</w:t>
      </w:r>
    </w:p>
    <w:p>
      <w:pPr>
        <w:pStyle w:val="BookText"/>
      </w:pPr>
      <w:r>
        <w:rPr>
          <w:rFonts w:ascii="IRNazanin" w:hAnsi="IRNazanin" w:eastAsia="IRNazanin" w:cs="IRNazanin"/>
          <w:lang w:bidi="fa-IR"/>
          <w:color w:val="111111"/>
          <w:sz w:val="28"/>
          <w:szCs w:val="28"/>
          <w:rtl/>
        </w:rPr>
        <w:t xml:space="preserve">سئوال کردی از برآمدن کار بدان عدد صفحات و سطور بشمار نیست کردی از جای بجای نقل کردن بشارت باد که مبار کست؛ انجام: نیست کردی از بهر شرکت عاقبت خیر و خوبی بابی.</w:t>
      </w:r>
    </w:p>
    <w:p>
      <w:pPr>
        <w:pStyle w:val="BookText"/>
      </w:pPr>
      <w:r>
        <w:rPr>
          <w:rFonts w:ascii="IRNazanin" w:hAnsi="IRNazanin" w:eastAsia="IRNazanin" w:cs="IRNazanin"/>
          <w:lang w:bidi="fa-IR"/>
          <w:color w:val="111111"/>
          <w:sz w:val="28"/>
          <w:szCs w:val="28"/>
          <w:rtl/>
        </w:rPr>
        <w:t xml:space="preserve">درباره ۲۴ منزل ماه. برای هر منزلی پنج سطر در ده بند که بند یکم سطر یکم «سئوال کردی ... بشمار» است و آغاز دیگر بندها نیست کردی»؛ خط: نستعلیق، بی کا، تا: قرن ۱۱ و ۱۲؛ کاغذ: سپاهانی، جلد: تیماج حنایی ضربی مقوایی، ۵گ (۴۷۷-۴۸۱)، ابعاد متن: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w:t>
      </w:r>
    </w:p>
    <w:p>
      <w:pPr>
        <w:pStyle w:val="BookText"/>
      </w:pPr>
      <w:r>
        <w:rPr>
          <w:rFonts w:ascii="IRNazanin" w:hAnsi="IRNazanin" w:eastAsia="IRNazanin" w:cs="IRNazanin"/>
          <w:lang w:bidi="fa-IR"/>
          <w:color w:val="111111"/>
          <w:sz w:val="28"/>
          <w:szCs w:val="28"/>
          <w:rtl/>
        </w:rPr>
        <w:t xml:space="preserve">۲۶/۵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۱۰-۱۸۴۴]</w:t>
      </w:r>
    </w:p>
    <w:p>
      <w:pPr>
        <w:pStyle w:val="BookText"/>
      </w:pPr>
      <w:r>
        <w:rPr>
          <w:rFonts w:ascii="IRNazanin" w:hAnsi="IRNazanin" w:eastAsia="IRNazanin" w:cs="IRNazanin"/>
          <w:lang w:bidi="fa-IR"/>
          <w:color w:val="111111"/>
          <w:sz w:val="28"/>
          <w:szCs w:val="28"/>
          <w:rtl/>
        </w:rPr>
        <w:t xml:space="preserve">۵. تهران؛ ملک؛ شماره نسخه: ۱۵۹۷/۳</w:t>
      </w:r>
    </w:p>
    <w:p>
      <w:pPr>
        <w:pStyle w:val="BookText"/>
      </w:pPr>
      <w:r>
        <w:rPr>
          <w:rFonts w:ascii="IRNazanin" w:hAnsi="IRNazanin" w:eastAsia="IRNazanin" w:cs="IRNazanin"/>
          <w:lang w:bidi="fa-IR"/>
          <w:color w:val="111111"/>
          <w:sz w:val="28"/>
          <w:szCs w:val="28"/>
          <w:rtl/>
        </w:rPr>
        <w:t xml:space="preserve">درباره خبر «لو علم ابوذر .»؛ خط: نسخ، بی کا، تا: قرن ۱۲ [ف:</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قم، مرکز احیاء؛ شماره نسخه: ۲۰۳۲/۳</w:t>
      </w:r>
    </w:p>
    <w:p>
      <w:pPr>
        <w:pStyle w:val="BookText"/>
      </w:pPr>
      <w:r>
        <w:rPr>
          <w:rFonts w:ascii="IRNazanin" w:hAnsi="IRNazanin" w:eastAsia="IRNazanin" w:cs="IRNazanin"/>
          <w:lang w:bidi="fa-IR"/>
          <w:color w:val="111111"/>
          <w:sz w:val="28"/>
          <w:szCs w:val="28"/>
          <w:rtl/>
        </w:rPr>
        <w:t xml:space="preserve">آغاز: ما قول الأئمة رحمهم الله تعالی در اینکه مسلمین دیار هند و بنگاله ظرف های پر از اطعمه و فواکه گوناگون را در ایام معدوده نسخه اصل: کتابخانه گنج بخش - پاکستان ۳۱۴۸. بعضی از اهل هند و بنگاله بر ظروف غذا و میوه فاتحه و دیگر آیات قرآنی خوانده و ثوابش را بر اموات می بخشند. سپس صدقه داده آن ماكولات را می خورند، آیا این کار جائز است؟ و نیز سؤالاتی از این قبیل و نیز جواز روغن مالیدن بر بدن به چه صورت است؟ شخصی به روش اهل سنت بدین سؤالها پاسخ گفته و عده ای نیز آن را تایید کرده اند؛ خط: نستعلیق، بی کا، تا: ۲۷ ذیقعده ۱۲۵۶ق؛ وص (۱۷۴-۱۸۲) [عکسی ف: ۶-۵۰]</w:t>
      </w:r>
    </w:p>
    <w:p>
      <w:pPr>
        <w:pStyle w:val="BookText"/>
      </w:pPr>
      <w:r>
        <w:rPr>
          <w:rFonts w:ascii="IRNazanin" w:hAnsi="IRNazanin" w:eastAsia="IRNazanin" w:cs="IRNazanin"/>
          <w:lang w:bidi="fa-IR"/>
          <w:color w:val="111111"/>
          <w:sz w:val="28"/>
          <w:szCs w:val="28"/>
          <w:rtl/>
        </w:rPr>
        <w:t xml:space="preserve">۷. تهران؛ مجلس؛ شماره نسخه: ۴۰۶۱</w:t>
      </w:r>
    </w:p>
    <w:p>
      <w:pPr>
        <w:pStyle w:val="BookText"/>
      </w:pPr>
      <w:r>
        <w:rPr>
          <w:rFonts w:ascii="IRNazanin" w:hAnsi="IRNazanin" w:eastAsia="IRNazanin" w:cs="IRNazanin"/>
          <w:lang w:bidi="fa-IR"/>
          <w:color w:val="111111"/>
          <w:sz w:val="28"/>
          <w:szCs w:val="28"/>
          <w:rtl/>
        </w:rPr>
        <w:t xml:space="preserve">آغاز: این مختصر رساله ایست در سئوال و جواب که انتخاب شده است از عقاید عملیات دین عیسویان و مبتنی است بر پانزده فصل؛ انجام: و بدینواسطه با وجود عنایت الهی حیات جاودانی را دریابند. تاریخ فراغت از تحرير مطابق سنه مسیحی سال ۱۸۴۶ بود در بیان عقاید و عملیات عيسويان (جماعت کاتولیک). از کشیش استپانوس کاتلیک بن آراطون بن کشیش یوحنا، ساکن جولاهه دارالسلطنه اصفهان، که آن را برای کودکانه در مدرسه وی تحصیل می کرده اند نگاشته، و در ۱۸۴۶ میلادی به پایان برده است: دارای ۱۵ «فصل» که ۵ فصل افزوده شده، در بیان: ۱. نشان عیسویان، ۲. آنچه لازمست بر عیسویان که بدانند، ۳. معنی اسرار، ۴. دین، باقی معنى اسرار دین، ۵. عملیات و بیان ده حكم الهی، ۶. احکام کلیسا، ۷. مناجاتیات، ۸ دعایی که آنرا سلام ملائکتی می گویند، ۹. توجه بحباب مریم و عزت صورتها، ۱۰. هفت اسرار مقدس متعارف در کلیسیای مقدس، ۱۱. فضایل نیکو ئیها، ۱۲. عطایای روح القدس و سعادتمنديها، ۱۳. کارهای رحمت، ۱۴. گناههای کبیره و معالجه آنها، ۱۵. چهار چیز واپسین (افزوده شده): عمل اعتقاد، عمل امید، عمل محبت، عمل پشیمانی، عمل توبه؛ خط: نستعلیق، بی کا، تا: ۱۲۶۲ق؛ با سرلوح که تصویر کشیشی است در محراب که کتابی را می نمایاند، سؤال و جوابها «س» و «ج»؛ کاغذ: فرنگی، جلد: تیماج نخودی، ۱۱۶گ، ۹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۱۱-۵۹]</w:t>
      </w:r>
    </w:p>
    <w:p>
      <w:pPr>
        <w:pStyle w:val="BookText"/>
      </w:pPr>
      <w:r>
        <w:rPr>
          <w:rFonts w:ascii="IRNazanin" w:hAnsi="IRNazanin" w:eastAsia="IRNazanin" w:cs="IRNazanin"/>
          <w:lang w:bidi="fa-IR"/>
          <w:color w:val="111111"/>
          <w:sz w:val="28"/>
          <w:szCs w:val="28"/>
          <w:rtl/>
        </w:rPr>
        <w:t xml:space="preserve">۸. تهران، دانشگاه؛ شماره نسخه: ۸۶۹/۱</w:t>
      </w:r>
    </w:p>
    <w:p>
      <w:pPr>
        <w:pStyle w:val="BookText"/>
      </w:pPr>
      <w:r>
        <w:rPr>
          <w:rFonts w:ascii="IRNazanin" w:hAnsi="IRNazanin" w:eastAsia="IRNazanin" w:cs="IRNazanin"/>
          <w:lang w:bidi="fa-IR"/>
          <w:color w:val="111111"/>
          <w:sz w:val="28"/>
          <w:szCs w:val="28"/>
          <w:rtl/>
        </w:rPr>
        <w:t xml:space="preserve">آغاز: بسمله الحمدلله رب العالمين ... قد ارسل الى جناب العالم ... الشيخ محمد بن المرحوم الشيخ امام الدين الكردستانی ... بمسائل معضلة و قد امرنی ... ان اجيب عنها بلسان الفرس؛ انجام: و در اینجا بهمین قدر اکتفا میشود. در این که نمی شود بهشت و دوزخ همیشگی و نامتناهی باشند و آن را محمد بن شیخ امام الدین کردستانی پرسیده و پاسخ گرفت؛ خط: نسخ، بی کا، تا: ۱۵ ربیع الثانی ۱۲۷۲ق، ۳۴گ (۱پ -۳۴ر) [ف: ۳-۵۴۶]</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تهران: دائرة المعارف؛ شماره نسخه: ۸۷۲</w:t>
      </w:r>
    </w:p>
    <w:p>
      <w:pPr>
        <w:pStyle w:val="BookText"/>
      </w:pPr>
      <w:r>
        <w:rPr>
          <w:rFonts w:ascii="IRNazanin" w:hAnsi="IRNazanin" w:eastAsia="IRNazanin" w:cs="IRNazanin"/>
          <w:lang w:bidi="fa-IR"/>
          <w:color w:val="111111"/>
          <w:sz w:val="28"/>
          <w:szCs w:val="28"/>
          <w:rtl/>
        </w:rPr>
        <w:t xml:space="preserve">آغاز: فرموده بودند و جواب آن في هذه الرساله على سبيل الاقتصار عرض شد ... بسمله. التقديس لجلالك اللهم يا قدوس یا بارى العقول و النفوس ... از آنجا که قلب منیر انور خاطر خطير اطهر شاهنشاه جمجاه؛ انجام: مظهر قدوس اشرف است. و الله عالم بسراير الامور. هذا ما كتبته على ما أمرت به واسئل الله أن يجعله مقبولا في حضرته ...</w:t>
      </w:r>
    </w:p>
    <w:p>
      <w:pPr>
        <w:pStyle w:val="BookText"/>
      </w:pPr>
      <w:r>
        <w:rPr>
          <w:rFonts w:ascii="IRNazanin" w:hAnsi="IRNazanin" w:eastAsia="IRNazanin" w:cs="IRNazanin"/>
          <w:lang w:bidi="fa-IR"/>
          <w:color w:val="111111"/>
          <w:sz w:val="28"/>
          <w:szCs w:val="28"/>
          <w:rtl/>
        </w:rPr>
        <w:t xml:space="preserve">پاسخی است درباره تأویل آیه شریفه «خلق السماوات و الأرض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91" w:name="pg20363_209551"/>
    <w:bookmarkEnd w:id="291"/>
    <w:p>
      <w:pPr>
        <w:pStyle w:val="BookText"/>
      </w:pPr>
      <w:r>
        <w:rPr>
          <w:rFonts w:ascii="IRNazanin" w:hAnsi="IRNazanin" w:eastAsia="IRNazanin" w:cs="IRNazanin"/>
          <w:lang w:bidi="fa-IR"/>
          <w:color w:val="111111"/>
          <w:sz w:val="28"/>
          <w:szCs w:val="28"/>
          <w:rtl/>
        </w:rPr>
        <w:t xml:space="preserve">في ستة ايام» و آیه «و وعدنا موسى ثلاثين ليلة و اتمناها بعشر ...» و اینکه چگونه جهان را در شش روز آفرید و افاضه تورات بر موسی را در چهل روز. از نگاشته های روزگار ناصری (۱۲۶۴ ۱۳۱۳ق). پاسخی عرفانی، به شیوه کهن آن روزی؛ خط: ثلث، بی کا، تا: قرن ۱۴؛ افتادگی: آغاز؛ فاقد جلد، ۲۰ ، ۱۱سطر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۲-۳۳]</w:t>
      </w:r>
    </w:p>
    <w:p>
      <w:pPr>
        <w:pStyle w:val="BookText"/>
      </w:pPr>
      <w:r>
        <w:rPr>
          <w:rFonts w:ascii="Amiri" w:hAnsi="Amiri" w:eastAsia="Amiri" w:cs="Amiri"/>
          <w:lang w:bidi="ar-SA"/>
          <w:color w:val="111111"/>
          <w:sz w:val="28"/>
          <w:szCs w:val="28"/>
          <w:rtl/>
        </w:rPr>
        <w:t xml:space="preserve">۱۰. مشهد؛ الهيات؛ شماره نسخه: ۱۴۸۶۵/۱۳</w:t>
      </w:r>
    </w:p>
    <w:p>
      <w:pPr>
        <w:pStyle w:val="BookText"/>
      </w:pPr>
      <w:r>
        <w:rPr>
          <w:rFonts w:ascii="IRNazanin" w:hAnsi="IRNazanin" w:eastAsia="IRNazanin" w:cs="IRNazanin"/>
          <w:lang w:bidi="fa-IR"/>
          <w:color w:val="111111"/>
          <w:sz w:val="28"/>
          <w:szCs w:val="28"/>
          <w:rtl/>
        </w:rPr>
        <w:t xml:space="preserve">آغاز: بسمله تيمنا و تبرکا این جواب و سئوال که در زمان دولت شاه درویش خصال شاه عباس صفوی موسوی حسینی در وقتی که عبدالمؤمن خان ... سلطان ماوراء النهر و ترکستان مشهد مقدس را محاصره داشت ...</w:t>
      </w:r>
    </w:p>
    <w:p>
      <w:pPr>
        <w:pStyle w:val="BookText"/>
      </w:pPr>
      <w:r>
        <w:rPr>
          <w:rFonts w:ascii="IRNazanin" w:hAnsi="IRNazanin" w:eastAsia="IRNazanin" w:cs="IRNazanin"/>
          <w:lang w:bidi="fa-IR"/>
          <w:color w:val="111111"/>
          <w:sz w:val="28"/>
          <w:szCs w:val="28"/>
          <w:rtl/>
        </w:rPr>
        <w:t xml:space="preserve">همانست که در مجالس المؤمنین قاضی نورالله چاپ شده است.؛ خط: شکسته، نستعلیق، كا: احمد بن آقا حیدر خوانساری، بی تا؛ جلد: تیماج ضربی نیلی، ۱۵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۲-۱۷۲]</w:t>
      </w:r>
    </w:p>
    <w:p>
      <w:pPr>
        <w:pStyle w:val="BookText"/>
      </w:pPr>
      <w:r>
        <w:rPr>
          <w:rFonts w:ascii="IRNazanin" w:hAnsi="IRNazanin" w:eastAsia="IRNazanin" w:cs="IRNazanin"/>
          <w:lang w:bidi="fa-IR"/>
          <w:color w:val="111111"/>
          <w:sz w:val="28"/>
          <w:szCs w:val="28"/>
          <w:rtl/>
        </w:rPr>
        <w:t xml:space="preserve">۱۱. قم؛ مرعشی؛ شماره نسخه: ۱۵۱</w:t>
      </w:r>
    </w:p>
    <w:p>
      <w:pPr>
        <w:pStyle w:val="BookText"/>
      </w:pPr>
      <w:r>
        <w:rPr>
          <w:rFonts w:ascii="IRNazanin" w:hAnsi="IRNazanin" w:eastAsia="IRNazanin" w:cs="IRNazanin"/>
          <w:lang w:bidi="fa-IR"/>
          <w:color w:val="111111"/>
          <w:sz w:val="28"/>
          <w:szCs w:val="28"/>
          <w:rtl/>
        </w:rPr>
        <w:t xml:space="preserve">این مجموعه دارای دو قسمت است که به دو خط روی دو نوع کاغذ نوشته شده و در صحافی با هم جلد شده است. در قسمت اول پرسش هایی است بیشتر فقهی که از گروهی از دانشمندان شده و به نام آنها تصریح می کند، و پس از آن پاسخی که داده شده عینا می آورد، و بنا به عقیده حضرت آية الله مرعشی مؤلف از دانشمندان بزرگ و از شاگردان حاج سید محمد باقر گیلانی می باشد. نام پاسخگویان به قسمت اول: سید محمد مجاهد طباطبائی، ملا محمد تقی برغانی، ملا محمد صالح برغانی، میرزا ابوطالب قمی، میرزا علی رضا طاهری قمی، آقا محمود پسر صاحب مقامع، سيد نصر الله استر آبادی، ملا ابو الحسن طهرانی، ملا محمد کاظم مازندرانی هزار جریبی، ملا محمد تقی مازندرانی حاج ملا حسین یزدی، شريف العلماء مازندرانی، ملا محمد جعفر استر آبادی، ملا اسماعیل کاشی معروف به عرب، ملا محمد بن ملا احمد نراقی، شیخ علی بن جعفر کاشف الغطاء، شیخ عبدالله مامقانی، ملا احمد تجریشی، حاج ملا رفیع گیلانی، حاج میرزا مهدی رشتی، آقا محمد مهدی کرباسی، حاج سید تقی قزوینی، سید صدرالدین عاملی اصفهانی، سید اسماعیل بهبهانی طهرانی. در قسمت دوم بیشتر پرسش ها از معنی پاره ای از روایت هاست. پرسش ها در متن نوشته شده و پاسخ ها در حاشیه، و بسیاری از پرسش ها بدون پاسخ مانده است، و بنا به عقیده آية الله مرعشی پرسش ها از بعضی معاصرین شیخ احمد بن اسماعيل جزائري صاحب آیات الاحکام می باشد؛ خط: نستعلیق، بی کا، بی تاب تملك: ريحان الله بن جعفر موسوی و تاریخ ۱۳ شعبان ۱۳۲۲ و مهر «العبد ریحان الله الموسوی» (بیضوی)؛ در حاشیه برگ ۶۲ گواهی است به اجتهاد میرزا محمد تقی نوری با مهر «جلال الدین الحسینی» (بیضوی)؛ جلد: تیماج قهوه ای، ۲۱۱گ، مختلف السطر،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۱-۱۷۲]</w:t>
      </w:r>
    </w:p>
    <w:p>
      <w:pPr>
        <w:pStyle w:val="BookText"/>
      </w:pPr>
      <w:r>
        <w:rPr>
          <w:rFonts w:ascii="IRNazanin" w:hAnsi="IRNazanin" w:eastAsia="IRNazanin" w:cs="IRNazanin"/>
          <w:lang w:bidi="fa-IR"/>
          <w:color w:val="111111"/>
          <w:sz w:val="28"/>
          <w:szCs w:val="28"/>
          <w:rtl/>
        </w:rPr>
        <w:t xml:space="preserve">۱۲. تهران، دانشگاه؛ شماره نسخه: ۸۶۹/۲</w:t>
      </w:r>
    </w:p>
    <w:p>
      <w:pPr>
        <w:pStyle w:val="BookText"/>
      </w:pPr>
      <w:r>
        <w:rPr>
          <w:rFonts w:ascii="IRNazanin" w:hAnsi="IRNazanin" w:eastAsia="IRNazanin" w:cs="IRNazanin"/>
          <w:lang w:bidi="fa-IR"/>
          <w:color w:val="111111"/>
          <w:sz w:val="28"/>
          <w:szCs w:val="28"/>
          <w:rtl/>
        </w:rPr>
        <w:t xml:space="preserve">آغاز: بسمهل. الحمدلله رب العالمين ... انه قد ارسل الى ... جناب الشيخ يوسف بن الشيخ محمد حسن الكردی ... بمسائل مشكله؛ انجام: و بدا در آن راهبر نیست و ممتنع است وقوع بدا در آن.</w:t>
      </w:r>
    </w:p>
    <w:p>
      <w:pPr>
        <w:pStyle w:val="BookText"/>
      </w:pPr>
      <w:r>
        <w:rPr>
          <w:rFonts w:ascii="IRNazanin" w:hAnsi="IRNazanin" w:eastAsia="IRNazanin" w:cs="IRNazanin"/>
          <w:lang w:bidi="fa-IR"/>
          <w:color w:val="111111"/>
          <w:sz w:val="28"/>
          <w:szCs w:val="28"/>
          <w:rtl/>
        </w:rPr>
        <w:t xml:space="preserve">در این که «ام الكتاب» چیست و پرسش شيخ يوسف بن شیخ محمد حسن کردی در کرمان این پاسخ به نگارش در آمد و نگارنده در دومی و سومی و چهارمی این پاسخ ها می گوید که به درخواست پر سندگان به پارسی نوشتم و گرنه مطلب های علمی را به پارسی دشوار توان نوشت؛ خط: نسخ، بی کا، بی تا، ۱۴گ (۳۵پ -۴۸پ) [ف: ۳-۵۴۷]</w:t>
      </w:r>
    </w:p>
    <w:p>
      <w:pPr>
        <w:pStyle w:val="BookText"/>
      </w:pPr>
      <w:r>
        <w:rPr>
          <w:rFonts w:ascii="IRNazanin" w:hAnsi="IRNazanin" w:eastAsia="IRNazanin" w:cs="IRNazanin"/>
          <w:lang w:bidi="fa-IR"/>
          <w:color w:val="111111"/>
          <w:sz w:val="28"/>
          <w:szCs w:val="28"/>
          <w:rtl/>
        </w:rPr>
        <w:t xml:space="preserve">۱۳. تهران، دانشگاه؛ شماره نسخه: ۸۶۹/۳</w:t>
      </w:r>
    </w:p>
    <w:p>
      <w:pPr>
        <w:pStyle w:val="BookText"/>
      </w:pPr>
      <w:r>
        <w:rPr>
          <w:rFonts w:ascii="IRNazanin" w:hAnsi="IRNazanin" w:eastAsia="IRNazanin" w:cs="IRNazanin"/>
          <w:lang w:bidi="fa-IR"/>
          <w:color w:val="111111"/>
          <w:sz w:val="28"/>
          <w:szCs w:val="28"/>
          <w:rtl/>
        </w:rPr>
        <w:t xml:space="preserve">آغاز: بسمله الحمدلله رب العالمين ... چنین ...... (سفید است که در ساعتی میمون و زمانی برکت مشحون که در گوشه انزوا غنوده بودم.؛ انجام: تعليقه سامی در ششم ماه ذی حجه بحقير رسید ... و اینک صبح هشتم است که با وجود اشتغال بمشاغل عدیده انجام یافت بقلم مصنفش در سه هزار و دویست و هفتاد هجری حامد او لاقوة الا بالله العلي العظيم درباره چند مسئله از کلام و فقه و پرسش امان الله خان دوم فرمانروای کردستان که در ۱۲۷۰ پاسخ داده شد؛ خط: نسخ، بی کا، بی تا؛ ۲۵گ (۴۹پ -۷۳پ) [ف: ۳-۵۴۷]</w:t>
      </w:r>
    </w:p>
    <w:p>
      <w:pPr>
        <w:pStyle w:val="BookText"/>
      </w:pPr>
      <w:r>
        <w:rPr>
          <w:rFonts w:ascii="IRNazanin" w:hAnsi="IRNazanin" w:eastAsia="IRNazanin" w:cs="IRNazanin"/>
          <w:lang w:bidi="fa-IR"/>
          <w:color w:val="111111"/>
          <w:sz w:val="28"/>
          <w:szCs w:val="28"/>
          <w:rtl/>
        </w:rPr>
        <w:t xml:space="preserve">۱۴. تهران، دانشگاه؛ شماره نسخه: ۸۶۹/۴</w:t>
      </w:r>
    </w:p>
    <w:p>
      <w:pPr>
        <w:pStyle w:val="BookText"/>
      </w:pPr>
      <w:r>
        <w:rPr>
          <w:rFonts w:ascii="IRNazanin" w:hAnsi="IRNazanin" w:eastAsia="IRNazanin" w:cs="IRNazanin"/>
          <w:lang w:bidi="fa-IR"/>
          <w:color w:val="111111"/>
          <w:sz w:val="28"/>
          <w:szCs w:val="28"/>
          <w:rtl/>
        </w:rPr>
        <w:t xml:space="preserve">آغاز: بسمله الحمدلله رب العالمين ... چنین گوید بنده ... (سفید است که در بهترین از منه و خوشترین آونه وارد شد؛ انجام: فارغ شدم از تحریر این اجوبه در شب ششم شهر ربيع الثانی سنه ۱۲۷۲ هزار و دویست و هفتاد و دو هجری حامدا مصليا مستغفرا.</w:t>
      </w:r>
    </w:p>
    <w:p>
      <w:pPr>
        <w:pStyle w:val="BookText"/>
      </w:pPr>
      <w:r>
        <w:rPr>
          <w:rFonts w:ascii="IRNazanin" w:hAnsi="IRNazanin" w:eastAsia="IRNazanin" w:cs="IRNazanin"/>
          <w:lang w:bidi="fa-IR"/>
          <w:color w:val="111111"/>
          <w:sz w:val="28"/>
          <w:szCs w:val="28"/>
          <w:rtl/>
        </w:rPr>
        <w:t xml:space="preserve">در کلام؛ خط: نسخ، بی کا، بی تا، دو برگ بریده است؛ ۲۶گ (۷۴پ-99ر) [ف: ۳-۵۴۷] ۱۵. تهران، دانشگاه؛ شماره نسخه: ۸۶۹/۵</w:t>
      </w:r>
    </w:p>
    <w:p>
      <w:pPr>
        <w:pStyle w:val="BookText"/>
      </w:pPr>
      <w:r>
        <w:rPr>
          <w:rFonts w:ascii="IRNazanin" w:hAnsi="IRNazanin" w:eastAsia="IRNazanin" w:cs="IRNazanin"/>
          <w:lang w:bidi="fa-IR"/>
          <w:color w:val="111111"/>
          <w:sz w:val="28"/>
          <w:szCs w:val="28"/>
          <w:rtl/>
        </w:rPr>
        <w:t xml:space="preserve">آغاز: بسمله الحمدلله رب العالمين ... انه قد اتانی جناب الحاج المعظم ... الحاج محمد صادق بمسائل من اصبهان؛ انجام: فارغ شد از تسوید این اوراق مصنفش ... (سفید است) ابراهیم در عصر يوم الثلثا هشتم شهر شوال سنه هزار و دویست و هفتاد هجری حامدا مصليا مستغفرا. در پاسخ پرسش سپاهانیان درباره قرآن که حاج محمد صادق آورده بود؛ خط: نسخ، بی کا، بی تا؛ ۲۹گ (۱۰۰-۱۲۸پ) [ف: ۵۴۷-۳ ]</w:t>
      </w:r>
    </w:p>
    <w:p>
      <w:pPr>
        <w:pStyle w:val="Heading3"/>
      </w:pPr>
      <w:bookmarkStart w:id="1705" w:name="_Toc965"/>
      <w:r>
        <w:t>•پرسش و پاسخ انوشیروان عادل و حکیم ابوذرجمهر / اخلاق / فارسی</w:t>
      </w:r>
      <w:bookmarkEnd w:id="1705"/>
    </w:p>
    <w:p>
      <w:pPr>
        <w:pStyle w:val="BookText"/>
      </w:pPr>
      <w:r>
        <w:rPr>
          <w:rFonts w:ascii="Times New Roman" w:hAnsi="Times New Roman" w:eastAsia="Times New Roman" w:cs="Times New Roman"/>
          <w:lang w:val="en-US" w:bidi="en-US"/>
          <w:color w:val="111111"/>
          <w:sz w:val="28"/>
          <w:szCs w:val="28"/>
          <w:rtl/>
        </w:rPr>
        <w:t xml:space="preserve">va hakām ‘ādel anūšīravān porseš va pāsox-e abūzarjomehr</w:t>
      </w:r>
    </w:p>
    <w:p>
      <w:pPr>
        <w:pStyle w:val="BookText"/>
      </w:pPr>
      <w:r>
        <w:rPr>
          <w:rFonts w:ascii="IRNazanin" w:hAnsi="IRNazanin" w:eastAsia="IRNazanin" w:cs="IRNazanin"/>
          <w:lang w:bidi="fa-IR"/>
          <w:color w:val="111111"/>
          <w:sz w:val="28"/>
          <w:szCs w:val="28"/>
          <w:rtl/>
        </w:rPr>
        <w:t xml:space="preserve">بزرگمهر</w:t>
      </w:r>
    </w:p>
    <w:p>
      <w:pPr>
        <w:pStyle w:val="BookText"/>
      </w:pPr>
      <w:r>
        <w:rPr>
          <w:rFonts w:ascii="Times New Roman" w:hAnsi="Times New Roman" w:eastAsia="Times New Roman" w:cs="Times New Roman"/>
          <w:lang w:val="en-US" w:bidi="en-US"/>
          <w:color w:val="111111"/>
          <w:sz w:val="28"/>
          <w:szCs w:val="28"/>
          <w:rtl/>
        </w:rPr>
        <w:t xml:space="preserve">bozorgmehr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92" w:name="pg20363_209552"/>
    <w:bookmarkEnd w:id="292"/>
    <w:p>
      <w:pPr>
        <w:pStyle w:val="BookText"/>
      </w:pPr>
      <w:r>
        <w:rPr>
          <w:rFonts w:ascii="IRNazanin" w:hAnsi="IRNazanin" w:eastAsia="IRNazanin" w:cs="IRNazanin"/>
          <w:lang w:bidi="fa-IR"/>
          <w:color w:val="111111"/>
          <w:sz w:val="28"/>
          <w:szCs w:val="28"/>
          <w:rtl/>
        </w:rPr>
        <w:t xml:space="preserve">تهران؛ مجلس؛ شماره نسخه: ۸۸۵۲/۲۸</w:t>
      </w:r>
    </w:p>
    <w:p>
      <w:pPr>
        <w:pStyle w:val="BookText"/>
      </w:pPr>
      <w:r>
        <w:rPr>
          <w:rFonts w:ascii="IRNazanin" w:hAnsi="IRNazanin" w:eastAsia="IRNazanin" w:cs="IRNazanin"/>
          <w:lang w:bidi="fa-IR"/>
          <w:color w:val="111111"/>
          <w:sz w:val="28"/>
          <w:szCs w:val="28"/>
          <w:rtl/>
        </w:rPr>
        <w:t xml:space="preserve">خط: نستعلیق و شکسته، بی کا، تا: اوایل رجب ۱۰۹۸ق، جا: قريه دوزال قراجه داغ؛ کاغذ: نخودی آهار مهر؛ جلد: میشن قهوه ای ضربی با ترنج و سرترنج و جدول، اص (۲۱۹)، اندازه: ۲۷/۸</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۱۶/۱ سم [ف: ۲۹/۱-۱۲۷]</w:t>
      </w:r>
    </w:p>
    <w:p>
      <w:pPr>
        <w:pStyle w:val="Heading3"/>
      </w:pPr>
      <w:bookmarkStart w:id="1706" w:name="_Toc966"/>
      <w:r>
        <w:t>• پرسش و پاسخ پادشاه روم و دختر قیصر با پادشاه روم / پاسخ پرسش ها / فارسی</w:t>
      </w:r>
      <w:bookmarkEnd w:id="1706"/>
    </w:p>
    <w:p>
      <w:pPr>
        <w:pStyle w:val="BookText"/>
      </w:pPr>
      <w:r>
        <w:rPr>
          <w:rFonts w:ascii="Times New Roman" w:hAnsi="Times New Roman" w:eastAsia="Times New Roman" w:cs="Times New Roman"/>
          <w:lang w:val="en-US" w:bidi="en-US"/>
          <w:color w:val="111111"/>
          <w:sz w:val="28"/>
          <w:szCs w:val="28"/>
          <w:rtl/>
        </w:rPr>
        <w:t xml:space="preserve">porseš va pāsox-e pādešāh-e rūm va doxtar-e qeysar bā pādešāh-e rūm</w:t>
      </w:r>
    </w:p>
    <w:p>
      <w:pPr>
        <w:pStyle w:val="BookText"/>
      </w:pPr>
      <w:r>
        <w:rPr>
          <w:rFonts w:ascii="IRNazanin" w:hAnsi="IRNazanin" w:eastAsia="IRNazanin" w:cs="IRNazanin"/>
          <w:lang w:bidi="fa-IR"/>
          <w:color w:val="111111"/>
          <w:sz w:val="28"/>
          <w:szCs w:val="28"/>
          <w:rtl/>
        </w:rPr>
        <w:t xml:space="preserve">چهار پرسش پادشاه روم است و پرسش دختر قیصر و بحث آنها با پادشاه عراق به تفصیل با چند پرسش و پاسخ دیگر و همه ریاضی است.</w:t>
      </w:r>
    </w:p>
    <w:p>
      <w:pPr>
        <w:pStyle w:val="BookText"/>
      </w:pPr>
      <w:r>
        <w:rPr>
          <w:rFonts w:ascii="IRNazanin" w:hAnsi="IRNazanin" w:eastAsia="IRNazanin" w:cs="IRNazanin"/>
          <w:lang w:bidi="fa-IR"/>
          <w:color w:val="111111"/>
          <w:sz w:val="28"/>
          <w:szCs w:val="28"/>
          <w:rtl/>
        </w:rPr>
        <w:t xml:space="preserve">تهران؛ دانشگاه؛ شماره نسخه: ۵۱۸۶/۲</w:t>
      </w:r>
    </w:p>
    <w:p>
      <w:pPr>
        <w:pStyle w:val="BookText"/>
      </w:pPr>
      <w:r>
        <w:rPr>
          <w:rFonts w:ascii="IRNazanin" w:hAnsi="IRNazanin" w:eastAsia="IRNazanin" w:cs="IRNazanin"/>
          <w:lang w:bidi="fa-IR"/>
          <w:color w:val="111111"/>
          <w:sz w:val="28"/>
          <w:szCs w:val="28"/>
          <w:rtl/>
        </w:rPr>
        <w:t xml:space="preserve">آغاز: سؤال اول که پادشاه روم از پادشاه عراق نمود. سلطان جلال دولت و دین شاه شرق و غرب ***پیوسته باد دولت و جاه و جلال تو؛ انجام: و آنکه ده و دو روز آمد وزن خطير خط: نستعلیق، بی کا، تا: ۹۳۵ق؛ کاغذ: سمرقندی، جلد: تیماج تریاکی ضربی مقوایی، ۸گ (۴پ -۱۱ر)، ۱۵ سطر (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قطع: ربعی،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سم [ف: ۱۵-۴۱۴۱]</w:t>
      </w:r>
    </w:p>
    <w:p>
      <w:pPr>
        <w:pStyle w:val="Heading3"/>
      </w:pPr>
      <w:bookmarkStart w:id="1707" w:name="_Toc967"/>
      <w:r>
        <w:t>• پرسش و پاسخ (ترجمه پنج) / كلام و اعتقادات / فارسی</w:t>
      </w:r>
      <w:bookmarkEnd w:id="1707"/>
    </w:p>
    <w:p>
      <w:pPr>
        <w:pStyle w:val="BookText"/>
      </w:pPr>
      <w:r>
        <w:rPr>
          <w:rFonts w:ascii="Times New Roman" w:hAnsi="Times New Roman" w:eastAsia="Times New Roman" w:cs="Times New Roman"/>
          <w:lang w:val="en-US" w:bidi="en-US"/>
          <w:color w:val="111111"/>
          <w:sz w:val="28"/>
          <w:szCs w:val="28"/>
          <w:rtl/>
        </w:rPr>
        <w:t xml:space="preserve">porseš va pāsox (t.-ye panj)</w:t>
      </w:r>
    </w:p>
    <w:p>
      <w:pPr>
        <w:pStyle w:val="BookText"/>
      </w:pPr>
      <w:r>
        <w:rPr>
          <w:rFonts w:ascii="IRNazanin" w:hAnsi="IRNazanin" w:eastAsia="IRNazanin" w:cs="IRNazanin"/>
          <w:lang w:bidi="fa-IR"/>
          <w:color w:val="111111"/>
          <w:sz w:val="28"/>
          <w:szCs w:val="28"/>
          <w:rtl/>
        </w:rPr>
        <w:t xml:space="preserve">رساله حاوی پنج پرسشی است که در راه میان مکه و مدینه از تاج الدین اسنوی شده و او پاسخ داده. در نسخه نام صریحی از مترجم نیست فقط در دیباچه خود را از مریدان عبدالسلام کاموسی معرفی نموده و هم به مترجمی کتاب عوارف المعارف سهرودی شناسانیده. کشف الظنون مترجمین فارسی آن کتاب را یکی به نام ظهير الدين عبدالرحمن بن علی شیرازی و دیگری را به اسم شیخ عزالدين محمود بن علی کاشانی نطنزی یاد کرده و در آخر نسخه هم مسطور است: «تمام شد این رساله على يد العبد الفقير احمد بن محمد حاجی کاموسى في تاريخ محرم سنه سبعمائه» پنج پرسش این است: ۱. تعريف و ماهیت نفس؛ ۲. تعریف دل و حقیقت او؛ ۳. حد سر چیست؛ ۴. فرق نفس و روح و دل؛ ۵. رتبت سر و روح</w:t>
      </w:r>
    </w:p>
    <w:p>
      <w:pPr>
        <w:pStyle w:val="BookText"/>
      </w:pPr>
      <w:r>
        <w:rPr>
          <w:rFonts w:ascii="IRNazanin" w:hAnsi="IRNazanin" w:eastAsia="IRNazanin" w:cs="IRNazanin"/>
          <w:lang w:bidi="fa-IR"/>
          <w:color w:val="111111"/>
          <w:sz w:val="28"/>
          <w:szCs w:val="28"/>
          <w:rtl/>
        </w:rPr>
        <w:t xml:space="preserve">مشهد؛ رضوی؛ شماره نسخه: ۵۹۱۶</w:t>
      </w:r>
    </w:p>
    <w:p>
      <w:pPr>
        <w:pStyle w:val="BookText"/>
      </w:pPr>
      <w:r>
        <w:rPr>
          <w:rFonts w:ascii="IRNazanin" w:hAnsi="IRNazanin" w:eastAsia="IRNazanin" w:cs="IRNazanin"/>
          <w:lang w:bidi="fa-IR"/>
          <w:color w:val="111111"/>
          <w:sz w:val="28"/>
          <w:szCs w:val="28"/>
          <w:rtl/>
        </w:rPr>
        <w:t xml:space="preserve">آغاز: پس از تسمیه و تحمید: بدانک این ضعيف لهيف اسيف بنده خدا و محب رسول و اهل بیت رسول؛ انجام: از بهر قصور ادراک آفریدگان و نیز از بهر استبقاء ایمان اهل زمان و الحمدلله رب العالمين</w:t>
      </w:r>
    </w:p>
    <w:p>
      <w:pPr>
        <w:pStyle w:val="BookText"/>
      </w:pPr>
      <w:r>
        <w:rPr>
          <w:rFonts w:ascii="IRNazanin" w:hAnsi="IRNazanin" w:eastAsia="IRNazanin" w:cs="IRNazanin"/>
          <w:lang w:bidi="fa-IR"/>
          <w:color w:val="111111"/>
          <w:sz w:val="28"/>
          <w:szCs w:val="28"/>
          <w:rtl/>
        </w:rPr>
        <w:t xml:space="preserve">خط: نسخ، كا: كاموسی، احمد بن محمد، تا: محرم ۷۰۰ق؛ کاغذ:نخودی، ۱۹ و ۲۰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۴-۴۴]</w:t>
      </w:r>
    </w:p>
    <w:p>
      <w:pPr>
        <w:pStyle w:val="Heading3"/>
      </w:pPr>
      <w:bookmarkStart w:id="1708" w:name="_Toc968"/>
      <w:r>
        <w:t>• پرسش و پاسخ در توحید / عرفان و تصوف / عربی</w:t>
      </w:r>
      <w:bookmarkEnd w:id="1708"/>
    </w:p>
    <w:p>
      <w:pPr>
        <w:pStyle w:val="BookText"/>
      </w:pPr>
      <w:r>
        <w:rPr>
          <w:rFonts w:ascii="Times New Roman" w:hAnsi="Times New Roman" w:eastAsia="Times New Roman" w:cs="Times New Roman"/>
          <w:lang w:val="en-US" w:bidi="en-US"/>
          <w:color w:val="111111"/>
          <w:sz w:val="28"/>
          <w:szCs w:val="28"/>
          <w:rtl/>
        </w:rPr>
        <w:t xml:space="preserve">porseš va pāsox dar towhīd</w:t>
      </w:r>
    </w:p>
    <w:p>
      <w:pPr>
        <w:pStyle w:val="BookText"/>
      </w:pPr>
      <w:r>
        <w:rPr>
          <w:rFonts w:ascii="IRNazanin" w:hAnsi="IRNazanin" w:eastAsia="IRNazanin" w:cs="IRNazanin"/>
          <w:lang w:bidi="fa-IR"/>
          <w:color w:val="111111"/>
          <w:sz w:val="28"/>
          <w:szCs w:val="28"/>
          <w:rtl/>
        </w:rPr>
        <w:t xml:space="preserve">کورانی، یوسف بن عبد الله، -۷۶۸ قمری</w:t>
      </w:r>
    </w:p>
    <w:p>
      <w:pPr>
        <w:pStyle w:val="BookText"/>
      </w:pPr>
      <w:r>
        <w:rPr>
          <w:rFonts w:ascii="Times New Roman" w:hAnsi="Times New Roman" w:eastAsia="Times New Roman" w:cs="Times New Roman"/>
          <w:lang w:val="en-US" w:bidi="en-US"/>
          <w:color w:val="111111"/>
          <w:sz w:val="28"/>
          <w:szCs w:val="28"/>
          <w:rtl/>
        </w:rPr>
        <w:t xml:space="preserve">kūrānī, yūsof ebn-e 'abd-ol-lāh (- 1367)</w:t>
      </w:r>
    </w:p>
    <w:p>
      <w:pPr>
        <w:pStyle w:val="BookText"/>
      </w:pPr>
      <w:r>
        <w:rPr>
          <w:rFonts w:ascii="IRNazanin" w:hAnsi="IRNazanin" w:eastAsia="IRNazanin" w:cs="IRNazanin"/>
          <w:lang w:bidi="fa-IR"/>
          <w:color w:val="111111"/>
          <w:sz w:val="28"/>
          <w:szCs w:val="28"/>
          <w:rtl/>
        </w:rPr>
        <w:t xml:space="preserve">تهران؛ دانشگاه؛ شماره نسخه: ۳۷۷۳/۵ ف و ۳۷۷۴/۵ ف</w:t>
      </w:r>
    </w:p>
    <w:p>
      <w:pPr>
        <w:pStyle w:val="BookText"/>
      </w:pPr>
      <w:r>
        <w:rPr>
          <w:rFonts w:ascii="IRNazanin" w:hAnsi="IRNazanin" w:eastAsia="IRNazanin" w:cs="IRNazanin"/>
          <w:lang w:bidi="fa-IR"/>
          <w:color w:val="111111"/>
          <w:sz w:val="28"/>
          <w:szCs w:val="28"/>
          <w:rtl/>
        </w:rPr>
        <w:t xml:space="preserve">نسخه اصل: پاریس .۱۷۶۹</w:t>
      </w:r>
      <w:r>
        <w:rPr>
          <w:rFonts w:ascii="Times New Roman" w:hAnsi="Times New Roman" w:eastAsia="Times New Roman" w:cs="Times New Roman"/>
          <w:lang w:val="en-US" w:bidi="en-US"/>
          <w:color w:val="111111"/>
          <w:sz w:val="28"/>
          <w:szCs w:val="28"/>
          <w:rtl/>
        </w:rPr>
        <w:t xml:space="preserve">S. P (</w:t>
      </w:r>
      <w:r>
        <w:rPr>
          <w:rFonts w:ascii="IRNazanin" w:hAnsi="IRNazanin" w:eastAsia="IRNazanin" w:cs="IRNazanin"/>
          <w:lang w:bidi="fa-IR"/>
          <w:color w:val="111111"/>
          <w:sz w:val="28"/>
          <w:szCs w:val="28"/>
          <w:rtl/>
        </w:rPr>
        <w:t xml:space="preserve">بلوشه ۱۰۶/۴ ش ۲۱۴۹)؛ خط: نستعلیق، بی کا، تا: ۹۸۶ق [فيلمها ف: ۲-۲۴۷]</w:t>
      </w:r>
    </w:p>
    <w:p>
      <w:pPr>
        <w:pStyle w:val="Heading3"/>
      </w:pPr>
      <w:bookmarkStart w:id="1709" w:name="_Toc969"/>
      <w:r>
        <w:t>• پرسش و پاسخ فقهی / فقه / فارسی</w:t>
      </w:r>
      <w:bookmarkEnd w:id="1709"/>
    </w:p>
    <w:p>
      <w:pPr>
        <w:pStyle w:val="BookText"/>
      </w:pPr>
      <w:r>
        <w:rPr>
          <w:rFonts w:ascii="Times New Roman" w:hAnsi="Times New Roman" w:eastAsia="Times New Roman" w:cs="Times New Roman"/>
          <w:lang w:val="en-US" w:bidi="en-US"/>
          <w:color w:val="111111"/>
          <w:sz w:val="28"/>
          <w:szCs w:val="28"/>
          <w:rtl/>
        </w:rPr>
        <w:t xml:space="preserve">porseš va pāsox-e feqhī</w:t>
      </w:r>
    </w:p>
    <w:p>
      <w:pPr>
        <w:pStyle w:val="BookText"/>
      </w:pPr>
      <w:r>
        <w:rPr>
          <w:rFonts w:ascii="IRNazanin" w:hAnsi="IRNazanin" w:eastAsia="IRNazanin" w:cs="IRNazanin"/>
          <w:lang w:bidi="fa-IR"/>
          <w:color w:val="111111"/>
          <w:sz w:val="28"/>
          <w:szCs w:val="28"/>
          <w:rtl/>
        </w:rPr>
        <w:t xml:space="preserve">خواجوئی، محمد اسماعيل بن حسین، -۱۱۷۳ قمری</w:t>
      </w:r>
    </w:p>
    <w:p>
      <w:pPr>
        <w:pStyle w:val="BookText"/>
      </w:pPr>
      <w:r>
        <w:rPr>
          <w:rFonts w:ascii="Times New Roman" w:hAnsi="Times New Roman" w:eastAsia="Times New Roman" w:cs="Times New Roman"/>
          <w:lang w:val="en-US" w:bidi="en-US"/>
          <w:color w:val="111111"/>
          <w:sz w:val="28"/>
          <w:szCs w:val="28"/>
          <w:rtl/>
        </w:rPr>
        <w:t xml:space="preserve">xājū’ī, mohammad esmāʻīl ebn-e hoseyn (- 1760)</w:t>
      </w:r>
    </w:p>
    <w:p>
      <w:pPr>
        <w:pStyle w:val="BookText"/>
      </w:pPr>
      <w:r>
        <w:rPr>
          <w:rFonts w:ascii="IRNazanin" w:hAnsi="IRNazanin" w:eastAsia="IRNazanin" w:cs="IRNazanin"/>
          <w:lang w:bidi="fa-IR"/>
          <w:color w:val="111111"/>
          <w:sz w:val="28"/>
          <w:szCs w:val="28"/>
          <w:rtl/>
        </w:rPr>
        <w:t xml:space="preserve">تهران؛ ملک؛ شماره نسخه: ۱۶۰۶/۳۰</w:t>
      </w:r>
    </w:p>
    <w:p>
      <w:pPr>
        <w:pStyle w:val="BookText"/>
      </w:pPr>
      <w:r>
        <w:rPr>
          <w:rFonts w:ascii="IRNazanin" w:hAnsi="IRNazanin" w:eastAsia="IRNazanin" w:cs="IRNazanin"/>
          <w:lang w:bidi="fa-IR"/>
          <w:color w:val="111111"/>
          <w:sz w:val="28"/>
          <w:szCs w:val="28"/>
          <w:rtl/>
        </w:rPr>
        <w:t xml:space="preserve">خط: نسخ، كان محمد کاظم پسر میرزا محمد، تا: ۱۲۷۴ق، جان اصفهان، مدرسه جده؛ ۳گ (۲۹۸ر -۳۰۰ر) [ف: ۵-۳۰۶]</w:t>
      </w:r>
    </w:p>
    <w:p>
      <w:pPr>
        <w:pStyle w:val="Heading3"/>
      </w:pPr>
      <w:bookmarkStart w:id="1710" w:name="_Toc970"/>
      <w:r>
        <w:t>• پرسش و پاسخ میان مرد صاحبدل با چنگ / عرفان و تصوف / فارسی</w:t>
      </w:r>
      <w:bookmarkEnd w:id="1710"/>
    </w:p>
    <w:p>
      <w:pPr>
        <w:pStyle w:val="BookText"/>
      </w:pPr>
      <w:r>
        <w:rPr>
          <w:rFonts w:ascii="Times New Roman" w:hAnsi="Times New Roman" w:eastAsia="Times New Roman" w:cs="Times New Roman"/>
          <w:lang w:val="en-US" w:bidi="en-US"/>
          <w:color w:val="111111"/>
          <w:sz w:val="28"/>
          <w:szCs w:val="28"/>
          <w:rtl/>
        </w:rPr>
        <w:t xml:space="preserve">porseš va pāsox mīyān-e mard-e sāhebdel bā čang</w:t>
      </w:r>
    </w:p>
    <w:p>
      <w:pPr>
        <w:pStyle w:val="BookText"/>
      </w:pPr>
      <w:r>
        <w:rPr>
          <w:rFonts w:ascii="IRNazanin" w:hAnsi="IRNazanin" w:eastAsia="IRNazanin" w:cs="IRNazanin"/>
          <w:lang w:bidi="fa-IR"/>
          <w:color w:val="111111"/>
          <w:sz w:val="28"/>
          <w:szCs w:val="28"/>
          <w:rtl/>
        </w:rPr>
        <w:t xml:space="preserve">كمال الدين مراغی</w:t>
      </w:r>
    </w:p>
    <w:p>
      <w:pPr>
        <w:pStyle w:val="BookText"/>
      </w:pPr>
      <w:r>
        <w:rPr>
          <w:rFonts w:ascii="Times New Roman" w:hAnsi="Times New Roman" w:eastAsia="Times New Roman" w:cs="Times New Roman"/>
          <w:lang w:val="en-US" w:bidi="en-US"/>
          <w:color w:val="111111"/>
          <w:sz w:val="28"/>
          <w:szCs w:val="28"/>
          <w:rtl/>
        </w:rPr>
        <w:t xml:space="preserve">kamāl-od-dīn-e marāqī</w:t>
      </w:r>
    </w:p>
    <w:p>
      <w:pPr>
        <w:pStyle w:val="BookText"/>
      </w:pPr>
      <w:r>
        <w:rPr>
          <w:rFonts w:ascii="IRNazanin" w:hAnsi="IRNazanin" w:eastAsia="IRNazanin" w:cs="IRNazanin"/>
          <w:lang w:bidi="fa-IR"/>
          <w:color w:val="111111"/>
          <w:sz w:val="28"/>
          <w:szCs w:val="28"/>
          <w:rtl/>
        </w:rPr>
        <w:t xml:space="preserve">تهران؛ مجلس؛ شماره نسخه: ۶۴۷۱/۴</w:t>
      </w:r>
    </w:p>
    <w:p>
      <w:pPr>
        <w:pStyle w:val="BookText"/>
      </w:pPr>
      <w:r>
        <w:rPr>
          <w:rFonts w:ascii="IRNazanin" w:hAnsi="IRNazanin" w:eastAsia="IRNazanin" w:cs="IRNazanin"/>
          <w:lang w:bidi="fa-IR"/>
          <w:color w:val="111111"/>
          <w:sz w:val="28"/>
          <w:szCs w:val="28"/>
          <w:rtl/>
        </w:rPr>
        <w:t xml:space="preserve">آغاز: اصحاب حقیقت و فراست و ارباب طریقت و کیاست آورده اند که وقتی صاحبدلی بی حاصلی را دید که از بهر رونق بزم معاشران چنگی می ساخت؛ انجام: مرد صاحب دل چون این مقالت استماع کرد با دیده پر آب و جگر از غم کباب قصد وداع کرد و برفت و از این درد هم چون داغ بتفت. خط: نستعلیق، كا: لطف الله، بی تا، مجدول؛ در کتاب شکل حیوانات و گیاهان و حبوبات ترسیم شده و از این جهت حائز اهمیت است؛ جلد: تیماج قهوه ای ضربی ترنج و سرترنج دار با لچکی، ۳گ (۱۳۰۲-۳۰۴ر)، ۲۷ سطر، اندازه: ۲۵/۵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۳۵/۵سم ف: ۲۰-۴۹]</w:t>
      </w:r>
    </w:p>
    <w:p>
      <w:pPr>
        <w:pStyle w:val="Heading3"/>
      </w:pPr>
      <w:bookmarkStart w:id="1711" w:name="_Toc971"/>
      <w:r>
        <w:t>• پرسش و پاسخ نوشیروان و یونان / شعر، پاسخ پرسش ها / فارسی</w:t>
      </w:r>
      <w:bookmarkEnd w:id="1711"/>
    </w:p>
    <w:p>
      <w:pPr>
        <w:pStyle w:val="BookText"/>
      </w:pPr>
      <w:r>
        <w:rPr>
          <w:rFonts w:ascii="Times New Roman" w:hAnsi="Times New Roman" w:eastAsia="Times New Roman" w:cs="Times New Roman"/>
          <w:lang w:val="en-US" w:bidi="en-US"/>
          <w:color w:val="111111"/>
          <w:sz w:val="28"/>
          <w:szCs w:val="28"/>
          <w:rtl/>
        </w:rPr>
        <w:t xml:space="preserve">porseš va pāsox-e nūšīrvān va yūnān</w:t>
      </w:r>
    </w:p>
    <w:p>
      <w:pPr>
        <w:pStyle w:val="BookText"/>
      </w:pPr>
      <w:r>
        <w:rPr>
          <w:rFonts w:ascii="IRNazanin" w:hAnsi="IRNazanin" w:eastAsia="IRNazanin" w:cs="IRNazanin"/>
          <w:lang w:bidi="fa-IR"/>
          <w:color w:val="111111"/>
          <w:sz w:val="28"/>
          <w:szCs w:val="28"/>
          <w:rtl/>
        </w:rPr>
        <w:t xml:space="preserve">به نظم فارسی.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93" w:name="pg20363_209553"/>
    <w:bookmarkEnd w:id="293"/>
    <w:p>
      <w:pPr>
        <w:pStyle w:val="BookText"/>
      </w:pPr>
      <w:r>
        <w:rPr>
          <w:rFonts w:ascii="IRNazanin" w:hAnsi="IRNazanin" w:eastAsia="IRNazanin" w:cs="IRNazanin"/>
          <w:lang w:bidi="fa-IR"/>
          <w:color w:val="111111"/>
          <w:sz w:val="28"/>
          <w:szCs w:val="28"/>
          <w:rtl/>
        </w:rPr>
        <w:t xml:space="preserve">تهران؛ دانشگاه شماره نسخه: ۱۳۹۱/۷ -ف</w:t>
      </w:r>
    </w:p>
    <w:p>
      <w:pPr>
        <w:pStyle w:val="BookText"/>
      </w:pPr>
      <w:r>
        <w:rPr>
          <w:rFonts w:ascii="IRNazanin" w:hAnsi="IRNazanin" w:eastAsia="IRNazanin" w:cs="IRNazanin"/>
          <w:lang w:bidi="fa-IR"/>
          <w:color w:val="111111"/>
          <w:sz w:val="28"/>
          <w:szCs w:val="28"/>
          <w:rtl/>
        </w:rPr>
        <w:t xml:space="preserve">نسخه اصل: موزه بریتانیا ش .۲۴۴۱۳</w:t>
      </w:r>
      <w:r>
        <w:rPr>
          <w:rFonts w:ascii="Times New Roman" w:hAnsi="Times New Roman" w:eastAsia="Times New Roman" w:cs="Times New Roman"/>
          <w:lang w:val="en-US" w:bidi="en-US"/>
          <w:color w:val="111111"/>
          <w:sz w:val="28"/>
          <w:szCs w:val="28"/>
          <w:rtl/>
        </w:rPr>
        <w:t xml:space="preserve">Add</w:t>
      </w:r>
      <w:r>
        <w:rPr>
          <w:rFonts w:ascii="IRNazanin" w:hAnsi="IRNazanin" w:eastAsia="IRNazanin" w:cs="IRNazanin"/>
          <w:lang w:bidi="fa-IR"/>
          <w:color w:val="111111"/>
          <w:sz w:val="28"/>
          <w:szCs w:val="28"/>
          <w:rtl/>
        </w:rPr>
        <w:t xml:space="preserve">؛ خط: نستعلیق و شکسته، بی کا، تا: ۱۲ ذیقعده -۱۵ خرداد ۱۱۷۹ق، به دستور میجر مالكم [فیلمها ف: ۱-۵۹۰]</w:t>
      </w:r>
    </w:p>
    <w:p>
      <w:pPr>
        <w:pStyle w:val="BookText"/>
      </w:pPr>
      <w:r>
        <w:rPr>
          <w:rFonts w:ascii="IRNazanin" w:hAnsi="IRNazanin" w:eastAsia="IRNazanin" w:cs="IRNazanin"/>
          <w:lang w:bidi="fa-IR"/>
          <w:color w:val="111111"/>
          <w:sz w:val="28"/>
          <w:szCs w:val="28"/>
          <w:rtl/>
        </w:rPr>
        <w:t xml:space="preserve">← پرسش و پاسخهای اعتقادی ← عقائد</w:t>
      </w:r>
    </w:p>
    <w:p>
      <w:pPr>
        <w:pStyle w:val="BookText"/>
      </w:pPr>
      <w:r>
        <w:rPr>
          <w:rFonts w:ascii="IRNazanin" w:hAnsi="IRNazanin" w:eastAsia="IRNazanin" w:cs="IRNazanin"/>
          <w:lang w:bidi="fa-IR"/>
          <w:color w:val="111111"/>
          <w:sz w:val="28"/>
          <w:szCs w:val="28"/>
          <w:rtl/>
        </w:rPr>
        <w:t xml:space="preserve">← پرسش و جواب ← سؤال و جواب</w:t>
      </w:r>
    </w:p>
    <w:p>
      <w:pPr>
        <w:pStyle w:val="Heading3"/>
      </w:pPr>
      <w:bookmarkStart w:id="1712" w:name="_Toc972"/>
      <w:r>
        <w:t>• پرسشها و اشکالات / اصول فقه / فارسی</w:t>
      </w:r>
      <w:bookmarkEnd w:id="1712"/>
    </w:p>
    <w:p>
      <w:pPr>
        <w:pStyle w:val="BookText"/>
      </w:pPr>
      <w:r>
        <w:rPr>
          <w:rFonts w:ascii="Times New Roman" w:hAnsi="Times New Roman" w:eastAsia="Times New Roman" w:cs="Times New Roman"/>
          <w:lang w:val="en-US" w:bidi="en-US"/>
          <w:color w:val="111111"/>
          <w:sz w:val="28"/>
          <w:szCs w:val="28"/>
          <w:rtl/>
        </w:rPr>
        <w:t xml:space="preserve">porseš-hā va eškālāt</w:t>
      </w:r>
    </w:p>
    <w:p>
      <w:pPr>
        <w:pStyle w:val="BookText"/>
      </w:pPr>
      <w:r>
        <w:rPr>
          <w:rFonts w:ascii="IRNazanin" w:hAnsi="IRNazanin" w:eastAsia="IRNazanin" w:cs="IRNazanin"/>
          <w:lang w:bidi="fa-IR"/>
          <w:color w:val="111111"/>
          <w:sz w:val="28"/>
          <w:szCs w:val="28"/>
          <w:rtl/>
        </w:rPr>
        <w:t xml:space="preserve">طواری یزدی، عباس بن محمد، ق ۱۵ قمری</w:t>
      </w:r>
    </w:p>
    <w:p>
      <w:pPr>
        <w:pStyle w:val="BookText"/>
      </w:pPr>
      <w:r>
        <w:rPr>
          <w:rFonts w:ascii="Times New Roman" w:hAnsi="Times New Roman" w:eastAsia="Times New Roman" w:cs="Times New Roman"/>
          <w:lang w:val="en-US" w:bidi="en-US"/>
          <w:color w:val="111111"/>
          <w:sz w:val="28"/>
          <w:szCs w:val="28"/>
          <w:rtl/>
        </w:rPr>
        <w:t xml:space="preserve">tavārī yazdī, “abbās-e bn-e mohammad (- 21c)</w:t>
      </w:r>
    </w:p>
    <w:p>
      <w:pPr>
        <w:pStyle w:val="BookText"/>
      </w:pPr>
      <w:r>
        <w:rPr>
          <w:rFonts w:ascii="IRNazanin" w:hAnsi="IRNazanin" w:eastAsia="IRNazanin" w:cs="IRNazanin"/>
          <w:lang w:bidi="fa-IR"/>
          <w:color w:val="111111"/>
          <w:sz w:val="28"/>
          <w:szCs w:val="28"/>
          <w:rtl/>
        </w:rPr>
        <w:t xml:space="preserve">یزد؛ وزیری؛ شماره نسخه: ۳۹۹۴</w:t>
      </w:r>
    </w:p>
    <w:p>
      <w:pPr>
        <w:pStyle w:val="BookText"/>
      </w:pPr>
      <w:r>
        <w:rPr>
          <w:rFonts w:ascii="IRNazanin" w:hAnsi="IRNazanin" w:eastAsia="IRNazanin" w:cs="IRNazanin"/>
          <w:lang w:bidi="fa-IR"/>
          <w:color w:val="111111"/>
          <w:sz w:val="28"/>
          <w:szCs w:val="28"/>
          <w:rtl/>
        </w:rPr>
        <w:t xml:space="preserve">بی کا، بیتا (نشریه: ۱۳-۳۵۳]</w:t>
      </w:r>
    </w:p>
    <w:p>
      <w:pPr>
        <w:pStyle w:val="Heading3"/>
      </w:pPr>
      <w:bookmarkStart w:id="1713" w:name="_Toc973"/>
      <w:r>
        <w:t>•پرسش و پاسخها / گوناگون / فارسی</w:t>
      </w:r>
      <w:bookmarkEnd w:id="1713"/>
    </w:p>
    <w:p>
      <w:pPr>
        <w:pStyle w:val="BookText"/>
      </w:pPr>
      <w:r>
        <w:rPr>
          <w:rFonts w:ascii="Times New Roman" w:hAnsi="Times New Roman" w:eastAsia="Times New Roman" w:cs="Times New Roman"/>
          <w:lang w:val="en-US" w:bidi="en-US"/>
          <w:color w:val="111111"/>
          <w:sz w:val="28"/>
          <w:szCs w:val="28"/>
          <w:rtl/>
        </w:rPr>
        <w:t xml:space="preserve">porseš-hā va pāsox-hā</w:t>
      </w:r>
    </w:p>
    <w:p>
      <w:pPr>
        <w:pStyle w:val="BookText"/>
      </w:pPr>
      <w:r>
        <w:rPr>
          <w:rFonts w:ascii="IRNazanin" w:hAnsi="IRNazanin" w:eastAsia="IRNazanin" w:cs="IRNazanin"/>
          <w:lang w:bidi="fa-IR"/>
          <w:color w:val="111111"/>
          <w:sz w:val="28"/>
          <w:szCs w:val="28"/>
          <w:rtl/>
        </w:rPr>
        <w:t xml:space="preserve">تعدادی پرسش و پاسخ در موضوعات مختلف از جمله راجع به فصل ها و کواکب، حیوانات، مسائل دینی و مذهبی، تولد و وفات پیامبران و امامان و ... با عناوین «اگر پرسند» می باشد.</w:t>
      </w:r>
    </w:p>
    <w:p>
      <w:pPr>
        <w:pStyle w:val="BookText"/>
      </w:pPr>
      <w:r>
        <w:rPr>
          <w:rFonts w:ascii="IRNazanin" w:hAnsi="IRNazanin" w:eastAsia="IRNazanin" w:cs="IRNazanin"/>
          <w:lang w:bidi="fa-IR"/>
          <w:color w:val="111111"/>
          <w:sz w:val="28"/>
          <w:szCs w:val="28"/>
          <w:rtl/>
        </w:rPr>
        <w:t xml:space="preserve">تهران؛ ملی؛ شماره نسخه: ۵۶۱۰</w:t>
      </w:r>
    </w:p>
    <w:p>
      <w:pPr>
        <w:pStyle w:val="BookText"/>
      </w:pPr>
      <w:r>
        <w:rPr>
          <w:rFonts w:ascii="IRNazanin" w:hAnsi="IRNazanin" w:eastAsia="IRNazanin" w:cs="IRNazanin"/>
          <w:lang w:bidi="fa-IR"/>
          <w:color w:val="111111"/>
          <w:sz w:val="28"/>
          <w:szCs w:val="28"/>
          <w:rtl/>
        </w:rPr>
        <w:t xml:space="preserve">آغاز: بسمله. اگر پرسند که فایده این چهار فصل چیست بگو که فایده هر یک از این چهار فصل بسیار است؛ انجام: بمقدار گناه عذاب کشند و آنگاه از جهنم نجات یافته به بهشت داخل شوند خط: نستعلیق، بی کا، بی تا، کاغذ: فرنگی، جلد: مقوا، روکش کاغذ، عطف پارچه، ۸۶ص (۴۷-۱۳۲)، ۱۶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[رایانه]</w:t>
      </w:r>
    </w:p>
    <w:p>
      <w:pPr>
        <w:pStyle w:val="BookText"/>
      </w:pPr>
      <w:r>
        <w:rPr>
          <w:rFonts w:ascii="IRNazanin" w:hAnsi="IRNazanin" w:eastAsia="IRNazanin" w:cs="IRNazanin"/>
          <w:lang w:bidi="fa-IR"/>
          <w:color w:val="111111"/>
          <w:sz w:val="28"/>
          <w:szCs w:val="28"/>
          <w:rtl/>
        </w:rPr>
        <w:t xml:space="preserve">← پرسشها و پاسخها از بزرگمهر← ظفرنامه</w:t>
      </w:r>
    </w:p>
    <w:p>
      <w:pPr>
        <w:pStyle w:val="Heading3"/>
      </w:pPr>
      <w:bookmarkStart w:id="1714" w:name="_Toc974"/>
      <w:r>
        <w:t>• پرسشهای امیر حسینی / عرفان و تصوف / فارسی</w:t>
      </w:r>
      <w:bookmarkEnd w:id="1714"/>
    </w:p>
    <w:p>
      <w:pPr>
        <w:pStyle w:val="BookText"/>
      </w:pPr>
      <w:r>
        <w:rPr>
          <w:rFonts w:ascii="Times New Roman" w:hAnsi="Times New Roman" w:eastAsia="Times New Roman" w:cs="Times New Roman"/>
          <w:lang w:val="en-US" w:bidi="en-US"/>
          <w:color w:val="111111"/>
          <w:sz w:val="28"/>
          <w:szCs w:val="28"/>
          <w:rtl/>
        </w:rPr>
        <w:t xml:space="preserve">porseš-hā-ye amīr hoseynī</w:t>
      </w:r>
    </w:p>
    <w:p>
      <w:pPr>
        <w:pStyle w:val="BookText"/>
      </w:pPr>
      <w:r>
        <w:rPr>
          <w:rFonts w:ascii="IRNazanin" w:hAnsi="IRNazanin" w:eastAsia="IRNazanin" w:cs="IRNazanin"/>
          <w:lang w:bidi="fa-IR"/>
          <w:color w:val="111111"/>
          <w:sz w:val="28"/>
          <w:szCs w:val="28"/>
          <w:rtl/>
        </w:rPr>
        <w:t xml:space="preserve">شبستری، محمود بن عبدالكریم، ۶۸۷- ۷۲۰ ؟ قمری</w:t>
      </w:r>
    </w:p>
    <w:p>
      <w:pPr>
        <w:pStyle w:val="BookText"/>
      </w:pPr>
      <w:r>
        <w:rPr>
          <w:rFonts w:ascii="Times New Roman" w:hAnsi="Times New Roman" w:eastAsia="Times New Roman" w:cs="Times New Roman"/>
          <w:lang w:val="en-US" w:bidi="en-US"/>
          <w:color w:val="111111"/>
          <w:sz w:val="28"/>
          <w:szCs w:val="28"/>
          <w:rtl/>
        </w:rPr>
        <w:t xml:space="preserve">šabestarī, mahmūd ebn-e 'abd-ol-karīm (1289-1321)</w:t>
      </w:r>
    </w:p>
    <w:p>
      <w:pPr>
        <w:pStyle w:val="BookText"/>
      </w:pPr>
      <w:r>
        <w:rPr>
          <w:rFonts w:ascii="IRNazanin" w:hAnsi="IRNazanin" w:eastAsia="IRNazanin" w:cs="IRNazanin"/>
          <w:lang w:bidi="fa-IR"/>
          <w:color w:val="111111"/>
          <w:sz w:val="28"/>
          <w:szCs w:val="28"/>
          <w:rtl/>
        </w:rPr>
        <w:t xml:space="preserve">۱۷ پرسش عرفانی امیر حسین بن عالم هروی (زنده در ۷۲۹ق) از شیخ محمود شبستری است که شبستری چند بیتی در پاسخ او سرود و پس از مدتی به دستور بهاء الدين يعقوب تبریزی بر تعداد ابيات افزود و منظومه گلشن راز را ساخت. این قسمت سؤال و جواب های اولیه این دو نفر است. (حکیم)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۸۸۴۱/۳۲</w:t>
      </w:r>
    </w:p>
    <w:p>
      <w:pPr>
        <w:pStyle w:val="BookText"/>
      </w:pPr>
      <w:r>
        <w:rPr>
          <w:rFonts w:ascii="IRNazanin" w:hAnsi="IRNazanin" w:eastAsia="IRNazanin" w:cs="IRNazanin"/>
          <w:lang w:bidi="fa-IR"/>
          <w:color w:val="111111"/>
          <w:sz w:val="28"/>
          <w:szCs w:val="28"/>
          <w:rtl/>
        </w:rPr>
        <w:t xml:space="preserve">آغاز: آغاز سؤال: زاهل دانش و ارباب معنی*** سؤالی دارم اندر باب معنی از اسرار حقیقت مشکلی چند </w:t>
      </w:r>
      <w:r>
        <w:rPr>
          <w:rFonts w:ascii="IRNazanin" w:hAnsi="IRNazanin" w:eastAsia="IRNazanin" w:cs="IRNazanin"/>
          <w:lang w:bidi="fa-IR"/>
          <w:color w:val="111111"/>
          <w:sz w:val="28"/>
          <w:szCs w:val="28"/>
          <w:b w:val="1"/>
          <w:bCs w:val="1"/>
          <w:i w:val="1"/>
          <w:iCs w:val="1"/>
          <w:rtl/>
        </w:rPr>
        <w:t xml:space="preserve">بگویم در حضور هر خردمندی ... آغاز جواب: جواب ابیات سید حسنی سادات که شیخ محمود شبسترى عليمها الرحمة: بزرگی از بزرگان خراسان</w:t>
      </w:r>
      <w:r>
        <w:rPr>
          <w:rFonts w:ascii="IRNazanin" w:hAnsi="IRNazanin" w:eastAsia="IRNazanin" w:cs="IRNazanin"/>
          <w:lang w:bidi="fa-IR"/>
          <w:color w:val="111111"/>
          <w:sz w:val="28"/>
          <w:szCs w:val="28"/>
          <w:rtl/>
        </w:rPr>
        <w:t xml:space="preserve"> زمان پرسید مشکلهای آسان؛ انجام: که صاحب دولتی راهی نماید</w:t>
      </w:r>
      <w:r>
        <w:rPr>
          <w:rFonts w:ascii="IRNazanin" w:hAnsi="IRNazanin" w:eastAsia="IRNazanin" w:cs="IRNazanin"/>
          <w:lang w:bidi="fa-IR"/>
          <w:color w:val="111111"/>
          <w:sz w:val="28"/>
          <w:szCs w:val="28"/>
          <w:b w:val="1"/>
          <w:bCs w:val="1"/>
          <w:i w:val="1"/>
          <w:iCs w:val="1"/>
          <w:rtl/>
        </w:rPr>
        <w:t xml:space="preserve">به همت بندها را برگشاید / جوابی گفته شد نی بیش و نی کم</w:t>
      </w:r>
      <w:r>
        <w:rPr>
          <w:rFonts w:ascii="IRNazanin" w:hAnsi="IRNazanin" w:eastAsia="IRNazanin" w:cs="IRNazanin"/>
          <w:lang w:bidi="fa-IR"/>
          <w:color w:val="111111"/>
          <w:sz w:val="28"/>
          <w:szCs w:val="28"/>
          <w:rtl/>
        </w:rPr>
        <w:t xml:space="preserve">سخن را ختم كن و الله اعلم. انجام سؤال: سخنهای حسینی حسب حالست*** زبهر امتحانش این سؤال است. انجامه: به تاریخ دهم شعبان المعظم سنه ۱۱۰۸ روز دوشنبه به خط جمال الدین محمد در قندهار اتمام یافت و الحمدلله حق حمده کتاب ... (بقیه در وصالی و پارگی از بین رفته است)» خط: نسخ و نستعلیق، كا: جمال الدين محمد حسنی، تا: ۱۰ شعبان ۱۱۰۸ق، جا: قندهار، کاغذ: چند نوع بیشتر شرقی نخودی آهار مهره، جلد: میشین مشکی ساده عطف چرم قهوه ای، اص (۲۲۷)، اندازه: ۲۲/۳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۳۴/۹سم [ف: ۲۹/۱ -۹۱]</w:t>
      </w:r>
    </w:p>
    <w:p>
      <w:pPr>
        <w:pStyle w:val="BookText"/>
      </w:pPr>
      <w:r>
        <w:rPr>
          <w:rFonts w:ascii="IRNazanin" w:hAnsi="IRNazanin" w:eastAsia="IRNazanin" w:cs="IRNazanin"/>
          <w:lang w:bidi="fa-IR"/>
          <w:color w:val="111111"/>
          <w:sz w:val="28"/>
          <w:szCs w:val="28"/>
          <w:rtl/>
        </w:rPr>
        <w:t xml:space="preserve">۲. تهران، دانشگاه؛ شماره نسخه: ۵۱۲۴/۷</w:t>
      </w:r>
    </w:p>
    <w:p>
      <w:pPr>
        <w:pStyle w:val="BookText"/>
      </w:pPr>
      <w:r>
        <w:rPr>
          <w:rFonts w:ascii="IRNazanin" w:hAnsi="IRNazanin" w:eastAsia="IRNazanin" w:cs="IRNazanin"/>
          <w:lang w:bidi="fa-IR"/>
          <w:color w:val="111111"/>
          <w:sz w:val="28"/>
          <w:szCs w:val="28"/>
          <w:rtl/>
        </w:rPr>
        <w:t xml:space="preserve">آغاز: ز اهل دانش و ارباب معنی</w:t>
      </w:r>
      <w:r>
        <w:rPr>
          <w:rFonts w:ascii="IRNazanin" w:hAnsi="IRNazanin" w:eastAsia="IRNazanin" w:cs="IRNazanin"/>
          <w:lang w:bidi="fa-IR"/>
          <w:color w:val="111111"/>
          <w:sz w:val="28"/>
          <w:szCs w:val="28"/>
          <w:b w:val="1"/>
          <w:bCs w:val="1"/>
          <w:i w:val="1"/>
          <w:iCs w:val="1"/>
          <w:rtl/>
        </w:rPr>
        <w:t xml:space="preserve">سؤالی دارم اندر باب معنی؛ انجام: جوابی گفته شد نه بیش و نه کم</w:t>
      </w:r>
      <w:r>
        <w:rPr>
          <w:rFonts w:ascii="IRNazanin" w:hAnsi="IRNazanin" w:eastAsia="IRNazanin" w:cs="IRNazanin"/>
          <w:lang w:bidi="fa-IR"/>
          <w:color w:val="111111"/>
          <w:sz w:val="28"/>
          <w:szCs w:val="28"/>
          <w:rtl/>
        </w:rPr>
        <w:t xml:space="preserve"> بدينجا ختم شد و الله اعلم در فهرست بدون نام مؤلف؛ خط: نستعلیق، بی کا، تا: ۲۷ محرم ۱۲۵۲ق، جان کاشان؛ کاغذ: فرنگی، جلد: تیماج سبز ضربی مقوایی، ۴گ (۱۴۴ر -۱۴۷پ)، ابعاد متن: (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۱۵-۴۱۲۰]</w:t>
      </w:r>
    </w:p>
    <w:p>
      <w:pPr>
        <w:pStyle w:val="Heading3"/>
      </w:pPr>
      <w:bookmarkStart w:id="1715" w:name="_Toc975"/>
      <w:r>
        <w:t>• پرسشهای سلیمان و پاسخ بدو / اخلاق / فارسی</w:t>
      </w:r>
      <w:bookmarkEnd w:id="1715"/>
    </w:p>
    <w:p>
      <w:pPr>
        <w:pStyle w:val="BookText"/>
      </w:pPr>
      <w:r>
        <w:rPr>
          <w:rFonts w:ascii="Times New Roman" w:hAnsi="Times New Roman" w:eastAsia="Times New Roman" w:cs="Times New Roman"/>
          <w:lang w:val="en-US" w:bidi="en-US"/>
          <w:color w:val="111111"/>
          <w:sz w:val="28"/>
          <w:szCs w:val="28"/>
          <w:rtl/>
        </w:rPr>
        <w:t xml:space="preserve">porseš-hā-ye soleymān va pāsox bedū</w:t>
      </w:r>
    </w:p>
    <w:p>
      <w:pPr>
        <w:pStyle w:val="BookText"/>
      </w:pPr>
      <w:r>
        <w:rPr>
          <w:rFonts w:ascii="IRNazanin" w:hAnsi="IRNazanin" w:eastAsia="IRNazanin" w:cs="IRNazanin"/>
          <w:lang w:bidi="fa-IR"/>
          <w:color w:val="111111"/>
          <w:sz w:val="28"/>
          <w:szCs w:val="28"/>
          <w:rtl/>
        </w:rPr>
        <w:t xml:space="preserve">در حکمت از حکماء و پرسش های سلیمان و پاسخ بدو درباره سترونی زن.</w:t>
      </w:r>
    </w:p>
    <w:p>
      <w:pPr>
        <w:pStyle w:val="BookText"/>
      </w:pPr>
      <w:r>
        <w:rPr>
          <w:rFonts w:ascii="IRNazanin" w:hAnsi="IRNazanin" w:eastAsia="IRNazanin" w:cs="IRNazanin"/>
          <w:lang w:bidi="fa-IR"/>
          <w:color w:val="111111"/>
          <w:sz w:val="28"/>
          <w:szCs w:val="28"/>
          <w:rtl/>
        </w:rPr>
        <w:t xml:space="preserve">تهران؛ دانشگاه؛ شماره نسخه: ۷۵۶۵/۸</w:t>
      </w:r>
    </w:p>
    <w:p>
      <w:pPr>
        <w:pStyle w:val="BookText"/>
      </w:pPr>
      <w:r>
        <w:rPr>
          <w:rFonts w:ascii="IRNazanin" w:hAnsi="IRNazanin" w:eastAsia="IRNazanin" w:cs="IRNazanin"/>
          <w:lang w:bidi="fa-IR"/>
          <w:color w:val="111111"/>
          <w:sz w:val="28"/>
          <w:szCs w:val="28"/>
          <w:rtl/>
        </w:rPr>
        <w:t xml:space="preserve">خط: نستعلیق، بی کا، بی تا، کاغذ: سپاهانی، جلد: تیماج تریاکی ضربی مقوایی، ۳گ (۷۶-۷۸)، ۱۸ سطر (۴/۵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۱۳/۵ )، قطع: بغلی،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سم [ف: ۱۶-۶۳۰]</w:t>
      </w:r>
    </w:p>
    <w:p>
      <w:pPr>
        <w:pStyle w:val="Heading3"/>
      </w:pPr>
      <w:bookmarkStart w:id="1716" w:name="_Toc976"/>
      <w:r>
        <w:t>• پرسشهایی در طریقه علیم اللهی / پاسخ پرسش ها / فارسی</w:t>
      </w:r>
      <w:bookmarkEnd w:id="1716"/>
    </w:p>
    <w:p>
      <w:pPr>
        <w:pStyle w:val="BookText"/>
      </w:pPr>
      <w:r>
        <w:rPr>
          <w:rFonts w:ascii="Times New Roman" w:hAnsi="Times New Roman" w:eastAsia="Times New Roman" w:cs="Times New Roman"/>
          <w:lang w:val="en-US" w:bidi="en-US"/>
          <w:color w:val="111111"/>
          <w:sz w:val="28"/>
          <w:szCs w:val="28"/>
          <w:rtl/>
        </w:rPr>
        <w:t xml:space="preserve">porseš-hā-ī dar tarīqe-ye ‘alīm-ol-lāhī</w:t>
      </w:r>
    </w:p>
    <w:p>
      <w:pPr>
        <w:pStyle w:val="BookText"/>
      </w:pPr>
      <w:r>
        <w:rPr>
          <w:rFonts w:ascii="IRNazanin" w:hAnsi="IRNazanin" w:eastAsia="IRNazanin" w:cs="IRNazanin"/>
          <w:lang w:bidi="fa-IR"/>
          <w:color w:val="111111"/>
          <w:sz w:val="28"/>
          <w:szCs w:val="28"/>
          <w:rtl/>
        </w:rPr>
        <w:t xml:space="preserve">اسلمی هندی، محمد سعید، ق۱۳ قمری</w:t>
      </w:r>
    </w:p>
    <w:p>
      <w:pPr>
        <w:pStyle w:val="BookText"/>
      </w:pPr>
      <w:r>
        <w:rPr>
          <w:rFonts w:ascii="Times New Roman" w:hAnsi="Times New Roman" w:eastAsia="Times New Roman" w:cs="Times New Roman"/>
          <w:lang w:val="en-US" w:bidi="en-US"/>
          <w:color w:val="111111"/>
          <w:sz w:val="28"/>
          <w:szCs w:val="28"/>
          <w:rtl/>
        </w:rPr>
        <w:t xml:space="preserve">aslamī hendī, mohammad saʻid (- 19c)</w:t>
      </w:r>
    </w:p>
    <w:p>
      <w:pPr>
        <w:pStyle w:val="BookText"/>
      </w:pPr>
      <w:r>
        <w:rPr>
          <w:rFonts w:ascii="IRNazanin" w:hAnsi="IRNazanin" w:eastAsia="IRNazanin" w:cs="IRNazanin"/>
          <w:lang w:bidi="fa-IR"/>
          <w:color w:val="111111"/>
          <w:sz w:val="28"/>
          <w:szCs w:val="28"/>
          <w:rtl/>
        </w:rPr>
        <w:t xml:space="preserve">چهل و هفت پرسش است راجع به طریقه میر احمد شاه عليم اللهی؛ در این پرسش های عرفانی گویا اسلمی می خواهد طريقه علیم اللهی را رد کند و نادرست شمرد.</w:t>
      </w:r>
    </w:p>
    <w:p>
      <w:pPr>
        <w:pStyle w:val="BookText"/>
      </w:pPr>
      <w:r>
        <w:rPr>
          <w:rFonts w:ascii="IRNazanin" w:hAnsi="IRNazanin" w:eastAsia="IRNazanin" w:cs="IRNazanin"/>
          <w:lang w:bidi="fa-IR"/>
          <w:color w:val="111111"/>
          <w:sz w:val="28"/>
          <w:szCs w:val="28"/>
          <w:rtl/>
        </w:rPr>
        <w:t xml:space="preserve">قم؛ مرعشی؛ شماره نسخه: ۳/ ۶۵۰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94" w:name="pg20363_209554"/>
    <w:bookmarkEnd w:id="294"/>
    <w:p>
      <w:pPr>
        <w:pStyle w:val="BookText"/>
      </w:pPr>
      <w:r>
        <w:rPr>
          <w:rFonts w:ascii="IRNazanin" w:hAnsi="IRNazanin" w:eastAsia="IRNazanin" w:cs="IRNazanin"/>
          <w:lang w:bidi="fa-IR"/>
          <w:color w:val="111111"/>
          <w:sz w:val="28"/>
          <w:szCs w:val="28"/>
          <w:rtl/>
        </w:rPr>
        <w:t xml:space="preserve">آغاز: حامد الله تعالی و مصلية على رسوله ... أما بعد این سؤالاتیست چند از شبهات ناپسند؛ انجام: شفیع اهل الكبائر و الاثام و على آله و أصحابه أولى الفضل و الاحترام خط: نستعلیق، بی کا، تا: سه شنبه ۷ ذیحجه ۱۲۵۵ق؛ جلد: تیماج قهوه ای، ۱۹گ (۲۱ر - ۳۹ر)، ۱۱سطر،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۲-۲۴۸]</w:t>
      </w:r>
    </w:p>
    <w:p>
      <w:pPr>
        <w:pStyle w:val="Heading3"/>
      </w:pPr>
      <w:bookmarkStart w:id="1717" w:name="_Toc977"/>
      <w:r>
        <w:t>• پرسشی از فخر المحققين محمد حلی و پاسخ او</w:t>
      </w:r>
      <w:bookmarkEnd w:id="1717"/>
    </w:p>
    <w:p>
      <w:pPr>
        <w:pStyle w:val="BookText"/>
      </w:pPr>
      <w:r>
        <w:rPr>
          <w:rFonts w:ascii="IRNazanin" w:hAnsi="IRNazanin" w:eastAsia="IRNazanin" w:cs="IRNazanin"/>
          <w:lang w:bidi="fa-IR"/>
          <w:color w:val="111111"/>
          <w:sz w:val="28"/>
          <w:szCs w:val="28"/>
          <w:rtl/>
        </w:rPr>
        <w:t xml:space="preserve">درباره برتری علی ع بر دیگر پیامبران / کلام و اعتقادات</w:t>
      </w:r>
    </w:p>
    <w:p>
      <w:pPr>
        <w:pStyle w:val="BookText"/>
      </w:pPr>
      <w:r>
        <w:rPr>
          <w:rFonts w:ascii="Times New Roman" w:hAnsi="Times New Roman" w:eastAsia="Times New Roman" w:cs="Times New Roman"/>
          <w:lang w:val="en-US" w:bidi="en-US"/>
          <w:color w:val="111111"/>
          <w:sz w:val="28"/>
          <w:szCs w:val="28"/>
          <w:rtl/>
        </w:rPr>
        <w:t xml:space="preserve">porsešī az faxr-ol-mohaqqeqīn mohammad-e hellī va pāsox-e ū darbāre-ye bartarī-ye ‘alī" bar dīgar payāmbarān</w:t>
      </w:r>
    </w:p>
    <w:p>
      <w:pPr>
        <w:pStyle w:val="BookText"/>
      </w:pPr>
      <w:r>
        <w:rPr>
          <w:rFonts w:ascii="IRNazanin" w:hAnsi="IRNazanin" w:eastAsia="IRNazanin" w:cs="IRNazanin"/>
          <w:lang w:bidi="fa-IR"/>
          <w:color w:val="111111"/>
          <w:sz w:val="28"/>
          <w:szCs w:val="28"/>
          <w:rtl/>
        </w:rPr>
        <w:t xml:space="preserve">فخر المحققين، محمد بن حسن، ۶۸۲-۷۷۱ قمری</w:t>
      </w:r>
    </w:p>
    <w:p>
      <w:pPr>
        <w:pStyle w:val="BookText"/>
      </w:pPr>
      <w:r>
        <w:rPr>
          <w:rFonts w:ascii="Times New Roman" w:hAnsi="Times New Roman" w:eastAsia="Times New Roman" w:cs="Times New Roman"/>
          <w:lang w:val="en-US" w:bidi="en-US"/>
          <w:color w:val="111111"/>
          <w:sz w:val="28"/>
          <w:szCs w:val="28"/>
          <w:rtl/>
        </w:rPr>
        <w:t xml:space="preserve">faxr-ol-mohaqqeqīn, mohammad ebn-e hasan (1284 -1370)</w:t>
      </w:r>
    </w:p>
    <w:p>
      <w:pPr>
        <w:pStyle w:val="BookText"/>
      </w:pPr>
      <w:r>
        <w:rPr>
          <w:rFonts w:ascii="IRNazanin" w:hAnsi="IRNazanin" w:eastAsia="IRNazanin" w:cs="IRNazanin"/>
          <w:lang w:bidi="fa-IR"/>
          <w:color w:val="111111"/>
          <w:sz w:val="28"/>
          <w:szCs w:val="28"/>
          <w:rtl/>
        </w:rPr>
        <w:t xml:space="preserve">تهران؛ مفتاح؛ شماره نسخه: ۱۳۵/۶</w:t>
      </w:r>
    </w:p>
    <w:p>
      <w:pPr>
        <w:pStyle w:val="BookText"/>
      </w:pPr>
      <w:r>
        <w:rPr>
          <w:rFonts w:ascii="IRNazanin" w:hAnsi="IRNazanin" w:eastAsia="IRNazanin" w:cs="IRNazanin"/>
          <w:lang w:bidi="fa-IR"/>
          <w:color w:val="111111"/>
          <w:sz w:val="28"/>
          <w:szCs w:val="28"/>
          <w:rtl/>
        </w:rPr>
        <w:t xml:space="preserve">خط: نسخ، بی کا، تا: قرن ۹ نشریه: ۷- ۲۳۰]</w:t>
      </w:r>
    </w:p>
    <w:p>
      <w:pPr>
        <w:pStyle w:val="Heading3"/>
      </w:pPr>
      <w:bookmarkStart w:id="1718" w:name="_Toc978"/>
      <w:r>
        <w:t>• پر کار التام / رياضيات / عربی</w:t>
      </w:r>
      <w:bookmarkEnd w:id="1718"/>
    </w:p>
    <w:p>
      <w:pPr>
        <w:pStyle w:val="BookText"/>
      </w:pPr>
      <w:r>
        <w:rPr>
          <w:rFonts w:ascii="Times New Roman" w:hAnsi="Times New Roman" w:eastAsia="Times New Roman" w:cs="Times New Roman"/>
          <w:lang w:val="en-US" w:bidi="en-US"/>
          <w:color w:val="111111"/>
          <w:sz w:val="28"/>
          <w:szCs w:val="28"/>
          <w:rtl/>
        </w:rPr>
        <w:t xml:space="preserve">parkār-ut tām</w:t>
      </w:r>
    </w:p>
    <w:p>
      <w:pPr>
        <w:pStyle w:val="BookText"/>
      </w:pPr>
      <w:r>
        <w:rPr>
          <w:rFonts w:ascii="IRNazanin" w:hAnsi="IRNazanin" w:eastAsia="IRNazanin" w:cs="IRNazanin"/>
          <w:lang w:bidi="fa-IR"/>
          <w:color w:val="111111"/>
          <w:sz w:val="28"/>
          <w:szCs w:val="28"/>
          <w:rtl/>
        </w:rPr>
        <w:t xml:space="preserve">ابوسهل کوهی، ویجن بن رستم، ۴۰۵ ؟ قمری</w:t>
      </w:r>
    </w:p>
    <w:p>
      <w:pPr>
        <w:pStyle w:val="BookText"/>
      </w:pPr>
      <w:r>
        <w:rPr>
          <w:rFonts w:ascii="Times New Roman" w:hAnsi="Times New Roman" w:eastAsia="Times New Roman" w:cs="Times New Roman"/>
          <w:lang w:val="en-US" w:bidi="en-US"/>
          <w:color w:val="111111"/>
          <w:sz w:val="28"/>
          <w:szCs w:val="28"/>
          <w:rtl/>
        </w:rPr>
        <w:t xml:space="preserve">abū-sahl-e kūlī, vayjan ebn-e rostam (- 1015)</w:t>
      </w:r>
    </w:p>
    <w:p>
      <w:pPr>
        <w:pStyle w:val="BookText"/>
      </w:pPr>
      <w:r>
        <w:rPr>
          <w:rFonts w:ascii="IRNazanin" w:hAnsi="IRNazanin" w:eastAsia="IRNazanin" w:cs="IRNazanin"/>
          <w:lang w:bidi="fa-IR"/>
          <w:color w:val="111111"/>
          <w:sz w:val="28"/>
          <w:szCs w:val="28"/>
          <w:rtl/>
        </w:rPr>
        <w:t xml:space="preserve">مشتمل است بر دو «مقاله» و ۲۵ شکل هندسی: 1. البرهان على انه يمكن بهذا البرکار رسم الخطوط القياسة؛ ۲. علم رسم احمد الخطوط التي ذكرناها على وضع معلوم». . آغاز: بسمله، قال ابوسهل ... بن رستم القوهي هذا كتاب في الالة التي سميناها البركار التام وهو مقالتان چاپ: مجلة معهد المخطوطات، محقق: احمد سعيد الدمرداش، جلد ۲۲، جزء ۱، ص ۳۲۱-۳۴۳، ۱۳۹۵ق. التراث العربي العلمي از قدری طوغان ۲۴۹-۲۵۱؛ ابن القفطی ۱۳۰]</w:t>
      </w:r>
    </w:p>
    <w:p>
      <w:pPr>
        <w:pStyle w:val="BookText"/>
      </w:pPr>
      <w:r>
        <w:rPr>
          <w:rFonts w:ascii="IRNazanin" w:hAnsi="IRNazanin" w:eastAsia="IRNazanin" w:cs="IRNazanin"/>
          <w:lang w:bidi="fa-IR"/>
          <w:color w:val="111111"/>
          <w:sz w:val="28"/>
          <w:szCs w:val="28"/>
          <w:rtl/>
        </w:rPr>
        <w:t xml:space="preserve">١. مشهد؛ رضوی؛ شماره نسخه: ۱۱۵۲۱/۱۰</w:t>
      </w:r>
    </w:p>
    <w:p>
      <w:pPr>
        <w:pStyle w:val="BookText"/>
      </w:pPr>
      <w:r>
        <w:rPr>
          <w:rFonts w:ascii="IRNazanin" w:hAnsi="IRNazanin" w:eastAsia="IRNazanin" w:cs="IRNazanin"/>
          <w:lang w:bidi="fa-IR"/>
          <w:color w:val="111111"/>
          <w:sz w:val="28"/>
          <w:szCs w:val="28"/>
          <w:rtl/>
        </w:rPr>
        <w:t xml:space="preserve">آغاز: پس از بسمله: المقالة الأولى منها في البرهان على انه يمكن بهذا البر کار رسم الخطوط القياسية اعني المستقيمة؛ انجام: و خط ترتیبه مساوية لزاوية المعلومة و ذلك ما أردنا أن نبين.</w:t>
      </w:r>
    </w:p>
    <w:p>
      <w:pPr>
        <w:pStyle w:val="BookText"/>
      </w:pPr>
      <w:r>
        <w:rPr>
          <w:rFonts w:ascii="IRNazanin" w:hAnsi="IRNazanin" w:eastAsia="IRNazanin" w:cs="IRNazanin"/>
          <w:lang w:bidi="fa-IR"/>
          <w:color w:val="111111"/>
          <w:sz w:val="28"/>
          <w:szCs w:val="28"/>
          <w:rtl/>
        </w:rPr>
        <w:t xml:space="preserve">تمت المقالة الثانية من كتاب ابی سهل القوهي في الپرکار التام وهي آخر الكتاب و الحمدلله رب العالمين. خط: نسخ و نستعلیق، بی کا، تا: قرن ۱۳ کاغذ: آهارمهره حنایی، جلد: ساغری مشکی ضربی دارای ترنج و دو سر ترنج و چهار ابرو و حاشیه قلمدانی،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۱۸-۱۲۹]</w:t>
      </w:r>
    </w:p>
    <w:p>
      <w:pPr>
        <w:pStyle w:val="BookText"/>
      </w:pPr>
      <w:r>
        <w:rPr>
          <w:rFonts w:ascii="IRNazanin" w:hAnsi="IRNazanin" w:eastAsia="IRNazanin" w:cs="IRNazanin"/>
          <w:lang w:bidi="fa-IR"/>
          <w:color w:val="111111"/>
          <w:sz w:val="28"/>
          <w:szCs w:val="28"/>
          <w:rtl/>
        </w:rPr>
        <w:t xml:space="preserve">۲. تهران؛ مروی؛ شماره نسخه: ۸۰۵/۱</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کا: میرزا عبدالله منجم، تا: قرن ۱۳؛ ۲۲گ، قطع: رقعي [ف: ۳۱۰]</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فرهاد معتمد؛ شماره نسخه: ۱۱۷/۹</w:t>
      </w:r>
    </w:p>
    <w:p>
      <w:pPr>
        <w:pStyle w:val="BookText"/>
      </w:pPr>
      <w:r>
        <w:rPr>
          <w:rFonts w:ascii="IRNazanin" w:hAnsi="IRNazanin" w:eastAsia="IRNazanin" w:cs="IRNazanin"/>
          <w:lang w:bidi="fa-IR"/>
          <w:color w:val="111111"/>
          <w:sz w:val="28"/>
          <w:szCs w:val="28"/>
          <w:rtl/>
        </w:rPr>
        <w:t xml:space="preserve">بی کا، تا: دهه سوم ذیحجه ۱۲۶۳ق، جان اصفهان، کاغذ: فرنگی آهار مهره، جلد: تیماج مشکی مقوایی، ۱۷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(نشریه: ۳-۲۲۸]</w:t>
      </w:r>
    </w:p>
    <w:p>
      <w:pPr>
        <w:pStyle w:val="BookText"/>
      </w:pPr>
      <w:r>
        <w:rPr>
          <w:rFonts w:ascii="IRNazanin" w:hAnsi="IRNazanin" w:eastAsia="IRNazanin" w:cs="IRNazanin"/>
          <w:lang w:bidi="fa-IR"/>
          <w:color w:val="111111"/>
          <w:sz w:val="28"/>
          <w:szCs w:val="28"/>
          <w:rtl/>
        </w:rPr>
        <w:t xml:space="preserve">۴. تهران؛ مجلس؛ شماره نسخه: ۶۰۹۲/۶</w:t>
      </w:r>
    </w:p>
    <w:p>
      <w:pPr>
        <w:pStyle w:val="BookText"/>
      </w:pPr>
      <w:r>
        <w:rPr>
          <w:rFonts w:ascii="Amiri" w:hAnsi="Amiri" w:eastAsia="Amiri" w:cs="Amiri"/>
          <w:lang w:bidi="ar-SA"/>
          <w:color w:val="111111"/>
          <w:sz w:val="28"/>
          <w:szCs w:val="28"/>
          <w:rtl/>
        </w:rPr>
        <w:t xml:space="preserve">آغاز: برابر؛ انجام: و هو آخر الكتاب.</w:t>
      </w:r>
    </w:p>
    <w:p>
      <w:pPr>
        <w:pStyle w:val="BookText"/>
      </w:pPr>
      <w:r>
        <w:rPr>
          <w:rFonts w:ascii="IRNazanin" w:hAnsi="IRNazanin" w:eastAsia="IRNazanin" w:cs="IRNazanin"/>
          <w:lang w:bidi="fa-IR"/>
          <w:color w:val="111111"/>
          <w:sz w:val="28"/>
          <w:szCs w:val="28"/>
          <w:rtl/>
        </w:rPr>
        <w:t xml:space="preserve">پایان رقم کا: بدون تغییر در عبارت بعبارت فارسی مسطور شد ... در دارالخلافه تهران باتمام رسید. خط: نسخ، كا: اسدالله منجم مازندرانی هزار جریبی، تا: ۱۳۱۰ق؛ کاغذ: فرنگی نباتی تیره ضخیم، جلد: تیماج عنابی ضربی، ۱۱۹ص (۱۰-۱۲۸)، ۱۶ سطر، اندازه:</w:t>
      </w:r>
    </w:p>
    <w:p>
      <w:pPr>
        <w:pStyle w:val="BookText"/>
      </w:pPr>
      <w:r>
        <w:rPr>
          <w:rFonts w:ascii="IRNazanin" w:hAnsi="IRNazanin" w:eastAsia="IRNazanin" w:cs="IRNazanin"/>
          <w:lang w:bidi="fa-IR"/>
          <w:color w:val="111111"/>
          <w:sz w:val="28"/>
          <w:szCs w:val="28"/>
          <w:rtl/>
        </w:rPr>
        <w:t xml:space="preserve">۲۲/۵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۱۹-۷۵]</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مشهد؛ رضوی؛ شماره نسخه: ۱۲۰۸۷/۵</w:t>
      </w:r>
    </w:p>
    <w:p>
      <w:pPr>
        <w:pStyle w:val="BookText"/>
      </w:pPr>
      <w:r>
        <w:rPr>
          <w:rFonts w:ascii="IRNazanin" w:hAnsi="IRNazanin" w:eastAsia="IRNazanin" w:cs="IRNazanin"/>
          <w:lang w:bidi="fa-IR"/>
          <w:color w:val="111111"/>
          <w:sz w:val="28"/>
          <w:szCs w:val="28"/>
          <w:rtl/>
        </w:rPr>
        <w:t xml:space="preserve">آغاز: برابر؛ انجام: خطوط فصول مشتركة للسطح المخروطی وای سطح كان</w:t>
      </w:r>
    </w:p>
    <w:p>
      <w:pPr>
        <w:pStyle w:val="BookText"/>
      </w:pPr>
      <w:r>
        <w:rPr>
          <w:rFonts w:ascii="IRNazanin" w:hAnsi="IRNazanin" w:eastAsia="IRNazanin" w:cs="IRNazanin"/>
          <w:lang w:bidi="fa-IR"/>
          <w:color w:val="111111"/>
          <w:sz w:val="28"/>
          <w:szCs w:val="28"/>
          <w:rtl/>
        </w:rPr>
        <w:t xml:space="preserve">خط: شکسته، کا: میرزا عبدالله طبری، بی تا، دارای اشکال نجومی؛ کاغذ: نخودی آهار مهره، جلد: تیماج، اندازه: ۲۱/۲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۱۵سم[ف:۱۶۳-۱۰ ]</w:t>
      </w:r>
    </w:p>
    <w:p>
      <w:pPr>
        <w:pStyle w:val="Heading3"/>
      </w:pPr>
      <w:bookmarkStart w:id="1719" w:name="_Toc979"/>
      <w:r>
        <w:t>• پر کار القطوع (رسالة من) / رياضيات / عربی</w:t>
      </w:r>
      <w:bookmarkEnd w:id="1719"/>
    </w:p>
    <w:p>
      <w:pPr>
        <w:pStyle w:val="BookText"/>
      </w:pPr>
      <w:r>
        <w:rPr>
          <w:rFonts w:ascii="Times New Roman" w:hAnsi="Times New Roman" w:eastAsia="Times New Roman" w:cs="Times New Roman"/>
          <w:lang w:val="en-US" w:bidi="en-US"/>
          <w:color w:val="111111"/>
          <w:sz w:val="28"/>
          <w:szCs w:val="28"/>
          <w:rtl/>
        </w:rPr>
        <w:t xml:space="preserve">parkār-ul quțū' (r.-un min)</w:t>
      </w:r>
    </w:p>
    <w:p>
      <w:pPr>
        <w:pStyle w:val="BookText"/>
      </w:pPr>
      <w:r>
        <w:rPr>
          <w:rFonts w:ascii="IRNazanin" w:hAnsi="IRNazanin" w:eastAsia="IRNazanin" w:cs="IRNazanin"/>
          <w:lang w:bidi="fa-IR"/>
          <w:color w:val="111111"/>
          <w:sz w:val="28"/>
          <w:szCs w:val="28"/>
          <w:rtl/>
        </w:rPr>
        <w:t xml:space="preserve">اثير الدين ابهری، مفضل بن عمر، - ۶۶۰؟ قمری</w:t>
      </w:r>
    </w:p>
    <w:p>
      <w:pPr>
        <w:pStyle w:val="BookText"/>
      </w:pPr>
      <w:r>
        <w:rPr>
          <w:rFonts w:ascii="Times New Roman" w:hAnsi="Times New Roman" w:eastAsia="Times New Roman" w:cs="Times New Roman"/>
          <w:lang w:val="en-US" w:bidi="en-US"/>
          <w:color w:val="111111"/>
          <w:sz w:val="28"/>
          <w:szCs w:val="28"/>
          <w:rtl/>
        </w:rPr>
        <w:t xml:space="preserve">asīr-od-dīn-e abharī, mofazzal ebn-e ‘omar (- 1262)</w:t>
      </w:r>
    </w:p>
    <w:p>
      <w:pPr>
        <w:pStyle w:val="BookText"/>
      </w:pPr>
      <w:r>
        <w:rPr>
          <w:rFonts w:ascii="IRNazanin" w:hAnsi="IRNazanin" w:eastAsia="IRNazanin" w:cs="IRNazanin"/>
          <w:lang w:bidi="fa-IR"/>
          <w:color w:val="111111"/>
          <w:sz w:val="28"/>
          <w:szCs w:val="28"/>
          <w:rtl/>
        </w:rPr>
        <w:t xml:space="preserve">اثير الدین ابهری آن را از حاصل بحثی که حین قرائت «رسالة الپرکار التام» بر شيخ كمال الدين بن يونس پیش آمد نگاشته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 ۶۷۰/۱۲ -ف</w:t>
      </w:r>
    </w:p>
    <w:p>
      <w:pPr>
        <w:pStyle w:val="BookText"/>
      </w:pPr>
      <w:r>
        <w:rPr>
          <w:rFonts w:ascii="IRNazanin" w:hAnsi="IRNazanin" w:eastAsia="IRNazanin" w:cs="IRNazanin"/>
          <w:lang w:bidi="fa-IR"/>
          <w:color w:val="111111"/>
          <w:sz w:val="28"/>
          <w:szCs w:val="28"/>
          <w:rtl/>
        </w:rPr>
        <w:t xml:space="preserve">نسخه اصل: مانیسا گنل ش ۱۷۰۶؛ خط: نسخ، بی کا، تا: ۶۹۹ق، جا: تبریز؛ ۵گ (۲۳۴-۲۳۸ر)، ۱۸ سطر [فیلمها ف: ۱-۵۲۲]</w:t>
      </w:r>
    </w:p>
    <w:p>
      <w:pPr>
        <w:pStyle w:val="BookText"/>
      </w:pPr>
      <w:r>
        <w:rPr>
          <w:rFonts w:ascii="IRNazanin" w:hAnsi="IRNazanin" w:eastAsia="IRNazanin" w:cs="IRNazanin"/>
          <w:lang w:bidi="fa-IR"/>
          <w:color w:val="111111"/>
          <w:sz w:val="28"/>
          <w:szCs w:val="28"/>
          <w:rtl/>
        </w:rPr>
        <w:t xml:space="preserve">۲. تهران؛ مینوی؛ شماره نسخه: ۶۸/۶</w:t>
      </w:r>
    </w:p>
    <w:p>
      <w:pPr>
        <w:pStyle w:val="BookText"/>
      </w:pPr>
      <w:r>
        <w:rPr>
          <w:rFonts w:ascii="IRNazanin" w:hAnsi="IRNazanin" w:eastAsia="IRNazanin" w:cs="IRNazanin"/>
          <w:lang w:bidi="fa-IR"/>
          <w:color w:val="111111"/>
          <w:sz w:val="28"/>
          <w:szCs w:val="28"/>
          <w:rtl/>
        </w:rPr>
        <w:t xml:space="preserve">بخش ۲</w:t>
      </w:r>
    </w:p>
    <w:p>
      <w:pPr>
        <w:pStyle w:val="BookText"/>
      </w:pPr>
      <w:r>
        <w:rPr>
          <w:rFonts w:ascii="IRNazanin" w:hAnsi="IRNazanin" w:eastAsia="IRNazanin" w:cs="IRNazanin"/>
          <w:lang w:bidi="fa-IR"/>
          <w:color w:val="111111"/>
          <w:sz w:val="28"/>
          <w:szCs w:val="28"/>
          <w:rtl/>
        </w:rPr>
        <w:t xml:space="preserve">خط: تعليق، كا: قطب الدین محمود بن مصلح متطبب، بی تا [ف: ۸۱]</w:t>
      </w:r>
    </w:p>
    <w:p>
      <w:pPr>
        <w:pStyle w:val="Heading3"/>
      </w:pPr>
      <w:bookmarkStart w:id="1720" w:name="_Toc980"/>
      <w:r>
        <w:t>• پرگار = رساله در معرفت ساختن پرگار / ریاضیات / فارسی</w:t>
      </w:r>
      <w:bookmarkEnd w:id="1720"/>
    </w:p>
    <w:p>
      <w:pPr>
        <w:pStyle w:val="BookText"/>
      </w:pPr>
      <w:r>
        <w:rPr>
          <w:rFonts w:ascii="Times New Roman" w:hAnsi="Times New Roman" w:eastAsia="Times New Roman" w:cs="Times New Roman"/>
          <w:lang w:val="en-US" w:bidi="en-US"/>
          <w:color w:val="111111"/>
          <w:sz w:val="28"/>
          <w:szCs w:val="28"/>
          <w:rtl/>
        </w:rPr>
        <w:t xml:space="preserve">pargār=r. dar maʼrefat-e sāxtan-e pargār</w:t>
      </w:r>
    </w:p>
    <w:p>
      <w:pPr>
        <w:pStyle w:val="BookText"/>
      </w:pPr>
      <w:r>
        <w:rPr>
          <w:rFonts w:ascii="IRNazanin" w:hAnsi="IRNazanin" w:eastAsia="IRNazanin" w:cs="IRNazanin"/>
          <w:lang w:bidi="fa-IR"/>
          <w:color w:val="111111"/>
          <w:sz w:val="28"/>
          <w:szCs w:val="28"/>
          <w:rtl/>
        </w:rPr>
        <w:t xml:space="preserve">یزدی، محمد رضا بن محمد هاشم، ق۱۳ قمری</w:t>
      </w:r>
    </w:p>
    <w:p>
      <w:pPr>
        <w:pStyle w:val="BookText"/>
      </w:pPr>
      <w:r>
        <w:rPr>
          <w:rFonts w:ascii="Times New Roman" w:hAnsi="Times New Roman" w:eastAsia="Times New Roman" w:cs="Times New Roman"/>
          <w:lang w:val="en-US" w:bidi="en-US"/>
          <w:color w:val="111111"/>
          <w:sz w:val="28"/>
          <w:szCs w:val="28"/>
          <w:rtl/>
        </w:rPr>
        <w:t xml:space="preserve">yazdi, mohammad reza ebn-e mohammad_hasem ( - 19c)</w:t>
      </w:r>
    </w:p>
    <w:p>
      <w:pPr>
        <w:pStyle w:val="BookText"/>
      </w:pPr>
      <w:r>
        <w:rPr>
          <w:rFonts w:ascii="IRNazanin" w:hAnsi="IRNazanin" w:eastAsia="IRNazanin" w:cs="IRNazanin"/>
          <w:lang w:bidi="fa-IR"/>
          <w:color w:val="111111"/>
          <w:sz w:val="28"/>
          <w:szCs w:val="28"/>
          <w:rtl/>
        </w:rPr>
        <w:t xml:space="preserve">دارای یک «مقدمه» و ده «فصل». . آغاز: الحمدلله الذي خلق السموات و الارضین. و الصلوة و السلام على موازين القسط محمد و عترته الطاهرین. سيما الأربعة المتناسبة اصحاب الأحياء و خير الموازین و بعد میگوید احقر عباد الله الهادی محمد رضا بن محمد هاشم الیزدی که این رساله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95" w:name="pg20363_209555"/>
    <w:bookmarkEnd w:id="295"/>
    <w:p>
      <w:pPr>
        <w:pStyle w:val="BookText"/>
      </w:pPr>
      <w:r>
        <w:rPr>
          <w:rFonts w:ascii="IRNazanin" w:hAnsi="IRNazanin" w:eastAsia="IRNazanin" w:cs="IRNazanin"/>
          <w:lang w:bidi="fa-IR"/>
          <w:color w:val="111111"/>
          <w:sz w:val="28"/>
          <w:szCs w:val="28"/>
          <w:rtl/>
        </w:rPr>
        <w:t xml:space="preserve">ایست در معرفت ساختن پر کار متناسبه انجام: خط اظلال را و آنرا با پر کار متعارف بصد و بیست قسم متساوی کنیم. تم الكتاب بعون الملک الوهاب</w:t>
      </w:r>
    </w:p>
    <w:p>
      <w:pPr>
        <w:pStyle w:val="BookText"/>
      </w:pPr>
      <w:r>
        <w:rPr>
          <w:rFonts w:ascii="IRNazanin" w:hAnsi="IRNazanin" w:eastAsia="IRNazanin" w:cs="IRNazanin"/>
          <w:lang w:bidi="fa-IR"/>
          <w:color w:val="111111"/>
          <w:sz w:val="28"/>
          <w:szCs w:val="28"/>
          <w:rtl/>
        </w:rPr>
        <w:t xml:space="preserve">[فهرستواره منزوی ۲۶۱۹/۴ ]</w:t>
      </w:r>
    </w:p>
    <w:p>
      <w:pPr>
        <w:pStyle w:val="BookText"/>
      </w:pPr>
      <w:r>
        <w:rPr>
          <w:rFonts w:ascii="IRNazanin" w:hAnsi="IRNazanin" w:eastAsia="IRNazanin" w:cs="IRNazanin"/>
          <w:lang w:bidi="fa-IR"/>
          <w:color w:val="111111"/>
          <w:sz w:val="28"/>
          <w:szCs w:val="28"/>
          <w:rtl/>
        </w:rPr>
        <w:t xml:space="preserve">تبریز؛ ملی؛ شماره نسخه: ۳۲۱۰/۳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كاتب = مؤلف، تا: ۱۲۶۲ق، کاغذ: فرنگی، جلد: چرمی، ۱۳گ، ۱۹سطر،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۲-۷۶۰]</w:t>
      </w:r>
    </w:p>
    <w:p>
      <w:pPr>
        <w:pStyle w:val="BookText"/>
      </w:pPr>
      <w:r>
        <w:rPr>
          <w:rFonts w:ascii="IRNazanin" w:hAnsi="IRNazanin" w:eastAsia="IRNazanin" w:cs="IRNazanin"/>
          <w:lang w:bidi="fa-IR"/>
          <w:color w:val="111111"/>
          <w:sz w:val="28"/>
          <w:szCs w:val="28"/>
          <w:rtl/>
        </w:rPr>
        <w:t xml:space="preserve">←پرگار اربعه متناسبه ← رفيعيه</w:t>
      </w:r>
    </w:p>
    <w:p>
      <w:pPr>
        <w:pStyle w:val="BookText"/>
      </w:pPr>
      <w:r>
        <w:rPr>
          <w:rFonts w:ascii="IRNazanin" w:hAnsi="IRNazanin" w:eastAsia="IRNazanin" w:cs="IRNazanin"/>
          <w:lang w:bidi="fa-IR"/>
          <w:color w:val="111111"/>
          <w:sz w:val="28"/>
          <w:szCs w:val="28"/>
          <w:rtl/>
        </w:rPr>
        <w:t xml:space="preserve">← پرگار متناسبه ← تشریح الاعمال</w:t>
      </w:r>
    </w:p>
    <w:p>
      <w:pPr>
        <w:pStyle w:val="Heading3"/>
      </w:pPr>
      <w:bookmarkStart w:id="1721" w:name="_Toc981"/>
      <w:r>
        <w:t>• پرگار متناسبه = طرز ساختن و موارد استعمال پرگار ریاضیات / فارسی</w:t>
      </w:r>
      <w:bookmarkEnd w:id="1721"/>
    </w:p>
    <w:p>
      <w:pPr>
        <w:pStyle w:val="BookText"/>
      </w:pPr>
      <w:r>
        <w:rPr>
          <w:rFonts w:ascii="Times New Roman" w:hAnsi="Times New Roman" w:eastAsia="Times New Roman" w:cs="Times New Roman"/>
          <w:lang w:val="en-US" w:bidi="en-US"/>
          <w:color w:val="111111"/>
          <w:sz w:val="28"/>
          <w:szCs w:val="28"/>
          <w:rtl/>
        </w:rPr>
        <w:t xml:space="preserve">pargār-e motanāsebe = tarz-e sāxtan va mavāred-e este ́māl-e pargār</w:t>
      </w:r>
    </w:p>
    <w:p>
      <w:pPr>
        <w:pStyle w:val="BookText"/>
      </w:pPr>
      <w:r>
        <w:rPr>
          <w:rFonts w:ascii="Amiri" w:hAnsi="Amiri" w:eastAsia="Amiri" w:cs="Amiri"/>
          <w:lang w:bidi="ar-SA"/>
          <w:color w:val="111111"/>
          <w:sz w:val="28"/>
          <w:szCs w:val="28"/>
          <w:rtl/>
        </w:rPr>
        <w:t xml:space="preserve">طبيب، خليل</w:t>
      </w:r>
    </w:p>
    <w:p>
      <w:pPr>
        <w:pStyle w:val="BookText"/>
      </w:pPr>
      <w:r>
        <w:rPr>
          <w:rFonts w:ascii="Times New Roman" w:hAnsi="Times New Roman" w:eastAsia="Times New Roman" w:cs="Times New Roman"/>
          <w:lang w:val="en-US" w:bidi="en-US"/>
          <w:color w:val="111111"/>
          <w:sz w:val="28"/>
          <w:szCs w:val="28"/>
          <w:rtl/>
        </w:rPr>
        <w:t xml:space="preserve">tabīb, xalīl</w:t>
      </w:r>
    </w:p>
    <w:p>
      <w:pPr>
        <w:pStyle w:val="BookText"/>
      </w:pPr>
      <w:r>
        <w:rPr>
          <w:rFonts w:ascii="IRNazanin" w:hAnsi="IRNazanin" w:eastAsia="IRNazanin" w:cs="IRNazanin"/>
          <w:lang w:bidi="fa-IR"/>
          <w:color w:val="111111"/>
          <w:sz w:val="28"/>
          <w:szCs w:val="28"/>
          <w:rtl/>
        </w:rPr>
        <w:t xml:space="preserve">ترجمه از فرانسه به فارسی توسط میرزا خلیل که در طهران معلم طب و ریاضی بوده، ترجمه شده است. شامل دو «فصل»: ۱. طرز ساختن پر کار؛ ۲. قواعد اعمال پر کار متناسبه.</w:t>
      </w:r>
    </w:p>
    <w:p>
      <w:pPr>
        <w:pStyle w:val="BookText"/>
      </w:pPr>
      <w:r>
        <w:rPr>
          <w:rFonts w:ascii="IRNazanin" w:hAnsi="IRNazanin" w:eastAsia="IRNazanin" w:cs="IRNazanin"/>
          <w:lang w:bidi="fa-IR"/>
          <w:color w:val="111111"/>
          <w:sz w:val="28"/>
          <w:szCs w:val="28"/>
          <w:rtl/>
        </w:rPr>
        <w:t xml:space="preserve">آغاز: رساله در طرز ساختن ...... پر کار متناسبه یکی از اسباب و آلات ریاضی است. انجام: وزن مواد مختلفه را در یک قدم و یک ابهام مکعب آوردیم.</w:t>
      </w:r>
    </w:p>
    <w:p>
      <w:pPr>
        <w:pStyle w:val="BookText"/>
      </w:pPr>
      <w:r>
        <w:rPr>
          <w:rFonts w:ascii="IRNazanin" w:hAnsi="IRNazanin" w:eastAsia="IRNazanin" w:cs="IRNazanin"/>
          <w:lang w:bidi="fa-IR"/>
          <w:color w:val="111111"/>
          <w:sz w:val="28"/>
          <w:szCs w:val="28"/>
          <w:rtl/>
        </w:rPr>
        <w:t xml:space="preserve">[فهرستواره منزوی ۲۶۱۹/۴ ]</w:t>
      </w:r>
    </w:p>
    <w:p>
      <w:pPr>
        <w:pStyle w:val="BookText"/>
      </w:pPr>
      <w:r>
        <w:rPr>
          <w:rFonts w:ascii="IRNazanin" w:hAnsi="IRNazanin" w:eastAsia="IRNazanin" w:cs="IRNazanin"/>
          <w:lang w:bidi="fa-IR"/>
          <w:color w:val="111111"/>
          <w:sz w:val="28"/>
          <w:szCs w:val="28"/>
          <w:rtl/>
        </w:rPr>
        <w:t xml:space="preserve">قم؛ مرعشی؛ شماره نسخه: ۴۳۸۸</w:t>
      </w:r>
    </w:p>
    <w:p>
      <w:pPr>
        <w:pStyle w:val="BookText"/>
      </w:pPr>
      <w:r>
        <w:rPr>
          <w:rFonts w:ascii="IRNazanin" w:hAnsi="IRNazanin" w:eastAsia="IRNazanin" w:cs="IRNazanin"/>
          <w:lang w:bidi="fa-IR"/>
          <w:color w:val="111111"/>
          <w:sz w:val="28"/>
          <w:szCs w:val="28"/>
          <w:rtl/>
        </w:rPr>
        <w:t xml:space="preserve">آغاز: رساله در طرز ساختن ...... پر کار متناسبه یکی از اسباب و آلات ریاضی است؛ انجام: وزن مواد مختلفه را در یک قدم و یک ابهام مکعب آوردیم.</w:t>
      </w:r>
    </w:p>
    <w:p>
      <w:pPr>
        <w:pStyle w:val="BookText"/>
      </w:pPr>
      <w:r>
        <w:rPr>
          <w:rFonts w:ascii="IRNazanin" w:hAnsi="IRNazanin" w:eastAsia="IRNazanin" w:cs="IRNazanin"/>
          <w:lang w:bidi="fa-IR"/>
          <w:color w:val="111111"/>
          <w:sz w:val="28"/>
          <w:szCs w:val="28"/>
          <w:rtl/>
        </w:rPr>
        <w:t xml:space="preserve">خط: نسخ، كا: اسد الله منجم (شاگرد مترجم)، تا: سه شنبه ۹ جمادی الثانی ۱۳۰۸ق، جا: طهران؛ جلد: تیماج قهوه ای، ۷۶گ، ۱۸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۱۱-۳۸۹]</w:t>
      </w:r>
    </w:p>
    <w:p>
      <w:pPr>
        <w:pStyle w:val="Heading3"/>
      </w:pPr>
      <w:bookmarkStart w:id="1722" w:name="_Toc982"/>
      <w:r>
        <w:t>• پرگار متناسبه / ریاضیات / فارسی</w:t>
      </w:r>
      <w:bookmarkEnd w:id="1722"/>
    </w:p>
    <w:p>
      <w:pPr>
        <w:pStyle w:val="BookText"/>
      </w:pPr>
      <w:r>
        <w:rPr>
          <w:rFonts w:ascii="Times New Roman" w:hAnsi="Times New Roman" w:eastAsia="Times New Roman" w:cs="Times New Roman"/>
          <w:lang w:val="en-US" w:bidi="en-US"/>
          <w:color w:val="111111"/>
          <w:sz w:val="28"/>
          <w:szCs w:val="28"/>
          <w:rtl/>
        </w:rPr>
        <w:t xml:space="preserve">pargār-e motanāsebe</w:t>
      </w:r>
    </w:p>
    <w:p>
      <w:pPr>
        <w:pStyle w:val="BookText"/>
      </w:pPr>
      <w:r>
        <w:rPr>
          <w:rFonts w:ascii="IRNazanin" w:hAnsi="IRNazanin" w:eastAsia="IRNazanin" w:cs="IRNazanin"/>
          <w:lang w:bidi="fa-IR"/>
          <w:color w:val="111111"/>
          <w:sz w:val="28"/>
          <w:szCs w:val="28"/>
          <w:rtl/>
        </w:rPr>
        <w:t xml:space="preserve">مختصری است در طریقه ساختن پرگار متناسبه و موارد استعمال آن.</w:t>
      </w:r>
    </w:p>
    <w:p>
      <w:pPr>
        <w:pStyle w:val="BookText"/>
      </w:pPr>
      <w:r>
        <w:rPr>
          <w:rFonts w:ascii="IRNazanin" w:hAnsi="IRNazanin" w:eastAsia="IRNazanin" w:cs="IRNazanin"/>
          <w:lang w:bidi="fa-IR"/>
          <w:color w:val="111111"/>
          <w:sz w:val="28"/>
          <w:szCs w:val="28"/>
          <w:rtl/>
        </w:rPr>
        <w:t xml:space="preserve">مشهد؛ رضوی؛ شماره نسخه: ۱۲۲۳۳/۳</w:t>
      </w:r>
    </w:p>
    <w:p>
      <w:pPr>
        <w:pStyle w:val="BookText"/>
      </w:pPr>
      <w:r>
        <w:rPr>
          <w:rFonts w:ascii="IRNazanin" w:hAnsi="IRNazanin" w:eastAsia="IRNazanin" w:cs="IRNazanin"/>
          <w:lang w:bidi="fa-IR"/>
          <w:color w:val="111111"/>
          <w:sz w:val="28"/>
          <w:szCs w:val="28"/>
          <w:rtl/>
        </w:rPr>
        <w:t xml:space="preserve">آغاز: پرگار متناسبه یکی از آلات ریاضی است و وجه تسمیه آن اینست که بجهت تعیین نسبت و مقادیر متحد الأجناس بکار میرود؛ انجام: که وزن آن چنانچه سوال شده بود ۱۵ لیور است</w:t>
      </w:r>
    </w:p>
    <w:p>
      <w:pPr>
        <w:pStyle w:val="BookText"/>
      </w:pPr>
      <w:r>
        <w:rPr>
          <w:rFonts w:ascii="IRNazanin" w:hAnsi="IRNazanin" w:eastAsia="IRNazanin" w:cs="IRNazanin"/>
          <w:lang w:bidi="fa-IR"/>
          <w:color w:val="111111"/>
          <w:sz w:val="28"/>
          <w:szCs w:val="28"/>
          <w:rtl/>
        </w:rPr>
        <w:t xml:space="preserve">خط: نسخ، کا: اسدالله منجم دودانگه هزار جریبی، تا: ۱۳۱۹ق؛ کاغذ: حنایی آهار مهره، جلد: تیماج، ۵۲ص (۷۷-۱۲۸)، ۱۸ سطر، اندازه: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۱۰-۹۸]</w:t>
      </w:r>
    </w:p>
    <w:p>
      <w:pPr>
        <w:pStyle w:val="Heading3"/>
      </w:pPr>
      <w:bookmarkStart w:id="1723" w:name="_Toc983"/>
      <w:r>
        <w:t>• پرنسس دو کنتی (ترجمه) / داستان / فارسی</w:t>
      </w:r>
      <w:bookmarkEnd w:id="1723"/>
    </w:p>
    <w:p>
      <w:pPr>
        <w:pStyle w:val="BookText"/>
      </w:pPr>
      <w:r>
        <w:rPr>
          <w:rFonts w:ascii="Times New Roman" w:hAnsi="Times New Roman" w:eastAsia="Times New Roman" w:cs="Times New Roman"/>
          <w:lang w:val="en-US" w:bidi="en-US"/>
          <w:color w:val="111111"/>
          <w:sz w:val="28"/>
          <w:szCs w:val="28"/>
          <w:rtl/>
        </w:rPr>
        <w:t xml:space="preserve">peranses dokontī (t.)</w:t>
      </w:r>
    </w:p>
    <w:p>
      <w:pPr>
        <w:pStyle w:val="BookText"/>
      </w:pPr>
      <w:r>
        <w:rPr>
          <w:rFonts w:ascii="IRNazanin" w:hAnsi="IRNazanin" w:eastAsia="IRNazanin" w:cs="IRNazanin"/>
          <w:lang w:bidi="fa-IR"/>
          <w:color w:val="111111"/>
          <w:sz w:val="28"/>
          <w:szCs w:val="28"/>
          <w:rtl/>
        </w:rPr>
        <w:t xml:space="preserve">مترجم: حشمت السلطان، محمد على بن ركن الدوله، -۱۳۳۴ قمری</w:t>
      </w:r>
    </w:p>
    <w:p>
      <w:pPr>
        <w:pStyle w:val="BookText"/>
      </w:pPr>
      <w:r>
        <w:rPr>
          <w:rFonts w:ascii="Times New Roman" w:hAnsi="Times New Roman" w:eastAsia="Times New Roman" w:cs="Times New Roman"/>
          <w:lang w:val="en-US" w:bidi="en-US"/>
          <w:color w:val="111111"/>
          <w:sz w:val="28"/>
          <w:szCs w:val="28"/>
          <w:rtl/>
        </w:rPr>
        <w:t xml:space="preserve">hešmat-os-soltān, mohammad ‘alī ebn-e rokn-od-dowle</w:t>
      </w:r>
    </w:p>
    <w:p>
      <w:pPr>
        <w:pStyle w:val="BookText"/>
      </w:pPr>
      <w:r>
        <w:rPr>
          <w:rFonts w:ascii="IRNazanin" w:hAnsi="IRNazanin" w:eastAsia="IRNazanin" w:cs="IRNazanin"/>
          <w:lang w:bidi="fa-IR"/>
          <w:color w:val="111111"/>
          <w:sz w:val="28"/>
          <w:szCs w:val="28"/>
          <w:rtl/>
        </w:rPr>
        <w:t xml:space="preserve">تهران؛ مجلس؛ شماره نسخه: ۱۸۴۰۷</w:t>
      </w:r>
    </w:p>
    <w:p>
      <w:pPr>
        <w:pStyle w:val="BookText"/>
      </w:pPr>
      <w:r>
        <w:rPr>
          <w:rFonts w:ascii="IRNazanin" w:hAnsi="IRNazanin" w:eastAsia="IRNazanin" w:cs="IRNazanin"/>
          <w:lang w:bidi="fa-IR"/>
          <w:color w:val="111111"/>
          <w:sz w:val="28"/>
          <w:szCs w:val="28"/>
          <w:rtl/>
        </w:rPr>
        <w:t xml:space="preserve">كاتب = مترجم، بی تا [د.ث. مجلس]</w:t>
      </w:r>
    </w:p>
    <w:p>
      <w:pPr>
        <w:pStyle w:val="Heading3"/>
      </w:pPr>
      <w:bookmarkStart w:id="1724" w:name="_Toc984"/>
      <w:r>
        <w:t>•پروانچه به خواجه امیر بیک / اسناد / فارسی</w:t>
      </w:r>
      <w:bookmarkEnd w:id="1724"/>
    </w:p>
    <w:p>
      <w:pPr>
        <w:pStyle w:val="BookText"/>
      </w:pPr>
      <w:r>
        <w:rPr>
          <w:rFonts w:ascii="Times New Roman" w:hAnsi="Times New Roman" w:eastAsia="Times New Roman" w:cs="Times New Roman"/>
          <w:lang w:val="en-US" w:bidi="en-US"/>
          <w:color w:val="111111"/>
          <w:sz w:val="28"/>
          <w:szCs w:val="28"/>
          <w:rtl/>
        </w:rPr>
        <w:t xml:space="preserve">parvānče be xāje amīr beyk</w:t>
      </w:r>
    </w:p>
    <w:p>
      <w:pPr>
        <w:pStyle w:val="BookText"/>
      </w:pPr>
      <w:r>
        <w:rPr>
          <w:rFonts w:ascii="IRNazanin" w:hAnsi="IRNazanin" w:eastAsia="IRNazanin" w:cs="IRNazanin"/>
          <w:lang w:bidi="fa-IR"/>
          <w:color w:val="111111"/>
          <w:sz w:val="28"/>
          <w:szCs w:val="28"/>
          <w:rtl/>
        </w:rPr>
        <w:t xml:space="preserve">طهماسب صفوی اول، شاه ایران، ۹۱۹-۹۸۴ قمری</w:t>
      </w:r>
    </w:p>
    <w:p>
      <w:pPr>
        <w:pStyle w:val="BookText"/>
      </w:pPr>
      <w:r>
        <w:rPr>
          <w:rFonts w:ascii="Times New Roman" w:hAnsi="Times New Roman" w:eastAsia="Times New Roman" w:cs="Times New Roman"/>
          <w:lang w:val="en-US" w:bidi="en-US"/>
          <w:color w:val="111111"/>
          <w:sz w:val="28"/>
          <w:szCs w:val="28"/>
          <w:rtl/>
        </w:rPr>
        <w:t xml:space="preserve">tahmāsb-e safavī-ye avval, šāh-e īrān (1514-1577)</w:t>
      </w:r>
    </w:p>
    <w:p>
      <w:pPr>
        <w:pStyle w:val="BookText"/>
      </w:pPr>
      <w:r>
        <w:rPr>
          <w:rFonts w:ascii="IRNazanin" w:hAnsi="IRNazanin" w:eastAsia="IRNazanin" w:cs="IRNazanin"/>
          <w:lang w:bidi="fa-IR"/>
          <w:color w:val="111111"/>
          <w:sz w:val="28"/>
          <w:szCs w:val="28"/>
          <w:rtl/>
        </w:rPr>
        <w:t xml:space="preserve">تهران؛ ملک؛ شماره نسخه: ۹۷۵/۱۱۶</w:t>
      </w:r>
    </w:p>
    <w:p>
      <w:pPr>
        <w:pStyle w:val="BookText"/>
      </w:pPr>
      <w:r>
        <w:rPr>
          <w:rFonts w:ascii="IRNazanin" w:hAnsi="IRNazanin" w:eastAsia="IRNazanin" w:cs="IRNazanin"/>
          <w:lang w:bidi="fa-IR"/>
          <w:color w:val="111111"/>
          <w:sz w:val="28"/>
          <w:szCs w:val="28"/>
          <w:rtl/>
        </w:rPr>
        <w:t xml:space="preserve">آغاز: فرمان همایون شد آنکه خواجه امیر بیک بداند که جمعی از مردم خط: نستعلیق، بی کا، تا: قرن ۱۱؛ کاغذ: ترمه، رویه میشن قهوه ای یک لا، ۲گ (۱۰۴ر۱۰۵ر)، ۲۲ سطر، اندازه: ۲۴/۴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۱۰۵-۷]</w:t>
      </w:r>
    </w:p>
    <w:p>
      <w:pPr>
        <w:pStyle w:val="Heading3"/>
      </w:pPr>
      <w:bookmarkStart w:id="1725" w:name="_Toc985"/>
      <w:r>
        <w:t>• پروانچه خواندگار روم که به عثمان پاشا به شیروان نوشته است / اسناد / ترکی</w:t>
      </w:r>
      <w:bookmarkEnd w:id="1725"/>
    </w:p>
    <w:p>
      <w:pPr>
        <w:pStyle w:val="BookText"/>
      </w:pPr>
      <w:r>
        <w:rPr>
          <w:rFonts w:ascii="Times New Roman" w:hAnsi="Times New Roman" w:eastAsia="Times New Roman" w:cs="Times New Roman"/>
          <w:lang w:val="en-US" w:bidi="en-US"/>
          <w:color w:val="111111"/>
          <w:sz w:val="28"/>
          <w:szCs w:val="28"/>
          <w:rtl/>
        </w:rPr>
        <w:t xml:space="preserve">parvānče-ye xāndegār-e rūm ke be ‘osmān pāšā be šīrvān nevešte ast</w:t>
      </w:r>
    </w:p>
    <w:p>
      <w:pPr>
        <w:pStyle w:val="BookText"/>
      </w:pPr>
      <w:r>
        <w:rPr>
          <w:rFonts w:ascii="IRNazanin" w:hAnsi="IRNazanin" w:eastAsia="IRNazanin" w:cs="IRNazanin"/>
          <w:lang w:bidi="fa-IR"/>
          <w:color w:val="111111"/>
          <w:sz w:val="28"/>
          <w:szCs w:val="28"/>
          <w:rtl/>
        </w:rPr>
        <w:t xml:space="preserve">تهران؛ ملک؛ شماره نسخه: ۹۷۵/۳۸</w:t>
      </w:r>
    </w:p>
    <w:p>
      <w:pPr>
        <w:pStyle w:val="BookText"/>
      </w:pPr>
      <w:r>
        <w:rPr>
          <w:rFonts w:ascii="IRNazanin" w:hAnsi="IRNazanin" w:eastAsia="IRNazanin" w:cs="IRNazanin"/>
          <w:lang w:bidi="fa-IR"/>
          <w:color w:val="111111"/>
          <w:sz w:val="28"/>
          <w:szCs w:val="28"/>
          <w:rtl/>
        </w:rPr>
        <w:t xml:space="preserve">خط: نستعلیق، بی کا، تا: قرن ۱۱؛ کاغذ: ترمه، رویه میشن قهوه ای یک لایی، ۲گ (۸۶پ -۸۷پ)، ۲۲ سطر، اندازه: ۲۴/۴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[ف: ۷-۹۶]</w:t>
      </w:r>
    </w:p>
    <w:p>
      <w:pPr>
        <w:pStyle w:val="Heading3"/>
      </w:pPr>
      <w:bookmarkStart w:id="1726" w:name="_Toc986"/>
      <w:r>
        <w:t>•پروانچه شاهرخ پادشاه / اسناد / فارسی</w:t>
      </w:r>
      <w:bookmarkEnd w:id="1726"/>
    </w:p>
    <w:p>
      <w:pPr>
        <w:pStyle w:val="BookText"/>
      </w:pPr>
      <w:r>
        <w:rPr>
          <w:rFonts w:ascii="Times New Roman" w:hAnsi="Times New Roman" w:eastAsia="Times New Roman" w:cs="Times New Roman"/>
          <w:lang w:val="en-US" w:bidi="en-US"/>
          <w:color w:val="111111"/>
          <w:sz w:val="28"/>
          <w:szCs w:val="28"/>
          <w:rtl/>
        </w:rPr>
        <w:t xml:space="preserve">parvānče-ye šāhrox-e pādešāh</w:t>
      </w:r>
    </w:p>
    <w:p>
      <w:pPr>
        <w:pStyle w:val="BookText"/>
      </w:pPr>
      <w:r>
        <w:rPr>
          <w:rFonts w:ascii="IRNazanin" w:hAnsi="IRNazanin" w:eastAsia="IRNazanin" w:cs="IRNazanin"/>
          <w:lang w:bidi="fa-IR"/>
          <w:color w:val="111111"/>
          <w:sz w:val="28"/>
          <w:szCs w:val="28"/>
          <w:rtl/>
        </w:rPr>
        <w:t xml:space="preserve">تهران؛ ملک؛ شماره نسخه: ۹۷۵/۱۰۷</w:t>
      </w:r>
    </w:p>
    <w:p>
      <w:pPr>
        <w:pStyle w:val="BookText"/>
      </w:pPr>
      <w:r>
        <w:rPr>
          <w:rFonts w:ascii="IRNazanin" w:hAnsi="IRNazanin" w:eastAsia="IRNazanin" w:cs="IRNazanin"/>
          <w:lang w:bidi="fa-IR"/>
          <w:color w:val="111111"/>
          <w:sz w:val="28"/>
          <w:szCs w:val="28"/>
          <w:rtl/>
        </w:rPr>
        <w:t xml:space="preserve">آغاز: ملک سلطان عزیز به همه جهت بداند که ملک سلطان محمود عرضه داشت به پایه سریر اعلی فرستاد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96" w:name="pg20363_209556"/>
    <w:bookmarkEnd w:id="296"/>
    <w:p>
      <w:pPr>
        <w:pStyle w:val="BookText"/>
      </w:pPr>
      <w:r>
        <w:rPr>
          <w:rFonts w:ascii="IRNazanin" w:hAnsi="IRNazanin" w:eastAsia="IRNazanin" w:cs="IRNazanin"/>
          <w:lang w:bidi="fa-IR"/>
          <w:color w:val="111111"/>
          <w:sz w:val="28"/>
          <w:szCs w:val="28"/>
          <w:rtl/>
        </w:rPr>
        <w:t xml:space="preserve">خط: نستعلیق، بی کا، تا: قرن ۱۱؛ کاغذ: ترمه، رویه میشن قهوه ای یک لایی، ۲گ (۱۹۴پ -۱۹۵پ)، ۲۲ سطر، اندازه: ۲۴/۴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۷-۱۰۴]</w:t>
      </w:r>
    </w:p>
    <w:p>
      <w:pPr>
        <w:pStyle w:val="Heading3"/>
      </w:pPr>
      <w:bookmarkStart w:id="1727" w:name="_Toc987"/>
      <w:r>
        <w:t>• پروانچه قاضی عبدالله خویی برای ملا محسن مذهب / نامه نگاری / فارسی</w:t>
      </w:r>
      <w:bookmarkEnd w:id="1727"/>
    </w:p>
    <w:p>
      <w:pPr>
        <w:pStyle w:val="BookText"/>
      </w:pPr>
      <w:r>
        <w:rPr>
          <w:rFonts w:ascii="Times New Roman" w:hAnsi="Times New Roman" w:eastAsia="Times New Roman" w:cs="Times New Roman"/>
          <w:lang w:val="en-US" w:bidi="en-US"/>
          <w:color w:val="111111"/>
          <w:sz w:val="28"/>
          <w:szCs w:val="28"/>
          <w:rtl/>
        </w:rPr>
        <w:t xml:space="preserve">abd-ol-lah-e xull baraye_molla parvanee-ye qazi mohsen-e mazahheb</w:t>
      </w:r>
    </w:p>
    <w:p>
      <w:pPr>
        <w:pStyle w:val="BookText"/>
      </w:pPr>
      <w:r>
        <w:rPr>
          <w:rFonts w:ascii="IRNazanin" w:hAnsi="IRNazanin" w:eastAsia="IRNazanin" w:cs="IRNazanin"/>
          <w:lang w:bidi="fa-IR"/>
          <w:color w:val="111111"/>
          <w:sz w:val="28"/>
          <w:szCs w:val="28"/>
          <w:rtl/>
        </w:rPr>
        <w:t xml:space="preserve">تهران؛ ملکی؛ شماره نسخه: ۹۷۵/۴۰</w:t>
      </w:r>
    </w:p>
    <w:p>
      <w:pPr>
        <w:pStyle w:val="BookText"/>
      </w:pPr>
      <w:r>
        <w:rPr>
          <w:rFonts w:ascii="IRNazanin" w:hAnsi="IRNazanin" w:eastAsia="IRNazanin" w:cs="IRNazanin"/>
          <w:lang w:bidi="fa-IR"/>
          <w:color w:val="111111"/>
          <w:sz w:val="28"/>
          <w:szCs w:val="28"/>
          <w:rtl/>
        </w:rPr>
        <w:t xml:space="preserve">آغاز: چون لوح پرداز صفايح ابداع و صفحه طراز صحایف ایجاد خط: نستعلیق، بی کا، تا: قرن ۱۱؛ کاغذ: ترمه، رویه میشن قهوه ای یک لا، ۲گ (۸۹ر-۹۰ر)، ۲۲ سطر، اندازه:</w:t>
      </w:r>
    </w:p>
    <w:p>
      <w:pPr>
        <w:pStyle w:val="BookText"/>
      </w:pPr>
      <w:r>
        <w:rPr>
          <w:rFonts w:ascii="IRNazanin" w:hAnsi="IRNazanin" w:eastAsia="IRNazanin" w:cs="IRNazanin"/>
          <w:lang w:bidi="fa-IR"/>
          <w:color w:val="111111"/>
          <w:sz w:val="28"/>
          <w:szCs w:val="28"/>
          <w:rtl/>
        </w:rPr>
        <w:t xml:space="preserve">۲۴/۴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[ف: ۷-۹۷]</w:t>
      </w:r>
    </w:p>
    <w:p>
      <w:pPr>
        <w:pStyle w:val="Heading3"/>
      </w:pPr>
      <w:bookmarkStart w:id="1728" w:name="_Toc988"/>
      <w:r>
        <w:t>• پروانچه کلیدداری آستانه رضوی برای امیر نظام الدین قاضی عبدالله / اسناد / فارسی</w:t>
      </w:r>
      <w:bookmarkEnd w:id="1728"/>
    </w:p>
    <w:p>
      <w:pPr>
        <w:pStyle w:val="BookText"/>
      </w:pPr>
      <w:r>
        <w:rPr>
          <w:rFonts w:ascii="Times New Roman" w:hAnsi="Times New Roman" w:eastAsia="Times New Roman" w:cs="Times New Roman"/>
          <w:lang w:val="en-US" w:bidi="en-US"/>
          <w:color w:val="111111"/>
          <w:sz w:val="28"/>
          <w:szCs w:val="28"/>
          <w:rtl/>
        </w:rPr>
        <w:t xml:space="preserve">parvānče-ye kelīd-dārī-ye āstāne-ye razavī barāye amīr nezām-od-dīn qāzī ‘abd-ol-lāh</w:t>
      </w:r>
    </w:p>
    <w:p>
      <w:pPr>
        <w:pStyle w:val="BookText"/>
      </w:pPr>
      <w:r>
        <w:rPr>
          <w:rFonts w:ascii="IRNazanin" w:hAnsi="IRNazanin" w:eastAsia="IRNazanin" w:cs="IRNazanin"/>
          <w:lang w:bidi="fa-IR"/>
          <w:color w:val="111111"/>
          <w:sz w:val="28"/>
          <w:szCs w:val="28"/>
          <w:rtl/>
        </w:rPr>
        <w:t xml:space="preserve">تهران؛ ملک؛ شماره نسخه: ۹۷۵/۱۱۷</w:t>
      </w:r>
    </w:p>
    <w:p>
      <w:pPr>
        <w:pStyle w:val="BookText"/>
      </w:pPr>
      <w:r>
        <w:rPr>
          <w:rFonts w:ascii="IRNazanin" w:hAnsi="IRNazanin" w:eastAsia="IRNazanin" w:cs="IRNazanin"/>
          <w:lang w:bidi="fa-IR"/>
          <w:color w:val="111111"/>
          <w:sz w:val="28"/>
          <w:szCs w:val="28"/>
          <w:rtl/>
        </w:rPr>
        <w:t xml:space="preserve">آغاز: فرمان همایون شرف نفاذ یافت آنکه چون حضرت خداوند کریم خط: نستعلیق، بی کا، تا: قرن ۱۱؛ کاغذ: ترمه، رویه میشن قهوه ای یک لا، اگ (۱۰۵ر-۱۰۵پ)، ۲۲ سطر، اندازه: ۲۴/۴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۱۰۶-۷ ]</w:t>
      </w:r>
    </w:p>
    <w:p>
      <w:pPr>
        <w:pStyle w:val="Heading3"/>
      </w:pPr>
      <w:bookmarkStart w:id="1729" w:name="_Toc989"/>
      <w:r>
        <w:t>• پروتکل سرخس / اسناد / فارسی</w:t>
      </w:r>
      <w:bookmarkEnd w:id="1729"/>
    </w:p>
    <w:p>
      <w:pPr>
        <w:pStyle w:val="BookText"/>
      </w:pPr>
      <w:r>
        <w:rPr>
          <w:rFonts w:ascii="Times New Roman" w:hAnsi="Times New Roman" w:eastAsia="Times New Roman" w:cs="Times New Roman"/>
          <w:lang w:val="en-US" w:bidi="en-US"/>
          <w:color w:val="111111"/>
          <w:sz w:val="28"/>
          <w:szCs w:val="28"/>
          <w:rtl/>
        </w:rPr>
        <w:t xml:space="preserve">porotokol-e saraxs</w:t>
      </w:r>
    </w:p>
    <w:p>
      <w:pPr>
        <w:pStyle w:val="BookText"/>
      </w:pPr>
      <w:r>
        <w:rPr>
          <w:rFonts w:ascii="IRNazanin" w:hAnsi="IRNazanin" w:eastAsia="IRNazanin" w:cs="IRNazanin"/>
          <w:lang w:bidi="fa-IR"/>
          <w:color w:val="111111"/>
          <w:sz w:val="28"/>
          <w:szCs w:val="28"/>
          <w:rtl/>
        </w:rPr>
        <w:t xml:space="preserve">تهران؛ ملک؛ شماره نسخه: ۴۳۲۶/۳۸</w:t>
      </w:r>
    </w:p>
    <w:p>
      <w:pPr>
        <w:pStyle w:val="BookText"/>
      </w:pPr>
      <w:r>
        <w:rPr>
          <w:rFonts w:ascii="IRNazanin" w:hAnsi="IRNazanin" w:eastAsia="IRNazanin" w:cs="IRNazanin"/>
          <w:lang w:bidi="fa-IR"/>
          <w:color w:val="111111"/>
          <w:sz w:val="28"/>
          <w:szCs w:val="28"/>
          <w:rtl/>
        </w:rPr>
        <w:t xml:space="preserve">آغاز: بنا بعهدنامه منقعده فيما بين دولتين.. روسیه و ایران در ۲۷ ماه ... مطابق ۲۳ ذیقعده ۱۳۱۰؛ انجام: امضاء محمد صادق قاجار امین نظام در چهار فصل، مورخ ۲۷ ذیحجه ۱۳۱۱؛ خط: شکسته نستعلیق، بی کا، بی تا؛ ارقام سياق؛ کاغذ: فرنگی، جلد: رویه میشن سبز، اگ (۱۳۲ر-۱۳۳ر)، اندازه: ۲۱/۹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۷-۳۵۲]</w:t>
      </w:r>
    </w:p>
    <w:p>
      <w:pPr>
        <w:pStyle w:val="Heading3"/>
      </w:pPr>
      <w:bookmarkStart w:id="1730" w:name="_Toc990"/>
      <w:r>
        <w:t>•پروتکل شماره ۴/ اسناد / فارسی</w:t>
      </w:r>
      <w:bookmarkEnd w:id="1730"/>
    </w:p>
    <w:p>
      <w:pPr>
        <w:pStyle w:val="BookText"/>
      </w:pPr>
      <w:r>
        <w:rPr>
          <w:rFonts w:ascii="Times New Roman" w:hAnsi="Times New Roman" w:eastAsia="Times New Roman" w:cs="Times New Roman"/>
          <w:lang w:val="en-US" w:bidi="en-US"/>
          <w:color w:val="111111"/>
          <w:sz w:val="28"/>
          <w:szCs w:val="28"/>
          <w:rtl/>
        </w:rPr>
        <w:t xml:space="preserve">protokol-e šomāre-ye 4</w:t>
      </w:r>
    </w:p>
    <w:p>
      <w:pPr>
        <w:pStyle w:val="BookText"/>
      </w:pPr>
      <w:r>
        <w:rPr>
          <w:rFonts w:ascii="IRNazanin" w:hAnsi="IRNazanin" w:eastAsia="IRNazanin" w:cs="IRNazanin"/>
          <w:lang w:bidi="fa-IR"/>
          <w:color w:val="111111"/>
          <w:sz w:val="28"/>
          <w:szCs w:val="28"/>
          <w:rtl/>
        </w:rPr>
        <w:t xml:space="preserve">تهران، ملک، شماره نسخه: ۴۳۲۶/۳۹</w:t>
      </w:r>
    </w:p>
    <w:p>
      <w:pPr>
        <w:pStyle w:val="BookText"/>
      </w:pPr>
      <w:r>
        <w:rPr>
          <w:rFonts w:ascii="IRNazanin" w:hAnsi="IRNazanin" w:eastAsia="IRNazanin" w:cs="IRNazanin"/>
          <w:lang w:bidi="fa-IR"/>
          <w:color w:val="111111"/>
          <w:sz w:val="28"/>
          <w:szCs w:val="28"/>
          <w:rtl/>
        </w:rPr>
        <w:t xml:space="preserve">آغاز: بنا بر تعليقات مطابقة موصوله بموكل؛ انجام: تا اوایل جوزا طول میکشد.</w:t>
      </w:r>
    </w:p>
    <w:p>
      <w:pPr>
        <w:pStyle w:val="BookText"/>
      </w:pPr>
      <w:r>
        <w:rPr>
          <w:rFonts w:ascii="IRNazanin" w:hAnsi="IRNazanin" w:eastAsia="IRNazanin" w:cs="IRNazanin"/>
          <w:lang w:bidi="fa-IR"/>
          <w:color w:val="111111"/>
          <w:sz w:val="28"/>
          <w:szCs w:val="28"/>
          <w:rtl/>
        </w:rPr>
        <w:t xml:space="preserve">در دو فصل، مورخ ۲ محرم ۱۳۱۲؛ خط: شکسته نستعلیق، بی کا، بی تا؛ ارقام سياقه؛ کاغذ: نوعی ترمه، جلد: رویه میشن سبز، اص (۲۳۳ر)، اندازه: ۲۱/۹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۷-۳۵۲]</w:t>
      </w:r>
    </w:p>
    <w:p>
      <w:pPr>
        <w:pStyle w:val="Heading3"/>
      </w:pPr>
      <w:bookmarkStart w:id="1731" w:name="_Toc991"/>
      <w:r>
        <w:t>• پروتکل قانون نامه در باب حق تملک در ممالک عثمانی / قانون / فارسی</w:t>
      </w:r>
      <w:bookmarkEnd w:id="1731"/>
    </w:p>
    <w:p>
      <w:pPr>
        <w:pStyle w:val="BookText"/>
      </w:pPr>
      <w:r>
        <w:rPr>
          <w:rFonts w:ascii="Times New Roman" w:hAnsi="Times New Roman" w:eastAsia="Times New Roman" w:cs="Times New Roman"/>
          <w:lang w:val="en-US" w:bidi="en-US"/>
          <w:color w:val="111111"/>
          <w:sz w:val="28"/>
          <w:szCs w:val="28"/>
          <w:rtl/>
        </w:rPr>
        <w:t xml:space="preserve">protokol-e qānūn-nāme dar bāb-e haqq-e tamallok dar mamālek-e 'osmānī</w:t>
      </w:r>
    </w:p>
    <w:p>
      <w:pPr>
        <w:pStyle w:val="BookText"/>
      </w:pPr>
      <w:r>
        <w:rPr>
          <w:rFonts w:ascii="IRNazanin" w:hAnsi="IRNazanin" w:eastAsia="IRNazanin" w:cs="IRNazanin"/>
          <w:lang w:bidi="fa-IR"/>
          <w:color w:val="111111"/>
          <w:sz w:val="28"/>
          <w:szCs w:val="28"/>
          <w:rtl/>
        </w:rPr>
        <w:t xml:space="preserve">تهران؛ مجلس؛ شماره نسخه: ۹۴۵۲/۸۷</w:t>
      </w:r>
    </w:p>
    <w:p>
      <w:pPr>
        <w:pStyle w:val="BookText"/>
      </w:pPr>
      <w:r>
        <w:rPr>
          <w:rFonts w:ascii="IRNazanin" w:hAnsi="IRNazanin" w:eastAsia="IRNazanin" w:cs="IRNazanin"/>
          <w:lang w:bidi="fa-IR"/>
          <w:color w:val="111111"/>
          <w:sz w:val="28"/>
          <w:szCs w:val="28"/>
          <w:rtl/>
        </w:rPr>
        <w:t xml:space="preserve">خط: نستعلیق، بی کا، تا: قرن ۱۳ و ۱۴، ۵ص (۱۹۴۱ – ۱۹۴۵) مختصر[ ف: ۱۱۹]</w:t>
      </w:r>
    </w:p>
    <w:p>
      <w:pPr>
        <w:pStyle w:val="Heading3"/>
      </w:pPr>
      <w:bookmarkStart w:id="1732" w:name="_Toc992"/>
      <w:r>
        <w:t>•پرورده خيال / ادبیات / فارسی</w:t>
      </w:r>
      <w:bookmarkEnd w:id="1732"/>
    </w:p>
    <w:p>
      <w:pPr>
        <w:pStyle w:val="BookText"/>
      </w:pPr>
      <w:r>
        <w:rPr>
          <w:rFonts w:ascii="Times New Roman" w:hAnsi="Times New Roman" w:eastAsia="Times New Roman" w:cs="Times New Roman"/>
          <w:lang w:val="en-US" w:bidi="en-US"/>
          <w:color w:val="111111"/>
          <w:sz w:val="28"/>
          <w:szCs w:val="28"/>
          <w:rtl/>
        </w:rPr>
        <w:t xml:space="preserve">parvarde-ye xīyāl</w:t>
      </w:r>
    </w:p>
    <w:p>
      <w:pPr>
        <w:pStyle w:val="BookText"/>
      </w:pPr>
      <w:r>
        <w:rPr>
          <w:rFonts w:ascii="IRNazanin" w:hAnsi="IRNazanin" w:eastAsia="IRNazanin" w:cs="IRNazanin"/>
          <w:lang w:bidi="fa-IR"/>
          <w:color w:val="111111"/>
          <w:sz w:val="28"/>
          <w:szCs w:val="28"/>
          <w:rtl/>
        </w:rPr>
        <w:t xml:space="preserve">محمود میرزا قاجار، ۱۲۱۴- ۱۲۷۱ ؟ قمری</w:t>
      </w:r>
    </w:p>
    <w:p>
      <w:pPr>
        <w:pStyle w:val="BookText"/>
      </w:pPr>
      <w:r>
        <w:rPr>
          <w:rFonts w:ascii="Times New Roman" w:hAnsi="Times New Roman" w:eastAsia="Times New Roman" w:cs="Times New Roman"/>
          <w:lang w:val="en-US" w:bidi="en-US"/>
          <w:color w:val="111111"/>
          <w:sz w:val="28"/>
          <w:szCs w:val="28"/>
          <w:rtl/>
        </w:rPr>
        <w:t xml:space="preserve">mahmūd mīrzā qājār (1800-1855)</w:t>
      </w:r>
    </w:p>
    <w:p>
      <w:pPr>
        <w:pStyle w:val="BookText"/>
      </w:pPr>
      <w:r>
        <w:rPr>
          <w:rFonts w:ascii="IRNazanin" w:hAnsi="IRNazanin" w:eastAsia="IRNazanin" w:cs="IRNazanin"/>
          <w:lang w:bidi="fa-IR"/>
          <w:color w:val="111111"/>
          <w:sz w:val="28"/>
          <w:szCs w:val="28"/>
          <w:rtl/>
        </w:rPr>
        <w:t xml:space="preserve">اهدا به: تاج الدوله از بانوان درباری تاریخ تأليف: ۱۲۴۱ق نویسنده می گوید روزی یکی از زنهای فتحعلی شاه که از فاضلان زمان بود از من خواست که رسالهای تألیف نمایم و «در وی جمع باشد چندین نامه که همه نوشتجات و مراسلات عاشقانه و معشوقانه باشد». من هم قلم به دست گرفتم و این رساله پرداختم. رساله ای است به نظم و نثر شامل یک «مقدمه» و ده «باب»، که نه باب آن هر یک مشتمل است بر پنج نامه از عاشق به معشوق در حالات مختلف و باب دهم در خاتمه کتاب است. فهرست باب های آن: 1. عشق و اشتداد محبت در پنج «نامه»: اشتعال نایره فراق، شبان تنهایی، بی تابی در محبت، غمخواری و بیکسی، طلب مرگ از کثرت اندوه؛ ۲. مهاجرت مطلوب در پنج «نامه»: سرزنش رقیبان، شرح حال خود با معشوق، فغان و زاری و حسرت و بی قراری، اینکه هرگز خبری و پیکی از تو نرسید، شرح حال خود به باد صبا؛ 3. گله گزاری از معشوق در پنج «نامه»: اینکه چرا مرا به شکار نبردی، اینکه چرا جواب نامه ام ننوشتی، چرا فلاطون را نوازش کردی و مرا] نوازش نکردی و بر من ننگریدی، چرا احوال مرا نپرسیدی، چرا به تماشای باغ رفتی و مرا نبردی؛ ۴. تعریف ایام وصل و تأسف از آن روزها در پنج «نامه»: راز گزاری های خود به معشوق در آن روزها، اینکه با هم به باغ و بستان می رفتیم، از گفته من بیرون نبودی، چرا مرا دیدی که چنین و چنانم چرا مفارقت کردی، حسرت که خوشا وقتی که چنین و چنان بودیم؛ ۵. بیماری معشوق، در پنج «نامه»: رسیدن خبر بیماری و مغموم شدن، اینکه خدا درد تو را نصیب من کناد، چرا از عناب لب و بنفشه سر زلف مرا دوا نمیکنی، مناجات می کنم با خدا از برای طلب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97" w:name="pg20363_209557"/>
    <w:bookmarkEnd w:id="297"/>
    <w:p>
      <w:pPr>
        <w:pStyle w:val="BookText"/>
      </w:pPr>
      <w:r>
        <w:rPr>
          <w:rFonts w:ascii="IRNazanin" w:hAnsi="IRNazanin" w:eastAsia="IRNazanin" w:cs="IRNazanin"/>
          <w:lang w:bidi="fa-IR"/>
          <w:color w:val="111111"/>
          <w:sz w:val="28"/>
          <w:szCs w:val="28"/>
          <w:rtl/>
        </w:rPr>
        <w:t xml:space="preserve">شفای تو، شکر گزاری که معشوق شفا یافته؛ ۶. رسیدن خبر بیماری عاشق، در پنج نامه: اینکه ترا گفتند فلان بیمار است احوال نپرسیدی، اینکه بر زیردستان رحم کن، در وصیت ها که من ازین رنج جان نبرم و بعد از من چنین و چنان کن؛ ۷. در اینکه شب ها به کوی تو پنهان می آیم، در پنج «نامه»: اینکه غیر از من شکایت می کرد و تو گوش میدادی، راز مرا از برای دیگری می گفتی، با فلان در عیش بودی و از من غافل بودی، چیزی به تو داده بودم دیدم که به غیر می نمودی، مرا در بزم خواندی و التفات نکردی؛ ۸ یار تازه گرفتن معشوق، در پنج نامه: اینکه یار نوت مبارک باد، شکایت از بیوفائی، اینکه خدمت دیرین مرا فراموش کردی، در حضور من با یار نو نوازش های لطف آمیز کردی، در انعام و بخشش با یار نو؛ 9. نوازش عاشق، در پنج نامه: در شکر گزاری از رأفت ها و احوال پرسی، شکر گزاری که مدعی را خوار کردم، فردا به باغ می روم تو هم بیا، ۱۰- در خاتمه کتاب و بیان اینکه به این سیاق مامور بودم.</w:t>
      </w:r>
    </w:p>
    <w:p>
      <w:pPr>
        <w:pStyle w:val="BookText"/>
      </w:pPr>
      <w:r>
        <w:rPr>
          <w:rFonts w:ascii="IRNazanin" w:hAnsi="IRNazanin" w:eastAsia="IRNazanin" w:cs="IRNazanin"/>
          <w:lang w:bidi="fa-IR"/>
          <w:color w:val="111111"/>
          <w:sz w:val="28"/>
          <w:szCs w:val="28"/>
          <w:rtl/>
        </w:rPr>
        <w:t xml:space="preserve">آغاز: پرورده خیال نازک خیالان و نتیجه نکته دانیهای خردمندان حمد و مدح قادر بیچو نیست.</w:t>
      </w:r>
    </w:p>
    <w:p>
      <w:pPr>
        <w:pStyle w:val="BookText"/>
      </w:pPr>
      <w:r>
        <w:rPr>
          <w:rFonts w:ascii="IRNazanin" w:hAnsi="IRNazanin" w:eastAsia="IRNazanin" w:cs="IRNazanin"/>
          <w:lang w:bidi="fa-IR"/>
          <w:color w:val="111111"/>
          <w:sz w:val="28"/>
          <w:szCs w:val="28"/>
          <w:rtl/>
        </w:rPr>
        <w:t xml:space="preserve">انجام: همچنانکه نعمت دنیا را برو تمام کرد، نعمت آخرت را برو تمام نماید.</w:t>
      </w:r>
    </w:p>
    <w:p>
      <w:pPr>
        <w:pStyle w:val="BookText"/>
      </w:pPr>
      <w:r>
        <w:rPr>
          <w:rFonts w:ascii="IRNazanin" w:hAnsi="IRNazanin" w:eastAsia="IRNazanin" w:cs="IRNazanin"/>
          <w:lang w:bidi="fa-IR"/>
          <w:color w:val="111111"/>
          <w:sz w:val="28"/>
          <w:szCs w:val="28"/>
          <w:rtl/>
        </w:rPr>
        <w:t xml:space="preserve">[دنا ۶۳۴/۲ ]</w:t>
      </w:r>
    </w:p>
    <w:p>
      <w:pPr>
        <w:pStyle w:val="BookText"/>
      </w:pPr>
      <w:r>
        <w:rPr>
          <w:rFonts w:ascii="IRNazanin" w:hAnsi="IRNazanin" w:eastAsia="IRNazanin" w:cs="IRNazanin"/>
          <w:lang w:bidi="fa-IR"/>
          <w:color w:val="111111"/>
          <w:sz w:val="28"/>
          <w:szCs w:val="28"/>
          <w:rtl/>
        </w:rPr>
        <w:t xml:space="preserve">١. مشهد: رضوی؛ شماره نسخه: ۴۴۶۲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بی کا، تا: ۱۶ محرم ۱۲۴۱ق؛ واقف: نایینی؛ کاغذ: نخودی آهار مهره، جلد: تیماج قهوه ای یک لا، ۴۰گ، ۱۴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۲۰سم [ف: ۷-۲۲۷]</w:t>
      </w:r>
    </w:p>
    <w:p>
      <w:pPr>
        <w:pStyle w:val="BookText"/>
      </w:pPr>
      <w:r>
        <w:rPr>
          <w:rFonts w:ascii="IRNazanin" w:hAnsi="IRNazanin" w:eastAsia="IRNazanin" w:cs="IRNazanin"/>
          <w:lang w:bidi="fa-IR"/>
          <w:color w:val="111111"/>
          <w:sz w:val="28"/>
          <w:szCs w:val="28"/>
          <w:rtl/>
        </w:rPr>
        <w:t xml:space="preserve">۲. تهران؛ ملی؛ شماره نسخه: ۲۷۰۵</w:t>
      </w:r>
    </w:p>
    <w:p>
      <w:pPr>
        <w:pStyle w:val="BookText"/>
      </w:pPr>
      <w:r>
        <w:rPr>
          <w:rFonts w:ascii="IRNazanin" w:hAnsi="IRNazanin" w:eastAsia="IRNazanin" w:cs="IRNazanin"/>
          <w:lang w:bidi="fa-IR"/>
          <w:color w:val="111111"/>
          <w:sz w:val="28"/>
          <w:szCs w:val="28"/>
          <w:rtl/>
        </w:rPr>
        <w:t xml:space="preserve">آغاز: برابر؛ انجام: که هستی را نمی بینم بقائی. خط: شکسته نستعلیق، كا: نجفعلی نهاوندی، تا: ۱۲۴۳ق، جا: خرم آباد؛ مجدول؛ کاغذ: فرنگی، جلد: تیماج، قرمز، یک لائی،</w:t>
      </w:r>
    </w:p>
    <w:p>
      <w:pPr>
        <w:pStyle w:val="BookText"/>
      </w:pPr>
      <w:r>
        <w:rPr>
          <w:rFonts w:ascii="IRNazanin" w:hAnsi="IRNazanin" w:eastAsia="IRNazanin" w:cs="IRNazanin"/>
          <w:lang w:bidi="fa-IR"/>
          <w:color w:val="111111"/>
          <w:sz w:val="28"/>
          <w:szCs w:val="28"/>
          <w:rtl/>
        </w:rPr>
        <w:t xml:space="preserve">۵۴گ، ۱۱سطر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 [ف: ۶-۲۸۶]</w:t>
      </w:r>
    </w:p>
    <w:p>
      <w:pPr>
        <w:pStyle w:val="BookText"/>
      </w:pPr>
      <w:r>
        <w:rPr>
          <w:rFonts w:ascii="IRNazanin" w:hAnsi="IRNazanin" w:eastAsia="IRNazanin" w:cs="IRNazanin"/>
          <w:lang w:bidi="fa-IR"/>
          <w:color w:val="111111"/>
          <w:sz w:val="28"/>
          <w:szCs w:val="28"/>
          <w:rtl/>
        </w:rPr>
        <w:t xml:space="preserve">٣. تهران؛ مجلس؛ شماره نسخه: ۲۶۸۴/۲</w:t>
      </w:r>
    </w:p>
    <w:p>
      <w:pPr>
        <w:pStyle w:val="BookText"/>
      </w:pPr>
      <w:r>
        <w:rPr>
          <w:rFonts w:ascii="IRNazanin" w:hAnsi="IRNazanin" w:eastAsia="IRNazanin" w:cs="IRNazanin"/>
          <w:lang w:bidi="fa-IR"/>
          <w:color w:val="111111"/>
          <w:sz w:val="28"/>
          <w:szCs w:val="28"/>
          <w:rtl/>
        </w:rPr>
        <w:t xml:space="preserve">آغاز: برابر؛ انجام: و گرنه مرا بتماشای گل و لاله احتیاج نیست. تا آخر باب نهم دارد؛ بی کا، تا: ۱۲۴۶ق؛ افتادگی: انجام کاغذ: فرنگی سفید و آبی، جلد: تیماج قهوه ای ترنج و سر ترنج و گوشه ضربی، ۴۸گ (۲۰۸-۲۵۵)، ۱۵-۱۷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۸-۴۵۲]</w:t>
      </w:r>
    </w:p>
    <w:p>
      <w:pPr>
        <w:pStyle w:val="BookText"/>
      </w:pPr>
      <w:r>
        <w:rPr>
          <w:rFonts w:ascii="IRNazanin" w:hAnsi="IRNazanin" w:eastAsia="IRNazanin" w:cs="IRNazanin"/>
          <w:lang w:bidi="fa-IR"/>
          <w:color w:val="111111"/>
          <w:sz w:val="28"/>
          <w:szCs w:val="28"/>
          <w:rtl/>
        </w:rPr>
        <w:t xml:space="preserve">۴. تهران؛ ادبیات، شماره نسخه: ۲۴۵/۲</w:t>
      </w:r>
    </w:p>
    <w:p>
      <w:pPr>
        <w:pStyle w:val="BookText"/>
      </w:pPr>
      <w:r>
        <w:rPr>
          <w:rFonts w:ascii="IRNazanin" w:hAnsi="IRNazanin" w:eastAsia="IRNazanin" w:cs="IRNazanin"/>
          <w:lang w:bidi="fa-IR"/>
          <w:color w:val="111111"/>
          <w:sz w:val="28"/>
          <w:szCs w:val="28"/>
          <w:rtl/>
        </w:rPr>
        <w:t xml:space="preserve">حکمت خط شکسته نستعلیق، بی کا، تا: ۱۲۸۸ق؛ جلد: تیماج سرخ مجدول مقوایی، قطع: بياض رقعی [ف: ۲-۵۳]</w:t>
      </w:r>
    </w:p>
    <w:p>
      <w:pPr>
        <w:pStyle w:val="BookText"/>
      </w:pPr>
      <w:r>
        <w:rPr>
          <w:rFonts w:ascii="IRNazanin" w:hAnsi="IRNazanin" w:eastAsia="IRNazanin" w:cs="IRNazanin"/>
          <w:lang w:bidi="fa-IR"/>
          <w:color w:val="111111"/>
          <w:sz w:val="28"/>
          <w:szCs w:val="28"/>
          <w:rtl/>
        </w:rPr>
        <w:t xml:space="preserve">۵. تهران، دانشگاه؛ شماره نسخه: ۴۷۰۰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کا:غلامحسین سالک، تا: ربيع الاول ۱۲۹۹ق؛ کاغذ: فرنگی، جلد: تیماج عنابی ضربی مقوایی گرد و عطف قهوه ای، ۸۳گ، ۷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۴)،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۸سم [ف: ۱۴-۳۶۴۴]</w:t>
      </w:r>
    </w:p>
    <w:p>
      <w:pPr>
        <w:pStyle w:val="BookText"/>
      </w:pPr>
      <w:r>
        <w:rPr>
          <w:rFonts w:ascii="IRNazanin" w:hAnsi="IRNazanin" w:eastAsia="IRNazanin" w:cs="IRNazanin"/>
          <w:lang w:bidi="fa-IR"/>
          <w:color w:val="111111"/>
          <w:sz w:val="28"/>
          <w:szCs w:val="28"/>
          <w:rtl/>
        </w:rPr>
        <w:t xml:space="preserve">۶. تهران؛ ملی؛ شماره نسخه: ۶۶۸۰</w:t>
      </w:r>
    </w:p>
    <w:p>
      <w:pPr>
        <w:pStyle w:val="BookText"/>
      </w:pPr>
      <w:r>
        <w:rPr>
          <w:rFonts w:ascii="IRNazanin" w:hAnsi="IRNazanin" w:eastAsia="IRNazanin" w:cs="IRNazanin"/>
          <w:lang w:bidi="fa-IR"/>
          <w:color w:val="111111"/>
          <w:sz w:val="28"/>
          <w:szCs w:val="28"/>
          <w:rtl/>
        </w:rPr>
        <w:t xml:space="preserve">خط: نستعلیق، بی کا، بی تا؛ مصحح؛ کاغذ: فرنگی نخودی، جلد: تیماج يشمی یک لا مجدول، ضربی، ۲۱گ (۵-۲۵پ)، ۲۲-۲۸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و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۱۱/۵</w:t>
      </w:r>
    </w:p>
    <w:p>
      <w:pPr>
        <w:pStyle w:val="BookText"/>
      </w:pP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 سم [رایانه]</w:t>
      </w:r>
    </w:p>
    <w:p>
      <w:pPr>
        <w:pStyle w:val="Heading3"/>
      </w:pPr>
      <w:bookmarkStart w:id="1733" w:name="_Toc993"/>
      <w:r>
        <w:t>•پرورش دبیر و معلم در انگلستان و ایران / تعلیم و تربیت / انگلیسی</w:t>
      </w:r>
      <w:bookmarkEnd w:id="1733"/>
    </w:p>
    <w:p>
      <w:pPr>
        <w:pStyle w:val="BookText"/>
      </w:pPr>
      <w:r>
        <w:rPr>
          <w:rFonts w:ascii="Times New Roman" w:hAnsi="Times New Roman" w:eastAsia="Times New Roman" w:cs="Times New Roman"/>
          <w:lang w:val="en-US" w:bidi="en-US"/>
          <w:color w:val="111111"/>
          <w:sz w:val="28"/>
          <w:szCs w:val="28"/>
          <w:rtl/>
        </w:rPr>
        <w:t xml:space="preserve">parvareš-e dabīr va mo‘allem dar engelestān va īrān</w:t>
      </w:r>
    </w:p>
    <w:p>
      <w:pPr>
        <w:pStyle w:val="BookText"/>
      </w:pPr>
      <w:r>
        <w:rPr>
          <w:rFonts w:ascii="IRNazanin" w:hAnsi="IRNazanin" w:eastAsia="IRNazanin" w:cs="IRNazanin"/>
          <w:lang w:bidi="fa-IR"/>
          <w:color w:val="111111"/>
          <w:sz w:val="28"/>
          <w:szCs w:val="28"/>
          <w:rtl/>
        </w:rPr>
        <w:t xml:space="preserve">قاضی، قاسم</w:t>
      </w:r>
    </w:p>
    <w:p>
      <w:pPr>
        <w:pStyle w:val="BookText"/>
      </w:pPr>
      <w:r>
        <w:rPr>
          <w:rFonts w:ascii="Times New Roman" w:hAnsi="Times New Roman" w:eastAsia="Times New Roman" w:cs="Times New Roman"/>
          <w:lang w:val="en-US" w:bidi="en-US"/>
          <w:color w:val="111111"/>
          <w:sz w:val="28"/>
          <w:szCs w:val="28"/>
          <w:rtl/>
        </w:rPr>
        <w:t xml:space="preserve">qāzī, qāsem</w:t>
      </w:r>
    </w:p>
    <w:p>
      <w:pPr>
        <w:pStyle w:val="BookText"/>
      </w:pPr>
      <w:r>
        <w:rPr>
          <w:rFonts w:ascii="IRNazanin" w:hAnsi="IRNazanin" w:eastAsia="IRNazanin" w:cs="IRNazanin"/>
          <w:lang w:bidi="fa-IR"/>
          <w:color w:val="111111"/>
          <w:sz w:val="28"/>
          <w:szCs w:val="28"/>
          <w:rtl/>
        </w:rPr>
        <w:t xml:space="preserve">پایان نامه است به انگلیسی به نام:</w:t>
      </w:r>
    </w:p>
    <w:p>
      <w:pPr>
        <w:pStyle w:val="BookText"/>
      </w:pPr>
      <w:r>
        <w:rPr>
          <w:rFonts w:ascii="Times New Roman" w:hAnsi="Times New Roman" w:eastAsia="Times New Roman" w:cs="Times New Roman"/>
          <w:lang w:val="en-US" w:bidi="en-US"/>
          <w:color w:val="111111"/>
          <w:sz w:val="28"/>
          <w:szCs w:val="28"/>
          <w:rtl/>
        </w:rPr>
        <w:t xml:space="preserve">The Training and Supply of Teachers in England and Iran with Special Reference to Primary School Education.</w:t>
      </w:r>
    </w:p>
    <w:p>
      <w:pPr>
        <w:pStyle w:val="BookText"/>
      </w:pPr>
      <w:r>
        <w:rPr>
          <w:rFonts w:ascii="IRNazanin" w:hAnsi="IRNazanin" w:eastAsia="IRNazanin" w:cs="IRNazanin"/>
          <w:lang w:bidi="fa-IR"/>
          <w:color w:val="111111"/>
          <w:sz w:val="28"/>
          <w:szCs w:val="28"/>
          <w:rtl/>
        </w:rPr>
        <w:t xml:space="preserve">تهران، دانشگاه؛ شماره نسخه: ۳۱۶۶ف</w:t>
      </w:r>
    </w:p>
    <w:p>
      <w:pPr>
        <w:pStyle w:val="BookText"/>
      </w:pPr>
      <w:r>
        <w:rPr>
          <w:rFonts w:ascii="IRNazanin" w:hAnsi="IRNazanin" w:eastAsia="IRNazanin" w:cs="IRNazanin"/>
          <w:lang w:bidi="fa-IR"/>
          <w:color w:val="111111"/>
          <w:sz w:val="28"/>
          <w:szCs w:val="28"/>
          <w:rtl/>
        </w:rPr>
        <w:t xml:space="preserve">نسخه اصل: از روی اصل؛ بی کا، بی تا؛ ۳۱۰ص [فيلمها ف: ۲-۸۸</w:t>
      </w:r>
    </w:p>
    <w:p>
      <w:pPr>
        <w:pStyle w:val="Heading3"/>
      </w:pPr>
      <w:bookmarkStart w:id="1734" w:name="_Toc994"/>
      <w:r>
        <w:t>•پرورش نطفه / طب / فارسی</w:t>
      </w:r>
      <w:bookmarkEnd w:id="1734"/>
    </w:p>
    <w:p>
      <w:pPr>
        <w:pStyle w:val="BookText"/>
      </w:pPr>
      <w:r>
        <w:rPr>
          <w:rFonts w:ascii="Times New Roman" w:hAnsi="Times New Roman" w:eastAsia="Times New Roman" w:cs="Times New Roman"/>
          <w:lang w:val="en-US" w:bidi="en-US"/>
          <w:color w:val="111111"/>
          <w:sz w:val="28"/>
          <w:szCs w:val="28"/>
          <w:rtl/>
        </w:rPr>
        <w:t xml:space="preserve">parvareš-e notfe</w:t>
      </w:r>
    </w:p>
    <w:p>
      <w:pPr>
        <w:pStyle w:val="BookText"/>
      </w:pPr>
      <w:r>
        <w:rPr>
          <w:rFonts w:ascii="IRNazanin" w:hAnsi="IRNazanin" w:eastAsia="IRNazanin" w:cs="IRNazanin"/>
          <w:lang w:bidi="fa-IR"/>
          <w:color w:val="111111"/>
          <w:sz w:val="28"/>
          <w:szCs w:val="28"/>
          <w:rtl/>
        </w:rPr>
        <w:t xml:space="preserve">تهران، دانشگاه؛ شماره نسخه: ۱۰۵۹/۸ -ف</w:t>
      </w:r>
    </w:p>
    <w:p>
      <w:pPr>
        <w:pStyle w:val="BookText"/>
      </w:pPr>
      <w:r>
        <w:rPr>
          <w:rFonts w:ascii="IRNazanin" w:hAnsi="IRNazanin" w:eastAsia="IRNazanin" w:cs="IRNazanin"/>
          <w:lang w:bidi="fa-IR"/>
          <w:color w:val="111111"/>
          <w:sz w:val="28"/>
          <w:szCs w:val="28"/>
          <w:rtl/>
        </w:rPr>
        <w:t xml:space="preserve">بی کا، بی تا [فیلمها ف: ۱-۵۶۲]</w:t>
      </w:r>
    </w:p>
    <w:p>
      <w:pPr>
        <w:pStyle w:val="Heading3"/>
      </w:pPr>
      <w:bookmarkStart w:id="1735" w:name="_Toc995"/>
      <w:r>
        <w:t>•پروگرام مدرسه مبارکه صنایع اصنعت / فارسی</w:t>
      </w:r>
      <w:bookmarkEnd w:id="1735"/>
    </w:p>
    <w:p>
      <w:pPr>
        <w:pStyle w:val="BookText"/>
      </w:pPr>
      <w:r>
        <w:rPr>
          <w:rFonts w:ascii="Times New Roman" w:hAnsi="Times New Roman" w:eastAsia="Times New Roman" w:cs="Times New Roman"/>
          <w:lang w:val="en-US" w:bidi="en-US"/>
          <w:color w:val="111111"/>
          <w:sz w:val="28"/>
          <w:szCs w:val="28"/>
          <w:rtl/>
        </w:rPr>
        <w:t xml:space="preserve">porogrām-e madrese-ye mobārake-ye sanāye'</w:t>
      </w:r>
    </w:p>
    <w:p>
      <w:pPr>
        <w:pStyle w:val="BookText"/>
      </w:pPr>
      <w:r>
        <w:rPr>
          <w:rFonts w:ascii="IRNazanin" w:hAnsi="IRNazanin" w:eastAsia="IRNazanin" w:cs="IRNazanin"/>
          <w:lang w:bidi="fa-IR"/>
          <w:color w:val="111111"/>
          <w:sz w:val="28"/>
          <w:szCs w:val="28"/>
          <w:rtl/>
        </w:rPr>
        <w:t xml:space="preserve">تهران؛ ملی؛ شماره نسخه: ۱۰۳۳</w:t>
      </w:r>
    </w:p>
    <w:p>
      <w:pPr>
        <w:pStyle w:val="BookText"/>
      </w:pPr>
      <w:r>
        <w:rPr>
          <w:rFonts w:ascii="IRNazanin" w:hAnsi="IRNazanin" w:eastAsia="IRNazanin" w:cs="IRNazanin"/>
          <w:lang w:bidi="fa-IR"/>
          <w:color w:val="111111"/>
          <w:sz w:val="28"/>
          <w:szCs w:val="28"/>
          <w:rtl/>
        </w:rPr>
        <w:t xml:space="preserve">آغاز: پروگرام مطالب و طبقات عملی مدرسه مبارکه صنایع پروگرام عملی صافی خانه؛ انجام: ممتاز باید بسازد. تأليف: ۱۲۹۹ شمسی. در این کتاب برنامه کامل مدرسه صنایع آمده است: ۱. عمل صافی خانه، ۲. عمل آهنگر خانه، ۳. عمل ریختن خانه، ۴. عمل صنایعخانه خشبيه، ۵. شعبه خاتم سازی، ۶. شعبه خراطی، ۷. شعبه منبت کاری؛ خط: شکسته نستعلیق، بی کا، تا: ۱۲۹۹ش، جا: طهران؛ کاغذ: فرنگی، جلد: پارچه ای مقوایی قرمز، گ، ۱۴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[ف: ۳-۴۰]</w:t>
      </w:r>
    </w:p>
    <w:p>
      <w:pPr>
        <w:pStyle w:val="Heading3"/>
      </w:pPr>
      <w:bookmarkStart w:id="1736" w:name="_Toc996"/>
      <w:r>
        <w:t>• پرهیز گاری از دیدگاه قرآن / اصول فقه / فارسی</w:t>
      </w:r>
      <w:bookmarkEnd w:id="1736"/>
    </w:p>
    <w:p>
      <w:pPr>
        <w:pStyle w:val="BookText"/>
      </w:pPr>
      <w:r>
        <w:rPr>
          <w:rFonts w:ascii="Times New Roman" w:hAnsi="Times New Roman" w:eastAsia="Times New Roman" w:cs="Times New Roman"/>
          <w:lang w:val="en-US" w:bidi="en-US"/>
          <w:color w:val="111111"/>
          <w:sz w:val="28"/>
          <w:szCs w:val="28"/>
          <w:rtl/>
        </w:rPr>
        <w:t xml:space="preserve">parhīzgārī az dīdgāh-e qor’ān</w:t>
      </w:r>
    </w:p>
    <w:p>
      <w:pPr>
        <w:pStyle w:val="BookText"/>
      </w:pPr>
      <w:r>
        <w:rPr>
          <w:rFonts w:ascii="IRNazanin" w:hAnsi="IRNazanin" w:eastAsia="IRNazanin" w:cs="IRNazanin"/>
          <w:lang w:bidi="fa-IR"/>
          <w:color w:val="111111"/>
          <w:sz w:val="28"/>
          <w:szCs w:val="28"/>
          <w:rtl/>
        </w:rPr>
        <w:t xml:space="preserve">طواری یزدی، عباس بن محمد، ق ۱۵ قمری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98" w:name="pg20363_209558"/>
    <w:bookmarkEnd w:id="298"/>
    <w:p>
      <w:pPr>
        <w:pStyle w:val="BookText"/>
      </w:pPr>
      <w:r>
        <w:rPr>
          <w:rFonts w:ascii="Times New Roman" w:hAnsi="Times New Roman" w:eastAsia="Times New Roman" w:cs="Times New Roman"/>
          <w:lang w:val="en-US" w:bidi="en-US"/>
          <w:color w:val="111111"/>
          <w:sz w:val="28"/>
          <w:szCs w:val="28"/>
          <w:rtl/>
        </w:rPr>
        <w:t xml:space="preserve">tavārī yazdī, 'abbās-e bn-e mohammad (-21c)</w:t>
      </w:r>
    </w:p>
    <w:p>
      <w:pPr>
        <w:pStyle w:val="BookText"/>
      </w:pPr>
      <w:r>
        <w:rPr>
          <w:rFonts w:ascii="IRNazanin" w:hAnsi="IRNazanin" w:eastAsia="IRNazanin" w:cs="IRNazanin"/>
          <w:lang w:bidi="fa-IR"/>
          <w:color w:val="111111"/>
          <w:sz w:val="28"/>
          <w:szCs w:val="28"/>
          <w:rtl/>
        </w:rPr>
        <w:t xml:space="preserve">یزد؛ وزیری؛ شماره نسخه: ۴۲۲۹</w:t>
      </w:r>
    </w:p>
    <w:p>
      <w:pPr>
        <w:pStyle w:val="BookText"/>
      </w:pPr>
      <w:r>
        <w:rPr>
          <w:rFonts w:ascii="IRNazanin" w:hAnsi="IRNazanin" w:eastAsia="IRNazanin" w:cs="IRNazanin"/>
          <w:lang w:bidi="fa-IR"/>
          <w:color w:val="111111"/>
          <w:sz w:val="28"/>
          <w:szCs w:val="28"/>
          <w:rtl/>
        </w:rPr>
        <w:t xml:space="preserve">كاتب = مؤلف، تا: ۱۴۰۹ق [نشریه: ۱۳-۳۷۸]</w:t>
      </w:r>
    </w:p>
    <w:p>
      <w:pPr>
        <w:pStyle w:val="Heading3"/>
      </w:pPr>
      <w:bookmarkStart w:id="1737" w:name="_Toc997"/>
      <w:r>
        <w:t>•پریخانه / ادبیات فارسی</w:t>
      </w:r>
      <w:bookmarkEnd w:id="1737"/>
    </w:p>
    <w:p>
      <w:pPr>
        <w:pStyle w:val="BookText"/>
      </w:pPr>
      <w:r>
        <w:rPr>
          <w:rFonts w:ascii="Times New Roman" w:hAnsi="Times New Roman" w:eastAsia="Times New Roman" w:cs="Times New Roman"/>
          <w:lang w:val="en-US" w:bidi="en-US"/>
          <w:color w:val="111111"/>
          <w:sz w:val="28"/>
          <w:szCs w:val="28"/>
          <w:rtl/>
        </w:rPr>
        <w:t xml:space="preserve">parī-xāne</w:t>
      </w:r>
    </w:p>
    <w:p>
      <w:pPr>
        <w:pStyle w:val="BookText"/>
      </w:pPr>
      <w:r>
        <w:rPr>
          <w:rFonts w:ascii="IRNazanin" w:hAnsi="IRNazanin" w:eastAsia="IRNazanin" w:cs="IRNazanin"/>
          <w:lang w:bidi="fa-IR"/>
          <w:color w:val="111111"/>
          <w:sz w:val="28"/>
          <w:szCs w:val="28"/>
          <w:rtl/>
        </w:rPr>
        <w:t xml:space="preserve">طغرای مشهدی،-۱۱۰۰ قمری</w:t>
      </w:r>
    </w:p>
    <w:p>
      <w:pPr>
        <w:pStyle w:val="BookText"/>
      </w:pPr>
      <w:r>
        <w:rPr>
          <w:rFonts w:ascii="Times New Roman" w:hAnsi="Times New Roman" w:eastAsia="Times New Roman" w:cs="Times New Roman"/>
          <w:lang w:val="en-US" w:bidi="en-US"/>
          <w:color w:val="111111"/>
          <w:sz w:val="28"/>
          <w:szCs w:val="28"/>
          <w:rtl/>
        </w:rPr>
        <w:t xml:space="preserve">toqrā-ye mashadī (- 1689)</w:t>
      </w:r>
    </w:p>
    <w:p>
      <w:pPr>
        <w:pStyle w:val="BookText"/>
      </w:pPr>
      <w:r>
        <w:rPr>
          <w:rFonts w:ascii="IRNazanin" w:hAnsi="IRNazanin" w:eastAsia="IRNazanin" w:cs="IRNazanin"/>
          <w:lang w:bidi="fa-IR"/>
          <w:color w:val="111111"/>
          <w:sz w:val="28"/>
          <w:szCs w:val="28"/>
          <w:rtl/>
        </w:rPr>
        <w:t xml:space="preserve">در وصف شاه عباس دوم (۱۰۵۲-۱۰۷۷ ق) به نثر آمیخته به نظم. آغاز: پریخانه طغرا. چون بنام خدیو ایران زمین تازگی رقم بنا گردید در قصر شهر سبابه جهت بلقيس ... ای راقم فرد رزق چه صبح و چه شام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طراح وجود خلق چه خاص و چه عام ...</w:t>
      </w:r>
    </w:p>
    <w:p>
      <w:pPr>
        <w:pStyle w:val="BookText"/>
      </w:pPr>
      <w:r>
        <w:rPr>
          <w:rFonts w:ascii="IRNazanin" w:hAnsi="IRNazanin" w:eastAsia="IRNazanin" w:cs="IRNazanin"/>
          <w:lang w:bidi="fa-IR"/>
          <w:color w:val="111111"/>
          <w:sz w:val="28"/>
          <w:szCs w:val="28"/>
          <w:rtl/>
        </w:rPr>
        <w:t xml:space="preserve">[دنا ۶۳۴/۲ (۶ نسخه)؛ نسخه های منزوی ۳۵۳۹/۵ (۴ نسخه)؛ مشترک پاکستان ۱۶۱/۵ (۶ نسخه)؛ شعرای کشمیر ۷۴۶/۲ ]</w:t>
      </w:r>
    </w:p>
    <w:p>
      <w:pPr>
        <w:pStyle w:val="BookText"/>
      </w:pPr>
      <w:r>
        <w:rPr>
          <w:rFonts w:ascii="IRNazanin" w:hAnsi="IRNazanin" w:eastAsia="IRNazanin" w:cs="IRNazanin"/>
          <w:lang w:bidi="fa-IR"/>
          <w:color w:val="111111"/>
          <w:sz w:val="28"/>
          <w:szCs w:val="28"/>
          <w:rtl/>
        </w:rPr>
        <w:t xml:space="preserve">۱. تهران؛ ملک؛ شماره نسخه: ۳۶۷۹/۹</w:t>
      </w:r>
    </w:p>
    <w:p>
      <w:pPr>
        <w:pStyle w:val="BookText"/>
      </w:pPr>
      <w:r>
        <w:rPr>
          <w:rFonts w:ascii="IRNazanin" w:hAnsi="IRNazanin" w:eastAsia="IRNazanin" w:cs="IRNazanin"/>
          <w:lang w:bidi="fa-IR"/>
          <w:color w:val="111111"/>
          <w:sz w:val="28"/>
          <w:szCs w:val="28"/>
          <w:rtl/>
        </w:rPr>
        <w:t xml:space="preserve">خط: نستعلیق، بی کا، تا: قرن ۱۱؛ کاغذ: ترمه نازک، جلد: میشن سیاه لایی، ۱۵ سطر [ف: ۴-۶۶۱]</w:t>
      </w:r>
    </w:p>
    <w:p>
      <w:pPr>
        <w:pStyle w:val="BookText"/>
      </w:pPr>
      <w:r>
        <w:rPr>
          <w:rFonts w:ascii="Amiri" w:hAnsi="Amiri" w:eastAsia="Amiri" w:cs="Amiri"/>
          <w:lang w:bidi="ar-SA"/>
          <w:color w:val="111111"/>
          <w:sz w:val="28"/>
          <w:szCs w:val="28"/>
          <w:rtl/>
        </w:rPr>
        <w:t xml:space="preserve">۲. تهران: دائرة المعارف؛ شماره نسخه: ۷۶۹/۱۶</w:t>
      </w:r>
    </w:p>
    <w:p>
      <w:pPr>
        <w:pStyle w:val="BookText"/>
      </w:pPr>
      <w:r>
        <w:rPr>
          <w:rFonts w:ascii="IRNazanin" w:hAnsi="IRNazanin" w:eastAsia="IRNazanin" w:cs="IRNazanin"/>
          <w:lang w:bidi="fa-IR"/>
          <w:color w:val="111111"/>
          <w:sz w:val="28"/>
          <w:szCs w:val="28"/>
          <w:rtl/>
        </w:rPr>
        <w:t xml:space="preserve">آغاز: برابر؛ انجام: ای تازه مرقعی سراپا زینت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از چشم بد کسان میساد گزند خط: نستعلیق پخته تحریری، بی کا، تا: قرن ۱۲، ۱۴گ (۱۳۲پ۔ ۱۴۵ر) [ف: ۲-۳۴]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دائرة المعارف؛ شماره نسخه: ۲۰۰/۲۵ -عکسی</w:t>
      </w:r>
    </w:p>
    <w:p>
      <w:pPr>
        <w:pStyle w:val="BookText"/>
      </w:pPr>
      <w:r>
        <w:rPr>
          <w:rFonts w:ascii="IRNazanin" w:hAnsi="IRNazanin" w:eastAsia="IRNazanin" w:cs="IRNazanin"/>
          <w:lang w:bidi="fa-IR"/>
          <w:color w:val="111111"/>
          <w:sz w:val="28"/>
          <w:szCs w:val="28"/>
          <w:rtl/>
        </w:rPr>
        <w:t xml:space="preserve">نسخه اصل: گنج، ش ۲۰۸۶ در فهرست نیامده است؛ خط: نستعلیق تحریری، بی کا، تا: قرن ۱۲ [عکسی ف: ۲-۴۷ ]</w:t>
      </w:r>
    </w:p>
    <w:p>
      <w:pPr>
        <w:pStyle w:val="BookText"/>
      </w:pPr>
      <w:r>
        <w:rPr>
          <w:rFonts w:ascii="IRNazanin" w:hAnsi="IRNazanin" w:eastAsia="IRNazanin" w:cs="IRNazanin"/>
          <w:lang w:bidi="fa-IR"/>
          <w:color w:val="111111"/>
          <w:sz w:val="28"/>
          <w:szCs w:val="28"/>
          <w:rtl/>
        </w:rPr>
        <w:t xml:space="preserve">۴. تهران، دانشگاه، شماره نسخه: ۵۸۶۱/۲۷ -ف</w:t>
      </w:r>
    </w:p>
    <w:p>
      <w:pPr>
        <w:pStyle w:val="BookText"/>
      </w:pPr>
      <w:r>
        <w:rPr>
          <w:rFonts w:ascii="IRNazanin" w:hAnsi="IRNazanin" w:eastAsia="IRNazanin" w:cs="IRNazanin"/>
          <w:lang w:bidi="fa-IR"/>
          <w:color w:val="111111"/>
          <w:sz w:val="28"/>
          <w:szCs w:val="28"/>
          <w:rtl/>
        </w:rPr>
        <w:t xml:space="preserve">نسخه اصل: دانشگاه پنجاب در لاهور شماره ۸۷۴/۹ فارسی؛ کا؛ ظهیرای تفرشی، تا: چهارشنبه ۱۲۴۵ق [فیلمها ف: ۳-۱۸۸]</w:t>
      </w:r>
    </w:p>
    <w:p>
      <w:pPr>
        <w:pStyle w:val="BookText"/>
      </w:pPr>
      <w:r>
        <w:rPr>
          <w:rFonts w:ascii="IRNazanin" w:hAnsi="IRNazanin" w:eastAsia="IRNazanin" w:cs="IRNazanin"/>
          <w:lang w:bidi="fa-IR"/>
          <w:color w:val="111111"/>
          <w:sz w:val="28"/>
          <w:szCs w:val="28"/>
          <w:rtl/>
        </w:rPr>
        <w:t xml:space="preserve">۵. تهران: بانکی پور؛ شماره نسخه: بدون شماره</w:t>
      </w:r>
    </w:p>
    <w:p>
      <w:pPr>
        <w:pStyle w:val="BookText"/>
      </w:pPr>
      <w:r>
        <w:rPr>
          <w:rFonts w:ascii="IRNazanin" w:hAnsi="IRNazanin" w:eastAsia="IRNazanin" w:cs="IRNazanin"/>
          <w:lang w:bidi="fa-IR"/>
          <w:color w:val="111111"/>
          <w:sz w:val="28"/>
          <w:szCs w:val="28"/>
          <w:rtl/>
        </w:rPr>
        <w:t xml:space="preserve">بی کا، بی تا [میراث اسلامی: ۵-۶۲۷]</w:t>
      </w:r>
    </w:p>
    <w:p>
      <w:pPr>
        <w:pStyle w:val="BookText"/>
      </w:pPr>
      <w:r>
        <w:rPr>
          <w:rFonts w:ascii="IRNazanin" w:hAnsi="IRNazanin" w:eastAsia="IRNazanin" w:cs="IRNazanin"/>
          <w:lang w:bidi="fa-IR"/>
          <w:color w:val="111111"/>
          <w:sz w:val="28"/>
          <w:szCs w:val="28"/>
          <w:rtl/>
        </w:rPr>
        <w:t xml:space="preserve">۶. تهران؛ دانشگاه؛ شماره نسخه: ۱۱۰/۱</w:t>
      </w:r>
    </w:p>
    <w:p>
      <w:pPr>
        <w:pStyle w:val="BookText"/>
      </w:pPr>
      <w:r>
        <w:rPr>
          <w:rFonts w:ascii="IRNazanin" w:hAnsi="IRNazanin" w:eastAsia="IRNazanin" w:cs="IRNazanin"/>
          <w:lang w:bidi="fa-IR"/>
          <w:color w:val="111111"/>
          <w:sz w:val="28"/>
          <w:szCs w:val="28"/>
          <w:rtl/>
        </w:rPr>
        <w:t xml:space="preserve">آغاز: برابر؛ انجام آن تازه مرقع سرا پا زینت *** از چشم بد کسان مبیناد گزند حدود ۲۴۰ بیت نوشته دارد و نسخه مجلس آن را ندارد؛ خط: نستعلیق شکسته، بی کا، بی تا، کاغذ: نوعی ترمه، جلد: تیماج سرخ مقوایی زرکوب کهنه، ۱۵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اندازه:۱۸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۲۹/۵سم [ف: ۲-۱۹۶]</w:t>
      </w:r>
    </w:p>
    <w:p>
      <w:pPr>
        <w:pStyle w:val="BookText"/>
      </w:pPr>
      <w:r>
        <w:rPr>
          <w:rFonts w:ascii="IRNazanin" w:hAnsi="IRNazanin" w:eastAsia="IRNazanin" w:cs="IRNazanin"/>
          <w:lang w:bidi="fa-IR"/>
          <w:color w:val="111111"/>
          <w:sz w:val="28"/>
          <w:szCs w:val="28"/>
          <w:rtl/>
        </w:rPr>
        <w:t xml:space="preserve">۷. تهران؛ مجلس؛ شماره نسخه: ۳۲۱۵/۱۲</w:t>
      </w:r>
    </w:p>
    <w:p>
      <w:pPr>
        <w:pStyle w:val="BookText"/>
      </w:pPr>
      <w:r>
        <w:rPr>
          <w:rFonts w:ascii="IRNazanin" w:hAnsi="IRNazanin" w:eastAsia="IRNazanin" w:cs="IRNazanin"/>
          <w:lang w:bidi="fa-IR"/>
          <w:color w:val="111111"/>
          <w:sz w:val="28"/>
          <w:szCs w:val="28"/>
          <w:rtl/>
        </w:rPr>
        <w:t xml:space="preserve">خط: نستعلیق، بی کا، بی تا، با سرلوح، مجدول، دارای کمند؛ کاغذ: هندی، جلد: تیماج تریاکی یک لا، ۱۰ص (۱۱۶-۱۲۵)، ۳۲ سطر (۲۷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۳۲/۵سم [ف: ۱۰-۷۹۵]</w:t>
      </w:r>
    </w:p>
    <w:p>
      <w:pPr>
        <w:pStyle w:val="Heading3"/>
      </w:pPr>
      <w:bookmarkStart w:id="1738" w:name="_Toc998"/>
      <w:r>
        <w:t>• پریشان = گلستان قاآنی / ادبیات فارسی</w:t>
      </w:r>
      <w:bookmarkEnd w:id="1738"/>
    </w:p>
    <w:p>
      <w:pPr>
        <w:pStyle w:val="BookText"/>
      </w:pPr>
      <w:r>
        <w:rPr>
          <w:rFonts w:ascii="Times New Roman" w:hAnsi="Times New Roman" w:eastAsia="Times New Roman" w:cs="Times New Roman"/>
          <w:lang w:val="en-US" w:bidi="en-US"/>
          <w:color w:val="111111"/>
          <w:sz w:val="28"/>
          <w:szCs w:val="28"/>
          <w:rtl/>
        </w:rPr>
        <w:t xml:space="preserve">parīšān = golestān-e qāānī</w:t>
      </w:r>
    </w:p>
    <w:p>
      <w:pPr>
        <w:pStyle w:val="BookText"/>
      </w:pPr>
      <w:r>
        <w:rPr>
          <w:rFonts w:ascii="IRNazanin" w:hAnsi="IRNazanin" w:eastAsia="IRNazanin" w:cs="IRNazanin"/>
          <w:lang w:bidi="fa-IR"/>
          <w:color w:val="111111"/>
          <w:sz w:val="28"/>
          <w:szCs w:val="28"/>
          <w:rtl/>
        </w:rPr>
        <w:t xml:space="preserve">قاآنی، حبیب الله بن محمد علی، ۱۲۲۳-۱۲۷۰ ؟ قمری</w:t>
      </w:r>
    </w:p>
    <w:p>
      <w:pPr>
        <w:pStyle w:val="BookText"/>
      </w:pPr>
      <w:r>
        <w:rPr>
          <w:rFonts w:ascii="Times New Roman" w:hAnsi="Times New Roman" w:eastAsia="Times New Roman" w:cs="Times New Roman"/>
          <w:lang w:val="en-US" w:bidi="en-US"/>
          <w:color w:val="111111"/>
          <w:sz w:val="28"/>
          <w:szCs w:val="28"/>
          <w:rtl/>
        </w:rPr>
        <w:t xml:space="preserve">qā’ānī, habīb-ol-lāh ebn-e mohammad ‘ali (1808-1854)</w:t>
      </w:r>
    </w:p>
    <w:p>
      <w:pPr>
        <w:pStyle w:val="BookText"/>
      </w:pPr>
      <w:r>
        <w:rPr>
          <w:rFonts w:ascii="IRNazanin" w:hAnsi="IRNazanin" w:eastAsia="IRNazanin" w:cs="IRNazanin"/>
          <w:lang w:bidi="fa-IR"/>
          <w:color w:val="111111"/>
          <w:sz w:val="28"/>
          <w:szCs w:val="28"/>
          <w:rtl/>
        </w:rPr>
        <w:t xml:space="preserve">اهداء به محمد شاه قاجار( ۱۲۵۰-۱۲۶۴)</w:t>
      </w:r>
    </w:p>
    <w:p>
      <w:pPr>
        <w:pStyle w:val="BookText"/>
      </w:pPr>
      <w:r>
        <w:rPr>
          <w:rFonts w:ascii="Amiri" w:hAnsi="Amiri" w:eastAsia="Amiri" w:cs="Amiri"/>
          <w:lang w:bidi="ar-SA"/>
          <w:color w:val="111111"/>
          <w:sz w:val="28"/>
          <w:szCs w:val="28"/>
          <w:rtl/>
        </w:rPr>
        <w:t xml:space="preserve">تاريخ تأليف: ۲۰ رجب ۱۲۵۲</w:t>
      </w:r>
    </w:p>
    <w:p>
      <w:pPr>
        <w:pStyle w:val="BookText"/>
      </w:pPr>
      <w:r>
        <w:rPr>
          <w:rFonts w:ascii="IRNazanin" w:hAnsi="IRNazanin" w:eastAsia="IRNazanin" w:cs="IRNazanin"/>
          <w:lang w:bidi="fa-IR"/>
          <w:color w:val="111111"/>
          <w:sz w:val="28"/>
          <w:szCs w:val="28"/>
          <w:rtl/>
        </w:rPr>
        <w:t xml:space="preserve">به روش «گلستان» سعدی، دارای نثری روان و شیرین آمیخته با نظمی شیوا. در انشاء، پیرو سبک گلستان سعدی است ولی رعایت فصول و ابواب در آن نشده و تابع نظم و ترتیبی نیست چنان که می گوید: در این کتاب پریشان نبینی از ترتيب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عجب مدار که چون نام خود، پریشان است.</w:t>
      </w:r>
    </w:p>
    <w:p>
      <w:pPr>
        <w:pStyle w:val="BookText"/>
      </w:pPr>
      <w:r>
        <w:rPr>
          <w:rFonts w:ascii="IRNazanin" w:hAnsi="IRNazanin" w:eastAsia="IRNazanin" w:cs="IRNazanin"/>
          <w:lang w:bidi="fa-IR"/>
          <w:color w:val="111111"/>
          <w:sz w:val="28"/>
          <w:szCs w:val="28"/>
          <w:rtl/>
        </w:rPr>
        <w:t xml:space="preserve">آغاز: توانا خدایی که بیخودان بزم محبت، گاهی مست قدرت اویند و گاهی هست رحمت او ... بیت: جنبش مژگان دلیل جنبش جان است*** جنبش جان چیست، پیک قدرت یزدان انجام: هر که از این غم بدلش پرتویست *** در نظرش ملک دو عالم یکی است / یارب از اینغم دل من شاد کن*** وزغم دنیا دلم آزاد کن</w:t>
      </w:r>
    </w:p>
    <w:p>
      <w:pPr>
        <w:pStyle w:val="BookText"/>
      </w:pPr>
      <w:r>
        <w:rPr>
          <w:rFonts w:ascii="IRNazanin" w:hAnsi="IRNazanin" w:eastAsia="IRNazanin" w:cs="IRNazanin"/>
          <w:lang w:bidi="fa-IR"/>
          <w:color w:val="111111"/>
          <w:sz w:val="28"/>
          <w:szCs w:val="28"/>
          <w:rtl/>
        </w:rPr>
        <w:t xml:space="preserve">چاپ: تهران، ۸-۱۳۲۷ شمسی؛ هند، سنگی، ۱۲۸۸، وزیری بزرگ، ۱۲۲۰۸صص؛ طهران، سنگی، ۱۲۷۱، جیبی، ۱+۱۸۰صص</w:t>
      </w:r>
    </w:p>
    <w:p>
      <w:pPr>
        <w:pStyle w:val="BookText"/>
      </w:pPr>
      <w:r>
        <w:rPr>
          <w:rFonts w:ascii="IRNazanin" w:hAnsi="IRNazanin" w:eastAsia="IRNazanin" w:cs="IRNazanin"/>
          <w:lang w:bidi="fa-IR"/>
          <w:color w:val="111111"/>
          <w:sz w:val="28"/>
          <w:szCs w:val="28"/>
          <w:rtl/>
        </w:rPr>
        <w:t xml:space="preserve">[نسخه های منزوی ۳۵۴۰/۵ ؛ الذريعة ۱۹۷/۳ ؛ دنا ۶۳۴/۲ (۲۷ نسخه)]</w:t>
      </w:r>
    </w:p>
    <w:p>
      <w:pPr>
        <w:pStyle w:val="BookText"/>
      </w:pPr>
      <w:r>
        <w:rPr>
          <w:rFonts w:ascii="IRNazanin" w:hAnsi="IRNazanin" w:eastAsia="IRNazanin" w:cs="IRNazanin"/>
          <w:lang w:bidi="fa-IR"/>
          <w:color w:val="111111"/>
          <w:sz w:val="28"/>
          <w:szCs w:val="28"/>
          <w:rtl/>
        </w:rPr>
        <w:t xml:space="preserve">١. خوانسار؛ فاضل؛ شماره نسخه: ۴۰۴</w:t>
      </w:r>
    </w:p>
    <w:p>
      <w:pPr>
        <w:pStyle w:val="BookText"/>
      </w:pPr>
      <w:r>
        <w:rPr>
          <w:rFonts w:ascii="IRNazanin" w:hAnsi="IRNazanin" w:eastAsia="IRNazanin" w:cs="IRNazanin"/>
          <w:lang w:bidi="fa-IR"/>
          <w:color w:val="111111"/>
          <w:sz w:val="28"/>
          <w:szCs w:val="28"/>
          <w:rtl/>
        </w:rPr>
        <w:t xml:space="preserve">خط: شکسته، نستعلیق، بی کا، تا: قرن ۱۳؛ محشی؛ جلد: تیماج مشکی مجدول، ۶۰گ، ۱۲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۲-۸۴]</w:t>
      </w:r>
    </w:p>
    <w:p>
      <w:pPr>
        <w:pStyle w:val="BookText"/>
      </w:pPr>
      <w:r>
        <w:rPr>
          <w:rFonts w:ascii="IRNazanin" w:hAnsi="IRNazanin" w:eastAsia="IRNazanin" w:cs="IRNazanin"/>
          <w:lang w:bidi="fa-IR"/>
          <w:color w:val="111111"/>
          <w:sz w:val="28"/>
          <w:szCs w:val="28"/>
          <w:rtl/>
        </w:rPr>
        <w:t xml:space="preserve">۲. تهران؛ مجلس؛ شماره نسخه: ۲۶۰۹/۲</w:t>
      </w:r>
    </w:p>
    <w:p>
      <w:pPr>
        <w:pStyle w:val="BookText"/>
      </w:pPr>
      <w:r>
        <w:rPr>
          <w:rFonts w:ascii="IRNazanin" w:hAnsi="IRNazanin" w:eastAsia="IRNazanin" w:cs="IRNazanin"/>
          <w:lang w:bidi="fa-IR"/>
          <w:color w:val="111111"/>
          <w:sz w:val="28"/>
          <w:szCs w:val="28"/>
          <w:rtl/>
        </w:rPr>
        <w:t xml:space="preserve">آغاز: برابر؛ انجام: چو روستایی خر کز برای صره زر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رود بمسجد و بر سقف ديده وقف کند خط: نستعلیق، بی کا، تا: قرن ۱۳؛ کاغذ: ترمه اصفهانی، جلد: تیماج سیاه، ۴۹گ (۴۳۰-۴۷۸)، ۲۰ سطر متن (۱۴ نیم سطر حاشیه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۸-۳۴۶]</w:t>
      </w:r>
    </w:p>
    <w:p>
      <w:pPr>
        <w:pStyle w:val="BookText"/>
      </w:pPr>
      <w:r>
        <w:rPr>
          <w:rFonts w:ascii="IRNazanin" w:hAnsi="IRNazanin" w:eastAsia="IRNazanin" w:cs="IRNazanin"/>
          <w:lang w:bidi="fa-IR"/>
          <w:color w:val="111111"/>
          <w:sz w:val="28"/>
          <w:szCs w:val="28"/>
          <w:rtl/>
        </w:rPr>
        <w:t xml:space="preserve">٣. مشهد؛ رضوی؛ شماره نسخه: ۱۴۹۷۸</w:t>
      </w:r>
    </w:p>
    <w:p>
      <w:pPr>
        <w:pStyle w:val="BookText"/>
      </w:pPr>
      <w:r>
        <w:rPr>
          <w:rFonts w:ascii="IRNazanin" w:hAnsi="IRNazanin" w:eastAsia="IRNazanin" w:cs="IRNazanin"/>
          <w:lang w:bidi="fa-IR"/>
          <w:color w:val="111111"/>
          <w:sz w:val="28"/>
          <w:szCs w:val="28"/>
          <w:rtl/>
        </w:rPr>
        <w:t xml:space="preserve">آغاز: برابر؛ انجام: که امردی از آمارد که در معصیت و نافرمانی تالی شیطان مارد بود. خط: نستعلیق شکسته، بی کا، تا: اواخر قرن ۱۳؛ واقف: سید محمد باقر مولوی عربشاهی سبزواری، ۱۴۰۵ هق؛ کاغذ: حنایی کمرنگ، جلد: میشن دار چینی، ۹۰، ۱۰-۱۲ سطر، اندازه: ۱۰/۳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۱۶/۶ سم [ف: ۱۷-۶۱]</w:t>
      </w:r>
    </w:p>
    <w:p>
      <w:pPr>
        <w:pStyle w:val="BookText"/>
      </w:pPr>
      <w:r>
        <w:rPr>
          <w:rFonts w:ascii="IRNazanin" w:hAnsi="IRNazanin" w:eastAsia="IRNazanin" w:cs="IRNazanin"/>
          <w:lang w:bidi="fa-IR"/>
          <w:color w:val="111111"/>
          <w:sz w:val="28"/>
          <w:szCs w:val="28"/>
          <w:rtl/>
        </w:rPr>
        <w:t xml:space="preserve">۴. مشهد؛ رضوی؛ شماره نسخه: ۱۰۷۶۰</w:t>
      </w:r>
    </w:p>
    <w:p>
      <w:pPr>
        <w:pStyle w:val="BookText"/>
      </w:pPr>
      <w:r>
        <w:rPr>
          <w:rFonts w:ascii="IRNazanin" w:hAnsi="IRNazanin" w:eastAsia="IRNazanin" w:cs="IRNazanin"/>
          <w:lang w:bidi="fa-IR"/>
          <w:color w:val="111111"/>
          <w:sz w:val="28"/>
          <w:szCs w:val="28"/>
          <w:rtl/>
        </w:rPr>
        <w:t xml:space="preserve">آغاز: برابر؛ انجام: تیره و تفته، همچو ساک شود، لاجرم هر چه در جهان. خط: نستعلیق شکسته خوش، بی کا، تا: اواخر قرن ۱۳؛ افتادگی: انجام (حدود ۱۰۰ برگ)؛ واقف: مرحوم حاج آقا محمد ایرانی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مجرد، بهمن ۱۳۵۰؛ کاغذ: الوان، جلد: پارچه ای خاکی، ۴۵گ، ۱۵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۱۷-۶۲]</w:t>
      </w:r>
    </w:p>
    <w:p>
      <w:pPr>
        <w:pStyle w:val="BookText"/>
      </w:pPr>
      <w:r>
        <w:rPr>
          <w:rFonts w:ascii="IRNazanin" w:hAnsi="IRNazanin" w:eastAsia="IRNazanin" w:cs="IRNazanin"/>
          <w:lang w:bidi="fa-IR"/>
          <w:color w:val="111111"/>
          <w:sz w:val="28"/>
          <w:szCs w:val="28"/>
          <w:rtl/>
        </w:rPr>
        <w:t xml:space="preserve">۵. قم؛ مرعشی؛ شماره نسخه: ۱۳۲۸۱/۳</w:t>
      </w:r>
    </w:p>
    <w:p>
      <w:pPr>
        <w:pStyle w:val="BookText"/>
      </w:pPr>
      <w:r>
        <w:rPr>
          <w:rFonts w:ascii="IRNazanin" w:hAnsi="IRNazanin" w:eastAsia="IRNazanin" w:cs="IRNazanin"/>
          <w:lang w:bidi="fa-IR"/>
          <w:color w:val="111111"/>
          <w:sz w:val="28"/>
          <w:szCs w:val="28"/>
          <w:rtl/>
        </w:rPr>
        <w:t xml:space="preserve">آغاز: حکمتش نهانست و از هر غنچه هزار گلشن ابداعش عیان، در هر قطره هزار نیل رحمتش نهفته و در پشه هزار پیل غضبش خفته، برهر وجودی قاهر است. انجام: ولی صد شکر یزدان را که ترسند *** خداوندان دولت از زبانت / تو خود از کس مکن پروا که نبود *** زیانت تا بسر آید زمانت</w:t>
      </w:r>
    </w:p>
    <w:p>
      <w:pPr>
        <w:pStyle w:val="BookText"/>
      </w:pPr>
      <w:r>
        <w:rPr>
          <w:rFonts w:ascii="IRNazanin" w:hAnsi="IRNazanin" w:eastAsia="IRNazanin" w:cs="IRNazanin"/>
          <w:lang w:bidi="fa-IR"/>
          <w:color w:val="111111"/>
          <w:sz w:val="28"/>
          <w:szCs w:val="28"/>
          <w:rtl/>
        </w:rPr>
        <w:t xml:space="preserve">خط: نسخ، بی کا، تا: قرن ۱۳، کاغذ: فرنگی، جلد: تیماج قهوه ای ضربی مجدول با ترنج و سر ترنج گل و بوته، ۳۱گ (۱۳۶پ - ۱۶۶پ)، ۲۵ سطر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۳۰سم [ف: ۳۳-۵۰۳]</w:t>
      </w:r>
    </w:p>
    <w:p>
      <w:pPr>
        <w:pStyle w:val="BookText"/>
      </w:pPr>
      <w:r>
        <w:rPr>
          <w:rFonts w:ascii="IRNazanin" w:hAnsi="IRNazanin" w:eastAsia="IRNazanin" w:cs="IRNazanin"/>
          <w:lang w:bidi="fa-IR"/>
          <w:color w:val="111111"/>
          <w:sz w:val="28"/>
          <w:szCs w:val="28"/>
          <w:rtl/>
        </w:rPr>
        <w:t xml:space="preserve">۶. تهران، دانشگاه؛ شماره نسخه: ۵۹۴۴/۲</w:t>
      </w:r>
    </w:p>
    <w:p>
      <w:pPr>
        <w:pStyle w:val="BookText"/>
      </w:pPr>
      <w:r>
        <w:rPr>
          <w:rFonts w:ascii="IRNazanin" w:hAnsi="IRNazanin" w:eastAsia="IRNazanin" w:cs="IRNazanin"/>
          <w:lang w:bidi="fa-IR"/>
          <w:color w:val="111111"/>
          <w:sz w:val="28"/>
          <w:szCs w:val="28"/>
          <w:rtl/>
        </w:rPr>
        <w:t xml:space="preserve">خط: نستعلیق، بی کا، تا: قرن ۱۳؛ کاغذ: فرنگی، جلد: تیماج تریاکی ضربی لایی، ۱۵ سطر (۱۳۷۸)، قطع: ربعی، اندازه: ۲۱۸۱۵سم [ف: ۱۶-۱۶۳]</w:t>
      </w:r>
    </w:p>
    <w:p>
      <w:pPr>
        <w:pStyle w:val="BookText"/>
      </w:pPr>
      <w:r>
        <w:rPr>
          <w:rFonts w:ascii="IRNazanin" w:hAnsi="IRNazanin" w:eastAsia="IRNazanin" w:cs="IRNazanin"/>
          <w:lang w:bidi="fa-IR"/>
          <w:color w:val="111111"/>
          <w:sz w:val="28"/>
          <w:szCs w:val="28"/>
          <w:rtl/>
        </w:rPr>
        <w:t xml:space="preserve">۷. تهران؛ مجلس؛ شماره نسخه: ۴۷۰۴/۱</w:t>
      </w:r>
    </w:p>
    <w:p>
      <w:pPr>
        <w:pStyle w:val="BookText"/>
      </w:pPr>
      <w:r>
        <w:rPr>
          <w:rFonts w:ascii="IRNazanin" w:hAnsi="IRNazanin" w:eastAsia="IRNazanin" w:cs="IRNazanin"/>
          <w:lang w:bidi="fa-IR"/>
          <w:color w:val="111111"/>
          <w:sz w:val="28"/>
          <w:szCs w:val="28"/>
          <w:rtl/>
        </w:rPr>
        <w:t xml:space="preserve">آغاز: برابر؛ انجام: هر که از این غم بدلش پرتویست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در نظرش ملک دو عالم جویست خط: نستعلیق، كا: ابن محمد محمد کاظم، تا: ۱۲۶۲ق؛ تاریخ فوت میرزا محمد على مشیر الملک ۱۲۶۱ به شعر؛ یادداشت تملک به تاریخ ۱۲۷۳؛ کاغذ: سپاهانی، جلد: تیماج قرمز مقوایی، ۵۷ص (۱-۵۷)، ۱۴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سم [ف: ۱۳-۸۶]</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مشهد؛ ادبیات؛ شماره نسخه: ۷۵/۱</w:t>
      </w:r>
    </w:p>
    <w:p>
      <w:pPr>
        <w:pStyle w:val="BookText"/>
      </w:pPr>
      <w:r>
        <w:rPr>
          <w:rFonts w:ascii="IRNazanin" w:hAnsi="IRNazanin" w:eastAsia="IRNazanin" w:cs="IRNazanin"/>
          <w:lang w:bidi="fa-IR"/>
          <w:color w:val="111111"/>
          <w:sz w:val="28"/>
          <w:szCs w:val="28"/>
          <w:rtl/>
        </w:rPr>
        <w:t xml:space="preserve">فرخ منتخبی از دیوان؛ خط: نستعلیق، بی کا، تا: ۱۴ محرم ۱۲۶۴ق؛ کاغذ فرنگی آهار مهره؛ جلد: تیماج سبز، ۱۷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قطع: پستی،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سم [ف: ۱۹۸]</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تهران؛ دائرة المعارف، شماره نسخه: ۳۳۴/۳</w:t>
      </w:r>
    </w:p>
    <w:p>
      <w:pPr>
        <w:pStyle w:val="BookText"/>
      </w:pPr>
      <w:r>
        <w:rPr>
          <w:rFonts w:ascii="IRNazanin" w:hAnsi="IRNazanin" w:eastAsia="IRNazanin" w:cs="IRNazanin"/>
          <w:lang w:bidi="fa-IR"/>
          <w:color w:val="111111"/>
          <w:sz w:val="28"/>
          <w:szCs w:val="28"/>
          <w:rtl/>
        </w:rPr>
        <w:t xml:space="preserve">آغاز: برابر؛ انجام: تن تو پوست است و جان تو مغز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مغزت ار آرزوست بفکن پوست</w:t>
      </w:r>
    </w:p>
    <w:p>
      <w:pPr>
        <w:pStyle w:val="BookText"/>
      </w:pPr>
      <w:r>
        <w:rPr>
          <w:rFonts w:ascii="IRNazanin" w:hAnsi="IRNazanin" w:eastAsia="IRNazanin" w:cs="IRNazanin"/>
          <w:lang w:bidi="fa-IR"/>
          <w:color w:val="111111"/>
          <w:sz w:val="28"/>
          <w:szCs w:val="28"/>
          <w:rtl/>
        </w:rPr>
        <w:t xml:space="preserve">خط: نستعلیق پخته، بی کا، تا: ۱۲۷۱ق؛ ۵۵گ (۸۴پ -۱۳۸ ر) [ف: ۳۹-۱]</w:t>
      </w:r>
    </w:p>
    <w:p>
      <w:pPr>
        <w:pStyle w:val="BookText"/>
      </w:pPr>
      <w:r>
        <w:rPr>
          <w:rFonts w:ascii="IRNazanin" w:hAnsi="IRNazanin" w:eastAsia="IRNazanin" w:cs="IRNazanin"/>
          <w:lang w:bidi="fa-IR"/>
          <w:color w:val="111111"/>
          <w:sz w:val="28"/>
          <w:szCs w:val="28"/>
          <w:rtl/>
        </w:rPr>
        <w:t xml:space="preserve">۱۰. قم؛ معصومیه؛ شماره نسخه: ۳۷۳/۱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على رشتی، تا: ۱۲ صفر ۱۲۷۵ق؛ در نظم ابیات حروف آخر به ترتیب حروف الفبا رعایت شده؛ جلد: تیماج قهوه ای روشن روغنی ضربی، ۳۰گ (۱پ - ۳۰ر)، ۲۱ سطر متن (۴۲ سطر حاشیه)،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۱-۳۵۴]</w:t>
      </w:r>
    </w:p>
    <w:p>
      <w:pPr>
        <w:pStyle w:val="BookText"/>
      </w:pPr>
      <w:r>
        <w:rPr>
          <w:rFonts w:ascii="IRNazanin" w:hAnsi="IRNazanin" w:eastAsia="IRNazanin" w:cs="IRNazanin"/>
          <w:lang w:bidi="fa-IR"/>
          <w:color w:val="111111"/>
          <w:sz w:val="28"/>
          <w:szCs w:val="28"/>
          <w:rtl/>
        </w:rPr>
        <w:t xml:space="preserve">۱۱. تهران؛ نوربخش؛ شماره نسخه: ۸۴۸/۱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تحریری، كا: حاج احمد شریف شیرازی (که به جای نام احمد رقم ۵۳ نهاده)، تا: ۱۲۸۳ق، کاغذ: فرنگی آبی و زرد و سفید، جلد: تیماج قرمز روشن، ۵۱گ (۱-۵۱)، قطع: خشتی،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سم (نشریه: ۱۳-۲۱۴]</w:t>
      </w:r>
    </w:p>
    <w:p>
      <w:pPr>
        <w:pStyle w:val="BookText"/>
      </w:pPr>
      <w:r>
        <w:rPr>
          <w:rFonts w:ascii="IRNazanin" w:hAnsi="IRNazanin" w:eastAsia="IRNazanin" w:cs="IRNazanin"/>
          <w:lang w:bidi="fa-IR"/>
          <w:color w:val="111111"/>
          <w:sz w:val="28"/>
          <w:szCs w:val="28"/>
          <w:rtl/>
        </w:rPr>
        <w:t xml:space="preserve">۱۲. تهران؛ ملی؛ شماره نسخه: ۱۶۸۴۶</w:t>
      </w:r>
    </w:p>
    <w:p>
      <w:pPr>
        <w:pStyle w:val="BookText"/>
      </w:pPr>
      <w:r>
        <w:rPr>
          <w:rFonts w:ascii="IRNazanin" w:hAnsi="IRNazanin" w:eastAsia="IRNazanin" w:cs="IRNazanin"/>
          <w:lang w:bidi="fa-IR"/>
          <w:color w:val="111111"/>
          <w:sz w:val="28"/>
          <w:szCs w:val="28"/>
          <w:rtl/>
        </w:rPr>
        <w:t xml:space="preserve">كان على اكبر کرکانی، تا: ۱۲۸۶ق؛ انتقالی از کتابخانه پهلوی - مجموعه نوازی؛ ۲۹۸گ، اندازه: ۲۲/۳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[رایانه]</w:t>
      </w:r>
    </w:p>
    <w:p>
      <w:pPr>
        <w:pStyle w:val="BookText"/>
      </w:pPr>
      <w:r>
        <w:rPr>
          <w:rFonts w:ascii="IRNazanin" w:hAnsi="IRNazanin" w:eastAsia="IRNazanin" w:cs="IRNazanin"/>
          <w:lang w:bidi="fa-IR"/>
          <w:color w:val="111111"/>
          <w:sz w:val="28"/>
          <w:szCs w:val="28"/>
          <w:rtl/>
        </w:rPr>
        <w:t xml:space="preserve">۱۳. تهران؛ دانشسرای عالی - کتابخانه میرزا عبدالعظیم خان قريب گرکانی؛ شماره نسخه: ۸۹/۳</w:t>
      </w:r>
    </w:p>
    <w:p>
      <w:pPr>
        <w:pStyle w:val="BookText"/>
      </w:pPr>
      <w:r>
        <w:rPr>
          <w:rFonts w:ascii="IRNazanin" w:hAnsi="IRNazanin" w:eastAsia="IRNazanin" w:cs="IRNazanin"/>
          <w:lang w:bidi="fa-IR"/>
          <w:color w:val="111111"/>
          <w:sz w:val="28"/>
          <w:szCs w:val="28"/>
          <w:rtl/>
        </w:rPr>
        <w:t xml:space="preserve">خط: نستعلیق، كا: احمد، تا: چهارشنبه ۱۹ ربیع الاول ۱۲۸۶ق؛ قطع: بغلی [نشریه: ۵-۶۳۹] ۱۴. تهران، دانشگاه؛ شماره نسخه: ۶۰۰۱</w:t>
      </w:r>
    </w:p>
    <w:p>
      <w:pPr>
        <w:pStyle w:val="BookText"/>
      </w:pPr>
      <w:r>
        <w:rPr>
          <w:rFonts w:ascii="IRNazanin" w:hAnsi="IRNazanin" w:eastAsia="IRNazanin" w:cs="IRNazanin"/>
          <w:lang w:bidi="fa-IR"/>
          <w:color w:val="111111"/>
          <w:sz w:val="28"/>
          <w:szCs w:val="28"/>
          <w:rtl/>
        </w:rPr>
        <w:t xml:space="preserve">خط: نستعلیق، بی کا، تا: قرن ۱۳ و ۱۴؛ با سرلوح زرین، مجدول زر و لاجورد؛ کاغذ: فرنگی آبی، جلد: تیماج سرخ ضربی مقوایی، ۱۰۸گ، ۱۲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قطع: ربعی،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۱۶-۱۷۶]</w:t>
      </w:r>
    </w:p>
    <w:p>
      <w:pPr>
        <w:pStyle w:val="BookText"/>
      </w:pPr>
      <w:r>
        <w:rPr>
          <w:rFonts w:ascii="IRNazanin" w:hAnsi="IRNazanin" w:eastAsia="IRNazanin" w:cs="IRNazanin"/>
          <w:lang w:bidi="fa-IR"/>
          <w:color w:val="111111"/>
          <w:sz w:val="28"/>
          <w:szCs w:val="28"/>
          <w:rtl/>
        </w:rPr>
        <w:t xml:space="preserve">۱۵. تهران: مفتاح؛ شماره نسخه: ۷۹۹/۱</w:t>
      </w:r>
    </w:p>
    <w:p>
      <w:pPr>
        <w:pStyle w:val="BookText"/>
      </w:pPr>
      <w:r>
        <w:rPr>
          <w:rFonts w:ascii="IRNazanin" w:hAnsi="IRNazanin" w:eastAsia="IRNazanin" w:cs="IRNazanin"/>
          <w:lang w:bidi="fa-IR"/>
          <w:color w:val="111111"/>
          <w:sz w:val="28"/>
          <w:szCs w:val="28"/>
          <w:rtl/>
        </w:rPr>
        <w:t xml:space="preserve">خط: نستعلیق، بی کا، تا: قرن ۱۴ [نشریه: ۷-۲۱۲]</w:t>
      </w:r>
    </w:p>
    <w:p>
      <w:pPr>
        <w:pStyle w:val="BookText"/>
      </w:pPr>
      <w:r>
        <w:rPr>
          <w:rFonts w:ascii="IRNazanin" w:hAnsi="IRNazanin" w:eastAsia="IRNazanin" w:cs="IRNazanin"/>
          <w:lang w:bidi="fa-IR"/>
          <w:color w:val="111111"/>
          <w:sz w:val="28"/>
          <w:szCs w:val="28"/>
          <w:rtl/>
        </w:rPr>
        <w:t xml:space="preserve">۱۶. تهران: دانشگاه؛ شماره نسخه: ۳۱۱۸/۳</w:t>
      </w:r>
    </w:p>
    <w:p>
      <w:pPr>
        <w:pStyle w:val="BookText"/>
      </w:pPr>
      <w:r>
        <w:rPr>
          <w:rFonts w:ascii="IRNazanin" w:hAnsi="IRNazanin" w:eastAsia="IRNazanin" w:cs="IRNazanin"/>
          <w:lang w:bidi="fa-IR"/>
          <w:color w:val="111111"/>
          <w:sz w:val="28"/>
          <w:szCs w:val="28"/>
          <w:rtl/>
        </w:rPr>
        <w:t xml:space="preserve">خط: شکسته نستعلیق، بی کا، تا: قرن ۱۴؛ کاغذ: فرنگی، جلد: مقوا عطف و گوشه تیماج سرخ، ۲۶گ (۱۶۴-۱۸۹)، ۲۰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۱۱-۲۰۷۲]</w:t>
      </w:r>
    </w:p>
    <w:p>
      <w:pPr>
        <w:pStyle w:val="BookText"/>
      </w:pPr>
      <w:r>
        <w:rPr>
          <w:rFonts w:ascii="IRNazanin" w:hAnsi="IRNazanin" w:eastAsia="IRNazanin" w:cs="IRNazanin"/>
          <w:lang w:bidi="fa-IR"/>
          <w:color w:val="111111"/>
          <w:sz w:val="28"/>
          <w:szCs w:val="28"/>
          <w:rtl/>
        </w:rPr>
        <w:t xml:space="preserve">۱۷. قم؛ گلپایگانی؛ شماره نسخه: ۵۷۳۳/۲ - ۲۹/۷۳</w:t>
      </w:r>
    </w:p>
    <w:p>
      <w:pPr>
        <w:pStyle w:val="BookText"/>
      </w:pPr>
      <w:r>
        <w:rPr>
          <w:rFonts w:ascii="IRNazanin" w:hAnsi="IRNazanin" w:eastAsia="IRNazanin" w:cs="IRNazanin"/>
          <w:lang w:bidi="fa-IR"/>
          <w:color w:val="111111"/>
          <w:sz w:val="28"/>
          <w:szCs w:val="28"/>
          <w:rtl/>
        </w:rPr>
        <w:t xml:space="preserve">آغاز: برابر؛ انجام: ديده حق شناس اگر دارید لب ببندید یا اولوا الابصار فتبارک الله احسن الخالقين که به امری این همه خلق کرد که به عمری تحریرش ندانند</w:t>
      </w:r>
    </w:p>
    <w:p>
      <w:pPr>
        <w:pStyle w:val="BookText"/>
      </w:pPr>
      <w:r>
        <w:rPr>
          <w:rFonts w:ascii="IRNazanin" w:hAnsi="IRNazanin" w:eastAsia="IRNazanin" w:cs="IRNazanin"/>
          <w:lang w:bidi="fa-IR"/>
          <w:color w:val="111111"/>
          <w:sz w:val="28"/>
          <w:szCs w:val="28"/>
          <w:rtl/>
        </w:rPr>
        <w:t xml:space="preserve">خط: نستعلیق چلیپایی در حاشیه، بی کا، تا: قرن ۱۴؛ افتادگی: انجام؛ ۴۷گ، ۹ 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۲-۶۶۳]</w:t>
      </w:r>
    </w:p>
    <w:p>
      <w:pPr>
        <w:pStyle w:val="BookText"/>
      </w:pPr>
      <w:r>
        <w:rPr>
          <w:rFonts w:ascii="IRNazanin" w:hAnsi="IRNazanin" w:eastAsia="IRNazanin" w:cs="IRNazanin"/>
          <w:lang w:bidi="fa-IR"/>
          <w:color w:val="111111"/>
          <w:sz w:val="28"/>
          <w:szCs w:val="28"/>
          <w:rtl/>
        </w:rPr>
        <w:t xml:space="preserve">۱۸. اصفهان؛ دانشگاه؛ شماره نسخه: ۱۳۰</w:t>
      </w:r>
    </w:p>
    <w:p>
      <w:pPr>
        <w:pStyle w:val="BookText"/>
      </w:pPr>
      <w:r>
        <w:rPr>
          <w:rFonts w:ascii="IRNazanin" w:hAnsi="IRNazanin" w:eastAsia="IRNazanin" w:cs="IRNazanin"/>
          <w:lang w:bidi="fa-IR"/>
          <w:color w:val="111111"/>
          <w:sz w:val="28"/>
          <w:szCs w:val="28"/>
          <w:rtl/>
        </w:rPr>
        <w:t xml:space="preserve">خط: نستعلیق زیبا، كا: محمدرضا بن محمد مهدی ضرابی تهرانی مشهور به میرزا آقا، تا: ۲۱ ربیع الثانی ۱۳۰۷ق؛ دارای سرلوح رنگین ضعیف، مجدول؛ جلد: تیماج قهوه ای بدون مقوا، ۴۳گ، ۱۹سطر،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۳۳/۵ سم [ف: ۱-۹۵]</w:t>
      </w:r>
    </w:p>
    <w:p>
      <w:pPr>
        <w:pStyle w:val="BookText"/>
      </w:pPr>
      <w:r>
        <w:rPr>
          <w:rFonts w:ascii="IRNazanin" w:hAnsi="IRNazanin" w:eastAsia="IRNazanin" w:cs="IRNazanin"/>
          <w:lang w:bidi="fa-IR"/>
          <w:color w:val="111111"/>
          <w:sz w:val="28"/>
          <w:szCs w:val="28"/>
          <w:rtl/>
        </w:rPr>
        <w:t xml:space="preserve">۱۹. اصفهان؛ دانشگاه؛ شماره نسخه: ۷</w:t>
      </w:r>
    </w:p>
    <w:p>
      <w:pPr>
        <w:pStyle w:val="BookText"/>
      </w:pPr>
      <w:r>
        <w:rPr>
          <w:rFonts w:ascii="IRNazanin" w:hAnsi="IRNazanin" w:eastAsia="IRNazanin" w:cs="IRNazanin"/>
          <w:lang w:bidi="fa-IR"/>
          <w:color w:val="111111"/>
          <w:sz w:val="28"/>
          <w:szCs w:val="28"/>
          <w:rtl/>
        </w:rPr>
        <w:t xml:space="preserve">خط: نستعلیق، كا: میرزا آقامحمد رضا پسر آقا محمد مهدی ضرابی تهرانی، تا: ۲۱ ربیع الثانی ۱۳۰۷ق، کاغذ: سپاهانی [نشریه: ۸۸۵-۱۱ ]</w:t>
      </w:r>
    </w:p>
    <w:p>
      <w:pPr>
        <w:pStyle w:val="BookText"/>
      </w:pPr>
      <w:r>
        <w:rPr>
          <w:rFonts w:ascii="IRNazanin" w:hAnsi="IRNazanin" w:eastAsia="IRNazanin" w:cs="IRNazanin"/>
          <w:lang w:bidi="fa-IR"/>
          <w:color w:val="111111"/>
          <w:sz w:val="28"/>
          <w:szCs w:val="28"/>
          <w:rtl/>
        </w:rPr>
        <w:t xml:space="preserve">۲۰. شیراز؛ ثامنی، محمد رضا؛ شماره نسخه: ۹</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شکسته، بی کا، بی تا، افتادگی: انجام؛ مصحح؛ قطع: وزیری [اوراق عتیق: ۱-۲۶۸]</w:t>
      </w:r>
    </w:p>
    <w:p>
      <w:pPr>
        <w:pStyle w:val="BookText"/>
      </w:pPr>
      <w:r>
        <w:rPr>
          <w:rFonts w:ascii="IRNazanin" w:hAnsi="IRNazanin" w:eastAsia="IRNazanin" w:cs="IRNazanin"/>
          <w:lang w:bidi="fa-IR"/>
          <w:color w:val="111111"/>
          <w:sz w:val="28"/>
          <w:szCs w:val="28"/>
          <w:rtl/>
        </w:rPr>
        <w:t xml:space="preserve">۲۱. تهران؛ مجلس؛ شماره نسخه: ۱۷۵۴۶ ض</w:t>
      </w:r>
    </w:p>
    <w:p>
      <w:pPr>
        <w:pStyle w:val="BookText"/>
      </w:pPr>
      <w:r>
        <w:rPr>
          <w:rFonts w:ascii="IRNazanin" w:hAnsi="IRNazanin" w:eastAsia="IRNazanin" w:cs="IRNazanin"/>
          <w:lang w:bidi="fa-IR"/>
          <w:color w:val="111111"/>
          <w:sz w:val="28"/>
          <w:szCs w:val="28"/>
          <w:rtl/>
        </w:rPr>
        <w:t xml:space="preserve">قسمتی از آن؛ بی کا، بی تا [د.ث. مجلس]</w:t>
      </w:r>
    </w:p>
    <w:p>
      <w:pPr>
        <w:pStyle w:val="BookText"/>
      </w:pPr>
      <w:r>
        <w:rPr>
          <w:rFonts w:ascii="IRNazanin" w:hAnsi="IRNazanin" w:eastAsia="IRNazanin" w:cs="IRNazanin"/>
          <w:lang w:bidi="fa-IR"/>
          <w:color w:val="111111"/>
          <w:sz w:val="28"/>
          <w:szCs w:val="28"/>
          <w:rtl/>
        </w:rPr>
        <w:t xml:space="preserve">۲۲. تهران؛ مجلس؛ شماره نسخه: ۱۸۵۷۹</w:t>
      </w:r>
    </w:p>
    <w:p>
      <w:pPr>
        <w:pStyle w:val="BookText"/>
      </w:pPr>
      <w:r>
        <w:rPr>
          <w:rFonts w:ascii="IRNazanin" w:hAnsi="IRNazanin" w:eastAsia="IRNazanin" w:cs="IRNazanin"/>
          <w:lang w:bidi="fa-IR"/>
          <w:color w:val="111111"/>
          <w:sz w:val="28"/>
          <w:szCs w:val="28"/>
          <w:rtl/>
        </w:rPr>
        <w:t xml:space="preserve">نسخه خوش خط ؛ بی کا، بیتا [د.ث. مجلس ]</w:t>
      </w:r>
    </w:p>
    <w:p>
      <w:pPr>
        <w:pStyle w:val="BookText"/>
      </w:pPr>
      <w:r>
        <w:rPr>
          <w:rFonts w:ascii="IRNazanin" w:hAnsi="IRNazanin" w:eastAsia="IRNazanin" w:cs="IRNazanin"/>
          <w:lang w:bidi="fa-IR"/>
          <w:color w:val="111111"/>
          <w:sz w:val="28"/>
          <w:szCs w:val="28"/>
          <w:rtl/>
        </w:rPr>
        <w:t xml:space="preserve">۲۳. تهران؛ ملی؛ شماره نسخه: ۲۵۶۵۲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99" w:name="pg20363_209560"/>
    <w:bookmarkEnd w:id="299"/>
    <w:p>
      <w:pPr>
        <w:pStyle w:val="BookText"/>
      </w:pPr>
      <w:r>
        <w:rPr>
          <w:rFonts w:ascii="IRNazanin" w:hAnsi="IRNazanin" w:eastAsia="IRNazanin" w:cs="IRNazanin"/>
          <w:lang w:bidi="fa-IR"/>
          <w:color w:val="111111"/>
          <w:sz w:val="28"/>
          <w:szCs w:val="28"/>
          <w:rtl/>
        </w:rPr>
        <w:t xml:space="preserve">بی کا، بی تا، همراه با قطعات، خریداری از عبد المجيد فرائی [رایانه ]</w:t>
      </w:r>
    </w:p>
    <w:p>
      <w:pPr>
        <w:pStyle w:val="BookText"/>
      </w:pPr>
      <w:r>
        <w:rPr>
          <w:rFonts w:ascii="IRNazanin" w:hAnsi="IRNazanin" w:eastAsia="IRNazanin" w:cs="IRNazanin"/>
          <w:lang w:bidi="fa-IR"/>
          <w:color w:val="111111"/>
          <w:sz w:val="28"/>
          <w:szCs w:val="28"/>
          <w:rtl/>
        </w:rPr>
        <w:t xml:space="preserve">۲۴. تهران؛ دانشگاه؛ شماره نسخه: ۱۱۰۱/۴</w:t>
      </w:r>
    </w:p>
    <w:p>
      <w:pPr>
        <w:pStyle w:val="BookText"/>
      </w:pPr>
      <w:r>
        <w:rPr>
          <w:rFonts w:ascii="IRNazanin" w:hAnsi="IRNazanin" w:eastAsia="IRNazanin" w:cs="IRNazanin"/>
          <w:lang w:bidi="fa-IR"/>
          <w:color w:val="111111"/>
          <w:sz w:val="28"/>
          <w:szCs w:val="28"/>
          <w:rtl/>
        </w:rPr>
        <w:t xml:space="preserve">آغاز: برابر؛ انجام: حکایت علوی زاده را یاد دارم که که ظلمتی داشت گلگون ... با قدحی باده بیالین علوی زاده رفتم ساق و ساعدش مالش دادم تا سر از بالش برداشت.</w:t>
      </w:r>
    </w:p>
    <w:p>
      <w:pPr>
        <w:pStyle w:val="BookText"/>
      </w:pPr>
      <w:r>
        <w:rPr>
          <w:rFonts w:ascii="IRNazanin" w:hAnsi="IRNazanin" w:eastAsia="IRNazanin" w:cs="IRNazanin"/>
          <w:lang w:bidi="fa-IR"/>
          <w:color w:val="111111"/>
          <w:sz w:val="28"/>
          <w:szCs w:val="28"/>
          <w:rtl/>
        </w:rPr>
        <w:t xml:space="preserve">خط: نستعلیق، بی کا، بی تا، ۵۴گ (۱۰۱پ -۱۵۴پ) [ف: ۶-۲۱۵۲]</w:t>
      </w:r>
    </w:p>
    <w:p>
      <w:pPr>
        <w:pStyle w:val="BookText"/>
      </w:pPr>
      <w:r>
        <w:rPr>
          <w:rFonts w:ascii="IRNazanin" w:hAnsi="IRNazanin" w:eastAsia="IRNazanin" w:cs="IRNazanin"/>
          <w:lang w:bidi="fa-IR"/>
          <w:color w:val="111111"/>
          <w:sz w:val="28"/>
          <w:szCs w:val="28"/>
          <w:rtl/>
        </w:rPr>
        <w:t xml:space="preserve">۲۵. تبریز؛ ملی؛ شماره نسخه: ۲۶۲۴/۱</w:t>
      </w:r>
    </w:p>
    <w:p>
      <w:pPr>
        <w:pStyle w:val="BookText"/>
      </w:pPr>
      <w:r>
        <w:rPr>
          <w:rFonts w:ascii="IRNazanin" w:hAnsi="IRNazanin" w:eastAsia="IRNazanin" w:cs="IRNazanin"/>
          <w:lang w:bidi="fa-IR"/>
          <w:color w:val="111111"/>
          <w:sz w:val="28"/>
          <w:szCs w:val="28"/>
          <w:rtl/>
        </w:rPr>
        <w:t xml:space="preserve">بی کا، بی تا؛ ۳۲گ (۱-۳۲) [ف: ۱- ۳۵۱]</w:t>
      </w:r>
    </w:p>
    <w:p>
      <w:pPr>
        <w:pStyle w:val="BookText"/>
      </w:pPr>
      <w:r>
        <w:rPr>
          <w:rFonts w:ascii="IRNazanin" w:hAnsi="IRNazanin" w:eastAsia="IRNazanin" w:cs="IRNazanin"/>
          <w:lang w:bidi="fa-IR"/>
          <w:color w:val="111111"/>
          <w:sz w:val="28"/>
          <w:szCs w:val="28"/>
          <w:rtl/>
        </w:rPr>
        <w:t xml:space="preserve">۲۶. تهران، سپهسالار؛ شماره نسخه: ۱۶۰</w:t>
      </w:r>
    </w:p>
    <w:p>
      <w:pPr>
        <w:pStyle w:val="BookText"/>
      </w:pPr>
      <w:r>
        <w:rPr>
          <w:rFonts w:ascii="IRNazanin" w:hAnsi="IRNazanin" w:eastAsia="IRNazanin" w:cs="IRNazanin"/>
          <w:lang w:bidi="fa-IR"/>
          <w:color w:val="111111"/>
          <w:sz w:val="28"/>
          <w:szCs w:val="28"/>
          <w:rtl/>
        </w:rPr>
        <w:t xml:space="preserve">خط: نستعلیق، بی کا، بی تاب افتادگی: انجام؛ دنبال آن نامه ای از نواب وزیر علوم است؛ کاغذ: فرنگی، جلد: تیماج سرخ ضربی زرکوب، ۵۴گ (۴پ -۵۷ ر)، ۱۸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۲۸۸-۳ ]</w:t>
      </w:r>
    </w:p>
    <w:p>
      <w:pPr>
        <w:pStyle w:val="BookText"/>
      </w:pPr>
      <w:r>
        <w:rPr>
          <w:rFonts w:ascii="IRNazanin" w:hAnsi="IRNazanin" w:eastAsia="IRNazanin" w:cs="IRNazanin"/>
          <w:lang w:bidi="fa-IR"/>
          <w:color w:val="111111"/>
          <w:sz w:val="28"/>
          <w:szCs w:val="28"/>
          <w:rtl/>
        </w:rPr>
        <w:t xml:space="preserve">۲۷. تهران؛ مدارک فرهنگی؛ شماره نسخه: ۶۶</w:t>
      </w:r>
    </w:p>
    <w:p>
      <w:pPr>
        <w:pStyle w:val="BookText"/>
      </w:pPr>
      <w:r>
        <w:rPr>
          <w:rFonts w:ascii="IRNazanin" w:hAnsi="IRNazanin" w:eastAsia="IRNazanin" w:cs="IRNazanin"/>
          <w:lang w:bidi="fa-IR"/>
          <w:color w:val="111111"/>
          <w:sz w:val="28"/>
          <w:szCs w:val="28"/>
          <w:rtl/>
        </w:rPr>
        <w:t xml:space="preserve">آغاز: برابر؛ انجام: کلیه فتح الباب القصه روزی باده و قلاش در بستند و به عشرت نشستند لختی نگذشت که ... با كمال عجز و</w:t>
      </w:r>
    </w:p>
    <w:p>
      <w:pPr>
        <w:pStyle w:val="BookText"/>
      </w:pPr>
      <w:r>
        <w:rPr>
          <w:rFonts w:ascii="IRNazanin" w:hAnsi="IRNazanin" w:eastAsia="IRNazanin" w:cs="IRNazanin"/>
          <w:lang w:bidi="fa-IR"/>
          <w:color w:val="111111"/>
          <w:sz w:val="28"/>
          <w:szCs w:val="28"/>
          <w:rtl/>
        </w:rPr>
        <w:t xml:space="preserve">خط: نستعلیق خوب، بی کا، بی تا؛ افتادگی: انجام؛ محشی؛ دارای تفریظی به خط همدانی متخلص به ریاضی ، کاغذ: فرنگی مایل به حنایی، جلد: تیماج ضربی مجدول قهوه ای، ۴۰گ، ۱۸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سم [ف: ۶۱]</w:t>
      </w:r>
    </w:p>
    <w:p>
      <w:pPr>
        <w:pStyle w:val="BookText"/>
      </w:pPr>
      <w:r>
        <w:rPr>
          <w:rFonts w:ascii="IRNazanin" w:hAnsi="IRNazanin" w:eastAsia="IRNazanin" w:cs="IRNazanin"/>
          <w:lang w:bidi="fa-IR"/>
          <w:color w:val="111111"/>
          <w:sz w:val="28"/>
          <w:szCs w:val="28"/>
          <w:rtl/>
        </w:rPr>
        <w:t xml:space="preserve">۲۸. قم؛ گلپایگانی؛ شماره نسخه: ۱۴۰۲/۱ - ۸/۱۱۲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جلد: تیماج قهوه ای، ۱۱۰گ، ۱۴ سطر، اندازه: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۲۲/۵سم [ف: ۲-۶۶۳]</w:t>
      </w:r>
    </w:p>
    <w:p>
      <w:pPr>
        <w:pStyle w:val="BookText"/>
      </w:pPr>
      <w:r>
        <w:rPr>
          <w:rFonts w:ascii="IRNazanin" w:hAnsi="IRNazanin" w:eastAsia="IRNazanin" w:cs="IRNazanin"/>
          <w:lang w:bidi="fa-IR"/>
          <w:color w:val="111111"/>
          <w:sz w:val="28"/>
          <w:szCs w:val="28"/>
          <w:rtl/>
        </w:rPr>
        <w:t xml:space="preserve">← پریشان نامه ← دیوان ملا پریشان</w:t>
      </w:r>
    </w:p>
    <w:p>
      <w:pPr>
        <w:pStyle w:val="BookText"/>
      </w:pPr>
      <w:r>
        <w:rPr>
          <w:rFonts w:ascii="IRNazanin" w:hAnsi="IRNazanin" w:eastAsia="IRNazanin" w:cs="IRNazanin"/>
          <w:lang w:bidi="fa-IR"/>
          <w:color w:val="111111"/>
          <w:sz w:val="28"/>
          <w:szCs w:val="28"/>
          <w:rtl/>
        </w:rPr>
        <w:t xml:space="preserve">← پریشان نامه ← رمل</w:t>
      </w:r>
    </w:p>
    <w:p>
      <w:pPr>
        <w:pStyle w:val="Heading3"/>
      </w:pPr>
      <w:bookmarkStart w:id="1739" w:name="_Toc999"/>
      <w:r>
        <w:t>•پریشان نامه / كلام و اعتقادات، شعر / فارسی و لری</w:t>
      </w:r>
      <w:bookmarkEnd w:id="1739"/>
    </w:p>
    <w:p>
      <w:pPr>
        <w:pStyle w:val="BookText"/>
      </w:pPr>
      <w:r>
        <w:rPr>
          <w:rFonts w:ascii="Times New Roman" w:hAnsi="Times New Roman" w:eastAsia="Times New Roman" w:cs="Times New Roman"/>
          <w:lang w:val="en-US" w:bidi="en-US"/>
          <w:color w:val="111111"/>
          <w:sz w:val="28"/>
          <w:szCs w:val="28"/>
          <w:rtl/>
        </w:rPr>
        <w:t xml:space="preserve">parīšān-nāme</w:t>
      </w:r>
    </w:p>
    <w:p>
      <w:pPr>
        <w:pStyle w:val="BookText"/>
      </w:pPr>
      <w:r>
        <w:rPr>
          <w:rFonts w:ascii="IRNazanin" w:hAnsi="IRNazanin" w:eastAsia="IRNazanin" w:cs="IRNazanin"/>
          <w:lang w:bidi="fa-IR"/>
          <w:color w:val="111111"/>
          <w:sz w:val="28"/>
          <w:szCs w:val="28"/>
          <w:rtl/>
        </w:rPr>
        <w:t xml:space="preserve">؟ پریشان قراگزلو، مرتضی قلی بیک، ق۱۳ قمری</w:t>
      </w:r>
    </w:p>
    <w:p>
      <w:pPr>
        <w:pStyle w:val="BookText"/>
      </w:pPr>
      <w:r>
        <w:rPr>
          <w:rFonts w:ascii="Times New Roman" w:hAnsi="Times New Roman" w:eastAsia="Times New Roman" w:cs="Times New Roman"/>
          <w:lang w:val="en-US" w:bidi="en-US"/>
          <w:color w:val="111111"/>
          <w:sz w:val="28"/>
          <w:szCs w:val="28"/>
          <w:rtl/>
        </w:rPr>
        <w:t xml:space="preserve">parīšān qarāgozlū, morteza qolī beyk (- 19c)</w:t>
      </w:r>
    </w:p>
    <w:p>
      <w:pPr>
        <w:pStyle w:val="BookText"/>
      </w:pPr>
      <w:r>
        <w:rPr>
          <w:rFonts w:ascii="IRNazanin" w:hAnsi="IRNazanin" w:eastAsia="IRNazanin" w:cs="IRNazanin"/>
          <w:lang w:bidi="fa-IR"/>
          <w:color w:val="111111"/>
          <w:sz w:val="28"/>
          <w:szCs w:val="28"/>
          <w:rtl/>
        </w:rPr>
        <w:t xml:space="preserve">منظومه ای است در اعتقادات به شیوه سیر و سلوک که به بحر مختصر سروده شده است.</w:t>
      </w:r>
    </w:p>
    <w:p>
      <w:pPr>
        <w:pStyle w:val="BookText"/>
      </w:pPr>
      <w:r>
        <w:rPr>
          <w:rFonts w:ascii="IRNazanin" w:hAnsi="IRNazanin" w:eastAsia="IRNazanin" w:cs="IRNazanin"/>
          <w:lang w:bidi="fa-IR"/>
          <w:color w:val="111111"/>
          <w:sz w:val="28"/>
          <w:szCs w:val="28"/>
          <w:rtl/>
        </w:rPr>
        <w:t xml:space="preserve">اراک؛ دهگان؛ شماره نسخه: ۱۸</w:t>
      </w:r>
    </w:p>
    <w:p>
      <w:pPr>
        <w:pStyle w:val="BookText"/>
      </w:pPr>
      <w:r>
        <w:rPr>
          <w:rFonts w:ascii="IRNazanin" w:hAnsi="IRNazanin" w:eastAsia="IRNazanin" w:cs="IRNazanin"/>
          <w:lang w:bidi="fa-IR"/>
          <w:color w:val="111111"/>
          <w:sz w:val="28"/>
          <w:szCs w:val="28"/>
          <w:rtl/>
        </w:rPr>
        <w:t xml:space="preserve">آغاز: من ز بسم الله من ز بسم الله</w:t>
      </w:r>
      <w:r>
        <w:rPr>
          <w:rFonts w:ascii="IRNazanin" w:hAnsi="IRNazanin" w:eastAsia="IRNazanin" w:cs="IRNazanin"/>
          <w:lang w:bidi="fa-IR"/>
          <w:color w:val="111111"/>
          <w:sz w:val="28"/>
          <w:szCs w:val="28"/>
          <w:b w:val="1"/>
          <w:bCs w:val="1"/>
          <w:i w:val="1"/>
          <w:iCs w:val="1"/>
          <w:rtl/>
        </w:rPr>
        <w:t xml:space="preserve">ابتداء حكم من ز بسم الله؛ انجام: کس باعث قتل امامل</w:t>
      </w:r>
      <w:r>
        <w:rPr>
          <w:rFonts w:ascii="IRNazanin" w:hAnsi="IRNazanin" w:eastAsia="IRNazanin" w:cs="IRNazanin"/>
          <w:lang w:bidi="fa-IR"/>
          <w:color w:val="111111"/>
          <w:sz w:val="28"/>
          <w:szCs w:val="28"/>
          <w:rtl/>
        </w:rPr>
        <w:t xml:space="preserve"> [جای مصراع خالی است]</w:t>
      </w:r>
    </w:p>
    <w:p>
      <w:pPr>
        <w:pStyle w:val="BookText"/>
      </w:pPr>
      <w:r>
        <w:rPr>
          <w:rFonts w:ascii="IRNazanin" w:hAnsi="IRNazanin" w:eastAsia="IRNazanin" w:cs="IRNazanin"/>
          <w:lang w:bidi="fa-IR"/>
          <w:color w:val="111111"/>
          <w:sz w:val="28"/>
          <w:szCs w:val="28"/>
          <w:rtl/>
        </w:rPr>
        <w:t xml:space="preserve">بی کا، تا: احتمالا قرن ۱۲؛ افتادگی: انجام؛ اشعار دوستونی، از کتاب های مرحوم ابراهیم دهگان؛ کاغذ: شکری، جلد: مقوای نازک، ۱۶، ۱۲ سطر، قطع: نیمه رقعی،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۳۱-۱ ]</w:t>
      </w:r>
    </w:p>
    <w:p>
      <w:pPr>
        <w:pStyle w:val="Heading3"/>
      </w:pPr>
      <w:bookmarkStart w:id="1740" w:name="_Toc1000"/>
      <w:r>
        <w:t>•پریشان نامه / شعر / ترکی</w:t>
      </w:r>
      <w:bookmarkEnd w:id="1740"/>
    </w:p>
    <w:p>
      <w:pPr>
        <w:pStyle w:val="BookText"/>
      </w:pPr>
      <w:r>
        <w:rPr>
          <w:rFonts w:ascii="Times New Roman" w:hAnsi="Times New Roman" w:eastAsia="Times New Roman" w:cs="Times New Roman"/>
          <w:lang w:val="en-US" w:bidi="en-US"/>
          <w:color w:val="111111"/>
          <w:sz w:val="28"/>
          <w:szCs w:val="28"/>
          <w:rtl/>
        </w:rPr>
        <w:t xml:space="preserve">parīšān-nāme</w:t>
      </w:r>
    </w:p>
    <w:p>
      <w:pPr>
        <w:pStyle w:val="BookText"/>
      </w:pPr>
      <w:r>
        <w:rPr>
          <w:rFonts w:ascii="IRNazanin" w:hAnsi="IRNazanin" w:eastAsia="IRNazanin" w:cs="IRNazanin"/>
          <w:lang w:bidi="fa-IR"/>
          <w:color w:val="111111"/>
          <w:sz w:val="28"/>
          <w:szCs w:val="28"/>
          <w:rtl/>
        </w:rPr>
        <w:t xml:space="preserve">ملائی، یوسف</w:t>
      </w:r>
    </w:p>
    <w:p>
      <w:pPr>
        <w:pStyle w:val="BookText"/>
      </w:pPr>
      <w:r>
        <w:rPr>
          <w:rFonts w:ascii="Times New Roman" w:hAnsi="Times New Roman" w:eastAsia="Times New Roman" w:cs="Times New Roman"/>
          <w:lang w:val="en-US" w:bidi="en-US"/>
          <w:color w:val="111111"/>
          <w:sz w:val="28"/>
          <w:szCs w:val="28"/>
          <w:rtl/>
        </w:rPr>
        <w:t xml:space="preserve">mollā'ī, yūsof</w:t>
      </w:r>
    </w:p>
    <w:p>
      <w:pPr>
        <w:pStyle w:val="BookText"/>
      </w:pPr>
      <w:r>
        <w:rPr>
          <w:rFonts w:ascii="IRNazanin" w:hAnsi="IRNazanin" w:eastAsia="IRNazanin" w:cs="IRNazanin"/>
          <w:lang w:bidi="fa-IR"/>
          <w:color w:val="111111"/>
          <w:sz w:val="28"/>
          <w:szCs w:val="28"/>
          <w:rtl/>
        </w:rPr>
        <w:t xml:space="preserve">منظومه ای است در معارف دینی و اخلاق و عرفان اسلامی و فضائل و مناقب اهل بیت مخصوصا حضرت امیر المؤمنین (علیه السلام).</w:t>
      </w:r>
    </w:p>
    <w:p>
      <w:pPr>
        <w:pStyle w:val="BookText"/>
      </w:pPr>
      <w:r>
        <w:rPr>
          <w:rFonts w:ascii="IRNazanin" w:hAnsi="IRNazanin" w:eastAsia="IRNazanin" w:cs="IRNazanin"/>
          <w:lang w:bidi="fa-IR"/>
          <w:color w:val="111111"/>
          <w:sz w:val="28"/>
          <w:szCs w:val="28"/>
          <w:rtl/>
        </w:rPr>
        <w:t xml:space="preserve">آغاز: من ز بسم الله من ز بسم الله*** ابتدا میکنم من ز بسم الله / پریشان نامه ذکر تكم الله *** نه آراء هر کس پی فنا فی الله</w:t>
      </w:r>
    </w:p>
    <w:p>
      <w:pPr>
        <w:pStyle w:val="BookText"/>
      </w:pPr>
      <w:r>
        <w:rPr>
          <w:rFonts w:ascii="IRNazanin" w:hAnsi="IRNazanin" w:eastAsia="IRNazanin" w:cs="IRNazanin"/>
          <w:lang w:bidi="fa-IR"/>
          <w:color w:val="111111"/>
          <w:sz w:val="28"/>
          <w:szCs w:val="28"/>
          <w:rtl/>
        </w:rPr>
        <w:t xml:space="preserve">[دنا ۶۳۵/۲ ]</w:t>
      </w:r>
    </w:p>
    <w:p>
      <w:pPr>
        <w:pStyle w:val="BookText"/>
      </w:pPr>
      <w:r>
        <w:rPr>
          <w:rFonts w:ascii="IRNazanin" w:hAnsi="IRNazanin" w:eastAsia="IRNazanin" w:cs="IRNazanin"/>
          <w:lang w:bidi="fa-IR"/>
          <w:color w:val="111111"/>
          <w:sz w:val="28"/>
          <w:szCs w:val="28"/>
          <w:rtl/>
        </w:rPr>
        <w:t xml:space="preserve">۱. تهران، ادبیات، شماره نسخه: ۸۲ - ج</w:t>
      </w:r>
    </w:p>
    <w:p>
      <w:pPr>
        <w:pStyle w:val="BookText"/>
      </w:pPr>
      <w:r>
        <w:rPr>
          <w:rFonts w:ascii="IRNazanin" w:hAnsi="IRNazanin" w:eastAsia="IRNazanin" w:cs="IRNazanin"/>
          <w:lang w:bidi="fa-IR"/>
          <w:color w:val="111111"/>
          <w:sz w:val="28"/>
          <w:szCs w:val="28"/>
          <w:rtl/>
        </w:rPr>
        <w:t xml:space="preserve">آغاز: برابر؛ انجام: بسا پی تنبیه هر صاحب شعور على إلى الله تصير الامور خط: نستعلیق، كا: یحیی، تا: ۲۳ صفر ۱۳۱۶ق؛ کاغذ: فرنگی، جلد: مقوا عطف پارچه، ۲۱ گ، ۱۶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۱-۵۲]</w:t>
      </w:r>
    </w:p>
    <w:p>
      <w:pPr>
        <w:pStyle w:val="BookText"/>
      </w:pPr>
      <w:r>
        <w:rPr>
          <w:rFonts w:ascii="IRNazanin" w:hAnsi="IRNazanin" w:eastAsia="IRNazanin" w:cs="IRNazanin"/>
          <w:lang w:bidi="fa-IR"/>
          <w:color w:val="111111"/>
          <w:sz w:val="28"/>
          <w:szCs w:val="28"/>
          <w:rtl/>
        </w:rPr>
        <w:t xml:space="preserve">٢. کرمانشاه؛ فیض مهدوی (کتابخانه)؛ شماره نسخه: بدون شماره</w:t>
      </w:r>
    </w:p>
    <w:p>
      <w:pPr>
        <w:pStyle w:val="BookText"/>
      </w:pPr>
      <w:r>
        <w:rPr>
          <w:rFonts w:ascii="IRNazanin" w:hAnsi="IRNazanin" w:eastAsia="IRNazanin" w:cs="IRNazanin"/>
          <w:lang w:bidi="fa-IR"/>
          <w:color w:val="111111"/>
          <w:sz w:val="28"/>
          <w:szCs w:val="28"/>
          <w:rtl/>
        </w:rPr>
        <w:t xml:space="preserve">كان نصر الله سعدوند، تا: ۱۲ ربیع الثانی ۱۳۴۴ ق، به طلب من میرزا رحیم مساح باشی [ تراثنا: س کش ۴-۲۶]</w:t>
      </w:r>
    </w:p>
    <w:p>
      <w:pPr>
        <w:pStyle w:val="BookText"/>
      </w:pPr>
      <w:r>
        <w:rPr>
          <w:rFonts w:ascii="IRNazanin" w:hAnsi="IRNazanin" w:eastAsia="IRNazanin" w:cs="IRNazanin"/>
          <w:lang w:bidi="fa-IR"/>
          <w:color w:val="111111"/>
          <w:sz w:val="28"/>
          <w:szCs w:val="28"/>
          <w:rtl/>
        </w:rPr>
        <w:t xml:space="preserve">٣. کرمانشاه؛ نجومی؛ شماره نسخه: بدون شماره</w:t>
      </w:r>
    </w:p>
    <w:p>
      <w:pPr>
        <w:pStyle w:val="BookText"/>
      </w:pPr>
      <w:r>
        <w:rPr>
          <w:rFonts w:ascii="IRNazanin" w:hAnsi="IRNazanin" w:eastAsia="IRNazanin" w:cs="IRNazanin"/>
          <w:lang w:bidi="fa-IR"/>
          <w:color w:val="111111"/>
          <w:sz w:val="28"/>
          <w:szCs w:val="28"/>
          <w:rtl/>
        </w:rPr>
        <w:t xml:space="preserve">بی کا، بی تا [دليل المخطوطات: ۱-۲۲۰]</w:t>
      </w:r>
    </w:p>
    <w:p>
      <w:pPr>
        <w:pStyle w:val="BookText"/>
      </w:pPr>
      <w:r>
        <w:rPr>
          <w:rFonts w:ascii="IRNazanin" w:hAnsi="IRNazanin" w:eastAsia="IRNazanin" w:cs="IRNazanin"/>
          <w:lang w:bidi="fa-IR"/>
          <w:color w:val="111111"/>
          <w:sz w:val="28"/>
          <w:szCs w:val="28"/>
          <w:rtl/>
        </w:rPr>
        <w:t xml:space="preserve">۴. قم؛ مرعشی؛ شماره نسخه: ۹۷۹۹/۱</w:t>
      </w:r>
    </w:p>
    <w:p>
      <w:pPr>
        <w:pStyle w:val="BookText"/>
      </w:pPr>
      <w:r>
        <w:rPr>
          <w:rFonts w:ascii="IRNazanin" w:hAnsi="IRNazanin" w:eastAsia="IRNazanin" w:cs="IRNazanin"/>
          <w:lang w:bidi="fa-IR"/>
          <w:color w:val="111111"/>
          <w:sz w:val="28"/>
          <w:szCs w:val="28"/>
          <w:rtl/>
        </w:rPr>
        <w:t xml:space="preserve">آغاز: دست ید قدرت قلم پیغمبر***سوى الله مطلق خطوط و دفتر انجام: پس معنای آیه چنش و قیاس ***الكاظمين الغيظ و العافين عن الناس</w:t>
      </w:r>
    </w:p>
    <w:p>
      <w:pPr>
        <w:pStyle w:val="BookText"/>
      </w:pPr>
      <w:r>
        <w:rPr>
          <w:rFonts w:ascii="IRNazanin" w:hAnsi="IRNazanin" w:eastAsia="IRNazanin" w:cs="IRNazanin"/>
          <w:lang w:bidi="fa-IR"/>
          <w:color w:val="111111"/>
          <w:sz w:val="28"/>
          <w:szCs w:val="28"/>
          <w:rtl/>
        </w:rPr>
        <w:t xml:space="preserve">خط: نستعلیق، بی کا، بی تا، جلد: تیماج مشکی، ۳۳گ (۱ر-۳۳ر)،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۲۵-۱۲۹]</w:t>
      </w:r>
    </w:p>
    <w:p>
      <w:pPr>
        <w:pStyle w:val="Heading3"/>
      </w:pPr>
      <w:bookmarkStart w:id="1741" w:name="_Toc1001"/>
      <w:r>
        <w:t>• پریشان نامه / ادبیات / فارسی</w:t>
      </w:r>
      <w:bookmarkEnd w:id="1741"/>
    </w:p>
    <w:p>
      <w:pPr>
        <w:pStyle w:val="BookText"/>
      </w:pPr>
      <w:r>
        <w:rPr>
          <w:rFonts w:ascii="Times New Roman" w:hAnsi="Times New Roman" w:eastAsia="Times New Roman" w:cs="Times New Roman"/>
          <w:lang w:val="en-US" w:bidi="en-US"/>
          <w:color w:val="111111"/>
          <w:sz w:val="28"/>
          <w:szCs w:val="28"/>
          <w:rtl/>
        </w:rPr>
        <w:t xml:space="preserve">parīšān-nāme</w:t>
      </w:r>
    </w:p>
    <w:p>
      <w:pPr>
        <w:pStyle w:val="BookText"/>
      </w:pPr>
      <w:r>
        <w:rPr>
          <w:rFonts w:ascii="IRNazanin" w:hAnsi="IRNazanin" w:eastAsia="IRNazanin" w:cs="IRNazanin"/>
          <w:lang w:bidi="fa-IR"/>
          <w:color w:val="111111"/>
          <w:sz w:val="28"/>
          <w:szCs w:val="28"/>
          <w:rtl/>
        </w:rPr>
        <w:t xml:space="preserve">نامه ای است طنز آمیز که بعضی از حروف كلمات آن را تبدیل به حروف دیگر نموده چون کلمه وصول که تبدیل به «وئول» شده و انگیزه نگارش این بند نامه ای است که مریضی تحریر نموده و به جای «قربانت شوم» غربانت شوم نوشته بود احتمالا این پریشان گویی ها نیز از حجة الاسلام نیر است.</w:t>
      </w:r>
    </w:p>
    <w:p>
      <w:pPr>
        <w:pStyle w:val="BookText"/>
      </w:pPr>
      <w:r>
        <w:rPr>
          <w:rFonts w:ascii="IRNazanin" w:hAnsi="IRNazanin" w:eastAsia="IRNazanin" w:cs="IRNazanin"/>
          <w:lang w:bidi="fa-IR"/>
          <w:color w:val="111111"/>
          <w:sz w:val="28"/>
          <w:szCs w:val="28"/>
          <w:rtl/>
        </w:rPr>
        <w:t xml:space="preserve">قم، مرکز احیاء؛ شماره نسخه: ۴۹۵/۲</w:t>
      </w:r>
    </w:p>
    <w:p>
      <w:pPr>
        <w:pStyle w:val="BookText"/>
      </w:pPr>
      <w:r>
        <w:rPr>
          <w:rFonts w:ascii="IRNazanin" w:hAnsi="IRNazanin" w:eastAsia="IRNazanin" w:cs="IRNazanin"/>
          <w:lang w:bidi="fa-IR"/>
          <w:color w:val="111111"/>
          <w:sz w:val="28"/>
          <w:szCs w:val="28"/>
          <w:rtl/>
        </w:rPr>
        <w:t xml:space="preserve">آغاز: احوالات است که یک نفر ناخوش صاحب کمال حرف قاف را با غین نوشته بود یعنی لفظ قربانت شوم غربانت شوم برشته تحریر آورده بود خط: نستعلیق، كا: على آقا بن علی اکبر شعار تبریزی مشهور به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00" w:name="pg20363_209561"/>
    <w:bookmarkEnd w:id="300"/>
    <w:p>
      <w:pPr>
        <w:pStyle w:val="BookText"/>
      </w:pPr>
      <w:r>
        <w:rPr>
          <w:rFonts w:ascii="IRNazanin" w:hAnsi="IRNazanin" w:eastAsia="IRNazanin" w:cs="IRNazanin"/>
          <w:lang w:bidi="fa-IR"/>
          <w:color w:val="111111"/>
          <w:sz w:val="28"/>
          <w:szCs w:val="28"/>
          <w:rtl/>
        </w:rPr>
        <w:t xml:space="preserve">مسگر اوف، تا: ذیحجه ۱۳۲۱ق؛ ۴گ (۳۱پ -۱۳۴)، اندازه: ۱۱/۵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سم [ف: ۲-۱۱۳]</w:t>
      </w:r>
    </w:p>
    <w:p>
      <w:pPr>
        <w:pStyle w:val="Heading3"/>
      </w:pPr>
      <w:bookmarkStart w:id="1742" w:name="_Toc1002"/>
      <w:r>
        <w:t>•پری نامه / طالع بینی - فارسی</w:t>
      </w:r>
      <w:bookmarkEnd w:id="1742"/>
    </w:p>
    <w:p>
      <w:pPr>
        <w:pStyle w:val="BookText"/>
      </w:pPr>
      <w:r>
        <w:rPr>
          <w:rFonts w:ascii="Times New Roman" w:hAnsi="Times New Roman" w:eastAsia="Times New Roman" w:cs="Times New Roman"/>
          <w:lang w:val="en-US" w:bidi="en-US"/>
          <w:color w:val="111111"/>
          <w:sz w:val="28"/>
          <w:szCs w:val="28"/>
          <w:rtl/>
        </w:rPr>
        <w:t xml:space="preserve">parī-name</w:t>
      </w:r>
    </w:p>
    <w:p>
      <w:pPr>
        <w:pStyle w:val="BookText"/>
      </w:pPr>
      <w:r>
        <w:rPr>
          <w:rFonts w:ascii="IRNazanin" w:hAnsi="IRNazanin" w:eastAsia="IRNazanin" w:cs="IRNazanin"/>
          <w:lang w:bidi="fa-IR"/>
          <w:color w:val="111111"/>
          <w:sz w:val="28"/>
          <w:szCs w:val="28"/>
          <w:rtl/>
        </w:rPr>
        <w:t xml:space="preserve">قم: مرکز مطالعات، شماره نسخه: ۹۶۳/۴</w:t>
      </w:r>
    </w:p>
    <w:p>
      <w:pPr>
        <w:pStyle w:val="BookText"/>
      </w:pPr>
      <w:r>
        <w:rPr>
          <w:rFonts w:ascii="IRNazanin" w:hAnsi="IRNazanin" w:eastAsia="IRNazanin" w:cs="IRNazanin"/>
          <w:lang w:bidi="fa-IR"/>
          <w:color w:val="111111"/>
          <w:sz w:val="28"/>
          <w:szCs w:val="28"/>
          <w:rtl/>
        </w:rPr>
        <w:t xml:space="preserve">خط: نستعلیق، بی کا، تا: قرن ۱۳؛ جلد: مقوا سفید عطف پارچه، ۱۳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۲-۲۲۸]</w:t>
      </w:r>
    </w:p>
    <w:p>
      <w:pPr>
        <w:pStyle w:val="Heading3"/>
      </w:pPr>
      <w:bookmarkStart w:id="1743" w:name="_Toc1003"/>
      <w:r>
        <w:t>•پزشکنامه / طب، شعر / فارسی</w:t>
      </w:r>
      <w:bookmarkEnd w:id="1743"/>
    </w:p>
    <w:p>
      <w:pPr>
        <w:pStyle w:val="BookText"/>
      </w:pPr>
      <w:r>
        <w:rPr>
          <w:rFonts w:ascii="Times New Roman" w:hAnsi="Times New Roman" w:eastAsia="Times New Roman" w:cs="Times New Roman"/>
          <w:lang w:val="en-US" w:bidi="en-US"/>
          <w:color w:val="111111"/>
          <w:sz w:val="28"/>
          <w:szCs w:val="28"/>
          <w:rtl/>
        </w:rPr>
        <w:t xml:space="preserve">pezešk-nāme</w:t>
      </w:r>
    </w:p>
    <w:p>
      <w:pPr>
        <w:pStyle w:val="BookText"/>
      </w:pPr>
      <w:r>
        <w:rPr>
          <w:rFonts w:ascii="IRNazanin" w:hAnsi="IRNazanin" w:eastAsia="IRNazanin" w:cs="IRNazanin"/>
          <w:lang w:bidi="fa-IR"/>
          <w:color w:val="111111"/>
          <w:sz w:val="28"/>
          <w:szCs w:val="28"/>
          <w:rtl/>
        </w:rPr>
        <w:t xml:space="preserve">قصیده ای است در ۷۰ بیت که شاعري خراسانی مسکن به</w:t>
      </w:r>
    </w:p>
    <w:p>
      <w:pPr>
        <w:pStyle w:val="BookText"/>
      </w:pPr>
      <w:r>
        <w:rPr>
          <w:rFonts w:ascii="IRNazanin" w:hAnsi="IRNazanin" w:eastAsia="IRNazanin" w:cs="IRNazanin"/>
          <w:lang w:bidi="fa-IR"/>
          <w:color w:val="111111"/>
          <w:sz w:val="28"/>
          <w:szCs w:val="28"/>
          <w:rtl/>
        </w:rPr>
        <w:t xml:space="preserve">تعریض مردم زمان و خطاب به پزشکان شاه در تهران می کند. آغاز: ای طبیبان پیشگاه حضور*** ای بدانش علاج هر رنجور انجام: از تن و جان خسته مردم به این بلا را خدا نماید کم</w:t>
      </w:r>
    </w:p>
    <w:p>
      <w:pPr>
        <w:pStyle w:val="BookText"/>
      </w:pPr>
      <w:r>
        <w:rPr>
          <w:rFonts w:ascii="IRNazanin" w:hAnsi="IRNazanin" w:eastAsia="IRNazanin" w:cs="IRNazanin"/>
          <w:lang w:bidi="fa-IR"/>
          <w:color w:val="111111"/>
          <w:sz w:val="28"/>
          <w:szCs w:val="28"/>
          <w:rtl/>
        </w:rPr>
        <w:t xml:space="preserve">[فهرستواره منزوی ۳۳۲۸/۵ ]</w:t>
      </w:r>
    </w:p>
    <w:p>
      <w:pPr>
        <w:pStyle w:val="BookText"/>
      </w:pPr>
      <w:r>
        <w:rPr>
          <w:rFonts w:ascii="IRNazanin" w:hAnsi="IRNazanin" w:eastAsia="IRNazanin" w:cs="IRNazanin"/>
          <w:lang w:bidi="fa-IR"/>
          <w:color w:val="111111"/>
          <w:sz w:val="28"/>
          <w:szCs w:val="28"/>
          <w:rtl/>
        </w:rPr>
        <w:t xml:space="preserve">مشهد: الهیات، شماره نسخه: ۵۵۲/۹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کاغذ فرنگی؛ جلد: تیماج قهوه ای، ۱۵ سطر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قطع: ربعی،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[ف: ۱-۵۰۱]</w:t>
      </w:r>
    </w:p>
    <w:p>
      <w:pPr>
        <w:pStyle w:val="BookText"/>
      </w:pPr>
      <w:r>
        <w:rPr>
          <w:rFonts w:ascii="IRNazanin" w:hAnsi="IRNazanin" w:eastAsia="IRNazanin" w:cs="IRNazanin"/>
          <w:lang w:bidi="fa-IR"/>
          <w:color w:val="111111"/>
          <w:sz w:val="28"/>
          <w:szCs w:val="28"/>
          <w:rtl/>
        </w:rPr>
        <w:t xml:space="preserve">←پزشکی ← طبی</w:t>
      </w:r>
    </w:p>
    <w:p>
      <w:pPr>
        <w:pStyle w:val="BookText"/>
      </w:pPr>
      <w:r>
        <w:rPr>
          <w:rFonts w:ascii="IRNazanin" w:hAnsi="IRNazanin" w:eastAsia="IRNazanin" w:cs="IRNazanin"/>
          <w:lang w:bidi="fa-IR"/>
          <w:color w:val="111111"/>
          <w:sz w:val="28"/>
          <w:szCs w:val="28"/>
          <w:rtl/>
        </w:rPr>
        <w:t xml:space="preserve">←پزشکی ← منظومه طبي</w:t>
      </w:r>
    </w:p>
    <w:p>
      <w:pPr>
        <w:pStyle w:val="BookText"/>
      </w:pPr>
      <w:r>
        <w:rPr>
          <w:rFonts w:ascii="IRNazanin" w:hAnsi="IRNazanin" w:eastAsia="IRNazanin" w:cs="IRNazanin"/>
          <w:lang w:bidi="fa-IR"/>
          <w:color w:val="111111"/>
          <w:sz w:val="28"/>
          <w:szCs w:val="28"/>
          <w:rtl/>
        </w:rPr>
        <w:t xml:space="preserve">← پزشکی ← مجربات</w:t>
      </w:r>
    </w:p>
    <w:p>
      <w:pPr>
        <w:pStyle w:val="BookText"/>
      </w:pPr>
      <w:r>
        <w:rPr>
          <w:rFonts w:ascii="IRNazanin" w:hAnsi="IRNazanin" w:eastAsia="IRNazanin" w:cs="IRNazanin"/>
          <w:lang w:bidi="fa-IR"/>
          <w:color w:val="111111"/>
          <w:sz w:val="28"/>
          <w:szCs w:val="28"/>
          <w:rtl/>
        </w:rPr>
        <w:t xml:space="preserve">←پزشکی ←کفایه منصوری</w:t>
      </w:r>
    </w:p>
    <w:p>
      <w:pPr>
        <w:pStyle w:val="BookText"/>
      </w:pPr>
      <w:r>
        <w:rPr>
          <w:rFonts w:ascii="IRNazanin" w:hAnsi="IRNazanin" w:eastAsia="IRNazanin" w:cs="IRNazanin"/>
          <w:lang w:bidi="fa-IR"/>
          <w:color w:val="111111"/>
          <w:sz w:val="28"/>
          <w:szCs w:val="28"/>
          <w:rtl/>
        </w:rPr>
        <w:t xml:space="preserve">← پزشکی تازه کیمیائی ← کیمیای طبی</w:t>
      </w:r>
    </w:p>
    <w:p>
      <w:pPr>
        <w:pStyle w:val="BookText"/>
      </w:pPr>
      <w:r>
        <w:rPr>
          <w:rFonts w:ascii="IRNazanin" w:hAnsi="IRNazanin" w:eastAsia="IRNazanin" w:cs="IRNazanin"/>
          <w:lang w:bidi="fa-IR"/>
          <w:color w:val="111111"/>
          <w:sz w:val="28"/>
          <w:szCs w:val="28"/>
          <w:rtl/>
        </w:rPr>
        <w:t xml:space="preserve">← پزشکی تازه کیمیائی← طب جدید کیمیاوی</w:t>
      </w:r>
    </w:p>
    <w:p>
      <w:pPr>
        <w:pStyle w:val="Heading3"/>
      </w:pPr>
      <w:bookmarkStart w:id="1744" w:name="_Toc1004"/>
      <w:r>
        <w:t>•پزشکی نامه (منتخب) / طب / فارسی</w:t>
      </w:r>
      <w:bookmarkEnd w:id="1744"/>
    </w:p>
    <w:p>
      <w:pPr>
        <w:pStyle w:val="BookText"/>
      </w:pPr>
      <w:r>
        <w:rPr>
          <w:rFonts w:ascii="Times New Roman" w:hAnsi="Times New Roman" w:eastAsia="Times New Roman" w:cs="Times New Roman"/>
          <w:lang w:val="en-US" w:bidi="en-US"/>
          <w:color w:val="111111"/>
          <w:sz w:val="28"/>
          <w:szCs w:val="28"/>
          <w:rtl/>
        </w:rPr>
        <w:t xml:space="preserve">pezeškī-nāme (mn.)</w:t>
      </w:r>
    </w:p>
    <w:p>
      <w:pPr>
        <w:pStyle w:val="BookText"/>
      </w:pPr>
      <w:r>
        <w:rPr>
          <w:rFonts w:ascii="IRNazanin" w:hAnsi="IRNazanin" w:eastAsia="IRNazanin" w:cs="IRNazanin"/>
          <w:lang w:bidi="fa-IR"/>
          <w:color w:val="111111"/>
          <w:sz w:val="28"/>
          <w:szCs w:val="28"/>
          <w:rtl/>
        </w:rPr>
        <w:t xml:space="preserve">گزیده هایی است از کتاب «پزشکی نامه» ناظم الاطبا علی اکبر خان نفیسی. در آغازین این اثر مقدمه مختصری در مورد مؤلف</w:t>
      </w:r>
    </w:p>
    <w:p>
      <w:pPr>
        <w:pStyle w:val="BookText"/>
      </w:pPr>
      <w:r>
        <w:rPr>
          <w:rFonts w:ascii="IRNazanin" w:hAnsi="IRNazanin" w:eastAsia="IRNazanin" w:cs="IRNazanin"/>
          <w:lang w:bidi="fa-IR"/>
          <w:color w:val="111111"/>
          <w:sz w:val="28"/>
          <w:szCs w:val="28"/>
          <w:rtl/>
        </w:rPr>
        <w:t xml:space="preserve">و زمان تأليف آن نیز نوشته شده است. چاپ: متن کامل این کتاب به سال ۱۳۱۷ ق در تهران به چاپ سنگی رسیده است.</w:t>
      </w:r>
    </w:p>
    <w:p>
      <w:pPr>
        <w:pStyle w:val="BookText"/>
      </w:pPr>
      <w:r>
        <w:rPr>
          <w:rFonts w:ascii="IRNazanin" w:hAnsi="IRNazanin" w:eastAsia="IRNazanin" w:cs="IRNazanin"/>
          <w:lang w:bidi="fa-IR"/>
          <w:color w:val="111111"/>
          <w:sz w:val="28"/>
          <w:szCs w:val="28"/>
          <w:rtl/>
        </w:rPr>
        <w:t xml:space="preserve">تهران؛ ملی؛ شماره نسخه: ۶۸۰۵</w:t>
      </w:r>
    </w:p>
    <w:p>
      <w:pPr>
        <w:pStyle w:val="BookText"/>
      </w:pPr>
      <w:r>
        <w:rPr>
          <w:rFonts w:ascii="IRNazanin" w:hAnsi="IRNazanin" w:eastAsia="IRNazanin" w:cs="IRNazanin"/>
          <w:lang w:bidi="fa-IR"/>
          <w:color w:val="111111"/>
          <w:sz w:val="28"/>
          <w:szCs w:val="28"/>
          <w:rtl/>
        </w:rPr>
        <w:t xml:space="preserve">آغاز: پزشکی نامه در علم دواسازی ادویه قدیمیه و جدیده و ماهیت و خواص و ترکیبات و مقادیر شربت و مصالح و طریق استعمال آنها در امراض ذکر نموده؛ انجام: همین قدرها کافی است مختصر دانستن اوزان زیاده بر این باید رجوع به کتاب های</w:t>
      </w:r>
    </w:p>
    <w:p>
      <w:pPr>
        <w:pStyle w:val="BookText"/>
      </w:pPr>
      <w:r>
        <w:rPr>
          <w:rFonts w:ascii="IRNazanin" w:hAnsi="IRNazanin" w:eastAsia="IRNazanin" w:cs="IRNazanin"/>
          <w:lang w:bidi="fa-IR"/>
          <w:color w:val="111111"/>
          <w:sz w:val="28"/>
          <w:szCs w:val="28"/>
          <w:rtl/>
        </w:rPr>
        <w:t xml:space="preserve">طبيو دواسازی بشود خط: نستعلیق، بی کا، بی تا، کاغذ: فرنگی نخودی، جلد: تیماج قهوه ای روشن مقوایی، وگ (۲۴۴-۲۵۲پ)، ۱۰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۱۱/۴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۹/۲ سم [رایانه]</w:t>
      </w:r>
    </w:p>
    <w:p>
      <w:pPr>
        <w:pStyle w:val="Heading3"/>
      </w:pPr>
      <w:bookmarkStart w:id="1745" w:name="_Toc1005"/>
      <w:r>
        <w:t>• پزشکی و دعا / طب، دعا / فارسی</w:t>
      </w:r>
      <w:bookmarkEnd w:id="1745"/>
    </w:p>
    <w:p>
      <w:pPr>
        <w:pStyle w:val="BookText"/>
      </w:pPr>
      <w:r>
        <w:rPr>
          <w:rFonts w:ascii="Times New Roman" w:hAnsi="Times New Roman" w:eastAsia="Times New Roman" w:cs="Times New Roman"/>
          <w:lang w:val="en-US" w:bidi="en-US"/>
          <w:color w:val="111111"/>
          <w:sz w:val="28"/>
          <w:szCs w:val="28"/>
          <w:rtl/>
        </w:rPr>
        <w:t xml:space="preserve">pezeškī va do‘ā</w:t>
      </w:r>
    </w:p>
    <w:p>
      <w:pPr>
        <w:pStyle w:val="BookText"/>
      </w:pPr>
      <w:r>
        <w:rPr>
          <w:rFonts w:ascii="IRNazanin" w:hAnsi="IRNazanin" w:eastAsia="IRNazanin" w:cs="IRNazanin"/>
          <w:lang w:bidi="fa-IR"/>
          <w:color w:val="111111"/>
          <w:sz w:val="28"/>
          <w:szCs w:val="28"/>
          <w:rtl/>
        </w:rPr>
        <w:t xml:space="preserve">همدان؛ مدرسه غرب، شماره نسخه: ۷۷۰۲/۱۱</w:t>
      </w:r>
    </w:p>
    <w:p>
      <w:pPr>
        <w:pStyle w:val="BookText"/>
      </w:pPr>
      <w:r>
        <w:rPr>
          <w:rFonts w:ascii="IRNazanin" w:hAnsi="IRNazanin" w:eastAsia="IRNazanin" w:cs="IRNazanin"/>
          <w:lang w:bidi="fa-IR"/>
          <w:color w:val="111111"/>
          <w:sz w:val="28"/>
          <w:szCs w:val="28"/>
          <w:rtl/>
        </w:rPr>
        <w:t xml:space="preserve">آغاز: در علاج کوفت این دوا مجرب است طوطيا هندی، هلیله سیاه، مویز بی دانه اینها کوفته حب نموده؛ انجام: به عرض می رساند که مخلص را چیزی ضرور شده که رنگی او چون خال بتان است چهره از آن دلبران است محرم بزم خوبان است ... نام نامیش ارزان است باقی ایام بکام دوستان است، نه طاقت وصلت مرا تاب در هجران تو ...بسی خوشنودی آمد بسویم قاصدش گویا</w:t>
      </w:r>
      <w:r>
        <w:rPr>
          <w:rFonts w:ascii="IRNazanin" w:hAnsi="IRNazanin" w:eastAsia="IRNazanin" w:cs="IRNazanin"/>
          <w:lang w:bidi="fa-IR"/>
          <w:color w:val="111111"/>
          <w:sz w:val="28"/>
          <w:szCs w:val="28"/>
          <w:b w:val="1"/>
          <w:bCs w:val="1"/>
          <w:i w:val="1"/>
          <w:iCs w:val="1"/>
          <w:rtl/>
        </w:rPr>
        <w:t xml:space="preserve">که غیر از نامه حرفی از زبان یار هم دارد / نگذاشتمت که پای بر خاک نهی</w:t>
      </w:r>
      <w:r>
        <w:rPr>
          <w:rFonts w:ascii="IRNazanin" w:hAnsi="IRNazanin" w:eastAsia="IRNazanin" w:cs="IRNazanin"/>
          <w:lang w:bidi="fa-IR"/>
          <w:color w:val="111111"/>
          <w:sz w:val="28"/>
          <w:szCs w:val="28"/>
          <w:rtl/>
        </w:rPr>
        <w:t xml:space="preserve"> خاک قدمت بدیده برداشتمی پزشکی و دعا؛ خط شکسته نستعلیق، بی کا، بی تا؛ قطع: ربعی [رشت و همدان: ف: ۱۵۷۶]</w:t>
      </w:r>
    </w:p>
    <w:p>
      <w:pPr>
        <w:pStyle w:val="Heading3"/>
      </w:pPr>
      <w:bookmarkStart w:id="1746" w:name="_Toc1006"/>
      <w:r>
        <w:t>•پزشکی و کیمیایی / کیمیا، طب / فارسی</w:t>
      </w:r>
      <w:bookmarkEnd w:id="1746"/>
    </w:p>
    <w:p>
      <w:pPr>
        <w:pStyle w:val="BookText"/>
      </w:pPr>
      <w:r>
        <w:rPr>
          <w:rFonts w:ascii="Times New Roman" w:hAnsi="Times New Roman" w:eastAsia="Times New Roman" w:cs="Times New Roman"/>
          <w:lang w:val="en-US" w:bidi="en-US"/>
          <w:color w:val="111111"/>
          <w:sz w:val="28"/>
          <w:szCs w:val="28"/>
          <w:rtl/>
        </w:rPr>
        <w:t xml:space="preserve">pezeškī va kīmīyāyī</w:t>
      </w:r>
    </w:p>
    <w:p>
      <w:pPr>
        <w:pStyle w:val="BookText"/>
      </w:pPr>
      <w:r>
        <w:rPr>
          <w:rFonts w:ascii="IRNazanin" w:hAnsi="IRNazanin" w:eastAsia="IRNazanin" w:cs="IRNazanin"/>
          <w:lang w:bidi="fa-IR"/>
          <w:color w:val="111111"/>
          <w:sz w:val="28"/>
          <w:szCs w:val="28"/>
          <w:rtl/>
        </w:rPr>
        <w:t xml:space="preserve">رشت؛ جمعیت نشر فرهنگ؛ شماره نسخه: ۶۵۱ر</w:t>
      </w:r>
    </w:p>
    <w:p>
      <w:pPr>
        <w:pStyle w:val="BookText"/>
      </w:pPr>
      <w:r>
        <w:rPr>
          <w:rFonts w:ascii="IRNazanin" w:hAnsi="IRNazanin" w:eastAsia="IRNazanin" w:cs="IRNazanin"/>
          <w:lang w:bidi="fa-IR"/>
          <w:color w:val="111111"/>
          <w:sz w:val="28"/>
          <w:szCs w:val="28"/>
          <w:rtl/>
        </w:rPr>
        <w:t xml:space="preserve">آغاز: آهنین بگدازند و با گوگرد بیامیزند پس بندقی سازند سرکه با خود دارد عجایب بیند و اگر پیه او در خود مانند دد و دام نزدیک وی نتوانند شد و اگر بر دست و پای مالند سر ما بار دارد .. باب اول اندر موامره کتاب و دلايل مزاجها بدانکه آن کسانی که درین باب قوی تر باشند و درین کار حریص تر مردمی باشند که گندم گون و به سرخی زند و گوشت اندامهای ایشان تازه باشد؛ انجام: اگر در زیر آب رود علاج زن کنند که خطا از زن است دامی را بدانند وانگه تجربه به او دیه کنند و السلام تمت هذه النسخة الشريفة. خط: نستعلیق، بی کا، تا: گویا در رجب ۱۰۷۲ق؛ افتادگی: آغاز؛ ۷۴گ، قطع: نیم خشتی باریک [رشت و همدان: ف: ۱۱۲۵]</w:t>
      </w:r>
    </w:p>
    <w:p>
      <w:pPr>
        <w:pStyle w:val="Heading3"/>
      </w:pPr>
      <w:bookmarkStart w:id="1747" w:name="_Toc1007"/>
      <w:r>
        <w:t>•پژواک ابتذال / متفرقه / فارسی</w:t>
      </w:r>
      <w:bookmarkEnd w:id="1747"/>
    </w:p>
    <w:p>
      <w:pPr>
        <w:pStyle w:val="BookText"/>
      </w:pPr>
      <w:r>
        <w:rPr>
          <w:rFonts w:ascii="Times New Roman" w:hAnsi="Times New Roman" w:eastAsia="Times New Roman" w:cs="Times New Roman"/>
          <w:lang w:val="en-US" w:bidi="en-US"/>
          <w:color w:val="111111"/>
          <w:sz w:val="28"/>
          <w:szCs w:val="28"/>
          <w:rtl/>
        </w:rPr>
        <w:t xml:space="preserve">pežvāk-e ebtezāl</w:t>
      </w:r>
    </w:p>
    <w:p>
      <w:pPr>
        <w:pStyle w:val="BookText"/>
      </w:pPr>
      <w:r>
        <w:rPr>
          <w:rFonts w:ascii="IRNazanin" w:hAnsi="IRNazanin" w:eastAsia="IRNazanin" w:cs="IRNazanin"/>
          <w:lang w:bidi="fa-IR"/>
          <w:color w:val="111111"/>
          <w:sz w:val="28"/>
          <w:szCs w:val="28"/>
          <w:rtl/>
        </w:rPr>
        <w:t xml:space="preserve">مایل هروی، نجیب، ۱۳۲۹ - شمسی</w:t>
      </w:r>
    </w:p>
    <w:p>
      <w:pPr>
        <w:pStyle w:val="BookText"/>
      </w:pPr>
      <w:r>
        <w:rPr>
          <w:rFonts w:ascii="Times New Roman" w:hAnsi="Times New Roman" w:eastAsia="Times New Roman" w:cs="Times New Roman"/>
          <w:lang w:val="en-US" w:bidi="en-US"/>
          <w:color w:val="111111"/>
          <w:sz w:val="28"/>
          <w:szCs w:val="28"/>
          <w:rtl/>
        </w:rPr>
        <w:t xml:space="preserve">māyel heravī, najīb (1950 -)</w:t>
      </w:r>
    </w:p>
    <w:p>
      <w:pPr>
        <w:pStyle w:val="BookText"/>
      </w:pPr>
      <w:r>
        <w:rPr>
          <w:rFonts w:ascii="IRNazanin" w:hAnsi="IRNazanin" w:eastAsia="IRNazanin" w:cs="IRNazanin"/>
          <w:lang w:bidi="fa-IR"/>
          <w:color w:val="111111"/>
          <w:sz w:val="28"/>
          <w:szCs w:val="28"/>
          <w:rtl/>
        </w:rPr>
        <w:t xml:space="preserve">مشهد؛ رضوی؛ شماره نسخه: ۱۱۹۱۶</w:t>
      </w:r>
    </w:p>
    <w:p>
      <w:pPr>
        <w:pStyle w:val="BookText"/>
      </w:pPr>
      <w:r>
        <w:rPr>
          <w:rFonts w:ascii="IRNazanin" w:hAnsi="IRNazanin" w:eastAsia="IRNazanin" w:cs="IRNazanin"/>
          <w:lang w:bidi="fa-IR"/>
          <w:color w:val="111111"/>
          <w:sz w:val="28"/>
          <w:szCs w:val="28"/>
          <w:rtl/>
        </w:rPr>
        <w:t xml:space="preserve">آغاز: بنام خدا ... در جهان کمند ملتهایی که انجام: ۱۳۵۹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01" w:name="pg20363_209562"/>
    <w:bookmarkEnd w:id="301"/>
    <w:p>
      <w:pPr>
        <w:pStyle w:val="BookText"/>
      </w:pPr>
      <w:r>
        <w:rPr>
          <w:rFonts w:ascii="IRNazanin" w:hAnsi="IRNazanin" w:eastAsia="IRNazanin" w:cs="IRNazanin"/>
          <w:lang w:bidi="fa-IR"/>
          <w:color w:val="111111"/>
          <w:sz w:val="28"/>
          <w:szCs w:val="28"/>
          <w:rtl/>
        </w:rPr>
        <w:t xml:space="preserve">هجری شمسی در مشهد رضوی خط: نستعلیق تحریری، کاتب = مؤلف، تا: ۱۳۵۹ش، جا: مشهد؛ کاغذ: فرنگی، جلد: گالینگور، ابعاد متن: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(الفبائی: ۹۵]</w:t>
      </w:r>
    </w:p>
    <w:p>
      <w:pPr>
        <w:pStyle w:val="Heading3"/>
      </w:pPr>
      <w:bookmarkStart w:id="1748" w:name="_Toc1008"/>
      <w:r>
        <w:t>•پژوهشی در امامزاده سهل بن علی / جغرافيا / فارسی</w:t>
      </w:r>
      <w:bookmarkEnd w:id="1748"/>
    </w:p>
    <w:p>
      <w:pPr>
        <w:pStyle w:val="BookText"/>
      </w:pPr>
      <w:r>
        <w:rPr>
          <w:rFonts w:ascii="Times New Roman" w:hAnsi="Times New Roman" w:eastAsia="Times New Roman" w:cs="Times New Roman"/>
          <w:lang w:val="en-US" w:bidi="en-US"/>
          <w:color w:val="111111"/>
          <w:sz w:val="28"/>
          <w:szCs w:val="28"/>
          <w:rtl/>
        </w:rPr>
        <w:t xml:space="preserve">pažūhešī dar emāmzāde sahl ebn-e ‘alī</w:t>
      </w:r>
    </w:p>
    <w:p>
      <w:pPr>
        <w:pStyle w:val="BookText"/>
      </w:pPr>
      <w:r>
        <w:rPr>
          <w:rFonts w:ascii="IRNazanin" w:hAnsi="IRNazanin" w:eastAsia="IRNazanin" w:cs="IRNazanin"/>
          <w:lang w:bidi="fa-IR"/>
          <w:color w:val="111111"/>
          <w:sz w:val="28"/>
          <w:szCs w:val="28"/>
          <w:rtl/>
        </w:rPr>
        <w:t xml:space="preserve">عباسی، حجت الله، ق۱۴ قمری</w:t>
      </w:r>
    </w:p>
    <w:p>
      <w:pPr>
        <w:pStyle w:val="BookText"/>
      </w:pPr>
      <w:r>
        <w:rPr>
          <w:rFonts w:ascii="Times New Roman" w:hAnsi="Times New Roman" w:eastAsia="Times New Roman" w:cs="Times New Roman"/>
          <w:lang w:val="en-US" w:bidi="en-US"/>
          <w:color w:val="111111"/>
          <w:sz w:val="28"/>
          <w:szCs w:val="28"/>
          <w:rtl/>
        </w:rPr>
        <w:t xml:space="preserve">‘abbāsī, hojjat-ol-lāh (- 20c)</w:t>
      </w:r>
    </w:p>
    <w:p>
      <w:pPr>
        <w:pStyle w:val="BookText"/>
      </w:pPr>
      <w:r>
        <w:rPr>
          <w:rFonts w:ascii="IRNazanin" w:hAnsi="IRNazanin" w:eastAsia="IRNazanin" w:cs="IRNazanin"/>
          <w:lang w:bidi="fa-IR"/>
          <w:color w:val="111111"/>
          <w:sz w:val="28"/>
          <w:szCs w:val="28"/>
          <w:rtl/>
        </w:rPr>
        <w:t xml:space="preserve">تاریخ تأليف: شهریور ۱۳۷۴ش رساله مختصری است همانند پایان نامه های دانشجویی که در آن تحقیقاتی درباره زیارتگاه سهل بن على ارائه شده است. زیارتگاه سهل واقع در شهر آستانه، از توابع شهرستان سربند در ۴۰ کیلومتری جنوب غربی اراک، مدفن چهار تن از امامزادگان است: ۱. سهل بن علی، ۲. طالب بن على، 3. جعفر بن على، ۴. فضل بن جعفر. درباره آستانه امامزاده سهل بن علی پیش از این نیز رساله هایی نگاشته اند، همچون رساله ای از افضل الملك غلام حسین شیرازی (- ۱۳۴۸ق) که نسخه ای از آن به شماره «۹۴۵۲» در کتابخانه مجلس موجود است و رسالهای دیگر از سید محمد صادق فراهانی که به شماره «۹۴۵۰» در همان</w:t>
      </w:r>
    </w:p>
    <w:p>
      <w:pPr>
        <w:pStyle w:val="BookText"/>
      </w:pPr>
      <w:r>
        <w:rPr>
          <w:rFonts w:ascii="IRNazanin" w:hAnsi="IRNazanin" w:eastAsia="IRNazanin" w:cs="IRNazanin"/>
          <w:lang w:bidi="fa-IR"/>
          <w:color w:val="111111"/>
          <w:sz w:val="28"/>
          <w:szCs w:val="28"/>
          <w:rtl/>
        </w:rPr>
        <w:t xml:space="preserve">کتابخانه نگهداری می شود. مهندس عباسی در این رساله با استفاده از منابع تاریخی، کتاب های انساب و اطلاعات محلی و افواهی، دیدگاه های مختلف درباره شجره نسب سهل بن علی را مورد بررسی قرار داده و گزارشی از بنای امامزاده و بازسازی آن در دوره های مختلف ارائه داده است. همچنین درباره بناهای وابسته به زیارتگاه سهل، همچون بقعه طالب بن على، جعفر بن على، فضل بن جعفر، پیر اسماعیل، طرغان ترک و آقا پیر، مطالبی آورده است. کرامت های امامزاده های آستانه و مراسم های مذهبی، ملی و منطقه ای، بازارهای اطراف زیارتگاه، وضعیت صنایع و اقتصاد مردم منطقه، از دیگر مباحث این رساله است. کمیسیون پژوهشی اداره کل فرهنگ و ارشاد اسلامی استان مرکزی که این رساله تایپ شده را تکثیر کرده، پیش گفتاری بر رساله نوشته است. تنظیم این اثر در شهریور ۱۳۷۴ به انجام رسیده و فهرست مطالب در ابتدای آن درج شده و پانوشت ها در آخر رساله آمده است.</w:t>
      </w:r>
    </w:p>
    <w:p>
      <w:pPr>
        <w:pStyle w:val="BookText"/>
      </w:pPr>
      <w:r>
        <w:rPr>
          <w:rFonts w:ascii="IRNazanin" w:hAnsi="IRNazanin" w:eastAsia="IRNazanin" w:cs="IRNazanin"/>
          <w:lang w:bidi="fa-IR"/>
          <w:color w:val="111111"/>
          <w:sz w:val="28"/>
          <w:szCs w:val="28"/>
          <w:rtl/>
        </w:rPr>
        <w:t xml:space="preserve">قم؛ مرعشی؛ شماره نسخه: ۱۲۸۴ عکسی</w:t>
      </w:r>
    </w:p>
    <w:p>
      <w:pPr>
        <w:pStyle w:val="BookText"/>
      </w:pPr>
      <w:r>
        <w:rPr>
          <w:rFonts w:ascii="IRNazanin" w:hAnsi="IRNazanin" w:eastAsia="IRNazanin" w:cs="IRNazanin"/>
          <w:lang w:bidi="fa-IR"/>
          <w:color w:val="111111"/>
          <w:sz w:val="28"/>
          <w:szCs w:val="28"/>
          <w:rtl/>
        </w:rPr>
        <w:t xml:space="preserve">آغاز: زیارتگاه سهل بن علی(عليه السلام)و سایر زیارتگاه های شهر آستانه على رغم سابقه دیرینه و کهن مذهبی و تاریخی؛ انجام: کارکردهای مهم زیارتگاه مقدس سهل بن علی(عليه السلام) در توسعه بخش های مختلف شهر آستانه توجه به این موارد ضروری است. بی کا، بی تا، جزوه تایپ شده است که اداره ارشاد استان مرکزی در شهریور ۱۳۷۴ آن را تکثیر کرده؛ ۴۶، ۲۷ سطر [عکسی ف: پری نامه - پلتیک ۴۳۵ ۶۳۸-۳</w:t>
      </w:r>
    </w:p>
    <w:p>
      <w:pPr>
        <w:pStyle w:val="Heading3"/>
      </w:pPr>
      <w:bookmarkStart w:id="1749" w:name="_Toc1009"/>
      <w:r>
        <w:t>•پس از بیست سال / تاریخ / فارسی</w:t>
      </w:r>
      <w:bookmarkEnd w:id="1749"/>
    </w:p>
    <w:p>
      <w:pPr>
        <w:pStyle w:val="BookText"/>
      </w:pPr>
      <w:r>
        <w:rPr>
          <w:rFonts w:ascii="Times New Roman" w:hAnsi="Times New Roman" w:eastAsia="Times New Roman" w:cs="Times New Roman"/>
          <w:lang w:val="en-US" w:bidi="en-US"/>
          <w:color w:val="111111"/>
          <w:sz w:val="28"/>
          <w:szCs w:val="28"/>
          <w:rtl/>
        </w:rPr>
        <w:t xml:space="preserve">pas az bīst sāl</w:t>
      </w:r>
    </w:p>
    <w:p>
      <w:pPr>
        <w:pStyle w:val="BookText"/>
      </w:pPr>
      <w:r>
        <w:rPr>
          <w:rFonts w:ascii="IRNazanin" w:hAnsi="IRNazanin" w:eastAsia="IRNazanin" w:cs="IRNazanin"/>
          <w:lang w:bidi="fa-IR"/>
          <w:color w:val="111111"/>
          <w:sz w:val="28"/>
          <w:szCs w:val="28"/>
          <w:rtl/>
        </w:rPr>
        <w:t xml:space="preserve">دوما، آلكساندر، ۱۸۰۲-۱۸۷۰ میلادی</w:t>
      </w:r>
    </w:p>
    <w:p>
      <w:pPr>
        <w:pStyle w:val="BookText"/>
      </w:pPr>
      <w:r>
        <w:rPr>
          <w:rFonts w:ascii="Times New Roman" w:hAnsi="Times New Roman" w:eastAsia="Times New Roman" w:cs="Times New Roman"/>
          <w:lang w:val="en-US" w:bidi="en-US"/>
          <w:color w:val="111111"/>
          <w:sz w:val="28"/>
          <w:szCs w:val="28"/>
          <w:rtl/>
        </w:rPr>
        <w:t xml:space="preserve">dūmā, aleksānder (1802-1870)</w:t>
      </w:r>
    </w:p>
    <w:p>
      <w:pPr>
        <w:pStyle w:val="BookText"/>
      </w:pPr>
      <w:r>
        <w:rPr>
          <w:rFonts w:ascii="IRNazanin" w:hAnsi="IRNazanin" w:eastAsia="IRNazanin" w:cs="IRNazanin"/>
          <w:lang w:bidi="fa-IR"/>
          <w:color w:val="111111"/>
          <w:sz w:val="28"/>
          <w:szCs w:val="28"/>
          <w:rtl/>
        </w:rPr>
        <w:t xml:space="preserve">مترجم: محمد طاهر قاجار ۱۲۵۰-۱۳۱۷ قمری تاريخ تأليف: ۱۳۰۶ ه.ق این کتاب همان کتاب «بیست سال بعد» است که محمد طاهر میرزا در جلد دوم سه تفنگدار نوید ترجمه آن را داد و در آن وقایع قرن هفدهم میلادی فرانسه به صورت داستان آمده است.</w:t>
      </w:r>
    </w:p>
    <w:p>
      <w:pPr>
        <w:pStyle w:val="BookText"/>
      </w:pPr>
      <w:r>
        <w:rPr>
          <w:rFonts w:ascii="IRNazanin" w:hAnsi="IRNazanin" w:eastAsia="IRNazanin" w:cs="IRNazanin"/>
          <w:lang w:bidi="fa-IR"/>
          <w:color w:val="111111"/>
          <w:sz w:val="28"/>
          <w:szCs w:val="28"/>
          <w:rtl/>
        </w:rPr>
        <w:t xml:space="preserve">۱. تهران: ملی؛ شماره نسخه: ۱۶۲۵</w:t>
      </w:r>
    </w:p>
    <w:p>
      <w:pPr>
        <w:pStyle w:val="BookText"/>
      </w:pPr>
      <w:r>
        <w:rPr>
          <w:rFonts w:ascii="IRNazanin" w:hAnsi="IRNazanin" w:eastAsia="IRNazanin" w:cs="IRNazanin"/>
          <w:lang w:bidi="fa-IR"/>
          <w:color w:val="111111"/>
          <w:sz w:val="28"/>
          <w:szCs w:val="28"/>
          <w:rtl/>
        </w:rPr>
        <w:t xml:space="preserve">آغاز: بسمله، قسمت اول از کتاب پس از بیست سال، فصل اول ... ریشلیو کاردینال. در یکی از اطاقهای کاردینال؛ انجام: و حال آنکه تقصیر او از شماها کمتر نبود پس از گفتن این سخنان از اطاق بیرون آمد خط: نستعلیق، بی کا، تا: ۱۳۰۶ق، جا: دارالسلطنه تبریز (محتملا )؛ کاغذ: فرنگی، جلد: تیماج مشکی با گل و بوته زر مقوایی، ۹۴گ، ۱۹ سطر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۴-۱۰۸]</w:t>
      </w:r>
    </w:p>
    <w:p>
      <w:pPr>
        <w:pStyle w:val="BookText"/>
      </w:pPr>
      <w:r>
        <w:rPr>
          <w:rFonts w:ascii="IRNazanin" w:hAnsi="IRNazanin" w:eastAsia="IRNazanin" w:cs="IRNazanin"/>
          <w:lang w:bidi="fa-IR"/>
          <w:color w:val="111111"/>
          <w:sz w:val="28"/>
          <w:szCs w:val="28"/>
          <w:rtl/>
        </w:rPr>
        <w:t xml:space="preserve">۲. تهران؛ ملی؛ شماره نسخه: ۱۶۲۶</w:t>
      </w:r>
    </w:p>
    <w:p>
      <w:pPr>
        <w:pStyle w:val="BookText"/>
      </w:pPr>
      <w:r>
        <w:rPr>
          <w:rFonts w:ascii="IRNazanin" w:hAnsi="IRNazanin" w:eastAsia="IRNazanin" w:cs="IRNazanin"/>
          <w:lang w:bidi="fa-IR"/>
          <w:color w:val="111111"/>
          <w:sz w:val="28"/>
          <w:szCs w:val="28"/>
          <w:rtl/>
        </w:rPr>
        <w:t xml:space="preserve">آغاز: بیرون رفت و از پله ها در کمال آرامی پائین آمد ... که حاضر و آماده است؛ انجام: از برای من داشته باش زیرا کسی چه می داند که آخر چه خواهد شد</w:t>
      </w:r>
    </w:p>
    <w:p>
      <w:pPr>
        <w:pStyle w:val="BookText"/>
      </w:pPr>
      <w:r>
        <w:rPr>
          <w:rFonts w:ascii="IRNazanin" w:hAnsi="IRNazanin" w:eastAsia="IRNazanin" w:cs="IRNazanin"/>
          <w:lang w:bidi="fa-IR"/>
          <w:color w:val="111111"/>
          <w:sz w:val="28"/>
          <w:szCs w:val="28"/>
          <w:rtl/>
        </w:rPr>
        <w:t xml:space="preserve">جلد دوم، حاوی بقیه کتاب «پس از بیست سال است که الكساندر دوما آن را نوشته و در حقیقت جلد چهارم کتاب سه تفنگدار می باشد؛ خط: شکسته نستعلیق، بی کا، تا: ۱۹ رمضان ۱۳۰۷ق، جا: دارالسلطنه تبریز؛ کاغذ: فرنگی، ۱۹۴، ۱۹سطر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۴-۱۰۹]</w:t>
      </w:r>
    </w:p>
    <w:p>
      <w:pPr>
        <w:pStyle w:val="BookText"/>
      </w:pPr>
      <w:r>
        <w:rPr>
          <w:rFonts w:ascii="IRNazanin" w:hAnsi="IRNazanin" w:eastAsia="IRNazanin" w:cs="IRNazanin"/>
          <w:lang w:bidi="fa-IR"/>
          <w:color w:val="111111"/>
          <w:sz w:val="28"/>
          <w:szCs w:val="28"/>
          <w:rtl/>
        </w:rPr>
        <w:t xml:space="preserve">← پسر نامه ← پندنامه</w:t>
      </w:r>
    </w:p>
    <w:p>
      <w:pPr>
        <w:pStyle w:val="BookText"/>
      </w:pPr>
      <w:r>
        <w:rPr>
          <w:rFonts w:ascii="IRNazanin" w:hAnsi="IRNazanin" w:eastAsia="IRNazanin" w:cs="IRNazanin"/>
          <w:lang w:bidi="fa-IR"/>
          <w:color w:val="111111"/>
          <w:sz w:val="28"/>
          <w:szCs w:val="28"/>
          <w:rtl/>
        </w:rPr>
        <w:t xml:space="preserve">← پسند الاحرار ← کلیات میر مختوم نیشابوری</w:t>
      </w:r>
    </w:p>
    <w:p>
      <w:pPr>
        <w:pStyle w:val="Heading3"/>
      </w:pPr>
      <w:bookmarkStart w:id="1750" w:name="_Toc1010"/>
      <w:r>
        <w:t>• پطر کبیر / تاریخ / فارسی</w:t>
      </w:r>
      <w:bookmarkEnd w:id="1750"/>
    </w:p>
    <w:p>
      <w:pPr>
        <w:pStyle w:val="BookText"/>
      </w:pPr>
      <w:r>
        <w:rPr>
          <w:rFonts w:ascii="Times New Roman" w:hAnsi="Times New Roman" w:eastAsia="Times New Roman" w:cs="Times New Roman"/>
          <w:lang w:val="en-US" w:bidi="en-US"/>
          <w:color w:val="111111"/>
          <w:sz w:val="28"/>
          <w:szCs w:val="28"/>
          <w:rtl/>
        </w:rPr>
        <w:t xml:space="preserve">petr-e kabīr</w:t>
      </w:r>
    </w:p>
    <w:p>
      <w:pPr>
        <w:pStyle w:val="BookText"/>
      </w:pPr>
      <w:r>
        <w:rPr>
          <w:rFonts w:ascii="IRNazanin" w:hAnsi="IRNazanin" w:eastAsia="IRNazanin" w:cs="IRNazanin"/>
          <w:lang w:bidi="fa-IR"/>
          <w:color w:val="111111"/>
          <w:sz w:val="28"/>
          <w:szCs w:val="28"/>
          <w:rtl/>
        </w:rPr>
        <w:t xml:space="preserve">تهران؛ ملی؛ شماره نسخه: ۱۹۷۹۳</w:t>
      </w:r>
    </w:p>
    <w:p>
      <w:pPr>
        <w:pStyle w:val="BookText"/>
      </w:pPr>
      <w:r>
        <w:rPr>
          <w:rFonts w:ascii="IRNazanin" w:hAnsi="IRNazanin" w:eastAsia="IRNazanin" w:cs="IRNazanin"/>
          <w:lang w:bidi="fa-IR"/>
          <w:color w:val="111111"/>
          <w:sz w:val="28"/>
          <w:szCs w:val="28"/>
          <w:rtl/>
        </w:rPr>
        <w:t xml:space="preserve">بی کا، بی تا؛ خریداری از مریم ادریس پور [رایانه ]</w:t>
      </w:r>
    </w:p>
    <w:p>
      <w:pPr>
        <w:pStyle w:val="Heading3"/>
      </w:pPr>
      <w:bookmarkStart w:id="1751" w:name="_Toc1011"/>
      <w:r>
        <w:t>• پلتیک انگلیس / حكومت و سیاست / فارسی</w:t>
      </w:r>
      <w:bookmarkEnd w:id="1751"/>
    </w:p>
    <w:p>
      <w:pPr>
        <w:pStyle w:val="BookText"/>
      </w:pPr>
      <w:r>
        <w:rPr>
          <w:rFonts w:ascii="Times New Roman" w:hAnsi="Times New Roman" w:eastAsia="Times New Roman" w:cs="Times New Roman"/>
          <w:lang w:val="en-US" w:bidi="en-US"/>
          <w:color w:val="111111"/>
          <w:sz w:val="28"/>
          <w:szCs w:val="28"/>
          <w:rtl/>
        </w:rPr>
        <w:t xml:space="preserve">poletīk-e engelīs</w:t>
      </w:r>
    </w:p>
    <w:p>
      <w:pPr>
        <w:pStyle w:val="BookText"/>
      </w:pPr>
      <w:r>
        <w:rPr>
          <w:rFonts w:ascii="IRNazanin" w:hAnsi="IRNazanin" w:eastAsia="IRNazanin" w:cs="IRNazanin"/>
          <w:lang w:bidi="fa-IR"/>
          <w:color w:val="111111"/>
          <w:sz w:val="28"/>
          <w:szCs w:val="28"/>
          <w:rtl/>
        </w:rPr>
        <w:t xml:space="preserve">در این کشورهای کتاب سیاست بازی های دولت انگلیس با دیگر خارجی از جمله آلمان، فرانسه، افغانستان، مراکش،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02" w:name="pg20363_209563"/>
    <w:bookmarkEnd w:id="302"/>
    <w:p>
      <w:pPr>
        <w:pStyle w:val="BookText"/>
      </w:pPr>
      <w:r>
        <w:rPr>
          <w:rFonts w:ascii="IRNazanin" w:hAnsi="IRNazanin" w:eastAsia="IRNazanin" w:cs="IRNazanin"/>
          <w:lang w:bidi="fa-IR"/>
          <w:color w:val="111111"/>
          <w:sz w:val="28"/>
          <w:szCs w:val="28"/>
          <w:rtl/>
        </w:rPr>
        <w:t xml:space="preserve">مصر، جزیره هاتی، سودان، هند و ترکیه را در دوازده «فصل» توضیح می دهد. در پایان کتاب نگارنده بنا به درخواست ظل السلطان تاریخچه مقداری از مدارس علمیه اصفهان را در ۱۸ «باب» توضیح می دهد.</w:t>
      </w:r>
    </w:p>
    <w:p>
      <w:pPr>
        <w:pStyle w:val="BookText"/>
      </w:pPr>
      <w:r>
        <w:rPr>
          <w:rFonts w:ascii="IRNazanin" w:hAnsi="IRNazanin" w:eastAsia="IRNazanin" w:cs="IRNazanin"/>
          <w:lang w:bidi="fa-IR"/>
          <w:color w:val="111111"/>
          <w:sz w:val="28"/>
          <w:szCs w:val="28"/>
          <w:rtl/>
        </w:rPr>
        <w:t xml:space="preserve">اصفهان؛ صارم الدوله (كتابخانه فرهنگ اصفهان)، شماره نسخه: ۱۰۷۴</w:t>
      </w:r>
    </w:p>
    <w:p>
      <w:pPr>
        <w:pStyle w:val="BookText"/>
      </w:pPr>
      <w:r>
        <w:rPr>
          <w:rFonts w:ascii="IRNazanin" w:hAnsi="IRNazanin" w:eastAsia="IRNazanin" w:cs="IRNazanin"/>
          <w:lang w:bidi="fa-IR"/>
          <w:color w:val="111111"/>
          <w:sz w:val="28"/>
          <w:szCs w:val="28"/>
          <w:rtl/>
        </w:rPr>
        <w:t xml:space="preserve">آغاز: به تحقیق تحفه فرستاده است به ستودن و ثنا؛ انجام: میرزا باقر از اعیان شهر بوده است</w:t>
      </w:r>
    </w:p>
    <w:p>
      <w:pPr>
        <w:pStyle w:val="BookText"/>
      </w:pPr>
      <w:r>
        <w:rPr>
          <w:rFonts w:ascii="IRNazanin" w:hAnsi="IRNazanin" w:eastAsia="IRNazanin" w:cs="IRNazanin"/>
          <w:lang w:bidi="fa-IR"/>
          <w:color w:val="111111"/>
          <w:sz w:val="28"/>
          <w:szCs w:val="28"/>
          <w:rtl/>
        </w:rPr>
        <w:t xml:space="preserve">خط: شکسته نستعلیق، بی کا، بی تا؛ اهدایی: اكبر مسعود، ۱۳۴۴ش؛ جلد: مقوایی با روکش تیماج قهوه ای ضربی، ۸۶ص، ۱۷ سطر،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۱۶۶]</w:t>
      </w:r>
    </w:p>
    <w:p>
      <w:pPr>
        <w:pStyle w:val="Heading3"/>
      </w:pPr>
      <w:bookmarkStart w:id="1752" w:name="_Toc1012"/>
      <w:r>
        <w:t>• پنج آهنگ / متفرقه / فارسی</w:t>
      </w:r>
      <w:bookmarkEnd w:id="1752"/>
    </w:p>
    <w:p>
      <w:pPr>
        <w:pStyle w:val="BookText"/>
      </w:pPr>
      <w:r>
        <w:rPr>
          <w:rFonts w:ascii="Times New Roman" w:hAnsi="Times New Roman" w:eastAsia="Times New Roman" w:cs="Times New Roman"/>
          <w:lang w:val="en-US" w:bidi="en-US"/>
          <w:color w:val="111111"/>
          <w:sz w:val="28"/>
          <w:szCs w:val="28"/>
          <w:rtl/>
        </w:rPr>
        <w:t xml:space="preserve">panj āhang</w:t>
      </w:r>
    </w:p>
    <w:p>
      <w:pPr>
        <w:pStyle w:val="BookText"/>
      </w:pPr>
      <w:r>
        <w:rPr>
          <w:rFonts w:ascii="IRNazanin" w:hAnsi="IRNazanin" w:eastAsia="IRNazanin" w:cs="IRNazanin"/>
          <w:lang w:bidi="fa-IR"/>
          <w:color w:val="111111"/>
          <w:sz w:val="28"/>
          <w:szCs w:val="28"/>
          <w:rtl/>
        </w:rPr>
        <w:t xml:space="preserve">غالب دهلوی، اسدالله بن عبد الله، ۱۲۱۲-۱۲۸۶ قمری</w:t>
      </w:r>
    </w:p>
    <w:p>
      <w:pPr>
        <w:pStyle w:val="BookText"/>
      </w:pPr>
      <w:r>
        <w:rPr>
          <w:rFonts w:ascii="Times New Roman" w:hAnsi="Times New Roman" w:eastAsia="Times New Roman" w:cs="Times New Roman"/>
          <w:lang w:val="en-US" w:bidi="en-US"/>
          <w:color w:val="111111"/>
          <w:sz w:val="28"/>
          <w:szCs w:val="28"/>
          <w:rtl/>
        </w:rPr>
        <w:t xml:space="preserve">qāleb-e dehlavī, asad-ol-lāh ebn-e ‘abd-ol-lāh (1798 1870)</w:t>
      </w:r>
    </w:p>
    <w:p>
      <w:pPr>
        <w:pStyle w:val="BookText"/>
      </w:pPr>
      <w:r>
        <w:rPr>
          <w:rFonts w:ascii="IRNazanin" w:hAnsi="IRNazanin" w:eastAsia="IRNazanin" w:cs="IRNazanin"/>
          <w:lang w:bidi="fa-IR"/>
          <w:color w:val="111111"/>
          <w:sz w:val="28"/>
          <w:szCs w:val="28"/>
          <w:rtl/>
        </w:rPr>
        <w:t xml:space="preserve">منشآتی است که به مناسبت های گوناگون ساخته و میرزا على بخش خان رنجور فرزند الهی بخش خان آنها را به اضافه دستور نامه نگاری در پنج « آهنگ» گرد آورده است: ۱. القاب و آداب و مراتب متعلقه آن؛ ۲. مصادر و مصطلحات و لغات فارسی؛ ۳. اشعار مکتوبی منتخب از دیوان غالب؛ ۴. خطب و کتب و تقاريظ و عبارات متفرقه؛ ۵. مکاتبات. چاپ: حیدر آباد دکن، ۱۳۲۸ق، سنگی، رقعی، ۱۵۲ص</w:t>
      </w:r>
    </w:p>
    <w:p>
      <w:pPr>
        <w:pStyle w:val="BookText"/>
      </w:pPr>
      <w:r>
        <w:rPr>
          <w:rFonts w:ascii="IRNazanin" w:hAnsi="IRNazanin" w:eastAsia="IRNazanin" w:cs="IRNazanin"/>
          <w:lang w:bidi="fa-IR"/>
          <w:color w:val="111111"/>
          <w:sz w:val="28"/>
          <w:szCs w:val="28"/>
          <w:rtl/>
        </w:rPr>
        <w:t xml:space="preserve">[ دنا ۶۳۶/۲ ؛ مشار فارسی ۱۲۴/۱ ]</w:t>
      </w:r>
    </w:p>
    <w:p>
      <w:pPr>
        <w:pStyle w:val="BookText"/>
      </w:pPr>
      <w:r>
        <w:rPr>
          <w:rFonts w:ascii="IRNazanin" w:hAnsi="IRNazanin" w:eastAsia="IRNazanin" w:cs="IRNazanin"/>
          <w:lang w:bidi="fa-IR"/>
          <w:color w:val="111111"/>
          <w:sz w:val="28"/>
          <w:szCs w:val="28"/>
          <w:rtl/>
        </w:rPr>
        <w:t xml:space="preserve">قم؛ مرعشی؛ شماره نسخه: ۳۱۸۵</w:t>
      </w:r>
    </w:p>
    <w:p>
      <w:pPr>
        <w:pStyle w:val="BookText"/>
      </w:pPr>
      <w:r>
        <w:rPr>
          <w:rFonts w:ascii="IRNazanin" w:hAnsi="IRNazanin" w:eastAsia="IRNazanin" w:cs="IRNazanin"/>
          <w:lang w:bidi="fa-IR"/>
          <w:color w:val="111111"/>
          <w:sz w:val="28"/>
          <w:szCs w:val="28"/>
          <w:rtl/>
        </w:rPr>
        <w:t xml:space="preserve">آغاز: بعد تقدیم نیایش داد جهان آفرین و تمهید ستایش حضرت سید المرسلين. افتاده: آمدند و آن گرم و سرد روزگار نادیده و بی سعی و تلاش بدولت رسیده را برنگ خود آوردند؛ انجام: و هر ساز آهنگ دیگر دارد از دیده و دانست دیگران چشم پوشند و در افزون آگاهی خویش کوشند خط: نستعلیق، كا: سرفراز علی، تا: ۲۴ رجب ۱۲۷۸ق، جان مقام بنارس؛ به دستور میرزا محمد سعيد الله صاحب؛ افتادگی: آغاز؛ جلد: مقوایی عطف تیماج قهوه ای، ۱۸۷گ، ۱۳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۸-۴۰۷]</w:t>
      </w:r>
    </w:p>
    <w:p>
      <w:pPr>
        <w:pStyle w:val="Heading3"/>
      </w:pPr>
      <w:bookmarkStart w:id="1753" w:name="_Toc1013"/>
      <w:r>
        <w:t>•پنجاتنترا / ادبیات</w:t>
      </w:r>
      <w:bookmarkEnd w:id="1753"/>
    </w:p>
    <w:p>
      <w:pPr>
        <w:pStyle w:val="BookText"/>
      </w:pPr>
      <w:r>
        <w:rPr>
          <w:rFonts w:ascii="Times New Roman" w:hAnsi="Times New Roman" w:eastAsia="Times New Roman" w:cs="Times New Roman"/>
          <w:lang w:val="en-US" w:bidi="en-US"/>
          <w:color w:val="111111"/>
          <w:sz w:val="28"/>
          <w:szCs w:val="28"/>
          <w:rtl/>
        </w:rPr>
        <w:t xml:space="preserve">panjātantarā</w:t>
      </w:r>
    </w:p>
    <w:p>
      <w:pPr>
        <w:pStyle w:val="BookText"/>
      </w:pPr>
      <w:r>
        <w:rPr>
          <w:rFonts w:ascii="IRNazanin" w:hAnsi="IRNazanin" w:eastAsia="IRNazanin" w:cs="IRNazanin"/>
          <w:lang w:bidi="fa-IR"/>
          <w:color w:val="111111"/>
          <w:sz w:val="28"/>
          <w:szCs w:val="28"/>
          <w:rtl/>
        </w:rPr>
        <w:t xml:space="preserve">تهران؛ مینوی؛ شماره نسخه: ۳۶۶بخش۳ و ۳۶۷ بخش ۳</w:t>
      </w:r>
    </w:p>
    <w:p>
      <w:pPr>
        <w:pStyle w:val="BookText"/>
      </w:pPr>
      <w:r>
        <w:rPr>
          <w:rFonts w:ascii="IRNazanin" w:hAnsi="IRNazanin" w:eastAsia="IRNazanin" w:cs="IRNazanin"/>
          <w:lang w:bidi="fa-IR"/>
          <w:color w:val="111111"/>
          <w:sz w:val="28"/>
          <w:szCs w:val="28"/>
          <w:rtl/>
        </w:rPr>
        <w:t xml:space="preserve">تأثیر آن در ادب و فلکلر از بنفی </w:t>
      </w:r>
      <w:r>
        <w:rPr>
          <w:rFonts w:ascii="Times New Roman" w:hAnsi="Times New Roman" w:eastAsia="Times New Roman" w:cs="Times New Roman"/>
          <w:lang w:val="en-US" w:bidi="en-US"/>
          <w:color w:val="111111"/>
          <w:sz w:val="28"/>
          <w:szCs w:val="28"/>
          <w:rtl/>
        </w:rPr>
        <w:t xml:space="preserve">Benfey </w:t>
      </w:r>
      <w:r>
        <w:rPr>
          <w:rFonts w:ascii="IRNazanin" w:hAnsi="IRNazanin" w:eastAsia="IRNazanin" w:cs="IRNazanin"/>
          <w:lang w:bidi="fa-IR"/>
          <w:color w:val="111111"/>
          <w:sz w:val="28"/>
          <w:szCs w:val="28"/>
          <w:rtl/>
        </w:rPr>
        <w:t xml:space="preserve">ترجمه .</w:t>
      </w:r>
      <w:r>
        <w:rPr>
          <w:rFonts w:ascii="Times New Roman" w:hAnsi="Times New Roman" w:eastAsia="Times New Roman" w:cs="Times New Roman"/>
          <w:lang w:val="en-US" w:bidi="en-US"/>
          <w:color w:val="111111"/>
          <w:sz w:val="28"/>
          <w:szCs w:val="28"/>
          <w:rtl/>
        </w:rPr>
        <w:t xml:space="preserve">Dean S Fasnsler. </w:t>
      </w:r>
      <w:r>
        <w:rPr>
          <w:rFonts w:ascii="IRNazanin" w:hAnsi="IRNazanin" w:eastAsia="IRNazanin" w:cs="IRNazanin"/>
          <w:lang w:bidi="fa-IR"/>
          <w:color w:val="111111"/>
          <w:sz w:val="28"/>
          <w:szCs w:val="28"/>
          <w:rtl/>
        </w:rPr>
        <w:t xml:space="preserve">چاپ ۱۸۵۹ عکس نسخه ماشینی)؛ بی کا، بی تا [ف: ۱۵۴]</w:t>
      </w:r>
    </w:p>
    <w:p>
      <w:pPr>
        <w:pStyle w:val="BookText"/>
      </w:pPr>
      <w:r>
        <w:rPr>
          <w:rFonts w:ascii="IRNazanin" w:hAnsi="IRNazanin" w:eastAsia="IRNazanin" w:cs="IRNazanin"/>
          <w:lang w:bidi="fa-IR"/>
          <w:color w:val="111111"/>
          <w:sz w:val="28"/>
          <w:szCs w:val="28"/>
          <w:rtl/>
        </w:rPr>
        <w:t xml:space="preserve">← پنجاه باب در اسطرلاب ← ارشاد در علم اسطرلاب</w:t>
      </w:r>
    </w:p>
    <w:p>
      <w:pPr>
        <w:pStyle w:val="Heading3"/>
      </w:pPr>
      <w:bookmarkStart w:id="1754" w:name="_Toc1014"/>
      <w:r>
        <w:t>• پنجاه باب سلطانی / اسطرلاب / فارسی</w:t>
      </w:r>
      <w:bookmarkEnd w:id="1754"/>
    </w:p>
    <w:p>
      <w:pPr>
        <w:pStyle w:val="BookText"/>
      </w:pPr>
      <w:r>
        <w:rPr>
          <w:rFonts w:ascii="Times New Roman" w:hAnsi="Times New Roman" w:eastAsia="Times New Roman" w:cs="Times New Roman"/>
          <w:lang w:val="en-US" w:bidi="en-US"/>
          <w:color w:val="111111"/>
          <w:sz w:val="28"/>
          <w:szCs w:val="28"/>
          <w:rtl/>
        </w:rPr>
        <w:t xml:space="preserve">panjāh bāb-e soltānī</w:t>
      </w:r>
    </w:p>
    <w:p>
      <w:pPr>
        <w:pStyle w:val="BookText"/>
      </w:pPr>
      <w:r>
        <w:rPr>
          <w:rFonts w:ascii="IRNazanin" w:hAnsi="IRNazanin" w:eastAsia="IRNazanin" w:cs="IRNazanin"/>
          <w:lang w:bidi="fa-IR"/>
          <w:color w:val="111111"/>
          <w:sz w:val="28"/>
          <w:szCs w:val="28"/>
          <w:rtl/>
        </w:rPr>
        <w:t xml:space="preserve">رکن الدین آملی، ركن الدين بن اشرف، ۸۰۰-ق۹ قمری</w:t>
      </w:r>
    </w:p>
    <w:p>
      <w:pPr>
        <w:pStyle w:val="BookText"/>
      </w:pPr>
      <w:r>
        <w:rPr>
          <w:rFonts w:ascii="Times New Roman" w:hAnsi="Times New Roman" w:eastAsia="Times New Roman" w:cs="Times New Roman"/>
          <w:lang w:val="en-US" w:bidi="en-US"/>
          <w:color w:val="111111"/>
          <w:sz w:val="28"/>
          <w:szCs w:val="28"/>
          <w:rtl/>
        </w:rPr>
        <w:t xml:space="preserve">rokn-o-dīn-e āmolī, rokn-o-dīn ebn-e ašraf (1398-15c)</w:t>
      </w:r>
    </w:p>
    <w:p>
      <w:pPr>
        <w:pStyle w:val="BookText"/>
      </w:pPr>
      <w:r>
        <w:rPr>
          <w:rFonts w:ascii="IRNazanin" w:hAnsi="IRNazanin" w:eastAsia="IRNazanin" w:cs="IRNazanin"/>
          <w:lang w:bidi="fa-IR"/>
          <w:color w:val="111111"/>
          <w:sz w:val="28"/>
          <w:szCs w:val="28"/>
          <w:rtl/>
        </w:rPr>
        <w:t xml:space="preserve">اهدا به: ابوالقاسم بابر بهادر بن بایسنقر بن شاهرخ بن تيمور گوركان تاریخ تأليف: ۶ ربيع الثانی ۱۴۰ق؛ محل تأليف: دار السلطنه هرات در دو «مقالت» و ۵۰ «باب»، در اسطرلاب و استخراج تقويم. مؤلف در دیباچه از چند کار پیشینیان در اسطرلاب نام می برد و می نویسد که خود چند اسطرلاب تمام و غیر تمام جهت امرا و سلاطین ساخت و کره فلک را با اسطرلاب کری و ربع مجيب و مقنطرات و اسطرلاب مسطح به طريقة اختراع ... نوشت و زیج مفتاح الاعمال را به رصد مراغه و افق شیراز تصنیف کرد ... و مدت بیست سال است که رساله کره مرکب و زیج مذکور به اتمام رسیده است. سپس از سفر خود به هند و اینکه از محنت آباد رهایی یافته و آنگاه از سفر به کرمان و دولت آباد هرات یاد می کند. فهرست مقالات و بابها: مقالت یکم، در ذکر مسائل و اعمال اسطرلاب بر صفايح بلاد، در سی و هشت «باب»: ۱. تعريف القاب آلات و خطوط و دوایر اسطرلاب، ... ۵. معرفت ارتفاع کواکب از طالع وقت، ... ۱۰. استخراج تقویم قمر و زحل و مشتری، ... ۱۵. معرفت تسییرات، ... ۲۰. بیان ساعات مستوى و معوج و اجزای آن، ... ۲۵. معرفت درجات طلوع و غروب و مطالع کواکب به بلد، ... ۳۰. معرفت ارتفاع قطب فلک البروج و جهات آن، ... ۳۵. معرفت خط نصف النهار و سمت قبله و مساحت آن، ... ۳۸. معرفت پهنای رود و خندق؛ مقالت دوم، در ذکر مسائل و اعمال گذشته بر صحیفه آفاقی، در دوازده «باب»: .. سبب وضع صحيفه آفاقی، ... ۵. معرفت طالع از دایره ساعات، .. ۱۰. معرفت طلوع و غروب معکوس و مقدمات آن، ... ۱۲. معرفت بعضی از کواکب ثابته از جهت ارتفاع گرفتن. (احمد منزوی) آغاز: بسمله، و به ثقتی است و ثنای بی عد حضرت واجب التعظیمی راجل جلاله که آسمان ... اما بعد چنین گوید محرر این رساله و مقرر این مقاله افقر عباد الله الولي ركن الدين بن شرف الدين الحسيني الآملی. انجام: هم توان شناخت چنانکه در اشتباه نیفتد و جدول اینست و الله اعلم بحقايق الموجودات.</w:t>
      </w:r>
    </w:p>
    <w:p>
      <w:pPr>
        <w:pStyle w:val="BookText"/>
      </w:pPr>
      <w:r>
        <w:rPr>
          <w:rFonts w:ascii="IRNazanin" w:hAnsi="IRNazanin" w:eastAsia="IRNazanin" w:cs="IRNazanin"/>
          <w:lang w:bidi="fa-IR"/>
          <w:color w:val="111111"/>
          <w:sz w:val="28"/>
          <w:szCs w:val="28"/>
          <w:rtl/>
        </w:rPr>
        <w:t xml:space="preserve">[ الذريعة ۱۹۸/۳ ؛ نسخه های منزوی ۲۴۹/۱ (۱۳ نسخه)؛ مشترک پاکستان ۲۵۱/۱ ؛ فهرستواره منزوی ۲۸۳۷/۴ ؛ دنا ۶۳۶/۲ (۳۲ نسخه)]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 تهران؛ ملک؛ شماره نسخه: ۳۲۲۸/۳</w:t>
      </w:r>
    </w:p>
    <w:p>
      <w:pPr>
        <w:pStyle w:val="BookText"/>
      </w:pPr>
      <w:r>
        <w:rPr>
          <w:rFonts w:ascii="IRNazanin" w:hAnsi="IRNazanin" w:eastAsia="IRNazanin" w:cs="IRNazanin"/>
          <w:lang w:bidi="fa-IR"/>
          <w:color w:val="111111"/>
          <w:sz w:val="28"/>
          <w:szCs w:val="28"/>
          <w:rtl/>
        </w:rPr>
        <w:t xml:space="preserve">خط: نسخ، كا: احمد بن محمود بن مجدالدین حسینی، بی تا، جا: هرات؛ آغاز تازه نویس و پایان مورخ شنبه ۱۲ رجب ۱۸۶۱ جلد: میشن لایی قهوه ای، ۱۴ سطر، اندازه: ۲۰/۳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۱۲/۳ سم [ف: ۶-۳۱۰]</w:t>
      </w:r>
    </w:p>
    <w:p>
      <w:pPr>
        <w:pStyle w:val="BookText"/>
      </w:pPr>
      <w:r>
        <w:rPr>
          <w:rFonts w:ascii="IRNazanin" w:hAnsi="IRNazanin" w:eastAsia="IRNazanin" w:cs="IRNazanin"/>
          <w:lang w:bidi="fa-IR"/>
          <w:color w:val="111111"/>
          <w:sz w:val="28"/>
          <w:szCs w:val="28"/>
          <w:rtl/>
        </w:rPr>
        <w:t xml:space="preserve">۲. تهران: باقر رقت (ترقی)؛ شماره نسخه: بدون شماره/۱</w:t>
      </w:r>
    </w:p>
    <w:p>
      <w:pPr>
        <w:pStyle w:val="BookText"/>
      </w:pPr>
      <w:r>
        <w:rPr>
          <w:rFonts w:ascii="IRNazanin" w:hAnsi="IRNazanin" w:eastAsia="IRNazanin" w:cs="IRNazanin"/>
          <w:lang w:bidi="fa-IR"/>
          <w:color w:val="111111"/>
          <w:sz w:val="28"/>
          <w:szCs w:val="28"/>
          <w:rtl/>
        </w:rPr>
        <w:t xml:space="preserve">بی کا، تا: قرن ۹ [میراث اسلامی: ۵-۶۲۵]</w:t>
      </w:r>
    </w:p>
    <w:p>
      <w:pPr>
        <w:pStyle w:val="BookText"/>
      </w:pPr>
      <w:r>
        <w:rPr>
          <w:rFonts w:ascii="IRNazanin" w:hAnsi="IRNazanin" w:eastAsia="IRNazanin" w:cs="IRNazanin"/>
          <w:lang w:bidi="fa-IR"/>
          <w:color w:val="111111"/>
          <w:sz w:val="28"/>
          <w:szCs w:val="28"/>
          <w:rtl/>
        </w:rPr>
        <w:t xml:space="preserve">٣. قم؛ مرعشی؛ شماره نسخه: ۹۰۱۶/۳</w:t>
      </w:r>
    </w:p>
    <w:p>
      <w:pPr>
        <w:pStyle w:val="BookText"/>
      </w:pPr>
      <w:r>
        <w:rPr>
          <w:rFonts w:ascii="IRNazanin" w:hAnsi="IRNazanin" w:eastAsia="IRNazanin" w:cs="IRNazanin"/>
          <w:lang w:bidi="fa-IR"/>
          <w:color w:val="111111"/>
          <w:sz w:val="28"/>
          <w:szCs w:val="28"/>
          <w:rtl/>
        </w:rPr>
        <w:t xml:space="preserve">خط: نستعلیق، کا: سليمان موسوی، تا: قرن ۱۰؛ جلد: تیماج مشکی، ۵۴گ (۷۷ر-۱۳۰پ)، ۱۵ سطر، اندازه: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۲۰/۵سم [ف: ۲۳-۱۷۰]</w:t>
      </w:r>
    </w:p>
    <w:p>
      <w:pPr>
        <w:pStyle w:val="BookText"/>
      </w:pPr>
      <w:r>
        <w:rPr>
          <w:rFonts w:ascii="IRNazanin" w:hAnsi="IRNazanin" w:eastAsia="IRNazanin" w:cs="IRNazanin"/>
          <w:lang w:bidi="fa-IR"/>
          <w:color w:val="111111"/>
          <w:sz w:val="28"/>
          <w:szCs w:val="28"/>
          <w:rtl/>
        </w:rPr>
        <w:t xml:space="preserve">4 . تهران؛ مجلس؛ شماره نسخه: ۷۶۶/۵ - طباطبائی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تا: قرن ۱۰؛ کاغذ: اصفهانی نخودی رنگ، جلد: تیماج نیلی دارای ترنج و نیم ترنج ضربی، ۲۶ص (۱۰۹-۱۳۴)، ۱۵ و ۲۸ سطر، قطع: رقعی،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۲۳-۵۱]</w:t>
      </w:r>
    </w:p>
    <w:p>
      <w:pPr>
        <w:pStyle w:val="BookText"/>
      </w:pPr>
      <w:r>
        <w:rPr>
          <w:rFonts w:ascii="IRNazanin" w:hAnsi="IRNazanin" w:eastAsia="IRNazanin" w:cs="IRNazanin"/>
          <w:lang w:bidi="fa-IR"/>
          <w:color w:val="111111"/>
          <w:sz w:val="28"/>
          <w:szCs w:val="28"/>
          <w:rtl/>
        </w:rPr>
        <w:t xml:space="preserve">۵. تهران؛ مجلس؛ شماره نسخه: ۶۰۴۲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۱۰ یا اوایل ۱۱ق؛ کاغذ: شکری ضخیم، جلد: تیماج مشکی، ۱۷ سطر، اندازه: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19]</w:t>
      </w:r>
    </w:p>
    <w:p>
      <w:pPr>
        <w:pStyle w:val="BookText"/>
      </w:pPr>
      <w:r>
        <w:rPr>
          <w:rFonts w:ascii="IRNazanin" w:hAnsi="IRNazanin" w:eastAsia="IRNazanin" w:cs="IRNazanin"/>
          <w:lang w:bidi="fa-IR"/>
          <w:color w:val="111111"/>
          <w:sz w:val="28"/>
          <w:szCs w:val="28"/>
          <w:rtl/>
        </w:rPr>
        <w:t xml:space="preserve">۶. قم؛ مرعشی؛ شماره نسخه: ۱۳۹۵</w:t>
      </w:r>
    </w:p>
    <w:p>
      <w:pPr>
        <w:pStyle w:val="BookText"/>
      </w:pPr>
      <w:r>
        <w:rPr>
          <w:rFonts w:ascii="IRNazanin" w:hAnsi="IRNazanin" w:eastAsia="IRNazanin" w:cs="IRNazanin"/>
          <w:lang w:bidi="fa-IR"/>
          <w:color w:val="111111"/>
          <w:sz w:val="28"/>
          <w:szCs w:val="28"/>
          <w:rtl/>
        </w:rPr>
        <w:t xml:space="preserve">آغاز: اسطرلاب و بلندی اشخاص مرتفع که بمسقط الحجر آن توان رسیدن بی اسطرلاب و آفتاب، مقاله دوم: انجام: برابر دارای مقاله دوم است که دوازده باب می باشد؛ خط: نستعلیق، كان سالک الدین محمد بن مؤيد حموی، تا: شنبه ۶ شعبان ۹۸۲ق؛ افتادگی: آغاز؛ از روی نسخه ای که از نسخه اصل نوشته شده بود؛ جلد: مقوایی عطف تیماج قرمز، ۶۵گ، ۱۷ سطر،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سم [ف: ۴-۱۶۸]</w:t>
      </w:r>
    </w:p>
    <w:p>
      <w:pPr>
        <w:pStyle w:val="BookText"/>
      </w:pPr>
      <w:r>
        <w:rPr>
          <w:rFonts w:ascii="IRNazanin" w:hAnsi="IRNazanin" w:eastAsia="IRNazanin" w:cs="IRNazanin"/>
          <w:lang w:bidi="fa-IR"/>
          <w:color w:val="111111"/>
          <w:sz w:val="28"/>
          <w:szCs w:val="28"/>
          <w:rtl/>
        </w:rPr>
        <w:t xml:space="preserve">۷. تهران: ملک؛ شماره نسخه: ۳۰۸۲</w:t>
      </w:r>
    </w:p>
    <w:p>
      <w:pPr>
        <w:pStyle w:val="BookText"/>
      </w:pPr>
      <w:r>
        <w:rPr>
          <w:rFonts w:ascii="IRNazanin" w:hAnsi="IRNazanin" w:eastAsia="IRNazanin" w:cs="IRNazanin"/>
          <w:lang w:bidi="fa-IR"/>
          <w:color w:val="111111"/>
          <w:sz w:val="28"/>
          <w:szCs w:val="28"/>
          <w:rtl/>
        </w:rPr>
        <w:t xml:space="preserve">خط: نستعلیق، بی کا، تا: قرن ۱۱؛ مجدول؛ کاغذ: کاغذ ترمه، جلد: میشن آلبالویی، ۱۰۲گ، ۱۷ سطر، اندازه: ۱۹/۲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[ف: ۶۸-۲ ]</w:t>
      </w:r>
    </w:p>
    <w:p>
      <w:pPr>
        <w:pStyle w:val="BookText"/>
      </w:pPr>
      <w:r>
        <w:rPr>
          <w:rFonts w:ascii="IRNazanin" w:hAnsi="IRNazanin" w:eastAsia="IRNazanin" w:cs="IRNazanin"/>
          <w:lang w:bidi="fa-IR"/>
          <w:color w:val="111111"/>
          <w:sz w:val="28"/>
          <w:szCs w:val="28"/>
          <w:rtl/>
        </w:rPr>
        <w:t xml:space="preserve">۸. مشهد؛ رضوی؛ شماره نسخه: ۵۲۴۸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۱۱؛ تملک: محمد امین بن محمد على استرابادی در ذیقعده ۱۰۹۷؛ از ۱۱۹۶ تا ۱۲۸۹ هشت نوبت داخل عرض شده است؛ واقف: نادرشاه افشار، ۱۱۴۵؛ کاغذ: شکری آهار مهره، جلد: پارچه یی، ۵۱، ۱۶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اندازه: ۱۵/۹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۲۴/۵سم [ف: ۸-۵۴]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مجلس؛ شماره نسخه: ۵۴۲۷/۲</w:t>
      </w:r>
    </w:p>
    <w:p>
      <w:pPr>
        <w:pStyle w:val="BookText"/>
      </w:pPr>
      <w:r>
        <w:rPr>
          <w:rFonts w:ascii="IRNazanin" w:hAnsi="IRNazanin" w:eastAsia="IRNazanin" w:cs="IRNazanin"/>
          <w:lang w:bidi="fa-IR"/>
          <w:color w:val="111111"/>
          <w:sz w:val="28"/>
          <w:szCs w:val="28"/>
          <w:rtl/>
        </w:rPr>
        <w:t xml:space="preserve">خط: نستعلیق، بی کا، تا: قرن ۱۱؛ کاغذ: اصفهانی، جلد: تیماج یک لا آلبالویی، ۱۷سطر،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۱۶-۳۳۲]</w:t>
      </w:r>
    </w:p>
    <w:p>
      <w:pPr>
        <w:pStyle w:val="BookText"/>
      </w:pPr>
      <w:r>
        <w:rPr>
          <w:rFonts w:ascii="IRNazanin" w:hAnsi="IRNazanin" w:eastAsia="IRNazanin" w:cs="IRNazanin"/>
          <w:lang w:bidi="fa-IR"/>
          <w:color w:val="111111"/>
          <w:sz w:val="28"/>
          <w:szCs w:val="28"/>
          <w:rtl/>
        </w:rPr>
        <w:t xml:space="preserve">۱۰. شیراز؛ علامه طباطبائی؛ شماره نسخه: ۵۶۶</w:t>
      </w:r>
    </w:p>
    <w:p>
      <w:pPr>
        <w:pStyle w:val="BookText"/>
      </w:pPr>
      <w:r>
        <w:rPr>
          <w:rFonts w:ascii="IRNazanin" w:hAnsi="IRNazanin" w:eastAsia="IRNazanin" w:cs="IRNazanin"/>
          <w:lang w:bidi="fa-IR"/>
          <w:color w:val="111111"/>
          <w:sz w:val="28"/>
          <w:szCs w:val="28"/>
          <w:rtl/>
        </w:rPr>
        <w:t xml:space="preserve">پنج آهنگ - پنجاه باب ۴۳۷</w:t>
      </w:r>
    </w:p>
    <w:p>
      <w:pPr>
        <w:pStyle w:val="BookText"/>
      </w:pPr>
      <w:r>
        <w:rPr>
          <w:rFonts w:ascii="IRNazanin" w:hAnsi="IRNazanin" w:eastAsia="IRNazanin" w:cs="IRNazanin"/>
          <w:lang w:bidi="fa-IR"/>
          <w:color w:val="111111"/>
          <w:sz w:val="28"/>
          <w:szCs w:val="28"/>
          <w:rtl/>
        </w:rPr>
        <w:t xml:space="preserve">خط: نستعلیق، بی کا، تا: قرن ۱۱، ۱۱۶ گ،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[نسخه پژوهی: ۲-۱۲۰] ۱۱. مشهد؛ رضوی؛ شماره نسخه: ۵۴۴۱</w:t>
      </w:r>
    </w:p>
    <w:p>
      <w:pPr>
        <w:pStyle w:val="BookText"/>
      </w:pPr>
      <w:r>
        <w:rPr>
          <w:rFonts w:ascii="IRNazanin" w:hAnsi="IRNazanin" w:eastAsia="IRNazanin" w:cs="IRNazanin"/>
          <w:lang w:bidi="fa-IR"/>
          <w:color w:val="111111"/>
          <w:sz w:val="28"/>
          <w:szCs w:val="28"/>
          <w:rtl/>
        </w:rPr>
        <w:t xml:space="preserve">آغاز و انجام: برابر خط: نستعلیق، بی کا، تا: رجب ۱۰۵۸ق، در آغاز نه صفحه تتمه رساله ای است در تقویم کواکب مشتمل بر دوازده جلوه، آغاز موجود: «متحيره متحركست و حرکت او در اعلى بخلاف توالی اسرع از حرکت حامل نیست»، انجام: «و از وسط هر اقلیمی تا طرفش ربع الاول اول و آخر آخر»، و از صفحه دهم پنجاه باب سلطانی شروع می شود؛ واقف: حاج عماد فهرستی، تیر ۱۳۱۰؛ کاغذ: نخودی، جلد: پارچه ای، ۸۴گی*، ۱۵ سطر (</w:t>
      </w:r>
    </w:p>
    <w:p>
      <w:pPr>
        <w:pStyle w:val="BookText"/>
      </w:pPr>
      <w:r>
        <w:rPr>
          <w:rFonts w:ascii="IRNazanin" w:hAnsi="IRNazanin" w:eastAsia="IRNazanin" w:cs="IRNazanin"/>
          <w:lang w:bidi="fa-IR"/>
          <w:color w:val="111111"/>
          <w:sz w:val="28"/>
          <w:szCs w:val="28"/>
          <w:rtl/>
        </w:rPr>
        <w:t xml:space="preserve">۱۴/۴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۲۰/۷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۸-۵۶]</w:t>
      </w:r>
    </w:p>
    <w:p>
      <w:pPr>
        <w:pStyle w:val="BookText"/>
      </w:pPr>
      <w:r>
        <w:rPr>
          <w:rFonts w:ascii="IRNazanin" w:hAnsi="IRNazanin" w:eastAsia="IRNazanin" w:cs="IRNazanin"/>
          <w:lang w:bidi="fa-IR"/>
          <w:color w:val="111111"/>
          <w:sz w:val="28"/>
          <w:szCs w:val="28"/>
          <w:rtl/>
        </w:rPr>
        <w:t xml:space="preserve">۱۲. تبریز؛ تربیت؛ شماره نسخه: ۸۳</w:t>
      </w:r>
    </w:p>
    <w:p>
      <w:pPr>
        <w:pStyle w:val="BookText"/>
      </w:pPr>
      <w:r>
        <w:rPr>
          <w:rFonts w:ascii="IRNazanin" w:hAnsi="IRNazanin" w:eastAsia="IRNazanin" w:cs="IRNazanin"/>
          <w:lang w:bidi="fa-IR"/>
          <w:color w:val="111111"/>
          <w:sz w:val="28"/>
          <w:szCs w:val="28"/>
          <w:rtl/>
        </w:rPr>
        <w:t xml:space="preserve">خط: نستعلیق خوب، کا: محسن صوفی تبریزی، تا: ۱۰۷۲ق [ف: ۲۱۶]</w:t>
      </w:r>
    </w:p>
    <w:p>
      <w:pPr>
        <w:pStyle w:val="BookText"/>
      </w:pPr>
      <w:r>
        <w:rPr>
          <w:rFonts w:ascii="IRNazanin" w:hAnsi="IRNazanin" w:eastAsia="IRNazanin" w:cs="IRNazanin"/>
          <w:lang w:bidi="fa-IR"/>
          <w:color w:val="111111"/>
          <w:sz w:val="28"/>
          <w:szCs w:val="28"/>
          <w:rtl/>
        </w:rPr>
        <w:t xml:space="preserve">۱۳. تهران؛ ملک؛ شماره نسخه: ۵۷۴۸/۲</w:t>
      </w:r>
    </w:p>
    <w:p>
      <w:pPr>
        <w:pStyle w:val="BookText"/>
      </w:pPr>
      <w:r>
        <w:rPr>
          <w:rFonts w:ascii="IRNazanin" w:hAnsi="IRNazanin" w:eastAsia="IRNazanin" w:cs="IRNazanin"/>
          <w:lang w:bidi="fa-IR"/>
          <w:color w:val="111111"/>
          <w:sz w:val="28"/>
          <w:szCs w:val="28"/>
          <w:rtl/>
        </w:rPr>
        <w:t xml:space="preserve">آغاز و انجام: برابر خط: نسخ، کا: اسدالله مشهور بامير بيک بن مرتضی حسینی سلامی عریضی، تا: چهارشنبه ۹ شعبان ۱۰۷۶ق، جان کازرون؛ دارای جدول نجومی؛ کاغذ: فستقی، جلد: میشن لایی تریاکی، ۱۶ سطر [ف: ۹-۱۸]</w:t>
      </w:r>
    </w:p>
    <w:p>
      <w:pPr>
        <w:pStyle w:val="BookText"/>
      </w:pPr>
      <w:r>
        <w:rPr>
          <w:rFonts w:ascii="IRNazanin" w:hAnsi="IRNazanin" w:eastAsia="IRNazanin" w:cs="IRNazanin"/>
          <w:lang w:bidi="fa-IR"/>
          <w:color w:val="111111"/>
          <w:sz w:val="28"/>
          <w:szCs w:val="28"/>
          <w:rtl/>
        </w:rPr>
        <w:t xml:space="preserve">۱۴. قم، گلپایگانی؛ شماره نسخه: ۴۴۳۷/۲ - ۲۲/۱۵۷</w:t>
      </w:r>
    </w:p>
    <w:p>
      <w:pPr>
        <w:pStyle w:val="BookText"/>
      </w:pPr>
      <w:r>
        <w:rPr>
          <w:rFonts w:ascii="IRNazanin" w:hAnsi="IRNazanin" w:eastAsia="IRNazanin" w:cs="IRNazanin"/>
          <w:lang w:bidi="fa-IR"/>
          <w:color w:val="111111"/>
          <w:sz w:val="28"/>
          <w:szCs w:val="28"/>
          <w:rtl/>
        </w:rPr>
        <w:t xml:space="preserve">آغاز: برابر؛ انجام: معلوم شد که از چه علت صبح کاذب بر این وجه ظاهر می شود و سبب استطالت نیز از آنجا معلوم شد ... عرض تراكم ظلمت زيادت شود والله اعلم خط: نستعلیق، بی کا، تا: ۱۷ رمضان ۱۰۷۹ق؛ جلد: مقوای کرم عطف پارچه، ۸۱گ، ۱۵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سم [ف: ۲-۶۶۵]</w:t>
      </w:r>
    </w:p>
    <w:p>
      <w:pPr>
        <w:pStyle w:val="BookText"/>
      </w:pPr>
      <w:r>
        <w:rPr>
          <w:rFonts w:ascii="IRNazanin" w:hAnsi="IRNazanin" w:eastAsia="IRNazanin" w:cs="IRNazanin"/>
          <w:lang w:bidi="fa-IR"/>
          <w:color w:val="111111"/>
          <w:sz w:val="28"/>
          <w:szCs w:val="28"/>
          <w:rtl/>
        </w:rPr>
        <w:t xml:space="preserve">۱۵. مشهد؛ گوهرشاد؛ شماره نسخه: ۸۴۳/۱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كان محمد حسن بن رفیع الدین عسگری رضوی، تا: ۱۰۸۸ق؛ دارای جداول نجومی؛ مهر: حاج سید سعید؛ جلد: تیماج قهوه ای ضربی، ۱۷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۱۲/۵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سم [ف: ۳-۱۱۴۴]</w:t>
      </w:r>
    </w:p>
    <w:p>
      <w:pPr>
        <w:pStyle w:val="BookText"/>
      </w:pPr>
      <w:r>
        <w:rPr>
          <w:rFonts w:ascii="IRNazanin" w:hAnsi="IRNazanin" w:eastAsia="IRNazanin" w:cs="IRNazanin"/>
          <w:lang w:bidi="fa-IR"/>
          <w:color w:val="111111"/>
          <w:sz w:val="28"/>
          <w:szCs w:val="28"/>
          <w:rtl/>
        </w:rPr>
        <w:t xml:space="preserve">۱۶. مشهد؛ رضوی؛ شماره نسخه: ۱۲۷۰۹/۲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تحریری، بی کا، تا: قرن ۱۲؛ کاغذ: آهاری شکری، اندازه: ۹/۵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۱۴/۵</w:t>
      </w:r>
    </w:p>
    <w:p>
      <w:pPr>
        <w:pStyle w:val="BookText"/>
      </w:pPr>
      <w:r>
        <w:rPr>
          <w:rFonts w:ascii="IRNazanin" w:hAnsi="IRNazanin" w:eastAsia="IRNazanin" w:cs="IRNazanin"/>
          <w:lang w:bidi="fa-IR"/>
          <w:color w:val="111111"/>
          <w:sz w:val="28"/>
          <w:szCs w:val="28"/>
          <w:rtl/>
        </w:rPr>
        <w:t xml:space="preserve">سم [ف: ۱۸-۱۳۱]</w:t>
      </w:r>
    </w:p>
    <w:p>
      <w:pPr>
        <w:pStyle w:val="BookText"/>
      </w:pPr>
      <w:r>
        <w:rPr>
          <w:rFonts w:ascii="IRNazanin" w:hAnsi="IRNazanin" w:eastAsia="IRNazanin" w:cs="IRNazanin"/>
          <w:lang w:bidi="fa-IR"/>
          <w:color w:val="111111"/>
          <w:sz w:val="28"/>
          <w:szCs w:val="28"/>
          <w:rtl/>
        </w:rPr>
        <w:t xml:space="preserve">۱۷. تهران؛ دانشگاه؛ شماره نسخه: ۳۹۵۹/۱</w:t>
      </w:r>
    </w:p>
    <w:p>
      <w:pPr>
        <w:pStyle w:val="BookText"/>
      </w:pPr>
      <w:r>
        <w:rPr>
          <w:rFonts w:ascii="IRNazanin" w:hAnsi="IRNazanin" w:eastAsia="IRNazanin" w:cs="IRNazanin"/>
          <w:lang w:bidi="fa-IR"/>
          <w:color w:val="111111"/>
          <w:sz w:val="28"/>
          <w:szCs w:val="28"/>
          <w:rtl/>
        </w:rPr>
        <w:t xml:space="preserve">خط: نستعلیق، بی کا، تا: قرن ۱۲؛ با حواشی وابکنوی؛ کاغذ: فرنگی، جلد: تیماج عنابی ضربی گرد سبز، ۴۹گ (۲ر -۵۰ر)، ۱۰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۱۲-۲۹۵۶]</w:t>
      </w:r>
    </w:p>
    <w:p>
      <w:pPr>
        <w:pStyle w:val="BookText"/>
      </w:pPr>
      <w:r>
        <w:rPr>
          <w:rFonts w:ascii="IRNazanin" w:hAnsi="IRNazanin" w:eastAsia="IRNazanin" w:cs="IRNazanin"/>
          <w:lang w:bidi="fa-IR"/>
          <w:color w:val="111111"/>
          <w:sz w:val="28"/>
          <w:szCs w:val="28"/>
          <w:rtl/>
        </w:rPr>
        <w:t xml:space="preserve">۱۸. مشهد؛ رضوی؛ شماره نسخه:۱۲۲۰۸/۴</w:t>
      </w:r>
    </w:p>
    <w:p>
      <w:pPr>
        <w:pStyle w:val="BookText"/>
      </w:pPr>
      <w:r>
        <w:rPr>
          <w:rFonts w:ascii="IRNazanin" w:hAnsi="IRNazanin" w:eastAsia="IRNazanin" w:cs="IRNazanin"/>
          <w:lang w:bidi="fa-IR"/>
          <w:color w:val="111111"/>
          <w:sz w:val="28"/>
          <w:szCs w:val="28"/>
          <w:rtl/>
        </w:rPr>
        <w:t xml:space="preserve">آغاز: بسمله، حمدله، أما بعد چون پاره اعمال محتاج اليه را مولانا نصیر الدین طوسی در بیست باب بیان فرموده بود؛ انجام: و طلوع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غروب کواکب بحر کت خاصه باشد نه بحرکت یومی والسلام على من اتبع الهدی</w:t>
      </w:r>
    </w:p>
    <w:p>
      <w:pPr>
        <w:pStyle w:val="BookText"/>
      </w:pPr>
      <w:r>
        <w:rPr>
          <w:rFonts w:ascii="IRNazanin" w:hAnsi="IRNazanin" w:eastAsia="IRNazanin" w:cs="IRNazanin"/>
          <w:lang w:bidi="fa-IR"/>
          <w:color w:val="111111"/>
          <w:sz w:val="28"/>
          <w:szCs w:val="28"/>
          <w:rtl/>
        </w:rPr>
        <w:t xml:space="preserve">این رساله که قسمتی از آنست فقط آن فقراتی را شامل است که ملا عبدالعلی بیرجندی در شرح خود بر بیست باب خواجه متعرض ذکر آنها شده و بشرح آنها پرداخته است؛ خط: نستعلیق شکسته، كان شريف رشتی، تا: ۱۱۱۸ق، کاغذ: شکری فرنگی، جلد: تیماج پشمی،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۱۷/۲ سم [ف: ۱۰-۱۰۰]</w:t>
      </w:r>
    </w:p>
    <w:p>
      <w:pPr>
        <w:pStyle w:val="BookText"/>
      </w:pPr>
      <w:r>
        <w:rPr>
          <w:rFonts w:ascii="IRNazanin" w:hAnsi="IRNazanin" w:eastAsia="IRNazanin" w:cs="IRNazanin"/>
          <w:lang w:bidi="fa-IR"/>
          <w:color w:val="111111"/>
          <w:sz w:val="28"/>
          <w:szCs w:val="28"/>
          <w:rtl/>
        </w:rPr>
        <w:t xml:space="preserve">۱۹. مشهد؛ رضوی؛ شماره نسخه:۱۲۲۰۸/۳</w:t>
      </w:r>
    </w:p>
    <w:p>
      <w:pPr>
        <w:pStyle w:val="BookText"/>
      </w:pPr>
      <w:r>
        <w:rPr>
          <w:rFonts w:ascii="IRNazanin" w:hAnsi="IRNazanin" w:eastAsia="IRNazanin" w:cs="IRNazanin"/>
          <w:lang w:bidi="fa-IR"/>
          <w:color w:val="111111"/>
          <w:sz w:val="28"/>
          <w:szCs w:val="28"/>
          <w:rtl/>
        </w:rPr>
        <w:t xml:space="preserve">آغاز: بسمله. حمدله، أما بعد چون پاره اعمال محتاج اليه را مولانا نصیر الدین طوسی در بیست باب بیان فرموده بود؛ انجام: و طلوع و غروب کواکب به حرکت خاصه باشد نه به حرکت یومی و السلام علی من اتبع الهدی.</w:t>
      </w:r>
    </w:p>
    <w:p>
      <w:pPr>
        <w:pStyle w:val="BookText"/>
      </w:pPr>
      <w:r>
        <w:rPr>
          <w:rFonts w:ascii="IRNazanin" w:hAnsi="IRNazanin" w:eastAsia="IRNazanin" w:cs="IRNazanin"/>
          <w:lang w:bidi="fa-IR"/>
          <w:color w:val="111111"/>
          <w:sz w:val="28"/>
          <w:szCs w:val="28"/>
          <w:rtl/>
        </w:rPr>
        <w:t xml:space="preserve">خط: نستعلیق شکسته، كا: رشتی، شریف، تا: ۱۱۱۸ق، متن: خفی؛ ممتاز، نستعلیق شکسته؛ برخی اشکال نجومی به شنگرف، ضمیمه نسخه شماره ۱۲۲۰۸؛ کاغذ: شکری، فرنگی، جلد: گالینگور، ۱۹ سطر (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۱۷/۲ سم [رایانه]</w:t>
      </w:r>
    </w:p>
    <w:p>
      <w:pPr>
        <w:pStyle w:val="BookText"/>
      </w:pPr>
      <w:r>
        <w:rPr>
          <w:rFonts w:ascii="IRNazanin" w:hAnsi="IRNazanin" w:eastAsia="IRNazanin" w:cs="IRNazanin"/>
          <w:lang w:bidi="fa-IR"/>
          <w:color w:val="111111"/>
          <w:sz w:val="28"/>
          <w:szCs w:val="28"/>
          <w:rtl/>
        </w:rPr>
        <w:t xml:space="preserve">۲۰. اصفهان، دانشگاه؛ شماره نسخه: ۲۲۵/۲</w:t>
      </w:r>
    </w:p>
    <w:p>
      <w:pPr>
        <w:pStyle w:val="BookText"/>
      </w:pPr>
      <w:r>
        <w:rPr>
          <w:rFonts w:ascii="IRNazanin" w:hAnsi="IRNazanin" w:eastAsia="IRNazanin" w:cs="IRNazanin"/>
          <w:lang w:bidi="fa-IR"/>
          <w:color w:val="111111"/>
          <w:sz w:val="28"/>
          <w:szCs w:val="28"/>
          <w:rtl/>
        </w:rPr>
        <w:t xml:space="preserve">خط: نسخ، كا: محمد شفیع هروی، تا: ۱۰ رمضان ۱۱۳۷ق؛ جلد: تیماج قرمز ضربی عطف قهوه ای، ۳۲گ (۱۷۱ر-۲۰۲ر)، اندازه: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سم [ف: ۱-۱۷۵]</w:t>
      </w:r>
    </w:p>
    <w:p>
      <w:pPr>
        <w:pStyle w:val="BookText"/>
      </w:pPr>
      <w:r>
        <w:rPr>
          <w:rFonts w:ascii="IRNazanin" w:hAnsi="IRNazanin" w:eastAsia="IRNazanin" w:cs="IRNazanin"/>
          <w:lang w:bidi="fa-IR"/>
          <w:color w:val="111111"/>
          <w:sz w:val="28"/>
          <w:szCs w:val="28"/>
          <w:rtl/>
        </w:rPr>
        <w:t xml:space="preserve">اصفهان، دانشگاه؛ شماره نسخه: ۳۲۱/۲</w:t>
      </w:r>
    </w:p>
    <w:p>
      <w:pPr>
        <w:pStyle w:val="BookText"/>
      </w:pPr>
      <w:r>
        <w:rPr>
          <w:rFonts w:ascii="IRNazanin" w:hAnsi="IRNazanin" w:eastAsia="IRNazanin" w:cs="IRNazanin"/>
          <w:lang w:bidi="fa-IR"/>
          <w:color w:val="111111"/>
          <w:sz w:val="28"/>
          <w:szCs w:val="28"/>
          <w:rtl/>
        </w:rPr>
        <w:t xml:space="preserve">همان نسخه بالا (نشریه: ۱۱-۹۴۰]</w:t>
      </w:r>
    </w:p>
    <w:p>
      <w:pPr>
        <w:pStyle w:val="BookText"/>
      </w:pPr>
      <w:r>
        <w:rPr>
          <w:rFonts w:ascii="IRNazanin" w:hAnsi="IRNazanin" w:eastAsia="IRNazanin" w:cs="IRNazanin"/>
          <w:lang w:bidi="fa-IR"/>
          <w:color w:val="111111"/>
          <w:sz w:val="28"/>
          <w:szCs w:val="28"/>
          <w:rtl/>
        </w:rPr>
        <w:t xml:space="preserve">۲۱. شیراز؛ ملی؛ شماره نسخه: ۱-پ/۴۰۸/۱</w:t>
      </w:r>
    </w:p>
    <w:p>
      <w:pPr>
        <w:pStyle w:val="BookText"/>
      </w:pPr>
      <w:r>
        <w:rPr>
          <w:rFonts w:ascii="IRNazanin" w:hAnsi="IRNazanin" w:eastAsia="IRNazanin" w:cs="IRNazanin"/>
          <w:lang w:bidi="fa-IR"/>
          <w:color w:val="111111"/>
          <w:sz w:val="28"/>
          <w:szCs w:val="28"/>
          <w:rtl/>
        </w:rPr>
        <w:t xml:space="preserve">آغاز: مثل استيعاب ابوریحان و کامل فرغانی و مطولات که مولانا شمس الدین مصنف زیج سلطانی در اعمال اسطرلاب نوشته است مطالعه کرده؛ انجام: هم توان شناخت چنانچه در اشتباه نیفتد و آن جدول این است تمت الرساله في يوم الأربعاء سادس شهر محرم الحرام سنه ۱۱۶۳. المذنب محمد امین این مرحوم حاجی فرج الله شوشتری.</w:t>
      </w:r>
    </w:p>
    <w:p>
      <w:pPr>
        <w:pStyle w:val="BookText"/>
      </w:pPr>
      <w:r>
        <w:rPr>
          <w:rFonts w:ascii="IRNazanin" w:hAnsi="IRNazanin" w:eastAsia="IRNazanin" w:cs="IRNazanin"/>
          <w:lang w:bidi="fa-IR"/>
          <w:color w:val="111111"/>
          <w:sz w:val="28"/>
          <w:szCs w:val="28"/>
          <w:rtl/>
        </w:rPr>
        <w:t xml:space="preserve">خط: نستعلیق، کا: محمد امین ابن حاجی فرج الله شوشتری، تا: چهارشنبه ۶ محرم ۱۱۶۳ق، جان هرات؛ افتادگی: آغاز؛ مصحح، محشی؛ دارای جدول؛ کاغذ: فرنگی نخودی، جلد: مقوا با تیماج قهوه ای سیر، ۳۴ص، ۲۳ سطر (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w:t>
      </w:r>
    </w:p>
    <w:p>
      <w:pPr>
        <w:pStyle w:val="BookText"/>
      </w:pPr>
      <w:r>
        <w:rPr>
          <w:rFonts w:ascii="IRNazanin" w:hAnsi="IRNazanin" w:eastAsia="IRNazanin" w:cs="IRNazanin"/>
          <w:lang w:bidi="fa-IR"/>
          <w:color w:val="111111"/>
          <w:sz w:val="28"/>
          <w:szCs w:val="28"/>
          <w:rtl/>
        </w:rPr>
        <w:t xml:space="preserve">سم [ف: ۲-۶]</w:t>
      </w:r>
    </w:p>
    <w:p>
      <w:pPr>
        <w:pStyle w:val="BookText"/>
      </w:pPr>
      <w:r>
        <w:rPr>
          <w:rFonts w:ascii="IRNazanin" w:hAnsi="IRNazanin" w:eastAsia="IRNazanin" w:cs="IRNazanin"/>
          <w:lang w:bidi="fa-IR"/>
          <w:color w:val="111111"/>
          <w:sz w:val="28"/>
          <w:szCs w:val="28"/>
          <w:rtl/>
        </w:rPr>
        <w:t xml:space="preserve">قم: مرکز احیاء؛ شماره نسخه: ۱۶۶۳</w:t>
      </w:r>
    </w:p>
    <w:p>
      <w:pPr>
        <w:pStyle w:val="BookText"/>
      </w:pPr>
      <w:r>
        <w:rPr>
          <w:rFonts w:ascii="IRNazanin" w:hAnsi="IRNazanin" w:eastAsia="IRNazanin" w:cs="IRNazanin"/>
          <w:lang w:bidi="fa-IR"/>
          <w:color w:val="111111"/>
          <w:sz w:val="28"/>
          <w:szCs w:val="28"/>
          <w:rtl/>
        </w:rPr>
        <w:t xml:space="preserve">نسخه اصل: همان نسخه بالا [عکسی ف: ۵-۱۱۰]</w:t>
      </w:r>
    </w:p>
    <w:p>
      <w:pPr>
        <w:pStyle w:val="BookText"/>
      </w:pPr>
      <w:r>
        <w:rPr>
          <w:rFonts w:ascii="IRNazanin" w:hAnsi="IRNazanin" w:eastAsia="IRNazanin" w:cs="IRNazanin"/>
          <w:lang w:bidi="fa-IR"/>
          <w:color w:val="111111"/>
          <w:sz w:val="28"/>
          <w:szCs w:val="28"/>
          <w:rtl/>
        </w:rPr>
        <w:t xml:space="preserve">۲۲. شیراز؛ وصال (دکتر)؛ شماره نسخه: ۶</w:t>
      </w:r>
    </w:p>
    <w:p>
      <w:pPr>
        <w:pStyle w:val="BookText"/>
      </w:pPr>
      <w:r>
        <w:rPr>
          <w:rFonts w:ascii="IRNazanin" w:hAnsi="IRNazanin" w:eastAsia="IRNazanin" w:cs="IRNazanin"/>
          <w:lang w:bidi="fa-IR"/>
          <w:color w:val="111111"/>
          <w:sz w:val="28"/>
          <w:szCs w:val="28"/>
          <w:rtl/>
        </w:rPr>
        <w:t xml:space="preserve">بی کا، تا: ربيع الأول ۱۱۸۰ق (نشریه: ۵-۲۹۰]</w:t>
      </w:r>
    </w:p>
    <w:p>
      <w:pPr>
        <w:pStyle w:val="BookText"/>
      </w:pPr>
      <w:r>
        <w:rPr>
          <w:rFonts w:ascii="IRNazanin" w:hAnsi="IRNazanin" w:eastAsia="IRNazanin" w:cs="IRNazanin"/>
          <w:lang w:bidi="fa-IR"/>
          <w:color w:val="111111"/>
          <w:sz w:val="28"/>
          <w:szCs w:val="28"/>
          <w:rtl/>
        </w:rPr>
        <w:t xml:space="preserve">۲۳. تهران؛ مجلس؛ شماره نسخه: ۶۶۷۹/۵</w:t>
      </w:r>
    </w:p>
    <w:p>
      <w:pPr>
        <w:pStyle w:val="BookText"/>
      </w:pPr>
      <w:r>
        <w:rPr>
          <w:rFonts w:ascii="IRNazanin" w:hAnsi="IRNazanin" w:eastAsia="IRNazanin" w:cs="IRNazanin"/>
          <w:lang w:bidi="fa-IR"/>
          <w:color w:val="111111"/>
          <w:sz w:val="28"/>
          <w:szCs w:val="28"/>
          <w:rtl/>
        </w:rPr>
        <w:t xml:space="preserve">آغاز: باب هجدهم در معرفت مطالع البروج ببلد و به خط استواء و به فلک مستقیم محسوب من اول الجدي</w:t>
      </w:r>
    </w:p>
    <w:p>
      <w:pPr>
        <w:pStyle w:val="BookText"/>
      </w:pPr>
      <w:r>
        <w:rPr>
          <w:rFonts w:ascii="IRNazanin" w:hAnsi="IRNazanin" w:eastAsia="IRNazanin" w:cs="IRNazanin"/>
          <w:lang w:bidi="fa-IR"/>
          <w:color w:val="111111"/>
          <w:sz w:val="28"/>
          <w:szCs w:val="28"/>
          <w:rtl/>
        </w:rPr>
        <w:t xml:space="preserve">خط: نستعلیق، بی کا، تا: قرن ۱۳؛ افتادگی: آغاز؛ جلد: مقوایی، عطف پارچه ای خاکستری، ۴۰گ (۸هر -۹۷ر)،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۲۰-۱۹۸]</w:t>
      </w:r>
    </w:p>
    <w:p>
      <w:pPr>
        <w:pStyle w:val="BookText"/>
      </w:pPr>
      <w:r>
        <w:rPr>
          <w:rFonts w:ascii="IRNazanin" w:hAnsi="IRNazanin" w:eastAsia="IRNazanin" w:cs="IRNazanin"/>
          <w:lang w:bidi="fa-IR"/>
          <w:color w:val="111111"/>
          <w:sz w:val="28"/>
          <w:szCs w:val="28"/>
          <w:rtl/>
        </w:rPr>
        <w:t xml:space="preserve">۲۴. تهران؛ مجلس؛ شماره نسخه: ۶۴۸۳/۱</w:t>
      </w:r>
    </w:p>
    <w:p>
      <w:pPr>
        <w:pStyle w:val="BookText"/>
      </w:pPr>
      <w:r>
        <w:rPr>
          <w:rFonts w:ascii="IRNazanin" w:hAnsi="IRNazanin" w:eastAsia="IRNazanin" w:cs="IRNazanin"/>
          <w:lang w:bidi="fa-IR"/>
          <w:color w:val="111111"/>
          <w:sz w:val="28"/>
          <w:szCs w:val="28"/>
          <w:rtl/>
        </w:rPr>
        <w:t xml:space="preserve">آغاز: تمسک به این آیه کرده ان في خلق السموات ... و مقرر است که ثمره این علوم بعد از وسیله به معرفت الله احکام و معرفت اوقات است .</w:t>
      </w:r>
    </w:p>
    <w:p>
      <w:pPr>
        <w:pStyle w:val="BookText"/>
      </w:pPr>
      <w:r>
        <w:rPr>
          <w:rFonts w:ascii="IRNazanin" w:hAnsi="IRNazanin" w:eastAsia="IRNazanin" w:cs="IRNazanin"/>
          <w:lang w:bidi="fa-IR"/>
          <w:color w:val="111111"/>
          <w:sz w:val="28"/>
          <w:szCs w:val="28"/>
          <w:rtl/>
        </w:rPr>
        <w:t xml:space="preserve">خط: نستعلیق، بی کا، تا: قرن ۱۲ یا ۱۳؛ افتادگی: آغاز؛ دارای اشکال هندسی؛ جلد: مقوایی عطف تیماج زرشکی، ۵۸گ (۲ر - ۵۹ر)،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۲۰-۵۸]</w:t>
      </w:r>
    </w:p>
    <w:p>
      <w:pPr>
        <w:pStyle w:val="BookText"/>
      </w:pPr>
      <w:r>
        <w:rPr>
          <w:rFonts w:ascii="IRNazanin" w:hAnsi="IRNazanin" w:eastAsia="IRNazanin" w:cs="IRNazanin"/>
          <w:lang w:bidi="fa-IR"/>
          <w:color w:val="111111"/>
          <w:sz w:val="28"/>
          <w:szCs w:val="28"/>
          <w:rtl/>
        </w:rPr>
        <w:t xml:space="preserve">۲۵. قم؛ گلپایگانی؛ شماره نسخه: ۲۲۱۵/۴ - ۱۲/۱۰۵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سید محمد معبر کرمانی، تا: ۱۴ جمادی الثانی ۱۲۳۱ق؛ جلد: ساغری مشکی عطف تیماج، ۵۷گ، ۱۹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۲-۶۶۵]</w:t>
      </w:r>
    </w:p>
    <w:p>
      <w:pPr>
        <w:pStyle w:val="BookText"/>
      </w:pPr>
      <w:r>
        <w:rPr>
          <w:rFonts w:ascii="Amiri" w:hAnsi="Amiri" w:eastAsia="Amiri" w:cs="Amiri"/>
          <w:lang w:bidi="ar-SA"/>
          <w:color w:val="111111"/>
          <w:sz w:val="28"/>
          <w:szCs w:val="28"/>
          <w:rtl/>
        </w:rPr>
        <w:t xml:space="preserve">۲۶. تهران: دائرة المعارف، شماره نسخه: ۵۱/۲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تحریری مخلوط به شکسته، كان محمد نقی بن محمد مهدی قزوینی، تا: ۲۷ شعبان ۱۲۳۶ق؛ ۵۴گ (۶۲پ - ۱۱۵پ) [ف: ۱-۴۰]</w:t>
      </w:r>
    </w:p>
    <w:p>
      <w:pPr>
        <w:pStyle w:val="BookText"/>
      </w:pPr>
      <w:r>
        <w:rPr>
          <w:rFonts w:ascii="IRNazanin" w:hAnsi="IRNazanin" w:eastAsia="IRNazanin" w:cs="IRNazanin"/>
          <w:lang w:bidi="fa-IR"/>
          <w:color w:val="111111"/>
          <w:sz w:val="28"/>
          <w:szCs w:val="28"/>
          <w:rtl/>
        </w:rPr>
        <w:t xml:space="preserve">۲۷. تهران؛ مجلس؛ شماره نسخه: ۷۷۶/۲ - طباطبائی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كان محمد تقی بن محمد هاشم بن محمد حسین کاشانی (پزشک عصر ناصری)، تا: ۲۹ شعبان ۱۲۷۲ق؛ کاغذ: فرنگی آهار مهره، جلد: تیماج مشکی، ۲۶ص (۱۴- ۳۹)، ۱۳ سطر، قطع: خشتی،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۲۳-۸۳]</w:t>
      </w:r>
    </w:p>
    <w:p>
      <w:pPr>
        <w:pStyle w:val="BookText"/>
      </w:pPr>
      <w:r>
        <w:rPr>
          <w:rFonts w:ascii="IRNazanin" w:hAnsi="IRNazanin" w:eastAsia="IRNazanin" w:cs="IRNazanin"/>
          <w:lang w:bidi="fa-IR"/>
          <w:color w:val="111111"/>
          <w:sz w:val="28"/>
          <w:szCs w:val="28"/>
          <w:rtl/>
        </w:rPr>
        <w:t xml:space="preserve">۲۸. تهران؛ مجلس؛ شماره نسخه: ۶۴۲/۸</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تا: ۱۲۸۳ق؛ قطع: رحلی،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۲-۴۰۹]</w:t>
      </w:r>
    </w:p>
    <w:p>
      <w:pPr>
        <w:pStyle w:val="BookText"/>
      </w:pPr>
      <w:r>
        <w:rPr>
          <w:rFonts w:ascii="IRNazanin" w:hAnsi="IRNazanin" w:eastAsia="IRNazanin" w:cs="IRNazanin"/>
          <w:lang w:bidi="fa-IR"/>
          <w:color w:val="111111"/>
          <w:sz w:val="28"/>
          <w:szCs w:val="28"/>
          <w:rtl/>
        </w:rPr>
        <w:t xml:space="preserve">۲۹. تهران، ملک، شماره نسخه: ۳۳۷۵/۲</w:t>
      </w:r>
    </w:p>
    <w:p>
      <w:pPr>
        <w:pStyle w:val="BookText"/>
      </w:pPr>
      <w:r>
        <w:rPr>
          <w:rFonts w:ascii="IRNazanin" w:hAnsi="IRNazanin" w:eastAsia="IRNazanin" w:cs="IRNazanin"/>
          <w:lang w:bidi="fa-IR"/>
          <w:color w:val="111111"/>
          <w:sz w:val="28"/>
          <w:szCs w:val="28"/>
          <w:rtl/>
        </w:rPr>
        <w:t xml:space="preserve">خط: نسخ، بی کا، تا: ربيع الاول ۱۲۹۳ ق، برای میرزا رحمت الله؛ کاغذ: ترمه سپاهانی، جلد: میشن قهوه ای ضربی، ۱۹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۶-۳۸۷]</w:t>
      </w:r>
    </w:p>
    <w:p>
      <w:pPr>
        <w:pStyle w:val="BookText"/>
      </w:pPr>
      <w:r>
        <w:rPr>
          <w:rFonts w:ascii="IRNazanin" w:hAnsi="IRNazanin" w:eastAsia="IRNazanin" w:cs="IRNazanin"/>
          <w:lang w:bidi="fa-IR"/>
          <w:color w:val="111111"/>
          <w:sz w:val="28"/>
          <w:szCs w:val="28"/>
          <w:rtl/>
        </w:rPr>
        <w:t xml:space="preserve">۳۰. تهران؛ مجلس؛ شماره نسخه: ۵۴۴۵/۵</w:t>
      </w:r>
    </w:p>
    <w:p>
      <w:pPr>
        <w:pStyle w:val="BookText"/>
      </w:pPr>
      <w:r>
        <w:rPr>
          <w:rFonts w:ascii="IRNazanin" w:hAnsi="IRNazanin" w:eastAsia="IRNazanin" w:cs="IRNazanin"/>
          <w:lang w:bidi="fa-IR"/>
          <w:color w:val="111111"/>
          <w:sz w:val="28"/>
          <w:szCs w:val="28"/>
          <w:rtl/>
        </w:rPr>
        <w:t xml:space="preserve">آغاز: باب سی و پنجم در معرفت خط النهار؛ انجام: از سبب اختلاف ذراع و اصابع است چنانچه در معينه مذکور است و الله اعلم</w:t>
      </w:r>
    </w:p>
    <w:p>
      <w:pPr>
        <w:pStyle w:val="BookText"/>
      </w:pPr>
      <w:r>
        <w:rPr>
          <w:rFonts w:ascii="IRNazanin" w:hAnsi="IRNazanin" w:eastAsia="IRNazanin" w:cs="IRNazanin"/>
          <w:lang w:bidi="fa-IR"/>
          <w:color w:val="111111"/>
          <w:sz w:val="28"/>
          <w:szCs w:val="28"/>
          <w:rtl/>
        </w:rPr>
        <w:t xml:space="preserve">باب سی و پنجم از پنجاه باب اوست؛ خط: نستعلیق، کا: محمد بن علی گنجوی تبریزی، بی تا، دارای صورت دایره جهت یابی بنا بر افق مکه، کاغذ: فرنگی، جلد: میشن، ۲گ (۱۲۶-۱۲۷)،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۱۶-۳۴۷]</w:t>
      </w:r>
    </w:p>
    <w:p>
      <w:pPr>
        <w:pStyle w:val="BookText"/>
      </w:pPr>
      <w:r>
        <w:rPr>
          <w:rFonts w:ascii="IRNazanin" w:hAnsi="IRNazanin" w:eastAsia="IRNazanin" w:cs="IRNazanin"/>
          <w:lang w:bidi="fa-IR"/>
          <w:color w:val="111111"/>
          <w:sz w:val="28"/>
          <w:szCs w:val="28"/>
          <w:rtl/>
        </w:rPr>
        <w:t xml:space="preserve">۳۱. تهران؛ ملک؛ شماره نسخه: ۳۳۸۲/۵</w:t>
      </w:r>
    </w:p>
    <w:p>
      <w:pPr>
        <w:pStyle w:val="BookText"/>
      </w:pPr>
      <w:r>
        <w:rPr>
          <w:rFonts w:ascii="IRNazanin" w:hAnsi="IRNazanin" w:eastAsia="IRNazanin" w:cs="IRNazanin"/>
          <w:lang w:bidi="fa-IR"/>
          <w:color w:val="111111"/>
          <w:sz w:val="28"/>
          <w:szCs w:val="28"/>
          <w:rtl/>
        </w:rPr>
        <w:t xml:space="preserve">خط: نسخ، بی کا، بی تا، کاغذ: ترمه، جلد: رویه میشن قهوه ای تازه، ۴۴گ (۳۱پ -۷۴پ)، ۱۶ سطر،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سم [ف: ۶-۳۸۹]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03" w:name="pg20363_209566"/>
    <w:bookmarkEnd w:id="303"/>
    <w:p>
      <w:pPr>
        <w:pStyle w:val="BookText"/>
      </w:pPr>
      <w:r>
        <w:rPr>
          <w:rFonts w:ascii="IRNazanin" w:hAnsi="IRNazanin" w:eastAsia="IRNazanin" w:cs="IRNazanin"/>
          <w:lang w:bidi="fa-IR"/>
          <w:color w:val="111111"/>
          <w:sz w:val="28"/>
          <w:szCs w:val="28"/>
          <w:rtl/>
        </w:rPr>
        <w:t xml:space="preserve">۳۲. مشهد؛ رضوی؛ شماره نسخه: ۱۲۰۲۱/۲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 لواحق آن عبارت است: الف-نکاتی چند از شخصی عطاء الله نام در مباحث نجومی در چهار صفحه، بسواد مكتوب مولانا عبدالرحمن جامی در عزانامه مرحوم خواجه قطب الدین که چون مختصر است عينا نقل می شود: باسمه سبحانه. رفت آنکه یگانه بود در عالم خویش</w:t>
      </w:r>
      <w:r>
        <w:rPr>
          <w:rFonts w:ascii="IRNazanin" w:hAnsi="IRNazanin" w:eastAsia="IRNazanin" w:cs="IRNazanin"/>
          <w:lang w:bidi="fa-IR"/>
          <w:color w:val="111111"/>
          <w:sz w:val="28"/>
          <w:szCs w:val="28"/>
          <w:b w:val="1"/>
          <w:bCs w:val="1"/>
          <w:i w:val="1"/>
          <w:iCs w:val="1"/>
          <w:rtl/>
        </w:rPr>
        <w:t xml:space="preserve">گاه از غم او گریم و گاه از غم خویش / شد یاد ده ماتم من ماتم او </w:t>
      </w:r>
      <w:r>
        <w:rPr>
          <w:rFonts w:ascii="IRNazanin" w:hAnsi="IRNazanin" w:eastAsia="IRNazanin" w:cs="IRNazanin"/>
          <w:lang w:bidi="fa-IR"/>
          <w:color w:val="111111"/>
          <w:sz w:val="28"/>
          <w:szCs w:val="28"/>
          <w:b w:val="1"/>
          <w:bCs w:val="1"/>
          <w:i w:val="1"/>
          <w:iCs w:val="1"/>
          <w:rtl/>
        </w:rPr>
        <w:t xml:space="preserve">هم ماتم او دارم و هم ماتم خویش. هر عزیزی کی ازین نشیمن فنا رخت بندد و برفتگان عالم بقا پیوندد وظیفه آگاهان آنست که از حاوی وی عبرتی گیرند و پیش از موت طبیعی بموت داترای بیمرند چه از مرگ بمرگ توان رسد و از فنا ببقا توان پیوست. سرمایه راه عشق در دست ای دل</w:t>
      </w:r>
      <w:r>
        <w:rPr>
          <w:rFonts w:ascii="IRNazanin" w:hAnsi="IRNazanin" w:eastAsia="IRNazanin" w:cs="IRNazanin"/>
          <w:lang w:bidi="fa-IR"/>
          <w:color w:val="111111"/>
          <w:sz w:val="28"/>
          <w:szCs w:val="28"/>
          <w:b w:val="1"/>
          <w:bCs w:val="1"/>
          <w:i w:val="1"/>
          <w:iCs w:val="1"/>
          <w:rtl/>
        </w:rPr>
        <w:t xml:space="preserve">خوش آنکه بدرد رده نور دست ای دل / مردی کن و از هستی خود پاک بمیر</w:t>
      </w:r>
      <w:r>
        <w:rPr>
          <w:rFonts w:ascii="IRNazanin" w:hAnsi="IRNazanin" w:eastAsia="IRNazanin" w:cs="IRNazanin"/>
          <w:lang w:bidi="fa-IR"/>
          <w:color w:val="111111"/>
          <w:sz w:val="28"/>
          <w:szCs w:val="28"/>
          <w:rtl/>
        </w:rPr>
        <w:t xml:space="preserve"> تا مرد نمردست نه مردست ای دل. معلوم نیست که مدت حیات چند خواهد بود و از آن ترا چه پسند خواهند نمود هر روز را روز آخر شمار و روز آخر چنان دار که بنا بايست نیامیزی که چنانچه روی برخیزی. کم شود زامل فراخ میدان </w:t>
      </w:r>
      <w:r>
        <w:rPr>
          <w:rFonts w:ascii="IRNazanin" w:hAnsi="IRNazanin" w:eastAsia="IRNazanin" w:cs="IRNazanin"/>
          <w:lang w:bidi="fa-IR"/>
          <w:color w:val="111111"/>
          <w:sz w:val="28"/>
          <w:szCs w:val="28"/>
          <w:b w:val="1"/>
          <w:bCs w:val="1"/>
          <w:i w:val="1"/>
          <w:iCs w:val="1"/>
          <w:rtl/>
        </w:rPr>
        <w:t xml:space="preserve">هر دم که رسد دم پسین دان / دل پاک کن از وجود محدث</w:t>
      </w:r>
      <w:r>
        <w:rPr>
          <w:rFonts w:ascii="IRNazanin" w:hAnsi="IRNazanin" w:eastAsia="IRNazanin" w:cs="IRNazanin"/>
          <w:lang w:bidi="fa-IR"/>
          <w:color w:val="111111"/>
          <w:sz w:val="28"/>
          <w:szCs w:val="28"/>
          <w:rtl/>
        </w:rPr>
        <w:t xml:space="preserve">زیرا که کما تموت تبعث / روی همه در ره بقا باد***وز هر چه خدا نه، دل جدا باد. والسلام والاكرام، جبحثی در باب حروف و خواص آن در یک صفحه منقول از فتوحات مکیه؛ کاغذ: حنایی بغدادی، جلد: تیماج مشکی، ۱۶-۱۷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۱۰-۱۹۴]</w:t>
      </w:r>
    </w:p>
    <w:p>
      <w:pPr>
        <w:pStyle w:val="BookText"/>
      </w:pPr>
      <w:r>
        <w:rPr>
          <w:rFonts w:ascii="IRNazanin" w:hAnsi="IRNazanin" w:eastAsia="IRNazanin" w:cs="IRNazanin"/>
          <w:lang w:bidi="fa-IR"/>
          <w:color w:val="111111"/>
          <w:sz w:val="28"/>
          <w:szCs w:val="28"/>
          <w:rtl/>
        </w:rPr>
        <w:t xml:space="preserve">۳۳. تهران؛ مهدوی؛ شماره نسخه: ۵۰۳/۱</w:t>
      </w:r>
    </w:p>
    <w:p>
      <w:pPr>
        <w:pStyle w:val="BookText"/>
      </w:pPr>
      <w:r>
        <w:rPr>
          <w:rFonts w:ascii="IRNazanin" w:hAnsi="IRNazanin" w:eastAsia="IRNazanin" w:cs="IRNazanin"/>
          <w:lang w:bidi="fa-IR"/>
          <w:color w:val="111111"/>
          <w:sz w:val="28"/>
          <w:szCs w:val="28"/>
          <w:rtl/>
        </w:rPr>
        <w:t xml:space="preserve">خط: نستعلیق ترک، بی کا، بی تا آنشریه: ۲-۱۲۰]</w:t>
      </w:r>
    </w:p>
    <w:p>
      <w:pPr>
        <w:pStyle w:val="Heading3"/>
      </w:pPr>
      <w:bookmarkStart w:id="1755" w:name="_Toc1015"/>
      <w:r>
        <w:t>•پنجاه خاصیت کیمیای سعادت / دعا / فارسی</w:t>
      </w:r>
      <w:bookmarkEnd w:id="1755"/>
    </w:p>
    <w:p>
      <w:pPr>
        <w:pStyle w:val="BookText"/>
      </w:pPr>
      <w:r>
        <w:rPr>
          <w:rFonts w:ascii="Times New Roman" w:hAnsi="Times New Roman" w:eastAsia="Times New Roman" w:cs="Times New Roman"/>
          <w:lang w:val="en-US" w:bidi="en-US"/>
          <w:color w:val="111111"/>
          <w:sz w:val="28"/>
          <w:szCs w:val="28"/>
          <w:rtl/>
        </w:rPr>
        <w:t xml:space="preserve">panjāh xāsīyat-e kīmīyā-ye saʻādat</w:t>
      </w:r>
    </w:p>
    <w:p>
      <w:pPr>
        <w:pStyle w:val="BookText"/>
      </w:pPr>
      <w:r>
        <w:rPr>
          <w:rFonts w:ascii="IRNazanin" w:hAnsi="IRNazanin" w:eastAsia="IRNazanin" w:cs="IRNazanin"/>
          <w:lang w:bidi="fa-IR"/>
          <w:color w:val="111111"/>
          <w:sz w:val="28"/>
          <w:szCs w:val="28"/>
          <w:rtl/>
        </w:rPr>
        <w:t xml:space="preserve">تهران، دانشگاه؛ شماره نسخه: ۹۸۰۷</w:t>
      </w:r>
    </w:p>
    <w:p>
      <w:pPr>
        <w:pStyle w:val="BookText"/>
      </w:pPr>
      <w:r>
        <w:rPr>
          <w:rFonts w:ascii="IRNazanin" w:hAnsi="IRNazanin" w:eastAsia="IRNazanin" w:cs="IRNazanin"/>
          <w:lang w:bidi="fa-IR"/>
          <w:color w:val="111111"/>
          <w:sz w:val="28"/>
          <w:szCs w:val="28"/>
          <w:rtl/>
        </w:rPr>
        <w:t xml:space="preserve">به روایت از پیامبر، دعا است و افسون و جادو؛ خط: نسخ، بی کا، تا: قرن ۱۳؛ مجدول، در پایان طریق حاجات شیخ معروف کرخی است که سلطان الاولیاء شیخ نظام الدین آزموده است؛ کاغذ: هندی، جلد: مقوا، ۵۶ص، ۱۰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قطع: بغلی،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۹سم [ف: ۱۷-۴۸۷]</w:t>
      </w:r>
    </w:p>
    <w:p>
      <w:pPr>
        <w:pStyle w:val="Heading3"/>
      </w:pPr>
      <w:bookmarkStart w:id="1756" w:name="_Toc1016"/>
      <w:r>
        <w:t>•پنجاه سال نفت ایران / تاریخ ایران / فارسی</w:t>
      </w:r>
      <w:bookmarkEnd w:id="1756"/>
    </w:p>
    <w:p>
      <w:pPr>
        <w:pStyle w:val="BookText"/>
      </w:pPr>
      <w:r>
        <w:rPr>
          <w:rFonts w:ascii="Times New Roman" w:hAnsi="Times New Roman" w:eastAsia="Times New Roman" w:cs="Times New Roman"/>
          <w:lang w:val="en-US" w:bidi="en-US"/>
          <w:color w:val="111111"/>
          <w:sz w:val="28"/>
          <w:szCs w:val="28"/>
          <w:rtl/>
        </w:rPr>
        <w:t xml:space="preserve">panjāh sāl naft-e īrān</w:t>
      </w:r>
    </w:p>
    <w:p>
      <w:pPr>
        <w:pStyle w:val="BookText"/>
      </w:pPr>
      <w:r>
        <w:rPr>
          <w:rFonts w:ascii="IRNazanin" w:hAnsi="IRNazanin" w:eastAsia="IRNazanin" w:cs="IRNazanin"/>
          <w:lang w:bidi="fa-IR"/>
          <w:color w:val="111111"/>
          <w:sz w:val="28"/>
          <w:szCs w:val="28"/>
          <w:rtl/>
        </w:rPr>
        <w:t xml:space="preserve">فاتح، مصطفی</w:t>
      </w:r>
    </w:p>
    <w:p>
      <w:pPr>
        <w:pStyle w:val="BookText"/>
      </w:pPr>
      <w:r>
        <w:rPr>
          <w:rFonts w:ascii="Times New Roman" w:hAnsi="Times New Roman" w:eastAsia="Times New Roman" w:cs="Times New Roman"/>
          <w:lang w:val="en-US" w:bidi="en-US"/>
          <w:color w:val="111111"/>
          <w:sz w:val="28"/>
          <w:szCs w:val="28"/>
          <w:rtl/>
        </w:rPr>
        <w:t xml:space="preserve">fateh, mostafa</w:t>
      </w:r>
    </w:p>
    <w:p>
      <w:pPr>
        <w:pStyle w:val="BookText"/>
      </w:pPr>
      <w:r>
        <w:rPr>
          <w:rFonts w:ascii="IRNazanin" w:hAnsi="IRNazanin" w:eastAsia="IRNazanin" w:cs="IRNazanin"/>
          <w:lang w:bidi="fa-IR"/>
          <w:color w:val="111111"/>
          <w:sz w:val="28"/>
          <w:szCs w:val="28"/>
          <w:rtl/>
        </w:rPr>
        <w:t xml:space="preserve">[مشار ۹۵۳]</w:t>
      </w:r>
    </w:p>
    <w:p>
      <w:pPr>
        <w:pStyle w:val="BookText"/>
      </w:pPr>
      <w:r>
        <w:rPr>
          <w:rFonts w:ascii="IRNazanin" w:hAnsi="IRNazanin" w:eastAsia="IRNazanin" w:cs="IRNazanin"/>
          <w:lang w:bidi="fa-IR"/>
          <w:color w:val="111111"/>
          <w:sz w:val="28"/>
          <w:szCs w:val="28"/>
          <w:rtl/>
        </w:rPr>
        <w:t xml:space="preserve">تهران؛ دانشگاه؛ شماره نسخه: ۴۰۹۷-ف</w:t>
      </w:r>
    </w:p>
    <w:p>
      <w:pPr>
        <w:pStyle w:val="BookText"/>
      </w:pPr>
      <w:r>
        <w:rPr>
          <w:rFonts w:ascii="IRNazanin" w:hAnsi="IRNazanin" w:eastAsia="IRNazanin" w:cs="IRNazanin"/>
          <w:lang w:bidi="fa-IR"/>
          <w:color w:val="111111"/>
          <w:sz w:val="28"/>
          <w:szCs w:val="28"/>
          <w:rtl/>
        </w:rPr>
        <w:t xml:space="preserve">نسخه اصل: چاپ شرکت سهامی چهره در ۱۳۳۵، ج ۱، بی کا، بی تا [فيلمها ف: ۳-۱۴]</w:t>
      </w:r>
    </w:p>
    <w:p>
      <w:pPr>
        <w:pStyle w:val="Heading3"/>
      </w:pPr>
      <w:bookmarkStart w:id="1757" w:name="_Toc1017"/>
      <w:r>
        <w:t>• پنجاه فرض / شعر / فارسی</w:t>
      </w:r>
      <w:bookmarkEnd w:id="1757"/>
    </w:p>
    <w:p>
      <w:pPr>
        <w:pStyle w:val="BookText"/>
      </w:pPr>
      <w:r>
        <w:rPr>
          <w:rFonts w:ascii="Times New Roman" w:hAnsi="Times New Roman" w:eastAsia="Times New Roman" w:cs="Times New Roman"/>
          <w:lang w:val="en-US" w:bidi="en-US"/>
          <w:color w:val="111111"/>
          <w:sz w:val="28"/>
          <w:szCs w:val="28"/>
          <w:rtl/>
        </w:rPr>
        <w:t xml:space="preserve">panjāh farz</w:t>
      </w:r>
    </w:p>
    <w:p>
      <w:pPr>
        <w:pStyle w:val="BookText"/>
      </w:pPr>
      <w:r>
        <w:rPr>
          <w:rFonts w:ascii="IRNazanin" w:hAnsi="IRNazanin" w:eastAsia="IRNazanin" w:cs="IRNazanin"/>
          <w:lang w:bidi="fa-IR"/>
          <w:color w:val="111111"/>
          <w:sz w:val="28"/>
          <w:szCs w:val="28"/>
          <w:rtl/>
        </w:rPr>
        <w:t xml:space="preserve">لطفی، ق۸ قمری</w:t>
      </w:r>
    </w:p>
    <w:p>
      <w:pPr>
        <w:pStyle w:val="BookText"/>
      </w:pPr>
      <w:r>
        <w:rPr>
          <w:rFonts w:ascii="Times New Roman" w:hAnsi="Times New Roman" w:eastAsia="Times New Roman" w:cs="Times New Roman"/>
          <w:lang w:val="en-US" w:bidi="en-US"/>
          <w:color w:val="111111"/>
          <w:sz w:val="28"/>
          <w:szCs w:val="28"/>
          <w:rtl/>
        </w:rPr>
        <w:t xml:space="preserve">lotfi (- 14c)</w:t>
      </w:r>
    </w:p>
    <w:p>
      <w:pPr>
        <w:pStyle w:val="BookText"/>
      </w:pPr>
      <w:r>
        <w:rPr>
          <w:rFonts w:ascii="IRNazanin" w:hAnsi="IRNazanin" w:eastAsia="IRNazanin" w:cs="IRNazanin"/>
          <w:lang w:bidi="fa-IR"/>
          <w:color w:val="111111"/>
          <w:sz w:val="28"/>
          <w:szCs w:val="28"/>
          <w:rtl/>
        </w:rPr>
        <w:t xml:space="preserve">تاريخ تأليف: ۷۴۷ق مثنوی کوتاهی است در بیان پنجاه فریضه ای که بر هر مسلمان واجب و لازم است. در آخر گوید: هفتصد و چل رفته بود و هفت سال*** او وفات سید صاحب کمال / نا که شد منظوم این عقده گهر*** معنی بسیار و لفظ مختصر</w:t>
      </w:r>
    </w:p>
    <w:p>
      <w:pPr>
        <w:pStyle w:val="BookText"/>
      </w:pPr>
      <w:r>
        <w:rPr>
          <w:rFonts w:ascii="IRNazanin" w:hAnsi="IRNazanin" w:eastAsia="IRNazanin" w:cs="IRNazanin"/>
          <w:lang w:bidi="fa-IR"/>
          <w:color w:val="111111"/>
          <w:sz w:val="28"/>
          <w:szCs w:val="28"/>
          <w:rtl/>
        </w:rPr>
        <w:t xml:space="preserve">تهران؛ مجلس؛ شماره نسخه: ۱۳۸۳۵/۶</w:t>
      </w:r>
    </w:p>
    <w:p>
      <w:pPr>
        <w:pStyle w:val="BookText"/>
      </w:pPr>
      <w:r>
        <w:rPr>
          <w:rFonts w:ascii="IRNazanin" w:hAnsi="IRNazanin" w:eastAsia="IRNazanin" w:cs="IRNazanin"/>
          <w:lang w:bidi="fa-IR"/>
          <w:color w:val="111111"/>
          <w:sz w:val="28"/>
          <w:szCs w:val="28"/>
          <w:rtl/>
        </w:rPr>
        <w:t xml:space="preserve">آغاز: بعد حمد خالق و نعت رسول</w:t>
      </w:r>
      <w:r>
        <w:rPr>
          <w:rFonts w:ascii="IRNazanin" w:hAnsi="IRNazanin" w:eastAsia="IRNazanin" w:cs="IRNazanin"/>
          <w:lang w:bidi="fa-IR"/>
          <w:color w:val="111111"/>
          <w:sz w:val="28"/>
          <w:szCs w:val="28"/>
          <w:b w:val="1"/>
          <w:bCs w:val="1"/>
          <w:i w:val="1"/>
          <w:iCs w:val="1"/>
          <w:rtl/>
        </w:rPr>
        <w:t xml:space="preserve">بشنو از لطفی و از جان کن قبول / هست بر هر مؤمنی پنجاه فرض</w:t>
      </w:r>
      <w:r>
        <w:rPr>
          <w:rFonts w:ascii="IRNazanin" w:hAnsi="IRNazanin" w:eastAsia="IRNazanin" w:cs="IRNazanin"/>
          <w:lang w:bidi="fa-IR"/>
          <w:color w:val="111111"/>
          <w:sz w:val="28"/>
          <w:szCs w:val="28"/>
          <w:rtl/>
        </w:rPr>
        <w:t xml:space="preserve"> جمله را حالی نمایم بر تو عرض؛ انجام: بر همه رحمت کن و بر بنده هم***زانکه غفاری و بخشاینده هم / هر که سازد بر من مسکین دعا *** رحم کن بر وی تو در روز جزا خط: نستعلیق، بی کا، بی تا، جلد: تیماج قهوهای مجدول، ۳گ ( ۶۵-۶۳ ر)، ۱۵ سطر [ف: ۳۷-۳۹۳]</w:t>
      </w:r>
    </w:p>
    <w:p>
      <w:pPr>
        <w:pStyle w:val="Heading3"/>
      </w:pPr>
      <w:bookmarkStart w:id="1758" w:name="_Toc1018"/>
      <w:r>
        <w:t>•پنجاه موعظه از تورات و انجیل / حديث / فارسی</w:t>
      </w:r>
      <w:bookmarkEnd w:id="1758"/>
    </w:p>
    <w:p>
      <w:pPr>
        <w:pStyle w:val="BookText"/>
      </w:pPr>
      <w:r>
        <w:rPr>
          <w:rFonts w:ascii="Times New Roman" w:hAnsi="Times New Roman" w:eastAsia="Times New Roman" w:cs="Times New Roman"/>
          <w:lang w:val="en-US" w:bidi="en-US"/>
          <w:color w:val="111111"/>
          <w:sz w:val="28"/>
          <w:szCs w:val="28"/>
          <w:rtl/>
        </w:rPr>
        <w:t xml:space="preserve">panjāh mo‘eze az towrāt va enjīl</w:t>
      </w:r>
    </w:p>
    <w:p>
      <w:pPr>
        <w:pStyle w:val="BookText"/>
      </w:pPr>
      <w:r>
        <w:rPr>
          <w:rFonts w:ascii="IRNazanin" w:hAnsi="IRNazanin" w:eastAsia="IRNazanin" w:cs="IRNazanin"/>
          <w:lang w:bidi="fa-IR"/>
          <w:color w:val="111111"/>
          <w:sz w:val="28"/>
          <w:szCs w:val="28"/>
          <w:rtl/>
        </w:rPr>
        <w:t xml:space="preserve">منسوب به علی بن ابی طالب (علیه السلام)، امام اول، - ۴۰ قمری</w:t>
      </w:r>
    </w:p>
    <w:p>
      <w:pPr>
        <w:pStyle w:val="BookText"/>
      </w:pPr>
      <w:r>
        <w:rPr>
          <w:rFonts w:ascii="Times New Roman" w:hAnsi="Times New Roman" w:eastAsia="Times New Roman" w:cs="Times New Roman"/>
          <w:lang w:val="en-US" w:bidi="en-US"/>
          <w:color w:val="111111"/>
          <w:sz w:val="28"/>
          <w:szCs w:val="28"/>
          <w:rtl/>
        </w:rPr>
        <w:t xml:space="preserve">(mansūb be) ‘alī ebn-e abī tāleb, emām-e avval (- 661)</w:t>
      </w:r>
    </w:p>
    <w:p>
      <w:pPr>
        <w:pStyle w:val="BookText"/>
      </w:pPr>
      <w:r>
        <w:rPr>
          <w:rFonts w:ascii="IRNazanin" w:hAnsi="IRNazanin" w:eastAsia="IRNazanin" w:cs="IRNazanin"/>
          <w:lang w:bidi="fa-IR"/>
          <w:color w:val="111111"/>
          <w:sz w:val="28"/>
          <w:szCs w:val="28"/>
          <w:rtl/>
        </w:rPr>
        <w:t xml:space="preserve">پنجاه موعظه بروایت امیر المومنین(علیه السلام) از تورات و انجیل است</w:t>
      </w:r>
    </w:p>
    <w:p>
      <w:pPr>
        <w:pStyle w:val="BookText"/>
      </w:pPr>
      <w:r>
        <w:rPr>
          <w:rFonts w:ascii="IRNazanin" w:hAnsi="IRNazanin" w:eastAsia="IRNazanin" w:cs="IRNazanin"/>
          <w:lang w:bidi="fa-IR"/>
          <w:color w:val="111111"/>
          <w:sz w:val="28"/>
          <w:szCs w:val="28"/>
          <w:rtl/>
        </w:rPr>
        <w:t xml:space="preserve">که گفته شده آن حضرت انتخاب و به عربی نقل کرده است. رساله حاضر ترجمه فارسی آن است که مترجمان آن شناخته نشده است. آغاز: بسمله. پنجاه موعظه که حضرت امیر از تورية و انجیل جمع نموده. حمدله أما بعد بدانکه از کلام امیر المؤمنین علی بن ابی طالب (علیه السلام) که از تورات و انجیل آنحضرت جمع نموده و این پنجاه موعظه است که حق تعالی بفرزند آدم نموده است. موعظه اول: عجب دارم از کسیکه يقين داند مردن را پس چگونه ...</w:t>
      </w:r>
    </w:p>
    <w:p>
      <w:pPr>
        <w:pStyle w:val="BookText"/>
      </w:pPr>
      <w:r>
        <w:rPr>
          <w:rFonts w:ascii="IRNazanin" w:hAnsi="IRNazanin" w:eastAsia="IRNazanin" w:cs="IRNazanin"/>
          <w:lang w:bidi="fa-IR"/>
          <w:color w:val="111111"/>
          <w:sz w:val="28"/>
          <w:szCs w:val="28"/>
          <w:rtl/>
        </w:rPr>
        <w:t xml:space="preserve">[دنا ۶۳۷/۲ ]</w:t>
      </w:r>
    </w:p>
    <w:p>
      <w:pPr>
        <w:pStyle w:val="BookText"/>
      </w:pPr>
      <w:r>
        <w:rPr>
          <w:rFonts w:ascii="IRNazanin" w:hAnsi="IRNazanin" w:eastAsia="IRNazanin" w:cs="IRNazanin"/>
          <w:lang w:bidi="fa-IR"/>
          <w:color w:val="111111"/>
          <w:sz w:val="28"/>
          <w:szCs w:val="28"/>
          <w:rtl/>
        </w:rPr>
        <w:t xml:space="preserve">۱. تهران؛ ملک؛ شماره نسخه: ۲۲۰۲/۲</w:t>
      </w:r>
    </w:p>
    <w:p>
      <w:pPr>
        <w:pStyle w:val="BookText"/>
      </w:pPr>
      <w:r>
        <w:rPr>
          <w:rFonts w:ascii="IRNazanin" w:hAnsi="IRNazanin" w:eastAsia="IRNazanin" w:cs="IRNazanin"/>
          <w:lang w:bidi="fa-IR"/>
          <w:color w:val="111111"/>
          <w:sz w:val="28"/>
          <w:szCs w:val="28"/>
          <w:rtl/>
        </w:rPr>
        <w:t xml:space="preserve">آغاز: برابر؛ انجام: بر عذاب ایشان بر بالای عذاب، و الله اعلم بالصواب.</w:t>
      </w:r>
    </w:p>
    <w:p>
      <w:pPr>
        <w:pStyle w:val="BookText"/>
      </w:pPr>
      <w:r>
        <w:rPr>
          <w:rFonts w:ascii="IRNazanin" w:hAnsi="IRNazanin" w:eastAsia="IRNazanin" w:cs="IRNazanin"/>
          <w:lang w:bidi="fa-IR"/>
          <w:color w:val="111111"/>
          <w:sz w:val="28"/>
          <w:szCs w:val="28"/>
          <w:rtl/>
        </w:rPr>
        <w:t xml:space="preserve">خط: نسخ، كا: ابوالحسن حسینی، تا: با تاریخ ۱۱۹۰ق؛ کاغذ: پسته ای، جلد: میشن سیاه، ۲۷ سطر،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۵-۴۴۵]</w:t>
      </w:r>
    </w:p>
    <w:p>
      <w:pPr>
        <w:pStyle w:val="BookText"/>
      </w:pPr>
      <w:r>
        <w:rPr>
          <w:rFonts w:ascii="IRNazanin" w:hAnsi="IRNazanin" w:eastAsia="IRNazanin" w:cs="IRNazanin"/>
          <w:lang w:bidi="fa-IR"/>
          <w:color w:val="111111"/>
          <w:sz w:val="28"/>
          <w:szCs w:val="28"/>
          <w:rtl/>
        </w:rPr>
        <w:t xml:space="preserve">۲. مشهد؛ گوهرشاد؛ شماره نسخه: ۱۵۸۲/۱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04" w:name="pg20363_209567"/>
    <w:bookmarkEnd w:id="304"/>
    <w:p>
      <w:pPr>
        <w:pStyle w:val="BookText"/>
      </w:pPr>
      <w:r>
        <w:rPr>
          <w:rFonts w:ascii="IRNazanin" w:hAnsi="IRNazanin" w:eastAsia="IRNazanin" w:cs="IRNazanin"/>
          <w:lang w:bidi="fa-IR"/>
          <w:color w:val="111111"/>
          <w:sz w:val="28"/>
          <w:szCs w:val="28"/>
          <w:rtl/>
        </w:rPr>
        <w:t xml:space="preserve">آغاز: بسمله حمدله اما بعد بدانکه این رساله ایست از کلام معجز نظام حضرت امیر المؤمنین ... که از تورات و انجیل جمع نموده ... موعظه اول پروردگار عالم می فرماید که ای فرزند آدم؛ انجام: داستان حاتم اصم است .و اوجاع روحانی خلاصی یابی بعون الله تعالی.</w:t>
      </w:r>
    </w:p>
    <w:p>
      <w:pPr>
        <w:pStyle w:val="BookText"/>
      </w:pPr>
      <w:r>
        <w:rPr>
          <w:rFonts w:ascii="IRNazanin" w:hAnsi="IRNazanin" w:eastAsia="IRNazanin" w:cs="IRNazanin"/>
          <w:lang w:bidi="fa-IR"/>
          <w:color w:val="111111"/>
          <w:sz w:val="28"/>
          <w:szCs w:val="28"/>
          <w:rtl/>
        </w:rPr>
        <w:t xml:space="preserve">فارسی همان احادیث قدسی معروف است که چاپ شده است؛ خط: نستعلیق، بی کا، تا: قرن ۱۳؛ کاغذ: فرنگی، جلد: تیماج مشکی لایه ای، ۱۸گ (۱-۱۸)، ۲۲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۲۰ سم [ف: ۴-۲۱۳۱]</w:t>
      </w:r>
    </w:p>
    <w:p>
      <w:pPr>
        <w:pStyle w:val="BookText"/>
      </w:pPr>
      <w:r>
        <w:rPr>
          <w:rFonts w:ascii="IRNazanin" w:hAnsi="IRNazanin" w:eastAsia="IRNazanin" w:cs="IRNazanin"/>
          <w:lang w:bidi="fa-IR"/>
          <w:color w:val="111111"/>
          <w:sz w:val="28"/>
          <w:szCs w:val="28"/>
          <w:rtl/>
        </w:rPr>
        <w:t xml:space="preserve">٣. مشهد؛ گوهرشاد؛ شماره نسخه: ۷۹۰/۲</w:t>
      </w:r>
    </w:p>
    <w:p>
      <w:pPr>
        <w:pStyle w:val="BookText"/>
      </w:pPr>
      <w:r>
        <w:rPr>
          <w:rFonts w:ascii="IRNazanin" w:hAnsi="IRNazanin" w:eastAsia="IRNazanin" w:cs="IRNazanin"/>
          <w:lang w:bidi="fa-IR"/>
          <w:color w:val="111111"/>
          <w:sz w:val="28"/>
          <w:szCs w:val="28"/>
          <w:rtl/>
        </w:rPr>
        <w:t xml:space="preserve">آغاز: برابر خط: نستعلیق، بی کا، تا: جمادی الاول ۱۲۴۹ق؛ کاغذ: آهار مهره، جلد: تیماج مشکی لایه ای، ۲۹گ (۲۸-۵۶)، ۱۳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۲۰سم [ف: ۲-۹۰۰]</w:t>
      </w:r>
    </w:p>
    <w:p>
      <w:pPr>
        <w:pStyle w:val="BookText"/>
      </w:pPr>
      <w:r>
        <w:rPr>
          <w:rFonts w:ascii="IRNazanin" w:hAnsi="IRNazanin" w:eastAsia="IRNazanin" w:cs="IRNazanin"/>
          <w:lang w:bidi="fa-IR"/>
          <w:color w:val="111111"/>
          <w:sz w:val="28"/>
          <w:szCs w:val="28"/>
          <w:rtl/>
        </w:rPr>
        <w:t xml:space="preserve">۴. تهران؛ ملک؛ شماره نسخه: ۶۴۵۷/۴</w:t>
      </w:r>
    </w:p>
    <w:p>
      <w:pPr>
        <w:pStyle w:val="BookText"/>
      </w:pPr>
      <w:r>
        <w:rPr>
          <w:rFonts w:ascii="IRNazanin" w:hAnsi="IRNazanin" w:eastAsia="IRNazanin" w:cs="IRNazanin"/>
          <w:lang w:bidi="fa-IR"/>
          <w:color w:val="111111"/>
          <w:sz w:val="28"/>
          <w:szCs w:val="28"/>
          <w:rtl/>
        </w:rPr>
        <w:t xml:space="preserve">خط: شکسته، بی کا، تا: چهارشنبه آخر رجب ۱۲۸۴ق؛ کاغذ: ترمه، جلد: میشن قرمز، ۲۳گ (۱۹ر-۴۱پ)، ۱۲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سم [ف: ۹-۴۰۴]</w:t>
      </w:r>
    </w:p>
    <w:p>
      <w:pPr>
        <w:pStyle w:val="BookText"/>
      </w:pPr>
      <w:r>
        <w:rPr>
          <w:rFonts w:ascii="IRNazanin" w:hAnsi="IRNazanin" w:eastAsia="IRNazanin" w:cs="IRNazanin"/>
          <w:lang w:bidi="fa-IR"/>
          <w:color w:val="111111"/>
          <w:sz w:val="28"/>
          <w:szCs w:val="28"/>
          <w:rtl/>
        </w:rPr>
        <w:t xml:space="preserve">۵. تهران؛ مجلس؛ شماره نسخه: ۱۲۴۳/۳</w:t>
      </w:r>
    </w:p>
    <w:p>
      <w:pPr>
        <w:pStyle w:val="BookText"/>
      </w:pPr>
      <w:r>
        <w:rPr>
          <w:rFonts w:ascii="IRNazanin" w:hAnsi="IRNazanin" w:eastAsia="IRNazanin" w:cs="IRNazanin"/>
          <w:lang w:bidi="fa-IR"/>
          <w:color w:val="111111"/>
          <w:sz w:val="28"/>
          <w:szCs w:val="28"/>
          <w:rtl/>
        </w:rPr>
        <w:t xml:space="preserve">حدیث قدسی (ترجمه)، پنجاه موعظه است از تورات و انجیل و گردآوری علی(عليه السلام) به فارسی؛ خط: نسخ، كا: اسمعيل الدزفولی، تا: ۱۳۰۴ق؛ کاغذ: سفید، جلد: مقوایی، عطف تیماج سبز تیره، ۱۰۱ص (۱۲۸-۲۲۸) [سنا: ف: ۲-۱۷۹]</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مشهد؛ گوهرشاد؛ شماره نسخه: ۲۰۴۷/۳</w:t>
      </w:r>
    </w:p>
    <w:p>
      <w:pPr>
        <w:pStyle w:val="BookText"/>
      </w:pPr>
      <w:r>
        <w:rPr>
          <w:rFonts w:ascii="IRNazanin" w:hAnsi="IRNazanin" w:eastAsia="IRNazanin" w:cs="IRNazanin"/>
          <w:lang w:bidi="fa-IR"/>
          <w:color w:val="111111"/>
          <w:sz w:val="28"/>
          <w:szCs w:val="28"/>
          <w:rtl/>
        </w:rPr>
        <w:t xml:space="preserve">آغاز: بسمله، یا ارحم الراحمين الحمدلله رب العالمين و العاقبة للمتقين ... بدان که رساله ای است از کلام حضرت ... این پنجاه موعظه را از تورات و انجیل ضبط نمودند که مؤمنان و شفيعان آن سرور مستفیض شوند؛ انجام: اول آن که گناه تو پوشیده است از مردمان. موجودی تا فصل سی و هفتم می باشد؛ خط: نستعلیق، بی کا، تا: قرن ۱۳؛ افتادگی: انجام؛ کاغذ: نخودی، ۱۲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۵-۴۲۶]</w:t>
      </w:r>
    </w:p>
    <w:p>
      <w:pPr>
        <w:pStyle w:val="Heading3"/>
      </w:pPr>
      <w:bookmarkStart w:id="1759" w:name="_Toc1019"/>
      <w:r>
        <w:t>• پنجاه موقف / کلام و اعتقادات / فارسی</w:t>
      </w:r>
      <w:bookmarkEnd w:id="1759"/>
    </w:p>
    <w:p>
      <w:pPr>
        <w:pStyle w:val="BookText"/>
      </w:pPr>
      <w:r>
        <w:rPr>
          <w:rFonts w:ascii="Times New Roman" w:hAnsi="Times New Roman" w:eastAsia="Times New Roman" w:cs="Times New Roman"/>
          <w:lang w:val="en-US" w:bidi="en-US"/>
          <w:color w:val="111111"/>
          <w:sz w:val="28"/>
          <w:szCs w:val="28"/>
          <w:rtl/>
        </w:rPr>
        <w:t xml:space="preserve">panjāh müqef</w:t>
      </w:r>
    </w:p>
    <w:p>
      <w:pPr>
        <w:pStyle w:val="BookText"/>
      </w:pPr>
      <w:r>
        <w:rPr>
          <w:rFonts w:ascii="IRNazanin" w:hAnsi="IRNazanin" w:eastAsia="IRNazanin" w:cs="IRNazanin"/>
          <w:lang w:bidi="fa-IR"/>
          <w:color w:val="111111"/>
          <w:sz w:val="28"/>
          <w:szCs w:val="28"/>
          <w:rtl/>
        </w:rPr>
        <w:t xml:space="preserve">مجلسی، محمد تقی بن مقصود علی، ۱۰۰۳؟ - ۱۰۷۰ قمری</w:t>
      </w:r>
    </w:p>
    <w:p>
      <w:pPr>
        <w:pStyle w:val="BookText"/>
      </w:pPr>
      <w:r>
        <w:rPr>
          <w:rFonts w:ascii="Times New Roman" w:hAnsi="Times New Roman" w:eastAsia="Times New Roman" w:cs="Times New Roman"/>
          <w:lang w:val="en-US" w:bidi="en-US"/>
          <w:color w:val="111111"/>
          <w:sz w:val="28"/>
          <w:szCs w:val="28"/>
          <w:rtl/>
        </w:rPr>
        <w:t xml:space="preserve">majlesī, mohammad taqī ebn-e maqsūd ‘alī (1595 1660)</w:t>
      </w:r>
    </w:p>
    <w:p>
      <w:pPr>
        <w:pStyle w:val="BookText"/>
      </w:pPr>
      <w:r>
        <w:rPr>
          <w:rFonts w:ascii="IRNazanin" w:hAnsi="IRNazanin" w:eastAsia="IRNazanin" w:cs="IRNazanin"/>
          <w:lang w:bidi="fa-IR"/>
          <w:color w:val="111111"/>
          <w:sz w:val="28"/>
          <w:szCs w:val="28"/>
          <w:rtl/>
        </w:rPr>
        <w:t xml:space="preserve">ترجمه و شرح دو حدیث است که مرحوم کلینی در کافی شریف به نقل از امام صادق(عليه السلام) درباره مواقف قیامت روایت کرده است. آغاز: بسمله ثقة الاسلام و رئیس المحدثين محمد بن يعقوب کلینی رضی الله عنه روایت کرده است بسندی که معتبر است از حضرت جعفر صادق عليه السلام که آن حضرت فرمودند که هر که خواهد که چنین شود که آنچه از جناب اقدس الهی انجام: بطمع دوزخ بجای آورد مزدوری کرده باشد چنانکه گفته اند: تو بندگی چو گدایان به شرط مزد مکن***که دوست خود روش بنده پروری داند. تمت ترجمه الحديث</w:t>
      </w:r>
    </w:p>
    <w:p>
      <w:pPr>
        <w:pStyle w:val="BookText"/>
      </w:pPr>
      <w:r>
        <w:rPr>
          <w:rFonts w:ascii="IRNazanin" w:hAnsi="IRNazanin" w:eastAsia="IRNazanin" w:cs="IRNazanin"/>
          <w:lang w:bidi="fa-IR"/>
          <w:color w:val="111111"/>
          <w:sz w:val="28"/>
          <w:szCs w:val="28"/>
          <w:rtl/>
        </w:rPr>
        <w:t xml:space="preserve">[ دنا ۶۳۷/۲ -۶۳۸؛ فهرستگان حديث ۴۶۸/۲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۸۹۱۲/۴</w:t>
      </w:r>
    </w:p>
    <w:p>
      <w:pPr>
        <w:pStyle w:val="BookText"/>
      </w:pPr>
      <w:r>
        <w:rPr>
          <w:rFonts w:ascii="IRNazanin" w:hAnsi="IRNazanin" w:eastAsia="IRNazanin" w:cs="IRNazanin"/>
          <w:lang w:bidi="fa-IR"/>
          <w:color w:val="111111"/>
          <w:sz w:val="28"/>
          <w:szCs w:val="28"/>
          <w:rtl/>
        </w:rPr>
        <w:t xml:space="preserve">آغاز: و روایت کرده است در صحیح از حضرت امام محمد باقر صلوات الله عليه که فرمودند که از حضرت سید المرسلین صلی الله عليه و اله سوال کردند از تفسیر آیه کریمه ... يوم نحشر المتقين إلى الرحمن و فدا؛ انجام: ولیکن حدیثی بدین جمعیت ندیده ام. می باید که عرب عربی را حفظ کند و عجم این شرح را تا سبب ازدیاد شوق ایشان گردد به بهشت و همچنین حديث سابق را که در پنجاه موقفست می باید که حفظ نمایند تا سبب خوف ایشان باشد از عقوبات الهى و في نفسه خوف و رجا مطلویست هر چند مطلوب نیست که بنده عبادات و طاعات را از جهة خوف جهنم و طمع بهشت به جا آورد. تو بندگی چو گدایان به شرط مزد مکن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که دوست خود روش بنده پروری داند. مترجم هذين الحديثين الشرفين العالم الفاضل الصالح قدوة المحدثین المغفور مولانا محمد تقی المجلسي تغمده الله بغفرانه. خط: نسخ و نستعلیق، بی کا، تا: قرن ۱۲؛ چلیپا و معمولی؛ کاغذ: نخودی آهار مهره، جلد: زیتونی مقوایی ضربی با ترنج و سرترنج مجدول عطف چرم قهوه ای، ۹ص</w:t>
      </w:r>
    </w:p>
    <w:p>
      <w:pPr>
        <w:pStyle w:val="BookText"/>
      </w:pPr>
      <w:r>
        <w:rPr>
          <w:rFonts w:ascii="IRNazanin" w:hAnsi="IRNazanin" w:eastAsia="IRNazanin" w:cs="IRNazanin"/>
          <w:lang w:bidi="fa-IR"/>
          <w:color w:val="111111"/>
          <w:sz w:val="28"/>
          <w:szCs w:val="28"/>
          <w:rtl/>
        </w:rPr>
        <w:t xml:space="preserve">(۱۷۳-۱۸۱)، اندازه: ۱۴/۳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۸/۹ سم [ف: ۲۹/۱ -۳۰۹ ]</w:t>
      </w:r>
    </w:p>
    <w:p>
      <w:pPr>
        <w:pStyle w:val="BookText"/>
      </w:pPr>
      <w:r>
        <w:rPr>
          <w:rFonts w:ascii="IRNazanin" w:hAnsi="IRNazanin" w:eastAsia="IRNazanin" w:cs="IRNazanin"/>
          <w:lang w:bidi="fa-IR"/>
          <w:color w:val="111111"/>
          <w:sz w:val="28"/>
          <w:szCs w:val="28"/>
          <w:rtl/>
        </w:rPr>
        <w:t xml:space="preserve">۲. تهران: ملی؛ شماره نسخه: ۲۹۱۵/۵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فهرست با عنوان «رساله اعتقاد» آمده؛ بی کا، تا: محتملا قرن ۱۳؛ کاغذ: ترمه اصفهانی، جلد: مقوایی، تیماج مشکی، ترنج و نیم ترنج کوبیده، ۷ص (۱۵۸-۱۶۴)، ۲۱سطر کامل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۶-۶۳۸]</w:t>
      </w:r>
    </w:p>
    <w:p>
      <w:pPr>
        <w:pStyle w:val="BookText"/>
      </w:pPr>
      <w:r>
        <w:rPr>
          <w:rFonts w:ascii="IRNazanin" w:hAnsi="IRNazanin" w:eastAsia="IRNazanin" w:cs="IRNazanin"/>
          <w:lang w:bidi="fa-IR"/>
          <w:color w:val="111111"/>
          <w:sz w:val="28"/>
          <w:szCs w:val="28"/>
          <w:rtl/>
        </w:rPr>
        <w:t xml:space="preserve">٣. مشهد؛ گوهرشاد؛ شماره نسخه: ۵۳۷/۳</w:t>
      </w:r>
    </w:p>
    <w:p>
      <w:pPr>
        <w:pStyle w:val="BookText"/>
      </w:pPr>
      <w:r>
        <w:rPr>
          <w:rFonts w:ascii="IRNazanin" w:hAnsi="IRNazanin" w:eastAsia="IRNazanin" w:cs="IRNazanin"/>
          <w:lang w:bidi="fa-IR"/>
          <w:color w:val="111111"/>
          <w:sz w:val="28"/>
          <w:szCs w:val="28"/>
          <w:rtl/>
        </w:rPr>
        <w:t xml:space="preserve">آغاز و انجام: برابر خط: نستعلیق، کا: محمد رضا، تا: 7 رجب ۱۲۳۵ق، بخواهش برادرش محمد ظاهر شاطر خباز، کاغذ: فرنگی آهار مهره، جلد: تیماج مشکی عطف میشن سرخ، ۱۵ سطر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۲-۶۴۳]</w:t>
      </w:r>
    </w:p>
    <w:p>
      <w:pPr>
        <w:pStyle w:val="BookText"/>
      </w:pPr>
      <w:r>
        <w:rPr>
          <w:rFonts w:ascii="IRNazanin" w:hAnsi="IRNazanin" w:eastAsia="IRNazanin" w:cs="IRNazanin"/>
          <w:lang w:bidi="fa-IR"/>
          <w:color w:val="111111"/>
          <w:sz w:val="28"/>
          <w:szCs w:val="28"/>
          <w:rtl/>
        </w:rPr>
        <w:t xml:space="preserve">۴. مشهد؛ گوهرشاد؛ شماره نسخه: ۱۱۳۸/۲</w:t>
      </w:r>
    </w:p>
    <w:p>
      <w:pPr>
        <w:pStyle w:val="BookText"/>
      </w:pPr>
      <w:r>
        <w:rPr>
          <w:rFonts w:ascii="IRNazanin" w:hAnsi="IRNazanin" w:eastAsia="IRNazanin" w:cs="IRNazanin"/>
          <w:lang w:bidi="fa-IR"/>
          <w:color w:val="111111"/>
          <w:sz w:val="28"/>
          <w:szCs w:val="28"/>
          <w:rtl/>
        </w:rPr>
        <w:t xml:space="preserve">آغاز: بسمله حمدله بدانکه محمد بن یعقوب کلینی رضی روایت کرده است؛ انجام: برابر خط: نستعلیق، بی کا، تا: ۱۲۵۰ق؛ مهر: حاج سید سعید؛ کاغذ: فرنگی، جلد: تیماج مشکی لایه ای، ۱۲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05" w:name="pg20363_209568"/>
    <w:bookmarkEnd w:id="305"/>
    <w:p>
      <w:pPr>
        <w:pStyle w:val="BookText"/>
      </w:pPr>
      <w:r>
        <w:rPr>
          <w:rFonts w:ascii="IRNazanin" w:hAnsi="IRNazanin" w:eastAsia="IRNazanin" w:cs="IRNazanin"/>
          <w:lang w:bidi="fa-IR"/>
          <w:color w:val="111111"/>
          <w:sz w:val="28"/>
          <w:szCs w:val="28"/>
          <w:rtl/>
        </w:rPr>
        <w:t xml:space="preserve">۱۱/۵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۳-۱۵۸۲]</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طبسی؛ شماره نسخه: ۴۳۰/۵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فهرست ناشناس آمده؛ خط: نسخ، بی کا، بی تا، جلد: تیماج مشکی، ضربی، مجدول گرهی، ۶گ، ۲۰ سطر،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۲۰سم [ف مخ: ۱-۱۱۴]</w:t>
      </w:r>
    </w:p>
    <w:p>
      <w:pPr>
        <w:pStyle w:val="BookText"/>
      </w:pPr>
      <w:r>
        <w:rPr>
          <w:rFonts w:ascii="IRNazanin" w:hAnsi="IRNazanin" w:eastAsia="IRNazanin" w:cs="IRNazanin"/>
          <w:lang w:bidi="fa-IR"/>
          <w:color w:val="111111"/>
          <w:sz w:val="28"/>
          <w:szCs w:val="28"/>
          <w:rtl/>
        </w:rPr>
        <w:t xml:space="preserve">← پنج باب ← صحیفه عدلیه</w:t>
      </w:r>
    </w:p>
    <w:p>
      <w:pPr>
        <w:pStyle w:val="Heading3"/>
      </w:pPr>
      <w:bookmarkStart w:id="1760" w:name="_Toc1020"/>
      <w:r>
        <w:t>• پنج بیت از ابوحنیفه / شعر / عربی</w:t>
      </w:r>
      <w:bookmarkEnd w:id="1760"/>
    </w:p>
    <w:p>
      <w:pPr>
        <w:pStyle w:val="BookText"/>
      </w:pPr>
      <w:r>
        <w:rPr>
          <w:rFonts w:ascii="Times New Roman" w:hAnsi="Times New Roman" w:eastAsia="Times New Roman" w:cs="Times New Roman"/>
          <w:lang w:val="en-US" w:bidi="en-US"/>
          <w:color w:val="111111"/>
          <w:sz w:val="28"/>
          <w:szCs w:val="28"/>
          <w:rtl/>
        </w:rPr>
        <w:t xml:space="preserve">panj beyt az abū-hanīfe</w:t>
      </w:r>
    </w:p>
    <w:p>
      <w:pPr>
        <w:pStyle w:val="BookText"/>
      </w:pPr>
      <w:r>
        <w:rPr>
          <w:rFonts w:ascii="IRNazanin" w:hAnsi="IRNazanin" w:eastAsia="IRNazanin" w:cs="IRNazanin"/>
          <w:lang w:bidi="fa-IR"/>
          <w:color w:val="111111"/>
          <w:sz w:val="28"/>
          <w:szCs w:val="28"/>
          <w:rtl/>
        </w:rPr>
        <w:t xml:space="preserve">تهران؛ مجلس؛ شماره نسخه: ۱۵۹۴۸/۴</w:t>
      </w:r>
    </w:p>
    <w:p>
      <w:pPr>
        <w:pStyle w:val="BookText"/>
      </w:pPr>
      <w:r>
        <w:rPr>
          <w:rFonts w:ascii="IRNazanin" w:hAnsi="IRNazanin" w:eastAsia="IRNazanin" w:cs="IRNazanin"/>
          <w:lang w:bidi="fa-IR"/>
          <w:color w:val="111111"/>
          <w:sz w:val="28"/>
          <w:szCs w:val="28"/>
          <w:rtl/>
        </w:rPr>
        <w:t xml:space="preserve">خط: نسخ، بی کا، تا: ق ۱۲ و ۱۳؛ جلد: مقوا عطف پارچه، اگ (۱۳ر)، ۱۴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۴۴-۱۵۱]</w:t>
      </w:r>
    </w:p>
    <w:p>
      <w:pPr>
        <w:pStyle w:val="Heading3"/>
      </w:pPr>
      <w:bookmarkStart w:id="1761" w:name="_Toc1021"/>
      <w:r>
        <w:t>•پنج تفضیح / كلام و اعتقادات / فارسی</w:t>
      </w:r>
      <w:bookmarkEnd w:id="1761"/>
    </w:p>
    <w:p>
      <w:pPr>
        <w:pStyle w:val="BookText"/>
      </w:pPr>
      <w:r>
        <w:rPr>
          <w:rFonts w:ascii="Times New Roman" w:hAnsi="Times New Roman" w:eastAsia="Times New Roman" w:cs="Times New Roman"/>
          <w:lang w:val="en-US" w:bidi="en-US"/>
          <w:color w:val="111111"/>
          <w:sz w:val="28"/>
          <w:szCs w:val="28"/>
          <w:rtl/>
        </w:rPr>
        <w:t xml:space="preserve">panj tafzīh</w:t>
      </w:r>
    </w:p>
    <w:p>
      <w:pPr>
        <w:pStyle w:val="BookText"/>
      </w:pPr>
      <w:r>
        <w:rPr>
          <w:rFonts w:ascii="IRNazanin" w:hAnsi="IRNazanin" w:eastAsia="IRNazanin" w:cs="IRNazanin"/>
          <w:lang w:bidi="fa-IR"/>
          <w:color w:val="111111"/>
          <w:sz w:val="28"/>
          <w:szCs w:val="28"/>
          <w:rtl/>
        </w:rPr>
        <w:t xml:space="preserve">اهدا به: نصیر الدین حیدر سلیمانجاه تاریخ تأليف: ۱۲۵۳ق یکی از عامه در اثر ریاضات بعضی مردم را اغوا می کرده و اخباراتی می نموده است و به کمک آن به ترویج مذهب سنی می پرداخته است. مصنف این کتاب را به پنج قسمت تقسیم نموده و در هر قسمت یکی از اصول دین پنج گانه را طبق عقیده عامه بیان نموده و بطلان آن را روشن کرده است. هر یک از پنج تفضيح» به چند تذلیل قسمت شده است.</w:t>
      </w:r>
    </w:p>
    <w:p>
      <w:pPr>
        <w:pStyle w:val="BookText"/>
      </w:pPr>
      <w:r>
        <w:rPr>
          <w:rFonts w:ascii="IRNazanin" w:hAnsi="IRNazanin" w:eastAsia="IRNazanin" w:cs="IRNazanin"/>
          <w:lang w:bidi="fa-IR"/>
          <w:color w:val="111111"/>
          <w:sz w:val="28"/>
          <w:szCs w:val="28"/>
          <w:rtl/>
        </w:rPr>
        <w:t xml:space="preserve">مشهد؛ شیخ علی حیدر، شماره نسخه: ۱۱۸۰</w:t>
      </w:r>
    </w:p>
    <w:p>
      <w:pPr>
        <w:pStyle w:val="BookText"/>
      </w:pPr>
      <w:r>
        <w:rPr>
          <w:rFonts w:ascii="IRNazanin" w:hAnsi="IRNazanin" w:eastAsia="IRNazanin" w:cs="IRNazanin"/>
          <w:lang w:bidi="fa-IR"/>
          <w:color w:val="111111"/>
          <w:sz w:val="28"/>
          <w:szCs w:val="28"/>
          <w:rtl/>
        </w:rPr>
        <w:t xml:space="preserve">آغاز: الحمدلله الملك الجبر القهار خالق الجنة و النار محرک الارض و السماء؛ انجام: و على المرتضى و الائمة الطاهرين من آله و لعن الله اعدائهم اجمعين الى يوم الدين خط: نستعلیق، کاتب = مؤلف، تا: ۱۲۵۳ق؛ جلد: تیماج قهوه ای، ۵۹گ، ۱۱سطر،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(مؤید: ۳-۱۵۳]</w:t>
      </w:r>
    </w:p>
    <w:p>
      <w:pPr>
        <w:pStyle w:val="Heading3"/>
      </w:pPr>
      <w:bookmarkStart w:id="1762" w:name="_Toc1022"/>
      <w:r>
        <w:t>• پنج تقرير / فلسفه / فارسی</w:t>
      </w:r>
      <w:bookmarkEnd w:id="1762"/>
    </w:p>
    <w:p>
      <w:pPr>
        <w:pStyle w:val="BookText"/>
      </w:pPr>
      <w:r>
        <w:rPr>
          <w:rFonts w:ascii="Times New Roman" w:hAnsi="Times New Roman" w:eastAsia="Times New Roman" w:cs="Times New Roman"/>
          <w:lang w:val="en-US" w:bidi="en-US"/>
          <w:color w:val="111111"/>
          <w:sz w:val="28"/>
          <w:szCs w:val="28"/>
          <w:rtl/>
        </w:rPr>
        <w:t xml:space="preserve">panj taqrīr</w:t>
      </w:r>
    </w:p>
    <w:p>
      <w:pPr>
        <w:pStyle w:val="BookText"/>
      </w:pPr>
      <w:r>
        <w:rPr>
          <w:rFonts w:ascii="IRNazanin" w:hAnsi="IRNazanin" w:eastAsia="IRNazanin" w:cs="IRNazanin"/>
          <w:lang w:bidi="fa-IR"/>
          <w:color w:val="111111"/>
          <w:sz w:val="28"/>
          <w:szCs w:val="28"/>
          <w:rtl/>
        </w:rPr>
        <w:t xml:space="preserve">بابا افضل کاشانی، محمد بن حسین، -۶۶۷؟ قمری</w:t>
      </w:r>
    </w:p>
    <w:p>
      <w:pPr>
        <w:pStyle w:val="BookText"/>
      </w:pPr>
      <w:r>
        <w:rPr>
          <w:rFonts w:ascii="Times New Roman" w:hAnsi="Times New Roman" w:eastAsia="Times New Roman" w:cs="Times New Roman"/>
          <w:lang w:val="en-US" w:bidi="en-US"/>
          <w:color w:val="111111"/>
          <w:sz w:val="28"/>
          <w:szCs w:val="28"/>
          <w:rtl/>
        </w:rPr>
        <w:t xml:space="preserve">bābā afzal-e kāšānī, mohammad ebn-e hoseyn (- 1269)</w:t>
      </w:r>
    </w:p>
    <w:p>
      <w:pPr>
        <w:pStyle w:val="BookText"/>
      </w:pPr>
      <w:r>
        <w:rPr>
          <w:rFonts w:ascii="IRNazanin" w:hAnsi="IRNazanin" w:eastAsia="IRNazanin" w:cs="IRNazanin"/>
          <w:lang w:bidi="fa-IR"/>
          <w:color w:val="111111"/>
          <w:sz w:val="28"/>
          <w:szCs w:val="28"/>
          <w:rtl/>
        </w:rPr>
        <w:t xml:space="preserve">تهران؛ مینوی؛ شماره نسخه: ۱۶/۴</w:t>
      </w:r>
    </w:p>
    <w:p>
      <w:pPr>
        <w:pStyle w:val="BookText"/>
      </w:pPr>
      <w:r>
        <w:rPr>
          <w:rFonts w:ascii="IRNazanin" w:hAnsi="IRNazanin" w:eastAsia="IRNazanin" w:cs="IRNazanin"/>
          <w:lang w:bidi="fa-IR"/>
          <w:color w:val="111111"/>
          <w:sz w:val="28"/>
          <w:szCs w:val="28"/>
          <w:rtl/>
        </w:rPr>
        <w:t xml:space="preserve">خط: نستعلیق، کا: محمد اسماعيل حسینی، تا پایان ذیحجه ۱۳۹۱ق؛ قطع: ربعی [نشریه: ۶-۶۷۳]</w:t>
      </w:r>
    </w:p>
    <w:p>
      <w:pPr>
        <w:pStyle w:val="Heading3"/>
      </w:pPr>
      <w:bookmarkStart w:id="1763" w:name="_Toc1023"/>
      <w:r>
        <w:t>• پنج تن (جدول) / متفرقه</w:t>
      </w:r>
      <w:bookmarkEnd w:id="1763"/>
    </w:p>
    <w:p>
      <w:pPr>
        <w:pStyle w:val="BookText"/>
      </w:pPr>
      <w:r>
        <w:rPr>
          <w:rFonts w:ascii="Times New Roman" w:hAnsi="Times New Roman" w:eastAsia="Times New Roman" w:cs="Times New Roman"/>
          <w:lang w:val="en-US" w:bidi="en-US"/>
          <w:color w:val="111111"/>
          <w:sz w:val="28"/>
          <w:szCs w:val="28"/>
          <w:rtl/>
        </w:rPr>
        <w:t xml:space="preserve">panj tan (jadval)</w:t>
      </w:r>
    </w:p>
    <w:p>
      <w:pPr>
        <w:pStyle w:val="BookText"/>
      </w:pPr>
      <w:r>
        <w:rPr>
          <w:rFonts w:ascii="IRNazanin" w:hAnsi="IRNazanin" w:eastAsia="IRNazanin" w:cs="IRNazanin"/>
          <w:lang w:bidi="fa-IR"/>
          <w:color w:val="111111"/>
          <w:sz w:val="28"/>
          <w:szCs w:val="28"/>
          <w:rtl/>
        </w:rPr>
        <w:t xml:space="preserve">تهران؛ مجلس؛ شماره نسخه: ۳۷۸/۸ -طباطبائی</w:t>
      </w:r>
    </w:p>
    <w:p>
      <w:pPr>
        <w:pStyle w:val="BookText"/>
      </w:pPr>
      <w:r>
        <w:rPr>
          <w:rFonts w:ascii="IRNazanin" w:hAnsi="IRNazanin" w:eastAsia="IRNazanin" w:cs="IRNazanin"/>
          <w:lang w:bidi="fa-IR"/>
          <w:color w:val="111111"/>
          <w:sz w:val="28"/>
          <w:szCs w:val="28"/>
          <w:rtl/>
        </w:rPr>
        <w:t xml:space="preserve">جدولی است از هر طرف ده خانه دارد و در آن نام پنج تن (= خمسه آل عباع) پر شده است؛ کا: زین العابدین بن حاج علیرضا، تا: ۱۰۷۶ق؛ افزودگی: خواص</w:t>
      </w:r>
    </w:p>
    <w:p>
      <w:pPr>
        <w:pStyle w:val="BookText"/>
      </w:pPr>
      <w:r>
        <w:rPr>
          <w:rFonts w:ascii="IRNazanin" w:hAnsi="IRNazanin" w:eastAsia="IRNazanin" w:cs="IRNazanin"/>
          <w:lang w:bidi="fa-IR"/>
          <w:color w:val="111111"/>
          <w:sz w:val="28"/>
          <w:szCs w:val="28"/>
          <w:rtl/>
        </w:rPr>
        <w:t xml:space="preserve">بعضی آیات، آزادنامه</w:t>
      </w:r>
    </w:p>
    <w:p>
      <w:pPr>
        <w:pStyle w:val="BookText"/>
      </w:pPr>
      <w:r>
        <w:rPr>
          <w:rFonts w:ascii="IRNazanin" w:hAnsi="IRNazanin" w:eastAsia="IRNazanin" w:cs="IRNazanin"/>
          <w:lang w:bidi="fa-IR"/>
          <w:color w:val="111111"/>
          <w:sz w:val="28"/>
          <w:szCs w:val="28"/>
          <w:rtl/>
        </w:rPr>
        <w:t xml:space="preserve">قنبر؛ تملك: كاتب؛ کاغذ: اصفهانی، جلد: تیماج سیاه، اگ (۱۳ر)، قطع: رقعی،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سم آف: ۲۲-۱۳۲]</w:t>
      </w:r>
    </w:p>
    <w:p>
      <w:pPr>
        <w:pStyle w:val="Heading3"/>
      </w:pPr>
      <w:bookmarkStart w:id="1764" w:name="_Toc1024"/>
      <w:r>
        <w:t>• پنج رقعه / ادبیات فارسی</w:t>
      </w:r>
      <w:bookmarkEnd w:id="1764"/>
    </w:p>
    <w:p>
      <w:pPr>
        <w:pStyle w:val="BookText"/>
      </w:pPr>
      <w:r>
        <w:rPr>
          <w:rFonts w:ascii="Times New Roman" w:hAnsi="Times New Roman" w:eastAsia="Times New Roman" w:cs="Times New Roman"/>
          <w:lang w:val="en-US" w:bidi="en-US"/>
          <w:color w:val="111111"/>
          <w:sz w:val="28"/>
          <w:szCs w:val="28"/>
          <w:rtl/>
        </w:rPr>
        <w:t xml:space="preserve">panj-e roq'e</w:t>
      </w:r>
    </w:p>
    <w:p>
      <w:pPr>
        <w:pStyle w:val="BookText"/>
      </w:pPr>
      <w:r>
        <w:rPr>
          <w:rFonts w:ascii="IRNazanin" w:hAnsi="IRNazanin" w:eastAsia="IRNazanin" w:cs="IRNazanin"/>
          <w:lang w:bidi="fa-IR"/>
          <w:color w:val="111111"/>
          <w:sz w:val="28"/>
          <w:szCs w:val="28"/>
          <w:rtl/>
        </w:rPr>
        <w:t xml:space="preserve">واضح ساوجی، مبارک الله بن اسحاق، -۱۱۲۸ قمری</w:t>
      </w:r>
    </w:p>
    <w:p>
      <w:pPr>
        <w:pStyle w:val="BookText"/>
      </w:pPr>
      <w:r>
        <w:rPr>
          <w:rFonts w:ascii="Times New Roman" w:hAnsi="Times New Roman" w:eastAsia="Times New Roman" w:cs="Times New Roman"/>
          <w:lang w:val="en-US" w:bidi="en-US"/>
          <w:color w:val="111111"/>
          <w:sz w:val="28"/>
          <w:szCs w:val="28"/>
          <w:rtl/>
        </w:rPr>
        <w:t xml:space="preserve">vāzeh-e sāvajī, mobārak-ol-lāh ebn-e eshāq (- 1716)</w:t>
      </w:r>
    </w:p>
    <w:p>
      <w:pPr>
        <w:pStyle w:val="BookText"/>
      </w:pPr>
      <w:r>
        <w:rPr>
          <w:rFonts w:ascii="IRNazanin" w:hAnsi="IRNazanin" w:eastAsia="IRNazanin" w:cs="IRNazanin"/>
          <w:lang w:bidi="fa-IR"/>
          <w:color w:val="111111"/>
          <w:sz w:val="28"/>
          <w:szCs w:val="28"/>
          <w:rtl/>
        </w:rPr>
        <w:t xml:space="preserve">مجموعه رقعات و منشأتی است از واضح ساوجی که به غلط به ظهوری ترشیزی نسبت داده اند. شامل شش «نامه»: 1. شهید تبسم ایست عشوه خون بها، ۲. فرقنامه یا آب از فرق گذشته، ۳. زیبا عروس دولت را از روز .... ۴. قربانی چشم بسته عید قربان ... ۵. پشت بدیوار شش کدورت، ۶. در اظهار مسکنت چشم افکنده نگاه آشنا. در بعضی از نسخ پنج رقعه می باشد که بدین نام مشهور شده است. پنج رقعه ای است که مؤلف برای نشان دادن توانایی نویسندگی خود نوشته است. در فهرست مشار جلد اول صفحه ۹۴۹ هشت چاپ از آن معرفی کرده که شش چاپ آن را زیر این نام و دو چاپ را به نام ظهوری آورده است. چاپ: مشار فارسی؛ ج ۱، ص ۹۱۴۹-۹۵۰ گانپور؛ سنگی؛ ۱۸۸۹م (چاپ یازدهم)؛ وزیری؛ ص ۴۸</w:t>
      </w:r>
    </w:p>
    <w:p>
      <w:pPr>
        <w:pStyle w:val="BookText"/>
      </w:pPr>
      <w:r>
        <w:rPr>
          <w:rFonts w:ascii="IRNazanin" w:hAnsi="IRNazanin" w:eastAsia="IRNazanin" w:cs="IRNazanin"/>
          <w:lang w:bidi="fa-IR"/>
          <w:color w:val="111111"/>
          <w:sz w:val="28"/>
          <w:szCs w:val="28"/>
          <w:rtl/>
        </w:rPr>
        <w:t xml:space="preserve">[مشترک پاکستان ۲۸۲/۵ ؛ نسخه های منزوی ۵/ ۳۵۴۰]</w:t>
      </w:r>
    </w:p>
    <w:p>
      <w:pPr>
        <w:pStyle w:val="BookText"/>
      </w:pPr>
      <w:r>
        <w:rPr>
          <w:rFonts w:ascii="IRNazanin" w:hAnsi="IRNazanin" w:eastAsia="IRNazanin" w:cs="IRNazanin"/>
          <w:lang w:bidi="fa-IR"/>
          <w:color w:val="111111"/>
          <w:sz w:val="28"/>
          <w:szCs w:val="28"/>
          <w:rtl/>
        </w:rPr>
        <w:t xml:space="preserve">۱. تهران: ملی؛ شماره نسخه: ۷۰۴۵</w:t>
      </w:r>
    </w:p>
    <w:p>
      <w:pPr>
        <w:pStyle w:val="BookText"/>
      </w:pPr>
      <w:r>
        <w:rPr>
          <w:rFonts w:ascii="IRNazanin" w:hAnsi="IRNazanin" w:eastAsia="IRNazanin" w:cs="IRNazanin"/>
          <w:lang w:bidi="fa-IR"/>
          <w:color w:val="111111"/>
          <w:sz w:val="28"/>
          <w:szCs w:val="28"/>
          <w:rtl/>
        </w:rPr>
        <w:t xml:space="preserve">آغاز: شهید تبمس ايست عشوه ی خون بها، مقتول رنگین مطلب شیرین مدعا؛ انجام: در خیال وصال آن تو نگر کنج حسن محو تماشاست، نگاه گرسنه چشمم سر خیل یکجهان نادیده گذاشت. خط شکسته نستعلیق، بی کا، تا: قرن ۱۳ دارای سرلوح، مجدول یادداشت مالکیت کتاب بدین مضمون «هذا الكتاب جهانگشای خاقانی و در اوست انشاءات و رقعه جات و معروف و مشتمل است بر هفت داستان و بسمه تعالی من عوارى الدهر لدى الجانی عبدالرزاق بن علیرضا اصفهانی الحایی»؛ کاغذ: اصفهانی، جلد: روکش تیماج سیاه رنگ نقوش لوزی جدول حاشیه ای، ۳۱گ، ۱۴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۱۳/۶ سم [رایانه]</w:t>
      </w:r>
    </w:p>
    <w:p>
      <w:pPr>
        <w:pStyle w:val="BookText"/>
      </w:pPr>
      <w:r>
        <w:rPr>
          <w:rFonts w:ascii="IRNazanin" w:hAnsi="IRNazanin" w:eastAsia="IRNazanin" w:cs="IRNazanin"/>
          <w:lang w:bidi="fa-IR"/>
          <w:color w:val="111111"/>
          <w:sz w:val="28"/>
          <w:szCs w:val="28"/>
          <w:rtl/>
        </w:rPr>
        <w:t xml:space="preserve">۲. تهران، دانشگاه؛ شماره نسخه: ۶۱۵۲/۲ _ف</w:t>
      </w:r>
    </w:p>
    <w:p>
      <w:pPr>
        <w:pStyle w:val="BookText"/>
      </w:pPr>
      <w:r>
        <w:rPr>
          <w:rFonts w:ascii="IRNazanin" w:hAnsi="IRNazanin" w:eastAsia="IRNazanin" w:cs="IRNazanin"/>
          <w:lang w:bidi="fa-IR"/>
          <w:color w:val="111111"/>
          <w:sz w:val="28"/>
          <w:szCs w:val="28"/>
          <w:rtl/>
        </w:rPr>
        <w:t xml:space="preserve">بی کا، بی تا [فيلمها ف: ۳-۲۰۳]</w:t>
      </w:r>
    </w:p>
    <w:p>
      <w:pPr>
        <w:pStyle w:val="Heading3"/>
      </w:pPr>
      <w:bookmarkStart w:id="1765" w:name="_Toc1025"/>
      <w:r>
        <w:t>• پنج شأن / بهائیت / فارسی</w:t>
      </w:r>
      <w:bookmarkEnd w:id="1765"/>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06" w:name="pg20363_209569"/>
    <w:bookmarkEnd w:id="306"/>
    <w:p>
      <w:pPr>
        <w:pStyle w:val="BookText"/>
      </w:pPr>
      <w:r>
        <w:rPr>
          <w:rFonts w:ascii="Times New Roman" w:hAnsi="Times New Roman" w:eastAsia="Times New Roman" w:cs="Times New Roman"/>
          <w:lang w:val="en-US" w:bidi="en-US"/>
          <w:color w:val="111111"/>
          <w:sz w:val="28"/>
          <w:szCs w:val="28"/>
          <w:rtl/>
        </w:rPr>
        <w:t xml:space="preserve">panj ša’n</w:t>
      </w:r>
    </w:p>
    <w:p>
      <w:pPr>
        <w:pStyle w:val="BookText"/>
      </w:pPr>
      <w:r>
        <w:rPr>
          <w:rFonts w:ascii="IRNazanin" w:hAnsi="IRNazanin" w:eastAsia="IRNazanin" w:cs="IRNazanin"/>
          <w:lang w:bidi="fa-IR"/>
          <w:color w:val="111111"/>
          <w:sz w:val="28"/>
          <w:szCs w:val="28"/>
          <w:rtl/>
        </w:rPr>
        <w:t xml:space="preserve">باب، على محمد بن محمد رضا، ۱۲۳۶؟ - ۱۲۶۶ قمری</w:t>
      </w:r>
    </w:p>
    <w:p>
      <w:pPr>
        <w:pStyle w:val="BookText"/>
      </w:pPr>
      <w:r>
        <w:rPr>
          <w:rFonts w:ascii="Times New Roman" w:hAnsi="Times New Roman" w:eastAsia="Times New Roman" w:cs="Times New Roman"/>
          <w:lang w:val="en-US" w:bidi="en-US"/>
          <w:color w:val="111111"/>
          <w:sz w:val="28"/>
          <w:szCs w:val="28"/>
          <w:rtl/>
        </w:rPr>
        <w:t xml:space="preserve">bāb, ‘alī mohammad ebn-e mohammad rezā (1821 1850)</w:t>
      </w:r>
    </w:p>
    <w:p>
      <w:pPr>
        <w:pStyle w:val="BookText"/>
      </w:pPr>
      <w:r>
        <w:rPr>
          <w:rFonts w:ascii="IRNazanin" w:hAnsi="IRNazanin" w:eastAsia="IRNazanin" w:cs="IRNazanin"/>
          <w:lang w:bidi="fa-IR"/>
          <w:color w:val="111111"/>
          <w:sz w:val="28"/>
          <w:szCs w:val="28"/>
          <w:rtl/>
        </w:rPr>
        <w:t xml:space="preserve">آغاز: بسم الله الأعلم الأعلم. تسبیح و تقدیس ذات قيوم لم یزلی را سزاوار بوده و هست که لم يزل به استجلال استقلال ذات مقدس خود بوده چاپ: چاپ شده</w:t>
      </w:r>
    </w:p>
    <w:p>
      <w:pPr>
        <w:pStyle w:val="BookText"/>
      </w:pPr>
      <w:r>
        <w:rPr>
          <w:rFonts w:ascii="IRNazanin" w:hAnsi="IRNazanin" w:eastAsia="IRNazanin" w:cs="IRNazanin"/>
          <w:lang w:bidi="fa-IR"/>
          <w:color w:val="111111"/>
          <w:sz w:val="28"/>
          <w:szCs w:val="28"/>
          <w:rtl/>
        </w:rPr>
        <w:t xml:space="preserve">۱. تهران، دانشگاه؛ شماره نسخه: ۱۰۷۸۶/۵</w:t>
      </w:r>
    </w:p>
    <w:p>
      <w:pPr>
        <w:pStyle w:val="BookText"/>
      </w:pPr>
      <w:r>
        <w:rPr>
          <w:rFonts w:ascii="IRNazanin" w:hAnsi="IRNazanin" w:eastAsia="IRNazanin" w:cs="IRNazanin"/>
          <w:lang w:bidi="fa-IR"/>
          <w:color w:val="111111"/>
          <w:sz w:val="28"/>
          <w:szCs w:val="28"/>
          <w:rtl/>
        </w:rPr>
        <w:t xml:space="preserve">آغاز: برابر؛ انجام: از معرفت حروف حي و كل ما يتفرع على الدين في البيان و الله يختص بفضلك من يشاء انه هو الوهاب الکریم</w:t>
      </w:r>
    </w:p>
    <w:p>
      <w:pPr>
        <w:pStyle w:val="BookText"/>
      </w:pPr>
      <w:r>
        <w:rPr>
          <w:rFonts w:ascii="IRNazanin" w:hAnsi="IRNazanin" w:eastAsia="IRNazanin" w:cs="IRNazanin"/>
          <w:lang w:bidi="fa-IR"/>
          <w:color w:val="111111"/>
          <w:sz w:val="28"/>
          <w:szCs w:val="28"/>
          <w:rtl/>
        </w:rPr>
        <w:t xml:space="preserve">بخش هایی از کتاب پنج شأن است که در حاشیه جای آنها در نسخه چاپی مشخص شده؛ خط: نسخ، بی کا، تا: قرن ۱۴، جلد: تیماج عنابی مجدول، ۲۳گ (۶۴پ -۸۶پ)، ۱۹ سطر (</w:t>
      </w:r>
    </w:p>
    <w:p>
      <w:pPr>
        <w:pStyle w:val="BookText"/>
      </w:pPr>
      <w:r>
        <w:rPr>
          <w:rFonts w:ascii="IRNazanin" w:hAnsi="IRNazanin" w:eastAsia="IRNazanin" w:cs="IRNazanin"/>
          <w:lang w:bidi="fa-IR"/>
          <w:color w:val="111111"/>
          <w:sz w:val="28"/>
          <w:szCs w:val="28"/>
          <w:rtl/>
        </w:rPr>
        <w:t xml:space="preserve">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۲۰-۳۲۶]</w:t>
      </w:r>
    </w:p>
    <w:p>
      <w:pPr>
        <w:pStyle w:val="BookText"/>
      </w:pPr>
      <w:r>
        <w:rPr>
          <w:rFonts w:ascii="IRNazanin" w:hAnsi="IRNazanin" w:eastAsia="IRNazanin" w:cs="IRNazanin"/>
          <w:lang w:bidi="fa-IR"/>
          <w:color w:val="111111"/>
          <w:sz w:val="28"/>
          <w:szCs w:val="28"/>
          <w:rtl/>
        </w:rPr>
        <w:t xml:space="preserve">۲. تهران، دانشگاه؛ شماره نسخه: ۱۰۷۸۶/۱۰</w:t>
      </w:r>
    </w:p>
    <w:p>
      <w:pPr>
        <w:pStyle w:val="BookText"/>
      </w:pPr>
      <w:r>
        <w:rPr>
          <w:rFonts w:ascii="IRNazanin" w:hAnsi="IRNazanin" w:eastAsia="IRNazanin" w:cs="IRNazanin"/>
          <w:lang w:bidi="fa-IR"/>
          <w:color w:val="111111"/>
          <w:sz w:val="28"/>
          <w:szCs w:val="28"/>
          <w:rtl/>
        </w:rPr>
        <w:t xml:space="preserve">آغاز: برابر؛ انجام: و مستغنی از هر شیء و كل مفتقر بوده اند بر او و خواهند بود و اوست غنی متعال بخشهایی از کتاب پنج شأن است؛ خط: نسخ، بی کا، تا: قرن ۱۴؛ جلد: تیماج عنابی مجدول، ۱۱گی (۹۶ر-۱۰۶پ)، ۱۹ سطر (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۲۰-۳۲۸]</w:t>
      </w:r>
    </w:p>
    <w:p>
      <w:pPr>
        <w:pStyle w:val="BookText"/>
      </w:pPr>
      <w:r>
        <w:rPr>
          <w:rFonts w:ascii="IRNazanin" w:hAnsi="IRNazanin" w:eastAsia="IRNazanin" w:cs="IRNazanin"/>
          <w:lang w:bidi="fa-IR"/>
          <w:color w:val="111111"/>
          <w:sz w:val="28"/>
          <w:szCs w:val="28"/>
          <w:rtl/>
        </w:rPr>
        <w:t xml:space="preserve">٣. مشهد؛ رضوی؛ شماره نسخه: ۲۳۶۷۳</w:t>
      </w:r>
    </w:p>
    <w:p>
      <w:pPr>
        <w:pStyle w:val="BookText"/>
      </w:pPr>
      <w:r>
        <w:rPr>
          <w:rFonts w:ascii="IRNazanin" w:hAnsi="IRNazanin" w:eastAsia="IRNazanin" w:cs="IRNazanin"/>
          <w:lang w:bidi="fa-IR"/>
          <w:color w:val="111111"/>
          <w:sz w:val="28"/>
          <w:szCs w:val="28"/>
          <w:rtl/>
        </w:rPr>
        <w:t xml:space="preserve">آغاز: بسمله الله اله الا الله اني انا الله لا الا الا انا الاله؛ انجام: طوبی الهم وللذين هم بمثلهم يستحکيون خط: نستعلیق، بی کا، تا: ۱۳۳۶ق، کاغذ: فرنگی، ۱۷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۲۰۶۱۷سم [رایانه]</w:t>
      </w:r>
    </w:p>
    <w:p>
      <w:pPr>
        <w:pStyle w:val="BookText"/>
      </w:pPr>
      <w:r>
        <w:rPr>
          <w:rFonts w:ascii="IRNazanin" w:hAnsi="IRNazanin" w:eastAsia="IRNazanin" w:cs="IRNazanin"/>
          <w:lang w:bidi="fa-IR"/>
          <w:color w:val="111111"/>
          <w:sz w:val="28"/>
          <w:szCs w:val="28"/>
          <w:rtl/>
        </w:rPr>
        <w:t xml:space="preserve">۴. مشهد؛ رضوی؛ شماره نسخه: ۲۳۶۶۹</w:t>
      </w:r>
    </w:p>
    <w:p>
      <w:pPr>
        <w:pStyle w:val="BookText"/>
      </w:pPr>
      <w:r>
        <w:rPr>
          <w:rFonts w:ascii="IRNazanin" w:hAnsi="IRNazanin" w:eastAsia="IRNazanin" w:cs="IRNazanin"/>
          <w:lang w:bidi="fa-IR"/>
          <w:color w:val="111111"/>
          <w:sz w:val="28"/>
          <w:szCs w:val="28"/>
          <w:rtl/>
        </w:rPr>
        <w:t xml:space="preserve">آغاز: بسمله، أنا الله اله الا انا الا له بسم الله؛ انجام: رب العزة عما يصفون و سلام على المرسلین</w:t>
      </w:r>
    </w:p>
    <w:p>
      <w:pPr>
        <w:pStyle w:val="BookText"/>
      </w:pPr>
      <w:r>
        <w:rPr>
          <w:rFonts w:ascii="IRNazanin" w:hAnsi="IRNazanin" w:eastAsia="IRNazanin" w:cs="IRNazanin"/>
          <w:lang w:bidi="fa-IR"/>
          <w:color w:val="111111"/>
          <w:sz w:val="28"/>
          <w:szCs w:val="28"/>
          <w:rtl/>
        </w:rPr>
        <w:t xml:space="preserve">خط: نستعلیق، بی کا، بی تا؛ کاغذ: شکری، ۱۹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[رایانه]</w:t>
      </w:r>
    </w:p>
    <w:p>
      <w:pPr>
        <w:pStyle w:val="Heading3"/>
      </w:pPr>
      <w:bookmarkStart w:id="1766" w:name="_Toc1026"/>
      <w:r>
        <w:t>•پنج غزل در مدح فرخ خان حاکم کاشان / ادبيات / فارسی و عربی</w:t>
      </w:r>
      <w:bookmarkEnd w:id="1766"/>
    </w:p>
    <w:p>
      <w:pPr>
        <w:pStyle w:val="BookText"/>
      </w:pPr>
      <w:r>
        <w:rPr>
          <w:rFonts w:ascii="Times New Roman" w:hAnsi="Times New Roman" w:eastAsia="Times New Roman" w:cs="Times New Roman"/>
          <w:lang w:val="en-US" w:bidi="en-US"/>
          <w:color w:val="111111"/>
          <w:sz w:val="28"/>
          <w:szCs w:val="28"/>
          <w:rtl/>
        </w:rPr>
        <w:t xml:space="preserve">panj qazal dar madh-e farrox-xān hākem-e kāšān</w:t>
      </w:r>
    </w:p>
    <w:p>
      <w:pPr>
        <w:pStyle w:val="BookText"/>
      </w:pPr>
      <w:r>
        <w:rPr>
          <w:rFonts w:ascii="IRNazanin" w:hAnsi="IRNazanin" w:eastAsia="IRNazanin" w:cs="IRNazanin"/>
          <w:lang w:bidi="fa-IR"/>
          <w:color w:val="111111"/>
          <w:sz w:val="28"/>
          <w:szCs w:val="28"/>
          <w:rtl/>
        </w:rPr>
        <w:t xml:space="preserve">تهران؛ دانشگاه؛ شماره نسخه: ۱۱۰۴۷/۱</w:t>
      </w:r>
    </w:p>
    <w:p>
      <w:pPr>
        <w:pStyle w:val="BookText"/>
      </w:pPr>
      <w:r>
        <w:rPr>
          <w:rFonts w:ascii="IRNazanin" w:hAnsi="IRNazanin" w:eastAsia="IRNazanin" w:cs="IRNazanin"/>
          <w:lang w:bidi="fa-IR"/>
          <w:color w:val="111111"/>
          <w:sz w:val="28"/>
          <w:szCs w:val="28"/>
          <w:rtl/>
        </w:rPr>
        <w:t xml:space="preserve">آغاز: به جز خدای که یکتا شده است و بی همتا*** هر آن چه همت مر او را بود دویی دوره انجام: بگو چو رفت ز هجر نبی دو ششصد و شصت*** فتاد ظل ظليل تو بر سر کاشان / هزار سال بمانی به جاه و دولت و مال *** ولی دقیقه هر سال تو هزاران سال</w:t>
      </w:r>
    </w:p>
    <w:p>
      <w:pPr>
        <w:pStyle w:val="BookText"/>
      </w:pPr>
      <w:r>
        <w:rPr>
          <w:rFonts w:ascii="IRNazanin" w:hAnsi="IRNazanin" w:eastAsia="IRNazanin" w:cs="IRNazanin"/>
          <w:lang w:bidi="fa-IR"/>
          <w:color w:val="111111"/>
          <w:sz w:val="28"/>
          <w:szCs w:val="28"/>
          <w:rtl/>
        </w:rPr>
        <w:t xml:space="preserve">خط: نستعلیق، بی کا، تا: قرن ۱۳؛ مجدول؛ اگ، ۵۸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۶۰/۵)،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۸۲/۵سم [ف: ۲۰-۵۹۳]</w:t>
      </w:r>
    </w:p>
    <w:p>
      <w:pPr>
        <w:pStyle w:val="Heading3"/>
      </w:pPr>
      <w:bookmarkStart w:id="1767" w:name="_Toc1027"/>
      <w:r>
        <w:t>• پنج فصل = بحرانیه / طب / فارسی</w:t>
      </w:r>
      <w:bookmarkEnd w:id="1767"/>
    </w:p>
    <w:p>
      <w:pPr>
        <w:pStyle w:val="BookText"/>
      </w:pPr>
      <w:r>
        <w:rPr>
          <w:rFonts w:ascii="Times New Roman" w:hAnsi="Times New Roman" w:eastAsia="Times New Roman" w:cs="Times New Roman"/>
          <w:lang w:val="en-US" w:bidi="en-US"/>
          <w:color w:val="111111"/>
          <w:sz w:val="28"/>
          <w:szCs w:val="28"/>
          <w:rtl/>
        </w:rPr>
        <w:t xml:space="preserve">panj fasl = bohrānīye</w:t>
      </w:r>
    </w:p>
    <w:p>
      <w:pPr>
        <w:pStyle w:val="BookText"/>
      </w:pPr>
      <w:r>
        <w:rPr>
          <w:rFonts w:ascii="IRNazanin" w:hAnsi="IRNazanin" w:eastAsia="IRNazanin" w:cs="IRNazanin"/>
          <w:lang w:bidi="fa-IR"/>
          <w:color w:val="111111"/>
          <w:sz w:val="28"/>
          <w:szCs w:val="28"/>
          <w:rtl/>
        </w:rPr>
        <w:t xml:space="preserve">شفائی، محمود بن محمد، ق ۱۱ قمری</w:t>
      </w:r>
    </w:p>
    <w:p>
      <w:pPr>
        <w:pStyle w:val="BookText"/>
      </w:pPr>
      <w:r>
        <w:rPr>
          <w:rFonts w:ascii="Times New Roman" w:hAnsi="Times New Roman" w:eastAsia="Times New Roman" w:cs="Times New Roman"/>
          <w:lang w:val="en-US" w:bidi="en-US"/>
          <w:color w:val="111111"/>
          <w:sz w:val="28"/>
          <w:szCs w:val="28"/>
          <w:rtl/>
        </w:rPr>
        <w:t xml:space="preserve">šafā'ī, mahmūd ebn-e mohammad (- 17c)</w:t>
      </w:r>
    </w:p>
    <w:p>
      <w:pPr>
        <w:pStyle w:val="BookText"/>
      </w:pPr>
      <w:r>
        <w:rPr>
          <w:rFonts w:ascii="IRNazanin" w:hAnsi="IRNazanin" w:eastAsia="IRNazanin" w:cs="IRNazanin"/>
          <w:lang w:bidi="fa-IR"/>
          <w:color w:val="111111"/>
          <w:sz w:val="28"/>
          <w:szCs w:val="28"/>
          <w:rtl/>
        </w:rPr>
        <w:t xml:space="preserve">در ۵ «فصل»: ۱. سبب ایام بحران و تحقیق ادوار آن ... ۲. ترسیم دوایر و انقسام فلک و ...۳. تحقیق ایام واقع في الواسط؛ ۴. شدت و ضعف بحران؛ ۵. تحقیق ابتدای بیماری.</w:t>
      </w:r>
    </w:p>
    <w:p>
      <w:pPr>
        <w:pStyle w:val="BookText"/>
      </w:pPr>
      <w:r>
        <w:rPr>
          <w:rFonts w:ascii="IRNazanin" w:hAnsi="IRNazanin" w:eastAsia="IRNazanin" w:cs="IRNazanin"/>
          <w:lang w:bidi="fa-IR"/>
          <w:color w:val="111111"/>
          <w:sz w:val="28"/>
          <w:szCs w:val="28"/>
          <w:rtl/>
        </w:rPr>
        <w:t xml:space="preserve">[فهرستواره منزوی ۳۳۲۹/۵ ]</w:t>
      </w:r>
    </w:p>
    <w:p>
      <w:pPr>
        <w:pStyle w:val="BookText"/>
      </w:pPr>
      <w:r>
        <w:rPr>
          <w:rFonts w:ascii="IRNazanin" w:hAnsi="IRNazanin" w:eastAsia="IRNazanin" w:cs="IRNazanin"/>
          <w:lang w:bidi="fa-IR"/>
          <w:color w:val="111111"/>
          <w:sz w:val="28"/>
          <w:szCs w:val="28"/>
          <w:rtl/>
        </w:rPr>
        <w:t xml:space="preserve">مشهد؛ الهیات؛ شماره نسخه: ۱۴۸۵۷/۲</w:t>
      </w:r>
    </w:p>
    <w:p>
      <w:pPr>
        <w:pStyle w:val="BookText"/>
      </w:pPr>
      <w:r>
        <w:rPr>
          <w:rFonts w:ascii="IRNazanin" w:hAnsi="IRNazanin" w:eastAsia="IRNazanin" w:cs="IRNazanin"/>
          <w:lang w:bidi="fa-IR"/>
          <w:color w:val="111111"/>
          <w:sz w:val="28"/>
          <w:szCs w:val="28"/>
          <w:rtl/>
        </w:rPr>
        <w:t xml:space="preserve">آغاز: بسمله بدان ایدک الله بعلم الابدان که آدمی را صحت بدن که اتم نعم الهیست ... (پس از تمام شدن ۵ فصل) که این رساله هم تمام میشود رساله دیگری در ۶ برگ ضمیمه دارد که مکمل پنج فصل میباشد ... آغاز ضمیمه: يا وهاب چون دأب اطبا آنست که مباحث نکس و نقاهت را بعد از مبحث بحران تحقیق و تبیین مینمایند از این جهت چند کلمه در تنقیح هر یک از آنها خط: نستعلیق خوش، كا: اسماعيل بن محمد مهدی جرفاد قانی، تا: قرن ۱۱؛ مجدول مذهب؛ کاغذ: ترمه، جلد: تیماج عنابی، ۱۸گ، ۱۲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۴/۵ )،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۲-۱۶۰]</w:t>
      </w:r>
    </w:p>
    <w:p>
      <w:pPr>
        <w:pStyle w:val="Heading3"/>
      </w:pPr>
      <w:bookmarkStart w:id="1768" w:name="_Toc1028"/>
      <w:r>
        <w:t>• پنج کشتی / شعر / فارسی</w:t>
      </w:r>
      <w:bookmarkEnd w:id="1768"/>
    </w:p>
    <w:p>
      <w:pPr>
        <w:pStyle w:val="BookText"/>
      </w:pPr>
      <w:r>
        <w:rPr>
          <w:rFonts w:ascii="Times New Roman" w:hAnsi="Times New Roman" w:eastAsia="Times New Roman" w:cs="Times New Roman"/>
          <w:lang w:val="en-US" w:bidi="en-US"/>
          <w:color w:val="111111"/>
          <w:sz w:val="28"/>
          <w:szCs w:val="28"/>
          <w:rtl/>
        </w:rPr>
        <w:t xml:space="preserve">panj kestī</w:t>
      </w:r>
    </w:p>
    <w:p>
      <w:pPr>
        <w:pStyle w:val="BookText"/>
      </w:pPr>
      <w:r>
        <w:rPr>
          <w:rFonts w:ascii="IRNazanin" w:hAnsi="IRNazanin" w:eastAsia="IRNazanin" w:cs="IRNazanin"/>
          <w:lang w:bidi="fa-IR"/>
          <w:color w:val="111111"/>
          <w:sz w:val="28"/>
          <w:szCs w:val="28"/>
          <w:rtl/>
        </w:rPr>
        <w:t xml:space="preserve">تهران؛ چهل ستون؛ شماره نسخه: ۲۰۰</w:t>
      </w:r>
    </w:p>
    <w:p>
      <w:pPr>
        <w:pStyle w:val="BookText"/>
      </w:pPr>
      <w:r>
        <w:rPr>
          <w:rFonts w:ascii="IRNazanin" w:hAnsi="IRNazanin" w:eastAsia="IRNazanin" w:cs="IRNazanin"/>
          <w:lang w:bidi="fa-IR"/>
          <w:color w:val="111111"/>
          <w:sz w:val="28"/>
          <w:szCs w:val="28"/>
          <w:rtl/>
        </w:rPr>
        <w:t xml:space="preserve">آغاز: جواهر سنج عمان عنایت ***کهن مشاطه بزم روایت؛ اشعاری است در بیان برخی از معجزات امیر مومنان علی (علیه السلام)؛</w:t>
      </w:r>
    </w:p>
    <w:p>
      <w:pPr>
        <w:pStyle w:val="BookText"/>
      </w:pPr>
      <w:r>
        <w:rPr>
          <w:rFonts w:ascii="IRNazanin" w:hAnsi="IRNazanin" w:eastAsia="IRNazanin" w:cs="IRNazanin"/>
          <w:lang w:bidi="fa-IR"/>
          <w:color w:val="111111"/>
          <w:sz w:val="28"/>
          <w:szCs w:val="28"/>
          <w:rtl/>
        </w:rPr>
        <w:t xml:space="preserve">خط: نستعلیق، بی کا، تا: ۱۲۹۷ق، ۲۲گ، قطع: بياض رقعی [چند نسخه -ف: ۳۴۶]</w:t>
      </w:r>
    </w:p>
    <w:p>
      <w:pPr>
        <w:pStyle w:val="BookText"/>
      </w:pPr>
      <w:r>
        <w:rPr>
          <w:rFonts w:ascii="IRNazanin" w:hAnsi="IRNazanin" w:eastAsia="IRNazanin" w:cs="IRNazanin"/>
          <w:lang w:bidi="fa-IR"/>
          <w:color w:val="111111"/>
          <w:sz w:val="28"/>
          <w:szCs w:val="28"/>
          <w:rtl/>
        </w:rPr>
        <w:t xml:space="preserve">←پنج گنج ← اشعار</w:t>
      </w:r>
    </w:p>
    <w:p>
      <w:pPr>
        <w:pStyle w:val="BookText"/>
      </w:pPr>
      <w:r>
        <w:rPr>
          <w:rFonts w:ascii="IRNazanin" w:hAnsi="IRNazanin" w:eastAsia="IRNazanin" w:cs="IRNazanin"/>
          <w:lang w:bidi="fa-IR"/>
          <w:color w:val="111111"/>
          <w:sz w:val="28"/>
          <w:szCs w:val="28"/>
          <w:rtl/>
        </w:rPr>
        <w:t xml:space="preserve">←پنج گنج←نظامی گنجوی</w:t>
      </w:r>
    </w:p>
    <w:p>
      <w:pPr>
        <w:pStyle w:val="BookText"/>
      </w:pPr>
      <w:r>
        <w:rPr>
          <w:rFonts w:ascii="IRNazanin" w:hAnsi="IRNazanin" w:eastAsia="IRNazanin" w:cs="IRNazanin"/>
          <w:lang w:bidi="fa-IR"/>
          <w:color w:val="111111"/>
          <w:sz w:val="28"/>
          <w:szCs w:val="28"/>
          <w:rtl/>
        </w:rPr>
        <w:t xml:space="preserve">←پنج گنج ←اکسیر اعظم</w:t>
      </w:r>
    </w:p>
    <w:p>
      <w:pPr>
        <w:pStyle w:val="BookText"/>
      </w:pPr>
      <w:r>
        <w:rPr>
          <w:rFonts w:ascii="IRNazanin" w:hAnsi="IRNazanin" w:eastAsia="IRNazanin" w:cs="IRNazanin"/>
          <w:lang w:bidi="fa-IR"/>
          <w:color w:val="111111"/>
          <w:sz w:val="28"/>
          <w:szCs w:val="28"/>
          <w:rtl/>
        </w:rPr>
        <w:t xml:space="preserve">←پنج گنج← خمسه حسینی</w:t>
      </w:r>
    </w:p>
    <w:p>
      <w:pPr>
        <w:pStyle w:val="BookText"/>
      </w:pPr>
      <w:r>
        <w:rPr>
          <w:rFonts w:ascii="IRNazanin" w:hAnsi="IRNazanin" w:eastAsia="IRNazanin" w:cs="IRNazanin"/>
          <w:lang w:bidi="fa-IR"/>
          <w:color w:val="111111"/>
          <w:sz w:val="28"/>
          <w:szCs w:val="28"/>
          <w:rtl/>
        </w:rPr>
        <w:t xml:space="preserve">←پنج گنج ←خمسه خواجو</w:t>
      </w:r>
    </w:p>
    <w:p>
      <w:pPr>
        <w:pStyle w:val="BookText"/>
      </w:pPr>
      <w:r>
        <w:rPr>
          <w:rFonts w:ascii="IRNazanin" w:hAnsi="IRNazanin" w:eastAsia="IRNazanin" w:cs="IRNazanin"/>
          <w:lang w:bidi="fa-IR"/>
          <w:color w:val="111111"/>
          <w:sz w:val="28"/>
          <w:szCs w:val="28"/>
          <w:rtl/>
        </w:rPr>
        <w:t xml:space="preserve">←پنج گنج ←خمسه (خسرو دهلوی)</w:t>
      </w:r>
    </w:p>
    <w:p>
      <w:pPr>
        <w:pStyle w:val="Heading3"/>
      </w:pPr>
      <w:bookmarkStart w:id="1769" w:name="_Toc1029"/>
      <w:r>
        <w:t>•پنج گنج / شعر / فارسی</w:t>
      </w:r>
      <w:bookmarkEnd w:id="1769"/>
    </w:p>
    <w:p>
      <w:pPr>
        <w:pStyle w:val="BookText"/>
      </w:pPr>
      <w:r>
        <w:rPr>
          <w:rFonts w:ascii="Times New Roman" w:hAnsi="Times New Roman" w:eastAsia="Times New Roman" w:cs="Times New Roman"/>
          <w:lang w:val="en-US" w:bidi="en-US"/>
          <w:color w:val="111111"/>
          <w:sz w:val="28"/>
          <w:szCs w:val="28"/>
          <w:rtl/>
        </w:rPr>
        <w:t xml:space="preserve">panj ganj</w:t>
      </w:r>
    </w:p>
    <w:p>
      <w:pPr>
        <w:pStyle w:val="BookText"/>
      </w:pPr>
      <w:r>
        <w:rPr>
          <w:rFonts w:ascii="IRNazanin" w:hAnsi="IRNazanin" w:eastAsia="IRNazanin" w:cs="IRNazanin"/>
          <w:lang w:bidi="fa-IR"/>
          <w:color w:val="111111"/>
          <w:sz w:val="28"/>
          <w:szCs w:val="28"/>
          <w:rtl/>
        </w:rPr>
        <w:t xml:space="preserve">حسینی هروی، امیر حسین بن امیر عالم، ۶۷۱-۷۱۷ ؟ قمری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07" w:name="pg20363_209570"/>
    <w:bookmarkEnd w:id="307"/>
    <w:p>
      <w:pPr>
        <w:pStyle w:val="BookText"/>
      </w:pPr>
      <w:r>
        <w:rPr>
          <w:rFonts w:ascii="Times New Roman" w:hAnsi="Times New Roman" w:eastAsia="Times New Roman" w:cs="Times New Roman"/>
          <w:lang w:val="en-US" w:bidi="en-US"/>
          <w:color w:val="111111"/>
          <w:sz w:val="28"/>
          <w:szCs w:val="28"/>
          <w:rtl/>
        </w:rPr>
        <w:t xml:space="preserve">hoseynī heravī, amīr hoseyn ebn-e amīr ‘ālam (1273 1318)</w:t>
      </w:r>
    </w:p>
    <w:p>
      <w:pPr>
        <w:pStyle w:val="BookText"/>
      </w:pPr>
      <w:r>
        <w:rPr>
          <w:rFonts w:ascii="IRNazanin" w:hAnsi="IRNazanin" w:eastAsia="IRNazanin" w:cs="IRNazanin"/>
          <w:lang w:bidi="fa-IR"/>
          <w:color w:val="111111"/>
          <w:sz w:val="28"/>
          <w:szCs w:val="28"/>
          <w:rtl/>
        </w:rPr>
        <w:t xml:space="preserve">تاریخ تأليف: ۷۰۷ق پنج قصیده است در موضوعات مختلف اعتقادی</w:t>
      </w:r>
    </w:p>
    <w:p>
      <w:pPr>
        <w:pStyle w:val="BookText"/>
      </w:pPr>
      <w:r>
        <w:rPr>
          <w:rFonts w:ascii="IRNazanin" w:hAnsi="IRNazanin" w:eastAsia="IRNazanin" w:cs="IRNazanin"/>
          <w:lang w:bidi="fa-IR"/>
          <w:color w:val="111111"/>
          <w:sz w:val="28"/>
          <w:szCs w:val="28"/>
          <w:rtl/>
        </w:rPr>
        <w:t xml:space="preserve">آغاز: ۱-مرا ز عالم توفیق مژده می رسد اهلا *** برانم زورق تحقيق بسم الله مجريها؛ ۲- رفت روز نشاط و عیش و سرور*** وقت عذر آمد ایها المغرور؛ ۳-طلب ای سالکان راه وفا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طرب ای ساکنان ملک بقا؛ ۴-چو تقدیر و قسمت خدا می کند</w:t>
      </w:r>
      <w:r>
        <w:rPr>
          <w:rFonts w:ascii="IRNazanin" w:hAnsi="IRNazanin" w:eastAsia="IRNazanin" w:cs="IRNazanin"/>
          <w:lang w:bidi="fa-IR"/>
          <w:color w:val="111111"/>
          <w:sz w:val="28"/>
          <w:szCs w:val="28"/>
          <w:b w:val="1"/>
          <w:bCs w:val="1"/>
          <w:i w:val="1"/>
          <w:iCs w:val="1"/>
          <w:rtl/>
        </w:rPr>
        <w:t xml:space="preserve">مگو آن چه کرد این چرا می کند؛ ۵-ای ترا از روز فطرت با بنی آدم خطاب</w:t>
      </w:r>
      <w:r>
        <w:rPr>
          <w:rFonts w:ascii="IRNazanin" w:hAnsi="IRNazanin" w:eastAsia="IRNazanin" w:cs="IRNazanin"/>
          <w:lang w:bidi="fa-IR"/>
          <w:color w:val="111111"/>
          <w:sz w:val="28"/>
          <w:szCs w:val="28"/>
          <w:rtl/>
        </w:rPr>
        <w:t xml:space="preserve"> چند باشی همچو حیوان در هوای خورد و خواب</w:t>
      </w:r>
    </w:p>
    <w:p>
      <w:pPr>
        <w:pStyle w:val="BookText"/>
      </w:pPr>
      <w:r>
        <w:rPr>
          <w:rFonts w:ascii="IRNazanin" w:hAnsi="IRNazanin" w:eastAsia="IRNazanin" w:cs="IRNazanin"/>
          <w:lang w:bidi="fa-IR"/>
          <w:color w:val="111111"/>
          <w:sz w:val="28"/>
          <w:szCs w:val="28"/>
          <w:rtl/>
        </w:rPr>
        <w:t xml:space="preserve">[شرح حال و آثار امیر حسینی غوری هروی از مایل هروی ص ۵۳؛ فهرستواره ۴۵۷/۱۰ ]</w:t>
      </w:r>
    </w:p>
    <w:p>
      <w:pPr>
        <w:pStyle w:val="BookText"/>
      </w:pPr>
      <w:r>
        <w:rPr>
          <w:rFonts w:ascii="IRNazanin" w:hAnsi="IRNazanin" w:eastAsia="IRNazanin" w:cs="IRNazanin"/>
          <w:lang w:bidi="fa-IR"/>
          <w:color w:val="111111"/>
          <w:sz w:val="28"/>
          <w:szCs w:val="28"/>
          <w:rtl/>
        </w:rPr>
        <w:t xml:space="preserve">۱. تهران؛ مجلس؛ شماره نسخه: ۸۱۶۷/۱۷</w:t>
      </w:r>
    </w:p>
    <w:p>
      <w:pPr>
        <w:pStyle w:val="BookText"/>
      </w:pPr>
      <w:r>
        <w:rPr>
          <w:rFonts w:ascii="IRNazanin" w:hAnsi="IRNazanin" w:eastAsia="IRNazanin" w:cs="IRNazanin"/>
          <w:lang w:bidi="fa-IR"/>
          <w:color w:val="111111"/>
          <w:sz w:val="28"/>
          <w:szCs w:val="28"/>
          <w:rtl/>
        </w:rPr>
        <w:t xml:space="preserve">آغاز: برابر، انجام: جز بیان راه معنی هر چه یاد آری خطاست</w:t>
      </w:r>
      <w:r>
        <w:rPr>
          <w:rFonts w:ascii="IRNazanin" w:hAnsi="IRNazanin" w:eastAsia="IRNazanin" w:cs="IRNazanin"/>
          <w:lang w:bidi="fa-IR"/>
          <w:color w:val="111111"/>
          <w:sz w:val="28"/>
          <w:szCs w:val="28"/>
          <w:b w:val="1"/>
          <w:bCs w:val="1"/>
          <w:i w:val="1"/>
          <w:iCs w:val="1"/>
          <w:rtl/>
        </w:rPr>
        <w:t xml:space="preserve">جز برای قوت دین هر چه گویی ناصواب / هان حسینی، نیمه مست عمر خود را دم مده</w:t>
      </w:r>
      <w:r>
        <w:rPr>
          <w:rFonts w:ascii="IRNazanin" w:hAnsi="IRNazanin" w:eastAsia="IRNazanin" w:cs="IRNazanin"/>
          <w:lang w:bidi="fa-IR"/>
          <w:color w:val="111111"/>
          <w:sz w:val="28"/>
          <w:szCs w:val="28"/>
          <w:rtl/>
        </w:rPr>
        <w:t xml:space="preserve"> شرط نبود کاهلی چون می کند همره شتاب</w:t>
      </w:r>
    </w:p>
    <w:p>
      <w:pPr>
        <w:pStyle w:val="BookText"/>
      </w:pPr>
      <w:r>
        <w:rPr>
          <w:rFonts w:ascii="IRNazanin" w:hAnsi="IRNazanin" w:eastAsia="IRNazanin" w:cs="IRNazanin"/>
          <w:lang w:bidi="fa-IR"/>
          <w:color w:val="111111"/>
          <w:sz w:val="28"/>
          <w:szCs w:val="28"/>
          <w:rtl/>
        </w:rPr>
        <w:t xml:space="preserve">خط: نستعلیق، بی کا، تا: نیمه نخست قرن ۹؛ دارای کتیبه ای مرصع و مذهب، جلد: مقوایی با روکش پارچه گل دوزی شده ماشینی عطف و لبه های تیماج سبز سیر با جدول گرهی ضربی، ۶گ (۱۰۲پ -۱۰۷ر)، اندازه: ۲۱/۳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۲۷/۱-۳۰۵]</w:t>
      </w:r>
    </w:p>
    <w:p>
      <w:pPr>
        <w:pStyle w:val="BookText"/>
      </w:pPr>
      <w:r>
        <w:rPr>
          <w:rFonts w:ascii="IRNazanin" w:hAnsi="IRNazanin" w:eastAsia="IRNazanin" w:cs="IRNazanin"/>
          <w:lang w:bidi="fa-IR"/>
          <w:color w:val="111111"/>
          <w:sz w:val="28"/>
          <w:szCs w:val="28"/>
          <w:rtl/>
        </w:rPr>
        <w:t xml:space="preserve">۲. تهران؛ دانشگاه؛ شماره نسخه: ۱/۲-عکس</w:t>
      </w:r>
    </w:p>
    <w:p>
      <w:pPr>
        <w:pStyle w:val="BookText"/>
      </w:pPr>
      <w:r>
        <w:rPr>
          <w:rFonts w:ascii="IRNazanin" w:hAnsi="IRNazanin" w:eastAsia="IRNazanin" w:cs="IRNazanin"/>
          <w:lang w:bidi="fa-IR"/>
          <w:color w:val="111111"/>
          <w:sz w:val="28"/>
          <w:szCs w:val="28"/>
          <w:rtl/>
        </w:rPr>
        <w:t xml:space="preserve">آغاز: برابر نسخه اصل: ایا صوفيا، ش ۴۷۹۲؛ خط: نسخ، كا: اسعد بن احمد بن محمد کاتب، تا: ۸۱۶ق، جان شیراز [فیلمها ف: ۳-۲۱۵]</w:t>
      </w:r>
    </w:p>
    <w:p>
      <w:pPr>
        <w:pStyle w:val="BookText"/>
      </w:pPr>
      <w:r>
        <w:rPr>
          <w:rFonts w:ascii="IRNazanin" w:hAnsi="IRNazanin" w:eastAsia="IRNazanin" w:cs="IRNazanin"/>
          <w:lang w:bidi="fa-IR"/>
          <w:color w:val="111111"/>
          <w:sz w:val="28"/>
          <w:szCs w:val="28"/>
          <w:rtl/>
        </w:rPr>
        <w:t xml:space="preserve">قم: مرکز احیاء؛ شماره نسخه: ۱۲۰۶/۱</w:t>
      </w:r>
    </w:p>
    <w:p>
      <w:pPr>
        <w:pStyle w:val="BookText"/>
      </w:pPr>
      <w:r>
        <w:rPr>
          <w:rFonts w:ascii="IRNazanin" w:hAnsi="IRNazanin" w:eastAsia="IRNazanin" w:cs="IRNazanin"/>
          <w:lang w:bidi="fa-IR"/>
          <w:color w:val="111111"/>
          <w:sz w:val="28"/>
          <w:szCs w:val="28"/>
          <w:rtl/>
        </w:rPr>
        <w:t xml:space="preserve">نسخه اصل:همان نسخه اصل بالا؛ ۱۱ص (۱-۱۲)[عکسی ف: ۴-۱۵]</w:t>
      </w:r>
    </w:p>
    <w:p>
      <w:pPr>
        <w:pStyle w:val="BookText"/>
      </w:pPr>
      <w:r>
        <w:rPr>
          <w:rFonts w:ascii="IRNazanin" w:hAnsi="IRNazanin" w:eastAsia="IRNazanin" w:cs="IRNazanin"/>
          <w:lang w:bidi="fa-IR"/>
          <w:color w:val="111111"/>
          <w:sz w:val="28"/>
          <w:szCs w:val="28"/>
          <w:rtl/>
        </w:rPr>
        <w:t xml:space="preserve">٣. تهران؛ مجلس؛ شماره نسخه: ۱۱۶۴/۲</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از آخر یک یا دو برگی افتاده و ایتک در حدود ۲۷۰ بیت است؛ خط نستعلیق، بی کا، تا: ۸۲۴ق؛ افتادگی: انجام؛ کاغذ: بالغ، ۱۷ص ( ۹۷-۸۱ )، ۱۷ سطر، قطع: بغلی،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 [ف: ۳-۴۴۳]</w:t>
      </w:r>
    </w:p>
    <w:p>
      <w:pPr>
        <w:pStyle w:val="BookText"/>
      </w:pPr>
      <w:r>
        <w:rPr>
          <w:rFonts w:ascii="IRNazanin" w:hAnsi="IRNazanin" w:eastAsia="IRNazanin" w:cs="IRNazanin"/>
          <w:lang w:bidi="fa-IR"/>
          <w:color w:val="111111"/>
          <w:sz w:val="28"/>
          <w:szCs w:val="28"/>
          <w:rtl/>
        </w:rPr>
        <w:t xml:space="preserve">۴. تهران؛ ادبیات؛ شماره نسخه: ۲۲۰/۶</w:t>
      </w:r>
    </w:p>
    <w:p>
      <w:pPr>
        <w:pStyle w:val="BookText"/>
      </w:pPr>
      <w:r>
        <w:rPr>
          <w:rFonts w:ascii="IRNazanin" w:hAnsi="IRNazanin" w:eastAsia="IRNazanin" w:cs="IRNazanin"/>
          <w:lang w:bidi="fa-IR"/>
          <w:color w:val="111111"/>
          <w:sz w:val="28"/>
          <w:szCs w:val="28"/>
          <w:rtl/>
        </w:rPr>
        <w:t xml:space="preserve">حکمت خط: نستعلیق، بی کا، تا: قرن ۱۳، جلد: تیماج سرخ مقوایی، قطع: ربعی [ف: ۲-۵۲] ۵. تهران؛ مجلس؛ شماره نسخه: ۵۷۴/۲</w:t>
      </w:r>
    </w:p>
    <w:p>
      <w:pPr>
        <w:pStyle w:val="BookText"/>
      </w:pPr>
      <w:r>
        <w:rPr>
          <w:rFonts w:ascii="IRNazanin" w:hAnsi="IRNazanin" w:eastAsia="IRNazanin" w:cs="IRNazanin"/>
          <w:lang w:bidi="fa-IR"/>
          <w:color w:val="111111"/>
          <w:sz w:val="28"/>
          <w:szCs w:val="28"/>
          <w:rtl/>
        </w:rPr>
        <w:t xml:space="preserve">از گنج دوم دارد تا پنجم (۱۱ر- ۱۶پ)؛ بی کا، بی تا؛ مجدول؛ کاغذ: سفید، جلد: تیماج قهوه ای ضربی مقوایی زرکوب با ترنج، ۱۱ص (۲۲-۳۲)، ۲۱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[سنا: ف: ۱-۳۶۴]</w:t>
      </w:r>
    </w:p>
    <w:p>
      <w:pPr>
        <w:pStyle w:val="Heading3"/>
      </w:pPr>
      <w:bookmarkStart w:id="1770" w:name="_Toc1030"/>
      <w:r>
        <w:t>•پنج گنج / صرف / فارسی</w:t>
      </w:r>
      <w:bookmarkEnd w:id="1770"/>
    </w:p>
    <w:p>
      <w:pPr>
        <w:pStyle w:val="BookText"/>
      </w:pPr>
      <w:r>
        <w:rPr>
          <w:rFonts w:ascii="Times New Roman" w:hAnsi="Times New Roman" w:eastAsia="Times New Roman" w:cs="Times New Roman"/>
          <w:lang w:val="en-US" w:bidi="en-US"/>
          <w:color w:val="111111"/>
          <w:sz w:val="28"/>
          <w:szCs w:val="28"/>
          <w:rtl/>
        </w:rPr>
        <w:t xml:space="preserve">panj ganj</w:t>
      </w:r>
    </w:p>
    <w:p>
      <w:pPr>
        <w:pStyle w:val="BookText"/>
      </w:pPr>
      <w:r>
        <w:rPr>
          <w:rFonts w:ascii="IRNazanin" w:hAnsi="IRNazanin" w:eastAsia="IRNazanin" w:cs="IRNazanin"/>
          <w:lang w:bidi="fa-IR"/>
          <w:color w:val="111111"/>
          <w:sz w:val="28"/>
          <w:szCs w:val="28"/>
          <w:rtl/>
        </w:rPr>
        <w:t xml:space="preserve">اودهی، سراج الدین عثمان، -۷۷۳ قمری</w:t>
      </w:r>
    </w:p>
    <w:p>
      <w:pPr>
        <w:pStyle w:val="BookText"/>
      </w:pPr>
      <w:r>
        <w:rPr>
          <w:rFonts w:ascii="Times New Roman" w:hAnsi="Times New Roman" w:eastAsia="Times New Roman" w:cs="Times New Roman"/>
          <w:lang w:val="en-US" w:bidi="en-US"/>
          <w:color w:val="111111"/>
          <w:sz w:val="28"/>
          <w:szCs w:val="28"/>
          <w:rtl/>
        </w:rPr>
        <w:t xml:space="preserve">owdehī , serāj-od dīn ‘osmān (- 1372)</w:t>
      </w:r>
    </w:p>
    <w:p>
      <w:pPr>
        <w:pStyle w:val="BookText"/>
      </w:pPr>
      <w:r>
        <w:rPr>
          <w:rFonts w:ascii="IRNazanin" w:hAnsi="IRNazanin" w:eastAsia="IRNazanin" w:cs="IRNazanin"/>
          <w:lang w:bidi="fa-IR"/>
          <w:color w:val="111111"/>
          <w:sz w:val="28"/>
          <w:szCs w:val="28"/>
          <w:rtl/>
        </w:rPr>
        <w:t xml:space="preserve">رساله ای است در صرف شامل پنج «باب» و هر باب دارای پنج</w:t>
      </w:r>
    </w:p>
    <w:p>
      <w:pPr>
        <w:pStyle w:val="BookText"/>
      </w:pPr>
      <w:r>
        <w:rPr>
          <w:rFonts w:ascii="IRNazanin" w:hAnsi="IRNazanin" w:eastAsia="IRNazanin" w:cs="IRNazanin"/>
          <w:lang w:bidi="fa-IR"/>
          <w:color w:val="111111"/>
          <w:sz w:val="28"/>
          <w:szCs w:val="28"/>
          <w:rtl/>
        </w:rPr>
        <w:t xml:space="preserve">فصل»: (تنها دو باب در نسخه دیده می شود) باب ۱. در شناختن مجاری صرف افعال و اسماء؛ باب ۲. در شناختن اجناس افعال و اسماء و حروف آن. چاپ: این رساله در کانپور به چاپ رسیده است.</w:t>
      </w:r>
    </w:p>
    <w:p>
      <w:pPr>
        <w:pStyle w:val="BookText"/>
      </w:pPr>
      <w:r>
        <w:rPr>
          <w:rFonts w:ascii="IRNazanin" w:hAnsi="IRNazanin" w:eastAsia="IRNazanin" w:cs="IRNazanin"/>
          <w:lang w:bidi="fa-IR"/>
          <w:color w:val="111111"/>
          <w:sz w:val="28"/>
          <w:szCs w:val="28"/>
          <w:rtl/>
        </w:rPr>
        <w:t xml:space="preserve">تهران؛ مجلس؛ شماره نسخه: ۱۵۷۰۵/۱</w:t>
      </w:r>
    </w:p>
    <w:p>
      <w:pPr>
        <w:pStyle w:val="BookText"/>
      </w:pPr>
      <w:r>
        <w:rPr>
          <w:rFonts w:ascii="IRNazanin" w:hAnsi="IRNazanin" w:eastAsia="IRNazanin" w:cs="IRNazanin"/>
          <w:lang w:bidi="fa-IR"/>
          <w:color w:val="111111"/>
          <w:sz w:val="28"/>
          <w:szCs w:val="28"/>
          <w:rtl/>
        </w:rPr>
        <w:t xml:space="preserve">آغاز: بسمله. الحمدلله على ما خلق الانسان و انطق له اللسان بكلمات موتلفة من لغات مختلفة ... بدانکه این کتابی است مبوب و مفصل در تصريف سخن عرب که جمله وی پنج باب است و مضمون هر باب بر پنج فصل است و نام وی پنج گنج است و؛ انجام: و صبب الكلب و قطط الشعر، تمام شد نسخه پنج گنج عرف تصريف</w:t>
      </w:r>
    </w:p>
    <w:p>
      <w:pPr>
        <w:pStyle w:val="BookText"/>
      </w:pPr>
      <w:r>
        <w:rPr>
          <w:rFonts w:ascii="IRNazanin" w:hAnsi="IRNazanin" w:eastAsia="IRNazanin" w:cs="IRNazanin"/>
          <w:lang w:bidi="fa-IR"/>
          <w:color w:val="111111"/>
          <w:sz w:val="28"/>
          <w:szCs w:val="28"/>
          <w:rtl/>
        </w:rPr>
        <w:t xml:space="preserve">خط: نستعلیق، كا: غلام معین الحق انصاری چشتی قدوسی، بی تا؛ رکابه دار؛ جلد: مقوا رویه کاغذ عطف تیماج، ۳۷گ (آپ ۳۷پ)، ۱۵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۴۴-۱۲]</w:t>
      </w:r>
    </w:p>
    <w:p>
      <w:pPr>
        <w:pStyle w:val="Heading3"/>
      </w:pPr>
      <w:bookmarkStart w:id="1771" w:name="_Toc1031"/>
      <w:r>
        <w:t>• پنج گنج = خمسه / شعر / فارسی</w:t>
      </w:r>
      <w:bookmarkEnd w:id="1771"/>
    </w:p>
    <w:p>
      <w:pPr>
        <w:pStyle w:val="BookText"/>
      </w:pPr>
      <w:r>
        <w:rPr>
          <w:rFonts w:ascii="Times New Roman" w:hAnsi="Times New Roman" w:eastAsia="Times New Roman" w:cs="Times New Roman"/>
          <w:lang w:val="en-US" w:bidi="en-US"/>
          <w:color w:val="111111"/>
          <w:sz w:val="28"/>
          <w:szCs w:val="28"/>
          <w:rtl/>
        </w:rPr>
        <w:t xml:space="preserve">panj ganj = xamse</w:t>
      </w:r>
    </w:p>
    <w:p>
      <w:pPr>
        <w:pStyle w:val="BookText"/>
      </w:pPr>
      <w:r>
        <w:rPr>
          <w:rFonts w:ascii="IRNazanin" w:hAnsi="IRNazanin" w:eastAsia="IRNazanin" w:cs="IRNazanin"/>
          <w:lang w:bidi="fa-IR"/>
          <w:color w:val="111111"/>
          <w:sz w:val="28"/>
          <w:szCs w:val="28"/>
          <w:rtl/>
        </w:rPr>
        <w:t xml:space="preserve">جامی، عبدالرحمن بن احمد، ۸۱۷-۸۹۸ قمری</w:t>
      </w:r>
    </w:p>
    <w:p>
      <w:pPr>
        <w:pStyle w:val="BookText"/>
      </w:pPr>
      <w:r>
        <w:rPr>
          <w:rFonts w:ascii="Times New Roman" w:hAnsi="Times New Roman" w:eastAsia="Times New Roman" w:cs="Times New Roman"/>
          <w:lang w:val="en-US" w:bidi="en-US"/>
          <w:color w:val="111111"/>
          <w:sz w:val="28"/>
          <w:szCs w:val="28"/>
          <w:rtl/>
        </w:rPr>
        <w:t xml:space="preserve">jāmī, “abd-or-rahmān ebn-e ahmad (1415-1493)</w:t>
      </w:r>
    </w:p>
    <w:p>
      <w:pPr>
        <w:pStyle w:val="BookText"/>
      </w:pPr>
      <w:r>
        <w:rPr>
          <w:rFonts w:ascii="IRNazanin" w:hAnsi="IRNazanin" w:eastAsia="IRNazanin" w:cs="IRNazanin"/>
          <w:lang w:bidi="fa-IR"/>
          <w:color w:val="111111"/>
          <w:sz w:val="28"/>
          <w:szCs w:val="28"/>
          <w:rtl/>
        </w:rPr>
        <w:t xml:space="preserve">پنج مثنوی از هفت مثنوی موسوم به «هفت اورنگ» جامی که برخی از نویسندگان، این پنج مثنوی را جداگانه نوشته اند و به نام</w:t>
      </w:r>
    </w:p>
    <w:p>
      <w:pPr>
        <w:pStyle w:val="BookText"/>
      </w:pPr>
      <w:r>
        <w:rPr>
          <w:rFonts w:ascii="IRNazanin" w:hAnsi="IRNazanin" w:eastAsia="IRNazanin" w:cs="IRNazanin"/>
          <w:lang w:bidi="fa-IR"/>
          <w:color w:val="111111"/>
          <w:sz w:val="28"/>
          <w:szCs w:val="28"/>
          <w:rtl/>
        </w:rPr>
        <w:t xml:space="preserve">پنج گنج» موسوم گردیده است و آنها عبارتند از: تحفة الأحرار، سبحة الأبرار، يوسف و زلیخا، لیلی و مجنون و خردنامه اسکندری. جامی دو مثنوی دیگر دارد به نامهای سلسلة الذهب و سلامان و ابسال که با این پنج به نام «هفت اورنگ» شناخته می شود. آغاز: ۱- تحفه الاحرار؛ آغاز دیباچه: بسمله حامدة لمن جعل جنان كل عارف ... آغاز مثنوی: بسم الله الرحمن الرحيم</w:t>
      </w:r>
      <w:r>
        <w:rPr>
          <w:rFonts w:ascii="IRNazanin" w:hAnsi="IRNazanin" w:eastAsia="IRNazanin" w:cs="IRNazanin"/>
          <w:lang w:bidi="fa-IR"/>
          <w:color w:val="111111"/>
          <w:sz w:val="28"/>
          <w:szCs w:val="28"/>
          <w:b w:val="1"/>
          <w:bCs w:val="1"/>
          <w:i w:val="1"/>
          <w:iCs w:val="1"/>
          <w:rtl/>
        </w:rPr>
        <w:t xml:space="preserve">هست صلای سر خوان کریم؛ ۲- سبحة الابرار: آغاز دیباچه: المنة الله که بخون گر خفتم به یک چند چو غنچه عاقبت بشکفتم؛ آغاز مثنوی: ابتدای بسم الله الرحمن </w:t>
      </w:r>
      <w:r>
        <w:rPr>
          <w:rFonts w:ascii="IRNazanin" w:hAnsi="IRNazanin" w:eastAsia="IRNazanin" w:cs="IRNazanin"/>
          <w:lang w:bidi="fa-IR"/>
          <w:color w:val="111111"/>
          <w:sz w:val="28"/>
          <w:szCs w:val="28"/>
          <w:b w:val="1"/>
          <w:bCs w:val="1"/>
          <w:i w:val="1"/>
          <w:iCs w:val="1"/>
          <w:rtl/>
        </w:rPr>
        <w:t xml:space="preserve">الرحيم المتوالی الاحسان؛ ۳- یوسف و زلیخا: الهی غنچه امید بگشای</w:t>
      </w:r>
      <w:r>
        <w:rPr>
          <w:rFonts w:ascii="IRNazanin" w:hAnsi="IRNazanin" w:eastAsia="IRNazanin" w:cs="IRNazanin"/>
          <w:lang w:bidi="fa-IR"/>
          <w:color w:val="111111"/>
          <w:sz w:val="28"/>
          <w:szCs w:val="28"/>
          <w:b w:val="1"/>
          <w:bCs w:val="1"/>
          <w:i w:val="1"/>
          <w:iCs w:val="1"/>
          <w:rtl/>
        </w:rPr>
        <w:t xml:space="preserve"> گلی از روضه جاوید بنمای؛ ۴- لیلی و مجنون: ای خاک تو تاج سربلندان</w:t>
      </w:r>
      <w:r>
        <w:rPr>
          <w:rFonts w:ascii="IRNazanin" w:hAnsi="IRNazanin" w:eastAsia="IRNazanin" w:cs="IRNazanin"/>
          <w:lang w:bidi="fa-IR"/>
          <w:color w:val="111111"/>
          <w:sz w:val="28"/>
          <w:szCs w:val="28"/>
          <w:rtl/>
        </w:rPr>
        <w:t xml:space="preserve">مجنون تو عقل هوشمندان؛ ۵- خردنامه اسکندری: الهي كمال الهی تراست *** جمال جهان پادشاهی تراست انجام: ۱- مهر نه خاتمه این خطاب*** شد رقم خاتم تم الكتاب؛ ۲- انجام: ختم الله لنا بالحسنی</w:t>
      </w:r>
      <w:r>
        <w:rPr>
          <w:rFonts w:ascii="IRNazanin" w:hAnsi="IRNazanin" w:eastAsia="IRNazanin" w:cs="IRNazanin"/>
          <w:lang w:bidi="fa-IR"/>
          <w:color w:val="111111"/>
          <w:sz w:val="28"/>
          <w:szCs w:val="28"/>
          <w:b w:val="1"/>
          <w:bCs w:val="1"/>
          <w:i w:val="1"/>
          <w:iCs w:val="1"/>
          <w:rtl/>
        </w:rPr>
        <w:t xml:space="preserve">و هو مولانا نعم المولی؛ 3 زبان را گوشمال خامشی ده</w:t>
      </w:r>
      <w:r>
        <w:rPr>
          <w:rFonts w:ascii="IRNazanin" w:hAnsi="IRNazanin" w:eastAsia="IRNazanin" w:cs="IRNazanin"/>
          <w:lang w:bidi="fa-IR"/>
          <w:color w:val="111111"/>
          <w:sz w:val="28"/>
          <w:szCs w:val="28"/>
          <w:rtl/>
        </w:rPr>
        <w:t xml:space="preserve"> که هست از هر چه گویی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خامشی به ؛ ۴- پاکان به نیاز صبحگاهان***آمرزشی از خدای خواهان؛ ۵- که تا پنبه از گوش دل بر کشیم ۸۸ همه گوش گردیم و دم در کشیم</w:t>
      </w:r>
    </w:p>
    <w:p>
      <w:pPr>
        <w:pStyle w:val="BookText"/>
      </w:pPr>
      <w:r>
        <w:rPr>
          <w:rFonts w:ascii="IRNazanin" w:hAnsi="IRNazanin" w:eastAsia="IRNazanin" w:cs="IRNazanin"/>
          <w:lang w:bidi="fa-IR"/>
          <w:color w:val="111111"/>
          <w:sz w:val="28"/>
          <w:szCs w:val="28"/>
          <w:rtl/>
        </w:rPr>
        <w:t xml:space="preserve">چاپ: مکرر چاپ شده است.</w:t>
      </w:r>
    </w:p>
    <w:p>
      <w:pPr>
        <w:pStyle w:val="BookText"/>
      </w:pPr>
      <w:r>
        <w:rPr>
          <w:rFonts w:ascii="IRNazanin" w:hAnsi="IRNazanin" w:eastAsia="IRNazanin" w:cs="IRNazanin"/>
          <w:lang w:bidi="fa-IR"/>
          <w:color w:val="111111"/>
          <w:sz w:val="28"/>
          <w:szCs w:val="28"/>
          <w:rtl/>
        </w:rPr>
        <w:t xml:space="preserve">[دنا ۶۳۸/۲ ؛ فهرستواره منزوی ۴۲۸/۱۰ ]</w:t>
      </w:r>
    </w:p>
    <w:p>
      <w:pPr>
        <w:pStyle w:val="BookText"/>
      </w:pPr>
      <w:r>
        <w:rPr>
          <w:rFonts w:ascii="IRNazanin" w:hAnsi="IRNazanin" w:eastAsia="IRNazanin" w:cs="IRNazanin"/>
          <w:lang w:bidi="fa-IR"/>
          <w:color w:val="111111"/>
          <w:sz w:val="28"/>
          <w:szCs w:val="28"/>
          <w:rtl/>
        </w:rPr>
        <w:t xml:space="preserve">۱. تهران؛ سلطنتی؛ شماره نسخه: ۳۲۲</w:t>
      </w:r>
    </w:p>
    <w:p>
      <w:pPr>
        <w:pStyle w:val="BookText"/>
      </w:pPr>
      <w:r>
        <w:rPr>
          <w:rFonts w:ascii="IRNazanin" w:hAnsi="IRNazanin" w:eastAsia="IRNazanin" w:cs="IRNazanin"/>
          <w:lang w:bidi="fa-IR"/>
          <w:color w:val="111111"/>
          <w:sz w:val="28"/>
          <w:szCs w:val="28"/>
          <w:rtl/>
        </w:rPr>
        <w:t xml:space="preserve">آغاز: برابر ۲؛ انجام: برابر ۱؛ بسر حد اتمام رسیده شد و در رشته انتظام کشیده آمد این مهرهای خراشیده از صدف و خذف تراشیده هر چند چون عقد لولو آبدار گردن بند سروران و گوشوار هنرپروران را نشاید امید است که سبحه وار دست آویز از پای افتادگان و انشگت نمای سررشته از دست دادگان با تمام و انتظام این سبحه در ماه تسبیح و شهر تراویح منتظم در سلک شهور سنه ست و ثمانين و ثمانمائه لازال مبار کا على كل فيه اتفاق افتاد و الحمدلله الكريم الجواد و صلوات على محمد و آله خير العباد و السلم تسليما كثيرا</w:t>
      </w:r>
    </w:p>
    <w:p>
      <w:pPr>
        <w:pStyle w:val="BookText"/>
      </w:pPr>
      <w:r>
        <w:rPr>
          <w:rFonts w:ascii="IRNazanin" w:hAnsi="IRNazanin" w:eastAsia="IRNazanin" w:cs="IRNazanin"/>
          <w:lang w:bidi="fa-IR"/>
          <w:color w:val="111111"/>
          <w:sz w:val="28"/>
          <w:szCs w:val="28"/>
          <w:rtl/>
        </w:rPr>
        <w:t xml:space="preserve">مرکب است از پنج مثنوی عبدالرحمن جامی بدین شرح: مثنوی سبحة الابرار با مقدمه منثور ، يوسف و زلیخا ، لیلی و مجنون، اسکندرنامه، تحفة الأحرار با مقدمه منثور که خارج از متن در حاشیه نوشته شده است؛ خط: نستعلیق، بی کا، تا: ۸۸۶ق؛ مجدول با ۵ سرلوح کتیبه ای مرصع سبک هرات، مجدول مذهب؛ مهر: کتابخانه دولت علیه ایران ۱۳۲۹، «وفي الكتاب له اسمعیل ۱۱۱۸»؛ کاغذ: سمرقندی نخودی رنگ، جلد: مقوای روکش تیماج قهوه ای لولادار وسط ترنج دو نیم ترنج چهار لچک ترنج ضربی، ۴۲۲ص، ۱۹ سطر، قطع: وزیری،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۳-۱۷۸]</w:t>
      </w:r>
    </w:p>
    <w:p>
      <w:pPr>
        <w:pStyle w:val="BookText"/>
      </w:pPr>
      <w:r>
        <w:rPr>
          <w:rFonts w:ascii="IRNazanin" w:hAnsi="IRNazanin" w:eastAsia="IRNazanin" w:cs="IRNazanin"/>
          <w:lang w:bidi="fa-IR"/>
          <w:color w:val="111111"/>
          <w:sz w:val="28"/>
          <w:szCs w:val="28"/>
          <w:rtl/>
        </w:rPr>
        <w:t xml:space="preserve">۲. تهران؛ سلطنتی؛ شماره نسخه: ۳۲۳</w:t>
      </w:r>
    </w:p>
    <w:p>
      <w:pPr>
        <w:pStyle w:val="BookText"/>
      </w:pPr>
      <w:r>
        <w:rPr>
          <w:rFonts w:ascii="IRNazanin" w:hAnsi="IRNazanin" w:eastAsia="IRNazanin" w:cs="IRNazanin"/>
          <w:lang w:bidi="fa-IR"/>
          <w:color w:val="111111"/>
          <w:sz w:val="28"/>
          <w:szCs w:val="28"/>
          <w:rtl/>
        </w:rPr>
        <w:t xml:space="preserve">آغاز و انجام: برابر شامل تحفة الأحرار، سبحة الأبرار، يوسف و زلیخا، لیلی و مجنون و خردنامه اسکندری؛ خط: نستعلیق خفی، بی کا، تا: قرن 10ق؛ مجدول، به دارای ۵ سرلوح کتیبه ای مذهب مرصع ممتاز به سبک هرات؛ این نسخه نفیس و یگانه که جامع نمونه های بسیار عالی و ارزنده خط، مینیاتور، تجلید، تذهیب از استادان بنام اوایل قرن دهم هجری است؛ مهر: حسین بن هدایت الله، محمد رضا الحسینی، مشير السلطنه ۱۳۲۲، ناصر الدین شاه قاجار؛ کاغذ: بخارائی، جلد: مقوای روکش تیماج سرمه ای حاشیه مذهب گل دار، ۳۷۹، ۲۱ سطر، قطع: وزیری،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۱۷۶-۳ ]</w:t>
      </w:r>
    </w:p>
    <w:p>
      <w:pPr>
        <w:pStyle w:val="BookText"/>
      </w:pPr>
      <w:r>
        <w:rPr>
          <w:rFonts w:ascii="IRNazanin" w:hAnsi="IRNazanin" w:eastAsia="IRNazanin" w:cs="IRNazanin"/>
          <w:lang w:bidi="fa-IR"/>
          <w:color w:val="111111"/>
          <w:sz w:val="28"/>
          <w:szCs w:val="28"/>
          <w:rtl/>
        </w:rPr>
        <w:t xml:space="preserve">٣. تهران؛ مجلس؛ شماره نسخه: ۲۶۹</w:t>
      </w:r>
    </w:p>
    <w:p>
      <w:pPr>
        <w:pStyle w:val="BookText"/>
      </w:pPr>
      <w:r>
        <w:rPr>
          <w:rFonts w:ascii="IRNazanin" w:hAnsi="IRNazanin" w:eastAsia="IRNazanin" w:cs="IRNazanin"/>
          <w:lang w:bidi="fa-IR"/>
          <w:color w:val="111111"/>
          <w:sz w:val="28"/>
          <w:szCs w:val="28"/>
          <w:rtl/>
        </w:rPr>
        <w:t xml:space="preserve">بابا شاه اصفهانی پاره ای از این مثنوی ها را برگزیده و در این دفتر نوشته؛ خط: نستعلیق، كا: بابا شاه اصفهانی، تا: قرن ۱۰؛ مجدول، با سرلوح؛ مهر: «یا مهدی لمن هديت» از محمد مهدی استر آبادی منشی نادر شاه؛ خریداری میرزا محمد علی پسر حکیم یوسف قزوینی در ۲۵ ذیقعده ۱۱۴۵؛ کاغذ: سفید دولت آبادی افشان حاشیه کشمیری نارنجی، جلد: ساغری مشکی دایره زرکوب زنجیره طلاکاری ضربی مقوایی با ترنج و نیم ترنج با لولا، ۱۱گ، ۸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۴)،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[سنا: ف: ۱-۱۳۰]</w:t>
      </w:r>
    </w:p>
    <w:p>
      <w:pPr>
        <w:pStyle w:val="BookText"/>
      </w:pPr>
      <w:r>
        <w:rPr>
          <w:rFonts w:ascii="IRNazanin" w:hAnsi="IRNazanin" w:eastAsia="IRNazanin" w:cs="IRNazanin"/>
          <w:lang w:bidi="fa-IR"/>
          <w:color w:val="111111"/>
          <w:sz w:val="28"/>
          <w:szCs w:val="28"/>
          <w:rtl/>
        </w:rPr>
        <w:t xml:space="preserve">۴. تهران؛ سلطنتی؛ شماره نسخه: ۷۰۹</w:t>
      </w:r>
    </w:p>
    <w:p>
      <w:pPr>
        <w:pStyle w:val="BookText"/>
      </w:pPr>
      <w:r>
        <w:rPr>
          <w:rFonts w:ascii="IRNazanin" w:hAnsi="IRNazanin" w:eastAsia="IRNazanin" w:cs="IRNazanin"/>
          <w:lang w:bidi="fa-IR"/>
          <w:color w:val="111111"/>
          <w:sz w:val="28"/>
          <w:szCs w:val="28"/>
          <w:rtl/>
        </w:rPr>
        <w:t xml:space="preserve">آغاز: قبله همت خدای شناس</w:t>
      </w:r>
      <w:r>
        <w:rPr>
          <w:rFonts w:ascii="IRNazanin" w:hAnsi="IRNazanin" w:eastAsia="IRNazanin" w:cs="IRNazanin"/>
          <w:lang w:bidi="fa-IR"/>
          <w:color w:val="111111"/>
          <w:sz w:val="28"/>
          <w:szCs w:val="28"/>
          <w:b w:val="1"/>
          <w:bCs w:val="1"/>
          <w:i w:val="1"/>
          <w:iCs w:val="1"/>
          <w:rtl/>
        </w:rPr>
        <w:t xml:space="preserve">هست بر نعمت خدای سپاس / خاصه بر نعمتی که دیر بقاست</w:t>
      </w:r>
      <w:r>
        <w:rPr>
          <w:rFonts w:ascii="IRNazanin" w:hAnsi="IRNazanin" w:eastAsia="IRNazanin" w:cs="IRNazanin"/>
          <w:lang w:bidi="fa-IR"/>
          <w:color w:val="111111"/>
          <w:sz w:val="28"/>
          <w:szCs w:val="28"/>
          <w:rtl/>
        </w:rPr>
        <w:t xml:space="preserve">در جهان تا جهان بجاست بجاست ... اما بعد این پنج مثنوی است نمودار پنج گنج. نی نی پنجه ای است از گنجهای اسرار گوهر سنج اول تحفة الاحرار که چون انگشت ابهام از آن پنجه سرحلقه افتاده ... دوم سبحة الابرار که سبحه وار بنکتهای وحدت اشارت نمایست ... سوم يوسف و زلیخا که چون انگشت وسطی از همه سربلند تر است ... چهارم لیلی و مجنون که چون بن صر از میان برکنار است ... پنجم خردنامه اسکندری که چون خنصر عقد پنجم را مقحتستم است؛ انجام: برابر پنج گنج شامل: تحفة الأحرار، سبحة الأبرار، یوسف و زلیخا، لیلی و مجنون و خردنامه اسکندری؛ خط: نستعلیق رقاع عالی، كا: على حسینی هروی، تا: ۹۲۸ق؛ افتادگی: آغاز؛ این نسخه نفیس و یگانه که جامع نمونه های بسیار عالی و ارزنده خط، مینیاتور، تجلید، تذهیب از استادان بنام اوایل قرن دهم هجری است، سلطان محمد شاهی، حیدر على خواهرزاده استاد بهزاد، قاسم علی چهره گشای، مظفر علی برادرزاده استاد بهزاد، مقصود شاگرد استاد بهزاد، ضمن مثنوی های مزبور در مواضع مناسب اشعار را با طرح و نقش مینیاتورهای بسیار زیبا صد چندان گویا تر جلوه داده اند. این نسخه به امر سلطان حسین بایقرا به وسیله استادان وقت تهیه و تنظیم گردیده، مجدول و کمند کشی زرین و فیروزه ای، حواشی تماما مذهب و تشعیر سازی، دارای چهار کتیبه مذهب مرصع مزدوج به خط رقاع، دارای ۴ سرلوح مذهب مرصع مزدوج ممتاز، دارای ده مجلس مینیاتور ممتاز؛ کاغذ: متن و حاشیه. متن بخارائی نخودی غبار زرافشان، جلد: مقوای روکش تیماج مشکی قابسازی وسط ترنج دو سرترنج و لچکی هایی در گوشه و متن سوخت تحریر طلاپوش با گل و برگها و اسلیمی های بند رومی برجسته، ۴۰۵، ۲۰ سطر در دو بیت کتابت شده است، قطع: نیم ورقی حجیم، اندازه: ۲۳/۵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۳۴/۲سم [ف: ۳-۱۷۲]</w:t>
      </w:r>
    </w:p>
    <w:p>
      <w:pPr>
        <w:pStyle w:val="BookText"/>
      </w:pPr>
      <w:r>
        <w:rPr>
          <w:rFonts w:ascii="IRNazanin" w:hAnsi="IRNazanin" w:eastAsia="IRNazanin" w:cs="IRNazanin"/>
          <w:lang w:bidi="fa-IR"/>
          <w:color w:val="111111"/>
          <w:sz w:val="28"/>
          <w:szCs w:val="28"/>
          <w:rtl/>
        </w:rPr>
        <w:t xml:space="preserve">۵. تهران؛ مجلس؛ شماره نسخه: ۳۰۹۷</w:t>
      </w:r>
    </w:p>
    <w:p>
      <w:pPr>
        <w:pStyle w:val="BookText"/>
      </w:pPr>
      <w:r>
        <w:rPr>
          <w:rFonts w:ascii="IRNazanin" w:hAnsi="IRNazanin" w:eastAsia="IRNazanin" w:cs="IRNazanin"/>
          <w:lang w:bidi="fa-IR"/>
          <w:color w:val="111111"/>
          <w:sz w:val="28"/>
          <w:szCs w:val="28"/>
          <w:rtl/>
        </w:rPr>
        <w:t xml:space="preserve">شامل: تحفة الأحرار، سبحة الابرار، يوسف و زلیخا، لیلی و مجنون و خردنامه اسکندری؛ خط: نستعلیق، کا: محمود بن نظام، تا: ۱۳۷ق، مجدول، مذهب، دارای ۴ سرلوح مذهب؛ کاغذ: اصفهانی، جلد: تیماج با ترنج و چلیپای مذهب، ۳۸۲ص، ۲۱ سطر (در ۴ ستون)، قطع: وزیری،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۱۰/۲ - ۶۴۸]</w:t>
      </w:r>
    </w:p>
    <w:p>
      <w:pPr>
        <w:pStyle w:val="BookText"/>
      </w:pPr>
      <w:r>
        <w:rPr>
          <w:rFonts w:ascii="IRNazanin" w:hAnsi="IRNazanin" w:eastAsia="IRNazanin" w:cs="IRNazanin"/>
          <w:lang w:bidi="fa-IR"/>
          <w:color w:val="111111"/>
          <w:sz w:val="28"/>
          <w:szCs w:val="28"/>
          <w:rtl/>
        </w:rPr>
        <w:t xml:space="preserve">۶. مشهد؛ گوهرشاد؛ شماره نسخه: ۱۴۱۱</w:t>
      </w:r>
    </w:p>
    <w:p>
      <w:pPr>
        <w:pStyle w:val="BookText"/>
      </w:pPr>
      <w:r>
        <w:rPr>
          <w:rFonts w:ascii="IRNazanin" w:hAnsi="IRNazanin" w:eastAsia="IRNazanin" w:cs="IRNazanin"/>
          <w:lang w:bidi="fa-IR"/>
          <w:color w:val="111111"/>
          <w:sz w:val="28"/>
          <w:szCs w:val="28"/>
          <w:rtl/>
        </w:rPr>
        <w:t xml:space="preserve">شامل: تحفة الأحرار، سبحة الأبرار، يوسف و زلیخا، لیلی و مجنون و خردنامه اسکندری؛ خط: شکسته نستعلیق، کا: محمد على، تا: ۱۱ رجب ۱۲۲۹ق؛ کاغذ: فستقی، جلد: تیماج ضربی دار قهوه ای،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08" w:name="pg20363_209572"/>
    <w:bookmarkEnd w:id="308"/>
    <w:p>
      <w:pPr>
        <w:pStyle w:val="BookText"/>
      </w:pPr>
      <w:r>
        <w:rPr>
          <w:rFonts w:ascii="IRNazanin" w:hAnsi="IRNazanin" w:eastAsia="IRNazanin" w:cs="IRNazanin"/>
          <w:lang w:bidi="fa-IR"/>
          <w:color w:val="111111"/>
          <w:sz w:val="28"/>
          <w:szCs w:val="28"/>
          <w:rtl/>
        </w:rPr>
        <w:t xml:space="preserve">۱۷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۴-۱۹۹۲]</w:t>
      </w:r>
    </w:p>
    <w:p>
      <w:pPr>
        <w:pStyle w:val="BookText"/>
      </w:pPr>
      <w:r>
        <w:rPr>
          <w:rFonts w:ascii="IRNazanin" w:hAnsi="IRNazanin" w:eastAsia="IRNazanin" w:cs="IRNazanin"/>
          <w:lang w:bidi="fa-IR"/>
          <w:color w:val="111111"/>
          <w:sz w:val="28"/>
          <w:szCs w:val="28"/>
          <w:rtl/>
        </w:rPr>
        <w:t xml:space="preserve">۷. تهران؛ دانشگاه؛ شماره نسخه: ۴۵۹ف</w:t>
      </w:r>
    </w:p>
    <w:p>
      <w:pPr>
        <w:pStyle w:val="BookText"/>
      </w:pPr>
      <w:r>
        <w:rPr>
          <w:rFonts w:ascii="IRNazanin" w:hAnsi="IRNazanin" w:eastAsia="IRNazanin" w:cs="IRNazanin"/>
          <w:lang w:bidi="fa-IR"/>
          <w:color w:val="111111"/>
          <w:sz w:val="28"/>
          <w:szCs w:val="28"/>
          <w:rtl/>
        </w:rPr>
        <w:t xml:space="preserve">نسخه اصل: فاتح ش ۳۷۴۴. شامل: تحفة الأحرار، سبحة الابرار، يوسف و زلیخا، لیلی و مجنون و خردنامه اسکندری؛ خط:  نستعلیق، بی کا، بی تا، ۱۸۲گ، ۲۰ سطر [فيلمها ف: ۱-۲۵]</w:t>
      </w:r>
    </w:p>
    <w:p>
      <w:pPr>
        <w:pStyle w:val="BookText"/>
      </w:pPr>
      <w:r>
        <w:rPr>
          <w:rFonts w:ascii="IRNazanin" w:hAnsi="IRNazanin" w:eastAsia="IRNazanin" w:cs="IRNazanin"/>
          <w:lang w:bidi="fa-IR"/>
          <w:color w:val="111111"/>
          <w:sz w:val="28"/>
          <w:szCs w:val="28"/>
          <w:rtl/>
        </w:rPr>
        <w:t xml:space="preserve">۸. تهران؛ ملی؛ شماره نسخه: ۱۸۹۴۹</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۲۱۳گ،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۱۵/۷</w:t>
      </w:r>
    </w:p>
    <w:p>
      <w:pPr>
        <w:pStyle w:val="BookText"/>
      </w:pPr>
      <w:r>
        <w:rPr>
          <w:rFonts w:ascii="IRNazanin" w:hAnsi="IRNazanin" w:eastAsia="IRNazanin" w:cs="IRNazanin"/>
          <w:lang w:bidi="fa-IR"/>
          <w:color w:val="111111"/>
          <w:sz w:val="28"/>
          <w:szCs w:val="28"/>
          <w:rtl/>
        </w:rPr>
        <w:t xml:space="preserve">سم [رایانه]</w:t>
      </w:r>
    </w:p>
    <w:p>
      <w:pPr>
        <w:pStyle w:val="Heading3"/>
      </w:pPr>
      <w:bookmarkStart w:id="1772" w:name="_Toc1032"/>
      <w:r>
        <w:t>• پنج گنج = خمسه / شعر / فارسی</w:t>
      </w:r>
      <w:bookmarkEnd w:id="1772"/>
    </w:p>
    <w:p>
      <w:pPr>
        <w:pStyle w:val="BookText"/>
      </w:pPr>
      <w:r>
        <w:rPr>
          <w:rFonts w:ascii="Times New Roman" w:hAnsi="Times New Roman" w:eastAsia="Times New Roman" w:cs="Times New Roman"/>
          <w:lang w:val="en-US" w:bidi="en-US"/>
          <w:color w:val="111111"/>
          <w:sz w:val="28"/>
          <w:szCs w:val="28"/>
          <w:rtl/>
        </w:rPr>
        <w:t xml:space="preserve">panj ganj = xamse</w:t>
      </w:r>
    </w:p>
    <w:p>
      <w:pPr>
        <w:pStyle w:val="BookText"/>
      </w:pPr>
      <w:r>
        <w:rPr>
          <w:rFonts w:ascii="IRNazanin" w:hAnsi="IRNazanin" w:eastAsia="IRNazanin" w:cs="IRNazanin"/>
          <w:lang w:bidi="fa-IR"/>
          <w:color w:val="111111"/>
          <w:sz w:val="28"/>
          <w:szCs w:val="28"/>
          <w:rtl/>
        </w:rPr>
        <w:t xml:space="preserve">روح الامین، محمد امین، ۹۷۱-۱۰۴۷ قمری</w:t>
      </w:r>
    </w:p>
    <w:p>
      <w:pPr>
        <w:pStyle w:val="BookText"/>
      </w:pPr>
      <w:r>
        <w:rPr>
          <w:rFonts w:ascii="Times New Roman" w:hAnsi="Times New Roman" w:eastAsia="Times New Roman" w:cs="Times New Roman"/>
          <w:lang w:val="en-US" w:bidi="en-US"/>
          <w:color w:val="111111"/>
          <w:sz w:val="28"/>
          <w:szCs w:val="28"/>
          <w:rtl/>
        </w:rPr>
        <w:t xml:space="preserve">rūh-ol-amīn, mohammad amīn (1564-1638)</w:t>
      </w:r>
    </w:p>
    <w:p>
      <w:pPr>
        <w:pStyle w:val="BookText"/>
      </w:pPr>
      <w:r>
        <w:rPr>
          <w:rFonts w:ascii="IRNazanin" w:hAnsi="IRNazanin" w:eastAsia="IRNazanin" w:cs="IRNazanin"/>
          <w:lang w:bidi="fa-IR"/>
          <w:color w:val="111111"/>
          <w:sz w:val="28"/>
          <w:szCs w:val="28"/>
          <w:rtl/>
        </w:rPr>
        <w:t xml:space="preserve">اهداء به محمد قلی قطب شاه (۹۸۹-۱۰۰۲ق) پنج مثنوی به تقلید از خمسه نظامی: ۱. خسرو و شیرین، ۲. مطمح الانظار؛ ۳. لیلی و مجنون، ۴. آسمان هشتم (بهرام نامه)، ۵-جواهر نامه که دیده نشده است. آغاز: آغاز 1: ای روان آفرین دل آرای*** وی خرد را به</w:t>
      </w:r>
    </w:p>
    <w:p>
      <w:pPr>
        <w:pStyle w:val="BookText"/>
      </w:pPr>
      <w:r>
        <w:rPr>
          <w:rFonts w:ascii="IRNazanin" w:hAnsi="IRNazanin" w:eastAsia="IRNazanin" w:cs="IRNazanin"/>
          <w:lang w:bidi="fa-IR"/>
          <w:color w:val="111111"/>
          <w:sz w:val="28"/>
          <w:szCs w:val="28"/>
          <w:rtl/>
        </w:rPr>
        <w:t xml:space="preserve">خویش راهنمای آغاز ۲: ای روان آفرین گردون ساز *** وی غنی از شریک و از انباز</w:t>
      </w:r>
    </w:p>
    <w:p>
      <w:pPr>
        <w:pStyle w:val="BookText"/>
      </w:pPr>
      <w:r>
        <w:rPr>
          <w:rFonts w:ascii="IRNazanin" w:hAnsi="IRNazanin" w:eastAsia="IRNazanin" w:cs="IRNazanin"/>
          <w:lang w:bidi="fa-IR"/>
          <w:color w:val="111111"/>
          <w:sz w:val="28"/>
          <w:szCs w:val="28"/>
          <w:rtl/>
        </w:rPr>
        <w:t xml:space="preserve">[فهرستواره منزوی ۴۳۶/۱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دانشسرای</w:t>
      </w:r>
    </w:p>
    <w:p>
      <w:pPr>
        <w:pStyle w:val="BookText"/>
      </w:pPr>
      <w:r>
        <w:rPr>
          <w:rFonts w:ascii="IRNazanin" w:hAnsi="IRNazanin" w:eastAsia="IRNazanin" w:cs="IRNazanin"/>
          <w:lang w:bidi="fa-IR"/>
          <w:color w:val="111111"/>
          <w:sz w:val="28"/>
          <w:szCs w:val="28"/>
          <w:rtl/>
        </w:rPr>
        <w:t xml:space="preserve">عالی - کتابخانه میرزا عبدالعظیم خان قریب</w:t>
      </w:r>
    </w:p>
    <w:p>
      <w:pPr>
        <w:pStyle w:val="BookText"/>
      </w:pPr>
      <w:r>
        <w:rPr>
          <w:rFonts w:ascii="IRNazanin" w:hAnsi="IRNazanin" w:eastAsia="IRNazanin" w:cs="IRNazanin"/>
          <w:lang w:bidi="fa-IR"/>
          <w:color w:val="111111"/>
          <w:sz w:val="28"/>
          <w:szCs w:val="28"/>
          <w:rtl/>
        </w:rPr>
        <w:t xml:space="preserve">گرکانی؛ شماره نسخه: ۱۱۶</w:t>
      </w:r>
    </w:p>
    <w:p>
      <w:pPr>
        <w:pStyle w:val="BookText"/>
      </w:pPr>
      <w:r>
        <w:rPr>
          <w:rFonts w:ascii="IRNazanin" w:hAnsi="IRNazanin" w:eastAsia="IRNazanin" w:cs="IRNazanin"/>
          <w:lang w:bidi="fa-IR"/>
          <w:color w:val="111111"/>
          <w:sz w:val="28"/>
          <w:szCs w:val="28"/>
          <w:rtl/>
        </w:rPr>
        <w:t xml:space="preserve">خط: نستعلیق، بی کا، تا: قرن ۱۱ و ۱۲؛ با سرلوح، مجدول؛ هر یکی با مقدمه ای به نثر؛ گویا پنجمی را نسروده است؛ قطع: رحلی [نشریه: ۵-۶۱۹]</w:t>
      </w:r>
    </w:p>
    <w:p>
      <w:pPr>
        <w:pStyle w:val="BookText"/>
      </w:pPr>
      <w:r>
        <w:rPr>
          <w:rFonts w:ascii="IRNazanin" w:hAnsi="IRNazanin" w:eastAsia="IRNazanin" w:cs="IRNazanin"/>
          <w:lang w:bidi="fa-IR"/>
          <w:color w:val="111111"/>
          <w:sz w:val="28"/>
          <w:szCs w:val="28"/>
          <w:rtl/>
        </w:rPr>
        <w:t xml:space="preserve">تهران؛ دانشگاه؛ شماره نسخه: ۳۲۲۲-ف</w:t>
      </w:r>
    </w:p>
    <w:p>
      <w:pPr>
        <w:pStyle w:val="BookText"/>
      </w:pPr>
      <w:r>
        <w:rPr>
          <w:rFonts w:ascii="IRNazanin" w:hAnsi="IRNazanin" w:eastAsia="IRNazanin" w:cs="IRNazanin"/>
          <w:lang w:bidi="fa-IR"/>
          <w:color w:val="111111"/>
          <w:sz w:val="28"/>
          <w:szCs w:val="28"/>
          <w:rtl/>
        </w:rPr>
        <w:t xml:space="preserve">نسخه اصل: همان نسخه بالا [فیلمها ف: ۲-۱۰۲]</w:t>
      </w:r>
    </w:p>
    <w:p>
      <w:pPr>
        <w:pStyle w:val="BookText"/>
      </w:pPr>
      <w:r>
        <w:rPr>
          <w:rFonts w:ascii="IRNazanin" w:hAnsi="IRNazanin" w:eastAsia="IRNazanin" w:cs="IRNazanin"/>
          <w:lang w:bidi="fa-IR"/>
          <w:color w:val="111111"/>
          <w:sz w:val="28"/>
          <w:szCs w:val="28"/>
          <w:rtl/>
        </w:rPr>
        <w:t xml:space="preserve">۲. تهران؛ مجلس؛ شماره نسخه: ۹۱۸۲</w:t>
      </w:r>
    </w:p>
    <w:p>
      <w:pPr>
        <w:pStyle w:val="BookText"/>
      </w:pPr>
      <w:r>
        <w:rPr>
          <w:rFonts w:ascii="IRNazanin" w:hAnsi="IRNazanin" w:eastAsia="IRNazanin" w:cs="IRNazanin"/>
          <w:lang w:bidi="fa-IR"/>
          <w:color w:val="111111"/>
          <w:sz w:val="28"/>
          <w:szCs w:val="28"/>
          <w:rtl/>
        </w:rPr>
        <w:t xml:space="preserve">آغاز: مطمح الانظار: مقدمه منثور: ای از تو چراغ آفرینش روشن*** وز خرمن تو چرخ بود یک ... (پارگی) / با روح امین قرين شده آتش عشق</w:t>
      </w:r>
      <w:r>
        <w:rPr>
          <w:rFonts w:ascii="IRNazanin" w:hAnsi="IRNazanin" w:eastAsia="IRNazanin" w:cs="IRNazanin"/>
          <w:lang w:bidi="fa-IR"/>
          <w:color w:val="111111"/>
          <w:sz w:val="28"/>
          <w:szCs w:val="28"/>
          <w:b w:val="1"/>
          <w:bCs w:val="1"/>
          <w:i w:val="1"/>
          <w:iCs w:val="1"/>
          <w:rtl/>
        </w:rPr>
        <w:t xml:space="preserve">خواهم که زند بدان جمالت دامن / مشرق زبان را به نور خورشید حمد خدای بی زوال</w:t>
      </w:r>
      <w:r>
        <w:rPr>
          <w:rFonts w:ascii="IRNazanin" w:hAnsi="IRNazanin" w:eastAsia="IRNazanin" w:cs="IRNazanin"/>
          <w:lang w:bidi="fa-IR"/>
          <w:color w:val="111111"/>
          <w:sz w:val="28"/>
          <w:szCs w:val="28"/>
          <w:rtl/>
        </w:rPr>
        <w:t xml:space="preserve">چون رشک خاور ساختم ندای و اذكروا الله». آغاز منظومه: بسم الله الرحمن الرحيم</w:t>
      </w:r>
      <w:r>
        <w:rPr>
          <w:rFonts w:ascii="IRNazanin" w:hAnsi="IRNazanin" w:eastAsia="IRNazanin" w:cs="IRNazanin"/>
          <w:lang w:bidi="fa-IR"/>
          <w:color w:val="111111"/>
          <w:sz w:val="28"/>
          <w:szCs w:val="28"/>
          <w:b w:val="1"/>
          <w:bCs w:val="1"/>
          <w:i w:val="1"/>
          <w:iCs w:val="1"/>
          <w:rtl/>
        </w:rPr>
        <w:t xml:space="preserve">مطلع آیات کلام حکیم / فاتح گنج سخن آمد نخست</w:t>
      </w:r>
      <w:r>
        <w:rPr>
          <w:rFonts w:ascii="IRNazanin" w:hAnsi="IRNazanin" w:eastAsia="IRNazanin" w:cs="IRNazanin"/>
          <w:lang w:bidi="fa-IR"/>
          <w:color w:val="111111"/>
          <w:sz w:val="28"/>
          <w:szCs w:val="28"/>
          <w:rtl/>
        </w:rPr>
        <w:t xml:space="preserve"> هر چه نه با اوست نباشد درست. خسرو و شیرین: مقدمه: ای</w:t>
      </w:r>
    </w:p>
    <w:p>
      <w:pPr>
        <w:pStyle w:val="BookText"/>
      </w:pPr>
      <w:r>
        <w:rPr>
          <w:rFonts w:ascii="IRNazanin" w:hAnsi="IRNazanin" w:eastAsia="IRNazanin" w:cs="IRNazanin"/>
          <w:lang w:bidi="fa-IR"/>
          <w:color w:val="111111"/>
          <w:sz w:val="28"/>
          <w:szCs w:val="28"/>
          <w:rtl/>
        </w:rPr>
        <w:t xml:space="preserve">بسته به دست جود تو قطب کمر</w:t>
      </w:r>
      <w:r>
        <w:rPr>
          <w:rFonts w:ascii="IRNazanin" w:hAnsi="IRNazanin" w:eastAsia="IRNazanin" w:cs="IRNazanin"/>
          <w:lang w:bidi="fa-IR"/>
          <w:color w:val="111111"/>
          <w:sz w:val="28"/>
          <w:szCs w:val="28"/>
          <w:b w:val="1"/>
          <w:bCs w:val="1"/>
          <w:i w:val="1"/>
          <w:iCs w:val="1"/>
          <w:rtl/>
        </w:rPr>
        <w:t xml:space="preserve">وای مکرمنت نهاده تاجش بر سر ... خطيب زبان را بر منبر دهان عصای بیان به دست</w:t>
      </w:r>
      <w:r>
        <w:rPr>
          <w:rFonts w:ascii="IRNazanin" w:hAnsi="IRNazanin" w:eastAsia="IRNazanin" w:cs="IRNazanin"/>
          <w:lang w:bidi="fa-IR"/>
          <w:color w:val="111111"/>
          <w:sz w:val="28"/>
          <w:szCs w:val="28"/>
          <w:rtl/>
        </w:rPr>
        <w:t xml:space="preserve">دادم و خود در پای منبر ذاکرانه نشسته به او گفتم». منظومه: خداوندنا به عشقم راه بنمای*** دری بر رویم از تأیید بگشای / زبانم را شهادت گوی خود کن***رخم را از دو عالم سوی خود کن.</w:t>
      </w:r>
    </w:p>
    <w:p>
      <w:pPr>
        <w:pStyle w:val="BookText"/>
      </w:pPr>
      <w:r>
        <w:rPr>
          <w:rFonts w:ascii="IRNazanin" w:hAnsi="IRNazanin" w:eastAsia="IRNazanin" w:cs="IRNazanin"/>
          <w:lang w:bidi="fa-IR"/>
          <w:color w:val="111111"/>
          <w:sz w:val="28"/>
          <w:szCs w:val="28"/>
          <w:rtl/>
        </w:rPr>
        <w:t xml:space="preserve">لیلی و مجنون: ای قادر بی شریک و انباز </w:t>
      </w:r>
      <w:r>
        <w:rPr>
          <w:rFonts w:ascii="IRNazanin" w:hAnsi="IRNazanin" w:eastAsia="IRNazanin" w:cs="IRNazanin"/>
          <w:lang w:bidi="fa-IR"/>
          <w:color w:val="111111"/>
          <w:sz w:val="28"/>
          <w:szCs w:val="28"/>
          <w:b w:val="1"/>
          <w:bCs w:val="1"/>
          <w:i w:val="1"/>
          <w:iCs w:val="1"/>
          <w:rtl/>
        </w:rPr>
        <w:t xml:space="preserve">خاک از تو شده سپهر اعجاز / ای نام تو مطلع هر امید </w:t>
      </w:r>
      <w:r>
        <w:rPr>
          <w:rFonts w:ascii="IRNazanin" w:hAnsi="IRNazanin" w:eastAsia="IRNazanin" w:cs="IRNazanin"/>
          <w:lang w:bidi="fa-IR"/>
          <w:color w:val="111111"/>
          <w:sz w:val="28"/>
          <w:szCs w:val="28"/>
          <w:b w:val="1"/>
          <w:bCs w:val="1"/>
          <w:i w:val="1"/>
          <w:iCs w:val="1"/>
          <w:rtl/>
        </w:rPr>
        <w:t xml:space="preserve">سرلوح کتاب تست خورشید. آسمان هشتم (بهرامنامه): ای روان آفرین دل آرای</w:t>
      </w:r>
      <w:r>
        <w:rPr>
          <w:rFonts w:ascii="IRNazanin" w:hAnsi="IRNazanin" w:eastAsia="IRNazanin" w:cs="IRNazanin"/>
          <w:lang w:bidi="fa-IR"/>
          <w:color w:val="111111"/>
          <w:sz w:val="28"/>
          <w:szCs w:val="28"/>
          <w:b w:val="1"/>
          <w:bCs w:val="1"/>
          <w:i w:val="1"/>
          <w:iCs w:val="1"/>
          <w:rtl/>
        </w:rPr>
        <w:t xml:space="preserve"> وی خرد را بخویش راهنمای / ای سبب ساز و کار ساز همه</w:t>
      </w:r>
      <w:r>
        <w:rPr>
          <w:rFonts w:ascii="IRNazanin" w:hAnsi="IRNazanin" w:eastAsia="IRNazanin" w:cs="IRNazanin"/>
          <w:lang w:bidi="fa-IR"/>
          <w:color w:val="111111"/>
          <w:sz w:val="28"/>
          <w:szCs w:val="28"/>
          <w:rtl/>
        </w:rPr>
        <w:t xml:space="preserve"> وی روانبخش و دلنواز همه؛ انجام: مطمح الأنظار: بار خدایا زره عدل و داد *** خاطر ناظم کن از عشق شاد/ عفو کنش جرم که شرمنده است*** مرده به تن لیک به دل زنده است. خسرو و شیرین: منظومه: درود از حد برون آن پاک بنیاد به اولاد عظامش هم فرستاد-بزد بر مخزن اسرار پس چنگ</w:t>
      </w:r>
      <w:r>
        <w:rPr>
          <w:rFonts w:ascii="IRNazanin" w:hAnsi="IRNazanin" w:eastAsia="IRNazanin" w:cs="IRNazanin"/>
          <w:lang w:bidi="fa-IR"/>
          <w:color w:val="111111"/>
          <w:sz w:val="28"/>
          <w:szCs w:val="28"/>
          <w:b w:val="1"/>
          <w:bCs w:val="1"/>
          <w:i w:val="1"/>
          <w:iCs w:val="1"/>
          <w:rtl/>
        </w:rPr>
        <w:t xml:space="preserve">چو باطن ظاهرش گردید یکرنگ. لیلی و مجنون: غم را ز دلم جدا مینداز</w:t>
      </w:r>
      <w:r>
        <w:rPr>
          <w:rFonts w:ascii="IRNazanin" w:hAnsi="IRNazanin" w:eastAsia="IRNazanin" w:cs="IRNazanin"/>
          <w:lang w:bidi="fa-IR"/>
          <w:color w:val="111111"/>
          <w:sz w:val="28"/>
          <w:szCs w:val="28"/>
          <w:rtl/>
        </w:rPr>
        <w:t xml:space="preserve">در بر رخ من ز شوق کن باز / بفشان به سرم ز ذوق گردی*** بر درد دلم فزای دردی . آسمان هشتم (بهرامنامه): بار الها به حق چار کتاب</w:t>
      </w:r>
      <w:r>
        <w:rPr>
          <w:rFonts w:ascii="IRNazanin" w:hAnsi="IRNazanin" w:eastAsia="IRNazanin" w:cs="IRNazanin"/>
          <w:lang w:bidi="fa-IR"/>
          <w:color w:val="111111"/>
          <w:sz w:val="28"/>
          <w:szCs w:val="28"/>
          <w:b w:val="1"/>
          <w:bCs w:val="1"/>
          <w:i w:val="1"/>
          <w:iCs w:val="1"/>
          <w:rtl/>
        </w:rPr>
        <w:t xml:space="preserve">که کلام توشان شدست خطاب / که کتاب مرا عزیز نما</w:t>
      </w:r>
      <w:r>
        <w:rPr>
          <w:rFonts w:ascii="IRNazanin" w:hAnsi="IRNazanin" w:eastAsia="IRNazanin" w:cs="IRNazanin"/>
          <w:lang w:bidi="fa-IR"/>
          <w:color w:val="111111"/>
          <w:sz w:val="28"/>
          <w:szCs w:val="28"/>
          <w:rtl/>
        </w:rPr>
        <w:t xml:space="preserve"> به سر دست شه نمایش جا / مكنش خار پیش ناکس و</w:t>
      </w:r>
    </w:p>
    <w:p>
      <w:pPr>
        <w:pStyle w:val="BookText"/>
      </w:pPr>
      <w:r>
        <w:rPr>
          <w:rFonts w:ascii="IRNazanin" w:hAnsi="IRNazanin" w:eastAsia="IRNazanin" w:cs="IRNazanin"/>
          <w:lang w:bidi="fa-IR"/>
          <w:color w:val="111111"/>
          <w:sz w:val="28"/>
          <w:szCs w:val="28"/>
          <w:i w:val="1"/>
          <w:iCs w:val="1"/>
          <w:rtl/>
        </w:rPr>
        <w:t xml:space="preserve">کس</w:t>
      </w:r>
      <w:r>
        <w:rPr>
          <w:rFonts w:ascii="IRNazanin" w:hAnsi="IRNazanin" w:eastAsia="IRNazanin" w:cs="IRNazanin"/>
          <w:lang w:bidi="fa-IR"/>
          <w:color w:val="111111"/>
          <w:sz w:val="28"/>
          <w:szCs w:val="28"/>
          <w:rtl/>
        </w:rPr>
        <w:t xml:space="preserve">**سخن این جا رسید و کردم بس</w:t>
      </w:r>
    </w:p>
    <w:p>
      <w:pPr>
        <w:pStyle w:val="BookText"/>
      </w:pPr>
      <w:r>
        <w:rPr>
          <w:rFonts w:ascii="IRNazanin" w:hAnsi="IRNazanin" w:eastAsia="IRNazanin" w:cs="IRNazanin"/>
          <w:lang w:bidi="fa-IR"/>
          <w:color w:val="111111"/>
          <w:sz w:val="28"/>
          <w:szCs w:val="28"/>
          <w:rtl/>
        </w:rPr>
        <w:t xml:space="preserve">خط: نستعلیق، بی کا، تا: قرن ۱۱؛ مذهب و نفیس، با کتیبه های زرین، مجدول، با ۶ سرلوح مذهب و مرصع نفیس، رکابه دار، جزوها برگی؛ مهر: کتابخانه جعفر سلطان القرایی؛ خریداری از جعفر سلطان القرایی در آذر ۱۳۴۸ش؛ کاغذ: نخودی آهار مهره، جلد: روغنی با نقوش گل و بوته در متن و حاشیه با زمینه سبز مجدول عطف تیماج مشکی، ۳۰۶گ، ۲۳ سطر ( ۱۷/۸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۲۸/۲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 [ف: ۲۹/۲ -۸۴۴]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دانشسرای عالی - کتابخانه میرزا عبدالعظیم خان قريب</w:t>
      </w:r>
    </w:p>
    <w:p>
      <w:pPr>
        <w:pStyle w:val="BookText"/>
      </w:pPr>
      <w:r>
        <w:rPr>
          <w:rFonts w:ascii="IRNazanin" w:hAnsi="IRNazanin" w:eastAsia="IRNazanin" w:cs="IRNazanin"/>
          <w:lang w:bidi="fa-IR"/>
          <w:color w:val="111111"/>
          <w:sz w:val="28"/>
          <w:szCs w:val="28"/>
          <w:rtl/>
        </w:rPr>
        <w:t xml:space="preserve">گرکانی؛ شماره نسخه: ۱۱۶/۴</w:t>
      </w:r>
    </w:p>
    <w:p>
      <w:pPr>
        <w:pStyle w:val="BookText"/>
      </w:pPr>
      <w:r>
        <w:rPr>
          <w:rFonts w:ascii="IRNazanin" w:hAnsi="IRNazanin" w:eastAsia="IRNazanin" w:cs="IRNazanin"/>
          <w:lang w:bidi="fa-IR"/>
          <w:color w:val="111111"/>
          <w:sz w:val="28"/>
          <w:szCs w:val="28"/>
          <w:rtl/>
        </w:rPr>
        <w:t xml:space="preserve">خط: نستعلیق، بی کا، بی تا، قطع: رحلی [نشریه: ۵-۶۱۹]</w:t>
      </w:r>
    </w:p>
    <w:p>
      <w:pPr>
        <w:pStyle w:val="Heading3"/>
      </w:pPr>
      <w:bookmarkStart w:id="1773" w:name="_Toc1033"/>
      <w:r>
        <w:t>• پنج گنج / شعر / فارسی</w:t>
      </w:r>
      <w:bookmarkEnd w:id="1773"/>
    </w:p>
    <w:p>
      <w:pPr>
        <w:pStyle w:val="BookText"/>
      </w:pPr>
      <w:r>
        <w:rPr>
          <w:rFonts w:ascii="Times New Roman" w:hAnsi="Times New Roman" w:eastAsia="Times New Roman" w:cs="Times New Roman"/>
          <w:lang w:val="en-US" w:bidi="en-US"/>
          <w:color w:val="111111"/>
          <w:sz w:val="28"/>
          <w:szCs w:val="28"/>
          <w:rtl/>
        </w:rPr>
        <w:t xml:space="preserve">panj ganj</w:t>
      </w:r>
    </w:p>
    <w:p>
      <w:pPr>
        <w:pStyle w:val="BookText"/>
      </w:pPr>
      <w:r>
        <w:rPr>
          <w:rFonts w:ascii="IRNazanin" w:hAnsi="IRNazanin" w:eastAsia="IRNazanin" w:cs="IRNazanin"/>
          <w:lang w:bidi="fa-IR"/>
          <w:color w:val="111111"/>
          <w:sz w:val="28"/>
          <w:szCs w:val="28"/>
          <w:rtl/>
        </w:rPr>
        <w:t xml:space="preserve">منزوی، سدید الدین، ۱۱۰۷ق - ۱۲ قمری</w:t>
      </w:r>
    </w:p>
    <w:p>
      <w:pPr>
        <w:pStyle w:val="BookText"/>
      </w:pPr>
      <w:r>
        <w:rPr>
          <w:rFonts w:ascii="Times New Roman" w:hAnsi="Times New Roman" w:eastAsia="Times New Roman" w:cs="Times New Roman"/>
          <w:lang w:val="en-US" w:bidi="en-US"/>
          <w:color w:val="111111"/>
          <w:sz w:val="28"/>
          <w:szCs w:val="28"/>
          <w:rtl/>
        </w:rPr>
        <w:t xml:space="preserve">monzavī, sadīd-od-dīn (1696-180)</w:t>
      </w:r>
    </w:p>
    <w:p>
      <w:pPr>
        <w:pStyle w:val="BookText"/>
      </w:pPr>
      <w:r>
        <w:rPr>
          <w:rFonts w:ascii="IRNazanin" w:hAnsi="IRNazanin" w:eastAsia="IRNazanin" w:cs="IRNazanin"/>
          <w:lang w:bidi="fa-IR"/>
          <w:color w:val="111111"/>
          <w:sz w:val="28"/>
          <w:szCs w:val="28"/>
          <w:rtl/>
        </w:rPr>
        <w:t xml:space="preserve">پنج منظومه در ستاره شناسی و به قول خود ناظم پنج گنج است در پنج مطلب: «بود گنج اول بدانش بهار</w:t>
      </w:r>
      <w:r>
        <w:rPr>
          <w:rFonts w:ascii="IRNazanin" w:hAnsi="IRNazanin" w:eastAsia="IRNazanin" w:cs="IRNazanin"/>
          <w:lang w:bidi="fa-IR"/>
          <w:color w:val="111111"/>
          <w:sz w:val="28"/>
          <w:szCs w:val="28"/>
          <w:b w:val="1"/>
          <w:bCs w:val="1"/>
          <w:i w:val="1"/>
          <w:iCs w:val="1"/>
          <w:rtl/>
        </w:rPr>
        <w:t xml:space="preserve">ز احوال مولود آئینه وار دوم گنج این نسخه دل نشین *** بود نقش راز نفس را نگین / سیم گنج معیار دانش عيار</w:t>
      </w:r>
      <w:r>
        <w:rPr>
          <w:rFonts w:ascii="IRNazanin" w:hAnsi="IRNazanin" w:eastAsia="IRNazanin" w:cs="IRNazanin"/>
          <w:lang w:bidi="fa-IR"/>
          <w:color w:val="111111"/>
          <w:sz w:val="28"/>
          <w:szCs w:val="28"/>
          <w:rtl/>
        </w:rPr>
        <w:t xml:space="preserve"> ز علم قیافه بود راز دار / بود چارمی گنج دانش نورد</w:t>
      </w:r>
      <w:r>
        <w:rPr>
          <w:rFonts w:ascii="IRNazanin" w:hAnsi="IRNazanin" w:eastAsia="IRNazanin" w:cs="IRNazanin"/>
          <w:lang w:bidi="fa-IR"/>
          <w:color w:val="111111"/>
          <w:sz w:val="28"/>
          <w:szCs w:val="28"/>
          <w:b w:val="1"/>
          <w:bCs w:val="1"/>
          <w:i w:val="1"/>
          <w:iCs w:val="1"/>
          <w:rtl/>
        </w:rPr>
        <w:t xml:space="preserve">ز اسرار خط کف دست مرد / بود گنج پنجم باسلوب پنج</w:t>
      </w:r>
      <w:r>
        <w:rPr>
          <w:rFonts w:ascii="IRNazanin" w:hAnsi="IRNazanin" w:eastAsia="IRNazanin" w:cs="IRNazanin"/>
          <w:lang w:bidi="fa-IR"/>
          <w:color w:val="111111"/>
          <w:sz w:val="28"/>
          <w:szCs w:val="28"/>
          <w:rtl/>
        </w:rPr>
        <w:t xml:space="preserve"> ز احکام دانشوری راز سنج آغاز: پنج گنج، حمد، بسم الله الرحمن الرحیم: کنم حمد رب السموات را به نماینده نور و ظلمات را</w:t>
      </w:r>
    </w:p>
    <w:p>
      <w:pPr>
        <w:pStyle w:val="BookText"/>
      </w:pPr>
      <w:r>
        <w:rPr>
          <w:rFonts w:ascii="IRNazanin" w:hAnsi="IRNazanin" w:eastAsia="IRNazanin" w:cs="IRNazanin"/>
          <w:lang w:bidi="fa-IR"/>
          <w:color w:val="111111"/>
          <w:sz w:val="28"/>
          <w:szCs w:val="28"/>
          <w:rtl/>
        </w:rPr>
        <w:t xml:space="preserve">انجام: الهی بپاكان درگاه تو*** بمردان رو کرده در راه تو / باین نسخه زیوری از قبول *** باعزاز آل کرام رسول</w:t>
      </w:r>
    </w:p>
    <w:p>
      <w:pPr>
        <w:pStyle w:val="BookText"/>
      </w:pPr>
      <w:r>
        <w:rPr>
          <w:rFonts w:ascii="IRNazanin" w:hAnsi="IRNazanin" w:eastAsia="IRNazanin" w:cs="IRNazanin"/>
          <w:lang w:bidi="fa-IR"/>
          <w:color w:val="111111"/>
          <w:sz w:val="28"/>
          <w:szCs w:val="28"/>
          <w:rtl/>
        </w:rPr>
        <w:t xml:space="preserve">[فهرستواره منزوی ۲۸۳۷/۴ ]</w:t>
      </w:r>
    </w:p>
    <w:p>
      <w:pPr>
        <w:pStyle w:val="BookText"/>
      </w:pPr>
      <w:r>
        <w:rPr>
          <w:rFonts w:ascii="IRNazanin" w:hAnsi="IRNazanin" w:eastAsia="IRNazanin" w:cs="IRNazanin"/>
          <w:lang w:bidi="fa-IR"/>
          <w:color w:val="111111"/>
          <w:sz w:val="28"/>
          <w:szCs w:val="28"/>
          <w:rtl/>
        </w:rPr>
        <w:t xml:space="preserve">تبریز؛ ملی؛ شماره نسخه: ۳۴۲۶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09" w:name="pg20363_209573"/>
    <w:bookmarkEnd w:id="309"/>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كاتب = مؤلف، تا: ۱۱۵۷ق، کاغذ: فرنگی، جلد: مقوا، ۳۱گ، ۱۵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۱-۱۵۱]</w:t>
      </w:r>
    </w:p>
    <w:p>
      <w:pPr>
        <w:pStyle w:val="BookText"/>
      </w:pPr>
      <w:r>
        <w:rPr>
          <w:rFonts w:ascii="IRNazanin" w:hAnsi="IRNazanin" w:eastAsia="IRNazanin" w:cs="IRNazanin"/>
          <w:lang w:bidi="fa-IR"/>
          <w:color w:val="111111"/>
          <w:sz w:val="28"/>
          <w:szCs w:val="28"/>
          <w:rtl/>
        </w:rPr>
        <w:t xml:space="preserve">تهران؛ دانشگاه؛ شماره نسخه: ۳۰۸۴/۲ -ف</w:t>
      </w:r>
    </w:p>
    <w:p>
      <w:pPr>
        <w:pStyle w:val="BookText"/>
      </w:pPr>
      <w:r>
        <w:rPr>
          <w:rFonts w:ascii="Amiri" w:hAnsi="Amiri" w:eastAsia="Amiri" w:cs="Amiri"/>
          <w:lang w:bidi="ar-SA"/>
          <w:color w:val="111111"/>
          <w:sz w:val="28"/>
          <w:szCs w:val="28"/>
          <w:rtl/>
        </w:rPr>
        <w:t xml:space="preserve">نسخه اصل: همان نسخه بالا [فيلمها ف: ۲-۶۲]</w:t>
      </w:r>
    </w:p>
    <w:p>
      <w:pPr>
        <w:pStyle w:val="Heading3"/>
      </w:pPr>
      <w:bookmarkStart w:id="1774" w:name="_Toc1034"/>
      <w:r>
        <w:t>•پنج گنج / شعر / فارسی</w:t>
      </w:r>
      <w:bookmarkEnd w:id="1774"/>
    </w:p>
    <w:p>
      <w:pPr>
        <w:pStyle w:val="BookText"/>
      </w:pPr>
      <w:r>
        <w:rPr>
          <w:rFonts w:ascii="Times New Roman" w:hAnsi="Times New Roman" w:eastAsia="Times New Roman" w:cs="Times New Roman"/>
          <w:lang w:val="en-US" w:bidi="en-US"/>
          <w:color w:val="111111"/>
          <w:sz w:val="28"/>
          <w:szCs w:val="28"/>
          <w:rtl/>
        </w:rPr>
        <w:t xml:space="preserve">panj ganj</w:t>
      </w:r>
    </w:p>
    <w:p>
      <w:pPr>
        <w:pStyle w:val="BookText"/>
      </w:pPr>
      <w:r>
        <w:rPr>
          <w:rFonts w:ascii="IRNazanin" w:hAnsi="IRNazanin" w:eastAsia="IRNazanin" w:cs="IRNazanin"/>
          <w:lang w:bidi="fa-IR"/>
          <w:color w:val="111111"/>
          <w:sz w:val="28"/>
          <w:szCs w:val="28"/>
          <w:rtl/>
        </w:rPr>
        <w:t xml:space="preserve">نامی اصفهانی، محمد صادق،-۱۲۰۴ قمری</w:t>
      </w:r>
    </w:p>
    <w:p>
      <w:pPr>
        <w:pStyle w:val="BookText"/>
      </w:pPr>
      <w:r>
        <w:rPr>
          <w:rFonts w:ascii="Times New Roman" w:hAnsi="Times New Roman" w:eastAsia="Times New Roman" w:cs="Times New Roman"/>
          <w:lang w:val="en-US" w:bidi="en-US"/>
          <w:color w:val="111111"/>
          <w:sz w:val="28"/>
          <w:szCs w:val="28"/>
          <w:rtl/>
        </w:rPr>
        <w:t xml:space="preserve">nāmī esfahānī, mohammad sādeq (- 1790)</w:t>
      </w:r>
    </w:p>
    <w:p>
      <w:pPr>
        <w:pStyle w:val="BookText"/>
      </w:pPr>
      <w:r>
        <w:rPr>
          <w:rFonts w:ascii="IRNazanin" w:hAnsi="IRNazanin" w:eastAsia="IRNazanin" w:cs="IRNazanin"/>
          <w:lang w:bidi="fa-IR"/>
          <w:color w:val="111111"/>
          <w:sz w:val="28"/>
          <w:szCs w:val="28"/>
          <w:rtl/>
        </w:rPr>
        <w:t xml:space="preserve">چهار مثنوی به تقلید و اوزان پنج گنج نظامی شامل: خسرو شیرین، لیلی و مجنون، درج گهر، وامق و عذراء سروده و ظاهرة به نظم پنجمی موفق نگردیده و چهارمی نیز ناقص مانده است. [دنا ۶۳۹/۲ ]</w:t>
      </w:r>
    </w:p>
    <w:p>
      <w:pPr>
        <w:pStyle w:val="BookText"/>
      </w:pPr>
      <w:r>
        <w:rPr>
          <w:rFonts w:ascii="IRNazanin" w:hAnsi="IRNazanin" w:eastAsia="IRNazanin" w:cs="IRNazanin"/>
          <w:lang w:bidi="fa-IR"/>
          <w:color w:val="111111"/>
          <w:sz w:val="28"/>
          <w:szCs w:val="28"/>
          <w:rtl/>
        </w:rPr>
        <w:t xml:space="preserve">تبریز؛ ملی؛ شماره نسخه: ۳۵۹۴</w:t>
      </w:r>
    </w:p>
    <w:p>
      <w:pPr>
        <w:pStyle w:val="BookText"/>
      </w:pPr>
      <w:r>
        <w:rPr>
          <w:rFonts w:ascii="IRNazanin" w:hAnsi="IRNazanin" w:eastAsia="IRNazanin" w:cs="IRNazanin"/>
          <w:lang w:bidi="fa-IR"/>
          <w:color w:val="111111"/>
          <w:sz w:val="28"/>
          <w:szCs w:val="28"/>
          <w:rtl/>
        </w:rPr>
        <w:t xml:space="preserve">خط: نسخ تعلیق، كا: ظاهرة خود شاعر، بی تا، تملك: غلامحسین بن محمد حسنخان به تاریخ ۱۳۱۳ق؛ کاغذ: فرنگی، جلد: چرمی سوخته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۲۱۴گ، متن ۱۲ (حاشیه ۱۱ سطر)،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۱-۱۵۴]</w:t>
      </w:r>
    </w:p>
    <w:p>
      <w:pPr>
        <w:pStyle w:val="Heading3"/>
      </w:pPr>
      <w:bookmarkStart w:id="1775" w:name="_Toc1035"/>
      <w:r>
        <w:t>• پنج گنج / گوناگون / فارسی</w:t>
      </w:r>
      <w:bookmarkEnd w:id="1775"/>
    </w:p>
    <w:p>
      <w:pPr>
        <w:pStyle w:val="BookText"/>
      </w:pPr>
      <w:r>
        <w:rPr>
          <w:rFonts w:ascii="Times New Roman" w:hAnsi="Times New Roman" w:eastAsia="Times New Roman" w:cs="Times New Roman"/>
          <w:lang w:val="en-US" w:bidi="en-US"/>
          <w:color w:val="111111"/>
          <w:sz w:val="28"/>
          <w:szCs w:val="28"/>
          <w:rtl/>
        </w:rPr>
        <w:t xml:space="preserve">panj ganj</w:t>
      </w:r>
    </w:p>
    <w:p>
      <w:pPr>
        <w:pStyle w:val="BookText"/>
      </w:pPr>
      <w:r>
        <w:rPr>
          <w:rFonts w:ascii="IRNazanin" w:hAnsi="IRNazanin" w:eastAsia="IRNazanin" w:cs="IRNazanin"/>
          <w:lang w:bidi="fa-IR"/>
          <w:color w:val="111111"/>
          <w:sz w:val="28"/>
          <w:szCs w:val="28"/>
          <w:rtl/>
        </w:rPr>
        <w:t xml:space="preserve">تهران، دانشگاه؛ شماره نسخه: ۶۱۷۶/۳ -ف</w:t>
      </w:r>
    </w:p>
    <w:p>
      <w:pPr>
        <w:pStyle w:val="BookText"/>
      </w:pPr>
      <w:r>
        <w:rPr>
          <w:rFonts w:ascii="IRNazanin" w:hAnsi="IRNazanin" w:eastAsia="IRNazanin" w:cs="IRNazanin"/>
          <w:lang w:bidi="fa-IR"/>
          <w:color w:val="111111"/>
          <w:sz w:val="28"/>
          <w:szCs w:val="28"/>
          <w:rtl/>
        </w:rPr>
        <w:t xml:space="preserve">ش ۱۷۸، گنج بخش. نام حق یا مقدمة الصلاة یافته منظوم: شرف بخارایی، کریما یا نصيحة الملوک سعدی، پندنامه عطار، رساله فقهی قاضی قطب (منزوی ۳۶۵ و ۱۸۳۳)؛ بی کا، بی تا [فيلمها ف: ۲۰۵-۳ ]</w:t>
      </w:r>
    </w:p>
    <w:p>
      <w:pPr>
        <w:pStyle w:val="Heading3"/>
      </w:pPr>
      <w:bookmarkStart w:id="1776" w:name="_Toc1036"/>
      <w:r>
        <w:t>•پنج گنج / كيميا / فارسی و اردو</w:t>
      </w:r>
      <w:bookmarkEnd w:id="1776"/>
    </w:p>
    <w:p>
      <w:pPr>
        <w:pStyle w:val="BookText"/>
      </w:pPr>
      <w:r>
        <w:rPr>
          <w:rFonts w:ascii="Times New Roman" w:hAnsi="Times New Roman" w:eastAsia="Times New Roman" w:cs="Times New Roman"/>
          <w:lang w:val="en-US" w:bidi="en-US"/>
          <w:color w:val="111111"/>
          <w:sz w:val="28"/>
          <w:szCs w:val="28"/>
          <w:rtl/>
        </w:rPr>
        <w:t xml:space="preserve">panj ganj</w:t>
      </w:r>
    </w:p>
    <w:p>
      <w:pPr>
        <w:pStyle w:val="BookText"/>
      </w:pPr>
      <w:r>
        <w:rPr>
          <w:rFonts w:ascii="IRNazanin" w:hAnsi="IRNazanin" w:eastAsia="IRNazanin" w:cs="IRNazanin"/>
          <w:lang w:bidi="fa-IR"/>
          <w:color w:val="111111"/>
          <w:sz w:val="28"/>
          <w:szCs w:val="28"/>
          <w:rtl/>
        </w:rPr>
        <w:t xml:space="preserve">مشهد؛ رضوی؛ شماره نسخه: ۱۰۹۹۱/۱</w:t>
      </w:r>
    </w:p>
    <w:p>
      <w:pPr>
        <w:pStyle w:val="BookText"/>
      </w:pPr>
      <w:r>
        <w:rPr>
          <w:rFonts w:ascii="IRNazanin" w:hAnsi="IRNazanin" w:eastAsia="IRNazanin" w:cs="IRNazanin"/>
          <w:lang w:bidi="fa-IR"/>
          <w:color w:val="111111"/>
          <w:sz w:val="28"/>
          <w:szCs w:val="28"/>
          <w:rtl/>
        </w:rPr>
        <w:t xml:space="preserve">آغاز: بسمله. حمد بیحد و ثنای بیعد مر قیومی را که عجز عقول در باب آدم از ادراک کنه؛ انجام: یکی بر سیصد دیگر طرح شود عمل المعمول شد تمت الكتاب باب اول از حمید الدین فاکوری و باب دوم از کیان ناتهه جو کی و باب سوم از شیخ سليمان و باب چهارم از میران سید هاشم و باب پنجم از میران سید طبیب اودهی می باشد ضمنا در آغاز رساله به این نکته اشاره شده که این رساله به پنج احباب و پنج احباب و پنج طبقه مشهور است؛ خط: نستعلیق، بی کا، بی تا؛ ضميمه نسخه ش ۱۰۹۹۱؛ اهدائی: مرحوم حاج آقا محمد ایرانی، ۱۳۵۰، کاغذ: نخودی، جلد: میشن، ۱۰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 قطع: بیاضی،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[رایانه]</w:t>
      </w:r>
    </w:p>
    <w:p>
      <w:pPr>
        <w:pStyle w:val="Heading3"/>
      </w:pPr>
      <w:bookmarkStart w:id="1777" w:name="_Toc1037"/>
      <w:r>
        <w:t>• پنج گنج / صرف / فارسی</w:t>
      </w:r>
      <w:bookmarkEnd w:id="1777"/>
    </w:p>
    <w:p>
      <w:pPr>
        <w:pStyle w:val="BookText"/>
      </w:pPr>
      <w:r>
        <w:rPr>
          <w:rFonts w:ascii="Times New Roman" w:hAnsi="Times New Roman" w:eastAsia="Times New Roman" w:cs="Times New Roman"/>
          <w:lang w:val="en-US" w:bidi="en-US"/>
          <w:color w:val="111111"/>
          <w:sz w:val="28"/>
          <w:szCs w:val="28"/>
          <w:rtl/>
        </w:rPr>
        <w:t xml:space="preserve">panj ganj</w:t>
      </w:r>
    </w:p>
    <w:p>
      <w:pPr>
        <w:pStyle w:val="BookText"/>
      </w:pPr>
      <w:r>
        <w:rPr>
          <w:rFonts w:ascii="IRNazanin" w:hAnsi="IRNazanin" w:eastAsia="IRNazanin" w:cs="IRNazanin"/>
          <w:lang w:bidi="fa-IR"/>
          <w:color w:val="111111"/>
          <w:sz w:val="28"/>
          <w:szCs w:val="28"/>
          <w:rtl/>
        </w:rPr>
        <w:t xml:space="preserve">تاریخ تأليف: احتمالا قرن ۸ احتمالا از سراج الدين عثمان (سراج الدين بن عثمان اودهی اودلوی (-۷۷۳ق). صفي الدين بن نصیر الدین دهلوی، در دیباچه دستور المبتدی خود که در ۸۱۹ ق نوشته است، از این کتاب که به فرزندش ابو المكارم اسماعيل آموخته، یاد می کند. این سابقه کابرد درسی این کتاب را نشان می دهد، در ۵ «باب» و هر باب در ۵ «فصل».</w:t>
      </w:r>
    </w:p>
    <w:p>
      <w:pPr>
        <w:pStyle w:val="BookText"/>
      </w:pPr>
      <w:r>
        <w:rPr>
          <w:rFonts w:ascii="IRNazanin" w:hAnsi="IRNazanin" w:eastAsia="IRNazanin" w:cs="IRNazanin"/>
          <w:lang w:bidi="fa-IR"/>
          <w:color w:val="111111"/>
          <w:sz w:val="28"/>
          <w:szCs w:val="28"/>
          <w:rtl/>
        </w:rPr>
        <w:t xml:space="preserve">[مشترک پاکستان ۲۵۷۵/۱۳ : نشانی و نسخه، ۲۵۷۷/۱۳ : تكمله و شرح؛ مشار فارسی ۹۵۱/۱ : نشانی ۶چ]</w:t>
      </w:r>
    </w:p>
    <w:p>
      <w:pPr>
        <w:pStyle w:val="BookText"/>
      </w:pPr>
      <w:r>
        <w:rPr>
          <w:rFonts w:ascii="Amiri" w:hAnsi="Amiri" w:eastAsia="Amiri" w:cs="Amiri"/>
          <w:lang w:bidi="ar-SA"/>
          <w:color w:val="111111"/>
          <w:sz w:val="28"/>
          <w:szCs w:val="28"/>
          <w:rtl/>
        </w:rPr>
        <w:t xml:space="preserve">تهران؛ دائرة المعارف، شماره نسخه:۴۹/۱</w:t>
      </w:r>
    </w:p>
    <w:p>
      <w:pPr>
        <w:pStyle w:val="BookText"/>
      </w:pPr>
      <w:r>
        <w:rPr>
          <w:rFonts w:ascii="IRNazanin" w:hAnsi="IRNazanin" w:eastAsia="IRNazanin" w:cs="IRNazanin"/>
          <w:lang w:bidi="fa-IR"/>
          <w:color w:val="111111"/>
          <w:sz w:val="28"/>
          <w:szCs w:val="28"/>
          <w:rtl/>
        </w:rPr>
        <w:t xml:space="preserve">آغاز: بسمله. الحمدلله على ما خلق الانسان و انطق له اللسان بكلمات مؤتلفة ... این کتاب است تصریف سخن عرب و جمله وی پنج باب است و مضمون هر باب پنج فصل است و نام وی پنج گنج است؛ انجام: اعتور و اجتور ... و استصوب ... و صیب البلد. تمت الكتاب پنج گنج خط: نستعلیق پخته، بی کا، تا: ۱۰۵۶ق؛ ۷۷گ (۱پ-۴۹ر و ۱۲۷-۱۱۲۰ ر) [ف: ۱-۴۰]</w:t>
      </w:r>
    </w:p>
    <w:p>
      <w:pPr>
        <w:pStyle w:val="Heading3"/>
      </w:pPr>
      <w:bookmarkStart w:id="1778" w:name="_Toc1038"/>
      <w:r>
        <w:t>• پنج گنج (گزیده) / شعر / فارسی</w:t>
      </w:r>
      <w:bookmarkEnd w:id="1778"/>
    </w:p>
    <w:p>
      <w:pPr>
        <w:pStyle w:val="BookText"/>
      </w:pPr>
      <w:r>
        <w:rPr>
          <w:rFonts w:ascii="Times New Roman" w:hAnsi="Times New Roman" w:eastAsia="Times New Roman" w:cs="Times New Roman"/>
          <w:lang w:val="en-US" w:bidi="en-US"/>
          <w:color w:val="111111"/>
          <w:sz w:val="28"/>
          <w:szCs w:val="28"/>
          <w:rtl/>
        </w:rPr>
        <w:t xml:space="preserve">panj ganj (gozīde)</w:t>
      </w:r>
    </w:p>
    <w:p>
      <w:pPr>
        <w:pStyle w:val="BookText"/>
      </w:pPr>
      <w:r>
        <w:rPr>
          <w:rFonts w:ascii="IRNazanin" w:hAnsi="IRNazanin" w:eastAsia="IRNazanin" w:cs="IRNazanin"/>
          <w:lang w:bidi="fa-IR"/>
          <w:color w:val="111111"/>
          <w:sz w:val="28"/>
          <w:szCs w:val="28"/>
          <w:rtl/>
        </w:rPr>
        <w:t xml:space="preserve">اهلی شیرازی، محمد بن يوسف، ۸۵۸-۹۴۲ قمری</w:t>
      </w:r>
    </w:p>
    <w:p>
      <w:pPr>
        <w:pStyle w:val="BookText"/>
      </w:pPr>
      <w:r>
        <w:rPr>
          <w:rFonts w:ascii="Times New Roman" w:hAnsi="Times New Roman" w:eastAsia="Times New Roman" w:cs="Times New Roman"/>
          <w:lang w:val="en-US" w:bidi="en-US"/>
          <w:color w:val="111111"/>
          <w:sz w:val="28"/>
          <w:szCs w:val="28"/>
          <w:rtl/>
        </w:rPr>
        <w:t xml:space="preserve">ahlī šīrāzī, mohammad ebn-e yūsof (1454-1536)</w:t>
      </w:r>
    </w:p>
    <w:p>
      <w:pPr>
        <w:pStyle w:val="BookText"/>
      </w:pPr>
      <w:r>
        <w:rPr>
          <w:rFonts w:ascii="IRNazanin" w:hAnsi="IRNazanin" w:eastAsia="IRNazanin" w:cs="IRNazanin"/>
          <w:lang w:bidi="fa-IR"/>
          <w:color w:val="111111"/>
          <w:sz w:val="28"/>
          <w:szCs w:val="28"/>
          <w:rtl/>
        </w:rPr>
        <w:t xml:space="preserve">وابسته به: خمسه نظامی گنجوی = پنج گنج؛ نظامی، الیاس بن يوسف (۵۳۰-۶۱۴) با دیباجه ای به نثر که می نویسد سی چهل سال است از شعرهای خوب برمی گزینم و اینک از خمسه نظامی ۱۴۰۰ بیت برگزیدم.</w:t>
      </w:r>
    </w:p>
    <w:p>
      <w:pPr>
        <w:pStyle w:val="BookText"/>
      </w:pPr>
      <w:r>
        <w:rPr>
          <w:rFonts w:ascii="IRNazanin" w:hAnsi="IRNazanin" w:eastAsia="IRNazanin" w:cs="IRNazanin"/>
          <w:lang w:bidi="fa-IR"/>
          <w:color w:val="111111"/>
          <w:sz w:val="28"/>
          <w:szCs w:val="28"/>
          <w:rtl/>
        </w:rPr>
        <w:t xml:space="preserve">تهران؛ دانشگاه؛ شماره نسخه: ۳۱/ ۲۹۵۰</w:t>
      </w:r>
    </w:p>
    <w:p>
      <w:pPr>
        <w:pStyle w:val="BookText"/>
      </w:pPr>
      <w:r>
        <w:rPr>
          <w:rFonts w:ascii="IRNazanin" w:hAnsi="IRNazanin" w:eastAsia="IRNazanin" w:cs="IRNazanin"/>
          <w:lang w:bidi="fa-IR"/>
          <w:color w:val="111111"/>
          <w:sz w:val="28"/>
          <w:szCs w:val="28"/>
          <w:rtl/>
        </w:rPr>
        <w:t xml:space="preserve">بی کا، تا: نیمه های ربیع الثانی ۱۰۵۸ق، جان سرخه سمنان [ف: ۱۰ ۱۸۳۷]</w:t>
      </w:r>
    </w:p>
    <w:p>
      <w:pPr>
        <w:pStyle w:val="Heading3"/>
      </w:pPr>
      <w:bookmarkStart w:id="1779" w:name="_Toc1039"/>
      <w:r>
        <w:t>• پنج گنج (منتخب) / شعر / فارسی</w:t>
      </w:r>
      <w:bookmarkEnd w:id="1779"/>
    </w:p>
    <w:p>
      <w:pPr>
        <w:pStyle w:val="BookText"/>
      </w:pPr>
      <w:r>
        <w:rPr>
          <w:rFonts w:ascii="Times New Roman" w:hAnsi="Times New Roman" w:eastAsia="Times New Roman" w:cs="Times New Roman"/>
          <w:lang w:val="en-US" w:bidi="en-US"/>
          <w:color w:val="111111"/>
          <w:sz w:val="28"/>
          <w:szCs w:val="28"/>
          <w:rtl/>
        </w:rPr>
        <w:t xml:space="preserve">panj ganj (mn.)</w:t>
      </w:r>
    </w:p>
    <w:p>
      <w:pPr>
        <w:pStyle w:val="BookText"/>
      </w:pPr>
      <w:r>
        <w:rPr>
          <w:rFonts w:ascii="IRNazanin" w:hAnsi="IRNazanin" w:eastAsia="IRNazanin" w:cs="IRNazanin"/>
          <w:lang w:bidi="fa-IR"/>
          <w:color w:val="111111"/>
          <w:sz w:val="28"/>
          <w:szCs w:val="28"/>
          <w:rtl/>
        </w:rPr>
        <w:t xml:space="preserve">وابسته به: خمسه نظامی گنجوی = پنج گنج نظامی، الیاس بن یوسف (۵۳۰-۶۱۴) پنج گنج نظامی گنجوی در هزار بیت.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10" w:name="pg20363_209574"/>
    <w:bookmarkEnd w:id="310"/>
    <w:p>
      <w:pPr>
        <w:pStyle w:val="BookText"/>
      </w:pPr>
      <w:r>
        <w:rPr>
          <w:rFonts w:ascii="IRNazanin" w:hAnsi="IRNazanin" w:eastAsia="IRNazanin" w:cs="IRNazanin"/>
          <w:lang w:bidi="fa-IR"/>
          <w:color w:val="111111"/>
          <w:sz w:val="28"/>
          <w:szCs w:val="28"/>
          <w:rtl/>
        </w:rPr>
        <w:t xml:space="preserve">تهران؛ دانشگاه؛ شماره نسخه: ۲۴۶۶/۱۶</w:t>
      </w:r>
    </w:p>
    <w:p>
      <w:pPr>
        <w:pStyle w:val="BookText"/>
      </w:pPr>
      <w:r>
        <w:rPr>
          <w:rFonts w:ascii="IRNazanin" w:hAnsi="IRNazanin" w:eastAsia="IRNazanin" w:cs="IRNazanin"/>
          <w:lang w:bidi="fa-IR"/>
          <w:color w:val="111111"/>
          <w:sz w:val="28"/>
          <w:szCs w:val="28"/>
          <w:rtl/>
        </w:rPr>
        <w:t xml:space="preserve">خط: نستعلیق، بی کا، بی تا، کاغذ: سپاهانی، جلد: تیماج قهوه ای ضربی زرکوب مقوایی با لولا، ۱۱ص (۵۴۱-۵۵۱)، ابعاد متن: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[ف: ۹-۱۲۳۴]</w:t>
      </w:r>
    </w:p>
    <w:p>
      <w:pPr>
        <w:pStyle w:val="Heading3"/>
      </w:pPr>
      <w:bookmarkStart w:id="1780" w:name="_Toc1040"/>
      <w:r>
        <w:t>•پنج منزل عارفان/ عرفان و تصوف، شعر / فارسی</w:t>
      </w:r>
      <w:bookmarkEnd w:id="1780"/>
    </w:p>
    <w:p>
      <w:pPr>
        <w:pStyle w:val="BookText"/>
      </w:pPr>
      <w:r>
        <w:rPr>
          <w:rFonts w:ascii="Times New Roman" w:hAnsi="Times New Roman" w:eastAsia="Times New Roman" w:cs="Times New Roman"/>
          <w:lang w:val="en-US" w:bidi="en-US"/>
          <w:color w:val="111111"/>
          <w:sz w:val="28"/>
          <w:szCs w:val="28"/>
          <w:rtl/>
        </w:rPr>
        <w:t xml:space="preserve">panj manzel-e 'ārefān</w:t>
      </w:r>
    </w:p>
    <w:p>
      <w:pPr>
        <w:pStyle w:val="BookText"/>
      </w:pPr>
      <w:r>
        <w:rPr>
          <w:rFonts w:ascii="IRNazanin" w:hAnsi="IRNazanin" w:eastAsia="IRNazanin" w:cs="IRNazanin"/>
          <w:lang w:bidi="fa-IR"/>
          <w:color w:val="111111"/>
          <w:sz w:val="28"/>
          <w:szCs w:val="28"/>
          <w:rtl/>
        </w:rPr>
        <w:t xml:space="preserve">تهران؛ ملک؛ شماره نسخه: ۲۵۷۱/۳۶</w:t>
      </w:r>
    </w:p>
    <w:p>
      <w:pPr>
        <w:pStyle w:val="BookText"/>
      </w:pPr>
      <w:r>
        <w:rPr>
          <w:rFonts w:ascii="IRNazanin" w:hAnsi="IRNazanin" w:eastAsia="IRNazanin" w:cs="IRNazanin"/>
          <w:lang w:bidi="fa-IR"/>
          <w:color w:val="111111"/>
          <w:sz w:val="28"/>
          <w:szCs w:val="28"/>
          <w:rtl/>
        </w:rPr>
        <w:t xml:space="preserve">آغاز: گوش</w:t>
      </w:r>
    </w:p>
    <w:p>
      <w:pPr>
        <w:pStyle w:val="BookText"/>
      </w:pPr>
      <w:r>
        <w:rPr>
          <w:rFonts w:ascii="IRNazanin" w:hAnsi="IRNazanin" w:eastAsia="IRNazanin" w:cs="IRNazanin"/>
          <w:lang w:bidi="fa-IR"/>
          <w:color w:val="111111"/>
          <w:sz w:val="28"/>
          <w:szCs w:val="28"/>
          <w:rtl/>
        </w:rPr>
        <w:t xml:space="preserve">کن آب عارف صاحب کمال*** پنج منزل از زبان اهل حال</w:t>
      </w:r>
    </w:p>
    <w:p>
      <w:pPr>
        <w:pStyle w:val="BookText"/>
      </w:pPr>
      <w:r>
        <w:rPr>
          <w:rFonts w:ascii="IRNazanin" w:hAnsi="IRNazanin" w:eastAsia="IRNazanin" w:cs="IRNazanin"/>
          <w:lang w:bidi="fa-IR"/>
          <w:color w:val="111111"/>
          <w:sz w:val="28"/>
          <w:szCs w:val="28"/>
          <w:rtl/>
        </w:rPr>
        <w:t xml:space="preserve">خط: شکسته نستعلیق، بی کا، بی تا [ف: ۶-۵۳]</w:t>
      </w:r>
    </w:p>
    <w:p>
      <w:pPr>
        <w:pStyle w:val="Heading3"/>
      </w:pPr>
      <w:bookmarkStart w:id="1781" w:name="_Toc1041"/>
      <w:r>
        <w:t>• پنج نامه / اسناد / فارسی</w:t>
      </w:r>
      <w:bookmarkEnd w:id="1781"/>
    </w:p>
    <w:p>
      <w:pPr>
        <w:pStyle w:val="BookText"/>
      </w:pPr>
      <w:r>
        <w:rPr>
          <w:rFonts w:ascii="Times New Roman" w:hAnsi="Times New Roman" w:eastAsia="Times New Roman" w:cs="Times New Roman"/>
          <w:lang w:val="en-US" w:bidi="en-US"/>
          <w:color w:val="111111"/>
          <w:sz w:val="28"/>
          <w:szCs w:val="28"/>
          <w:rtl/>
        </w:rPr>
        <w:t xml:space="preserve">panj-nāme</w:t>
      </w:r>
    </w:p>
    <w:p>
      <w:pPr>
        <w:pStyle w:val="BookText"/>
      </w:pPr>
      <w:r>
        <w:rPr>
          <w:rFonts w:ascii="IRNazanin" w:hAnsi="IRNazanin" w:eastAsia="IRNazanin" w:cs="IRNazanin"/>
          <w:lang w:bidi="fa-IR"/>
          <w:color w:val="111111"/>
          <w:sz w:val="28"/>
          <w:szCs w:val="28"/>
          <w:rtl/>
        </w:rPr>
        <w:t xml:space="preserve">محمد شاه قاجار</w:t>
      </w:r>
    </w:p>
    <w:p>
      <w:pPr>
        <w:pStyle w:val="BookText"/>
      </w:pPr>
      <w:r>
        <w:rPr>
          <w:rFonts w:ascii="Times New Roman" w:hAnsi="Times New Roman" w:eastAsia="Times New Roman" w:cs="Times New Roman"/>
          <w:lang w:val="en-US" w:bidi="en-US"/>
          <w:color w:val="111111"/>
          <w:sz w:val="28"/>
          <w:szCs w:val="28"/>
          <w:rtl/>
        </w:rPr>
        <w:t xml:space="preserve">mohammad šāh-e qājār</w:t>
      </w:r>
    </w:p>
    <w:p>
      <w:pPr>
        <w:pStyle w:val="BookText"/>
      </w:pPr>
      <w:r>
        <w:rPr>
          <w:rFonts w:ascii="IRNazanin" w:hAnsi="IRNazanin" w:eastAsia="IRNazanin" w:cs="IRNazanin"/>
          <w:lang w:bidi="fa-IR"/>
          <w:color w:val="111111"/>
          <w:sz w:val="28"/>
          <w:szCs w:val="28"/>
          <w:rtl/>
        </w:rPr>
        <w:t xml:space="preserve">از محمد شاه قاجار به تاج الدوله طاوس خانم اصفهانی همسر فتح علی شاه قاجار درباره سیف الدوله سلطان محمد میرزا فرزند او که محمدشاه در آن وی را به احترام «والده مهربان» خوانده است چون همسر نیای او بوده است یکی از آنها مورخ ۹ ذیحجه ۱۲۵۳ و یکی مورخ ۱ محرم ۱۲۵۴ و یکی مورخ رجب ۱۲۵۴ و یکی مورخ ربيع الأول ۱۲۵۴، با مهر محمد شاه در برخی از آنها. راهنمای کتاب ۹: ۷۰۵ تا ۷۰۸ و ۹۲۴]</w:t>
      </w:r>
    </w:p>
    <w:p>
      <w:pPr>
        <w:pStyle w:val="BookText"/>
      </w:pPr>
      <w:r>
        <w:rPr>
          <w:rFonts w:ascii="IRNazanin" w:hAnsi="IRNazanin" w:eastAsia="IRNazanin" w:cs="IRNazanin"/>
          <w:lang w:bidi="fa-IR"/>
          <w:color w:val="111111"/>
          <w:sz w:val="28"/>
          <w:szCs w:val="28"/>
          <w:rtl/>
        </w:rPr>
        <w:t xml:space="preserve">تهران؛ دانشگاه؛ شماره نسخه: ۹۵۵۴</w:t>
      </w:r>
    </w:p>
    <w:p>
      <w:pPr>
        <w:pStyle w:val="BookText"/>
      </w:pPr>
      <w:r>
        <w:rPr>
          <w:rFonts w:ascii="IRNazanin" w:hAnsi="IRNazanin" w:eastAsia="IRNazanin" w:cs="IRNazanin"/>
          <w:lang w:bidi="fa-IR"/>
          <w:color w:val="111111"/>
          <w:sz w:val="28"/>
          <w:szCs w:val="28"/>
          <w:rtl/>
        </w:rPr>
        <w:t xml:space="preserve">کاتب = مؤلف، تا: قرن ۱۳، ۵گ [ف: ۱۷-۴۰۴]</w:t>
      </w:r>
    </w:p>
    <w:p>
      <w:pPr>
        <w:pStyle w:val="Heading3"/>
      </w:pPr>
      <w:bookmarkStart w:id="1782" w:name="_Toc1042"/>
      <w:r>
        <w:t>• پنجه آفتاب عالمتاب = پنجه خورشید / کلام و اعتقادات / فارسی</w:t>
      </w:r>
      <w:bookmarkEnd w:id="1782"/>
    </w:p>
    <w:p>
      <w:pPr>
        <w:pStyle w:val="BookText"/>
      </w:pPr>
      <w:r>
        <w:rPr>
          <w:rFonts w:ascii="Times New Roman" w:hAnsi="Times New Roman" w:eastAsia="Times New Roman" w:cs="Times New Roman"/>
          <w:lang w:val="en-US" w:bidi="en-US"/>
          <w:color w:val="111111"/>
          <w:sz w:val="28"/>
          <w:szCs w:val="28"/>
          <w:rtl/>
        </w:rPr>
        <w:t xml:space="preserve">panje-ye āstāb-e 'ālam-tāb = panje-ye xoršīd</w:t>
      </w:r>
    </w:p>
    <w:p>
      <w:pPr>
        <w:pStyle w:val="BookText"/>
      </w:pPr>
      <w:r>
        <w:rPr>
          <w:rFonts w:ascii="IRNazanin" w:hAnsi="IRNazanin" w:eastAsia="IRNazanin" w:cs="IRNazanin"/>
          <w:lang w:bidi="fa-IR"/>
          <w:color w:val="111111"/>
          <w:sz w:val="28"/>
          <w:szCs w:val="28"/>
          <w:rtl/>
        </w:rPr>
        <w:t xml:space="preserve">بافقی، محمد حکیم بن عبد الله، ق ۱۱ قمری</w:t>
      </w:r>
    </w:p>
    <w:p>
      <w:pPr>
        <w:pStyle w:val="BookText"/>
      </w:pPr>
      <w:r>
        <w:rPr>
          <w:rFonts w:ascii="Times New Roman" w:hAnsi="Times New Roman" w:eastAsia="Times New Roman" w:cs="Times New Roman"/>
          <w:lang w:val="en-US" w:bidi="en-US"/>
          <w:color w:val="111111"/>
          <w:sz w:val="28"/>
          <w:szCs w:val="28"/>
          <w:rtl/>
        </w:rPr>
        <w:t xml:space="preserve">bāfqī, mohammad hakām ebn-e 'abd-ol-lāh (- 17c)</w:t>
      </w:r>
    </w:p>
    <w:p>
      <w:pPr>
        <w:pStyle w:val="BookText"/>
      </w:pPr>
      <w:r>
        <w:rPr>
          <w:rFonts w:ascii="IRNazanin" w:hAnsi="IRNazanin" w:eastAsia="IRNazanin" w:cs="IRNazanin"/>
          <w:lang w:bidi="fa-IR"/>
          <w:color w:val="111111"/>
          <w:sz w:val="28"/>
          <w:szCs w:val="28"/>
          <w:rtl/>
        </w:rPr>
        <w:t xml:space="preserve">اهدا به: میرزا بديعا محمد رضوی متولی روضه مطهره رضوی تاريخ تأليف: نوروز ۱۰۹۰ق در بیان پنج مسئله اختلافی عقلی است: ۱. دانستن کنه ذات انسان؛ ۲. دانستن حدوث کنه ذات و طبیعت عالم امکان؛ ۳. دانستن کمال قدرت و اختیار؛ ۴. دانستن حسن و قبح اشیاء؛ ۵. دانستن وحدت وجود و مسئله فقهیه نماز جمعه در عصر غیبت و خاتمه در بیان اسرار آفرینش است. تمام عبارت و جملات کتاب به روی و قافيه حرف «الف» انشاء شده است. آغاز: 1: بسمله پنجه خورشید کمال عليم ... امل بعد استدعای نماید ذره خاکسار و بنده کم مقدار از علماء خدام و فضلاء کبار که در افاده بیان نمایند ...</w:t>
      </w:r>
    </w:p>
    <w:p>
      <w:pPr>
        <w:pStyle w:val="BookText"/>
      </w:pPr>
      <w:r>
        <w:rPr>
          <w:rFonts w:ascii="IRNazanin" w:hAnsi="IRNazanin" w:eastAsia="IRNazanin" w:cs="IRNazanin"/>
          <w:lang w:bidi="fa-IR"/>
          <w:color w:val="111111"/>
          <w:sz w:val="28"/>
          <w:szCs w:val="28"/>
          <w:rtl/>
        </w:rPr>
        <w:t xml:space="preserve">۲: لوح عطایای علی عظیم - فیض هدایای علیم و حکیم الحمدلله الواهب للعطايا العليم العظيم</w:t>
      </w:r>
    </w:p>
    <w:p>
      <w:pPr>
        <w:pStyle w:val="BookText"/>
      </w:pPr>
      <w:r>
        <w:rPr>
          <w:rFonts w:ascii="IRNazanin" w:hAnsi="IRNazanin" w:eastAsia="IRNazanin" w:cs="IRNazanin"/>
          <w:lang w:bidi="fa-IR"/>
          <w:color w:val="111111"/>
          <w:sz w:val="28"/>
          <w:szCs w:val="28"/>
          <w:rtl/>
        </w:rPr>
        <w:t xml:space="preserve">انجام: حقه دل سر بمهر پنجه مهر علی است / پنجه خورشید حق حلال مشکل می شود</w:t>
      </w:r>
    </w:p>
    <w:p>
      <w:pPr>
        <w:pStyle w:val="BookText"/>
      </w:pPr>
      <w:r>
        <w:rPr>
          <w:rFonts w:ascii="IRNazanin" w:hAnsi="IRNazanin" w:eastAsia="IRNazanin" w:cs="IRNazanin"/>
          <w:lang w:bidi="fa-IR"/>
          <w:color w:val="111111"/>
          <w:sz w:val="28"/>
          <w:szCs w:val="28"/>
          <w:rtl/>
        </w:rPr>
        <w:t xml:space="preserve">[دنا ۲/ ۶۳۹؛ فهرستواره منزوی ۹۴/۶]</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 ۵۱۴</w:t>
      </w:r>
    </w:p>
    <w:p>
      <w:pPr>
        <w:pStyle w:val="BookText"/>
      </w:pPr>
      <w:r>
        <w:rPr>
          <w:rFonts w:ascii="IRNazanin" w:hAnsi="IRNazanin" w:eastAsia="IRNazanin" w:cs="IRNazanin"/>
          <w:lang w:bidi="fa-IR"/>
          <w:color w:val="111111"/>
          <w:sz w:val="28"/>
          <w:szCs w:val="28"/>
          <w:rtl/>
        </w:rPr>
        <w:t xml:space="preserve">آغاز: برابر ۲؛ انجام: بنوعی باشد مستلزم اجماع جمع علماء خط: نسخ، كاتب = مؤلف، تا: رمضان ۱۰۸۸ق؛ پس از این ضمن ۲۶ صفحه مطالبی است راجع به عقاید و غیره از مؤلف</w:t>
      </w:r>
    </w:p>
    <w:p>
      <w:pPr>
        <w:pStyle w:val="BookText"/>
      </w:pPr>
      <w:r>
        <w:rPr>
          <w:rFonts w:ascii="IRNazanin" w:hAnsi="IRNazanin" w:eastAsia="IRNazanin" w:cs="IRNazanin"/>
          <w:lang w:bidi="fa-IR"/>
          <w:color w:val="111111"/>
          <w:sz w:val="28"/>
          <w:szCs w:val="28"/>
          <w:rtl/>
        </w:rPr>
        <w:t xml:space="preserve">که آن را ملحق به رساله نموده است، مجدول، مذهب، دارای دو سرلوح مذهب؛ واقف: نادرشاه، ۱۱۴۵، ۷۱گ، ۱۴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۴-۳۷]</w:t>
      </w:r>
    </w:p>
    <w:p>
      <w:pPr>
        <w:pStyle w:val="BookText"/>
      </w:pPr>
      <w:r>
        <w:rPr>
          <w:rFonts w:ascii="IRNazanin" w:hAnsi="IRNazanin" w:eastAsia="IRNazanin" w:cs="IRNazanin"/>
          <w:lang w:bidi="fa-IR"/>
          <w:color w:val="111111"/>
          <w:sz w:val="28"/>
          <w:szCs w:val="28"/>
          <w:rtl/>
        </w:rPr>
        <w:t xml:space="preserve">۲. مشهد؛ رضوی؛ شماره نسخه: ۱۸۳۳۳</w:t>
      </w:r>
    </w:p>
    <w:p>
      <w:pPr>
        <w:pStyle w:val="BookText"/>
      </w:pPr>
      <w:r>
        <w:rPr>
          <w:rFonts w:ascii="IRNazanin" w:hAnsi="IRNazanin" w:eastAsia="IRNazanin" w:cs="IRNazanin"/>
          <w:lang w:bidi="fa-IR"/>
          <w:color w:val="111111"/>
          <w:sz w:val="28"/>
          <w:szCs w:val="28"/>
          <w:rtl/>
        </w:rPr>
        <w:t xml:space="preserve">آغاز: بسمله، خیر اساسی ز اصول علیم؛ انجام: صلوات الله و سلامه عليهم في درجة العليا. خط: نسخ، كاتب = مؤلف، تا: ۱۰۸۸ق؛ کاغذ: شکری، جلد: مقوا، ابعاد متن: ۱۳۷۸،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[رایانه]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 ۱۰۱۲۵/۱</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۱؛ انجام: برابر خط: نسخ، بی کا، تا: ۱۰۸۲ق؛ جلد: تیماج زرد، ترنج با سر زرین، طبله دار، ۵۰ص (۱-۵۰)، ۱۷ سطر، اندازه:۱۳</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۱۹/۵ سم [ف: ۳۲-۱۵۸]</w:t>
      </w:r>
    </w:p>
    <w:p>
      <w:pPr>
        <w:pStyle w:val="BookText"/>
      </w:pPr>
      <w:r>
        <w:rPr>
          <w:rFonts w:ascii="IRNazanin" w:hAnsi="IRNazanin" w:eastAsia="IRNazanin" w:cs="IRNazanin"/>
          <w:lang w:bidi="fa-IR"/>
          <w:color w:val="111111"/>
          <w:sz w:val="28"/>
          <w:szCs w:val="28"/>
          <w:rtl/>
        </w:rPr>
        <w:t xml:space="preserve">۴. تهران؛ مجلس؛ شماره نسخه: ۱۷۳۰۰ ض</w:t>
      </w:r>
    </w:p>
    <w:p>
      <w:pPr>
        <w:pStyle w:val="BookText"/>
      </w:pPr>
      <w:r>
        <w:rPr>
          <w:rFonts w:ascii="IRNazanin" w:hAnsi="IRNazanin" w:eastAsia="IRNazanin" w:cs="IRNazanin"/>
          <w:lang w:bidi="fa-IR"/>
          <w:color w:val="111111"/>
          <w:sz w:val="28"/>
          <w:szCs w:val="28"/>
          <w:rtl/>
        </w:rPr>
        <w:t xml:space="preserve">بی کا، بی تا [د.ث. مجلس ]</w:t>
      </w:r>
    </w:p>
    <w:p>
      <w:pPr>
        <w:pStyle w:val="BookText"/>
      </w:pPr>
      <w:r>
        <w:rPr>
          <w:rFonts w:ascii="IRNazanin" w:hAnsi="IRNazanin" w:eastAsia="IRNazanin" w:cs="IRNazanin"/>
          <w:lang w:bidi="fa-IR"/>
          <w:color w:val="111111"/>
          <w:sz w:val="28"/>
          <w:szCs w:val="28"/>
          <w:rtl/>
        </w:rPr>
        <w:t xml:space="preserve">← پنجه خورشید ← پنجه آفتاب عالمتاب</w:t>
      </w:r>
    </w:p>
    <w:p>
      <w:pPr>
        <w:pStyle w:val="Heading3"/>
      </w:pPr>
      <w:bookmarkStart w:id="1783" w:name="_Toc1043"/>
      <w:r>
        <w:t>•پند / اخلاق / فارسی</w:t>
      </w:r>
      <w:bookmarkEnd w:id="1783"/>
    </w:p>
    <w:p>
      <w:pPr>
        <w:pStyle w:val="BookText"/>
      </w:pPr>
      <w:r>
        <w:rPr>
          <w:rFonts w:ascii="Times New Roman" w:hAnsi="Times New Roman" w:eastAsia="Times New Roman" w:cs="Times New Roman"/>
          <w:lang w:val="en-US" w:bidi="en-US"/>
          <w:color w:val="111111"/>
          <w:sz w:val="28"/>
          <w:szCs w:val="28"/>
          <w:rtl/>
        </w:rPr>
        <w:t xml:space="preserve">pand</w:t>
      </w:r>
    </w:p>
    <w:p>
      <w:pPr>
        <w:pStyle w:val="BookText"/>
      </w:pPr>
      <w:r>
        <w:rPr>
          <w:rFonts w:ascii="IRNazanin" w:hAnsi="IRNazanin" w:eastAsia="IRNazanin" w:cs="IRNazanin"/>
          <w:lang w:bidi="fa-IR"/>
          <w:color w:val="111111"/>
          <w:sz w:val="28"/>
          <w:szCs w:val="28"/>
          <w:rtl/>
        </w:rPr>
        <w:t xml:space="preserve">تهران؛ دانشگاه؛ شماره نسخه: ۲۴۵۷/۹ - في</w:t>
      </w:r>
    </w:p>
    <w:p>
      <w:pPr>
        <w:pStyle w:val="BookText"/>
      </w:pPr>
      <w:r>
        <w:rPr>
          <w:rFonts w:ascii="IRNazanin" w:hAnsi="IRNazanin" w:eastAsia="IRNazanin" w:cs="IRNazanin"/>
          <w:lang w:bidi="fa-IR"/>
          <w:color w:val="111111"/>
          <w:sz w:val="28"/>
          <w:szCs w:val="28"/>
          <w:rtl/>
        </w:rPr>
        <w:t xml:space="preserve">نسخه اصل: کتابخانه وزیری جامع یزد، ش ۵۲۹۳. نیمه دوم آن؛</w:t>
      </w:r>
    </w:p>
    <w:p>
      <w:pPr>
        <w:pStyle w:val="BookText"/>
      </w:pPr>
      <w:r>
        <w:rPr>
          <w:rFonts w:ascii="IRNazanin" w:hAnsi="IRNazanin" w:eastAsia="IRNazanin" w:cs="IRNazanin"/>
          <w:lang w:bidi="fa-IR"/>
          <w:color w:val="111111"/>
          <w:sz w:val="28"/>
          <w:szCs w:val="28"/>
          <w:rtl/>
        </w:rPr>
        <w:t xml:space="preserve">بی کا، تا: پنج شنبه ۲۷ ربیع الثانی ۹۸۲ق [فیلمها ف: ۱-۶۹۷]</w:t>
      </w:r>
    </w:p>
    <w:p>
      <w:pPr>
        <w:pStyle w:val="BookText"/>
      </w:pPr>
      <w:r>
        <w:rPr>
          <w:rFonts w:ascii="IRNazanin" w:hAnsi="IRNazanin" w:eastAsia="IRNazanin" w:cs="IRNazanin"/>
          <w:lang w:bidi="fa-IR"/>
          <w:color w:val="111111"/>
          <w:sz w:val="28"/>
          <w:szCs w:val="28"/>
          <w:rtl/>
        </w:rPr>
        <w:t xml:space="preserve">تهران؛ دانشگاه؛ شماره نسخه: ۲۴۵۷/۱۱ -ف</w:t>
      </w:r>
    </w:p>
    <w:p>
      <w:pPr>
        <w:pStyle w:val="BookText"/>
      </w:pPr>
      <w:r>
        <w:rPr>
          <w:rFonts w:ascii="IRNazanin" w:hAnsi="IRNazanin" w:eastAsia="IRNazanin" w:cs="IRNazanin"/>
          <w:lang w:bidi="fa-IR"/>
          <w:color w:val="111111"/>
          <w:sz w:val="28"/>
          <w:szCs w:val="28"/>
          <w:rtl/>
        </w:rPr>
        <w:t xml:space="preserve">نسخه اصل: همان نسخه اصل بالا. نیمه دوم آن، مانند رساله شماره و همین مجموعه فیلمها ف: ۱-۶۹۷]</w:t>
      </w:r>
    </w:p>
    <w:p>
      <w:pPr>
        <w:pStyle w:val="Heading3"/>
      </w:pPr>
      <w:bookmarkStart w:id="1784" w:name="_Toc1044"/>
      <w:r>
        <w:t>•پند / شعر، اخلاق / فارسی</w:t>
      </w:r>
      <w:bookmarkEnd w:id="1784"/>
    </w:p>
    <w:p>
      <w:pPr>
        <w:pStyle w:val="BookText"/>
      </w:pPr>
      <w:r>
        <w:rPr>
          <w:rFonts w:ascii="Times New Roman" w:hAnsi="Times New Roman" w:eastAsia="Times New Roman" w:cs="Times New Roman"/>
          <w:lang w:val="en-US" w:bidi="en-US"/>
          <w:color w:val="111111"/>
          <w:sz w:val="28"/>
          <w:szCs w:val="28"/>
          <w:rtl/>
        </w:rPr>
        <w:t xml:space="preserve">pand</w:t>
      </w:r>
    </w:p>
    <w:p>
      <w:pPr>
        <w:pStyle w:val="BookText"/>
      </w:pPr>
      <w:r>
        <w:rPr>
          <w:rFonts w:ascii="IRNazanin" w:hAnsi="IRNazanin" w:eastAsia="IRNazanin" w:cs="IRNazanin"/>
          <w:lang w:bidi="fa-IR"/>
          <w:color w:val="111111"/>
          <w:sz w:val="28"/>
          <w:szCs w:val="28"/>
          <w:rtl/>
        </w:rPr>
        <w:t xml:space="preserve">تهران، دانشگاه؛ شماره نسخه: ۴۷۳۴/۳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11" w:name="pg20363_209575"/>
    <w:bookmarkEnd w:id="311"/>
    <w:p>
      <w:pPr>
        <w:pStyle w:val="BookText"/>
      </w:pPr>
      <w:r>
        <w:rPr>
          <w:rFonts w:ascii="IRNazanin" w:hAnsi="IRNazanin" w:eastAsia="IRNazanin" w:cs="IRNazanin"/>
          <w:lang w:bidi="fa-IR"/>
          <w:color w:val="111111"/>
          <w:sz w:val="28"/>
          <w:szCs w:val="28"/>
          <w:rtl/>
        </w:rPr>
        <w:t xml:space="preserve">منظومه بدیهه يمينه در پند است؛ کا: محمد احمد کرخی، تا: ۱۲۹۰ق؛ کاغذ: فرنگی، جلد: روغنی زمینه سبز با گل و بوته سرخ و زرد و زرین و عطف تیماج سرخ، ۱۳ص (۲۵۷-۲۶۹)، ۱۱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۱۴-۳۶۸۸]</w:t>
      </w:r>
    </w:p>
    <w:p>
      <w:pPr>
        <w:pStyle w:val="Heading3"/>
      </w:pPr>
      <w:bookmarkStart w:id="1785" w:name="_Toc1045"/>
      <w:r>
        <w:t>• پند ارسطو و بزرگمهر به فرزند خود / اخلاق / فارسی</w:t>
      </w:r>
      <w:bookmarkEnd w:id="1785"/>
    </w:p>
    <w:p>
      <w:pPr>
        <w:pStyle w:val="BookText"/>
      </w:pPr>
      <w:r>
        <w:rPr>
          <w:rFonts w:ascii="Times New Roman" w:hAnsi="Times New Roman" w:eastAsia="Times New Roman" w:cs="Times New Roman"/>
          <w:lang w:val="en-US" w:bidi="en-US"/>
          <w:color w:val="111111"/>
          <w:sz w:val="28"/>
          <w:szCs w:val="28"/>
          <w:rtl/>
        </w:rPr>
        <w:t xml:space="preserve">pand-e arastū va bozorgmehr be farzand-e xod</w:t>
      </w:r>
    </w:p>
    <w:p>
      <w:pPr>
        <w:pStyle w:val="BookText"/>
      </w:pPr>
      <w:r>
        <w:rPr>
          <w:rFonts w:ascii="IRNazanin" w:hAnsi="IRNazanin" w:eastAsia="IRNazanin" w:cs="IRNazanin"/>
          <w:lang w:bidi="fa-IR"/>
          <w:color w:val="111111"/>
          <w:sz w:val="28"/>
          <w:szCs w:val="28"/>
          <w:rtl/>
        </w:rPr>
        <w:t xml:space="preserve">ارسطو، ۳۸۴-۳۲۲؟ قبل میلاد</w:t>
      </w:r>
    </w:p>
    <w:p>
      <w:pPr>
        <w:pStyle w:val="BookText"/>
      </w:pPr>
      <w:r>
        <w:rPr>
          <w:rFonts w:ascii="Times New Roman" w:hAnsi="Times New Roman" w:eastAsia="Times New Roman" w:cs="Times New Roman"/>
          <w:lang w:val="en-US" w:bidi="en-US"/>
          <w:color w:val="111111"/>
          <w:sz w:val="28"/>
          <w:szCs w:val="28"/>
          <w:rtl/>
        </w:rPr>
        <w:t xml:space="preserve">arasti (-384-322)</w:t>
      </w:r>
    </w:p>
    <w:p>
      <w:pPr>
        <w:pStyle w:val="BookText"/>
      </w:pPr>
      <w:r>
        <w:rPr>
          <w:rFonts w:ascii="IRNazanin" w:hAnsi="IRNazanin" w:eastAsia="IRNazanin" w:cs="IRNazanin"/>
          <w:lang w:bidi="fa-IR"/>
          <w:color w:val="111111"/>
          <w:sz w:val="28"/>
          <w:szCs w:val="28"/>
          <w:rtl/>
        </w:rPr>
        <w:t xml:space="preserve">تهران؛ مهدوی؛ شماره نسخه: ۵۴۱/۳</w:t>
      </w:r>
    </w:p>
    <w:p>
      <w:pPr>
        <w:pStyle w:val="BookText"/>
      </w:pPr>
      <w:r>
        <w:rPr>
          <w:rFonts w:ascii="IRNazanin" w:hAnsi="IRNazanin" w:eastAsia="IRNazanin" w:cs="IRNazanin"/>
          <w:lang w:bidi="fa-IR"/>
          <w:color w:val="111111"/>
          <w:sz w:val="28"/>
          <w:szCs w:val="28"/>
          <w:rtl/>
        </w:rPr>
        <w:t xml:space="preserve">خط: نستعلیق خوش، كا: عبدالعلی نشریه: ۲-۱۲۱]</w:t>
      </w:r>
    </w:p>
    <w:p>
      <w:pPr>
        <w:pStyle w:val="BookText"/>
      </w:pPr>
      <w:r>
        <w:rPr>
          <w:rFonts w:ascii="IRNazanin" w:hAnsi="IRNazanin" w:eastAsia="IRNazanin" w:cs="IRNazanin"/>
          <w:lang w:bidi="fa-IR"/>
          <w:color w:val="111111"/>
          <w:sz w:val="28"/>
          <w:szCs w:val="28"/>
          <w:rtl/>
        </w:rPr>
        <w:t xml:space="preserve">کرمانی، تا: شوال ۱۳۰۱ ق</w:t>
      </w:r>
    </w:p>
    <w:p>
      <w:pPr>
        <w:pStyle w:val="Heading3"/>
      </w:pPr>
      <w:bookmarkStart w:id="1786" w:name="_Toc1046"/>
      <w:r>
        <w:t>• پندارها / فارسی</w:t>
      </w:r>
      <w:bookmarkEnd w:id="1786"/>
    </w:p>
    <w:p>
      <w:pPr>
        <w:pStyle w:val="BookText"/>
      </w:pPr>
      <w:r>
        <w:rPr>
          <w:rFonts w:ascii="Times New Roman" w:hAnsi="Times New Roman" w:eastAsia="Times New Roman" w:cs="Times New Roman"/>
          <w:lang w:val="en-US" w:bidi="en-US"/>
          <w:color w:val="111111"/>
          <w:sz w:val="28"/>
          <w:szCs w:val="28"/>
          <w:rtl/>
        </w:rPr>
        <w:t xml:space="preserve">pendār-hā</w:t>
      </w:r>
    </w:p>
    <w:p>
      <w:pPr>
        <w:pStyle w:val="BookText"/>
      </w:pPr>
      <w:r>
        <w:rPr>
          <w:rFonts w:ascii="IRNazanin" w:hAnsi="IRNazanin" w:eastAsia="IRNazanin" w:cs="IRNazanin"/>
          <w:lang w:bidi="fa-IR"/>
          <w:color w:val="111111"/>
          <w:sz w:val="28"/>
          <w:szCs w:val="28"/>
          <w:rtl/>
        </w:rPr>
        <w:t xml:space="preserve">کسروی، احمد، ۱۲۶۹-۱۳۲۴ شمسی</w:t>
      </w:r>
    </w:p>
    <w:p>
      <w:pPr>
        <w:pStyle w:val="BookText"/>
      </w:pPr>
      <w:r>
        <w:rPr>
          <w:rFonts w:ascii="Times New Roman" w:hAnsi="Times New Roman" w:eastAsia="Times New Roman" w:cs="Times New Roman"/>
          <w:lang w:val="en-US" w:bidi="en-US"/>
          <w:color w:val="111111"/>
          <w:sz w:val="28"/>
          <w:szCs w:val="28"/>
          <w:rtl/>
        </w:rPr>
        <w:t xml:space="preserve">kasravī, ahmad (1890-1945)</w:t>
      </w:r>
    </w:p>
    <w:p>
      <w:pPr>
        <w:pStyle w:val="BookText"/>
      </w:pPr>
      <w:r>
        <w:rPr>
          <w:rFonts w:ascii="IRNazanin" w:hAnsi="IRNazanin" w:eastAsia="IRNazanin" w:cs="IRNazanin"/>
          <w:lang w:bidi="fa-IR"/>
          <w:color w:val="111111"/>
          <w:sz w:val="28"/>
          <w:szCs w:val="28"/>
          <w:rtl/>
        </w:rPr>
        <w:t xml:space="preserve">در ۱۳۲۲.</w:t>
      </w:r>
    </w:p>
    <w:p>
      <w:pPr>
        <w:pStyle w:val="BookText"/>
      </w:pPr>
      <w:r>
        <w:rPr>
          <w:rFonts w:ascii="IRNazanin" w:hAnsi="IRNazanin" w:eastAsia="IRNazanin" w:cs="IRNazanin"/>
          <w:lang w:bidi="fa-IR"/>
          <w:color w:val="111111"/>
          <w:sz w:val="28"/>
          <w:szCs w:val="28"/>
          <w:rtl/>
        </w:rPr>
        <w:t xml:space="preserve">تهران؛ دانشگاه؛ شماره نسخه: ۴۷۵۲/۱۶ -۴۷۵۴-ف</w:t>
      </w:r>
    </w:p>
    <w:p>
      <w:pPr>
        <w:pStyle w:val="BookText"/>
      </w:pPr>
      <w:r>
        <w:rPr>
          <w:rFonts w:ascii="IRNazanin" w:hAnsi="IRNazanin" w:eastAsia="IRNazanin" w:cs="IRNazanin"/>
          <w:lang w:bidi="fa-IR"/>
          <w:color w:val="111111"/>
          <w:sz w:val="28"/>
          <w:szCs w:val="28"/>
          <w:rtl/>
        </w:rPr>
        <w:t xml:space="preserve">بی کا، بی تا [فيلمها ف: ۳-۹۹]</w:t>
      </w:r>
    </w:p>
    <w:p>
      <w:pPr>
        <w:pStyle w:val="Heading3"/>
      </w:pPr>
      <w:bookmarkStart w:id="1787" w:name="_Toc1047"/>
      <w:r>
        <w:t>• پند افلاطون به اسکندر / اخلاق / فارسی</w:t>
      </w:r>
      <w:bookmarkEnd w:id="1787"/>
    </w:p>
    <w:p>
      <w:pPr>
        <w:pStyle w:val="BookText"/>
      </w:pPr>
      <w:r>
        <w:rPr>
          <w:rFonts w:ascii="Times New Roman" w:hAnsi="Times New Roman" w:eastAsia="Times New Roman" w:cs="Times New Roman"/>
          <w:lang w:val="en-US" w:bidi="en-US"/>
          <w:color w:val="111111"/>
          <w:sz w:val="28"/>
          <w:szCs w:val="28"/>
          <w:rtl/>
        </w:rPr>
        <w:t xml:space="preserve">pand-e aflātūn be eskandar</w:t>
      </w:r>
    </w:p>
    <w:p>
      <w:pPr>
        <w:pStyle w:val="BookText"/>
      </w:pPr>
      <w:r>
        <w:rPr>
          <w:rFonts w:ascii="IRNazanin" w:hAnsi="IRNazanin" w:eastAsia="IRNazanin" w:cs="IRNazanin"/>
          <w:lang w:bidi="fa-IR"/>
          <w:color w:val="111111"/>
          <w:sz w:val="28"/>
          <w:szCs w:val="28"/>
          <w:rtl/>
        </w:rPr>
        <w:t xml:space="preserve">افلاطون، ۴۲۷؟ -۳۴۷ ؟ قبل میلاد</w:t>
      </w:r>
    </w:p>
    <w:p>
      <w:pPr>
        <w:pStyle w:val="BookText"/>
      </w:pPr>
      <w:r>
        <w:rPr>
          <w:rFonts w:ascii="Times New Roman" w:hAnsi="Times New Roman" w:eastAsia="Times New Roman" w:cs="Times New Roman"/>
          <w:lang w:val="en-US" w:bidi="en-US"/>
          <w:color w:val="111111"/>
          <w:sz w:val="28"/>
          <w:szCs w:val="28"/>
          <w:rtl/>
        </w:rPr>
        <w:t xml:space="preserve">aflatin (-427-347)</w:t>
      </w:r>
    </w:p>
    <w:p>
      <w:pPr>
        <w:pStyle w:val="BookText"/>
      </w:pPr>
      <w:r>
        <w:rPr>
          <w:rFonts w:ascii="IRNazanin" w:hAnsi="IRNazanin" w:eastAsia="IRNazanin" w:cs="IRNazanin"/>
          <w:lang w:bidi="fa-IR"/>
          <w:color w:val="111111"/>
          <w:sz w:val="28"/>
          <w:szCs w:val="28"/>
          <w:rtl/>
        </w:rPr>
        <w:t xml:space="preserve">خطبه افلاطون خطاب به اسکندر است و نکوهش پادشاهان فارسی به عربی، باید همان باشد که به ارسطو نسبت داده اند. چاپ: مشار فارسی، ج ۵، ص ۵۲۲۱؛ دارالسلطنه تبریز، سنگی، ۱۳۰۲ق، وزیری؛ ۱۳۱۸ق، ص</w:t>
      </w:r>
    </w:p>
    <w:p>
      <w:pPr>
        <w:pStyle w:val="BookText"/>
      </w:pPr>
      <w:r>
        <w:rPr>
          <w:rFonts w:ascii="IRNazanin" w:hAnsi="IRNazanin" w:eastAsia="IRNazanin" w:cs="IRNazanin"/>
          <w:lang w:bidi="fa-IR"/>
          <w:color w:val="111111"/>
          <w:sz w:val="28"/>
          <w:szCs w:val="28"/>
          <w:rtl/>
        </w:rPr>
        <w:t xml:space="preserve">صص ۳۳۶-۳۴۲)؛ ۱۳۲۷ق، خشتی، ۱۱ص (صص ۱۴۰-۱۵۰)، در هامش شرح نهج البلاغة قاضی تبریزی</w:t>
      </w:r>
    </w:p>
    <w:p>
      <w:pPr>
        <w:pStyle w:val="BookText"/>
      </w:pPr>
      <w:r>
        <w:rPr>
          <w:rFonts w:ascii="IRNazanin" w:hAnsi="IRNazanin" w:eastAsia="IRNazanin" w:cs="IRNazanin"/>
          <w:lang w:bidi="fa-IR"/>
          <w:color w:val="111111"/>
          <w:sz w:val="28"/>
          <w:szCs w:val="28"/>
          <w:rtl/>
        </w:rPr>
        <w:t xml:space="preserve">۱. تهران؛ مهدوی؛ شماره نسخه: ۵۴۱/۲ خط: نستعلیق خوش، كا: عبدالعلی</w:t>
      </w:r>
    </w:p>
    <w:p>
      <w:pPr>
        <w:pStyle w:val="BookText"/>
      </w:pPr>
      <w:r>
        <w:rPr>
          <w:rFonts w:ascii="IRNazanin" w:hAnsi="IRNazanin" w:eastAsia="IRNazanin" w:cs="IRNazanin"/>
          <w:lang w:bidi="fa-IR"/>
          <w:color w:val="111111"/>
          <w:sz w:val="28"/>
          <w:szCs w:val="28"/>
          <w:rtl/>
        </w:rPr>
        <w:t xml:space="preserve">کرمانی، تا: شوال ۱۳۰۱ق</w:t>
      </w:r>
    </w:p>
    <w:p>
      <w:pPr>
        <w:pStyle w:val="BookText"/>
      </w:pPr>
      <w:r>
        <w:rPr>
          <w:rFonts w:ascii="IRNazanin" w:hAnsi="IRNazanin" w:eastAsia="IRNazanin" w:cs="IRNazanin"/>
          <w:lang w:bidi="fa-IR"/>
          <w:color w:val="111111"/>
          <w:sz w:val="28"/>
          <w:szCs w:val="28"/>
          <w:rtl/>
        </w:rPr>
        <w:t xml:space="preserve">نشریه: ۲-۱۲۱] ۲. تهران؛ ملک؛ شماره نسخه: ۸۰۷/۶</w:t>
      </w:r>
    </w:p>
    <w:p>
      <w:pPr>
        <w:pStyle w:val="BookText"/>
      </w:pPr>
      <w:r>
        <w:rPr>
          <w:rFonts w:ascii="IRNazanin" w:hAnsi="IRNazanin" w:eastAsia="IRNazanin" w:cs="IRNazanin"/>
          <w:lang w:bidi="fa-IR"/>
          <w:color w:val="111111"/>
          <w:sz w:val="28"/>
          <w:szCs w:val="28"/>
          <w:rtl/>
        </w:rPr>
        <w:t xml:space="preserve">بی کا، بی تا؛ ۲گ (۶۱پ -۶۲ر) [ف: ۵-۱۸۸]</w:t>
      </w:r>
    </w:p>
    <w:p>
      <w:pPr>
        <w:pStyle w:val="BookText"/>
      </w:pPr>
      <w:r>
        <w:rPr>
          <w:rFonts w:ascii="IRNazanin" w:hAnsi="IRNazanin" w:eastAsia="IRNazanin" w:cs="IRNazanin"/>
          <w:lang w:bidi="fa-IR"/>
          <w:color w:val="111111"/>
          <w:sz w:val="28"/>
          <w:szCs w:val="28"/>
          <w:rtl/>
        </w:rPr>
        <w:t xml:space="preserve">← پند اهل دانش و هوش به زبان گربه و موش← جواهر العقول في مناظرة الفار و السنور</w:t>
      </w:r>
    </w:p>
    <w:p>
      <w:pPr>
        <w:pStyle w:val="Heading3"/>
      </w:pPr>
      <w:bookmarkStart w:id="1788" w:name="_Toc1048"/>
      <w:r>
        <w:t>•پند بزرگمهر / اخلاق / فارسی</w:t>
      </w:r>
      <w:bookmarkEnd w:id="1788"/>
    </w:p>
    <w:p>
      <w:pPr>
        <w:pStyle w:val="BookText"/>
      </w:pPr>
      <w:r>
        <w:rPr>
          <w:rFonts w:ascii="Times New Roman" w:hAnsi="Times New Roman" w:eastAsia="Times New Roman" w:cs="Times New Roman"/>
          <w:lang w:val="en-US" w:bidi="en-US"/>
          <w:color w:val="111111"/>
          <w:sz w:val="28"/>
          <w:szCs w:val="28"/>
          <w:rtl/>
        </w:rPr>
        <w:t xml:space="preserve">pand-e bozorgmehr</w:t>
      </w:r>
    </w:p>
    <w:p>
      <w:pPr>
        <w:pStyle w:val="BookText"/>
      </w:pPr>
      <w:r>
        <w:rPr>
          <w:rFonts w:ascii="IRNazanin" w:hAnsi="IRNazanin" w:eastAsia="IRNazanin" w:cs="IRNazanin"/>
          <w:lang w:bidi="fa-IR"/>
          <w:color w:val="111111"/>
          <w:sz w:val="28"/>
          <w:szCs w:val="28"/>
          <w:rtl/>
        </w:rPr>
        <w:t xml:space="preserve">تهران؛ دانشگاه؛ شماره نسخه: ۴۱۱۶/۵</w:t>
      </w:r>
    </w:p>
    <w:p>
      <w:pPr>
        <w:pStyle w:val="BookText"/>
      </w:pPr>
      <w:r>
        <w:rPr>
          <w:rFonts w:ascii="IRNazanin" w:hAnsi="IRNazanin" w:eastAsia="IRNazanin" w:cs="IRNazanin"/>
          <w:lang w:bidi="fa-IR"/>
          <w:color w:val="111111"/>
          <w:sz w:val="28"/>
          <w:szCs w:val="28"/>
          <w:rtl/>
        </w:rPr>
        <w:t xml:space="preserve">آغاز: ابوذر جمهر حکیم فرموده است: از استاد خود شنیدم که از خدا چه بخواهم که همه نیکیها خواسته باشم؟ گفت: تندرستی و ایمان؛ انجام: گفتم: عاقبت را چه بهتر؟ گفت: خوشنودی خدای. خط نستعلیق، بی کام، بی تا، کاغذ: فرنگی، جلد: مقوا، ۳گ (۱۳۰پ۔ ۱۳۲ پ)، ۱۵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۱۳-۳۰۹۵]</w:t>
      </w:r>
    </w:p>
    <w:p>
      <w:pPr>
        <w:pStyle w:val="Heading3"/>
      </w:pPr>
      <w:bookmarkStart w:id="1789" w:name="_Toc1049"/>
      <w:r>
        <w:t>• پند به فرزند / مواعظ، اخلاق / فارسی</w:t>
      </w:r>
      <w:bookmarkEnd w:id="1789"/>
    </w:p>
    <w:p>
      <w:pPr>
        <w:pStyle w:val="BookText"/>
      </w:pPr>
      <w:r>
        <w:rPr>
          <w:rFonts w:ascii="Times New Roman" w:hAnsi="Times New Roman" w:eastAsia="Times New Roman" w:cs="Times New Roman"/>
          <w:lang w:val="en-US" w:bidi="en-US"/>
          <w:color w:val="111111"/>
          <w:sz w:val="28"/>
          <w:szCs w:val="28"/>
          <w:rtl/>
        </w:rPr>
        <w:t xml:space="preserve">pand be farzand</w:t>
      </w:r>
    </w:p>
    <w:p>
      <w:pPr>
        <w:pStyle w:val="BookText"/>
      </w:pPr>
      <w:r>
        <w:rPr>
          <w:rFonts w:ascii="IRNazanin" w:hAnsi="IRNazanin" w:eastAsia="IRNazanin" w:cs="IRNazanin"/>
          <w:lang w:bidi="fa-IR"/>
          <w:color w:val="111111"/>
          <w:sz w:val="28"/>
          <w:szCs w:val="28"/>
          <w:rtl/>
        </w:rPr>
        <w:t xml:space="preserve">تهران؛ ملک؛ شماره نسخه: ۱۳۹۶/۲۶</w:t>
      </w:r>
    </w:p>
    <w:p>
      <w:pPr>
        <w:pStyle w:val="BookText"/>
      </w:pPr>
      <w:r>
        <w:rPr>
          <w:rFonts w:ascii="IRNazanin" w:hAnsi="IRNazanin" w:eastAsia="IRNazanin" w:cs="IRNazanin"/>
          <w:lang w:bidi="fa-IR"/>
          <w:color w:val="111111"/>
          <w:sz w:val="28"/>
          <w:szCs w:val="28"/>
          <w:rtl/>
        </w:rPr>
        <w:t xml:space="preserve">آغاز: حمد و سپاس بی قیاس و درود بی حد و نهایت ... این رساله ای است که این فقیر حقیر به جهت فرزند در سلک تحریر آورده ... ای فرزند غرض ازین نوشته این است که معلوم تو شود که در حیات عالیه است ... ای فرزند بدان که پیش از این که پا به عرصه این بساط بگذاری خط شکسته نستعلیق، بی کا، بی تا [ف: ۵-۲۶۳]</w:t>
      </w:r>
    </w:p>
    <w:p>
      <w:pPr>
        <w:pStyle w:val="Heading3"/>
      </w:pPr>
      <w:bookmarkStart w:id="1790" w:name="_Toc1050"/>
      <w:r>
        <w:t>•پند پیامبر به امت / اخلاق / فارسی</w:t>
      </w:r>
      <w:bookmarkEnd w:id="1790"/>
    </w:p>
    <w:p>
      <w:pPr>
        <w:pStyle w:val="BookText"/>
      </w:pPr>
      <w:r>
        <w:rPr>
          <w:rFonts w:ascii="Times New Roman" w:hAnsi="Times New Roman" w:eastAsia="Times New Roman" w:cs="Times New Roman"/>
          <w:lang w:val="en-US" w:bidi="en-US"/>
          <w:color w:val="111111"/>
          <w:sz w:val="28"/>
          <w:szCs w:val="28"/>
          <w:rtl/>
        </w:rPr>
        <w:t xml:space="preserve">pand-e payāmbar be ommat</w:t>
      </w:r>
    </w:p>
    <w:p>
      <w:pPr>
        <w:pStyle w:val="BookText"/>
      </w:pPr>
      <w:r>
        <w:rPr>
          <w:rFonts w:ascii="IRNazanin" w:hAnsi="IRNazanin" w:eastAsia="IRNazanin" w:cs="IRNazanin"/>
          <w:lang w:bidi="fa-IR"/>
          <w:color w:val="111111"/>
          <w:sz w:val="28"/>
          <w:szCs w:val="28"/>
          <w:rtl/>
        </w:rPr>
        <w:t xml:space="preserve">بندی به فارسی در پند پیامبر به امت که در خواب و بیداری او بدو گفته بود بدین گونه: «این نامه از مدينه مصطفی است (صلی الله علیه وآله وسلم)به جمله مسلمانان ... باید که این نامه را به شهرهای مسلمانان ببرند تا هر کس سواید بگیرند . این نامه را بدیدم بر کف دست من نهاده ... این نامه نوشته شد در روز آدینه وقت الضحى في عشر جمیدى الأولى سنة ستين وستمائه على يد ... على بن محمد بن على الغجدوانی غفر الله له ... الراحمين.»</w:t>
      </w:r>
    </w:p>
    <w:p>
      <w:pPr>
        <w:pStyle w:val="BookText"/>
      </w:pPr>
      <w:r>
        <w:rPr>
          <w:rFonts w:ascii="IRNazanin" w:hAnsi="IRNazanin" w:eastAsia="IRNazanin" w:cs="IRNazanin"/>
          <w:lang w:bidi="fa-IR"/>
          <w:color w:val="111111"/>
          <w:sz w:val="28"/>
          <w:szCs w:val="28"/>
          <w:rtl/>
        </w:rPr>
        <w:t xml:space="preserve">تهران؛ مجلس؛ شماره نسخه: ۱۵۰۱/۵</w:t>
      </w:r>
    </w:p>
    <w:p>
      <w:pPr>
        <w:pStyle w:val="BookText"/>
      </w:pPr>
      <w:r>
        <w:rPr>
          <w:rFonts w:ascii="IRNazanin" w:hAnsi="IRNazanin" w:eastAsia="IRNazanin" w:cs="IRNazanin"/>
          <w:lang w:bidi="fa-IR"/>
          <w:color w:val="111111"/>
          <w:sz w:val="28"/>
          <w:szCs w:val="28"/>
          <w:rtl/>
        </w:rPr>
        <w:t xml:space="preserve">خط: نسخ، بی کا، تا: ۷۱۰ق؛ کاغذ: سفید سمرقندی، جلد: تیماج قهوه ای و مقوایی زرکوب با لولا، ۲ص (۶۲-۶۳) [سنا: ف: ۲-۳۰۳]</w:t>
      </w:r>
    </w:p>
    <w:p>
      <w:pPr>
        <w:pStyle w:val="BookText"/>
      </w:pPr>
      <w:r>
        <w:rPr>
          <w:rFonts w:ascii="IRNazanin" w:hAnsi="IRNazanin" w:eastAsia="IRNazanin" w:cs="IRNazanin"/>
          <w:lang w:bidi="fa-IR"/>
          <w:color w:val="111111"/>
          <w:sz w:val="28"/>
          <w:szCs w:val="28"/>
          <w:rtl/>
        </w:rPr>
        <w:t xml:space="preserve">← پند خسرو پرویز ← بی وفائی دنیا</w:t>
      </w:r>
    </w:p>
    <w:p>
      <w:pPr>
        <w:pStyle w:val="Heading3"/>
      </w:pPr>
      <w:bookmarkStart w:id="1791" w:name="_Toc1051"/>
      <w:r>
        <w:t>•پند عرفانی/ عرفان و تصوف / فارسی</w:t>
      </w:r>
      <w:bookmarkEnd w:id="1791"/>
    </w:p>
    <w:p>
      <w:pPr>
        <w:pStyle w:val="BookText"/>
      </w:pPr>
      <w:r>
        <w:rPr>
          <w:rFonts w:ascii="Times New Roman" w:hAnsi="Times New Roman" w:eastAsia="Times New Roman" w:cs="Times New Roman"/>
          <w:lang w:val="en-US" w:bidi="en-US"/>
          <w:color w:val="111111"/>
          <w:sz w:val="28"/>
          <w:szCs w:val="28"/>
          <w:rtl/>
        </w:rPr>
        <w:t xml:space="preserve">pand-e ‘erfānī</w:t>
      </w:r>
    </w:p>
    <w:p>
      <w:pPr>
        <w:pStyle w:val="BookText"/>
      </w:pPr>
      <w:r>
        <w:rPr>
          <w:rFonts w:ascii="IRNazanin" w:hAnsi="IRNazanin" w:eastAsia="IRNazanin" w:cs="IRNazanin"/>
          <w:lang w:bidi="fa-IR"/>
          <w:color w:val="111111"/>
          <w:sz w:val="28"/>
          <w:szCs w:val="28"/>
          <w:rtl/>
        </w:rPr>
        <w:t xml:space="preserve">تهران؛ مجلس؛ شماره نسخه: ۸۸۷۰/۶</w:t>
      </w:r>
    </w:p>
    <w:p>
      <w:pPr>
        <w:pStyle w:val="BookText"/>
      </w:pPr>
      <w:r>
        <w:rPr>
          <w:rFonts w:ascii="IRNazanin" w:hAnsi="IRNazanin" w:eastAsia="IRNazanin" w:cs="IRNazanin"/>
          <w:lang w:bidi="fa-IR"/>
          <w:color w:val="111111"/>
          <w:sz w:val="28"/>
          <w:szCs w:val="28"/>
          <w:rtl/>
        </w:rPr>
        <w:t xml:space="preserve">خط: نسخ و نستعلیق، کا: محمد صادق امام جمعه بروجرد، تا: ۱۲۷۱ق؛ کاغذ: فرنگی نخودی و فستقی مهره کشی شده، جلد: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12" w:name="pg20363_209576"/>
    <w:bookmarkEnd w:id="312"/>
    <w:p>
      <w:pPr>
        <w:pStyle w:val="BookText"/>
      </w:pPr>
      <w:r>
        <w:rPr>
          <w:rFonts w:ascii="IRNazanin" w:hAnsi="IRNazanin" w:eastAsia="IRNazanin" w:cs="IRNazanin"/>
          <w:lang w:bidi="fa-IR"/>
          <w:color w:val="111111"/>
          <w:sz w:val="28"/>
          <w:szCs w:val="28"/>
          <w:rtl/>
        </w:rPr>
        <w:t xml:space="preserve">تیماج قهوه ای مجدول، اگ (۴۷پ)، ۱۳-۱۹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۱۱/۳ سم [ف: ۲۹/۱-۱۹۱]</w:t>
      </w:r>
    </w:p>
    <w:p>
      <w:pPr>
        <w:pStyle w:val="Heading3"/>
      </w:pPr>
      <w:bookmarkStart w:id="1792" w:name="_Toc1052"/>
      <w:r>
        <w:t>• پند فرزانه به فرزند / اخلاق / فارسی</w:t>
      </w:r>
      <w:bookmarkEnd w:id="1792"/>
    </w:p>
    <w:p>
      <w:pPr>
        <w:pStyle w:val="BookText"/>
      </w:pPr>
      <w:r>
        <w:rPr>
          <w:rFonts w:ascii="Times New Roman" w:hAnsi="Times New Roman" w:eastAsia="Times New Roman" w:cs="Times New Roman"/>
          <w:lang w:val="en-US" w:bidi="en-US"/>
          <w:color w:val="111111"/>
          <w:sz w:val="28"/>
          <w:szCs w:val="28"/>
          <w:rtl/>
        </w:rPr>
        <w:t xml:space="preserve">pand-e farzāne be farzand</w:t>
      </w:r>
    </w:p>
    <w:p>
      <w:pPr>
        <w:pStyle w:val="BookText"/>
      </w:pPr>
      <w:r>
        <w:rPr>
          <w:rFonts w:ascii="IRNazanin" w:hAnsi="IRNazanin" w:eastAsia="IRNazanin" w:cs="IRNazanin"/>
          <w:lang w:bidi="fa-IR"/>
          <w:color w:val="111111"/>
          <w:sz w:val="28"/>
          <w:szCs w:val="28"/>
          <w:rtl/>
        </w:rPr>
        <w:t xml:space="preserve">در این گفتار فرزانه ای به فرزند خود اندرز می دهد و باید از متاخران باشد. آغاز: این وصیت نامه حکیمی است که پسر خود را گفت: بدان ای فرزند که خالقی است که ترا و همه خلق را مرجع با او است. انجام: مرگ را باید آر و در هر چه باشی خدایرا فرو مگذار. تمت الوصية و الحمدلله اولا و آخرا.</w:t>
      </w:r>
    </w:p>
    <w:p>
      <w:pPr>
        <w:pStyle w:val="BookText"/>
      </w:pPr>
      <w:r>
        <w:rPr>
          <w:rFonts w:ascii="IRNazanin" w:hAnsi="IRNazanin" w:eastAsia="IRNazanin" w:cs="IRNazanin"/>
          <w:lang w:bidi="fa-IR"/>
          <w:color w:val="111111"/>
          <w:sz w:val="28"/>
          <w:szCs w:val="28"/>
          <w:rtl/>
        </w:rPr>
        <w:t xml:space="preserve">[دنا ۶۴۰/۲ ؛ فهرستواره منزوی ۳۵۲/۶ ]</w:t>
      </w:r>
    </w:p>
    <w:p>
      <w:pPr>
        <w:pStyle w:val="BookText"/>
      </w:pPr>
      <w:r>
        <w:rPr>
          <w:rFonts w:ascii="IRNazanin" w:hAnsi="IRNazanin" w:eastAsia="IRNazanin" w:cs="IRNazanin"/>
          <w:lang w:bidi="fa-IR"/>
          <w:color w:val="111111"/>
          <w:sz w:val="28"/>
          <w:szCs w:val="28"/>
          <w:rtl/>
        </w:rPr>
        <w:t xml:space="preserve">تهران؛ دانشگاه؛ شماره نسخه: ۱۰۳۵/۱۷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تعليق، كا: ناصر الدین حسین بن نورالدین محمد کرمانی، تا: ۱۰۹۷ق، جان کرمان؛ در دنبال ۵ بیت است از فارابی: نظرت بنور العقل (الله) اول نظرة</w:t>
      </w:r>
      <w:r>
        <w:rPr>
          <w:rFonts w:ascii="IRNazanin" w:hAnsi="IRNazanin" w:eastAsia="IRNazanin" w:cs="IRNazanin"/>
          <w:lang w:bidi="fa-IR"/>
          <w:color w:val="111111"/>
          <w:sz w:val="28"/>
          <w:szCs w:val="28"/>
          <w:b w:val="1"/>
          <w:bCs w:val="1"/>
          <w:i w:val="1"/>
          <w:iCs w:val="1"/>
          <w:rtl/>
        </w:rPr>
        <w:t xml:space="preserve">فغبت عن الاكوان و ارتفع اللبس او ما زال قلبی لائذا بجالكم ۸۸ و حضرتكم حتى فنت فیکم النفس زيتونة الفكر الصحيح اصولها *** مباركة أوراقها الصدق و القدس / فروحی زیتی و الخال زجاجتی *** و عقلی مصباحی و مشكاته الحس / فصار بکم لیلی نهارا و ظلمتی</w:t>
      </w:r>
      <w:r>
        <w:rPr>
          <w:rFonts w:ascii="Amiri" w:hAnsi="Amiri" w:eastAsia="Amiri" w:cs="Amiri"/>
          <w:lang w:bidi="ar-SA"/>
          <w:color w:val="111111"/>
          <w:sz w:val="28"/>
          <w:szCs w:val="28"/>
          <w:rtl/>
        </w:rPr>
        <w:t xml:space="preserve">ضياء و لاحت من </w:t>
      </w:r>
      <w:r>
        <w:rPr>
          <w:rFonts w:ascii="IRNazanin" w:hAnsi="IRNazanin" w:eastAsia="IRNazanin" w:cs="IRNazanin"/>
          <w:lang w:bidi="fa-IR"/>
          <w:color w:val="111111"/>
          <w:sz w:val="28"/>
          <w:szCs w:val="28"/>
          <w:b w:val="1"/>
          <w:bCs w:val="1"/>
          <w:i w:val="1"/>
          <w:iCs w:val="1"/>
          <w:rtl/>
        </w:rPr>
        <w:t xml:space="preserve">جنابكم (خیامکم) الشمس، و شش بیت از حسین منصور حلاج ره: قل لاخوانی روانی میتا *** فرثونی و بكوالی حزنا / اتخالونی بانی میت *** لست ذاک الميت و الله انا / انا في الصورة هذا بدنی *** كان لبسی و قمیصی زمنا / انا کنز و حجابی طلسم</w:t>
      </w:r>
      <w:r>
        <w:rPr>
          <w:rFonts w:ascii="IRNazanin" w:hAnsi="IRNazanin" w:eastAsia="IRNazanin" w:cs="IRNazanin"/>
          <w:lang w:bidi="fa-IR"/>
          <w:color w:val="111111"/>
          <w:sz w:val="28"/>
          <w:szCs w:val="28"/>
          <w:rtl/>
        </w:rPr>
        <w:t xml:space="preserve"> من تراب فتنحى للفنا / أنا عصفور و هذا قفصي*** كان سجنا فالفت السجنا / اشكر الله الذي سرحنی</w:t>
      </w:r>
      <w:r>
        <w:rPr>
          <w:rFonts w:ascii="IRNazanin" w:hAnsi="IRNazanin" w:eastAsia="IRNazanin" w:cs="IRNazanin"/>
          <w:lang w:bidi="fa-IR"/>
          <w:color w:val="111111"/>
          <w:sz w:val="28"/>
          <w:szCs w:val="28"/>
          <w:b w:val="1"/>
          <w:bCs w:val="1"/>
          <w:i w:val="1"/>
          <w:iCs w:val="1"/>
          <w:rtl/>
        </w:rPr>
        <w:t xml:space="preserve">و بنی لي في المعاد و لنا؛ و سه بیت از شيخ رئيس ره: لو كنت تعلم كلما علم الوری ۷۷ حقا لكنت صديق كل العالم / لكن جهلت فصار عند كل من</w:t>
      </w:r>
      <w:r>
        <w:rPr>
          <w:rFonts w:ascii="IRNazanin" w:hAnsi="IRNazanin" w:eastAsia="IRNazanin" w:cs="IRNazanin"/>
          <w:lang w:bidi="fa-IR"/>
          <w:color w:val="111111"/>
          <w:sz w:val="28"/>
          <w:szCs w:val="28"/>
          <w:rtl/>
        </w:rPr>
        <w:t xml:space="preserve"> يهوى خلاف هواک ليس بعالم / و العقل اضحي ضاحكا متعجبا *** مما تقول و انت شبه النائم، و دو بیت از ابی العباس لو کری که دستور داده بر سنگ آرامگاهش بنویسند: الجسم يبلی اذاطال الزمان به</w:t>
      </w:r>
      <w:r>
        <w:rPr>
          <w:rFonts w:ascii="IRNazanin" w:hAnsi="IRNazanin" w:eastAsia="IRNazanin" w:cs="IRNazanin"/>
          <w:lang w:bidi="fa-IR"/>
          <w:color w:val="111111"/>
          <w:sz w:val="28"/>
          <w:szCs w:val="28"/>
          <w:b w:val="1"/>
          <w:bCs w:val="1"/>
          <w:i w:val="1"/>
          <w:iCs w:val="1"/>
          <w:rtl/>
        </w:rPr>
        <w:t xml:space="preserve">و النفس تبقى و هذا غاية الناس لاتیسأسن عن النفس التي بقيت *** أن كنت عن جسمك البالي على باس؛ و دو بیت از عضدالدوله: و قالوا افق عن لذة اللهو و الصبی ۸۷ و قد لاح شیب في دجاک عجیب / فقلت اخلائی درونی و لذتی</w:t>
      </w:r>
      <w:r>
        <w:rPr>
          <w:rFonts w:ascii="IRNazanin" w:hAnsi="IRNazanin" w:eastAsia="IRNazanin" w:cs="IRNazanin"/>
          <w:lang w:bidi="fa-IR"/>
          <w:color w:val="111111"/>
          <w:sz w:val="28"/>
          <w:szCs w:val="28"/>
          <w:rtl/>
        </w:rPr>
        <w:t xml:space="preserve"> فان الكري عند الصباح بطيب، و دو بیت از گمنام: «لغيره في هذا المعنی»، و قائلة خل التصابي لاهله*** فان الصبا بعد المشيب جنون / فقلت لها كفي عن اللوم و اقصرى ***لذيذ الكري عند الصباح يكون؛ کاغذ: فرنگی، جلد: تیماج مشکی ضربی طلاکوب، 1ص (۱۶۳)،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۳-۶۵۳]</w:t>
      </w:r>
    </w:p>
    <w:p>
      <w:pPr>
        <w:pStyle w:val="BookText"/>
      </w:pPr>
      <w:r>
        <w:rPr>
          <w:rFonts w:ascii="IRNazanin" w:hAnsi="IRNazanin" w:eastAsia="IRNazanin" w:cs="IRNazanin"/>
          <w:lang w:bidi="fa-IR"/>
          <w:color w:val="111111"/>
          <w:sz w:val="28"/>
          <w:szCs w:val="28"/>
          <w:rtl/>
        </w:rPr>
        <w:t xml:space="preserve">← پند نامه ← سیف الملوک و بدیع الجمال</w:t>
      </w:r>
    </w:p>
    <w:p>
      <w:pPr>
        <w:pStyle w:val="BookText"/>
      </w:pPr>
      <w:r>
        <w:rPr>
          <w:rFonts w:ascii="IRNazanin" w:hAnsi="IRNazanin" w:eastAsia="IRNazanin" w:cs="IRNazanin"/>
          <w:lang w:bidi="fa-IR"/>
          <w:color w:val="111111"/>
          <w:sz w:val="28"/>
          <w:szCs w:val="28"/>
          <w:rtl/>
        </w:rPr>
        <w:t xml:space="preserve">← پندنامه ←نصایح</w:t>
      </w:r>
    </w:p>
    <w:p>
      <w:pPr>
        <w:pStyle w:val="BookText"/>
      </w:pPr>
      <w:r>
        <w:rPr>
          <w:rFonts w:ascii="IRNazanin" w:hAnsi="IRNazanin" w:eastAsia="IRNazanin" w:cs="IRNazanin"/>
          <w:lang w:bidi="fa-IR"/>
          <w:color w:val="111111"/>
          <w:sz w:val="28"/>
          <w:szCs w:val="28"/>
          <w:rtl/>
        </w:rPr>
        <w:t xml:space="preserve">←پندنامه ← کتاب شاه نوشیروان عادل</w:t>
      </w:r>
    </w:p>
    <w:p>
      <w:pPr>
        <w:pStyle w:val="BookText"/>
      </w:pPr>
      <w:r>
        <w:rPr>
          <w:rFonts w:ascii="IRNazanin" w:hAnsi="IRNazanin" w:eastAsia="IRNazanin" w:cs="IRNazanin"/>
          <w:lang w:bidi="fa-IR"/>
          <w:color w:val="111111"/>
          <w:sz w:val="28"/>
          <w:szCs w:val="28"/>
          <w:rtl/>
        </w:rPr>
        <w:t xml:space="preserve">←پندنامه ← وصیت</w:t>
      </w:r>
    </w:p>
    <w:p>
      <w:pPr>
        <w:pStyle w:val="BookText"/>
      </w:pPr>
      <w:r>
        <w:rPr>
          <w:rFonts w:ascii="IRNazanin" w:hAnsi="IRNazanin" w:eastAsia="IRNazanin" w:cs="IRNazanin"/>
          <w:lang w:bidi="fa-IR"/>
          <w:color w:val="111111"/>
          <w:sz w:val="28"/>
          <w:szCs w:val="28"/>
          <w:rtl/>
        </w:rPr>
        <w:t xml:space="preserve">←پند نامه ← کلیات سعدی</w:t>
      </w:r>
    </w:p>
    <w:p>
      <w:pPr>
        <w:pStyle w:val="BookText"/>
      </w:pPr>
      <w:r>
        <w:rPr>
          <w:rFonts w:ascii="IRNazanin" w:hAnsi="IRNazanin" w:eastAsia="IRNazanin" w:cs="IRNazanin"/>
          <w:lang w:bidi="fa-IR"/>
          <w:color w:val="111111"/>
          <w:sz w:val="28"/>
          <w:szCs w:val="28"/>
          <w:rtl/>
        </w:rPr>
        <w:t xml:space="preserve">← پندنامه ← پند فرزانه به فرزند</w:t>
      </w:r>
    </w:p>
    <w:p>
      <w:pPr>
        <w:pStyle w:val="BookText"/>
      </w:pPr>
      <w:r>
        <w:rPr>
          <w:rFonts w:ascii="IRNazanin" w:hAnsi="IRNazanin" w:eastAsia="IRNazanin" w:cs="IRNazanin"/>
          <w:lang w:bidi="fa-IR"/>
          <w:color w:val="111111"/>
          <w:sz w:val="28"/>
          <w:szCs w:val="28"/>
          <w:rtl/>
        </w:rPr>
        <w:t xml:space="preserve">← پندنامه ← نصیحت نامه</w:t>
      </w:r>
    </w:p>
    <w:p>
      <w:pPr>
        <w:pStyle w:val="BookText"/>
      </w:pPr>
      <w:r>
        <w:rPr>
          <w:rFonts w:ascii="IRNazanin" w:hAnsi="IRNazanin" w:eastAsia="IRNazanin" w:cs="IRNazanin"/>
          <w:lang w:bidi="fa-IR"/>
          <w:color w:val="111111"/>
          <w:sz w:val="28"/>
          <w:szCs w:val="28"/>
          <w:rtl/>
        </w:rPr>
        <w:t xml:space="preserve">← پند نامه ← دستور الوزاره</w:t>
      </w:r>
    </w:p>
    <w:p>
      <w:pPr>
        <w:pStyle w:val="BookText"/>
      </w:pPr>
      <w:r>
        <w:rPr>
          <w:rFonts w:ascii="IRNazanin" w:hAnsi="IRNazanin" w:eastAsia="IRNazanin" w:cs="IRNazanin"/>
          <w:lang w:bidi="fa-IR"/>
          <w:color w:val="111111"/>
          <w:sz w:val="28"/>
          <w:szCs w:val="28"/>
          <w:rtl/>
        </w:rPr>
        <w:t xml:space="preserve">← پندنامه ← نصایح و موعظه و پند</w:t>
      </w:r>
    </w:p>
    <w:p>
      <w:pPr>
        <w:pStyle w:val="BookText"/>
      </w:pPr>
      <w:r>
        <w:rPr>
          <w:rFonts w:ascii="IRNazanin" w:hAnsi="IRNazanin" w:eastAsia="IRNazanin" w:cs="IRNazanin"/>
          <w:lang w:bidi="fa-IR"/>
          <w:color w:val="111111"/>
          <w:sz w:val="28"/>
          <w:szCs w:val="28"/>
          <w:rtl/>
        </w:rPr>
        <w:t xml:space="preserve">← پندنامه ← داستان دخمه نوشیروان</w:t>
      </w:r>
    </w:p>
    <w:p>
      <w:pPr>
        <w:pStyle w:val="BookText"/>
      </w:pPr>
      <w:r>
        <w:rPr>
          <w:rFonts w:ascii="IRNazanin" w:hAnsi="IRNazanin" w:eastAsia="IRNazanin" w:cs="IRNazanin"/>
          <w:lang w:bidi="fa-IR"/>
          <w:color w:val="111111"/>
          <w:sz w:val="28"/>
          <w:szCs w:val="28"/>
          <w:rtl/>
        </w:rPr>
        <w:t xml:space="preserve">← پندنامه← کریما</w:t>
      </w:r>
    </w:p>
    <w:p>
      <w:pPr>
        <w:pStyle w:val="Heading3"/>
      </w:pPr>
      <w:bookmarkStart w:id="1793" w:name="_Toc1053"/>
      <w:r>
        <w:t>• پندنامه = صد پند = نصایح لقمان = اندرزنامه / اخلاق / فارسی</w:t>
      </w:r>
      <w:bookmarkEnd w:id="1793"/>
    </w:p>
    <w:p>
      <w:pPr>
        <w:pStyle w:val="BookText"/>
      </w:pPr>
      <w:r>
        <w:rPr>
          <w:rFonts w:ascii="Times New Roman" w:hAnsi="Times New Roman" w:eastAsia="Times New Roman" w:cs="Times New Roman"/>
          <w:lang w:val="en-US" w:bidi="en-US"/>
          <w:color w:val="111111"/>
          <w:sz w:val="28"/>
          <w:szCs w:val="28"/>
          <w:rtl/>
        </w:rPr>
        <w:t xml:space="preserve">pand-nāme = sad pand = nasāyeh-e loqmān = andarz nāme</w:t>
      </w:r>
    </w:p>
    <w:p>
      <w:pPr>
        <w:pStyle w:val="BookText"/>
      </w:pPr>
      <w:r>
        <w:rPr>
          <w:rFonts w:ascii="IRNazanin" w:hAnsi="IRNazanin" w:eastAsia="IRNazanin" w:cs="IRNazanin"/>
          <w:lang w:bidi="fa-IR"/>
          <w:color w:val="111111"/>
          <w:sz w:val="28"/>
          <w:szCs w:val="28"/>
          <w:rtl/>
        </w:rPr>
        <w:t xml:space="preserve">لقمان</w:t>
      </w:r>
    </w:p>
    <w:p>
      <w:pPr>
        <w:pStyle w:val="BookText"/>
      </w:pPr>
      <w:r>
        <w:rPr>
          <w:rFonts w:ascii="Times New Roman" w:hAnsi="Times New Roman" w:eastAsia="Times New Roman" w:cs="Times New Roman"/>
          <w:lang w:val="en-US" w:bidi="en-US"/>
          <w:color w:val="111111"/>
          <w:sz w:val="28"/>
          <w:szCs w:val="28"/>
          <w:rtl/>
        </w:rPr>
        <w:t xml:space="preserve">loqmãn</w:t>
      </w:r>
    </w:p>
    <w:p>
      <w:pPr>
        <w:pStyle w:val="BookText"/>
      </w:pPr>
      <w:r>
        <w:rPr>
          <w:rFonts w:ascii="IRNazanin" w:hAnsi="IRNazanin" w:eastAsia="IRNazanin" w:cs="IRNazanin"/>
          <w:lang w:bidi="fa-IR"/>
          <w:color w:val="111111"/>
          <w:sz w:val="28"/>
          <w:szCs w:val="28"/>
          <w:rtl/>
        </w:rPr>
        <w:t xml:space="preserve">پندهایی منسوب به لقمان حکیم که به فرزندش با عناوین «ای پسر داده است. نسخه های آن از جهت آغاز و اندازه و محتوا با هم دگرگونی دارد.</w:t>
      </w:r>
    </w:p>
    <w:p>
      <w:pPr>
        <w:pStyle w:val="BookText"/>
      </w:pPr>
      <w:r>
        <w:rPr>
          <w:rFonts w:ascii="IRNazanin" w:hAnsi="IRNazanin" w:eastAsia="IRNazanin" w:cs="IRNazanin"/>
          <w:lang w:bidi="fa-IR"/>
          <w:color w:val="111111"/>
          <w:sz w:val="28"/>
          <w:szCs w:val="28"/>
          <w:rtl/>
        </w:rPr>
        <w:t xml:space="preserve">آغاز: بسمله این پند و نصایح لقمان حکیم است که پسر خود را ... ای فرزند خدای عزوجل را بشناس و هر چه از پند و اندرز و نصیحت گویی نخست خود بدان کار کن</w:t>
      </w:r>
    </w:p>
    <w:p>
      <w:pPr>
        <w:pStyle w:val="BookText"/>
      </w:pPr>
      <w:r>
        <w:rPr>
          <w:rFonts w:ascii="IRNazanin" w:hAnsi="IRNazanin" w:eastAsia="IRNazanin" w:cs="IRNazanin"/>
          <w:lang w:bidi="fa-IR"/>
          <w:color w:val="111111"/>
          <w:sz w:val="28"/>
          <w:szCs w:val="28"/>
          <w:rtl/>
        </w:rPr>
        <w:t xml:space="preserve">انجام و کاری که بخواهی کردن مگو چون وعده کنی زود وفا کن. هیچ کس را مترسان تا ایمن شوي ان شاء الله.</w:t>
      </w:r>
    </w:p>
    <w:p>
      <w:pPr>
        <w:pStyle w:val="BookText"/>
      </w:pPr>
      <w:r>
        <w:rPr>
          <w:rFonts w:ascii="IRNazanin" w:hAnsi="IRNazanin" w:eastAsia="IRNazanin" w:cs="IRNazanin"/>
          <w:lang w:bidi="fa-IR"/>
          <w:color w:val="111111"/>
          <w:sz w:val="28"/>
          <w:szCs w:val="28"/>
          <w:rtl/>
        </w:rPr>
        <w:t xml:space="preserve">چاپ: این رساله به دو نام «صد پند» و «نصایح لقمان» به چاپ رسیده است؛ کانپور، سنگی، ۱۲۷۵، وزیری بزرگ، عص، صص ۷-۱۲)؛ کانپور، سنگی، ۱۳۲۳، وزیری، ۵ ص (صص ۸۴ ۸۸)؛ ایران، سنگی، ۱۳۱۵، جیبی، ۵ص (صص ۹۱-۹۵)؛ ایران، سنگی، ۱۳۰۲، جیبی، ۶+۱صص (با احادیث قدسی: صص( 90 -۹۵)</w:t>
      </w:r>
    </w:p>
    <w:p>
      <w:pPr>
        <w:pStyle w:val="BookText"/>
      </w:pPr>
      <w:r>
        <w:rPr>
          <w:rFonts w:ascii="IRNazanin" w:hAnsi="IRNazanin" w:eastAsia="IRNazanin" w:cs="IRNazanin"/>
          <w:lang w:bidi="fa-IR"/>
          <w:color w:val="111111"/>
          <w:sz w:val="28"/>
          <w:szCs w:val="28"/>
          <w:rtl/>
        </w:rPr>
        <w:t xml:space="preserve">[نسخه های منزوی ۱۶۴۱/۲ ؛ الذريعة ۲۶/۱۵ ، ۴۷۰/۳ : به عنوان تحفة الملوک و ۲۶/۱۵ ؛ مشترک پاکستان ۲۳۷۴/۴ ؛ فهرستواره منزوی ۵۱۵/۶ ؛ در دنا پراکنده شده ۶۴۴/۲ (۱۷ نسخه) با عنوان «پندنامه» و ۱۰۹/۷ (۶ نسخه) با عنوان «صد پند» و ۷۰۶/۱۰ (۱۵ نسخه) با عنوان «نصایح لقمان»؛ مشار فارسی، ج ۳، صص ۳۳۷۸-۳۳۷۷ ]</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۱- تحفة الأمراء؛ مقبول طفیلی (۱۳)</w:t>
      </w:r>
    </w:p>
    <w:p>
      <w:pPr>
        <w:pStyle w:val="BookText"/>
      </w:pPr>
      <w:r>
        <w:rPr>
          <w:rFonts w:ascii="IRNazanin" w:hAnsi="IRNazanin" w:eastAsia="IRNazanin" w:cs="IRNazanin"/>
          <w:lang w:bidi="fa-IR"/>
          <w:color w:val="111111"/>
          <w:sz w:val="28"/>
          <w:szCs w:val="28"/>
          <w:rtl/>
        </w:rPr>
        <w:t xml:space="preserve">۱. تهران؛ ملک؛ شماره نسخه: ۲۶۵۴/۱۱</w:t>
      </w:r>
    </w:p>
    <w:p>
      <w:pPr>
        <w:pStyle w:val="BookText"/>
      </w:pPr>
      <w:r>
        <w:rPr>
          <w:rFonts w:ascii="IRNazanin" w:hAnsi="IRNazanin" w:eastAsia="IRNazanin" w:cs="IRNazanin"/>
          <w:lang w:bidi="fa-IR"/>
          <w:color w:val="111111"/>
          <w:sz w:val="28"/>
          <w:szCs w:val="28"/>
          <w:rtl/>
        </w:rPr>
        <w:t xml:space="preserve">خط: شکسته نستعلیق، بی کا، تا: قرن ۱۰؛ اص (۷۳پ) [ف: ۶-۸۶]</w:t>
      </w:r>
    </w:p>
    <w:p>
      <w:pPr>
        <w:pStyle w:val="BookText"/>
      </w:pPr>
      <w:r>
        <w:rPr>
          <w:rFonts w:ascii="IRNazanin" w:hAnsi="IRNazanin" w:eastAsia="IRNazanin" w:cs="IRNazanin"/>
          <w:lang w:bidi="fa-IR"/>
          <w:color w:val="111111"/>
          <w:sz w:val="28"/>
          <w:szCs w:val="28"/>
          <w:rtl/>
        </w:rPr>
        <w:t xml:space="preserve">۲. تهران؛ مجلس؛ شماره نسخه: ۹۰۰۴/۲۲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در اخبار آمده است که لقمان حکیم بپسر خود را بدین چند کلمه پند میداد که یاد گیرد و بدان کار کند و خردمند و زیرک گردد؛ انجام: بر دوستی زنان اعتماد مکن. ناشمرده بکار مبر. از غیبت کسان یاد مکن.</w:t>
      </w:r>
    </w:p>
    <w:p>
      <w:pPr>
        <w:pStyle w:val="BookText"/>
      </w:pPr>
      <w:r>
        <w:rPr>
          <w:rFonts w:ascii="IRNazanin" w:hAnsi="IRNazanin" w:eastAsia="IRNazanin" w:cs="IRNazanin"/>
          <w:lang w:bidi="fa-IR"/>
          <w:color w:val="111111"/>
          <w:sz w:val="28"/>
          <w:szCs w:val="28"/>
          <w:rtl/>
        </w:rPr>
        <w:t xml:space="preserve">خط: نستعلیق، بی کا، تا: قرن ۱۱؛ افتادگی: انجام کاغذ: نخودی آهار مهره، جلد: میشن قهوه ای ضربی با ترنج و سرترنج مجدول 1گ (۲۳۸ر -۲۳۸ر)، ابعاد متن: ۲۰۷۹/۵ ، اندازه:</w:t>
      </w:r>
    </w:p>
    <w:p>
      <w:pPr>
        <w:pStyle w:val="BookText"/>
      </w:pPr>
      <w:r>
        <w:rPr>
          <w:rFonts w:ascii="IRNazanin" w:hAnsi="IRNazanin" w:eastAsia="IRNazanin" w:cs="IRNazanin"/>
          <w:lang w:bidi="fa-IR"/>
          <w:color w:val="111111"/>
          <w:sz w:val="28"/>
          <w:szCs w:val="28"/>
          <w:rtl/>
        </w:rPr>
        <w:t xml:space="preserve">۱۳/۲ ۲۳/۱۸ سم [ف: ۲۹/۲ -۶۰۱]</w:t>
      </w:r>
    </w:p>
    <w:p>
      <w:pPr>
        <w:pStyle w:val="BookText"/>
      </w:pPr>
      <w:r>
        <w:rPr>
          <w:rFonts w:ascii="IRNazanin" w:hAnsi="IRNazanin" w:eastAsia="IRNazanin" w:cs="IRNazanin"/>
          <w:lang w:bidi="fa-IR"/>
          <w:color w:val="111111"/>
          <w:sz w:val="28"/>
          <w:szCs w:val="28"/>
          <w:rtl/>
        </w:rPr>
        <w:t xml:space="preserve">٣. تهران، دانشگاه؛ شماره نسخه: ۷۴۰/۱۳ -ف</w:t>
      </w:r>
    </w:p>
    <w:p>
      <w:pPr>
        <w:pStyle w:val="BookText"/>
      </w:pPr>
      <w:r>
        <w:rPr>
          <w:rFonts w:ascii="IRNazanin" w:hAnsi="IRNazanin" w:eastAsia="IRNazanin" w:cs="IRNazanin"/>
          <w:lang w:bidi="fa-IR"/>
          <w:color w:val="111111"/>
          <w:sz w:val="28"/>
          <w:szCs w:val="28"/>
          <w:rtl/>
        </w:rPr>
        <w:t xml:space="preserve">نسخه اصل: پاریس .۱۲۵</w:t>
      </w:r>
      <w:r>
        <w:rPr>
          <w:rFonts w:ascii="Times New Roman" w:hAnsi="Times New Roman" w:eastAsia="Times New Roman" w:cs="Times New Roman"/>
          <w:lang w:val="en-US" w:bidi="en-US"/>
          <w:color w:val="111111"/>
          <w:sz w:val="28"/>
          <w:szCs w:val="28"/>
          <w:rtl/>
        </w:rPr>
        <w:t xml:space="preserve">S. P (</w:t>
      </w:r>
      <w:r>
        <w:rPr>
          <w:rFonts w:ascii="IRNazanin" w:hAnsi="IRNazanin" w:eastAsia="IRNazanin" w:cs="IRNazanin"/>
          <w:lang w:bidi="fa-IR"/>
          <w:color w:val="111111"/>
          <w:sz w:val="28"/>
          <w:szCs w:val="28"/>
          <w:rtl/>
        </w:rPr>
        <w:t xml:space="preserve">بلوشه ۱۵۱)؛ خط: نستعليق هندی، بی کا، تا: ۱۰۵۲-۱۰۵۷ق [فيلمها ف: ۱-۵۳۳]</w:t>
      </w:r>
    </w:p>
    <w:p>
      <w:pPr>
        <w:pStyle w:val="BookText"/>
      </w:pPr>
      <w:r>
        <w:rPr>
          <w:rFonts w:ascii="IRNazanin" w:hAnsi="IRNazanin" w:eastAsia="IRNazanin" w:cs="IRNazanin"/>
          <w:lang w:bidi="fa-IR"/>
          <w:color w:val="111111"/>
          <w:sz w:val="28"/>
          <w:szCs w:val="28"/>
          <w:rtl/>
        </w:rPr>
        <w:t xml:space="preserve">۴. تهران؛ مجلس؛ شماره نسخه: ۸۹۴۸/۱۳</w:t>
      </w:r>
    </w:p>
    <w:p>
      <w:pPr>
        <w:pStyle w:val="BookText"/>
      </w:pPr>
      <w:r>
        <w:rPr>
          <w:rFonts w:ascii="IRNazanin" w:hAnsi="IRNazanin" w:eastAsia="IRNazanin" w:cs="IRNazanin"/>
          <w:lang w:bidi="fa-IR"/>
          <w:color w:val="111111"/>
          <w:sz w:val="28"/>
          <w:szCs w:val="28"/>
          <w:rtl/>
        </w:rPr>
        <w:t xml:space="preserve">خط: نستعلیق شکسته، کا: خليل ذوالقدر، تا: با تاریخ ۱۰۵۳ق، جان احمد آباد گجرات؛ کاغذ: الوان آهار مهره، جلد: تیماج قهوه ای ضربی با ترنج و سرترنج، 1گ (۱۱۳ر)، ابعاد متن:</w:t>
      </w:r>
    </w:p>
    <w:p>
      <w:pPr>
        <w:pStyle w:val="BookText"/>
      </w:pPr>
      <w:r>
        <w:rPr>
          <w:rFonts w:ascii="IRNazanin" w:hAnsi="IRNazanin" w:eastAsia="IRNazanin" w:cs="IRNazanin"/>
          <w:lang w:bidi="fa-IR"/>
          <w:color w:val="111111"/>
          <w:sz w:val="28"/>
          <w:szCs w:val="28"/>
          <w:rtl/>
        </w:rPr>
        <w:t xml:space="preserve">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۲۳/۵، اندازه: ۲۶/۴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۱۴/۴ سم [ف: ۲۹/۱-۴۳۹]</w:t>
      </w:r>
    </w:p>
    <w:p>
      <w:pPr>
        <w:pStyle w:val="BookText"/>
      </w:pPr>
      <w:r>
        <w:rPr>
          <w:rFonts w:ascii="IRNazanin" w:hAnsi="IRNazanin" w:eastAsia="IRNazanin" w:cs="IRNazanin"/>
          <w:lang w:bidi="fa-IR"/>
          <w:color w:val="111111"/>
          <w:sz w:val="28"/>
          <w:szCs w:val="28"/>
          <w:rtl/>
        </w:rPr>
        <w:t xml:space="preserve">۵. تهران؛ مجلس؛ شماره نسخه: ۹۴۵۷</w:t>
      </w:r>
    </w:p>
    <w:p>
      <w:pPr>
        <w:pStyle w:val="BookText"/>
      </w:pPr>
      <w:r>
        <w:rPr>
          <w:rFonts w:ascii="IRNazanin" w:hAnsi="IRNazanin" w:eastAsia="IRNazanin" w:cs="IRNazanin"/>
          <w:lang w:bidi="fa-IR"/>
          <w:color w:val="111111"/>
          <w:sz w:val="28"/>
          <w:szCs w:val="28"/>
          <w:rtl/>
        </w:rPr>
        <w:t xml:space="preserve">آغاز: برابر؛ انجام: بقضای الهی رضا ده بتعظيم سلطان غره مشو</w:t>
      </w:r>
    </w:p>
    <w:p>
      <w:pPr>
        <w:pStyle w:val="BookText"/>
      </w:pPr>
      <w:r>
        <w:rPr>
          <w:rFonts w:ascii="IRNazanin" w:hAnsi="IRNazanin" w:eastAsia="IRNazanin" w:cs="IRNazanin"/>
          <w:lang w:bidi="fa-IR"/>
          <w:color w:val="111111"/>
          <w:sz w:val="28"/>
          <w:szCs w:val="28"/>
          <w:rtl/>
        </w:rPr>
        <w:t xml:space="preserve">خط: نستعلیق، كا: علی حسینی، تا: ۱۰۹۷ق؛ مجدول مذهب، دارای سرلوح مذهب مرصع، دارای سه تصویر مینیاتوری، رکابه دار؛ جلد: تیماج مشکی ترنج دار، ۵گ، ۸ سطر، اندازه:</w:t>
      </w:r>
    </w:p>
    <w:p>
      <w:pPr>
        <w:pStyle w:val="BookText"/>
      </w:pPr>
      <w:r>
        <w:rPr>
          <w:rFonts w:ascii="IRNazanin" w:hAnsi="IRNazanin" w:eastAsia="IRNazanin" w:cs="IRNazanin"/>
          <w:lang w:bidi="fa-IR"/>
          <w:color w:val="111111"/>
          <w:sz w:val="28"/>
          <w:szCs w:val="28"/>
          <w:rtl/>
        </w:rPr>
        <w:t xml:space="preserve">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۳۰-۱۴۶]</w:t>
      </w:r>
    </w:p>
    <w:p>
      <w:pPr>
        <w:pStyle w:val="BookText"/>
      </w:pPr>
      <w:r>
        <w:rPr>
          <w:rFonts w:ascii="IRNazanin" w:hAnsi="IRNazanin" w:eastAsia="IRNazanin" w:cs="IRNazanin"/>
          <w:lang w:bidi="fa-IR"/>
          <w:color w:val="111111"/>
          <w:sz w:val="28"/>
          <w:szCs w:val="28"/>
          <w:rtl/>
        </w:rPr>
        <w:t xml:space="preserve">۶. تهران: مجلس؛ شماره نسخه: ۸۸۵۲/۲۹</w:t>
      </w:r>
    </w:p>
    <w:p>
      <w:pPr>
        <w:pStyle w:val="BookText"/>
      </w:pPr>
      <w:r>
        <w:rPr>
          <w:rFonts w:ascii="IRNazanin" w:hAnsi="IRNazanin" w:eastAsia="IRNazanin" w:cs="IRNazanin"/>
          <w:lang w:bidi="fa-IR"/>
          <w:color w:val="111111"/>
          <w:sz w:val="28"/>
          <w:szCs w:val="28"/>
          <w:rtl/>
        </w:rPr>
        <w:t xml:space="preserve">خط: نستعلیق و شکسته، بی کا، تا: اوایل رجب ۱۰۹۸ق، جا: قريه دوزال قراجه داغ؛ کاغذ: نخودی آهار مهره، جلد: میشن قهوه ای ضربی با ترنج و سرترنج و جدول، اص (۲۲۱)، اندازه: ۲۷/۸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۱۶/۱ سم [ف: ۲۹/۱ -۱۲۷]</w:t>
      </w:r>
    </w:p>
    <w:p>
      <w:pPr>
        <w:pStyle w:val="BookText"/>
      </w:pPr>
      <w:r>
        <w:rPr>
          <w:rFonts w:ascii="IRNazanin" w:hAnsi="IRNazanin" w:eastAsia="IRNazanin" w:cs="IRNazanin"/>
          <w:lang w:bidi="fa-IR"/>
          <w:color w:val="111111"/>
          <w:sz w:val="28"/>
          <w:szCs w:val="28"/>
          <w:rtl/>
        </w:rPr>
        <w:t xml:space="preserve">۷. تهران؛ ملک؛ شماره نسخه: ۴۳۴۱/۲</w:t>
      </w:r>
    </w:p>
    <w:p>
      <w:pPr>
        <w:pStyle w:val="BookText"/>
      </w:pPr>
      <w:r>
        <w:rPr>
          <w:rFonts w:ascii="IRNazanin" w:hAnsi="IRNazanin" w:eastAsia="IRNazanin" w:cs="IRNazanin"/>
          <w:lang w:bidi="fa-IR"/>
          <w:color w:val="111111"/>
          <w:sz w:val="28"/>
          <w:szCs w:val="28"/>
          <w:rtl/>
        </w:rPr>
        <w:t xml:space="preserve">آغاز: بدان که این چند پند سودمند است که لقمان حیکم به پسر خود وصیت کرده، و فرموده که هر که این سخنان را یاد گیرد ... ای پسر خدای عزوجل را بشناس بوحدانیت؛ انجام: اسراف در هیچ کار مکن تا ذلیل و خوار نگردی. انشاء الله تعالی ... خط: نستعلیق، کا: میر علی اکبر ولد میر محمد محسن زکی حسینی، تا: ۹۱-۱۱۹، جان محمد آباد بیدر؛ جدول و کمند بندی شده، محشی؛ کاغذ: ترمه، جلد: میشن آلبالوئی، اگ (۲۵ر -۲۵پ متن و سپس هامش)، ۱۳ سطر،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۲۲/۳ سم [ف: ۷-۳۵۷]</w:t>
      </w:r>
    </w:p>
    <w:p>
      <w:pPr>
        <w:pStyle w:val="BookText"/>
      </w:pPr>
      <w:r>
        <w:rPr>
          <w:rFonts w:ascii="IRNazanin" w:hAnsi="IRNazanin" w:eastAsia="IRNazanin" w:cs="IRNazanin"/>
          <w:lang w:bidi="fa-IR"/>
          <w:color w:val="111111"/>
          <w:sz w:val="28"/>
          <w:szCs w:val="28"/>
          <w:rtl/>
        </w:rPr>
        <w:t xml:space="preserve">تهران؛ دائرة المعارف؛ شماره نسخه: ۳۴/۲ -عکسی</w:t>
      </w:r>
    </w:p>
    <w:p>
      <w:pPr>
        <w:pStyle w:val="BookText"/>
      </w:pPr>
      <w:r>
        <w:rPr>
          <w:rFonts w:ascii="IRNazanin" w:hAnsi="IRNazanin" w:eastAsia="IRNazanin" w:cs="IRNazanin"/>
          <w:lang w:bidi="fa-IR"/>
          <w:color w:val="111111"/>
          <w:sz w:val="28"/>
          <w:szCs w:val="28"/>
          <w:rtl/>
        </w:rPr>
        <w:t xml:space="preserve">نسخه اصل: همان نسخه بالا [عکسی ف: ۲-۱۸۳]</w:t>
      </w:r>
    </w:p>
    <w:p>
      <w:pPr>
        <w:pStyle w:val="BookText"/>
      </w:pPr>
      <w:r>
        <w:rPr>
          <w:rFonts w:ascii="IRNazanin" w:hAnsi="IRNazanin" w:eastAsia="IRNazanin" w:cs="IRNazanin"/>
          <w:lang w:bidi="fa-IR"/>
          <w:color w:val="111111"/>
          <w:sz w:val="28"/>
          <w:szCs w:val="28"/>
          <w:rtl/>
        </w:rPr>
        <w:t xml:space="preserve">۸. مشهد؛ رضوی؛ شماره نسخه:۱۱۰۶۹/۴</w:t>
      </w:r>
    </w:p>
    <w:p>
      <w:pPr>
        <w:pStyle w:val="BookText"/>
      </w:pPr>
      <w:r>
        <w:rPr>
          <w:rFonts w:ascii="IRNazanin" w:hAnsi="IRNazanin" w:eastAsia="IRNazanin" w:cs="IRNazanin"/>
          <w:lang w:bidi="fa-IR"/>
          <w:color w:val="111111"/>
          <w:sz w:val="28"/>
          <w:szCs w:val="28"/>
          <w:rtl/>
        </w:rPr>
        <w:t xml:space="preserve">آغاز: بسمله. حمدله ... اما بعد این صد پند دلبند سودمند لقمان حکیم است؛ انجام: با صالحان صحبت داشتن پیوسته با وضو بودن خط: نستعلیق، بی کا، تا: قرن ۱۳، ضميمه نسخه ش ۱۱۰۶۹؛ کاغذ: نخودی فرنگی، جلد: میشن [رایانه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مفتاح؛ شماره نسخه: ۱۰۹۰/۲</w:t>
      </w:r>
    </w:p>
    <w:p>
      <w:pPr>
        <w:pStyle w:val="BookText"/>
      </w:pPr>
      <w:r>
        <w:rPr>
          <w:rFonts w:ascii="IRNazanin" w:hAnsi="IRNazanin" w:eastAsia="IRNazanin" w:cs="IRNazanin"/>
          <w:lang w:bidi="fa-IR"/>
          <w:color w:val="111111"/>
          <w:sz w:val="28"/>
          <w:szCs w:val="28"/>
          <w:rtl/>
        </w:rPr>
        <w:t xml:space="preserve">خط: نستعلیق خوش، بی کا، تا: قرن ۱۳؛ قطع: ربعی [نشریه: ۷-۲۶۷]</w:t>
      </w:r>
    </w:p>
    <w:p>
      <w:pPr>
        <w:pStyle w:val="BookText"/>
      </w:pPr>
      <w:r>
        <w:rPr>
          <w:rFonts w:ascii="IRNazanin" w:hAnsi="IRNazanin" w:eastAsia="IRNazanin" w:cs="IRNazanin"/>
          <w:lang w:bidi="fa-IR"/>
          <w:color w:val="111111"/>
          <w:sz w:val="28"/>
          <w:szCs w:val="28"/>
          <w:rtl/>
        </w:rPr>
        <w:t xml:space="preserve">۱۰. تهران؛ نوربخش، شماره نسخه: ۸۶۷/۱۵</w:t>
      </w:r>
    </w:p>
    <w:p>
      <w:pPr>
        <w:pStyle w:val="BookText"/>
      </w:pPr>
      <w:r>
        <w:rPr>
          <w:rFonts w:ascii="IRNazanin" w:hAnsi="IRNazanin" w:eastAsia="IRNazanin" w:cs="IRNazanin"/>
          <w:lang w:bidi="fa-IR"/>
          <w:color w:val="111111"/>
          <w:sz w:val="28"/>
          <w:szCs w:val="28"/>
          <w:rtl/>
        </w:rPr>
        <w:t xml:space="preserve">خط: نستعلیق، بی کا، تا: قرن ۱۳؛ کاغذ: اصفهانی، جلد: مقوای کرم رنگ عطف تیماج قرمز، ۳گ (۷۱ر-۷۳ر)، قطع: جیبی اندازه: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سم (نشریه: ۱۳-۲۴۱]</w:t>
      </w:r>
    </w:p>
    <w:p>
      <w:pPr>
        <w:pStyle w:val="BookText"/>
      </w:pPr>
      <w:r>
        <w:rPr>
          <w:rFonts w:ascii="IRNazanin" w:hAnsi="IRNazanin" w:eastAsia="IRNazanin" w:cs="IRNazanin"/>
          <w:lang w:bidi="fa-IR"/>
          <w:color w:val="111111"/>
          <w:sz w:val="28"/>
          <w:szCs w:val="28"/>
          <w:rtl/>
        </w:rPr>
        <w:t xml:space="preserve">۱۱. تهران؛ مجلس؛ شماره نسخه: ۱۶۱۴۴ ض</w:t>
      </w:r>
    </w:p>
    <w:p>
      <w:pPr>
        <w:pStyle w:val="BookText"/>
      </w:pPr>
      <w:r>
        <w:rPr>
          <w:rFonts w:ascii="IRNazanin" w:hAnsi="IRNazanin" w:eastAsia="IRNazanin" w:cs="IRNazanin"/>
          <w:lang w:bidi="fa-IR"/>
          <w:color w:val="111111"/>
          <w:sz w:val="28"/>
          <w:szCs w:val="28"/>
          <w:rtl/>
        </w:rPr>
        <w:t xml:space="preserve">بی کا، تا: قرن ۱۳ [د.ث. مجلس]</w:t>
      </w:r>
    </w:p>
    <w:p>
      <w:pPr>
        <w:pStyle w:val="BookText"/>
      </w:pPr>
      <w:r>
        <w:rPr>
          <w:rFonts w:ascii="IRNazanin" w:hAnsi="IRNazanin" w:eastAsia="IRNazanin" w:cs="IRNazanin"/>
          <w:lang w:bidi="fa-IR"/>
          <w:color w:val="111111"/>
          <w:sz w:val="28"/>
          <w:szCs w:val="28"/>
          <w:rtl/>
        </w:rPr>
        <w:t xml:space="preserve">۱۲. تهران، ملک، شماره نسخه: ۵۳۹۶/۵</w:t>
      </w:r>
    </w:p>
    <w:p>
      <w:pPr>
        <w:pStyle w:val="BookText"/>
      </w:pPr>
      <w:r>
        <w:rPr>
          <w:rFonts w:ascii="IRNazanin" w:hAnsi="IRNazanin" w:eastAsia="IRNazanin" w:cs="IRNazanin"/>
          <w:lang w:bidi="fa-IR"/>
          <w:color w:val="111111"/>
          <w:sz w:val="28"/>
          <w:szCs w:val="28"/>
          <w:rtl/>
        </w:rPr>
        <w:t xml:space="preserve">آغاز: برابر، انجام: ۹۹ فروتن باش، ۱۰۰ زندگانی کن بخدای عزوجل بصدق. بی کا، تا: قرن ۱۳ کاغذ: فرنگی، جلد: میشن سبز، ۳گ (۸۲پ۔ ۸۴پ)، ۹ سطر، اندازه: ۱۰/۸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۱۷/۸ سم [ف: ۸-۳۲۹]</w:t>
      </w:r>
    </w:p>
    <w:p>
      <w:pPr>
        <w:pStyle w:val="BookText"/>
      </w:pPr>
      <w:r>
        <w:rPr>
          <w:rFonts w:ascii="IRNazanin" w:hAnsi="IRNazanin" w:eastAsia="IRNazanin" w:cs="IRNazanin"/>
          <w:lang w:bidi="fa-IR"/>
          <w:color w:val="111111"/>
          <w:sz w:val="28"/>
          <w:szCs w:val="28"/>
          <w:rtl/>
        </w:rPr>
        <w:t xml:space="preserve">۱۳. تهران: ملی؛ شماره نسخه: ۲۱۶۷/۳</w:t>
      </w:r>
    </w:p>
    <w:p>
      <w:pPr>
        <w:pStyle w:val="BookText"/>
      </w:pPr>
      <w:r>
        <w:rPr>
          <w:rFonts w:ascii="IRNazanin" w:hAnsi="IRNazanin" w:eastAsia="IRNazanin" w:cs="IRNazanin"/>
          <w:lang w:bidi="fa-IR"/>
          <w:color w:val="111111"/>
          <w:sz w:val="28"/>
          <w:szCs w:val="28"/>
          <w:rtl/>
        </w:rPr>
        <w:t xml:space="preserve">آغاز: بسمله، الحمدلله ... این چند پند سودمند دلپسند است؛ انجام: برابر خط: شکسته نستعلیق، بی کا، تا: قرن ۱۳، جان اصفهان؛ کاغذ: فرنگی، جلد: تیماج، ۲ص، ۱۱ سطر (</w:t>
      </w:r>
    </w:p>
    <w:p>
      <w:pPr>
        <w:pStyle w:val="BookText"/>
      </w:pPr>
      <w:r>
        <w:rPr>
          <w:rFonts w:ascii="IRNazanin" w:hAnsi="IRNazanin" w:eastAsia="IRNazanin" w:cs="IRNazanin"/>
          <w:lang w:bidi="fa-IR"/>
          <w:color w:val="111111"/>
          <w:sz w:val="28"/>
          <w:szCs w:val="28"/>
          <w:rtl/>
        </w:rPr>
        <w:t xml:space="preserve">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۵-۲۳۷]</w:t>
      </w:r>
    </w:p>
    <w:p>
      <w:pPr>
        <w:pStyle w:val="BookText"/>
      </w:pPr>
      <w:r>
        <w:rPr>
          <w:rFonts w:ascii="IRNazanin" w:hAnsi="IRNazanin" w:eastAsia="IRNazanin" w:cs="IRNazanin"/>
          <w:lang w:bidi="fa-IR"/>
          <w:color w:val="111111"/>
          <w:sz w:val="28"/>
          <w:szCs w:val="28"/>
          <w:rtl/>
        </w:rPr>
        <w:t xml:space="preserve">۱۴. تهران؛ مجلس؛ شماره نسخه: ۵۰۸/۲ -طباطبائی</w:t>
      </w:r>
    </w:p>
    <w:p>
      <w:pPr>
        <w:pStyle w:val="BookText"/>
      </w:pPr>
      <w:r>
        <w:rPr>
          <w:rFonts w:ascii="IRNazanin" w:hAnsi="IRNazanin" w:eastAsia="IRNazanin" w:cs="IRNazanin"/>
          <w:lang w:bidi="fa-IR"/>
          <w:color w:val="111111"/>
          <w:sz w:val="28"/>
          <w:szCs w:val="28"/>
          <w:rtl/>
        </w:rPr>
        <w:t xml:space="preserve">بی کا، تا: قرن ۱۳، کاغذ: فرنگی سفید، جلد: تیماج قرمز یک لای</w:t>
      </w:r>
    </w:p>
    <w:p>
      <w:pPr>
        <w:pStyle w:val="BookText"/>
      </w:pPr>
      <w:r>
        <w:rPr>
          <w:rFonts w:ascii="IRNazanin" w:hAnsi="IRNazanin" w:eastAsia="IRNazanin" w:cs="IRNazanin"/>
          <w:lang w:bidi="fa-IR"/>
          <w:color w:val="111111"/>
          <w:sz w:val="28"/>
          <w:szCs w:val="28"/>
          <w:rtl/>
        </w:rPr>
        <w:t xml:space="preserve">1گ (۹در-۶۰ر)، قطع: رقعی،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۸سم [ف: ۲۲-۲۰۴]</w:t>
      </w:r>
    </w:p>
    <w:p>
      <w:pPr>
        <w:pStyle w:val="BookText"/>
      </w:pPr>
      <w:r>
        <w:rPr>
          <w:rFonts w:ascii="IRNazanin" w:hAnsi="IRNazanin" w:eastAsia="IRNazanin" w:cs="IRNazanin"/>
          <w:lang w:bidi="fa-IR"/>
          <w:color w:val="111111"/>
          <w:sz w:val="28"/>
          <w:szCs w:val="28"/>
          <w:rtl/>
        </w:rPr>
        <w:t xml:space="preserve">۱۵. قم، گلپایگانی؛ شماره نسخه: ۷۱۴۴/۱ - ۳۶/۱۴۴</w:t>
      </w:r>
    </w:p>
    <w:p>
      <w:pPr>
        <w:pStyle w:val="BookText"/>
      </w:pPr>
      <w:r>
        <w:rPr>
          <w:rFonts w:ascii="IRNazanin" w:hAnsi="IRNazanin" w:eastAsia="IRNazanin" w:cs="IRNazanin"/>
          <w:lang w:bidi="fa-IR"/>
          <w:color w:val="111111"/>
          <w:sz w:val="28"/>
          <w:szCs w:val="28"/>
          <w:rtl/>
        </w:rPr>
        <w:t xml:space="preserve">آغاز: برابر؛ انجام: دل گفت مرا علم لدنی هوس است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بر کوی به من اگر تو را دست رس است / گفتم که الف گفت دگر هیج مگوی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در خانه اگر کس است یک حرف بس است خط: نستعلیق، كا: ابوالحسن حسینی تبریزی، تا: شنبه ۱۵ جمادی الأول ۱۲۱۵ق؛ جلد: تیماج مشکی، ۴ گ، ۱۲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۲-۶۶۶]</w:t>
      </w:r>
    </w:p>
    <w:p>
      <w:pPr>
        <w:pStyle w:val="BookText"/>
      </w:pPr>
      <w:r>
        <w:rPr>
          <w:rFonts w:ascii="IRNazanin" w:hAnsi="IRNazanin" w:eastAsia="IRNazanin" w:cs="IRNazanin"/>
          <w:lang w:bidi="fa-IR"/>
          <w:color w:val="111111"/>
          <w:sz w:val="28"/>
          <w:szCs w:val="28"/>
          <w:rtl/>
        </w:rPr>
        <w:t xml:space="preserve">۱۶. تهران؛ مجلس؛ شماره نسخه: ۴۷۶/۳</w:t>
      </w:r>
    </w:p>
    <w:p>
      <w:pPr>
        <w:pStyle w:val="BookText"/>
      </w:pPr>
      <w:r>
        <w:rPr>
          <w:rFonts w:ascii="IRNazanin" w:hAnsi="IRNazanin" w:eastAsia="IRNazanin" w:cs="IRNazanin"/>
          <w:lang w:bidi="fa-IR"/>
          <w:color w:val="111111"/>
          <w:sz w:val="28"/>
          <w:szCs w:val="28"/>
          <w:rtl/>
        </w:rPr>
        <w:t xml:space="preserve">ط خط: نسخ، بی کا، تا: ۱۲۳۱ق؛ افتادگی: انجام؛ مصحح، مجدول؛ جلد: تیماج قهوه ای یک لا، ۲ص (۱۹۸-۱۹۹)، ۱۷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۲۴/۳ -۱۹]</w:t>
      </w:r>
    </w:p>
    <w:p>
      <w:pPr>
        <w:pStyle w:val="BookText"/>
      </w:pPr>
      <w:r>
        <w:rPr>
          <w:rFonts w:ascii="IRNazanin" w:hAnsi="IRNazanin" w:eastAsia="IRNazanin" w:cs="IRNazanin"/>
          <w:lang w:bidi="fa-IR"/>
          <w:color w:val="111111"/>
          <w:sz w:val="28"/>
          <w:szCs w:val="28"/>
          <w:rtl/>
        </w:rPr>
        <w:t xml:space="preserve">۱۷. مشهد: رضوی؛ شماره نسخه: ۲۹۴۱۲</w:t>
      </w:r>
    </w:p>
    <w:p>
      <w:pPr>
        <w:pStyle w:val="BookText"/>
      </w:pPr>
      <w:r>
        <w:rPr>
          <w:rFonts w:ascii="IRNazanin" w:hAnsi="IRNazanin" w:eastAsia="IRNazanin" w:cs="IRNazanin"/>
          <w:lang w:bidi="fa-IR"/>
          <w:color w:val="111111"/>
          <w:sz w:val="28"/>
          <w:szCs w:val="28"/>
          <w:rtl/>
        </w:rPr>
        <w:t xml:space="preserve">آغاز: بسمله، أما بعد این صد پند دلبند سودمند است که لقمان حکیم پسر خود را وصیت کرده و فرموده؛ انجام: لقمه خود را بردار و نیک بجای و فرو بر و السلام علی من اتبع الهدی. خط: نستعلیق، بی کا، تا: ۱۲۳۷ق؛ ضمیمه نسخه ش ۱۶۰۹۸؛ کاغذ: حنایی، جلد: تیماج ضربی مزین به جدول خط کشی و حواشی زنجیره ای [رایانه ]</w:t>
      </w:r>
    </w:p>
    <w:p>
      <w:pPr>
        <w:pStyle w:val="BookText"/>
      </w:pPr>
      <w:r>
        <w:rPr>
          <w:rFonts w:ascii="IRNazanin" w:hAnsi="IRNazanin" w:eastAsia="IRNazanin" w:cs="IRNazanin"/>
          <w:lang w:bidi="fa-IR"/>
          <w:color w:val="111111"/>
          <w:sz w:val="28"/>
          <w:szCs w:val="28"/>
          <w:rtl/>
        </w:rPr>
        <w:t xml:space="preserve">۱۸. یزد؛ وزیری؛ شماره نسخه: ۱۸۷۲/۳</w:t>
      </w:r>
    </w:p>
    <w:p>
      <w:pPr>
        <w:pStyle w:val="BookText"/>
      </w:pPr>
      <w:r>
        <w:rPr>
          <w:rFonts w:ascii="IRNazanin" w:hAnsi="IRNazanin" w:eastAsia="IRNazanin" w:cs="IRNazanin"/>
          <w:lang w:bidi="fa-IR"/>
          <w:color w:val="111111"/>
          <w:sz w:val="28"/>
          <w:szCs w:val="28"/>
          <w:rtl/>
        </w:rPr>
        <w:t xml:space="preserve">انجام: کسی که علم را بخود می بندد عالم نیست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نسخ، كا: محمد حسین، تا: ربيع الأول ۱۲۵۳ق، کاغذ: اصفهانی، جلد: تیماج مشکی، ۱۱ص (۲۵-۳۵)،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۳-۱۰۸۰]</w:t>
      </w:r>
    </w:p>
    <w:p>
      <w:pPr>
        <w:pStyle w:val="BookText"/>
      </w:pPr>
      <w:r>
        <w:rPr>
          <w:rFonts w:ascii="IRNazanin" w:hAnsi="IRNazanin" w:eastAsia="IRNazanin" w:cs="IRNazanin"/>
          <w:lang w:bidi="fa-IR"/>
          <w:color w:val="111111"/>
          <w:sz w:val="28"/>
          <w:szCs w:val="28"/>
          <w:rtl/>
        </w:rPr>
        <w:t xml:space="preserve">۱۹. قم؛ گلپایگانی؛ شماره نسخه: ۴۸۹۰/۱ - ۲۴/۱۹۰</w:t>
      </w:r>
    </w:p>
    <w:p>
      <w:pPr>
        <w:pStyle w:val="BookText"/>
      </w:pPr>
      <w:r>
        <w:rPr>
          <w:rFonts w:ascii="IRNazanin" w:hAnsi="IRNazanin" w:eastAsia="IRNazanin" w:cs="IRNazanin"/>
          <w:lang w:bidi="fa-IR"/>
          <w:color w:val="111111"/>
          <w:sz w:val="28"/>
          <w:szCs w:val="28"/>
          <w:rtl/>
        </w:rPr>
        <w:t xml:space="preserve">آغاز: بسمله بسند معتبر از حضرت صادق (علیه السلام) منقولست که فرمود بخدا قسم خدا حکمت را بلقمان نداد برای انجام: آنچه نمی دانی از علما بادگیر و آنچه دانستی بمردم یاد ده. قدری از نصایح لقمان تمت</w:t>
      </w:r>
    </w:p>
    <w:p>
      <w:pPr>
        <w:pStyle w:val="BookText"/>
      </w:pPr>
      <w:r>
        <w:rPr>
          <w:rFonts w:ascii="IRNazanin" w:hAnsi="IRNazanin" w:eastAsia="IRNazanin" w:cs="IRNazanin"/>
          <w:lang w:bidi="fa-IR"/>
          <w:color w:val="111111"/>
          <w:sz w:val="28"/>
          <w:szCs w:val="28"/>
          <w:rtl/>
        </w:rPr>
        <w:t xml:space="preserve">خط: تحریری، كا: على نقی موسی آبادی، تا: ۱۲۶۷ق؛ جلد: تیماج مشکی، ۲۳گ، ۱۱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۸-۴۷۹۵]</w:t>
      </w:r>
    </w:p>
    <w:p>
      <w:pPr>
        <w:pStyle w:val="BookText"/>
      </w:pPr>
      <w:r>
        <w:rPr>
          <w:rFonts w:ascii="IRNazanin" w:hAnsi="IRNazanin" w:eastAsia="IRNazanin" w:cs="IRNazanin"/>
          <w:lang w:bidi="fa-IR"/>
          <w:color w:val="111111"/>
          <w:sz w:val="28"/>
          <w:szCs w:val="28"/>
          <w:rtl/>
        </w:rPr>
        <w:t xml:space="preserve">۲۰. تهران؛ ملی؛ شماره نسخه: ۱۲۳۶/۲</w:t>
      </w:r>
    </w:p>
    <w:p>
      <w:pPr>
        <w:pStyle w:val="BookText"/>
      </w:pPr>
      <w:r>
        <w:rPr>
          <w:rFonts w:ascii="IRNazanin" w:hAnsi="IRNazanin" w:eastAsia="IRNazanin" w:cs="IRNazanin"/>
          <w:lang w:bidi="fa-IR"/>
          <w:color w:val="111111"/>
          <w:sz w:val="28"/>
          <w:szCs w:val="28"/>
          <w:rtl/>
        </w:rPr>
        <w:t xml:space="preserve">آغاز: پندیات لقمان، بسمله، الحمد لله رب العالمين و العاقبة للمتقين و الصلوة عليخير خلقه و مظهر حقه و معدن سره محمد و اله و عترته و أصحابه اجمعین ! اما بعد این چند دلپسند است؛ انجام: در خانه اگر کس است یک حرف بس است.</w:t>
      </w:r>
    </w:p>
    <w:p>
      <w:pPr>
        <w:pStyle w:val="BookText"/>
      </w:pPr>
      <w:r>
        <w:rPr>
          <w:rFonts w:ascii="IRNazanin" w:hAnsi="IRNazanin" w:eastAsia="IRNazanin" w:cs="IRNazanin"/>
          <w:lang w:bidi="fa-IR"/>
          <w:color w:val="111111"/>
          <w:sz w:val="28"/>
          <w:szCs w:val="28"/>
          <w:rtl/>
        </w:rPr>
        <w:t xml:space="preserve">حاوی نصایح چندی است از لقمان حکیم به فرزند خود. معروف است که «لقمان حکیم فرزند خود را وصیت کرده فرموده است که هر که این سخنان را یاد گیرد و بدان عمل نماید خردمند و زیرک گردد.»؛ خط: نستعلیق بسیار خوش، كا: حکیم شیرازی بن وصال شیرازی، تا: ۱۲۶۹ق؛ کاغذ: متن دولت آبادی، حاشیه فرنگی آهار مهره، جلد: رنگ و رغن، بوم سیاه، ترنج داخل گل و بوته زر و شنجرف و لاجورد و سبز، ۹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w:t>
      </w:r>
    </w:p>
    <w:p>
      <w:pPr>
        <w:pStyle w:val="BookText"/>
      </w:pPr>
      <w:r>
        <w:rPr>
          <w:rFonts w:ascii="IRNazanin" w:hAnsi="IRNazanin" w:eastAsia="IRNazanin" w:cs="IRNazanin"/>
          <w:lang w:bidi="fa-IR"/>
          <w:color w:val="111111"/>
          <w:sz w:val="28"/>
          <w:szCs w:val="28"/>
          <w:rtl/>
        </w:rPr>
        <w:t xml:space="preserve">[ف: ۳-۲۸۹]</w:t>
      </w:r>
    </w:p>
    <w:p>
      <w:pPr>
        <w:pStyle w:val="BookText"/>
      </w:pPr>
      <w:r>
        <w:rPr>
          <w:rFonts w:ascii="IRNazanin" w:hAnsi="IRNazanin" w:eastAsia="IRNazanin" w:cs="IRNazanin"/>
          <w:lang w:bidi="fa-IR"/>
          <w:color w:val="111111"/>
          <w:sz w:val="28"/>
          <w:szCs w:val="28"/>
          <w:rtl/>
        </w:rPr>
        <w:t xml:space="preserve">۲۱. تهران، ملک، شماره نسخه: ۵۲۶/۳</w:t>
      </w:r>
    </w:p>
    <w:p>
      <w:pPr>
        <w:pStyle w:val="BookText"/>
      </w:pPr>
      <w:r>
        <w:rPr>
          <w:rFonts w:ascii="IRNazanin" w:hAnsi="IRNazanin" w:eastAsia="IRNazanin" w:cs="IRNazanin"/>
          <w:lang w:bidi="fa-IR"/>
          <w:color w:val="111111"/>
          <w:sz w:val="28"/>
          <w:szCs w:val="28"/>
          <w:rtl/>
        </w:rPr>
        <w:t xml:space="preserve">آغاز: بسمله. حمدله. اما بعد بدانکه این صد پندی است که لقمان حکیم با پسر خود کرده است و فرموده است؛ انجام: طعام گرم بنفس سرد مکن، دست در کاسه میفشان.</w:t>
      </w:r>
    </w:p>
    <w:p>
      <w:pPr>
        <w:pStyle w:val="BookText"/>
      </w:pPr>
      <w:r>
        <w:rPr>
          <w:rFonts w:ascii="IRNazanin" w:hAnsi="IRNazanin" w:eastAsia="IRNazanin" w:cs="IRNazanin"/>
          <w:lang w:bidi="fa-IR"/>
          <w:color w:val="111111"/>
          <w:sz w:val="28"/>
          <w:szCs w:val="28"/>
          <w:rtl/>
        </w:rPr>
        <w:t xml:space="preserve">خط: نستعلیق، کا: سید حسن حسینی متخلص به ثریا، تا: ۱۲۷۱ق؛ کاغذ آهار مهره فرنگی، جلد: میشن قهوه ای، ۷ص (۴۳-۴۹)، ۱۵ سطر، اندازه: ۱۷/۳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۱۱/۱ سم [ف: ۵-۵۹]</w:t>
      </w:r>
    </w:p>
    <w:p>
      <w:pPr>
        <w:pStyle w:val="BookText"/>
      </w:pPr>
      <w:r>
        <w:rPr>
          <w:rFonts w:ascii="IRNazanin" w:hAnsi="IRNazanin" w:eastAsia="IRNazanin" w:cs="IRNazanin"/>
          <w:lang w:bidi="fa-IR"/>
          <w:color w:val="111111"/>
          <w:sz w:val="28"/>
          <w:szCs w:val="28"/>
          <w:rtl/>
        </w:rPr>
        <w:t xml:space="preserve">تهران؛ دائرة المعارف؛ شماره نسخه: ۲۶/۳ -عکسی</w:t>
      </w:r>
    </w:p>
    <w:p>
      <w:pPr>
        <w:pStyle w:val="BookText"/>
      </w:pPr>
      <w:r>
        <w:rPr>
          <w:rFonts w:ascii="IRNazanin" w:hAnsi="IRNazanin" w:eastAsia="IRNazanin" w:cs="IRNazanin"/>
          <w:lang w:bidi="fa-IR"/>
          <w:color w:val="111111"/>
          <w:sz w:val="28"/>
          <w:szCs w:val="28"/>
          <w:rtl/>
        </w:rPr>
        <w:t xml:space="preserve">نسخه اصل: همان نسخه بالا [عکسی ف: ۲-۱۸۳]</w:t>
      </w:r>
    </w:p>
    <w:p>
      <w:pPr>
        <w:pStyle w:val="BookText"/>
      </w:pPr>
      <w:r>
        <w:rPr>
          <w:rFonts w:ascii="IRNazanin" w:hAnsi="IRNazanin" w:eastAsia="IRNazanin" w:cs="IRNazanin"/>
          <w:lang w:bidi="fa-IR"/>
          <w:color w:val="111111"/>
          <w:sz w:val="28"/>
          <w:szCs w:val="28"/>
          <w:rtl/>
        </w:rPr>
        <w:t xml:space="preserve">۲۲. تهران، دانشگاه؛ شماره نسخه: ۱۹۷۰/۲</w:t>
      </w:r>
    </w:p>
    <w:p>
      <w:pPr>
        <w:pStyle w:val="BookText"/>
      </w:pPr>
      <w:r>
        <w:rPr>
          <w:rFonts w:ascii="IRNazanin" w:hAnsi="IRNazanin" w:eastAsia="IRNazanin" w:cs="IRNazanin"/>
          <w:lang w:bidi="fa-IR"/>
          <w:color w:val="111111"/>
          <w:sz w:val="28"/>
          <w:szCs w:val="28"/>
          <w:rtl/>
        </w:rPr>
        <w:t xml:space="preserve">آغاز: صد پند لقمان. بسمله. حمدله. این صد پند سودمند که حضرت لقمان پسر خود را ... وصیت کرده قبلة الكتاب ملامیر على ... صورت کتابت آن باین ترتیب بجهت یادگار نوشته. ای پسر خدای ... را بشناس.؛ انجام: و نجات بخشنده هر بنده (كتبه ... هدایت الله شیرازی في شهر رجب ۱۲۸۵).</w:t>
      </w:r>
    </w:p>
    <w:p>
      <w:pPr>
        <w:pStyle w:val="BookText"/>
      </w:pPr>
      <w:r>
        <w:rPr>
          <w:rFonts w:ascii="IRNazanin" w:hAnsi="IRNazanin" w:eastAsia="IRNazanin" w:cs="IRNazanin"/>
          <w:lang w:bidi="fa-IR"/>
          <w:color w:val="111111"/>
          <w:sz w:val="28"/>
          <w:szCs w:val="28"/>
          <w:rtl/>
        </w:rPr>
        <w:t xml:space="preserve">خط: نستعلیق، کا: هدایت الله شیرازی، تا: رجب ۱۲۸۵ق؛ کاغذ: سپاهانی، جلد: تیماج حنایی مقوایی، ۴ گ (۱۴۰پ -۱۴۳پ)، ۹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۸-۵۸۳]</w:t>
      </w:r>
    </w:p>
    <w:p>
      <w:pPr>
        <w:pStyle w:val="BookText"/>
      </w:pPr>
      <w:r>
        <w:rPr>
          <w:rFonts w:ascii="IRNazanin" w:hAnsi="IRNazanin" w:eastAsia="IRNazanin" w:cs="IRNazanin"/>
          <w:lang w:bidi="fa-IR"/>
          <w:color w:val="111111"/>
          <w:sz w:val="28"/>
          <w:szCs w:val="28"/>
          <w:rtl/>
        </w:rPr>
        <w:t xml:space="preserve">۲۳. قم؛ معصومیه؛ شماره نسخه: ۴۷۸/۳</w:t>
      </w:r>
    </w:p>
    <w:p>
      <w:pPr>
        <w:pStyle w:val="BookText"/>
      </w:pPr>
      <w:r>
        <w:rPr>
          <w:rFonts w:ascii="IRNazanin" w:hAnsi="IRNazanin" w:eastAsia="IRNazanin" w:cs="IRNazanin"/>
          <w:lang w:bidi="fa-IR"/>
          <w:color w:val="111111"/>
          <w:sz w:val="28"/>
          <w:szCs w:val="28"/>
          <w:rtl/>
        </w:rPr>
        <w:t xml:space="preserve">آغاز: الحمد لله رب العالمين ... اما بعد این پند دلپسند لقمان حکیم است که مر پسر خود وصیت فرموده؛ انجام: بدانکه میان فرق آدمیان و بهایم بدین ادب است، سخن بسیار است ليكن در خانه اگر کسی است یک حرف بس است.</w:t>
      </w:r>
    </w:p>
    <w:p>
      <w:pPr>
        <w:pStyle w:val="BookText"/>
      </w:pPr>
      <w:r>
        <w:rPr>
          <w:rFonts w:ascii="IRNazanin" w:hAnsi="IRNazanin" w:eastAsia="IRNazanin" w:cs="IRNazanin"/>
          <w:lang w:bidi="fa-IR"/>
          <w:color w:val="111111"/>
          <w:sz w:val="28"/>
          <w:szCs w:val="28"/>
          <w:rtl/>
        </w:rPr>
        <w:t xml:space="preserve">خط: نستعلیق، کا: اسد الله تنکابنی، تا: ۲۷ صفر ۱۲۸۶ق؛ جلد: تیماج قهوه ای، ضربی، لاگ (۶۶-۷۲پ)، ۱۱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۲-۸۶]</w:t>
      </w:r>
    </w:p>
    <w:p>
      <w:pPr>
        <w:pStyle w:val="BookText"/>
      </w:pPr>
      <w:r>
        <w:rPr>
          <w:rFonts w:ascii="IRNazanin" w:hAnsi="IRNazanin" w:eastAsia="IRNazanin" w:cs="IRNazanin"/>
          <w:lang w:bidi="fa-IR"/>
          <w:color w:val="111111"/>
          <w:sz w:val="28"/>
          <w:szCs w:val="28"/>
          <w:rtl/>
        </w:rPr>
        <w:t xml:space="preserve">۲۴. تهران؛ مجلس؛ شماره نسخه: ۸۸۹۹/۵</w:t>
      </w:r>
    </w:p>
    <w:p>
      <w:pPr>
        <w:pStyle w:val="BookText"/>
      </w:pPr>
      <w:r>
        <w:rPr>
          <w:rFonts w:ascii="IRNazanin" w:hAnsi="IRNazanin" w:eastAsia="IRNazanin" w:cs="IRNazanin"/>
          <w:lang w:bidi="fa-IR"/>
          <w:color w:val="111111"/>
          <w:sz w:val="28"/>
          <w:szCs w:val="28"/>
          <w:rtl/>
        </w:rPr>
        <w:t xml:space="preserve">آغاز: در اخبار آمده است که لقمان حکیم مر پسر خود را وصیت کرده است بدین کلمات که هر که این کلمات را یاد گیرد؛</w:t>
      </w:r>
    </w:p>
    <w:p>
      <w:pPr>
        <w:pStyle w:val="BookText"/>
      </w:pPr>
      <w:r>
        <w:rPr>
          <w:rFonts w:ascii="IRNazanin" w:hAnsi="IRNazanin" w:eastAsia="IRNazanin" w:cs="IRNazanin"/>
          <w:lang w:bidi="fa-IR"/>
          <w:color w:val="111111"/>
          <w:sz w:val="28"/>
          <w:szCs w:val="28"/>
          <w:rtl/>
        </w:rPr>
        <w:t xml:space="preserve">انجام: برابر</w:t>
      </w:r>
    </w:p>
    <w:p>
      <w:pPr>
        <w:pStyle w:val="BookText"/>
      </w:pPr>
      <w:r>
        <w:rPr>
          <w:rFonts w:ascii="IRNazanin" w:hAnsi="IRNazanin" w:eastAsia="IRNazanin" w:cs="IRNazanin"/>
          <w:lang w:bidi="fa-IR"/>
          <w:color w:val="111111"/>
          <w:sz w:val="28"/>
          <w:szCs w:val="28"/>
          <w:rtl/>
        </w:rPr>
        <w:t xml:space="preserve">خط: نستعلیق، كا: سيف الدين بن شمس الدين، تا: ۲۱ شعبان ۱۲۹۱ق، کاغذ: فرنگی آهار مهره، جلد: تیماج قهوه ای مجدول ۴گی (۷۹ر -۸۲ر)، ۱۲ سطر (</w:t>
      </w:r>
    </w:p>
    <w:p>
      <w:pPr>
        <w:pStyle w:val="BookText"/>
      </w:pPr>
      <w:r>
        <w:rPr>
          <w:rFonts w:ascii="IRNazanin" w:hAnsi="IRNazanin" w:eastAsia="IRNazanin" w:cs="IRNazanin"/>
          <w:lang w:bidi="fa-IR"/>
          <w:color w:val="111111"/>
          <w:sz w:val="28"/>
          <w:szCs w:val="28"/>
          <w:rtl/>
        </w:rPr>
        <w:t xml:space="preserve">۱۴/۴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۹/۶ )، اندازه: ۱۹/۳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۱۲/۹ سم [ف: ۲۹/۱-۲۶۵]</w:t>
      </w:r>
    </w:p>
    <w:p>
      <w:pPr>
        <w:pStyle w:val="BookText"/>
      </w:pPr>
      <w:r>
        <w:rPr>
          <w:rFonts w:ascii="Amiri" w:hAnsi="Amiri" w:eastAsia="Amiri" w:cs="Amiri"/>
          <w:lang w:bidi="ar-SA"/>
          <w:color w:val="111111"/>
          <w:sz w:val="28"/>
          <w:szCs w:val="28"/>
          <w:rtl/>
        </w:rPr>
        <w:t xml:space="preserve">۲۵. تهران؛ مجلس؛ شماره نسخه: ۲۹۸/۵ - فيروز</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شکسته نستعلیق، کا: محمد ابراهيم بن زین العابدین اصفهانی، تا: ۱۲۹۴ق؛ کاغذ: فرنگی خط دار، جلد: مخمل بنفش با ترنج، ۴ص (۲۸۹-۲۹۲)، ۱۲ سطر، قطع: خشتی،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۲۱-۲۸۵]</w:t>
      </w:r>
    </w:p>
    <w:p>
      <w:pPr>
        <w:pStyle w:val="BookText"/>
      </w:pPr>
      <w:r>
        <w:rPr>
          <w:rFonts w:ascii="IRNazanin" w:hAnsi="IRNazanin" w:eastAsia="IRNazanin" w:cs="IRNazanin"/>
          <w:lang w:bidi="fa-IR"/>
          <w:color w:val="111111"/>
          <w:sz w:val="28"/>
          <w:szCs w:val="28"/>
          <w:rtl/>
        </w:rPr>
        <w:t xml:space="preserve">۲۶. تهران؛ مجلس؛ شماره نسخه: ۱۵۶۱۴/۸</w:t>
      </w:r>
    </w:p>
    <w:p>
      <w:pPr>
        <w:pStyle w:val="BookText"/>
      </w:pPr>
      <w:r>
        <w:rPr>
          <w:rFonts w:ascii="IRNazanin" w:hAnsi="IRNazanin" w:eastAsia="IRNazanin" w:cs="IRNazanin"/>
          <w:lang w:bidi="fa-IR"/>
          <w:color w:val="111111"/>
          <w:sz w:val="28"/>
          <w:szCs w:val="28"/>
          <w:rtl/>
        </w:rPr>
        <w:t xml:space="preserve">آغاز: برابر؛ انجام: سعادت دنیا و آخرت در صحبت دانا شناس از نادان دامن درکش</w:t>
      </w:r>
    </w:p>
    <w:p>
      <w:pPr>
        <w:pStyle w:val="BookText"/>
      </w:pPr>
      <w:r>
        <w:rPr>
          <w:rFonts w:ascii="IRNazanin" w:hAnsi="IRNazanin" w:eastAsia="IRNazanin" w:cs="IRNazanin"/>
          <w:lang w:bidi="fa-IR"/>
          <w:color w:val="111111"/>
          <w:sz w:val="28"/>
          <w:szCs w:val="28"/>
          <w:rtl/>
        </w:rPr>
        <w:t xml:space="preserve">خط: نسخ و نستعلیق، بی کا، تا: ۱۲۹۵؛ کاغذ: الوان، جلد: تیماج ضربی ساده پسته ای، ۷ص (۲۱۹-۲۲۵)، اندازه: ۱۱/۴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۱۸/۲ سم [ف: ۴۳-۱۹۲]</w:t>
      </w:r>
    </w:p>
    <w:p>
      <w:pPr>
        <w:pStyle w:val="BookText"/>
      </w:pPr>
      <w:r>
        <w:rPr>
          <w:rFonts w:ascii="IRNazanin" w:hAnsi="IRNazanin" w:eastAsia="IRNazanin" w:cs="IRNazanin"/>
          <w:lang w:bidi="fa-IR"/>
          <w:color w:val="111111"/>
          <w:sz w:val="28"/>
          <w:szCs w:val="28"/>
          <w:rtl/>
        </w:rPr>
        <w:t xml:space="preserve">۲۷. تهران؛ نوربخش، شماره نسخه: ۷۰۷/۲</w:t>
      </w:r>
    </w:p>
    <w:p>
      <w:pPr>
        <w:pStyle w:val="BookText"/>
      </w:pPr>
      <w:r>
        <w:rPr>
          <w:rFonts w:ascii="IRNazanin" w:hAnsi="IRNazanin" w:eastAsia="IRNazanin" w:cs="IRNazanin"/>
          <w:lang w:bidi="fa-IR"/>
          <w:color w:val="111111"/>
          <w:sz w:val="28"/>
          <w:szCs w:val="28"/>
          <w:rtl/>
        </w:rPr>
        <w:t xml:space="preserve">آغاز: بسمله، الحمدلله رب العالمين ... اما بعد این است صد پند دلبند سودمند که حضرت لقمان حکیم فرزند خود را وصیت؛ انجام: طعام بسیار مخور که دل سیاه کند و از عبادت باز دارد تمت ... حرره ... رضاقلی ادیب شیرازی</w:t>
      </w:r>
    </w:p>
    <w:p>
      <w:pPr>
        <w:pStyle w:val="BookText"/>
      </w:pPr>
      <w:r>
        <w:rPr>
          <w:rFonts w:ascii="IRNazanin" w:hAnsi="IRNazanin" w:eastAsia="IRNazanin" w:cs="IRNazanin"/>
          <w:lang w:bidi="fa-IR"/>
          <w:color w:val="111111"/>
          <w:sz w:val="28"/>
          <w:szCs w:val="28"/>
          <w:rtl/>
        </w:rPr>
        <w:t xml:space="preserve">خط: نستعلیق، كا: رضاقلی ادیب شیرازی، تا: ۱۲۹۶ق؛ کاغذ: فرنگی، جلد: مقوا با روکش قرمز مجدول با کاغذ طلایی عطف پارچه سبز، ۸گ (۷-۱۴)، ۶ سطر، قطع: رقعی، اندازه:</w:t>
      </w:r>
    </w:p>
    <w:p>
      <w:pPr>
        <w:pStyle w:val="BookText"/>
      </w:pPr>
      <w:r>
        <w:rPr>
          <w:rFonts w:ascii="IRNazanin" w:hAnsi="IRNazanin" w:eastAsia="IRNazanin" w:cs="IRNazanin"/>
          <w:lang w:bidi="fa-IR"/>
          <w:color w:val="111111"/>
          <w:sz w:val="28"/>
          <w:szCs w:val="28"/>
          <w:rtl/>
        </w:rPr>
        <w:t xml:space="preserve">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(نشریه: ۱۳-۸۱]</w:t>
      </w:r>
    </w:p>
    <w:p>
      <w:pPr>
        <w:pStyle w:val="BookText"/>
      </w:pPr>
      <w:r>
        <w:rPr>
          <w:rFonts w:ascii="IRNazanin" w:hAnsi="IRNazanin" w:eastAsia="IRNazanin" w:cs="IRNazanin"/>
          <w:lang w:bidi="fa-IR"/>
          <w:color w:val="111111"/>
          <w:sz w:val="28"/>
          <w:szCs w:val="28"/>
          <w:rtl/>
        </w:rPr>
        <w:t xml:space="preserve">۲۸. قم: مرکز احیاء؛ شماره نسخه: ۳۳۴</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خوش، كا: محسن، تا: یکشنبه ۲۵ شعبان ۱۳۰۰ق؛ مجدول، مذهب، دارای سرلوح؛ جلد: تیماج قهوه ای، ۴، ۸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۱-۴۳۷]</w:t>
      </w:r>
    </w:p>
    <w:p>
      <w:pPr>
        <w:pStyle w:val="BookText"/>
      </w:pPr>
      <w:r>
        <w:rPr>
          <w:rFonts w:ascii="IRNazanin" w:hAnsi="IRNazanin" w:eastAsia="IRNazanin" w:cs="IRNazanin"/>
          <w:lang w:bidi="fa-IR"/>
          <w:color w:val="111111"/>
          <w:sz w:val="28"/>
          <w:szCs w:val="28"/>
          <w:rtl/>
        </w:rPr>
        <w:t xml:space="preserve">۲۷. تهران؛ مهدوی؛ شماره نسخه: ۵۴۱/۱ خط: نستعلیق خوش، كا: عبدالعلی کرمانی، تا: شوال ۱۳۰۱ ق</w:t>
      </w:r>
    </w:p>
    <w:p>
      <w:pPr>
        <w:pStyle w:val="BookText"/>
      </w:pPr>
      <w:r>
        <w:rPr>
          <w:rFonts w:ascii="IRNazanin" w:hAnsi="IRNazanin" w:eastAsia="IRNazanin" w:cs="IRNazanin"/>
          <w:lang w:bidi="fa-IR"/>
          <w:color w:val="111111"/>
          <w:sz w:val="28"/>
          <w:szCs w:val="28"/>
          <w:rtl/>
        </w:rPr>
        <w:t xml:space="preserve">[نشریه: ۲-۱۲۱]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13" w:name="pg20363_209579"/>
    <w:bookmarkEnd w:id="313"/>
    <w:p>
      <w:pPr>
        <w:pStyle w:val="BookText"/>
      </w:pPr>
      <w:r>
        <w:rPr>
          <w:rFonts w:ascii="IRNazanin" w:hAnsi="IRNazanin" w:eastAsia="IRNazanin" w:cs="IRNazanin"/>
          <w:lang w:bidi="fa-IR"/>
          <w:color w:val="111111"/>
          <w:sz w:val="28"/>
          <w:szCs w:val="28"/>
          <w:rtl/>
        </w:rPr>
        <w:t xml:space="preserve">۲۹. تهران؛ مجلس؛ شماره نسخه: ۵۷/۱۷ -فیروز</w:t>
      </w:r>
    </w:p>
    <w:p>
      <w:pPr>
        <w:pStyle w:val="BookText"/>
      </w:pPr>
      <w:r>
        <w:rPr>
          <w:rFonts w:ascii="IRNazanin" w:hAnsi="IRNazanin" w:eastAsia="IRNazanin" w:cs="IRNazanin"/>
          <w:lang w:bidi="fa-IR"/>
          <w:color w:val="111111"/>
          <w:sz w:val="28"/>
          <w:szCs w:val="28"/>
          <w:rtl/>
        </w:rPr>
        <w:t xml:space="preserve">کا: میر سید علی تفرشی لشکر نويس ملقب به موثق لشکر، تا: قرن ۱۴؛ کاغذ: فرنگی، جلد: تیماج قرمز، ۲ص (۱۳۸-۱۳۹۰)، قطع: نیم خشتی، اندازه: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۲۰/۵ سم [ف: ۲۱-۲۰۶]</w:t>
      </w:r>
    </w:p>
    <w:p>
      <w:pPr>
        <w:pStyle w:val="BookText"/>
      </w:pPr>
      <w:r>
        <w:rPr>
          <w:rFonts w:ascii="IRNazanin" w:hAnsi="IRNazanin" w:eastAsia="IRNazanin" w:cs="IRNazanin"/>
          <w:lang w:bidi="fa-IR"/>
          <w:color w:val="111111"/>
          <w:sz w:val="28"/>
          <w:szCs w:val="28"/>
          <w:rtl/>
        </w:rPr>
        <w:t xml:space="preserve">۳۰. تهران؛ عبدالعظیم؛ شماره نسخه: ۶۱۰/۳</w:t>
      </w:r>
    </w:p>
    <w:p>
      <w:pPr>
        <w:pStyle w:val="BookText"/>
      </w:pPr>
      <w:r>
        <w:rPr>
          <w:rFonts w:ascii="IRNazanin" w:hAnsi="IRNazanin" w:eastAsia="IRNazanin" w:cs="IRNazanin"/>
          <w:lang w:bidi="fa-IR"/>
          <w:color w:val="111111"/>
          <w:sz w:val="28"/>
          <w:szCs w:val="28"/>
          <w:rtl/>
        </w:rPr>
        <w:t xml:space="preserve">آغاز: در اخبار آمده است که لقمان حکیم مر پسر خود را وصیت کرده بدین کلمات که هر که این کلمات را یاد گیرد و بدین کار کند خردمند و زیرک گردد، ای پسر خدای عزوجل را بشناس؛ انجام: برابر خط: نستعلیق، بی کا، تا: قرن ۱۴؛ پس از رساله قطعه ای از «نصایح الملوک» درج شده؛ مگ (۱۹پ - ۲۲ر)، ۱۱سطر،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۲-۶۴۷]</w:t>
      </w:r>
    </w:p>
    <w:p>
      <w:pPr>
        <w:pStyle w:val="BookText"/>
      </w:pPr>
      <w:r>
        <w:rPr>
          <w:rFonts w:ascii="IRNazanin" w:hAnsi="IRNazanin" w:eastAsia="IRNazanin" w:cs="IRNazanin"/>
          <w:lang w:bidi="fa-IR"/>
          <w:color w:val="111111"/>
          <w:sz w:val="28"/>
          <w:szCs w:val="28"/>
          <w:rtl/>
        </w:rPr>
        <w:t xml:space="preserve">۳۱. قم؛ مرعشی؛ شماره نسخه: ۱۳۸۴۸/۲</w:t>
      </w:r>
    </w:p>
    <w:p>
      <w:pPr>
        <w:pStyle w:val="BookText"/>
      </w:pPr>
      <w:r>
        <w:rPr>
          <w:rFonts w:ascii="IRNazanin" w:hAnsi="IRNazanin" w:eastAsia="IRNazanin" w:cs="IRNazanin"/>
          <w:lang w:bidi="fa-IR"/>
          <w:color w:val="111111"/>
          <w:sz w:val="28"/>
          <w:szCs w:val="28"/>
          <w:rtl/>
        </w:rPr>
        <w:t xml:space="preserve">آغاز: الحمد لله رب العالمین و صلی الله على محمد و آله اجمعين این صد پند سودمند که حضرت لقمان پسر خود را بارتكاب آن وصیت کرده؛ انجام: و اوست رستگاری دهنده و نجات بخشنده</w:t>
      </w:r>
    </w:p>
    <w:p>
      <w:pPr>
        <w:pStyle w:val="BookText"/>
      </w:pPr>
      <w:r>
        <w:rPr>
          <w:rFonts w:ascii="IRNazanin" w:hAnsi="IRNazanin" w:eastAsia="IRNazanin" w:cs="IRNazanin"/>
          <w:lang w:bidi="fa-IR"/>
          <w:color w:val="111111"/>
          <w:sz w:val="28"/>
          <w:szCs w:val="28"/>
          <w:rtl/>
        </w:rPr>
        <w:t xml:space="preserve">هر بنده. خط: نستعلیق زیبا، كا: محمد تقی بن محمد حسن شیرازی، تا: ۲۴ ذیقعده ۱۳۰۷ق؛ کاغذ: فرنگی، نوع جلد: تیماج زرشکی مجدول ضربی، اص (۸۱ر ۸۲ پ)، ۱۲ سطر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اندازه: ۱۸۶۱۱/۵ سم [ف: ۳۵-۱۹۵]</w:t>
      </w:r>
    </w:p>
    <w:p>
      <w:pPr>
        <w:pStyle w:val="BookText"/>
      </w:pPr>
      <w:r>
        <w:rPr>
          <w:rFonts w:ascii="IRNazanin" w:hAnsi="IRNazanin" w:eastAsia="IRNazanin" w:cs="IRNazanin"/>
          <w:lang w:bidi="fa-IR"/>
          <w:color w:val="111111"/>
          <w:sz w:val="28"/>
          <w:szCs w:val="28"/>
          <w:rtl/>
        </w:rPr>
        <w:t xml:space="preserve">۳۲. تهران؛ مجلس؛ شماره نسخه: ۸۹۹۵/۶</w:t>
      </w:r>
    </w:p>
    <w:p>
      <w:pPr>
        <w:pStyle w:val="BookText"/>
      </w:pPr>
      <w:r>
        <w:rPr>
          <w:rFonts w:ascii="IRNazanin" w:hAnsi="IRNazanin" w:eastAsia="IRNazanin" w:cs="IRNazanin"/>
          <w:lang w:bidi="fa-IR"/>
          <w:color w:val="111111"/>
          <w:sz w:val="28"/>
          <w:szCs w:val="28"/>
          <w:rtl/>
        </w:rPr>
        <w:t xml:space="preserve">آغاز: الحمدلله رب العالمين و العاقبة للمتقين و الصلوة و السلام على خبر خلقه محمد و آله اجمعین. اما بعد این چند کلمه ای است به غایت مفید و سودمند که لقمان حکیم پر خود را وصیت فرموده است در باب پند و نصیحت ...</w:t>
      </w:r>
    </w:p>
    <w:p>
      <w:pPr>
        <w:pStyle w:val="BookText"/>
      </w:pPr>
      <w:r>
        <w:rPr>
          <w:rFonts w:ascii="IRNazanin" w:hAnsi="IRNazanin" w:eastAsia="IRNazanin" w:cs="IRNazanin"/>
          <w:lang w:bidi="fa-IR"/>
          <w:color w:val="111111"/>
          <w:sz w:val="28"/>
          <w:szCs w:val="28"/>
          <w:rtl/>
        </w:rPr>
        <w:t xml:space="preserve">اول آن که ای پسر خدای عز وجل را بشناس؛ انجام: برابر شامل صد نصیحت؛ خط: نستعلیق خوب، کا: محمد بن حاجی محمد قلی قزوینی اشوری، تا: با تاریخ ۱۳۱۱ق؛ کاغذ: فرنگی نازک حنایی و نخودی آهار مهره، جلد: گالینگور مشکی، عطف چرم با نقوش زرین طلاکوب. آستر بدرقه کاغذ ابر و باد مرمری. قطر: ۴/۴، ۴ص (۷۳۰ - ۷۳۳)، ۱۸ سطر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۲۳/۵ )، اندازه: ۳۲/۳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۲۰/۲۳ سم [ف: ۲۹/۱ -۵۸۰]</w:t>
      </w:r>
    </w:p>
    <w:p>
      <w:pPr>
        <w:pStyle w:val="BookText"/>
      </w:pPr>
      <w:r>
        <w:rPr>
          <w:rFonts w:ascii="IRNazanin" w:hAnsi="IRNazanin" w:eastAsia="IRNazanin" w:cs="IRNazanin"/>
          <w:lang w:bidi="fa-IR"/>
          <w:color w:val="111111"/>
          <w:sz w:val="28"/>
          <w:szCs w:val="28"/>
          <w:rtl/>
        </w:rPr>
        <w:t xml:space="preserve">۳۳. کاشان؛ عاطفی، حسن؛ شماره نسخه: بدون شماره/۷</w:t>
      </w:r>
    </w:p>
    <w:p>
      <w:pPr>
        <w:pStyle w:val="BookText"/>
      </w:pPr>
      <w:r>
        <w:rPr>
          <w:rFonts w:ascii="IRNazanin" w:hAnsi="IRNazanin" w:eastAsia="IRNazanin" w:cs="IRNazanin"/>
          <w:lang w:bidi="fa-IR"/>
          <w:color w:val="111111"/>
          <w:sz w:val="28"/>
          <w:szCs w:val="28"/>
          <w:rtl/>
        </w:rPr>
        <w:t xml:space="preserve">خط: نستعلیق خوش، كا: حسین بن ابي تراب حسینی، بی تا؛ ۱۶ص [نشریه: ۷-۷۵۴]</w:t>
      </w:r>
    </w:p>
    <w:p>
      <w:pPr>
        <w:pStyle w:val="BookText"/>
      </w:pPr>
      <w:r>
        <w:rPr>
          <w:rFonts w:ascii="IRNazanin" w:hAnsi="IRNazanin" w:eastAsia="IRNazanin" w:cs="IRNazanin"/>
          <w:lang w:bidi="fa-IR"/>
          <w:color w:val="111111"/>
          <w:sz w:val="28"/>
          <w:szCs w:val="28"/>
          <w:rtl/>
        </w:rPr>
        <w:t xml:space="preserve">۳۴. قم؛ مسجد اعظم؛ شماره نسخه: ۳۸۸۹/۱</w:t>
      </w:r>
    </w:p>
    <w:p>
      <w:pPr>
        <w:pStyle w:val="BookText"/>
      </w:pPr>
      <w:r>
        <w:rPr>
          <w:rFonts w:ascii="IRNazanin" w:hAnsi="IRNazanin" w:eastAsia="IRNazanin" w:cs="IRNazanin"/>
          <w:lang w:bidi="fa-IR"/>
          <w:color w:val="111111"/>
          <w:sz w:val="28"/>
          <w:szCs w:val="28"/>
          <w:rtl/>
        </w:rPr>
        <w:t xml:space="preserve">آغاز: الحمدلله رب العالمين والسلام على سيد الأنبياء و المرسلين محمد و آله اجمعين اما بعد در اخبار آمده است که لقمان حکیم پسر خود را وصیت می کرد به این کلمات؛ انجام: طعام تنها مخور که بدترین خلق باشی آب بسیار در میان طعام مخور سخن بسیار است در خانه کس است یک حرف بس است خط: نستعلیق، بی کا، تا: رمضان، جلد: مقوا، آپ -۸۰ر، ۸گ، ۷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مخ: ۵-۲۲۷۸]</w:t>
      </w:r>
    </w:p>
    <w:p>
      <w:pPr>
        <w:pStyle w:val="BookText"/>
      </w:pPr>
      <w:r>
        <w:rPr>
          <w:rFonts w:ascii="IRNazanin" w:hAnsi="IRNazanin" w:eastAsia="IRNazanin" w:cs="IRNazanin"/>
          <w:lang w:bidi="fa-IR"/>
          <w:color w:val="111111"/>
          <w:sz w:val="28"/>
          <w:szCs w:val="28"/>
          <w:rtl/>
        </w:rPr>
        <w:t xml:space="preserve">۳۵. تهران، ملک، شماره نسخه: ۵۰۸۳/۲</w:t>
      </w:r>
    </w:p>
    <w:p>
      <w:pPr>
        <w:pStyle w:val="BookText"/>
      </w:pPr>
      <w:r>
        <w:rPr>
          <w:rFonts w:ascii="IRNazanin" w:hAnsi="IRNazanin" w:eastAsia="IRNazanin" w:cs="IRNazanin"/>
          <w:lang w:bidi="fa-IR"/>
          <w:color w:val="111111"/>
          <w:sz w:val="28"/>
          <w:szCs w:val="28"/>
          <w:rtl/>
        </w:rPr>
        <w:t xml:space="preserve">آغاز: بسمله. حمدله. و الصلاة و السلام على خير خلقه محمد و آله اجمعين ... این صد پند سودمندیست که لقمان حکیم پسر خود را وصیت فرموده؛ انجام: برابر خط: نستعلیق خوش، بی کا، بی تا؛ جلد: میشن قهوه ای روشن ضربی، ۵گ (۱۶ر-۲۰پ)، ۱۴ سطر، اندازه:</w:t>
      </w:r>
    </w:p>
    <w:p>
      <w:pPr>
        <w:pStyle w:val="BookText"/>
      </w:pPr>
      <w:r>
        <w:rPr>
          <w:rFonts w:ascii="IRNazanin" w:hAnsi="IRNazanin" w:eastAsia="IRNazanin" w:cs="IRNazanin"/>
          <w:lang w:bidi="fa-IR"/>
          <w:color w:val="111111"/>
          <w:sz w:val="28"/>
          <w:szCs w:val="28"/>
          <w:rtl/>
        </w:rPr>
        <w:t xml:space="preserve">۲۸/۳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۱۸/۲ سم [ف: ۱۸۹-۸]</w:t>
      </w:r>
    </w:p>
    <w:p>
      <w:pPr>
        <w:pStyle w:val="BookText"/>
      </w:pPr>
      <w:r>
        <w:rPr>
          <w:rFonts w:ascii="Amiri" w:hAnsi="Amiri" w:eastAsia="Amiri" w:cs="Amiri"/>
          <w:lang w:bidi="ar-SA"/>
          <w:color w:val="111111"/>
          <w:sz w:val="28"/>
          <w:szCs w:val="28"/>
          <w:rtl/>
        </w:rPr>
        <w:t xml:space="preserve">۳۶. تهران؛ مجلس؛ شماره نسخه: ۱۹- فيروز</w:t>
      </w:r>
    </w:p>
    <w:p>
      <w:pPr>
        <w:pStyle w:val="BookText"/>
      </w:pPr>
      <w:r>
        <w:rPr>
          <w:rFonts w:ascii="IRNazanin" w:hAnsi="IRNazanin" w:eastAsia="IRNazanin" w:cs="IRNazanin"/>
          <w:lang w:bidi="fa-IR"/>
          <w:color w:val="111111"/>
          <w:sz w:val="28"/>
          <w:szCs w:val="28"/>
          <w:rtl/>
        </w:rPr>
        <w:t xml:space="preserve">آغاز: بسمله، الحمد لله رب العالمين و الصلوة و السلام على خير خلقه محمد و آله اجمعين اما بعد؛ انجام: و تنها مخور که بدترین مردم باشی کتبه العبد الحقير الفقير عبدالکریم. خط: نستعلیق، كا: عبدالكریم، بی تا، دارای کتیبه مذهب، مجدول؛ کاغذ: دولت آبادی شکری روشن، جلد: تیماج قرمز بدون مقوا، ۲۲ص، ۶ سطر، قطع: رقعی،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۲۱-۱۳۳]</w:t>
      </w:r>
    </w:p>
    <w:p>
      <w:pPr>
        <w:pStyle w:val="BookText"/>
      </w:pPr>
      <w:r>
        <w:rPr>
          <w:rFonts w:ascii="IRNazanin" w:hAnsi="IRNazanin" w:eastAsia="IRNazanin" w:cs="IRNazanin"/>
          <w:lang w:bidi="fa-IR"/>
          <w:color w:val="111111"/>
          <w:sz w:val="28"/>
          <w:szCs w:val="28"/>
          <w:rtl/>
        </w:rPr>
        <w:t xml:space="preserve">۳۷. تهران، دانشگاه؛ شماره نسخه: ۴۱۱۶/۴ و ۲۷۲۰-ف</w:t>
      </w:r>
    </w:p>
    <w:p>
      <w:pPr>
        <w:pStyle w:val="BookText"/>
      </w:pPr>
      <w:r>
        <w:rPr>
          <w:rFonts w:ascii="IRNazanin" w:hAnsi="IRNazanin" w:eastAsia="IRNazanin" w:cs="IRNazanin"/>
          <w:lang w:bidi="fa-IR"/>
          <w:color w:val="111111"/>
          <w:sz w:val="28"/>
          <w:szCs w:val="28"/>
          <w:rtl/>
        </w:rPr>
        <w:t xml:space="preserve">آغاز: بعضی از نصایح لقمان حکیم است که پسر خود را وصیت فرموده است. ای فرزند خدای ... را بشناس؛ انجام: و هر چه بکار نیاید نیاموز.</w:t>
      </w:r>
    </w:p>
    <w:p>
      <w:pPr>
        <w:pStyle w:val="BookText"/>
      </w:pPr>
      <w:r>
        <w:rPr>
          <w:rFonts w:ascii="IRNazanin" w:hAnsi="IRNazanin" w:eastAsia="IRNazanin" w:cs="IRNazanin"/>
          <w:lang w:bidi="fa-IR"/>
          <w:color w:val="111111"/>
          <w:sz w:val="28"/>
          <w:szCs w:val="28"/>
          <w:rtl/>
        </w:rPr>
        <w:t xml:space="preserve">خط: نستعلیق، بی کا، بی تا، کاغذ: فرنگی، جلد: مقوا، ۴ گ (۱۲۷ - ۱۳۰ر)، ۱۵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۱۳ ۳۰۹۴] و [فیلمها ف: ۱-۱۳۶]</w:t>
      </w:r>
    </w:p>
    <w:p>
      <w:pPr>
        <w:pStyle w:val="BookText"/>
      </w:pPr>
      <w:r>
        <w:rPr>
          <w:rFonts w:ascii="IRNazanin" w:hAnsi="IRNazanin" w:eastAsia="IRNazanin" w:cs="IRNazanin"/>
          <w:lang w:bidi="fa-IR"/>
          <w:color w:val="111111"/>
          <w:sz w:val="28"/>
          <w:szCs w:val="28"/>
          <w:rtl/>
        </w:rPr>
        <w:t xml:space="preserve">۳۸. تهران، حقوق، شماره نسخه: ۱۱۱/۲۶ -ب</w:t>
      </w:r>
    </w:p>
    <w:p>
      <w:pPr>
        <w:pStyle w:val="BookText"/>
      </w:pPr>
      <w:r>
        <w:rPr>
          <w:rFonts w:ascii="IRNazanin" w:hAnsi="IRNazanin" w:eastAsia="IRNazanin" w:cs="IRNazanin"/>
          <w:lang w:bidi="fa-IR"/>
          <w:color w:val="111111"/>
          <w:sz w:val="28"/>
          <w:szCs w:val="28"/>
          <w:rtl/>
        </w:rPr>
        <w:t xml:space="preserve">خط: نستعلیق ریز و چلیپا؛ بی کا، بی تا؛ ۲گ(۳۴۱ر-۳۴۲پ) [ف: ۲۴]</w:t>
      </w:r>
    </w:p>
    <w:p>
      <w:pPr>
        <w:pStyle w:val="BookText"/>
      </w:pPr>
      <w:r>
        <w:rPr>
          <w:rFonts w:ascii="IRNazanin" w:hAnsi="IRNazanin" w:eastAsia="IRNazanin" w:cs="IRNazanin"/>
          <w:lang w:bidi="fa-IR"/>
          <w:color w:val="111111"/>
          <w:sz w:val="28"/>
          <w:szCs w:val="28"/>
          <w:rtl/>
        </w:rPr>
        <w:t xml:space="preserve">۳۹. تهران؛ مجلس؛ شماره نسخه: ۴۶۰۷/۵</w:t>
      </w:r>
    </w:p>
    <w:p>
      <w:pPr>
        <w:pStyle w:val="BookText"/>
      </w:pPr>
      <w:r>
        <w:rPr>
          <w:rFonts w:ascii="IRNazanin" w:hAnsi="IRNazanin" w:eastAsia="IRNazanin" w:cs="IRNazanin"/>
          <w:lang w:bidi="fa-IR"/>
          <w:color w:val="111111"/>
          <w:sz w:val="28"/>
          <w:szCs w:val="28"/>
          <w:rtl/>
        </w:rPr>
        <w:t xml:space="preserve">آغاز: پندیات لقمان عليه الرحمة. بسمله. این صد پندیست که لقمان حکیم علیه الرحمه پسر خود را وصیت فرمود؛ انجام: و توکل بخود تا در دست عارضه عصیان در نمانی.</w:t>
      </w:r>
    </w:p>
    <w:p>
      <w:pPr>
        <w:pStyle w:val="BookText"/>
      </w:pPr>
      <w:r>
        <w:rPr>
          <w:rFonts w:ascii="IRNazanin" w:hAnsi="IRNazanin" w:eastAsia="IRNazanin" w:cs="IRNazanin"/>
          <w:lang w:bidi="fa-IR"/>
          <w:color w:val="111111"/>
          <w:sz w:val="28"/>
          <w:szCs w:val="28"/>
          <w:rtl/>
        </w:rPr>
        <w:t xml:space="preserve">خط: نستعلیق، كا: تقی حسینی، بی تا، کاغذ: فرنگی، جلد: تیماج یک لایی خط کشی شده زرد، ۴ گ (۷۶ - ۷۹ر وپ)، ۱۷ سطر، اندازه: ۲۲۶۱۴/۳ سم [ف: ۱۲-۳۱۹]</w:t>
      </w:r>
    </w:p>
    <w:p>
      <w:pPr>
        <w:pStyle w:val="BookText"/>
      </w:pPr>
      <w:r>
        <w:rPr>
          <w:rFonts w:ascii="IRNazanin" w:hAnsi="IRNazanin" w:eastAsia="IRNazanin" w:cs="IRNazanin"/>
          <w:lang w:bidi="fa-IR"/>
          <w:color w:val="111111"/>
          <w:sz w:val="28"/>
          <w:szCs w:val="28"/>
          <w:rtl/>
        </w:rPr>
        <w:t xml:space="preserve">۴۰. تهران، دانشگاه؛ شماره نسخه: ۱۳۳۸/۴۴ و ۱۲۳۶/۴۴ ف</w:t>
      </w:r>
    </w:p>
    <w:p>
      <w:pPr>
        <w:pStyle w:val="BookText"/>
      </w:pPr>
      <w:r>
        <w:rPr>
          <w:rFonts w:ascii="IRNazanin" w:hAnsi="IRNazanin" w:eastAsia="IRNazanin" w:cs="IRNazanin"/>
          <w:lang w:bidi="fa-IR"/>
          <w:color w:val="111111"/>
          <w:sz w:val="28"/>
          <w:szCs w:val="28"/>
          <w:rtl/>
        </w:rPr>
        <w:t xml:space="preserve">نسخه اصل: بادلیان 69 .</w:t>
      </w:r>
      <w:r>
        <w:rPr>
          <w:rFonts w:ascii="Times New Roman" w:hAnsi="Times New Roman" w:eastAsia="Times New Roman" w:cs="Times New Roman"/>
          <w:lang w:val="en-US" w:bidi="en-US"/>
          <w:color w:val="111111"/>
          <w:sz w:val="28"/>
          <w:szCs w:val="28"/>
          <w:rtl/>
        </w:rPr>
        <w:t xml:space="preserve">Add </w:t>
      </w:r>
      <w:r>
        <w:rPr>
          <w:rFonts w:ascii="IRNazanin" w:hAnsi="IRNazanin" w:eastAsia="IRNazanin" w:cs="IRNazanin"/>
          <w:lang w:bidi="fa-IR"/>
          <w:color w:val="111111"/>
          <w:sz w:val="28"/>
          <w:szCs w:val="28"/>
          <w:rtl/>
        </w:rPr>
        <w:t xml:space="preserve">اوزلی (ش -۱۲۴۱)؛ بی کا، بی تا [فیلمها ف: ۱-۵۸۵]</w:t>
      </w:r>
    </w:p>
    <w:p>
      <w:pPr>
        <w:pStyle w:val="BookText"/>
      </w:pPr>
      <w:r>
        <w:rPr>
          <w:rFonts w:ascii="IRNazanin" w:hAnsi="IRNazanin" w:eastAsia="IRNazanin" w:cs="IRNazanin"/>
          <w:lang w:bidi="fa-IR"/>
          <w:color w:val="111111"/>
          <w:sz w:val="28"/>
          <w:szCs w:val="28"/>
          <w:rtl/>
        </w:rPr>
        <w:t xml:space="preserve">۴۱. تهران؛ حقوق؛ شماره نسخه: ۱۱/۲۶ -ب</w:t>
      </w:r>
    </w:p>
    <w:p>
      <w:pPr>
        <w:pStyle w:val="BookText"/>
      </w:pPr>
      <w:r>
        <w:rPr>
          <w:rFonts w:ascii="IRNazanin" w:hAnsi="IRNazanin" w:eastAsia="IRNazanin" w:cs="IRNazanin"/>
          <w:lang w:bidi="fa-IR"/>
          <w:color w:val="111111"/>
          <w:sz w:val="28"/>
          <w:szCs w:val="28"/>
          <w:rtl/>
        </w:rPr>
        <w:t xml:space="preserve">بی کا، بی تا؛ ۲گ (۱۳۴۱ - ۳۴۲) [ف: ۴۴۹]</w:t>
      </w:r>
    </w:p>
    <w:p>
      <w:pPr>
        <w:pStyle w:val="Heading3"/>
      </w:pPr>
      <w:bookmarkStart w:id="1794" w:name="_Toc1054"/>
      <w:r>
        <w:t>• پندنامه / اخلاق / فارسی</w:t>
      </w:r>
      <w:bookmarkEnd w:id="1794"/>
    </w:p>
    <w:p>
      <w:pPr>
        <w:pStyle w:val="BookText"/>
      </w:pPr>
      <w:r>
        <w:rPr>
          <w:rFonts w:ascii="Times New Roman" w:hAnsi="Times New Roman" w:eastAsia="Times New Roman" w:cs="Times New Roman"/>
          <w:lang w:val="en-US" w:bidi="en-US"/>
          <w:color w:val="111111"/>
          <w:sz w:val="28"/>
          <w:szCs w:val="28"/>
          <w:rtl/>
        </w:rPr>
        <w:t xml:space="preserve">pand-nāme</w:t>
      </w:r>
    </w:p>
    <w:p>
      <w:pPr>
        <w:pStyle w:val="BookText"/>
      </w:pPr>
      <w:r>
        <w:rPr>
          <w:rFonts w:ascii="IRNazanin" w:hAnsi="IRNazanin" w:eastAsia="IRNazanin" w:cs="IRNazanin"/>
          <w:lang w:bidi="fa-IR"/>
          <w:color w:val="111111"/>
          <w:sz w:val="28"/>
          <w:szCs w:val="28"/>
          <w:rtl/>
        </w:rPr>
        <w:t xml:space="preserve">مارکوس اورلیوس، ۱۲۱-۱۸۰ میلادی</w:t>
      </w:r>
    </w:p>
    <w:p>
      <w:pPr>
        <w:pStyle w:val="BookText"/>
      </w:pPr>
      <w:r>
        <w:rPr>
          <w:rFonts w:ascii="Times New Roman" w:hAnsi="Times New Roman" w:eastAsia="Times New Roman" w:cs="Times New Roman"/>
          <w:lang w:val="en-US" w:bidi="en-US"/>
          <w:color w:val="111111"/>
          <w:sz w:val="28"/>
          <w:szCs w:val="28"/>
          <w:rtl/>
        </w:rPr>
        <w:t xml:space="preserve">mārkūs orelīūs (121-180)</w:t>
      </w:r>
    </w:p>
    <w:p>
      <w:pPr>
        <w:pStyle w:val="BookText"/>
      </w:pPr>
      <w:r>
        <w:rPr>
          <w:rFonts w:ascii="IRNazanin" w:hAnsi="IRNazanin" w:eastAsia="IRNazanin" w:cs="IRNazanin"/>
          <w:lang w:bidi="fa-IR"/>
          <w:color w:val="111111"/>
          <w:sz w:val="28"/>
          <w:szCs w:val="28"/>
          <w:rtl/>
        </w:rPr>
        <w:t xml:space="preserve">مترجم: طالبوف ، عبدالرحيم بن ابو طالب ۱۲۵۰-۱۳۲۹ قمری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14" w:name="pg20363_209580"/>
    <w:bookmarkEnd w:id="314"/>
    <w:p>
      <w:pPr>
        <w:pStyle w:val="BookText"/>
      </w:pPr>
      <w:r>
        <w:rPr>
          <w:rFonts w:ascii="IRNazanin" w:hAnsi="IRNazanin" w:eastAsia="IRNazanin" w:cs="IRNazanin"/>
          <w:lang w:bidi="fa-IR"/>
          <w:color w:val="111111"/>
          <w:sz w:val="28"/>
          <w:szCs w:val="28"/>
          <w:rtl/>
        </w:rPr>
        <w:t xml:space="preserve">تاریخ تأليف: آغاز ۲۵ شعبان ۱۳۱۰ق</w:t>
      </w:r>
    </w:p>
    <w:p>
      <w:pPr>
        <w:pStyle w:val="BookText"/>
      </w:pPr>
      <w:r>
        <w:rPr>
          <w:rFonts w:ascii="IRNazanin" w:hAnsi="IRNazanin" w:eastAsia="IRNazanin" w:cs="IRNazanin"/>
          <w:lang w:bidi="fa-IR"/>
          <w:color w:val="111111"/>
          <w:sz w:val="28"/>
          <w:szCs w:val="28"/>
          <w:rtl/>
        </w:rPr>
        <w:t xml:space="preserve">از مارکوس اورلیوس قیصر و امپراطور روم است و طالب اف میرزا عبدالرحيم بن ابی طالب نجار زاده تبریزی برای ولیعهد از روسی به فارسی در آورده و دوازده فصل در آن هست هر یک چند بند.</w:t>
      </w:r>
    </w:p>
    <w:p>
      <w:pPr>
        <w:pStyle w:val="BookText"/>
      </w:pPr>
      <w:r>
        <w:rPr>
          <w:rFonts w:ascii="IRNazanin" w:hAnsi="IRNazanin" w:eastAsia="IRNazanin" w:cs="IRNazanin"/>
          <w:lang w:bidi="fa-IR"/>
          <w:color w:val="111111"/>
          <w:sz w:val="28"/>
          <w:szCs w:val="28"/>
          <w:rtl/>
        </w:rPr>
        <w:t xml:space="preserve">آغاز: افاده مخصوصه مخفی نماند که تاثیر وقوف کلام تنها مایه فصاحت و بلاغت آن نیست ... چاپ: در تهران دوبار چاپ شده؛ استانبول، ۱۳۱۰ق مشار ۲۷۸؛ الذريعة ۱۹۹/۳ ؛ [دنا ۶۴۰/۲ ؛ فهرستواره منزوی ۳۵۵/۶ ]</w:t>
      </w:r>
    </w:p>
    <w:p>
      <w:pPr>
        <w:pStyle w:val="BookText"/>
      </w:pPr>
      <w:r>
        <w:rPr>
          <w:rFonts w:ascii="IRNazanin" w:hAnsi="IRNazanin" w:eastAsia="IRNazanin" w:cs="IRNazanin"/>
          <w:lang w:bidi="fa-IR"/>
          <w:color w:val="111111"/>
          <w:sz w:val="28"/>
          <w:szCs w:val="28"/>
          <w:rtl/>
        </w:rPr>
        <w:t xml:space="preserve">۱. تهران، دانشگاه؛ شماره نسخه: ۵۰۰۶</w:t>
      </w:r>
    </w:p>
    <w:p>
      <w:pPr>
        <w:pStyle w:val="BookText"/>
      </w:pPr>
      <w:r>
        <w:rPr>
          <w:rFonts w:ascii="IRNazanin" w:hAnsi="IRNazanin" w:eastAsia="IRNazanin" w:cs="IRNazanin"/>
          <w:lang w:bidi="fa-IR"/>
          <w:color w:val="111111"/>
          <w:sz w:val="28"/>
          <w:szCs w:val="28"/>
          <w:rtl/>
        </w:rPr>
        <w:t xml:space="preserve">آغاز: برابر؛ انجام: مملو از رحمت و برکات است. تمام شد پندنامه قيصر. خط: نستعلیق، بی کا، تا: قرن ۱۴؛ کاغذ: فرنگی، جلد: مقوا، ۸۹گ، ۱۲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 قطع: خشتی،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۴۰۸۳-۱۵ ]</w:t>
      </w:r>
    </w:p>
    <w:p>
      <w:pPr>
        <w:pStyle w:val="BookText"/>
      </w:pPr>
      <w:r>
        <w:rPr>
          <w:rFonts w:ascii="IRNazanin" w:hAnsi="IRNazanin" w:eastAsia="IRNazanin" w:cs="IRNazanin"/>
          <w:lang w:bidi="fa-IR"/>
          <w:color w:val="111111"/>
          <w:sz w:val="28"/>
          <w:szCs w:val="28"/>
          <w:rtl/>
        </w:rPr>
        <w:t xml:space="preserve">۲. شیراز؛ شاهچراغ، شماره نسخه: ۶۴۹</w:t>
      </w:r>
    </w:p>
    <w:p>
      <w:pPr>
        <w:pStyle w:val="BookText"/>
      </w:pPr>
      <w:r>
        <w:rPr>
          <w:rFonts w:ascii="IRNazanin" w:hAnsi="IRNazanin" w:eastAsia="IRNazanin" w:cs="IRNazanin"/>
          <w:lang w:bidi="fa-IR"/>
          <w:color w:val="111111"/>
          <w:sz w:val="28"/>
          <w:szCs w:val="28"/>
          <w:rtl/>
        </w:rPr>
        <w:t xml:space="preserve">بی کا، تا: سه شنبه ۲۲ صفر ۱۳۲۸ق (شروع كتابت)؛ نسخه به آقای محمد مهدی تقدیم شده؛ ۶۸گ،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۳-۱۵]</w:t>
      </w:r>
    </w:p>
    <w:p>
      <w:pPr>
        <w:pStyle w:val="Heading3"/>
      </w:pPr>
      <w:bookmarkStart w:id="1795" w:name="_Toc1055"/>
      <w:r>
        <w:t>• پندنامه / اخلاق / فارسی</w:t>
      </w:r>
      <w:bookmarkEnd w:id="1795"/>
    </w:p>
    <w:p>
      <w:pPr>
        <w:pStyle w:val="BookText"/>
      </w:pPr>
      <w:r>
        <w:rPr>
          <w:rFonts w:ascii="Times New Roman" w:hAnsi="Times New Roman" w:eastAsia="Times New Roman" w:cs="Times New Roman"/>
          <w:lang w:val="en-US" w:bidi="en-US"/>
          <w:color w:val="111111"/>
          <w:sz w:val="28"/>
          <w:szCs w:val="28"/>
          <w:rtl/>
        </w:rPr>
        <w:t xml:space="preserve">pand-nāme</w:t>
      </w:r>
    </w:p>
    <w:p>
      <w:pPr>
        <w:pStyle w:val="BookText"/>
      </w:pPr>
      <w:r>
        <w:rPr>
          <w:rFonts w:ascii="IRNazanin" w:hAnsi="IRNazanin" w:eastAsia="IRNazanin" w:cs="IRNazanin"/>
          <w:lang w:bidi="fa-IR"/>
          <w:color w:val="111111"/>
          <w:sz w:val="28"/>
          <w:szCs w:val="28"/>
          <w:rtl/>
        </w:rPr>
        <w:t xml:space="preserve">محمود غزنوی، شاه ایران، ۳۶۰؟ -۴۲۱ قمری</w:t>
      </w:r>
    </w:p>
    <w:p>
      <w:pPr>
        <w:pStyle w:val="BookText"/>
      </w:pPr>
      <w:r>
        <w:rPr>
          <w:rFonts w:ascii="Times New Roman" w:hAnsi="Times New Roman" w:eastAsia="Times New Roman" w:cs="Times New Roman"/>
          <w:lang w:val="en-US" w:bidi="en-US"/>
          <w:color w:val="111111"/>
          <w:sz w:val="28"/>
          <w:szCs w:val="28"/>
          <w:rtl/>
        </w:rPr>
        <w:t xml:space="preserve">mahmūd-e qaznavī, šāh-e īrān (972-1031)</w:t>
      </w:r>
    </w:p>
    <w:p>
      <w:pPr>
        <w:pStyle w:val="BookText"/>
      </w:pPr>
      <w:r>
        <w:rPr>
          <w:rFonts w:ascii="IRNazanin" w:hAnsi="IRNazanin" w:eastAsia="IRNazanin" w:cs="IRNazanin"/>
          <w:lang w:bidi="fa-IR"/>
          <w:color w:val="111111"/>
          <w:sz w:val="28"/>
          <w:szCs w:val="28"/>
          <w:rtl/>
        </w:rPr>
        <w:t xml:space="preserve">تهران؛ دانشگاه؛ شماره نسخه: ۸۸۸/۶ -ف</w:t>
      </w:r>
    </w:p>
    <w:p>
      <w:pPr>
        <w:pStyle w:val="BookText"/>
      </w:pPr>
      <w:r>
        <w:rPr>
          <w:rFonts w:ascii="IRNazanin" w:hAnsi="IRNazanin" w:eastAsia="IRNazanin" w:cs="IRNazanin"/>
          <w:lang w:bidi="fa-IR"/>
          <w:color w:val="111111"/>
          <w:sz w:val="28"/>
          <w:szCs w:val="28"/>
          <w:rtl/>
        </w:rPr>
        <w:t xml:space="preserve">خط: نستعلیق، کا: زمان رضا قلی خان بهار، بی تا، ۱۵ سطر [فيلمها ف: ۱-۵۴۵]</w:t>
      </w:r>
    </w:p>
    <w:p>
      <w:pPr>
        <w:pStyle w:val="Heading3"/>
      </w:pPr>
      <w:bookmarkStart w:id="1796" w:name="_Toc1056"/>
      <w:r>
        <w:t>• پندنامه = نصیحت نامه = نصایح خواجه عبدالله انصاری به خواجه نظام الملک طوسی / عرفان و تصوف، اخلاق / فارسی</w:t>
      </w:r>
      <w:bookmarkEnd w:id="1796"/>
    </w:p>
    <w:p>
      <w:pPr>
        <w:pStyle w:val="BookText"/>
      </w:pPr>
      <w:r>
        <w:rPr>
          <w:rFonts w:ascii="Times New Roman" w:hAnsi="Times New Roman" w:eastAsia="Times New Roman" w:cs="Times New Roman"/>
          <w:lang w:val="en-US" w:bidi="en-US"/>
          <w:color w:val="111111"/>
          <w:sz w:val="28"/>
          <w:szCs w:val="28"/>
          <w:rtl/>
        </w:rPr>
        <w:t xml:space="preserve">pand-nāme = nasīhat-nāme = nasāyeh-e xāje ‘abd-ol lāh-e ansārī be xāje nezām-ol-molk-e tūsī</w:t>
      </w:r>
    </w:p>
    <w:p>
      <w:pPr>
        <w:pStyle w:val="BookText"/>
      </w:pPr>
      <w:r>
        <w:rPr>
          <w:rFonts w:ascii="IRNazanin" w:hAnsi="IRNazanin" w:eastAsia="IRNazanin" w:cs="IRNazanin"/>
          <w:lang w:bidi="fa-IR"/>
          <w:color w:val="111111"/>
          <w:sz w:val="28"/>
          <w:szCs w:val="28"/>
          <w:rtl/>
        </w:rPr>
        <w:t xml:space="preserve">انصاری، عبد الله بن محمد، ۳۹۶-۴۸۱ قمری</w:t>
      </w:r>
    </w:p>
    <w:p>
      <w:pPr>
        <w:pStyle w:val="BookText"/>
      </w:pPr>
      <w:r>
        <w:rPr>
          <w:rFonts w:ascii="Times New Roman" w:hAnsi="Times New Roman" w:eastAsia="Times New Roman" w:cs="Times New Roman"/>
          <w:lang w:val="en-US" w:bidi="en-US"/>
          <w:color w:val="111111"/>
          <w:sz w:val="28"/>
          <w:szCs w:val="28"/>
          <w:rtl/>
        </w:rPr>
        <w:t xml:space="preserve">ansārī, 'abd-ol-lāh ebn-e mohammad (1006-1089)</w:t>
      </w:r>
    </w:p>
    <w:p>
      <w:pPr>
        <w:pStyle w:val="BookText"/>
      </w:pPr>
      <w:r>
        <w:rPr>
          <w:rFonts w:ascii="IRNazanin" w:hAnsi="IRNazanin" w:eastAsia="IRNazanin" w:cs="IRNazanin"/>
          <w:lang w:bidi="fa-IR"/>
          <w:color w:val="111111"/>
          <w:sz w:val="28"/>
          <w:szCs w:val="28"/>
          <w:rtl/>
        </w:rPr>
        <w:t xml:space="preserve">از نصیحت های خواجه عبدالله انصاری به خواجه نظام الملک طوسی می باشد. نسخه های این نصیحت نامه در آغاز و بندها گوناگون است.</w:t>
      </w:r>
    </w:p>
    <w:p>
      <w:pPr>
        <w:pStyle w:val="BookText"/>
      </w:pPr>
      <w:r>
        <w:rPr>
          <w:rFonts w:ascii="IRNazanin" w:hAnsi="IRNazanin" w:eastAsia="IRNazanin" w:cs="IRNazanin"/>
          <w:lang w:bidi="fa-IR"/>
          <w:color w:val="111111"/>
          <w:sz w:val="28"/>
          <w:szCs w:val="28"/>
          <w:rtl/>
        </w:rPr>
        <w:t xml:space="preserve">آغاز: در رعایت دلها کوش و عذر بنيوش و عیب مردم بپوش و دین بدنيا مفروش یا نظام هر که ده خصلت شعار خود سازد در دنیا و آخرت کار خود سازد. با خدای خود به صدق، با خلق به انصاف، با نفس خود به قهر، با درویشان به لطف، با بزرگان به خدمت، با خردان به شفقت با دوستان به نصیحت، با دشمنان به حلم، با جاهلان به خاموشی، با عالمان به تواضع ... الى آخر. دنا ۶۴۱/۲ (۳۴ نسخه)؛ فهرستواره منزوی ۶۷۰/۶ ]</w:t>
      </w:r>
    </w:p>
    <w:p>
      <w:pPr>
        <w:pStyle w:val="BookText"/>
      </w:pPr>
      <w:r>
        <w:rPr>
          <w:rFonts w:ascii="IRNazanin" w:hAnsi="IRNazanin" w:eastAsia="IRNazanin" w:cs="IRNazanin"/>
          <w:lang w:bidi="fa-IR"/>
          <w:color w:val="111111"/>
          <w:sz w:val="28"/>
          <w:szCs w:val="28"/>
          <w:rtl/>
        </w:rPr>
        <w:t xml:space="preserve">۱. تهران، دانشگاه؛ شماره نسخه: ۴۴۱/۷ -ف</w:t>
      </w:r>
    </w:p>
    <w:p>
      <w:pPr>
        <w:pStyle w:val="BookText"/>
      </w:pPr>
      <w:r>
        <w:rPr>
          <w:rFonts w:ascii="IRNazanin" w:hAnsi="IRNazanin" w:eastAsia="IRNazanin" w:cs="IRNazanin"/>
          <w:lang w:bidi="fa-IR"/>
          <w:color w:val="111111"/>
          <w:sz w:val="28"/>
          <w:szCs w:val="28"/>
          <w:rtl/>
        </w:rPr>
        <w:t xml:space="preserve">نسخه اصل: نسخه اصل: بایزید ولی الدین ش ۱۸۱۹؛ بی کا، تا: قرن ۹؛ افتادگی: انجام؛ اگ (۴۸) [فيلمها ف: ۱-۴۷۳]</w:t>
      </w:r>
    </w:p>
    <w:p>
      <w:pPr>
        <w:pStyle w:val="BookText"/>
      </w:pPr>
      <w:r>
        <w:rPr>
          <w:rFonts w:ascii="IRNazanin" w:hAnsi="IRNazanin" w:eastAsia="IRNazanin" w:cs="IRNazanin"/>
          <w:lang w:bidi="fa-IR"/>
          <w:color w:val="111111"/>
          <w:sz w:val="28"/>
          <w:szCs w:val="28"/>
          <w:rtl/>
        </w:rPr>
        <w:t xml:space="preserve">۲. تهران، ذکاء، یحیی؛ شماره نسخه: ۲۴</w:t>
      </w:r>
    </w:p>
    <w:p>
      <w:pPr>
        <w:pStyle w:val="BookText"/>
      </w:pPr>
      <w:r>
        <w:rPr>
          <w:rFonts w:ascii="IRNazanin" w:hAnsi="IRNazanin" w:eastAsia="IRNazanin" w:cs="IRNazanin"/>
          <w:lang w:bidi="fa-IR"/>
          <w:color w:val="111111"/>
          <w:sz w:val="28"/>
          <w:szCs w:val="28"/>
          <w:rtl/>
        </w:rPr>
        <w:t xml:space="preserve">آغاز: نصیحت پیر هرات نور قبره مر نظام الملک طوسی را. هر که ده خصلت شعار خود سازد؛ انجام: الهی اگر خارم از بوستانم اگر گلم در نظر دوستانم</w:t>
      </w:r>
    </w:p>
    <w:p>
      <w:pPr>
        <w:pStyle w:val="BookText"/>
      </w:pPr>
      <w:r>
        <w:rPr>
          <w:rFonts w:ascii="IRNazanin" w:hAnsi="IRNazanin" w:eastAsia="IRNazanin" w:cs="IRNazanin"/>
          <w:lang w:bidi="fa-IR"/>
          <w:color w:val="111111"/>
          <w:sz w:val="28"/>
          <w:szCs w:val="28"/>
          <w:rtl/>
        </w:rPr>
        <w:t xml:space="preserve">خط: نستعلیق خوش، کا: محمد محسن هروی خوشنویس، تا: قرن ۱۰؛ با سرلوح، مجدول؛ کاغذ: سمرقندی متن و حاشیه، جلد: تیماج مشکی سوخت با لچک و ترنج (نشریه: ۳-۱۴۰]</w:t>
      </w:r>
    </w:p>
    <w:p>
      <w:pPr>
        <w:pStyle w:val="BookText"/>
      </w:pPr>
      <w:r>
        <w:rPr>
          <w:rFonts w:ascii="IRNazanin" w:hAnsi="IRNazanin" w:eastAsia="IRNazanin" w:cs="IRNazanin"/>
          <w:lang w:bidi="fa-IR"/>
          <w:color w:val="111111"/>
          <w:sz w:val="28"/>
          <w:szCs w:val="28"/>
          <w:rtl/>
        </w:rPr>
        <w:t xml:space="preserve">٣. تهران، ملک؛ شماره نسخه: ۴۹۲/۳۴</w:t>
      </w:r>
    </w:p>
    <w:p>
      <w:pPr>
        <w:pStyle w:val="BookText"/>
      </w:pPr>
      <w:r>
        <w:rPr>
          <w:rFonts w:ascii="IRNazanin" w:hAnsi="IRNazanin" w:eastAsia="IRNazanin" w:cs="IRNazanin"/>
          <w:lang w:bidi="fa-IR"/>
          <w:color w:val="111111"/>
          <w:sz w:val="28"/>
          <w:szCs w:val="28"/>
          <w:rtl/>
        </w:rPr>
        <w:t xml:space="preserve">خط: نستعلیق، بی کا، تا: قرن ۱۰؛ ۹۶ (۳۳۴-۴۲۹ هامش) [ف: ۴۳-۵ ]</w:t>
      </w:r>
    </w:p>
    <w:p>
      <w:pPr>
        <w:pStyle w:val="BookText"/>
      </w:pPr>
      <w:r>
        <w:rPr>
          <w:rFonts w:ascii="IRNazanin" w:hAnsi="IRNazanin" w:eastAsia="IRNazanin" w:cs="IRNazanin"/>
          <w:lang w:bidi="fa-IR"/>
          <w:color w:val="111111"/>
          <w:sz w:val="28"/>
          <w:szCs w:val="28"/>
          <w:rtl/>
        </w:rPr>
        <w:t xml:space="preserve">۴. قم؛ مرعشی؛ شماره نسخه: ۱۱۵۷۳/۴</w:t>
      </w:r>
    </w:p>
    <w:p>
      <w:pPr>
        <w:pStyle w:val="BookText"/>
      </w:pPr>
      <w:r>
        <w:rPr>
          <w:rFonts w:ascii="IRNazanin" w:hAnsi="IRNazanin" w:eastAsia="IRNazanin" w:cs="IRNazanin"/>
          <w:lang w:bidi="fa-IR"/>
          <w:color w:val="111111"/>
          <w:sz w:val="28"/>
          <w:szCs w:val="28"/>
          <w:rtl/>
        </w:rPr>
        <w:t xml:space="preserve">آغاز: برابر؛ انجام: الهی بحق آنکه ترا حاجت نیست رحمت کن بر آنکه او را حجت نیست.</w:t>
      </w:r>
    </w:p>
    <w:p>
      <w:pPr>
        <w:pStyle w:val="BookText"/>
      </w:pPr>
      <w:r>
        <w:rPr>
          <w:rFonts w:ascii="IRNazanin" w:hAnsi="IRNazanin" w:eastAsia="IRNazanin" w:cs="IRNazanin"/>
          <w:lang w:bidi="fa-IR"/>
          <w:color w:val="111111"/>
          <w:sz w:val="28"/>
          <w:szCs w:val="28"/>
          <w:rtl/>
        </w:rPr>
        <w:t xml:space="preserve">خط: نستعلیق خوش، بی کا، تا: قرن ۱۰؛ با سر لوح زیبای مذهب، کتیبه مکتب خراسان، مجدول، وقف نامه «محمد علی» که این نسخه را بر فرزندش خواجه عبدالله وقف کرده است به سال ۱۲۳۵ ق همراه مهر «عبده الراجی محمد علی» (بیضی)؛ کاغذ: شرقی، ۶گ (۳۴-۳۹)، ۱۵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۷سم [ف: ۲۹-۲۷۳]</w:t>
      </w:r>
    </w:p>
    <w:p>
      <w:pPr>
        <w:pStyle w:val="BookText"/>
      </w:pPr>
      <w:r>
        <w:rPr>
          <w:rFonts w:ascii="IRNazanin" w:hAnsi="IRNazanin" w:eastAsia="IRNazanin" w:cs="IRNazanin"/>
          <w:lang w:bidi="fa-IR"/>
          <w:color w:val="111111"/>
          <w:sz w:val="28"/>
          <w:szCs w:val="28"/>
          <w:rtl/>
        </w:rPr>
        <w:t xml:space="preserve">۵. تهران؛ سلطنتی؛ شماره نسخه: ۱۸۲۲</w:t>
      </w:r>
    </w:p>
    <w:p>
      <w:pPr>
        <w:pStyle w:val="BookText"/>
      </w:pPr>
      <w:r>
        <w:rPr>
          <w:rFonts w:ascii="IRNazanin" w:hAnsi="IRNazanin" w:eastAsia="IRNazanin" w:cs="IRNazanin"/>
          <w:lang w:bidi="fa-IR"/>
          <w:color w:val="111111"/>
          <w:sz w:val="28"/>
          <w:szCs w:val="28"/>
          <w:rtl/>
        </w:rPr>
        <w:t xml:space="preserve">آغاز: برابر، انجام: سعادت دنیا و آخرت در دست دانا دان از نادان دامن در کش انشاء الله توفیق رفیق باشد.</w:t>
      </w:r>
    </w:p>
    <w:p>
      <w:pPr>
        <w:pStyle w:val="BookText"/>
      </w:pPr>
      <w:r>
        <w:rPr>
          <w:rFonts w:ascii="IRNazanin" w:hAnsi="IRNazanin" w:eastAsia="IRNazanin" w:cs="IRNazanin"/>
          <w:lang w:bidi="fa-IR"/>
          <w:color w:val="111111"/>
          <w:sz w:val="28"/>
          <w:szCs w:val="28"/>
          <w:rtl/>
        </w:rPr>
        <w:t xml:space="preserve">آغاز نسخه با پندنامه خواجه عبدالله انصاری مطابقت دارد بنابراین آنچه در فهرست به نام نصایح لقمان آمده صحیح نیست، حاوی بعضی از سخنان و نصایح و مواعظ اخلاقی از خواجه نظام الملک طوسی است؛ خط: نستعلیق ممتاز، كا: علی سلطانی، تا: ۱۳۵ق، جان بخارا؛ مجدول، با کتیبه مذهب زمینه لاجوردی بسیار عالی طرح کار هرات؛ مهر: علی اکبر بن الحسینی، محمد رضا الحسینی، منشی الممالک، حسین بن هدایت الله، مشير السلطنه؛</w:t>
      </w:r>
    </w:p>
    <w:p>
      <w:pPr>
        <w:pStyle w:val="BookText"/>
      </w:pPr>
      <w:r>
        <w:rPr>
          <w:rFonts w:ascii="IRNazanin" w:hAnsi="IRNazanin" w:eastAsia="IRNazanin" w:cs="IRNazanin"/>
          <w:lang w:bidi="fa-IR"/>
          <w:color w:val="111111"/>
          <w:sz w:val="28"/>
          <w:szCs w:val="28"/>
          <w:rtl/>
        </w:rPr>
        <w:t xml:space="preserve">کاغذ: متن و حاشیه شده متن خانبالغ نخودی رنگ حواشی اصفهان، جلد: مقوای روکش چرم مشکی ساغری مجدول کمند دار زرین، ۱۸، ۷ سطر، قطع: ربعی، اندازه: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۱۹/۵ سم [ف: ۷۶۴-۷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ملک؛ شماره نسخه: ۵۴۷/۴</w:t>
      </w:r>
    </w:p>
    <w:p>
      <w:pPr>
        <w:pStyle w:val="BookText"/>
      </w:pPr>
      <w:r>
        <w:rPr>
          <w:rFonts w:ascii="IRNazanin" w:hAnsi="IRNazanin" w:eastAsia="IRNazanin" w:cs="IRNazanin"/>
          <w:lang w:bidi="fa-IR"/>
          <w:color w:val="111111"/>
          <w:sz w:val="28"/>
          <w:szCs w:val="28"/>
          <w:rtl/>
        </w:rPr>
        <w:t xml:space="preserve">آغاز: فرزند با حق بصدق باشد با خلق بانتصاف با نفس خود؛ انجام: و کار دنیا من در مسجد آب دهن مینداز</w:t>
      </w:r>
    </w:p>
    <w:p>
      <w:pPr>
        <w:pStyle w:val="BookText"/>
      </w:pPr>
      <w:r>
        <w:rPr>
          <w:rFonts w:ascii="IRNazanin" w:hAnsi="IRNazanin" w:eastAsia="IRNazanin" w:cs="IRNazanin"/>
          <w:lang w:bidi="fa-IR"/>
          <w:color w:val="111111"/>
          <w:sz w:val="28"/>
          <w:szCs w:val="28"/>
          <w:rtl/>
        </w:rPr>
        <w:t xml:space="preserve">خط: نسخ، بی کا، تا: قرن ۱۱؛ کاغذ: ترمه، جلد: میشن قهوه ای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مقوایی، ۴ص (۹۸-۱۰۱)، اندازه: ۱۸/۷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۹/۸ سم [ف: ۵-۶۶]</w:t>
      </w:r>
    </w:p>
    <w:p>
      <w:pPr>
        <w:pStyle w:val="BookText"/>
      </w:pPr>
      <w:r>
        <w:rPr>
          <w:rFonts w:ascii="IRNazanin" w:hAnsi="IRNazanin" w:eastAsia="IRNazanin" w:cs="IRNazanin"/>
          <w:lang w:bidi="fa-IR"/>
          <w:color w:val="111111"/>
          <w:sz w:val="28"/>
          <w:szCs w:val="28"/>
          <w:rtl/>
        </w:rPr>
        <w:t xml:space="preserve">٧. تهران؛ دانشگاه؛ شماره نسخه: ۲۵۹۶/۳</w:t>
      </w:r>
    </w:p>
    <w:p>
      <w:pPr>
        <w:pStyle w:val="BookText"/>
      </w:pPr>
      <w:r>
        <w:rPr>
          <w:rFonts w:ascii="IRNazanin" w:hAnsi="IRNazanin" w:eastAsia="IRNazanin" w:cs="IRNazanin"/>
          <w:lang w:bidi="fa-IR"/>
          <w:color w:val="111111"/>
          <w:sz w:val="28"/>
          <w:szCs w:val="28"/>
          <w:rtl/>
        </w:rPr>
        <w:t xml:space="preserve">آغاز: برابر؛ انجام: از نادان دامن در کش ان شاء الله تعالى حق سبحانه و تعالی توفیق رفیق گرداند بحرمة محمد و آله الامجاد</w:t>
      </w:r>
    </w:p>
    <w:p>
      <w:pPr>
        <w:pStyle w:val="BookText"/>
      </w:pPr>
      <w:r>
        <w:rPr>
          <w:rFonts w:ascii="IRNazanin" w:hAnsi="IRNazanin" w:eastAsia="IRNazanin" w:cs="IRNazanin"/>
          <w:lang w:bidi="fa-IR"/>
          <w:color w:val="111111"/>
          <w:sz w:val="28"/>
          <w:szCs w:val="28"/>
          <w:rtl/>
        </w:rPr>
        <w:t xml:space="preserve">خط: نستعلیق، كا: عنایت الله، تا: ۱۰۸۶ق؛ کاغذ: سپاهانی، جلد: تیماج قهوه ای، ۳ص (۲۷۸-۲۸۰)، ۱۵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۹-۱۴۴۰]</w:t>
      </w:r>
    </w:p>
    <w:p>
      <w:pPr>
        <w:pStyle w:val="BookText"/>
      </w:pPr>
      <w:r>
        <w:rPr>
          <w:rFonts w:ascii="IRNazanin" w:hAnsi="IRNazanin" w:eastAsia="IRNazanin" w:cs="IRNazanin"/>
          <w:lang w:bidi="fa-IR"/>
          <w:color w:val="111111"/>
          <w:sz w:val="28"/>
          <w:szCs w:val="28"/>
          <w:rtl/>
        </w:rPr>
        <w:t xml:space="preserve">۸. تهران، دانشگاه؛ شماره نسخه: ۶۰۳/۳ -ف</w:t>
      </w:r>
    </w:p>
    <w:p>
      <w:pPr>
        <w:pStyle w:val="BookText"/>
      </w:pPr>
      <w:r>
        <w:rPr>
          <w:rFonts w:ascii="IRNazanin" w:hAnsi="IRNazanin" w:eastAsia="IRNazanin" w:cs="IRNazanin"/>
          <w:lang w:bidi="fa-IR"/>
          <w:color w:val="111111"/>
          <w:sz w:val="28"/>
          <w:szCs w:val="28"/>
          <w:rtl/>
        </w:rPr>
        <w:t xml:space="preserve">نسخه اصل: نافذ پاشا ش ۱۰۵۹؛ خط: نستعلیق خوش، بی کا، تا: ربیع الاول ۱۰۸۷ق، ۲گ (۱۸۰ر-۱۸۱) [فيلمها ف: ۱-۵۰۹]</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دانشگاه؛ شماره نسخه: ۷۵۹۸/۴</w:t>
      </w:r>
    </w:p>
    <w:p>
      <w:pPr>
        <w:pStyle w:val="BookText"/>
      </w:pPr>
      <w:r>
        <w:rPr>
          <w:rFonts w:ascii="IRNazanin" w:hAnsi="IRNazanin" w:eastAsia="IRNazanin" w:cs="IRNazanin"/>
          <w:lang w:bidi="fa-IR"/>
          <w:color w:val="111111"/>
          <w:sz w:val="28"/>
          <w:szCs w:val="28"/>
          <w:rtl/>
        </w:rPr>
        <w:t xml:space="preserve">خط: نستعلیق چلیپا، بی کا، تا: ۱۰۹۲ق؛ افتادگی: آغاز و انجام؛ کاغذ: سپاهانی، جلد: تیماج مشکی ضربی مقوایی، ۲گ (۱۹ ۲۰)، ۱۷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قطع: ربعی،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w:t>
      </w:r>
    </w:p>
    <w:p>
      <w:pPr>
        <w:pStyle w:val="BookText"/>
      </w:pPr>
      <w:r>
        <w:rPr>
          <w:rFonts w:ascii="IRNazanin" w:hAnsi="IRNazanin" w:eastAsia="IRNazanin" w:cs="IRNazanin"/>
          <w:lang w:bidi="fa-IR"/>
          <w:color w:val="111111"/>
          <w:sz w:val="28"/>
          <w:szCs w:val="28"/>
          <w:rtl/>
        </w:rPr>
        <w:t xml:space="preserve">سم [ف: ۶۴۷-۱۶ ]</w:t>
      </w:r>
    </w:p>
    <w:p>
      <w:pPr>
        <w:pStyle w:val="BookText"/>
      </w:pPr>
      <w:r>
        <w:rPr>
          <w:rFonts w:ascii="IRNazanin" w:hAnsi="IRNazanin" w:eastAsia="IRNazanin" w:cs="IRNazanin"/>
          <w:lang w:bidi="fa-IR"/>
          <w:color w:val="111111"/>
          <w:sz w:val="28"/>
          <w:szCs w:val="28"/>
          <w:rtl/>
        </w:rPr>
        <w:t xml:space="preserve">۱۰. تهران؛ مجلس؛ شماره نسخه: ۸۸۴۱/۱۱۶</w:t>
      </w:r>
    </w:p>
    <w:p>
      <w:pPr>
        <w:pStyle w:val="BookText"/>
      </w:pPr>
      <w:r>
        <w:rPr>
          <w:rFonts w:ascii="IRNazanin" w:hAnsi="IRNazanin" w:eastAsia="IRNazanin" w:cs="IRNazanin"/>
          <w:lang w:bidi="fa-IR"/>
          <w:color w:val="111111"/>
          <w:sz w:val="28"/>
          <w:szCs w:val="28"/>
          <w:rtl/>
        </w:rPr>
        <w:t xml:space="preserve">آغاز: خواجه عبدالله انصاری رحمة الله علیه می فرماید که عاشق خدا باش نه بسته هوا. نقل است که روز جزا پرسیده شوند هر چه مستوجب آن باشند</w:t>
      </w:r>
    </w:p>
    <w:p>
      <w:pPr>
        <w:pStyle w:val="BookText"/>
      </w:pPr>
      <w:r>
        <w:rPr>
          <w:rFonts w:ascii="IRNazanin" w:hAnsi="IRNazanin" w:eastAsia="IRNazanin" w:cs="IRNazanin"/>
          <w:lang w:bidi="fa-IR"/>
          <w:color w:val="111111"/>
          <w:sz w:val="28"/>
          <w:szCs w:val="28"/>
          <w:rtl/>
        </w:rPr>
        <w:t xml:space="preserve">از سخنان خواجه عبدالله انصاری؛ خط: نسخ و نستعلیق، كا: جمال الدین محمد حسنی، تا: پنج شنبه ۲۰ شوال ۱۱۱۷ق، جا: مشهد مقدس؛ کاغذ: چند نوع بیشتر شرقی نخودی آهار مهره، جلد: میشن مشکی عطف جرم قهوه ای، اص (۷۰۲)، اندازه: ۳۴/۹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۲۲/۳ سم [ف: ۲۹/۱ -۱۰۵]</w:t>
      </w:r>
    </w:p>
    <w:p>
      <w:pPr>
        <w:pStyle w:val="BookText"/>
      </w:pPr>
      <w:r>
        <w:rPr>
          <w:rFonts w:ascii="IRNazanin" w:hAnsi="IRNazanin" w:eastAsia="IRNazanin" w:cs="IRNazanin"/>
          <w:lang w:bidi="fa-IR"/>
          <w:color w:val="111111"/>
          <w:sz w:val="28"/>
          <w:szCs w:val="28"/>
          <w:rtl/>
        </w:rPr>
        <w:t xml:space="preserve">۱۱. تهران، دانشگاه؛ شماره نسخه: ۷۵۳۴/۱۱</w:t>
      </w:r>
    </w:p>
    <w:p>
      <w:pPr>
        <w:pStyle w:val="BookText"/>
      </w:pPr>
      <w:r>
        <w:rPr>
          <w:rFonts w:ascii="IRNazanin" w:hAnsi="IRNazanin" w:eastAsia="IRNazanin" w:cs="IRNazanin"/>
          <w:lang w:bidi="fa-IR"/>
          <w:color w:val="111111"/>
          <w:sz w:val="28"/>
          <w:szCs w:val="28"/>
          <w:rtl/>
        </w:rPr>
        <w:t xml:space="preserve">خط: نستعلیق، کا: قزوینی كلوسجودی، محمد معصوم، تا: ۱۱۶۴ق، کاغذ: سپاهانی، جلد: تیماج قهوه ای زرکوب ترنجی سوخت مقوایی، ۱۳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قطع: بغلی،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۹سم [ف: ۱۶-۶۱۳]</w:t>
      </w:r>
    </w:p>
    <w:p>
      <w:pPr>
        <w:pStyle w:val="BookText"/>
      </w:pPr>
      <w:r>
        <w:rPr>
          <w:rFonts w:ascii="IRNazanin" w:hAnsi="IRNazanin" w:eastAsia="IRNazanin" w:cs="IRNazanin"/>
          <w:lang w:bidi="fa-IR"/>
          <w:color w:val="111111"/>
          <w:sz w:val="28"/>
          <w:szCs w:val="28"/>
          <w:rtl/>
        </w:rPr>
        <w:t xml:space="preserve">۱۲. تهران؛ ملی؛ شماره نسخه: ۱۳۹۹</w:t>
      </w:r>
    </w:p>
    <w:p>
      <w:pPr>
        <w:pStyle w:val="BookText"/>
      </w:pPr>
      <w:r>
        <w:rPr>
          <w:rFonts w:ascii="IRNazanin" w:hAnsi="IRNazanin" w:eastAsia="IRNazanin" w:cs="IRNazanin"/>
          <w:lang w:bidi="fa-IR"/>
          <w:color w:val="111111"/>
          <w:sz w:val="28"/>
          <w:szCs w:val="28"/>
          <w:rtl/>
        </w:rPr>
        <w:t xml:space="preserve">آغاز: برابر؛ انجام: من سگ صفت و سنگدل از همت تو</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نومیدنیم که سنگ و سگ را باراست. خط: نستعلیق خوش، بی کا، تا: قرن ۱۳؛ مهر: ناصر الدین شاه؛ کاغذ: فرنگی، جلد: تیماج قرمز یک لا، ۱۴گ، ۱۰ سطر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۳-۴۵۸]</w:t>
      </w:r>
    </w:p>
    <w:p>
      <w:pPr>
        <w:pStyle w:val="BookText"/>
      </w:pPr>
      <w:r>
        <w:rPr>
          <w:rFonts w:ascii="IRNazanin" w:hAnsi="IRNazanin" w:eastAsia="IRNazanin" w:cs="IRNazanin"/>
          <w:lang w:bidi="fa-IR"/>
          <w:color w:val="111111"/>
          <w:sz w:val="28"/>
          <w:szCs w:val="28"/>
          <w:rtl/>
        </w:rPr>
        <w:t xml:space="preserve">۱۳. تهران؛ نوربخش؛ شماره نسخه: ۷۹۸/۱</w:t>
      </w:r>
    </w:p>
    <w:p>
      <w:pPr>
        <w:pStyle w:val="BookText"/>
      </w:pPr>
      <w:r>
        <w:rPr>
          <w:rFonts w:ascii="IRNazanin" w:hAnsi="IRNazanin" w:eastAsia="IRNazanin" w:cs="IRNazanin"/>
          <w:lang w:bidi="fa-IR"/>
          <w:color w:val="111111"/>
          <w:sz w:val="28"/>
          <w:szCs w:val="28"/>
          <w:rtl/>
        </w:rPr>
        <w:t xml:space="preserve">آغاز: برابر؛ انجام: گذشتن از خود رسیدن به حق دان</w:t>
      </w:r>
    </w:p>
    <w:p>
      <w:pPr>
        <w:pStyle w:val="BookText"/>
      </w:pPr>
      <w:r>
        <w:rPr>
          <w:rFonts w:ascii="IRNazanin" w:hAnsi="IRNazanin" w:eastAsia="IRNazanin" w:cs="IRNazanin"/>
          <w:lang w:bidi="fa-IR"/>
          <w:color w:val="111111"/>
          <w:sz w:val="28"/>
          <w:szCs w:val="28"/>
          <w:rtl/>
        </w:rPr>
        <w:t xml:space="preserve">خط: نستعلیق، بی کا، تا: قرن ۱۳؛ کاغذ: فرنگی شکری رنگی آهار مهره، جلد: تیماج سبز، ۴گی (۱-۴ر)، ۶ و ۱۶ سطر، قطع: جيبي، اندازه: ۱۵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 سم [نشریه: ۱۳-۱۷۳]</w:t>
      </w:r>
    </w:p>
    <w:p>
      <w:pPr>
        <w:pStyle w:val="BookText"/>
      </w:pPr>
      <w:r>
        <w:rPr>
          <w:rFonts w:ascii="IRNazanin" w:hAnsi="IRNazanin" w:eastAsia="IRNazanin" w:cs="IRNazanin"/>
          <w:lang w:bidi="fa-IR"/>
          <w:color w:val="111111"/>
          <w:sz w:val="28"/>
          <w:szCs w:val="28"/>
          <w:rtl/>
        </w:rPr>
        <w:t xml:space="preserve">۱۴. تهران: دانشگاه؛ شماره نسخه: ۲۲۱۲/۱</w:t>
      </w:r>
    </w:p>
    <w:p>
      <w:pPr>
        <w:pStyle w:val="BookText"/>
      </w:pPr>
      <w:r>
        <w:rPr>
          <w:rFonts w:ascii="IRNazanin" w:hAnsi="IRNazanin" w:eastAsia="IRNazanin" w:cs="IRNazanin"/>
          <w:lang w:bidi="fa-IR"/>
          <w:color w:val="111111"/>
          <w:sz w:val="28"/>
          <w:szCs w:val="28"/>
          <w:rtl/>
        </w:rPr>
        <w:t xml:space="preserve">بی کا، تا: قرن ۱۳؛ کاغذ: فرنگی، جلد: تیماج سبز زرکوب مقوایی، ۵گ (۲پوپ)،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سم (ف: ۹-۸۸۹)</w:t>
      </w:r>
    </w:p>
    <w:p>
      <w:pPr>
        <w:pStyle w:val="BookText"/>
      </w:pPr>
      <w:r>
        <w:rPr>
          <w:rFonts w:ascii="IRNazanin" w:hAnsi="IRNazanin" w:eastAsia="IRNazanin" w:cs="IRNazanin"/>
          <w:lang w:bidi="fa-IR"/>
          <w:color w:val="111111"/>
          <w:sz w:val="28"/>
          <w:szCs w:val="28"/>
          <w:rtl/>
        </w:rPr>
        <w:t xml:space="preserve">۱۵. مشهد؛ رضوی؛ شماره نسخه: ۱۶۴۱۷</w:t>
      </w:r>
    </w:p>
    <w:p>
      <w:pPr>
        <w:pStyle w:val="BookText"/>
      </w:pPr>
      <w:r>
        <w:rPr>
          <w:rFonts w:ascii="IRNazanin" w:hAnsi="IRNazanin" w:eastAsia="IRNazanin" w:cs="IRNazanin"/>
          <w:lang w:bidi="fa-IR"/>
          <w:color w:val="111111"/>
          <w:sz w:val="28"/>
          <w:szCs w:val="28"/>
          <w:rtl/>
        </w:rPr>
        <w:t xml:space="preserve">آغاز: برابر؛ انجام: خجل و شرمسار کردی توفیق و رفیق باد. خط: نستعلیق و شکسته خوش، كا: معصوم بن محمد گرمرودی، تا ۱۲۴۰ق؛ اوراق دارای کمند، مجدول؛ واگذاری بنیاد مستضعفان در شهریور ۱۳۶۷؛ کاغذ: نباتی آهار مهره، جلد: تیماج ماشی یک لا جدول بندی به زر، ۴۶گ [ف: ۱۷-۵۲۷]</w:t>
      </w:r>
    </w:p>
    <w:p>
      <w:pPr>
        <w:pStyle w:val="BookText"/>
      </w:pPr>
      <w:r>
        <w:rPr>
          <w:rFonts w:ascii="IRNazanin" w:hAnsi="IRNazanin" w:eastAsia="IRNazanin" w:cs="IRNazanin"/>
          <w:lang w:bidi="fa-IR"/>
          <w:color w:val="111111"/>
          <w:sz w:val="28"/>
          <w:szCs w:val="28"/>
          <w:rtl/>
        </w:rPr>
        <w:t xml:space="preserve">۱۶. قم؛ مرعشی؛ شماره نسخه: ۵۷۹۵/۶</w:t>
      </w:r>
    </w:p>
    <w:p>
      <w:pPr>
        <w:pStyle w:val="BookText"/>
      </w:pPr>
      <w:r>
        <w:rPr>
          <w:rFonts w:ascii="IRNazanin" w:hAnsi="IRNazanin" w:eastAsia="IRNazanin" w:cs="IRNazanin"/>
          <w:lang w:bidi="fa-IR"/>
          <w:color w:val="111111"/>
          <w:sz w:val="28"/>
          <w:szCs w:val="28"/>
          <w:rtl/>
        </w:rPr>
        <w:t xml:space="preserve">آغاز: دنیا همه تلخ است بسان زهره*** خصمی است که در جگر نشاند دهره خط: نستعلیق، کا: محمد تقی بن حاجی تراب شیرازی، تا: ۱۲۳۹ ۱۲۴۰؛ جلد: مقوایی عطف تیماج مشکی، ۱۴گ (۱۳۴ر-۱۴۷ر)، اندازه: 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۱۶/۵ سم [ف: ۱۵-۱۸۲]</w:t>
      </w:r>
    </w:p>
    <w:p>
      <w:pPr>
        <w:pStyle w:val="BookText"/>
      </w:pPr>
      <w:r>
        <w:rPr>
          <w:rFonts w:ascii="IRNazanin" w:hAnsi="IRNazanin" w:eastAsia="IRNazanin" w:cs="IRNazanin"/>
          <w:lang w:bidi="fa-IR"/>
          <w:color w:val="111111"/>
          <w:sz w:val="28"/>
          <w:szCs w:val="28"/>
          <w:rtl/>
        </w:rPr>
        <w:t xml:space="preserve">۱۷. تهران: دانشگاه؛ شماره نسخه: ۴۴۸۲/۱</w:t>
      </w:r>
    </w:p>
    <w:p>
      <w:pPr>
        <w:pStyle w:val="BookText"/>
      </w:pPr>
      <w:r>
        <w:rPr>
          <w:rFonts w:ascii="IRNazanin" w:hAnsi="IRNazanin" w:eastAsia="IRNazanin" w:cs="IRNazanin"/>
          <w:lang w:bidi="fa-IR"/>
          <w:color w:val="111111"/>
          <w:sz w:val="28"/>
          <w:szCs w:val="28"/>
          <w:rtl/>
        </w:rPr>
        <w:t xml:space="preserve">آغاز: نصایح عبدالله انصاری. بسمله. و به نستعین، این چند کلمه ایست از نصایح و اشعار ندیم بارگاه حضرت جباری خواجه عبدالله انصاری ... رباعی: ای ز دردت خستگان را بوی درمان آمده*** یاد تو مر عاشقان را مونس جان آمده ... الهی دلی ده که در کار تو جان بازیم و جانی ده که کار آن جهان سازیم؛ انجام: فرقه بی گبر و فرو و زمره دل ساده اند. این نسخه سخنهای خوش دلخواه است، پیوسته نصیب آگاه است. خط: نستعلیق، بی کا، تا: دو شنبه ۱۸ جمادی الاول ۱۲۴۲ق؛ کاغذ: فرنگی، جلد: تیماج سرخ ضربی، ۱۴گ (۱پ -۱۴ر)، ۱۲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۱۳- ۳۴۳۰]</w:t>
      </w:r>
    </w:p>
    <w:p>
      <w:pPr>
        <w:pStyle w:val="BookText"/>
      </w:pPr>
      <w:r>
        <w:rPr>
          <w:rFonts w:ascii="IRNazanin" w:hAnsi="IRNazanin" w:eastAsia="IRNazanin" w:cs="IRNazanin"/>
          <w:lang w:bidi="fa-IR"/>
          <w:color w:val="111111"/>
          <w:sz w:val="28"/>
          <w:szCs w:val="28"/>
          <w:rtl/>
        </w:rPr>
        <w:t xml:space="preserve">۱۸. تهران؛ مجلس؛ شماره نسخه: ۱۳۸۶۸/۲</w:t>
      </w:r>
    </w:p>
    <w:p>
      <w:pPr>
        <w:pStyle w:val="BookText"/>
      </w:pPr>
      <w:r>
        <w:rPr>
          <w:rFonts w:ascii="IRNazanin" w:hAnsi="IRNazanin" w:eastAsia="IRNazanin" w:cs="IRNazanin"/>
          <w:lang w:bidi="fa-IR"/>
          <w:color w:val="111111"/>
          <w:sz w:val="28"/>
          <w:szCs w:val="28"/>
          <w:rtl/>
        </w:rPr>
        <w:t xml:space="preserve">آغاز: الحمد لله رب العالمين ... اما بعد پیر هراتی عبدالله انصاری قدس سره میفرماید هر که این ده خصلت را شعار خود سازد در دنیا و آخرت کار خود سازد؛ انجام: الهی عمر بر باد کردم و بر تن خود بیداد کردم الهی تو عمر طویل بده قائم آل محمد صلی الله عليه و آله ظهور فرماید آمین یا رب العالمين تم</w:t>
      </w:r>
    </w:p>
    <w:p>
      <w:pPr>
        <w:pStyle w:val="BookText"/>
      </w:pPr>
      <w:r>
        <w:rPr>
          <w:rFonts w:ascii="IRNazanin" w:hAnsi="IRNazanin" w:eastAsia="IRNazanin" w:cs="IRNazanin"/>
          <w:lang w:bidi="fa-IR"/>
          <w:color w:val="111111"/>
          <w:sz w:val="28"/>
          <w:szCs w:val="28"/>
          <w:rtl/>
        </w:rPr>
        <w:t xml:space="preserve">خط: نسخ، بی کا، تا: ۱۱ رجب ۱۲۵۱ق؛ جلد: تیماج مشکی مجدول، ۴گ (۶۹پ -۷۳پ) [ف: ۳۷-۴۳۵]</w:t>
      </w:r>
    </w:p>
    <w:p>
      <w:pPr>
        <w:pStyle w:val="BookText"/>
      </w:pPr>
      <w:r>
        <w:rPr>
          <w:rFonts w:ascii="IRNazanin" w:hAnsi="IRNazanin" w:eastAsia="IRNazanin" w:cs="IRNazanin"/>
          <w:lang w:bidi="fa-IR"/>
          <w:color w:val="111111"/>
          <w:sz w:val="28"/>
          <w:szCs w:val="28"/>
          <w:rtl/>
        </w:rPr>
        <w:t xml:space="preserve">۱۹. تهران: مجلس؛ شماره نسخه: ۱۱۳۴۳/۱۲</w:t>
      </w:r>
    </w:p>
    <w:p>
      <w:pPr>
        <w:pStyle w:val="BookText"/>
      </w:pPr>
      <w:r>
        <w:rPr>
          <w:rFonts w:ascii="IRNazanin" w:hAnsi="IRNazanin" w:eastAsia="IRNazanin" w:cs="IRNazanin"/>
          <w:lang w:bidi="fa-IR"/>
          <w:color w:val="111111"/>
          <w:sz w:val="28"/>
          <w:szCs w:val="28"/>
          <w:rtl/>
        </w:rPr>
        <w:t xml:space="preserve">آغاز: نصایح عبدالله انصاری. بسمله. و به نستعین، این چند کلمه ایست از نصایح و اشعار ندیم بارگاه حضرت جباری خواجه عبدالله انصاری ... رباعی: ای ز دردت خستگان را بوی درمان آمده****یاد تو مر عاشقان را مونس جان آمده ... الهی دلی ده که در کار تو جان بازیم و جانی ده که کار آن جهان سازیم؛ انجام: فرقه بی گبر و فرو و زمره دل ساده اند. این نسخه سخنهای خوش دلخواه است، پیوسته نصیب آگاه است.</w:t>
      </w:r>
    </w:p>
    <w:p>
      <w:pPr>
        <w:pStyle w:val="BookText"/>
      </w:pPr>
      <w:r>
        <w:rPr>
          <w:rFonts w:ascii="IRNazanin" w:hAnsi="IRNazanin" w:eastAsia="IRNazanin" w:cs="IRNazanin"/>
          <w:lang w:bidi="fa-IR"/>
          <w:color w:val="111111"/>
          <w:sz w:val="28"/>
          <w:szCs w:val="28"/>
          <w:rtl/>
        </w:rPr>
        <w:t xml:space="preserve">نصایح و رباعیات؛ خط: نستعلیق، بی کا، تا: جمعه محرم ۱۲۵۵ق، گ (۴۷ ر- ۴۹پ) [مختصر ف: ۸۶۰]</w:t>
      </w:r>
    </w:p>
    <w:p>
      <w:pPr>
        <w:pStyle w:val="BookText"/>
      </w:pPr>
      <w:r>
        <w:rPr>
          <w:rFonts w:ascii="IRNazanin" w:hAnsi="IRNazanin" w:eastAsia="IRNazanin" w:cs="IRNazanin"/>
          <w:lang w:bidi="fa-IR"/>
          <w:color w:val="111111"/>
          <w:sz w:val="28"/>
          <w:szCs w:val="28"/>
          <w:rtl/>
        </w:rPr>
        <w:t xml:space="preserve">۲۰. مشهد؛ شیخ علی حیدر، شماره نسخه: ۱۰۷۰/۴</w:t>
      </w:r>
    </w:p>
    <w:p>
      <w:pPr>
        <w:pStyle w:val="BookText"/>
      </w:pPr>
      <w:r>
        <w:rPr>
          <w:rFonts w:ascii="IRNazanin" w:hAnsi="IRNazanin" w:eastAsia="IRNazanin" w:cs="IRNazanin"/>
          <w:lang w:bidi="fa-IR"/>
          <w:color w:val="111111"/>
          <w:sz w:val="28"/>
          <w:szCs w:val="28"/>
          <w:rtl/>
        </w:rPr>
        <w:t xml:space="preserve">آغاز: الحمدلله رب العالمين و الصلاة على نبيه محمد صلی الله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15" w:name="pg20363_209582"/>
    <w:bookmarkEnd w:id="315"/>
    <w:p>
      <w:pPr>
        <w:pStyle w:val="BookText"/>
      </w:pPr>
      <w:r>
        <w:rPr>
          <w:rFonts w:ascii="IRNazanin" w:hAnsi="IRNazanin" w:eastAsia="IRNazanin" w:cs="IRNazanin"/>
          <w:lang w:bidi="fa-IR"/>
          <w:color w:val="111111"/>
          <w:sz w:val="28"/>
          <w:szCs w:val="28"/>
          <w:rtl/>
        </w:rPr>
        <w:t xml:space="preserve">علیه و آله؛ انجام: فرقه ای بی کبر و فر و فرقه ای دل ساده اند خط: نستعلیق، کا: ابوالقاسم بن احمد کتابفروش، تا: ۱۲۶۹ق، جان مدرسه اکبریه لاهیجان؛ جلد: تیماج قهوه ای، ۹گ (۴۵-۵۳ر)، اندازه: ۱۶/۵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۲۲/۵ سم [مؤيد: ۳-۷۴]</w:t>
      </w:r>
    </w:p>
    <w:p>
      <w:pPr>
        <w:pStyle w:val="BookText"/>
      </w:pPr>
      <w:r>
        <w:rPr>
          <w:rFonts w:ascii="IRNazanin" w:hAnsi="IRNazanin" w:eastAsia="IRNazanin" w:cs="IRNazanin"/>
          <w:lang w:bidi="fa-IR"/>
          <w:color w:val="111111"/>
          <w:sz w:val="28"/>
          <w:szCs w:val="28"/>
          <w:rtl/>
        </w:rPr>
        <w:t xml:space="preserve">۲۱. مشهد؛ رضوی؛ شماره نسخه: ۱۳۷۳۸</w:t>
      </w:r>
    </w:p>
    <w:p>
      <w:pPr>
        <w:pStyle w:val="BookText"/>
      </w:pPr>
      <w:r>
        <w:rPr>
          <w:rFonts w:ascii="IRNazanin" w:hAnsi="IRNazanin" w:eastAsia="IRNazanin" w:cs="IRNazanin"/>
          <w:lang w:bidi="fa-IR"/>
          <w:color w:val="111111"/>
          <w:sz w:val="28"/>
          <w:szCs w:val="28"/>
          <w:rtl/>
        </w:rPr>
        <w:t xml:space="preserve">آغاز: برابر؛ انجام: بتعظيم سلطان غره مشو بد کس پیش او مگوی بقضا رضا ده. خط: نستعلیق خوش جلی، كا: عبدالله حسینی، تا: ۱۲۸۶ق؛ مصدر به ترجمه چهل حدیث جامی (۸۱۷-۸۹۸ق) مجدول، دارای سرلوح منقش و مذهب، دارای کمند؛ واقف: محمود قهرمانی، تیر ۱۳۶۳؛ ۷گ، اندازه: ۲۱/۳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۱۷-۶۳]</w:t>
      </w:r>
    </w:p>
    <w:p>
      <w:pPr>
        <w:pStyle w:val="BookText"/>
      </w:pPr>
      <w:r>
        <w:rPr>
          <w:rFonts w:ascii="IRNazanin" w:hAnsi="IRNazanin" w:eastAsia="IRNazanin" w:cs="IRNazanin"/>
          <w:lang w:bidi="fa-IR"/>
          <w:color w:val="111111"/>
          <w:sz w:val="28"/>
          <w:szCs w:val="28"/>
          <w:rtl/>
        </w:rPr>
        <w:t xml:space="preserve">۲۲. تهران: دانشگاه؛ شماره نسخه: ۵۹۱۷/۲</w:t>
      </w:r>
    </w:p>
    <w:p>
      <w:pPr>
        <w:pStyle w:val="BookText"/>
      </w:pPr>
      <w:r>
        <w:rPr>
          <w:rFonts w:ascii="IRNazanin" w:hAnsi="IRNazanin" w:eastAsia="IRNazanin" w:cs="IRNazanin"/>
          <w:lang w:bidi="fa-IR"/>
          <w:color w:val="111111"/>
          <w:sz w:val="28"/>
          <w:szCs w:val="28"/>
          <w:rtl/>
        </w:rPr>
        <w:t xml:space="preserve">خط: نستعلیق، كا: رضای قاجار، تا: ۱۰ رجب ۱۲۹۸ق؛ کاغذ: فرنگی، جلد: مقوا، عطف تیماج تریاکی، ۱۲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قطع: جیبی،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۱۶-۱۵۲]</w:t>
      </w:r>
    </w:p>
    <w:p>
      <w:pPr>
        <w:pStyle w:val="BookText"/>
      </w:pPr>
      <w:r>
        <w:rPr>
          <w:rFonts w:ascii="IRNazanin" w:hAnsi="IRNazanin" w:eastAsia="IRNazanin" w:cs="IRNazanin"/>
          <w:lang w:bidi="fa-IR"/>
          <w:color w:val="111111"/>
          <w:sz w:val="28"/>
          <w:szCs w:val="28"/>
          <w:rtl/>
        </w:rPr>
        <w:t xml:space="preserve">۲۳. همدان؛ برنا، قاسم؛ شماره نسخه: ۴۰/۱</w:t>
      </w:r>
    </w:p>
    <w:p>
      <w:pPr>
        <w:pStyle w:val="BookText"/>
      </w:pPr>
      <w:r>
        <w:rPr>
          <w:rFonts w:ascii="IRNazanin" w:hAnsi="IRNazanin" w:eastAsia="IRNazanin" w:cs="IRNazanin"/>
          <w:lang w:bidi="fa-IR"/>
          <w:color w:val="111111"/>
          <w:sz w:val="28"/>
          <w:szCs w:val="28"/>
          <w:rtl/>
        </w:rPr>
        <w:t xml:space="preserve">خط: نستعلیق، بی کا، تا: قرن ۱۴ [نشریه: ۵-۳۷۷]</w:t>
      </w:r>
    </w:p>
    <w:p>
      <w:pPr>
        <w:pStyle w:val="BookText"/>
      </w:pPr>
      <w:r>
        <w:rPr>
          <w:rFonts w:ascii="IRNazanin" w:hAnsi="IRNazanin" w:eastAsia="IRNazanin" w:cs="IRNazanin"/>
          <w:lang w:bidi="fa-IR"/>
          <w:color w:val="111111"/>
          <w:sz w:val="28"/>
          <w:szCs w:val="28"/>
          <w:rtl/>
        </w:rPr>
        <w:t xml:space="preserve">۲۴. مشهد؛ رضوی؛ شماره نسخه: ۲۳۷۰۵</w:t>
      </w:r>
    </w:p>
    <w:p>
      <w:pPr>
        <w:pStyle w:val="BookText"/>
      </w:pPr>
      <w:r>
        <w:rPr>
          <w:rFonts w:ascii="IRNazanin" w:hAnsi="IRNazanin" w:eastAsia="IRNazanin" w:cs="IRNazanin"/>
          <w:lang w:bidi="fa-IR"/>
          <w:color w:val="111111"/>
          <w:sz w:val="28"/>
          <w:szCs w:val="28"/>
          <w:rtl/>
        </w:rPr>
        <w:t xml:space="preserve">آغاز: بیک چشم از تو قانع نیستم؛ انجام: ما در خاک تیره و شما در خواب غفلت</w:t>
      </w:r>
    </w:p>
    <w:p>
      <w:pPr>
        <w:pStyle w:val="BookText"/>
      </w:pPr>
      <w:r>
        <w:rPr>
          <w:rFonts w:ascii="IRNazanin" w:hAnsi="IRNazanin" w:eastAsia="IRNazanin" w:cs="IRNazanin"/>
          <w:lang w:bidi="fa-IR"/>
          <w:color w:val="111111"/>
          <w:sz w:val="28"/>
          <w:szCs w:val="28"/>
          <w:rtl/>
        </w:rPr>
        <w:t xml:space="preserve">خط: نستعلیق، بی کا، بی تا [رایانه ]</w:t>
      </w:r>
    </w:p>
    <w:p>
      <w:pPr>
        <w:pStyle w:val="BookText"/>
      </w:pPr>
      <w:r>
        <w:rPr>
          <w:rFonts w:ascii="IRNazanin" w:hAnsi="IRNazanin" w:eastAsia="IRNazanin" w:cs="IRNazanin"/>
          <w:lang w:bidi="fa-IR"/>
          <w:color w:val="111111"/>
          <w:sz w:val="28"/>
          <w:szCs w:val="28"/>
          <w:rtl/>
        </w:rPr>
        <w:t xml:space="preserve">۲۵. تهران؛ مجلس؛ شماره نسخه: ۲۷۸۵/۷</w:t>
      </w:r>
    </w:p>
    <w:p>
      <w:pPr>
        <w:pStyle w:val="BookText"/>
      </w:pPr>
      <w:r>
        <w:rPr>
          <w:rFonts w:ascii="IRNazanin" w:hAnsi="IRNazanin" w:eastAsia="IRNazanin" w:cs="IRNazanin"/>
          <w:lang w:bidi="fa-IR"/>
          <w:color w:val="111111"/>
          <w:sz w:val="28"/>
          <w:szCs w:val="28"/>
          <w:rtl/>
        </w:rPr>
        <w:t xml:space="preserve">آغاز: الهی چون توانستم ندانستم و چون دانستم نتوانستم ای اهل جاه ببازار و بمسجد بی گاه انجام این مذهب خواجه عبدالله انصاریست دنیا را اگر دوست میداری بده تا بماند و اگر دشمنم میداری بده تا نماند.</w:t>
      </w:r>
    </w:p>
    <w:p>
      <w:pPr>
        <w:pStyle w:val="BookText"/>
      </w:pPr>
      <w:r>
        <w:rPr>
          <w:rFonts w:ascii="IRNazanin" w:hAnsi="IRNazanin" w:eastAsia="IRNazanin" w:cs="IRNazanin"/>
          <w:lang w:bidi="fa-IR"/>
          <w:color w:val="111111"/>
          <w:sz w:val="28"/>
          <w:szCs w:val="28"/>
          <w:rtl/>
        </w:rPr>
        <w:t xml:space="preserve">بی کا، بی تا، کاغذ: فرنگی شکری رنگ، جلد: تیماج خرمائی طلاکوب، ۳ص (۵۹-۶۱)، ۲۳ سطر، قطع: نیم خشتی، اندازه: ۱۲/۵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سم [ف: ۱۰-۲۸]</w:t>
      </w:r>
    </w:p>
    <w:p>
      <w:pPr>
        <w:pStyle w:val="BookText"/>
      </w:pPr>
      <w:r>
        <w:rPr>
          <w:rFonts w:ascii="IRNazanin" w:hAnsi="IRNazanin" w:eastAsia="IRNazanin" w:cs="IRNazanin"/>
          <w:lang w:bidi="fa-IR"/>
          <w:color w:val="111111"/>
          <w:sz w:val="28"/>
          <w:szCs w:val="28"/>
          <w:rtl/>
        </w:rPr>
        <w:t xml:space="preserve">۲۶. تهران؛ دانشگاه؛ شماره نسخه: ۴۸۳/۱۰</w:t>
      </w:r>
    </w:p>
    <w:p>
      <w:pPr>
        <w:pStyle w:val="BookText"/>
      </w:pPr>
      <w:r>
        <w:rPr>
          <w:rFonts w:ascii="IRNazanin" w:hAnsi="IRNazanin" w:eastAsia="IRNazanin" w:cs="IRNazanin"/>
          <w:lang w:bidi="fa-IR"/>
          <w:color w:val="111111"/>
          <w:sz w:val="28"/>
          <w:szCs w:val="28"/>
          <w:rtl/>
        </w:rPr>
        <w:t xml:space="preserve">-ف آغاز: اذا دخل عنده قال: دل کوش و عیب پوش خط: نستعلیق، بی کا، بی تا؛ مراد ملا ش ۱۷۹۶، ۹گ (۲۴۵-۲۵۳) فیلمها ف: ۱-۴۹۱]</w:t>
      </w:r>
    </w:p>
    <w:p>
      <w:pPr>
        <w:pStyle w:val="BookText"/>
      </w:pPr>
      <w:r>
        <w:rPr>
          <w:rFonts w:ascii="IRNazanin" w:hAnsi="IRNazanin" w:eastAsia="IRNazanin" w:cs="IRNazanin"/>
          <w:lang w:bidi="fa-IR"/>
          <w:color w:val="111111"/>
          <w:sz w:val="28"/>
          <w:szCs w:val="28"/>
          <w:rtl/>
        </w:rPr>
        <w:t xml:space="preserve">۲۷. تهران؛ دانشگاه؛ شماره نسخه: ۱۱۴۶/۳ ف</w:t>
      </w:r>
    </w:p>
    <w:p>
      <w:pPr>
        <w:pStyle w:val="BookText"/>
      </w:pPr>
      <w:r>
        <w:rPr>
          <w:rFonts w:ascii="IRNazanin" w:hAnsi="IRNazanin" w:eastAsia="IRNazanin" w:cs="IRNazanin"/>
          <w:lang w:bidi="fa-IR"/>
          <w:color w:val="111111"/>
          <w:sz w:val="28"/>
          <w:szCs w:val="28"/>
          <w:rtl/>
        </w:rPr>
        <w:t xml:space="preserve">نسخه اصل: بادلیان 2691) </w:t>
      </w:r>
      <w:r>
        <w:rPr>
          <w:rFonts w:ascii="Times New Roman" w:hAnsi="Times New Roman" w:eastAsia="Times New Roman" w:cs="Times New Roman"/>
          <w:lang w:val="en-US" w:bidi="en-US"/>
          <w:color w:val="111111"/>
          <w:sz w:val="28"/>
          <w:szCs w:val="28"/>
          <w:rtl/>
        </w:rPr>
        <w:t xml:space="preserve">e37 </w:t>
      </w:r>
      <w:r>
        <w:rPr>
          <w:rFonts w:ascii="IRNazanin" w:hAnsi="IRNazanin" w:eastAsia="IRNazanin" w:cs="IRNazanin"/>
          <w:lang w:bidi="fa-IR"/>
          <w:color w:val="111111"/>
          <w:sz w:val="28"/>
          <w:szCs w:val="28"/>
          <w:rtl/>
        </w:rPr>
        <w:t xml:space="preserve">و ۲۶۸ و ۲۶۸۱)؛ بی کا، بی تا [فیلمها ف: ۱-۵۷۰]</w:t>
      </w:r>
    </w:p>
    <w:p>
      <w:pPr>
        <w:pStyle w:val="BookText"/>
      </w:pPr>
      <w:r>
        <w:rPr>
          <w:rFonts w:ascii="IRNazanin" w:hAnsi="IRNazanin" w:eastAsia="IRNazanin" w:cs="IRNazanin"/>
          <w:lang w:bidi="fa-IR"/>
          <w:color w:val="111111"/>
          <w:sz w:val="28"/>
          <w:szCs w:val="28"/>
          <w:rtl/>
        </w:rPr>
        <w:t xml:space="preserve">۲۸. تهران؛ دانشگاه؛ شماره نسخه: ۱۲۳۶/۳۹ ف و ۱۳۳۸/۳۹ -ف</w:t>
      </w:r>
    </w:p>
    <w:p>
      <w:pPr>
        <w:pStyle w:val="BookText"/>
      </w:pPr>
      <w:r>
        <w:rPr>
          <w:rFonts w:ascii="IRNazanin" w:hAnsi="IRNazanin" w:eastAsia="IRNazanin" w:cs="IRNazanin"/>
          <w:lang w:bidi="fa-IR"/>
          <w:color w:val="111111"/>
          <w:sz w:val="28"/>
          <w:szCs w:val="28"/>
          <w:rtl/>
        </w:rPr>
        <w:t xml:space="preserve">نسخه اصل: بادلیان 69 .</w:t>
      </w:r>
      <w:r>
        <w:rPr>
          <w:rFonts w:ascii="Times New Roman" w:hAnsi="Times New Roman" w:eastAsia="Times New Roman" w:cs="Times New Roman"/>
          <w:lang w:val="en-US" w:bidi="en-US"/>
          <w:color w:val="111111"/>
          <w:sz w:val="28"/>
          <w:szCs w:val="28"/>
          <w:rtl/>
        </w:rPr>
        <w:t xml:space="preserve">Add </w:t>
      </w:r>
      <w:r>
        <w:rPr>
          <w:rFonts w:ascii="IRNazanin" w:hAnsi="IRNazanin" w:eastAsia="IRNazanin" w:cs="IRNazanin"/>
          <w:lang w:bidi="fa-IR"/>
          <w:color w:val="111111"/>
          <w:sz w:val="28"/>
          <w:szCs w:val="28"/>
          <w:rtl/>
        </w:rPr>
        <w:t xml:space="preserve">اوزلی (ش ۱۲۴۱)؛ بی کا، بی تا [فیلمها ف: ۱-۵۸۵]</w:t>
      </w:r>
    </w:p>
    <w:p>
      <w:pPr>
        <w:pStyle w:val="BookText"/>
      </w:pPr>
      <w:r>
        <w:rPr>
          <w:rFonts w:ascii="IRNazanin" w:hAnsi="IRNazanin" w:eastAsia="IRNazanin" w:cs="IRNazanin"/>
          <w:lang w:bidi="fa-IR"/>
          <w:color w:val="111111"/>
          <w:sz w:val="28"/>
          <w:szCs w:val="28"/>
          <w:rtl/>
        </w:rPr>
        <w:t xml:space="preserve">۲۹. کاشان؛ مدرسه سلطانی؛ شماره نسخه: ۳۶۱/۲</w:t>
      </w:r>
    </w:p>
    <w:p>
      <w:pPr>
        <w:pStyle w:val="BookText"/>
      </w:pPr>
      <w:r>
        <w:rPr>
          <w:rFonts w:ascii="IRNazanin" w:hAnsi="IRNazanin" w:eastAsia="IRNazanin" w:cs="IRNazanin"/>
          <w:lang w:bidi="fa-IR"/>
          <w:color w:val="111111"/>
          <w:sz w:val="28"/>
          <w:szCs w:val="28"/>
          <w:rtl/>
        </w:rPr>
        <w:t xml:space="preserve">آغاز: الحمد لله رب العالمين ... اما بعد این سخنانیست که حضرت قطب الأوتاد الشيخ الكبير ... در هر بابی فرموده اند تا هر کس از سخنی در خور مشرب خود بهره گیرد في حق أهل الدنيا و احوالنا، رباعی: دنيا همه تلخست بسان زهره*** خصمسیت که در جگر نشانده دهره / آنکس که ازو گرفت امروز نصيب*** فردا ز بتول حق ندارد بهره. ای درویش بدانکه دنیان جهان غرورست و شهرستان شرور است عنا آن غر پیشه است؛ انجام: بنهجي سؤال کردند که درویشی کدامست فرموده درویشی خاکیست پخته آبکی برو ریخته نه کف پا را از و دردی ونه پشت پا را از او گردی. خط: نستعلیق، بی کا، بی تا؛ مجدول؛ جلد: تیماج سیاه، ۲۵گ، ۱۴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سم [ف مخ]</w:t>
      </w:r>
    </w:p>
    <w:p>
      <w:pPr>
        <w:pStyle w:val="BookText"/>
      </w:pPr>
      <w:r>
        <w:rPr>
          <w:rFonts w:ascii="Amiri" w:hAnsi="Amiri" w:eastAsia="Amiri" w:cs="Amiri"/>
          <w:lang w:bidi="ar-SA"/>
          <w:color w:val="111111"/>
          <w:sz w:val="28"/>
          <w:szCs w:val="28"/>
          <w:rtl/>
        </w:rPr>
        <w:t xml:space="preserve">۳۰. مشهد: الهيات؛ شماره نسخه: ۶۹۴/۷۹</w:t>
      </w:r>
    </w:p>
    <w:p>
      <w:pPr>
        <w:pStyle w:val="BookText"/>
      </w:pPr>
      <w:r>
        <w:rPr>
          <w:rFonts w:ascii="IRNazanin" w:hAnsi="IRNazanin" w:eastAsia="IRNazanin" w:cs="IRNazanin"/>
          <w:lang w:bidi="fa-IR"/>
          <w:color w:val="111111"/>
          <w:sz w:val="28"/>
          <w:szCs w:val="28"/>
          <w:rtl/>
        </w:rPr>
        <w:t xml:space="preserve">خط: نسخ و نستعلیق، بی کا، بی تا، کاغذ فرنگی و فستقی؛ جلد: تیماج عنابی، 3ص، اندازه:</w:t>
      </w:r>
    </w:p>
    <w:p>
      <w:pPr>
        <w:pStyle w:val="BookText"/>
      </w:pPr>
      <w:r>
        <w:rPr>
          <w:rFonts w:ascii="IRNazanin" w:hAnsi="IRNazanin" w:eastAsia="IRNazanin" w:cs="IRNazanin"/>
          <w:lang w:bidi="fa-IR"/>
          <w:color w:val="111111"/>
          <w:sz w:val="28"/>
          <w:szCs w:val="28"/>
          <w:rtl/>
        </w:rPr>
        <w:t xml:space="preserve">۱۳/۵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۲۲/۵سم [ف: ۱-۵۴۹]</w:t>
      </w:r>
    </w:p>
    <w:p>
      <w:pPr>
        <w:pStyle w:val="BookText"/>
      </w:pPr>
      <w:r>
        <w:rPr>
          <w:rFonts w:ascii="IRNazanin" w:hAnsi="IRNazanin" w:eastAsia="IRNazanin" w:cs="IRNazanin"/>
          <w:lang w:bidi="fa-IR"/>
          <w:color w:val="111111"/>
          <w:sz w:val="28"/>
          <w:szCs w:val="28"/>
          <w:rtl/>
        </w:rPr>
        <w:t xml:space="preserve">۳۱. تهران؛ دانشگاه؛ شماره نسخه: ۲۵۲۳/۵</w:t>
      </w:r>
    </w:p>
    <w:p>
      <w:pPr>
        <w:pStyle w:val="BookText"/>
      </w:pPr>
      <w:r>
        <w:rPr>
          <w:rFonts w:ascii="IRNazanin" w:hAnsi="IRNazanin" w:eastAsia="IRNazanin" w:cs="IRNazanin"/>
          <w:lang w:bidi="fa-IR"/>
          <w:color w:val="111111"/>
          <w:sz w:val="28"/>
          <w:szCs w:val="28"/>
          <w:rtl/>
        </w:rPr>
        <w:t xml:space="preserve">آغاز: برابر؛ انجام: از نادان دامن درکش خط: نسخ، كا: مذنب شاعر، بی تا؛ محشی؛ کاغذ: فرنگی، جلد: تیماج تریاکی مقوایی، ۳ص (۵۱-۵۳)، ۱۰ سطر (۱۰/۵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۱۵/۵)، اندازه:</w:t>
      </w:r>
    </w:p>
    <w:p>
      <w:pPr>
        <w:pStyle w:val="BookText"/>
      </w:pPr>
      <w:r>
        <w:rPr>
          <w:rFonts w:ascii="IRNazanin" w:hAnsi="IRNazanin" w:eastAsia="IRNazanin" w:cs="IRNazanin"/>
          <w:lang w:bidi="fa-IR"/>
          <w:color w:val="111111"/>
          <w:sz w:val="28"/>
          <w:szCs w:val="28"/>
          <w:rtl/>
        </w:rPr>
        <w:t xml:space="preserve">۱۵/۵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سم [ف: ۹-۱۳۲۰]</w:t>
      </w:r>
    </w:p>
    <w:p>
      <w:pPr>
        <w:pStyle w:val="BookText"/>
      </w:pPr>
      <w:r>
        <w:rPr>
          <w:rFonts w:ascii="IRNazanin" w:hAnsi="IRNazanin" w:eastAsia="IRNazanin" w:cs="IRNazanin"/>
          <w:lang w:bidi="fa-IR"/>
          <w:color w:val="111111"/>
          <w:sz w:val="28"/>
          <w:szCs w:val="28"/>
          <w:rtl/>
        </w:rPr>
        <w:t xml:space="preserve">۳۲. قم: مرکز مطالعات؛ شماره نسخه: ۸۸۷/۱۰</w:t>
      </w:r>
    </w:p>
    <w:p>
      <w:pPr>
        <w:pStyle w:val="BookText"/>
      </w:pPr>
      <w:r>
        <w:rPr>
          <w:rFonts w:ascii="IRNazanin" w:hAnsi="IRNazanin" w:eastAsia="IRNazanin" w:cs="IRNazanin"/>
          <w:lang w:bidi="fa-IR"/>
          <w:color w:val="111111"/>
          <w:sz w:val="28"/>
          <w:szCs w:val="28"/>
          <w:rtl/>
        </w:rPr>
        <w:t xml:space="preserve">آغاز: نسخه: بسمله، شيخ بنظام الملک نوشته است: که ای عزیز زندگی تو وقتی از مرگ به بود که تا به یازده خصلت مخصوص گردی.. انجام: علم آن بود که حق سبحانه و تعالی در دل بنده مومن ریزد.</w:t>
      </w:r>
    </w:p>
    <w:p>
      <w:pPr>
        <w:pStyle w:val="BookText"/>
      </w:pPr>
      <w:r>
        <w:rPr>
          <w:rFonts w:ascii="IRNazanin" w:hAnsi="IRNazanin" w:eastAsia="IRNazanin" w:cs="IRNazanin"/>
          <w:lang w:bidi="fa-IR"/>
          <w:color w:val="111111"/>
          <w:sz w:val="28"/>
          <w:szCs w:val="28"/>
          <w:rtl/>
        </w:rPr>
        <w:t xml:space="preserve">خط: نسخ، بی کا، بی تا؛ جلد: تیماج قهوه ای، ۶گ (۹۵ر -۱۰۰)، ۱۷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۲-۱۵۱]</w:t>
      </w:r>
    </w:p>
    <w:p>
      <w:pPr>
        <w:pStyle w:val="BookText"/>
      </w:pPr>
      <w:r>
        <w:rPr>
          <w:rFonts w:ascii="IRNazanin" w:hAnsi="IRNazanin" w:eastAsia="IRNazanin" w:cs="IRNazanin"/>
          <w:lang w:bidi="fa-IR"/>
          <w:color w:val="111111"/>
          <w:sz w:val="28"/>
          <w:szCs w:val="28"/>
          <w:rtl/>
        </w:rPr>
        <w:t xml:space="preserve">۳۳. تهران: مجلس؛ شماره نسخه: ۱۳۸۷۵/۷</w:t>
      </w:r>
    </w:p>
    <w:p>
      <w:pPr>
        <w:pStyle w:val="BookText"/>
      </w:pPr>
      <w:r>
        <w:rPr>
          <w:rFonts w:ascii="IRNazanin" w:hAnsi="IRNazanin" w:eastAsia="IRNazanin" w:cs="IRNazanin"/>
          <w:lang w:bidi="fa-IR"/>
          <w:color w:val="111111"/>
          <w:sz w:val="28"/>
          <w:szCs w:val="28"/>
          <w:rtl/>
        </w:rPr>
        <w:t xml:space="preserve">آغاز: اذا دخل عنده قال: دل کوش و عیب پوش</w:t>
      </w:r>
    </w:p>
    <w:p>
      <w:pPr>
        <w:pStyle w:val="BookText"/>
      </w:pPr>
      <w:r>
        <w:rPr>
          <w:rFonts w:ascii="IRNazanin" w:hAnsi="IRNazanin" w:eastAsia="IRNazanin" w:cs="IRNazanin"/>
          <w:lang w:bidi="fa-IR"/>
          <w:color w:val="111111"/>
          <w:sz w:val="28"/>
          <w:szCs w:val="28"/>
          <w:rtl/>
        </w:rPr>
        <w:t xml:space="preserve">خط: نستعلیق، بی کا، بی تا؛ ۲گ (۳۶پ -۳۷ر) [ف: ۳۷-۴۴۳]</w:t>
      </w:r>
    </w:p>
    <w:p>
      <w:pPr>
        <w:pStyle w:val="BookText"/>
      </w:pPr>
      <w:r>
        <w:rPr>
          <w:rFonts w:ascii="IRNazanin" w:hAnsi="IRNazanin" w:eastAsia="IRNazanin" w:cs="IRNazanin"/>
          <w:lang w:bidi="fa-IR"/>
          <w:color w:val="111111"/>
          <w:sz w:val="28"/>
          <w:szCs w:val="28"/>
          <w:rtl/>
        </w:rPr>
        <w:t xml:space="preserve">۳۴. تهران؛ دانشگاه؛ شماره نسخه: ۷۵۶۶/۳</w:t>
      </w:r>
    </w:p>
    <w:p>
      <w:pPr>
        <w:pStyle w:val="BookText"/>
      </w:pPr>
      <w:r>
        <w:rPr>
          <w:rFonts w:ascii="IRNazanin" w:hAnsi="IRNazanin" w:eastAsia="IRNazanin" w:cs="IRNazanin"/>
          <w:lang w:bidi="fa-IR"/>
          <w:color w:val="111111"/>
          <w:sz w:val="28"/>
          <w:szCs w:val="28"/>
          <w:rtl/>
        </w:rPr>
        <w:t xml:space="preserve">خط: نستعلیق، بی کا، بی تا، افتادگی: انجام؛ کاغذ: فرنگی، جلد: تیماج قهوه ای مقوایی، اص (۳۴)، ۱۵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قطع: بغلی،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سم [ف: ۱۶-۶۳۱]</w:t>
      </w:r>
    </w:p>
    <w:p>
      <w:pPr>
        <w:pStyle w:val="Heading3"/>
      </w:pPr>
      <w:bookmarkStart w:id="1797" w:name="_Toc1057"/>
      <w:r>
        <w:t>•پندنامه = نصایح = ولدنامه = پسر نامه / شعر / فارسی</w:t>
      </w:r>
      <w:bookmarkEnd w:id="1797"/>
    </w:p>
    <w:p>
      <w:pPr>
        <w:pStyle w:val="BookText"/>
      </w:pPr>
      <w:r>
        <w:rPr>
          <w:rFonts w:ascii="Times New Roman" w:hAnsi="Times New Roman" w:eastAsia="Times New Roman" w:cs="Times New Roman"/>
          <w:lang w:val="en-US" w:bidi="en-US"/>
          <w:color w:val="111111"/>
          <w:sz w:val="28"/>
          <w:szCs w:val="28"/>
          <w:rtl/>
        </w:rPr>
        <w:t xml:space="preserve">pand-nāme = nasāyeh = valad-nāme = pesar-nāme</w:t>
      </w:r>
    </w:p>
    <w:p>
      <w:pPr>
        <w:pStyle w:val="BookText"/>
      </w:pPr>
      <w:r>
        <w:rPr>
          <w:rFonts w:ascii="IRNazanin" w:hAnsi="IRNazanin" w:eastAsia="IRNazanin" w:cs="IRNazanin"/>
          <w:lang w:bidi="fa-IR"/>
          <w:color w:val="111111"/>
          <w:sz w:val="28"/>
          <w:szCs w:val="28"/>
          <w:rtl/>
        </w:rPr>
        <w:t xml:space="preserve">عطار، محمد بن ابراهیم، ۵۳۷؟ -۶۲۷؟ قمری</w:t>
      </w:r>
    </w:p>
    <w:p>
      <w:pPr>
        <w:pStyle w:val="BookText"/>
      </w:pPr>
      <w:r>
        <w:rPr>
          <w:rFonts w:ascii="Times New Roman" w:hAnsi="Times New Roman" w:eastAsia="Times New Roman" w:cs="Times New Roman"/>
          <w:lang w:val="en-US" w:bidi="en-US"/>
          <w:color w:val="111111"/>
          <w:sz w:val="28"/>
          <w:szCs w:val="28"/>
          <w:rtl/>
        </w:rPr>
        <w:t xml:space="preserve">‘attār, mohammad ebn-e ebrāhīm (1143-1230)</w:t>
      </w:r>
    </w:p>
    <w:p>
      <w:pPr>
        <w:pStyle w:val="BookText"/>
      </w:pPr>
      <w:r>
        <w:rPr>
          <w:rFonts w:ascii="IRNazanin" w:hAnsi="IRNazanin" w:eastAsia="IRNazanin" w:cs="IRNazanin"/>
          <w:lang w:bidi="fa-IR"/>
          <w:color w:val="111111"/>
          <w:sz w:val="28"/>
          <w:szCs w:val="28"/>
          <w:rtl/>
        </w:rPr>
        <w:t xml:space="preserve">منظومه اخلاقی است بر وزن مثنوی مولانا اثر مشهور شیخ فرید الدین محمد عطار نیشابوری که در حدود ۸۵۰ بیت است و بیش از هر کتاب دیگر عطار به طبع رسیده و به عربی و ترکی و هندی نیز ترجمه شده است. نام این منظومه در برخی نسخه ها «ولدنامه» است، ولی به این نام معروف نیست، امین احمد رازی نیز در تذکره هفت اقلیم «ولدنامه» ذکر کرده و حاجی خلیفه در کشف الظنون «پسر نامه» نوشته است. اختیار این نام از آنجاست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این مثنوی ابیات زیادی خطاب به پسر وجود دارد و عطار هم در سایر منظومات خویش از آن نامی نبرده است. از این رو بعضی «ولدنامه» نوشته اند و برخی «پسر نامه» ولی آنچه معروف است «پندنامه» است. در این مثنوی هم عطار مانند سایر مثنوی های خود به مدح خلفای سه گانه و ستایش ابو حنيفه و شافعی پرداخته و تسنن خود را ثابت کرده است، ولی ناشران به منظور این که وی را شیعه وانمود سازند ابیات مزبور را حذف کرده اند. ابيات محذوفه این است که در دنبال نعت سید المرسلین آمده است: آنکه شد یارش ابابکر و عمر</w:t>
      </w:r>
      <w:r>
        <w:rPr>
          <w:rFonts w:ascii="IRNazanin" w:hAnsi="IRNazanin" w:eastAsia="IRNazanin" w:cs="IRNazanin"/>
          <w:lang w:bidi="fa-IR"/>
          <w:color w:val="111111"/>
          <w:sz w:val="28"/>
          <w:szCs w:val="28"/>
          <w:b w:val="1"/>
          <w:bCs w:val="1"/>
          <w:i w:val="1"/>
          <w:iCs w:val="1"/>
          <w:rtl/>
        </w:rPr>
        <w:t xml:space="preserve">از سر انگشت او شق شد قمر / آن یکی او را رفیق غار بود</w:t>
      </w:r>
      <w:r>
        <w:rPr>
          <w:rFonts w:ascii="IRNazanin" w:hAnsi="IRNazanin" w:eastAsia="IRNazanin" w:cs="IRNazanin"/>
          <w:lang w:bidi="fa-IR"/>
          <w:color w:val="111111"/>
          <w:sz w:val="28"/>
          <w:szCs w:val="28"/>
          <w:rtl/>
        </w:rPr>
        <w:t xml:space="preserve"> و آندگر لشکر کش ابرار بود / صاحبش بودند عثمان و على </w:t>
      </w:r>
      <w:r>
        <w:rPr>
          <w:rFonts w:ascii="IRNazanin" w:hAnsi="IRNazanin" w:eastAsia="IRNazanin" w:cs="IRNazanin"/>
          <w:lang w:bidi="fa-IR"/>
          <w:color w:val="111111"/>
          <w:sz w:val="28"/>
          <w:szCs w:val="28"/>
          <w:b w:val="1"/>
          <w:bCs w:val="1"/>
          <w:i w:val="1"/>
          <w:iCs w:val="1"/>
          <w:rtl/>
        </w:rPr>
        <w:t xml:space="preserve">بهر او گشتند در عالم ولی / آن یکی كان حيا و حلم بود</w:t>
      </w:r>
      <w:r>
        <w:rPr>
          <w:rFonts w:ascii="IRNazanin" w:hAnsi="IRNazanin" w:eastAsia="IRNazanin" w:cs="IRNazanin"/>
          <w:lang w:bidi="fa-IR"/>
          <w:color w:val="111111"/>
          <w:sz w:val="28"/>
          <w:szCs w:val="28"/>
          <w:rtl/>
        </w:rPr>
        <w:t xml:space="preserve">و آندگر باب مدینه علم بود / آن رسول حق که خير الناس بود*** عم پاکش حمزه و عباس بود. در مناقب ائمه دین رضوان الله عليهم اجمعین: آن امامانیکه کردند اجتهاد</w:t>
      </w:r>
      <w:r>
        <w:rPr>
          <w:rFonts w:ascii="IRNazanin" w:hAnsi="IRNazanin" w:eastAsia="IRNazanin" w:cs="IRNazanin"/>
          <w:lang w:bidi="fa-IR"/>
          <w:color w:val="111111"/>
          <w:sz w:val="28"/>
          <w:szCs w:val="28"/>
          <w:b w:val="1"/>
          <w:bCs w:val="1"/>
          <w:i w:val="1"/>
          <w:iCs w:val="1"/>
          <w:rtl/>
        </w:rPr>
        <w:t xml:space="preserve">رحمت حق بر روان جمله باد / بوحنيفه بود امام اصفيا *** آن سراج امتان مصطفی / باد فضل حق قرین جان او</w:t>
      </w:r>
      <w:r>
        <w:rPr>
          <w:rFonts w:ascii="IRNazanin" w:hAnsi="IRNazanin" w:eastAsia="IRNazanin" w:cs="IRNazanin"/>
          <w:lang w:bidi="fa-IR"/>
          <w:color w:val="111111"/>
          <w:sz w:val="28"/>
          <w:szCs w:val="28"/>
          <w:rtl/>
        </w:rPr>
        <w:t xml:space="preserve"> شاد بادا روح شاگردان او / صاحبش بویوسف القاضی شده</w:t>
      </w:r>
      <w:r>
        <w:rPr>
          <w:rFonts w:ascii="IRNazanin" w:hAnsi="IRNazanin" w:eastAsia="IRNazanin" w:cs="IRNazanin"/>
          <w:lang w:bidi="fa-IR"/>
          <w:color w:val="111111"/>
          <w:sz w:val="28"/>
          <w:szCs w:val="28"/>
          <w:b w:val="1"/>
          <w:bCs w:val="1"/>
          <w:i w:val="1"/>
          <w:iCs w:val="1"/>
          <w:rtl/>
        </w:rPr>
        <w:t xml:space="preserve">وز محمد ذوالمنن راضی شده / شافعی ادریس و مالک با زفر</w:t>
      </w:r>
      <w:r>
        <w:rPr>
          <w:rFonts w:ascii="IRNazanin" w:hAnsi="IRNazanin" w:eastAsia="IRNazanin" w:cs="IRNazanin"/>
          <w:lang w:bidi="fa-IR"/>
          <w:color w:val="111111"/>
          <w:sz w:val="28"/>
          <w:szCs w:val="28"/>
          <w:rtl/>
        </w:rPr>
        <w:t xml:space="preserve"> یافت زیشان دین احمد زیب و فر / روحشان در صدر جنت شاد باد*** قصر دین از علمشان آباد باد. در فصل تفريد و تجرید تخلص خود را تلویح چنین آورده است: هر که گرد کوره انگشت گشت</w:t>
      </w:r>
      <w:r>
        <w:rPr>
          <w:rFonts w:ascii="IRNazanin" w:hAnsi="IRNazanin" w:eastAsia="IRNazanin" w:cs="IRNazanin"/>
          <w:lang w:bidi="fa-IR"/>
          <w:color w:val="111111"/>
          <w:sz w:val="28"/>
          <w:szCs w:val="28"/>
          <w:b w:val="1"/>
          <w:bCs w:val="1"/>
          <w:i w:val="1"/>
          <w:iCs w:val="1"/>
          <w:rtl/>
        </w:rPr>
        <w:t xml:space="preserve">جامه از دودش سیاه و زشت گشت / وانکه با عطار می گردد قریب</w:t>
      </w:r>
      <w:r>
        <w:rPr>
          <w:rFonts w:ascii="IRNazanin" w:hAnsi="IRNazanin" w:eastAsia="IRNazanin" w:cs="IRNazanin"/>
          <w:lang w:bidi="fa-IR"/>
          <w:color w:val="111111"/>
          <w:sz w:val="28"/>
          <w:szCs w:val="28"/>
          <w:rtl/>
        </w:rPr>
        <w:t xml:space="preserve">او همی یابد ز بوی خوش نصیب. (گلچین معانی)</w:t>
      </w:r>
    </w:p>
    <w:p>
      <w:pPr>
        <w:pStyle w:val="BookText"/>
      </w:pPr>
      <w:r>
        <w:rPr>
          <w:rFonts w:ascii="IRNazanin" w:hAnsi="IRNazanin" w:eastAsia="IRNazanin" w:cs="IRNazanin"/>
          <w:lang w:bidi="fa-IR"/>
          <w:color w:val="111111"/>
          <w:sz w:val="28"/>
          <w:szCs w:val="28"/>
          <w:rtl/>
        </w:rPr>
        <w:t xml:space="preserve">عنوان های آن عبارتند از: در منقبت ائمه، در عذر گناه، در مذمت نفس اماره، در سبب نجات، در بیان فضیلت ذکر، در بیان سلوک با مردم، در بیان علامات مدبری، در بیان احتراز کردن از چهار چیز.</w:t>
      </w:r>
    </w:p>
    <w:p>
      <w:pPr>
        <w:pStyle w:val="BookText"/>
      </w:pPr>
      <w:r>
        <w:rPr>
          <w:rFonts w:ascii="IRNazanin" w:hAnsi="IRNazanin" w:eastAsia="IRNazanin" w:cs="IRNazanin"/>
          <w:lang w:bidi="fa-IR"/>
          <w:color w:val="111111"/>
          <w:sz w:val="28"/>
          <w:szCs w:val="28"/>
          <w:rtl/>
        </w:rPr>
        <w:t xml:space="preserve">آغاز 1: حمد بیحد مر خدای پاک را ***آنکه ایمان داد مشت خاک را / آنکه در آدم دمید او روح را *** داد از طوفان نجات او نوح را</w:t>
      </w:r>
    </w:p>
    <w:p>
      <w:pPr>
        <w:pStyle w:val="BookText"/>
      </w:pPr>
      <w:r>
        <w:rPr>
          <w:rFonts w:ascii="IRNazanin" w:hAnsi="IRNazanin" w:eastAsia="IRNazanin" w:cs="IRNazanin"/>
          <w:lang w:bidi="fa-IR"/>
          <w:color w:val="111111"/>
          <w:sz w:val="28"/>
          <w:szCs w:val="28"/>
          <w:rtl/>
        </w:rPr>
        <w:t xml:space="preserve">٢. ابتدا کردم بنام کردگار</w:t>
      </w:r>
      <w:r>
        <w:rPr>
          <w:rFonts w:ascii="IRNazanin" w:hAnsi="IRNazanin" w:eastAsia="IRNazanin" w:cs="IRNazanin"/>
          <w:lang w:bidi="fa-IR"/>
          <w:color w:val="111111"/>
          <w:sz w:val="28"/>
          <w:szCs w:val="28"/>
          <w:b w:val="1"/>
          <w:bCs w:val="1"/>
          <w:i w:val="1"/>
          <w:iCs w:val="1"/>
          <w:rtl/>
        </w:rPr>
        <w:t xml:space="preserve">خالق خلق از صغار وكبار انجام: ۱. گر بخوانی ور برای بنده ایم</w:t>
      </w:r>
      <w:r>
        <w:rPr>
          <w:rFonts w:ascii="IRNazanin" w:hAnsi="IRNazanin" w:eastAsia="IRNazanin" w:cs="IRNazanin"/>
          <w:lang w:bidi="fa-IR"/>
          <w:color w:val="111111"/>
          <w:sz w:val="28"/>
          <w:szCs w:val="28"/>
          <w:rtl/>
        </w:rPr>
        <w:t xml:space="preserve">هر چه حکم تست از آن خرسنده ایم / رحمت حق باد بر روح آن کسی*** کین نصایح را بخواند او بسی</w:t>
      </w:r>
    </w:p>
    <w:p>
      <w:pPr>
        <w:pStyle w:val="BookText"/>
      </w:pPr>
      <w:r>
        <w:rPr>
          <w:rFonts w:ascii="IRNazanin" w:hAnsi="IRNazanin" w:eastAsia="IRNazanin" w:cs="IRNazanin"/>
          <w:lang w:bidi="fa-IR"/>
          <w:color w:val="111111"/>
          <w:sz w:val="28"/>
          <w:szCs w:val="28"/>
          <w:rtl/>
        </w:rPr>
        <w:t xml:space="preserve">۲. هر که اینها را بداند عاقل است </w:t>
      </w:r>
      <w:r>
        <w:rPr>
          <w:rFonts w:ascii="IRNazanin" w:hAnsi="IRNazanin" w:eastAsia="IRNazanin" w:cs="IRNazanin"/>
          <w:lang w:bidi="fa-IR"/>
          <w:color w:val="111111"/>
          <w:sz w:val="28"/>
          <w:szCs w:val="28"/>
          <w:b w:val="1"/>
          <w:bCs w:val="1"/>
          <w:i w:val="1"/>
          <w:iCs w:val="1"/>
          <w:rtl/>
        </w:rPr>
        <w:t xml:space="preserve">و آنکه اینها کار بندد کامل است / در جوار انبيا دار السلام</w:t>
      </w:r>
      <w:r>
        <w:rPr>
          <w:rFonts w:ascii="IRNazanin" w:hAnsi="IRNazanin" w:eastAsia="IRNazanin" w:cs="IRNazanin"/>
          <w:lang w:bidi="fa-IR"/>
          <w:color w:val="111111"/>
          <w:sz w:val="28"/>
          <w:szCs w:val="28"/>
          <w:rtl/>
        </w:rPr>
        <w:t xml:space="preserve">همنشین اولیا باشد مدام چون ندارم در دو عالم جز تو کس***هم تو میباشی مرا فریاد رس</w:t>
      </w:r>
    </w:p>
    <w:p>
      <w:pPr>
        <w:pStyle w:val="BookText"/>
      </w:pPr>
      <w:r>
        <w:rPr>
          <w:rFonts w:ascii="IRNazanin" w:hAnsi="IRNazanin" w:eastAsia="IRNazanin" w:cs="IRNazanin"/>
          <w:lang w:bidi="fa-IR"/>
          <w:color w:val="111111"/>
          <w:sz w:val="28"/>
          <w:szCs w:val="28"/>
          <w:rtl/>
        </w:rPr>
        <w:t xml:space="preserve">چاپ: ایران، سنگی، بدون تاریخ، وزیری، صص۱۴۷-۱۸۴)؛ کانپور، سنگی، ۱۳۲۳، وزیری، ۸۴ص (صص ۱-۸۴)</w:t>
      </w:r>
    </w:p>
    <w:p>
      <w:pPr>
        <w:pStyle w:val="BookText"/>
      </w:pPr>
      <w:r>
        <w:rPr>
          <w:rFonts w:ascii="IRNazanin" w:hAnsi="IRNazanin" w:eastAsia="IRNazanin" w:cs="IRNazanin"/>
          <w:lang w:bidi="fa-IR"/>
          <w:color w:val="111111"/>
          <w:sz w:val="28"/>
          <w:szCs w:val="28"/>
          <w:rtl/>
        </w:rPr>
        <w:t xml:space="preserve">[ نسخه های منزوی ۲۶۹۷/۴ و ۳۲۷۷ و ۲۷۰؛ الذريعة ۲۰۰/۳ ؛فهرستواره منزوی ۴۶۳/۱۰]</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١- سعادت نامه؛ شمعی برزینی، مصطفی (-۱۰۰۰) ۲- پندنامه (ترجمه)</w:t>
      </w:r>
    </w:p>
    <w:p>
      <w:pPr>
        <w:pStyle w:val="BookText"/>
      </w:pPr>
      <w:r>
        <w:rPr>
          <w:rFonts w:ascii="IRNazanin" w:hAnsi="IRNazanin" w:eastAsia="IRNazanin" w:cs="IRNazanin"/>
          <w:lang w:bidi="fa-IR"/>
          <w:color w:val="111111"/>
          <w:sz w:val="28"/>
          <w:szCs w:val="28"/>
          <w:rtl/>
        </w:rPr>
        <w:t xml:space="preserve">۱. تهران، دانشگاه؛ شماره نسخه: ۱۰۰۴/۲۱ ف</w:t>
      </w:r>
    </w:p>
    <w:p>
      <w:pPr>
        <w:pStyle w:val="BookText"/>
      </w:pPr>
      <w:r>
        <w:rPr>
          <w:rFonts w:ascii="IRNazanin" w:hAnsi="IRNazanin" w:eastAsia="IRNazanin" w:cs="IRNazanin"/>
          <w:lang w:bidi="fa-IR"/>
          <w:color w:val="111111"/>
          <w:sz w:val="28"/>
          <w:szCs w:val="28"/>
          <w:rtl/>
        </w:rPr>
        <w:t xml:space="preserve">نسخه اصل:بادلیان 224 .</w:t>
      </w:r>
      <w:r>
        <w:rPr>
          <w:rFonts w:ascii="Times New Roman" w:hAnsi="Times New Roman" w:eastAsia="Times New Roman" w:cs="Times New Roman"/>
          <w:lang w:val="en-US" w:bidi="en-US"/>
          <w:color w:val="111111"/>
          <w:sz w:val="28"/>
          <w:szCs w:val="28"/>
          <w:rtl/>
        </w:rPr>
        <w:t xml:space="preserve">Land Or</w:t>
      </w:r>
      <w:r>
        <w:rPr>
          <w:rFonts w:ascii="IRNazanin" w:hAnsi="IRNazanin" w:eastAsia="IRNazanin" w:cs="IRNazanin"/>
          <w:lang w:bidi="fa-IR"/>
          <w:color w:val="111111"/>
          <w:sz w:val="28"/>
          <w:szCs w:val="28"/>
          <w:rtl/>
        </w:rPr>
        <w:t xml:space="preserve">؛ خط: نسخ، كا: درويش حسن، تا: جمعه پایان ربيع الثانی ۸۸۶ق؛ ۱۵ سطر [فیلمها ف: ۱-۵۵۳]</w:t>
      </w:r>
    </w:p>
    <w:p>
      <w:pPr>
        <w:pStyle w:val="BookText"/>
      </w:pPr>
      <w:r>
        <w:rPr>
          <w:rFonts w:ascii="IRNazanin" w:hAnsi="IRNazanin" w:eastAsia="IRNazanin" w:cs="IRNazanin"/>
          <w:lang w:bidi="fa-IR"/>
          <w:color w:val="111111"/>
          <w:sz w:val="28"/>
          <w:szCs w:val="28"/>
          <w:rtl/>
        </w:rPr>
        <w:t xml:space="preserve">۲. تهران، مفتاح؛ شماره نسخه: ۵۷۵/۵</w:t>
      </w:r>
    </w:p>
    <w:p>
      <w:pPr>
        <w:pStyle w:val="BookText"/>
      </w:pPr>
      <w:r>
        <w:rPr>
          <w:rFonts w:ascii="IRNazanin" w:hAnsi="IRNazanin" w:eastAsia="IRNazanin" w:cs="IRNazanin"/>
          <w:lang w:bidi="fa-IR"/>
          <w:color w:val="111111"/>
          <w:sz w:val="28"/>
          <w:szCs w:val="28"/>
          <w:rtl/>
        </w:rPr>
        <w:t xml:space="preserve">خط: نستعلیق، بی کا، تا: قرن ۱۰؛ مجدول [نشریه: ۷-۲۱۱]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بیانی، مهدی (دکتر)؛ شماره نسخه: ۵۵/۲</w:t>
      </w:r>
    </w:p>
    <w:p>
      <w:pPr>
        <w:pStyle w:val="BookText"/>
      </w:pPr>
      <w:r>
        <w:rPr>
          <w:rFonts w:ascii="IRNazanin" w:hAnsi="IRNazanin" w:eastAsia="IRNazanin" w:cs="IRNazanin"/>
          <w:lang w:bidi="fa-IR"/>
          <w:color w:val="111111"/>
          <w:sz w:val="28"/>
          <w:szCs w:val="28"/>
          <w:rtl/>
        </w:rPr>
        <w:t xml:space="preserve">خط: تعليق، كا: أمر الله بن حاج شیخ اویس نخجوانی، تا: ۹۰۱ق [نشریه: ۱-۱۵]</w:t>
      </w:r>
    </w:p>
    <w:p>
      <w:pPr>
        <w:pStyle w:val="BookText"/>
      </w:pPr>
      <w:r>
        <w:rPr>
          <w:rFonts w:ascii="IRNazanin" w:hAnsi="IRNazanin" w:eastAsia="IRNazanin" w:cs="IRNazanin"/>
          <w:lang w:bidi="fa-IR"/>
          <w:color w:val="111111"/>
          <w:sz w:val="28"/>
          <w:szCs w:val="28"/>
          <w:rtl/>
        </w:rPr>
        <w:t xml:space="preserve">۴. تهران؛ مجلس؛ شماره نسخه: ۲۵۹۹/۷</w:t>
      </w:r>
    </w:p>
    <w:p>
      <w:pPr>
        <w:pStyle w:val="BookText"/>
      </w:pPr>
      <w:r>
        <w:rPr>
          <w:rFonts w:ascii="IRNazanin" w:hAnsi="IRNazanin" w:eastAsia="IRNazanin" w:cs="IRNazanin"/>
          <w:lang w:bidi="fa-IR"/>
          <w:color w:val="111111"/>
          <w:sz w:val="28"/>
          <w:szCs w:val="28"/>
          <w:rtl/>
        </w:rPr>
        <w:t xml:space="preserve">آغاز: برابر ۲؛ انجام: هر که آرد این وصیتها بجای***در دو عالم راحتش بخشد خدایا خط: نستعلیق، بی کا، تا: قرن ۱۱؛ کاغذ: سمرقندی، جلد: روغنی بوم نارنجی با گل کوکب الوان، ۱۸گ (۷۳۹-۷۵۶)، ۲۵ سطر، اندازه: ۲۱۸۱۲/۵ سم [ف: ۸-۳۳۶]</w:t>
      </w:r>
    </w:p>
    <w:p>
      <w:pPr>
        <w:pStyle w:val="BookText"/>
      </w:pPr>
      <w:r>
        <w:rPr>
          <w:rFonts w:ascii="IRNazanin" w:hAnsi="IRNazanin" w:eastAsia="IRNazanin" w:cs="IRNazanin"/>
          <w:lang w:bidi="fa-IR"/>
          <w:color w:val="111111"/>
          <w:sz w:val="28"/>
          <w:szCs w:val="28"/>
          <w:rtl/>
        </w:rPr>
        <w:t xml:space="preserve">۵. تهران، دانشگاه؛ شماره نسخه: ۹۲۸۲/۲</w:t>
      </w:r>
    </w:p>
    <w:p>
      <w:pPr>
        <w:pStyle w:val="BookText"/>
      </w:pPr>
      <w:r>
        <w:rPr>
          <w:rFonts w:ascii="IRNazanin" w:hAnsi="IRNazanin" w:eastAsia="IRNazanin" w:cs="IRNazanin"/>
          <w:lang w:bidi="fa-IR"/>
          <w:color w:val="111111"/>
          <w:sz w:val="28"/>
          <w:szCs w:val="28"/>
          <w:rtl/>
        </w:rPr>
        <w:t xml:space="preserve">خط: نستعلیق، بی کا، تا: قرن ۱۱؛ کاغذ: استانبولی، جلد: مقوا عطف پارچه، ۴۶گ (۱۲پ -۵۷پ)، ۹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۴/۵ )، قطع: بغلی،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۱۷-۳۳۹]</w:t>
      </w:r>
    </w:p>
    <w:p>
      <w:pPr>
        <w:pStyle w:val="BookText"/>
      </w:pPr>
      <w:r>
        <w:rPr>
          <w:rFonts w:ascii="IRNazanin" w:hAnsi="IRNazanin" w:eastAsia="IRNazanin" w:cs="IRNazanin"/>
          <w:lang w:bidi="fa-IR"/>
          <w:color w:val="111111"/>
          <w:sz w:val="28"/>
          <w:szCs w:val="28"/>
          <w:rtl/>
        </w:rPr>
        <w:t xml:space="preserve">6 . تهران؛ دانشگاه؛ شماره نسخه: ۲۶۱۳/۲</w:t>
      </w:r>
    </w:p>
    <w:p>
      <w:pPr>
        <w:pStyle w:val="BookText"/>
      </w:pPr>
      <w:r>
        <w:rPr>
          <w:rFonts w:ascii="IRNazanin" w:hAnsi="IRNazanin" w:eastAsia="IRNazanin" w:cs="IRNazanin"/>
          <w:lang w:bidi="fa-IR"/>
          <w:color w:val="111111"/>
          <w:sz w:val="28"/>
          <w:szCs w:val="28"/>
          <w:rtl/>
        </w:rPr>
        <w:t xml:space="preserve">آغاز: گر بهر چوبی کنی دندان خلال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بینوا گردی و افتی در و بالا انجام: هر که آرد این وصیتها بجای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در دو عالم راحتش بخشد خدای</w:t>
      </w:r>
    </w:p>
    <w:p>
      <w:pPr>
        <w:pStyle w:val="BookText"/>
      </w:pPr>
      <w:r>
        <w:rPr>
          <w:rFonts w:ascii="IRNazanin" w:hAnsi="IRNazanin" w:eastAsia="IRNazanin" w:cs="IRNazanin"/>
          <w:lang w:bidi="fa-IR"/>
          <w:color w:val="111111"/>
          <w:sz w:val="28"/>
          <w:szCs w:val="28"/>
          <w:rtl/>
        </w:rPr>
        <w:t xml:space="preserve">خط: نستعلیق، بی کا، تا: قرن ۱۱؛ کاغذ: سپاهانی، جلد: تیماج سرخ کنار و عطف تریاکی درون تریاکی، ۴۷ص (۱-۴۷)، ۱۱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۹-۱۴۷۴]</w:t>
      </w:r>
    </w:p>
    <w:p>
      <w:pPr>
        <w:pStyle w:val="BookText"/>
      </w:pPr>
      <w:r>
        <w:rPr>
          <w:rFonts w:ascii="IRNazanin" w:hAnsi="IRNazanin" w:eastAsia="IRNazanin" w:cs="IRNazanin"/>
          <w:lang w:bidi="fa-IR"/>
          <w:color w:val="111111"/>
          <w:sz w:val="28"/>
          <w:szCs w:val="28"/>
          <w:rtl/>
        </w:rPr>
        <w:t xml:space="preserve">۷. تهران؛ ملک؛ شماره نسخه: ۵۹۷۲</w:t>
      </w:r>
    </w:p>
    <w:p>
      <w:pPr>
        <w:pStyle w:val="BookText"/>
      </w:pPr>
      <w:r>
        <w:rPr>
          <w:rFonts w:ascii="IRNazanin" w:hAnsi="IRNazanin" w:eastAsia="IRNazanin" w:cs="IRNazanin"/>
          <w:lang w:bidi="fa-IR"/>
          <w:color w:val="111111"/>
          <w:sz w:val="28"/>
          <w:szCs w:val="28"/>
          <w:rtl/>
        </w:rPr>
        <w:t xml:space="preserve">خط: نستعلیق بسیار خوش، بی کا، تا: ۱۰۴۸ق؛ که عماد الكتاب در سال ۱۳۴۲ آن را از میر عماد نشناخته است و یادداشت دیگری را باطل کرده، به علت آنکه بیست سال پس از میر عماد کتابت شده، مجدول، با یک سرلوح مذهب؛ تملک: آقا میرزا محمد گلپایگانی با مهر «محمد البهائی مورخ ۱۲۹۵» (بیضی)؛ کاغذ: کاغذ دولت آبادی، جلد: میشن قرمز، ۳۱گ، ۱۰ سطر،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۱۷/۴ سم [ف: ۲-۶۸]</w:t>
      </w:r>
    </w:p>
    <w:p>
      <w:pPr>
        <w:pStyle w:val="BookText"/>
      </w:pPr>
      <w:r>
        <w:rPr>
          <w:rFonts w:ascii="IRNazanin" w:hAnsi="IRNazanin" w:eastAsia="IRNazanin" w:cs="IRNazanin"/>
          <w:lang w:bidi="fa-IR"/>
          <w:color w:val="111111"/>
          <w:sz w:val="28"/>
          <w:szCs w:val="28"/>
          <w:rtl/>
        </w:rPr>
        <w:t xml:space="preserve">۸. تهران، دانشگاه؛ شماره نسخه: ۹۸۰۵</w:t>
      </w:r>
    </w:p>
    <w:p>
      <w:pPr>
        <w:pStyle w:val="BookText"/>
      </w:pPr>
      <w:r>
        <w:rPr>
          <w:rFonts w:ascii="IRNazanin" w:hAnsi="IRNazanin" w:eastAsia="IRNazanin" w:cs="IRNazanin"/>
          <w:lang w:bidi="fa-IR"/>
          <w:color w:val="111111"/>
          <w:sz w:val="28"/>
          <w:szCs w:val="28"/>
          <w:rtl/>
        </w:rPr>
        <w:t xml:space="preserve">خط: نستعلیق، بی کا، تا: قرن ۱۲؛ مجدول؛ کاغذ: هندی، جلد: تیماج قهوه ای ضربی ترنجی مقوایی، ۴۰گ، ۱۱ سطر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قطع: بغلی،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۱۷-۴۸۶]</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شیراز؛ بنیاد فارس شناسی؛ شماره نسخه: ۱۶/۴</w:t>
      </w:r>
    </w:p>
    <w:p>
      <w:pPr>
        <w:pStyle w:val="BookText"/>
      </w:pPr>
      <w:r>
        <w:rPr>
          <w:rFonts w:ascii="IRNazanin" w:hAnsi="IRNazanin" w:eastAsia="IRNazanin" w:cs="IRNazanin"/>
          <w:lang w:bidi="fa-IR"/>
          <w:color w:val="111111"/>
          <w:sz w:val="28"/>
          <w:szCs w:val="28"/>
          <w:rtl/>
        </w:rPr>
        <w:t xml:space="preserve">آغاز: برابر ۱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فهرست نام مؤلف نیامده و به استناد آغاز آن تعیین گردید؛ خط: نسخ، بی کا، تا: قرن ۱۲؛ در آغاز آمده: «کتاب نصايح الولد مولانای روحی علیه الرحمه)؛ ۲۹گ (۴۳-۷۱پ)، اندازه: ۲۸/۵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۳۳]</w:t>
      </w:r>
    </w:p>
    <w:p>
      <w:pPr>
        <w:pStyle w:val="BookText"/>
      </w:pPr>
      <w:r>
        <w:rPr>
          <w:rFonts w:ascii="IRNazanin" w:hAnsi="IRNazanin" w:eastAsia="IRNazanin" w:cs="IRNazanin"/>
          <w:lang w:bidi="fa-IR"/>
          <w:color w:val="111111"/>
          <w:sz w:val="28"/>
          <w:szCs w:val="28"/>
          <w:rtl/>
        </w:rPr>
        <w:t xml:space="preserve">۱۰. تهران؛ مجلس؛ شماره نسخه: ۱۱۴۹/۵</w:t>
      </w:r>
    </w:p>
    <w:p>
      <w:pPr>
        <w:pStyle w:val="BookText"/>
      </w:pPr>
      <w:r>
        <w:rPr>
          <w:rFonts w:ascii="IRNazanin" w:hAnsi="IRNazanin" w:eastAsia="IRNazanin" w:cs="IRNazanin"/>
          <w:lang w:bidi="fa-IR"/>
          <w:color w:val="111111"/>
          <w:sz w:val="28"/>
          <w:szCs w:val="28"/>
          <w:rtl/>
        </w:rPr>
        <w:t xml:space="preserve">آغاز: برابر ۲</w:t>
      </w:r>
    </w:p>
    <w:p>
      <w:pPr>
        <w:pStyle w:val="BookText"/>
      </w:pPr>
      <w:r>
        <w:rPr>
          <w:rFonts w:ascii="IRNazanin" w:hAnsi="IRNazanin" w:eastAsia="IRNazanin" w:cs="IRNazanin"/>
          <w:lang w:bidi="fa-IR"/>
          <w:color w:val="111111"/>
          <w:sz w:val="28"/>
          <w:szCs w:val="28"/>
          <w:rtl/>
        </w:rPr>
        <w:t xml:space="preserve">در حدود هشصد بیت می باشد؛ خط: نستعلیق، بی کا، تا: ۱۱۲۶ق؛ ۱۷ص (۲۷۵-۲۹۱) [ف: ۳-۴۰۵]</w:t>
      </w:r>
    </w:p>
    <w:p>
      <w:pPr>
        <w:pStyle w:val="BookText"/>
      </w:pPr>
      <w:r>
        <w:rPr>
          <w:rFonts w:ascii="IRNazanin" w:hAnsi="IRNazanin" w:eastAsia="IRNazanin" w:cs="IRNazanin"/>
          <w:lang w:bidi="fa-IR"/>
          <w:color w:val="111111"/>
          <w:sz w:val="28"/>
          <w:szCs w:val="28"/>
          <w:rtl/>
        </w:rPr>
        <w:t xml:space="preserve">۱۱. تهران؛ نوربخش؛ شماره نسخه: ۶۸۵/۲</w:t>
      </w:r>
    </w:p>
    <w:p>
      <w:pPr>
        <w:pStyle w:val="BookText"/>
      </w:pPr>
      <w:r>
        <w:rPr>
          <w:rFonts w:ascii="IRNazanin" w:hAnsi="IRNazanin" w:eastAsia="IRNazanin" w:cs="IRNazanin"/>
          <w:lang w:bidi="fa-IR"/>
          <w:color w:val="111111"/>
          <w:sz w:val="28"/>
          <w:szCs w:val="28"/>
          <w:rtl/>
        </w:rPr>
        <w:t xml:space="preserve">آغاز: برابر۱</w:t>
      </w:r>
    </w:p>
    <w:p>
      <w:pPr>
        <w:pStyle w:val="BookText"/>
      </w:pPr>
      <w:r>
        <w:rPr>
          <w:rFonts w:ascii="IRNazanin" w:hAnsi="IRNazanin" w:eastAsia="IRNazanin" w:cs="IRNazanin"/>
          <w:lang w:bidi="fa-IR"/>
          <w:color w:val="111111"/>
          <w:sz w:val="28"/>
          <w:szCs w:val="28"/>
          <w:rtl/>
        </w:rPr>
        <w:t xml:space="preserve">خط: نستعلیق، بی کا، تا: قرن ۱۳؛ مهر: مرحوم ذوالریاستین مورخ ۱۳۵۵ق؛ کاغذ: فرنگی، جلد: تیماج قرمز، ۳۶گ (۳۱-۶۶پ)، قطع: رقعی،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(نشریه: ۱۳-۶۵]</w:t>
      </w:r>
    </w:p>
    <w:p>
      <w:pPr>
        <w:pStyle w:val="BookText"/>
      </w:pPr>
      <w:r>
        <w:rPr>
          <w:rFonts w:ascii="IRNazanin" w:hAnsi="IRNazanin" w:eastAsia="IRNazanin" w:cs="IRNazanin"/>
          <w:lang w:bidi="fa-IR"/>
          <w:color w:val="111111"/>
          <w:sz w:val="28"/>
          <w:szCs w:val="28"/>
          <w:rtl/>
        </w:rPr>
        <w:t xml:space="preserve">۱۲. تهران، دانشگاه؛ شماره نسخه: ۹۶۶۵</w:t>
      </w:r>
    </w:p>
    <w:p>
      <w:pPr>
        <w:pStyle w:val="BookText"/>
      </w:pPr>
      <w:r>
        <w:rPr>
          <w:rFonts w:ascii="IRNazanin" w:hAnsi="IRNazanin" w:eastAsia="IRNazanin" w:cs="IRNazanin"/>
          <w:lang w:bidi="fa-IR"/>
          <w:color w:val="111111"/>
          <w:sz w:val="28"/>
          <w:szCs w:val="28"/>
          <w:rtl/>
        </w:rPr>
        <w:t xml:space="preserve">خط: نستعلیق، بی کا، تا: قرن ۱۳؛ مجدول؛ کاغذ: استانبولی، فاقد جلد، ۲۳گ، ۲۴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قطع: ربعی،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۱۷-۴۴۷]</w:t>
      </w:r>
    </w:p>
    <w:p>
      <w:pPr>
        <w:pStyle w:val="BookText"/>
      </w:pPr>
      <w:r>
        <w:rPr>
          <w:rFonts w:ascii="IRNazanin" w:hAnsi="IRNazanin" w:eastAsia="IRNazanin" w:cs="IRNazanin"/>
          <w:lang w:bidi="fa-IR"/>
          <w:color w:val="111111"/>
          <w:sz w:val="28"/>
          <w:szCs w:val="28"/>
          <w:rtl/>
        </w:rPr>
        <w:t xml:space="preserve">۱۳. تهران: ملک؛ شماره نسخه: ۶۳۹۵</w:t>
      </w:r>
    </w:p>
    <w:p>
      <w:pPr>
        <w:pStyle w:val="BookText"/>
      </w:pPr>
      <w:r>
        <w:rPr>
          <w:rFonts w:ascii="IRNazanin" w:hAnsi="IRNazanin" w:eastAsia="IRNazanin" w:cs="IRNazanin"/>
          <w:lang w:bidi="fa-IR"/>
          <w:color w:val="111111"/>
          <w:sz w:val="28"/>
          <w:szCs w:val="28"/>
          <w:rtl/>
        </w:rPr>
        <w:t xml:space="preserve">خط: نستعلیق، بی کا، تا: قرن ۱۳؛ مجدول، با سرلوح مذهب؛ کاغذ: کاغذ فرنگی، جلد: میشن سیاه، ۳۲گ، ۱۴ سطر، اندازه: ۲۱/۳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۲-۶۹]</w:t>
      </w:r>
    </w:p>
    <w:p>
      <w:pPr>
        <w:pStyle w:val="BookText"/>
      </w:pPr>
      <w:r>
        <w:rPr>
          <w:rFonts w:ascii="IRNazanin" w:hAnsi="IRNazanin" w:eastAsia="IRNazanin" w:cs="IRNazanin"/>
          <w:lang w:bidi="fa-IR"/>
          <w:color w:val="111111"/>
          <w:sz w:val="28"/>
          <w:szCs w:val="28"/>
          <w:rtl/>
        </w:rPr>
        <w:t xml:space="preserve">۱۴. تهران؛ ملک؛ شماره نسخه: ۵۳۹۶/۴</w:t>
      </w:r>
    </w:p>
    <w:p>
      <w:pPr>
        <w:pStyle w:val="BookText"/>
      </w:pPr>
      <w:r>
        <w:rPr>
          <w:rFonts w:ascii="IRNazanin" w:hAnsi="IRNazanin" w:eastAsia="IRNazanin" w:cs="IRNazanin"/>
          <w:lang w:bidi="fa-IR"/>
          <w:color w:val="111111"/>
          <w:sz w:val="28"/>
          <w:szCs w:val="28"/>
          <w:rtl/>
        </w:rPr>
        <w:t xml:space="preserve">آغاز: برابر ۱؛ انجام: برابر ۲</w:t>
      </w:r>
    </w:p>
    <w:p>
      <w:pPr>
        <w:pStyle w:val="BookText"/>
      </w:pPr>
      <w:r>
        <w:rPr>
          <w:rFonts w:ascii="IRNazanin" w:hAnsi="IRNazanin" w:eastAsia="IRNazanin" w:cs="IRNazanin"/>
          <w:lang w:bidi="fa-IR"/>
          <w:color w:val="111111"/>
          <w:sz w:val="28"/>
          <w:szCs w:val="28"/>
          <w:rtl/>
        </w:rPr>
        <w:t xml:space="preserve">بی کا، تا: قرن ۱۳؛ کاغذ: فرنگی، جلد: میشن سبز، ۴۴گ (۳۹ر ۸۲ر)، ۹ سطر، اندازه:</w:t>
      </w:r>
    </w:p>
    <w:p>
      <w:pPr>
        <w:pStyle w:val="BookText"/>
      </w:pPr>
      <w:r>
        <w:rPr>
          <w:rFonts w:ascii="IRNazanin" w:hAnsi="IRNazanin" w:eastAsia="IRNazanin" w:cs="IRNazanin"/>
          <w:lang w:bidi="fa-IR"/>
          <w:color w:val="111111"/>
          <w:sz w:val="28"/>
          <w:szCs w:val="28"/>
          <w:rtl/>
        </w:rPr>
        <w:t xml:space="preserve">۱۷/۸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۱۰/۸ سم [ف: ۸-۳۲۸ ]</w:t>
      </w:r>
    </w:p>
    <w:p>
      <w:pPr>
        <w:pStyle w:val="BookText"/>
      </w:pPr>
      <w:r>
        <w:rPr>
          <w:rFonts w:ascii="IRNazanin" w:hAnsi="IRNazanin" w:eastAsia="IRNazanin" w:cs="IRNazanin"/>
          <w:lang w:bidi="fa-IR"/>
          <w:color w:val="111111"/>
          <w:sz w:val="28"/>
          <w:szCs w:val="28"/>
          <w:rtl/>
        </w:rPr>
        <w:t xml:space="preserve">۱۵. تهران: دانشگاه؛ شماره نسخه: ۹۶۲۸/۶</w:t>
      </w:r>
    </w:p>
    <w:p>
      <w:pPr>
        <w:pStyle w:val="BookText"/>
      </w:pPr>
      <w:r>
        <w:rPr>
          <w:rFonts w:ascii="IRNazanin" w:hAnsi="IRNazanin" w:eastAsia="IRNazanin" w:cs="IRNazanin"/>
          <w:lang w:bidi="fa-IR"/>
          <w:color w:val="111111"/>
          <w:sz w:val="28"/>
          <w:szCs w:val="28"/>
          <w:rtl/>
        </w:rPr>
        <w:t xml:space="preserve">خط: نستعلیق، كا: ملا شریف پسر محمد کریم مزاری، تا: ۱۸ جمادی الاول ۱۲۲۳ق، جا: هند هزاری بلخ؛ کاغذ: هندی، جلد: مقوا، ۲۰گ (۶۴پ -۸۳پ)، ۱۳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قطع: ربعی، اندازه: ۲۴۸۱۴سم [ف: ۱۷- ۴۳۹]</w:t>
      </w:r>
    </w:p>
    <w:p>
      <w:pPr>
        <w:pStyle w:val="BookText"/>
      </w:pPr>
      <w:r>
        <w:rPr>
          <w:rFonts w:ascii="IRNazanin" w:hAnsi="IRNazanin" w:eastAsia="IRNazanin" w:cs="IRNazanin"/>
          <w:lang w:bidi="fa-IR"/>
          <w:color w:val="111111"/>
          <w:sz w:val="28"/>
          <w:szCs w:val="28"/>
          <w:rtl/>
        </w:rPr>
        <w:t xml:space="preserve">۱۶. تهران؛ مجلس؛ شماره نسخه: ۴۵۶۱</w:t>
      </w:r>
    </w:p>
    <w:p>
      <w:pPr>
        <w:pStyle w:val="BookText"/>
      </w:pPr>
      <w:r>
        <w:rPr>
          <w:rFonts w:ascii="IRNazanin" w:hAnsi="IRNazanin" w:eastAsia="IRNazanin" w:cs="IRNazanin"/>
          <w:lang w:bidi="fa-IR"/>
          <w:color w:val="111111"/>
          <w:sz w:val="28"/>
          <w:szCs w:val="28"/>
          <w:rtl/>
        </w:rPr>
        <w:t xml:space="preserve">آغاز: برابر ۱؛ انجام: برابر1</w:t>
      </w:r>
    </w:p>
    <w:p>
      <w:pPr>
        <w:pStyle w:val="BookText"/>
      </w:pPr>
      <w:r>
        <w:rPr>
          <w:rFonts w:ascii="IRNazanin" w:hAnsi="IRNazanin" w:eastAsia="IRNazanin" w:cs="IRNazanin"/>
          <w:lang w:bidi="fa-IR"/>
          <w:color w:val="111111"/>
          <w:sz w:val="28"/>
          <w:szCs w:val="28"/>
          <w:rtl/>
        </w:rPr>
        <w:t xml:space="preserve">خط: نستعلیق، کا: احمد حامد مشهور به نظیف زاده، تا: اواسط کاتب و تاریخ وفات او که ۱۲۴۸ بوده آمده؛ کاغذ: فرنگی، جلد: پارچه مشکی مقوایی، ۲۷، ۱۸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سم [ف: ۱۲-۲۵۲]</w:t>
      </w:r>
    </w:p>
    <w:p>
      <w:pPr>
        <w:pStyle w:val="BookText"/>
      </w:pPr>
      <w:r>
        <w:rPr>
          <w:rFonts w:ascii="IRNazanin" w:hAnsi="IRNazanin" w:eastAsia="IRNazanin" w:cs="IRNazanin"/>
          <w:lang w:bidi="fa-IR"/>
          <w:color w:val="111111"/>
          <w:sz w:val="28"/>
          <w:szCs w:val="28"/>
          <w:rtl/>
        </w:rPr>
        <w:t xml:space="preserve">۱۷. تهران؛ ملی؛ شماره نسخه: ۲۵۸۰/۹</w:t>
      </w:r>
    </w:p>
    <w:p>
      <w:pPr>
        <w:pStyle w:val="BookText"/>
      </w:pPr>
      <w:r>
        <w:rPr>
          <w:rFonts w:ascii="IRNazanin" w:hAnsi="IRNazanin" w:eastAsia="IRNazanin" w:cs="IRNazanin"/>
          <w:lang w:bidi="fa-IR"/>
          <w:color w:val="111111"/>
          <w:sz w:val="28"/>
          <w:szCs w:val="28"/>
          <w:rtl/>
        </w:rPr>
        <w:t xml:space="preserve">انجام: پند گیرند این نصیحت را بجان</w:t>
      </w:r>
      <w:r>
        <w:rPr>
          <w:rFonts w:ascii="IRNazanin" w:hAnsi="IRNazanin" w:eastAsia="IRNazanin" w:cs="IRNazanin"/>
          <w:lang w:bidi="fa-IR"/>
          <w:color w:val="111111"/>
          <w:sz w:val="28"/>
          <w:szCs w:val="28"/>
          <w:b w:val="1"/>
          <w:bCs w:val="1"/>
          <w:i w:val="1"/>
          <w:iCs w:val="1"/>
          <w:rtl/>
        </w:rPr>
        <w:t xml:space="preserve">در دو عالم راحتی بخشد بدان / ور نیاری این نصیحت را بجای</w:t>
      </w:r>
      <w:r>
        <w:rPr>
          <w:rFonts w:ascii="IRNazanin" w:hAnsi="IRNazanin" w:eastAsia="IRNazanin" w:cs="IRNazanin"/>
          <w:lang w:bidi="fa-IR"/>
          <w:color w:val="111111"/>
          <w:sz w:val="28"/>
          <w:szCs w:val="28"/>
          <w:rtl/>
        </w:rPr>
        <w:t xml:space="preserve"> دور مانی بیکشی نو از خدای خط: نستعلیق، بی کا، تا: ۱۲۳۸ق؛ کاغذ: فرنگی پوسیده، جلد: تیماج، مشکی، مقوایی، ۴۷ص (۱۷۷-۲۲۳)، ۱۷ سطر کامل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۶-۱۰۹]</w:t>
      </w:r>
    </w:p>
    <w:p>
      <w:pPr>
        <w:pStyle w:val="BookText"/>
      </w:pPr>
      <w:r>
        <w:rPr>
          <w:rFonts w:ascii="IRNazanin" w:hAnsi="IRNazanin" w:eastAsia="IRNazanin" w:cs="IRNazanin"/>
          <w:lang w:bidi="fa-IR"/>
          <w:color w:val="111111"/>
          <w:sz w:val="28"/>
          <w:szCs w:val="28"/>
          <w:rtl/>
        </w:rPr>
        <w:t xml:space="preserve">۱۸. مشهد؛ شیخ علی حیدر؛ شماره نسخه: ۱۳۳۵</w:t>
      </w:r>
    </w:p>
    <w:p>
      <w:pPr>
        <w:pStyle w:val="BookText"/>
      </w:pPr>
      <w:r>
        <w:rPr>
          <w:rFonts w:ascii="IRNazanin" w:hAnsi="IRNazanin" w:eastAsia="IRNazanin" w:cs="IRNazanin"/>
          <w:lang w:bidi="fa-IR"/>
          <w:color w:val="111111"/>
          <w:sz w:val="28"/>
          <w:szCs w:val="28"/>
          <w:rtl/>
        </w:rPr>
        <w:t xml:space="preserve">آغاز: برابر ۱؛ انجام: برابر۱</w:t>
      </w:r>
    </w:p>
    <w:p>
      <w:pPr>
        <w:pStyle w:val="BookText"/>
      </w:pPr>
      <w:r>
        <w:rPr>
          <w:rFonts w:ascii="IRNazanin" w:hAnsi="IRNazanin" w:eastAsia="IRNazanin" w:cs="IRNazanin"/>
          <w:lang w:bidi="fa-IR"/>
          <w:color w:val="111111"/>
          <w:sz w:val="28"/>
          <w:szCs w:val="28"/>
          <w:rtl/>
        </w:rPr>
        <w:t xml:space="preserve">خط: نسخ، كا: سید احمد معروف به خواجه موسی نکاتی، تا: ۱۲۴۲ق، جا: قصبه يوزغادی؛ مجدول؛ محشی؛ جلد: معمولی، ۳۳گ، ۱۵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(مؤید: ۳-۲۷۶]</w:t>
      </w:r>
    </w:p>
    <w:p>
      <w:pPr>
        <w:pStyle w:val="BookText"/>
      </w:pPr>
      <w:r>
        <w:rPr>
          <w:rFonts w:ascii="IRNazanin" w:hAnsi="IRNazanin" w:eastAsia="IRNazanin" w:cs="IRNazanin"/>
          <w:lang w:bidi="fa-IR"/>
          <w:color w:val="111111"/>
          <w:sz w:val="28"/>
          <w:szCs w:val="28"/>
          <w:rtl/>
        </w:rPr>
        <w:t xml:space="preserve">۱۹. تهران؛ دانشگاه؛ شماره نسخه: ۹۶۸۶/۲</w:t>
      </w:r>
    </w:p>
    <w:p>
      <w:pPr>
        <w:pStyle w:val="BookText"/>
      </w:pPr>
      <w:r>
        <w:rPr>
          <w:rFonts w:ascii="IRNazanin" w:hAnsi="IRNazanin" w:eastAsia="IRNazanin" w:cs="IRNazanin"/>
          <w:lang w:bidi="fa-IR"/>
          <w:color w:val="111111"/>
          <w:sz w:val="28"/>
          <w:szCs w:val="28"/>
          <w:rtl/>
        </w:rPr>
        <w:t xml:space="preserve">خط: نستعلیق ترک، کا: سید عبدالصمد عصمت فرزند سید ولی زاده سلیم، تا: چهارشنبه ۲۳ شوال ۱۲۵۰ق؛ کاغذ: استانبولی، جلد: تیماج قهوه ای زرکوب مقوایی با لولا، ۲۲گ (۱۱پ -۳۲پ)، ۱۹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قطع: بغلی،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۱۷-۴۵۱]</w:t>
      </w:r>
    </w:p>
    <w:p>
      <w:pPr>
        <w:pStyle w:val="BookText"/>
      </w:pPr>
      <w:r>
        <w:rPr>
          <w:rFonts w:ascii="IRNazanin" w:hAnsi="IRNazanin" w:eastAsia="IRNazanin" w:cs="IRNazanin"/>
          <w:lang w:bidi="fa-IR"/>
          <w:color w:val="111111"/>
          <w:sz w:val="28"/>
          <w:szCs w:val="28"/>
          <w:rtl/>
        </w:rPr>
        <w:t xml:space="preserve">۲۰. مشهد؛ رضوی؛ شماره نسخه: ۵۰۲۲</w:t>
      </w:r>
    </w:p>
    <w:p>
      <w:pPr>
        <w:pStyle w:val="BookText"/>
      </w:pPr>
      <w:r>
        <w:rPr>
          <w:rFonts w:ascii="IRNazanin" w:hAnsi="IRNazanin" w:eastAsia="IRNazanin" w:cs="IRNazanin"/>
          <w:lang w:bidi="fa-IR"/>
          <w:color w:val="111111"/>
          <w:sz w:val="28"/>
          <w:szCs w:val="28"/>
          <w:rtl/>
        </w:rPr>
        <w:t xml:space="preserve">آغاز: آنکه در آدم دمید او روح را*** داد از طوفان نجات او نوح را انجام: هر که آرد این وصیت ها بجای***در دو عالم راحتش بخشد خدایا خط: شکسته نستعلیق، كا: لاجوردی، شکرالله بن حسن، تا: غره جمادی الاول ۱۲۷۱ق، جا: تهران؛ افتادگی: آغاز (بیت اول) و انجام (سیزده بیت)؛ مجدول؛ واقف: نایینی؛ کاغذ: فرنگی الوان و آهار مهره، جلد: تیماج عنابی، ۳۶گ، ۱۲ سطر ( ۱۲/۴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 اندازه: ۱۹/۷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۱۱/۳۰ سم [ف: ۷-۲۲۸]</w:t>
      </w:r>
    </w:p>
    <w:p>
      <w:pPr>
        <w:pStyle w:val="BookText"/>
      </w:pPr>
      <w:r>
        <w:rPr>
          <w:rFonts w:ascii="IRNazanin" w:hAnsi="IRNazanin" w:eastAsia="IRNazanin" w:cs="IRNazanin"/>
          <w:lang w:bidi="fa-IR"/>
          <w:color w:val="111111"/>
          <w:sz w:val="28"/>
          <w:szCs w:val="28"/>
          <w:rtl/>
        </w:rPr>
        <w:t xml:space="preserve">۲۱. تهران؛ مجلس؛ شماره نسخه: ۱۴۷۰۶/۱</w:t>
      </w:r>
    </w:p>
    <w:p>
      <w:pPr>
        <w:pStyle w:val="BookText"/>
      </w:pPr>
      <w:r>
        <w:rPr>
          <w:rFonts w:ascii="IRNazanin" w:hAnsi="IRNazanin" w:eastAsia="IRNazanin" w:cs="IRNazanin"/>
          <w:lang w:bidi="fa-IR"/>
          <w:color w:val="111111"/>
          <w:sz w:val="28"/>
          <w:szCs w:val="28"/>
          <w:rtl/>
        </w:rPr>
        <w:t xml:space="preserve">آغاز: برابر۱</w:t>
      </w:r>
    </w:p>
    <w:p>
      <w:pPr>
        <w:pStyle w:val="BookText"/>
      </w:pPr>
      <w:r>
        <w:rPr>
          <w:rFonts w:ascii="IRNazanin" w:hAnsi="IRNazanin" w:eastAsia="IRNazanin" w:cs="IRNazanin"/>
          <w:lang w:bidi="fa-IR"/>
          <w:color w:val="111111"/>
          <w:sz w:val="28"/>
          <w:szCs w:val="28"/>
          <w:rtl/>
        </w:rPr>
        <w:t xml:space="preserve">خط: شکسته نستعلیق، بی کا، تا: ۱۲۹۵ق؛ با سرلوح ظریف و زیبا، مذهب، مجدول مذهب؛ جلد: تیماج سبز یشمی، ۵۳گ، ۱۱ سطر، اندازه: ۱۹/۸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۱۲/۳ سم [ف: ۱۶۸۴۱]</w:t>
      </w:r>
    </w:p>
    <w:p>
      <w:pPr>
        <w:pStyle w:val="BookText"/>
      </w:pPr>
      <w:r>
        <w:rPr>
          <w:rFonts w:ascii="IRNazanin" w:hAnsi="IRNazanin" w:eastAsia="IRNazanin" w:cs="IRNazanin"/>
          <w:lang w:bidi="fa-IR"/>
          <w:color w:val="111111"/>
          <w:sz w:val="28"/>
          <w:szCs w:val="28"/>
          <w:rtl/>
        </w:rPr>
        <w:t xml:space="preserve">۲۲. تهران: ملک؛ شماره نسخه: ۵۲۷۱</w:t>
      </w:r>
    </w:p>
    <w:p>
      <w:pPr>
        <w:pStyle w:val="BookText"/>
      </w:pPr>
      <w:r>
        <w:rPr>
          <w:rFonts w:ascii="IRNazanin" w:hAnsi="IRNazanin" w:eastAsia="IRNazanin" w:cs="IRNazanin"/>
          <w:lang w:bidi="fa-IR"/>
          <w:color w:val="111111"/>
          <w:sz w:val="28"/>
          <w:szCs w:val="28"/>
          <w:rtl/>
        </w:rPr>
        <w:t xml:space="preserve">آغاز: برابر ۱؛ انجام: برابر1</w:t>
      </w:r>
    </w:p>
    <w:p>
      <w:pPr>
        <w:pStyle w:val="BookText"/>
      </w:pPr>
      <w:r>
        <w:rPr>
          <w:rFonts w:ascii="IRNazanin" w:hAnsi="IRNazanin" w:eastAsia="IRNazanin" w:cs="IRNazanin"/>
          <w:lang w:bidi="fa-IR"/>
          <w:color w:val="111111"/>
          <w:sz w:val="28"/>
          <w:szCs w:val="28"/>
          <w:rtl/>
        </w:rPr>
        <w:t xml:space="preserve">خط: نستعلیق، کا: محمد جواد، تا: ۲۷ شوال ۱۲۹۷ق؛ با سرلوح، مجدول؛ کاغذ: کاغذ آهار مهره فرنگی، جلد: میشن قرمز لایی و مجدول، ۴۲گ، ۱۱ سطر، اندازه: ۲۲/۴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۱۴/۷</w:t>
      </w:r>
    </w:p>
    <w:p>
      <w:pPr>
        <w:pStyle w:val="BookText"/>
      </w:pPr>
      <w:r>
        <w:rPr>
          <w:rFonts w:ascii="IRNazanin" w:hAnsi="IRNazanin" w:eastAsia="IRNazanin" w:cs="IRNazanin"/>
          <w:lang w:bidi="fa-IR"/>
          <w:color w:val="111111"/>
          <w:sz w:val="28"/>
          <w:szCs w:val="28"/>
          <w:rtl/>
        </w:rPr>
        <w:t xml:space="preserve">سم [ف: ۲-۶۸]</w:t>
      </w:r>
    </w:p>
    <w:p>
      <w:pPr>
        <w:pStyle w:val="BookText"/>
      </w:pPr>
      <w:r>
        <w:rPr>
          <w:rFonts w:ascii="IRNazanin" w:hAnsi="IRNazanin" w:eastAsia="IRNazanin" w:cs="IRNazanin"/>
          <w:lang w:bidi="fa-IR"/>
          <w:color w:val="111111"/>
          <w:sz w:val="28"/>
          <w:szCs w:val="28"/>
          <w:rtl/>
        </w:rPr>
        <w:t xml:space="preserve">۲۳. مشهد؛ رضوی؛ شماره نسخه: ۱۶۴۲۳</w:t>
      </w:r>
    </w:p>
    <w:p>
      <w:pPr>
        <w:pStyle w:val="BookText"/>
      </w:pPr>
      <w:r>
        <w:rPr>
          <w:rFonts w:ascii="IRNazanin" w:hAnsi="IRNazanin" w:eastAsia="IRNazanin" w:cs="IRNazanin"/>
          <w:lang w:bidi="fa-IR"/>
          <w:color w:val="111111"/>
          <w:sz w:val="28"/>
          <w:szCs w:val="28"/>
          <w:rtl/>
        </w:rPr>
        <w:t xml:space="preserve">آغاز: برابر ۱؛ انجام: الهی عاقبت محمود گردان خط: نستعلیق، بی کا، تا: ۱۲۹۸ق؛ کاغذ: الوان، جلد: تیماج ضربی، ۱۱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[رایانه ]</w:t>
      </w:r>
    </w:p>
    <w:p>
      <w:pPr>
        <w:pStyle w:val="BookText"/>
      </w:pPr>
      <w:r>
        <w:rPr>
          <w:rFonts w:ascii="IRNazanin" w:hAnsi="IRNazanin" w:eastAsia="IRNazanin" w:cs="IRNazanin"/>
          <w:lang w:bidi="fa-IR"/>
          <w:color w:val="111111"/>
          <w:sz w:val="28"/>
          <w:szCs w:val="28"/>
          <w:rtl/>
        </w:rPr>
        <w:t xml:space="preserve">۲۴. قم؛ گلپایگانی؛ شماره نسخه: ۲۹۷۵/۷ - ۱۵/۲۱۵</w:t>
      </w:r>
    </w:p>
    <w:p>
      <w:pPr>
        <w:pStyle w:val="BookText"/>
      </w:pPr>
      <w:r>
        <w:rPr>
          <w:rFonts w:ascii="IRNazanin" w:hAnsi="IRNazanin" w:eastAsia="IRNazanin" w:cs="IRNazanin"/>
          <w:lang w:bidi="fa-IR"/>
          <w:color w:val="111111"/>
          <w:sz w:val="28"/>
          <w:szCs w:val="28"/>
          <w:rtl/>
        </w:rPr>
        <w:t xml:space="preserve">آغاز: برابر ۱؛ انجام: چون ندارم در دو عالم جز تو بس*** هم تو می باشی مرا فریاد رس / هر که خواند دعا طمع دارم ***زانکه من بنده گنه کارم خط: شکسته، نستعلیق، بی کا، تا: ۲۸ رمضان ۱۳۰۳ق؛ جلد: مقوا مشکی روغنی با ترنج و سرترنج با جدول زر، ۸، ۱۹ سطر،</w:t>
      </w:r>
    </w:p>
    <w:p>
      <w:pPr>
        <w:pStyle w:val="BookText"/>
      </w:pPr>
      <w:r>
        <w:rPr>
          <w:rFonts w:ascii="IRNazanin" w:hAnsi="IRNazanin" w:eastAsia="IRNazanin" w:cs="IRNazanin"/>
          <w:lang w:bidi="fa-IR"/>
          <w:color w:val="111111"/>
          <w:sz w:val="28"/>
          <w:szCs w:val="28"/>
          <w:rtl/>
        </w:rPr>
        <w:t xml:space="preserve">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۲-۶۶۷]</w:t>
      </w:r>
    </w:p>
    <w:p>
      <w:pPr>
        <w:pStyle w:val="BookText"/>
      </w:pPr>
      <w:r>
        <w:rPr>
          <w:rFonts w:ascii="IRNazanin" w:hAnsi="IRNazanin" w:eastAsia="IRNazanin" w:cs="IRNazanin"/>
          <w:lang w:bidi="fa-IR"/>
          <w:color w:val="111111"/>
          <w:sz w:val="28"/>
          <w:szCs w:val="28"/>
          <w:rtl/>
        </w:rPr>
        <w:t xml:space="preserve">۲۵. تهران؛ دانشگاه؛ شماره نسخه: ۴۱۷۰</w:t>
      </w:r>
    </w:p>
    <w:p>
      <w:pPr>
        <w:pStyle w:val="BookText"/>
      </w:pPr>
      <w:r>
        <w:rPr>
          <w:rFonts w:ascii="IRNazanin" w:hAnsi="IRNazanin" w:eastAsia="IRNazanin" w:cs="IRNazanin"/>
          <w:lang w:bidi="fa-IR"/>
          <w:color w:val="111111"/>
          <w:sz w:val="28"/>
          <w:szCs w:val="28"/>
          <w:rtl/>
        </w:rPr>
        <w:t xml:space="preserve">خط: نستعلیق، كان درویش محمد ابراهیم بهلول ذهبی پسر آقا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16" w:name="pg20363_209585"/>
    <w:bookmarkEnd w:id="316"/>
    <w:p>
      <w:pPr>
        <w:pStyle w:val="BookText"/>
      </w:pPr>
      <w:r>
        <w:rPr>
          <w:rFonts w:ascii="IRNazanin" w:hAnsi="IRNazanin" w:eastAsia="IRNazanin" w:cs="IRNazanin"/>
          <w:lang w:bidi="fa-IR"/>
          <w:color w:val="111111"/>
          <w:sz w:val="28"/>
          <w:szCs w:val="28"/>
          <w:rtl/>
        </w:rPr>
        <w:t xml:space="preserve">آقا کربلایی علی صحاف تبریزی؛ مجدول؛ کاغذ: فرنگی آبی، جلد: تیماج مشکی، ۶۵گ، ۷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۱۳-۳۱۳۷]</w:t>
      </w:r>
    </w:p>
    <w:p>
      <w:pPr>
        <w:pStyle w:val="BookText"/>
      </w:pPr>
      <w:r>
        <w:rPr>
          <w:rFonts w:ascii="IRNazanin" w:hAnsi="IRNazanin" w:eastAsia="IRNazanin" w:cs="IRNazanin"/>
          <w:lang w:bidi="fa-IR"/>
          <w:color w:val="111111"/>
          <w:sz w:val="28"/>
          <w:szCs w:val="28"/>
          <w:rtl/>
        </w:rPr>
        <w:t xml:space="preserve">۲۶. تهران؛ مجلس؛ شماره نسخه: ۳/۱۵۹۸۰</w:t>
      </w:r>
    </w:p>
    <w:p>
      <w:pPr>
        <w:pStyle w:val="BookText"/>
      </w:pPr>
      <w:r>
        <w:rPr>
          <w:rFonts w:ascii="IRNazanin" w:hAnsi="IRNazanin" w:eastAsia="IRNazanin" w:cs="IRNazanin"/>
          <w:lang w:bidi="fa-IR"/>
          <w:color w:val="111111"/>
          <w:sz w:val="28"/>
          <w:szCs w:val="28"/>
          <w:rtl/>
        </w:rPr>
        <w:t xml:space="preserve">آغاز: برابر ۱؛ انجام: برابر ۲</w:t>
      </w:r>
    </w:p>
    <w:p>
      <w:pPr>
        <w:pStyle w:val="BookText"/>
      </w:pPr>
      <w:r>
        <w:rPr>
          <w:rFonts w:ascii="IRNazanin" w:hAnsi="IRNazanin" w:eastAsia="IRNazanin" w:cs="IRNazanin"/>
          <w:lang w:bidi="fa-IR"/>
          <w:color w:val="111111"/>
          <w:sz w:val="28"/>
          <w:szCs w:val="28"/>
          <w:rtl/>
        </w:rPr>
        <w:t xml:space="preserve">خط: نستعلیق خوش، كا: سيد بهاء الدین حسین ولد مقرب الخاقان آقا میرزا سید رضی مستوفی، تا: ۲۷ ربيع الثانی ۱۳۱۲ق، جا: قريه جهره از توابع بلوک خنج از محال فارس؛ رکابه دار؛ جلد: تیماج سرخ، ۴۵گ (۲۱پ -۶۵پ)، ۱۱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[ف:۴۴-۱۶۹]</w:t>
      </w:r>
    </w:p>
    <w:p>
      <w:pPr>
        <w:pStyle w:val="BookText"/>
      </w:pPr>
      <w:r>
        <w:rPr>
          <w:rFonts w:ascii="IRNazanin" w:hAnsi="IRNazanin" w:eastAsia="IRNazanin" w:cs="IRNazanin"/>
          <w:lang w:bidi="fa-IR"/>
          <w:color w:val="111111"/>
          <w:sz w:val="28"/>
          <w:szCs w:val="28"/>
          <w:rtl/>
        </w:rPr>
        <w:t xml:space="preserve">۲۷. تهران، ملک؛ شماره نسخه: ۵۸۹۲/۴</w:t>
      </w:r>
    </w:p>
    <w:p>
      <w:pPr>
        <w:pStyle w:val="BookText"/>
      </w:pPr>
      <w:r>
        <w:rPr>
          <w:rFonts w:ascii="IRNazanin" w:hAnsi="IRNazanin" w:eastAsia="IRNazanin" w:cs="IRNazanin"/>
          <w:lang w:bidi="fa-IR"/>
          <w:color w:val="111111"/>
          <w:sz w:val="28"/>
          <w:szCs w:val="28"/>
          <w:rtl/>
        </w:rPr>
        <w:t xml:space="preserve">آغاز: برابر ۱؛ انجام: این مبارک نامه را کردم تمام***بعد از آن دیگر نگویم، والسلام / هر که آرد این وصیتها بجای ۷۸ در دو عالم رحمتش بخشد خدایا خط: نستعلیق، كا: میرزا محمد نجار التجار، تا: ۱۳۱۶ق؛ کاغذ: ترمه، جلد: کاغذ سبز ضربی، ۱۸ سطر [ف: ۹-۹۰]</w:t>
      </w:r>
    </w:p>
    <w:p>
      <w:pPr>
        <w:pStyle w:val="BookText"/>
      </w:pPr>
      <w:r>
        <w:rPr>
          <w:rFonts w:ascii="IRNazanin" w:hAnsi="IRNazanin" w:eastAsia="IRNazanin" w:cs="IRNazanin"/>
          <w:lang w:bidi="fa-IR"/>
          <w:color w:val="111111"/>
          <w:sz w:val="28"/>
          <w:szCs w:val="28"/>
          <w:rtl/>
        </w:rPr>
        <w:t xml:space="preserve">۲۸. تهران: مجلس؛ شماره نسخه: ۲۶۰۷/۲</w:t>
      </w:r>
    </w:p>
    <w:p>
      <w:pPr>
        <w:pStyle w:val="BookText"/>
      </w:pPr>
      <w:r>
        <w:rPr>
          <w:rFonts w:ascii="IRNazanin" w:hAnsi="IRNazanin" w:eastAsia="IRNazanin" w:cs="IRNazanin"/>
          <w:lang w:bidi="fa-IR"/>
          <w:color w:val="111111"/>
          <w:sz w:val="28"/>
          <w:szCs w:val="28"/>
          <w:rtl/>
        </w:rPr>
        <w:t xml:space="preserve">آغاز: برابر ۱؛ انجام: برابرا ۶۵۰ بیت؛ خط: نستعلیق، کا: محسن فرزند ملا حسینعلی خوشنویس، تا: ۱۳۳۵ق، کاغذ: فرنگی، جلد: تیماج قهوه ای، ترنج و سرترنج و لچکی منگنه، ۷۰گی (۹۷-۱۶۶)، ۱۲ سطر، اندازه: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۱۲/۵سم [ف: ۸-۳۴۴]</w:t>
      </w:r>
    </w:p>
    <w:p>
      <w:pPr>
        <w:pStyle w:val="BookText"/>
      </w:pPr>
      <w:r>
        <w:rPr>
          <w:rFonts w:ascii="IRNazanin" w:hAnsi="IRNazanin" w:eastAsia="IRNazanin" w:cs="IRNazanin"/>
          <w:lang w:bidi="fa-IR"/>
          <w:color w:val="111111"/>
          <w:sz w:val="28"/>
          <w:szCs w:val="28"/>
          <w:rtl/>
        </w:rPr>
        <w:t xml:space="preserve">۲۹. قم؛ حجتیه؛ شماره نسخه: ۴۸۴/۲</w:t>
      </w:r>
    </w:p>
    <w:p>
      <w:pPr>
        <w:pStyle w:val="BookText"/>
      </w:pPr>
      <w:r>
        <w:rPr>
          <w:rFonts w:ascii="IRNazanin" w:hAnsi="IRNazanin" w:eastAsia="IRNazanin" w:cs="IRNazanin"/>
          <w:lang w:bidi="fa-IR"/>
          <w:color w:val="111111"/>
          <w:sz w:val="28"/>
          <w:szCs w:val="28"/>
          <w:rtl/>
        </w:rPr>
        <w:t xml:space="preserve">خط: نسخ و نستعلیق، بی کا، بی تاب راسته و چلیپا؛ قطع: خشتی [ف: ۱۱۰]</w:t>
      </w:r>
    </w:p>
    <w:p>
      <w:pPr>
        <w:pStyle w:val="BookText"/>
      </w:pPr>
      <w:r>
        <w:rPr>
          <w:rFonts w:ascii="IRNazanin" w:hAnsi="IRNazanin" w:eastAsia="IRNazanin" w:cs="IRNazanin"/>
          <w:lang w:bidi="fa-IR"/>
          <w:color w:val="111111"/>
          <w:sz w:val="28"/>
          <w:szCs w:val="28"/>
          <w:rtl/>
        </w:rPr>
        <w:t xml:space="preserve">۳۰. تهران؛ مجلس؛ شماره نسخه:۱۳۸۳۵/۱۹</w:t>
      </w:r>
    </w:p>
    <w:p>
      <w:pPr>
        <w:pStyle w:val="BookText"/>
      </w:pPr>
      <w:r>
        <w:rPr>
          <w:rFonts w:ascii="IRNazanin" w:hAnsi="IRNazanin" w:eastAsia="IRNazanin" w:cs="IRNazanin"/>
          <w:lang w:bidi="fa-IR"/>
          <w:color w:val="111111"/>
          <w:sz w:val="28"/>
          <w:szCs w:val="28"/>
          <w:rtl/>
        </w:rPr>
        <w:t xml:space="preserve">آغاز: برابر ۱؛ انجام: هر که این نسخه کند تکرار*** با دل و جان در آورد از کار</w:t>
      </w:r>
    </w:p>
    <w:p>
      <w:pPr>
        <w:pStyle w:val="BookText"/>
      </w:pPr>
      <w:r>
        <w:rPr>
          <w:rFonts w:ascii="IRNazanin" w:hAnsi="IRNazanin" w:eastAsia="IRNazanin" w:cs="IRNazanin"/>
          <w:lang w:bidi="fa-IR"/>
          <w:color w:val="111111"/>
          <w:sz w:val="28"/>
          <w:szCs w:val="28"/>
          <w:rtl/>
        </w:rPr>
        <w:t xml:space="preserve">خط: نستعلیق، بی کا، بی تا؛ جلد: تیماج قهوه ای مجدول، ۲۹گ (۸۶پ -۱۱۴ر)، ۱۶سطر [ف: ۳۷-۳۹۵]</w:t>
      </w:r>
    </w:p>
    <w:p>
      <w:pPr>
        <w:pStyle w:val="BookText"/>
      </w:pPr>
      <w:r>
        <w:rPr>
          <w:rFonts w:ascii="IRNazanin" w:hAnsi="IRNazanin" w:eastAsia="IRNazanin" w:cs="IRNazanin"/>
          <w:lang w:bidi="fa-IR"/>
          <w:color w:val="111111"/>
          <w:sz w:val="28"/>
          <w:szCs w:val="28"/>
          <w:rtl/>
        </w:rPr>
        <w:t xml:space="preserve">۳۱. تهران؛ مجلس؛ شماره نسخه: ۱۳۳۸۹/۲</w:t>
      </w:r>
    </w:p>
    <w:p>
      <w:pPr>
        <w:pStyle w:val="BookText"/>
      </w:pPr>
      <w:r>
        <w:rPr>
          <w:rFonts w:ascii="IRNazanin" w:hAnsi="IRNazanin" w:eastAsia="IRNazanin" w:cs="IRNazanin"/>
          <w:lang w:bidi="fa-IR"/>
          <w:color w:val="111111"/>
          <w:sz w:val="28"/>
          <w:szCs w:val="28"/>
          <w:rtl/>
        </w:rPr>
        <w:t xml:space="preserve">آغاز: برابر ۱؛ انجام: شاد گر داری درون خسته را</w:t>
      </w:r>
      <w:r>
        <w:rPr>
          <w:rFonts w:ascii="IRNazanin" w:hAnsi="IRNazanin" w:eastAsia="IRNazanin" w:cs="IRNazanin"/>
          <w:lang w:bidi="fa-IR"/>
          <w:color w:val="111111"/>
          <w:sz w:val="28"/>
          <w:szCs w:val="28"/>
          <w:b w:val="1"/>
          <w:bCs w:val="1"/>
          <w:i w:val="1"/>
          <w:iCs w:val="1"/>
          <w:rtl/>
        </w:rPr>
        <w:t xml:space="preserve">باز یابی جست درب بسته را / هر که دارد این وصیت ها بجای</w:t>
      </w:r>
      <w:r>
        <w:rPr>
          <w:rFonts w:ascii="IRNazanin" w:hAnsi="IRNazanin" w:eastAsia="IRNazanin" w:cs="IRNazanin"/>
          <w:lang w:bidi="fa-IR"/>
          <w:color w:val="111111"/>
          <w:sz w:val="28"/>
          <w:szCs w:val="28"/>
          <w:rtl/>
        </w:rPr>
        <w:t xml:space="preserve"> در دو عالم راحتش بخشد خدای ا خط: نستعلیق، بی کا، بی تا، جلد: مقوایی، قهوه ای، عطف تیماج، ۳۰گ (۷۵ر-۱۰۴ر)، ۱۵ سطر [ف: ۳۶-۳۲۳]</w:t>
      </w:r>
    </w:p>
    <w:p>
      <w:pPr>
        <w:pStyle w:val="BookText"/>
      </w:pPr>
      <w:r>
        <w:rPr>
          <w:rFonts w:ascii="IRNazanin" w:hAnsi="IRNazanin" w:eastAsia="IRNazanin" w:cs="IRNazanin"/>
          <w:lang w:bidi="fa-IR"/>
          <w:color w:val="111111"/>
          <w:sz w:val="28"/>
          <w:szCs w:val="28"/>
          <w:rtl/>
        </w:rPr>
        <w:t xml:space="preserve">۳۲. یزد؛ وزیری؛ شماره نسخه: ۸۱۹/۴</w:t>
      </w:r>
    </w:p>
    <w:p>
      <w:pPr>
        <w:pStyle w:val="BookText"/>
      </w:pPr>
      <w:r>
        <w:rPr>
          <w:rFonts w:ascii="IRNazanin" w:hAnsi="IRNazanin" w:eastAsia="IRNazanin" w:cs="IRNazanin"/>
          <w:lang w:bidi="fa-IR"/>
          <w:color w:val="111111"/>
          <w:sz w:val="28"/>
          <w:szCs w:val="28"/>
          <w:rtl/>
        </w:rPr>
        <w:t xml:space="preserve">آغاز: برابر ۲؛ انجام: آنکه در آدم دمید او روح را *** داد از طوفان نجات او نوح را خط: نسخ، كا: یحیی، بی تا؛ یادداشتی از یحیی حسینی قندهاری مورخ ۱۸ محرم ۰۰۳۳؛ اهدایی: وزیری؛ جلد: مقوایی با تیماج قرمز، ۲۱گ (۸۹-۱۰۹)،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۲-۶۹۶]</w:t>
      </w:r>
    </w:p>
    <w:p>
      <w:pPr>
        <w:pStyle w:val="BookText"/>
      </w:pPr>
      <w:r>
        <w:rPr>
          <w:rFonts w:ascii="IRNazanin" w:hAnsi="IRNazanin" w:eastAsia="IRNazanin" w:cs="IRNazanin"/>
          <w:lang w:bidi="fa-IR"/>
          <w:color w:val="111111"/>
          <w:sz w:val="28"/>
          <w:szCs w:val="28"/>
          <w:rtl/>
        </w:rPr>
        <w:t xml:space="preserve">۳۳. قم؛ گلپایگانی؛ شماره نسخه: ۶۸۰/۱ - ۴/۱۵۰</w:t>
      </w:r>
    </w:p>
    <w:p>
      <w:pPr>
        <w:pStyle w:val="BookText"/>
      </w:pPr>
      <w:r>
        <w:rPr>
          <w:rFonts w:ascii="IRNazanin" w:hAnsi="IRNazanin" w:eastAsia="IRNazanin" w:cs="IRNazanin"/>
          <w:lang w:bidi="fa-IR"/>
          <w:color w:val="111111"/>
          <w:sz w:val="28"/>
          <w:szCs w:val="28"/>
          <w:rtl/>
        </w:rPr>
        <w:t xml:space="preserve">خط نستعلیق، بی کا، بی تاب ۳۴گ (۱پ -۳۴ر)، ۱۳ سطر [ف: ۲-۶۶۷]</w:t>
      </w:r>
    </w:p>
    <w:p>
      <w:pPr>
        <w:pStyle w:val="BookText"/>
      </w:pPr>
      <w:r>
        <w:rPr>
          <w:rFonts w:ascii="IRNazanin" w:hAnsi="IRNazanin" w:eastAsia="IRNazanin" w:cs="IRNazanin"/>
          <w:lang w:bidi="fa-IR"/>
          <w:color w:val="111111"/>
          <w:sz w:val="28"/>
          <w:szCs w:val="28"/>
          <w:rtl/>
        </w:rPr>
        <w:t xml:space="preserve">۳۴. تهران؛ ملی؛ شماره نسخه: ۸۲۶۵</w:t>
      </w:r>
    </w:p>
    <w:p>
      <w:pPr>
        <w:pStyle w:val="BookText"/>
      </w:pPr>
      <w:r>
        <w:rPr>
          <w:rFonts w:ascii="IRNazanin" w:hAnsi="IRNazanin" w:eastAsia="IRNazanin" w:cs="IRNazanin"/>
          <w:lang w:bidi="fa-IR"/>
          <w:color w:val="111111"/>
          <w:sz w:val="28"/>
          <w:szCs w:val="28"/>
          <w:rtl/>
        </w:rPr>
        <w:t xml:space="preserve">آغاز: مطابق نسخه ۸۲۶۲ ملی؛ انجام: منزلت دور است و بارت بس گران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کوششی کن پس نمان از دیگران در تطبیق با نسخه چاپ سنگی شماره ۶-۶۷۱۴ ابیات برگ آخر این اثر مربوط به بند «در بیان فقر» است که در نیمه اول نسخه آمده؛ خط: نستعلیق بد، بی کا، بی تا، افتادگی: انجام؛ کاغذ: هندی، جلد: مقوایی با روکش کاغذی سبز، عطف تیماج سرمه ای، ۸گ (۱۸-۲۵پ)، ۱۳ و ۱۴ سطر (۱۹۸۱۰- ۱۸)، اندازه: ۲۲/۸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[رایانه]</w:t>
      </w:r>
    </w:p>
    <w:p>
      <w:pPr>
        <w:pStyle w:val="BookText"/>
      </w:pPr>
      <w:r>
        <w:rPr>
          <w:rFonts w:ascii="IRNazanin" w:hAnsi="IRNazanin" w:eastAsia="IRNazanin" w:cs="IRNazanin"/>
          <w:lang w:bidi="fa-IR"/>
          <w:color w:val="111111"/>
          <w:sz w:val="28"/>
          <w:szCs w:val="28"/>
          <w:rtl/>
        </w:rPr>
        <w:t xml:space="preserve">۳۵. تهران؛ ملی؛ شماره نسخه: ۱۷۵۵۳</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۳۴گ، اندازه: ۲۰/۱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۱۰/۴</w:t>
      </w:r>
    </w:p>
    <w:p>
      <w:pPr>
        <w:pStyle w:val="BookText"/>
      </w:pPr>
      <w:r>
        <w:rPr>
          <w:rFonts w:ascii="IRNazanin" w:hAnsi="IRNazanin" w:eastAsia="IRNazanin" w:cs="IRNazanin"/>
          <w:lang w:bidi="fa-IR"/>
          <w:color w:val="111111"/>
          <w:sz w:val="28"/>
          <w:szCs w:val="28"/>
          <w:rtl/>
        </w:rPr>
        <w:t xml:space="preserve">سم [رایانه]</w:t>
      </w:r>
    </w:p>
    <w:p>
      <w:pPr>
        <w:pStyle w:val="BookText"/>
      </w:pPr>
      <w:r>
        <w:rPr>
          <w:rFonts w:ascii="IRNazanin" w:hAnsi="IRNazanin" w:eastAsia="IRNazanin" w:cs="IRNazanin"/>
          <w:lang w:bidi="fa-IR"/>
          <w:color w:val="111111"/>
          <w:sz w:val="28"/>
          <w:szCs w:val="28"/>
          <w:rtl/>
        </w:rPr>
        <w:t xml:space="preserve">۳۶. تهران: ملی؛ شماره نسخه: ۸۲۶۲</w:t>
      </w:r>
    </w:p>
    <w:p>
      <w:pPr>
        <w:pStyle w:val="BookText"/>
      </w:pPr>
      <w:r>
        <w:rPr>
          <w:rFonts w:ascii="IRNazanin" w:hAnsi="IRNazanin" w:eastAsia="IRNazanin" w:cs="IRNazanin"/>
          <w:lang w:bidi="fa-IR"/>
          <w:color w:val="111111"/>
          <w:sz w:val="28"/>
          <w:szCs w:val="28"/>
          <w:rtl/>
        </w:rPr>
        <w:t xml:space="preserve">آغاز: برابر ۱؛ انجام: کین همه درها به نظم آورده است***غوطه ها در بحر معنی خورده است. انجامه: تمام شد نسخه شیخ عطار بروز جمعه بوقت چاشت در قریه رامور. خط: نستعلیق بد، بی کا، بی تا، جا: قریه را مور؛ خریداری از بهزاد زارع؛ كاغذ: هندی، جلد: مقوایی با روکش کاغذی سبز، عطف پارچه سرمه ای، ۲۹گ (۲۲-۵۰)، ۱۵سطر(۱۰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اندازه: ۱۳/۵ ۲۳۸سم [رایانه]</w:t>
      </w:r>
    </w:p>
    <w:p>
      <w:pPr>
        <w:pStyle w:val="BookText"/>
      </w:pPr>
      <w:r>
        <w:rPr>
          <w:rFonts w:ascii="IRNazanin" w:hAnsi="IRNazanin" w:eastAsia="IRNazanin" w:cs="IRNazanin"/>
          <w:lang w:bidi="fa-IR"/>
          <w:color w:val="111111"/>
          <w:sz w:val="28"/>
          <w:szCs w:val="28"/>
          <w:rtl/>
        </w:rPr>
        <w:t xml:space="preserve">۳۷. تهران: انجمن آثار و مفاخر فرهنگی؛ شماره نسخه: ۶۳/۲</w:t>
      </w:r>
    </w:p>
    <w:p>
      <w:pPr>
        <w:pStyle w:val="BookText"/>
      </w:pPr>
      <w:r>
        <w:rPr>
          <w:rFonts w:ascii="IRNazanin" w:hAnsi="IRNazanin" w:eastAsia="IRNazanin" w:cs="IRNazanin"/>
          <w:lang w:bidi="fa-IR"/>
          <w:color w:val="111111"/>
          <w:sz w:val="28"/>
          <w:szCs w:val="28"/>
          <w:rtl/>
        </w:rPr>
        <w:t xml:space="preserve">آغاز: بسمله ذکر شیخ فریدالدین عطار عليه الرحمه و هو محمد؛ انجام: برابر۱</w:t>
      </w:r>
    </w:p>
    <w:p>
      <w:pPr>
        <w:pStyle w:val="BookText"/>
      </w:pPr>
      <w:r>
        <w:rPr>
          <w:rFonts w:ascii="IRNazanin" w:hAnsi="IRNazanin" w:eastAsia="IRNazanin" w:cs="IRNazanin"/>
          <w:lang w:bidi="fa-IR"/>
          <w:color w:val="111111"/>
          <w:sz w:val="28"/>
          <w:szCs w:val="28"/>
          <w:rtl/>
        </w:rPr>
        <w:t xml:space="preserve">در آغاز دارای مقدمه ای است در احوال شیخ فریدالدین به نثر (از صفحه ۶۹ مجموعه تا اوایل صفحه ۷۸)، بعد از آن پندنامه عطار می آید؛ كا: علی اکبر، بی تا، کاغذ: فرنگی الوان، جلد: مقوایی رویه کاغذی الوان عطف تیماج تریاکی، ۹۱ص (۱۵۹-۶۹)، ۱۱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۱۳/۵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۱۰۳]</w:t>
      </w:r>
    </w:p>
    <w:p>
      <w:pPr>
        <w:pStyle w:val="BookText"/>
      </w:pPr>
      <w:r>
        <w:rPr>
          <w:rFonts w:ascii="IRNazanin" w:hAnsi="IRNazanin" w:eastAsia="IRNazanin" w:cs="IRNazanin"/>
          <w:lang w:bidi="fa-IR"/>
          <w:color w:val="111111"/>
          <w:sz w:val="28"/>
          <w:szCs w:val="28"/>
          <w:rtl/>
        </w:rPr>
        <w:t xml:space="preserve">۳۸. قم؛ گلپایگانی؛ شماره نسخه: ۸۳۲۵/۲ - ۵۶/۱۷۵</w:t>
      </w:r>
    </w:p>
    <w:p>
      <w:pPr>
        <w:pStyle w:val="BookText"/>
      </w:pPr>
      <w:r>
        <w:rPr>
          <w:rFonts w:ascii="IRNazanin" w:hAnsi="IRNazanin" w:eastAsia="IRNazanin" w:cs="IRNazanin"/>
          <w:lang w:bidi="fa-IR"/>
          <w:color w:val="111111"/>
          <w:sz w:val="28"/>
          <w:szCs w:val="28"/>
          <w:rtl/>
        </w:rPr>
        <w:t xml:space="preserve">آغاز: برابر۱</w:t>
      </w:r>
    </w:p>
    <w:p>
      <w:pPr>
        <w:pStyle w:val="BookText"/>
      </w:pPr>
      <w:r>
        <w:rPr>
          <w:rFonts w:ascii="IRNazanin" w:hAnsi="IRNazanin" w:eastAsia="IRNazanin" w:cs="IRNazanin"/>
          <w:lang w:bidi="fa-IR"/>
          <w:color w:val="111111"/>
          <w:sz w:val="28"/>
          <w:szCs w:val="28"/>
          <w:rtl/>
        </w:rPr>
        <w:t xml:space="preserve">خط: شکسته، بی کا، بی تا؛ ۲۹گ (۱۲۰-۱۴۸)، ۱۷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۲-۶۶۷]</w:t>
      </w:r>
    </w:p>
    <w:p>
      <w:pPr>
        <w:pStyle w:val="BookText"/>
      </w:pPr>
      <w:r>
        <w:rPr>
          <w:rFonts w:ascii="IRNazanin" w:hAnsi="IRNazanin" w:eastAsia="IRNazanin" w:cs="IRNazanin"/>
          <w:lang w:bidi="fa-IR"/>
          <w:color w:val="111111"/>
          <w:sz w:val="28"/>
          <w:szCs w:val="28"/>
          <w:rtl/>
        </w:rPr>
        <w:t xml:space="preserve">۳۹. تهران؛ انجمن آثار و مفاخر فرهنگی؛ شماره نسخه: ۲۶/۳</w:t>
      </w:r>
    </w:p>
    <w:p>
      <w:pPr>
        <w:pStyle w:val="BookText"/>
      </w:pPr>
      <w:r>
        <w:rPr>
          <w:rFonts w:ascii="IRNazanin" w:hAnsi="IRNazanin" w:eastAsia="IRNazanin" w:cs="IRNazanin"/>
          <w:lang w:bidi="fa-IR"/>
          <w:color w:val="111111"/>
          <w:sz w:val="28"/>
          <w:szCs w:val="28"/>
          <w:rtl/>
        </w:rPr>
        <w:t xml:space="preserve">كا: على اكبر، بی تا [ نشریه: ۷-۳]</w:t>
      </w:r>
    </w:p>
    <w:p>
      <w:pPr>
        <w:pStyle w:val="BookText"/>
      </w:pPr>
      <w:r>
        <w:rPr>
          <w:rFonts w:ascii="IRNazanin" w:hAnsi="IRNazanin" w:eastAsia="IRNazanin" w:cs="IRNazanin"/>
          <w:lang w:bidi="fa-IR"/>
          <w:color w:val="111111"/>
          <w:sz w:val="28"/>
          <w:szCs w:val="28"/>
          <w:rtl/>
        </w:rPr>
        <w:t xml:space="preserve">۴۰. تهران، دانشگاه؛ شماره نسخه: ۳/ ۷۳۳۱</w:t>
      </w:r>
    </w:p>
    <w:p>
      <w:pPr>
        <w:pStyle w:val="BookText"/>
      </w:pPr>
      <w:r>
        <w:rPr>
          <w:rFonts w:ascii="IRNazanin" w:hAnsi="IRNazanin" w:eastAsia="IRNazanin" w:cs="IRNazanin"/>
          <w:lang w:bidi="fa-IR"/>
          <w:color w:val="111111"/>
          <w:sz w:val="28"/>
          <w:szCs w:val="28"/>
          <w:rtl/>
        </w:rPr>
        <w:t xml:space="preserve">بی کا، بی تا، کاغذ: سپاهانی، جلد: نو، ۳۳گ (۳۲ز -۶۴پ)، ۱۶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قطع: بغلی،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سم [ف: ۱۶-۵۱۴]</w:t>
      </w:r>
    </w:p>
    <w:p>
      <w:pPr>
        <w:pStyle w:val="Heading3"/>
      </w:pPr>
      <w:bookmarkStart w:id="1798" w:name="_Toc1058"/>
      <w:r>
        <w:t>• پندنامه / اخلاق / فارسی</w:t>
      </w:r>
      <w:bookmarkEnd w:id="1798"/>
    </w:p>
    <w:p>
      <w:pPr>
        <w:pStyle w:val="BookText"/>
      </w:pPr>
      <w:r>
        <w:rPr>
          <w:rFonts w:ascii="Times New Roman" w:hAnsi="Times New Roman" w:eastAsia="Times New Roman" w:cs="Times New Roman"/>
          <w:lang w:val="en-US" w:bidi="en-US"/>
          <w:color w:val="111111"/>
          <w:sz w:val="28"/>
          <w:szCs w:val="28"/>
          <w:rtl/>
        </w:rPr>
        <w:t xml:space="preserve">pand-nāme</w:t>
      </w:r>
    </w:p>
    <w:p>
      <w:pPr>
        <w:pStyle w:val="BookText"/>
      </w:pPr>
      <w:r>
        <w:rPr>
          <w:rFonts w:ascii="IRNazanin" w:hAnsi="IRNazanin" w:eastAsia="IRNazanin" w:cs="IRNazanin"/>
          <w:lang w:bidi="fa-IR"/>
          <w:color w:val="111111"/>
          <w:sz w:val="28"/>
          <w:szCs w:val="28"/>
          <w:rtl/>
        </w:rPr>
        <w:t xml:space="preserve">عبید زاکانی، عبيد الله، -۷۷۲ قمری</w:t>
      </w:r>
    </w:p>
    <w:p>
      <w:pPr>
        <w:pStyle w:val="BookText"/>
      </w:pPr>
      <w:r>
        <w:rPr>
          <w:rFonts w:ascii="Times New Roman" w:hAnsi="Times New Roman" w:eastAsia="Times New Roman" w:cs="Times New Roman"/>
          <w:lang w:val="en-US" w:bidi="en-US"/>
          <w:color w:val="111111"/>
          <w:sz w:val="28"/>
          <w:szCs w:val="28"/>
          <w:rtl/>
        </w:rPr>
        <w:t xml:space="preserve">‘obeyd-e zākānī, 'obeyd-ol-lāh (- 1371)</w:t>
      </w:r>
    </w:p>
    <w:p>
      <w:pPr>
        <w:pStyle w:val="BookText"/>
      </w:pPr>
      <w:r>
        <w:rPr>
          <w:rFonts w:ascii="IRNazanin" w:hAnsi="IRNazanin" w:eastAsia="IRNazanin" w:cs="IRNazanin"/>
          <w:lang w:bidi="fa-IR"/>
          <w:color w:val="111111"/>
          <w:sz w:val="28"/>
          <w:szCs w:val="28"/>
          <w:rtl/>
        </w:rPr>
        <w:t xml:space="preserve">در ۷ «باب»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17" w:name="pg20363_209586"/>
    <w:bookmarkEnd w:id="317"/>
    <w:p>
      <w:pPr>
        <w:pStyle w:val="BookText"/>
      </w:pPr>
      <w:r>
        <w:rPr>
          <w:rFonts w:ascii="IRNazanin" w:hAnsi="IRNazanin" w:eastAsia="IRNazanin" w:cs="IRNazanin"/>
          <w:lang w:bidi="fa-IR"/>
          <w:color w:val="111111"/>
          <w:sz w:val="28"/>
          <w:szCs w:val="28"/>
          <w:rtl/>
        </w:rPr>
        <w:t xml:space="preserve">آغاز: شکر و سپاس خالقی را که کثرت مخلوقات بر وحدانیت او دلیلی واضح و برهانی ساطع است.</w:t>
      </w:r>
    </w:p>
    <w:p>
      <w:pPr>
        <w:pStyle w:val="BookText"/>
      </w:pPr>
      <w:r>
        <w:rPr>
          <w:rFonts w:ascii="IRNazanin" w:hAnsi="IRNazanin" w:eastAsia="IRNazanin" w:cs="IRNazanin"/>
          <w:lang w:bidi="fa-IR"/>
          <w:color w:val="111111"/>
          <w:sz w:val="28"/>
          <w:szCs w:val="28"/>
          <w:rtl/>
        </w:rPr>
        <w:t xml:space="preserve">[فهرستواره منزوی ۳۴۹/۶ آغاز از آنجا ]</w:t>
      </w:r>
    </w:p>
    <w:p>
      <w:pPr>
        <w:pStyle w:val="BookText"/>
      </w:pPr>
      <w:r>
        <w:rPr>
          <w:rFonts w:ascii="IRNazanin" w:hAnsi="IRNazanin" w:eastAsia="IRNazanin" w:cs="IRNazanin"/>
          <w:lang w:bidi="fa-IR"/>
          <w:color w:val="111111"/>
          <w:sz w:val="28"/>
          <w:szCs w:val="28"/>
          <w:rtl/>
        </w:rPr>
        <w:t xml:space="preserve">۱. تهران، دانشگاه؛ شماره نسخه: ۱۲۹/۲۶ -ف</w:t>
      </w:r>
    </w:p>
    <w:p>
      <w:pPr>
        <w:pStyle w:val="BookText"/>
      </w:pPr>
      <w:r>
        <w:rPr>
          <w:rFonts w:ascii="IRNazanin" w:hAnsi="IRNazanin" w:eastAsia="IRNazanin" w:cs="IRNazanin"/>
          <w:lang w:bidi="fa-IR"/>
          <w:color w:val="111111"/>
          <w:sz w:val="28"/>
          <w:szCs w:val="28"/>
          <w:rtl/>
        </w:rPr>
        <w:t xml:space="preserve">نسخه اصل: ایاصوفيا ش ۴۷۹۵؛ خط: نسخ، بی کا، تا: ۸۵۵ق؛ ۲گ ( ۲۴۲-۲۴۱ )، ۱۴ سطر [فیلمها ف: ۱-۴۱۳]</w:t>
      </w:r>
    </w:p>
    <w:p>
      <w:pPr>
        <w:pStyle w:val="BookText"/>
      </w:pPr>
      <w:r>
        <w:rPr>
          <w:rFonts w:ascii="IRNazanin" w:hAnsi="IRNazanin" w:eastAsia="IRNazanin" w:cs="IRNazanin"/>
          <w:lang w:bidi="fa-IR"/>
          <w:color w:val="111111"/>
          <w:sz w:val="28"/>
          <w:szCs w:val="28"/>
          <w:rtl/>
        </w:rPr>
        <w:t xml:space="preserve">۲. تهران؛ الهیات؛ شماره نسخه: ۵۴۲/۲</w:t>
      </w:r>
    </w:p>
    <w:p>
      <w:pPr>
        <w:pStyle w:val="BookText"/>
      </w:pPr>
      <w:r>
        <w:rPr>
          <w:rFonts w:ascii="IRNazanin" w:hAnsi="IRNazanin" w:eastAsia="IRNazanin" w:cs="IRNazanin"/>
          <w:lang w:bidi="fa-IR"/>
          <w:color w:val="111111"/>
          <w:sz w:val="28"/>
          <w:szCs w:val="28"/>
          <w:rtl/>
        </w:rPr>
        <w:t xml:space="preserve">خط: نستعلیق، كا: حاج سید احمد لاهیجانی، تا: ۱۳۱۵ق، جان همدان؛ کاغذ: فرنگی سفید و کبود و نخودی، جلد: تیماج کرمی زرکوب مقوایی، ۴گ (۱۷ر-۲۰ر)، ۱۷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w:t>
      </w:r>
    </w:p>
    <w:p>
      <w:pPr>
        <w:pStyle w:val="BookText"/>
      </w:pPr>
      <w:r>
        <w:rPr>
          <w:rFonts w:ascii="IRNazanin" w:hAnsi="IRNazanin" w:eastAsia="IRNazanin" w:cs="IRNazanin"/>
          <w:lang w:bidi="fa-IR"/>
          <w:color w:val="111111"/>
          <w:sz w:val="28"/>
          <w:szCs w:val="28"/>
          <w:rtl/>
        </w:rPr>
        <w:t xml:space="preserve">)،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۳۲۱]</w:t>
      </w:r>
    </w:p>
    <w:p>
      <w:pPr>
        <w:pStyle w:val="Heading3"/>
      </w:pPr>
      <w:bookmarkStart w:id="1799" w:name="_Toc1059"/>
      <w:r>
        <w:t>•پندنامه / اخلاق / فارسی</w:t>
      </w:r>
      <w:bookmarkEnd w:id="1799"/>
    </w:p>
    <w:p>
      <w:pPr>
        <w:pStyle w:val="BookText"/>
      </w:pPr>
      <w:r>
        <w:rPr>
          <w:rFonts w:ascii="Times New Roman" w:hAnsi="Times New Roman" w:eastAsia="Times New Roman" w:cs="Times New Roman"/>
          <w:lang w:val="en-US" w:bidi="en-US"/>
          <w:color w:val="111111"/>
          <w:sz w:val="28"/>
          <w:szCs w:val="28"/>
          <w:rtl/>
        </w:rPr>
        <w:t xml:space="preserve">pand-nāme</w:t>
      </w:r>
    </w:p>
    <w:p>
      <w:pPr>
        <w:pStyle w:val="BookText"/>
      </w:pPr>
      <w:r>
        <w:rPr>
          <w:rFonts w:ascii="IRNazanin" w:hAnsi="IRNazanin" w:eastAsia="IRNazanin" w:cs="IRNazanin"/>
          <w:lang w:bidi="fa-IR"/>
          <w:color w:val="111111"/>
          <w:sz w:val="28"/>
          <w:szCs w:val="28"/>
          <w:rtl/>
        </w:rPr>
        <w:t xml:space="preserve">شاشی، یحیی بن حسین، ق۸ قمری</w:t>
      </w:r>
    </w:p>
    <w:p>
      <w:pPr>
        <w:pStyle w:val="BookText"/>
      </w:pPr>
      <w:r>
        <w:rPr>
          <w:rFonts w:ascii="Times New Roman" w:hAnsi="Times New Roman" w:eastAsia="Times New Roman" w:cs="Times New Roman"/>
          <w:lang w:val="en-US" w:bidi="en-US"/>
          <w:color w:val="111111"/>
          <w:sz w:val="28"/>
          <w:szCs w:val="28"/>
          <w:rtl/>
        </w:rPr>
        <w:t xml:space="preserve">šāšī, yahyā ben hoseyn (- 14c)</w:t>
      </w:r>
    </w:p>
    <w:p>
      <w:pPr>
        <w:pStyle w:val="BookText"/>
      </w:pPr>
      <w:r>
        <w:rPr>
          <w:rFonts w:ascii="IRNazanin" w:hAnsi="IRNazanin" w:eastAsia="IRNazanin" w:cs="IRNazanin"/>
          <w:lang w:bidi="fa-IR"/>
          <w:color w:val="111111"/>
          <w:sz w:val="28"/>
          <w:szCs w:val="28"/>
          <w:rtl/>
        </w:rPr>
        <w:t xml:space="preserve">تهران؛ دانشگاه؛ شماره نسخه: ۴۵۹۵/۲ -ف</w:t>
      </w:r>
    </w:p>
    <w:p>
      <w:pPr>
        <w:pStyle w:val="BookText"/>
      </w:pPr>
      <w:r>
        <w:rPr>
          <w:rFonts w:ascii="IRNazanin" w:hAnsi="IRNazanin" w:eastAsia="IRNazanin" w:cs="IRNazanin"/>
          <w:lang w:bidi="fa-IR"/>
          <w:color w:val="111111"/>
          <w:sz w:val="28"/>
          <w:szCs w:val="28"/>
          <w:rtl/>
        </w:rPr>
        <w:t xml:space="preserve">نسخه اصل: آلمان 2132</w:t>
      </w:r>
    </w:p>
    <w:p>
      <w:pPr>
        <w:pStyle w:val="BookText"/>
      </w:pPr>
      <w:r>
        <w:rPr>
          <w:rFonts w:ascii="Times New Roman" w:hAnsi="Times New Roman" w:eastAsia="Times New Roman" w:cs="Times New Roman"/>
          <w:lang w:val="en-US" w:bidi="en-US"/>
          <w:color w:val="111111"/>
          <w:sz w:val="28"/>
          <w:szCs w:val="28"/>
          <w:rtl/>
        </w:rPr>
        <w:t xml:space="preserve">Or Quart</w:t>
      </w:r>
      <w:r>
        <w:rPr>
          <w:rFonts w:ascii="IRNazanin" w:hAnsi="IRNazanin" w:eastAsia="IRNazanin" w:cs="IRNazanin"/>
          <w:lang w:bidi="fa-IR"/>
          <w:color w:val="111111"/>
          <w:sz w:val="28"/>
          <w:szCs w:val="28"/>
          <w:rtl/>
        </w:rPr>
        <w:t xml:space="preserve">؛ كاتب = مؤلف، تا: پنج شنبه</w:t>
      </w:r>
    </w:p>
    <w:p>
      <w:pPr>
        <w:pStyle w:val="BookText"/>
      </w:pPr>
      <w:r>
        <w:rPr>
          <w:rFonts w:ascii="IRNazanin" w:hAnsi="IRNazanin" w:eastAsia="IRNazanin" w:cs="IRNazanin"/>
          <w:lang w:bidi="fa-IR"/>
          <w:color w:val="111111"/>
          <w:sz w:val="28"/>
          <w:szCs w:val="28"/>
          <w:rtl/>
        </w:rPr>
        <w:t xml:space="preserve">۱۰ جمادی الثانی ۷۳۶ق؛ ۲۵گ [فیلمها ف: ۳-۷۶]</w:t>
      </w:r>
    </w:p>
    <w:p>
      <w:pPr>
        <w:pStyle w:val="Heading3"/>
      </w:pPr>
      <w:bookmarkStart w:id="1800" w:name="_Toc1060"/>
      <w:r>
        <w:t>•پندنامه = نصیحت نامه / شعر / فارسی</w:t>
      </w:r>
      <w:bookmarkEnd w:id="1800"/>
    </w:p>
    <w:p>
      <w:pPr>
        <w:pStyle w:val="BookText"/>
      </w:pPr>
      <w:r>
        <w:rPr>
          <w:rFonts w:ascii="Times New Roman" w:hAnsi="Times New Roman" w:eastAsia="Times New Roman" w:cs="Times New Roman"/>
          <w:lang w:val="en-US" w:bidi="en-US"/>
          <w:color w:val="111111"/>
          <w:sz w:val="28"/>
          <w:szCs w:val="28"/>
          <w:rtl/>
        </w:rPr>
        <w:t xml:space="preserve">pand-nāme = nasīhat-nāme</w:t>
      </w:r>
    </w:p>
    <w:p>
      <w:pPr>
        <w:pStyle w:val="BookText"/>
      </w:pPr>
      <w:r>
        <w:rPr>
          <w:rFonts w:ascii="IRNazanin" w:hAnsi="IRNazanin" w:eastAsia="IRNazanin" w:cs="IRNazanin"/>
          <w:lang w:bidi="fa-IR"/>
          <w:color w:val="111111"/>
          <w:sz w:val="28"/>
          <w:szCs w:val="28"/>
          <w:rtl/>
        </w:rPr>
        <w:t xml:space="preserve">جامی، عبدالرحمن بن احمد، ۸۱۷-۸۹۸ قمری</w:t>
      </w:r>
    </w:p>
    <w:p>
      <w:pPr>
        <w:pStyle w:val="BookText"/>
      </w:pPr>
      <w:r>
        <w:rPr>
          <w:rFonts w:ascii="Times New Roman" w:hAnsi="Times New Roman" w:eastAsia="Times New Roman" w:cs="Times New Roman"/>
          <w:lang w:val="en-US" w:bidi="en-US"/>
          <w:color w:val="111111"/>
          <w:sz w:val="28"/>
          <w:szCs w:val="28"/>
          <w:rtl/>
        </w:rPr>
        <w:t xml:space="preserve">jāmī, 'abd-or-rahmān ebn-e ahmad (1415-1493)</w:t>
      </w:r>
    </w:p>
    <w:p>
      <w:pPr>
        <w:pStyle w:val="BookText"/>
      </w:pPr>
      <w:r>
        <w:rPr>
          <w:rFonts w:ascii="IRNazanin" w:hAnsi="IRNazanin" w:eastAsia="IRNazanin" w:cs="IRNazanin"/>
          <w:lang w:bidi="fa-IR"/>
          <w:color w:val="111111"/>
          <w:sz w:val="28"/>
          <w:szCs w:val="28"/>
          <w:rtl/>
        </w:rPr>
        <w:t xml:space="preserve">قطعه ای است شامل ۹۴ بيت و برخی نسخه ها ۹۸ بیت در اندرز به فرزند خود که در پایان «یوسف و زلیخا»ی اوست.</w:t>
      </w:r>
    </w:p>
    <w:p>
      <w:pPr>
        <w:pStyle w:val="BookText"/>
      </w:pPr>
      <w:r>
        <w:rPr>
          <w:rFonts w:ascii="IRNazanin" w:hAnsi="IRNazanin" w:eastAsia="IRNazanin" w:cs="IRNazanin"/>
          <w:lang w:bidi="fa-IR"/>
          <w:color w:val="111111"/>
          <w:sz w:val="28"/>
          <w:szCs w:val="28"/>
          <w:rtl/>
        </w:rPr>
        <w:t xml:space="preserve">آغاز: بسمله تولا الله ای فرزانه فرزند*** نگهدار تو باد از بد خداوند / زهر پندت دهاد آن بهره مندی</w:t>
      </w:r>
      <w:r>
        <w:rPr>
          <w:rFonts w:ascii="IRNazanin" w:hAnsi="IRNazanin" w:eastAsia="IRNazanin" w:cs="IRNazanin"/>
          <w:lang w:bidi="fa-IR"/>
          <w:color w:val="111111"/>
          <w:sz w:val="28"/>
          <w:szCs w:val="28"/>
          <w:b w:val="1"/>
          <w:bCs w:val="1"/>
          <w:i w:val="1"/>
          <w:iCs w:val="1"/>
          <w:rtl/>
        </w:rPr>
        <w:t xml:space="preserve">که وقت حاجت آن را کار بندی / مرا هفتاد شد سال و ترا هفت</w:t>
      </w:r>
      <w:r>
        <w:rPr>
          <w:rFonts w:ascii="IRNazanin" w:hAnsi="IRNazanin" w:eastAsia="IRNazanin" w:cs="IRNazanin"/>
          <w:lang w:bidi="fa-IR"/>
          <w:color w:val="111111"/>
          <w:sz w:val="28"/>
          <w:szCs w:val="28"/>
          <w:rtl/>
        </w:rPr>
        <w:t xml:space="preserve">ترا اقبال می آید مرارت</w:t>
      </w:r>
    </w:p>
    <w:p>
      <w:pPr>
        <w:pStyle w:val="BookText"/>
      </w:pPr>
      <w:r>
        <w:rPr>
          <w:rFonts w:ascii="IRNazanin" w:hAnsi="IRNazanin" w:eastAsia="IRNazanin" w:cs="IRNazanin"/>
          <w:lang w:bidi="fa-IR"/>
          <w:color w:val="111111"/>
          <w:sz w:val="28"/>
          <w:szCs w:val="28"/>
          <w:rtl/>
        </w:rPr>
        <w:t xml:space="preserve">انجام: همان به کاندرین دیر مجازی*** کند فضل خدایت کارسازی</w:t>
      </w:r>
    </w:p>
    <w:p>
      <w:pPr>
        <w:pStyle w:val="BookText"/>
      </w:pPr>
      <w:r>
        <w:rPr>
          <w:rFonts w:ascii="IRNazanin" w:hAnsi="IRNazanin" w:eastAsia="IRNazanin" w:cs="IRNazanin"/>
          <w:lang w:bidi="fa-IR"/>
          <w:color w:val="111111"/>
          <w:sz w:val="28"/>
          <w:szCs w:val="28"/>
          <w:rtl/>
        </w:rPr>
        <w:t xml:space="preserve">[دنا ۶۴۴/۲ ؛ فهرستواره ۴۶۲/۱۰ ]</w:t>
      </w:r>
    </w:p>
    <w:p>
      <w:pPr>
        <w:pStyle w:val="BookText"/>
      </w:pPr>
      <w:r>
        <w:rPr>
          <w:rFonts w:ascii="IRNazanin" w:hAnsi="IRNazanin" w:eastAsia="IRNazanin" w:cs="IRNazanin"/>
          <w:lang w:bidi="fa-IR"/>
          <w:color w:val="111111"/>
          <w:sz w:val="28"/>
          <w:szCs w:val="28"/>
          <w:rtl/>
        </w:rPr>
        <w:t xml:space="preserve">۱. تهران: ملک؛ شماره نسخه: ۵۹۷۸</w:t>
      </w:r>
    </w:p>
    <w:p>
      <w:pPr>
        <w:pStyle w:val="BookText"/>
      </w:pPr>
      <w:r>
        <w:rPr>
          <w:rFonts w:ascii="IRNazanin" w:hAnsi="IRNazanin" w:eastAsia="IRNazanin" w:cs="IRNazanin"/>
          <w:lang w:bidi="fa-IR"/>
          <w:color w:val="111111"/>
          <w:sz w:val="28"/>
          <w:szCs w:val="28"/>
          <w:rtl/>
        </w:rPr>
        <w:t xml:space="preserve">خط: نستعلیق خوش، كا: میر عماد، تا: ۱۰۰۸ق، راسته چلیپا به صورت مرقع، با سرلوح مذهب و مجدول و هامش زرافشان؛ جلد: معرق طلا پوش ممتاز، ۱۳گ، اندازه: ۲۱/۹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۲-۶۹]</w:t>
      </w:r>
    </w:p>
    <w:p>
      <w:pPr>
        <w:pStyle w:val="BookText"/>
      </w:pPr>
      <w:r>
        <w:rPr>
          <w:rFonts w:ascii="IRNazanin" w:hAnsi="IRNazanin" w:eastAsia="IRNazanin" w:cs="IRNazanin"/>
          <w:lang w:bidi="fa-IR"/>
          <w:color w:val="111111"/>
          <w:sz w:val="28"/>
          <w:szCs w:val="28"/>
          <w:rtl/>
        </w:rPr>
        <w:t xml:space="preserve">۲. تهران؛ مجلس؛ شماره نسخه: ۲۲۰۳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نام مؤلف به قرینه آغاز نسخه تعیین شد؛ خط: نسخ تعلیق، بی کا، تا: قرن ۱۲؛ با سرلوح، مجدول، مذهب؛ کاغذ: متن کاغذ خان بالغ شکری آهار مهره، جلد: میشن خرمایی تیره، ۱۱ص، ۱۰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۶-۱۶۳]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 ۲۵۵۷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۹۸ بیت؛ خط: نستعلیق، کا: محمد باقر خان قاجار، تا: قرن ۱۳؛ مجدول، مذهب، با سرلوح مذهب مرصع؛ یادداشت نصر الملک مبنی بر اینکه نسخه متعلق به کامران میرزا نایب السلطنه بوده، به تاریخ ۱۳۴۰، کاغذ، مقوای فرنگی متن سفید و حاشیه آبی زرفشان، جلد: روغنی بوم زرشکی با گل کوکب و پرنده، ۱۰۱ص، ۱۰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۸-۲۶۱]</w:t>
      </w:r>
    </w:p>
    <w:p>
      <w:pPr>
        <w:pStyle w:val="BookText"/>
      </w:pPr>
      <w:r>
        <w:rPr>
          <w:rFonts w:ascii="IRNazanin" w:hAnsi="IRNazanin" w:eastAsia="IRNazanin" w:cs="IRNazanin"/>
          <w:lang w:bidi="fa-IR"/>
          <w:color w:val="111111"/>
          <w:sz w:val="28"/>
          <w:szCs w:val="28"/>
          <w:rtl/>
        </w:rPr>
        <w:t xml:space="preserve">۴. تهران؛ سلطنتی؛ شماره نسخه: ۵۰۰</w:t>
      </w:r>
    </w:p>
    <w:p>
      <w:pPr>
        <w:pStyle w:val="BookText"/>
      </w:pPr>
      <w:r>
        <w:rPr>
          <w:rFonts w:ascii="IRNazanin" w:hAnsi="IRNazanin" w:eastAsia="IRNazanin" w:cs="IRNazanin"/>
          <w:lang w:bidi="fa-IR"/>
          <w:color w:val="111111"/>
          <w:sz w:val="28"/>
          <w:szCs w:val="28"/>
          <w:rtl/>
        </w:rPr>
        <w:t xml:space="preserve">آغاز و انجام: برابر؛ مشق کرد از روی خط استاد الكل في الكل میر عماد الحسنی خانه زاد حقیقی علینقی ۱۲۷۰</w:t>
      </w:r>
    </w:p>
    <w:p>
      <w:pPr>
        <w:pStyle w:val="BookText"/>
      </w:pPr>
      <w:r>
        <w:rPr>
          <w:rFonts w:ascii="IRNazanin" w:hAnsi="IRNazanin" w:eastAsia="IRNazanin" w:cs="IRNazanin"/>
          <w:lang w:bidi="fa-IR"/>
          <w:color w:val="111111"/>
          <w:sz w:val="28"/>
          <w:szCs w:val="28"/>
          <w:rtl/>
        </w:rPr>
        <w:t xml:space="preserve">خط: نستعلیق بسیار خوب، كا: علینقی، تا: ۱۲۷۰ق؛ مجدول مذهب، کمنددار زرین، یک سرلوح مذهب مرصع مزدوج ممتاز؛ مهر: حسین بن هدایت الله، رضا الحسینی، مشيرالسلطنه ۱۳۲۲؛ کاغذ: فرنگی آهار مهره دولا، جلد: مقوای دولا روکش تیماج گلی رنگ مجدول کمنددار با ترنج و دو سر ترنج و چهار لچکی مذهب، وص، ۱۲ سطر، قطع: وزیری،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۱۵/۹ سم [ف: 3-260]</w:t>
      </w:r>
    </w:p>
    <w:p>
      <w:pPr>
        <w:pStyle w:val="BookText"/>
      </w:pPr>
      <w:r>
        <w:rPr>
          <w:rFonts w:ascii="IRNazanin" w:hAnsi="IRNazanin" w:eastAsia="IRNazanin" w:cs="IRNazanin"/>
          <w:lang w:bidi="fa-IR"/>
          <w:color w:val="111111"/>
          <w:sz w:val="28"/>
          <w:szCs w:val="28"/>
          <w:rtl/>
        </w:rPr>
        <w:t xml:space="preserve">۵. تهران: مجلس؛ شماره نسخه: ۲۲۰۲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تعليق، كا: محمد باقر خان ولد مرحوم حاجی بیگلر بیکی، بی تا؛ مجدول، مذهب، با سرلوح متوسط؛ یادداشت مالک در تاریخ ۷ صفر ۱۲۸۵؛ کاغذ: متن کاغذ فرنگی آبی و حاشیه کاغذ فرنگی پشت گلی آهار، جلد: میشن آلبالویی داغ دار، وص، ۱۱ سطر، اندازه:</w:t>
      </w:r>
    </w:p>
    <w:p>
      <w:pPr>
        <w:pStyle w:val="BookText"/>
      </w:pPr>
      <w:r>
        <w:rPr>
          <w:rFonts w:ascii="IRNazanin" w:hAnsi="IRNazanin" w:eastAsia="IRNazanin" w:cs="IRNazanin"/>
          <w:lang w:bidi="fa-IR"/>
          <w:color w:val="111111"/>
          <w:sz w:val="28"/>
          <w:szCs w:val="28"/>
          <w:rtl/>
        </w:rPr>
        <w:t xml:space="preserve">۱۹/۵۸۱۳ سم [ف: ۶-۱۶۳]</w:t>
      </w:r>
    </w:p>
    <w:p>
      <w:pPr>
        <w:pStyle w:val="BookText"/>
      </w:pPr>
      <w:r>
        <w:rPr>
          <w:rFonts w:ascii="IRNazanin" w:hAnsi="IRNazanin" w:eastAsia="IRNazanin" w:cs="IRNazanin"/>
          <w:lang w:bidi="fa-IR"/>
          <w:color w:val="111111"/>
          <w:sz w:val="28"/>
          <w:szCs w:val="28"/>
          <w:rtl/>
        </w:rPr>
        <w:t xml:space="preserve">۶. تهران، ملک، شماره نسخه: ۵۳۶۵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خوش، كا: محمد باقر خان قاجار، تا: ۱۳۰۴ق؛ با یک سرلوح مذهب، مجدول با کمند؛ کاغذ: کاغذ متن ترمه و حاشیه ترمه ختایی، جلد: میشن قهوه ای مغزی یشمی، ۷گ، ۹ سطر، اندازه: ۲۳/۵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۱۶/۲ سم [ف: ۲-۶۹]</w:t>
      </w:r>
    </w:p>
    <w:p>
      <w:pPr>
        <w:pStyle w:val="BookText"/>
      </w:pPr>
      <w:r>
        <w:rPr>
          <w:rFonts w:ascii="IRNazanin" w:hAnsi="IRNazanin" w:eastAsia="IRNazanin" w:cs="IRNazanin"/>
          <w:lang w:bidi="fa-IR"/>
          <w:color w:val="111111"/>
          <w:sz w:val="28"/>
          <w:szCs w:val="28"/>
          <w:rtl/>
        </w:rPr>
        <w:t xml:space="preserve">۷. تهران، دانشگاه؛ شماره نسخه: ۷۹۷۷</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كان محمد باقر قاجار، تا: ۱۳۲۱ق؛ با سرلوح، مجدول زر و لاجورد؛ کاغذ: فرنگی، جلد: مقوا، ۴ گ، ۱۰ سطر (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قطع: ربعی، اندازه: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[ف: ۱۶-۷۵۳]</w:t>
      </w:r>
    </w:p>
    <w:p>
      <w:pPr>
        <w:pStyle w:val="BookText"/>
      </w:pPr>
      <w:r>
        <w:rPr>
          <w:rFonts w:ascii="IRNazanin" w:hAnsi="IRNazanin" w:eastAsia="IRNazanin" w:cs="IRNazanin"/>
          <w:lang w:bidi="fa-IR"/>
          <w:color w:val="111111"/>
          <w:sz w:val="28"/>
          <w:szCs w:val="28"/>
          <w:rtl/>
        </w:rPr>
        <w:t xml:space="preserve">۸. قم؛ فیضیه؛ شماره نسخه: ۹۶۲/۲</w:t>
      </w:r>
    </w:p>
    <w:p>
      <w:pPr>
        <w:pStyle w:val="BookText"/>
      </w:pPr>
      <w:r>
        <w:rPr>
          <w:rFonts w:ascii="IRNazanin" w:hAnsi="IRNazanin" w:eastAsia="IRNazanin" w:cs="IRNazanin"/>
          <w:lang w:bidi="fa-IR"/>
          <w:color w:val="111111"/>
          <w:sz w:val="28"/>
          <w:szCs w:val="28"/>
          <w:rtl/>
        </w:rPr>
        <w:t xml:space="preserve">آغاز: برابر؛ انجام: بحمد الله که بر رغم زمانه***به پایان آمد این دلکش فسانه</w:t>
      </w:r>
    </w:p>
    <w:p>
      <w:pPr>
        <w:pStyle w:val="BookText"/>
      </w:pPr>
      <w:r>
        <w:rPr>
          <w:rFonts w:ascii="IRNazanin" w:hAnsi="IRNazanin" w:eastAsia="IRNazanin" w:cs="IRNazanin"/>
          <w:lang w:bidi="fa-IR"/>
          <w:color w:val="111111"/>
          <w:sz w:val="28"/>
          <w:szCs w:val="28"/>
          <w:rtl/>
        </w:rPr>
        <w:t xml:space="preserve">خط: نستعلیق، کا: محمد حسین محمد شفیع، بی تا؛ ۵ص، ۱۵سطر،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18" w:name="pg20363_209587"/>
    <w:bookmarkEnd w:id="318"/>
    <w:p>
      <w:pPr>
        <w:pStyle w:val="BookText"/>
      </w:pPr>
      <w:r>
        <w:rPr>
          <w:rFonts w:ascii="IRNazanin" w:hAnsi="IRNazanin" w:eastAsia="IRNazanin" w:cs="IRNazanin"/>
          <w:lang w:bidi="fa-IR"/>
          <w:color w:val="111111"/>
          <w:sz w:val="28"/>
          <w:szCs w:val="28"/>
          <w:rtl/>
        </w:rPr>
        <w:t xml:space="preserve">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۳-۴۴]</w:t>
      </w:r>
    </w:p>
    <w:p>
      <w:pPr>
        <w:pStyle w:val="Heading3"/>
      </w:pPr>
      <w:bookmarkStart w:id="1801" w:name="_Toc1061"/>
      <w:r>
        <w:t>• پندنامه / شعر، اخلاق / ترکی، عربی و فارسی</w:t>
      </w:r>
      <w:bookmarkEnd w:id="1801"/>
    </w:p>
    <w:p>
      <w:pPr>
        <w:pStyle w:val="BookText"/>
      </w:pPr>
      <w:r>
        <w:rPr>
          <w:rFonts w:ascii="Times New Roman" w:hAnsi="Times New Roman" w:eastAsia="Times New Roman" w:cs="Times New Roman"/>
          <w:lang w:val="en-US" w:bidi="en-US"/>
          <w:color w:val="111111"/>
          <w:sz w:val="28"/>
          <w:szCs w:val="28"/>
          <w:rtl/>
        </w:rPr>
        <w:t xml:space="preserve">pand-nāme</w:t>
      </w:r>
    </w:p>
    <w:p>
      <w:pPr>
        <w:pStyle w:val="BookText"/>
      </w:pPr>
      <w:r>
        <w:rPr>
          <w:rFonts w:ascii="IRNazanin" w:hAnsi="IRNazanin" w:eastAsia="IRNazanin" w:cs="IRNazanin"/>
          <w:lang w:bidi="fa-IR"/>
          <w:color w:val="111111"/>
          <w:sz w:val="28"/>
          <w:szCs w:val="28"/>
          <w:rtl/>
        </w:rPr>
        <w:t xml:space="preserve">نابی رهاوی، يوسف بن عبدالله، -۱۱۲۴ قمری</w:t>
      </w:r>
    </w:p>
    <w:p>
      <w:pPr>
        <w:pStyle w:val="BookText"/>
      </w:pPr>
      <w:r>
        <w:rPr>
          <w:rFonts w:ascii="Times New Roman" w:hAnsi="Times New Roman" w:eastAsia="Times New Roman" w:cs="Times New Roman"/>
          <w:lang w:val="en-US" w:bidi="en-US"/>
          <w:color w:val="111111"/>
          <w:sz w:val="28"/>
          <w:szCs w:val="28"/>
          <w:rtl/>
        </w:rPr>
        <w:t xml:space="preserve">nābī rahāvī, yūsof ebn-e ‘abd-ol-lāh (- 1712)</w:t>
      </w:r>
    </w:p>
    <w:p>
      <w:pPr>
        <w:pStyle w:val="BookText"/>
      </w:pPr>
      <w:r>
        <w:rPr>
          <w:rFonts w:ascii="IRNazanin" w:hAnsi="IRNazanin" w:eastAsia="IRNazanin" w:cs="IRNazanin"/>
          <w:lang w:bidi="fa-IR"/>
          <w:color w:val="111111"/>
          <w:sz w:val="28"/>
          <w:szCs w:val="28"/>
          <w:rtl/>
        </w:rPr>
        <w:t xml:space="preserve">با آن که متن اصلی به زبان ترکی است سرفصل ها و مطلع هر فصل در این نسخه معمولا به زبان فارسی آمده است، ابیات فارسی همه حالت خطابی دارد و به نظر می رسد این منظومه را خطاب به فرزند خود سروده است. نمونه: ای چراغ طرب افروز امل *** هبه حضرت حق عزوجل / ای سهی سرو خیابان شهود*** نو خرامنده بستان وجود / ای نهال چمن افروز ادب*** ای فرح بخش دل و دیده آب. مؤلف که متولد روهای ترکیه است و مدتی را در ادرنه استانبول سپری نموده به شرح احوال خویش در این منظومه اشاره می کند و سپس مضامین دینی و اخلاقی می پردازد با این سرفصل ها: شكرنامه نابی افندی با خدای متعال جل شانه بدادن پسر، دعانامه و مدح برای پسر خویش و تعریف حسب حال، تعریف پنج ارکان اسلام و فضایلش بالتمام، اولا تعریف فضائل كلمه شهادت، ثانيا تعریف فضائل وضوء و شروط صلاه، ... در بیان فضیلت زكوه اموال، در بیان فضیلت علم شریف، در بیان صفت علم شریف، در بیان مح استنبول، در بیان ستایش نظر احسن الوجه بچشم اعتبار، در بیان مذمت سؤال، در بیان ترهیت هزل و فرح، در بیان حق نوازش همسایگان، در بیان حسن اخلاق، در بیان ترهيب من الحيل، در بیان تحريز از رمل، در بیان تحريز شرب خمر می، در بیان تحریز آرایش، در بیام تحريز از اعیان، در بیان تحريز من الذنب، در بیان ترغیب تماشای صنع باری، در بیان في حق نظم و اشعار، در بیان ستایش صبر و تأنی، در بیان ستایش زاعت و منع، در مذمت اسراف و مدح اعتدال، در بیان تحریر قسام نائبی، در مذمت لعب ولهو، در بیان ترهيب از قضا در، در بیان مذمت کیمیا بدبخت، حکایت شوت، در مذمت سخن چین، در بیان طبیب حاذق، در بیان دعا و ختم کتاب.</w:t>
      </w:r>
    </w:p>
    <w:p>
      <w:pPr>
        <w:pStyle w:val="BookText"/>
      </w:pPr>
      <w:r>
        <w:rPr>
          <w:rFonts w:ascii="IRNazanin" w:hAnsi="IRNazanin" w:eastAsia="IRNazanin" w:cs="IRNazanin"/>
          <w:lang w:bidi="fa-IR"/>
          <w:color w:val="111111"/>
          <w:sz w:val="28"/>
          <w:szCs w:val="28"/>
          <w:rtl/>
        </w:rPr>
        <w:t xml:space="preserve">تهران؛ مجلس؛ شماره نسخه: ۱۶۹۱۸</w:t>
      </w:r>
    </w:p>
    <w:p>
      <w:pPr>
        <w:pStyle w:val="BookText"/>
      </w:pPr>
      <w:r>
        <w:rPr>
          <w:rFonts w:ascii="IRNazanin" w:hAnsi="IRNazanin" w:eastAsia="IRNazanin" w:cs="IRNazanin"/>
          <w:lang w:bidi="fa-IR"/>
          <w:color w:val="111111"/>
          <w:sz w:val="28"/>
          <w:szCs w:val="28"/>
          <w:rtl/>
        </w:rPr>
        <w:t xml:space="preserve">آغاز: دو شنوب عالمه قالیچه خاک*** اوستنه دوند تپ قباب افلاکی؛ انجام: چون ابو الخير تونلدی نامک*** خیر ایده حضرت حق انجامک.</w:t>
      </w:r>
    </w:p>
    <w:p>
      <w:pPr>
        <w:pStyle w:val="BookText"/>
      </w:pPr>
      <w:r>
        <w:rPr>
          <w:rFonts w:ascii="IRNazanin" w:hAnsi="IRNazanin" w:eastAsia="IRNazanin" w:cs="IRNazanin"/>
          <w:lang w:bidi="fa-IR"/>
          <w:color w:val="111111"/>
          <w:sz w:val="28"/>
          <w:szCs w:val="28"/>
          <w:rtl/>
        </w:rPr>
        <w:t xml:space="preserve">خط: نسخ و نستعلیق تحریری، کاتب = مؤلف، تا: ذیحجه ۱۱۳۷ق؛ افتادگی: آغاز؛ مصحح؛ جلد: مقوایی با روکش پارچه ای، ۷۵گ، ابعاد متن: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۴۷/۱</w:t>
      </w:r>
    </w:p>
    <w:p>
      <w:pPr>
        <w:pStyle w:val="BookText"/>
      </w:pPr>
      <w:r>
        <w:rPr>
          <w:rFonts w:ascii="IRNazanin" w:hAnsi="IRNazanin" w:eastAsia="IRNazanin" w:cs="IRNazanin"/>
          <w:lang w:bidi="fa-IR"/>
          <w:color w:val="111111"/>
          <w:sz w:val="28"/>
          <w:szCs w:val="28"/>
          <w:rtl/>
        </w:rPr>
        <w:t xml:space="preserve">-۳۱]</w:t>
      </w:r>
    </w:p>
    <w:p>
      <w:pPr>
        <w:pStyle w:val="Heading3"/>
      </w:pPr>
      <w:bookmarkStart w:id="1802" w:name="_Toc1062"/>
      <w:r>
        <w:t>•و پندنامه / اخلاق / فارسی</w:t>
      </w:r>
      <w:bookmarkEnd w:id="1802"/>
    </w:p>
    <w:p>
      <w:pPr>
        <w:pStyle w:val="BookText"/>
      </w:pPr>
      <w:r>
        <w:rPr>
          <w:rFonts w:ascii="Times New Roman" w:hAnsi="Times New Roman" w:eastAsia="Times New Roman" w:cs="Times New Roman"/>
          <w:lang w:val="en-US" w:bidi="en-US"/>
          <w:color w:val="111111"/>
          <w:sz w:val="28"/>
          <w:szCs w:val="28"/>
          <w:rtl/>
        </w:rPr>
        <w:t xml:space="preserve">pand-nāme</w:t>
      </w:r>
    </w:p>
    <w:p>
      <w:pPr>
        <w:pStyle w:val="BookText"/>
      </w:pPr>
      <w:r>
        <w:rPr>
          <w:rFonts w:ascii="IRNazanin" w:hAnsi="IRNazanin" w:eastAsia="IRNazanin" w:cs="IRNazanin"/>
          <w:lang w:bidi="fa-IR"/>
          <w:color w:val="111111"/>
          <w:sz w:val="28"/>
          <w:szCs w:val="28"/>
          <w:rtl/>
        </w:rPr>
        <w:t xml:space="preserve">رشتی، کاظم بن قاسم، ۱۲۱۲-۱۲۵۹ قمری</w:t>
      </w:r>
    </w:p>
    <w:p>
      <w:pPr>
        <w:pStyle w:val="BookText"/>
      </w:pPr>
      <w:r>
        <w:rPr>
          <w:rFonts w:ascii="Times New Roman" w:hAnsi="Times New Roman" w:eastAsia="Times New Roman" w:cs="Times New Roman"/>
          <w:lang w:val="en-US" w:bidi="en-US"/>
          <w:color w:val="111111"/>
          <w:sz w:val="28"/>
          <w:szCs w:val="28"/>
          <w:rtl/>
        </w:rPr>
        <w:t xml:space="preserve">raštī, kāzem ebn-e qāsem (1798-1843)</w:t>
      </w:r>
    </w:p>
    <w:p>
      <w:pPr>
        <w:pStyle w:val="BookText"/>
      </w:pPr>
      <w:r>
        <w:rPr>
          <w:rFonts w:ascii="IRNazanin" w:hAnsi="IRNazanin" w:eastAsia="IRNazanin" w:cs="IRNazanin"/>
          <w:lang w:bidi="fa-IR"/>
          <w:color w:val="111111"/>
          <w:sz w:val="28"/>
          <w:szCs w:val="28"/>
          <w:rtl/>
        </w:rPr>
        <w:t xml:space="preserve">مشهد؛ رضوی؛ شماره نسخه: ۹۹۶۵/۹</w:t>
      </w:r>
    </w:p>
    <w:p>
      <w:pPr>
        <w:pStyle w:val="BookText"/>
      </w:pPr>
      <w:r>
        <w:rPr>
          <w:rFonts w:ascii="IRNazanin" w:hAnsi="IRNazanin" w:eastAsia="IRNazanin" w:cs="IRNazanin"/>
          <w:lang w:bidi="fa-IR"/>
          <w:color w:val="111111"/>
          <w:sz w:val="28"/>
          <w:szCs w:val="28"/>
          <w:rtl/>
        </w:rPr>
        <w:t xml:space="preserve">خط: نسخ، بی کا، بی تا، کاغذ: آهار مهره، جلد: تیماج زرشکی، 19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۱۱-۳۶۵]</w:t>
      </w:r>
    </w:p>
    <w:p>
      <w:pPr>
        <w:pStyle w:val="Heading3"/>
      </w:pPr>
      <w:bookmarkStart w:id="1803" w:name="_Toc1063"/>
      <w:r>
        <w:t>• پندنامه / اخلاق / فارسی</w:t>
      </w:r>
      <w:bookmarkEnd w:id="1803"/>
    </w:p>
    <w:p>
      <w:pPr>
        <w:pStyle w:val="BookText"/>
      </w:pPr>
      <w:r>
        <w:rPr>
          <w:rFonts w:ascii="Times New Roman" w:hAnsi="Times New Roman" w:eastAsia="Times New Roman" w:cs="Times New Roman"/>
          <w:lang w:val="en-US" w:bidi="en-US"/>
          <w:color w:val="111111"/>
          <w:sz w:val="28"/>
          <w:szCs w:val="28"/>
          <w:rtl/>
        </w:rPr>
        <w:t xml:space="preserve">pand-nāme</w:t>
      </w:r>
    </w:p>
    <w:p>
      <w:pPr>
        <w:pStyle w:val="BookText"/>
      </w:pPr>
      <w:r>
        <w:rPr>
          <w:rFonts w:ascii="IRNazanin" w:hAnsi="IRNazanin" w:eastAsia="IRNazanin" w:cs="IRNazanin"/>
          <w:lang w:bidi="fa-IR"/>
          <w:color w:val="111111"/>
          <w:sz w:val="28"/>
          <w:szCs w:val="28"/>
          <w:rtl/>
        </w:rPr>
        <w:t xml:space="preserve">جهانگیر میرزا، ۲۱۲۲۲-۱۲۶۹ قمری</w:t>
      </w:r>
    </w:p>
    <w:p>
      <w:pPr>
        <w:pStyle w:val="BookText"/>
      </w:pPr>
      <w:r>
        <w:rPr>
          <w:rFonts w:ascii="Times New Roman" w:hAnsi="Times New Roman" w:eastAsia="Times New Roman" w:cs="Times New Roman"/>
          <w:lang w:val="en-US" w:bidi="en-US"/>
          <w:color w:val="111111"/>
          <w:sz w:val="28"/>
          <w:szCs w:val="28"/>
          <w:rtl/>
        </w:rPr>
        <w:t xml:space="preserve">jahāngīr mīrzā (1807-1853)</w:t>
      </w:r>
    </w:p>
    <w:p>
      <w:pPr>
        <w:pStyle w:val="BookText"/>
      </w:pPr>
      <w:r>
        <w:rPr>
          <w:rFonts w:ascii="IRNazanin" w:hAnsi="IRNazanin" w:eastAsia="IRNazanin" w:cs="IRNazanin"/>
          <w:lang w:bidi="fa-IR"/>
          <w:color w:val="111111"/>
          <w:sz w:val="28"/>
          <w:szCs w:val="28"/>
          <w:rtl/>
        </w:rPr>
        <w:t xml:space="preserve">مجموعه ای است از مواعظ و نصایح اخلاقی و حکیمانه در دوازده «پند» که هر پندی شامل یک حکایت می باشد. آغاز: بسمله، الحمدلله رب العالمين و الصلوة على خير خلقه</w:t>
      </w:r>
    </w:p>
    <w:p>
      <w:pPr>
        <w:pStyle w:val="BookText"/>
      </w:pPr>
      <w:r>
        <w:rPr>
          <w:rFonts w:ascii="IRNazanin" w:hAnsi="IRNazanin" w:eastAsia="IRNazanin" w:cs="IRNazanin"/>
          <w:lang w:bidi="fa-IR"/>
          <w:color w:val="111111"/>
          <w:sz w:val="28"/>
          <w:szCs w:val="28"/>
          <w:rtl/>
        </w:rPr>
        <w:t xml:space="preserve">است چند که بقلم شکسته بسته بطریق نصیحت و پند در سلک تحریر کشیده شده امید آنکه مطالعه نمایندگان را بهجتی افزاید و بصیرتی روی نماید و طلب مغفرتی برای مؤلف حاصل آید</w:t>
      </w:r>
    </w:p>
    <w:p>
      <w:pPr>
        <w:pStyle w:val="BookText"/>
      </w:pPr>
      <w:r>
        <w:rPr>
          <w:rFonts w:ascii="IRNazanin" w:hAnsi="IRNazanin" w:eastAsia="IRNazanin" w:cs="IRNazanin"/>
          <w:lang w:bidi="fa-IR"/>
          <w:color w:val="111111"/>
          <w:sz w:val="28"/>
          <w:szCs w:val="28"/>
          <w:rtl/>
        </w:rPr>
        <w:t xml:space="preserve">[دنا ۶۴۴/۲ ]</w:t>
      </w:r>
    </w:p>
    <w:p>
      <w:pPr>
        <w:pStyle w:val="BookText"/>
      </w:pPr>
      <w:r>
        <w:rPr>
          <w:rFonts w:ascii="IRNazanin" w:hAnsi="IRNazanin" w:eastAsia="IRNazanin" w:cs="IRNazanin"/>
          <w:lang w:bidi="fa-IR"/>
          <w:color w:val="111111"/>
          <w:sz w:val="28"/>
          <w:szCs w:val="28"/>
          <w:rtl/>
        </w:rPr>
        <w:t xml:space="preserve">۱. قم: فیضیه؛ شماره نسخه: ۱۹۳۷/۲</w:t>
      </w:r>
    </w:p>
    <w:p>
      <w:pPr>
        <w:pStyle w:val="BookText"/>
      </w:pPr>
      <w:r>
        <w:rPr>
          <w:rFonts w:ascii="IRNazanin" w:hAnsi="IRNazanin" w:eastAsia="IRNazanin" w:cs="IRNazanin"/>
          <w:lang w:bidi="fa-IR"/>
          <w:color w:val="111111"/>
          <w:sz w:val="28"/>
          <w:szCs w:val="28"/>
          <w:rtl/>
        </w:rPr>
        <w:t xml:space="preserve">آغاز: برابر خط: نستعلیق، کا: حاج اقا سر کشیک آستانه قم، تا: ۱۲۸۹ق؛ یادداشت از علی اکبر فيض بر برگ آغاز: «این رساله پندنامه از نواب امیر زاده جهانگیر میرزای اعمى خلف مرحوم شاهزاده مینو و ساده عباس میرزای نایب السلطنه برادر پادشاه جنت آرامگاه محمد شاه که هم آن پادشاه چشم عالم بین او را حدقه بر کنده بود در ایام توقف در دار الايمان قم بر نگاشته بودند. چون خالی از مزه نبود آن را به خط مرحوم مبرور حاجی آقا سر کشیک سر کار فیض آثار نویسانیدم و انا العبد الاقل آلائم الخاسر علی اکبر متولی مزار خاقان خلد مكان فتحعلیشاه في شهر رجب ۱۲۸»؛ ۵۶گ،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۳-۱۵۲]</w:t>
      </w:r>
    </w:p>
    <w:p>
      <w:pPr>
        <w:pStyle w:val="BookText"/>
      </w:pPr>
      <w:r>
        <w:rPr>
          <w:rFonts w:ascii="IRNazanin" w:hAnsi="IRNazanin" w:eastAsia="IRNazanin" w:cs="IRNazanin"/>
          <w:lang w:bidi="fa-IR"/>
          <w:color w:val="111111"/>
          <w:sz w:val="28"/>
          <w:szCs w:val="28"/>
          <w:rtl/>
        </w:rPr>
        <w:t xml:space="preserve">۲. تهران؛ سلطنتی؛ شماره نسخه: ۸۸۷</w:t>
      </w:r>
    </w:p>
    <w:p>
      <w:pPr>
        <w:pStyle w:val="BookText"/>
      </w:pPr>
      <w:r>
        <w:rPr>
          <w:rFonts w:ascii="IRNazanin" w:hAnsi="IRNazanin" w:eastAsia="IRNazanin" w:cs="IRNazanin"/>
          <w:lang w:bidi="fa-IR"/>
          <w:color w:val="111111"/>
          <w:sz w:val="28"/>
          <w:szCs w:val="28"/>
          <w:rtl/>
        </w:rPr>
        <w:t xml:space="preserve">آغاز: برابر؛ انجام: پند دوازدهم در موعظه و نصیحت و نظر نمودن بمأل احوال خود چون ادیب فاضل بديع الزمان همدانی را در مقامات خود درین باب مقاله مذکور بود و بسیار پسندیده آمد لهذا بطريق ترجمه ... بآن اکتفا نمودیم ... الى آخر. خط: شکسته نستعلیق خفی خوش، كا: علیمحمد متحلص بحکیم، تا: رجب ۱۲۹۰ق، جا: قم، کاغذ: فرنگی لبه طلائی، جلد: تیماج دولا سورمه ای و لاکی، ۱۳۶، ۱۰ سطر، قطع: ربعی، اندازه: ۲۲/۸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۷-۱۸۱]</w:t>
      </w:r>
    </w:p>
    <w:p>
      <w:pPr>
        <w:pStyle w:val="Heading3"/>
      </w:pPr>
      <w:bookmarkStart w:id="1804" w:name="_Toc1064"/>
      <w:r>
        <w:t>•پندنامه / اخلاق / فارسی</w:t>
      </w:r>
      <w:bookmarkEnd w:id="1804"/>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19" w:name="pg20363_209588"/>
    <w:bookmarkEnd w:id="319"/>
    <w:p>
      <w:pPr>
        <w:pStyle w:val="BookText"/>
      </w:pPr>
      <w:r>
        <w:rPr>
          <w:rFonts w:ascii="Times New Roman" w:hAnsi="Times New Roman" w:eastAsia="Times New Roman" w:cs="Times New Roman"/>
          <w:lang w:val="en-US" w:bidi="en-US"/>
          <w:color w:val="111111"/>
          <w:sz w:val="28"/>
          <w:szCs w:val="28"/>
          <w:rtl/>
        </w:rPr>
        <w:t xml:space="preserve">pand-nāme</w:t>
      </w:r>
    </w:p>
    <w:p>
      <w:pPr>
        <w:pStyle w:val="BookText"/>
      </w:pPr>
      <w:r>
        <w:rPr>
          <w:rFonts w:ascii="IRNazanin" w:hAnsi="IRNazanin" w:eastAsia="IRNazanin" w:cs="IRNazanin"/>
          <w:lang w:bidi="fa-IR"/>
          <w:color w:val="111111"/>
          <w:sz w:val="28"/>
          <w:szCs w:val="28"/>
          <w:rtl/>
        </w:rPr>
        <w:t xml:space="preserve">قاری، عبدالرحمن، ق۱۳ قمری</w:t>
      </w:r>
    </w:p>
    <w:p>
      <w:pPr>
        <w:pStyle w:val="BookText"/>
      </w:pPr>
      <w:r>
        <w:rPr>
          <w:rFonts w:ascii="Times New Roman" w:hAnsi="Times New Roman" w:eastAsia="Times New Roman" w:cs="Times New Roman"/>
          <w:lang w:val="en-US" w:bidi="en-US"/>
          <w:color w:val="111111"/>
          <w:sz w:val="28"/>
          <w:szCs w:val="28"/>
          <w:rtl/>
        </w:rPr>
        <w:t xml:space="preserve">qārī, 'abd-or-rahmān (- 19c)</w:t>
      </w:r>
    </w:p>
    <w:p>
      <w:pPr>
        <w:pStyle w:val="BookText"/>
      </w:pPr>
      <w:r>
        <w:rPr>
          <w:rFonts w:ascii="IRNazanin" w:hAnsi="IRNazanin" w:eastAsia="IRNazanin" w:cs="IRNazanin"/>
          <w:lang w:bidi="fa-IR"/>
          <w:color w:val="111111"/>
          <w:sz w:val="28"/>
          <w:szCs w:val="28"/>
          <w:rtl/>
        </w:rPr>
        <w:t xml:space="preserve">مشهد؛ رضوی؛ شماره نسخه: ۲۹۵۵۵</w:t>
      </w:r>
    </w:p>
    <w:p>
      <w:pPr>
        <w:pStyle w:val="BookText"/>
      </w:pPr>
      <w:r>
        <w:rPr>
          <w:rFonts w:ascii="IRNazanin" w:hAnsi="IRNazanin" w:eastAsia="IRNazanin" w:cs="IRNazanin"/>
          <w:lang w:bidi="fa-IR"/>
          <w:color w:val="111111"/>
          <w:sz w:val="28"/>
          <w:szCs w:val="28"/>
          <w:rtl/>
        </w:rPr>
        <w:t xml:space="preserve">آغاز: در بیان پند و نصیحت یکی بینی که او مست غرورست یکی مست جوانی پست دو روز پست؛ انجام: بکاهی نگران است از آن سبب زرد است</w:t>
      </w:r>
    </w:p>
    <w:p>
      <w:pPr>
        <w:pStyle w:val="BookText"/>
      </w:pPr>
      <w:r>
        <w:rPr>
          <w:rFonts w:ascii="IRNazanin" w:hAnsi="IRNazanin" w:eastAsia="IRNazanin" w:cs="IRNazanin"/>
          <w:lang w:bidi="fa-IR"/>
          <w:color w:val="111111"/>
          <w:sz w:val="28"/>
          <w:szCs w:val="28"/>
          <w:rtl/>
        </w:rPr>
        <w:t xml:space="preserve">خط: نستعلیق جلی، بی کا، تا: قرن ۱۳؛ افتادگی: انجام؛ ضمیمه نسخه ش ۱۶۲۷۶؛ کاغذ: نخودی، جلد: مقوا با عطف و گوشه تیماج مزین به ترنج و دو سرترنج و حواشی زنجیره ای ضربی، [رایانه ]</w:t>
      </w:r>
    </w:p>
    <w:p>
      <w:pPr>
        <w:pStyle w:val="Heading3"/>
      </w:pPr>
      <w:bookmarkStart w:id="1805" w:name="_Toc1065"/>
      <w:r>
        <w:t>• پندنامه = مثنوی عرفانی / شعر، اخلاق / فارسی</w:t>
      </w:r>
      <w:bookmarkEnd w:id="1805"/>
    </w:p>
    <w:p>
      <w:pPr>
        <w:pStyle w:val="BookText"/>
      </w:pPr>
      <w:r>
        <w:rPr>
          <w:rFonts w:ascii="Times New Roman" w:hAnsi="Times New Roman" w:eastAsia="Times New Roman" w:cs="Times New Roman"/>
          <w:lang w:val="en-US" w:bidi="en-US"/>
          <w:color w:val="111111"/>
          <w:sz w:val="28"/>
          <w:szCs w:val="28"/>
          <w:rtl/>
        </w:rPr>
        <w:t xml:space="preserve">pand-nāme = masnavī-ye ‘erfānī</w:t>
      </w:r>
    </w:p>
    <w:p>
      <w:pPr>
        <w:pStyle w:val="BookText"/>
      </w:pPr>
      <w:r>
        <w:rPr>
          <w:rFonts w:ascii="IRNazanin" w:hAnsi="IRNazanin" w:eastAsia="IRNazanin" w:cs="IRNazanin"/>
          <w:lang w:bidi="fa-IR"/>
          <w:color w:val="111111"/>
          <w:sz w:val="28"/>
          <w:szCs w:val="28"/>
          <w:rtl/>
        </w:rPr>
        <w:t xml:space="preserve">مدهوش گلپایگانی، محمد صادق بن فتحعلی، ق۱۳  قمری</w:t>
      </w:r>
    </w:p>
    <w:p>
      <w:pPr>
        <w:pStyle w:val="BookText"/>
      </w:pPr>
      <w:r>
        <w:rPr>
          <w:rFonts w:ascii="Times New Roman" w:hAnsi="Times New Roman" w:eastAsia="Times New Roman" w:cs="Times New Roman"/>
          <w:lang w:val="en-US" w:bidi="en-US"/>
          <w:color w:val="111111"/>
          <w:sz w:val="28"/>
          <w:szCs w:val="28"/>
          <w:rtl/>
        </w:rPr>
        <w:t xml:space="preserve">madhūš-e golpāygānī, mohammad sādeq ebn-e fath</w:t>
      </w:r>
    </w:p>
    <w:p>
      <w:pPr>
        <w:pStyle w:val="BookText"/>
      </w:pPr>
      <w:r>
        <w:rPr>
          <w:rFonts w:ascii="Times New Roman" w:hAnsi="Times New Roman" w:eastAsia="Times New Roman" w:cs="Times New Roman"/>
          <w:lang w:val="en-US" w:bidi="en-US"/>
          <w:color w:val="111111"/>
          <w:sz w:val="28"/>
          <w:szCs w:val="28"/>
          <w:rtl/>
        </w:rPr>
        <w:t xml:space="preserve">ali (- 19c)</w:t>
      </w:r>
    </w:p>
    <w:p>
      <w:pPr>
        <w:pStyle w:val="BookText"/>
      </w:pPr>
      <w:r>
        <w:rPr>
          <w:rFonts w:ascii="IRNazanin" w:hAnsi="IRNazanin" w:eastAsia="IRNazanin" w:cs="IRNazanin"/>
          <w:lang w:bidi="fa-IR"/>
          <w:color w:val="111111"/>
          <w:sz w:val="28"/>
          <w:szCs w:val="28"/>
          <w:rtl/>
        </w:rPr>
        <w:t xml:space="preserve">مثنوی عرفانی، در چهار «باب»: ۱. المتقابلات؛ ۲. التنبيهات؛ ۳. مراتب العشق؛ ۴. الصفات المحمودة. آغاز: بسمله آغاز همه کارها *** بلکه کلید همه اسرارها / چون در رحمت برخم باز به ***زان پسم از حمله آغاز به</w:t>
      </w:r>
    </w:p>
    <w:p>
      <w:pPr>
        <w:pStyle w:val="BookText"/>
      </w:pPr>
      <w:r>
        <w:rPr>
          <w:rFonts w:ascii="IRNazanin" w:hAnsi="IRNazanin" w:eastAsia="IRNazanin" w:cs="IRNazanin"/>
          <w:lang w:bidi="fa-IR"/>
          <w:color w:val="111111"/>
          <w:sz w:val="28"/>
          <w:szCs w:val="28"/>
          <w:rtl/>
        </w:rPr>
        <w:t xml:space="preserve">[دنا ۶۴۴/۲ ؛ نسخه های منزوی ۳۱۳۴/۴ ؛ فهرستواره منزوی ۴۸۹/۱۰ ]</w:t>
      </w:r>
    </w:p>
    <w:p>
      <w:pPr>
        <w:pStyle w:val="BookText"/>
      </w:pPr>
      <w:r>
        <w:rPr>
          <w:rFonts w:ascii="IRNazanin" w:hAnsi="IRNazanin" w:eastAsia="IRNazanin" w:cs="IRNazanin"/>
          <w:lang w:bidi="fa-IR"/>
          <w:color w:val="111111"/>
          <w:sz w:val="28"/>
          <w:szCs w:val="28"/>
          <w:rtl/>
        </w:rPr>
        <w:t xml:space="preserve">۱. تهران؛ ملک؛ شماره نسخه: ۵۰۵۶/۳۰</w:t>
      </w:r>
    </w:p>
    <w:p>
      <w:pPr>
        <w:pStyle w:val="BookText"/>
      </w:pPr>
      <w:r>
        <w:rPr>
          <w:rFonts w:ascii="IRNazanin" w:hAnsi="IRNazanin" w:eastAsia="IRNazanin" w:cs="IRNazanin"/>
          <w:lang w:bidi="fa-IR"/>
          <w:color w:val="111111"/>
          <w:sz w:val="28"/>
          <w:szCs w:val="28"/>
          <w:rtl/>
        </w:rPr>
        <w:t xml:space="preserve">آغاز: برابر، انجام: چون خود بطمع در احتیاجند***پیوسته بخلق در لجاجند</w:t>
      </w:r>
    </w:p>
    <w:p>
      <w:pPr>
        <w:pStyle w:val="BookText"/>
      </w:pPr>
      <w:r>
        <w:rPr>
          <w:rFonts w:ascii="IRNazanin" w:hAnsi="IRNazanin" w:eastAsia="IRNazanin" w:cs="IRNazanin"/>
          <w:lang w:bidi="fa-IR"/>
          <w:color w:val="111111"/>
          <w:sz w:val="28"/>
          <w:szCs w:val="28"/>
          <w:rtl/>
        </w:rPr>
        <w:t xml:space="preserve">خط: شکسته نستعلیق، بی کا، تا: رمضان ۱۲۴۸ق؛ کاغذ: فستقی جلد: میشن قهوه ای، ۳۰گ (۱۰۹پ -۱۳۸)، ۱۶ سطر، اندازه: ۲۰/۱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۳۰/۷سم [ف: ۸-۱۸۱]</w:t>
      </w:r>
    </w:p>
    <w:p>
      <w:pPr>
        <w:pStyle w:val="BookText"/>
      </w:pPr>
      <w:r>
        <w:rPr>
          <w:rFonts w:ascii="IRNazanin" w:hAnsi="IRNazanin" w:eastAsia="IRNazanin" w:cs="IRNazanin"/>
          <w:lang w:bidi="fa-IR"/>
          <w:color w:val="111111"/>
          <w:sz w:val="28"/>
          <w:szCs w:val="28"/>
          <w:rtl/>
        </w:rPr>
        <w:t xml:space="preserve">۲. تهران؛ مجلس؛ شماره نسخه: ۷۱۷۴/۲</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تا: ۱۲۶۴ق، بی کاتب؛ جلد: تیماج قهوه ای، ۲۴گ (۳۰-ر۵۳پ)، ۲۰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۲۵-۱۷۹]</w:t>
      </w:r>
    </w:p>
    <w:p>
      <w:pPr>
        <w:pStyle w:val="Heading3"/>
      </w:pPr>
      <w:bookmarkStart w:id="1806" w:name="_Toc1066"/>
      <w:r>
        <w:t>• پندنامه / شعر، اخلاق / فارسی</w:t>
      </w:r>
      <w:bookmarkEnd w:id="1806"/>
    </w:p>
    <w:p>
      <w:pPr>
        <w:pStyle w:val="BookText"/>
      </w:pPr>
      <w:r>
        <w:rPr>
          <w:rFonts w:ascii="Times New Roman" w:hAnsi="Times New Roman" w:eastAsia="Times New Roman" w:cs="Times New Roman"/>
          <w:lang w:val="en-US" w:bidi="en-US"/>
          <w:color w:val="111111"/>
          <w:sz w:val="28"/>
          <w:szCs w:val="28"/>
          <w:rtl/>
        </w:rPr>
        <w:t xml:space="preserve">pand-nāme</w:t>
      </w:r>
    </w:p>
    <w:p>
      <w:pPr>
        <w:pStyle w:val="BookText"/>
      </w:pPr>
      <w:r>
        <w:rPr>
          <w:rFonts w:ascii="IRNazanin" w:hAnsi="IRNazanin" w:eastAsia="IRNazanin" w:cs="IRNazanin"/>
          <w:lang w:bidi="fa-IR"/>
          <w:color w:val="111111"/>
          <w:sz w:val="28"/>
          <w:szCs w:val="28"/>
          <w:rtl/>
        </w:rPr>
        <w:t xml:space="preserve">افسر، محمد هاشم بن نورالله، ۱۲۵۷-۱۳۱۹ شمسی</w:t>
      </w:r>
    </w:p>
    <w:p>
      <w:pPr>
        <w:pStyle w:val="BookText"/>
      </w:pPr>
      <w:r>
        <w:rPr>
          <w:rFonts w:ascii="Times New Roman" w:hAnsi="Times New Roman" w:eastAsia="Times New Roman" w:cs="Times New Roman"/>
          <w:lang w:val="en-US" w:bidi="en-US"/>
          <w:color w:val="111111"/>
          <w:sz w:val="28"/>
          <w:szCs w:val="28"/>
          <w:rtl/>
        </w:rPr>
        <w:t xml:space="preserve">afsar, mohammad hāšem (1878-1940)</w:t>
      </w:r>
    </w:p>
    <w:p>
      <w:pPr>
        <w:pStyle w:val="BookText"/>
      </w:pPr>
      <w:r>
        <w:rPr>
          <w:rFonts w:ascii="IRNazanin" w:hAnsi="IRNazanin" w:eastAsia="IRNazanin" w:cs="IRNazanin"/>
          <w:lang w:bidi="fa-IR"/>
          <w:color w:val="111111"/>
          <w:sz w:val="28"/>
          <w:szCs w:val="28"/>
          <w:rtl/>
        </w:rPr>
        <w:t xml:space="preserve">آغاز: پند نامه افسر. انتخاب دوست: بروزگار جوانی بیازمای کسان *** ببین فرشته خصالند یا که دیو و ددند</w:t>
      </w:r>
    </w:p>
    <w:p>
      <w:pPr>
        <w:pStyle w:val="BookText"/>
      </w:pPr>
      <w:r>
        <w:rPr>
          <w:rFonts w:ascii="IRNazanin" w:hAnsi="IRNazanin" w:eastAsia="IRNazanin" w:cs="IRNazanin"/>
          <w:lang w:bidi="fa-IR"/>
          <w:color w:val="111111"/>
          <w:sz w:val="28"/>
          <w:szCs w:val="28"/>
          <w:rtl/>
        </w:rPr>
        <w:t xml:space="preserve">[دنا ۶۴۵/۲ ؛ فهرستواره منزوی ۴۶۱/۱۰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 ۵۱۰۴</w:t>
      </w:r>
    </w:p>
    <w:p>
      <w:pPr>
        <w:pStyle w:val="BookText"/>
      </w:pPr>
      <w:r>
        <w:rPr>
          <w:rFonts w:ascii="IRNazanin" w:hAnsi="IRNazanin" w:eastAsia="IRNazanin" w:cs="IRNazanin"/>
          <w:lang w:bidi="fa-IR"/>
          <w:color w:val="111111"/>
          <w:sz w:val="28"/>
          <w:szCs w:val="28"/>
          <w:rtl/>
        </w:rPr>
        <w:t xml:space="preserve">آغاز: برابر؛ انجام: تا هست این خرافات بر عقل حکم فرما*** افسر بساحت حق کی میتوان رسیدن قطعات اوست؛ خط: نستعلیق، بی کا، تا: قرن ۱۴، کاغذ: فرنگی سبز، جلد: مقوا ابره مخمل سبز، ۱۵ص، ۱۸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قطع: ربعی،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۱۵-۴۱۱۳]</w:t>
      </w:r>
    </w:p>
    <w:p>
      <w:pPr>
        <w:pStyle w:val="BookText"/>
      </w:pPr>
      <w:r>
        <w:rPr>
          <w:rFonts w:ascii="IRNazanin" w:hAnsi="IRNazanin" w:eastAsia="IRNazanin" w:cs="IRNazanin"/>
          <w:lang w:bidi="fa-IR"/>
          <w:color w:val="111111"/>
          <w:sz w:val="28"/>
          <w:szCs w:val="28"/>
          <w:rtl/>
        </w:rPr>
        <w:t xml:space="preserve">۲. مشهد؛ فرهنگ و هنر؛ شماره نسخه: الف-۱۰</w:t>
      </w:r>
    </w:p>
    <w:p>
      <w:pPr>
        <w:pStyle w:val="BookText"/>
      </w:pPr>
      <w:r>
        <w:rPr>
          <w:rFonts w:ascii="IRNazanin" w:hAnsi="IRNazanin" w:eastAsia="IRNazanin" w:cs="IRNazanin"/>
          <w:lang w:bidi="fa-IR"/>
          <w:color w:val="111111"/>
          <w:sz w:val="28"/>
          <w:szCs w:val="28"/>
          <w:rtl/>
        </w:rPr>
        <w:t xml:space="preserve">آغاز: برابر؛ انجام: جز آب تمیز بهر شستن مپسند***خواهی تو اگر خوب در آئی از آب</w:t>
      </w:r>
    </w:p>
    <w:p>
      <w:pPr>
        <w:pStyle w:val="BookText"/>
      </w:pPr>
      <w:r>
        <w:rPr>
          <w:rFonts w:ascii="IRNazanin" w:hAnsi="IRNazanin" w:eastAsia="IRNazanin" w:cs="IRNazanin"/>
          <w:lang w:bidi="fa-IR"/>
          <w:color w:val="111111"/>
          <w:sz w:val="28"/>
          <w:szCs w:val="28"/>
          <w:rtl/>
        </w:rPr>
        <w:t xml:space="preserve">بی کا، بی تا؛ افتادگی: انجام؛ در مقدمه نسخه شرح احوال شاهزاده افسر میرزا نقل از تذکره عبرت نوشته شده است و متن آن پندنامه و منظوم است و گویا آخر آن ناقص باشد. در ظهر صفحه عنوان نوشته شده است «بسمله تعالى حسب الامر حضرت اقدس و الا شاهزاده افسر دام اقباله برای استفاده عموم از طرف حضرت معظم له تقديم قرائتخانه نادری گردید بتاريخ نیمه رجب المرجب ۱۳۵۰ امضاء ۱۰/۹/۴ »؛ کاغذ کاهی صیقلی سفید تیره، جلد: مقوای ساغری، ۱۵، ۲۰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۸۱]</w:t>
      </w:r>
    </w:p>
    <w:p>
      <w:pPr>
        <w:pStyle w:val="Heading3"/>
      </w:pPr>
      <w:bookmarkStart w:id="1807" w:name="_Toc1067"/>
      <w:r>
        <w:t>• پندنامه / اخلاق / فارسی</w:t>
      </w:r>
      <w:bookmarkEnd w:id="1807"/>
    </w:p>
    <w:p>
      <w:pPr>
        <w:pStyle w:val="BookText"/>
      </w:pPr>
      <w:r>
        <w:rPr>
          <w:rFonts w:ascii="Times New Roman" w:hAnsi="Times New Roman" w:eastAsia="Times New Roman" w:cs="Times New Roman"/>
          <w:lang w:val="en-US" w:bidi="en-US"/>
          <w:color w:val="111111"/>
          <w:sz w:val="28"/>
          <w:szCs w:val="28"/>
          <w:rtl/>
        </w:rPr>
        <w:t xml:space="preserve">pand-nāme</w:t>
      </w:r>
    </w:p>
    <w:p>
      <w:pPr>
        <w:pStyle w:val="BookText"/>
      </w:pPr>
      <w:r>
        <w:rPr>
          <w:rFonts w:ascii="Amiri" w:hAnsi="Amiri" w:eastAsia="Amiri" w:cs="Amiri"/>
          <w:lang w:bidi="ar-SA"/>
          <w:color w:val="111111"/>
          <w:sz w:val="28"/>
          <w:szCs w:val="28"/>
          <w:rtl/>
        </w:rPr>
        <w:t xml:space="preserve">آصف بن برخيا</w:t>
      </w:r>
    </w:p>
    <w:p>
      <w:pPr>
        <w:pStyle w:val="BookText"/>
      </w:pPr>
      <w:r>
        <w:rPr>
          <w:rFonts w:ascii="Times New Roman" w:hAnsi="Times New Roman" w:eastAsia="Times New Roman" w:cs="Times New Roman"/>
          <w:lang w:val="en-US" w:bidi="en-US"/>
          <w:color w:val="111111"/>
          <w:sz w:val="28"/>
          <w:szCs w:val="28"/>
          <w:rtl/>
        </w:rPr>
        <w:t xml:space="preserve">āsef ebn-e barxīyā</w:t>
      </w:r>
    </w:p>
    <w:p>
      <w:pPr>
        <w:pStyle w:val="BookText"/>
      </w:pPr>
      <w:r>
        <w:rPr>
          <w:rFonts w:ascii="IRNazanin" w:hAnsi="IRNazanin" w:eastAsia="IRNazanin" w:cs="IRNazanin"/>
          <w:lang w:bidi="fa-IR"/>
          <w:color w:val="111111"/>
          <w:sz w:val="28"/>
          <w:szCs w:val="28"/>
          <w:rtl/>
        </w:rPr>
        <w:t xml:space="preserve">از آصف بن برخیا مر فرزند خویش را.</w:t>
      </w:r>
    </w:p>
    <w:p>
      <w:pPr>
        <w:pStyle w:val="BookText"/>
      </w:pPr>
      <w:r>
        <w:rPr>
          <w:rFonts w:ascii="IRNazanin" w:hAnsi="IRNazanin" w:eastAsia="IRNazanin" w:cs="IRNazanin"/>
          <w:lang w:bidi="fa-IR"/>
          <w:color w:val="111111"/>
          <w:sz w:val="28"/>
          <w:szCs w:val="28"/>
          <w:rtl/>
        </w:rPr>
        <w:t xml:space="preserve">تهران؛ دانشگاه؛ شماره نسخه: ۷۹۰۲/۱۱</w:t>
      </w:r>
    </w:p>
    <w:p>
      <w:pPr>
        <w:pStyle w:val="BookText"/>
      </w:pPr>
      <w:r>
        <w:rPr>
          <w:rFonts w:ascii="IRNazanin" w:hAnsi="IRNazanin" w:eastAsia="IRNazanin" w:cs="IRNazanin"/>
          <w:lang w:bidi="fa-IR"/>
          <w:color w:val="111111"/>
          <w:sz w:val="28"/>
          <w:szCs w:val="28"/>
          <w:rtl/>
        </w:rPr>
        <w:t xml:space="preserve">آغاز: بسمله. چنین آورده اند که آصف ابن برخيا مر فرزند خویش را پند میداد و نصیحت می کرد؛ انجام: و بهر چیز از دوستان حاجت می خواهد خط: نستعلیق، بی کا، تا: قرن ۱۱؛ کاغذ: سپاهانی، جلد: تیماج تریاکی غضربی مقوایی با پوشه، ۳گ (۱۹۱-۱۹۳ر)، ۱۲ سطر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سم [ف: ۱۶-۷۳۰)</w:t>
      </w:r>
    </w:p>
    <w:p>
      <w:pPr>
        <w:pStyle w:val="Heading3"/>
      </w:pPr>
      <w:bookmarkStart w:id="1808" w:name="_Toc1068"/>
      <w:r>
        <w:t>• پندنامه / شعر، اخلاق / فارسی</w:t>
      </w:r>
      <w:bookmarkEnd w:id="1808"/>
    </w:p>
    <w:p>
      <w:pPr>
        <w:pStyle w:val="BookText"/>
      </w:pPr>
      <w:r>
        <w:rPr>
          <w:rFonts w:ascii="Times New Roman" w:hAnsi="Times New Roman" w:eastAsia="Times New Roman" w:cs="Times New Roman"/>
          <w:lang w:val="en-US" w:bidi="en-US"/>
          <w:color w:val="111111"/>
          <w:sz w:val="28"/>
          <w:szCs w:val="28"/>
          <w:rtl/>
        </w:rPr>
        <w:t xml:space="preserve">pand-nāme</w:t>
      </w:r>
    </w:p>
    <w:p>
      <w:pPr>
        <w:pStyle w:val="BookText"/>
      </w:pPr>
      <w:r>
        <w:rPr>
          <w:rFonts w:ascii="IRNazanin" w:hAnsi="IRNazanin" w:eastAsia="IRNazanin" w:cs="IRNazanin"/>
          <w:lang w:bidi="fa-IR"/>
          <w:color w:val="111111"/>
          <w:sz w:val="28"/>
          <w:szCs w:val="28"/>
          <w:rtl/>
        </w:rPr>
        <w:t xml:space="preserve">امان الله</w:t>
      </w:r>
    </w:p>
    <w:p>
      <w:pPr>
        <w:pStyle w:val="BookText"/>
      </w:pPr>
      <w:r>
        <w:rPr>
          <w:rFonts w:ascii="Times New Roman" w:hAnsi="Times New Roman" w:eastAsia="Times New Roman" w:cs="Times New Roman"/>
          <w:lang w:val="en-US" w:bidi="en-US"/>
          <w:color w:val="111111"/>
          <w:sz w:val="28"/>
          <w:szCs w:val="28"/>
          <w:rtl/>
        </w:rPr>
        <w:t xml:space="preserve">amān-ol-lāh</w:t>
      </w:r>
    </w:p>
    <w:p>
      <w:pPr>
        <w:pStyle w:val="BookText"/>
      </w:pPr>
      <w:r>
        <w:rPr>
          <w:rFonts w:ascii="IRNazanin" w:hAnsi="IRNazanin" w:eastAsia="IRNazanin" w:cs="IRNazanin"/>
          <w:lang w:bidi="fa-IR"/>
          <w:color w:val="111111"/>
          <w:sz w:val="28"/>
          <w:szCs w:val="28"/>
          <w:rtl/>
        </w:rPr>
        <w:t xml:space="preserve">منظومه ای است از وصایای انوشیروان خسرو ایران همان که بوذرجمهر حکیم وزیر بود را در ۲۳ کنگره گرد آورده است. آغاز: یکی پادشه بودنوشیروان</w:t>
      </w:r>
      <w:r>
        <w:rPr>
          <w:rFonts w:ascii="IRNazanin" w:hAnsi="IRNazanin" w:eastAsia="IRNazanin" w:cs="IRNazanin"/>
          <w:lang w:bidi="fa-IR"/>
          <w:color w:val="111111"/>
          <w:sz w:val="28"/>
          <w:szCs w:val="28"/>
          <w:b w:val="1"/>
          <w:bCs w:val="1"/>
          <w:i w:val="1"/>
          <w:iCs w:val="1"/>
          <w:rtl/>
        </w:rPr>
        <w:t xml:space="preserve">جهان دار ودانا روشن روان / یکی تاج بودش عجب شاهوار</w:t>
      </w:r>
      <w:r>
        <w:rPr>
          <w:rFonts w:ascii="IRNazanin" w:hAnsi="IRNazanin" w:eastAsia="IRNazanin" w:cs="IRNazanin"/>
          <w:lang w:bidi="fa-IR"/>
          <w:color w:val="111111"/>
          <w:sz w:val="28"/>
          <w:szCs w:val="28"/>
          <w:rtl/>
        </w:rPr>
        <w:t xml:space="preserve">نمودی به خلق جهان روزبار انجام نمودم به تو جمنی بدها*** ده تا در نمای تو دربد ما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20" w:name="pg20363_209589"/>
    <w:bookmarkEnd w:id="320"/>
    <w:p>
      <w:pPr>
        <w:pStyle w:val="BookText"/>
      </w:pPr>
      <w:r>
        <w:rPr>
          <w:rFonts w:ascii="IRNazanin" w:hAnsi="IRNazanin" w:eastAsia="IRNazanin" w:cs="IRNazanin"/>
          <w:lang w:bidi="fa-IR"/>
          <w:color w:val="111111"/>
          <w:sz w:val="28"/>
          <w:szCs w:val="28"/>
          <w:rtl/>
        </w:rPr>
        <w:t xml:space="preserve">بدین پندنامه نگه کن مدام ***بدو کار کن روز وشب والسلام</w:t>
      </w:r>
    </w:p>
    <w:p>
      <w:pPr>
        <w:pStyle w:val="BookText"/>
      </w:pPr>
      <w:r>
        <w:rPr>
          <w:rFonts w:ascii="IRNazanin" w:hAnsi="IRNazanin" w:eastAsia="IRNazanin" w:cs="IRNazanin"/>
          <w:lang w:bidi="fa-IR"/>
          <w:color w:val="111111"/>
          <w:sz w:val="28"/>
          <w:szCs w:val="28"/>
          <w:rtl/>
        </w:rPr>
        <w:t xml:space="preserve">[نسخه های منزوی ۲۶۹۶/۴ ؛ الذريعة ۱۹۹/۳ ؛ دنا ۶۴۵/۲ ؛ فهرستواره ۴۶۱/۱۰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۱۳۹۰/۲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نسخه اصل: موزه بریتانیا ش ۱۶۷۲ (فهرست ریو ۷۷۶/۲ )؛ خط: نستعلیق، کا: محمد ادیب القاضي، تا: ۲۵ شوال ۱۱۸۵ق؛ مصحح؛ جلد: تیماج قرمز ضربی، ۲۲گ (۲۱پ -۴۲ر)، ۱۱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سم [ف: ۴-۱۶۴]</w:t>
      </w:r>
    </w:p>
    <w:p>
      <w:pPr>
        <w:pStyle w:val="BookText"/>
      </w:pPr>
      <w:r>
        <w:rPr>
          <w:rFonts w:ascii="IRNazanin" w:hAnsi="IRNazanin" w:eastAsia="IRNazanin" w:cs="IRNazanin"/>
          <w:lang w:bidi="fa-IR"/>
          <w:color w:val="111111"/>
          <w:sz w:val="28"/>
          <w:szCs w:val="28"/>
          <w:rtl/>
        </w:rPr>
        <w:t xml:space="preserve">۲. قم؛ مسجد اعظم، شماره نسخه: ۳۷۷۷/۳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مجدول؛ جلد: پارچه، ۱۰ گ، ۱۳ سطر، اندازه: ۱۹۷۱۳ سم [ف مخ: ۱-۳۰۱]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دانشگاه؛ شماره نسخه: ۲۸۸/۲ -ف</w:t>
      </w:r>
    </w:p>
    <w:p>
      <w:pPr>
        <w:pStyle w:val="BookText"/>
      </w:pPr>
      <w:r>
        <w:rPr>
          <w:rFonts w:ascii="IRNazanin" w:hAnsi="IRNazanin" w:eastAsia="IRNazanin" w:cs="IRNazanin"/>
          <w:lang w:bidi="fa-IR"/>
          <w:color w:val="111111"/>
          <w:sz w:val="28"/>
          <w:szCs w:val="28"/>
          <w:rtl/>
        </w:rPr>
        <w:t xml:space="preserve">نسخه اصل: راشد افندی ش ۱۲۸۱؛ خط: نستعلیق، بی کا، بی تا؛ ۱۲ سطر [فیلمها ف: ۱-۴۵۰]</w:t>
      </w:r>
    </w:p>
    <w:p>
      <w:pPr>
        <w:pStyle w:val="Heading3"/>
      </w:pPr>
      <w:bookmarkStart w:id="1809" w:name="_Toc1069"/>
      <w:r>
        <w:t>• پندنامه / شعر، اخلاق / فارسی</w:t>
      </w:r>
      <w:bookmarkEnd w:id="1809"/>
    </w:p>
    <w:p>
      <w:pPr>
        <w:pStyle w:val="BookText"/>
      </w:pPr>
      <w:r>
        <w:rPr>
          <w:rFonts w:ascii="Times New Roman" w:hAnsi="Times New Roman" w:eastAsia="Times New Roman" w:cs="Times New Roman"/>
          <w:lang w:val="en-US" w:bidi="en-US"/>
          <w:color w:val="111111"/>
          <w:sz w:val="28"/>
          <w:szCs w:val="28"/>
          <w:rtl/>
        </w:rPr>
        <w:t xml:space="preserve">pand-nāme</w:t>
      </w:r>
    </w:p>
    <w:p>
      <w:pPr>
        <w:pStyle w:val="BookText"/>
      </w:pPr>
      <w:r>
        <w:rPr>
          <w:rFonts w:ascii="IRNazanin" w:hAnsi="IRNazanin" w:eastAsia="IRNazanin" w:cs="IRNazanin"/>
          <w:lang w:bidi="fa-IR"/>
          <w:color w:val="111111"/>
          <w:sz w:val="28"/>
          <w:szCs w:val="28"/>
          <w:rtl/>
        </w:rPr>
        <w:t xml:space="preserve">ملافیروز فروغ دهر تاسپان دستور داراب</w:t>
      </w:r>
    </w:p>
    <w:p>
      <w:pPr>
        <w:pStyle w:val="BookText"/>
      </w:pPr>
      <w:r>
        <w:rPr>
          <w:rFonts w:ascii="Times New Roman" w:hAnsi="Times New Roman" w:eastAsia="Times New Roman" w:cs="Times New Roman"/>
          <w:lang w:val="en-US" w:bidi="en-US"/>
          <w:color w:val="111111"/>
          <w:sz w:val="28"/>
          <w:szCs w:val="28"/>
          <w:rtl/>
        </w:rPr>
        <w:t xml:space="preserve">mollā fīrūz forūq-e dahr tāspān dastūr-e dārāb</w:t>
      </w:r>
    </w:p>
    <w:p>
      <w:pPr>
        <w:pStyle w:val="BookText"/>
      </w:pPr>
      <w:r>
        <w:rPr>
          <w:rFonts w:ascii="IRNazanin" w:hAnsi="IRNazanin" w:eastAsia="IRNazanin" w:cs="IRNazanin"/>
          <w:lang w:bidi="fa-IR"/>
          <w:color w:val="111111"/>
          <w:sz w:val="28"/>
          <w:szCs w:val="28"/>
          <w:rtl/>
        </w:rPr>
        <w:t xml:space="preserve">حکایت شاه نظام و مسأله نظام و مماله دین، به کوشش سیروس آذرمی فرزند تیرانداز خدا مراد حسینی سلطانی، به نظم فارسی. چاپ: چاپ چاپخانه بمبئی.</w:t>
      </w:r>
    </w:p>
    <w:p>
      <w:pPr>
        <w:pStyle w:val="BookText"/>
      </w:pPr>
      <w:r>
        <w:rPr>
          <w:rFonts w:ascii="IRNazanin" w:hAnsi="IRNazanin" w:eastAsia="IRNazanin" w:cs="IRNazanin"/>
          <w:lang w:bidi="fa-IR"/>
          <w:color w:val="111111"/>
          <w:sz w:val="28"/>
          <w:szCs w:val="28"/>
          <w:rtl/>
        </w:rPr>
        <w:t xml:space="preserve">تهران؛ دانشگاه؛ شماره نسخه: ۴۱۴۷-ف</w:t>
      </w:r>
    </w:p>
    <w:p>
      <w:pPr>
        <w:pStyle w:val="BookText"/>
      </w:pPr>
      <w:r>
        <w:rPr>
          <w:rFonts w:ascii="IRNazanin" w:hAnsi="IRNazanin" w:eastAsia="IRNazanin" w:cs="IRNazanin"/>
          <w:lang w:bidi="fa-IR"/>
          <w:color w:val="111111"/>
          <w:sz w:val="28"/>
          <w:szCs w:val="28"/>
          <w:rtl/>
        </w:rPr>
        <w:t xml:space="preserve">نسخه اصل: چاپ چاپخانه بمبئی؛ بی کا، تا: اورمزد شهریور ۱۳۸۸ یا ۱ ژانویه ۱۹۴ ؛ ۲۵۸ص [فیلمها ف: ۳-۲۱]</w:t>
      </w:r>
    </w:p>
    <w:p>
      <w:pPr>
        <w:pStyle w:val="Heading3"/>
      </w:pPr>
      <w:bookmarkStart w:id="1810" w:name="_Toc1070"/>
      <w:r>
        <w:t>•پندنامه / اخلاق / عربی و فارسی</w:t>
      </w:r>
      <w:bookmarkEnd w:id="1810"/>
    </w:p>
    <w:p>
      <w:pPr>
        <w:pStyle w:val="BookText"/>
      </w:pPr>
      <w:r>
        <w:rPr>
          <w:rFonts w:ascii="Times New Roman" w:hAnsi="Times New Roman" w:eastAsia="Times New Roman" w:cs="Times New Roman"/>
          <w:lang w:val="en-US" w:bidi="en-US"/>
          <w:color w:val="111111"/>
          <w:sz w:val="28"/>
          <w:szCs w:val="28"/>
          <w:rtl/>
        </w:rPr>
        <w:t xml:space="preserve">pand-nāme</w:t>
      </w:r>
    </w:p>
    <w:p>
      <w:pPr>
        <w:pStyle w:val="BookText"/>
      </w:pPr>
      <w:r>
        <w:rPr>
          <w:rFonts w:ascii="IRNazanin" w:hAnsi="IRNazanin" w:eastAsia="IRNazanin" w:cs="IRNazanin"/>
          <w:lang w:bidi="fa-IR"/>
          <w:color w:val="111111"/>
          <w:sz w:val="28"/>
          <w:szCs w:val="28"/>
          <w:rtl/>
        </w:rPr>
        <w:t xml:space="preserve">چهار رشته نگارشی است در موعظه و سلوک: اول نامه ای است عربی که حجة الاسلام ابو حامد محمد غزالی به شیخ ابوالفتح احمد بن سلامة لدممی نگاشته و با نام «و عظیه» دارای چند نسخه است و ضمن رسائل غزالی چاپ شده، آغاز آن: «قال الشيخ رحمه الله لقد بلغني على لسان من اثق با من حسن سيرة الشيخ الامام الزاهد حرس الله توفيقه و تشميره في مهم دينه ما قوی رغبتي في مواخاته في الله رجاء لما وعدالله عباده «المتحابين فيه»، انجام آن «و انا على هذالاعتقاد عليه احيی و عليه اموت و عليه ابعث حيا انشاء الله تعالى و الحمد لوليه و الصلوة على نبيه محمد و آله و أصحابه اجمعین»؛ دوم مقالی است عربی در فقر و مکاید و غرور نفس از شهاب الدین سهروردی، که نسخه از آن با عنوان العرفان» در مدرسه سپهسالار است و به شیخ اشراق نسبت داده شده، آغاز مقال: «قال الشيخ الشيوخ شهاب الحق والدین السهروردی رضی الله عنه سالنی بعض اصدقائي وفقهم الله عزوجل عن شرح الفقر و مکاید النفس و غرورها فقلت طفت بعض الدنيا و جربت الأمور و ركبت العظام و صحبت الرجال» انجام: «و المواخاة مع ابناء الدنيا و كثرة المريدين و زیارت النسوان»؛ سوم گفتاری است عربی در آثار بد مناظره. جملات آغاز آن: «اعلم أن المناظرة الموضوعة لقصد الغلبة و اظهار الفضل و التشرف عند الناس و قصد المباهاة و للماراة و استمالة وجوه الناس هي منبع الأخلاق المذمومة» در آخر این مقال نوشته شده: «نقل هذا من خط نقل من خط ملک العلماء عمادالدین میان (كذ) سعدالله»؛ چهارم رساله ای در آداب سلوک از عبدالرحمان جامی عارف و شاعر نامی که با نام های «طريق خواجگان = نوریه = سررشته = پاس انفاس = طریق صوفيان = طریق توجه خواجه ها = شرایط ذکر = نقشبنديه = طریق واجب در معنی حضور» نسخه بسیار دارد. آغاز آن: «سر رشته دولت ای برادر بکف آر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وین عمر گرامی بخسارت مگذار».</w:t>
      </w:r>
    </w:p>
    <w:p>
      <w:pPr>
        <w:pStyle w:val="BookText"/>
      </w:pPr>
      <w:r>
        <w:rPr>
          <w:rFonts w:ascii="IRNazanin" w:hAnsi="IRNazanin" w:eastAsia="IRNazanin" w:cs="IRNazanin"/>
          <w:lang w:bidi="fa-IR"/>
          <w:color w:val="111111"/>
          <w:sz w:val="28"/>
          <w:szCs w:val="28"/>
          <w:rtl/>
        </w:rPr>
        <w:t xml:space="preserve">مشهد؛ رضوی؛ شماره نسخه: ۳۵۱۴</w:t>
      </w:r>
    </w:p>
    <w:p>
      <w:pPr>
        <w:pStyle w:val="BookText"/>
      </w:pPr>
      <w:r>
        <w:rPr>
          <w:rFonts w:ascii="Amiri" w:hAnsi="Amiri" w:eastAsia="Amiri" w:cs="Amiri"/>
          <w:lang w:bidi="ar-SA"/>
          <w:color w:val="111111"/>
          <w:sz w:val="28"/>
          <w:szCs w:val="28"/>
          <w:rtl/>
        </w:rPr>
        <w:t xml:space="preserve">آغاز: قال الشيخ رحمه الله لقد بلغني على لسان من اثق به من حسن سيرة الشيخ الامام الزاهد حرس الله توفيقه و تشميره في مهم دينه ما قوي رغبتي في مواخاته في الله رجاء لما وعد الله عباده المتحابين فيه»؛ انجام: و وجدان حلاوت عظيمه بر آن مرتب.</w:t>
      </w:r>
    </w:p>
    <w:p>
      <w:pPr>
        <w:pStyle w:val="BookText"/>
      </w:pPr>
      <w:r>
        <w:rPr>
          <w:rFonts w:ascii="IRNazanin" w:hAnsi="IRNazanin" w:eastAsia="IRNazanin" w:cs="IRNazanin"/>
          <w:lang w:bidi="fa-IR"/>
          <w:color w:val="111111"/>
          <w:sz w:val="28"/>
          <w:szCs w:val="28"/>
          <w:rtl/>
        </w:rPr>
        <w:t xml:space="preserve">خط: نستعلیق، كا: عبد الحكيم (دو مقاله اول)، بی تا؛ واقف: خواجه شیراحمد؛ ۸گ، مختلف السطر،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۶-۳۹۵]</w:t>
      </w:r>
    </w:p>
    <w:p>
      <w:pPr>
        <w:pStyle w:val="Heading3"/>
      </w:pPr>
      <w:bookmarkStart w:id="1811" w:name="_Toc1071"/>
      <w:r>
        <w:t>• پندنامه / اخلاق / فارسی</w:t>
      </w:r>
      <w:bookmarkEnd w:id="1811"/>
    </w:p>
    <w:p>
      <w:pPr>
        <w:pStyle w:val="BookText"/>
      </w:pPr>
      <w:r>
        <w:rPr>
          <w:rFonts w:ascii="Times New Roman" w:hAnsi="Times New Roman" w:eastAsia="Times New Roman" w:cs="Times New Roman"/>
          <w:lang w:val="en-US" w:bidi="en-US"/>
          <w:color w:val="111111"/>
          <w:sz w:val="28"/>
          <w:szCs w:val="28"/>
          <w:rtl/>
        </w:rPr>
        <w:t xml:space="preserve">pand-nāme</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IRNazanin" w:hAnsi="IRNazanin" w:eastAsia="IRNazanin" w:cs="IRNazanin"/>
          <w:lang w:bidi="fa-IR"/>
          <w:color w:val="111111"/>
          <w:sz w:val="28"/>
          <w:szCs w:val="28"/>
          <w:rtl/>
        </w:rPr>
        <w:t xml:space="preserve">۱. تهران؛ علوم پزشکی؛ شماره نسخه: ۲۶۸/۳</w:t>
      </w:r>
    </w:p>
    <w:p>
      <w:pPr>
        <w:pStyle w:val="BookText"/>
      </w:pPr>
      <w:r>
        <w:rPr>
          <w:rFonts w:ascii="IRNazanin" w:hAnsi="IRNazanin" w:eastAsia="IRNazanin" w:cs="IRNazanin"/>
          <w:lang w:bidi="fa-IR"/>
          <w:color w:val="111111"/>
          <w:sz w:val="28"/>
          <w:szCs w:val="28"/>
          <w:rtl/>
        </w:rPr>
        <w:t xml:space="preserve">آغاز: در پندنامه خواجه نصیرالدین طوسی علیه الرحمه می فرماید که خود را بشناس و خدای خود را بشناس؛ انجام: هر که دو درم زعفران بخورد چندان بخندد که بیهوش شود</w:t>
      </w:r>
    </w:p>
    <w:p>
      <w:pPr>
        <w:pStyle w:val="BookText"/>
      </w:pPr>
      <w:r>
        <w:rPr>
          <w:rFonts w:ascii="IRNazanin" w:hAnsi="IRNazanin" w:eastAsia="IRNazanin" w:cs="IRNazanin"/>
          <w:lang w:bidi="fa-IR"/>
          <w:color w:val="111111"/>
          <w:sz w:val="28"/>
          <w:szCs w:val="28"/>
          <w:rtl/>
        </w:rPr>
        <w:t xml:space="preserve">همان که در پایان اخلاق ناصری دیده می شود؛ خط: تحریری، بی کا، تا: قرن ۱۳، ۸ص (۱۳۲- ۱۳۹)، ۱۳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(نشریه: ۳-۳۴۷]</w:t>
      </w:r>
    </w:p>
    <w:p>
      <w:pPr>
        <w:pStyle w:val="BookText"/>
      </w:pPr>
      <w:r>
        <w:rPr>
          <w:rFonts w:ascii="IRNazanin" w:hAnsi="IRNazanin" w:eastAsia="IRNazanin" w:cs="IRNazanin"/>
          <w:lang w:bidi="fa-IR"/>
          <w:color w:val="111111"/>
          <w:sz w:val="28"/>
          <w:szCs w:val="28"/>
          <w:rtl/>
        </w:rPr>
        <w:t xml:space="preserve">۲. قم؛ مرعشی؛ شماره نسخه: ۲/۱۰۷۹۰</w:t>
      </w:r>
    </w:p>
    <w:p>
      <w:pPr>
        <w:pStyle w:val="BookText"/>
      </w:pPr>
      <w:r>
        <w:rPr>
          <w:rFonts w:ascii="IRNazanin" w:hAnsi="IRNazanin" w:eastAsia="IRNazanin" w:cs="IRNazanin"/>
          <w:lang w:bidi="fa-IR"/>
          <w:color w:val="111111"/>
          <w:sz w:val="28"/>
          <w:szCs w:val="28"/>
          <w:rtl/>
        </w:rPr>
        <w:t xml:space="preserve">آغاز: داور داد آفرین کسری را زرین افسری بود بسنگ پنجاه من گوهر آذین ده پهلوی و بر هر پهلوی آن بند؛ انجام: آن جهان را بدین جهان مفروشید</w:t>
      </w:r>
    </w:p>
    <w:p>
      <w:pPr>
        <w:pStyle w:val="BookText"/>
      </w:pPr>
      <w:r>
        <w:rPr>
          <w:rFonts w:ascii="IRNazanin" w:hAnsi="IRNazanin" w:eastAsia="IRNazanin" w:cs="IRNazanin"/>
          <w:lang w:bidi="fa-IR"/>
          <w:color w:val="111111"/>
          <w:sz w:val="28"/>
          <w:szCs w:val="28"/>
          <w:rtl/>
        </w:rPr>
        <w:t xml:space="preserve">ده (پهلوی) است دارای پندها و اندرزهای اخلاقی کوتاه منسوب به یکی از افسران کسری انوشیروان و بیشتر آنها درباره چگونگی مردم داری و نگهبانی اجتماع به کار آید؛ خط: نستعلیق خوش، کا: صدر الشعراء، تا: دوشنبه ۲۵ جمادی الاول ۱۲۹۰ق؛ مجدول به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21" w:name="pg20363_209590"/>
    <w:bookmarkEnd w:id="321"/>
    <w:p>
      <w:pPr>
        <w:pStyle w:val="BookText"/>
      </w:pPr>
      <w:r>
        <w:rPr>
          <w:rFonts w:ascii="IRNazanin" w:hAnsi="IRNazanin" w:eastAsia="IRNazanin" w:cs="IRNazanin"/>
          <w:lang w:bidi="fa-IR"/>
          <w:color w:val="111111"/>
          <w:sz w:val="28"/>
          <w:szCs w:val="28"/>
          <w:rtl/>
        </w:rPr>
        <w:t xml:space="preserve">زر و شنگرف و لاجورد؛ جلد: تیماج قهوه ای، ۴گ (۱۰پ - ۱۳پ)، اندازه: ۲۲</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۳۴/۵</w:t>
      </w:r>
    </w:p>
    <w:p>
      <w:pPr>
        <w:pStyle w:val="BookText"/>
      </w:pPr>
      <w:r>
        <w:rPr>
          <w:rFonts w:ascii="IRNazanin" w:hAnsi="IRNazanin" w:eastAsia="IRNazanin" w:cs="IRNazanin"/>
          <w:lang w:bidi="fa-IR"/>
          <w:color w:val="111111"/>
          <w:sz w:val="28"/>
          <w:szCs w:val="28"/>
          <w:rtl/>
        </w:rPr>
        <w:t xml:space="preserve">سم [ف: ۲۷-۲۰۶]</w:t>
      </w:r>
    </w:p>
    <w:p>
      <w:pPr>
        <w:pStyle w:val="BookText"/>
      </w:pPr>
      <w:r>
        <w:rPr>
          <w:rFonts w:ascii="IRNazanin" w:hAnsi="IRNazanin" w:eastAsia="IRNazanin" w:cs="IRNazanin"/>
          <w:lang w:bidi="fa-IR"/>
          <w:color w:val="111111"/>
          <w:sz w:val="28"/>
          <w:szCs w:val="28"/>
          <w:rtl/>
        </w:rPr>
        <w:t xml:space="preserve">٣. تهران؛ ملک؛ شماره نسخه: ۵۰۸۳/۱۰</w:t>
      </w:r>
    </w:p>
    <w:p>
      <w:pPr>
        <w:pStyle w:val="BookText"/>
      </w:pPr>
      <w:r>
        <w:rPr>
          <w:rFonts w:ascii="IRNazanin" w:hAnsi="IRNazanin" w:eastAsia="IRNazanin" w:cs="IRNazanin"/>
          <w:lang w:bidi="fa-IR"/>
          <w:color w:val="111111"/>
          <w:sz w:val="28"/>
          <w:szCs w:val="28"/>
          <w:rtl/>
        </w:rPr>
        <w:t xml:space="preserve">آغاز: نصيحتی که یکی از اکابر بفرزند خود کرده است. بسمله. ای فرزند خدای را بشناس، و از خدا بترس و سخن باندازه</w:t>
      </w:r>
    </w:p>
    <w:p>
      <w:pPr>
        <w:pStyle w:val="BookText"/>
      </w:pPr>
      <w:r>
        <w:rPr>
          <w:rFonts w:ascii="IRNazanin" w:hAnsi="IRNazanin" w:eastAsia="IRNazanin" w:cs="IRNazanin"/>
          <w:lang w:bidi="fa-IR"/>
          <w:color w:val="111111"/>
          <w:sz w:val="28"/>
          <w:szCs w:val="28"/>
          <w:rtl/>
        </w:rPr>
        <w:t xml:space="preserve">خط: نستعلیق خوش، بی کا، بی تا؛ سپس بندهایی است به نظم و نثر در همین زمینه از کتاب هایی گوناگون؛ جلد: میشن قهوه ای روشن ضربی، ۱۰گ (۵۱پ - ۶۰پ)، ۱۴ سطر، اندازه: ۱۸/۲ ۲۸/۳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سم [ف: ۸-۱۹۱]</w:t>
      </w:r>
    </w:p>
    <w:p>
      <w:pPr>
        <w:pStyle w:val="BookText"/>
      </w:pPr>
      <w:r>
        <w:rPr>
          <w:rFonts w:ascii="IRNazanin" w:hAnsi="IRNazanin" w:eastAsia="IRNazanin" w:cs="IRNazanin"/>
          <w:lang w:bidi="fa-IR"/>
          <w:color w:val="111111"/>
          <w:sz w:val="28"/>
          <w:szCs w:val="28"/>
          <w:rtl/>
        </w:rPr>
        <w:t xml:space="preserve">۴. تهران؛ ملی؛ شماره نسخه: ۲۰۹۶۵</w:t>
      </w:r>
    </w:p>
    <w:p>
      <w:pPr>
        <w:pStyle w:val="BookText"/>
      </w:pPr>
      <w:r>
        <w:rPr>
          <w:rFonts w:ascii="IRNazanin" w:hAnsi="IRNazanin" w:eastAsia="IRNazanin" w:cs="IRNazanin"/>
          <w:lang w:bidi="fa-IR"/>
          <w:color w:val="111111"/>
          <w:sz w:val="28"/>
          <w:szCs w:val="28"/>
          <w:rtl/>
        </w:rPr>
        <w:t xml:space="preserve">بی کا، بی تا، خریداری از امرالله صفری [رایانه]</w:t>
      </w:r>
    </w:p>
    <w:p>
      <w:pPr>
        <w:pStyle w:val="BookText"/>
      </w:pPr>
      <w:r>
        <w:rPr>
          <w:rFonts w:ascii="IRNazanin" w:hAnsi="IRNazanin" w:eastAsia="IRNazanin" w:cs="IRNazanin"/>
          <w:lang w:bidi="fa-IR"/>
          <w:color w:val="111111"/>
          <w:sz w:val="28"/>
          <w:szCs w:val="28"/>
          <w:rtl/>
        </w:rPr>
        <w:t xml:space="preserve">۵. یزد؛ وزیری؛ شماره نسخه: ۳۸۶۶</w:t>
      </w:r>
    </w:p>
    <w:p>
      <w:pPr>
        <w:pStyle w:val="BookText"/>
      </w:pPr>
      <w:r>
        <w:rPr>
          <w:rFonts w:ascii="IRNazanin" w:hAnsi="IRNazanin" w:eastAsia="IRNazanin" w:cs="IRNazanin"/>
          <w:lang w:bidi="fa-IR"/>
          <w:color w:val="111111"/>
          <w:sz w:val="28"/>
          <w:szCs w:val="28"/>
          <w:rtl/>
        </w:rPr>
        <w:t xml:space="preserve">آغاز: و عليه السلام ظاهر شد؛ انجام: آنحضرت صبر نمود تا آنکه خلافت مشتمل بر چهل اشراق. در تمام عناوین مجالس، آیه «و استعينوا بالصبر و الصلاة» دارد؛ خط: نستعلیق تحریری، بی کا، بی تا؛ افتادگی: آغاز و انجام؛ مهر «یا امام حسین»؛ اهدایی: حاج شیخ على اكبر مهریزی؛ کاغذ: فرنگی، جلد: مقوایی با تیماج زرد، ۱۵۴گ، ۱۱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w:t>
      </w:r>
    </w:p>
    <w:p>
      <w:pPr>
        <w:pStyle w:val="BookText"/>
      </w:pPr>
      <w:r>
        <w:rPr>
          <w:rFonts w:ascii="IRNazanin" w:hAnsi="IRNazanin" w:eastAsia="IRNazanin" w:cs="IRNazanin"/>
          <w:lang w:bidi="fa-IR"/>
          <w:color w:val="111111"/>
          <w:sz w:val="28"/>
          <w:szCs w:val="28"/>
          <w:rtl/>
        </w:rPr>
        <w:t xml:space="preserve">)،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۵-۱۸۲۶]</w:t>
      </w:r>
    </w:p>
    <w:p>
      <w:pPr>
        <w:pStyle w:val="BookText"/>
      </w:pPr>
      <w:r>
        <w:rPr>
          <w:rFonts w:ascii="IRNazanin" w:hAnsi="IRNazanin" w:eastAsia="IRNazanin" w:cs="IRNazanin"/>
          <w:lang w:bidi="fa-IR"/>
          <w:color w:val="111111"/>
          <w:sz w:val="28"/>
          <w:szCs w:val="28"/>
          <w:rtl/>
        </w:rPr>
        <w:t xml:space="preserve">۶. یزد؛ وزیری؛ شماره نسخه: ۳۸۰۴/۷</w:t>
      </w:r>
    </w:p>
    <w:p>
      <w:pPr>
        <w:pStyle w:val="BookText"/>
      </w:pPr>
      <w:r>
        <w:rPr>
          <w:rFonts w:ascii="IRNazanin" w:hAnsi="IRNazanin" w:eastAsia="IRNazanin" w:cs="IRNazanin"/>
          <w:lang w:bidi="fa-IR"/>
          <w:color w:val="111111"/>
          <w:sz w:val="28"/>
          <w:szCs w:val="28"/>
          <w:rtl/>
        </w:rPr>
        <w:t xml:space="preserve">آغاز: همی خواهم که من از نوک خامه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نگارم صورت این پندنامه خط: نسخ مایل به نستعلیق، بی کا، بی تا؛ کاغذ: فرنگی، جلد: مقوایی روکش کاغذ ابری عطف و گوشه ها تیماج قرمز، ۸ص ( ۷۶-۶۹ )، ابعاد متن: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۵-۱۸۰۲]</w:t>
      </w:r>
    </w:p>
    <w:p>
      <w:pPr>
        <w:pStyle w:val="BookText"/>
      </w:pPr>
      <w:r>
        <w:rPr>
          <w:rFonts w:ascii="IRNazanin" w:hAnsi="IRNazanin" w:eastAsia="IRNazanin" w:cs="IRNazanin"/>
          <w:lang w:bidi="fa-IR"/>
          <w:color w:val="111111"/>
          <w:sz w:val="28"/>
          <w:szCs w:val="28"/>
          <w:rtl/>
        </w:rPr>
        <w:t xml:space="preserve">۷. تهران؛ دانشگاه؛ شماره نسخه: ۸۶۷/۲۱</w:t>
      </w:r>
    </w:p>
    <w:p>
      <w:pPr>
        <w:pStyle w:val="BookText"/>
      </w:pPr>
      <w:r>
        <w:rPr>
          <w:rFonts w:ascii="IRNazanin" w:hAnsi="IRNazanin" w:eastAsia="IRNazanin" w:cs="IRNazanin"/>
          <w:lang w:bidi="fa-IR"/>
          <w:color w:val="111111"/>
          <w:sz w:val="28"/>
          <w:szCs w:val="28"/>
          <w:rtl/>
        </w:rPr>
        <w:t xml:space="preserve">پندهایی عارفانه؛ بی کا، بی تا، کاغذ: آبی رنگ، 3ص (۲۶۸- ۲۷۰)، ۱۴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 اندازه: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۱۷/۱۰ سم [ف: ۲-۷۲۸]</w:t>
      </w:r>
    </w:p>
    <w:p>
      <w:pPr>
        <w:pStyle w:val="BookText"/>
      </w:pPr>
      <w:r>
        <w:rPr>
          <w:rFonts w:ascii="IRNazanin" w:hAnsi="IRNazanin" w:eastAsia="IRNazanin" w:cs="IRNazanin"/>
          <w:lang w:bidi="fa-IR"/>
          <w:color w:val="111111"/>
          <w:sz w:val="28"/>
          <w:szCs w:val="28"/>
          <w:rtl/>
        </w:rPr>
        <w:t xml:space="preserve">۸. قم: مرکز مطالعات؛ شماره نسخه: ۸۸۷/۸</w:t>
      </w:r>
    </w:p>
    <w:p>
      <w:pPr>
        <w:pStyle w:val="BookText"/>
      </w:pPr>
      <w:r>
        <w:rPr>
          <w:rFonts w:ascii="IRNazanin" w:hAnsi="IRNazanin" w:eastAsia="IRNazanin" w:cs="IRNazanin"/>
          <w:lang w:bidi="fa-IR"/>
          <w:color w:val="111111"/>
          <w:sz w:val="28"/>
          <w:szCs w:val="28"/>
          <w:rtl/>
        </w:rPr>
        <w:t xml:space="preserve">آغاز: بسمله، حمد له فرموده است که رستگاری آدم در آن است که به اندرون بیدار باشید و به بیرون نیکو کار؛ انجام: فرمود که رحم مبرید و حق به مستحق رسانید و همت بر کسب آخرت موصوف دارید. پندهای اخلاقی و فلسفی آمیخته به عرفان است برای طی طریق عبودیت و کمال؛ خط: نسخ، بی کا، بی تا؛ جلد: تیماج قهوه ای، گ (۸۹ر-۹۴ر)، ۱۷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سم [ف: ۲-۱۵۰]</w:t>
      </w:r>
    </w:p>
    <w:p>
      <w:pPr>
        <w:pStyle w:val="Heading3"/>
      </w:pPr>
      <w:bookmarkStart w:id="1812" w:name="_Toc1072"/>
      <w:r>
        <w:t>• پندنامه انوشیروان = راحة الانسان / شعر / فارسی</w:t>
      </w:r>
      <w:bookmarkEnd w:id="1812"/>
    </w:p>
    <w:p>
      <w:pPr>
        <w:pStyle w:val="BookText"/>
      </w:pPr>
      <w:r>
        <w:rPr>
          <w:rFonts w:ascii="Times New Roman" w:hAnsi="Times New Roman" w:eastAsia="Times New Roman" w:cs="Times New Roman"/>
          <w:lang w:val="en-US" w:bidi="en-US"/>
          <w:color w:val="111111"/>
          <w:sz w:val="28"/>
          <w:szCs w:val="28"/>
          <w:rtl/>
        </w:rPr>
        <w:t xml:space="preserve">pand-nāme-ye anūšīravān = rāhat-ol-ensān badī‘-e balxī (- 10c)</w:t>
      </w:r>
    </w:p>
    <w:p>
      <w:pPr>
        <w:pStyle w:val="BookText"/>
      </w:pPr>
      <w:r>
        <w:rPr>
          <w:rFonts w:ascii="IRNazanin" w:hAnsi="IRNazanin" w:eastAsia="IRNazanin" w:cs="IRNazanin"/>
          <w:lang w:bidi="fa-IR"/>
          <w:color w:val="111111"/>
          <w:sz w:val="28"/>
          <w:szCs w:val="28"/>
          <w:rtl/>
        </w:rPr>
        <w:t xml:space="preserve">بدیع بلخی، ق۴ قمری</w:t>
      </w:r>
    </w:p>
    <w:p>
      <w:pPr>
        <w:pStyle w:val="BookText"/>
      </w:pPr>
      <w:r>
        <w:rPr>
          <w:rFonts w:ascii="IRNazanin" w:hAnsi="IRNazanin" w:eastAsia="IRNazanin" w:cs="IRNazanin"/>
          <w:lang w:bidi="fa-IR"/>
          <w:color w:val="111111"/>
          <w:sz w:val="28"/>
          <w:szCs w:val="28"/>
          <w:rtl/>
        </w:rPr>
        <w:t xml:space="preserve">به گفته هدایت در «مجمع الفصح» از محمد فرزند محمود بدایعی بلخی (قرن ۴ق) و به نوشته نفیسی در مجله مهر نمی تواند از وی باشد زیرا سراینده، سرودهای از عنصری (سده ۵ ق) را در کار خود آورده است. در هشتاد بند با سربندهای: مرگ را فراموش نکنید، دنیا را به نادانی مگذرانید، با اندوه کسان شاد مشوید، بر ریخته و سوخته غم مخورید، از بلای کسان عبرت گیرید، در کارها مدارا کنید، با کسی ستیزه و لجاج مکنید و ... و هر عنوان با ۴ بیت همراه است.</w:t>
      </w:r>
    </w:p>
    <w:p>
      <w:pPr>
        <w:pStyle w:val="BookText"/>
      </w:pPr>
      <w:r>
        <w:rPr>
          <w:rFonts w:ascii="IRNazanin" w:hAnsi="IRNazanin" w:eastAsia="IRNazanin" w:cs="IRNazanin"/>
          <w:lang w:bidi="fa-IR"/>
          <w:color w:val="111111"/>
          <w:sz w:val="28"/>
          <w:szCs w:val="28"/>
          <w:rtl/>
        </w:rPr>
        <w:t xml:space="preserve">چاپ: تهران، ۱۳۱۲ خورشیدی، سربی. در پاریس ۱۸۸۳ میلادی، شارل شفر آن را به نام «راحة الانسان» چاپ کرده است. این چاپ مقدمه ای به نثر دارد که در آن سراینده نام خود را «شریف» یاد کرده است. به گفته نفیسی، شاید «شریف مجلدی گرگانی» باشد.</w:t>
      </w:r>
    </w:p>
    <w:p>
      <w:pPr>
        <w:pStyle w:val="BookText"/>
      </w:pPr>
      <w:r>
        <w:rPr>
          <w:rFonts w:ascii="IRNazanin" w:hAnsi="IRNazanin" w:eastAsia="IRNazanin" w:cs="IRNazanin"/>
          <w:lang w:bidi="fa-IR"/>
          <w:color w:val="111111"/>
          <w:sz w:val="28"/>
          <w:szCs w:val="28"/>
          <w:rtl/>
        </w:rPr>
        <w:t xml:space="preserve">[فهرستواره ۴۹۲/۱۰ ]</w:t>
      </w:r>
    </w:p>
    <w:p>
      <w:pPr>
        <w:pStyle w:val="BookText"/>
      </w:pPr>
      <w:r>
        <w:rPr>
          <w:rFonts w:ascii="IRNazanin" w:hAnsi="IRNazanin" w:eastAsia="IRNazanin" w:cs="IRNazanin"/>
          <w:lang w:bidi="fa-IR"/>
          <w:color w:val="111111"/>
          <w:sz w:val="28"/>
          <w:szCs w:val="28"/>
          <w:rtl/>
        </w:rPr>
        <w:t xml:space="preserve">تهران؛ دانشگاه؛ شماره نسخه: ۷۱۰/۱۵ -ف</w:t>
      </w:r>
    </w:p>
    <w:p>
      <w:pPr>
        <w:pStyle w:val="BookText"/>
      </w:pPr>
      <w:r>
        <w:rPr>
          <w:rFonts w:ascii="IRNazanin" w:hAnsi="IRNazanin" w:eastAsia="IRNazanin" w:cs="IRNazanin"/>
          <w:lang w:bidi="fa-IR"/>
          <w:color w:val="111111"/>
          <w:sz w:val="28"/>
          <w:szCs w:val="28"/>
          <w:rtl/>
        </w:rPr>
        <w:t xml:space="preserve">آغاز: دیباچه: شکر و سپاس آفریدگار هر دو جهان را به اضعاف ریگ بیابان و قطره های باران ... گفته آمد این کتاب ره توفيق خداوند اندر شرف مردمان و لفظ حکیمان و کتاب بزرگان و وصيت دانایان ... آغاز: سپاس از خداوند چرخ بلند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که در دل نگنجد ازو چون و چند / جهان آفرین کردگار سپهر***فروزنده پیکر ماه و مهر</w:t>
      </w:r>
    </w:p>
    <w:p>
      <w:pPr>
        <w:pStyle w:val="BookText"/>
      </w:pPr>
      <w:r>
        <w:rPr>
          <w:rFonts w:ascii="IRNazanin" w:hAnsi="IRNazanin" w:eastAsia="IRNazanin" w:cs="IRNazanin"/>
          <w:lang w:bidi="fa-IR"/>
          <w:color w:val="111111"/>
          <w:sz w:val="28"/>
          <w:szCs w:val="28"/>
          <w:rtl/>
        </w:rPr>
        <w:t xml:space="preserve">[نسخه اصل: موزه بریتانیا 5321 .</w:t>
      </w:r>
      <w:r>
        <w:rPr>
          <w:rFonts w:ascii="Times New Roman" w:hAnsi="Times New Roman" w:eastAsia="Times New Roman" w:cs="Times New Roman"/>
          <w:lang w:val="en-US" w:bidi="en-US"/>
          <w:color w:val="111111"/>
          <w:sz w:val="28"/>
          <w:szCs w:val="28"/>
          <w:rtl/>
        </w:rPr>
        <w:t xml:space="preserve">Or. </w:t>
      </w:r>
      <w:r>
        <w:rPr>
          <w:rFonts w:ascii="IRNazanin" w:hAnsi="IRNazanin" w:eastAsia="IRNazanin" w:cs="IRNazanin"/>
          <w:lang w:bidi="fa-IR"/>
          <w:color w:val="111111"/>
          <w:sz w:val="28"/>
          <w:szCs w:val="28"/>
          <w:rtl/>
        </w:rPr>
        <w:t xml:space="preserve">نام مؤلف به استناد فهرستواره منزوی ۴۹۲/۱۰ تعیین شد؛ خط: نسخ، بی کا، تا: ۸۰۱ق، جان ابرقوه؛ ۲۰ سطر فیلمها ف: ۱-۵۲۶]</w:t>
      </w:r>
    </w:p>
    <w:p>
      <w:pPr>
        <w:pStyle w:val="Heading3"/>
      </w:pPr>
      <w:bookmarkStart w:id="1813" w:name="_Toc1073"/>
      <w:r>
        <w:t>• پندنامه انوشیروان / اخلاق / فارسی</w:t>
      </w:r>
      <w:bookmarkEnd w:id="1813"/>
    </w:p>
    <w:p>
      <w:pPr>
        <w:pStyle w:val="BookText"/>
      </w:pPr>
      <w:r>
        <w:rPr>
          <w:rFonts w:ascii="Times New Roman" w:hAnsi="Times New Roman" w:eastAsia="Times New Roman" w:cs="Times New Roman"/>
          <w:lang w:val="en-US" w:bidi="en-US"/>
          <w:color w:val="111111"/>
          <w:sz w:val="28"/>
          <w:szCs w:val="28"/>
          <w:rtl/>
        </w:rPr>
        <w:t xml:space="preserve">pand-nāme-ye anūšīravān</w:t>
      </w:r>
    </w:p>
    <w:p>
      <w:pPr>
        <w:pStyle w:val="BookText"/>
      </w:pPr>
      <w:r>
        <w:rPr>
          <w:rFonts w:ascii="IRNazanin" w:hAnsi="IRNazanin" w:eastAsia="IRNazanin" w:cs="IRNazanin"/>
          <w:lang w:bidi="fa-IR"/>
          <w:color w:val="111111"/>
          <w:sz w:val="28"/>
          <w:szCs w:val="28"/>
          <w:rtl/>
        </w:rPr>
        <w:t xml:space="preserve">[فهرستواره منزوی ۳۴۸/۶ ]</w:t>
      </w:r>
    </w:p>
    <w:p>
      <w:pPr>
        <w:pStyle w:val="BookText"/>
      </w:pPr>
      <w:r>
        <w:rPr>
          <w:rFonts w:ascii="IRNazanin" w:hAnsi="IRNazanin" w:eastAsia="IRNazanin" w:cs="IRNazanin"/>
          <w:lang w:bidi="fa-IR"/>
          <w:color w:val="111111"/>
          <w:sz w:val="28"/>
          <w:szCs w:val="28"/>
          <w:rtl/>
        </w:rPr>
        <w:t xml:space="preserve">همانند: ۱. تهران؛ مجلس؛ شماره نسخه: ۱۳۷/۱۴۵۹۰</w:t>
      </w:r>
    </w:p>
    <w:p>
      <w:pPr>
        <w:pStyle w:val="BookText"/>
      </w:pPr>
      <w:r>
        <w:rPr>
          <w:rFonts w:ascii="IRNazanin" w:hAnsi="IRNazanin" w:eastAsia="IRNazanin" w:cs="IRNazanin"/>
          <w:lang w:bidi="fa-IR"/>
          <w:color w:val="111111"/>
          <w:sz w:val="28"/>
          <w:szCs w:val="28"/>
          <w:rtl/>
        </w:rPr>
        <w:t xml:space="preserve">آغاز: چنین گویند کی نوشروان عادل را تاجی بود خط: نسخ، بی کا، تا: چهارشنبه ۲۵ جمادی الثانی ۷۲۱ق؛ جلد: تیماج کرم قهوه ای، ۳ص (۶۲۴-۶۲۶)، ۴۱ سطر، اندازه:</w:t>
      </w:r>
    </w:p>
    <w:p>
      <w:pPr>
        <w:pStyle w:val="BookText"/>
      </w:pPr>
      <w:r>
        <w:rPr>
          <w:rFonts w:ascii="IRNazanin" w:hAnsi="IRNazanin" w:eastAsia="IRNazanin" w:cs="IRNazanin"/>
          <w:lang w:bidi="fa-IR"/>
          <w:color w:val="111111"/>
          <w:sz w:val="28"/>
          <w:szCs w:val="28"/>
          <w:rtl/>
        </w:rPr>
        <w:t xml:space="preserve">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۴۱-۹۹</w:t>
      </w:r>
    </w:p>
    <w:p>
      <w:pPr>
        <w:pStyle w:val="BookText"/>
      </w:pPr>
      <w:r>
        <w:rPr>
          <w:rFonts w:ascii="IRNazanin" w:hAnsi="IRNazanin" w:eastAsia="IRNazanin" w:cs="IRNazanin"/>
          <w:lang w:bidi="fa-IR"/>
          <w:color w:val="111111"/>
          <w:sz w:val="28"/>
          <w:szCs w:val="28"/>
          <w:rtl/>
        </w:rPr>
        <w:t xml:space="preserve">۲. قم، مرکز احیاء؛ شماره نسخه: ۲۳۴۳/۵</w:t>
      </w:r>
    </w:p>
    <w:p>
      <w:pPr>
        <w:pStyle w:val="BookText"/>
      </w:pPr>
      <w:r>
        <w:rPr>
          <w:rFonts w:ascii="IRNazanin" w:hAnsi="IRNazanin" w:eastAsia="IRNazanin" w:cs="IRNazanin"/>
          <w:lang w:bidi="fa-IR"/>
          <w:color w:val="111111"/>
          <w:sz w:val="28"/>
          <w:szCs w:val="28"/>
          <w:rtl/>
        </w:rPr>
        <w:t xml:space="preserve">آغاز: چنین گوید که کسری انوشیروان عادل را تاجی بود و دوازده کنگره داشت و بر هر یکی پندی و نصيحتی بنبشته و هر هفته آن تاج بر سر نهادی نسخه اصل: کتابخانه ملی بریتانیا لندن ۵۳۲۱. در ۱۲ کنگره؛ بی کا، تا: ۱۰۱ق، جان ابرقوه؛ مجدول؛ مصحح؛ ۶ص (۱۷۲-۱۷۷) [عکسی ف: ۶-۴۴۲]</w:t>
      </w:r>
    </w:p>
    <w:p>
      <w:pPr>
        <w:pStyle w:val="BookText"/>
      </w:pPr>
      <w:r>
        <w:rPr>
          <w:rFonts w:ascii="IRNazanin" w:hAnsi="IRNazanin" w:eastAsia="IRNazanin" w:cs="IRNazanin"/>
          <w:lang w:bidi="fa-IR"/>
          <w:color w:val="111111"/>
          <w:sz w:val="28"/>
          <w:szCs w:val="28"/>
          <w:rtl/>
        </w:rPr>
        <w:t xml:space="preserve">٣. تهران، دانشگاه؛ شماره نسخه: ۷۹۰۲/۱۰</w:t>
      </w:r>
    </w:p>
    <w:p>
      <w:pPr>
        <w:pStyle w:val="BookText"/>
      </w:pPr>
      <w:r>
        <w:rPr>
          <w:rFonts w:ascii="IRNazanin" w:hAnsi="IRNazanin" w:eastAsia="IRNazanin" w:cs="IRNazanin"/>
          <w:lang w:bidi="fa-IR"/>
          <w:color w:val="111111"/>
          <w:sz w:val="28"/>
          <w:szCs w:val="28"/>
          <w:rtl/>
        </w:rPr>
        <w:t xml:space="preserve">آغاز: پندنامه انوشیروان عادل، بسمله، خداوند اخبار چنین گوید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22" w:name="pg20363_209591"/>
    <w:bookmarkEnd w:id="322"/>
    <w:p>
      <w:pPr>
        <w:pStyle w:val="BookText"/>
      </w:pPr>
      <w:r>
        <w:rPr>
          <w:rFonts w:ascii="IRNazanin" w:hAnsi="IRNazanin" w:eastAsia="IRNazanin" w:cs="IRNazanin"/>
          <w:lang w:bidi="fa-IR"/>
          <w:color w:val="111111"/>
          <w:sz w:val="28"/>
          <w:szCs w:val="28"/>
          <w:rtl/>
        </w:rPr>
        <w:t xml:space="preserve">که انوشیروان عادل را تاجی بود از زر سرخ مكلل کرده به جواهر قیمتی و آن تاج را بیست و دو گوشه بود، بر هر گوشه ای چند کلمه ای از حکمت نوشته؛ انجام: و هیچ توانگری نیست چون خود سندي و الله اعلم بالصواب</w:t>
      </w:r>
    </w:p>
    <w:p>
      <w:pPr>
        <w:pStyle w:val="BookText"/>
      </w:pPr>
      <w:r>
        <w:rPr>
          <w:rFonts w:ascii="IRNazanin" w:hAnsi="IRNazanin" w:eastAsia="IRNazanin" w:cs="IRNazanin"/>
          <w:lang w:bidi="fa-IR"/>
          <w:color w:val="111111"/>
          <w:sz w:val="28"/>
          <w:szCs w:val="28"/>
          <w:rtl/>
        </w:rPr>
        <w:t xml:space="preserve">خط: نستعلیق، کا: محمد فاضل روضه ای، بی تا، کاغذ: سپاهانی، جلد: تیماج تریاکی غضربی مقوایی با پوشه مخمل، ۸گ ( ۱۹۲-۱۸۵ ر)، ۱۲ سطر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سم [ف: ۷۳۰-۱۶ ]</w:t>
      </w:r>
    </w:p>
    <w:p>
      <w:pPr>
        <w:pStyle w:val="Heading3"/>
      </w:pPr>
      <w:bookmarkStart w:id="1814" w:name="_Toc1074"/>
      <w:r>
        <w:t>•پندنامه انوشیروان / اخلاق / فارسی</w:t>
      </w:r>
      <w:bookmarkEnd w:id="1814"/>
    </w:p>
    <w:p>
      <w:pPr>
        <w:pStyle w:val="BookText"/>
      </w:pPr>
      <w:r>
        <w:rPr>
          <w:rFonts w:ascii="Times New Roman" w:hAnsi="Times New Roman" w:eastAsia="Times New Roman" w:cs="Times New Roman"/>
          <w:lang w:val="en-US" w:bidi="en-US"/>
          <w:color w:val="111111"/>
          <w:sz w:val="28"/>
          <w:szCs w:val="28"/>
          <w:rtl/>
        </w:rPr>
        <w:t xml:space="preserve">pand-nāme-ye anūšīravān</w:t>
      </w:r>
    </w:p>
    <w:p>
      <w:pPr>
        <w:pStyle w:val="BookText"/>
      </w:pPr>
      <w:r>
        <w:rPr>
          <w:rFonts w:ascii="IRNazanin" w:hAnsi="IRNazanin" w:eastAsia="IRNazanin" w:cs="IRNazanin"/>
          <w:lang w:bidi="fa-IR"/>
          <w:color w:val="111111"/>
          <w:sz w:val="28"/>
          <w:szCs w:val="28"/>
          <w:rtl/>
        </w:rPr>
        <w:t xml:space="preserve">این کتاب در لابه لای خواب نامه واقع شده است.</w:t>
      </w:r>
    </w:p>
    <w:p>
      <w:pPr>
        <w:pStyle w:val="BookText"/>
      </w:pPr>
      <w:r>
        <w:rPr>
          <w:rFonts w:ascii="IRNazanin" w:hAnsi="IRNazanin" w:eastAsia="IRNazanin" w:cs="IRNazanin"/>
          <w:lang w:bidi="fa-IR"/>
          <w:color w:val="111111"/>
          <w:sz w:val="28"/>
          <w:szCs w:val="28"/>
          <w:rtl/>
        </w:rPr>
        <w:t xml:space="preserve">تهران؛ مجلس؛ شماره نسخه: ۱۳۵۲۲/۳</w:t>
      </w:r>
    </w:p>
    <w:p>
      <w:pPr>
        <w:pStyle w:val="BookText"/>
      </w:pPr>
      <w:r>
        <w:rPr>
          <w:rFonts w:ascii="IRNazanin" w:hAnsi="IRNazanin" w:eastAsia="IRNazanin" w:cs="IRNazanin"/>
          <w:lang w:bidi="fa-IR"/>
          <w:color w:val="111111"/>
          <w:sz w:val="28"/>
          <w:szCs w:val="28"/>
          <w:rtl/>
        </w:rPr>
        <w:t xml:space="preserve">آغاز: در روزگار انوشیروان عادل هیچ چیز عزیزتر از حکمت نبود و هیچکس بزرگتر از حکیمان؛ انجام: کار به اخلاص کن و حيلت و قلب و دغل رها کن تا رستگار شوی خط: نسخ، بی کا، بی تا؛ مجدول شنگرف؛ جلد: تیماج آبی، ۷گ (۸ر-۱۴ر)، ۱۷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 سم [ف: ۳۷-۲۳]</w:t>
      </w:r>
    </w:p>
    <w:p>
      <w:pPr>
        <w:pStyle w:val="BookText"/>
      </w:pPr>
      <w:r>
        <w:rPr>
          <w:rFonts w:ascii="IRNazanin" w:hAnsi="IRNazanin" w:eastAsia="IRNazanin" w:cs="IRNazanin"/>
          <w:lang w:bidi="fa-IR"/>
          <w:color w:val="111111"/>
          <w:sz w:val="28"/>
          <w:szCs w:val="28"/>
          <w:rtl/>
        </w:rPr>
        <w:t xml:space="preserve">← پندنامه بزرگمهر ← ظفرنامه</w:t>
      </w:r>
    </w:p>
    <w:p>
      <w:pPr>
        <w:pStyle w:val="Heading3"/>
      </w:pPr>
      <w:bookmarkStart w:id="1815" w:name="_Toc1075"/>
      <w:r>
        <w:t>•پندنامه به مهاذر فروخ برادر سلمان / اخلاق / عربی</w:t>
      </w:r>
      <w:bookmarkEnd w:id="1815"/>
    </w:p>
    <w:p>
      <w:pPr>
        <w:pStyle w:val="BookText"/>
      </w:pPr>
      <w:r>
        <w:rPr>
          <w:rFonts w:ascii="Times New Roman" w:hAnsi="Times New Roman" w:eastAsia="Times New Roman" w:cs="Times New Roman"/>
          <w:lang w:val="en-US" w:bidi="en-US"/>
          <w:color w:val="111111"/>
          <w:sz w:val="28"/>
          <w:szCs w:val="28"/>
          <w:rtl/>
        </w:rPr>
        <w:t xml:space="preserve">pand-nāme be mahāzar farrūx barādar-e salmān</w:t>
      </w:r>
    </w:p>
    <w:p>
      <w:pPr>
        <w:pStyle w:val="BookText"/>
      </w:pPr>
      <w:r>
        <w:rPr>
          <w:rFonts w:ascii="IRNazanin" w:hAnsi="IRNazanin" w:eastAsia="IRNazanin" w:cs="IRNazanin"/>
          <w:lang w:bidi="fa-IR"/>
          <w:color w:val="111111"/>
          <w:sz w:val="28"/>
          <w:szCs w:val="28"/>
          <w:rtl/>
        </w:rPr>
        <w:t xml:space="preserve">محمد (ص)، پیامبر اسلام، ۵۳ قبل هجرت</w:t>
      </w:r>
    </w:p>
    <w:p>
      <w:pPr>
        <w:pStyle w:val="BookText"/>
      </w:pPr>
      <w:r>
        <w:rPr>
          <w:rFonts w:ascii="Times New Roman" w:hAnsi="Times New Roman" w:eastAsia="Times New Roman" w:cs="Times New Roman"/>
          <w:lang w:val="en-US" w:bidi="en-US"/>
          <w:color w:val="111111"/>
          <w:sz w:val="28"/>
          <w:szCs w:val="28"/>
          <w:rtl/>
        </w:rPr>
        <w:t xml:space="preserve">mohammad, payāmbar-e eslām (570 -)</w:t>
      </w:r>
    </w:p>
    <w:p>
      <w:pPr>
        <w:pStyle w:val="BookText"/>
      </w:pPr>
      <w:r>
        <w:rPr>
          <w:rFonts w:ascii="IRNazanin" w:hAnsi="IRNazanin" w:eastAsia="IRNazanin" w:cs="IRNazanin"/>
          <w:lang w:bidi="fa-IR"/>
          <w:color w:val="111111"/>
          <w:sz w:val="28"/>
          <w:szCs w:val="28"/>
          <w:rtl/>
        </w:rPr>
        <w:t xml:space="preserve">تهران؛ مجلس؛ شماره نسخه: ۵۰۹۰/۵</w:t>
      </w:r>
    </w:p>
    <w:p>
      <w:pPr>
        <w:pStyle w:val="BookText"/>
      </w:pPr>
      <w:r>
        <w:rPr>
          <w:rFonts w:ascii="IRNazanin" w:hAnsi="IRNazanin" w:eastAsia="IRNazanin" w:cs="IRNazanin"/>
          <w:lang w:bidi="fa-IR"/>
          <w:color w:val="111111"/>
          <w:sz w:val="28"/>
          <w:szCs w:val="28"/>
          <w:rtl/>
        </w:rPr>
        <w:t xml:space="preserve">بی کا، بی تا؛ ۳ص (۲۷ر -۲۹ر) [ف: ۱۵-۵۵]</w:t>
      </w:r>
    </w:p>
    <w:p>
      <w:pPr>
        <w:pStyle w:val="Heading3"/>
      </w:pPr>
      <w:bookmarkStart w:id="1816" w:name="_Toc1076"/>
      <w:r>
        <w:t>•پندنامه جهانگیری / عرفان و تصوف / فارسی</w:t>
      </w:r>
      <w:bookmarkEnd w:id="1816"/>
    </w:p>
    <w:p>
      <w:pPr>
        <w:pStyle w:val="BookText"/>
      </w:pPr>
      <w:r>
        <w:rPr>
          <w:rFonts w:ascii="Times New Roman" w:hAnsi="Times New Roman" w:eastAsia="Times New Roman" w:cs="Times New Roman"/>
          <w:lang w:val="en-US" w:bidi="en-US"/>
          <w:color w:val="111111"/>
          <w:sz w:val="28"/>
          <w:szCs w:val="28"/>
          <w:rtl/>
        </w:rPr>
        <w:t xml:space="preserve">pand-nāme-ye jahāngīrī</w:t>
      </w:r>
    </w:p>
    <w:p>
      <w:pPr>
        <w:pStyle w:val="BookText"/>
      </w:pPr>
      <w:r>
        <w:rPr>
          <w:rFonts w:ascii="IRNazanin" w:hAnsi="IRNazanin" w:eastAsia="IRNazanin" w:cs="IRNazanin"/>
          <w:lang w:bidi="fa-IR"/>
          <w:color w:val="111111"/>
          <w:sz w:val="28"/>
          <w:szCs w:val="28"/>
          <w:rtl/>
        </w:rPr>
        <w:t xml:space="preserve">شاید از میر اشرف جهانگیری سمنانی (-۸۰۸ق) و یا برگرفته از کارهای او باشد. که عبارات آغاز نسخه این گمان را تقویت می کند. برای نمونه و نشانی: با خداوندان نعمت کینه مورزید، از سلطان بر حذر باشید، با پادشاهان اگر چه نزدیک باشید دوری نماییدد، هر که پادشاه نیست کامران نیست، هر که را فرزند نیست دل خوش نیست، هر که این هر سه نیست، هیچ غم نیست. در پایان «لطائف اشرفی» که حالات و گفته های همان جهانگیری سمنانی را در بردارد (مشترک ۳/۱۸۳۴) چند اثر کوتاه او آمده است. یکی هم به نام «حجة الذاکرین» معروف به «نصیحت نامه » و نسخه ما می تواند تحریری از همین کار سمنانی باشد. (احمد منزوی)</w:t>
      </w:r>
    </w:p>
    <w:p>
      <w:pPr>
        <w:pStyle w:val="BookText"/>
      </w:pPr>
      <w:r>
        <w:rPr>
          <w:rFonts w:ascii="IRNazanin" w:hAnsi="IRNazanin" w:eastAsia="IRNazanin" w:cs="IRNazanin"/>
          <w:lang w:bidi="fa-IR"/>
          <w:color w:val="111111"/>
          <w:sz w:val="28"/>
          <w:szCs w:val="28"/>
          <w:rtl/>
        </w:rPr>
        <w:t xml:space="preserve">[الذریعه ۲۷۰/۲۳ «موعظه جهانگیری»؛ نسخه های منزوی ۱۶۹۶/۲ «موعظه جهانگیری»؛ مشترک پاکستان ۲۶۶۰/۴ «پندنامه جهانگیری»، همانجا ۱۸۳۴/۳« لطائف اشرفی»؛ نشریه</w:t>
      </w:r>
    </w:p>
    <w:p>
      <w:pPr>
        <w:pStyle w:val="BookText"/>
      </w:pPr>
      <w:r>
        <w:rPr>
          <w:rFonts w:ascii="IRNazanin" w:hAnsi="IRNazanin" w:eastAsia="IRNazanin" w:cs="IRNazanin"/>
          <w:lang w:bidi="fa-IR"/>
          <w:color w:val="111111"/>
          <w:sz w:val="28"/>
          <w:szCs w:val="28"/>
          <w:rtl/>
        </w:rPr>
        <w:t xml:space="preserve">۱۹۰/۸ نسخه بنیاد خاورشناسی فرهنگستان تفلیس، که در آنجا نیز نام مؤلف نیامده است؛ فهرستواره منزوی ۳۵۳/۶ ]</w:t>
      </w:r>
    </w:p>
    <w:p>
      <w:pPr>
        <w:pStyle w:val="BookText"/>
      </w:pPr>
      <w:r>
        <w:rPr>
          <w:rFonts w:ascii="Amiri" w:hAnsi="Amiri" w:eastAsia="Amiri" w:cs="Amiri"/>
          <w:lang w:bidi="ar-SA"/>
          <w:color w:val="111111"/>
          <w:sz w:val="28"/>
          <w:szCs w:val="28"/>
          <w:rtl/>
        </w:rPr>
        <w:t xml:space="preserve">تهران؛ دائرة المعارف، شماره نسخه: ۷۴۹/۲</w:t>
      </w:r>
    </w:p>
    <w:p>
      <w:pPr>
        <w:pStyle w:val="BookText"/>
      </w:pPr>
      <w:r>
        <w:rPr>
          <w:rFonts w:ascii="IRNazanin" w:hAnsi="IRNazanin" w:eastAsia="IRNazanin" w:cs="IRNazanin"/>
          <w:lang w:bidi="fa-IR"/>
          <w:color w:val="111111"/>
          <w:sz w:val="28"/>
          <w:szCs w:val="28"/>
          <w:rtl/>
        </w:rPr>
        <w:t xml:space="preserve">آغاز: پندنامه جهانگیری، شرح دستخط خاص شریف مبارک به مریدان بر آن لطف نمودیم که فرزندان کامکار و مریدان اخلاص شعار راجو کی بر آن لطف نمودیم که فرزندان کامکار و مریدان اخلاص شعار راجو کی به جو کی رسانند، که مضمون این را دستور العمل روزگار خود ساخته سرمایه سعادت جاوید داند. اینت بدانید که هر کسی ناپایدار است؛ انجام: سوگند دروغ نخورید این جهانرا. خط: نستعلیق پخته، بی کا، تا: قرن ۱۲، ۲گ (۷۳ر -۷۴ر) [ف: ۲-۳۴)</w:t>
      </w:r>
    </w:p>
    <w:p>
      <w:pPr>
        <w:pStyle w:val="BookText"/>
      </w:pPr>
      <w:r>
        <w:rPr>
          <w:rFonts w:ascii="IRNazanin" w:hAnsi="IRNazanin" w:eastAsia="IRNazanin" w:cs="IRNazanin"/>
          <w:lang w:bidi="fa-IR"/>
          <w:color w:val="111111"/>
          <w:sz w:val="28"/>
          <w:szCs w:val="28"/>
          <w:rtl/>
        </w:rPr>
        <w:t xml:space="preserve">←پندنامه داذبه← الأدب الوجيز للولد الصغير (ترجمه)</w:t>
      </w:r>
    </w:p>
    <w:p>
      <w:pPr>
        <w:pStyle w:val="Heading3"/>
      </w:pPr>
      <w:bookmarkStart w:id="1817" w:name="_Toc1077"/>
      <w:r>
        <w:t>•پندنامه غزالی برای شاه / اخلاق / فارسی</w:t>
      </w:r>
      <w:bookmarkEnd w:id="1817"/>
    </w:p>
    <w:p>
      <w:pPr>
        <w:pStyle w:val="BookText"/>
      </w:pPr>
      <w:r>
        <w:rPr>
          <w:rFonts w:ascii="Times New Roman" w:hAnsi="Times New Roman" w:eastAsia="Times New Roman" w:cs="Times New Roman"/>
          <w:lang w:val="en-US" w:bidi="en-US"/>
          <w:color w:val="111111"/>
          <w:sz w:val="28"/>
          <w:szCs w:val="28"/>
          <w:rtl/>
        </w:rPr>
        <w:t xml:space="preserve">pand-nāme-ye qazzālī barāye šāh</w:t>
      </w:r>
    </w:p>
    <w:p>
      <w:pPr>
        <w:pStyle w:val="BookText"/>
      </w:pPr>
      <w:r>
        <w:rPr>
          <w:rFonts w:ascii="IRNazanin" w:hAnsi="IRNazanin" w:eastAsia="IRNazanin" w:cs="IRNazanin"/>
          <w:lang w:bidi="fa-IR"/>
          <w:color w:val="111111"/>
          <w:sz w:val="28"/>
          <w:szCs w:val="28"/>
          <w:rtl/>
        </w:rPr>
        <w:t xml:space="preserve">غزالی، محمد بن محمد، ۴۵۰-۵۰۵ قمری</w:t>
      </w:r>
    </w:p>
    <w:p>
      <w:pPr>
        <w:pStyle w:val="BookText"/>
      </w:pPr>
      <w:r>
        <w:rPr>
          <w:rFonts w:ascii="Times New Roman" w:hAnsi="Times New Roman" w:eastAsia="Times New Roman" w:cs="Times New Roman"/>
          <w:lang w:val="en-US" w:bidi="en-US"/>
          <w:color w:val="111111"/>
          <w:sz w:val="28"/>
          <w:szCs w:val="28"/>
          <w:rtl/>
        </w:rPr>
        <w:t xml:space="preserve">qazzālī, mohammad ebn-e mohammad (1059-1112)</w:t>
      </w:r>
    </w:p>
    <w:p>
      <w:pPr>
        <w:pStyle w:val="BookText"/>
      </w:pPr>
      <w:r>
        <w:rPr>
          <w:rFonts w:ascii="IRNazanin" w:hAnsi="IRNazanin" w:eastAsia="IRNazanin" w:cs="IRNazanin"/>
          <w:lang w:bidi="fa-IR"/>
          <w:color w:val="111111"/>
          <w:sz w:val="28"/>
          <w:szCs w:val="28"/>
          <w:rtl/>
        </w:rPr>
        <w:t xml:space="preserve">چاپ: در ۱۳۱۱ شمسی در تهران در ۴۶ ص بغلی به چاپ رسید.</w:t>
      </w:r>
    </w:p>
    <w:p>
      <w:pPr>
        <w:pStyle w:val="BookText"/>
      </w:pPr>
      <w:r>
        <w:rPr>
          <w:rFonts w:ascii="IRNazanin" w:hAnsi="IRNazanin" w:eastAsia="IRNazanin" w:cs="IRNazanin"/>
          <w:lang w:bidi="fa-IR"/>
          <w:color w:val="111111"/>
          <w:sz w:val="28"/>
          <w:szCs w:val="28"/>
          <w:rtl/>
        </w:rPr>
        <w:t xml:space="preserve">تهران؛ دانشگاه؛ شماره نسخه: ۲۱۶۶/۷</w:t>
      </w:r>
    </w:p>
    <w:p>
      <w:pPr>
        <w:pStyle w:val="BookText"/>
      </w:pPr>
      <w:r>
        <w:rPr>
          <w:rFonts w:ascii="IRNazanin" w:hAnsi="IRNazanin" w:eastAsia="IRNazanin" w:cs="IRNazanin"/>
          <w:lang w:bidi="fa-IR"/>
          <w:color w:val="111111"/>
          <w:sz w:val="28"/>
          <w:szCs w:val="28"/>
          <w:rtl/>
        </w:rPr>
        <w:t xml:space="preserve">بی کا، بی تا، کاغذ: فرنگی، جلد: مقوا عطف میشن، ۱۰گ (۱۴۴ر -۱۵۳ر)، اندازه:</w:t>
      </w:r>
    </w:p>
    <w:p>
      <w:pPr>
        <w:pStyle w:val="BookText"/>
      </w:pPr>
      <w:r>
        <w:rPr>
          <w:rFonts w:ascii="IRNazanin" w:hAnsi="IRNazanin" w:eastAsia="IRNazanin" w:cs="IRNazanin"/>
          <w:lang w:bidi="fa-IR"/>
          <w:color w:val="111111"/>
          <w:sz w:val="28"/>
          <w:szCs w:val="28"/>
          <w:rtl/>
        </w:rPr>
        <w:t xml:space="preserve">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۲۰سم [ف: ۹-۸۶۳]</w:t>
      </w:r>
    </w:p>
    <w:p>
      <w:pPr>
        <w:pStyle w:val="BookText"/>
      </w:pPr>
      <w:r>
        <w:rPr>
          <w:rFonts w:ascii="IRNazanin" w:hAnsi="IRNazanin" w:eastAsia="IRNazanin" w:cs="IRNazanin"/>
          <w:lang w:bidi="fa-IR"/>
          <w:color w:val="111111"/>
          <w:sz w:val="28"/>
          <w:szCs w:val="28"/>
          <w:rtl/>
        </w:rPr>
        <w:t xml:space="preserve">←پند نامه لقمان ← صد پند</w:t>
      </w:r>
    </w:p>
    <w:p>
      <w:pPr>
        <w:pStyle w:val="BookText"/>
      </w:pPr>
      <w:r>
        <w:rPr>
          <w:rFonts w:ascii="IRNazanin" w:hAnsi="IRNazanin" w:eastAsia="IRNazanin" w:cs="IRNazanin"/>
          <w:lang w:bidi="fa-IR"/>
          <w:color w:val="111111"/>
          <w:sz w:val="28"/>
          <w:szCs w:val="28"/>
          <w:rtl/>
        </w:rPr>
        <w:t xml:space="preserve">←پندنامه منظوم ← نصیحت حكماء</w:t>
      </w:r>
    </w:p>
    <w:p>
      <w:pPr>
        <w:pStyle w:val="BookText"/>
      </w:pPr>
      <w:r>
        <w:rPr>
          <w:rFonts w:ascii="IRNazanin" w:hAnsi="IRNazanin" w:eastAsia="IRNazanin" w:cs="IRNazanin"/>
          <w:lang w:bidi="fa-IR"/>
          <w:color w:val="111111"/>
          <w:sz w:val="28"/>
          <w:szCs w:val="28"/>
          <w:rtl/>
        </w:rPr>
        <w:t xml:space="preserve">← پند نامه یحیوی ← اندرز نامه</w:t>
      </w:r>
    </w:p>
    <w:p>
      <w:pPr>
        <w:pStyle w:val="Heading3"/>
      </w:pPr>
      <w:bookmarkStart w:id="1818" w:name="_Toc1078"/>
      <w:r>
        <w:t>•پند و اصول دین و عرفان / اخلاق / فارسی</w:t>
      </w:r>
      <w:bookmarkEnd w:id="1818"/>
    </w:p>
    <w:p>
      <w:pPr>
        <w:pStyle w:val="BookText"/>
      </w:pPr>
      <w:r>
        <w:rPr>
          <w:rFonts w:ascii="Times New Roman" w:hAnsi="Times New Roman" w:eastAsia="Times New Roman" w:cs="Times New Roman"/>
          <w:lang w:val="en-US" w:bidi="en-US"/>
          <w:color w:val="111111"/>
          <w:sz w:val="28"/>
          <w:szCs w:val="28"/>
          <w:rtl/>
        </w:rPr>
        <w:t xml:space="preserve">pand va osūl-e dīn va “erfān</w:t>
      </w:r>
    </w:p>
    <w:p>
      <w:pPr>
        <w:pStyle w:val="BookText"/>
      </w:pPr>
      <w:r>
        <w:rPr>
          <w:rFonts w:ascii="IRNazanin" w:hAnsi="IRNazanin" w:eastAsia="IRNazanin" w:cs="IRNazanin"/>
          <w:lang w:bidi="fa-IR"/>
          <w:color w:val="111111"/>
          <w:sz w:val="28"/>
          <w:szCs w:val="28"/>
          <w:rtl/>
        </w:rPr>
        <w:t xml:space="preserve">در پند و اصول دین و عرفان.</w:t>
      </w:r>
    </w:p>
    <w:p>
      <w:pPr>
        <w:pStyle w:val="BookText"/>
      </w:pPr>
      <w:r>
        <w:rPr>
          <w:rFonts w:ascii="IRNazanin" w:hAnsi="IRNazanin" w:eastAsia="IRNazanin" w:cs="IRNazanin"/>
          <w:lang w:bidi="fa-IR"/>
          <w:color w:val="111111"/>
          <w:sz w:val="28"/>
          <w:szCs w:val="28"/>
          <w:rtl/>
        </w:rPr>
        <w:t xml:space="preserve">همدان؛ برنا، قاسم؛ شماره نسخه: ۳۸/۲</w:t>
      </w:r>
    </w:p>
    <w:p>
      <w:pPr>
        <w:pStyle w:val="BookText"/>
      </w:pPr>
      <w:r>
        <w:rPr>
          <w:rFonts w:ascii="IRNazanin" w:hAnsi="IRNazanin" w:eastAsia="IRNazanin" w:cs="IRNazanin"/>
          <w:lang w:bidi="fa-IR"/>
          <w:color w:val="111111"/>
          <w:sz w:val="28"/>
          <w:szCs w:val="28"/>
          <w:rtl/>
        </w:rPr>
        <w:t xml:space="preserve">بندهایی از چند رساله فارسی؛ بی کا، بی تا [نشریه: ۵-۳۷۷]</w:t>
      </w:r>
    </w:p>
    <w:p>
      <w:pPr>
        <w:pStyle w:val="Heading3"/>
      </w:pPr>
      <w:bookmarkStart w:id="1819" w:name="_Toc1079"/>
      <w:r>
        <w:t>•پند و اندرز / اخلاق / فارسی</w:t>
      </w:r>
      <w:bookmarkEnd w:id="1819"/>
    </w:p>
    <w:p>
      <w:pPr>
        <w:pStyle w:val="BookText"/>
      </w:pPr>
      <w:r>
        <w:rPr>
          <w:rFonts w:ascii="Times New Roman" w:hAnsi="Times New Roman" w:eastAsia="Times New Roman" w:cs="Times New Roman"/>
          <w:lang w:val="en-US" w:bidi="en-US"/>
          <w:color w:val="111111"/>
          <w:sz w:val="28"/>
          <w:szCs w:val="28"/>
          <w:rtl/>
        </w:rPr>
        <w:t xml:space="preserve">pand va andarz</w:t>
      </w:r>
    </w:p>
    <w:p>
      <w:pPr>
        <w:pStyle w:val="BookText"/>
      </w:pPr>
      <w:r>
        <w:rPr>
          <w:rFonts w:ascii="IRNazanin" w:hAnsi="IRNazanin" w:eastAsia="IRNazanin" w:cs="IRNazanin"/>
          <w:lang w:bidi="fa-IR"/>
          <w:color w:val="111111"/>
          <w:sz w:val="28"/>
          <w:szCs w:val="28"/>
          <w:rtl/>
        </w:rPr>
        <w:t xml:space="preserve">تبریزی فراهانی، محمد بن ابراهیم، ق ۱۲ قمری</w:t>
      </w:r>
    </w:p>
    <w:p>
      <w:pPr>
        <w:pStyle w:val="BookText"/>
      </w:pPr>
      <w:r>
        <w:rPr>
          <w:rFonts w:ascii="Times New Roman" w:hAnsi="Times New Roman" w:eastAsia="Times New Roman" w:cs="Times New Roman"/>
          <w:lang w:val="en-US" w:bidi="en-US"/>
          <w:color w:val="111111"/>
          <w:sz w:val="28"/>
          <w:szCs w:val="28"/>
          <w:rtl/>
        </w:rPr>
        <w:t xml:space="preserve">tabrīzī farāhānī, mohammad ebn-e ebrāhīm (- 20c)</w:t>
      </w:r>
    </w:p>
    <w:p>
      <w:pPr>
        <w:pStyle w:val="BookText"/>
      </w:pPr>
      <w:r>
        <w:rPr>
          <w:rFonts w:ascii="IRNazanin" w:hAnsi="IRNazanin" w:eastAsia="IRNazanin" w:cs="IRNazanin"/>
          <w:lang w:bidi="fa-IR"/>
          <w:color w:val="111111"/>
          <w:sz w:val="28"/>
          <w:szCs w:val="28"/>
          <w:rtl/>
        </w:rPr>
        <w:t xml:space="preserve">تاریخ تأليف: جمعه ۲۲ ربیع الثانی ۱۱۷۵ق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23" w:name="pg20363_209592"/>
    <w:bookmarkEnd w:id="323"/>
    <w:p>
      <w:pPr>
        <w:pStyle w:val="BookText"/>
      </w:pPr>
      <w:r>
        <w:rPr>
          <w:rFonts w:ascii="IRNazanin" w:hAnsi="IRNazanin" w:eastAsia="IRNazanin" w:cs="IRNazanin"/>
          <w:lang w:bidi="fa-IR"/>
          <w:color w:val="111111"/>
          <w:sz w:val="28"/>
          <w:szCs w:val="28"/>
          <w:rtl/>
        </w:rPr>
        <w:t xml:space="preserve">قطعه ای به نثر در پند و اندرز از محمد بن ابراهیم تبریزی فراهانی که به درخواست میرزا سید محمد نوشته است.</w:t>
      </w:r>
    </w:p>
    <w:p>
      <w:pPr>
        <w:pStyle w:val="BookText"/>
      </w:pPr>
      <w:r>
        <w:rPr>
          <w:rFonts w:ascii="IRNazanin" w:hAnsi="IRNazanin" w:eastAsia="IRNazanin" w:cs="IRNazanin"/>
          <w:lang w:bidi="fa-IR"/>
          <w:color w:val="111111"/>
          <w:sz w:val="28"/>
          <w:szCs w:val="28"/>
          <w:rtl/>
        </w:rPr>
        <w:t xml:space="preserve">تهران؛ مجلس؛ شماره نسخه: ۱۴۱۴۸/۳۰</w:t>
      </w:r>
    </w:p>
    <w:p>
      <w:pPr>
        <w:pStyle w:val="BookText"/>
      </w:pPr>
      <w:r>
        <w:rPr>
          <w:rFonts w:ascii="IRNazanin" w:hAnsi="IRNazanin" w:eastAsia="IRNazanin" w:cs="IRNazanin"/>
          <w:lang w:bidi="fa-IR"/>
          <w:color w:val="111111"/>
          <w:sz w:val="28"/>
          <w:szCs w:val="28"/>
          <w:rtl/>
        </w:rPr>
        <w:t xml:space="preserve">كاتب = مؤلف، تا: ۲۲ ربیع الثانی ۱۱۷۵ق؛ ۵گ (۱۰۸ر -۱۱۲ر)؛ افتادگی: انجام [ف: ۳۸-۱۸۶]</w:t>
      </w:r>
    </w:p>
    <w:p>
      <w:pPr>
        <w:pStyle w:val="Heading3"/>
      </w:pPr>
      <w:bookmarkStart w:id="1820" w:name="_Toc1080"/>
      <w:r>
        <w:t>• پند و اندرز / اخلاق / فارسی</w:t>
      </w:r>
      <w:bookmarkEnd w:id="1820"/>
    </w:p>
    <w:p>
      <w:pPr>
        <w:pStyle w:val="BookText"/>
      </w:pPr>
      <w:r>
        <w:rPr>
          <w:rFonts w:ascii="Times New Roman" w:hAnsi="Times New Roman" w:eastAsia="Times New Roman" w:cs="Times New Roman"/>
          <w:lang w:val="en-US" w:bidi="en-US"/>
          <w:color w:val="111111"/>
          <w:sz w:val="28"/>
          <w:szCs w:val="28"/>
          <w:rtl/>
        </w:rPr>
        <w:t xml:space="preserve">pand va andarz</w:t>
      </w:r>
    </w:p>
    <w:p>
      <w:pPr>
        <w:pStyle w:val="BookText"/>
      </w:pPr>
      <w:r>
        <w:rPr>
          <w:rFonts w:ascii="IRNazanin" w:hAnsi="IRNazanin" w:eastAsia="IRNazanin" w:cs="IRNazanin"/>
          <w:lang w:bidi="fa-IR"/>
          <w:color w:val="111111"/>
          <w:sz w:val="28"/>
          <w:szCs w:val="28"/>
          <w:rtl/>
        </w:rPr>
        <w:t xml:space="preserve">اصفهانی، محمد شريف بن عبدالحسین</w:t>
      </w:r>
    </w:p>
    <w:p>
      <w:pPr>
        <w:pStyle w:val="BookText"/>
      </w:pPr>
      <w:r>
        <w:rPr>
          <w:rFonts w:ascii="Times New Roman" w:hAnsi="Times New Roman" w:eastAsia="Times New Roman" w:cs="Times New Roman"/>
          <w:lang w:val="en-US" w:bidi="en-US"/>
          <w:color w:val="111111"/>
          <w:sz w:val="28"/>
          <w:szCs w:val="28"/>
          <w:rtl/>
        </w:rPr>
        <w:t xml:space="preserve">esfahānī, mohammad šarīf ebn-e 'abd-ol-hoseyn</w:t>
      </w:r>
    </w:p>
    <w:p>
      <w:pPr>
        <w:pStyle w:val="BookText"/>
      </w:pPr>
      <w:r>
        <w:rPr>
          <w:rFonts w:ascii="IRNazanin" w:hAnsi="IRNazanin" w:eastAsia="IRNazanin" w:cs="IRNazanin"/>
          <w:lang w:bidi="fa-IR"/>
          <w:color w:val="111111"/>
          <w:sz w:val="28"/>
          <w:szCs w:val="28"/>
          <w:rtl/>
        </w:rPr>
        <w:t xml:space="preserve">رساله ای در آداب دینی و پند و اندرز، گرفته شده از آیات و احادیث اهل بیت علیهم السلام و حکایات تاریخی با اشعاری مناسب موضوعات. در چند «باب» است.</w:t>
      </w:r>
    </w:p>
    <w:p>
      <w:pPr>
        <w:pStyle w:val="BookText"/>
      </w:pPr>
      <w:r>
        <w:rPr>
          <w:rFonts w:ascii="IRNazanin" w:hAnsi="IRNazanin" w:eastAsia="IRNazanin" w:cs="IRNazanin"/>
          <w:lang w:bidi="fa-IR"/>
          <w:color w:val="111111"/>
          <w:sz w:val="28"/>
          <w:szCs w:val="28"/>
          <w:rtl/>
        </w:rPr>
        <w:t xml:space="preserve">قم؛ مرعشی؛ شماره نسخه: ۸۹۲۴/۴</w:t>
      </w:r>
    </w:p>
    <w:p>
      <w:pPr>
        <w:pStyle w:val="BookText"/>
      </w:pPr>
      <w:r>
        <w:rPr>
          <w:rFonts w:ascii="IRNazanin" w:hAnsi="IRNazanin" w:eastAsia="IRNazanin" w:cs="IRNazanin"/>
          <w:lang w:bidi="fa-IR"/>
          <w:color w:val="111111"/>
          <w:sz w:val="28"/>
          <w:szCs w:val="28"/>
          <w:rtl/>
        </w:rPr>
        <w:t xml:space="preserve">آغاز: الحمدلله رب العالمين ... اما بعد این رساله ایست در باب پند و نصیحت و موعظه و اشعار ملوک و حکایات و روایات چند؛ انجام: عواقب امور جميع مسلمین را بر وفق رضای خود گرداند بمحمد و آله الامجاد.</w:t>
      </w:r>
    </w:p>
    <w:p>
      <w:pPr>
        <w:pStyle w:val="BookText"/>
      </w:pPr>
      <w:r>
        <w:rPr>
          <w:rFonts w:ascii="IRNazanin" w:hAnsi="IRNazanin" w:eastAsia="IRNazanin" w:cs="IRNazanin"/>
          <w:lang w:bidi="fa-IR"/>
          <w:color w:val="111111"/>
          <w:sz w:val="28"/>
          <w:szCs w:val="28"/>
          <w:rtl/>
        </w:rPr>
        <w:t xml:space="preserve">خط: نستعلیق، كا: احمد بن فتاح ایروانی قزوینی، تا: ۱۲۶۷ق، به دستور ولی اسدالله خان بن نجفقلی خان ایروانی؛ جلد: تیماج مشکی، ۲۶گی* (۶۵ر-۹۰پ)، ۲۱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۱۰۰-۲۳ ]</w:t>
      </w:r>
    </w:p>
    <w:p>
      <w:pPr>
        <w:pStyle w:val="Heading3"/>
      </w:pPr>
      <w:bookmarkStart w:id="1821" w:name="_Toc1081"/>
      <w:r>
        <w:t>• پند و اندرز / مواعظ / فارسی</w:t>
      </w:r>
      <w:bookmarkEnd w:id="1821"/>
    </w:p>
    <w:p>
      <w:pPr>
        <w:pStyle w:val="BookText"/>
      </w:pPr>
      <w:r>
        <w:rPr>
          <w:rFonts w:ascii="Times New Roman" w:hAnsi="Times New Roman" w:eastAsia="Times New Roman" w:cs="Times New Roman"/>
          <w:lang w:val="en-US" w:bidi="en-US"/>
          <w:color w:val="111111"/>
          <w:sz w:val="28"/>
          <w:szCs w:val="28"/>
          <w:rtl/>
        </w:rPr>
        <w:t xml:space="preserve">pand va andarz</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IRNazanin" w:hAnsi="IRNazanin" w:eastAsia="IRNazanin" w:cs="IRNazanin"/>
          <w:lang w:bidi="fa-IR"/>
          <w:color w:val="111111"/>
          <w:sz w:val="28"/>
          <w:szCs w:val="28"/>
          <w:rtl/>
        </w:rPr>
        <w:t xml:space="preserve">۱. تهران، دانشگاه؛ شماره نسخه: ۷۵۹۸/۲۱</w:t>
      </w:r>
    </w:p>
    <w:p>
      <w:pPr>
        <w:pStyle w:val="BookText"/>
      </w:pPr>
      <w:r>
        <w:rPr>
          <w:rFonts w:ascii="IRNazanin" w:hAnsi="IRNazanin" w:eastAsia="IRNazanin" w:cs="IRNazanin"/>
          <w:lang w:bidi="fa-IR"/>
          <w:color w:val="111111"/>
          <w:sz w:val="28"/>
          <w:szCs w:val="28"/>
          <w:rtl/>
        </w:rPr>
        <w:t xml:space="preserve">پندی از علی (علیه السلام) به فارسی و پندی از حکیمی و سخنی از انوشیروان و گفتار صوفیان درباره جن به عربی و نقلی از کشکول بهایی و از تفسیر کبیر؛ خط: نستعلیق</w:t>
      </w:r>
    </w:p>
    <w:p>
      <w:pPr>
        <w:pStyle w:val="BookText"/>
      </w:pPr>
      <w:r>
        <w:rPr>
          <w:rFonts w:ascii="IRNazanin" w:hAnsi="IRNazanin" w:eastAsia="IRNazanin" w:cs="IRNazanin"/>
          <w:lang w:bidi="fa-IR"/>
          <w:color w:val="111111"/>
          <w:sz w:val="28"/>
          <w:szCs w:val="28"/>
          <w:rtl/>
        </w:rPr>
        <w:t xml:space="preserve">چلیپا، بی کا، تا: ۱۰۹۲ق؛ کاغذ: سپاهانی، جلد: تیماج مشکی ضربی مقوایی، ۳گ (۹۶ -۹۸)، ۱۷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قطع: ربعی،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سم [ف: ۶۴۸-۱۶ ]</w:t>
      </w:r>
    </w:p>
    <w:p>
      <w:pPr>
        <w:pStyle w:val="BookText"/>
      </w:pPr>
      <w:r>
        <w:rPr>
          <w:rFonts w:ascii="IRNazanin" w:hAnsi="IRNazanin" w:eastAsia="IRNazanin" w:cs="IRNazanin"/>
          <w:lang w:bidi="fa-IR"/>
          <w:color w:val="111111"/>
          <w:sz w:val="28"/>
          <w:szCs w:val="28"/>
          <w:rtl/>
        </w:rPr>
        <w:t xml:space="preserve">۲. تهران؛ مجلس؛ شماره نسخه: ۱۵۴۰۸/۵</w:t>
      </w:r>
    </w:p>
    <w:p>
      <w:pPr>
        <w:pStyle w:val="BookText"/>
      </w:pPr>
      <w:r>
        <w:rPr>
          <w:rFonts w:ascii="IRNazanin" w:hAnsi="IRNazanin" w:eastAsia="IRNazanin" w:cs="IRNazanin"/>
          <w:lang w:bidi="fa-IR"/>
          <w:color w:val="111111"/>
          <w:sz w:val="28"/>
          <w:szCs w:val="28"/>
          <w:rtl/>
        </w:rPr>
        <w:t xml:space="preserve">آغاز: از لقمان حکیم برسیدند که از آدمیان داناتر کیست گفت: انکی از مخالفت روزگار دلتنگ نشود؛ انجام: بایزید بسطامی فرمود که تفسیر قرآن جهار جیز است ... و مادر و بدر را خشنود کردن</w:t>
      </w:r>
    </w:p>
    <w:p>
      <w:pPr>
        <w:pStyle w:val="BookText"/>
      </w:pPr>
      <w:r>
        <w:rPr>
          <w:rFonts w:ascii="IRNazanin" w:hAnsi="IRNazanin" w:eastAsia="IRNazanin" w:cs="IRNazanin"/>
          <w:lang w:bidi="fa-IR"/>
          <w:color w:val="111111"/>
          <w:sz w:val="28"/>
          <w:szCs w:val="28"/>
          <w:rtl/>
        </w:rPr>
        <w:t xml:space="preserve">خط: نسخ و نستعلیق، بی کا، تا: احتمالا قرن ۱۰؛ افتادگی: انجام؛ جلد: تیماج قهوه ای ضربی ترنج و سر ترنج دار، ۴گ (۴۶پ۔ ۴۹پ)، ۱۳ و ۱۵ سطر، اندازه: ۱۷/۷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[ف: ۴۳-۷۵]</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 ۹۰۱/۳۱ -طباطبائی</w:t>
      </w:r>
    </w:p>
    <w:p>
      <w:pPr>
        <w:pStyle w:val="BookText"/>
      </w:pPr>
      <w:r>
        <w:rPr>
          <w:rFonts w:ascii="IRNazanin" w:hAnsi="IRNazanin" w:eastAsia="IRNazanin" w:cs="IRNazanin"/>
          <w:lang w:bidi="fa-IR"/>
          <w:color w:val="111111"/>
          <w:sz w:val="28"/>
          <w:szCs w:val="28"/>
          <w:rtl/>
        </w:rPr>
        <w:t xml:space="preserve">آغاز: من كلام بعض العرفاء. تقوی آنست که در قیامت هیچکس دامن تو نگیرد و جوانمردی آن که تو دامن هیچ کس نگیری مضمون رساله بیان این نکته است که: فریب دنیا خود فریبی و از خود فریب خوردن است. نویسنده این شعر را از ظهوری در تأیید گفتار خود آورده و نیز سخنی از بابا افضل کاشی می آورد. شعر ظهوری این است: چه رحم است بر حال آن ناشکیب***که می بایدش خوردن از خود فریب؛ خط: نستعلیق خوب، بی کا، تا: قرن ۱۱؛ کاغذ: اصفهانی، جلد: تیماج قهوه ای با ترنج و نیم ترنج طلایی و با نقاشی گل و بوته، ۲۳۳ گ، قطع: وزیری،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۲۳-۲۱۳]</w:t>
      </w:r>
    </w:p>
    <w:p>
      <w:pPr>
        <w:pStyle w:val="BookText"/>
      </w:pPr>
      <w:r>
        <w:rPr>
          <w:rFonts w:ascii="IRNazanin" w:hAnsi="IRNazanin" w:eastAsia="IRNazanin" w:cs="IRNazanin"/>
          <w:lang w:bidi="fa-IR"/>
          <w:color w:val="111111"/>
          <w:sz w:val="28"/>
          <w:szCs w:val="28"/>
          <w:rtl/>
        </w:rPr>
        <w:t xml:space="preserve">۴. قم، مرکز احیاء؛ شماره نسخه: ۱۷۶۹/۲</w:t>
      </w:r>
    </w:p>
    <w:p>
      <w:pPr>
        <w:pStyle w:val="BookText"/>
      </w:pPr>
      <w:r>
        <w:rPr>
          <w:rFonts w:ascii="IRNazanin" w:hAnsi="IRNazanin" w:eastAsia="IRNazanin" w:cs="IRNazanin"/>
          <w:lang w:bidi="fa-IR"/>
          <w:color w:val="111111"/>
          <w:sz w:val="28"/>
          <w:szCs w:val="28"/>
          <w:rtl/>
        </w:rPr>
        <w:t xml:space="preserve">آغاز: و من عمره الله ستين سنة فقد اعذر اليه في عمره، اگر نه آنستی که سینه عمر آن خلاصه عصر عمره الله بألطافه؛ انجام: و الطاف هر روز بر فزون بمنه وفضله.</w:t>
      </w:r>
    </w:p>
    <w:p>
      <w:pPr>
        <w:pStyle w:val="BookText"/>
      </w:pPr>
      <w:r>
        <w:rPr>
          <w:rFonts w:ascii="IRNazanin" w:hAnsi="IRNazanin" w:eastAsia="IRNazanin" w:cs="IRNazanin"/>
          <w:lang w:bidi="fa-IR"/>
          <w:color w:val="111111"/>
          <w:sz w:val="28"/>
          <w:szCs w:val="28"/>
          <w:rtl/>
        </w:rPr>
        <w:t xml:space="preserve">پند و اندرزهای اخلاقی و عرفانی است که برای بزرگی نگاشته شده با تضمین بعضی آیات و احادیث کوتاه، به نثر ادبی و ابیاتی فارسی و عربی؛ خط: نستعلیق، بی کا، تا: غره محرم ۱۰۸۹ق؛ افتادگی: آغاز، جلد: تیماج قهوه ای، ۱۰گ (۵۴ر-۶۳پ)،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۵-۱۸۳]</w:t>
      </w:r>
    </w:p>
    <w:p>
      <w:pPr>
        <w:pStyle w:val="BookText"/>
      </w:pPr>
      <w:r>
        <w:rPr>
          <w:rFonts w:ascii="IRNazanin" w:hAnsi="IRNazanin" w:eastAsia="IRNazanin" w:cs="IRNazanin"/>
          <w:lang w:bidi="fa-IR"/>
          <w:color w:val="111111"/>
          <w:sz w:val="28"/>
          <w:szCs w:val="28"/>
          <w:rtl/>
        </w:rPr>
        <w:t xml:space="preserve">۵. تهران: مجلس؛ شماره نسخه: ۵۳۴۱/۷</w:t>
      </w:r>
    </w:p>
    <w:p>
      <w:pPr>
        <w:pStyle w:val="BookText"/>
      </w:pPr>
      <w:r>
        <w:rPr>
          <w:rFonts w:ascii="IRNazanin" w:hAnsi="IRNazanin" w:eastAsia="IRNazanin" w:cs="IRNazanin"/>
          <w:lang w:bidi="fa-IR"/>
          <w:color w:val="111111"/>
          <w:sz w:val="28"/>
          <w:szCs w:val="28"/>
          <w:rtl/>
        </w:rPr>
        <w:t xml:space="preserve">سخنان نصیحت آمیز است. نامبوب؛ خط: نستعلیق، بی کا، تا: جمعه 9 شوال ۱۱۸۲ق؛ کاغذ: فرنگی [ف: ۱۶-۲۵۳]</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رشت؛ جمعیت نشر فرهنگ؛ شماره نسخه: ۴۶پ</w:t>
      </w:r>
    </w:p>
    <w:p>
      <w:pPr>
        <w:pStyle w:val="BookText"/>
      </w:pPr>
      <w:r>
        <w:rPr>
          <w:rFonts w:ascii="IRNazanin" w:hAnsi="IRNazanin" w:eastAsia="IRNazanin" w:cs="IRNazanin"/>
          <w:lang w:bidi="fa-IR"/>
          <w:color w:val="111111"/>
          <w:sz w:val="28"/>
          <w:szCs w:val="28"/>
          <w:rtl/>
        </w:rPr>
        <w:t xml:space="preserve">آغاز: بسمله، کردگاری را بنده و پروردگاری را پرستنده ایم که از آشکاری و ظهور از دیده ها ناپدید و مستور است و از زیاد نزدیکی این همه دور است؛ انجام: معلوم گردد گاهی زمانه را</w:t>
      </w:r>
    </w:p>
    <w:p>
      <w:pPr>
        <w:pStyle w:val="BookText"/>
      </w:pPr>
      <w:r>
        <w:rPr>
          <w:rFonts w:ascii="IRNazanin" w:hAnsi="IRNazanin" w:eastAsia="IRNazanin" w:cs="IRNazanin"/>
          <w:lang w:bidi="fa-IR"/>
          <w:color w:val="111111"/>
          <w:sz w:val="28"/>
          <w:szCs w:val="28"/>
          <w:rtl/>
        </w:rPr>
        <w:t xml:space="preserve">چنین جوانهای با دانش و تیرهای در ترکش بوده است.</w:t>
      </w:r>
    </w:p>
    <w:p>
      <w:pPr>
        <w:pStyle w:val="BookText"/>
      </w:pPr>
      <w:r>
        <w:rPr>
          <w:rFonts w:ascii="IRNazanin" w:hAnsi="IRNazanin" w:eastAsia="IRNazanin" w:cs="IRNazanin"/>
          <w:lang w:bidi="fa-IR"/>
          <w:color w:val="111111"/>
          <w:sz w:val="28"/>
          <w:szCs w:val="28"/>
          <w:rtl/>
        </w:rPr>
        <w:t xml:space="preserve">در آن این بیت ها آمده است: سحر گهان چو غراب شب شبه پیکر*** ز روی بیضه بیضا به باختر زد پر از در در آمد ماهی به جلوه طاوس*** به خنده مهر فزا و به غمزه جان پرور ... / چنانکه شادی جانها بود به خلعت جود*** شوند حافظ جانش همی شبیر و شبر. نظم: از دست فتاده در خلایق همه شور*** درویش و توانگر در پیشش عور؛ خط: نستعلیق خوش، بی کا، تا: قرن ۱۳، مجدول، مذهب، با سر لوح؛ کاغذ: آهار مهره، قطع: ربعی[ رشت</w:t>
      </w:r>
    </w:p>
    <w:p>
      <w:pPr>
        <w:pStyle w:val="BookText"/>
      </w:pPr>
      <w:r>
        <w:rPr>
          <w:rFonts w:ascii="IRNazanin" w:hAnsi="IRNazanin" w:eastAsia="IRNazanin" w:cs="IRNazanin"/>
          <w:lang w:bidi="fa-IR"/>
          <w:color w:val="111111"/>
          <w:sz w:val="28"/>
          <w:szCs w:val="28"/>
          <w:rtl/>
        </w:rPr>
        <w:t xml:space="preserve">او همدان: ف: ۱۰۹۶]</w:t>
      </w:r>
    </w:p>
    <w:p>
      <w:pPr>
        <w:pStyle w:val="BookText"/>
      </w:pPr>
      <w:r>
        <w:rPr>
          <w:rFonts w:ascii="IRNazanin" w:hAnsi="IRNazanin" w:eastAsia="IRNazanin" w:cs="IRNazanin"/>
          <w:lang w:bidi="fa-IR"/>
          <w:color w:val="111111"/>
          <w:sz w:val="28"/>
          <w:szCs w:val="28"/>
          <w:rtl/>
        </w:rPr>
        <w:t xml:space="preserve">۷. تهران؛ فرهاد معتمد؛ شماره نسخه: ۶۷/۲</w:t>
      </w:r>
    </w:p>
    <w:p>
      <w:pPr>
        <w:pStyle w:val="BookText"/>
      </w:pPr>
      <w:r>
        <w:rPr>
          <w:rFonts w:ascii="IRNazanin" w:hAnsi="IRNazanin" w:eastAsia="IRNazanin" w:cs="IRNazanin"/>
          <w:lang w:bidi="fa-IR"/>
          <w:color w:val="111111"/>
          <w:sz w:val="28"/>
          <w:szCs w:val="28"/>
          <w:rtl/>
        </w:rPr>
        <w:t xml:space="preserve">خط: نسخ، بی کا، تا: قرن ۱۳؛ کاغذ: فرنگی، جلد: تیماج قهوه ای ضربی، ۱۳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سم (نشریه: ۳-۲۲۳]</w:t>
      </w:r>
    </w:p>
    <w:p>
      <w:pPr>
        <w:pStyle w:val="BookText"/>
      </w:pPr>
      <w:r>
        <w:rPr>
          <w:rFonts w:ascii="IRNazanin" w:hAnsi="IRNazanin" w:eastAsia="IRNazanin" w:cs="IRNazanin"/>
          <w:lang w:bidi="fa-IR"/>
          <w:color w:val="111111"/>
          <w:sz w:val="28"/>
          <w:szCs w:val="28"/>
          <w:rtl/>
        </w:rPr>
        <w:t xml:space="preserve">۸. مشهد: الهیات؛ شماره نسخه: ۵۷۴/۱۸</w:t>
      </w:r>
    </w:p>
    <w:p>
      <w:pPr>
        <w:pStyle w:val="BookText"/>
      </w:pPr>
      <w:r>
        <w:rPr>
          <w:rFonts w:ascii="IRNazanin" w:hAnsi="IRNazanin" w:eastAsia="IRNazanin" w:cs="IRNazanin"/>
          <w:lang w:bidi="fa-IR"/>
          <w:color w:val="111111"/>
          <w:sz w:val="28"/>
          <w:szCs w:val="28"/>
          <w:rtl/>
        </w:rPr>
        <w:t xml:space="preserve">خط: نستعلیق، بی کا، تا: ۱۲۵۵ق؛ جلد: تیماج عنابی، ۹ص، ۲۱ سطر (۱۰/۵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۱-۵۲۲]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24" w:name="pg20363_209593"/>
    <w:bookmarkEnd w:id="324"/>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نوربخش؛ شماره نسخه: ۵۴/۷</w:t>
      </w:r>
    </w:p>
    <w:p>
      <w:pPr>
        <w:pStyle w:val="BookText"/>
      </w:pPr>
      <w:r>
        <w:rPr>
          <w:rFonts w:ascii="IRNazanin" w:hAnsi="IRNazanin" w:eastAsia="IRNazanin" w:cs="IRNazanin"/>
          <w:lang w:bidi="fa-IR"/>
          <w:color w:val="111111"/>
          <w:sz w:val="28"/>
          <w:szCs w:val="28"/>
          <w:rtl/>
        </w:rPr>
        <w:t xml:space="preserve">آغاز: نصایحی که تمیم ... بدانکه تمیم گفت از مصطفی(صلی الله علیه وآله وسلم) شنیدم؛ انجام و طعام که به جهت ایشان می فرستند بدیشان می رسد و بدان فرح و شادی می کنند.</w:t>
      </w:r>
    </w:p>
    <w:p>
      <w:pPr>
        <w:pStyle w:val="BookText"/>
      </w:pPr>
      <w:r>
        <w:rPr>
          <w:rFonts w:ascii="IRNazanin" w:hAnsi="IRNazanin" w:eastAsia="IRNazanin" w:cs="IRNazanin"/>
          <w:lang w:bidi="fa-IR"/>
          <w:color w:val="111111"/>
          <w:sz w:val="28"/>
          <w:szCs w:val="28"/>
          <w:rtl/>
        </w:rPr>
        <w:t xml:space="preserve">در آغاز این رساله که دارای ۲۶ عنوان پند می باشد نام تیمم بن حبیب یاد شده و رساله را بدو نسبت داده است که وی از پیامبر شنیده و نقل نموده است؛ بی کا، تا: ۱۲۶۵ق؛ کاغذ: اصفهانی، جلد: تیماج مشکی یک لا، ۶ص (۳۵۸-۳۶۳)، ۱۵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۱-۸۰]</w:t>
      </w:r>
    </w:p>
    <w:p>
      <w:pPr>
        <w:pStyle w:val="BookText"/>
      </w:pPr>
      <w:r>
        <w:rPr>
          <w:rFonts w:ascii="IRNazanin" w:hAnsi="IRNazanin" w:eastAsia="IRNazanin" w:cs="IRNazanin"/>
          <w:lang w:bidi="fa-IR"/>
          <w:color w:val="111111"/>
          <w:sz w:val="28"/>
          <w:szCs w:val="28"/>
          <w:rtl/>
        </w:rPr>
        <w:t xml:space="preserve">۱۰. تهران: مجلس؛ شماره نسخه: ۹۸۵/۳ -طباطبائی</w:t>
      </w:r>
    </w:p>
    <w:p>
      <w:pPr>
        <w:pStyle w:val="BookText"/>
      </w:pPr>
      <w:r>
        <w:rPr>
          <w:rFonts w:ascii="IRNazanin" w:hAnsi="IRNazanin" w:eastAsia="IRNazanin" w:cs="IRNazanin"/>
          <w:lang w:bidi="fa-IR"/>
          <w:color w:val="111111"/>
          <w:sz w:val="28"/>
          <w:szCs w:val="28"/>
          <w:rtl/>
        </w:rPr>
        <w:t xml:space="preserve">آغاز: شخصی پسر خود را پند گفت که هیچ از سخنان رنگین و دلاویز ناصحان در تو اثر نمیکند؛ انجام پایان: لابد باید یکی حکیمی حاذق***مملکتی را که شد مزاج پریشان</w:t>
      </w:r>
    </w:p>
    <w:p>
      <w:pPr>
        <w:pStyle w:val="BookText"/>
      </w:pPr>
      <w:r>
        <w:rPr>
          <w:rFonts w:ascii="IRNazanin" w:hAnsi="IRNazanin" w:eastAsia="IRNazanin" w:cs="IRNazanin"/>
          <w:lang w:bidi="fa-IR"/>
          <w:color w:val="111111"/>
          <w:sz w:val="28"/>
          <w:szCs w:val="28"/>
          <w:rtl/>
        </w:rPr>
        <w:t xml:space="preserve">پند و حکایتی است برداشته شده از سخنان سعدی در گلستان و شعر و نثری از ابن یمین و غیره بر آن افزوده شده است؛ بی کا، تا: ۱۳۳۳ق؛ مجدول؛ کاغذ: فرنگی آهار مهره شکری، جلد: تیماج قهوه ای رنگی، ۳ص (۱۵-۱۷)، قطع: رقعی،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۲۵۹-۲۳ ]</w:t>
      </w:r>
    </w:p>
    <w:p>
      <w:pPr>
        <w:pStyle w:val="BookText"/>
      </w:pPr>
      <w:r>
        <w:rPr>
          <w:rFonts w:ascii="IRNazanin" w:hAnsi="IRNazanin" w:eastAsia="IRNazanin" w:cs="IRNazanin"/>
          <w:lang w:bidi="fa-IR"/>
          <w:color w:val="111111"/>
          <w:sz w:val="28"/>
          <w:szCs w:val="28"/>
          <w:rtl/>
        </w:rPr>
        <w:t xml:space="preserve">۱۱. تهران: مهدوی؛ شماره نسخه: جنگ ۴۸۲</w:t>
      </w:r>
    </w:p>
    <w:p>
      <w:pPr>
        <w:pStyle w:val="BookText"/>
      </w:pPr>
      <w:r>
        <w:rPr>
          <w:rFonts w:ascii="IRNazanin" w:hAnsi="IRNazanin" w:eastAsia="IRNazanin" w:cs="IRNazanin"/>
          <w:lang w:bidi="fa-IR"/>
          <w:color w:val="111111"/>
          <w:sz w:val="28"/>
          <w:szCs w:val="28"/>
          <w:rtl/>
        </w:rPr>
        <w:t xml:space="preserve">بی کا، بیتا (نشریه: ۲-۷۹]</w:t>
      </w:r>
    </w:p>
    <w:p>
      <w:pPr>
        <w:pStyle w:val="BookText"/>
      </w:pPr>
      <w:r>
        <w:rPr>
          <w:rFonts w:ascii="IRNazanin" w:hAnsi="IRNazanin" w:eastAsia="IRNazanin" w:cs="IRNazanin"/>
          <w:lang w:bidi="fa-IR"/>
          <w:color w:val="111111"/>
          <w:sz w:val="28"/>
          <w:szCs w:val="28"/>
          <w:rtl/>
        </w:rPr>
        <w:t xml:space="preserve">۱۲. شیراز؛ ملی؛ شماره نسخه: ف ۳۹۲/۲</w:t>
      </w:r>
    </w:p>
    <w:p>
      <w:pPr>
        <w:pStyle w:val="BookText"/>
      </w:pPr>
      <w:r>
        <w:rPr>
          <w:rFonts w:ascii="IRNazanin" w:hAnsi="IRNazanin" w:eastAsia="IRNazanin" w:cs="IRNazanin"/>
          <w:lang w:bidi="fa-IR"/>
          <w:color w:val="111111"/>
          <w:sz w:val="28"/>
          <w:szCs w:val="28"/>
          <w:rtl/>
        </w:rPr>
        <w:t xml:space="preserve">آغاز: بدانکه این چند سودمند دلبند است که لقمان حکیم به پسر خود وصیت کرد؛ انجام: پس اگر صورت را بدبیند باید که سیرت را بد نکند تا دوبدی در او جمع نشود-تمام شد شامل چند اندرز و روایت است؛ بی کا، بی تا، ۱۴، ۱۶ سطر [ف: ۱-۳۶۹]</w:t>
      </w:r>
    </w:p>
    <w:p>
      <w:pPr>
        <w:pStyle w:val="BookText"/>
      </w:pPr>
      <w:r>
        <w:rPr>
          <w:rFonts w:ascii="IRNazanin" w:hAnsi="IRNazanin" w:eastAsia="IRNazanin" w:cs="IRNazanin"/>
          <w:lang w:bidi="fa-IR"/>
          <w:color w:val="111111"/>
          <w:sz w:val="28"/>
          <w:szCs w:val="28"/>
          <w:rtl/>
        </w:rPr>
        <w:t xml:space="preserve">۱۳. تهران؛ ملی؛ شماره نسخه: ۱۵۵۷۶</w:t>
      </w:r>
    </w:p>
    <w:p>
      <w:pPr>
        <w:pStyle w:val="BookText"/>
      </w:pPr>
      <w:r>
        <w:rPr>
          <w:rFonts w:ascii="IRNazanin" w:hAnsi="IRNazanin" w:eastAsia="IRNazanin" w:cs="IRNazanin"/>
          <w:lang w:bidi="fa-IR"/>
          <w:color w:val="111111"/>
          <w:sz w:val="28"/>
          <w:szCs w:val="28"/>
          <w:rtl/>
        </w:rPr>
        <w:t xml:space="preserve">آغاز: بسمله. درس اول. روزی بود که روز نبود جز روز آفرین احدی نبود؛ انجام: اگر من عالم بشوم برای پدرم رحمت ایدی هم و اگر جاهل نمایم ... ایدی هم</w:t>
      </w:r>
    </w:p>
    <w:p>
      <w:pPr>
        <w:pStyle w:val="BookText"/>
      </w:pPr>
      <w:r>
        <w:rPr>
          <w:rFonts w:ascii="IRNazanin" w:hAnsi="IRNazanin" w:eastAsia="IRNazanin" w:cs="IRNazanin"/>
          <w:lang w:bidi="fa-IR"/>
          <w:color w:val="111111"/>
          <w:sz w:val="28"/>
          <w:szCs w:val="28"/>
          <w:rtl/>
        </w:rPr>
        <w:t xml:space="preserve">شامل نود و نه درس که احتمالا صد درس بوده که آخرین درس افتاده و هر درس شامل ده پند می باشد که مؤلف آنها را خطاب به خودش نوشته است؛ خط: نستعلیق، بی کا، بی تا، نسخه فاقد جلد می باشد و اوراق ابتدا و انتها نسخه جدا شده است؛ کاغذ: فرنگی شکری، ۵۱گ، ۱۱ سطر (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[رایانه]</w:t>
      </w:r>
    </w:p>
    <w:p>
      <w:pPr>
        <w:pStyle w:val="BookText"/>
      </w:pPr>
      <w:r>
        <w:rPr>
          <w:rFonts w:ascii="IRNazanin" w:hAnsi="IRNazanin" w:eastAsia="IRNazanin" w:cs="IRNazanin"/>
          <w:lang w:bidi="fa-IR"/>
          <w:color w:val="111111"/>
          <w:sz w:val="28"/>
          <w:szCs w:val="28"/>
          <w:rtl/>
        </w:rPr>
        <w:t xml:space="preserve">۱۴. مشهد؛ رضوی؛ شماره نسخه: ۱۳۶۶۲</w:t>
      </w:r>
    </w:p>
    <w:p>
      <w:pPr>
        <w:pStyle w:val="BookText"/>
      </w:pPr>
      <w:r>
        <w:rPr>
          <w:rFonts w:ascii="IRNazanin" w:hAnsi="IRNazanin" w:eastAsia="IRNazanin" w:cs="IRNazanin"/>
          <w:lang w:bidi="fa-IR"/>
          <w:color w:val="111111"/>
          <w:sz w:val="28"/>
          <w:szCs w:val="28"/>
          <w:rtl/>
        </w:rPr>
        <w:t xml:space="preserve">خط: نسخ، بی کا، بی تا [الفبائی: ۹۶]</w:t>
      </w:r>
    </w:p>
    <w:p>
      <w:pPr>
        <w:pStyle w:val="BookText"/>
      </w:pPr>
      <w:r>
        <w:rPr>
          <w:rFonts w:ascii="IRNazanin" w:hAnsi="IRNazanin" w:eastAsia="IRNazanin" w:cs="IRNazanin"/>
          <w:lang w:bidi="fa-IR"/>
          <w:color w:val="111111"/>
          <w:sz w:val="28"/>
          <w:szCs w:val="28"/>
          <w:rtl/>
        </w:rPr>
        <w:t xml:space="preserve">۱۵. قم؛ فیضیه؛ شماره نسخه: ۱۳۴۳/۲</w:t>
      </w:r>
    </w:p>
    <w:p>
      <w:pPr>
        <w:pStyle w:val="BookText"/>
      </w:pPr>
      <w:r>
        <w:rPr>
          <w:rFonts w:ascii="IRNazanin" w:hAnsi="IRNazanin" w:eastAsia="IRNazanin" w:cs="IRNazanin"/>
          <w:lang w:bidi="fa-IR"/>
          <w:color w:val="111111"/>
          <w:sz w:val="28"/>
          <w:szCs w:val="28"/>
          <w:rtl/>
        </w:rPr>
        <w:t xml:space="preserve">رساله در نقل و گفتگویی به عنوان پند و اندرز، بین اویس قرنی و راهبی از رهبانان؛ بی کا، بی تا؛ کاغذ: سفید - آبی، جلد: میشن مشگی و مقوا، قطع: خشتی،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w:t>
      </w:r>
    </w:p>
    <w:p>
      <w:pPr>
        <w:pStyle w:val="BookText"/>
      </w:pPr>
      <w:r>
        <w:rPr>
          <w:rFonts w:ascii="IRNazanin" w:hAnsi="IRNazanin" w:eastAsia="IRNazanin" w:cs="IRNazanin"/>
          <w:lang w:bidi="fa-IR"/>
          <w:color w:val="111111"/>
          <w:sz w:val="28"/>
          <w:szCs w:val="28"/>
          <w:rtl/>
        </w:rPr>
        <w:t xml:space="preserve">سم [فهرست عراقی: ۴۴۷-۱ ]</w:t>
      </w:r>
    </w:p>
    <w:p>
      <w:pPr>
        <w:pStyle w:val="BookText"/>
      </w:pPr>
      <w:r>
        <w:rPr>
          <w:rFonts w:ascii="IRNazanin" w:hAnsi="IRNazanin" w:eastAsia="IRNazanin" w:cs="IRNazanin"/>
          <w:lang w:bidi="fa-IR"/>
          <w:color w:val="111111"/>
          <w:sz w:val="28"/>
          <w:szCs w:val="28"/>
          <w:rtl/>
        </w:rPr>
        <w:t xml:space="preserve">۱۶. تهران؛ ملی؛ شماره نسخه: ۱۷۹۱۹</w:t>
      </w:r>
    </w:p>
    <w:p>
      <w:pPr>
        <w:pStyle w:val="BookText"/>
      </w:pPr>
      <w:r>
        <w:rPr>
          <w:rFonts w:ascii="IRNazanin" w:hAnsi="IRNazanin" w:eastAsia="IRNazanin" w:cs="IRNazanin"/>
          <w:lang w:bidi="fa-IR"/>
          <w:color w:val="111111"/>
          <w:sz w:val="28"/>
          <w:szCs w:val="28"/>
          <w:rtl/>
        </w:rPr>
        <w:t xml:space="preserve">کتابی در پند و حکمت؛ بی کا، بی تا، انتقالی از کتابخانه پهلوی - مجموعه نوازی؛ اندازه:</w:t>
      </w:r>
    </w:p>
    <w:p>
      <w:pPr>
        <w:pStyle w:val="BookText"/>
      </w:pPr>
      <w:r>
        <w:rPr>
          <w:rFonts w:ascii="IRNazanin" w:hAnsi="IRNazanin" w:eastAsia="IRNazanin" w:cs="IRNazanin"/>
          <w:lang w:bidi="fa-IR"/>
          <w:color w:val="111111"/>
          <w:sz w:val="28"/>
          <w:szCs w:val="28"/>
          <w:rtl/>
        </w:rPr>
        <w:t xml:space="preserve">۲۱/۹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۱۴/۷ سم (رایانه)</w:t>
      </w:r>
    </w:p>
    <w:p>
      <w:pPr>
        <w:pStyle w:val="BookText"/>
      </w:pPr>
      <w:r>
        <w:rPr>
          <w:rFonts w:ascii="IRNazanin" w:hAnsi="IRNazanin" w:eastAsia="IRNazanin" w:cs="IRNazanin"/>
          <w:lang w:bidi="fa-IR"/>
          <w:color w:val="111111"/>
          <w:sz w:val="28"/>
          <w:szCs w:val="28"/>
          <w:rtl/>
        </w:rPr>
        <w:t xml:space="preserve">۱۷. تهران؛ ملی؛ شماره نسخه: ۱۸۱۳۲</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۱۵۷گ،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w:t>
      </w:r>
    </w:p>
    <w:p>
      <w:pPr>
        <w:pStyle w:val="BookText"/>
      </w:pPr>
      <w:r>
        <w:rPr>
          <w:rFonts w:ascii="IRNazanin" w:hAnsi="IRNazanin" w:eastAsia="IRNazanin" w:cs="IRNazanin"/>
          <w:lang w:bidi="fa-IR"/>
          <w:color w:val="111111"/>
          <w:sz w:val="28"/>
          <w:szCs w:val="28"/>
          <w:rtl/>
        </w:rPr>
        <w:t xml:space="preserve">سم [رایانه]</w:t>
      </w:r>
    </w:p>
    <w:p>
      <w:pPr>
        <w:pStyle w:val="Heading3"/>
      </w:pPr>
      <w:bookmarkStart w:id="1822" w:name="_Toc1082"/>
      <w:r>
        <w:t>• پند و دعا / بهائیت / عربی، فارسی</w:t>
      </w:r>
      <w:bookmarkEnd w:id="1822"/>
    </w:p>
    <w:p>
      <w:pPr>
        <w:pStyle w:val="BookText"/>
      </w:pPr>
      <w:r>
        <w:rPr>
          <w:rFonts w:ascii="Times New Roman" w:hAnsi="Times New Roman" w:eastAsia="Times New Roman" w:cs="Times New Roman"/>
          <w:lang w:val="en-US" w:bidi="en-US"/>
          <w:color w:val="111111"/>
          <w:sz w:val="28"/>
          <w:szCs w:val="28"/>
          <w:rtl/>
        </w:rPr>
        <w:t xml:space="preserve">pand va do‘ā</w:t>
      </w:r>
    </w:p>
    <w:p>
      <w:pPr>
        <w:pStyle w:val="BookText"/>
      </w:pPr>
      <w:r>
        <w:rPr>
          <w:rFonts w:ascii="IRNazanin" w:hAnsi="IRNazanin" w:eastAsia="IRNazanin" w:cs="IRNazanin"/>
          <w:lang w:bidi="fa-IR"/>
          <w:color w:val="111111"/>
          <w:sz w:val="28"/>
          <w:szCs w:val="28"/>
          <w:rtl/>
        </w:rPr>
        <w:t xml:space="preserve">ابتدا در این قسمت پندی است به فارسی و در آن خطاب است به اینکه جز در محل صدق در محل دیگر نباید نظر کرد و عاشقانه باید کوشید بعد دعایی به عربی است که از خداوند نصرت و یاری می جوید چه دنیا را پر فتنه می بیند.</w:t>
      </w:r>
    </w:p>
    <w:p>
      <w:pPr>
        <w:pStyle w:val="BookText"/>
      </w:pPr>
      <w:r>
        <w:rPr>
          <w:rFonts w:ascii="IRNazanin" w:hAnsi="IRNazanin" w:eastAsia="IRNazanin" w:cs="IRNazanin"/>
          <w:lang w:bidi="fa-IR"/>
          <w:color w:val="111111"/>
          <w:sz w:val="28"/>
          <w:szCs w:val="28"/>
          <w:rtl/>
        </w:rPr>
        <w:t xml:space="preserve">تهران؛ ملی؛ شماره نسخه: ۱۵۴۵/۴۰</w:t>
      </w:r>
    </w:p>
    <w:p>
      <w:pPr>
        <w:pStyle w:val="BookText"/>
      </w:pPr>
      <w:r>
        <w:rPr>
          <w:rFonts w:ascii="IRNazanin" w:hAnsi="IRNazanin" w:eastAsia="IRNazanin" w:cs="IRNazanin"/>
          <w:lang w:bidi="fa-IR"/>
          <w:color w:val="111111"/>
          <w:sz w:val="28"/>
          <w:szCs w:val="28"/>
          <w:rtl/>
        </w:rPr>
        <w:t xml:space="preserve">آغاز: اول سخن دوست این است ای بلبل معنوی، انجام: وانک على كل شيء رقیبا. بی کا، تا: ۱۲۷۷ق؛ کاغذ: فرنگی، جلد: مقوایی، رویه کاغذی گل و بوته رنگی، عطف تیماج مشکی، ۲ص (۳۹۷-۳۹۸)، ۱۹ سطر کامل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۱۰-۶۶]</w:t>
      </w:r>
    </w:p>
    <w:p>
      <w:pPr>
        <w:pStyle w:val="BookText"/>
      </w:pPr>
      <w:r>
        <w:rPr>
          <w:rFonts w:ascii="IRNazanin" w:hAnsi="IRNazanin" w:eastAsia="IRNazanin" w:cs="IRNazanin"/>
          <w:lang w:bidi="fa-IR"/>
          <w:color w:val="111111"/>
          <w:sz w:val="28"/>
          <w:szCs w:val="28"/>
          <w:rtl/>
        </w:rPr>
        <w:t xml:space="preserve">← پند و موعظه ← اخلاق</w:t>
      </w:r>
    </w:p>
    <w:p>
      <w:pPr>
        <w:pStyle w:val="Heading3"/>
      </w:pPr>
      <w:bookmarkStart w:id="1823" w:name="_Toc1083"/>
      <w:r>
        <w:t>•پند و موعظه = هدایت نامه / اخلاق / فارسی</w:t>
      </w:r>
      <w:bookmarkEnd w:id="1823"/>
    </w:p>
    <w:p>
      <w:pPr>
        <w:pStyle w:val="BookText"/>
      </w:pPr>
      <w:r>
        <w:rPr>
          <w:rFonts w:ascii="Times New Roman" w:hAnsi="Times New Roman" w:eastAsia="Times New Roman" w:cs="Times New Roman"/>
          <w:lang w:val="en-US" w:bidi="en-US"/>
          <w:color w:val="111111"/>
          <w:sz w:val="28"/>
          <w:szCs w:val="28"/>
          <w:rtl/>
        </w:rPr>
        <w:t xml:space="preserve">pand va moʻeze = hedāyat-nāme</w:t>
      </w:r>
    </w:p>
    <w:p>
      <w:pPr>
        <w:pStyle w:val="BookText"/>
      </w:pPr>
      <w:r>
        <w:rPr>
          <w:rFonts w:ascii="IRNazanin" w:hAnsi="IRNazanin" w:eastAsia="IRNazanin" w:cs="IRNazanin"/>
          <w:lang w:bidi="fa-IR"/>
          <w:color w:val="111111"/>
          <w:sz w:val="28"/>
          <w:szCs w:val="28"/>
          <w:rtl/>
        </w:rPr>
        <w:t xml:space="preserve">نورعلیشاه، محمد علی بن عبدالحسین، ۱۱۶۰؟ -۱۲۱۲ قمری</w:t>
      </w:r>
    </w:p>
    <w:p>
      <w:pPr>
        <w:pStyle w:val="BookText"/>
      </w:pPr>
      <w:r>
        <w:rPr>
          <w:rFonts w:ascii="Times New Roman" w:hAnsi="Times New Roman" w:eastAsia="Times New Roman" w:cs="Times New Roman"/>
          <w:lang w:val="en-US" w:bidi="en-US"/>
          <w:color w:val="111111"/>
          <w:sz w:val="28"/>
          <w:szCs w:val="28"/>
          <w:rtl/>
        </w:rPr>
        <w:t xml:space="preserve">alī ebn-e 'abd-ol-hoseyn</w:t>
      </w:r>
    </w:p>
    <w:p>
      <w:pPr>
        <w:pStyle w:val="BookText"/>
      </w:pPr>
      <w:r>
        <w:rPr>
          <w:rFonts w:ascii="Times New Roman" w:hAnsi="Times New Roman" w:eastAsia="Times New Roman" w:cs="Times New Roman"/>
          <w:lang w:val="en-US" w:bidi="en-US"/>
          <w:color w:val="111111"/>
          <w:sz w:val="28"/>
          <w:szCs w:val="28"/>
          <w:rtl/>
        </w:rPr>
        <w:t xml:space="preserve">nūr-'alī-šāh, mohammad (1747-1798)</w:t>
      </w:r>
    </w:p>
    <w:p>
      <w:pPr>
        <w:pStyle w:val="BookText"/>
      </w:pPr>
      <w:r>
        <w:rPr>
          <w:rFonts w:ascii="IRNazanin" w:hAnsi="IRNazanin" w:eastAsia="IRNazanin" w:cs="IRNazanin"/>
          <w:lang w:bidi="fa-IR"/>
          <w:color w:val="111111"/>
          <w:sz w:val="28"/>
          <w:szCs w:val="28"/>
          <w:rtl/>
        </w:rPr>
        <w:t xml:space="preserve">گفتاری کوتاه در پند و اندرز. شاید هدایت نامه نامیده شده باشد. در آن آمده است: «این هدایت نامه ای است از کلب آستان</w:t>
      </w:r>
    </w:p>
    <w:p>
      <w:pPr>
        <w:pStyle w:val="BookText"/>
      </w:pPr>
      <w:r>
        <w:rPr>
          <w:rFonts w:ascii="IRNazanin" w:hAnsi="IRNazanin" w:eastAsia="IRNazanin" w:cs="IRNazanin"/>
          <w:lang w:bidi="fa-IR"/>
          <w:color w:val="111111"/>
          <w:sz w:val="28"/>
          <w:szCs w:val="28"/>
          <w:rtl/>
        </w:rPr>
        <w:t xml:space="preserve">[فهرستواره منزوی ۳۵۱/۶ ]</w:t>
      </w:r>
    </w:p>
    <w:p>
      <w:pPr>
        <w:pStyle w:val="BookText"/>
      </w:pPr>
      <w:r>
        <w:rPr>
          <w:rFonts w:ascii="IRNazanin" w:hAnsi="IRNazanin" w:eastAsia="IRNazanin" w:cs="IRNazanin"/>
          <w:lang w:bidi="fa-IR"/>
          <w:color w:val="111111"/>
          <w:sz w:val="28"/>
          <w:szCs w:val="28"/>
          <w:rtl/>
        </w:rPr>
        <w:t xml:space="preserve">تهران؛ مجلس؛ شماره نسخه: ۱۱۵۸/۷</w:t>
      </w:r>
    </w:p>
    <w:p>
      <w:pPr>
        <w:pStyle w:val="BookText"/>
      </w:pPr>
      <w:r>
        <w:rPr>
          <w:rFonts w:ascii="IRNazanin" w:hAnsi="IRNazanin" w:eastAsia="IRNazanin" w:cs="IRNazanin"/>
          <w:lang w:bidi="fa-IR"/>
          <w:color w:val="111111"/>
          <w:sz w:val="28"/>
          <w:szCs w:val="28"/>
          <w:rtl/>
        </w:rPr>
        <w:t xml:space="preserve">خط: نسخ، كا: محمد علی بن سید عرب حسینی، تا: ۱۲۳۱ق؛ ۱۱ص (۳۱۲-۳۲۲) [ف: ۳- ۴۳۲)</w:t>
      </w:r>
    </w:p>
    <w:p>
      <w:pPr>
        <w:pStyle w:val="Heading3"/>
      </w:pPr>
      <w:bookmarkStart w:id="1824" w:name="_Toc1084"/>
      <w:r>
        <w:t>• پندهای اخلاقی = حکایات / اخلاق / فارسی</w:t>
      </w:r>
      <w:bookmarkEnd w:id="1824"/>
    </w:p>
    <w:p>
      <w:pPr>
        <w:pStyle w:val="BookText"/>
      </w:pPr>
      <w:r>
        <w:rPr>
          <w:rFonts w:ascii="Times New Roman" w:hAnsi="Times New Roman" w:eastAsia="Times New Roman" w:cs="Times New Roman"/>
          <w:lang w:val="en-US" w:bidi="en-US"/>
          <w:color w:val="111111"/>
          <w:sz w:val="28"/>
          <w:szCs w:val="28"/>
          <w:rtl/>
        </w:rPr>
        <w:t xml:space="preserve">pand-hā-ye axlāqī = hekāyāt</w:t>
      </w:r>
    </w:p>
    <w:p>
      <w:pPr>
        <w:pStyle w:val="BookText"/>
      </w:pPr>
      <w:r>
        <w:rPr>
          <w:rFonts w:ascii="IRNazanin" w:hAnsi="IRNazanin" w:eastAsia="IRNazanin" w:cs="IRNazanin"/>
          <w:lang w:bidi="fa-IR"/>
          <w:color w:val="111111"/>
          <w:sz w:val="28"/>
          <w:szCs w:val="28"/>
          <w:rtl/>
        </w:rPr>
        <w:t xml:space="preserve">حکایات و داستانهایی از زندگی پیامبر اکرم (صلی الله علیه وآله وسلم) و اولیای دین همراه با آیات و روایات .</w:t>
      </w:r>
    </w:p>
    <w:p>
      <w:pPr>
        <w:pStyle w:val="BookText"/>
      </w:pPr>
      <w:r>
        <w:rPr>
          <w:rFonts w:ascii="IRNazanin" w:hAnsi="IRNazanin" w:eastAsia="IRNazanin" w:cs="IRNazanin"/>
          <w:lang w:bidi="fa-IR"/>
          <w:color w:val="111111"/>
          <w:sz w:val="28"/>
          <w:szCs w:val="28"/>
          <w:rtl/>
        </w:rPr>
        <w:t xml:space="preserve">مشهد، گوهرشاد؛ شماره نسخه: ۲۴۲۱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25" w:name="pg20363_209594"/>
    <w:bookmarkEnd w:id="325"/>
    <w:p>
      <w:pPr>
        <w:pStyle w:val="BookText"/>
      </w:pPr>
      <w:r>
        <w:rPr>
          <w:rFonts w:ascii="IRNazanin" w:hAnsi="IRNazanin" w:eastAsia="IRNazanin" w:cs="IRNazanin"/>
          <w:lang w:bidi="fa-IR"/>
          <w:color w:val="111111"/>
          <w:sz w:val="28"/>
          <w:szCs w:val="28"/>
          <w:rtl/>
        </w:rPr>
        <w:t xml:space="preserve">آغاز: چون از جهت ایمان بر همه کس سابق بود سبقتكم بالاسلام لا جرم ولايتش بر همه كس واجب گرداند؛ انجام فاطمه عرض کرد که ابتا مرد اعرابی بر در خانه ایستاده.</w:t>
      </w:r>
    </w:p>
    <w:p>
      <w:pPr>
        <w:pStyle w:val="BookText"/>
      </w:pPr>
      <w:r>
        <w:rPr>
          <w:rFonts w:ascii="IRNazanin" w:hAnsi="IRNazanin" w:eastAsia="IRNazanin" w:cs="IRNazanin"/>
          <w:lang w:bidi="fa-IR"/>
          <w:color w:val="111111"/>
          <w:sz w:val="28"/>
          <w:szCs w:val="28"/>
          <w:rtl/>
        </w:rPr>
        <w:t xml:space="preserve">مؤلف و عنوان نسخه نامعلوم است؛ خط: نستعلیق تحریری، بی کا، تا: قرن ۱۳؛ افتادگی: آغاز و انجام کاغذ: فستقی، جلد: مقوا، ۸۷گ، ۱۱-۱۳ سطر، اندازه: ۱۹/۶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 [ف: ۵-۷۴۷]</w:t>
      </w:r>
    </w:p>
    <w:p>
      <w:pPr>
        <w:pStyle w:val="Heading3"/>
      </w:pPr>
      <w:bookmarkStart w:id="1825" w:name="_Toc1085"/>
      <w:r>
        <w:t>• پندهای ارسطو = اندرزنامه ارسطو / اخلاق / فارسی</w:t>
      </w:r>
      <w:bookmarkEnd w:id="1825"/>
    </w:p>
    <w:p>
      <w:pPr>
        <w:pStyle w:val="BookText"/>
      </w:pPr>
      <w:r>
        <w:rPr>
          <w:rFonts w:ascii="Times New Roman" w:hAnsi="Times New Roman" w:eastAsia="Times New Roman" w:cs="Times New Roman"/>
          <w:lang w:val="en-US" w:bidi="en-US"/>
          <w:color w:val="111111"/>
          <w:sz w:val="28"/>
          <w:szCs w:val="28"/>
          <w:rtl/>
        </w:rPr>
        <w:t xml:space="preserve">pand-hā-ye arastū= andarz-nāme-ye arastā</w:t>
      </w:r>
    </w:p>
    <w:p>
      <w:pPr>
        <w:pStyle w:val="BookText"/>
      </w:pPr>
      <w:r>
        <w:rPr>
          <w:rFonts w:ascii="IRNazanin" w:hAnsi="IRNazanin" w:eastAsia="IRNazanin" w:cs="IRNazanin"/>
          <w:lang w:bidi="fa-IR"/>
          <w:color w:val="111111"/>
          <w:sz w:val="28"/>
          <w:szCs w:val="28"/>
          <w:rtl/>
        </w:rPr>
        <w:t xml:space="preserve">ارسطو، ۳۸۴-۳۲۲ ؟ قبل میلاد</w:t>
      </w:r>
    </w:p>
    <w:p>
      <w:pPr>
        <w:pStyle w:val="BookText"/>
      </w:pPr>
      <w:r>
        <w:rPr>
          <w:rFonts w:ascii="Times New Roman" w:hAnsi="Times New Roman" w:eastAsia="Times New Roman" w:cs="Times New Roman"/>
          <w:lang w:val="en-US" w:bidi="en-US"/>
          <w:color w:val="111111"/>
          <w:sz w:val="28"/>
          <w:szCs w:val="28"/>
          <w:rtl/>
        </w:rPr>
        <w:t xml:space="preserve">arastu (-384-322)</w:t>
      </w:r>
    </w:p>
    <w:p>
      <w:pPr>
        <w:pStyle w:val="BookText"/>
      </w:pPr>
      <w:r>
        <w:rPr>
          <w:rFonts w:ascii="IRNazanin" w:hAnsi="IRNazanin" w:eastAsia="IRNazanin" w:cs="IRNazanin"/>
          <w:lang w:bidi="fa-IR"/>
          <w:color w:val="111111"/>
          <w:sz w:val="28"/>
          <w:szCs w:val="28"/>
          <w:rtl/>
        </w:rPr>
        <w:t xml:space="preserve">[نسخه های منزوی ۱۵۵۲/۵ ؛ که در آن دو نسخه در مجلس معرفی شده است ]</w:t>
      </w:r>
    </w:p>
    <w:p>
      <w:pPr>
        <w:pStyle w:val="BookText"/>
      </w:pPr>
      <w:r>
        <w:rPr>
          <w:rFonts w:ascii="IRNazanin" w:hAnsi="IRNazanin" w:eastAsia="IRNazanin" w:cs="IRNazanin"/>
          <w:lang w:bidi="fa-IR"/>
          <w:color w:val="111111"/>
          <w:sz w:val="28"/>
          <w:szCs w:val="28"/>
          <w:rtl/>
        </w:rPr>
        <w:t xml:space="preserve">تهران؛ مجلس؛ شماره نسخه: ۱۳۷۷۷/۹</w:t>
      </w:r>
    </w:p>
    <w:p>
      <w:pPr>
        <w:pStyle w:val="BookText"/>
      </w:pPr>
      <w:r>
        <w:rPr>
          <w:rFonts w:ascii="IRNazanin" w:hAnsi="IRNazanin" w:eastAsia="IRNazanin" w:cs="IRNazanin"/>
          <w:lang w:bidi="fa-IR"/>
          <w:color w:val="111111"/>
          <w:sz w:val="28"/>
          <w:szCs w:val="28"/>
          <w:rtl/>
        </w:rPr>
        <w:t xml:space="preserve">كان محمد کاظم، تا: ۲۰ ربیع الاول ۱۱۱۴ق، چلیپایی؛ مجدول زرین و مشکی؛ جلد: گالینگور مشکی، ۳ص (۴۳-۴۵) [ف: ۳۷-۳۱۵]</w:t>
      </w:r>
    </w:p>
    <w:p>
      <w:pPr>
        <w:pStyle w:val="BookText"/>
      </w:pPr>
      <w:r>
        <w:rPr>
          <w:rFonts w:ascii="IRNazanin" w:hAnsi="IRNazanin" w:eastAsia="IRNazanin" w:cs="IRNazanin"/>
          <w:lang w:bidi="fa-IR"/>
          <w:color w:val="111111"/>
          <w:sz w:val="28"/>
          <w:szCs w:val="28"/>
          <w:rtl/>
        </w:rPr>
        <w:t xml:space="preserve">← پندهای پنج گنج ← خلاصه خمسه نظامی</w:t>
      </w:r>
    </w:p>
    <w:p>
      <w:pPr>
        <w:pStyle w:val="Heading3"/>
      </w:pPr>
      <w:bookmarkStart w:id="1826" w:name="_Toc1086"/>
      <w:r>
        <w:t>• پندیات شاه عبد السلام / اخلاق / فارسی</w:t>
      </w:r>
      <w:bookmarkEnd w:id="1826"/>
    </w:p>
    <w:p>
      <w:pPr>
        <w:pStyle w:val="BookText"/>
      </w:pPr>
      <w:r>
        <w:rPr>
          <w:rFonts w:ascii="Times New Roman" w:hAnsi="Times New Roman" w:eastAsia="Times New Roman" w:cs="Times New Roman"/>
          <w:lang w:val="en-US" w:bidi="en-US"/>
          <w:color w:val="111111"/>
          <w:sz w:val="28"/>
          <w:szCs w:val="28"/>
          <w:rtl/>
        </w:rPr>
        <w:t xml:space="preserve">pandīyāt-e šāh ‘abd-os-salām</w:t>
      </w:r>
    </w:p>
    <w:p>
      <w:pPr>
        <w:pStyle w:val="BookText"/>
      </w:pPr>
      <w:r>
        <w:rPr>
          <w:rFonts w:ascii="Amiri" w:hAnsi="Amiri" w:eastAsia="Amiri" w:cs="Amiri"/>
          <w:lang w:bidi="ar-SA"/>
          <w:color w:val="111111"/>
          <w:sz w:val="28"/>
          <w:szCs w:val="28"/>
          <w:rtl/>
        </w:rPr>
        <w:t xml:space="preserve">از «شاه عبدالسلام شاه مستنصر بالله امام زمان صلوات الله عليه)</w:t>
      </w:r>
    </w:p>
    <w:p>
      <w:pPr>
        <w:pStyle w:val="BookText"/>
      </w:pPr>
      <w:r>
        <w:rPr>
          <w:rFonts w:ascii="IRNazanin" w:hAnsi="IRNazanin" w:eastAsia="IRNazanin" w:cs="IRNazanin"/>
          <w:lang w:bidi="fa-IR"/>
          <w:color w:val="111111"/>
          <w:sz w:val="28"/>
          <w:szCs w:val="28"/>
          <w:rtl/>
        </w:rPr>
        <w:t xml:space="preserve">که بایستی اسماعیلی باشد. پندهای است با دید اسماعیلی، بخشبندی نشده.</w:t>
      </w:r>
    </w:p>
    <w:p>
      <w:pPr>
        <w:pStyle w:val="BookText"/>
      </w:pPr>
      <w:r>
        <w:rPr>
          <w:rFonts w:ascii="IRNazanin" w:hAnsi="IRNazanin" w:eastAsia="IRNazanin" w:cs="IRNazanin"/>
          <w:lang w:bidi="fa-IR"/>
          <w:color w:val="111111"/>
          <w:sz w:val="28"/>
          <w:szCs w:val="28"/>
          <w:rtl/>
        </w:rPr>
        <w:t xml:space="preserve">تهران؛ دائرة المعارف، شماره نسخه: ۱۸/۸ -عکسی</w:t>
      </w:r>
    </w:p>
    <w:p>
      <w:pPr>
        <w:pStyle w:val="BookText"/>
      </w:pPr>
      <w:r>
        <w:rPr>
          <w:rFonts w:ascii="IRNazanin" w:hAnsi="IRNazanin" w:eastAsia="IRNazanin" w:cs="IRNazanin"/>
          <w:lang w:bidi="fa-IR"/>
          <w:color w:val="111111"/>
          <w:sz w:val="28"/>
          <w:szCs w:val="28"/>
          <w:rtl/>
        </w:rPr>
        <w:t xml:space="preserve">آغاز: اللهم يا مولانا ... پندیات شاه عبدالسلام شاه مستنصر بالله امام زمان صلوات الله عليه. خداوند زمین و زمان حضرت مولانا می فرمایند، که مؤمن آن است که حال واجبات را رسانید، رزق و روزی او را؛ انجام: و خنده کم کند، دایم خدایرا یاد. نسخه اصل: نزد شادروان استاد محمد تقی مدرس رضوی بوده؛</w:t>
      </w:r>
    </w:p>
    <w:p>
      <w:pPr>
        <w:pStyle w:val="BookText"/>
      </w:pPr>
      <w:r>
        <w:rPr>
          <w:rFonts w:ascii="IRNazanin" w:hAnsi="IRNazanin" w:eastAsia="IRNazanin" w:cs="IRNazanin"/>
          <w:lang w:bidi="fa-IR"/>
          <w:color w:val="111111"/>
          <w:sz w:val="28"/>
          <w:szCs w:val="28"/>
          <w:rtl/>
        </w:rPr>
        <w:t xml:space="preserve">خط: نسخ خوش، بی کا، بی تا؛ ۴ص (۱۴۹-۱۵۲) [عکسی ف: ۲-۴۷]</w:t>
      </w:r>
    </w:p>
    <w:p>
      <w:pPr>
        <w:pStyle w:val="BookText"/>
      </w:pPr>
      <w:r>
        <w:rPr>
          <w:rFonts w:ascii="IRNazanin" w:hAnsi="IRNazanin" w:eastAsia="IRNazanin" w:cs="IRNazanin"/>
          <w:lang w:bidi="fa-IR"/>
          <w:color w:val="111111"/>
          <w:sz w:val="28"/>
          <w:szCs w:val="28"/>
          <w:rtl/>
        </w:rPr>
        <w:t xml:space="preserve">تهران؛ دانشگاه؛ شماره نسخه: ۲۸۳۵/۷</w:t>
      </w:r>
    </w:p>
    <w:p>
      <w:pPr>
        <w:pStyle w:val="BookText"/>
      </w:pPr>
      <w:r>
        <w:rPr>
          <w:rFonts w:ascii="Amiri" w:hAnsi="Amiri" w:eastAsia="Amiri" w:cs="Amiri"/>
          <w:lang w:bidi="ar-SA"/>
          <w:color w:val="111111"/>
          <w:sz w:val="28"/>
          <w:szCs w:val="28"/>
          <w:rtl/>
        </w:rPr>
        <w:t xml:space="preserve">نسخه اصل: همان نسخه اصل بالا [فيلمها ف: ۱-۷۳۵]</w:t>
      </w:r>
    </w:p>
    <w:p>
      <w:pPr>
        <w:pStyle w:val="BookText"/>
      </w:pPr>
      <w:r>
        <w:rPr>
          <w:rFonts w:ascii="IRNazanin" w:hAnsi="IRNazanin" w:eastAsia="IRNazanin" w:cs="IRNazanin"/>
          <w:lang w:bidi="fa-IR"/>
          <w:color w:val="111111"/>
          <w:sz w:val="28"/>
          <w:szCs w:val="28"/>
          <w:rtl/>
        </w:rPr>
        <w:t xml:space="preserve">← پوران سری بها كوت ←سری (شری) بها كوت</w:t>
      </w:r>
    </w:p>
    <w:p>
      <w:pPr>
        <w:pStyle w:val="Heading3"/>
      </w:pPr>
      <w:bookmarkStart w:id="1827" w:name="_Toc1087"/>
      <w:r>
        <w:t>•پورنامه / عرفان و تصوف، اخلاق / فارسی</w:t>
      </w:r>
      <w:bookmarkEnd w:id="1827"/>
    </w:p>
    <w:p>
      <w:pPr>
        <w:pStyle w:val="BookText"/>
      </w:pPr>
      <w:r>
        <w:rPr>
          <w:rFonts w:ascii="Times New Roman" w:hAnsi="Times New Roman" w:eastAsia="Times New Roman" w:cs="Times New Roman"/>
          <w:lang w:val="en-US" w:bidi="en-US"/>
          <w:color w:val="111111"/>
          <w:sz w:val="28"/>
          <w:szCs w:val="28"/>
          <w:rtl/>
        </w:rPr>
        <w:t xml:space="preserve">pūr-nāmeh</w:t>
      </w:r>
    </w:p>
    <w:p>
      <w:pPr>
        <w:pStyle w:val="BookText"/>
      </w:pPr>
      <w:r>
        <w:rPr>
          <w:rFonts w:ascii="IRNazanin" w:hAnsi="IRNazanin" w:eastAsia="IRNazanin" w:cs="IRNazanin"/>
          <w:lang w:bidi="fa-IR"/>
          <w:color w:val="111111"/>
          <w:sz w:val="28"/>
          <w:szCs w:val="28"/>
          <w:rtl/>
        </w:rPr>
        <w:t xml:space="preserve">تفرشی خسروی، محمد علی بن اسماعيل، ق ۱۴ قمری</w:t>
      </w:r>
    </w:p>
    <w:p>
      <w:pPr>
        <w:pStyle w:val="BookText"/>
      </w:pPr>
      <w:r>
        <w:rPr>
          <w:rFonts w:ascii="Times New Roman" w:hAnsi="Times New Roman" w:eastAsia="Times New Roman" w:cs="Times New Roman"/>
          <w:lang w:val="en-US" w:bidi="en-US"/>
          <w:color w:val="111111"/>
          <w:sz w:val="28"/>
          <w:szCs w:val="28"/>
          <w:rtl/>
        </w:rPr>
        <w:t xml:space="preserve">tafrešī xosravī, mohammad ‘alī ebn-e esmāʻīl (- 200)</w:t>
      </w:r>
    </w:p>
    <w:p>
      <w:pPr>
        <w:pStyle w:val="BookText"/>
      </w:pPr>
      <w:r>
        <w:rPr>
          <w:rFonts w:ascii="IRNazanin" w:hAnsi="IRNazanin" w:eastAsia="IRNazanin" w:cs="IRNazanin"/>
          <w:lang w:bidi="fa-IR"/>
          <w:color w:val="111111"/>
          <w:sz w:val="28"/>
          <w:szCs w:val="28"/>
          <w:rtl/>
        </w:rPr>
        <w:t xml:space="preserve">کتاب ویژه ای در توصیه های اخلاقی و عرفانی است با عناوین «ای پورمن» و «ای یگانه پورمن» و «ای فرزند». در نوشتن کتاب املای مخصوصی به کار رفته و فاصله گذاری های خاصی هم بين جملات و کلمات لحاظ شده است. وی در کتاب خود ادعاهای عجیب و گاه گزافی می کند و از رسیدن خود به حقیقت محمدی و عرش سخن می گوید. (حکیم، محمد حسین)</w:t>
      </w:r>
    </w:p>
    <w:p>
      <w:pPr>
        <w:pStyle w:val="BookText"/>
      </w:pPr>
      <w:r>
        <w:rPr>
          <w:rFonts w:ascii="IRNazanin" w:hAnsi="IRNazanin" w:eastAsia="IRNazanin" w:cs="IRNazanin"/>
          <w:lang w:bidi="fa-IR"/>
          <w:color w:val="111111"/>
          <w:sz w:val="28"/>
          <w:szCs w:val="28"/>
          <w:rtl/>
        </w:rPr>
        <w:t xml:space="preserve">۱. تهران، دانشگاه؛ شماره نسخه: ۱۰۹۲۱</w:t>
      </w:r>
    </w:p>
    <w:p>
      <w:pPr>
        <w:pStyle w:val="BookText"/>
      </w:pPr>
      <w:r>
        <w:rPr>
          <w:rFonts w:ascii="IRNazanin" w:hAnsi="IRNazanin" w:eastAsia="IRNazanin" w:cs="IRNazanin"/>
          <w:lang w:bidi="fa-IR"/>
          <w:color w:val="111111"/>
          <w:sz w:val="28"/>
          <w:szCs w:val="28"/>
          <w:rtl/>
        </w:rPr>
        <w:t xml:space="preserve">آغاز: مقدس اس گوهر فروزاننده. ای آگاهی بخش دلهای روشن رو آوردم و توسل جستم در وسعت رحمانیت و حفظ ستر تو پس پناه ده مرا از تنگی و کسالت خلق؛ انجام: گوش فرا ده که از مطلب دور افتادیم. ای فرزند صاحب سر باش تا معدن وحی گردی. لب فرو بند و دم نگاهدار</w:t>
      </w:r>
    </w:p>
    <w:p>
      <w:pPr>
        <w:pStyle w:val="BookText"/>
      </w:pPr>
      <w:r>
        <w:rPr>
          <w:rFonts w:ascii="IRNazanin" w:hAnsi="IRNazanin" w:eastAsia="IRNazanin" w:cs="IRNazanin"/>
          <w:lang w:bidi="fa-IR"/>
          <w:color w:val="111111"/>
          <w:sz w:val="28"/>
          <w:szCs w:val="28"/>
          <w:rtl/>
        </w:rPr>
        <w:t xml:space="preserve">خط: نستعلیق، بی کا، تا: قرن ۱۴؛ در ابتدای نسخه چنین نوشته اند: این کتاب پورنامه است فرموده سیدنا و مولانا و حبيبنا و قرة عيوننا روحی و روح العالمين فداه جناب حاجی علوی صلوتنا و سلامه و علیک متوالية. على العجاله بر حسب جزو پانزده جزو می باشد في ۱۳۸»؛ جلد: گالینگور توسی، عطف تیماج مشکی، ۱۲۸گ، ۹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اندازه: ۱۱/۵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۱۸/۵ سم [ف: ۲۰-۴۹۸]</w:t>
      </w:r>
    </w:p>
    <w:p>
      <w:pPr>
        <w:pStyle w:val="BookText"/>
      </w:pPr>
      <w:r>
        <w:rPr>
          <w:rFonts w:ascii="IRNazanin" w:hAnsi="IRNazanin" w:eastAsia="IRNazanin" w:cs="IRNazanin"/>
          <w:lang w:bidi="fa-IR"/>
          <w:color w:val="111111"/>
          <w:sz w:val="28"/>
          <w:szCs w:val="28"/>
          <w:rtl/>
        </w:rPr>
        <w:t xml:space="preserve">۲. تهران؛ دانشگاه؛ شماره نسخه: ۱۰۹۴۱</w:t>
      </w:r>
    </w:p>
    <w:p>
      <w:pPr>
        <w:pStyle w:val="BookText"/>
      </w:pPr>
      <w:r>
        <w:rPr>
          <w:rFonts w:ascii="IRNazanin" w:hAnsi="IRNazanin" w:eastAsia="IRNazanin" w:cs="IRNazanin"/>
          <w:lang w:bidi="fa-IR"/>
          <w:color w:val="111111"/>
          <w:sz w:val="28"/>
          <w:szCs w:val="28"/>
          <w:rtl/>
        </w:rPr>
        <w:t xml:space="preserve">آغاز: که مرکز آب است و مدتی هم در آن جا صبر و دوام لازم است تا خميره نضج یابد پس می خرامی به سوی حیوان غير ناطق که انسان است؛ انجام: دنیا را آب گرفت من و تو هنوز خشک لب و تشنه جگر ماندیم و به این واسطه نه ثمری از درخت عمر و نه نباتی از ارض وجود می روید</w:t>
      </w:r>
    </w:p>
    <w:p>
      <w:pPr>
        <w:pStyle w:val="BookText"/>
      </w:pPr>
      <w:r>
        <w:rPr>
          <w:rFonts w:ascii="IRNazanin" w:hAnsi="IRNazanin" w:eastAsia="IRNazanin" w:cs="IRNazanin"/>
          <w:lang w:bidi="fa-IR"/>
          <w:color w:val="111111"/>
          <w:sz w:val="28"/>
          <w:szCs w:val="28"/>
          <w:rtl/>
        </w:rPr>
        <w:t xml:space="preserve">ترتیب صفحات به هم خورده مثلا برگ اول کتاب به جای برگ ۲۵ قرار گرفته و برگ های قسمت های پایانی مربوط به ابتدای نسخه است؛ خط: نستعلیق، بی کا، تا: قرن ۱۴؛ افتادگی: آغاز و انجام؛ با خط خوردگی و افزودگی فراوان در متن و حاشیه. احتمالا به خط مؤلف این نسخه پیش نویس کتاب است، بالای برخی صفحات نوشته اند: «صحیح است»؛ ۲۷گ، ۱۸ سطر (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۲۰-۵۲۹]</w:t>
      </w:r>
    </w:p>
    <w:p>
      <w:pPr>
        <w:pStyle w:val="BookText"/>
      </w:pPr>
      <w:r>
        <w:rPr>
          <w:rFonts w:ascii="IRNazanin" w:hAnsi="IRNazanin" w:eastAsia="IRNazanin" w:cs="IRNazanin"/>
          <w:lang w:bidi="fa-IR"/>
          <w:color w:val="111111"/>
          <w:sz w:val="28"/>
          <w:szCs w:val="28"/>
          <w:rtl/>
        </w:rPr>
        <w:t xml:space="preserve">٣. تهران: دانشگاه؛ شماره نسخه: ۱۰۹۴۵</w:t>
      </w:r>
    </w:p>
    <w:p>
      <w:pPr>
        <w:pStyle w:val="BookText"/>
      </w:pPr>
      <w:r>
        <w:rPr>
          <w:rFonts w:ascii="IRNazanin" w:hAnsi="IRNazanin" w:eastAsia="IRNazanin" w:cs="IRNazanin"/>
          <w:lang w:bidi="fa-IR"/>
          <w:color w:val="111111"/>
          <w:sz w:val="28"/>
          <w:szCs w:val="28"/>
          <w:rtl/>
        </w:rPr>
        <w:t xml:space="preserve">آغاز: مقدس است گوهر فروزاننده. مفرح و منزه باد هواهای هياكل نورانی و قوائم زبر جدی پس از آن که فرمان رسید این بود که چه بسیار عالی و بلند است غرفات فردوس و چه بسیار صاف و روشن و روح پرور است هواهای آن؛ انجام: و قدرت و اختیاری بر کام و نفس خود نداده ام احدی را جز بر کام و نفس ایمنی یافتگان با درایت</w:t>
      </w:r>
    </w:p>
    <w:p>
      <w:pPr>
        <w:pStyle w:val="BookText"/>
      </w:pPr>
      <w:r>
        <w:rPr>
          <w:rFonts w:ascii="IRNazanin" w:hAnsi="IRNazanin" w:eastAsia="IRNazanin" w:cs="IRNazanin"/>
          <w:lang w:bidi="fa-IR"/>
          <w:color w:val="111111"/>
          <w:sz w:val="28"/>
          <w:szCs w:val="28"/>
          <w:rtl/>
        </w:rPr>
        <w:t xml:space="preserve">این شماره شامل دو نسخه پیش نویس و پاکنویس کتاب است که با هم آمیخته شده اند؛ خط: نستعلیق، بی کا، تا: قرن ۱۴؛ خط خوردگی و افزودگی در متن و حاشیه دارد؛ ۲۵۵گی، ۹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۲۰-۵۲۱]</w:t>
      </w:r>
    </w:p>
    <w:p>
      <w:pPr>
        <w:pStyle w:val="BookText"/>
      </w:pPr>
      <w:r>
        <w:rPr>
          <w:rFonts w:ascii="IRNazanin" w:hAnsi="IRNazanin" w:eastAsia="IRNazanin" w:cs="IRNazanin"/>
          <w:lang w:bidi="fa-IR"/>
          <w:color w:val="111111"/>
          <w:sz w:val="28"/>
          <w:szCs w:val="28"/>
          <w:rtl/>
        </w:rPr>
        <w:t xml:space="preserve">۴. تهران، دانشگاه؛ شماره نسخه: ۱۰۹۴۶</w:t>
      </w:r>
    </w:p>
    <w:p>
      <w:pPr>
        <w:pStyle w:val="BookText"/>
      </w:pPr>
      <w:r>
        <w:rPr>
          <w:rFonts w:ascii="IRNazanin" w:hAnsi="IRNazanin" w:eastAsia="IRNazanin" w:cs="IRNazanin"/>
          <w:lang w:bidi="fa-IR"/>
          <w:color w:val="111111"/>
          <w:sz w:val="28"/>
          <w:szCs w:val="28"/>
          <w:rtl/>
        </w:rPr>
        <w:t xml:space="preserve">آغاز: خوشا شمار یافتگان به عدالت قدسی. خوشا حال کسانی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26" w:name="pg20363_209595"/>
    <w:bookmarkEnd w:id="326"/>
    <w:p>
      <w:pPr>
        <w:pStyle w:val="BookText"/>
      </w:pPr>
      <w:r>
        <w:rPr>
          <w:rFonts w:ascii="IRNazanin" w:hAnsi="IRNazanin" w:eastAsia="IRNazanin" w:cs="IRNazanin"/>
          <w:lang w:bidi="fa-IR"/>
          <w:color w:val="111111"/>
          <w:sz w:val="28"/>
          <w:szCs w:val="28"/>
          <w:rtl/>
        </w:rPr>
        <w:t xml:space="preserve">که یافتند بخشش و عطایای قدس عظیم را اگر چه بوده باشد کفی آب یا قرصی نان؛ انجام: بی شرمانه ژاژ و یاوه آغازیدند حتی رنگ نمودند دست و صورت خود را از خون حضرتی می فرمایند آیا چه گرفته است ای قوم</w:t>
      </w:r>
    </w:p>
    <w:p>
      <w:pPr>
        <w:pStyle w:val="BookText"/>
      </w:pPr>
      <w:r>
        <w:rPr>
          <w:rFonts w:ascii="IRNazanin" w:hAnsi="IRNazanin" w:eastAsia="IRNazanin" w:cs="IRNazanin"/>
          <w:lang w:bidi="fa-IR"/>
          <w:color w:val="111111"/>
          <w:sz w:val="28"/>
          <w:szCs w:val="28"/>
          <w:rtl/>
        </w:rPr>
        <w:t xml:space="preserve">خط: نستعلیق، بی کا، تا: قرن ۱۴؛ افتادگی: آغاز و انجام؛ در حاشیه بعضی صفحات نوشته اند: «مقابله شد» یا «تا اینجا مقابله شد» ؛ ۴۰گ، ۱۱سطر (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اندازه:۲۲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w:t>
      </w:r>
    </w:p>
    <w:p>
      <w:pPr>
        <w:pStyle w:val="BookText"/>
      </w:pPr>
      <w:r>
        <w:rPr>
          <w:rFonts w:ascii="IRNazanin" w:hAnsi="IRNazanin" w:eastAsia="IRNazanin" w:cs="IRNazanin"/>
          <w:lang w:bidi="fa-IR"/>
          <w:color w:val="111111"/>
          <w:sz w:val="28"/>
          <w:szCs w:val="28"/>
          <w:rtl/>
        </w:rPr>
        <w:t xml:space="preserve">سم [ف: ۲۰-۵۳۱]</w:t>
      </w:r>
    </w:p>
    <w:p>
      <w:pPr>
        <w:pStyle w:val="BookText"/>
      </w:pPr>
      <w:r>
        <w:rPr>
          <w:rFonts w:ascii="IRNazanin" w:hAnsi="IRNazanin" w:eastAsia="IRNazanin" w:cs="IRNazanin"/>
          <w:lang w:bidi="fa-IR"/>
          <w:color w:val="111111"/>
          <w:sz w:val="28"/>
          <w:szCs w:val="28"/>
          <w:rtl/>
        </w:rPr>
        <w:t xml:space="preserve">۵. تهران: دانشگاه؛ شماره نسخه: ۱۰۹۴۵/۱۲</w:t>
      </w:r>
    </w:p>
    <w:p>
      <w:pPr>
        <w:pStyle w:val="BookText"/>
      </w:pPr>
      <w:r>
        <w:rPr>
          <w:rFonts w:ascii="IRNazanin" w:hAnsi="IRNazanin" w:eastAsia="IRNazanin" w:cs="IRNazanin"/>
          <w:lang w:bidi="fa-IR"/>
          <w:color w:val="111111"/>
          <w:sz w:val="28"/>
          <w:szCs w:val="28"/>
          <w:rtl/>
        </w:rPr>
        <w:t xml:space="preserve">آغاز: زیرا هوا گرفته ای از بحرهای سبز و دریاهای روشنتند. ابرهای اردی رحمت بلند گردیده و رعدها و برقهای متواتر جهان را ملمع؛ انجام: چگونه اختیار می نمایند بازرگانان خدمت و خربندگی ستوران را از ورود در غرفات امن و بالش آسایش همانا</w:t>
      </w:r>
    </w:p>
    <w:p>
      <w:pPr>
        <w:pStyle w:val="BookText"/>
      </w:pPr>
      <w:r>
        <w:rPr>
          <w:rFonts w:ascii="IRNazanin" w:hAnsi="IRNazanin" w:eastAsia="IRNazanin" w:cs="IRNazanin"/>
          <w:lang w:bidi="fa-IR"/>
          <w:color w:val="111111"/>
          <w:sz w:val="28"/>
          <w:szCs w:val="28"/>
          <w:rtl/>
        </w:rPr>
        <w:t xml:space="preserve">بخش کوتاهی از کتاب است. جدا شده از نسخه هایی که پیشتر ذکرشان گذشت؛ خط: نسخ و نستعلیق، بی کا، بی تا، افتادگی: آغاز و انجام؛ ۶گی (۳۲ر-۳۷پ) [ف: ۲۰-۵۴۱] |*</w:t>
      </w:r>
    </w:p>
    <w:p>
      <w:pPr>
        <w:pStyle w:val="Heading3"/>
      </w:pPr>
      <w:bookmarkStart w:id="1828" w:name="_Toc1088"/>
      <w:r>
        <w:t>• پوزش نامه = داروی پوزش / کلام و اعتقادات / فارسی</w:t>
      </w:r>
      <w:bookmarkEnd w:id="1828"/>
    </w:p>
    <w:p>
      <w:pPr>
        <w:pStyle w:val="BookText"/>
      </w:pPr>
      <w:r>
        <w:rPr>
          <w:rFonts w:ascii="Times New Roman" w:hAnsi="Times New Roman" w:eastAsia="Times New Roman" w:cs="Times New Roman"/>
          <w:lang w:val="en-US" w:bidi="en-US"/>
          <w:color w:val="111111"/>
          <w:sz w:val="28"/>
          <w:szCs w:val="28"/>
          <w:rtl/>
        </w:rPr>
        <w:t xml:space="preserve">puzes-name = daru-ye puzes</w:t>
      </w:r>
    </w:p>
    <w:p>
      <w:pPr>
        <w:pStyle w:val="BookText"/>
      </w:pPr>
      <w:r>
        <w:rPr>
          <w:rFonts w:ascii="IRNazanin" w:hAnsi="IRNazanin" w:eastAsia="IRNazanin" w:cs="IRNazanin"/>
          <w:lang w:bidi="fa-IR"/>
          <w:color w:val="111111"/>
          <w:sz w:val="28"/>
          <w:szCs w:val="28"/>
          <w:rtl/>
        </w:rPr>
        <w:t xml:space="preserve">رضوی، حسن، ق۱۴ قمری</w:t>
      </w:r>
    </w:p>
    <w:p>
      <w:pPr>
        <w:pStyle w:val="BookText"/>
      </w:pPr>
      <w:r>
        <w:rPr>
          <w:rFonts w:ascii="Times New Roman" w:hAnsi="Times New Roman" w:eastAsia="Times New Roman" w:cs="Times New Roman"/>
          <w:lang w:val="en-US" w:bidi="en-US"/>
          <w:color w:val="111111"/>
          <w:sz w:val="28"/>
          <w:szCs w:val="28"/>
          <w:rtl/>
        </w:rPr>
        <w:t xml:space="preserve">razavī, hasan (- 20c)</w:t>
      </w:r>
    </w:p>
    <w:p>
      <w:pPr>
        <w:pStyle w:val="BookText"/>
      </w:pPr>
      <w:r>
        <w:rPr>
          <w:rFonts w:ascii="IRNazanin" w:hAnsi="IRNazanin" w:eastAsia="IRNazanin" w:cs="IRNazanin"/>
          <w:lang w:bidi="fa-IR"/>
          <w:color w:val="111111"/>
          <w:sz w:val="28"/>
          <w:szCs w:val="28"/>
          <w:rtl/>
        </w:rPr>
        <w:t xml:space="preserve">مؤلف که از عالمان هندی ساکن قم بوده در رساله حاضر اعتقادات و مسایل دینی را به زبان ساده بیان نموده است. او در این رساله از مشکلات مسلمانان و ضعف اعتقادات دینی گله می کند و رساله حاضر را در جبران آن ضعفها نگاشته و به همین دلیل نام آن را پوزش نامه نهاده است.</w:t>
      </w:r>
    </w:p>
    <w:p>
      <w:pPr>
        <w:pStyle w:val="BookText"/>
      </w:pPr>
      <w:r>
        <w:rPr>
          <w:rFonts w:ascii="IRNazanin" w:hAnsi="IRNazanin" w:eastAsia="IRNazanin" w:cs="IRNazanin"/>
          <w:lang w:bidi="fa-IR"/>
          <w:color w:val="111111"/>
          <w:sz w:val="28"/>
          <w:szCs w:val="28"/>
          <w:rtl/>
        </w:rPr>
        <w:t xml:space="preserve">قم، گلپایگانی؛ شماره نسخه: ۳۰۵۵- ۱۶/۶۵</w:t>
      </w:r>
    </w:p>
    <w:p>
      <w:pPr>
        <w:pStyle w:val="BookText"/>
      </w:pPr>
      <w:r>
        <w:rPr>
          <w:rFonts w:ascii="IRNazanin" w:hAnsi="IRNazanin" w:eastAsia="IRNazanin" w:cs="IRNazanin"/>
          <w:lang w:bidi="fa-IR"/>
          <w:color w:val="111111"/>
          <w:sz w:val="28"/>
          <w:szCs w:val="28"/>
          <w:rtl/>
        </w:rPr>
        <w:t xml:space="preserve">آغاز: بسمله. بار الها سپاس و ستایش تو را سزد که هر ممکن را از نیستی به هستی وهر هستی را به لباس رسایش آراستی و درود بی پایان ... و پیشوایان دوازده گانه؛ انجام: و ما از اشاره به آنها جهت اختصار خود داری نمودیم تا ملال خواطر خواننده نباشد و السلام على من اتبع الهدی.</w:t>
      </w:r>
    </w:p>
    <w:p>
      <w:pPr>
        <w:pStyle w:val="BookText"/>
      </w:pPr>
      <w:r>
        <w:rPr>
          <w:rFonts w:ascii="IRNazanin" w:hAnsi="IRNazanin" w:eastAsia="IRNazanin" w:cs="IRNazanin"/>
          <w:lang w:bidi="fa-IR"/>
          <w:color w:val="111111"/>
          <w:sz w:val="28"/>
          <w:szCs w:val="28"/>
          <w:rtl/>
        </w:rPr>
        <w:t xml:space="preserve">خط: نسخ و نستعلیق شکسته، كاتب = مؤلف، تا: قرن ۱۴؛ جلد: گالینگور سرخ (دفتر سیمی)، ۶۴ گ، ۱۹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۴-۱۷۸۴]</w:t>
      </w:r>
    </w:p>
    <w:p>
      <w:pPr>
        <w:pStyle w:val="Heading3"/>
      </w:pPr>
      <w:bookmarkStart w:id="1829" w:name="_Toc1089"/>
      <w:r>
        <w:t>•پوشیدن جامه / شعر / فارسی</w:t>
      </w:r>
      <w:bookmarkEnd w:id="1829"/>
    </w:p>
    <w:p>
      <w:pPr>
        <w:pStyle w:val="BookText"/>
      </w:pPr>
      <w:r>
        <w:rPr>
          <w:rFonts w:ascii="Times New Roman" w:hAnsi="Times New Roman" w:eastAsia="Times New Roman" w:cs="Times New Roman"/>
          <w:lang w:val="en-US" w:bidi="en-US"/>
          <w:color w:val="111111"/>
          <w:sz w:val="28"/>
          <w:szCs w:val="28"/>
          <w:rtl/>
        </w:rPr>
        <w:t xml:space="preserve">pūšīdan-e jāme</w:t>
      </w:r>
    </w:p>
    <w:p>
      <w:pPr>
        <w:pStyle w:val="BookText"/>
      </w:pPr>
      <w:r>
        <w:rPr>
          <w:rFonts w:ascii="IRNazanin" w:hAnsi="IRNazanin" w:eastAsia="IRNazanin" w:cs="IRNazanin"/>
          <w:lang w:bidi="fa-IR"/>
          <w:color w:val="111111"/>
          <w:sz w:val="28"/>
          <w:szCs w:val="28"/>
          <w:rtl/>
        </w:rPr>
        <w:t xml:space="preserve">تهران، دانشگاه؛ شماره نسخه: ۸۶۵۳/۳</w:t>
      </w:r>
    </w:p>
    <w:p>
      <w:pPr>
        <w:pStyle w:val="BookText"/>
      </w:pPr>
      <w:r>
        <w:rPr>
          <w:rFonts w:ascii="IRNazanin" w:hAnsi="IRNazanin" w:eastAsia="IRNazanin" w:cs="IRNazanin"/>
          <w:lang w:bidi="fa-IR"/>
          <w:color w:val="111111"/>
          <w:sz w:val="28"/>
          <w:szCs w:val="28"/>
          <w:rtl/>
        </w:rPr>
        <w:t xml:space="preserve">آغاز: به حکمت چون رقم کردم به جامه</w:t>
      </w:r>
      <w:r>
        <w:rPr>
          <w:rFonts w:ascii="IRNazanin" w:hAnsi="IRNazanin" w:eastAsia="IRNazanin" w:cs="IRNazanin"/>
          <w:lang w:bidi="fa-IR"/>
          <w:color w:val="111111"/>
          <w:sz w:val="28"/>
          <w:szCs w:val="28"/>
          <w:b w:val="1"/>
          <w:bCs w:val="1"/>
          <w:i w:val="1"/>
          <w:iCs w:val="1"/>
          <w:rtl/>
        </w:rPr>
        <w:t xml:space="preserve">نوشتم حکمتی از بهر جامه؛ انجام: که تا آن جامه نو در برت هست</w:t>
      </w:r>
      <w:r>
        <w:rPr>
          <w:rFonts w:ascii="IRNazanin" w:hAnsi="IRNazanin" w:eastAsia="IRNazanin" w:cs="IRNazanin"/>
          <w:lang w:bidi="fa-IR"/>
          <w:color w:val="111111"/>
          <w:sz w:val="28"/>
          <w:szCs w:val="28"/>
          <w:rtl/>
        </w:rPr>
        <w:t xml:space="preserve"> بباشی شاد و زیبایی دهد دست منظومه ای در ۱۱ بیت؛ خط: نستعلیق، بی کا، تا: سه شنبه ۱۰ شعبان ۱۲۹۵ق؛ جلد: مقوا، اص (۱۰۹پ)، قطع: ربعی اف: ۱۷-۱۸۷]</w:t>
      </w:r>
    </w:p>
    <w:p>
      <w:pPr>
        <w:pStyle w:val="Heading3"/>
      </w:pPr>
      <w:bookmarkStart w:id="1830" w:name="_Toc1090"/>
      <w:r>
        <w:t>•پوشیدن لباس مذهب / فقه / فارسی</w:t>
      </w:r>
      <w:bookmarkEnd w:id="1830"/>
    </w:p>
    <w:p>
      <w:pPr>
        <w:pStyle w:val="BookText"/>
      </w:pPr>
      <w:r>
        <w:rPr>
          <w:rFonts w:ascii="Times New Roman" w:hAnsi="Times New Roman" w:eastAsia="Times New Roman" w:cs="Times New Roman"/>
          <w:lang w:val="en-US" w:bidi="en-US"/>
          <w:color w:val="111111"/>
          <w:sz w:val="28"/>
          <w:szCs w:val="28"/>
          <w:rtl/>
        </w:rPr>
        <w:t xml:space="preserve">pūšīdan-e lebās-e mozzhab</w:t>
      </w:r>
    </w:p>
    <w:p>
      <w:pPr>
        <w:pStyle w:val="BookText"/>
      </w:pPr>
      <w:r>
        <w:rPr>
          <w:rFonts w:ascii="IRNazanin" w:hAnsi="IRNazanin" w:eastAsia="IRNazanin" w:cs="IRNazanin"/>
          <w:lang w:bidi="fa-IR"/>
          <w:color w:val="111111"/>
          <w:sz w:val="28"/>
          <w:szCs w:val="28"/>
          <w:rtl/>
        </w:rPr>
        <w:t xml:space="preserve">نوری تهرانی، محمد رضا بن محمد اسماعيل</w:t>
      </w:r>
    </w:p>
    <w:p>
      <w:pPr>
        <w:pStyle w:val="BookText"/>
      </w:pPr>
      <w:r>
        <w:rPr>
          <w:rFonts w:ascii="Times New Roman" w:hAnsi="Times New Roman" w:eastAsia="Times New Roman" w:cs="Times New Roman"/>
          <w:lang w:val="en-US" w:bidi="en-US"/>
          <w:color w:val="111111"/>
          <w:sz w:val="28"/>
          <w:szCs w:val="28"/>
          <w:rtl/>
        </w:rPr>
        <w:t xml:space="preserve">nūrī tehrānī, mohammad rezā ben mohammad esmāʻīl</w:t>
      </w:r>
    </w:p>
    <w:p>
      <w:pPr>
        <w:pStyle w:val="BookText"/>
      </w:pPr>
      <w:r>
        <w:rPr>
          <w:rFonts w:ascii="IRNazanin" w:hAnsi="IRNazanin" w:eastAsia="IRNazanin" w:cs="IRNazanin"/>
          <w:lang w:bidi="fa-IR"/>
          <w:color w:val="111111"/>
          <w:sz w:val="28"/>
          <w:szCs w:val="28"/>
          <w:rtl/>
        </w:rPr>
        <w:t xml:space="preserve">مشهد؛ رضوی؛ شماره نسخه: ۲۴۸۵۵</w:t>
      </w:r>
    </w:p>
    <w:p>
      <w:pPr>
        <w:pStyle w:val="BookText"/>
      </w:pPr>
      <w:r>
        <w:rPr>
          <w:rFonts w:ascii="IRNazanin" w:hAnsi="IRNazanin" w:eastAsia="IRNazanin" w:cs="IRNazanin"/>
          <w:lang w:bidi="fa-IR"/>
          <w:color w:val="111111"/>
          <w:sz w:val="28"/>
          <w:szCs w:val="28"/>
          <w:rtl/>
        </w:rPr>
        <w:t xml:space="preserve">آغاز: بسمله. الحمدلله الذي تذهب الممکنات بتذهيب الوجود؛ انجام: و السلام علی من اتبع الهدی. تمام شد. کامل؛ خط: نستعلیق خفی، بی کا، بی تا، کتابخانه: یا حفیظ کتابخانه ناصریه لکهنو ... قسم دوم كتب وقف کرده علامه حامد حسین صاحب کاغذ: نخودی فرنگی، جلد: مقوا، ۱۷ سطر (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 قطع: رقعی،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سم [رایانه]</w:t>
      </w:r>
    </w:p>
    <w:p>
      <w:pPr>
        <w:pStyle w:val="Heading3"/>
      </w:pPr>
      <w:bookmarkStart w:id="1831" w:name="_Toc1091"/>
      <w:r>
        <w:t>• پول، ارز و اعتبارات / اقتصاد / فارسی</w:t>
      </w:r>
      <w:bookmarkEnd w:id="1831"/>
    </w:p>
    <w:p>
      <w:pPr>
        <w:pStyle w:val="BookText"/>
      </w:pPr>
      <w:r>
        <w:rPr>
          <w:rFonts w:ascii="Times New Roman" w:hAnsi="Times New Roman" w:eastAsia="Times New Roman" w:cs="Times New Roman"/>
          <w:lang w:val="en-US" w:bidi="en-US"/>
          <w:color w:val="111111"/>
          <w:sz w:val="28"/>
          <w:szCs w:val="28"/>
          <w:rtl/>
        </w:rPr>
        <w:t xml:space="preserve">pūl, arz va e'tebārāt</w:t>
      </w:r>
    </w:p>
    <w:p>
      <w:pPr>
        <w:pStyle w:val="BookText"/>
      </w:pPr>
      <w:r>
        <w:rPr>
          <w:rFonts w:ascii="IRNazanin" w:hAnsi="IRNazanin" w:eastAsia="IRNazanin" w:cs="IRNazanin"/>
          <w:lang w:bidi="fa-IR"/>
          <w:color w:val="111111"/>
          <w:sz w:val="28"/>
          <w:szCs w:val="28"/>
          <w:rtl/>
        </w:rPr>
        <w:t xml:space="preserve">داد بخش، محمد، ق ۱۴ قمری</w:t>
      </w:r>
    </w:p>
    <w:p>
      <w:pPr>
        <w:pStyle w:val="BookText"/>
      </w:pPr>
      <w:r>
        <w:rPr>
          <w:rFonts w:ascii="Times New Roman" w:hAnsi="Times New Roman" w:eastAsia="Times New Roman" w:cs="Times New Roman"/>
          <w:lang w:val="en-US" w:bidi="en-US"/>
          <w:color w:val="111111"/>
          <w:sz w:val="28"/>
          <w:szCs w:val="28"/>
          <w:rtl/>
        </w:rPr>
        <w:t xml:space="preserve">dādbaxš, mohammad (- 20c)</w:t>
      </w:r>
    </w:p>
    <w:p>
      <w:pPr>
        <w:pStyle w:val="BookText"/>
      </w:pPr>
      <w:r>
        <w:rPr>
          <w:rFonts w:ascii="IRNazanin" w:hAnsi="IRNazanin" w:eastAsia="IRNazanin" w:cs="IRNazanin"/>
          <w:lang w:bidi="fa-IR"/>
          <w:color w:val="111111"/>
          <w:sz w:val="28"/>
          <w:szCs w:val="28"/>
          <w:rtl/>
        </w:rPr>
        <w:t xml:space="preserve">تاریخ تأليف: ۱۳۴۸ق در این کتاب مباحث مختلفی در علم اقتصاد با استفاده از درس دکتر مشكوة مورد بررسی قرار گرفته است، مطالب بدین شرح است: ۱. پول و ارز و اعتبار؛ ۲. قیمت؛ ۳. حسابداری؛ ۴. نظامها و بنیانهای اقتصادی؛ ۵. اقتصاد خاور میانه با ۶. اقتصاد اجتماعی؛ 7. حقوق جزای عمومی.</w:t>
      </w:r>
    </w:p>
    <w:p>
      <w:pPr>
        <w:pStyle w:val="BookText"/>
      </w:pPr>
      <w:r>
        <w:rPr>
          <w:rFonts w:ascii="IRNazanin" w:hAnsi="IRNazanin" w:eastAsia="IRNazanin" w:cs="IRNazanin"/>
          <w:lang w:bidi="fa-IR"/>
          <w:color w:val="111111"/>
          <w:sz w:val="28"/>
          <w:szCs w:val="28"/>
          <w:rtl/>
        </w:rPr>
        <w:t xml:space="preserve">[دنا ۶۴۷/۲ ]</w:t>
      </w:r>
    </w:p>
    <w:p>
      <w:pPr>
        <w:pStyle w:val="BookText"/>
      </w:pPr>
      <w:r>
        <w:rPr>
          <w:rFonts w:ascii="IRNazanin" w:hAnsi="IRNazanin" w:eastAsia="IRNazanin" w:cs="IRNazanin"/>
          <w:lang w:bidi="fa-IR"/>
          <w:color w:val="111111"/>
          <w:sz w:val="28"/>
          <w:szCs w:val="28"/>
          <w:rtl/>
        </w:rPr>
        <w:t xml:space="preserve">خوانسار؛ فاضل؛ شماره نسخه: ۴۳۳</w:t>
      </w:r>
    </w:p>
    <w:p>
      <w:pPr>
        <w:pStyle w:val="BookText"/>
      </w:pPr>
      <w:r>
        <w:rPr>
          <w:rFonts w:ascii="IRNazanin" w:hAnsi="IRNazanin" w:eastAsia="IRNazanin" w:cs="IRNazanin"/>
          <w:lang w:bidi="fa-IR"/>
          <w:color w:val="111111"/>
          <w:sz w:val="28"/>
          <w:szCs w:val="28"/>
          <w:rtl/>
        </w:rPr>
        <w:t xml:space="preserve">آغاز: پول یک نهاد تاریخی است که نقش اساسی آن همیشه یکی بوده و ليكن با گذشت زمان تحت اشکال گوناگون نمایان شده است ...</w:t>
      </w:r>
    </w:p>
    <w:p>
      <w:pPr>
        <w:pStyle w:val="BookText"/>
      </w:pPr>
      <w:r>
        <w:rPr>
          <w:rFonts w:ascii="IRNazanin" w:hAnsi="IRNazanin" w:eastAsia="IRNazanin" w:cs="IRNazanin"/>
          <w:lang w:bidi="fa-IR"/>
          <w:color w:val="111111"/>
          <w:sz w:val="28"/>
          <w:szCs w:val="28"/>
          <w:rtl/>
        </w:rPr>
        <w:t xml:space="preserve">خط: نستعلیق، کاتب = مؤلف، بی تا، دارای جداول و نقشه های مختلف؛ کاغذ: خط دار معمولی، جلد: مقوایی، ۱۵۶گ، مختلف السطر،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۲-۱۰۰]</w:t>
      </w:r>
    </w:p>
    <w:p>
      <w:pPr>
        <w:pStyle w:val="BookText"/>
      </w:pPr>
      <w:r>
        <w:rPr>
          <w:rFonts w:ascii="IRNazanin" w:hAnsi="IRNazanin" w:eastAsia="IRNazanin" w:cs="IRNazanin"/>
          <w:lang w:bidi="fa-IR"/>
          <w:color w:val="111111"/>
          <w:sz w:val="28"/>
          <w:szCs w:val="28"/>
          <w:rtl/>
        </w:rPr>
        <w:t xml:space="preserve">قم: مرکز احیاء؛ شماره نسخه: ۱۱۵۴</w:t>
      </w:r>
    </w:p>
    <w:p>
      <w:pPr>
        <w:pStyle w:val="BookText"/>
      </w:pPr>
      <w:r>
        <w:rPr>
          <w:rFonts w:ascii="Amiri" w:hAnsi="Amiri" w:eastAsia="Amiri" w:cs="Amiri"/>
          <w:lang w:bidi="ar-SA"/>
          <w:color w:val="111111"/>
          <w:sz w:val="28"/>
          <w:szCs w:val="28"/>
          <w:rtl/>
        </w:rPr>
        <w:t xml:space="preserve">نسخه اصل: همان نسخه بالا [عكسي ف: ۳- ۴۳۹)</w:t>
      </w:r>
    </w:p>
    <w:p>
      <w:pPr>
        <w:pStyle w:val="BookText"/>
      </w:pPr>
      <w:r>
        <w:rPr>
          <w:rFonts w:ascii="IRNazanin" w:hAnsi="IRNazanin" w:eastAsia="IRNazanin" w:cs="IRNazanin"/>
          <w:lang w:bidi="fa-IR"/>
          <w:color w:val="111111"/>
          <w:sz w:val="28"/>
          <w:szCs w:val="28"/>
          <w:rtl/>
        </w:rPr>
        <w:t xml:space="preserve">← پولتیک ایران ← پولتیکهای دولتی</w:t>
      </w:r>
    </w:p>
    <w:p>
      <w:pPr>
        <w:pStyle w:val="Heading3"/>
      </w:pPr>
      <w:bookmarkStart w:id="1832" w:name="_Toc1092"/>
      <w:r>
        <w:t>• پولتیک ایران در عراقین / حكومت و سیاست / فارسی</w:t>
      </w:r>
      <w:bookmarkEnd w:id="1832"/>
    </w:p>
    <w:p>
      <w:pPr>
        <w:pStyle w:val="BookText"/>
      </w:pPr>
      <w:r>
        <w:rPr>
          <w:rFonts w:ascii="Times New Roman" w:hAnsi="Times New Roman" w:eastAsia="Times New Roman" w:cs="Times New Roman"/>
          <w:lang w:val="en-US" w:bidi="en-US"/>
          <w:color w:val="111111"/>
          <w:sz w:val="28"/>
          <w:szCs w:val="28"/>
          <w:rtl/>
        </w:rPr>
        <w:t xml:space="preserve">poletīk-e īrān dar ‘erāqayn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27" w:name="pg20363_209596"/>
    <w:bookmarkEnd w:id="327"/>
    <w:p>
      <w:pPr>
        <w:pStyle w:val="BookText"/>
      </w:pPr>
      <w:r>
        <w:rPr>
          <w:rFonts w:ascii="IRNazanin" w:hAnsi="IRNazanin" w:eastAsia="IRNazanin" w:cs="IRNazanin"/>
          <w:lang w:bidi="fa-IR"/>
          <w:color w:val="111111"/>
          <w:sz w:val="28"/>
          <w:szCs w:val="28"/>
          <w:rtl/>
        </w:rPr>
        <w:t xml:space="preserve">اعتماد السلطنه، محمد حسن بن على، ۱۲۵۹-۱۳۱۳ قمری</w:t>
      </w:r>
    </w:p>
    <w:p>
      <w:pPr>
        <w:pStyle w:val="BookText"/>
      </w:pPr>
      <w:r>
        <w:rPr>
          <w:rFonts w:ascii="Times New Roman" w:hAnsi="Times New Roman" w:eastAsia="Times New Roman" w:cs="Times New Roman"/>
          <w:lang w:val="en-US" w:bidi="en-US"/>
          <w:color w:val="111111"/>
          <w:sz w:val="28"/>
          <w:szCs w:val="28"/>
          <w:rtl/>
        </w:rPr>
        <w:t xml:space="preserve">e'temād-os-saltane, mohammad hasan ebn-e “alī (1843–1896)</w:t>
      </w:r>
    </w:p>
    <w:p>
      <w:pPr>
        <w:pStyle w:val="BookText"/>
      </w:pPr>
      <w:r>
        <w:rPr>
          <w:rFonts w:ascii="IRNazanin" w:hAnsi="IRNazanin" w:eastAsia="IRNazanin" w:cs="IRNazanin"/>
          <w:lang w:bidi="fa-IR"/>
          <w:color w:val="111111"/>
          <w:sz w:val="28"/>
          <w:szCs w:val="28"/>
          <w:rtl/>
        </w:rPr>
        <w:t xml:space="preserve">تاریخ تأليف: محرم ۱۳۰۹ق شامل مطالب: لزوم انتظامات مقتضيه در اعطای تذکره مرور به مسافرین در نقاط سرحدیه عرایض و اخطارات متنوعه راجعه به وجوب اعطای نظم و قراری به جهة حجاج و زوار انتظامات بحریه و نهریه در خلیج فارس و توابع.</w:t>
      </w:r>
    </w:p>
    <w:p>
      <w:pPr>
        <w:pStyle w:val="BookText"/>
      </w:pPr>
      <w:r>
        <w:rPr>
          <w:rFonts w:ascii="IRNazanin" w:hAnsi="IRNazanin" w:eastAsia="IRNazanin" w:cs="IRNazanin"/>
          <w:lang w:bidi="fa-IR"/>
          <w:color w:val="111111"/>
          <w:sz w:val="28"/>
          <w:szCs w:val="28"/>
          <w:rtl/>
        </w:rPr>
        <w:t xml:space="preserve">[دنا ۶۴۷/۲ ؛ فهرستواره منزوی ۳۵۵/۶ ]</w:t>
      </w:r>
    </w:p>
    <w:p>
      <w:pPr>
        <w:pStyle w:val="BookText"/>
      </w:pPr>
      <w:r>
        <w:rPr>
          <w:rFonts w:ascii="IRNazanin" w:hAnsi="IRNazanin" w:eastAsia="IRNazanin" w:cs="IRNazanin"/>
          <w:lang w:bidi="fa-IR"/>
          <w:color w:val="111111"/>
          <w:sz w:val="28"/>
          <w:szCs w:val="28"/>
          <w:rtl/>
        </w:rPr>
        <w:t xml:space="preserve">تهران: وزارت امور خارجه؛ شماره نسخه: ۶۲۸۹</w:t>
      </w:r>
    </w:p>
    <w:p>
      <w:pPr>
        <w:pStyle w:val="BookText"/>
      </w:pPr>
      <w:r>
        <w:rPr>
          <w:rFonts w:ascii="IRNazanin" w:hAnsi="IRNazanin" w:eastAsia="IRNazanin" w:cs="IRNazanin"/>
          <w:lang w:bidi="fa-IR"/>
          <w:color w:val="111111"/>
          <w:sz w:val="28"/>
          <w:szCs w:val="28"/>
          <w:rtl/>
        </w:rPr>
        <w:t xml:space="preserve">آغاز: یکی از اعمال مفیده و اجراآت نافعه برای دولت علیه ایران التزام یک مسلک و پولیتیک مخصوص است که در اقطار حجاز و عراق عرب مجری گردد، انجام و این حسن حال و سعادات جاویدی را حائز و دارا شدند. فدوی محمد حسن خط: شکسته نستعلیق خوش، بی کا، بی تا؛ جلد: مخمل سبز، ۱۴گ، قطع: خشتی آنشریه: ۲-۲۵۹]</w:t>
      </w:r>
    </w:p>
    <w:p>
      <w:pPr>
        <w:pStyle w:val="Heading3"/>
      </w:pPr>
      <w:bookmarkStart w:id="1833" w:name="_Toc1093"/>
      <w:r>
        <w:t>• پولتیک خسروان و فرماندهان و صنایع آنان در الشكرداری و کشور گیری / فنون نظامی، حکومت و سیاست / فارسی</w:t>
      </w:r>
      <w:bookmarkEnd w:id="1833"/>
    </w:p>
    <w:p>
      <w:pPr>
        <w:pStyle w:val="BookText"/>
      </w:pPr>
      <w:r>
        <w:rPr>
          <w:rFonts w:ascii="Times New Roman" w:hAnsi="Times New Roman" w:eastAsia="Times New Roman" w:cs="Times New Roman"/>
          <w:lang w:val="en-US" w:bidi="en-US"/>
          <w:color w:val="111111"/>
          <w:sz w:val="28"/>
          <w:szCs w:val="28"/>
          <w:rtl/>
        </w:rPr>
        <w:t xml:space="preserve">poletīk-e xosravān va farmāndehān va sanāye'-e ānān dar laškardārī va kešvar-gīrī</w:t>
      </w:r>
    </w:p>
    <w:p>
      <w:pPr>
        <w:pStyle w:val="BookText"/>
      </w:pPr>
      <w:r>
        <w:rPr>
          <w:rFonts w:ascii="IRNazanin" w:hAnsi="IRNazanin" w:eastAsia="IRNazanin" w:cs="IRNazanin"/>
          <w:lang w:bidi="fa-IR"/>
          <w:color w:val="111111"/>
          <w:sz w:val="28"/>
          <w:szCs w:val="28"/>
          <w:rtl/>
        </w:rPr>
        <w:t xml:space="preserve">خلج، محمود، ق۱۳ قمری</w:t>
      </w:r>
    </w:p>
    <w:p>
      <w:pPr>
        <w:pStyle w:val="BookText"/>
      </w:pPr>
      <w:r>
        <w:rPr>
          <w:rFonts w:ascii="Times New Roman" w:hAnsi="Times New Roman" w:eastAsia="Times New Roman" w:cs="Times New Roman"/>
          <w:lang w:val="en-US" w:bidi="en-US"/>
          <w:color w:val="111111"/>
          <w:sz w:val="28"/>
          <w:szCs w:val="28"/>
          <w:rtl/>
        </w:rPr>
        <w:t xml:space="preserve">xalaj, mahmūd (- 19c)</w:t>
      </w:r>
    </w:p>
    <w:p>
      <w:pPr>
        <w:pStyle w:val="BookText"/>
      </w:pPr>
      <w:r>
        <w:rPr>
          <w:rFonts w:ascii="IRNazanin" w:hAnsi="IRNazanin" w:eastAsia="IRNazanin" w:cs="IRNazanin"/>
          <w:lang w:bidi="fa-IR"/>
          <w:color w:val="111111"/>
          <w:sz w:val="28"/>
          <w:szCs w:val="28"/>
          <w:rtl/>
        </w:rPr>
        <w:t xml:space="preserve">اهداء به: ناصرالدین شاه قاجار تاريخ تأليف: ۱۲۸۷ق نویسنده که از محصلین ایرانی در فرانسه بوده با مساعدت وزیر مختار ایران از امپراطور فرانسه اجازه تحصیل در رشته نظام می گیرد و شش سال در این قسمت تحصیل می کند. او چون به ایران می آید این کتاب را که حاوی آداب مملکت داری و حفظ قشون و شیوه فرمانروایان اروپایی، به خصوص شیوه لشگر کشی ناپلئون است به رشته تحریر در می آورد.</w:t>
      </w:r>
    </w:p>
    <w:p>
      <w:pPr>
        <w:pStyle w:val="BookText"/>
      </w:pPr>
      <w:r>
        <w:rPr>
          <w:rFonts w:ascii="IRNazanin" w:hAnsi="IRNazanin" w:eastAsia="IRNazanin" w:cs="IRNazanin"/>
          <w:lang w:bidi="fa-IR"/>
          <w:color w:val="111111"/>
          <w:sz w:val="28"/>
          <w:szCs w:val="28"/>
          <w:rtl/>
        </w:rPr>
        <w:t xml:space="preserve">تهران؛ ملی؛ شماره نسخه: ۶۳۶</w:t>
      </w:r>
    </w:p>
    <w:p>
      <w:pPr>
        <w:pStyle w:val="BookText"/>
      </w:pPr>
      <w:r>
        <w:rPr>
          <w:rFonts w:ascii="IRNazanin" w:hAnsi="IRNazanin" w:eastAsia="IRNazanin" w:cs="IRNazanin"/>
          <w:lang w:bidi="fa-IR"/>
          <w:color w:val="111111"/>
          <w:sz w:val="28"/>
          <w:szCs w:val="28"/>
          <w:rtl/>
        </w:rPr>
        <w:t xml:space="preserve">آغاز: این صنعت بر دو قسمت منقسم است که در آن دو قسمت كتب متعدد نوشته شده است؛ انجام: با پولیتیک و نیرنگهای سایر دول بتفصيل بعرض خواهد رساند کتاب پنجم پولتیک خسروان و صفت فرماندهان كل. خط: شکسته نستعلیق، کاتب = مؤلف، تا:۱۲۸۷ق، جا: تهران؛ کاغذ: فرنگی آبی، جلد: تیماج قرمز یک لا، ۴۸گ، ۱۳ سطر(۱۱/۵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۱۶/۵)،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۲-۱۴۴]</w:t>
      </w:r>
    </w:p>
    <w:p>
      <w:pPr>
        <w:pStyle w:val="Heading3"/>
      </w:pPr>
      <w:bookmarkStart w:id="1834" w:name="_Toc1094"/>
      <w:r>
        <w:t>•پولتیک روس در ایران/ حکومت و سیاست / فارسی</w:t>
      </w:r>
      <w:bookmarkEnd w:id="1834"/>
    </w:p>
    <w:p>
      <w:pPr>
        <w:pStyle w:val="BookText"/>
      </w:pPr>
      <w:r>
        <w:rPr>
          <w:rFonts w:ascii="Times New Roman" w:hAnsi="Times New Roman" w:eastAsia="Times New Roman" w:cs="Times New Roman"/>
          <w:lang w:val="en-US" w:bidi="en-US"/>
          <w:color w:val="111111"/>
          <w:sz w:val="28"/>
          <w:szCs w:val="28"/>
          <w:rtl/>
        </w:rPr>
        <w:t xml:space="preserve">poletīk-e rūs dar īrān</w:t>
      </w:r>
    </w:p>
    <w:p>
      <w:pPr>
        <w:pStyle w:val="BookText"/>
      </w:pPr>
      <w:r>
        <w:rPr>
          <w:rFonts w:ascii="IRNazanin" w:hAnsi="IRNazanin" w:eastAsia="IRNazanin" w:cs="IRNazanin"/>
          <w:lang w:bidi="fa-IR"/>
          <w:color w:val="111111"/>
          <w:sz w:val="28"/>
          <w:szCs w:val="28"/>
          <w:rtl/>
        </w:rPr>
        <w:t xml:space="preserve">ملكم، ۱۲۴۹-۱۳۲۶ قمری</w:t>
      </w:r>
    </w:p>
    <w:p>
      <w:pPr>
        <w:pStyle w:val="BookText"/>
      </w:pPr>
      <w:r>
        <w:rPr>
          <w:rFonts w:ascii="Times New Roman" w:hAnsi="Times New Roman" w:eastAsia="Times New Roman" w:cs="Times New Roman"/>
          <w:lang w:val="en-US" w:bidi="en-US"/>
          <w:color w:val="111111"/>
          <w:sz w:val="28"/>
          <w:szCs w:val="28"/>
          <w:rtl/>
        </w:rPr>
        <w:t xml:space="preserve">malkam (1834-1908)</w:t>
      </w:r>
    </w:p>
    <w:p>
      <w:pPr>
        <w:pStyle w:val="BookText"/>
      </w:pPr>
      <w:r>
        <w:rPr>
          <w:rFonts w:ascii="IRNazanin" w:hAnsi="IRNazanin" w:eastAsia="IRNazanin" w:cs="IRNazanin"/>
          <w:lang w:bidi="fa-IR"/>
          <w:color w:val="111111"/>
          <w:sz w:val="28"/>
          <w:szCs w:val="28"/>
          <w:rtl/>
        </w:rPr>
        <w:t xml:space="preserve">گفتاری است در مورد رقابت های دول روس تزاری و انگلیس در ایران و هند.</w:t>
      </w:r>
    </w:p>
    <w:p>
      <w:pPr>
        <w:pStyle w:val="BookText"/>
      </w:pPr>
      <w:r>
        <w:rPr>
          <w:rFonts w:ascii="IRNazanin" w:hAnsi="IRNazanin" w:eastAsia="IRNazanin" w:cs="IRNazanin"/>
          <w:lang w:bidi="fa-IR"/>
          <w:color w:val="111111"/>
          <w:sz w:val="28"/>
          <w:szCs w:val="28"/>
          <w:rtl/>
        </w:rPr>
        <w:t xml:space="preserve">[دنا ۶۴۷/۲ ؛ فهرستواره منزوی ۳۵۵/۶ ]</w:t>
      </w:r>
    </w:p>
    <w:p>
      <w:pPr>
        <w:pStyle w:val="BookText"/>
      </w:pPr>
      <w:r>
        <w:rPr>
          <w:rFonts w:ascii="IRNazanin" w:hAnsi="IRNazanin" w:eastAsia="IRNazanin" w:cs="IRNazanin"/>
          <w:lang w:bidi="fa-IR"/>
          <w:color w:val="111111"/>
          <w:sz w:val="28"/>
          <w:szCs w:val="28"/>
          <w:rtl/>
        </w:rPr>
        <w:t xml:space="preserve">تهران؛ مجلس؛ شماره نسخه: ۵۱۵۴/۱۵</w:t>
      </w:r>
    </w:p>
    <w:p>
      <w:pPr>
        <w:pStyle w:val="BookText"/>
      </w:pPr>
      <w:r>
        <w:rPr>
          <w:rFonts w:ascii="IRNazanin" w:hAnsi="IRNazanin" w:eastAsia="IRNazanin" w:cs="IRNazanin"/>
          <w:lang w:bidi="fa-IR"/>
          <w:color w:val="111111"/>
          <w:sz w:val="28"/>
          <w:szCs w:val="28"/>
          <w:rtl/>
        </w:rPr>
        <w:t xml:space="preserve">آغاز: در مذاکره و تحقیق پولتیک روس و انگلیس در ایران بیکی از مسائل لطیفه بین المللی نزدیک میشویم؛ انجام: و قدرتی داده باشد بر اینکه بتوانند کوشش قوی دلیرانه برای رفع ظلم و تحصيل حریت و آزادی بنمایند خط شکسته نستعلیق، بی کا، بی تا ۷گ (۱۷۳-۱۷۹پ) [ف: ۲۲۹-۱۵ ]</w:t>
      </w:r>
    </w:p>
    <w:p>
      <w:pPr>
        <w:pStyle w:val="Heading3"/>
      </w:pPr>
      <w:bookmarkStart w:id="1835" w:name="_Toc1095"/>
      <w:r>
        <w:t>• پولتیک روس و انگلیس / حكومت و سیاست / فارسی</w:t>
      </w:r>
      <w:bookmarkEnd w:id="1835"/>
    </w:p>
    <w:p>
      <w:pPr>
        <w:pStyle w:val="BookText"/>
      </w:pPr>
      <w:r>
        <w:rPr>
          <w:rFonts w:ascii="Times New Roman" w:hAnsi="Times New Roman" w:eastAsia="Times New Roman" w:cs="Times New Roman"/>
          <w:lang w:val="en-US" w:bidi="en-US"/>
          <w:color w:val="111111"/>
          <w:sz w:val="28"/>
          <w:szCs w:val="28"/>
          <w:rtl/>
        </w:rPr>
        <w:t xml:space="preserve">poletīk-e rūs va engelīs</w:t>
      </w:r>
    </w:p>
    <w:p>
      <w:pPr>
        <w:pStyle w:val="BookText"/>
      </w:pPr>
      <w:r>
        <w:rPr>
          <w:rFonts w:ascii="IRNazanin" w:hAnsi="IRNazanin" w:eastAsia="IRNazanin" w:cs="IRNazanin"/>
          <w:lang w:bidi="fa-IR"/>
          <w:color w:val="111111"/>
          <w:sz w:val="28"/>
          <w:szCs w:val="28"/>
          <w:rtl/>
        </w:rPr>
        <w:t xml:space="preserve">ملكم، ۱۲۴۹-۱۳۲۶ قمری</w:t>
      </w:r>
    </w:p>
    <w:p>
      <w:pPr>
        <w:pStyle w:val="BookText"/>
      </w:pPr>
      <w:r>
        <w:rPr>
          <w:rFonts w:ascii="Times New Roman" w:hAnsi="Times New Roman" w:eastAsia="Times New Roman" w:cs="Times New Roman"/>
          <w:lang w:val="en-US" w:bidi="en-US"/>
          <w:color w:val="111111"/>
          <w:sz w:val="28"/>
          <w:szCs w:val="28"/>
          <w:rtl/>
        </w:rPr>
        <w:t xml:space="preserve">malkam (1834-1908)</w:t>
      </w:r>
    </w:p>
    <w:p>
      <w:pPr>
        <w:pStyle w:val="BookText"/>
      </w:pPr>
      <w:r>
        <w:rPr>
          <w:rFonts w:ascii="IRNazanin" w:hAnsi="IRNazanin" w:eastAsia="IRNazanin" w:cs="IRNazanin"/>
          <w:lang w:bidi="fa-IR"/>
          <w:color w:val="111111"/>
          <w:sz w:val="28"/>
          <w:szCs w:val="28"/>
          <w:rtl/>
        </w:rPr>
        <w:t xml:space="preserve">[نسخه های منزوی ۱۵۵۵/۲ ]</w:t>
      </w:r>
    </w:p>
    <w:p>
      <w:pPr>
        <w:pStyle w:val="BookText"/>
      </w:pPr>
      <w:r>
        <w:rPr>
          <w:rFonts w:ascii="IRNazanin" w:hAnsi="IRNazanin" w:eastAsia="IRNazanin" w:cs="IRNazanin"/>
          <w:lang w:bidi="fa-IR"/>
          <w:color w:val="111111"/>
          <w:sz w:val="28"/>
          <w:szCs w:val="28"/>
          <w:rtl/>
        </w:rPr>
        <w:t xml:space="preserve">تهران؛ مجلس؛ شماره نسخه: ۱۳۶۰۴/۶</w:t>
      </w:r>
    </w:p>
    <w:p>
      <w:pPr>
        <w:pStyle w:val="BookText"/>
      </w:pPr>
      <w:r>
        <w:rPr>
          <w:rFonts w:ascii="IRNazanin" w:hAnsi="IRNazanin" w:eastAsia="IRNazanin" w:cs="IRNazanin"/>
          <w:lang w:bidi="fa-IR"/>
          <w:color w:val="111111"/>
          <w:sz w:val="28"/>
          <w:szCs w:val="28"/>
          <w:rtl/>
        </w:rPr>
        <w:t xml:space="preserve">خط شکسته نستعلیق، کا: ابوالقاسم، تا: شوال ۱۳۰۶ق؛ جلد: تیماج قهوه ای مجدول</w:t>
      </w:r>
    </w:p>
    <w:p>
      <w:pPr>
        <w:pStyle w:val="BookText"/>
      </w:pPr>
      <w:r>
        <w:rPr>
          <w:rFonts w:ascii="IRNazanin" w:hAnsi="IRNazanin" w:eastAsia="IRNazanin" w:cs="IRNazanin"/>
          <w:lang w:bidi="fa-IR"/>
          <w:color w:val="111111"/>
          <w:sz w:val="28"/>
          <w:szCs w:val="28"/>
          <w:rtl/>
        </w:rPr>
        <w:t xml:space="preserve">گرهی، ۳گ (۹۳ر-۹۵پ)، ۱۵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۳۷-۱۱۹ ]</w:t>
      </w:r>
    </w:p>
    <w:p>
      <w:pPr>
        <w:pStyle w:val="Heading3"/>
      </w:pPr>
      <w:bookmarkStart w:id="1836" w:name="_Toc1096"/>
      <w:r>
        <w:t>•پولتیکهای دولتی / حکومت و سیاست / فارسی</w:t>
      </w:r>
      <w:bookmarkEnd w:id="1836"/>
    </w:p>
    <w:p>
      <w:pPr>
        <w:pStyle w:val="BookText"/>
      </w:pPr>
      <w:r>
        <w:rPr>
          <w:rFonts w:ascii="Times New Roman" w:hAnsi="Times New Roman" w:eastAsia="Times New Roman" w:cs="Times New Roman"/>
          <w:lang w:val="en-US" w:bidi="en-US"/>
          <w:color w:val="111111"/>
          <w:sz w:val="28"/>
          <w:szCs w:val="28"/>
          <w:rtl/>
        </w:rPr>
        <w:t xml:space="preserve">poletīk-hā-ye dowlatī</w:t>
      </w:r>
    </w:p>
    <w:p>
      <w:pPr>
        <w:pStyle w:val="BookText"/>
      </w:pPr>
      <w:r>
        <w:rPr>
          <w:rFonts w:ascii="IRNazanin" w:hAnsi="IRNazanin" w:eastAsia="IRNazanin" w:cs="IRNazanin"/>
          <w:lang w:bidi="fa-IR"/>
          <w:color w:val="111111"/>
          <w:sz w:val="28"/>
          <w:szCs w:val="28"/>
          <w:rtl/>
        </w:rPr>
        <w:t xml:space="preserve">ملكم، ۱۲۴۹-۱۳۲۶ قمری</w:t>
      </w:r>
    </w:p>
    <w:p>
      <w:pPr>
        <w:pStyle w:val="BookText"/>
      </w:pPr>
      <w:r>
        <w:rPr>
          <w:rFonts w:ascii="Times New Roman" w:hAnsi="Times New Roman" w:eastAsia="Times New Roman" w:cs="Times New Roman"/>
          <w:lang w:val="en-US" w:bidi="en-US"/>
          <w:color w:val="111111"/>
          <w:sz w:val="28"/>
          <w:szCs w:val="28"/>
          <w:rtl/>
        </w:rPr>
        <w:t xml:space="preserve">malkam (1834-1908)</w:t>
      </w:r>
    </w:p>
    <w:p>
      <w:pPr>
        <w:pStyle w:val="BookText"/>
      </w:pPr>
      <w:r>
        <w:rPr>
          <w:rFonts w:ascii="IRNazanin" w:hAnsi="IRNazanin" w:eastAsia="IRNazanin" w:cs="IRNazanin"/>
          <w:lang w:bidi="fa-IR"/>
          <w:color w:val="111111"/>
          <w:sz w:val="28"/>
          <w:szCs w:val="28"/>
          <w:rtl/>
        </w:rPr>
        <w:t xml:space="preserve">از رسائل مؤثر و معروف میرزا ملکم خان ناظم الدوله ارمنی، از رجال مشهور عصر ناصری است.</w:t>
      </w:r>
    </w:p>
    <w:p>
      <w:pPr>
        <w:pStyle w:val="BookText"/>
      </w:pPr>
      <w:r>
        <w:rPr>
          <w:rFonts w:ascii="IRNazanin" w:hAnsi="IRNazanin" w:eastAsia="IRNazanin" w:cs="IRNazanin"/>
          <w:lang w:bidi="fa-IR"/>
          <w:color w:val="111111"/>
          <w:sz w:val="28"/>
          <w:szCs w:val="28"/>
          <w:rtl/>
        </w:rPr>
        <w:t xml:space="preserve">آغاز: پولتیک ایران چیست؟ کشتی دولت کجا می رود؟ در این دریای حوادث از برای ما خطری هست یا نیست؟ اگر هست تدارک ما چیست؟</w:t>
      </w:r>
    </w:p>
    <w:p>
      <w:pPr>
        <w:pStyle w:val="BookText"/>
      </w:pPr>
      <w:r>
        <w:rPr>
          <w:rFonts w:ascii="IRNazanin" w:hAnsi="IRNazanin" w:eastAsia="IRNazanin" w:cs="IRNazanin"/>
          <w:lang w:bidi="fa-IR"/>
          <w:color w:val="111111"/>
          <w:sz w:val="28"/>
          <w:szCs w:val="28"/>
          <w:rtl/>
        </w:rPr>
        <w:t xml:space="preserve">انجام: ولی می ترسم پولتیک دول بخصوص کفایت بعضی از وزرای ما مرا مهلت ندهد و آخر الأمر مجبور بشوم که طرح خود را در آرزوی اعتبارات مذکوره دفن کنم.</w:t>
      </w:r>
    </w:p>
    <w:p>
      <w:pPr>
        <w:pStyle w:val="BookText"/>
      </w:pPr>
      <w:r>
        <w:rPr>
          <w:rFonts w:ascii="IRNazanin" w:hAnsi="IRNazanin" w:eastAsia="IRNazanin" w:cs="IRNazanin"/>
          <w:lang w:bidi="fa-IR"/>
          <w:color w:val="111111"/>
          <w:sz w:val="28"/>
          <w:szCs w:val="28"/>
          <w:rtl/>
        </w:rPr>
        <w:t xml:space="preserve">چاپ: در کلیات او در بمبئی، صص ۱۴۸-۲۰۰</w:t>
      </w:r>
    </w:p>
    <w:p>
      <w:pPr>
        <w:pStyle w:val="BookText"/>
      </w:pPr>
      <w:r>
        <w:rPr>
          <w:rFonts w:ascii="IRNazanin" w:hAnsi="IRNazanin" w:eastAsia="IRNazanin" w:cs="IRNazanin"/>
          <w:lang w:bidi="fa-IR"/>
          <w:color w:val="111111"/>
          <w:sz w:val="28"/>
          <w:szCs w:val="28"/>
          <w:rtl/>
        </w:rPr>
        <w:t xml:space="preserve">[دنا ۶۴۷/۲ با عنوان پولتیک ایران و ۶۴۸/۲ با عنوان « پولتیکهای دولتی»؛ نسخه های منزوی ۱۵۵۶/۲ ؛ اصول تمدن ۱۲۵؛ مشار فارسی ۱۲۷۷؛ کلیات ملکم ۱۲۵؛ فهرستواره منزوی ۳۵۵/۶ ]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28" w:name="pg20363_209597"/>
    <w:bookmarkEnd w:id="328"/>
    <w:p>
      <w:pPr>
        <w:pStyle w:val="BookText"/>
      </w:pPr>
      <w:r>
        <w:rPr>
          <w:rFonts w:ascii="IRNazanin" w:hAnsi="IRNazanin" w:eastAsia="IRNazanin" w:cs="IRNazanin"/>
          <w:lang w:bidi="fa-IR"/>
          <w:color w:val="111111"/>
          <w:sz w:val="28"/>
          <w:szCs w:val="28"/>
          <w:rtl/>
        </w:rPr>
        <w:t xml:space="preserve">۱. تهران؛ ملک؛ شماره نسخه: ۸۶۷/۳</w:t>
      </w:r>
    </w:p>
    <w:p>
      <w:pPr>
        <w:pStyle w:val="BookText"/>
      </w:pPr>
      <w:r>
        <w:rPr>
          <w:rFonts w:ascii="IRNazanin" w:hAnsi="IRNazanin" w:eastAsia="IRNazanin" w:cs="IRNazanin"/>
          <w:lang w:bidi="fa-IR"/>
          <w:color w:val="111111"/>
          <w:sz w:val="28"/>
          <w:szCs w:val="28"/>
          <w:rtl/>
        </w:rPr>
        <w:t xml:space="preserve">خط: نسخ، بی کا، تا: قرن ۱۳، کاغذ: فرنگی، جلد: میشن لایی قهوه ای نو، ۱۴ سطر [ف: ۵-۲۱۲]</w:t>
      </w:r>
    </w:p>
    <w:p>
      <w:pPr>
        <w:pStyle w:val="BookText"/>
      </w:pPr>
      <w:r>
        <w:rPr>
          <w:rFonts w:ascii="IRNazanin" w:hAnsi="IRNazanin" w:eastAsia="IRNazanin" w:cs="IRNazanin"/>
          <w:lang w:bidi="fa-IR"/>
          <w:color w:val="111111"/>
          <w:sz w:val="28"/>
          <w:szCs w:val="28"/>
          <w:rtl/>
        </w:rPr>
        <w:t xml:space="preserve">۲. تهران؛ مجلس: شماره نسخه: ۸۰۸۰/۵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بی کا، تا: ۱۴ محرم ۱۲۹۰ق، جان قونسولگری تفلیس؛ جلد: مقوایی محکم با روکش تیماج عنابی دارای ترنج ضربی با طرح گل و مرغ و سرترنج مجدول عطف نسخه تیماج قهوه ای، ۴۰گ (۱۰۰-۱۳۹ ر)، ۱۳ سطر، اندازه: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۱۹/۵ سم[ ف: ۲۷/۱ -۱۴۴]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ملک؛ شماره نسخه: ۹۳۲</w:t>
      </w:r>
    </w:p>
    <w:p>
      <w:pPr>
        <w:pStyle w:val="BookText"/>
      </w:pPr>
      <w:r>
        <w:rPr>
          <w:rFonts w:ascii="IRNazanin" w:hAnsi="IRNazanin" w:eastAsia="IRNazanin" w:cs="IRNazanin"/>
          <w:lang w:bidi="fa-IR"/>
          <w:color w:val="111111"/>
          <w:sz w:val="28"/>
          <w:szCs w:val="28"/>
          <w:rtl/>
        </w:rPr>
        <w:t xml:space="preserve">خط: نستعلیق، كا: علی قلی گماشته، تا: ۱۲۹۷ق، که توسط میرزا یوسف خان مستشار الوزاره به یار محمد خان ایلخانی بجنورد تقدیم شده؛ کاغذ: کاغذ فرنگی، جلد: میشن قرمز، ۴۳گ، ۱۴  سطر،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۲۲/۷سم [ف: ۲-۷۰]</w:t>
      </w:r>
    </w:p>
    <w:p>
      <w:pPr>
        <w:pStyle w:val="BookText"/>
      </w:pPr>
      <w:r>
        <w:rPr>
          <w:rFonts w:ascii="IRNazanin" w:hAnsi="IRNazanin" w:eastAsia="IRNazanin" w:cs="IRNazanin"/>
          <w:lang w:bidi="fa-IR"/>
          <w:color w:val="111111"/>
          <w:sz w:val="28"/>
          <w:szCs w:val="28"/>
          <w:rtl/>
        </w:rPr>
        <w:t xml:space="preserve">۴. تهران؛ ملک؛ شماره نسخه: ۲۹۹۸/۱</w:t>
      </w:r>
    </w:p>
    <w:p>
      <w:pPr>
        <w:pStyle w:val="BookText"/>
      </w:pPr>
      <w:r>
        <w:rPr>
          <w:rFonts w:ascii="IRNazanin" w:hAnsi="IRNazanin" w:eastAsia="IRNazanin" w:cs="IRNazanin"/>
          <w:lang w:bidi="fa-IR"/>
          <w:color w:val="111111"/>
          <w:sz w:val="28"/>
          <w:szCs w:val="28"/>
          <w:rtl/>
        </w:rPr>
        <w:t xml:space="preserve">خط شکسته نستعلیق، بی کا، تا: شوال ۱۲۹۷ ق [ف: ۱۸۶۶]</w:t>
      </w:r>
    </w:p>
    <w:p>
      <w:pPr>
        <w:pStyle w:val="BookText"/>
      </w:pPr>
      <w:r>
        <w:rPr>
          <w:rFonts w:ascii="IRNazanin" w:hAnsi="IRNazanin" w:eastAsia="IRNazanin" w:cs="IRNazanin"/>
          <w:lang w:bidi="fa-IR"/>
          <w:color w:val="111111"/>
          <w:sz w:val="28"/>
          <w:szCs w:val="28"/>
          <w:rtl/>
        </w:rPr>
        <w:t xml:space="preserve">۵. تهران: ملک؛ شماره نسخه: ۳۷۸۴/۲</w:t>
      </w:r>
    </w:p>
    <w:p>
      <w:pPr>
        <w:pStyle w:val="BookText"/>
      </w:pPr>
      <w:r>
        <w:rPr>
          <w:rFonts w:ascii="IRNazanin" w:hAnsi="IRNazanin" w:eastAsia="IRNazanin" w:cs="IRNazanin"/>
          <w:lang w:bidi="fa-IR"/>
          <w:color w:val="111111"/>
          <w:sz w:val="28"/>
          <w:szCs w:val="28"/>
          <w:rtl/>
        </w:rPr>
        <w:t xml:space="preserve">خط: شکسته نستعلیق، کا: محمد على منشی کوچک تفرشی، تا: ۱۲۹۷ق [ف: ۷-۳۸]</w:t>
      </w:r>
    </w:p>
    <w:p>
      <w:pPr>
        <w:pStyle w:val="BookText"/>
      </w:pPr>
      <w:r>
        <w:rPr>
          <w:rFonts w:ascii="IRNazanin" w:hAnsi="IRNazanin" w:eastAsia="IRNazanin" w:cs="IRNazanin"/>
          <w:lang w:bidi="fa-IR"/>
          <w:color w:val="111111"/>
          <w:sz w:val="28"/>
          <w:szCs w:val="28"/>
          <w:rtl/>
        </w:rPr>
        <w:t xml:space="preserve">6 . تهران؛ ملک؛ شماره نسخه: ۱۵۳۹/۴</w:t>
      </w:r>
    </w:p>
    <w:p>
      <w:pPr>
        <w:pStyle w:val="BookText"/>
      </w:pPr>
      <w:r>
        <w:rPr>
          <w:rFonts w:ascii="IRNazanin" w:hAnsi="IRNazanin" w:eastAsia="IRNazanin" w:cs="IRNazanin"/>
          <w:lang w:bidi="fa-IR"/>
          <w:color w:val="111111"/>
          <w:sz w:val="28"/>
          <w:szCs w:val="28"/>
          <w:rtl/>
        </w:rPr>
        <w:t xml:space="preserve">تذکر: در فهرست بدون نام مؤلف است؛ خط: نسخ، بی کا، تا: قرن ۱۴ [ف: ۵-۲۸۶]</w:t>
      </w:r>
    </w:p>
    <w:p>
      <w:pPr>
        <w:pStyle w:val="BookText"/>
      </w:pPr>
      <w:r>
        <w:rPr>
          <w:rFonts w:ascii="IRNazanin" w:hAnsi="IRNazanin" w:eastAsia="IRNazanin" w:cs="IRNazanin"/>
          <w:lang w:bidi="fa-IR"/>
          <w:color w:val="111111"/>
          <w:sz w:val="28"/>
          <w:szCs w:val="28"/>
          <w:rtl/>
        </w:rPr>
        <w:t xml:space="preserve">۷. تهران: مجلس؛ شماره نسخه: ۸۲۳۰/۶</w:t>
      </w:r>
    </w:p>
    <w:p>
      <w:pPr>
        <w:pStyle w:val="BookText"/>
      </w:pPr>
      <w:r>
        <w:rPr>
          <w:rFonts w:ascii="IRNazanin" w:hAnsi="IRNazanin" w:eastAsia="IRNazanin" w:cs="IRNazanin"/>
          <w:lang w:bidi="fa-IR"/>
          <w:color w:val="111111"/>
          <w:sz w:val="28"/>
          <w:szCs w:val="28"/>
          <w:rtl/>
        </w:rPr>
        <w:t xml:space="preserve">انجام: با وصف این اولیای دولت بقیه دارد</w:t>
      </w:r>
    </w:p>
    <w:p>
      <w:pPr>
        <w:pStyle w:val="BookText"/>
      </w:pPr>
      <w:r>
        <w:rPr>
          <w:rFonts w:ascii="IRNazanin" w:hAnsi="IRNazanin" w:eastAsia="IRNazanin" w:cs="IRNazanin"/>
          <w:lang w:bidi="fa-IR"/>
          <w:color w:val="111111"/>
          <w:sz w:val="28"/>
          <w:szCs w:val="28"/>
          <w:rtl/>
        </w:rPr>
        <w:t xml:space="preserve">خط: نستعلیق، کا: میرزا هادی خان، تا: قرن ۱۴؛ این عبارت آمده: کلیه این اوراق خط فرزندی میرزا هادی خان است جز چند صفحه بتاريخ ۲۳ ذیقعده الحرام ۱۳۲۳»، مصحح؛ جلد: گالینگور قرمز و عطف و گوشه تیماج قهوه ای، ۹گ (۹۶-۱۰۴)، ۱۵ سطر، اندازه: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۲۲/۵ سم [ف: ۲۷/۲ -۲۰]</w:t>
      </w:r>
    </w:p>
    <w:p>
      <w:pPr>
        <w:pStyle w:val="BookText"/>
      </w:pPr>
      <w:r>
        <w:rPr>
          <w:rFonts w:ascii="IRNazanin" w:hAnsi="IRNazanin" w:eastAsia="IRNazanin" w:cs="IRNazanin"/>
          <w:lang w:bidi="fa-IR"/>
          <w:color w:val="111111"/>
          <w:sz w:val="28"/>
          <w:szCs w:val="28"/>
          <w:rtl/>
        </w:rPr>
        <w:t xml:space="preserve">۸. تهران؛ ملی؛ شماره نسخه: ۱۴۹/۵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شکسته خوش، كا: ابو تراب طباطبائی، تا: ۱۳۰۱ ق، جا: تبریز؛ کاغذ: فرنگی، جلد: تیماج قرمز، مقوایی ضربی، ۴۵ص (۱۰۳- ۱۴۷)، ۱۶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۱-۱۴۷]</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مجلس؛ شماره نسخه: ۵۱۵۴/۶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تا: ۱۸ شوال ۱۳۰۴ق؛ ۲۱گ (۵۲پ -۷۲پ) [ف: ۱۵-۲۲۵]</w:t>
      </w:r>
    </w:p>
    <w:p>
      <w:pPr>
        <w:pStyle w:val="BookText"/>
      </w:pPr>
      <w:r>
        <w:rPr>
          <w:rFonts w:ascii="IRNazanin" w:hAnsi="IRNazanin" w:eastAsia="IRNazanin" w:cs="IRNazanin"/>
          <w:lang w:bidi="fa-IR"/>
          <w:color w:val="111111"/>
          <w:sz w:val="28"/>
          <w:szCs w:val="28"/>
          <w:rtl/>
        </w:rPr>
        <w:t xml:space="preserve">۱۰. اصفهان؛ جابری انصاری: شماره نسخه: ۳/۱</w:t>
      </w:r>
    </w:p>
    <w:p>
      <w:pPr>
        <w:pStyle w:val="BookText"/>
      </w:pPr>
      <w:r>
        <w:rPr>
          <w:rFonts w:ascii="IRNazanin" w:hAnsi="IRNazanin" w:eastAsia="IRNazanin" w:cs="IRNazanin"/>
          <w:lang w:bidi="fa-IR"/>
          <w:color w:val="111111"/>
          <w:sz w:val="28"/>
          <w:szCs w:val="28"/>
          <w:rtl/>
        </w:rPr>
        <w:t xml:space="preserve">خط: شکسته نستعلیق، بی کا، تا: ۱۳۰۶ق [نشریه: ۶-۵۹۳]</w:t>
      </w:r>
    </w:p>
    <w:p>
      <w:pPr>
        <w:pStyle w:val="BookText"/>
      </w:pPr>
      <w:r>
        <w:rPr>
          <w:rFonts w:ascii="IRNazanin" w:hAnsi="IRNazanin" w:eastAsia="IRNazanin" w:cs="IRNazanin"/>
          <w:lang w:bidi="fa-IR"/>
          <w:color w:val="111111"/>
          <w:sz w:val="28"/>
          <w:szCs w:val="28"/>
          <w:rtl/>
        </w:rPr>
        <w:t xml:space="preserve">۱۱. اصفهان؛ جابری انصاری: شماره نسخه: ۳/۵</w:t>
      </w:r>
    </w:p>
    <w:p>
      <w:pPr>
        <w:pStyle w:val="BookText"/>
      </w:pPr>
      <w:r>
        <w:rPr>
          <w:rFonts w:ascii="IRNazanin" w:hAnsi="IRNazanin" w:eastAsia="IRNazanin" w:cs="IRNazanin"/>
          <w:lang w:bidi="fa-IR"/>
          <w:color w:val="111111"/>
          <w:sz w:val="28"/>
          <w:szCs w:val="28"/>
          <w:rtl/>
        </w:rPr>
        <w:t xml:space="preserve">خط: شکسته نستعلیق، بی کا، تا: ۱۳۰۶ ق [نشریه: ۶-۵۹۳]</w:t>
      </w:r>
    </w:p>
    <w:p>
      <w:pPr>
        <w:pStyle w:val="BookText"/>
      </w:pPr>
      <w:r>
        <w:rPr>
          <w:rFonts w:ascii="IRNazanin" w:hAnsi="IRNazanin" w:eastAsia="IRNazanin" w:cs="IRNazanin"/>
          <w:lang w:bidi="fa-IR"/>
          <w:color w:val="111111"/>
          <w:sz w:val="28"/>
          <w:szCs w:val="28"/>
          <w:rtl/>
        </w:rPr>
        <w:t xml:space="preserve">۱۲. تهران؛ مجلس؛ شماره نسخه: ۱۳۶۰۴/۱</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شکسته، نستعلیق، كا: ابوالقاسم، تا: ۵ جمادی الثانی ۱۳۰۶ق؛ جلد: تیماج قهوه ای مجدول گرهی، ۳۹گ (۱پ -۳۹پ)، ۱۵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۳۷-۱۱۸]</w:t>
      </w:r>
    </w:p>
    <w:p>
      <w:pPr>
        <w:pStyle w:val="BookText"/>
      </w:pPr>
      <w:r>
        <w:rPr>
          <w:rFonts w:ascii="IRNazanin" w:hAnsi="IRNazanin" w:eastAsia="IRNazanin" w:cs="IRNazanin"/>
          <w:lang w:bidi="fa-IR"/>
          <w:color w:val="111111"/>
          <w:sz w:val="28"/>
          <w:szCs w:val="28"/>
          <w:rtl/>
        </w:rPr>
        <w:t xml:space="preserve">۱۳. تهران، دانشگاه؛ شماره نسخه: ۱۰۸۴۹/۲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تحریری، بی کا، تا: ۲۹ صفر ۱۳۱۸ق، جان گنبد قابوس؛ جلد: تیماج قهوه ای، جدول دار، ۲۱گ (۵۵پ- ۷۵ر)،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سم [ف: ۲۰-۴۱۶]</w:t>
      </w:r>
    </w:p>
    <w:p>
      <w:pPr>
        <w:pStyle w:val="BookText"/>
      </w:pPr>
      <w:r>
        <w:rPr>
          <w:rFonts w:ascii="IRNazanin" w:hAnsi="IRNazanin" w:eastAsia="IRNazanin" w:cs="IRNazanin"/>
          <w:lang w:bidi="fa-IR"/>
          <w:color w:val="111111"/>
          <w:sz w:val="28"/>
          <w:szCs w:val="28"/>
          <w:rtl/>
        </w:rPr>
        <w:t xml:space="preserve">۱۴. تهران؛ ملک؛ شماره نسخه: ۲۴۵۵/۳</w:t>
      </w:r>
    </w:p>
    <w:p>
      <w:pPr>
        <w:pStyle w:val="BookText"/>
      </w:pPr>
      <w:r>
        <w:rPr>
          <w:rFonts w:ascii="IRNazanin" w:hAnsi="IRNazanin" w:eastAsia="IRNazanin" w:cs="IRNazanin"/>
          <w:lang w:bidi="fa-IR"/>
          <w:color w:val="111111"/>
          <w:sz w:val="28"/>
          <w:szCs w:val="28"/>
          <w:rtl/>
        </w:rPr>
        <w:t xml:space="preserve">خط: نستعلیق، بی کا، تا: ۱۳۲۳ق [ف: ۶-۱۹]</w:t>
      </w:r>
    </w:p>
    <w:p>
      <w:pPr>
        <w:pStyle w:val="BookText"/>
      </w:pPr>
      <w:r>
        <w:rPr>
          <w:rFonts w:ascii="IRNazanin" w:hAnsi="IRNazanin" w:eastAsia="IRNazanin" w:cs="IRNazanin"/>
          <w:lang w:bidi="fa-IR"/>
          <w:color w:val="111111"/>
          <w:sz w:val="28"/>
          <w:szCs w:val="28"/>
          <w:rtl/>
        </w:rPr>
        <w:t xml:space="preserve">۱۵. آشتیان؛ حوزه علمیه؛ شماره نسخه: ۱۳/۶ بخش یکم</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مرتضی ابن مرحوم میرزا صادق، تا: جمعه صفر ۱۳۲۸ق؛ کاغذ: خارجی، ۳۳گ (۹۶-۱۲۸ پ)، قطع: خشتی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۴۲]</w:t>
      </w:r>
    </w:p>
    <w:p>
      <w:pPr>
        <w:pStyle w:val="BookText"/>
      </w:pPr>
      <w:r>
        <w:rPr>
          <w:rFonts w:ascii="IRNazanin" w:hAnsi="IRNazanin" w:eastAsia="IRNazanin" w:cs="IRNazanin"/>
          <w:lang w:bidi="fa-IR"/>
          <w:color w:val="111111"/>
          <w:sz w:val="28"/>
          <w:szCs w:val="28"/>
          <w:rtl/>
        </w:rPr>
        <w:t xml:space="preserve">۱۶. تهران، دانشگاه؛ شماره نسخه: ۳۲۵۷/۷</w:t>
      </w:r>
    </w:p>
    <w:p>
      <w:pPr>
        <w:pStyle w:val="BookText"/>
      </w:pPr>
      <w:r>
        <w:rPr>
          <w:rFonts w:ascii="IRNazanin" w:hAnsi="IRNazanin" w:eastAsia="IRNazanin" w:cs="IRNazanin"/>
          <w:lang w:bidi="fa-IR"/>
          <w:color w:val="111111"/>
          <w:sz w:val="28"/>
          <w:szCs w:val="28"/>
          <w:rtl/>
        </w:rPr>
        <w:t xml:space="preserve">بی کا، بی تا؛ کاغذ: فرنگی، جلد: مقوا عطف تیماج تریاکی، ۶۲گ (۱۸۱-۲۴۲)، ۱۳ سطر (</w:t>
      </w:r>
    </w:p>
    <w:p>
      <w:pPr>
        <w:pStyle w:val="BookText"/>
      </w:pPr>
      <w:r>
        <w:rPr>
          <w:rFonts w:ascii="IRNazanin" w:hAnsi="IRNazanin" w:eastAsia="IRNazanin" w:cs="IRNazanin"/>
          <w:lang w:bidi="fa-IR"/>
          <w:color w:val="111111"/>
          <w:sz w:val="28"/>
          <w:szCs w:val="28"/>
          <w:rtl/>
        </w:rPr>
        <w:t xml:space="preserve">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 اندازه: ۲۲/۵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۲۲۱۴-۱۱ ]</w:t>
      </w:r>
    </w:p>
    <w:p>
      <w:pPr>
        <w:pStyle w:val="BookText"/>
      </w:pPr>
      <w:r>
        <w:rPr>
          <w:rFonts w:ascii="IRNazanin" w:hAnsi="IRNazanin" w:eastAsia="IRNazanin" w:cs="IRNazanin"/>
          <w:lang w:bidi="fa-IR"/>
          <w:color w:val="111111"/>
          <w:sz w:val="28"/>
          <w:szCs w:val="28"/>
          <w:rtl/>
        </w:rPr>
        <w:t xml:space="preserve">۱۷. تبریز؛ ملی؛ شماره نسخه: ۲۶۴۳</w:t>
      </w:r>
    </w:p>
    <w:p>
      <w:pPr>
        <w:pStyle w:val="BookText"/>
      </w:pPr>
      <w:r>
        <w:rPr>
          <w:rFonts w:ascii="IRNazanin" w:hAnsi="IRNazanin" w:eastAsia="IRNazanin" w:cs="IRNazanin"/>
          <w:lang w:bidi="fa-IR"/>
          <w:color w:val="111111"/>
          <w:sz w:val="28"/>
          <w:szCs w:val="28"/>
          <w:rtl/>
        </w:rPr>
        <w:t xml:space="preserve">۳ آغاز: برابر، انجام: اولیای دولت انگلیس بر اینحالت ایران کاملا واقف هستند و در باطن بهتر از همه کس میدانند که توسل ما باسباب خارجه حاصلی نخواهد داشت مگر تعجيل قصد روس، بعد از وزرای ما از این خط: شکسته، بی کا، بی تا، هیچ نوع آرایش و یادداشت ندارد؛ کاغذ: فرنگی، جلد: مقوا، ۵۹گ، ۱۴-۱۵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۲-۴۸۷]</w:t>
      </w:r>
    </w:p>
    <w:p>
      <w:pPr>
        <w:pStyle w:val="BookText"/>
      </w:pPr>
      <w:r>
        <w:rPr>
          <w:rFonts w:ascii="IRNazanin" w:hAnsi="IRNazanin" w:eastAsia="IRNazanin" w:cs="IRNazanin"/>
          <w:lang w:bidi="fa-IR"/>
          <w:color w:val="111111"/>
          <w:sz w:val="28"/>
          <w:szCs w:val="28"/>
          <w:rtl/>
        </w:rPr>
        <w:t xml:space="preserve">۱۸. تبریز؛ ملی، شماره نسخه: ۳۵۶۳/۲</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شکسته، بی کا، بی تا، کاغذ: فرنگی سفید و سبز، جلد: مقوا، ۱۸گ [ف: ۳-۱۲۳۲]</w:t>
      </w:r>
    </w:p>
    <w:p>
      <w:pPr>
        <w:pStyle w:val="BookText"/>
      </w:pPr>
      <w:r>
        <w:rPr>
          <w:rFonts w:ascii="IRNazanin" w:hAnsi="IRNazanin" w:eastAsia="IRNazanin" w:cs="IRNazanin"/>
          <w:lang w:bidi="fa-IR"/>
          <w:color w:val="111111"/>
          <w:sz w:val="28"/>
          <w:szCs w:val="28"/>
          <w:rtl/>
        </w:rPr>
        <w:t xml:space="preserve">۱۹. رشت؛ جمعیت نشر فرهنگ؛ شماره نسخه: ۲۴۶/۴</w:t>
      </w:r>
    </w:p>
    <w:p>
      <w:pPr>
        <w:pStyle w:val="BookText"/>
      </w:pPr>
      <w:r>
        <w:rPr>
          <w:rFonts w:ascii="IRNazanin" w:hAnsi="IRNazanin" w:eastAsia="IRNazanin" w:cs="IRNazanin"/>
          <w:lang w:bidi="fa-IR"/>
          <w:color w:val="111111"/>
          <w:sz w:val="28"/>
          <w:szCs w:val="28"/>
          <w:rtl/>
        </w:rPr>
        <w:t xml:space="preserve">م خط: نستعلیق، بی کا، بی تا، جان رشت؛ جلد: مقوایی، ۹۱گ ( ۲۴۶-۱۵۶ )، ۱۴ سطر</w:t>
      </w:r>
    </w:p>
    <w:p>
      <w:pPr>
        <w:pStyle w:val="BookText"/>
      </w:pPr>
      <w:r>
        <w:rPr>
          <w:rFonts w:ascii="IRNazanin" w:hAnsi="IRNazanin" w:eastAsia="IRNazanin" w:cs="IRNazanin"/>
          <w:lang w:bidi="fa-IR"/>
          <w:color w:val="111111"/>
          <w:sz w:val="28"/>
          <w:szCs w:val="28"/>
          <w:rtl/>
        </w:rPr>
        <w:t xml:space="preserve">(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[رشت و همدان: ف: ۱۲۱۵]</w:t>
      </w:r>
    </w:p>
    <w:p>
      <w:pPr>
        <w:pStyle w:val="Heading3"/>
      </w:pPr>
      <w:bookmarkStart w:id="1837" w:name="_Toc1097"/>
      <w:r>
        <w:t>•پهلا حصه / کلام و اعتقادات / اردو</w:t>
      </w:r>
      <w:bookmarkEnd w:id="1837"/>
    </w:p>
    <w:p>
      <w:pPr>
        <w:pStyle w:val="BookText"/>
      </w:pPr>
      <w:r>
        <w:rPr>
          <w:rFonts w:ascii="IRNazanin" w:hAnsi="IRNazanin" w:eastAsia="IRNazanin" w:cs="IRNazanin"/>
          <w:lang w:bidi="fa-IR"/>
          <w:color w:val="111111"/>
          <w:sz w:val="28"/>
          <w:szCs w:val="28"/>
          <w:rtl/>
        </w:rPr>
        <w:t xml:space="preserve">مشهد؛ رضوی؛ شماره نسخه: ۲۸۵۸۶</w:t>
      </w:r>
    </w:p>
    <w:p>
      <w:pPr>
        <w:pStyle w:val="BookText"/>
      </w:pPr>
      <w:r>
        <w:rPr>
          <w:rFonts w:ascii="IRNazanin" w:hAnsi="IRNazanin" w:eastAsia="IRNazanin" w:cs="IRNazanin"/>
          <w:lang w:bidi="fa-IR"/>
          <w:color w:val="111111"/>
          <w:sz w:val="28"/>
          <w:szCs w:val="28"/>
          <w:rtl/>
        </w:rPr>
        <w:t xml:space="preserve">آغاز: بسمله، کهاهي ده منهه لادن حس سی ابنی خدای صادق و عادل کی حمد و ستایش کردن او کهانسی اتنی؛ انجام: مباحثه کی متعلق ت</w:t>
      </w:r>
      <w:r>
        <w:rPr>
          <w:rFonts w:ascii="Times New Roman" w:hAnsi="Times New Roman" w:eastAsia="Times New Roman" w:cs="Times New Roman"/>
          <w:lang w:val="en-US" w:bidi="en-US"/>
          <w:color w:val="111111"/>
          <w:sz w:val="28"/>
          <w:szCs w:val="28"/>
          <w:rtl/>
        </w:rPr>
        <w:t xml:space="preserve">i</w:t>
      </w:r>
      <w:r>
        <w:rPr>
          <w:rFonts w:ascii="IRNazanin" w:hAnsi="IRNazanin" w:eastAsia="IRNazanin" w:cs="IRNazanin"/>
          <w:lang w:bidi="fa-IR"/>
          <w:color w:val="111111"/>
          <w:sz w:val="28"/>
          <w:szCs w:val="28"/>
          <w:rtl/>
        </w:rPr>
        <w:t xml:space="preserve">ین کیا لکهون زیاده نیاز محرره ۲۲ تمت.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29" w:name="pg20363_209598"/>
    <w:bookmarkEnd w:id="329"/>
    <w:p>
      <w:pPr>
        <w:pStyle w:val="BookText"/>
      </w:pPr>
      <w:r>
        <w:rPr>
          <w:rFonts w:ascii="IRNazanin" w:hAnsi="IRNazanin" w:eastAsia="IRNazanin" w:cs="IRNazanin"/>
          <w:lang w:bidi="fa-IR"/>
          <w:color w:val="111111"/>
          <w:sz w:val="28"/>
          <w:szCs w:val="28"/>
          <w:rtl/>
        </w:rPr>
        <w:t xml:space="preserve">خط: نستعلیق جلی، بی کا، تا: ۱۲۹۲ق؛ کاغذ: نخودی، جلد: مقوا با عطف و گوشه پارچه، ۱۶ سطر ( ۲۳/۳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قطع: وزیری بزرگ، اندازه: ۳۱/۳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۱۹/۸ سم [رایانه]</w:t>
      </w:r>
    </w:p>
    <w:p>
      <w:pPr>
        <w:pStyle w:val="BookText"/>
      </w:pPr>
      <w:r>
        <w:rPr>
          <w:rFonts w:ascii="IRNazanin" w:hAnsi="IRNazanin" w:eastAsia="IRNazanin" w:cs="IRNazanin"/>
          <w:lang w:bidi="fa-IR"/>
          <w:color w:val="111111"/>
          <w:sz w:val="28"/>
          <w:szCs w:val="28"/>
          <w:rtl/>
        </w:rPr>
        <w:t xml:space="preserve">← پهلوی ← لغة البهلوي</w:t>
      </w:r>
    </w:p>
    <w:p>
      <w:pPr>
        <w:pStyle w:val="BookText"/>
      </w:pPr>
      <w:r>
        <w:rPr>
          <w:rFonts w:ascii="IRNazanin" w:hAnsi="IRNazanin" w:eastAsia="IRNazanin" w:cs="IRNazanin"/>
          <w:lang w:bidi="fa-IR"/>
          <w:color w:val="111111"/>
          <w:sz w:val="28"/>
          <w:szCs w:val="28"/>
          <w:rtl/>
        </w:rPr>
        <w:t xml:space="preserve">←پهلوی نامه ← شاه نامه نوبخت</w:t>
      </w:r>
    </w:p>
    <w:p>
      <w:pPr>
        <w:pStyle w:val="BookText"/>
      </w:pPr>
      <w:r>
        <w:rPr>
          <w:rFonts w:ascii="IRNazanin" w:hAnsi="IRNazanin" w:eastAsia="IRNazanin" w:cs="IRNazanin"/>
          <w:lang w:bidi="fa-IR"/>
          <w:color w:val="111111"/>
          <w:sz w:val="28"/>
          <w:szCs w:val="28"/>
          <w:rtl/>
        </w:rPr>
        <w:t xml:space="preserve">← پهلوی نامه ناصری ← تاریخ سلاطین عجم</w:t>
      </w:r>
    </w:p>
    <w:p>
      <w:pPr>
        <w:pStyle w:val="Heading3"/>
      </w:pPr>
      <w:bookmarkStart w:id="1838" w:name="_Toc1098"/>
      <w:r>
        <w:t>•پیاده نظام / فنون نظامی / فارسی</w:t>
      </w:r>
      <w:bookmarkEnd w:id="1838"/>
    </w:p>
    <w:p>
      <w:pPr>
        <w:pStyle w:val="BookText"/>
      </w:pPr>
      <w:r>
        <w:rPr>
          <w:rFonts w:ascii="Times New Roman" w:hAnsi="Times New Roman" w:eastAsia="Times New Roman" w:cs="Times New Roman"/>
          <w:lang w:val="en-US" w:bidi="en-US"/>
          <w:color w:val="111111"/>
          <w:sz w:val="28"/>
          <w:szCs w:val="28"/>
          <w:rtl/>
        </w:rPr>
        <w:t xml:space="preserve">pīyāde-nezām</w:t>
      </w:r>
    </w:p>
    <w:p>
      <w:pPr>
        <w:pStyle w:val="BookText"/>
      </w:pPr>
      <w:r>
        <w:rPr>
          <w:rFonts w:ascii="IRNazanin" w:hAnsi="IRNazanin" w:eastAsia="IRNazanin" w:cs="IRNazanin"/>
          <w:lang w:bidi="fa-IR"/>
          <w:color w:val="111111"/>
          <w:sz w:val="28"/>
          <w:szCs w:val="28"/>
          <w:rtl/>
        </w:rPr>
        <w:t xml:space="preserve">تهران؛ دانشگاه؛ شماره نسخه: ۸۳۷۳/۱</w:t>
      </w:r>
    </w:p>
    <w:p>
      <w:pPr>
        <w:pStyle w:val="BookText"/>
      </w:pPr>
      <w:r>
        <w:rPr>
          <w:rFonts w:ascii="IRNazanin" w:hAnsi="IRNazanin" w:eastAsia="IRNazanin" w:cs="IRNazanin"/>
          <w:lang w:bidi="fa-IR"/>
          <w:color w:val="111111"/>
          <w:sz w:val="28"/>
          <w:szCs w:val="28"/>
          <w:rtl/>
        </w:rPr>
        <w:t xml:space="preserve">چاپ سنگی ۱۲۶۸ با تصاویر؛ خط: نستعلیق، بی کا، بی تا، کاغذ: فرنگی، جلد: مقوا، ۵۲ص، ۲۸ سطر (۲۴</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۱۱)، قطع: رحلي [ف: ۱۲۴-۱۷]</w:t>
      </w:r>
    </w:p>
    <w:p>
      <w:pPr>
        <w:pStyle w:val="Heading3"/>
      </w:pPr>
      <w:bookmarkStart w:id="1839" w:name="_Toc1099"/>
      <w:r>
        <w:t>•پیاله های دوازده گانه فقرا / عرفان و تصوف / فارسی</w:t>
      </w:r>
      <w:bookmarkEnd w:id="1839"/>
    </w:p>
    <w:p>
      <w:pPr>
        <w:pStyle w:val="BookText"/>
      </w:pPr>
      <w:r>
        <w:rPr>
          <w:rFonts w:ascii="Times New Roman" w:hAnsi="Times New Roman" w:eastAsia="Times New Roman" w:cs="Times New Roman"/>
          <w:lang w:val="en-US" w:bidi="en-US"/>
          <w:color w:val="111111"/>
          <w:sz w:val="28"/>
          <w:szCs w:val="28"/>
          <w:rtl/>
        </w:rPr>
        <w:t xml:space="preserve">pīyāle-hā-ye davāzdah-gāne-ye foqarā</w:t>
      </w:r>
    </w:p>
    <w:p>
      <w:pPr>
        <w:pStyle w:val="BookText"/>
      </w:pPr>
      <w:r>
        <w:rPr>
          <w:rFonts w:ascii="IRNazanin" w:hAnsi="IRNazanin" w:eastAsia="IRNazanin" w:cs="IRNazanin"/>
          <w:lang w:bidi="fa-IR"/>
          <w:color w:val="111111"/>
          <w:sz w:val="28"/>
          <w:szCs w:val="28"/>
          <w:rtl/>
        </w:rPr>
        <w:t xml:space="preserve">در باره قدرت نور، آسمان، زمین، عشق، عقل، شریعت، طریقت، حقیقت، عهد، مرشد، با گواه آوردن آیتی از قرآن برای هر یک.</w:t>
      </w:r>
    </w:p>
    <w:p>
      <w:pPr>
        <w:pStyle w:val="BookText"/>
      </w:pPr>
      <w:r>
        <w:rPr>
          <w:rFonts w:ascii="IRNazanin" w:hAnsi="IRNazanin" w:eastAsia="IRNazanin" w:cs="IRNazanin"/>
          <w:lang w:bidi="fa-IR"/>
          <w:color w:val="111111"/>
          <w:sz w:val="28"/>
          <w:szCs w:val="28"/>
          <w:rtl/>
        </w:rPr>
        <w:t xml:space="preserve">[فهرستواره منزوی ۱۶۷/۷ ]</w:t>
      </w:r>
    </w:p>
    <w:p>
      <w:pPr>
        <w:pStyle w:val="BookText"/>
      </w:pPr>
      <w:r>
        <w:rPr>
          <w:rFonts w:ascii="IRNazanin" w:hAnsi="IRNazanin" w:eastAsia="IRNazanin" w:cs="IRNazanin"/>
          <w:lang w:bidi="fa-IR"/>
          <w:color w:val="111111"/>
          <w:sz w:val="28"/>
          <w:szCs w:val="28"/>
          <w:rtl/>
        </w:rPr>
        <w:t xml:space="preserve">تهران؛ دانشگاه؛ شماره نسخه: ۴۶۶۶/۱۲</w:t>
      </w:r>
    </w:p>
    <w:p>
      <w:pPr>
        <w:pStyle w:val="BookText"/>
      </w:pPr>
      <w:r>
        <w:rPr>
          <w:rFonts w:ascii="IRNazanin" w:hAnsi="IRNazanin" w:eastAsia="IRNazanin" w:cs="IRNazanin"/>
          <w:lang w:bidi="fa-IR"/>
          <w:color w:val="111111"/>
          <w:sz w:val="28"/>
          <w:szCs w:val="28"/>
          <w:rtl/>
        </w:rPr>
        <w:t xml:space="preserve">خط: نسخ و نستعلیق، بی کا، تا: قرن ۱۱ و ۱۲؛ گزیده ای از کیمیای سعادت غزالی در (۱۶۷- ۱۷۱)؛ کاغذ: سپاهانی، جلد: تیماج سبز ضربی ترنجی، ۲۹۷ص (۱۷۱- ۴۶۷)، ۲۱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۱۴-۳۶۱۴]</w:t>
      </w:r>
    </w:p>
    <w:p>
      <w:pPr>
        <w:pStyle w:val="BookText"/>
      </w:pPr>
      <w:r>
        <w:rPr>
          <w:rFonts w:ascii="IRNazanin" w:hAnsi="IRNazanin" w:eastAsia="IRNazanin" w:cs="IRNazanin"/>
          <w:lang w:bidi="fa-IR"/>
          <w:color w:val="111111"/>
          <w:sz w:val="28"/>
          <w:szCs w:val="28"/>
          <w:rtl/>
        </w:rPr>
        <w:t xml:space="preserve">← پیامبر ← اخبار مولد النبي (صلی الله علیه وآله وسلم)</w:t>
      </w:r>
    </w:p>
    <w:p>
      <w:pPr>
        <w:pStyle w:val="BookText"/>
      </w:pPr>
      <w:r>
        <w:rPr>
          <w:rFonts w:ascii="IRNazanin" w:hAnsi="IRNazanin" w:eastAsia="IRNazanin" w:cs="IRNazanin"/>
          <w:lang w:bidi="fa-IR"/>
          <w:color w:val="111111"/>
          <w:sz w:val="28"/>
          <w:szCs w:val="28"/>
          <w:rtl/>
        </w:rPr>
        <w:t xml:space="preserve">← پیامبر ← احوال حضرت رسول (صلی الله علیه وآله وسلم) (منتخب)</w:t>
      </w:r>
    </w:p>
    <w:p>
      <w:pPr>
        <w:pStyle w:val="BookText"/>
      </w:pPr>
      <w:r>
        <w:rPr>
          <w:rFonts w:ascii="IRNazanin" w:hAnsi="IRNazanin" w:eastAsia="IRNazanin" w:cs="IRNazanin"/>
          <w:lang w:bidi="fa-IR"/>
          <w:color w:val="111111"/>
          <w:sz w:val="28"/>
          <w:szCs w:val="28"/>
          <w:rtl/>
        </w:rPr>
        <w:t xml:space="preserve">← پیامبر← اخبار نبوی</w:t>
      </w:r>
    </w:p>
    <w:p>
      <w:pPr>
        <w:pStyle w:val="BookText"/>
      </w:pPr>
      <w:r>
        <w:rPr>
          <w:rFonts w:ascii="IRNazanin" w:hAnsi="IRNazanin" w:eastAsia="IRNazanin" w:cs="IRNazanin"/>
          <w:lang w:bidi="fa-IR"/>
          <w:color w:val="111111"/>
          <w:sz w:val="28"/>
          <w:szCs w:val="28"/>
          <w:rtl/>
        </w:rPr>
        <w:t xml:space="preserve">← پیامبر ← تاریخ النبي (صلی الله علیه وآله وسلم)</w:t>
      </w:r>
    </w:p>
    <w:p>
      <w:pPr>
        <w:pStyle w:val="BookText"/>
      </w:pPr>
      <w:r>
        <w:rPr>
          <w:rFonts w:ascii="IRNazanin" w:hAnsi="IRNazanin" w:eastAsia="IRNazanin" w:cs="IRNazanin"/>
          <w:lang w:bidi="fa-IR"/>
          <w:color w:val="111111"/>
          <w:sz w:val="28"/>
          <w:szCs w:val="28"/>
          <w:rtl/>
        </w:rPr>
        <w:t xml:space="preserve">←پیامبر ←احوالات پیامبر</w:t>
      </w:r>
    </w:p>
    <w:p>
      <w:pPr>
        <w:pStyle w:val="BookText"/>
      </w:pPr>
      <w:r>
        <w:rPr>
          <w:rFonts w:ascii="IRNazanin" w:hAnsi="IRNazanin" w:eastAsia="IRNazanin" w:cs="IRNazanin"/>
          <w:lang w:bidi="fa-IR"/>
          <w:color w:val="111111"/>
          <w:sz w:val="28"/>
          <w:szCs w:val="28"/>
          <w:rtl/>
        </w:rPr>
        <w:t xml:space="preserve">← پیامبر اکرم ← احوال پیامبر اکرم (صلی الله علیه وآله وسلم)</w:t>
      </w:r>
    </w:p>
    <w:p>
      <w:pPr>
        <w:pStyle w:val="Heading3"/>
      </w:pPr>
      <w:bookmarkStart w:id="1840" w:name="_Toc1100"/>
      <w:r>
        <w:t>• پیامبران اولوا العزم / تاریخ پیامبران / عربی</w:t>
      </w:r>
      <w:bookmarkEnd w:id="1840"/>
    </w:p>
    <w:p>
      <w:pPr>
        <w:pStyle w:val="BookText"/>
      </w:pPr>
      <w:r>
        <w:rPr>
          <w:rFonts w:ascii="Times New Roman" w:hAnsi="Times New Roman" w:eastAsia="Times New Roman" w:cs="Times New Roman"/>
          <w:lang w:val="en-US" w:bidi="en-US"/>
          <w:color w:val="111111"/>
          <w:sz w:val="28"/>
          <w:szCs w:val="28"/>
          <w:rtl/>
        </w:rPr>
        <w:t xml:space="preserve">payāmbarān-e olo-1-azm</w:t>
      </w:r>
    </w:p>
    <w:p>
      <w:pPr>
        <w:pStyle w:val="BookText"/>
      </w:pPr>
      <w:r>
        <w:rPr>
          <w:rFonts w:ascii="IRNazanin" w:hAnsi="IRNazanin" w:eastAsia="IRNazanin" w:cs="IRNazanin"/>
          <w:lang w:bidi="fa-IR"/>
          <w:color w:val="111111"/>
          <w:sz w:val="28"/>
          <w:szCs w:val="28"/>
          <w:rtl/>
        </w:rPr>
        <w:t xml:space="preserve">تهران؛ مجلس؛ شماره نسخه: ۸۸۲۵/۱۴</w:t>
      </w:r>
    </w:p>
    <w:p>
      <w:pPr>
        <w:pStyle w:val="BookText"/>
      </w:pPr>
      <w:r>
        <w:rPr>
          <w:rFonts w:ascii="IRNazanin" w:hAnsi="IRNazanin" w:eastAsia="IRNazanin" w:cs="IRNazanin"/>
          <w:lang w:bidi="fa-IR"/>
          <w:color w:val="111111"/>
          <w:sz w:val="28"/>
          <w:szCs w:val="28"/>
          <w:rtl/>
        </w:rPr>
        <w:t xml:space="preserve">پیامبران اولوا العزم و اختلاف آرا در ذکر اسامیشان؛ خط: نستعلیق، کا: سید محمد طباطبایی طبیب یزدی، تا: با تاریخ ۱۳۰۱ق، جا؛ تهران؛ کاغذ: فرنگی نخودی آهار مهره، جلد: میشین قهوه ای مجدول، ۲گ (۶۲-۶۳ر)، اندازه: ۳۵/۳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۲۹/۱-۸۵]</w:t>
      </w:r>
    </w:p>
    <w:p>
      <w:pPr>
        <w:pStyle w:val="Heading3"/>
      </w:pPr>
      <w:bookmarkStart w:id="1841" w:name="_Toc1101"/>
      <w:r>
        <w:t>• پیامبران اولوالعزم / ادیان و مذاهب / فارسی</w:t>
      </w:r>
      <w:bookmarkEnd w:id="1841"/>
    </w:p>
    <w:p>
      <w:pPr>
        <w:pStyle w:val="BookText"/>
      </w:pPr>
      <w:r>
        <w:rPr>
          <w:rFonts w:ascii="Times New Roman" w:hAnsi="Times New Roman" w:eastAsia="Times New Roman" w:cs="Times New Roman"/>
          <w:lang w:val="en-US" w:bidi="en-US"/>
          <w:color w:val="111111"/>
          <w:sz w:val="28"/>
          <w:szCs w:val="28"/>
          <w:rtl/>
        </w:rPr>
        <w:t xml:space="preserve">payambaran-e olo-1-azm</w:t>
      </w:r>
    </w:p>
    <w:p>
      <w:pPr>
        <w:pStyle w:val="BookText"/>
      </w:pPr>
      <w:r>
        <w:rPr>
          <w:rFonts w:ascii="IRNazanin" w:hAnsi="IRNazanin" w:eastAsia="IRNazanin" w:cs="IRNazanin"/>
          <w:lang w:bidi="fa-IR"/>
          <w:color w:val="111111"/>
          <w:sz w:val="28"/>
          <w:szCs w:val="28"/>
          <w:rtl/>
        </w:rPr>
        <w:t xml:space="preserve">این رساله در معرفی و مشخصات پیامبران اولوالعزم با کتب آسمانی آنان با روایاتی از آن كتب.</w:t>
      </w:r>
    </w:p>
    <w:p>
      <w:pPr>
        <w:pStyle w:val="BookText"/>
      </w:pPr>
      <w:r>
        <w:rPr>
          <w:rFonts w:ascii="IRNazanin" w:hAnsi="IRNazanin" w:eastAsia="IRNazanin" w:cs="IRNazanin"/>
          <w:lang w:bidi="fa-IR"/>
          <w:color w:val="111111"/>
          <w:sz w:val="28"/>
          <w:szCs w:val="28"/>
          <w:rtl/>
        </w:rPr>
        <w:t xml:space="preserve">اراک، دهگان، شماره نسخه: ۱۳۵/۱۵</w:t>
      </w:r>
    </w:p>
    <w:p>
      <w:pPr>
        <w:pStyle w:val="BookText"/>
      </w:pPr>
      <w:r>
        <w:rPr>
          <w:rFonts w:ascii="IRNazanin" w:hAnsi="IRNazanin" w:eastAsia="IRNazanin" w:cs="IRNazanin"/>
          <w:lang w:bidi="fa-IR"/>
          <w:color w:val="111111"/>
          <w:sz w:val="28"/>
          <w:szCs w:val="28"/>
          <w:rtl/>
        </w:rPr>
        <w:t xml:space="preserve">آغاز: بسمله، بدانکه خداوند عالم و پادشاه بنی آدم کتابها که فرستاده است از جهت پیغمبران؛ انجام: صد و بیست و چهار نقطه نبوت را دریافته باشد .... و هو الموفق المعين خط: نستعلیق، بی کا، بی تا؛ مجدول؛ کاغذ: نخودی آسمانی، جلد: تیماج مشکی مقوایی، ۳گ (۵۴۰ر -۵۴۲ر)، قطع: وزیری،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 ۱۵۹]</w:t>
      </w:r>
    </w:p>
    <w:p>
      <w:pPr>
        <w:pStyle w:val="Heading3"/>
      </w:pPr>
      <w:bookmarkStart w:id="1842" w:name="_Toc1102"/>
      <w:r>
        <w:t>•پیامبران و امامان / تاریخ معصومین، تاریخ پیامبران / عربی</w:t>
      </w:r>
      <w:bookmarkEnd w:id="1842"/>
    </w:p>
    <w:p>
      <w:pPr>
        <w:pStyle w:val="BookText"/>
      </w:pPr>
      <w:r>
        <w:rPr>
          <w:rFonts w:ascii="Times New Roman" w:hAnsi="Times New Roman" w:eastAsia="Times New Roman" w:cs="Times New Roman"/>
          <w:lang w:val="en-US" w:bidi="en-US"/>
          <w:color w:val="111111"/>
          <w:sz w:val="28"/>
          <w:szCs w:val="28"/>
          <w:rtl/>
        </w:rPr>
        <w:t xml:space="preserve">payāmbarān va emāmān</w:t>
      </w:r>
    </w:p>
    <w:p>
      <w:pPr>
        <w:pStyle w:val="BookText"/>
      </w:pPr>
      <w:r>
        <w:rPr>
          <w:rFonts w:ascii="IRNazanin" w:hAnsi="IRNazanin" w:eastAsia="IRNazanin" w:cs="IRNazanin"/>
          <w:lang w:bidi="fa-IR"/>
          <w:color w:val="111111"/>
          <w:sz w:val="28"/>
          <w:szCs w:val="28"/>
          <w:rtl/>
        </w:rPr>
        <w:t xml:space="preserve">تهران؛ ملک؛ شماره نسخه: ۱۶۲۶/۲</w:t>
      </w:r>
    </w:p>
    <w:p>
      <w:pPr>
        <w:pStyle w:val="BookText"/>
      </w:pPr>
      <w:r>
        <w:rPr>
          <w:rFonts w:ascii="IRNazanin" w:hAnsi="IRNazanin" w:eastAsia="IRNazanin" w:cs="IRNazanin"/>
          <w:lang w:bidi="fa-IR"/>
          <w:color w:val="111111"/>
          <w:sz w:val="28"/>
          <w:szCs w:val="28"/>
          <w:rtl/>
        </w:rPr>
        <w:t xml:space="preserve">خط: نسخ، بی کا، تا: ۸۵۶ق [ف: ۵-۳۱۲]</w:t>
      </w:r>
    </w:p>
    <w:p>
      <w:pPr>
        <w:pStyle w:val="Heading3"/>
      </w:pPr>
      <w:bookmarkStart w:id="1843" w:name="_Toc1103"/>
      <w:r>
        <w:t>•پیامبر و امامان / تاریخ معصومین / فارسی</w:t>
      </w:r>
      <w:bookmarkEnd w:id="1843"/>
    </w:p>
    <w:p>
      <w:pPr>
        <w:pStyle w:val="BookText"/>
      </w:pPr>
      <w:r>
        <w:rPr>
          <w:rFonts w:ascii="Times New Roman" w:hAnsi="Times New Roman" w:eastAsia="Times New Roman" w:cs="Times New Roman"/>
          <w:lang w:val="en-US" w:bidi="en-US"/>
          <w:color w:val="111111"/>
          <w:sz w:val="28"/>
          <w:szCs w:val="28"/>
          <w:rtl/>
        </w:rPr>
        <w:t xml:space="preserve">payāmbar va emāmān</w:t>
      </w:r>
    </w:p>
    <w:p>
      <w:pPr>
        <w:pStyle w:val="BookText"/>
      </w:pPr>
      <w:r>
        <w:rPr>
          <w:rFonts w:ascii="IRNazanin" w:hAnsi="IRNazanin" w:eastAsia="IRNazanin" w:cs="IRNazanin"/>
          <w:lang w:bidi="fa-IR"/>
          <w:color w:val="111111"/>
          <w:sz w:val="28"/>
          <w:szCs w:val="28"/>
          <w:rtl/>
        </w:rPr>
        <w:t xml:space="preserve">تهران؛ ملی؛ شماره نسخه: ۱۷۷۱۲</w:t>
      </w:r>
    </w:p>
    <w:p>
      <w:pPr>
        <w:pStyle w:val="BookText"/>
      </w:pPr>
      <w:r>
        <w:rPr>
          <w:rFonts w:ascii="IRNazanin" w:hAnsi="IRNazanin" w:eastAsia="IRNazanin" w:cs="IRNazanin"/>
          <w:lang w:bidi="fa-IR"/>
          <w:color w:val="111111"/>
          <w:sz w:val="28"/>
          <w:szCs w:val="28"/>
          <w:rtl/>
        </w:rPr>
        <w:t xml:space="preserve">درباره پیامبر و ائمه؛ بی کا، بی تا؛ انتقالی از کتابخانه پهلوی - مجموعه نوازی؛ ۲۱۹گ، اندازه: ۲۱/۷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۳۲/۸ سم [رایانه]</w:t>
      </w:r>
    </w:p>
    <w:p>
      <w:pPr>
        <w:pStyle w:val="Heading3"/>
      </w:pPr>
      <w:bookmarkStart w:id="1844" w:name="_Toc1104"/>
      <w:r>
        <w:t>•پیامبری و پیشوائی /عرفان و تصوف / فارسی</w:t>
      </w:r>
      <w:bookmarkEnd w:id="1844"/>
    </w:p>
    <w:p>
      <w:pPr>
        <w:pStyle w:val="BookText"/>
      </w:pPr>
      <w:r>
        <w:rPr>
          <w:rFonts w:ascii="Times New Roman" w:hAnsi="Times New Roman" w:eastAsia="Times New Roman" w:cs="Times New Roman"/>
          <w:lang w:val="en-US" w:bidi="en-US"/>
          <w:color w:val="111111"/>
          <w:sz w:val="28"/>
          <w:szCs w:val="28"/>
          <w:rtl/>
        </w:rPr>
        <w:t xml:space="preserve">payāmbarī va pīšvā'ī</w:t>
      </w:r>
    </w:p>
    <w:p>
      <w:pPr>
        <w:pStyle w:val="BookText"/>
      </w:pPr>
      <w:r>
        <w:rPr>
          <w:rFonts w:ascii="IRNazanin" w:hAnsi="IRNazanin" w:eastAsia="IRNazanin" w:cs="IRNazanin"/>
          <w:lang w:bidi="fa-IR"/>
          <w:color w:val="111111"/>
          <w:sz w:val="28"/>
          <w:szCs w:val="28"/>
          <w:rtl/>
        </w:rPr>
        <w:t xml:space="preserve">نسفی، عزیزالدین بن محمد، ق۷ قمری</w:t>
      </w:r>
    </w:p>
    <w:p>
      <w:pPr>
        <w:pStyle w:val="BookText"/>
      </w:pPr>
      <w:r>
        <w:rPr>
          <w:rFonts w:ascii="Times New Roman" w:hAnsi="Times New Roman" w:eastAsia="Times New Roman" w:cs="Times New Roman"/>
          <w:lang w:val="en-US" w:bidi="en-US"/>
          <w:color w:val="111111"/>
          <w:sz w:val="28"/>
          <w:szCs w:val="28"/>
          <w:rtl/>
        </w:rPr>
        <w:t xml:space="preserve">nasafī, ‘azīz-od-dīn ebn-e mohammad (- 13c)</w:t>
      </w:r>
    </w:p>
    <w:p>
      <w:pPr>
        <w:pStyle w:val="BookText"/>
      </w:pPr>
      <w:r>
        <w:rPr>
          <w:rFonts w:ascii="IRNazanin" w:hAnsi="IRNazanin" w:eastAsia="IRNazanin" w:cs="IRNazanin"/>
          <w:lang w:bidi="fa-IR"/>
          <w:color w:val="111111"/>
          <w:sz w:val="28"/>
          <w:szCs w:val="28"/>
          <w:rtl/>
        </w:rPr>
        <w:t xml:space="preserve">تهران، دانشگاه؛ شماره نسخه: ۵/۵ ۴۰</w:t>
      </w:r>
    </w:p>
    <w:p>
      <w:pPr>
        <w:pStyle w:val="BookText"/>
      </w:pPr>
      <w:r>
        <w:rPr>
          <w:rFonts w:ascii="IRNazanin" w:hAnsi="IRNazanin" w:eastAsia="IRNazanin" w:cs="IRNazanin"/>
          <w:lang w:bidi="fa-IR"/>
          <w:color w:val="111111"/>
          <w:sz w:val="28"/>
          <w:szCs w:val="28"/>
          <w:rtl/>
        </w:rPr>
        <w:t xml:space="preserve">آغاز: بسمله و حمد اما بعد چنین گوید شیخ عزیز بن محمد نسفی طاب ثراه که جماعت درویشان از این بیچاره التماس کردند که در نبوت و ولایت و وحی و الهام و خواب راست رساله جمع کن؛ انجام: اگر قدر نعمت بدانی توانی که آن نعمت را بغنیمت داری و الحمدلله رب العالمين. خط: تعليق، كا: احمد بن عبدالعلی بیک بیوک آبادی همدانی، تا: زمستان ۱۲۸۳ق؛ ۴گ (۸۸ر-۹۱پ) [ف: ۳-۴۴۴]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30" w:name="pg20363_209599"/>
    <w:bookmarkEnd w:id="330"/>
    <w:p>
      <w:pPr>
        <w:pStyle w:val="Heading3"/>
      </w:pPr>
      <w:bookmarkStart w:id="1845" w:name="_Toc1105"/>
      <w:r>
        <w:t>•پیدا شدن حروف و خواص آن / هيئت / فارسی</w:t>
      </w:r>
      <w:bookmarkEnd w:id="1845"/>
    </w:p>
    <w:p>
      <w:pPr>
        <w:pStyle w:val="BookText"/>
      </w:pPr>
      <w:r>
        <w:rPr>
          <w:rFonts w:ascii="Times New Roman" w:hAnsi="Times New Roman" w:eastAsia="Times New Roman" w:cs="Times New Roman"/>
          <w:lang w:val="en-US" w:bidi="en-US"/>
          <w:color w:val="111111"/>
          <w:sz w:val="28"/>
          <w:szCs w:val="28"/>
          <w:rtl/>
        </w:rPr>
        <w:t xml:space="preserve">peydā šodan-e horūf va xavas-e ān</w:t>
      </w:r>
    </w:p>
    <w:p>
      <w:pPr>
        <w:pStyle w:val="BookText"/>
      </w:pPr>
      <w:r>
        <w:rPr>
          <w:rFonts w:ascii="IRNazanin" w:hAnsi="IRNazanin" w:eastAsia="IRNazanin" w:cs="IRNazanin"/>
          <w:lang w:bidi="fa-IR"/>
          <w:color w:val="111111"/>
          <w:sz w:val="28"/>
          <w:szCs w:val="28"/>
          <w:rtl/>
        </w:rPr>
        <w:t xml:space="preserve">تهران؛ مجلس؛ شماره نسخه: ۶۴۶۹/۹</w:t>
      </w:r>
    </w:p>
    <w:p>
      <w:pPr>
        <w:pStyle w:val="BookText"/>
      </w:pPr>
      <w:r>
        <w:rPr>
          <w:rFonts w:ascii="IRNazanin" w:hAnsi="IRNazanin" w:eastAsia="IRNazanin" w:cs="IRNazanin"/>
          <w:lang w:bidi="fa-IR"/>
          <w:color w:val="111111"/>
          <w:sz w:val="28"/>
          <w:szCs w:val="28"/>
          <w:rtl/>
        </w:rPr>
        <w:t xml:space="preserve">آغاز: مقالات ارسطو در پیدا شدن حروف و در خواص او، و بليناس حکیم گوید از اجتماع انقلاب در مواضع مخصوص متولد شد روحانیات مدبرات سالم که ایشان را احداث و معطيات گویند؛ انجام: و در تکثیر و شمار در می آید زیرا که اگر آن را تکثیر کنند حروف مکرر شود و معلوم نگردد که از نام طالبست یا مطلوب و الله اعلم بالصواب</w:t>
      </w:r>
    </w:p>
    <w:p>
      <w:pPr>
        <w:pStyle w:val="BookText"/>
      </w:pPr>
      <w:r>
        <w:rPr>
          <w:rFonts w:ascii="IRNazanin" w:hAnsi="IRNazanin" w:eastAsia="IRNazanin" w:cs="IRNazanin"/>
          <w:lang w:bidi="fa-IR"/>
          <w:color w:val="111111"/>
          <w:sz w:val="28"/>
          <w:szCs w:val="28"/>
          <w:rtl/>
        </w:rPr>
        <w:t xml:space="preserve">خط: نسخ، بی کا، بی تا؛ مجدول؛ جلد: مقوایی با روکش ابر و باد و سر طبل دار، عطف و دور تیماج قهوه ای، وگ (۶۱-۶۹پ)، اندازه: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۲۴/۵سم [ف: ۲۰-۴۷]</w:t>
      </w:r>
    </w:p>
    <w:p>
      <w:pPr>
        <w:pStyle w:val="Heading3"/>
      </w:pPr>
      <w:bookmarkStart w:id="1846" w:name="_Toc1106"/>
      <w:r>
        <w:t>• پیدا کردن سهام از زایچه = سهام السعادة / هيئت / فارسی</w:t>
      </w:r>
      <w:bookmarkEnd w:id="1846"/>
    </w:p>
    <w:p>
      <w:pPr>
        <w:pStyle w:val="BookText"/>
      </w:pPr>
      <w:r>
        <w:rPr>
          <w:rFonts w:ascii="Times New Roman" w:hAnsi="Times New Roman" w:eastAsia="Times New Roman" w:cs="Times New Roman"/>
          <w:lang w:val="en-US" w:bidi="en-US"/>
          <w:color w:val="111111"/>
          <w:sz w:val="28"/>
          <w:szCs w:val="28"/>
          <w:rtl/>
        </w:rPr>
        <w:t xml:space="preserve">peydā kardan-e sahām az zāyčhe = sahām-os saʻāda</w:t>
      </w:r>
    </w:p>
    <w:p>
      <w:pPr>
        <w:pStyle w:val="BookText"/>
      </w:pPr>
      <w:r>
        <w:rPr>
          <w:rFonts w:ascii="IRNazanin" w:hAnsi="IRNazanin" w:eastAsia="IRNazanin" w:cs="IRNazanin"/>
          <w:lang w:bidi="fa-IR"/>
          <w:color w:val="111111"/>
          <w:sz w:val="28"/>
          <w:szCs w:val="28"/>
          <w:rtl/>
        </w:rPr>
        <w:t xml:space="preserve">۱. تهران؛ مجلس؛ شماره نسخه: ۴۰۹/۱ -طباطبائی</w:t>
      </w:r>
    </w:p>
    <w:p>
      <w:pPr>
        <w:pStyle w:val="BookText"/>
      </w:pPr>
      <w:r>
        <w:rPr>
          <w:rFonts w:ascii="IRNazanin" w:hAnsi="IRNazanin" w:eastAsia="IRNazanin" w:cs="IRNazanin"/>
          <w:lang w:bidi="fa-IR"/>
          <w:color w:val="111111"/>
          <w:sz w:val="28"/>
          <w:szCs w:val="28"/>
          <w:rtl/>
        </w:rPr>
        <w:t xml:space="preserve">آغاز: بسمله طریق پیدا کردن سهام آن است که نظر کنند در صورت زایجه تحویل سال یا طالع موجود بخشی از کتابی (ظاهرا) در احکام نجوم درباره طريق استخراج سهم السعاده و سهم الغيب؛ خط: نستعلیق، بی کا، تا: قرن ۱۳؛ کاغذ: فرنگی زرد و آبی، جلد: تیماج سرمه ای، ۲گ (۲پ -۳پ)، ۱۴ سطر، قطع: خشتی،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۲۲-۱۶۳]</w:t>
      </w:r>
    </w:p>
    <w:p>
      <w:pPr>
        <w:pStyle w:val="BookText"/>
      </w:pPr>
      <w:r>
        <w:rPr>
          <w:rFonts w:ascii="IRNazanin" w:hAnsi="IRNazanin" w:eastAsia="IRNazanin" w:cs="IRNazanin"/>
          <w:lang w:bidi="fa-IR"/>
          <w:color w:val="111111"/>
          <w:sz w:val="28"/>
          <w:szCs w:val="28"/>
          <w:rtl/>
        </w:rPr>
        <w:t xml:space="preserve">۲. تهران: مجلس؛ شماره نسخه: ۶۹۱۹/۵</w:t>
      </w:r>
    </w:p>
    <w:p>
      <w:pPr>
        <w:pStyle w:val="BookText"/>
      </w:pPr>
      <w:r>
        <w:rPr>
          <w:rFonts w:ascii="IRNazanin" w:hAnsi="IRNazanin" w:eastAsia="IRNazanin" w:cs="IRNazanin"/>
          <w:lang w:bidi="fa-IR"/>
          <w:color w:val="111111"/>
          <w:sz w:val="28"/>
          <w:szCs w:val="28"/>
          <w:rtl/>
        </w:rPr>
        <w:t xml:space="preserve">خط: نستعلیق، بی کا، بی تا؛ ؛ جلد: تیماج قهوه ای مجدول ضربی، کگی (۳۶-۳۷پ)،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۲۰-۳۴۴)</w:t>
      </w:r>
    </w:p>
    <w:p>
      <w:pPr>
        <w:pStyle w:val="Heading3"/>
      </w:pPr>
      <w:bookmarkStart w:id="1847" w:name="_Toc1107"/>
      <w:r>
        <w:t>•پیدایش آمریکا / تاریخ جهان / فارسی</w:t>
      </w:r>
      <w:bookmarkEnd w:id="1847"/>
    </w:p>
    <w:p>
      <w:pPr>
        <w:pStyle w:val="BookText"/>
      </w:pPr>
      <w:r>
        <w:rPr>
          <w:rFonts w:ascii="Times New Roman" w:hAnsi="Times New Roman" w:eastAsia="Times New Roman" w:cs="Times New Roman"/>
          <w:lang w:val="en-US" w:bidi="en-US"/>
          <w:color w:val="111111"/>
          <w:sz w:val="28"/>
          <w:szCs w:val="28"/>
          <w:rtl/>
        </w:rPr>
        <w:t xml:space="preserve">peydāyes-e āmrīkā</w:t>
      </w:r>
    </w:p>
    <w:p>
      <w:pPr>
        <w:pStyle w:val="BookText"/>
      </w:pPr>
      <w:r>
        <w:rPr>
          <w:rFonts w:ascii="IRNazanin" w:hAnsi="IRNazanin" w:eastAsia="IRNazanin" w:cs="IRNazanin"/>
          <w:lang w:bidi="fa-IR"/>
          <w:color w:val="111111"/>
          <w:sz w:val="28"/>
          <w:szCs w:val="28"/>
          <w:rtl/>
        </w:rPr>
        <w:t xml:space="preserve">کسروی، احمد، ۱۲۶۹-۱۳۲۴ شمسی</w:t>
      </w:r>
    </w:p>
    <w:p>
      <w:pPr>
        <w:pStyle w:val="BookText"/>
      </w:pPr>
      <w:r>
        <w:rPr>
          <w:rFonts w:ascii="Times New Roman" w:hAnsi="Times New Roman" w:eastAsia="Times New Roman" w:cs="Times New Roman"/>
          <w:lang w:val="en-US" w:bidi="en-US"/>
          <w:color w:val="111111"/>
          <w:sz w:val="28"/>
          <w:szCs w:val="28"/>
          <w:rtl/>
        </w:rPr>
        <w:t xml:space="preserve">kasravī, ahmad (1890-1945)</w:t>
      </w:r>
    </w:p>
    <w:p>
      <w:pPr>
        <w:pStyle w:val="BookText"/>
      </w:pPr>
      <w:r>
        <w:rPr>
          <w:rFonts w:ascii="IRNazanin" w:hAnsi="IRNazanin" w:eastAsia="IRNazanin" w:cs="IRNazanin"/>
          <w:lang w:bidi="fa-IR"/>
          <w:color w:val="111111"/>
          <w:sz w:val="28"/>
          <w:szCs w:val="28"/>
          <w:rtl/>
        </w:rPr>
        <w:t xml:space="preserve">تاریخ تأليف: ۱۳۲۴.</w:t>
      </w:r>
    </w:p>
    <w:p>
      <w:pPr>
        <w:pStyle w:val="BookText"/>
      </w:pPr>
      <w:r>
        <w:rPr>
          <w:rFonts w:ascii="IRNazanin" w:hAnsi="IRNazanin" w:eastAsia="IRNazanin" w:cs="IRNazanin"/>
          <w:lang w:bidi="fa-IR"/>
          <w:color w:val="111111"/>
          <w:sz w:val="28"/>
          <w:szCs w:val="28"/>
          <w:rtl/>
        </w:rPr>
        <w:t xml:space="preserve">تهران؛ دانشگاه؛ شماره نسخه: ۴۷۵۲/۱۷ -۴۷۵۴-ف</w:t>
      </w:r>
    </w:p>
    <w:p>
      <w:pPr>
        <w:pStyle w:val="BookText"/>
      </w:pPr>
      <w:r>
        <w:rPr>
          <w:rFonts w:ascii="IRNazanin" w:hAnsi="IRNazanin" w:eastAsia="IRNazanin" w:cs="IRNazanin"/>
          <w:lang w:bidi="fa-IR"/>
          <w:color w:val="111111"/>
          <w:sz w:val="28"/>
          <w:szCs w:val="28"/>
          <w:rtl/>
        </w:rPr>
        <w:t xml:space="preserve">بی کا، بی تا فیلمها [ف: ۳-۹۹]</w:t>
      </w:r>
    </w:p>
    <w:p>
      <w:pPr>
        <w:pStyle w:val="Heading3"/>
      </w:pPr>
      <w:bookmarkStart w:id="1848" w:name="_Toc1108"/>
      <w:r>
        <w:t>•پیدایش پزشکی و تحقیق در الهام و لذت عقلی / طب / فارسی</w:t>
      </w:r>
      <w:bookmarkEnd w:id="1848"/>
    </w:p>
    <w:p>
      <w:pPr>
        <w:pStyle w:val="BookText"/>
      </w:pPr>
      <w:r>
        <w:rPr>
          <w:rFonts w:ascii="Times New Roman" w:hAnsi="Times New Roman" w:eastAsia="Times New Roman" w:cs="Times New Roman"/>
          <w:lang w:val="en-US" w:bidi="en-US"/>
          <w:color w:val="111111"/>
          <w:sz w:val="28"/>
          <w:szCs w:val="28"/>
          <w:rtl/>
        </w:rPr>
        <w:t xml:space="preserve">peydāyes-e pezeškī va tahqīq dar elhām va lezzat-e 'aqlī</w:t>
      </w:r>
    </w:p>
    <w:p>
      <w:pPr>
        <w:pStyle w:val="BookText"/>
      </w:pPr>
      <w:r>
        <w:rPr>
          <w:rFonts w:ascii="IRNazanin" w:hAnsi="IRNazanin" w:eastAsia="IRNazanin" w:cs="IRNazanin"/>
          <w:lang w:bidi="fa-IR"/>
          <w:color w:val="111111"/>
          <w:sz w:val="28"/>
          <w:szCs w:val="28"/>
          <w:rtl/>
        </w:rPr>
        <w:t xml:space="preserve">نظام الدین گیلانی، احمد بن محمد، -۱۰۵۹ قمری</w:t>
      </w:r>
    </w:p>
    <w:p>
      <w:pPr>
        <w:pStyle w:val="BookText"/>
      </w:pPr>
      <w:r>
        <w:rPr>
          <w:rFonts w:ascii="Times New Roman" w:hAnsi="Times New Roman" w:eastAsia="Times New Roman" w:cs="Times New Roman"/>
          <w:lang w:val="en-US" w:bidi="en-US"/>
          <w:color w:val="111111"/>
          <w:sz w:val="28"/>
          <w:szCs w:val="28"/>
          <w:rtl/>
        </w:rPr>
        <w:t xml:space="preserve">nezām-od-dīn-e gīlānī, ahmad ebn-e mohammad ( 1649)</w:t>
      </w:r>
    </w:p>
    <w:p>
      <w:pPr>
        <w:pStyle w:val="BookText"/>
      </w:pPr>
      <w:r>
        <w:rPr>
          <w:rFonts w:ascii="IRNazanin" w:hAnsi="IRNazanin" w:eastAsia="IRNazanin" w:cs="IRNazanin"/>
          <w:lang w:bidi="fa-IR"/>
          <w:color w:val="111111"/>
          <w:sz w:val="28"/>
          <w:szCs w:val="28"/>
          <w:rtl/>
        </w:rPr>
        <w:t xml:space="preserve">دارای سه «فصل». در پایان آمده «چنانکه امیر کل امیر در کتاب مستطاب نهج البلاغه که فقیر آن را ترجمه به فارسی کرده و شرح عربی نموده است».</w:t>
      </w:r>
    </w:p>
    <w:p>
      <w:pPr>
        <w:pStyle w:val="BookText"/>
      </w:pPr>
      <w:r>
        <w:rPr>
          <w:rFonts w:ascii="IRNazanin" w:hAnsi="IRNazanin" w:eastAsia="IRNazanin" w:cs="IRNazanin"/>
          <w:lang w:bidi="fa-IR"/>
          <w:color w:val="111111"/>
          <w:sz w:val="28"/>
          <w:szCs w:val="28"/>
          <w:rtl/>
        </w:rPr>
        <w:t xml:space="preserve">[فهرستواره منزوی ۳۳۲۹/۵ ]</w:t>
      </w:r>
    </w:p>
    <w:p>
      <w:pPr>
        <w:pStyle w:val="BookText"/>
      </w:pPr>
      <w:r>
        <w:rPr>
          <w:rFonts w:ascii="IRNazanin" w:hAnsi="IRNazanin" w:eastAsia="IRNazanin" w:cs="IRNazanin"/>
          <w:lang w:bidi="fa-IR"/>
          <w:color w:val="111111"/>
          <w:sz w:val="28"/>
          <w:szCs w:val="28"/>
          <w:rtl/>
        </w:rPr>
        <w:t xml:space="preserve">تهران؛ دانشگاه؛ شماره نسخه: ۳۲۲۳/۵</w:t>
      </w:r>
    </w:p>
    <w:p>
      <w:pPr>
        <w:pStyle w:val="BookText"/>
      </w:pPr>
      <w:r>
        <w:rPr>
          <w:rFonts w:ascii="IRNazanin" w:hAnsi="IRNazanin" w:eastAsia="IRNazanin" w:cs="IRNazanin"/>
          <w:lang w:bidi="fa-IR"/>
          <w:color w:val="111111"/>
          <w:sz w:val="28"/>
          <w:szCs w:val="28"/>
          <w:rtl/>
        </w:rPr>
        <w:t xml:space="preserve">خط: نستعلیق</w:t>
      </w:r>
    </w:p>
    <w:p>
      <w:pPr>
        <w:pStyle w:val="BookText"/>
      </w:pPr>
      <w:r>
        <w:rPr>
          <w:rFonts w:ascii="IRNazanin" w:hAnsi="IRNazanin" w:eastAsia="IRNazanin" w:cs="IRNazanin"/>
          <w:lang w:bidi="fa-IR"/>
          <w:color w:val="111111"/>
          <w:sz w:val="28"/>
          <w:szCs w:val="28"/>
          <w:rtl/>
        </w:rPr>
        <w:t xml:space="preserve">خوش، بی کا، تا: آغاز قرن ۱۱؛ کاغذ: سپاهانی، جلد: مقوایی آراسته عطف تیماج مشکی، لاگ (۵۶-۶۲)، ۱۸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۱۱-۲۱۸۳ ]</w:t>
      </w:r>
    </w:p>
    <w:p>
      <w:pPr>
        <w:pStyle w:val="Heading3"/>
      </w:pPr>
      <w:bookmarkStart w:id="1849" w:name="_Toc1109"/>
      <w:r>
        <w:t>•پیدایش دیوان و برهمنان / داستان / فارسی</w:t>
      </w:r>
      <w:bookmarkEnd w:id="1849"/>
    </w:p>
    <w:p>
      <w:pPr>
        <w:pStyle w:val="BookText"/>
      </w:pPr>
      <w:r>
        <w:rPr>
          <w:rFonts w:ascii="Times New Roman" w:hAnsi="Times New Roman" w:eastAsia="Times New Roman" w:cs="Times New Roman"/>
          <w:lang w:val="en-US" w:bidi="en-US"/>
          <w:color w:val="111111"/>
          <w:sz w:val="28"/>
          <w:szCs w:val="28"/>
          <w:rtl/>
        </w:rPr>
        <w:t xml:space="preserve">peydāyes-e dīvan va berahmanān</w:t>
      </w:r>
    </w:p>
    <w:p>
      <w:pPr>
        <w:pStyle w:val="BookText"/>
      </w:pPr>
      <w:r>
        <w:rPr>
          <w:rFonts w:ascii="IRNazanin" w:hAnsi="IRNazanin" w:eastAsia="IRNazanin" w:cs="IRNazanin"/>
          <w:lang w:bidi="fa-IR"/>
          <w:color w:val="111111"/>
          <w:sz w:val="28"/>
          <w:szCs w:val="28"/>
          <w:rtl/>
        </w:rPr>
        <w:t xml:space="preserve">از افسانه های هند است.</w:t>
      </w:r>
    </w:p>
    <w:p>
      <w:pPr>
        <w:pStyle w:val="BookText"/>
      </w:pPr>
      <w:r>
        <w:rPr>
          <w:rFonts w:ascii="IRNazanin" w:hAnsi="IRNazanin" w:eastAsia="IRNazanin" w:cs="IRNazanin"/>
          <w:lang w:bidi="fa-IR"/>
          <w:color w:val="111111"/>
          <w:sz w:val="28"/>
          <w:szCs w:val="28"/>
          <w:rtl/>
        </w:rPr>
        <w:t xml:space="preserve">[ فهرستواره منزوی ۴۱۰/۱ ]</w:t>
      </w:r>
    </w:p>
    <w:p>
      <w:pPr>
        <w:pStyle w:val="BookText"/>
      </w:pPr>
      <w:r>
        <w:rPr>
          <w:rFonts w:ascii="IRNazanin" w:hAnsi="IRNazanin" w:eastAsia="IRNazanin" w:cs="IRNazanin"/>
          <w:lang w:bidi="fa-IR"/>
          <w:color w:val="111111"/>
          <w:sz w:val="28"/>
          <w:szCs w:val="28"/>
          <w:rtl/>
        </w:rPr>
        <w:t xml:space="preserve">تهران؛ دانشگاه؛ شماره نسخه: ۲۵۹۷/۱</w:t>
      </w:r>
    </w:p>
    <w:p>
      <w:pPr>
        <w:pStyle w:val="BookText"/>
      </w:pPr>
      <w:r>
        <w:rPr>
          <w:rFonts w:ascii="IRNazanin" w:hAnsi="IRNazanin" w:eastAsia="IRNazanin" w:cs="IRNazanin"/>
          <w:lang w:bidi="fa-IR"/>
          <w:color w:val="111111"/>
          <w:sz w:val="28"/>
          <w:szCs w:val="28"/>
          <w:rtl/>
        </w:rPr>
        <w:t xml:space="preserve">آغاز: بدانکه چون تقدیر خدای تعالی نوبت دیوان در عالم رسانید و دیوان را پدید آورد اول دیو که آفریده شد مارج نام بود؛ انجام ایشان این نوع در مذهب خویش درست گرفته و روا داشته اند و آن باطل است</w:t>
      </w:r>
    </w:p>
    <w:p>
      <w:pPr>
        <w:pStyle w:val="BookText"/>
      </w:pPr>
      <w:r>
        <w:rPr>
          <w:rFonts w:ascii="IRNazanin" w:hAnsi="IRNazanin" w:eastAsia="IRNazanin" w:cs="IRNazanin"/>
          <w:lang w:bidi="fa-IR"/>
          <w:color w:val="111111"/>
          <w:sz w:val="28"/>
          <w:szCs w:val="28"/>
          <w:rtl/>
        </w:rPr>
        <w:t xml:space="preserve">خط: نستعلیق، کا: محمود بن خضر حسینی بخاری، بی تا، کاغذ: سپاهانی، جلد: تیماج مشکی ضربی مقوایی گرد و عطف سرخ، ۱۷ص (۴-۲۰)، ۲۵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۹سم [ف: ۹-۱۴۴۴]</w:t>
      </w:r>
    </w:p>
    <w:p>
      <w:pPr>
        <w:pStyle w:val="Heading3"/>
      </w:pPr>
      <w:bookmarkStart w:id="1850" w:name="_Toc1110"/>
      <w:r>
        <w:t>•پیدایش موسیقی / موسیقی / فارسی</w:t>
      </w:r>
      <w:bookmarkEnd w:id="1850"/>
    </w:p>
    <w:p>
      <w:pPr>
        <w:pStyle w:val="BookText"/>
      </w:pPr>
      <w:r>
        <w:rPr>
          <w:rFonts w:ascii="Times New Roman" w:hAnsi="Times New Roman" w:eastAsia="Times New Roman" w:cs="Times New Roman"/>
          <w:lang w:val="en-US" w:bidi="en-US"/>
          <w:color w:val="111111"/>
          <w:sz w:val="28"/>
          <w:szCs w:val="28"/>
          <w:rtl/>
        </w:rPr>
        <w:t xml:space="preserve">peydāyes-e mūsīqi</w:t>
      </w:r>
    </w:p>
    <w:p>
      <w:pPr>
        <w:pStyle w:val="BookText"/>
      </w:pPr>
      <w:r>
        <w:rPr>
          <w:rFonts w:ascii="IRNazanin" w:hAnsi="IRNazanin" w:eastAsia="IRNazanin" w:cs="IRNazanin"/>
          <w:lang w:bidi="fa-IR"/>
          <w:color w:val="111111"/>
          <w:sz w:val="28"/>
          <w:szCs w:val="28"/>
          <w:rtl/>
        </w:rPr>
        <w:t xml:space="preserve">تهران؛ ملک؛ شماره نسخه: ۴۵۸۳/۳</w:t>
      </w:r>
    </w:p>
    <w:p>
      <w:pPr>
        <w:pStyle w:val="BookText"/>
      </w:pPr>
      <w:r>
        <w:rPr>
          <w:rFonts w:ascii="IRNazanin" w:hAnsi="IRNazanin" w:eastAsia="IRNazanin" w:cs="IRNazanin"/>
          <w:lang w:bidi="fa-IR"/>
          <w:color w:val="111111"/>
          <w:sz w:val="28"/>
          <w:szCs w:val="28"/>
          <w:rtl/>
        </w:rPr>
        <w:t xml:space="preserve">آغاز: بدانکه در پیدا شدن علم موسیقی اختلافاست؛ انجام: راست للمفارج، تمت الكتاب. خط: نستعلیق، بی کا، بی تا؛ مجدول؛ کاغذ: فرنگی، جلد: میشن سبز لائی، ۱۵ سطر، اندازه:</w:t>
      </w:r>
    </w:p>
    <w:p>
      <w:pPr>
        <w:pStyle w:val="BookText"/>
      </w:pPr>
      <w:r>
        <w:rPr>
          <w:rFonts w:ascii="IRNazanin" w:hAnsi="IRNazanin" w:eastAsia="IRNazanin" w:cs="IRNazanin"/>
          <w:lang w:bidi="fa-IR"/>
          <w:color w:val="111111"/>
          <w:sz w:val="28"/>
          <w:szCs w:val="28"/>
          <w:rtl/>
        </w:rPr>
        <w:t xml:space="preserve">۲۱/۲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۱۳/۸ سم [ف: ۷-۴۳۴]</w:t>
      </w:r>
    </w:p>
    <w:p>
      <w:pPr>
        <w:pStyle w:val="BookText"/>
      </w:pPr>
      <w:r>
        <w:rPr>
          <w:rFonts w:ascii="IRNazanin" w:hAnsi="IRNazanin" w:eastAsia="IRNazanin" w:cs="IRNazanin"/>
          <w:lang w:bidi="fa-IR"/>
          <w:color w:val="111111"/>
          <w:sz w:val="28"/>
          <w:szCs w:val="28"/>
          <w:rtl/>
        </w:rPr>
        <w:t xml:space="preserve">← پیدایش ینگی دنیا ← کشف امریکا</w:t>
      </w:r>
    </w:p>
    <w:p>
      <w:pPr>
        <w:pStyle w:val="Heading3"/>
      </w:pPr>
      <w:bookmarkStart w:id="1851" w:name="_Toc1111"/>
      <w:r>
        <w:t>•پیرامون ادبیات / ادبیات / فارسی</w:t>
      </w:r>
      <w:bookmarkEnd w:id="1851"/>
    </w:p>
    <w:p>
      <w:pPr>
        <w:pStyle w:val="BookText"/>
      </w:pPr>
      <w:r>
        <w:rPr>
          <w:rFonts w:ascii="Times New Roman" w:hAnsi="Times New Roman" w:eastAsia="Times New Roman" w:cs="Times New Roman"/>
          <w:lang w:val="en-US" w:bidi="en-US"/>
          <w:color w:val="111111"/>
          <w:sz w:val="28"/>
          <w:szCs w:val="28"/>
          <w:rtl/>
        </w:rPr>
        <w:t xml:space="preserve">pīrāmūn-e adabīyāt</w:t>
      </w:r>
    </w:p>
    <w:p>
      <w:pPr>
        <w:pStyle w:val="BookText"/>
      </w:pPr>
      <w:r>
        <w:rPr>
          <w:rFonts w:ascii="IRNazanin" w:hAnsi="IRNazanin" w:eastAsia="IRNazanin" w:cs="IRNazanin"/>
          <w:lang w:bidi="fa-IR"/>
          <w:color w:val="111111"/>
          <w:sz w:val="28"/>
          <w:szCs w:val="28"/>
          <w:rtl/>
        </w:rPr>
        <w:t xml:space="preserve">کسروی، احمد، ۱۲۶۹-۱۳۲۴ شمسی</w:t>
      </w:r>
    </w:p>
    <w:p>
      <w:pPr>
        <w:pStyle w:val="BookText"/>
      </w:pPr>
      <w:r>
        <w:rPr>
          <w:rFonts w:ascii="Times New Roman" w:hAnsi="Times New Roman" w:eastAsia="Times New Roman" w:cs="Times New Roman"/>
          <w:lang w:val="en-US" w:bidi="en-US"/>
          <w:color w:val="111111"/>
          <w:sz w:val="28"/>
          <w:szCs w:val="28"/>
          <w:rtl/>
        </w:rPr>
        <w:t xml:space="preserve">kasravī, ahmad (1890-1945)</w:t>
      </w:r>
    </w:p>
    <w:p>
      <w:pPr>
        <w:pStyle w:val="BookText"/>
      </w:pPr>
      <w:r>
        <w:rPr>
          <w:rFonts w:ascii="Amiri" w:hAnsi="Amiri" w:eastAsia="Amiri" w:cs="Amiri"/>
          <w:lang w:bidi="ar-SA"/>
          <w:color w:val="111111"/>
          <w:sz w:val="28"/>
          <w:szCs w:val="28"/>
          <w:rtl/>
        </w:rPr>
        <w:t xml:space="preserve">تاريخ تأليف: ۱۳۲۳ق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31" w:name="pg20363_209600"/>
    <w:bookmarkEnd w:id="331"/>
    <w:p>
      <w:pPr>
        <w:pStyle w:val="BookText"/>
      </w:pPr>
      <w:r>
        <w:rPr>
          <w:rFonts w:ascii="IRNazanin" w:hAnsi="IRNazanin" w:eastAsia="IRNazanin" w:cs="IRNazanin"/>
          <w:lang w:bidi="fa-IR"/>
          <w:color w:val="111111"/>
          <w:sz w:val="28"/>
          <w:szCs w:val="28"/>
          <w:rtl/>
        </w:rPr>
        <w:t xml:space="preserve">تهران؛ دانشگاه؛ شماره نسخه: ۴۷۵۲/۳۲ -۴۷۵۴-ف</w:t>
      </w:r>
    </w:p>
    <w:p>
      <w:pPr>
        <w:pStyle w:val="BookText"/>
      </w:pPr>
      <w:r>
        <w:rPr>
          <w:rFonts w:ascii="IRNazanin" w:hAnsi="IRNazanin" w:eastAsia="IRNazanin" w:cs="IRNazanin"/>
          <w:lang w:bidi="fa-IR"/>
          <w:color w:val="111111"/>
          <w:sz w:val="28"/>
          <w:szCs w:val="28"/>
          <w:rtl/>
        </w:rPr>
        <w:t xml:space="preserve">بی کا، بی تا [فيلمها ف: ۳-۱۰۰]</w:t>
      </w:r>
    </w:p>
    <w:p>
      <w:pPr>
        <w:pStyle w:val="Heading3"/>
      </w:pPr>
      <w:bookmarkStart w:id="1852" w:name="_Toc1112"/>
      <w:r>
        <w:t>• پیرامون اسلام / كلام و اعتقادات / فارسی</w:t>
      </w:r>
      <w:bookmarkEnd w:id="1852"/>
    </w:p>
    <w:p>
      <w:pPr>
        <w:pStyle w:val="BookText"/>
      </w:pPr>
      <w:r>
        <w:rPr>
          <w:rFonts w:ascii="Times New Roman" w:hAnsi="Times New Roman" w:eastAsia="Times New Roman" w:cs="Times New Roman"/>
          <w:lang w:val="en-US" w:bidi="en-US"/>
          <w:color w:val="111111"/>
          <w:sz w:val="28"/>
          <w:szCs w:val="28"/>
          <w:rtl/>
        </w:rPr>
        <w:t xml:space="preserve">pīrāmūn-e eslām</w:t>
      </w:r>
    </w:p>
    <w:p>
      <w:pPr>
        <w:pStyle w:val="BookText"/>
      </w:pPr>
      <w:r>
        <w:rPr>
          <w:rFonts w:ascii="IRNazanin" w:hAnsi="IRNazanin" w:eastAsia="IRNazanin" w:cs="IRNazanin"/>
          <w:lang w:bidi="fa-IR"/>
          <w:color w:val="111111"/>
          <w:sz w:val="28"/>
          <w:szCs w:val="28"/>
          <w:rtl/>
        </w:rPr>
        <w:t xml:space="preserve">کسروی، احمد، ۱۲۶۹-۱۳۲۴ شمسی</w:t>
      </w:r>
    </w:p>
    <w:p>
      <w:pPr>
        <w:pStyle w:val="BookText"/>
      </w:pPr>
      <w:r>
        <w:rPr>
          <w:rFonts w:ascii="Times New Roman" w:hAnsi="Times New Roman" w:eastAsia="Times New Roman" w:cs="Times New Roman"/>
          <w:lang w:val="en-US" w:bidi="en-US"/>
          <w:color w:val="111111"/>
          <w:sz w:val="28"/>
          <w:szCs w:val="28"/>
          <w:rtl/>
        </w:rPr>
        <w:t xml:space="preserve">kasravī, ahmad (1890-1945)</w:t>
      </w:r>
    </w:p>
    <w:p>
      <w:pPr>
        <w:pStyle w:val="BookText"/>
      </w:pPr>
      <w:r>
        <w:rPr>
          <w:rFonts w:ascii="IRNazanin" w:hAnsi="IRNazanin" w:eastAsia="IRNazanin" w:cs="IRNazanin"/>
          <w:lang w:bidi="fa-IR"/>
          <w:color w:val="111111"/>
          <w:sz w:val="28"/>
          <w:szCs w:val="28"/>
          <w:rtl/>
        </w:rPr>
        <w:t xml:space="preserve">در سال های: ۱۳۲۰ و ۱۳۲۳ و ۱۳۳۲.</w:t>
      </w:r>
    </w:p>
    <w:p>
      <w:pPr>
        <w:pStyle w:val="BookText"/>
      </w:pPr>
      <w:r>
        <w:rPr>
          <w:rFonts w:ascii="IRNazanin" w:hAnsi="IRNazanin" w:eastAsia="IRNazanin" w:cs="IRNazanin"/>
          <w:lang w:bidi="fa-IR"/>
          <w:color w:val="111111"/>
          <w:sz w:val="28"/>
          <w:szCs w:val="28"/>
          <w:rtl/>
        </w:rPr>
        <w:t xml:space="preserve">تهران؛ دانشگاه؛ شماره نسخه: ۴۷۵۲/۳۳ -۴۷۵۴-ف</w:t>
      </w:r>
    </w:p>
    <w:p>
      <w:pPr>
        <w:pStyle w:val="BookText"/>
      </w:pPr>
      <w:r>
        <w:rPr>
          <w:rFonts w:ascii="IRNazanin" w:hAnsi="IRNazanin" w:eastAsia="IRNazanin" w:cs="IRNazanin"/>
          <w:lang w:bidi="fa-IR"/>
          <w:color w:val="111111"/>
          <w:sz w:val="28"/>
          <w:szCs w:val="28"/>
          <w:rtl/>
        </w:rPr>
        <w:t xml:space="preserve">بی کا، بیتا (فیلمها ف: ۳-۱۰۰]</w:t>
      </w:r>
    </w:p>
    <w:p>
      <w:pPr>
        <w:pStyle w:val="Heading3"/>
      </w:pPr>
      <w:bookmarkStart w:id="1853" w:name="_Toc1113"/>
      <w:r>
        <w:t>•پیرامون اصلاحات / حكومت و سیاست / فارسی</w:t>
      </w:r>
      <w:bookmarkEnd w:id="1853"/>
    </w:p>
    <w:p>
      <w:pPr>
        <w:pStyle w:val="BookText"/>
      </w:pPr>
      <w:r>
        <w:rPr>
          <w:rFonts w:ascii="Times New Roman" w:hAnsi="Times New Roman" w:eastAsia="Times New Roman" w:cs="Times New Roman"/>
          <w:lang w:val="en-US" w:bidi="en-US"/>
          <w:color w:val="111111"/>
          <w:sz w:val="28"/>
          <w:szCs w:val="28"/>
          <w:rtl/>
        </w:rPr>
        <w:t xml:space="preserve">pīrāmūn-e eslāhāt</w:t>
      </w:r>
    </w:p>
    <w:p>
      <w:pPr>
        <w:pStyle w:val="BookText"/>
      </w:pPr>
      <w:r>
        <w:rPr>
          <w:rFonts w:ascii="IRNazanin" w:hAnsi="IRNazanin" w:eastAsia="IRNazanin" w:cs="IRNazanin"/>
          <w:lang w:bidi="fa-IR"/>
          <w:color w:val="111111"/>
          <w:sz w:val="28"/>
          <w:szCs w:val="28"/>
          <w:rtl/>
        </w:rPr>
        <w:t xml:space="preserve">کسروی، احمد، ۱۲۶۹-۱۳۲۴ شمسی</w:t>
      </w:r>
    </w:p>
    <w:p>
      <w:pPr>
        <w:pStyle w:val="BookText"/>
      </w:pPr>
      <w:r>
        <w:rPr>
          <w:rFonts w:ascii="Times New Roman" w:hAnsi="Times New Roman" w:eastAsia="Times New Roman" w:cs="Times New Roman"/>
          <w:lang w:val="en-US" w:bidi="en-US"/>
          <w:color w:val="111111"/>
          <w:sz w:val="28"/>
          <w:szCs w:val="28"/>
          <w:rtl/>
        </w:rPr>
        <w:t xml:space="preserve">kasravī, ahmad (1890-1945)</w:t>
      </w:r>
    </w:p>
    <w:p>
      <w:pPr>
        <w:pStyle w:val="BookText"/>
      </w:pPr>
      <w:r>
        <w:rPr>
          <w:rFonts w:ascii="IRNazanin" w:hAnsi="IRNazanin" w:eastAsia="IRNazanin" w:cs="IRNazanin"/>
          <w:lang w:bidi="fa-IR"/>
          <w:color w:val="111111"/>
          <w:sz w:val="28"/>
          <w:szCs w:val="28"/>
          <w:rtl/>
        </w:rPr>
        <w:t xml:space="preserve">تهران؛ دانشگاه؛ شماره نسخه: ۴۷۵۲/۳۴ -۴۷۵۴-ف</w:t>
      </w:r>
    </w:p>
    <w:p>
      <w:pPr>
        <w:pStyle w:val="BookText"/>
      </w:pPr>
      <w:r>
        <w:rPr>
          <w:rFonts w:ascii="IRNazanin" w:hAnsi="IRNazanin" w:eastAsia="IRNazanin" w:cs="IRNazanin"/>
          <w:lang w:bidi="fa-IR"/>
          <w:color w:val="111111"/>
          <w:sz w:val="28"/>
          <w:szCs w:val="28"/>
          <w:rtl/>
        </w:rPr>
        <w:t xml:space="preserve">بی کا، بی تا [فيلمها ف: ۳-۱۰۰]</w:t>
      </w:r>
    </w:p>
    <w:p>
      <w:pPr>
        <w:pStyle w:val="Heading3"/>
      </w:pPr>
      <w:bookmarkStart w:id="1854" w:name="_Toc1114"/>
      <w:r>
        <w:t>•پیرامون جانوران / حيوان شناسی / فارسی</w:t>
      </w:r>
      <w:bookmarkEnd w:id="1854"/>
    </w:p>
    <w:p>
      <w:pPr>
        <w:pStyle w:val="BookText"/>
      </w:pPr>
      <w:r>
        <w:rPr>
          <w:rFonts w:ascii="Times New Roman" w:hAnsi="Times New Roman" w:eastAsia="Times New Roman" w:cs="Times New Roman"/>
          <w:lang w:val="en-US" w:bidi="en-US"/>
          <w:color w:val="111111"/>
          <w:sz w:val="28"/>
          <w:szCs w:val="28"/>
          <w:rtl/>
        </w:rPr>
        <w:t xml:space="preserve">pīrāmūn-e jānevarān</w:t>
      </w:r>
    </w:p>
    <w:p>
      <w:pPr>
        <w:pStyle w:val="BookText"/>
      </w:pPr>
      <w:r>
        <w:rPr>
          <w:rFonts w:ascii="IRNazanin" w:hAnsi="IRNazanin" w:eastAsia="IRNazanin" w:cs="IRNazanin"/>
          <w:lang w:bidi="fa-IR"/>
          <w:color w:val="111111"/>
          <w:sz w:val="28"/>
          <w:szCs w:val="28"/>
          <w:rtl/>
        </w:rPr>
        <w:t xml:space="preserve">کسروی، احمد، ۱۲۶۹-۱۳۲۴ شمسی تاریخ تأليف: ۱۳۲۴</w:t>
      </w:r>
    </w:p>
    <w:p>
      <w:pPr>
        <w:pStyle w:val="BookText"/>
      </w:pPr>
      <w:r>
        <w:rPr>
          <w:rFonts w:ascii="Times New Roman" w:hAnsi="Times New Roman" w:eastAsia="Times New Roman" w:cs="Times New Roman"/>
          <w:lang w:val="en-US" w:bidi="en-US"/>
          <w:color w:val="111111"/>
          <w:sz w:val="28"/>
          <w:szCs w:val="28"/>
          <w:rtl/>
        </w:rPr>
        <w:t xml:space="preserve">kasravī, ahmad (1890-1945)</w:t>
      </w:r>
    </w:p>
    <w:p>
      <w:pPr>
        <w:pStyle w:val="BookText"/>
      </w:pPr>
      <w:r>
        <w:rPr>
          <w:rFonts w:ascii="IRNazanin" w:hAnsi="IRNazanin" w:eastAsia="IRNazanin" w:cs="IRNazanin"/>
          <w:lang w:bidi="fa-IR"/>
          <w:color w:val="111111"/>
          <w:sz w:val="28"/>
          <w:szCs w:val="28"/>
          <w:rtl/>
        </w:rPr>
        <w:t xml:space="preserve">تهران؛ دانشگاه؛ شماره نسخه: ۴۷۵۲/۳۵ -۴۷۵۴-ف</w:t>
      </w:r>
    </w:p>
    <w:p>
      <w:pPr>
        <w:pStyle w:val="BookText"/>
      </w:pPr>
      <w:r>
        <w:rPr>
          <w:rFonts w:ascii="IRNazanin" w:hAnsi="IRNazanin" w:eastAsia="IRNazanin" w:cs="IRNazanin"/>
          <w:lang w:bidi="fa-IR"/>
          <w:color w:val="111111"/>
          <w:sz w:val="28"/>
          <w:szCs w:val="28"/>
          <w:rtl/>
        </w:rPr>
        <w:t xml:space="preserve">بی کا، بی تا [فيلمها ف: ۳-۱۰۰]</w:t>
      </w:r>
    </w:p>
    <w:p>
      <w:pPr>
        <w:pStyle w:val="Heading3"/>
      </w:pPr>
      <w:bookmarkStart w:id="1855" w:name="_Toc1115"/>
      <w:r>
        <w:t>•پیرامون خرد / فارسی</w:t>
      </w:r>
      <w:bookmarkEnd w:id="1855"/>
    </w:p>
    <w:p>
      <w:pPr>
        <w:pStyle w:val="BookText"/>
      </w:pPr>
      <w:r>
        <w:rPr>
          <w:rFonts w:ascii="Times New Roman" w:hAnsi="Times New Roman" w:eastAsia="Times New Roman" w:cs="Times New Roman"/>
          <w:lang w:val="en-US" w:bidi="en-US"/>
          <w:color w:val="111111"/>
          <w:sz w:val="28"/>
          <w:szCs w:val="28"/>
          <w:rtl/>
        </w:rPr>
        <w:t xml:space="preserve">pīrāmūn-e xerad</w:t>
      </w:r>
    </w:p>
    <w:p>
      <w:pPr>
        <w:pStyle w:val="BookText"/>
      </w:pPr>
      <w:r>
        <w:rPr>
          <w:rFonts w:ascii="IRNazanin" w:hAnsi="IRNazanin" w:eastAsia="IRNazanin" w:cs="IRNazanin"/>
          <w:lang w:bidi="fa-IR"/>
          <w:color w:val="111111"/>
          <w:sz w:val="28"/>
          <w:szCs w:val="28"/>
          <w:rtl/>
        </w:rPr>
        <w:t xml:space="preserve">، احمد، ۱۲۶۹-۱۳۲۴ شمسی</w:t>
      </w:r>
    </w:p>
    <w:p>
      <w:pPr>
        <w:pStyle w:val="BookText"/>
      </w:pPr>
      <w:r>
        <w:rPr>
          <w:rFonts w:ascii="Times New Roman" w:hAnsi="Times New Roman" w:eastAsia="Times New Roman" w:cs="Times New Roman"/>
          <w:lang w:val="en-US" w:bidi="en-US"/>
          <w:color w:val="111111"/>
          <w:sz w:val="28"/>
          <w:szCs w:val="28"/>
          <w:rtl/>
        </w:rPr>
        <w:t xml:space="preserve">kasravī, ahmad (1890-1945)</w:t>
      </w:r>
    </w:p>
    <w:p>
      <w:pPr>
        <w:pStyle w:val="BookText"/>
      </w:pPr>
      <w:r>
        <w:rPr>
          <w:rFonts w:ascii="IRNazanin" w:hAnsi="IRNazanin" w:eastAsia="IRNazanin" w:cs="IRNazanin"/>
          <w:lang w:bidi="fa-IR"/>
          <w:color w:val="111111"/>
          <w:sz w:val="28"/>
          <w:szCs w:val="28"/>
          <w:rtl/>
        </w:rPr>
        <w:t xml:space="preserve">تاریخ تأليف: ۱۳۲۲.</w:t>
      </w:r>
    </w:p>
    <w:p>
      <w:pPr>
        <w:pStyle w:val="BookText"/>
      </w:pPr>
      <w:r>
        <w:rPr>
          <w:rFonts w:ascii="IRNazanin" w:hAnsi="IRNazanin" w:eastAsia="IRNazanin" w:cs="IRNazanin"/>
          <w:lang w:bidi="fa-IR"/>
          <w:color w:val="111111"/>
          <w:sz w:val="28"/>
          <w:szCs w:val="28"/>
          <w:rtl/>
        </w:rPr>
        <w:t xml:space="preserve">تهران؛ دانشگاه؛ شماره نسخه: ۴۷۵۲/۳۶ -۴۷۵۴-ف</w:t>
      </w:r>
    </w:p>
    <w:p>
      <w:pPr>
        <w:pStyle w:val="BookText"/>
      </w:pPr>
      <w:r>
        <w:rPr>
          <w:rFonts w:ascii="IRNazanin" w:hAnsi="IRNazanin" w:eastAsia="IRNazanin" w:cs="IRNazanin"/>
          <w:lang w:bidi="fa-IR"/>
          <w:color w:val="111111"/>
          <w:sz w:val="28"/>
          <w:szCs w:val="28"/>
          <w:rtl/>
        </w:rPr>
        <w:t xml:space="preserve">بی کا، بی تا [فيلمها ف: ۳-۱۰۰]</w:t>
      </w:r>
    </w:p>
    <w:p>
      <w:pPr>
        <w:pStyle w:val="Heading3"/>
      </w:pPr>
      <w:bookmarkStart w:id="1856" w:name="_Toc1116"/>
      <w:r>
        <w:t>•پیرامون رمان / ادبیات فارسی</w:t>
      </w:r>
      <w:bookmarkEnd w:id="1856"/>
    </w:p>
    <w:p>
      <w:pPr>
        <w:pStyle w:val="BookText"/>
      </w:pPr>
      <w:r>
        <w:rPr>
          <w:rFonts w:ascii="Times New Roman" w:hAnsi="Times New Roman" w:eastAsia="Times New Roman" w:cs="Times New Roman"/>
          <w:lang w:val="en-US" w:bidi="en-US"/>
          <w:color w:val="111111"/>
          <w:sz w:val="28"/>
          <w:szCs w:val="28"/>
          <w:rtl/>
        </w:rPr>
        <w:t xml:space="preserve">pīrāmūn-e romān</w:t>
      </w:r>
    </w:p>
    <w:p>
      <w:pPr>
        <w:pStyle w:val="BookText"/>
      </w:pPr>
      <w:r>
        <w:rPr>
          <w:rFonts w:ascii="IRNazanin" w:hAnsi="IRNazanin" w:eastAsia="IRNazanin" w:cs="IRNazanin"/>
          <w:lang w:bidi="fa-IR"/>
          <w:color w:val="111111"/>
          <w:sz w:val="28"/>
          <w:szCs w:val="28"/>
          <w:rtl/>
        </w:rPr>
        <w:t xml:space="preserve">کسروی، احمد، ۱۲۶۹-۱۳۲۴ شمسی</w:t>
      </w:r>
    </w:p>
    <w:p>
      <w:pPr>
        <w:pStyle w:val="BookText"/>
      </w:pPr>
      <w:r>
        <w:rPr>
          <w:rFonts w:ascii="Times New Roman" w:hAnsi="Times New Roman" w:eastAsia="Times New Roman" w:cs="Times New Roman"/>
          <w:lang w:val="en-US" w:bidi="en-US"/>
          <w:color w:val="111111"/>
          <w:sz w:val="28"/>
          <w:szCs w:val="28"/>
          <w:rtl/>
        </w:rPr>
        <w:t xml:space="preserve">kasravī, ahmad (1890-1945)</w:t>
      </w:r>
    </w:p>
    <w:p>
      <w:pPr>
        <w:pStyle w:val="BookText"/>
      </w:pPr>
      <w:r>
        <w:rPr>
          <w:rFonts w:ascii="IRNazanin" w:hAnsi="IRNazanin" w:eastAsia="IRNazanin" w:cs="IRNazanin"/>
          <w:lang w:bidi="fa-IR"/>
          <w:color w:val="111111"/>
          <w:sz w:val="28"/>
          <w:szCs w:val="28"/>
          <w:rtl/>
        </w:rPr>
        <w:t xml:space="preserve">تهران؛ دانشگاه؛ شماره نسخه: ۴۷۵۲/۳۷ -۴۷۵۴-ف</w:t>
      </w:r>
    </w:p>
    <w:p>
      <w:pPr>
        <w:pStyle w:val="BookText"/>
      </w:pPr>
      <w:r>
        <w:rPr>
          <w:rFonts w:ascii="IRNazanin" w:hAnsi="IRNazanin" w:eastAsia="IRNazanin" w:cs="IRNazanin"/>
          <w:lang w:bidi="fa-IR"/>
          <w:color w:val="111111"/>
          <w:sz w:val="28"/>
          <w:szCs w:val="28"/>
          <w:rtl/>
        </w:rPr>
        <w:t xml:space="preserve">بی کا، بی تا [فيلمها ف: ۳-۱۰۰]</w:t>
      </w:r>
    </w:p>
    <w:p>
      <w:pPr>
        <w:pStyle w:val="Heading3"/>
      </w:pPr>
      <w:bookmarkStart w:id="1857" w:name="_Toc1117"/>
      <w:r>
        <w:t>• پیرامون روان / فارسی</w:t>
      </w:r>
      <w:bookmarkEnd w:id="1857"/>
    </w:p>
    <w:p>
      <w:pPr>
        <w:pStyle w:val="BookText"/>
      </w:pPr>
      <w:r>
        <w:rPr>
          <w:rFonts w:ascii="Times New Roman" w:hAnsi="Times New Roman" w:eastAsia="Times New Roman" w:cs="Times New Roman"/>
          <w:lang w:val="en-US" w:bidi="en-US"/>
          <w:color w:val="111111"/>
          <w:sz w:val="28"/>
          <w:szCs w:val="28"/>
          <w:rtl/>
        </w:rPr>
        <w:t xml:space="preserve">pīrāmūn-e ravān</w:t>
      </w:r>
    </w:p>
    <w:p>
      <w:pPr>
        <w:pStyle w:val="BookText"/>
      </w:pPr>
      <w:r>
        <w:rPr>
          <w:rFonts w:ascii="IRNazanin" w:hAnsi="IRNazanin" w:eastAsia="IRNazanin" w:cs="IRNazanin"/>
          <w:lang w:bidi="fa-IR"/>
          <w:color w:val="111111"/>
          <w:sz w:val="28"/>
          <w:szCs w:val="28"/>
          <w:rtl/>
        </w:rPr>
        <w:t xml:space="preserve">کسروی، احمد، ۱۲۶۹-۱۳۲۴ شمسی</w:t>
      </w:r>
    </w:p>
    <w:p>
      <w:pPr>
        <w:pStyle w:val="BookText"/>
      </w:pPr>
      <w:r>
        <w:rPr>
          <w:rFonts w:ascii="Times New Roman" w:hAnsi="Times New Roman" w:eastAsia="Times New Roman" w:cs="Times New Roman"/>
          <w:lang w:val="en-US" w:bidi="en-US"/>
          <w:color w:val="111111"/>
          <w:sz w:val="28"/>
          <w:szCs w:val="28"/>
          <w:rtl/>
        </w:rPr>
        <w:t xml:space="preserve">kasravī, ahmad (1890-1945)</w:t>
      </w:r>
    </w:p>
    <w:p>
      <w:pPr>
        <w:pStyle w:val="BookText"/>
      </w:pPr>
      <w:r>
        <w:rPr>
          <w:rFonts w:ascii="Amiri" w:hAnsi="Amiri" w:eastAsia="Amiri" w:cs="Amiri"/>
          <w:lang w:bidi="ar-SA"/>
          <w:color w:val="111111"/>
          <w:sz w:val="28"/>
          <w:szCs w:val="28"/>
          <w:rtl/>
        </w:rPr>
        <w:t xml:space="preserve">تاريخ تأليف: ۱۳۲۴.</w:t>
      </w:r>
    </w:p>
    <w:p>
      <w:pPr>
        <w:pStyle w:val="BookText"/>
      </w:pPr>
      <w:r>
        <w:rPr>
          <w:rFonts w:ascii="IRNazanin" w:hAnsi="IRNazanin" w:eastAsia="IRNazanin" w:cs="IRNazanin"/>
          <w:lang w:bidi="fa-IR"/>
          <w:color w:val="111111"/>
          <w:sz w:val="28"/>
          <w:szCs w:val="28"/>
          <w:rtl/>
        </w:rPr>
        <w:t xml:space="preserve">تهران؛ دانشگاه؛ شماره نسخه: ۴۷۵۲/۳۸ -۴۷۵۴-ف</w:t>
      </w:r>
    </w:p>
    <w:p>
      <w:pPr>
        <w:pStyle w:val="BookText"/>
      </w:pPr>
      <w:r>
        <w:rPr>
          <w:rFonts w:ascii="IRNazanin" w:hAnsi="IRNazanin" w:eastAsia="IRNazanin" w:cs="IRNazanin"/>
          <w:lang w:bidi="fa-IR"/>
          <w:color w:val="111111"/>
          <w:sz w:val="28"/>
          <w:szCs w:val="28"/>
          <w:rtl/>
        </w:rPr>
        <w:t xml:space="preserve">بی کا، بی تا [فیلمها ف: ۳-۱۰۰]</w:t>
      </w:r>
    </w:p>
    <w:p>
      <w:pPr>
        <w:pStyle w:val="Heading3"/>
      </w:pPr>
      <w:bookmarkStart w:id="1858" w:name="_Toc1118"/>
      <w:r>
        <w:t>•پیرامون شعر و شاعری / ادبیات / فارسی</w:t>
      </w:r>
      <w:bookmarkEnd w:id="1858"/>
    </w:p>
    <w:p>
      <w:pPr>
        <w:pStyle w:val="BookText"/>
      </w:pPr>
      <w:r>
        <w:rPr>
          <w:rFonts w:ascii="Times New Roman" w:hAnsi="Times New Roman" w:eastAsia="Times New Roman" w:cs="Times New Roman"/>
          <w:lang w:val="en-US" w:bidi="en-US"/>
          <w:color w:val="111111"/>
          <w:sz w:val="28"/>
          <w:szCs w:val="28"/>
          <w:rtl/>
        </w:rPr>
        <w:t xml:space="preserve">pīrāmūn-e šeʻr va šā‘erī</w:t>
      </w:r>
    </w:p>
    <w:p>
      <w:pPr>
        <w:pStyle w:val="BookText"/>
      </w:pPr>
      <w:r>
        <w:rPr>
          <w:rFonts w:ascii="IRNazanin" w:hAnsi="IRNazanin" w:eastAsia="IRNazanin" w:cs="IRNazanin"/>
          <w:lang w:bidi="fa-IR"/>
          <w:color w:val="111111"/>
          <w:sz w:val="28"/>
          <w:szCs w:val="28"/>
          <w:rtl/>
        </w:rPr>
        <w:t xml:space="preserve">کسروی، احمد، ۱۲۶۹-۱۳۲۴ شمسی</w:t>
      </w:r>
    </w:p>
    <w:p>
      <w:pPr>
        <w:pStyle w:val="BookText"/>
      </w:pPr>
      <w:r>
        <w:rPr>
          <w:rFonts w:ascii="Times New Roman" w:hAnsi="Times New Roman" w:eastAsia="Times New Roman" w:cs="Times New Roman"/>
          <w:lang w:val="en-US" w:bidi="en-US"/>
          <w:color w:val="111111"/>
          <w:sz w:val="28"/>
          <w:szCs w:val="28"/>
          <w:rtl/>
        </w:rPr>
        <w:t xml:space="preserve">kasravī, ahmad (1890-1945)</w:t>
      </w:r>
    </w:p>
    <w:p>
      <w:pPr>
        <w:pStyle w:val="BookText"/>
      </w:pPr>
      <w:r>
        <w:rPr>
          <w:rFonts w:ascii="IRNazanin" w:hAnsi="IRNazanin" w:eastAsia="IRNazanin" w:cs="IRNazanin"/>
          <w:lang w:bidi="fa-IR"/>
          <w:color w:val="111111"/>
          <w:sz w:val="28"/>
          <w:szCs w:val="28"/>
          <w:rtl/>
        </w:rPr>
        <w:t xml:space="preserve">تاریخ تأليف: ۱۳۲۵</w:t>
      </w:r>
    </w:p>
    <w:p>
      <w:pPr>
        <w:pStyle w:val="BookText"/>
      </w:pPr>
      <w:r>
        <w:rPr>
          <w:rFonts w:ascii="IRNazanin" w:hAnsi="IRNazanin" w:eastAsia="IRNazanin" w:cs="IRNazanin"/>
          <w:lang w:bidi="fa-IR"/>
          <w:color w:val="111111"/>
          <w:sz w:val="28"/>
          <w:szCs w:val="28"/>
          <w:rtl/>
        </w:rPr>
        <w:t xml:space="preserve">تهران؛ دانشگاه؛ شماره نسخه: ۴۷۵۲/۳۹ -۴۷۵۴-ف</w:t>
      </w:r>
    </w:p>
    <w:p>
      <w:pPr>
        <w:pStyle w:val="BookText"/>
      </w:pPr>
      <w:r>
        <w:rPr>
          <w:rFonts w:ascii="IRNazanin" w:hAnsi="IRNazanin" w:eastAsia="IRNazanin" w:cs="IRNazanin"/>
          <w:lang w:bidi="fa-IR"/>
          <w:color w:val="111111"/>
          <w:sz w:val="28"/>
          <w:szCs w:val="28"/>
          <w:rtl/>
        </w:rPr>
        <w:t xml:space="preserve">بی کا، بی تا [فيلمها ف: ۳-۱۰۰]</w:t>
      </w:r>
    </w:p>
    <w:p>
      <w:pPr>
        <w:pStyle w:val="Heading3"/>
      </w:pPr>
      <w:bookmarkStart w:id="1859" w:name="_Toc1119"/>
      <w:r>
        <w:t>•پیر مرتضی علی اردستانی / تراجم / فارسی</w:t>
      </w:r>
      <w:bookmarkEnd w:id="1859"/>
    </w:p>
    <w:p>
      <w:pPr>
        <w:pStyle w:val="BookText"/>
      </w:pPr>
      <w:r>
        <w:rPr>
          <w:rFonts w:ascii="Times New Roman" w:hAnsi="Times New Roman" w:eastAsia="Times New Roman" w:cs="Times New Roman"/>
          <w:lang w:val="en-US" w:bidi="en-US"/>
          <w:color w:val="111111"/>
          <w:sz w:val="28"/>
          <w:szCs w:val="28"/>
          <w:rtl/>
        </w:rPr>
        <w:t xml:space="preserve">pīr morteza 'alī ardestānī</w:t>
      </w:r>
    </w:p>
    <w:p>
      <w:pPr>
        <w:pStyle w:val="BookText"/>
      </w:pPr>
      <w:r>
        <w:rPr>
          <w:rFonts w:ascii="IRNazanin" w:hAnsi="IRNazanin" w:eastAsia="IRNazanin" w:cs="IRNazanin"/>
          <w:lang w:bidi="fa-IR"/>
          <w:color w:val="111111"/>
          <w:sz w:val="28"/>
          <w:szCs w:val="28"/>
          <w:rtl/>
        </w:rPr>
        <w:t xml:space="preserve">شفیعی اردستانی، مرتضی بن احمد، ق ۱۴ شمسی</w:t>
      </w:r>
    </w:p>
    <w:p>
      <w:pPr>
        <w:pStyle w:val="BookText"/>
      </w:pPr>
      <w:r>
        <w:rPr>
          <w:rFonts w:ascii="Times New Roman" w:hAnsi="Times New Roman" w:eastAsia="Times New Roman" w:cs="Times New Roman"/>
          <w:lang w:val="en-US" w:bidi="en-US"/>
          <w:color w:val="111111"/>
          <w:sz w:val="28"/>
          <w:szCs w:val="28"/>
          <w:rtl/>
        </w:rPr>
        <w:t xml:space="preserve">šafīʻī ardestānī, morteza ebn-e ahmad (- 20c)</w:t>
      </w:r>
    </w:p>
    <w:p>
      <w:pPr>
        <w:pStyle w:val="BookText"/>
      </w:pPr>
      <w:r>
        <w:rPr>
          <w:rFonts w:ascii="IRNazanin" w:hAnsi="IRNazanin" w:eastAsia="IRNazanin" w:cs="IRNazanin"/>
          <w:lang w:bidi="fa-IR"/>
          <w:color w:val="111111"/>
          <w:sz w:val="28"/>
          <w:szCs w:val="28"/>
          <w:rtl/>
        </w:rPr>
        <w:t xml:space="preserve">تاریخ تأليف: ۱۷ شوال ۱۴۲۳ق؛ محل تأليف: تهران رساله کوتاهی است در شرح زندگانی پیر مرتضی علی اردستانی که یکی از عارفان قرن نهم هجری بوده است.</w:t>
      </w:r>
    </w:p>
    <w:p>
      <w:pPr>
        <w:pStyle w:val="BookText"/>
      </w:pPr>
      <w:r>
        <w:rPr>
          <w:rFonts w:ascii="IRNazanin" w:hAnsi="IRNazanin" w:eastAsia="IRNazanin" w:cs="IRNazanin"/>
          <w:lang w:bidi="fa-IR"/>
          <w:color w:val="111111"/>
          <w:sz w:val="28"/>
          <w:szCs w:val="28"/>
          <w:rtl/>
        </w:rPr>
        <w:t xml:space="preserve">قم؛ مرعشی؛ شماره نسخه: ۳/۱۵۲۹۰</w:t>
      </w:r>
    </w:p>
    <w:p>
      <w:pPr>
        <w:pStyle w:val="BookText"/>
      </w:pPr>
      <w:r>
        <w:rPr>
          <w:rFonts w:ascii="IRNazanin" w:hAnsi="IRNazanin" w:eastAsia="IRNazanin" w:cs="IRNazanin"/>
          <w:lang w:bidi="fa-IR"/>
          <w:color w:val="111111"/>
          <w:sz w:val="28"/>
          <w:szCs w:val="28"/>
          <w:rtl/>
        </w:rPr>
        <w:t xml:space="preserve">آغاز: دوران حیات پیر مرتضی علی با قسمتی از زمان امیر تیمور گورکانی «ف-۸۰۷ق» و با سلطنت امیر شاهرخ میرزا تیمور « ۸۵۰-۸۰۷ - ق» و جانشیانان او مقارن بوده است؛ انجام: در پایان، توفیق روز افزون برادرم مهدی شفیعی اردستانی و فرزندم مهندس محمود رضا شفیعی اردستانی را که داوطلبانه هزینه های تایپ و تکثیر این شرح حال را تقبل نموده اند از خداوند بزرگ خواهانم. بار دیگر فرصت را غنیمت می شمارم و از محققان و پژوهشگران ارجمند استدعا دارم که برای پربار شدن این شرح حال، نگارنده را از مراحم و ألطاف خویش محروم نکنند و با ارسال مطالب تحقیقی خود درباره پیر مرتضی علی، این</w:t>
      </w:r>
    </w:p>
    <w:p>
      <w:pPr>
        <w:pStyle w:val="BookText"/>
      </w:pPr>
      <w:r>
        <w:rPr>
          <w:rFonts w:ascii="IRNazanin" w:hAnsi="IRNazanin" w:eastAsia="IRNazanin" w:cs="IRNazanin"/>
          <w:lang w:bidi="fa-IR"/>
          <w:color w:val="111111"/>
          <w:sz w:val="28"/>
          <w:szCs w:val="28"/>
          <w:rtl/>
        </w:rPr>
        <w:t xml:space="preserve">خدمتگذار کوچک و دوستدار فرهنگی اردستان را جهت كمال بخشیدن به کاری که کرده است یاری فرمایند.</w:t>
      </w:r>
    </w:p>
    <w:p>
      <w:pPr>
        <w:pStyle w:val="BookText"/>
      </w:pPr>
      <w:r>
        <w:rPr>
          <w:rFonts w:ascii="IRNazanin" w:hAnsi="IRNazanin" w:eastAsia="IRNazanin" w:cs="IRNazanin"/>
          <w:lang w:bidi="fa-IR"/>
          <w:color w:val="111111"/>
          <w:sz w:val="28"/>
          <w:szCs w:val="28"/>
          <w:rtl/>
        </w:rPr>
        <w:t xml:space="preserve">خط: نستعلیق، کاتب = مؤلف، تا: ۱۴۲۳ق؛ ترقيمه: «اول دی ماه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32" w:name="pg20363_209601"/>
    <w:bookmarkEnd w:id="332"/>
    <w:p>
      <w:pPr>
        <w:pStyle w:val="BookText"/>
      </w:pPr>
      <w:r>
        <w:rPr>
          <w:rFonts w:ascii="IRNazanin" w:hAnsi="IRNazanin" w:eastAsia="IRNazanin" w:cs="IRNazanin"/>
          <w:lang w:bidi="fa-IR"/>
          <w:color w:val="111111"/>
          <w:sz w:val="28"/>
          <w:szCs w:val="28"/>
          <w:rtl/>
        </w:rPr>
        <w:t xml:space="preserve">سال یکهزار و سیصد و هشتاد و یک خورشیدی برابر با هفدهم شوال یکهزار و چهار صد و بیست و سه هجری قمری، تهران، کوی نصر، خیابان ۱۵، پلاک ۵۱، طبقه اول، کد پستی ۱۴۴۷۶، مرتضی شفیعی اردستانی»؛ مجدول مشکی؛ کاغذ: جدید، گ ( ۳۶-۳۰)،</w:t>
      </w:r>
    </w:p>
    <w:p>
      <w:pPr>
        <w:pStyle w:val="BookText"/>
      </w:pPr>
      <w:r>
        <w:rPr>
          <w:rFonts w:ascii="IRNazanin" w:hAnsi="IRNazanin" w:eastAsia="IRNazanin" w:cs="IRNazanin"/>
          <w:lang w:bidi="fa-IR"/>
          <w:color w:val="111111"/>
          <w:sz w:val="28"/>
          <w:szCs w:val="28"/>
          <w:rtl/>
        </w:rPr>
        <w:t xml:space="preserve">۲۳-۲۱ سطر، اندازه: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۳۸-۸۱۰]</w:t>
      </w:r>
    </w:p>
    <w:p>
      <w:pPr>
        <w:pStyle w:val="Heading3"/>
      </w:pPr>
      <w:bookmarkStart w:id="1860" w:name="_Toc1120"/>
      <w:r>
        <w:t>•پیرنامه / عرفان و تصوف / فارسی</w:t>
      </w:r>
      <w:bookmarkEnd w:id="1860"/>
    </w:p>
    <w:p>
      <w:pPr>
        <w:pStyle w:val="BookText"/>
      </w:pPr>
      <w:r>
        <w:rPr>
          <w:rFonts w:ascii="Times New Roman" w:hAnsi="Times New Roman" w:eastAsia="Times New Roman" w:cs="Times New Roman"/>
          <w:lang w:val="en-US" w:bidi="en-US"/>
          <w:color w:val="111111"/>
          <w:sz w:val="28"/>
          <w:szCs w:val="28"/>
          <w:rtl/>
        </w:rPr>
        <w:t xml:space="preserve">pīr-nāme</w:t>
      </w:r>
    </w:p>
    <w:p>
      <w:pPr>
        <w:pStyle w:val="BookText"/>
      </w:pPr>
      <w:r>
        <w:rPr>
          <w:rFonts w:ascii="IRNazanin" w:hAnsi="IRNazanin" w:eastAsia="IRNazanin" w:cs="IRNazanin"/>
          <w:lang w:bidi="fa-IR"/>
          <w:color w:val="111111"/>
          <w:sz w:val="28"/>
          <w:szCs w:val="28"/>
          <w:rtl/>
        </w:rPr>
        <w:t xml:space="preserve">نعمة الله ولی، نعمة الله بن عبد الله، ۷۳۰؟ -۸۳۴ قمری</w:t>
      </w:r>
    </w:p>
    <w:p>
      <w:pPr>
        <w:pStyle w:val="BookText"/>
      </w:pPr>
      <w:r>
        <w:rPr>
          <w:rFonts w:ascii="Times New Roman" w:hAnsi="Times New Roman" w:eastAsia="Times New Roman" w:cs="Times New Roman"/>
          <w:lang w:val="en-US" w:bidi="en-US"/>
          <w:color w:val="111111"/>
          <w:sz w:val="28"/>
          <w:szCs w:val="28"/>
          <w:rtl/>
        </w:rPr>
        <w:t xml:space="preserve">ne'mat-ol-lāh-e valī, ne'mat-ol-lāh ebn-e 'abd-ol-lāh (1330-1431)</w:t>
      </w:r>
    </w:p>
    <w:p>
      <w:pPr>
        <w:pStyle w:val="BookText"/>
      </w:pPr>
      <w:r>
        <w:rPr>
          <w:rFonts w:ascii="IRNazanin" w:hAnsi="IRNazanin" w:eastAsia="IRNazanin" w:cs="IRNazanin"/>
          <w:lang w:bidi="fa-IR"/>
          <w:color w:val="111111"/>
          <w:sz w:val="28"/>
          <w:szCs w:val="28"/>
          <w:rtl/>
        </w:rPr>
        <w:t xml:space="preserve">آغاز: ای سالک راه حق تو را هرگاه این درد دین و محبت پیدا شود انجام: که هفتاد دو فرقه امت محمد صلی ا... شده اند همه باطل است.</w:t>
      </w:r>
    </w:p>
    <w:p>
      <w:pPr>
        <w:pStyle w:val="BookText"/>
      </w:pPr>
      <w:r>
        <w:rPr>
          <w:rFonts w:ascii="IRNazanin" w:hAnsi="IRNazanin" w:eastAsia="IRNazanin" w:cs="IRNazanin"/>
          <w:lang w:bidi="fa-IR"/>
          <w:color w:val="111111"/>
          <w:sz w:val="28"/>
          <w:szCs w:val="28"/>
          <w:rtl/>
        </w:rPr>
        <w:t xml:space="preserve">[دنا ۶۴۹/۲ ؛ فهرستواره ۱۶۷/۷ ]</w:t>
      </w:r>
    </w:p>
    <w:p>
      <w:pPr>
        <w:pStyle w:val="BookText"/>
      </w:pPr>
      <w:r>
        <w:rPr>
          <w:rFonts w:ascii="IRNazanin" w:hAnsi="IRNazanin" w:eastAsia="IRNazanin" w:cs="IRNazanin"/>
          <w:lang w:bidi="fa-IR"/>
          <w:color w:val="111111"/>
          <w:sz w:val="28"/>
          <w:szCs w:val="28"/>
          <w:rtl/>
        </w:rPr>
        <w:t xml:space="preserve">۱. تهران؛ مجلس؛ شماره نسخه: ۱۴۹/۲۵</w:t>
      </w:r>
    </w:p>
    <w:p>
      <w:pPr>
        <w:pStyle w:val="BookText"/>
      </w:pPr>
      <w:r>
        <w:rPr>
          <w:rFonts w:ascii="IRNazanin" w:hAnsi="IRNazanin" w:eastAsia="IRNazanin" w:cs="IRNazanin"/>
          <w:lang w:bidi="fa-IR"/>
          <w:color w:val="111111"/>
          <w:sz w:val="28"/>
          <w:szCs w:val="28"/>
          <w:rtl/>
        </w:rPr>
        <w:t xml:space="preserve">خط: نستعلیق، بی کا، تا: قرن ۱۲؛ کاغذ: سفید، جلد: تیماج قهوه ای مقوایی، ۳ص (۱۶۳-۱۶۵)، ۲۰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[سنا: ف: ۱-۷۵]</w:t>
      </w:r>
    </w:p>
    <w:p>
      <w:pPr>
        <w:pStyle w:val="BookText"/>
      </w:pPr>
      <w:r>
        <w:rPr>
          <w:rFonts w:ascii="IRNazanin" w:hAnsi="IRNazanin" w:eastAsia="IRNazanin" w:cs="IRNazanin"/>
          <w:lang w:bidi="fa-IR"/>
          <w:color w:val="111111"/>
          <w:sz w:val="28"/>
          <w:szCs w:val="28"/>
          <w:rtl/>
        </w:rPr>
        <w:t xml:space="preserve">۲. مشهد؛ رضوی؛ شماره نسخه: ۱۶۵۹۱/۲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كا: اسماعيل بن محمد جعفر، تا: ۱۲۳۷ق؛ کاغذ: آبی و شکری فرنگی، جلد: مقوایی، ۵ص (۹-۱۳)، اندازه: ۲۰/۷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۱۷-۴۳۲]</w:t>
      </w:r>
    </w:p>
    <w:p>
      <w:pPr>
        <w:pStyle w:val="Heading3"/>
      </w:pPr>
      <w:bookmarkStart w:id="1861" w:name="_Toc1121"/>
      <w:r>
        <w:t>• پیر و جوان = بهار و خزان = بهاریه / شعر / فارسی</w:t>
      </w:r>
      <w:bookmarkEnd w:id="1861"/>
    </w:p>
    <w:p>
      <w:pPr>
        <w:pStyle w:val="BookText"/>
      </w:pPr>
      <w:r>
        <w:rPr>
          <w:rFonts w:ascii="Times New Roman" w:hAnsi="Times New Roman" w:eastAsia="Times New Roman" w:cs="Times New Roman"/>
          <w:lang w:val="en-US" w:bidi="en-US"/>
          <w:color w:val="111111"/>
          <w:sz w:val="28"/>
          <w:szCs w:val="28"/>
          <w:rtl/>
        </w:rPr>
        <w:t xml:space="preserve">pīr va javān= bahār va xazān = bahārīye</w:t>
      </w:r>
    </w:p>
    <w:p>
      <w:pPr>
        <w:pStyle w:val="BookText"/>
      </w:pPr>
      <w:r>
        <w:rPr>
          <w:rFonts w:ascii="IRNazanin" w:hAnsi="IRNazanin" w:eastAsia="IRNazanin" w:cs="IRNazanin"/>
          <w:lang w:bidi="fa-IR"/>
          <w:color w:val="111111"/>
          <w:sz w:val="28"/>
          <w:szCs w:val="28"/>
          <w:rtl/>
        </w:rPr>
        <w:t xml:space="preserve">نصير اصفهانی، محمد بن عبد الله، -۱۱۹۱ قمری</w:t>
      </w:r>
    </w:p>
    <w:p>
      <w:pPr>
        <w:pStyle w:val="BookText"/>
      </w:pPr>
      <w:r>
        <w:rPr>
          <w:rFonts w:ascii="Times New Roman" w:hAnsi="Times New Roman" w:eastAsia="Times New Roman" w:cs="Times New Roman"/>
          <w:lang w:val="en-US" w:bidi="en-US"/>
          <w:color w:val="111111"/>
          <w:sz w:val="28"/>
          <w:szCs w:val="28"/>
          <w:rtl/>
        </w:rPr>
        <w:t xml:space="preserve">nasīr-e esfahānī, mohammad ebn-e 'abd-ol-lāh (- 1777)</w:t>
      </w:r>
    </w:p>
    <w:p>
      <w:pPr>
        <w:pStyle w:val="BookText"/>
      </w:pPr>
      <w:r>
        <w:rPr>
          <w:rFonts w:ascii="IRNazanin" w:hAnsi="IRNazanin" w:eastAsia="IRNazanin" w:cs="IRNazanin"/>
          <w:lang w:bidi="fa-IR"/>
          <w:color w:val="111111"/>
          <w:sz w:val="28"/>
          <w:szCs w:val="28"/>
          <w:rtl/>
        </w:rPr>
        <w:t xml:space="preserve">یکی از مثنویات مشهور میرزا نصیر در ۲۰۲ بیت است که آن را بهار و خزان» نیز گفته اند. از وصف بهار آغاز می شود. ظاهرة دوبار تحریر شده است. آغاز: شبی با نوجوانی گفت پیری </w:t>
      </w:r>
      <w:r>
        <w:rPr>
          <w:rFonts w:ascii="IRNazanin" w:hAnsi="IRNazanin" w:eastAsia="IRNazanin" w:cs="IRNazanin"/>
          <w:lang w:bidi="fa-IR"/>
          <w:color w:val="111111"/>
          <w:sz w:val="28"/>
          <w:szCs w:val="28"/>
          <w:b w:val="1"/>
          <w:bCs w:val="1"/>
          <w:i w:val="1"/>
          <w:iCs w:val="1"/>
          <w:rtl/>
        </w:rPr>
        <w:t xml:space="preserve">کهن دردی کشی صافی ضمیری / چو خم صاحبدلی روشن روانی</w:t>
      </w:r>
      <w:r>
        <w:rPr>
          <w:rFonts w:ascii="IRNazanin" w:hAnsi="IRNazanin" w:eastAsia="IRNazanin" w:cs="IRNazanin"/>
          <w:lang w:bidi="fa-IR"/>
          <w:color w:val="111111"/>
          <w:sz w:val="28"/>
          <w:szCs w:val="28"/>
          <w:rtl/>
        </w:rPr>
        <w:t xml:space="preserve"> درین دیر کهن پیر مغانی انجام: اگر دست على دست خدا نیست*** چرا دست دگر مشکل گشا نیست / به حق جویان حق را رهنما اوست*** ز کار اهل دل مشکل گشا اوست چاپ: بمبئی، سنگی، ۱۳۱۸، رقعی، ۱۵ص؛ تهران، سنگی، ۱۳۳۸، جیبی، ۳۴ص؛ ایران، سنگی، ۱۳۲۵، جیبی، ۲۷ص (صص ۸-۳۴)؛ به کوشش مهدی ولائی، نامه آستان قدس، ج ٢ ش ۲: ۵۹-۶۲.</w:t>
      </w:r>
    </w:p>
    <w:p>
      <w:pPr>
        <w:pStyle w:val="BookText"/>
      </w:pPr>
      <w:r>
        <w:rPr>
          <w:rFonts w:ascii="IRNazanin" w:hAnsi="IRNazanin" w:eastAsia="IRNazanin" w:cs="IRNazanin"/>
          <w:lang w:bidi="fa-IR"/>
          <w:color w:val="111111"/>
          <w:sz w:val="28"/>
          <w:szCs w:val="28"/>
          <w:rtl/>
        </w:rPr>
        <w:t xml:space="preserve">[دنا ۶۴۹/۲ (۶۲ نسخه)؛ نسخه های منزوی ۲۷۰۰/۴ ؛ مشترک پاکستان ۱۱۳۹۸؛ مشار ۲۳۹/۱ ؛ فرهنگ سخنوران ۳۵۵، الذريعة ۱۵۸/۳ و ۱۱۹۷/۹ و ۱۳۲/۱۹ ؛ فهرستواره منزوی ۴۹۷/۱۰ و ۴۹۷/۹ -۵۰۰]</w:t>
      </w:r>
    </w:p>
    <w:p>
      <w:pPr>
        <w:pStyle w:val="BookText"/>
      </w:pPr>
      <w:r>
        <w:rPr>
          <w:rFonts w:ascii="IRNazanin" w:hAnsi="IRNazanin" w:eastAsia="IRNazanin" w:cs="IRNazanin"/>
          <w:lang w:bidi="fa-IR"/>
          <w:color w:val="111111"/>
          <w:sz w:val="28"/>
          <w:szCs w:val="28"/>
          <w:rtl/>
        </w:rPr>
        <w:t xml:space="preserve">۱. تهران؛ ملک؛ شماره نسخه: ۴۹۳۲/۱۱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بی کا، تا: قرن ۱۱؛ کاغذ: ترمه، جلد: روغنی، ۶گ (۱۳۳ر -۱۳۸پ)، اندازه:</w:t>
      </w:r>
    </w:p>
    <w:p>
      <w:pPr>
        <w:pStyle w:val="BookText"/>
      </w:pPr>
      <w:r>
        <w:rPr>
          <w:rFonts w:ascii="IRNazanin" w:hAnsi="IRNazanin" w:eastAsia="IRNazanin" w:cs="IRNazanin"/>
          <w:lang w:bidi="fa-IR"/>
          <w:color w:val="111111"/>
          <w:sz w:val="28"/>
          <w:szCs w:val="28"/>
          <w:rtl/>
        </w:rPr>
        <w:t xml:space="preserve">۲۲/۸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۱۵/۶ سم [ف: ۸-۱۳۴]</w:t>
      </w:r>
    </w:p>
    <w:p>
      <w:pPr>
        <w:pStyle w:val="BookText"/>
      </w:pPr>
      <w:r>
        <w:rPr>
          <w:rFonts w:ascii="IRNazanin" w:hAnsi="IRNazanin" w:eastAsia="IRNazanin" w:cs="IRNazanin"/>
          <w:lang w:bidi="fa-IR"/>
          <w:color w:val="111111"/>
          <w:sz w:val="28"/>
          <w:szCs w:val="28"/>
          <w:rtl/>
        </w:rPr>
        <w:t xml:space="preserve">۲. مشهد؛ رضوی؛ شماره نسخه: ۱۶۶۵۲/۳</w:t>
      </w:r>
    </w:p>
    <w:p>
      <w:pPr>
        <w:pStyle w:val="BookText"/>
      </w:pPr>
      <w:r>
        <w:rPr>
          <w:rFonts w:ascii="IRNazanin" w:hAnsi="IRNazanin" w:eastAsia="IRNazanin" w:cs="IRNazanin"/>
          <w:lang w:bidi="fa-IR"/>
          <w:color w:val="111111"/>
          <w:sz w:val="28"/>
          <w:szCs w:val="28"/>
          <w:rtl/>
        </w:rPr>
        <w:t xml:space="preserve">آغاز: برابر؛ انجام: ز ویرانیش ویران است ایران. خط: نستعلیق تحریری، بی کا، تا: قرن ۱۲؛ کاغذ: کشمیر، نخودی و آبی و حنایی، جلد: میشن دار چینی، ۱۵-۱۷ سطر، اندازه: ۲۰/۳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۱۰/۳ سم [ف: ۱۷-۶۸]</w:t>
      </w:r>
    </w:p>
    <w:p>
      <w:pPr>
        <w:pStyle w:val="BookText"/>
      </w:pPr>
      <w:r>
        <w:rPr>
          <w:rFonts w:ascii="IRNazanin" w:hAnsi="IRNazanin" w:eastAsia="IRNazanin" w:cs="IRNazanin"/>
          <w:lang w:bidi="fa-IR"/>
          <w:color w:val="111111"/>
          <w:sz w:val="28"/>
          <w:szCs w:val="28"/>
          <w:rtl/>
        </w:rPr>
        <w:t xml:space="preserve">٣. مشهد؛ رضوی؛ شماره نسخه: ۱۶۶۵۲/۴</w:t>
      </w:r>
    </w:p>
    <w:p>
      <w:pPr>
        <w:pStyle w:val="BookText"/>
      </w:pPr>
      <w:r>
        <w:rPr>
          <w:rFonts w:ascii="IRNazanin" w:hAnsi="IRNazanin" w:eastAsia="IRNazanin" w:cs="IRNazanin"/>
          <w:lang w:bidi="fa-IR"/>
          <w:color w:val="111111"/>
          <w:sz w:val="28"/>
          <w:szCs w:val="28"/>
          <w:rtl/>
        </w:rPr>
        <w:t xml:space="preserve">آغاز: برابر؛ انجام: هزاران رحمت حق بر سلامش*** برو باد [و] بر اصحاب کرامش خط: نستعلیق تحریری، بی کا، تا: قرن ۱۲؛ کاغذ: کشمیر، نخودی و آبی و حنایی، جلد: میشن دار چینی، ۱۵-۱۷ سطر، اندازه: 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۱۰/۳ / ۲۰سم [ف: ۱۷-۶۸]</w:t>
      </w:r>
    </w:p>
    <w:p>
      <w:pPr>
        <w:pStyle w:val="BookText"/>
      </w:pPr>
      <w:r>
        <w:rPr>
          <w:rFonts w:ascii="IRNazanin" w:hAnsi="IRNazanin" w:eastAsia="IRNazanin" w:cs="IRNazanin"/>
          <w:lang w:bidi="fa-IR"/>
          <w:color w:val="111111"/>
          <w:sz w:val="28"/>
          <w:szCs w:val="28"/>
          <w:rtl/>
        </w:rPr>
        <w:t xml:space="preserve">۴. تهران؛ ملک؛ شماره نسخه: ۴۷۱۹/۳۷</w:t>
      </w:r>
    </w:p>
    <w:p>
      <w:pPr>
        <w:pStyle w:val="BookText"/>
      </w:pPr>
      <w:r>
        <w:rPr>
          <w:rFonts w:ascii="IRNazanin" w:hAnsi="IRNazanin" w:eastAsia="IRNazanin" w:cs="IRNazanin"/>
          <w:lang w:bidi="fa-IR"/>
          <w:color w:val="111111"/>
          <w:sz w:val="28"/>
          <w:szCs w:val="28"/>
          <w:rtl/>
        </w:rPr>
        <w:t xml:space="preserve">آغاز: برابر؛ انجام: کتابش معجز روشن بیان را*** وصیش حاکم مطلق جهان را</w:t>
      </w:r>
    </w:p>
    <w:p>
      <w:pPr>
        <w:pStyle w:val="BookText"/>
      </w:pPr>
      <w:r>
        <w:rPr>
          <w:rFonts w:ascii="IRNazanin" w:hAnsi="IRNazanin" w:eastAsia="IRNazanin" w:cs="IRNazanin"/>
          <w:lang w:bidi="fa-IR"/>
          <w:color w:val="111111"/>
          <w:sz w:val="28"/>
          <w:szCs w:val="28"/>
          <w:rtl/>
        </w:rPr>
        <w:t xml:space="preserve">خط: شکسته نستعلیق، بی کا، تا: قرن ۱۲، حسب الخواهش دوست معنوی برسم یادگار قلمی شد ۱۲۰۷؛ کاغذ: نوعی ترمه، جلد: رویه میشن سیاه ضربی، ۲گ (۶۵پ -۶۶پ)، اندازه: ۲۸/۲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۱۷/۲ سم [ف: ۸-۷۱]</w:t>
      </w:r>
    </w:p>
    <w:p>
      <w:pPr>
        <w:pStyle w:val="BookText"/>
      </w:pPr>
      <w:r>
        <w:rPr>
          <w:rFonts w:ascii="IRNazanin" w:hAnsi="IRNazanin" w:eastAsia="IRNazanin" w:cs="IRNazanin"/>
          <w:lang w:bidi="fa-IR"/>
          <w:color w:val="111111"/>
          <w:sz w:val="28"/>
          <w:szCs w:val="28"/>
          <w:rtl/>
        </w:rPr>
        <w:t xml:space="preserve">۵. تهران: مفتاح؛ شماره نسخه: ۵۶۶/۲</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تا: ۱۱۹۰ق [نشریه: ۷-۲۴۷]</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مجلس؛ شماره نسخه: ۱۴۱۸۱/۳۱</w:t>
      </w:r>
    </w:p>
    <w:p>
      <w:pPr>
        <w:pStyle w:val="BookText"/>
      </w:pPr>
      <w:r>
        <w:rPr>
          <w:rFonts w:ascii="IRNazanin" w:hAnsi="IRNazanin" w:eastAsia="IRNazanin" w:cs="IRNazanin"/>
          <w:lang w:bidi="fa-IR"/>
          <w:color w:val="111111"/>
          <w:sz w:val="28"/>
          <w:szCs w:val="28"/>
          <w:rtl/>
        </w:rPr>
        <w:t xml:space="preserve">خط: نستعلیق، کا: زین العابدين بن محمد، تا: ۱۴ صفر ۱۱۹۲ق، جان شیراز، آستانه شاهچراغ؛ جلد: تیماج، قهوه ای، ۵گ (۱۰۳ر -۱۰۷پ)، قطع: بياضی،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۳۸-۲۳۶]</w:t>
      </w:r>
    </w:p>
    <w:p>
      <w:pPr>
        <w:pStyle w:val="BookText"/>
      </w:pPr>
      <w:r>
        <w:rPr>
          <w:rFonts w:ascii="IRNazanin" w:hAnsi="IRNazanin" w:eastAsia="IRNazanin" w:cs="IRNazanin"/>
          <w:lang w:bidi="fa-IR"/>
          <w:color w:val="111111"/>
          <w:sz w:val="28"/>
          <w:szCs w:val="28"/>
          <w:rtl/>
        </w:rPr>
        <w:t xml:space="preserve">۷. تهران؛ مجلس؛ شماره نسخه: ۱۳۳۹۹/۶</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شکسته نستعلیق، بی کا، تا: قرن ۱۳؛ جلد: تیماج قهوه ای، اگ (۱۵پ -۲۱ر) [ف: ۳۶-۳۳۴]</w:t>
      </w:r>
    </w:p>
    <w:p>
      <w:pPr>
        <w:pStyle w:val="BookText"/>
      </w:pPr>
      <w:r>
        <w:rPr>
          <w:rFonts w:ascii="IRNazanin" w:hAnsi="IRNazanin" w:eastAsia="IRNazanin" w:cs="IRNazanin"/>
          <w:lang w:bidi="fa-IR"/>
          <w:color w:val="111111"/>
          <w:sz w:val="28"/>
          <w:szCs w:val="28"/>
          <w:rtl/>
        </w:rPr>
        <w:t xml:space="preserve">۸. تهران؛ مجلس؛ شماره نسخه: ۳۵۱۲/۴</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كا: سید محمد رضوی قمی، تا: قرن ۱۳، کاغذ: فرنگی، جلد: تیماج يشمی، ۶ص (۲۸-۳۳)، قطع: خشتی،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سم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 ۱۰-۱۴۶۴]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ملی؛ شماره نسخه: ۱۲۳۰/۲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خوش، کا: محتملا از اولاد وصال، تا: قرن ۱۳، جان شیراز؛ کاغذ: فرنگی، الوان، جلد: تیماج قرمز مقوایی، ۲۲ سطر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اندازه: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۲۰/۵سم [ف: ۳-۲۸۰]</w:t>
      </w:r>
    </w:p>
    <w:p>
      <w:pPr>
        <w:pStyle w:val="BookText"/>
      </w:pPr>
      <w:r>
        <w:rPr>
          <w:rFonts w:ascii="IRNazanin" w:hAnsi="IRNazanin" w:eastAsia="IRNazanin" w:cs="IRNazanin"/>
          <w:lang w:bidi="fa-IR"/>
          <w:color w:val="111111"/>
          <w:sz w:val="28"/>
          <w:szCs w:val="28"/>
          <w:rtl/>
        </w:rPr>
        <w:t xml:space="preserve">۱۰. تهران؛ ملک؛ شماره نسخه: ۵۱۳۰/۱</w:t>
      </w:r>
    </w:p>
    <w:p>
      <w:pPr>
        <w:pStyle w:val="BookText"/>
      </w:pPr>
      <w:r>
        <w:rPr>
          <w:rFonts w:ascii="IRNazanin" w:hAnsi="IRNazanin" w:eastAsia="IRNazanin" w:cs="IRNazanin"/>
          <w:lang w:bidi="fa-IR"/>
          <w:color w:val="111111"/>
          <w:sz w:val="28"/>
          <w:szCs w:val="28"/>
          <w:rtl/>
        </w:rPr>
        <w:t xml:space="preserve">آغاز: برابر؛ انجام: کتابش معجز .. بیان را (!)*** وصیش حاکم مطلق جهان را</w:t>
      </w:r>
    </w:p>
    <w:p>
      <w:pPr>
        <w:pStyle w:val="BookText"/>
      </w:pPr>
      <w:r>
        <w:rPr>
          <w:rFonts w:ascii="IRNazanin" w:hAnsi="IRNazanin" w:eastAsia="IRNazanin" w:cs="IRNazanin"/>
          <w:lang w:bidi="fa-IR"/>
          <w:color w:val="111111"/>
          <w:sz w:val="28"/>
          <w:szCs w:val="28"/>
          <w:rtl/>
        </w:rPr>
        <w:t xml:space="preserve">خط: شکسته نستعلیق، بی کا، تا: قرن ۱۳؛ کاغذ: فرنگی آهار مهره، جلد: میشن قهوه ای لایی، ۱۰گ (اپ-۱۰ر)، ۱۲ سطر، اندازه: ۱۰/۸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۸-۲۲۱]</w:t>
      </w:r>
    </w:p>
    <w:p>
      <w:pPr>
        <w:pStyle w:val="BookText"/>
      </w:pPr>
      <w:r>
        <w:rPr>
          <w:rFonts w:ascii="IRNazanin" w:hAnsi="IRNazanin" w:eastAsia="IRNazanin" w:cs="IRNazanin"/>
          <w:lang w:bidi="fa-IR"/>
          <w:color w:val="111111"/>
          <w:sz w:val="28"/>
          <w:szCs w:val="28"/>
          <w:rtl/>
        </w:rPr>
        <w:t xml:space="preserve">۱۱. تهران؛ مجلس؛ شماره نسخه: ۹۱۰۲/۲</w:t>
      </w:r>
    </w:p>
    <w:p>
      <w:pPr>
        <w:pStyle w:val="BookText"/>
      </w:pPr>
      <w:r>
        <w:rPr>
          <w:rFonts w:ascii="IRNazanin" w:hAnsi="IRNazanin" w:eastAsia="IRNazanin" w:cs="IRNazanin"/>
          <w:lang w:bidi="fa-IR"/>
          <w:color w:val="111111"/>
          <w:sz w:val="28"/>
          <w:szCs w:val="28"/>
          <w:rtl/>
        </w:rPr>
        <w:t xml:space="preserve">آغاز: برابر؛ انجام: عیان نور خدایی از جبینش***برون دست خدا از آستینش خط: شکسته نستعلیق، بی کا، تا: قرن ۱۳؛ افتادگی: انجام؛ کاغذ: فرنگی نخودی آهار مهره، جلد: تیماج مشکی یک لا مجدول ۸گ (۱۳۲ - ۳۹پ)، ۱۱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 اندازه: ۱۶/۲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۱۰/۴</w:t>
      </w:r>
    </w:p>
    <w:p>
      <w:pPr>
        <w:pStyle w:val="BookText"/>
      </w:pPr>
      <w:r>
        <w:rPr>
          <w:rFonts w:ascii="IRNazanin" w:hAnsi="IRNazanin" w:eastAsia="IRNazanin" w:cs="IRNazanin"/>
          <w:lang w:bidi="fa-IR"/>
          <w:color w:val="111111"/>
          <w:sz w:val="28"/>
          <w:szCs w:val="28"/>
          <w:rtl/>
        </w:rPr>
        <w:t xml:space="preserve">سم [ف: ۲۹/۲ -۷۶۱]</w:t>
      </w:r>
    </w:p>
    <w:p>
      <w:pPr>
        <w:pStyle w:val="BookText"/>
      </w:pPr>
      <w:r>
        <w:rPr>
          <w:rFonts w:ascii="IRNazanin" w:hAnsi="IRNazanin" w:eastAsia="IRNazanin" w:cs="IRNazanin"/>
          <w:lang w:bidi="fa-IR"/>
          <w:color w:val="111111"/>
          <w:sz w:val="28"/>
          <w:szCs w:val="28"/>
          <w:rtl/>
        </w:rPr>
        <w:t xml:space="preserve">۱۲. تهران: مفتاح، شماره نسخه: ۸۶۶/۶</w:t>
      </w:r>
    </w:p>
    <w:p>
      <w:pPr>
        <w:pStyle w:val="BookText"/>
      </w:pPr>
      <w:r>
        <w:rPr>
          <w:rFonts w:ascii="IRNazanin" w:hAnsi="IRNazanin" w:eastAsia="IRNazanin" w:cs="IRNazanin"/>
          <w:lang w:bidi="fa-IR"/>
          <w:color w:val="111111"/>
          <w:sz w:val="28"/>
          <w:szCs w:val="28"/>
          <w:rtl/>
        </w:rPr>
        <w:t xml:space="preserve">خط: نستعلیق، بی کا، تا: قرن ۱۳؛ مجدول زر و لاجورد، قطع: بیاضی ربعی[نشریه: ۱۳۵۷]</w:t>
      </w:r>
    </w:p>
    <w:p>
      <w:pPr>
        <w:pStyle w:val="BookText"/>
      </w:pPr>
      <w:r>
        <w:rPr>
          <w:rFonts w:ascii="IRNazanin" w:hAnsi="IRNazanin" w:eastAsia="IRNazanin" w:cs="IRNazanin"/>
          <w:lang w:bidi="fa-IR"/>
          <w:color w:val="111111"/>
          <w:sz w:val="28"/>
          <w:szCs w:val="28"/>
          <w:rtl/>
        </w:rPr>
        <w:t xml:space="preserve">۱۳. شیراز؛ بنیاد فارس شناسی؛ شماره نسخه: ۶۵/۵</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زیبا، كان محمد کاظم بن محمد متخلص به ناظم، تا: قرن ۱۳، ۷گ (۱۰۶ر-۱۱۲پ)،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۸۸ ]</w:t>
      </w:r>
    </w:p>
    <w:p>
      <w:pPr>
        <w:pStyle w:val="BookText"/>
      </w:pPr>
      <w:r>
        <w:rPr>
          <w:rFonts w:ascii="IRNazanin" w:hAnsi="IRNazanin" w:eastAsia="IRNazanin" w:cs="IRNazanin"/>
          <w:lang w:bidi="fa-IR"/>
          <w:color w:val="111111"/>
          <w:sz w:val="28"/>
          <w:szCs w:val="28"/>
          <w:rtl/>
        </w:rPr>
        <w:t xml:space="preserve">۱۴. تهران؛ ملک؛ شماره نسخه: ۴۵۸۱/۲</w:t>
      </w:r>
    </w:p>
    <w:p>
      <w:pPr>
        <w:pStyle w:val="BookText"/>
      </w:pPr>
      <w:r>
        <w:rPr>
          <w:rFonts w:ascii="IRNazanin" w:hAnsi="IRNazanin" w:eastAsia="IRNazanin" w:cs="IRNazanin"/>
          <w:lang w:bidi="fa-IR"/>
          <w:color w:val="111111"/>
          <w:sz w:val="28"/>
          <w:szCs w:val="28"/>
          <w:rtl/>
        </w:rPr>
        <w:t xml:space="preserve">خط شکسته نستعلیق، بی کا، تا: قرن ۱۳</w:t>
      </w:r>
    </w:p>
    <w:p>
      <w:pPr>
        <w:pStyle w:val="BookText"/>
      </w:pPr>
      <w:r>
        <w:rPr>
          <w:rFonts w:ascii="IRNazanin" w:hAnsi="IRNazanin" w:eastAsia="IRNazanin" w:cs="IRNazanin"/>
          <w:lang w:bidi="fa-IR"/>
          <w:color w:val="111111"/>
          <w:sz w:val="28"/>
          <w:szCs w:val="28"/>
          <w:rtl/>
        </w:rPr>
        <w:t xml:space="preserve">کاغذ: پسته ای، جلد: میشن تریاکی لایی، ۱۵ سطر، اندازه: ۲۰/۶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۱۴/۸ سم [ف: ۷-۴۳۴]</w:t>
      </w:r>
    </w:p>
    <w:p>
      <w:pPr>
        <w:pStyle w:val="BookText"/>
      </w:pPr>
      <w:r>
        <w:rPr>
          <w:rFonts w:ascii="IRNazanin" w:hAnsi="IRNazanin" w:eastAsia="IRNazanin" w:cs="IRNazanin"/>
          <w:lang w:bidi="fa-IR"/>
          <w:color w:val="111111"/>
          <w:sz w:val="28"/>
          <w:szCs w:val="28"/>
          <w:rtl/>
        </w:rPr>
        <w:t xml:space="preserve">۱۵. تهران؛ مجلس؛ شماره نسخه: ۸۰۱۲/۲</w:t>
      </w:r>
    </w:p>
    <w:p>
      <w:pPr>
        <w:pStyle w:val="BookText"/>
      </w:pPr>
      <w:r>
        <w:rPr>
          <w:rFonts w:ascii="IRNazanin" w:hAnsi="IRNazanin" w:eastAsia="IRNazanin" w:cs="IRNazanin"/>
          <w:lang w:bidi="fa-IR"/>
          <w:color w:val="111111"/>
          <w:sz w:val="28"/>
          <w:szCs w:val="28"/>
          <w:rtl/>
        </w:rPr>
        <w:t xml:space="preserve">خط: شکسته نستعلیق بد خط، بی کا، تا: قرن ۱۳؛ مجدول، دارای رکابه؛ مهر: «کتابخانه باقر ترقی»؛ جلد: مقوایی ساده بدون روکش با عطف تیماج قهوه ای، ۸گ (۱ر-۸پ</w:t>
      </w:r>
    </w:p>
    <w:p>
      <w:pPr>
        <w:pStyle w:val="BookText"/>
      </w:pPr>
      <w:r>
        <w:rPr>
          <w:rFonts w:ascii="IRNazanin" w:hAnsi="IRNazanin" w:eastAsia="IRNazanin" w:cs="IRNazanin"/>
          <w:lang w:bidi="fa-IR"/>
          <w:color w:val="111111"/>
          <w:sz w:val="28"/>
          <w:szCs w:val="28"/>
          <w:rtl/>
        </w:rPr>
        <w:t xml:space="preserve">هامش)، اندازه: ۳۰/۱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۱۹/۹ سم [ف: ۲۷/۱ -۳۳]</w:t>
      </w:r>
    </w:p>
    <w:p>
      <w:pPr>
        <w:pStyle w:val="BookText"/>
      </w:pPr>
      <w:r>
        <w:rPr>
          <w:rFonts w:ascii="IRNazanin" w:hAnsi="IRNazanin" w:eastAsia="IRNazanin" w:cs="IRNazanin"/>
          <w:lang w:bidi="fa-IR"/>
          <w:color w:val="111111"/>
          <w:sz w:val="28"/>
          <w:szCs w:val="28"/>
          <w:rtl/>
        </w:rPr>
        <w:t xml:space="preserve">۱۶. تهران؛ الهیات؛ شماره نسخه: ۵۹۱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خوش، بی کا، تا: رمضان قرن ۱۳؛ با سرلوح، مجدول؛ کاغذ: فرنگی، جلد: تیماج سرخ زرکوب، ۲۲گ، ابعاد متن: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سم [ف: ۱۲۱]</w:t>
      </w:r>
    </w:p>
    <w:p>
      <w:pPr>
        <w:pStyle w:val="BookText"/>
      </w:pPr>
      <w:r>
        <w:rPr>
          <w:rFonts w:ascii="IRNazanin" w:hAnsi="IRNazanin" w:eastAsia="IRNazanin" w:cs="IRNazanin"/>
          <w:lang w:bidi="fa-IR"/>
          <w:color w:val="111111"/>
          <w:sz w:val="28"/>
          <w:szCs w:val="28"/>
          <w:rtl/>
        </w:rPr>
        <w:t xml:space="preserve">۱۷. تهران؛ مجلس؛ شماره نسخه: ۴۳/۱۰</w:t>
      </w:r>
    </w:p>
    <w:p>
      <w:pPr>
        <w:pStyle w:val="BookText"/>
      </w:pPr>
      <w:r>
        <w:rPr>
          <w:rFonts w:ascii="IRNazanin" w:hAnsi="IRNazanin" w:eastAsia="IRNazanin" w:cs="IRNazanin"/>
          <w:lang w:bidi="fa-IR"/>
          <w:color w:val="111111"/>
          <w:sz w:val="28"/>
          <w:szCs w:val="28"/>
          <w:rtl/>
        </w:rPr>
        <w:t xml:space="preserve">خط: نستعلیق، بی کا، تا: قرن ۱۳؛ مجدول زر؛ کاغذ: سفید و زرد و آبی و صورتی، جلد: تیماج قهوه ای، گرد تیماج زرد، ۱۱ص ( ۲۵۴-۲۴۴ )، ۲۰-۱۰ سطر (۹</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۴)، قطع: بياضي،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سم [سنا: ف: ۱-۲۴]</w:t>
      </w:r>
    </w:p>
    <w:p>
      <w:pPr>
        <w:pStyle w:val="BookText"/>
      </w:pPr>
      <w:r>
        <w:rPr>
          <w:rFonts w:ascii="IRNazanin" w:hAnsi="IRNazanin" w:eastAsia="IRNazanin" w:cs="IRNazanin"/>
          <w:lang w:bidi="fa-IR"/>
          <w:color w:val="111111"/>
          <w:sz w:val="28"/>
          <w:szCs w:val="28"/>
          <w:rtl/>
        </w:rPr>
        <w:t xml:space="preserve">۱۸. تهران: ملی؛ شماره نسخه: ۳۰۷۷/۲</w:t>
      </w:r>
    </w:p>
    <w:p>
      <w:pPr>
        <w:pStyle w:val="BookText"/>
      </w:pPr>
      <w:r>
        <w:rPr>
          <w:rFonts w:ascii="IRNazanin" w:hAnsi="IRNazanin" w:eastAsia="IRNazanin" w:cs="IRNazanin"/>
          <w:lang w:bidi="fa-IR"/>
          <w:color w:val="111111"/>
          <w:sz w:val="28"/>
          <w:szCs w:val="28"/>
          <w:rtl/>
        </w:rPr>
        <w:t xml:space="preserve">آغاز: برابر؛ انجام: که در علم نبی دانای هر راز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ربانش راز حق را نکته پرداز خط: نستعلیق، بی کا، تا: قرن ۱۳، با سرلوح، مذهب، مجدول؛ کاغذ: فرنگی، جلد: مقوایی تیماج مشکی، ۳۷گ (۹۱-۱۲۷)، ۱۰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۴)،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۶-۸۷۵)</w:t>
      </w:r>
    </w:p>
    <w:p>
      <w:pPr>
        <w:pStyle w:val="BookText"/>
      </w:pPr>
      <w:r>
        <w:rPr>
          <w:rFonts w:ascii="IRNazanin" w:hAnsi="IRNazanin" w:eastAsia="IRNazanin" w:cs="IRNazanin"/>
          <w:lang w:bidi="fa-IR"/>
          <w:color w:val="111111"/>
          <w:sz w:val="28"/>
          <w:szCs w:val="28"/>
          <w:rtl/>
        </w:rPr>
        <w:t xml:space="preserve">۱۹. تهران: دانشگاه؛ شماره نسخه: ۵۹۹۲/۵</w:t>
      </w:r>
    </w:p>
    <w:p>
      <w:pPr>
        <w:pStyle w:val="BookText"/>
      </w:pPr>
      <w:r>
        <w:rPr>
          <w:rFonts w:ascii="IRNazanin" w:hAnsi="IRNazanin" w:eastAsia="IRNazanin" w:cs="IRNazanin"/>
          <w:lang w:bidi="fa-IR"/>
          <w:color w:val="111111"/>
          <w:sz w:val="28"/>
          <w:szCs w:val="28"/>
          <w:rtl/>
        </w:rPr>
        <w:t xml:space="preserve">خط: نستعلیق، بی کا، تا: قرن ۱۳؛ کاغذ: فرنگی، جلد: تیماج قهوه ای مقوایی، ۱۴ سطر (۱۲۶۶)، قطع: بغلی،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۱۶-۱۷۵]</w:t>
      </w:r>
    </w:p>
    <w:p>
      <w:pPr>
        <w:pStyle w:val="BookText"/>
      </w:pPr>
      <w:r>
        <w:rPr>
          <w:rFonts w:ascii="IRNazanin" w:hAnsi="IRNazanin" w:eastAsia="IRNazanin" w:cs="IRNazanin"/>
          <w:lang w:bidi="fa-IR"/>
          <w:color w:val="111111"/>
          <w:sz w:val="28"/>
          <w:szCs w:val="28"/>
          <w:rtl/>
        </w:rPr>
        <w:t xml:space="preserve">۲۰. تهران؛ ملک؛ شماره نسخه: ۴۹۸۸/۴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بی کا، تا: ۱۲۰۲ق؛ کاغذ: فستقی، جلد: میشن، ۶گ (۶۲-۶۷)، ۱۲ سطر، اندازه: ۱۳/۸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۸-۱۵۴]</w:t>
      </w:r>
    </w:p>
    <w:p>
      <w:pPr>
        <w:pStyle w:val="BookText"/>
      </w:pPr>
      <w:r>
        <w:rPr>
          <w:rFonts w:ascii="IRNazanin" w:hAnsi="IRNazanin" w:eastAsia="IRNazanin" w:cs="IRNazanin"/>
          <w:lang w:bidi="fa-IR"/>
          <w:color w:val="111111"/>
          <w:sz w:val="28"/>
          <w:szCs w:val="28"/>
          <w:rtl/>
        </w:rPr>
        <w:t xml:space="preserve">۲۱. تهران؛ مجلس؛ شماره نسخه: ۳/۱۳۴۱۰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میرزا محمد ملازم، تا: ذیحجه ۱۲۱۹ق، جان قزوین؛ مجدول؛ جلد: پارچه، پشت جلد و عطف تیماج قهوه ای، گ (۸۹پ -۹۴پ)، ۱۶ سطر [ف: ۳۶-۳۴۸]</w:t>
      </w:r>
    </w:p>
    <w:p>
      <w:pPr>
        <w:pStyle w:val="BookText"/>
      </w:pPr>
      <w:r>
        <w:rPr>
          <w:rFonts w:ascii="IRNazanin" w:hAnsi="IRNazanin" w:eastAsia="IRNazanin" w:cs="IRNazanin"/>
          <w:lang w:bidi="fa-IR"/>
          <w:color w:val="111111"/>
          <w:sz w:val="28"/>
          <w:szCs w:val="28"/>
          <w:rtl/>
        </w:rPr>
        <w:t xml:space="preserve">۲۲. تهران؛ ملک؛ شماره نسخه: ۴۸۰۸/۴</w:t>
      </w:r>
    </w:p>
    <w:p>
      <w:pPr>
        <w:pStyle w:val="BookText"/>
      </w:pPr>
      <w:r>
        <w:rPr>
          <w:rFonts w:ascii="IRNazanin" w:hAnsi="IRNazanin" w:eastAsia="IRNazanin" w:cs="IRNazanin"/>
          <w:lang w:bidi="fa-IR"/>
          <w:color w:val="111111"/>
          <w:sz w:val="28"/>
          <w:szCs w:val="28"/>
          <w:rtl/>
        </w:rPr>
        <w:t xml:space="preserve">خط شکسته نستعلیق خوش، کا:سید محمد صادق، تا: ۱۲۳۳ق؛ در حاشیه کاغذ: فرنگی آهار مهره، جلد:ساغری سیاه ضربی ترنجدار گل و بوته الوان، ۱۴ سطر، اندازه: ۱۹/۹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۳۱/۶سم [ف: ۸-۹۹]</w:t>
      </w:r>
    </w:p>
    <w:p>
      <w:pPr>
        <w:pStyle w:val="BookText"/>
      </w:pPr>
      <w:r>
        <w:rPr>
          <w:rFonts w:ascii="IRNazanin" w:hAnsi="IRNazanin" w:eastAsia="IRNazanin" w:cs="IRNazanin"/>
          <w:lang w:bidi="fa-IR"/>
          <w:color w:val="111111"/>
          <w:sz w:val="28"/>
          <w:szCs w:val="28"/>
          <w:rtl/>
        </w:rPr>
        <w:t xml:space="preserve">۲۳. مشهد؛ رضوی؛ شماره نسخه: ۱۹۰۶۶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خفي، كا: علی محمد نوری، تا: ۱۲۳۳ق؛ دارای سرلوح مزدوج مذهب؛ کاغذ: نخودی، جلد: مشمع، ۱۱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قطع: وزیری،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[رایانه]</w:t>
      </w:r>
    </w:p>
    <w:p>
      <w:pPr>
        <w:pStyle w:val="BookText"/>
      </w:pPr>
      <w:r>
        <w:rPr>
          <w:rFonts w:ascii="IRNazanin" w:hAnsi="IRNazanin" w:eastAsia="IRNazanin" w:cs="IRNazanin"/>
          <w:lang w:bidi="fa-IR"/>
          <w:color w:val="111111"/>
          <w:sz w:val="28"/>
          <w:szCs w:val="28"/>
          <w:rtl/>
        </w:rPr>
        <w:t xml:space="preserve">۲۴. تهران؛ مفتاح؛ شماره نسخه: ۱۲۴۳/۱</w:t>
      </w:r>
    </w:p>
    <w:p>
      <w:pPr>
        <w:pStyle w:val="BookText"/>
      </w:pPr>
      <w:r>
        <w:rPr>
          <w:rFonts w:ascii="IRNazanin" w:hAnsi="IRNazanin" w:eastAsia="IRNazanin" w:cs="IRNazanin"/>
          <w:lang w:bidi="fa-IR"/>
          <w:color w:val="111111"/>
          <w:sz w:val="28"/>
          <w:szCs w:val="28"/>
          <w:rtl/>
        </w:rPr>
        <w:t xml:space="preserve">خط: نستعلیق خوش، بی کا، تا: ۱۲۳۵ق؛ در متن و هامش، مجدول [نشریه: ۷-۲۷۳]</w:t>
      </w:r>
    </w:p>
    <w:p>
      <w:pPr>
        <w:pStyle w:val="BookText"/>
      </w:pPr>
      <w:r>
        <w:rPr>
          <w:rFonts w:ascii="IRNazanin" w:hAnsi="IRNazanin" w:eastAsia="IRNazanin" w:cs="IRNazanin"/>
          <w:lang w:bidi="fa-IR"/>
          <w:color w:val="111111"/>
          <w:sz w:val="28"/>
          <w:szCs w:val="28"/>
          <w:rtl/>
        </w:rPr>
        <w:t xml:space="preserve">۲۵. تهران؛ مجلس؛ شماره نسخه: ۱۳۱۵۸/۱۹</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شکسته نستعلیق چلیپا، كا: محمد ولی، تا: ۱۲۳۵ق؛ مجدول مذهب مرصع ؛ جلد: تیماج قرمز، ۱۷گ (۱۵۳-۱۶۹ر) [ف: ۳۶ ]</w:t>
      </w:r>
    </w:p>
    <w:p>
      <w:pPr>
        <w:pStyle w:val="BookText"/>
      </w:pPr>
      <w:r>
        <w:rPr>
          <w:rFonts w:ascii="IRNazanin" w:hAnsi="IRNazanin" w:eastAsia="IRNazanin" w:cs="IRNazanin"/>
          <w:lang w:bidi="fa-IR"/>
          <w:color w:val="111111"/>
          <w:sz w:val="28"/>
          <w:szCs w:val="28"/>
          <w:rtl/>
        </w:rPr>
        <w:t xml:space="preserve">۲۶. تهران: مجلس؛ شماره نسخه: ۹۴۶۷/۱۰۸</w:t>
      </w:r>
    </w:p>
    <w:p>
      <w:pPr>
        <w:pStyle w:val="BookText"/>
      </w:pPr>
      <w:r>
        <w:rPr>
          <w:rFonts w:ascii="IRNazanin" w:hAnsi="IRNazanin" w:eastAsia="IRNazanin" w:cs="IRNazanin"/>
          <w:lang w:bidi="fa-IR"/>
          <w:color w:val="111111"/>
          <w:sz w:val="28"/>
          <w:szCs w:val="28"/>
          <w:rtl/>
        </w:rPr>
        <w:t xml:space="preserve">خط: نستعلیق، کا: محمد بن جمشید مراغی، تا: ۱۲۴۱ق؛ ۵گ (۱۹۷پ- ۲۰۱) [مختصر ف: ۷۱۳]</w:t>
      </w:r>
    </w:p>
    <w:p>
      <w:pPr>
        <w:pStyle w:val="BookText"/>
      </w:pPr>
      <w:r>
        <w:rPr>
          <w:rFonts w:ascii="IRNazanin" w:hAnsi="IRNazanin" w:eastAsia="IRNazanin" w:cs="IRNazanin"/>
          <w:lang w:bidi="fa-IR"/>
          <w:color w:val="111111"/>
          <w:sz w:val="28"/>
          <w:szCs w:val="28"/>
          <w:rtl/>
        </w:rPr>
        <w:t xml:space="preserve">۲۷. تهران؛ مجلس؛ شماره نسخه: ۸۹۹۰/۱۹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شکسته، بی کا، تا: ۱۳ ذیقعده ۱۲۴۳ق؛ کاغذ: فرنگی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نخودی آهار مهره، جلد: مخملی بنفش با نقوش فرنگی و جدول درون کاغذ ابرو باد، ۱۶ص</w:t>
      </w:r>
    </w:p>
    <w:p>
      <w:pPr>
        <w:pStyle w:val="BookText"/>
      </w:pPr>
      <w:r>
        <w:rPr>
          <w:rFonts w:ascii="IRNazanin" w:hAnsi="IRNazanin" w:eastAsia="IRNazanin" w:cs="IRNazanin"/>
          <w:lang w:bidi="fa-IR"/>
          <w:color w:val="111111"/>
          <w:sz w:val="28"/>
          <w:szCs w:val="28"/>
          <w:rtl/>
        </w:rPr>
        <w:t xml:space="preserve">(۲۵-۴۰حاشیه)، سطور چلیپا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 اندازه: ۱۳/۹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 سم [ف: ۲۹/۱ -۵۷۱]</w:t>
      </w:r>
    </w:p>
    <w:p>
      <w:pPr>
        <w:pStyle w:val="BookText"/>
      </w:pPr>
      <w:r>
        <w:rPr>
          <w:rFonts w:ascii="Amiri" w:hAnsi="Amiri" w:eastAsia="Amiri" w:cs="Amiri"/>
          <w:lang w:bidi="ar-SA"/>
          <w:color w:val="111111"/>
          <w:sz w:val="28"/>
          <w:szCs w:val="28"/>
          <w:rtl/>
        </w:rPr>
        <w:t xml:space="preserve">۲۸. تهران؛ دائرة المعارف؛ شماره نسخه: ۴۵۶/۶</w:t>
      </w:r>
    </w:p>
    <w:p>
      <w:pPr>
        <w:pStyle w:val="BookText"/>
      </w:pPr>
      <w:r>
        <w:rPr>
          <w:rFonts w:ascii="IRNazanin" w:hAnsi="IRNazanin" w:eastAsia="IRNazanin" w:cs="IRNazanin"/>
          <w:lang w:bidi="fa-IR"/>
          <w:color w:val="111111"/>
          <w:sz w:val="28"/>
          <w:szCs w:val="28"/>
          <w:rtl/>
        </w:rPr>
        <w:t xml:space="preserve">آغاز: برابر انجام: چنان زد بر بساطش پشت پایی***که هر خاشاک او افتاد جایی</w:t>
      </w:r>
    </w:p>
    <w:p>
      <w:pPr>
        <w:pStyle w:val="BookText"/>
      </w:pPr>
      <w:r>
        <w:rPr>
          <w:rFonts w:ascii="IRNazanin" w:hAnsi="IRNazanin" w:eastAsia="IRNazanin" w:cs="IRNazanin"/>
          <w:lang w:bidi="fa-IR"/>
          <w:color w:val="111111"/>
          <w:sz w:val="28"/>
          <w:szCs w:val="28"/>
          <w:rtl/>
        </w:rPr>
        <w:t xml:space="preserve">خط شکسته خوش، بی کا، تا: ۱۲۵۰ق؛ ۳گ (۶۸پ - ۷۰پ) [ف:1-40]</w:t>
      </w:r>
    </w:p>
    <w:p>
      <w:pPr>
        <w:pStyle w:val="BookText"/>
      </w:pPr>
      <w:r>
        <w:rPr>
          <w:rFonts w:ascii="IRNazanin" w:hAnsi="IRNazanin" w:eastAsia="IRNazanin" w:cs="IRNazanin"/>
          <w:lang w:bidi="fa-IR"/>
          <w:color w:val="111111"/>
          <w:sz w:val="28"/>
          <w:szCs w:val="28"/>
          <w:rtl/>
        </w:rPr>
        <w:t xml:space="preserve">۲۹. مشهد؛ رضوی؛ شماره نسخه: ۸۹۷۸</w:t>
      </w:r>
    </w:p>
    <w:p>
      <w:pPr>
        <w:pStyle w:val="BookText"/>
      </w:pPr>
      <w:r>
        <w:rPr>
          <w:rFonts w:ascii="IRNazanin" w:hAnsi="IRNazanin" w:eastAsia="IRNazanin" w:cs="IRNazanin"/>
          <w:lang w:bidi="fa-IR"/>
          <w:color w:val="111111"/>
          <w:sz w:val="28"/>
          <w:szCs w:val="28"/>
          <w:rtl/>
        </w:rPr>
        <w:t xml:space="preserve">آغاز: برابر؛ انجام: خموشی به در این سربسته دار است***سخن کوتاه کن احسان دراز است.</w:t>
      </w:r>
    </w:p>
    <w:p>
      <w:pPr>
        <w:pStyle w:val="BookText"/>
      </w:pPr>
      <w:r>
        <w:rPr>
          <w:rFonts w:ascii="IRNazanin" w:hAnsi="IRNazanin" w:eastAsia="IRNazanin" w:cs="IRNazanin"/>
          <w:lang w:bidi="fa-IR"/>
          <w:color w:val="111111"/>
          <w:sz w:val="28"/>
          <w:szCs w:val="28"/>
          <w:rtl/>
        </w:rPr>
        <w:t xml:space="preserve">خط: شکسته نستعلیق عالی، کا: میرزا سید علی نیاز شیرازی، تا: ۶ جمادی الاول ۱۲۵۴ق؛ سطور چلیپا، مذهب؛ دارای ۳۴ قطعه (به شکل مرقع صحافی شده)؛ واقف: علی اصغر حکمت، مهر ۱۳۴۰؛ کاغذ: حنایی، جلد: مقوای ماشی جدول بندی به زر، ابعاد متن: ۶۷۵، اندازه: ۱۹/۷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[ف: ۱۷-۶۴]</w:t>
      </w:r>
    </w:p>
    <w:p>
      <w:pPr>
        <w:pStyle w:val="BookText"/>
      </w:pPr>
      <w:r>
        <w:rPr>
          <w:rFonts w:ascii="IRNazanin" w:hAnsi="IRNazanin" w:eastAsia="IRNazanin" w:cs="IRNazanin"/>
          <w:lang w:bidi="fa-IR"/>
          <w:color w:val="111111"/>
          <w:sz w:val="28"/>
          <w:szCs w:val="28"/>
          <w:rtl/>
        </w:rPr>
        <w:t xml:space="preserve">۳۰. تهران؛ مفتاح؛ شماره نسخه: ۷۳۲/۵</w:t>
      </w:r>
    </w:p>
    <w:p>
      <w:pPr>
        <w:pStyle w:val="BookText"/>
      </w:pPr>
      <w:r>
        <w:rPr>
          <w:rFonts w:ascii="IRNazanin" w:hAnsi="IRNazanin" w:eastAsia="IRNazanin" w:cs="IRNazanin"/>
          <w:lang w:bidi="fa-IR"/>
          <w:color w:val="111111"/>
          <w:sz w:val="28"/>
          <w:szCs w:val="28"/>
          <w:rtl/>
        </w:rPr>
        <w:t xml:space="preserve">خط: نستعلیق، بی کا، تا: شنبه ۱۴ جمادی الثانی ۱۲۵۴ق. با چهار سرلوح با یک ترنج مجدول زر و لاجورد؛ قطع: ربعی [نشریه: ۷-۲۵۵]</w:t>
      </w:r>
    </w:p>
    <w:p>
      <w:pPr>
        <w:pStyle w:val="BookText"/>
      </w:pPr>
      <w:r>
        <w:rPr>
          <w:rFonts w:ascii="IRNazanin" w:hAnsi="IRNazanin" w:eastAsia="IRNazanin" w:cs="IRNazanin"/>
          <w:lang w:bidi="fa-IR"/>
          <w:color w:val="111111"/>
          <w:sz w:val="28"/>
          <w:szCs w:val="28"/>
          <w:rtl/>
        </w:rPr>
        <w:t xml:space="preserve">۳۱. تهران؛ مجلس؛ شماره نسخه: ۹۰۶۱/۴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خط: نستعلیق، كا: مهدی بن محمد شیرازی متخلص به صابر برای مهر علی خان نوری، تا: با تاریخ ۱۲۵۶ق؛ کاغذ: فرنگی نخودی آهارمهره، جلد: تیماج مشکی، ۶گ (۱۶۰پ -۱۶۵پ)، ۲۱ سطر ( ۱۵/۹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۷/۳ )، اندازه: ۲۰/۷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۱۱/۹ سم [ف: ۲۹/۲ -۶۸۷]</w:t>
      </w:r>
    </w:p>
    <w:p>
      <w:pPr>
        <w:pStyle w:val="BookText"/>
      </w:pPr>
      <w:r>
        <w:rPr>
          <w:rFonts w:ascii="IRNazanin" w:hAnsi="IRNazanin" w:eastAsia="IRNazanin" w:cs="IRNazanin"/>
          <w:lang w:bidi="fa-IR"/>
          <w:color w:val="111111"/>
          <w:sz w:val="28"/>
          <w:szCs w:val="28"/>
          <w:rtl/>
        </w:rPr>
        <w:t xml:space="preserve">۳۲. تهران؛ مجلس؛ شماره نسخه: ۹۰/۵</w:t>
      </w:r>
    </w:p>
    <w:p>
      <w:pPr>
        <w:pStyle w:val="BookText"/>
      </w:pPr>
      <w:r>
        <w:rPr>
          <w:rFonts w:ascii="IRNazanin" w:hAnsi="IRNazanin" w:eastAsia="IRNazanin" w:cs="IRNazanin"/>
          <w:lang w:bidi="fa-IR"/>
          <w:color w:val="111111"/>
          <w:sz w:val="28"/>
          <w:szCs w:val="28"/>
          <w:rtl/>
        </w:rPr>
        <w:t xml:space="preserve">خط: نستعلیق، كان محمد کاظم ابن محمد، تا: ۱۲۵۶ق؛ کاغذ: سفید، جلد: تیماج سبز مقوایی، ۱۳ص (۱۶۱-۱۷۳)، ۱۸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[سنا: ف: ۱-۴۹]</w:t>
      </w:r>
    </w:p>
    <w:p>
      <w:pPr>
        <w:pStyle w:val="BookText"/>
      </w:pPr>
      <w:r>
        <w:rPr>
          <w:rFonts w:ascii="IRNazanin" w:hAnsi="IRNazanin" w:eastAsia="IRNazanin" w:cs="IRNazanin"/>
          <w:lang w:bidi="fa-IR"/>
          <w:color w:val="111111"/>
          <w:sz w:val="28"/>
          <w:szCs w:val="28"/>
          <w:rtl/>
        </w:rPr>
        <w:t xml:space="preserve">۳۳. کاشان؛ عاطفی، حسن؛ شماره نسخه: ۱۱/۳</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شکسته نستعلیق بدخط، بی کا، تا: ۱۲۵۷ق (نشریه: ۱۱-۹۵۳]</w:t>
      </w:r>
    </w:p>
    <w:p>
      <w:pPr>
        <w:pStyle w:val="BookText"/>
      </w:pPr>
      <w:r>
        <w:rPr>
          <w:rFonts w:ascii="IRNazanin" w:hAnsi="IRNazanin" w:eastAsia="IRNazanin" w:cs="IRNazanin"/>
          <w:lang w:bidi="fa-IR"/>
          <w:color w:val="111111"/>
          <w:sz w:val="28"/>
          <w:szCs w:val="28"/>
          <w:rtl/>
        </w:rPr>
        <w:t xml:space="preserve">۳۴. تهران؛ ملک؛ شماره نسخه: ۵۳۶۴/۲</w:t>
      </w:r>
    </w:p>
    <w:p>
      <w:pPr>
        <w:pStyle w:val="BookText"/>
      </w:pPr>
      <w:r>
        <w:rPr>
          <w:rFonts w:ascii="IRNazanin" w:hAnsi="IRNazanin" w:eastAsia="IRNazanin" w:cs="IRNazanin"/>
          <w:lang w:bidi="fa-IR"/>
          <w:color w:val="111111"/>
          <w:sz w:val="28"/>
          <w:szCs w:val="28"/>
          <w:rtl/>
        </w:rPr>
        <w:t xml:space="preserve">آغاز: برابر، انجام: چه خوش گفت این سخن را نكته دانی*** سخن گو عارفی شیرین زبانی بی کا، تا: ذیقعده ۱۲۵۹ق؛ کاغذ: ترمه اصفهانی، جلد: ترمه مغزی میشن قهوه ای، ۱۰گ</w:t>
      </w:r>
    </w:p>
    <w:p>
      <w:pPr>
        <w:pStyle w:val="BookText"/>
      </w:pPr>
      <w:r>
        <w:rPr>
          <w:rFonts w:ascii="IRNazanin" w:hAnsi="IRNazanin" w:eastAsia="IRNazanin" w:cs="IRNazanin"/>
          <w:lang w:bidi="fa-IR"/>
          <w:color w:val="111111"/>
          <w:sz w:val="28"/>
          <w:szCs w:val="28"/>
          <w:rtl/>
        </w:rPr>
        <w:t xml:space="preserve">(۱۰۳پ -۱۱۲پ)، ۱۴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سم [ف: ۸-۳۱۲]</w:t>
      </w:r>
    </w:p>
    <w:p>
      <w:pPr>
        <w:pStyle w:val="BookText"/>
      </w:pPr>
      <w:r>
        <w:rPr>
          <w:rFonts w:ascii="IRNazanin" w:hAnsi="IRNazanin" w:eastAsia="IRNazanin" w:cs="IRNazanin"/>
          <w:lang w:bidi="fa-IR"/>
          <w:color w:val="111111"/>
          <w:sz w:val="28"/>
          <w:szCs w:val="28"/>
          <w:rtl/>
        </w:rPr>
        <w:t xml:space="preserve">۳۵. تهران؛ ملک؛ شماره نسخه: ۴۸۹۹/۸</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حدود ۲۳۰ بیت، گویا نسبت به برخی از نسخه ها افزودگی هایی دارد؛ خط: شکسته نستعلیق، بی کا، تا: ۱۲۶۲ق، جان یزد؛ کاغذ: ترمه اصفهانی، جلد: میشن آلبالویی، وگ (۶۰ر -۶۸پ)، ۱۲ سطر، اندازه: ۱۹/۲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۱۱/۹ سم [ف: ۸-۱۱۷]</w:t>
      </w:r>
    </w:p>
    <w:p>
      <w:pPr>
        <w:pStyle w:val="BookText"/>
      </w:pPr>
      <w:r>
        <w:rPr>
          <w:rFonts w:ascii="IRNazanin" w:hAnsi="IRNazanin" w:eastAsia="IRNazanin" w:cs="IRNazanin"/>
          <w:lang w:bidi="fa-IR"/>
          <w:color w:val="111111"/>
          <w:sz w:val="28"/>
          <w:szCs w:val="28"/>
          <w:rtl/>
        </w:rPr>
        <w:t xml:space="preserve">۳۶. قم؛ مرکز احیاء؛ شماره نسخه: ۱۶۰۱/۲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خوش، کا: محمد رضا بن ضياء الدين، تا: شعبان ۱۲۶۶ق؛ مجدول؛ کاغذ: ترمه، جلد: دو رو روغنی دارای نقاشی ۱۱گ (۵5ر -۶۵ر)، ۱۰ سطر،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w:t>
      </w:r>
    </w:p>
    <w:p>
      <w:pPr>
        <w:pStyle w:val="BookText"/>
      </w:pPr>
      <w:r>
        <w:rPr>
          <w:rFonts w:ascii="IRNazanin" w:hAnsi="IRNazanin" w:eastAsia="IRNazanin" w:cs="IRNazanin"/>
          <w:lang w:bidi="fa-IR"/>
          <w:color w:val="111111"/>
          <w:sz w:val="28"/>
          <w:szCs w:val="28"/>
          <w:rtl/>
        </w:rPr>
        <w:t xml:space="preserve">سم [ف: ۵-۶]</w:t>
      </w:r>
    </w:p>
    <w:p>
      <w:pPr>
        <w:pStyle w:val="BookText"/>
      </w:pPr>
      <w:r>
        <w:rPr>
          <w:rFonts w:ascii="IRNazanin" w:hAnsi="IRNazanin" w:eastAsia="IRNazanin" w:cs="IRNazanin"/>
          <w:lang w:bidi="fa-IR"/>
          <w:color w:val="111111"/>
          <w:sz w:val="28"/>
          <w:szCs w:val="28"/>
          <w:rtl/>
        </w:rPr>
        <w:t xml:space="preserve">۳۷. همدان؛ دانشگاه بوعلی، شماره نسخه: ۳۳۶/۳</w:t>
      </w:r>
    </w:p>
    <w:p>
      <w:pPr>
        <w:pStyle w:val="BookText"/>
      </w:pPr>
      <w:r>
        <w:rPr>
          <w:rFonts w:ascii="IRNazanin" w:hAnsi="IRNazanin" w:eastAsia="IRNazanin" w:cs="IRNazanin"/>
          <w:lang w:bidi="fa-IR"/>
          <w:color w:val="111111"/>
          <w:sz w:val="28"/>
          <w:szCs w:val="28"/>
          <w:rtl/>
        </w:rPr>
        <w:t xml:space="preserve">خط: نستعلیق، بی کا، تا: پنج شنبه ۷ رمضان ۱۲۷۸ق؛ جلد: تیماج قهوه ای بدون مقوا، ۵گ (۱۳۱ - ۳۵پ)، ۱۶ سطر [ف: ۱۸۰]</w:t>
      </w:r>
    </w:p>
    <w:p>
      <w:pPr>
        <w:pStyle w:val="BookText"/>
      </w:pPr>
      <w:r>
        <w:rPr>
          <w:rFonts w:ascii="IRNazanin" w:hAnsi="IRNazanin" w:eastAsia="IRNazanin" w:cs="IRNazanin"/>
          <w:lang w:bidi="fa-IR"/>
          <w:color w:val="111111"/>
          <w:sz w:val="28"/>
          <w:szCs w:val="28"/>
          <w:rtl/>
        </w:rPr>
        <w:t xml:space="preserve">۳۸. تهران، دانشگاه؛ شماره نسخه: ۴۷۱۶/۴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صادق شیرازی، تا: ۱۲۸۱ق؛ مجدول زر و شنگرف</w:t>
      </w:r>
    </w:p>
    <w:p>
      <w:pPr>
        <w:pStyle w:val="BookText"/>
      </w:pPr>
      <w:r>
        <w:rPr>
          <w:rFonts w:ascii="IRNazanin" w:hAnsi="IRNazanin" w:eastAsia="IRNazanin" w:cs="IRNazanin"/>
          <w:lang w:bidi="fa-IR"/>
          <w:color w:val="111111"/>
          <w:sz w:val="28"/>
          <w:szCs w:val="28"/>
          <w:rtl/>
        </w:rPr>
        <w:t xml:space="preserve">کاغذ: فرنگی، جلد: تیماج عنابی ضربی، ۲۶ص (۹۷ -۱۲۲)، ۹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۱۴-۳۶۶۳]</w:t>
      </w:r>
    </w:p>
    <w:p>
      <w:pPr>
        <w:pStyle w:val="BookText"/>
      </w:pPr>
      <w:r>
        <w:rPr>
          <w:rFonts w:ascii="IRNazanin" w:hAnsi="IRNazanin" w:eastAsia="IRNazanin" w:cs="IRNazanin"/>
          <w:lang w:bidi="fa-IR"/>
          <w:color w:val="111111"/>
          <w:sz w:val="28"/>
          <w:szCs w:val="28"/>
          <w:rtl/>
        </w:rPr>
        <w:t xml:space="preserve">۳۹. شیراز؛ میر (دکتر)؛ شماره نسخه: ۲۲/۴</w:t>
      </w:r>
    </w:p>
    <w:p>
      <w:pPr>
        <w:pStyle w:val="BookText"/>
      </w:pPr>
      <w:r>
        <w:rPr>
          <w:rFonts w:ascii="IRNazanin" w:hAnsi="IRNazanin" w:eastAsia="IRNazanin" w:cs="IRNazanin"/>
          <w:lang w:bidi="fa-IR"/>
          <w:color w:val="111111"/>
          <w:sz w:val="28"/>
          <w:szCs w:val="28"/>
          <w:rtl/>
        </w:rPr>
        <w:t xml:space="preserve">بی کا، تا: ۱۲۸۲ق؛ با تتمه وصال [نشریه: ۵-۲۸۴]</w:t>
      </w:r>
    </w:p>
    <w:p>
      <w:pPr>
        <w:pStyle w:val="BookText"/>
      </w:pPr>
      <w:r>
        <w:rPr>
          <w:rFonts w:ascii="IRNazanin" w:hAnsi="IRNazanin" w:eastAsia="IRNazanin" w:cs="IRNazanin"/>
          <w:lang w:bidi="fa-IR"/>
          <w:color w:val="111111"/>
          <w:sz w:val="28"/>
          <w:szCs w:val="28"/>
          <w:rtl/>
        </w:rPr>
        <w:t xml:space="preserve">۴۰. تهران؛ مجلس؛ شماره نسخه: ۱۶۹۱۵ض بی کا، تا: شعبان ۱۲۹۲ق، ۸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سم [ف: ۲۸-۴۷/۱ ]</w:t>
      </w:r>
    </w:p>
    <w:p>
      <w:pPr>
        <w:pStyle w:val="BookText"/>
      </w:pPr>
      <w:r>
        <w:rPr>
          <w:rFonts w:ascii="IRNazanin" w:hAnsi="IRNazanin" w:eastAsia="IRNazanin" w:cs="IRNazanin"/>
          <w:lang w:bidi="fa-IR"/>
          <w:color w:val="111111"/>
          <w:sz w:val="28"/>
          <w:szCs w:val="28"/>
          <w:rtl/>
        </w:rPr>
        <w:t xml:space="preserve">۴۱. قم؛ گلپایگانی؛ شماره نسخه: ۳۳۶۶- ۱۷/۱۴۶</w:t>
      </w:r>
    </w:p>
    <w:p>
      <w:pPr>
        <w:pStyle w:val="BookText"/>
      </w:pPr>
      <w:r>
        <w:rPr>
          <w:rFonts w:ascii="IRNazanin" w:hAnsi="IRNazanin" w:eastAsia="IRNazanin" w:cs="IRNazanin"/>
          <w:lang w:bidi="fa-IR"/>
          <w:color w:val="111111"/>
          <w:sz w:val="28"/>
          <w:szCs w:val="28"/>
          <w:rtl/>
        </w:rPr>
        <w:t xml:space="preserve">آغاز: برابر؛ انجام: چراغ افروز راه اهل بینش *** محمد شمع بزم آفرینش کتابش معجز روشن بیان را *** وصیتش حاکم مطلق جهان را</w:t>
      </w:r>
    </w:p>
    <w:p>
      <w:pPr>
        <w:pStyle w:val="BookText"/>
      </w:pPr>
      <w:r>
        <w:rPr>
          <w:rFonts w:ascii="IRNazanin" w:hAnsi="IRNazanin" w:eastAsia="IRNazanin" w:cs="IRNazanin"/>
          <w:lang w:bidi="fa-IR"/>
          <w:color w:val="111111"/>
          <w:sz w:val="28"/>
          <w:szCs w:val="28"/>
          <w:rtl/>
        </w:rPr>
        <w:t xml:space="preserve">خط: شکسته نستعلیق، كا: فضل الله بن يوسف مذهب باشی شیرازی، تا: شعبان ۱۲۹۲ق؛ مجدول مذهب؛ جلد: مقوا طلایی با عطف تیماج قرمز، ۱۰، ۱۱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w:t>
      </w:r>
    </w:p>
    <w:p>
      <w:pPr>
        <w:pStyle w:val="BookText"/>
      </w:pPr>
      <w:r>
        <w:rPr>
          <w:rFonts w:ascii="IRNazanin" w:hAnsi="IRNazanin" w:eastAsia="IRNazanin" w:cs="IRNazanin"/>
          <w:lang w:bidi="fa-IR"/>
          <w:color w:val="111111"/>
          <w:sz w:val="28"/>
          <w:szCs w:val="28"/>
          <w:rtl/>
        </w:rPr>
        <w:t xml:space="preserve">[ف: ۲-۶۶۸]</w:t>
      </w:r>
    </w:p>
    <w:p>
      <w:pPr>
        <w:pStyle w:val="BookText"/>
      </w:pPr>
      <w:r>
        <w:rPr>
          <w:rFonts w:ascii="IRNazanin" w:hAnsi="IRNazanin" w:eastAsia="IRNazanin" w:cs="IRNazanin"/>
          <w:lang w:bidi="fa-IR"/>
          <w:color w:val="111111"/>
          <w:sz w:val="28"/>
          <w:szCs w:val="28"/>
          <w:rtl/>
        </w:rPr>
        <w:t xml:space="preserve">۴۲. مشهد؛ رضوی؛ شماره نسخه: ۱۰۹۲۱/۴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ریز متوسط، كا: فرج الله، تا: ۱۲۹۲ق؛ کاغذ: شکری آهار مهره، جلد: دو رویه، رو گل و بوته رنگ و روغنی، ۱۲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۸سم [ف: ۹-۲۵۹]</w:t>
      </w:r>
    </w:p>
    <w:p>
      <w:pPr>
        <w:pStyle w:val="BookText"/>
      </w:pPr>
      <w:r>
        <w:rPr>
          <w:rFonts w:ascii="IRNazanin" w:hAnsi="IRNazanin" w:eastAsia="IRNazanin" w:cs="IRNazanin"/>
          <w:lang w:bidi="fa-IR"/>
          <w:color w:val="111111"/>
          <w:sz w:val="28"/>
          <w:szCs w:val="28"/>
          <w:rtl/>
        </w:rPr>
        <w:t xml:space="preserve">۴۳. تهران: مجلس؛ شماره نسخه: ۱۵۵۷۷/۱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۱۲۹۴ق؛ جلد: چرم قهوه ای روشن ضربی ترنج و سرترنج دار، ۸گ (۱ر- ۸پ)، ۱۵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۴۳-۱۷۰]</w:t>
      </w:r>
    </w:p>
    <w:p>
      <w:pPr>
        <w:pStyle w:val="BookText"/>
      </w:pPr>
      <w:r>
        <w:rPr>
          <w:rFonts w:ascii="IRNazanin" w:hAnsi="IRNazanin" w:eastAsia="IRNazanin" w:cs="IRNazanin"/>
          <w:lang w:bidi="fa-IR"/>
          <w:color w:val="111111"/>
          <w:sz w:val="28"/>
          <w:szCs w:val="28"/>
          <w:rtl/>
        </w:rPr>
        <w:t xml:space="preserve">۴۴. تهران؛ ملی؛ شماره نسخه: ۲۷۶۲</w:t>
      </w:r>
    </w:p>
    <w:p>
      <w:pPr>
        <w:pStyle w:val="BookText"/>
      </w:pPr>
      <w:r>
        <w:rPr>
          <w:rFonts w:ascii="IRNazanin" w:hAnsi="IRNazanin" w:eastAsia="IRNazanin" w:cs="IRNazanin"/>
          <w:lang w:bidi="fa-IR"/>
          <w:color w:val="111111"/>
          <w:sz w:val="28"/>
          <w:szCs w:val="28"/>
          <w:rtl/>
        </w:rPr>
        <w:t xml:space="preserve">آغاز: برابر؛ انجام: بتاریخ شهر ذي الحجه الحرام سنه توشقان ئیل حاجی خان ۱۳۰۰ خط: نستعلیق، كا: احمد کنک بن نجفعلی، تا: ذیحجه ۱۳۰۰ق؛ مجدول لاجورد و قرمز؛ کاغذ: فرنگی، جلد: مقوایی پارچه آبی، ۱۵گ، ۸ سطر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اندازه: ۱۰/۵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۶- ۳۷۰]</w:t>
      </w:r>
    </w:p>
    <w:p>
      <w:pPr>
        <w:pStyle w:val="BookText"/>
      </w:pPr>
      <w:r>
        <w:rPr>
          <w:rFonts w:ascii="IRNazanin" w:hAnsi="IRNazanin" w:eastAsia="IRNazanin" w:cs="IRNazanin"/>
          <w:lang w:bidi="fa-IR"/>
          <w:color w:val="111111"/>
          <w:sz w:val="28"/>
          <w:szCs w:val="28"/>
          <w:rtl/>
        </w:rPr>
        <w:t xml:space="preserve">۴۵. تهران؛ مجلس؛ شماره نسخه: ۸۱۷۳/۱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انجام: برابر</w:t>
      </w:r>
    </w:p>
    <w:p>
      <w:pPr>
        <w:pStyle w:val="BookText"/>
      </w:pPr>
      <w:r>
        <w:rPr>
          <w:rFonts w:ascii="IRNazanin" w:hAnsi="IRNazanin" w:eastAsia="IRNazanin" w:cs="IRNazanin"/>
          <w:lang w:bidi="fa-IR"/>
          <w:color w:val="111111"/>
          <w:sz w:val="28"/>
          <w:szCs w:val="28"/>
          <w:rtl/>
        </w:rPr>
        <w:t xml:space="preserve">خط: شکسته نستعلیق، کا: صحبت الله خان ملقب به دبیر همایون، تا: آغاز قرن ۱۴؛ راسته و چلیپا، دارای رکابه؛ کاغذ: نازک کاهی، جلد: تیماج قهوه ای، ۸ص (۱-۸)،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۱۳/۴ سم [ف: ۳۱۷-۲۷/۱ ]</w:t>
      </w:r>
    </w:p>
    <w:p>
      <w:pPr>
        <w:pStyle w:val="BookText"/>
      </w:pPr>
      <w:r>
        <w:rPr>
          <w:rFonts w:ascii="IRNazanin" w:hAnsi="IRNazanin" w:eastAsia="IRNazanin" w:cs="IRNazanin"/>
          <w:lang w:bidi="fa-IR"/>
          <w:color w:val="111111"/>
          <w:sz w:val="28"/>
          <w:szCs w:val="28"/>
          <w:rtl/>
        </w:rPr>
        <w:t xml:space="preserve">۴۶. تهران؛ ملک؛ شماره نسخه: ۵۱۷۷</w:t>
      </w:r>
    </w:p>
    <w:p>
      <w:pPr>
        <w:pStyle w:val="BookText"/>
      </w:pPr>
      <w:r>
        <w:rPr>
          <w:rFonts w:ascii="IRNazanin" w:hAnsi="IRNazanin" w:eastAsia="IRNazanin" w:cs="IRNazanin"/>
          <w:lang w:bidi="fa-IR"/>
          <w:color w:val="111111"/>
          <w:sz w:val="28"/>
          <w:szCs w:val="28"/>
          <w:rtl/>
        </w:rPr>
        <w:t xml:space="preserve">خط: شکسته، نستعلیق، بی کا، تا: قرن ۱۴؛ سطور چلیپا، صفحات زرین؛ کاغذ: کاغذ ترمه اصفهانی، جلد: میشن قرمز لایی، ۱۳گ، ۸ سطر، اندازه: ۵/۴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۹/۱سم [ف: ۲-۷۰]</w:t>
      </w:r>
    </w:p>
    <w:p>
      <w:pPr>
        <w:pStyle w:val="BookText"/>
      </w:pPr>
      <w:r>
        <w:rPr>
          <w:rFonts w:ascii="IRNazanin" w:hAnsi="IRNazanin" w:eastAsia="IRNazanin" w:cs="IRNazanin"/>
          <w:lang w:bidi="fa-IR"/>
          <w:color w:val="111111"/>
          <w:sz w:val="28"/>
          <w:szCs w:val="28"/>
          <w:rtl/>
        </w:rPr>
        <w:t xml:space="preserve">۴۷. تهران؛ ملک؛ شماره نسخه: ۵۱۱۸</w:t>
      </w:r>
    </w:p>
    <w:p>
      <w:pPr>
        <w:pStyle w:val="BookText"/>
      </w:pPr>
      <w:r>
        <w:rPr>
          <w:rFonts w:ascii="IRNazanin" w:hAnsi="IRNazanin" w:eastAsia="IRNazanin" w:cs="IRNazanin"/>
          <w:lang w:bidi="fa-IR"/>
          <w:color w:val="111111"/>
          <w:sz w:val="28"/>
          <w:szCs w:val="28"/>
          <w:rtl/>
        </w:rPr>
        <w:t xml:space="preserve">خط: شکسته، نستعلیق، کا: صادق شیرازی، تا: سلخ صفر ۱۳۱۳ق؛ مجدول با کمند اکلیل؛ کاغذ: کاغذ آهار مهره فرنگی، جلد: میشن پشمی، ۱۱ گ، ۱۲ سطر، اندازه: ۱۸/۲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۱۱/۲</w:t>
      </w:r>
    </w:p>
    <w:p>
      <w:pPr>
        <w:pStyle w:val="BookText"/>
      </w:pPr>
      <w:r>
        <w:rPr>
          <w:rFonts w:ascii="IRNazanin" w:hAnsi="IRNazanin" w:eastAsia="IRNazanin" w:cs="IRNazanin"/>
          <w:lang w:bidi="fa-IR"/>
          <w:color w:val="111111"/>
          <w:sz w:val="28"/>
          <w:szCs w:val="28"/>
          <w:rtl/>
        </w:rPr>
        <w:t xml:space="preserve">سم [ف: ۲-۷۰]</w:t>
      </w:r>
    </w:p>
    <w:p>
      <w:pPr>
        <w:pStyle w:val="BookText"/>
      </w:pPr>
      <w:r>
        <w:rPr>
          <w:rFonts w:ascii="IRNazanin" w:hAnsi="IRNazanin" w:eastAsia="IRNazanin" w:cs="IRNazanin"/>
          <w:lang w:bidi="fa-IR"/>
          <w:color w:val="111111"/>
          <w:sz w:val="28"/>
          <w:szCs w:val="28"/>
          <w:rtl/>
        </w:rPr>
        <w:t xml:space="preserve">۴۸. تهران: ملک؛ شماره نسخه: ۶۱۹۶/۴</w:t>
      </w:r>
    </w:p>
    <w:p>
      <w:pPr>
        <w:pStyle w:val="BookText"/>
      </w:pPr>
      <w:r>
        <w:rPr>
          <w:rFonts w:ascii="IRNazanin" w:hAnsi="IRNazanin" w:eastAsia="IRNazanin" w:cs="IRNazanin"/>
          <w:lang w:bidi="fa-IR"/>
          <w:color w:val="111111"/>
          <w:sz w:val="28"/>
          <w:szCs w:val="28"/>
          <w:rtl/>
        </w:rPr>
        <w:t xml:space="preserve">آغاز: برابر؛ انجام: عیان نور خدایی از جبین اش***از او روشن جهان آفرینش</w:t>
      </w:r>
    </w:p>
    <w:p>
      <w:pPr>
        <w:pStyle w:val="BookText"/>
      </w:pPr>
      <w:r>
        <w:rPr>
          <w:rFonts w:ascii="IRNazanin" w:hAnsi="IRNazanin" w:eastAsia="IRNazanin" w:cs="IRNazanin"/>
          <w:lang w:bidi="fa-IR"/>
          <w:color w:val="111111"/>
          <w:sz w:val="28"/>
          <w:szCs w:val="28"/>
          <w:rtl/>
        </w:rPr>
        <w:t xml:space="preserve">خط: شکسته نستعلیق، كا: فضل الله بن آخوند ملازین العابدین بروجردی ملقب به شمس</w:t>
      </w:r>
    </w:p>
    <w:p>
      <w:pPr>
        <w:pStyle w:val="BookText"/>
      </w:pPr>
      <w:r>
        <w:rPr>
          <w:rFonts w:ascii="IRNazanin" w:hAnsi="IRNazanin" w:eastAsia="IRNazanin" w:cs="IRNazanin"/>
          <w:lang w:bidi="fa-IR"/>
          <w:color w:val="111111"/>
          <w:sz w:val="28"/>
          <w:szCs w:val="28"/>
          <w:rtl/>
        </w:rPr>
        <w:t xml:space="preserve">العلماء، تا: محرم ۱۳۱۵ق؛ کاغذ: فرنگی، جلد: قهوه ای لایی، ۳گ (۹-پ۱۱ر)، ۲۵ سطر، اندازه: ۱۰/۸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۱۷/۷سم [ف: ۹-۲۴۵]</w:t>
      </w:r>
    </w:p>
    <w:p>
      <w:pPr>
        <w:pStyle w:val="BookText"/>
      </w:pPr>
      <w:r>
        <w:rPr>
          <w:rFonts w:ascii="IRNazanin" w:hAnsi="IRNazanin" w:eastAsia="IRNazanin" w:cs="IRNazanin"/>
          <w:lang w:bidi="fa-IR"/>
          <w:color w:val="111111"/>
          <w:sz w:val="28"/>
          <w:szCs w:val="28"/>
          <w:rtl/>
        </w:rPr>
        <w:t xml:space="preserve">۴۹. مشهد، رضوی؛ شماره نسخه: ۱۲۲۴۶</w:t>
      </w:r>
    </w:p>
    <w:p>
      <w:pPr>
        <w:pStyle w:val="BookText"/>
      </w:pPr>
      <w:r>
        <w:rPr>
          <w:rFonts w:ascii="IRNazanin" w:hAnsi="IRNazanin" w:eastAsia="IRNazanin" w:cs="IRNazanin"/>
          <w:lang w:bidi="fa-IR"/>
          <w:color w:val="111111"/>
          <w:sz w:val="28"/>
          <w:szCs w:val="28"/>
          <w:rtl/>
        </w:rPr>
        <w:t xml:space="preserve">آغاز: برابر؛ انجام: هزاران رحمت حق*** بر او باد و بر اولاد کرامش</w:t>
      </w:r>
    </w:p>
    <w:p>
      <w:pPr>
        <w:pStyle w:val="BookText"/>
      </w:pPr>
      <w:r>
        <w:rPr>
          <w:rFonts w:ascii="IRNazanin" w:hAnsi="IRNazanin" w:eastAsia="IRNazanin" w:cs="IRNazanin"/>
          <w:lang w:bidi="fa-IR"/>
          <w:color w:val="111111"/>
          <w:sz w:val="28"/>
          <w:szCs w:val="28"/>
          <w:rtl/>
        </w:rPr>
        <w:t xml:space="preserve">خط: شکسته نستعلیق خوش، كا: عبدالله حسینی، تا: ربيع الأول ۱۳۱۹ق؛ مجدول، دارای سرلوح مزدوج مذهب، دارای کمند؛ واقف: سید جلال الدین تهرانی، مرداد ۱۳۶۱؛ کاغذ: حنایی، جلد: مقوایی سبز ماشی با عطف و گوشه میشن، ۱۹گ، ۸ سطر، اندازه: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۱۱/۵سم [ف: ۱۷-۶۳]</w:t>
      </w:r>
    </w:p>
    <w:p>
      <w:pPr>
        <w:pStyle w:val="BookText"/>
      </w:pPr>
      <w:r>
        <w:rPr>
          <w:rFonts w:ascii="IRNazanin" w:hAnsi="IRNazanin" w:eastAsia="IRNazanin" w:cs="IRNazanin"/>
          <w:lang w:bidi="fa-IR"/>
          <w:color w:val="111111"/>
          <w:sz w:val="28"/>
          <w:szCs w:val="28"/>
          <w:rtl/>
        </w:rPr>
        <w:t xml:space="preserve">۵۰. یزد؛ صدوقی یزدی؛ شماره نسخه: ۲۷</w:t>
      </w:r>
    </w:p>
    <w:p>
      <w:pPr>
        <w:pStyle w:val="BookText"/>
      </w:pPr>
      <w:r>
        <w:rPr>
          <w:rFonts w:ascii="IRNazanin" w:hAnsi="IRNazanin" w:eastAsia="IRNazanin" w:cs="IRNazanin"/>
          <w:lang w:bidi="fa-IR"/>
          <w:color w:val="111111"/>
          <w:sz w:val="28"/>
          <w:szCs w:val="28"/>
          <w:rtl/>
        </w:rPr>
        <w:t xml:space="preserve">خط: نستعلیق خوش، كان محمد حسن، تا: رجب ۱۳۱۹ق؛ مجدول به زر و مشکی؛ جلد: تیماج قرمز بدون مقوا، ۱۶گ، ۱۰ سطر، اندازه: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 ۲۰سم [ف: ۲۱]</w:t>
      </w:r>
    </w:p>
    <w:p>
      <w:pPr>
        <w:pStyle w:val="BookText"/>
      </w:pPr>
      <w:r>
        <w:rPr>
          <w:rFonts w:ascii="IRNazanin" w:hAnsi="IRNazanin" w:eastAsia="IRNazanin" w:cs="IRNazanin"/>
          <w:lang w:bidi="fa-IR"/>
          <w:color w:val="111111"/>
          <w:sz w:val="28"/>
          <w:szCs w:val="28"/>
          <w:rtl/>
        </w:rPr>
        <w:t xml:space="preserve">۵۱. تهران؛ ملک؛ شماره نسخه: ۵۶۰۶/۱</w:t>
      </w:r>
    </w:p>
    <w:p>
      <w:pPr>
        <w:pStyle w:val="BookText"/>
      </w:pPr>
      <w:r>
        <w:rPr>
          <w:rFonts w:ascii="IRNazanin" w:hAnsi="IRNazanin" w:eastAsia="IRNazanin" w:cs="IRNazanin"/>
          <w:lang w:bidi="fa-IR"/>
          <w:color w:val="111111"/>
          <w:sz w:val="28"/>
          <w:szCs w:val="28"/>
          <w:rtl/>
        </w:rPr>
        <w:t xml:space="preserve">حدود ۲۰۰ بیت؛ خط: نستعلیق، کا: محمود بن محمد على، تا: ۱۳۲۱ق؛ کاغذ: فرنگی، جلد: میشن سیاه ضربی، ۱۰گ، ۱۱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 سم [ف: ۸-۴۳۳]</w:t>
      </w:r>
    </w:p>
    <w:p>
      <w:pPr>
        <w:pStyle w:val="BookText"/>
      </w:pPr>
      <w:r>
        <w:rPr>
          <w:rFonts w:ascii="IRNazanin" w:hAnsi="IRNazanin" w:eastAsia="IRNazanin" w:cs="IRNazanin"/>
          <w:lang w:bidi="fa-IR"/>
          <w:color w:val="111111"/>
          <w:sz w:val="28"/>
          <w:szCs w:val="28"/>
          <w:rtl/>
        </w:rPr>
        <w:t xml:space="preserve">۵۲. تهران؛ ملک؛ شماره نسخه: ۵۱۷۹</w:t>
      </w:r>
    </w:p>
    <w:p>
      <w:pPr>
        <w:pStyle w:val="BookText"/>
      </w:pPr>
      <w:r>
        <w:rPr>
          <w:rFonts w:ascii="IRNazanin" w:hAnsi="IRNazanin" w:eastAsia="IRNazanin" w:cs="IRNazanin"/>
          <w:lang w:bidi="fa-IR"/>
          <w:color w:val="111111"/>
          <w:sz w:val="28"/>
          <w:szCs w:val="28"/>
          <w:rtl/>
        </w:rPr>
        <w:t xml:space="preserve">خط: نستعلیق خوش، بی کا، تا: شوال ۱۳۲۴ق، برای تقدیم به خبير الدوله، رئیس تلگرافخانه؛ با سرلوح، مذهب، مجدول با کمند؛ کاغذ: کاغذ ترمه، جلد: میشن قرمز ضربی، ۱۷گ، ۱۰ سطر،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۲-۷۰]</w:t>
      </w:r>
    </w:p>
    <w:p>
      <w:pPr>
        <w:pStyle w:val="BookText"/>
      </w:pPr>
      <w:r>
        <w:rPr>
          <w:rFonts w:ascii="IRNazanin" w:hAnsi="IRNazanin" w:eastAsia="IRNazanin" w:cs="IRNazanin"/>
          <w:lang w:bidi="fa-IR"/>
          <w:color w:val="111111"/>
          <w:sz w:val="28"/>
          <w:szCs w:val="28"/>
          <w:rtl/>
        </w:rPr>
        <w:t xml:space="preserve">۵۳. تهران، دانشگاه؛ شماره نسخه: ۴۵۰۱/۱ آغاز: برابر، انجام: زما نتواند او را كس ثنا گفت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که در تعریف او حق لافتی گفت / هزاران رحمت حق با سلامش*** بر او بادا بر اولاد گرامش خط: شکسته نستعلیق چلیپا، بی کا، تا: رمضان ۱۳۲۹ق؛ کاغذ: فرنگی، جلد: تیماج مشکی ضربی مقوایی، ۱۳گ (۱-۱۳)، ۱۱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۱۳-۳۴۵۰]</w:t>
      </w:r>
    </w:p>
    <w:p>
      <w:pPr>
        <w:pStyle w:val="BookText"/>
      </w:pPr>
      <w:r>
        <w:rPr>
          <w:rFonts w:ascii="IRNazanin" w:hAnsi="IRNazanin" w:eastAsia="IRNazanin" w:cs="IRNazanin"/>
          <w:lang w:bidi="fa-IR"/>
          <w:color w:val="111111"/>
          <w:sz w:val="28"/>
          <w:szCs w:val="28"/>
          <w:rtl/>
        </w:rPr>
        <w:t xml:space="preserve">۵۴. تهران؛ مجلس؛ شماره نسخه: ۱۳۴۶۳/۳۹ حاشیه</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بی تا، جلد: تیماج مشکی سوخت ترنج با سر و لچکی زرین لولادار، ۱۸ص (۲۹۰-۳۰۷)، اندازه: ۲۷/۵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۳۶-۴۱۳]</w:t>
      </w:r>
    </w:p>
    <w:p>
      <w:pPr>
        <w:pStyle w:val="BookText"/>
      </w:pPr>
      <w:r>
        <w:rPr>
          <w:rFonts w:ascii="IRNazanin" w:hAnsi="IRNazanin" w:eastAsia="IRNazanin" w:cs="IRNazanin"/>
          <w:lang w:bidi="fa-IR"/>
          <w:color w:val="111111"/>
          <w:sz w:val="28"/>
          <w:szCs w:val="28"/>
          <w:rtl/>
        </w:rPr>
        <w:t xml:space="preserve">۵۵. تهران؛ مجلس؛ شماره نسخه: ۴۳۰۷/۵</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زیبا، بی کا، بی تا؛ جلد: مقوایی قهوه ای عطف تيماج سرخ، ۶گ (۳۳ر -۳۸ر)، ۱۶سطر،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۳۸-۴۳۴]</w:t>
      </w:r>
    </w:p>
    <w:p>
      <w:pPr>
        <w:pStyle w:val="BookText"/>
      </w:pPr>
      <w:r>
        <w:rPr>
          <w:rFonts w:ascii="IRNazanin" w:hAnsi="IRNazanin" w:eastAsia="IRNazanin" w:cs="IRNazanin"/>
          <w:lang w:bidi="fa-IR"/>
          <w:color w:val="111111"/>
          <w:sz w:val="28"/>
          <w:szCs w:val="28"/>
          <w:rtl/>
        </w:rPr>
        <w:t xml:space="preserve">۵۶. تهران؛ مجلس؛ شماره نسخه: ۱۴۳۰۹/۱۱</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بی تا، جلد: تیماج، قهوه ای، ۸گ (۴۹ر - ۵۶ر)، ۱۵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۳۸-۴۴۰]</w:t>
      </w:r>
    </w:p>
    <w:p>
      <w:pPr>
        <w:pStyle w:val="BookText"/>
      </w:pPr>
      <w:r>
        <w:rPr>
          <w:rFonts w:ascii="IRNazanin" w:hAnsi="IRNazanin" w:eastAsia="IRNazanin" w:cs="IRNazanin"/>
          <w:lang w:bidi="fa-IR"/>
          <w:color w:val="111111"/>
          <w:sz w:val="28"/>
          <w:szCs w:val="28"/>
          <w:rtl/>
        </w:rPr>
        <w:t xml:space="preserve">۵۷. قم، گلپایگانی؛ شماره نسخه: ۹۹۳/۵ - ۶/۸۳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۷، ۱۸ سطر، اندازه: ۱۳/۵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۲۰/۵سم [ف: ۲-۶۶۸]</w:t>
      </w:r>
    </w:p>
    <w:p>
      <w:pPr>
        <w:pStyle w:val="BookText"/>
      </w:pPr>
      <w:r>
        <w:rPr>
          <w:rFonts w:ascii="IRNazanin" w:hAnsi="IRNazanin" w:eastAsia="IRNazanin" w:cs="IRNazanin"/>
          <w:lang w:bidi="fa-IR"/>
          <w:color w:val="111111"/>
          <w:sz w:val="28"/>
          <w:szCs w:val="28"/>
          <w:rtl/>
        </w:rPr>
        <w:t xml:space="preserve">۵۸. قم؛ مسجد اعظم، شماره نسخه: ۸۷۲/۵</w:t>
      </w:r>
    </w:p>
    <w:p>
      <w:pPr>
        <w:pStyle w:val="BookText"/>
      </w:pPr>
      <w:r>
        <w:rPr>
          <w:rFonts w:ascii="IRNazanin" w:hAnsi="IRNazanin" w:eastAsia="IRNazanin" w:cs="IRNazanin"/>
          <w:lang w:bidi="fa-IR"/>
          <w:color w:val="111111"/>
          <w:sz w:val="28"/>
          <w:szCs w:val="28"/>
          <w:rtl/>
        </w:rPr>
        <w:t xml:space="preserve">آغاز: برابر؛ انجام: کلید گنج حق در پرده اوست *** قضا بازو قدر سرپنجه اوست / عیان نور خدائی از جنابش*** برون دست خدا از آستینش خط: نستعلیق، بی کا، بی تا، در ادامه، مثنوی دیگری در ۱۷۲ بیت با مطلع «آتشی می بینم ای یاران زدور ...» و نیز چند غزل و رباعی از نشاط اصفهانی، در این نسخه از مثنوی طبیب با عنوان «بهاريات» یاد شده؛ جلد: تیماج قهوه ای بدون مقوا، مجدول گرهی، ۳گ، ۲۶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مخ: ۴-۱۶۸۵]</w:t>
      </w:r>
    </w:p>
    <w:p>
      <w:pPr>
        <w:pStyle w:val="BookText"/>
      </w:pPr>
      <w:r>
        <w:rPr>
          <w:rFonts w:ascii="IRNazanin" w:hAnsi="IRNazanin" w:eastAsia="IRNazanin" w:cs="IRNazanin"/>
          <w:lang w:bidi="fa-IR"/>
          <w:color w:val="111111"/>
          <w:sz w:val="28"/>
          <w:szCs w:val="28"/>
          <w:rtl/>
        </w:rPr>
        <w:t xml:space="preserve">۵۹. مشهد؛ رضوی؛ شماره نسخه: ۸۳۴۴/۳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بی کا، بی تا، مجدول، چلیپا و دو ستونی؛ کاغذ: فرنگی الوان و آهار مهره، جلد: تیماج یک لا، ۸ سطر ( ۹/۸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۷/۸ سم [ف: ۷-۲۲۳]</w:t>
      </w:r>
    </w:p>
    <w:p>
      <w:pPr>
        <w:pStyle w:val="BookText"/>
      </w:pPr>
      <w:r>
        <w:rPr>
          <w:rFonts w:ascii="IRNazanin" w:hAnsi="IRNazanin" w:eastAsia="IRNazanin" w:cs="IRNazanin"/>
          <w:lang w:bidi="fa-IR"/>
          <w:color w:val="111111"/>
          <w:sz w:val="28"/>
          <w:szCs w:val="28"/>
          <w:rtl/>
        </w:rPr>
        <w:t xml:space="preserve">۶۰. قم، گلپایگانی؛ شماره نسخه: ۱۴۰۲/۲ - ۸/۱۱۲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جلد: تیماج قهوه ای، ۸گ، اندازه: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۲۲/۵ سم [ف: ۲-۶۶۸]</w:t>
      </w:r>
    </w:p>
    <w:p>
      <w:pPr>
        <w:pStyle w:val="BookText"/>
      </w:pPr>
      <w:r>
        <w:rPr>
          <w:rFonts w:ascii="IRNazanin" w:hAnsi="IRNazanin" w:eastAsia="IRNazanin" w:cs="IRNazanin"/>
          <w:lang w:bidi="fa-IR"/>
          <w:color w:val="111111"/>
          <w:sz w:val="28"/>
          <w:szCs w:val="28"/>
          <w:rtl/>
        </w:rPr>
        <w:t xml:space="preserve">۶۱. قم؛ گلپایگانی؛ شماره نسخه: ۴۹۳/۳ - ۳/۱۱۳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۵گ (۱۰۹ر-۱۱۳ر)، ۱۳ سطر [ف: ۲-۶۶۸]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33" w:name="pg20363_209605"/>
    <w:bookmarkEnd w:id="333"/>
    <w:p>
      <w:pPr>
        <w:pStyle w:val="BookText"/>
      </w:pPr>
      <w:r>
        <w:rPr>
          <w:rFonts w:ascii="IRNazanin" w:hAnsi="IRNazanin" w:eastAsia="IRNazanin" w:cs="IRNazanin"/>
          <w:lang w:bidi="fa-IR"/>
          <w:color w:val="111111"/>
          <w:sz w:val="28"/>
          <w:szCs w:val="28"/>
          <w:rtl/>
        </w:rPr>
        <w:t xml:space="preserve">۶۲. تهران؛ ملک؛ شماره نسخه: ۵۰۸۵/۳۷</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 بی کا، بی تا؛ جلد: میشن سیاه ضربی، ۳گ (۱۳۳ - ۳۵ر) متن و هامش دوم)، ۱۶ سطر، اندازه: ۲۸/۶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۱۷/۳ سم [ف: ۸-۱۹۶]</w:t>
      </w:r>
    </w:p>
    <w:p>
      <w:pPr>
        <w:pStyle w:val="BookText"/>
      </w:pPr>
      <w:r>
        <w:rPr>
          <w:rFonts w:ascii="IRNazanin" w:hAnsi="IRNazanin" w:eastAsia="IRNazanin" w:cs="IRNazanin"/>
          <w:lang w:bidi="fa-IR"/>
          <w:color w:val="111111"/>
          <w:sz w:val="28"/>
          <w:szCs w:val="28"/>
          <w:rtl/>
        </w:rPr>
        <w:t xml:space="preserve">۶۳. تهران؛ مجلس؛ شماره نسخه: ۲۶۷۵/۱۲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۱۸۳ بیت؛ كا: محمد علی شیرازی، بی تا، کاغذ: فرنگی، جلد: تیماج قهوه ای، ۷گ (۶۳۴-۶۴۰)، اندازه متن: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اندازه: ۲۱/۵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۳۳/۵ سم [ف: ۸- ۴۴۰]</w:t>
      </w:r>
    </w:p>
    <w:p>
      <w:pPr>
        <w:pStyle w:val="BookText"/>
      </w:pPr>
      <w:r>
        <w:rPr>
          <w:rFonts w:ascii="IRNazanin" w:hAnsi="IRNazanin" w:eastAsia="IRNazanin" w:cs="IRNazanin"/>
          <w:lang w:bidi="fa-IR"/>
          <w:color w:val="111111"/>
          <w:sz w:val="28"/>
          <w:szCs w:val="28"/>
          <w:rtl/>
        </w:rPr>
        <w:t xml:space="preserve">۶۴. رشت؛ جمعیت نشر فرهنگ؛ شماره نسخه: ۸۰۷م</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شکسته خوش، بی کا، بی تا، افتادگی: انجام؛ جلد: گالینگور، ۲۷، ۸ سطر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اندازه: ۱۱/۵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سم [رشت و همدان: ف: ۱۰۹۶]</w:t>
      </w:r>
    </w:p>
    <w:p>
      <w:pPr>
        <w:pStyle w:val="BookText"/>
      </w:pPr>
      <w:r>
        <w:rPr>
          <w:rFonts w:ascii="IRNazanin" w:hAnsi="IRNazanin" w:eastAsia="IRNazanin" w:cs="IRNazanin"/>
          <w:lang w:bidi="fa-IR"/>
          <w:color w:val="111111"/>
          <w:sz w:val="28"/>
          <w:szCs w:val="28"/>
          <w:rtl/>
        </w:rPr>
        <w:t xml:space="preserve">۶۵. شیراز؛ عینی (دکتر)؛ شماره نسخه: ۲</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بی کا، بی تا؛ قطع: بياضي[ نشریه: ۲۷۵۵]</w:t>
      </w:r>
    </w:p>
    <w:p>
      <w:pPr>
        <w:pStyle w:val="BookText"/>
      </w:pPr>
      <w:r>
        <w:rPr>
          <w:rFonts w:ascii="IRNazanin" w:hAnsi="IRNazanin" w:eastAsia="IRNazanin" w:cs="IRNazanin"/>
          <w:lang w:bidi="fa-IR"/>
          <w:color w:val="111111"/>
          <w:sz w:val="28"/>
          <w:szCs w:val="28"/>
          <w:rtl/>
        </w:rPr>
        <w:t xml:space="preserve">۶۶. تهران؛ مجلس؛ شماره نسخه: ۷۷۱۹/۷</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شکسته، بی کا، بی تا، جلد: مقوا، ۱۵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۲۶-۲۱۰]</w:t>
      </w:r>
    </w:p>
    <w:p>
      <w:pPr>
        <w:pStyle w:val="BookText"/>
      </w:pPr>
      <w:r>
        <w:rPr>
          <w:rFonts w:ascii="IRNazanin" w:hAnsi="IRNazanin" w:eastAsia="IRNazanin" w:cs="IRNazanin"/>
          <w:lang w:bidi="fa-IR"/>
          <w:color w:val="111111"/>
          <w:sz w:val="28"/>
          <w:szCs w:val="28"/>
          <w:rtl/>
        </w:rPr>
        <w:t xml:space="preserve">۶۷. اصفهان؛ دانشگاه؛ شماره نسخه: ۵۱۵/۲</w:t>
      </w:r>
    </w:p>
    <w:p>
      <w:pPr>
        <w:pStyle w:val="BookText"/>
      </w:pPr>
      <w:r>
        <w:rPr>
          <w:rFonts w:ascii="IRNazanin" w:hAnsi="IRNazanin" w:eastAsia="IRNazanin" w:cs="IRNazanin"/>
          <w:lang w:bidi="fa-IR"/>
          <w:color w:val="111111"/>
          <w:sz w:val="28"/>
          <w:szCs w:val="28"/>
          <w:rtl/>
        </w:rPr>
        <w:t xml:space="preserve">بی کا، بی تا؛ کاغذ: آهار مهره فرنگی[ نشریه: ۱۱-۹۴۹]</w:t>
      </w:r>
    </w:p>
    <w:p>
      <w:pPr>
        <w:pStyle w:val="BookText"/>
      </w:pPr>
      <w:r>
        <w:rPr>
          <w:rFonts w:ascii="IRNazanin" w:hAnsi="IRNazanin" w:eastAsia="IRNazanin" w:cs="IRNazanin"/>
          <w:lang w:bidi="fa-IR"/>
          <w:color w:val="111111"/>
          <w:sz w:val="28"/>
          <w:szCs w:val="28"/>
          <w:rtl/>
        </w:rPr>
        <w:t xml:space="preserve">۶۸. کاشان؛ عاطفی، حسن؛ شماره نسخه: بدون شماره/1</w:t>
      </w:r>
    </w:p>
    <w:p>
      <w:pPr>
        <w:pStyle w:val="BookText"/>
      </w:pPr>
      <w:r>
        <w:rPr>
          <w:rFonts w:ascii="IRNazanin" w:hAnsi="IRNazanin" w:eastAsia="IRNazanin" w:cs="IRNazanin"/>
          <w:lang w:bidi="fa-IR"/>
          <w:color w:val="111111"/>
          <w:sz w:val="28"/>
          <w:szCs w:val="28"/>
          <w:rtl/>
        </w:rPr>
        <w:t xml:space="preserve">خط: شکسته نستعلیق خوش، بی کا، بی تا، مجدول مذهب، قطعه آذر در عروسی ابوالفتح خان، اشعاری از جامی و سعدی، چندین غزل از محتشم، بحر طویل سید علی مهری عرب، قصیده موشح از عبد اللطيف بن علی واعظ، زیارت نامه و اشعار و مطالب متفرقه، نویسنده قسمتی «رافع» نامی است که قصیده ای نیز سروده؛ جلد: گالینگور آبی، اندازه: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(نشریه: ۷-۷۵۵)</w:t>
      </w:r>
    </w:p>
    <w:p>
      <w:pPr>
        <w:pStyle w:val="Heading3"/>
      </w:pPr>
      <w:bookmarkStart w:id="1862" w:name="_Toc1122"/>
      <w:r>
        <w:t>• پیر و جوان / شعر / فارسی</w:t>
      </w:r>
      <w:bookmarkEnd w:id="1862"/>
    </w:p>
    <w:p>
      <w:pPr>
        <w:pStyle w:val="BookText"/>
      </w:pPr>
      <w:r>
        <w:rPr>
          <w:rFonts w:ascii="Times New Roman" w:hAnsi="Times New Roman" w:eastAsia="Times New Roman" w:cs="Times New Roman"/>
          <w:lang w:val="en-US" w:bidi="en-US"/>
          <w:color w:val="111111"/>
          <w:sz w:val="28"/>
          <w:szCs w:val="28"/>
          <w:rtl/>
        </w:rPr>
        <w:t xml:space="preserve">pīr va javān</w:t>
      </w:r>
    </w:p>
    <w:p>
      <w:pPr>
        <w:pStyle w:val="BookText"/>
      </w:pPr>
      <w:r>
        <w:rPr>
          <w:rFonts w:ascii="IRNazanin" w:hAnsi="IRNazanin" w:eastAsia="IRNazanin" w:cs="IRNazanin"/>
          <w:lang w:bidi="fa-IR"/>
          <w:color w:val="111111"/>
          <w:sz w:val="28"/>
          <w:szCs w:val="28"/>
          <w:rtl/>
        </w:rPr>
        <w:t xml:space="preserve">فقیر اصطهباناتی، علی، ۱۲۵۶؟ -۱۳۱۰ شمسی</w:t>
      </w:r>
    </w:p>
    <w:p>
      <w:pPr>
        <w:pStyle w:val="BookText"/>
      </w:pPr>
      <w:r>
        <w:rPr>
          <w:rFonts w:ascii="Times New Roman" w:hAnsi="Times New Roman" w:eastAsia="Times New Roman" w:cs="Times New Roman"/>
          <w:lang w:val="en-US" w:bidi="en-US"/>
          <w:color w:val="111111"/>
          <w:sz w:val="28"/>
          <w:szCs w:val="28"/>
          <w:rtl/>
        </w:rPr>
        <w:t xml:space="preserve">faqīr-e estahbānātī, “alī (1877-1931)</w:t>
      </w:r>
    </w:p>
    <w:p>
      <w:pPr>
        <w:pStyle w:val="BookText"/>
      </w:pPr>
      <w:r>
        <w:rPr>
          <w:rFonts w:ascii="IRNazanin" w:hAnsi="IRNazanin" w:eastAsia="IRNazanin" w:cs="IRNazanin"/>
          <w:lang w:bidi="fa-IR"/>
          <w:color w:val="111111"/>
          <w:sz w:val="28"/>
          <w:szCs w:val="28"/>
          <w:rtl/>
        </w:rPr>
        <w:t xml:space="preserve">[دنا ۶۵۱/۲ ؛ فهرستواره ۴۹۷/۱۰ ]</w:t>
      </w:r>
    </w:p>
    <w:p>
      <w:pPr>
        <w:pStyle w:val="BookText"/>
      </w:pPr>
      <w:r>
        <w:rPr>
          <w:rFonts w:ascii="IRNazanin" w:hAnsi="IRNazanin" w:eastAsia="IRNazanin" w:cs="IRNazanin"/>
          <w:lang w:bidi="fa-IR"/>
          <w:color w:val="111111"/>
          <w:sz w:val="28"/>
          <w:szCs w:val="28"/>
          <w:rtl/>
        </w:rPr>
        <w:t xml:space="preserve">تهران؛ دانشگاه؛ شماره نسخه: ۸۲۲۷ آغاز: ای به جوانی شده پیر از جهان*** گوش کن افسانه پیر و جوان / ای شده از پیر و جوان فقیر*** در پی علم و هنر از پند پیر / از تو جهان تا ابد آباد باد***جان فقیر از هنرت شاد باد؛ انجام: طبع وی از کلک چو شهپر زاغ ***سر بردار منگر طاوس باغ خط: نستعلیق، كا: على محمد معینی فرزند معین الشريعة</w:t>
      </w:r>
    </w:p>
    <w:p>
      <w:pPr>
        <w:pStyle w:val="BookText"/>
      </w:pPr>
      <w:r>
        <w:rPr>
          <w:rFonts w:ascii="IRNazanin" w:hAnsi="IRNazanin" w:eastAsia="IRNazanin" w:cs="IRNazanin"/>
          <w:lang w:bidi="fa-IR"/>
          <w:color w:val="111111"/>
          <w:sz w:val="28"/>
          <w:szCs w:val="28"/>
          <w:rtl/>
        </w:rPr>
        <w:t xml:space="preserve">اصطهبانانی، تا: ۱۳۴۷ق؛ مجدول سرخ؛ در پایان آن آمده است</w:t>
      </w:r>
    </w:p>
    <w:p>
      <w:pPr>
        <w:pStyle w:val="BookText"/>
      </w:pPr>
      <w:r>
        <w:rPr>
          <w:rFonts w:ascii="IRNazanin" w:hAnsi="IRNazanin" w:eastAsia="IRNazanin" w:cs="IRNazanin"/>
          <w:lang w:bidi="fa-IR"/>
          <w:color w:val="111111"/>
          <w:sz w:val="28"/>
          <w:szCs w:val="28"/>
          <w:rtl/>
        </w:rPr>
        <w:t xml:space="preserve">اصل آن در رمضان ۱۳۴۹ به طبع رسیده و کمیاب است مطابق بهمن ماه ۱۳۰۹</w:t>
      </w:r>
    </w:p>
    <w:p>
      <w:pPr>
        <w:pStyle w:val="BookText"/>
      </w:pPr>
      <w:r>
        <w:rPr>
          <w:rFonts w:ascii="IRNazanin" w:hAnsi="IRNazanin" w:eastAsia="IRNazanin" w:cs="IRNazanin"/>
          <w:lang w:bidi="fa-IR"/>
          <w:color w:val="111111"/>
          <w:sz w:val="28"/>
          <w:szCs w:val="28"/>
          <w:rtl/>
        </w:rPr>
        <w:t xml:space="preserve">«خورشیدی»؛ کاغذ: فرنگی، جلد: مقوا، ۳۲گ، ۱۰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قطع: جیبی، اندازه: ۱۱/۵</w:t>
      </w:r>
    </w:p>
    <w:p>
      <w:pPr>
        <w:pStyle w:val="BookText"/>
      </w:pP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۱۷/۵ سم [ف: ۱۷-۶۲]</w:t>
      </w:r>
    </w:p>
    <w:p>
      <w:pPr>
        <w:pStyle w:val="Heading3"/>
      </w:pPr>
      <w:bookmarkStart w:id="1863" w:name="_Toc1123"/>
      <w:r>
        <w:t>•پیر و جوان / داستان / فارسی</w:t>
      </w:r>
      <w:bookmarkEnd w:id="1863"/>
    </w:p>
    <w:p>
      <w:pPr>
        <w:pStyle w:val="BookText"/>
      </w:pPr>
      <w:r>
        <w:rPr>
          <w:rFonts w:ascii="Times New Roman" w:hAnsi="Times New Roman" w:eastAsia="Times New Roman" w:cs="Times New Roman"/>
          <w:lang w:val="en-US" w:bidi="en-US"/>
          <w:color w:val="111111"/>
          <w:sz w:val="28"/>
          <w:szCs w:val="28"/>
          <w:rtl/>
        </w:rPr>
        <w:t xml:space="preserve">pīr va javān</w:t>
      </w:r>
    </w:p>
    <w:p>
      <w:pPr>
        <w:pStyle w:val="BookText"/>
      </w:pPr>
      <w:r>
        <w:rPr>
          <w:rFonts w:ascii="IRNazanin" w:hAnsi="IRNazanin" w:eastAsia="IRNazanin" w:cs="IRNazanin"/>
          <w:lang w:bidi="fa-IR"/>
          <w:color w:val="111111"/>
          <w:sz w:val="28"/>
          <w:szCs w:val="28"/>
          <w:rtl/>
        </w:rPr>
        <w:t xml:space="preserve">ناصر الدين قاجار، شاه ایران، ۱۲۴۷-۱۳۱۳ قمری</w:t>
      </w:r>
    </w:p>
    <w:p>
      <w:pPr>
        <w:pStyle w:val="BookText"/>
      </w:pPr>
      <w:r>
        <w:rPr>
          <w:rFonts w:ascii="Times New Roman" w:hAnsi="Times New Roman" w:eastAsia="Times New Roman" w:cs="Times New Roman"/>
          <w:lang w:val="en-US" w:bidi="en-US"/>
          <w:color w:val="111111"/>
          <w:sz w:val="28"/>
          <w:szCs w:val="28"/>
          <w:rtl/>
        </w:rPr>
        <w:t xml:space="preserve">nāser-od-dīn-e qājār, šāh-e īrān (1832-1896)</w:t>
      </w:r>
    </w:p>
    <w:p>
      <w:pPr>
        <w:pStyle w:val="BookText"/>
      </w:pPr>
      <w:r>
        <w:rPr>
          <w:rFonts w:ascii="IRNazanin" w:hAnsi="IRNazanin" w:eastAsia="IRNazanin" w:cs="IRNazanin"/>
          <w:lang w:bidi="fa-IR"/>
          <w:color w:val="111111"/>
          <w:sz w:val="28"/>
          <w:szCs w:val="28"/>
          <w:rtl/>
        </w:rPr>
        <w:t xml:space="preserve">تاریخ تأليف: ۱۲۸۹ ق ناصرالدین شاه بر اثر خواندن رمان های فرنگی بر آن می شود تا خود رمانی بنویسد و در این نسخه او رمانی به طرز رمان نویسان فرنگی در مدح بهار و توصیف فصول دیگر می نویسد و ضمنا حکایتی راجع به پیر و جوان می آورد که حاکی از علاقه مندی او به خواندن رمان های فرنگی است.</w:t>
      </w:r>
    </w:p>
    <w:p>
      <w:pPr>
        <w:pStyle w:val="BookText"/>
      </w:pPr>
      <w:r>
        <w:rPr>
          <w:rFonts w:ascii="IRNazanin" w:hAnsi="IRNazanin" w:eastAsia="IRNazanin" w:cs="IRNazanin"/>
          <w:lang w:bidi="fa-IR"/>
          <w:color w:val="111111"/>
          <w:sz w:val="28"/>
          <w:szCs w:val="28"/>
          <w:rtl/>
        </w:rPr>
        <w:t xml:space="preserve">تهران؛ ملی؛ شماره نسخه: ۴۹۲</w:t>
      </w:r>
    </w:p>
    <w:p>
      <w:pPr>
        <w:pStyle w:val="BookText"/>
      </w:pPr>
      <w:r>
        <w:rPr>
          <w:rFonts w:ascii="IRNazanin" w:hAnsi="IRNazanin" w:eastAsia="IRNazanin" w:cs="IRNazanin"/>
          <w:lang w:bidi="fa-IR"/>
          <w:color w:val="111111"/>
          <w:sz w:val="28"/>
          <w:szCs w:val="28"/>
          <w:rtl/>
        </w:rPr>
        <w:t xml:space="preserve">آغاز: هو الله تعالی. تفصیلی است در درک بهار نوشته می شود با اینکه طبایع ناس مختلف است و هریک بوضع و طور و قسمی درک بهار می کنند؛ انجام: پیر گفت همین جا مسکن بلکه مدفن من است بزیر آرید مرا با مستحفظ کمک کرده پیر را بزمین گذاشته وداع کرده رفتم بمنزل خود خط: نستعلیق خوش، كا: عبدالكريم منشی طهرانی، تا: ۴ ربيع الثانی ۱۲۸۹ق، جا: طهران؛ با سرلوح، مجدول، مذهب؛ کاغذ: فرنگی، لب طلائی، جلد: مخمل بنفش با گل و بته ضربی مقوایی، با شیر و خورشید و تاج فلزی ملحق به آن، ۳۵گ، ۹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۱-۴۷۲]</w:t>
      </w:r>
    </w:p>
    <w:p>
      <w:pPr>
        <w:pStyle w:val="BookText"/>
      </w:pPr>
      <w:r>
        <w:rPr>
          <w:rFonts w:ascii="IRNazanin" w:hAnsi="IRNazanin" w:eastAsia="IRNazanin" w:cs="IRNazanin"/>
          <w:lang w:bidi="fa-IR"/>
          <w:color w:val="111111"/>
          <w:sz w:val="28"/>
          <w:szCs w:val="28"/>
          <w:rtl/>
        </w:rPr>
        <w:t xml:space="preserve">← پیروز نامه ← ظفرنامه</w:t>
      </w:r>
    </w:p>
    <w:p>
      <w:pPr>
        <w:pStyle w:val="BookText"/>
      </w:pPr>
      <w:r>
        <w:rPr>
          <w:rFonts w:ascii="IRNazanin" w:hAnsi="IRNazanin" w:eastAsia="IRNazanin" w:cs="IRNazanin"/>
          <w:lang w:bidi="fa-IR"/>
          <w:color w:val="111111"/>
          <w:sz w:val="28"/>
          <w:szCs w:val="28"/>
          <w:rtl/>
        </w:rPr>
        <w:t xml:space="preserve">← پیروزی نامه ← ظفر نامه</w:t>
      </w:r>
    </w:p>
    <w:p>
      <w:pPr>
        <w:pStyle w:val="Heading3"/>
      </w:pPr>
      <w:bookmarkStart w:id="1864" w:name="_Toc1124"/>
      <w:r>
        <w:t>•پیروزی و مقاله نوروزی / ادبیات فارسی</w:t>
      </w:r>
      <w:bookmarkEnd w:id="1864"/>
    </w:p>
    <w:p>
      <w:pPr>
        <w:pStyle w:val="BookText"/>
      </w:pPr>
      <w:r>
        <w:rPr>
          <w:rFonts w:ascii="Times New Roman" w:hAnsi="Times New Roman" w:eastAsia="Times New Roman" w:cs="Times New Roman"/>
          <w:lang w:val="en-US" w:bidi="en-US"/>
          <w:color w:val="111111"/>
          <w:sz w:val="28"/>
          <w:szCs w:val="28"/>
          <w:rtl/>
        </w:rPr>
        <w:t xml:space="preserve">pīrūzī v maqāle novrūzī</w:t>
      </w:r>
    </w:p>
    <w:p>
      <w:pPr>
        <w:pStyle w:val="BookText"/>
      </w:pPr>
      <w:r>
        <w:rPr>
          <w:rFonts w:ascii="IRNazanin" w:hAnsi="IRNazanin" w:eastAsia="IRNazanin" w:cs="IRNazanin"/>
          <w:lang w:bidi="fa-IR"/>
          <w:color w:val="111111"/>
          <w:sz w:val="28"/>
          <w:szCs w:val="28"/>
          <w:rtl/>
        </w:rPr>
        <w:t xml:space="preserve">نجاتی نیشابوری، محمود بن عمر، -۷۲۸ قمری</w:t>
      </w:r>
    </w:p>
    <w:p>
      <w:pPr>
        <w:pStyle w:val="BookText"/>
      </w:pPr>
      <w:r>
        <w:rPr>
          <w:rFonts w:ascii="Times New Roman" w:hAnsi="Times New Roman" w:eastAsia="Times New Roman" w:cs="Times New Roman"/>
          <w:lang w:val="en-US" w:bidi="en-US"/>
          <w:color w:val="111111"/>
          <w:sz w:val="28"/>
          <w:szCs w:val="28"/>
          <w:rtl/>
        </w:rPr>
        <w:t xml:space="preserve">nejātī neyšābūrī, mahmūd ebn-e ‘omar (- 1328)</w:t>
      </w:r>
    </w:p>
    <w:p>
      <w:pPr>
        <w:pStyle w:val="BookText"/>
      </w:pPr>
      <w:r>
        <w:rPr>
          <w:rFonts w:ascii="IRNazanin" w:hAnsi="IRNazanin" w:eastAsia="IRNazanin" w:cs="IRNazanin"/>
          <w:lang w:bidi="fa-IR"/>
          <w:color w:val="111111"/>
          <w:sz w:val="28"/>
          <w:szCs w:val="28"/>
          <w:rtl/>
        </w:rPr>
        <w:t xml:space="preserve">وابسته به: صنایع الاسحار في بدايع الاشعار = القصيدة المصنوعة = بدایع الاسحار في صنايع الاشعار = بدیعیه منظوم = قصيده قوامیه؛ قوامی گنجوی (۵۷۶) رساله شرح قصيده بديعيه قوامی گنجوی است و ظاهرا از محمود نجاتی نیشابوری. آقای بهروز ایمانی در مقدمه ای که بر تصحیح این رساله نگاشته، نسبت آن، به نجاتی نیشابوری را نفی می کند. چاپ: چاپ شده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34" w:name="pg20363_209606"/>
    <w:bookmarkEnd w:id="334"/>
    <w:p>
      <w:pPr>
        <w:pStyle w:val="BookText"/>
      </w:pPr>
      <w:r>
        <w:rPr>
          <w:rFonts w:ascii="IRNazanin" w:hAnsi="IRNazanin" w:eastAsia="IRNazanin" w:cs="IRNazanin"/>
          <w:lang w:bidi="fa-IR"/>
          <w:color w:val="111111"/>
          <w:sz w:val="28"/>
          <w:szCs w:val="28"/>
          <w:rtl/>
        </w:rPr>
        <w:t xml:space="preserve">[الذریعه ۸۹/۱۵ ؛ فهرستواره منزوی ۵۰۰/۱۰ ]</w:t>
      </w:r>
    </w:p>
    <w:p>
      <w:pPr>
        <w:pStyle w:val="BookText"/>
      </w:pPr>
      <w:r>
        <w:rPr>
          <w:rFonts w:ascii="IRNazanin" w:hAnsi="IRNazanin" w:eastAsia="IRNazanin" w:cs="IRNazanin"/>
          <w:lang w:bidi="fa-IR"/>
          <w:color w:val="111111"/>
          <w:sz w:val="28"/>
          <w:szCs w:val="28"/>
          <w:rtl/>
        </w:rPr>
        <w:t xml:space="preserve">تهران؛ مجلس؛ شماره نسخه: ۶۱۰۲/۲</w:t>
      </w:r>
    </w:p>
    <w:p>
      <w:pPr>
        <w:pStyle w:val="BookText"/>
      </w:pPr>
      <w:r>
        <w:rPr>
          <w:rFonts w:ascii="IRNazanin" w:hAnsi="IRNazanin" w:eastAsia="IRNazanin" w:cs="IRNazanin"/>
          <w:lang w:bidi="fa-IR"/>
          <w:color w:val="111111"/>
          <w:sz w:val="28"/>
          <w:szCs w:val="28"/>
          <w:rtl/>
        </w:rPr>
        <w:t xml:space="preserve">آغاز: این قصیده است که افصح المتكلمين ... جمال المله و الدين قوامی گنجه ای گفته و آنرا صنایع الاسحار ... نام کرده. ترجيع: ای فلک راهوای قدر تو بار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وی ملک را ثنای صدر تو کار؛</w:t>
      </w:r>
    </w:p>
    <w:p>
      <w:pPr>
        <w:pStyle w:val="BookText"/>
      </w:pPr>
      <w:r>
        <w:rPr>
          <w:rFonts w:ascii="IRNazanin" w:hAnsi="IRNazanin" w:eastAsia="IRNazanin" w:cs="IRNazanin"/>
          <w:lang w:bidi="fa-IR"/>
          <w:color w:val="111111"/>
          <w:sz w:val="28"/>
          <w:szCs w:val="28"/>
          <w:rtl/>
        </w:rPr>
        <w:t xml:space="preserve">انجام: چنانکه صاحب قصيده ادا کرد و این حواشی از کتب متقدمان و متأخران استنباط نمود بازای هر بیت مسطور گردانید. خط: نستعلیق، بی کا، تا: قرن ۱۱؛ کاغذ: هندی، جلد: تیماج مشکی با سجاف عطف و حواشی با تیماج قهوه ای، ۳۶ص (۴۰ -۷۵)، قطع: نیم خشتی، اندازه: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۱۹/۵ سم [ف: ۱۹-۸۶]</w:t>
      </w:r>
    </w:p>
    <w:p>
      <w:pPr>
        <w:pStyle w:val="Heading3"/>
      </w:pPr>
      <w:bookmarkStart w:id="1865" w:name="_Toc1125"/>
      <w:r>
        <w:t>• پیزری اردستانی / تراجم / فارسی</w:t>
      </w:r>
      <w:bookmarkEnd w:id="1865"/>
    </w:p>
    <w:p>
      <w:pPr>
        <w:pStyle w:val="BookText"/>
      </w:pPr>
      <w:r>
        <w:rPr>
          <w:rFonts w:ascii="Times New Roman" w:hAnsi="Times New Roman" w:eastAsia="Times New Roman" w:cs="Times New Roman"/>
          <w:lang w:val="en-US" w:bidi="en-US"/>
          <w:color w:val="111111"/>
          <w:sz w:val="28"/>
          <w:szCs w:val="28"/>
          <w:rtl/>
        </w:rPr>
        <w:t xml:space="preserve">pīzarī-ye ardestānī</w:t>
      </w:r>
    </w:p>
    <w:p>
      <w:pPr>
        <w:pStyle w:val="BookText"/>
      </w:pPr>
      <w:r>
        <w:rPr>
          <w:rFonts w:ascii="IRNazanin" w:hAnsi="IRNazanin" w:eastAsia="IRNazanin" w:cs="IRNazanin"/>
          <w:lang w:bidi="fa-IR"/>
          <w:color w:val="111111"/>
          <w:sz w:val="28"/>
          <w:szCs w:val="28"/>
          <w:rtl/>
        </w:rPr>
        <w:t xml:space="preserve">شفیعی اردستانی، مرتضی بن احمد، ق ۱۴ شمسی</w:t>
      </w:r>
    </w:p>
    <w:p>
      <w:pPr>
        <w:pStyle w:val="BookText"/>
      </w:pPr>
      <w:r>
        <w:rPr>
          <w:rFonts w:ascii="Times New Roman" w:hAnsi="Times New Roman" w:eastAsia="Times New Roman" w:cs="Times New Roman"/>
          <w:lang w:val="en-US" w:bidi="en-US"/>
          <w:color w:val="111111"/>
          <w:sz w:val="28"/>
          <w:szCs w:val="28"/>
          <w:rtl/>
        </w:rPr>
        <w:t xml:space="preserve">šafi'i ardestānī, morteza ebn-e ahmad (- 20c)</w:t>
      </w:r>
    </w:p>
    <w:p>
      <w:pPr>
        <w:pStyle w:val="BookText"/>
      </w:pPr>
      <w:r>
        <w:rPr>
          <w:rFonts w:ascii="IRNazanin" w:hAnsi="IRNazanin" w:eastAsia="IRNazanin" w:cs="IRNazanin"/>
          <w:lang w:bidi="fa-IR"/>
          <w:color w:val="111111"/>
          <w:sz w:val="28"/>
          <w:szCs w:val="28"/>
          <w:rtl/>
        </w:rPr>
        <w:t xml:space="preserve">تاریخ تأليف: ۲۵ دی ۱۳۸۳ش؛ محل تأليف: تهران</w:t>
      </w:r>
    </w:p>
    <w:p>
      <w:pPr>
        <w:pStyle w:val="BookText"/>
      </w:pPr>
      <w:r>
        <w:rPr>
          <w:rFonts w:ascii="IRNazanin" w:hAnsi="IRNazanin" w:eastAsia="IRNazanin" w:cs="IRNazanin"/>
          <w:lang w:bidi="fa-IR"/>
          <w:color w:val="111111"/>
          <w:sz w:val="28"/>
          <w:szCs w:val="28"/>
          <w:rtl/>
        </w:rPr>
        <w:t xml:space="preserve">رساله کوتاهی است در شرح حال حسن بن حسين بن عسكر اردستانی متخلص به پیزری. آقای شفیعی در کتاب سخنوران اردستان نیز از وی نام برده است.</w:t>
      </w:r>
    </w:p>
    <w:p>
      <w:pPr>
        <w:pStyle w:val="BookText"/>
      </w:pPr>
      <w:r>
        <w:rPr>
          <w:rFonts w:ascii="IRNazanin" w:hAnsi="IRNazanin" w:eastAsia="IRNazanin" w:cs="IRNazanin"/>
          <w:lang w:bidi="fa-IR"/>
          <w:color w:val="111111"/>
          <w:sz w:val="28"/>
          <w:szCs w:val="28"/>
          <w:rtl/>
        </w:rPr>
        <w:t xml:space="preserve">قم؛ مرعشی؛ شماره نسخه: ۱۵۲۹۰/۱۰</w:t>
      </w:r>
    </w:p>
    <w:p>
      <w:pPr>
        <w:pStyle w:val="BookText"/>
      </w:pPr>
      <w:r>
        <w:rPr>
          <w:rFonts w:ascii="IRNazanin" w:hAnsi="IRNazanin" w:eastAsia="IRNazanin" w:cs="IRNazanin"/>
          <w:lang w:bidi="fa-IR"/>
          <w:color w:val="111111"/>
          <w:sz w:val="28"/>
          <w:szCs w:val="28"/>
          <w:rtl/>
        </w:rPr>
        <w:t xml:space="preserve">آغاز: حسن بن حسين بن عسكر از مردم محله راه میان شهر اردستان است که از اواخر سلطنت محمد شاه تا اواخر سلطنت ناصرالدین شاه قاجار در آن محله می زیسته؛ انجام: پیزری در اواخر سلطنت ناصرالدین شاه فوت نموده و در قبرستان محله راه میان اردستان به خاک سپرده شده است.</w:t>
      </w:r>
    </w:p>
    <w:p>
      <w:pPr>
        <w:pStyle w:val="BookText"/>
      </w:pPr>
      <w:r>
        <w:rPr>
          <w:rFonts w:ascii="IRNazanin" w:hAnsi="IRNazanin" w:eastAsia="IRNazanin" w:cs="IRNazanin"/>
          <w:lang w:bidi="fa-IR"/>
          <w:color w:val="111111"/>
          <w:sz w:val="28"/>
          <w:szCs w:val="28"/>
          <w:rtl/>
        </w:rPr>
        <w:t xml:space="preserve">خط: نستعلیق، کاتب = مؤلف، بی تا، جا: تهران؛ ترقيمه: «تهران، کوی نصر..، مرتضی شفیعی اردستانی، ۱۳۸۲/۱۰/۲۵ خورشیدی» ؛ کاغذ: جدید، ۲گ (۶۵-۶۶)، ۲۲ سطر،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۸۱۵-۳۸ ]</w:t>
      </w:r>
    </w:p>
    <w:p>
      <w:pPr>
        <w:pStyle w:val="Heading3"/>
      </w:pPr>
      <w:bookmarkStart w:id="1866" w:name="_Toc1126"/>
      <w:r>
        <w:t>• پیشاهنگ صاحب الزمان / متفرقه / فارسی</w:t>
      </w:r>
      <w:bookmarkEnd w:id="1866"/>
    </w:p>
    <w:p>
      <w:pPr>
        <w:pStyle w:val="BookText"/>
      </w:pPr>
      <w:r>
        <w:rPr>
          <w:rFonts w:ascii="Times New Roman" w:hAnsi="Times New Roman" w:eastAsia="Times New Roman" w:cs="Times New Roman"/>
          <w:lang w:val="en-US" w:bidi="en-US"/>
          <w:color w:val="111111"/>
          <w:sz w:val="28"/>
          <w:szCs w:val="28"/>
          <w:rtl/>
        </w:rPr>
        <w:t xml:space="preserve">pīšāhang-e sāheb-oz-zamān</w:t>
      </w:r>
    </w:p>
    <w:p>
      <w:pPr>
        <w:pStyle w:val="BookText"/>
      </w:pPr>
      <w:r>
        <w:rPr>
          <w:rFonts w:ascii="IRNazanin" w:hAnsi="IRNazanin" w:eastAsia="IRNazanin" w:cs="IRNazanin"/>
          <w:lang w:bidi="fa-IR"/>
          <w:color w:val="111111"/>
          <w:sz w:val="28"/>
          <w:szCs w:val="28"/>
          <w:rtl/>
        </w:rPr>
        <w:t xml:space="preserve">بنارش، یوسف</w:t>
      </w:r>
    </w:p>
    <w:p>
      <w:pPr>
        <w:pStyle w:val="BookText"/>
      </w:pPr>
      <w:r>
        <w:rPr>
          <w:rFonts w:ascii="Times New Roman" w:hAnsi="Times New Roman" w:eastAsia="Times New Roman" w:cs="Times New Roman"/>
          <w:lang w:val="en-US" w:bidi="en-US"/>
          <w:color w:val="111111"/>
          <w:sz w:val="28"/>
          <w:szCs w:val="28"/>
          <w:rtl/>
        </w:rPr>
        <w:t xml:space="preserve">banāraš, yūsof</w:t>
      </w:r>
    </w:p>
    <w:p>
      <w:pPr>
        <w:pStyle w:val="BookText"/>
      </w:pPr>
      <w:r>
        <w:rPr>
          <w:rFonts w:ascii="IRNazanin" w:hAnsi="IRNazanin" w:eastAsia="IRNazanin" w:cs="IRNazanin"/>
          <w:lang w:bidi="fa-IR"/>
          <w:color w:val="111111"/>
          <w:sz w:val="28"/>
          <w:szCs w:val="28"/>
          <w:rtl/>
        </w:rPr>
        <w:t xml:space="preserve">مشهد؛ رضوی؛ شماره نسخه: ۱۱۷۲۵</w:t>
      </w:r>
    </w:p>
    <w:p>
      <w:pPr>
        <w:pStyle w:val="BookText"/>
      </w:pPr>
      <w:r>
        <w:rPr>
          <w:rFonts w:ascii="IRNazanin" w:hAnsi="IRNazanin" w:eastAsia="IRNazanin" w:cs="IRNazanin"/>
          <w:lang w:bidi="fa-IR"/>
          <w:color w:val="111111"/>
          <w:sz w:val="28"/>
          <w:szCs w:val="28"/>
          <w:rtl/>
        </w:rPr>
        <w:t xml:space="preserve">آغاز: اعوذبالله بسمله. الحمدلله رب العالمين؛ انجام: زندگانی خود را خوش و خرم سازد ... باید در راه خدا. خط: نستعلیق، کاتب = مؤلف، بی تا، کاغذ: فرنگی، جلد: مقوا، ۲۰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[الفبائی: ۹۶]</w:t>
      </w:r>
    </w:p>
    <w:p>
      <w:pPr>
        <w:pStyle w:val="Heading3"/>
      </w:pPr>
      <w:bookmarkStart w:id="1867" w:name="_Toc1127"/>
      <w:r>
        <w:t>• پیشگویی / علوم غریبه / فارسی</w:t>
      </w:r>
      <w:bookmarkEnd w:id="1867"/>
    </w:p>
    <w:p>
      <w:pPr>
        <w:pStyle w:val="BookText"/>
      </w:pPr>
      <w:r>
        <w:rPr>
          <w:rFonts w:ascii="Times New Roman" w:hAnsi="Times New Roman" w:eastAsia="Times New Roman" w:cs="Times New Roman"/>
          <w:lang w:val="en-US" w:bidi="en-US"/>
          <w:color w:val="111111"/>
          <w:sz w:val="28"/>
          <w:szCs w:val="28"/>
          <w:rtl/>
        </w:rPr>
        <w:t xml:space="preserve">pīšgū’ī</w:t>
      </w:r>
    </w:p>
    <w:p>
      <w:pPr>
        <w:pStyle w:val="BookText"/>
      </w:pPr>
      <w:r>
        <w:rPr>
          <w:rFonts w:ascii="IRNazanin" w:hAnsi="IRNazanin" w:eastAsia="IRNazanin" w:cs="IRNazanin"/>
          <w:lang w:bidi="fa-IR"/>
          <w:color w:val="111111"/>
          <w:sz w:val="28"/>
          <w:szCs w:val="28"/>
          <w:rtl/>
        </w:rPr>
        <w:t xml:space="preserve">بزرگمهر</w:t>
      </w:r>
    </w:p>
    <w:p>
      <w:pPr>
        <w:pStyle w:val="BookText"/>
      </w:pPr>
      <w:r>
        <w:rPr>
          <w:rFonts w:ascii="Times New Roman" w:hAnsi="Times New Roman" w:eastAsia="Times New Roman" w:cs="Times New Roman"/>
          <w:lang w:val="en-US" w:bidi="en-US"/>
          <w:color w:val="111111"/>
          <w:sz w:val="28"/>
          <w:szCs w:val="28"/>
          <w:rtl/>
        </w:rPr>
        <w:t xml:space="preserve">bozorgmehr</w:t>
      </w:r>
    </w:p>
    <w:p>
      <w:pPr>
        <w:pStyle w:val="BookText"/>
      </w:pPr>
      <w:r>
        <w:rPr>
          <w:rFonts w:ascii="IRNazanin" w:hAnsi="IRNazanin" w:eastAsia="IRNazanin" w:cs="IRNazanin"/>
          <w:lang w:bidi="fa-IR"/>
          <w:color w:val="111111"/>
          <w:sz w:val="28"/>
          <w:szCs w:val="28"/>
          <w:rtl/>
        </w:rPr>
        <w:t xml:space="preserve">در پیشگویی و اختربینی به درخواست انوشیروان.</w:t>
      </w:r>
    </w:p>
    <w:p>
      <w:pPr>
        <w:pStyle w:val="BookText"/>
      </w:pPr>
      <w:r>
        <w:rPr>
          <w:rFonts w:ascii="IRNazanin" w:hAnsi="IRNazanin" w:eastAsia="IRNazanin" w:cs="IRNazanin"/>
          <w:lang w:bidi="fa-IR"/>
          <w:color w:val="111111"/>
          <w:sz w:val="28"/>
          <w:szCs w:val="28"/>
          <w:rtl/>
        </w:rPr>
        <w:t xml:space="preserve">[فهرستواره ۲۸۴۴/۴ -۲۸۴۵]</w:t>
      </w:r>
    </w:p>
    <w:p>
      <w:pPr>
        <w:pStyle w:val="BookText"/>
      </w:pPr>
      <w:r>
        <w:rPr>
          <w:rFonts w:ascii="IRNazanin" w:hAnsi="IRNazanin" w:eastAsia="IRNazanin" w:cs="IRNazanin"/>
          <w:lang w:bidi="fa-IR"/>
          <w:color w:val="111111"/>
          <w:sz w:val="28"/>
          <w:szCs w:val="28"/>
          <w:rtl/>
        </w:rPr>
        <w:t xml:space="preserve">تهران؛ مجلس؛ شماره نسخه: ۹۰۴۹/۵</w:t>
      </w:r>
    </w:p>
    <w:p>
      <w:pPr>
        <w:pStyle w:val="BookText"/>
      </w:pPr>
      <w:r>
        <w:rPr>
          <w:rFonts w:ascii="IRNazanin" w:hAnsi="IRNazanin" w:eastAsia="IRNazanin" w:cs="IRNazanin"/>
          <w:lang w:bidi="fa-IR"/>
          <w:color w:val="111111"/>
          <w:sz w:val="28"/>
          <w:szCs w:val="28"/>
          <w:rtl/>
        </w:rPr>
        <w:t xml:space="preserve">آغاز: شکر و سپاس بی قیاس حضرت پادشاهی را که ذات انسانی را مدرک جمیع علوم و مصرعات گردانیده ... این کلمات عجایب از برای قرار بدن نوشیروان عادل ابوذرجمهر انشاء فرموده بو و معنی آن که مردم هر چه در دست یا در دل نشان کنند از روی کواکب پیدا کرده است. فلک اعظم: آهن برنج روی ارزیر مسی سیم سرب زر؛ انجام: ای ز روی تو نور برده قمر ۸۸ چه نهان می کنی بگویم پسر یر/ ای مه عيد عالم ابرویت*** در کف دست هست دارویت خط: نستعلیق، بی کا، تا: قرن ۱۲؛ کاغذ: فرنگی نخودی آهار مهره، جلد: میشن قهوه ای ضربی با ترنج و سرترنج منقش و جدول؛ ۶گ (۷۹پ -۸۴پ)، ۱۲ سطر (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۱۱/۹ سم [ف: ۲۹/۲ -۶۷۱]</w:t>
      </w:r>
    </w:p>
    <w:p>
      <w:pPr>
        <w:pStyle w:val="Heading3"/>
      </w:pPr>
      <w:bookmarkStart w:id="1868" w:name="_Toc1128"/>
      <w:r>
        <w:t>• پیشگویی / پیشگویی / فارسی</w:t>
      </w:r>
      <w:bookmarkEnd w:id="1868"/>
    </w:p>
    <w:p>
      <w:pPr>
        <w:pStyle w:val="BookText"/>
      </w:pPr>
      <w:r>
        <w:rPr>
          <w:rFonts w:ascii="Times New Roman" w:hAnsi="Times New Roman" w:eastAsia="Times New Roman" w:cs="Times New Roman"/>
          <w:lang w:val="en-US" w:bidi="en-US"/>
          <w:color w:val="111111"/>
          <w:sz w:val="28"/>
          <w:szCs w:val="28"/>
          <w:rtl/>
        </w:rPr>
        <w:t xml:space="preserve">pīšgū’ī</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ملی؛ شماره نسخه: ۲۶۵۳/۲</w:t>
      </w:r>
    </w:p>
    <w:p>
      <w:pPr>
        <w:pStyle w:val="BookText"/>
      </w:pPr>
      <w:r>
        <w:rPr>
          <w:rFonts w:ascii="Amiri" w:hAnsi="Amiri" w:eastAsia="Amiri" w:cs="Amiri"/>
          <w:lang w:bidi="ar-SA"/>
          <w:color w:val="111111"/>
          <w:sz w:val="28"/>
          <w:szCs w:val="28"/>
          <w:rtl/>
        </w:rPr>
        <w:t xml:space="preserve">آغاز و السادس و الثاني عشر يحصل من السابع و الثامن و الثالث عشر و الرابع عشر، انجام: فيه شكل نحس فاحكم على سوء عقيدته</w:t>
      </w:r>
    </w:p>
    <w:p>
      <w:pPr>
        <w:pStyle w:val="BookText"/>
      </w:pPr>
      <w:r>
        <w:rPr>
          <w:rFonts w:ascii="IRNazanin" w:hAnsi="IRNazanin" w:eastAsia="IRNazanin" w:cs="IRNazanin"/>
          <w:lang w:bidi="fa-IR"/>
          <w:color w:val="111111"/>
          <w:sz w:val="28"/>
          <w:szCs w:val="28"/>
          <w:rtl/>
        </w:rPr>
        <w:t xml:space="preserve">یک سلسله مطالب نجومی آمده مطالبی که برای پیش گویی حوادث آتی و اطلاع بر خفایای امور لازم است به قول نویسنده با این کتاب و استفادت از این مسائل نجومی ما می توانیم پی به بسیاری از مطالب خفیه بریم و از حال مردمان و امور مخفيه آگاهی یابیم؛ خط: نسخ، كان محمد طاهرین مرحوم بن علی اکبر تبریزی، تا: محتملا قرن ۱۱؛ افتادگی: آغاز و انجام کاغذ: بخارائی، جلد: تیماج مشکی یک لا، ۸۰ص (۲۸۵-۳۶۵)، ۲۱سطر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۲۶/۵ سم [ف: ۶-۲۱۶]</w:t>
      </w:r>
    </w:p>
    <w:p>
      <w:pPr>
        <w:pStyle w:val="BookText"/>
      </w:pPr>
      <w:r>
        <w:rPr>
          <w:rFonts w:ascii="IRNazanin" w:hAnsi="IRNazanin" w:eastAsia="IRNazanin" w:cs="IRNazanin"/>
          <w:lang w:bidi="fa-IR"/>
          <w:color w:val="111111"/>
          <w:sz w:val="28"/>
          <w:szCs w:val="28"/>
          <w:rtl/>
        </w:rPr>
        <w:t xml:space="preserve">۲. تهران؛ الهیات؛ شماره نسخه: ۹۹/۹</w:t>
      </w:r>
    </w:p>
    <w:p>
      <w:pPr>
        <w:pStyle w:val="BookText"/>
      </w:pPr>
      <w:r>
        <w:rPr>
          <w:rFonts w:ascii="IRNazanin" w:hAnsi="IRNazanin" w:eastAsia="IRNazanin" w:cs="IRNazanin"/>
          <w:lang w:bidi="fa-IR"/>
          <w:color w:val="111111"/>
          <w:sz w:val="28"/>
          <w:szCs w:val="28"/>
          <w:rtl/>
        </w:rPr>
        <w:t xml:space="preserve">آغاز: هرگاه خواهند که از وفق از اوفاق سال بر حال خود یا کسی اطلاع یابد که در این سال؛ انجام: و بما جرى به القلم من عند الله و بلا حول ولا قوة الا بالله</w:t>
      </w:r>
    </w:p>
    <w:p>
      <w:pPr>
        <w:pStyle w:val="BookText"/>
      </w:pPr>
      <w:r>
        <w:rPr>
          <w:rFonts w:ascii="IRNazanin" w:hAnsi="IRNazanin" w:eastAsia="IRNazanin" w:cs="IRNazanin"/>
          <w:lang w:bidi="fa-IR"/>
          <w:color w:val="111111"/>
          <w:sz w:val="28"/>
          <w:szCs w:val="28"/>
          <w:rtl/>
        </w:rPr>
        <w:t xml:space="preserve">خط: نستعلیق، کا: محمد باقر بن فتحعلی بن حاج محمد باقر ارغندی ترشیزی، تا: ۱۳۳۹ق؛ کاغذ: فرنگی، جلد: تیماج سبز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35" w:name="pg20363_209607"/>
    <w:bookmarkEnd w:id="335"/>
    <w:p>
      <w:pPr>
        <w:pStyle w:val="BookText"/>
      </w:pPr>
      <w:r>
        <w:rPr>
          <w:rFonts w:ascii="IRNazanin" w:hAnsi="IRNazanin" w:eastAsia="IRNazanin" w:cs="IRNazanin"/>
          <w:lang w:bidi="fa-IR"/>
          <w:color w:val="111111"/>
          <w:sz w:val="28"/>
          <w:szCs w:val="28"/>
          <w:rtl/>
        </w:rPr>
        <w:t xml:space="preserve">مقوایی، ۴گ (۲۰۱ر-۲۰۴ر)، ۱۷ سطر (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۲۳/۵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 [ف: ۱۵۵]</w:t>
      </w:r>
    </w:p>
    <w:p>
      <w:pPr>
        <w:pStyle w:val="BookText"/>
      </w:pPr>
      <w:r>
        <w:rPr>
          <w:rFonts w:ascii="IRNazanin" w:hAnsi="IRNazanin" w:eastAsia="IRNazanin" w:cs="IRNazanin"/>
          <w:lang w:bidi="fa-IR"/>
          <w:color w:val="111111"/>
          <w:sz w:val="28"/>
          <w:szCs w:val="28"/>
          <w:rtl/>
        </w:rPr>
        <w:t xml:space="preserve">٣. تهران، مجلس؛ شماره نسخه: ۹۰۴۹/۶</w:t>
      </w:r>
    </w:p>
    <w:p>
      <w:pPr>
        <w:pStyle w:val="BookText"/>
      </w:pPr>
      <w:r>
        <w:rPr>
          <w:rFonts w:ascii="IRNazanin" w:hAnsi="IRNazanin" w:eastAsia="IRNazanin" w:cs="IRNazanin"/>
          <w:lang w:bidi="fa-IR"/>
          <w:color w:val="111111"/>
          <w:sz w:val="28"/>
          <w:szCs w:val="28"/>
          <w:rtl/>
        </w:rPr>
        <w:t xml:space="preserve">آغاز: اول: ای زلف سیاه تو چو زنجير*** لعل لب تو چو شکر شیر / شیرینی شکر تو دارد *** در دست گرفته تو انجیر؛ انجام: سی و یکم: دل از سر سوز درد بلبل*** می گفت به باغ از غم گل / پر شد چمن از فغان بلبل*** در دست گرفته ای تو سنبل</w:t>
      </w:r>
    </w:p>
    <w:p>
      <w:pPr>
        <w:pStyle w:val="BookText"/>
      </w:pPr>
      <w:r>
        <w:rPr>
          <w:rFonts w:ascii="IRNazanin" w:hAnsi="IRNazanin" w:eastAsia="IRNazanin" w:cs="IRNazanin"/>
          <w:lang w:bidi="fa-IR"/>
          <w:color w:val="111111"/>
          <w:sz w:val="28"/>
          <w:szCs w:val="28"/>
          <w:rtl/>
        </w:rPr>
        <w:t xml:space="preserve">خط: نستعلیق، بی کا، تا: قرن ۱۲؛ کاغذ: فرنگی نخودی آهار مهره، جلد: میشن قهوه ای ضربی با ترنج و سرترنج منقش و جدول، ۵گ (۸۴-۸۸پ)، ۱۲ سطر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اندازه: ۱۱/۹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سم [ف: ۲۹/۲ -۶۷۲]</w:t>
      </w:r>
    </w:p>
    <w:p>
      <w:pPr>
        <w:pStyle w:val="BookText"/>
      </w:pPr>
      <w:r>
        <w:rPr>
          <w:rFonts w:ascii="IRNazanin" w:hAnsi="IRNazanin" w:eastAsia="IRNazanin" w:cs="IRNazanin"/>
          <w:lang w:bidi="fa-IR"/>
          <w:color w:val="111111"/>
          <w:sz w:val="28"/>
          <w:szCs w:val="28"/>
          <w:rtl/>
        </w:rPr>
        <w:t xml:space="preserve">۴. تهران؛ ملی؛ شماره نسخه: ۱۷۹۷۸</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اندازه: ۲۱/۶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[رایانه]</w:t>
      </w:r>
    </w:p>
    <w:p>
      <w:pPr>
        <w:pStyle w:val="Heading3"/>
      </w:pPr>
      <w:bookmarkStart w:id="1869" w:name="_Toc1129"/>
      <w:r>
        <w:t>•پیشگوئیهای شاه نعمت الله ولی / شعر، پیشگویی / فارسی</w:t>
      </w:r>
      <w:bookmarkEnd w:id="1869"/>
    </w:p>
    <w:p>
      <w:pPr>
        <w:pStyle w:val="BookText"/>
      </w:pPr>
      <w:r>
        <w:rPr>
          <w:rFonts w:ascii="Times New Roman" w:hAnsi="Times New Roman" w:eastAsia="Times New Roman" w:cs="Times New Roman"/>
          <w:lang w:val="en-US" w:bidi="en-US"/>
          <w:color w:val="111111"/>
          <w:sz w:val="28"/>
          <w:szCs w:val="28"/>
          <w:rtl/>
        </w:rPr>
        <w:t xml:space="preserve">pīšgū’ī-hā-ye šāh ne'mat-ol-lāh-e valī</w:t>
      </w:r>
    </w:p>
    <w:p>
      <w:pPr>
        <w:pStyle w:val="BookText"/>
      </w:pPr>
      <w:r>
        <w:rPr>
          <w:rFonts w:ascii="IRNazanin" w:hAnsi="IRNazanin" w:eastAsia="IRNazanin" w:cs="IRNazanin"/>
          <w:lang w:bidi="fa-IR"/>
          <w:color w:val="111111"/>
          <w:sz w:val="28"/>
          <w:szCs w:val="28"/>
          <w:rtl/>
        </w:rPr>
        <w:t xml:space="preserve">نعمة الله ولی، نعمة الله بن عبد الله، ۷۳۰؟ -۸۳۴ قمری</w:t>
      </w:r>
    </w:p>
    <w:p>
      <w:pPr>
        <w:pStyle w:val="BookText"/>
      </w:pPr>
      <w:r>
        <w:rPr>
          <w:rFonts w:ascii="Times New Roman" w:hAnsi="Times New Roman" w:eastAsia="Times New Roman" w:cs="Times New Roman"/>
          <w:lang w:val="en-US" w:bidi="en-US"/>
          <w:color w:val="111111"/>
          <w:sz w:val="28"/>
          <w:szCs w:val="28"/>
          <w:rtl/>
        </w:rPr>
        <w:t xml:space="preserve">ne'mat-ol-lāh-e valī, ne'mat-ol-lāh ebn-e 'abd-ol-lāh (1330-1431)</w:t>
      </w:r>
    </w:p>
    <w:p>
      <w:pPr>
        <w:pStyle w:val="BookText"/>
      </w:pPr>
      <w:r>
        <w:rPr>
          <w:rFonts w:ascii="IRNazanin" w:hAnsi="IRNazanin" w:eastAsia="IRNazanin" w:cs="IRNazanin"/>
          <w:lang w:bidi="fa-IR"/>
          <w:color w:val="111111"/>
          <w:sz w:val="28"/>
          <w:szCs w:val="28"/>
          <w:rtl/>
        </w:rPr>
        <w:t xml:space="preserve">پیش گویی حوادث است در بیش از ۵۰ بیت فارسی آغاز: قدرت کردگار می بینم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حالت روزگار می بینم انجام: نعمة الله نشسته در کنجی*** از همه بر کنار می بینم</w:t>
      </w:r>
    </w:p>
    <w:p>
      <w:pPr>
        <w:pStyle w:val="BookText"/>
      </w:pPr>
      <w:r>
        <w:rPr>
          <w:rFonts w:ascii="IRNazanin" w:hAnsi="IRNazanin" w:eastAsia="IRNazanin" w:cs="IRNazanin"/>
          <w:lang w:bidi="fa-IR"/>
          <w:color w:val="111111"/>
          <w:sz w:val="28"/>
          <w:szCs w:val="28"/>
          <w:rtl/>
        </w:rPr>
        <w:t xml:space="preserve">۱. قم؛ گلپایگانی، شماره نسخه: ۴۷۷۹/۳ -۲۴/۷۹</w:t>
      </w:r>
    </w:p>
    <w:p>
      <w:pPr>
        <w:pStyle w:val="BookText"/>
      </w:pPr>
      <w:r>
        <w:rPr>
          <w:rFonts w:ascii="IRNazanin" w:hAnsi="IRNazanin" w:eastAsia="IRNazanin" w:cs="IRNazanin"/>
          <w:lang w:bidi="fa-IR"/>
          <w:color w:val="111111"/>
          <w:sz w:val="28"/>
          <w:szCs w:val="28"/>
          <w:rtl/>
        </w:rPr>
        <w:t xml:space="preserve">آغاز: ای عزیزان شور و غوغا در جهان خواهد گرفت</w:t>
      </w:r>
      <w:r>
        <w:rPr>
          <w:rFonts w:ascii="IRNazanin" w:hAnsi="IRNazanin" w:eastAsia="IRNazanin" w:cs="IRNazanin"/>
          <w:lang w:bidi="fa-IR"/>
          <w:color w:val="111111"/>
          <w:sz w:val="28"/>
          <w:szCs w:val="28"/>
          <w:b w:val="1"/>
          <w:bCs w:val="1"/>
          <w:i w:val="1"/>
          <w:iCs w:val="1"/>
          <w:rtl/>
        </w:rPr>
        <w:t xml:space="preserve">کلفت و غم در دل پیر و جوان خواهد گرفت / شرم ناموس از خلایق خواهد شدن</w:t>
      </w:r>
      <w:r>
        <w:rPr>
          <w:rFonts w:ascii="IRNazanin" w:hAnsi="IRNazanin" w:eastAsia="IRNazanin" w:cs="IRNazanin"/>
          <w:lang w:bidi="fa-IR"/>
          <w:color w:val="111111"/>
          <w:sz w:val="28"/>
          <w:szCs w:val="28"/>
          <w:rtl/>
        </w:rPr>
        <w:t xml:space="preserve">پس نفاقی در میان مردمان خوهد گرفت؛ انجام: خوش گلستان خرم خندان*** همه درفصل چار می بینم / ای خوشا حال دوستانش را***که در آن روزگار می بینم خط: نستعلیق، بی کا، تا: قرن ۱۲؛ جلد: کاغذ کرمی، ۳گ،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۲-۶۶۹]</w:t>
      </w:r>
    </w:p>
    <w:p>
      <w:pPr>
        <w:pStyle w:val="BookText"/>
      </w:pPr>
      <w:r>
        <w:rPr>
          <w:rFonts w:ascii="IRNazanin" w:hAnsi="IRNazanin" w:eastAsia="IRNazanin" w:cs="IRNazanin"/>
          <w:lang w:bidi="fa-IR"/>
          <w:color w:val="111111"/>
          <w:sz w:val="28"/>
          <w:szCs w:val="28"/>
          <w:rtl/>
        </w:rPr>
        <w:t xml:space="preserve">۲. تهران؛ مجلس؛ شماره نسخه: ۱۴۱۹۰/۵</w:t>
      </w:r>
    </w:p>
    <w:p>
      <w:pPr>
        <w:pStyle w:val="BookText"/>
      </w:pPr>
      <w:r>
        <w:rPr>
          <w:rFonts w:ascii="IRNazanin" w:hAnsi="IRNazanin" w:eastAsia="IRNazanin" w:cs="IRNazanin"/>
          <w:lang w:bidi="fa-IR"/>
          <w:color w:val="111111"/>
          <w:sz w:val="28"/>
          <w:szCs w:val="28"/>
          <w:rtl/>
        </w:rPr>
        <w:t xml:space="preserve">بی کا، تا: قرن ۱۲؛ ۲گ (۱۹ر-۲۰ر) [ف: ۳۸-۲۵۲]</w:t>
      </w:r>
    </w:p>
    <w:p>
      <w:pPr>
        <w:pStyle w:val="BookText"/>
      </w:pPr>
      <w:r>
        <w:rPr>
          <w:rFonts w:ascii="IRNazanin" w:hAnsi="IRNazanin" w:eastAsia="IRNazanin" w:cs="IRNazanin"/>
          <w:lang w:bidi="fa-IR"/>
          <w:color w:val="111111"/>
          <w:sz w:val="28"/>
          <w:szCs w:val="28"/>
          <w:rtl/>
        </w:rPr>
        <w:t xml:space="preserve">٣. تهران، دانشگاه؛ شماره نسخه: ۴۷۲۴/۸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۱۲۵۱ق؛ کاغذ: فرنگی، جلد: شميز قهوه ای عطف پارچه سبز، ۳ص (۴۷-۴۹)، ۱۵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۱۴-۳۶۷۰]</w:t>
      </w:r>
    </w:p>
    <w:p>
      <w:pPr>
        <w:pStyle w:val="BookText"/>
      </w:pPr>
      <w:r>
        <w:rPr>
          <w:rFonts w:ascii="IRNazanin" w:hAnsi="IRNazanin" w:eastAsia="IRNazanin" w:cs="IRNazanin"/>
          <w:lang w:bidi="fa-IR"/>
          <w:color w:val="111111"/>
          <w:sz w:val="28"/>
          <w:szCs w:val="28"/>
          <w:rtl/>
        </w:rPr>
        <w:t xml:space="preserve">۴. نجف آباد؛ حججی؛ شماره نسخه: ۱۵/۲</w:t>
      </w:r>
    </w:p>
    <w:p>
      <w:pPr>
        <w:pStyle w:val="BookText"/>
      </w:pPr>
      <w:r>
        <w:rPr>
          <w:rFonts w:ascii="IRNazanin" w:hAnsi="IRNazanin" w:eastAsia="IRNazanin" w:cs="IRNazanin"/>
          <w:lang w:bidi="fa-IR"/>
          <w:color w:val="111111"/>
          <w:sz w:val="28"/>
          <w:szCs w:val="28"/>
          <w:rtl/>
        </w:rPr>
        <w:t xml:space="preserve">آغاز: قدرت کردگار می بینم</w:t>
      </w:r>
      <w:r>
        <w:rPr>
          <w:rFonts w:ascii="IRNazanin" w:hAnsi="IRNazanin" w:eastAsia="IRNazanin" w:cs="IRNazanin"/>
          <w:lang w:bidi="fa-IR"/>
          <w:color w:val="111111"/>
          <w:sz w:val="28"/>
          <w:szCs w:val="28"/>
          <w:b w:val="1"/>
          <w:bCs w:val="1"/>
          <w:i w:val="1"/>
          <w:iCs w:val="1"/>
          <w:rtl/>
        </w:rPr>
        <w:t xml:space="preserve">حالت روزگار می بینم. جنگ: ملهمه شاه نعمت الله : ای عزیزان شور و غوغا در جهان خواهد گرفت</w:t>
      </w:r>
      <w:r>
        <w:rPr>
          <w:rFonts w:ascii="IRNazanin" w:hAnsi="IRNazanin" w:eastAsia="IRNazanin" w:cs="IRNazanin"/>
          <w:lang w:bidi="fa-IR"/>
          <w:color w:val="111111"/>
          <w:sz w:val="28"/>
          <w:szCs w:val="28"/>
          <w:rtl/>
        </w:rPr>
        <w:t xml:space="preserve">فتنه و غم از زمین تا آسمان خواهد گرفت؛ انجام: برابر</w:t>
      </w:r>
    </w:p>
    <w:p>
      <w:pPr>
        <w:pStyle w:val="BookText"/>
      </w:pPr>
      <w:r>
        <w:rPr>
          <w:rFonts w:ascii="IRNazanin" w:hAnsi="IRNazanin" w:eastAsia="IRNazanin" w:cs="IRNazanin"/>
          <w:lang w:bidi="fa-IR"/>
          <w:color w:val="111111"/>
          <w:sz w:val="28"/>
          <w:szCs w:val="28"/>
          <w:rtl/>
        </w:rPr>
        <w:t xml:space="preserve">بی کا، بی تا؛ جلد: مقوا، عطف تیماج سرخ، اگ(۹۳ر-۹۳پ)،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۳۴]</w:t>
      </w:r>
    </w:p>
    <w:p>
      <w:pPr>
        <w:pStyle w:val="Heading3"/>
      </w:pPr>
      <w:bookmarkStart w:id="1870" w:name="_Toc1130"/>
      <w:r>
        <w:t>• پیش نویس یک نامه از قرن ۱۱ / نامه نگاری / فارسی</w:t>
      </w:r>
      <w:bookmarkEnd w:id="1870"/>
    </w:p>
    <w:p>
      <w:pPr>
        <w:pStyle w:val="BookText"/>
      </w:pPr>
      <w:r>
        <w:rPr>
          <w:rFonts w:ascii="Times New Roman" w:hAnsi="Times New Roman" w:eastAsia="Times New Roman" w:cs="Times New Roman"/>
          <w:lang w:val="en-US" w:bidi="en-US"/>
          <w:color w:val="111111"/>
          <w:sz w:val="28"/>
          <w:szCs w:val="28"/>
          <w:rtl/>
        </w:rPr>
        <w:t xml:space="preserve">pīš-nevīs-e yek nāme az qarn-ell</w:t>
      </w:r>
    </w:p>
    <w:p>
      <w:pPr>
        <w:pStyle w:val="BookText"/>
      </w:pPr>
      <w:r>
        <w:rPr>
          <w:rFonts w:ascii="IRNazanin" w:hAnsi="IRNazanin" w:eastAsia="IRNazanin" w:cs="IRNazanin"/>
          <w:lang w:bidi="fa-IR"/>
          <w:color w:val="111111"/>
          <w:sz w:val="28"/>
          <w:szCs w:val="28"/>
          <w:rtl/>
        </w:rPr>
        <w:t xml:space="preserve">تهران؛ مجلس؛ شماره نسخه: ۹۴۸۰/۱۷</w:t>
      </w:r>
    </w:p>
    <w:p>
      <w:pPr>
        <w:pStyle w:val="BookText"/>
      </w:pPr>
      <w:r>
        <w:rPr>
          <w:rFonts w:ascii="IRNazanin" w:hAnsi="IRNazanin" w:eastAsia="IRNazanin" w:cs="IRNazanin"/>
          <w:lang w:bidi="fa-IR"/>
          <w:color w:val="111111"/>
          <w:sz w:val="28"/>
          <w:szCs w:val="28"/>
          <w:rtl/>
        </w:rPr>
        <w:t xml:space="preserve">خط: نستعلیق تحریری، بی کا، تا: قرن ۱۱ و ۱۲؛ اص (۱۱۳ همان) [مختصر ف: ۱۲۱]</w:t>
      </w:r>
    </w:p>
    <w:p>
      <w:pPr>
        <w:pStyle w:val="Heading3"/>
      </w:pPr>
      <w:bookmarkStart w:id="1871" w:name="_Toc1131"/>
      <w:r>
        <w:t>•پیشنهاد کمیسیون مطالعات نظام / حكومت و سیاست / فارسی</w:t>
      </w:r>
      <w:bookmarkEnd w:id="1871"/>
    </w:p>
    <w:p>
      <w:pPr>
        <w:pStyle w:val="BookText"/>
      </w:pPr>
      <w:r>
        <w:rPr>
          <w:rFonts w:ascii="Times New Roman" w:hAnsi="Times New Roman" w:eastAsia="Times New Roman" w:cs="Times New Roman"/>
          <w:lang w:val="en-US" w:bidi="en-US"/>
          <w:color w:val="111111"/>
          <w:sz w:val="28"/>
          <w:szCs w:val="28"/>
          <w:rtl/>
        </w:rPr>
        <w:t xml:space="preserve">pīšnahād-e komīsīyon-e motāle‘āt-e nezām</w:t>
      </w:r>
    </w:p>
    <w:p>
      <w:pPr>
        <w:pStyle w:val="BookText"/>
      </w:pPr>
      <w:r>
        <w:rPr>
          <w:rFonts w:ascii="IRNazanin" w:hAnsi="IRNazanin" w:eastAsia="IRNazanin" w:cs="IRNazanin"/>
          <w:lang w:bidi="fa-IR"/>
          <w:color w:val="111111"/>
          <w:sz w:val="28"/>
          <w:szCs w:val="28"/>
          <w:rtl/>
        </w:rPr>
        <w:t xml:space="preserve">طرح آئین نامه تشکیلات نظامی ایران است پیشنهاد شده به وسیله انجمنی انگلیسی و ایرانی. این انجمن با ریاست عباس میرزا سالار لشکر و عضویت: عبدالحمید خان غفاری سردار منصور، عباس قلی خان مدحت الممالک سردار، کلنل فضل الله خان منشی، کلنل عزیز الله خان ژاندارمری، دکتر مهدی خان ملک زاده، زمان خان از نظميه، ژنرال دیکسن، ژنرال هادویس، ژنرال لامنت، کلنل فوريسكتو، کلنل فریزر، کلنل دیسکام، کلنل هواپیما تشکیل شد. در مقدمه (پیش از ذکر اسامی اعضاء کمیسیون) چنین آمده: «کمیسیون مطالعات نظام جهت تدوین را پرت خود، بدوا اوضاع کنونی ایران را در مد نظر گذرانیده و نظرات خود را در پنج فصل» به قرار ذیل شرح نموده است: مخاطرات داخلی و خارجی ایران. قوای نظامی موجود. قوانین و تشکیلات وسائل ارتباطیه و محصولات مملکت. وضعیت مالی در قسمتی که به قوای نظامی مربوط است. در فصل ۶ کمیسیون نقشه ای برای تشکیلات قشون ایران موافق احتياجات نظامی مطرح نموده در فصل هفتم عملیاتی را که باید شروع نمود تا نایل به تشکیلات موافق فصل ۶ بشود پیشنهاد می شود.». در این دفتر نام شاه قاجار و تاریخ تشکیل انجمن و انجام یافتن مطالعات و تدوین این دفتر یاد نشده است.</w:t>
      </w:r>
    </w:p>
    <w:p>
      <w:pPr>
        <w:pStyle w:val="BookText"/>
      </w:pPr>
      <w:r>
        <w:rPr>
          <w:rFonts w:ascii="IRNazanin" w:hAnsi="IRNazanin" w:eastAsia="IRNazanin" w:cs="IRNazanin"/>
          <w:lang w:bidi="fa-IR"/>
          <w:color w:val="111111"/>
          <w:sz w:val="28"/>
          <w:szCs w:val="28"/>
          <w:rtl/>
        </w:rPr>
        <w:t xml:space="preserve">تهران؛ مجلس؛ شماره نسخه: ۲۹۵-فیروز</w:t>
      </w:r>
    </w:p>
    <w:p>
      <w:pPr>
        <w:pStyle w:val="BookText"/>
      </w:pPr>
      <w:r>
        <w:rPr>
          <w:rFonts w:ascii="IRNazanin" w:hAnsi="IRNazanin" w:eastAsia="IRNazanin" w:cs="IRNazanin"/>
          <w:lang w:bidi="fa-IR"/>
          <w:color w:val="111111"/>
          <w:sz w:val="28"/>
          <w:szCs w:val="28"/>
          <w:rtl/>
        </w:rPr>
        <w:t xml:space="preserve">خط: شکسته نستعلیق، بی کا، تا: اواخر قرن ۱۳ یا اوایل قرن ۱۴؛ درجات نظامی و تقسیماتی در آن نوشته شده، کاغذ: فرنگی خط دار سفید، جلد: شميز، ۱۴۸ص، ۲۷ سطر، قطع: رحلی،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۳۳/۵سم [ف: ۲۱-۲۲]</w:t>
      </w:r>
    </w:p>
    <w:p>
      <w:pPr>
        <w:pStyle w:val="Heading3"/>
      </w:pPr>
      <w:bookmarkStart w:id="1872" w:name="_Toc1132"/>
      <w:r>
        <w:t>•پیشوایان چهارگانه اهل سنت / تراجم / فارسی</w:t>
      </w:r>
      <w:bookmarkEnd w:id="1872"/>
    </w:p>
    <w:p>
      <w:pPr>
        <w:pStyle w:val="BookText"/>
      </w:pPr>
      <w:r>
        <w:rPr>
          <w:rFonts w:ascii="Times New Roman" w:hAnsi="Times New Roman" w:eastAsia="Times New Roman" w:cs="Times New Roman"/>
          <w:lang w:val="en-US" w:bidi="en-US"/>
          <w:color w:val="111111"/>
          <w:sz w:val="28"/>
          <w:szCs w:val="28"/>
          <w:rtl/>
        </w:rPr>
        <w:t xml:space="preserve">pīšvāyān-e čāhār-gāne-ye ahl-e sonnat</w:t>
      </w:r>
    </w:p>
    <w:p>
      <w:pPr>
        <w:pStyle w:val="BookText"/>
      </w:pPr>
      <w:r>
        <w:rPr>
          <w:rFonts w:ascii="IRNazanin" w:hAnsi="IRNazanin" w:eastAsia="IRNazanin" w:cs="IRNazanin"/>
          <w:lang w:bidi="fa-IR"/>
          <w:color w:val="111111"/>
          <w:sz w:val="28"/>
          <w:szCs w:val="28"/>
          <w:rtl/>
        </w:rPr>
        <w:t xml:space="preserve">شهابی، محمود، ۱۲۸۲-۱۳۶۵ شمسی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36" w:name="pg20363_209608"/>
    <w:bookmarkEnd w:id="336"/>
    <w:p>
      <w:pPr>
        <w:pStyle w:val="BookText"/>
      </w:pPr>
      <w:r>
        <w:rPr>
          <w:rFonts w:ascii="Times New Roman" w:hAnsi="Times New Roman" w:eastAsia="Times New Roman" w:cs="Times New Roman"/>
          <w:lang w:val="en-US" w:bidi="en-US"/>
          <w:color w:val="111111"/>
          <w:sz w:val="28"/>
          <w:szCs w:val="28"/>
          <w:rtl/>
        </w:rPr>
        <w:t xml:space="preserve">šahābī, mahmūd (1903-1986)</w:t>
      </w:r>
    </w:p>
    <w:p>
      <w:pPr>
        <w:pStyle w:val="BookText"/>
      </w:pPr>
      <w:r>
        <w:rPr>
          <w:rFonts w:ascii="IRNazanin" w:hAnsi="IRNazanin" w:eastAsia="IRNazanin" w:cs="IRNazanin"/>
          <w:lang w:bidi="fa-IR"/>
          <w:color w:val="111111"/>
          <w:sz w:val="28"/>
          <w:szCs w:val="28"/>
          <w:rtl/>
        </w:rPr>
        <w:t xml:space="preserve">تهران؛ ملی؛ شماره نسخه: ۲۵۴۲۰</w:t>
      </w:r>
    </w:p>
    <w:p>
      <w:pPr>
        <w:pStyle w:val="BookText"/>
      </w:pPr>
      <w:r>
        <w:rPr>
          <w:rFonts w:ascii="IRNazanin" w:hAnsi="IRNazanin" w:eastAsia="IRNazanin" w:cs="IRNazanin"/>
          <w:lang w:bidi="fa-IR"/>
          <w:color w:val="111111"/>
          <w:sz w:val="28"/>
          <w:szCs w:val="28"/>
          <w:rtl/>
        </w:rPr>
        <w:t xml:space="preserve">نوشته های پراکنده (۳)؛ كاتب = مؤلف، بی تا؛ خریداری از</w:t>
      </w:r>
    </w:p>
    <w:p>
      <w:pPr>
        <w:pStyle w:val="BookText"/>
      </w:pPr>
      <w:r>
        <w:rPr>
          <w:rFonts w:ascii="IRNazanin" w:hAnsi="IRNazanin" w:eastAsia="IRNazanin" w:cs="IRNazanin"/>
          <w:lang w:bidi="fa-IR"/>
          <w:color w:val="111111"/>
          <w:sz w:val="28"/>
          <w:szCs w:val="28"/>
          <w:rtl/>
        </w:rPr>
        <w:t xml:space="preserve">کیومرث محمودی[ رایانه ]</w:t>
      </w:r>
    </w:p>
    <w:p>
      <w:pPr>
        <w:pStyle w:val="Heading3"/>
      </w:pPr>
      <w:bookmarkStart w:id="1873" w:name="_Toc1133"/>
      <w:r>
        <w:t>•پیشوای بزرگوار امام نهم (علیه السلام) / تاریخ / فارسی</w:t>
      </w:r>
      <w:bookmarkEnd w:id="1873"/>
    </w:p>
    <w:p>
      <w:pPr>
        <w:pStyle w:val="BookText"/>
      </w:pPr>
      <w:r>
        <w:rPr>
          <w:rFonts w:ascii="Times New Roman" w:hAnsi="Times New Roman" w:eastAsia="Times New Roman" w:cs="Times New Roman"/>
          <w:lang w:val="en-US" w:bidi="en-US"/>
          <w:color w:val="111111"/>
          <w:sz w:val="28"/>
          <w:szCs w:val="28"/>
          <w:rtl/>
        </w:rPr>
        <w:t xml:space="preserve">pīšvā-ye bozorgvār emām-e nohom</w:t>
      </w:r>
    </w:p>
    <w:p>
      <w:pPr>
        <w:pStyle w:val="BookText"/>
      </w:pPr>
      <w:r>
        <w:rPr>
          <w:rFonts w:ascii="IRNazanin" w:hAnsi="IRNazanin" w:eastAsia="IRNazanin" w:cs="IRNazanin"/>
          <w:lang w:bidi="fa-IR"/>
          <w:color w:val="111111"/>
          <w:sz w:val="28"/>
          <w:szCs w:val="28"/>
          <w:rtl/>
        </w:rPr>
        <w:t xml:space="preserve">تهیه شده توسط صندوق پس انداز بانک ملی ایران.</w:t>
      </w:r>
    </w:p>
    <w:p>
      <w:pPr>
        <w:pStyle w:val="BookText"/>
      </w:pPr>
      <w:r>
        <w:rPr>
          <w:rFonts w:ascii="IRNazanin" w:hAnsi="IRNazanin" w:eastAsia="IRNazanin" w:cs="IRNazanin"/>
          <w:lang w:bidi="fa-IR"/>
          <w:color w:val="111111"/>
          <w:sz w:val="28"/>
          <w:szCs w:val="28"/>
          <w:rtl/>
        </w:rPr>
        <w:t xml:space="preserve">مشهد؛ رضوی؛ شماره نسخه: ۱۲۴۴۶</w:t>
      </w:r>
    </w:p>
    <w:p>
      <w:pPr>
        <w:pStyle w:val="BookText"/>
      </w:pPr>
      <w:r>
        <w:rPr>
          <w:rFonts w:ascii="IRNazanin" w:hAnsi="IRNazanin" w:eastAsia="IRNazanin" w:cs="IRNazanin"/>
          <w:lang w:bidi="fa-IR"/>
          <w:color w:val="111111"/>
          <w:sz w:val="28"/>
          <w:szCs w:val="28"/>
          <w:rtl/>
        </w:rPr>
        <w:t xml:space="preserve">آغاز: بسمله، قال تاسع الائمه علیه آلاف الثناء و التحيه ... نهمین پیشوای دین مبین؛ انجام: وصلى الله على محمد و آله الطاهرين، بخطا حمد نجفی زنجانی خط: نسخ و نستعلیق، کا: حسین امیرخانی و احمد زنجانی، تا: ۱۳۵۳ق، جا: تهران، کاغذ: فرنگی، جلد: مشمع، ۱۶ سطر (۴۳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 اندازه: ۴۹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۳۴سم [الفبائی: ۹۶]</w:t>
      </w:r>
    </w:p>
    <w:p>
      <w:pPr>
        <w:pStyle w:val="Heading3"/>
      </w:pPr>
      <w:bookmarkStart w:id="1874" w:name="_Toc1134"/>
      <w:r>
        <w:t>•پیشه وران در ایران باستان / تاریخ ایران / فارسی</w:t>
      </w:r>
      <w:bookmarkEnd w:id="1874"/>
    </w:p>
    <w:p>
      <w:pPr>
        <w:pStyle w:val="BookText"/>
      </w:pPr>
      <w:r>
        <w:rPr>
          <w:rFonts w:ascii="Times New Roman" w:hAnsi="Times New Roman" w:eastAsia="Times New Roman" w:cs="Times New Roman"/>
          <w:lang w:val="en-US" w:bidi="en-US"/>
          <w:color w:val="111111"/>
          <w:sz w:val="28"/>
          <w:szCs w:val="28"/>
          <w:rtl/>
        </w:rPr>
        <w:t xml:space="preserve">pīše-varān dar īrān-e bāstān</w:t>
      </w:r>
    </w:p>
    <w:p>
      <w:pPr>
        <w:pStyle w:val="BookText"/>
      </w:pPr>
      <w:r>
        <w:rPr>
          <w:rFonts w:ascii="IRNazanin" w:hAnsi="IRNazanin" w:eastAsia="IRNazanin" w:cs="IRNazanin"/>
          <w:lang w:bidi="fa-IR"/>
          <w:color w:val="111111"/>
          <w:sz w:val="28"/>
          <w:szCs w:val="28"/>
          <w:rtl/>
        </w:rPr>
        <w:t xml:space="preserve">پورداود، ابراهیم، ۱۲۶۴-۱۳۴۷ شمسی</w:t>
      </w:r>
    </w:p>
    <w:p>
      <w:pPr>
        <w:pStyle w:val="BookText"/>
      </w:pPr>
      <w:r>
        <w:rPr>
          <w:rFonts w:ascii="Times New Roman" w:hAnsi="Times New Roman" w:eastAsia="Times New Roman" w:cs="Times New Roman"/>
          <w:lang w:val="en-US" w:bidi="en-US"/>
          <w:color w:val="111111"/>
          <w:sz w:val="28"/>
          <w:szCs w:val="28"/>
          <w:rtl/>
        </w:rPr>
        <w:t xml:space="preserve">pārdāvūd, ebrāhīm dāvod (1885-1968)</w:t>
      </w:r>
    </w:p>
    <w:p>
      <w:pPr>
        <w:pStyle w:val="BookText"/>
      </w:pPr>
      <w:r>
        <w:rPr>
          <w:rFonts w:ascii="IRNazanin" w:hAnsi="IRNazanin" w:eastAsia="IRNazanin" w:cs="IRNazanin"/>
          <w:lang w:bidi="fa-IR"/>
          <w:color w:val="111111"/>
          <w:sz w:val="28"/>
          <w:szCs w:val="28"/>
          <w:rtl/>
        </w:rPr>
        <w:t xml:space="preserve">تهران؛ ملی؛ شماره نسخه: ۱۹۱۹۵</w:t>
      </w:r>
    </w:p>
    <w:p>
      <w:pPr>
        <w:pStyle w:val="BookText"/>
      </w:pPr>
      <w:r>
        <w:rPr>
          <w:rFonts w:ascii="IRNazanin" w:hAnsi="IRNazanin" w:eastAsia="IRNazanin" w:cs="IRNazanin"/>
          <w:lang w:bidi="fa-IR"/>
          <w:color w:val="111111"/>
          <w:sz w:val="28"/>
          <w:szCs w:val="28"/>
          <w:rtl/>
        </w:rPr>
        <w:t xml:space="preserve">کا: ابراهیم پورداود، بی تا، ۶گ،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[رایانه]</w:t>
      </w:r>
    </w:p>
    <w:p>
      <w:pPr>
        <w:pStyle w:val="Heading3"/>
      </w:pPr>
      <w:bookmarkStart w:id="1875" w:name="_Toc1135"/>
      <w:r>
        <w:t>•پیشی چیز بر هست = وجود و ماهیت / منطق، فلسفه / فارسی</w:t>
      </w:r>
      <w:bookmarkEnd w:id="1875"/>
    </w:p>
    <w:p>
      <w:pPr>
        <w:pStyle w:val="BookText"/>
      </w:pPr>
      <w:r>
        <w:rPr>
          <w:rFonts w:ascii="Times New Roman" w:hAnsi="Times New Roman" w:eastAsia="Times New Roman" w:cs="Times New Roman"/>
          <w:lang w:val="en-US" w:bidi="en-US"/>
          <w:color w:val="111111"/>
          <w:sz w:val="28"/>
          <w:szCs w:val="28"/>
          <w:rtl/>
        </w:rPr>
        <w:t xml:space="preserve">pīšī-ye čīz bar hast = vojūd va māhīyat</w:t>
      </w:r>
    </w:p>
    <w:p>
      <w:pPr>
        <w:pStyle w:val="BookText"/>
      </w:pPr>
      <w:r>
        <w:rPr>
          <w:rFonts w:ascii="IRNazanin" w:hAnsi="IRNazanin" w:eastAsia="IRNazanin" w:cs="IRNazanin"/>
          <w:lang w:bidi="fa-IR"/>
          <w:color w:val="111111"/>
          <w:sz w:val="28"/>
          <w:szCs w:val="28"/>
          <w:rtl/>
        </w:rPr>
        <w:t xml:space="preserve">بابا افضل کاشانی، محمد بن حسین، -۶۶۷؟ قمری</w:t>
      </w:r>
    </w:p>
    <w:p>
      <w:pPr>
        <w:pStyle w:val="BookText"/>
      </w:pPr>
      <w:r>
        <w:rPr>
          <w:rFonts w:ascii="Times New Roman" w:hAnsi="Times New Roman" w:eastAsia="Times New Roman" w:cs="Times New Roman"/>
          <w:lang w:val="en-US" w:bidi="en-US"/>
          <w:color w:val="111111"/>
          <w:sz w:val="28"/>
          <w:szCs w:val="28"/>
          <w:rtl/>
        </w:rPr>
        <w:t xml:space="preserve">bābā afzal-e kāšānī, mohammad ebn-e hoseyn (- 1269)</w:t>
      </w:r>
    </w:p>
    <w:p>
      <w:pPr>
        <w:pStyle w:val="BookText"/>
      </w:pPr>
      <w:r>
        <w:rPr>
          <w:rFonts w:ascii="IRNazanin" w:hAnsi="IRNazanin" w:eastAsia="IRNazanin" w:cs="IRNazanin"/>
          <w:lang w:bidi="fa-IR"/>
          <w:color w:val="111111"/>
          <w:sz w:val="28"/>
          <w:szCs w:val="28"/>
          <w:rtl/>
        </w:rPr>
        <w:t xml:space="preserve">در باب تفاوت معنای الفاظ «چیز» («شیء») و «هست » («موجود») و اینکه معنی لفظ چیز عامتر از معنی لفظ موجود است.</w:t>
      </w:r>
    </w:p>
    <w:p>
      <w:pPr>
        <w:pStyle w:val="BookText"/>
      </w:pPr>
      <w:r>
        <w:rPr>
          <w:rFonts w:ascii="IRNazanin" w:hAnsi="IRNazanin" w:eastAsia="IRNazanin" w:cs="IRNazanin"/>
          <w:lang w:bidi="fa-IR"/>
          <w:color w:val="111111"/>
          <w:sz w:val="28"/>
          <w:szCs w:val="28"/>
          <w:rtl/>
        </w:rPr>
        <w:t xml:space="preserve">آغاز: بدانکه نخست لفظی که معنی وی بر همه معانی عام بود لفظ چیز و هست و موجود است. انجام: و نخست ترین چیزی که نادانستها را بوی توان یافت معنی لفظ شیء بود، و چون نخستین معلوم نبود باز پسین را نتوان دانست. و السلام. چاپ: در مصنفات افضل الدین محمد مرقی کاشانی، به تصحیح مجتبی مینوی و یحیی مهدوی (تهران، خوارزمی: ۱۳۶۶ (چاپ دوم)) (صص ۶۵۲-۶۴۷) [نسخه های منزوی ۸۶۳]</w:t>
      </w:r>
    </w:p>
    <w:p>
      <w:pPr>
        <w:pStyle w:val="BookText"/>
      </w:pPr>
      <w:r>
        <w:rPr>
          <w:rFonts w:ascii="IRNazanin" w:hAnsi="IRNazanin" w:eastAsia="IRNazanin" w:cs="IRNazanin"/>
          <w:lang w:bidi="fa-IR"/>
          <w:color w:val="111111"/>
          <w:sz w:val="28"/>
          <w:szCs w:val="28"/>
          <w:rtl/>
        </w:rPr>
        <w:t xml:space="preserve">۱. تهران، ملک، شماره نسخه: ۴۱۹۱/۲۱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۱۱؛ کاغذ: ترمه، ۳گ (۱۸۱ر - ۱۸۳پ)، ۱۷ سطر، اندازه: ۱۸/۸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۱۰/۶ سم [ف: ۷-۲۴۹]</w:t>
      </w:r>
    </w:p>
    <w:p>
      <w:pPr>
        <w:pStyle w:val="BookText"/>
      </w:pPr>
      <w:r>
        <w:rPr>
          <w:rFonts w:ascii="IRNazanin" w:hAnsi="IRNazanin" w:eastAsia="IRNazanin" w:cs="IRNazanin"/>
          <w:lang w:bidi="fa-IR"/>
          <w:color w:val="111111"/>
          <w:sz w:val="28"/>
          <w:szCs w:val="28"/>
          <w:rtl/>
        </w:rPr>
        <w:t xml:space="preserve">۲. تهران: مجلس؛ شماره نسخه: ۵۰۳۱/۹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خوب، کا: محمد على متخلص به عبرت نائینی، تا: دوشنبه ۱۳ ذیقعده ۱۳۴۷ق؛ کاغذ: فرنگی، جلد: تیماج مشکی ضربی، ۵ص (۱۲-۱۶)، ۱۸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۳۴۰-۱۴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دانشگاه، شماره نسخه: ۲۲۶۷/۶/۱۱</w:t>
      </w:r>
    </w:p>
    <w:p>
      <w:pPr>
        <w:pStyle w:val="BookText"/>
      </w:pPr>
      <w:r>
        <w:rPr>
          <w:rFonts w:ascii="IRNazanin" w:hAnsi="IRNazanin" w:eastAsia="IRNazanin" w:cs="IRNazanin"/>
          <w:lang w:bidi="fa-IR"/>
          <w:color w:val="111111"/>
          <w:sz w:val="28"/>
          <w:szCs w:val="28"/>
          <w:rtl/>
        </w:rPr>
        <w:t xml:space="preserve">شماره ۲۲ چاپی؛ خط: نستعلیق، بی کا، بی تا؛ در هامش جایی بین اپور، کاغذ: فرنگی، جلد: تیماج تریاکی گرد، اندازه: ۱۸/۵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۲۸/۵سم [ف: ۹-۹۱۸]</w:t>
      </w:r>
    </w:p>
    <w:p>
      <w:pPr>
        <w:pStyle w:val="BookText"/>
      </w:pPr>
      <w:r>
        <w:rPr>
          <w:rFonts w:ascii="IRNazanin" w:hAnsi="IRNazanin" w:eastAsia="IRNazanin" w:cs="IRNazanin"/>
          <w:lang w:bidi="fa-IR"/>
          <w:color w:val="111111"/>
          <w:sz w:val="28"/>
          <w:szCs w:val="28"/>
          <w:rtl/>
        </w:rPr>
        <w:t xml:space="preserve">۴. تهران، دانشگاه؛ شماره نسخه: ۴۲۸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بی تا؛ ۳گ (۸ر۱۰ر) [ف: ۳-۳۲۸]</w:t>
      </w:r>
    </w:p>
    <w:p>
      <w:pPr>
        <w:pStyle w:val="BookText"/>
      </w:pPr>
      <w:r>
        <w:rPr>
          <w:rFonts w:ascii="IRNazanin" w:hAnsi="IRNazanin" w:eastAsia="IRNazanin" w:cs="IRNazanin"/>
          <w:lang w:bidi="fa-IR"/>
          <w:color w:val="111111"/>
          <w:sz w:val="28"/>
          <w:szCs w:val="28"/>
          <w:rtl/>
        </w:rPr>
        <w:t xml:space="preserve">۵. تهران؛ سپهسالار؛ شماره نسخه: ۲۹۱۲/۴۷</w:t>
      </w:r>
    </w:p>
    <w:p>
      <w:pPr>
        <w:pStyle w:val="BookText"/>
      </w:pPr>
      <w:r>
        <w:rPr>
          <w:rFonts w:ascii="IRNazanin" w:hAnsi="IRNazanin" w:eastAsia="IRNazanin" w:cs="IRNazanin"/>
          <w:lang w:bidi="fa-IR"/>
          <w:color w:val="111111"/>
          <w:sz w:val="28"/>
          <w:szCs w:val="28"/>
          <w:rtl/>
        </w:rPr>
        <w:t xml:space="preserve">بی کا، بی تا؛ اگ (۱۴۴ر) [ف: ۵-۴۶۱</w:t>
      </w:r>
    </w:p>
    <w:p>
      <w:pPr>
        <w:pStyle w:val="Heading3"/>
      </w:pPr>
      <w:bookmarkStart w:id="1876" w:name="_Toc1136"/>
      <w:r>
        <w:t>•پیکره روسای مدرسه سیاسی و دانشکده حقوق دانشگاه تهران / عکس</w:t>
      </w:r>
      <w:bookmarkEnd w:id="1876"/>
    </w:p>
    <w:p>
      <w:pPr>
        <w:pStyle w:val="BookText"/>
      </w:pPr>
      <w:r>
        <w:rPr>
          <w:rFonts w:ascii="Times New Roman" w:hAnsi="Times New Roman" w:eastAsia="Times New Roman" w:cs="Times New Roman"/>
          <w:lang w:val="en-US" w:bidi="en-US"/>
          <w:color w:val="111111"/>
          <w:sz w:val="28"/>
          <w:szCs w:val="28"/>
          <w:rtl/>
        </w:rPr>
        <w:t xml:space="preserve">peykare-ye ro’asā-ye madrese-ye sīyāsī va dāneškade ye hoqūq-e dānešgāh-e tehrān</w:t>
      </w:r>
    </w:p>
    <w:p>
      <w:pPr>
        <w:pStyle w:val="BookText"/>
      </w:pPr>
      <w:r>
        <w:rPr>
          <w:rFonts w:ascii="IRNazanin" w:hAnsi="IRNazanin" w:eastAsia="IRNazanin" w:cs="IRNazanin"/>
          <w:lang w:bidi="fa-IR"/>
          <w:color w:val="111111"/>
          <w:sz w:val="28"/>
          <w:szCs w:val="28"/>
          <w:rtl/>
        </w:rPr>
        <w:t xml:space="preserve">عبارت از: 1- عبدالحسین شیبانی رئیس مدرسه علوم سیاسی (۱۲۹۹- ۱۲۹۰)؛ ۲- محمد علی فروغی ذکاء الملك رئيس مدرسه سیاسی (۱۲۸۷-۱۲۸۹)؛ 3- علی پرتو اعظم رئيس مدرسه عالی علوم سیاسی (۱۲۸۹-۱۲۹۰)؛ ۴- مصطفی عدل منصور السلطنه (۱۳۲۰-۱۳۲۱)؛ ۵- میرزا عبدالكریم محقق الدوله؛ ۶۔ دکتر قاسم زاده (۱۰ آذر ۱۳۲۱ خ -۱۳۲۳ خ)؛ ۷- عبدالحمید زنگنه (۱۳۲۵-۱۳۲۹)؛ ۸- علی اکبر دهخدا (۱۲۹۹-۱۳۲۰)؛ ۹ محمد مظاهر صدیق حضرت (چند روزی در ۱۳۲۱)؛ ۱۰- حسن افشار (۱۳۴۲ - ۱۳۴۲)؛ ۱۱- موسی عمید (۱۳۳۰- ۱۳۴۲)؛ ۱۲ حسن پیرنیا رئیس مدرسه سیاسی (آذر ۱۲۷۸-۱۲۸۳)؛ ۱۳ حسین پیرنیا (۱۲۸۳-۱۲۸۷)؛ ۱۴- محمد علی هدایتی (۱۳۴۵خ ۱۳۴۷)؛ ۱۵- عکس دسته جمعی یازده نفر: مخبر الدوله و ممتاز الدوله و دیگران.</w:t>
      </w:r>
    </w:p>
    <w:p>
      <w:pPr>
        <w:pStyle w:val="BookText"/>
      </w:pPr>
      <w:r>
        <w:rPr>
          <w:rFonts w:ascii="IRNazanin" w:hAnsi="IRNazanin" w:eastAsia="IRNazanin" w:cs="IRNazanin"/>
          <w:lang w:bidi="fa-IR"/>
          <w:color w:val="111111"/>
          <w:sz w:val="28"/>
          <w:szCs w:val="28"/>
          <w:rtl/>
        </w:rPr>
        <w:t xml:space="preserve">تهران؛ دانشگاه؛ شماره نسخه: ۶۹۲۸-عکس</w:t>
      </w:r>
    </w:p>
    <w:p>
      <w:pPr>
        <w:pStyle w:val="BookText"/>
      </w:pPr>
      <w:r>
        <w:rPr>
          <w:rFonts w:ascii="IRNazanin" w:hAnsi="IRNazanin" w:eastAsia="IRNazanin" w:cs="IRNazanin"/>
          <w:lang w:bidi="fa-IR"/>
          <w:color w:val="111111"/>
          <w:sz w:val="28"/>
          <w:szCs w:val="28"/>
          <w:rtl/>
        </w:rPr>
        <w:t xml:space="preserve">بی کا، بیتا (فیلمها ف: ۳-۲۶۵]</w:t>
      </w:r>
    </w:p>
    <w:p>
      <w:pPr>
        <w:pStyle w:val="Heading3"/>
      </w:pPr>
      <w:bookmarkStart w:id="1877" w:name="_Toc1137"/>
      <w:r>
        <w:t>•پیل و پشه / شعر / فارسی</w:t>
      </w:r>
      <w:bookmarkEnd w:id="1877"/>
    </w:p>
    <w:p>
      <w:pPr>
        <w:pStyle w:val="BookText"/>
      </w:pPr>
      <w:r>
        <w:rPr>
          <w:rFonts w:ascii="Times New Roman" w:hAnsi="Times New Roman" w:eastAsia="Times New Roman" w:cs="Times New Roman"/>
          <w:lang w:val="en-US" w:bidi="en-US"/>
          <w:color w:val="111111"/>
          <w:sz w:val="28"/>
          <w:szCs w:val="28"/>
          <w:rtl/>
        </w:rPr>
        <w:t xml:space="preserve">pīl va paše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37" w:name="pg20363_209609"/>
    <w:bookmarkEnd w:id="337"/>
    <w:p>
      <w:pPr>
        <w:pStyle w:val="BookText"/>
      </w:pPr>
      <w:r>
        <w:rPr>
          <w:rFonts w:ascii="IRNazanin" w:hAnsi="IRNazanin" w:eastAsia="IRNazanin" w:cs="IRNazanin"/>
          <w:lang w:bidi="fa-IR"/>
          <w:color w:val="111111"/>
          <w:sz w:val="28"/>
          <w:szCs w:val="28"/>
          <w:rtl/>
        </w:rPr>
        <w:t xml:space="preserve">کشوری</w:t>
      </w:r>
    </w:p>
    <w:p>
      <w:pPr>
        <w:pStyle w:val="BookText"/>
      </w:pPr>
      <w:r>
        <w:rPr>
          <w:rFonts w:ascii="Times New Roman" w:hAnsi="Times New Roman" w:eastAsia="Times New Roman" w:cs="Times New Roman"/>
          <w:lang w:val="en-US" w:bidi="en-US"/>
          <w:color w:val="111111"/>
          <w:sz w:val="28"/>
          <w:szCs w:val="28"/>
          <w:rtl/>
        </w:rPr>
        <w:t xml:space="preserve">kešvarī</w:t>
      </w:r>
    </w:p>
    <w:p>
      <w:pPr>
        <w:pStyle w:val="BookText"/>
      </w:pPr>
      <w:r>
        <w:rPr>
          <w:rFonts w:ascii="IRNazanin" w:hAnsi="IRNazanin" w:eastAsia="IRNazanin" w:cs="IRNazanin"/>
          <w:lang w:bidi="fa-IR"/>
          <w:color w:val="111111"/>
          <w:sz w:val="28"/>
          <w:szCs w:val="28"/>
          <w:rtl/>
        </w:rPr>
        <w:t xml:space="preserve">قصیده ای است نونيه در۶۲ بیت در مدح امیر مؤمنان حضرت علی بن ابیطالب(علیه السلام) با عنوان «پیل و پشه» و در واقع، آن حضرت وصفات بزرگ او را به پیل و مابقی را به پشه نموده. در بیشترین مصرعها، کلمه پیل و پشه به کار رفته، «علی پیل مهابت که پشه غضبش***چو پای شکسته است پیل را گردن / بمدحت تو شها پیل و پشه گویانند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منم که مانده چو پیل و چه پشه ام الكن / تو زنده پیلی و من بنده کشوری پشه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چو پیل پشه بر این سایه ضعیف افکن». در فرهنگ سخنوران از فردی به نام کشوری اردوبادی یا رودباری قزوینی از شاعران قرن دهم هجری و نعمت الله کشوری دیلمقانی یاد شده است. [الذريعة ۹۱۱/۹ و ۹۱۲؛ فرهنگ سخنوران ۴۸۵؛ نسخه های منزوی ۲۴۹۱/۳ و ۲۴۹۲ ]</w:t>
      </w:r>
    </w:p>
    <w:p>
      <w:pPr>
        <w:pStyle w:val="BookText"/>
      </w:pPr>
      <w:r>
        <w:rPr>
          <w:rFonts w:ascii="IRNazanin" w:hAnsi="IRNazanin" w:eastAsia="IRNazanin" w:cs="IRNazanin"/>
          <w:lang w:bidi="fa-IR"/>
          <w:color w:val="111111"/>
          <w:sz w:val="28"/>
          <w:szCs w:val="28"/>
          <w:rtl/>
        </w:rPr>
        <w:t xml:space="preserve">قم؛ مرعشی؛ شماره نسخه:۱۳۴۹۹/۱۲</w:t>
      </w:r>
    </w:p>
    <w:p>
      <w:pPr>
        <w:pStyle w:val="BookText"/>
      </w:pPr>
      <w:r>
        <w:rPr>
          <w:rFonts w:ascii="IRNazanin" w:hAnsi="IRNazanin" w:eastAsia="IRNazanin" w:cs="IRNazanin"/>
          <w:lang w:bidi="fa-IR"/>
          <w:color w:val="111111"/>
          <w:sz w:val="28"/>
          <w:szCs w:val="28"/>
          <w:rtl/>
        </w:rPr>
        <w:t xml:space="preserve">آغاز: تنم چو پشه ضعیف است و پیل مرگ دمن</w:t>
      </w:r>
      <w:r>
        <w:rPr>
          <w:rFonts w:ascii="IRNazanin" w:hAnsi="IRNazanin" w:eastAsia="IRNazanin" w:cs="IRNazanin"/>
          <w:lang w:bidi="fa-IR"/>
          <w:color w:val="111111"/>
          <w:sz w:val="28"/>
          <w:szCs w:val="28"/>
          <w:b w:val="1"/>
          <w:bCs w:val="1"/>
          <w:i w:val="1"/>
          <w:iCs w:val="1"/>
          <w:rtl/>
        </w:rPr>
        <w:t xml:space="preserve">چون پیل کرده بدین ... ضعف بدن؛ انجام: تو زنده پیلی و من بنده کشوری پشه</w:t>
      </w:r>
      <w:r>
        <w:rPr>
          <w:rFonts w:ascii="IRNazanin" w:hAnsi="IRNazanin" w:eastAsia="IRNazanin" w:cs="IRNazanin"/>
          <w:lang w:bidi="fa-IR"/>
          <w:color w:val="111111"/>
          <w:sz w:val="28"/>
          <w:szCs w:val="28"/>
          <w:rtl/>
        </w:rPr>
        <w:t xml:space="preserve"> چو پیل پشه بر این سایه ضعیف افكن خط: شکسته نستعلیق، کا: محمد معین بن عبدالرزاق کاشانی، تا: نیمه نخست قرن ۱۳؛ کاغذ: فرنگی، ۳گ (۴۴-۴۶)، ۱۲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سم [ف: ۳۴-۲۴۶]</w:t>
      </w:r>
    </w:p>
    <w:p>
      <w:pPr>
        <w:pStyle w:val="Heading3"/>
      </w:pPr>
      <w:bookmarkStart w:id="1878" w:name="_Toc1138"/>
      <w:r>
        <w:t>•پیمان بازرگانی / اسناد / فارسی</w:t>
      </w:r>
      <w:bookmarkEnd w:id="1878"/>
    </w:p>
    <w:p>
      <w:pPr>
        <w:pStyle w:val="BookText"/>
      </w:pPr>
      <w:r>
        <w:rPr>
          <w:rFonts w:ascii="Times New Roman" w:hAnsi="Times New Roman" w:eastAsia="Times New Roman" w:cs="Times New Roman"/>
          <w:lang w:val="en-US" w:bidi="en-US"/>
          <w:color w:val="111111"/>
          <w:sz w:val="28"/>
          <w:szCs w:val="28"/>
          <w:rtl/>
        </w:rPr>
        <w:t xml:space="preserve">peymān-e bāzargānī</w:t>
      </w:r>
    </w:p>
    <w:p>
      <w:pPr>
        <w:pStyle w:val="BookText"/>
      </w:pPr>
      <w:r>
        <w:rPr>
          <w:rFonts w:ascii="IRNazanin" w:hAnsi="IRNazanin" w:eastAsia="IRNazanin" w:cs="IRNazanin"/>
          <w:lang w:bidi="fa-IR"/>
          <w:color w:val="111111"/>
          <w:sz w:val="28"/>
          <w:szCs w:val="28"/>
          <w:rtl/>
        </w:rPr>
        <w:t xml:space="preserve">سندهای ۱۹۰۸ تا ۱۷۱۵ و سندهای سال ۱۸۰۸، با فهرست آنها، در آن تاریخ ۱۳۲۳ دیده می شود.</w:t>
      </w:r>
    </w:p>
    <w:p>
      <w:pPr>
        <w:pStyle w:val="BookText"/>
      </w:pPr>
      <w:r>
        <w:rPr>
          <w:rFonts w:ascii="IRNazanin" w:hAnsi="IRNazanin" w:eastAsia="IRNazanin" w:cs="IRNazanin"/>
          <w:lang w:bidi="fa-IR"/>
          <w:color w:val="111111"/>
          <w:sz w:val="28"/>
          <w:szCs w:val="28"/>
          <w:rtl/>
        </w:rPr>
        <w:t xml:space="preserve">تهران، دانشگاه؛ شماره نسخه: ۴۵۱۹-ف</w:t>
      </w:r>
    </w:p>
    <w:p>
      <w:pPr>
        <w:pStyle w:val="BookText"/>
      </w:pPr>
      <w:r>
        <w:rPr>
          <w:rFonts w:ascii="IRNazanin" w:hAnsi="IRNazanin" w:eastAsia="IRNazanin" w:cs="IRNazanin"/>
          <w:lang w:bidi="fa-IR"/>
          <w:color w:val="111111"/>
          <w:sz w:val="28"/>
          <w:szCs w:val="28"/>
          <w:rtl/>
        </w:rPr>
        <w:t xml:space="preserve">نسخه اصل: مونیخ ۲۳۴ (فهرست اومر ۳/۱ ص ۸۲)؛ بی کا، بی تا؛ ۵۵گ [فیلمها ف: ۳-۶۷]</w:t>
      </w:r>
    </w:p>
    <w:p>
      <w:pPr>
        <w:pStyle w:val="BookText"/>
      </w:pPr>
      <w:r>
        <w:rPr>
          <w:rFonts w:ascii="IRNazanin" w:hAnsi="IRNazanin" w:eastAsia="IRNazanin" w:cs="IRNazanin"/>
          <w:lang w:bidi="fa-IR"/>
          <w:color w:val="111111"/>
          <w:sz w:val="28"/>
          <w:szCs w:val="28"/>
          <w:rtl/>
        </w:rPr>
        <w:t xml:space="preserve">← پیمان بازرگانی درباره ورشکستگی اتباع ایران و روس← عهدنامه ایران و روس (قرارنامه افلاس)</w:t>
      </w:r>
    </w:p>
    <w:p>
      <w:pPr>
        <w:pStyle w:val="BookText"/>
      </w:pPr>
      <w:r>
        <w:rPr>
          <w:rFonts w:ascii="IRNazanin" w:hAnsi="IRNazanin" w:eastAsia="IRNazanin" w:cs="IRNazanin"/>
          <w:lang w:bidi="fa-IR"/>
          <w:color w:val="111111"/>
          <w:sz w:val="28"/>
          <w:szCs w:val="28"/>
          <w:rtl/>
        </w:rPr>
        <w:t xml:space="preserve">← پیمان بازرگانی میان ایران و روس ← عهدنامه ایران و روس</w:t>
      </w:r>
    </w:p>
    <w:p>
      <w:pPr>
        <w:pStyle w:val="BookText"/>
      </w:pPr>
      <w:r>
        <w:rPr>
          <w:rFonts w:ascii="IRNazanin" w:hAnsi="IRNazanin" w:eastAsia="IRNazanin" w:cs="IRNazanin"/>
          <w:lang w:bidi="fa-IR"/>
          <w:color w:val="111111"/>
          <w:sz w:val="28"/>
          <w:szCs w:val="28"/>
          <w:rtl/>
        </w:rPr>
        <w:t xml:space="preserve">← پیمان ترکمانچای ← عهدنامه ترکمانچای</w:t>
      </w:r>
    </w:p>
    <w:p>
      <w:pPr>
        <w:pStyle w:val="BookText"/>
      </w:pPr>
      <w:r>
        <w:rPr>
          <w:rFonts w:ascii="IRNazanin" w:hAnsi="IRNazanin" w:eastAsia="IRNazanin" w:cs="IRNazanin"/>
          <w:lang w:bidi="fa-IR"/>
          <w:color w:val="111111"/>
          <w:sz w:val="28"/>
          <w:szCs w:val="28"/>
          <w:rtl/>
        </w:rPr>
        <w:t xml:space="preserve">←پیمان تشریفات سفیران ایران و روس← عهدنامه ایران و روس (تشريفات)</w:t>
      </w:r>
    </w:p>
    <w:p>
      <w:pPr>
        <w:pStyle w:val="BookText"/>
      </w:pPr>
      <w:r>
        <w:rPr>
          <w:rFonts w:ascii="IRNazanin" w:hAnsi="IRNazanin" w:eastAsia="IRNazanin" w:cs="IRNazanin"/>
          <w:lang w:bidi="fa-IR"/>
          <w:color w:val="111111"/>
          <w:sz w:val="28"/>
          <w:szCs w:val="28"/>
          <w:rtl/>
        </w:rPr>
        <w:t xml:space="preserve">← پیمان چین با انگلیس و فرانسه ← عهدنامه چین با انگلیس و فرانسه</w:t>
      </w:r>
    </w:p>
    <w:p>
      <w:pPr>
        <w:pStyle w:val="BookText"/>
      </w:pPr>
      <w:r>
        <w:rPr>
          <w:rFonts w:ascii="IRNazanin" w:hAnsi="IRNazanin" w:eastAsia="IRNazanin" w:cs="IRNazanin"/>
          <w:lang w:bidi="fa-IR"/>
          <w:color w:val="111111"/>
          <w:sz w:val="28"/>
          <w:szCs w:val="28"/>
          <w:rtl/>
        </w:rPr>
        <w:t xml:space="preserve">←پیمان گلستان ← عهدنامه گلستان</w:t>
      </w:r>
    </w:p>
    <w:p>
      <w:pPr>
        <w:pStyle w:val="BookText"/>
      </w:pPr>
      <w:r>
        <w:rPr>
          <w:rFonts w:ascii="IRNazanin" w:hAnsi="IRNazanin" w:eastAsia="IRNazanin" w:cs="IRNazanin"/>
          <w:lang w:bidi="fa-IR"/>
          <w:color w:val="111111"/>
          <w:sz w:val="28"/>
          <w:szCs w:val="28"/>
          <w:rtl/>
        </w:rPr>
        <w:t xml:space="preserve">←پیمان نادرشاه و سلطان محمود عثمانی← عهدنامه ایران و عثمانی (میان نادرشاه و سلطان محمود)</w:t>
      </w:r>
    </w:p>
    <w:p>
      <w:pPr>
        <w:pStyle w:val="BookText"/>
      </w:pPr>
      <w:r>
        <w:rPr>
          <w:rFonts w:ascii="IRNazanin" w:hAnsi="IRNazanin" w:eastAsia="IRNazanin" w:cs="IRNazanin"/>
          <w:lang w:bidi="fa-IR"/>
          <w:color w:val="111111"/>
          <w:sz w:val="28"/>
          <w:szCs w:val="28"/>
          <w:rtl/>
        </w:rPr>
        <w:t xml:space="preserve">← پیمان نامه پلژیک در استانبول ← عهدنامه بلژیک در استانبول</w:t>
      </w:r>
    </w:p>
    <w:p>
      <w:pPr>
        <w:pStyle w:val="Heading3"/>
      </w:pPr>
      <w:bookmarkStart w:id="1879" w:name="_Toc1139"/>
      <w:r>
        <w:t>• پیوستن قمر در بروج اثنی عشریه / هیئت / فارسی</w:t>
      </w:r>
      <w:bookmarkEnd w:id="1879"/>
    </w:p>
    <w:p>
      <w:pPr>
        <w:pStyle w:val="BookText"/>
      </w:pPr>
      <w:r>
        <w:rPr>
          <w:rFonts w:ascii="Times New Roman" w:hAnsi="Times New Roman" w:eastAsia="Times New Roman" w:cs="Times New Roman"/>
          <w:lang w:val="en-US" w:bidi="en-US"/>
          <w:color w:val="111111"/>
          <w:sz w:val="28"/>
          <w:szCs w:val="28"/>
          <w:rtl/>
        </w:rPr>
        <w:t xml:space="preserve">peyvastan-e qamar dar borūj-e esnā ‘ašarīye</w:t>
      </w:r>
    </w:p>
    <w:p>
      <w:pPr>
        <w:pStyle w:val="BookText"/>
      </w:pPr>
      <w:r>
        <w:rPr>
          <w:rFonts w:ascii="IRNazanin" w:hAnsi="IRNazanin" w:eastAsia="IRNazanin" w:cs="IRNazanin"/>
          <w:lang w:bidi="fa-IR"/>
          <w:color w:val="111111"/>
          <w:sz w:val="28"/>
          <w:szCs w:val="28"/>
          <w:rtl/>
        </w:rPr>
        <w:t xml:space="preserve">تهران؛ ملک؛ شماره نسخه: ۳۲۲۳/۳</w:t>
      </w:r>
    </w:p>
    <w:p>
      <w:pPr>
        <w:pStyle w:val="BookText"/>
      </w:pPr>
      <w:r>
        <w:rPr>
          <w:rFonts w:ascii="IRNazanin" w:hAnsi="IRNazanin" w:eastAsia="IRNazanin" w:cs="IRNazanin"/>
          <w:lang w:bidi="fa-IR"/>
          <w:color w:val="111111"/>
          <w:sz w:val="28"/>
          <w:szCs w:val="28"/>
          <w:rtl/>
        </w:rPr>
        <w:t xml:space="preserve">خط: نسخ، بی کا، تا: ۱۱۱۰ق [ف: ۶-۳۰۸)</w:t>
      </w:r>
    </w:p>
    <w:p>
      <w:pPr>
        <w:pStyle w:val="Heading3"/>
      </w:pPr>
      <w:bookmarkStart w:id="1880" w:name="_Toc1140"/>
      <w:r>
        <w:t>• پیوستن مشتری به زحل / هیئت / فارسی</w:t>
      </w:r>
      <w:bookmarkEnd w:id="1880"/>
    </w:p>
    <w:p>
      <w:pPr>
        <w:pStyle w:val="BookText"/>
      </w:pPr>
      <w:r>
        <w:rPr>
          <w:rFonts w:ascii="Times New Roman" w:hAnsi="Times New Roman" w:eastAsia="Times New Roman" w:cs="Times New Roman"/>
          <w:lang w:val="en-US" w:bidi="en-US"/>
          <w:color w:val="111111"/>
          <w:sz w:val="28"/>
          <w:szCs w:val="28"/>
          <w:rtl/>
        </w:rPr>
        <w:t xml:space="preserve">peyvastan-e moštarī be zohal</w:t>
      </w:r>
    </w:p>
    <w:p>
      <w:pPr>
        <w:pStyle w:val="BookText"/>
      </w:pPr>
      <w:r>
        <w:rPr>
          <w:rFonts w:ascii="IRNazanin" w:hAnsi="IRNazanin" w:eastAsia="IRNazanin" w:cs="IRNazanin"/>
          <w:lang w:bidi="fa-IR"/>
          <w:color w:val="111111"/>
          <w:sz w:val="28"/>
          <w:szCs w:val="28"/>
          <w:rtl/>
        </w:rPr>
        <w:t xml:space="preserve">تهران؛ مجلس؛ شماره نسخه: ۸۵۰/۳</w:t>
      </w:r>
    </w:p>
    <w:p>
      <w:pPr>
        <w:pStyle w:val="BookText"/>
      </w:pPr>
      <w:r>
        <w:rPr>
          <w:rFonts w:ascii="IRNazanin" w:hAnsi="IRNazanin" w:eastAsia="IRNazanin" w:cs="IRNazanin"/>
          <w:lang w:bidi="fa-IR"/>
          <w:color w:val="111111"/>
          <w:sz w:val="28"/>
          <w:szCs w:val="28"/>
          <w:rtl/>
        </w:rPr>
        <w:t xml:space="preserve">خط: نستعلیق، بی کا، تا: قرن ۹، کاغذ: سفید، جلد: تیماج حنایی ضربی یک لا، ۷ص</w:t>
      </w:r>
    </w:p>
    <w:p>
      <w:pPr>
        <w:pStyle w:val="BookText"/>
      </w:pPr>
      <w:r>
        <w:rPr>
          <w:rFonts w:ascii="IRNazanin" w:hAnsi="IRNazanin" w:eastAsia="IRNazanin" w:cs="IRNazanin"/>
          <w:lang w:bidi="fa-IR"/>
          <w:color w:val="111111"/>
          <w:sz w:val="28"/>
          <w:szCs w:val="28"/>
          <w:rtl/>
        </w:rPr>
        <w:t xml:space="preserve">(۶۴-۷۰)، ابعاد متن: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[سنا: ف: ۲-۷۵]</w:t>
      </w:r>
    </w:p>
    <w:p>
      <w:pPr>
        <w:pStyle w:val="Heading3"/>
      </w:pPr>
      <w:bookmarkStart w:id="1881" w:name="_Toc1141"/>
      <w:r>
        <w:t>• پیوستن وجود جسمانی به وجود روحانی / فلسفه / فارسی</w:t>
      </w:r>
      <w:bookmarkEnd w:id="1881"/>
    </w:p>
    <w:p>
      <w:pPr>
        <w:pStyle w:val="BookText"/>
      </w:pPr>
      <w:r>
        <w:rPr>
          <w:rFonts w:ascii="Times New Roman" w:hAnsi="Times New Roman" w:eastAsia="Times New Roman" w:cs="Times New Roman"/>
          <w:lang w:val="en-US" w:bidi="en-US"/>
          <w:color w:val="111111"/>
          <w:sz w:val="28"/>
          <w:szCs w:val="28"/>
          <w:rtl/>
        </w:rPr>
        <w:t xml:space="preserve">peyvastan-e vojūd-e jesmānī be vojūd-e rowhānī</w:t>
      </w:r>
    </w:p>
    <w:p>
      <w:pPr>
        <w:pStyle w:val="BookText"/>
      </w:pPr>
      <w:r>
        <w:rPr>
          <w:rFonts w:ascii="IRNazanin" w:hAnsi="IRNazanin" w:eastAsia="IRNazanin" w:cs="IRNazanin"/>
          <w:lang w:bidi="fa-IR"/>
          <w:color w:val="111111"/>
          <w:sz w:val="28"/>
          <w:szCs w:val="28"/>
          <w:rtl/>
        </w:rPr>
        <w:t xml:space="preserve">بابا افضل کاشانی، محمد بن حسین، -۶۶۷؟ قمری</w:t>
      </w:r>
    </w:p>
    <w:p>
      <w:pPr>
        <w:pStyle w:val="BookText"/>
      </w:pPr>
      <w:r>
        <w:rPr>
          <w:rFonts w:ascii="Times New Roman" w:hAnsi="Times New Roman" w:eastAsia="Times New Roman" w:cs="Times New Roman"/>
          <w:lang w:val="en-US" w:bidi="en-US"/>
          <w:color w:val="111111"/>
          <w:sz w:val="28"/>
          <w:szCs w:val="28"/>
          <w:rtl/>
        </w:rPr>
        <w:t xml:space="preserve">bābā afzal-e kāšānī, mohammad ebn-e hoseyn (- 1269)</w:t>
      </w:r>
    </w:p>
    <w:p>
      <w:pPr>
        <w:pStyle w:val="BookText"/>
      </w:pPr>
      <w:r>
        <w:rPr>
          <w:rFonts w:ascii="IRNazanin" w:hAnsi="IRNazanin" w:eastAsia="IRNazanin" w:cs="IRNazanin"/>
          <w:lang w:bidi="fa-IR"/>
          <w:color w:val="111111"/>
          <w:sz w:val="28"/>
          <w:szCs w:val="28"/>
          <w:rtl/>
        </w:rPr>
        <w:t xml:space="preserve">گفتاری کوتاه در باب اینکه چگونه موجود با طی مراتب جسم، طبع، نفس و عقل به وجود روحانی می پیوندد. آغاز: موجود یا آگه بود یا نه. آنچه نه آگه بود پایه جسم است و مرتبه طبع انجام: وجود جسمانی پوشیده برخیزد و بوجود روحانی روشن پیوندد و پیدا شود. و السلام علی من اتبع الهدی. چاپ: در مصنفات افضل الدین محمد مرقی کاشانی، به تصحیح مجتبی مینوی و یحیی مهدوی (تهران، خوارزمی: ۱۳۶۶ (چاپ دوم) (ص ۶۳۸)</w:t>
      </w:r>
    </w:p>
    <w:p>
      <w:pPr>
        <w:pStyle w:val="BookText"/>
      </w:pPr>
      <w:r>
        <w:rPr>
          <w:rFonts w:ascii="IRNazanin" w:hAnsi="IRNazanin" w:eastAsia="IRNazanin" w:cs="IRNazanin"/>
          <w:lang w:bidi="fa-IR"/>
          <w:color w:val="111111"/>
          <w:sz w:val="28"/>
          <w:szCs w:val="28"/>
          <w:rtl/>
        </w:rPr>
        <w:t xml:space="preserve">[دنا ۶۵۲/۲ ]</w:t>
      </w:r>
    </w:p>
    <w:p>
      <w:pPr>
        <w:pStyle w:val="BookText"/>
      </w:pPr>
      <w:r>
        <w:rPr>
          <w:rFonts w:ascii="IRNazanin" w:hAnsi="IRNazanin" w:eastAsia="IRNazanin" w:cs="IRNazanin"/>
          <w:lang w:bidi="fa-IR"/>
          <w:color w:val="111111"/>
          <w:sz w:val="28"/>
          <w:szCs w:val="28"/>
          <w:rtl/>
        </w:rPr>
        <w:t xml:space="preserve">تهران؛ دانشگاه؛ شماره نسخه: ۲۲۶۷/۶/۱۳</w:t>
      </w:r>
    </w:p>
    <w:p>
      <w:pPr>
        <w:pStyle w:val="BookText"/>
      </w:pPr>
      <w:r>
        <w:rPr>
          <w:rFonts w:ascii="IRNazanin" w:hAnsi="IRNazanin" w:eastAsia="IRNazanin" w:cs="IRNazanin"/>
          <w:lang w:bidi="fa-IR"/>
          <w:color w:val="111111"/>
          <w:sz w:val="28"/>
          <w:szCs w:val="28"/>
          <w:rtl/>
        </w:rPr>
        <w:t xml:space="preserve">شماره ۱۴ چاپی؛ خط: نستعلیق، بی کا، بی تا، کاغذ: فرنگی، جلد: تیماج تریاکی گرد، در هامش جایی بین ۱۱پ -۱۴ر، اندازه: ۱۸۷۵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۲۸/۵سم [ف: ۹-۹۱۸]</w:t>
      </w:r>
    </w:p>
    <w:p>
      <w:pPr>
        <w:pStyle w:val="Heading3"/>
      </w:pPr>
      <w:bookmarkStart w:id="1882" w:name="_Toc1142"/>
      <w:r>
        <w:t>• پیوند / کشاورزی / فارسی</w:t>
      </w:r>
      <w:bookmarkEnd w:id="1882"/>
    </w:p>
    <w:p>
      <w:pPr>
        <w:pStyle w:val="BookText"/>
      </w:pPr>
      <w:r>
        <w:rPr>
          <w:rFonts w:ascii="Times New Roman" w:hAnsi="Times New Roman" w:eastAsia="Times New Roman" w:cs="Times New Roman"/>
          <w:lang w:val="en-US" w:bidi="en-US"/>
          <w:color w:val="111111"/>
          <w:sz w:val="28"/>
          <w:szCs w:val="28"/>
          <w:rtl/>
        </w:rPr>
        <w:t xml:space="preserve">peyvand</w:t>
      </w:r>
    </w:p>
    <w:p>
      <w:pPr>
        <w:pStyle w:val="BookText"/>
      </w:pPr>
      <w:r>
        <w:rPr>
          <w:rFonts w:ascii="IRNazanin" w:hAnsi="IRNazanin" w:eastAsia="IRNazanin" w:cs="IRNazanin"/>
          <w:lang w:bidi="fa-IR"/>
          <w:color w:val="111111"/>
          <w:sz w:val="28"/>
          <w:szCs w:val="28"/>
          <w:rtl/>
        </w:rPr>
        <w:t xml:space="preserve">فلاح، حسن</w:t>
      </w:r>
    </w:p>
    <w:p>
      <w:pPr>
        <w:pStyle w:val="BookText"/>
      </w:pPr>
      <w:r>
        <w:rPr>
          <w:rFonts w:ascii="Times New Roman" w:hAnsi="Times New Roman" w:eastAsia="Times New Roman" w:cs="Times New Roman"/>
          <w:lang w:val="en-US" w:bidi="en-US"/>
          <w:color w:val="111111"/>
          <w:sz w:val="28"/>
          <w:szCs w:val="28"/>
          <w:rtl/>
        </w:rPr>
        <w:t xml:space="preserve">fallāh, hasan</w:t>
      </w:r>
    </w:p>
    <w:p>
      <w:pPr>
        <w:pStyle w:val="BookText"/>
      </w:pPr>
      <w:r>
        <w:rPr>
          <w:rFonts w:ascii="IRNazanin" w:hAnsi="IRNazanin" w:eastAsia="IRNazanin" w:cs="IRNazanin"/>
          <w:lang w:bidi="fa-IR"/>
          <w:color w:val="111111"/>
          <w:sz w:val="28"/>
          <w:szCs w:val="28"/>
          <w:rtl/>
        </w:rPr>
        <w:t xml:space="preserve">از میرزا حسن فلاح است، وی آن را در فرانسه به خواهش باغبان های ایرانی نگاشته است. او از پیوند و اقسام آن مفصل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38" w:name="pg20363_209610"/>
    <w:bookmarkEnd w:id="338"/>
    <w:p>
      <w:pPr>
        <w:pStyle w:val="BookText"/>
      </w:pPr>
      <w:r>
        <w:rPr>
          <w:rFonts w:ascii="IRNazanin" w:hAnsi="IRNazanin" w:eastAsia="IRNazanin" w:cs="IRNazanin"/>
          <w:lang w:bidi="fa-IR"/>
          <w:color w:val="111111"/>
          <w:sz w:val="28"/>
          <w:szCs w:val="28"/>
          <w:rtl/>
        </w:rPr>
        <w:t xml:space="preserve">بحث می کند و ضمن ارائه تصاویری از انواع مختلف پیوند آنها را نشان می دهد. آغاز: شاخ بی بر اگر همه طوبی است***به بریدش به میوه پیوندید. حمد بی حد احدی را سزا است که ریاحین بدن را ...</w:t>
      </w:r>
    </w:p>
    <w:p>
      <w:pPr>
        <w:pStyle w:val="BookText"/>
      </w:pPr>
      <w:r>
        <w:rPr>
          <w:rFonts w:ascii="IRNazanin" w:hAnsi="IRNazanin" w:eastAsia="IRNazanin" w:cs="IRNazanin"/>
          <w:lang w:bidi="fa-IR"/>
          <w:color w:val="111111"/>
          <w:sz w:val="28"/>
          <w:szCs w:val="28"/>
          <w:rtl/>
        </w:rPr>
        <w:t xml:space="preserve">انجام: چنانچه اغلب اوقات اتفاق می افتد</w:t>
      </w:r>
    </w:p>
    <w:p>
      <w:pPr>
        <w:pStyle w:val="BookText"/>
      </w:pPr>
      <w:r>
        <w:rPr>
          <w:rFonts w:ascii="IRNazanin" w:hAnsi="IRNazanin" w:eastAsia="IRNazanin" w:cs="IRNazanin"/>
          <w:lang w:bidi="fa-IR"/>
          <w:color w:val="111111"/>
          <w:sz w:val="28"/>
          <w:szCs w:val="28"/>
          <w:rtl/>
        </w:rPr>
        <w:t xml:space="preserve">[دنا ۶۵۲/۲ ؛ فهرستواره منزوی ۳۸۰۰/۵ ]</w:t>
      </w:r>
    </w:p>
    <w:p>
      <w:pPr>
        <w:pStyle w:val="BookText"/>
      </w:pPr>
      <w:r>
        <w:rPr>
          <w:rFonts w:ascii="IRNazanin" w:hAnsi="IRNazanin" w:eastAsia="IRNazanin" w:cs="IRNazanin"/>
          <w:lang w:bidi="fa-IR"/>
          <w:color w:val="111111"/>
          <w:sz w:val="28"/>
          <w:szCs w:val="28"/>
          <w:rtl/>
        </w:rPr>
        <w:t xml:space="preserve">۱. تهران؛ سپهسالار؛ شماره نسخه: ۲۸۵۷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کاتب = مؤلف، تا: شوال ۱۲۸۴ق؛ تملك: اعتضادالسلطنه در ۱۲۸۴ ق، کاغذ: فرنگی نازک رنگارنگ، جلد: مقوا، ۱۷گ، ۱۹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۳-۲۸۹]</w:t>
      </w:r>
    </w:p>
    <w:p>
      <w:pPr>
        <w:pStyle w:val="BookText"/>
      </w:pPr>
      <w:r>
        <w:rPr>
          <w:rFonts w:ascii="IRNazanin" w:hAnsi="IRNazanin" w:eastAsia="IRNazanin" w:cs="IRNazanin"/>
          <w:lang w:bidi="fa-IR"/>
          <w:color w:val="111111"/>
          <w:sz w:val="28"/>
          <w:szCs w:val="28"/>
          <w:rtl/>
        </w:rPr>
        <w:t xml:space="preserve">۲. تهران؛ سپهسالار؛ شماره نسخه: ۲۸۵۸/۸</w:t>
      </w:r>
    </w:p>
    <w:p>
      <w:pPr>
        <w:pStyle w:val="BookText"/>
      </w:pPr>
      <w:r>
        <w:rPr>
          <w:rFonts w:ascii="IRNazanin" w:hAnsi="IRNazanin" w:eastAsia="IRNazanin" w:cs="IRNazanin"/>
          <w:lang w:bidi="fa-IR"/>
          <w:color w:val="111111"/>
          <w:sz w:val="28"/>
          <w:szCs w:val="28"/>
          <w:rtl/>
        </w:rPr>
        <w:t xml:space="preserve">خط: نسخ، بی کا، تا: قرن ۱۳؛ کاغذ: فرنگی، جلد: تیماج مشکی مقوایی، ۱۵۷گ (۱۵ر-۱۷۱ پ)، ۲۱ سطر،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۲۸۹-۳]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ملی؛ شماره نسخه: ۱۵۵۳/۸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۱۳؛ حاوی پیکره های از تنه درختان؛ کاغذ: فرنگی، جلد: تیماج سبز با گل و بوته زر کوبیده مقوایی، ۱۹ص (۲۶۸-۲۸۶)، ۲۳ سطر کامل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w:t>
      </w:r>
    </w:p>
    <w:p>
      <w:pPr>
        <w:pStyle w:val="BookText"/>
      </w:pPr>
      <w:r>
        <w:rPr>
          <w:rFonts w:ascii="IRNazanin" w:hAnsi="IRNazanin" w:eastAsia="IRNazanin" w:cs="IRNazanin"/>
          <w:lang w:bidi="fa-IR"/>
          <w:color w:val="111111"/>
          <w:sz w:val="28"/>
          <w:szCs w:val="28"/>
          <w:rtl/>
        </w:rPr>
        <w:t xml:space="preserve">۳۴/۵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سم [ف: ۴-۵۰]</w:t>
      </w:r>
    </w:p>
    <w:p>
      <w:pPr>
        <w:pStyle w:val="Heading3"/>
      </w:pPr>
      <w:bookmarkStart w:id="1883" w:name="_Toc1143"/>
      <w:r>
        <w:t>• پیوند حروف با ستارگان / هيئت / فارسی</w:t>
      </w:r>
      <w:bookmarkEnd w:id="1883"/>
    </w:p>
    <w:p>
      <w:pPr>
        <w:pStyle w:val="BookText"/>
      </w:pPr>
      <w:r>
        <w:rPr>
          <w:rFonts w:ascii="Times New Roman" w:hAnsi="Times New Roman" w:eastAsia="Times New Roman" w:cs="Times New Roman"/>
          <w:lang w:val="en-US" w:bidi="en-US"/>
          <w:color w:val="111111"/>
          <w:sz w:val="28"/>
          <w:szCs w:val="28"/>
          <w:rtl/>
        </w:rPr>
        <w:t xml:space="preserve">peyvand-e horūf bā setāregān</w:t>
      </w:r>
    </w:p>
    <w:p>
      <w:pPr>
        <w:pStyle w:val="BookText"/>
      </w:pPr>
      <w:r>
        <w:rPr>
          <w:rFonts w:ascii="IRNazanin" w:hAnsi="IRNazanin" w:eastAsia="IRNazanin" w:cs="IRNazanin"/>
          <w:lang w:bidi="fa-IR"/>
          <w:color w:val="111111"/>
          <w:sz w:val="28"/>
          <w:szCs w:val="28"/>
          <w:rtl/>
        </w:rPr>
        <w:t xml:space="preserve">تهران؛ ملک؛ شماره نسخه: ۸۰۷/۶</w:t>
      </w:r>
    </w:p>
    <w:p>
      <w:pPr>
        <w:pStyle w:val="BookText"/>
      </w:pPr>
      <w:r>
        <w:rPr>
          <w:rFonts w:ascii="IRNazanin" w:hAnsi="IRNazanin" w:eastAsia="IRNazanin" w:cs="IRNazanin"/>
          <w:lang w:bidi="fa-IR"/>
          <w:color w:val="111111"/>
          <w:sz w:val="28"/>
          <w:szCs w:val="28"/>
          <w:rtl/>
        </w:rPr>
        <w:t xml:space="preserve">در جدول؛ بی کا، بی تا [ف: ۵-۱۸۸]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39" w:name="pg20363_209612"/>
    <w:bookmarkEnd w:id="339"/>
    <w:p>
      <w:pPr>
        <w:pStyle w:val="Heading2"/>
      </w:pPr>
      <w:bookmarkStart w:id="1884" w:name="_Toc1144"/>
      <w:r>
        <w:t>ت</w:t>
      </w:r>
      <w:bookmarkEnd w:id="1884"/>
    </w:p>
    <w:p>
      <w:pPr>
        <w:pStyle w:val="Heading3"/>
      </w:pPr>
      <w:bookmarkStart w:id="1885" w:name="_Toc1145"/>
      <w:r>
        <w:t>اشارة</w:t>
      </w:r>
      <w:bookmarkEnd w:id="1885"/>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40" w:name="pg20363_209614"/>
    <w:bookmarkEnd w:id="340"/>
    <w:p>
      <w:pPr>
        <w:pStyle w:val="Heading3"/>
      </w:pPr>
      <w:bookmarkStart w:id="1886" w:name="_Toc1146"/>
      <w:r>
        <w:t>•تئاتر</w:t>
      </w:r>
      <w:bookmarkEnd w:id="1886"/>
    </w:p>
    <w:p>
      <w:pPr>
        <w:pStyle w:val="Heading3"/>
      </w:pPr>
      <w:bookmarkStart w:id="1887" w:name="_Toc1147"/>
      <w:r>
        <w:t>•تئاتر / داستان / فارسی</w:t>
      </w:r>
      <w:bookmarkEnd w:id="1887"/>
    </w:p>
    <w:p>
      <w:pPr>
        <w:pStyle w:val="BookText"/>
      </w:pPr>
      <w:r>
        <w:rPr>
          <w:rFonts w:ascii="Times New Roman" w:hAnsi="Times New Roman" w:eastAsia="Times New Roman" w:cs="Times New Roman"/>
          <w:lang w:val="en-US" w:bidi="en-US"/>
          <w:color w:val="111111"/>
          <w:sz w:val="28"/>
          <w:szCs w:val="28"/>
          <w:rtl/>
        </w:rPr>
        <w:t xml:space="preserve">te'ātr</w:t>
      </w:r>
    </w:p>
    <w:p>
      <w:pPr>
        <w:pStyle w:val="BookText"/>
      </w:pPr>
      <w:r>
        <w:rPr>
          <w:rFonts w:ascii="IRNazanin" w:hAnsi="IRNazanin" w:eastAsia="IRNazanin" w:cs="IRNazanin"/>
          <w:lang w:bidi="fa-IR"/>
          <w:color w:val="111111"/>
          <w:sz w:val="28"/>
          <w:szCs w:val="28"/>
          <w:rtl/>
        </w:rPr>
        <w:t xml:space="preserve">تهران؛ دانشگاه؛ شماره نسخه:۸۷۳۸/۳</w:t>
      </w:r>
    </w:p>
    <w:p>
      <w:pPr>
        <w:pStyle w:val="BookText"/>
      </w:pPr>
      <w:r>
        <w:rPr>
          <w:rFonts w:ascii="IRNazanin" w:hAnsi="IRNazanin" w:eastAsia="IRNazanin" w:cs="IRNazanin"/>
          <w:lang w:bidi="fa-IR"/>
          <w:color w:val="111111"/>
          <w:sz w:val="28"/>
          <w:szCs w:val="28"/>
          <w:rtl/>
        </w:rPr>
        <w:t xml:space="preserve">حاجی آقا و فریدون پسر بزرگ او و جمشید پسر کوچک او و نوروز سیاه و نوکر او و فروردین و گل چهره و ناصر خان ارباب گل چهره؛ خط: نستعلیق، کا: گویا خط نفیسی، تا: قرن ۱۴؛ شش صفحه به انگلیسی نوشته شده است؛ کاغذ: فرنگی، جلد: مقوا، ۱۰گ، ۲۲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قطع: خشتی،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۲۰۸ - ۱۷]</w:t>
      </w:r>
    </w:p>
    <w:p>
      <w:pPr>
        <w:pStyle w:val="Heading3"/>
      </w:pPr>
      <w:bookmarkStart w:id="1888" w:name="_Toc1148"/>
      <w:r>
        <w:t>•تئاتر کاترین هوارد / داستان / فارسی</w:t>
      </w:r>
      <w:bookmarkEnd w:id="1888"/>
    </w:p>
    <w:p>
      <w:pPr>
        <w:pStyle w:val="BookText"/>
      </w:pPr>
      <w:r>
        <w:rPr>
          <w:rFonts w:ascii="Times New Roman" w:hAnsi="Times New Roman" w:eastAsia="Times New Roman" w:cs="Times New Roman"/>
          <w:lang w:val="en-US" w:bidi="en-US"/>
          <w:color w:val="111111"/>
          <w:sz w:val="28"/>
          <w:szCs w:val="28"/>
          <w:rtl/>
        </w:rPr>
        <w:t xml:space="preserve">te'ātr-e kātrīn havārd</w:t>
      </w:r>
    </w:p>
    <w:p>
      <w:pPr>
        <w:pStyle w:val="BookText"/>
      </w:pPr>
      <w:r>
        <w:rPr>
          <w:rFonts w:ascii="IRNazanin" w:hAnsi="IRNazanin" w:eastAsia="IRNazanin" w:cs="IRNazanin"/>
          <w:lang w:bidi="fa-IR"/>
          <w:color w:val="111111"/>
          <w:sz w:val="28"/>
          <w:szCs w:val="28"/>
          <w:rtl/>
        </w:rPr>
        <w:t xml:space="preserve">مترجم: اعتصامی، یوسف، ۱۲۵۳ - ۱۳۱۶ شمسی</w:t>
      </w:r>
    </w:p>
    <w:p>
      <w:pPr>
        <w:pStyle w:val="BookText"/>
      </w:pPr>
      <w:r>
        <w:rPr>
          <w:rFonts w:ascii="Times New Roman" w:hAnsi="Times New Roman" w:eastAsia="Times New Roman" w:cs="Times New Roman"/>
          <w:lang w:val="en-US" w:bidi="en-US"/>
          <w:color w:val="111111"/>
          <w:sz w:val="28"/>
          <w:szCs w:val="28"/>
          <w:rtl/>
        </w:rPr>
        <w:t xml:space="preserve">eftesāmī, yūsof</w:t>
      </w:r>
    </w:p>
    <w:p>
      <w:pPr>
        <w:pStyle w:val="BookText"/>
      </w:pPr>
      <w:r>
        <w:rPr>
          <w:rFonts w:ascii="IRNazanin" w:hAnsi="IRNazanin" w:eastAsia="IRNazanin" w:cs="IRNazanin"/>
          <w:lang w:bidi="fa-IR"/>
          <w:color w:val="111111"/>
          <w:sz w:val="28"/>
          <w:szCs w:val="28"/>
          <w:rtl/>
        </w:rPr>
        <w:t xml:space="preserve">در پنج پرده یا فصل با ترجمه شعرهای انگلیسی آن به شعر فارسی، داستان مربوط به دربار هانری هشتم است در سال ۱۵۴۲.</w:t>
      </w:r>
    </w:p>
    <w:p>
      <w:pPr>
        <w:pStyle w:val="BookText"/>
      </w:pPr>
      <w:r>
        <w:rPr>
          <w:rFonts w:ascii="IRNazanin" w:hAnsi="IRNazanin" w:eastAsia="IRNazanin" w:cs="IRNazanin"/>
          <w:lang w:bidi="fa-IR"/>
          <w:color w:val="111111"/>
          <w:sz w:val="28"/>
          <w:szCs w:val="28"/>
          <w:rtl/>
        </w:rPr>
        <w:t xml:space="preserve">[دنا ۶۵۵/۲ ؛ رجال ایران ۴۹۳/۴ ]</w:t>
      </w:r>
    </w:p>
    <w:p>
      <w:pPr>
        <w:pStyle w:val="BookText"/>
      </w:pPr>
      <w:r>
        <w:rPr>
          <w:rFonts w:ascii="IRNazanin" w:hAnsi="IRNazanin" w:eastAsia="IRNazanin" w:cs="IRNazanin"/>
          <w:lang w:bidi="fa-IR"/>
          <w:color w:val="111111"/>
          <w:sz w:val="28"/>
          <w:szCs w:val="28"/>
          <w:rtl/>
        </w:rPr>
        <w:t xml:space="preserve">تهران؛ دانشگاه؛ شماره نسخه:۷۵۳۰</w:t>
      </w:r>
    </w:p>
    <w:p>
      <w:pPr>
        <w:pStyle w:val="BookText"/>
      </w:pPr>
      <w:r>
        <w:rPr>
          <w:rFonts w:ascii="IRNazanin" w:hAnsi="IRNazanin" w:eastAsia="IRNazanin" w:cs="IRNazanin"/>
          <w:lang w:bidi="fa-IR"/>
          <w:color w:val="111111"/>
          <w:sz w:val="28"/>
          <w:szCs w:val="28"/>
          <w:rtl/>
        </w:rPr>
        <w:t xml:space="preserve">خط: نستعلیق، بی کا، تا: قرن ۱۴؛ کاغذ: فرنگی، جلد: مقوا، ۷۳گ، ۱۶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قطع: ربعی،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۱۶ - ۶۱۲]</w:t>
      </w:r>
    </w:p>
    <w:p>
      <w:pPr>
        <w:pStyle w:val="Heading3"/>
      </w:pPr>
      <w:bookmarkStart w:id="1889" w:name="_Toc1149"/>
      <w:r>
        <w:t>•تئاتر کریم شیره / داستان / فارسی</w:t>
      </w:r>
      <w:bookmarkEnd w:id="1889"/>
    </w:p>
    <w:p>
      <w:pPr>
        <w:pStyle w:val="BookText"/>
      </w:pPr>
      <w:r>
        <w:rPr>
          <w:rFonts w:ascii="Times New Roman" w:hAnsi="Times New Roman" w:eastAsia="Times New Roman" w:cs="Times New Roman"/>
          <w:lang w:val="en-US" w:bidi="en-US"/>
          <w:color w:val="111111"/>
          <w:sz w:val="28"/>
          <w:szCs w:val="28"/>
          <w:rtl/>
        </w:rPr>
        <w:t xml:space="preserve">te'ātr-e karīm šīre</w:t>
      </w:r>
    </w:p>
    <w:p>
      <w:pPr>
        <w:pStyle w:val="BookText"/>
      </w:pPr>
      <w:r>
        <w:rPr>
          <w:rFonts w:ascii="IRNazanin" w:hAnsi="IRNazanin" w:eastAsia="IRNazanin" w:cs="IRNazanin"/>
          <w:lang w:bidi="fa-IR"/>
          <w:color w:val="111111"/>
          <w:sz w:val="28"/>
          <w:szCs w:val="28"/>
          <w:rtl/>
        </w:rPr>
        <w:t xml:space="preserve">نمایش نامه ای است انتقادی از وضع دولت وقت. در عهد ناصرالدین شاه نوشته شده است. [دنا ۶۵۵/۲ ؛ فهرستواره منزوی ۲۹۸/۱ ]</w:t>
      </w:r>
    </w:p>
    <w:p>
      <w:pPr>
        <w:pStyle w:val="BookText"/>
      </w:pPr>
      <w:r>
        <w:rPr>
          <w:rFonts w:ascii="IRNazanin" w:hAnsi="IRNazanin" w:eastAsia="IRNazanin" w:cs="IRNazanin"/>
          <w:lang w:bidi="fa-IR"/>
          <w:color w:val="111111"/>
          <w:sz w:val="28"/>
          <w:szCs w:val="28"/>
          <w:rtl/>
        </w:rPr>
        <w:t xml:space="preserve">تبریز؛ ملی؛ شماره نسخه:۳۰۱۹</w:t>
      </w:r>
    </w:p>
    <w:p>
      <w:pPr>
        <w:pStyle w:val="BookText"/>
      </w:pPr>
      <w:r>
        <w:rPr>
          <w:rFonts w:ascii="IRNazanin" w:hAnsi="IRNazanin" w:eastAsia="IRNazanin" w:cs="IRNazanin"/>
          <w:lang w:bidi="fa-IR"/>
          <w:color w:val="111111"/>
          <w:sz w:val="28"/>
          <w:szCs w:val="28"/>
          <w:rtl/>
        </w:rPr>
        <w:t xml:space="preserve">آغاز: بسمله، شرحی از بدبختی اهالی ایران و مجمعی از سختی و زبونی این ممالک ویران بجهة عبرت و اطلاع مطالعه کنندگان در لباس قصه و طرز طیاطر فرنگیان در چند مجلس قلمی گردید، اسامی اجزای مجلس شاه وزیر مخصوص، امین الدوله، انجام: به بینید ایران چگونه ویران و ایرانیان چه قسم پریشان و بی سامان نگاه بکنند و از این صدر اعظم بازیها را یاد بگیرند. گر ملکی این است در این روزگار من بتو ویرانه دهم صد هزار، في شهر جمادی الاول سنه ۱۳۱۰</w:t>
      </w:r>
    </w:p>
    <w:p>
      <w:pPr>
        <w:pStyle w:val="BookText"/>
      </w:pPr>
      <w:r>
        <w:rPr>
          <w:rFonts w:ascii="IRNazanin" w:hAnsi="IRNazanin" w:eastAsia="IRNazanin" w:cs="IRNazanin"/>
          <w:lang w:bidi="fa-IR"/>
          <w:color w:val="111111"/>
          <w:sz w:val="28"/>
          <w:szCs w:val="28"/>
          <w:rtl/>
        </w:rPr>
        <w:t xml:space="preserve">خط: نستعلیق، بی کا، تا: ۱۳۱۰ق؛ کاغذ: فرنگی، جلد: چرمی سرخ، ۵۴گ، ۱۰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۱ - ۳۱۰]</w:t>
      </w:r>
    </w:p>
    <w:p>
      <w:pPr>
        <w:pStyle w:val="Heading3"/>
      </w:pPr>
      <w:bookmarkStart w:id="1890" w:name="_Toc1150"/>
      <w:r>
        <w:t>•تئاتر گفتگوی شیخ شریعت با میرزا خلیل الله / هنر / فارسی</w:t>
      </w:r>
      <w:bookmarkEnd w:id="1890"/>
    </w:p>
    <w:p>
      <w:pPr>
        <w:pStyle w:val="BookText"/>
      </w:pPr>
      <w:r>
        <w:rPr>
          <w:rFonts w:ascii="Times New Roman" w:hAnsi="Times New Roman" w:eastAsia="Times New Roman" w:cs="Times New Roman"/>
          <w:lang w:val="en-US" w:bidi="en-US"/>
          <w:color w:val="111111"/>
          <w:sz w:val="28"/>
          <w:szCs w:val="28"/>
          <w:rtl/>
        </w:rPr>
        <w:t xml:space="preserve">te’ātr-e goftogū-ye šeyx šarī at bā mīrzā xalīl-ol-lāh</w:t>
      </w:r>
    </w:p>
    <w:p>
      <w:pPr>
        <w:pStyle w:val="BookText"/>
      </w:pPr>
      <w:r>
        <w:rPr>
          <w:rFonts w:ascii="IRNazanin" w:hAnsi="IRNazanin" w:eastAsia="IRNazanin" w:cs="IRNazanin"/>
          <w:lang w:bidi="fa-IR"/>
          <w:color w:val="111111"/>
          <w:sz w:val="28"/>
          <w:szCs w:val="28"/>
          <w:rtl/>
        </w:rPr>
        <w:t xml:space="preserve">داستان گفتگویی است که بین شیخ محمد تقلی ملقب به شیخ شریعت با میرزا خلیل طلبه در مدرسه اتفاق افتاده و به صورت که در فرنگستان به عنوان تئاتر معروف است، تنظیم شده است.</w:t>
      </w:r>
    </w:p>
    <w:p>
      <w:pPr>
        <w:pStyle w:val="BookText"/>
      </w:pPr>
      <w:r>
        <w:rPr>
          <w:rFonts w:ascii="IRNazanin" w:hAnsi="IRNazanin" w:eastAsia="IRNazanin" w:cs="IRNazanin"/>
          <w:lang w:bidi="fa-IR"/>
          <w:color w:val="111111"/>
          <w:sz w:val="28"/>
          <w:szCs w:val="28"/>
          <w:rtl/>
        </w:rPr>
        <w:t xml:space="preserve">تهران؛ مجلس؛ شماره نسخه:۹۶۵۴</w:t>
      </w:r>
    </w:p>
    <w:p>
      <w:pPr>
        <w:pStyle w:val="BookText"/>
      </w:pPr>
      <w:r>
        <w:rPr>
          <w:rFonts w:ascii="IRNazanin" w:hAnsi="IRNazanin" w:eastAsia="IRNazanin" w:cs="IRNazanin"/>
          <w:lang w:bidi="fa-IR"/>
          <w:color w:val="111111"/>
          <w:sz w:val="28"/>
          <w:szCs w:val="28"/>
          <w:rtl/>
        </w:rPr>
        <w:t xml:space="preserve">آغاز: حکما و دانایان فرنگستان چون خواهند حکایتی را بیان نمایند که در طبایع انزجاری حاصل نشده آن مطلب هم چنانچه بایست بررسی منکشف شود؛ انجام: تا وقتی که بخواهند بحقيقت رسیدگی شود. این زمان بگذار تا وقت دگر خط: نستعلیق شکسته، بی کا، تا: قرن ۱۴؛ جلد: تیماج فرنگی مشکی، ۷۷گ، ۱۲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۳۱ - ۳۵]</w:t>
      </w:r>
    </w:p>
    <w:p>
      <w:pPr>
        <w:pStyle w:val="Heading3"/>
      </w:pPr>
      <w:bookmarkStart w:id="1891" w:name="_Toc1151"/>
      <w:r>
        <w:t>•تئودریخ / داستان / فارسی</w:t>
      </w:r>
      <w:bookmarkEnd w:id="1891"/>
    </w:p>
    <w:p>
      <w:pPr>
        <w:pStyle w:val="BookText"/>
      </w:pPr>
      <w:r>
        <w:rPr>
          <w:rFonts w:ascii="Times New Roman" w:hAnsi="Times New Roman" w:eastAsia="Times New Roman" w:cs="Times New Roman"/>
          <w:lang w:val="en-US" w:bidi="en-US"/>
          <w:color w:val="111111"/>
          <w:sz w:val="28"/>
          <w:szCs w:val="28"/>
          <w:rtl/>
        </w:rPr>
        <w:t xml:space="preserve">te'odrix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41" w:name="pg20363_209615"/>
    <w:bookmarkEnd w:id="341"/>
    <w:p>
      <w:pPr>
        <w:pStyle w:val="BookText"/>
      </w:pPr>
      <w:r>
        <w:rPr>
          <w:rFonts w:ascii="IRNazanin" w:hAnsi="IRNazanin" w:eastAsia="IRNazanin" w:cs="IRNazanin"/>
          <w:lang w:bidi="fa-IR"/>
          <w:color w:val="111111"/>
          <w:sz w:val="28"/>
          <w:szCs w:val="28"/>
          <w:rtl/>
        </w:rPr>
        <w:t xml:space="preserve">۱. قم؛ مسجد اعظم؛ شماره نسخه:۲۹۰۹</w:t>
      </w:r>
    </w:p>
    <w:p>
      <w:pPr>
        <w:pStyle w:val="BookText"/>
      </w:pPr>
      <w:r>
        <w:rPr>
          <w:rFonts w:ascii="IRNazanin" w:hAnsi="IRNazanin" w:eastAsia="IRNazanin" w:cs="IRNazanin"/>
          <w:lang w:bidi="fa-IR"/>
          <w:color w:val="111111"/>
          <w:sz w:val="28"/>
          <w:szCs w:val="28"/>
          <w:rtl/>
        </w:rPr>
        <w:t xml:space="preserve">آغاز: فصل بیست و سوم چندین روز به طول انجامید تا اینکه ملکه ما تا سوین تا قادر گردید که از زیر بار حزيان واز خوابهای بدی که در بین بی هوشی در جلو نظرش؛ انجام: طوطيا نالان می گفت: برادر شجاع و قوی پنجه ام را به تزویر کشتند خوب تعریف کن که واقعه از چه قرار بود از فصل ۲۳ تا ۲۹؛ خط: نستعلیق، بی کا، تا: قرن ۱۴؛ افتادگی: انجام؛ عناوین سیاه؛ جلد: مشمای سرمه ای، ۴۸گ، ۱۸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مخ: ۱- ۳۱۷]</w:t>
      </w:r>
    </w:p>
    <w:p>
      <w:pPr>
        <w:pStyle w:val="BookText"/>
      </w:pPr>
      <w:r>
        <w:rPr>
          <w:rFonts w:ascii="IRNazanin" w:hAnsi="IRNazanin" w:eastAsia="IRNazanin" w:cs="IRNazanin"/>
          <w:lang w:bidi="fa-IR"/>
          <w:color w:val="111111"/>
          <w:sz w:val="28"/>
          <w:szCs w:val="28"/>
          <w:rtl/>
        </w:rPr>
        <w:t xml:space="preserve">۲. قم؛ مسجد اعظم، شماره نسخه:۲۹۳۶</w:t>
      </w:r>
    </w:p>
    <w:p>
      <w:pPr>
        <w:pStyle w:val="BookText"/>
      </w:pPr>
      <w:r>
        <w:rPr>
          <w:rFonts w:ascii="IRNazanin" w:hAnsi="IRNazanin" w:eastAsia="IRNazanin" w:cs="IRNazanin"/>
          <w:lang w:bidi="fa-IR"/>
          <w:color w:val="111111"/>
          <w:sz w:val="28"/>
          <w:szCs w:val="28"/>
          <w:rtl/>
        </w:rPr>
        <w:t xml:space="preserve">آغاز فصل پنجم: پر واضح است برای تسریع [...] خیال باطنیش ( سه ته گوس ) در دربار ( مرادنا ) بودنش وشهر ( رخ) را عجالتا ترک نمودنش واجب تر واصلح تر بود؛ انجام: ملکه گفت پس از این قرار می خواهید مرا سلطنت فولاتا نشناسید ... فراموش نموده و انکار داری که من دختر ولی نعمتت ( ته اوردیخ ) می باشم. از فصل تا دهم جلد دوم و از فصل اول تا سوم جلد سوم کتاب؛ خط: نستعلیق، بی کا، تا: قرن ۱۴؛ خط خوردگی و قلم زدگی در صفحات؛ جلد: مشمای آبی، ۷۳گ، مختلف السطر،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مخ: ۱- ۳۱۷]</w:t>
      </w:r>
    </w:p>
    <w:p>
      <w:pPr>
        <w:pStyle w:val="Heading3"/>
      </w:pPr>
      <w:bookmarkStart w:id="1892" w:name="_Toc1152"/>
      <w:r>
        <w:t>•التائات و اليائات و الواوات و الهمزات من الكلمات القرآنية / تجوید / عربی</w:t>
      </w:r>
      <w:bookmarkEnd w:id="1892"/>
    </w:p>
    <w:p>
      <w:pPr>
        <w:pStyle w:val="BookText"/>
      </w:pPr>
      <w:r>
        <w:rPr>
          <w:rFonts w:ascii="Times New Roman" w:hAnsi="Times New Roman" w:eastAsia="Times New Roman" w:cs="Times New Roman"/>
          <w:lang w:val="en-US" w:bidi="en-US"/>
          <w:color w:val="111111"/>
          <w:sz w:val="28"/>
          <w:szCs w:val="28"/>
          <w:rtl/>
        </w:rPr>
        <w:t xml:space="preserve">at-tā’āt wa-l yā’āt wa-l wāwāt wa-l hamazāt min-al kalamāt-il qur'ānīya</w:t>
      </w:r>
    </w:p>
    <w:p>
      <w:pPr>
        <w:pStyle w:val="BookText"/>
      </w:pPr>
      <w:r>
        <w:rPr>
          <w:rFonts w:ascii="IRNazanin" w:hAnsi="IRNazanin" w:eastAsia="IRNazanin" w:cs="IRNazanin"/>
          <w:lang w:bidi="fa-IR"/>
          <w:color w:val="111111"/>
          <w:sz w:val="28"/>
          <w:szCs w:val="28"/>
          <w:rtl/>
        </w:rPr>
        <w:t xml:space="preserve">تهران، دانشگاه؛ شماره نسخه: ۷۴۵۸/۱</w:t>
      </w:r>
    </w:p>
    <w:p>
      <w:pPr>
        <w:pStyle w:val="BookText"/>
      </w:pPr>
      <w:r>
        <w:rPr>
          <w:rFonts w:ascii="IRNazanin" w:hAnsi="IRNazanin" w:eastAsia="IRNazanin" w:cs="IRNazanin"/>
          <w:lang w:bidi="fa-IR"/>
          <w:color w:val="111111"/>
          <w:sz w:val="28"/>
          <w:szCs w:val="28"/>
          <w:rtl/>
        </w:rPr>
        <w:t xml:space="preserve">مانند نعمت و کلمت، أخشونی و اتبعونی و ... ؛ خط: نسخ، بی کا، تا: قرن ۱۲؛ کاغذ: سپاهانی، جلد: تیماج مشکی زرکوب ترنجی مقوایی، ۱۱گ (۱-۱۱، ۱۵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۴/۵ )، قطع: بغلی،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۹سم [ف: ۱۶ - ۵۷۷]</w:t>
      </w:r>
    </w:p>
    <w:p>
      <w:pPr>
        <w:pStyle w:val="Heading3"/>
      </w:pPr>
      <w:bookmarkStart w:id="1893" w:name="_Toc1153"/>
      <w:r>
        <w:t>•التاء في قولنا «ذات القديم» / ادبیات عربی</w:t>
      </w:r>
      <w:bookmarkEnd w:id="1893"/>
    </w:p>
    <w:p>
      <w:pPr>
        <w:pStyle w:val="BookText"/>
      </w:pPr>
      <w:r>
        <w:rPr>
          <w:rFonts w:ascii="Times New Roman" w:hAnsi="Times New Roman" w:eastAsia="Times New Roman" w:cs="Times New Roman"/>
          <w:lang w:val="en-US" w:bidi="en-US"/>
          <w:color w:val="111111"/>
          <w:sz w:val="28"/>
          <w:szCs w:val="28"/>
          <w:rtl/>
        </w:rPr>
        <w:t xml:space="preserve">at-tā' fi qawl-i-nā «dāt-ul qadīm»</w:t>
      </w:r>
    </w:p>
    <w:p>
      <w:pPr>
        <w:pStyle w:val="BookText"/>
      </w:pPr>
      <w:r>
        <w:rPr>
          <w:rFonts w:ascii="IRNazanin" w:hAnsi="IRNazanin" w:eastAsia="IRNazanin" w:cs="IRNazanin"/>
          <w:lang w:bidi="fa-IR"/>
          <w:color w:val="111111"/>
          <w:sz w:val="28"/>
          <w:szCs w:val="28"/>
          <w:rtl/>
        </w:rPr>
        <w:t xml:space="preserve">علم الهدی، علی بن حسین، ۳۵۵ - ۴۳۶ قمری</w:t>
      </w:r>
    </w:p>
    <w:p>
      <w:pPr>
        <w:pStyle w:val="BookText"/>
      </w:pPr>
      <w:r>
        <w:rPr>
          <w:rFonts w:ascii="Times New Roman" w:hAnsi="Times New Roman" w:eastAsia="Times New Roman" w:cs="Times New Roman"/>
          <w:lang w:val="en-US" w:bidi="en-US"/>
          <w:color w:val="111111"/>
          <w:sz w:val="28"/>
          <w:szCs w:val="28"/>
          <w:rtl/>
        </w:rPr>
        <w:t xml:space="preserve">‘alam-ol-hodā, ‘alī ebn-e hoseyn (967 - 1045)</w:t>
      </w:r>
    </w:p>
    <w:p>
      <w:pPr>
        <w:pStyle w:val="BookText"/>
      </w:pPr>
      <w:r>
        <w:rPr>
          <w:rFonts w:ascii="IRNazanin" w:hAnsi="IRNazanin" w:eastAsia="IRNazanin" w:cs="IRNazanin"/>
          <w:lang w:bidi="fa-IR"/>
          <w:color w:val="111111"/>
          <w:sz w:val="28"/>
          <w:szCs w:val="28"/>
          <w:rtl/>
        </w:rPr>
        <w:t xml:space="preserve">در مورد « تا » در کلمه ذات باری جل اسمه از نظر ادبی بحث می کند و می گوید که این «تا» در جميع حالات اعم از مذکر و مؤنث و معدومات و اعراض به کار می رود و برای تأنيث نیست. آغاز: سئل رضی الله تعالی» عن التاء في قولنا ذات القديم تعالی في قولهم صفات الذات الباری، فقيل هل التاء في ذات للتأنيث كقولنا جائني امرأة ذات جمال. انجام: فلو لم تكن للتأنيث لما اختلفت مع التذكير ولا تخالف المذكر و المؤنث في الوصف بانه ذات على ما بيناه و الله أعلم بالصواب. چاپ: ضمن مسائل المرتضی، در بیروت به چاپ رسیده است.</w:t>
      </w:r>
    </w:p>
    <w:p>
      <w:pPr>
        <w:pStyle w:val="BookText"/>
      </w:pPr>
      <w:r>
        <w:rPr>
          <w:rFonts w:ascii="IRNazanin" w:hAnsi="IRNazanin" w:eastAsia="IRNazanin" w:cs="IRNazanin"/>
          <w:lang w:bidi="fa-IR"/>
          <w:color w:val="111111"/>
          <w:sz w:val="28"/>
          <w:szCs w:val="28"/>
          <w:rtl/>
        </w:rPr>
        <w:t xml:space="preserve">[دنا ۶۵۵/۲ ]</w:t>
      </w:r>
    </w:p>
    <w:p>
      <w:pPr>
        <w:pStyle w:val="BookText"/>
      </w:pPr>
      <w:r>
        <w:rPr>
          <w:rFonts w:ascii="IRNazanin" w:hAnsi="IRNazanin" w:eastAsia="IRNazanin" w:cs="IRNazanin"/>
          <w:lang w:bidi="fa-IR"/>
          <w:color w:val="111111"/>
          <w:sz w:val="28"/>
          <w:szCs w:val="28"/>
          <w:rtl/>
        </w:rPr>
        <w:t xml:space="preserve">۱. قم؛ مرعشی؛ شماره نسخه: ۱۲۹۲۳/۲۹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۱۱؛ کاغذ: شرقی، ۲گ (۷۷-پ۷۸ر)، ۱۳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سم [ف: ۳۲ - ۷۶۴]</w:t>
      </w:r>
    </w:p>
    <w:p>
      <w:pPr>
        <w:pStyle w:val="BookText"/>
      </w:pPr>
      <w:r>
        <w:rPr>
          <w:rFonts w:ascii="IRNazanin" w:hAnsi="IRNazanin" w:eastAsia="IRNazanin" w:cs="IRNazanin"/>
          <w:lang w:bidi="fa-IR"/>
          <w:color w:val="111111"/>
          <w:sz w:val="28"/>
          <w:szCs w:val="28"/>
          <w:rtl/>
        </w:rPr>
        <w:t xml:space="preserve">۲. قم؛ مرعشی؛ شماره نسخه: ۲۴/۱۱۳۴۰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۱۲؛ کاغذ: شرقی آهار مهره، ۲گ (۱۷۶ و ۱۷۷)، ۱۲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۱۶/۵سم [ف: ۲۸ - ۵۷۴]</w:t>
      </w:r>
    </w:p>
    <w:p>
      <w:pPr>
        <w:pStyle w:val="BookText"/>
      </w:pPr>
      <w:r>
        <w:rPr>
          <w:rFonts w:ascii="Amiri" w:hAnsi="Amiri" w:eastAsia="Amiri" w:cs="Amiri"/>
          <w:lang w:bidi="ar-SA"/>
          <w:color w:val="111111"/>
          <w:sz w:val="28"/>
          <w:szCs w:val="28"/>
          <w:rtl/>
        </w:rPr>
        <w:t xml:space="preserve">←التائية في التصوف ← القصيده التائية</w:t>
      </w:r>
    </w:p>
    <w:p>
      <w:pPr>
        <w:pStyle w:val="Heading3"/>
      </w:pPr>
      <w:bookmarkStart w:id="1894" w:name="_Toc1154"/>
      <w:r>
        <w:t>• تابلوی دعای جوشن کبیر / مرقعات / عربی</w:t>
      </w:r>
      <w:bookmarkEnd w:id="1894"/>
    </w:p>
    <w:p>
      <w:pPr>
        <w:pStyle w:val="BookText"/>
      </w:pPr>
      <w:r>
        <w:rPr>
          <w:rFonts w:ascii="Times New Roman" w:hAnsi="Times New Roman" w:eastAsia="Times New Roman" w:cs="Times New Roman"/>
          <w:lang w:val="en-US" w:bidi="en-US"/>
          <w:color w:val="111111"/>
          <w:sz w:val="28"/>
          <w:szCs w:val="28"/>
          <w:rtl/>
        </w:rPr>
        <w:t xml:space="preserve">tāblo-ye do‘ā-ye jowšan kabīr</w:t>
      </w:r>
    </w:p>
    <w:p>
      <w:pPr>
        <w:pStyle w:val="BookText"/>
      </w:pPr>
      <w:r>
        <w:rPr>
          <w:rFonts w:ascii="IRNazanin" w:hAnsi="IRNazanin" w:eastAsia="IRNazanin" w:cs="IRNazanin"/>
          <w:lang w:bidi="fa-IR"/>
          <w:color w:val="111111"/>
          <w:sz w:val="28"/>
          <w:szCs w:val="28"/>
          <w:rtl/>
        </w:rPr>
        <w:t xml:space="preserve">تهران، دانشگاه؛ شماره نسخه:۸۴۳۲/۳</w:t>
      </w:r>
    </w:p>
    <w:p>
      <w:pPr>
        <w:pStyle w:val="BookText"/>
      </w:pPr>
      <w:r>
        <w:rPr>
          <w:rFonts w:ascii="IRNazanin" w:hAnsi="IRNazanin" w:eastAsia="IRNazanin" w:cs="IRNazanin"/>
          <w:lang w:bidi="fa-IR"/>
          <w:color w:val="111111"/>
          <w:sz w:val="28"/>
          <w:szCs w:val="28"/>
          <w:rtl/>
        </w:rPr>
        <w:t xml:space="preserve">تابلوی دعای جوشن کبیر در صد فصل به نسخ مشکی و شنگرف و لاجورد و زعفرانی و اکلیل در روی پوست با قاب ۵۷۴۷، در جدول با چهار دائره و خانه های دارای رقم؛ بی کا، بی تا [ف: ۱۷ -۱۳۴ ]</w:t>
      </w:r>
    </w:p>
    <w:p>
      <w:pPr>
        <w:pStyle w:val="Heading3"/>
      </w:pPr>
      <w:bookmarkStart w:id="1895" w:name="_Toc1155"/>
      <w:r>
        <w:t>•تابلوی نقاشی شاه عباس بزرگ / عکس</w:t>
      </w:r>
      <w:bookmarkEnd w:id="1895"/>
    </w:p>
    <w:p>
      <w:pPr>
        <w:pStyle w:val="BookText"/>
      </w:pPr>
      <w:r>
        <w:rPr>
          <w:rFonts w:ascii="Times New Roman" w:hAnsi="Times New Roman" w:eastAsia="Times New Roman" w:cs="Times New Roman"/>
          <w:lang w:val="en-US" w:bidi="en-US"/>
          <w:color w:val="111111"/>
          <w:sz w:val="28"/>
          <w:szCs w:val="28"/>
          <w:rtl/>
        </w:rPr>
        <w:t xml:space="preserve">tāblo-ye naqqāš7-ye šāh 'abbās-e bozorg</w:t>
      </w:r>
    </w:p>
    <w:p>
      <w:pPr>
        <w:pStyle w:val="BookText"/>
      </w:pPr>
      <w:r>
        <w:rPr>
          <w:rFonts w:ascii="IRNazanin" w:hAnsi="IRNazanin" w:eastAsia="IRNazanin" w:cs="IRNazanin"/>
          <w:lang w:bidi="fa-IR"/>
          <w:color w:val="111111"/>
          <w:sz w:val="28"/>
          <w:szCs w:val="28"/>
          <w:rtl/>
        </w:rPr>
        <w:t xml:space="preserve">تابلوی نقاشی شاه عباس بزرگ، از روی قصر چهل ستون، کارخاچاطوریان.</w:t>
      </w:r>
    </w:p>
    <w:p>
      <w:pPr>
        <w:pStyle w:val="BookText"/>
      </w:pPr>
      <w:r>
        <w:rPr>
          <w:rFonts w:ascii="IRNazanin" w:hAnsi="IRNazanin" w:eastAsia="IRNazanin" w:cs="IRNazanin"/>
          <w:lang w:bidi="fa-IR"/>
          <w:color w:val="111111"/>
          <w:sz w:val="28"/>
          <w:szCs w:val="28"/>
          <w:rtl/>
        </w:rPr>
        <w:t xml:space="preserve">اصفهان؛ موزه کلیسای ارمنیان در جلفا؛ شماره نسخه:3</w:t>
      </w:r>
    </w:p>
    <w:p>
      <w:pPr>
        <w:pStyle w:val="BookText"/>
      </w:pPr>
      <w:r>
        <w:rPr>
          <w:rFonts w:ascii="IRNazanin" w:hAnsi="IRNazanin" w:eastAsia="IRNazanin" w:cs="IRNazanin"/>
          <w:lang w:bidi="fa-IR"/>
          <w:color w:val="111111"/>
          <w:sz w:val="28"/>
          <w:szCs w:val="28"/>
          <w:rtl/>
        </w:rPr>
        <w:t xml:space="preserve">بی کا، بی تا [نشریه: ۵ - ۳۲۳]</w:t>
      </w:r>
    </w:p>
    <w:p>
      <w:pPr>
        <w:pStyle w:val="Heading3"/>
      </w:pPr>
      <w:bookmarkStart w:id="1896" w:name="_Toc1156"/>
      <w:r>
        <w:t>• تابية الكاتب / ادبیات / فارسی</w:t>
      </w:r>
      <w:bookmarkEnd w:id="1896"/>
    </w:p>
    <w:p>
      <w:pPr>
        <w:pStyle w:val="BookText"/>
      </w:pPr>
      <w:r>
        <w:rPr>
          <w:rFonts w:ascii="Times New Roman" w:hAnsi="Times New Roman" w:eastAsia="Times New Roman" w:cs="Times New Roman"/>
          <w:lang w:val="en-US" w:bidi="en-US"/>
          <w:color w:val="111111"/>
          <w:sz w:val="28"/>
          <w:szCs w:val="28"/>
          <w:rtl/>
        </w:rPr>
        <w:t xml:space="preserve">tābīyat-ol kāteb</w:t>
      </w:r>
    </w:p>
    <w:p>
      <w:pPr>
        <w:pStyle w:val="BookText"/>
      </w:pPr>
      <w:r>
        <w:rPr>
          <w:rFonts w:ascii="IRNazanin" w:hAnsi="IRNazanin" w:eastAsia="IRNazanin" w:cs="IRNazanin"/>
          <w:lang w:bidi="fa-IR"/>
          <w:color w:val="111111"/>
          <w:sz w:val="28"/>
          <w:szCs w:val="28"/>
          <w:rtl/>
        </w:rPr>
        <w:t xml:space="preserve">کرمانی، محمد کریم بن ابراهیم، ۱۲۲۵ - ۱۲۸۸ قمری</w:t>
      </w:r>
    </w:p>
    <w:p>
      <w:pPr>
        <w:pStyle w:val="BookText"/>
      </w:pPr>
      <w:r>
        <w:rPr>
          <w:rFonts w:ascii="Times New Roman" w:hAnsi="Times New Roman" w:eastAsia="Times New Roman" w:cs="Times New Roman"/>
          <w:lang w:val="en-US" w:bidi="en-US"/>
          <w:color w:val="111111"/>
          <w:sz w:val="28"/>
          <w:szCs w:val="28"/>
          <w:rtl/>
        </w:rPr>
        <w:t xml:space="preserve">(1810 - ebn-e ebrāhīm kermānī, mohammad karīm 1871)</w:t>
      </w:r>
    </w:p>
    <w:p>
      <w:pPr>
        <w:pStyle w:val="BookText"/>
      </w:pPr>
      <w:r>
        <w:rPr>
          <w:rFonts w:ascii="IRNazanin" w:hAnsi="IRNazanin" w:eastAsia="IRNazanin" w:cs="IRNazanin"/>
          <w:lang w:bidi="fa-IR"/>
          <w:color w:val="111111"/>
          <w:sz w:val="28"/>
          <w:szCs w:val="28"/>
          <w:rtl/>
        </w:rPr>
        <w:t xml:space="preserve">مشهد؛ رضوی؛ شماره نسخه:۱۵۱۵۹</w:t>
      </w:r>
    </w:p>
    <w:p>
      <w:pPr>
        <w:pStyle w:val="BookText"/>
      </w:pPr>
      <w:r>
        <w:rPr>
          <w:rFonts w:ascii="IRNazanin" w:hAnsi="IRNazanin" w:eastAsia="IRNazanin" w:cs="IRNazanin"/>
          <w:lang w:bidi="fa-IR"/>
          <w:color w:val="111111"/>
          <w:sz w:val="28"/>
          <w:szCs w:val="28"/>
          <w:rtl/>
        </w:rPr>
        <w:t xml:space="preserve">آغاز: بسمله، ستایش خدایرا سزاست که پروردگار جهانیان است؛ انجام: و از برای او در نزد پروردگار جلوه نور. خط: نسخ، كا: محمدهادی بن محمد تقی کوسوی، تا: ۱۲۶۰ق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42" w:name="pg20363_209616"/>
    <w:bookmarkEnd w:id="342"/>
    <w:p>
      <w:pPr>
        <w:pStyle w:val="BookText"/>
      </w:pPr>
      <w:r>
        <w:rPr>
          <w:rFonts w:ascii="IRNazanin" w:hAnsi="IRNazanin" w:eastAsia="IRNazanin" w:cs="IRNazanin"/>
          <w:lang w:bidi="fa-IR"/>
          <w:color w:val="111111"/>
          <w:sz w:val="28"/>
          <w:szCs w:val="28"/>
          <w:rtl/>
        </w:rPr>
        <w:t xml:space="preserve">[رایانه ]</w:t>
      </w:r>
    </w:p>
    <w:p>
      <w:pPr>
        <w:pStyle w:val="Heading3"/>
      </w:pPr>
      <w:bookmarkStart w:id="1897" w:name="_Toc1157"/>
      <w:r>
        <w:t>• التاتارخانية = الفتاوی التاتارخانية = زاد المسافر / فقه / عربی</w:t>
      </w:r>
      <w:bookmarkEnd w:id="1897"/>
    </w:p>
    <w:p>
      <w:pPr>
        <w:pStyle w:val="BookText"/>
      </w:pPr>
      <w:r>
        <w:rPr>
          <w:rFonts w:ascii="Times New Roman" w:hAnsi="Times New Roman" w:eastAsia="Times New Roman" w:cs="Times New Roman"/>
          <w:lang w:val="en-US" w:bidi="en-US"/>
          <w:color w:val="111111"/>
          <w:sz w:val="28"/>
          <w:szCs w:val="28"/>
          <w:rtl/>
        </w:rPr>
        <w:t xml:space="preserve">= al-fatāwa-t tātārxānīya = zād-ul at-tātārxānīya musāfir</w:t>
      </w:r>
    </w:p>
    <w:p>
      <w:pPr>
        <w:pStyle w:val="BookText"/>
      </w:pPr>
      <w:r>
        <w:rPr>
          <w:rFonts w:ascii="IRNazanin" w:hAnsi="IRNazanin" w:eastAsia="IRNazanin" w:cs="IRNazanin"/>
          <w:lang w:bidi="fa-IR"/>
          <w:color w:val="111111"/>
          <w:sz w:val="28"/>
          <w:szCs w:val="28"/>
          <w:rtl/>
        </w:rPr>
        <w:t xml:space="preserve">عالم بن علاء حنفی اندریتی، ق۸ قمری</w:t>
      </w:r>
    </w:p>
    <w:p>
      <w:pPr>
        <w:pStyle w:val="BookText"/>
      </w:pPr>
      <w:r>
        <w:rPr>
          <w:rFonts w:ascii="Times New Roman" w:hAnsi="Times New Roman" w:eastAsia="Times New Roman" w:cs="Times New Roman"/>
          <w:lang w:val="en-US" w:bidi="en-US"/>
          <w:color w:val="111111"/>
          <w:sz w:val="28"/>
          <w:szCs w:val="28"/>
          <w:rtl/>
        </w:rPr>
        <w:t xml:space="preserve">‘ālam-e-bn-e ‘alāʻ hanafi-ye andarītī ( - 14c)</w:t>
      </w:r>
    </w:p>
    <w:p>
      <w:pPr>
        <w:pStyle w:val="BookText"/>
      </w:pPr>
      <w:r>
        <w:rPr>
          <w:rFonts w:ascii="IRNazanin" w:hAnsi="IRNazanin" w:eastAsia="IRNazanin" w:cs="IRNazanin"/>
          <w:lang w:bidi="fa-IR"/>
          <w:color w:val="111111"/>
          <w:sz w:val="28"/>
          <w:szCs w:val="28"/>
          <w:rtl/>
        </w:rPr>
        <w:t xml:space="preserve">کتابی است مبسوط شامل تمامی مباحث فقهی در چندین جلد بزرگ که مسائل فقهی را به روش ابواب هدایه به طور بسیار مفصل با ذكر اقوال مؤلفان فقه گرد آورده است. مطالب آن برگرفته از کتاب مسايل «المحيط البرهاني في الفقه النعمانی» و الذخيرة البرهانية» تألیف برهان الدين محمود بن احمد بخاری حنفی (-۶۱۶ هق.) و «الفتاوى الظهيرية» نوشته ظهيرالدين ابوبکر محمد بن احمد قاضی بخاری حنفی (-۶۱۹ ه.ق.) و الفتاوى الخانية» را و ... است و مؤلف برای هر کدام رمزی قرار داده و در مآخذ دیگر عنوان آنها را آورده است. آغاز: نحمد ربنا على ما أسبغ علينا من العطاء و أسبل من الغطاء و هدانا الى منهج السواء و دعانا الى المحجة البيضاء.</w:t>
      </w:r>
    </w:p>
    <w:p>
      <w:pPr>
        <w:pStyle w:val="BookText"/>
      </w:pPr>
      <w:r>
        <w:rPr>
          <w:rFonts w:ascii="IRNazanin" w:hAnsi="IRNazanin" w:eastAsia="IRNazanin" w:cs="IRNazanin"/>
          <w:lang w:bidi="fa-IR"/>
          <w:color w:val="111111"/>
          <w:sz w:val="28"/>
          <w:szCs w:val="28"/>
          <w:rtl/>
        </w:rPr>
        <w:t xml:space="preserve">[دنا ۶۵۵/۲ ؛ الأوقاف العامة موصل ۱۷۰/۲ ؛ الاوقاف العامة بغداد ۴۹۷/۱ خزانه مفتی ۵۱/۵ و ۹۱/۵]</w:t>
      </w:r>
    </w:p>
    <w:p>
      <w:pPr>
        <w:pStyle w:val="BookText"/>
      </w:pPr>
      <w:r>
        <w:rPr>
          <w:rFonts w:ascii="IRNazanin" w:hAnsi="IRNazanin" w:eastAsia="IRNazanin" w:cs="IRNazanin"/>
          <w:lang w:bidi="fa-IR"/>
          <w:color w:val="111111"/>
          <w:sz w:val="28"/>
          <w:szCs w:val="28"/>
          <w:rtl/>
        </w:rPr>
        <w:t xml:space="preserve">۱. قم؛ مرعشی؛ شماره نسخه:۱۳۹۹۵</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انجام: القعدة الأخيرة في حقهما و منک هذه الصلوة يصير ... بالعلم يهتدي و الله اعلم بالصواب ... و يتلوه کتاب الزكوة. از اول کتاب الطهارة تا کتاب الصلوة؛ خط: نسخ، بی کا، تا: قرن ۹؛ مصحح، مجدول؛ کاغذ: شرقی، نوع جلد: تیماج زرشکی مجدول با ترنج و سرترنج و لچک، ۵۰۰ گی، ۲۵ سطر (۲۱</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۱۱)، اندازه: ۱۵/۵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۲۷/۵ سم [ف: ۳۵ - ۴۵۴]</w:t>
      </w:r>
    </w:p>
    <w:p>
      <w:pPr>
        <w:pStyle w:val="BookText"/>
      </w:pPr>
      <w:r>
        <w:rPr>
          <w:rFonts w:ascii="IRNazanin" w:hAnsi="IRNazanin" w:eastAsia="IRNazanin" w:cs="IRNazanin"/>
          <w:lang w:bidi="fa-IR"/>
          <w:color w:val="111111"/>
          <w:sz w:val="28"/>
          <w:szCs w:val="28"/>
          <w:rtl/>
        </w:rPr>
        <w:t xml:space="preserve">۲. مشهد؛ رضوی؛ شماره نسخه: ۱۸۸۷۰</w:t>
      </w:r>
    </w:p>
    <w:p>
      <w:pPr>
        <w:pStyle w:val="BookText"/>
      </w:pPr>
      <w:r>
        <w:rPr>
          <w:rFonts w:ascii="IRNazanin" w:hAnsi="IRNazanin" w:eastAsia="IRNazanin" w:cs="IRNazanin"/>
          <w:lang w:bidi="fa-IR"/>
          <w:color w:val="111111"/>
          <w:sz w:val="28"/>
          <w:szCs w:val="28"/>
          <w:rtl/>
        </w:rPr>
        <w:t xml:space="preserve">آغاز: بسمله، کتاب المزارعة و المعاملة هذا الكتاب يشتمل على ستة و عشرين فصلا انجام: و أن تبين انه انثي يوحد منه (كذا) ما يتان و خمسون و الله اعلم از ابتدای کتاب المزارعة و المعاملة» تا انتهای کتاب الخنثی»؛ خط: نسخ، كا: ابوالبركات بن يعقوب بن ابراهیم، تا: دوشنبه ۲۲ ربیع الاول ۹۷۴ق؛ مجدول، مصحح؛ اهدایی: رهبری، فروردین ۱۳۷۲؛ کاغذ: حنایی، جلد: مقوا عطف و گوشه تیماج قهوه ای، ۳۸۴گ، ۲۹ سطر، اندازه: ۳۱</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۲۲سم [ف: ۲۱/۱ - ۱۹۹)</w:t>
      </w:r>
    </w:p>
    <w:p>
      <w:pPr>
        <w:pStyle w:val="BookText"/>
      </w:pPr>
      <w:r>
        <w:rPr>
          <w:rFonts w:ascii="IRNazanin" w:hAnsi="IRNazanin" w:eastAsia="IRNazanin" w:cs="IRNazanin"/>
          <w:lang w:bidi="fa-IR"/>
          <w:color w:val="111111"/>
          <w:sz w:val="28"/>
          <w:szCs w:val="28"/>
          <w:rtl/>
        </w:rPr>
        <w:t xml:space="preserve">٣. قم؛ مرعشی؛ شماره نسخه:۱۴۱۶</w:t>
      </w:r>
    </w:p>
    <w:p>
      <w:pPr>
        <w:pStyle w:val="BookText"/>
      </w:pPr>
      <w:r>
        <w:rPr>
          <w:rFonts w:ascii="IRNazanin" w:hAnsi="IRNazanin" w:eastAsia="IRNazanin" w:cs="IRNazanin"/>
          <w:lang w:bidi="fa-IR"/>
          <w:color w:val="111111"/>
          <w:sz w:val="28"/>
          <w:szCs w:val="28"/>
          <w:rtl/>
        </w:rPr>
        <w:t xml:space="preserve">آغاز: برابر؛ انجام: و قال الشيخ الامام الفقيه ... هذا على احدی الروايتين عن علمائنا فأما على الرواية الأخرى السجدتان للثانية.</w:t>
      </w:r>
    </w:p>
    <w:p>
      <w:pPr>
        <w:pStyle w:val="BookText"/>
      </w:pPr>
      <w:r>
        <w:rPr>
          <w:rFonts w:ascii="IRNazanin" w:hAnsi="IRNazanin" w:eastAsia="IRNazanin" w:cs="IRNazanin"/>
          <w:lang w:bidi="fa-IR"/>
          <w:color w:val="111111"/>
          <w:sz w:val="28"/>
          <w:szCs w:val="28"/>
          <w:rtl/>
        </w:rPr>
        <w:t xml:space="preserve">جلد اول، تا احکام نماز جمعه؛ خط: نسخ نازیبا، بی کا، بی تا؛ التائات - التأثير ۴۸۹ افتادگی: انجام؛ محشی؛ جلد: تیماج مشکی بدون مقوا، ۴۰۱گ، ۲۳ سطر، اندازه: ۲۷</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۱۷سم [ف: ۴ - ۲۰۲]</w:t>
      </w:r>
    </w:p>
    <w:p>
      <w:pPr>
        <w:pStyle w:val="Heading3"/>
      </w:pPr>
      <w:bookmarkStart w:id="1898" w:name="_Toc1158"/>
      <w:r>
        <w:t>• تأثر الاخیار / تاریخ معصومین / ترکی</w:t>
      </w:r>
      <w:bookmarkEnd w:id="1898"/>
    </w:p>
    <w:p>
      <w:pPr>
        <w:pStyle w:val="BookText"/>
      </w:pPr>
      <w:r>
        <w:rPr>
          <w:rFonts w:ascii="Times New Roman" w:hAnsi="Times New Roman" w:eastAsia="Times New Roman" w:cs="Times New Roman"/>
          <w:lang w:val="en-US" w:bidi="en-US"/>
          <w:color w:val="111111"/>
          <w:sz w:val="28"/>
          <w:szCs w:val="28"/>
          <w:rtl/>
        </w:rPr>
        <w:t xml:space="preserve">ta’assor-ol axyār</w:t>
      </w:r>
    </w:p>
    <w:p>
      <w:pPr>
        <w:pStyle w:val="BookText"/>
      </w:pPr>
      <w:r>
        <w:rPr>
          <w:rFonts w:ascii="IRNazanin" w:hAnsi="IRNazanin" w:eastAsia="IRNazanin" w:cs="IRNazanin"/>
          <w:lang w:bidi="fa-IR"/>
          <w:color w:val="111111"/>
          <w:sz w:val="28"/>
          <w:szCs w:val="28"/>
          <w:rtl/>
        </w:rPr>
        <w:t xml:space="preserve">اسیری، حاج على</w:t>
      </w:r>
    </w:p>
    <w:p>
      <w:pPr>
        <w:pStyle w:val="BookText"/>
      </w:pPr>
      <w:r>
        <w:rPr>
          <w:rFonts w:ascii="Times New Roman" w:hAnsi="Times New Roman" w:eastAsia="Times New Roman" w:cs="Times New Roman"/>
          <w:lang w:val="en-US" w:bidi="en-US"/>
          <w:color w:val="111111"/>
          <w:sz w:val="28"/>
          <w:szCs w:val="28"/>
          <w:rtl/>
        </w:rPr>
        <w:t xml:space="preserve">asīrī, hāj ‘alī</w:t>
      </w:r>
    </w:p>
    <w:p>
      <w:pPr>
        <w:pStyle w:val="BookText"/>
      </w:pPr>
      <w:r>
        <w:rPr>
          <w:rFonts w:ascii="IRNazanin" w:hAnsi="IRNazanin" w:eastAsia="IRNazanin" w:cs="IRNazanin"/>
          <w:lang w:bidi="fa-IR"/>
          <w:color w:val="111111"/>
          <w:sz w:val="28"/>
          <w:szCs w:val="28"/>
          <w:rtl/>
        </w:rPr>
        <w:t xml:space="preserve">کتابی در مقتل حضرت ابا عبدالله الحسین (علیه السلام) و شهادت اهل بیت و یاران آن حضرت، بیشتر آن گرفته شده از مقتل ابو مخنف و لهوف سید ابن طاوس (که در کتاب مصرع طاوسی نامیده شده) و روضة الشهدای کاشفی و بعضی از تواریخ و تفاسیر معتبر دیگر با نکات مختصری که خود مؤلف استفاده کرده است. در آغاز آن نه «باب» در مصایب بعضی انبیاء از حضرت آدم تا خاتم(علیه السلام) افزوده شده و اشعاری از خود مؤلف با تخلص «اسیر» دارد.</w:t>
      </w:r>
    </w:p>
    <w:p>
      <w:pPr>
        <w:pStyle w:val="BookText"/>
      </w:pPr>
      <w:r>
        <w:rPr>
          <w:rFonts w:ascii="IRNazanin" w:hAnsi="IRNazanin" w:eastAsia="IRNazanin" w:cs="IRNazanin"/>
          <w:lang w:bidi="fa-IR"/>
          <w:color w:val="111111"/>
          <w:sz w:val="28"/>
          <w:szCs w:val="28"/>
          <w:rtl/>
        </w:rPr>
        <w:t xml:space="preserve">[دنا ۶۵۶/۲ ]</w:t>
      </w:r>
    </w:p>
    <w:p>
      <w:pPr>
        <w:pStyle w:val="BookText"/>
      </w:pPr>
      <w:r>
        <w:rPr>
          <w:rFonts w:ascii="IRNazanin" w:hAnsi="IRNazanin" w:eastAsia="IRNazanin" w:cs="IRNazanin"/>
          <w:lang w:bidi="fa-IR"/>
          <w:color w:val="111111"/>
          <w:sz w:val="28"/>
          <w:szCs w:val="28"/>
          <w:rtl/>
        </w:rPr>
        <w:t xml:space="preserve">قم: مرکز احیاء؛ شماره نسخه: ۱۰۵۱</w:t>
      </w:r>
    </w:p>
    <w:p>
      <w:pPr>
        <w:pStyle w:val="BookText"/>
      </w:pPr>
      <w:r>
        <w:rPr>
          <w:rFonts w:ascii="IRNazanin" w:hAnsi="IRNazanin" w:eastAsia="IRNazanin" w:cs="IRNazanin"/>
          <w:lang w:bidi="fa-IR"/>
          <w:color w:val="111111"/>
          <w:sz w:val="28"/>
          <w:szCs w:val="28"/>
          <w:rtl/>
        </w:rPr>
        <w:t xml:space="preserve">آغاز: الحمدلله الذي خلق الانسان في أحسن تقویم ... و ثنای لايعد ولا يحصى اول معبود واجب الوجود بارگاهش سزاوار جلد اول کتاب و دارای نه باب آغاز و چند فصل در شهادت عبيدة بن حارث و حمزه و جعفر طیار و ابراهیم فرزند پیامبر اکرم(صلی الله علیه وآله وسلم)؛ خط: رقعی، کاتب = مؤلف، بی تا؛ مهر: مؤلف «علی» (دائري)؛ جلد: مقوائی عطف</w:t>
      </w:r>
    </w:p>
    <w:p>
      <w:pPr>
        <w:pStyle w:val="BookText"/>
      </w:pPr>
      <w:r>
        <w:rPr>
          <w:rFonts w:ascii="IRNazanin" w:hAnsi="IRNazanin" w:eastAsia="IRNazanin" w:cs="IRNazanin"/>
          <w:lang w:bidi="fa-IR"/>
          <w:color w:val="111111"/>
          <w:sz w:val="28"/>
          <w:szCs w:val="28"/>
          <w:rtl/>
        </w:rPr>
        <w:t xml:space="preserve">تیماج مشکی، ۷۴گ، ۱۳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۳ - ۲۸۴]</w:t>
      </w:r>
    </w:p>
    <w:p>
      <w:pPr>
        <w:pStyle w:val="Heading3"/>
      </w:pPr>
      <w:bookmarkStart w:id="1899" w:name="_Toc1159"/>
      <w:r>
        <w:t>• التأثير / کیمیا / عربی</w:t>
      </w:r>
      <w:bookmarkEnd w:id="1899"/>
    </w:p>
    <w:p>
      <w:pPr>
        <w:pStyle w:val="BookText"/>
      </w:pPr>
      <w:r>
        <w:rPr>
          <w:rFonts w:ascii="Times New Roman" w:hAnsi="Times New Roman" w:eastAsia="Times New Roman" w:cs="Times New Roman"/>
          <w:lang w:val="en-US" w:bidi="en-US"/>
          <w:color w:val="111111"/>
          <w:sz w:val="28"/>
          <w:szCs w:val="28"/>
          <w:rtl/>
        </w:rPr>
        <w:t xml:space="preserve">at-ta’tīr</w:t>
      </w:r>
    </w:p>
    <w:p>
      <w:pPr>
        <w:pStyle w:val="BookText"/>
      </w:pPr>
      <w:r>
        <w:rPr>
          <w:rFonts w:ascii="IRNazanin" w:hAnsi="IRNazanin" w:eastAsia="IRNazanin" w:cs="IRNazanin"/>
          <w:lang w:bidi="fa-IR"/>
          <w:color w:val="111111"/>
          <w:sz w:val="28"/>
          <w:szCs w:val="28"/>
          <w:rtl/>
        </w:rPr>
        <w:t xml:space="preserve">جابر بن حیان، ۱۲۰ - ۱۹۸ ؟ قمری</w:t>
      </w:r>
    </w:p>
    <w:p>
      <w:pPr>
        <w:pStyle w:val="BookText"/>
      </w:pPr>
      <w:r>
        <w:rPr>
          <w:rFonts w:ascii="Times New Roman" w:hAnsi="Times New Roman" w:eastAsia="Times New Roman" w:cs="Times New Roman"/>
          <w:lang w:val="en-US" w:bidi="en-US"/>
          <w:color w:val="111111"/>
          <w:sz w:val="28"/>
          <w:szCs w:val="28"/>
          <w:rtl/>
        </w:rPr>
        <w:t xml:space="preserve">jāber ebn-e hayyān (739 - 814)</w:t>
      </w:r>
    </w:p>
    <w:p>
      <w:pPr>
        <w:pStyle w:val="BookText"/>
      </w:pPr>
      <w:r>
        <w:rPr>
          <w:rFonts w:ascii="IRNazanin" w:hAnsi="IRNazanin" w:eastAsia="IRNazanin" w:cs="IRNazanin"/>
          <w:lang w:bidi="fa-IR"/>
          <w:color w:val="111111"/>
          <w:sz w:val="28"/>
          <w:szCs w:val="28"/>
          <w:rtl/>
        </w:rPr>
        <w:t xml:space="preserve">تهران؛ مجلس؛ شماره نسخه: ۹۰۱۱/۴۴</w:t>
      </w:r>
    </w:p>
    <w:p>
      <w:pPr>
        <w:pStyle w:val="BookText"/>
      </w:pPr>
      <w:r>
        <w:rPr>
          <w:rFonts w:ascii="IRNazanin" w:hAnsi="IRNazanin" w:eastAsia="IRNazanin" w:cs="IRNazanin"/>
          <w:lang w:bidi="fa-IR"/>
          <w:color w:val="111111"/>
          <w:sz w:val="28"/>
          <w:szCs w:val="28"/>
          <w:rtl/>
        </w:rPr>
        <w:t xml:space="preserve">آغاز: الحمدلله رب العالمین و صلی الله ... للمتقین و سلم. قد تقدم لنا قبل كتابي هذا ثلاثة كتب في التفسير لما مضى من كتب هذه السبعين و قد سرحت في هذه الثلاثة المتقدمة شيئا من امر الماء و الدهن و انا اتمم باقی ما يحتاج اليه الماء و الدهن من التدبير فاعمل به انجام: و يؤخذ الوصل فيما بين القرعة و بين القضبان و يحكم ثم يقطر كذلك. خط: نسخ، بی کا، تا: صفر ۱۲۸۸ق؛ افتادگی: انجام؛ مقاله ۴۵ نوشته نشده؛ کاغذ: فرنگی شکری آهار مهره، جلد: تیماج قهوه ای ضربی با ترنج و سرترنج، ۳گ (۱۰۹-۱۱۱ر)، ۱۹ سطر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اندازه: ۲۲/۳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۱۳/۷ سم [ف: ۲۹/۲ -۶۱۷]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43" w:name="pg20363_209617"/>
    <w:bookmarkEnd w:id="343"/>
    <w:p>
      <w:pPr>
        <w:pStyle w:val="Heading3"/>
      </w:pPr>
      <w:bookmarkStart w:id="1900" w:name="_Toc1160"/>
      <w:r>
        <w:t>• تأثیرات حروف جمل وقت حلول قمر به منازل (مقالی در) / دعا / فارسی</w:t>
      </w:r>
      <w:bookmarkEnd w:id="1900"/>
    </w:p>
    <w:p>
      <w:pPr>
        <w:pStyle w:val="BookText"/>
      </w:pPr>
      <w:r>
        <w:rPr>
          <w:rFonts w:ascii="Times New Roman" w:hAnsi="Times New Roman" w:eastAsia="Times New Roman" w:cs="Times New Roman"/>
          <w:lang w:val="en-US" w:bidi="en-US"/>
          <w:color w:val="111111"/>
          <w:sz w:val="28"/>
          <w:szCs w:val="28"/>
          <w:rtl/>
        </w:rPr>
        <w:t xml:space="preserve">ta'sīrāt-e horūf-e jomal vaqt-e holūl-e qamar be manāzel (maqālī dar)</w:t>
      </w:r>
    </w:p>
    <w:p>
      <w:pPr>
        <w:pStyle w:val="BookText"/>
      </w:pPr>
      <w:r>
        <w:rPr>
          <w:rFonts w:ascii="IRNazanin" w:hAnsi="IRNazanin" w:eastAsia="IRNazanin" w:cs="IRNazanin"/>
          <w:lang w:bidi="fa-IR"/>
          <w:color w:val="111111"/>
          <w:sz w:val="28"/>
          <w:szCs w:val="28"/>
          <w:rtl/>
        </w:rPr>
        <w:t xml:space="preserve">مشهد؛ گوهرشاد؛ شماره نسخه:۲۴۶/۴</w:t>
      </w:r>
    </w:p>
    <w:p>
      <w:pPr>
        <w:pStyle w:val="BookText"/>
      </w:pPr>
      <w:r>
        <w:rPr>
          <w:rFonts w:ascii="IRNazanin" w:hAnsi="IRNazanin" w:eastAsia="IRNazanin" w:cs="IRNazanin"/>
          <w:lang w:bidi="fa-IR"/>
          <w:color w:val="111111"/>
          <w:sz w:val="28"/>
          <w:szCs w:val="28"/>
          <w:rtl/>
        </w:rPr>
        <w:t xml:space="preserve">خط: نستعلیق، بی کا، بی تا؛ مهر: حاج سید سعید؛ این مقاله در هامش رساله سوم آمده؛ جلد: تیماج عنابی، اص،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۱-۲۱۴]</w:t>
      </w:r>
    </w:p>
    <w:p>
      <w:pPr>
        <w:pStyle w:val="Heading3"/>
      </w:pPr>
      <w:bookmarkStart w:id="1901" w:name="_Toc1161"/>
      <w:r>
        <w:t>•تاثیر الاسم الاعظم و تسخير الكواكب و الارواح و العلويات / علوم غریبه / عربی</w:t>
      </w:r>
      <w:bookmarkEnd w:id="1901"/>
    </w:p>
    <w:p>
      <w:pPr>
        <w:pStyle w:val="BookText"/>
      </w:pPr>
      <w:r>
        <w:rPr>
          <w:rFonts w:ascii="Times New Roman" w:hAnsi="Times New Roman" w:eastAsia="Times New Roman" w:cs="Times New Roman"/>
          <w:lang w:val="en-US" w:bidi="en-US"/>
          <w:color w:val="111111"/>
          <w:sz w:val="28"/>
          <w:szCs w:val="28"/>
          <w:rtl/>
        </w:rPr>
        <w:t xml:space="preserve">ta’tīr-ul ism-il aʼzam wa tasxīr-ul kawākib wa-l arwāḥ wa-l ‘ulwīyāt</w:t>
      </w:r>
    </w:p>
    <w:p>
      <w:pPr>
        <w:pStyle w:val="BookText"/>
      </w:pPr>
      <w:r>
        <w:rPr>
          <w:rFonts w:ascii="IRNazanin" w:hAnsi="IRNazanin" w:eastAsia="IRNazanin" w:cs="IRNazanin"/>
          <w:lang w:bidi="fa-IR"/>
          <w:color w:val="111111"/>
          <w:sz w:val="28"/>
          <w:szCs w:val="28"/>
          <w:rtl/>
        </w:rPr>
        <w:t xml:space="preserve">تهران، دانشگاه؛ شماره نسخه: ۷۴۷۷/۲</w:t>
      </w:r>
    </w:p>
    <w:p>
      <w:pPr>
        <w:pStyle w:val="BookText"/>
      </w:pPr>
      <w:r>
        <w:rPr>
          <w:rFonts w:ascii="IRNazanin" w:hAnsi="IRNazanin" w:eastAsia="IRNazanin" w:cs="IRNazanin"/>
          <w:lang w:bidi="fa-IR"/>
          <w:color w:val="111111"/>
          <w:sz w:val="28"/>
          <w:szCs w:val="28"/>
          <w:rtl/>
        </w:rPr>
        <w:t xml:space="preserve">خط: نسخ، بی کا، تا: قرن ۱۲؛ کاغذ: سپاهانی، جلد: تیماج مشکی لایی، ۴۰گ (۱۴۱-۱۸۰)، ۱۴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 قطع: ربعی،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۱۶-۵۸۵]</w:t>
      </w:r>
    </w:p>
    <w:p>
      <w:pPr>
        <w:pStyle w:val="Heading3"/>
      </w:pPr>
      <w:bookmarkStart w:id="1902" w:name="_Toc1162"/>
      <w:r>
        <w:t>•تأثير الدعاء على ترتيب الكواكب / هیئت / عربی</w:t>
      </w:r>
      <w:bookmarkEnd w:id="1902"/>
    </w:p>
    <w:p>
      <w:pPr>
        <w:pStyle w:val="BookText"/>
      </w:pPr>
      <w:r>
        <w:rPr>
          <w:rFonts w:ascii="Times New Roman" w:hAnsi="Times New Roman" w:eastAsia="Times New Roman" w:cs="Times New Roman"/>
          <w:lang w:val="en-US" w:bidi="en-US"/>
          <w:color w:val="111111"/>
          <w:sz w:val="28"/>
          <w:szCs w:val="28"/>
          <w:rtl/>
        </w:rPr>
        <w:t xml:space="preserve">ala tartib-il kawakib ta'sir-ud du'a</w:t>
      </w:r>
    </w:p>
    <w:p>
      <w:pPr>
        <w:pStyle w:val="BookText"/>
      </w:pPr>
      <w:r>
        <w:rPr>
          <w:rFonts w:ascii="IRNazanin" w:hAnsi="IRNazanin" w:eastAsia="IRNazanin" w:cs="IRNazanin"/>
          <w:lang w:bidi="fa-IR"/>
          <w:color w:val="111111"/>
          <w:sz w:val="28"/>
          <w:szCs w:val="28"/>
          <w:rtl/>
        </w:rPr>
        <w:t xml:space="preserve">مشهد؛ رضوی؛ شماره نسخه: ۱۹۲۵۸</w:t>
      </w:r>
    </w:p>
    <w:p>
      <w:pPr>
        <w:pStyle w:val="BookText"/>
      </w:pPr>
      <w:r>
        <w:rPr>
          <w:rFonts w:ascii="IRNazanin" w:hAnsi="IRNazanin" w:eastAsia="IRNazanin" w:cs="IRNazanin"/>
          <w:lang w:bidi="fa-IR"/>
          <w:color w:val="111111"/>
          <w:sz w:val="28"/>
          <w:szCs w:val="28"/>
          <w:rtl/>
        </w:rPr>
        <w:t xml:space="preserve">آغاز: بسمله. قال هذا اسعد الله من المسایل ... . على الروحانيين؛ انجام: و الحمد لله رب العالمين و الصلاة على رسوله محمد و آله الطيبين الطاهرين. کامل؛ خط: نستعلیق خفی، بی کا، تا: قرن ۱۲؛ ضميمه نسخه ش ۵۵۰۴؛ کاغذ: شکری، جلد: مقوا با رویه پارچه، ۱۴ سطر (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قطع: رقعی،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[رایانه]</w:t>
      </w:r>
    </w:p>
    <w:p>
      <w:pPr>
        <w:pStyle w:val="BookText"/>
      </w:pPr>
      <w:r>
        <w:rPr>
          <w:rFonts w:ascii="IRNazanin" w:hAnsi="IRNazanin" w:eastAsia="IRNazanin" w:cs="IRNazanin"/>
          <w:lang w:bidi="fa-IR"/>
          <w:color w:val="111111"/>
          <w:sz w:val="28"/>
          <w:szCs w:val="28"/>
          <w:rtl/>
        </w:rPr>
        <w:t xml:space="preserve">← تأثير كسوف ← احکام کسوف</w:t>
      </w:r>
    </w:p>
    <w:p>
      <w:pPr>
        <w:pStyle w:val="Heading3"/>
      </w:pPr>
      <w:bookmarkStart w:id="1903" w:name="_Toc1163"/>
      <w:r>
        <w:t>•التاج / اخلاق / عربی</w:t>
      </w:r>
      <w:bookmarkEnd w:id="1903"/>
    </w:p>
    <w:p>
      <w:pPr>
        <w:pStyle w:val="BookText"/>
      </w:pPr>
      <w:r>
        <w:rPr>
          <w:rFonts w:ascii="Times New Roman" w:hAnsi="Times New Roman" w:eastAsia="Times New Roman" w:cs="Times New Roman"/>
          <w:lang w:val="en-US" w:bidi="en-US"/>
          <w:color w:val="111111"/>
          <w:sz w:val="28"/>
          <w:szCs w:val="28"/>
          <w:rtl/>
        </w:rPr>
        <w:t xml:space="preserve">at-tāj</w:t>
      </w:r>
    </w:p>
    <w:p>
      <w:pPr>
        <w:pStyle w:val="BookText"/>
      </w:pPr>
      <w:r>
        <w:rPr>
          <w:rFonts w:ascii="IRNazanin" w:hAnsi="IRNazanin" w:eastAsia="IRNazanin" w:cs="IRNazanin"/>
          <w:lang w:bidi="fa-IR"/>
          <w:color w:val="111111"/>
          <w:sz w:val="28"/>
          <w:szCs w:val="28"/>
          <w:rtl/>
        </w:rPr>
        <w:t xml:space="preserve">جاحظ، عمرو بن بحر، ۱۵۰-۲۵۵ قمری</w:t>
      </w:r>
    </w:p>
    <w:p>
      <w:pPr>
        <w:pStyle w:val="BookText"/>
      </w:pPr>
      <w:r>
        <w:rPr>
          <w:rFonts w:ascii="Times New Roman" w:hAnsi="Times New Roman" w:eastAsia="Times New Roman" w:cs="Times New Roman"/>
          <w:lang w:val="en-US" w:bidi="en-US"/>
          <w:color w:val="111111"/>
          <w:sz w:val="28"/>
          <w:szCs w:val="28"/>
          <w:rtl/>
        </w:rPr>
        <w:t xml:space="preserve">jāhez, ‘amr ebn-e bahr (768-870)</w:t>
      </w:r>
    </w:p>
    <w:p>
      <w:pPr>
        <w:pStyle w:val="BookText"/>
      </w:pPr>
      <w:r>
        <w:rPr>
          <w:rFonts w:ascii="IRNazanin" w:hAnsi="IRNazanin" w:eastAsia="IRNazanin" w:cs="IRNazanin"/>
          <w:lang w:bidi="fa-IR"/>
          <w:color w:val="111111"/>
          <w:sz w:val="28"/>
          <w:szCs w:val="28"/>
          <w:rtl/>
        </w:rPr>
        <w:t xml:space="preserve">اهداء به: امیر فتح بن خاقان مولی امیر المؤمنين</w:t>
      </w:r>
    </w:p>
    <w:p>
      <w:pPr>
        <w:pStyle w:val="BookText"/>
      </w:pPr>
      <w:r>
        <w:rPr>
          <w:rFonts w:ascii="IRNazanin" w:hAnsi="IRNazanin" w:eastAsia="IRNazanin" w:cs="IRNazanin"/>
          <w:lang w:bidi="fa-IR"/>
          <w:color w:val="111111"/>
          <w:sz w:val="28"/>
          <w:szCs w:val="28"/>
          <w:rtl/>
        </w:rPr>
        <w:t xml:space="preserve">این کتاب به نام «التاج في أخلاق الملوک» نیز خوانده شده و در آن وجوب تعظیم ملوک و شاهان و طریقه برخورد مردم با ملوک و نیز طریق برخورد با پادشاهان با مردم آمده است. مؤلف آن را بعد از کتابی که در «اخلاق الفتيان و فضایل اهل البطالة» نوشته بوده تنظیم کرده است. دارای چهار «باب» که در هر باب حکایات مناسب با آن آورده شده است.</w:t>
      </w:r>
    </w:p>
    <w:p>
      <w:pPr>
        <w:pStyle w:val="BookText"/>
      </w:pPr>
      <w:r>
        <w:rPr>
          <w:rFonts w:ascii="Amiri" w:hAnsi="Amiri" w:eastAsia="Amiri" w:cs="Amiri"/>
          <w:lang w:bidi="ar-SA"/>
          <w:color w:val="111111"/>
          <w:sz w:val="28"/>
          <w:szCs w:val="28"/>
          <w:rtl/>
        </w:rPr>
        <w:t xml:space="preserve">آغاز: الحمد لله الذي له ما في السماوات وما في الأرض وله الحمد في الآخرة و هو الحكيم الخبير احمده على تتابع الآية و تواتر نعمائه و ترادف مننه.</w:t>
      </w:r>
    </w:p>
    <w:p>
      <w:pPr>
        <w:pStyle w:val="BookText"/>
      </w:pPr>
      <w:r>
        <w:rPr>
          <w:rFonts w:ascii="IRNazanin" w:hAnsi="IRNazanin" w:eastAsia="IRNazanin" w:cs="IRNazanin"/>
          <w:lang w:bidi="fa-IR"/>
          <w:color w:val="111111"/>
          <w:sz w:val="28"/>
          <w:szCs w:val="28"/>
          <w:rtl/>
        </w:rPr>
        <w:t xml:space="preserve">چاپ: مصر، محقق: علامه احمد زکی باشا، جزئ 1، رقم ۵۲۰.</w:t>
      </w:r>
    </w:p>
    <w:p>
      <w:pPr>
        <w:pStyle w:val="BookText"/>
      </w:pPr>
      <w:r>
        <w:rPr>
          <w:rFonts w:ascii="IRNazanin" w:hAnsi="IRNazanin" w:eastAsia="IRNazanin" w:cs="IRNazanin"/>
          <w:lang w:bidi="fa-IR"/>
          <w:color w:val="111111"/>
          <w:sz w:val="28"/>
          <w:szCs w:val="28"/>
          <w:rtl/>
        </w:rPr>
        <w:t xml:space="preserve">[دنا ۶۵۶/۲ ؛ ذخائر التراث العربي الاسلامی ۴۳۲/۱ )</w:t>
      </w:r>
    </w:p>
    <w:p>
      <w:pPr>
        <w:pStyle w:val="BookText"/>
      </w:pPr>
      <w:r>
        <w:rPr>
          <w:rFonts w:ascii="IRNazanin" w:hAnsi="IRNazanin" w:eastAsia="IRNazanin" w:cs="IRNazanin"/>
          <w:lang w:bidi="fa-IR"/>
          <w:color w:val="111111"/>
          <w:sz w:val="28"/>
          <w:szCs w:val="28"/>
          <w:rtl/>
        </w:rPr>
        <w:t xml:space="preserve">۱. قم: مرکز احیاء؛ شماره نسخه:۱۰۳۱/۳</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نسخه اصل: کتابخانه احمد ثالث، ترکیه ش ۲۴۱۷؛ خط: نسخ، بی کا، تا: قرن ۱۹ ۱۵۸ص [عکسی ف: ۳-۲۸۹]</w:t>
      </w:r>
    </w:p>
    <w:p>
      <w:pPr>
        <w:pStyle w:val="BookText"/>
      </w:pPr>
      <w:r>
        <w:rPr>
          <w:rFonts w:ascii="IRNazanin" w:hAnsi="IRNazanin" w:eastAsia="IRNazanin" w:cs="IRNazanin"/>
          <w:lang w:bidi="fa-IR"/>
          <w:color w:val="111111"/>
          <w:sz w:val="28"/>
          <w:szCs w:val="28"/>
          <w:rtl/>
        </w:rPr>
        <w:t xml:space="preserve">۲. تهران؛ مینوی؛ شماره نسخه:۲۶۹/۴ بخش ۳ و ۷۳/۳بخش ۲</w:t>
      </w:r>
    </w:p>
    <w:p>
      <w:pPr>
        <w:pStyle w:val="BookText"/>
      </w:pPr>
      <w:r>
        <w:rPr>
          <w:rFonts w:ascii="IRNazanin" w:hAnsi="IRNazanin" w:eastAsia="IRNazanin" w:cs="IRNazanin"/>
          <w:lang w:bidi="fa-IR"/>
          <w:color w:val="111111"/>
          <w:sz w:val="28"/>
          <w:szCs w:val="28"/>
          <w:rtl/>
        </w:rPr>
        <w:t xml:space="preserve">نسخه اصل: در موزه طوپقیو سرای (قرطای ۸۲۱۹)؛ بی کا، بی تا [ف: ۱۳۴ و ۸۲]</w:t>
      </w:r>
    </w:p>
    <w:p>
      <w:pPr>
        <w:pStyle w:val="Heading3"/>
      </w:pPr>
      <w:bookmarkStart w:id="1904" w:name="_Toc1164"/>
      <w:r>
        <w:t>•تاج الاخبار و سراج الآثار / تاریخ جهان، تاریخ ایران / فارسی</w:t>
      </w:r>
      <w:bookmarkEnd w:id="1904"/>
    </w:p>
    <w:p>
      <w:pPr>
        <w:pStyle w:val="BookText"/>
      </w:pPr>
      <w:r>
        <w:rPr>
          <w:rFonts w:ascii="Times New Roman" w:hAnsi="Times New Roman" w:eastAsia="Times New Roman" w:cs="Times New Roman"/>
          <w:lang w:val="en-US" w:bidi="en-US"/>
          <w:color w:val="111111"/>
          <w:sz w:val="28"/>
          <w:szCs w:val="28"/>
          <w:rtl/>
        </w:rPr>
        <w:t xml:space="preserve">tāj-ol axbār va serāj-ol āsār</w:t>
      </w:r>
    </w:p>
    <w:p>
      <w:pPr>
        <w:pStyle w:val="BookText"/>
      </w:pPr>
      <w:r>
        <w:rPr>
          <w:rFonts w:ascii="IRNazanin" w:hAnsi="IRNazanin" w:eastAsia="IRNazanin" w:cs="IRNazanin"/>
          <w:lang w:bidi="fa-IR"/>
          <w:color w:val="111111"/>
          <w:sz w:val="28"/>
          <w:szCs w:val="28"/>
          <w:rtl/>
        </w:rPr>
        <w:t xml:space="preserve">شیرازی، محمد حسین بن علیرضا، ق۱۳ قمری</w:t>
      </w:r>
    </w:p>
    <w:p>
      <w:pPr>
        <w:pStyle w:val="BookText"/>
      </w:pPr>
      <w:r>
        <w:rPr>
          <w:rFonts w:ascii="Times New Roman" w:hAnsi="Times New Roman" w:eastAsia="Times New Roman" w:cs="Times New Roman"/>
          <w:lang w:val="en-US" w:bidi="en-US"/>
          <w:color w:val="111111"/>
          <w:sz w:val="28"/>
          <w:szCs w:val="28"/>
          <w:rtl/>
        </w:rPr>
        <w:t xml:space="preserve">šīrāzī, mohammad hoseyn-e-bn-e ‘alī-rezā (-190)</w:t>
      </w:r>
    </w:p>
    <w:p>
      <w:pPr>
        <w:pStyle w:val="BookText"/>
      </w:pPr>
      <w:r>
        <w:rPr>
          <w:rFonts w:ascii="IRNazanin" w:hAnsi="IRNazanin" w:eastAsia="IRNazanin" w:cs="IRNazanin"/>
          <w:lang w:bidi="fa-IR"/>
          <w:color w:val="111111"/>
          <w:sz w:val="28"/>
          <w:szCs w:val="28"/>
          <w:rtl/>
        </w:rPr>
        <w:t xml:space="preserve">اهدا به: فتح علی شاه قاجار</w:t>
      </w:r>
    </w:p>
    <w:p>
      <w:pPr>
        <w:pStyle w:val="BookText"/>
      </w:pPr>
      <w:r>
        <w:rPr>
          <w:rFonts w:ascii="IRNazanin" w:hAnsi="IRNazanin" w:eastAsia="IRNazanin" w:cs="IRNazanin"/>
          <w:lang w:bidi="fa-IR"/>
          <w:color w:val="111111"/>
          <w:sz w:val="28"/>
          <w:szCs w:val="28"/>
          <w:rtl/>
        </w:rPr>
        <w:t xml:space="preserve">در تاریخ عمومی ایران از پیامبران تا سال ۱۲۴۵ ق است، در ۱ «فاتحه) و ۲ «مقاله» و ۳۳ «فصل» و ۱ «خاتمه» ساخته شده است. آغاز: فهرست صحايف کتب و اسفار و عنوان مکاتیب سیر و اخبار حمد و ثنای پروردگاری است</w:t>
      </w:r>
    </w:p>
    <w:p>
      <w:pPr>
        <w:pStyle w:val="BookText"/>
      </w:pPr>
      <w:r>
        <w:rPr>
          <w:rFonts w:ascii="IRNazanin" w:hAnsi="IRNazanin" w:eastAsia="IRNazanin" w:cs="IRNazanin"/>
          <w:lang w:bidi="fa-IR"/>
          <w:color w:val="111111"/>
          <w:sz w:val="28"/>
          <w:szCs w:val="28"/>
          <w:rtl/>
        </w:rPr>
        <w:t xml:space="preserve">[دنا ۶۵۶/۲ ؛ فهرستواره منزوی ۵۶۹/۱ ]</w:t>
      </w:r>
    </w:p>
    <w:p>
      <w:pPr>
        <w:pStyle w:val="BookText"/>
      </w:pPr>
      <w:r>
        <w:rPr>
          <w:rFonts w:ascii="IRNazanin" w:hAnsi="IRNazanin" w:eastAsia="IRNazanin" w:cs="IRNazanin"/>
          <w:lang w:bidi="fa-IR"/>
          <w:color w:val="111111"/>
          <w:sz w:val="28"/>
          <w:szCs w:val="28"/>
          <w:rtl/>
        </w:rPr>
        <w:t xml:space="preserve">تهران؛ ملک؛ شماره نسخه:۴۰۸۳</w:t>
      </w:r>
    </w:p>
    <w:p>
      <w:pPr>
        <w:pStyle w:val="BookText"/>
      </w:pPr>
      <w:r>
        <w:rPr>
          <w:rFonts w:ascii="IRNazanin" w:hAnsi="IRNazanin" w:eastAsia="IRNazanin" w:cs="IRNazanin"/>
          <w:lang w:bidi="fa-IR"/>
          <w:color w:val="111111"/>
          <w:sz w:val="28"/>
          <w:szCs w:val="28"/>
          <w:rtl/>
        </w:rPr>
        <w:t xml:space="preserve">آغاز: برابر؛ انجام: سنه ۱۲۴۵ ... است بسمت سردار آباد نزول نموده بودند ... (نانوشته)</w:t>
      </w:r>
    </w:p>
    <w:p>
      <w:pPr>
        <w:pStyle w:val="BookText"/>
      </w:pPr>
      <w:r>
        <w:rPr>
          <w:rFonts w:ascii="IRNazanin" w:hAnsi="IRNazanin" w:eastAsia="IRNazanin" w:cs="IRNazanin"/>
          <w:lang w:bidi="fa-IR"/>
          <w:color w:val="111111"/>
          <w:sz w:val="28"/>
          <w:szCs w:val="28"/>
          <w:rtl/>
        </w:rPr>
        <w:t xml:space="preserve">خط: نستعلیق، بی کا، تا: قرن ۱۳؛ کاغذ: کاغذ فستقی، جلد: میشن مشکی، ۲۸۷گ، ۱۷ سطر، اندازه: ۲۳/۲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۲-۷۱)</w:t>
      </w:r>
    </w:p>
    <w:p>
      <w:pPr>
        <w:pStyle w:val="BookText"/>
      </w:pPr>
      <w:r>
        <w:rPr>
          <w:rFonts w:ascii="IRNazanin" w:hAnsi="IRNazanin" w:eastAsia="IRNazanin" w:cs="IRNazanin"/>
          <w:lang w:bidi="fa-IR"/>
          <w:color w:val="111111"/>
          <w:sz w:val="28"/>
          <w:szCs w:val="28"/>
          <w:rtl/>
        </w:rPr>
        <w:t xml:space="preserve">← تاج الاسامی ← تهذيب الأسماء</w:t>
      </w:r>
    </w:p>
    <w:p>
      <w:pPr>
        <w:pStyle w:val="BookText"/>
      </w:pPr>
      <w:r>
        <w:rPr>
          <w:rFonts w:ascii="IRNazanin" w:hAnsi="IRNazanin" w:eastAsia="IRNazanin" w:cs="IRNazanin"/>
          <w:lang w:bidi="fa-IR"/>
          <w:color w:val="111111"/>
          <w:sz w:val="28"/>
          <w:szCs w:val="28"/>
          <w:rtl/>
        </w:rPr>
        <w:t xml:space="preserve">← تاج الاسامی ← تاج المصادر</w:t>
      </w:r>
    </w:p>
    <w:p>
      <w:pPr>
        <w:pStyle w:val="BookText"/>
      </w:pPr>
      <w:r>
        <w:rPr>
          <w:rFonts w:ascii="Amiri" w:hAnsi="Amiri" w:eastAsia="Amiri" w:cs="Amiri"/>
          <w:lang w:bidi="ar-SA"/>
          <w:color w:val="111111"/>
          <w:sz w:val="28"/>
          <w:szCs w:val="28"/>
          <w:rtl/>
        </w:rPr>
        <w:t xml:space="preserve">← تاج الاشعار ← سلوة الشيعة</w:t>
      </w:r>
    </w:p>
    <w:p>
      <w:pPr>
        <w:pStyle w:val="Heading3"/>
      </w:pPr>
      <w:bookmarkStart w:id="1905" w:name="_Toc1165"/>
      <w:r>
        <w:t>•تاج التراجم / تراجم / عربی</w:t>
      </w:r>
      <w:bookmarkEnd w:id="1905"/>
    </w:p>
    <w:p>
      <w:pPr>
        <w:pStyle w:val="BookText"/>
      </w:pPr>
      <w:r>
        <w:rPr>
          <w:rFonts w:ascii="Times New Roman" w:hAnsi="Times New Roman" w:eastAsia="Times New Roman" w:cs="Times New Roman"/>
          <w:lang w:val="en-US" w:bidi="en-US"/>
          <w:color w:val="111111"/>
          <w:sz w:val="28"/>
          <w:szCs w:val="28"/>
          <w:rtl/>
        </w:rPr>
        <w:t xml:space="preserve">tāj-ut tarājem</w:t>
      </w:r>
    </w:p>
    <w:p>
      <w:pPr>
        <w:pStyle w:val="BookText"/>
      </w:pPr>
      <w:r>
        <w:rPr>
          <w:rFonts w:ascii="IRNazanin" w:hAnsi="IRNazanin" w:eastAsia="IRNazanin" w:cs="IRNazanin"/>
          <w:lang w:bidi="fa-IR"/>
          <w:color w:val="111111"/>
          <w:sz w:val="28"/>
          <w:szCs w:val="28"/>
          <w:rtl/>
        </w:rPr>
        <w:t xml:space="preserve">ابن قطلوبغا، قاسم بن قطلوبغا، ۸۰۲-۸۷۹ قمری</w:t>
      </w:r>
    </w:p>
    <w:p>
      <w:pPr>
        <w:pStyle w:val="BookText"/>
      </w:pPr>
      <w:r>
        <w:rPr>
          <w:rFonts w:ascii="Times New Roman" w:hAnsi="Times New Roman" w:eastAsia="Times New Roman" w:cs="Times New Roman"/>
          <w:lang w:val="en-US" w:bidi="en-US"/>
          <w:color w:val="111111"/>
          <w:sz w:val="28"/>
          <w:szCs w:val="28"/>
          <w:rtl/>
        </w:rPr>
        <w:t xml:space="preserve">ebn-o qotlūbaqā, qāsem-e-bn-e qotlūbaqā (1400-1475)</w:t>
      </w:r>
    </w:p>
    <w:p>
      <w:pPr>
        <w:pStyle w:val="BookText"/>
      </w:pPr>
      <w:r>
        <w:rPr>
          <w:rFonts w:ascii="IRNazanin" w:hAnsi="IRNazanin" w:eastAsia="IRNazanin" w:cs="IRNazanin"/>
          <w:lang w:bidi="fa-IR"/>
          <w:color w:val="111111"/>
          <w:sz w:val="28"/>
          <w:szCs w:val="28"/>
          <w:rtl/>
        </w:rPr>
        <w:t xml:space="preserve">برگزیده «طبقات الحنفية» مقریزی در شرح حال علمای حنفی مذهبی است که تألیفی داشته اند. آن را در زمان حیات مقریزی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44" w:name="pg20363_209618"/>
    <w:bookmarkEnd w:id="344"/>
    <w:p>
      <w:pPr>
        <w:pStyle w:val="BookText"/>
      </w:pPr>
      <w:r>
        <w:rPr>
          <w:rFonts w:ascii="IRNazanin" w:hAnsi="IRNazanin" w:eastAsia="IRNazanin" w:cs="IRNazanin"/>
          <w:lang w:bidi="fa-IR"/>
          <w:color w:val="111111"/>
          <w:sz w:val="28"/>
          <w:szCs w:val="28"/>
          <w:rtl/>
        </w:rPr>
        <w:t xml:space="preserve">(۸۴۵ق) نوشته همان گونه که خود در مقدمه اشاره کرده است: لما وقفت على تذكرة شيخنا الامام ... شهاب الدین احمد بن على عبد القادر بن محمد المقریزی امتع الله بحياته ... رأيت ما كتبه من تراجم الأئمة الحنفية فاحببت ان الحق بكل اسم ما تيسر الى من تراجم من يسمی به منهم على نحو ما قصد من الاقتصار على ما ذكر من له تصنيف حيا لاتباعه و صبرا لقصر باعی». در این کتاب شرح حال حدود ۳۳۰ تن از علمای حنفی آمده است. چاپ: بغداد، مكتبة المثنی، ۱۹۶۲م، نقلت عن الطبعة الأروبية؛ دمشق، دار القلم، تحقيق محمد رمضان يوسف، ۱۹۹۲م</w:t>
      </w:r>
    </w:p>
    <w:p>
      <w:pPr>
        <w:pStyle w:val="BookText"/>
      </w:pPr>
      <w:r>
        <w:rPr>
          <w:rFonts w:ascii="IRNazanin" w:hAnsi="IRNazanin" w:eastAsia="IRNazanin" w:cs="IRNazanin"/>
          <w:lang w:bidi="fa-IR"/>
          <w:color w:val="111111"/>
          <w:sz w:val="28"/>
          <w:szCs w:val="28"/>
          <w:rtl/>
        </w:rPr>
        <w:t xml:space="preserve">[الأوقاف العامة موصل ۲۱۱/۲ ؛ کشف الظنون ۲۶۹/۱ ؛ فهرست المخطوطات المصورة، قاهره، جزء ۲، قسم ۴، ص ۷۲؛ فهرس دار الكتب قاهره ۱۱۶/۱ ؛ دایرة المعارف بزرگ اسلامی ۴۸۲/۴ ؛ فهرست ظاهریه، تاریخ، ۹۲/۲ -۹۳ ]</w:t>
      </w:r>
    </w:p>
    <w:p>
      <w:pPr>
        <w:pStyle w:val="BookText"/>
      </w:pPr>
      <w:r>
        <w:rPr>
          <w:rFonts w:ascii="IRNazanin" w:hAnsi="IRNazanin" w:eastAsia="IRNazanin" w:cs="IRNazanin"/>
          <w:lang w:bidi="fa-IR"/>
          <w:color w:val="111111"/>
          <w:sz w:val="28"/>
          <w:szCs w:val="28"/>
          <w:rtl/>
        </w:rPr>
        <w:t xml:space="preserve">مشهد؛ رضوی؛ شماره نسخه: ۳۴۷۷۰</w:t>
      </w:r>
    </w:p>
    <w:p>
      <w:pPr>
        <w:pStyle w:val="BookText"/>
      </w:pPr>
      <w:r>
        <w:rPr>
          <w:rFonts w:ascii="IRNazanin" w:hAnsi="IRNazanin" w:eastAsia="IRNazanin" w:cs="IRNazanin"/>
          <w:lang w:bidi="fa-IR"/>
          <w:color w:val="111111"/>
          <w:sz w:val="28"/>
          <w:szCs w:val="28"/>
          <w:rtl/>
        </w:rPr>
        <w:t xml:space="preserve">آغاز: الحمد لله تعالی و سلام على عباده الذين اصطفی و بعد فيقول الامام العالم الحافظ العلامة ابو الفضل قاسم بن؛ انجام الهاشمي عبد المطلب. الوالجی عبد الرشید. الیزدی مسعود بن الحسين.</w:t>
      </w:r>
    </w:p>
    <w:p>
      <w:pPr>
        <w:pStyle w:val="BookText"/>
      </w:pPr>
      <w:r>
        <w:rPr>
          <w:rFonts w:ascii="IRNazanin" w:hAnsi="IRNazanin" w:eastAsia="IRNazanin" w:cs="IRNazanin"/>
          <w:lang w:bidi="fa-IR"/>
          <w:color w:val="111111"/>
          <w:sz w:val="28"/>
          <w:szCs w:val="28"/>
          <w:rtl/>
        </w:rPr>
        <w:t xml:space="preserve">خط: نستعلیق، بی کا، تا: قرن ۱۱؛ محشی؛ اهدایی: رهبری، اردیبهشت ۱۳۸۶؛ کاغذ: کشمیری حنایی آهار مهره، جلد: تیماج فرنگی قهوه ای مجدول زرکوب، ۴۶گ (۵۶-۱۰۱پ)، ۱۷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سم [اهدائی رهبر: ۸-۱۷۲]</w:t>
      </w:r>
    </w:p>
    <w:p>
      <w:pPr>
        <w:pStyle w:val="Heading3"/>
      </w:pPr>
      <w:bookmarkStart w:id="1906" w:name="_Toc1166"/>
      <w:r>
        <w:t>• تاج التراجم في تفسير القرآن للأعاجم = تفسیر اسفراینی / تفسير / فارسی</w:t>
      </w:r>
      <w:bookmarkEnd w:id="1906"/>
    </w:p>
    <w:p>
      <w:pPr>
        <w:pStyle w:val="BookText"/>
      </w:pPr>
      <w:r>
        <w:rPr>
          <w:rFonts w:ascii="Times New Roman" w:hAnsi="Times New Roman" w:eastAsia="Times New Roman" w:cs="Times New Roman"/>
          <w:lang w:val="en-US" w:bidi="en-US"/>
          <w:color w:val="111111"/>
          <w:sz w:val="28"/>
          <w:szCs w:val="28"/>
          <w:rtl/>
        </w:rPr>
        <w:t xml:space="preserve">tāj-ot tarājem fi tafsīr-el qor’ān le-l-a‘ājem = tafsīr-e esfarāyenī</w:t>
      </w:r>
    </w:p>
    <w:p>
      <w:pPr>
        <w:pStyle w:val="BookText"/>
      </w:pPr>
      <w:r>
        <w:rPr>
          <w:rFonts w:ascii="IRNazanin" w:hAnsi="IRNazanin" w:eastAsia="IRNazanin" w:cs="IRNazanin"/>
          <w:lang w:bidi="fa-IR"/>
          <w:color w:val="111111"/>
          <w:sz w:val="28"/>
          <w:szCs w:val="28"/>
          <w:rtl/>
        </w:rPr>
        <w:t xml:space="preserve">اسفراینی، شهنور بن طاهر، - ۴۷۱ قمری</w:t>
      </w:r>
    </w:p>
    <w:p>
      <w:pPr>
        <w:pStyle w:val="BookText"/>
      </w:pPr>
      <w:r>
        <w:rPr>
          <w:rFonts w:ascii="Times New Roman" w:hAnsi="Times New Roman" w:eastAsia="Times New Roman" w:cs="Times New Roman"/>
          <w:lang w:val="en-US" w:bidi="en-US"/>
          <w:color w:val="111111"/>
          <w:sz w:val="28"/>
          <w:szCs w:val="28"/>
          <w:rtl/>
        </w:rPr>
        <w:t xml:space="preserve">esfarāyenī, šahfūr-e-bn-e tāher (-1079)</w:t>
      </w:r>
    </w:p>
    <w:p>
      <w:pPr>
        <w:pStyle w:val="BookText"/>
      </w:pPr>
      <w:r>
        <w:rPr>
          <w:rFonts w:ascii="IRNazanin" w:hAnsi="IRNazanin" w:eastAsia="IRNazanin" w:cs="IRNazanin"/>
          <w:lang w:bidi="fa-IR"/>
          <w:color w:val="111111"/>
          <w:sz w:val="28"/>
          <w:szCs w:val="28"/>
          <w:rtl/>
        </w:rPr>
        <w:t xml:space="preserve">ترجمه و تفسیری است به نثر فارسی کهن که در آغاز هر سوره به مکی و مدنی بودن سوره، تعداد آیات، كلمات، حروف و اختلاف قرائت آن اشاره نموده و سپس حدیثی در ثواب قرائت سوره آورده است. مفسر در این در تفسیر، بیشتر بر اخبار تکیه می کند و در برخی موارد حکایات تاریخی نیز بدان افزوده است. پیش از آغاز به تفسیر ۴ «فصل» دارد: ۱. فضیلت ترجمه کردن قرآن و وجوب آن در برخی از احوال؛ ۲. اعتقاد اهل سنت و جماعت در اصول دیانت؛ ۳. معاني اسمای خدای؛ ۴. بیان ترجمه برخی از صفات وی. در بعضی از قسمت ها مطالب را در حدود دو یا چندین برابر آیات تفسير و شرح کرده اند و از ذكر اخبار عامی و کیفیت عبارات و مطالب تأیید می شود که مؤلف از علماء عامه است.</w:t>
      </w:r>
    </w:p>
    <w:p>
      <w:pPr>
        <w:pStyle w:val="BookText"/>
      </w:pPr>
      <w:r>
        <w:rPr>
          <w:rFonts w:ascii="IRNazanin" w:hAnsi="IRNazanin" w:eastAsia="IRNazanin" w:cs="IRNazanin"/>
          <w:lang w:bidi="fa-IR"/>
          <w:color w:val="111111"/>
          <w:sz w:val="28"/>
          <w:szCs w:val="28"/>
          <w:rtl/>
        </w:rPr>
        <w:t xml:space="preserve">آغاز: الحمد لله الذي خلق السموات و الأرض ... سپاس و ستایش مر خدای را که آن خدای جل جلاله بیافرید</w:t>
      </w:r>
    </w:p>
    <w:p>
      <w:pPr>
        <w:pStyle w:val="BookText"/>
      </w:pPr>
      <w:r>
        <w:rPr>
          <w:rFonts w:ascii="IRNazanin" w:hAnsi="IRNazanin" w:eastAsia="IRNazanin" w:cs="IRNazanin"/>
          <w:lang w:bidi="fa-IR"/>
          <w:color w:val="111111"/>
          <w:sz w:val="28"/>
          <w:szCs w:val="28"/>
          <w:rtl/>
        </w:rPr>
        <w:t xml:space="preserve">انجام: و الجن و از هر دو به خداوند سبحانه و تعالی باید گروید و استعانت بوی کردن والله تعالی ولی الصواب والعصمة من كل بلاء و بدعه و الحمدلله رب العالمين</w:t>
      </w:r>
    </w:p>
    <w:p>
      <w:pPr>
        <w:pStyle w:val="BookText"/>
      </w:pPr>
      <w:r>
        <w:rPr>
          <w:rFonts w:ascii="IRNazanin" w:hAnsi="IRNazanin" w:eastAsia="IRNazanin" w:cs="IRNazanin"/>
          <w:lang w:bidi="fa-IR"/>
          <w:color w:val="111111"/>
          <w:sz w:val="28"/>
          <w:szCs w:val="28"/>
          <w:rtl/>
        </w:rPr>
        <w:t xml:space="preserve">چاپ: با تصحیح نجیب مایل هروی و علی اکبر الهی خراسانی در سال ۱۳۷۴، میراث مکتوب</w:t>
      </w:r>
    </w:p>
    <w:p>
      <w:pPr>
        <w:pStyle w:val="BookText"/>
      </w:pPr>
      <w:r>
        <w:rPr>
          <w:rFonts w:ascii="IRNazanin" w:hAnsi="IRNazanin" w:eastAsia="IRNazanin" w:cs="IRNazanin"/>
          <w:lang w:bidi="fa-IR"/>
          <w:color w:val="111111"/>
          <w:sz w:val="28"/>
          <w:szCs w:val="28"/>
          <w:rtl/>
        </w:rPr>
        <w:t xml:space="preserve">[کشف الظنون ۲۶۸/۱ ؛ هدية العارفین ۴۳۰/۱ ؛ استوری (۱) ۱۱۹۰/۳ ؛ نسخه های منزوی</w:t>
      </w:r>
    </w:p>
    <w:p>
      <w:pPr>
        <w:pStyle w:val="BookText"/>
      </w:pPr>
      <w:r>
        <w:rPr>
          <w:rFonts w:ascii="IRNazanin" w:hAnsi="IRNazanin" w:eastAsia="IRNazanin" w:cs="IRNazanin"/>
          <w:lang w:bidi="fa-IR"/>
          <w:color w:val="111111"/>
          <w:sz w:val="28"/>
          <w:szCs w:val="28"/>
          <w:rtl/>
        </w:rPr>
        <w:t xml:space="preserve">۹/۱ (۷نسخه)؛ دنا ۶۵۶/۲ (۴۳ نسخه)؛ مشترک پاکستان ۱۲/۱ (۱ نسخه)]</w:t>
      </w:r>
    </w:p>
    <w:p>
      <w:pPr>
        <w:pStyle w:val="BookText"/>
      </w:pPr>
      <w:r>
        <w:rPr>
          <w:rFonts w:ascii="IRNazanin" w:hAnsi="IRNazanin" w:eastAsia="IRNazanin" w:cs="IRNazanin"/>
          <w:lang w:bidi="fa-IR"/>
          <w:color w:val="111111"/>
          <w:sz w:val="28"/>
          <w:szCs w:val="28"/>
          <w:rtl/>
        </w:rPr>
        <w:t xml:space="preserve">۱. تهران؛ دانشگاه؛ شماره نسخه: ۱۰۵۶ف و ۱۰۵۷-ف</w:t>
      </w:r>
    </w:p>
    <w:p>
      <w:pPr>
        <w:pStyle w:val="BookText"/>
      </w:pPr>
      <w:r>
        <w:rPr>
          <w:rFonts w:ascii="IRNazanin" w:hAnsi="IRNazanin" w:eastAsia="IRNazanin" w:cs="IRNazanin"/>
          <w:lang w:bidi="fa-IR"/>
          <w:color w:val="111111"/>
          <w:sz w:val="28"/>
          <w:szCs w:val="28"/>
          <w:rtl/>
        </w:rPr>
        <w:t xml:space="preserve">نسخه اصل: فاتح. نیمه دوم، از سوره ۲۸ تا سوره ۱۱۴؛ خط: نسخ، كا: ابو منصور مظفر بن احمد بن حمدان، تا: ۲۰ ذیحجه ۵۰۶ق؛ ۱۲۷گ (۱-۱۲۷) [فيلمها ف: ۱-۲۷]</w:t>
      </w:r>
    </w:p>
    <w:p>
      <w:pPr>
        <w:pStyle w:val="BookText"/>
      </w:pPr>
      <w:r>
        <w:rPr>
          <w:rFonts w:ascii="IRNazanin" w:hAnsi="IRNazanin" w:eastAsia="IRNazanin" w:cs="IRNazanin"/>
          <w:lang w:bidi="fa-IR"/>
          <w:color w:val="111111"/>
          <w:sz w:val="28"/>
          <w:szCs w:val="28"/>
          <w:rtl/>
        </w:rPr>
        <w:t xml:space="preserve">۲. تهران، دانشگاه؛ شماره نسخه: ۱۶۵۱-ف</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نسخه اصل: کتابخانه غازی خسرو بیک در سرای (سراویو) در یوگسلاوی ش ۳۸۹</w:t>
      </w:r>
    </w:p>
    <w:p>
      <w:pPr>
        <w:pStyle w:val="BookText"/>
      </w:pPr>
      <w:r>
        <w:rPr>
          <w:rFonts w:ascii="IRNazanin" w:hAnsi="IRNazanin" w:eastAsia="IRNazanin" w:cs="IRNazanin"/>
          <w:lang w:bidi="fa-IR"/>
          <w:color w:val="111111"/>
          <w:sz w:val="28"/>
          <w:szCs w:val="28"/>
          <w:rtl/>
        </w:rPr>
        <w:t xml:space="preserve">(فهرست کتابخانه غازی خسرو بیک در سرای از قاسم دوبراچا، ص ۲۲۹ شماره ۳۸۹). جلد ۳ و در پایان آن آمده «يتلوها الرابعة»؛ خط: نسخ درشت، كا: ابراهیم بن عثمان نلهيجی سکلی، تا: پنج شنبه پایان ربيع الثانی ۵۷۹ق؛ ۵۴۷گ [فیلمها ف: ۱-۲۷]</w:t>
      </w:r>
    </w:p>
    <w:p>
      <w:pPr>
        <w:pStyle w:val="BookText"/>
      </w:pPr>
      <w:r>
        <w:rPr>
          <w:rFonts w:ascii="IRNazanin" w:hAnsi="IRNazanin" w:eastAsia="IRNazanin" w:cs="IRNazanin"/>
          <w:lang w:bidi="fa-IR"/>
          <w:color w:val="111111"/>
          <w:sz w:val="28"/>
          <w:szCs w:val="28"/>
          <w:rtl/>
        </w:rPr>
        <w:t xml:space="preserve">تهران؛ دائرة المعارف؛ شماره نسخه: ۱۰۲ -عکسی</w:t>
      </w:r>
    </w:p>
    <w:p>
      <w:pPr>
        <w:pStyle w:val="BookText"/>
      </w:pPr>
      <w:r>
        <w:rPr>
          <w:rFonts w:ascii="IRNazanin" w:hAnsi="IRNazanin" w:eastAsia="IRNazanin" w:cs="IRNazanin"/>
          <w:lang w:bidi="fa-IR"/>
          <w:color w:val="111111"/>
          <w:sz w:val="28"/>
          <w:szCs w:val="28"/>
          <w:rtl/>
        </w:rPr>
        <w:t xml:space="preserve">نسخه اصل: همان نسخه اصل بالا [عکسی ف: ۲-۴۹]</w:t>
      </w:r>
    </w:p>
    <w:p>
      <w:pPr>
        <w:pStyle w:val="BookText"/>
      </w:pPr>
      <w:r>
        <w:rPr>
          <w:rFonts w:ascii="IRNazanin" w:hAnsi="IRNazanin" w:eastAsia="IRNazanin" w:cs="IRNazanin"/>
          <w:lang w:bidi="fa-IR"/>
          <w:color w:val="111111"/>
          <w:sz w:val="28"/>
          <w:szCs w:val="28"/>
          <w:rtl/>
        </w:rPr>
        <w:t xml:space="preserve">تهران؛ مینوی؛ شماره نسخه:۱۴ و ۱۵ بخش۳</w:t>
      </w:r>
    </w:p>
    <w:p>
      <w:pPr>
        <w:pStyle w:val="BookText"/>
      </w:pPr>
      <w:r>
        <w:rPr>
          <w:rFonts w:ascii="IRNazanin" w:hAnsi="IRNazanin" w:eastAsia="IRNazanin" w:cs="IRNazanin"/>
          <w:lang w:bidi="fa-IR"/>
          <w:color w:val="111111"/>
          <w:sz w:val="28"/>
          <w:szCs w:val="28"/>
          <w:rtl/>
        </w:rPr>
        <w:t xml:space="preserve">نسخه اصل:همان نسخه اصل بالا. از آیه ۱۰۲سوره اعراف [ف: ۹۳]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دائرة المعارف؛ شماره نسخه: ۲۲۹- عکسی</w:t>
      </w:r>
    </w:p>
    <w:p>
      <w:pPr>
        <w:pStyle w:val="BookText"/>
      </w:pPr>
      <w:r>
        <w:rPr>
          <w:rFonts w:ascii="IRNazanin" w:hAnsi="IRNazanin" w:eastAsia="IRNazanin" w:cs="IRNazanin"/>
          <w:lang w:bidi="fa-IR"/>
          <w:color w:val="111111"/>
          <w:sz w:val="28"/>
          <w:szCs w:val="28"/>
          <w:rtl/>
        </w:rPr>
        <w:t xml:space="preserve">نسخه اصل: گنج بخش ش ۵۲۵ (گنج ۸/۱). در چهار مجلد، تا میانه های سوره یوسف را دارد؛ خط: ثلث، بی کا، تا: قرن ۶ و ۷ افتادگی: آغاز؛ ۵۶۴گ [عکسی ف: ۲-۴۹]</w:t>
      </w:r>
    </w:p>
    <w:p>
      <w:pPr>
        <w:pStyle w:val="BookText"/>
      </w:pPr>
      <w:r>
        <w:rPr>
          <w:rFonts w:ascii="IRNazanin" w:hAnsi="IRNazanin" w:eastAsia="IRNazanin" w:cs="IRNazanin"/>
          <w:lang w:bidi="fa-IR"/>
          <w:color w:val="111111"/>
          <w:sz w:val="28"/>
          <w:szCs w:val="28"/>
          <w:rtl/>
        </w:rPr>
        <w:t xml:space="preserve">۴. تهران؛ مجلس؛ شماره نسخه:۳۳۳</w:t>
      </w:r>
    </w:p>
    <w:p>
      <w:pPr>
        <w:pStyle w:val="BookText"/>
      </w:pPr>
      <w:r>
        <w:rPr>
          <w:rFonts w:ascii="IRNazanin" w:hAnsi="IRNazanin" w:eastAsia="IRNazanin" w:cs="IRNazanin"/>
          <w:lang w:bidi="fa-IR"/>
          <w:color w:val="111111"/>
          <w:sz w:val="28"/>
          <w:szCs w:val="28"/>
          <w:rtl/>
        </w:rPr>
        <w:t xml:space="preserve">از میانه قرآن است و آشفته؛ خط: نسخ و نستعلیق، بی کا، تا: قرن ۶ و ۷؛ با ترجمه فارسی زیر متن به نستعلیق، کاغذ: سفید، جلد: روغنی با گل و بوته رنگارنگ زمینه سرخ، ۱۴۸ گ، ۲۱-۱۶ سطر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[سنا: ف: ۱-۱۶۹]</w:t>
      </w:r>
    </w:p>
    <w:p>
      <w:pPr>
        <w:pStyle w:val="BookText"/>
      </w:pPr>
      <w:r>
        <w:rPr>
          <w:rFonts w:ascii="IRNazanin" w:hAnsi="IRNazanin" w:eastAsia="IRNazanin" w:cs="IRNazanin"/>
          <w:lang w:bidi="fa-IR"/>
          <w:color w:val="111111"/>
          <w:sz w:val="28"/>
          <w:szCs w:val="28"/>
          <w:rtl/>
        </w:rPr>
        <w:t xml:space="preserve">۵. تهران، دانشگاه؛ شماره نسخه:۳۲۷۷-ف</w:t>
      </w:r>
    </w:p>
    <w:p>
      <w:pPr>
        <w:pStyle w:val="BookText"/>
      </w:pPr>
      <w:r>
        <w:rPr>
          <w:rFonts w:ascii="IRNazanin" w:hAnsi="IRNazanin" w:eastAsia="IRNazanin" w:cs="IRNazanin"/>
          <w:lang w:bidi="fa-IR"/>
          <w:color w:val="111111"/>
          <w:sz w:val="28"/>
          <w:szCs w:val="28"/>
          <w:rtl/>
        </w:rPr>
        <w:t xml:space="preserve">نسخه اصل: موزه بریتانیا .۱۱۰۱۸</w:t>
      </w:r>
      <w:r>
        <w:rPr>
          <w:rFonts w:ascii="Times New Roman" w:hAnsi="Times New Roman" w:eastAsia="Times New Roman" w:cs="Times New Roman"/>
          <w:lang w:val="en-US" w:bidi="en-US"/>
          <w:color w:val="111111"/>
          <w:sz w:val="28"/>
          <w:szCs w:val="28"/>
          <w:rtl/>
        </w:rPr>
        <w:t xml:space="preserve">Or. </w:t>
      </w:r>
      <w:r>
        <w:rPr>
          <w:rFonts w:ascii="IRNazanin" w:hAnsi="IRNazanin" w:eastAsia="IRNazanin" w:cs="IRNazanin"/>
          <w:lang w:bidi="fa-IR"/>
          <w:color w:val="111111"/>
          <w:sz w:val="28"/>
          <w:szCs w:val="28"/>
          <w:rtl/>
        </w:rPr>
        <w:t xml:space="preserve">از سوره ق تا نصر؛ بی کا، تا: قرن ۷، ۴۲۶ص</w:t>
      </w:r>
    </w:p>
    <w:p>
      <w:pPr>
        <w:pStyle w:val="BookText"/>
      </w:pPr>
      <w:r>
        <w:rPr>
          <w:rFonts w:ascii="IRNazanin" w:hAnsi="IRNazanin" w:eastAsia="IRNazanin" w:cs="IRNazanin"/>
          <w:lang w:bidi="fa-IR"/>
          <w:color w:val="111111"/>
          <w:sz w:val="28"/>
          <w:szCs w:val="28"/>
          <w:rtl/>
        </w:rPr>
        <w:t xml:space="preserve">[فیلمها ف: ۲-۱۱۳]</w:t>
      </w:r>
    </w:p>
    <w:p>
      <w:pPr>
        <w:pStyle w:val="BookText"/>
      </w:pPr>
      <w:r>
        <w:rPr>
          <w:rFonts w:ascii="IRNazanin" w:hAnsi="IRNazanin" w:eastAsia="IRNazanin" w:cs="IRNazanin"/>
          <w:lang w:bidi="fa-IR"/>
          <w:color w:val="111111"/>
          <w:sz w:val="28"/>
          <w:szCs w:val="28"/>
          <w:rtl/>
        </w:rPr>
        <w:t xml:space="preserve">تهران؛ مینوی؛ شماره نسخه:۲۱ و ۲۲ و ۲۳بخش۳</w:t>
      </w:r>
    </w:p>
    <w:p>
      <w:pPr>
        <w:pStyle w:val="BookText"/>
      </w:pPr>
      <w:r>
        <w:rPr>
          <w:rFonts w:ascii="IRNazanin" w:hAnsi="IRNazanin" w:eastAsia="IRNazanin" w:cs="IRNazanin"/>
          <w:lang w:bidi="fa-IR"/>
          <w:color w:val="111111"/>
          <w:sz w:val="28"/>
          <w:szCs w:val="28"/>
          <w:rtl/>
        </w:rPr>
        <w:t xml:space="preserve">نسخه اصل: همان نسخه اصل بالا گویا از سده ششم (فهرست و مردیت اونس ص ۲) [ف: ۹۴]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دائرة المعارف؛ شماره نسخه: ۱۵۱-عکسی</w:t>
      </w:r>
    </w:p>
    <w:p>
      <w:pPr>
        <w:pStyle w:val="BookText"/>
      </w:pPr>
      <w:r>
        <w:rPr>
          <w:rFonts w:ascii="IRNazanin" w:hAnsi="IRNazanin" w:eastAsia="IRNazanin" w:cs="IRNazanin"/>
          <w:lang w:bidi="fa-IR"/>
          <w:color w:val="111111"/>
          <w:sz w:val="28"/>
          <w:szCs w:val="28"/>
          <w:rtl/>
        </w:rPr>
        <w:t xml:space="preserve">آغاز: من الناس فمن تبعني فانه منی؛ انجام: خدای عز و جل ... نسخه اصل: گنج بخش ش ۱۳۸۰۹ هنوز فهرست نشده. در دو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مجلد، از آیه ۳۶ سوره ۱۴ (ابراهیم) تا آیه ۲۱ سوره ۲۳ (المؤمنون)؛ خط: نسخ و ثلث، بی کا، تا: قرن ۷ و ۸ ۴۷۸گ [عکسی ف: ۲-۴۹)</w:t>
      </w:r>
    </w:p>
    <w:p>
      <w:pPr>
        <w:pStyle w:val="BookText"/>
      </w:pPr>
      <w:r>
        <w:rPr>
          <w:rFonts w:ascii="IRNazanin" w:hAnsi="IRNazanin" w:eastAsia="IRNazanin" w:cs="IRNazanin"/>
          <w:lang w:bidi="fa-IR"/>
          <w:color w:val="111111"/>
          <w:sz w:val="28"/>
          <w:szCs w:val="28"/>
          <w:rtl/>
        </w:rPr>
        <w:t xml:space="preserve">۷. تهران؛ دانشگاه شماره نسخه:۷۷-ف</w:t>
      </w:r>
    </w:p>
    <w:p>
      <w:pPr>
        <w:pStyle w:val="BookText"/>
      </w:pPr>
      <w:r>
        <w:rPr>
          <w:rFonts w:ascii="IRNazanin" w:hAnsi="IRNazanin" w:eastAsia="IRNazanin" w:cs="IRNazanin"/>
          <w:lang w:bidi="fa-IR"/>
          <w:color w:val="111111"/>
          <w:sz w:val="28"/>
          <w:szCs w:val="28"/>
          <w:rtl/>
        </w:rPr>
        <w:t xml:space="preserve">نسخه اصل: موزه قونیه ش ۲۳۲. از حجرات تا آخر؛ خط: نسخ، بی کا، تا: با تاریخ ۷۴۸ق؛ با یادداشت عروسی خواهر عزیزه ستيره مسعوده خاتون در روز دوشنبه رجب ۷۷۷؛ تملک: امین الدین ... ابي الرشید مسعود بن ابی بکر دویی کتابگو؛ وقف جماعت خانه درویشان حضرت مولانا؛ ۵۶۰ص [فيلمها ف: ۱-۲۶]</w:t>
      </w:r>
    </w:p>
    <w:p>
      <w:pPr>
        <w:pStyle w:val="BookText"/>
      </w:pPr>
      <w:r>
        <w:rPr>
          <w:rFonts w:ascii="IRNazanin" w:hAnsi="IRNazanin" w:eastAsia="IRNazanin" w:cs="IRNazanin"/>
          <w:lang w:bidi="fa-IR"/>
          <w:color w:val="111111"/>
          <w:sz w:val="28"/>
          <w:szCs w:val="28"/>
          <w:rtl/>
        </w:rPr>
        <w:t xml:space="preserve">تهران؛ مینوی؛ شماره نسخه:۲۵ تا ۲۸ بخش۳</w:t>
      </w:r>
    </w:p>
    <w:p>
      <w:pPr>
        <w:pStyle w:val="BookText"/>
      </w:pPr>
      <w:r>
        <w:rPr>
          <w:rFonts w:ascii="IRNazanin" w:hAnsi="IRNazanin" w:eastAsia="IRNazanin" w:cs="IRNazanin"/>
          <w:lang w:bidi="fa-IR"/>
          <w:color w:val="111111"/>
          <w:sz w:val="28"/>
          <w:szCs w:val="28"/>
          <w:rtl/>
        </w:rPr>
        <w:t xml:space="preserve">نسخه اصل: همان نسخه اصل بالا [ف: ۹۴]</w:t>
      </w:r>
    </w:p>
    <w:p>
      <w:pPr>
        <w:pStyle w:val="BookText"/>
      </w:pPr>
      <w:r>
        <w:rPr>
          <w:rFonts w:ascii="IRNazanin" w:hAnsi="IRNazanin" w:eastAsia="IRNazanin" w:cs="IRNazanin"/>
          <w:lang w:bidi="fa-IR"/>
          <w:color w:val="111111"/>
          <w:sz w:val="28"/>
          <w:szCs w:val="28"/>
          <w:rtl/>
        </w:rPr>
        <w:t xml:space="preserve">۸. قم؛ مرعشی؛ شماره نسخه:۱۴۰۱۷</w:t>
      </w:r>
    </w:p>
    <w:p>
      <w:pPr>
        <w:pStyle w:val="BookText"/>
      </w:pPr>
      <w:r>
        <w:rPr>
          <w:rFonts w:ascii="IRNazanin" w:hAnsi="IRNazanin" w:eastAsia="IRNazanin" w:cs="IRNazanin"/>
          <w:lang w:bidi="fa-IR"/>
          <w:color w:val="111111"/>
          <w:sz w:val="28"/>
          <w:szCs w:val="28"/>
          <w:rtl/>
        </w:rPr>
        <w:t xml:space="preserve">آغاز: ولا توتوا السفهاء چنانچه یاد کردیم و بدانگه مردی که ویرا رفاعة خواندندی فرمان یافت اندر وقت مصطفی صلی الله عليه و سلم؛ انجام: مقاتل گویذ فریشتگان خدای عزوجل بر صراط بیستند و با ایشان ... آتشین و نگذرند که کافران بر صراط گذر کنند این است که همی گوید «إن ربک لبالمرصاد»</w:t>
      </w:r>
    </w:p>
    <w:p>
      <w:pPr>
        <w:pStyle w:val="BookText"/>
      </w:pPr>
      <w:r>
        <w:rPr>
          <w:rFonts w:ascii="IRNazanin" w:hAnsi="IRNazanin" w:eastAsia="IRNazanin" w:cs="IRNazanin"/>
          <w:lang w:bidi="fa-IR"/>
          <w:color w:val="111111"/>
          <w:sz w:val="28"/>
          <w:szCs w:val="28"/>
          <w:rtl/>
        </w:rPr>
        <w:t xml:space="preserve">آغاز آن چند آیه از سوره نساء و بعد سوره لقمان تا نمل و بعد از سوره مائده تا سوره نور و سپس از سوره عبس تا بخشی از سوره فجر را دارد؛ خط: نسخ و ثلث، بی کا، تا: قرن ۸ افتادگی: آغاز و انجام؛ محشی شاید پشتو با نشان های «۱۲»، «حسینی» و «مولانا</w:t>
      </w:r>
    </w:p>
    <w:p>
      <w:pPr>
        <w:pStyle w:val="BookText"/>
      </w:pPr>
      <w:r>
        <w:rPr>
          <w:rFonts w:ascii="IRNazanin" w:hAnsi="IRNazanin" w:eastAsia="IRNazanin" w:cs="IRNazanin"/>
          <w:lang w:bidi="fa-IR"/>
          <w:color w:val="111111"/>
          <w:sz w:val="28"/>
          <w:szCs w:val="28"/>
          <w:rtl/>
        </w:rPr>
        <w:t xml:space="preserve">حسين»، مجدول طلایی، در بیشتر برگها شمسه های طلایی و الاجوردی؛ کاغذ: شرقی؛ نوع جلد: تیماج زیتونی با ترنج و سرترنج طلایی، عطف: تیماج زرشکی، ۴۹۵گ، ابعاد متن: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 مختلف السطر،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۳۳/۵سم [ف: ۳۵-۴۸۲]</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دانشگاه؛ شماره نسخه:۲۵۷۸-ف</w:t>
      </w:r>
    </w:p>
    <w:p>
      <w:pPr>
        <w:pStyle w:val="BookText"/>
      </w:pPr>
      <w:r>
        <w:rPr>
          <w:rFonts w:ascii="IRNazanin" w:hAnsi="IRNazanin" w:eastAsia="IRNazanin" w:cs="IRNazanin"/>
          <w:lang w:bidi="fa-IR"/>
          <w:color w:val="111111"/>
          <w:sz w:val="28"/>
          <w:szCs w:val="28"/>
          <w:rtl/>
        </w:rPr>
        <w:t xml:space="preserve">نسخه اصل: نسخه آقای دکتر مهدی بیانی ش ۴۵. از میانه قرآن است و نسخه آشفته ای است از مقابله با نسخه ش ۲۳۲ موزه قونیه (فیلم ۷۷ع ۷-۲۰۹۵) دریافتم که این کتاب است؛ خط: نسخ و نستعلیق، بی کا، تا: قرن ۸ و ۹ [فیلمها ف: ۱-۲۷]</w:t>
      </w:r>
    </w:p>
    <w:p>
      <w:pPr>
        <w:pStyle w:val="BookText"/>
      </w:pPr>
      <w:r>
        <w:rPr>
          <w:rFonts w:ascii="IRNazanin" w:hAnsi="IRNazanin" w:eastAsia="IRNazanin" w:cs="IRNazanin"/>
          <w:lang w:bidi="fa-IR"/>
          <w:color w:val="111111"/>
          <w:sz w:val="28"/>
          <w:szCs w:val="28"/>
          <w:rtl/>
        </w:rPr>
        <w:t xml:space="preserve">تهران؛ مینوی؛ شماره نسخه:۱۸ بخش۳ نسخه اصل: همان نسخه اصل بالا [ف: 93]</w:t>
      </w:r>
    </w:p>
    <w:p>
      <w:pPr>
        <w:pStyle w:val="BookText"/>
      </w:pPr>
      <w:r>
        <w:rPr>
          <w:rFonts w:ascii="IRNazanin" w:hAnsi="IRNazanin" w:eastAsia="IRNazanin" w:cs="IRNazanin"/>
          <w:lang w:bidi="fa-IR"/>
          <w:color w:val="111111"/>
          <w:sz w:val="28"/>
          <w:szCs w:val="28"/>
          <w:rtl/>
        </w:rPr>
        <w:t xml:space="preserve">۱۰. تهران؛ سپهسالار؛ شماره نسخه:۲۰۱۹</w:t>
      </w:r>
    </w:p>
    <w:p>
      <w:pPr>
        <w:pStyle w:val="BookText"/>
      </w:pPr>
      <w:r>
        <w:rPr>
          <w:rFonts w:ascii="IRNazanin" w:hAnsi="IRNazanin" w:eastAsia="IRNazanin" w:cs="IRNazanin"/>
          <w:lang w:bidi="fa-IR"/>
          <w:color w:val="111111"/>
          <w:sz w:val="28"/>
          <w:szCs w:val="28"/>
          <w:rtl/>
        </w:rPr>
        <w:t xml:space="preserve">آغاز: جلد الثاني من تفسير الاسفرائینی. این سوره مکی است و نود و هشت آیت است مگر در عدد اسمعیل که نود و هفت است و کلماتش هزار و صد و شصت و دو است؛ انجام: برابر جلد دوم، مشتمل بر تفسیر از سوره مریم تا آخر قرآن؛ خط: نسخ و نستعلیق، بی کا، تا: قرن ۹، دارای یک سرلوح خیلی خوب و نود و شش سر سوره ظریف می باشد که اسامی سور بر آنها نوشته شده، مجدول به طلا و زنگار و شنگرف؛ تملك: اعتضادالسلطنه، ۱۲۷۳؛ واقف: سپهسالار؛ کاغذ: سمرقندی، جلد: ساغری ضربی طلایی، ۳۶۶ص، ۲۳ سطر، قطع: رحلی،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۱-۷۹]</w:t>
      </w:r>
    </w:p>
    <w:p>
      <w:pPr>
        <w:pStyle w:val="BookText"/>
      </w:pPr>
      <w:r>
        <w:rPr>
          <w:rFonts w:ascii="IRNazanin" w:hAnsi="IRNazanin" w:eastAsia="IRNazanin" w:cs="IRNazanin"/>
          <w:lang w:bidi="fa-IR"/>
          <w:color w:val="111111"/>
          <w:sz w:val="28"/>
          <w:szCs w:val="28"/>
          <w:rtl/>
        </w:rPr>
        <w:t xml:space="preserve">۱۱. تهران، دانشگاه؛ شماره نسخه: ۷۴۵-ف</w:t>
      </w:r>
    </w:p>
    <w:p>
      <w:pPr>
        <w:pStyle w:val="BookText"/>
      </w:pPr>
      <w:r>
        <w:rPr>
          <w:rFonts w:ascii="IRNazanin" w:hAnsi="IRNazanin" w:eastAsia="IRNazanin" w:cs="IRNazanin"/>
          <w:lang w:bidi="fa-IR"/>
          <w:color w:val="111111"/>
          <w:sz w:val="28"/>
          <w:szCs w:val="28"/>
          <w:rtl/>
        </w:rPr>
        <w:t xml:space="preserve">نسخه اصل: پاریس 12 .</w:t>
      </w:r>
      <w:r>
        <w:rPr>
          <w:rFonts w:ascii="Times New Roman" w:hAnsi="Times New Roman" w:eastAsia="Times New Roman" w:cs="Times New Roman"/>
          <w:lang w:val="en-US" w:bidi="en-US"/>
          <w:color w:val="111111"/>
          <w:sz w:val="28"/>
          <w:szCs w:val="28"/>
          <w:rtl/>
        </w:rPr>
        <w:t xml:space="preserve">p (</w:t>
      </w:r>
      <w:r>
        <w:rPr>
          <w:rFonts w:ascii="IRNazanin" w:hAnsi="IRNazanin" w:eastAsia="IRNazanin" w:cs="IRNazanin"/>
          <w:lang w:bidi="fa-IR"/>
          <w:color w:val="111111"/>
          <w:sz w:val="28"/>
          <w:szCs w:val="28"/>
          <w:rtl/>
        </w:rPr>
        <w:t xml:space="preserve">بلوشه ش ۲۶). آخر سوره ۹ و ۱۰ تا ۱۳ و آغاز سوره ۱۴؛ خط: نسخ، بی کا، بی تا، تاریخ وقف: ۹۰۶ق [فیلمها ف: ۱-۲۶]</w:t>
      </w:r>
    </w:p>
    <w:p>
      <w:pPr>
        <w:pStyle w:val="BookText"/>
      </w:pPr>
      <w:r>
        <w:rPr>
          <w:rFonts w:ascii="IRNazanin" w:hAnsi="IRNazanin" w:eastAsia="IRNazanin" w:cs="IRNazanin"/>
          <w:lang w:bidi="fa-IR"/>
          <w:color w:val="111111"/>
          <w:sz w:val="28"/>
          <w:szCs w:val="28"/>
          <w:rtl/>
        </w:rPr>
        <w:t xml:space="preserve">۱۲. تهران؛ مینوی؛ شماره نسخه:۱۷ بخش۳</w:t>
      </w:r>
    </w:p>
    <w:p>
      <w:pPr>
        <w:pStyle w:val="BookText"/>
      </w:pPr>
      <w:r>
        <w:rPr>
          <w:rFonts w:ascii="IRNazanin" w:hAnsi="IRNazanin" w:eastAsia="IRNazanin" w:cs="IRNazanin"/>
          <w:lang w:bidi="fa-IR"/>
          <w:color w:val="111111"/>
          <w:sz w:val="28"/>
          <w:szCs w:val="28"/>
          <w:rtl/>
        </w:rPr>
        <w:t xml:space="preserve">نسخه اصل: قونیه. از مریم تا پایان قرآن؛ کا: حبیب الله اصفهانی،</w:t>
      </w:r>
    </w:p>
    <w:p>
      <w:pPr>
        <w:pStyle w:val="BookText"/>
      </w:pPr>
      <w:r>
        <w:rPr>
          <w:rFonts w:ascii="IRNazanin" w:hAnsi="IRNazanin" w:eastAsia="IRNazanin" w:cs="IRNazanin"/>
          <w:lang w:bidi="fa-IR"/>
          <w:color w:val="111111"/>
          <w:sz w:val="28"/>
          <w:szCs w:val="28"/>
          <w:rtl/>
        </w:rPr>
        <w:t xml:space="preserve">تا: ۱۴۳ق، جا: بغداد [ف: ۹۳]</w:t>
      </w:r>
    </w:p>
    <w:p>
      <w:pPr>
        <w:pStyle w:val="BookText"/>
      </w:pPr>
      <w:r>
        <w:rPr>
          <w:rFonts w:ascii="IRNazanin" w:hAnsi="IRNazanin" w:eastAsia="IRNazanin" w:cs="IRNazanin"/>
          <w:lang w:bidi="fa-IR"/>
          <w:color w:val="111111"/>
          <w:sz w:val="28"/>
          <w:szCs w:val="28"/>
          <w:rtl/>
        </w:rPr>
        <w:t xml:space="preserve">۱۳. تهران: دانشگاه؛ شماره نسخه: ۱۰۰۲ف</w:t>
      </w:r>
    </w:p>
    <w:p>
      <w:pPr>
        <w:pStyle w:val="BookText"/>
      </w:pPr>
      <w:r>
        <w:rPr>
          <w:rFonts w:ascii="IRNazanin" w:hAnsi="IRNazanin" w:eastAsia="IRNazanin" w:cs="IRNazanin"/>
          <w:lang w:bidi="fa-IR"/>
          <w:color w:val="111111"/>
          <w:sz w:val="28"/>
          <w:szCs w:val="28"/>
          <w:rtl/>
        </w:rPr>
        <w:t xml:space="preserve">نسخه اصل: بادلیان 169 </w:t>
      </w:r>
      <w:r>
        <w:rPr>
          <w:rFonts w:ascii="Times New Roman" w:hAnsi="Times New Roman" w:eastAsia="Times New Roman" w:cs="Times New Roman"/>
          <w:lang w:val="en-US" w:bidi="en-US"/>
          <w:color w:val="111111"/>
          <w:sz w:val="28"/>
          <w:szCs w:val="28"/>
          <w:rtl/>
        </w:rPr>
        <w:t xml:space="preserve">Marsh (</w:t>
      </w:r>
      <w:r>
        <w:rPr>
          <w:rFonts w:ascii="IRNazanin" w:hAnsi="IRNazanin" w:eastAsia="IRNazanin" w:cs="IRNazanin"/>
          <w:lang w:bidi="fa-IR"/>
          <w:color w:val="111111"/>
          <w:sz w:val="28"/>
          <w:szCs w:val="28"/>
          <w:rtl/>
        </w:rPr>
        <w:t xml:space="preserve">اوری شماره ۲۰). چنان که استوری می نویسد نسخه با دلیان نیمه دوم قرآن است؛ خط: نسخ و نستعلیق، بی کا، تا: ۹۴۷ق؛ ۵۴۷گ، ۲۳ سطر [فيلمها ف: ۱-۲۷]</w:t>
      </w:r>
    </w:p>
    <w:p>
      <w:pPr>
        <w:pStyle w:val="BookText"/>
      </w:pPr>
      <w:r>
        <w:rPr>
          <w:rFonts w:ascii="IRNazanin" w:hAnsi="IRNazanin" w:eastAsia="IRNazanin" w:cs="IRNazanin"/>
          <w:lang w:bidi="fa-IR"/>
          <w:color w:val="111111"/>
          <w:sz w:val="28"/>
          <w:szCs w:val="28"/>
          <w:rtl/>
        </w:rPr>
        <w:t xml:space="preserve">۱۴. تهران، دانشگاه؛ شماره نسخه:۸۶۴-ف</w:t>
      </w:r>
    </w:p>
    <w:p>
      <w:pPr>
        <w:pStyle w:val="BookText"/>
      </w:pPr>
      <w:r>
        <w:rPr>
          <w:rFonts w:ascii="IRNazanin" w:hAnsi="IRNazanin" w:eastAsia="IRNazanin" w:cs="IRNazanin"/>
          <w:lang w:bidi="fa-IR"/>
          <w:color w:val="111111"/>
          <w:sz w:val="28"/>
          <w:szCs w:val="28"/>
          <w:rtl/>
        </w:rPr>
        <w:t xml:space="preserve">نسخه اصل: بادلیان 168 </w:t>
      </w:r>
      <w:r>
        <w:rPr>
          <w:rFonts w:ascii="Times New Roman" w:hAnsi="Times New Roman" w:eastAsia="Times New Roman" w:cs="Times New Roman"/>
          <w:lang w:val="en-US" w:bidi="en-US"/>
          <w:color w:val="111111"/>
          <w:sz w:val="28"/>
          <w:szCs w:val="28"/>
          <w:rtl/>
        </w:rPr>
        <w:t xml:space="preserve">Marsh. </w:t>
      </w:r>
      <w:r>
        <w:rPr>
          <w:rFonts w:ascii="IRNazanin" w:hAnsi="IRNazanin" w:eastAsia="IRNazanin" w:cs="IRNazanin"/>
          <w:lang w:bidi="fa-IR"/>
          <w:color w:val="111111"/>
          <w:sz w:val="28"/>
          <w:szCs w:val="28"/>
          <w:rtl/>
        </w:rPr>
        <w:t xml:space="preserve">جلد ۲، از سوره ۱۹ تا پایان؛ خط: نسخ و نستعلیق، کا: حبیب الله بن جمال الدین اصفهانی، تا: ۹۴۷ق؛ ۶۳۳ص، ۲۳ سطر [فیلمها ف: ۱-۲۷ ]</w:t>
      </w:r>
    </w:p>
    <w:p>
      <w:pPr>
        <w:pStyle w:val="BookText"/>
      </w:pPr>
      <w:r>
        <w:rPr>
          <w:rFonts w:ascii="IRNazanin" w:hAnsi="IRNazanin" w:eastAsia="IRNazanin" w:cs="IRNazanin"/>
          <w:lang w:bidi="fa-IR"/>
          <w:color w:val="111111"/>
          <w:sz w:val="28"/>
          <w:szCs w:val="28"/>
          <w:rtl/>
        </w:rPr>
        <w:t xml:space="preserve">تهران؛ مینوی؛ شماره نسخه: ۲۰ بخش۳</w:t>
      </w:r>
    </w:p>
    <w:p>
      <w:pPr>
        <w:pStyle w:val="BookText"/>
      </w:pPr>
      <w:r>
        <w:rPr>
          <w:rFonts w:ascii="IRNazanin" w:hAnsi="IRNazanin" w:eastAsia="IRNazanin" w:cs="IRNazanin"/>
          <w:lang w:bidi="fa-IR"/>
          <w:color w:val="111111"/>
          <w:sz w:val="28"/>
          <w:szCs w:val="28"/>
          <w:rtl/>
        </w:rPr>
        <w:t xml:space="preserve">نسخه اصل: همان نسخه بالا [ف: ۹۴]</w:t>
      </w:r>
    </w:p>
    <w:p>
      <w:pPr>
        <w:pStyle w:val="BookText"/>
      </w:pPr>
      <w:r>
        <w:rPr>
          <w:rFonts w:ascii="IRNazanin" w:hAnsi="IRNazanin" w:eastAsia="IRNazanin" w:cs="IRNazanin"/>
          <w:lang w:bidi="fa-IR"/>
          <w:color w:val="111111"/>
          <w:sz w:val="28"/>
          <w:szCs w:val="28"/>
          <w:rtl/>
        </w:rPr>
        <w:t xml:space="preserve">تهران؛ مطالعات فرهنگی؛ شماره نسخه:ع ۱۸۴ تا ۱۸۷</w:t>
      </w:r>
    </w:p>
    <w:p>
      <w:pPr>
        <w:pStyle w:val="BookText"/>
      </w:pPr>
      <w:r>
        <w:rPr>
          <w:rFonts w:ascii="IRNazanin" w:hAnsi="IRNazanin" w:eastAsia="IRNazanin" w:cs="IRNazanin"/>
          <w:lang w:bidi="fa-IR"/>
          <w:color w:val="111111"/>
          <w:sz w:val="28"/>
          <w:szCs w:val="28"/>
          <w:rtl/>
        </w:rPr>
        <w:t xml:space="preserve">نسخه اصل: همان نسخه بالا [ف: ۱۶۳]</w:t>
      </w:r>
    </w:p>
    <w:p>
      <w:pPr>
        <w:pStyle w:val="BookText"/>
      </w:pPr>
      <w:r>
        <w:rPr>
          <w:rFonts w:ascii="IRNazanin" w:hAnsi="IRNazanin" w:eastAsia="IRNazanin" w:cs="IRNazanin"/>
          <w:lang w:bidi="fa-IR"/>
          <w:color w:val="111111"/>
          <w:sz w:val="28"/>
          <w:szCs w:val="28"/>
          <w:rtl/>
        </w:rPr>
        <w:t xml:space="preserve">۱۵. تهران: دانشگاه؛ شماره نسخه:۱۰۰۱-ف</w:t>
      </w:r>
    </w:p>
    <w:p>
      <w:pPr>
        <w:pStyle w:val="BookText"/>
      </w:pPr>
      <w:r>
        <w:rPr>
          <w:rFonts w:ascii="IRNazanin" w:hAnsi="IRNazanin" w:eastAsia="IRNazanin" w:cs="IRNazanin"/>
          <w:lang w:bidi="fa-IR"/>
          <w:color w:val="111111"/>
          <w:sz w:val="28"/>
          <w:szCs w:val="28"/>
          <w:rtl/>
        </w:rPr>
        <w:t xml:space="preserve">نسخه اصل: بادلیان 168 </w:t>
      </w:r>
      <w:r>
        <w:rPr>
          <w:rFonts w:ascii="Times New Roman" w:hAnsi="Times New Roman" w:eastAsia="Times New Roman" w:cs="Times New Roman"/>
          <w:lang w:val="en-US" w:bidi="en-US"/>
          <w:color w:val="111111"/>
          <w:sz w:val="28"/>
          <w:szCs w:val="28"/>
          <w:rtl/>
        </w:rPr>
        <w:t xml:space="preserve">Marsh. </w:t>
      </w:r>
      <w:r>
        <w:rPr>
          <w:rFonts w:ascii="IRNazanin" w:hAnsi="IRNazanin" w:eastAsia="IRNazanin" w:cs="IRNazanin"/>
          <w:lang w:bidi="fa-IR"/>
          <w:color w:val="111111"/>
          <w:sz w:val="28"/>
          <w:szCs w:val="28"/>
          <w:rtl/>
        </w:rPr>
        <w:t xml:space="preserve">جلد 1 (اوری ش ۱۹)؛ خط: نسخ و نستعلیق، کا: حبیب الله بن جمال الدین اصفهانی، تا: محرم ۱۴۸ق، جا: بغداد؛ ۷۰۸ص، ۲۳ سطر [فیلمها ف: ۱-۲۷]</w:t>
      </w:r>
    </w:p>
    <w:p>
      <w:pPr>
        <w:pStyle w:val="BookText"/>
      </w:pPr>
      <w:r>
        <w:rPr>
          <w:rFonts w:ascii="IRNazanin" w:hAnsi="IRNazanin" w:eastAsia="IRNazanin" w:cs="IRNazanin"/>
          <w:lang w:bidi="fa-IR"/>
          <w:color w:val="111111"/>
          <w:sz w:val="28"/>
          <w:szCs w:val="28"/>
          <w:rtl/>
        </w:rPr>
        <w:t xml:space="preserve">تهران؛ مینوی؛ شماره نسخه:۱۹ بخش۳</w:t>
      </w:r>
    </w:p>
    <w:p>
      <w:pPr>
        <w:pStyle w:val="BookText"/>
      </w:pPr>
      <w:r>
        <w:rPr>
          <w:rFonts w:ascii="IRNazanin" w:hAnsi="IRNazanin" w:eastAsia="IRNazanin" w:cs="IRNazanin"/>
          <w:lang w:bidi="fa-IR"/>
          <w:color w:val="111111"/>
          <w:sz w:val="28"/>
          <w:szCs w:val="28"/>
          <w:rtl/>
        </w:rPr>
        <w:t xml:space="preserve">نسخه اصل: همان نسخه اصل بالا [ف: ۹۴] تهران؛ مطالعات فرهنگی؛ شماره نسخه:ع ۱۸۴ تا ۱۸۷ نسخه اصل: همان نسخه بالا [ف: ۱۶۳]</w:t>
      </w:r>
    </w:p>
    <w:p>
      <w:pPr>
        <w:pStyle w:val="BookText"/>
      </w:pPr>
      <w:r>
        <w:rPr>
          <w:rFonts w:ascii="IRNazanin" w:hAnsi="IRNazanin" w:eastAsia="IRNazanin" w:cs="IRNazanin"/>
          <w:lang w:bidi="fa-IR"/>
          <w:color w:val="111111"/>
          <w:sz w:val="28"/>
          <w:szCs w:val="28"/>
          <w:rtl/>
        </w:rPr>
        <w:t xml:space="preserve">۱۶. تهران؛ مطالعات فرهنگی؛ شماره نسخه:ش۳</w:t>
      </w:r>
    </w:p>
    <w:p>
      <w:pPr>
        <w:pStyle w:val="BookText"/>
      </w:pPr>
      <w:r>
        <w:rPr>
          <w:rFonts w:ascii="IRNazanin" w:hAnsi="IRNazanin" w:eastAsia="IRNazanin" w:cs="IRNazanin"/>
          <w:lang w:bidi="fa-IR"/>
          <w:color w:val="111111"/>
          <w:sz w:val="28"/>
          <w:szCs w:val="28"/>
          <w:rtl/>
        </w:rPr>
        <w:t xml:space="preserve">از حجر تا حج. هفت یک چهارم؛ خط: نستعلیق ریز، بی کا، تا: قرن ۱۱، ۱۱۷گ، ۲۳ سطر، قطع: وزيري [ف: ۱۸۹]</w:t>
      </w:r>
    </w:p>
    <w:p>
      <w:pPr>
        <w:pStyle w:val="BookText"/>
      </w:pPr>
      <w:r>
        <w:rPr>
          <w:rFonts w:ascii="IRNazanin" w:hAnsi="IRNazanin" w:eastAsia="IRNazanin" w:cs="IRNazanin"/>
          <w:lang w:bidi="fa-IR"/>
          <w:color w:val="111111"/>
          <w:sz w:val="28"/>
          <w:szCs w:val="28"/>
          <w:rtl/>
        </w:rPr>
        <w:t xml:space="preserve">۱۷. تهران؛ مجلس؛ شماره نسخه:۱۸۸۵۸</w:t>
      </w:r>
    </w:p>
    <w:p>
      <w:pPr>
        <w:pStyle w:val="BookText"/>
      </w:pPr>
      <w:r>
        <w:rPr>
          <w:rFonts w:ascii="IRNazanin" w:hAnsi="IRNazanin" w:eastAsia="IRNazanin" w:cs="IRNazanin"/>
          <w:lang w:bidi="fa-IR"/>
          <w:color w:val="111111"/>
          <w:sz w:val="28"/>
          <w:szCs w:val="28"/>
          <w:rtl/>
        </w:rPr>
        <w:t xml:space="preserve">از سوره مریم تا صافات؛ بی کا، بی تا؛ نسبتا کهنه [د.ث. مجلس]</w:t>
      </w:r>
    </w:p>
    <w:p>
      <w:pPr>
        <w:pStyle w:val="BookText"/>
      </w:pPr>
      <w:r>
        <w:rPr>
          <w:rFonts w:ascii="IRNazanin" w:hAnsi="IRNazanin" w:eastAsia="IRNazanin" w:cs="IRNazanin"/>
          <w:lang w:bidi="fa-IR"/>
          <w:color w:val="111111"/>
          <w:sz w:val="28"/>
          <w:szCs w:val="28"/>
          <w:rtl/>
        </w:rPr>
        <w:t xml:space="preserve">۱۸. تهران، دانشگاه شماره نسخه:۳۴۷-ف</w:t>
      </w:r>
    </w:p>
    <w:p>
      <w:pPr>
        <w:pStyle w:val="BookText"/>
      </w:pPr>
      <w:r>
        <w:rPr>
          <w:rFonts w:ascii="IRNazanin" w:hAnsi="IRNazanin" w:eastAsia="IRNazanin" w:cs="IRNazanin"/>
          <w:lang w:bidi="fa-IR"/>
          <w:color w:val="111111"/>
          <w:sz w:val="28"/>
          <w:szCs w:val="28"/>
          <w:rtl/>
        </w:rPr>
        <w:t xml:space="preserve">نسخه اصل: احمد پاشا در افيون قره حصار </w:t>
      </w:r>
      <w:r>
        <w:rPr>
          <w:rFonts w:ascii="Times New Roman" w:hAnsi="Times New Roman" w:eastAsia="Times New Roman" w:cs="Times New Roman"/>
          <w:lang w:val="en-US" w:bidi="en-US"/>
          <w:color w:val="111111"/>
          <w:sz w:val="28"/>
          <w:szCs w:val="28"/>
          <w:rtl/>
        </w:rPr>
        <w:t xml:space="preserve">Abyon Ged. Ahm </w:t>
      </w:r>
      <w:r>
        <w:rPr>
          <w:rFonts w:ascii="IRNazanin" w:hAnsi="IRNazanin" w:eastAsia="IRNazanin" w:cs="IRNazanin"/>
          <w:lang w:bidi="fa-IR"/>
          <w:color w:val="111111"/>
          <w:sz w:val="28"/>
          <w:szCs w:val="28"/>
          <w:rtl/>
        </w:rPr>
        <w:t xml:space="preserve">ش ۱۳۳. از انعام تا یونس؛ خط: نسخ، بی کا، بی تا؛ ؛ ۲۲۷گ، ۱۶ سطر [فيلمها ف: ۱-۲۶]</w:t>
      </w:r>
    </w:p>
    <w:p>
      <w:pPr>
        <w:pStyle w:val="BookText"/>
      </w:pPr>
      <w:r>
        <w:rPr>
          <w:rFonts w:ascii="IRNazanin" w:hAnsi="IRNazanin" w:eastAsia="IRNazanin" w:cs="IRNazanin"/>
          <w:lang w:bidi="fa-IR"/>
          <w:color w:val="111111"/>
          <w:sz w:val="28"/>
          <w:szCs w:val="28"/>
          <w:rtl/>
        </w:rPr>
        <w:t xml:space="preserve">تهران؛ مینوی؛ شماره نسخه:۱۶ بخش ۳ و ۲۴ بخش۳</w:t>
      </w:r>
    </w:p>
    <w:p>
      <w:pPr>
        <w:pStyle w:val="BookText"/>
      </w:pPr>
      <w:r>
        <w:rPr>
          <w:rFonts w:ascii="IRNazanin" w:hAnsi="IRNazanin" w:eastAsia="IRNazanin" w:cs="IRNazanin"/>
          <w:lang w:bidi="fa-IR"/>
          <w:color w:val="111111"/>
          <w:sz w:val="28"/>
          <w:szCs w:val="28"/>
          <w:rtl/>
        </w:rPr>
        <w:t xml:space="preserve">نسخه اصل: همان نسخه اصل بالا [ف: ۹۳ و ۹۴]</w:t>
      </w:r>
    </w:p>
    <w:p>
      <w:pPr>
        <w:pStyle w:val="BookText"/>
      </w:pPr>
      <w:r>
        <w:rPr>
          <w:rFonts w:ascii="IRNazanin" w:hAnsi="IRNazanin" w:eastAsia="IRNazanin" w:cs="IRNazanin"/>
          <w:lang w:bidi="fa-IR"/>
          <w:color w:val="111111"/>
          <w:sz w:val="28"/>
          <w:szCs w:val="28"/>
          <w:rtl/>
        </w:rPr>
        <w:t xml:space="preserve">۱۹. تهران، دانشگاه؛ شماره نسخه:۳۲۷۸-ف</w:t>
      </w:r>
    </w:p>
    <w:p>
      <w:pPr>
        <w:pStyle w:val="BookText"/>
      </w:pPr>
      <w:r>
        <w:rPr>
          <w:rFonts w:ascii="IRNazanin" w:hAnsi="IRNazanin" w:eastAsia="IRNazanin" w:cs="IRNazanin"/>
          <w:lang w:bidi="fa-IR"/>
          <w:color w:val="111111"/>
          <w:sz w:val="28"/>
          <w:szCs w:val="28"/>
          <w:rtl/>
        </w:rPr>
        <w:t xml:space="preserve">نسخه اصل: ملافیض الله ش ۶۱. از انفال تا آخر؛ بی کا، بی تاب وقف شیخ الاسلام فيض الله افندی در ۱۱۱۲ [فيلمها ف: ۲-۱۱۳]</w:t>
      </w:r>
    </w:p>
    <w:p>
      <w:pPr>
        <w:pStyle w:val="BookText"/>
      </w:pPr>
      <w:r>
        <w:rPr>
          <w:rFonts w:ascii="IRNazanin" w:hAnsi="IRNazanin" w:eastAsia="IRNazanin" w:cs="IRNazanin"/>
          <w:lang w:bidi="fa-IR"/>
          <w:color w:val="111111"/>
          <w:sz w:val="28"/>
          <w:szCs w:val="28"/>
          <w:rtl/>
        </w:rPr>
        <w:t xml:space="preserve">۲۰. تهران، مینوی، شماره نسخه:۲۹ تا ۳۴ بخش ۳</w:t>
      </w:r>
    </w:p>
    <w:p>
      <w:pPr>
        <w:pStyle w:val="BookText"/>
      </w:pPr>
      <w:r>
        <w:rPr>
          <w:rFonts w:ascii="IRNazanin" w:hAnsi="IRNazanin" w:eastAsia="IRNazanin" w:cs="IRNazanin"/>
          <w:lang w:bidi="fa-IR"/>
          <w:color w:val="111111"/>
          <w:sz w:val="28"/>
          <w:szCs w:val="28"/>
          <w:rtl/>
        </w:rPr>
        <w:t xml:space="preserve">نسخه اصل: فيض الله ملت ۶۱ (۱۶۲۲) در شش بخش؛ بی کا، بیتا؛ برگ های ۶۵۲ و ۶۵۴ و ۹۵۶ و ۶۵۸ و ۶۶۰ و ۶۶۲ و ۶۶۴ از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345" w:name="pg20363_209620"/>
    <w:bookmarkEnd w:id="345"/>
    <w:p>
      <w:pPr>
        <w:pStyle w:val="BookText"/>
      </w:pPr>
      <w:r>
        <w:rPr>
          <w:rFonts w:ascii="IRNazanin" w:hAnsi="IRNazanin" w:eastAsia="IRNazanin" w:cs="IRNazanin"/>
          <w:lang w:bidi="fa-IR"/>
          <w:color w:val="111111"/>
          <w:sz w:val="28"/>
          <w:szCs w:val="28"/>
          <w:rtl/>
        </w:rPr>
        <w:t xml:space="preserve">پایان یوسف و آغاز رعد افتاده است؛ ۱۶۲۴گ [ف: ۹۵ ]</w:t>
      </w:r>
    </w:p>
    <w:p>
      <w:pPr>
        <w:pStyle w:val="BookText"/>
      </w:pPr>
      <w:r>
        <w:rPr>
          <w:rFonts w:ascii="IRNazanin" w:hAnsi="IRNazanin" w:eastAsia="IRNazanin" w:cs="IRNazanin"/>
          <w:lang w:bidi="fa-IR"/>
          <w:color w:val="111111"/>
          <w:sz w:val="28"/>
          <w:szCs w:val="28"/>
          <w:rtl/>
        </w:rPr>
        <w:t xml:space="preserve">۲۱. تهران؛ دائرة المعارف؛ شماره نسخه:۱۷۳-عکسی</w:t>
      </w:r>
    </w:p>
    <w:p>
      <w:pPr>
        <w:pStyle w:val="BookText"/>
      </w:pPr>
      <w:r>
        <w:rPr>
          <w:rFonts w:ascii="IRNazanin" w:hAnsi="IRNazanin" w:eastAsia="IRNazanin" w:cs="IRNazanin"/>
          <w:lang w:bidi="fa-IR"/>
          <w:color w:val="111111"/>
          <w:sz w:val="28"/>
          <w:szCs w:val="28"/>
          <w:rtl/>
        </w:rPr>
        <w:t xml:space="preserve">نسخه اصل: پاکستان، پیشاور میرداد خان افغان در دو مجلد، از سوره «مریم» آغاز می شود؛ خط: نسخ و ثلث، بی کا، بی تا؛ با رسم الخط کهن (چ=ج، گی =ک ..)، ترجمه ها چلیپا؛ ۴۷۱گ [عکسی ف: ۲-۴۹]</w:t>
      </w:r>
    </w:p>
    <w:p>
      <w:pPr>
        <w:pStyle w:val="BookText"/>
      </w:pPr>
      <w:r>
        <w:rPr>
          <w:rFonts w:ascii="IRNazanin" w:hAnsi="IRNazanin" w:eastAsia="IRNazanin" w:cs="IRNazanin"/>
          <w:lang w:bidi="fa-IR"/>
          <w:color w:val="111111"/>
          <w:sz w:val="28"/>
          <w:szCs w:val="28"/>
          <w:rtl/>
        </w:rPr>
        <w:t xml:space="preserve">۲۲. تهران؛ دائرة المعارف؛ شماره نسخه: ۱۷۱-عکسی</w:t>
      </w:r>
    </w:p>
    <w:p>
      <w:pPr>
        <w:pStyle w:val="BookText"/>
      </w:pPr>
      <w:r>
        <w:rPr>
          <w:rFonts w:ascii="IRNazanin" w:hAnsi="IRNazanin" w:eastAsia="IRNazanin" w:cs="IRNazanin"/>
          <w:lang w:bidi="fa-IR"/>
          <w:color w:val="111111"/>
          <w:sz w:val="28"/>
          <w:szCs w:val="28"/>
          <w:rtl/>
        </w:rPr>
        <w:t xml:space="preserve">نسخه اصل: در پیشاور پاکستان میر داد خان افغان. دنباله شماره پیشین تا «الناس»، در دو مجلد؛ خط: نسخ و ثلث، بی کا، بی تا؟ ۵۱۵ص (۴۷۲-۹۸۶) [عکسی ف: ۲-۴۹]</w:t>
      </w:r>
    </w:p>
    <w:p>
      <w:pPr>
        <w:pStyle w:val="BookText"/>
      </w:pPr>
      <w:r>
        <w:rPr>
          <w:rFonts w:ascii="IRNazanin" w:hAnsi="IRNazanin" w:eastAsia="IRNazanin" w:cs="IRNazanin"/>
          <w:lang w:bidi="fa-IR"/>
          <w:color w:val="111111"/>
          <w:sz w:val="28"/>
          <w:szCs w:val="28"/>
          <w:rtl/>
        </w:rPr>
        <w:t xml:space="preserve">۲۳. تهران: دانشگاه؛ شماره نسخه:۶۳-ف</w:t>
      </w:r>
    </w:p>
    <w:p>
      <w:pPr>
        <w:pStyle w:val="BookText"/>
      </w:pPr>
      <w:r>
        <w:rPr>
          <w:rFonts w:ascii="IRNazanin" w:hAnsi="IRNazanin" w:eastAsia="IRNazanin" w:cs="IRNazanin"/>
          <w:lang w:bidi="fa-IR"/>
          <w:color w:val="111111"/>
          <w:sz w:val="28"/>
          <w:szCs w:val="28"/>
          <w:rtl/>
        </w:rPr>
        <w:t xml:space="preserve">نسخه اصل: موزه قونیه ش ۱۱۵. از انعام تا حجرات؛ خط: نسخ، بی کا، بی تا؛ ۵۲۴ص [فيلمها ف: ۱-۲۶]</w:t>
      </w:r>
    </w:p>
    <w:p>
      <w:pPr>
        <w:pStyle w:val="BookText"/>
      </w:pPr>
      <w:r>
        <w:rPr>
          <w:rFonts w:ascii="IRNazanin" w:hAnsi="IRNazanin" w:eastAsia="IRNazanin" w:cs="IRNazanin"/>
          <w:lang w:bidi="fa-IR"/>
          <w:color w:val="111111"/>
          <w:sz w:val="28"/>
          <w:szCs w:val="28"/>
          <w:rtl/>
        </w:rPr>
        <w:t xml:space="preserve">۲۴. تهران؛ مینوی؛ شماره نسخه:۳۵ بخش ۳</w:t>
      </w:r>
    </w:p>
    <w:p>
      <w:pPr>
        <w:pStyle w:val="BookText"/>
      </w:pPr>
      <w:r>
        <w:rPr>
          <w:rFonts w:ascii="IRNazanin" w:hAnsi="IRNazanin" w:eastAsia="IRNazanin" w:cs="IRNazanin"/>
          <w:lang w:bidi="fa-IR"/>
          <w:color w:val="111111"/>
          <w:sz w:val="28"/>
          <w:szCs w:val="28"/>
          <w:rtl/>
        </w:rPr>
        <w:t xml:space="preserve">نسخه اصل: گوتا. آیه ۲۰ مریم (۱۹) تا میان ۲۷ زمر (۳۹) با افتادگی آیه ۹۵ طه (۲۰) تا آیه ۶۸ انبيا (۲۱) و آیه ۱۲ تا ۳۹ سبا (۳۴)؛ بی کا، بی تا، ۳۶۶گ (۱-۳۶۶) [ف: ۹۵]</w:t>
      </w:r>
    </w:p>
    <w:p>
      <w:pPr>
        <w:pStyle w:val="Heading3"/>
      </w:pPr>
      <w:bookmarkStart w:id="1907" w:name="_Toc1167"/>
      <w:r>
        <w:t>• تاج التواریخ = خواجه تاریخی = تاریخ خواجه / تاریخ / ترکی</w:t>
      </w:r>
      <w:bookmarkEnd w:id="1907"/>
    </w:p>
    <w:p>
      <w:pPr>
        <w:pStyle w:val="BookText"/>
      </w:pPr>
      <w:r>
        <w:rPr>
          <w:rFonts w:ascii="Times New Roman" w:hAnsi="Times New Roman" w:eastAsia="Times New Roman" w:cs="Times New Roman"/>
          <w:lang w:val="en-US" w:bidi="en-US"/>
          <w:color w:val="111111"/>
          <w:sz w:val="28"/>
          <w:szCs w:val="28"/>
          <w:rtl/>
        </w:rPr>
        <w:t xml:space="preserve">tāj-ot tavārīx = xāje tārīxī = tārīx-e xāje</w:t>
      </w:r>
    </w:p>
    <w:p>
      <w:pPr>
        <w:pStyle w:val="BookText"/>
      </w:pPr>
      <w:r>
        <w:rPr>
          <w:rFonts w:ascii="IRNazanin" w:hAnsi="IRNazanin" w:eastAsia="IRNazanin" w:cs="IRNazanin"/>
          <w:lang w:bidi="fa-IR"/>
          <w:color w:val="111111"/>
          <w:sz w:val="28"/>
          <w:szCs w:val="28"/>
          <w:rtl/>
        </w:rPr>
        <w:t xml:space="preserve">سعدالدين، محمد بن حسن، ۲۹۴۳-۱۰۰۸ قمری</w:t>
      </w:r>
    </w:p>
    <w:p>
      <w:pPr>
        <w:pStyle w:val="BookText"/>
      </w:pPr>
      <w:r>
        <w:rPr>
          <w:rFonts w:ascii="Times New Roman" w:hAnsi="Times New Roman" w:eastAsia="Times New Roman" w:cs="Times New Roman"/>
          <w:lang w:val="en-US" w:bidi="en-US"/>
          <w:color w:val="111111"/>
          <w:sz w:val="28"/>
          <w:szCs w:val="28"/>
          <w:rtl/>
        </w:rPr>
        <w:t xml:space="preserve">sa'd-od-dīn, mohammad ebn-e hasan (1537-1600)</w:t>
      </w:r>
    </w:p>
    <w:p>
      <w:pPr>
        <w:pStyle w:val="BookText"/>
      </w:pPr>
      <w:r>
        <w:rPr>
          <w:rFonts w:ascii="IRNazanin" w:hAnsi="IRNazanin" w:eastAsia="IRNazanin" w:cs="IRNazanin"/>
          <w:lang w:bidi="fa-IR"/>
          <w:color w:val="111111"/>
          <w:sz w:val="28"/>
          <w:szCs w:val="28"/>
          <w:rtl/>
        </w:rPr>
        <w:t xml:space="preserve">وابسته به: مرآة الادوار و مرقاة الاخیار، لاری انصاری، محمد بن صلاح (-۹۷۹) تاج التواریخ که به «تاریخ خواجه» و «خواجه تاریخی» مشهور شده، تلخیصی از کتاب دهم از کتاب «مرآة الأدوار و مرقات الأخبار» مصلح الدین لاری است، باب های یکم تا نهم آن را هم او ترجمه کرده و کتابی است جدا. این کتاب تاریخ عثمانی هاست از ابتدای دولت شان تا آخر عصر سلطان سلیم (۹۲۶ق). حاجی خلیفه در «کشف الظنون» می نویسد: «هو تاریخ ترکی مشهور لخص فيه تواريخ آل عثمان بانشاء لطیف و کتب من أول الدولة إلى آخر عصر السلطان سليم القديم و روی ممن انتمى اليه انه سوده الى زمانه لكنه لم يخرج سوى ما هو المتداول» به نوشته عثمانلی مؤلفاری، مؤلف در این کتاب، ضمن نگارش وقایع اتفاقیه عصر هر پادشاه، به شرح حال علما و مشایخ هر عصر نیز توجه کرده و ترجمه آنان را آورده است. نسخه های متعددی از تاج التواریخ در آذربایجان، ترکیه و مصر موجود است. این کتاب به زبان ایتالیایی ترجمه شده و در سالهای ۱۶۴۶م و ۱۶۵۲ م در وین و مادرید به چاپ رسیده است.</w:t>
      </w:r>
    </w:p>
    <w:p>
      <w:pPr>
        <w:pStyle w:val="BookText"/>
      </w:pPr>
      <w:r>
        <w:rPr>
          <w:rFonts w:ascii="IRNazanin" w:hAnsi="IRNazanin" w:eastAsia="IRNazanin" w:cs="IRNazanin"/>
          <w:lang w:bidi="fa-IR"/>
          <w:color w:val="111111"/>
          <w:sz w:val="28"/>
          <w:szCs w:val="28"/>
          <w:rtl/>
        </w:rPr>
        <w:t xml:space="preserve">چاپ: استانبول، ۱۲۷۹ و ۱۲۸۰ق</w:t>
      </w:r>
    </w:p>
    <w:p>
      <w:pPr>
        <w:pStyle w:val="BookText"/>
      </w:pPr>
      <w:r>
        <w:rPr>
          <w:rFonts w:ascii="IRNazanin" w:hAnsi="IRNazanin" w:eastAsia="IRNazanin" w:cs="IRNazanin"/>
          <w:lang w:bidi="fa-IR"/>
          <w:color w:val="111111"/>
          <w:sz w:val="28"/>
          <w:szCs w:val="28"/>
          <w:rtl/>
        </w:rPr>
        <w:t xml:space="preserve">[عثمانلی مؤلفلری: ۶۶/۳ -۶۷؛ فهرس المخطوطات التركية العثمانية: ۹۰/۱- ۹۱: فهرس المطبوعات التركية العثمانية: ۳۴۸/۲ ؛ فهرست نسخه های خطی تاریخ و جغرافی در کتابخانه های استانبول: ۲۴۲-۲۵۱؛ فهرست نسخه های خطی تر کی کتابخانه موزه طوپ قاپی سرای استانبول: ۲۱۱/۱ -۲۱۲؛ کشف الظنون: ۲۶۹/۱ ؛ هدية العارفين: ۲۶۴/۲ ؛ دنا ۶۵۸/۲ ؛ فهرستواره منزوی ۵۶۹/۱ ]</w:t>
      </w:r>
    </w:p>
    <w:p>
      <w:pPr>
        <w:pStyle w:val="BookText"/>
      </w:pPr>
      <w:r>
        <w:rPr>
          <w:rFonts w:ascii="IRNazanin" w:hAnsi="IRNazanin" w:eastAsia="IRNazanin" w:cs="IRNazanin"/>
          <w:lang w:bidi="fa-IR"/>
          <w:color w:val="111111"/>
          <w:sz w:val="28"/>
          <w:szCs w:val="28"/>
          <w:rtl/>
        </w:rPr>
        <w:t xml:space="preserve">١. همدان؛ اعتماد الدوله؛ شماره نسخه:۲۳۸</w:t>
      </w:r>
    </w:p>
    <w:p>
      <w:pPr>
        <w:pStyle w:val="BookText"/>
      </w:pPr>
      <w:r>
        <w:rPr>
          <w:rFonts w:ascii="IRNazanin" w:hAnsi="IRNazanin" w:eastAsia="IRNazanin" w:cs="IRNazanin"/>
          <w:lang w:bidi="fa-IR"/>
          <w:color w:val="111111"/>
          <w:sz w:val="28"/>
          <w:szCs w:val="28"/>
          <w:rtl/>
        </w:rPr>
        <w:t xml:space="preserve">کا: درویش احمد کاتب، تا: نیمه های جمادی الثانی ۱۰۱۳ق، جا؛ مصر؛ مجدول زر و لاجورد [نشریه: ۵-۳۴۲]</w:t>
      </w:r>
    </w:p>
    <w:p>
      <w:pPr>
        <w:pStyle w:val="BookText"/>
      </w:pPr>
      <w:r>
        <w:rPr>
          <w:rFonts w:ascii="IRNazanin" w:hAnsi="IRNazanin" w:eastAsia="IRNazanin" w:cs="IRNazanin"/>
          <w:lang w:bidi="fa-IR"/>
          <w:color w:val="111111"/>
          <w:sz w:val="28"/>
          <w:szCs w:val="28"/>
          <w:rtl/>
        </w:rPr>
        <w:t xml:space="preserve">۲. قم؛ مرعشی؛ شماره نسخه:۱۱۸۷ عکسی و ۱۶۲۴ عکسی</w:t>
      </w:r>
    </w:p>
    <w:p>
      <w:pPr>
        <w:pStyle w:val="BookText"/>
      </w:pPr>
      <w:r>
        <w:rPr>
          <w:rFonts w:ascii="IRNazanin" w:hAnsi="IRNazanin" w:eastAsia="IRNazanin" w:cs="IRNazanin"/>
          <w:lang w:bidi="fa-IR"/>
          <w:color w:val="111111"/>
          <w:sz w:val="28"/>
          <w:szCs w:val="28"/>
          <w:rtl/>
        </w:rPr>
        <w:t xml:space="preserve">آغاز: بیان کیفیت لطلوع آل عثمان و بیان اصو و فروع این شجره طیبه سلطنت جهانبانی و ذکر مأثر و مفاخر صدرنشینان بخت سلطانی آبدالله هذه الدولة بمراسم سلامی؛ انجام: و گزیده علمای روم و مربی ارباب فهوم مولانا لطفی بر تاریخ لطیفی دمشدر تاریخ: هست تاریخ بهترین او را*** نورالله قبره نورا ۸۶</w:t>
      </w:r>
    </w:p>
    <w:p>
      <w:pPr>
        <w:pStyle w:val="BookText"/>
      </w:pPr>
      <w:r>
        <w:rPr>
          <w:rFonts w:ascii="IRNazanin" w:hAnsi="IRNazanin" w:eastAsia="IRNazanin" w:cs="IRNazanin"/>
          <w:lang w:bidi="fa-IR"/>
          <w:color w:val="111111"/>
          <w:sz w:val="28"/>
          <w:szCs w:val="28"/>
          <w:rtl/>
        </w:rPr>
        <w:t xml:space="preserve">نسخه اصل: کتابخانه آکادمی علوم آذربایجان، باکو، شم ۲۳۶</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فهرست کتابهای خطی شرقی در آکادمی علوم آذربایجان: ۳۳/۱ )؛ خط: نسخ زیبا، بی کا، بی تا، افتادگی: آغاز؛ مجدول؛ ۶۰۴ص، ۲۱سطر [عکسی ف: ۳-۴۴۸ و ف: ۳۶۵]</w:t>
      </w:r>
    </w:p>
    <w:p>
      <w:pPr>
        <w:pStyle w:val="Heading3"/>
      </w:pPr>
      <w:bookmarkStart w:id="1908" w:name="_Toc1168"/>
      <w:r>
        <w:t>•تاج التواریخ = تاریخ عثمانی / تاریخ / ترکی</w:t>
      </w:r>
      <w:bookmarkEnd w:id="1908"/>
    </w:p>
    <w:p>
      <w:pPr>
        <w:pStyle w:val="BookText"/>
      </w:pPr>
      <w:r>
        <w:rPr>
          <w:rFonts w:ascii="Times New Roman" w:hAnsi="Times New Roman" w:eastAsia="Times New Roman" w:cs="Times New Roman"/>
          <w:lang w:val="en-US" w:bidi="en-US"/>
          <w:color w:val="111111"/>
          <w:sz w:val="28"/>
          <w:szCs w:val="28"/>
          <w:rtl/>
        </w:rPr>
        <w:t xml:space="preserve">tāj-ot tavārīx = tārīx-e 'osmānī</w:t>
      </w:r>
    </w:p>
    <w:p>
      <w:pPr>
        <w:pStyle w:val="BookText"/>
      </w:pPr>
      <w:r>
        <w:rPr>
          <w:rFonts w:ascii="IRNazanin" w:hAnsi="IRNazanin" w:eastAsia="IRNazanin" w:cs="IRNazanin"/>
          <w:lang w:bidi="fa-IR"/>
          <w:color w:val="111111"/>
          <w:sz w:val="28"/>
          <w:szCs w:val="28"/>
          <w:rtl/>
        </w:rPr>
        <w:t xml:space="preserve">افندی، محمد راشد، ق ۱۲ قمری</w:t>
      </w:r>
    </w:p>
    <w:p>
      <w:pPr>
        <w:pStyle w:val="BookText"/>
      </w:pPr>
      <w:r>
        <w:rPr>
          <w:rFonts w:ascii="Times New Roman" w:hAnsi="Times New Roman" w:eastAsia="Times New Roman" w:cs="Times New Roman"/>
          <w:lang w:val="en-US" w:bidi="en-US"/>
          <w:color w:val="111111"/>
          <w:sz w:val="28"/>
          <w:szCs w:val="28"/>
          <w:rtl/>
        </w:rPr>
        <w:t xml:space="preserve">afandī, mohammad rāšed (-18c)</w:t>
      </w:r>
    </w:p>
    <w:p>
      <w:pPr>
        <w:pStyle w:val="BookText"/>
      </w:pPr>
      <w:r>
        <w:rPr>
          <w:rFonts w:ascii="IRNazanin" w:hAnsi="IRNazanin" w:eastAsia="IRNazanin" w:cs="IRNazanin"/>
          <w:lang w:bidi="fa-IR"/>
          <w:color w:val="111111"/>
          <w:sz w:val="28"/>
          <w:szCs w:val="28"/>
          <w:rtl/>
        </w:rPr>
        <w:t xml:space="preserve">اهداء به: سلطان احمد بن سلطان محمد خان غازی تاریخ سلطان احمد خان بن سلطان محمد خان غازی از سلاطين آل عثمان تأليف محمد راشد افندی است به ترتیب سنوات به نام سلطان مذکور و شامل وقایع سال هزار و صد و شانزده هجری قمری تا وقایع و حوادث سال هزار و صد و سی و چهار می باشد.</w:t>
      </w:r>
    </w:p>
    <w:p>
      <w:pPr>
        <w:pStyle w:val="BookText"/>
      </w:pPr>
      <w:r>
        <w:rPr>
          <w:rFonts w:ascii="IRNazanin" w:hAnsi="IRNazanin" w:eastAsia="IRNazanin" w:cs="IRNazanin"/>
          <w:lang w:bidi="fa-IR"/>
          <w:color w:val="111111"/>
          <w:sz w:val="28"/>
          <w:szCs w:val="28"/>
          <w:rtl/>
        </w:rPr>
        <w:t xml:space="preserve">[دنا ۶۵۸/۲ ]</w:t>
      </w:r>
    </w:p>
    <w:p>
      <w:pPr>
        <w:pStyle w:val="BookText"/>
      </w:pPr>
      <w:r>
        <w:rPr>
          <w:rFonts w:ascii="IRNazanin" w:hAnsi="IRNazanin" w:eastAsia="IRNazanin" w:cs="IRNazanin"/>
          <w:lang w:bidi="fa-IR"/>
          <w:color w:val="111111"/>
          <w:sz w:val="28"/>
          <w:szCs w:val="28"/>
          <w:rtl/>
        </w:rPr>
        <w:t xml:space="preserve">تهران؛ سلطنتی؛ شماره نسخه:۱۷۹۳</w:t>
      </w:r>
    </w:p>
    <w:p>
      <w:pPr>
        <w:pStyle w:val="BookText"/>
      </w:pPr>
      <w:r>
        <w:rPr>
          <w:rFonts w:ascii="IRNazanin" w:hAnsi="IRNazanin" w:eastAsia="IRNazanin" w:cs="IRNazanin"/>
          <w:lang w:bidi="fa-IR"/>
          <w:color w:val="111111"/>
          <w:sz w:val="28"/>
          <w:szCs w:val="28"/>
          <w:rtl/>
        </w:rPr>
        <w:t xml:space="preserve">آغاز: آغاز فهرست: نشر مراسله های دعوت-جلوس احمد خان علیه الرحمه و الغفران. آغاز تاریخ: ای خامه مهمساز سر مصلحت اول***مدحتگر کارخانه منقبت اول ... سخن نقص علیک احسن القصص منوالی او زره دیباح باف دیباچه تحقیقی اولوب محرم اسرار اخبار؛ انجام: همان خداوند کار ساز حضر تلری بویله بر پادشاه عظمت پناه قدر آگاه دام محفوظة ... تمت بالخير قلم اینجا بشکست.</w:t>
      </w:r>
    </w:p>
    <w:p>
      <w:pPr>
        <w:pStyle w:val="BookText"/>
      </w:pPr>
      <w:r>
        <w:rPr>
          <w:rFonts w:ascii="IRNazanin" w:hAnsi="IRNazanin" w:eastAsia="IRNazanin" w:cs="IRNazanin"/>
          <w:lang w:bidi="fa-IR"/>
          <w:color w:val="111111"/>
          <w:sz w:val="28"/>
          <w:szCs w:val="28"/>
          <w:rtl/>
        </w:rPr>
        <w:t xml:space="preserve">خط: نستعلیق تحریری، بی کا، بی تا؛ پشت صفحه اول نوشته شده: تاریخ رومی ترکی عثمانی پیشکش نواب اسمعیل میرزا امیر اخور در کرج بتاریخ جمادی الثانی ۱۲۹۶»، مجدول، یک سرلوح مذهب مرصع کار عثمانی؛ کاغذ: ترکی، جلد: مقوای روکش چرم قهوه ای با ترنج و سرترنج و گل و برگ برجسته، ۱۲۷۳ص، ۳۱ سطر، قطع: وزیری باریک، اندازه: 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۵-۲۹۲]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46" w:name="pg20363_209621"/>
    <w:bookmarkEnd w:id="346"/>
    <w:p>
      <w:pPr>
        <w:pStyle w:val="Heading3"/>
      </w:pPr>
      <w:bookmarkStart w:id="1909" w:name="_Toc1169"/>
      <w:r>
        <w:t>• تاج الحكمة لاكمال النعمة / عرفان و تصوف / فارسی</w:t>
      </w:r>
      <w:bookmarkEnd w:id="1909"/>
    </w:p>
    <w:p>
      <w:pPr>
        <w:pStyle w:val="BookText"/>
      </w:pPr>
      <w:r>
        <w:rPr>
          <w:rFonts w:ascii="Times New Roman" w:hAnsi="Times New Roman" w:eastAsia="Times New Roman" w:cs="Times New Roman"/>
          <w:lang w:val="en-US" w:bidi="en-US"/>
          <w:color w:val="111111"/>
          <w:sz w:val="28"/>
          <w:szCs w:val="28"/>
          <w:rtl/>
        </w:rPr>
        <w:t xml:space="preserve">tāj-ol hekma le-ekmāl-en ne'ma</w:t>
      </w:r>
    </w:p>
    <w:p>
      <w:pPr>
        <w:pStyle w:val="BookText"/>
      </w:pPr>
      <w:r>
        <w:rPr>
          <w:rFonts w:ascii="IRNazanin" w:hAnsi="IRNazanin" w:eastAsia="IRNazanin" w:cs="IRNazanin"/>
          <w:lang w:bidi="fa-IR"/>
          <w:color w:val="111111"/>
          <w:sz w:val="28"/>
          <w:szCs w:val="28"/>
          <w:rtl/>
        </w:rPr>
        <w:t xml:space="preserve">در آن از ملامحراب گیلانی در اصفهان و سید محمد مهدی بحر العلوم بروجردی و شیخ جعفر نجفی و شیخ احمد احسائی و آقا محمد هاشمای شیرازی و شیخ عبیدالله کرد و پیشگویی قطب و میرزا فضل الله منشی خاوری و میرزا شفیع نوری و صدراعظم فتح علی شاه ...... یاد شده است.</w:t>
      </w:r>
    </w:p>
    <w:p>
      <w:pPr>
        <w:pStyle w:val="BookText"/>
      </w:pPr>
      <w:r>
        <w:rPr>
          <w:rFonts w:ascii="IRNazanin" w:hAnsi="IRNazanin" w:eastAsia="IRNazanin" w:cs="IRNazanin"/>
          <w:lang w:bidi="fa-IR"/>
          <w:color w:val="111111"/>
          <w:sz w:val="28"/>
          <w:szCs w:val="28"/>
          <w:rtl/>
        </w:rPr>
        <w:t xml:space="preserve">تهران؛ مجلس؛ شماره نسخه:۴۷۵</w:t>
      </w:r>
    </w:p>
    <w:p>
      <w:pPr>
        <w:pStyle w:val="BookText"/>
      </w:pPr>
      <w:r>
        <w:rPr>
          <w:rFonts w:ascii="IRNazanin" w:hAnsi="IRNazanin" w:eastAsia="IRNazanin" w:cs="IRNazanin"/>
          <w:lang w:bidi="fa-IR"/>
          <w:color w:val="111111"/>
          <w:sz w:val="28"/>
          <w:szCs w:val="28"/>
          <w:rtl/>
        </w:rPr>
        <w:t xml:space="preserve">آغاز: بسمله. به ثقتی. چون همواره حق تعالی از بدو خلقت آدمی و عالم واقعی و اشياء المكانية جهت معرفت و شناسائی خود؛ انجام: نام نهادم او را به مقدمه تام الحكمة لاكمال النعمة، وفقني الله و اياكم بالثبات في الصراط المستقیم بحوله و قوته.</w:t>
      </w:r>
    </w:p>
    <w:p>
      <w:pPr>
        <w:pStyle w:val="BookText"/>
      </w:pPr>
      <w:r>
        <w:rPr>
          <w:rFonts w:ascii="IRNazanin" w:hAnsi="IRNazanin" w:eastAsia="IRNazanin" w:cs="IRNazanin"/>
          <w:lang w:bidi="fa-IR"/>
          <w:color w:val="111111"/>
          <w:sz w:val="28"/>
          <w:szCs w:val="28"/>
          <w:rtl/>
        </w:rPr>
        <w:t xml:space="preserve">خط: نسخ، بی کا، تا: قرن ۱۳؛ کاغذ: سفید، جلد: تیماج حنایی ضربی یک لا، ۳۳ گ، ۲۱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[سنا: ف: ۲۷۶-۱ ]</w:t>
      </w:r>
    </w:p>
    <w:p>
      <w:pPr>
        <w:pStyle w:val="Heading3"/>
      </w:pPr>
      <w:bookmarkStart w:id="1910" w:name="_Toc1170"/>
      <w:r>
        <w:t>•تاج الدرة في شرح قصيدة البردة / ادبیات عربی</w:t>
      </w:r>
      <w:bookmarkEnd w:id="1910"/>
    </w:p>
    <w:p>
      <w:pPr>
        <w:pStyle w:val="BookText"/>
      </w:pPr>
      <w:r>
        <w:rPr>
          <w:rFonts w:ascii="Times New Roman" w:hAnsi="Times New Roman" w:eastAsia="Times New Roman" w:cs="Times New Roman"/>
          <w:lang w:val="en-US" w:bidi="en-US"/>
          <w:color w:val="111111"/>
          <w:sz w:val="28"/>
          <w:szCs w:val="28"/>
          <w:rtl/>
        </w:rPr>
        <w:t xml:space="preserve">tāj-ud durra fī š.-i qaşīdat-il burda</w:t>
      </w:r>
    </w:p>
    <w:p>
      <w:pPr>
        <w:pStyle w:val="BookText"/>
      </w:pPr>
      <w:r>
        <w:rPr>
          <w:rFonts w:ascii="IRNazanin" w:hAnsi="IRNazanin" w:eastAsia="IRNazanin" w:cs="IRNazanin"/>
          <w:lang w:bidi="fa-IR"/>
          <w:color w:val="111111"/>
          <w:sz w:val="28"/>
          <w:szCs w:val="28"/>
          <w:rtl/>
        </w:rPr>
        <w:t xml:space="preserve">رومی، محمود بن احمد، ق ۹ قمری</w:t>
      </w:r>
    </w:p>
    <w:p>
      <w:pPr>
        <w:pStyle w:val="BookText"/>
      </w:pPr>
      <w:r>
        <w:rPr>
          <w:rFonts w:ascii="Times New Roman" w:hAnsi="Times New Roman" w:eastAsia="Times New Roman" w:cs="Times New Roman"/>
          <w:lang w:val="en-US" w:bidi="en-US"/>
          <w:color w:val="111111"/>
          <w:sz w:val="28"/>
          <w:szCs w:val="28"/>
          <w:rtl/>
        </w:rPr>
        <w:t xml:space="preserve">rūmī, mahmūd-e-bn-e ahmad (-15c)</w:t>
      </w:r>
    </w:p>
    <w:p>
      <w:pPr>
        <w:pStyle w:val="BookText"/>
      </w:pPr>
      <w:r>
        <w:rPr>
          <w:rFonts w:ascii="IRNazanin" w:hAnsi="IRNazanin" w:eastAsia="IRNazanin" w:cs="IRNazanin"/>
          <w:lang w:bidi="fa-IR"/>
          <w:color w:val="111111"/>
          <w:sz w:val="28"/>
          <w:szCs w:val="28"/>
          <w:rtl/>
        </w:rPr>
        <w:t xml:space="preserve">وابسته به: الكواكب الدرية في مدرح خير البرية = قصيدة البردة = برده میمیه؛ بوصیری، محمد بن سعيد (۶۰۸-۶۹۶ق) اهدا به: شمس الدین علی بن مختار حسینی</w:t>
      </w:r>
    </w:p>
    <w:p>
      <w:pPr>
        <w:pStyle w:val="BookText"/>
      </w:pPr>
      <w:r>
        <w:rPr>
          <w:rFonts w:ascii="Amiri" w:hAnsi="Amiri" w:eastAsia="Amiri" w:cs="Amiri"/>
          <w:lang w:bidi="ar-SA"/>
          <w:color w:val="111111"/>
          <w:sz w:val="28"/>
          <w:szCs w:val="28"/>
          <w:rtl/>
        </w:rPr>
        <w:t xml:space="preserve">سال تأليف: ۸۳۷ق</w:t>
      </w:r>
    </w:p>
    <w:p>
      <w:pPr>
        <w:pStyle w:val="BookText"/>
      </w:pPr>
      <w:r>
        <w:rPr>
          <w:rFonts w:ascii="IRNazanin" w:hAnsi="IRNazanin" w:eastAsia="IRNazanin" w:cs="IRNazanin"/>
          <w:lang w:bidi="fa-IR"/>
          <w:color w:val="111111"/>
          <w:sz w:val="28"/>
          <w:szCs w:val="28"/>
          <w:rtl/>
        </w:rPr>
        <w:t xml:space="preserve">در شرح قصیده برده. در کشف الظنون و ذیل آن و فهرست بروکلمان و الذریعه از چنین شرحی یاد نشده است. در آن این عنوانها به چشم می خورد: «اللغة»، «الصرف»، «الاعراب» و «المعنی». شارح در پایان سیزده بیتی را که در برخی از شروح آمده است آورده و شرح کرده با اینکه آنها را از ملحقات دانسته است نه از ناظم قصیده برده.</w:t>
      </w:r>
    </w:p>
    <w:p>
      <w:pPr>
        <w:pStyle w:val="BookText"/>
      </w:pPr>
      <w:r>
        <w:rPr>
          <w:rFonts w:ascii="IRNazanin" w:hAnsi="IRNazanin" w:eastAsia="IRNazanin" w:cs="IRNazanin"/>
          <w:lang w:bidi="fa-IR"/>
          <w:color w:val="111111"/>
          <w:sz w:val="28"/>
          <w:szCs w:val="28"/>
          <w:rtl/>
        </w:rPr>
        <w:t xml:space="preserve">آغاز: بسمله. نحمد الله كما حمد لذاته بالمحامد المتكاثرة المتوافرة و نوحده كما شهد لنفسه بالوحدانية الظاهرة القاهرة .. و بعد فيقول ... محمود بن احمد بن مصطفى بن ابراهيم الصوفي المدعو ببدر الدين الرومي ... لما دعانی داعی الوداد الى التلقي بسعادة الانقياد بامتثال أمر ... شمس الحق والدین علی ابن المختار الحسینی ... في اوان اشتغاله بمطالعة القصيدة المعروفة بالبردة ... بان املي لها شرحا ... و سميته بتاج الدرة في شرح قصيدة البردة.</w:t>
      </w:r>
    </w:p>
    <w:p>
      <w:pPr>
        <w:pStyle w:val="BookText"/>
      </w:pPr>
      <w:r>
        <w:rPr>
          <w:rFonts w:ascii="IRNazanin" w:hAnsi="IRNazanin" w:eastAsia="IRNazanin" w:cs="IRNazanin"/>
          <w:lang w:bidi="fa-IR"/>
          <w:color w:val="111111"/>
          <w:sz w:val="28"/>
          <w:szCs w:val="28"/>
          <w:rtl/>
        </w:rPr>
        <w:t xml:space="preserve">انجام: و ليقبل معذرتی آخرا كما سبق اولا الحمدالله على الاتمام و على رسوله افضل التحية و السلام و آله الكرام. و لست اری كسب الدراهم نافعی</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اذا لم يكن لي في المكارم مکسب / ولی همة لاتطلب المال للغنى***و لكنها من المودة تطلب</w:t>
      </w:r>
    </w:p>
    <w:p>
      <w:pPr>
        <w:pStyle w:val="BookText"/>
      </w:pPr>
      <w:r>
        <w:rPr>
          <w:rFonts w:ascii="IRNazanin" w:hAnsi="IRNazanin" w:eastAsia="IRNazanin" w:cs="IRNazanin"/>
          <w:lang w:bidi="fa-IR"/>
          <w:color w:val="111111"/>
          <w:sz w:val="28"/>
          <w:szCs w:val="28"/>
          <w:rtl/>
        </w:rPr>
        <w:t xml:space="preserve">[ دنا ۶۵۸/۲ ]</w:t>
      </w:r>
    </w:p>
    <w:p>
      <w:pPr>
        <w:pStyle w:val="BookText"/>
      </w:pPr>
      <w:r>
        <w:rPr>
          <w:rFonts w:ascii="IRNazanin" w:hAnsi="IRNazanin" w:eastAsia="IRNazanin" w:cs="IRNazanin"/>
          <w:lang w:bidi="fa-IR"/>
          <w:color w:val="111111"/>
          <w:sz w:val="28"/>
          <w:szCs w:val="28"/>
          <w:rtl/>
        </w:rPr>
        <w:t xml:space="preserve">۱. تهران: دانشگاه؛ شماره نسخه: ۳۵۳۸/۱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امیر محمد بن نصر الله بن حسين مزینانی، تا: صفر ۸۴۳ق؛ از روی نسخه مؤلف، تمام آن بر مؤلف قرائت شده و قرائت در رمضان همان سال پایان پذیرفته؛ کاغذ: سمرقندی، جلد: تیماج سرخ، اص (۸۲)، ۱۵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۱۲-۲۵۵۷]</w:t>
      </w:r>
    </w:p>
    <w:p>
      <w:pPr>
        <w:pStyle w:val="BookText"/>
      </w:pPr>
      <w:r>
        <w:rPr>
          <w:rFonts w:ascii="IRNazanin" w:hAnsi="IRNazanin" w:eastAsia="IRNazanin" w:cs="IRNazanin"/>
          <w:lang w:bidi="fa-IR"/>
          <w:color w:val="111111"/>
          <w:sz w:val="28"/>
          <w:szCs w:val="28"/>
          <w:rtl/>
        </w:rPr>
        <w:t xml:space="preserve">۲. تهران؛ دانشگاه؛ شماره نسخه: ۵۱۴۹</w:t>
      </w:r>
    </w:p>
    <w:p>
      <w:pPr>
        <w:pStyle w:val="BookText"/>
      </w:pPr>
      <w:r>
        <w:rPr>
          <w:rFonts w:ascii="IRNazanin" w:hAnsi="IRNazanin" w:eastAsia="IRNazanin" w:cs="IRNazanin"/>
          <w:lang w:bidi="fa-IR"/>
          <w:color w:val="111111"/>
          <w:sz w:val="28"/>
          <w:szCs w:val="28"/>
          <w:rtl/>
        </w:rPr>
        <w:t xml:space="preserve">آغاز: در دیباچه: على الصرف و النحو مشيرا الى بعض مزايا علم البلاغة مع ذكر حاصل معنى البيت ... و سميته بتاج الدرة في شرح قصيدة البردة؛ انجام: برابر؛ قد فرغ المصنف من تجريد هذا الشرح في شهور سنة سبع و ثلثين و ثمانمائة. و قد فرغ الكاتب ... مجدالدین بن شرف الدين الأصفهاني عن تحرير هذه النسخة الشريفة المنقولة عن نسخة هي منقولة عن نسخة المصنف رحمه و قرات على المصنف من اولها الى آخرها في شهر صفر سنة سبع و اربعین تسعمائة (تراشیدند و «سبعمائه کردند).</w:t>
      </w:r>
    </w:p>
    <w:p>
      <w:pPr>
        <w:pStyle w:val="BookText"/>
      </w:pPr>
      <w:r>
        <w:rPr>
          <w:rFonts w:ascii="IRNazanin" w:hAnsi="IRNazanin" w:eastAsia="IRNazanin" w:cs="IRNazanin"/>
          <w:lang w:bidi="fa-IR"/>
          <w:color w:val="111111"/>
          <w:sz w:val="28"/>
          <w:szCs w:val="28"/>
          <w:rtl/>
        </w:rPr>
        <w:t xml:space="preserve">خط: نسخ ریز، کا: مجدالدین بن شرف الدین اصفهانی، تا: صفر ۹۴۷ق؛ افتادگی: آغاز؛ با یک واسطه از روی نسخه مؤلف نگاشته شده، محشی با نشان«م، ص، ش»؛ در دارالسلطنه اصفهان خریداری شده؛ کاغذ: سمرقندی، جلد: تیماج قهوه ای، ۷۱گ، ۱۹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سم [ف: ۱۵-۴۱۲۶]</w:t>
      </w:r>
    </w:p>
    <w:p>
      <w:pPr>
        <w:pStyle w:val="BookText"/>
      </w:pPr>
      <w:r>
        <w:rPr>
          <w:rFonts w:ascii="IRNazanin" w:hAnsi="IRNazanin" w:eastAsia="IRNazanin" w:cs="IRNazanin"/>
          <w:lang w:bidi="fa-IR"/>
          <w:color w:val="111111"/>
          <w:sz w:val="28"/>
          <w:szCs w:val="28"/>
          <w:rtl/>
        </w:rPr>
        <w:t xml:space="preserve">٣. اردکان یزد؛ امام صادق؛ شماره نسخه: ۲۰۵/۱</w:t>
      </w:r>
    </w:p>
    <w:p>
      <w:pPr>
        <w:pStyle w:val="BookText"/>
      </w:pPr>
      <w:r>
        <w:rPr>
          <w:rFonts w:ascii="Amiri" w:hAnsi="Amiri" w:eastAsia="Amiri" w:cs="Amiri"/>
          <w:lang w:bidi="ar-SA"/>
          <w:color w:val="111111"/>
          <w:sz w:val="28"/>
          <w:szCs w:val="28"/>
          <w:rtl/>
        </w:rPr>
        <w:t xml:space="preserve">آغاز: لها شرحا يوضح ما فيها من حقائق معاني اللغة و دقائق علم الصرف و النحو مشيرا الى بعض مزايا علم البلاغة</w:t>
      </w:r>
    </w:p>
    <w:p>
      <w:pPr>
        <w:pStyle w:val="BookText"/>
      </w:pPr>
      <w:r>
        <w:rPr>
          <w:rFonts w:ascii="IRNazanin" w:hAnsi="IRNazanin" w:eastAsia="IRNazanin" w:cs="IRNazanin"/>
          <w:lang w:bidi="fa-IR"/>
          <w:color w:val="111111"/>
          <w:sz w:val="28"/>
          <w:szCs w:val="28"/>
          <w:rtl/>
        </w:rPr>
        <w:t xml:space="preserve">خط: نسخ، كا: ی، بی تا، افتادگی: آغاز؛ جلد: تیماج مشکی، عطف تیماج قرمز، رو افتاده، ۹۰گ (۱ر-۹۰ر)،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۱-۱۸۹]</w:t>
      </w:r>
    </w:p>
    <w:p>
      <w:pPr>
        <w:pStyle w:val="Heading3"/>
      </w:pPr>
      <w:bookmarkStart w:id="1911" w:name="_Toc1171"/>
      <w:r>
        <w:t>•تاج دوازده ترک / عرفان و تصوف / فارسی</w:t>
      </w:r>
      <w:bookmarkEnd w:id="1911"/>
    </w:p>
    <w:p>
      <w:pPr>
        <w:pStyle w:val="BookText"/>
      </w:pPr>
      <w:r>
        <w:rPr>
          <w:rFonts w:ascii="Times New Roman" w:hAnsi="Times New Roman" w:eastAsia="Times New Roman" w:cs="Times New Roman"/>
          <w:lang w:val="en-US" w:bidi="en-US"/>
          <w:color w:val="111111"/>
          <w:sz w:val="28"/>
          <w:szCs w:val="28"/>
          <w:rtl/>
        </w:rPr>
        <w:t xml:space="preserve">tāj-e davāzdah tarak</w:t>
      </w:r>
    </w:p>
    <w:p>
      <w:pPr>
        <w:pStyle w:val="BookText"/>
      </w:pPr>
      <w:r>
        <w:rPr>
          <w:rFonts w:ascii="IRNazanin" w:hAnsi="IRNazanin" w:eastAsia="IRNazanin" w:cs="IRNazanin"/>
          <w:lang w:bidi="fa-IR"/>
          <w:color w:val="111111"/>
          <w:sz w:val="28"/>
          <w:szCs w:val="28"/>
          <w:rtl/>
        </w:rPr>
        <w:t xml:space="preserve">برای هر یک از دوازده ترک کلاه درویشان تأویلی کرده است.</w:t>
      </w:r>
    </w:p>
    <w:p>
      <w:pPr>
        <w:pStyle w:val="BookText"/>
      </w:pPr>
      <w:r>
        <w:rPr>
          <w:rFonts w:ascii="IRNazanin" w:hAnsi="IRNazanin" w:eastAsia="IRNazanin" w:cs="IRNazanin"/>
          <w:lang w:bidi="fa-IR"/>
          <w:color w:val="111111"/>
          <w:sz w:val="28"/>
          <w:szCs w:val="28"/>
          <w:rtl/>
        </w:rPr>
        <w:t xml:space="preserve">[دنا ۶۵۸/۲ ؛ فهرستواره منزوی ۱۶۸/۷ ]</w:t>
      </w:r>
    </w:p>
    <w:p>
      <w:pPr>
        <w:pStyle w:val="BookText"/>
      </w:pPr>
      <w:r>
        <w:rPr>
          <w:rFonts w:ascii="IRNazanin" w:hAnsi="IRNazanin" w:eastAsia="IRNazanin" w:cs="IRNazanin"/>
          <w:lang w:bidi="fa-IR"/>
          <w:color w:val="111111"/>
          <w:sz w:val="28"/>
          <w:szCs w:val="28"/>
          <w:rtl/>
        </w:rPr>
        <w:t xml:space="preserve">تهران؛ ملک؛ شماره نسخه:۴۰۰۶/۴</w:t>
      </w:r>
    </w:p>
    <w:p>
      <w:pPr>
        <w:pStyle w:val="BookText"/>
      </w:pPr>
      <w:r>
        <w:rPr>
          <w:rFonts w:ascii="IRNazanin" w:hAnsi="IRNazanin" w:eastAsia="IRNazanin" w:cs="IRNazanin"/>
          <w:lang w:bidi="fa-IR"/>
          <w:color w:val="111111"/>
          <w:sz w:val="28"/>
          <w:szCs w:val="28"/>
          <w:rtl/>
        </w:rPr>
        <w:t xml:space="preserve">آغاز: بسمله. اما بعد، در بیان تاج دوازده ترک، بدان ای درویش که تاج دوازده ترک را طلب ۹۹۹ دوازده ترک است و دوازده طلب في المثل در آسمان بروج دوازده است؛ انجام: تاج سرما بر سر فارغ شود، از دردسر هر دو سر. تم بالخير و السلام. بی کا، بی تا، کاغذ: فرنگی و آهار مهره و فستقی، ۳گ (۸۸پ۔ ۹۰ر)، اندازه: 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/۲۰سم [ف: ۷-۱۴۲]</w:t>
      </w:r>
    </w:p>
    <w:p>
      <w:pPr>
        <w:pStyle w:val="Heading3"/>
      </w:pPr>
      <w:bookmarkStart w:id="1912" w:name="_Toc1172"/>
      <w:r>
        <w:t>•تاج الرؤس و عز النفوس / لغت / فارسی</w:t>
      </w:r>
      <w:bookmarkEnd w:id="1912"/>
    </w:p>
    <w:p>
      <w:pPr>
        <w:pStyle w:val="BookText"/>
      </w:pPr>
      <w:r>
        <w:rPr>
          <w:rFonts w:ascii="Times New Roman" w:hAnsi="Times New Roman" w:eastAsia="Times New Roman" w:cs="Times New Roman"/>
          <w:lang w:val="en-US" w:bidi="en-US"/>
          <w:color w:val="111111"/>
          <w:sz w:val="28"/>
          <w:szCs w:val="28"/>
          <w:rtl/>
        </w:rPr>
        <w:t xml:space="preserve">tāj-or ro’ūs va ez-on nofūs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347" w:name="pg20363_209622"/>
    <w:bookmarkEnd w:id="347"/>
    <w:p>
      <w:pPr>
        <w:pStyle w:val="BookText"/>
      </w:pPr>
      <w:r>
        <w:rPr>
          <w:rFonts w:ascii="IRNazanin" w:hAnsi="IRNazanin" w:eastAsia="IRNazanin" w:cs="IRNazanin"/>
          <w:lang w:bidi="fa-IR"/>
          <w:color w:val="111111"/>
          <w:sz w:val="28"/>
          <w:szCs w:val="28"/>
          <w:rtl/>
        </w:rPr>
        <w:t xml:space="preserve">بقال قیصری، احمد بن اسحاق، ق۷ قمری</w:t>
      </w:r>
    </w:p>
    <w:p>
      <w:pPr>
        <w:pStyle w:val="BookText"/>
      </w:pPr>
      <w:r>
        <w:rPr>
          <w:rFonts w:ascii="Times New Roman" w:hAnsi="Times New Roman" w:eastAsia="Times New Roman" w:cs="Times New Roman"/>
          <w:lang w:val="en-US" w:bidi="en-US"/>
          <w:color w:val="111111"/>
          <w:sz w:val="28"/>
          <w:szCs w:val="28"/>
          <w:rtl/>
        </w:rPr>
        <w:t xml:space="preserve">baqqāl-e qeysarī, ahmad-e-bn-e eshāq (-13c)</w:t>
      </w:r>
    </w:p>
    <w:p>
      <w:pPr>
        <w:pStyle w:val="BookText"/>
      </w:pPr>
      <w:r>
        <w:rPr>
          <w:rFonts w:ascii="IRNazanin" w:hAnsi="IRNazanin" w:eastAsia="IRNazanin" w:cs="IRNazanin"/>
          <w:lang w:bidi="fa-IR"/>
          <w:color w:val="111111"/>
          <w:sz w:val="28"/>
          <w:szCs w:val="28"/>
          <w:rtl/>
        </w:rPr>
        <w:t xml:space="preserve">فرهنگ فارسی است در پنج «باب»: باب نخستین در اسماء ذوات است و دیگر باب ها باید در افعال و حروف و متصرفات آنها باشد. مؤلف می گوید چون دیدم که کسی قواعدی برای زبان های جز عربی نهاد شده است من این کتاب را نوشتم و قواعدی بهتر و خوب تر از آنچه که برای عربی نهاده شده است در آن آورده ام.</w:t>
      </w:r>
    </w:p>
    <w:p>
      <w:pPr>
        <w:pStyle w:val="BookText"/>
      </w:pPr>
      <w:r>
        <w:rPr>
          <w:rFonts w:ascii="IRNazanin" w:hAnsi="IRNazanin" w:eastAsia="IRNazanin" w:cs="IRNazanin"/>
          <w:lang w:bidi="fa-IR"/>
          <w:color w:val="111111"/>
          <w:sz w:val="28"/>
          <w:szCs w:val="28"/>
          <w:rtl/>
        </w:rPr>
        <w:t xml:space="preserve">[دنا ۶۵۸/۲ ]</w:t>
      </w:r>
    </w:p>
    <w:p>
      <w:pPr>
        <w:pStyle w:val="BookText"/>
      </w:pPr>
      <w:r>
        <w:rPr>
          <w:rFonts w:ascii="IRNazanin" w:hAnsi="IRNazanin" w:eastAsia="IRNazanin" w:cs="IRNazanin"/>
          <w:lang w:bidi="fa-IR"/>
          <w:color w:val="111111"/>
          <w:sz w:val="28"/>
          <w:szCs w:val="28"/>
          <w:rtl/>
        </w:rPr>
        <w:t xml:space="preserve">تهران، دانشگاه؛ شماره نسخه: ۲۰۱۶/۱۰ -ف</w:t>
      </w:r>
    </w:p>
    <w:p>
      <w:pPr>
        <w:pStyle w:val="BookText"/>
      </w:pPr>
      <w:r>
        <w:rPr>
          <w:rFonts w:ascii="IRNazanin" w:hAnsi="IRNazanin" w:eastAsia="IRNazanin" w:cs="IRNazanin"/>
          <w:lang w:bidi="fa-IR"/>
          <w:color w:val="111111"/>
          <w:sz w:val="28"/>
          <w:szCs w:val="28"/>
          <w:rtl/>
        </w:rPr>
        <w:t xml:space="preserve">نسخه اصل: آغاز و انجام چند نسخه از کتابخانه های یوگسلاوی؛ بی کا، بی تا [فيلمها ف: ۱-۶۳۶]</w:t>
      </w:r>
    </w:p>
    <w:p>
      <w:pPr>
        <w:pStyle w:val="Heading3"/>
      </w:pPr>
      <w:bookmarkStart w:id="1913" w:name="_Toc1173"/>
      <w:r>
        <w:t>• تاجر و غلام / شعر / فارسی</w:t>
      </w:r>
      <w:bookmarkEnd w:id="1913"/>
    </w:p>
    <w:p>
      <w:pPr>
        <w:pStyle w:val="BookText"/>
      </w:pPr>
      <w:r>
        <w:rPr>
          <w:rFonts w:ascii="Times New Roman" w:hAnsi="Times New Roman" w:eastAsia="Times New Roman" w:cs="Times New Roman"/>
          <w:lang w:val="en-US" w:bidi="en-US"/>
          <w:color w:val="111111"/>
          <w:sz w:val="28"/>
          <w:szCs w:val="28"/>
          <w:rtl/>
        </w:rPr>
        <w:t xml:space="preserve">tājer va qolām</w:t>
      </w:r>
    </w:p>
    <w:p>
      <w:pPr>
        <w:pStyle w:val="BookText"/>
      </w:pPr>
      <w:r>
        <w:rPr>
          <w:rFonts w:ascii="IRNazanin" w:hAnsi="IRNazanin" w:eastAsia="IRNazanin" w:cs="IRNazanin"/>
          <w:lang w:bidi="fa-IR"/>
          <w:color w:val="111111"/>
          <w:sz w:val="28"/>
          <w:szCs w:val="28"/>
          <w:rtl/>
        </w:rPr>
        <w:t xml:space="preserve">ذوالریاستین، عبدالحسین، ۱۲۵۱-۱۳۳۲ شمسی</w:t>
      </w:r>
    </w:p>
    <w:p>
      <w:pPr>
        <w:pStyle w:val="BookText"/>
      </w:pPr>
      <w:r>
        <w:rPr>
          <w:rFonts w:ascii="Times New Roman" w:hAnsi="Times New Roman" w:eastAsia="Times New Roman" w:cs="Times New Roman"/>
          <w:lang w:val="en-US" w:bidi="en-US"/>
          <w:color w:val="111111"/>
          <w:sz w:val="28"/>
          <w:szCs w:val="28"/>
          <w:rtl/>
        </w:rPr>
        <w:t xml:space="preserve">zo-r-rīyāsatayn, “abd-ol-hoseyn (1872-1953)</w:t>
      </w:r>
    </w:p>
    <w:p>
      <w:pPr>
        <w:pStyle w:val="BookText"/>
      </w:pPr>
      <w:r>
        <w:rPr>
          <w:rFonts w:ascii="IRNazanin" w:hAnsi="IRNazanin" w:eastAsia="IRNazanin" w:cs="IRNazanin"/>
          <w:lang w:bidi="fa-IR"/>
          <w:color w:val="111111"/>
          <w:sz w:val="28"/>
          <w:szCs w:val="28"/>
          <w:rtl/>
        </w:rPr>
        <w:t xml:space="preserve">سال تالیف: ۱۳۴۸ق مثنوی تاجر و غلام، وی داستانی از تاجری با غلامش مطابق اوضاع و احوال روزگار خود به شعر ساخته است.</w:t>
      </w:r>
    </w:p>
    <w:p>
      <w:pPr>
        <w:pStyle w:val="BookText"/>
      </w:pPr>
      <w:r>
        <w:rPr>
          <w:rFonts w:ascii="IRNazanin" w:hAnsi="IRNazanin" w:eastAsia="IRNazanin" w:cs="IRNazanin"/>
          <w:lang w:bidi="fa-IR"/>
          <w:color w:val="111111"/>
          <w:sz w:val="28"/>
          <w:szCs w:val="28"/>
          <w:rtl/>
        </w:rPr>
        <w:t xml:space="preserve">[فهرستواره منزوی ۵۰۲/۱۰ ]</w:t>
      </w:r>
    </w:p>
    <w:p>
      <w:pPr>
        <w:pStyle w:val="BookText"/>
      </w:pPr>
      <w:r>
        <w:rPr>
          <w:rFonts w:ascii="IRNazanin" w:hAnsi="IRNazanin" w:eastAsia="IRNazanin" w:cs="IRNazanin"/>
          <w:lang w:bidi="fa-IR"/>
          <w:color w:val="111111"/>
          <w:sz w:val="28"/>
          <w:szCs w:val="28"/>
          <w:rtl/>
        </w:rPr>
        <w:t xml:space="preserve">تهران؛ نوربخش؛ شماره نسخه:۷۴</w:t>
      </w:r>
    </w:p>
    <w:p>
      <w:pPr>
        <w:pStyle w:val="BookText"/>
      </w:pPr>
      <w:r>
        <w:rPr>
          <w:rFonts w:ascii="IRNazanin" w:hAnsi="IRNazanin" w:eastAsia="IRNazanin" w:cs="IRNazanin"/>
          <w:lang w:bidi="fa-IR"/>
          <w:color w:val="111111"/>
          <w:sz w:val="28"/>
          <w:szCs w:val="28"/>
          <w:rtl/>
        </w:rPr>
        <w:t xml:space="preserve">آغاز: دارم از دور زمان یک قصه ای؛ انجام: زامر حق مونس بگفت این سرگذشت. خط: نستعلیق، کاتب = مؤلف، بی تا، کاغذ: فرنگی، جلد: مقوایی، ۲۲ص، ۱۴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۱-۱۰۴]</w:t>
      </w:r>
    </w:p>
    <w:p>
      <w:pPr>
        <w:pStyle w:val="Heading3"/>
      </w:pPr>
      <w:bookmarkStart w:id="1914" w:name="_Toc1174"/>
      <w:r>
        <w:t>•تاج العروس الحاوی لتهذيب النفوس / اخلاق / عربی</w:t>
      </w:r>
      <w:bookmarkEnd w:id="1914"/>
    </w:p>
    <w:p>
      <w:pPr>
        <w:pStyle w:val="BookText"/>
      </w:pPr>
      <w:r>
        <w:rPr>
          <w:rFonts w:ascii="Times New Roman" w:hAnsi="Times New Roman" w:eastAsia="Times New Roman" w:cs="Times New Roman"/>
          <w:lang w:val="en-US" w:bidi="en-US"/>
          <w:color w:val="111111"/>
          <w:sz w:val="28"/>
          <w:szCs w:val="28"/>
          <w:rtl/>
        </w:rPr>
        <w:t xml:space="preserve">tāj-ul ‘urūs-il ḥāwī li-tahdīb-in nufūs</w:t>
      </w:r>
    </w:p>
    <w:p>
      <w:pPr>
        <w:pStyle w:val="BookText"/>
      </w:pPr>
      <w:r>
        <w:rPr>
          <w:rFonts w:ascii="IRNazanin" w:hAnsi="IRNazanin" w:eastAsia="IRNazanin" w:cs="IRNazanin"/>
          <w:lang w:bidi="fa-IR"/>
          <w:color w:val="111111"/>
          <w:sz w:val="28"/>
          <w:szCs w:val="28"/>
          <w:rtl/>
        </w:rPr>
        <w:t xml:space="preserve">ابن عطاء الله اسکندری، احمد بن محمد، -۷۰۹ قمری</w:t>
      </w:r>
    </w:p>
    <w:p>
      <w:pPr>
        <w:pStyle w:val="BookText"/>
      </w:pPr>
      <w:r>
        <w:rPr>
          <w:rFonts w:ascii="Times New Roman" w:hAnsi="Times New Roman" w:eastAsia="Times New Roman" w:cs="Times New Roman"/>
          <w:lang w:val="en-US" w:bidi="en-US"/>
          <w:color w:val="111111"/>
          <w:sz w:val="28"/>
          <w:szCs w:val="28"/>
          <w:rtl/>
        </w:rPr>
        <w:t xml:space="preserve">ebn-e ahmad eskandarī, “atā’-ol-lāh-e ebn-e mohammad (-1310)</w:t>
      </w:r>
    </w:p>
    <w:p>
      <w:pPr>
        <w:pStyle w:val="BookText"/>
      </w:pPr>
      <w:r>
        <w:rPr>
          <w:rFonts w:ascii="IRNazanin" w:hAnsi="IRNazanin" w:eastAsia="IRNazanin" w:cs="IRNazanin"/>
          <w:lang w:bidi="fa-IR"/>
          <w:color w:val="111111"/>
          <w:sz w:val="28"/>
          <w:szCs w:val="28"/>
          <w:rtl/>
        </w:rPr>
        <w:t xml:space="preserve">پند و اندرزهایی است عرفانی با شواهدی از آیات قرآنی و احادیث نبوی و گفته های اقطاب و بزرگان عرفا و اساتید مولف. آغاز: الحمد لله رب العالمين ... ايها العبد اطلب التوبة من الله في كل وقت فان الله قد ندبک اليها. چاپ: مطبوعات شرف، ۱۳۰۴ق؛ مطبوعات عثمان عبد الرازق، مصر، ۴۷ص، ۱۳۰۵ق. کشف الظنون ۲۶۹/۱ ؛ معجم المطبوعات ۱۸۴/۱ ؛ الاعلام ۲۲۲/۱ ؛ الأوقاف العامة موصل ۲۸۹/۲ ]</w:t>
      </w:r>
    </w:p>
    <w:p>
      <w:pPr>
        <w:pStyle w:val="BookText"/>
      </w:pPr>
      <w:r>
        <w:rPr>
          <w:rFonts w:ascii="Amiri" w:hAnsi="Amiri" w:eastAsia="Amiri" w:cs="Amiri"/>
          <w:lang w:bidi="ar-SA"/>
          <w:color w:val="111111"/>
          <w:sz w:val="28"/>
          <w:szCs w:val="28"/>
          <w:rtl/>
        </w:rPr>
        <w:t xml:space="preserve">تاج الحكمة - تاج العقائد ۴۹۵</w:t>
      </w:r>
    </w:p>
    <w:p>
      <w:pPr>
        <w:pStyle w:val="BookText"/>
      </w:pPr>
      <w:r>
        <w:rPr>
          <w:rFonts w:ascii="IRNazanin" w:hAnsi="IRNazanin" w:eastAsia="IRNazanin" w:cs="IRNazanin"/>
          <w:lang w:bidi="fa-IR"/>
          <w:color w:val="111111"/>
          <w:sz w:val="28"/>
          <w:szCs w:val="28"/>
          <w:rtl/>
        </w:rPr>
        <w:t xml:space="preserve">قم، مرکز احیاء؛ شماره نسخه: ۳۲۲۲/۴</w:t>
      </w:r>
    </w:p>
    <w:p>
      <w:pPr>
        <w:pStyle w:val="BookText"/>
      </w:pPr>
      <w:r>
        <w:rPr>
          <w:rFonts w:ascii="IRNazanin" w:hAnsi="IRNazanin" w:eastAsia="IRNazanin" w:cs="IRNazanin"/>
          <w:lang w:bidi="fa-IR"/>
          <w:color w:val="111111"/>
          <w:sz w:val="28"/>
          <w:szCs w:val="28"/>
          <w:rtl/>
        </w:rPr>
        <w:t xml:space="preserve">و عکسی آغاز: برابر؛ انجام: فتحققت عظمة الاسرار كيف تخفى و انت الظاهر كيف تغيب و أنت الرقيب الحاضر. خط: نسخ، بی کا، تا: قرن ۱۱؛ مصحح؛ ۳۹گ (۷۲ر - ۱۱۰پ)، ۲۱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 محدث ارموی مخ: ۱-۲۶۹] و [عکسی ف: ۲۱۳-۶ ]</w:t>
      </w:r>
    </w:p>
    <w:p>
      <w:pPr>
        <w:pStyle w:val="BookText"/>
      </w:pPr>
      <w:r>
        <w:rPr>
          <w:rFonts w:ascii="IRNazanin" w:hAnsi="IRNazanin" w:eastAsia="IRNazanin" w:cs="IRNazanin"/>
          <w:lang w:bidi="fa-IR"/>
          <w:color w:val="111111"/>
          <w:sz w:val="28"/>
          <w:szCs w:val="28"/>
          <w:rtl/>
        </w:rPr>
        <w:t xml:space="preserve">← تاج العروس و قمع النفوس ← تاج العروس الحاوی لتهذيب النفوس</w:t>
      </w:r>
    </w:p>
    <w:p>
      <w:pPr>
        <w:pStyle w:val="Heading3"/>
      </w:pPr>
      <w:bookmarkStart w:id="1915" w:name="_Toc1175"/>
      <w:r>
        <w:t>•تاج العروس و محلل الكعوب (ترجمه) / فقه / فارسی</w:t>
      </w:r>
      <w:bookmarkEnd w:id="1915"/>
    </w:p>
    <w:p>
      <w:pPr>
        <w:pStyle w:val="BookText"/>
      </w:pPr>
      <w:r>
        <w:rPr>
          <w:rFonts w:ascii="Times New Roman" w:hAnsi="Times New Roman" w:eastAsia="Times New Roman" w:cs="Times New Roman"/>
          <w:lang w:val="en-US" w:bidi="en-US"/>
          <w:color w:val="111111"/>
          <w:sz w:val="28"/>
          <w:szCs w:val="28"/>
          <w:rtl/>
        </w:rPr>
        <w:t xml:space="preserve">tāj-ul ‘urūs wa muhallil-ul ku‘ūb (t.)</w:t>
      </w:r>
    </w:p>
    <w:p>
      <w:pPr>
        <w:pStyle w:val="BookText"/>
      </w:pPr>
      <w:r>
        <w:rPr>
          <w:rFonts w:ascii="IRNazanin" w:hAnsi="IRNazanin" w:eastAsia="IRNazanin" w:cs="IRNazanin"/>
          <w:lang w:bidi="fa-IR"/>
          <w:color w:val="111111"/>
          <w:sz w:val="28"/>
          <w:szCs w:val="28"/>
          <w:rtl/>
        </w:rPr>
        <w:t xml:space="preserve">رساله ای است در شرایط و مسائل عقد ازدواج که اصل عربی آن از شیخ موسی بن حیدر علی بن ولی بن فیروز اردبیلی است.</w:t>
      </w:r>
    </w:p>
    <w:p>
      <w:pPr>
        <w:pStyle w:val="BookText"/>
      </w:pPr>
      <w:r>
        <w:rPr>
          <w:rFonts w:ascii="IRNazanin" w:hAnsi="IRNazanin" w:eastAsia="IRNazanin" w:cs="IRNazanin"/>
          <w:lang w:bidi="fa-IR"/>
          <w:color w:val="111111"/>
          <w:sz w:val="28"/>
          <w:szCs w:val="28"/>
          <w:rtl/>
        </w:rPr>
        <w:t xml:space="preserve">تهران؛ مجلس؛ شماره نسخه: ۱۱۶۹۴/۲</w:t>
      </w:r>
    </w:p>
    <w:p>
      <w:pPr>
        <w:pStyle w:val="BookText"/>
      </w:pPr>
      <w:r>
        <w:rPr>
          <w:rFonts w:ascii="IRNazanin" w:hAnsi="IRNazanin" w:eastAsia="IRNazanin" w:cs="IRNazanin"/>
          <w:lang w:bidi="fa-IR"/>
          <w:color w:val="111111"/>
          <w:sz w:val="28"/>
          <w:szCs w:val="28"/>
          <w:rtl/>
        </w:rPr>
        <w:t xml:space="preserve">آغاز: بسمله. الحمدلله رب العالمين ... این مختصریست از ترجمه تاج العروس و محلل الكعوب و آن مشتمل است بر یک مقدمه و چند فصل ام مقدمه بدانکه اجراء عقد بی معرفت انشاء باطل است؛ انجام: امیر المومنین در وقت تزویج نمودن یکی از زنان بنی عبدالمطلب این خطبه را انشاء فرمودند الحمدلله العزيز الجبار ... ثم اوصيكم بتقوى الله فانها وصية الله في الماضين و الغابرين خط: نسخ، بی کا، بی تا؛ مصحح، در حاشیه شرح شده، اوراق کتاب به هم ریخته است؛ ۷۱گ، ۱۵ 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سم [ف: ۳۴-۴۵]</w:t>
      </w:r>
    </w:p>
    <w:p>
      <w:pPr>
        <w:pStyle w:val="Heading3"/>
      </w:pPr>
      <w:bookmarkStart w:id="1916" w:name="_Toc1176"/>
      <w:r>
        <w:t>•تاج العقائد و معدن الفوائد / کلام و اعتقادات / عربی</w:t>
      </w:r>
      <w:bookmarkEnd w:id="1916"/>
    </w:p>
    <w:p>
      <w:pPr>
        <w:pStyle w:val="BookText"/>
      </w:pPr>
      <w:r>
        <w:rPr>
          <w:rFonts w:ascii="Times New Roman" w:hAnsi="Times New Roman" w:eastAsia="Times New Roman" w:cs="Times New Roman"/>
          <w:lang w:val="en-US" w:bidi="en-US"/>
          <w:color w:val="111111"/>
          <w:sz w:val="28"/>
          <w:szCs w:val="28"/>
          <w:rtl/>
        </w:rPr>
        <w:t xml:space="preserve">tāj-ul ‘aqā'id wa ma`dan-ul fawā’id</w:t>
      </w:r>
    </w:p>
    <w:p>
      <w:pPr>
        <w:pStyle w:val="BookText"/>
      </w:pPr>
      <w:r>
        <w:rPr>
          <w:rFonts w:ascii="IRNazanin" w:hAnsi="IRNazanin" w:eastAsia="IRNazanin" w:cs="IRNazanin"/>
          <w:lang w:bidi="fa-IR"/>
          <w:color w:val="111111"/>
          <w:sz w:val="28"/>
          <w:szCs w:val="28"/>
          <w:rtl/>
        </w:rPr>
        <w:t xml:space="preserve">قرشی، علی بن محمد بن الوليد، -۶۱۲ قمری</w:t>
      </w:r>
    </w:p>
    <w:p>
      <w:pPr>
        <w:pStyle w:val="BookText"/>
      </w:pPr>
      <w:r>
        <w:rPr>
          <w:rFonts w:ascii="Times New Roman" w:hAnsi="Times New Roman" w:eastAsia="Times New Roman" w:cs="Times New Roman"/>
          <w:lang w:val="en-US" w:bidi="en-US"/>
          <w:color w:val="111111"/>
          <w:sz w:val="28"/>
          <w:szCs w:val="28"/>
          <w:rtl/>
        </w:rPr>
        <w:t xml:space="preserve">qorašī, ‘alī ebn-e mohammad ebn-el valīd (-1216)</w:t>
      </w:r>
    </w:p>
    <w:p>
      <w:pPr>
        <w:pStyle w:val="BookText"/>
      </w:pPr>
      <w:r>
        <w:rPr>
          <w:rFonts w:ascii="IRNazanin" w:hAnsi="IRNazanin" w:eastAsia="IRNazanin" w:cs="IRNazanin"/>
          <w:lang w:bidi="fa-IR"/>
          <w:color w:val="111111"/>
          <w:sz w:val="28"/>
          <w:szCs w:val="28"/>
          <w:rtl/>
        </w:rPr>
        <w:t xml:space="preserve">کتابی در اعتقادات به روش مذهب باطنی اسماعیلی، در توحید و نبوت و امامت با بحث های مربوط به امور اعتقادی از معاد و آجال و جز اینها، این کتاب به درخواست شخصی که نامش نیامده، ساخته شده است.</w:t>
      </w:r>
    </w:p>
    <w:p>
      <w:pPr>
        <w:pStyle w:val="BookText"/>
      </w:pPr>
      <w:r>
        <w:rPr>
          <w:rFonts w:ascii="IRNazanin" w:hAnsi="IRNazanin" w:eastAsia="IRNazanin" w:cs="IRNazanin"/>
          <w:lang w:bidi="fa-IR"/>
          <w:color w:val="111111"/>
          <w:sz w:val="28"/>
          <w:szCs w:val="28"/>
          <w:rtl/>
        </w:rPr>
        <w:t xml:space="preserve">[دنا ۶۵۸/۲ ]</w:t>
      </w:r>
    </w:p>
    <w:p>
      <w:pPr>
        <w:pStyle w:val="BookText"/>
      </w:pPr>
      <w:r>
        <w:rPr>
          <w:rFonts w:ascii="IRNazanin" w:hAnsi="IRNazanin" w:eastAsia="IRNazanin" w:cs="IRNazanin"/>
          <w:lang w:bidi="fa-IR"/>
          <w:color w:val="111111"/>
          <w:sz w:val="28"/>
          <w:szCs w:val="28"/>
          <w:rtl/>
        </w:rPr>
        <w:t xml:space="preserve">قم؛ مرعشی؛ شماره نسخه:۶۸۴۵</w:t>
      </w:r>
    </w:p>
    <w:p>
      <w:pPr>
        <w:pStyle w:val="BookText"/>
      </w:pPr>
      <w:r>
        <w:rPr>
          <w:rFonts w:ascii="IRNazanin" w:hAnsi="IRNazanin" w:eastAsia="IRNazanin" w:cs="IRNazanin"/>
          <w:lang w:bidi="fa-IR"/>
          <w:color w:val="111111"/>
          <w:sz w:val="28"/>
          <w:szCs w:val="28"/>
          <w:rtl/>
        </w:rPr>
        <w:t xml:space="preserve">آغاز: الحمدلله الذي كحل بأثمد محبته مقل العارفين و أبصر بنور هدایته نواظر المهتدين؛ انجام: و قلع جرثومة الشيطان و سلم تسليما و حسبنا الله و نعم الوكيل نعم المولی و نعم النصير</w:t>
      </w:r>
    </w:p>
    <w:p>
      <w:pPr>
        <w:pStyle w:val="BookText"/>
      </w:pPr>
      <w:r>
        <w:rPr>
          <w:rFonts w:ascii="IRNazanin" w:hAnsi="IRNazanin" w:eastAsia="IRNazanin" w:cs="IRNazanin"/>
          <w:lang w:bidi="fa-IR"/>
          <w:color w:val="111111"/>
          <w:sz w:val="28"/>
          <w:szCs w:val="28"/>
          <w:rtl/>
        </w:rPr>
        <w:t xml:space="preserve">خط: نسخ، بی کا، تا: قرن ۱۱؛ جلد: مقوایی عطف تیماج قهوه ای، ۱۸۲گ، مختلف السطر،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سم [ف: ۱۸- ۴۰]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348" w:name="pg20363_209623"/>
    <w:bookmarkEnd w:id="348"/>
    <w:p>
      <w:pPr>
        <w:pStyle w:val="Heading3"/>
      </w:pPr>
      <w:bookmarkStart w:id="1917" w:name="_Toc1177"/>
      <w:r>
        <w:t>• تاج فرخی / شعر / فارسی</w:t>
      </w:r>
      <w:bookmarkEnd w:id="1917"/>
    </w:p>
    <w:p>
      <w:pPr>
        <w:pStyle w:val="BookText"/>
      </w:pPr>
      <w:r>
        <w:rPr>
          <w:rFonts w:ascii="Times New Roman" w:hAnsi="Times New Roman" w:eastAsia="Times New Roman" w:cs="Times New Roman"/>
          <w:lang w:val="en-US" w:bidi="en-US"/>
          <w:color w:val="111111"/>
          <w:sz w:val="28"/>
          <w:szCs w:val="28"/>
          <w:rtl/>
        </w:rPr>
        <w:t xml:space="preserve">tāj-e farroxī</w:t>
      </w:r>
    </w:p>
    <w:p>
      <w:pPr>
        <w:pStyle w:val="BookText"/>
      </w:pPr>
      <w:r>
        <w:rPr>
          <w:rFonts w:ascii="IRNazanin" w:hAnsi="IRNazanin" w:eastAsia="IRNazanin" w:cs="IRNazanin"/>
          <w:lang w:bidi="fa-IR"/>
          <w:color w:val="111111"/>
          <w:sz w:val="28"/>
          <w:szCs w:val="28"/>
          <w:rtl/>
        </w:rPr>
        <w:t xml:space="preserve">نواب، محمد یوسف، -۱۲۸۱ قمری</w:t>
      </w:r>
    </w:p>
    <w:p>
      <w:pPr>
        <w:pStyle w:val="BookText"/>
      </w:pPr>
      <w:r>
        <w:rPr>
          <w:rFonts w:ascii="Times New Roman" w:hAnsi="Times New Roman" w:eastAsia="Times New Roman" w:cs="Times New Roman"/>
          <w:lang w:val="en-US" w:bidi="en-US"/>
          <w:color w:val="111111"/>
          <w:sz w:val="28"/>
          <w:szCs w:val="28"/>
          <w:rtl/>
        </w:rPr>
        <w:t xml:space="preserve">navvāb, mohammad yūsof (-1865)</w:t>
      </w:r>
    </w:p>
    <w:p>
      <w:pPr>
        <w:pStyle w:val="BookText"/>
      </w:pPr>
      <w:r>
        <w:rPr>
          <w:rFonts w:ascii="IRNazanin" w:hAnsi="IRNazanin" w:eastAsia="IRNazanin" w:cs="IRNazanin"/>
          <w:lang w:bidi="fa-IR"/>
          <w:color w:val="111111"/>
          <w:sz w:val="28"/>
          <w:szCs w:val="28"/>
          <w:rtl/>
        </w:rPr>
        <w:t xml:space="preserve">مجموعه دیوان اشعار نواب محمد يوسف علی خان صاحب بهادر است و نام دیوان تاریخ تدوین و کتابت آن است.</w:t>
      </w:r>
    </w:p>
    <w:p>
      <w:pPr>
        <w:pStyle w:val="BookText"/>
      </w:pPr>
      <w:r>
        <w:rPr>
          <w:rFonts w:ascii="IRNazanin" w:hAnsi="IRNazanin" w:eastAsia="IRNazanin" w:cs="IRNazanin"/>
          <w:lang w:bidi="fa-IR"/>
          <w:color w:val="111111"/>
          <w:sz w:val="28"/>
          <w:szCs w:val="28"/>
          <w:rtl/>
        </w:rPr>
        <w:t xml:space="preserve">آغاز: نباشد چون منی در ملک هستی کامل و یکتا*** ذلیق و ارشد و از كن طليق و عاقل و دانا</w:t>
      </w:r>
    </w:p>
    <w:p>
      <w:pPr>
        <w:pStyle w:val="BookText"/>
      </w:pPr>
      <w:r>
        <w:rPr>
          <w:rFonts w:ascii="IRNazanin" w:hAnsi="IRNazanin" w:eastAsia="IRNazanin" w:cs="IRNazanin"/>
          <w:lang w:bidi="fa-IR"/>
          <w:color w:val="111111"/>
          <w:sz w:val="28"/>
          <w:szCs w:val="28"/>
          <w:rtl/>
        </w:rPr>
        <w:t xml:space="preserve">چاپ: به همین نام دیوانی از کلبعلی خان فرخی تاجی قزوینی در ۱۳۲۳ ق در تهران چاپ شده است.</w:t>
      </w:r>
    </w:p>
    <w:p>
      <w:pPr>
        <w:pStyle w:val="BookText"/>
      </w:pPr>
      <w:r>
        <w:rPr>
          <w:rFonts w:ascii="IRNazanin" w:hAnsi="IRNazanin" w:eastAsia="IRNazanin" w:cs="IRNazanin"/>
          <w:lang w:bidi="fa-IR"/>
          <w:color w:val="111111"/>
          <w:sz w:val="28"/>
          <w:szCs w:val="28"/>
          <w:rtl/>
        </w:rPr>
        <w:t xml:space="preserve">[دنا ۶۵۸/۲ ؛ فهرستواره ۵۰۳/۱۰ ]</w:t>
      </w:r>
    </w:p>
    <w:p>
      <w:pPr>
        <w:pStyle w:val="BookText"/>
      </w:pPr>
      <w:r>
        <w:rPr>
          <w:rFonts w:ascii="IRNazanin" w:hAnsi="IRNazanin" w:eastAsia="IRNazanin" w:cs="IRNazanin"/>
          <w:lang w:bidi="fa-IR"/>
          <w:color w:val="111111"/>
          <w:sz w:val="28"/>
          <w:szCs w:val="28"/>
          <w:rtl/>
        </w:rPr>
        <w:t xml:space="preserve">تهران؛ ملک؛ شماره نسخه:۴۷۹۷</w:t>
      </w:r>
    </w:p>
    <w:p>
      <w:pPr>
        <w:pStyle w:val="BookText"/>
      </w:pPr>
      <w:r>
        <w:rPr>
          <w:rFonts w:ascii="IRNazanin" w:hAnsi="IRNazanin" w:eastAsia="IRNazanin" w:cs="IRNazanin"/>
          <w:lang w:bidi="fa-IR"/>
          <w:color w:val="111111"/>
          <w:sz w:val="28"/>
          <w:szCs w:val="28"/>
          <w:rtl/>
        </w:rPr>
        <w:t xml:space="preserve">آغاز: برابر؛ انجام: تا بود اتصال جسم و روان*** نشود رنج و کلفت هجران</w:t>
      </w:r>
    </w:p>
    <w:p>
      <w:pPr>
        <w:pStyle w:val="BookText"/>
      </w:pPr>
      <w:r>
        <w:rPr>
          <w:rFonts w:ascii="IRNazanin" w:hAnsi="IRNazanin" w:eastAsia="IRNazanin" w:cs="IRNazanin"/>
          <w:lang w:bidi="fa-IR"/>
          <w:color w:val="111111"/>
          <w:sz w:val="28"/>
          <w:szCs w:val="28"/>
          <w:rtl/>
        </w:rPr>
        <w:t xml:space="preserve">خط: نستعلیق جلی، كا: محمد کریم الله، تا: ۱۲۹۴ق؛ دارای دو سرلوح مذهب، مجدول؛ کاغذ: کاغذ ترمه، جلد: مشمع قرمز، ۱۲۴گ، ۹ سطر، اندازه: ۲۴/۳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۳۵/۲سم [ف: ۲-۷۲]</w:t>
      </w:r>
    </w:p>
    <w:p>
      <w:pPr>
        <w:pStyle w:val="Heading3"/>
      </w:pPr>
      <w:bookmarkStart w:id="1918" w:name="_Toc1178"/>
      <w:r>
        <w:t>• تاج القصائد / شعر / فارسی</w:t>
      </w:r>
      <w:bookmarkEnd w:id="1918"/>
    </w:p>
    <w:p>
      <w:pPr>
        <w:pStyle w:val="BookText"/>
      </w:pPr>
      <w:r>
        <w:rPr>
          <w:rFonts w:ascii="Times New Roman" w:hAnsi="Times New Roman" w:eastAsia="Times New Roman" w:cs="Times New Roman"/>
          <w:lang w:val="en-US" w:bidi="en-US"/>
          <w:color w:val="111111"/>
          <w:sz w:val="28"/>
          <w:szCs w:val="28"/>
          <w:rtl/>
        </w:rPr>
        <w:t xml:space="preserve">taj-ul qasa'd</w:t>
      </w:r>
    </w:p>
    <w:p>
      <w:pPr>
        <w:pStyle w:val="BookText"/>
      </w:pPr>
      <w:r>
        <w:rPr>
          <w:rFonts w:ascii="IRNazanin" w:hAnsi="IRNazanin" w:eastAsia="IRNazanin" w:cs="IRNazanin"/>
          <w:lang w:bidi="fa-IR"/>
          <w:color w:val="111111"/>
          <w:sz w:val="28"/>
          <w:szCs w:val="28"/>
          <w:rtl/>
        </w:rPr>
        <w:t xml:space="preserve">عالی شیرازی، محمد، -۱۱۲۱ قمری</w:t>
      </w:r>
    </w:p>
    <w:p>
      <w:pPr>
        <w:pStyle w:val="BookText"/>
      </w:pPr>
      <w:r>
        <w:rPr>
          <w:rFonts w:ascii="Times New Roman" w:hAnsi="Times New Roman" w:eastAsia="Times New Roman" w:cs="Times New Roman"/>
          <w:lang w:val="en-US" w:bidi="en-US"/>
          <w:color w:val="111111"/>
          <w:sz w:val="28"/>
          <w:szCs w:val="28"/>
          <w:rtl/>
        </w:rPr>
        <w:t xml:space="preserve">‘ālī-ye šīrāzī, mohammad (-1710)</w:t>
      </w:r>
    </w:p>
    <w:p>
      <w:pPr>
        <w:pStyle w:val="BookText"/>
      </w:pPr>
      <w:r>
        <w:rPr>
          <w:rFonts w:ascii="IRNazanin" w:hAnsi="IRNazanin" w:eastAsia="IRNazanin" w:cs="IRNazanin"/>
          <w:lang w:bidi="fa-IR"/>
          <w:color w:val="111111"/>
          <w:sz w:val="28"/>
          <w:szCs w:val="28"/>
          <w:rtl/>
        </w:rPr>
        <w:t xml:space="preserve">قصیده ای است در ۸۰ بیت، در ستایش حضرت على(عليه السلام). در پایان آن گوید: «و این همه حسن و بیان، دارم از الطاف «خان» ... تا وطن آنجناب شیراز شد.» (احمد منزوی)</w:t>
      </w:r>
    </w:p>
    <w:p>
      <w:pPr>
        <w:pStyle w:val="BookText"/>
      </w:pPr>
      <w:r>
        <w:rPr>
          <w:rFonts w:ascii="IRNazanin" w:hAnsi="IRNazanin" w:eastAsia="IRNazanin" w:cs="IRNazanin"/>
          <w:lang w:bidi="fa-IR"/>
          <w:color w:val="111111"/>
          <w:sz w:val="28"/>
          <w:szCs w:val="28"/>
          <w:rtl/>
        </w:rPr>
        <w:t xml:space="preserve">چاپ: بمبئی، سنگی، ۱۲۸۷ق، رحلی (مطارح الانظار: صص ۲۹۴-۲۹۷)</w:t>
      </w:r>
    </w:p>
    <w:p>
      <w:pPr>
        <w:pStyle w:val="BookText"/>
      </w:pPr>
      <w:r>
        <w:rPr>
          <w:rFonts w:ascii="IRNazanin" w:hAnsi="IRNazanin" w:eastAsia="IRNazanin" w:cs="IRNazanin"/>
          <w:lang w:bidi="fa-IR"/>
          <w:color w:val="111111"/>
          <w:sz w:val="28"/>
          <w:szCs w:val="28"/>
          <w:rtl/>
        </w:rPr>
        <w:t xml:space="preserve">[ مشترک پاکستان ۲۵۴/۵ نعمتخان و نام کارهایش به تفصیل، همانجا ۱۰۰۳/۸ «دیوان عالی»؛ فهرستواره منزوی ۱۴۴۶/۲ نعمت خان؛ مشار فارسی ۲۳۸۳/۲ دیوان نعمتخان عالی» (نشانی ۳ چاپ)]</w:t>
      </w:r>
    </w:p>
    <w:p>
      <w:pPr>
        <w:pStyle w:val="BookText"/>
      </w:pPr>
      <w:r>
        <w:rPr>
          <w:rFonts w:ascii="IRNazanin" w:hAnsi="IRNazanin" w:eastAsia="IRNazanin" w:cs="IRNazanin"/>
          <w:lang w:bidi="fa-IR"/>
          <w:color w:val="111111"/>
          <w:sz w:val="28"/>
          <w:szCs w:val="28"/>
          <w:rtl/>
        </w:rPr>
        <w:t xml:space="preserve">تهران؛ ملک؛ شماره نسخه: ۴۳۴۱/۳۰</w:t>
      </w:r>
    </w:p>
    <w:p>
      <w:pPr>
        <w:pStyle w:val="BookText"/>
      </w:pPr>
      <w:r>
        <w:rPr>
          <w:rFonts w:ascii="IRNazanin" w:hAnsi="IRNazanin" w:eastAsia="IRNazanin" w:cs="IRNazanin"/>
          <w:lang w:bidi="fa-IR"/>
          <w:color w:val="111111"/>
          <w:sz w:val="28"/>
          <w:szCs w:val="28"/>
          <w:rtl/>
        </w:rPr>
        <w:t xml:space="preserve">آغاز: سینه من گلشنی است، خاک خیابان او</w:t>
      </w:r>
      <w:r>
        <w:rPr>
          <w:rFonts w:ascii="IRNazanin" w:hAnsi="IRNazanin" w:eastAsia="IRNazanin" w:cs="IRNazanin"/>
          <w:lang w:bidi="fa-IR"/>
          <w:color w:val="111111"/>
          <w:sz w:val="28"/>
          <w:szCs w:val="28"/>
          <w:b w:val="1"/>
          <w:bCs w:val="1"/>
          <w:i w:val="1"/>
          <w:iCs w:val="1"/>
          <w:rtl/>
        </w:rPr>
        <w:t xml:space="preserve">هر الفي در فراق، سرو نمایان او؛ انجام: تا که فضای جهان عرصه جولان بود</w:t>
      </w:r>
      <w:r>
        <w:rPr>
          <w:rFonts w:ascii="IRNazanin" w:hAnsi="IRNazanin" w:eastAsia="IRNazanin" w:cs="IRNazanin"/>
          <w:lang w:bidi="fa-IR"/>
          <w:color w:val="111111"/>
          <w:sz w:val="28"/>
          <w:szCs w:val="28"/>
          <w:rtl/>
        </w:rPr>
        <w:t xml:space="preserve"> باد فلک همچو گوی در خم چوگان او</w:t>
      </w:r>
    </w:p>
    <w:p>
      <w:pPr>
        <w:pStyle w:val="BookText"/>
      </w:pPr>
      <w:r>
        <w:rPr>
          <w:rFonts w:ascii="IRNazanin" w:hAnsi="IRNazanin" w:eastAsia="IRNazanin" w:cs="IRNazanin"/>
          <w:lang w:bidi="fa-IR"/>
          <w:color w:val="111111"/>
          <w:sz w:val="28"/>
          <w:szCs w:val="28"/>
          <w:rtl/>
        </w:rPr>
        <w:t xml:space="preserve">قصیده ای است از او؛ خط: نستعلیق، كا: میر علی اکبر ولد میر محمد محسن زکی حسینی، تا: ۱۲۱۹ق، جان محمد آباد بیدر؛ مگ (۱۳۷پ-۱۴۰ پ) [ف: ۷-۳۶۱]</w:t>
      </w:r>
    </w:p>
    <w:p>
      <w:pPr>
        <w:pStyle w:val="BookText"/>
      </w:pPr>
      <w:r>
        <w:rPr>
          <w:rFonts w:ascii="IRNazanin" w:hAnsi="IRNazanin" w:eastAsia="IRNazanin" w:cs="IRNazanin"/>
          <w:lang w:bidi="fa-IR"/>
          <w:color w:val="111111"/>
          <w:sz w:val="28"/>
          <w:szCs w:val="28"/>
          <w:rtl/>
        </w:rPr>
        <w:t xml:space="preserve">تهران؛ دائرة المعارف، شماره نسخه: ۳۴/۲۱ -عکسی</w:t>
      </w:r>
    </w:p>
    <w:p>
      <w:pPr>
        <w:pStyle w:val="BookText"/>
      </w:pPr>
      <w:r>
        <w:rPr>
          <w:rFonts w:ascii="IRNazanin" w:hAnsi="IRNazanin" w:eastAsia="IRNazanin" w:cs="IRNazanin"/>
          <w:lang w:bidi="fa-IR"/>
          <w:color w:val="111111"/>
          <w:sz w:val="28"/>
          <w:szCs w:val="28"/>
          <w:rtl/>
        </w:rPr>
        <w:t xml:space="preserve">نسخه اصل: همان نسخه بالا [عکسی ف: ۲-۴۹]</w:t>
      </w:r>
    </w:p>
    <w:p>
      <w:pPr>
        <w:pStyle w:val="Heading3"/>
      </w:pPr>
      <w:bookmarkStart w:id="1919" w:name="_Toc1179"/>
      <w:r>
        <w:t>•تاج القصص = انیس المریدین و روضة المحبين تاریخ پیامبران / فارسی</w:t>
      </w:r>
      <w:bookmarkEnd w:id="1919"/>
    </w:p>
    <w:p>
      <w:pPr>
        <w:pStyle w:val="BookText"/>
      </w:pPr>
      <w:r>
        <w:rPr>
          <w:rFonts w:ascii="Times New Roman" w:hAnsi="Times New Roman" w:eastAsia="Times New Roman" w:cs="Times New Roman"/>
          <w:lang w:val="en-US" w:bidi="en-US"/>
          <w:color w:val="111111"/>
          <w:sz w:val="28"/>
          <w:szCs w:val="28"/>
          <w:rtl/>
        </w:rPr>
        <w:t xml:space="preserve">tāj-ol qesas = anīs-ol morīdīn va rawzat-ol mohebbīn</w:t>
      </w:r>
    </w:p>
    <w:p>
      <w:pPr>
        <w:pStyle w:val="BookText"/>
      </w:pPr>
      <w:r>
        <w:rPr>
          <w:rFonts w:ascii="IRNazanin" w:hAnsi="IRNazanin" w:eastAsia="IRNazanin" w:cs="IRNazanin"/>
          <w:lang w:bidi="fa-IR"/>
          <w:color w:val="111111"/>
          <w:sz w:val="28"/>
          <w:szCs w:val="28"/>
          <w:rtl/>
        </w:rPr>
        <w:t xml:space="preserve">ارفنجی بخارائی، محمود بن حسن، ق ۵ قمری</w:t>
      </w:r>
    </w:p>
    <w:p>
      <w:pPr>
        <w:pStyle w:val="BookText"/>
      </w:pPr>
      <w:r>
        <w:rPr>
          <w:rFonts w:ascii="Times New Roman" w:hAnsi="Times New Roman" w:eastAsia="Times New Roman" w:cs="Times New Roman"/>
          <w:lang w:val="en-US" w:bidi="en-US"/>
          <w:color w:val="111111"/>
          <w:sz w:val="28"/>
          <w:szCs w:val="28"/>
          <w:rtl/>
        </w:rPr>
        <w:t xml:space="preserve">arfanjī boxārāli, mahmūd ebn-e hasan (-11c)</w:t>
      </w:r>
    </w:p>
    <w:p>
      <w:pPr>
        <w:pStyle w:val="BookText"/>
      </w:pPr>
      <w:r>
        <w:rPr>
          <w:rFonts w:ascii="IRNazanin" w:hAnsi="IRNazanin" w:eastAsia="IRNazanin" w:cs="IRNazanin"/>
          <w:lang w:bidi="fa-IR"/>
          <w:color w:val="111111"/>
          <w:sz w:val="28"/>
          <w:szCs w:val="28"/>
          <w:rtl/>
        </w:rPr>
        <w:t xml:space="preserve">سال تأليف: ۴۷۵ق؛ محل تأليف: بلخ متن اصلی آن از ابوالقاسم محمود فرزند حسن جیهانی است که در شهر بلخ به سال ۴۷۵ق، داستان یوسف را در ۴۰ «مجلس» برای شاگردان خود ساخته است. این متن را شاگردش ابونصر ارفنجی تحریر و «مطول تر و مشبع تر» کرده است و در جای تاریخی خود، در «تاج القصص» که داستان های سرتاسری قرآن است جای داده است. نسخه های «تاج القصص» معمولا حاوی این داستان نیز هستند. (منزوی، احمد)</w:t>
      </w:r>
    </w:p>
    <w:p>
      <w:pPr>
        <w:pStyle w:val="BookText"/>
      </w:pPr>
      <w:r>
        <w:rPr>
          <w:rFonts w:ascii="IRNazanin" w:hAnsi="IRNazanin" w:eastAsia="IRNazanin" w:cs="IRNazanin"/>
          <w:lang w:bidi="fa-IR"/>
          <w:color w:val="111111"/>
          <w:sz w:val="28"/>
          <w:szCs w:val="28"/>
          <w:rtl/>
        </w:rPr>
        <w:t xml:space="preserve">نام مؤلف در منابع و بالاخص در فهرستواره منزوی مشوش ضبط شده در جلد ۱۵۵۶/۳ «جیهانی، ابوالقاسم محمود ارفنجی» ابو نصر (زنده ۶۸۵ق /۱۰۸۲) که که محتملا همان ۴۷۵ق است» و در جلد ۲۹۸/۱ «ابو نصر احمد بن محمد بن نصر بخارائی ارفنجی» و استاد او را «ابوالقاسم محمود جیهانی» دانسته است. نام کتاب و موضوع آن با کتابی دیگر به نام «انیس المریدین و شمس المجالسين» تشابه دارد که برخی آن را از خواجه عبدالله انصاری دانسته اند با این که اشعاری از سعدی در آن است ولی نیازمند تطبيق کامل است. در فهرست فیلم ها (۵۳۲/۱ ) کتابی به نام «تنبيه المریدین» بدون هیچ توضیحی معرفی شده و مؤلف را ابونصر احمد بن محمد حدادی دانسته که به نظر می رسد همین مؤلف است گرچه درباره کتاب و موضوع آن هیچ نیامده ولی محتمل است که کتاب هم همین باشد. در همین فهرست (۱۵۴/۱ ) در معرفی «تاج القصص» که از همین مؤلف دانسته شده، نام او امام محمد مراد بن نصر بخاری ثبت شده است.</w:t>
      </w:r>
    </w:p>
    <w:p>
      <w:pPr>
        <w:pStyle w:val="BookText"/>
      </w:pPr>
      <w:r>
        <w:rPr>
          <w:rFonts w:ascii="IRNazanin" w:hAnsi="IRNazanin" w:eastAsia="IRNazanin" w:cs="IRNazanin"/>
          <w:lang w:bidi="fa-IR"/>
          <w:color w:val="111111"/>
          <w:sz w:val="28"/>
          <w:szCs w:val="28"/>
          <w:rtl/>
        </w:rPr>
        <w:t xml:space="preserve">[ نسخه های منزوی ۱۰/۱ و ۴۴۲۲/۶ ، کتاب نامه بزرگ قرآن کریم ۱۱۸۷/۴ ؛ بر گل ۱۰۹/۱ ؛ استوری ۱۵۹/۱ ؛ فهرستواره منزوی ۲۹۸/۱ و ۱۵۶۶/۳ (از بخارائی ارفنجی- جیهانی - محمود بن حسن دانسته)، ۲۸۳/۱ (از ابوالقاسم محمود جیهانی دانسته است)؛ دنا ۶۵۸/۲ ]</w:t>
      </w:r>
    </w:p>
    <w:p>
      <w:pPr>
        <w:pStyle w:val="BookText"/>
      </w:pPr>
      <w:r>
        <w:rPr>
          <w:rFonts w:ascii="IRNazanin" w:hAnsi="IRNazanin" w:eastAsia="IRNazanin" w:cs="IRNazanin"/>
          <w:lang w:bidi="fa-IR"/>
          <w:color w:val="111111"/>
          <w:sz w:val="28"/>
          <w:szCs w:val="28"/>
          <w:rtl/>
        </w:rPr>
        <w:t xml:space="preserve">۱. تهران: دائرة المعارف، شماره نسخه: ۱۸۰-عکسی</w:t>
      </w:r>
    </w:p>
    <w:p>
      <w:pPr>
        <w:pStyle w:val="BookText"/>
      </w:pPr>
      <w:r>
        <w:rPr>
          <w:rFonts w:ascii="IRNazanin" w:hAnsi="IRNazanin" w:eastAsia="IRNazanin" w:cs="IRNazanin"/>
          <w:lang w:bidi="fa-IR"/>
          <w:color w:val="111111"/>
          <w:sz w:val="28"/>
          <w:szCs w:val="28"/>
          <w:rtl/>
        </w:rPr>
        <w:t xml:space="preserve">آغاز: الحمدلله الذي توحد بالملكوت و تعزز بالجبروت و هو الذي لا يموت ... سپاس و ستایش براستی آفرین بتمامی مر خداوند جهان آفرین</w:t>
      </w:r>
    </w:p>
    <w:p>
      <w:pPr>
        <w:pStyle w:val="BookText"/>
      </w:pPr>
      <w:r>
        <w:rPr>
          <w:rFonts w:ascii="IRNazanin" w:hAnsi="IRNazanin" w:eastAsia="IRNazanin" w:cs="IRNazanin"/>
          <w:lang w:bidi="fa-IR"/>
          <w:color w:val="111111"/>
          <w:sz w:val="28"/>
          <w:szCs w:val="28"/>
          <w:rtl/>
        </w:rPr>
        <w:t xml:space="preserve">نسخه اصل: گنج بخش ش ۸۰۷۳ (مشترک، ۱۴/۱)؛ خط: نسخ خوش، كا: عبدالكريم، تا: ۲۴ ربيع الثانی ۹۹۱ق؛ در دو مجلد؛ ۵۱۱ص [عکسی ف: ۲-۵۰]</w:t>
      </w:r>
    </w:p>
    <w:p>
      <w:pPr>
        <w:pStyle w:val="BookText"/>
      </w:pPr>
      <w:r>
        <w:rPr>
          <w:rFonts w:ascii="IRNazanin" w:hAnsi="IRNazanin" w:eastAsia="IRNazanin" w:cs="IRNazanin"/>
          <w:lang w:bidi="fa-IR"/>
          <w:color w:val="111111"/>
          <w:sz w:val="28"/>
          <w:szCs w:val="28"/>
          <w:rtl/>
        </w:rPr>
        <w:t xml:space="preserve">۲. تهران؛ دائرة المعارف؛ شماره نسخه: ۱۷۰-عکسی</w:t>
      </w:r>
    </w:p>
    <w:p>
      <w:pPr>
        <w:pStyle w:val="BookText"/>
      </w:pPr>
      <w:r>
        <w:rPr>
          <w:rFonts w:ascii="IRNazanin" w:hAnsi="IRNazanin" w:eastAsia="IRNazanin" w:cs="IRNazanin"/>
          <w:lang w:bidi="fa-IR"/>
          <w:color w:val="111111"/>
          <w:sz w:val="28"/>
          <w:szCs w:val="28"/>
          <w:rtl/>
        </w:rPr>
        <w:t xml:space="preserve">نسخه اصل: گنج بخش ش ۸۰۷۴ (مشترک ۱۴/۱)؛ خط: نسخ خوش، كا: عبدالکریم، تا: ۲۴ ربیع الثانی ۹۹۱ق؛ در دو مجلد؛ ۵۳۰ص (۵۱۲-۱۰۴۲) [عکسی ف: ۲-۵۰]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349" w:name="pg20363_209624"/>
    <w:bookmarkEnd w:id="349"/>
    <w:p>
      <w:pPr>
        <w:pStyle w:val="BookText"/>
      </w:pPr>
      <w:r>
        <w:rPr>
          <w:rFonts w:ascii="IRNazanin" w:hAnsi="IRNazanin" w:eastAsia="IRNazanin" w:cs="IRNazanin"/>
          <w:lang w:bidi="fa-IR"/>
          <w:color w:val="111111"/>
          <w:sz w:val="28"/>
          <w:szCs w:val="28"/>
          <w:rtl/>
        </w:rPr>
        <w:t xml:space="preserve">٣. تهران؛ دائرة المعارف؛ شماره نسخه: ۱۹۰-عکسی</w:t>
      </w:r>
    </w:p>
    <w:p>
      <w:pPr>
        <w:pStyle w:val="BookText"/>
      </w:pPr>
      <w:r>
        <w:rPr>
          <w:rFonts w:ascii="IRNazanin" w:hAnsi="IRNazanin" w:eastAsia="IRNazanin" w:cs="IRNazanin"/>
          <w:lang w:bidi="fa-IR"/>
          <w:color w:val="111111"/>
          <w:sz w:val="28"/>
          <w:szCs w:val="28"/>
          <w:rtl/>
        </w:rPr>
        <w:t xml:space="preserve">نسخه اصل: گنج بخش ش ۹۴۳۴ (مشترک، ۹۲۶/۶ ). آغاز در آفرینش و پایان در خاتمه چند سطری افتاده؛ خط: نستعلیق پخته، بی کا، تا: قرن ۱۰ و ۱۱؛ در دو مجلد؛ ۷۱۲ص [عکسی ف: ۲-۵۰]</w:t>
      </w:r>
    </w:p>
    <w:p>
      <w:pPr>
        <w:pStyle w:val="BookText"/>
      </w:pPr>
      <w:r>
        <w:rPr>
          <w:rFonts w:ascii="IRNazanin" w:hAnsi="IRNazanin" w:eastAsia="IRNazanin" w:cs="IRNazanin"/>
          <w:lang w:bidi="fa-IR"/>
          <w:color w:val="111111"/>
          <w:sz w:val="28"/>
          <w:szCs w:val="28"/>
          <w:rtl/>
        </w:rPr>
        <w:t xml:space="preserve">۴. قم؛ مرعشی؛ شماره نسخه:۹۷۷۹</w:t>
      </w:r>
    </w:p>
    <w:p>
      <w:pPr>
        <w:pStyle w:val="BookText"/>
      </w:pPr>
      <w:r>
        <w:rPr>
          <w:rFonts w:ascii="IRNazanin" w:hAnsi="IRNazanin" w:eastAsia="IRNazanin" w:cs="IRNazanin"/>
          <w:lang w:bidi="fa-IR"/>
          <w:color w:val="111111"/>
          <w:sz w:val="28"/>
          <w:szCs w:val="28"/>
          <w:rtl/>
        </w:rPr>
        <w:t xml:space="preserve">آغاز: قال الشيخ الامام ... شاگردان از من درخواستند تا ایشان را در قصه يوسف عليه السلام تصنیفی سازم؛ انجام: اینجا گفت آن الله اشتري من المؤمنين</w:t>
      </w:r>
    </w:p>
    <w:p>
      <w:pPr>
        <w:pStyle w:val="BookText"/>
      </w:pPr>
      <w:r>
        <w:rPr>
          <w:rFonts w:ascii="IRNazanin" w:hAnsi="IRNazanin" w:eastAsia="IRNazanin" w:cs="IRNazanin"/>
          <w:lang w:bidi="fa-IR"/>
          <w:color w:val="111111"/>
          <w:sz w:val="28"/>
          <w:szCs w:val="28"/>
          <w:rtl/>
        </w:rPr>
        <w:t xml:space="preserve">خط: نستعلیق، بی کا، تا: قرن ۱۲؛ جلد: تیماج مشکی بدون مقوا، ۱۵۱گ، ۲۳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۲۵-۱۱۷]</w:t>
      </w:r>
    </w:p>
    <w:p>
      <w:pPr>
        <w:pStyle w:val="BookText"/>
      </w:pPr>
      <w:r>
        <w:rPr>
          <w:rFonts w:ascii="IRNazanin" w:hAnsi="IRNazanin" w:eastAsia="IRNazanin" w:cs="IRNazanin"/>
          <w:lang w:bidi="fa-IR"/>
          <w:color w:val="111111"/>
          <w:sz w:val="28"/>
          <w:szCs w:val="28"/>
          <w:rtl/>
        </w:rPr>
        <w:t xml:space="preserve">۵. تهران؛ دانشگاه؛ شماره نسخه:۱۲۵۴-ف</w:t>
      </w:r>
    </w:p>
    <w:p>
      <w:pPr>
        <w:pStyle w:val="BookText"/>
      </w:pPr>
      <w:r>
        <w:rPr>
          <w:rFonts w:ascii="IRNazanin" w:hAnsi="IRNazanin" w:eastAsia="IRNazanin" w:cs="IRNazanin"/>
          <w:lang w:bidi="fa-IR"/>
          <w:color w:val="111111"/>
          <w:sz w:val="28"/>
          <w:szCs w:val="28"/>
          <w:rtl/>
        </w:rPr>
        <w:t xml:space="preserve">بادليان ۱۹۳ اوزلی (۳۴۲)؛ خط: نسخ، بی کا، بی تا؛ ؛ ۲۸۸گ، ۲۳ سطر (فیلمها ف: ۱-۲۷] تهران؛ دائرة المعارف؛ شماره نسخه: ۲۱-عکسی</w:t>
      </w:r>
    </w:p>
    <w:p>
      <w:pPr>
        <w:pStyle w:val="BookText"/>
      </w:pPr>
      <w:r>
        <w:rPr>
          <w:rFonts w:ascii="IRNazanin" w:hAnsi="IRNazanin" w:eastAsia="IRNazanin" w:cs="IRNazanin"/>
          <w:lang w:bidi="fa-IR"/>
          <w:color w:val="111111"/>
          <w:sz w:val="28"/>
          <w:szCs w:val="28"/>
          <w:rtl/>
        </w:rPr>
        <w:t xml:space="preserve">نسخه اصل: همان نسخه بالا [عکسی ف: ۲-۵۰]</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دانشگاه؛ شماره نسخه:۸۷۷-ف</w:t>
      </w:r>
    </w:p>
    <w:p>
      <w:pPr>
        <w:pStyle w:val="BookText"/>
      </w:pPr>
      <w:r>
        <w:rPr>
          <w:rFonts w:ascii="IRNazanin" w:hAnsi="IRNazanin" w:eastAsia="IRNazanin" w:cs="IRNazanin"/>
          <w:lang w:bidi="fa-IR"/>
          <w:color w:val="111111"/>
          <w:sz w:val="28"/>
          <w:szCs w:val="28"/>
          <w:rtl/>
        </w:rPr>
        <w:t xml:space="preserve">نسخه اصل: بادلیان 649 </w:t>
      </w:r>
      <w:r>
        <w:rPr>
          <w:rFonts w:ascii="Times New Roman" w:hAnsi="Times New Roman" w:eastAsia="Times New Roman" w:cs="Times New Roman"/>
          <w:lang w:val="en-US" w:bidi="en-US"/>
          <w:color w:val="111111"/>
          <w:sz w:val="28"/>
          <w:szCs w:val="28"/>
          <w:rtl/>
        </w:rPr>
        <w:t xml:space="preserve">Bodl Or. </w:t>
      </w:r>
      <w:r>
        <w:rPr>
          <w:rFonts w:ascii="IRNazanin" w:hAnsi="IRNazanin" w:eastAsia="IRNazanin" w:cs="IRNazanin"/>
          <w:lang w:bidi="fa-IR"/>
          <w:color w:val="111111"/>
          <w:sz w:val="28"/>
          <w:szCs w:val="28"/>
          <w:rtl/>
        </w:rPr>
        <w:t xml:space="preserve">به نام تاج القصص امام محمد مراد بن نصر بخاری؛ خط: نسخ و نستعلیق، بی کا، بی تا؛ ؛ ۱۲۰گ، ۱۸ سطر [فيلمها ف: ۱-۱۵۴]</w:t>
      </w:r>
    </w:p>
    <w:p>
      <w:pPr>
        <w:pStyle w:val="BookText"/>
      </w:pPr>
      <w:r>
        <w:rPr>
          <w:rFonts w:ascii="IRNazanin" w:hAnsi="IRNazanin" w:eastAsia="IRNazanin" w:cs="IRNazanin"/>
          <w:lang w:bidi="fa-IR"/>
          <w:color w:val="111111"/>
          <w:sz w:val="28"/>
          <w:szCs w:val="28"/>
          <w:rtl/>
        </w:rPr>
        <w:t xml:space="preserve">۷. تهران؛ مجلس؛ شماره نسخه:۱۴۲۲۷</w:t>
      </w:r>
    </w:p>
    <w:p>
      <w:pPr>
        <w:pStyle w:val="BookText"/>
      </w:pPr>
      <w:r>
        <w:rPr>
          <w:rFonts w:ascii="IRNazanin" w:hAnsi="IRNazanin" w:eastAsia="IRNazanin" w:cs="IRNazanin"/>
          <w:lang w:bidi="fa-IR"/>
          <w:color w:val="111111"/>
          <w:sz w:val="28"/>
          <w:szCs w:val="28"/>
          <w:rtl/>
        </w:rPr>
        <w:t xml:space="preserve">آغاز: صلوة الله و سلامه عليهم اجمعین بدان که هیچ درجتی و منزلتی و رتبتی نیست چنان که نیکو درجه آدم صفی را برد عليه السلام چنان که خدای تعالی فرمود؛ انجام:معجزه- روزی رسول .. باهلی در آمد سنگی بر رسول عليه السلام سلام گفت و گفت ... حالی مرا از سنگ های دوزخ نگرداند رسول عليه السلام بر وی دعا ...</w:t>
      </w:r>
    </w:p>
    <w:p>
      <w:pPr>
        <w:pStyle w:val="BookText"/>
      </w:pPr>
      <w:r>
        <w:rPr>
          <w:rFonts w:ascii="IRNazanin" w:hAnsi="IRNazanin" w:eastAsia="IRNazanin" w:cs="IRNazanin"/>
          <w:lang w:bidi="fa-IR"/>
          <w:color w:val="111111"/>
          <w:sz w:val="28"/>
          <w:szCs w:val="28"/>
          <w:rtl/>
        </w:rPr>
        <w:t xml:space="preserve">دیباچه مصنف را فاقد است؛ خط: نسخ، بی کا، بی تا؛ افتادگی: انجام؛ مجدول؛ جلد: تیماج مشکی عطف گالینگور، ۳۶۷گ، ۲۶ سطر، اندازه: ۲۷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۳۸-۳۳۶]</w:t>
      </w:r>
    </w:p>
    <w:p>
      <w:pPr>
        <w:pStyle w:val="BookText"/>
      </w:pPr>
      <w:r>
        <w:rPr>
          <w:rFonts w:ascii="Amiri" w:hAnsi="Amiri" w:eastAsia="Amiri" w:cs="Amiri"/>
          <w:lang w:bidi="ar-SA"/>
          <w:color w:val="111111"/>
          <w:sz w:val="28"/>
          <w:szCs w:val="28"/>
          <w:rtl/>
        </w:rPr>
        <w:t xml:space="preserve">← تاج اللغة وصحاح العربية ← صحاح اللغة</w:t>
      </w:r>
    </w:p>
    <w:p>
      <w:pPr>
        <w:pStyle w:val="Heading3"/>
      </w:pPr>
      <w:bookmarkStart w:id="1920" w:name="_Toc1180"/>
      <w:r>
        <w:t>• تاج المآثر / تاریخ هند / فارسی</w:t>
      </w:r>
      <w:bookmarkEnd w:id="1920"/>
    </w:p>
    <w:p>
      <w:pPr>
        <w:pStyle w:val="BookText"/>
      </w:pPr>
      <w:r>
        <w:rPr>
          <w:rFonts w:ascii="Times New Roman" w:hAnsi="Times New Roman" w:eastAsia="Times New Roman" w:cs="Times New Roman"/>
          <w:lang w:val="en-US" w:bidi="en-US"/>
          <w:color w:val="111111"/>
          <w:sz w:val="28"/>
          <w:szCs w:val="28"/>
          <w:rtl/>
        </w:rPr>
        <w:t xml:space="preserve">taj-ul ma'atir</w:t>
      </w:r>
    </w:p>
    <w:p>
      <w:pPr>
        <w:pStyle w:val="BookText"/>
      </w:pPr>
      <w:r>
        <w:rPr>
          <w:rFonts w:ascii="IRNazanin" w:hAnsi="IRNazanin" w:eastAsia="IRNazanin" w:cs="IRNazanin"/>
          <w:lang w:bidi="fa-IR"/>
          <w:color w:val="111111"/>
          <w:sz w:val="28"/>
          <w:szCs w:val="28"/>
          <w:rtl/>
        </w:rPr>
        <w:t xml:space="preserve">نظامی نیشابوری، حسن بن محمد، -۶۲۶ ؟ قمری</w:t>
      </w:r>
    </w:p>
    <w:p>
      <w:pPr>
        <w:pStyle w:val="BookText"/>
      </w:pPr>
      <w:r>
        <w:rPr>
          <w:rFonts w:ascii="Times New Roman" w:hAnsi="Times New Roman" w:eastAsia="Times New Roman" w:cs="Times New Roman"/>
          <w:lang w:val="en-US" w:bidi="en-US"/>
          <w:color w:val="111111"/>
          <w:sz w:val="28"/>
          <w:szCs w:val="28"/>
          <w:rtl/>
        </w:rPr>
        <w:t xml:space="preserve">nezāmī neyšābūrī, hasan ebn-e mohammad (-1230)</w:t>
      </w:r>
    </w:p>
    <w:p>
      <w:pPr>
        <w:pStyle w:val="BookText"/>
      </w:pPr>
      <w:r>
        <w:rPr>
          <w:rFonts w:ascii="IRNazanin" w:hAnsi="IRNazanin" w:eastAsia="IRNazanin" w:cs="IRNazanin"/>
          <w:lang w:bidi="fa-IR"/>
          <w:color w:val="111111"/>
          <w:sz w:val="28"/>
          <w:szCs w:val="28"/>
          <w:rtl/>
        </w:rPr>
        <w:t xml:space="preserve">اهدا به: محمد بن حسام و ایبک سلطانی تاریخ تأليف: اندکی پیش از ۶۰۲ این اثر به جهت موقعیت نویسنده در دربار شاهان هند و دسترسی وی به اطلاعات صحيح، منبعی در خور اعتبار از دوره شاهان دهلی به شمار می آید. «تاج المآثر» در میان آثار کهن از جهت اشتمال بر سروده های عربی و فارسی، به ویژه از سرایندگان برجسته پیش از قرن هشتم هجری، مانند عنصری، مسعود سعد سلمان، سنایی، منوچهری، خاقانی، فخر گرگانی و رابعه بلخی، کم مانند و ارزشمند است و مورد استفاده مؤلفان تاريخ الفي، طبقات اکبری، منتخب التواریخ، آئین اکبری و تاریخ فرشته قرار گرفته است. مرحوم ملک الشعرای بهار در کتاب «سبک شناسی» خود (ج ٣ ص ۱۰۷-۱۱۱) راجع به شیوه نثر آن بحثی مستوفا دارد. عباسقلی سپهر این کتاب را تحریر و تلخیص کرده است. فهرستی از مهم ترین عناوین آن: حضور تاج الدین در کرمان؛ مراجعت تاريخ الدين به دهلی؛ حرکت او به قلعه کول و بنارس در سنه ۵۹۰ق؛ استخلاص حصن کول؛ جنگ بنارس؛ حرکت به طرف کول و تفويض ولايت آنجا به حسام آغابیک؛ فتح اجمیر، دفعه دوم، سنه ۵۸۹ق؛ فتح نهنگر؛ تفویض ایالت نهنگر، به بهاء الدین طغرل فتح كاليور؛ جنگ بهرواله سنه ۵۹۱ ق؛ فتح كالينجر؛ ذکر نام شمس الدين؛ تفویض قلعه کالنجر به هژیر الدین حسین ارنب؛ ذكر مراجعت سلطان السلاطين از خوارزم سنه ۶۰۰ ق؛ ذكر شهادت معز الدين محمد بن سام؛ ذكر مرتب شدن امرای اطراف و مسلم شدن ممالک هند و سند؛ ذکر وفات سلطان سعید قطب الدین؛ جلوس شمس الدین ( بخاری قطب الدین ) سنه ۶۰۷ ق؛ شکست حشم غزنین و گرفتار آمدن تاج الدین کرمانی؛ جنگ انهزام ناصر الدين و فتح کو پیور؛ ذکر ایالت لاهور باسم خداوند زاده ناصر الدين سنه ۶۱۲ ق؛ ذكر توقیر و تبجيل سادات و استدلال به آیه تطهیر و مدح ائمه؛ فصل، در محاسن این کتاب.</w:t>
      </w:r>
    </w:p>
    <w:p>
      <w:pPr>
        <w:pStyle w:val="BookText"/>
      </w:pPr>
      <w:r>
        <w:rPr>
          <w:rFonts w:ascii="IRNazanin" w:hAnsi="IRNazanin" w:eastAsia="IRNazanin" w:cs="IRNazanin"/>
          <w:lang w:bidi="fa-IR"/>
          <w:color w:val="111111"/>
          <w:sz w:val="28"/>
          <w:szCs w:val="28"/>
          <w:rtl/>
        </w:rPr>
        <w:t xml:space="preserve">آغاز: حمد و سپاس بی قیاس کی قدم شهسوار عقل دو اسبه بسر حمد عد و احصاء آن نرسد و چشم و هم دروبین صورت حصر و شمار آن در آئینه خیال بخواب نه بیند ...</w:t>
      </w:r>
    </w:p>
    <w:p>
      <w:pPr>
        <w:pStyle w:val="BookText"/>
      </w:pPr>
      <w:r>
        <w:rPr>
          <w:rFonts w:ascii="IRNazanin" w:hAnsi="IRNazanin" w:eastAsia="IRNazanin" w:cs="IRNazanin"/>
          <w:lang w:bidi="fa-IR"/>
          <w:color w:val="111111"/>
          <w:sz w:val="28"/>
          <w:szCs w:val="28"/>
          <w:rtl/>
        </w:rPr>
        <w:t xml:space="preserve">انجام: يريد المرء أن يعطی مناه***و یابی الله الا ما يشأ</w:t>
      </w:r>
    </w:p>
    <w:p>
      <w:pPr>
        <w:pStyle w:val="BookText"/>
      </w:pPr>
      <w:r>
        <w:rPr>
          <w:rFonts w:ascii="IRNazanin" w:hAnsi="IRNazanin" w:eastAsia="IRNazanin" w:cs="IRNazanin"/>
          <w:lang w:bidi="fa-IR"/>
          <w:color w:val="111111"/>
          <w:sz w:val="28"/>
          <w:szCs w:val="28"/>
          <w:rtl/>
        </w:rPr>
        <w:t xml:space="preserve">[دنا ۶۵۹/۲ - ۶۶۰ (۵۰ نسخه)؛ الذريعة ۲۰۷/۳ و ۲۱۶/۷ و ۱۳۱/۳ ؛ نسخه های منزوی ۴۵۹۳/۶ ؛ استوری ۴۹۴/۱ و ۱۳۱۰/۱ ؛ کشف الظنون ۲۶۹/۱ و ص ۲۱۱؛ سبک شناسی، بهار ۲۸۳/۲ ؛ فهرستواره منزوی ۱۱۵۵/۲ -۱۱۵۶]</w:t>
      </w:r>
    </w:p>
    <w:p>
      <w:pPr>
        <w:pStyle w:val="BookText"/>
      </w:pPr>
      <w:r>
        <w:rPr>
          <w:rFonts w:ascii="IRNazanin" w:hAnsi="IRNazanin" w:eastAsia="IRNazanin" w:cs="IRNazanin"/>
          <w:lang w:bidi="fa-IR"/>
          <w:color w:val="111111"/>
          <w:sz w:val="28"/>
          <w:szCs w:val="28"/>
          <w:rtl/>
        </w:rPr>
        <w:t xml:space="preserve">۱. تهران: دانشگاه؛ شماره نسخه: ۱۶۹-ف</w:t>
      </w:r>
    </w:p>
    <w:p>
      <w:pPr>
        <w:pStyle w:val="BookText"/>
      </w:pPr>
      <w:r>
        <w:rPr>
          <w:rFonts w:ascii="IRNazanin" w:hAnsi="IRNazanin" w:eastAsia="IRNazanin" w:cs="IRNazanin"/>
          <w:lang w:bidi="fa-IR"/>
          <w:color w:val="111111"/>
          <w:sz w:val="28"/>
          <w:szCs w:val="28"/>
          <w:rtl/>
        </w:rPr>
        <w:t xml:space="preserve">نسخه اصل: فيض الله افندی ش</w:t>
      </w:r>
    </w:p>
    <w:p>
      <w:pPr>
        <w:pStyle w:val="BookText"/>
      </w:pPr>
      <w:r>
        <w:rPr>
          <w:rFonts w:ascii="IRNazanin" w:hAnsi="IRNazanin" w:eastAsia="IRNazanin" w:cs="IRNazanin"/>
          <w:lang w:bidi="fa-IR"/>
          <w:color w:val="111111"/>
          <w:sz w:val="28"/>
          <w:szCs w:val="28"/>
          <w:rtl/>
        </w:rPr>
        <w:t xml:space="preserve">۱۴۰۲؛ خط: نسخ، بی کا، تا: جمادی الاول ۶۹۴ق؛ ۳۲۰گ، ۲۱ سطر [ فیلمها ف: ۱-۲۷]</w:t>
      </w:r>
    </w:p>
    <w:p>
      <w:pPr>
        <w:pStyle w:val="BookText"/>
      </w:pPr>
      <w:r>
        <w:rPr>
          <w:rFonts w:ascii="IRNazanin" w:hAnsi="IRNazanin" w:eastAsia="IRNazanin" w:cs="IRNazanin"/>
          <w:lang w:bidi="fa-IR"/>
          <w:color w:val="111111"/>
          <w:sz w:val="28"/>
          <w:szCs w:val="28"/>
          <w:rtl/>
        </w:rPr>
        <w:t xml:space="preserve">۲. قم؛ فیضیه؛ شماره نسخه:۲۰۰۲/۲</w:t>
      </w:r>
    </w:p>
    <w:p>
      <w:pPr>
        <w:pStyle w:val="BookText"/>
      </w:pPr>
      <w:r>
        <w:rPr>
          <w:rFonts w:ascii="IRNazanin" w:hAnsi="IRNazanin" w:eastAsia="IRNazanin" w:cs="IRNazanin"/>
          <w:lang w:bidi="fa-IR"/>
          <w:color w:val="111111"/>
          <w:sz w:val="28"/>
          <w:szCs w:val="28"/>
          <w:rtl/>
        </w:rPr>
        <w:t xml:space="preserve">خط: نستعلیق، بی کا، تا: قرن ۸ و ۹؛ افتادگی: آغاز و انجام؛ ۷۲گ ( ۱۶۲-۹۱ )، ۱۵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سم [ف: ۳-۱۶۴]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دانشگاه؛ شماره نسخه:۱۱۴ف و ۱۱۵ف</w:t>
      </w:r>
    </w:p>
    <w:p>
      <w:pPr>
        <w:pStyle w:val="BookText"/>
      </w:pPr>
      <w:r>
        <w:rPr>
          <w:rFonts w:ascii="IRNazanin" w:hAnsi="IRNazanin" w:eastAsia="IRNazanin" w:cs="IRNazanin"/>
          <w:lang w:bidi="fa-IR"/>
          <w:color w:val="111111"/>
          <w:sz w:val="28"/>
          <w:szCs w:val="28"/>
          <w:rtl/>
        </w:rPr>
        <w:t xml:space="preserve">نسخه اصل: ایاصوفيا ۲۷۴۷ و ۲۷۴۸؛ خط: نسخ، كا: عبدالصمد بن جلال جمالی، تا: ۷۱۶ق؛ ۲۵۴گ، ۲۳ سطر [فيلمها ف: ۱-۲۷]</w:t>
      </w:r>
    </w:p>
    <w:p>
      <w:pPr>
        <w:pStyle w:val="BookText"/>
      </w:pPr>
      <w:r>
        <w:rPr>
          <w:rFonts w:ascii="IRNazanin" w:hAnsi="IRNazanin" w:eastAsia="IRNazanin" w:cs="IRNazanin"/>
          <w:lang w:bidi="fa-IR"/>
          <w:color w:val="111111"/>
          <w:sz w:val="28"/>
          <w:szCs w:val="28"/>
          <w:rtl/>
        </w:rPr>
        <w:t xml:space="preserve">۴. تهران، دانشگاه؛ شماره نسخه:۲۳۵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هندی، کا: محمد داود فلکی، تا: ۱ شعبان ۷۲۶ق؛ مصحح، واژه های دشوار در کرانه گزارش شده؛ تملک: حسین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پسر علی پسر الیاس حسینی (مجدالدین استر آبادی)، پسر هندو پسر محمود شاه پسر عبدالله پسر محمد بافقی در محرم ۸۱۸ نورالله بن محمد شریف الحمدی در ۹۸۳؛ کاغذ: سمرقندی، جلد: تیماج حنایی، ۲۲۲گ، ۲۶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 سم [ف: ۲-۵۱۴]</w:t>
      </w:r>
    </w:p>
    <w:p>
      <w:pPr>
        <w:pStyle w:val="BookText"/>
      </w:pPr>
      <w:r>
        <w:rPr>
          <w:rFonts w:ascii="IRNazanin" w:hAnsi="IRNazanin" w:eastAsia="IRNazanin" w:cs="IRNazanin"/>
          <w:lang w:bidi="fa-IR"/>
          <w:color w:val="111111"/>
          <w:sz w:val="28"/>
          <w:szCs w:val="28"/>
          <w:rtl/>
        </w:rPr>
        <w:t xml:space="preserve">۵. تهران؛ مجلس؛ شماره نسخه: ۲۷۱</w:t>
      </w:r>
    </w:p>
    <w:p>
      <w:pPr>
        <w:pStyle w:val="BookText"/>
      </w:pPr>
      <w:r>
        <w:rPr>
          <w:rFonts w:ascii="IRNazanin" w:hAnsi="IRNazanin" w:eastAsia="IRNazanin" w:cs="IRNazanin"/>
          <w:lang w:bidi="fa-IR"/>
          <w:color w:val="111111"/>
          <w:sz w:val="28"/>
          <w:szCs w:val="28"/>
          <w:rtl/>
        </w:rPr>
        <w:t xml:space="preserve">خط: نسخ تحریری، کا: محمد علی بن احمد جوینی، تا: ۱۰ شوال ۷۲۹ق، جان کرمان؛ در ص ع سه بیت شعر فارسی خواجه طوسی؛ در پایان چند بیت فارسی است یکی به خط عمادالدین محمد بن احمد الشهيد، با یادداشت ۲۷ شوال ۸۵۷ در مرغزار ... به خط محمد بن نظام الدین شهیدی و دیگری مورخ روز چهارشنبه ۵ ربيع الأول ۸۵۸؛ تملک: محمد بن مبارک شاه منشی شوشتری، ابوالوفاء حسن جوینی؛ مهر: مصطفی، بیان السلطنه، کاغذ: سفید، جلد: تیماج مشکی ضربی با ترنج و نیم ترنج.، ۲۹۱گ، ۲۱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[سنا: ف: ۱-۱۳۱]</w:t>
      </w:r>
    </w:p>
    <w:p>
      <w:pPr>
        <w:pStyle w:val="BookText"/>
      </w:pPr>
      <w:r>
        <w:rPr>
          <w:rFonts w:ascii="IRNazanin" w:hAnsi="IRNazanin" w:eastAsia="IRNazanin" w:cs="IRNazanin"/>
          <w:lang w:bidi="fa-IR"/>
          <w:color w:val="111111"/>
          <w:sz w:val="28"/>
          <w:szCs w:val="28"/>
          <w:rtl/>
        </w:rPr>
        <w:t xml:space="preserve">۶. تهران؛ سلطنتی؛ شماره نسخه:۴۸۴</w:t>
      </w:r>
    </w:p>
    <w:p>
      <w:pPr>
        <w:pStyle w:val="BookText"/>
      </w:pPr>
      <w:r>
        <w:rPr>
          <w:rFonts w:ascii="Amiri" w:hAnsi="Amiri" w:eastAsia="Amiri" w:cs="Amiri"/>
          <w:lang w:bidi="ar-SA"/>
          <w:color w:val="111111"/>
          <w:sz w:val="28"/>
          <w:szCs w:val="28"/>
          <w:rtl/>
        </w:rPr>
        <w:t xml:space="preserve">آغاز: برابر، انجام: و الحمدالله على افضاله و نواله و حسنا الله و نعم الوكيل. كتبه العبد احقر عبد العبد الحسين ... في ۴ رمضان ۷۴۸.</w:t>
      </w:r>
    </w:p>
    <w:p>
      <w:pPr>
        <w:pStyle w:val="BookText"/>
      </w:pPr>
      <w:r>
        <w:rPr>
          <w:rFonts w:ascii="IRNazanin" w:hAnsi="IRNazanin" w:eastAsia="IRNazanin" w:cs="IRNazanin"/>
          <w:lang w:bidi="fa-IR"/>
          <w:color w:val="111111"/>
          <w:sz w:val="28"/>
          <w:szCs w:val="28"/>
          <w:rtl/>
        </w:rPr>
        <w:t xml:space="preserve">خط: نسخ، كا: عبدالحسین، تا: ۴ رمضان ۷۴۸ق؛ در ۱۲۹۷ از ورثه مرحوم طهماسب میرزا موید الدوله خریداری شده و داخل کتابخانه موزه سر کاری گشته و در سال ۱۳۲۲ از عرض</w:t>
      </w:r>
    </w:p>
    <w:p>
      <w:pPr>
        <w:pStyle w:val="BookText"/>
      </w:pPr>
      <w:r>
        <w:rPr>
          <w:rFonts w:ascii="IRNazanin" w:hAnsi="IRNazanin" w:eastAsia="IRNazanin" w:cs="IRNazanin"/>
          <w:lang w:bidi="fa-IR"/>
          <w:color w:val="111111"/>
          <w:sz w:val="28"/>
          <w:szCs w:val="28"/>
          <w:rtl/>
        </w:rPr>
        <w:t xml:space="preserve">گذشته است؛ کاغذ: کشمیری نخودی رنگ، جلد: مقوای روکش چرم قهوه ای با ترنج ضربی، ۶۴۱ص، ۲۵ سطر، قطع: وزیری، اندازه: ۲۳/۵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۵-۳۹]</w:t>
      </w:r>
    </w:p>
    <w:p>
      <w:pPr>
        <w:pStyle w:val="BookText"/>
      </w:pPr>
      <w:r>
        <w:rPr>
          <w:rFonts w:ascii="IRNazanin" w:hAnsi="IRNazanin" w:eastAsia="IRNazanin" w:cs="IRNazanin"/>
          <w:lang w:bidi="fa-IR"/>
          <w:color w:val="111111"/>
          <w:sz w:val="28"/>
          <w:szCs w:val="28"/>
          <w:rtl/>
        </w:rPr>
        <w:t xml:space="preserve">٧. تهران: ملک؛ شماره نسخه:۳۸۹۷</w:t>
      </w:r>
    </w:p>
    <w:p>
      <w:pPr>
        <w:pStyle w:val="BookText"/>
      </w:pPr>
      <w:r>
        <w:rPr>
          <w:rFonts w:ascii="IRNazanin" w:hAnsi="IRNazanin" w:eastAsia="IRNazanin" w:cs="IRNazanin"/>
          <w:lang w:bidi="fa-IR"/>
          <w:color w:val="111111"/>
          <w:sz w:val="28"/>
          <w:szCs w:val="28"/>
          <w:rtl/>
        </w:rPr>
        <w:t xml:space="preserve">خط: نسخ، بی کا، تا: جمادی الثانی ۷۵۴ق؛ محشی، مجدول، مذهب، یادداشت علی بن محمد بخاری در صفر ۷۶۳؛ تملك: محمود بن احمد بن حیدر، یادداشت تملک در رمضان ۸۲۴ در شیراز؛ کاغذ: کاغذ ختایی، جلد: میشن آلبالویی، ۱۸۳ ، ۲۵ سطر، اندازه: ۳۲/۴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۱۵/۹ سم [ف: ۲-۷۲]</w:t>
      </w:r>
    </w:p>
    <w:p>
      <w:pPr>
        <w:pStyle w:val="BookText"/>
      </w:pPr>
      <w:r>
        <w:rPr>
          <w:rFonts w:ascii="IRNazanin" w:hAnsi="IRNazanin" w:eastAsia="IRNazanin" w:cs="IRNazanin"/>
          <w:lang w:bidi="fa-IR"/>
          <w:color w:val="111111"/>
          <w:sz w:val="28"/>
          <w:szCs w:val="28"/>
          <w:rtl/>
        </w:rPr>
        <w:t xml:space="preserve">۸. تهران؛ ملی؛ شماره نسخه: ۲۰۲۰</w:t>
      </w:r>
    </w:p>
    <w:p>
      <w:pPr>
        <w:pStyle w:val="BookText"/>
      </w:pPr>
      <w:r>
        <w:rPr>
          <w:rFonts w:ascii="IRNazanin" w:hAnsi="IRNazanin" w:eastAsia="IRNazanin" w:cs="IRNazanin"/>
          <w:lang w:bidi="fa-IR"/>
          <w:color w:val="111111"/>
          <w:sz w:val="28"/>
          <w:szCs w:val="28"/>
          <w:rtl/>
        </w:rPr>
        <w:t xml:space="preserve">آغاز: برابر؛ انجام: و جواب من با هر غرابی که از آن جانب آمده است یا ویلتا اعجزت أن أكفر مثل هذا الغراب و الله اعلم بالصواب و اليه المرجع و المآب و اليه التفويض انه لبصير بالعباد.</w:t>
      </w:r>
    </w:p>
    <w:p>
      <w:pPr>
        <w:pStyle w:val="BookText"/>
      </w:pPr>
      <w:r>
        <w:rPr>
          <w:rFonts w:ascii="IRNazanin" w:hAnsi="IRNazanin" w:eastAsia="IRNazanin" w:cs="IRNazanin"/>
          <w:lang w:bidi="fa-IR"/>
          <w:color w:val="111111"/>
          <w:sz w:val="28"/>
          <w:szCs w:val="28"/>
          <w:rtl/>
        </w:rPr>
        <w:t xml:space="preserve">خط: نسخ، بی کا، تا: محتم قرن ۹، تملک: ام الکتاب بنت مولانا قریب در ۱۰۰۶ق، کاغذ: بخارایی، جلد: مقوایی عطف تیماج سیاه، ۲۱۷ گ، ۱۸ سطر (۱۴/۵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اندازه: ۱۹/۱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۲۷/۵سم [ف: ۵-۱۹]</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مجلس؛ شماره نسخه:۸۵۵۶</w:t>
      </w:r>
    </w:p>
    <w:p>
      <w:pPr>
        <w:pStyle w:val="BookText"/>
      </w:pPr>
      <w:r>
        <w:rPr>
          <w:rFonts w:ascii="IRNazanin" w:hAnsi="IRNazanin" w:eastAsia="IRNazanin" w:cs="IRNazanin"/>
          <w:lang w:bidi="fa-IR"/>
          <w:color w:val="111111"/>
          <w:sz w:val="28"/>
          <w:szCs w:val="28"/>
          <w:rtl/>
        </w:rPr>
        <w:t xml:space="preserve">خط: نستعلیق، كان نظام بن رضی نقاشی، تا: دوشنبه ۱۰ رجب ۸۲۸ق؛ مجدول، دارای سرلوح مرصع و مذهب، دارای کتیبه ای مرصع، دو مجلس نقاشی آبرنگ زرین سبک تیموری، یادداشتی از مهدوی که به سال ۱۳۰۱ ق مخبر الدوله کتاب را به وی هدیه</w:t>
      </w:r>
    </w:p>
    <w:p>
      <w:pPr>
        <w:pStyle w:val="BookText"/>
      </w:pPr>
      <w:r>
        <w:rPr>
          <w:rFonts w:ascii="IRNazanin" w:hAnsi="IRNazanin" w:eastAsia="IRNazanin" w:cs="IRNazanin"/>
          <w:lang w:bidi="fa-IR"/>
          <w:color w:val="111111"/>
          <w:sz w:val="28"/>
          <w:szCs w:val="28"/>
          <w:rtl/>
        </w:rPr>
        <w:t xml:space="preserve">داده، در هفت برگ پایانی انشای ادیبانه ای به نام ضياء القلوب با اشعاری از کاتب با تخلص «نظام» در چگونگی کتابت کتاب و اهدای آن به غیاث الدین و پدرش نورالدین آمده، یادداشتی از رضا قلی هدایت به سال ۱۲۷۰ق؛ مهر: «هو العلى عبده رضا قلی» (مربع)، «رضا قلی» (بیضوی)؛ جلد: تیماج قهوه ای ضربی با ترنج و سرترنج، ۸۲۸گ، ۲۱ سطر،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۲۸-۱۱۳]</w:t>
      </w:r>
    </w:p>
    <w:p>
      <w:pPr>
        <w:pStyle w:val="BookText"/>
      </w:pPr>
      <w:r>
        <w:rPr>
          <w:rFonts w:ascii="IRNazanin" w:hAnsi="IRNazanin" w:eastAsia="IRNazanin" w:cs="IRNazanin"/>
          <w:lang w:bidi="fa-IR"/>
          <w:color w:val="111111"/>
          <w:sz w:val="28"/>
          <w:szCs w:val="28"/>
          <w:rtl/>
        </w:rPr>
        <w:t xml:space="preserve">۱۰. تهران؛ مجلس؛ شماره نسخه:۸۵۵۷</w:t>
      </w:r>
    </w:p>
    <w:p>
      <w:pPr>
        <w:pStyle w:val="BookText"/>
      </w:pPr>
      <w:r>
        <w:rPr>
          <w:rFonts w:ascii="IRNazanin" w:hAnsi="IRNazanin" w:eastAsia="IRNazanin" w:cs="IRNazanin"/>
          <w:lang w:bidi="fa-IR"/>
          <w:color w:val="111111"/>
          <w:sz w:val="28"/>
          <w:szCs w:val="28"/>
          <w:rtl/>
        </w:rPr>
        <w:t xml:space="preserve">خط: نسخ مایل به نستعلیق، بی کا، تا: قرن ۹ و ۱۰؛ مصحح، محشی، مجدول، دارای سرلوح مذهب مرصع؛ تملک: عبدالحسين بن محمد بن حسن؛ مهر: «المتوكل على الله الغني عبده محمد زمان الصفوی ۹۹۴» (دائرى)؛ جلد: تیماج قهوه ای ضربی با ترنج و سرترنج، ۳۷۱گ، ۱۹ 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۱۱۳-۲۸]</w:t>
      </w:r>
    </w:p>
    <w:p>
      <w:pPr>
        <w:pStyle w:val="BookText"/>
      </w:pPr>
      <w:r>
        <w:rPr>
          <w:rFonts w:ascii="IRNazanin" w:hAnsi="IRNazanin" w:eastAsia="IRNazanin" w:cs="IRNazanin"/>
          <w:lang w:bidi="fa-IR"/>
          <w:color w:val="111111"/>
          <w:sz w:val="28"/>
          <w:szCs w:val="28"/>
          <w:rtl/>
        </w:rPr>
        <w:t xml:space="preserve">۱۱. تهران؛ مجلس؛ شماره نسخه:۵۸۲۳</w:t>
      </w:r>
    </w:p>
    <w:p>
      <w:pPr>
        <w:pStyle w:val="BookText"/>
      </w:pPr>
      <w:r>
        <w:rPr>
          <w:rFonts w:ascii="IRNazanin" w:hAnsi="IRNazanin" w:eastAsia="IRNazanin" w:cs="IRNazanin"/>
          <w:lang w:bidi="fa-IR"/>
          <w:color w:val="111111"/>
          <w:sz w:val="28"/>
          <w:szCs w:val="28"/>
          <w:rtl/>
        </w:rPr>
        <w:t xml:space="preserve">آغاز: يكاد يصيب الشئی من قبل رميه و يمسكه في سهمه المرسل الرد و ينفذه في العقد وهو اضيق من الشعرة السوداء في الليلة السوداء؛ انجام: و داغ حسرت بر دل نقاشان روم و صورتگران چین مینهاد زعم القبيح انه كعذاره حسنا ... من قفاء لسانه</w:t>
      </w:r>
    </w:p>
    <w:p>
      <w:pPr>
        <w:pStyle w:val="BookText"/>
      </w:pPr>
      <w:r>
        <w:rPr>
          <w:rFonts w:ascii="IRNazanin" w:hAnsi="IRNazanin" w:eastAsia="IRNazanin" w:cs="IRNazanin"/>
          <w:lang w:bidi="fa-IR"/>
          <w:color w:val="111111"/>
          <w:sz w:val="28"/>
          <w:szCs w:val="28"/>
          <w:rtl/>
        </w:rPr>
        <w:t xml:space="preserve">خط: نستعلیق، بی کا، تا: قرن ۱۰؛ افتادگی: آغاز و انجام کاغذ: سمرقندی شکری، جلد: تیماج زرد ضربی، ۳۶۰، ۲۱ سطر، قطع : وزیری،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۱۷ - ۲۴۰]</w:t>
      </w:r>
    </w:p>
    <w:p>
      <w:pPr>
        <w:pStyle w:val="BookText"/>
      </w:pPr>
      <w:r>
        <w:rPr>
          <w:rFonts w:ascii="IRNazanin" w:hAnsi="IRNazanin" w:eastAsia="IRNazanin" w:cs="IRNazanin"/>
          <w:lang w:bidi="fa-IR"/>
          <w:color w:val="111111"/>
          <w:sz w:val="28"/>
          <w:szCs w:val="28"/>
          <w:rtl/>
        </w:rPr>
        <w:t xml:space="preserve">۱۲. تهران؛ ادبیات؛ شماره نسخه:۸۶ - ج</w:t>
      </w:r>
    </w:p>
    <w:p>
      <w:pPr>
        <w:pStyle w:val="BookText"/>
      </w:pPr>
      <w:r>
        <w:rPr>
          <w:rFonts w:ascii="IRNazanin" w:hAnsi="IRNazanin" w:eastAsia="IRNazanin" w:cs="IRNazanin"/>
          <w:lang w:bidi="fa-IR"/>
          <w:color w:val="111111"/>
          <w:sz w:val="28"/>
          <w:szCs w:val="28"/>
          <w:rtl/>
        </w:rPr>
        <w:t xml:space="preserve">انجام: بسادانا کزین سرمایه سازید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عروس طبع را پیرایه سازند / نگاری گردد آن بر روی ایام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که از جیبش خجل گردند ایام .و الحمد لله على افضاله و نوراله ... و السلام علی من اتبع الهدی خط: نسخ، بی کا، تا: قرن ۹ و ۱۰؛ یادداشت مورخ ۱۲۶۴ فرهاد میرزا در تهران؛ کاغذ: سمرقندی، جلد: تیماج تریاکی ضربی، ۴۰۵گ، ۱۷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۱-۵۵]</w:t>
      </w:r>
    </w:p>
    <w:p>
      <w:pPr>
        <w:pStyle w:val="BookText"/>
      </w:pPr>
      <w:r>
        <w:rPr>
          <w:rFonts w:ascii="IRNazanin" w:hAnsi="IRNazanin" w:eastAsia="IRNazanin" w:cs="IRNazanin"/>
          <w:lang w:bidi="fa-IR"/>
          <w:color w:val="111111"/>
          <w:sz w:val="28"/>
          <w:szCs w:val="28"/>
          <w:rtl/>
        </w:rPr>
        <w:t xml:space="preserve">۱۳. قم؛ مرعشی؛ شماره نسخه: ۷۸۸۲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۱۰؛ مجدول، با سرلوح مختصر؛ جلد: تیماج قرمز، ۲۸۲گ، ۱۹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۲۰-۲۱۷]</w:t>
      </w:r>
    </w:p>
    <w:p>
      <w:pPr>
        <w:pStyle w:val="BookText"/>
      </w:pPr>
      <w:r>
        <w:rPr>
          <w:rFonts w:ascii="IRNazanin" w:hAnsi="IRNazanin" w:eastAsia="IRNazanin" w:cs="IRNazanin"/>
          <w:lang w:bidi="fa-IR"/>
          <w:color w:val="111111"/>
          <w:sz w:val="28"/>
          <w:szCs w:val="28"/>
          <w:rtl/>
        </w:rPr>
        <w:t xml:space="preserve">۱۴. تهران؛ ملی؛ شماره نسخه: ۱۰۷۰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خوش، كا: ابوسعید بن حسن حسینی، تا: ۱۰۰۰ق؛ با سرلوح مذهب، مجدول؛ کاغذ: دولت آبادی، جلد: تیماج مشکی با ترنج و نیم ترنج ضربی، ۳۳۱ گ، ۱۵ سطر (۱۸۸۹)،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۳۱/۵سم [ف: ۳-۸۸]</w:t>
      </w:r>
    </w:p>
    <w:p>
      <w:pPr>
        <w:pStyle w:val="BookText"/>
      </w:pPr>
      <w:r>
        <w:rPr>
          <w:rFonts w:ascii="IRNazanin" w:hAnsi="IRNazanin" w:eastAsia="IRNazanin" w:cs="IRNazanin"/>
          <w:lang w:bidi="fa-IR"/>
          <w:color w:val="111111"/>
          <w:sz w:val="28"/>
          <w:szCs w:val="28"/>
          <w:rtl/>
        </w:rPr>
        <w:t xml:space="preserve">۱۵. تهران؛ دانشگاه؛ شماره نسخه:۳۶۲۰</w:t>
      </w:r>
    </w:p>
    <w:p>
      <w:pPr>
        <w:pStyle w:val="BookText"/>
      </w:pPr>
      <w:r>
        <w:rPr>
          <w:rFonts w:ascii="IRNazanin" w:hAnsi="IRNazanin" w:eastAsia="IRNazanin" w:cs="IRNazanin"/>
          <w:lang w:bidi="fa-IR"/>
          <w:color w:val="111111"/>
          <w:sz w:val="28"/>
          <w:szCs w:val="28"/>
          <w:rtl/>
        </w:rPr>
        <w:t xml:space="preserve">خط: نستعليق و نسخ خوش، بی کا، تا: قرن ۱۰ و ۱۱؛ افتادگی: آغاز و وسط و انجام؛ مجدول؛ کاغذ: سمرقندی، جلد: تیماج سرخ گرد مشکی، ۱۷۸، ۲۲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۱۲-۲۶۲۲]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۱۶. تهران؛ ملی؛ شماره نسخه: ۲۵۳۰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محتملا قرن ۱۱؛ مجدول؛ کاغذ: اصفهانی، جلد: تیماج تریاکی، ۱۴۵گ، ۲۵ 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۶-۳۸]</w:t>
      </w:r>
    </w:p>
    <w:p>
      <w:pPr>
        <w:pStyle w:val="BookText"/>
      </w:pPr>
      <w:r>
        <w:rPr>
          <w:rFonts w:ascii="IRNazanin" w:hAnsi="IRNazanin" w:eastAsia="IRNazanin" w:cs="IRNazanin"/>
          <w:lang w:bidi="fa-IR"/>
          <w:color w:val="111111"/>
          <w:sz w:val="28"/>
          <w:szCs w:val="28"/>
          <w:rtl/>
        </w:rPr>
        <w:t xml:space="preserve">۱۷. تهران؛ مجلس؛ شماره نسخه: ۸۸۶۹/۱۸</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تنها دیباچه کتاب که از انجام ناقص است؛ خط: نستعلیق، بی کا، تا: قرن ۱۱؛ کاغذ: نخودی آهار مهره، جلد: تیماج قهوه ای مجدول، اص (۳۶۸)، اندازه: ۱۳/۱</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۲۴/۳سم [ف: ۲۹/۱ -۱۸۶]</w:t>
      </w:r>
    </w:p>
    <w:p>
      <w:pPr>
        <w:pStyle w:val="BookText"/>
      </w:pPr>
      <w:r>
        <w:rPr>
          <w:rFonts w:ascii="IRNazanin" w:hAnsi="IRNazanin" w:eastAsia="IRNazanin" w:cs="IRNazanin"/>
          <w:lang w:bidi="fa-IR"/>
          <w:color w:val="111111"/>
          <w:sz w:val="28"/>
          <w:szCs w:val="28"/>
          <w:rtl/>
        </w:rPr>
        <w:t xml:space="preserve">۱۸. تهران؛ مهدوی؛ شماره نسخه:۲۳۶</w:t>
      </w:r>
    </w:p>
    <w:p>
      <w:pPr>
        <w:pStyle w:val="BookText"/>
      </w:pPr>
      <w:r>
        <w:rPr>
          <w:rFonts w:ascii="IRNazanin" w:hAnsi="IRNazanin" w:eastAsia="IRNazanin" w:cs="IRNazanin"/>
          <w:lang w:bidi="fa-IR"/>
          <w:color w:val="111111"/>
          <w:sz w:val="28"/>
          <w:szCs w:val="28"/>
          <w:rtl/>
        </w:rPr>
        <w:t xml:space="preserve">خط: نستعلیق ترک، کا: سید شرف الدین بن سید طاهر حسینی الالوی، تا: آغاز ربيع الثانی ۱۰۱۰ق، جا: دمشق؛ کاغذ: بغدادی [نشریه: ۲-۶۵]</w:t>
      </w:r>
    </w:p>
    <w:p>
      <w:pPr>
        <w:pStyle w:val="BookText"/>
      </w:pPr>
      <w:r>
        <w:rPr>
          <w:rFonts w:ascii="IRNazanin" w:hAnsi="IRNazanin" w:eastAsia="IRNazanin" w:cs="IRNazanin"/>
          <w:lang w:bidi="fa-IR"/>
          <w:color w:val="111111"/>
          <w:sz w:val="28"/>
          <w:szCs w:val="28"/>
          <w:rtl/>
        </w:rPr>
        <w:t xml:space="preserve">۱۹. تهران؛ سلطنتی؛ شماره نسخه: ۵۰۱</w:t>
      </w:r>
    </w:p>
    <w:p>
      <w:pPr>
        <w:pStyle w:val="BookText"/>
      </w:pPr>
      <w:r>
        <w:rPr>
          <w:rFonts w:ascii="IRNazanin" w:hAnsi="IRNazanin" w:eastAsia="IRNazanin" w:cs="IRNazanin"/>
          <w:lang w:bidi="fa-IR"/>
          <w:color w:val="111111"/>
          <w:sz w:val="28"/>
          <w:szCs w:val="28"/>
          <w:rtl/>
        </w:rPr>
        <w:t xml:space="preserve">آغاز: برابر؛ انجام: در بهترین زمانی و خوشترین اوانی تمام شد کتابت کتاب تاج المأثر على يدا ضعف العباد و احقر العباد الواثق بلطفه الصمدي محمد بن احمد التونی در روز شنبه نهم رجب المرجب سنه اثنی عشر و الف من هجرة البنویه و الحمد لوليه و الصلوة على نبيه محمد و وصية على و آله اجمعين الطيبين الطاهرين المعصومين.</w:t>
      </w:r>
    </w:p>
    <w:p>
      <w:pPr>
        <w:pStyle w:val="BookText"/>
      </w:pPr>
      <w:r>
        <w:rPr>
          <w:rFonts w:ascii="IRNazanin" w:hAnsi="IRNazanin" w:eastAsia="IRNazanin" w:cs="IRNazanin"/>
          <w:lang w:bidi="fa-IR"/>
          <w:color w:val="111111"/>
          <w:sz w:val="28"/>
          <w:szCs w:val="28"/>
          <w:rtl/>
        </w:rPr>
        <w:t xml:space="preserve">خط: نسخ، كا: محمود بن احمد تونی، تا: ۱۰۱۲ق؛ مجدول، یک سرلوح مذهب سبک اصفهان؛ مهر: «عیسی ربک مقاما محمودا»، ناصرالدین شاه قاجار؛ کاغذ: اصفهانی، جلد: مقوای روکش چرم تریاکی با طرح گل و بوته و انواع حیوانات به طرز مشبک کاری درون جلد، ۴۳۴ص، ۲۴ سطر، قطع: وزیری،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۵-۴۰]</w:t>
      </w:r>
    </w:p>
    <w:p>
      <w:pPr>
        <w:pStyle w:val="BookText"/>
      </w:pPr>
      <w:r>
        <w:rPr>
          <w:rFonts w:ascii="IRNazanin" w:hAnsi="IRNazanin" w:eastAsia="IRNazanin" w:cs="IRNazanin"/>
          <w:lang w:bidi="fa-IR"/>
          <w:color w:val="111111"/>
          <w:sz w:val="28"/>
          <w:szCs w:val="28"/>
          <w:rtl/>
        </w:rPr>
        <w:t xml:space="preserve">۲۰. مشهد؛ رضوی؛ شماره نسخه:۴۱۷۶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کا: غیاث الدین محمود، تا: پنج شنبه ۲۶ ذیقعده ۱۰۱۹ق؛ واقف: نایینی؛ کاغذ کاهی، جلد: تیماج بنفش، ۲۱۱ ، ۲۲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اندازه: ۳۰/۲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w:t>
      </w:r>
    </w:p>
    <w:p>
      <w:pPr>
        <w:pStyle w:val="BookText"/>
      </w:pPr>
      <w:r>
        <w:rPr>
          <w:rFonts w:ascii="IRNazanin" w:hAnsi="IRNazanin" w:eastAsia="IRNazanin" w:cs="IRNazanin"/>
          <w:lang w:bidi="fa-IR"/>
          <w:color w:val="111111"/>
          <w:sz w:val="28"/>
          <w:szCs w:val="28"/>
          <w:rtl/>
        </w:rPr>
        <w:t xml:space="preserve">سم [ف: ۷-۲۷]</w:t>
      </w:r>
    </w:p>
    <w:p>
      <w:pPr>
        <w:pStyle w:val="BookText"/>
      </w:pPr>
      <w:r>
        <w:rPr>
          <w:rFonts w:ascii="IRNazanin" w:hAnsi="IRNazanin" w:eastAsia="IRNazanin" w:cs="IRNazanin"/>
          <w:lang w:bidi="fa-IR"/>
          <w:color w:val="111111"/>
          <w:sz w:val="28"/>
          <w:szCs w:val="28"/>
          <w:rtl/>
        </w:rPr>
        <w:t xml:space="preserve">۲۱. تهران؛ مجلس؛ شماره نسخه: ۲۲۰</w:t>
      </w:r>
    </w:p>
    <w:p>
      <w:pPr>
        <w:pStyle w:val="BookText"/>
      </w:pPr>
      <w:r>
        <w:rPr>
          <w:rFonts w:ascii="IRNazanin" w:hAnsi="IRNazanin" w:eastAsia="IRNazanin" w:cs="IRNazanin"/>
          <w:lang w:bidi="fa-IR"/>
          <w:color w:val="111111"/>
          <w:sz w:val="28"/>
          <w:szCs w:val="28"/>
          <w:rtl/>
        </w:rPr>
        <w:t xml:space="preserve">آغاز: برابر خط: نستعلیق، بی کا، تا: ۱۰۴۱ق؛ ۲۱۳، ۲۰ سطر، قطع: رحلی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۲-۱۲۴]</w:t>
      </w:r>
    </w:p>
    <w:p>
      <w:pPr>
        <w:pStyle w:val="BookText"/>
      </w:pPr>
      <w:r>
        <w:rPr>
          <w:rFonts w:ascii="IRNazanin" w:hAnsi="IRNazanin" w:eastAsia="IRNazanin" w:cs="IRNazanin"/>
          <w:lang w:bidi="fa-IR"/>
          <w:color w:val="111111"/>
          <w:sz w:val="28"/>
          <w:szCs w:val="28"/>
          <w:rtl/>
        </w:rPr>
        <w:t xml:space="preserve">۲۲. تهران؛ سپهسالار؛ شماره نسخه:۱۵۰۶</w:t>
      </w:r>
    </w:p>
    <w:p>
      <w:pPr>
        <w:pStyle w:val="BookText"/>
      </w:pPr>
      <w:r>
        <w:rPr>
          <w:rFonts w:ascii="IRNazanin" w:hAnsi="IRNazanin" w:eastAsia="IRNazanin" w:cs="IRNazanin"/>
          <w:lang w:bidi="fa-IR"/>
          <w:color w:val="111111"/>
          <w:sz w:val="28"/>
          <w:szCs w:val="28"/>
          <w:rtl/>
        </w:rPr>
        <w:t xml:space="preserve">خط: نستعلیق، كان محمد مقيم بن عزیز بیگ سرور رشتی، تا: ۱۰۵۷ق، برای محمد شریف؛ مجدول، با یک سرلوح کوچک تملك: اعتضاد ۱۲۷۳ق. واقف: سپهسالار، ۱۲۹۷؛ کاغذ: سپاهانی سفید، جلد: تیماج مشکی ضربی مقوایی، ۱۵۶گ، ۲۱ سطر،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۳-۲۹۰]</w:t>
      </w:r>
    </w:p>
    <w:p>
      <w:pPr>
        <w:pStyle w:val="BookText"/>
      </w:pPr>
      <w:r>
        <w:rPr>
          <w:rFonts w:ascii="IRNazanin" w:hAnsi="IRNazanin" w:eastAsia="IRNazanin" w:cs="IRNazanin"/>
          <w:lang w:bidi="fa-IR"/>
          <w:color w:val="111111"/>
          <w:sz w:val="28"/>
          <w:szCs w:val="28"/>
          <w:rtl/>
        </w:rPr>
        <w:t xml:space="preserve">۲۳. قم؛ مرعشی؛ شماره نسخه:۱۶۲۵</w:t>
      </w:r>
    </w:p>
    <w:p>
      <w:pPr>
        <w:pStyle w:val="BookText"/>
      </w:pPr>
      <w:r>
        <w:rPr>
          <w:rFonts w:ascii="IRNazanin" w:hAnsi="IRNazanin" w:eastAsia="IRNazanin" w:cs="IRNazanin"/>
          <w:lang w:bidi="fa-IR"/>
          <w:color w:val="111111"/>
          <w:sz w:val="28"/>
          <w:szCs w:val="28"/>
          <w:rtl/>
        </w:rPr>
        <w:t xml:space="preserve">آغاز: برابر؛ انجام: بسا دانا کزین سرمایه سازد*** عروس طبع را پروانه سازد</w:t>
      </w:r>
    </w:p>
    <w:p>
      <w:pPr>
        <w:pStyle w:val="BookText"/>
      </w:pPr>
      <w:r>
        <w:rPr>
          <w:rFonts w:ascii="IRNazanin" w:hAnsi="IRNazanin" w:eastAsia="IRNazanin" w:cs="IRNazanin"/>
          <w:lang w:bidi="fa-IR"/>
          <w:color w:val="111111"/>
          <w:sz w:val="28"/>
          <w:szCs w:val="28"/>
          <w:rtl/>
        </w:rPr>
        <w:t xml:space="preserve">نسخه اصل: انستیتوی نسخ خطی آکادمی علوم جمهوری آذربایجان در باکو، نسخه شماره ۲۵۲-</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 خط: نستعلیق شکسته، كان محمد مقیم بن عزیز بیک سردار، تا: ۱۰۷۵ق؛ از روی نسخه مورخ ۸۰۳ق، مجدول، یک سرلوح مزدوج مذهب، مصحح؛ کاغذ: دولت آبادی، جلد: ساغری، ۳۰۷ص، ۲۰ سطر [عکسی ف: ۳۶۵]</w:t>
      </w:r>
    </w:p>
    <w:p>
      <w:pPr>
        <w:pStyle w:val="BookText"/>
      </w:pPr>
      <w:r>
        <w:rPr>
          <w:rFonts w:ascii="IRNazanin" w:hAnsi="IRNazanin" w:eastAsia="IRNazanin" w:cs="IRNazanin"/>
          <w:lang w:bidi="fa-IR"/>
          <w:color w:val="111111"/>
          <w:sz w:val="28"/>
          <w:szCs w:val="28"/>
          <w:rtl/>
        </w:rPr>
        <w:t xml:space="preserve">۲۴. تهران، دانشگاه؛ شماره نسخه:۸۶۰۳</w:t>
      </w:r>
    </w:p>
    <w:p>
      <w:pPr>
        <w:pStyle w:val="BookText"/>
      </w:pPr>
      <w:r>
        <w:rPr>
          <w:rFonts w:ascii="IRNazanin" w:hAnsi="IRNazanin" w:eastAsia="IRNazanin" w:cs="IRNazanin"/>
          <w:lang w:bidi="fa-IR"/>
          <w:color w:val="111111"/>
          <w:sz w:val="28"/>
          <w:szCs w:val="28"/>
          <w:rtl/>
        </w:rPr>
        <w:t xml:space="preserve">خط: نستعلیق، بی کا، تا: قرن ۱۱ و ۱۲؛ افتادگی: آغاز و انجام؛ کاغذ: سپاهانی، جلد: تیماج تریاکی، ۱۶۹گ، ۲۵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۱۷-۱۷۳]</w:t>
      </w:r>
    </w:p>
    <w:p>
      <w:pPr>
        <w:pStyle w:val="BookText"/>
      </w:pPr>
      <w:r>
        <w:rPr>
          <w:rFonts w:ascii="IRNazanin" w:hAnsi="IRNazanin" w:eastAsia="IRNazanin" w:cs="IRNazanin"/>
          <w:lang w:bidi="fa-IR"/>
          <w:color w:val="111111"/>
          <w:sz w:val="28"/>
          <w:szCs w:val="28"/>
          <w:rtl/>
        </w:rPr>
        <w:t xml:space="preserve">۲۵. تهران؛ دانشگاه؛ شماره نسخه: ۴۷۷۹</w:t>
      </w:r>
    </w:p>
    <w:p>
      <w:pPr>
        <w:pStyle w:val="BookText"/>
      </w:pPr>
      <w:r>
        <w:rPr>
          <w:rFonts w:ascii="IRNazanin" w:hAnsi="IRNazanin" w:eastAsia="IRNazanin" w:cs="IRNazanin"/>
          <w:lang w:bidi="fa-IR"/>
          <w:color w:val="111111"/>
          <w:sz w:val="28"/>
          <w:szCs w:val="28"/>
          <w:rtl/>
        </w:rPr>
        <w:t xml:space="preserve">خط: شکسته نستعلیق، بی کا، تا: قرن ۱۲؛ افتادگی: انجام؛ کاغذ: فرنگی آهار مهره، جلد: مقوا عطف تیماج مشکی، ۱۵۱گ، ۱۲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۱۴-۳۸۲۴]</w:t>
      </w:r>
    </w:p>
    <w:p>
      <w:pPr>
        <w:pStyle w:val="BookText"/>
      </w:pPr>
      <w:r>
        <w:rPr>
          <w:rFonts w:ascii="IRNazanin" w:hAnsi="IRNazanin" w:eastAsia="IRNazanin" w:cs="IRNazanin"/>
          <w:lang w:bidi="fa-IR"/>
          <w:color w:val="111111"/>
          <w:sz w:val="28"/>
          <w:szCs w:val="28"/>
          <w:rtl/>
        </w:rPr>
        <w:t xml:space="preserve">۲۶. تهران؛ دانشگاه؛ شماره نسخه: ۸۴۶۲</w:t>
      </w:r>
    </w:p>
    <w:p>
      <w:pPr>
        <w:pStyle w:val="BookText"/>
      </w:pPr>
      <w:r>
        <w:rPr>
          <w:rFonts w:ascii="IRNazanin" w:hAnsi="IRNazanin" w:eastAsia="IRNazanin" w:cs="IRNazanin"/>
          <w:lang w:bidi="fa-IR"/>
          <w:color w:val="111111"/>
          <w:sz w:val="28"/>
          <w:szCs w:val="28"/>
          <w:rtl/>
        </w:rPr>
        <w:t xml:space="preserve">خط: نستعلیق، بی کا، تا: قرن ۱۳ (نیمه نخستین)؛ کاغذ: آهار مهره فرنگی، جلد: تیماج مشکی لایی، ۱۴۴ گ، ۱۹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۱۷-۱۴۰]</w:t>
      </w:r>
    </w:p>
    <w:p>
      <w:pPr>
        <w:pStyle w:val="BookText"/>
      </w:pPr>
      <w:r>
        <w:rPr>
          <w:rFonts w:ascii="IRNazanin" w:hAnsi="IRNazanin" w:eastAsia="IRNazanin" w:cs="IRNazanin"/>
          <w:lang w:bidi="fa-IR"/>
          <w:color w:val="111111"/>
          <w:sz w:val="28"/>
          <w:szCs w:val="28"/>
          <w:rtl/>
        </w:rPr>
        <w:t xml:space="preserve">۲۷. شیراز؛ بنیاد فارس شناسی؛ شماره نسخه:۱۲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زیبا، بی کا، تا: قرن ۱۳ جلد: تیماج سرخ، ۱۱۴گ، ۲۱ سطر (۱۱/۵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۱۹/۵)،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سم [ف: ۲۹]</w:t>
      </w:r>
    </w:p>
    <w:p>
      <w:pPr>
        <w:pStyle w:val="BookText"/>
      </w:pPr>
      <w:r>
        <w:rPr>
          <w:rFonts w:ascii="IRNazanin" w:hAnsi="IRNazanin" w:eastAsia="IRNazanin" w:cs="IRNazanin"/>
          <w:lang w:bidi="fa-IR"/>
          <w:color w:val="111111"/>
          <w:sz w:val="28"/>
          <w:szCs w:val="28"/>
          <w:rtl/>
        </w:rPr>
        <w:t xml:space="preserve">۲۸. تهران؛ ملک؛ شماره نسخه:۴۱۲۷</w:t>
      </w:r>
    </w:p>
    <w:p>
      <w:pPr>
        <w:pStyle w:val="BookText"/>
      </w:pPr>
      <w:r>
        <w:rPr>
          <w:rFonts w:ascii="IRNazanin" w:hAnsi="IRNazanin" w:eastAsia="IRNazanin" w:cs="IRNazanin"/>
          <w:lang w:bidi="fa-IR"/>
          <w:color w:val="111111"/>
          <w:sz w:val="28"/>
          <w:szCs w:val="28"/>
          <w:rtl/>
        </w:rPr>
        <w:t xml:space="preserve">خط: شکسته نستعلیق، بی کا، تا: قرن ۱۳؛ مجدول، محشی؛ کاغذ: کاغذ فستقی، جلد: ساغری سیاه ضربی طلائی، ۲۳۹، ۱۵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۳۰سم [ف: ۲-۷۲]</w:t>
      </w:r>
    </w:p>
    <w:p>
      <w:pPr>
        <w:pStyle w:val="BookText"/>
      </w:pPr>
      <w:r>
        <w:rPr>
          <w:rFonts w:ascii="IRNazanin" w:hAnsi="IRNazanin" w:eastAsia="IRNazanin" w:cs="IRNazanin"/>
          <w:lang w:bidi="fa-IR"/>
          <w:color w:val="111111"/>
          <w:sz w:val="28"/>
          <w:szCs w:val="28"/>
          <w:rtl/>
        </w:rPr>
        <w:t xml:space="preserve">۲۹. تهران؛ مجلس؛ شماره نسخه:۸۳۱۴</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انجام: و خوندر تجاويف ... لبان شیره خط: نستعلیق تحریری، بی کا، تا: احتمالا قرن ۱۳؛ افتادگی: انجام؛ جلد: تیماج مشکی، ۱۴۲گ، ۱۷ سطر، اندازه: ۲۵/۵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۶۱-۲۷/۲]</w:t>
      </w:r>
    </w:p>
    <w:p>
      <w:pPr>
        <w:pStyle w:val="BookText"/>
      </w:pPr>
      <w:r>
        <w:rPr>
          <w:rFonts w:ascii="IRNazanin" w:hAnsi="IRNazanin" w:eastAsia="IRNazanin" w:cs="IRNazanin"/>
          <w:lang w:bidi="fa-IR"/>
          <w:color w:val="111111"/>
          <w:sz w:val="28"/>
          <w:szCs w:val="28"/>
          <w:rtl/>
        </w:rPr>
        <w:t xml:space="preserve">۳۰. تهران؛ ملک؛ شماره نسخه:۳۸۶۴</w:t>
      </w:r>
    </w:p>
    <w:p>
      <w:pPr>
        <w:pStyle w:val="BookText"/>
      </w:pPr>
      <w:r>
        <w:rPr>
          <w:rFonts w:ascii="IRNazanin" w:hAnsi="IRNazanin" w:eastAsia="IRNazanin" w:cs="IRNazanin"/>
          <w:lang w:bidi="fa-IR"/>
          <w:color w:val="111111"/>
          <w:sz w:val="28"/>
          <w:szCs w:val="28"/>
          <w:rtl/>
        </w:rPr>
        <w:t xml:space="preserve">خط: شکسته نستعلیق، كا: عبدالرزاق، تا: یکشنبه ۱ رمضان ۱۲۰۷ق؛ کاغذ: کاغذ قورخانه ای، جلد: پارچه مغزی میشن پشمی، ۲۰۰گ، ۱۶ سطر، اندازه: ۲۱/۹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۱۴/۴ سم [ف: ۲-۷۲)</w:t>
      </w:r>
    </w:p>
    <w:p>
      <w:pPr>
        <w:pStyle w:val="BookText"/>
      </w:pPr>
      <w:r>
        <w:rPr>
          <w:rFonts w:ascii="IRNazanin" w:hAnsi="IRNazanin" w:eastAsia="IRNazanin" w:cs="IRNazanin"/>
          <w:lang w:bidi="fa-IR"/>
          <w:color w:val="111111"/>
          <w:sz w:val="28"/>
          <w:szCs w:val="28"/>
          <w:rtl/>
        </w:rPr>
        <w:t xml:space="preserve">۳۱. تبریز؛ ملی؛ شماره نسخه: ۳۲۹۲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تعلیق، بی کا، تا: آخر ربيع الثانی ۱۲۳۲ق؛ کاغذ: فرنگی، جلد: چرمی سیاه، ۲۰۷گ، ۱۶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۱-۱۵۹]</w:t>
      </w:r>
    </w:p>
    <w:p>
      <w:pPr>
        <w:pStyle w:val="BookText"/>
      </w:pPr>
      <w:r>
        <w:rPr>
          <w:rFonts w:ascii="IRNazanin" w:hAnsi="IRNazanin" w:eastAsia="IRNazanin" w:cs="IRNazanin"/>
          <w:lang w:bidi="fa-IR"/>
          <w:color w:val="111111"/>
          <w:sz w:val="28"/>
          <w:szCs w:val="28"/>
          <w:rtl/>
        </w:rPr>
        <w:t xml:space="preserve">۳۲. مشهد؛ رضوی؛ شماره نسخه:۴۱۷۷</w:t>
      </w:r>
    </w:p>
    <w:p>
      <w:pPr>
        <w:pStyle w:val="BookText"/>
      </w:pPr>
      <w:r>
        <w:rPr>
          <w:rFonts w:ascii="IRNazanin" w:hAnsi="IRNazanin" w:eastAsia="IRNazanin" w:cs="IRNazanin"/>
          <w:lang w:bidi="fa-IR"/>
          <w:color w:val="111111"/>
          <w:sz w:val="28"/>
          <w:szCs w:val="28"/>
          <w:rtl/>
        </w:rPr>
        <w:t xml:space="preserve">آغاز و انجام: برابر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نسخ، كا: محمد بن سبز على اصفهانی، تا: ۱۵ محرم ۱۲۳۵ق؛ واقف:نائینی؛ کاغذ: فرنگی آهار مهره، جلد: تیماج بنفش، ۲۰۰گ، ۲۰ سطر (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۲۱/۳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۷-۲۷]</w:t>
      </w:r>
    </w:p>
    <w:p>
      <w:pPr>
        <w:pStyle w:val="BookText"/>
      </w:pPr>
      <w:r>
        <w:rPr>
          <w:rFonts w:ascii="IRNazanin" w:hAnsi="IRNazanin" w:eastAsia="IRNazanin" w:cs="IRNazanin"/>
          <w:lang w:bidi="fa-IR"/>
          <w:color w:val="111111"/>
          <w:sz w:val="28"/>
          <w:szCs w:val="28"/>
          <w:rtl/>
        </w:rPr>
        <w:t xml:space="preserve">۳۳. تهران؛ ملی؛ شماره نسخه:۱۱۱۹</w:t>
      </w:r>
    </w:p>
    <w:p>
      <w:pPr>
        <w:pStyle w:val="BookText"/>
      </w:pPr>
      <w:r>
        <w:rPr>
          <w:rFonts w:ascii="IRNazanin" w:hAnsi="IRNazanin" w:eastAsia="IRNazanin" w:cs="IRNazanin"/>
          <w:lang w:bidi="fa-IR"/>
          <w:color w:val="111111"/>
          <w:sz w:val="28"/>
          <w:szCs w:val="28"/>
          <w:rtl/>
        </w:rPr>
        <w:t xml:space="preserve">آغاز: برابر؛ انجام: و الحمدلله على افضاله و نواله و صلى اله على نبينا محمد و اله و حسبنا الله و نعم الوکیل</w:t>
      </w:r>
    </w:p>
    <w:p>
      <w:pPr>
        <w:pStyle w:val="BookText"/>
      </w:pPr>
      <w:r>
        <w:rPr>
          <w:rFonts w:ascii="IRNazanin" w:hAnsi="IRNazanin" w:eastAsia="IRNazanin" w:cs="IRNazanin"/>
          <w:lang w:bidi="fa-IR"/>
          <w:color w:val="111111"/>
          <w:sz w:val="28"/>
          <w:szCs w:val="28"/>
          <w:rtl/>
        </w:rPr>
        <w:t xml:space="preserve">خط: نسخ، كا: ابن محمد باقر خوسکاراتی، تا: رمضان ۱۲۳۵ق، جا: دارالسلطنه اصفهان؛ مجدول؛ کاغذ: فرنگی، جلد: روغنی بوم مشکی با ترنج و نیم ترنج و گل بوته نقاشی، ۲۱۶گ، ۲۳ سطر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۲۰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۳-۱۳۹]</w:t>
      </w:r>
    </w:p>
    <w:p>
      <w:pPr>
        <w:pStyle w:val="BookText"/>
      </w:pPr>
      <w:r>
        <w:rPr>
          <w:rFonts w:ascii="Amiri" w:hAnsi="Amiri" w:eastAsia="Amiri" w:cs="Amiri"/>
          <w:lang w:bidi="ar-SA"/>
          <w:color w:val="111111"/>
          <w:sz w:val="28"/>
          <w:szCs w:val="28"/>
          <w:rtl/>
        </w:rPr>
        <w:t xml:space="preserve">۳۴. تهران؛ مجلس؛ شماره نسخه:۲۱۴- فيروز</w:t>
      </w:r>
    </w:p>
    <w:p>
      <w:pPr>
        <w:pStyle w:val="BookText"/>
      </w:pPr>
      <w:r>
        <w:rPr>
          <w:rFonts w:ascii="IRNazanin" w:hAnsi="IRNazanin" w:eastAsia="IRNazanin" w:cs="IRNazanin"/>
          <w:lang w:bidi="fa-IR"/>
          <w:color w:val="111111"/>
          <w:sz w:val="28"/>
          <w:szCs w:val="28"/>
          <w:rtl/>
        </w:rPr>
        <w:t xml:space="preserve">خط: نسخ و نستعلیق، كا: موسی بهشتی، تا: ۱۲۵۵ق؛ مجدول مذهب؛ کاغذ: فرنگی شکری رنگ، جلد: تیماج قرمز با ترنج و نیم و لچکی مذهب، ۴۹۲ص، ۲۱ سطر، قطع: نیم خشتی، اندازه: ۲۷/۵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۲۱-۲۳]</w:t>
      </w:r>
    </w:p>
    <w:p>
      <w:pPr>
        <w:pStyle w:val="BookText"/>
      </w:pPr>
      <w:r>
        <w:rPr>
          <w:rFonts w:ascii="IRNazanin" w:hAnsi="IRNazanin" w:eastAsia="IRNazanin" w:cs="IRNazanin"/>
          <w:lang w:bidi="fa-IR"/>
          <w:color w:val="111111"/>
          <w:sz w:val="28"/>
          <w:szCs w:val="28"/>
          <w:rtl/>
        </w:rPr>
        <w:t xml:space="preserve">۳۵. تهران؛ مجلس؛ شماره نسخه: ۸۲۱۲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كا: عبد الحسين بن عبدالوهاب، تا: چهارشنبه ۲۸ رمضان ۱۲۶۱ ق، به درخواست میرزا ابوالحسن خان؛ جلد: تیماج مشکی،۳۱۵گ، ۱۷ سطر، اندازه: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w:t>
      </w:r>
    </w:p>
    <w:p>
      <w:pPr>
        <w:pStyle w:val="BookText"/>
      </w:pPr>
      <w:r>
        <w:rPr>
          <w:rFonts w:ascii="IRNazanin" w:hAnsi="IRNazanin" w:eastAsia="IRNazanin" w:cs="IRNazanin"/>
          <w:lang w:bidi="fa-IR"/>
          <w:color w:val="111111"/>
          <w:sz w:val="28"/>
          <w:szCs w:val="28"/>
          <w:rtl/>
        </w:rPr>
        <w:t xml:space="preserve">[ف: ۲۷/۲ -۱۴]</w:t>
      </w:r>
    </w:p>
    <w:p>
      <w:pPr>
        <w:pStyle w:val="BookText"/>
      </w:pPr>
      <w:r>
        <w:rPr>
          <w:rFonts w:ascii="IRNazanin" w:hAnsi="IRNazanin" w:eastAsia="IRNazanin" w:cs="IRNazanin"/>
          <w:lang w:bidi="fa-IR"/>
          <w:color w:val="111111"/>
          <w:sz w:val="28"/>
          <w:szCs w:val="28"/>
          <w:rtl/>
        </w:rPr>
        <w:t xml:space="preserve">۳۶. قم؛ مرعشی؛ شماره نسخه:۱۱۰۵۵</w:t>
      </w:r>
    </w:p>
    <w:p>
      <w:pPr>
        <w:pStyle w:val="BookText"/>
      </w:pPr>
      <w:r>
        <w:rPr>
          <w:rFonts w:ascii="IRNazanin" w:hAnsi="IRNazanin" w:eastAsia="IRNazanin" w:cs="IRNazanin"/>
          <w:lang w:bidi="fa-IR"/>
          <w:color w:val="111111"/>
          <w:sz w:val="28"/>
          <w:szCs w:val="28"/>
          <w:rtl/>
        </w:rPr>
        <w:t xml:space="preserve">آغاز: شکم کوه پر پشم است و پشت دشت پر مرمر، لبس الشتاء من الجليد جلودا؛ انجام: برابر</w:t>
      </w:r>
    </w:p>
    <w:p>
      <w:pPr>
        <w:pStyle w:val="BookText"/>
      </w:pPr>
      <w:r>
        <w:rPr>
          <w:rFonts w:ascii="IRNazanin" w:hAnsi="IRNazanin" w:eastAsia="IRNazanin" w:cs="IRNazanin"/>
          <w:lang w:bidi="fa-IR"/>
          <w:color w:val="111111"/>
          <w:sz w:val="28"/>
          <w:szCs w:val="28"/>
          <w:rtl/>
        </w:rPr>
        <w:t xml:space="preserve">خط: شکسته نستعلیق و نسخ، كا: نظر علی بن محمد تقی زهرائی، تا: رمضان ۱۲۶۴ق، حسب امر نایب الصدر؛ افتادگی: آغاز محشی؛ کاغذ: فرنگی، جلد: تیماج قهوه ای مجدول، ۲۰۷گ، ۱۵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[ف: ۲۸-۸۰]</w:t>
      </w:r>
    </w:p>
    <w:p>
      <w:pPr>
        <w:pStyle w:val="BookText"/>
      </w:pPr>
      <w:r>
        <w:rPr>
          <w:rFonts w:ascii="IRNazanin" w:hAnsi="IRNazanin" w:eastAsia="IRNazanin" w:cs="IRNazanin"/>
          <w:lang w:bidi="fa-IR"/>
          <w:color w:val="111111"/>
          <w:sz w:val="28"/>
          <w:szCs w:val="28"/>
          <w:rtl/>
        </w:rPr>
        <w:t xml:space="preserve">۳۷. تهران: مجلس؛ شماره نسخه:۸۳۱۹</w:t>
      </w:r>
    </w:p>
    <w:p>
      <w:pPr>
        <w:pStyle w:val="BookText"/>
      </w:pPr>
      <w:r>
        <w:rPr>
          <w:rFonts w:ascii="IRNazanin" w:hAnsi="IRNazanin" w:eastAsia="IRNazanin" w:cs="IRNazanin"/>
          <w:lang w:bidi="fa-IR"/>
          <w:color w:val="111111"/>
          <w:sz w:val="28"/>
          <w:szCs w:val="28"/>
          <w:rtl/>
        </w:rPr>
        <w:t xml:space="preserve">آغاز: شکسته و هماء روحانیت در پرتو خورشید الوهیت؛ انجام: برابر</w:t>
      </w:r>
    </w:p>
    <w:p>
      <w:pPr>
        <w:pStyle w:val="BookText"/>
      </w:pPr>
      <w:r>
        <w:rPr>
          <w:rFonts w:ascii="IRNazanin" w:hAnsi="IRNazanin" w:eastAsia="IRNazanin" w:cs="IRNazanin"/>
          <w:lang w:bidi="fa-IR"/>
          <w:color w:val="111111"/>
          <w:sz w:val="28"/>
          <w:szCs w:val="28"/>
          <w:rtl/>
        </w:rPr>
        <w:t xml:space="preserve">خط: نسخ چلیپا، بی کا، تا: ۱۲۶۶ق؛ افتادگی: آغاز؛ جلد: تیماج مشکی، ۱۷۸گ، ۱۷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سم [ف: ۲۷/۲ -۶۳]</w:t>
      </w:r>
    </w:p>
    <w:p>
      <w:pPr>
        <w:pStyle w:val="BookText"/>
      </w:pPr>
      <w:r>
        <w:rPr>
          <w:rFonts w:ascii="IRNazanin" w:hAnsi="IRNazanin" w:eastAsia="IRNazanin" w:cs="IRNazanin"/>
          <w:lang w:bidi="fa-IR"/>
          <w:color w:val="111111"/>
          <w:sz w:val="28"/>
          <w:szCs w:val="28"/>
          <w:rtl/>
        </w:rPr>
        <w:t xml:space="preserve">۳۸. تهران؛ دانشگاه؛ شماره نسخه: ۵۰۷۱</w:t>
      </w:r>
    </w:p>
    <w:p>
      <w:pPr>
        <w:pStyle w:val="BookText"/>
      </w:pPr>
      <w:r>
        <w:rPr>
          <w:rFonts w:ascii="IRNazanin" w:hAnsi="IRNazanin" w:eastAsia="IRNazanin" w:cs="IRNazanin"/>
          <w:lang w:bidi="fa-IR"/>
          <w:color w:val="111111"/>
          <w:sz w:val="28"/>
          <w:szCs w:val="28"/>
          <w:rtl/>
        </w:rPr>
        <w:t xml:space="preserve">خط: نسخ و نستعلیق، كا: موسی بن علی بن سلیمان بهشتی، تا: پایان جمادی الاول ۱۲۶۶ق؛ در دیباچه آن قصیده عینیه ابن سینا را گذارده؛ کاغذ: فرنگی، جلد: تیماج حنایی، ۲۳۴ ، ۱۵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قطع: وزیری، اندازه: ۱۸/۵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۲۸سم [ف: ۱۵-۴۱۰۳]</w:t>
      </w:r>
    </w:p>
    <w:p>
      <w:pPr>
        <w:pStyle w:val="BookText"/>
      </w:pPr>
      <w:r>
        <w:rPr>
          <w:rFonts w:ascii="IRNazanin" w:hAnsi="IRNazanin" w:eastAsia="IRNazanin" w:cs="IRNazanin"/>
          <w:lang w:bidi="fa-IR"/>
          <w:color w:val="111111"/>
          <w:sz w:val="28"/>
          <w:szCs w:val="28"/>
          <w:rtl/>
        </w:rPr>
        <w:t xml:space="preserve">۳۹. تهران؛ لغت نامه دهخدا؛ شماره نسخه:۱۹۲</w:t>
      </w:r>
    </w:p>
    <w:p>
      <w:pPr>
        <w:pStyle w:val="BookText"/>
      </w:pPr>
      <w:r>
        <w:rPr>
          <w:rFonts w:ascii="IRNazanin" w:hAnsi="IRNazanin" w:eastAsia="IRNazanin" w:cs="IRNazanin"/>
          <w:lang w:bidi="fa-IR"/>
          <w:color w:val="111111"/>
          <w:sz w:val="28"/>
          <w:szCs w:val="28"/>
          <w:rtl/>
        </w:rPr>
        <w:t xml:space="preserve">خط: نسخ، بی کا، تا: ۱۵ ربیع الثانی ۱۲۶۶ق؛ جلد: تیماج کبود ضربی مقوایی، رحلی</w:t>
      </w:r>
    </w:p>
    <w:p>
      <w:pPr>
        <w:pStyle w:val="BookText"/>
      </w:pPr>
      <w:r>
        <w:rPr>
          <w:rFonts w:ascii="IRNazanin" w:hAnsi="IRNazanin" w:eastAsia="IRNazanin" w:cs="IRNazanin"/>
          <w:lang w:bidi="fa-IR"/>
          <w:color w:val="111111"/>
          <w:sz w:val="28"/>
          <w:szCs w:val="28"/>
          <w:rtl/>
        </w:rPr>
        <w:t xml:space="preserve">[نشریه: ۳-۷]</w:t>
      </w:r>
    </w:p>
    <w:p>
      <w:pPr>
        <w:pStyle w:val="BookText"/>
      </w:pPr>
      <w:r>
        <w:rPr>
          <w:rFonts w:ascii="IRNazanin" w:hAnsi="IRNazanin" w:eastAsia="IRNazanin" w:cs="IRNazanin"/>
          <w:lang w:bidi="fa-IR"/>
          <w:color w:val="111111"/>
          <w:sz w:val="28"/>
          <w:szCs w:val="28"/>
          <w:rtl/>
        </w:rPr>
        <w:t xml:space="preserve">۴۰. تهران، ملک؛ شماره نسخه:۳۸۱۷</w:t>
      </w:r>
    </w:p>
    <w:p>
      <w:pPr>
        <w:pStyle w:val="BookText"/>
      </w:pPr>
      <w:r>
        <w:rPr>
          <w:rFonts w:ascii="IRNazanin" w:hAnsi="IRNazanin" w:eastAsia="IRNazanin" w:cs="IRNazanin"/>
          <w:lang w:bidi="fa-IR"/>
          <w:color w:val="111111"/>
          <w:sz w:val="28"/>
          <w:szCs w:val="28"/>
          <w:rtl/>
        </w:rPr>
        <w:t xml:space="preserve">خط: شکسته، نستعلیق، کا: جلال الدین قزوینی، تا: ربيع الأول ۱۲۷۱ق، جا: قريه ورگیل رودبار قزوین؛ کاغذ: کاغذ فرنگی آهار مهره، جلد: میشن لایی پشمی، ۱۶۹گ، ۱۹ سطر، اندازه: ۱۶/۲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۲۱/۷سم [ف: ۲-۷۲]</w:t>
      </w:r>
    </w:p>
    <w:p>
      <w:pPr>
        <w:pStyle w:val="BookText"/>
      </w:pPr>
      <w:r>
        <w:rPr>
          <w:rFonts w:ascii="IRNazanin" w:hAnsi="IRNazanin" w:eastAsia="IRNazanin" w:cs="IRNazanin"/>
          <w:lang w:bidi="fa-IR"/>
          <w:color w:val="111111"/>
          <w:sz w:val="28"/>
          <w:szCs w:val="28"/>
          <w:rtl/>
        </w:rPr>
        <w:t xml:space="preserve">۴۱. تهران؛ ادبیات؛ شماره نسخه:۱۰۸ -ب</w:t>
      </w:r>
    </w:p>
    <w:p>
      <w:pPr>
        <w:pStyle w:val="BookText"/>
      </w:pPr>
      <w:r>
        <w:rPr>
          <w:rFonts w:ascii="IRNazanin" w:hAnsi="IRNazanin" w:eastAsia="IRNazanin" w:cs="IRNazanin"/>
          <w:lang w:bidi="fa-IR"/>
          <w:color w:val="111111"/>
          <w:sz w:val="28"/>
          <w:szCs w:val="28"/>
          <w:rtl/>
        </w:rPr>
        <w:t xml:space="preserve">آغاز و انجام: برابر خط شکسته نستعلیق، بی کا، تا: ۱۲۸۲ق، کاغذ: فرنگی، جلد: تیماج زرکوب، ۱۶۸، ۱۷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۱-۵۵]</w:t>
      </w:r>
    </w:p>
    <w:p>
      <w:pPr>
        <w:pStyle w:val="BookText"/>
      </w:pPr>
      <w:r>
        <w:rPr>
          <w:rFonts w:ascii="IRNazanin" w:hAnsi="IRNazanin" w:eastAsia="IRNazanin" w:cs="IRNazanin"/>
          <w:lang w:bidi="fa-IR"/>
          <w:color w:val="111111"/>
          <w:sz w:val="28"/>
          <w:szCs w:val="28"/>
          <w:rtl/>
        </w:rPr>
        <w:t xml:space="preserve">۴۲. تهران؛ ملی؛ شماره نسخه: ۱۳۲۳/۱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عبدالله بن ابراهیم، تا: ۱۲۸۲ق؛ کاغذ: فرنگی، جلد: تیماج مشکی، ۳۸۳ص، ۲۵ سطر (۱۰/۵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۲۲/۵ )، اندازه: ۷۲۰ ۳۲/۵ سم [ف: ۳-۳۸۵]</w:t>
      </w:r>
    </w:p>
    <w:p>
      <w:pPr>
        <w:pStyle w:val="BookText"/>
      </w:pPr>
      <w:r>
        <w:rPr>
          <w:rFonts w:ascii="IRNazanin" w:hAnsi="IRNazanin" w:eastAsia="IRNazanin" w:cs="IRNazanin"/>
          <w:lang w:bidi="fa-IR"/>
          <w:color w:val="111111"/>
          <w:sz w:val="28"/>
          <w:szCs w:val="28"/>
          <w:rtl/>
        </w:rPr>
        <w:t xml:space="preserve">۴۳. تهران: دانشگاه؛ شماره نسخه: ۸۴۶۳</w:t>
      </w:r>
    </w:p>
    <w:p>
      <w:pPr>
        <w:pStyle w:val="BookText"/>
      </w:pPr>
      <w:r>
        <w:rPr>
          <w:rFonts w:ascii="IRNazanin" w:hAnsi="IRNazanin" w:eastAsia="IRNazanin" w:cs="IRNazanin"/>
          <w:lang w:bidi="fa-IR"/>
          <w:color w:val="111111"/>
          <w:sz w:val="28"/>
          <w:szCs w:val="28"/>
          <w:rtl/>
        </w:rPr>
        <w:t xml:space="preserve">خط: نستعلیق، بی کا، تا: ۸ ربیع الثانی ۱۲۸۵ق (نیمه دوم)؛ کاغذ: فرنگی رنگارنگی آهار مهره، جلد: تیماج سرخ ضربی ترنجی مقوایی، ۲۷۱گ، ۱۱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قطع: ربعی [ف: ۱۷-۱۴۰]</w:t>
      </w:r>
    </w:p>
    <w:p>
      <w:pPr>
        <w:pStyle w:val="BookText"/>
      </w:pPr>
      <w:r>
        <w:rPr>
          <w:rFonts w:ascii="IRNazanin" w:hAnsi="IRNazanin" w:eastAsia="IRNazanin" w:cs="IRNazanin"/>
          <w:lang w:bidi="fa-IR"/>
          <w:color w:val="111111"/>
          <w:sz w:val="28"/>
          <w:szCs w:val="28"/>
          <w:rtl/>
        </w:rPr>
        <w:t xml:space="preserve">۴۴. اصفهان؛ جابری انصاری: شماره نسخه:۱۵</w:t>
      </w:r>
    </w:p>
    <w:p>
      <w:pPr>
        <w:pStyle w:val="BookText"/>
      </w:pPr>
      <w:r>
        <w:rPr>
          <w:rFonts w:ascii="IRNazanin" w:hAnsi="IRNazanin" w:eastAsia="IRNazanin" w:cs="IRNazanin"/>
          <w:lang w:bidi="fa-IR"/>
          <w:color w:val="111111"/>
          <w:sz w:val="28"/>
          <w:szCs w:val="28"/>
          <w:rtl/>
        </w:rPr>
        <w:t xml:space="preserve">خط: نستعلیق، كا: میرزا صادق خان مشار دیوان، تا: ۱۲۸۵ق؛ با تصحیحات و تفاسیر لغات از حاجی میرزا علی ولد یادداشت کننده: میرزا حسن انصاری، مورخ ۱۳۲۴، یادداشت صلح کتب به اولاد و مهر صدر الأدباء [نشریه: ۶-۵۹۴]</w:t>
      </w:r>
    </w:p>
    <w:p>
      <w:pPr>
        <w:pStyle w:val="BookText"/>
      </w:pPr>
      <w:r>
        <w:rPr>
          <w:rFonts w:ascii="IRNazanin" w:hAnsi="IRNazanin" w:eastAsia="IRNazanin" w:cs="IRNazanin"/>
          <w:lang w:bidi="fa-IR"/>
          <w:color w:val="111111"/>
          <w:sz w:val="28"/>
          <w:szCs w:val="28"/>
          <w:rtl/>
        </w:rPr>
        <w:t xml:space="preserve">۴۵. تهران؛ سلطنتی؛ شماره نسخه: ۱۹۱۱</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شکسته نستعلیق و نسخ، كا: امین الله المحرر، تا: شنبه ۲۲ شوال ۱۲۸۷ق؛ مجدول، دو کتیبه، یک نیم ترنج لچکی مذهب مختصر به سبک</w:t>
      </w:r>
    </w:p>
    <w:p>
      <w:pPr>
        <w:pStyle w:val="BookText"/>
      </w:pPr>
      <w:r>
        <w:rPr>
          <w:rFonts w:ascii="IRNazanin" w:hAnsi="IRNazanin" w:eastAsia="IRNazanin" w:cs="IRNazanin"/>
          <w:lang w:bidi="fa-IR"/>
          <w:color w:val="111111"/>
          <w:sz w:val="28"/>
          <w:szCs w:val="28"/>
          <w:rtl/>
        </w:rPr>
        <w:t xml:space="preserve">هند، این نسخه به سال های ۱۲۸۲ و ۱۳۲۲ به ترتیب از عرض گذشته؛ مهر: میرزا محمود، ناصرالدین شاه قاجار؛ کاغذ: فستقی، جلد: مقوای روکش چرم لاکی رنگ، ۵۱۰ص، 19 سطر، قطع: وزیری،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۵-۴۲]</w:t>
      </w:r>
    </w:p>
    <w:p>
      <w:pPr>
        <w:pStyle w:val="BookText"/>
      </w:pPr>
      <w:r>
        <w:rPr>
          <w:rFonts w:ascii="IRNazanin" w:hAnsi="IRNazanin" w:eastAsia="IRNazanin" w:cs="IRNazanin"/>
          <w:lang w:bidi="fa-IR"/>
          <w:color w:val="111111"/>
          <w:sz w:val="28"/>
          <w:szCs w:val="28"/>
          <w:rtl/>
        </w:rPr>
        <w:t xml:space="preserve">۴۶. قم؛ مسجد اعظم؛ شماره نسخه:۱۸۱۵</w:t>
      </w:r>
    </w:p>
    <w:p>
      <w:pPr>
        <w:pStyle w:val="BookText"/>
      </w:pPr>
      <w:r>
        <w:rPr>
          <w:rFonts w:ascii="IRNazanin" w:hAnsi="IRNazanin" w:eastAsia="IRNazanin" w:cs="IRNazanin"/>
          <w:lang w:bidi="fa-IR"/>
          <w:color w:val="111111"/>
          <w:sz w:val="28"/>
          <w:szCs w:val="28"/>
          <w:rtl/>
        </w:rPr>
        <w:t xml:space="preserve">آغاز و انجام: برابر خط: نستعلیق، بی کا، تا: جمادی الاول ۱۳۱۰ق؛ جلد: تیماج قهوه ای با ترنج و سر، مجدول، ۱۶۷گ، ۱۹ سطر، اندازه: ۲۷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مخ: ۱-۳۰۱]</w:t>
      </w:r>
    </w:p>
    <w:p>
      <w:pPr>
        <w:pStyle w:val="BookText"/>
      </w:pPr>
      <w:r>
        <w:rPr>
          <w:rFonts w:ascii="IRNazanin" w:hAnsi="IRNazanin" w:eastAsia="IRNazanin" w:cs="IRNazanin"/>
          <w:lang w:bidi="fa-IR"/>
          <w:color w:val="111111"/>
          <w:sz w:val="28"/>
          <w:szCs w:val="28"/>
          <w:rtl/>
        </w:rPr>
        <w:t xml:space="preserve">۴۷. تهران؛ مجلس؛ شماره نسخه:۳۲۰۱/۱۵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كا: تفرشی، بیتا؛ در حاشیه و متن، راسته و چلیپا؛ کاغذ: فرنگی، جلد: مقوایی با عطف تیماج زرشکی، ۹۹ ص (۲۰۶-۳۰۴)، قطع: رحلی، اندازه: ۴۱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۱۰-۷۸۴]</w:t>
      </w:r>
    </w:p>
    <w:p>
      <w:pPr>
        <w:pStyle w:val="BookText"/>
      </w:pPr>
      <w:r>
        <w:rPr>
          <w:rFonts w:ascii="IRNazanin" w:hAnsi="IRNazanin" w:eastAsia="IRNazanin" w:cs="IRNazanin"/>
          <w:lang w:bidi="fa-IR"/>
          <w:color w:val="111111"/>
          <w:sz w:val="28"/>
          <w:szCs w:val="28"/>
          <w:rtl/>
        </w:rPr>
        <w:t xml:space="preserve">۴۸. تهران: دانشگاه؛ شماره نسخه:۲۰۵-ف</w:t>
      </w:r>
    </w:p>
    <w:p>
      <w:pPr>
        <w:pStyle w:val="BookText"/>
      </w:pPr>
      <w:r>
        <w:rPr>
          <w:rFonts w:ascii="IRNazanin" w:hAnsi="IRNazanin" w:eastAsia="IRNazanin" w:cs="IRNazanin"/>
          <w:lang w:bidi="fa-IR"/>
          <w:color w:val="111111"/>
          <w:sz w:val="28"/>
          <w:szCs w:val="28"/>
          <w:rtl/>
        </w:rPr>
        <w:t xml:space="preserve">نسخه اصل: رئيس الكتاب ش ۶۰۱؛ بی کا، بی تا؛ ۲۱۰گ [فيلمها ف: ۱-۲۷]</w:t>
      </w:r>
    </w:p>
    <w:p>
      <w:pPr>
        <w:pStyle w:val="BookText"/>
      </w:pPr>
      <w:r>
        <w:rPr>
          <w:rFonts w:ascii="IRNazanin" w:hAnsi="IRNazanin" w:eastAsia="IRNazanin" w:cs="IRNazanin"/>
          <w:lang w:bidi="fa-IR"/>
          <w:color w:val="111111"/>
          <w:sz w:val="28"/>
          <w:szCs w:val="28"/>
          <w:rtl/>
        </w:rPr>
        <w:t xml:space="preserve">۴۹. تهران؛ مجلس؛ شماره نسخه: ۱۳۸۷۵/۱۸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350" w:name="pg20363_209628"/>
    <w:bookmarkEnd w:id="350"/>
    <w:p>
      <w:pPr>
        <w:pStyle w:val="BookText"/>
      </w:pPr>
      <w:r>
        <w:rPr>
          <w:rFonts w:ascii="IRNazanin" w:hAnsi="IRNazanin" w:eastAsia="IRNazanin" w:cs="IRNazanin"/>
          <w:lang w:bidi="fa-IR"/>
          <w:color w:val="111111"/>
          <w:sz w:val="28"/>
          <w:szCs w:val="28"/>
          <w:rtl/>
        </w:rPr>
        <w:t xml:space="preserve">بخش هایی منتخب از این کتاب، با این موضوعات: في صفت، الليل، گرما، سحابو رعد و برق و مطر، الصيف و الحرارة، المغنی، الصبح، طلوع شمس، الربيع والرياحين و الازهار، خریف، روضه، رمح، القمه، عطارد، شمس، زهره، مریخ، مشتری، در بیان محاسن کتاب تاج المآثر؛ خط: نستعلیق، بی کا، بی تا؛ جلد: مقوایی عطف و گوشه تیماج قهوه ای، ۲۰گ (۷۲پ-۹۱ر) [ف: ۳۷-۴۴۵]</w:t>
      </w:r>
    </w:p>
    <w:p>
      <w:pPr>
        <w:pStyle w:val="BookText"/>
      </w:pPr>
      <w:r>
        <w:rPr>
          <w:rFonts w:ascii="IRNazanin" w:hAnsi="IRNazanin" w:eastAsia="IRNazanin" w:cs="IRNazanin"/>
          <w:lang w:bidi="fa-IR"/>
          <w:color w:val="111111"/>
          <w:sz w:val="28"/>
          <w:szCs w:val="28"/>
          <w:rtl/>
        </w:rPr>
        <w:t xml:space="preserve">۵۰. تهران؛ سلطنتی؛ شماره نسخه:۴۸۳</w:t>
      </w:r>
    </w:p>
    <w:p>
      <w:pPr>
        <w:pStyle w:val="BookText"/>
      </w:pPr>
      <w:r>
        <w:rPr>
          <w:rFonts w:ascii="IRNazanin" w:hAnsi="IRNazanin" w:eastAsia="IRNazanin" w:cs="IRNazanin"/>
          <w:lang w:bidi="fa-IR"/>
          <w:color w:val="111111"/>
          <w:sz w:val="28"/>
          <w:szCs w:val="28"/>
          <w:rtl/>
        </w:rPr>
        <w:t xml:space="preserve">آغاز: نه دست مهندس فکر و نظر بد لعن کبریا و علا آوردند و نه پای طلب سیاح وهم و خیال بساحت عز و جلال او راه یابند؛ انجام: و روی آینه مقرون از زنگ و غبار خطر سیاه و تاریک دید و راه خلاص و نجاة ضيق من بياض الميم و صدر البيبم یافت و ببديهة رای بی اعمال فکرت دانست که در میدان جنگ تاب مقاومت ندارد ... از ابتدا و انتهای نسخه صفحاتی ساقط است.</w:t>
      </w:r>
    </w:p>
    <w:p>
      <w:pPr>
        <w:pStyle w:val="BookText"/>
      </w:pPr>
      <w:r>
        <w:rPr>
          <w:rFonts w:ascii="IRNazanin" w:hAnsi="IRNazanin" w:eastAsia="IRNazanin" w:cs="IRNazanin"/>
          <w:lang w:bidi="fa-IR"/>
          <w:color w:val="111111"/>
          <w:sz w:val="28"/>
          <w:szCs w:val="28"/>
          <w:rtl/>
        </w:rPr>
        <w:t xml:space="preserve">خط: نسخ، بی کا، بی تا؛ افتادگی: آغاز و انجام؛ مجدول، یک نیم ترنج لچکی مذهب مختصر به سبک هند، بسال های ۱۲۸۲ و ۱۳۲۲ به ترتیب از عرض گذشته؛ مهر: میرزا محمود، ناصر الدین شاه قاجار؛ کاغذ: کشمیری ضخیم نخودی، جلد: مقوای روکش چرم ساغری مشکی با ترنج و سرترنج و شاخ و برگ زرین، ۴۶۵ص، ۲۰ سطر، قطع: وزیری کوچک، اندازه: ۲۳۶۱۶سم [ف: ۳۶-۵ ]</w:t>
      </w:r>
    </w:p>
    <w:p>
      <w:pPr>
        <w:pStyle w:val="BookText"/>
      </w:pPr>
      <w:r>
        <w:rPr>
          <w:rFonts w:ascii="IRNazanin" w:hAnsi="IRNazanin" w:eastAsia="IRNazanin" w:cs="IRNazanin"/>
          <w:lang w:bidi="fa-IR"/>
          <w:color w:val="111111"/>
          <w:sz w:val="28"/>
          <w:szCs w:val="28"/>
          <w:rtl/>
        </w:rPr>
        <w:t xml:space="preserve">۵۱. تهران؛ مجلس؛ شماره نسخه: ۱۳۰۳/۱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بی تا [ف: ۲۴/۲ -۲۰۱)</w:t>
      </w:r>
    </w:p>
    <w:p>
      <w:pPr>
        <w:pStyle w:val="BookText"/>
      </w:pPr>
      <w:r>
        <w:rPr>
          <w:rFonts w:ascii="IRNazanin" w:hAnsi="IRNazanin" w:eastAsia="IRNazanin" w:cs="IRNazanin"/>
          <w:lang w:bidi="fa-IR"/>
          <w:color w:val="111111"/>
          <w:sz w:val="28"/>
          <w:szCs w:val="28"/>
          <w:rtl/>
        </w:rPr>
        <w:t xml:space="preserve">۵۲. تهران؛ خاکپور، اسدالله (خاندان)؛ شماره نسخه:۵</w:t>
      </w:r>
    </w:p>
    <w:p>
      <w:pPr>
        <w:pStyle w:val="BookText"/>
      </w:pPr>
      <w:r>
        <w:rPr>
          <w:rFonts w:ascii="IRNazanin" w:hAnsi="IRNazanin" w:eastAsia="IRNazanin" w:cs="IRNazanin"/>
          <w:lang w:bidi="fa-IR"/>
          <w:color w:val="111111"/>
          <w:sz w:val="28"/>
          <w:szCs w:val="28"/>
          <w:rtl/>
        </w:rPr>
        <w:t xml:space="preserve">بی کا، بی تا [نشریه: ۷-۵۶۶]</w:t>
      </w:r>
    </w:p>
    <w:p>
      <w:pPr>
        <w:pStyle w:val="Heading3"/>
      </w:pPr>
      <w:bookmarkStart w:id="1921" w:name="_Toc1181"/>
      <w:r>
        <w:t>• تاج المآثر (مختصر) / تاریخ اسلام / فارسی</w:t>
      </w:r>
      <w:bookmarkEnd w:id="1921"/>
    </w:p>
    <w:p>
      <w:pPr>
        <w:pStyle w:val="BookText"/>
      </w:pPr>
      <w:r>
        <w:rPr>
          <w:rFonts w:ascii="Times New Roman" w:hAnsi="Times New Roman" w:eastAsia="Times New Roman" w:cs="Times New Roman"/>
          <w:lang w:val="en-US" w:bidi="en-US"/>
          <w:color w:val="111111"/>
          <w:sz w:val="28"/>
          <w:szCs w:val="28"/>
          <w:rtl/>
        </w:rPr>
        <w:t xml:space="preserve">taj-ul ma'atir (muxtasar)</w:t>
      </w:r>
    </w:p>
    <w:p>
      <w:pPr>
        <w:pStyle w:val="BookText"/>
      </w:pPr>
      <w:r>
        <w:rPr>
          <w:rFonts w:ascii="IRNazanin" w:hAnsi="IRNazanin" w:eastAsia="IRNazanin" w:cs="IRNazanin"/>
          <w:lang w:bidi="fa-IR"/>
          <w:color w:val="111111"/>
          <w:sz w:val="28"/>
          <w:szCs w:val="28"/>
          <w:rtl/>
        </w:rPr>
        <w:t xml:space="preserve">سپهر کاشانی، عباسقلی بن محمد تقی، ۱۲۶۸-۱۳۴۲ قمری</w:t>
      </w:r>
    </w:p>
    <w:p>
      <w:pPr>
        <w:pStyle w:val="BookText"/>
      </w:pPr>
      <w:r>
        <w:rPr>
          <w:rFonts w:ascii="Times New Roman" w:hAnsi="Times New Roman" w:eastAsia="Times New Roman" w:cs="Times New Roman"/>
          <w:lang w:val="en-US" w:bidi="en-US"/>
          <w:color w:val="111111"/>
          <w:sz w:val="28"/>
          <w:szCs w:val="28"/>
          <w:rtl/>
        </w:rPr>
        <w:t xml:space="preserve">sepehr-e kāšānī, “abbās-qolī ebn-e mohammad taqī (1852-1924)</w:t>
      </w:r>
    </w:p>
    <w:p>
      <w:pPr>
        <w:pStyle w:val="BookText"/>
      </w:pPr>
      <w:r>
        <w:rPr>
          <w:rFonts w:ascii="IRNazanin" w:hAnsi="IRNazanin" w:eastAsia="IRNazanin" w:cs="IRNazanin"/>
          <w:lang w:bidi="fa-IR"/>
          <w:color w:val="111111"/>
          <w:sz w:val="28"/>
          <w:szCs w:val="28"/>
          <w:rtl/>
        </w:rPr>
        <w:t xml:space="preserve">وابسته به: تاج المآثر؛ نظامی نیشابوری، حسن بن محمد (-۶۲۶) اهدا به: مظفرالدین شاه تاريخ تأليف: ۱۳۱۴ق</w:t>
      </w:r>
    </w:p>
    <w:p>
      <w:pPr>
        <w:pStyle w:val="BookText"/>
      </w:pPr>
      <w:r>
        <w:rPr>
          <w:rFonts w:ascii="IRNazanin" w:hAnsi="IRNazanin" w:eastAsia="IRNazanin" w:cs="IRNazanin"/>
          <w:lang w:bidi="fa-IR"/>
          <w:color w:val="111111"/>
          <w:sz w:val="28"/>
          <w:szCs w:val="28"/>
          <w:rtl/>
        </w:rPr>
        <w:t xml:space="preserve">مؤلف پس از تلخیص تاریخ اکبری در ۱۳۱۲، بر حسب فرمان مظفر الدین به تحریر تاج المآثر حسن نظامی (تاریخ سلسله غوریان) پرداخت و در مدت هیجده روز آن را به پایان رسانید و (مانند کتاب سابق) انگشتری برلیان دیگری پاداش گرفت. در آغاز این تلخيص، تاریخچه کوتاه و مختصری از حالات فرمانروایان غور به نقل از مراصد الاطلاع یاقوت حموی ثبت کرده است. سپهر پیش از آغاز در پیشگفتار تحریر تاج المآثر گفتاری به مناسبت تلخیص این کتاب و کتاب اکبر نامه دارد و در این گفتار شیوه خود را در تلخيص تاج المآثر و نیز ارزش ادبی آن کتاب را باز می کند. اینک بخشی از سخن او: «بفرمود کتاب ... تاج المآثر را که از تأليفات ... ادیب جامع ... شیخ حسن نظامی نیشابوری و محتوی بر مجاری ایام ... بعضی از سلاطین غور است که در پاره ای از صفحات هندوستان ... بوده و در سال شش صد و دوازده هجری نگارش آن شروع شده و در مراسم عدل و داد ... و رموز مملکت داری و رعیت نوازی و رسوم رزم و بزم ... و طرق معرفت و توحید ... و بلاغت و انشاء پردازی و سخن سازی را نمودار ساخته و سخن خود را در آن اندراج داده بعباراتی روشن و آشکار در حیز تحریر و اختصار ... و از اشعار فصاحت آثار مسطوره اش نیز آنچه شاهد مطلوب ... رقم بدارد تا مطالب تاریخی آن که در بحار درر الفاظ بديعه ... و تلفيقات انيقه و تنميقات رشيقه مستغرق افتاده چون گوهر از صدف و لعل از كان بیرون آرد تا اهل مطالعت را بدون زحمت و تعطیل وقت و ذهاب فرصت بچنگ آید ... در مدت هیجده روز ... فراغت یافت».</w:t>
      </w:r>
    </w:p>
    <w:p>
      <w:pPr>
        <w:pStyle w:val="BookText"/>
      </w:pPr>
      <w:r>
        <w:rPr>
          <w:rFonts w:ascii="IRNazanin" w:hAnsi="IRNazanin" w:eastAsia="IRNazanin" w:cs="IRNazanin"/>
          <w:lang w:bidi="fa-IR"/>
          <w:color w:val="111111"/>
          <w:sz w:val="28"/>
          <w:szCs w:val="28"/>
          <w:rtl/>
        </w:rPr>
        <w:t xml:space="preserve">آغاز: آغاز مقدمه: بسمله بیان عزیمت ابوالمظفر معز الدين محمد بن سام ... به فتح ممالک هندوستان بنده خداوند ماه و مهر چاکر شاهنشاه تابنده چهر عباسقلی سپهر که حسب الامر به.. خلاصه ... کتاب مستطاب. تاج المآثر مامور و مفاخر است از نخست به مختصری از حالات فرمانگذاران غور اشارت می نهد.</w:t>
      </w:r>
    </w:p>
    <w:p>
      <w:pPr>
        <w:pStyle w:val="BookText"/>
      </w:pPr>
      <w:r>
        <w:rPr>
          <w:rFonts w:ascii="IRNazanin" w:hAnsi="IRNazanin" w:eastAsia="IRNazanin" w:cs="IRNazanin"/>
          <w:lang w:bidi="fa-IR"/>
          <w:color w:val="111111"/>
          <w:sz w:val="28"/>
          <w:szCs w:val="28"/>
          <w:rtl/>
        </w:rPr>
        <w:t xml:space="preserve">آغاز تلخیص: اکنون بخواست خدای قادر به خلاصه تاج المآثر شروع میشود بیان حرکت موكب معزالدین ابوالمظفر محمد بن سام بن حسين بعز و اجمیر جهانیان به مشاهدت و معاینت دریافته اند که تا ممالک جهان بعز سلطنت سلطان السلاطين ... ناصر امیر المؤمنین زیب و آیین بگرفته ملک و ملت را پایه جاه و جلال و عز و اقبال بر تارک کیوان جای داده. [دنا ۶۶۰/۲ ؛ فهرستواره منزوی ۸۳۵/۲ ]</w:t>
      </w:r>
    </w:p>
    <w:p>
      <w:pPr>
        <w:pStyle w:val="BookText"/>
      </w:pPr>
      <w:r>
        <w:rPr>
          <w:rFonts w:ascii="IRNazanin" w:hAnsi="IRNazanin" w:eastAsia="IRNazanin" w:cs="IRNazanin"/>
          <w:lang w:bidi="fa-IR"/>
          <w:color w:val="111111"/>
          <w:sz w:val="28"/>
          <w:szCs w:val="28"/>
          <w:rtl/>
        </w:rPr>
        <w:t xml:space="preserve">تهران؛ مجلس؛ شماره نسخه:۵۷۵۹/۲</w:t>
      </w:r>
    </w:p>
    <w:p>
      <w:pPr>
        <w:pStyle w:val="BookText"/>
      </w:pPr>
      <w:r>
        <w:rPr>
          <w:rFonts w:ascii="IRNazanin" w:hAnsi="IRNazanin" w:eastAsia="IRNazanin" w:cs="IRNazanin"/>
          <w:lang w:bidi="fa-IR"/>
          <w:color w:val="111111"/>
          <w:sz w:val="28"/>
          <w:szCs w:val="28"/>
          <w:rtl/>
        </w:rPr>
        <w:t xml:space="preserve">آغاز: برابر؛ انجام: فلک خواند مديح او چو گیرد جام در مجلس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ملک سوزد سپند او چو بازد گوی در میدان آگهی از مشتری بازد بدولت گوی و چوگان را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گهی از ماه نو سازد بهمت گوی را چوگان. لله الحمد و المنه که در نیمه روز جمعه بیست و پنجم شهر شعبان سال یکهزار و سیصد و چهارده ... که چهل و هشت روز بعید نوروز ... امانده است این کمتر بنده ... عباسقلی سپهر بر حسب فرمان ... مظفر الدین پادشاه قاجار ... از نگارش خلاصه کتاب المآثر فراغت یافت و چنین کتابی بلاغت آیت را ... به آنطور که از مصدر سلطنت اشارت یافت در چنین مدتی قلیل که اغلب اوقاتش به دیگر مشاغل ... میگذشت در حیز اختصار در آورد بیشتر اشعار شاهوارش را که از فصحای شعراء عجم است ... و پاره ای مضامین ... مؤلف را مرقوم ... نمود.</w:t>
      </w:r>
    </w:p>
    <w:p>
      <w:pPr>
        <w:pStyle w:val="BookText"/>
      </w:pPr>
      <w:r>
        <w:rPr>
          <w:rFonts w:ascii="IRNazanin" w:hAnsi="IRNazanin" w:eastAsia="IRNazanin" w:cs="IRNazanin"/>
          <w:lang w:bidi="fa-IR"/>
          <w:color w:val="111111"/>
          <w:sz w:val="28"/>
          <w:szCs w:val="28"/>
          <w:rtl/>
        </w:rPr>
        <w:t xml:space="preserve">خط شکسته تحریری، کاتب = مؤلف، تا: ۱۳۱۴ق؛ کاغذ: فرنگی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351" w:name="pg20363_209629"/>
    <w:bookmarkEnd w:id="351"/>
    <w:p>
      <w:pPr>
        <w:pStyle w:val="BookText"/>
      </w:pPr>
      <w:r>
        <w:rPr>
          <w:rFonts w:ascii="IRNazanin" w:hAnsi="IRNazanin" w:eastAsia="IRNazanin" w:cs="IRNazanin"/>
          <w:lang w:bidi="fa-IR"/>
          <w:color w:val="111111"/>
          <w:sz w:val="28"/>
          <w:szCs w:val="28"/>
          <w:rtl/>
        </w:rPr>
        <w:t xml:space="preserve">شکری، جلد: تیماج سبز ضربی، ۸۹ص (۲۹۶-۳۸۴)، ۲۵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w:t>
      </w:r>
    </w:p>
    <w:p>
      <w:pPr>
        <w:pStyle w:val="BookText"/>
      </w:pPr>
      <w:r>
        <w:rPr>
          <w:rFonts w:ascii="IRNazanin" w:hAnsi="IRNazanin" w:eastAsia="IRNazanin" w:cs="IRNazanin"/>
          <w:lang w:bidi="fa-IR"/>
          <w:color w:val="111111"/>
          <w:sz w:val="28"/>
          <w:szCs w:val="28"/>
          <w:rtl/>
        </w:rPr>
        <w:t xml:space="preserve">[ف: ۱۷-۱۹۷]</w:t>
      </w:r>
    </w:p>
    <w:p>
      <w:pPr>
        <w:pStyle w:val="BookText"/>
      </w:pPr>
      <w:r>
        <w:rPr>
          <w:rFonts w:ascii="IRNazanin" w:hAnsi="IRNazanin" w:eastAsia="IRNazanin" w:cs="IRNazanin"/>
          <w:lang w:bidi="fa-IR"/>
          <w:color w:val="111111"/>
          <w:sz w:val="28"/>
          <w:szCs w:val="28"/>
          <w:rtl/>
        </w:rPr>
        <w:t xml:space="preserve">← تاج محل ← تاریخ روضه تاج محل</w:t>
      </w:r>
    </w:p>
    <w:p>
      <w:pPr>
        <w:pStyle w:val="Heading3"/>
      </w:pPr>
      <w:bookmarkStart w:id="1922" w:name="_Toc1182"/>
      <w:r>
        <w:t>• تاج محل = احوال تاج بی بی بیگم ممتاز محل / تاریخ / فارسی</w:t>
      </w:r>
      <w:bookmarkEnd w:id="1922"/>
    </w:p>
    <w:p>
      <w:pPr>
        <w:pStyle w:val="BookText"/>
      </w:pPr>
      <w:r>
        <w:rPr>
          <w:rFonts w:ascii="Times New Roman" w:hAnsi="Times New Roman" w:eastAsia="Times New Roman" w:cs="Times New Roman"/>
          <w:lang w:val="en-US" w:bidi="en-US"/>
          <w:color w:val="111111"/>
          <w:sz w:val="28"/>
          <w:szCs w:val="28"/>
          <w:rtl/>
        </w:rPr>
        <w:t xml:space="preserve">tāj mahal = ahvāl-e tāj bī bī beygom momtāz mahal</w:t>
      </w:r>
    </w:p>
    <w:p>
      <w:pPr>
        <w:pStyle w:val="BookText"/>
      </w:pPr>
      <w:r>
        <w:rPr>
          <w:rFonts w:ascii="IRNazanin" w:hAnsi="IRNazanin" w:eastAsia="IRNazanin" w:cs="IRNazanin"/>
          <w:lang w:bidi="fa-IR"/>
          <w:color w:val="111111"/>
          <w:sz w:val="28"/>
          <w:szCs w:val="28"/>
          <w:rtl/>
        </w:rPr>
        <w:t xml:space="preserve">زندگی نامه بانوی ایرانی شاهجهان و تاریخ ساختمان خاکجایش که نام خود او «تاج محل» نامیده شد، و اینکه مصالح ساختمان از کجا آورده شد، هزینه آن و معماران: امانت خان طغرانویس شیرازی، محمد حنیف، استاد عیسی محمد شریف، اسماعيل خان گنبدساز ساکن روم، محمد خان خوشنویس ساکن بغداد، موهن لال ساکن روم، منون لال ساکن لاهور و ناموران دیگر و هزینه های ساختمان. (احمد منزوی)</w:t>
      </w:r>
    </w:p>
    <w:p>
      <w:pPr>
        <w:pStyle w:val="BookText"/>
      </w:pPr>
      <w:r>
        <w:rPr>
          <w:rFonts w:ascii="IRNazanin" w:hAnsi="IRNazanin" w:eastAsia="IRNazanin" w:cs="IRNazanin"/>
          <w:lang w:bidi="fa-IR"/>
          <w:color w:val="111111"/>
          <w:sz w:val="28"/>
          <w:szCs w:val="28"/>
          <w:rtl/>
        </w:rPr>
        <w:t xml:space="preserve">[ نسخه های منزوی ۳۶۳۷/۶ -۳۹۳۸؛ فهرستواره منزوی ۱۷۵/۱ -۱۷۶؛ مشترک پاکستان</w:t>
      </w:r>
    </w:p>
    <w:p>
      <w:pPr>
        <w:pStyle w:val="BookText"/>
      </w:pPr>
      <w:r>
        <w:rPr>
          <w:rFonts w:ascii="IRNazanin" w:hAnsi="IRNazanin" w:eastAsia="IRNazanin" w:cs="IRNazanin"/>
          <w:lang w:bidi="fa-IR"/>
          <w:color w:val="111111"/>
          <w:sz w:val="28"/>
          <w:szCs w:val="28"/>
          <w:rtl/>
        </w:rPr>
        <w:t xml:space="preserve">۳۹/۱۰ و ۱۲۳۵/۱۱ ]</w:t>
      </w:r>
    </w:p>
    <w:p>
      <w:pPr>
        <w:pStyle w:val="BookText"/>
      </w:pPr>
      <w:r>
        <w:rPr>
          <w:rFonts w:ascii="IRNazanin" w:hAnsi="IRNazanin" w:eastAsia="IRNazanin" w:cs="IRNazanin"/>
          <w:lang w:bidi="fa-IR"/>
          <w:color w:val="111111"/>
          <w:sz w:val="28"/>
          <w:szCs w:val="28"/>
          <w:rtl/>
        </w:rPr>
        <w:t xml:space="preserve">۱. تهران: دائرة المعارف؛ شماره نسخه: ۳۱۴/۲ -عکسی</w:t>
      </w:r>
    </w:p>
    <w:p>
      <w:pPr>
        <w:pStyle w:val="BookText"/>
      </w:pPr>
      <w:r>
        <w:rPr>
          <w:rFonts w:ascii="IRNazanin" w:hAnsi="IRNazanin" w:eastAsia="IRNazanin" w:cs="IRNazanin"/>
          <w:lang w:bidi="fa-IR"/>
          <w:color w:val="111111"/>
          <w:sz w:val="28"/>
          <w:szCs w:val="28"/>
          <w:rtl/>
        </w:rPr>
        <w:t xml:space="preserve">آغاز: بسمله. خلاصه احوال بانو بیگم مخاطب به ممتار محل عرف تاج بی بی، اهلیت شاهجهان پادشاه غازی و بنت نواب آصف خان وزیر و پسر زاده نواب اعتماد الدوله بودند. و احوال سکندره و قلعه اکبر آباد و دیگر موتی مسجد که در قلعه آگره است؛ انجام: و کرایه های هر یک رقم سنگ که از هر ملک آمده بود (شمار سیاقی). تمت. تمام شد.</w:t>
      </w:r>
    </w:p>
    <w:p>
      <w:pPr>
        <w:pStyle w:val="BookText"/>
      </w:pPr>
      <w:r>
        <w:rPr>
          <w:rFonts w:ascii="IRNazanin" w:hAnsi="IRNazanin" w:eastAsia="IRNazanin" w:cs="IRNazanin"/>
          <w:lang w:bidi="fa-IR"/>
          <w:color w:val="111111"/>
          <w:sz w:val="28"/>
          <w:szCs w:val="28"/>
          <w:rtl/>
        </w:rPr>
        <w:t xml:space="preserve">نسخه اصل: گنج بخش، ش ۳۷۳ (مشترک ۳۹/۶)؛ خط: نستعلیق خوش، بی کا، تا: قرن ۱۲، ۵۴گ عکسی [ف: ۲-۵۰]</w:t>
      </w:r>
    </w:p>
    <w:p>
      <w:pPr>
        <w:pStyle w:val="BookText"/>
      </w:pPr>
      <w:r>
        <w:rPr>
          <w:rFonts w:ascii="IRNazanin" w:hAnsi="IRNazanin" w:eastAsia="IRNazanin" w:cs="IRNazanin"/>
          <w:lang w:bidi="fa-IR"/>
          <w:color w:val="111111"/>
          <w:sz w:val="28"/>
          <w:szCs w:val="28"/>
          <w:rtl/>
        </w:rPr>
        <w:t xml:space="preserve">۲. مشهد؛ رضوی؛ شماره نسخه: ۲۴۴۵۸</w:t>
      </w:r>
    </w:p>
    <w:p>
      <w:pPr>
        <w:pStyle w:val="BookText"/>
      </w:pPr>
      <w:r>
        <w:rPr>
          <w:rFonts w:ascii="IRNazanin" w:hAnsi="IRNazanin" w:eastAsia="IRNazanin" w:cs="IRNazanin"/>
          <w:lang w:bidi="fa-IR"/>
          <w:color w:val="111111"/>
          <w:sz w:val="28"/>
          <w:szCs w:val="28"/>
          <w:rtl/>
        </w:rPr>
        <w:t xml:space="preserve">آغاز: آورده اند که شاه جهان بادشاہ غازی کشور ستانی عالیجاه بلند آرام گاه فیاض زمانی غریب پرور مستمندان ... از بیک مصاحب چهار پسر داشتند یکی داراشکوه پسر کلان ولی عهد سلطان دویم شاه شجاع فرزند دلبند جگر پیوند؛ انجام: میزان کل مبلغهای مصروفه روضه منوره (اعداد به سیاق)</w:t>
      </w:r>
    </w:p>
    <w:p>
      <w:pPr>
        <w:pStyle w:val="BookText"/>
      </w:pPr>
      <w:r>
        <w:rPr>
          <w:rFonts w:ascii="IRNazanin" w:hAnsi="IRNazanin" w:eastAsia="IRNazanin" w:cs="IRNazanin"/>
          <w:lang w:bidi="fa-IR"/>
          <w:color w:val="111111"/>
          <w:sz w:val="28"/>
          <w:szCs w:val="28"/>
          <w:rtl/>
        </w:rPr>
        <w:t xml:space="preserve">خط: نستعلیق، بی کا، تا: ۱۵ شوال ۱۲۵۱ق (= 3 فوریه ۱۸۳۶م)؛ پیش از شروع کتاب این عبارت نوشته شده: «خلاصه احوال بانو بیگم عرف تاج بی بی مخاطب به ممتاز محل بنت نواب آصف خان ولد نواب اعتماد الدوله برادر زاده نور بیگم اهليه شاه جهان بادشاه غازی بن جهانگیر شاه بن اكبر شاه»؛ اهدایی: رهبری، اسفند ۱۳۷۶؛ کاغذ: کشمیری نخودی آهار مهره، جلد: مقوا با روکش کاغذ ابر و باد، ۸۹گ، ۹ سطر، اندازه: ۱۵/۵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۲۹/۵سم</w:t>
      </w:r>
    </w:p>
    <w:p>
      <w:pPr>
        <w:pStyle w:val="BookText"/>
      </w:pPr>
      <w:r>
        <w:rPr>
          <w:rFonts w:ascii="IRNazanin" w:hAnsi="IRNazanin" w:eastAsia="IRNazanin" w:cs="IRNazanin"/>
          <w:lang w:bidi="fa-IR"/>
          <w:color w:val="111111"/>
          <w:sz w:val="28"/>
          <w:szCs w:val="28"/>
          <w:rtl/>
        </w:rPr>
        <w:t xml:space="preserve">[اهدائی رهبر: ۸-۳۶۵]</w:t>
      </w:r>
    </w:p>
    <w:p>
      <w:pPr>
        <w:pStyle w:val="Heading3"/>
      </w:pPr>
      <w:bookmarkStart w:id="1923" w:name="_Toc1183"/>
      <w:r>
        <w:t>•تاج المداخل / هیئت / عربی</w:t>
      </w:r>
      <w:bookmarkEnd w:id="1923"/>
    </w:p>
    <w:p>
      <w:pPr>
        <w:pStyle w:val="BookText"/>
      </w:pPr>
      <w:r>
        <w:rPr>
          <w:rFonts w:ascii="Times New Roman" w:hAnsi="Times New Roman" w:eastAsia="Times New Roman" w:cs="Times New Roman"/>
          <w:lang w:val="en-US" w:bidi="en-US"/>
          <w:color w:val="111111"/>
          <w:sz w:val="28"/>
          <w:szCs w:val="28"/>
          <w:rtl/>
        </w:rPr>
        <w:t xml:space="preserve">tāj-ul madāxil</w:t>
      </w:r>
    </w:p>
    <w:p>
      <w:pPr>
        <w:pStyle w:val="BookText"/>
      </w:pPr>
      <w:r>
        <w:rPr>
          <w:rFonts w:ascii="IRNazanin" w:hAnsi="IRNazanin" w:eastAsia="IRNazanin" w:cs="IRNazanin"/>
          <w:lang w:bidi="fa-IR"/>
          <w:color w:val="111111"/>
          <w:sz w:val="28"/>
          <w:szCs w:val="28"/>
          <w:rtl/>
        </w:rPr>
        <w:t xml:space="preserve">حکیم شریفی، محمد بن عبدالله، ق۷ قمری</w:t>
      </w:r>
    </w:p>
    <w:p>
      <w:pPr>
        <w:pStyle w:val="BookText"/>
      </w:pPr>
      <w:r>
        <w:rPr>
          <w:rFonts w:ascii="Times New Roman" w:hAnsi="Times New Roman" w:eastAsia="Times New Roman" w:cs="Times New Roman"/>
          <w:lang w:val="en-US" w:bidi="en-US"/>
          <w:color w:val="111111"/>
          <w:sz w:val="28"/>
          <w:szCs w:val="28"/>
          <w:rtl/>
        </w:rPr>
        <w:t xml:space="preserve">hakīm-e šarīfī, mohammad ebn-e ‘abd-ol-lāh (-130)</w:t>
      </w:r>
    </w:p>
    <w:p>
      <w:pPr>
        <w:pStyle w:val="BookText"/>
      </w:pPr>
      <w:r>
        <w:rPr>
          <w:rFonts w:ascii="IRNazanin" w:hAnsi="IRNazanin" w:eastAsia="IRNazanin" w:cs="IRNazanin"/>
          <w:lang w:bidi="fa-IR"/>
          <w:color w:val="111111"/>
          <w:sz w:val="28"/>
          <w:szCs w:val="28"/>
          <w:rtl/>
        </w:rPr>
        <w:t xml:space="preserve">اهدا به: تاج الدین سپهسالار معتزين طاهر</w:t>
      </w:r>
    </w:p>
    <w:p>
      <w:pPr>
        <w:pStyle w:val="BookText"/>
      </w:pPr>
      <w:r>
        <w:rPr>
          <w:rFonts w:ascii="IRNazanin" w:hAnsi="IRNazanin" w:eastAsia="IRNazanin" w:cs="IRNazanin"/>
          <w:lang w:bidi="fa-IR"/>
          <w:color w:val="111111"/>
          <w:sz w:val="28"/>
          <w:szCs w:val="28"/>
          <w:rtl/>
        </w:rPr>
        <w:t xml:space="preserve">کتابی است در علم نجوم که اقول علمای اوایل را در سه «مقاله» و هر مقاله در ۱۸ «باب» مجموعة ۵۴ باب آورده است. به نام مؤلف و کتاب در مقدمه تصریح شده است و در آغاز فهرست ابواب کتاب را آورده است: مقاله اولی باب اول في تحمید علم النجوم و بیان الرخصة في تعليمه؛ باب هجدهم في معرفة خواص الكواكب السيارة؛ مقاله ثانيه باب اول في معرفة سبب وضع البيوت و مواضع الشرف و الهبوط؛ باب هجدهم في معرفة ارباب الايام و الساعات؛ مقاله ثالثه باب اول في معرفة الطوالع و الاوتاد و دلالات البيوت؛ باب هجدهم في معرفة شرایط السائل و المسئول .... گویا شریفی کتاب را به فارسی نگاشته و فرد دیگری آن را تعریب کرده است. تعریب این اثر توسط غیاثی نامی در سال ۸۷۹ یاد شده که ممکن همین نسخه باشد.</w:t>
      </w:r>
    </w:p>
    <w:p>
      <w:pPr>
        <w:pStyle w:val="BookText"/>
      </w:pPr>
      <w:r>
        <w:rPr>
          <w:rFonts w:ascii="IRNazanin" w:hAnsi="IRNazanin" w:eastAsia="IRNazanin" w:cs="IRNazanin"/>
          <w:lang w:bidi="fa-IR"/>
          <w:color w:val="111111"/>
          <w:sz w:val="28"/>
          <w:szCs w:val="28"/>
          <w:rtl/>
        </w:rPr>
        <w:t xml:space="preserve">[ مخطوطات الفلك و التنجيم في المتحف العراقی ص ۲۶]</w:t>
      </w:r>
    </w:p>
    <w:p>
      <w:pPr>
        <w:pStyle w:val="BookText"/>
      </w:pPr>
      <w:r>
        <w:rPr>
          <w:rFonts w:ascii="IRNazanin" w:hAnsi="IRNazanin" w:eastAsia="IRNazanin" w:cs="IRNazanin"/>
          <w:lang w:bidi="fa-IR"/>
          <w:color w:val="111111"/>
          <w:sz w:val="28"/>
          <w:szCs w:val="28"/>
          <w:rtl/>
        </w:rPr>
        <w:t xml:space="preserve">قم؛ گلپایگانی شماره نسخه: ۶۸۱۳/۱ - ۳۴/۱۸۳</w:t>
      </w:r>
    </w:p>
    <w:p>
      <w:pPr>
        <w:pStyle w:val="BookText"/>
      </w:pPr>
      <w:r>
        <w:rPr>
          <w:rFonts w:ascii="IRNazanin" w:hAnsi="IRNazanin" w:eastAsia="IRNazanin" w:cs="IRNazanin"/>
          <w:lang w:bidi="fa-IR"/>
          <w:color w:val="111111"/>
          <w:sz w:val="28"/>
          <w:szCs w:val="28"/>
          <w:rtl/>
        </w:rPr>
        <w:t xml:space="preserve">آغاز: بسمله الحمدلله الملک الجبار العزيز الغفار الكريم الستار ... وبعد قال الشيخ الحكيم ابو جعفر محمدبن عبدالله الشریفی ... و جعلنا بناء هذا الكتاب على ثلاث مقالات كل مقالة ثمانية عشر بابا ... و سميناها تاج المداخل؛ انجام: فهو خمسة فكان سبعة فوافق المحفوظ الاول فعلمنا أن العمل صحيح و الله اعلم بالغيب و احكم. خط: نسخ، بی کا، تا: چهارشنبه ۲۱ جمادی الثانی ۱۲۵۹ق؛ مصحح؛ مهر: الواثق بالله عبدالرزاق بن علیرضا بیضوی)؛ جلد: تیماج قهوهای، ۱۱۹گ، ۱۴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۲-۶۷۳]</w:t>
      </w:r>
    </w:p>
    <w:p>
      <w:pPr>
        <w:pStyle w:val="Heading3"/>
      </w:pPr>
      <w:bookmarkStart w:id="1924" w:name="_Toc1184"/>
      <w:r>
        <w:t>• تاج المدایح / تراجم / فارسی</w:t>
      </w:r>
      <w:bookmarkEnd w:id="1924"/>
    </w:p>
    <w:p>
      <w:pPr>
        <w:pStyle w:val="BookText"/>
      </w:pPr>
      <w:r>
        <w:rPr>
          <w:rFonts w:ascii="Times New Roman" w:hAnsi="Times New Roman" w:eastAsia="Times New Roman" w:cs="Times New Roman"/>
          <w:lang w:val="en-US" w:bidi="en-US"/>
          <w:color w:val="111111"/>
          <w:sz w:val="28"/>
          <w:szCs w:val="28"/>
          <w:rtl/>
        </w:rPr>
        <w:t xml:space="preserve">tāj-ol madāyeh</w:t>
      </w:r>
    </w:p>
    <w:p>
      <w:pPr>
        <w:pStyle w:val="BookText"/>
      </w:pPr>
      <w:r>
        <w:rPr>
          <w:rFonts w:ascii="IRNazanin" w:hAnsi="IRNazanin" w:eastAsia="IRNazanin" w:cs="IRNazanin"/>
          <w:lang w:bidi="fa-IR"/>
          <w:color w:val="111111"/>
          <w:sz w:val="28"/>
          <w:szCs w:val="28"/>
          <w:rtl/>
        </w:rPr>
        <w:t xml:space="preserve">طغرای مشهدی،-۱۱۰۰ قمری</w:t>
      </w:r>
    </w:p>
    <w:p>
      <w:pPr>
        <w:pStyle w:val="BookText"/>
      </w:pPr>
      <w:r>
        <w:rPr>
          <w:rFonts w:ascii="Times New Roman" w:hAnsi="Times New Roman" w:eastAsia="Times New Roman" w:cs="Times New Roman"/>
          <w:lang w:val="en-US" w:bidi="en-US"/>
          <w:color w:val="111111"/>
          <w:sz w:val="28"/>
          <w:szCs w:val="28"/>
          <w:rtl/>
        </w:rPr>
        <w:t xml:space="preserve">toqrā-ye mashadī (-1689)</w:t>
      </w:r>
    </w:p>
    <w:p>
      <w:pPr>
        <w:pStyle w:val="BookText"/>
      </w:pPr>
      <w:r>
        <w:rPr>
          <w:rFonts w:ascii="IRNazanin" w:hAnsi="IRNazanin" w:eastAsia="IRNazanin" w:cs="IRNazanin"/>
          <w:lang w:bidi="fa-IR"/>
          <w:color w:val="111111"/>
          <w:sz w:val="28"/>
          <w:szCs w:val="28"/>
          <w:rtl/>
        </w:rPr>
        <w:t xml:space="preserve">نثر آمیخته به نظم در ستایش شاهزاده مراد بخش (م ۱۶۵۷/۱۰۶۸ ) پسر شاه جهان است. (احمد منزوی)</w:t>
      </w:r>
    </w:p>
    <w:p>
      <w:pPr>
        <w:pStyle w:val="BookText"/>
      </w:pPr>
      <w:r>
        <w:rPr>
          <w:rFonts w:ascii="IRNazanin" w:hAnsi="IRNazanin" w:eastAsia="IRNazanin" w:cs="IRNazanin"/>
          <w:lang w:bidi="fa-IR"/>
          <w:color w:val="111111"/>
          <w:sz w:val="28"/>
          <w:szCs w:val="28"/>
          <w:rtl/>
        </w:rPr>
        <w:t xml:space="preserve">آغاز: چون این نسخه زيب لوایح شده - مخاطب به تاج المدايح شده ... سرخی روی قلم به نگارش ثنای شهنشاهی است که تاجداران</w:t>
      </w:r>
    </w:p>
    <w:p>
      <w:pPr>
        <w:pStyle w:val="BookText"/>
      </w:pPr>
      <w:r>
        <w:rPr>
          <w:rFonts w:ascii="IRNazanin" w:hAnsi="IRNazanin" w:eastAsia="IRNazanin" w:cs="IRNazanin"/>
          <w:lang w:bidi="fa-IR"/>
          <w:color w:val="111111"/>
          <w:sz w:val="28"/>
          <w:szCs w:val="28"/>
          <w:rtl/>
        </w:rPr>
        <w:t xml:space="preserve">انجام: رو بهر جانب که آرد در بهارستان ... صد هزارش بلبل طغرا لقب همراه باد.</w:t>
      </w:r>
    </w:p>
    <w:p>
      <w:pPr>
        <w:pStyle w:val="BookText"/>
      </w:pPr>
      <w:r>
        <w:rPr>
          <w:rFonts w:ascii="IRNazanin" w:hAnsi="IRNazanin" w:eastAsia="IRNazanin" w:cs="IRNazanin"/>
          <w:lang w:bidi="fa-IR"/>
          <w:color w:val="111111"/>
          <w:sz w:val="28"/>
          <w:szCs w:val="28"/>
          <w:rtl/>
        </w:rPr>
        <w:t xml:space="preserve">چاپ: در چاپ نولکشور ۱۸۸۵م از مجموعه رسايل او ص ۷۴ ۸۹ جای دارد؛ گانپور، سنگی، ۱۲۶۶ق، وزیری بزرگ، ۱۶ص (رسائل طغرا: صص ۷۴-۸۹)؛ لكهنو، سنگی، ۱۲۸۱، وزیری بزرگ، ۱۶ص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352" w:name="pg20363_209630"/>
    <w:bookmarkEnd w:id="352"/>
    <w:p>
      <w:pPr>
        <w:pStyle w:val="BookText"/>
      </w:pPr>
      <w:r>
        <w:rPr>
          <w:rFonts w:ascii="IRNazanin" w:hAnsi="IRNazanin" w:eastAsia="IRNazanin" w:cs="IRNazanin"/>
          <w:lang w:bidi="fa-IR"/>
          <w:color w:val="111111"/>
          <w:sz w:val="28"/>
          <w:szCs w:val="28"/>
          <w:rtl/>
        </w:rPr>
        <w:t xml:space="preserve">[دنا ۶۶۰/۲ (۹ نسخه)؛ نسخه های منزوی ۳۵۴۱/۵ (۱۲ نسخه)؛ مشترک پاکستان ۱۶۲/۵ ( ۲۰ نسخه)؛ فهرستواره منزوی ۲۰۳۵/۳ ]</w:t>
      </w:r>
    </w:p>
    <w:p>
      <w:pPr>
        <w:pStyle w:val="BookText"/>
      </w:pPr>
      <w:r>
        <w:rPr>
          <w:rFonts w:ascii="IRNazanin" w:hAnsi="IRNazanin" w:eastAsia="IRNazanin" w:cs="IRNazanin"/>
          <w:lang w:bidi="fa-IR"/>
          <w:color w:val="111111"/>
          <w:sz w:val="28"/>
          <w:szCs w:val="28"/>
          <w:rtl/>
        </w:rPr>
        <w:t xml:space="preserve">۱. تهران؛ مجلس؛ شماره نسخه: ۱۰۱۷۱/۴</w:t>
      </w:r>
    </w:p>
    <w:p>
      <w:pPr>
        <w:pStyle w:val="BookText"/>
      </w:pPr>
      <w:r>
        <w:rPr>
          <w:rFonts w:ascii="IRNazanin" w:hAnsi="IRNazanin" w:eastAsia="IRNazanin" w:cs="IRNazanin"/>
          <w:lang w:bidi="fa-IR"/>
          <w:color w:val="111111"/>
          <w:sz w:val="28"/>
          <w:szCs w:val="28"/>
          <w:rtl/>
        </w:rPr>
        <w:t xml:space="preserve">خط: نستعلیق، بی کا، تا: ۱۰۳۹ق؛ ۱۲ص</w:t>
      </w:r>
    </w:p>
    <w:p>
      <w:pPr>
        <w:pStyle w:val="BookText"/>
      </w:pPr>
      <w:r>
        <w:rPr>
          <w:rFonts w:ascii="IRNazanin" w:hAnsi="IRNazanin" w:eastAsia="IRNazanin" w:cs="IRNazanin"/>
          <w:lang w:bidi="fa-IR"/>
          <w:color w:val="111111"/>
          <w:sz w:val="28"/>
          <w:szCs w:val="28"/>
          <w:rtl/>
        </w:rPr>
        <w:t xml:space="preserve">(۱۸۵-۱۹۶)، اندازه: ۱۱/۵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۳۲-۲۰۴]</w:t>
      </w:r>
    </w:p>
    <w:p>
      <w:pPr>
        <w:pStyle w:val="BookText"/>
      </w:pPr>
      <w:r>
        <w:rPr>
          <w:rFonts w:ascii="Amiri" w:hAnsi="Amiri" w:eastAsia="Amiri" w:cs="Amiri"/>
          <w:lang w:bidi="ar-SA"/>
          <w:color w:val="111111"/>
          <w:sz w:val="28"/>
          <w:szCs w:val="28"/>
          <w:rtl/>
        </w:rPr>
        <w:t xml:space="preserve">۲. تهران؛ دائرة المعارف؛ شماره نسخه: ۲/ ۷۵۰</w:t>
      </w:r>
    </w:p>
    <w:p>
      <w:pPr>
        <w:pStyle w:val="BookText"/>
      </w:pPr>
      <w:r>
        <w:rPr>
          <w:rFonts w:ascii="IRNazanin" w:hAnsi="IRNazanin" w:eastAsia="IRNazanin" w:cs="IRNazanin"/>
          <w:lang w:bidi="fa-IR"/>
          <w:color w:val="111111"/>
          <w:sz w:val="28"/>
          <w:szCs w:val="28"/>
          <w:rtl/>
        </w:rPr>
        <w:t xml:space="preserve">آغاز و انجام: برابر خط: نستعلیق پخته، بی کا، تا: قرن ۱۲؛ ۹گ(۱۸پ -۲۶پ)[ف: ۳۶-۲]</w:t>
      </w:r>
    </w:p>
    <w:p>
      <w:pPr>
        <w:pStyle w:val="BookText"/>
      </w:pPr>
      <w:r>
        <w:rPr>
          <w:rFonts w:ascii="Amiri" w:hAnsi="Amiri" w:eastAsia="Amiri" w:cs="Amiri"/>
          <w:lang w:bidi="ar-SA"/>
          <w:color w:val="111111"/>
          <w:sz w:val="28"/>
          <w:szCs w:val="28"/>
          <w:rtl/>
        </w:rPr>
        <w:t xml:space="preserve">٣. تهران: دائرة المعارف؛ شماره نسخه:۷۶۹/۳</w:t>
      </w:r>
    </w:p>
    <w:p>
      <w:pPr>
        <w:pStyle w:val="BookText"/>
      </w:pPr>
      <w:r>
        <w:rPr>
          <w:rFonts w:ascii="IRNazanin" w:hAnsi="IRNazanin" w:eastAsia="IRNazanin" w:cs="IRNazanin"/>
          <w:lang w:bidi="fa-IR"/>
          <w:color w:val="111111"/>
          <w:sz w:val="28"/>
          <w:szCs w:val="28"/>
          <w:rtl/>
        </w:rPr>
        <w:t xml:space="preserve">خط: نستعلیق تحریری، بی کا، تا: قرن ۱۲، ۱۴گ (۲۷-۴۰پ) [ف: ۲-۳۶]</w:t>
      </w:r>
    </w:p>
    <w:p>
      <w:pPr>
        <w:pStyle w:val="BookText"/>
      </w:pPr>
      <w:r>
        <w:rPr>
          <w:rFonts w:ascii="IRNazanin" w:hAnsi="IRNazanin" w:eastAsia="IRNazanin" w:cs="IRNazanin"/>
          <w:lang w:bidi="fa-IR"/>
          <w:color w:val="111111"/>
          <w:sz w:val="28"/>
          <w:szCs w:val="28"/>
          <w:rtl/>
        </w:rPr>
        <w:t xml:space="preserve">۴. تهران؛ ملک؛ شماره نسخه:۳۶۷۹/۵</w:t>
      </w:r>
    </w:p>
    <w:p>
      <w:pPr>
        <w:pStyle w:val="BookText"/>
      </w:pPr>
      <w:r>
        <w:rPr>
          <w:rFonts w:ascii="IRNazanin" w:hAnsi="IRNazanin" w:eastAsia="IRNazanin" w:cs="IRNazanin"/>
          <w:lang w:bidi="fa-IR"/>
          <w:color w:val="111111"/>
          <w:sz w:val="28"/>
          <w:szCs w:val="28"/>
          <w:rtl/>
        </w:rPr>
        <w:t xml:space="preserve">خط: نستعلیق، بی کا، تا: قرن ۱۲؛ کاغذ: ترمه نازک، جلد: میشن سیاه لایی، ۱۵ سطر [ف: ۴-۶۶۱]</w:t>
      </w:r>
    </w:p>
    <w:p>
      <w:pPr>
        <w:pStyle w:val="BookText"/>
      </w:pPr>
      <w:r>
        <w:rPr>
          <w:rFonts w:ascii="IRNazanin" w:hAnsi="IRNazanin" w:eastAsia="IRNazanin" w:cs="IRNazanin"/>
          <w:lang w:bidi="fa-IR"/>
          <w:color w:val="111111"/>
          <w:sz w:val="28"/>
          <w:szCs w:val="28"/>
          <w:rtl/>
        </w:rPr>
        <w:t xml:space="preserve">۵. تهران؛ دائرة المعارف؛ شماره نسخه:۲۰۰/۳ -عکسی</w:t>
      </w:r>
    </w:p>
    <w:p>
      <w:pPr>
        <w:pStyle w:val="BookText"/>
      </w:pPr>
      <w:r>
        <w:rPr>
          <w:rFonts w:ascii="IRNazanin" w:hAnsi="IRNazanin" w:eastAsia="IRNazanin" w:cs="IRNazanin"/>
          <w:lang w:bidi="fa-IR"/>
          <w:color w:val="111111"/>
          <w:sz w:val="28"/>
          <w:szCs w:val="28"/>
          <w:rtl/>
        </w:rPr>
        <w:t xml:space="preserve">نسخه اصل: گنج بخش، ش ۲۰۸۶ (گنج، ۱۲۵۷/۳ )؛ خط: نستعلیق تحریری، بی کا، تا: قرن ۱۲، ۱۹ص (۵۰-۶۸) [عکسی ف: ۲-۵۰]</w:t>
      </w:r>
    </w:p>
    <w:p>
      <w:pPr>
        <w:pStyle w:val="BookText"/>
      </w:pPr>
      <w:r>
        <w:rPr>
          <w:rFonts w:ascii="IRNazanin" w:hAnsi="IRNazanin" w:eastAsia="IRNazanin" w:cs="IRNazanin"/>
          <w:lang w:bidi="fa-IR"/>
          <w:color w:val="111111"/>
          <w:sz w:val="28"/>
          <w:szCs w:val="28"/>
          <w:rtl/>
        </w:rPr>
        <w:t xml:space="preserve">۶. تهران؛ دائرة المعارف؛ شماره نسخه:۲۵۸/۲ -عکسی</w:t>
      </w:r>
    </w:p>
    <w:p>
      <w:pPr>
        <w:pStyle w:val="BookText"/>
      </w:pPr>
      <w:r>
        <w:rPr>
          <w:rFonts w:ascii="IRNazanin" w:hAnsi="IRNazanin" w:eastAsia="IRNazanin" w:cs="IRNazanin"/>
          <w:lang w:bidi="fa-IR"/>
          <w:color w:val="111111"/>
          <w:sz w:val="28"/>
          <w:szCs w:val="28"/>
          <w:rtl/>
        </w:rPr>
        <w:t xml:space="preserve">نسخه اصل: کتابخانه شخصی میرداد خان افغان در پیشاور پاکستان؛ خط: نستعلیق پخته، بی کا، تا: قرن ۱۲، ۹گ (۱۲-۲۰) [عکسی ف: ۲-۵۰]</w:t>
      </w:r>
    </w:p>
    <w:p>
      <w:pPr>
        <w:pStyle w:val="BookText"/>
      </w:pPr>
      <w:r>
        <w:rPr>
          <w:rFonts w:ascii="IRNazanin" w:hAnsi="IRNazanin" w:eastAsia="IRNazanin" w:cs="IRNazanin"/>
          <w:lang w:bidi="fa-IR"/>
          <w:color w:val="111111"/>
          <w:sz w:val="28"/>
          <w:szCs w:val="28"/>
          <w:rtl/>
        </w:rPr>
        <w:t xml:space="preserve">۷. قم؛ مرعشی؛ شماره نسخه:۱۵۱۱۴/۵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۱۲؛ کاغذ: فرنگی، ۱۷گ (۳۳-۴۹)، ۱۲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۶سم [ف: ۳۸-۳۱۹]</w:t>
      </w:r>
    </w:p>
    <w:p>
      <w:pPr>
        <w:pStyle w:val="BookText"/>
      </w:pPr>
      <w:r>
        <w:rPr>
          <w:rFonts w:ascii="IRNazanin" w:hAnsi="IRNazanin" w:eastAsia="IRNazanin" w:cs="IRNazanin"/>
          <w:lang w:bidi="fa-IR"/>
          <w:color w:val="111111"/>
          <w:sz w:val="28"/>
          <w:szCs w:val="28"/>
          <w:rtl/>
        </w:rPr>
        <w:t xml:space="preserve">۸. قم؛ مرعشی؛ شماره نسخه: ۱۵۲۷۴/۴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۱۲؛ مصحح؛ کاغذ: شرقی، ۷گ (۴۱ -۴۷)، ۱۹ سطر، اندازه:</w:t>
      </w:r>
    </w:p>
    <w:p>
      <w:pPr>
        <w:pStyle w:val="BookText"/>
      </w:pPr>
      <w:r>
        <w:rPr>
          <w:rFonts w:ascii="IRNazanin" w:hAnsi="IRNazanin" w:eastAsia="IRNazanin" w:cs="IRNazanin"/>
          <w:lang w:bidi="fa-IR"/>
          <w:color w:val="111111"/>
          <w:sz w:val="28"/>
          <w:szCs w:val="28"/>
          <w:rtl/>
        </w:rPr>
        <w:t xml:space="preserve">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[ف: ۳۸-۷۷۹]</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مجلس؛ شماره نسخه: ۳۲۹۶/۵/۱</w:t>
      </w:r>
    </w:p>
    <w:p>
      <w:pPr>
        <w:pStyle w:val="BookText"/>
      </w:pPr>
      <w:r>
        <w:rPr>
          <w:rFonts w:ascii="IRNazanin" w:hAnsi="IRNazanin" w:eastAsia="IRNazanin" w:cs="IRNazanin"/>
          <w:lang w:bidi="fa-IR"/>
          <w:color w:val="111111"/>
          <w:sz w:val="28"/>
          <w:szCs w:val="28"/>
          <w:rtl/>
        </w:rPr>
        <w:t xml:space="preserve">آغاز: برابر؛ انجام: از طفیل نسبت نامش نشان را مژده باد. خط شکسته نستعلیق هندی، بی کا، تا: قرن ۱۲؛ کاغذ: هندی شکری، جلد: مقوای چینی با عطف از تیماج مشکی، ۸۴ص ( ۱۹۲-۱۰۹ )، ۱۳ سطر، قطع: نیم خشتی،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 سم [ف: ۹۴۳-۱۰ ]</w:t>
      </w:r>
    </w:p>
    <w:p>
      <w:pPr>
        <w:pStyle w:val="BookText"/>
      </w:pPr>
      <w:r>
        <w:rPr>
          <w:rFonts w:ascii="IRNazanin" w:hAnsi="IRNazanin" w:eastAsia="IRNazanin" w:cs="IRNazanin"/>
          <w:lang w:bidi="fa-IR"/>
          <w:color w:val="111111"/>
          <w:sz w:val="28"/>
          <w:szCs w:val="28"/>
          <w:rtl/>
        </w:rPr>
        <w:t xml:space="preserve">۱۰. تهران: دانشگاه؛ شماره نسخه: ۲/ ۵۸۶۱-ف</w:t>
      </w:r>
    </w:p>
    <w:p>
      <w:pPr>
        <w:pStyle w:val="BookText"/>
      </w:pPr>
      <w:r>
        <w:rPr>
          <w:rFonts w:ascii="IRNazanin" w:hAnsi="IRNazanin" w:eastAsia="IRNazanin" w:cs="IRNazanin"/>
          <w:lang w:bidi="fa-IR"/>
          <w:color w:val="111111"/>
          <w:sz w:val="28"/>
          <w:szCs w:val="28"/>
          <w:rtl/>
        </w:rPr>
        <w:t xml:space="preserve">نسخه اصل: دانشگاه پنجاب در لاهور شماره ۹/۸۷۴ فارسی؛ کا ظهیرای تفرشی، تا: چهارشنبه ۱۲۴۵ق [فیلمها ف: ۳-۱۸۷]</w:t>
      </w:r>
    </w:p>
    <w:p>
      <w:pPr>
        <w:pStyle w:val="BookText"/>
      </w:pPr>
      <w:r>
        <w:rPr>
          <w:rFonts w:ascii="IRNazanin" w:hAnsi="IRNazanin" w:eastAsia="IRNazanin" w:cs="IRNazanin"/>
          <w:lang w:bidi="fa-IR"/>
          <w:color w:val="111111"/>
          <w:sz w:val="28"/>
          <w:szCs w:val="28"/>
          <w:rtl/>
        </w:rPr>
        <w:t xml:space="preserve">۱۱. تهران: بانکی پور؛ شماره نسخه:بدون شماره</w:t>
      </w:r>
    </w:p>
    <w:p>
      <w:pPr>
        <w:pStyle w:val="BookText"/>
      </w:pPr>
      <w:r>
        <w:rPr>
          <w:rFonts w:ascii="IRNazanin" w:hAnsi="IRNazanin" w:eastAsia="IRNazanin" w:cs="IRNazanin"/>
          <w:lang w:bidi="fa-IR"/>
          <w:color w:val="111111"/>
          <w:sz w:val="28"/>
          <w:szCs w:val="28"/>
          <w:rtl/>
        </w:rPr>
        <w:t xml:space="preserve">بی کا، بی تا [میراث اسلامی: ۵-۶۲۷]</w:t>
      </w:r>
    </w:p>
    <w:p>
      <w:pPr>
        <w:pStyle w:val="BookText"/>
      </w:pPr>
      <w:r>
        <w:rPr>
          <w:rFonts w:ascii="IRNazanin" w:hAnsi="IRNazanin" w:eastAsia="IRNazanin" w:cs="IRNazanin"/>
          <w:lang w:bidi="fa-IR"/>
          <w:color w:val="111111"/>
          <w:sz w:val="28"/>
          <w:szCs w:val="28"/>
          <w:rtl/>
        </w:rPr>
        <w:t xml:space="preserve">۱۲. تهران؛ دانشگاه؛ شماره نسخه: ۱۱۰/۲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شکسته، بی کا، بی تا؛ کاغذ: نوعی ترمه، جلد: تیماج سرخ زرکوب، (۹-پ)، ۱۵ سطر (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۲۹/۵سم [ف: ۲-۱۹۶]</w:t>
      </w:r>
    </w:p>
    <w:p>
      <w:pPr>
        <w:pStyle w:val="BookText"/>
      </w:pPr>
      <w:r>
        <w:rPr>
          <w:rFonts w:ascii="IRNazanin" w:hAnsi="IRNazanin" w:eastAsia="IRNazanin" w:cs="IRNazanin"/>
          <w:lang w:bidi="fa-IR"/>
          <w:color w:val="111111"/>
          <w:sz w:val="28"/>
          <w:szCs w:val="28"/>
          <w:rtl/>
        </w:rPr>
        <w:t xml:space="preserve">۱۳. تهران؛ مجلس؛ شماره نسخه:۳۲۱۵/۳</w:t>
      </w:r>
    </w:p>
    <w:p>
      <w:pPr>
        <w:pStyle w:val="BookText"/>
      </w:pPr>
      <w:r>
        <w:rPr>
          <w:rFonts w:ascii="IRNazanin" w:hAnsi="IRNazanin" w:eastAsia="IRNazanin" w:cs="IRNazanin"/>
          <w:lang w:bidi="fa-IR"/>
          <w:color w:val="111111"/>
          <w:sz w:val="28"/>
          <w:szCs w:val="28"/>
          <w:rtl/>
        </w:rPr>
        <w:t xml:space="preserve">خط: نستعلیق، بی کا، بی تا، با سرلوح، مجدول، دارای کمند؛ کاغذ: هندی، جلد: تیماج تریاکی یک لا، ۳ ص (۳۴-۳۶)، ۳۲ سطر (۲۷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۳۲/۵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۱۰-۷۹۴]</w:t>
      </w:r>
    </w:p>
    <w:p>
      <w:pPr>
        <w:pStyle w:val="Heading3"/>
      </w:pPr>
      <w:bookmarkStart w:id="1925" w:name="_Toc1185"/>
      <w:r>
        <w:t>• تاج مرصع / كيميا / فارسی</w:t>
      </w:r>
      <w:bookmarkEnd w:id="1925"/>
    </w:p>
    <w:p>
      <w:pPr>
        <w:pStyle w:val="BookText"/>
      </w:pPr>
      <w:r>
        <w:rPr>
          <w:rFonts w:ascii="Times New Roman" w:hAnsi="Times New Roman" w:eastAsia="Times New Roman" w:cs="Times New Roman"/>
          <w:lang w:val="en-US" w:bidi="en-US"/>
          <w:color w:val="111111"/>
          <w:sz w:val="28"/>
          <w:szCs w:val="28"/>
          <w:rtl/>
        </w:rPr>
        <w:t xml:space="preserve">tāj-e morassa</w:t>
      </w:r>
    </w:p>
    <w:p>
      <w:pPr>
        <w:pStyle w:val="BookText"/>
      </w:pPr>
      <w:r>
        <w:rPr>
          <w:rFonts w:ascii="IRNazanin" w:hAnsi="IRNazanin" w:eastAsia="IRNazanin" w:cs="IRNazanin"/>
          <w:lang w:bidi="fa-IR"/>
          <w:color w:val="111111"/>
          <w:sz w:val="28"/>
          <w:szCs w:val="28"/>
          <w:rtl/>
        </w:rPr>
        <w:t xml:space="preserve">تنكلو شاه کبیر تبریزی</w:t>
      </w:r>
    </w:p>
    <w:p>
      <w:pPr>
        <w:pStyle w:val="BookText"/>
      </w:pPr>
      <w:r>
        <w:rPr>
          <w:rFonts w:ascii="Times New Roman" w:hAnsi="Times New Roman" w:eastAsia="Times New Roman" w:cs="Times New Roman"/>
          <w:lang w:val="en-US" w:bidi="en-US"/>
          <w:color w:val="111111"/>
          <w:sz w:val="28"/>
          <w:szCs w:val="28"/>
          <w:rtl/>
        </w:rPr>
        <w:t xml:space="preserve">tanaklū šāh kabīr-e tabrīzī</w:t>
      </w:r>
    </w:p>
    <w:p>
      <w:pPr>
        <w:pStyle w:val="BookText"/>
      </w:pPr>
      <w:r>
        <w:rPr>
          <w:rFonts w:ascii="IRNazanin" w:hAnsi="IRNazanin" w:eastAsia="IRNazanin" w:cs="IRNazanin"/>
          <w:lang w:bidi="fa-IR"/>
          <w:color w:val="111111"/>
          <w:sz w:val="28"/>
          <w:szCs w:val="28"/>
          <w:rtl/>
        </w:rPr>
        <w:t xml:space="preserve">نسخه در دست تنها یک برگ آن را دارد: باب در عمل کمر زر.</w:t>
      </w:r>
    </w:p>
    <w:p>
      <w:pPr>
        <w:pStyle w:val="BookText"/>
      </w:pPr>
      <w:r>
        <w:rPr>
          <w:rFonts w:ascii="IRNazanin" w:hAnsi="IRNazanin" w:eastAsia="IRNazanin" w:cs="IRNazanin"/>
          <w:lang w:bidi="fa-IR"/>
          <w:color w:val="111111"/>
          <w:sz w:val="28"/>
          <w:szCs w:val="28"/>
          <w:rtl/>
        </w:rPr>
        <w:t xml:space="preserve">[دنا ۶۶۰/۲ ؛ فهرستواره منزوی ۳۹۴۳/۵ ]</w:t>
      </w:r>
    </w:p>
    <w:p>
      <w:pPr>
        <w:pStyle w:val="BookText"/>
      </w:pPr>
      <w:r>
        <w:rPr>
          <w:rFonts w:ascii="Amiri" w:hAnsi="Amiri" w:eastAsia="Amiri" w:cs="Amiri"/>
          <w:lang w:bidi="ar-SA"/>
          <w:color w:val="111111"/>
          <w:sz w:val="28"/>
          <w:szCs w:val="28"/>
          <w:rtl/>
        </w:rPr>
        <w:t xml:space="preserve">تهران؛ دائرة المعارف، شماره نسخه:۱۹۸/۳</w:t>
      </w:r>
    </w:p>
    <w:p>
      <w:pPr>
        <w:pStyle w:val="BookText"/>
      </w:pPr>
      <w:r>
        <w:rPr>
          <w:rFonts w:ascii="IRNazanin" w:hAnsi="IRNazanin" w:eastAsia="IRNazanin" w:cs="IRNazanin"/>
          <w:lang w:bidi="fa-IR"/>
          <w:color w:val="111111"/>
          <w:sz w:val="28"/>
          <w:szCs w:val="28"/>
          <w:rtl/>
        </w:rPr>
        <w:t xml:space="preserve">آغاز: بسمله. و به نستعین. این است تنقیه زیبق با نوشادر و تصعيد کردن زيبق با نوشادر و جسد زر و جدا کردن دو روح از هم ... در شمس و قمر.</w:t>
      </w:r>
    </w:p>
    <w:p>
      <w:pPr>
        <w:pStyle w:val="BookText"/>
      </w:pPr>
      <w:r>
        <w:rPr>
          <w:rFonts w:ascii="IRNazanin" w:hAnsi="IRNazanin" w:eastAsia="IRNazanin" w:cs="IRNazanin"/>
          <w:lang w:bidi="fa-IR"/>
          <w:color w:val="111111"/>
          <w:sz w:val="28"/>
          <w:szCs w:val="28"/>
          <w:rtl/>
        </w:rPr>
        <w:t xml:space="preserve">یک عمل در شمس و یک عمل در قمر؛ انجام: و نوری و لطافتی و صفایی در وی ... خط: نسخ پخته، بی کا، تا: ۱۲۷۱ق؛ اگ (۷۱ر-۷۱پ) [ف: ۱-۴۱]</w:t>
      </w:r>
    </w:p>
    <w:p>
      <w:pPr>
        <w:pStyle w:val="Heading3"/>
      </w:pPr>
      <w:bookmarkStart w:id="1926" w:name="_Toc1186"/>
      <w:r>
        <w:t>• تاج المصادر = تهذيب الأسماء = تاج الاسامی / لغت / عربی به فارسی</w:t>
      </w:r>
      <w:bookmarkEnd w:id="1926"/>
    </w:p>
    <w:p>
      <w:pPr>
        <w:pStyle w:val="BookText"/>
      </w:pPr>
      <w:r>
        <w:rPr>
          <w:rFonts w:ascii="Times New Roman" w:hAnsi="Times New Roman" w:eastAsia="Times New Roman" w:cs="Times New Roman"/>
          <w:lang w:val="en-US" w:bidi="en-US"/>
          <w:color w:val="111111"/>
          <w:sz w:val="28"/>
          <w:szCs w:val="28"/>
          <w:rtl/>
        </w:rPr>
        <w:t xml:space="preserve">tāj-ul maşādir = tahdīb-ul asmā’ = tāj-ul asāmī</w:t>
      </w:r>
    </w:p>
    <w:p>
      <w:pPr>
        <w:pStyle w:val="BookText"/>
      </w:pPr>
      <w:r>
        <w:rPr>
          <w:rFonts w:ascii="IRNazanin" w:hAnsi="IRNazanin" w:eastAsia="IRNazanin" w:cs="IRNazanin"/>
          <w:lang w:bidi="fa-IR"/>
          <w:color w:val="111111"/>
          <w:sz w:val="28"/>
          <w:szCs w:val="28"/>
          <w:rtl/>
        </w:rPr>
        <w:t xml:space="preserve">بیهقی، احمد بن على، ۴۷۰؟ -۵۴۴ قمری</w:t>
      </w:r>
    </w:p>
    <w:p>
      <w:pPr>
        <w:pStyle w:val="BookText"/>
      </w:pPr>
      <w:r>
        <w:rPr>
          <w:rFonts w:ascii="Times New Roman" w:hAnsi="Times New Roman" w:eastAsia="Times New Roman" w:cs="Times New Roman"/>
          <w:lang w:val="en-US" w:bidi="en-US"/>
          <w:color w:val="111111"/>
          <w:sz w:val="28"/>
          <w:szCs w:val="28"/>
          <w:rtl/>
        </w:rPr>
        <w:t xml:space="preserve">beyhaqī, ahmad ebn-e ‘alī (1078-1150)</w:t>
      </w:r>
    </w:p>
    <w:p>
      <w:pPr>
        <w:pStyle w:val="BookText"/>
      </w:pPr>
      <w:r>
        <w:rPr>
          <w:rFonts w:ascii="IRNazanin" w:hAnsi="IRNazanin" w:eastAsia="IRNazanin" w:cs="IRNazanin"/>
          <w:lang w:bidi="fa-IR"/>
          <w:color w:val="111111"/>
          <w:sz w:val="28"/>
          <w:szCs w:val="28"/>
          <w:rtl/>
        </w:rPr>
        <w:t xml:space="preserve">واژه نامه ای است شامل مصادر زبان عربی و معانی فارسی آن در دو بخش: ۱. مصادر ثلاثی مجرد، در شش «باب»؛ ۲. مصادر ثلاثی مزید. در هر باب نخست به ذکر مصادر صحیح و سالم سپس مصادر مضاعف و معلول پرداخته و همه کلمات بر حسب ترتیب تهجی از حرف آخر مصادر نگاشته شده است. تحریر کامل شده مصادر ابو عبدالله حسین بن احمد زوزنی (- ۴۸۶ق) است. بیهقی بدون این که از مصادر زوزنی نام برد، مطالب بسیاری بر آن افزوده است.</w:t>
      </w:r>
    </w:p>
    <w:p>
      <w:pPr>
        <w:pStyle w:val="BookText"/>
      </w:pPr>
      <w:r>
        <w:rPr>
          <w:rFonts w:ascii="Amiri" w:hAnsi="Amiri" w:eastAsia="Amiri" w:cs="Amiri"/>
          <w:lang w:bidi="ar-SA"/>
          <w:color w:val="111111"/>
          <w:sz w:val="28"/>
          <w:szCs w:val="28"/>
          <w:rtl/>
        </w:rPr>
        <w:t xml:space="preserve">آغاز: الحمدلله رب العالمين حمدا يفوق حمد الشاكرين نحمده على السراء والضراء و نشكره ... اما بعد فان هذه مصادر هذبت فارسيتها و عرضت على اللكتب الائمة عربيتها</w:t>
      </w:r>
    </w:p>
    <w:p>
      <w:pPr>
        <w:pStyle w:val="BookText"/>
      </w:pPr>
      <w:r>
        <w:rPr>
          <w:rFonts w:ascii="IRNazanin" w:hAnsi="IRNazanin" w:eastAsia="IRNazanin" w:cs="IRNazanin"/>
          <w:lang w:bidi="fa-IR"/>
          <w:color w:val="111111"/>
          <w:sz w:val="28"/>
          <w:szCs w:val="28"/>
          <w:rtl/>
        </w:rPr>
        <w:t xml:space="preserve">انجام: و الصحيح أن الطمأنينة اسم اقيم مقام المصدر الأقبئنان الاكبثنان الاقستنان سخت تاریک شدن شب و اقسأن الرجل كبر و عسا الاكبئنان واهم آمدن.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چاپ: بمبئی، سنگی، ۱۳۰۱-۱۳۰۲، رقعی، ۲۲۹+۳صص؛ به تصحیح و با پیش گفتاری از هادی عالم زاده (تهران، ۱۳۶۶ ش)، ۲ جلد، ۱۱۸ص</w:t>
      </w:r>
    </w:p>
    <w:p>
      <w:pPr>
        <w:pStyle w:val="BookText"/>
      </w:pPr>
      <w:r>
        <w:rPr>
          <w:rFonts w:ascii="IRNazanin" w:hAnsi="IRNazanin" w:eastAsia="IRNazanin" w:cs="IRNazanin"/>
          <w:lang w:bidi="fa-IR"/>
          <w:color w:val="111111"/>
          <w:sz w:val="28"/>
          <w:szCs w:val="28"/>
          <w:rtl/>
        </w:rPr>
        <w:t xml:space="preserve">[دنا ۶۶۰/۲ (۴۷ نسخه)؛ الذريعة ۲۰۷/۳ ؛ نسخه های منزوی ۱۹۶۵/۳ (۲۲ نسخه)؛ عالم زاده، پیش گفتار تاج المصادر؛ فرهنگنامه ها ۴۸-۴۹؛ کشف الظنون ۱: ۲۶۹؛ لغت نامه دهخدا ۷/۳؛ مجمل فصیحی ۲۴۲/۲ ]</w:t>
      </w:r>
    </w:p>
    <w:p>
      <w:pPr>
        <w:pStyle w:val="BookText"/>
      </w:pPr>
      <w:r>
        <w:rPr>
          <w:rFonts w:ascii="IRNazanin" w:hAnsi="IRNazanin" w:eastAsia="IRNazanin" w:cs="IRNazanin"/>
          <w:lang w:bidi="fa-IR"/>
          <w:color w:val="111111"/>
          <w:sz w:val="28"/>
          <w:szCs w:val="28"/>
          <w:rtl/>
        </w:rPr>
        <w:t xml:space="preserve">۱. تهران، دانشگاه؛ شماره نسخه:۲۳۴۴-ف</w:t>
      </w:r>
    </w:p>
    <w:p>
      <w:pPr>
        <w:pStyle w:val="BookText"/>
      </w:pPr>
      <w:r>
        <w:rPr>
          <w:rFonts w:ascii="IRNazanin" w:hAnsi="IRNazanin" w:eastAsia="IRNazanin" w:cs="IRNazanin"/>
          <w:lang w:bidi="fa-IR"/>
          <w:color w:val="111111"/>
          <w:sz w:val="28"/>
          <w:szCs w:val="28"/>
          <w:rtl/>
        </w:rPr>
        <w:t xml:space="preserve">نسخه اصل: لالا اسماعیل ش ۶۴۳ (یا ۴۴۳)؛ خط: نسخ، بی کا، تا: دوشنبه شوال ۵۳۶ق؛ ۲۷۲گ [فيلمها ف: ۱-۲۸]</w:t>
      </w:r>
    </w:p>
    <w:p>
      <w:pPr>
        <w:pStyle w:val="BookText"/>
      </w:pPr>
      <w:r>
        <w:rPr>
          <w:rFonts w:ascii="IRNazanin" w:hAnsi="IRNazanin" w:eastAsia="IRNazanin" w:cs="IRNazanin"/>
          <w:lang w:bidi="fa-IR"/>
          <w:color w:val="111111"/>
          <w:sz w:val="28"/>
          <w:szCs w:val="28"/>
          <w:rtl/>
        </w:rPr>
        <w:t xml:space="preserve">تهران؛ مینوی؛ شماره نسخه:۵۷بخش۳</w:t>
      </w:r>
    </w:p>
    <w:p>
      <w:pPr>
        <w:pStyle w:val="BookText"/>
      </w:pPr>
      <w:r>
        <w:rPr>
          <w:rFonts w:ascii="IRNazanin" w:hAnsi="IRNazanin" w:eastAsia="IRNazanin" w:cs="IRNazanin"/>
          <w:lang w:bidi="fa-IR"/>
          <w:color w:val="111111"/>
          <w:sz w:val="28"/>
          <w:szCs w:val="28"/>
          <w:rtl/>
        </w:rPr>
        <w:t xml:space="preserve">نسخه اصل: همان نسخه بالا [ف: ۹۷]</w:t>
      </w:r>
    </w:p>
    <w:p>
      <w:pPr>
        <w:pStyle w:val="BookText"/>
      </w:pPr>
      <w:r>
        <w:rPr>
          <w:rFonts w:ascii="IRNazanin" w:hAnsi="IRNazanin" w:eastAsia="IRNazanin" w:cs="IRNazanin"/>
          <w:lang w:bidi="fa-IR"/>
          <w:color w:val="111111"/>
          <w:sz w:val="28"/>
          <w:szCs w:val="28"/>
          <w:rtl/>
        </w:rPr>
        <w:t xml:space="preserve">۲. تهران؛ مجلس؛ شماره نسخه:۲۰۹ ط</w:t>
      </w:r>
    </w:p>
    <w:p>
      <w:pPr>
        <w:pStyle w:val="BookText"/>
      </w:pPr>
      <w:r>
        <w:rPr>
          <w:rFonts w:ascii="IRNazanin" w:hAnsi="IRNazanin" w:eastAsia="IRNazanin" w:cs="IRNazanin"/>
          <w:lang w:bidi="fa-IR"/>
          <w:color w:val="111111"/>
          <w:sz w:val="28"/>
          <w:szCs w:val="28"/>
          <w:rtl/>
        </w:rPr>
        <w:t xml:space="preserve">خط: نسخ، بی کا، تا: قرن ۷ [مختصر ف: ۱۲۳]</w:t>
      </w:r>
    </w:p>
    <w:p>
      <w:pPr>
        <w:pStyle w:val="BookText"/>
      </w:pPr>
      <w:r>
        <w:rPr>
          <w:rFonts w:ascii="IRNazanin" w:hAnsi="IRNazanin" w:eastAsia="IRNazanin" w:cs="IRNazanin"/>
          <w:lang w:bidi="fa-IR"/>
          <w:color w:val="111111"/>
          <w:sz w:val="28"/>
          <w:szCs w:val="28"/>
          <w:rtl/>
        </w:rPr>
        <w:t xml:space="preserve">۳. تهران؛ مجلس؛ شماره نسخه:۲۰۹- طباطبائی</w:t>
      </w:r>
    </w:p>
    <w:p>
      <w:pPr>
        <w:pStyle w:val="BookText"/>
      </w:pPr>
      <w:r>
        <w:rPr>
          <w:rFonts w:ascii="IRNazanin" w:hAnsi="IRNazanin" w:eastAsia="IRNazanin" w:cs="IRNazanin"/>
          <w:lang w:bidi="fa-IR"/>
          <w:color w:val="111111"/>
          <w:sz w:val="28"/>
          <w:szCs w:val="28"/>
          <w:rtl/>
        </w:rPr>
        <w:t xml:space="preserve">آغاز: الغابر يجلب. الحلب چیزی با خویشتن؛ انجام: في الحديث ما از لجف ما تنحي و ما تباعد</w:t>
      </w:r>
    </w:p>
    <w:p>
      <w:pPr>
        <w:pStyle w:val="BookText"/>
      </w:pPr>
      <w:r>
        <w:rPr>
          <w:rFonts w:ascii="IRNazanin" w:hAnsi="IRNazanin" w:eastAsia="IRNazanin" w:cs="IRNazanin"/>
          <w:lang w:bidi="fa-IR"/>
          <w:color w:val="111111"/>
          <w:sz w:val="28"/>
          <w:szCs w:val="28"/>
          <w:rtl/>
        </w:rPr>
        <w:t xml:space="preserve">خط: نسخ کهن، بی کا، تا: قرن ۷؛ افتادگی: آغاز و انجام؛ کاغذ: خانبالغ، جلد: تیماج مشکی، ۱۷۱ ، ۲۳ سطر، قطع: وزیری اندازه: ۲۲/۵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۲۴-۱۵۰]</w:t>
      </w:r>
    </w:p>
    <w:p>
      <w:pPr>
        <w:pStyle w:val="BookText"/>
      </w:pPr>
      <w:r>
        <w:rPr>
          <w:rFonts w:ascii="IRNazanin" w:hAnsi="IRNazanin" w:eastAsia="IRNazanin" w:cs="IRNazanin"/>
          <w:lang w:bidi="fa-IR"/>
          <w:color w:val="111111"/>
          <w:sz w:val="28"/>
          <w:szCs w:val="28"/>
          <w:rtl/>
        </w:rPr>
        <w:t xml:space="preserve">۴. مشهد؛ رضوی؛ شماره نسخه:۳۶۴۹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حدود اوایل قرن ۷؛ واقف: خواجه شیر احمد تونی، اواسط قرن ۱۲؛ کاغذ: حنایی سمرقندی، جلد: چرمی، ۳۳۲گ، ۱۹ سطر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۱۲/۷ )، اندازه: ۳۱/۱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اف: ۱۳-۱۷]</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تهران؛ دائرة المعارف؛ شماره نسخه: ۵۲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پخته، كا: شمس الدين محمد بن على كاشغری، تا: صفر ۶۰۳ق؛ تملك: على بن حسن ابن جبريل ... ملقب به شمس در ۶۱۵ق، محمد على بن عمر بن محمود ... الملقب به سیف خطیب در ۶۹۲ق، جمال الدين بن پیر محمد اردستانی در ۱۰۴۷ق، محمد رشید مازندرانی در ۱۰۵۲ ق با نشان مهر او، محمد علی بن محمد نصیر اردستانی در ۱۰۶۹ ق؛ مهر: «لا اله الا الله الملك الغني عزالدين بن ... الحسینی» (دایره)؛ کاغذ: حنایی ضخیم، جلد: مقوا عطف تیماج قهوه ای، ۱۹۱گ، ۲۵ سطر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۲۳/۵ )،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w:t>
      </w:r>
    </w:p>
    <w:p>
      <w:pPr>
        <w:pStyle w:val="BookText"/>
      </w:pPr>
      <w:r>
        <w:rPr>
          <w:rFonts w:ascii="IRNazanin" w:hAnsi="IRNazanin" w:eastAsia="IRNazanin" w:cs="IRNazanin"/>
          <w:lang w:bidi="fa-IR"/>
          <w:color w:val="111111"/>
          <w:sz w:val="28"/>
          <w:szCs w:val="28"/>
          <w:rtl/>
        </w:rPr>
        <w:t xml:space="preserve">[ف: ۱-۴۱]</w:t>
      </w:r>
    </w:p>
    <w:p>
      <w:pPr>
        <w:pStyle w:val="BookText"/>
      </w:pPr>
      <w:r>
        <w:rPr>
          <w:rFonts w:ascii="IRNazanin" w:hAnsi="IRNazanin" w:eastAsia="IRNazanin" w:cs="IRNazanin"/>
          <w:lang w:bidi="fa-IR"/>
          <w:color w:val="111111"/>
          <w:sz w:val="28"/>
          <w:szCs w:val="28"/>
          <w:rtl/>
        </w:rPr>
        <w:t xml:space="preserve">۶. تهران، دانشگاه؛ شماره نسخه:۶۸۵۹-عکس</w:t>
      </w:r>
    </w:p>
    <w:p>
      <w:pPr>
        <w:pStyle w:val="BookText"/>
      </w:pPr>
      <w:r>
        <w:rPr>
          <w:rFonts w:ascii="IRNazanin" w:hAnsi="IRNazanin" w:eastAsia="IRNazanin" w:cs="IRNazanin"/>
          <w:lang w:bidi="fa-IR"/>
          <w:color w:val="111111"/>
          <w:sz w:val="28"/>
          <w:szCs w:val="28"/>
          <w:rtl/>
        </w:rPr>
        <w:t xml:space="preserve">نسخه اصل: بادلیان ۱۸۳۵ (۲۸۳ اوسلی)؛ خط: نستعلیق، کا: محمود بن مسعود، تا: ۱۵ رجب ۶۶۱ق؛ از روی اصل مصنف، مقابله شده؛ خریداری روز یکشنبه ۲۴ شوال ۶۹۲، ۱۹۹</w:t>
      </w:r>
    </w:p>
    <w:p>
      <w:pPr>
        <w:pStyle w:val="BookText"/>
      </w:pPr>
      <w:r>
        <w:rPr>
          <w:rFonts w:ascii="IRNazanin" w:hAnsi="IRNazanin" w:eastAsia="IRNazanin" w:cs="IRNazanin"/>
          <w:lang w:bidi="fa-IR"/>
          <w:color w:val="111111"/>
          <w:sz w:val="28"/>
          <w:szCs w:val="28"/>
          <w:rtl/>
        </w:rPr>
        <w:t xml:space="preserve">، ۳۰ سطر (فیلمها ف: ۳-۲۶۳]</w:t>
      </w:r>
    </w:p>
    <w:p>
      <w:pPr>
        <w:pStyle w:val="BookText"/>
      </w:pPr>
      <w:r>
        <w:rPr>
          <w:rFonts w:ascii="IRNazanin" w:hAnsi="IRNazanin" w:eastAsia="IRNazanin" w:cs="IRNazanin"/>
          <w:lang w:bidi="fa-IR"/>
          <w:color w:val="111111"/>
          <w:sz w:val="28"/>
          <w:szCs w:val="28"/>
          <w:rtl/>
        </w:rPr>
        <w:t xml:space="preserve">تهران؛ مینوی؛ شماره نسخه:۳۲۹بخش۳ نسخه اصل: همان نسخه اصل بالا [ف: ۱۴۳]</w:t>
      </w:r>
    </w:p>
    <w:p>
      <w:pPr>
        <w:pStyle w:val="BookText"/>
      </w:pPr>
      <w:r>
        <w:rPr>
          <w:rFonts w:ascii="IRNazanin" w:hAnsi="IRNazanin" w:eastAsia="IRNazanin" w:cs="IRNazanin"/>
          <w:lang w:bidi="fa-IR"/>
          <w:color w:val="111111"/>
          <w:sz w:val="28"/>
          <w:szCs w:val="28"/>
          <w:rtl/>
        </w:rPr>
        <w:t xml:space="preserve">تهران؛ مینوی؛ شماره نسخه:۱۲ بخش ۲</w:t>
      </w:r>
    </w:p>
    <w:p>
      <w:pPr>
        <w:pStyle w:val="BookText"/>
      </w:pPr>
      <w:r>
        <w:rPr>
          <w:rFonts w:ascii="IRNazanin" w:hAnsi="IRNazanin" w:eastAsia="IRNazanin" w:cs="IRNazanin"/>
          <w:lang w:bidi="fa-IR"/>
          <w:color w:val="111111"/>
          <w:sz w:val="28"/>
          <w:szCs w:val="28"/>
          <w:rtl/>
        </w:rPr>
        <w:t xml:space="preserve">نسخه اصل: الأزهر ۱۹۱ در فهرست چنین آمده اما مشخصات آن با همان نسخه اصل بالا مطابقت دارد] [ف: ۶۴]</w:t>
      </w:r>
    </w:p>
    <w:p>
      <w:pPr>
        <w:pStyle w:val="BookText"/>
      </w:pPr>
      <w:r>
        <w:rPr>
          <w:rFonts w:ascii="IRNazanin" w:hAnsi="IRNazanin" w:eastAsia="IRNazanin" w:cs="IRNazanin"/>
          <w:lang w:bidi="fa-IR"/>
          <w:color w:val="111111"/>
          <w:sz w:val="28"/>
          <w:szCs w:val="28"/>
          <w:rtl/>
        </w:rPr>
        <w:t xml:space="preserve">۷. تهران، دانشگاه؛ شماره نسخه:۶۲۷-ف</w:t>
      </w:r>
    </w:p>
    <w:p>
      <w:pPr>
        <w:pStyle w:val="BookText"/>
      </w:pPr>
      <w:r>
        <w:rPr>
          <w:rFonts w:ascii="IRNazanin" w:hAnsi="IRNazanin" w:eastAsia="IRNazanin" w:cs="IRNazanin"/>
          <w:lang w:bidi="fa-IR"/>
          <w:color w:val="111111"/>
          <w:sz w:val="28"/>
          <w:szCs w:val="28"/>
          <w:rtl/>
        </w:rPr>
        <w:t xml:space="preserve">نسخه اصل: طرخان والده ش ۳۱۲؛ خط: نسخ، كا: مسعود بن محمد بن عمر ملقب به برهان اند کانی، تا: ۲۷ شوال ۶۶۳ق، جان خجند؛ ۱۹۹گ، ۲۸ سطر [فيلمها ف: ۱-۲۶]</w:t>
      </w:r>
    </w:p>
    <w:p>
      <w:pPr>
        <w:pStyle w:val="BookText"/>
      </w:pPr>
      <w:r>
        <w:rPr>
          <w:rFonts w:ascii="IRNazanin" w:hAnsi="IRNazanin" w:eastAsia="IRNazanin" w:cs="IRNazanin"/>
          <w:lang w:bidi="fa-IR"/>
          <w:color w:val="111111"/>
          <w:sz w:val="28"/>
          <w:szCs w:val="28"/>
          <w:rtl/>
        </w:rPr>
        <w:t xml:space="preserve">۸. تهران؛ دانشگاه؛ شماره نسخه:۸۷۶۷</w:t>
      </w:r>
    </w:p>
    <w:p>
      <w:pPr>
        <w:pStyle w:val="BookText"/>
      </w:pPr>
      <w:r>
        <w:rPr>
          <w:rFonts w:ascii="IRNazanin" w:hAnsi="IRNazanin" w:eastAsia="IRNazanin" w:cs="IRNazanin"/>
          <w:lang w:bidi="fa-IR"/>
          <w:color w:val="111111"/>
          <w:sz w:val="28"/>
          <w:szCs w:val="28"/>
          <w:rtl/>
        </w:rPr>
        <w:t xml:space="preserve">خط: نستعلیق، بی کا، تا: قرن ۱۸ افتادگی: انجام کاغذ: سمرقندی، جلد: مقوا، ۱۷۵گ، ۱۶ سطر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۲۱۷-۱۷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مشهد؛ رضوی؛ شماره نسخه: ۳۶۸۹</w:t>
      </w:r>
    </w:p>
    <w:p>
      <w:pPr>
        <w:pStyle w:val="BookText"/>
      </w:pPr>
      <w:r>
        <w:rPr>
          <w:rFonts w:ascii="IRNazanin" w:hAnsi="IRNazanin" w:eastAsia="IRNazanin" w:cs="IRNazanin"/>
          <w:lang w:bidi="fa-IR"/>
          <w:color w:val="111111"/>
          <w:sz w:val="28"/>
          <w:szCs w:val="28"/>
          <w:rtl/>
        </w:rPr>
        <w:t xml:space="preserve">آغاز: بسمله، باب الأفعال، هو مما زيدت الهمزه في اوله، ب، الأتراب توانگر شدن؛ انجام: الا كويلال، کوتاه شدن.</w:t>
      </w:r>
    </w:p>
    <w:p>
      <w:pPr>
        <w:pStyle w:val="BookText"/>
      </w:pPr>
      <w:r>
        <w:rPr>
          <w:rFonts w:ascii="IRNazanin" w:hAnsi="IRNazanin" w:eastAsia="IRNazanin" w:cs="IRNazanin"/>
          <w:lang w:bidi="fa-IR"/>
          <w:color w:val="111111"/>
          <w:sz w:val="28"/>
          <w:szCs w:val="28"/>
          <w:rtl/>
        </w:rPr>
        <w:t xml:space="preserve">نیمه دوم کتابست ازباب افعال تا آخر؛ خط: نسخ، بی کا، تا: حدود اواخر قرن ۶۸ واقف: نادرشاه افشار، ۱۱۴۵ق، کاغذ: حنایی سمرقندی، جلد: چرمی، ۸۲گ، ۲۳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۱۸/۷ سم [ف: ۱۳-۱۷]</w:t>
      </w:r>
    </w:p>
    <w:p>
      <w:pPr>
        <w:pStyle w:val="BookText"/>
      </w:pPr>
      <w:r>
        <w:rPr>
          <w:rFonts w:ascii="IRNazanin" w:hAnsi="IRNazanin" w:eastAsia="IRNazanin" w:cs="IRNazanin"/>
          <w:lang w:bidi="fa-IR"/>
          <w:color w:val="111111"/>
          <w:sz w:val="28"/>
          <w:szCs w:val="28"/>
          <w:rtl/>
        </w:rPr>
        <w:t xml:space="preserve">۱۰. تهران؛ مجلس؛ شماره نسخه:۱۱۰۵</w:t>
      </w:r>
    </w:p>
    <w:p>
      <w:pPr>
        <w:pStyle w:val="BookText"/>
      </w:pPr>
      <w:r>
        <w:rPr>
          <w:rFonts w:ascii="IRNazanin" w:hAnsi="IRNazanin" w:eastAsia="IRNazanin" w:cs="IRNazanin"/>
          <w:lang w:bidi="fa-IR"/>
          <w:color w:val="111111"/>
          <w:sz w:val="28"/>
          <w:szCs w:val="28"/>
          <w:rtl/>
        </w:rPr>
        <w:t xml:space="preserve">خط: نسخ معرب، بی کا، تا: قرن ۷ و ۸ تملک: محمد على اسلامی؛ کاغذ: سفید، جلد: تیماج مشکی یک لا، ۲۲۷گ، ۲۵سطر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[سنا: ف: ۲-۱۱۹]</w:t>
      </w:r>
    </w:p>
    <w:p>
      <w:pPr>
        <w:pStyle w:val="BookText"/>
      </w:pPr>
      <w:r>
        <w:rPr>
          <w:rFonts w:ascii="IRNazanin" w:hAnsi="IRNazanin" w:eastAsia="IRNazanin" w:cs="IRNazanin"/>
          <w:lang w:bidi="fa-IR"/>
          <w:color w:val="111111"/>
          <w:sz w:val="28"/>
          <w:szCs w:val="28"/>
          <w:rtl/>
        </w:rPr>
        <w:t xml:space="preserve">۱۱. تهران، دانشگاه؛ شماره نسخه:۸۵۱۸</w:t>
      </w:r>
    </w:p>
    <w:p>
      <w:pPr>
        <w:pStyle w:val="BookText"/>
      </w:pPr>
      <w:r>
        <w:rPr>
          <w:rFonts w:ascii="IRNazanin" w:hAnsi="IRNazanin" w:eastAsia="IRNazanin" w:cs="IRNazanin"/>
          <w:lang w:bidi="fa-IR"/>
          <w:color w:val="111111"/>
          <w:sz w:val="28"/>
          <w:szCs w:val="28"/>
          <w:rtl/>
        </w:rPr>
        <w:t xml:space="preserve">خط: تعليق، بی کا، تا: قرن ۷ و ۸ افتادگی: انجام؛ کاغذ: سمرقندی، جلد: تیماج تریاکی ترنجی، ۵۴گ، ۱۷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۱۷-۱۵۱]</w:t>
      </w:r>
    </w:p>
    <w:p>
      <w:pPr>
        <w:pStyle w:val="BookText"/>
      </w:pPr>
      <w:r>
        <w:rPr>
          <w:rFonts w:ascii="IRNazanin" w:hAnsi="IRNazanin" w:eastAsia="IRNazanin" w:cs="IRNazanin"/>
          <w:lang w:bidi="fa-IR"/>
          <w:color w:val="111111"/>
          <w:sz w:val="28"/>
          <w:szCs w:val="28"/>
          <w:rtl/>
        </w:rPr>
        <w:t xml:space="preserve">۱۲. اصفهان؛ مدرسه صدر بازار؛ شماره نسخه: ۴۰۱</w:t>
      </w:r>
    </w:p>
    <w:p>
      <w:pPr>
        <w:pStyle w:val="BookText"/>
      </w:pPr>
      <w:r>
        <w:rPr>
          <w:rFonts w:ascii="IRNazanin" w:hAnsi="IRNazanin" w:eastAsia="IRNazanin" w:cs="IRNazanin"/>
          <w:lang w:bidi="fa-IR"/>
          <w:color w:val="111111"/>
          <w:sz w:val="28"/>
          <w:szCs w:val="28"/>
          <w:rtl/>
        </w:rPr>
        <w:t xml:space="preserve">آغاز: يفعل و يفعل العتبان بر سه قوائم رفتن اشتر و به یک پای جستن مردم ... العذب باز داشتن از کاری خط: نسخ، كا: على بن محمد الشيخ، تا: شنبه ۸ شوال ۷۰۵ق، جان مشهد؛ افتادگی: آغاز؛ مهر: «عالما بحالی علیک نکالی و انا الفقير مسعود بن عبدالله الحسنی» (بیضوی)؛ ۲۵۰گ، ۲۰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۲۶/۵سم [ف: ۲-۲۸۶]</w:t>
      </w:r>
    </w:p>
    <w:p>
      <w:pPr>
        <w:pStyle w:val="BookText"/>
      </w:pPr>
      <w:r>
        <w:rPr>
          <w:rFonts w:ascii="IRNazanin" w:hAnsi="IRNazanin" w:eastAsia="IRNazanin" w:cs="IRNazanin"/>
          <w:lang w:bidi="fa-IR"/>
          <w:color w:val="111111"/>
          <w:sz w:val="28"/>
          <w:szCs w:val="28"/>
          <w:rtl/>
        </w:rPr>
        <w:t xml:space="preserve">۱۳. تهران، دانشگاه؛ شماره نسخه:۴۸۲-ف</w:t>
      </w:r>
    </w:p>
    <w:p>
      <w:pPr>
        <w:pStyle w:val="BookText"/>
      </w:pPr>
      <w:r>
        <w:rPr>
          <w:rFonts w:ascii="IRNazanin" w:hAnsi="IRNazanin" w:eastAsia="IRNazanin" w:cs="IRNazanin"/>
          <w:lang w:bidi="fa-IR"/>
          <w:color w:val="111111"/>
          <w:sz w:val="28"/>
          <w:szCs w:val="28"/>
          <w:rtl/>
        </w:rPr>
        <w:t xml:space="preserve">نسخه اصل: مرادملا ش ۱۷۲۴؛ خط: نسخ، كا: صالح بن يعقوب، تا: پنج شنبه ۱۸ ذیحجه ۷۰۸ق، جا: جامع مطربی؛ ۱۴۵گ، ۲۷ سطر [فیلمها ف: ۱-۲۸]</w:t>
      </w:r>
    </w:p>
    <w:p>
      <w:pPr>
        <w:pStyle w:val="BookText"/>
      </w:pPr>
      <w:r>
        <w:rPr>
          <w:rFonts w:ascii="IRNazanin" w:hAnsi="IRNazanin" w:eastAsia="IRNazanin" w:cs="IRNazanin"/>
          <w:lang w:bidi="fa-IR"/>
          <w:color w:val="111111"/>
          <w:sz w:val="28"/>
          <w:szCs w:val="28"/>
          <w:rtl/>
        </w:rPr>
        <w:t xml:space="preserve">۱۴. مشهد؛ مدرسه آية الله خوئی؛ شماره نسخه:۳۴۸</w:t>
      </w:r>
    </w:p>
    <w:p>
      <w:pPr>
        <w:pStyle w:val="BookText"/>
      </w:pPr>
      <w:r>
        <w:rPr>
          <w:rFonts w:ascii="IRNazanin" w:hAnsi="IRNazanin" w:eastAsia="IRNazanin" w:cs="IRNazanin"/>
          <w:lang w:bidi="fa-IR"/>
          <w:color w:val="111111"/>
          <w:sz w:val="28"/>
          <w:szCs w:val="28"/>
          <w:rtl/>
        </w:rPr>
        <w:t xml:space="preserve">بی کا، تا: ۷۵۱ق، جان هرات [اوراق عتیق: ۱-۲۴۲]</w:t>
      </w:r>
    </w:p>
    <w:p>
      <w:pPr>
        <w:pStyle w:val="BookText"/>
      </w:pPr>
      <w:r>
        <w:rPr>
          <w:rFonts w:ascii="IRNazanin" w:hAnsi="IRNazanin" w:eastAsia="IRNazanin" w:cs="IRNazanin"/>
          <w:lang w:bidi="fa-IR"/>
          <w:color w:val="111111"/>
          <w:sz w:val="28"/>
          <w:szCs w:val="28"/>
          <w:rtl/>
        </w:rPr>
        <w:t xml:space="preserve">۱۵. تهران؛ دانشگاه؛ شماره نسخه:۱۷۷</w:t>
      </w:r>
    </w:p>
    <w:p>
      <w:pPr>
        <w:pStyle w:val="BookText"/>
      </w:pPr>
      <w:r>
        <w:rPr>
          <w:rFonts w:ascii="IRNazanin" w:hAnsi="IRNazanin" w:eastAsia="IRNazanin" w:cs="IRNazanin"/>
          <w:lang w:bidi="fa-IR"/>
          <w:color w:val="111111"/>
          <w:sz w:val="28"/>
          <w:szCs w:val="28"/>
          <w:rtl/>
        </w:rPr>
        <w:t xml:space="preserve">خط: نسخ، كا: محمد پسر عمر پسر محمد پسر عمر حافظ، تا: جمعه ۱ شعبان ۸۴۷ق؛ مصحح، مقابله شده در رمضان همان سال، محشي با نشان «خ»، محمد رضا یزدی فهرستی در شوال ۱۲۴۴ق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آن نوشته؛ کاغذ: نوعی ترمه، جلد: تیماج حنایی، ۱۷۲گ، ۲۳ سطر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w:t>
      </w:r>
    </w:p>
    <w:p>
      <w:pPr>
        <w:pStyle w:val="BookText"/>
      </w:pPr>
      <w:r>
        <w:rPr>
          <w:rFonts w:ascii="IRNazanin" w:hAnsi="IRNazanin" w:eastAsia="IRNazanin" w:cs="IRNazanin"/>
          <w:lang w:bidi="fa-IR"/>
          <w:color w:val="111111"/>
          <w:sz w:val="28"/>
          <w:szCs w:val="28"/>
          <w:rtl/>
        </w:rPr>
        <w:t xml:space="preserve">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۲-۳۳۵]</w:t>
      </w:r>
    </w:p>
    <w:p>
      <w:pPr>
        <w:pStyle w:val="BookText"/>
      </w:pPr>
      <w:r>
        <w:rPr>
          <w:rFonts w:ascii="IRNazanin" w:hAnsi="IRNazanin" w:eastAsia="IRNazanin" w:cs="IRNazanin"/>
          <w:lang w:bidi="fa-IR"/>
          <w:color w:val="111111"/>
          <w:sz w:val="28"/>
          <w:szCs w:val="28"/>
          <w:rtl/>
        </w:rPr>
        <w:t xml:space="preserve">۱۶. تهران؛ مجلس؛ شماره نسخه: ۸۴۹</w:t>
      </w:r>
    </w:p>
    <w:p>
      <w:pPr>
        <w:pStyle w:val="BookText"/>
      </w:pPr>
      <w:r>
        <w:rPr>
          <w:rFonts w:ascii="IRNazanin" w:hAnsi="IRNazanin" w:eastAsia="IRNazanin" w:cs="IRNazanin"/>
          <w:lang w:bidi="fa-IR"/>
          <w:color w:val="111111"/>
          <w:sz w:val="28"/>
          <w:szCs w:val="28"/>
          <w:rtl/>
        </w:rPr>
        <w:t xml:space="preserve">خط: نسخ، كا: محمد بن محمد صوفی، تا: ۸۴۸ق؛ مصحح، محشی؛ کاغذ: سمرقندی، جلد: تیماج، ۲۱۲ گ، ۲۵ سطر، قطع: وزیری، اندازه: ۲۷/۱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۳-۸۱]</w:t>
      </w:r>
    </w:p>
    <w:p>
      <w:pPr>
        <w:pStyle w:val="BookText"/>
      </w:pPr>
      <w:r>
        <w:rPr>
          <w:rFonts w:ascii="IRNazanin" w:hAnsi="IRNazanin" w:eastAsia="IRNazanin" w:cs="IRNazanin"/>
          <w:lang w:bidi="fa-IR"/>
          <w:color w:val="111111"/>
          <w:sz w:val="28"/>
          <w:szCs w:val="28"/>
          <w:rtl/>
        </w:rPr>
        <w:t xml:space="preserve">۱۷. تهران، دانشگاه؛ شماره نسخه:۶۶۹۷ و ۲۴۶۶ف</w:t>
      </w:r>
    </w:p>
    <w:p>
      <w:pPr>
        <w:pStyle w:val="BookText"/>
      </w:pPr>
      <w:r>
        <w:rPr>
          <w:rFonts w:ascii="IRNazanin" w:hAnsi="IRNazanin" w:eastAsia="IRNazanin" w:cs="IRNazanin"/>
          <w:lang w:bidi="fa-IR"/>
          <w:color w:val="111111"/>
          <w:sz w:val="28"/>
          <w:szCs w:val="28"/>
          <w:rtl/>
        </w:rPr>
        <w:t xml:space="preserve">خط: نسخ، كا: عبدالرحيم بن خليفه بن يونس، تا: ۳ ذیقعده ۸۴۹ق؛ مقابله کرده عبدالعلی بن محمد بن حسین بیرجندی ) در ربیع الاول ۹۰۴، مصحح، بندی به عربی به خط نسخ از عبدالحق بن بهاء الدين جعفر قاینی که در روستای پژد بیرجند در روز سه شنبه ۷ شوال ۸۹۵ نوشته؛ تملک: عقیلی ۱۰۸۹؛ مهر: محمد على؛ کاغذ: سمرقندی، جلد: تیماج مشکی، ۱۸۱ گ، ۲۱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قطع: وزیری، اندازه: ۲۵</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۱۶سم [ف: ۱۶-۳۳۵] و [فيلمها ف: ۱-۲۸]</w:t>
      </w:r>
    </w:p>
    <w:p>
      <w:pPr>
        <w:pStyle w:val="BookText"/>
      </w:pPr>
      <w:r>
        <w:rPr>
          <w:rFonts w:ascii="IRNazanin" w:hAnsi="IRNazanin" w:eastAsia="IRNazanin" w:cs="IRNazanin"/>
          <w:lang w:bidi="fa-IR"/>
          <w:color w:val="111111"/>
          <w:sz w:val="28"/>
          <w:szCs w:val="28"/>
          <w:rtl/>
        </w:rPr>
        <w:t xml:space="preserve">یزد؛ علومی، شیخ علی؛ شماره نسخه:۹</w:t>
      </w:r>
    </w:p>
    <w:p>
      <w:pPr>
        <w:pStyle w:val="BookText"/>
      </w:pPr>
      <w:r>
        <w:rPr>
          <w:rFonts w:ascii="IRNazanin" w:hAnsi="IRNazanin" w:eastAsia="IRNazanin" w:cs="IRNazanin"/>
          <w:lang w:bidi="fa-IR"/>
          <w:color w:val="111111"/>
          <w:sz w:val="28"/>
          <w:szCs w:val="28"/>
          <w:rtl/>
        </w:rPr>
        <w:t xml:space="preserve">همان نسخه بالا [نشریه: ۴-۴۳۷]</w:t>
      </w:r>
    </w:p>
    <w:p>
      <w:pPr>
        <w:pStyle w:val="BookText"/>
      </w:pPr>
      <w:r>
        <w:rPr>
          <w:rFonts w:ascii="IRNazanin" w:hAnsi="IRNazanin" w:eastAsia="IRNazanin" w:cs="IRNazanin"/>
          <w:lang w:bidi="fa-IR"/>
          <w:color w:val="111111"/>
          <w:sz w:val="28"/>
          <w:szCs w:val="28"/>
          <w:rtl/>
        </w:rPr>
        <w:t xml:space="preserve">۱۸. تهران؛ مجلس؛ شماره نسخه:۸۶۶۶</w:t>
      </w:r>
    </w:p>
    <w:p>
      <w:pPr>
        <w:pStyle w:val="BookText"/>
      </w:pPr>
      <w:r>
        <w:rPr>
          <w:rFonts w:ascii="IRNazanin" w:hAnsi="IRNazanin" w:eastAsia="IRNazanin" w:cs="IRNazanin"/>
          <w:lang w:bidi="fa-IR"/>
          <w:color w:val="111111"/>
          <w:sz w:val="28"/>
          <w:szCs w:val="28"/>
          <w:rtl/>
        </w:rPr>
        <w:t xml:space="preserve">خط: نسخ، كا: نورالله بن نعمة الله حسینی، تا: سه شنبه ۲۴ ربیع الثانی ۹۱۱ق، جان هرات؛ مصحح، محشی از بهار در ۱۳۱۶ق، یادداشت های پراکنده لغوی و صرف و اشعاری فارسی و عربی از سعدی و امام زین العابدین و خواجه يوسف بخاری و ابوحامد غزالی و ماده تاریخ وفات ملا حسنعلی، وقف نامه کتاب از محمد اسماعيل بن شمس الدين محمد حسینی متطبب در ۱۲۷۶ق، تاریخ وفات ملامحمد مؤمن بن زین العابدین بن ملک عزالدين بن عبد المؤمن؛ تملك: عبدالوهاب با مهر «پیرو دین نبی عبدالوهاب ۱۱۴۲» (مربع)، ابن الله قلی (که نام وی پاک شده) که کتاب را خواجه محبتا به وی هبه نموده به سال ۱۰۳۶ق؛ مهر: المتوكل على الله عبده محمد على ۱۱۸۴» (مربع)، «العبد محمد اسماعيل الحسینی» (مربع)؛ جلد: تیماج قهوه ای ضربی با ترنج و سرترنج، ۱۸۷ گ، ۲۵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w:t>
      </w:r>
    </w:p>
    <w:p>
      <w:pPr>
        <w:pStyle w:val="BookText"/>
      </w:pPr>
      <w:r>
        <w:rPr>
          <w:rFonts w:ascii="IRNazanin" w:hAnsi="IRNazanin" w:eastAsia="IRNazanin" w:cs="IRNazanin"/>
          <w:lang w:bidi="fa-IR"/>
          <w:color w:val="111111"/>
          <w:sz w:val="28"/>
          <w:szCs w:val="28"/>
          <w:rtl/>
        </w:rPr>
        <w:t xml:space="preserve">سم [ف: ۲۸-۱۹۵]</w:t>
      </w:r>
    </w:p>
    <w:p>
      <w:pPr>
        <w:pStyle w:val="BookText"/>
      </w:pPr>
      <w:r>
        <w:rPr>
          <w:rFonts w:ascii="IRNazanin" w:hAnsi="IRNazanin" w:eastAsia="IRNazanin" w:cs="IRNazanin"/>
          <w:lang w:bidi="fa-IR"/>
          <w:color w:val="111111"/>
          <w:sz w:val="28"/>
          <w:szCs w:val="28"/>
          <w:rtl/>
        </w:rPr>
        <w:t xml:space="preserve">تهران؛ مجلس؛ شماره نسخه:۲۷۵-بهار</w:t>
      </w:r>
    </w:p>
    <w:p>
      <w:pPr>
        <w:pStyle w:val="BookText"/>
      </w:pPr>
      <w:r>
        <w:rPr>
          <w:rFonts w:ascii="IRNazanin" w:hAnsi="IRNazanin" w:eastAsia="IRNazanin" w:cs="IRNazanin"/>
          <w:lang w:bidi="fa-IR"/>
          <w:color w:val="111111"/>
          <w:sz w:val="28"/>
          <w:szCs w:val="28"/>
          <w:rtl/>
        </w:rPr>
        <w:t xml:space="preserve">همان نسخه بالا نشریه: ۵-۶۵۹]</w:t>
      </w:r>
    </w:p>
    <w:p>
      <w:pPr>
        <w:pStyle w:val="BookText"/>
      </w:pPr>
      <w:r>
        <w:rPr>
          <w:rFonts w:ascii="IRNazanin" w:hAnsi="IRNazanin" w:eastAsia="IRNazanin" w:cs="IRNazanin"/>
          <w:lang w:bidi="fa-IR"/>
          <w:color w:val="111111"/>
          <w:sz w:val="28"/>
          <w:szCs w:val="28"/>
          <w:rtl/>
        </w:rPr>
        <w:t xml:space="preserve">۱۹. یزد؛ علومی، شیخ علی؛ شماره نسخه:۱۰</w:t>
      </w:r>
    </w:p>
    <w:p>
      <w:pPr>
        <w:pStyle w:val="BookText"/>
      </w:pPr>
      <w:r>
        <w:rPr>
          <w:rFonts w:ascii="IRNazanin" w:hAnsi="IRNazanin" w:eastAsia="IRNazanin" w:cs="IRNazanin"/>
          <w:lang w:bidi="fa-IR"/>
          <w:color w:val="111111"/>
          <w:sz w:val="28"/>
          <w:szCs w:val="28"/>
          <w:rtl/>
        </w:rPr>
        <w:t xml:space="preserve">خط: نسخ، بی کا، تا: میانه های ربیع الاول ۹۵۷ق؛ قطع : وزیری [نشریه: ۴-۴۳۷]</w:t>
      </w:r>
    </w:p>
    <w:p>
      <w:pPr>
        <w:pStyle w:val="BookText"/>
      </w:pPr>
      <w:r>
        <w:rPr>
          <w:rFonts w:ascii="IRNazanin" w:hAnsi="IRNazanin" w:eastAsia="IRNazanin" w:cs="IRNazanin"/>
          <w:lang w:bidi="fa-IR"/>
          <w:color w:val="111111"/>
          <w:sz w:val="28"/>
          <w:szCs w:val="28"/>
          <w:rtl/>
        </w:rPr>
        <w:t xml:space="preserve">۲۰. اردکان یزد؛ امام صادق؛ شماره نسخه: ۱۸۸/۱</w:t>
      </w:r>
    </w:p>
    <w:p>
      <w:pPr>
        <w:pStyle w:val="BookText"/>
      </w:pPr>
      <w:r>
        <w:rPr>
          <w:rFonts w:ascii="IRNazanin" w:hAnsi="IRNazanin" w:eastAsia="IRNazanin" w:cs="IRNazanin"/>
          <w:lang w:bidi="fa-IR"/>
          <w:color w:val="111111"/>
          <w:sz w:val="28"/>
          <w:szCs w:val="28"/>
          <w:rtl/>
        </w:rPr>
        <w:t xml:space="preserve">خط: نستعلیق، کا: شکرالله بن ظهیر الاسلام شیرازی، تا: یک شنبه ۲ رمضان ۹۷۰ق؛ جلد: تیماج مشکی عطف تیماج قهوه ای، ۲۴۲گ (۳-۲۴۴)، ۲۵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۱-۱۷۸]</w:t>
      </w:r>
    </w:p>
    <w:p>
      <w:pPr>
        <w:pStyle w:val="BookText"/>
      </w:pPr>
      <w:r>
        <w:rPr>
          <w:rFonts w:ascii="IRNazanin" w:hAnsi="IRNazanin" w:eastAsia="IRNazanin" w:cs="IRNazanin"/>
          <w:lang w:bidi="fa-IR"/>
          <w:color w:val="111111"/>
          <w:sz w:val="28"/>
          <w:szCs w:val="28"/>
          <w:rtl/>
        </w:rPr>
        <w:t xml:space="preserve">۲۱. مشهد: رضوی؛ شماره نسخه: ۷۴۸۰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۱۱؛ کاغذ: دولت آبادی، جلد: تیماج عنابی، ۲۲۱گ، ۱۷ و ۱۸ سطر ( ۱۴/۴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 اندازه: ۲۰/۹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۱۳-۱۶]</w:t>
      </w:r>
    </w:p>
    <w:p>
      <w:pPr>
        <w:pStyle w:val="BookText"/>
      </w:pPr>
      <w:r>
        <w:rPr>
          <w:rFonts w:ascii="Amiri" w:hAnsi="Amiri" w:eastAsia="Amiri" w:cs="Amiri"/>
          <w:lang w:bidi="ar-SA"/>
          <w:color w:val="111111"/>
          <w:sz w:val="28"/>
          <w:szCs w:val="28"/>
          <w:rtl/>
        </w:rPr>
        <w:t xml:space="preserve">۲۲. تهران؛ دائرة المعارف؛ شماره نسخه: ۲۸۹</w:t>
      </w:r>
    </w:p>
    <w:p>
      <w:pPr>
        <w:pStyle w:val="BookText"/>
      </w:pPr>
      <w:r>
        <w:rPr>
          <w:rFonts w:ascii="IRNazanin" w:hAnsi="IRNazanin" w:eastAsia="IRNazanin" w:cs="IRNazanin"/>
          <w:lang w:bidi="fa-IR"/>
          <w:color w:val="111111"/>
          <w:sz w:val="28"/>
          <w:szCs w:val="28"/>
          <w:rtl/>
        </w:rPr>
        <w:t xml:space="preserve">انجام: و منه الحديث لتغلقه ای لتوجبه. وفي حديث آخر ...</w:t>
      </w:r>
    </w:p>
    <w:p>
      <w:pPr>
        <w:pStyle w:val="BookText"/>
      </w:pPr>
      <w:r>
        <w:rPr>
          <w:rFonts w:ascii="IRNazanin" w:hAnsi="IRNazanin" w:eastAsia="IRNazanin" w:cs="IRNazanin"/>
          <w:lang w:bidi="fa-IR"/>
          <w:color w:val="111111"/>
          <w:sz w:val="28"/>
          <w:szCs w:val="28"/>
          <w:rtl/>
        </w:rPr>
        <w:t xml:space="preserve">خط: نسخ پخته، بی کا، تا: قرن ۱۱؛ تملك: حیدر قلی بن محمد خان کابلی ۱۷ ربیع الاول ۱۳۳۹ (که همان سردار کابلی است)؛ مهر: «عبده ... کاظم رضا» (بیضی)؛ کاغذ: حنایی روشن، جلد: تیماج عنابی یک لا، ۱۱۱گ، ۲۲ سطر (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سم [ف: ۱-۴۱]</w:t>
      </w:r>
    </w:p>
    <w:p>
      <w:pPr>
        <w:pStyle w:val="BookText"/>
      </w:pPr>
      <w:r>
        <w:rPr>
          <w:rFonts w:ascii="Amiri" w:hAnsi="Amiri" w:eastAsia="Amiri" w:cs="Amiri"/>
          <w:lang w:bidi="ar-SA"/>
          <w:color w:val="111111"/>
          <w:sz w:val="28"/>
          <w:szCs w:val="28"/>
          <w:rtl/>
        </w:rPr>
        <w:t xml:space="preserve">۲۳. تهران: دائرة المعارف، شماره نسخه:۶۴۷</w:t>
      </w:r>
    </w:p>
    <w:p>
      <w:pPr>
        <w:pStyle w:val="BookText"/>
      </w:pPr>
      <w:r>
        <w:rPr>
          <w:rFonts w:ascii="IRNazanin" w:hAnsi="IRNazanin" w:eastAsia="IRNazanin" w:cs="IRNazanin"/>
          <w:lang w:bidi="fa-IR"/>
          <w:color w:val="111111"/>
          <w:sz w:val="28"/>
          <w:szCs w:val="28"/>
          <w:rtl/>
        </w:rPr>
        <w:t xml:space="preserve">خط: نسخ پخته، بی کا، تا: قرن ۱۱؛ مهر: «غلام حسین»؛ کاغذ: نخودی، جلد: مقوا تیماج مشکی پوشانیده مجدول، ۱۷۸گ، ۲۱سطر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 اندازه: ۲۷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۲-۳۶]</w:t>
      </w:r>
    </w:p>
    <w:p>
      <w:pPr>
        <w:pStyle w:val="BookText"/>
      </w:pPr>
      <w:r>
        <w:rPr>
          <w:rFonts w:ascii="IRNazanin" w:hAnsi="IRNazanin" w:eastAsia="IRNazanin" w:cs="IRNazanin"/>
          <w:lang w:bidi="fa-IR"/>
          <w:color w:val="111111"/>
          <w:sz w:val="28"/>
          <w:szCs w:val="28"/>
          <w:rtl/>
        </w:rPr>
        <w:t xml:space="preserve">۲۴. تهران: مجلس؛ شماره نسخه:۱۸۸۰۵</w:t>
      </w:r>
    </w:p>
    <w:p>
      <w:pPr>
        <w:pStyle w:val="BookText"/>
      </w:pPr>
      <w:r>
        <w:rPr>
          <w:rFonts w:ascii="IRNazanin" w:hAnsi="IRNazanin" w:eastAsia="IRNazanin" w:cs="IRNazanin"/>
          <w:lang w:bidi="fa-IR"/>
          <w:color w:val="111111"/>
          <w:sz w:val="28"/>
          <w:szCs w:val="28"/>
          <w:rtl/>
        </w:rPr>
        <w:t xml:space="preserve">بی کا، تا: ۱۰۰۵ق [د.ث. مجلس]</w:t>
      </w:r>
    </w:p>
    <w:p>
      <w:pPr>
        <w:pStyle w:val="BookText"/>
      </w:pPr>
      <w:r>
        <w:rPr>
          <w:rFonts w:ascii="IRNazanin" w:hAnsi="IRNazanin" w:eastAsia="IRNazanin" w:cs="IRNazanin"/>
          <w:lang w:bidi="fa-IR"/>
          <w:color w:val="111111"/>
          <w:sz w:val="28"/>
          <w:szCs w:val="28"/>
          <w:rtl/>
        </w:rPr>
        <w:t xml:space="preserve">۲۵. تهران، دانشگاه؛ شماره نسخه: ۵۲۱۲/۲</w:t>
      </w:r>
    </w:p>
    <w:p>
      <w:pPr>
        <w:pStyle w:val="BookText"/>
      </w:pPr>
      <w:r>
        <w:rPr>
          <w:rFonts w:ascii="IRNazanin" w:hAnsi="IRNazanin" w:eastAsia="IRNazanin" w:cs="IRNazanin"/>
          <w:lang w:bidi="fa-IR"/>
          <w:color w:val="111111"/>
          <w:sz w:val="28"/>
          <w:szCs w:val="28"/>
          <w:rtl/>
        </w:rPr>
        <w:t xml:space="preserve">ف کا: شیخ محمود پتنهای، تا: ۲۲ جمادی الاول ۱۰۴۰ق؛ ۲۳۰ ص ( ۴۱۶-۱۸۷ ) [فيلمها ف: ۳-۱۴۲]</w:t>
      </w:r>
    </w:p>
    <w:p>
      <w:pPr>
        <w:pStyle w:val="BookText"/>
      </w:pPr>
      <w:r>
        <w:rPr>
          <w:rFonts w:ascii="IRNazanin" w:hAnsi="IRNazanin" w:eastAsia="IRNazanin" w:cs="IRNazanin"/>
          <w:lang w:bidi="fa-IR"/>
          <w:color w:val="111111"/>
          <w:sz w:val="28"/>
          <w:szCs w:val="28"/>
          <w:rtl/>
        </w:rPr>
        <w:t xml:space="preserve">۲۶. تهران؛ ملی؛ شماره نسخه:۳۴۶۵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۱۰۵۱ق؛ تملک: شريف الپژوالی در ۱۲۴۹؛ کاغذ: اصفهانی نخودی، جلد: تیماج مشکی یک لا، ۱۸۲گ، ۲۲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۱۵-۲۷۶]</w:t>
      </w:r>
    </w:p>
    <w:p>
      <w:pPr>
        <w:pStyle w:val="BookText"/>
      </w:pPr>
      <w:r>
        <w:rPr>
          <w:rFonts w:ascii="IRNazanin" w:hAnsi="IRNazanin" w:eastAsia="IRNazanin" w:cs="IRNazanin"/>
          <w:lang w:bidi="fa-IR"/>
          <w:color w:val="111111"/>
          <w:sz w:val="28"/>
          <w:szCs w:val="28"/>
          <w:rtl/>
        </w:rPr>
        <w:t xml:space="preserve">۲۷. تهران: ملک؛ شماره نسخه: ۳۱۳/۱</w:t>
      </w:r>
    </w:p>
    <w:p>
      <w:pPr>
        <w:pStyle w:val="BookText"/>
      </w:pPr>
      <w:r>
        <w:rPr>
          <w:rFonts w:ascii="IRNazanin" w:hAnsi="IRNazanin" w:eastAsia="IRNazanin" w:cs="IRNazanin"/>
          <w:lang w:bidi="fa-IR"/>
          <w:color w:val="111111"/>
          <w:sz w:val="28"/>
          <w:szCs w:val="28"/>
          <w:rtl/>
        </w:rPr>
        <w:t xml:space="preserve">خط: نستعلیق، کا: غیاث الدین محمد رزه، تا: ۱ شعبان ۱۰۷۲ق؛ کاغذ: ترمه، جلد: عطف و گوشه میشن رویه ساغری فرنگی، ۱۸ سطر، اندازه: ۱۹/۵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۲۴/۵سم [ف: ۵-۱۷]</w:t>
      </w:r>
    </w:p>
    <w:p>
      <w:pPr>
        <w:pStyle w:val="BookText"/>
      </w:pPr>
      <w:r>
        <w:rPr>
          <w:rFonts w:ascii="IRNazanin" w:hAnsi="IRNazanin" w:eastAsia="IRNazanin" w:cs="IRNazanin"/>
          <w:lang w:bidi="fa-IR"/>
          <w:color w:val="111111"/>
          <w:sz w:val="28"/>
          <w:szCs w:val="28"/>
          <w:rtl/>
        </w:rPr>
        <w:t xml:space="preserve">۲۸. قم، گلپایگانی؛ شماره نسخه: ۱۹۶۹- ۱۱/۶۹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شريف بن ابو الحسن ساوجبلاغی، تا: سه شنبه ۱۵ ذیقعده ۱۰۷۹ق؛ جلد: تیماج سرخ با ترنج وسرترنج ضربی، ۲۲۱گ، ۲۱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۲-۶۷۴]</w:t>
      </w:r>
    </w:p>
    <w:p>
      <w:pPr>
        <w:pStyle w:val="BookText"/>
      </w:pPr>
      <w:r>
        <w:rPr>
          <w:rFonts w:ascii="IRNazanin" w:hAnsi="IRNazanin" w:eastAsia="IRNazanin" w:cs="IRNazanin"/>
          <w:lang w:bidi="fa-IR"/>
          <w:color w:val="111111"/>
          <w:sz w:val="28"/>
          <w:szCs w:val="28"/>
          <w:rtl/>
        </w:rPr>
        <w:t xml:space="preserve">۲۹. تهران؛ خاکپور، اسد الله (خاندان)؛ شماره نسخه:۶</w:t>
      </w:r>
    </w:p>
    <w:p>
      <w:pPr>
        <w:pStyle w:val="BookText"/>
      </w:pPr>
      <w:r>
        <w:rPr>
          <w:rFonts w:ascii="IRNazanin" w:hAnsi="IRNazanin" w:eastAsia="IRNazanin" w:cs="IRNazanin"/>
          <w:lang w:bidi="fa-IR"/>
          <w:color w:val="111111"/>
          <w:sz w:val="28"/>
          <w:szCs w:val="28"/>
          <w:rtl/>
        </w:rPr>
        <w:t xml:space="preserve">بی کا، تا: ۱۰۸۴ق [نشریه: ۷-۵۶۶]</w:t>
      </w:r>
    </w:p>
    <w:p>
      <w:pPr>
        <w:pStyle w:val="BookText"/>
      </w:pPr>
      <w:r>
        <w:rPr>
          <w:rFonts w:ascii="IRNazanin" w:hAnsi="IRNazanin" w:eastAsia="IRNazanin" w:cs="IRNazanin"/>
          <w:lang w:bidi="fa-IR"/>
          <w:color w:val="111111"/>
          <w:sz w:val="28"/>
          <w:szCs w:val="28"/>
          <w:rtl/>
        </w:rPr>
        <w:t xml:space="preserve">۳۰. قم؛ طبسی؛ شماره نسخه:۲۲۷</w:t>
      </w:r>
    </w:p>
    <w:p>
      <w:pPr>
        <w:pStyle w:val="BookText"/>
      </w:pPr>
      <w:r>
        <w:rPr>
          <w:rFonts w:ascii="IRNazanin" w:hAnsi="IRNazanin" w:eastAsia="IRNazanin" w:cs="IRNazanin"/>
          <w:lang w:bidi="fa-IR"/>
          <w:color w:val="111111"/>
          <w:sz w:val="28"/>
          <w:szCs w:val="28"/>
          <w:rtl/>
        </w:rPr>
        <w:t xml:space="preserve">آغاز: برابر؛ انجام: الأصمیلال سخت شدن و بهم درشدن ... تم الكتاب</w:t>
      </w:r>
    </w:p>
    <w:p>
      <w:pPr>
        <w:pStyle w:val="BookText"/>
      </w:pPr>
      <w:r>
        <w:rPr>
          <w:rFonts w:ascii="IRNazanin" w:hAnsi="IRNazanin" w:eastAsia="IRNazanin" w:cs="IRNazanin"/>
          <w:lang w:bidi="fa-IR"/>
          <w:color w:val="111111"/>
          <w:sz w:val="28"/>
          <w:szCs w:val="28"/>
          <w:rtl/>
        </w:rPr>
        <w:t xml:space="preserve">خط: نسخ، كا: رفیع الدین علی بن محمد سعید جنابذی، تا: قرن ۱۲؛ جلد: روغنی با ترنج و سرترنج و نقش گل و بوته، ۲۷۴گ، ۱۴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مخ: ۱- ۸۹]</w:t>
      </w:r>
    </w:p>
    <w:p>
      <w:pPr>
        <w:pStyle w:val="BookText"/>
      </w:pPr>
      <w:r>
        <w:rPr>
          <w:rFonts w:ascii="IRNazanin" w:hAnsi="IRNazanin" w:eastAsia="IRNazanin" w:cs="IRNazanin"/>
          <w:lang w:bidi="fa-IR"/>
          <w:color w:val="111111"/>
          <w:sz w:val="28"/>
          <w:szCs w:val="28"/>
          <w:rtl/>
        </w:rPr>
        <w:t xml:space="preserve">۳۱. تهران، دانشگاه؛ شماره نسخه: ۱۴۴۵/۲ -ف</w:t>
      </w:r>
    </w:p>
    <w:p>
      <w:pPr>
        <w:pStyle w:val="BookText"/>
      </w:pPr>
      <w:r>
        <w:rPr>
          <w:rFonts w:ascii="IRNazanin" w:hAnsi="IRNazanin" w:eastAsia="IRNazanin" w:cs="IRNazanin"/>
          <w:lang w:bidi="fa-IR"/>
          <w:color w:val="111111"/>
          <w:sz w:val="28"/>
          <w:szCs w:val="28"/>
          <w:rtl/>
        </w:rPr>
        <w:t xml:space="preserve">نسخه اصل: پاریس 1763 .</w:t>
      </w:r>
      <w:r>
        <w:rPr>
          <w:rFonts w:ascii="Times New Roman" w:hAnsi="Times New Roman" w:eastAsia="Times New Roman" w:cs="Times New Roman"/>
          <w:lang w:val="en-US" w:bidi="en-US"/>
          <w:color w:val="111111"/>
          <w:sz w:val="28"/>
          <w:szCs w:val="28"/>
          <w:rtl/>
        </w:rPr>
        <w:t xml:space="preserve">S. P (</w:t>
      </w:r>
      <w:r>
        <w:rPr>
          <w:rFonts w:ascii="IRNazanin" w:hAnsi="IRNazanin" w:eastAsia="IRNazanin" w:cs="IRNazanin"/>
          <w:lang w:bidi="fa-IR"/>
          <w:color w:val="111111"/>
          <w:sz w:val="28"/>
          <w:szCs w:val="28"/>
          <w:rtl/>
        </w:rPr>
        <w:t xml:space="preserve">بلوشه ۳۴۲/۴ ش ۲۴۱۶)؛ بی کا، بی تا [فيلمها ف: ۳-۲۱]</w:t>
      </w:r>
    </w:p>
    <w:p>
      <w:pPr>
        <w:pStyle w:val="BookText"/>
      </w:pPr>
      <w:r>
        <w:rPr>
          <w:rFonts w:ascii="IRNazanin" w:hAnsi="IRNazanin" w:eastAsia="IRNazanin" w:cs="IRNazanin"/>
          <w:lang w:bidi="fa-IR"/>
          <w:color w:val="111111"/>
          <w:sz w:val="28"/>
          <w:szCs w:val="28"/>
          <w:rtl/>
        </w:rPr>
        <w:t xml:space="preserve">۳۲. تهران: دانشگاه؛ شماره نسخه:۴۲۹۷-ف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353" w:name="pg20363_209633"/>
    <w:bookmarkEnd w:id="353"/>
    <w:p>
      <w:pPr>
        <w:pStyle w:val="BookText"/>
      </w:pPr>
      <w:r>
        <w:rPr>
          <w:rFonts w:ascii="IRNazanin" w:hAnsi="IRNazanin" w:eastAsia="IRNazanin" w:cs="IRNazanin"/>
          <w:lang w:bidi="fa-IR"/>
          <w:color w:val="111111"/>
          <w:sz w:val="28"/>
          <w:szCs w:val="28"/>
          <w:rtl/>
        </w:rPr>
        <w:t xml:space="preserve">نسخه اصل: پاریس 1764 .</w:t>
      </w:r>
      <w:r>
        <w:rPr>
          <w:rFonts w:ascii="Times New Roman" w:hAnsi="Times New Roman" w:eastAsia="Times New Roman" w:cs="Times New Roman"/>
          <w:lang w:val="en-US" w:bidi="en-US"/>
          <w:color w:val="111111"/>
          <w:sz w:val="28"/>
          <w:szCs w:val="28"/>
          <w:rtl/>
        </w:rPr>
        <w:t xml:space="preserve">S. P (</w:t>
      </w:r>
      <w:r>
        <w:rPr>
          <w:rFonts w:ascii="IRNazanin" w:hAnsi="IRNazanin" w:eastAsia="IRNazanin" w:cs="IRNazanin"/>
          <w:lang w:bidi="fa-IR"/>
          <w:color w:val="111111"/>
          <w:sz w:val="28"/>
          <w:szCs w:val="28"/>
          <w:rtl/>
        </w:rPr>
        <w:t xml:space="preserve">بلوشه ۳۴۲/۴ ش ۲۴۱۶)؛ بی کا، بی تا [فيلمها ف: ۳-۴۳]</w:t>
      </w:r>
    </w:p>
    <w:p>
      <w:pPr>
        <w:pStyle w:val="BookText"/>
      </w:pPr>
      <w:r>
        <w:rPr>
          <w:rFonts w:ascii="IRNazanin" w:hAnsi="IRNazanin" w:eastAsia="IRNazanin" w:cs="IRNazanin"/>
          <w:lang w:bidi="fa-IR"/>
          <w:color w:val="111111"/>
          <w:sz w:val="28"/>
          <w:szCs w:val="28"/>
          <w:rtl/>
        </w:rPr>
        <w:t xml:space="preserve">۳۳. تهران؛ لغت نامه دهخدا؛ شماره نسخه:۱۴۶</w:t>
      </w:r>
    </w:p>
    <w:p>
      <w:pPr>
        <w:pStyle w:val="BookText"/>
      </w:pPr>
      <w:r>
        <w:rPr>
          <w:rFonts w:ascii="IRNazanin" w:hAnsi="IRNazanin" w:eastAsia="IRNazanin" w:cs="IRNazanin"/>
          <w:lang w:bidi="fa-IR"/>
          <w:color w:val="111111"/>
          <w:sz w:val="28"/>
          <w:szCs w:val="28"/>
          <w:rtl/>
        </w:rPr>
        <w:t xml:space="preserve">خط: نسخ، بی کا، بی تا، افتادگی: انجام؛ جلد: تیماج سبز تیره ضربی [نشریه: ۳-۷]</w:t>
      </w:r>
    </w:p>
    <w:p>
      <w:pPr>
        <w:pStyle w:val="BookText"/>
      </w:pPr>
      <w:r>
        <w:rPr>
          <w:rFonts w:ascii="IRNazanin" w:hAnsi="IRNazanin" w:eastAsia="IRNazanin" w:cs="IRNazanin"/>
          <w:lang w:bidi="fa-IR"/>
          <w:color w:val="111111"/>
          <w:sz w:val="28"/>
          <w:szCs w:val="28"/>
          <w:rtl/>
        </w:rPr>
        <w:t xml:space="preserve">۳۴. تهران؛ مجلس؛ شماره نسخه:۴۶۲</w:t>
      </w:r>
    </w:p>
    <w:p>
      <w:pPr>
        <w:pStyle w:val="BookText"/>
      </w:pPr>
      <w:r>
        <w:rPr>
          <w:rFonts w:ascii="IRNazanin" w:hAnsi="IRNazanin" w:eastAsia="IRNazanin" w:cs="IRNazanin"/>
          <w:lang w:bidi="fa-IR"/>
          <w:color w:val="111111"/>
          <w:sz w:val="28"/>
          <w:szCs w:val="28"/>
          <w:rtl/>
        </w:rPr>
        <w:t xml:space="preserve">آغاز: الحمدلله المحمود بجميع الاوصاف و الاسماء الممدوح در فهرست ناشناس؛ بی کا، بی تا؛ مجدول، ۳۰۸گ، ۱۹ سطر،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[سنا ف:۲-۲۷۲]</w:t>
      </w:r>
    </w:p>
    <w:p>
      <w:pPr>
        <w:pStyle w:val="BookText"/>
      </w:pPr>
      <w:r>
        <w:rPr>
          <w:rFonts w:ascii="IRNazanin" w:hAnsi="IRNazanin" w:eastAsia="IRNazanin" w:cs="IRNazanin"/>
          <w:lang w:bidi="fa-IR"/>
          <w:color w:val="111111"/>
          <w:sz w:val="28"/>
          <w:szCs w:val="28"/>
          <w:rtl/>
        </w:rPr>
        <w:t xml:space="preserve">۳۵. تهران؛ مجلس؛ شماره نسخه:۷۹۳۴</w:t>
      </w:r>
    </w:p>
    <w:p>
      <w:pPr>
        <w:pStyle w:val="BookText"/>
      </w:pPr>
      <w:r>
        <w:rPr>
          <w:rFonts w:ascii="IRNazanin" w:hAnsi="IRNazanin" w:eastAsia="IRNazanin" w:cs="IRNazanin"/>
          <w:lang w:bidi="fa-IR"/>
          <w:color w:val="111111"/>
          <w:sz w:val="28"/>
          <w:szCs w:val="28"/>
          <w:rtl/>
        </w:rPr>
        <w:t xml:space="preserve">آغاز: دوختن (الشطور) دور شدن (الشطر) به دو نیم کردن الشطارة) در بدی دور در شدن و فعل لغة فيها و (شطر بصر الرجل شطرا و شطورا) و هو الذي كانه ينظر اليك و الى آخر؛ انجام: و بهم در انجمن نشستن (التهادی) ... رفتن یکدیگر، هدیه فرستادن</w:t>
      </w:r>
    </w:p>
    <w:p>
      <w:pPr>
        <w:pStyle w:val="BookText"/>
      </w:pPr>
      <w:r>
        <w:rPr>
          <w:rFonts w:ascii="IRNazanin" w:hAnsi="IRNazanin" w:eastAsia="IRNazanin" w:cs="IRNazanin"/>
          <w:lang w:bidi="fa-IR"/>
          <w:color w:val="111111"/>
          <w:sz w:val="28"/>
          <w:szCs w:val="28"/>
          <w:rtl/>
        </w:rPr>
        <w:t xml:space="preserve">خط: نستعلیق، بی کا، بی تا، افتادگی: آغاز و انجام؛ جلد: مقوا بنفش، ۲۵۲گ، ۲۳ سطر، اندازه: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۲۴/۵سم [ف: ۲۶-۴۱۴]</w:t>
      </w:r>
    </w:p>
    <w:p>
      <w:pPr>
        <w:pStyle w:val="BookText"/>
      </w:pPr>
      <w:r>
        <w:rPr>
          <w:rFonts w:ascii="IRNazanin" w:hAnsi="IRNazanin" w:eastAsia="IRNazanin" w:cs="IRNazanin"/>
          <w:lang w:bidi="fa-IR"/>
          <w:color w:val="111111"/>
          <w:sz w:val="28"/>
          <w:szCs w:val="28"/>
          <w:rtl/>
        </w:rPr>
        <w:t xml:space="preserve">۳۶. یزد؛ وزیری؛ شماره نسخه:۲۸۲۸</w:t>
      </w:r>
    </w:p>
    <w:p>
      <w:pPr>
        <w:pStyle w:val="BookText"/>
      </w:pPr>
      <w:r>
        <w:rPr>
          <w:rFonts w:ascii="IRNazanin" w:hAnsi="IRNazanin" w:eastAsia="IRNazanin" w:cs="IRNazanin"/>
          <w:lang w:bidi="fa-IR"/>
          <w:color w:val="111111"/>
          <w:sz w:val="28"/>
          <w:szCs w:val="28"/>
          <w:rtl/>
        </w:rPr>
        <w:t xml:space="preserve">آغاز: الأخذ، گرفتن؛ انجام: المسبوت الميت لمسحوت الجايع.</w:t>
      </w:r>
    </w:p>
    <w:p>
      <w:pPr>
        <w:pStyle w:val="BookText"/>
      </w:pPr>
      <w:r>
        <w:rPr>
          <w:rFonts w:ascii="IRNazanin" w:hAnsi="IRNazanin" w:eastAsia="IRNazanin" w:cs="IRNazanin"/>
          <w:lang w:bidi="fa-IR"/>
          <w:color w:val="111111"/>
          <w:sz w:val="28"/>
          <w:szCs w:val="28"/>
          <w:rtl/>
        </w:rPr>
        <w:t xml:space="preserve">خط: نسخ تحریری، بی کا، بی تا، افتادگی: آغاز و انجام؛ اهدایی: وزیری؛ کاغذ: اصفهانی، جلد: مقوایی روکش کاغذ آبی عطف تیماج عنابی، ۳۸، ۱۵ سطر (۱۵/۵)، اندازه:۲۴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۴-۱۴۴۳]</w:t>
      </w:r>
    </w:p>
    <w:p>
      <w:pPr>
        <w:pStyle w:val="BookText"/>
      </w:pPr>
      <w:r>
        <w:rPr>
          <w:rFonts w:ascii="IRNazanin" w:hAnsi="IRNazanin" w:eastAsia="IRNazanin" w:cs="IRNazanin"/>
          <w:lang w:bidi="fa-IR"/>
          <w:color w:val="111111"/>
          <w:sz w:val="28"/>
          <w:szCs w:val="28"/>
          <w:rtl/>
        </w:rPr>
        <w:t xml:space="preserve">۳۷. تهران؛ دانشگاه؛ شماره نسخه: ۳۲۷-ف</w:t>
      </w:r>
    </w:p>
    <w:p>
      <w:pPr>
        <w:pStyle w:val="BookText"/>
      </w:pPr>
      <w:r>
        <w:rPr>
          <w:rFonts w:ascii="IRNazanin" w:hAnsi="IRNazanin" w:eastAsia="IRNazanin" w:cs="IRNazanin"/>
          <w:lang w:bidi="fa-IR"/>
          <w:color w:val="111111"/>
          <w:sz w:val="28"/>
          <w:szCs w:val="28"/>
          <w:rtl/>
        </w:rPr>
        <w:t xml:space="preserve">نسخه اصل: يوسف آغا ش ۴۰۷۸؛ خط: نسخ، بی کا، بی تا؛ ۱۷۹ ، ۱۵ سطر [فيلمها ف: ۱-۲۸]</w:t>
      </w:r>
    </w:p>
    <w:p>
      <w:pPr>
        <w:pStyle w:val="BookText"/>
      </w:pPr>
      <w:r>
        <w:rPr>
          <w:rFonts w:ascii="IRNazanin" w:hAnsi="IRNazanin" w:eastAsia="IRNazanin" w:cs="IRNazanin"/>
          <w:lang w:bidi="fa-IR"/>
          <w:color w:val="111111"/>
          <w:sz w:val="28"/>
          <w:szCs w:val="28"/>
          <w:rtl/>
        </w:rPr>
        <w:t xml:space="preserve">۳۸. تهران: دانشگاه؛ شماره نسخه:۲۳۵۳-ف</w:t>
      </w:r>
    </w:p>
    <w:p>
      <w:pPr>
        <w:pStyle w:val="BookText"/>
      </w:pPr>
      <w:r>
        <w:rPr>
          <w:rFonts w:ascii="IRNazanin" w:hAnsi="IRNazanin" w:eastAsia="IRNazanin" w:cs="IRNazanin"/>
          <w:lang w:bidi="fa-IR"/>
          <w:color w:val="111111"/>
          <w:sz w:val="28"/>
          <w:szCs w:val="28"/>
          <w:rtl/>
        </w:rPr>
        <w:t xml:space="preserve">نسخه اصل: کتابخانه ملی آنکارا، ش دفتر ۲-۴۷۰۸/۱ ش ترتیب ۱۵۶؛ بی کا، بی تا، ۴۱۲ص [فیلمها ف: ۱-۲۸]</w:t>
      </w:r>
    </w:p>
    <w:p>
      <w:pPr>
        <w:pStyle w:val="BookText"/>
      </w:pPr>
      <w:r>
        <w:rPr>
          <w:rFonts w:ascii="IRNazanin" w:hAnsi="IRNazanin" w:eastAsia="IRNazanin" w:cs="IRNazanin"/>
          <w:lang w:bidi="fa-IR"/>
          <w:color w:val="111111"/>
          <w:sz w:val="28"/>
          <w:szCs w:val="28"/>
          <w:rtl/>
        </w:rPr>
        <w:t xml:space="preserve">۳۹. مشهد؛ رضوی؛ شماره نسخه: ۷۴۸۰</w:t>
      </w:r>
    </w:p>
    <w:p>
      <w:pPr>
        <w:pStyle w:val="BookText"/>
      </w:pPr>
      <w:r>
        <w:rPr>
          <w:rFonts w:ascii="Amiri" w:hAnsi="Amiri" w:eastAsia="Amiri" w:cs="Amiri"/>
          <w:lang w:bidi="ar-SA"/>
          <w:color w:val="111111"/>
          <w:sz w:val="28"/>
          <w:szCs w:val="28"/>
          <w:rtl/>
        </w:rPr>
        <w:t xml:space="preserve">آغاز: بسمله، و به افتتح الحمدلله رب العالمين.؛ انجام: برابر</w:t>
      </w:r>
    </w:p>
    <w:p>
      <w:pPr>
        <w:pStyle w:val="BookText"/>
      </w:pPr>
      <w:r>
        <w:rPr>
          <w:rFonts w:ascii="IRNazanin" w:hAnsi="IRNazanin" w:eastAsia="IRNazanin" w:cs="IRNazanin"/>
          <w:lang w:bidi="fa-IR"/>
          <w:color w:val="111111"/>
          <w:sz w:val="28"/>
          <w:szCs w:val="28"/>
          <w:rtl/>
        </w:rPr>
        <w:t xml:space="preserve">خط: نسخ، بی کا، بی تا، کاغذ: نخودی، جلد: تیماج، ۱۸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[رایانه]</w:t>
      </w:r>
    </w:p>
    <w:p>
      <w:pPr>
        <w:pStyle w:val="BookText"/>
      </w:pPr>
      <w:r>
        <w:rPr>
          <w:rFonts w:ascii="Amiri" w:hAnsi="Amiri" w:eastAsia="Amiri" w:cs="Amiri"/>
          <w:lang w:bidi="ar-SA"/>
          <w:color w:val="111111"/>
          <w:sz w:val="28"/>
          <w:szCs w:val="28"/>
          <w:rtl/>
        </w:rPr>
        <w:t xml:space="preserve">۴۰. اصفهان؛ مكتبة الزهراء؛ شماره نسخه: ۴۲</w:t>
      </w:r>
    </w:p>
    <w:p>
      <w:pPr>
        <w:pStyle w:val="BookText"/>
      </w:pPr>
      <w:r>
        <w:rPr>
          <w:rFonts w:ascii="IRNazanin" w:hAnsi="IRNazanin" w:eastAsia="IRNazanin" w:cs="IRNazanin"/>
          <w:lang w:bidi="fa-IR"/>
          <w:color w:val="111111"/>
          <w:sz w:val="28"/>
          <w:szCs w:val="28"/>
          <w:rtl/>
        </w:rPr>
        <w:t xml:space="preserve">کامل؛ خط: نسخ، بی کا، بی تا؛ امضای عاریه کتاب به سال ۱۰۳۱؛ وقف کتاب به تاریخ ۱۲۸۵؛ ۲۰۴گ، ۲۰ سطر [ف: ۳۹]</w:t>
      </w:r>
    </w:p>
    <w:p>
      <w:pPr>
        <w:pStyle w:val="BookText"/>
      </w:pPr>
      <w:r>
        <w:rPr>
          <w:rFonts w:ascii="IRNazanin" w:hAnsi="IRNazanin" w:eastAsia="IRNazanin" w:cs="IRNazanin"/>
          <w:lang w:bidi="fa-IR"/>
          <w:color w:val="111111"/>
          <w:sz w:val="28"/>
          <w:szCs w:val="28"/>
          <w:rtl/>
        </w:rPr>
        <w:t xml:space="preserve">۴۱. یزد؛ وزیری؛ شماره نسخه:۲۲۷۳</w:t>
      </w:r>
    </w:p>
    <w:p>
      <w:pPr>
        <w:pStyle w:val="BookText"/>
      </w:pPr>
      <w:r>
        <w:rPr>
          <w:rFonts w:ascii="IRNazanin" w:hAnsi="IRNazanin" w:eastAsia="IRNazanin" w:cs="IRNazanin"/>
          <w:lang w:bidi="fa-IR"/>
          <w:color w:val="111111"/>
          <w:sz w:val="28"/>
          <w:szCs w:val="28"/>
          <w:rtl/>
        </w:rPr>
        <w:t xml:space="preserve">آغاز: منها يطمس معا العطاس ؛ انجام: الشتی زمستان.</w:t>
      </w:r>
    </w:p>
    <w:p>
      <w:pPr>
        <w:pStyle w:val="BookText"/>
      </w:pPr>
      <w:r>
        <w:rPr>
          <w:rFonts w:ascii="IRNazanin" w:hAnsi="IRNazanin" w:eastAsia="IRNazanin" w:cs="IRNazanin"/>
          <w:lang w:bidi="fa-IR"/>
          <w:color w:val="111111"/>
          <w:sz w:val="28"/>
          <w:szCs w:val="28"/>
          <w:rtl/>
        </w:rPr>
        <w:t xml:space="preserve">خط: نسخ، بی کا، بی تا، افتادگی: آغاز و انجام کاغذ: اصفهانی، جلد: تیماج تریاکی، ۱۴۳، ۱۵ سطر (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سم [ف: ۴-۱۲۲۷]</w:t>
      </w:r>
    </w:p>
    <w:p>
      <w:pPr>
        <w:pStyle w:val="BookText"/>
      </w:pPr>
      <w:r>
        <w:rPr>
          <w:rFonts w:ascii="IRNazanin" w:hAnsi="IRNazanin" w:eastAsia="IRNazanin" w:cs="IRNazanin"/>
          <w:lang w:bidi="fa-IR"/>
          <w:color w:val="111111"/>
          <w:sz w:val="28"/>
          <w:szCs w:val="28"/>
          <w:rtl/>
        </w:rPr>
        <w:t xml:space="preserve">۴۲. تهران؛ ملک؛ شماره نسخه: ۴۱۷/۱</w:t>
      </w:r>
    </w:p>
    <w:p>
      <w:pPr>
        <w:pStyle w:val="BookText"/>
      </w:pPr>
      <w:r>
        <w:rPr>
          <w:rFonts w:ascii="IRNazanin" w:hAnsi="IRNazanin" w:eastAsia="IRNazanin" w:cs="IRNazanin"/>
          <w:lang w:bidi="fa-IR"/>
          <w:color w:val="111111"/>
          <w:sz w:val="28"/>
          <w:szCs w:val="28"/>
          <w:rtl/>
        </w:rPr>
        <w:t xml:space="preserve">خط: نستعلیق، بی کا، بی تا، چند برگی نونویس علی بن کربلائی عبدالله تورانی؛ اشعار فارسی کلیم همدانی و جامی و سید احمد هاتف اصفهانی و طفیلی لاهیجی و شعرای دیگر؛ کاغذ: ترمه، جلد: میشن لایی مشکی، ۱۲۰گ، ۱۸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۲۵۵]</w:t>
      </w:r>
    </w:p>
    <w:p>
      <w:pPr>
        <w:pStyle w:val="BookText"/>
      </w:pPr>
      <w:r>
        <w:rPr>
          <w:rFonts w:ascii="IRNazanin" w:hAnsi="IRNazanin" w:eastAsia="IRNazanin" w:cs="IRNazanin"/>
          <w:lang w:bidi="fa-IR"/>
          <w:color w:val="111111"/>
          <w:sz w:val="28"/>
          <w:szCs w:val="28"/>
          <w:rtl/>
        </w:rPr>
        <w:t xml:space="preserve">۴۳. تهران؛ دانشگاه؛ شماره نسخه:۴۹۹۸-ف</w:t>
      </w:r>
    </w:p>
    <w:p>
      <w:pPr>
        <w:pStyle w:val="BookText"/>
      </w:pPr>
      <w:r>
        <w:rPr>
          <w:rFonts w:ascii="Amiri" w:hAnsi="Amiri" w:eastAsia="Amiri" w:cs="Amiri"/>
          <w:lang w:bidi="ar-SA"/>
          <w:color w:val="111111"/>
          <w:sz w:val="28"/>
          <w:szCs w:val="28"/>
          <w:rtl/>
        </w:rPr>
        <w:t xml:space="preserve">نسخه اصل: همان نسخه بالا [فيلمها ف: ۳-۱۲۱]</w:t>
      </w:r>
    </w:p>
    <w:p>
      <w:pPr>
        <w:pStyle w:val="BookText"/>
      </w:pPr>
      <w:r>
        <w:rPr>
          <w:rFonts w:ascii="IRNazanin" w:hAnsi="IRNazanin" w:eastAsia="IRNazanin" w:cs="IRNazanin"/>
          <w:lang w:bidi="fa-IR"/>
          <w:color w:val="111111"/>
          <w:sz w:val="28"/>
          <w:szCs w:val="28"/>
          <w:rtl/>
        </w:rPr>
        <w:t xml:space="preserve">۴۴. تهران؛ ملی؛ شماره نسخه: ۱۷۰۴۲</w:t>
      </w:r>
    </w:p>
    <w:p>
      <w:pPr>
        <w:pStyle w:val="BookText"/>
      </w:pPr>
      <w:r>
        <w:rPr>
          <w:rFonts w:ascii="IRNazanin" w:hAnsi="IRNazanin" w:eastAsia="IRNazanin" w:cs="IRNazanin"/>
          <w:lang w:bidi="fa-IR"/>
          <w:color w:val="111111"/>
          <w:sz w:val="28"/>
          <w:szCs w:val="28"/>
          <w:rtl/>
        </w:rPr>
        <w:t xml:space="preserve">بی کا، بی تا، خریداری از عبدالله مسعودی؛ اندازه: ۲۳/۶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[رایانه ]</w:t>
      </w:r>
    </w:p>
    <w:p>
      <w:pPr>
        <w:pStyle w:val="BookText"/>
      </w:pPr>
      <w:r>
        <w:rPr>
          <w:rFonts w:ascii="IRNazanin" w:hAnsi="IRNazanin" w:eastAsia="IRNazanin" w:cs="IRNazanin"/>
          <w:lang w:bidi="fa-IR"/>
          <w:color w:val="111111"/>
          <w:sz w:val="28"/>
          <w:szCs w:val="28"/>
          <w:rtl/>
        </w:rPr>
        <w:t xml:space="preserve">۴۵. مشهد؛ رضوی؛ شماره نسخه: ۳۶۴۹</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بی تا، کاغذ: حنایی، جلد: تیماج، ابعاد متن: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([رایانه]</w:t>
      </w:r>
    </w:p>
    <w:p>
      <w:pPr>
        <w:pStyle w:val="Heading3"/>
      </w:pPr>
      <w:bookmarkStart w:id="1927" w:name="_Toc1187"/>
      <w:r>
        <w:t>•تاج المصادر / لغت / عربی به ترکی</w:t>
      </w:r>
      <w:bookmarkEnd w:id="1927"/>
    </w:p>
    <w:p>
      <w:pPr>
        <w:pStyle w:val="BookText"/>
      </w:pPr>
      <w:r>
        <w:rPr>
          <w:rFonts w:ascii="Times New Roman" w:hAnsi="Times New Roman" w:eastAsia="Times New Roman" w:cs="Times New Roman"/>
          <w:lang w:val="en-US" w:bidi="en-US"/>
          <w:color w:val="111111"/>
          <w:sz w:val="28"/>
          <w:szCs w:val="28"/>
          <w:rtl/>
        </w:rPr>
        <w:t xml:space="preserve">tāj-ul mașādir</w:t>
      </w:r>
    </w:p>
    <w:p>
      <w:pPr>
        <w:pStyle w:val="BookText"/>
      </w:pPr>
      <w:r>
        <w:rPr>
          <w:rFonts w:ascii="IRNazanin" w:hAnsi="IRNazanin" w:eastAsia="IRNazanin" w:cs="IRNazanin"/>
          <w:lang w:bidi="fa-IR"/>
          <w:color w:val="111111"/>
          <w:sz w:val="28"/>
          <w:szCs w:val="28"/>
          <w:rtl/>
        </w:rPr>
        <w:t xml:space="preserve">تبریز؛ نخجوانی، حسین؛ شماره نسخه:۶</w:t>
      </w:r>
    </w:p>
    <w:p>
      <w:pPr>
        <w:pStyle w:val="BookText"/>
      </w:pPr>
      <w:r>
        <w:rPr>
          <w:rFonts w:ascii="IRNazanin" w:hAnsi="IRNazanin" w:eastAsia="IRNazanin" w:cs="IRNazanin"/>
          <w:lang w:bidi="fa-IR"/>
          <w:color w:val="111111"/>
          <w:sz w:val="28"/>
          <w:szCs w:val="28"/>
          <w:rtl/>
        </w:rPr>
        <w:t xml:space="preserve">بی کا، تا: ۱۱۲۰ق؛ ش ۲۱۳. [ نشریه: ۴-۳۳۸]</w:t>
      </w:r>
    </w:p>
    <w:p>
      <w:pPr>
        <w:pStyle w:val="Heading3"/>
      </w:pPr>
      <w:bookmarkStart w:id="1928" w:name="_Toc1188"/>
      <w:r>
        <w:t>• تاج المناقب في فضائل الأئمة الاثني عشر / کلام و</w:t>
      </w:r>
      <w:bookmarkEnd w:id="1928"/>
    </w:p>
    <w:p>
      <w:pPr>
        <w:pStyle w:val="BookText"/>
      </w:pPr>
      <w:r>
        <w:rPr>
          <w:rFonts w:ascii="IRNazanin" w:hAnsi="IRNazanin" w:eastAsia="IRNazanin" w:cs="IRNazanin"/>
          <w:lang w:bidi="fa-IR"/>
          <w:color w:val="111111"/>
          <w:sz w:val="28"/>
          <w:szCs w:val="28"/>
          <w:rtl/>
        </w:rPr>
        <w:t xml:space="preserve">اعتقادات، فضائل و مناقب، تاریخ معصومین / فارسی</w:t>
      </w:r>
    </w:p>
    <w:p>
      <w:pPr>
        <w:pStyle w:val="BookText"/>
      </w:pPr>
      <w:r>
        <w:rPr>
          <w:rFonts w:ascii="Times New Roman" w:hAnsi="Times New Roman" w:eastAsia="Times New Roman" w:cs="Times New Roman"/>
          <w:lang w:val="en-US" w:bidi="en-US"/>
          <w:color w:val="111111"/>
          <w:sz w:val="28"/>
          <w:szCs w:val="28"/>
          <w:rtl/>
        </w:rPr>
        <w:t xml:space="preserve">tāj-ol manāqeb fi fazāyel-el a'emmat-el esnā 'ašar</w:t>
      </w:r>
    </w:p>
    <w:p>
      <w:pPr>
        <w:pStyle w:val="BookText"/>
      </w:pPr>
      <w:r>
        <w:rPr>
          <w:rFonts w:ascii="IRNazanin" w:hAnsi="IRNazanin" w:eastAsia="IRNazanin" w:cs="IRNazanin"/>
          <w:lang w:bidi="fa-IR"/>
          <w:color w:val="111111"/>
          <w:sz w:val="28"/>
          <w:szCs w:val="28"/>
          <w:rtl/>
        </w:rPr>
        <w:t xml:space="preserve">الهی اردبیلی، حسین بن عبد الحق، ۸۷۰-۹۵۰ ؟ قمری</w:t>
      </w:r>
    </w:p>
    <w:p>
      <w:pPr>
        <w:pStyle w:val="BookText"/>
      </w:pPr>
      <w:r>
        <w:rPr>
          <w:rFonts w:ascii="Times New Roman" w:hAnsi="Times New Roman" w:eastAsia="Times New Roman" w:cs="Times New Roman"/>
          <w:lang w:val="en-US" w:bidi="en-US"/>
          <w:color w:val="111111"/>
          <w:sz w:val="28"/>
          <w:szCs w:val="28"/>
          <w:rtl/>
        </w:rPr>
        <w:t xml:space="preserve">elāhī ardabīlī, hoseyn ebn-e ‘abd-ol-haqq (1466-1544)</w:t>
      </w:r>
    </w:p>
    <w:p>
      <w:pPr>
        <w:pStyle w:val="BookText"/>
      </w:pPr>
      <w:r>
        <w:rPr>
          <w:rFonts w:ascii="IRNazanin" w:hAnsi="IRNazanin" w:eastAsia="IRNazanin" w:cs="IRNazanin"/>
          <w:lang w:bidi="fa-IR"/>
          <w:color w:val="111111"/>
          <w:sz w:val="28"/>
          <w:szCs w:val="28"/>
          <w:rtl/>
        </w:rPr>
        <w:t xml:space="preserve">اهدا به: شاه اسماعیل صفوی (۹۰۵-۹۳۰ق)</w:t>
      </w:r>
    </w:p>
    <w:p>
      <w:pPr>
        <w:pStyle w:val="BookText"/>
      </w:pPr>
      <w:r>
        <w:rPr>
          <w:rFonts w:ascii="IRNazanin" w:hAnsi="IRNazanin" w:eastAsia="IRNazanin" w:cs="IRNazanin"/>
          <w:lang w:bidi="fa-IR"/>
          <w:color w:val="111111"/>
          <w:sz w:val="28"/>
          <w:szCs w:val="28"/>
          <w:rtl/>
        </w:rPr>
        <w:t xml:space="preserve">کتابی است در شرح مناقب و وصف مراتب و بیان کرامات و ذكر معجزات و مقامات و فضایل حسبی و شمایل نسبی دوازده امام علیهم السلام در ۱۲ «جوهر».</w:t>
      </w:r>
    </w:p>
    <w:p>
      <w:pPr>
        <w:pStyle w:val="BookText"/>
      </w:pPr>
      <w:r>
        <w:rPr>
          <w:rFonts w:ascii="IRNazanin" w:hAnsi="IRNazanin" w:eastAsia="IRNazanin" w:cs="IRNazanin"/>
          <w:lang w:bidi="fa-IR"/>
          <w:color w:val="111111"/>
          <w:sz w:val="28"/>
          <w:szCs w:val="28"/>
          <w:rtl/>
        </w:rPr>
        <w:t xml:space="preserve">. آغاز: بسمله -پاکا پروردگاری که نقاب رخسار کمال او نیست مگر کثرت نور و حبذا کردگاری که حجاب انوار حسن و جمال او نیست بغیر از شدت ظهور رباعی ای گشته بذات خود هویدا چون نور</w:t>
      </w:r>
    </w:p>
    <w:p>
      <w:pPr>
        <w:pStyle w:val="BookText"/>
      </w:pPr>
      <w:r>
        <w:rPr>
          <w:rFonts w:ascii="IRNazanin" w:hAnsi="IRNazanin" w:eastAsia="IRNazanin" w:cs="IRNazanin"/>
          <w:lang w:bidi="fa-IR"/>
          <w:color w:val="111111"/>
          <w:sz w:val="28"/>
          <w:szCs w:val="28"/>
          <w:rtl/>
        </w:rPr>
        <w:t xml:space="preserve">انجام: هریک از شما هشت پاره خورده باشید پس مهمان از نه پاره تو یک پاره خورده باشد از پانزده پاره هفت پاره پس او را هفت درهم باشد و ترا یکی</w:t>
      </w:r>
    </w:p>
    <w:p>
      <w:pPr>
        <w:pStyle w:val="BookText"/>
      </w:pPr>
      <w:r>
        <w:rPr>
          <w:rFonts w:ascii="IRNazanin" w:hAnsi="IRNazanin" w:eastAsia="IRNazanin" w:cs="IRNazanin"/>
          <w:lang w:bidi="fa-IR"/>
          <w:color w:val="111111"/>
          <w:sz w:val="28"/>
          <w:szCs w:val="28"/>
          <w:rtl/>
        </w:rPr>
        <w:t xml:space="preserve">[ دنا ۶۶۲/۲ (۴ نسخه)؛ فهرستواره منزوی ۱۵۶۶/۳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فردوس؛ مدرسه حبیبیه؛ شماره نسخه: ۲۰/۱۳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معین شیرازی، تا: ۹۰۹ق، جا: تبریز؛ جلد: تیماج</w:t>
      </w:r>
    </w:p>
    <w:p>
      <w:pPr>
        <w:pStyle w:val="BookText"/>
      </w:pPr>
      <w:r>
        <w:rPr>
          <w:rFonts w:ascii="IRNazanin" w:hAnsi="IRNazanin" w:eastAsia="IRNazanin" w:cs="IRNazanin"/>
          <w:lang w:bidi="fa-IR"/>
          <w:color w:val="111111"/>
          <w:sz w:val="28"/>
          <w:szCs w:val="28"/>
          <w:rtl/>
        </w:rPr>
        <w:t xml:space="preserve">مشکی مجدول، ۶۶گ (۵۰۹پ -۵۷۴ر)،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مخ</w:t>
      </w:r>
    </w:p>
    <w:p>
      <w:pPr>
        <w:pStyle w:val="BookText"/>
      </w:pPr>
      <w:r>
        <w:rPr>
          <w:rFonts w:ascii="IRNazanin" w:hAnsi="IRNazanin" w:eastAsia="IRNazanin" w:cs="IRNazanin"/>
          <w:lang w:bidi="fa-IR"/>
          <w:color w:val="111111"/>
          <w:sz w:val="28"/>
          <w:szCs w:val="28"/>
          <w:rtl/>
        </w:rPr>
        <w:t xml:space="preserve">۲. تهران؛ ملک؛ شماره نسخه: ۴۲۷۵/۲۹</w:t>
      </w:r>
    </w:p>
    <w:p>
      <w:pPr>
        <w:pStyle w:val="BookText"/>
      </w:pPr>
      <w:r>
        <w:rPr>
          <w:rFonts w:ascii="IRNazanin" w:hAnsi="IRNazanin" w:eastAsia="IRNazanin" w:cs="IRNazanin"/>
          <w:lang w:bidi="fa-IR"/>
          <w:color w:val="111111"/>
          <w:sz w:val="28"/>
          <w:szCs w:val="28"/>
          <w:rtl/>
        </w:rPr>
        <w:t xml:space="preserve">آغاز و انجام: برابر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354" w:name="pg20363_209634"/>
    <w:bookmarkEnd w:id="354"/>
    <w:p>
      <w:pPr>
        <w:pStyle w:val="BookText"/>
      </w:pPr>
      <w:r>
        <w:rPr>
          <w:rFonts w:ascii="IRNazanin" w:hAnsi="IRNazanin" w:eastAsia="IRNazanin" w:cs="IRNazanin"/>
          <w:lang w:bidi="fa-IR"/>
          <w:color w:val="111111"/>
          <w:sz w:val="28"/>
          <w:szCs w:val="28"/>
          <w:rtl/>
        </w:rPr>
        <w:t xml:space="preserve">خط: نستعلیق، کا: محمد سعيد بن محمد تقی خاتون آبادی، تا: ۱۰۸۱ق؛ با یک سرلوح و دو پیشانی، مجدول، کمند به زر؛ کاغذ: نوعی ترمه، جلد: رویه روغنی گل و بوته زمینه قهوه ای، ۵۶گ ( ۱۶۱-۱۰۶ ر)، ۱۹ سطر، اندازه: ۲۴/۷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۱۶/۸ سم [ف: ۷-۳۲۸]</w:t>
      </w:r>
    </w:p>
    <w:p>
      <w:pPr>
        <w:pStyle w:val="BookText"/>
      </w:pPr>
      <w:r>
        <w:rPr>
          <w:rFonts w:ascii="IRNazanin" w:hAnsi="IRNazanin" w:eastAsia="IRNazanin" w:cs="IRNazanin"/>
          <w:lang w:bidi="fa-IR"/>
          <w:color w:val="111111"/>
          <w:sz w:val="28"/>
          <w:szCs w:val="28"/>
          <w:rtl/>
        </w:rPr>
        <w:t xml:space="preserve">٣. مشهد؛ گوهرشاد؛ شماره نسخه: ۲۱۸۸/۴۳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كا: معزالدین محمد بن سلطان محمد قاری نیریزی، تا: ۱۰۸۵ق؛ دارای سرلوح مزدوج مذهب مرصع، یک کتیبه منقش، مجدول؛ واقف: محمد حسام واعظی، ۱۳۹۷؛ کاغذ: نخودی آهار مهره، جلد: تیماج ساده، ۲۴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w:t>
      </w:r>
    </w:p>
    <w:p>
      <w:pPr>
        <w:pStyle w:val="BookText"/>
      </w:pPr>
      <w:r>
        <w:rPr>
          <w:rFonts w:ascii="IRNazanin" w:hAnsi="IRNazanin" w:eastAsia="IRNazanin" w:cs="IRNazanin"/>
          <w:lang w:bidi="fa-IR"/>
          <w:color w:val="111111"/>
          <w:sz w:val="28"/>
          <w:szCs w:val="28"/>
          <w:rtl/>
        </w:rPr>
        <w:t xml:space="preserve">[ف: ۵-۵۶۷]</w:t>
      </w:r>
    </w:p>
    <w:p>
      <w:pPr>
        <w:pStyle w:val="BookText"/>
      </w:pPr>
      <w:r>
        <w:rPr>
          <w:rFonts w:ascii="IRNazanin" w:hAnsi="IRNazanin" w:eastAsia="IRNazanin" w:cs="IRNazanin"/>
          <w:lang w:bidi="fa-IR"/>
          <w:color w:val="111111"/>
          <w:sz w:val="28"/>
          <w:szCs w:val="28"/>
          <w:rtl/>
        </w:rPr>
        <w:t xml:space="preserve">۴. تهران؛ ملک؛ شماره نسخه: ۴۳۷۹/۴۲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 محمد تقی بن حسین خاتون آبادی اصفهانی، بی تا، کاغذ: ترمه، جلد: ساغری سیاه ضربی، ۸۳گ (۱۷۸پ - ۲۶۰ر)، متن و هامش، سطر، اندازه: ۲۱/۱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۳۵/۲سم [ف: ۷-۳۷۷]</w:t>
      </w:r>
    </w:p>
    <w:p>
      <w:pPr>
        <w:pStyle w:val="BookText"/>
      </w:pPr>
      <w:r>
        <w:rPr>
          <w:rFonts w:ascii="IRNazanin" w:hAnsi="IRNazanin" w:eastAsia="IRNazanin" w:cs="IRNazanin"/>
          <w:lang w:bidi="fa-IR"/>
          <w:color w:val="111111"/>
          <w:sz w:val="28"/>
          <w:szCs w:val="28"/>
          <w:rtl/>
        </w:rPr>
        <w:t xml:space="preserve">۵. تهران؛ دانشگاه؛ شماره نسخه:۲۳۹۸/۵</w:t>
      </w:r>
    </w:p>
    <w:p>
      <w:pPr>
        <w:pStyle w:val="BookText"/>
      </w:pPr>
      <w:r>
        <w:rPr>
          <w:rFonts w:ascii="IRNazanin" w:hAnsi="IRNazanin" w:eastAsia="IRNazanin" w:cs="IRNazanin"/>
          <w:lang w:bidi="fa-IR"/>
          <w:color w:val="111111"/>
          <w:sz w:val="28"/>
          <w:szCs w:val="28"/>
          <w:rtl/>
        </w:rPr>
        <w:t xml:space="preserve">آغاز: برابر؛ انجام: آنچه تکذیب کرده اند از حالت ارباب رشاد و اصحاب سداد و الله اعلم بحقيقة احوال العباد و الختم بالصلوات على محمد و آله و عترته الى يوم التناد (در پایان حل مسئله ریاضی است از علی در چند سطر بفارسی)</w:t>
      </w:r>
    </w:p>
    <w:p>
      <w:pPr>
        <w:pStyle w:val="BookText"/>
      </w:pPr>
      <w:r>
        <w:rPr>
          <w:rFonts w:ascii="IRNazanin" w:hAnsi="IRNazanin" w:eastAsia="IRNazanin" w:cs="IRNazanin"/>
          <w:lang w:bidi="fa-IR"/>
          <w:color w:val="111111"/>
          <w:sz w:val="28"/>
          <w:szCs w:val="28"/>
          <w:rtl/>
        </w:rPr>
        <w:t xml:space="preserve">بی کا، بی تا؛ کاغذ: سپاهانی، جلد: تیماج مشکی ضربی، ۸۴ص ( ۲۱۸-۱۳۵ )، ۲۰سطر (۲۰۱۲)،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۹-۱۰۰۰]</w:t>
      </w:r>
    </w:p>
    <w:p>
      <w:pPr>
        <w:pStyle w:val="Heading3"/>
      </w:pPr>
      <w:bookmarkStart w:id="1929" w:name="_Toc1189"/>
      <w:r>
        <w:t>• تاج المواليد / تاریخ معصومین / عربی</w:t>
      </w:r>
      <w:bookmarkEnd w:id="1929"/>
    </w:p>
    <w:p>
      <w:pPr>
        <w:pStyle w:val="BookText"/>
      </w:pPr>
      <w:r>
        <w:rPr>
          <w:rFonts w:ascii="Times New Roman" w:hAnsi="Times New Roman" w:eastAsia="Times New Roman" w:cs="Times New Roman"/>
          <w:lang w:val="en-US" w:bidi="en-US"/>
          <w:color w:val="111111"/>
          <w:sz w:val="28"/>
          <w:szCs w:val="28"/>
          <w:rtl/>
        </w:rPr>
        <w:t xml:space="preserve">tāj-ul mawālīd</w:t>
      </w:r>
    </w:p>
    <w:p>
      <w:pPr>
        <w:pStyle w:val="BookText"/>
      </w:pPr>
      <w:r>
        <w:rPr>
          <w:rFonts w:ascii="IRNazanin" w:hAnsi="IRNazanin" w:eastAsia="IRNazanin" w:cs="IRNazanin"/>
          <w:lang w:bidi="fa-IR"/>
          <w:color w:val="111111"/>
          <w:sz w:val="28"/>
          <w:szCs w:val="28"/>
          <w:rtl/>
        </w:rPr>
        <w:t xml:space="preserve">طبرسی، فضل بن حسن، ۲۴۶۸-۵۴۸ ؟ قمری</w:t>
      </w:r>
    </w:p>
    <w:p>
      <w:pPr>
        <w:pStyle w:val="BookText"/>
      </w:pPr>
      <w:r>
        <w:rPr>
          <w:rFonts w:ascii="Times New Roman" w:hAnsi="Times New Roman" w:eastAsia="Times New Roman" w:cs="Times New Roman"/>
          <w:lang w:val="en-US" w:bidi="en-US"/>
          <w:color w:val="111111"/>
          <w:sz w:val="28"/>
          <w:szCs w:val="28"/>
          <w:rtl/>
        </w:rPr>
        <w:t xml:space="preserve">tabarsī, fazl ebn-e hasan (1076-1154)</w:t>
      </w:r>
    </w:p>
    <w:p>
      <w:pPr>
        <w:pStyle w:val="BookText"/>
      </w:pPr>
      <w:r>
        <w:rPr>
          <w:rFonts w:ascii="IRNazanin" w:hAnsi="IRNazanin" w:eastAsia="IRNazanin" w:cs="IRNazanin"/>
          <w:lang w:bidi="fa-IR"/>
          <w:color w:val="111111"/>
          <w:sz w:val="28"/>
          <w:szCs w:val="28"/>
          <w:rtl/>
        </w:rPr>
        <w:t xml:space="preserve">این کتاب به دو نفر نسبت داده شده است: طبرسی، فضل بن حسن صاحب مجمع البيان و طبرسی، احمد بن علی (- ۶۲۰ ؟) صاحب كتاب الاحتجاج. مرحوم شیخ آغا بزرگ انتساب به فضل بن حسن را ترجیح می دهد (الذريعة ۲۰۸/۳ و ۲۰۹). فهرستن گار مرعشی انتساب به فضل بن حسن را نادرست می داند. تاریخ زندگی و انساب ائمه طاهرین است در یک</w:t>
      </w:r>
    </w:p>
    <w:p>
      <w:pPr>
        <w:pStyle w:val="BookText"/>
      </w:pPr>
      <w:r>
        <w:rPr>
          <w:rFonts w:ascii="IRNazanin" w:hAnsi="IRNazanin" w:eastAsia="IRNazanin" w:cs="IRNazanin"/>
          <w:lang w:bidi="fa-IR"/>
          <w:color w:val="111111"/>
          <w:sz w:val="28"/>
          <w:szCs w:val="28"/>
          <w:rtl/>
        </w:rPr>
        <w:t xml:space="preserve">مقدمه» و چهارده «باب»، هر باب به نام مبارک یکی از چهارده معصوم و هر بابی در پنج فصل» آمده است: ۱. الاسماء و الألقاب؛ ۲. وقت الولادة؛ ۳. مبلغ العمر و بیان مقدار ما صحب بعضهم بعضا؛ ۴. وقت الوفاة و الاشارة الى سببها و تعیین مواضع القبور؛ ۵. ذكر عدد الاولاد و امهاتم.</w:t>
      </w:r>
    </w:p>
    <w:p>
      <w:pPr>
        <w:pStyle w:val="BookText"/>
      </w:pPr>
      <w:r>
        <w:rPr>
          <w:rFonts w:ascii="Amiri" w:hAnsi="Amiri" w:eastAsia="Amiri" w:cs="Amiri"/>
          <w:lang w:bidi="ar-SA"/>
          <w:color w:val="111111"/>
          <w:sz w:val="28"/>
          <w:szCs w:val="28"/>
          <w:rtl/>
        </w:rPr>
        <w:t xml:space="preserve">آغاز: الحمد لله حق حمده و الصلاة على خير خلقه محمد و اهل بيته الطيبين الاخبار الذين أذهب الله عنهم الرجس و طهر هم تطهيرة و بعد: لما رأيت رغبات جماعية من اخواننا حاظهم الله الى عمل مختصر في ذكر مولد النبي و مواليد الائمة</w:t>
      </w:r>
    </w:p>
    <w:p>
      <w:pPr>
        <w:pStyle w:val="BookText"/>
      </w:pPr>
      <w:r>
        <w:rPr>
          <w:rFonts w:ascii="IRNazanin" w:hAnsi="IRNazanin" w:eastAsia="IRNazanin" w:cs="IRNazanin"/>
          <w:lang w:bidi="fa-IR"/>
          <w:color w:val="111111"/>
          <w:sz w:val="28"/>
          <w:szCs w:val="28"/>
          <w:rtl/>
        </w:rPr>
        <w:t xml:space="preserve">چاپ: قم، انتشارات کتابخانه آیت الله مرعشی نجفی، ۱۴۰۶ق، به صورت تصویری؛ بیروت، دار القاری»، ۱۴۲۲ق، ضمن مجموعه نفیسه في تاريخ الائمة</w:t>
      </w:r>
    </w:p>
    <w:p>
      <w:pPr>
        <w:pStyle w:val="BookText"/>
      </w:pPr>
      <w:r>
        <w:rPr>
          <w:rFonts w:ascii="IRNazanin" w:hAnsi="IRNazanin" w:eastAsia="IRNazanin" w:cs="IRNazanin"/>
          <w:lang w:bidi="fa-IR"/>
          <w:color w:val="111111"/>
          <w:sz w:val="28"/>
          <w:szCs w:val="28"/>
          <w:rtl/>
        </w:rPr>
        <w:t xml:space="preserve">[دنا ۶۶۲/۲ با انتساب به دو نفر]</w:t>
      </w:r>
    </w:p>
    <w:p>
      <w:pPr>
        <w:pStyle w:val="BookText"/>
      </w:pPr>
      <w:r>
        <w:rPr>
          <w:rFonts w:ascii="IRNazanin" w:hAnsi="IRNazanin" w:eastAsia="IRNazanin" w:cs="IRNazanin"/>
          <w:lang w:bidi="fa-IR"/>
          <w:color w:val="111111"/>
          <w:sz w:val="28"/>
          <w:szCs w:val="28"/>
          <w:rtl/>
        </w:rPr>
        <w:t xml:space="preserve">١. مشهد؛ رضوی؛ شماره نسخه:۲۲۶۶۳</w:t>
      </w:r>
    </w:p>
    <w:p>
      <w:pPr>
        <w:pStyle w:val="BookText"/>
      </w:pPr>
      <w:r>
        <w:rPr>
          <w:rFonts w:ascii="IRNazanin" w:hAnsi="IRNazanin" w:eastAsia="IRNazanin" w:cs="IRNazanin"/>
          <w:lang w:bidi="fa-IR"/>
          <w:color w:val="111111"/>
          <w:sz w:val="28"/>
          <w:szCs w:val="28"/>
          <w:rtl/>
        </w:rPr>
        <w:t xml:space="preserve">آغاز: برابر؛ انجام: برحمتك يا ارحم الراحمين خط: نسخ، بی کا، تا: ۸۰۴ق؛ کاغذ: حنایی، جلد: تیماج ضربی، ۱۱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[رایانه]</w:t>
      </w:r>
    </w:p>
    <w:p>
      <w:pPr>
        <w:pStyle w:val="BookText"/>
      </w:pPr>
      <w:r>
        <w:rPr>
          <w:rFonts w:ascii="IRNazanin" w:hAnsi="IRNazanin" w:eastAsia="IRNazanin" w:cs="IRNazanin"/>
          <w:lang w:bidi="fa-IR"/>
          <w:color w:val="111111"/>
          <w:sz w:val="28"/>
          <w:szCs w:val="28"/>
          <w:rtl/>
        </w:rPr>
        <w:t xml:space="preserve">۲. قم؛ مرعشی؛ شماره نسخه: ۳/۱۲۸۹۰</w:t>
      </w:r>
    </w:p>
    <w:p>
      <w:pPr>
        <w:pStyle w:val="BookText"/>
      </w:pPr>
      <w:r>
        <w:rPr>
          <w:rFonts w:ascii="IRNazanin" w:hAnsi="IRNazanin" w:eastAsia="IRNazanin" w:cs="IRNazanin"/>
          <w:lang w:bidi="fa-IR"/>
          <w:color w:val="111111"/>
          <w:sz w:val="28"/>
          <w:szCs w:val="28"/>
          <w:rtl/>
        </w:rPr>
        <w:t xml:space="preserve">آغاز: برابر؛ انجام: الفصل الخامس في ذكر ولد و اما الولد الصاحب الزمان فقد وردت الروايات عنهم بانه يولد له الأولاد و غیر ممتنع أن يكون له في الوقت اهل و ولد و جایز أن يكون ذلک بعد خروجه و في ايام دولته و لا قطع على أحد الأمرين و اللهاعلم ... و هو حسبنا و نعم الوكيل.</w:t>
      </w:r>
    </w:p>
    <w:p>
      <w:pPr>
        <w:pStyle w:val="BookText"/>
      </w:pPr>
      <w:r>
        <w:rPr>
          <w:rFonts w:ascii="IRNazanin" w:hAnsi="IRNazanin" w:eastAsia="IRNazanin" w:cs="IRNazanin"/>
          <w:lang w:bidi="fa-IR"/>
          <w:color w:val="111111"/>
          <w:sz w:val="28"/>
          <w:szCs w:val="28"/>
          <w:rtl/>
        </w:rPr>
        <w:t xml:space="preserve">خط: نسخ زیبا، بی کا، تا: ۱۳۹۲ق؛ مقابله شده «قد قابلت مع النسخة التي كانت عندي بقدر الامكان و الطاقة الا ما زاغ عند النظر و حنا عنه البصر في يوم عاشوراء سنة ۱۰۸8 ثمان و ثمانين بعد الألف في قصبة قرمیسین المعروف بکرمانشاهان صانها الله من الحدثان و أنا الاقل ابن جابر محمد غفر الله ذنوبهما»؛ کاغذ: فرنگی زرد، ۴۰گ (۴۳پ -۸۲ر)، ۱۲ سطر، اندازه: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۶سم [ف: ۶۸۸-۳۲ ]</w:t>
      </w:r>
    </w:p>
    <w:p>
      <w:pPr>
        <w:pStyle w:val="BookText"/>
      </w:pPr>
      <w:r>
        <w:rPr>
          <w:rFonts w:ascii="IRNazanin" w:hAnsi="IRNazanin" w:eastAsia="IRNazanin" w:cs="IRNazanin"/>
          <w:lang w:bidi="fa-IR"/>
          <w:color w:val="111111"/>
          <w:sz w:val="28"/>
          <w:szCs w:val="28"/>
          <w:rtl/>
        </w:rPr>
        <w:t xml:space="preserve">٣. قم؛ مرعشی؛ شماره نسخه:۱۳۳۶۹</w:t>
      </w:r>
    </w:p>
    <w:p>
      <w:pPr>
        <w:pStyle w:val="BookText"/>
      </w:pPr>
      <w:r>
        <w:rPr>
          <w:rFonts w:ascii="Amiri" w:hAnsi="Amiri" w:eastAsia="Amiri" w:cs="Amiri"/>
          <w:lang w:bidi="ar-SA"/>
          <w:color w:val="111111"/>
          <w:sz w:val="28"/>
          <w:szCs w:val="28"/>
          <w:rtl/>
        </w:rPr>
        <w:t xml:space="preserve">آغاز: برابر؛ انجام: قد وفينا بما وعدنا في اول هذا المختصر من تضمين كل فصل ما يليق به و الاشارة الى شيء من النكت و الطرف على وجه الاجمال و تجنبنا في ذلك الاهمال و لم نأت بشيء من الأسانيد فيه طلبا للاختصار ... تمت.</w:t>
      </w:r>
    </w:p>
    <w:p>
      <w:pPr>
        <w:pStyle w:val="BookText"/>
      </w:pPr>
      <w:r>
        <w:rPr>
          <w:rFonts w:ascii="IRNazanin" w:hAnsi="IRNazanin" w:eastAsia="IRNazanin" w:cs="IRNazanin"/>
          <w:lang w:bidi="fa-IR"/>
          <w:color w:val="111111"/>
          <w:sz w:val="28"/>
          <w:szCs w:val="28"/>
          <w:rtl/>
        </w:rPr>
        <w:t xml:space="preserve">خط: نسخ، بی کا، تا: قرن ۱۱؛ مقابله شده با عبارت «قد قابلیت مع النسخة التي كانت عندي بقدر الامكان و الطاقة الا ما زاغ عنه و خسأ عنه البصر في يوم عاشورا سنة ثمان و ثمانين بعد الألف في قصبة قرمیسین المعروف بکرمانشاهان صانها الله من الحدثان و أنا اقل الاقلين ابن جابر محمد»، نسخه موجود با نسخه دیگر مرعشی در یک زمان و از سوی یک فرد در کرمانشاه مقابله شده؛ کاغذ: شرقی، جلد: میشن نخودی ضربی مجدول، ۹۴، ۹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۴/۵ )،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سم [ف: ۳۳-۶۴۰]</w:t>
      </w:r>
    </w:p>
    <w:p>
      <w:pPr>
        <w:pStyle w:val="BookText"/>
      </w:pPr>
      <w:r>
        <w:rPr>
          <w:rFonts w:ascii="IRNazanin" w:hAnsi="IRNazanin" w:eastAsia="IRNazanin" w:cs="IRNazanin"/>
          <w:lang w:bidi="fa-IR"/>
          <w:color w:val="111111"/>
          <w:sz w:val="28"/>
          <w:szCs w:val="28"/>
          <w:rtl/>
        </w:rPr>
        <w:t xml:space="preserve">۴. تهران؛ ملی؛ شماره نسخه: ۴۸/۱</w:t>
      </w:r>
    </w:p>
    <w:p>
      <w:pPr>
        <w:pStyle w:val="BookText"/>
      </w:pPr>
      <w:r>
        <w:rPr>
          <w:rFonts w:ascii="IRNazanin" w:hAnsi="IRNazanin" w:eastAsia="IRNazanin" w:cs="IRNazanin"/>
          <w:lang w:bidi="fa-IR"/>
          <w:color w:val="111111"/>
          <w:sz w:val="28"/>
          <w:szCs w:val="28"/>
          <w:rtl/>
        </w:rPr>
        <w:t xml:space="preserve">آغاز: برابر؛ انجام: من أهل بيته و الحمد لله وحده و صلوه على سیدنا محمد و آله قد تم بالخير. خط: نسخ، بی کا، بی تا، کاغذ: فرنگی، جلد: روغنی بوم تریاکی با گل و بوته، ۵۷ص (۱-۵۷)، ۱۶سطر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۷-۴۷]</w:t>
      </w:r>
    </w:p>
    <w:p>
      <w:pPr>
        <w:pStyle w:val="BookText"/>
      </w:pPr>
      <w:r>
        <w:rPr>
          <w:rFonts w:ascii="IRNazanin" w:hAnsi="IRNazanin" w:eastAsia="IRNazanin" w:cs="IRNazanin"/>
          <w:lang w:bidi="fa-IR"/>
          <w:color w:val="111111"/>
          <w:sz w:val="28"/>
          <w:szCs w:val="28"/>
          <w:rtl/>
        </w:rPr>
        <w:t xml:space="preserve">۵. تهران، دانشگاه؛ شماره نسخه: ۵۸۸۹/۱</w:t>
      </w:r>
    </w:p>
    <w:p>
      <w:pPr>
        <w:pStyle w:val="BookText"/>
      </w:pPr>
      <w:r>
        <w:rPr>
          <w:rFonts w:ascii="IRNazanin" w:hAnsi="IRNazanin" w:eastAsia="IRNazanin" w:cs="IRNazanin"/>
          <w:lang w:bidi="fa-IR"/>
          <w:color w:val="111111"/>
          <w:sz w:val="28"/>
          <w:szCs w:val="28"/>
          <w:rtl/>
        </w:rPr>
        <w:t xml:space="preserve">آغاز: برابر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355" w:name="pg20363_209635"/>
    <w:bookmarkEnd w:id="355"/>
    <w:p>
      <w:pPr>
        <w:pStyle w:val="BookText"/>
      </w:pPr>
      <w:r>
        <w:rPr>
          <w:rFonts w:ascii="IRNazanin" w:hAnsi="IRNazanin" w:eastAsia="IRNazanin" w:cs="IRNazanin"/>
          <w:lang w:bidi="fa-IR"/>
          <w:color w:val="111111"/>
          <w:sz w:val="28"/>
          <w:szCs w:val="28"/>
          <w:rtl/>
        </w:rPr>
        <w:t xml:space="preserve">خط: نسخ، كا: محمد حسین بن حاج ابراهیم، تا: شنبه ۱۵ ذیحجه ۱۲۵۴ق؛ کاغذ: فرنگی، جلد: تیماج مشکی ترنجی زرکوب مقوایی، ۲۷گ (۲پ-۲۸ر)، ۱۵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قطع: بغلی،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۱۶-۱۳۲]</w:t>
      </w:r>
    </w:p>
    <w:p>
      <w:pPr>
        <w:pStyle w:val="Heading3"/>
      </w:pPr>
      <w:bookmarkStart w:id="1930" w:name="_Toc1190"/>
      <w:r>
        <w:t>•تاجنامه / عرفان و تصوف / فارسی</w:t>
      </w:r>
      <w:bookmarkEnd w:id="1930"/>
    </w:p>
    <w:p>
      <w:pPr>
        <w:pStyle w:val="BookText"/>
      </w:pPr>
      <w:r>
        <w:rPr>
          <w:rFonts w:ascii="Times New Roman" w:hAnsi="Times New Roman" w:eastAsia="Times New Roman" w:cs="Times New Roman"/>
          <w:lang w:val="en-US" w:bidi="en-US"/>
          <w:color w:val="111111"/>
          <w:sz w:val="28"/>
          <w:szCs w:val="28"/>
          <w:rtl/>
        </w:rPr>
        <w:t xml:space="preserve">tāj-nāme</w:t>
      </w:r>
    </w:p>
    <w:p>
      <w:pPr>
        <w:pStyle w:val="BookText"/>
      </w:pPr>
      <w:r>
        <w:rPr>
          <w:rFonts w:ascii="IRNazanin" w:hAnsi="IRNazanin" w:eastAsia="IRNazanin" w:cs="IRNazanin"/>
          <w:lang w:bidi="fa-IR"/>
          <w:color w:val="111111"/>
          <w:sz w:val="28"/>
          <w:szCs w:val="28"/>
          <w:rtl/>
        </w:rPr>
        <w:t xml:space="preserve">نعمة الله ولی، نعمة الله بن عبد الله، ۷۳۰؟ -۸۳۴ قمری</w:t>
      </w:r>
    </w:p>
    <w:p>
      <w:pPr>
        <w:pStyle w:val="BookText"/>
      </w:pPr>
      <w:r>
        <w:rPr>
          <w:rFonts w:ascii="Times New Roman" w:hAnsi="Times New Roman" w:eastAsia="Times New Roman" w:cs="Times New Roman"/>
          <w:lang w:val="en-US" w:bidi="en-US"/>
          <w:color w:val="111111"/>
          <w:sz w:val="28"/>
          <w:szCs w:val="28"/>
          <w:rtl/>
        </w:rPr>
        <w:t xml:space="preserve">ne'mat-ol-lāh-e valī, ne'mat-ol-lāh ebn-e 'abd-ol-lāh (1330-1431)</w:t>
      </w:r>
    </w:p>
    <w:p>
      <w:pPr>
        <w:pStyle w:val="BookText"/>
      </w:pPr>
      <w:r>
        <w:rPr>
          <w:rFonts w:ascii="IRNazanin" w:hAnsi="IRNazanin" w:eastAsia="IRNazanin" w:cs="IRNazanin"/>
          <w:lang w:bidi="fa-IR"/>
          <w:color w:val="111111"/>
          <w:sz w:val="28"/>
          <w:szCs w:val="28"/>
          <w:rtl/>
        </w:rPr>
        <w:t xml:space="preserve">گفتاری است در خصوص دوازده ترک کلاه درویشان. آغاز: الحمدلله على كل حال و الصلوة و السلام ... على احسن مقال. بیت: تاج سر عارفان آگاه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فرزند رسول نعمة الله انجام: هر که او گشت نعمة اللهی.</w:t>
      </w:r>
    </w:p>
    <w:p>
      <w:pPr>
        <w:pStyle w:val="BookText"/>
      </w:pPr>
      <w:r>
        <w:rPr>
          <w:rFonts w:ascii="IRNazanin" w:hAnsi="IRNazanin" w:eastAsia="IRNazanin" w:cs="IRNazanin"/>
          <w:lang w:bidi="fa-IR"/>
          <w:color w:val="111111"/>
          <w:sz w:val="28"/>
          <w:szCs w:val="28"/>
          <w:rtl/>
        </w:rPr>
        <w:t xml:space="preserve">[دنا ۶۶۲/۲ ؛ فهرستواره منزوی ۱۶۸/۷ ]</w:t>
      </w:r>
    </w:p>
    <w:p>
      <w:pPr>
        <w:pStyle w:val="BookText"/>
      </w:pPr>
      <w:r>
        <w:rPr>
          <w:rFonts w:ascii="IRNazanin" w:hAnsi="IRNazanin" w:eastAsia="IRNazanin" w:cs="IRNazanin"/>
          <w:lang w:bidi="fa-IR"/>
          <w:color w:val="111111"/>
          <w:sz w:val="28"/>
          <w:szCs w:val="28"/>
          <w:rtl/>
        </w:rPr>
        <w:t xml:space="preserve">۱. تهران؛ مجلس؛ شماره نسخه: ۱۰۱۱۹/۸۸</w:t>
      </w:r>
    </w:p>
    <w:p>
      <w:pPr>
        <w:pStyle w:val="BookText"/>
      </w:pPr>
      <w:r>
        <w:rPr>
          <w:rFonts w:ascii="IRNazanin" w:hAnsi="IRNazanin" w:eastAsia="IRNazanin" w:cs="IRNazanin"/>
          <w:lang w:bidi="fa-IR"/>
          <w:color w:val="111111"/>
          <w:sz w:val="28"/>
          <w:szCs w:val="28"/>
          <w:rtl/>
        </w:rPr>
        <w:t xml:space="preserve">خط: نسخ ریز، كا: عباس بن محمد شیرازی الاصل همدانی المسكن، تا: ۱۲۶۴ق؛ ۲ص</w:t>
      </w:r>
    </w:p>
    <w:p>
      <w:pPr>
        <w:pStyle w:val="BookText"/>
      </w:pPr>
      <w:r>
        <w:rPr>
          <w:rFonts w:ascii="IRNazanin" w:hAnsi="IRNazanin" w:eastAsia="IRNazanin" w:cs="IRNazanin"/>
          <w:lang w:bidi="fa-IR"/>
          <w:color w:val="111111"/>
          <w:sz w:val="28"/>
          <w:szCs w:val="28"/>
          <w:rtl/>
        </w:rPr>
        <w:t xml:space="preserve">(۴۸۵-۴۸۶)، ۲۹ سطر، اندازه: 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سم [ف: ۳۲-۱۵۰]</w:t>
      </w:r>
    </w:p>
    <w:p>
      <w:pPr>
        <w:pStyle w:val="BookText"/>
      </w:pPr>
      <w:r>
        <w:rPr>
          <w:rFonts w:ascii="IRNazanin" w:hAnsi="IRNazanin" w:eastAsia="IRNazanin" w:cs="IRNazanin"/>
          <w:lang w:bidi="fa-IR"/>
          <w:color w:val="111111"/>
          <w:sz w:val="28"/>
          <w:szCs w:val="28"/>
          <w:rtl/>
        </w:rPr>
        <w:t xml:space="preserve">۲. مشهد؛ رضوی؛ شماره نسخه:ض۵۳۰</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كا: عباس بن حاجی محمد شیرازی همدانی، تا: سلخ رمضان ۱۲۶۴ق؛ جلد: گالینور مشکی، ۲گ (۲۳۹-۲۴۰)، ۲۹ سطر، اندازه: ۲۸/۵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۴۰سم [الفبائی: ۹۷]</w:t>
      </w:r>
    </w:p>
    <w:p>
      <w:pPr>
        <w:pStyle w:val="BookText"/>
      </w:pPr>
      <w:r>
        <w:rPr>
          <w:rFonts w:ascii="IRNazanin" w:hAnsi="IRNazanin" w:eastAsia="IRNazanin" w:cs="IRNazanin"/>
          <w:lang w:bidi="fa-IR"/>
          <w:color w:val="111111"/>
          <w:sz w:val="28"/>
          <w:szCs w:val="28"/>
          <w:rtl/>
        </w:rPr>
        <w:t xml:space="preserve">مشهد؛ الهيات؛ شماره نسخه: ۴۰/۸۶ عکسی</w:t>
      </w:r>
    </w:p>
    <w:p>
      <w:pPr>
        <w:pStyle w:val="BookText"/>
      </w:pPr>
      <w:r>
        <w:rPr>
          <w:rFonts w:ascii="IRNazanin" w:hAnsi="IRNazanin" w:eastAsia="IRNazanin" w:cs="IRNazanin"/>
          <w:lang w:bidi="fa-IR"/>
          <w:color w:val="111111"/>
          <w:sz w:val="28"/>
          <w:szCs w:val="28"/>
          <w:rtl/>
        </w:rPr>
        <w:t xml:space="preserve">نسخه اصل: همان نسخه بالا [ف: ۳-۱۳۱۷]</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 ۳۰۶۷/۸۵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خوش، بی کا، تا: ۱۲۶۵ق، مجدول مذهب؛ کاغذ: فرنگی نازک شکری آهار مهره، جلد: تیماج مشکی، ۲ص ( ۴۰۴-۴۰۳ )، ۲۵ سطر، قطع: وزیری، اندازه: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۲۳/۵سم [ف: ۶۰۹-۱۰]</w:t>
      </w:r>
    </w:p>
    <w:p>
      <w:pPr>
        <w:pStyle w:val="BookText"/>
      </w:pPr>
      <w:r>
        <w:rPr>
          <w:rFonts w:ascii="IRNazanin" w:hAnsi="IRNazanin" w:eastAsia="IRNazanin" w:cs="IRNazanin"/>
          <w:lang w:bidi="fa-IR"/>
          <w:color w:val="111111"/>
          <w:sz w:val="28"/>
          <w:szCs w:val="28"/>
          <w:rtl/>
        </w:rPr>
        <w:t xml:space="preserve">۴. تهران؛ مجلس؛ شماره نسخه: ۳۷۲/۸۴</w:t>
      </w:r>
    </w:p>
    <w:p>
      <w:pPr>
        <w:pStyle w:val="BookText"/>
      </w:pPr>
      <w:r>
        <w:rPr>
          <w:rFonts w:ascii="IRNazanin" w:hAnsi="IRNazanin" w:eastAsia="IRNazanin" w:cs="IRNazanin"/>
          <w:lang w:bidi="fa-IR"/>
          <w:color w:val="111111"/>
          <w:sz w:val="28"/>
          <w:szCs w:val="28"/>
          <w:rtl/>
        </w:rPr>
        <w:t xml:space="preserve">خط: نستعلیق، کا: محمد مظفر بن محمد حکیم، بی تا؛ ۳۳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۲۴</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۱۳سم [سنا: في: ۱-۲۱۲]</w:t>
      </w:r>
    </w:p>
    <w:p>
      <w:pPr>
        <w:pStyle w:val="Heading3"/>
      </w:pPr>
      <w:bookmarkStart w:id="1931" w:name="_Toc1191"/>
      <w:r>
        <w:t>•تاج نامه پیامبر / علوم غریبه، اسطرلاب / فارسی</w:t>
      </w:r>
      <w:bookmarkEnd w:id="1931"/>
    </w:p>
    <w:p>
      <w:pPr>
        <w:pStyle w:val="BookText"/>
      </w:pPr>
      <w:r>
        <w:rPr>
          <w:rFonts w:ascii="Times New Roman" w:hAnsi="Times New Roman" w:eastAsia="Times New Roman" w:cs="Times New Roman"/>
          <w:lang w:val="en-US" w:bidi="en-US"/>
          <w:color w:val="111111"/>
          <w:sz w:val="28"/>
          <w:szCs w:val="28"/>
          <w:rtl/>
        </w:rPr>
        <w:t xml:space="preserve">tāj-nāme-ye payāmbar</w:t>
      </w:r>
    </w:p>
    <w:p>
      <w:pPr>
        <w:pStyle w:val="BookText"/>
      </w:pPr>
      <w:r>
        <w:rPr>
          <w:rFonts w:ascii="IRNazanin" w:hAnsi="IRNazanin" w:eastAsia="IRNazanin" w:cs="IRNazanin"/>
          <w:lang w:bidi="fa-IR"/>
          <w:color w:val="111111"/>
          <w:sz w:val="28"/>
          <w:szCs w:val="28"/>
          <w:rtl/>
        </w:rPr>
        <w:t xml:space="preserve">تاج نامه پیامبر و همه آفریدگان که هر که با خود دارد از همه آسیب ها به دور باشد.</w:t>
      </w:r>
    </w:p>
    <w:p>
      <w:pPr>
        <w:pStyle w:val="BookText"/>
      </w:pPr>
      <w:r>
        <w:rPr>
          <w:rFonts w:ascii="IRNazanin" w:hAnsi="IRNazanin" w:eastAsia="IRNazanin" w:cs="IRNazanin"/>
          <w:lang w:bidi="fa-IR"/>
          <w:color w:val="111111"/>
          <w:sz w:val="28"/>
          <w:szCs w:val="28"/>
          <w:rtl/>
        </w:rPr>
        <w:t xml:space="preserve">تهران؛ ملک؛ شماره نسخه: ۸۴۲/۲</w:t>
      </w:r>
    </w:p>
    <w:p>
      <w:pPr>
        <w:pStyle w:val="BookText"/>
      </w:pPr>
      <w:r>
        <w:rPr>
          <w:rFonts w:ascii="IRNazanin" w:hAnsi="IRNazanin" w:eastAsia="IRNazanin" w:cs="IRNazanin"/>
          <w:lang w:bidi="fa-IR"/>
          <w:color w:val="111111"/>
          <w:sz w:val="28"/>
          <w:szCs w:val="28"/>
          <w:rtl/>
        </w:rPr>
        <w:t xml:space="preserve">خط: نسخ، بی کا، تا: حدود ۹۶۰ق؛ ۲گ [ف: ۵-۲۰۳]</w:t>
      </w:r>
    </w:p>
    <w:p>
      <w:pPr>
        <w:pStyle w:val="Heading3"/>
      </w:pPr>
      <w:bookmarkStart w:id="1932" w:name="_Toc1192"/>
      <w:r>
        <w:t>•التاج و خلقة المولود / کیمیا / عربی</w:t>
      </w:r>
      <w:bookmarkEnd w:id="1932"/>
    </w:p>
    <w:p>
      <w:pPr>
        <w:pStyle w:val="BookText"/>
      </w:pPr>
      <w:r>
        <w:rPr>
          <w:rFonts w:ascii="Times New Roman" w:hAnsi="Times New Roman" w:eastAsia="Times New Roman" w:cs="Times New Roman"/>
          <w:lang w:val="en-US" w:bidi="en-US"/>
          <w:color w:val="111111"/>
          <w:sz w:val="28"/>
          <w:szCs w:val="28"/>
          <w:rtl/>
        </w:rPr>
        <w:t xml:space="preserve">at-tāj wa xilqat-ul mawlūd</w:t>
      </w:r>
    </w:p>
    <w:p>
      <w:pPr>
        <w:pStyle w:val="BookText"/>
      </w:pPr>
      <w:r>
        <w:rPr>
          <w:rFonts w:ascii="IRNazanin" w:hAnsi="IRNazanin" w:eastAsia="IRNazanin" w:cs="IRNazanin"/>
          <w:lang w:bidi="fa-IR"/>
          <w:color w:val="111111"/>
          <w:sz w:val="28"/>
          <w:szCs w:val="28"/>
          <w:rtl/>
        </w:rPr>
        <w:t xml:space="preserve">قبطی، مارية بنت ساما، ق3 میلادی</w:t>
      </w:r>
    </w:p>
    <w:p>
      <w:pPr>
        <w:pStyle w:val="BookText"/>
      </w:pPr>
      <w:r>
        <w:rPr>
          <w:rFonts w:ascii="Times New Roman" w:hAnsi="Times New Roman" w:eastAsia="Times New Roman" w:cs="Times New Roman"/>
          <w:lang w:val="en-US" w:bidi="en-US"/>
          <w:color w:val="111111"/>
          <w:sz w:val="28"/>
          <w:szCs w:val="28"/>
          <w:rtl/>
        </w:rPr>
        <w:t xml:space="preserve">qebtī, mārīya bent-e sāmā (-3c)</w:t>
      </w:r>
    </w:p>
    <w:p>
      <w:pPr>
        <w:pStyle w:val="BookText"/>
      </w:pPr>
      <w:r>
        <w:rPr>
          <w:rFonts w:ascii="IRNazanin" w:hAnsi="IRNazanin" w:eastAsia="IRNazanin" w:cs="IRNazanin"/>
          <w:lang w:bidi="fa-IR"/>
          <w:color w:val="111111"/>
          <w:sz w:val="28"/>
          <w:szCs w:val="28"/>
          <w:rtl/>
        </w:rPr>
        <w:t xml:space="preserve">کیفیت خلق و زاد و ولد از دید کیمیاگران در این رساله توسط ماریه برای شاگردانش توضیح داده شده است.</w:t>
      </w:r>
    </w:p>
    <w:p>
      <w:pPr>
        <w:pStyle w:val="BookText"/>
      </w:pPr>
      <w:r>
        <w:rPr>
          <w:rFonts w:ascii="IRNazanin" w:hAnsi="IRNazanin" w:eastAsia="IRNazanin" w:cs="IRNazanin"/>
          <w:lang w:bidi="fa-IR"/>
          <w:color w:val="111111"/>
          <w:sz w:val="28"/>
          <w:szCs w:val="28"/>
          <w:rtl/>
        </w:rPr>
        <w:t xml:space="preserve">قم: مرکز احیاء؛ شماره نسخه: ۲۰۰۷/۱۱</w:t>
      </w:r>
    </w:p>
    <w:p>
      <w:pPr>
        <w:pStyle w:val="BookText"/>
      </w:pPr>
      <w:r>
        <w:rPr>
          <w:rFonts w:ascii="IRNazanin" w:hAnsi="IRNazanin" w:eastAsia="IRNazanin" w:cs="IRNazanin"/>
          <w:lang w:bidi="fa-IR"/>
          <w:color w:val="111111"/>
          <w:sz w:val="28"/>
          <w:szCs w:val="28"/>
          <w:rtl/>
        </w:rPr>
        <w:t xml:space="preserve">آغاز: قالت مارية لتلاميذها: اعلموا أن الأب والأم هما علة كل منتوج فالاب يولد ما جعل في طبعه و الام تقبل ذلك نسخه اصل:کتابخانه دانشگاه کراچی پاکستان ۱۹۹۹۱؛ خط: نسخ، كا: محمود حمدی، بی تا؛ ۴ص (۱۵۸-۱۶۱) [عکسی ف: ۶-۱۸]</w:t>
      </w:r>
    </w:p>
    <w:p>
      <w:pPr>
        <w:pStyle w:val="Heading3"/>
      </w:pPr>
      <w:bookmarkStart w:id="1933" w:name="_Toc1193"/>
      <w:r>
        <w:t>•تاج و هاج تارک دادار / تاریخ پادشاهان . فارسی و عربی</w:t>
      </w:r>
      <w:bookmarkEnd w:id="1933"/>
    </w:p>
    <w:p>
      <w:pPr>
        <w:pStyle w:val="BookText"/>
      </w:pPr>
      <w:r>
        <w:rPr>
          <w:rFonts w:ascii="Times New Roman" w:hAnsi="Times New Roman" w:eastAsia="Times New Roman" w:cs="Times New Roman"/>
          <w:lang w:val="en-US" w:bidi="en-US"/>
          <w:color w:val="111111"/>
          <w:sz w:val="28"/>
          <w:szCs w:val="28"/>
          <w:rtl/>
        </w:rPr>
        <w:t xml:space="preserve">tāj va hāj-e tārak-e dādār</w:t>
      </w:r>
    </w:p>
    <w:p>
      <w:pPr>
        <w:pStyle w:val="BookText"/>
      </w:pPr>
      <w:r>
        <w:rPr>
          <w:rFonts w:ascii="IRNazanin" w:hAnsi="IRNazanin" w:eastAsia="IRNazanin" w:cs="IRNazanin"/>
          <w:lang w:bidi="fa-IR"/>
          <w:color w:val="111111"/>
          <w:sz w:val="28"/>
          <w:szCs w:val="28"/>
          <w:rtl/>
        </w:rPr>
        <w:t xml:space="preserve">نائینی، محمد هادی بن محمد شریف، ۱۲۵۰</w:t>
      </w:r>
    </w:p>
    <w:p>
      <w:pPr>
        <w:pStyle w:val="BookText"/>
      </w:pPr>
      <w:r>
        <w:rPr>
          <w:rFonts w:ascii="Times New Roman" w:hAnsi="Times New Roman" w:eastAsia="Times New Roman" w:cs="Times New Roman"/>
          <w:lang w:val="en-US" w:bidi="en-US"/>
          <w:color w:val="111111"/>
          <w:sz w:val="28"/>
          <w:szCs w:val="28"/>
          <w:rtl/>
        </w:rPr>
        <w:t xml:space="preserve">nāʻīnī, mohammad hādī ebn-e mohammad šarīf (1250-)</w:t>
      </w:r>
    </w:p>
    <w:p>
      <w:pPr>
        <w:pStyle w:val="BookText"/>
      </w:pPr>
      <w:r>
        <w:rPr>
          <w:rFonts w:ascii="IRNazanin" w:hAnsi="IRNazanin" w:eastAsia="IRNazanin" w:cs="IRNazanin"/>
          <w:lang w:bidi="fa-IR"/>
          <w:color w:val="111111"/>
          <w:sz w:val="28"/>
          <w:szCs w:val="28"/>
          <w:rtl/>
        </w:rPr>
        <w:t xml:space="preserve">رساله ای است در شرح حالات محمد شاه قاجار به انشائی مقید و مصنوع منظوم و منثور. مؤلف تاریخ جلوس محمد شاه قاجار را که در سال ۱۲۵۰ق که با حساب ابجد مطابق کلمه (ظهور الحق) بوده است با اسم «تاج و هاج تارک دادار» مطابقت داده و رساله مورد بحث را که در مدح و ذکر احوال محمد شاه است به همین نام نامیده است.</w:t>
      </w:r>
    </w:p>
    <w:p>
      <w:pPr>
        <w:pStyle w:val="BookText"/>
      </w:pPr>
      <w:r>
        <w:rPr>
          <w:rFonts w:ascii="IRNazanin" w:hAnsi="IRNazanin" w:eastAsia="IRNazanin" w:cs="IRNazanin"/>
          <w:lang w:bidi="fa-IR"/>
          <w:color w:val="111111"/>
          <w:sz w:val="28"/>
          <w:szCs w:val="28"/>
          <w:rtl/>
        </w:rPr>
        <w:t xml:space="preserve">تهران؛ سلطنتی؛ شماره نسخه:۱۸۵۴</w:t>
      </w:r>
    </w:p>
    <w:p>
      <w:pPr>
        <w:pStyle w:val="BookText"/>
      </w:pPr>
      <w:r>
        <w:rPr>
          <w:rFonts w:ascii="IRNazanin" w:hAnsi="IRNazanin" w:eastAsia="IRNazanin" w:cs="IRNazanin"/>
          <w:lang w:bidi="fa-IR"/>
          <w:color w:val="111111"/>
          <w:sz w:val="28"/>
          <w:szCs w:val="28"/>
          <w:rtl/>
        </w:rPr>
        <w:t xml:space="preserve">آغاز: بسمله، الحمدلله الذي بعث محمد ارحمته للعالمين ... و بعد تحریر کشان رسائل قضا و قدر صفايح صفحات و سطور طروس هفت دفتر را بذكر ماثر فاخره و مفاخر ظاهره و مدایح لايحه و مناقب واضحه خسرو نامدار و شهریار کیهان مدار بدین دستور بلیغ بیاراسته مشتری بلاغت بیان بر هفتم پایه منبر آسمان بافشای انشای مدایحش بر خواسته است ... بنده وضيع ضعيف ابن محمد هادی النائيني محمد الشريف هداه الله تعالی ... بر طبق تارخی که ظهور الحق مطابق یافته است تاج و هاج تارک دادار مسماست بسطر شطری و شرح بسرخی وسعت سعی بر افراخت؛ انجام المحرره فحكم العدل قد عادا وای الجود قدبا داو صار الدهر مطواعة و هذعانا و مشقادا.</w:t>
      </w:r>
    </w:p>
    <w:p>
      <w:pPr>
        <w:pStyle w:val="BookText"/>
      </w:pPr>
      <w:r>
        <w:rPr>
          <w:rFonts w:ascii="IRNazanin" w:hAnsi="IRNazanin" w:eastAsia="IRNazanin" w:cs="IRNazanin"/>
          <w:lang w:bidi="fa-IR"/>
          <w:color w:val="111111"/>
          <w:sz w:val="28"/>
          <w:szCs w:val="28"/>
          <w:rtl/>
        </w:rPr>
        <w:t xml:space="preserve">خط: نستعلیق جلی و خفی، بی کا، بی تا؛ مجدول، کمند، دارای یک سرلوح مذهب مرصع، محشی؛ مهر: ناصر الدین شاه قاجار؛ کاغذ: ترمه آهار مهره، جلد: مقوای روغنی بوم گل ماشی منقش به گل و بوته، ۱۳۲، ۱۰ سطر، اندازه: ۱۴/۵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۷-۱۸۵]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356" w:name="pg20363_209636"/>
    <w:bookmarkEnd w:id="356"/>
    <w:p>
      <w:pPr>
        <w:pStyle w:val="Heading3"/>
      </w:pPr>
      <w:bookmarkStart w:id="1934" w:name="_Toc1194"/>
      <w:r>
        <w:t>•تأجيج نيران الاحزان = جامع الاحزان = مؤجج الاحزان في وفات غریب خراسان / تاریخ معصومین / عربی</w:t>
      </w:r>
      <w:bookmarkEnd w:id="1934"/>
    </w:p>
    <w:p>
      <w:pPr>
        <w:pStyle w:val="BookText"/>
      </w:pPr>
      <w:r>
        <w:rPr>
          <w:rFonts w:ascii="Times New Roman" w:hAnsi="Times New Roman" w:eastAsia="Times New Roman" w:cs="Times New Roman"/>
          <w:lang w:val="en-US" w:bidi="en-US"/>
          <w:color w:val="111111"/>
          <w:sz w:val="28"/>
          <w:szCs w:val="28"/>
          <w:rtl/>
        </w:rPr>
        <w:t xml:space="preserve">ta’jīj-u niyarān-il aḥzān = jāmi“-ul aḥzān = mu’ajjaj-ul ahzān fī wafāt-i garīb-i xurāsān</w:t>
      </w:r>
    </w:p>
    <w:p>
      <w:pPr>
        <w:pStyle w:val="BookText"/>
      </w:pPr>
      <w:r>
        <w:rPr>
          <w:rFonts w:ascii="IRNazanin" w:hAnsi="IRNazanin" w:eastAsia="IRNazanin" w:cs="IRNazanin"/>
          <w:lang w:bidi="fa-IR"/>
          <w:color w:val="111111"/>
          <w:sz w:val="28"/>
          <w:szCs w:val="28"/>
          <w:rtl/>
        </w:rPr>
        <w:t xml:space="preserve">اوالی، عبدالرضا بن محمد، ق ۱۲ قمری</w:t>
      </w:r>
    </w:p>
    <w:p>
      <w:pPr>
        <w:pStyle w:val="BookText"/>
      </w:pPr>
      <w:r>
        <w:rPr>
          <w:rFonts w:ascii="Times New Roman" w:hAnsi="Times New Roman" w:eastAsia="Times New Roman" w:cs="Times New Roman"/>
          <w:lang w:val="en-US" w:bidi="en-US"/>
          <w:color w:val="111111"/>
          <w:sz w:val="28"/>
          <w:szCs w:val="28"/>
          <w:rtl/>
        </w:rPr>
        <w:t xml:space="preserve">avālī, 'abd-or-rezā ebn-e mohammad (-18c)</w:t>
      </w:r>
    </w:p>
    <w:p>
      <w:pPr>
        <w:pStyle w:val="BookText"/>
      </w:pPr>
      <w:r>
        <w:rPr>
          <w:rFonts w:ascii="IRNazanin" w:hAnsi="IRNazanin" w:eastAsia="IRNazanin" w:cs="IRNazanin"/>
          <w:lang w:bidi="fa-IR"/>
          <w:color w:val="111111"/>
          <w:sz w:val="28"/>
          <w:szCs w:val="28"/>
          <w:rtl/>
        </w:rPr>
        <w:t xml:space="preserve">رساله مختصری است در تاریخ وفات حضرت امام علی بن موسی الرضا(عليه السلام)که به درخواست یکی از دوستانش نگاشته است. وی در دیباچه توضیح می دهد که بعد از جستجو در کتب و اقوال گذشتگان، روایات و احادیث پراکنده در کتاب های گوناگون را به صورت این تألیف کنار هم گرد آورده است. مؤلف در این کتاب به وقایع بعد از وفات امام موسی کاظم(عليه السلام)و به امامت رسیدن امام رضا(عليه السلام)و مرگ هارون الرشید و حرکت امام به طوس و کیفیت برخورد مأمون با ایشان و داستان اقامه نماز عید قربان و چگونگی مسمومیت و شهادت امام به دست مأمون و به اشعار ابونواس و قصیده تائیه دعبل خزاعی و اشعاری دیگر اشاره کرده است.</w:t>
      </w:r>
    </w:p>
    <w:p>
      <w:pPr>
        <w:pStyle w:val="BookText"/>
      </w:pPr>
      <w:r>
        <w:rPr>
          <w:rFonts w:ascii="IRNazanin" w:hAnsi="IRNazanin" w:eastAsia="IRNazanin" w:cs="IRNazanin"/>
          <w:lang w:bidi="fa-IR"/>
          <w:color w:val="111111"/>
          <w:sz w:val="28"/>
          <w:szCs w:val="28"/>
          <w:rtl/>
        </w:rPr>
        <w:t xml:space="preserve">آغاز: بسمله الحمدلله الذي زين اقطار ابوع السماوات والارضين بمصابيح انوار الائمة الطاهرين ... وبعد فقد سألني بعض اخوانی ... اؤلف كتاب يتضمن وفات سیدنا ... الامام علی بن موسی الرضا ... وانا عبده عبدالرضا ناصر بن محمد الاولی نسل محمد الموالي .. المسومة بتاجيح نيران الاحزان</w:t>
      </w:r>
    </w:p>
    <w:p>
      <w:pPr>
        <w:pStyle w:val="BookText"/>
      </w:pPr>
      <w:r>
        <w:rPr>
          <w:rFonts w:ascii="IRNazanin" w:hAnsi="IRNazanin" w:eastAsia="IRNazanin" w:cs="IRNazanin"/>
          <w:lang w:bidi="fa-IR"/>
          <w:color w:val="111111"/>
          <w:sz w:val="28"/>
          <w:szCs w:val="28"/>
          <w:rtl/>
        </w:rPr>
        <w:t xml:space="preserve">انجام: و ما الله بغافل عما يعمل الظالمون و هذا ما انتهى الينا من خبر وفات سیدنا و مولانا و امامنا على ابن موسی الرضا(عليه السلام) على التمام و الكمال و نستغفر الله عن الزيادة و النقصان و السهو و الغلط و النسيان انه غفور منان و الحمدلله حق حمده و الصلوة و السلام على من نبي بعده محمد و آله الطاهرين.</w:t>
      </w:r>
    </w:p>
    <w:p>
      <w:pPr>
        <w:pStyle w:val="BookText"/>
      </w:pPr>
      <w:r>
        <w:rPr>
          <w:rFonts w:ascii="Amiri" w:hAnsi="Amiri" w:eastAsia="Amiri" w:cs="Amiri"/>
          <w:lang w:bidi="ar-SA"/>
          <w:color w:val="111111"/>
          <w:sz w:val="28"/>
          <w:szCs w:val="28"/>
          <w:rtl/>
        </w:rPr>
        <w:t xml:space="preserve">[دنا ۶۶۲/۲ (۷ نسخه)؛ الذريعة ۲۰۹/۳ و ۲۴۷/۲۳ : نام دوم؛ اعلام ۱۳۳۲/۲ ؛ مكتبة امير المؤمنين ۴۴۴/۴ ]</w:t>
      </w:r>
    </w:p>
    <w:p>
      <w:pPr>
        <w:pStyle w:val="BookText"/>
      </w:pPr>
      <w:r>
        <w:rPr>
          <w:rFonts w:ascii="IRNazanin" w:hAnsi="IRNazanin" w:eastAsia="IRNazanin" w:cs="IRNazanin"/>
          <w:lang w:bidi="fa-IR"/>
          <w:color w:val="111111"/>
          <w:sz w:val="28"/>
          <w:szCs w:val="28"/>
          <w:rtl/>
        </w:rPr>
        <w:t xml:space="preserve">۱. تهران: مجلس؛ شماره نسخه: ۱۵۰۲۵/۲</w:t>
      </w:r>
    </w:p>
    <w:p>
      <w:pPr>
        <w:pStyle w:val="BookText"/>
      </w:pPr>
      <w:r>
        <w:rPr>
          <w:rFonts w:ascii="IRNazanin" w:hAnsi="IRNazanin" w:eastAsia="IRNazanin" w:cs="IRNazanin"/>
          <w:lang w:bidi="fa-IR"/>
          <w:color w:val="111111"/>
          <w:sz w:val="28"/>
          <w:szCs w:val="28"/>
          <w:rtl/>
        </w:rPr>
        <w:t xml:space="preserve">خط: نسخ، بی کا، تا: قرن ۱۲؛ افتادگی: انجام؛ ۵۶گ (۱۷۰پ - ۲۲۶ر) [مختصر ف: ۱۲۳]</w:t>
      </w:r>
    </w:p>
    <w:p>
      <w:pPr>
        <w:pStyle w:val="BookText"/>
      </w:pPr>
      <w:r>
        <w:rPr>
          <w:rFonts w:ascii="IRNazanin" w:hAnsi="IRNazanin" w:eastAsia="IRNazanin" w:cs="IRNazanin"/>
          <w:lang w:bidi="fa-IR"/>
          <w:color w:val="111111"/>
          <w:sz w:val="28"/>
          <w:szCs w:val="28"/>
          <w:rtl/>
        </w:rPr>
        <w:t xml:space="preserve">۲. تهران؛ ملی؛ شماره نسخه:۲۴۲۱</w:t>
      </w:r>
    </w:p>
    <w:p>
      <w:pPr>
        <w:pStyle w:val="BookText"/>
      </w:pPr>
      <w:r>
        <w:rPr>
          <w:rFonts w:ascii="IRNazanin" w:hAnsi="IRNazanin" w:eastAsia="IRNazanin" w:cs="IRNazanin"/>
          <w:lang w:bidi="fa-IR"/>
          <w:color w:val="111111"/>
          <w:sz w:val="28"/>
          <w:szCs w:val="28"/>
          <w:rtl/>
        </w:rPr>
        <w:t xml:space="preserve">آغاز: بسمله، الحمدلله رب العالمين و الصلوة و السلام على محمد و اله اجمعين و لعنة الله على اعدائهم و مخالفيهم؛ انجام: سيعلم الذين ظلموا ای منقلب ينقلبون و الحمدلله رب العالمين خط: نستعلیق خوش، بی کا، تا: قرن ۱۳؛ با سرلوح مذهب؛ کاغذ: فرنگی، جلد: تیماج ماشی یک لا، ۶۰ گ، ۱۱ سطر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[ف: ۵-۵۶۳]</w:t>
      </w:r>
    </w:p>
    <w:p>
      <w:pPr>
        <w:pStyle w:val="BookText"/>
      </w:pPr>
      <w:r>
        <w:rPr>
          <w:rFonts w:ascii="IRNazanin" w:hAnsi="IRNazanin" w:eastAsia="IRNazanin" w:cs="IRNazanin"/>
          <w:lang w:bidi="fa-IR"/>
          <w:color w:val="111111"/>
          <w:sz w:val="28"/>
          <w:szCs w:val="28"/>
          <w:rtl/>
        </w:rPr>
        <w:t xml:space="preserve">٣. مشهد؛ رضوی؛ شماره نسخه: ۱۷۹۴۱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جلی، بی کا، تا: شعبان ۱۲۴۴ق؛ واگذاری سازمان حج تاجنامه - تأخیر ۵۰۹ و اوقاف در آبان ۱۳۶۹؛ کاغذ: حنایی، ۸۱گ، ۱۲ سطر، اندازه: ۱۵/۵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 سم [ف: ۱۴-۵۸۷]</w:t>
      </w:r>
    </w:p>
    <w:p>
      <w:pPr>
        <w:pStyle w:val="BookText"/>
      </w:pPr>
      <w:r>
        <w:rPr>
          <w:rFonts w:ascii="IRNazanin" w:hAnsi="IRNazanin" w:eastAsia="IRNazanin" w:cs="IRNazanin"/>
          <w:lang w:bidi="fa-IR"/>
          <w:color w:val="111111"/>
          <w:sz w:val="28"/>
          <w:szCs w:val="28"/>
          <w:rtl/>
        </w:rPr>
        <w:t xml:space="preserve">۴. تهران؛ ملی؛ شماره نسخه:۶۲۰۷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۱۳۲۵ق؛ تملک: بی بی خدیجه؛ کاغذ: فرنگی شکری، ۳۷گ (۶۶-۱۰۲پ)، ۱۹-۲۱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و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اندازه: ۲۳/۷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سم [رایانه]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دائرة المعارف؛ شماره نسخه: ۱۶۲۱/۲ - عکسی</w:t>
      </w:r>
    </w:p>
    <w:p>
      <w:pPr>
        <w:pStyle w:val="BookText"/>
      </w:pPr>
      <w:r>
        <w:rPr>
          <w:rFonts w:ascii="IRNazanin" w:hAnsi="IRNazanin" w:eastAsia="IRNazanin" w:cs="IRNazanin"/>
          <w:lang w:bidi="fa-IR"/>
          <w:color w:val="111111"/>
          <w:sz w:val="28"/>
          <w:szCs w:val="28"/>
          <w:rtl/>
        </w:rPr>
        <w:t xml:space="preserve">آغاز: برابر؛ انجام: السلام علیک یا من قتل بالسم ظلما و اعتدی. السلام علیک یا من لم يخالط الدناسة و الردي. اشهد يا مولاي.</w:t>
      </w:r>
    </w:p>
    <w:p>
      <w:pPr>
        <w:pStyle w:val="BookText"/>
      </w:pPr>
      <w:r>
        <w:rPr>
          <w:rFonts w:ascii="IRNazanin" w:hAnsi="IRNazanin" w:eastAsia="IRNazanin" w:cs="IRNazanin"/>
          <w:lang w:bidi="fa-IR"/>
          <w:color w:val="111111"/>
          <w:sz w:val="28"/>
          <w:szCs w:val="28"/>
          <w:rtl/>
        </w:rPr>
        <w:t xml:space="preserve">خط: نسخ پخته، بی کا، بی تا، افتادگی: انجام؛ ۱۱۸ص (۱۱۹-۲۳۶) [عکسی ف: ۱-۳۸۵]</w:t>
      </w:r>
    </w:p>
    <w:p>
      <w:pPr>
        <w:pStyle w:val="BookText"/>
      </w:pPr>
      <w:r>
        <w:rPr>
          <w:rFonts w:ascii="IRNazanin" w:hAnsi="IRNazanin" w:eastAsia="IRNazanin" w:cs="IRNazanin"/>
          <w:lang w:bidi="fa-IR"/>
          <w:color w:val="111111"/>
          <w:sz w:val="28"/>
          <w:szCs w:val="28"/>
          <w:rtl/>
        </w:rPr>
        <w:t xml:space="preserve">6 . تهران؛ مجلس؛ شماره نسخه: ۱۷۱۶۸</w:t>
      </w:r>
    </w:p>
    <w:p>
      <w:pPr>
        <w:pStyle w:val="BookText"/>
      </w:pPr>
      <w:r>
        <w:rPr>
          <w:rFonts w:ascii="IRNazanin" w:hAnsi="IRNazanin" w:eastAsia="IRNazanin" w:cs="IRNazanin"/>
          <w:lang w:bidi="fa-IR"/>
          <w:color w:val="111111"/>
          <w:sz w:val="28"/>
          <w:szCs w:val="28"/>
          <w:rtl/>
        </w:rPr>
        <w:t xml:space="preserve">بی کا، بی تا [د.ث. مجلس]</w:t>
      </w:r>
    </w:p>
    <w:p>
      <w:pPr>
        <w:pStyle w:val="BookText"/>
      </w:pPr>
      <w:r>
        <w:rPr>
          <w:rFonts w:ascii="IRNazanin" w:hAnsi="IRNazanin" w:eastAsia="IRNazanin" w:cs="IRNazanin"/>
          <w:lang w:bidi="fa-IR"/>
          <w:color w:val="111111"/>
          <w:sz w:val="28"/>
          <w:szCs w:val="28"/>
          <w:rtl/>
        </w:rPr>
        <w:t xml:space="preserve">۷. قم؛ طبسی؛ شماره نسخه:۴۶۹/۴</w:t>
      </w:r>
    </w:p>
    <w:p>
      <w:pPr>
        <w:pStyle w:val="BookText"/>
      </w:pPr>
      <w:r>
        <w:rPr>
          <w:rFonts w:ascii="Amiri" w:hAnsi="Amiri" w:eastAsia="Amiri" w:cs="Amiri"/>
          <w:lang w:bidi="ar-SA"/>
          <w:color w:val="111111"/>
          <w:sz w:val="28"/>
          <w:szCs w:val="28"/>
          <w:rtl/>
        </w:rPr>
        <w:t xml:space="preserve">آغاز: برابر؛ انجام: دعبل وبعد ذلك تقدم على جدي رسول الله صلى الله عليه و آله داية ثالثة بيضاء مشرقة وجوههم بالنور تحتها رجال بيض الوجوه</w:t>
      </w:r>
    </w:p>
    <w:p>
      <w:pPr>
        <w:pStyle w:val="BookText"/>
      </w:pPr>
      <w:r>
        <w:rPr>
          <w:rFonts w:ascii="IRNazanin" w:hAnsi="IRNazanin" w:eastAsia="IRNazanin" w:cs="IRNazanin"/>
          <w:lang w:bidi="fa-IR"/>
          <w:color w:val="111111"/>
          <w:sz w:val="28"/>
          <w:szCs w:val="28"/>
          <w:rtl/>
        </w:rPr>
        <w:t xml:space="preserve">خط: نسخ، بی کا، بی تاب افتادگی: انجام؛ ۱۷گ، ۱۴ سطر،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مخ: ۱-۹۲]</w:t>
      </w:r>
    </w:p>
    <w:p>
      <w:pPr>
        <w:pStyle w:val="Heading3"/>
      </w:pPr>
      <w:bookmarkStart w:id="1935" w:name="_Toc1195"/>
      <w:r>
        <w:t>•تاجیه / عرفان و تصوف / عربی</w:t>
      </w:r>
      <w:bookmarkEnd w:id="1935"/>
    </w:p>
    <w:p>
      <w:pPr>
        <w:pStyle w:val="BookText"/>
      </w:pPr>
      <w:r>
        <w:rPr>
          <w:rFonts w:ascii="Times New Roman" w:hAnsi="Times New Roman" w:eastAsia="Times New Roman" w:cs="Times New Roman"/>
          <w:lang w:val="en-US" w:bidi="en-US"/>
          <w:color w:val="111111"/>
          <w:sz w:val="28"/>
          <w:szCs w:val="28"/>
          <w:rtl/>
        </w:rPr>
        <w:t xml:space="preserve">tājīye</w:t>
      </w:r>
    </w:p>
    <w:p>
      <w:pPr>
        <w:pStyle w:val="BookText"/>
      </w:pPr>
      <w:r>
        <w:rPr>
          <w:rFonts w:ascii="IRNazanin" w:hAnsi="IRNazanin" w:eastAsia="IRNazanin" w:cs="IRNazanin"/>
          <w:lang w:bidi="fa-IR"/>
          <w:color w:val="111111"/>
          <w:sz w:val="28"/>
          <w:szCs w:val="28"/>
          <w:rtl/>
        </w:rPr>
        <w:t xml:space="preserve">عثمانی، تاج الدین بن زکریا، - ۱۰۵۰ قمری</w:t>
      </w:r>
    </w:p>
    <w:p>
      <w:pPr>
        <w:pStyle w:val="BookText"/>
      </w:pPr>
      <w:r>
        <w:rPr>
          <w:rFonts w:ascii="Times New Roman" w:hAnsi="Times New Roman" w:eastAsia="Times New Roman" w:cs="Times New Roman"/>
          <w:lang w:val="en-US" w:bidi="en-US"/>
          <w:color w:val="111111"/>
          <w:sz w:val="28"/>
          <w:szCs w:val="28"/>
          <w:rtl/>
        </w:rPr>
        <w:t xml:space="preserve">‘osmānī, tāj-od-dīn ebn-e zakaryžā (-1641)</w:t>
      </w:r>
    </w:p>
    <w:p>
      <w:pPr>
        <w:pStyle w:val="BookText"/>
      </w:pPr>
      <w:r>
        <w:rPr>
          <w:rFonts w:ascii="IRNazanin" w:hAnsi="IRNazanin" w:eastAsia="IRNazanin" w:cs="IRNazanin"/>
          <w:lang w:bidi="fa-IR"/>
          <w:color w:val="111111"/>
          <w:sz w:val="28"/>
          <w:szCs w:val="28"/>
          <w:rtl/>
        </w:rPr>
        <w:t xml:space="preserve">مشهد، الهیات، شماره نسخه: ۱۴۸۲۲/۴</w:t>
      </w:r>
    </w:p>
    <w:p>
      <w:pPr>
        <w:pStyle w:val="BookText"/>
      </w:pPr>
      <w:r>
        <w:rPr>
          <w:rFonts w:ascii="IRNazanin" w:hAnsi="IRNazanin" w:eastAsia="IRNazanin" w:cs="IRNazanin"/>
          <w:lang w:bidi="fa-IR"/>
          <w:color w:val="111111"/>
          <w:sz w:val="28"/>
          <w:szCs w:val="28"/>
          <w:rtl/>
        </w:rPr>
        <w:t xml:space="preserve">آغاز: بسمله الحمدلله رب العالمين و الصلاة و السلام على سيدنا محمد و على آله و صحبه اجمعين اعلم وفقنا الله تعالی و ایاک آن معتقد السادة النقشبنديه قدس الله تعالی، ارواحهم هو معتقد ... فصل طريق الوصول الى الله</w:t>
      </w:r>
    </w:p>
    <w:p>
      <w:pPr>
        <w:pStyle w:val="BookText"/>
      </w:pPr>
      <w:r>
        <w:rPr>
          <w:rFonts w:ascii="IRNazanin" w:hAnsi="IRNazanin" w:eastAsia="IRNazanin" w:cs="IRNazanin"/>
          <w:lang w:bidi="fa-IR"/>
          <w:color w:val="111111"/>
          <w:sz w:val="28"/>
          <w:szCs w:val="28"/>
          <w:rtl/>
        </w:rPr>
        <w:t xml:space="preserve">خط: نسخ، بی کا، بی تا؛ جلد: تیماج عنابی لولایی، وگ، ۱۹ سطر، قطع: پستی [ف: ۲-۱۲۳]</w:t>
      </w:r>
    </w:p>
    <w:p>
      <w:pPr>
        <w:pStyle w:val="Heading3"/>
      </w:pPr>
      <w:bookmarkStart w:id="1936" w:name="_Toc1196"/>
      <w:r>
        <w:t>•تاجیه / عرفان و تصوف / فارسی</w:t>
      </w:r>
      <w:bookmarkEnd w:id="1936"/>
    </w:p>
    <w:p>
      <w:pPr>
        <w:pStyle w:val="BookText"/>
      </w:pPr>
      <w:r>
        <w:rPr>
          <w:rFonts w:ascii="Times New Roman" w:hAnsi="Times New Roman" w:eastAsia="Times New Roman" w:cs="Times New Roman"/>
          <w:lang w:val="en-US" w:bidi="en-US"/>
          <w:color w:val="111111"/>
          <w:sz w:val="28"/>
          <w:szCs w:val="28"/>
          <w:rtl/>
        </w:rPr>
        <w:t xml:space="preserve">tājīye</w:t>
      </w:r>
    </w:p>
    <w:p>
      <w:pPr>
        <w:pStyle w:val="BookText"/>
      </w:pPr>
      <w:r>
        <w:rPr>
          <w:rFonts w:ascii="IRNazanin" w:hAnsi="IRNazanin" w:eastAsia="IRNazanin" w:cs="IRNazanin"/>
          <w:lang w:bidi="fa-IR"/>
          <w:color w:val="111111"/>
          <w:sz w:val="28"/>
          <w:szCs w:val="28"/>
          <w:rtl/>
        </w:rPr>
        <w:t xml:space="preserve">تهران؛ مجلس؛ شماره نسخه: ۱۴۹/۱۳</w:t>
      </w:r>
    </w:p>
    <w:p>
      <w:pPr>
        <w:pStyle w:val="BookText"/>
      </w:pPr>
      <w:r>
        <w:rPr>
          <w:rFonts w:ascii="IRNazanin" w:hAnsi="IRNazanin" w:eastAsia="IRNazanin" w:cs="IRNazanin"/>
          <w:lang w:bidi="fa-IR"/>
          <w:color w:val="111111"/>
          <w:sz w:val="28"/>
          <w:szCs w:val="28"/>
          <w:rtl/>
        </w:rPr>
        <w:t xml:space="preserve">سید عزت؛ خط: نستعلیق، بی کا، تا: قرن ۱۲؛ کاغذ: سفید، جلد: تیماج قهوه ای مقوایی، ۲ ص (۷۵-۷۶)، ۲۰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[سنا: ف: ۱-۷۴]</w:t>
      </w:r>
    </w:p>
    <w:p>
      <w:pPr>
        <w:pStyle w:val="Heading3"/>
      </w:pPr>
      <w:bookmarkStart w:id="1937" w:name="_Toc1197"/>
      <w:r>
        <w:t>•تأخیر بیان الحاجة / اصول فقه / عربی</w:t>
      </w:r>
      <w:bookmarkEnd w:id="1937"/>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357" w:name="pg20363_209637"/>
    <w:bookmarkEnd w:id="357"/>
    <w:p>
      <w:pPr>
        <w:pStyle w:val="BookText"/>
      </w:pPr>
      <w:r>
        <w:rPr>
          <w:rFonts w:ascii="Times New Roman" w:hAnsi="Times New Roman" w:eastAsia="Times New Roman" w:cs="Times New Roman"/>
          <w:lang w:val="en-US" w:bidi="en-US"/>
          <w:color w:val="111111"/>
          <w:sz w:val="28"/>
          <w:szCs w:val="28"/>
          <w:rtl/>
        </w:rPr>
        <w:t xml:space="preserve">ta’xīr-u bayān-il ḥāja</w:t>
      </w:r>
    </w:p>
    <w:p>
      <w:pPr>
        <w:pStyle w:val="BookText"/>
      </w:pPr>
      <w:r>
        <w:rPr>
          <w:rFonts w:ascii="IRNazanin" w:hAnsi="IRNazanin" w:eastAsia="IRNazanin" w:cs="IRNazanin"/>
          <w:lang w:bidi="fa-IR"/>
          <w:color w:val="111111"/>
          <w:sz w:val="28"/>
          <w:szCs w:val="28"/>
          <w:rtl/>
        </w:rPr>
        <w:t xml:space="preserve">مدرس یزدی، محمد بن مرتضی، -۱۳۲۳ قمری</w:t>
      </w:r>
    </w:p>
    <w:p>
      <w:pPr>
        <w:pStyle w:val="BookText"/>
      </w:pPr>
      <w:r>
        <w:rPr>
          <w:rFonts w:ascii="Times New Roman" w:hAnsi="Times New Roman" w:eastAsia="Times New Roman" w:cs="Times New Roman"/>
          <w:lang w:val="en-US" w:bidi="en-US"/>
          <w:color w:val="111111"/>
          <w:sz w:val="28"/>
          <w:szCs w:val="28"/>
          <w:rtl/>
        </w:rPr>
        <w:t xml:space="preserve">modarres-e yazdī, mohammad ebn-e mortazā (-1905)</w:t>
      </w:r>
    </w:p>
    <w:p>
      <w:pPr>
        <w:pStyle w:val="BookText"/>
      </w:pPr>
      <w:r>
        <w:rPr>
          <w:rFonts w:ascii="IRNazanin" w:hAnsi="IRNazanin" w:eastAsia="IRNazanin" w:cs="IRNazanin"/>
          <w:lang w:bidi="fa-IR"/>
          <w:color w:val="111111"/>
          <w:sz w:val="28"/>
          <w:szCs w:val="28"/>
          <w:rtl/>
        </w:rPr>
        <w:t xml:space="preserve">وابسته به: معالم الأصول = معالم الدين و ملاذ المجتهدين؛ عاملی، حسن بن زين الدين (۹۵۹-۱۰۱۱)</w:t>
      </w:r>
    </w:p>
    <w:p>
      <w:pPr>
        <w:pStyle w:val="BookText"/>
      </w:pPr>
      <w:r>
        <w:rPr>
          <w:rFonts w:ascii="IRNazanin" w:hAnsi="IRNazanin" w:eastAsia="IRNazanin" w:cs="IRNazanin"/>
          <w:lang w:bidi="fa-IR"/>
          <w:color w:val="111111"/>
          <w:sz w:val="28"/>
          <w:szCs w:val="28"/>
          <w:rtl/>
        </w:rPr>
        <w:t xml:space="preserve">شرح نسبتا مفصلی است با عناوین «قال اقول» بر عبارت مرحوم صاحب معالم: «انا لا نتصور مانعة من التأخير سوى ما تخيله الخصم من قبح الخطاب معه ..»</w:t>
      </w:r>
    </w:p>
    <w:p>
      <w:pPr>
        <w:pStyle w:val="BookText"/>
      </w:pPr>
      <w:r>
        <w:rPr>
          <w:rFonts w:ascii="IRNazanin" w:hAnsi="IRNazanin" w:eastAsia="IRNazanin" w:cs="IRNazanin"/>
          <w:lang w:bidi="fa-IR"/>
          <w:color w:val="111111"/>
          <w:sz w:val="28"/>
          <w:szCs w:val="28"/>
          <w:rtl/>
        </w:rPr>
        <w:t xml:space="preserve">آغاز: بسمله. الحمدالله و صلی الله على محمد و آله الطاهرين قوله رحمه الله أنا لا نتصور مانعا ... اقول و كأن صاحب المعالم عليه الرحمه تمسك في جواز تدخیر بیان المجمل عن وقت الخطاب انجام: الى ان يحصل لنا مجال لتحقيقه و الحمد الله اولا و آخرا.</w:t>
      </w:r>
    </w:p>
    <w:p>
      <w:pPr>
        <w:pStyle w:val="BookText"/>
      </w:pPr>
      <w:r>
        <w:rPr>
          <w:rFonts w:ascii="IRNazanin" w:hAnsi="IRNazanin" w:eastAsia="IRNazanin" w:cs="IRNazanin"/>
          <w:lang w:bidi="fa-IR"/>
          <w:color w:val="111111"/>
          <w:sz w:val="28"/>
          <w:szCs w:val="28"/>
          <w:rtl/>
        </w:rPr>
        <w:t xml:space="preserve">[دنا ۶۶۳/۲ ]</w:t>
      </w:r>
    </w:p>
    <w:p>
      <w:pPr>
        <w:pStyle w:val="BookText"/>
      </w:pPr>
      <w:r>
        <w:rPr>
          <w:rFonts w:ascii="IRNazanin" w:hAnsi="IRNazanin" w:eastAsia="IRNazanin" w:cs="IRNazanin"/>
          <w:lang w:bidi="fa-IR"/>
          <w:color w:val="111111"/>
          <w:sz w:val="28"/>
          <w:szCs w:val="28"/>
          <w:rtl/>
        </w:rPr>
        <w:t xml:space="preserve">یزد؛ مدرسی؛ شماره نسخه:بدون شماره /۳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تحریری، کاتب = مؤلف، تا: قرن ۱۳ق؛ جلد: مقوایی، وگ (۱۰۲-۱۱۰)، ۲۴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 میراث اسلامی: ۸-۴۵۶]</w:t>
      </w:r>
    </w:p>
    <w:p>
      <w:pPr>
        <w:pStyle w:val="BookText"/>
      </w:pPr>
      <w:r>
        <w:rPr>
          <w:rFonts w:ascii="IRNazanin" w:hAnsi="IRNazanin" w:eastAsia="IRNazanin" w:cs="IRNazanin"/>
          <w:lang w:bidi="fa-IR"/>
          <w:color w:val="111111"/>
          <w:sz w:val="28"/>
          <w:szCs w:val="28"/>
          <w:rtl/>
        </w:rPr>
        <w:t xml:space="preserve">قم؛ مرعشی؛ شماره نسخه:۱۹۴۰/۳</w:t>
      </w:r>
    </w:p>
    <w:p>
      <w:pPr>
        <w:pStyle w:val="BookText"/>
      </w:pPr>
      <w:r>
        <w:rPr>
          <w:rFonts w:ascii="IRNazanin" w:hAnsi="IRNazanin" w:eastAsia="IRNazanin" w:cs="IRNazanin"/>
          <w:lang w:bidi="fa-IR"/>
          <w:color w:val="111111"/>
          <w:sz w:val="28"/>
          <w:szCs w:val="28"/>
          <w:rtl/>
        </w:rPr>
        <w:t xml:space="preserve">نسخه اصل: همان نسخه بالا [عکسی ف: ۵-۳۶۷]</w:t>
      </w:r>
    </w:p>
    <w:p>
      <w:pPr>
        <w:pStyle w:val="BookText"/>
      </w:pPr>
      <w:r>
        <w:rPr>
          <w:rFonts w:ascii="IRNazanin" w:hAnsi="IRNazanin" w:eastAsia="IRNazanin" w:cs="IRNazanin"/>
          <w:lang w:bidi="fa-IR"/>
          <w:color w:val="111111"/>
          <w:sz w:val="28"/>
          <w:szCs w:val="28"/>
          <w:rtl/>
        </w:rPr>
        <w:t xml:space="preserve">قم: مرکز احیاء؛ شماره نسخه:۱۷۵۸/۳</w:t>
      </w:r>
    </w:p>
    <w:p>
      <w:pPr>
        <w:pStyle w:val="BookText"/>
      </w:pPr>
      <w:r>
        <w:rPr>
          <w:rFonts w:ascii="IRNazanin" w:hAnsi="IRNazanin" w:eastAsia="IRNazanin" w:cs="IRNazanin"/>
          <w:lang w:bidi="fa-IR"/>
          <w:color w:val="111111"/>
          <w:sz w:val="28"/>
          <w:szCs w:val="28"/>
          <w:rtl/>
        </w:rPr>
        <w:t xml:space="preserve">نسخه اصل: همان نسخه بالا [عکسی ف: ۵-۲۱۳]</w:t>
      </w:r>
    </w:p>
    <w:p>
      <w:pPr>
        <w:pStyle w:val="Heading3"/>
      </w:pPr>
      <w:bookmarkStart w:id="1938" w:name="_Toc1198"/>
      <w:r>
        <w:t>• تأديب الأطفال / داستان / فارسی</w:t>
      </w:r>
      <w:bookmarkEnd w:id="1938"/>
    </w:p>
    <w:p>
      <w:pPr>
        <w:pStyle w:val="BookText"/>
      </w:pPr>
      <w:r>
        <w:rPr>
          <w:rFonts w:ascii="Times New Roman" w:hAnsi="Times New Roman" w:eastAsia="Times New Roman" w:cs="Times New Roman"/>
          <w:lang w:val="en-US" w:bidi="en-US"/>
          <w:color w:val="111111"/>
          <w:sz w:val="28"/>
          <w:szCs w:val="28"/>
          <w:rtl/>
        </w:rPr>
        <w:t xml:space="preserve">ta'dib-ol atfal</w:t>
      </w:r>
    </w:p>
    <w:p>
      <w:pPr>
        <w:pStyle w:val="BookText"/>
      </w:pPr>
      <w:r>
        <w:rPr>
          <w:rFonts w:ascii="IRNazanin" w:hAnsi="IRNazanin" w:eastAsia="IRNazanin" w:cs="IRNazanin"/>
          <w:lang w:bidi="fa-IR"/>
          <w:color w:val="111111"/>
          <w:sz w:val="28"/>
          <w:szCs w:val="28"/>
          <w:rtl/>
        </w:rPr>
        <w:t xml:space="preserve">مازندرانی، محمود بن يوسف، ق۱۳ قمری</w:t>
      </w:r>
    </w:p>
    <w:p>
      <w:pPr>
        <w:pStyle w:val="BookText"/>
      </w:pPr>
      <w:r>
        <w:rPr>
          <w:rFonts w:ascii="Times New Roman" w:hAnsi="Times New Roman" w:eastAsia="Times New Roman" w:cs="Times New Roman"/>
          <w:lang w:val="en-US" w:bidi="en-US"/>
          <w:color w:val="111111"/>
          <w:sz w:val="28"/>
          <w:szCs w:val="28"/>
          <w:rtl/>
        </w:rPr>
        <w:t xml:space="preserve">mazandarani, mahmud ebn-e yusof (-19c)</w:t>
      </w:r>
    </w:p>
    <w:p>
      <w:pPr>
        <w:pStyle w:val="BookText"/>
      </w:pPr>
      <w:r>
        <w:rPr>
          <w:rFonts w:ascii="IRNazanin" w:hAnsi="IRNazanin" w:eastAsia="IRNazanin" w:cs="IRNazanin"/>
          <w:lang w:bidi="fa-IR"/>
          <w:color w:val="111111"/>
          <w:sz w:val="28"/>
          <w:szCs w:val="28"/>
          <w:rtl/>
        </w:rPr>
        <w:t xml:space="preserve">حکایت های اخلاقی است. گویا جر «تعليم الاطفال» اوست. آغاز: بر آیینه ضمیر هوشمندان روزگار ظاهر و آشکارست که خواطر اطفال. انجام و همیشه مادر خودش را راضی نگاه میدارد. چاپ: تهران، ۱۲۹۳ق، سنگی.</w:t>
      </w:r>
    </w:p>
    <w:p>
      <w:pPr>
        <w:pStyle w:val="BookText"/>
      </w:pPr>
      <w:r>
        <w:rPr>
          <w:rFonts w:ascii="IRNazanin" w:hAnsi="IRNazanin" w:eastAsia="IRNazanin" w:cs="IRNazanin"/>
          <w:lang w:bidi="fa-IR"/>
          <w:color w:val="111111"/>
          <w:sz w:val="28"/>
          <w:szCs w:val="28"/>
          <w:rtl/>
        </w:rPr>
        <w:t xml:space="preserve">[ دنا ۶۶۳/۲ ؛ فهرستواره منزوی ۲۹۹/۱ و ۳۵۶/۶ ]</w:t>
      </w:r>
    </w:p>
    <w:p>
      <w:pPr>
        <w:pStyle w:val="BookText"/>
      </w:pPr>
      <w:r>
        <w:rPr>
          <w:rFonts w:ascii="IRNazanin" w:hAnsi="IRNazanin" w:eastAsia="IRNazanin" w:cs="IRNazanin"/>
          <w:lang w:bidi="fa-IR"/>
          <w:color w:val="111111"/>
          <w:sz w:val="28"/>
          <w:szCs w:val="28"/>
          <w:rtl/>
        </w:rPr>
        <w:t xml:space="preserve">١. مشهد؛ رضوی؛ شماره نسخه:۸۱۴۰/۵</w:t>
      </w:r>
    </w:p>
    <w:p>
      <w:pPr>
        <w:pStyle w:val="BookText"/>
      </w:pPr>
      <w:r>
        <w:rPr>
          <w:rFonts w:ascii="IRNazanin" w:hAnsi="IRNazanin" w:eastAsia="IRNazanin" w:cs="IRNazanin"/>
          <w:lang w:bidi="fa-IR"/>
          <w:color w:val="111111"/>
          <w:sz w:val="28"/>
          <w:szCs w:val="28"/>
          <w:rtl/>
        </w:rPr>
        <w:t xml:space="preserve">آغاز و انجام: برابر خط: شکسته نستعلیق، كا: عليمحمد کرمانی، تا: ۲ جمادی الثانی ۱۲۷۰ق؛ کاغذ: فرنگی، جلد: مقوایی، ۲۲ص، اندازه: ۱۷/۳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۷-۷۸۶]</w:t>
      </w:r>
    </w:p>
    <w:p>
      <w:pPr>
        <w:pStyle w:val="BookText"/>
      </w:pPr>
      <w:r>
        <w:rPr>
          <w:rFonts w:ascii="IRNazanin" w:hAnsi="IRNazanin" w:eastAsia="IRNazanin" w:cs="IRNazanin"/>
          <w:lang w:bidi="fa-IR"/>
          <w:color w:val="111111"/>
          <w:sz w:val="28"/>
          <w:szCs w:val="28"/>
          <w:rtl/>
        </w:rPr>
        <w:t xml:space="preserve">۲. تبریز؛ ملی؛ شماره نسخه:۳۴۱۲</w:t>
      </w:r>
    </w:p>
    <w:p>
      <w:pPr>
        <w:pStyle w:val="BookText"/>
      </w:pPr>
      <w:r>
        <w:rPr>
          <w:rFonts w:ascii="IRNazanin" w:hAnsi="IRNazanin" w:eastAsia="IRNazanin" w:cs="IRNazanin"/>
          <w:lang w:bidi="fa-IR"/>
          <w:color w:val="111111"/>
          <w:sz w:val="28"/>
          <w:szCs w:val="28"/>
          <w:rtl/>
        </w:rPr>
        <w:t xml:space="preserve">آغاز: برابر؛ انجام: «و در دست شستن سبقت نکند بر دیگران» و بعد بعضی از نصایح لقمان حکیم را آورده و با عبارات «... تمام شد کتاب تأديب الأطفال و ملحقات آن بعون الله تعالی و حسن توفيقه في شهر رجب المرجب سنه ۱۳۱۷ محمود منشی رموز» کتاب خود را خاتمه داده است</w:t>
      </w:r>
    </w:p>
    <w:p>
      <w:pPr>
        <w:pStyle w:val="BookText"/>
      </w:pPr>
      <w:r>
        <w:rPr>
          <w:rFonts w:ascii="IRNazanin" w:hAnsi="IRNazanin" w:eastAsia="IRNazanin" w:cs="IRNazanin"/>
          <w:lang w:bidi="fa-IR"/>
          <w:color w:val="111111"/>
          <w:sz w:val="28"/>
          <w:szCs w:val="28"/>
          <w:rtl/>
        </w:rPr>
        <w:t xml:space="preserve">خط: نسخ، كا: محمد باقر شیرازی، تا: رجب ۱۳۱۷ق؛ کاغذ: فرنگی، جلد: چرمی سرخ، ۱۰۳گ، ۱۲سطر،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۱-۱۸۷]</w:t>
      </w:r>
    </w:p>
    <w:p>
      <w:pPr>
        <w:pStyle w:val="Heading3"/>
      </w:pPr>
      <w:bookmarkStart w:id="1939" w:name="_Toc1199"/>
      <w:r>
        <w:t>• تأديب البنات / تعلیم و تربیت / فارسی</w:t>
      </w:r>
      <w:bookmarkEnd w:id="1939"/>
    </w:p>
    <w:p>
      <w:pPr>
        <w:pStyle w:val="BookText"/>
      </w:pPr>
      <w:r>
        <w:rPr>
          <w:rFonts w:ascii="Times New Roman" w:hAnsi="Times New Roman" w:eastAsia="Times New Roman" w:cs="Times New Roman"/>
          <w:lang w:val="en-US" w:bidi="en-US"/>
          <w:color w:val="111111"/>
          <w:sz w:val="28"/>
          <w:szCs w:val="28"/>
          <w:rtl/>
        </w:rPr>
        <w:t xml:space="preserve">ta’dīb-ol banāt</w:t>
      </w:r>
    </w:p>
    <w:p>
      <w:pPr>
        <w:pStyle w:val="BookText"/>
      </w:pPr>
      <w:r>
        <w:rPr>
          <w:rFonts w:ascii="IRNazanin" w:hAnsi="IRNazanin" w:eastAsia="IRNazanin" w:cs="IRNazanin"/>
          <w:lang w:bidi="fa-IR"/>
          <w:color w:val="111111"/>
          <w:sz w:val="28"/>
          <w:szCs w:val="28"/>
          <w:rtl/>
        </w:rPr>
        <w:t xml:space="preserve">کتاب درسی سال چهارم و پنجم مدارس دخترانه بوده در ۳۵ (یا ۹۸) درس که به اختصار برگزار شده است.</w:t>
      </w:r>
    </w:p>
    <w:p>
      <w:pPr>
        <w:pStyle w:val="BookText"/>
      </w:pPr>
      <w:r>
        <w:rPr>
          <w:rFonts w:ascii="IRNazanin" w:hAnsi="IRNazanin" w:eastAsia="IRNazanin" w:cs="IRNazanin"/>
          <w:lang w:bidi="fa-IR"/>
          <w:color w:val="111111"/>
          <w:sz w:val="28"/>
          <w:szCs w:val="28"/>
          <w:rtl/>
        </w:rPr>
        <w:t xml:space="preserve">آغاز: بسمله. ۱- تأديب البنات از اهم ضروریات است ۲- تأدیب البنات یعنی تربیت کردن دختران به آدابی که در خور وشأن است ۳- دختران هر ملت را باید تربیت نمود به آداب آن ملت انجام: دختر که با رخت چرکین به مدرسه نمی رود چگونه با کتاب کهنه و مندرس به مدرسه می رود. اعتبار دختر در این است که گر همه لباسهایش مندرس است اسباب درسش نظيف است [فهرستواره منزوی ۳۵۶/۶ ]</w:t>
      </w:r>
    </w:p>
    <w:p>
      <w:pPr>
        <w:pStyle w:val="BookText"/>
      </w:pPr>
      <w:r>
        <w:rPr>
          <w:rFonts w:ascii="IRNazanin" w:hAnsi="IRNazanin" w:eastAsia="IRNazanin" w:cs="IRNazanin"/>
          <w:lang w:bidi="fa-IR"/>
          <w:color w:val="111111"/>
          <w:sz w:val="28"/>
          <w:szCs w:val="28"/>
          <w:rtl/>
        </w:rPr>
        <w:t xml:space="preserve">قم؛ مسجد اعظم؛ شماره نسخه: ۳۹۶۲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تحریری، بی کا، بی تا، ۱۹گ، ۱۲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مخ: ۱-۳۰۲]</w:t>
      </w:r>
    </w:p>
    <w:p>
      <w:pPr>
        <w:pStyle w:val="BookText"/>
      </w:pPr>
      <w:r>
        <w:rPr>
          <w:rFonts w:ascii="IRNazanin" w:hAnsi="IRNazanin" w:eastAsia="IRNazanin" w:cs="IRNazanin"/>
          <w:lang w:bidi="fa-IR"/>
          <w:color w:val="111111"/>
          <w:sz w:val="28"/>
          <w:szCs w:val="28"/>
          <w:rtl/>
        </w:rPr>
        <w:t xml:space="preserve">← تأديب الرجال ← بهشت و دوزخ این عالم است</w:t>
      </w:r>
    </w:p>
    <w:p>
      <w:pPr>
        <w:pStyle w:val="Heading3"/>
      </w:pPr>
      <w:bookmarkStart w:id="1940" w:name="_Toc1200"/>
      <w:r>
        <w:t>•تادیب زنان / متفرقه / فارسی</w:t>
      </w:r>
      <w:bookmarkEnd w:id="1940"/>
    </w:p>
    <w:p>
      <w:pPr>
        <w:pStyle w:val="BookText"/>
      </w:pPr>
      <w:r>
        <w:rPr>
          <w:rFonts w:ascii="Times New Roman" w:hAnsi="Times New Roman" w:eastAsia="Times New Roman" w:cs="Times New Roman"/>
          <w:lang w:val="en-US" w:bidi="en-US"/>
          <w:color w:val="111111"/>
          <w:sz w:val="28"/>
          <w:szCs w:val="28"/>
          <w:rtl/>
        </w:rPr>
        <w:t xml:space="preserve">ta'dīb-e zanān</w:t>
      </w:r>
    </w:p>
    <w:p>
      <w:pPr>
        <w:pStyle w:val="BookText"/>
      </w:pPr>
      <w:r>
        <w:rPr>
          <w:rFonts w:ascii="IRNazanin" w:hAnsi="IRNazanin" w:eastAsia="IRNazanin" w:cs="IRNazanin"/>
          <w:lang w:bidi="fa-IR"/>
          <w:color w:val="111111"/>
          <w:sz w:val="28"/>
          <w:szCs w:val="28"/>
          <w:rtl/>
        </w:rPr>
        <w:t xml:space="preserve">تهران؛ دانشگاه؛ شماره نسخه:۳۹۷۰/۳</w:t>
      </w:r>
    </w:p>
    <w:p>
      <w:pPr>
        <w:pStyle w:val="BookText"/>
      </w:pPr>
      <w:r>
        <w:rPr>
          <w:rFonts w:ascii="IRNazanin" w:hAnsi="IRNazanin" w:eastAsia="IRNazanin" w:cs="IRNazanin"/>
          <w:lang w:bidi="fa-IR"/>
          <w:color w:val="111111"/>
          <w:sz w:val="28"/>
          <w:szCs w:val="28"/>
          <w:rtl/>
        </w:rPr>
        <w:t xml:space="preserve">بندی است؛ خط: نستعلیق، بی کا، بی تا؛ کاغذ: فرنگی، جلد: تیماج قهوه ای ضربی مقوایی، ۱۲ص (۱۹۳-۲۰۴)، ۱۴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۱۴سم[ف: ۱۲-۲۹۶۸]</w:t>
      </w:r>
    </w:p>
    <w:p>
      <w:pPr>
        <w:pStyle w:val="Heading3"/>
      </w:pPr>
      <w:bookmarkStart w:id="1941" w:name="_Toc1201"/>
      <w:r>
        <w:t>•تأديب النساء / اخلاق / فارسی</w:t>
      </w:r>
      <w:bookmarkEnd w:id="1941"/>
    </w:p>
    <w:p>
      <w:pPr>
        <w:pStyle w:val="BookText"/>
      </w:pPr>
      <w:r>
        <w:rPr>
          <w:rFonts w:ascii="Times New Roman" w:hAnsi="Times New Roman" w:eastAsia="Times New Roman" w:cs="Times New Roman"/>
          <w:lang w:val="en-US" w:bidi="en-US"/>
          <w:color w:val="111111"/>
          <w:sz w:val="28"/>
          <w:szCs w:val="28"/>
          <w:rtl/>
        </w:rPr>
        <w:t xml:space="preserve">'ta’dīb-on nesā</w:t>
      </w:r>
    </w:p>
    <w:p>
      <w:pPr>
        <w:pStyle w:val="BookText"/>
      </w:pPr>
      <w:r>
        <w:rPr>
          <w:rFonts w:ascii="IRNazanin" w:hAnsi="IRNazanin" w:eastAsia="IRNazanin" w:cs="IRNazanin"/>
          <w:lang w:bidi="fa-IR"/>
          <w:color w:val="111111"/>
          <w:sz w:val="28"/>
          <w:szCs w:val="28"/>
          <w:rtl/>
        </w:rPr>
        <w:t xml:space="preserve">جوپاری، محمد علی بن علینقی، ق۱۴ قمری</w:t>
      </w:r>
    </w:p>
    <w:p>
      <w:pPr>
        <w:pStyle w:val="BookText"/>
      </w:pPr>
      <w:r>
        <w:rPr>
          <w:rFonts w:ascii="Times New Roman" w:hAnsi="Times New Roman" w:eastAsia="Times New Roman" w:cs="Times New Roman"/>
          <w:lang w:val="en-US" w:bidi="en-US"/>
          <w:color w:val="111111"/>
          <w:sz w:val="28"/>
          <w:szCs w:val="28"/>
          <w:rtl/>
        </w:rPr>
        <w:t xml:space="preserve">jūpārī, mohammad ‘alī ebn-e ‘alī-naqī (-20c)</w:t>
      </w:r>
    </w:p>
    <w:p>
      <w:pPr>
        <w:pStyle w:val="BookText"/>
      </w:pPr>
      <w:r>
        <w:rPr>
          <w:rFonts w:ascii="IRNazanin" w:hAnsi="IRNazanin" w:eastAsia="IRNazanin" w:cs="IRNazanin"/>
          <w:lang w:bidi="fa-IR"/>
          <w:color w:val="111111"/>
          <w:sz w:val="28"/>
          <w:szCs w:val="28"/>
          <w:rtl/>
        </w:rPr>
        <w:t xml:space="preserve">رساله ای است در آداب و رفتار زنان توام با طنز مشتمل بر یک مقدمه» و ده «فصل» و یک «خاتمه»: مقدمه در سبب تالیف کتاب؛ فصل ۱. سلوک زن و رفتار زن؛ ۲. حفظ زبان؛ 3. گله کردن؛ ۴. قهر کردن؛ ۵. راه رفتن؛ ۶. آداب غذا خوردن؛ ۷. پاکیزه داشتن تمام بدن و استعمال بعضی عطریات؛ ۸ آداب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358" w:name="pg20363_209638"/>
    <w:bookmarkEnd w:id="358"/>
    <w:p>
      <w:pPr>
        <w:pStyle w:val="BookText"/>
      </w:pPr>
      <w:r>
        <w:rPr>
          <w:rFonts w:ascii="IRNazanin" w:hAnsi="IRNazanin" w:eastAsia="IRNazanin" w:cs="IRNazanin"/>
          <w:lang w:bidi="fa-IR"/>
          <w:color w:val="111111"/>
          <w:sz w:val="28"/>
          <w:szCs w:val="28"/>
          <w:rtl/>
        </w:rPr>
        <w:t xml:space="preserve">لباس پوشیدن؛ ۹. اداب خوابیدن؛ ۱۰. آداب صبح از خواب بیدار شدن؛ خاتمه در خطبه نکاح على السبيل المزاح. مؤلف در مقدمه می گوید میرزا محمد حسن بن مهدیقلی بن عباس میرزا  اوراقی چند در مسوده داشت و به من داد و من با حکایاتی مناسب فصول و تصرفاتی این رساله را تالیف نمودم وی در لابه لای کتاب اشعاری با عنوان لمؤلفه سروده و آن را نگاشته است. عناوین فصول آن شباهت تام به رساله «تاديب النسوان» عبید زاکانی دارد و باید تطبیق شود که همان است یا خیر.</w:t>
      </w:r>
    </w:p>
    <w:p>
      <w:pPr>
        <w:pStyle w:val="BookText"/>
      </w:pPr>
      <w:r>
        <w:rPr>
          <w:rFonts w:ascii="IRNazanin" w:hAnsi="IRNazanin" w:eastAsia="IRNazanin" w:cs="IRNazanin"/>
          <w:lang w:bidi="fa-IR"/>
          <w:color w:val="111111"/>
          <w:sz w:val="28"/>
          <w:szCs w:val="28"/>
          <w:rtl/>
        </w:rPr>
        <w:t xml:space="preserve">قم؛ مرعشی؛ شماره نسخه:۱۴۱۶۵</w:t>
      </w:r>
    </w:p>
    <w:p>
      <w:pPr>
        <w:pStyle w:val="BookText"/>
      </w:pPr>
      <w:r>
        <w:rPr>
          <w:rFonts w:ascii="IRNazanin" w:hAnsi="IRNazanin" w:eastAsia="IRNazanin" w:cs="IRNazanin"/>
          <w:lang w:bidi="fa-IR"/>
          <w:color w:val="111111"/>
          <w:sz w:val="28"/>
          <w:szCs w:val="28"/>
          <w:rtl/>
        </w:rPr>
        <w:t xml:space="preserve">آغاز: یارب به سنای خود سخن سازم کن ... حمد و سپاس معبودی را سزاست که قامت قابلیت انسان را به کسوت بشریت آراست؛ انجام: ای داد ای بیداد که نمی رفتم از یاد ... ملتفت باشی که ... خوب خورد شد تمت. كان محمد ... طباطبایی، تا: پنج شنبه ۲۰ رجب ۱۳۰۴ق؛ کاغذ: فرنگی، جلد: تیماج زرشکی مجدول ضربی، ۶۰، ۱۲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۳۵-۷۴۱]</w:t>
      </w:r>
    </w:p>
    <w:p>
      <w:pPr>
        <w:pStyle w:val="Heading3"/>
      </w:pPr>
      <w:bookmarkStart w:id="1942" w:name="_Toc1202"/>
      <w:r>
        <w:t>• تأديب النسوان / ادبیات فارسی</w:t>
      </w:r>
      <w:bookmarkEnd w:id="1942"/>
    </w:p>
    <w:p>
      <w:pPr>
        <w:pStyle w:val="BookText"/>
      </w:pPr>
      <w:r>
        <w:rPr>
          <w:rFonts w:ascii="Times New Roman" w:hAnsi="Times New Roman" w:eastAsia="Times New Roman" w:cs="Times New Roman"/>
          <w:lang w:val="en-US" w:bidi="en-US"/>
          <w:color w:val="111111"/>
          <w:sz w:val="28"/>
          <w:szCs w:val="28"/>
          <w:rtl/>
        </w:rPr>
        <w:t xml:space="preserve">ta'dīb-on nesvān</w:t>
      </w:r>
    </w:p>
    <w:p>
      <w:pPr>
        <w:pStyle w:val="BookText"/>
      </w:pPr>
      <w:r>
        <w:rPr>
          <w:rFonts w:ascii="IRNazanin" w:hAnsi="IRNazanin" w:eastAsia="IRNazanin" w:cs="IRNazanin"/>
          <w:lang w:bidi="fa-IR"/>
          <w:color w:val="111111"/>
          <w:sz w:val="28"/>
          <w:szCs w:val="28"/>
          <w:rtl/>
        </w:rPr>
        <w:t xml:space="preserve">عبید زاکانی، عبيد الله، -۷۷۲ قمری</w:t>
      </w:r>
    </w:p>
    <w:p>
      <w:pPr>
        <w:pStyle w:val="BookText"/>
      </w:pPr>
      <w:r>
        <w:rPr>
          <w:rFonts w:ascii="Times New Roman" w:hAnsi="Times New Roman" w:eastAsia="Times New Roman" w:cs="Times New Roman"/>
          <w:lang w:val="en-US" w:bidi="en-US"/>
          <w:color w:val="111111"/>
          <w:sz w:val="28"/>
          <w:szCs w:val="28"/>
          <w:rtl/>
        </w:rPr>
        <w:t xml:space="preserve">‘obeyd-e zākānī, obeyd-ol-lāh (-1371)</w:t>
      </w:r>
    </w:p>
    <w:p>
      <w:pPr>
        <w:pStyle w:val="BookText"/>
      </w:pPr>
      <w:r>
        <w:rPr>
          <w:rFonts w:ascii="IRNazanin" w:hAnsi="IRNazanin" w:eastAsia="IRNazanin" w:cs="IRNazanin"/>
          <w:lang w:bidi="fa-IR"/>
          <w:color w:val="111111"/>
          <w:sz w:val="28"/>
          <w:szCs w:val="28"/>
          <w:rtl/>
        </w:rPr>
        <w:t xml:space="preserve">از کتب ظریفانه و طنز گونه در آداب و اخلاق زنان، در ده « صل»: ۱. سلوک زن و رفتار زن؛ ۲. حفظ زبان؛ ۳. گله کردن؛ ۴. قهر کردن؛ ۵. راه رفتن و حرکات در محبت؛ ۶. آداب غذا خوردن، ۷. پاکیزه داشتن بدن و استعمال بعضی از عطریات؛ ۸ آداب لباس پوشیدن؛ ۹. آداب خوابیدن؛ ۱۰. آداب صبح از خواب بیدار شدن. (حکیم)</w:t>
      </w:r>
    </w:p>
    <w:p>
      <w:pPr>
        <w:pStyle w:val="BookText"/>
      </w:pPr>
      <w:r>
        <w:rPr>
          <w:rFonts w:ascii="IRNazanin" w:hAnsi="IRNazanin" w:eastAsia="IRNazanin" w:cs="IRNazanin"/>
          <w:lang w:bidi="fa-IR"/>
          <w:color w:val="111111"/>
          <w:sz w:val="28"/>
          <w:szCs w:val="28"/>
          <w:rtl/>
        </w:rPr>
        <w:t xml:space="preserve">آغاز: معشوق را سپاس در خور که بی شائبه غرض او بی احتمال مقصود محض پدید آوری ...</w:t>
      </w:r>
    </w:p>
    <w:p>
      <w:pPr>
        <w:pStyle w:val="BookText"/>
      </w:pPr>
      <w:r>
        <w:rPr>
          <w:rFonts w:ascii="IRNazanin" w:hAnsi="IRNazanin" w:eastAsia="IRNazanin" w:cs="IRNazanin"/>
          <w:lang w:bidi="fa-IR"/>
          <w:color w:val="111111"/>
          <w:sz w:val="28"/>
          <w:szCs w:val="28"/>
          <w:rtl/>
        </w:rPr>
        <w:t xml:space="preserve">انجام: من آنچه شرط بلاغست با تو میگویم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تو خواه از سخنم پند گیر و خواه ملال چاپ: گویا در ۱۳۰۹ ش چاپ سنگی شده است.</w:t>
      </w:r>
    </w:p>
    <w:p>
      <w:pPr>
        <w:pStyle w:val="BookText"/>
      </w:pPr>
      <w:r>
        <w:rPr>
          <w:rFonts w:ascii="IRNazanin" w:hAnsi="IRNazanin" w:eastAsia="IRNazanin" w:cs="IRNazanin"/>
          <w:lang w:bidi="fa-IR"/>
          <w:color w:val="111111"/>
          <w:sz w:val="28"/>
          <w:szCs w:val="28"/>
          <w:rtl/>
        </w:rPr>
        <w:t xml:space="preserve">[ نسخه های منزوی ۱۸۸۱؛ فهرستواره منزوی ۳۵۶/۶ ؛ الذريعة ۳۱۱/۳ ؛ دنا ۶۶۳/۲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نسخه:۸۸۲۶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شکسته، بی کا، تا: قرن ۱۳؛ خریداری از اسماعیل قوام شهیدی؛ کاغذ: فرنگی آبی، جلد: تیماج مشکی عطف میشن زیتونی، ۲۷، ۱۲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۱۷/۲ سم [ف: ۶۴-۲۹/۱ ]</w:t>
      </w:r>
    </w:p>
    <w:p>
      <w:pPr>
        <w:pStyle w:val="BookText"/>
      </w:pPr>
      <w:r>
        <w:rPr>
          <w:rFonts w:ascii="IRNazanin" w:hAnsi="IRNazanin" w:eastAsia="IRNazanin" w:cs="IRNazanin"/>
          <w:lang w:bidi="fa-IR"/>
          <w:color w:val="111111"/>
          <w:sz w:val="28"/>
          <w:szCs w:val="28"/>
          <w:rtl/>
        </w:rPr>
        <w:t xml:space="preserve">۲. تهران، ملک شماره نسخه:۵۸۵</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كا: آسیه دختر حسین حسینی، تا: ۲ شعبان ۱۳۱۳ق؛ مهر: عفت السلطنه؛ کاغذ: کاغذ فرنگی، جلد: میشن قهوه ای، ۴۱گ، ۱۰ سطر، اندازه: ۱۳/۹</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۲۱/۲سم [ف: ۲-۷۳]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 ۲۸۱۲/۱۲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۲۵ خرداد ۱۳۱۷ش؛ جلد: گالینگور قهوه ای، ۶۱ص (۲۱۷-۲۷۷)، ۱۴ سطر، قطع: رقعی، اندازه: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۲۰سم [ف: ۱۰-۱۰۱]</w:t>
      </w:r>
    </w:p>
    <w:p>
      <w:pPr>
        <w:pStyle w:val="BookText"/>
      </w:pPr>
      <w:r>
        <w:rPr>
          <w:rFonts w:ascii="IRNazanin" w:hAnsi="IRNazanin" w:eastAsia="IRNazanin" w:cs="IRNazanin"/>
          <w:lang w:bidi="fa-IR"/>
          <w:color w:val="111111"/>
          <w:sz w:val="28"/>
          <w:szCs w:val="28"/>
          <w:rtl/>
        </w:rPr>
        <w:t xml:space="preserve">۴. تهران، دانشگاه؛ شماره نسخه: ۵۶۳۴/۱۲ -ف</w:t>
      </w:r>
    </w:p>
    <w:p>
      <w:pPr>
        <w:pStyle w:val="BookText"/>
      </w:pPr>
      <w:r>
        <w:rPr>
          <w:rFonts w:ascii="Amiri" w:hAnsi="Amiri" w:eastAsia="Amiri" w:cs="Amiri"/>
          <w:lang w:bidi="ar-SA"/>
          <w:color w:val="111111"/>
          <w:sz w:val="28"/>
          <w:szCs w:val="28"/>
          <w:rtl/>
        </w:rPr>
        <w:t xml:space="preserve">نسخه اصل: همان نسخه بالا [فيلمها ف: ۳-۱۷۲]</w:t>
      </w:r>
    </w:p>
    <w:p>
      <w:pPr>
        <w:pStyle w:val="Heading3"/>
      </w:pPr>
      <w:bookmarkStart w:id="1943" w:name="_Toc1203"/>
      <w:r>
        <w:t>• تأديب الولد العاق / مواعظ / عربی</w:t>
      </w:r>
      <w:bookmarkEnd w:id="1943"/>
    </w:p>
    <w:p>
      <w:pPr>
        <w:pStyle w:val="BookText"/>
      </w:pPr>
      <w:r>
        <w:rPr>
          <w:rFonts w:ascii="Times New Roman" w:hAnsi="Times New Roman" w:eastAsia="Times New Roman" w:cs="Times New Roman"/>
          <w:lang w:val="en-US" w:bidi="en-US"/>
          <w:color w:val="111111"/>
          <w:sz w:val="28"/>
          <w:szCs w:val="28"/>
          <w:rtl/>
        </w:rPr>
        <w:t xml:space="preserve">ta'dīb-ul walad-il ‘āq</w:t>
      </w:r>
    </w:p>
    <w:p>
      <w:pPr>
        <w:pStyle w:val="BookText"/>
      </w:pPr>
      <w:r>
        <w:rPr>
          <w:rFonts w:ascii="IRNazanin" w:hAnsi="IRNazanin" w:eastAsia="IRNazanin" w:cs="IRNazanin"/>
          <w:lang w:bidi="fa-IR"/>
          <w:color w:val="111111"/>
          <w:sz w:val="28"/>
          <w:szCs w:val="28"/>
          <w:rtl/>
        </w:rPr>
        <w:t xml:space="preserve">سموقی، علی بن احمد، ق ۵ قمری</w:t>
      </w:r>
    </w:p>
    <w:p>
      <w:pPr>
        <w:pStyle w:val="BookText"/>
      </w:pPr>
      <w:r>
        <w:rPr>
          <w:rFonts w:ascii="Times New Roman" w:hAnsi="Times New Roman" w:eastAsia="Times New Roman" w:cs="Times New Roman"/>
          <w:lang w:val="en-US" w:bidi="en-US"/>
          <w:color w:val="111111"/>
          <w:sz w:val="28"/>
          <w:szCs w:val="28"/>
          <w:rtl/>
        </w:rPr>
        <w:t xml:space="preserve">sammūqī, ‘alī ebn-e ahmad (-11c)</w:t>
      </w:r>
    </w:p>
    <w:p>
      <w:pPr>
        <w:pStyle w:val="BookText"/>
      </w:pPr>
      <w:r>
        <w:rPr>
          <w:rFonts w:ascii="IRNazanin" w:hAnsi="IRNazanin" w:eastAsia="IRNazanin" w:cs="IRNazanin"/>
          <w:lang w:bidi="fa-IR"/>
          <w:color w:val="111111"/>
          <w:sz w:val="28"/>
          <w:szCs w:val="28"/>
          <w:rtl/>
        </w:rPr>
        <w:t xml:space="preserve">نصایحی است دینی اخلاقی که مؤلف به فرزند گمراه خود نموده و او را به سلوك طريق موحدین ترغیب می نماید.</w:t>
      </w:r>
    </w:p>
    <w:p>
      <w:pPr>
        <w:pStyle w:val="BookText"/>
      </w:pPr>
      <w:r>
        <w:rPr>
          <w:rFonts w:ascii="IRNazanin" w:hAnsi="IRNazanin" w:eastAsia="IRNazanin" w:cs="IRNazanin"/>
          <w:lang w:bidi="fa-IR"/>
          <w:color w:val="111111"/>
          <w:sz w:val="28"/>
          <w:szCs w:val="28"/>
          <w:rtl/>
        </w:rPr>
        <w:t xml:space="preserve">قم: مرکز احیاء؛ شماره نسخه:۷۸۲/۸</w:t>
      </w:r>
    </w:p>
    <w:p>
      <w:pPr>
        <w:pStyle w:val="BookText"/>
      </w:pPr>
      <w:r>
        <w:rPr>
          <w:rFonts w:ascii="Amiri" w:hAnsi="Amiri" w:eastAsia="Amiri" w:cs="Amiri"/>
          <w:lang w:bidi="ar-SA"/>
          <w:color w:val="111111"/>
          <w:sz w:val="28"/>
          <w:szCs w:val="28"/>
          <w:rtl/>
        </w:rPr>
        <w:t xml:space="preserve">آغاز: بسم الإله العالم بسراير الخلق الفاضح لضمير من دلس على اهل الحق من الوالد الحنين الشفيق</w:t>
      </w:r>
    </w:p>
    <w:p>
      <w:pPr>
        <w:pStyle w:val="BookText"/>
      </w:pPr>
      <w:r>
        <w:rPr>
          <w:rFonts w:ascii="IRNazanin" w:hAnsi="IRNazanin" w:eastAsia="IRNazanin" w:cs="IRNazanin"/>
          <w:lang w:bidi="fa-IR"/>
          <w:color w:val="111111"/>
          <w:sz w:val="28"/>
          <w:szCs w:val="28"/>
          <w:rtl/>
        </w:rPr>
        <w:t xml:space="preserve">نسخه اصل: کتابخانه واتیکان -رم ۹۱۲؛ خط: نسخ معرب، بی کا، تا: قرن ۱۲؛ ۱۰گ (۹۹-۱۰۸) [عکسی ف: ۲-۴۶۶]</w:t>
      </w:r>
    </w:p>
    <w:p>
      <w:pPr>
        <w:pStyle w:val="Heading3"/>
      </w:pPr>
      <w:bookmarkStart w:id="1944" w:name="_Toc1204"/>
      <w:r>
        <w:t>•التاريخ / تاریخ / عربی</w:t>
      </w:r>
      <w:bookmarkEnd w:id="1944"/>
    </w:p>
    <w:p>
      <w:pPr>
        <w:pStyle w:val="BookText"/>
      </w:pPr>
      <w:r>
        <w:rPr>
          <w:rFonts w:ascii="Times New Roman" w:hAnsi="Times New Roman" w:eastAsia="Times New Roman" w:cs="Times New Roman"/>
          <w:lang w:val="en-US" w:bidi="en-US"/>
          <w:color w:val="111111"/>
          <w:sz w:val="28"/>
          <w:szCs w:val="28"/>
          <w:rtl/>
        </w:rPr>
        <w:t xml:space="preserve">at-tārīx</w:t>
      </w:r>
    </w:p>
    <w:p>
      <w:pPr>
        <w:pStyle w:val="BookText"/>
      </w:pPr>
      <w:r>
        <w:rPr>
          <w:rFonts w:ascii="IRNazanin" w:hAnsi="IRNazanin" w:eastAsia="IRNazanin" w:cs="IRNazanin"/>
          <w:lang w:bidi="fa-IR"/>
          <w:color w:val="111111"/>
          <w:sz w:val="28"/>
          <w:szCs w:val="28"/>
          <w:rtl/>
        </w:rPr>
        <w:t xml:space="preserve">ابوزرعه، عبدالرحمن بن عمرو، -۲۸۰ ؟ قمری</w:t>
      </w:r>
    </w:p>
    <w:p>
      <w:pPr>
        <w:pStyle w:val="BookText"/>
      </w:pPr>
      <w:r>
        <w:rPr>
          <w:rFonts w:ascii="Times New Roman" w:hAnsi="Times New Roman" w:eastAsia="Times New Roman" w:cs="Times New Roman"/>
          <w:lang w:val="en-US" w:bidi="en-US"/>
          <w:color w:val="111111"/>
          <w:sz w:val="28"/>
          <w:szCs w:val="28"/>
          <w:rtl/>
        </w:rPr>
        <w:t xml:space="preserve">abū-zoría, “abd-or-rahmān ebn-e ‘amr (-894)</w:t>
      </w:r>
    </w:p>
    <w:p>
      <w:pPr>
        <w:pStyle w:val="BookText"/>
      </w:pPr>
      <w:r>
        <w:rPr>
          <w:rFonts w:ascii="IRNazanin" w:hAnsi="IRNazanin" w:eastAsia="IRNazanin" w:cs="IRNazanin"/>
          <w:lang w:bidi="fa-IR"/>
          <w:color w:val="111111"/>
          <w:sz w:val="28"/>
          <w:szCs w:val="28"/>
          <w:rtl/>
        </w:rPr>
        <w:t xml:space="preserve">مشتمل بر حوادثی از تاریخ اسلام در قرن های اول و دوم هجری است. ابوزرعه در این کتاب از سیره پیامبر(صلی الله علیه وآله وسلم)آغاز کرده و از تاریخ زندگی خلفا و شرح وقایع زمان آنان به تفصیل سخن گفته و از دوره خلافت امام علی(عليه السلام)، تنها به شرح جنگهای جمل و صفین بسنده کرده و آن گاه به ذکر نام خلفای بنی امیه با قید تاریخ خلافت هر یک و به اختصار به بعضی حوادث زمان آنان و نام خلفای بنی عباس تا زمان هارون الرشید پرداخته است. (حافظیان)</w:t>
      </w:r>
    </w:p>
    <w:p>
      <w:pPr>
        <w:pStyle w:val="BookText"/>
      </w:pPr>
      <w:r>
        <w:rPr>
          <w:rFonts w:ascii="IRNazanin" w:hAnsi="IRNazanin" w:eastAsia="IRNazanin" w:cs="IRNazanin"/>
          <w:lang w:bidi="fa-IR"/>
          <w:color w:val="111111"/>
          <w:sz w:val="28"/>
          <w:szCs w:val="28"/>
          <w:rtl/>
        </w:rPr>
        <w:t xml:space="preserve">چاپ: در دو جلد، به کوشش شکرالله بن نعمت الله قوچانی، دمشق، ۱۴۰۰ق؛ بخش مربوط به قضات دمشق آن، ذیل کتاب قضاة دمشق ابن طولون، به کوشش صلاح الدين منجد منتشر شده است.</w:t>
      </w:r>
    </w:p>
    <w:p>
      <w:pPr>
        <w:pStyle w:val="BookText"/>
      </w:pPr>
      <w:r>
        <w:rPr>
          <w:rFonts w:ascii="IRNazanin" w:hAnsi="IRNazanin" w:eastAsia="IRNazanin" w:cs="IRNazanin"/>
          <w:lang w:bidi="fa-IR"/>
          <w:color w:val="111111"/>
          <w:sz w:val="28"/>
          <w:szCs w:val="28"/>
          <w:rtl/>
        </w:rPr>
        <w:t xml:space="preserve">[معجم المؤلفين ۱۶۳/۵ ؛ مجلة معهد المخطوطات ۶۵/۲ تا ۶۷، الأعلام ۳۲۰/3 تاریخ نگارش های عربی ۴۲۹/۱ -۴۳۰؛ دائرة المعارف بزرگ اسلامی ۴۹۱/۵ -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359" w:name="pg20363_209639"/>
    <w:bookmarkEnd w:id="359"/>
    <w:p>
      <w:pPr>
        <w:pStyle w:val="BookText"/>
      </w:pPr>
      <w:r>
        <w:rPr>
          <w:rFonts w:ascii="IRNazanin" w:hAnsi="IRNazanin" w:eastAsia="IRNazanin" w:cs="IRNazanin"/>
          <w:lang w:bidi="fa-IR"/>
          <w:color w:val="111111"/>
          <w:sz w:val="28"/>
          <w:szCs w:val="28"/>
          <w:rtl/>
        </w:rPr>
        <w:t xml:space="preserve">۴۹۲؛ دلیل مؤلفات الحديث الشريف المطبوعة ۱۵۸/۱ ؛ سير أعلام النبلاء ۳۱۶-۳۱۱/۱۳ ؛ فهرس مخطوطات كلية الآداب في جامعة بغداد ۱۵۴؛ الفهرس الشامل للتراث العربي الاسلامي المخطوط، الحديث النبوي ۷۰۵/۲ و ۱۴۵۱/۳ ؛ نوادر المخطوطات العربية في مكتبات تركيا ۲۴۱/۱ -۲۴۲]</w:t>
      </w:r>
    </w:p>
    <w:p>
      <w:pPr>
        <w:pStyle w:val="BookText"/>
      </w:pPr>
      <w:r>
        <w:rPr>
          <w:rFonts w:ascii="IRNazanin" w:hAnsi="IRNazanin" w:eastAsia="IRNazanin" w:cs="IRNazanin"/>
          <w:lang w:bidi="fa-IR"/>
          <w:color w:val="111111"/>
          <w:sz w:val="28"/>
          <w:szCs w:val="28"/>
          <w:rtl/>
        </w:rPr>
        <w:t xml:space="preserve">۱. قم؛ مرعشی؛ شماره نسخه:۱۶۳۴</w:t>
      </w:r>
    </w:p>
    <w:p>
      <w:pPr>
        <w:pStyle w:val="BookText"/>
      </w:pPr>
      <w:r>
        <w:rPr>
          <w:rFonts w:ascii="IRNazanin" w:hAnsi="IRNazanin" w:eastAsia="IRNazanin" w:cs="IRNazanin"/>
          <w:lang w:bidi="fa-IR"/>
          <w:color w:val="111111"/>
          <w:sz w:val="28"/>
          <w:szCs w:val="28"/>
          <w:rtl/>
        </w:rPr>
        <w:t xml:space="preserve">آغاز: لا اله الا الله عدة للقاء الله الرحمن الرحيم لا حول و لا قوة الا بالله العظيم، أول كتاب التاريخ ذكر مولد النبي صلى الله عليه أخبرنا أبو محمد عبدالله بن محمد بن سعيد البزاز قال أخبرنا أبو الميمون عبدالرحمن بن عبدالله بن عمر بن راشد الجبلي فيما قرى عليه و أنا أسمع، قال: حدثنا أبوزرعه عبدالرحمن بن عبدالله بن عمر و بن عبدالله بن صفوان النصري ... عن أبي اسحق عن سعيد بن جبير عن ابن عباس قال ولد النبي صلى الله عليه و سلم یوم الفيل؛ انجام: سمع على بن الحسن بن شقيق يقول اسم أبي حمزة السكری محمد بن میمون، آخر الجزء الأول من أجزاء أبی زرعة و يتلوا هذا أول الجزء الثاني من أجزاء آبی زرعة و أوله من أخبار عبد الله بن ....</w:t>
      </w:r>
    </w:p>
    <w:p>
      <w:pPr>
        <w:pStyle w:val="BookText"/>
      </w:pPr>
      <w:r>
        <w:rPr>
          <w:rFonts w:ascii="IRNazanin" w:hAnsi="IRNazanin" w:eastAsia="IRNazanin" w:cs="IRNazanin"/>
          <w:lang w:bidi="fa-IR"/>
          <w:color w:val="111111"/>
          <w:sz w:val="28"/>
          <w:szCs w:val="28"/>
          <w:rtl/>
        </w:rPr>
        <w:t xml:space="preserve">نسخه اصل: کتابخانه بایزید در ترکیه، شماره ۱۰۴۷. جزء اول؛ خط: نسخ کهن، كا: عبدالله بن احمد بن حسن نیشابوری، تا: قبل از ۴۰۱ق؛ دارای چند یادداشت سماع در آخر نسخه از جمله: سمع كتاب التاريخ لأبي زرعه عبدالرحمن بن عمر و وهو عشره أجزاء ابو عبدالله احمد بن علی ...... و أبو الحسن و ابواسحق على بن ابراهيم النيسابوران بقراء محمد بن محمد بن عبدالله الشاشی و كان الفراغ في ذي القعده سنة احدي و أربع مائه و كتب عبد الله بن محمد بن سعيد بيده في تاريخه و الحمدالله»، «سمع الجزء الأول من التاريخ و هو تاريخ أبو زرعة من الشيخ ابو محمد عبدالعزيز بن أحمد ... الصوفي أصحاب هذا الجز وهم عبدالله أبو الحسن و عبدالرحمن ... بقراء الشيخ علا في مسجد الجامع و ذلك في ذوالحجه من سنه ست و خمسين و أربعمائة ...»، «سمع الجزء الأول من التاريخ و هو تاريخ أبي زرعة على الشيخ أبي الحسن عبدالرحمن بن الحسن محمد الحفای (؟) رضي الله عنه ابنه ابوالبیان موسی و ابو الحسن علی بن الحسن الكفانی ... کاتب الأسماء عبدالرحمن بن احمد بن على بن صابر السلمي في يوم الجمعة و يوم السبت النصف من شهر ربيع الآخر من سنة أربع و تسعين و أربع مائة في المسجد الجامع بدمشق ..»، «سمع الجزء الأول من التاريخ و هو تاريخ أبي زرعة على الشيخ الأمين الفقيه جمالأمناء أبي محمد هبة الله بن أحمد بن محمد الاكفانی رضی الله عنه مع المعارضة بكتابه الذي كان نسخه أبي محمد عبد العزيز بن أحمد الكنانی (؟) فيه ذكر سماعه منه ... أحدهما في ذي القعده سنة تسع و خمسين و أربعمائة و الأخرى في شعبان من سنة ثلث و ستین و اربعمائة الشيوخ أبو المكارم عبدالواحد بن محمد بن المسلم بن هلال و ... كاتب الأسماء عبدالرحمن بن أحمد في ذي القعده سنة تسع ئ خمسمائة و سمع جميع هذا الجزء مع الجماعة الشيخ أبو المفضل محمد بن محمد بن المسلم بن هلال في التاريخ»؛ ۳۹ص، ۱۹ سطر [عکسی ف: ۵-۵۴]</w:t>
      </w:r>
    </w:p>
    <w:p>
      <w:pPr>
        <w:pStyle w:val="BookText"/>
      </w:pPr>
      <w:r>
        <w:rPr>
          <w:rFonts w:ascii="IRNazanin" w:hAnsi="IRNazanin" w:eastAsia="IRNazanin" w:cs="IRNazanin"/>
          <w:lang w:bidi="fa-IR"/>
          <w:color w:val="111111"/>
          <w:sz w:val="28"/>
          <w:szCs w:val="28"/>
          <w:rtl/>
        </w:rPr>
        <w:t xml:space="preserve">۲. تهران؛ دانشگاه؛ شماره نسخه:۴۲۵۷-ف</w:t>
      </w:r>
    </w:p>
    <w:p>
      <w:pPr>
        <w:pStyle w:val="BookText"/>
      </w:pPr>
      <w:r>
        <w:rPr>
          <w:rFonts w:ascii="IRNazanin" w:hAnsi="IRNazanin" w:eastAsia="IRNazanin" w:cs="IRNazanin"/>
          <w:lang w:bidi="fa-IR"/>
          <w:color w:val="111111"/>
          <w:sz w:val="28"/>
          <w:szCs w:val="28"/>
          <w:rtl/>
        </w:rPr>
        <w:t xml:space="preserve">نسخه اصل: استانبول فاتح ۴۲۱۰ (فهرست ص ۲۴۱). جزو یکم، در ده جزو و ۲۵ مطلب؛ بی کا، بی تا [فيلمها ف: ۳-۳۸]</w:t>
      </w:r>
    </w:p>
    <w:p>
      <w:pPr>
        <w:pStyle w:val="Heading3"/>
      </w:pPr>
      <w:bookmarkStart w:id="1945" w:name="_Toc1205"/>
      <w:r>
        <w:t>•تاریخ / تاریخ / عربی</w:t>
      </w:r>
      <w:bookmarkEnd w:id="1945"/>
    </w:p>
    <w:p>
      <w:pPr>
        <w:pStyle w:val="BookText"/>
      </w:pPr>
      <w:r>
        <w:rPr>
          <w:rFonts w:ascii="Times New Roman" w:hAnsi="Times New Roman" w:eastAsia="Times New Roman" w:cs="Times New Roman"/>
          <w:lang w:val="en-US" w:bidi="en-US"/>
          <w:color w:val="111111"/>
          <w:sz w:val="28"/>
          <w:szCs w:val="28"/>
          <w:rtl/>
        </w:rPr>
        <w:t xml:space="preserve">tārīx</w:t>
      </w:r>
    </w:p>
    <w:p>
      <w:pPr>
        <w:pStyle w:val="BookText"/>
      </w:pPr>
      <w:r>
        <w:rPr>
          <w:rFonts w:ascii="IRNazanin" w:hAnsi="IRNazanin" w:eastAsia="IRNazanin" w:cs="IRNazanin"/>
          <w:lang w:bidi="fa-IR"/>
          <w:color w:val="111111"/>
          <w:sz w:val="28"/>
          <w:szCs w:val="28"/>
          <w:rtl/>
        </w:rPr>
        <w:t xml:space="preserve">سماهیجی، عبدالله بن صالح، ۲۱۰۷۶-۱۱۳۵ قمری</w:t>
      </w:r>
    </w:p>
    <w:p>
      <w:pPr>
        <w:pStyle w:val="BookText"/>
      </w:pPr>
      <w:r>
        <w:rPr>
          <w:rFonts w:ascii="Times New Roman" w:hAnsi="Times New Roman" w:eastAsia="Times New Roman" w:cs="Times New Roman"/>
          <w:lang w:val="en-US" w:bidi="en-US"/>
          <w:color w:val="111111"/>
          <w:sz w:val="28"/>
          <w:szCs w:val="28"/>
          <w:rtl/>
        </w:rPr>
        <w:t xml:space="preserve">samāhījī, 'abd-ol-lāh ebn-e sāleh (1666-1723)</w:t>
      </w:r>
    </w:p>
    <w:p>
      <w:pPr>
        <w:pStyle w:val="BookText"/>
      </w:pPr>
      <w:r>
        <w:rPr>
          <w:rFonts w:ascii="IRNazanin" w:hAnsi="IRNazanin" w:eastAsia="IRNazanin" w:cs="IRNazanin"/>
          <w:lang w:bidi="fa-IR"/>
          <w:color w:val="111111"/>
          <w:sz w:val="28"/>
          <w:szCs w:val="28"/>
          <w:rtl/>
        </w:rPr>
        <w:t xml:space="preserve">مؤلف احتمالا عبدالله بن صالح سماهیجی می باشد. کتاب در بیان عجایب و غرایبی است که در میان ملت های گذشته اتفاق افتاده و دارای یک «مقدمه» و شش «فصل» می باشد.</w:t>
      </w:r>
    </w:p>
    <w:p>
      <w:pPr>
        <w:pStyle w:val="BookText"/>
      </w:pPr>
      <w:r>
        <w:rPr>
          <w:rFonts w:ascii="IRNazanin" w:hAnsi="IRNazanin" w:eastAsia="IRNazanin" w:cs="IRNazanin"/>
          <w:lang w:bidi="fa-IR"/>
          <w:color w:val="111111"/>
          <w:sz w:val="28"/>
          <w:szCs w:val="28"/>
          <w:rtl/>
        </w:rPr>
        <w:t xml:space="preserve">[دنا ۶۶۳/۲ ]</w:t>
      </w:r>
    </w:p>
    <w:p>
      <w:pPr>
        <w:pStyle w:val="BookText"/>
      </w:pPr>
      <w:r>
        <w:rPr>
          <w:rFonts w:ascii="IRNazanin" w:hAnsi="IRNazanin" w:eastAsia="IRNazanin" w:cs="IRNazanin"/>
          <w:lang w:bidi="fa-IR"/>
          <w:color w:val="111111"/>
          <w:sz w:val="28"/>
          <w:szCs w:val="28"/>
          <w:rtl/>
        </w:rPr>
        <w:t xml:space="preserve">شیراز؛ امام عصر شماره نسخه: ۳۹۲/۱</w:t>
      </w:r>
    </w:p>
    <w:p>
      <w:pPr>
        <w:pStyle w:val="BookText"/>
      </w:pPr>
      <w:r>
        <w:rPr>
          <w:rFonts w:ascii="IRNazanin" w:hAnsi="IRNazanin" w:eastAsia="IRNazanin" w:cs="IRNazanin"/>
          <w:lang w:bidi="fa-IR"/>
          <w:color w:val="111111"/>
          <w:sz w:val="28"/>
          <w:szCs w:val="28"/>
          <w:rtl/>
        </w:rPr>
        <w:t xml:space="preserve">آغاز: الحمد لله القديم الملک العظیم ابتدع الأشياء ... هذه كلمات قد جمعتها فيما وقفت عليه من الاخبار من الأمم السالفة و القرون الماضية قد تضمنت العجائب و نطقت بالغرایب خط: نسخ، كان محمد صالح بن اسماعيل طباطبائی، تا: ۱۲۴۰ق؛ ۱۶گ (۱-۱۶ر)،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۱-۱۲۳]</w:t>
      </w:r>
    </w:p>
    <w:p>
      <w:pPr>
        <w:pStyle w:val="Heading3"/>
      </w:pPr>
      <w:bookmarkStart w:id="1946" w:name="_Toc1206"/>
      <w:r>
        <w:t>•تاریخ / تاریخ / عربی</w:t>
      </w:r>
      <w:bookmarkEnd w:id="1946"/>
    </w:p>
    <w:p>
      <w:pPr>
        <w:pStyle w:val="BookText"/>
      </w:pPr>
      <w:r>
        <w:rPr>
          <w:rFonts w:ascii="Times New Roman" w:hAnsi="Times New Roman" w:eastAsia="Times New Roman" w:cs="Times New Roman"/>
          <w:lang w:val="en-US" w:bidi="en-US"/>
          <w:color w:val="111111"/>
          <w:sz w:val="28"/>
          <w:szCs w:val="28"/>
          <w:rtl/>
        </w:rPr>
        <w:t xml:space="preserve">tārix</w:t>
      </w:r>
    </w:p>
    <w:p>
      <w:pPr>
        <w:pStyle w:val="BookText"/>
      </w:pPr>
      <w:r>
        <w:rPr>
          <w:rFonts w:ascii="IRNazanin" w:hAnsi="IRNazanin" w:eastAsia="IRNazanin" w:cs="IRNazanin"/>
          <w:lang w:bidi="fa-IR"/>
          <w:color w:val="111111"/>
          <w:sz w:val="28"/>
          <w:szCs w:val="28"/>
          <w:rtl/>
        </w:rPr>
        <w:t xml:space="preserve">تهران؛ فرهاد معتمد؛ شماره نسخه: ۷۲</w:t>
      </w:r>
    </w:p>
    <w:p>
      <w:pPr>
        <w:pStyle w:val="BookText"/>
      </w:pPr>
      <w:r>
        <w:rPr>
          <w:rFonts w:ascii="IRNazanin" w:hAnsi="IRNazanin" w:eastAsia="IRNazanin" w:cs="IRNazanin"/>
          <w:lang w:bidi="fa-IR"/>
          <w:color w:val="111111"/>
          <w:sz w:val="28"/>
          <w:szCs w:val="28"/>
          <w:rtl/>
        </w:rPr>
        <w:t xml:space="preserve">از «حديث الهبوط» تا «خروج یاجوج و ماجوج»؛ خط: نسخ، بی کا، تا: قرن ۱۲، کاغذ: فرنگی، جلد: تیماج مشکی ضربی، ۲۱ سطر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سم [ نشریه: ۳-۱۵۸]</w:t>
      </w:r>
    </w:p>
    <w:p>
      <w:pPr>
        <w:pStyle w:val="Heading3"/>
      </w:pPr>
      <w:bookmarkStart w:id="1947" w:name="_Toc1207"/>
      <w:r>
        <w:t>•تاریخ / تاریخ / عربی</w:t>
      </w:r>
      <w:bookmarkEnd w:id="1947"/>
    </w:p>
    <w:p>
      <w:pPr>
        <w:pStyle w:val="BookText"/>
      </w:pPr>
      <w:r>
        <w:rPr>
          <w:rFonts w:ascii="Times New Roman" w:hAnsi="Times New Roman" w:eastAsia="Times New Roman" w:cs="Times New Roman"/>
          <w:lang w:val="en-US" w:bidi="en-US"/>
          <w:color w:val="111111"/>
          <w:sz w:val="28"/>
          <w:szCs w:val="28"/>
          <w:rtl/>
        </w:rPr>
        <w:t xml:space="preserve">tārīx</w:t>
      </w:r>
    </w:p>
    <w:p>
      <w:pPr>
        <w:pStyle w:val="BookText"/>
      </w:pPr>
      <w:r>
        <w:rPr>
          <w:rFonts w:ascii="IRNazanin" w:hAnsi="IRNazanin" w:eastAsia="IRNazanin" w:cs="IRNazanin"/>
          <w:lang w:bidi="fa-IR"/>
          <w:color w:val="111111"/>
          <w:sz w:val="28"/>
          <w:szCs w:val="28"/>
          <w:rtl/>
        </w:rPr>
        <w:t xml:space="preserve">تهران؛ دانشگاه؛ شماره نسخه: ۱۱۶۲/۲۴</w:t>
      </w:r>
    </w:p>
    <w:p>
      <w:pPr>
        <w:pStyle w:val="BookText"/>
      </w:pPr>
      <w:r>
        <w:rPr>
          <w:rFonts w:ascii="IRNazanin" w:hAnsi="IRNazanin" w:eastAsia="IRNazanin" w:cs="IRNazanin"/>
          <w:lang w:bidi="fa-IR"/>
          <w:color w:val="111111"/>
          <w:sz w:val="28"/>
          <w:szCs w:val="28"/>
          <w:rtl/>
        </w:rPr>
        <w:t xml:space="preserve">ف نسخه اصل: كتابخانه آقای شیخ آقا بزرگ تهرانی. مجموعة المسائل المتفرقه في تواریخ؛ خط: نسخ، بی کا، بی تا، ۲۰ سطر</w:t>
      </w:r>
    </w:p>
    <w:p>
      <w:pPr>
        <w:pStyle w:val="BookText"/>
      </w:pPr>
      <w:r>
        <w:rPr>
          <w:rFonts w:ascii="IRNazanin" w:hAnsi="IRNazanin" w:eastAsia="IRNazanin" w:cs="IRNazanin"/>
          <w:lang w:bidi="fa-IR"/>
          <w:color w:val="111111"/>
          <w:sz w:val="28"/>
          <w:szCs w:val="28"/>
          <w:rtl/>
        </w:rPr>
        <w:t xml:space="preserve">[فیلمها ف: ۱-۵۷۵]</w:t>
      </w:r>
    </w:p>
    <w:p>
      <w:pPr>
        <w:pStyle w:val="Heading3"/>
      </w:pPr>
      <w:bookmarkStart w:id="1948" w:name="_Toc1208"/>
      <w:r>
        <w:t>•تاریخ / تاریخ / فارسی</w:t>
      </w:r>
      <w:bookmarkEnd w:id="1948"/>
    </w:p>
    <w:p>
      <w:pPr>
        <w:pStyle w:val="BookText"/>
      </w:pPr>
      <w:r>
        <w:rPr>
          <w:rFonts w:ascii="Times New Roman" w:hAnsi="Times New Roman" w:eastAsia="Times New Roman" w:cs="Times New Roman"/>
          <w:lang w:val="en-US" w:bidi="en-US"/>
          <w:color w:val="111111"/>
          <w:sz w:val="28"/>
          <w:szCs w:val="28"/>
          <w:rtl/>
        </w:rPr>
        <w:t xml:space="preserve">tārīx</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IRNazanin" w:hAnsi="IRNazanin" w:eastAsia="IRNazanin" w:cs="IRNazanin"/>
          <w:lang w:bidi="fa-IR"/>
          <w:color w:val="111111"/>
          <w:sz w:val="28"/>
          <w:szCs w:val="28"/>
          <w:rtl/>
        </w:rPr>
        <w:t xml:space="preserve">١. یزد؛ وزیری؛ شماره نسخه: ۶۹۳</w:t>
      </w:r>
    </w:p>
    <w:p>
      <w:pPr>
        <w:pStyle w:val="BookText"/>
      </w:pPr>
      <w:r>
        <w:rPr>
          <w:rFonts w:ascii="IRNazanin" w:hAnsi="IRNazanin" w:eastAsia="IRNazanin" w:cs="IRNazanin"/>
          <w:lang w:bidi="fa-IR"/>
          <w:color w:val="111111"/>
          <w:sz w:val="28"/>
          <w:szCs w:val="28"/>
          <w:rtl/>
        </w:rPr>
        <w:t xml:space="preserve">آغاز: موجود: من بر مدار عزرائیل گفت به آن خدای که تو مرا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 سوگند ... .و یک قبضه خاک بر گرفت ... انی اعلم ما لا تعلمون؛ انجام: و در آن منزل دیری بود محکم رای ایشان بر آن قرار گرفت که دیر را پناه خود سازند که اگر کسی</w:t>
      </w:r>
    </w:p>
    <w:p>
      <w:pPr>
        <w:pStyle w:val="BookText"/>
      </w:pPr>
      <w:r>
        <w:rPr>
          <w:rFonts w:ascii="IRNazanin" w:hAnsi="IRNazanin" w:eastAsia="IRNazanin" w:cs="IRNazanin"/>
          <w:lang w:bidi="fa-IR"/>
          <w:color w:val="111111"/>
          <w:sz w:val="28"/>
          <w:szCs w:val="28"/>
          <w:rtl/>
        </w:rPr>
        <w:t xml:space="preserve">مؤلف نا شناخته (نظیر تاریخ گزیده یا لب التواریخ)؛ خط: نستعلیق، بی کا، تا: قرن ۱۱؛ افتادگی: آغاز و انجام؛ اهدایی: وزیری؛ کاغذ: اصفهانی، جلد: مقوایی با پارچه آبی، ۲۰ سطر</w:t>
      </w:r>
    </w:p>
    <w:p>
      <w:pPr>
        <w:pStyle w:val="BookText"/>
      </w:pPr>
      <w:r>
        <w:rPr>
          <w:rFonts w:ascii="IRNazanin" w:hAnsi="IRNazanin" w:eastAsia="IRNazanin" w:cs="IRNazanin"/>
          <w:lang w:bidi="fa-IR"/>
          <w:color w:val="111111"/>
          <w:sz w:val="28"/>
          <w:szCs w:val="28"/>
          <w:rtl/>
        </w:rPr>
        <w:t xml:space="preserve">(۱۸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۲-۵۹۱]</w:t>
      </w:r>
    </w:p>
    <w:p>
      <w:pPr>
        <w:pStyle w:val="BookText"/>
      </w:pPr>
      <w:r>
        <w:rPr>
          <w:rFonts w:ascii="IRNazanin" w:hAnsi="IRNazanin" w:eastAsia="IRNazanin" w:cs="IRNazanin"/>
          <w:lang w:bidi="fa-IR"/>
          <w:color w:val="111111"/>
          <w:sz w:val="28"/>
          <w:szCs w:val="28"/>
          <w:rtl/>
        </w:rPr>
        <w:t xml:space="preserve">۲. تهران؛ مجلس؛ شماره نسخه: ۵۱۳۸/۱۴۹</w:t>
      </w:r>
    </w:p>
    <w:p>
      <w:pPr>
        <w:pStyle w:val="BookText"/>
      </w:pPr>
      <w:r>
        <w:rPr>
          <w:rFonts w:ascii="IRNazanin" w:hAnsi="IRNazanin" w:eastAsia="IRNazanin" w:cs="IRNazanin"/>
          <w:lang w:bidi="fa-IR"/>
          <w:color w:val="111111"/>
          <w:sz w:val="28"/>
          <w:szCs w:val="28"/>
          <w:rtl/>
        </w:rPr>
        <w:t xml:space="preserve">آغاز: بتاریخ روز جمعه دوم ماه ربیع الاول سنه ثلاث وستين و تسعمائة در ظاهر فصبه کلانور از اعمال لاهور به اتفاق بیرام خان خانان و امرا و اعیان که در ملازمات ایشان حسب الحكم همایون پادشاه متوجه دفع اسكندر افغان شده بودند بر تخت سلطنت جلوس نموده؛ انجام: بتاریخ یکهزار و هفت کسری روز چهارشنبه دوازدهم شهر جمادى الثاني هزار و چهارده اکبر شاه در اگر بجوار رحمت ایزدی پیوست و در شكندره دو کروهی اکنده مدفون گردید. تمت تمام شد</w:t>
      </w:r>
    </w:p>
    <w:p>
      <w:pPr>
        <w:pStyle w:val="BookText"/>
      </w:pPr>
      <w:r>
        <w:rPr>
          <w:rFonts w:ascii="IRNazanin" w:hAnsi="IRNazanin" w:eastAsia="IRNazanin" w:cs="IRNazanin"/>
          <w:lang w:bidi="fa-IR"/>
          <w:color w:val="111111"/>
          <w:sz w:val="28"/>
          <w:szCs w:val="28"/>
          <w:rtl/>
        </w:rPr>
        <w:t xml:space="preserve">ذکر مجملی از وقایع جلوس اكبر شاه تا زمان مرگ او از تاریخ منتخب میرزا حسن خاکی نامبوب؛ خط: نستعلیق، بی کا، تا: قرن ۱۱، ۱۳گ (۶۱۴-۶۲۶) [ف: ۱۵-۲۰۷]</w:t>
      </w:r>
    </w:p>
    <w:p>
      <w:pPr>
        <w:pStyle w:val="BookText"/>
      </w:pPr>
      <w:r>
        <w:rPr>
          <w:rFonts w:ascii="IRNazanin" w:hAnsi="IRNazanin" w:eastAsia="IRNazanin" w:cs="IRNazanin"/>
          <w:lang w:bidi="fa-IR"/>
          <w:color w:val="111111"/>
          <w:sz w:val="28"/>
          <w:szCs w:val="28"/>
          <w:rtl/>
        </w:rPr>
        <w:t xml:space="preserve">٣. قم؛ مرعشی؛ شماره نسخه: ۱۴۱۷۸</w:t>
      </w:r>
    </w:p>
    <w:p>
      <w:pPr>
        <w:pStyle w:val="BookText"/>
      </w:pPr>
      <w:r>
        <w:rPr>
          <w:rFonts w:ascii="IRNazanin" w:hAnsi="IRNazanin" w:eastAsia="IRNazanin" w:cs="IRNazanin"/>
          <w:lang w:bidi="fa-IR"/>
          <w:color w:val="111111"/>
          <w:sz w:val="28"/>
          <w:szCs w:val="28"/>
          <w:rtl/>
        </w:rPr>
        <w:t xml:space="preserve">آغاز: اسکانی نیست اردشیری است فرزند اردشیر را نیاید کشتن و هم در زمان آلت خود را برید و در حقه کرد؛ انجام: و اقبال او را دست داده بود و می گفت ای مقربان ملاء اعلی بدانید که من از اهل بیت محمدم مرویست ...</w:t>
      </w:r>
    </w:p>
    <w:p>
      <w:pPr>
        <w:pStyle w:val="BookText"/>
      </w:pPr>
      <w:r>
        <w:rPr>
          <w:rFonts w:ascii="IRNazanin" w:hAnsi="IRNazanin" w:eastAsia="IRNazanin" w:cs="IRNazanin"/>
          <w:lang w:bidi="fa-IR"/>
          <w:color w:val="111111"/>
          <w:sz w:val="28"/>
          <w:szCs w:val="28"/>
          <w:rtl/>
        </w:rPr>
        <w:t xml:space="preserve">تاریخ کوتاهی است همچون تاریخ حبیب السیر خواند میر که در آن به تاریخ پادشاهان ایران (اردشیر، شاپور، هرمز، بهرام و فيروز)، ملوک يمن (اصحاب اخدود، دوس بن ثعلبان، اصحاب رس، اصحاب کهف و سیف ذي يزن) پرداخته سپس تاریخ پیامبر(صلی الله علیه وآله وسلم) با عناوین «فصل - فصل»: فصل 1. نسب پیامبر(صلی الله علیه وآله وسلم)، فصل ۲. فرزندان عبدالمطلب، فصل ۳. تزویج آمنه ... و در انجام تاریخ خلفا و برخی از صحابه را آورده است. مؤلف در آغاز کتاب از سیره ابن اسحق بسیار نقل نموده و به سير الملوک نظام الملک، کتاب فقيه، مفتاح الجنان و ابوالقاسم نصر آبادی اشاره نموده است؛ خط: نستعلیق، بی کا، تا: قرن ۱۱؛ افتادگی: آغاز و انجام؛ مصحح؛ کاغذ: شرقی، نوع جلد: مقوایی سبز با ترنج و سرترنج، ۲۶۹گ، ۱۵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[ف: ۷۵۳-۳۵ ]</w:t>
      </w:r>
    </w:p>
    <w:p>
      <w:pPr>
        <w:pStyle w:val="BookText"/>
      </w:pPr>
      <w:r>
        <w:rPr>
          <w:rFonts w:ascii="IRNazanin" w:hAnsi="IRNazanin" w:eastAsia="IRNazanin" w:cs="IRNazanin"/>
          <w:lang w:bidi="fa-IR"/>
          <w:color w:val="111111"/>
          <w:sz w:val="28"/>
          <w:szCs w:val="28"/>
          <w:rtl/>
        </w:rPr>
        <w:t xml:space="preserve">۴. یزد؛ وزیری؛ شماره نسخه:۳۷۲۸/۴</w:t>
      </w:r>
    </w:p>
    <w:p>
      <w:pPr>
        <w:pStyle w:val="BookText"/>
      </w:pPr>
      <w:r>
        <w:rPr>
          <w:rFonts w:ascii="Amiri" w:hAnsi="Amiri" w:eastAsia="Amiri" w:cs="Amiri"/>
          <w:lang w:bidi="ar-SA"/>
          <w:color w:val="111111"/>
          <w:sz w:val="28"/>
          <w:szCs w:val="28"/>
          <w:rtl/>
        </w:rPr>
        <w:t xml:space="preserve">آغاز: موجود: مدت سلطنت سنه 8ماه وفات سنه ۷۴۲؛ انجام: سلطان سليم بن سلطان سليمان جلوسش بر تخت سنه ۹۲۶</w:t>
      </w:r>
    </w:p>
    <w:p>
      <w:pPr>
        <w:pStyle w:val="BookText"/>
      </w:pPr>
      <w:r>
        <w:rPr>
          <w:rFonts w:ascii="IRNazanin" w:hAnsi="IRNazanin" w:eastAsia="IRNazanin" w:cs="IRNazanin"/>
          <w:lang w:bidi="fa-IR"/>
          <w:color w:val="111111"/>
          <w:sz w:val="28"/>
          <w:szCs w:val="28"/>
          <w:rtl/>
        </w:rPr>
        <w:t xml:space="preserve">خط: نستعلیق، کا: محمود بن هدایت الله الشريف، تا: محرم ۱۰۱۶ق؛ افتادگی: آغاز و انجام؛ کاغذ: اصفهانی، جلد: مقوایی روکش کاغذ چهره عطف پارچه مشکی، ۱۲ص (۲۰-۳۲)،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۵-۱۷۶۶]</w:t>
      </w:r>
    </w:p>
    <w:p>
      <w:pPr>
        <w:pStyle w:val="BookText"/>
      </w:pPr>
      <w:r>
        <w:rPr>
          <w:rFonts w:ascii="IRNazanin" w:hAnsi="IRNazanin" w:eastAsia="IRNazanin" w:cs="IRNazanin"/>
          <w:lang w:bidi="fa-IR"/>
          <w:color w:val="111111"/>
          <w:sz w:val="28"/>
          <w:szCs w:val="28"/>
          <w:rtl/>
        </w:rPr>
        <w:t xml:space="preserve">۵. شیراز؛ بنیاد فارس شناسی؛ شماره نسخه:۱۹</w:t>
      </w:r>
    </w:p>
    <w:p>
      <w:pPr>
        <w:pStyle w:val="BookText"/>
      </w:pPr>
      <w:r>
        <w:rPr>
          <w:rFonts w:ascii="IRNazanin" w:hAnsi="IRNazanin" w:eastAsia="IRNazanin" w:cs="IRNazanin"/>
          <w:lang w:bidi="fa-IR"/>
          <w:color w:val="111111"/>
          <w:sz w:val="28"/>
          <w:szCs w:val="28"/>
          <w:rtl/>
        </w:rPr>
        <w:t xml:space="preserve">آغاز: حمد و ثنا مرحضرت واجب الوجودی را که وجود با نهایت از عدم هر چه هست تاحد پادشاهی اوست؛ انجام: تیمور در خزانه بگشاد و با عیان لشکر داد هر یکی را ده چندان داد و فرمود بیرون شکار نکنند چنان کردند و خطبه و سکه بنام خود و بعدد تمام در مغرب تا روم بگرفت و تمامت ملک هندوستان را در ضبط آورد و پادشاه صاحب قران گشت و الله اعلم احكم.</w:t>
      </w:r>
    </w:p>
    <w:p>
      <w:pPr>
        <w:pStyle w:val="BookText"/>
      </w:pPr>
      <w:r>
        <w:rPr>
          <w:rFonts w:ascii="IRNazanin" w:hAnsi="IRNazanin" w:eastAsia="IRNazanin" w:cs="IRNazanin"/>
          <w:lang w:bidi="fa-IR"/>
          <w:color w:val="111111"/>
          <w:sz w:val="28"/>
          <w:szCs w:val="28"/>
          <w:rtl/>
        </w:rPr>
        <w:t xml:space="preserve">از تاریخی عمومی انبیاء(عليه السلام)شروع و سپس به گزارش اجمالی پادشاهان پرداخته و تا سال ۵۶۵ قمری را گزارش کرده است. ظاهرا عنوان اصلی کتاب «قسم» و عنوان فرعی «باب» است: باب دوم از قسم اول: در معجزات انبیاء، باب سوم از قسم اول: در ذکر اولیاء و انبیاء قدس ارواحهم، باب چهارم: در ذکر ملوک عجم و عرب و سایر در تواریخ دولتشان. نویسنده از اهل سنت و شیعیان را روافض خوانده است؛ خط: نستعلیق، کا: جهجو ولد مولانا محمد قریشی سمنانی، تا: رجب ۱۰۲۷ق؛ مجدول؛ جلد: تیماج قهوه ای، ۱۴۲گ، ۱۹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۳۴]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مجلس؛ شماره نسخه: ۴۹۰۳/۵</w:t>
      </w:r>
    </w:p>
    <w:p>
      <w:pPr>
        <w:pStyle w:val="BookText"/>
      </w:pPr>
      <w:r>
        <w:rPr>
          <w:rFonts w:ascii="IRNazanin" w:hAnsi="IRNazanin" w:eastAsia="IRNazanin" w:cs="IRNazanin"/>
          <w:lang w:bidi="fa-IR"/>
          <w:color w:val="111111"/>
          <w:sz w:val="28"/>
          <w:szCs w:val="28"/>
          <w:rtl/>
        </w:rPr>
        <w:t xml:space="preserve">آغاز: بسمله. بچرخ تا اثر مهر و ماه بود *** نگین سلیمان بدست شاه بود از راستی بجبين هر که نام شه ننوشت *** رخش چو مهر خراشیده و سیاه بود / سجع نگین. پادشاه قلمرو بنیان نام خداوندی سزاست که فرمانروایی ملک سلیمان ... و بعد بر جواهر شناسان عين اليقين؛ انجام: و ستاره طالع ارجمند این زیبای مسند سروری و دارای مملکت ذره پروری از توفیقات حضرت ذوالجلال و توجهات پادشاه بیهمال در فلکی کامیابی در این سپهر مقضی المرامی نشأتين ..</w:t>
      </w:r>
    </w:p>
    <w:p>
      <w:pPr>
        <w:pStyle w:val="BookText"/>
      </w:pPr>
      <w:r>
        <w:rPr>
          <w:rFonts w:ascii="IRNazanin" w:hAnsi="IRNazanin" w:eastAsia="IRNazanin" w:cs="IRNazanin"/>
          <w:lang w:bidi="fa-IR"/>
          <w:color w:val="111111"/>
          <w:sz w:val="28"/>
          <w:szCs w:val="28"/>
          <w:rtl/>
        </w:rPr>
        <w:t xml:space="preserve">به نام شاه سلطان حسین صفوی و وزیر آصف رأي ارسطو تدبیر او. منشآتی است به نظم و نثر با این عنوانها: تاریخ میرزا ابراهیم مجلس نویس، تاریخ میرزا وزیر، تاریخ میرزا ربيع، در تعریف مستوفی خاصة، در تعریف عمارت محمد قلیخان تفنگچی، در خرابی سیلاب (نوشته شده در سال ۱۱۱۰) تاریخ فوت مولانا محمد باقر (۱۱۱۰)، و جز آنها؛ خط: نستعلیق، کا: محمد مؤمن بن علینقی باکی، تا: قرن ۱۲، جان اصفهان؛ افتادگی: انجام؛ یادداشت و ماده تاریخ مرگ محمد باقر مجلسی در ۱۱۱۰ [از جهان رفت رهنمای جهان ۱۱۱۰] جالب توجه است؛ کاغذ: سپاهانی، جلد: تیماج سرخ یک لا، ۱۸ص (۴۳-۶۰ر)، ۴۸ سطر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۱۴-۱۱۸]</w:t>
      </w:r>
    </w:p>
    <w:p>
      <w:pPr>
        <w:pStyle w:val="BookText"/>
      </w:pPr>
      <w:r>
        <w:rPr>
          <w:rFonts w:ascii="IRNazanin" w:hAnsi="IRNazanin" w:eastAsia="IRNazanin" w:cs="IRNazanin"/>
          <w:lang w:bidi="fa-IR"/>
          <w:color w:val="111111"/>
          <w:sz w:val="28"/>
          <w:szCs w:val="28"/>
          <w:rtl/>
        </w:rPr>
        <w:t xml:space="preserve">۷. مشهد؛ مدرسه آية الله خوئی؛ شماره نسخه:۲۵۹</w:t>
      </w:r>
    </w:p>
    <w:p>
      <w:pPr>
        <w:pStyle w:val="BookText"/>
      </w:pPr>
      <w:r>
        <w:rPr>
          <w:rFonts w:ascii="IRNazanin" w:hAnsi="IRNazanin" w:eastAsia="IRNazanin" w:cs="IRNazanin"/>
          <w:lang w:bidi="fa-IR"/>
          <w:color w:val="111111"/>
          <w:sz w:val="28"/>
          <w:szCs w:val="28"/>
          <w:rtl/>
        </w:rPr>
        <w:t xml:space="preserve">در تاریخ و در بر گیرنده حکایات؛ بی کا، تا: قرن ۱۲؛ افتادگی: آغاز و انجام [اوراق عتیق: ۱-۲۴۹]</w:t>
      </w:r>
    </w:p>
    <w:p>
      <w:pPr>
        <w:pStyle w:val="BookText"/>
      </w:pPr>
      <w:r>
        <w:rPr>
          <w:rFonts w:ascii="IRNazanin" w:hAnsi="IRNazanin" w:eastAsia="IRNazanin" w:cs="IRNazanin"/>
          <w:lang w:bidi="fa-IR"/>
          <w:color w:val="111111"/>
          <w:sz w:val="28"/>
          <w:szCs w:val="28"/>
          <w:rtl/>
        </w:rPr>
        <w:t xml:space="preserve">۸. شیراز؛ علامه طباطبائی؛ شماره نسخه: ۱۶۲۴</w:t>
      </w:r>
    </w:p>
    <w:p>
      <w:pPr>
        <w:pStyle w:val="BookText"/>
      </w:pPr>
      <w:r>
        <w:rPr>
          <w:rFonts w:ascii="IRNazanin" w:hAnsi="IRNazanin" w:eastAsia="IRNazanin" w:cs="IRNazanin"/>
          <w:lang w:bidi="fa-IR"/>
          <w:color w:val="111111"/>
          <w:sz w:val="28"/>
          <w:szCs w:val="28"/>
          <w:rtl/>
        </w:rPr>
        <w:t xml:space="preserve">آغاز: جلوس امنافیس در مملکت مصر، سه هزار و نهصد و سی و یک سال بعد از هبوط آدم بود، امنا فیس پسر رمسس میامم است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مبدا را هبوط آدم (ع) قرار داده و وقایع را به اعتبار وقوعشان بعد از هبوط آدم(عليه السلام) ذکر کرده و بیشتر زمان جلوس پادشاهان را گفته است؛ خط: نستعلیق شکسته، بی کا، تا: قرن ۱۳؛ افتادگی: آغاز و انجام؛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 نسخه پژوهی: ۲-۱۲۰]</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مجلس؛ شماره نسخه:۳۱۴۴</w:t>
      </w:r>
    </w:p>
    <w:p>
      <w:pPr>
        <w:pStyle w:val="BookText"/>
      </w:pPr>
      <w:r>
        <w:rPr>
          <w:rFonts w:ascii="IRNazanin" w:hAnsi="IRNazanin" w:eastAsia="IRNazanin" w:cs="IRNazanin"/>
          <w:lang w:bidi="fa-IR"/>
          <w:color w:val="111111"/>
          <w:sz w:val="28"/>
          <w:szCs w:val="28"/>
          <w:rtl/>
        </w:rPr>
        <w:t xml:space="preserve">آغاز: جلد دویم تاریخ جنگ چین و قشون ... فصل اول در باب محاصره شهر پکن اخبار غیر صحیح زیاد طبع و نشر شده؛ انجام: دیدم ایام تابستان من ضایع نشد جنگ فیما بین چین و قشون متحده را تماشا کردم تمام شد جلد دویم تاریخ جنگ چین و قشون ملل متحد بخش دوم کتاب تاریخ جنگ چین و ملل متحد در ۱۹۰۰ میلادی برابر با ۱۳۱۸ق این بخش دارای ۶۷ «فصل» است؛ خط: نستعلیق، بی کا، تا: قرن ۱۳؛ مجدول؛ کاغذ: فرنگی پسته ای، جلد: ماهوتی مقوایی، ۱۸۰ص، ۱۶ سطر، قطع: رحلی، اندازه: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سم[ف:۷۱۶-۱۰ ]</w:t>
      </w:r>
    </w:p>
    <w:p>
      <w:pPr>
        <w:pStyle w:val="BookText"/>
      </w:pPr>
      <w:r>
        <w:rPr>
          <w:rFonts w:ascii="IRNazanin" w:hAnsi="IRNazanin" w:eastAsia="IRNazanin" w:cs="IRNazanin"/>
          <w:lang w:bidi="fa-IR"/>
          <w:color w:val="111111"/>
          <w:sz w:val="28"/>
          <w:szCs w:val="28"/>
          <w:rtl/>
        </w:rPr>
        <w:t xml:space="preserve">۱۰. مشهد؛ رضوی؛ شماره نسخه: ۲۷۰۲۹</w:t>
      </w:r>
    </w:p>
    <w:p>
      <w:pPr>
        <w:pStyle w:val="BookText"/>
      </w:pPr>
      <w:r>
        <w:rPr>
          <w:rFonts w:ascii="IRNazanin" w:hAnsi="IRNazanin" w:eastAsia="IRNazanin" w:cs="IRNazanin"/>
          <w:lang w:bidi="fa-IR"/>
          <w:color w:val="111111"/>
          <w:sz w:val="28"/>
          <w:szCs w:val="28"/>
          <w:rtl/>
        </w:rPr>
        <w:t xml:space="preserve">آغاز: بسمله، أما بعد در کتاب استظهار چنین روایت میکند؛ انجام: بعذاب حريق گرفتار نمود جماع ثانی را بر ایشان خط: نستعلیق شکسته، بی کا، تا: ۱۲۳۵ق، کاغذ: فستقی، جلد:</w:t>
      </w:r>
    </w:p>
    <w:p>
      <w:pPr>
        <w:pStyle w:val="BookText"/>
      </w:pPr>
      <w:r>
        <w:rPr>
          <w:rFonts w:ascii="IRNazanin" w:hAnsi="IRNazanin" w:eastAsia="IRNazanin" w:cs="IRNazanin"/>
          <w:lang w:bidi="fa-IR"/>
          <w:color w:val="111111"/>
          <w:sz w:val="28"/>
          <w:szCs w:val="28"/>
          <w:rtl/>
        </w:rPr>
        <w:t xml:space="preserve">اسقاطی، ۱۴ سطر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 [رایانه ]</w:t>
      </w:r>
    </w:p>
    <w:p>
      <w:pPr>
        <w:pStyle w:val="BookText"/>
      </w:pPr>
      <w:r>
        <w:rPr>
          <w:rFonts w:ascii="IRNazanin" w:hAnsi="IRNazanin" w:eastAsia="IRNazanin" w:cs="IRNazanin"/>
          <w:lang w:bidi="fa-IR"/>
          <w:color w:val="111111"/>
          <w:sz w:val="28"/>
          <w:szCs w:val="28"/>
          <w:rtl/>
        </w:rPr>
        <w:t xml:space="preserve">۱۱. تهران؛ مجلس؛ شماره نسخه: ۱۱۲۲۰</w:t>
      </w:r>
    </w:p>
    <w:p>
      <w:pPr>
        <w:pStyle w:val="BookText"/>
      </w:pPr>
      <w:r>
        <w:rPr>
          <w:rFonts w:ascii="IRNazanin" w:hAnsi="IRNazanin" w:eastAsia="IRNazanin" w:cs="IRNazanin"/>
          <w:lang w:bidi="fa-IR"/>
          <w:color w:val="111111"/>
          <w:sz w:val="28"/>
          <w:szCs w:val="28"/>
          <w:rtl/>
        </w:rPr>
        <w:t xml:space="preserve">خط: نستعلیق تحریری، کا: گویا عبدالحسین هژیر، تا: قرن ۱۴ [مختصر ف: ۱۲۴]</w:t>
      </w:r>
    </w:p>
    <w:p>
      <w:pPr>
        <w:pStyle w:val="BookText"/>
      </w:pPr>
      <w:r>
        <w:rPr>
          <w:rFonts w:ascii="IRNazanin" w:hAnsi="IRNazanin" w:eastAsia="IRNazanin" w:cs="IRNazanin"/>
          <w:lang w:bidi="fa-IR"/>
          <w:color w:val="111111"/>
          <w:sz w:val="28"/>
          <w:szCs w:val="28"/>
          <w:rtl/>
        </w:rPr>
        <w:t xml:space="preserve">۱۲. یزد؛ وزیری؛ شماره نسخه: ۳۵۵۲/۱</w:t>
      </w:r>
    </w:p>
    <w:p>
      <w:pPr>
        <w:pStyle w:val="BookText"/>
      </w:pPr>
      <w:r>
        <w:rPr>
          <w:rFonts w:ascii="IRNazanin" w:hAnsi="IRNazanin" w:eastAsia="IRNazanin" w:cs="IRNazanin"/>
          <w:lang w:bidi="fa-IR"/>
          <w:color w:val="111111"/>
          <w:sz w:val="28"/>
          <w:szCs w:val="28"/>
          <w:rtl/>
        </w:rPr>
        <w:t xml:space="preserve">آغاز: حالت سواری اشاره کردند؛ انجام: بر روی تخت خود نشسته بود و عروسی داشت</w:t>
      </w:r>
    </w:p>
    <w:p>
      <w:pPr>
        <w:pStyle w:val="BookText"/>
      </w:pPr>
      <w:r>
        <w:rPr>
          <w:rFonts w:ascii="IRNazanin" w:hAnsi="IRNazanin" w:eastAsia="IRNazanin" w:cs="IRNazanin"/>
          <w:lang w:bidi="fa-IR"/>
          <w:color w:val="111111"/>
          <w:sz w:val="28"/>
          <w:szCs w:val="28"/>
          <w:rtl/>
        </w:rPr>
        <w:t xml:space="preserve">خط: نستعلیق، کا: محمدرحیم، تا: ۱۳۰۸ق؛ افتادگی: آغاز و انجام؛ کاغذ: فرنگی، جلد: مقوایی روکش کاغذ ابری عطف تیماج قرمز، ۹۱ ص (۱-۹۱)، ابعاد متن: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۵-۱۶۹۴]</w:t>
      </w:r>
    </w:p>
    <w:p>
      <w:pPr>
        <w:pStyle w:val="BookText"/>
      </w:pPr>
      <w:r>
        <w:rPr>
          <w:rFonts w:ascii="IRNazanin" w:hAnsi="IRNazanin" w:eastAsia="IRNazanin" w:cs="IRNazanin"/>
          <w:lang w:bidi="fa-IR"/>
          <w:color w:val="111111"/>
          <w:sz w:val="28"/>
          <w:szCs w:val="28"/>
          <w:rtl/>
        </w:rPr>
        <w:t xml:space="preserve">۱۳. تهران؛ الهیات؛ شماره نسخه: ۲۷۰/۲</w:t>
      </w:r>
    </w:p>
    <w:p>
      <w:pPr>
        <w:pStyle w:val="BookText"/>
      </w:pPr>
      <w:r>
        <w:rPr>
          <w:rFonts w:ascii="IRNazanin" w:hAnsi="IRNazanin" w:eastAsia="IRNazanin" w:cs="IRNazanin"/>
          <w:lang w:bidi="fa-IR"/>
          <w:color w:val="111111"/>
          <w:sz w:val="28"/>
          <w:szCs w:val="28"/>
          <w:rtl/>
        </w:rPr>
        <w:t xml:space="preserve">از نویسنده شیعی؛ خط: نسخ و نستعلیق، بی کا، بی تا؛ کاغذ: فرنگی و اصفهانی، ۱۰۰گی (۹۹ر -۱۹۸پ)، ۱۶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۲۷۰]</w:t>
      </w:r>
    </w:p>
    <w:p>
      <w:pPr>
        <w:pStyle w:val="BookText"/>
      </w:pPr>
      <w:r>
        <w:rPr>
          <w:rFonts w:ascii="IRNazanin" w:hAnsi="IRNazanin" w:eastAsia="IRNazanin" w:cs="IRNazanin"/>
          <w:lang w:bidi="fa-IR"/>
          <w:color w:val="111111"/>
          <w:sz w:val="28"/>
          <w:szCs w:val="28"/>
          <w:rtl/>
        </w:rPr>
        <w:t xml:space="preserve">۱۴. تهران؛ چهل ستون؛ شماره نسخه: ۲۰۱</w:t>
      </w:r>
    </w:p>
    <w:p>
      <w:pPr>
        <w:pStyle w:val="BookText"/>
      </w:pPr>
      <w:r>
        <w:rPr>
          <w:rFonts w:ascii="IRNazanin" w:hAnsi="IRNazanin" w:eastAsia="IRNazanin" w:cs="IRNazanin"/>
          <w:lang w:bidi="fa-IR"/>
          <w:color w:val="111111"/>
          <w:sz w:val="28"/>
          <w:szCs w:val="28"/>
          <w:rtl/>
        </w:rPr>
        <w:t xml:space="preserve">شاید قطعه ای از تاریخ وصاف باشد؛ بی کا، بی تا [چند نسخه -ف: ۳۴۶ ]</w:t>
      </w:r>
    </w:p>
    <w:p>
      <w:pPr>
        <w:pStyle w:val="BookText"/>
      </w:pPr>
      <w:r>
        <w:rPr>
          <w:rFonts w:ascii="IRNazanin" w:hAnsi="IRNazanin" w:eastAsia="IRNazanin" w:cs="IRNazanin"/>
          <w:lang w:bidi="fa-IR"/>
          <w:color w:val="111111"/>
          <w:sz w:val="28"/>
          <w:szCs w:val="28"/>
          <w:rtl/>
        </w:rPr>
        <w:t xml:space="preserve">۱۵. تهران؛ ملی؛ شماره نسخه: ۱۷۰۳۰</w:t>
      </w:r>
    </w:p>
    <w:p>
      <w:pPr>
        <w:pStyle w:val="BookText"/>
      </w:pPr>
      <w:r>
        <w:rPr>
          <w:rFonts w:ascii="IRNazanin" w:hAnsi="IRNazanin" w:eastAsia="IRNazanin" w:cs="IRNazanin"/>
          <w:lang w:bidi="fa-IR"/>
          <w:color w:val="111111"/>
          <w:sz w:val="28"/>
          <w:szCs w:val="28"/>
          <w:rtl/>
        </w:rPr>
        <w:t xml:space="preserve">جزوه تاریخ - کتاب درسی، بی کا، بی تا، خریداری از بیژن پاینده آزاد [رایانه ]</w:t>
      </w:r>
    </w:p>
    <w:p>
      <w:pPr>
        <w:pStyle w:val="BookText"/>
      </w:pPr>
      <w:r>
        <w:rPr>
          <w:rFonts w:ascii="IRNazanin" w:hAnsi="IRNazanin" w:eastAsia="IRNazanin" w:cs="IRNazanin"/>
          <w:lang w:bidi="fa-IR"/>
          <w:color w:val="111111"/>
          <w:sz w:val="28"/>
          <w:szCs w:val="28"/>
          <w:rtl/>
        </w:rPr>
        <w:t xml:space="preserve">۱۶. تهران؛ ملی؛ شماره نسخه:۲۵۵۱۴</w:t>
      </w:r>
    </w:p>
    <w:p>
      <w:pPr>
        <w:pStyle w:val="BookText"/>
      </w:pPr>
      <w:r>
        <w:rPr>
          <w:rFonts w:ascii="IRNazanin" w:hAnsi="IRNazanin" w:eastAsia="IRNazanin" w:cs="IRNazanin"/>
          <w:lang w:bidi="fa-IR"/>
          <w:color w:val="111111"/>
          <w:sz w:val="28"/>
          <w:szCs w:val="28"/>
          <w:rtl/>
        </w:rPr>
        <w:t xml:space="preserve">بی کا، بی تا؛ خریداری از میرداد خان [رایانه ]</w:t>
      </w:r>
    </w:p>
    <w:p>
      <w:pPr>
        <w:pStyle w:val="BookText"/>
      </w:pPr>
      <w:r>
        <w:rPr>
          <w:rFonts w:ascii="IRNazanin" w:hAnsi="IRNazanin" w:eastAsia="IRNazanin" w:cs="IRNazanin"/>
          <w:lang w:bidi="fa-IR"/>
          <w:color w:val="111111"/>
          <w:sz w:val="28"/>
          <w:szCs w:val="28"/>
          <w:rtl/>
        </w:rPr>
        <w:t xml:space="preserve">۱۷. یزد؛ وزیری؛ شماره نسخه: ۲۸۶۷/۵</w:t>
      </w:r>
    </w:p>
    <w:p>
      <w:pPr>
        <w:pStyle w:val="BookText"/>
      </w:pPr>
      <w:r>
        <w:rPr>
          <w:rFonts w:ascii="IRNazanin" w:hAnsi="IRNazanin" w:eastAsia="IRNazanin" w:cs="IRNazanin"/>
          <w:lang w:bidi="fa-IR"/>
          <w:color w:val="111111"/>
          <w:sz w:val="28"/>
          <w:szCs w:val="28"/>
          <w:rtl/>
        </w:rPr>
        <w:t xml:space="preserve">آغاز: و این باد بی نیازی هیچ چیز ما را برقرار خود نمی گذارد؛ انجام: درماندگان کنون ز که خواهند یاوری.</w:t>
      </w:r>
    </w:p>
    <w:p>
      <w:pPr>
        <w:pStyle w:val="BookText"/>
      </w:pPr>
      <w:r>
        <w:rPr>
          <w:rFonts w:ascii="IRNazanin" w:hAnsi="IRNazanin" w:eastAsia="IRNazanin" w:cs="IRNazanin"/>
          <w:lang w:bidi="fa-IR"/>
          <w:color w:val="111111"/>
          <w:sz w:val="28"/>
          <w:szCs w:val="28"/>
          <w:rtl/>
        </w:rPr>
        <w:t xml:space="preserve">بی کا، بی تا، افتادگی: آغاز و انجام؛ اهدایی: وزیری؛ کاغذ: اصفهانی، جلد: مقوایی روکش کاغذ قهوه ای عطف تیماج عنابی، ۲۸گ (۷۸-۱۰۵)، اندازه: ۳۶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۴-۱۴۵۵]</w:t>
      </w:r>
    </w:p>
    <w:p>
      <w:pPr>
        <w:pStyle w:val="BookText"/>
      </w:pPr>
      <w:r>
        <w:rPr>
          <w:rFonts w:ascii="IRNazanin" w:hAnsi="IRNazanin" w:eastAsia="IRNazanin" w:cs="IRNazanin"/>
          <w:lang w:bidi="fa-IR"/>
          <w:color w:val="111111"/>
          <w:sz w:val="28"/>
          <w:szCs w:val="28"/>
          <w:rtl/>
        </w:rPr>
        <w:t xml:space="preserve">۱۸. تهران؛ ملی؛ شماره نسخه: ۱۸۹۳۰</w:t>
      </w:r>
    </w:p>
    <w:p>
      <w:pPr>
        <w:pStyle w:val="BookText"/>
      </w:pPr>
      <w:r>
        <w:rPr>
          <w:rFonts w:ascii="IRNazanin" w:hAnsi="IRNazanin" w:eastAsia="IRNazanin" w:cs="IRNazanin"/>
          <w:lang w:bidi="fa-IR"/>
          <w:color w:val="111111"/>
          <w:sz w:val="28"/>
          <w:szCs w:val="28"/>
          <w:rtl/>
        </w:rPr>
        <w:t xml:space="preserve">كان محمد حسن، بی تا؛ انتقالی از کتابخانه پهلوی -مجموعه نوازی؛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w:t>
      </w:r>
    </w:p>
    <w:p>
      <w:pPr>
        <w:pStyle w:val="BookText"/>
      </w:pPr>
      <w:r>
        <w:rPr>
          <w:rFonts w:ascii="IRNazanin" w:hAnsi="IRNazanin" w:eastAsia="IRNazanin" w:cs="IRNazanin"/>
          <w:lang w:bidi="fa-IR"/>
          <w:color w:val="111111"/>
          <w:sz w:val="28"/>
          <w:szCs w:val="28"/>
          <w:rtl/>
        </w:rPr>
        <w:t xml:space="preserve">[رایانه]</w:t>
      </w:r>
    </w:p>
    <w:p>
      <w:pPr>
        <w:pStyle w:val="BookText"/>
      </w:pPr>
      <w:r>
        <w:rPr>
          <w:rFonts w:ascii="IRNazanin" w:hAnsi="IRNazanin" w:eastAsia="IRNazanin" w:cs="IRNazanin"/>
          <w:lang w:bidi="fa-IR"/>
          <w:color w:val="111111"/>
          <w:sz w:val="28"/>
          <w:szCs w:val="28"/>
          <w:rtl/>
        </w:rPr>
        <w:t xml:space="preserve">۱۹. تهران؛ ملی؛ شماره نسخه:۱۸۷۶۶</w:t>
      </w:r>
    </w:p>
    <w:p>
      <w:pPr>
        <w:pStyle w:val="BookText"/>
      </w:pPr>
      <w:r>
        <w:rPr>
          <w:rFonts w:ascii="IRNazanin" w:hAnsi="IRNazanin" w:eastAsia="IRNazanin" w:cs="IRNazanin"/>
          <w:lang w:bidi="fa-IR"/>
          <w:color w:val="111111"/>
          <w:sz w:val="28"/>
          <w:szCs w:val="28"/>
          <w:rtl/>
        </w:rPr>
        <w:t xml:space="preserve">نسخه ای در تاریخ؛ بی کا، بی تا؛ انتقالی از کتابخانه پهلوی - مجموعه نوازی؛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[رایانه]</w:t>
      </w:r>
    </w:p>
    <w:p>
      <w:pPr>
        <w:pStyle w:val="BookText"/>
      </w:pPr>
      <w:r>
        <w:rPr>
          <w:rFonts w:ascii="IRNazanin" w:hAnsi="IRNazanin" w:eastAsia="IRNazanin" w:cs="IRNazanin"/>
          <w:lang w:bidi="fa-IR"/>
          <w:color w:val="111111"/>
          <w:sz w:val="28"/>
          <w:szCs w:val="28"/>
          <w:rtl/>
        </w:rPr>
        <w:t xml:space="preserve">۲۰. مشهد: الهیات؛ شماره نسخه: ۱۹۳۱۹/۴</w:t>
      </w:r>
    </w:p>
    <w:p>
      <w:pPr>
        <w:pStyle w:val="BookText"/>
      </w:pPr>
      <w:r>
        <w:rPr>
          <w:rFonts w:ascii="IRNazanin" w:hAnsi="IRNazanin" w:eastAsia="IRNazanin" w:cs="IRNazanin"/>
          <w:lang w:bidi="fa-IR"/>
          <w:color w:val="111111"/>
          <w:sz w:val="28"/>
          <w:szCs w:val="28"/>
          <w:rtl/>
        </w:rPr>
        <w:t xml:space="preserve">آغاز: ذكر اول مخلوقات الهی و بیان توفيق ميان احادیث رسالت پناهی متون كتب سير مشحونست باین خبر که جابر انصاری رضي الله عنه روزی</w:t>
      </w:r>
    </w:p>
    <w:p>
      <w:pPr>
        <w:pStyle w:val="BookText"/>
      </w:pPr>
      <w:r>
        <w:rPr>
          <w:rFonts w:ascii="IRNazanin" w:hAnsi="IRNazanin" w:eastAsia="IRNazanin" w:cs="IRNazanin"/>
          <w:lang w:bidi="fa-IR"/>
          <w:color w:val="111111"/>
          <w:sz w:val="28"/>
          <w:szCs w:val="28"/>
          <w:rtl/>
        </w:rPr>
        <w:t xml:space="preserve">تاریخ جامع و گزینه ای است که کاتب آن را به آخر نرسانده است و بدون دیباچه می باشد، در شش «مقاله»: ۱. ذکر مخلوقات الهی و آفرینش آسمانها و زمین ها و تاریخ پیامبران از حضرت آدم تا حضرت خاتم، ۲. ذكر حكما، ۳. نانویس، ۴. ذكر حالات و غزوات حضرت رسول(صلی الله علیه وآله وسلم)که در این مقاله اشاره اجمالی به غدیر خم می کند، ۵. ذكر خلفاء راشدین و ائمه اثنی عشر(عليه السلام) و جنگهای صفین، خوارج، شهادت امام حسین (عليه السلام)، خروج مختار و ... می کند، ۶. ذكر خلفاء بنی امیه و گفتار در بیان حکومت معاوية بن ابی سفیان تا ذكر سلطنت هشام بن عبدالملک را دارد. در این تاریخ از کتابهای روضة الصفاء و روضة الاحباب، تاریخ جعفری، تاریخ حافظ ابرو، تاریخ گزیده یاد شده است؛ خط: نسخ، بی کا، بی تا؛ کاغذ: حنایی و فستقی و نخودی، جلد: تیماج قهوه ای، ۳۰ -۳۳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سم [ف: ۲-۳۸۵]</w:t>
      </w:r>
    </w:p>
    <w:p>
      <w:pPr>
        <w:pStyle w:val="BookText"/>
      </w:pPr>
      <w:r>
        <w:rPr>
          <w:rFonts w:ascii="IRNazanin" w:hAnsi="IRNazanin" w:eastAsia="IRNazanin" w:cs="IRNazanin"/>
          <w:lang w:bidi="fa-IR"/>
          <w:color w:val="111111"/>
          <w:sz w:val="28"/>
          <w:szCs w:val="28"/>
          <w:rtl/>
        </w:rPr>
        <w:t xml:space="preserve">۲۱. تهران؛ مجلس؛ شماره نسخه: ۵۴۳۴/۱۴</w:t>
      </w:r>
    </w:p>
    <w:p>
      <w:pPr>
        <w:pStyle w:val="BookText"/>
      </w:pPr>
      <w:r>
        <w:rPr>
          <w:rFonts w:ascii="IRNazanin" w:hAnsi="IRNazanin" w:eastAsia="IRNazanin" w:cs="IRNazanin"/>
          <w:lang w:bidi="fa-IR"/>
          <w:color w:val="111111"/>
          <w:sz w:val="28"/>
          <w:szCs w:val="28"/>
          <w:rtl/>
        </w:rPr>
        <w:t xml:space="preserve">منقولاتی از تاریخ ابن هلال که بنام شاه شجاع آل مظفر نوشته اند و دنبالش فوائدی از سعدی و جواب ملا محمد رستمداری به دانشمندان ماوراء النهر؛ بی کا، بی تا؛ جلد: تیماج قهوه ای یک لای</w:t>
      </w:r>
    </w:p>
    <w:p>
      <w:pPr>
        <w:pStyle w:val="BookText"/>
      </w:pPr>
      <w:r>
        <w:rPr>
          <w:rFonts w:ascii="IRNazanin" w:hAnsi="IRNazanin" w:eastAsia="IRNazanin" w:cs="IRNazanin"/>
          <w:lang w:bidi="fa-IR"/>
          <w:color w:val="111111"/>
          <w:sz w:val="28"/>
          <w:szCs w:val="28"/>
          <w:rtl/>
        </w:rPr>
        <w:t xml:space="preserve">۵گ (۲۲۵-۲۲۹ر)، اندازه: ۲۱۸۱۵سم [ف: ۱۶-۳۳۷]</w:t>
      </w:r>
    </w:p>
    <w:p>
      <w:pPr>
        <w:pStyle w:val="BookText"/>
      </w:pPr>
      <w:r>
        <w:rPr>
          <w:rFonts w:ascii="IRNazanin" w:hAnsi="IRNazanin" w:eastAsia="IRNazanin" w:cs="IRNazanin"/>
          <w:lang w:bidi="fa-IR"/>
          <w:color w:val="111111"/>
          <w:sz w:val="28"/>
          <w:szCs w:val="28"/>
          <w:rtl/>
        </w:rPr>
        <w:t xml:space="preserve">۲۲. مشهد؛ رضوی؛ شماره نسخه:۲۴۲۹۶</w:t>
      </w:r>
    </w:p>
    <w:p>
      <w:pPr>
        <w:pStyle w:val="BookText"/>
      </w:pPr>
      <w:r>
        <w:rPr>
          <w:rFonts w:ascii="IRNazanin" w:hAnsi="IRNazanin" w:eastAsia="IRNazanin" w:cs="IRNazanin"/>
          <w:lang w:bidi="fa-IR"/>
          <w:color w:val="111111"/>
          <w:sz w:val="28"/>
          <w:szCs w:val="28"/>
          <w:rtl/>
        </w:rPr>
        <w:t xml:space="preserve">آغاز: در اصفهان بودند و باز روی به سبزوار نهادند و مردمان سبزوار آن را رعایت بسیار کردند؛ انجام: از دنیا سفر کرد و به</w:t>
      </w:r>
    </w:p>
    <w:p>
      <w:pPr>
        <w:pStyle w:val="BookText"/>
      </w:pPr>
      <w:r>
        <w:rPr>
          <w:rFonts w:ascii="IRNazanin" w:hAnsi="IRNazanin" w:eastAsia="IRNazanin" w:cs="IRNazanin"/>
          <w:lang w:bidi="fa-IR"/>
          <w:color w:val="111111"/>
          <w:sz w:val="28"/>
          <w:szCs w:val="28"/>
          <w:rtl/>
        </w:rPr>
        <w:t xml:space="preserve">جوار حق پیوست بعد از پانصد ... خط: نستعلیق خفی، بی کا، بی تا، افتادگی: آغاز و انجام؛ کاغذ: فستقی، جلد: اسقاطی، ۱۴-۱۶ سطر، قطع: وزیری،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سم [رایانه]</w:t>
      </w:r>
    </w:p>
    <w:p>
      <w:pPr>
        <w:pStyle w:val="BookText"/>
      </w:pPr>
      <w:r>
        <w:rPr>
          <w:rFonts w:ascii="IRNazanin" w:hAnsi="IRNazanin" w:eastAsia="IRNazanin" w:cs="IRNazanin"/>
          <w:lang w:bidi="fa-IR"/>
          <w:color w:val="111111"/>
          <w:sz w:val="28"/>
          <w:szCs w:val="28"/>
          <w:rtl/>
        </w:rPr>
        <w:t xml:space="preserve">۲۳. مشهد؛ رضوی، شماره نسخه:۲۲۸۰۳</w:t>
      </w:r>
    </w:p>
    <w:p>
      <w:pPr>
        <w:pStyle w:val="BookText"/>
      </w:pPr>
      <w:r>
        <w:rPr>
          <w:rFonts w:ascii="IRNazanin" w:hAnsi="IRNazanin" w:eastAsia="IRNazanin" w:cs="IRNazanin"/>
          <w:lang w:bidi="fa-IR"/>
          <w:color w:val="111111"/>
          <w:sz w:val="28"/>
          <w:szCs w:val="28"/>
          <w:rtl/>
        </w:rPr>
        <w:t xml:space="preserve">آغاز:اما بعد چنین گوید راوی حکایات گذشته انجام: زهی وجود تو بر صنع کردگار گواه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360" w:name="pg20363_209642"/>
    <w:bookmarkEnd w:id="360"/>
    <w:p>
      <w:pPr>
        <w:pStyle w:val="BookText"/>
      </w:pPr>
      <w:r>
        <w:rPr>
          <w:rFonts w:ascii="IRNazanin" w:hAnsi="IRNazanin" w:eastAsia="IRNazanin" w:cs="IRNazanin"/>
          <w:lang w:bidi="fa-IR"/>
          <w:color w:val="111111"/>
          <w:sz w:val="28"/>
          <w:szCs w:val="28"/>
          <w:rtl/>
        </w:rPr>
        <w:t xml:space="preserve">خط: نستعلیق، بی کا، بی تا، افتادگی: آغاز و انجام؛ کاغذ: نخودی، جلد: تیماج ضربی، ۱۷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[رایانه]</w:t>
      </w:r>
    </w:p>
    <w:p>
      <w:pPr>
        <w:pStyle w:val="BookText"/>
      </w:pPr>
      <w:r>
        <w:rPr>
          <w:rFonts w:ascii="IRNazanin" w:hAnsi="IRNazanin" w:eastAsia="IRNazanin" w:cs="IRNazanin"/>
          <w:lang w:bidi="fa-IR"/>
          <w:color w:val="111111"/>
          <w:sz w:val="28"/>
          <w:szCs w:val="28"/>
          <w:rtl/>
        </w:rPr>
        <w:t xml:space="preserve">۲۴. مشهد: رضوی؛ شماره نسخه: ۲۲۴۲۰</w:t>
      </w:r>
    </w:p>
    <w:p>
      <w:pPr>
        <w:pStyle w:val="BookText"/>
      </w:pPr>
      <w:r>
        <w:rPr>
          <w:rFonts w:ascii="IRNazanin" w:hAnsi="IRNazanin" w:eastAsia="IRNazanin" w:cs="IRNazanin"/>
          <w:lang w:bidi="fa-IR"/>
          <w:color w:val="111111"/>
          <w:sz w:val="28"/>
          <w:szCs w:val="28"/>
          <w:rtl/>
        </w:rPr>
        <w:t xml:space="preserve">آغاز: باب احتیاج نهم، رعایت قربا و فقرا؛ انجام: خداوند تعالی میان من و آن کار حایل پدید آورد.</w:t>
      </w:r>
    </w:p>
    <w:p>
      <w:pPr>
        <w:pStyle w:val="BookText"/>
      </w:pPr>
      <w:r>
        <w:rPr>
          <w:rFonts w:ascii="IRNazanin" w:hAnsi="IRNazanin" w:eastAsia="IRNazanin" w:cs="IRNazanin"/>
          <w:lang w:bidi="fa-IR"/>
          <w:color w:val="111111"/>
          <w:sz w:val="28"/>
          <w:szCs w:val="28"/>
          <w:rtl/>
        </w:rPr>
        <w:t xml:space="preserve">تاریخ = سلطانها و خلفاء ؛ خط: نستعلیق، بی کا، بی تا، کاغذ: نباتی، جلد: اسقاطی، ۲۳ سطر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۲۷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[رایانه]</w:t>
      </w:r>
    </w:p>
    <w:p>
      <w:pPr>
        <w:pStyle w:val="BookText"/>
      </w:pPr>
      <w:r>
        <w:rPr>
          <w:rFonts w:ascii="IRNazanin" w:hAnsi="IRNazanin" w:eastAsia="IRNazanin" w:cs="IRNazanin"/>
          <w:lang w:bidi="fa-IR"/>
          <w:color w:val="111111"/>
          <w:sz w:val="28"/>
          <w:szCs w:val="28"/>
          <w:rtl/>
        </w:rPr>
        <w:t xml:space="preserve">۲۵. مشهد؛ رضوی؛ شماره نسخه: ۴۱۵۱</w:t>
      </w:r>
    </w:p>
    <w:p>
      <w:pPr>
        <w:pStyle w:val="BookText"/>
      </w:pPr>
      <w:r>
        <w:rPr>
          <w:rFonts w:ascii="IRNazanin" w:hAnsi="IRNazanin" w:eastAsia="IRNazanin" w:cs="IRNazanin"/>
          <w:lang w:bidi="fa-IR"/>
          <w:color w:val="111111"/>
          <w:sz w:val="28"/>
          <w:szCs w:val="28"/>
          <w:rtl/>
        </w:rPr>
        <w:t xml:space="preserve">آغاز: ذكر مجملی از وقایع پادشاهی داراب؛ انجام: و چون حسن دلبران (ناقص)</w:t>
      </w:r>
    </w:p>
    <w:p>
      <w:pPr>
        <w:pStyle w:val="BookText"/>
      </w:pPr>
      <w:r>
        <w:rPr>
          <w:rFonts w:ascii="IRNazanin" w:hAnsi="IRNazanin" w:eastAsia="IRNazanin" w:cs="IRNazanin"/>
          <w:lang w:bidi="fa-IR"/>
          <w:color w:val="111111"/>
          <w:sz w:val="28"/>
          <w:szCs w:val="28"/>
          <w:rtl/>
        </w:rPr>
        <w:t xml:space="preserve">خط: نستعلیق شکسته، بی کا، بی تا، کاغذ: شکری، جلد: پارچه ای، ۱۵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[رایانه]</w:t>
      </w:r>
    </w:p>
    <w:p>
      <w:pPr>
        <w:pStyle w:val="Heading3"/>
      </w:pPr>
      <w:bookmarkStart w:id="1949" w:name="_Toc1209"/>
      <w:r>
        <w:t>• تاریخ آدورسوس پاگنوس / تاریخ عربی</w:t>
      </w:r>
      <w:bookmarkEnd w:id="1949"/>
    </w:p>
    <w:p>
      <w:pPr>
        <w:pStyle w:val="BookText"/>
      </w:pPr>
      <w:r>
        <w:rPr>
          <w:rFonts w:ascii="Times New Roman" w:hAnsi="Times New Roman" w:eastAsia="Times New Roman" w:cs="Times New Roman"/>
          <w:lang w:val="en-US" w:bidi="en-US"/>
          <w:color w:val="111111"/>
          <w:sz w:val="28"/>
          <w:szCs w:val="28"/>
          <w:rtl/>
        </w:rPr>
        <w:t xml:space="preserve">tārīx-e ādaversūs pāgnūs</w:t>
      </w:r>
    </w:p>
    <w:p>
      <w:pPr>
        <w:pStyle w:val="BookText"/>
      </w:pPr>
      <w:r>
        <w:rPr>
          <w:rFonts w:ascii="IRNazanin" w:hAnsi="IRNazanin" w:eastAsia="IRNazanin" w:cs="IRNazanin"/>
          <w:lang w:bidi="fa-IR"/>
          <w:color w:val="111111"/>
          <w:sz w:val="28"/>
          <w:szCs w:val="28"/>
          <w:rtl/>
        </w:rPr>
        <w:t xml:space="preserve">آدورسوس پاگنوس (</w:t>
      </w:r>
      <w:r>
        <w:rPr>
          <w:rFonts w:ascii="Times New Roman" w:hAnsi="Times New Roman" w:eastAsia="Times New Roman" w:cs="Times New Roman"/>
          <w:lang w:val="en-US" w:bidi="en-US"/>
          <w:color w:val="111111"/>
          <w:sz w:val="28"/>
          <w:szCs w:val="28"/>
          <w:rtl/>
        </w:rPr>
        <w:t xml:space="preserve">Adaversus Pagnus) </w:t>
      </w:r>
      <w:r>
        <w:rPr>
          <w:rFonts w:ascii="IRNazanin" w:hAnsi="IRNazanin" w:eastAsia="IRNazanin" w:cs="IRNazanin"/>
          <w:lang w:bidi="fa-IR"/>
          <w:color w:val="111111"/>
          <w:sz w:val="28"/>
          <w:szCs w:val="28"/>
          <w:rtl/>
        </w:rPr>
        <w:t xml:space="preserve">از پاولوس اوروسیوس یا هر وشيوش (</w:t>
      </w:r>
      <w:r>
        <w:rPr>
          <w:rFonts w:ascii="Times New Roman" w:hAnsi="Times New Roman" w:eastAsia="Times New Roman" w:cs="Times New Roman"/>
          <w:lang w:val="en-US" w:bidi="en-US"/>
          <w:color w:val="111111"/>
          <w:sz w:val="28"/>
          <w:szCs w:val="28"/>
          <w:rtl/>
        </w:rPr>
        <w:t xml:space="preserve">Paulus Orosius) </w:t>
      </w:r>
      <w:r>
        <w:rPr>
          <w:rFonts w:ascii="IRNazanin" w:hAnsi="IRNazanin" w:eastAsia="IRNazanin" w:cs="IRNazanin"/>
          <w:lang w:bidi="fa-IR"/>
          <w:color w:val="111111"/>
          <w:sz w:val="28"/>
          <w:szCs w:val="28"/>
          <w:rtl/>
        </w:rPr>
        <w:t xml:space="preserve">مورخ اسپانیایی زنده در قرن ۴ و ۵ میلادی ترجمه از لاتین به عربی (دیباچه طبقات الأطباء و الحكماء ابن جلجل ص کط).</w:t>
      </w:r>
    </w:p>
    <w:p>
      <w:pPr>
        <w:pStyle w:val="BookText"/>
      </w:pPr>
      <w:r>
        <w:rPr>
          <w:rFonts w:ascii="IRNazanin" w:hAnsi="IRNazanin" w:eastAsia="IRNazanin" w:cs="IRNazanin"/>
          <w:lang w:bidi="fa-IR"/>
          <w:color w:val="111111"/>
          <w:sz w:val="28"/>
          <w:szCs w:val="28"/>
          <w:rtl/>
        </w:rPr>
        <w:t xml:space="preserve">تهران؛ دانشگاه؛ شماره نسخه: ۱۳۷۱ -ف</w:t>
      </w:r>
    </w:p>
    <w:p>
      <w:pPr>
        <w:pStyle w:val="BookText"/>
      </w:pPr>
      <w:r>
        <w:rPr>
          <w:rFonts w:ascii="IRNazanin" w:hAnsi="IRNazanin" w:eastAsia="IRNazanin" w:cs="IRNazanin"/>
          <w:lang w:bidi="fa-IR"/>
          <w:color w:val="111111"/>
          <w:sz w:val="28"/>
          <w:szCs w:val="28"/>
          <w:rtl/>
        </w:rPr>
        <w:t xml:space="preserve">نسخه اصل: دانشگاه کلمبیا در نیویورک ش 712</w:t>
      </w:r>
      <w:r>
        <w:rPr>
          <w:rFonts w:ascii="Times New Roman" w:hAnsi="Times New Roman" w:eastAsia="Times New Roman" w:cs="Times New Roman"/>
          <w:lang w:val="en-US" w:bidi="en-US"/>
          <w:color w:val="111111"/>
          <w:sz w:val="28"/>
          <w:szCs w:val="28"/>
          <w:rtl/>
        </w:rPr>
        <w:t xml:space="preserve">H1898 X893</w:t>
      </w:r>
      <w:r>
        <w:rPr>
          <w:rFonts w:ascii="IRNazanin" w:hAnsi="IRNazanin" w:eastAsia="IRNazanin" w:cs="IRNazanin"/>
          <w:lang w:bidi="fa-IR"/>
          <w:color w:val="111111"/>
          <w:sz w:val="28"/>
          <w:szCs w:val="28"/>
          <w:rtl/>
        </w:rPr>
        <w:t xml:space="preserve">؛ خط: نسخ، بی کا، بی تا؛ افتادگی: آغاز و انجام؛ ۲۵۹ گ، ۲۶ سطر [فیلمها ف: ۱-۲۹۲]</w:t>
      </w:r>
    </w:p>
    <w:p>
      <w:pPr>
        <w:pStyle w:val="Heading3"/>
      </w:pPr>
      <w:bookmarkStart w:id="1950" w:name="_Toc1210"/>
      <w:r>
        <w:t>• تاریخ آستانه عراق / جغرافيا / فارسی</w:t>
      </w:r>
      <w:bookmarkEnd w:id="1950"/>
    </w:p>
    <w:p>
      <w:pPr>
        <w:pStyle w:val="BookText"/>
      </w:pPr>
      <w:r>
        <w:rPr>
          <w:rFonts w:ascii="Times New Roman" w:hAnsi="Times New Roman" w:eastAsia="Times New Roman" w:cs="Times New Roman"/>
          <w:lang w:val="en-US" w:bidi="en-US"/>
          <w:color w:val="111111"/>
          <w:sz w:val="28"/>
          <w:szCs w:val="28"/>
          <w:rtl/>
        </w:rPr>
        <w:t xml:space="preserve">tārīx-e āstāne-ye ‘arāq</w:t>
      </w:r>
    </w:p>
    <w:p>
      <w:pPr>
        <w:pStyle w:val="BookText"/>
      </w:pPr>
      <w:r>
        <w:rPr>
          <w:rFonts w:ascii="IRNazanin" w:hAnsi="IRNazanin" w:eastAsia="IRNazanin" w:cs="IRNazanin"/>
          <w:lang w:bidi="fa-IR"/>
          <w:color w:val="111111"/>
          <w:sz w:val="28"/>
          <w:szCs w:val="28"/>
          <w:rtl/>
        </w:rPr>
        <w:t xml:space="preserve">اعتماد السلطنه، محمد حسن بن علی، ۱۲۵۹-۱۳۱۳ قمری</w:t>
      </w:r>
    </w:p>
    <w:p>
      <w:pPr>
        <w:pStyle w:val="BookText"/>
      </w:pPr>
      <w:r>
        <w:rPr>
          <w:rFonts w:ascii="Times New Roman" w:hAnsi="Times New Roman" w:eastAsia="Times New Roman" w:cs="Times New Roman"/>
          <w:lang w:val="en-US" w:bidi="en-US"/>
          <w:color w:val="111111"/>
          <w:sz w:val="28"/>
          <w:szCs w:val="28"/>
          <w:rtl/>
        </w:rPr>
        <w:t xml:space="preserve">‘alī ebn-e eʻtemād-os-saltane, mohammad hasan (1843-1896)</w:t>
      </w:r>
    </w:p>
    <w:p>
      <w:pPr>
        <w:pStyle w:val="BookText"/>
      </w:pPr>
      <w:r>
        <w:rPr>
          <w:rFonts w:ascii="IRNazanin" w:hAnsi="IRNazanin" w:eastAsia="IRNazanin" w:cs="IRNazanin"/>
          <w:lang w:bidi="fa-IR"/>
          <w:color w:val="111111"/>
          <w:sz w:val="28"/>
          <w:szCs w:val="28"/>
          <w:rtl/>
        </w:rPr>
        <w:t xml:space="preserve">اهداء به: ناصر الدین شاه قاجار</w:t>
      </w:r>
    </w:p>
    <w:p>
      <w:pPr>
        <w:pStyle w:val="BookText"/>
      </w:pPr>
      <w:r>
        <w:rPr>
          <w:rFonts w:ascii="Amiri" w:hAnsi="Amiri" w:eastAsia="Amiri" w:cs="Amiri"/>
          <w:lang w:bidi="ar-SA"/>
          <w:color w:val="111111"/>
          <w:sz w:val="28"/>
          <w:szCs w:val="28"/>
          <w:rtl/>
        </w:rPr>
        <w:t xml:space="preserve">تاريخ تأليف: ۱۳۰۵ ق.</w:t>
      </w:r>
    </w:p>
    <w:p>
      <w:pPr>
        <w:pStyle w:val="BookText"/>
      </w:pPr>
      <w:r>
        <w:rPr>
          <w:rFonts w:ascii="IRNazanin" w:hAnsi="IRNazanin" w:eastAsia="IRNazanin" w:cs="IRNazanin"/>
          <w:lang w:bidi="fa-IR"/>
          <w:color w:val="111111"/>
          <w:sz w:val="28"/>
          <w:szCs w:val="28"/>
          <w:rtl/>
        </w:rPr>
        <w:t xml:space="preserve">رساله ای مفصل در جغرافیای آستانه (= فعلا از دهستان های اراک است) و تاریخ آن بحث می شود و نیز از اقوال دیگران درباره این دهکده شرح مجملی می آید. ظاهرا نگارنده آن محمد حسن خان اعتماد السلطنه رئیس دارالترجمه ناصری است که به امر ناصرالدین شاه دست به تحریر آن زده است.</w:t>
      </w:r>
    </w:p>
    <w:p>
      <w:pPr>
        <w:pStyle w:val="BookText"/>
      </w:pPr>
      <w:r>
        <w:rPr>
          <w:rFonts w:ascii="IRNazanin" w:hAnsi="IRNazanin" w:eastAsia="IRNazanin" w:cs="IRNazanin"/>
          <w:lang w:bidi="fa-IR"/>
          <w:color w:val="111111"/>
          <w:sz w:val="28"/>
          <w:szCs w:val="28"/>
          <w:rtl/>
        </w:rPr>
        <w:t xml:space="preserve">تهران؛ ملی؛ شماره نسخه:۲۷۹</w:t>
      </w:r>
    </w:p>
    <w:p>
      <w:pPr>
        <w:pStyle w:val="BookText"/>
      </w:pPr>
      <w:r>
        <w:rPr>
          <w:rFonts w:ascii="IRNazanin" w:hAnsi="IRNazanin" w:eastAsia="IRNazanin" w:cs="IRNazanin"/>
          <w:lang w:bidi="fa-IR"/>
          <w:color w:val="111111"/>
          <w:sz w:val="28"/>
          <w:szCs w:val="28"/>
          <w:rtl/>
        </w:rPr>
        <w:t xml:space="preserve">آغاز: بسمه تبارک و تعالی. چون امر جهانمطاع همایون اعلیحضرت قویشوکت شاهنشاه صاحبقران روحنا و روح العالمين فداه شرف صدور یافت؛ انجام: این آب تا ده پانزده روز بهمین شدت جریان داشته بعد کم کم رو بانتقاص می گذارد و بیک سنگ و نیم سنگ میرسد</w:t>
      </w:r>
    </w:p>
    <w:p>
      <w:pPr>
        <w:pStyle w:val="BookText"/>
      </w:pPr>
      <w:r>
        <w:rPr>
          <w:rFonts w:ascii="IRNazanin" w:hAnsi="IRNazanin" w:eastAsia="IRNazanin" w:cs="IRNazanin"/>
          <w:lang w:bidi="fa-IR"/>
          <w:color w:val="111111"/>
          <w:sz w:val="28"/>
          <w:szCs w:val="28"/>
          <w:rtl/>
        </w:rPr>
        <w:t xml:space="preserve">خط: نستعلیق، بی کا، تا: رجب ۱۳۰۵ق، جا: تهران؛ آخر نسخه: «خانه زاد بی مقدار محمد حسن مترجم رجب ۱۳۰۵ق»؛ با سرلوح مذهب، مجدول؛ کاغذ: فلفل نمکی، جلد: کاغذی قرمز مذهب، ۱۲گ، ۱۰ سطر (۱۱/۵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۱۶/۵ )، اندازه: ۲۶/۵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۱-۲۷۲]</w:t>
      </w:r>
    </w:p>
    <w:p>
      <w:pPr>
        <w:pStyle w:val="Heading3"/>
      </w:pPr>
      <w:bookmarkStart w:id="1951" w:name="_Toc1211"/>
      <w:r>
        <w:t>•تاریخ آسیای وسطی (ترجمه) / تاریخ جهان / فارسی</w:t>
      </w:r>
      <w:bookmarkEnd w:id="1951"/>
    </w:p>
    <w:p>
      <w:pPr>
        <w:pStyle w:val="BookText"/>
      </w:pPr>
      <w:r>
        <w:rPr>
          <w:rFonts w:ascii="Times New Roman" w:hAnsi="Times New Roman" w:eastAsia="Times New Roman" w:cs="Times New Roman"/>
          <w:lang w:val="en-US" w:bidi="en-US"/>
          <w:color w:val="111111"/>
          <w:sz w:val="28"/>
          <w:szCs w:val="28"/>
          <w:rtl/>
        </w:rPr>
        <w:t xml:space="preserve">tārīx-e āsīyā-ye vostā (t.)</w:t>
      </w:r>
    </w:p>
    <w:p>
      <w:pPr>
        <w:pStyle w:val="BookText"/>
      </w:pPr>
      <w:r>
        <w:rPr>
          <w:rFonts w:ascii="IRNazanin" w:hAnsi="IRNazanin" w:eastAsia="IRNazanin" w:cs="IRNazanin"/>
          <w:lang w:bidi="fa-IR"/>
          <w:color w:val="111111"/>
          <w:sz w:val="28"/>
          <w:szCs w:val="28"/>
          <w:rtl/>
        </w:rPr>
        <w:t xml:space="preserve">؟ آشتیانی، محمد حسن بن یوسف، ق ۱۴ قمری و سرتیپ میرزا احمد خان ق ۱۴ قمری</w:t>
      </w:r>
    </w:p>
    <w:p>
      <w:pPr>
        <w:pStyle w:val="BookText"/>
      </w:pPr>
      <w:r>
        <w:rPr>
          <w:rFonts w:ascii="Times New Roman" w:hAnsi="Times New Roman" w:eastAsia="Times New Roman" w:cs="Times New Roman"/>
          <w:lang w:val="en-US" w:bidi="en-US"/>
          <w:color w:val="111111"/>
          <w:sz w:val="28"/>
          <w:szCs w:val="28"/>
          <w:rtl/>
        </w:rPr>
        <w:t xml:space="preserve">āštīyānī, mohammad hasan ebn-e yūsof (-20c)</w:t>
      </w:r>
    </w:p>
    <w:p>
      <w:pPr>
        <w:pStyle w:val="BookText"/>
      </w:pPr>
      <w:r>
        <w:rPr>
          <w:rFonts w:ascii="IRNazanin" w:hAnsi="IRNazanin" w:eastAsia="IRNazanin" w:cs="IRNazanin"/>
          <w:lang w:bidi="fa-IR"/>
          <w:color w:val="111111"/>
          <w:sz w:val="28"/>
          <w:szCs w:val="28"/>
          <w:rtl/>
        </w:rPr>
        <w:t xml:space="preserve">تاريخ تأليف: ۱۳۲۱ق کتاب تأليف فرنسیس هنری اسکرین و ادوارد دنیس راس معلمین زبان فارسی درالعلوم لندن (اصل کتاب به زبان انگلیسی در سال ۱۸۹۹م مطابق با ۱۳۱۷ قمری طبع شده)، مشتمل بر جلد اول و دوم. ترجمه جلد اول این کتاب توسط محمد حسن بن یوسف آشتیانی (پیشخدمت سرکاری و یاور توپخانه) به امر ظل السلطان در ربیع الثانی ۱۳۲۱ انجام شده (صفحه ۱۴۳ کتاب) و جلد دوم آن نیز به امر ظل السلطان به وسیله میرزا احمد خان سرتیپ متر جم مخصوص وی در ذیحجه ۱۳۲۰ ترجمه گشته است (صفحه ۲۳۹ کتاب). در جلد اول از تاریخ ترکستان روسیه و سلسله خان های آسیای وسطی از زمان باستان بحث می شود و در بیست و نه «فصل» خاتمه می یابد و در جلد دوم از تاریخ و شرح احوال بلاد و ممالک آسیای مرکزی در ضمن یازده « فصل» و دو «لاحقه» گفتگو می شود.</w:t>
      </w:r>
    </w:p>
    <w:p>
      <w:pPr>
        <w:pStyle w:val="BookText"/>
      </w:pPr>
      <w:r>
        <w:rPr>
          <w:rFonts w:ascii="IRNazanin" w:hAnsi="IRNazanin" w:eastAsia="IRNazanin" w:cs="IRNazanin"/>
          <w:lang w:bidi="fa-IR"/>
          <w:color w:val="111111"/>
          <w:sz w:val="28"/>
          <w:szCs w:val="28"/>
          <w:rtl/>
        </w:rPr>
        <w:t xml:space="preserve">آغاز: جلد اول: فصل اول زمانهای سلف تاموت اسکندر تاریخ آسیای وسطی تاریخ اصل آدمیان است</w:t>
      </w:r>
    </w:p>
    <w:p>
      <w:pPr>
        <w:pStyle w:val="BookText"/>
      </w:pPr>
      <w:r>
        <w:rPr>
          <w:rFonts w:ascii="IRNazanin" w:hAnsi="IRNazanin" w:eastAsia="IRNazanin" w:cs="IRNazanin"/>
          <w:lang w:bidi="fa-IR"/>
          <w:color w:val="111111"/>
          <w:sz w:val="28"/>
          <w:szCs w:val="28"/>
          <w:rtl/>
        </w:rPr>
        <w:t xml:space="preserve">جلد دوم: فصل اول ایجاد روسیه در از منه سالفه و در تمادی قرون و سنواتی که احوال و وقایع آن در صفحات تاریخ عالم پوشیده و نامرئی است</w:t>
      </w:r>
    </w:p>
    <w:p>
      <w:pPr>
        <w:pStyle w:val="BookText"/>
      </w:pPr>
      <w:r>
        <w:rPr>
          <w:rFonts w:ascii="IRNazanin" w:hAnsi="IRNazanin" w:eastAsia="IRNazanin" w:cs="IRNazanin"/>
          <w:lang w:bidi="fa-IR"/>
          <w:color w:val="111111"/>
          <w:sz w:val="28"/>
          <w:szCs w:val="28"/>
          <w:rtl/>
        </w:rPr>
        <w:t xml:space="preserve">انجام: جلد دوم: هنگام فتح فرعانه ریاست قراولان پیش رو با من بود و در هشتاد و یک به ریاست دسته قشون از ترکستان به معاونت جنرال اسکوبلف رفته</w:t>
      </w:r>
    </w:p>
    <w:p>
      <w:pPr>
        <w:pStyle w:val="BookText"/>
      </w:pPr>
      <w:r>
        <w:rPr>
          <w:rFonts w:ascii="IRNazanin" w:hAnsi="IRNazanin" w:eastAsia="IRNazanin" w:cs="IRNazanin"/>
          <w:lang w:bidi="fa-IR"/>
          <w:color w:val="111111"/>
          <w:sz w:val="28"/>
          <w:szCs w:val="28"/>
          <w:rtl/>
        </w:rPr>
        <w:t xml:space="preserve">[دنا ۶۶۵/۲ ؛ فهرستواره منزوی ۸۳۵/۲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اصفهان؛ صارم الدوله (كتابخانه فرهنگ اصفهان)؛ شماره نسخه: ۹۱۹</w:t>
      </w:r>
    </w:p>
    <w:p>
      <w:pPr>
        <w:pStyle w:val="BookText"/>
      </w:pPr>
      <w:r>
        <w:rPr>
          <w:rFonts w:ascii="IRNazanin" w:hAnsi="IRNazanin" w:eastAsia="IRNazanin" w:cs="IRNazanin"/>
          <w:lang w:bidi="fa-IR"/>
          <w:color w:val="111111"/>
          <w:sz w:val="28"/>
          <w:szCs w:val="28"/>
          <w:rtl/>
        </w:rPr>
        <w:t xml:space="preserve">آغاز: برابر جلد دوم؛ انجام: برابر جلد دوم</w:t>
      </w:r>
    </w:p>
    <w:p>
      <w:pPr>
        <w:pStyle w:val="BookText"/>
      </w:pPr>
      <w:r>
        <w:rPr>
          <w:rFonts w:ascii="IRNazanin" w:hAnsi="IRNazanin" w:eastAsia="IRNazanin" w:cs="IRNazanin"/>
          <w:lang w:bidi="fa-IR"/>
          <w:color w:val="111111"/>
          <w:sz w:val="28"/>
          <w:szCs w:val="28"/>
          <w:rtl/>
        </w:rPr>
        <w:t xml:space="preserve">جلد دوم و سه فصل از جلد اول. مترجم علاوه بر ترجمه جلد دوم سه فصل از جلد اول را (۲۶-۲۹) نیز ترجمه کرده و بدین لحاظ عبارات فصول سه گانه این شماره با جملات جلد اول مذکور مختصر اختلافی دارد؛ خط: شکسته نستعلیق، كا: میرزا احمد خان سرتیپ (محتملا مترجم)، تا: ذیحجه ۱۳۲۰ق؛ کاغذ: فرنگی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361" w:name="pg20363_209643"/>
    <w:bookmarkEnd w:id="361"/>
    <w:p>
      <w:pPr>
        <w:pStyle w:val="BookText"/>
      </w:pPr>
      <w:r>
        <w:rPr>
          <w:rFonts w:ascii="IRNazanin" w:hAnsi="IRNazanin" w:eastAsia="IRNazanin" w:cs="IRNazanin"/>
          <w:lang w:bidi="fa-IR"/>
          <w:color w:val="111111"/>
          <w:sz w:val="28"/>
          <w:szCs w:val="28"/>
          <w:rtl/>
        </w:rPr>
        <w:t xml:space="preserve">نازک، جلد: مقوائی با روکش کاغذ الوان، عطف تیماج قرمز، ۲۴۲ص، ۱۵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۵۴]</w:t>
      </w:r>
    </w:p>
    <w:p>
      <w:pPr>
        <w:pStyle w:val="BookText"/>
      </w:pPr>
      <w:r>
        <w:rPr>
          <w:rFonts w:ascii="IRNazanin" w:hAnsi="IRNazanin" w:eastAsia="IRNazanin" w:cs="IRNazanin"/>
          <w:lang w:bidi="fa-IR"/>
          <w:color w:val="111111"/>
          <w:sz w:val="28"/>
          <w:szCs w:val="28"/>
          <w:rtl/>
        </w:rPr>
        <w:t xml:space="preserve">٢. اصفهان؛ صارم الدوله (کتابخانه فرهنگ اصفهان)؛ شماره نسخه:۹۱۸</w:t>
      </w:r>
    </w:p>
    <w:p>
      <w:pPr>
        <w:pStyle w:val="BookText"/>
      </w:pPr>
      <w:r>
        <w:rPr>
          <w:rFonts w:ascii="IRNazanin" w:hAnsi="IRNazanin" w:eastAsia="IRNazanin" w:cs="IRNazanin"/>
          <w:lang w:bidi="fa-IR"/>
          <w:color w:val="111111"/>
          <w:sz w:val="28"/>
          <w:szCs w:val="28"/>
          <w:rtl/>
        </w:rPr>
        <w:t xml:space="preserve">آغاز: برابر جلد اول؛ انجام: دیگر چیزی که داریم این است به منشأ سلطنتی که مقدر شد باول درجه اشتهار در تاریخ آسیای وسطی گوید بزند</w:t>
      </w:r>
    </w:p>
    <w:p>
      <w:pPr>
        <w:pStyle w:val="BookText"/>
      </w:pPr>
      <w:r>
        <w:rPr>
          <w:rFonts w:ascii="IRNazanin" w:hAnsi="IRNazanin" w:eastAsia="IRNazanin" w:cs="IRNazanin"/>
          <w:lang w:bidi="fa-IR"/>
          <w:color w:val="111111"/>
          <w:sz w:val="28"/>
          <w:szCs w:val="28"/>
          <w:rtl/>
        </w:rPr>
        <w:t xml:space="preserve">جلد اول؛ خط: شکسته نستعلیق، كا: آشتیانی، محمد حسن بن يوسف (مترجم)، تا: ربيع الثانی ۱۳۲۱ق، کاغذ: فرنگی، جلد: مقوایی با روکش کاغذ الوان، ۱۵۸ص، ۱۲ سطر، اندازه:</w:t>
      </w:r>
    </w:p>
    <w:p>
      <w:pPr>
        <w:pStyle w:val="BookText"/>
      </w:pPr>
      <w:r>
        <w:rPr>
          <w:rFonts w:ascii="IRNazanin" w:hAnsi="IRNazanin" w:eastAsia="IRNazanin" w:cs="IRNazanin"/>
          <w:lang w:bidi="fa-IR"/>
          <w:color w:val="111111"/>
          <w:sz w:val="28"/>
          <w:szCs w:val="28"/>
          <w:rtl/>
        </w:rPr>
        <w:t xml:space="preserve">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۵۳]</w:t>
      </w:r>
    </w:p>
    <w:p>
      <w:pPr>
        <w:pStyle w:val="BookText"/>
      </w:pPr>
      <w:r>
        <w:rPr>
          <w:rFonts w:ascii="IRNazanin" w:hAnsi="IRNazanin" w:eastAsia="IRNazanin" w:cs="IRNazanin"/>
          <w:lang w:bidi="fa-IR"/>
          <w:color w:val="111111"/>
          <w:sz w:val="28"/>
          <w:szCs w:val="28"/>
          <w:rtl/>
        </w:rPr>
        <w:t xml:space="preserve">٣. اصفهان؛ صارم الدوله (كتابخانه فرهنگ اصفهان، شماره نسخه:۹۱۷</w:t>
      </w:r>
    </w:p>
    <w:p>
      <w:pPr>
        <w:pStyle w:val="BookText"/>
      </w:pPr>
      <w:r>
        <w:rPr>
          <w:rFonts w:ascii="IRNazanin" w:hAnsi="IRNazanin" w:eastAsia="IRNazanin" w:cs="IRNazanin"/>
          <w:lang w:bidi="fa-IR"/>
          <w:color w:val="111111"/>
          <w:sz w:val="28"/>
          <w:szCs w:val="28"/>
          <w:rtl/>
        </w:rPr>
        <w:t xml:space="preserve">آغاز: برابر جلد اول؛ انجام: برابر جلد دوم</w:t>
      </w:r>
    </w:p>
    <w:p>
      <w:pPr>
        <w:pStyle w:val="BookText"/>
      </w:pPr>
      <w:r>
        <w:rPr>
          <w:rFonts w:ascii="IRNazanin" w:hAnsi="IRNazanin" w:eastAsia="IRNazanin" w:cs="IRNazanin"/>
          <w:lang w:bidi="fa-IR"/>
          <w:color w:val="111111"/>
          <w:sz w:val="28"/>
          <w:szCs w:val="28"/>
          <w:rtl/>
        </w:rPr>
        <w:t xml:space="preserve">خط: نستعلیق، کا: عبدالجواد حسینی، تا: ۱۳۲۱ق (جلد اول) و محرم ۱۳۲۳ (جلد دوم)؛ دارای سرلوح مذهب بسیار عالی؛ کاغذ: فرنگی شمعی نخودی، جلد: مقوایی با روکش تیماج قرمز با ترنج و سر ترنج، ۳۳۹ص، ۱۷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اف: ۵۲]</w:t>
      </w:r>
    </w:p>
    <w:p>
      <w:pPr>
        <w:pStyle w:val="Heading3"/>
      </w:pPr>
      <w:bookmarkStart w:id="1952" w:name="_Toc1212"/>
      <w:r>
        <w:t>• تاریخ آل برامکه / تاریخ / فارسی</w:t>
      </w:r>
      <w:bookmarkEnd w:id="1952"/>
    </w:p>
    <w:p>
      <w:pPr>
        <w:pStyle w:val="BookText"/>
      </w:pPr>
      <w:r>
        <w:rPr>
          <w:rFonts w:ascii="Times New Roman" w:hAnsi="Times New Roman" w:eastAsia="Times New Roman" w:cs="Times New Roman"/>
          <w:lang w:val="en-US" w:bidi="en-US"/>
          <w:color w:val="111111"/>
          <w:sz w:val="28"/>
          <w:szCs w:val="28"/>
          <w:rtl/>
        </w:rPr>
        <w:t xml:space="preserve">tārīx-e āl-e barāmakeh</w:t>
      </w:r>
    </w:p>
    <w:p>
      <w:pPr>
        <w:pStyle w:val="BookText"/>
      </w:pPr>
      <w:r>
        <w:rPr>
          <w:rFonts w:ascii="IRNazanin" w:hAnsi="IRNazanin" w:eastAsia="IRNazanin" w:cs="IRNazanin"/>
          <w:lang w:bidi="fa-IR"/>
          <w:color w:val="111111"/>
          <w:sz w:val="28"/>
          <w:szCs w:val="28"/>
          <w:rtl/>
        </w:rPr>
        <w:t xml:space="preserve">نام چهار سلسله پادشاهی که او مدعی است از تبار برامکه اند چنین است: طبقه ۱. تا قباد برمک، ایشان چهار نفرند؛ طبقه ۲. اخشیدیه، در تاریخ جهان نما دولت اخشیدی را به معنی ملک الملوک مرقوم کرده اند. ایشان هشت نفر پشت بر پشت به سلطنت مصر و شام و کردستانات یزدان پرستان را داشتند. یکصد و پنجاه سال حکمران بوده به آل ایوب دیالمه معاصر بوده اند. بعد باز به شام و درزی را نصرت داشته تا در سال پانصد و شانزده برقرار بوده اند. بعد از آن به دیار بکر آمدند به قلعه پرودین ادر سکنا کرده اند. سلاطین پرویان مشهور است تا به ارض آذربایجان حکمرانی کرده اند؛ طبقه ۳. پرویان می باشد که نژاد جعفر شمس الملک ابن ملک عیسی پدر او ملقب به ابابکر کرد که سلطان صلاح الدين باشد. ایشان را شمسکانلو اردشیر گویند. سیزده نفر می باشند. مدت ملک ایشان دویست و چهارده سال بود در کردستانات و آذربا جان و دیار بکر و بعضی از ارمن حکمران بوده اند. به جهت مأمن قلعه دنبال بوده و به قلعه پرو سکنا داشتند و ایل اکراد دنبلی منسوب به ایشان است؛ طبقه ۴. از برمکیان دولت اخشید مشهور شمسگاه نلو و پرویان دنبلیان امیرانلو که از ملک امیر احمد ملقب به عزالدين این طرف امرای اکراد دنبلی مشهور شدند به جهت فخریت و زیادتی قبایل ... این طبقه امرای دنبلیان دوازده نفر پشت بر پشت به جای پدران خود ... در تمامی کردستانات و آذربایجان و بعضی از ارمن منصب سرداری و سپهداری و بیگلربیگی گری و والی گری داشته اند. مدت ملک ایشان سیصد و پنجاه و دو سال تمام بود. آخرین امیری که از و یاد شده امیر حسین خان است که هفتاد هزار تومان خرج عمارت عسکریین نمود و پس از ۱۴ سال حکمرانی در سن ۳۵ سالگی در ۱۲۱۱ ق وفات یافت.</w:t>
      </w:r>
    </w:p>
    <w:p>
      <w:pPr>
        <w:pStyle w:val="BookText"/>
      </w:pPr>
      <w:r>
        <w:rPr>
          <w:rFonts w:ascii="IRNazanin" w:hAnsi="IRNazanin" w:eastAsia="IRNazanin" w:cs="IRNazanin"/>
          <w:lang w:bidi="fa-IR"/>
          <w:color w:val="111111"/>
          <w:sz w:val="28"/>
          <w:szCs w:val="28"/>
          <w:rtl/>
        </w:rPr>
        <w:t xml:space="preserve">تهران، دانشگاه؛ شماره نسخه: ۱۰۹۵۶/۴</w:t>
      </w:r>
    </w:p>
    <w:p>
      <w:pPr>
        <w:pStyle w:val="BookText"/>
      </w:pPr>
      <w:r>
        <w:rPr>
          <w:rFonts w:ascii="IRNazanin" w:hAnsi="IRNazanin" w:eastAsia="IRNazanin" w:cs="IRNazanin"/>
          <w:lang w:bidi="fa-IR"/>
          <w:color w:val="111111"/>
          <w:sz w:val="28"/>
          <w:szCs w:val="28"/>
          <w:rtl/>
        </w:rPr>
        <w:t xml:space="preserve">آغاز: خلاصه تاریخ پادشاهان عجم، در ذكر آل برامکه که بعد از دولت اسلام سلطنت کرده و وزارت و حکمرانی نموده از ابتدای خلیفه ثاني إلى تاريخ چنانچه گفته اند. این سلسله برامکه چهار طبقه می باشند چهل پشت در مدت هزار و دویست و دو عام؛ انجام: و بعد از آن امیر پسرش شریف بک همان تیولات را مالک شده. بعد آقا محمد پسر شریف بک، بعد جناب فتحعلی خان ملک الشعرا، حال سرکار محمود خان مالک می باشند. سلسله عظیمی شده اند و السلام</w:t>
      </w:r>
    </w:p>
    <w:p>
      <w:pPr>
        <w:pStyle w:val="BookText"/>
      </w:pPr>
      <w:r>
        <w:rPr>
          <w:rFonts w:ascii="IRNazanin" w:hAnsi="IRNazanin" w:eastAsia="IRNazanin" w:cs="IRNazanin"/>
          <w:lang w:bidi="fa-IR"/>
          <w:color w:val="111111"/>
          <w:sz w:val="28"/>
          <w:szCs w:val="28"/>
          <w:rtl/>
        </w:rPr>
        <w:t xml:space="preserve">خط: نسخ و نستعلیق، بی کا، تا: قرن ۱۳ و ۱۴؛ یک یا دو برگی از این رساله بين برگهای ۵۰ و ۵۱ افتاده است. برگ ۴۸ هم اضافی است و ارتباطی بدان ندارد؛ ۳۴گ (۱۸پ-۳۹</w:t>
      </w:r>
    </w:p>
    <w:p>
      <w:pPr>
        <w:pStyle w:val="BookText"/>
      </w:pPr>
      <w:r>
        <w:rPr>
          <w:rFonts w:ascii="IRNazanin" w:hAnsi="IRNazanin" w:eastAsia="IRNazanin" w:cs="IRNazanin"/>
          <w:lang w:bidi="fa-IR"/>
          <w:color w:val="111111"/>
          <w:sz w:val="28"/>
          <w:szCs w:val="28"/>
          <w:rtl/>
        </w:rPr>
        <w:t xml:space="preserve">و ۴۴ر -۵هر)،</w:t>
      </w:r>
    </w:p>
    <w:p>
      <w:pPr>
        <w:pStyle w:val="BookText"/>
      </w:pPr>
      <w:r>
        <w:rPr>
          <w:rFonts w:ascii="IRNazanin" w:hAnsi="IRNazanin" w:eastAsia="IRNazanin" w:cs="IRNazanin"/>
          <w:lang w:bidi="fa-IR"/>
          <w:color w:val="111111"/>
          <w:sz w:val="28"/>
          <w:szCs w:val="28"/>
          <w:rtl/>
        </w:rPr>
        <w:t xml:space="preserve">ابعاد متن: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سم [ف: ۲۰-۵۴۶]</w:t>
      </w:r>
    </w:p>
    <w:p>
      <w:pPr>
        <w:pStyle w:val="BookText"/>
      </w:pPr>
      <w:r>
        <w:rPr>
          <w:rFonts w:ascii="IRNazanin" w:hAnsi="IRNazanin" w:eastAsia="IRNazanin" w:cs="IRNazanin"/>
          <w:lang w:bidi="fa-IR"/>
          <w:color w:val="111111"/>
          <w:sz w:val="28"/>
          <w:szCs w:val="28"/>
          <w:rtl/>
        </w:rPr>
        <w:t xml:space="preserve">←تاریخ آل برمک ← اخبار برمکیان</w:t>
      </w:r>
    </w:p>
    <w:p>
      <w:pPr>
        <w:pStyle w:val="BookText"/>
      </w:pPr>
      <w:r>
        <w:rPr>
          <w:rFonts w:ascii="IRNazanin" w:hAnsi="IRNazanin" w:eastAsia="IRNazanin" w:cs="IRNazanin"/>
          <w:lang w:bidi="fa-IR"/>
          <w:color w:val="111111"/>
          <w:sz w:val="28"/>
          <w:szCs w:val="28"/>
          <w:rtl/>
        </w:rPr>
        <w:t xml:space="preserve">← تاریخ آل سبکتکین ← تاریخ بیهقی</w:t>
      </w:r>
    </w:p>
    <w:p>
      <w:pPr>
        <w:pStyle w:val="BookText"/>
      </w:pPr>
      <w:r>
        <w:rPr>
          <w:rFonts w:ascii="IRNazanin" w:hAnsi="IRNazanin" w:eastAsia="IRNazanin" w:cs="IRNazanin"/>
          <w:lang w:bidi="fa-IR"/>
          <w:color w:val="111111"/>
          <w:sz w:val="28"/>
          <w:szCs w:val="28"/>
          <w:rtl/>
        </w:rPr>
        <w:t xml:space="preserve">← تاریخ آل سلجوق ← العراضة في الحكاية السلجوقية</w:t>
      </w:r>
    </w:p>
    <w:p>
      <w:pPr>
        <w:pStyle w:val="Heading3"/>
      </w:pPr>
      <w:bookmarkStart w:id="1953" w:name="_Toc1213"/>
      <w:r>
        <w:t>• تاریخ آل سلجوق / تاریخ / ترکی</w:t>
      </w:r>
      <w:bookmarkEnd w:id="1953"/>
    </w:p>
    <w:p>
      <w:pPr>
        <w:pStyle w:val="BookText"/>
      </w:pPr>
      <w:r>
        <w:rPr>
          <w:rFonts w:ascii="Times New Roman" w:hAnsi="Times New Roman" w:eastAsia="Times New Roman" w:cs="Times New Roman"/>
          <w:lang w:val="en-US" w:bidi="en-US"/>
          <w:color w:val="111111"/>
          <w:sz w:val="28"/>
          <w:szCs w:val="28"/>
          <w:rtl/>
        </w:rPr>
        <w:t xml:space="preserve">tārīx-e āl-e saljūq</w:t>
      </w:r>
    </w:p>
    <w:p>
      <w:pPr>
        <w:pStyle w:val="BookText"/>
      </w:pPr>
      <w:r>
        <w:rPr>
          <w:rFonts w:ascii="IRNazanin" w:hAnsi="IRNazanin" w:eastAsia="IRNazanin" w:cs="IRNazanin"/>
          <w:lang w:bidi="fa-IR"/>
          <w:color w:val="111111"/>
          <w:sz w:val="28"/>
          <w:szCs w:val="28"/>
          <w:rtl/>
        </w:rPr>
        <w:t xml:space="preserve">یازیجی زاده، علی، ق۹ قمری</w:t>
      </w:r>
    </w:p>
    <w:p>
      <w:pPr>
        <w:pStyle w:val="BookText"/>
      </w:pPr>
      <w:r>
        <w:rPr>
          <w:rFonts w:ascii="Times New Roman" w:hAnsi="Times New Roman" w:eastAsia="Times New Roman" w:cs="Times New Roman"/>
          <w:lang w:val="en-US" w:bidi="en-US"/>
          <w:color w:val="111111"/>
          <w:sz w:val="28"/>
          <w:szCs w:val="28"/>
          <w:rtl/>
        </w:rPr>
        <w:t xml:space="preserve">yāzījī-zāde, ‘alī (-15c)</w:t>
      </w:r>
    </w:p>
    <w:p>
      <w:pPr>
        <w:pStyle w:val="BookText"/>
      </w:pPr>
      <w:r>
        <w:rPr>
          <w:rFonts w:ascii="IRNazanin" w:hAnsi="IRNazanin" w:eastAsia="IRNazanin" w:cs="IRNazanin"/>
          <w:lang w:bidi="fa-IR"/>
          <w:color w:val="111111"/>
          <w:sz w:val="28"/>
          <w:szCs w:val="28"/>
          <w:rtl/>
        </w:rPr>
        <w:t xml:space="preserve">تاریخ تأليف: ۸۲۷ ق در روزگار سلطان مراد (۸۳۴-۸۵۵) آن را «آغوزنامه» یا «مغول نامه» یا «سلجوق نامه» هم خوانده اند . [فهرست فلمینگ ۷۷/۱ ش ۱۰۱]</w:t>
      </w:r>
    </w:p>
    <w:p>
      <w:pPr>
        <w:pStyle w:val="BookText"/>
      </w:pPr>
      <w:r>
        <w:rPr>
          <w:rFonts w:ascii="IRNazanin" w:hAnsi="IRNazanin" w:eastAsia="IRNazanin" w:cs="IRNazanin"/>
          <w:lang w:bidi="fa-IR"/>
          <w:color w:val="111111"/>
          <w:sz w:val="28"/>
          <w:szCs w:val="28"/>
          <w:rtl/>
        </w:rPr>
        <w:t xml:space="preserve">۱. تهران، دانشگاه؛ شماره نسخه:۵۸۴۹ف</w:t>
      </w:r>
    </w:p>
    <w:p>
      <w:pPr>
        <w:pStyle w:val="BookText"/>
      </w:pPr>
      <w:r>
        <w:rPr>
          <w:rFonts w:ascii="IRNazanin" w:hAnsi="IRNazanin" w:eastAsia="IRNazanin" w:cs="IRNazanin"/>
          <w:lang w:bidi="fa-IR"/>
          <w:color w:val="111111"/>
          <w:sz w:val="28"/>
          <w:szCs w:val="28"/>
          <w:rtl/>
        </w:rPr>
        <w:t xml:space="preserve">نسخه اصل: روان کو شکوه ۱۳۹۰ (قرطای ۶۱۶)؛ بی کا، بی تا؛ مانند ف ۵۸۴۶. [فیلمها ف: ۳-۱۸۶]</w:t>
      </w:r>
    </w:p>
    <w:p>
      <w:pPr>
        <w:pStyle w:val="BookText"/>
      </w:pPr>
      <w:r>
        <w:rPr>
          <w:rFonts w:ascii="IRNazanin" w:hAnsi="IRNazanin" w:eastAsia="IRNazanin" w:cs="IRNazanin"/>
          <w:lang w:bidi="fa-IR"/>
          <w:color w:val="111111"/>
          <w:sz w:val="28"/>
          <w:szCs w:val="28"/>
          <w:rtl/>
        </w:rPr>
        <w:t xml:space="preserve">۲. تهران؛ مجلس؛ شماره نسخه:۵۸۴۶ نسخه اصل: روان کوشکو ۱۳۹۱ (قرطای ۶۱۵)؛ بی کا، بی تا [فیلمهای دانشگاه تهران-ف: ۳-۱۸۶]</w:t>
      </w:r>
    </w:p>
    <w:p>
      <w:pPr>
        <w:pStyle w:val="BookText"/>
      </w:pPr>
      <w:r>
        <w:rPr>
          <w:rFonts w:ascii="IRNazanin" w:hAnsi="IRNazanin" w:eastAsia="IRNazanin" w:cs="IRNazanin"/>
          <w:lang w:bidi="fa-IR"/>
          <w:color w:val="111111"/>
          <w:sz w:val="28"/>
          <w:szCs w:val="28"/>
          <w:rtl/>
        </w:rPr>
        <w:t xml:space="preserve">٣. تهران؛ دانشگاه؛ شماره نسخه: ۵۸۵۰ف</w:t>
      </w:r>
    </w:p>
    <w:p>
      <w:pPr>
        <w:pStyle w:val="BookText"/>
      </w:pPr>
      <w:r>
        <w:rPr>
          <w:rFonts w:ascii="IRNazanin" w:hAnsi="IRNazanin" w:eastAsia="IRNazanin" w:cs="IRNazanin"/>
          <w:lang w:bidi="fa-IR"/>
          <w:color w:val="111111"/>
          <w:sz w:val="28"/>
          <w:szCs w:val="28"/>
          <w:rtl/>
        </w:rPr>
        <w:t xml:space="preserve">نسخه اصل: توبینگن 1823 </w:t>
      </w:r>
      <w:r>
        <w:rPr>
          <w:rFonts w:ascii="Times New Roman" w:hAnsi="Times New Roman" w:eastAsia="Times New Roman" w:cs="Times New Roman"/>
          <w:lang w:val="en-US" w:bidi="en-US"/>
          <w:color w:val="111111"/>
          <w:sz w:val="28"/>
          <w:szCs w:val="28"/>
          <w:rtl/>
        </w:rPr>
        <w:t xml:space="preserve">Or Quart</w:t>
      </w:r>
      <w:r>
        <w:rPr>
          <w:rFonts w:ascii="IRNazanin" w:hAnsi="IRNazanin" w:eastAsia="IRNazanin" w:cs="IRNazanin"/>
          <w:lang w:bidi="fa-IR"/>
          <w:color w:val="111111"/>
          <w:sz w:val="28"/>
          <w:szCs w:val="28"/>
          <w:rtl/>
        </w:rPr>
        <w:t xml:space="preserve">؛ بی کا، بی تا، مانند ف ۵۸۴۹ [فیلمها ف: ۳-۱۸۷]</w:t>
      </w:r>
    </w:p>
    <w:p>
      <w:pPr>
        <w:pStyle w:val="Heading3"/>
      </w:pPr>
      <w:bookmarkStart w:id="1954" w:name="_Toc1214"/>
      <w:r>
        <w:t>• تاریخ آل سلجوق / تاریخ / فارسی</w:t>
      </w:r>
      <w:bookmarkEnd w:id="1954"/>
    </w:p>
    <w:p>
      <w:pPr>
        <w:pStyle w:val="BookText"/>
      </w:pPr>
      <w:r>
        <w:rPr>
          <w:rFonts w:ascii="Times New Roman" w:hAnsi="Times New Roman" w:eastAsia="Times New Roman" w:cs="Times New Roman"/>
          <w:lang w:val="en-US" w:bidi="en-US"/>
          <w:color w:val="111111"/>
          <w:sz w:val="28"/>
          <w:szCs w:val="28"/>
          <w:rtl/>
        </w:rPr>
        <w:t xml:space="preserve">tārīx-e āl-e saljūq</w:t>
      </w:r>
    </w:p>
    <w:p>
      <w:pPr>
        <w:pStyle w:val="BookText"/>
      </w:pPr>
      <w:r>
        <w:rPr>
          <w:rFonts w:ascii="IRNazanin" w:hAnsi="IRNazanin" w:eastAsia="IRNazanin" w:cs="IRNazanin"/>
          <w:lang w:bidi="fa-IR"/>
          <w:color w:val="111111"/>
          <w:sz w:val="28"/>
          <w:szCs w:val="28"/>
          <w:rtl/>
        </w:rPr>
        <w:t xml:space="preserve">اهدا به: علاء الدین کیقباد (۶۹۶-۷۰۰)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362" w:name="pg20363_209644"/>
    <w:bookmarkEnd w:id="362"/>
    <w:p>
      <w:pPr>
        <w:pStyle w:val="BookText"/>
      </w:pPr>
      <w:r>
        <w:rPr>
          <w:rFonts w:ascii="IRNazanin" w:hAnsi="IRNazanin" w:eastAsia="IRNazanin" w:cs="IRNazanin"/>
          <w:lang w:bidi="fa-IR"/>
          <w:color w:val="111111"/>
          <w:sz w:val="28"/>
          <w:szCs w:val="28"/>
          <w:rtl/>
        </w:rPr>
        <w:t xml:space="preserve">تهران؛ دانشگاه؛ شماره نسخه:۱۰۶۹ف</w:t>
      </w:r>
    </w:p>
    <w:p>
      <w:pPr>
        <w:pStyle w:val="BookText"/>
      </w:pPr>
      <w:r>
        <w:rPr>
          <w:rFonts w:ascii="IRNazanin" w:hAnsi="IRNazanin" w:eastAsia="IRNazanin" w:cs="IRNazanin"/>
          <w:lang w:bidi="fa-IR"/>
          <w:color w:val="111111"/>
          <w:sz w:val="28"/>
          <w:szCs w:val="28"/>
          <w:rtl/>
        </w:rPr>
        <w:t xml:space="preserve">نسخه اصل: پاریس .۱۵۵۶</w:t>
      </w:r>
      <w:r>
        <w:rPr>
          <w:rFonts w:ascii="Times New Roman" w:hAnsi="Times New Roman" w:eastAsia="Times New Roman" w:cs="Times New Roman"/>
          <w:lang w:val="en-US" w:bidi="en-US"/>
          <w:color w:val="111111"/>
          <w:sz w:val="28"/>
          <w:szCs w:val="28"/>
          <w:rtl/>
        </w:rPr>
        <w:t xml:space="preserve">S. P. </w:t>
      </w:r>
      <w:r>
        <w:rPr>
          <w:rFonts w:ascii="IRNazanin" w:hAnsi="IRNazanin" w:eastAsia="IRNazanin" w:cs="IRNazanin"/>
          <w:lang w:bidi="fa-IR"/>
          <w:color w:val="111111"/>
          <w:sz w:val="28"/>
          <w:szCs w:val="28"/>
          <w:rtl/>
        </w:rPr>
        <w:t xml:space="preserve">در تاریخ سلجوقیان روم بسیار کوتاه و کوچک؛ خط: نسخ، بی کا، بی تا؛ ۳۹گ، ۲۶ سطر [فیلمها ف: ۱-۲۸]</w:t>
      </w:r>
    </w:p>
    <w:p>
      <w:pPr>
        <w:pStyle w:val="Heading3"/>
      </w:pPr>
      <w:bookmarkStart w:id="1955" w:name="_Toc1215"/>
      <w:r>
        <w:t>• تاریخ آل سلجوق / تاریخ / فارسی</w:t>
      </w:r>
      <w:bookmarkEnd w:id="1955"/>
    </w:p>
    <w:p>
      <w:pPr>
        <w:pStyle w:val="BookText"/>
      </w:pPr>
      <w:r>
        <w:rPr>
          <w:rFonts w:ascii="Times New Roman" w:hAnsi="Times New Roman" w:eastAsia="Times New Roman" w:cs="Times New Roman"/>
          <w:lang w:val="en-US" w:bidi="en-US"/>
          <w:color w:val="111111"/>
          <w:sz w:val="28"/>
          <w:szCs w:val="28"/>
          <w:rtl/>
        </w:rPr>
        <w:t xml:space="preserve">tārīx-e āl-e saljūq</w:t>
      </w:r>
    </w:p>
    <w:p>
      <w:pPr>
        <w:pStyle w:val="BookText"/>
      </w:pPr>
      <w:r>
        <w:rPr>
          <w:rFonts w:ascii="IRNazanin" w:hAnsi="IRNazanin" w:eastAsia="IRNazanin" w:cs="IRNazanin"/>
          <w:lang w:bidi="fa-IR"/>
          <w:color w:val="111111"/>
          <w:sz w:val="28"/>
          <w:szCs w:val="28"/>
          <w:rtl/>
        </w:rPr>
        <w:t xml:space="preserve">تهران؛ دانشگاه؛ شماره نسخه:۶۵۸ف</w:t>
      </w:r>
    </w:p>
    <w:p>
      <w:pPr>
        <w:pStyle w:val="BookText"/>
      </w:pPr>
      <w:r>
        <w:rPr>
          <w:rFonts w:ascii="IRNazanin" w:hAnsi="IRNazanin" w:eastAsia="IRNazanin" w:cs="IRNazanin"/>
          <w:lang w:bidi="fa-IR"/>
          <w:color w:val="111111"/>
          <w:sz w:val="28"/>
          <w:szCs w:val="28"/>
          <w:rtl/>
        </w:rPr>
        <w:t xml:space="preserve">گویا کتابخانه سی، شماره آن باید ۳۱ باشد. گویا گزیده ای است از الاوامر العلائيه في الأوامر العلائية ابن بیبی؛ خط: نستعلیق، بی کا، بی تا؛ افتادگی: آغاز و انجام؛ با یادداشت ۱۱۲۰؛ ۸۲گ، ۱۵ سطر [فیلمها ف: ۱-۲۸]</w:t>
      </w:r>
    </w:p>
    <w:p>
      <w:pPr>
        <w:pStyle w:val="Heading3"/>
      </w:pPr>
      <w:bookmarkStart w:id="1956" w:name="_Toc1216"/>
      <w:r>
        <w:t>•تاریخ آل عبا / تاریخ معصومین / فارسی</w:t>
      </w:r>
      <w:bookmarkEnd w:id="1956"/>
    </w:p>
    <w:p>
      <w:pPr>
        <w:pStyle w:val="BookText"/>
      </w:pPr>
      <w:r>
        <w:rPr>
          <w:rFonts w:ascii="Times New Roman" w:hAnsi="Times New Roman" w:eastAsia="Times New Roman" w:cs="Times New Roman"/>
          <w:lang w:val="en-US" w:bidi="en-US"/>
          <w:color w:val="111111"/>
          <w:sz w:val="28"/>
          <w:szCs w:val="28"/>
          <w:rtl/>
        </w:rPr>
        <w:t xml:space="preserve">tārīx-e āl-e 'abā</w:t>
      </w:r>
    </w:p>
    <w:p>
      <w:pPr>
        <w:pStyle w:val="BookText"/>
      </w:pPr>
      <w:r>
        <w:rPr>
          <w:rFonts w:ascii="IRNazanin" w:hAnsi="IRNazanin" w:eastAsia="IRNazanin" w:cs="IRNazanin"/>
          <w:lang w:bidi="fa-IR"/>
          <w:color w:val="111111"/>
          <w:sz w:val="28"/>
          <w:szCs w:val="28"/>
          <w:rtl/>
        </w:rPr>
        <w:t xml:space="preserve">مصطفی بن محمد على</w:t>
      </w:r>
    </w:p>
    <w:p>
      <w:pPr>
        <w:pStyle w:val="BookText"/>
      </w:pPr>
      <w:r>
        <w:rPr>
          <w:rFonts w:ascii="Times New Roman" w:hAnsi="Times New Roman" w:eastAsia="Times New Roman" w:cs="Times New Roman"/>
          <w:lang w:val="en-US" w:bidi="en-US"/>
          <w:color w:val="111111"/>
          <w:sz w:val="28"/>
          <w:szCs w:val="28"/>
          <w:rtl/>
        </w:rPr>
        <w:t xml:space="preserve">mostafā ben mohammad ‘alī</w:t>
      </w:r>
    </w:p>
    <w:p>
      <w:pPr>
        <w:pStyle w:val="BookText"/>
      </w:pPr>
      <w:r>
        <w:rPr>
          <w:rFonts w:ascii="IRNazanin" w:hAnsi="IRNazanin" w:eastAsia="IRNazanin" w:cs="IRNazanin"/>
          <w:lang w:bidi="fa-IR"/>
          <w:color w:val="111111"/>
          <w:sz w:val="28"/>
          <w:szCs w:val="28"/>
          <w:rtl/>
        </w:rPr>
        <w:t xml:space="preserve">در زندگانی حضرت پیامبر اکرم و حضرت زهرا و امیر المؤمنین و امام حسن و امام حسین (عليه السلام) را در پنج «مطلب» و هر کدام دارای «مقدمه» و چهار «باب» و «خاتمه». بیشتر روایت ها با متن عربی آنها آورده شده است.</w:t>
      </w:r>
    </w:p>
    <w:p>
      <w:pPr>
        <w:pStyle w:val="BookText"/>
      </w:pPr>
      <w:r>
        <w:rPr>
          <w:rFonts w:ascii="IRNazanin" w:hAnsi="IRNazanin" w:eastAsia="IRNazanin" w:cs="IRNazanin"/>
          <w:lang w:bidi="fa-IR"/>
          <w:color w:val="111111"/>
          <w:sz w:val="28"/>
          <w:szCs w:val="28"/>
          <w:rtl/>
        </w:rPr>
        <w:t xml:space="preserve">[دنا ۶۶۵/۲ ؛ فهرستواره منزوی ۱۵۶۷/۳ ]</w:t>
      </w:r>
    </w:p>
    <w:p>
      <w:pPr>
        <w:pStyle w:val="BookText"/>
      </w:pPr>
      <w:r>
        <w:rPr>
          <w:rFonts w:ascii="IRNazanin" w:hAnsi="IRNazanin" w:eastAsia="IRNazanin" w:cs="IRNazanin"/>
          <w:lang w:bidi="fa-IR"/>
          <w:color w:val="111111"/>
          <w:sz w:val="28"/>
          <w:szCs w:val="28"/>
          <w:rtl/>
        </w:rPr>
        <w:t xml:space="preserve">قم؛ مرعشی؛ شماره نسخه:۲۳۲۴</w:t>
      </w:r>
    </w:p>
    <w:p>
      <w:pPr>
        <w:pStyle w:val="BookText"/>
      </w:pPr>
      <w:r>
        <w:rPr>
          <w:rFonts w:ascii="IRNazanin" w:hAnsi="IRNazanin" w:eastAsia="IRNazanin" w:cs="IRNazanin"/>
          <w:lang w:bidi="fa-IR"/>
          <w:color w:val="111111"/>
          <w:sz w:val="28"/>
          <w:szCs w:val="28"/>
          <w:rtl/>
        </w:rPr>
        <w:t xml:space="preserve">آغاز: الحمدلله رب العالمين ... این مختصری است و منتخب از کتب معتبره در فضائل و مناقب خمسة النجباء النقباء؛ انجام نسیبک من آسي يناجيک طيفه*** و ليس لمن تحت التراب نصيب.</w:t>
      </w:r>
    </w:p>
    <w:p>
      <w:pPr>
        <w:pStyle w:val="BookText"/>
      </w:pPr>
      <w:r>
        <w:rPr>
          <w:rFonts w:ascii="IRNazanin" w:hAnsi="IRNazanin" w:eastAsia="IRNazanin" w:cs="IRNazanin"/>
          <w:lang w:bidi="fa-IR"/>
          <w:color w:val="111111"/>
          <w:sz w:val="28"/>
          <w:szCs w:val="28"/>
          <w:rtl/>
        </w:rPr>
        <w:t xml:space="preserve">مقداری از حالات امام حسن و تمام حالات امام حسین در این نسخه نیامده است؛ خط: نسخ، كاتب = مؤلف، بی تا؛ مصحح؛ جلد: تیماج قهوه ای، ۱۹۲، ۱۵ سطر، اندازه:۲۲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۶-۳۰۳]</w:t>
      </w:r>
    </w:p>
    <w:p>
      <w:pPr>
        <w:pStyle w:val="Heading3"/>
      </w:pPr>
      <w:bookmarkStart w:id="1957" w:name="_Toc1217"/>
      <w:r>
        <w:t>•تاریخ آل عثمان / تاریخ / ترکی</w:t>
      </w:r>
      <w:bookmarkEnd w:id="1957"/>
    </w:p>
    <w:p>
      <w:pPr>
        <w:pStyle w:val="BookText"/>
      </w:pPr>
      <w:r>
        <w:rPr>
          <w:rFonts w:ascii="Times New Roman" w:hAnsi="Times New Roman" w:eastAsia="Times New Roman" w:cs="Times New Roman"/>
          <w:lang w:val="en-US" w:bidi="en-US"/>
          <w:color w:val="111111"/>
          <w:sz w:val="28"/>
          <w:szCs w:val="28"/>
          <w:rtl/>
        </w:rPr>
        <w:t xml:space="preserve">woman</w:t>
      </w:r>
    </w:p>
    <w:p>
      <w:pPr>
        <w:pStyle w:val="BookText"/>
      </w:pPr>
      <w:r>
        <w:rPr>
          <w:rFonts w:ascii="Times New Roman" w:hAnsi="Times New Roman" w:eastAsia="Times New Roman" w:cs="Times New Roman"/>
          <w:lang w:val="en-US" w:bidi="en-US"/>
          <w:color w:val="111111"/>
          <w:sz w:val="28"/>
          <w:szCs w:val="28"/>
          <w:rtl/>
        </w:rPr>
        <w:t xml:space="preserve">tārīx-e āl-e 'osmān</w:t>
      </w:r>
    </w:p>
    <w:p>
      <w:pPr>
        <w:pStyle w:val="BookText"/>
      </w:pPr>
      <w:r>
        <w:rPr>
          <w:rFonts w:ascii="IRNazanin" w:hAnsi="IRNazanin" w:eastAsia="IRNazanin" w:cs="IRNazanin"/>
          <w:lang w:bidi="fa-IR"/>
          <w:color w:val="111111"/>
          <w:sz w:val="28"/>
          <w:szCs w:val="28"/>
          <w:rtl/>
        </w:rPr>
        <w:t xml:space="preserve">رمضان زاده، محمد توقیعی، ۹۷۹ قمری</w:t>
      </w:r>
    </w:p>
    <w:p>
      <w:pPr>
        <w:pStyle w:val="BookText"/>
      </w:pPr>
      <w:r>
        <w:rPr>
          <w:rFonts w:ascii="Times New Roman" w:hAnsi="Times New Roman" w:eastAsia="Times New Roman" w:cs="Times New Roman"/>
          <w:lang w:val="en-US" w:bidi="en-US"/>
          <w:color w:val="111111"/>
          <w:sz w:val="28"/>
          <w:szCs w:val="28"/>
          <w:rtl/>
        </w:rPr>
        <w:t xml:space="preserve">ramazān-zāde, mohammad tawqīrī (-1572)</w:t>
      </w:r>
    </w:p>
    <w:p>
      <w:pPr>
        <w:pStyle w:val="BookText"/>
      </w:pPr>
      <w:r>
        <w:rPr>
          <w:rFonts w:ascii="IRNazanin" w:hAnsi="IRNazanin" w:eastAsia="IRNazanin" w:cs="IRNazanin"/>
          <w:lang w:bidi="fa-IR"/>
          <w:color w:val="111111"/>
          <w:sz w:val="28"/>
          <w:szCs w:val="28"/>
          <w:rtl/>
        </w:rPr>
        <w:t xml:space="preserve">اهداء به: سلطان سلیمان</w:t>
      </w:r>
    </w:p>
    <w:p>
      <w:pPr>
        <w:pStyle w:val="BookText"/>
      </w:pPr>
      <w:r>
        <w:rPr>
          <w:rFonts w:ascii="IRNazanin" w:hAnsi="IRNazanin" w:eastAsia="IRNazanin" w:cs="IRNazanin"/>
          <w:lang w:bidi="fa-IR"/>
          <w:color w:val="111111"/>
          <w:sz w:val="28"/>
          <w:szCs w:val="28"/>
          <w:rtl/>
        </w:rPr>
        <w:t xml:space="preserve">سال نامه و کرونولژی فرمان روایان عثمانی است با یاد کردن فرزندان و وزیران و کارهای آنان. از سر گذشت پیامبران آغاز می شود و می رسد به ۱۵ ربیع الاول ۹۷۴؛ به نام تاریخ کچوک نشانچی و نشانچی تاریخی و جریده جدید و تواريخ رمضان زاده هم خوانده می شود و او از خود به نام کمینه یاد می کند. در آغاز آن تاریخ پیامبران است.</w:t>
      </w:r>
    </w:p>
    <w:p>
      <w:pPr>
        <w:pStyle w:val="BookText"/>
      </w:pPr>
      <w:r>
        <w:rPr>
          <w:rFonts w:ascii="IRNazanin" w:hAnsi="IRNazanin" w:eastAsia="IRNazanin" w:cs="IRNazanin"/>
          <w:lang w:bidi="fa-IR"/>
          <w:color w:val="111111"/>
          <w:sz w:val="28"/>
          <w:szCs w:val="28"/>
          <w:rtl/>
        </w:rPr>
        <w:t xml:space="preserve">[دنا ۶۶۵/۲ ؛ فهرست کتابخانه بنیاد مردم آسیا در مسکو ش ۸ تا ۱۱ و ۱۳۹۷/۱ قرطای ۲۸۸۹/۳ - فلوگل ۲۰۲۰۷-بلوشه ۵۹</w:t>
      </w:r>
      <w:r>
        <w:rPr>
          <w:rFonts w:ascii="Times New Roman" w:hAnsi="Times New Roman" w:eastAsia="Times New Roman" w:cs="Times New Roman"/>
          <w:lang w:val="en-US" w:bidi="en-US"/>
          <w:color w:val="111111"/>
          <w:sz w:val="28"/>
          <w:szCs w:val="28"/>
          <w:rtl/>
        </w:rPr>
        <w:t xml:space="preserve">S]</w:t>
      </w:r>
    </w:p>
    <w:p>
      <w:pPr>
        <w:pStyle w:val="BookText"/>
      </w:pPr>
      <w:r>
        <w:rPr>
          <w:rFonts w:ascii="IRNazanin" w:hAnsi="IRNazanin" w:eastAsia="IRNazanin" w:cs="IRNazanin"/>
          <w:lang w:bidi="fa-IR"/>
          <w:color w:val="111111"/>
          <w:sz w:val="28"/>
          <w:szCs w:val="28"/>
          <w:rtl/>
        </w:rPr>
        <w:t xml:space="preserve">۱. تهران؛ مجلس؛ شماره نسخه:۶۱۴</w:t>
      </w:r>
    </w:p>
    <w:p>
      <w:pPr>
        <w:pStyle w:val="BookText"/>
      </w:pPr>
      <w:r>
        <w:rPr>
          <w:rFonts w:ascii="IRNazanin" w:hAnsi="IRNazanin" w:eastAsia="IRNazanin" w:cs="IRNazanin"/>
          <w:lang w:bidi="fa-IR"/>
          <w:color w:val="111111"/>
          <w:sz w:val="28"/>
          <w:szCs w:val="28"/>
          <w:rtl/>
        </w:rPr>
        <w:t xml:space="preserve">از فصل سابع در احوال و لید بن یزید تا فصل ۲۷ در احوال ملک صالح، جلد سوم؛ خط: نستعلیق ترک، بی کا، تا: قرن ۱۱؛ مجدول؛ کاغذ: سفید، جلد: تیماج تریاکی ضربی با ترنج، ۸۱گ، ۳۱ سطر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[سنا: ف: ۱-۳۹۷]</w:t>
      </w:r>
    </w:p>
    <w:p>
      <w:pPr>
        <w:pStyle w:val="BookText"/>
      </w:pPr>
      <w:r>
        <w:rPr>
          <w:rFonts w:ascii="IRNazanin" w:hAnsi="IRNazanin" w:eastAsia="IRNazanin" w:cs="IRNazanin"/>
          <w:lang w:bidi="fa-IR"/>
          <w:color w:val="111111"/>
          <w:sz w:val="28"/>
          <w:szCs w:val="28"/>
          <w:rtl/>
        </w:rPr>
        <w:t xml:space="preserve">۲. تهران: مجلس؛ شماره نسخه: ۶۱۱</w:t>
      </w:r>
    </w:p>
    <w:p>
      <w:pPr>
        <w:pStyle w:val="BookText"/>
      </w:pPr>
      <w:r>
        <w:rPr>
          <w:rFonts w:ascii="IRNazanin" w:hAnsi="IRNazanin" w:eastAsia="IRNazanin" w:cs="IRNazanin"/>
          <w:lang w:bidi="fa-IR"/>
          <w:color w:val="111111"/>
          <w:sz w:val="28"/>
          <w:szCs w:val="28"/>
          <w:rtl/>
        </w:rPr>
        <w:t xml:space="preserve">آغاز: مالک الملک لاشریک لک وحده لا اله الا هو خط: نستعلیق ترک، بی کا، تا: قرن ۱۲؛ مجدول؛ یادداشت محمد درویش المشتهر به تفنگچی باشی؛ مهر: محمد حسین بن سلیمان؛ کاغذ: سفید، جلد: تیماج آلبالویی با ترنج، ۱۸۰گ، ۱۷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[سنا: ف: ۱-۳۹۶]</w:t>
      </w:r>
    </w:p>
    <w:p>
      <w:pPr>
        <w:pStyle w:val="Heading3"/>
      </w:pPr>
      <w:bookmarkStart w:id="1958" w:name="_Toc1218"/>
      <w:r>
        <w:t>• تاریخ آل عثمان / تاریخ / فارسی</w:t>
      </w:r>
      <w:bookmarkEnd w:id="1958"/>
    </w:p>
    <w:p>
      <w:pPr>
        <w:pStyle w:val="BookText"/>
      </w:pPr>
      <w:r>
        <w:rPr>
          <w:rFonts w:ascii="Times New Roman" w:hAnsi="Times New Roman" w:eastAsia="Times New Roman" w:cs="Times New Roman"/>
          <w:lang w:val="en-US" w:bidi="en-US"/>
          <w:color w:val="111111"/>
          <w:sz w:val="28"/>
          <w:szCs w:val="28"/>
          <w:rtl/>
        </w:rPr>
        <w:t xml:space="preserve">tārīx-e āl-e 'osmān</w:t>
      </w:r>
    </w:p>
    <w:p>
      <w:pPr>
        <w:pStyle w:val="BookText"/>
      </w:pPr>
      <w:r>
        <w:rPr>
          <w:rFonts w:ascii="IRNazanin" w:hAnsi="IRNazanin" w:eastAsia="IRNazanin" w:cs="IRNazanin"/>
          <w:lang w:bidi="fa-IR"/>
          <w:color w:val="111111"/>
          <w:sz w:val="28"/>
          <w:szCs w:val="28"/>
          <w:rtl/>
        </w:rPr>
        <w:t xml:space="preserve">اسدالله، ق ۱۰ قمری</w:t>
      </w:r>
    </w:p>
    <w:p>
      <w:pPr>
        <w:pStyle w:val="BookText"/>
      </w:pPr>
      <w:r>
        <w:rPr>
          <w:rFonts w:ascii="Times New Roman" w:hAnsi="Times New Roman" w:eastAsia="Times New Roman" w:cs="Times New Roman"/>
          <w:lang w:val="en-US" w:bidi="en-US"/>
          <w:color w:val="111111"/>
          <w:sz w:val="28"/>
          <w:szCs w:val="28"/>
          <w:rtl/>
        </w:rPr>
        <w:t xml:space="preserve">asad-ol-lah (-16c)</w:t>
      </w:r>
    </w:p>
    <w:p>
      <w:pPr>
        <w:pStyle w:val="BookText"/>
      </w:pPr>
      <w:r>
        <w:rPr>
          <w:rFonts w:ascii="IRNazanin" w:hAnsi="IRNazanin" w:eastAsia="IRNazanin" w:cs="IRNazanin"/>
          <w:lang w:bidi="fa-IR"/>
          <w:color w:val="111111"/>
          <w:sz w:val="28"/>
          <w:szCs w:val="28"/>
          <w:rtl/>
        </w:rPr>
        <w:t xml:space="preserve">هنگامی که مؤلف در روم به اجبار اقامت داشت، تاریخی برای سلاطین عثمانی ها دید که با عباراتی سست نگاشته شده بود، بر آن شد که این تاریخ را با عبارت های نیگو بنگارد. این تاریخ بسیار مختصر و تا حالات سلطان سلیم خان عثمانی را دارد.( احمد اشکوری)</w:t>
      </w:r>
    </w:p>
    <w:p>
      <w:pPr>
        <w:pStyle w:val="BookText"/>
      </w:pPr>
      <w:r>
        <w:rPr>
          <w:rFonts w:ascii="IRNazanin" w:hAnsi="IRNazanin" w:eastAsia="IRNazanin" w:cs="IRNazanin"/>
          <w:lang w:bidi="fa-IR"/>
          <w:color w:val="111111"/>
          <w:sz w:val="28"/>
          <w:szCs w:val="28"/>
          <w:rtl/>
        </w:rPr>
        <w:t xml:space="preserve">آغاز: بسمله، حمد و سپاس و ستایش پادشاهی را سزاست که سلاطین جهان</w:t>
      </w:r>
    </w:p>
    <w:p>
      <w:pPr>
        <w:pStyle w:val="BookText"/>
      </w:pPr>
      <w:r>
        <w:rPr>
          <w:rFonts w:ascii="IRNazanin" w:hAnsi="IRNazanin" w:eastAsia="IRNazanin" w:cs="IRNazanin"/>
          <w:lang w:bidi="fa-IR"/>
          <w:color w:val="111111"/>
          <w:sz w:val="28"/>
          <w:szCs w:val="28"/>
          <w:rtl/>
        </w:rPr>
        <w:t xml:space="preserve">انجام: در سرای سرور با عظمت موفور و شوکت غير محصور نزول اجلال فرموده. الله أعلم.</w:t>
      </w:r>
    </w:p>
    <w:p>
      <w:pPr>
        <w:pStyle w:val="BookText"/>
      </w:pPr>
      <w:r>
        <w:rPr>
          <w:rFonts w:ascii="IRNazanin" w:hAnsi="IRNazanin" w:eastAsia="IRNazanin" w:cs="IRNazanin"/>
          <w:lang w:bidi="fa-IR"/>
          <w:color w:val="111111"/>
          <w:sz w:val="28"/>
          <w:szCs w:val="28"/>
          <w:rtl/>
        </w:rPr>
        <w:t xml:space="preserve">۱. تهران؛ ملی؛ شماره نسخه:۲۰۱۰/۲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محمد حسین ابن آقا جمال الدین حسینی شیرازی، تا: ۱۰۳۰ق؛ کاغذ: اصفهانی، جلد: ساغری سیاه، ۶۴ص، ۱۷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۵-۱۱]</w:t>
      </w:r>
    </w:p>
    <w:p>
      <w:pPr>
        <w:pStyle w:val="BookText"/>
      </w:pPr>
      <w:r>
        <w:rPr>
          <w:rFonts w:ascii="IRNazanin" w:hAnsi="IRNazanin" w:eastAsia="IRNazanin" w:cs="IRNazanin"/>
          <w:lang w:bidi="fa-IR"/>
          <w:color w:val="111111"/>
          <w:sz w:val="28"/>
          <w:szCs w:val="28"/>
          <w:rtl/>
        </w:rPr>
        <w:t xml:space="preserve">۲. قم؛ مرعشی؛ شماره نسخه: ۵۲۸۱/۲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شیخ امین الدین نصیر الدین محمد خفر کی، بی تا سطرها چلیپا، مجدول؛ جلد: تیماج مشکی، ۱۱گ(۵۱ر - ۶۱ر)،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۱۴-۶۶]</w:t>
      </w:r>
    </w:p>
    <w:p>
      <w:pPr>
        <w:pStyle w:val="Heading3"/>
      </w:pPr>
      <w:bookmarkStart w:id="1959" w:name="_Toc1219"/>
      <w:r>
        <w:t>• تاریخ آل عثمان = فتح نامه / تاریخ / فارسی</w:t>
      </w:r>
      <w:bookmarkEnd w:id="1959"/>
    </w:p>
    <w:p>
      <w:pPr>
        <w:pStyle w:val="BookText"/>
      </w:pPr>
      <w:r>
        <w:rPr>
          <w:rFonts w:ascii="Times New Roman" w:hAnsi="Times New Roman" w:eastAsia="Times New Roman" w:cs="Times New Roman"/>
          <w:lang w:val="en-US" w:bidi="en-US"/>
          <w:color w:val="111111"/>
          <w:sz w:val="28"/>
          <w:szCs w:val="28"/>
          <w:rtl/>
        </w:rPr>
        <w:t xml:space="preserve">tārīx-e āl-e ‘osmān = fath-nāme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363" w:name="pg20363_209645"/>
    <w:bookmarkEnd w:id="363"/>
    <w:p>
      <w:pPr>
        <w:pStyle w:val="BookText"/>
      </w:pPr>
      <w:r>
        <w:rPr>
          <w:rFonts w:ascii="IRNazanin" w:hAnsi="IRNazanin" w:eastAsia="IRNazanin" w:cs="IRNazanin"/>
          <w:lang w:bidi="fa-IR"/>
          <w:color w:val="111111"/>
          <w:sz w:val="28"/>
          <w:szCs w:val="28"/>
          <w:rtl/>
        </w:rPr>
        <w:t xml:space="preserve">منشی، علی بن ملوک</w:t>
      </w:r>
    </w:p>
    <w:p>
      <w:pPr>
        <w:pStyle w:val="BookText"/>
      </w:pPr>
      <w:r>
        <w:rPr>
          <w:rFonts w:ascii="Times New Roman" w:hAnsi="Times New Roman" w:eastAsia="Times New Roman" w:cs="Times New Roman"/>
          <w:lang w:val="en-US" w:bidi="en-US"/>
          <w:color w:val="111111"/>
          <w:sz w:val="28"/>
          <w:szCs w:val="28"/>
          <w:rtl/>
        </w:rPr>
        <w:t xml:space="preserve">monšī, ‘alī ebn-e molūk</w:t>
      </w:r>
    </w:p>
    <w:p>
      <w:pPr>
        <w:pStyle w:val="BookText"/>
      </w:pPr>
      <w:r>
        <w:rPr>
          <w:rFonts w:ascii="IRNazanin" w:hAnsi="IRNazanin" w:eastAsia="IRNazanin" w:cs="IRNazanin"/>
          <w:lang w:bidi="fa-IR"/>
          <w:color w:val="111111"/>
          <w:sz w:val="28"/>
          <w:szCs w:val="28"/>
          <w:rtl/>
        </w:rPr>
        <w:t xml:space="preserve">برای محمد فاتح درباره فتوحات محمد (چهارم) بن مراد.</w:t>
      </w:r>
    </w:p>
    <w:p>
      <w:pPr>
        <w:pStyle w:val="BookText"/>
      </w:pPr>
      <w:r>
        <w:rPr>
          <w:rFonts w:ascii="IRNazanin" w:hAnsi="IRNazanin" w:eastAsia="IRNazanin" w:cs="IRNazanin"/>
          <w:lang w:bidi="fa-IR"/>
          <w:color w:val="111111"/>
          <w:sz w:val="28"/>
          <w:szCs w:val="28"/>
          <w:rtl/>
        </w:rPr>
        <w:t xml:space="preserve">تهران؛ مینوی؛ شماره نسخه:۱۲۴ بخش ۳</w:t>
      </w:r>
    </w:p>
    <w:p>
      <w:pPr>
        <w:pStyle w:val="BookText"/>
      </w:pPr>
      <w:r>
        <w:rPr>
          <w:rFonts w:ascii="IRNazanin" w:hAnsi="IRNazanin" w:eastAsia="IRNazanin" w:cs="IRNazanin"/>
          <w:lang w:bidi="fa-IR"/>
          <w:color w:val="111111"/>
          <w:sz w:val="28"/>
          <w:szCs w:val="28"/>
          <w:rtl/>
        </w:rPr>
        <w:t xml:space="preserve">نسخه اصل: دار الكتب المصرية 38-م تاریخ فارسی. در فهرست طرازی (۱۶۵۳) به نام فتح نامه یا ظفرنامه (فیلمها ۲۸/۱ به نام تاریخ آل عثمان)؛ خط: نستعلیق، بی کا، بی تا؛ ۴۸، ۹ سطر [ف: ۱۰۹]</w:t>
      </w:r>
    </w:p>
    <w:p>
      <w:pPr>
        <w:pStyle w:val="BookText"/>
      </w:pPr>
      <w:r>
        <w:rPr>
          <w:rFonts w:ascii="IRNazanin" w:hAnsi="IRNazanin" w:eastAsia="IRNazanin" w:cs="IRNazanin"/>
          <w:lang w:bidi="fa-IR"/>
          <w:color w:val="111111"/>
          <w:sz w:val="28"/>
          <w:szCs w:val="28"/>
          <w:rtl/>
        </w:rPr>
        <w:t xml:space="preserve">تهران؛ دانشگاه؛ شماره نسخه:۶۸۷۶/۴ -عکس و ۹۸ف</w:t>
      </w:r>
    </w:p>
    <w:p>
      <w:pPr>
        <w:pStyle w:val="BookText"/>
      </w:pPr>
      <w:r>
        <w:rPr>
          <w:rFonts w:ascii="Amiri" w:hAnsi="Amiri" w:eastAsia="Amiri" w:cs="Amiri"/>
          <w:lang w:bidi="ar-SA"/>
          <w:color w:val="111111"/>
          <w:sz w:val="28"/>
          <w:szCs w:val="28"/>
          <w:rtl/>
        </w:rPr>
        <w:t xml:space="preserve">نسخه اصل: همان نسخه بالا [فيلمها ف: ۳-۲۶۳ و ف: ۱-۲۸]</w:t>
      </w:r>
    </w:p>
    <w:p>
      <w:pPr>
        <w:pStyle w:val="Heading3"/>
      </w:pPr>
      <w:bookmarkStart w:id="1960" w:name="_Toc1220"/>
      <w:r>
        <w:t>•تاریخ آل عثمان / تاریخ / عربی</w:t>
      </w:r>
      <w:bookmarkEnd w:id="1960"/>
    </w:p>
    <w:p>
      <w:pPr>
        <w:pStyle w:val="BookText"/>
      </w:pPr>
      <w:r>
        <w:rPr>
          <w:rFonts w:ascii="Times New Roman" w:hAnsi="Times New Roman" w:eastAsia="Times New Roman" w:cs="Times New Roman"/>
          <w:lang w:val="en-US" w:bidi="en-US"/>
          <w:color w:val="111111"/>
          <w:sz w:val="28"/>
          <w:szCs w:val="28"/>
          <w:rtl/>
        </w:rPr>
        <w:t xml:space="preserve">tārīx-e āl-e 'osmān</w:t>
      </w:r>
    </w:p>
    <w:p>
      <w:pPr>
        <w:pStyle w:val="BookText"/>
      </w:pPr>
      <w:r>
        <w:rPr>
          <w:rFonts w:ascii="IRNazanin" w:hAnsi="IRNazanin" w:eastAsia="IRNazanin" w:cs="IRNazanin"/>
          <w:lang w:bidi="fa-IR"/>
          <w:color w:val="111111"/>
          <w:sz w:val="28"/>
          <w:szCs w:val="28"/>
          <w:rtl/>
        </w:rPr>
        <w:t xml:space="preserve">قم؛ مرعشی؛ شماره نسخه:۹۲۳عکسی</w:t>
      </w:r>
    </w:p>
    <w:p>
      <w:pPr>
        <w:pStyle w:val="BookText"/>
      </w:pPr>
      <w:r>
        <w:rPr>
          <w:rFonts w:ascii="IRNazanin" w:hAnsi="IRNazanin" w:eastAsia="IRNazanin" w:cs="IRNazanin"/>
          <w:lang w:bidi="fa-IR"/>
          <w:color w:val="111111"/>
          <w:sz w:val="28"/>
          <w:szCs w:val="28"/>
          <w:rtl/>
        </w:rPr>
        <w:t xml:space="preserve">آغاز: الحمدلله رب العالمين ... اما بعد: فهذا كلام اجمالی في تواریخ السلاطين العثمانية المتحلين بالعدالة العمرية. انجام: قلت هذا الفتحه تاریخ ابد الله عمر فاتحها</w:t>
      </w:r>
    </w:p>
    <w:p>
      <w:pPr>
        <w:pStyle w:val="BookText"/>
      </w:pPr>
      <w:r>
        <w:rPr>
          <w:rFonts w:ascii="IRNazanin" w:hAnsi="IRNazanin" w:eastAsia="IRNazanin" w:cs="IRNazanin"/>
          <w:lang w:bidi="fa-IR"/>
          <w:color w:val="111111"/>
          <w:sz w:val="28"/>
          <w:szCs w:val="28"/>
          <w:rtl/>
        </w:rPr>
        <w:t xml:space="preserve">نسخه اصل: امانت خزینه سی (طوپ قاپی) ش .۱۵۸۶</w:t>
      </w:r>
      <w:r>
        <w:rPr>
          <w:rFonts w:ascii="Times New Roman" w:hAnsi="Times New Roman" w:eastAsia="Times New Roman" w:cs="Times New Roman"/>
          <w:lang w:val="en-US" w:bidi="en-US"/>
          <w:color w:val="111111"/>
          <w:sz w:val="28"/>
          <w:szCs w:val="28"/>
          <w:rtl/>
        </w:rPr>
        <w:t xml:space="preserve">H (</w:t>
      </w:r>
      <w:r>
        <w:rPr>
          <w:rFonts w:ascii="IRNazanin" w:hAnsi="IRNazanin" w:eastAsia="IRNazanin" w:cs="IRNazanin"/>
          <w:lang w:bidi="fa-IR"/>
          <w:color w:val="111111"/>
          <w:sz w:val="28"/>
          <w:szCs w:val="28"/>
          <w:rtl/>
        </w:rPr>
        <w:t xml:space="preserve">فهرست خطی عربی طوپ قاپی</w:t>
      </w:r>
    </w:p>
    <w:p>
      <w:pPr>
        <w:pStyle w:val="BookText"/>
      </w:pPr>
      <w:r>
        <w:rPr>
          <w:rFonts w:ascii="IRNazanin" w:hAnsi="IRNazanin" w:eastAsia="IRNazanin" w:cs="IRNazanin"/>
          <w:lang w:bidi="fa-IR"/>
          <w:color w:val="111111"/>
          <w:sz w:val="28"/>
          <w:szCs w:val="28"/>
          <w:rtl/>
        </w:rPr>
        <w:t xml:space="preserve">۴۷۵/۳ ). تاریخ کوتاهی است درباره سلسله سلاطین عثمانی از آغاز مهاجرت این طایفه به سرزمین آناتولی تا حوادث سال ۸۸۴ق به طور بسیار مختصر؛ خط: نسخ، كاتب = مؤلف، تا: سلخ شوال ۹۶۲ق؛ ۲۸گ، ۱۱ سطر [عکسی ف: 2-404]</w:t>
      </w:r>
    </w:p>
    <w:p>
      <w:pPr>
        <w:pStyle w:val="BookText"/>
      </w:pPr>
      <w:r>
        <w:rPr>
          <w:rFonts w:ascii="IRNazanin" w:hAnsi="IRNazanin" w:eastAsia="IRNazanin" w:cs="IRNazanin"/>
          <w:lang w:bidi="fa-IR"/>
          <w:color w:val="111111"/>
          <w:sz w:val="28"/>
          <w:szCs w:val="28"/>
          <w:rtl/>
        </w:rPr>
        <w:t xml:space="preserve">← تاریخ آل محمد ← تشریح و محاکمه در تاریخ آل محمد عليهم السلام</w:t>
      </w:r>
    </w:p>
    <w:p>
      <w:pPr>
        <w:pStyle w:val="Heading3"/>
      </w:pPr>
      <w:bookmarkStart w:id="1961" w:name="_Toc1221"/>
      <w:r>
        <w:t>•تاریخ آل محمد / تاریخ معصومین / فارسی</w:t>
      </w:r>
      <w:bookmarkEnd w:id="1961"/>
    </w:p>
    <w:p>
      <w:pPr>
        <w:pStyle w:val="BookText"/>
      </w:pPr>
      <w:r>
        <w:rPr>
          <w:rFonts w:ascii="Times New Roman" w:hAnsi="Times New Roman" w:eastAsia="Times New Roman" w:cs="Times New Roman"/>
          <w:lang w:val="en-US" w:bidi="en-US"/>
          <w:color w:val="111111"/>
          <w:sz w:val="28"/>
          <w:szCs w:val="28"/>
          <w:rtl/>
        </w:rPr>
        <w:t xml:space="preserve">tārīx-e āl-e mohammad</w:t>
      </w:r>
    </w:p>
    <w:p>
      <w:pPr>
        <w:pStyle w:val="BookText"/>
      </w:pPr>
      <w:r>
        <w:rPr>
          <w:rFonts w:ascii="IRNazanin" w:hAnsi="IRNazanin" w:eastAsia="IRNazanin" w:cs="IRNazanin"/>
          <w:lang w:bidi="fa-IR"/>
          <w:color w:val="111111"/>
          <w:sz w:val="28"/>
          <w:szCs w:val="28"/>
          <w:rtl/>
        </w:rPr>
        <w:t xml:space="preserve">فاضل، سید یوسف</w:t>
      </w:r>
    </w:p>
    <w:p>
      <w:pPr>
        <w:pStyle w:val="BookText"/>
      </w:pPr>
      <w:r>
        <w:rPr>
          <w:rFonts w:ascii="Times New Roman" w:hAnsi="Times New Roman" w:eastAsia="Times New Roman" w:cs="Times New Roman"/>
          <w:lang w:val="en-US" w:bidi="en-US"/>
          <w:color w:val="111111"/>
          <w:sz w:val="28"/>
          <w:szCs w:val="28"/>
          <w:rtl/>
        </w:rPr>
        <w:t xml:space="preserve">fāzel, seyyed yūsof</w:t>
      </w:r>
    </w:p>
    <w:p>
      <w:pPr>
        <w:pStyle w:val="BookText"/>
      </w:pPr>
      <w:r>
        <w:rPr>
          <w:rFonts w:ascii="IRNazanin" w:hAnsi="IRNazanin" w:eastAsia="IRNazanin" w:cs="IRNazanin"/>
          <w:lang w:bidi="fa-IR"/>
          <w:color w:val="111111"/>
          <w:sz w:val="28"/>
          <w:szCs w:val="28"/>
          <w:rtl/>
        </w:rPr>
        <w:t xml:space="preserve">تاریخ مفصل حضرات معصومین علیهم السلام را که بیشتر مورخین مهمل داشته در این کتاب بازگو نموده و در آغاز فضائل و مناقب اهل بیت را از کتابهای علمای اهل سنت نقل کرده تا منزلت آنان آشکار گردد. باید در چند مجلد باشد. آغاز: بر عموم واضح و معلوم است که محبت و مودت خانواده عصمت و طهارت کما آنکه بافراد امت فرض و واجب است.</w:t>
      </w:r>
    </w:p>
    <w:p>
      <w:pPr>
        <w:pStyle w:val="BookText"/>
      </w:pPr>
      <w:r>
        <w:rPr>
          <w:rFonts w:ascii="IRNazanin" w:hAnsi="IRNazanin" w:eastAsia="IRNazanin" w:cs="IRNazanin"/>
          <w:lang w:bidi="fa-IR"/>
          <w:color w:val="111111"/>
          <w:sz w:val="28"/>
          <w:szCs w:val="28"/>
          <w:rtl/>
        </w:rPr>
        <w:t xml:space="preserve">[ دنا ۶۶۶/۲ ؛ فهرستواره منزوی ۱۵۶۷/۳ ]</w:t>
      </w:r>
    </w:p>
    <w:p>
      <w:pPr>
        <w:pStyle w:val="BookText"/>
      </w:pPr>
      <w:r>
        <w:rPr>
          <w:rFonts w:ascii="IRNazanin" w:hAnsi="IRNazanin" w:eastAsia="IRNazanin" w:cs="IRNazanin"/>
          <w:lang w:bidi="fa-IR"/>
          <w:color w:val="111111"/>
          <w:sz w:val="28"/>
          <w:szCs w:val="28"/>
          <w:rtl/>
        </w:rPr>
        <w:t xml:space="preserve">قم؛ مرعشی؛ شماره نسخه:۷۵۹۸</w:t>
      </w:r>
    </w:p>
    <w:p>
      <w:pPr>
        <w:pStyle w:val="BookText"/>
      </w:pPr>
      <w:r>
        <w:rPr>
          <w:rFonts w:ascii="IRNazanin" w:hAnsi="IRNazanin" w:eastAsia="IRNazanin" w:cs="IRNazanin"/>
          <w:lang w:bidi="fa-IR"/>
          <w:color w:val="111111"/>
          <w:sz w:val="28"/>
          <w:szCs w:val="28"/>
          <w:rtl/>
        </w:rPr>
        <w:t xml:space="preserve">آغاز: برابر این دفتر جزء اول کتاب و مشتمل بر پاره ای از فضائل می باشد؛</w:t>
      </w:r>
    </w:p>
    <w:p>
      <w:pPr>
        <w:pStyle w:val="BookText"/>
      </w:pPr>
      <w:r>
        <w:rPr>
          <w:rFonts w:ascii="IRNazanin" w:hAnsi="IRNazanin" w:eastAsia="IRNazanin" w:cs="IRNazanin"/>
          <w:lang w:bidi="fa-IR"/>
          <w:color w:val="111111"/>
          <w:sz w:val="28"/>
          <w:szCs w:val="28"/>
          <w:rtl/>
        </w:rPr>
        <w:t xml:space="preserve">خط: نستعلیق و نسخ، بی کا، بی تا؛ شاید بخط مؤلف؛ برگها یک رو نوشته شده؛ جلد: تیماج قهوه ای، ۱۱۶گ، ۲۱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۱۹-۴۱۰]</w:t>
      </w:r>
    </w:p>
    <w:p>
      <w:pPr>
        <w:pStyle w:val="BookText"/>
      </w:pPr>
      <w:r>
        <w:rPr>
          <w:rFonts w:ascii="IRNazanin" w:hAnsi="IRNazanin" w:eastAsia="IRNazanin" w:cs="IRNazanin"/>
          <w:lang w:bidi="fa-IR"/>
          <w:color w:val="111111"/>
          <w:sz w:val="28"/>
          <w:szCs w:val="28"/>
          <w:rtl/>
        </w:rPr>
        <w:t xml:space="preserve">← تاریخ آل مظفر ← مواهب الهی</w:t>
      </w:r>
    </w:p>
    <w:p>
      <w:pPr>
        <w:pStyle w:val="Heading3"/>
      </w:pPr>
      <w:bookmarkStart w:id="1962" w:name="_Toc1222"/>
      <w:r>
        <w:t>•تاریخ آل مظفر / تاریخ ایران فارسی</w:t>
      </w:r>
      <w:bookmarkEnd w:id="1962"/>
    </w:p>
    <w:p>
      <w:pPr>
        <w:pStyle w:val="BookText"/>
      </w:pPr>
      <w:r>
        <w:rPr>
          <w:rFonts w:ascii="Times New Roman" w:hAnsi="Times New Roman" w:eastAsia="Times New Roman" w:cs="Times New Roman"/>
          <w:lang w:val="en-US" w:bidi="en-US"/>
          <w:color w:val="111111"/>
          <w:sz w:val="28"/>
          <w:szCs w:val="28"/>
          <w:rtl/>
        </w:rPr>
        <w:t xml:space="preserve">tārīx-e āl-e mozaffar</w:t>
      </w:r>
    </w:p>
    <w:p>
      <w:pPr>
        <w:pStyle w:val="BookText"/>
      </w:pPr>
      <w:r>
        <w:rPr>
          <w:rFonts w:ascii="IRNazanin" w:hAnsi="IRNazanin" w:eastAsia="IRNazanin" w:cs="IRNazanin"/>
          <w:lang w:bidi="fa-IR"/>
          <w:color w:val="111111"/>
          <w:sz w:val="28"/>
          <w:szCs w:val="28"/>
          <w:rtl/>
        </w:rPr>
        <w:t xml:space="preserve">حافظ ابرو، عبد الله بن لطف الله، ۷۶۳؟ -۸۳۴؟ قمری</w:t>
      </w:r>
    </w:p>
    <w:p>
      <w:pPr>
        <w:pStyle w:val="BookText"/>
      </w:pPr>
      <w:r>
        <w:rPr>
          <w:rFonts w:ascii="Times New Roman" w:hAnsi="Times New Roman" w:eastAsia="Times New Roman" w:cs="Times New Roman"/>
          <w:lang w:val="en-US" w:bidi="en-US"/>
          <w:color w:val="111111"/>
          <w:sz w:val="28"/>
          <w:szCs w:val="28"/>
          <w:rtl/>
        </w:rPr>
        <w:t xml:space="preserve">hāfez abrū, “abd-ol-lāh ebn-e lotf-ol-lāh (1362-1431)</w:t>
      </w:r>
    </w:p>
    <w:p>
      <w:pPr>
        <w:pStyle w:val="BookText"/>
      </w:pPr>
      <w:r>
        <w:rPr>
          <w:rFonts w:ascii="IRNazanin" w:hAnsi="IRNazanin" w:eastAsia="IRNazanin" w:cs="IRNazanin"/>
          <w:lang w:bidi="fa-IR"/>
          <w:color w:val="111111"/>
          <w:sz w:val="28"/>
          <w:szCs w:val="28"/>
          <w:rtl/>
        </w:rPr>
        <w:t xml:space="preserve">بایستی بخشی از «مجمع التواریخ» او باشد. در دنیا چه نسخه ملک می گوید: این اوراق مشتمل است بر احوال و اوضاع آل مظفر که مدت شش سال در فارس و بعض عراق و کرمان فرمانروایی کردند. در دیباچه از شاه روز گار که بایستی شاهرخ باشد- و تاریخ نگارش یادی نکرده است. نامبوب، با سربندهای «ذکر»: ذکر نسب آل مظفر، ذکر توجه محمد مظفر به اردوی اولجایتو، منازعت عضدالدین یزدی و میر محمد مظفر ... «منزوی، احمد» آغاز: شکر و سپاس صانعی را که به کرم عمیم و نعم جسیم از خزانه ... اما بعد چنین گوید ... عبدالله بن لطف الله المدعو به حافظ ابرو ...</w:t>
      </w:r>
    </w:p>
    <w:p>
      <w:pPr>
        <w:pStyle w:val="BookText"/>
      </w:pPr>
      <w:r>
        <w:rPr>
          <w:rFonts w:ascii="IRNazanin" w:hAnsi="IRNazanin" w:eastAsia="IRNazanin" w:cs="IRNazanin"/>
          <w:lang w:bidi="fa-IR"/>
          <w:color w:val="111111"/>
          <w:sz w:val="28"/>
          <w:szCs w:val="28"/>
          <w:rtl/>
        </w:rPr>
        <w:t xml:space="preserve">[دنا ۶۶۶/۲ ؛ فهرستواره منزوی ۸۳۷/۲ ]</w:t>
      </w:r>
    </w:p>
    <w:p>
      <w:pPr>
        <w:pStyle w:val="BookText"/>
      </w:pPr>
      <w:r>
        <w:rPr>
          <w:rFonts w:ascii="IRNazanin" w:hAnsi="IRNazanin" w:eastAsia="IRNazanin" w:cs="IRNazanin"/>
          <w:lang w:bidi="fa-IR"/>
          <w:color w:val="111111"/>
          <w:sz w:val="28"/>
          <w:szCs w:val="28"/>
          <w:rtl/>
        </w:rPr>
        <w:t xml:space="preserve">تهران؛ ملک؛ شماره نسخه:۴۱۶۴/۳</w:t>
      </w:r>
    </w:p>
    <w:p>
      <w:pPr>
        <w:pStyle w:val="BookText"/>
      </w:pPr>
      <w:r>
        <w:rPr>
          <w:rFonts w:ascii="IRNazanin" w:hAnsi="IRNazanin" w:eastAsia="IRNazanin" w:cs="IRNazanin"/>
          <w:lang w:bidi="fa-IR"/>
          <w:color w:val="111111"/>
          <w:sz w:val="28"/>
          <w:szCs w:val="28"/>
          <w:rtl/>
        </w:rPr>
        <w:t xml:space="preserve">آغاز: برابر؛ انجام: تا چشم زدیم بر هم، آثار نماند. آنچه از اخبار و آثار آل مظفر بتقرير ناقلان معتبر و راویان معتمد معلوم و مفهوم گشت به عبارتی که خاطر عقيم و طبع سقيم. خط: نسخ، كا: آقا بابا شهمیرزادی، تا: ۱۸ شعبان ۱۲۷۱ق؛ کاغذ: ترمه اصفهانی، جلد: ساغری سیاه، ۲۷ ص (۱۷۰-۱۹۶)، ۴۳ سطر، اندازه: ۲۶/۵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۴۱/۹سم [ف: ۷-۲۲۲] تهران؛ دائرة المعارف؛ شماره نسخه:۴۴۰/۳ -عکسی</w:t>
      </w:r>
    </w:p>
    <w:p>
      <w:pPr>
        <w:pStyle w:val="BookText"/>
      </w:pPr>
      <w:r>
        <w:rPr>
          <w:rFonts w:ascii="IRNazanin" w:hAnsi="IRNazanin" w:eastAsia="IRNazanin" w:cs="IRNazanin"/>
          <w:lang w:bidi="fa-IR"/>
          <w:color w:val="111111"/>
          <w:sz w:val="28"/>
          <w:szCs w:val="28"/>
          <w:rtl/>
        </w:rPr>
        <w:t xml:space="preserve">نسخه اصل: همان نسخه بالا [عکسی ف: ۲-۵۰]</w:t>
      </w:r>
    </w:p>
    <w:p>
      <w:pPr>
        <w:pStyle w:val="Heading3"/>
      </w:pPr>
      <w:bookmarkStart w:id="1963" w:name="_Toc1223"/>
      <w:r>
        <w:t>•تاریخ آل مظفر / تاریخ ایران / فارسی</w:t>
      </w:r>
      <w:bookmarkEnd w:id="1963"/>
    </w:p>
    <w:p>
      <w:pPr>
        <w:pStyle w:val="BookText"/>
      </w:pPr>
      <w:r>
        <w:rPr>
          <w:rFonts w:ascii="IRNazanin" w:hAnsi="IRNazanin" w:eastAsia="IRNazanin" w:cs="IRNazanin"/>
          <w:lang w:bidi="fa-IR"/>
          <w:color w:val="111111"/>
          <w:sz w:val="28"/>
          <w:szCs w:val="28"/>
          <w:rtl/>
        </w:rPr>
        <w:t xml:space="preserve">کتبی، محمود، ق۹ قمری</w:t>
      </w:r>
    </w:p>
    <w:p>
      <w:pPr>
        <w:pStyle w:val="BookText"/>
      </w:pPr>
      <w:r>
        <w:rPr>
          <w:rFonts w:ascii="Times New Roman" w:hAnsi="Times New Roman" w:eastAsia="Times New Roman" w:cs="Times New Roman"/>
          <w:lang w:val="en-US" w:bidi="en-US"/>
          <w:color w:val="111111"/>
          <w:sz w:val="28"/>
          <w:szCs w:val="28"/>
          <w:rtl/>
        </w:rPr>
        <w:t xml:space="preserve">tārīx-e āl-e mozaffar</w:t>
      </w:r>
    </w:p>
    <w:p>
      <w:pPr>
        <w:pStyle w:val="BookText"/>
      </w:pPr>
      <w:r>
        <w:rPr>
          <w:rFonts w:ascii="Times New Roman" w:hAnsi="Times New Roman" w:eastAsia="Times New Roman" w:cs="Times New Roman"/>
          <w:lang w:val="en-US" w:bidi="en-US"/>
          <w:color w:val="111111"/>
          <w:sz w:val="28"/>
          <w:szCs w:val="28"/>
          <w:rtl/>
        </w:rPr>
        <w:t xml:space="preserve">kotobī, mahmūd (-15c)</w:t>
      </w:r>
    </w:p>
    <w:p>
      <w:pPr>
        <w:pStyle w:val="BookText"/>
      </w:pPr>
      <w:r>
        <w:rPr>
          <w:rFonts w:ascii="IRNazanin" w:hAnsi="IRNazanin" w:eastAsia="IRNazanin" w:cs="IRNazanin"/>
          <w:lang w:bidi="fa-IR"/>
          <w:color w:val="111111"/>
          <w:sz w:val="28"/>
          <w:szCs w:val="28"/>
          <w:rtl/>
        </w:rPr>
        <w:t xml:space="preserve">وابسته به مواهب الهی = تاريخ آل مظفر = تاریخ مظفری = تاریخ معینی؛ معین الدین یزدی، علی بن محمد (-۷۸۹) تاریخ تأليف: ۸۲۳ق گزیده ای است از مواهب الهی معین الدین یزدی و کتبی آن را میان کتاب ۴ و ۵ تاریخ گزیده مستوفی قزوینی گذارده است. آغاز: بسمله. و به نستعین در ذکر پادشاهان آل مظفر هفت تن بودند ... مولانا افضل سعید مغفور مولانا معین الدین یزدی ...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364" w:name="pg20363_209646"/>
    <w:bookmarkEnd w:id="364"/>
    <w:p>
      <w:pPr>
        <w:pStyle w:val="BookText"/>
      </w:pPr>
      <w:r>
        <w:rPr>
          <w:rFonts w:ascii="IRNazanin" w:hAnsi="IRNazanin" w:eastAsia="IRNazanin" w:cs="IRNazanin"/>
          <w:lang w:bidi="fa-IR"/>
          <w:color w:val="111111"/>
          <w:sz w:val="28"/>
          <w:szCs w:val="28"/>
          <w:rtl/>
        </w:rPr>
        <w:t xml:space="preserve">بعضی از تاریخ ایشان تألیف فرموده ... در تاریخ شهور سنه ثلث و عشرین و ثمانمائة که بنده ... محمود کتبی ... بر حسب اشاره عليه بسعادت کتاب تاریخ گزیده که ... حمدالله مستوفی ساخته و پرداخته مشرف شد ... تاريخ آل مظفر را ... داخل این نسخه میباید گردانید.</w:t>
      </w:r>
    </w:p>
    <w:p>
      <w:pPr>
        <w:pStyle w:val="BookText"/>
      </w:pPr>
      <w:r>
        <w:rPr>
          <w:rFonts w:ascii="IRNazanin" w:hAnsi="IRNazanin" w:eastAsia="IRNazanin" w:cs="IRNazanin"/>
          <w:lang w:bidi="fa-IR"/>
          <w:color w:val="111111"/>
          <w:sz w:val="28"/>
          <w:szCs w:val="28"/>
          <w:rtl/>
        </w:rPr>
        <w:t xml:space="preserve">انجام: ملک خداست ثابت و باقی و بعد از ان *** آثار خیر و نام نکو و دگر هبا است. بعد ازین تتمه تاریخ گزیده قزوینی است که در قلم میآمد ... و عليه التكلان</w:t>
      </w:r>
    </w:p>
    <w:p>
      <w:pPr>
        <w:pStyle w:val="BookText"/>
      </w:pPr>
      <w:r>
        <w:rPr>
          <w:rFonts w:ascii="IRNazanin" w:hAnsi="IRNazanin" w:eastAsia="IRNazanin" w:cs="IRNazanin"/>
          <w:lang w:bidi="fa-IR"/>
          <w:color w:val="111111"/>
          <w:sz w:val="28"/>
          <w:szCs w:val="28"/>
          <w:rtl/>
        </w:rPr>
        <w:t xml:space="preserve">چاپ: در دنبال تاریخ گزیده، لندن، ۱۹۱۰، ص۶۱۳-۷۵۵؛ تهران، ۱۳۳۵، ۱۲۶</w:t>
      </w:r>
    </w:p>
    <w:p>
      <w:pPr>
        <w:pStyle w:val="BookText"/>
      </w:pPr>
      <w:r>
        <w:rPr>
          <w:rFonts w:ascii="IRNazanin" w:hAnsi="IRNazanin" w:eastAsia="IRNazanin" w:cs="IRNazanin"/>
          <w:lang w:bidi="fa-IR"/>
          <w:color w:val="111111"/>
          <w:sz w:val="28"/>
          <w:szCs w:val="28"/>
          <w:rtl/>
        </w:rPr>
        <w:t xml:space="preserve">[دنا ۶۶۶/۲ ؛ فهرستواره منزوی ۸۳۷/۲ ]</w:t>
      </w:r>
    </w:p>
    <w:p>
      <w:pPr>
        <w:pStyle w:val="BookText"/>
      </w:pPr>
      <w:r>
        <w:rPr>
          <w:rFonts w:ascii="IRNazanin" w:hAnsi="IRNazanin" w:eastAsia="IRNazanin" w:cs="IRNazanin"/>
          <w:lang w:bidi="fa-IR"/>
          <w:color w:val="111111"/>
          <w:sz w:val="28"/>
          <w:szCs w:val="28"/>
          <w:rtl/>
        </w:rPr>
        <w:t xml:space="preserve">تهران؛ حقوق؛ شماره نسخه:۱۳۵-ج</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دیباچه نسخه ما در چاپ لندن نیامده است؛ خط: نسخ، بی کا، تا: چهارشنبه ۱۲ صفر ۱۳۲۵ق، کاغذ: فرنگی، جلد: تیماج زرد، ۸۴گ، ۱۹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w:t>
      </w:r>
    </w:p>
    <w:p>
      <w:pPr>
        <w:pStyle w:val="BookText"/>
      </w:pPr>
      <w:r>
        <w:rPr>
          <w:rFonts w:ascii="IRNazanin" w:hAnsi="IRNazanin" w:eastAsia="IRNazanin" w:cs="IRNazanin"/>
          <w:lang w:bidi="fa-IR"/>
          <w:color w:val="111111"/>
          <w:sz w:val="28"/>
          <w:szCs w:val="28"/>
          <w:rtl/>
        </w:rPr>
        <w:t xml:space="preserve">سم [ف: ۲۴]</w:t>
      </w:r>
    </w:p>
    <w:p>
      <w:pPr>
        <w:pStyle w:val="BookText"/>
      </w:pPr>
      <w:r>
        <w:rPr>
          <w:rFonts w:ascii="IRNazanin" w:hAnsi="IRNazanin" w:eastAsia="IRNazanin" w:cs="IRNazanin"/>
          <w:lang w:bidi="fa-IR"/>
          <w:color w:val="111111"/>
          <w:sz w:val="28"/>
          <w:szCs w:val="28"/>
          <w:rtl/>
        </w:rPr>
        <w:t xml:space="preserve">← تاریخ الائمة ← الهداية به تاریخ ائمه به تاریخ چهارده معصوم</w:t>
      </w:r>
    </w:p>
    <w:p>
      <w:pPr>
        <w:pStyle w:val="Heading3"/>
      </w:pPr>
      <w:bookmarkStart w:id="1964" w:name="_Toc1224"/>
      <w:r>
        <w:t>•تاریخ الائمة / تاریخ معصومین /عربی</w:t>
      </w:r>
      <w:bookmarkEnd w:id="1964"/>
    </w:p>
    <w:p>
      <w:pPr>
        <w:pStyle w:val="BookText"/>
      </w:pPr>
      <w:r>
        <w:rPr>
          <w:rFonts w:ascii="Times New Roman" w:hAnsi="Times New Roman" w:eastAsia="Times New Roman" w:cs="Times New Roman"/>
          <w:lang w:val="en-US" w:bidi="en-US"/>
          <w:color w:val="111111"/>
          <w:sz w:val="28"/>
          <w:szCs w:val="28"/>
          <w:rtl/>
        </w:rPr>
        <w:t xml:space="preserve">tārīx-ul a'imma</w:t>
      </w:r>
    </w:p>
    <w:p>
      <w:pPr>
        <w:pStyle w:val="BookText"/>
      </w:pPr>
      <w:r>
        <w:rPr>
          <w:rFonts w:ascii="IRNazanin" w:hAnsi="IRNazanin" w:eastAsia="IRNazanin" w:cs="IRNazanin"/>
          <w:lang w:bidi="fa-IR"/>
          <w:color w:val="111111"/>
          <w:sz w:val="28"/>
          <w:szCs w:val="28"/>
          <w:rtl/>
        </w:rPr>
        <w:t xml:space="preserve">ابن ابی الثلج، محمد بن احمد، -۳۲۵ قمری</w:t>
      </w:r>
    </w:p>
    <w:p>
      <w:pPr>
        <w:pStyle w:val="BookText"/>
      </w:pPr>
      <w:r>
        <w:rPr>
          <w:rFonts w:ascii="Times New Roman" w:hAnsi="Times New Roman" w:eastAsia="Times New Roman" w:cs="Times New Roman"/>
          <w:lang w:val="en-US" w:bidi="en-US"/>
          <w:color w:val="111111"/>
          <w:sz w:val="28"/>
          <w:szCs w:val="28"/>
          <w:rtl/>
        </w:rPr>
        <w:t xml:space="preserve">ebn-e abe-s-salj, mohammad ebn-e ahmad (-938)</w:t>
      </w:r>
    </w:p>
    <w:p>
      <w:pPr>
        <w:pStyle w:val="BookText"/>
      </w:pPr>
      <w:r>
        <w:rPr>
          <w:rFonts w:ascii="IRNazanin" w:hAnsi="IRNazanin" w:eastAsia="IRNazanin" w:cs="IRNazanin"/>
          <w:lang w:bidi="fa-IR"/>
          <w:color w:val="111111"/>
          <w:sz w:val="28"/>
          <w:szCs w:val="28"/>
          <w:rtl/>
        </w:rPr>
        <w:t xml:space="preserve">تاریخ مختصر رسول الله(صلی الله علیه وآله وسلم)و ائمه طاهرین و اولاد شریف آن بزرگواران است که در ضمن آن اسامی مادران ائمه و القاب آنان و ابواب رسول الله و ائمه طاهرین بیان شده است.</w:t>
      </w:r>
    </w:p>
    <w:p>
      <w:pPr>
        <w:pStyle w:val="BookText"/>
      </w:pPr>
      <w:r>
        <w:rPr>
          <w:rFonts w:ascii="IRNazanin" w:hAnsi="IRNazanin" w:eastAsia="IRNazanin" w:cs="IRNazanin"/>
          <w:lang w:bidi="fa-IR"/>
          <w:color w:val="111111"/>
          <w:sz w:val="28"/>
          <w:szCs w:val="28"/>
          <w:rtl/>
        </w:rPr>
        <w:t xml:space="preserve">آغاز: أخبرنا الامام الفاضل العلامة محب الدين ابو عبدالله محمد بن محمود بن الحسن بن النجار البغدادي المحدث بالمدرسة الشريفة المستنصرية قال: أخبرنا المشايخ الثلاثة ابو عبدالله محمد بن عبد الواحد بن الفاخر القرشی</w:t>
      </w:r>
    </w:p>
    <w:p>
      <w:pPr>
        <w:pStyle w:val="BookText"/>
      </w:pPr>
      <w:r>
        <w:rPr>
          <w:rFonts w:ascii="IRNazanin" w:hAnsi="IRNazanin" w:eastAsia="IRNazanin" w:cs="IRNazanin"/>
          <w:lang w:bidi="fa-IR"/>
          <w:color w:val="111111"/>
          <w:sz w:val="28"/>
          <w:szCs w:val="28"/>
          <w:rtl/>
        </w:rPr>
        <w:t xml:space="preserve">چاپ: قم، انتشارات بصیرتی، ضمن مجموعه نفیسه؛ تبریز، توسط شهید محمد علی قاضی طباطبائی؛ ضمن مجموعه به صورت تصویری از سوی کتابخانه آیت الله المرعشی؛ بیروت، ۱۴۲۲ق</w:t>
      </w:r>
    </w:p>
    <w:p>
      <w:pPr>
        <w:pStyle w:val="BookText"/>
      </w:pPr>
      <w:r>
        <w:rPr>
          <w:rFonts w:ascii="Amiri" w:hAnsi="Amiri" w:eastAsia="Amiri" w:cs="Amiri"/>
          <w:lang w:bidi="ar-SA"/>
          <w:color w:val="111111"/>
          <w:sz w:val="28"/>
          <w:szCs w:val="28"/>
          <w:rtl/>
        </w:rPr>
        <w:t xml:space="preserve">[الذريعة: ۲۱۸/۳ ]</w:t>
      </w:r>
    </w:p>
    <w:p>
      <w:pPr>
        <w:pStyle w:val="BookText"/>
      </w:pPr>
      <w:r>
        <w:rPr>
          <w:rFonts w:ascii="IRNazanin" w:hAnsi="IRNazanin" w:eastAsia="IRNazanin" w:cs="IRNazanin"/>
          <w:lang w:bidi="fa-IR"/>
          <w:color w:val="111111"/>
          <w:sz w:val="28"/>
          <w:szCs w:val="28"/>
          <w:rtl/>
        </w:rPr>
        <w:t xml:space="preserve">۱. قم؛ مرعشی؛ شماره نسخه: ۱/۱۲۸۹۰</w:t>
      </w:r>
    </w:p>
    <w:p>
      <w:pPr>
        <w:pStyle w:val="BookText"/>
      </w:pPr>
      <w:r>
        <w:rPr>
          <w:rFonts w:ascii="IRNazanin" w:hAnsi="IRNazanin" w:eastAsia="IRNazanin" w:cs="IRNazanin"/>
          <w:lang w:bidi="fa-IR"/>
          <w:color w:val="111111"/>
          <w:sz w:val="28"/>
          <w:szCs w:val="28"/>
          <w:rtl/>
        </w:rPr>
        <w:t xml:space="preserve">آغاز: برابر؛ انجام: قتل العباس و عثمان و جعفر و عبدالله الاكبر مع الحسين و قتل يوم المختار ليلة الدار و كان مع مصعب بن الزبير فقال مصعب یا له فتح لو لا قتل و ليس بشيء تم الكتاب بحول الله و قوته.</w:t>
      </w:r>
    </w:p>
    <w:p>
      <w:pPr>
        <w:pStyle w:val="BookText"/>
      </w:pPr>
      <w:r>
        <w:rPr>
          <w:rFonts w:ascii="IRNazanin" w:hAnsi="IRNazanin" w:eastAsia="IRNazanin" w:cs="IRNazanin"/>
          <w:lang w:bidi="fa-IR"/>
          <w:color w:val="111111"/>
          <w:sz w:val="28"/>
          <w:szCs w:val="28"/>
          <w:rtl/>
        </w:rPr>
        <w:t xml:space="preserve">خط: نسخ زیبا، بی کا، تا: شعبان ۱۳۹۳ق؛ محشی با علامت «ع، م، ق»؛ کاغذ: فرنگی زرد، ۱۸گ (۵پ - ۲۲ر)، ۱۲ سطر، اندازه: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سم [ف: ۳۲-۶۸۶]</w:t>
      </w:r>
    </w:p>
    <w:p>
      <w:pPr>
        <w:pStyle w:val="BookText"/>
      </w:pPr>
      <w:r>
        <w:rPr>
          <w:rFonts w:ascii="IRNazanin" w:hAnsi="IRNazanin" w:eastAsia="IRNazanin" w:cs="IRNazanin"/>
          <w:lang w:bidi="fa-IR"/>
          <w:color w:val="111111"/>
          <w:sz w:val="28"/>
          <w:szCs w:val="28"/>
          <w:rtl/>
        </w:rPr>
        <w:t xml:space="preserve">۲. تبریز؛ قاضی طباطبائی؛ شماره نسخه:بدون شماره /۲</w:t>
      </w:r>
    </w:p>
    <w:p>
      <w:pPr>
        <w:pStyle w:val="BookText"/>
      </w:pPr>
      <w:r>
        <w:rPr>
          <w:rFonts w:ascii="IRNazanin" w:hAnsi="IRNazanin" w:eastAsia="IRNazanin" w:cs="IRNazanin"/>
          <w:lang w:bidi="fa-IR"/>
          <w:color w:val="111111"/>
          <w:sz w:val="28"/>
          <w:szCs w:val="28"/>
          <w:rtl/>
        </w:rPr>
        <w:t xml:space="preserve">بی کا، بی تا [نشریه: ۷-۵۲۱]</w:t>
      </w:r>
    </w:p>
    <w:p>
      <w:pPr>
        <w:pStyle w:val="Heading3"/>
      </w:pPr>
      <w:bookmarkStart w:id="1965" w:name="_Toc1225"/>
      <w:r>
        <w:t>• تاریخ الائمة = حالات و کرامات چهارده معصوم / تاریخ معصومین / فارسی</w:t>
      </w:r>
      <w:bookmarkEnd w:id="1965"/>
    </w:p>
    <w:p>
      <w:pPr>
        <w:pStyle w:val="BookText"/>
      </w:pPr>
      <w:r>
        <w:rPr>
          <w:rFonts w:ascii="Times New Roman" w:hAnsi="Times New Roman" w:eastAsia="Times New Roman" w:cs="Times New Roman"/>
          <w:lang w:val="en-US" w:bidi="en-US"/>
          <w:color w:val="111111"/>
          <w:sz w:val="28"/>
          <w:szCs w:val="28"/>
          <w:rtl/>
        </w:rPr>
        <w:t xml:space="preserve">tārīx-ol a'emme = hālāt va kerāmāt-e čahārdah ma‘sūm</w:t>
      </w:r>
    </w:p>
    <w:p>
      <w:pPr>
        <w:pStyle w:val="BookText"/>
      </w:pPr>
      <w:r>
        <w:rPr>
          <w:rFonts w:ascii="IRNazanin" w:hAnsi="IRNazanin" w:eastAsia="IRNazanin" w:cs="IRNazanin"/>
          <w:lang w:bidi="fa-IR"/>
          <w:color w:val="111111"/>
          <w:sz w:val="28"/>
          <w:szCs w:val="28"/>
          <w:rtl/>
        </w:rPr>
        <w:t xml:space="preserve">علوی، محمد بن تقی، ق ۱۱ قمری</w:t>
      </w:r>
    </w:p>
    <w:p>
      <w:pPr>
        <w:pStyle w:val="BookText"/>
      </w:pPr>
      <w:r>
        <w:rPr>
          <w:rFonts w:ascii="Times New Roman" w:hAnsi="Times New Roman" w:eastAsia="Times New Roman" w:cs="Times New Roman"/>
          <w:lang w:val="en-US" w:bidi="en-US"/>
          <w:color w:val="111111"/>
          <w:sz w:val="28"/>
          <w:szCs w:val="28"/>
          <w:rtl/>
        </w:rPr>
        <w:t xml:space="preserve">‘alavī, mohammad ebn-e taqi (-17c)</w:t>
      </w:r>
    </w:p>
    <w:p>
      <w:pPr>
        <w:pStyle w:val="BookText"/>
      </w:pPr>
      <w:r>
        <w:rPr>
          <w:rFonts w:ascii="IRNazanin" w:hAnsi="IRNazanin" w:eastAsia="IRNazanin" w:cs="IRNazanin"/>
          <w:lang w:bidi="fa-IR"/>
          <w:color w:val="111111"/>
          <w:sz w:val="28"/>
          <w:szCs w:val="28"/>
          <w:rtl/>
        </w:rPr>
        <w:t xml:space="preserve">اهدا به: شاه طهماسب (۹۳۰-۹۸۴ق)</w:t>
      </w:r>
    </w:p>
    <w:p>
      <w:pPr>
        <w:pStyle w:val="BookText"/>
      </w:pPr>
      <w:r>
        <w:rPr>
          <w:rFonts w:ascii="IRNazanin" w:hAnsi="IRNazanin" w:eastAsia="IRNazanin" w:cs="IRNazanin"/>
          <w:lang w:bidi="fa-IR"/>
          <w:color w:val="111111"/>
          <w:sz w:val="28"/>
          <w:szCs w:val="28"/>
          <w:rtl/>
        </w:rPr>
        <w:t xml:space="preserve">در چهارده یا سیزده «باب».</w:t>
      </w:r>
    </w:p>
    <w:p>
      <w:pPr>
        <w:pStyle w:val="BookText"/>
      </w:pPr>
      <w:r>
        <w:rPr>
          <w:rFonts w:ascii="IRNazanin" w:hAnsi="IRNazanin" w:eastAsia="IRNazanin" w:cs="IRNazanin"/>
          <w:lang w:bidi="fa-IR"/>
          <w:color w:val="111111"/>
          <w:sz w:val="28"/>
          <w:szCs w:val="28"/>
          <w:rtl/>
        </w:rPr>
        <w:t xml:space="preserve">آغاز: بسمله، الحمد لمن فضل العالمين بمحبة نبيه محمد ... بیت: حمدی و شکری تا ابد مر خالق لوح و قلم ...</w:t>
      </w:r>
    </w:p>
    <w:p>
      <w:pPr>
        <w:pStyle w:val="BookText"/>
      </w:pPr>
      <w:r>
        <w:rPr>
          <w:rFonts w:ascii="IRNazanin" w:hAnsi="IRNazanin" w:eastAsia="IRNazanin" w:cs="IRNazanin"/>
          <w:lang w:bidi="fa-IR"/>
          <w:color w:val="111111"/>
          <w:sz w:val="28"/>
          <w:szCs w:val="28"/>
          <w:rtl/>
        </w:rPr>
        <w:t xml:space="preserve">انجام: بر تو و احباب تو باد اتمام، خلصنا الله تعالى من نوائب الزمن ... بعون الملک العلام. [فهرستواره منزوی ۱۵۶۷/۳ ]</w:t>
      </w:r>
    </w:p>
    <w:p>
      <w:pPr>
        <w:pStyle w:val="BookText"/>
      </w:pPr>
      <w:r>
        <w:rPr>
          <w:rFonts w:ascii="IRNazanin" w:hAnsi="IRNazanin" w:eastAsia="IRNazanin" w:cs="IRNazanin"/>
          <w:lang w:bidi="fa-IR"/>
          <w:color w:val="111111"/>
          <w:sz w:val="28"/>
          <w:szCs w:val="28"/>
          <w:rtl/>
        </w:rPr>
        <w:t xml:space="preserve">۱. تهران؛ ملک؛ شماره نسخه: ۳۷۳۱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۹۹۸ق؛ مجدول، با سر لوح دارد؛ کاغذ: کاغذ ترمه، جلد: میشن قرمز، ۱۱۲گ، ۱۲ سطر، اندازه: ۲۰/۸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۱۲/۶ سم [ف: ۲-۲۰۵]</w:t>
      </w:r>
    </w:p>
    <w:p>
      <w:pPr>
        <w:pStyle w:val="BookText"/>
      </w:pPr>
      <w:r>
        <w:rPr>
          <w:rFonts w:ascii="IRNazanin" w:hAnsi="IRNazanin" w:eastAsia="IRNazanin" w:cs="IRNazanin"/>
          <w:lang w:bidi="fa-IR"/>
          <w:color w:val="111111"/>
          <w:sz w:val="28"/>
          <w:szCs w:val="28"/>
          <w:rtl/>
        </w:rPr>
        <w:t xml:space="preserve">۲. تهران؛ سپهسالار؛ شماره نسخه:۷۵۳۱/۳</w:t>
      </w:r>
    </w:p>
    <w:p>
      <w:pPr>
        <w:pStyle w:val="BookText"/>
      </w:pPr>
      <w:r>
        <w:rPr>
          <w:rFonts w:ascii="IRNazanin" w:hAnsi="IRNazanin" w:eastAsia="IRNazanin" w:cs="IRNazanin"/>
          <w:lang w:bidi="fa-IR"/>
          <w:color w:val="111111"/>
          <w:sz w:val="28"/>
          <w:szCs w:val="28"/>
          <w:rtl/>
        </w:rPr>
        <w:t xml:space="preserve">آغاز: برابر؛ انجام: و خطوب الاعوام بحرمة محمد ... بعون الملك العلام سنه ۹۹۸. بی کا، بی تا؛ از روی نسخه ۹۹۸ق نوشته شده؛ ۷۶گ (۳۴۵پ۔ ۴۲۰پ) [ف: ۳-۲۹۲]</w:t>
      </w:r>
    </w:p>
    <w:p>
      <w:pPr>
        <w:pStyle w:val="Heading3"/>
      </w:pPr>
      <w:bookmarkStart w:id="1966" w:name="_Toc1226"/>
      <w:r>
        <w:t>• تاریخ ائمه (عليه السلام) / تاریخ معصومین / عربی و فارسی</w:t>
      </w:r>
      <w:bookmarkEnd w:id="1966"/>
    </w:p>
    <w:p>
      <w:pPr>
        <w:pStyle w:val="BookText"/>
      </w:pPr>
      <w:r>
        <w:rPr>
          <w:rFonts w:ascii="Times New Roman" w:hAnsi="Times New Roman" w:eastAsia="Times New Roman" w:cs="Times New Roman"/>
          <w:lang w:val="en-US" w:bidi="en-US"/>
          <w:color w:val="111111"/>
          <w:sz w:val="28"/>
          <w:szCs w:val="28"/>
          <w:rtl/>
        </w:rPr>
        <w:t xml:space="preserve">tārīx-e a'emme</w:t>
      </w:r>
    </w:p>
    <w:p>
      <w:pPr>
        <w:pStyle w:val="BookText"/>
      </w:pPr>
      <w:r>
        <w:rPr>
          <w:rFonts w:ascii="IRNazanin" w:hAnsi="IRNazanin" w:eastAsia="IRNazanin" w:cs="IRNazanin"/>
          <w:lang w:bidi="fa-IR"/>
          <w:color w:val="111111"/>
          <w:sz w:val="28"/>
          <w:szCs w:val="28"/>
          <w:rtl/>
        </w:rPr>
        <w:t xml:space="preserve">خراسکانی، محمد شفیع، ق۱۳ قمری</w:t>
      </w:r>
    </w:p>
    <w:p>
      <w:pPr>
        <w:pStyle w:val="BookText"/>
      </w:pPr>
      <w:r>
        <w:rPr>
          <w:rFonts w:ascii="Times New Roman" w:hAnsi="Times New Roman" w:eastAsia="Times New Roman" w:cs="Times New Roman"/>
          <w:lang w:val="en-US" w:bidi="en-US"/>
          <w:color w:val="111111"/>
          <w:sz w:val="28"/>
          <w:szCs w:val="28"/>
          <w:rtl/>
        </w:rPr>
        <w:t xml:space="preserve">xarāskānī, mohammad šafi' (-190)</w:t>
      </w:r>
    </w:p>
    <w:p>
      <w:pPr>
        <w:pStyle w:val="BookText"/>
      </w:pPr>
      <w:r>
        <w:rPr>
          <w:rFonts w:ascii="IRNazanin" w:hAnsi="IRNazanin" w:eastAsia="IRNazanin" w:cs="IRNazanin"/>
          <w:lang w:bidi="fa-IR"/>
          <w:color w:val="111111"/>
          <w:sz w:val="28"/>
          <w:szCs w:val="28"/>
          <w:rtl/>
        </w:rPr>
        <w:t xml:space="preserve">رساله مفصلی است در تاریخ ائمه مشتمل بر چند «فصل» و هر فصل در چند «مجلس»؛ احوال سیدالشهدا (عليه السلام) مفصل است و پس از آن شهادت امام سجاد و امام باقر و امام صادق و امام موسی بن جعفر(عليه السلام) بیان شده پس از آن مجلسی در وفات حضرت معصومه (عليه السلام) در قم و در پایان کیفیت شفاعت حضرت فاطمه در قیامت بیان شده است. مؤلف در اثنای کتاب اشعار زیادی در نوحه و مرثیه می آورد که گویا سروده خود اوست.</w:t>
      </w:r>
    </w:p>
    <w:p>
      <w:pPr>
        <w:pStyle w:val="BookText"/>
      </w:pPr>
      <w:r>
        <w:rPr>
          <w:rFonts w:ascii="IRNazanin" w:hAnsi="IRNazanin" w:eastAsia="IRNazanin" w:cs="IRNazanin"/>
          <w:lang w:bidi="fa-IR"/>
          <w:color w:val="111111"/>
          <w:sz w:val="28"/>
          <w:szCs w:val="28"/>
          <w:rtl/>
        </w:rPr>
        <w:t xml:space="preserve">قم، گلپایگانی؛ شماره نسخه:۵۳۹۳- ۲۷/۶۳</w:t>
      </w:r>
    </w:p>
    <w:p>
      <w:pPr>
        <w:pStyle w:val="BookText"/>
      </w:pPr>
      <w:r>
        <w:rPr>
          <w:rFonts w:ascii="IRNazanin" w:hAnsi="IRNazanin" w:eastAsia="IRNazanin" w:cs="IRNazanin"/>
          <w:lang w:bidi="fa-IR"/>
          <w:color w:val="111111"/>
          <w:sz w:val="28"/>
          <w:szCs w:val="28"/>
          <w:rtl/>
        </w:rPr>
        <w:t xml:space="preserve">آغاز: تاخت و گفت من بهشت را اختیار کردم ودست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365" w:name="pg20363_209647"/>
    <w:bookmarkEnd w:id="365"/>
    <w:p>
      <w:pPr>
        <w:pStyle w:val="BookText"/>
      </w:pPr>
      <w:r>
        <w:rPr>
          <w:rFonts w:ascii="IRNazanin" w:hAnsi="IRNazanin" w:eastAsia="IRNazanin" w:cs="IRNazanin"/>
          <w:lang w:bidi="fa-IR"/>
          <w:color w:val="111111"/>
          <w:sz w:val="28"/>
          <w:szCs w:val="28"/>
          <w:rtl/>
        </w:rPr>
        <w:t xml:space="preserve">بر سر گذاشت و گفت اللهم اليك تبت فتبت على فقد ارعب؛ انجام: ایاشمر حسین من کو، عابد بیمار در تب آزار، باغل وزنجیر، یاران، خفته به بستر، ایاشمر حسین من کو. تمت خط: نسخ، كا: کریم بن قاسم سبحانی برای سید محمدباقر کلیشادی، تا: ۱۲۴۳ق؛ افتادگی: آغاز؛ جلد: تیماج مشکی، ۳۱۵ گ، ۱۴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۲-۶۷۶]</w:t>
      </w:r>
    </w:p>
    <w:p>
      <w:pPr>
        <w:pStyle w:val="Heading3"/>
      </w:pPr>
      <w:bookmarkStart w:id="1967" w:name="_Toc1227"/>
      <w:r>
        <w:t>• تاریخ ائمه(عليه السلام) / حدیث، تاریخ معصومین / عربی</w:t>
      </w:r>
      <w:bookmarkEnd w:id="1967"/>
    </w:p>
    <w:p>
      <w:pPr>
        <w:pStyle w:val="BookText"/>
      </w:pPr>
      <w:r>
        <w:rPr>
          <w:rFonts w:ascii="Times New Roman" w:hAnsi="Times New Roman" w:eastAsia="Times New Roman" w:cs="Times New Roman"/>
          <w:lang w:val="en-US" w:bidi="en-US"/>
          <w:color w:val="111111"/>
          <w:sz w:val="28"/>
          <w:szCs w:val="28"/>
          <w:rtl/>
        </w:rPr>
        <w:t xml:space="preserve">tārīx-e a’emme</w:t>
      </w:r>
    </w:p>
    <w:p>
      <w:pPr>
        <w:pStyle w:val="BookText"/>
      </w:pPr>
      <w:r>
        <w:rPr>
          <w:rFonts w:ascii="IRNazanin" w:hAnsi="IRNazanin" w:eastAsia="IRNazanin" w:cs="IRNazanin"/>
          <w:lang w:bidi="fa-IR"/>
          <w:color w:val="111111"/>
          <w:sz w:val="28"/>
          <w:szCs w:val="28"/>
          <w:rtl/>
        </w:rPr>
        <w:t xml:space="preserve">به نقل از برخی منابع چون: النصوص، کتاب سلیم بن قیس هلالی، کشف الغمه و سير الائمه(عليهم السلام)، به تاریخ زندگی، به امامت رسیدن و معجزات ائمه اطهار (عليهم السلام) پرداخته است، به علت افتادگی برگهای آغاز و انجام، به نام کتاب و مؤلف آن دست نیامد.</w:t>
      </w:r>
    </w:p>
    <w:p>
      <w:pPr>
        <w:pStyle w:val="BookText"/>
      </w:pPr>
      <w:r>
        <w:rPr>
          <w:rFonts w:ascii="IRNazanin" w:hAnsi="IRNazanin" w:eastAsia="IRNazanin" w:cs="IRNazanin"/>
          <w:lang w:bidi="fa-IR"/>
          <w:color w:val="111111"/>
          <w:sz w:val="28"/>
          <w:szCs w:val="28"/>
          <w:rtl/>
        </w:rPr>
        <w:t xml:space="preserve">قم؛ مرعشی؛ شماره نسخه: ۱۴۷۲۴/۳۲</w:t>
      </w:r>
    </w:p>
    <w:p>
      <w:pPr>
        <w:pStyle w:val="BookText"/>
      </w:pPr>
      <w:r>
        <w:rPr>
          <w:rFonts w:ascii="IRNazanin" w:hAnsi="IRNazanin" w:eastAsia="IRNazanin" w:cs="IRNazanin"/>
          <w:lang w:bidi="fa-IR"/>
          <w:color w:val="111111"/>
          <w:sz w:val="28"/>
          <w:szCs w:val="28"/>
          <w:rtl/>
        </w:rPr>
        <w:t xml:space="preserve">آغاز: قد روی منقذ بن ابتع الاسدی، کنت واحدا من الليالي في</w:t>
      </w:r>
    </w:p>
    <w:p>
      <w:pPr>
        <w:pStyle w:val="BookText"/>
      </w:pPr>
      <w:r>
        <w:rPr>
          <w:rFonts w:ascii="IRNazanin" w:hAnsi="IRNazanin" w:eastAsia="IRNazanin" w:cs="IRNazanin"/>
          <w:lang w:bidi="fa-IR"/>
          <w:color w:val="111111"/>
          <w:sz w:val="28"/>
          <w:szCs w:val="28"/>
          <w:rtl/>
        </w:rPr>
        <w:t xml:space="preserve">خدمة على (عليه السلام) و نصف شعبان، و قد ركب على بغل و كان ذاهبا بحسب مهم؛ انجام: و من معجزاته (عليه السلام) في بعض كتب المعتبرة، قد روى ابو حمزة الثمالي قال: كنت في طرق ما بين المكة و المدينة في خدمته (عليه السلام) فاذا رایت كلبا مسارعا اليه ... فاذا رايت الكلب طائرا الى السماء. گزیده ای از تاریخ ائمه طاهرین (عليه السلام) است که با نقل احادیث از طريق شیعه و اهل سنت. از زندگی امیر المومنین علی(عليه السلام) آغاز و تا حضرت امام صادق(عليه السلام) پایان می گیرد؛ خط: شکسته نستعلیق، بی کا، تا: حدود قرن ۱۳؛ محشی؛ کاغذ: فرنگی آهار مهره، ۱۵گ (۱۳۵۵ - ۳۶۹پ)، ۲۵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سم [ف: ۳۷-۲۹۴]</w:t>
      </w:r>
    </w:p>
    <w:p>
      <w:pPr>
        <w:pStyle w:val="Heading3"/>
      </w:pPr>
      <w:bookmarkStart w:id="1968" w:name="_Toc1228"/>
      <w:r>
        <w:t>• تاریخ ائمه(عليه السلام) / تاریخ معصومین / فارسی</w:t>
      </w:r>
      <w:bookmarkEnd w:id="1968"/>
    </w:p>
    <w:p>
      <w:pPr>
        <w:pStyle w:val="BookText"/>
      </w:pPr>
      <w:r>
        <w:rPr>
          <w:rFonts w:ascii="Times New Roman" w:hAnsi="Times New Roman" w:eastAsia="Times New Roman" w:cs="Times New Roman"/>
          <w:lang w:val="en-US" w:bidi="en-US"/>
          <w:color w:val="111111"/>
          <w:sz w:val="28"/>
          <w:szCs w:val="28"/>
          <w:rtl/>
        </w:rPr>
        <w:t xml:space="preserve">tārīx-e a’emme</w:t>
      </w:r>
    </w:p>
    <w:p>
      <w:pPr>
        <w:pStyle w:val="BookText"/>
      </w:pPr>
      <w:r>
        <w:rPr>
          <w:rFonts w:ascii="IRNazanin" w:hAnsi="IRNazanin" w:eastAsia="IRNazanin" w:cs="IRNazanin"/>
          <w:lang w:bidi="fa-IR"/>
          <w:color w:val="111111"/>
          <w:sz w:val="28"/>
          <w:szCs w:val="28"/>
          <w:rtl/>
        </w:rPr>
        <w:t xml:space="preserve">غیر همانند: ١. مشهد؛ شیخ علی حیدر، شماره نسخه: ۵۱۶/۲</w:t>
      </w:r>
    </w:p>
    <w:p>
      <w:pPr>
        <w:pStyle w:val="BookText"/>
      </w:pPr>
      <w:r>
        <w:rPr>
          <w:rFonts w:ascii="IRNazanin" w:hAnsi="IRNazanin" w:eastAsia="IRNazanin" w:cs="IRNazanin"/>
          <w:lang w:bidi="fa-IR"/>
          <w:color w:val="111111"/>
          <w:sz w:val="28"/>
          <w:szCs w:val="28"/>
          <w:rtl/>
        </w:rPr>
        <w:t xml:space="preserve">آغاز: واعقاب اولاد ایشان و مقابر و مشاهد هریک در این اوراق؛ انجام: نام او منصور بن عبدالرحمان بن قاسم بن اسحاق بن عبدالله بن موسی بن جعفر الصادق عليهما السلام رساله ای در بیان تاریخ معصومین(عليه السلام) و اولادشان، در ابتدای آن ذکر شده است مطالب آن منقول از نسخه ای است که در مسجد الاقصی به خط موسی بن جعفر بن ابی جعفر بن هارون وجود داشت و در سال ۳۳۹ از روی نسخه ای در دارالنقابة در مدینه به خط شریف بن جعفر بن محمد بن حسن بن ابی البرکات مدنی تألیف کرده است؛ خط: نستعلیق، كا: أمة الفاطمة شهربانو دخت ملاخدابخش، تا: ۱۰۳۰ق؛ افتادگی: آغاز؛ جلد: چرم زرد، ۱۴گ (۱۳۱ - ۴۴ر)، اندازه: ۱۰</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۱۷/۵ سم [ مؤيد: ۲-۱۸]</w:t>
      </w:r>
    </w:p>
    <w:p>
      <w:pPr>
        <w:pStyle w:val="BookText"/>
      </w:pPr>
      <w:r>
        <w:rPr>
          <w:rFonts w:ascii="IRNazanin" w:hAnsi="IRNazanin" w:eastAsia="IRNazanin" w:cs="IRNazanin"/>
          <w:lang w:bidi="fa-IR"/>
          <w:color w:val="111111"/>
          <w:sz w:val="28"/>
          <w:szCs w:val="28"/>
          <w:rtl/>
        </w:rPr>
        <w:t xml:space="preserve">۲. شیراز؛ مدرسه منصوریه؛ شماره نسخه:بدون شماره</w:t>
      </w:r>
    </w:p>
    <w:p>
      <w:pPr>
        <w:pStyle w:val="BookText"/>
      </w:pPr>
      <w:r>
        <w:rPr>
          <w:rFonts w:ascii="IRNazanin" w:hAnsi="IRNazanin" w:eastAsia="IRNazanin" w:cs="IRNazanin"/>
          <w:lang w:bidi="fa-IR"/>
          <w:color w:val="111111"/>
          <w:sz w:val="28"/>
          <w:szCs w:val="28"/>
          <w:rtl/>
        </w:rPr>
        <w:t xml:space="preserve">شامل: باب ۲. جفای قریش و سایر کفر با حضرت سید ابرار، ۳. وفات حضرت سید مرسلین (صلی الله علیه وآله وسلم)، ۴. بعضی حالات حضرت فاطمه زهرا (عليها السلام) از ولادت تا زمان وفات، ۵. طرفی از اخبار حضرت امیرالمؤمنین علی بن ابی طالب (عليه السلام) از زمان ولادت تا هنگام شهادت، ۶. فضائل حضرت امام حسن (عليه السلام) و بعضی احوالات وی از ولادت تا شهادت، ۷. مناقب امیر المؤمنين (؟) حسین(عليه السلام) ...، ۸ شهادت مسلم بن عقیل بن ابی طالب و شهادت بعضی از فرزندان او..، ۹.رسیدن امیر المؤمنین حسین( عليه السلام) (؟) به کربلا و محاربه کردن ...؛ خط: نسخ، بی کا، تا: قرن ۱۱؛ افتادگی: آغاز و انجام؛ ۱۷۰گ،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 نسخه پژوهی: ۱-۵۰]</w:t>
      </w:r>
    </w:p>
    <w:p>
      <w:pPr>
        <w:pStyle w:val="BookText"/>
      </w:pPr>
      <w:r>
        <w:rPr>
          <w:rFonts w:ascii="IRNazanin" w:hAnsi="IRNazanin" w:eastAsia="IRNazanin" w:cs="IRNazanin"/>
          <w:lang w:bidi="fa-IR"/>
          <w:color w:val="111111"/>
          <w:sz w:val="28"/>
          <w:szCs w:val="28"/>
          <w:rtl/>
        </w:rPr>
        <w:t xml:space="preserve">٣. مشهد؛ رضوی؛ شماره نسخه:۲۷۱۵۴</w:t>
      </w:r>
    </w:p>
    <w:p>
      <w:pPr>
        <w:pStyle w:val="BookText"/>
      </w:pPr>
      <w:r>
        <w:rPr>
          <w:rFonts w:ascii="IRNazanin" w:hAnsi="IRNazanin" w:eastAsia="IRNazanin" w:cs="IRNazanin"/>
          <w:lang w:bidi="fa-IR"/>
          <w:color w:val="111111"/>
          <w:sz w:val="28"/>
          <w:szCs w:val="28"/>
          <w:rtl/>
        </w:rPr>
        <w:t xml:space="preserve">آغاز: آن مور و دوسداران نخود و طلع آن منضود و آنحضرت جميع فرموده میان اشتات؛ انجام: از صفات دانستيم على الجمله که کراین آیات را وجوه صحیحه است بخلاف ... خط: نستعلیق خفی، بی کا، تا: قرن ۱۲؛ افتادگی: آغاز و انجام؛ جلد: تیماج، ۲۱ سطر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 اندازه: ۱۶/۷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۲۷/۵ سم [رایانه]</w:t>
      </w:r>
    </w:p>
    <w:p>
      <w:pPr>
        <w:pStyle w:val="BookText"/>
      </w:pPr>
      <w:r>
        <w:rPr>
          <w:rFonts w:ascii="IRNazanin" w:hAnsi="IRNazanin" w:eastAsia="IRNazanin" w:cs="IRNazanin"/>
          <w:lang w:bidi="fa-IR"/>
          <w:color w:val="111111"/>
          <w:sz w:val="28"/>
          <w:szCs w:val="28"/>
          <w:rtl/>
        </w:rPr>
        <w:t xml:space="preserve">۴. قم؛ گلپایگانی؛ شماره نسخه:۴۶۱۲- ۲۳/۱۳۲</w:t>
      </w:r>
    </w:p>
    <w:p>
      <w:pPr>
        <w:pStyle w:val="BookText"/>
      </w:pPr>
      <w:r>
        <w:rPr>
          <w:rFonts w:ascii="IRNazanin" w:hAnsi="IRNazanin" w:eastAsia="IRNazanin" w:cs="IRNazanin"/>
          <w:lang w:bidi="fa-IR"/>
          <w:color w:val="111111"/>
          <w:sz w:val="28"/>
          <w:szCs w:val="28"/>
          <w:rtl/>
        </w:rPr>
        <w:t xml:space="preserve">آغاز: نهروان گویند نزول کردند و چون خبر خارجیان و آمدن لشکر نهروان معلوم امیر المؤمنین شد در حال پای مبارک در ركاب ... نقل است که عاصم از وی بر مرکب تیز گام کوه اندام؛ انجام: یک بار به عنف در آمدند سردابه ای بود در آنجا پر از آب و بر کنار آن ... در کمال خوبی در آن صفه به نماز مشغول بود و اصلا التفات نشده ... و به قدرت الهی در آب فرو رفت ... از این اندیشه در گذشتیم و گفتیم بخشی از کتابی است در تاریخ، این بخش در تاریخ ائمه دوازده گانه امامیه است. مؤلف ابتدا توضیح کوتاهی درباره تاریخ ائمه آورده و پس از آن معجزات ائمه را با عنوان «و از آن جمله است» می آورد. مؤلف تصریح می کند که مقصود وی از تألیف این کتاب ذکر کرامات و خوارق عادات ائمه (عليه السلام) است. در آن از خواجه محمد پارسا مطلبی را نقل نموده است. عنوان بخش های آن چنین است: ذكر اخبار حیدر کرار از زمان ولادت تا هنگام شهادت، ذکر امام حسن (عليه السلام)، ذکر امام حسین (عليه السلام)، ذکر آدم آعبا پسر سید الشهدا علی بن الحسین زین العابدين عليه الصلوة و السلام، ذکر امام محمد باقر، ذکر امام دین و مدار و مقتداء مغارب و مشارق حضرت امام جعفر صادق(عليه السلام)، ذکر امام موسی کاظم، ذکر سید ثقلین و مقتداء مشرقین علی بن موسی الرضا (عليه السلام)، ذکر امام محمد تقی، ذکر امام تمام علی نقی(عليه السلام)، ذکر امام حسن عسکری، ذکر امام مهدی. این کتاب در قرن دهم تأليف شده و مؤلف از عارفان ماوراء النهر می باشد؛ خط: نستعلیق، بی کا، تا: قرن ۱۲؛ افتادگی: آغاز و انجام؛ جلد: تیماج قهوه ای، ۵۱گ، ۱۷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۲-۶۷۷]</w:t>
      </w:r>
    </w:p>
    <w:p>
      <w:pPr>
        <w:pStyle w:val="BookText"/>
      </w:pPr>
      <w:r>
        <w:rPr>
          <w:rFonts w:ascii="IRNazanin" w:hAnsi="IRNazanin" w:eastAsia="IRNazanin" w:cs="IRNazanin"/>
          <w:lang w:bidi="fa-IR"/>
          <w:color w:val="111111"/>
          <w:sz w:val="28"/>
          <w:szCs w:val="28"/>
          <w:rtl/>
        </w:rPr>
        <w:t xml:space="preserve">۵. قم: مرکز مطالعات، شماره نسخه:۴۵۴/۷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 ائمه (جدول)؛ خط: نسخ، كان على بن صالح بن يوسف بحرانی، تا: ۱۴ جمادی الثانی ۱۲۲۳ق؛ جلد: تیماج مشکی، ۴گ (۲۰۵ر-۲۰۸ر)،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۱-۳۸۱]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شیراز؛ علامه طباطبائی؛ شماره نسخه:۶۶۱۶</w:t>
      </w:r>
    </w:p>
    <w:p>
      <w:pPr>
        <w:pStyle w:val="BookText"/>
      </w:pPr>
      <w:r>
        <w:rPr>
          <w:rFonts w:ascii="IRNazanin" w:hAnsi="IRNazanin" w:eastAsia="IRNazanin" w:cs="IRNazanin"/>
          <w:lang w:bidi="fa-IR"/>
          <w:color w:val="111111"/>
          <w:sz w:val="28"/>
          <w:szCs w:val="28"/>
          <w:rtl/>
        </w:rPr>
        <w:t xml:space="preserve">مختصری است در ذکر نام و سال ولادت و وفات و نام اولاد و ... خط: نسخ، كا: عليمراد بن على محمد، تا: ۱۲۲۵ق؛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 نسخه پژوهی: ۳-۷۴]</w:t>
      </w:r>
    </w:p>
    <w:p>
      <w:pPr>
        <w:pStyle w:val="BookText"/>
      </w:pPr>
      <w:r>
        <w:rPr>
          <w:rFonts w:ascii="IRNazanin" w:hAnsi="IRNazanin" w:eastAsia="IRNazanin" w:cs="IRNazanin"/>
          <w:lang w:bidi="fa-IR"/>
          <w:color w:val="111111"/>
          <w:sz w:val="28"/>
          <w:szCs w:val="28"/>
          <w:rtl/>
        </w:rPr>
        <w:t xml:space="preserve">٧. تهران؛ مجلس؛ شماره نسخه: ۱۴۴۸۱/۳</w:t>
      </w:r>
    </w:p>
    <w:p>
      <w:pPr>
        <w:pStyle w:val="BookText"/>
      </w:pPr>
      <w:r>
        <w:rPr>
          <w:rFonts w:ascii="IRNazanin" w:hAnsi="IRNazanin" w:eastAsia="IRNazanin" w:cs="IRNazanin"/>
          <w:lang w:bidi="fa-IR"/>
          <w:color w:val="111111"/>
          <w:sz w:val="28"/>
          <w:szCs w:val="28"/>
          <w:rtl/>
        </w:rPr>
        <w:t xml:space="preserve">آغاز: سپاس متواتر خدایرا که هر یک از آحاد موجودات و افراد مخلوقات ... بدانکه اگر چه حضرت خير البشر و ائمه اثنا عشر در عالم ظاهر از انبیای سابق مؤخرند؛ انجام: چه صلوات بر محمد و آل محمد در حجاب نمیماند و در معرض قبول می افتد ... ببخشی بديع جمع حضار یا رب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تو بر عاصیان گنه کار یکسر / الهی ببخشی به بیچاره جامی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تو بر بندگان دگر روز محشر. رساله مفصلی است در تاریخ، فضایل، معجزات و شرح حالات ائمه (عليه السلام) که مؤلف به شیوه پند و اندرز و خطابه تحریر و از ذکر منابع و مآخذ خودداری نموده است؛ خط: نسخ، كا: محمد حسن، تا: چهارشنبه ۲۶ شوال ۱۲۴۲ق، جان کرمانشاهان؛ جلد: تیماج مشکی با ترنج با سر، ۷۸گ (۱۴۶پ -۲۲۳ر)، ۲۲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۳۸-۶۳۴]</w:t>
      </w:r>
    </w:p>
    <w:p>
      <w:pPr>
        <w:pStyle w:val="BookText"/>
      </w:pPr>
      <w:r>
        <w:rPr>
          <w:rFonts w:ascii="IRNazanin" w:hAnsi="IRNazanin" w:eastAsia="IRNazanin" w:cs="IRNazanin"/>
          <w:lang w:bidi="fa-IR"/>
          <w:color w:val="111111"/>
          <w:sz w:val="28"/>
          <w:szCs w:val="28"/>
          <w:rtl/>
        </w:rPr>
        <w:t xml:space="preserve">۸. قم، گلپایگانی؛ شماره نسخه:۳۱۷۷- ۱۶/۱۸۷</w:t>
      </w:r>
    </w:p>
    <w:p>
      <w:pPr>
        <w:pStyle w:val="BookText"/>
      </w:pPr>
      <w:r>
        <w:rPr>
          <w:rFonts w:ascii="IRNazanin" w:hAnsi="IRNazanin" w:eastAsia="IRNazanin" w:cs="IRNazanin"/>
          <w:lang w:bidi="fa-IR"/>
          <w:color w:val="111111"/>
          <w:sz w:val="28"/>
          <w:szCs w:val="28"/>
          <w:rtl/>
        </w:rPr>
        <w:t xml:space="preserve">آغاز: بسمله ابن بابویه روایت کرده است از عبدالله بن مسعود و کلینی در کتاب طرف و شیخ ابوالحسن بکری در کتاب انوار که در تاریخ ولادت سید ابرار؛ انجام: در کشف الغمه از صادق (عليه السلام) روایت کرده اند که عمر آن جناب پنجاه و هفت سال بود و بعد از پدر بزرگوارش پنجاه و پنج سال زندگانی کرد و الله اعلم بیاضی است که در آن تاریخ ائمه</w:t>
      </w:r>
    </w:p>
    <w:p>
      <w:pPr>
        <w:pStyle w:val="BookText"/>
      </w:pPr>
      <w:r>
        <w:rPr>
          <w:rFonts w:ascii="IRNazanin" w:hAnsi="IRNazanin" w:eastAsia="IRNazanin" w:cs="IRNazanin"/>
          <w:lang w:bidi="fa-IR"/>
          <w:color w:val="111111"/>
          <w:sz w:val="28"/>
          <w:szCs w:val="28"/>
          <w:rtl/>
        </w:rPr>
        <w:t xml:space="preserve">(عليهم السلام) به صورت منبری تحریر شده است؛ خط: تحریری، کا: سید طبیب و بعد سید محمد حسن حسینی مطالبی را اضافه نموده است، تا: ۱۲۶۴ق؛ جلد: تیماج مشکی، ۱۴۶، ۲۵-۲۷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۲-۶۷۴]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قم؛ گلپایگانی؛ شماره نسخه: ۴۶۰۰- ۲۳/۱۲۰</w:t>
      </w:r>
    </w:p>
    <w:p>
      <w:pPr>
        <w:pStyle w:val="BookText"/>
      </w:pPr>
      <w:r>
        <w:rPr>
          <w:rFonts w:ascii="IRNazanin" w:hAnsi="IRNazanin" w:eastAsia="IRNazanin" w:cs="IRNazanin"/>
          <w:lang w:bidi="fa-IR"/>
          <w:color w:val="111111"/>
          <w:sz w:val="28"/>
          <w:szCs w:val="28"/>
          <w:rtl/>
        </w:rPr>
        <w:t xml:space="preserve">آغاز: به ضرب تیغ آبدار شهید شود و در وقت رفتن رخساره مبارکش از خون او سرخ خواهد شد ... بسمله نحمدک یا من اعظم مصيبتنا بمصيبة صاحب الاحزان و الاشجان و سید ولد عدنان؛ انجام: و آل رسول الله تسبی نساؤهم و من حولهن استر يهتك و الخدر زنان اهل بیت پیغمبر را اسیر کردند و پرده های ایشان را دریدند و خیمه های ایشان را آتش. مقتلی است به نظم و نثر در مراثی ائمه(عليهم السلام) مشتمل بر چند « مجلس» که نسخه حاضر تا مجلس هشتم را دارد، مؤلف در اول هر مجلس خطبه ای ایراد می کند. اوراق نسخه در صحافی جابجا شده و عنوان مجالس موجود چنین است: ۱. وفات حضرت پیامبر (صلی الله علیه وآله وسلم)، ۲. وفات خير النساء فاطمه زهراء(عليه السلام)، ۳. ذكر شهادت سید اوصیاء، ۴. شهادت امام حسن مجتبی، ۵. رفتن خامس آل تاریخ ائمه ۵۲۱ عبا جناب سید الشهداء از مدینه به مکه و ...؛ خط: شکسته، نستعلیق، بی کا، تا:قرن ۱۳؛ افتادگی: آغاز و انجام؛ جلد:مقوا با روکش پارچه کرم، ۱۱۱، ۱۷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۲-۶۷۸]</w:t>
      </w:r>
    </w:p>
    <w:p>
      <w:pPr>
        <w:pStyle w:val="BookText"/>
      </w:pPr>
      <w:r>
        <w:rPr>
          <w:rFonts w:ascii="IRNazanin" w:hAnsi="IRNazanin" w:eastAsia="IRNazanin" w:cs="IRNazanin"/>
          <w:lang w:bidi="fa-IR"/>
          <w:color w:val="111111"/>
          <w:sz w:val="28"/>
          <w:szCs w:val="28"/>
          <w:rtl/>
        </w:rPr>
        <w:t xml:space="preserve">۱۰. قم؛ گلپایگانی؛ شماره نسخه:۲۷۰۴- ۱۴/۱۵۴</w:t>
      </w:r>
    </w:p>
    <w:p>
      <w:pPr>
        <w:pStyle w:val="BookText"/>
      </w:pPr>
      <w:r>
        <w:rPr>
          <w:rFonts w:ascii="IRNazanin" w:hAnsi="IRNazanin" w:eastAsia="IRNazanin" w:cs="IRNazanin"/>
          <w:lang w:bidi="fa-IR"/>
          <w:color w:val="111111"/>
          <w:sz w:val="28"/>
          <w:szCs w:val="28"/>
          <w:rtl/>
        </w:rPr>
        <w:t xml:space="preserve">آغاز: از مسجد بیرون آمده به انتقام ابو جهل روان شد چون به در خانه ابوجهل رسید آن ملعون نشسته بود و جمعی از اشراف عرب باوی بودند و کمانی دردست حمزه بود؛ انجام: و نیزه از دست اسد بیفتاد و خواست که تیغ برکشد و دستش کار نکرد و بعد از آن ازرق بنی هاشم در آمد و به یک ضربت تیغ کار اسد تمام کرد اما عبد الله. رساله مفصلی است در تاریخ آل کسا ( پیامبر، فاطمه، علی، حسن و حسین علیهم السلام) بدون فصول و ابوابی، مؤلف مطالب را به صورت داستانی و مناسب عامه مردم آورده و از ذكر مآخذ خودداری نموده است. او در اثنا ابیاتی به فارسی می آورد که گویا سروده خود وی هستند؛ خط: نستعلیق، بی کا، تا: قرن ۱۳؛ افتادگی: آغاز و انجام؛ جلد: تیماج مشکی ضربی با ترنج با سر، ۱۷۷گ، ۱۵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۲-۶۷۶]</w:t>
      </w:r>
    </w:p>
    <w:p>
      <w:pPr>
        <w:pStyle w:val="BookText"/>
      </w:pPr>
      <w:r>
        <w:rPr>
          <w:rFonts w:ascii="IRNazanin" w:hAnsi="IRNazanin" w:eastAsia="IRNazanin" w:cs="IRNazanin"/>
          <w:lang w:bidi="fa-IR"/>
          <w:color w:val="111111"/>
          <w:sz w:val="28"/>
          <w:szCs w:val="28"/>
          <w:rtl/>
        </w:rPr>
        <w:t xml:space="preserve">۱۱. قم؛ گلپایگانی؛ شماره نسخه: ۴۳۴۲- ۲۲/۶۲</w:t>
      </w:r>
    </w:p>
    <w:p>
      <w:pPr>
        <w:pStyle w:val="BookText"/>
      </w:pPr>
      <w:r>
        <w:rPr>
          <w:rFonts w:ascii="IRNazanin" w:hAnsi="IRNazanin" w:eastAsia="IRNazanin" w:cs="IRNazanin"/>
          <w:lang w:bidi="fa-IR"/>
          <w:color w:val="111111"/>
          <w:sz w:val="28"/>
          <w:szCs w:val="28"/>
          <w:rtl/>
        </w:rPr>
        <w:t xml:space="preserve">آغاز: گریستن بر حسین و اهل او نقل می گردد و در آنروز ماتمی بر پاشد که بیان کردنی نیست آری ثواب گریستن بر حسين عليه السلام. مجلس دوازدهم در شهادت حضرت عباس(عليه السلام) بسمله الحمدلله الذي اعظم؛ انجام: به زیارت پیغمبر آمد و او را تهنیت داد و خبر کشته شدن حسين (عليه السلام)را در کربلا باو دادند و او را تعزیت دادند و قدری از خاک کربلا مجالسی است در مقتل و تاریخ ائمه، خصوصا حضرت سید الشهداء(عليه السلام) به نظم و نثر که در نسخه حاضر هیجده «مجلس» آن درج شده است. در آغاز هر مجلس مؤلف خطبه ای می آورد و پس از آورد مطالب را ذکر می کند؛ خط: نستعلیق، بی کا، تا: قرن ۱۳؛ افتادگی: آغاز و انجام؛ جلد: مقوا، ۹۵، ۲۰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۲-۶۷۸]</w:t>
      </w:r>
    </w:p>
    <w:p>
      <w:pPr>
        <w:pStyle w:val="BookText"/>
      </w:pPr>
      <w:r>
        <w:rPr>
          <w:rFonts w:ascii="IRNazanin" w:hAnsi="IRNazanin" w:eastAsia="IRNazanin" w:cs="IRNazanin"/>
          <w:lang w:bidi="fa-IR"/>
          <w:color w:val="111111"/>
          <w:sz w:val="28"/>
          <w:szCs w:val="28"/>
          <w:rtl/>
        </w:rPr>
        <w:t xml:space="preserve">۱۲. قم؛ گلپایگانی؛ شماره نسخه: ۵۸۸۱- ۲۹/۲۲۱</w:t>
      </w:r>
    </w:p>
    <w:p>
      <w:pPr>
        <w:pStyle w:val="BookText"/>
      </w:pPr>
      <w:r>
        <w:rPr>
          <w:rFonts w:ascii="IRNazanin" w:hAnsi="IRNazanin" w:eastAsia="IRNazanin" w:cs="IRNazanin"/>
          <w:lang w:bidi="fa-IR"/>
          <w:color w:val="111111"/>
          <w:sz w:val="28"/>
          <w:szCs w:val="28"/>
          <w:rtl/>
        </w:rPr>
        <w:t xml:space="preserve">آغاز: که حجت نزد کسی نماند و جمعی را همراه کرد که بدرقه باشند تا بمأمنی برسند و چون دعبل، انجام: انیس به کسی اش بود ناله های سحر*** به غیر ناله نباشد کس آشنای غریب / به درد جوهری خسته مرگ درمان است***به مرگ چاره شود درد بی دوای غریب. بیاضی است که در آن داستان هایی در مورد ائمه(عليه السلام) به نقل از مصادر مختلف که نامشان در اول هر داستان ذکر گردیده جمع آوری و تحریر شده است در آن داستان هایی درباره کسانی که امام زمان (عجل الله تعالی فرجه) را ملاقات نموده اند به نقل از ماخذ آمده است؛ خط: تحریری، بی کا، تا: قرن ۱۳؛ جلد: مقوا با عطف گالینگور قهوه ای، ۱۵۶گ، ۱۴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۲-۶۷۵]</w:t>
      </w:r>
    </w:p>
    <w:p>
      <w:pPr>
        <w:pStyle w:val="BookText"/>
      </w:pPr>
      <w:r>
        <w:rPr>
          <w:rFonts w:ascii="IRNazanin" w:hAnsi="IRNazanin" w:eastAsia="IRNazanin" w:cs="IRNazanin"/>
          <w:lang w:bidi="fa-IR"/>
          <w:color w:val="111111"/>
          <w:sz w:val="28"/>
          <w:szCs w:val="28"/>
          <w:rtl/>
        </w:rPr>
        <w:t xml:space="preserve">۱۳. قم؛ گلپایگانی شماره نسخه: ۴۷۶۲- ۲۴/۶۲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شدم یک نیمه از آن بریده بودند و ستون چرخ چاهی کرده بودند بعد از آن یکی آمد که امیرزا می خواند یعنی عبدالله زیاد لعنة الله عليه چون به نزدیک در کوشک رسیدم ... روایت است از ابن عباس که رسول(صلی الله علیه وآله وسلم)؛ انجام: وهم بدین اسناد از ابی عبدالله البلخی از محمد بن صالح بن علی بن محمد بن قنبر الكبير مولاء الرضا(عليه السلام) که گفت صاحب الامر بیرون آمد بر جعفر الكذوب از موضعی که وی ندانست آنگاه که وی در میراث منازعت</w:t>
      </w:r>
    </w:p>
    <w:p>
      <w:pPr>
        <w:pStyle w:val="BookText"/>
      </w:pPr>
      <w:r>
        <w:rPr>
          <w:rFonts w:ascii="IRNazanin" w:hAnsi="IRNazanin" w:eastAsia="IRNazanin" w:cs="IRNazanin"/>
          <w:lang w:bidi="fa-IR"/>
          <w:color w:val="111111"/>
          <w:sz w:val="28"/>
          <w:szCs w:val="28"/>
          <w:rtl/>
        </w:rPr>
        <w:t xml:space="preserve">رساله مفصلی است در تاریخ ائمه(عليهم السلام)، مشتمل بر چند «باب» (۱۲ یا ۱۴) و هر باب در چند «فصل»، مؤلف در هر باب ابتدا تولد هر امام را ذکر و سپس معجزات، ازدواج، اولاد، مدت حیات و امامت، زیارت و وداع را ذکر نموده است. این کتاب غیر از تذكرة الائمة، جلاء العيون و راحة الأرواح شیعی سبزواری است؛ خط: نسخ، بی کا، تا: قرن ۱۳؛ افتادگی: آغاز و انجام؛ جلد: تیماج قهوه ای، ۲۰۹گ، ۱۷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۲-۶۷۷]</w:t>
      </w:r>
    </w:p>
    <w:p>
      <w:pPr>
        <w:pStyle w:val="BookText"/>
      </w:pPr>
      <w:r>
        <w:rPr>
          <w:rFonts w:ascii="IRNazanin" w:hAnsi="IRNazanin" w:eastAsia="IRNazanin" w:cs="IRNazanin"/>
          <w:lang w:bidi="fa-IR"/>
          <w:color w:val="111111"/>
          <w:sz w:val="28"/>
          <w:szCs w:val="28"/>
          <w:rtl/>
        </w:rPr>
        <w:t xml:space="preserve">۱۴. اصفهان؛ مدرسه صدر بازار؛ شماره نسخه:۲۰۳</w:t>
      </w:r>
    </w:p>
    <w:p>
      <w:pPr>
        <w:pStyle w:val="BookText"/>
      </w:pPr>
      <w:r>
        <w:rPr>
          <w:rFonts w:ascii="IRNazanin" w:hAnsi="IRNazanin" w:eastAsia="IRNazanin" w:cs="IRNazanin"/>
          <w:lang w:bidi="fa-IR"/>
          <w:color w:val="111111"/>
          <w:sz w:val="28"/>
          <w:szCs w:val="28"/>
          <w:rtl/>
        </w:rPr>
        <w:t xml:space="preserve">آغاز: خود معزول می ساختند و تمکین پیغمبری ایشان نمی نمودند و نقصی به پیغمبری ایشان نداشت و نقصانی به مرتبه و حال ایشان نمی رسید؛ انجام: پس ناچار است که امت متفرق شوند به فرق مختلفه و از همه البته ناجی و رستگار یک فرقه ...</w:t>
      </w:r>
    </w:p>
    <w:p>
      <w:pPr>
        <w:pStyle w:val="BookText"/>
      </w:pPr>
      <w:r>
        <w:rPr>
          <w:rFonts w:ascii="IRNazanin" w:hAnsi="IRNazanin" w:eastAsia="IRNazanin" w:cs="IRNazanin"/>
          <w:lang w:bidi="fa-IR"/>
          <w:color w:val="111111"/>
          <w:sz w:val="28"/>
          <w:szCs w:val="28"/>
          <w:rtl/>
        </w:rPr>
        <w:t xml:space="preserve">در شرح حال مختصری از معصومین(عليهم السلام)با استفاده از کتب عامه و خاصه. نسخه حاضر از امام نهم تا امام دوازدهم عليهم السلام را دارا است؛ خط: نسخ، بی کا، تا: قرن ۱۳؛ افتادگی: آغاز و انجام؛ ۱۲۰گ، ۱۵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۱-۱۴۳]</w:t>
      </w:r>
    </w:p>
    <w:p>
      <w:pPr>
        <w:pStyle w:val="BookText"/>
      </w:pPr>
      <w:r>
        <w:rPr>
          <w:rFonts w:ascii="IRNazanin" w:hAnsi="IRNazanin" w:eastAsia="IRNazanin" w:cs="IRNazanin"/>
          <w:lang w:bidi="fa-IR"/>
          <w:color w:val="111111"/>
          <w:sz w:val="28"/>
          <w:szCs w:val="28"/>
          <w:rtl/>
        </w:rPr>
        <w:t xml:space="preserve">۱۵. قم؛ گلپایگانی؛ شماره نسخه: ۳۲۰۲- ۱۶/۲۱۲</w:t>
      </w:r>
    </w:p>
    <w:p>
      <w:pPr>
        <w:pStyle w:val="BookText"/>
      </w:pPr>
      <w:r>
        <w:rPr>
          <w:rFonts w:ascii="IRNazanin" w:hAnsi="IRNazanin" w:eastAsia="IRNazanin" w:cs="IRNazanin"/>
          <w:lang w:bidi="fa-IR"/>
          <w:color w:val="111111"/>
          <w:sz w:val="28"/>
          <w:szCs w:val="28"/>
          <w:rtl/>
        </w:rPr>
        <w:t xml:space="preserve">آغاز: سینه اش شکافته شد در آن وقت فریاد برآورد ادرکنی پابن رسول الله روایت صدوق آن حضرت خود به زودی به بالین آن بزرگوار رسانید در حالتی که خون از انجام: مروی است در بحار حدیثی که خلاصه اش این است که در مدینه زلزله در قبرستان بقیع رسید در عهد عمر بن خطاب ... و دعا کردند که آن زلزله ساکن شود زیادتر می شد تا آنکه</w:t>
      </w:r>
    </w:p>
    <w:p>
      <w:pPr>
        <w:pStyle w:val="BookText"/>
      </w:pPr>
      <w:r>
        <w:rPr>
          <w:rFonts w:ascii="IRNazanin" w:hAnsi="IRNazanin" w:eastAsia="IRNazanin" w:cs="IRNazanin"/>
          <w:lang w:bidi="fa-IR"/>
          <w:color w:val="111111"/>
          <w:sz w:val="28"/>
          <w:szCs w:val="28"/>
          <w:rtl/>
        </w:rPr>
        <w:t xml:space="preserve">بیاضی است متفرقه از آن یکی از واعظان که در آن مطالبی در تاریخ ائمه (عليهم السلام)و حکایاتی در پند و اندرز تحریر نموده است؛ خط: تحریری، بی کا، تا: قرن ۱۳؛ افتادگی: آغاز؛ جلد: تیماج مشکی، ۸۶گ، ۱۷-۱۸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۲-۶۷۵]</w:t>
      </w:r>
    </w:p>
    <w:p>
      <w:pPr>
        <w:pStyle w:val="BookText"/>
      </w:pPr>
      <w:r>
        <w:rPr>
          <w:rFonts w:ascii="IRNazanin" w:hAnsi="IRNazanin" w:eastAsia="IRNazanin" w:cs="IRNazanin"/>
          <w:lang w:bidi="fa-IR"/>
          <w:color w:val="111111"/>
          <w:sz w:val="28"/>
          <w:szCs w:val="28"/>
          <w:rtl/>
        </w:rPr>
        <w:t xml:space="preserve">۱۶. قم؛ گلپایگانی؛ شماره نسخه: ۵۷۵۹- ۲۹/۹۹</w:t>
      </w:r>
    </w:p>
    <w:p>
      <w:pPr>
        <w:pStyle w:val="BookText"/>
      </w:pPr>
      <w:r>
        <w:rPr>
          <w:rFonts w:ascii="IRNazanin" w:hAnsi="IRNazanin" w:eastAsia="IRNazanin" w:cs="IRNazanin"/>
          <w:lang w:bidi="fa-IR"/>
          <w:color w:val="111111"/>
          <w:sz w:val="28"/>
          <w:szCs w:val="28"/>
          <w:rtl/>
        </w:rPr>
        <w:t xml:space="preserve">آغاز: و مرا چنین پدرزنی نیست و زوجه مثل دخترم فاطمه بتو داده و مرا چنین زنی نیست ... معجزه در کتاب روضة الواعظین مسطور که پیغمبر(صلی الله علیه وآله وسلم)و آله فرمود حلقه در بهشت از طلاست؛ انجام: از طرایف امور آنکه اهل سنت را عقیده آن است که اولی الامری که حق تعالی کافه عباد را ... و پادشاه اوزبک و سایر خلفای جورند بارك الله آفرین بر علمای اسلام ... ولم يعرف امام زمانه مات ميتة جاهلية و چون</w:t>
      </w:r>
    </w:p>
    <w:p>
      <w:pPr>
        <w:pStyle w:val="BookText"/>
      </w:pPr>
      <w:r>
        <w:rPr>
          <w:rFonts w:ascii="IRNazanin" w:hAnsi="IRNazanin" w:eastAsia="IRNazanin" w:cs="IRNazanin"/>
          <w:lang w:bidi="fa-IR"/>
          <w:color w:val="111111"/>
          <w:sz w:val="28"/>
          <w:szCs w:val="28"/>
          <w:rtl/>
        </w:rPr>
        <w:t xml:space="preserve">خط: نسخ و نستعلیق، بی کا، تا: قرن ۱۴؛ افتادگی: آغاز و انجام جلد: مقوای سفید عطف گالینگور قهوه ای، ۱۱۹گ، ۱۹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۲-۶۷۵]</w:t>
      </w:r>
    </w:p>
    <w:p>
      <w:pPr>
        <w:pStyle w:val="BookText"/>
      </w:pPr>
      <w:r>
        <w:rPr>
          <w:rFonts w:ascii="IRNazanin" w:hAnsi="IRNazanin" w:eastAsia="IRNazanin" w:cs="IRNazanin"/>
          <w:lang w:bidi="fa-IR"/>
          <w:color w:val="111111"/>
          <w:sz w:val="28"/>
          <w:szCs w:val="28"/>
          <w:rtl/>
        </w:rPr>
        <w:t xml:space="preserve">۱۷. قم؛ گلپایگانی؛ شماره نسخه:۲۰۸۲- ۱۱/۱۸۲</w:t>
      </w:r>
    </w:p>
    <w:p>
      <w:pPr>
        <w:pStyle w:val="BookText"/>
      </w:pPr>
      <w:r>
        <w:rPr>
          <w:rFonts w:ascii="IRNazanin" w:hAnsi="IRNazanin" w:eastAsia="IRNazanin" w:cs="IRNazanin"/>
          <w:lang w:bidi="fa-IR"/>
          <w:color w:val="111111"/>
          <w:sz w:val="28"/>
          <w:szCs w:val="28"/>
          <w:rtl/>
        </w:rPr>
        <w:t xml:space="preserve">آغاز: بستردنی است آنچه بنکاشته ایم *** بفکندنی است آنچه بر داشته ایم / سودا بوده است آنچه پنداشته ایم *** دردا که به هرزه عمر بگذاشته ایم؛ انجام: با سوز دل سینه سوزان رفتند*** مانند گل از صحن گلستان رفتند / رفتند رفيقان همه از جا بر خیز*** ... بیاضی است متعلق به یکی از مداحان و ذاکرین اهل بیت(عليهم السلام) او در این جنگ مطالبی را به نظم و نثر در تاریخ و مرثیه و مدح ائمه(عليهم السلام)تحریر نموده است؛ خط: نسخ و نستعلیق و تحریری، بی کا، تا: قرن ۱۴؛ جلد: ساغری سرخ مجدول ضربی، ۹۶گ، ۲۰-۲۲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۲-۶۴۷]</w:t>
      </w:r>
    </w:p>
    <w:p>
      <w:pPr>
        <w:pStyle w:val="BookText"/>
      </w:pPr>
      <w:r>
        <w:rPr>
          <w:rFonts w:ascii="IRNazanin" w:hAnsi="IRNazanin" w:eastAsia="IRNazanin" w:cs="IRNazanin"/>
          <w:lang w:bidi="fa-IR"/>
          <w:color w:val="111111"/>
          <w:sz w:val="28"/>
          <w:szCs w:val="28"/>
          <w:rtl/>
        </w:rPr>
        <w:t xml:space="preserve">۱۸. تهران؛ مجلس؛ شماره نسخه: ۲۹۳۷/۱</w:t>
      </w:r>
    </w:p>
    <w:p>
      <w:pPr>
        <w:pStyle w:val="BookText"/>
      </w:pPr>
      <w:r>
        <w:rPr>
          <w:rFonts w:ascii="IRNazanin" w:hAnsi="IRNazanin" w:eastAsia="IRNazanin" w:cs="IRNazanin"/>
          <w:lang w:bidi="fa-IR"/>
          <w:color w:val="111111"/>
          <w:sz w:val="28"/>
          <w:szCs w:val="28"/>
          <w:rtl/>
        </w:rPr>
        <w:t xml:space="preserve">آغاز: الحمدلله على نواله و الصلوة على محمد و آله و بعد فهذا مختصر يشتمل على ذكر معرفة اسماء الائمة الاثني عشر و اسماء آبائهم و امهاتهم و تاریخ مواليدهم و مبلغ اعمارهم ... الامام الاول اسمه على كنيته ابوالحسن و ابو تراب اسم اليه ابوطالب؛ انجام: الامام الثاني عشر اسمه محمد كنيته ابوالقاسم الحجة المهدي القائم ... نقش خاتمه العلم عند الله لا يعلم الغيب الا الله قبره حيث الله تعالی تمت.</w:t>
      </w:r>
    </w:p>
    <w:p>
      <w:pPr>
        <w:pStyle w:val="BookText"/>
      </w:pPr>
      <w:r>
        <w:rPr>
          <w:rFonts w:ascii="IRNazanin" w:hAnsi="IRNazanin" w:eastAsia="IRNazanin" w:cs="IRNazanin"/>
          <w:lang w:bidi="fa-IR"/>
          <w:color w:val="111111"/>
          <w:sz w:val="28"/>
          <w:szCs w:val="28"/>
          <w:rtl/>
        </w:rPr>
        <w:t xml:space="preserve">در بیان اجمالی از تاریخ و مشخصات هر یک از ائمه دوازده گانه در کنار آن حاشیه هایی با نشان «من اخرى» نوشته شده است؛ خط: نسخ، بی کا، بی تا؛ کاغذ: اصفهانی شکری، جلد: تیماج مشکی با ترنج و نیم ترنج، ۳ص (۶۴)، ۱۲ سطر، اندازه: ۲۵/۵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سم [ف: ۱۰-۳۴۶]</w:t>
      </w:r>
    </w:p>
    <w:p>
      <w:pPr>
        <w:pStyle w:val="BookText"/>
      </w:pPr>
      <w:r>
        <w:rPr>
          <w:rFonts w:ascii="IRNazanin" w:hAnsi="IRNazanin" w:eastAsia="IRNazanin" w:cs="IRNazanin"/>
          <w:lang w:bidi="fa-IR"/>
          <w:color w:val="111111"/>
          <w:sz w:val="28"/>
          <w:szCs w:val="28"/>
          <w:rtl/>
        </w:rPr>
        <w:t xml:space="preserve">۱۹. تهران؛ مجلس؛ شماره نسخه:۱۴۴۴۱</w:t>
      </w:r>
    </w:p>
    <w:p>
      <w:pPr>
        <w:pStyle w:val="BookText"/>
      </w:pPr>
      <w:r>
        <w:rPr>
          <w:rFonts w:ascii="IRNazanin" w:hAnsi="IRNazanin" w:eastAsia="IRNazanin" w:cs="IRNazanin"/>
          <w:lang w:bidi="fa-IR"/>
          <w:color w:val="111111"/>
          <w:sz w:val="28"/>
          <w:szCs w:val="28"/>
          <w:rtl/>
        </w:rPr>
        <w:t xml:space="preserve">آغاز: که ناکثین و قاسطین و مارقین اند چنانچه آنحضرت خود فرمودند که آنا دابة الأرض یعنی همچنانکه دابة الأرض باعث امتیاز مسلمانانست از کفار؛ انجام: گفت این پسر آن امام رافضیان حسن بن علیست که بابن الرضا مشهور است ... از اهل مجلس کسی گفت حال او.</w:t>
      </w:r>
    </w:p>
    <w:p>
      <w:pPr>
        <w:pStyle w:val="BookText"/>
      </w:pPr>
      <w:r>
        <w:rPr>
          <w:rFonts w:ascii="IRNazanin" w:hAnsi="IRNazanin" w:eastAsia="IRNazanin" w:cs="IRNazanin"/>
          <w:lang w:bidi="fa-IR"/>
          <w:color w:val="111111"/>
          <w:sz w:val="28"/>
          <w:szCs w:val="28"/>
          <w:rtl/>
        </w:rPr>
        <w:t xml:space="preserve">رساله مفصلی است در تاریخ امامان دوازده گانه (عليه السلام). نسخه حاضر از زندگانی حضرت علی(عليه السلام)تا زندگانی امام حسن عسکری(عليه السلام) را شامل است. مؤلف شرح حال هر امام را با عنوان «ذکر امام ...» آورده و در تاریخ حضرت امیر(عليه السلام)آیات و روایات وارده در فضایل آن حضرت را از منابع اهل سنت به طور مفصل نقل نموده است. هم چنین در اثنای مطالب، اشعاری از شاعران فارسی زبان بدون ذکر نام شاعر می آورد. مؤلف عبارت های عربی متن را با لفظ «یعنی» به فارسی ترجمه کرده است. در آن مطالبی از «فصل الخطاب» خواجه پارسا، «تاریخ الخلفا» سیوطی، «مجالس المؤمنین» قاضی نورالله شوشتری با لفظ «نورالله مرقده» و شعری از شیخ آذری نقل شده است؛ خط: نستعلیق، بی کا، بی تا؛ افتادگی: آغاز و انجام؛ جلد: مقوایی الوان، عطف گالینگور قهوه ای،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366" w:name="pg20363_209650"/>
    <w:bookmarkEnd w:id="366"/>
    <w:p>
      <w:pPr>
        <w:pStyle w:val="BookText"/>
      </w:pPr>
      <w:r>
        <w:rPr>
          <w:rFonts w:ascii="IRNazanin" w:hAnsi="IRNazanin" w:eastAsia="IRNazanin" w:cs="IRNazanin"/>
          <w:lang w:bidi="fa-IR"/>
          <w:color w:val="111111"/>
          <w:sz w:val="28"/>
          <w:szCs w:val="28"/>
          <w:rtl/>
        </w:rPr>
        <w:t xml:space="preserve">۲۰۳گ، ۲۱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۳۶سم [ف: ۳۸-۵۸۰]</w:t>
      </w:r>
    </w:p>
    <w:p>
      <w:pPr>
        <w:pStyle w:val="BookText"/>
      </w:pPr>
      <w:r>
        <w:rPr>
          <w:rFonts w:ascii="IRNazanin" w:hAnsi="IRNazanin" w:eastAsia="IRNazanin" w:cs="IRNazanin"/>
          <w:lang w:bidi="fa-IR"/>
          <w:color w:val="111111"/>
          <w:sz w:val="28"/>
          <w:szCs w:val="28"/>
          <w:rtl/>
        </w:rPr>
        <w:t xml:space="preserve">۲۰. تهران؛ مجلس؛ شماره نسخه: ۱۲۳۲۴/۷</w:t>
      </w:r>
    </w:p>
    <w:p>
      <w:pPr>
        <w:pStyle w:val="BookText"/>
      </w:pPr>
      <w:r>
        <w:rPr>
          <w:rFonts w:ascii="IRNazanin" w:hAnsi="IRNazanin" w:eastAsia="IRNazanin" w:cs="IRNazanin"/>
          <w:lang w:bidi="fa-IR"/>
          <w:color w:val="111111"/>
          <w:sz w:val="28"/>
          <w:szCs w:val="28"/>
          <w:rtl/>
        </w:rPr>
        <w:t xml:space="preserve">آغاز: شکر و سپاس و حمد بی قیاس مر آن خدای را عزوجل که انبیاء را واسطه گردانید ... و بعد این رساله ای است مشتمل بر احوال حضرت رسالت پناه عليه افضل الصلوات و اكمال التحيات و احوال هر یک از ائمه دین</w:t>
      </w:r>
    </w:p>
    <w:p>
      <w:pPr>
        <w:pStyle w:val="BookText"/>
      </w:pPr>
      <w:r>
        <w:rPr>
          <w:rFonts w:ascii="IRNazanin" w:hAnsi="IRNazanin" w:eastAsia="IRNazanin" w:cs="IRNazanin"/>
          <w:lang w:bidi="fa-IR"/>
          <w:color w:val="111111"/>
          <w:sz w:val="28"/>
          <w:szCs w:val="28"/>
          <w:rtl/>
        </w:rPr>
        <w:t xml:space="preserve">در فهرست با عنوان «رساله ای در امامت» آمده است. رساله مختصری است در تاریخ ائمه اطهار(عليه السلام)مشتمل بر چهارده «باب» و هر باب مشتمل بر شش فصل»، نسخه حاضر فقط سه باب اول آن را شامل است: 1. احوال پیغمبر ما(صلی الله علیه وآله وسلم)، ۲. احوال فاطمه زهرا (سلام الله علیه)، ۳. احوال امير المؤمنین(عليه السلام)؛ خط: نسخ تحریری، بی کا، بی تا؛ جلد: تیماج قهوه ای، ۱۴ص (۲۲۹-۲۴۲)، ۱۷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سم [ف: ۳۵-۲۸۵]</w:t>
      </w:r>
    </w:p>
    <w:p>
      <w:pPr>
        <w:pStyle w:val="BookText"/>
      </w:pPr>
      <w:r>
        <w:rPr>
          <w:rFonts w:ascii="IRNazanin" w:hAnsi="IRNazanin" w:eastAsia="IRNazanin" w:cs="IRNazanin"/>
          <w:lang w:bidi="fa-IR"/>
          <w:color w:val="111111"/>
          <w:sz w:val="28"/>
          <w:szCs w:val="28"/>
          <w:rtl/>
        </w:rPr>
        <w:t xml:space="preserve">۲۱. قم، گلپایگانی؛ شماره نسخه: ۷۷۶۲- ۳۹/۱۴۲</w:t>
      </w:r>
    </w:p>
    <w:p>
      <w:pPr>
        <w:pStyle w:val="BookText"/>
      </w:pPr>
      <w:r>
        <w:rPr>
          <w:rFonts w:ascii="IRNazanin" w:hAnsi="IRNazanin" w:eastAsia="IRNazanin" w:cs="IRNazanin"/>
          <w:lang w:bidi="fa-IR"/>
          <w:color w:val="111111"/>
          <w:sz w:val="28"/>
          <w:szCs w:val="28"/>
          <w:rtl/>
        </w:rPr>
        <w:t xml:space="preserve">آغاز: یا جابر آن که اول بانگی کرد شکایت کرد از جفت خود که سه روز بود که او غایب بود گفتم جفت خود را حاضر کن رفت و آورد گفتم؛ انجام: دوستی من و تولای من و سخن آن مرد شنیدم چون بدان رسیدی لب بجنباندی و دیدم آنچه قطعه ای از کتابی است در تاریخ معصومین (عليهم السلام)این بند شامل شرح حال و معجزات امام حسن مجتبی (عليه السلام) تا امام صادق(عليه السلام) است؛ خط: نسخ، بی کا، بی تا؛ افتادگی: آغاز؛ جلد: مقوا عطف گالینگور قهوه ای، ۳۳گ، ۱۴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۲-۶۸۳]</w:t>
      </w:r>
    </w:p>
    <w:p>
      <w:pPr>
        <w:pStyle w:val="BookText"/>
      </w:pPr>
      <w:r>
        <w:rPr>
          <w:rFonts w:ascii="IRNazanin" w:hAnsi="IRNazanin" w:eastAsia="IRNazanin" w:cs="IRNazanin"/>
          <w:lang w:bidi="fa-IR"/>
          <w:color w:val="111111"/>
          <w:sz w:val="28"/>
          <w:szCs w:val="28"/>
          <w:rtl/>
        </w:rPr>
        <w:t xml:space="preserve">۲۲. تهران؛ ملی؛ شماره نسخه: ۲۵۶۳۰</w:t>
      </w:r>
    </w:p>
    <w:p>
      <w:pPr>
        <w:pStyle w:val="BookText"/>
      </w:pPr>
      <w:r>
        <w:rPr>
          <w:rFonts w:ascii="IRNazanin" w:hAnsi="IRNazanin" w:eastAsia="IRNazanin" w:cs="IRNazanin"/>
          <w:lang w:bidi="fa-IR"/>
          <w:color w:val="111111"/>
          <w:sz w:val="28"/>
          <w:szCs w:val="28"/>
          <w:rtl/>
        </w:rPr>
        <w:t xml:space="preserve">بی کا، بی تا؛ خریداری از امان الله [رایانه ]</w:t>
      </w:r>
    </w:p>
    <w:p>
      <w:pPr>
        <w:pStyle w:val="Heading3"/>
      </w:pPr>
      <w:bookmarkStart w:id="1969" w:name="_Toc1229"/>
      <w:r>
        <w:t>• تاریخ الائمة عليهم السلام = المواليد و الوفيات للائمة المعصومین علیهم السلام / تاریخ پیامبر اکرم(صلی الله علیه وآله وسلم) / عربی</w:t>
      </w:r>
      <w:bookmarkEnd w:id="1969"/>
    </w:p>
    <w:p>
      <w:pPr>
        <w:pStyle w:val="BookText"/>
      </w:pPr>
      <w:r>
        <w:rPr>
          <w:rFonts w:ascii="Times New Roman" w:hAnsi="Times New Roman" w:eastAsia="Times New Roman" w:cs="Times New Roman"/>
          <w:lang w:val="en-US" w:bidi="en-US"/>
          <w:color w:val="111111"/>
          <w:sz w:val="28"/>
          <w:szCs w:val="28"/>
          <w:rtl/>
        </w:rPr>
        <w:t xml:space="preserve">tārīx-ul a'imma ‘alay-him-us-salām = al-mawālīd wa-1 wafayāt li-l-a’imat-il ma‘şūmīn 'alay-him-us-salām</w:t>
      </w:r>
    </w:p>
    <w:p>
      <w:pPr>
        <w:pStyle w:val="BookText"/>
      </w:pPr>
      <w:r>
        <w:rPr>
          <w:rFonts w:ascii="IRNazanin" w:hAnsi="IRNazanin" w:eastAsia="IRNazanin" w:cs="IRNazanin"/>
          <w:lang w:bidi="fa-IR"/>
          <w:color w:val="111111"/>
          <w:sz w:val="28"/>
          <w:szCs w:val="28"/>
          <w:rtl/>
        </w:rPr>
        <w:t xml:space="preserve">تاریخ تأليف: ۱۰۹۲ق</w:t>
      </w:r>
    </w:p>
    <w:p>
      <w:pPr>
        <w:pStyle w:val="BookText"/>
      </w:pPr>
      <w:r>
        <w:rPr>
          <w:rFonts w:ascii="IRNazanin" w:hAnsi="IRNazanin" w:eastAsia="IRNazanin" w:cs="IRNazanin"/>
          <w:lang w:bidi="fa-IR"/>
          <w:color w:val="111111"/>
          <w:sz w:val="28"/>
          <w:szCs w:val="28"/>
          <w:rtl/>
        </w:rPr>
        <w:t xml:space="preserve">کتابی است در بیان تواریخ و مواليد اهل البيت (عليه السلام) در ۱۲ «نجم» و هر نجم در ۵ «فصل». در آغاز نسخه به خطی جدید نوشته شده النجم اللامع و در انجام (هامش) نیز به خطی نسبتا جدید نوشته شده «المؤلف الفاضل الكانل المحقق میرزا محمد الاخباري الخراساني النيسابوری و هذه الرسالة المسمى بنجم اللامع بخط يده الشريفة المباركة رضي الله تعالی عنه» که به هیچ وجه نمی تواند صحیح باشد زیرا قتل میرزا محمد اخباری در سال ۱۲۳۲ ق رخ داده است و جالب اینکه جاعلی سال ۱۰۹۲ق را در انجام نسخه با قلم جدیدتر دست برده و ۱۱۹۲ق کرده است غافل از اینکه متن درون نسخه بر تاریخ ۱۰۹۲ق گواهی دارد و تردیدی در آن وجود ندارد. در این کتاب از آثاری چون الكافی کلینی، مجموع الرائق سید هبة الله موسوی، کتاب المواليد ابن الخشاب، الارشاد مفید، صفوة الصفوة، کشف الغمه</w:t>
      </w:r>
    </w:p>
    <w:p>
      <w:pPr>
        <w:pStyle w:val="BookText"/>
      </w:pPr>
      <w:r>
        <w:rPr>
          <w:rFonts w:ascii="IRNazanin" w:hAnsi="IRNazanin" w:eastAsia="IRNazanin" w:cs="IRNazanin"/>
          <w:lang w:bidi="fa-IR"/>
          <w:color w:val="111111"/>
          <w:sz w:val="28"/>
          <w:szCs w:val="28"/>
          <w:rtl/>
        </w:rPr>
        <w:t xml:space="preserve">و نیز از سرور اهل الإيمان في علائم ظهور صاحب الزمان سید بهاء الدین نیلی نجفی</w:t>
      </w:r>
    </w:p>
    <w:p>
      <w:pPr>
        <w:pStyle w:val="BookText"/>
      </w:pPr>
      <w:r>
        <w:rPr>
          <w:rFonts w:ascii="IRNazanin" w:hAnsi="IRNazanin" w:eastAsia="IRNazanin" w:cs="IRNazanin"/>
          <w:lang w:bidi="fa-IR"/>
          <w:color w:val="111111"/>
          <w:sz w:val="28"/>
          <w:szCs w:val="28"/>
          <w:rtl/>
        </w:rPr>
        <w:t xml:space="preserve">(استاد ابن فهد حلی) که از مصادر بحار الانوار بوده است و کسان دیگر چون ابن طلحه شافعی (۷ الف ) سود جسته است. عناوین دوازده گانه این اثر عبارتند از: نجم 1. ذكر الإمام أمير المؤمنین صلوات الله عليه؛ ۲. ذكر الامام الثانی(عليه السلام) .... ۱۲. ذكر الامام الثاني عشر .... بخش مربوط به حضرت ولی عصر (عجل الله تعالی فرجه) به تفصیل آمده و در آن به علائم ظهور بیشتر پرداخته و در ادامه خطبه حجة الوداع و خطبه البيان نیز آمده است. متأسفانه علی رغم بررسی بسیار در مصادر به آگاهی های بیشتری دسترسی نیافتیم.</w:t>
      </w:r>
    </w:p>
    <w:p>
      <w:pPr>
        <w:pStyle w:val="BookText"/>
      </w:pPr>
      <w:r>
        <w:rPr>
          <w:rFonts w:ascii="IRNazanin" w:hAnsi="IRNazanin" w:eastAsia="IRNazanin" w:cs="IRNazanin"/>
          <w:lang w:bidi="fa-IR"/>
          <w:color w:val="111111"/>
          <w:sz w:val="28"/>
          <w:szCs w:val="28"/>
          <w:rtl/>
        </w:rPr>
        <w:t xml:space="preserve">قم؛ مرعشی؛ شماره نسخه: ۱۳۸۳۸/۱</w:t>
      </w:r>
    </w:p>
    <w:p>
      <w:pPr>
        <w:pStyle w:val="BookText"/>
      </w:pPr>
      <w:r>
        <w:rPr>
          <w:rFonts w:ascii="IRNazanin" w:hAnsi="IRNazanin" w:eastAsia="IRNazanin" w:cs="IRNazanin"/>
          <w:lang w:bidi="fa-IR"/>
          <w:color w:val="111111"/>
          <w:sz w:val="28"/>
          <w:szCs w:val="28"/>
          <w:rtl/>
        </w:rPr>
        <w:t xml:space="preserve">آغاز: خلیل الله على نبينا و عليهما السلام و أئمة آمنه بنت وهب ... (۲ر) النجم تا أول في ذكر الإمام الأول أمیر المومنین صلوات الله عليه جمسة فصول الفصل الاول في اسمه و کنیته و لقبه ... هو أول ائمة المومنین و؛ انجام: و أنذر الناس يوم يأتيهم العذاب و العذاب</w:t>
      </w:r>
    </w:p>
    <w:p>
      <w:pPr>
        <w:pStyle w:val="BookText"/>
      </w:pPr>
      <w:r>
        <w:rPr>
          <w:rFonts w:ascii="IRNazanin" w:hAnsi="IRNazanin" w:eastAsia="IRNazanin" w:cs="IRNazanin"/>
          <w:lang w:bidi="fa-IR"/>
          <w:color w:val="111111"/>
          <w:sz w:val="28"/>
          <w:szCs w:val="28"/>
          <w:rtl/>
        </w:rPr>
        <w:t xml:space="preserve">ظهور قائمنا المتغيب لأنه عذاب على الكفارین و شفاء و رحمة للمومنین و يظهر وله من العمر أربعون عاما و يمكث في القوم ثمانون عاما و قيل لهم سلام سلام تم على يد مؤلفه حامد لله و مصلي على رسوله و آله.</w:t>
      </w:r>
    </w:p>
    <w:p>
      <w:pPr>
        <w:pStyle w:val="BookText"/>
      </w:pPr>
      <w:r>
        <w:rPr>
          <w:rFonts w:ascii="IRNazanin" w:hAnsi="IRNazanin" w:eastAsia="IRNazanin" w:cs="IRNazanin"/>
          <w:lang w:bidi="fa-IR"/>
          <w:color w:val="111111"/>
          <w:sz w:val="28"/>
          <w:szCs w:val="28"/>
          <w:rtl/>
        </w:rPr>
        <w:t xml:space="preserve">خط: نستعلیق، کاتب = مؤلف، تا: ۱۰۹۲ق؛ افتادگی: آغاز (یک یا دو برگ)؛ احتمال این که نسخه خط مؤلف باشد بسیار است، مصحح، ۱۸ بیت از اشعار بابا فغانی آمده با مطلع: «چمن شکفت و جهان پر ز سوسن و سمن است</w:t>
      </w:r>
      <w:r>
        <w:rPr>
          <w:rFonts w:ascii="IRNazanin" w:hAnsi="IRNazanin" w:eastAsia="IRNazanin" w:cs="IRNazanin"/>
          <w:lang w:bidi="fa-IR"/>
          <w:color w:val="111111"/>
          <w:sz w:val="28"/>
          <w:szCs w:val="28"/>
          <w:b w:val="1"/>
          <w:bCs w:val="1"/>
          <w:i w:val="1"/>
          <w:iCs w:val="1"/>
          <w:rtl/>
        </w:rPr>
        <w:t xml:space="preserve">بصد هزار زبان روزگار در سخن است»، در انجام قصیده ای یائیه به عربی در مدح اهل البيت(عليهم السلام)آمده با این مطلع: «سلام بالبكور و بالعشى</w:t>
      </w:r>
      <w:r>
        <w:rPr>
          <w:rFonts w:ascii="IRNazanin" w:hAnsi="IRNazanin" w:eastAsia="IRNazanin" w:cs="IRNazanin"/>
          <w:lang w:bidi="fa-IR"/>
          <w:color w:val="111111"/>
          <w:sz w:val="28"/>
          <w:szCs w:val="28"/>
          <w:rtl/>
        </w:rPr>
        <w:t xml:space="preserve"> على ترع حوی قبر النبي»؛ کاغذ: فرنگی، ۳۰گ (۲ر -۳۱ر)، ۱۸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سم [ف: ۳۵-۱۵۰]</w:t>
      </w:r>
    </w:p>
    <w:p>
      <w:pPr>
        <w:pStyle w:val="Heading3"/>
      </w:pPr>
      <w:bookmarkStart w:id="1970" w:name="_Toc1230"/>
      <w:r>
        <w:t>• تاریخ ائمه معصومین / تاریخ معصومین / عربی</w:t>
      </w:r>
      <w:bookmarkEnd w:id="1970"/>
    </w:p>
    <w:p>
      <w:pPr>
        <w:pStyle w:val="BookText"/>
      </w:pPr>
      <w:r>
        <w:rPr>
          <w:rFonts w:ascii="Times New Roman" w:hAnsi="Times New Roman" w:eastAsia="Times New Roman" w:cs="Times New Roman"/>
          <w:lang w:val="en-US" w:bidi="en-US"/>
          <w:color w:val="111111"/>
          <w:sz w:val="28"/>
          <w:szCs w:val="28"/>
          <w:rtl/>
        </w:rPr>
        <w:t xml:space="preserve">tārīx-e a’emme ma‘sūmīn</w:t>
      </w:r>
    </w:p>
    <w:p>
      <w:pPr>
        <w:pStyle w:val="BookText"/>
      </w:pPr>
      <w:r>
        <w:rPr>
          <w:rFonts w:ascii="IRNazanin" w:hAnsi="IRNazanin" w:eastAsia="IRNazanin" w:cs="IRNazanin"/>
          <w:lang w:bidi="fa-IR"/>
          <w:color w:val="111111"/>
          <w:sz w:val="28"/>
          <w:szCs w:val="28"/>
          <w:rtl/>
        </w:rPr>
        <w:t xml:space="preserve">مشهد؛ رضوی؛ شماره نسخه:۲۹۲۱۵</w:t>
      </w:r>
    </w:p>
    <w:p>
      <w:pPr>
        <w:pStyle w:val="BookText"/>
      </w:pPr>
      <w:r>
        <w:rPr>
          <w:rFonts w:ascii="IRNazanin" w:hAnsi="IRNazanin" w:eastAsia="IRNazanin" w:cs="IRNazanin"/>
          <w:lang w:bidi="fa-IR"/>
          <w:color w:val="111111"/>
          <w:sz w:val="28"/>
          <w:szCs w:val="28"/>
          <w:rtl/>
        </w:rPr>
        <w:t xml:space="preserve">آغاز: و یا آنکه بر دیگری همچنان یکی ره بنفرین کشاید نهان؛ انجام: بدانچه آن مرا هست درشر همی یکی از باب موسی بن جعفر همی ... خط: نستعلیق جلی، بی کا، تا: قرن ۱۴؛ افتادگی: آغاز و انجام؛ کاغذ: نخودی، ۲۳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رایانه ]</w:t>
      </w:r>
    </w:p>
    <w:p>
      <w:pPr>
        <w:pStyle w:val="Heading3"/>
      </w:pPr>
      <w:bookmarkStart w:id="1971" w:name="_Toc1231"/>
      <w:r>
        <w:t>• تاريخ الأئمة المعصومین علیهم السلام / تاریخ معصومین / عربی</w:t>
      </w:r>
      <w:bookmarkEnd w:id="1971"/>
    </w:p>
    <w:p>
      <w:pPr>
        <w:pStyle w:val="BookText"/>
      </w:pPr>
      <w:r>
        <w:rPr>
          <w:rFonts w:ascii="Times New Roman" w:hAnsi="Times New Roman" w:eastAsia="Times New Roman" w:cs="Times New Roman"/>
          <w:lang w:val="en-US" w:bidi="en-US"/>
          <w:color w:val="111111"/>
          <w:sz w:val="28"/>
          <w:szCs w:val="28"/>
          <w:rtl/>
        </w:rPr>
        <w:t xml:space="preserve">tārīx-ul a'immat-il ma‘şūmīn 'alay-him-us-salām</w:t>
      </w:r>
    </w:p>
    <w:p>
      <w:pPr>
        <w:pStyle w:val="BookText"/>
      </w:pPr>
      <w:r>
        <w:rPr>
          <w:rFonts w:ascii="IRNazanin" w:hAnsi="IRNazanin" w:eastAsia="IRNazanin" w:cs="IRNazanin"/>
          <w:lang w:bidi="fa-IR"/>
          <w:color w:val="111111"/>
          <w:sz w:val="28"/>
          <w:szCs w:val="28"/>
          <w:rtl/>
        </w:rPr>
        <w:t xml:space="preserve">طباطبائی بروجردی، محمد بن عبد الكريم، ق ۱۲ قمری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367" w:name="pg20363_209651"/>
    <w:bookmarkEnd w:id="367"/>
    <w:p>
      <w:pPr>
        <w:pStyle w:val="BookText"/>
      </w:pPr>
      <w:r>
        <w:rPr>
          <w:rFonts w:ascii="Times New Roman" w:hAnsi="Times New Roman" w:eastAsia="Times New Roman" w:cs="Times New Roman"/>
          <w:lang w:val="en-US" w:bidi="en-US"/>
          <w:color w:val="111111"/>
          <w:sz w:val="28"/>
          <w:szCs w:val="28"/>
          <w:rtl/>
        </w:rPr>
        <w:t xml:space="preserve">tabātabā’ī borūjerdī, mohammad ebn-e ‘abd-ol-karīm (-18c)</w:t>
      </w:r>
    </w:p>
    <w:p>
      <w:pPr>
        <w:pStyle w:val="BookText"/>
      </w:pPr>
      <w:r>
        <w:rPr>
          <w:rFonts w:ascii="IRNazanin" w:hAnsi="IRNazanin" w:eastAsia="IRNazanin" w:cs="IRNazanin"/>
          <w:lang w:bidi="fa-IR"/>
          <w:color w:val="111111"/>
          <w:sz w:val="28"/>
          <w:szCs w:val="28"/>
          <w:rtl/>
        </w:rPr>
        <w:t xml:space="preserve">تاریخ تألیف: شوال ۱۱۲۶ق</w:t>
      </w:r>
    </w:p>
    <w:p>
      <w:pPr>
        <w:pStyle w:val="BookText"/>
      </w:pPr>
      <w:r>
        <w:rPr>
          <w:rFonts w:ascii="IRNazanin" w:hAnsi="IRNazanin" w:eastAsia="IRNazanin" w:cs="IRNazanin"/>
          <w:lang w:bidi="fa-IR"/>
          <w:color w:val="111111"/>
          <w:sz w:val="28"/>
          <w:szCs w:val="28"/>
          <w:rtl/>
        </w:rPr>
        <w:t xml:space="preserve">رساله در تاریخ وفات، مواليد و همچنین انساب پیامبر و اهل بیت که مورخین در آنها اختلاف بسیار دارند و چگونگی جمع بين آنها و تمییز صحیح و نا صحیح از نقل ها و گفته ها با اشاره به مجملی از احوال آن حضرات.</w:t>
      </w:r>
    </w:p>
    <w:p>
      <w:pPr>
        <w:pStyle w:val="BookText"/>
      </w:pPr>
      <w:r>
        <w:rPr>
          <w:rFonts w:ascii="IRNazanin" w:hAnsi="IRNazanin" w:eastAsia="IRNazanin" w:cs="IRNazanin"/>
          <w:lang w:bidi="fa-IR"/>
          <w:color w:val="111111"/>
          <w:sz w:val="28"/>
          <w:szCs w:val="28"/>
          <w:rtl/>
        </w:rPr>
        <w:t xml:space="preserve">آغاز: اعلم أرشد الله تعالى إلى طريق الحق أنه لابد في كمال المعرفة بحال النبي و الأوصياء من بعده معرفة أنسابهم و مواليدهم و تواریخ وفاتهم ...</w:t>
      </w:r>
    </w:p>
    <w:p>
      <w:pPr>
        <w:pStyle w:val="BookText"/>
      </w:pPr>
      <w:r>
        <w:rPr>
          <w:rFonts w:ascii="Amiri" w:hAnsi="Amiri" w:eastAsia="Amiri" w:cs="Amiri"/>
          <w:lang w:bidi="ar-SA"/>
          <w:color w:val="111111"/>
          <w:sz w:val="28"/>
          <w:szCs w:val="28"/>
          <w:rtl/>
        </w:rPr>
        <w:t xml:space="preserve">[الذريعة ۲۱۸/۳ و ۲۱۰۸/۱۶ ؛ دنا ۶۶۷/۲ ؛ طبقات اعلام الشيعة (قرن ۱۲ق): ۶۴۵ ]</w:t>
      </w:r>
    </w:p>
    <w:p>
      <w:pPr>
        <w:pStyle w:val="BookText"/>
      </w:pPr>
      <w:r>
        <w:rPr>
          <w:rFonts w:ascii="IRNazanin" w:hAnsi="IRNazanin" w:eastAsia="IRNazanin" w:cs="IRNazanin"/>
          <w:lang w:bidi="fa-IR"/>
          <w:color w:val="111111"/>
          <w:sz w:val="28"/>
          <w:szCs w:val="28"/>
          <w:rtl/>
        </w:rPr>
        <w:t xml:space="preserve">۱. قم؛ مرعشی؛ شماره نسخه: ۱۲۹۹۷/۳</w:t>
      </w:r>
    </w:p>
    <w:p>
      <w:pPr>
        <w:pStyle w:val="BookText"/>
      </w:pPr>
      <w:r>
        <w:rPr>
          <w:rFonts w:ascii="IRNazanin" w:hAnsi="IRNazanin" w:eastAsia="IRNazanin" w:cs="IRNazanin"/>
          <w:lang w:bidi="fa-IR"/>
          <w:color w:val="111111"/>
          <w:sz w:val="28"/>
          <w:szCs w:val="28"/>
          <w:rtl/>
        </w:rPr>
        <w:t xml:space="preserve">آغاز: برابر؛ انجام: كما يظهر لمن راجع الرواية ثم يقول القيامة القيامة فيحدث فيها ما يحدث عصمنا الله و سایر المؤمنين من أهوالها ..... آخر ما أردنا إيراده في هذه الرسالة الوجيزة.</w:t>
      </w:r>
    </w:p>
    <w:p>
      <w:pPr>
        <w:pStyle w:val="BookText"/>
      </w:pPr>
      <w:r>
        <w:rPr>
          <w:rFonts w:ascii="IRNazanin" w:hAnsi="IRNazanin" w:eastAsia="IRNazanin" w:cs="IRNazanin"/>
          <w:lang w:bidi="fa-IR"/>
          <w:color w:val="111111"/>
          <w:sz w:val="28"/>
          <w:szCs w:val="28"/>
          <w:rtl/>
        </w:rPr>
        <w:t xml:space="preserve">خط: نسخ، بی کا، تا: ۱۲۷۹ق؛ مصحح، محشی با نشان «منه عفيعنه»، «منه طاب ثراه» که از خود مؤلف نقل گردیده (استثناث یک مورد در «برگ ۸۲ر» در حاشیه عبارت «... يذكر المصنف دام ظله» آمده که قطعا منقول از عبارت نسخه مؤلف می باشد چه آنکه این نسخه به طور قطع و یقین بعد از درگذشت مؤلف که متوفای قبل از سال ۱۱۶۸ق است، نگاشته شده، در آغاز یک فائده مختصر در شرح حديث «إن الله تعالى قسم الشهوة عشر اجزاء، تسعة في النساء و واحدة في الرجال و لولا ما جعل الله فيهن من الحياء لكان لكل رجل تسعة نسوة ...» آمده، در انجام دو برگ « ۹۵-پ۹۴پ» فوائدی در فضائل حضرت فاطمه به نقل از من لايحضره الفقیه شیخ صدوق توضیحی درباره حديث معروف: «آن شره رمضان لا ينقصي أبدا ...» و نیز تفسیری مختصر از آیه شریفه فانطلقا حتى إذا أتيا اهل قرية ..» از سوره کهف، همچنین مطلبی درباره حدیث «من مات يوم الخميس بعد زوال الشمس إلى يوم الجمعة ...» آمده؛ کاغذ: فرنگی، ۲۲گ (۷۳پ -۹۴ر)، ۱۷ سطر (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سم [ف: ۳۲-۹۶۹]</w:t>
      </w:r>
    </w:p>
    <w:p>
      <w:pPr>
        <w:pStyle w:val="BookText"/>
      </w:pPr>
      <w:r>
        <w:rPr>
          <w:rFonts w:ascii="IRNazanin" w:hAnsi="IRNazanin" w:eastAsia="IRNazanin" w:cs="IRNazanin"/>
          <w:lang w:bidi="fa-IR"/>
          <w:color w:val="111111"/>
          <w:sz w:val="28"/>
          <w:szCs w:val="28"/>
          <w:rtl/>
        </w:rPr>
        <w:t xml:space="preserve">۲. خوانسار؛ فاضل؛ شماره نسخه: ۱۶۴/۲</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زیبا، كا: موسی بن محمد خوانساری، تا: ۱۳۲۳ق؛ مصحح، محشی با عبارت «منه ره»؛ جلد: تیماج قرمز مجدول، ۲۶گ (۷۶-۱۰۱)،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۱-۱۴۲]</w:t>
      </w:r>
    </w:p>
    <w:p>
      <w:pPr>
        <w:pStyle w:val="BookText"/>
      </w:pPr>
      <w:r>
        <w:rPr>
          <w:rFonts w:ascii="IRNazanin" w:hAnsi="IRNazanin" w:eastAsia="IRNazanin" w:cs="IRNazanin"/>
          <w:lang w:bidi="fa-IR"/>
          <w:color w:val="111111"/>
          <w:sz w:val="28"/>
          <w:szCs w:val="28"/>
          <w:rtl/>
        </w:rPr>
        <w:t xml:space="preserve">قم: مرکز احیاء؛ شماره نسخه: ۷۰۷/۲</w:t>
      </w:r>
    </w:p>
    <w:p>
      <w:pPr>
        <w:pStyle w:val="BookText"/>
      </w:pPr>
      <w:r>
        <w:rPr>
          <w:rFonts w:ascii="IRNazanin" w:hAnsi="IRNazanin" w:eastAsia="IRNazanin" w:cs="IRNazanin"/>
          <w:lang w:bidi="fa-IR"/>
          <w:color w:val="111111"/>
          <w:sz w:val="28"/>
          <w:szCs w:val="28"/>
          <w:rtl/>
        </w:rPr>
        <w:t xml:space="preserve">نسخه اصل: همان نسخه بالا [عکسی ف: ۲-۳۴۷]</w:t>
      </w:r>
    </w:p>
    <w:p>
      <w:pPr>
        <w:pStyle w:val="BookText"/>
      </w:pPr>
      <w:r>
        <w:rPr>
          <w:rFonts w:ascii="IRNazanin" w:hAnsi="IRNazanin" w:eastAsia="IRNazanin" w:cs="IRNazanin"/>
          <w:lang w:bidi="fa-IR"/>
          <w:color w:val="111111"/>
          <w:sz w:val="28"/>
          <w:szCs w:val="28"/>
          <w:rtl/>
        </w:rPr>
        <w:t xml:space="preserve">٣. قم؛ مؤسسه آية الله بروجردی؛ شماره نسخه:۹۹/۲</w:t>
      </w:r>
    </w:p>
    <w:p>
      <w:pPr>
        <w:pStyle w:val="BookText"/>
      </w:pPr>
      <w:r>
        <w:rPr>
          <w:rFonts w:ascii="IRNazanin" w:hAnsi="IRNazanin" w:eastAsia="IRNazanin" w:cs="IRNazanin"/>
          <w:lang w:bidi="fa-IR"/>
          <w:color w:val="111111"/>
          <w:sz w:val="28"/>
          <w:szCs w:val="28"/>
          <w:rtl/>
        </w:rPr>
        <w:t xml:space="preserve">آغاز: برابر؛ انجام: ثم تقوم القيامة فيحدث فيها ما يحدث، عصمنا الله و سائر المومنین من أهوالها و خطراتها ...</w:t>
      </w:r>
    </w:p>
    <w:p>
      <w:pPr>
        <w:pStyle w:val="BookText"/>
      </w:pPr>
      <w:r>
        <w:rPr>
          <w:rFonts w:ascii="IRNazanin" w:hAnsi="IRNazanin" w:eastAsia="IRNazanin" w:cs="IRNazanin"/>
          <w:lang w:bidi="fa-IR"/>
          <w:color w:val="111111"/>
          <w:sz w:val="28"/>
          <w:szCs w:val="28"/>
          <w:rtl/>
        </w:rPr>
        <w:t xml:space="preserve">خط: نسخ، كا: احمد بن علی اکبر بروجردی (حاج احمد خادمی)، تا: ۱۳۵۱ق، به دستور آية الله حاج آقا حسین طباطبائی بروجردی؛ جلد: تیماج مشکی، ۱۹گ (۵۵پ -۷۳ر)،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۱-۶۵]</w:t>
      </w:r>
    </w:p>
    <w:p>
      <w:pPr>
        <w:pStyle w:val="BookText"/>
      </w:pPr>
      <w:r>
        <w:rPr>
          <w:rFonts w:ascii="IRNazanin" w:hAnsi="IRNazanin" w:eastAsia="IRNazanin" w:cs="IRNazanin"/>
          <w:lang w:bidi="fa-IR"/>
          <w:color w:val="111111"/>
          <w:sz w:val="28"/>
          <w:szCs w:val="28"/>
          <w:rtl/>
        </w:rPr>
        <w:t xml:space="preserve">← تاریخ ابراهیمی ← تحفة التواريخ</w:t>
      </w:r>
    </w:p>
    <w:p>
      <w:pPr>
        <w:pStyle w:val="BookText"/>
      </w:pPr>
      <w:r>
        <w:rPr>
          <w:rFonts w:ascii="IRNazanin" w:hAnsi="IRNazanin" w:eastAsia="IRNazanin" w:cs="IRNazanin"/>
          <w:lang w:bidi="fa-IR"/>
          <w:color w:val="111111"/>
          <w:sz w:val="28"/>
          <w:szCs w:val="28"/>
          <w:rtl/>
        </w:rPr>
        <w:t xml:space="preserve">← تاریخ ابن اسفندیار ← تاریخ طبرستان</w:t>
      </w:r>
    </w:p>
    <w:p>
      <w:pPr>
        <w:pStyle w:val="BookText"/>
      </w:pPr>
      <w:r>
        <w:rPr>
          <w:rFonts w:ascii="IRNazanin" w:hAnsi="IRNazanin" w:eastAsia="IRNazanin" w:cs="IRNazanin"/>
          <w:lang w:bidi="fa-IR"/>
          <w:color w:val="111111"/>
          <w:sz w:val="28"/>
          <w:szCs w:val="28"/>
          <w:rtl/>
        </w:rPr>
        <w:t xml:space="preserve">← تاریخ ابن حیان ← ثقات</w:t>
      </w:r>
    </w:p>
    <w:p>
      <w:pPr>
        <w:pStyle w:val="Heading3"/>
      </w:pPr>
      <w:bookmarkStart w:id="1972" w:name="_Toc1232"/>
      <w:r>
        <w:t>• تاریخ ابن خلکان / تاریخ / عربی</w:t>
      </w:r>
      <w:bookmarkEnd w:id="1972"/>
    </w:p>
    <w:p>
      <w:pPr>
        <w:pStyle w:val="BookText"/>
      </w:pPr>
      <w:r>
        <w:rPr>
          <w:rFonts w:ascii="Times New Roman" w:hAnsi="Times New Roman" w:eastAsia="Times New Roman" w:cs="Times New Roman"/>
          <w:lang w:val="en-US" w:bidi="en-US"/>
          <w:color w:val="111111"/>
          <w:sz w:val="28"/>
          <w:szCs w:val="28"/>
          <w:rtl/>
        </w:rPr>
        <w:t xml:space="preserve">tārīx-e ebn-e xallekān</w:t>
      </w:r>
    </w:p>
    <w:p>
      <w:pPr>
        <w:pStyle w:val="BookText"/>
      </w:pPr>
      <w:r>
        <w:rPr>
          <w:rFonts w:ascii="IRNazanin" w:hAnsi="IRNazanin" w:eastAsia="IRNazanin" w:cs="IRNazanin"/>
          <w:lang w:bidi="fa-IR"/>
          <w:color w:val="111111"/>
          <w:sz w:val="28"/>
          <w:szCs w:val="28"/>
          <w:rtl/>
        </w:rPr>
        <w:t xml:space="preserve">ابن خلکان، احمد بن محمد، ۶۰۸-۶۸۱؟ قمری</w:t>
      </w:r>
    </w:p>
    <w:p>
      <w:pPr>
        <w:pStyle w:val="BookText"/>
      </w:pPr>
      <w:r>
        <w:rPr>
          <w:rFonts w:ascii="Times New Roman" w:hAnsi="Times New Roman" w:eastAsia="Times New Roman" w:cs="Times New Roman"/>
          <w:lang w:val="en-US" w:bidi="en-US"/>
          <w:color w:val="111111"/>
          <w:sz w:val="28"/>
          <w:szCs w:val="28"/>
          <w:rtl/>
        </w:rPr>
        <w:t xml:space="preserve">ebn-e xallekān, ahmad ebn-e mohammad (1212-1283)</w:t>
      </w:r>
    </w:p>
    <w:p>
      <w:pPr>
        <w:pStyle w:val="BookText"/>
      </w:pPr>
      <w:r>
        <w:rPr>
          <w:rFonts w:ascii="IRNazanin" w:hAnsi="IRNazanin" w:eastAsia="IRNazanin" w:cs="IRNazanin"/>
          <w:lang w:bidi="fa-IR"/>
          <w:color w:val="111111"/>
          <w:sz w:val="28"/>
          <w:szCs w:val="28"/>
          <w:rtl/>
        </w:rPr>
        <w:t xml:space="preserve">تهران؛ مجلس؛ شماره نسخه:۵۲۷۳</w:t>
      </w:r>
    </w:p>
    <w:p>
      <w:pPr>
        <w:pStyle w:val="BookText"/>
      </w:pPr>
      <w:r>
        <w:rPr>
          <w:rFonts w:ascii="IRNazanin" w:hAnsi="IRNazanin" w:eastAsia="IRNazanin" w:cs="IRNazanin"/>
          <w:lang w:bidi="fa-IR"/>
          <w:color w:val="111111"/>
          <w:sz w:val="28"/>
          <w:szCs w:val="28"/>
          <w:rtl/>
        </w:rPr>
        <w:t xml:space="preserve">آغاز: قالو و قد شنو عليه غارة أصلاب جودام قضاء دیون؛ انجام من متزع اعضايه المير الصافي انشاء الله</w:t>
      </w:r>
    </w:p>
    <w:p>
      <w:pPr>
        <w:pStyle w:val="BookText"/>
      </w:pPr>
      <w:r>
        <w:rPr>
          <w:rFonts w:ascii="IRNazanin" w:hAnsi="IRNazanin" w:eastAsia="IRNazanin" w:cs="IRNazanin"/>
          <w:lang w:bidi="fa-IR"/>
          <w:color w:val="111111"/>
          <w:sz w:val="28"/>
          <w:szCs w:val="28"/>
          <w:rtl/>
        </w:rPr>
        <w:t xml:space="preserve">خط: نسخ، كا: محمد بن ... سليمان، تا: سه شنبه محرم ۷۵۶ق؛ با یک ابرو زرین؛ ۱۴۶گی [ف: ۱۶-۹۳]</w:t>
      </w:r>
    </w:p>
    <w:p>
      <w:pPr>
        <w:pStyle w:val="Heading3"/>
      </w:pPr>
      <w:bookmarkStart w:id="1973" w:name="_Toc1233"/>
      <w:r>
        <w:t>•تاریخ ابن الفرات / تاریخ عربی</w:t>
      </w:r>
      <w:bookmarkEnd w:id="1973"/>
    </w:p>
    <w:p>
      <w:pPr>
        <w:pStyle w:val="BookText"/>
      </w:pPr>
      <w:r>
        <w:rPr>
          <w:rFonts w:ascii="Times New Roman" w:hAnsi="Times New Roman" w:eastAsia="Times New Roman" w:cs="Times New Roman"/>
          <w:lang w:val="en-US" w:bidi="en-US"/>
          <w:color w:val="111111"/>
          <w:sz w:val="28"/>
          <w:szCs w:val="28"/>
          <w:rtl/>
        </w:rPr>
        <w:t xml:space="preserve">tārīx-e ebn-el forāt</w:t>
      </w:r>
    </w:p>
    <w:p>
      <w:pPr>
        <w:pStyle w:val="BookText"/>
      </w:pPr>
      <w:r>
        <w:rPr>
          <w:rFonts w:ascii="IRNazanin" w:hAnsi="IRNazanin" w:eastAsia="IRNazanin" w:cs="IRNazanin"/>
          <w:lang w:bidi="fa-IR"/>
          <w:color w:val="111111"/>
          <w:sz w:val="28"/>
          <w:szCs w:val="28"/>
          <w:rtl/>
        </w:rPr>
        <w:t xml:space="preserve">ابن الفرات، محمد بن عبدالرحیم، ۷۳۵-۸۰۷ قمری في</w:t>
      </w:r>
    </w:p>
    <w:p>
      <w:pPr>
        <w:pStyle w:val="BookText"/>
      </w:pPr>
      <w:r>
        <w:rPr>
          <w:rFonts w:ascii="Times New Roman" w:hAnsi="Times New Roman" w:eastAsia="Times New Roman" w:cs="Times New Roman"/>
          <w:lang w:val="en-US" w:bidi="en-US"/>
          <w:color w:val="111111"/>
          <w:sz w:val="28"/>
          <w:szCs w:val="28"/>
          <w:rtl/>
        </w:rPr>
        <w:t xml:space="preserve">ebn-ol forāt, mohammad ebn-e ‘abd-or-rahīm (1335 1405)</w:t>
      </w:r>
    </w:p>
    <w:p>
      <w:pPr>
        <w:pStyle w:val="BookText"/>
      </w:pPr>
      <w:r>
        <w:rPr>
          <w:rFonts w:ascii="IRNazanin" w:hAnsi="IRNazanin" w:eastAsia="IRNazanin" w:cs="IRNazanin"/>
          <w:lang w:bidi="fa-IR"/>
          <w:color w:val="111111"/>
          <w:sz w:val="28"/>
          <w:szCs w:val="28"/>
          <w:rtl/>
        </w:rPr>
        <w:t xml:space="preserve">تاریخ مفصل خلفا و پادشاهان است در شش جلد و به ترتیب سال ها، و در آن به شرح حال افراد نیز می پردازد.</w:t>
      </w:r>
    </w:p>
    <w:p>
      <w:pPr>
        <w:pStyle w:val="BookText"/>
      </w:pPr>
      <w:r>
        <w:rPr>
          <w:rFonts w:ascii="IRNazanin" w:hAnsi="IRNazanin" w:eastAsia="IRNazanin" w:cs="IRNazanin"/>
          <w:lang w:bidi="fa-IR"/>
          <w:color w:val="111111"/>
          <w:sz w:val="28"/>
          <w:szCs w:val="28"/>
          <w:rtl/>
        </w:rPr>
        <w:t xml:space="preserve">چاپ: البصرة، دار الطباعة الحديثة، تحقیق حسين محمد الشماع، ۱۹۶۹-۱۹۷۰م</w:t>
      </w:r>
    </w:p>
    <w:p>
      <w:pPr>
        <w:pStyle w:val="BookText"/>
      </w:pPr>
      <w:r>
        <w:rPr>
          <w:rFonts w:ascii="IRNazanin" w:hAnsi="IRNazanin" w:eastAsia="IRNazanin" w:cs="IRNazanin"/>
          <w:lang w:bidi="fa-IR"/>
          <w:color w:val="111111"/>
          <w:sz w:val="28"/>
          <w:szCs w:val="28"/>
          <w:rtl/>
        </w:rPr>
        <w:t xml:space="preserve">[ كشف الطنون ۲۷۹/۱ ؛ فهرست کتابهای عربی واتیکان ۶۹/۱؛ اعلام ۲۰۰/۶ ۲۰۱؛ ذخائر التراث العربی ۲۰۲/۱ -۲۰۳؛ دنا ۶۶۸/۲ ]</w:t>
      </w:r>
    </w:p>
    <w:p>
      <w:pPr>
        <w:pStyle w:val="BookText"/>
      </w:pPr>
      <w:r>
        <w:rPr>
          <w:rFonts w:ascii="IRNazanin" w:hAnsi="IRNazanin" w:eastAsia="IRNazanin" w:cs="IRNazanin"/>
          <w:lang w:bidi="fa-IR"/>
          <w:color w:val="111111"/>
          <w:sz w:val="28"/>
          <w:szCs w:val="28"/>
          <w:rtl/>
        </w:rPr>
        <w:t xml:space="preserve">قم: مرکز احیاء؛ شماره نسخه:۱۲۵۵</w:t>
      </w:r>
    </w:p>
    <w:p>
      <w:pPr>
        <w:pStyle w:val="BookText"/>
      </w:pPr>
      <w:r>
        <w:rPr>
          <w:rFonts w:ascii="IRNazanin" w:hAnsi="IRNazanin" w:eastAsia="IRNazanin" w:cs="IRNazanin"/>
          <w:lang w:bidi="fa-IR"/>
          <w:color w:val="111111"/>
          <w:sz w:val="28"/>
          <w:szCs w:val="28"/>
          <w:rtl/>
        </w:rPr>
        <w:t xml:space="preserve">آغاز: و الوجه القلبی و ذلك في يوم الجمعة عاشر شهر ربيع الخر من هذه السنة كتب السلطان الملك صالح</w:t>
      </w:r>
    </w:p>
    <w:p>
      <w:pPr>
        <w:pStyle w:val="BookText"/>
      </w:pPr>
      <w:r>
        <w:rPr>
          <w:rFonts w:ascii="IRNazanin" w:hAnsi="IRNazanin" w:eastAsia="IRNazanin" w:cs="IRNazanin"/>
          <w:lang w:bidi="fa-IR"/>
          <w:color w:val="111111"/>
          <w:sz w:val="28"/>
          <w:szCs w:val="28"/>
          <w:rtl/>
        </w:rPr>
        <w:t xml:space="preserve">نسخه اصل: کتابخانه واتیکان -رم ۷۲۶. جلد دوم از حوادث سال ۶۳۹ تا ۶۵۹ می باشد؛ خط: نسخ، بی کا، تا: قرن ۹، افتادگی: آغاز؛ مصحح، از صفحه ۳۰۵ تا آخر نسخه دیگری به همین کتابت بوده که در کتابخانه واتیکان به یک شماره تبدیل شده اند، لذا انتهای صفحه ۳۰۴ ناقص است؛ ۵۸۴ص [عکسی ف: ۴-۸۰]</w:t>
      </w:r>
    </w:p>
    <w:p>
      <w:pPr>
        <w:pStyle w:val="Heading3"/>
      </w:pPr>
      <w:bookmarkStart w:id="1974" w:name="_Toc1234"/>
      <w:r>
        <w:t>•تاریخ ابوالخیر خانی / تاریخ جهان / فارسی</w:t>
      </w:r>
      <w:bookmarkEnd w:id="1974"/>
    </w:p>
    <w:p>
      <w:pPr>
        <w:pStyle w:val="BookText"/>
      </w:pPr>
      <w:r>
        <w:rPr>
          <w:rFonts w:ascii="Times New Roman" w:hAnsi="Times New Roman" w:eastAsia="Times New Roman" w:cs="Times New Roman"/>
          <w:lang w:val="en-US" w:bidi="en-US"/>
          <w:color w:val="111111"/>
          <w:sz w:val="28"/>
          <w:szCs w:val="28"/>
          <w:rtl/>
        </w:rPr>
        <w:t xml:space="preserve">tārīx-e ab-ol-xayr-e xānī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368" w:name="pg20363_209652"/>
    <w:bookmarkEnd w:id="368"/>
    <w:p>
      <w:pPr>
        <w:pStyle w:val="BookText"/>
      </w:pPr>
      <w:r>
        <w:rPr>
          <w:rFonts w:ascii="IRNazanin" w:hAnsi="IRNazanin" w:eastAsia="IRNazanin" w:cs="IRNazanin"/>
          <w:lang w:bidi="fa-IR"/>
          <w:color w:val="111111"/>
          <w:sz w:val="28"/>
          <w:szCs w:val="28"/>
          <w:rtl/>
        </w:rPr>
        <w:t xml:space="preserve">کوهستانی، مسعود بن عثمان، ق۱۰ قمری</w:t>
      </w:r>
    </w:p>
    <w:p>
      <w:pPr>
        <w:pStyle w:val="BookText"/>
      </w:pPr>
      <w:r>
        <w:rPr>
          <w:rFonts w:ascii="Times New Roman" w:hAnsi="Times New Roman" w:eastAsia="Times New Roman" w:cs="Times New Roman"/>
          <w:lang w:val="en-US" w:bidi="en-US"/>
          <w:color w:val="111111"/>
          <w:sz w:val="28"/>
          <w:szCs w:val="28"/>
          <w:rtl/>
        </w:rPr>
        <w:t xml:space="preserve">kūhestānī, mas‘ūd ebn-e ‘osmān (-160)</w:t>
      </w:r>
    </w:p>
    <w:p>
      <w:pPr>
        <w:pStyle w:val="BookText"/>
      </w:pPr>
      <w:r>
        <w:rPr>
          <w:rFonts w:ascii="IRNazanin" w:hAnsi="IRNazanin" w:eastAsia="IRNazanin" w:cs="IRNazanin"/>
          <w:lang w:bidi="fa-IR"/>
          <w:color w:val="111111"/>
          <w:sz w:val="28"/>
          <w:szCs w:val="28"/>
          <w:rtl/>
        </w:rPr>
        <w:t xml:space="preserve">اهدا به: ابوالغازی عبد اللطيف بهادر خان اوزبک (۹۴۷-۹۵۹ق) ابوالخیر خان پسر دولت شیخ اوغلان فرزند ابراهيم سلطان از نوادگان جوجی فرزند چنگیز مغول است، که کتاب به روزگار او پایان می یابد. کتاب بخشبندی درستی ندارد: از تاریخ پیامبران و آدم آغاز می شود، سپس پیامبر اسلام، آنگاه طبقه یکم در چهار خليفه و دوازده امام، طبقه دوم خاندان امویان، سوم عباسیان، پادشاهان ایران باستان از کیومرث تا یزدگرد، صفاریان، سامانیان، غزنویان، سلجوقیان، چنگیز .... (احمد منزوی)</w:t>
      </w:r>
    </w:p>
    <w:p>
      <w:pPr>
        <w:pStyle w:val="BookText"/>
      </w:pPr>
      <w:r>
        <w:rPr>
          <w:rFonts w:ascii="IRNazanin" w:hAnsi="IRNazanin" w:eastAsia="IRNazanin" w:cs="IRNazanin"/>
          <w:lang w:bidi="fa-IR"/>
          <w:color w:val="111111"/>
          <w:sz w:val="28"/>
          <w:szCs w:val="28"/>
          <w:rtl/>
        </w:rPr>
        <w:t xml:space="preserve">آغاز: جواهر حمد و سپاس بیقیاس که شهسوار عقل به سر حد</w:t>
      </w:r>
    </w:p>
    <w:p>
      <w:pPr>
        <w:pStyle w:val="BookText"/>
      </w:pPr>
      <w:r>
        <w:rPr>
          <w:rFonts w:ascii="IRNazanin" w:hAnsi="IRNazanin" w:eastAsia="IRNazanin" w:cs="IRNazanin"/>
          <w:lang w:bidi="fa-IR"/>
          <w:color w:val="111111"/>
          <w:sz w:val="28"/>
          <w:szCs w:val="28"/>
          <w:rtl/>
        </w:rPr>
        <w:t xml:space="preserve">[استوری ۱۱۰/۱ ؛ فهرستواره منزوی ۵۷۰/۱ ؛ بر گل، فارسی ۵۷۰/۲ ؛ نسخه های منزوی ۴۱۰۰/۶ (۵ نسخه)؛ مشترک پاکستان ۱۳۵۰/۱۱ ؛ دنا ۶۶۸/۲ )</w:t>
      </w:r>
    </w:p>
    <w:p>
      <w:pPr>
        <w:pStyle w:val="BookText"/>
      </w:pPr>
      <w:r>
        <w:rPr>
          <w:rFonts w:ascii="IRNazanin" w:hAnsi="IRNazanin" w:eastAsia="IRNazanin" w:cs="IRNazanin"/>
          <w:lang w:bidi="fa-IR"/>
          <w:color w:val="111111"/>
          <w:sz w:val="28"/>
          <w:szCs w:val="28"/>
          <w:rtl/>
        </w:rPr>
        <w:t xml:space="preserve">تهران؛ دائرة المعارف؛ شماره نسخه: ۷۱- عکسی</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نسخه اصل: موزه بریتانیا ۲۶۱۸۸؛ خط: نستعلیق پخته، کا: محمد شریف، تا: قرن ۱۱، جا: دهلی؛ در ۴ مجلد: ۱-(گ ۱-۹۰)، ۲ (گ ۹۱-۱۸۰)، آغاز: «و طراوت ها ابری نماند»، ۳-(گ ۱۸۱- ۲۷۰)، آغاز: «آزرده با کلید خزاین به نواب»، ۴-(گ ۲۷۱-۳۶۵)، آغاز: «کین شیری بود غران» (عکس)؛ ۳۶۵گ، ۱۸ سطر [عکسی ف: ۲-۵۱]</w:t>
      </w:r>
    </w:p>
    <w:p>
      <w:pPr>
        <w:pStyle w:val="BookText"/>
      </w:pPr>
      <w:r>
        <w:rPr>
          <w:rFonts w:ascii="IRNazanin" w:hAnsi="IRNazanin" w:eastAsia="IRNazanin" w:cs="IRNazanin"/>
          <w:lang w:bidi="fa-IR"/>
          <w:color w:val="111111"/>
          <w:sz w:val="28"/>
          <w:szCs w:val="28"/>
          <w:rtl/>
        </w:rPr>
        <w:t xml:space="preserve">تهران؛ دانشگاه؛ شماره نسخه:۱۳۹۹ -ف</w:t>
      </w:r>
    </w:p>
    <w:p>
      <w:pPr>
        <w:pStyle w:val="BookText"/>
      </w:pPr>
      <w:r>
        <w:rPr>
          <w:rFonts w:ascii="Amiri" w:hAnsi="Amiri" w:eastAsia="Amiri" w:cs="Amiri"/>
          <w:lang w:bidi="ar-SA"/>
          <w:color w:val="111111"/>
          <w:sz w:val="28"/>
          <w:szCs w:val="28"/>
          <w:rtl/>
        </w:rPr>
        <w:t xml:space="preserve">همان نسخه بالا [فيلمها ف: ۱-۲۹]</w:t>
      </w:r>
    </w:p>
    <w:p>
      <w:pPr>
        <w:pStyle w:val="Heading3"/>
      </w:pPr>
      <w:bookmarkStart w:id="1975" w:name="_Toc1235"/>
      <w:r>
        <w:t>• تاریخ ابوالخیر خانی / تاریخ / فارسی</w:t>
      </w:r>
      <w:bookmarkEnd w:id="1975"/>
    </w:p>
    <w:p>
      <w:pPr>
        <w:pStyle w:val="BookText"/>
      </w:pPr>
      <w:r>
        <w:rPr>
          <w:rFonts w:ascii="Times New Roman" w:hAnsi="Times New Roman" w:eastAsia="Times New Roman" w:cs="Times New Roman"/>
          <w:lang w:val="en-US" w:bidi="en-US"/>
          <w:color w:val="111111"/>
          <w:sz w:val="28"/>
          <w:szCs w:val="28"/>
          <w:rtl/>
        </w:rPr>
        <w:t xml:space="preserve">tārīx-e ab-ol-xayr-e xānī</w:t>
      </w:r>
    </w:p>
    <w:p>
      <w:pPr>
        <w:pStyle w:val="BookText"/>
      </w:pPr>
      <w:r>
        <w:rPr>
          <w:rFonts w:ascii="IRNazanin" w:hAnsi="IRNazanin" w:eastAsia="IRNazanin" w:cs="IRNazanin"/>
          <w:lang w:bidi="fa-IR"/>
          <w:color w:val="111111"/>
          <w:sz w:val="28"/>
          <w:szCs w:val="28"/>
          <w:rtl/>
        </w:rPr>
        <w:t xml:space="preserve">اصفهان؛ صارم الدوله (كتابخانه فرهنگ اصفهان)؛ شماره نسخه:۹۲۵</w:t>
      </w:r>
    </w:p>
    <w:p>
      <w:pPr>
        <w:pStyle w:val="BookText"/>
      </w:pPr>
      <w:r>
        <w:rPr>
          <w:rFonts w:ascii="IRNazanin" w:hAnsi="IRNazanin" w:eastAsia="IRNazanin" w:cs="IRNazanin"/>
          <w:lang w:bidi="fa-IR"/>
          <w:color w:val="111111"/>
          <w:sz w:val="28"/>
          <w:szCs w:val="28"/>
          <w:rtl/>
        </w:rPr>
        <w:t xml:space="preserve">آغاز: نائره جنگ و جدال را به امر ملک متعال بر افروختند؛ انجام: کاشغر نسبت بدشت قبچاق و قلمان و مغولستان شباهتی به شهرها دارد و کم حاصل اما اهل قناعت و خداوندان سامان را مامنی است</w:t>
      </w:r>
    </w:p>
    <w:p>
      <w:pPr>
        <w:pStyle w:val="BookText"/>
      </w:pPr>
      <w:r>
        <w:rPr>
          <w:rFonts w:ascii="IRNazanin" w:hAnsi="IRNazanin" w:eastAsia="IRNazanin" w:cs="IRNazanin"/>
          <w:lang w:bidi="fa-IR"/>
          <w:color w:val="111111"/>
          <w:sz w:val="28"/>
          <w:szCs w:val="28"/>
          <w:rtl/>
        </w:rPr>
        <w:t xml:space="preserve">خط: نسخ، بی کا، بی تا؛ اهدایی: خاندان مسعود میرزا (صارم الدوله) در سال ۱۳۴۴؛ جلد: مقوایی با روکش کاغذ الوان و عطف تیماج زرد، ۱۶۳گ، ۱۲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۵۸]</w:t>
      </w:r>
    </w:p>
    <w:p>
      <w:pPr>
        <w:pStyle w:val="BookText"/>
      </w:pPr>
      <w:r>
        <w:rPr>
          <w:rFonts w:ascii="IRNazanin" w:hAnsi="IRNazanin" w:eastAsia="IRNazanin" w:cs="IRNazanin"/>
          <w:lang w:bidi="fa-IR"/>
          <w:color w:val="111111"/>
          <w:sz w:val="28"/>
          <w:szCs w:val="28"/>
          <w:rtl/>
        </w:rPr>
        <w:t xml:space="preserve">به تاریخ ابو الفداء » المختصر في تاريخ اخبار البشر</w:t>
      </w:r>
    </w:p>
    <w:p>
      <w:pPr>
        <w:pStyle w:val="Heading3"/>
      </w:pPr>
      <w:bookmarkStart w:id="1976" w:name="_Toc1236"/>
      <w:r>
        <w:t>•تاریخ ابی مسلم مرغزى من شرح شرف الدین على التبيان / تاریخ عربی</w:t>
      </w:r>
      <w:bookmarkEnd w:id="1976"/>
    </w:p>
    <w:p>
      <w:pPr>
        <w:pStyle w:val="BookText"/>
      </w:pPr>
      <w:r>
        <w:rPr>
          <w:rFonts w:ascii="Times New Roman" w:hAnsi="Times New Roman" w:eastAsia="Times New Roman" w:cs="Times New Roman"/>
          <w:lang w:val="en-US" w:bidi="en-US"/>
          <w:color w:val="111111"/>
          <w:sz w:val="28"/>
          <w:szCs w:val="28"/>
          <w:rtl/>
        </w:rPr>
        <w:t xml:space="preserve">tārīx-u abī-muslim-i margzī min š.-i šaraf-id-dīn 'ala-t tibyan</w:t>
      </w:r>
    </w:p>
    <w:p>
      <w:pPr>
        <w:pStyle w:val="BookText"/>
      </w:pPr>
      <w:r>
        <w:rPr>
          <w:rFonts w:ascii="IRNazanin" w:hAnsi="IRNazanin" w:eastAsia="IRNazanin" w:cs="IRNazanin"/>
          <w:lang w:bidi="fa-IR"/>
          <w:color w:val="111111"/>
          <w:sz w:val="28"/>
          <w:szCs w:val="28"/>
          <w:rtl/>
        </w:rPr>
        <w:t xml:space="preserve">تهران؛ دانشگاه؛ شماره نسخه: ۴۶۲/۵۳ (آ) - ۴۶۳/۵۳</w:t>
      </w:r>
    </w:p>
    <w:p>
      <w:pPr>
        <w:pStyle w:val="BookText"/>
      </w:pPr>
      <w:r>
        <w:rPr>
          <w:rFonts w:ascii="IRNazanin" w:hAnsi="IRNazanin" w:eastAsia="IRNazanin" w:cs="IRNazanin"/>
          <w:lang w:bidi="fa-IR"/>
          <w:color w:val="111111"/>
          <w:sz w:val="28"/>
          <w:szCs w:val="28"/>
          <w:rtl/>
        </w:rPr>
        <w:t xml:space="preserve">(ب)ف نسخه اصل: کوپرولوش ۱۵۸۹؛ بی کا، تا: با تاریخ ۷۵۴ق؛ در هامش، ۲گ (۱۰۱پ -۱۰۲ پ) [فیلمها ف: ۱-۴۸۳]</w:t>
      </w:r>
    </w:p>
    <w:p>
      <w:pPr>
        <w:pStyle w:val="Heading3"/>
      </w:pPr>
      <w:bookmarkStart w:id="1977" w:name="_Toc1237"/>
      <w:r>
        <w:t>•تاریخ احمد شاه درانی / تاریخ ایران / فارسی</w:t>
      </w:r>
      <w:bookmarkEnd w:id="1977"/>
    </w:p>
    <w:p>
      <w:pPr>
        <w:pStyle w:val="BookText"/>
      </w:pPr>
      <w:r>
        <w:rPr>
          <w:rFonts w:ascii="Times New Roman" w:hAnsi="Times New Roman" w:eastAsia="Times New Roman" w:cs="Times New Roman"/>
          <w:lang w:val="en-US" w:bidi="en-US"/>
          <w:color w:val="111111"/>
          <w:sz w:val="28"/>
          <w:szCs w:val="28"/>
          <w:rtl/>
        </w:rPr>
        <w:t xml:space="preserve">tārīx-e ahmad šāh-e dorrānī</w:t>
      </w:r>
    </w:p>
    <w:p>
      <w:pPr>
        <w:pStyle w:val="BookText"/>
      </w:pPr>
      <w:r>
        <w:rPr>
          <w:rFonts w:ascii="IRNazanin" w:hAnsi="IRNazanin" w:eastAsia="IRNazanin" w:cs="IRNazanin"/>
          <w:lang w:bidi="fa-IR"/>
          <w:color w:val="111111"/>
          <w:sz w:val="28"/>
          <w:szCs w:val="28"/>
          <w:rtl/>
        </w:rPr>
        <w:t xml:space="preserve">حائری صدرالمعالی، حسین بن رضا، -۱۳۳۶ قمری</w:t>
      </w:r>
    </w:p>
    <w:p>
      <w:pPr>
        <w:pStyle w:val="BookText"/>
      </w:pPr>
      <w:r>
        <w:rPr>
          <w:rFonts w:ascii="Times New Roman" w:hAnsi="Times New Roman" w:eastAsia="Times New Roman" w:cs="Times New Roman"/>
          <w:lang w:val="en-US" w:bidi="en-US"/>
          <w:color w:val="111111"/>
          <w:sz w:val="28"/>
          <w:szCs w:val="28"/>
          <w:rtl/>
        </w:rPr>
        <w:t xml:space="preserve">hā’erī sadr-ol-maʻālī, hoseyn ebn-e rezā (-1918)</w:t>
      </w:r>
    </w:p>
    <w:p>
      <w:pPr>
        <w:pStyle w:val="BookText"/>
      </w:pPr>
      <w:r>
        <w:rPr>
          <w:rFonts w:ascii="IRNazanin" w:hAnsi="IRNazanin" w:eastAsia="IRNazanin" w:cs="IRNazanin"/>
          <w:lang w:bidi="fa-IR"/>
          <w:color w:val="111111"/>
          <w:sz w:val="28"/>
          <w:szCs w:val="28"/>
          <w:rtl/>
        </w:rPr>
        <w:t xml:space="preserve">اهدا به: ناصر الدین شاه تاریخ تأليف: ۱۳۰۳ ق ترجمه از هندی، او در دارالترجمه خاصه همایونی بود و دیده بود که این کتاب را از هندی به فارسی در آورده اند ولی به هندی ماننده تر است و او دوباره آن را به فارسی ترجمه کرده است. در وقایع سلطنت احمد شاه صد و زائی درانی پادشاه افغانستان تا سلطنت شاه شجاع بن تيمور شاه و مجملی در</w:t>
      </w:r>
    </w:p>
    <w:p>
      <w:pPr>
        <w:pStyle w:val="BookText"/>
      </w:pPr>
      <w:r>
        <w:rPr>
          <w:rFonts w:ascii="IRNazanin" w:hAnsi="IRNazanin" w:eastAsia="IRNazanin" w:cs="IRNazanin"/>
          <w:lang w:bidi="fa-IR"/>
          <w:color w:val="111111"/>
          <w:sz w:val="28"/>
          <w:szCs w:val="28"/>
          <w:rtl/>
        </w:rPr>
        <w:t xml:space="preserve">جغرافيا و اسامی منازل و معابر مملکت افغان و احوال ترکستان.</w:t>
      </w:r>
    </w:p>
    <w:p>
      <w:pPr>
        <w:pStyle w:val="BookText"/>
      </w:pPr>
      <w:r>
        <w:rPr>
          <w:rFonts w:ascii="IRNazanin" w:hAnsi="IRNazanin" w:eastAsia="IRNazanin" w:cs="IRNazanin"/>
          <w:lang w:bidi="fa-IR"/>
          <w:color w:val="111111"/>
          <w:sz w:val="28"/>
          <w:szCs w:val="28"/>
          <w:rtl/>
        </w:rPr>
        <w:t xml:space="preserve">آغاز: بسمله، افغان ز قضا کم کن گر شد پله در آنی*** هم سلطنت افغان هم دولت درانی / در کار که امکان چون کار به تقدیر است</w:t>
      </w:r>
      <w:r>
        <w:rPr>
          <w:rFonts w:ascii="IRNazanin" w:hAnsi="IRNazanin" w:eastAsia="IRNazanin" w:cs="IRNazanin"/>
          <w:lang w:bidi="fa-IR"/>
          <w:color w:val="111111"/>
          <w:sz w:val="28"/>
          <w:szCs w:val="28"/>
          <w:b w:val="1"/>
          <w:bCs w:val="1"/>
          <w:i w:val="1"/>
          <w:iCs w:val="1"/>
          <w:rtl/>
        </w:rPr>
        <w:t xml:space="preserve">صد حشمت درانی گردد بله در آنی اگر مملکت هند است در ناحیه افغان</w:t>
      </w:r>
      <w:r>
        <w:rPr>
          <w:rFonts w:ascii="IRNazanin" w:hAnsi="IRNazanin" w:eastAsia="IRNazanin" w:cs="IRNazanin"/>
          <w:lang w:bidi="fa-IR"/>
          <w:color w:val="111111"/>
          <w:sz w:val="28"/>
          <w:szCs w:val="28"/>
          <w:rtl/>
        </w:rPr>
        <w:t xml:space="preserve"> ایمن نتوان بودن از لطمه ویرانی ... تاریخ احمد شاہ درانی بسمله تبالك و تعالی آنچه از اخبار اسلاف و سير متقدمین معلوم می شود قیس عبدالرشید نامی بوده</w:t>
      </w:r>
    </w:p>
    <w:p>
      <w:pPr>
        <w:pStyle w:val="BookText"/>
      </w:pPr>
      <w:r>
        <w:rPr>
          <w:rFonts w:ascii="IRNazanin" w:hAnsi="IRNazanin" w:eastAsia="IRNazanin" w:cs="IRNazanin"/>
          <w:lang w:bidi="fa-IR"/>
          <w:color w:val="111111"/>
          <w:sz w:val="28"/>
          <w:szCs w:val="28"/>
          <w:rtl/>
        </w:rPr>
        <w:t xml:space="preserve">[دنا ۶۶۸/۲ ؛ فهرستواره منزوی ۸۳۷/۲ ]</w:t>
      </w:r>
    </w:p>
    <w:p>
      <w:pPr>
        <w:pStyle w:val="BookText"/>
      </w:pPr>
      <w:r>
        <w:rPr>
          <w:rFonts w:ascii="IRNazanin" w:hAnsi="IRNazanin" w:eastAsia="IRNazanin" w:cs="IRNazanin"/>
          <w:lang w:bidi="fa-IR"/>
          <w:color w:val="111111"/>
          <w:sz w:val="28"/>
          <w:szCs w:val="28"/>
          <w:rtl/>
        </w:rPr>
        <w:t xml:space="preserve">۱. تهران: ملک، شماره نسخه:۴۱۵۷</w:t>
      </w:r>
    </w:p>
    <w:p>
      <w:pPr>
        <w:pStyle w:val="BookText"/>
      </w:pPr>
      <w:r>
        <w:rPr>
          <w:rFonts w:ascii="IRNazanin" w:hAnsi="IRNazanin" w:eastAsia="IRNazanin" w:cs="IRNazanin"/>
          <w:lang w:bidi="fa-IR"/>
          <w:color w:val="111111"/>
          <w:sz w:val="28"/>
          <w:szCs w:val="28"/>
          <w:rtl/>
        </w:rPr>
        <w:t xml:space="preserve">آغاز: برابر؛ انجام: همه صاحب حسن و جمال می شوند.</w:t>
      </w:r>
    </w:p>
    <w:p>
      <w:pPr>
        <w:pStyle w:val="BookText"/>
      </w:pPr>
      <w:r>
        <w:rPr>
          <w:rFonts w:ascii="IRNazanin" w:hAnsi="IRNazanin" w:eastAsia="IRNazanin" w:cs="IRNazanin"/>
          <w:lang w:bidi="fa-IR"/>
          <w:color w:val="111111"/>
          <w:sz w:val="28"/>
          <w:szCs w:val="28"/>
          <w:rtl/>
        </w:rPr>
        <w:t xml:space="preserve">خط: نستعلیق خوش، كان هدایت الله منشی، تا: قرن ۱۴؛ کاغذ: کاغذ فرنگی فلفل نمکی و آبی، جلد: میشن قرمز با دو سرلوح مذهب، ۱۳۶، ۱۴ سطر، اندازه: ۳۲/۴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۲۰/۲ سم [ف: ۲-۷۳]</w:t>
      </w:r>
    </w:p>
    <w:p>
      <w:pPr>
        <w:pStyle w:val="BookText"/>
      </w:pPr>
      <w:r>
        <w:rPr>
          <w:rFonts w:ascii="IRNazanin" w:hAnsi="IRNazanin" w:eastAsia="IRNazanin" w:cs="IRNazanin"/>
          <w:lang w:bidi="fa-IR"/>
          <w:color w:val="111111"/>
          <w:sz w:val="28"/>
          <w:szCs w:val="28"/>
          <w:rtl/>
        </w:rPr>
        <w:t xml:space="preserve">۲. تهران؛ ملی؛ شماره نسخه: ۶۲/۱</w:t>
      </w:r>
    </w:p>
    <w:p>
      <w:pPr>
        <w:pStyle w:val="BookText"/>
      </w:pPr>
      <w:r>
        <w:rPr>
          <w:rFonts w:ascii="IRNazanin" w:hAnsi="IRNazanin" w:eastAsia="IRNazanin" w:cs="IRNazanin"/>
          <w:lang w:bidi="fa-IR"/>
          <w:color w:val="111111"/>
          <w:sz w:val="28"/>
          <w:szCs w:val="28"/>
          <w:rtl/>
        </w:rPr>
        <w:t xml:space="preserve">آغاز: برابر؛ انجام: و گاهگاه که فراغتی بافته نظم می سرود ابکار افکار و اشعار آبدارش با اساتید سلف همسری داشت</w:t>
      </w:r>
    </w:p>
    <w:p>
      <w:pPr>
        <w:pStyle w:val="BookText"/>
      </w:pPr>
      <w:r>
        <w:rPr>
          <w:rFonts w:ascii="IRNazanin" w:hAnsi="IRNazanin" w:eastAsia="IRNazanin" w:cs="IRNazanin"/>
          <w:lang w:bidi="fa-IR"/>
          <w:color w:val="111111"/>
          <w:sz w:val="28"/>
          <w:szCs w:val="28"/>
          <w:rtl/>
        </w:rPr>
        <w:t xml:space="preserve">خط: نستعلیق خوش، كا: محمد صادق تویسرکانی، تا: دوشنبه ۲۸ ذیحجه ۱۳۰۳ق، جا: تهران، با سرلوح مذهب، مجدول؛ کاغذ: فرنگی آبی، جلد: مخمل آبی ضربی، ۱۹۵ گ، ۱۵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۱۰/۲ )،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سم [ف: ۱-۵۲]</w:t>
      </w:r>
    </w:p>
    <w:p>
      <w:pPr>
        <w:pStyle w:val="BookText"/>
      </w:pPr>
      <w:r>
        <w:rPr>
          <w:rFonts w:ascii="IRNazanin" w:hAnsi="IRNazanin" w:eastAsia="IRNazanin" w:cs="IRNazanin"/>
          <w:lang w:bidi="fa-IR"/>
          <w:color w:val="111111"/>
          <w:sz w:val="28"/>
          <w:szCs w:val="28"/>
          <w:rtl/>
        </w:rPr>
        <w:t xml:space="preserve">تهران؛ دانشگاه؛ شماره نسخه:۱۸۴۹-ف</w:t>
      </w:r>
    </w:p>
    <w:p>
      <w:pPr>
        <w:pStyle w:val="BookText"/>
      </w:pPr>
      <w:r>
        <w:rPr>
          <w:rFonts w:ascii="Amiri" w:hAnsi="Amiri" w:eastAsia="Amiri" w:cs="Amiri"/>
          <w:lang w:bidi="ar-SA"/>
          <w:color w:val="111111"/>
          <w:sz w:val="28"/>
          <w:szCs w:val="28"/>
          <w:rtl/>
        </w:rPr>
        <w:t xml:space="preserve">نسخه اصل: همان نسخه بالا [فيلمها ف: ۱-۲۹]</w:t>
      </w:r>
    </w:p>
    <w:p>
      <w:pPr>
        <w:pStyle w:val="BookText"/>
      </w:pPr>
      <w:r>
        <w:rPr>
          <w:rFonts w:ascii="IRNazanin" w:hAnsi="IRNazanin" w:eastAsia="IRNazanin" w:cs="IRNazanin"/>
          <w:lang w:bidi="fa-IR"/>
          <w:color w:val="111111"/>
          <w:sz w:val="28"/>
          <w:szCs w:val="28"/>
          <w:rtl/>
        </w:rPr>
        <w:t xml:space="preserve">٣. تهران؛ دانشگاه؛ شماره نسخه: ۶۵۷۴</w:t>
      </w:r>
    </w:p>
    <w:p>
      <w:pPr>
        <w:pStyle w:val="BookText"/>
      </w:pPr>
      <w:r>
        <w:rPr>
          <w:rFonts w:ascii="IRNazanin" w:hAnsi="IRNazanin" w:eastAsia="IRNazanin" w:cs="IRNazanin"/>
          <w:lang w:bidi="fa-IR"/>
          <w:color w:val="111111"/>
          <w:sz w:val="28"/>
          <w:szCs w:val="28"/>
          <w:rtl/>
        </w:rPr>
        <w:t xml:space="preserve">آغاز: برابر؛ انجام: و زنان آنها بر خلاف مردان ایشان همه صاحب حسن و جمال می شوند. خط: نستعلیق، کا: محمد بن حاجی محمد قلی قزوینی عاشوری،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369" w:name="pg20363_209653"/>
    <w:bookmarkEnd w:id="369"/>
    <w:p>
      <w:pPr>
        <w:pStyle w:val="BookText"/>
      </w:pPr>
      <w:r>
        <w:rPr>
          <w:rFonts w:ascii="IRNazanin" w:hAnsi="IRNazanin" w:eastAsia="IRNazanin" w:cs="IRNazanin"/>
          <w:lang w:bidi="fa-IR"/>
          <w:color w:val="111111"/>
          <w:sz w:val="28"/>
          <w:szCs w:val="28"/>
          <w:rtl/>
        </w:rPr>
        <w:t xml:space="preserve">تا: جمعه غدیر ۱۳۰۳ق، جا: دارالترجمه خاصه همایونی؛ تقدیم به موتمن السلطان میرزا اسماعیل خان امین الملک در شوال ۱۳۰۳، مجدول، با سرلوح؛ کاغذ: فرنگی، جلد: تیماج سرخ با گل و بوته، ۴۰۹ص، ۱۴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۱۶-۳۰۰]</w:t>
      </w:r>
    </w:p>
    <w:p>
      <w:pPr>
        <w:pStyle w:val="BookText"/>
      </w:pPr>
      <w:r>
        <w:rPr>
          <w:rFonts w:ascii="IRNazanin" w:hAnsi="IRNazanin" w:eastAsia="IRNazanin" w:cs="IRNazanin"/>
          <w:lang w:bidi="fa-IR"/>
          <w:color w:val="111111"/>
          <w:sz w:val="28"/>
          <w:szCs w:val="28"/>
          <w:rtl/>
        </w:rPr>
        <w:t xml:space="preserve">۴. تهران؛ ملک؛ شماره نسخه:۳۹۲۷</w:t>
      </w:r>
    </w:p>
    <w:p>
      <w:pPr>
        <w:pStyle w:val="BookText"/>
      </w:pPr>
      <w:r>
        <w:rPr>
          <w:rFonts w:ascii="IRNazanin" w:hAnsi="IRNazanin" w:eastAsia="IRNazanin" w:cs="IRNazanin"/>
          <w:lang w:bidi="fa-IR"/>
          <w:color w:val="111111"/>
          <w:sz w:val="28"/>
          <w:szCs w:val="28"/>
          <w:rtl/>
        </w:rPr>
        <w:t xml:space="preserve">آغاز: برابر؛ انجام: همه صاحب حسن و جمال می شوند.</w:t>
      </w:r>
    </w:p>
    <w:p>
      <w:pPr>
        <w:pStyle w:val="BookText"/>
      </w:pPr>
      <w:r>
        <w:rPr>
          <w:rFonts w:ascii="IRNazanin" w:hAnsi="IRNazanin" w:eastAsia="IRNazanin" w:cs="IRNazanin"/>
          <w:lang w:bidi="fa-IR"/>
          <w:color w:val="111111"/>
          <w:sz w:val="28"/>
          <w:szCs w:val="28"/>
          <w:rtl/>
        </w:rPr>
        <w:t xml:space="preserve">خط: نستعلیق، كان محمد صادق تویسرکانی، تا: 1 محرم ۱۳۰۴ق، در «دارالترجمه خاصه»، مجدول به اکلیل؛ کاغذ: آهار مهره فرنگی، جلد: میشن قرمز با سرلوح تذهیب، ۱۹۵ گ، ۱۵ سطر، اندازه: ۱۸/۹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۲۹/۵ سم [ف: ۲-۷۳]</w:t>
      </w:r>
    </w:p>
    <w:p>
      <w:pPr>
        <w:pStyle w:val="BookText"/>
      </w:pPr>
      <w:r>
        <w:rPr>
          <w:rFonts w:ascii="IRNazanin" w:hAnsi="IRNazanin" w:eastAsia="IRNazanin" w:cs="IRNazanin"/>
          <w:lang w:bidi="fa-IR"/>
          <w:color w:val="111111"/>
          <w:sz w:val="28"/>
          <w:szCs w:val="28"/>
          <w:rtl/>
        </w:rPr>
        <w:t xml:space="preserve">۵. تهران؛ مجلس؛ شماره نسخه: ۲۲۱</w:t>
      </w:r>
    </w:p>
    <w:p>
      <w:pPr>
        <w:pStyle w:val="BookText"/>
      </w:pPr>
      <w:r>
        <w:rPr>
          <w:rFonts w:ascii="IRNazanin" w:hAnsi="IRNazanin" w:eastAsia="IRNazanin" w:cs="IRNazanin"/>
          <w:lang w:bidi="fa-IR"/>
          <w:color w:val="111111"/>
          <w:sz w:val="28"/>
          <w:szCs w:val="28"/>
          <w:rtl/>
        </w:rPr>
        <w:t xml:space="preserve">آغاز: افغان ز قضا کم کن گر شد پله درآنی هم سلطنت افغان هم دولت درانی</w:t>
      </w:r>
    </w:p>
    <w:p>
      <w:pPr>
        <w:pStyle w:val="BookText"/>
      </w:pPr>
      <w:r>
        <w:rPr>
          <w:rFonts w:ascii="IRNazanin" w:hAnsi="IRNazanin" w:eastAsia="IRNazanin" w:cs="IRNazanin"/>
          <w:lang w:bidi="fa-IR"/>
          <w:color w:val="111111"/>
          <w:sz w:val="28"/>
          <w:szCs w:val="28"/>
          <w:rtl/>
        </w:rPr>
        <w:t xml:space="preserve">خط: نستعلیق، بی کا، تا: ۱۳۰۵ق؛ ۱۹۰گ، ۱۵ سطر،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۲-۱۲۴]</w:t>
      </w:r>
    </w:p>
    <w:p>
      <w:pPr>
        <w:pStyle w:val="BookText"/>
      </w:pPr>
      <w:r>
        <w:rPr>
          <w:rFonts w:ascii="IRNazanin" w:hAnsi="IRNazanin" w:eastAsia="IRNazanin" w:cs="IRNazanin"/>
          <w:lang w:bidi="fa-IR"/>
          <w:color w:val="111111"/>
          <w:sz w:val="28"/>
          <w:szCs w:val="28"/>
          <w:rtl/>
        </w:rPr>
        <w:t xml:space="preserve">۶. تهران؛ سلطنتی؛ شماره نسخه:۲۲۹۵</w:t>
      </w:r>
    </w:p>
    <w:p>
      <w:pPr>
        <w:pStyle w:val="BookText"/>
      </w:pPr>
      <w:r>
        <w:rPr>
          <w:rFonts w:ascii="IRNazanin" w:hAnsi="IRNazanin" w:eastAsia="IRNazanin" w:cs="IRNazanin"/>
          <w:lang w:bidi="fa-IR"/>
          <w:color w:val="111111"/>
          <w:sz w:val="28"/>
          <w:szCs w:val="28"/>
          <w:rtl/>
        </w:rPr>
        <w:t xml:space="preserve">آغاز: برابر؛ انجام: فتحعلی خان و جعفر عليخان در قندوز و حصار کولاب و غیره بسیار بودند ... تمت بعون الله بیداقل الكتاب محمد بن حاج محمد قلى القزويني الاشوري في غره شهر شوال المكرم سنه ۱۳۱۹.</w:t>
      </w:r>
    </w:p>
    <w:p>
      <w:pPr>
        <w:pStyle w:val="BookText"/>
      </w:pPr>
      <w:r>
        <w:rPr>
          <w:rFonts w:ascii="IRNazanin" w:hAnsi="IRNazanin" w:eastAsia="IRNazanin" w:cs="IRNazanin"/>
          <w:lang w:bidi="fa-IR"/>
          <w:color w:val="111111"/>
          <w:sz w:val="28"/>
          <w:szCs w:val="28"/>
          <w:rtl/>
        </w:rPr>
        <w:t xml:space="preserve">حاوی نسب خانواده احمد شاه درانی، در بیان تسخیر خراسان بوسیله نادرشاه آغاز سلطنت احمد شاه درانی، ذکر توجه احمد درانی بطرف هندوستان، ذکر مختصری در احوال ترکستان و مطالبی راجع به شهرها و بلاد مشرق ایران است؛ خط: نستعلیق، کا: محمد بن حاج محمد قلی قزوینی آشوری، تا: ۱۳۱۹ق؛ مجدول زرین، با دو سرلوح مذهب منقش کاغذ: فرنگی نخودی، جلد: مقوای روکش مخمل گلی رنگی، ۲۸۵ص، ۹ سطر، اندازه: ۳۵/۳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w:t>
      </w:r>
    </w:p>
    <w:p>
      <w:pPr>
        <w:pStyle w:val="BookText"/>
      </w:pPr>
      <w:r>
        <w:rPr>
          <w:rFonts w:ascii="IRNazanin" w:hAnsi="IRNazanin" w:eastAsia="IRNazanin" w:cs="IRNazanin"/>
          <w:lang w:bidi="fa-IR"/>
          <w:color w:val="111111"/>
          <w:sz w:val="28"/>
          <w:szCs w:val="28"/>
          <w:rtl/>
        </w:rPr>
        <w:t xml:space="preserve">سم [ف: ۵-۶]</w:t>
      </w:r>
    </w:p>
    <w:p>
      <w:pPr>
        <w:pStyle w:val="BookText"/>
      </w:pPr>
      <w:r>
        <w:rPr>
          <w:rFonts w:ascii="IRNazanin" w:hAnsi="IRNazanin" w:eastAsia="IRNazanin" w:cs="IRNazanin"/>
          <w:lang w:bidi="fa-IR"/>
          <w:color w:val="111111"/>
          <w:sz w:val="28"/>
          <w:szCs w:val="28"/>
          <w:rtl/>
        </w:rPr>
        <w:t xml:space="preserve">٧. مشهد؛ رضوی؛ شماره نسخه: ۱۳۴۱۰</w:t>
      </w:r>
    </w:p>
    <w:p>
      <w:pPr>
        <w:pStyle w:val="BookText"/>
      </w:pPr>
      <w:r>
        <w:rPr>
          <w:rFonts w:ascii="IRNazanin" w:hAnsi="IRNazanin" w:eastAsia="IRNazanin" w:cs="IRNazanin"/>
          <w:lang w:bidi="fa-IR"/>
          <w:color w:val="111111"/>
          <w:sz w:val="28"/>
          <w:szCs w:val="28"/>
          <w:rtl/>
        </w:rPr>
        <w:t xml:space="preserve">آغاز: برابر؛ انجام: خود را محفوظ میداشتند ... محرم الحرام سنه ۱۳۲۰ هجری قمری</w:t>
      </w:r>
    </w:p>
    <w:p>
      <w:pPr>
        <w:pStyle w:val="BookText"/>
      </w:pPr>
      <w:r>
        <w:rPr>
          <w:rFonts w:ascii="IRNazanin" w:hAnsi="IRNazanin" w:eastAsia="IRNazanin" w:cs="IRNazanin"/>
          <w:lang w:bidi="fa-IR"/>
          <w:color w:val="111111"/>
          <w:sz w:val="28"/>
          <w:szCs w:val="28"/>
          <w:rtl/>
        </w:rPr>
        <w:t xml:space="preserve">خط: نستعلیق، کا: محمد قزوینی، تا: ۱۳۲۰ق، کاغذ: حنایی، جلد: مقوا، ۱۷ سطر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 الفبائی:-۹۷]</w:t>
      </w:r>
    </w:p>
    <w:p>
      <w:pPr>
        <w:pStyle w:val="Heading3"/>
      </w:pPr>
      <w:bookmarkStart w:id="1978" w:name="_Toc1238"/>
      <w:r>
        <w:t>• تاریخ احمد شاه درانی / تاریخ ایران / فارسی</w:t>
      </w:r>
      <w:bookmarkEnd w:id="1978"/>
    </w:p>
    <w:p>
      <w:pPr>
        <w:pStyle w:val="BookText"/>
      </w:pPr>
      <w:r>
        <w:rPr>
          <w:rFonts w:ascii="Times New Roman" w:hAnsi="Times New Roman" w:eastAsia="Times New Roman" w:cs="Times New Roman"/>
          <w:lang w:val="en-US" w:bidi="en-US"/>
          <w:color w:val="111111"/>
          <w:sz w:val="28"/>
          <w:szCs w:val="28"/>
          <w:rtl/>
        </w:rPr>
        <w:t xml:space="preserve">tārīx-e ahmad šāh-e dorrānī</w:t>
      </w:r>
    </w:p>
    <w:p>
      <w:pPr>
        <w:pStyle w:val="BookText"/>
      </w:pPr>
      <w:r>
        <w:rPr>
          <w:rFonts w:ascii="IRNazanin" w:hAnsi="IRNazanin" w:eastAsia="IRNazanin" w:cs="IRNazanin"/>
          <w:lang w:bidi="fa-IR"/>
          <w:color w:val="111111"/>
          <w:sz w:val="28"/>
          <w:szCs w:val="28"/>
          <w:rtl/>
        </w:rPr>
        <w:t xml:space="preserve">شرح حال احمد شاه درانی، از قوم افغان که نادرشاه افشار پس از فتح قندهار و دهلی او را به مازندران تبعید کرد و او پس از قتل نادر به قندهار بازگشت و به سلطنت رسید.</w:t>
      </w:r>
    </w:p>
    <w:p>
      <w:pPr>
        <w:pStyle w:val="BookText"/>
      </w:pPr>
      <w:r>
        <w:rPr>
          <w:rFonts w:ascii="IRNazanin" w:hAnsi="IRNazanin" w:eastAsia="IRNazanin" w:cs="IRNazanin"/>
          <w:lang w:bidi="fa-IR"/>
          <w:color w:val="111111"/>
          <w:sz w:val="28"/>
          <w:szCs w:val="28"/>
          <w:rtl/>
        </w:rPr>
        <w:t xml:space="preserve">تهران، مرکز فرهنگی خراسان شماره نسخه:۹ عکسی</w:t>
      </w:r>
    </w:p>
    <w:p>
      <w:pPr>
        <w:pStyle w:val="BookText"/>
      </w:pPr>
      <w:r>
        <w:rPr>
          <w:rFonts w:ascii="IRNazanin" w:hAnsi="IRNazanin" w:eastAsia="IRNazanin" w:cs="IRNazanin"/>
          <w:lang w:bidi="fa-IR"/>
          <w:color w:val="111111"/>
          <w:sz w:val="28"/>
          <w:szCs w:val="28"/>
          <w:rtl/>
        </w:rPr>
        <w:t xml:space="preserve">بی کا، بی تا؛ ۷۵گ [جنگ: ۱-۴۴۵]</w:t>
      </w:r>
    </w:p>
    <w:p>
      <w:pPr>
        <w:pStyle w:val="BookText"/>
      </w:pPr>
      <w:r>
        <w:rPr>
          <w:rFonts w:ascii="IRNazanin" w:hAnsi="IRNazanin" w:eastAsia="IRNazanin" w:cs="IRNazanin"/>
          <w:lang w:bidi="fa-IR"/>
          <w:color w:val="111111"/>
          <w:sz w:val="28"/>
          <w:szCs w:val="28"/>
          <w:rtl/>
        </w:rPr>
        <w:t xml:space="preserve">← تاریخ احمد شاهی ← احمد شاه نامه</w:t>
      </w:r>
    </w:p>
    <w:p>
      <w:pPr>
        <w:pStyle w:val="BookText"/>
      </w:pPr>
      <w:r>
        <w:rPr>
          <w:rFonts w:ascii="IRNazanin" w:hAnsi="IRNazanin" w:eastAsia="IRNazanin" w:cs="IRNazanin"/>
          <w:lang w:bidi="fa-IR"/>
          <w:color w:val="111111"/>
          <w:sz w:val="28"/>
          <w:szCs w:val="28"/>
          <w:rtl/>
        </w:rPr>
        <w:t xml:space="preserve">← تاریخ احمد کوفی ← تاریخ فتوح ابن اعثم کوفی (ترجمه)</w:t>
      </w:r>
    </w:p>
    <w:p>
      <w:pPr>
        <w:pStyle w:val="BookText"/>
      </w:pPr>
      <w:r>
        <w:rPr>
          <w:rFonts w:ascii="IRNazanin" w:hAnsi="IRNazanin" w:eastAsia="IRNazanin" w:cs="IRNazanin"/>
          <w:lang w:bidi="fa-IR"/>
          <w:color w:val="111111"/>
          <w:sz w:val="28"/>
          <w:szCs w:val="28"/>
          <w:rtl/>
        </w:rPr>
        <w:t xml:space="preserve">← تاریخ احمد کوفی ← تاریخ قرون وسطی</w:t>
      </w:r>
    </w:p>
    <w:p>
      <w:pPr>
        <w:pStyle w:val="Heading3"/>
      </w:pPr>
      <w:bookmarkStart w:id="1979" w:name="_Toc1239"/>
      <w:r>
        <w:t>• تاریخ احوال ولیعهد نایب السلطنه / تاریخ / فارسی</w:t>
      </w:r>
      <w:bookmarkEnd w:id="1979"/>
    </w:p>
    <w:p>
      <w:pPr>
        <w:pStyle w:val="BookText"/>
      </w:pPr>
      <w:r>
        <w:rPr>
          <w:rFonts w:ascii="Times New Roman" w:hAnsi="Times New Roman" w:eastAsia="Times New Roman" w:cs="Times New Roman"/>
          <w:lang w:val="en-US" w:bidi="en-US"/>
          <w:color w:val="111111"/>
          <w:sz w:val="28"/>
          <w:szCs w:val="28"/>
          <w:rtl/>
        </w:rPr>
        <w:t xml:space="preserve">tārīx-e ahvāl-e valī‘ahd nāyeb-os-sāltane</w:t>
      </w:r>
    </w:p>
    <w:p>
      <w:pPr>
        <w:pStyle w:val="BookText"/>
      </w:pPr>
      <w:r>
        <w:rPr>
          <w:rFonts w:ascii="IRNazanin" w:hAnsi="IRNazanin" w:eastAsia="IRNazanin" w:cs="IRNazanin"/>
          <w:lang w:bidi="fa-IR"/>
          <w:color w:val="111111"/>
          <w:sz w:val="28"/>
          <w:szCs w:val="28"/>
          <w:rtl/>
        </w:rPr>
        <w:t xml:space="preserve">انصاری، مسعود بن عبدالرحیم، ۱۲۰۵-۱۲۶۵ قمری</w:t>
      </w:r>
    </w:p>
    <w:p>
      <w:pPr>
        <w:pStyle w:val="BookText"/>
      </w:pPr>
      <w:r>
        <w:rPr>
          <w:rFonts w:ascii="Times New Roman" w:hAnsi="Times New Roman" w:eastAsia="Times New Roman" w:cs="Times New Roman"/>
          <w:lang w:val="en-US" w:bidi="en-US"/>
          <w:color w:val="111111"/>
          <w:sz w:val="28"/>
          <w:szCs w:val="28"/>
          <w:rtl/>
        </w:rPr>
        <w:t xml:space="preserve">ansārī, mas ūd ebn-e ‘abd-or-rahīm (1791-1849)</w:t>
      </w:r>
    </w:p>
    <w:p>
      <w:pPr>
        <w:pStyle w:val="BookText"/>
      </w:pPr>
      <w:r>
        <w:rPr>
          <w:rFonts w:ascii="IRNazanin" w:hAnsi="IRNazanin" w:eastAsia="IRNazanin" w:cs="IRNazanin"/>
          <w:lang w:bidi="fa-IR"/>
          <w:color w:val="111111"/>
          <w:sz w:val="28"/>
          <w:szCs w:val="28"/>
          <w:rtl/>
        </w:rPr>
        <w:t xml:space="preserve">تاریخ جنگ های ایران و روس است، مؤلف بعد از قتل الكساندر سرگیویچ گریبایدوف سفير فوق العاده دولت روسیه در ایران به همراه هیئتی برای عذرخواهی عازم دربار روسیه گردید این سفر ده ماه و پانزده روز به طول انجامید. رساله حاضر گویا بخشی از یادداشت های آن سفر است. در آغاز رساله آمده: « در ذکر خصومتی که فيما بين دولت ... در ایام سفارت چنانکه سبق ذکر یافت». از این عبارت استفاده می شود که این رساله جزئی از کتاب بزرگ تری بوده و همچنین مؤلف نیز مدتی عنوان سفیر داشته است. در این رساله وقایع جنگ های ایران روس از آغاز حرکت علما از عراق و شروع جنگ تا سال های ۱۲۶۰ق ذکر شده است.</w:t>
      </w:r>
    </w:p>
    <w:p>
      <w:pPr>
        <w:pStyle w:val="BookText"/>
      </w:pPr>
      <w:r>
        <w:rPr>
          <w:rFonts w:ascii="IRNazanin" w:hAnsi="IRNazanin" w:eastAsia="IRNazanin" w:cs="IRNazanin"/>
          <w:lang w:bidi="fa-IR"/>
          <w:color w:val="111111"/>
          <w:sz w:val="28"/>
          <w:szCs w:val="28"/>
          <w:rtl/>
        </w:rPr>
        <w:t xml:space="preserve">تهران؛ مجلس؛ شماره نسخه: ۱۳۹۸۴/۱</w:t>
      </w:r>
    </w:p>
    <w:p>
      <w:pPr>
        <w:pStyle w:val="BookText"/>
      </w:pPr>
      <w:r>
        <w:rPr>
          <w:rFonts w:ascii="IRNazanin" w:hAnsi="IRNazanin" w:eastAsia="IRNazanin" w:cs="IRNazanin"/>
          <w:lang w:bidi="fa-IR"/>
          <w:color w:val="111111"/>
          <w:sz w:val="28"/>
          <w:szCs w:val="28"/>
          <w:rtl/>
        </w:rPr>
        <w:t xml:space="preserve">آغاز: در ذکر خصومتی که فیمابین دولت ابد مدت قاهره و دولت بهیه روس اتفاق افتاده يرملوف که از جانب دولت روسیه به حکومت گرجستان؛ انجام: نواب امیرزاده عزم معاودت کرد پسکویچ و دیگر بزرگان روسیه نواب را تا منزل مشایعت کردند انواع حلويات و مربیات و انحای فواکه</w:t>
      </w:r>
    </w:p>
    <w:p>
      <w:pPr>
        <w:pStyle w:val="BookText"/>
      </w:pPr>
      <w:r>
        <w:rPr>
          <w:rFonts w:ascii="IRNazanin" w:hAnsi="IRNazanin" w:eastAsia="IRNazanin" w:cs="IRNazanin"/>
          <w:lang w:bidi="fa-IR"/>
          <w:color w:val="111111"/>
          <w:sz w:val="28"/>
          <w:szCs w:val="28"/>
          <w:rtl/>
        </w:rPr>
        <w:t xml:space="preserve">خط: شکسته نستعلیق، بی کا، بی تا؛ افتادگی: آغاز و انجام؛ جلد: تیماج قهوه ای مجدول، ۱۲۱ص (۲-۱۲۲) [ف: ۳۷-۵۷۹]</w:t>
      </w:r>
    </w:p>
    <w:p>
      <w:pPr>
        <w:pStyle w:val="Heading3"/>
      </w:pPr>
      <w:bookmarkStart w:id="1980" w:name="_Toc1240"/>
      <w:r>
        <w:t>• تاریخ اخباری و اصولی / تاریخ / فارسی</w:t>
      </w:r>
      <w:bookmarkEnd w:id="1980"/>
    </w:p>
    <w:p>
      <w:pPr>
        <w:pStyle w:val="BookText"/>
      </w:pPr>
      <w:r>
        <w:rPr>
          <w:rFonts w:ascii="Times New Roman" w:hAnsi="Times New Roman" w:eastAsia="Times New Roman" w:cs="Times New Roman"/>
          <w:lang w:val="en-US" w:bidi="en-US"/>
          <w:color w:val="111111"/>
          <w:sz w:val="28"/>
          <w:szCs w:val="28"/>
          <w:rtl/>
        </w:rPr>
        <w:t xml:space="preserve">tārīx-e axbārī va osūlī</w:t>
      </w:r>
    </w:p>
    <w:p>
      <w:pPr>
        <w:pStyle w:val="BookText"/>
      </w:pPr>
      <w:r>
        <w:rPr>
          <w:rFonts w:ascii="IRNazanin" w:hAnsi="IRNazanin" w:eastAsia="IRNazanin" w:cs="IRNazanin"/>
          <w:lang w:bidi="fa-IR"/>
          <w:color w:val="111111"/>
          <w:sz w:val="28"/>
          <w:szCs w:val="28"/>
          <w:rtl/>
        </w:rPr>
        <w:t xml:space="preserve">مدرس گیلانی، مرتضی بن شعبان، ق۱۴ قمری</w:t>
      </w:r>
    </w:p>
    <w:p>
      <w:pPr>
        <w:pStyle w:val="BookText"/>
      </w:pPr>
      <w:r>
        <w:rPr>
          <w:rFonts w:ascii="Times New Roman" w:hAnsi="Times New Roman" w:eastAsia="Times New Roman" w:cs="Times New Roman"/>
          <w:lang w:val="en-US" w:bidi="en-US"/>
          <w:color w:val="111111"/>
          <w:sz w:val="28"/>
          <w:szCs w:val="28"/>
          <w:rtl/>
        </w:rPr>
        <w:t xml:space="preserve">modarres-e gīlānī, morteza ebn-e ša‘bān (-20c)</w:t>
      </w:r>
    </w:p>
    <w:p>
      <w:pPr>
        <w:pStyle w:val="BookText"/>
      </w:pPr>
      <w:r>
        <w:rPr>
          <w:rFonts w:ascii="IRNazanin" w:hAnsi="IRNazanin" w:eastAsia="IRNazanin" w:cs="IRNazanin"/>
          <w:lang w:bidi="fa-IR"/>
          <w:color w:val="111111"/>
          <w:sz w:val="28"/>
          <w:szCs w:val="28"/>
          <w:rtl/>
        </w:rPr>
        <w:t xml:space="preserve">تهران؛ مجلس؛ شماره نسخه:۱۶۶۴۷</w:t>
      </w:r>
    </w:p>
    <w:p>
      <w:pPr>
        <w:pStyle w:val="BookText"/>
      </w:pPr>
      <w:r>
        <w:rPr>
          <w:rFonts w:ascii="IRNazanin" w:hAnsi="IRNazanin" w:eastAsia="IRNazanin" w:cs="IRNazanin"/>
          <w:lang w:bidi="fa-IR"/>
          <w:color w:val="111111"/>
          <w:sz w:val="28"/>
          <w:szCs w:val="28"/>
          <w:rtl/>
        </w:rPr>
        <w:t xml:space="preserve">بی کا، بی تا [د.ث. مجلس]</w:t>
      </w:r>
    </w:p>
    <w:p>
      <w:pPr>
        <w:pStyle w:val="Heading3"/>
      </w:pPr>
      <w:bookmarkStart w:id="1981" w:name="_Toc1241"/>
      <w:r>
        <w:t>• تاریخ ادب عربی / ادبیات / فارسی</w:t>
      </w:r>
      <w:bookmarkEnd w:id="1981"/>
    </w:p>
    <w:p>
      <w:pPr>
        <w:pStyle w:val="BookText"/>
      </w:pPr>
      <w:r>
        <w:rPr>
          <w:rFonts w:ascii="Times New Roman" w:hAnsi="Times New Roman" w:eastAsia="Times New Roman" w:cs="Times New Roman"/>
          <w:lang w:val="en-US" w:bidi="en-US"/>
          <w:color w:val="111111"/>
          <w:sz w:val="28"/>
          <w:szCs w:val="28"/>
          <w:rtl/>
        </w:rPr>
        <w:t xml:space="preserve">tārīx-e adab-e 'arabī</w:t>
      </w:r>
    </w:p>
    <w:p>
      <w:pPr>
        <w:pStyle w:val="BookText"/>
      </w:pPr>
      <w:r>
        <w:rPr>
          <w:rFonts w:ascii="IRNazanin" w:hAnsi="IRNazanin" w:eastAsia="IRNazanin" w:cs="IRNazanin"/>
          <w:lang w:bidi="fa-IR"/>
          <w:color w:val="111111"/>
          <w:sz w:val="28"/>
          <w:szCs w:val="28"/>
          <w:rtl/>
        </w:rPr>
        <w:t xml:space="preserve">اقبال آشتیانی، عباس، ۱۲۷۶-۱۳۳۴ شمسی</w:t>
      </w:r>
    </w:p>
    <w:p>
      <w:pPr>
        <w:pStyle w:val="BookText"/>
      </w:pPr>
      <w:r>
        <w:rPr>
          <w:rFonts w:ascii="Times New Roman" w:hAnsi="Times New Roman" w:eastAsia="Times New Roman" w:cs="Times New Roman"/>
          <w:lang w:val="en-US" w:bidi="en-US"/>
          <w:color w:val="111111"/>
          <w:sz w:val="28"/>
          <w:szCs w:val="28"/>
          <w:rtl/>
        </w:rPr>
        <w:t xml:space="preserve">eqbāl-e āštīyānī, “abbās (1897-1955)</w:t>
      </w:r>
    </w:p>
    <w:p>
      <w:pPr>
        <w:pStyle w:val="BookText"/>
      </w:pPr>
      <w:r>
        <w:rPr>
          <w:rFonts w:ascii="IRNazanin" w:hAnsi="IRNazanin" w:eastAsia="IRNazanin" w:cs="IRNazanin"/>
          <w:lang w:bidi="fa-IR"/>
          <w:color w:val="111111"/>
          <w:sz w:val="28"/>
          <w:szCs w:val="28"/>
          <w:rtl/>
        </w:rPr>
        <w:t xml:space="preserve">وجیزه ای است در تاریخ ادبیات عرب که ظاهرا تقریرات درسی بوده است و از بحث ریشه تاریخ و ادب و خصایص لغت عرب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370" w:name="pg20363_209654"/>
    <w:bookmarkEnd w:id="370"/>
    <w:p>
      <w:pPr>
        <w:pStyle w:val="BookText"/>
      </w:pPr>
      <w:r>
        <w:rPr>
          <w:rFonts w:ascii="IRNazanin" w:hAnsi="IRNazanin" w:eastAsia="IRNazanin" w:cs="IRNazanin"/>
          <w:lang w:bidi="fa-IR"/>
          <w:color w:val="111111"/>
          <w:sz w:val="28"/>
          <w:szCs w:val="28"/>
          <w:rtl/>
        </w:rPr>
        <w:t xml:space="preserve">و شعرای دوره جاهلیت شروع و به تقسیم قبائل عرب به اسماعیلیه و غساسنه و مناذره و آل کنده ختم می شود. به نظر می رسد که از تألیفات عباس اقبال آشتیانی باشد.</w:t>
      </w:r>
    </w:p>
    <w:p>
      <w:pPr>
        <w:pStyle w:val="BookText"/>
      </w:pPr>
      <w:r>
        <w:rPr>
          <w:rFonts w:ascii="IRNazanin" w:hAnsi="IRNazanin" w:eastAsia="IRNazanin" w:cs="IRNazanin"/>
          <w:lang w:bidi="fa-IR"/>
          <w:color w:val="111111"/>
          <w:sz w:val="28"/>
          <w:szCs w:val="28"/>
          <w:rtl/>
        </w:rPr>
        <w:t xml:space="preserve">مشهد؛ رضوی؛ شماره نسخه:۱۳۴۰۲</w:t>
      </w:r>
    </w:p>
    <w:p>
      <w:pPr>
        <w:pStyle w:val="BookText"/>
      </w:pPr>
      <w:r>
        <w:rPr>
          <w:rFonts w:ascii="IRNazanin" w:hAnsi="IRNazanin" w:eastAsia="IRNazanin" w:cs="IRNazanin"/>
          <w:lang w:bidi="fa-IR"/>
          <w:color w:val="111111"/>
          <w:sz w:val="28"/>
          <w:szCs w:val="28"/>
          <w:rtl/>
        </w:rPr>
        <w:t xml:space="preserve">آغاز: قبل از تحصیل و تعلم هر فنی باید آنرا شناخت؛ انجام: اهمیت غساسنه و مناذره را ندارند آخرین پادشاه سلسله ایشان امرء القیس معروف است. تاریخ متوسط تأليف عباسقلیخان اقبال.</w:t>
      </w:r>
    </w:p>
    <w:p>
      <w:pPr>
        <w:pStyle w:val="BookText"/>
      </w:pPr>
      <w:r>
        <w:rPr>
          <w:rFonts w:ascii="IRNazanin" w:hAnsi="IRNazanin" w:eastAsia="IRNazanin" w:cs="IRNazanin"/>
          <w:lang w:bidi="fa-IR"/>
          <w:color w:val="111111"/>
          <w:sz w:val="28"/>
          <w:szCs w:val="28"/>
          <w:rtl/>
        </w:rPr>
        <w:t xml:space="preserve">خط: نسخ و نستعلیق، بی کا، تا: قرن ۱۴؛ واقف: میرزا اسدالله فاضلی موسوی سبزواری، تیر ۱۳۶۲؛ کاغذ: نخودی، جلد: پارچه ای قهوه ای، ۴۳گ، ۱۹-۲۱ سطر، اندازه: ۱۷/۳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سم [ف: ۱۷-۶۴]</w:t>
      </w:r>
    </w:p>
    <w:p>
      <w:pPr>
        <w:pStyle w:val="Heading3"/>
      </w:pPr>
      <w:bookmarkStart w:id="1982" w:name="_Toc1242"/>
      <w:r>
        <w:t>•تاریخ ادبیات / ادبیات فارسی</w:t>
      </w:r>
      <w:bookmarkEnd w:id="1982"/>
    </w:p>
    <w:p>
      <w:pPr>
        <w:pStyle w:val="BookText"/>
      </w:pPr>
      <w:r>
        <w:rPr>
          <w:rFonts w:ascii="Times New Roman" w:hAnsi="Times New Roman" w:eastAsia="Times New Roman" w:cs="Times New Roman"/>
          <w:lang w:val="en-US" w:bidi="en-US"/>
          <w:color w:val="111111"/>
          <w:sz w:val="28"/>
          <w:szCs w:val="28"/>
          <w:rtl/>
        </w:rPr>
        <w:t xml:space="preserve">tārīx-e adabīyāt</w:t>
      </w:r>
    </w:p>
    <w:p>
      <w:pPr>
        <w:pStyle w:val="BookText"/>
      </w:pPr>
      <w:r>
        <w:rPr>
          <w:rFonts w:ascii="IRNazanin" w:hAnsi="IRNazanin" w:eastAsia="IRNazanin" w:cs="IRNazanin"/>
          <w:lang w:bidi="fa-IR"/>
          <w:color w:val="111111"/>
          <w:sz w:val="28"/>
          <w:szCs w:val="28"/>
          <w:rtl/>
        </w:rPr>
        <w:t xml:space="preserve">تدین، محمد حسین، ق۱۴ قمری</w:t>
      </w:r>
    </w:p>
    <w:p>
      <w:pPr>
        <w:pStyle w:val="BookText"/>
      </w:pPr>
      <w:r>
        <w:rPr>
          <w:rFonts w:ascii="Times New Roman" w:hAnsi="Times New Roman" w:eastAsia="Times New Roman" w:cs="Times New Roman"/>
          <w:lang w:val="en-US" w:bidi="en-US"/>
          <w:color w:val="111111"/>
          <w:sz w:val="28"/>
          <w:szCs w:val="28"/>
          <w:rtl/>
        </w:rPr>
        <w:t xml:space="preserve">tadayyon, mohammad hoseyn (-20c)</w:t>
      </w:r>
    </w:p>
    <w:p>
      <w:pPr>
        <w:pStyle w:val="BookText"/>
      </w:pPr>
      <w:r>
        <w:rPr>
          <w:rFonts w:ascii="IRNazanin" w:hAnsi="IRNazanin" w:eastAsia="IRNazanin" w:cs="IRNazanin"/>
          <w:lang w:bidi="fa-IR"/>
          <w:color w:val="111111"/>
          <w:sz w:val="28"/>
          <w:szCs w:val="28"/>
          <w:rtl/>
        </w:rPr>
        <w:t xml:space="preserve">تاریخ متوسطی است در ادبیات فارسی و درس های استاد بدیع الزمان فروزانفر در دانشکده ادبیات دانشگاه تهران سال سوم که مؤلف آنها را جمع آوری کرده و چهار دوره ادبیات را مورد بحث و بررسی قرار می دهد: دوره 1، دوره عرب و علوم اسلامی؛ ۲. از صفاریان تا عصر غزنوی؛ 3. سلجوقیان؛ ۴. مغول.</w:t>
      </w:r>
    </w:p>
    <w:p>
      <w:pPr>
        <w:pStyle w:val="BookText"/>
      </w:pPr>
      <w:r>
        <w:rPr>
          <w:rFonts w:ascii="IRNazanin" w:hAnsi="IRNazanin" w:eastAsia="IRNazanin" w:cs="IRNazanin"/>
          <w:lang w:bidi="fa-IR"/>
          <w:color w:val="111111"/>
          <w:sz w:val="28"/>
          <w:szCs w:val="28"/>
          <w:rtl/>
        </w:rPr>
        <w:t xml:space="preserve">[دنا ۶۶۸/۲ ]</w:t>
      </w:r>
    </w:p>
    <w:p>
      <w:pPr>
        <w:pStyle w:val="BookText"/>
      </w:pPr>
      <w:r>
        <w:rPr>
          <w:rFonts w:ascii="IRNazanin" w:hAnsi="IRNazanin" w:eastAsia="IRNazanin" w:cs="IRNazanin"/>
          <w:lang w:bidi="fa-IR"/>
          <w:color w:val="111111"/>
          <w:sz w:val="28"/>
          <w:szCs w:val="28"/>
          <w:rtl/>
        </w:rPr>
        <w:t xml:space="preserve">خوانسار؛ فاضل؛ شماره نسخه: ۳۲۸</w:t>
      </w:r>
    </w:p>
    <w:p>
      <w:pPr>
        <w:pStyle w:val="BookText"/>
      </w:pPr>
      <w:r>
        <w:rPr>
          <w:rFonts w:ascii="IRNazanin" w:hAnsi="IRNazanin" w:eastAsia="IRNazanin" w:cs="IRNazanin"/>
          <w:lang w:bidi="fa-IR"/>
          <w:color w:val="111111"/>
          <w:sz w:val="28"/>
          <w:szCs w:val="28"/>
          <w:rtl/>
        </w:rPr>
        <w:t xml:space="preserve">آغاز: تعريفات ادبیات لفظی است مجعول که قدما آنرا بهیچ وجه استعمال نکرده اند و این کلمه هم از جهت لفظ غلط است و هم از حیث معنی</w:t>
      </w:r>
    </w:p>
    <w:p>
      <w:pPr>
        <w:pStyle w:val="BookText"/>
      </w:pPr>
      <w:r>
        <w:rPr>
          <w:rFonts w:ascii="IRNazanin" w:hAnsi="IRNazanin" w:eastAsia="IRNazanin" w:cs="IRNazanin"/>
          <w:lang w:bidi="fa-IR"/>
          <w:color w:val="111111"/>
          <w:sz w:val="28"/>
          <w:szCs w:val="28"/>
          <w:rtl/>
        </w:rPr>
        <w:t xml:space="preserve">خط: نستعلیق، کاتب = مؤلف، بی تا، جلد: مقوایی مشکی ضربی، عطف پارچه ای قهوه ای، ۱۴۸گ، ۲۰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۲-۳۷]</w:t>
      </w:r>
    </w:p>
    <w:p>
      <w:pPr>
        <w:pStyle w:val="BookText"/>
      </w:pPr>
      <w:r>
        <w:rPr>
          <w:rFonts w:ascii="IRNazanin" w:hAnsi="IRNazanin" w:eastAsia="IRNazanin" w:cs="IRNazanin"/>
          <w:lang w:bidi="fa-IR"/>
          <w:color w:val="111111"/>
          <w:sz w:val="28"/>
          <w:szCs w:val="28"/>
          <w:rtl/>
        </w:rPr>
        <w:t xml:space="preserve">قم: مرکز احیاء؛ شماره نسخه:۳۴۷</w:t>
      </w:r>
    </w:p>
    <w:p>
      <w:pPr>
        <w:pStyle w:val="BookText"/>
      </w:pPr>
      <w:r>
        <w:rPr>
          <w:rFonts w:ascii="IRNazanin" w:hAnsi="IRNazanin" w:eastAsia="IRNazanin" w:cs="IRNazanin"/>
          <w:lang w:bidi="fa-IR"/>
          <w:color w:val="111111"/>
          <w:sz w:val="28"/>
          <w:szCs w:val="28"/>
          <w:rtl/>
        </w:rPr>
        <w:t xml:space="preserve">نسخه اصل: همان نسخه بالا [عکسی ف: ۱-۴۰۷]</w:t>
      </w:r>
    </w:p>
    <w:p>
      <w:pPr>
        <w:pStyle w:val="Heading3"/>
      </w:pPr>
      <w:bookmarkStart w:id="1983" w:name="_Toc1243"/>
      <w:r>
        <w:t>• تاریخ ادبیات / ادبیات / فارسی</w:t>
      </w:r>
      <w:bookmarkEnd w:id="1983"/>
    </w:p>
    <w:p>
      <w:pPr>
        <w:pStyle w:val="BookText"/>
      </w:pPr>
      <w:r>
        <w:rPr>
          <w:rFonts w:ascii="Times New Roman" w:hAnsi="Times New Roman" w:eastAsia="Times New Roman" w:cs="Times New Roman"/>
          <w:lang w:val="en-US" w:bidi="en-US"/>
          <w:color w:val="111111"/>
          <w:sz w:val="28"/>
          <w:szCs w:val="28"/>
          <w:rtl/>
        </w:rPr>
        <w:t xml:space="preserve">tārīx-e adabīyāt</w:t>
      </w:r>
    </w:p>
    <w:p>
      <w:pPr>
        <w:pStyle w:val="BookText"/>
      </w:pPr>
      <w:r>
        <w:rPr>
          <w:rFonts w:ascii="IRNazanin" w:hAnsi="IRNazanin" w:eastAsia="IRNazanin" w:cs="IRNazanin"/>
          <w:lang w:bidi="fa-IR"/>
          <w:color w:val="111111"/>
          <w:sz w:val="28"/>
          <w:szCs w:val="28"/>
          <w:rtl/>
        </w:rPr>
        <w:t xml:space="preserve">میرهادی، مریم، ۱۲۹۵ میلادی</w:t>
      </w:r>
    </w:p>
    <w:p>
      <w:pPr>
        <w:pStyle w:val="BookText"/>
      </w:pPr>
      <w:r>
        <w:rPr>
          <w:rFonts w:ascii="Times New Roman" w:hAnsi="Times New Roman" w:eastAsia="Times New Roman" w:cs="Times New Roman"/>
          <w:lang w:val="en-US" w:bidi="en-US"/>
          <w:color w:val="111111"/>
          <w:sz w:val="28"/>
          <w:szCs w:val="28"/>
          <w:rtl/>
        </w:rPr>
        <w:t xml:space="preserve">mīrhādī, maryam (1295-)</w:t>
      </w:r>
    </w:p>
    <w:p>
      <w:pPr>
        <w:pStyle w:val="BookText"/>
      </w:pPr>
      <w:r>
        <w:rPr>
          <w:rFonts w:ascii="IRNazanin" w:hAnsi="IRNazanin" w:eastAsia="IRNazanin" w:cs="IRNazanin"/>
          <w:lang w:bidi="fa-IR"/>
          <w:color w:val="111111"/>
          <w:sz w:val="28"/>
          <w:szCs w:val="28"/>
          <w:rtl/>
        </w:rPr>
        <w:t xml:space="preserve">جزوه درسی در تاریخ ادبیات فارسی</w:t>
      </w:r>
    </w:p>
    <w:p>
      <w:pPr>
        <w:pStyle w:val="BookText"/>
      </w:pPr>
      <w:r>
        <w:rPr>
          <w:rFonts w:ascii="IRNazanin" w:hAnsi="IRNazanin" w:eastAsia="IRNazanin" w:cs="IRNazanin"/>
          <w:lang w:bidi="fa-IR"/>
          <w:color w:val="111111"/>
          <w:sz w:val="28"/>
          <w:szCs w:val="28"/>
          <w:rtl/>
        </w:rPr>
        <w:t xml:space="preserve">مشهد؛ رضوی؛ شماره نسخه:۱۱۹۲۳</w:t>
      </w:r>
    </w:p>
    <w:p>
      <w:pPr>
        <w:pStyle w:val="BookText"/>
      </w:pPr>
      <w:r>
        <w:rPr>
          <w:rFonts w:ascii="IRNazanin" w:hAnsi="IRNazanin" w:eastAsia="IRNazanin" w:cs="IRNazanin"/>
          <w:lang w:bidi="fa-IR"/>
          <w:color w:val="111111"/>
          <w:sz w:val="28"/>
          <w:szCs w:val="28"/>
          <w:rtl/>
        </w:rPr>
        <w:t xml:space="preserve">آغاز: فصل اول تعريف ادب و ادبیات قبل از شروع به تاریخ ایران لازم است؛ انجام: به شهریاری و فیروزی ارچمیدبچر تاریخ احمد شاه - تاریخ ادبیات ۵۲۷ خط: شکسته نستعلیق، كا: مریم میرهادی، بی تا، جلد: میشن، ۱۹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 الفبائی: ۹۷]</w:t>
      </w:r>
    </w:p>
    <w:p>
      <w:pPr>
        <w:pStyle w:val="Heading3"/>
      </w:pPr>
      <w:bookmarkStart w:id="1984" w:name="_Toc1244"/>
      <w:r>
        <w:t>• تاریخ ادبیات ایران = تاریخ شعراء / تاریخ / فارسی</w:t>
      </w:r>
      <w:bookmarkEnd w:id="1984"/>
    </w:p>
    <w:p>
      <w:pPr>
        <w:pStyle w:val="BookText"/>
      </w:pPr>
      <w:r>
        <w:rPr>
          <w:rFonts w:ascii="Times New Roman" w:hAnsi="Times New Roman" w:eastAsia="Times New Roman" w:cs="Times New Roman"/>
          <w:lang w:val="en-US" w:bidi="en-US"/>
          <w:color w:val="111111"/>
          <w:sz w:val="28"/>
          <w:szCs w:val="28"/>
          <w:rtl/>
        </w:rPr>
        <w:t xml:space="preserve">tārīx-e adabīyāt-e īrān = tārīx-e šoʻarā’</w:t>
      </w:r>
    </w:p>
    <w:p>
      <w:pPr>
        <w:pStyle w:val="BookText"/>
      </w:pPr>
      <w:r>
        <w:rPr>
          <w:rFonts w:ascii="IRNazanin" w:hAnsi="IRNazanin" w:eastAsia="IRNazanin" w:cs="IRNazanin"/>
          <w:lang w:bidi="fa-IR"/>
          <w:color w:val="111111"/>
          <w:sz w:val="28"/>
          <w:szCs w:val="28"/>
          <w:rtl/>
        </w:rPr>
        <w:t xml:space="preserve">امیر خیزی، اسماعیل بن محمد تقی، ۱۲۵۵-۱۳۴۴ شمسی</w:t>
      </w:r>
    </w:p>
    <w:p>
      <w:pPr>
        <w:pStyle w:val="BookText"/>
      </w:pPr>
      <w:r>
        <w:rPr>
          <w:rFonts w:ascii="Times New Roman" w:hAnsi="Times New Roman" w:eastAsia="Times New Roman" w:cs="Times New Roman"/>
          <w:lang w:val="en-US" w:bidi="en-US"/>
          <w:color w:val="111111"/>
          <w:sz w:val="28"/>
          <w:szCs w:val="28"/>
          <w:rtl/>
        </w:rPr>
        <w:t xml:space="preserve">amīr-xīzī, esmāʻīl ebn-e mohammad taqī (1876-1965)</w:t>
      </w:r>
    </w:p>
    <w:p>
      <w:pPr>
        <w:pStyle w:val="BookText"/>
      </w:pPr>
      <w:r>
        <w:rPr>
          <w:rFonts w:ascii="IRNazanin" w:hAnsi="IRNazanin" w:eastAsia="IRNazanin" w:cs="IRNazanin"/>
          <w:lang w:bidi="fa-IR"/>
          <w:color w:val="111111"/>
          <w:sz w:val="28"/>
          <w:szCs w:val="28"/>
          <w:rtl/>
        </w:rPr>
        <w:t xml:space="preserve">یک دوره تاریخ ادبیات و به خصوص شعر ایران است در چند مجلد، مؤلف از نظر تاریخی چند دوره برای ادبیات ایران تعریف کرده و در هر دوره، مقدمه ای کوتاه و سپس اسامی شاعران و شمه ای از شرح حال و نمونه ای از اشعارشان را می آورد. بخش های شش گانه کتاب: ۱. ادبیات دوره سامانی، در پنج فصل؛ ۲. ادبیات در دوره غزنوی، در چهار فصل؛ ۳. احوال ادبیات فارسی در دوره سلجوقی و خوارزمشاهی، در پنج فصل؛ ۴. ادبیات ایران در دوره مغول، در چهار فصل؛ ۵. احوال ادبیات ایران در دوره صفوی، در چهار فصل؛ ۶- ادبیات ایران در دوره افشاریه و زندیه و قاجاریه و مشروطیت، در چهار فصل. گویا امیر خیزی این مطالب را برای تدریس در دوره متوسطه آماده کرده است.</w:t>
      </w:r>
    </w:p>
    <w:p>
      <w:pPr>
        <w:pStyle w:val="BookText"/>
      </w:pPr>
      <w:r>
        <w:rPr>
          <w:rFonts w:ascii="IRNazanin" w:hAnsi="IRNazanin" w:eastAsia="IRNazanin" w:cs="IRNazanin"/>
          <w:lang w:bidi="fa-IR"/>
          <w:color w:val="111111"/>
          <w:sz w:val="28"/>
          <w:szCs w:val="28"/>
          <w:rtl/>
        </w:rPr>
        <w:t xml:space="preserve">آغاز: بسم الله تعالی تاریخ ادبیات ایران. برای اینکه بتوانیم بطور تحقیق از کیفیت تاریخ ادبی ایران مطلع باشیم لازم است که نخست در خصوص زبان هایی که تا امروز در ایران با آنها تكلم شده آشنایی پیدا کنیم</w:t>
      </w:r>
    </w:p>
    <w:p>
      <w:pPr>
        <w:pStyle w:val="BookText"/>
      </w:pPr>
      <w:r>
        <w:rPr>
          <w:rFonts w:ascii="IRNazanin" w:hAnsi="IRNazanin" w:eastAsia="IRNazanin" w:cs="IRNazanin"/>
          <w:lang w:bidi="fa-IR"/>
          <w:color w:val="111111"/>
          <w:sz w:val="28"/>
          <w:szCs w:val="28"/>
          <w:rtl/>
        </w:rPr>
        <w:t xml:space="preserve">۱. تهران: مجلس؛ شماره نسخه:۹۸۴۴</w:t>
      </w:r>
    </w:p>
    <w:p>
      <w:pPr>
        <w:pStyle w:val="BookText"/>
      </w:pPr>
      <w:r>
        <w:rPr>
          <w:rFonts w:ascii="IRNazanin" w:hAnsi="IRNazanin" w:eastAsia="IRNazanin" w:cs="IRNazanin"/>
          <w:lang w:bidi="fa-IR"/>
          <w:color w:val="111111"/>
          <w:sz w:val="28"/>
          <w:szCs w:val="28"/>
          <w:rtl/>
        </w:rPr>
        <w:t xml:space="preserve">آغاز: پنجم دوره صفویه و زندیه تا ابتدای تاسیس دولت قاجاریه ( ۱۲۱۰-۹۰۵ ) ابتلای چند صد ساله چنگیزیان و تیموریان اثرات خود را راجع؛ انجام: هر چند بجهد لاغرش میدارم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از یک سخن فضول فربه گردد.</w:t>
      </w:r>
    </w:p>
    <w:p>
      <w:pPr>
        <w:pStyle w:val="BookText"/>
      </w:pPr>
      <w:r>
        <w:rPr>
          <w:rFonts w:ascii="IRNazanin" w:hAnsi="IRNazanin" w:eastAsia="IRNazanin" w:cs="IRNazanin"/>
          <w:lang w:bidi="fa-IR"/>
          <w:color w:val="111111"/>
          <w:sz w:val="28"/>
          <w:szCs w:val="28"/>
          <w:rtl/>
        </w:rPr>
        <w:t xml:space="preserve">دوره پنجم (صفویه و زندیه تا ابتدای تاسیس دولت قاجاریه ۹۰۵ ۱۲۱۰)؛ خط: نستعلیق، کاتب = مؤلف، تا: قرن ۱۴؛ جلد: تیماج</w:t>
      </w:r>
    </w:p>
    <w:p>
      <w:pPr>
        <w:pStyle w:val="BookText"/>
      </w:pPr>
      <w:r>
        <w:rPr>
          <w:rFonts w:ascii="IRNazanin" w:hAnsi="IRNazanin" w:eastAsia="IRNazanin" w:cs="IRNazanin"/>
          <w:lang w:bidi="fa-IR"/>
          <w:color w:val="111111"/>
          <w:sz w:val="28"/>
          <w:szCs w:val="28"/>
          <w:rtl/>
        </w:rPr>
        <w:t xml:space="preserve">مشکی، ۱۷۱گ، ۲۰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۳۱-۱۱۰]</w:t>
      </w:r>
    </w:p>
    <w:p>
      <w:pPr>
        <w:pStyle w:val="BookText"/>
      </w:pPr>
      <w:r>
        <w:rPr>
          <w:rFonts w:ascii="IRNazanin" w:hAnsi="IRNazanin" w:eastAsia="IRNazanin" w:cs="IRNazanin"/>
          <w:lang w:bidi="fa-IR"/>
          <w:color w:val="111111"/>
          <w:sz w:val="28"/>
          <w:szCs w:val="28"/>
          <w:rtl/>
        </w:rPr>
        <w:t xml:space="preserve">۲. تهران؛ مجلس؛ شماره نسخه:۹۸۴۶</w:t>
      </w:r>
    </w:p>
    <w:p>
      <w:pPr>
        <w:pStyle w:val="BookText"/>
      </w:pPr>
      <w:r>
        <w:rPr>
          <w:rFonts w:ascii="IRNazanin" w:hAnsi="IRNazanin" w:eastAsia="IRNazanin" w:cs="IRNazanin"/>
          <w:lang w:bidi="fa-IR"/>
          <w:color w:val="111111"/>
          <w:sz w:val="28"/>
          <w:szCs w:val="28"/>
          <w:rtl/>
        </w:rPr>
        <w:t xml:space="preserve">آغاز: ناصر خسرو حکیم ناصر بن خسرو بن حارث القبادیانی البلخی مکنا به ابومعين</w:t>
      </w:r>
    </w:p>
    <w:p>
      <w:pPr>
        <w:pStyle w:val="BookText"/>
      </w:pPr>
      <w:r>
        <w:rPr>
          <w:rFonts w:ascii="IRNazanin" w:hAnsi="IRNazanin" w:eastAsia="IRNazanin" w:cs="IRNazanin"/>
          <w:lang w:bidi="fa-IR"/>
          <w:color w:val="111111"/>
          <w:sz w:val="28"/>
          <w:szCs w:val="28"/>
          <w:rtl/>
        </w:rPr>
        <w:t xml:space="preserve">و از ناصر خسرو تا جعفر برمکی و در نیمه دوم نسخه، یادداشت های پراکنده امیر خیزی است؛ خط: نستعلیق، کاتب = مؤلف، تا: قرن ۱۴؛ جلد: تیماج فرنگی مشکی، ۴۵گ، مختلف السطر، اندازه: ۱۷/۵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۳۱-۱۱۱]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نسخه:۹۸۴۷</w:t>
      </w:r>
    </w:p>
    <w:p>
      <w:pPr>
        <w:pStyle w:val="BookText"/>
      </w:pPr>
      <w:r>
        <w:rPr>
          <w:rFonts w:ascii="IRNazanin" w:hAnsi="IRNazanin" w:eastAsia="IRNazanin" w:cs="IRNazanin"/>
          <w:lang w:bidi="fa-IR"/>
          <w:color w:val="111111"/>
          <w:sz w:val="28"/>
          <w:szCs w:val="28"/>
          <w:rtl/>
        </w:rPr>
        <w:t xml:space="preserve">آغاز: عصر صفاریان و سامانیان تا زمان غزنویان. این دوره شروع می شود از سال ۲۵۳ یعنی از زمان جلوس يعقوب بن لیث صفاری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371" w:name="pg20363_209655"/>
    <w:bookmarkEnd w:id="371"/>
    <w:p>
      <w:pPr>
        <w:pStyle w:val="BookText"/>
      </w:pPr>
      <w:r>
        <w:rPr>
          <w:rFonts w:ascii="IRNazanin" w:hAnsi="IRNazanin" w:eastAsia="IRNazanin" w:cs="IRNazanin"/>
          <w:lang w:bidi="fa-IR"/>
          <w:color w:val="111111"/>
          <w:sz w:val="28"/>
          <w:szCs w:val="28"/>
          <w:rtl/>
        </w:rPr>
        <w:t xml:space="preserve">و منتهی می شود به ابتدای تاسیس دولت غزنوی ۳۶۶؛ انجام: هر یک اطلاع صحیح درست نیست بهمین قدر قناعت شد</w:t>
      </w:r>
    </w:p>
    <w:p>
      <w:pPr>
        <w:pStyle w:val="BookText"/>
      </w:pPr>
      <w:r>
        <w:rPr>
          <w:rFonts w:ascii="IRNazanin" w:hAnsi="IRNazanin" w:eastAsia="IRNazanin" w:cs="IRNazanin"/>
          <w:lang w:bidi="fa-IR"/>
          <w:color w:val="111111"/>
          <w:sz w:val="28"/>
          <w:szCs w:val="28"/>
          <w:rtl/>
        </w:rPr>
        <w:t xml:space="preserve">عصر صفاریان و سامانیان تا زمان غزنویان؛ خط: نستعلیق، کاتب = مؤلف، تا: قرن ۱۴؛ جلد: تیماج فرنگی مشکی، ۲۰گ، ۱۹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۳۱-۱۱۱]</w:t>
      </w:r>
    </w:p>
    <w:p>
      <w:pPr>
        <w:pStyle w:val="BookText"/>
      </w:pPr>
      <w:r>
        <w:rPr>
          <w:rFonts w:ascii="IRNazanin" w:hAnsi="IRNazanin" w:eastAsia="IRNazanin" w:cs="IRNazanin"/>
          <w:lang w:bidi="fa-IR"/>
          <w:color w:val="111111"/>
          <w:sz w:val="28"/>
          <w:szCs w:val="28"/>
          <w:rtl/>
        </w:rPr>
        <w:t xml:space="preserve">۴. تهران؛ مجلس؛ شماره نسخه:۹۸۴۸</w:t>
      </w:r>
    </w:p>
    <w:p>
      <w:pPr>
        <w:pStyle w:val="BookText"/>
      </w:pPr>
      <w:r>
        <w:rPr>
          <w:rFonts w:ascii="IRNazanin" w:hAnsi="IRNazanin" w:eastAsia="IRNazanin" w:cs="IRNazanin"/>
          <w:lang w:bidi="fa-IR"/>
          <w:color w:val="111111"/>
          <w:sz w:val="28"/>
          <w:szCs w:val="28"/>
          <w:rtl/>
        </w:rPr>
        <w:t xml:space="preserve">آغاز: قسمت هشتم، ادبیات ایران در دوره خوارزمشاهیان. در سنه ۴۹۰ امیر داد بگی انجام: کمتر نیست و شیخ سعدی را در غزلیات خود بدانها نظر بوده است. قسمت هشتم</w:t>
      </w:r>
    </w:p>
    <w:p>
      <w:pPr>
        <w:pStyle w:val="BookText"/>
      </w:pPr>
      <w:r>
        <w:rPr>
          <w:rFonts w:ascii="IRNazanin" w:hAnsi="IRNazanin" w:eastAsia="IRNazanin" w:cs="IRNazanin"/>
          <w:lang w:bidi="fa-IR"/>
          <w:color w:val="111111"/>
          <w:sz w:val="28"/>
          <w:szCs w:val="28"/>
          <w:rtl/>
        </w:rPr>
        <w:t xml:space="preserve">(خوارزمشاهیان) است؛ خط: نستعلیق، کاتب = مؤلف، تا: قرن ۱۴؛ تملک: حسینعلی سلطان زاده پسیان؛ مهر:« حاجی اسماعیل امیرخیزی»؛ جلد: تیماج فرنگی مشکی، ۴۴گ،</w:t>
      </w:r>
    </w:p>
    <w:p>
      <w:pPr>
        <w:pStyle w:val="BookText"/>
      </w:pPr>
      <w:r>
        <w:rPr>
          <w:rFonts w:ascii="IRNazanin" w:hAnsi="IRNazanin" w:eastAsia="IRNazanin" w:cs="IRNazanin"/>
          <w:lang w:bidi="fa-IR"/>
          <w:color w:val="111111"/>
          <w:sz w:val="28"/>
          <w:szCs w:val="28"/>
          <w:rtl/>
        </w:rPr>
        <w:t xml:space="preserve">19 سطر، اندازه: ۱۷/۵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۳۱-۱۱۱]</w:t>
      </w:r>
    </w:p>
    <w:p>
      <w:pPr>
        <w:pStyle w:val="BookText"/>
      </w:pPr>
      <w:r>
        <w:rPr>
          <w:rFonts w:ascii="IRNazanin" w:hAnsi="IRNazanin" w:eastAsia="IRNazanin" w:cs="IRNazanin"/>
          <w:lang w:bidi="fa-IR"/>
          <w:color w:val="111111"/>
          <w:sz w:val="28"/>
          <w:szCs w:val="28"/>
          <w:rtl/>
        </w:rPr>
        <w:t xml:space="preserve">۵. تهران؛ مجلس؛ شماره نسخه:۹۸۴۹</w:t>
      </w:r>
    </w:p>
    <w:p>
      <w:pPr>
        <w:pStyle w:val="BookText"/>
      </w:pPr>
      <w:r>
        <w:rPr>
          <w:rFonts w:ascii="IRNazanin" w:hAnsi="IRNazanin" w:eastAsia="IRNazanin" w:cs="IRNazanin"/>
          <w:lang w:bidi="fa-IR"/>
          <w:color w:val="111111"/>
          <w:sz w:val="28"/>
          <w:szCs w:val="28"/>
          <w:rtl/>
        </w:rPr>
        <w:t xml:space="preserve">آغاز: برابر؛ انجام: آن صافی که چون بكف دست برنهی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کف از قدح ندانی نی از قدح نبید. خط: نستعلیق، کاتب = مؤلف، تا: قرن ۱۴؛ جلد: تیماج فرنگی مشکی، ۷۸گ، ۲۰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۳۱-۱۱۱]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مجلس؛ شماره نسخه:۹۸۵۰</w:t>
      </w:r>
    </w:p>
    <w:p>
      <w:pPr>
        <w:pStyle w:val="BookText"/>
      </w:pPr>
      <w:r>
        <w:rPr>
          <w:rFonts w:ascii="IRNazanin" w:hAnsi="IRNazanin" w:eastAsia="IRNazanin" w:cs="IRNazanin"/>
          <w:lang w:bidi="fa-IR"/>
          <w:color w:val="111111"/>
          <w:sz w:val="28"/>
          <w:szCs w:val="28"/>
          <w:rtl/>
        </w:rPr>
        <w:t xml:space="preserve">آغاز: تاریخ ادبیات ایران در عهد مغول. احوال مملکت ایران هنگام حمله مغول مملکت ایران و عموم ممالک اسلامی حال خوشی نداشت؛ انجام: بیان می کند چنان که بعد از این می گوییم اكثر طرق تمثیلات را برای</w:t>
      </w:r>
    </w:p>
    <w:p>
      <w:pPr>
        <w:pStyle w:val="BookText"/>
      </w:pPr>
      <w:r>
        <w:rPr>
          <w:rFonts w:ascii="IRNazanin" w:hAnsi="IRNazanin" w:eastAsia="IRNazanin" w:cs="IRNazanin"/>
          <w:lang w:bidi="fa-IR"/>
          <w:color w:val="111111"/>
          <w:sz w:val="28"/>
          <w:szCs w:val="28"/>
          <w:rtl/>
        </w:rPr>
        <w:t xml:space="preserve">عهد مغول؛ خط: نستعلیق، کاتب = مؤلف، تا: قرن ۱۴؛ جلد: تیماج فرنگی مشکی، ۱۰۰گ، ۲۰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۱۱۲-۳۱ ]</w:t>
      </w:r>
    </w:p>
    <w:p>
      <w:pPr>
        <w:pStyle w:val="BookText"/>
      </w:pPr>
      <w:r>
        <w:rPr>
          <w:rFonts w:ascii="IRNazanin" w:hAnsi="IRNazanin" w:eastAsia="IRNazanin" w:cs="IRNazanin"/>
          <w:lang w:bidi="fa-IR"/>
          <w:color w:val="111111"/>
          <w:sz w:val="28"/>
          <w:szCs w:val="28"/>
          <w:rtl/>
        </w:rPr>
        <w:t xml:space="preserve">۷. تهران؛ مجلس؛ شماره نسخه: ۹۸۵۱</w:t>
      </w:r>
    </w:p>
    <w:p>
      <w:pPr>
        <w:pStyle w:val="BookText"/>
      </w:pPr>
      <w:r>
        <w:rPr>
          <w:rFonts w:ascii="IRNazanin" w:hAnsi="IRNazanin" w:eastAsia="IRNazanin" w:cs="IRNazanin"/>
          <w:lang w:bidi="fa-IR"/>
          <w:color w:val="111111"/>
          <w:sz w:val="28"/>
          <w:szCs w:val="28"/>
          <w:rtl/>
        </w:rPr>
        <w:t xml:space="preserve">آغاز: مقدمه، تاریخ ادبیات ایران را از سالهای گذشته از قدیم ترین ادوار تاریخی تا دوره مغول خوانده و از چگونگی اوضاع و احوال ادبا در این ادوار آگاهی یافته ایم؛ انجام: خطرهای بزرگی هستند که هر کدام به تنهایی برای ناچیز و فاسد کردن زبان ملی کافی می باشند</w:t>
      </w:r>
    </w:p>
    <w:p>
      <w:pPr>
        <w:pStyle w:val="BookText"/>
      </w:pPr>
      <w:r>
        <w:rPr>
          <w:rFonts w:ascii="IRNazanin" w:hAnsi="IRNazanin" w:eastAsia="IRNazanin" w:cs="IRNazanin"/>
          <w:lang w:bidi="fa-IR"/>
          <w:color w:val="111111"/>
          <w:sz w:val="28"/>
          <w:szCs w:val="28"/>
          <w:rtl/>
        </w:rPr>
        <w:t xml:space="preserve">خط: نسخ و نستعلیق، کاتب =مؤلف، تا: قرن ۱۴؛ جلد: تیماج فرنگی مشکی، ۲۰گ، ۱۹ سطر، اندازه: ۱۳/۵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۲۰سم [ف: ۳۱-۱۱۲]</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مجلس؛ شماره نسخه: ۹۸۵۲</w:t>
      </w:r>
    </w:p>
    <w:p>
      <w:pPr>
        <w:pStyle w:val="BookText"/>
      </w:pPr>
      <w:r>
        <w:rPr>
          <w:rFonts w:ascii="IRNazanin" w:hAnsi="IRNazanin" w:eastAsia="IRNazanin" w:cs="IRNazanin"/>
          <w:lang w:bidi="fa-IR"/>
          <w:color w:val="111111"/>
          <w:sz w:val="28"/>
          <w:szCs w:val="28"/>
          <w:rtl/>
        </w:rPr>
        <w:t xml:space="preserve">آغاز: تاریخ شعراء ۳- عصر غزنویان و سلجوقیان تا غلبه مغول ۶۱۷-۳۶۶</w:t>
      </w:r>
    </w:p>
    <w:p>
      <w:pPr>
        <w:pStyle w:val="BookText"/>
      </w:pPr>
      <w:r>
        <w:rPr>
          <w:rFonts w:ascii="IRNazanin" w:hAnsi="IRNazanin" w:eastAsia="IRNazanin" w:cs="IRNazanin"/>
          <w:lang w:bidi="fa-IR"/>
          <w:color w:val="111111"/>
          <w:sz w:val="28"/>
          <w:szCs w:val="28"/>
          <w:rtl/>
        </w:rPr>
        <w:t xml:space="preserve">ادبیات ایران در دوره سلطنت سامانیان نضج و جریان یافته در زمان سلاطين غزنوی بالخاصه در زمان حکمرانی سلطان محمود یمین الدوله</w:t>
      </w:r>
    </w:p>
    <w:p>
      <w:pPr>
        <w:pStyle w:val="BookText"/>
      </w:pPr>
      <w:r>
        <w:rPr>
          <w:rFonts w:ascii="IRNazanin" w:hAnsi="IRNazanin" w:eastAsia="IRNazanin" w:cs="IRNazanin"/>
          <w:lang w:bidi="fa-IR"/>
          <w:color w:val="111111"/>
          <w:sz w:val="28"/>
          <w:szCs w:val="28"/>
          <w:rtl/>
        </w:rPr>
        <w:t xml:space="preserve">از عصر غزنویان و سلجوقیان تا غلبه مغول (۳۶۶-۶۱۷)؛ خط: نستعلیق، کاتب = مؤلف، تا: قرن ۱۴؛ در چند صفحه آخر نسخه به انگلیسی مطالبی درج شده، متن خط خوردگی دارد؛ جلد: تیماج مشکی، ۵۱، ۲۰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۳۱-۱۱۲]</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مجلس؛ شماره نسخه:۹۸۵۳</w:t>
      </w:r>
    </w:p>
    <w:p>
      <w:pPr>
        <w:pStyle w:val="BookText"/>
      </w:pPr>
      <w:r>
        <w:rPr>
          <w:rFonts w:ascii="IRNazanin" w:hAnsi="IRNazanin" w:eastAsia="IRNazanin" w:cs="IRNazanin"/>
          <w:lang w:bidi="fa-IR"/>
          <w:color w:val="111111"/>
          <w:sz w:val="28"/>
          <w:szCs w:val="28"/>
          <w:rtl/>
        </w:rPr>
        <w:t xml:space="preserve">آغاز: بسمله. تاریخ شعراء. ابن یمین فریومدی: امیر فخرالدین محمود معروف به ابن یمین بن امیر یمین الدین طغرائی یکی از چراغهای فروزانی است که در دوره تاریک استیلای مغول روشن شده است</w:t>
      </w:r>
    </w:p>
    <w:p>
      <w:pPr>
        <w:pStyle w:val="BookText"/>
      </w:pPr>
      <w:r>
        <w:rPr>
          <w:rFonts w:ascii="IRNazanin" w:hAnsi="IRNazanin" w:eastAsia="IRNazanin" w:cs="IRNazanin"/>
          <w:lang w:bidi="fa-IR"/>
          <w:color w:val="111111"/>
          <w:sz w:val="28"/>
          <w:szCs w:val="28"/>
          <w:rtl/>
        </w:rPr>
        <w:t xml:space="preserve">از ابن یمین فریومدی تا جامی و پس از آن دوره صفویه و افشاریه و زندیه تا ابتدای قاجاریه را در بردارد؛ خط: نستعلیق، کاتب = مؤلف، تا: قرن ۱۴؛ ركابه دار؛ جلد: تیماج فرنگی مشکی، ۵۴گ، 19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۳۱-۱۱۳]</w:t>
      </w:r>
    </w:p>
    <w:p>
      <w:pPr>
        <w:pStyle w:val="BookText"/>
      </w:pPr>
      <w:r>
        <w:rPr>
          <w:rFonts w:ascii="IRNazanin" w:hAnsi="IRNazanin" w:eastAsia="IRNazanin" w:cs="IRNazanin"/>
          <w:lang w:bidi="fa-IR"/>
          <w:color w:val="111111"/>
          <w:sz w:val="28"/>
          <w:szCs w:val="28"/>
          <w:rtl/>
        </w:rPr>
        <w:t xml:space="preserve">۱۰. تهران؛ مجلس؛ شماره نسخه:۹۸۵۵</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بخشی از مقدمه کتاب؛ خط: نستعلیق، کاتب = مؤلف، تا: قرن ۱۴؛ جلد: تیماج فرنگی مشکی، ۴۸گ، ۲۳ سطر، اندازه: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۲۰سم [ف: ۳۱-۱۱۳]</w:t>
      </w:r>
    </w:p>
    <w:p>
      <w:pPr>
        <w:pStyle w:val="BookText"/>
      </w:pPr>
      <w:r>
        <w:rPr>
          <w:rFonts w:ascii="IRNazanin" w:hAnsi="IRNazanin" w:eastAsia="IRNazanin" w:cs="IRNazanin"/>
          <w:lang w:bidi="fa-IR"/>
          <w:color w:val="111111"/>
          <w:sz w:val="28"/>
          <w:szCs w:val="28"/>
          <w:rtl/>
        </w:rPr>
        <w:t xml:space="preserve">۱۱. تهران؛ مجلس؛ شماره نسخه:۹۸۵۶</w:t>
      </w:r>
    </w:p>
    <w:p>
      <w:pPr>
        <w:pStyle w:val="BookText"/>
      </w:pPr>
      <w:r>
        <w:rPr>
          <w:rFonts w:ascii="IRNazanin" w:hAnsi="IRNazanin" w:eastAsia="IRNazanin" w:cs="IRNazanin"/>
          <w:lang w:bidi="fa-IR"/>
          <w:color w:val="111111"/>
          <w:sz w:val="28"/>
          <w:szCs w:val="28"/>
          <w:rtl/>
        </w:rPr>
        <w:t xml:space="preserve">آغاز: برابر؛ انجام: تمام شد جزوه تاریخ شعرای سال چهارم ادبی بخشی از مقدمه کتاب را شامل است؛ خط: نستعلیق، کاتب = مؤلف، تا: قرن ۱۴؛ جلد: تیماج فرنگی مشکی، ۵۸گ، ۱۹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۳۱-۱۱۳]</w:t>
      </w:r>
    </w:p>
    <w:p>
      <w:pPr>
        <w:pStyle w:val="BookText"/>
      </w:pPr>
      <w:r>
        <w:rPr>
          <w:rFonts w:ascii="IRNazanin" w:hAnsi="IRNazanin" w:eastAsia="IRNazanin" w:cs="IRNazanin"/>
          <w:lang w:bidi="fa-IR"/>
          <w:color w:val="111111"/>
          <w:sz w:val="28"/>
          <w:szCs w:val="28"/>
          <w:rtl/>
        </w:rPr>
        <w:t xml:space="preserve">۱۲. تهران؛ مجلس؛ شماره نسخه: ۹۸۶۰</w:t>
      </w:r>
    </w:p>
    <w:p>
      <w:pPr>
        <w:pStyle w:val="BookText"/>
      </w:pPr>
      <w:r>
        <w:rPr>
          <w:rFonts w:ascii="IRNazanin" w:hAnsi="IRNazanin" w:eastAsia="IRNazanin" w:cs="IRNazanin"/>
          <w:lang w:bidi="fa-IR"/>
          <w:color w:val="111111"/>
          <w:sz w:val="28"/>
          <w:szCs w:val="28"/>
          <w:rtl/>
        </w:rPr>
        <w:t xml:space="preserve">آغاز قرن دویم و سیم ابایزید بسطامی طیفور بن عيسى بن سروشان القوسي البسطامی یکی از عرفای عالیمقدار بود</w:t>
      </w:r>
    </w:p>
    <w:p>
      <w:pPr>
        <w:pStyle w:val="BookText"/>
      </w:pPr>
      <w:r>
        <w:rPr>
          <w:rFonts w:ascii="IRNazanin" w:hAnsi="IRNazanin" w:eastAsia="IRNazanin" w:cs="IRNazanin"/>
          <w:lang w:bidi="fa-IR"/>
          <w:color w:val="111111"/>
          <w:sz w:val="28"/>
          <w:szCs w:val="28"/>
          <w:rtl/>
        </w:rPr>
        <w:t xml:space="preserve">خط: نستعلیق، کاتب = مؤلف، تا: قرن ۱۴؛ جلد: تیماج مشک فرنگی، ۳۲۳گ، ۲۱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۳۱-۱۱۵]</w:t>
      </w:r>
    </w:p>
    <w:p>
      <w:pPr>
        <w:pStyle w:val="BookText"/>
      </w:pPr>
      <w:r>
        <w:rPr>
          <w:rFonts w:ascii="IRNazanin" w:hAnsi="IRNazanin" w:eastAsia="IRNazanin" w:cs="IRNazanin"/>
          <w:lang w:bidi="fa-IR"/>
          <w:color w:val="111111"/>
          <w:sz w:val="28"/>
          <w:szCs w:val="28"/>
          <w:rtl/>
        </w:rPr>
        <w:t xml:space="preserve">۱۳. تهران؛ مجلس؛ شماره نسخه:۹۸۵۸</w:t>
      </w:r>
    </w:p>
    <w:p>
      <w:pPr>
        <w:pStyle w:val="BookText"/>
      </w:pPr>
      <w:r>
        <w:rPr>
          <w:rFonts w:ascii="IRNazanin" w:hAnsi="IRNazanin" w:eastAsia="IRNazanin" w:cs="IRNazanin"/>
          <w:lang w:bidi="fa-IR"/>
          <w:color w:val="111111"/>
          <w:sz w:val="28"/>
          <w:szCs w:val="28"/>
          <w:rtl/>
        </w:rPr>
        <w:t xml:space="preserve">خط: نستعلیق، کاتب = مؤلف، تا: ۵ بهمن ۱۳۸۹ش؛ متن خط خوردگی دارد؛ جلد: تیماج فرنگی مشکی، ۲۵۳، ۱۶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۳۱-۱۱۴]</w:t>
      </w:r>
    </w:p>
    <w:p>
      <w:pPr>
        <w:pStyle w:val="Heading3"/>
      </w:pPr>
      <w:bookmarkStart w:id="1985" w:name="_Toc1245"/>
      <w:r>
        <w:t>• تاریخ ادبیات ایران / ادبیات فارسی</w:t>
      </w:r>
      <w:bookmarkEnd w:id="1985"/>
    </w:p>
    <w:p>
      <w:pPr>
        <w:pStyle w:val="BookText"/>
      </w:pPr>
      <w:r>
        <w:rPr>
          <w:rFonts w:ascii="Times New Roman" w:hAnsi="Times New Roman" w:eastAsia="Times New Roman" w:cs="Times New Roman"/>
          <w:lang w:val="en-US" w:bidi="en-US"/>
          <w:color w:val="111111"/>
          <w:sz w:val="28"/>
          <w:szCs w:val="28"/>
          <w:rtl/>
        </w:rPr>
        <w:t xml:space="preserve">tārīx-e adabīyāt-e īrān</w:t>
      </w:r>
    </w:p>
    <w:p>
      <w:pPr>
        <w:pStyle w:val="BookText"/>
      </w:pPr>
      <w:r>
        <w:rPr>
          <w:rFonts w:ascii="IRNazanin" w:hAnsi="IRNazanin" w:eastAsia="IRNazanin" w:cs="IRNazanin"/>
          <w:lang w:bidi="fa-IR"/>
          <w:color w:val="111111"/>
          <w:sz w:val="28"/>
          <w:szCs w:val="28"/>
          <w:rtl/>
        </w:rPr>
        <w:t xml:space="preserve">نفیسی، سعید، ۱۲۷۴-۱۳۴۵ شمسی</w:t>
      </w:r>
    </w:p>
    <w:p>
      <w:pPr>
        <w:pStyle w:val="BookText"/>
      </w:pPr>
      <w:r>
        <w:rPr>
          <w:rFonts w:ascii="Times New Roman" w:hAnsi="Times New Roman" w:eastAsia="Times New Roman" w:cs="Times New Roman"/>
          <w:lang w:val="en-US" w:bidi="en-US"/>
          <w:color w:val="111111"/>
          <w:sz w:val="28"/>
          <w:szCs w:val="28"/>
          <w:rtl/>
        </w:rPr>
        <w:t xml:space="preserve">nafisl, said (1895-1966)</w:t>
      </w:r>
    </w:p>
    <w:p>
      <w:pPr>
        <w:pStyle w:val="BookText"/>
      </w:pPr>
      <w:r>
        <w:rPr>
          <w:rFonts w:ascii="IRNazanin" w:hAnsi="IRNazanin" w:eastAsia="IRNazanin" w:cs="IRNazanin"/>
          <w:lang w:bidi="fa-IR"/>
          <w:color w:val="111111"/>
          <w:sz w:val="28"/>
          <w:szCs w:val="28"/>
          <w:rtl/>
        </w:rPr>
        <w:t xml:space="preserve">برای سال پنجم دبیرستان از سعید نفیسی، گزیده نثر و نظم فارسی است (ملحقات).</w:t>
      </w:r>
    </w:p>
    <w:p>
      <w:pPr>
        <w:pStyle w:val="BookText"/>
      </w:pPr>
      <w:r>
        <w:rPr>
          <w:rFonts w:ascii="IRNazanin" w:hAnsi="IRNazanin" w:eastAsia="IRNazanin" w:cs="IRNazanin"/>
          <w:lang w:bidi="fa-IR"/>
          <w:color w:val="111111"/>
          <w:sz w:val="28"/>
          <w:szCs w:val="28"/>
          <w:rtl/>
        </w:rPr>
        <w:t xml:space="preserve">تهران؛ دانشگاه؛ شماره نسخه:۹۱۱۷</w:t>
      </w:r>
    </w:p>
    <w:p>
      <w:pPr>
        <w:pStyle w:val="BookText"/>
      </w:pPr>
      <w:r>
        <w:rPr>
          <w:rFonts w:ascii="IRNazanin" w:hAnsi="IRNazanin" w:eastAsia="IRNazanin" w:cs="IRNazanin"/>
          <w:lang w:bidi="fa-IR"/>
          <w:color w:val="111111"/>
          <w:sz w:val="28"/>
          <w:szCs w:val="28"/>
          <w:rtl/>
        </w:rPr>
        <w:t xml:space="preserve">خط: شکسته نستعلیق اصل، بی کا، بی تا، کاغذ: فرنگی، جلد: تازه، ۱۲۵گ، ۲۲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۱۷-۲۹۷]</w:t>
      </w:r>
    </w:p>
    <w:p>
      <w:pPr>
        <w:pStyle w:val="Heading3"/>
      </w:pPr>
      <w:bookmarkStart w:id="1986" w:name="_Toc1246"/>
      <w:r>
        <w:t>• تاریخ ادبیات ایران / ادبیات فارسی</w:t>
      </w:r>
      <w:bookmarkEnd w:id="1986"/>
    </w:p>
    <w:p>
      <w:pPr>
        <w:pStyle w:val="BookText"/>
      </w:pPr>
      <w:r>
        <w:rPr>
          <w:rFonts w:ascii="Times New Roman" w:hAnsi="Times New Roman" w:eastAsia="Times New Roman" w:cs="Times New Roman"/>
          <w:lang w:val="en-US" w:bidi="en-US"/>
          <w:color w:val="111111"/>
          <w:sz w:val="28"/>
          <w:szCs w:val="28"/>
          <w:rtl/>
        </w:rPr>
        <w:t xml:space="preserve">tārīx-e adabīyāt-e īrān</w:t>
      </w:r>
    </w:p>
    <w:p>
      <w:pPr>
        <w:pStyle w:val="BookText"/>
      </w:pPr>
      <w:r>
        <w:rPr>
          <w:rFonts w:ascii="IRNazanin" w:hAnsi="IRNazanin" w:eastAsia="IRNazanin" w:cs="IRNazanin"/>
          <w:lang w:bidi="fa-IR"/>
          <w:color w:val="111111"/>
          <w:sz w:val="28"/>
          <w:szCs w:val="28"/>
          <w:rtl/>
        </w:rPr>
        <w:t xml:space="preserve">کتابی است در تاریخ ادبیات ایران که ابتدا درباره کلمه تاریخ،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372" w:name="pg20363_209656"/>
    <w:bookmarkEnd w:id="372"/>
    <w:p>
      <w:pPr>
        <w:pStyle w:val="BookText"/>
      </w:pPr>
      <w:r>
        <w:rPr>
          <w:rFonts w:ascii="IRNazanin" w:hAnsi="IRNazanin" w:eastAsia="IRNazanin" w:cs="IRNazanin"/>
          <w:lang w:bidi="fa-IR"/>
          <w:color w:val="111111"/>
          <w:sz w:val="28"/>
          <w:szCs w:val="28"/>
          <w:rtl/>
        </w:rPr>
        <w:t xml:space="preserve">ادب، تقسیم ادب و تاریخ عرب و عربستان توضیح می دهد و بعد از آن اصل کتاب شروع می شود که شامل مقدمه و تقسیم تاریخ ادبی ایران به دو قسمت، قسمت اول دور قبل از اسلام که شامل خط هخامنشی، زبان، خط، معماری، نقاشی، موسیقی، شعر، کتب و علوم دوره ساسانیان و قسمت دوم دوره بعد از اسلام که شامل سقوط دولت ساسانی و تشکیل سلسله های ایران و تشکیل خط و زبان جدید فارسی است و همچنین علما و دانشمندان دوره اول تا قرن ۴ق را معرفی کرده و بعد از آن به سلسله صفویه و افشاریه می پردازد.</w:t>
      </w:r>
    </w:p>
    <w:p>
      <w:pPr>
        <w:pStyle w:val="BookText"/>
      </w:pPr>
      <w:r>
        <w:rPr>
          <w:rFonts w:ascii="IRNazanin" w:hAnsi="IRNazanin" w:eastAsia="IRNazanin" w:cs="IRNazanin"/>
          <w:lang w:bidi="fa-IR"/>
          <w:color w:val="111111"/>
          <w:sz w:val="28"/>
          <w:szCs w:val="28"/>
          <w:rtl/>
        </w:rPr>
        <w:t xml:space="preserve">تهران؛ ملی؛ شماره نسخه: ۱۵۷۶۹</w:t>
      </w:r>
    </w:p>
    <w:p>
      <w:pPr>
        <w:pStyle w:val="BookText"/>
      </w:pPr>
      <w:r>
        <w:rPr>
          <w:rFonts w:ascii="IRNazanin" w:hAnsi="IRNazanin" w:eastAsia="IRNazanin" w:cs="IRNazanin"/>
          <w:lang w:bidi="fa-IR"/>
          <w:color w:val="111111"/>
          <w:sz w:val="28"/>
          <w:szCs w:val="28"/>
          <w:rtl/>
        </w:rPr>
        <w:t xml:space="preserve">آغاز: بنام ایزد یکتا. تاریخ ادبیات ایران بعد از اسلام. کلمه تاریخ قبل از شروع در مقصود بر خواننده لازم است که معنی؛ انجام: که در حفظ استقلال خراسان بکوشد و با شاهرخ در دفع دشمنان او یاری کند. خاتمه.</w:t>
      </w:r>
    </w:p>
    <w:p>
      <w:pPr>
        <w:pStyle w:val="BookText"/>
      </w:pPr>
      <w:r>
        <w:rPr>
          <w:rFonts w:ascii="IRNazanin" w:hAnsi="IRNazanin" w:eastAsia="IRNazanin" w:cs="IRNazanin"/>
          <w:lang w:bidi="fa-IR"/>
          <w:color w:val="111111"/>
          <w:sz w:val="28"/>
          <w:szCs w:val="28"/>
          <w:rtl/>
        </w:rPr>
        <w:t xml:space="preserve">خط: شکسته نستعلیق، كا: حسنعلی رفیعا، تا: قرن ۱۴؛ اهدایی: خانواده رفیعا، ۱۳۷۶؛ کاغذ: دفتری خط دار، جلد: مقوایی رو کش کاغذ مشکی، ۶۰، ۲۵ سطر (۱۶/۳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۲۲/۵ )، اندازه:</w:t>
      </w:r>
    </w:p>
    <w:p>
      <w:pPr>
        <w:pStyle w:val="BookText"/>
      </w:pPr>
      <w:r>
        <w:rPr>
          <w:rFonts w:ascii="IRNazanin" w:hAnsi="IRNazanin" w:eastAsia="IRNazanin" w:cs="IRNazanin"/>
          <w:lang w:bidi="fa-IR"/>
          <w:color w:val="111111"/>
          <w:sz w:val="28"/>
          <w:szCs w:val="28"/>
          <w:rtl/>
        </w:rPr>
        <w:t xml:space="preserve">۲۶/۳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 سم [رایانه]</w:t>
      </w:r>
    </w:p>
    <w:p>
      <w:pPr>
        <w:pStyle w:val="Heading3"/>
      </w:pPr>
      <w:bookmarkStart w:id="1987" w:name="_Toc1247"/>
      <w:r>
        <w:t>• تاریخ ادبیات ایران / ادبیات / فارسی</w:t>
      </w:r>
      <w:bookmarkEnd w:id="1987"/>
    </w:p>
    <w:p>
      <w:pPr>
        <w:pStyle w:val="BookText"/>
      </w:pPr>
      <w:r>
        <w:rPr>
          <w:rFonts w:ascii="Times New Roman" w:hAnsi="Times New Roman" w:eastAsia="Times New Roman" w:cs="Times New Roman"/>
          <w:lang w:val="en-US" w:bidi="en-US"/>
          <w:color w:val="111111"/>
          <w:sz w:val="28"/>
          <w:szCs w:val="28"/>
          <w:rtl/>
        </w:rPr>
        <w:t xml:space="preserve">tarix-e adabiyat-e iran</w:t>
      </w:r>
    </w:p>
    <w:p>
      <w:pPr>
        <w:pStyle w:val="BookText"/>
      </w:pPr>
      <w:r>
        <w:rPr>
          <w:rFonts w:ascii="IRNazanin" w:hAnsi="IRNazanin" w:eastAsia="IRNazanin" w:cs="IRNazanin"/>
          <w:lang w:bidi="fa-IR"/>
          <w:color w:val="111111"/>
          <w:sz w:val="28"/>
          <w:szCs w:val="28"/>
          <w:rtl/>
        </w:rPr>
        <w:t xml:space="preserve">تهران؛ ملی؛ شماره نسخه:۱۸۲۸۵</w:t>
      </w:r>
    </w:p>
    <w:p>
      <w:pPr>
        <w:pStyle w:val="BookText"/>
      </w:pPr>
      <w:r>
        <w:rPr>
          <w:rFonts w:ascii="IRNazanin" w:hAnsi="IRNazanin" w:eastAsia="IRNazanin" w:cs="IRNazanin"/>
          <w:lang w:bidi="fa-IR"/>
          <w:color w:val="111111"/>
          <w:sz w:val="28"/>
          <w:szCs w:val="28"/>
          <w:rtl/>
        </w:rPr>
        <w:t xml:space="preserve">دستنوشته ای در تاریخ ادبیات ایران؛ بی کا، بی تا انتقالی از کتابخانه پهلوی - مجموعه نوازی؛ ۱۰۴گ، اندازه: ۲۹/۲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رایانه</w:t>
      </w:r>
    </w:p>
    <w:p>
      <w:pPr>
        <w:pStyle w:val="Heading3"/>
      </w:pPr>
      <w:bookmarkStart w:id="1988" w:name="_Toc1248"/>
      <w:r>
        <w:t>• تاریخ ادبیات ایران / ادبیات / فارسی</w:t>
      </w:r>
      <w:bookmarkEnd w:id="1988"/>
    </w:p>
    <w:p>
      <w:pPr>
        <w:pStyle w:val="BookText"/>
      </w:pPr>
      <w:r>
        <w:rPr>
          <w:rFonts w:ascii="Times New Roman" w:hAnsi="Times New Roman" w:eastAsia="Times New Roman" w:cs="Times New Roman"/>
          <w:lang w:val="en-US" w:bidi="en-US"/>
          <w:color w:val="111111"/>
          <w:sz w:val="28"/>
          <w:szCs w:val="28"/>
          <w:rtl/>
        </w:rPr>
        <w:t xml:space="preserve">tārīx-e adabīyāt-e īrān</w:t>
      </w:r>
    </w:p>
    <w:p>
      <w:pPr>
        <w:pStyle w:val="BookText"/>
      </w:pPr>
      <w:r>
        <w:rPr>
          <w:rFonts w:ascii="IRNazanin" w:hAnsi="IRNazanin" w:eastAsia="IRNazanin" w:cs="IRNazanin"/>
          <w:lang w:bidi="fa-IR"/>
          <w:color w:val="111111"/>
          <w:sz w:val="28"/>
          <w:szCs w:val="28"/>
          <w:rtl/>
        </w:rPr>
        <w:t xml:space="preserve">ادبیات طاهریان و صفاریان تا سامانیان را مشتمل است. جزوه درسی یکی از دانشجویان ادبیات فارسی است.</w:t>
      </w:r>
    </w:p>
    <w:p>
      <w:pPr>
        <w:pStyle w:val="BookText"/>
      </w:pPr>
      <w:r>
        <w:rPr>
          <w:rFonts w:ascii="IRNazanin" w:hAnsi="IRNazanin" w:eastAsia="IRNazanin" w:cs="IRNazanin"/>
          <w:lang w:bidi="fa-IR"/>
          <w:color w:val="111111"/>
          <w:sz w:val="28"/>
          <w:szCs w:val="28"/>
          <w:rtl/>
        </w:rPr>
        <w:t xml:space="preserve">قم، مسجد اعظم، شماره نسخه:۴۰۷۶/۳</w:t>
      </w:r>
    </w:p>
    <w:p>
      <w:pPr>
        <w:pStyle w:val="BookText"/>
      </w:pPr>
      <w:r>
        <w:rPr>
          <w:rFonts w:ascii="IRNazanin" w:hAnsi="IRNazanin" w:eastAsia="IRNazanin" w:cs="IRNazanin"/>
          <w:lang w:bidi="fa-IR"/>
          <w:color w:val="111111"/>
          <w:sz w:val="28"/>
          <w:szCs w:val="28"/>
          <w:rtl/>
        </w:rPr>
        <w:t xml:space="preserve">آغاز: مؤسس این سلسله طاهر بن حسین ... که در ۱۵۹ هجری متولد گردید و در سنه ۲۰۷ وفات یافت. ظاهرا اصلا ایرانی بود؛ انجام: اسد بن سامان چهار پسر داشت: نوح واحمد ويحیی والياس. چون فتنه رافع بن لیث در خراسان به پا شد ومأمون با پدرش هارون به خراسان آمد.</w:t>
      </w:r>
    </w:p>
    <w:p>
      <w:pPr>
        <w:pStyle w:val="BookText"/>
      </w:pPr>
      <w:r>
        <w:rPr>
          <w:rFonts w:ascii="IRNazanin" w:hAnsi="IRNazanin" w:eastAsia="IRNazanin" w:cs="IRNazanin"/>
          <w:lang w:bidi="fa-IR"/>
          <w:color w:val="111111"/>
          <w:sz w:val="28"/>
          <w:szCs w:val="28"/>
          <w:rtl/>
        </w:rPr>
        <w:t xml:space="preserve">خط: نستعلیق، بی کا، بی تاب جلد: گالینگور سبز، عطف تیماج زرشکی، ۱۸گ (۷۵ر-۹۲پ)،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سم [ف مخ: ۱-۳۰۲]</w:t>
      </w:r>
    </w:p>
    <w:p>
      <w:pPr>
        <w:pStyle w:val="Heading3"/>
      </w:pPr>
      <w:bookmarkStart w:id="1989" w:name="_Toc1249"/>
      <w:r>
        <w:t>•تاریخ ادبیات ایران برون (ترجمه) / تاریخ ایران / فارسی</w:t>
      </w:r>
      <w:bookmarkEnd w:id="1989"/>
    </w:p>
    <w:p>
      <w:pPr>
        <w:pStyle w:val="BookText"/>
      </w:pPr>
      <w:r>
        <w:rPr>
          <w:rFonts w:ascii="Times New Roman" w:hAnsi="Times New Roman" w:eastAsia="Times New Roman" w:cs="Times New Roman"/>
          <w:lang w:val="en-US" w:bidi="en-US"/>
          <w:color w:val="111111"/>
          <w:sz w:val="28"/>
          <w:szCs w:val="28"/>
          <w:rtl/>
        </w:rPr>
        <w:t xml:space="preserve">tārīx-e adabīyāt-e īrān-e berawn (t.)</w:t>
      </w:r>
    </w:p>
    <w:p>
      <w:pPr>
        <w:pStyle w:val="BookText"/>
      </w:pPr>
      <w:r>
        <w:rPr>
          <w:rFonts w:ascii="IRNazanin" w:hAnsi="IRNazanin" w:eastAsia="IRNazanin" w:cs="IRNazanin"/>
          <w:lang w:bidi="fa-IR"/>
          <w:color w:val="111111"/>
          <w:sz w:val="28"/>
          <w:szCs w:val="28"/>
          <w:rtl/>
        </w:rPr>
        <w:t xml:space="preserve">حکمت، علی اصغر، ۱۲۷۱-۱۳۵۹ شمسی</w:t>
      </w:r>
    </w:p>
    <w:p>
      <w:pPr>
        <w:pStyle w:val="BookText"/>
      </w:pPr>
      <w:r>
        <w:rPr>
          <w:rFonts w:ascii="Times New Roman" w:hAnsi="Times New Roman" w:eastAsia="Times New Roman" w:cs="Times New Roman"/>
          <w:lang w:val="en-US" w:bidi="en-US"/>
          <w:color w:val="111111"/>
          <w:sz w:val="28"/>
          <w:szCs w:val="28"/>
          <w:rtl/>
        </w:rPr>
        <w:t xml:space="preserve">hekmat, ‘alī asqar (1892-1980)</w:t>
      </w:r>
    </w:p>
    <w:p>
      <w:pPr>
        <w:pStyle w:val="BookText"/>
      </w:pPr>
      <w:r>
        <w:rPr>
          <w:rFonts w:ascii="IRNazanin" w:hAnsi="IRNazanin" w:eastAsia="IRNazanin" w:cs="IRNazanin"/>
          <w:lang w:bidi="fa-IR"/>
          <w:color w:val="111111"/>
          <w:sz w:val="28"/>
          <w:szCs w:val="28"/>
          <w:rtl/>
        </w:rPr>
        <w:t xml:space="preserve">تهران؛ دانشگاه؛ شماره نسخه: ۹۱۳۰</w:t>
      </w:r>
    </w:p>
    <w:p>
      <w:pPr>
        <w:pStyle w:val="BookText"/>
      </w:pPr>
      <w:r>
        <w:rPr>
          <w:rFonts w:ascii="IRNazanin" w:hAnsi="IRNazanin" w:eastAsia="IRNazanin" w:cs="IRNazanin"/>
          <w:lang w:bidi="fa-IR"/>
          <w:color w:val="111111"/>
          <w:sz w:val="28"/>
          <w:szCs w:val="28"/>
          <w:rtl/>
        </w:rPr>
        <w:t xml:space="preserve">جلد سوم؛ خط: شکسته نستعلیق، کاتب = مؤلف، بی تا، کاغذ: فرنگی، جلد: گالینگور، ۵۷ص، اندازه: ۳۶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۱۷-۳۰۰]</w:t>
      </w:r>
    </w:p>
    <w:p>
      <w:pPr>
        <w:pStyle w:val="Heading3"/>
      </w:pPr>
      <w:bookmarkStart w:id="1990" w:name="_Toc1250"/>
      <w:r>
        <w:t>• تاریخ ادبیات زبان فارسی / ادبیات / فارسی</w:t>
      </w:r>
      <w:bookmarkEnd w:id="1990"/>
    </w:p>
    <w:p>
      <w:pPr>
        <w:pStyle w:val="BookText"/>
      </w:pPr>
      <w:r>
        <w:rPr>
          <w:rFonts w:ascii="Times New Roman" w:hAnsi="Times New Roman" w:eastAsia="Times New Roman" w:cs="Times New Roman"/>
          <w:lang w:val="en-US" w:bidi="en-US"/>
          <w:color w:val="111111"/>
          <w:sz w:val="28"/>
          <w:szCs w:val="28"/>
          <w:rtl/>
        </w:rPr>
        <w:t xml:space="preserve">tārīx-e adabīyāt-e zabān-e fārsī</w:t>
      </w:r>
    </w:p>
    <w:p>
      <w:pPr>
        <w:pStyle w:val="BookText"/>
      </w:pPr>
      <w:r>
        <w:rPr>
          <w:rFonts w:ascii="IRNazanin" w:hAnsi="IRNazanin" w:eastAsia="IRNazanin" w:cs="IRNazanin"/>
          <w:lang w:bidi="fa-IR"/>
          <w:color w:val="111111"/>
          <w:sz w:val="28"/>
          <w:szCs w:val="28"/>
          <w:rtl/>
        </w:rPr>
        <w:t xml:space="preserve">اقبال آشتیانی، عباس، ۱۲۷۶-۱۳۳۴ شمسی</w:t>
      </w:r>
    </w:p>
    <w:p>
      <w:pPr>
        <w:pStyle w:val="BookText"/>
      </w:pPr>
      <w:r>
        <w:rPr>
          <w:rFonts w:ascii="Times New Roman" w:hAnsi="Times New Roman" w:eastAsia="Times New Roman" w:cs="Times New Roman"/>
          <w:lang w:val="en-US" w:bidi="en-US"/>
          <w:color w:val="111111"/>
          <w:sz w:val="28"/>
          <w:szCs w:val="28"/>
          <w:rtl/>
        </w:rPr>
        <w:t xml:space="preserve">eqbāl-e āštīyānī, “abbās (1897-1955)</w:t>
      </w:r>
    </w:p>
    <w:p>
      <w:pPr>
        <w:pStyle w:val="BookText"/>
      </w:pPr>
      <w:r>
        <w:rPr>
          <w:rFonts w:ascii="IRNazanin" w:hAnsi="IRNazanin" w:eastAsia="IRNazanin" w:cs="IRNazanin"/>
          <w:lang w:bidi="fa-IR"/>
          <w:color w:val="111111"/>
          <w:sz w:val="28"/>
          <w:szCs w:val="28"/>
          <w:rtl/>
        </w:rPr>
        <w:t xml:space="preserve">تاريخ تأليف: ۱۳۳۸ق از عباس بن محمد على اقبال آشتیانی است که در ۱۳۳۸ش بدان می پرداخت و می خواست در سه جلد آن را بنویسد.</w:t>
      </w:r>
    </w:p>
    <w:p>
      <w:pPr>
        <w:pStyle w:val="BookText"/>
      </w:pPr>
      <w:r>
        <w:rPr>
          <w:rFonts w:ascii="IRNazanin" w:hAnsi="IRNazanin" w:eastAsia="IRNazanin" w:cs="IRNazanin"/>
          <w:lang w:bidi="fa-IR"/>
          <w:color w:val="111111"/>
          <w:sz w:val="28"/>
          <w:szCs w:val="28"/>
          <w:rtl/>
        </w:rPr>
        <w:t xml:space="preserve">تهران؛ ادبیات، شماره نسخه:۹۳ -ج</w:t>
      </w:r>
    </w:p>
    <w:p>
      <w:pPr>
        <w:pStyle w:val="BookText"/>
      </w:pPr>
      <w:r>
        <w:rPr>
          <w:rFonts w:ascii="IRNazanin" w:hAnsi="IRNazanin" w:eastAsia="IRNazanin" w:cs="IRNazanin"/>
          <w:lang w:bidi="fa-IR"/>
          <w:color w:val="111111"/>
          <w:sz w:val="28"/>
          <w:szCs w:val="28"/>
          <w:rtl/>
        </w:rPr>
        <w:t xml:space="preserve">نسخه ما جلد نخستین و از زمان کهن است تا ۴۳۱ و در پایان از غضایری رازی یاد کرده است؛ خط: نستعلیق، بی کا، بی تا، با حواشی خود اقبال، کاغذ: فرنگی، جلد: تیماج قهوه ای، ۴۶۹گ، ۱۳ سطر (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۱-۵۶]</w:t>
      </w:r>
    </w:p>
    <w:p>
      <w:pPr>
        <w:pStyle w:val="Heading3"/>
      </w:pPr>
      <w:bookmarkStart w:id="1991" w:name="_Toc1251"/>
      <w:r>
        <w:t>• تاریخ ادبیات عرب / ادبیات / فارسی</w:t>
      </w:r>
      <w:bookmarkEnd w:id="1991"/>
    </w:p>
    <w:p>
      <w:pPr>
        <w:pStyle w:val="BookText"/>
      </w:pPr>
      <w:r>
        <w:rPr>
          <w:rFonts w:ascii="Times New Roman" w:hAnsi="Times New Roman" w:eastAsia="Times New Roman" w:cs="Times New Roman"/>
          <w:lang w:val="en-US" w:bidi="en-US"/>
          <w:color w:val="111111"/>
          <w:sz w:val="28"/>
          <w:szCs w:val="28"/>
          <w:rtl/>
        </w:rPr>
        <w:t xml:space="preserve">tārīx-e adabīyāt-e ‘arab</w:t>
      </w:r>
    </w:p>
    <w:p>
      <w:pPr>
        <w:pStyle w:val="BookText"/>
      </w:pPr>
      <w:r>
        <w:rPr>
          <w:rFonts w:ascii="IRNazanin" w:hAnsi="IRNazanin" w:eastAsia="IRNazanin" w:cs="IRNazanin"/>
          <w:lang w:bidi="fa-IR"/>
          <w:color w:val="111111"/>
          <w:sz w:val="28"/>
          <w:szCs w:val="28"/>
          <w:rtl/>
        </w:rPr>
        <w:t xml:space="preserve">با مقدمه ای در صنعت شعر و اصطلاحات آن آغاز می شود.</w:t>
      </w:r>
    </w:p>
    <w:p>
      <w:pPr>
        <w:pStyle w:val="BookText"/>
      </w:pPr>
      <w:r>
        <w:rPr>
          <w:rFonts w:ascii="IRNazanin" w:hAnsi="IRNazanin" w:eastAsia="IRNazanin" w:cs="IRNazanin"/>
          <w:lang w:bidi="fa-IR"/>
          <w:color w:val="111111"/>
          <w:sz w:val="28"/>
          <w:szCs w:val="28"/>
          <w:rtl/>
        </w:rPr>
        <w:t xml:space="preserve">قم؛ مسجد اعظم؛ شماره نسخه:۱۲۷۴</w:t>
      </w:r>
    </w:p>
    <w:p>
      <w:pPr>
        <w:pStyle w:val="BookText"/>
      </w:pPr>
      <w:r>
        <w:rPr>
          <w:rFonts w:ascii="IRNazanin" w:hAnsi="IRNazanin" w:eastAsia="IRNazanin" w:cs="IRNazanin"/>
          <w:lang w:bidi="fa-IR"/>
          <w:color w:val="111111"/>
          <w:sz w:val="28"/>
          <w:szCs w:val="28"/>
          <w:rtl/>
        </w:rPr>
        <w:t xml:space="preserve">آغاز: بدء الشعر الصحيح -وشعری که روایتش صحیح است؛ انجام: وقتی خلیفه شد او را کاتب خود کرد خط: نستعلیق، بی کا، بی تا، جلد: گالینگور مشکی، ۸۰گ، مختلف السطر،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مخ: ۱-۳۰۲]</w:t>
      </w:r>
    </w:p>
    <w:p>
      <w:pPr>
        <w:pStyle w:val="Heading3"/>
      </w:pPr>
      <w:bookmarkStart w:id="1992" w:name="_Toc1252"/>
      <w:r>
        <w:t>• تاریخ ادوار مشروطیت در ایران (مختصر) / تاریخ ایران / فارسی</w:t>
      </w:r>
      <w:bookmarkEnd w:id="1992"/>
    </w:p>
    <w:p>
      <w:pPr>
        <w:pStyle w:val="BookText"/>
      </w:pPr>
      <w:r>
        <w:rPr>
          <w:rFonts w:ascii="Times New Roman" w:hAnsi="Times New Roman" w:eastAsia="Times New Roman" w:cs="Times New Roman"/>
          <w:lang w:val="en-US" w:bidi="en-US"/>
          <w:color w:val="111111"/>
          <w:sz w:val="28"/>
          <w:szCs w:val="28"/>
          <w:rtl/>
        </w:rPr>
        <w:t xml:space="preserve">tārīx-e advār-e mašrūtīyat dar īrān (mx.)</w:t>
      </w:r>
    </w:p>
    <w:p>
      <w:pPr>
        <w:pStyle w:val="BookText"/>
      </w:pPr>
      <w:r>
        <w:rPr>
          <w:rFonts w:ascii="IRNazanin" w:hAnsi="IRNazanin" w:eastAsia="IRNazanin" w:cs="IRNazanin"/>
          <w:lang w:bidi="fa-IR"/>
          <w:color w:val="111111"/>
          <w:sz w:val="28"/>
          <w:szCs w:val="28"/>
          <w:rtl/>
        </w:rPr>
        <w:t xml:space="preserve">تهران، دانشگاه؛ شماره نسخه:۷۰۳۴-عکس</w:t>
      </w:r>
    </w:p>
    <w:p>
      <w:pPr>
        <w:pStyle w:val="BookText"/>
      </w:pPr>
      <w:r>
        <w:rPr>
          <w:rFonts w:ascii="IRNazanin" w:hAnsi="IRNazanin" w:eastAsia="IRNazanin" w:cs="IRNazanin"/>
          <w:lang w:bidi="fa-IR"/>
          <w:color w:val="111111"/>
          <w:sz w:val="28"/>
          <w:szCs w:val="28"/>
          <w:rtl/>
        </w:rPr>
        <w:t xml:space="preserve">چاپ کاوه در برلین در ۱۳۳۷؛ بی کا، بی تا؛ ۹۵ص [فيلمها ف: ۳-۲۷۴]</w:t>
      </w:r>
    </w:p>
    <w:p>
      <w:pPr>
        <w:pStyle w:val="Heading3"/>
      </w:pPr>
      <w:bookmarkStart w:id="1993" w:name="_Toc1253"/>
      <w:r>
        <w:t>• تاریخ الاديان / ادیان و مذاهب / فارسی</w:t>
      </w:r>
      <w:bookmarkEnd w:id="1993"/>
    </w:p>
    <w:p>
      <w:pPr>
        <w:pStyle w:val="BookText"/>
      </w:pPr>
      <w:r>
        <w:rPr>
          <w:rFonts w:ascii="Times New Roman" w:hAnsi="Times New Roman" w:eastAsia="Times New Roman" w:cs="Times New Roman"/>
          <w:lang w:val="en-US" w:bidi="en-US"/>
          <w:color w:val="111111"/>
          <w:sz w:val="28"/>
          <w:szCs w:val="28"/>
          <w:rtl/>
        </w:rPr>
        <w:t xml:space="preserve">tārīx-ol adyān</w:t>
      </w:r>
    </w:p>
    <w:p>
      <w:pPr>
        <w:pStyle w:val="BookText"/>
      </w:pPr>
      <w:r>
        <w:rPr>
          <w:rFonts w:ascii="IRNazanin" w:hAnsi="IRNazanin" w:eastAsia="IRNazanin" w:cs="IRNazanin"/>
          <w:lang w:bidi="fa-IR"/>
          <w:color w:val="111111"/>
          <w:sz w:val="28"/>
          <w:szCs w:val="28"/>
          <w:rtl/>
        </w:rPr>
        <w:t xml:space="preserve">دانیال خان، ق۱۳ قمری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373" w:name="pg20363_209657"/>
    <w:bookmarkEnd w:id="373"/>
    <w:p>
      <w:pPr>
        <w:pStyle w:val="BookText"/>
      </w:pPr>
      <w:r>
        <w:rPr>
          <w:rFonts w:ascii="Times New Roman" w:hAnsi="Times New Roman" w:eastAsia="Times New Roman" w:cs="Times New Roman"/>
          <w:lang w:val="en-US" w:bidi="en-US"/>
          <w:color w:val="111111"/>
          <w:sz w:val="28"/>
          <w:szCs w:val="28"/>
          <w:rtl/>
        </w:rPr>
        <w:t xml:space="preserve">daniyal xan (-19c)</w:t>
      </w:r>
    </w:p>
    <w:p>
      <w:pPr>
        <w:pStyle w:val="BookText"/>
      </w:pPr>
      <w:r>
        <w:rPr>
          <w:rFonts w:ascii="IRNazanin" w:hAnsi="IRNazanin" w:eastAsia="IRNazanin" w:cs="IRNazanin"/>
          <w:lang w:bidi="fa-IR"/>
          <w:color w:val="111111"/>
          <w:sz w:val="28"/>
          <w:szCs w:val="28"/>
          <w:rtl/>
        </w:rPr>
        <w:t xml:space="preserve">تاریخ ملل و نحل قبل از اسلام است، شامل دو جلد. نسخه حاضر جلد دوم کتاب است در چند «فصل». فهرست فصول آن چنین است: ۱. تاریخ زرتشت؛ ۲. تاریخ برهما؛ 3. تاریخ بودا؛ ۴. تاریخ خونک فوتسو پا کنفوسیوس شارع چینی.</w:t>
      </w:r>
    </w:p>
    <w:p>
      <w:pPr>
        <w:pStyle w:val="BookText"/>
      </w:pPr>
      <w:r>
        <w:rPr>
          <w:rFonts w:ascii="IRNazanin" w:hAnsi="IRNazanin" w:eastAsia="IRNazanin" w:cs="IRNazanin"/>
          <w:lang w:bidi="fa-IR"/>
          <w:color w:val="111111"/>
          <w:sz w:val="28"/>
          <w:szCs w:val="28"/>
          <w:rtl/>
        </w:rPr>
        <w:t xml:space="preserve">تهران؛ مجلس؛ شماره نسخه:۷۷۷۵</w:t>
      </w:r>
    </w:p>
    <w:p>
      <w:pPr>
        <w:pStyle w:val="BookText"/>
      </w:pPr>
      <w:r>
        <w:rPr>
          <w:rFonts w:ascii="IRNazanin" w:hAnsi="IRNazanin" w:eastAsia="IRNazanin" w:cs="IRNazanin"/>
          <w:lang w:bidi="fa-IR"/>
          <w:color w:val="111111"/>
          <w:sz w:val="28"/>
          <w:szCs w:val="28"/>
          <w:rtl/>
        </w:rPr>
        <w:t xml:space="preserve">آغاز: دین زرتشت پاکیش مازدیسنی، بنام یزدان مهربان، زردشت یا زرتشت اسم پیشوای پارسیان است که هم یزدان پرست و زردشتی نام دارند؛ انجام: و عدد اهل چین را چهار صد میلیون نفوس گفته اند از این جمله ۲۵۹ میلیون تابع کنفوسیوس اند.</w:t>
      </w:r>
    </w:p>
    <w:p>
      <w:pPr>
        <w:pStyle w:val="BookText"/>
      </w:pPr>
      <w:r>
        <w:rPr>
          <w:rFonts w:ascii="IRNazanin" w:hAnsi="IRNazanin" w:eastAsia="IRNazanin" w:cs="IRNazanin"/>
          <w:lang w:bidi="fa-IR"/>
          <w:color w:val="111111"/>
          <w:sz w:val="28"/>
          <w:szCs w:val="28"/>
          <w:rtl/>
        </w:rPr>
        <w:t xml:space="preserve">خط: نسخ، کا: حبیب الله خان، تا: ربيع الاول ۱۳۳۱ق؛ برای احتشام الدوله سردار؛ با چهار تصویر سیاه قلم از بودا و برهما و کنفوسیوس و زردشت؛ جلد: تیماج سرخ مجدول، ۱۰۷گ، ۲۴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۳۵/۵سم [ف: ۲۶-۲۵۹]</w:t>
      </w:r>
    </w:p>
    <w:p>
      <w:pPr>
        <w:pStyle w:val="Heading3"/>
      </w:pPr>
      <w:bookmarkStart w:id="1994" w:name="_Toc1254"/>
      <w:r>
        <w:t>• تاریخ ادیان و مذاهب قبل و بعد از اسلام (رساله در) / تاریخ / فارسی</w:t>
      </w:r>
      <w:bookmarkEnd w:id="1994"/>
    </w:p>
    <w:p>
      <w:pPr>
        <w:pStyle w:val="BookText"/>
      </w:pPr>
      <w:r>
        <w:rPr>
          <w:rFonts w:ascii="Times New Roman" w:hAnsi="Times New Roman" w:eastAsia="Times New Roman" w:cs="Times New Roman"/>
          <w:lang w:val="en-US" w:bidi="en-US"/>
          <w:color w:val="111111"/>
          <w:sz w:val="28"/>
          <w:szCs w:val="28"/>
          <w:rtl/>
        </w:rPr>
        <w:t xml:space="preserve">tārīx-e adyān va mazāheb qabl va ba'd az eslām (r. dar)</w:t>
      </w:r>
    </w:p>
    <w:p>
      <w:pPr>
        <w:pStyle w:val="BookText"/>
      </w:pPr>
      <w:r>
        <w:rPr>
          <w:rFonts w:ascii="IRNazanin" w:hAnsi="IRNazanin" w:eastAsia="IRNazanin" w:cs="IRNazanin"/>
          <w:lang w:bidi="fa-IR"/>
          <w:color w:val="111111"/>
          <w:sz w:val="28"/>
          <w:szCs w:val="28"/>
          <w:rtl/>
        </w:rPr>
        <w:t xml:space="preserve">مشهد؛ رضوی؛ شماره نسخه: ۲۵۵۶۳</w:t>
      </w:r>
    </w:p>
    <w:p>
      <w:pPr>
        <w:pStyle w:val="BookText"/>
      </w:pPr>
      <w:r>
        <w:rPr>
          <w:rFonts w:ascii="IRNazanin" w:hAnsi="IRNazanin" w:eastAsia="IRNazanin" w:cs="IRNazanin"/>
          <w:lang w:bidi="fa-IR"/>
          <w:color w:val="111111"/>
          <w:sz w:val="28"/>
          <w:szCs w:val="28"/>
          <w:rtl/>
        </w:rPr>
        <w:t xml:space="preserve">آغاز: بسمله. تاریخ ادیان و مذاهب قبل از اسلام و بعد از اسلام؛ انجام: ما همجنان در اول وصف تو مانده ایم</w:t>
      </w:r>
    </w:p>
    <w:p>
      <w:pPr>
        <w:pStyle w:val="BookText"/>
      </w:pPr>
      <w:r>
        <w:rPr>
          <w:rFonts w:ascii="IRNazanin" w:hAnsi="IRNazanin" w:eastAsia="IRNazanin" w:cs="IRNazanin"/>
          <w:lang w:bidi="fa-IR"/>
          <w:color w:val="111111"/>
          <w:sz w:val="28"/>
          <w:szCs w:val="28"/>
          <w:rtl/>
        </w:rPr>
        <w:t xml:space="preserve">خط: نستعلیق، بی کا، بی تا، صورت خط اجازه نامه اجتهاد به واقف در پایان آمده؛ کاغذ: شکری؛ مشقی، جلد: مشمع، ۱۲ سطر ( ۱۲/۳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قطع: خشتی،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سم [رایانه]</w:t>
      </w:r>
    </w:p>
    <w:p>
      <w:pPr>
        <w:pStyle w:val="Heading3"/>
      </w:pPr>
      <w:bookmarkStart w:id="1995" w:name="_Toc1255"/>
      <w:r>
        <w:t>•تاریخ اربل = نباهة البلد الخامل بمن ورده من الأماثل / تاریخ عربی</w:t>
      </w:r>
      <w:bookmarkEnd w:id="1995"/>
    </w:p>
    <w:p>
      <w:pPr>
        <w:pStyle w:val="BookText"/>
      </w:pPr>
      <w:r>
        <w:rPr>
          <w:rFonts w:ascii="Times New Roman" w:hAnsi="Times New Roman" w:eastAsia="Times New Roman" w:cs="Times New Roman"/>
          <w:lang w:val="en-US" w:bidi="en-US"/>
          <w:color w:val="111111"/>
          <w:sz w:val="28"/>
          <w:szCs w:val="28"/>
          <w:rtl/>
        </w:rPr>
        <w:t xml:space="preserve">tārīx-u arbil = nabāhat-ul balad-il xāmil bi-man warada-hu min-al amātil</w:t>
      </w:r>
    </w:p>
    <w:p>
      <w:pPr>
        <w:pStyle w:val="BookText"/>
      </w:pPr>
      <w:r>
        <w:rPr>
          <w:rFonts w:ascii="IRNazanin" w:hAnsi="IRNazanin" w:eastAsia="IRNazanin" w:cs="IRNazanin"/>
          <w:lang w:bidi="fa-IR"/>
          <w:color w:val="111111"/>
          <w:sz w:val="28"/>
          <w:szCs w:val="28"/>
          <w:rtl/>
        </w:rPr>
        <w:t xml:space="preserve">ابن مستوفی، مبارک بن احمد، ۵۶۴-۶۳۷ قمری</w:t>
      </w:r>
    </w:p>
    <w:p>
      <w:pPr>
        <w:pStyle w:val="BookText"/>
      </w:pPr>
      <w:r>
        <w:rPr>
          <w:rFonts w:ascii="Times New Roman" w:hAnsi="Times New Roman" w:eastAsia="Times New Roman" w:cs="Times New Roman"/>
          <w:lang w:val="en-US" w:bidi="en-US"/>
          <w:color w:val="111111"/>
          <w:sz w:val="28"/>
          <w:szCs w:val="28"/>
          <w:rtl/>
        </w:rPr>
        <w:t xml:space="preserve">ebn-e mostawfi, mobārak ebn-e ahmad (1169-1240)</w:t>
      </w:r>
    </w:p>
    <w:p>
      <w:pPr>
        <w:pStyle w:val="BookText"/>
      </w:pPr>
      <w:r>
        <w:rPr>
          <w:rFonts w:ascii="IRNazanin" w:hAnsi="IRNazanin" w:eastAsia="IRNazanin" w:cs="IRNazanin"/>
          <w:lang w:bidi="fa-IR"/>
          <w:color w:val="111111"/>
          <w:sz w:val="28"/>
          <w:szCs w:val="28"/>
          <w:rtl/>
        </w:rPr>
        <w:t xml:space="preserve">کتاب نسبت مفصلی است در چهار جزء در شرح احوال بزرگان و اخبار و صلحاء و محدثین که به اربل وارد شده اند به ترتیب اسماء.</w:t>
      </w:r>
    </w:p>
    <w:p>
      <w:pPr>
        <w:pStyle w:val="BookText"/>
      </w:pPr>
      <w:r>
        <w:rPr>
          <w:rFonts w:ascii="IRNazanin" w:hAnsi="IRNazanin" w:eastAsia="IRNazanin" w:cs="IRNazanin"/>
          <w:lang w:bidi="fa-IR"/>
          <w:color w:val="111111"/>
          <w:sz w:val="28"/>
          <w:szCs w:val="28"/>
          <w:rtl/>
        </w:rPr>
        <w:t xml:space="preserve">چاپ: بغداد، محقق: سامی الصفار، وزارة الثقافة و الاعلام و بیروت، المركز العربي للطباعة و النشر، ۱۹۸۰م.</w:t>
      </w:r>
    </w:p>
    <w:p>
      <w:pPr>
        <w:pStyle w:val="BookText"/>
      </w:pPr>
      <w:r>
        <w:rPr>
          <w:rFonts w:ascii="IRNazanin" w:hAnsi="IRNazanin" w:eastAsia="IRNazanin" w:cs="IRNazanin"/>
          <w:lang w:bidi="fa-IR"/>
          <w:color w:val="111111"/>
          <w:sz w:val="28"/>
          <w:szCs w:val="28"/>
          <w:rtl/>
        </w:rPr>
        <w:t xml:space="preserve">[بروکلمان، ذیل ۴۹۶/۱ ]</w:t>
      </w:r>
    </w:p>
    <w:p>
      <w:pPr>
        <w:pStyle w:val="BookText"/>
      </w:pPr>
      <w:r>
        <w:rPr>
          <w:rFonts w:ascii="IRNazanin" w:hAnsi="IRNazanin" w:eastAsia="IRNazanin" w:cs="IRNazanin"/>
          <w:lang w:bidi="fa-IR"/>
          <w:color w:val="111111"/>
          <w:sz w:val="28"/>
          <w:szCs w:val="28"/>
          <w:rtl/>
        </w:rPr>
        <w:t xml:space="preserve">قم؛ مرعشی؛ شماره نسخه:۷۷۸عکسی</w:t>
      </w:r>
    </w:p>
    <w:p>
      <w:pPr>
        <w:pStyle w:val="BookText"/>
      </w:pPr>
      <w:r>
        <w:rPr>
          <w:rFonts w:ascii="IRNazanin" w:hAnsi="IRNazanin" w:eastAsia="IRNazanin" w:cs="IRNazanin"/>
          <w:lang w:bidi="fa-IR"/>
          <w:color w:val="111111"/>
          <w:sz w:val="28"/>
          <w:szCs w:val="28"/>
          <w:rtl/>
        </w:rPr>
        <w:t xml:space="preserve">آغاز: الفصل الثاني في ذكر الأخيار الصلحاء و المحدثین و المنتسبين بهم، انا ذاكر في هذا الباب المنقطعين إلى الزهادة و الموسومین بالعدالة و المعروفين بالرواية؛ انجام: ابن المكبر ابوالحسن على ... المقدسي البغدادي ... ورد اربل غير مرة و آخرها في رجب من سنة ثمان و عشرین و ستمایه و سافر فيه ثم وردها في رجب من سنة ثلاثين و ستمایه لما هو عليه. نسخه اصل: چستربیتی، ش ۴۰۹۸ (اربری، فهرست خطی عربی ۳۱/۵ ). جزء دوم کتاب، با شرح حال زهاد و عرفا آغاز می شود؛ خط: نسخ، بی کا، تا: شوال ۶۴۱ق؛ مصحح؛ ۲۳۱گ، ۱۹سطر [عکسی ف: ۲-۲۵۶]</w:t>
      </w:r>
    </w:p>
    <w:p>
      <w:pPr>
        <w:pStyle w:val="Heading3"/>
      </w:pPr>
      <w:bookmarkStart w:id="1996" w:name="_Toc1256"/>
      <w:r>
        <w:t>• تاریخ اردستان / جغرافيا / فارسی</w:t>
      </w:r>
      <w:bookmarkEnd w:id="1996"/>
    </w:p>
    <w:p>
      <w:pPr>
        <w:pStyle w:val="BookText"/>
      </w:pPr>
      <w:r>
        <w:rPr>
          <w:rFonts w:ascii="Times New Roman" w:hAnsi="Times New Roman" w:eastAsia="Times New Roman" w:cs="Times New Roman"/>
          <w:lang w:val="en-US" w:bidi="en-US"/>
          <w:color w:val="111111"/>
          <w:sz w:val="28"/>
          <w:szCs w:val="28"/>
          <w:rtl/>
        </w:rPr>
        <w:t xml:space="preserve">tārīx-e ardestān</w:t>
      </w:r>
    </w:p>
    <w:p>
      <w:pPr>
        <w:pStyle w:val="BookText"/>
      </w:pPr>
      <w:r>
        <w:rPr>
          <w:rFonts w:ascii="IRNazanin" w:hAnsi="IRNazanin" w:eastAsia="IRNazanin" w:cs="IRNazanin"/>
          <w:lang w:bidi="fa-IR"/>
          <w:color w:val="111111"/>
          <w:sz w:val="28"/>
          <w:szCs w:val="28"/>
          <w:rtl/>
        </w:rPr>
        <w:t xml:space="preserve">شفیعی اردستانی، مرتضی بن احمد، ق ۱۴ شمسی</w:t>
      </w:r>
    </w:p>
    <w:p>
      <w:pPr>
        <w:pStyle w:val="BookText"/>
      </w:pPr>
      <w:r>
        <w:rPr>
          <w:rFonts w:ascii="Times New Roman" w:hAnsi="Times New Roman" w:eastAsia="Times New Roman" w:cs="Times New Roman"/>
          <w:lang w:val="en-US" w:bidi="en-US"/>
          <w:color w:val="111111"/>
          <w:sz w:val="28"/>
          <w:szCs w:val="28"/>
          <w:rtl/>
        </w:rPr>
        <w:t xml:space="preserve">šafīʻī ardestānī, morteza ebn-e ahmad (-20c)</w:t>
      </w:r>
    </w:p>
    <w:p>
      <w:pPr>
        <w:pStyle w:val="BookText"/>
      </w:pPr>
      <w:r>
        <w:rPr>
          <w:rFonts w:ascii="IRNazanin" w:hAnsi="IRNazanin" w:eastAsia="IRNazanin" w:cs="IRNazanin"/>
          <w:lang w:bidi="fa-IR"/>
          <w:color w:val="111111"/>
          <w:sz w:val="28"/>
          <w:szCs w:val="28"/>
          <w:rtl/>
        </w:rPr>
        <w:t xml:space="preserve">تاريخ تأليف: ۱۳۶۵ ش؛ محل تالیف: تهران شامل اوضاع جغرافیایی و اماکن باستانی و شرح حال امامزادگان و عرفا و حکما و فلاسفه و اطبا و وزرا و معاریف و ریاضیدانان اردستان و حومه آن شهر.</w:t>
      </w:r>
    </w:p>
    <w:p>
      <w:pPr>
        <w:pStyle w:val="BookText"/>
      </w:pPr>
      <w:r>
        <w:rPr>
          <w:rFonts w:ascii="IRNazanin" w:hAnsi="IRNazanin" w:eastAsia="IRNazanin" w:cs="IRNazanin"/>
          <w:lang w:bidi="fa-IR"/>
          <w:color w:val="111111"/>
          <w:sz w:val="28"/>
          <w:szCs w:val="28"/>
          <w:rtl/>
        </w:rPr>
        <w:t xml:space="preserve">قم؛ مرعشی؛ شماره نسخه:۶۷۷۵</w:t>
      </w:r>
    </w:p>
    <w:p>
      <w:pPr>
        <w:pStyle w:val="BookText"/>
      </w:pPr>
      <w:r>
        <w:rPr>
          <w:rFonts w:ascii="IRNazanin" w:hAnsi="IRNazanin" w:eastAsia="IRNazanin" w:cs="IRNazanin"/>
          <w:lang w:bidi="fa-IR"/>
          <w:color w:val="111111"/>
          <w:sz w:val="28"/>
          <w:szCs w:val="28"/>
          <w:rtl/>
        </w:rPr>
        <w:t xml:space="preserve">آغاز: سبحان خالقی که صفاتش ز کبریا *** بر خاک عجز میفکند عقل انبيا خط: نستعلیق، کاتب = مؤلف، بی تا؛ مجدول؛ جلد: تیماج قهوه ای، ۹۹گ، مختلف السطر، اندازه: ۲۰/۵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[ف:۱۷-۳۱۹]</w:t>
      </w:r>
    </w:p>
    <w:p>
      <w:pPr>
        <w:pStyle w:val="Heading3"/>
      </w:pPr>
      <w:bookmarkStart w:id="1997" w:name="_Toc1257"/>
      <w:r>
        <w:t>• تاریخ اروپا / تاریخ / فارسی</w:t>
      </w:r>
      <w:bookmarkEnd w:id="1997"/>
    </w:p>
    <w:p>
      <w:pPr>
        <w:pStyle w:val="BookText"/>
      </w:pPr>
      <w:r>
        <w:rPr>
          <w:rFonts w:ascii="Times New Roman" w:hAnsi="Times New Roman" w:eastAsia="Times New Roman" w:cs="Times New Roman"/>
          <w:lang w:val="en-US" w:bidi="en-US"/>
          <w:color w:val="111111"/>
          <w:sz w:val="28"/>
          <w:szCs w:val="28"/>
          <w:rtl/>
        </w:rPr>
        <w:t xml:space="preserve">tārīx-e orūpā</w:t>
      </w:r>
    </w:p>
    <w:p>
      <w:pPr>
        <w:pStyle w:val="BookText"/>
      </w:pPr>
      <w:r>
        <w:rPr>
          <w:rFonts w:ascii="IRNazanin" w:hAnsi="IRNazanin" w:eastAsia="IRNazanin" w:cs="IRNazanin"/>
          <w:lang w:bidi="fa-IR"/>
          <w:color w:val="111111"/>
          <w:sz w:val="28"/>
          <w:szCs w:val="28"/>
          <w:rtl/>
        </w:rPr>
        <w:t xml:space="preserve">در تاریخ کشورهای اروپایی و روابط فیمابین در قرن هفدهم میلادی.</w:t>
      </w:r>
    </w:p>
    <w:p>
      <w:pPr>
        <w:pStyle w:val="BookText"/>
      </w:pPr>
      <w:r>
        <w:rPr>
          <w:rFonts w:ascii="IRNazanin" w:hAnsi="IRNazanin" w:eastAsia="IRNazanin" w:cs="IRNazanin"/>
          <w:lang w:bidi="fa-IR"/>
          <w:color w:val="111111"/>
          <w:sz w:val="28"/>
          <w:szCs w:val="28"/>
          <w:rtl/>
        </w:rPr>
        <w:t xml:space="preserve">قم؛ مسجد اعظم؛ شماره نسخه: ۱۹۷۰</w:t>
      </w:r>
    </w:p>
    <w:p>
      <w:pPr>
        <w:pStyle w:val="BookText"/>
      </w:pPr>
      <w:r>
        <w:rPr>
          <w:rFonts w:ascii="IRNazanin" w:hAnsi="IRNazanin" w:eastAsia="IRNazanin" w:cs="IRNazanin"/>
          <w:lang w:bidi="fa-IR"/>
          <w:color w:val="111111"/>
          <w:sz w:val="28"/>
          <w:szCs w:val="28"/>
          <w:rtl/>
        </w:rPr>
        <w:t xml:space="preserve">آغاز: تشکیل حکومت مقتدر در فرانسه: (۱۶۶۰-۱۶۰۳) از مرگ الیزابت ملکه انگلستان ۱۶۰۳ تا صلح میرنه ۱۶۶۰ یعنی کمتر از ۶۰ سال سیاست اروپا بلکه سیاست جهان؛ انجام: با تمام این تفاصيل انگلیس در تمام مراحل مستعمراتی و بازرگانی از آنهایی که در میان هلندیها ... استفاده کرده اساس را بر روی آن بنا نموده بازرگانان انگلیسی تقلید از هلندیها در صورت امکان جلو افتادن از آنها بود</w:t>
      </w:r>
    </w:p>
    <w:p>
      <w:pPr>
        <w:pStyle w:val="BookText"/>
      </w:pPr>
      <w:r>
        <w:rPr>
          <w:rFonts w:ascii="IRNazanin" w:hAnsi="IRNazanin" w:eastAsia="IRNazanin" w:cs="IRNazanin"/>
          <w:lang w:bidi="fa-IR"/>
          <w:color w:val="111111"/>
          <w:sz w:val="28"/>
          <w:szCs w:val="28"/>
          <w:rtl/>
        </w:rPr>
        <w:t xml:space="preserve">خط: نستعلیق شکسته، بی کا، بی تا، مجدول؛ جلد: تیماج زرشکی عطف پارچه مجدول، ۱۰۱گ، ۱۸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مخ: ۱-۳۱۴]</w:t>
      </w:r>
    </w:p>
    <w:p>
      <w:pPr>
        <w:pStyle w:val="Heading3"/>
      </w:pPr>
      <w:bookmarkStart w:id="1998" w:name="_Toc1258"/>
      <w:r>
        <w:t>•تاریخ اروپا در قرن نوزدهم م. / تاریخ / فارسی</w:t>
      </w:r>
      <w:bookmarkEnd w:id="1998"/>
    </w:p>
    <w:p>
      <w:pPr>
        <w:pStyle w:val="BookText"/>
      </w:pPr>
      <w:r>
        <w:rPr>
          <w:rFonts w:ascii="Times New Roman" w:hAnsi="Times New Roman" w:eastAsia="Times New Roman" w:cs="Times New Roman"/>
          <w:lang w:val="en-US" w:bidi="en-US"/>
          <w:color w:val="111111"/>
          <w:sz w:val="28"/>
          <w:szCs w:val="28"/>
          <w:rtl/>
        </w:rPr>
        <w:t xml:space="preserve">tārīx-e orūpā dar qarn-e nūzdahum m.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374" w:name="pg20363_209658"/>
    <w:bookmarkEnd w:id="374"/>
    <w:p>
      <w:pPr>
        <w:pStyle w:val="BookText"/>
      </w:pPr>
      <w:r>
        <w:rPr>
          <w:rFonts w:ascii="IRNazanin" w:hAnsi="IRNazanin" w:eastAsia="IRNazanin" w:cs="IRNazanin"/>
          <w:lang w:bidi="fa-IR"/>
          <w:color w:val="111111"/>
          <w:sz w:val="28"/>
          <w:szCs w:val="28"/>
          <w:rtl/>
        </w:rPr>
        <w:t xml:space="preserve">مشتمل بر چهار «باب»: ۱. مشتمل بر چند «فصل»: ۱) حاوی جنگ ایران و روس در فتحعلی شاه، ۲) رابطه عثمانی با همسایه و روابط دول بزرگ همسایه عثمانی، ۳) رابطه عثمانی با روسیه در اواخر قرن نوزدهم میلادی، ۴) بقیه روابط عثمانی با دول همسایه؛ ۲. در چهار فصل»: ۱) اوضاع روسیه در قرن نوزدهم، ۲) مسأله شرقی، ۳) وضع انگلیس و روسیه و اطریش و مجارستان و فرانسه، ۴) وضع عثمانی و دول همسایه در اواسط قرن نوزدهم؛ ۳. در سه فصل»: ۱) (در متن به دست نیامد)، ۲) درباره تصمیمات روسیه درباره بابعالی و عکس العمل دول بزرگ درباره این تصمیمات، ۳) جنگ روسیه و عثمانی؛ ۴ فصل اول حاوی جنگی روسیه و عثمانی و عملیات فرانسویان و انگلیس ها.</w:t>
      </w:r>
    </w:p>
    <w:p>
      <w:pPr>
        <w:pStyle w:val="BookText"/>
      </w:pPr>
      <w:r>
        <w:rPr>
          <w:rFonts w:ascii="IRNazanin" w:hAnsi="IRNazanin" w:eastAsia="IRNazanin" w:cs="IRNazanin"/>
          <w:lang w:bidi="fa-IR"/>
          <w:color w:val="111111"/>
          <w:sz w:val="28"/>
          <w:szCs w:val="28"/>
          <w:rtl/>
        </w:rPr>
        <w:t xml:space="preserve">تهران؛ ملی؛ شماره نسخه: ۲۳۳۰</w:t>
      </w:r>
    </w:p>
    <w:p>
      <w:pPr>
        <w:pStyle w:val="BookText"/>
      </w:pPr>
      <w:r>
        <w:rPr>
          <w:rFonts w:ascii="IRNazanin" w:hAnsi="IRNazanin" w:eastAsia="IRNazanin" w:cs="IRNazanin"/>
          <w:lang w:bidi="fa-IR"/>
          <w:color w:val="111111"/>
          <w:sz w:val="28"/>
          <w:szCs w:val="28"/>
          <w:rtl/>
        </w:rPr>
        <w:t xml:space="preserve">آغاز: بسمله، اجمال مطالب جلوس نیکلا عصيان عسکریه؛ انجام: و اروپا بعد از چهل سال صلح عمومی دوباره مبتلا ببلای عظیمی گردید</w:t>
      </w:r>
    </w:p>
    <w:p>
      <w:pPr>
        <w:pStyle w:val="BookText"/>
      </w:pPr>
      <w:r>
        <w:rPr>
          <w:rFonts w:ascii="IRNazanin" w:hAnsi="IRNazanin" w:eastAsia="IRNazanin" w:cs="IRNazanin"/>
          <w:lang w:bidi="fa-IR"/>
          <w:color w:val="111111"/>
          <w:sz w:val="28"/>
          <w:szCs w:val="28"/>
          <w:rtl/>
        </w:rPr>
        <w:t xml:space="preserve">خط: شکسته نستعلیق، بی کا، تا: قرن ۱۳، جا: طهران؛ با سرلوح مذهب، مجدول؛ کاغذ: فرنگی، جلد: ماشی مقوایی، ۱۶۱گ، ۱۷سطر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۵-۴۵۰</w:t>
      </w:r>
    </w:p>
    <w:p>
      <w:pPr>
        <w:pStyle w:val="Heading3"/>
      </w:pPr>
      <w:bookmarkStart w:id="1999" w:name="_Toc1259"/>
      <w:r>
        <w:t>• تاریخ اروپا و روسیه / تاریخ / فارسی</w:t>
      </w:r>
      <w:bookmarkEnd w:id="1999"/>
    </w:p>
    <w:p>
      <w:pPr>
        <w:pStyle w:val="BookText"/>
      </w:pPr>
      <w:r>
        <w:rPr>
          <w:rFonts w:ascii="Times New Roman" w:hAnsi="Times New Roman" w:eastAsia="Times New Roman" w:cs="Times New Roman"/>
          <w:lang w:val="en-US" w:bidi="en-US"/>
          <w:color w:val="111111"/>
          <w:sz w:val="28"/>
          <w:szCs w:val="28"/>
          <w:rtl/>
        </w:rPr>
        <w:t xml:space="preserve">tārīx-e orūpā va rūsīye</w:t>
      </w:r>
    </w:p>
    <w:p>
      <w:pPr>
        <w:pStyle w:val="BookText"/>
      </w:pPr>
      <w:r>
        <w:rPr>
          <w:rFonts w:ascii="IRNazanin" w:hAnsi="IRNazanin" w:eastAsia="IRNazanin" w:cs="IRNazanin"/>
          <w:lang w:bidi="fa-IR"/>
          <w:color w:val="111111"/>
          <w:sz w:val="28"/>
          <w:szCs w:val="28"/>
          <w:rtl/>
        </w:rPr>
        <w:t xml:space="preserve">شرخ مختصری درباره کشورهای اروپایی و روسیه و چگونگی تشکیل آن کشورها</w:t>
      </w:r>
    </w:p>
    <w:p>
      <w:pPr>
        <w:pStyle w:val="BookText"/>
      </w:pPr>
      <w:r>
        <w:rPr>
          <w:rFonts w:ascii="IRNazanin" w:hAnsi="IRNazanin" w:eastAsia="IRNazanin" w:cs="IRNazanin"/>
          <w:lang w:bidi="fa-IR"/>
          <w:color w:val="111111"/>
          <w:sz w:val="28"/>
          <w:szCs w:val="28"/>
          <w:rtl/>
        </w:rPr>
        <w:t xml:space="preserve">قم؛ مسجد اعظم، شماره نسخه:۱۲۴۱</w:t>
      </w:r>
    </w:p>
    <w:p>
      <w:pPr>
        <w:pStyle w:val="BookText"/>
      </w:pPr>
      <w:r>
        <w:rPr>
          <w:rFonts w:ascii="IRNazanin" w:hAnsi="IRNazanin" w:eastAsia="IRNazanin" w:cs="IRNazanin"/>
          <w:lang w:bidi="fa-IR"/>
          <w:color w:val="111111"/>
          <w:sz w:val="28"/>
          <w:szCs w:val="28"/>
          <w:rtl/>
        </w:rPr>
        <w:t xml:space="preserve">آغاز: بسم الله تعالی. در شرح مملکت فرانسه و کیفیت آن. لفظ فرانسه مشتق است از فرانک انجام: خط تلگراف ۵۰۰ فرسنگ. 1 متر نقدورن وطول وغيره مثل فرانسه است ولی به عوض فرانک، (حلی ) معروف است</w:t>
      </w:r>
    </w:p>
    <w:p>
      <w:pPr>
        <w:pStyle w:val="BookText"/>
      </w:pPr>
      <w:r>
        <w:rPr>
          <w:rFonts w:ascii="IRNazanin" w:hAnsi="IRNazanin" w:eastAsia="IRNazanin" w:cs="IRNazanin"/>
          <w:lang w:bidi="fa-IR"/>
          <w:color w:val="111111"/>
          <w:sz w:val="28"/>
          <w:szCs w:val="28"/>
          <w:rtl/>
        </w:rPr>
        <w:t xml:space="preserve">خط: نستعلیق و تحریری، بی کا، بی تا، مطلب ناتمام؛ جلد: مقوا، ۱۲۳گ، مختلف السطر،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مخ: ۱-۳۰۳)</w:t>
      </w:r>
    </w:p>
    <w:p>
      <w:pPr>
        <w:pStyle w:val="Heading3"/>
      </w:pPr>
      <w:bookmarkStart w:id="2000" w:name="_Toc1260"/>
      <w:r>
        <w:t>• تاریخ اروپا و هندوستان / تاریخ جهان / فارسی</w:t>
      </w:r>
      <w:bookmarkEnd w:id="2000"/>
    </w:p>
    <w:p>
      <w:pPr>
        <w:pStyle w:val="BookText"/>
      </w:pPr>
      <w:r>
        <w:rPr>
          <w:rFonts w:ascii="Times New Roman" w:hAnsi="Times New Roman" w:eastAsia="Times New Roman" w:cs="Times New Roman"/>
          <w:lang w:val="en-US" w:bidi="en-US"/>
          <w:color w:val="111111"/>
          <w:sz w:val="28"/>
          <w:szCs w:val="28"/>
          <w:rtl/>
        </w:rPr>
        <w:t xml:space="preserve">tārīx-e orūpā va hendūstān</w:t>
      </w:r>
    </w:p>
    <w:p>
      <w:pPr>
        <w:pStyle w:val="BookText"/>
      </w:pPr>
      <w:r>
        <w:rPr>
          <w:rFonts w:ascii="IRNazanin" w:hAnsi="IRNazanin" w:eastAsia="IRNazanin" w:cs="IRNazanin"/>
          <w:lang w:bidi="fa-IR"/>
          <w:color w:val="111111"/>
          <w:sz w:val="28"/>
          <w:szCs w:val="28"/>
          <w:rtl/>
        </w:rPr>
        <w:t xml:space="preserve">گزیده ای است از ترجمه تاریخ اروپا و اندکی از تاریخ هند، اصل تاریخ به زبان انگلیسی بوده و کاپیتان جوناتان (جونا تهان) اسکوت بهادر آن را به زبان فارسی برگردانده، مؤلف رساله</w:t>
      </w:r>
    </w:p>
    <w:p>
      <w:pPr>
        <w:pStyle w:val="BookText"/>
      </w:pPr>
      <w:r>
        <w:rPr>
          <w:rFonts w:ascii="IRNazanin" w:hAnsi="IRNazanin" w:eastAsia="IRNazanin" w:cs="IRNazanin"/>
          <w:lang w:bidi="fa-IR"/>
          <w:color w:val="111111"/>
          <w:sz w:val="28"/>
          <w:szCs w:val="28"/>
          <w:rtl/>
        </w:rPr>
        <w:t xml:space="preserve">حاضر گزیده ای از آن را آورده است، شامل احوال خليفه پاپا، نورالدین محمد جهانگیر، محمد اورنگ زیب و دیگران و به سال ۱۱۹۸ق در سفر بنگاله در منزل راج محل بنا به فرمایش مستر جان به پایان برده است در آغاز نسخه با خطی غیر خط متن به عنوان (تاریخ سکهان) یا سیکها آمده و ظاهرة ارتباطی با این موضوع ندارد.</w:t>
      </w:r>
    </w:p>
    <w:p>
      <w:pPr>
        <w:pStyle w:val="BookText"/>
      </w:pPr>
      <w:r>
        <w:rPr>
          <w:rFonts w:ascii="IRNazanin" w:hAnsi="IRNazanin" w:eastAsia="IRNazanin" w:cs="IRNazanin"/>
          <w:lang w:bidi="fa-IR"/>
          <w:color w:val="111111"/>
          <w:sz w:val="28"/>
          <w:szCs w:val="28"/>
          <w:rtl/>
        </w:rPr>
        <w:t xml:space="preserve">قم؛ مرعشی؛ شماره نسخه: ۱۳۶۶۴/۱</w:t>
      </w:r>
    </w:p>
    <w:p>
      <w:pPr>
        <w:pStyle w:val="BookText"/>
      </w:pPr>
      <w:r>
        <w:rPr>
          <w:rFonts w:ascii="IRNazanin" w:hAnsi="IRNazanin" w:eastAsia="IRNazanin" w:cs="IRNazanin"/>
          <w:lang w:bidi="fa-IR"/>
          <w:color w:val="111111"/>
          <w:sz w:val="28"/>
          <w:szCs w:val="28"/>
          <w:rtl/>
        </w:rPr>
        <w:t xml:space="preserve">آغاز: بحمد و تصلی و تسلم، اما بعد، بر مطالعه کنندگان این رساله که ترجمه کتب تاریخ انگریزیست و اهل صاحب ترجیمه صاحب و الأمناقب ... کپتان جونانهان اسکوت بهادر دام اقباله است که در فارسی نموده و محرر این سطور از آن ترجیمه نقل کرده پوشیده نماند که بعضی از آن؛ انجام: قدم جرأت پیش نهادند چنانچه نیز ظاهر است و احتیاج بیان ندارد</w:t>
      </w:r>
    </w:p>
    <w:p>
      <w:pPr>
        <w:pStyle w:val="BookText"/>
      </w:pPr>
      <w:r>
        <w:rPr>
          <w:rFonts w:ascii="IRNazanin" w:hAnsi="IRNazanin" w:eastAsia="IRNazanin" w:cs="IRNazanin"/>
          <w:lang w:bidi="fa-IR"/>
          <w:color w:val="111111"/>
          <w:sz w:val="28"/>
          <w:szCs w:val="28"/>
          <w:rtl/>
        </w:rPr>
        <w:t xml:space="preserve">خط: نستعلیق، کا: دیال سنگه (سکه)، تا: ۲۶ جمادی الاول ۱۲۳۳ق، جا: کانپور هند؛ مصحح، دارای سرلوح، مجدول، ظاهرة مقابله شده؛ تاریخ تملکی به سال ۱۲۷۱؛ کاغذ: شرقی، ۳۸گ (۱- ۳۸)، ۱۳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سم [ف: ۳۴-۵۵۹]</w:t>
      </w:r>
    </w:p>
    <w:p>
      <w:pPr>
        <w:pStyle w:val="Heading3"/>
      </w:pPr>
      <w:bookmarkStart w:id="2001" w:name="_Toc1261"/>
      <w:r>
        <w:t>• تاریخ اروپای حاضر / تاریخ / فارسی</w:t>
      </w:r>
      <w:bookmarkEnd w:id="2001"/>
    </w:p>
    <w:p>
      <w:pPr>
        <w:pStyle w:val="BookText"/>
      </w:pPr>
      <w:r>
        <w:rPr>
          <w:rFonts w:ascii="Times New Roman" w:hAnsi="Times New Roman" w:eastAsia="Times New Roman" w:cs="Times New Roman"/>
          <w:lang w:val="en-US" w:bidi="en-US"/>
          <w:color w:val="111111"/>
          <w:sz w:val="28"/>
          <w:szCs w:val="28"/>
          <w:rtl/>
        </w:rPr>
        <w:t xml:space="preserve">tārīx-e orūpā-ye hāzer</w:t>
      </w:r>
    </w:p>
    <w:p>
      <w:pPr>
        <w:pStyle w:val="BookText"/>
      </w:pPr>
      <w:r>
        <w:rPr>
          <w:rFonts w:ascii="IRNazanin" w:hAnsi="IRNazanin" w:eastAsia="IRNazanin" w:cs="IRNazanin"/>
          <w:lang w:bidi="fa-IR"/>
          <w:color w:val="111111"/>
          <w:sz w:val="28"/>
          <w:szCs w:val="28"/>
          <w:rtl/>
        </w:rPr>
        <w:t xml:space="preserve">مختصری است در تاریخ معاصر اروپا از انقلاب فرانسه تا شکست ناپلئون و قضایای دیگر.</w:t>
      </w:r>
    </w:p>
    <w:p>
      <w:pPr>
        <w:pStyle w:val="BookText"/>
      </w:pPr>
      <w:r>
        <w:rPr>
          <w:rFonts w:ascii="IRNazanin" w:hAnsi="IRNazanin" w:eastAsia="IRNazanin" w:cs="IRNazanin"/>
          <w:lang w:bidi="fa-IR"/>
          <w:color w:val="111111"/>
          <w:sz w:val="28"/>
          <w:szCs w:val="28"/>
          <w:rtl/>
        </w:rPr>
        <w:t xml:space="preserve">قم، مسجد اعظم، شماره نسخه: ۷۴۷/۱۲</w:t>
      </w:r>
    </w:p>
    <w:p>
      <w:pPr>
        <w:pStyle w:val="BookText"/>
      </w:pPr>
      <w:r>
        <w:rPr>
          <w:rFonts w:ascii="IRNazanin" w:hAnsi="IRNazanin" w:eastAsia="IRNazanin" w:cs="IRNazanin"/>
          <w:lang w:bidi="fa-IR"/>
          <w:color w:val="111111"/>
          <w:sz w:val="28"/>
          <w:szCs w:val="28"/>
          <w:rtl/>
        </w:rPr>
        <w:t xml:space="preserve">آغاز: در اثر تبلیغات مذهبی و تفسیر عقاید از استبداد اطاعت به پاپ ملاحظه نمودیم که وسائل ترویج ... فراهم گردد؛ انجام: اولین ملاقات در روی رودخانه، ۲۵ ژوئن در ... ۲۰ روز ملاقات دوستانه ... شاه پروس را ... رفتار شاه پروس را به طور واضح نفهمیده اند خط: نستعلیق، بی کا، بی تا، جلد: مقوا، عطف تیماج زرشکی، ۶۲گ، اندازه: ۲۰۱۶سم [ف مخ: ۱-۳۰۳]</w:t>
      </w:r>
    </w:p>
    <w:p>
      <w:pPr>
        <w:pStyle w:val="Heading3"/>
      </w:pPr>
      <w:bookmarkStart w:id="2002" w:name="_Toc1262"/>
      <w:r>
        <w:t>• تاریخ از آدم تا سال ۹۵۸ بطور سالشماری / تاریخ / فارسی</w:t>
      </w:r>
      <w:bookmarkEnd w:id="2002"/>
    </w:p>
    <w:p>
      <w:pPr>
        <w:pStyle w:val="BookText"/>
      </w:pPr>
      <w:r>
        <w:rPr>
          <w:rFonts w:ascii="Times New Roman" w:hAnsi="Times New Roman" w:eastAsia="Times New Roman" w:cs="Times New Roman"/>
          <w:lang w:val="en-US" w:bidi="en-US"/>
          <w:color w:val="111111"/>
          <w:sz w:val="28"/>
          <w:szCs w:val="28"/>
          <w:rtl/>
        </w:rPr>
        <w:t xml:space="preserve">tarix az adam ta sal-e </w:t>
      </w:r>
      <w:r>
        <w:rPr>
          <w:rFonts w:ascii="IRNazanin" w:hAnsi="IRNazanin" w:eastAsia="IRNazanin" w:cs="IRNazanin"/>
          <w:lang w:bidi="fa-IR"/>
          <w:color w:val="111111"/>
          <w:sz w:val="28"/>
          <w:szCs w:val="28"/>
          <w:rtl/>
        </w:rPr>
        <w:t xml:space="preserve">۹۵۸ </w:t>
      </w:r>
      <w:r>
        <w:rPr>
          <w:rFonts w:ascii="Times New Roman" w:hAnsi="Times New Roman" w:eastAsia="Times New Roman" w:cs="Times New Roman"/>
          <w:lang w:val="en-US" w:bidi="en-US"/>
          <w:color w:val="111111"/>
          <w:sz w:val="28"/>
          <w:szCs w:val="28"/>
          <w:rtl/>
        </w:rPr>
        <w:t xml:space="preserve">be-towr-e sal-Somari</w:t>
      </w:r>
    </w:p>
    <w:p>
      <w:pPr>
        <w:pStyle w:val="BookText"/>
      </w:pPr>
      <w:r>
        <w:rPr>
          <w:rFonts w:ascii="IRNazanin" w:hAnsi="IRNazanin" w:eastAsia="IRNazanin" w:cs="IRNazanin"/>
          <w:lang w:bidi="fa-IR"/>
          <w:color w:val="111111"/>
          <w:sz w:val="28"/>
          <w:szCs w:val="28"/>
          <w:rtl/>
        </w:rPr>
        <w:t xml:space="preserve">تهران؛ دانشگاه؛ شماره نسخه:۱۲۳۶/۴ و ۱۳۳۸/۴ -ف</w:t>
      </w:r>
    </w:p>
    <w:p>
      <w:pPr>
        <w:pStyle w:val="BookText"/>
      </w:pPr>
      <w:r>
        <w:rPr>
          <w:rFonts w:ascii="IRNazanin" w:hAnsi="IRNazanin" w:eastAsia="IRNazanin" w:cs="IRNazanin"/>
          <w:lang w:bidi="fa-IR"/>
          <w:color w:val="111111"/>
          <w:sz w:val="28"/>
          <w:szCs w:val="28"/>
          <w:rtl/>
        </w:rPr>
        <w:t xml:space="preserve">نسخه اصل: بادلیان .۶۹</w:t>
      </w:r>
      <w:r>
        <w:rPr>
          <w:rFonts w:ascii="Times New Roman" w:hAnsi="Times New Roman" w:eastAsia="Times New Roman" w:cs="Times New Roman"/>
          <w:lang w:val="en-US" w:bidi="en-US"/>
          <w:color w:val="111111"/>
          <w:sz w:val="28"/>
          <w:szCs w:val="28"/>
          <w:rtl/>
        </w:rPr>
        <w:t xml:space="preserve">Add </w:t>
      </w:r>
      <w:r>
        <w:rPr>
          <w:rFonts w:ascii="IRNazanin" w:hAnsi="IRNazanin" w:eastAsia="IRNazanin" w:cs="IRNazanin"/>
          <w:lang w:bidi="fa-IR"/>
          <w:color w:val="111111"/>
          <w:sz w:val="28"/>
          <w:szCs w:val="28"/>
          <w:rtl/>
        </w:rPr>
        <w:t xml:space="preserve">اوزلی (ش ۱۲۴۱)؛ بی کا، بی تا [فیلمها ف: ۱-۵۸۲]</w:t>
      </w:r>
    </w:p>
    <w:p>
      <w:pPr>
        <w:pStyle w:val="Heading3"/>
      </w:pPr>
      <w:bookmarkStart w:id="2003" w:name="_Toc1263"/>
      <w:r>
        <w:t>•تاریخ ازمنه قديمه شرق و یونان و روم / تاریخ جهان / فارسی</w:t>
      </w:r>
      <w:bookmarkEnd w:id="2003"/>
    </w:p>
    <w:p>
      <w:pPr>
        <w:pStyle w:val="BookText"/>
      </w:pPr>
      <w:r>
        <w:rPr>
          <w:rFonts w:ascii="Times New Roman" w:hAnsi="Times New Roman" w:eastAsia="Times New Roman" w:cs="Times New Roman"/>
          <w:lang w:val="en-US" w:bidi="en-US"/>
          <w:color w:val="111111"/>
          <w:sz w:val="28"/>
          <w:szCs w:val="28"/>
          <w:rtl/>
        </w:rPr>
        <w:t xml:space="preserve">tārīx-e azmane-ye qadīme-ye šarq va yūnān va rūm</w:t>
      </w:r>
    </w:p>
    <w:p>
      <w:pPr>
        <w:pStyle w:val="BookText"/>
      </w:pPr>
      <w:r>
        <w:rPr>
          <w:rFonts w:ascii="IRNazanin" w:hAnsi="IRNazanin" w:eastAsia="IRNazanin" w:cs="IRNazanin"/>
          <w:lang w:bidi="fa-IR"/>
          <w:color w:val="111111"/>
          <w:sz w:val="28"/>
          <w:szCs w:val="28"/>
          <w:rtl/>
        </w:rPr>
        <w:t xml:space="preserve">یک دوره تاریخ مفصل مصر کلده و آشور و بنی اسرائیل و جغرافیای آن نواحی را به دست می دهد و در آن از جغرافيا و تاریخ یونان و روم نیز به تفصیل سخن رفته و علاوه بر آن حاوی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375" w:name="pg20363_209659"/>
    <w:bookmarkEnd w:id="375"/>
    <w:p>
      <w:pPr>
        <w:pStyle w:val="BookText"/>
      </w:pPr>
      <w:r>
        <w:rPr>
          <w:rFonts w:ascii="IRNazanin" w:hAnsi="IRNazanin" w:eastAsia="IRNazanin" w:cs="IRNazanin"/>
          <w:lang w:bidi="fa-IR"/>
          <w:color w:val="111111"/>
          <w:sz w:val="28"/>
          <w:szCs w:val="28"/>
          <w:rtl/>
        </w:rPr>
        <w:t xml:space="preserve">مباحثی چند از اوضاع اجتماعی این کشورهاست.</w:t>
      </w:r>
    </w:p>
    <w:p>
      <w:pPr>
        <w:pStyle w:val="BookText"/>
      </w:pPr>
      <w:r>
        <w:rPr>
          <w:rFonts w:ascii="IRNazanin" w:hAnsi="IRNazanin" w:eastAsia="IRNazanin" w:cs="IRNazanin"/>
          <w:lang w:bidi="fa-IR"/>
          <w:color w:val="111111"/>
          <w:sz w:val="28"/>
          <w:szCs w:val="28"/>
          <w:rtl/>
        </w:rPr>
        <w:t xml:space="preserve">آغاز: از منه قديمه شرق-یونان-روم، فصل اور مصریها و مذهب آنها، مصر و نیل. مصر در زاویه شمال شرقی افریقا واقع و مجاور است. [فهرستواره منزوی ۵۷۱/۱ ]</w:t>
      </w:r>
    </w:p>
    <w:p>
      <w:pPr>
        <w:pStyle w:val="BookText"/>
      </w:pPr>
      <w:r>
        <w:rPr>
          <w:rFonts w:ascii="IRNazanin" w:hAnsi="IRNazanin" w:eastAsia="IRNazanin" w:cs="IRNazanin"/>
          <w:lang w:bidi="fa-IR"/>
          <w:color w:val="111111"/>
          <w:sz w:val="28"/>
          <w:szCs w:val="28"/>
          <w:rtl/>
        </w:rPr>
        <w:t xml:space="preserve">تهران؛ ملی؛ شماره نسخه:۱۰۲۷</w:t>
      </w:r>
    </w:p>
    <w:p>
      <w:pPr>
        <w:pStyle w:val="BookText"/>
      </w:pPr>
      <w:r>
        <w:rPr>
          <w:rFonts w:ascii="IRNazanin" w:hAnsi="IRNazanin" w:eastAsia="IRNazanin" w:cs="IRNazanin"/>
          <w:lang w:bidi="fa-IR"/>
          <w:color w:val="111111"/>
          <w:sz w:val="28"/>
          <w:szCs w:val="28"/>
          <w:rtl/>
        </w:rPr>
        <w:t xml:space="preserve">آغاز: برابر؛ انجام: در پول، نوموس ارئوس (طلا)، ۲۶۰۵۷. كا: نستعلیق نسبة خوش، تا: قرن ۱۴؛ محشی؛ کاغذ: فرنگی، جلد: کاغذ قرمز عطف پارچه سیاه، ۲۹۸گ، ۱۵سطر(۱۰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۳-۳۲]</w:t>
      </w:r>
    </w:p>
    <w:p>
      <w:pPr>
        <w:pStyle w:val="Heading3"/>
      </w:pPr>
      <w:bookmarkStart w:id="2004" w:name="_Toc1264"/>
      <w:r>
        <w:t>• تاریخ اسپانیا و پرتقال / تاریخ / فارسی</w:t>
      </w:r>
      <w:bookmarkEnd w:id="2004"/>
    </w:p>
    <w:p>
      <w:pPr>
        <w:pStyle w:val="BookText"/>
      </w:pPr>
      <w:r>
        <w:rPr>
          <w:rFonts w:ascii="Times New Roman" w:hAnsi="Times New Roman" w:eastAsia="Times New Roman" w:cs="Times New Roman"/>
          <w:lang w:val="en-US" w:bidi="en-US"/>
          <w:color w:val="111111"/>
          <w:sz w:val="28"/>
          <w:szCs w:val="28"/>
          <w:rtl/>
        </w:rPr>
        <w:t xml:space="preserve">tārīx-e espānīyā va porteqāl</w:t>
      </w:r>
    </w:p>
    <w:p>
      <w:pPr>
        <w:pStyle w:val="BookText"/>
      </w:pPr>
      <w:r>
        <w:rPr>
          <w:rFonts w:ascii="IRNazanin" w:hAnsi="IRNazanin" w:eastAsia="IRNazanin" w:cs="IRNazanin"/>
          <w:lang w:bidi="fa-IR"/>
          <w:color w:val="111111"/>
          <w:sz w:val="28"/>
          <w:szCs w:val="28"/>
          <w:rtl/>
        </w:rPr>
        <w:t xml:space="preserve">گروسی، عیسی، ق۱۳ قمری</w:t>
      </w:r>
    </w:p>
    <w:p>
      <w:pPr>
        <w:pStyle w:val="BookText"/>
      </w:pPr>
      <w:r>
        <w:rPr>
          <w:rFonts w:ascii="Times New Roman" w:hAnsi="Times New Roman" w:eastAsia="Times New Roman" w:cs="Times New Roman"/>
          <w:lang w:val="en-US" w:bidi="en-US"/>
          <w:color w:val="111111"/>
          <w:sz w:val="28"/>
          <w:szCs w:val="28"/>
          <w:rtl/>
        </w:rPr>
        <w:t xml:space="preserve">garrūsī, ‘īsā (-19c)</w:t>
      </w:r>
    </w:p>
    <w:p>
      <w:pPr>
        <w:pStyle w:val="BookText"/>
      </w:pPr>
      <w:r>
        <w:rPr>
          <w:rFonts w:ascii="IRNazanin" w:hAnsi="IRNazanin" w:eastAsia="IRNazanin" w:cs="IRNazanin"/>
          <w:lang w:bidi="fa-IR"/>
          <w:color w:val="111111"/>
          <w:sz w:val="28"/>
          <w:szCs w:val="28"/>
          <w:rtl/>
        </w:rPr>
        <w:t xml:space="preserve">اهداء به: ناصرالدین شاه</w:t>
      </w:r>
    </w:p>
    <w:p>
      <w:pPr>
        <w:pStyle w:val="BookText"/>
      </w:pPr>
      <w:r>
        <w:rPr>
          <w:rFonts w:ascii="IRNazanin" w:hAnsi="IRNazanin" w:eastAsia="IRNazanin" w:cs="IRNazanin"/>
          <w:lang w:bidi="fa-IR"/>
          <w:color w:val="111111"/>
          <w:sz w:val="28"/>
          <w:szCs w:val="28"/>
          <w:rtl/>
        </w:rPr>
        <w:t xml:space="preserve">تاریخ تأليف: ۱۳۰۱ ق تاریخ و جغرافیای اسپانیا و پرتقال است و در آن نویسنده بعد از بحث در مطالب جغرافیایی این دو ناحیه به تاریخ شاهان این دو ناحیه می پردازد و پادشاهان آن دو کشور را شرح می دهد تا به سلطنت شارل چهارم (حدود قرن نوزدهم) می رسد. این کتاب در دو جلد تدوین شده است: ۱. از ابتدای کتاب تا سلطنت شارل دوم؛ ۲. از اواسط سلطنت شارل دوم تا شاهی شارل چهارم</w:t>
      </w:r>
    </w:p>
    <w:p>
      <w:pPr>
        <w:pStyle w:val="BookText"/>
      </w:pPr>
      <w:r>
        <w:rPr>
          <w:rFonts w:ascii="IRNazanin" w:hAnsi="IRNazanin" w:eastAsia="IRNazanin" w:cs="IRNazanin"/>
          <w:lang w:bidi="fa-IR"/>
          <w:color w:val="111111"/>
          <w:sz w:val="28"/>
          <w:szCs w:val="28"/>
          <w:rtl/>
        </w:rPr>
        <w:t xml:space="preserve">تهران؛ ملی؛ شماره نسخه:۱۷۷۷</w:t>
      </w:r>
    </w:p>
    <w:p>
      <w:pPr>
        <w:pStyle w:val="BookText"/>
      </w:pPr>
      <w:r>
        <w:rPr>
          <w:rFonts w:ascii="IRNazanin" w:hAnsi="IRNazanin" w:eastAsia="IRNazanin" w:cs="IRNazanin"/>
          <w:lang w:bidi="fa-IR"/>
          <w:color w:val="111111"/>
          <w:sz w:val="28"/>
          <w:szCs w:val="28"/>
          <w:rtl/>
        </w:rPr>
        <w:t xml:space="preserve">آغاز: جلد اول قدیمی ها در زمان قدیم مکان این دو مملکت را شبه جزیره؛ انجام: (جلد دوم) و نقشه آمالش را نقطه مرکزیه از همینجا قرار بدهد جلد اول و دوم؛ خط: شکسته نستعلیق، کاتب = مؤلف، تا: ۱۳۱۰ق؛ با سرلوح گل و بوته زر، مجدول، در صفحه اول به خط ناصرالدین شاه آمده: «تماما ملاحظه شده»؛ کاغذ: فرنگی آبی، جلد: تیماج قرمز، ۵۸گ، ۱۵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اف: ۴-۲۳۵]</w:t>
      </w:r>
    </w:p>
    <w:p>
      <w:pPr>
        <w:pStyle w:val="Heading3"/>
      </w:pPr>
      <w:bookmarkStart w:id="2005" w:name="_Toc1265"/>
      <w:r>
        <w:t>• تاریخ استرالیا (ترجمه) / تاریخ / فارسی</w:t>
      </w:r>
      <w:bookmarkEnd w:id="2005"/>
    </w:p>
    <w:p>
      <w:pPr>
        <w:pStyle w:val="BookText"/>
      </w:pPr>
      <w:r>
        <w:rPr>
          <w:rFonts w:ascii="Times New Roman" w:hAnsi="Times New Roman" w:eastAsia="Times New Roman" w:cs="Times New Roman"/>
          <w:lang w:val="en-US" w:bidi="en-US"/>
          <w:color w:val="111111"/>
          <w:sz w:val="28"/>
          <w:szCs w:val="28"/>
          <w:rtl/>
        </w:rPr>
        <w:t xml:space="preserve">tārīx-e ostorālīyā (t.)</w:t>
      </w:r>
    </w:p>
    <w:p>
      <w:pPr>
        <w:pStyle w:val="BookText"/>
      </w:pPr>
      <w:r>
        <w:rPr>
          <w:rFonts w:ascii="IRNazanin" w:hAnsi="IRNazanin" w:eastAsia="IRNazanin" w:cs="IRNazanin"/>
          <w:lang w:bidi="fa-IR"/>
          <w:color w:val="111111"/>
          <w:sz w:val="28"/>
          <w:szCs w:val="28"/>
          <w:rtl/>
        </w:rPr>
        <w:t xml:space="preserve">شرح و توصیفی است از وضعیت جغرافیایی و تاریخی استرالیا و و تفصیل شناسایی و مهاجرت و تصرف آن سرزمین به وسیله هلندی ها، پرتقالی ها و انگلیس ها از سال ۱۶۰۱ تا سال ۱۸۸۸ میلادی که در شانزده فصل» نگاشته شده است. این کتاب از زبان اصلی انگلیسی به فارسی ترجمه شده نام مترجم و مصنف و كاتب مشخص نیست.</w:t>
      </w:r>
    </w:p>
    <w:p>
      <w:pPr>
        <w:pStyle w:val="BookText"/>
      </w:pPr>
      <w:r>
        <w:rPr>
          <w:rFonts w:ascii="IRNazanin" w:hAnsi="IRNazanin" w:eastAsia="IRNazanin" w:cs="IRNazanin"/>
          <w:lang w:bidi="fa-IR"/>
          <w:color w:val="111111"/>
          <w:sz w:val="28"/>
          <w:szCs w:val="28"/>
          <w:rtl/>
        </w:rPr>
        <w:t xml:space="preserve">تهران؛ سلطنتی؛ شماره نسخه: ۲۲۶۱</w:t>
      </w:r>
    </w:p>
    <w:p>
      <w:pPr>
        <w:pStyle w:val="BookText"/>
      </w:pPr>
      <w:r>
        <w:rPr>
          <w:rFonts w:ascii="IRNazanin" w:hAnsi="IRNazanin" w:eastAsia="IRNazanin" w:cs="IRNazanin"/>
          <w:lang w:bidi="fa-IR"/>
          <w:color w:val="111111"/>
          <w:sz w:val="28"/>
          <w:szCs w:val="28"/>
          <w:rtl/>
        </w:rPr>
        <w:t xml:space="preserve">آغاز: هو الله تعالى بسم الله الرحمن الرحیم. الحمدالله رب العالمين و الصلوة و السلام على خير خلقه محمد و آله رب العالمين و الصلوة و السلام على خير خلقه محمد و آله اجمعین. اما بعد در بیان انکشاف اوسترالی و معموریت آنجا. فصل اول. در بیان وضع اوسترالی و امتداد وسعت آن مملکت و فرق این اقلیم با سایر اقالیم کره ارض و آب و هوای آنجا؛ انجام: لهذا بر حسب ظاهر اوسترالی باز هم مدتی مهاجر انگلیسی باقی خواهد ماند و السلم قد تمت خط: نسخ، بی کا، بی تا، کاغذ: فرنگی نخودی، جلد: مقوای روکش چرم لاکی رنگ، ۲۱۳ص، ۲۰ سطر،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۲۰/۸ سم [ف: ۵-۱۲]</w:t>
      </w:r>
    </w:p>
    <w:p>
      <w:pPr>
        <w:pStyle w:val="Heading3"/>
      </w:pPr>
      <w:bookmarkStart w:id="2006" w:name="_Toc1266"/>
      <w:r>
        <w:t>• تاریخ اسکندر / تاریخ ایران / فارسی</w:t>
      </w:r>
      <w:bookmarkEnd w:id="2006"/>
    </w:p>
    <w:p>
      <w:pPr>
        <w:pStyle w:val="BookText"/>
      </w:pPr>
      <w:r>
        <w:rPr>
          <w:rFonts w:ascii="Times New Roman" w:hAnsi="Times New Roman" w:eastAsia="Times New Roman" w:cs="Times New Roman"/>
          <w:lang w:val="en-US" w:bidi="en-US"/>
          <w:color w:val="111111"/>
          <w:sz w:val="28"/>
          <w:szCs w:val="28"/>
          <w:rtl/>
        </w:rPr>
        <w:t xml:space="preserve">tārīx-e eskandar</w:t>
      </w:r>
    </w:p>
    <w:p>
      <w:pPr>
        <w:pStyle w:val="BookText"/>
      </w:pPr>
      <w:r>
        <w:rPr>
          <w:rFonts w:ascii="IRNazanin" w:hAnsi="IRNazanin" w:eastAsia="IRNazanin" w:cs="IRNazanin"/>
          <w:lang w:bidi="fa-IR"/>
          <w:color w:val="111111"/>
          <w:sz w:val="28"/>
          <w:szCs w:val="28"/>
          <w:rtl/>
        </w:rPr>
        <w:t xml:space="preserve">حکیم بالک حکیم باشی</w:t>
      </w:r>
    </w:p>
    <w:p>
      <w:pPr>
        <w:pStyle w:val="BookText"/>
      </w:pPr>
      <w:r>
        <w:rPr>
          <w:rFonts w:ascii="Times New Roman" w:hAnsi="Times New Roman" w:eastAsia="Times New Roman" w:cs="Times New Roman"/>
          <w:lang w:val="en-US" w:bidi="en-US"/>
          <w:color w:val="111111"/>
          <w:sz w:val="28"/>
          <w:szCs w:val="28"/>
          <w:rtl/>
        </w:rPr>
        <w:t xml:space="preserve">hakīm bālak hakīm-bāší</w:t>
      </w:r>
    </w:p>
    <w:p>
      <w:pPr>
        <w:pStyle w:val="BookText"/>
      </w:pPr>
      <w:r>
        <w:rPr>
          <w:rFonts w:ascii="IRNazanin" w:hAnsi="IRNazanin" w:eastAsia="IRNazanin" w:cs="IRNazanin"/>
          <w:lang w:bidi="fa-IR"/>
          <w:color w:val="111111"/>
          <w:sz w:val="28"/>
          <w:szCs w:val="28"/>
          <w:rtl/>
        </w:rPr>
        <w:t xml:space="preserve">اهدا به: ناصرالدین شاه قاجار ترجمه تاریخ اسکندر و شرح فتوحات اوست که به دستور ناصرالدین شاه قاجار از کتاب تاریخ مسيو (زالن) یونانی به فارسی ترجمه و کتابت شده است. آغاز: فصل اول در بیان تولد اسکندر و آتش گرفتن بقعه خدای دیانا) در (افزوز) در روز تولدی وی و قابلیت و استعداد و کیاست او از بچگی در هر چیز و در بیان معلم شدن حکیم ارسطو بجهة تربیت او آرام نمودن اسکندر اسبی را که (بربو كفالوس) موسوم بود ... اسکندر سیصد و پنجاه و شش سال پیش از تولد حضرت عیسی علیه السلام متولد شد انجام: بالجمله بعد از مرگ اسکندر نزاع و جدال بزرگی میان رجال دولت و ارکان ملت و سران سپاه و سرکردگان واقع گردید که کرا ولیعهد نمایند و منازعه که درین باب اتفاق افتاده است در کتاب دیگر برشته تحریر و تأليف خواهد آمد ... بتاريخ پنجم شهر ربيع اول ۱۲۷۳. [فهرستواره منزوی ۲/ ۸۴۰]</w:t>
      </w:r>
    </w:p>
    <w:p>
      <w:pPr>
        <w:pStyle w:val="BookText"/>
      </w:pPr>
      <w:r>
        <w:rPr>
          <w:rFonts w:ascii="IRNazanin" w:hAnsi="IRNazanin" w:eastAsia="IRNazanin" w:cs="IRNazanin"/>
          <w:lang w:bidi="fa-IR"/>
          <w:color w:val="111111"/>
          <w:sz w:val="28"/>
          <w:szCs w:val="28"/>
          <w:rtl/>
        </w:rPr>
        <w:t xml:space="preserve">تهران؛ سلطنتی؛ شماره نسخه:۹۲۲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رضا قلی تاریخ نویس، تا: ۵ ربیع الاول ۱۲۷۳ق؛ به سال های ۱۲۸۲ و ۱۳۲۲ به ترتیب از عرض کتابخانه مبارکه گذشته؛ مهر: ناصر الدین شاه قاجار؛ کاغذ: فرنگی کبود، جلد: مقوای روغنی مشکی منقش به گل و بوته الوان، ۲۰۹ص، ۱۵ سطر،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۵-۱۶]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376" w:name="pg20363_209660"/>
    <w:bookmarkEnd w:id="376"/>
    <w:p>
      <w:pPr>
        <w:pStyle w:val="Heading3"/>
      </w:pPr>
      <w:bookmarkStart w:id="2007" w:name="_Toc1267"/>
      <w:r>
        <w:t>•تاریخ اسکندر رومی (ترجمه) / تاریخ ایران / فارسی</w:t>
      </w:r>
      <w:bookmarkEnd w:id="2007"/>
    </w:p>
    <w:p>
      <w:pPr>
        <w:pStyle w:val="BookText"/>
      </w:pPr>
      <w:r>
        <w:rPr>
          <w:rFonts w:ascii="Times New Roman" w:hAnsi="Times New Roman" w:eastAsia="Times New Roman" w:cs="Times New Roman"/>
          <w:lang w:val="en-US" w:bidi="en-US"/>
          <w:color w:val="111111"/>
          <w:sz w:val="28"/>
          <w:szCs w:val="28"/>
          <w:rtl/>
        </w:rPr>
        <w:t xml:space="preserve">tārīx-e eskandar-e rūmī (t.)</w:t>
      </w:r>
    </w:p>
    <w:p>
      <w:pPr>
        <w:pStyle w:val="BookText"/>
      </w:pPr>
      <w:r>
        <w:rPr>
          <w:rFonts w:ascii="IRNazanin" w:hAnsi="IRNazanin" w:eastAsia="IRNazanin" w:cs="IRNazanin"/>
          <w:lang w:bidi="fa-IR"/>
          <w:color w:val="111111"/>
          <w:sz w:val="28"/>
          <w:szCs w:val="28"/>
          <w:rtl/>
        </w:rPr>
        <w:t xml:space="preserve">حسین بن نظام السلطنة</w:t>
      </w:r>
    </w:p>
    <w:p>
      <w:pPr>
        <w:pStyle w:val="BookText"/>
      </w:pPr>
      <w:r>
        <w:rPr>
          <w:rFonts w:ascii="Times New Roman" w:hAnsi="Times New Roman" w:eastAsia="Times New Roman" w:cs="Times New Roman"/>
          <w:lang w:val="en-US" w:bidi="en-US"/>
          <w:color w:val="111111"/>
          <w:sz w:val="28"/>
          <w:szCs w:val="28"/>
          <w:rtl/>
        </w:rPr>
        <w:t xml:space="preserve">hoseyn ebn-e nezām-os-saltane</w:t>
      </w:r>
    </w:p>
    <w:p>
      <w:pPr>
        <w:pStyle w:val="BookText"/>
      </w:pPr>
      <w:r>
        <w:rPr>
          <w:rFonts w:ascii="IRNazanin" w:hAnsi="IRNazanin" w:eastAsia="IRNazanin" w:cs="IRNazanin"/>
          <w:lang w:bidi="fa-IR"/>
          <w:color w:val="111111"/>
          <w:sz w:val="28"/>
          <w:szCs w:val="28"/>
          <w:rtl/>
        </w:rPr>
        <w:t xml:space="preserve">جز آنچه که در فهرست مشار (۲۹۵) آمده است، ترجمه ای هم در تهران در ۱۲۸۲ق به چاپ رسیده است. آغاز: تاریخ اسکندر، طفولیت اسکندر، تمام عالم میدانند اسکندر سلطان ماسدوان یکی از فاتحین برزگ زمان قدیم بوده است. انجام: اسکندر کسی است که فواید و نیکیهایش بر ضرر و بدیهایش تفاوت دارد. انتها. استوری ۱۷۱/۱ و ۴۳۰؛ فهرستواره منزوی ۲/ ۸۴۰]</w:t>
      </w:r>
    </w:p>
    <w:p>
      <w:pPr>
        <w:pStyle w:val="BookText"/>
      </w:pPr>
      <w:r>
        <w:rPr>
          <w:rFonts w:ascii="IRNazanin" w:hAnsi="IRNazanin" w:eastAsia="IRNazanin" w:cs="IRNazanin"/>
          <w:lang w:bidi="fa-IR"/>
          <w:color w:val="111111"/>
          <w:sz w:val="28"/>
          <w:szCs w:val="28"/>
          <w:rtl/>
        </w:rPr>
        <w:t xml:space="preserve">تهران؛ دانشگاه؛ شماره نسخه:۵۶۵۴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1 ربيع الأول ۱۳۱۳ق؛ با سرلوح، مجدول؛ کاغذ: فرنگی، جلد: تیماج مشکی زرکوب و مقوایی، ۶۳ص، ۹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۱۶-۵۹]</w:t>
      </w:r>
    </w:p>
    <w:p>
      <w:pPr>
        <w:pStyle w:val="Heading3"/>
      </w:pPr>
      <w:bookmarkStart w:id="2008" w:name="_Toc1268"/>
      <w:r>
        <w:t>• تاریخ اسکندر مقدونی / تاریخ ایران / فارسی</w:t>
      </w:r>
      <w:bookmarkEnd w:id="2008"/>
    </w:p>
    <w:p>
      <w:pPr>
        <w:pStyle w:val="BookText"/>
      </w:pPr>
      <w:r>
        <w:rPr>
          <w:rFonts w:ascii="Times New Roman" w:hAnsi="Times New Roman" w:eastAsia="Times New Roman" w:cs="Times New Roman"/>
          <w:lang w:val="en-US" w:bidi="en-US"/>
          <w:color w:val="111111"/>
          <w:sz w:val="28"/>
          <w:szCs w:val="28"/>
          <w:rtl/>
        </w:rPr>
        <w:t xml:space="preserve">tārīx-e eskandar-e maqdūnī</w:t>
      </w:r>
    </w:p>
    <w:p>
      <w:pPr>
        <w:pStyle w:val="BookText"/>
      </w:pPr>
      <w:r>
        <w:rPr>
          <w:rFonts w:ascii="IRNazanin" w:hAnsi="IRNazanin" w:eastAsia="IRNazanin" w:cs="IRNazanin"/>
          <w:lang w:bidi="fa-IR"/>
          <w:color w:val="111111"/>
          <w:sz w:val="28"/>
          <w:szCs w:val="28"/>
          <w:rtl/>
        </w:rPr>
        <w:t xml:space="preserve">کمل، جیمز</w:t>
      </w:r>
    </w:p>
    <w:p>
      <w:pPr>
        <w:pStyle w:val="BookText"/>
      </w:pPr>
      <w:r>
        <w:rPr>
          <w:rFonts w:ascii="Times New Roman" w:hAnsi="Times New Roman" w:eastAsia="Times New Roman" w:cs="Times New Roman"/>
          <w:lang w:val="en-US" w:bidi="en-US"/>
          <w:color w:val="111111"/>
          <w:sz w:val="28"/>
          <w:szCs w:val="28"/>
          <w:rtl/>
        </w:rPr>
        <w:t xml:space="preserve">kamel, jeymz</w:t>
      </w:r>
    </w:p>
    <w:p>
      <w:pPr>
        <w:pStyle w:val="BookText"/>
      </w:pPr>
      <w:r>
        <w:rPr>
          <w:rFonts w:ascii="IRNazanin" w:hAnsi="IRNazanin" w:eastAsia="IRNazanin" w:cs="IRNazanin"/>
          <w:lang w:bidi="fa-IR"/>
          <w:color w:val="111111"/>
          <w:sz w:val="28"/>
          <w:szCs w:val="28"/>
          <w:rtl/>
        </w:rPr>
        <w:t xml:space="preserve">به امر: عباس میرزای نایب السلطنه تاریخ تأليف: ۱۲۲۸ق تاریخی است به ترجمه جمز کمل انگلیسی از نزدیکان شاهزاده عباس میرزا که در مقدمه می نویسد: «غرض از تسوید این اوراق آن است که در تاریخ هزار و هشتصد و سیزده عیسوی مطابق سال هزار و دویست و بیست و هشت هجری اوقا تیکه صحنه آذربایجان در فر وجود میمنت نشان نواب مستطاب ... شاهزاده جوانبخت در دریای خسروی عباس ... همیشه خاطر ملكوت ناظر اقدسش متعلق بر این بود که در اوضاع و اطوار گذشته و آینده روز گار مستحضر دارد. وقایعی که اتفاق افتاده باشد مطلع باشند. این بنده کمترین جمز و کمل انگلیسی که از جمله خاکساران سرکار و در سلک جان نثاران شاهزاده اعظم الشأن ... بود و تاریخی که مشتمل بر احوال و اوضاع اسکندر بود بعضی دیگر بلغت انگلیسی مرقوم و در میان اهل ایران متداول نبود، بر آن گردید که تاریخ مزبور را بلغت فارسی ترجمه و بنظر فيض منظر گماشته، باعث اطلاع و استحضار خاطر مبارک گردیده شود. چون تاریخ مبسوطی که مبنی بر گزارش مفصل احوال اسکندر بوده باشد در دست نبود. در نوشتن وقایع همه جا رسم ایجاز و اختصار را مرعی داشته». (مایل هروی)</w:t>
      </w:r>
    </w:p>
    <w:p>
      <w:pPr>
        <w:pStyle w:val="BookText"/>
      </w:pPr>
      <w:r>
        <w:rPr>
          <w:rFonts w:ascii="IRNazanin" w:hAnsi="IRNazanin" w:eastAsia="IRNazanin" w:cs="IRNazanin"/>
          <w:lang w:bidi="fa-IR"/>
          <w:color w:val="111111"/>
          <w:sz w:val="28"/>
          <w:szCs w:val="28"/>
          <w:rtl/>
        </w:rPr>
        <w:t xml:space="preserve">آغاز: کتاب فتوحات اسکندر مشهور به ذي القرنين: الحمدالله</w:t>
      </w:r>
    </w:p>
    <w:p>
      <w:pPr>
        <w:pStyle w:val="BookText"/>
      </w:pPr>
      <w:r>
        <w:rPr>
          <w:rFonts w:ascii="IRNazanin" w:hAnsi="IRNazanin" w:eastAsia="IRNazanin" w:cs="IRNazanin"/>
          <w:lang w:bidi="fa-IR"/>
          <w:color w:val="111111"/>
          <w:sz w:val="28"/>
          <w:szCs w:val="28"/>
          <w:rtl/>
        </w:rPr>
        <w:t xml:space="preserve">تاریخ اسپانیا - تاریخ اسکندر ۵۳۳ رب العالمین و الصلوة و السلام على محمد و اله اجمعين و بعد غرض</w:t>
      </w:r>
    </w:p>
    <w:p>
      <w:pPr>
        <w:pStyle w:val="BookText"/>
      </w:pPr>
      <w:r>
        <w:rPr>
          <w:rFonts w:ascii="IRNazanin" w:hAnsi="IRNazanin" w:eastAsia="IRNazanin" w:cs="IRNazanin"/>
          <w:lang w:bidi="fa-IR"/>
          <w:color w:val="111111"/>
          <w:sz w:val="28"/>
          <w:szCs w:val="28"/>
          <w:rtl/>
        </w:rPr>
        <w:t xml:space="preserve">انجام: والی مدتهای مدید هیچ تزلزلی در عقیده هیچ یک از رعایا و برایا بظهور نرسید</w:t>
      </w:r>
    </w:p>
    <w:p>
      <w:pPr>
        <w:pStyle w:val="BookText"/>
      </w:pPr>
      <w:r>
        <w:rPr>
          <w:rFonts w:ascii="IRNazanin" w:hAnsi="IRNazanin" w:eastAsia="IRNazanin" w:cs="IRNazanin"/>
          <w:lang w:bidi="fa-IR"/>
          <w:color w:val="111111"/>
          <w:sz w:val="28"/>
          <w:szCs w:val="28"/>
          <w:rtl/>
        </w:rPr>
        <w:t xml:space="preserve">چاپ: تهران، سنگی، ۱۲۶۳ق؛ ایران، سنگی، ۱۳۱۵، جیبی ۱۱۹ص</w:t>
      </w:r>
    </w:p>
    <w:p>
      <w:pPr>
        <w:pStyle w:val="BookText"/>
      </w:pPr>
      <w:r>
        <w:rPr>
          <w:rFonts w:ascii="IRNazanin" w:hAnsi="IRNazanin" w:eastAsia="IRNazanin" w:cs="IRNazanin"/>
          <w:lang w:bidi="fa-IR"/>
          <w:color w:val="111111"/>
          <w:sz w:val="28"/>
          <w:szCs w:val="28"/>
          <w:rtl/>
        </w:rPr>
        <w:t xml:space="preserve">[مشترک پاکستان ۱۴۴۸/۱۱ ؛ دنا ۶۷۰/۲ (۷ نسخه)؛ فهرستواره منزوی ۸۳۹/۲و ۱۰۴۰/۲ ؛ مشار ۱۰۲۹/۱ (۴ چاپ)]</w:t>
      </w:r>
    </w:p>
    <w:p>
      <w:pPr>
        <w:pStyle w:val="BookText"/>
      </w:pPr>
      <w:r>
        <w:rPr>
          <w:rFonts w:ascii="IRNazanin" w:hAnsi="IRNazanin" w:eastAsia="IRNazanin" w:cs="IRNazanin"/>
          <w:lang w:bidi="fa-IR"/>
          <w:color w:val="111111"/>
          <w:sz w:val="28"/>
          <w:szCs w:val="28"/>
          <w:rtl/>
        </w:rPr>
        <w:t xml:space="preserve">١. مشهد؛ رضوی؛ شماره نسخه:۱۰۵۳۴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بی کا، تا: قرن ۱۳؛ کاغذ: الوان آبی فرنگی، جلد: میشن یک لا، ۵۲گ، اندازه: ۳۲۸۲۰سم [ف: ۹-۱۴]</w:t>
      </w:r>
    </w:p>
    <w:p>
      <w:pPr>
        <w:pStyle w:val="BookText"/>
      </w:pPr>
      <w:r>
        <w:rPr>
          <w:rFonts w:ascii="IRNazanin" w:hAnsi="IRNazanin" w:eastAsia="IRNazanin" w:cs="IRNazanin"/>
          <w:lang w:bidi="fa-IR"/>
          <w:color w:val="111111"/>
          <w:sz w:val="28"/>
          <w:szCs w:val="28"/>
          <w:rtl/>
        </w:rPr>
        <w:t xml:space="preserve">۲. تهران؛ ملی؛ شماره نسخه: ۱۲۳۴/۳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اسماعيل بن محمد ابراهیم کاشانی، تا: غره محرم ۱۲۶۰ق، جا: طهران؛ کاغذ: فرنگی، جلد: تیماج ماشی ترنج و نیم ترنج، ۱۵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۳-۲۸۶]</w:t>
      </w:r>
    </w:p>
    <w:p>
      <w:pPr>
        <w:pStyle w:val="BookText"/>
      </w:pPr>
      <w:r>
        <w:rPr>
          <w:rFonts w:ascii="IRNazanin" w:hAnsi="IRNazanin" w:eastAsia="IRNazanin" w:cs="IRNazanin"/>
          <w:lang w:bidi="fa-IR"/>
          <w:color w:val="111111"/>
          <w:sz w:val="28"/>
          <w:szCs w:val="28"/>
          <w:rtl/>
        </w:rPr>
        <w:t xml:space="preserve">٣. قم؛ گلپایگانی؛ شماره نسخه:۳۶۷۹/۳ -۱۹/۹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على بن نصر الله خان مشهور به سیف الله خان خوانساری، تا: پنج شنبه ۲۴ ربیع الاول ۱۲۶۶ق، بنا به درخواست اسدالله خان؛ مجدول مشکی؛ جلد: تیماج مشکی، ۳۲گ، ۲۵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۲-۶۷۹]</w:t>
      </w:r>
    </w:p>
    <w:p>
      <w:pPr>
        <w:pStyle w:val="BookText"/>
      </w:pPr>
      <w:r>
        <w:rPr>
          <w:rFonts w:ascii="IRNazanin" w:hAnsi="IRNazanin" w:eastAsia="IRNazanin" w:cs="IRNazanin"/>
          <w:lang w:bidi="fa-IR"/>
          <w:color w:val="111111"/>
          <w:sz w:val="28"/>
          <w:szCs w:val="28"/>
          <w:rtl/>
        </w:rPr>
        <w:t xml:space="preserve">۴. تهران؛ مجلس؛ شماره نسخه: ۲۸۲/۱ -فیروز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۱۲۹۹ق؛ کاغذ: اصفهانی، جلد: تیماج قرمز، ۴۳ص (۲-۴۴)، ۲۵ سطر، اندازه: ۲۱</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۳۴/۵ سم [ف: ۲۱-۲۷۰]</w:t>
      </w:r>
    </w:p>
    <w:p>
      <w:pPr>
        <w:pStyle w:val="BookText"/>
      </w:pPr>
      <w:r>
        <w:rPr>
          <w:rFonts w:ascii="Amiri" w:hAnsi="Amiri" w:eastAsia="Amiri" w:cs="Amiri"/>
          <w:lang w:bidi="ar-SA"/>
          <w:color w:val="111111"/>
          <w:sz w:val="28"/>
          <w:szCs w:val="28"/>
          <w:rtl/>
        </w:rPr>
        <w:t xml:space="preserve">۵. تهران؛ دائرة المعارف، شماره نسخه:۱۰۳/۳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تحریری، كا: فضل الله بن عبدالله خراسانی، تا: چهارشنبه ۲۳ رجب ۱۳۰۳ق؛ ۶۱گ (۲۲۴پ -۲۸۴ر) [ف: ۱-۴۱]</w:t>
      </w:r>
    </w:p>
    <w:p>
      <w:pPr>
        <w:pStyle w:val="BookText"/>
      </w:pPr>
      <w:r>
        <w:rPr>
          <w:rFonts w:ascii="IRNazanin" w:hAnsi="IRNazanin" w:eastAsia="IRNazanin" w:cs="IRNazanin"/>
          <w:lang w:bidi="fa-IR"/>
          <w:color w:val="111111"/>
          <w:sz w:val="28"/>
          <w:szCs w:val="28"/>
          <w:rtl/>
        </w:rPr>
        <w:t xml:space="preserve">۶. تهران؛ ملی؛ شماره نسخه: ۱/ ۱۶۸۰</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کا: خلیل الله قرگوزلو، تا: ۱۳۰۹ق؛ مجدول، با سرلوح مذهب؛ کاغذ: فرنگی (فلفل نمکی)، جلد: تیماج مشکی با گل و بوته، ۳۵ص (۱-۳۵)، ۲۵ سطر (۱۳/۵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۲۴/۵ )،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سم [ف: ۴-۱۵۵]</w:t>
      </w:r>
    </w:p>
    <w:p>
      <w:pPr>
        <w:pStyle w:val="BookText"/>
      </w:pPr>
      <w:r>
        <w:rPr>
          <w:rFonts w:ascii="IRNazanin" w:hAnsi="IRNazanin" w:eastAsia="IRNazanin" w:cs="IRNazanin"/>
          <w:lang w:bidi="fa-IR"/>
          <w:color w:val="111111"/>
          <w:sz w:val="28"/>
          <w:szCs w:val="28"/>
          <w:rtl/>
        </w:rPr>
        <w:t xml:space="preserve">۷. تهران؛ ملی؛ شماره نسخه:۲۲۷۸/۳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خوش، بی کا، بی تا، کاغذ: فرنگی الوان، جلد: تیماج مشکی، ۸۹ص، ۲۰۰ سطر (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۵-۳۹۸]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377" w:name="pg20363_209661"/>
    <w:bookmarkEnd w:id="377"/>
    <w:p>
      <w:pPr>
        <w:pStyle w:val="Heading3"/>
      </w:pPr>
      <w:bookmarkStart w:id="2009" w:name="_Toc1269"/>
      <w:r>
        <w:t>• تاریخ الاسلام / تاریخ / عربی</w:t>
      </w:r>
      <w:bookmarkEnd w:id="2009"/>
    </w:p>
    <w:p>
      <w:pPr>
        <w:pStyle w:val="BookText"/>
      </w:pPr>
      <w:r>
        <w:rPr>
          <w:rFonts w:ascii="Times New Roman" w:hAnsi="Times New Roman" w:eastAsia="Times New Roman" w:cs="Times New Roman"/>
          <w:lang w:val="en-US" w:bidi="en-US"/>
          <w:color w:val="111111"/>
          <w:sz w:val="28"/>
          <w:szCs w:val="28"/>
          <w:rtl/>
        </w:rPr>
        <w:t xml:space="preserve">tārīx-ul islām</w:t>
      </w:r>
    </w:p>
    <w:p>
      <w:pPr>
        <w:pStyle w:val="BookText"/>
      </w:pPr>
      <w:r>
        <w:rPr>
          <w:rFonts w:ascii="IRNazanin" w:hAnsi="IRNazanin" w:eastAsia="IRNazanin" w:cs="IRNazanin"/>
          <w:lang w:bidi="fa-IR"/>
          <w:color w:val="111111"/>
          <w:sz w:val="28"/>
          <w:szCs w:val="28"/>
          <w:rtl/>
        </w:rPr>
        <w:t xml:space="preserve">آنقره وی، عثمان دده، - ۱۲۰۰ قمری</w:t>
      </w:r>
    </w:p>
    <w:p>
      <w:pPr>
        <w:pStyle w:val="BookText"/>
      </w:pPr>
      <w:r>
        <w:rPr>
          <w:rFonts w:ascii="Times New Roman" w:hAnsi="Times New Roman" w:eastAsia="Times New Roman" w:cs="Times New Roman"/>
          <w:lang w:val="en-US" w:bidi="en-US"/>
          <w:color w:val="111111"/>
          <w:sz w:val="28"/>
          <w:szCs w:val="28"/>
          <w:rtl/>
        </w:rPr>
        <w:t xml:space="preserve">ānqarah vī, ‘osmān dada (-1786)</w:t>
      </w:r>
    </w:p>
    <w:p>
      <w:pPr>
        <w:pStyle w:val="BookText"/>
      </w:pPr>
      <w:r>
        <w:rPr>
          <w:rFonts w:ascii="IRNazanin" w:hAnsi="IRNazanin" w:eastAsia="IRNazanin" w:cs="IRNazanin"/>
          <w:lang w:bidi="fa-IR"/>
          <w:color w:val="111111"/>
          <w:sz w:val="28"/>
          <w:szCs w:val="28"/>
          <w:rtl/>
        </w:rPr>
        <w:t xml:space="preserve">تاریخ عام مختصری است از عصر حضرت پیغمبر اکرم(صلی الله علیه وآله وسلم) تا دولت سلطان مراد خان عثمانی تاریخ صدر الاسلام را مفصل تر و تاریخ عصور متأخره را بسیار مختصر می آورد. در نام کتاب و انتساب آن به عثمان دده تردید است و این دو موضوع را حضرت آیت الله مرعشی روی برگ اول کتاب مرقوم فرموده اند.</w:t>
      </w:r>
    </w:p>
    <w:p>
      <w:pPr>
        <w:pStyle w:val="BookText"/>
      </w:pPr>
      <w:r>
        <w:rPr>
          <w:rFonts w:ascii="IRNazanin" w:hAnsi="IRNazanin" w:eastAsia="IRNazanin" w:cs="IRNazanin"/>
          <w:lang w:bidi="fa-IR"/>
          <w:color w:val="111111"/>
          <w:sz w:val="28"/>
          <w:szCs w:val="28"/>
          <w:rtl/>
        </w:rPr>
        <w:t xml:space="preserve">قم؛ مرعشی؛ شماره نسخه:۹۵۶</w:t>
      </w:r>
    </w:p>
    <w:p>
      <w:pPr>
        <w:pStyle w:val="BookText"/>
      </w:pPr>
      <w:r>
        <w:rPr>
          <w:rFonts w:ascii="IRNazanin" w:hAnsi="IRNazanin" w:eastAsia="IRNazanin" w:cs="IRNazanin"/>
          <w:lang w:bidi="fa-IR"/>
          <w:color w:val="111111"/>
          <w:sz w:val="28"/>
          <w:szCs w:val="28"/>
          <w:rtl/>
        </w:rPr>
        <w:t xml:space="preserve">آغاز: فأدر کوهم و ركبوهم و اردفوهم على خيلهم و ردوالابل و الم ... واحدة من لقاحه صلى الله عليه و سلم؛ انجام: و توفي اثنتين و ثمانین و تسعمائة و تولی ولده السلطان مراد خان نصره الله في التاريخ و الله أعلم بالصواب و اليه المرجع و المآب</w:t>
      </w:r>
    </w:p>
    <w:p>
      <w:pPr>
        <w:pStyle w:val="BookText"/>
      </w:pPr>
      <w:r>
        <w:rPr>
          <w:rFonts w:ascii="IRNazanin" w:hAnsi="IRNazanin" w:eastAsia="IRNazanin" w:cs="IRNazanin"/>
          <w:lang w:bidi="fa-IR"/>
          <w:color w:val="111111"/>
          <w:sz w:val="28"/>
          <w:szCs w:val="28"/>
          <w:rtl/>
        </w:rPr>
        <w:t xml:space="preserve">خط: رقعی، بی کا، بی تا؛ افتادگی: آغاز؛ جلد: مقوایی کالینگور، ۲۵۶گی، ۲۶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۲۰سم [ف: ۳-۱۴۴]</w:t>
      </w:r>
    </w:p>
    <w:p>
      <w:pPr>
        <w:pStyle w:val="Heading3"/>
      </w:pPr>
      <w:bookmarkStart w:id="2010" w:name="_Toc1270"/>
      <w:r>
        <w:t>• تاریخ اسلام / تاریخ اسلام / فارسی</w:t>
      </w:r>
      <w:bookmarkEnd w:id="2010"/>
    </w:p>
    <w:p>
      <w:pPr>
        <w:pStyle w:val="BookText"/>
      </w:pPr>
      <w:r>
        <w:rPr>
          <w:rFonts w:ascii="Times New Roman" w:hAnsi="Times New Roman" w:eastAsia="Times New Roman" w:cs="Times New Roman"/>
          <w:lang w:val="en-US" w:bidi="en-US"/>
          <w:color w:val="111111"/>
          <w:sz w:val="28"/>
          <w:szCs w:val="28"/>
          <w:rtl/>
        </w:rPr>
        <w:t xml:space="preserve">tārīx-e eslām</w:t>
      </w:r>
    </w:p>
    <w:p>
      <w:pPr>
        <w:pStyle w:val="BookText"/>
      </w:pPr>
      <w:r>
        <w:rPr>
          <w:rFonts w:ascii="IRNazanin" w:hAnsi="IRNazanin" w:eastAsia="IRNazanin" w:cs="IRNazanin"/>
          <w:lang w:bidi="fa-IR"/>
          <w:color w:val="111111"/>
          <w:sz w:val="28"/>
          <w:szCs w:val="28"/>
          <w:rtl/>
        </w:rPr>
        <w:t xml:space="preserve">مؤیدالدوله، عبد الصمد بن طهماسب میرزا، ق۱۴ قمری</w:t>
      </w:r>
    </w:p>
    <w:p>
      <w:pPr>
        <w:pStyle w:val="BookText"/>
      </w:pPr>
      <w:r>
        <w:rPr>
          <w:rFonts w:ascii="Times New Roman" w:hAnsi="Times New Roman" w:eastAsia="Times New Roman" w:cs="Times New Roman"/>
          <w:lang w:val="en-US" w:bidi="en-US"/>
          <w:color w:val="111111"/>
          <w:sz w:val="28"/>
          <w:szCs w:val="28"/>
          <w:rtl/>
        </w:rPr>
        <w:t xml:space="preserve">mo'ayyed-od-dowle, 'abd-os-samad ebn-e tahmāsb mīrzā (-20c)</w:t>
      </w:r>
    </w:p>
    <w:p>
      <w:pPr>
        <w:pStyle w:val="BookText"/>
      </w:pPr>
      <w:r>
        <w:rPr>
          <w:rFonts w:ascii="IRNazanin" w:hAnsi="IRNazanin" w:eastAsia="IRNazanin" w:cs="IRNazanin"/>
          <w:lang w:bidi="fa-IR"/>
          <w:color w:val="111111"/>
          <w:sz w:val="28"/>
          <w:szCs w:val="28"/>
          <w:rtl/>
        </w:rPr>
        <w:t xml:space="preserve">قم؛ مرعشی؛ شماره نسخه:۱۰۰۰۸</w:t>
      </w:r>
    </w:p>
    <w:p>
      <w:pPr>
        <w:pStyle w:val="BookText"/>
      </w:pPr>
      <w:r>
        <w:rPr>
          <w:rFonts w:ascii="IRNazanin" w:hAnsi="IRNazanin" w:eastAsia="IRNazanin" w:cs="IRNazanin"/>
          <w:lang w:bidi="fa-IR"/>
          <w:color w:val="111111"/>
          <w:sz w:val="28"/>
          <w:szCs w:val="28"/>
          <w:rtl/>
        </w:rPr>
        <w:t xml:space="preserve">بخش سوم؛ خط: نستعلیق خوش، بی کا، تا: یک شنبه ۱۸ شوال ۱۳۳۰ق؛ این نسخه را ظاهرا برای چاپ سنگی در همان سال آماده کرده بودند؛ قطع: رقعی [میراث شهاب: س ش ۲-۱۸]</w:t>
      </w:r>
    </w:p>
    <w:p>
      <w:pPr>
        <w:pStyle w:val="Heading3"/>
      </w:pPr>
      <w:bookmarkStart w:id="2011" w:name="_Toc1271"/>
      <w:r>
        <w:t>•تاریخ اسلام / تاریخ اسلام / فارسی</w:t>
      </w:r>
      <w:bookmarkEnd w:id="2011"/>
    </w:p>
    <w:p>
      <w:pPr>
        <w:pStyle w:val="BookText"/>
      </w:pPr>
      <w:r>
        <w:rPr>
          <w:rFonts w:ascii="Times New Roman" w:hAnsi="Times New Roman" w:eastAsia="Times New Roman" w:cs="Times New Roman"/>
          <w:lang w:val="en-US" w:bidi="en-US"/>
          <w:color w:val="111111"/>
          <w:sz w:val="28"/>
          <w:szCs w:val="28"/>
          <w:rtl/>
        </w:rPr>
        <w:t xml:space="preserve">tārīx-e eslām</w:t>
      </w:r>
    </w:p>
    <w:p>
      <w:pPr>
        <w:pStyle w:val="BookText"/>
      </w:pPr>
      <w:r>
        <w:rPr>
          <w:rFonts w:ascii="IRNazanin" w:hAnsi="IRNazanin" w:eastAsia="IRNazanin" w:cs="IRNazanin"/>
          <w:lang w:bidi="fa-IR"/>
          <w:color w:val="111111"/>
          <w:sz w:val="28"/>
          <w:szCs w:val="28"/>
          <w:rtl/>
        </w:rPr>
        <w:t xml:space="preserve">طباطبائی، محمد صادق</w:t>
      </w:r>
    </w:p>
    <w:p>
      <w:pPr>
        <w:pStyle w:val="BookText"/>
      </w:pPr>
      <w:r>
        <w:rPr>
          <w:rFonts w:ascii="Times New Roman" w:hAnsi="Times New Roman" w:eastAsia="Times New Roman" w:cs="Times New Roman"/>
          <w:lang w:val="en-US" w:bidi="en-US"/>
          <w:color w:val="111111"/>
          <w:sz w:val="28"/>
          <w:szCs w:val="28"/>
          <w:rtl/>
        </w:rPr>
        <w:t xml:space="preserve">tabātabā'ī, mohammad sādeq</w:t>
      </w:r>
    </w:p>
    <w:p>
      <w:pPr>
        <w:pStyle w:val="BookText"/>
      </w:pPr>
      <w:r>
        <w:rPr>
          <w:rFonts w:ascii="IRNazanin" w:hAnsi="IRNazanin" w:eastAsia="IRNazanin" w:cs="IRNazanin"/>
          <w:lang w:bidi="fa-IR"/>
          <w:color w:val="111111"/>
          <w:sz w:val="28"/>
          <w:szCs w:val="28"/>
          <w:rtl/>
        </w:rPr>
        <w:t xml:space="preserve">ترجمه سید محمد صادق طباطبائی به فارسی از ترکی از آلمانی.</w:t>
      </w:r>
    </w:p>
    <w:p>
      <w:pPr>
        <w:pStyle w:val="BookText"/>
      </w:pPr>
      <w:r>
        <w:rPr>
          <w:rFonts w:ascii="IRNazanin" w:hAnsi="IRNazanin" w:eastAsia="IRNazanin" w:cs="IRNazanin"/>
          <w:lang w:bidi="fa-IR"/>
          <w:color w:val="111111"/>
          <w:sz w:val="28"/>
          <w:szCs w:val="28"/>
          <w:rtl/>
        </w:rPr>
        <w:t xml:space="preserve">تهران، دانشگاه؛ شماره نسخه:۹۶۰۷</w:t>
      </w:r>
    </w:p>
    <w:p>
      <w:pPr>
        <w:pStyle w:val="BookText"/>
      </w:pPr>
      <w:r>
        <w:rPr>
          <w:rFonts w:ascii="IRNazanin" w:hAnsi="IRNazanin" w:eastAsia="IRNazanin" w:cs="IRNazanin"/>
          <w:lang w:bidi="fa-IR"/>
          <w:color w:val="111111"/>
          <w:sz w:val="28"/>
          <w:szCs w:val="28"/>
          <w:rtl/>
        </w:rPr>
        <w:t xml:space="preserve">خط: نستعلیق، کاتب = مؤلف، تا: قرن ۱۳؛ کاغذ: فرنگی، جلد: مقوا عطف پارچه، ۳۴گ، ۱۸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۱۷-۴۳۴]</w:t>
      </w:r>
    </w:p>
    <w:p>
      <w:pPr>
        <w:pStyle w:val="Heading3"/>
      </w:pPr>
      <w:bookmarkStart w:id="2012" w:name="_Toc1272"/>
      <w:r>
        <w:t>• تاریخ اسلام / تاریخ / عربی</w:t>
      </w:r>
      <w:bookmarkEnd w:id="2012"/>
    </w:p>
    <w:p>
      <w:pPr>
        <w:pStyle w:val="BookText"/>
      </w:pPr>
      <w:r>
        <w:rPr>
          <w:rFonts w:ascii="Times New Roman" w:hAnsi="Times New Roman" w:eastAsia="Times New Roman" w:cs="Times New Roman"/>
          <w:lang w:val="en-US" w:bidi="en-US"/>
          <w:color w:val="111111"/>
          <w:sz w:val="28"/>
          <w:szCs w:val="28"/>
          <w:rtl/>
        </w:rPr>
        <w:t xml:space="preserve">tārīx-e eslām</w:t>
      </w:r>
    </w:p>
    <w:p>
      <w:pPr>
        <w:pStyle w:val="BookText"/>
      </w:pPr>
      <w:r>
        <w:rPr>
          <w:rFonts w:ascii="IRNazanin" w:hAnsi="IRNazanin" w:eastAsia="IRNazanin" w:cs="IRNazanin"/>
          <w:lang w:bidi="fa-IR"/>
          <w:color w:val="111111"/>
          <w:sz w:val="28"/>
          <w:szCs w:val="28"/>
          <w:rtl/>
        </w:rPr>
        <w:t xml:space="preserve">غیر همانند: ۱. تهران؛ ملی؛ شماره نسخه:۲۰۸</w:t>
      </w:r>
    </w:p>
    <w:p>
      <w:pPr>
        <w:pStyle w:val="BookText"/>
      </w:pPr>
      <w:r>
        <w:rPr>
          <w:rFonts w:ascii="Amiri" w:hAnsi="Amiri" w:eastAsia="Amiri" w:cs="Amiri"/>
          <w:lang w:bidi="ar-SA"/>
          <w:color w:val="111111"/>
          <w:sz w:val="28"/>
          <w:szCs w:val="28"/>
          <w:rtl/>
        </w:rPr>
        <w:t xml:space="preserve">آغاز: و انا كذلك قالت فما يمنعك من ذلك قال اخاف ان تمنع؛ انجام: و ليس للمغاربه من طبقه لا من ... و لا من متاخريهم بل هو الشعر.</w:t>
      </w:r>
    </w:p>
    <w:p>
      <w:pPr>
        <w:pStyle w:val="BookText"/>
      </w:pPr>
      <w:r>
        <w:rPr>
          <w:rFonts w:ascii="IRNazanin" w:hAnsi="IRNazanin" w:eastAsia="IRNazanin" w:cs="IRNazanin"/>
          <w:lang w:bidi="fa-IR"/>
          <w:color w:val="111111"/>
          <w:sz w:val="28"/>
          <w:szCs w:val="28"/>
          <w:rtl/>
        </w:rPr>
        <w:t xml:space="preserve">این کتاب که صدر و ذیل آن افتاده از خلافت الواثق بن المعتصم شروع می شود و تا حوادث حدود چهارصد بعد از هجرت می آید و در آن به غیر از تاریخ خلفا شرح حال بزرگان و وزیران و ادیبان و نویسندگان عالم اسلام همگی آمده است و نیز از اقوام و شاهانی که بر بغداد دست یافته اند ذکری رفته است و علاوه بر آن در آن از شکل اقامه عدالت و رعایت حقوق مردمان به زمان خلفاء و وزیران آنها وصف زیادی شده است؛ خط: نسخ، بی کا، تا: قرن ۸ افتادگی: آغاز و انجام کاغذ: اصفهانی، جلد: مقوایی ابره کاغذی سفید، ۲۰۰گ، ۲۰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 اندازه: ۱۴/۵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۷-۱۷۸]</w:t>
      </w:r>
    </w:p>
    <w:p>
      <w:pPr>
        <w:pStyle w:val="BookText"/>
      </w:pPr>
      <w:r>
        <w:rPr>
          <w:rFonts w:ascii="IRNazanin" w:hAnsi="IRNazanin" w:eastAsia="IRNazanin" w:cs="IRNazanin"/>
          <w:lang w:bidi="fa-IR"/>
          <w:color w:val="111111"/>
          <w:sz w:val="28"/>
          <w:szCs w:val="28"/>
          <w:rtl/>
        </w:rPr>
        <w:t xml:space="preserve">۲. شیراز؛ علامه طباطبائی؛ شماره نسخه:۱۶۶۴</w:t>
      </w:r>
    </w:p>
    <w:p>
      <w:pPr>
        <w:pStyle w:val="BookText"/>
      </w:pPr>
      <w:r>
        <w:rPr>
          <w:rFonts w:ascii="IRNazanin" w:hAnsi="IRNazanin" w:eastAsia="IRNazanin" w:cs="IRNazanin"/>
          <w:lang w:bidi="fa-IR"/>
          <w:color w:val="111111"/>
          <w:sz w:val="28"/>
          <w:szCs w:val="28"/>
          <w:rtl/>
        </w:rPr>
        <w:t xml:space="preserve">آغاز: الموطن العاشر ... من قدوم عدی بن حاتم و بعث ابی موسی الاشعری و معاذ بن جبل الى اليمن</w:t>
      </w:r>
    </w:p>
    <w:p>
      <w:pPr>
        <w:pStyle w:val="BookText"/>
      </w:pPr>
      <w:r>
        <w:rPr>
          <w:rFonts w:ascii="IRNazanin" w:hAnsi="IRNazanin" w:eastAsia="IRNazanin" w:cs="IRNazanin"/>
          <w:lang w:bidi="fa-IR"/>
          <w:color w:val="111111"/>
          <w:sz w:val="28"/>
          <w:szCs w:val="28"/>
          <w:rtl/>
        </w:rPr>
        <w:t xml:space="preserve">تاریخ زندگی پیامبر اسلام(صلی الله علیه وآله وسلم)و خلفاء بعد از ایشان، ظاهرة مرتب بر ۱۱ «موطن» و یک «خاتمه»: الموطن العاشر: في حوادث السنة العاشرة، الموطن الحادي عشر: في وقائع السنة الحادية عشر، الخاتمة: و بها فصلان، الفصل الأول: من رفقائه(صلی الله علیه وآله وسلم) و حرسه و خدمه و من كان يضرب الأعناق بين يديه و ...، الفصل الثاني: في ذكر الخلفاء الراشدين و خلفاء بني امية و العباسين. در پایان ذکر خلافت امیر المومنین علی(عليه السلام) آمده: «ذكر الائمة الاثني عشر من اولاده على طريق الاختصار، اولهم على بن ابی طالب (رضی الله عنه) و قد سبق ذكره، الثانی حسن ...» و پس از ذکر نام دوازده امام و بیان بسیار مختصری از حیاتشان روایات مختلفی از اهل سنت در مورد ظهور امام زمان (عجل الله تعالی علیه) بیان کرده است و در انجام آمده: «و في سنة اثنتين وعشرين و تسعمائة انتقل ملك مصر الى ملوک بنی عثمان فاول من ملكهم منهم و هو عاشرهم السلطان سلیم بن سلطان ابا یزید بن السلطان محمد ... آخرین سلطانی که نام برده، سلطان مراد خان پسر سلطان سلیم (-۹۸۲ق) است؛ خط: نسخ، كان محمد رزق شبولی شافعی، تا: یک شنبه ۲۹ شعبان ۱۰۶۲ق؛ افتادگی: آغاز؛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w:t>
      </w:r>
    </w:p>
    <w:p>
      <w:pPr>
        <w:pStyle w:val="BookText"/>
      </w:pPr>
      <w:r>
        <w:rPr>
          <w:rFonts w:ascii="IRNazanin" w:hAnsi="IRNazanin" w:eastAsia="IRNazanin" w:cs="IRNazanin"/>
          <w:lang w:bidi="fa-IR"/>
          <w:color w:val="111111"/>
          <w:sz w:val="28"/>
          <w:szCs w:val="28"/>
          <w:rtl/>
        </w:rPr>
        <w:t xml:space="preserve">[ نسخه پژوهی: ۲-۱۲۰]</w:t>
      </w:r>
    </w:p>
    <w:p>
      <w:pPr>
        <w:pStyle w:val="BookText"/>
      </w:pPr>
      <w:r>
        <w:rPr>
          <w:rFonts w:ascii="IRNazanin" w:hAnsi="IRNazanin" w:eastAsia="IRNazanin" w:cs="IRNazanin"/>
          <w:lang w:bidi="fa-IR"/>
          <w:color w:val="111111"/>
          <w:sz w:val="28"/>
          <w:szCs w:val="28"/>
          <w:rtl/>
        </w:rPr>
        <w:t xml:space="preserve">٣. تهران، دانشگاه شماره نسخه: ۱۱۹۹ف</w:t>
      </w:r>
    </w:p>
    <w:p>
      <w:pPr>
        <w:pStyle w:val="BookText"/>
      </w:pPr>
      <w:r>
        <w:rPr>
          <w:rFonts w:ascii="IRNazanin" w:hAnsi="IRNazanin" w:eastAsia="IRNazanin" w:cs="IRNazanin"/>
          <w:lang w:bidi="fa-IR"/>
          <w:color w:val="111111"/>
          <w:sz w:val="28"/>
          <w:szCs w:val="28"/>
          <w:rtl/>
        </w:rPr>
        <w:t xml:space="preserve">نسخه اصل: برلین 3361 . </w:t>
      </w:r>
      <w:r>
        <w:rPr>
          <w:rFonts w:ascii="Times New Roman" w:hAnsi="Times New Roman" w:eastAsia="Times New Roman" w:cs="Times New Roman"/>
          <w:lang w:val="en-US" w:bidi="en-US"/>
          <w:color w:val="111111"/>
          <w:sz w:val="28"/>
          <w:szCs w:val="28"/>
          <w:rtl/>
        </w:rPr>
        <w:t xml:space="preserve">Or. Oct </w:t>
      </w:r>
      <w:r>
        <w:rPr>
          <w:rFonts w:ascii="IRNazanin" w:hAnsi="IRNazanin" w:eastAsia="IRNazanin" w:cs="IRNazanin"/>
          <w:lang w:bidi="fa-IR"/>
          <w:color w:val="111111"/>
          <w:sz w:val="28"/>
          <w:szCs w:val="28"/>
          <w:rtl/>
        </w:rPr>
        <w:t xml:space="preserve">از سرگذشت آدم تا گشوده شدن مصر به دست عمر خطاب با جغرافیای کشورها و پاره ای از عجایب و غرایب دریاها و جزیره ها و جز آنها؛ خط: نسخ، بی کا، بیتا؛ ۱۷۰ ، ۱۶ سطر [فيلمها ف: ۱-۲۹۳]</w:t>
      </w:r>
    </w:p>
    <w:p>
      <w:pPr>
        <w:pStyle w:val="Heading3"/>
      </w:pPr>
      <w:bookmarkStart w:id="2013" w:name="_Toc1273"/>
      <w:r>
        <w:t>•تاریخ اسلام / تاریخ اسلام / فارسی</w:t>
      </w:r>
      <w:bookmarkEnd w:id="2013"/>
    </w:p>
    <w:p>
      <w:pPr>
        <w:pStyle w:val="BookText"/>
      </w:pPr>
      <w:r>
        <w:rPr>
          <w:rFonts w:ascii="Times New Roman" w:hAnsi="Times New Roman" w:eastAsia="Times New Roman" w:cs="Times New Roman"/>
          <w:lang w:val="en-US" w:bidi="en-US"/>
          <w:color w:val="111111"/>
          <w:sz w:val="28"/>
          <w:szCs w:val="28"/>
          <w:rtl/>
        </w:rPr>
        <w:t xml:space="preserve">tārīx-e eslām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IRNazanin" w:hAnsi="IRNazanin" w:eastAsia="IRNazanin" w:cs="IRNazanin"/>
          <w:lang w:bidi="fa-IR"/>
          <w:color w:val="111111"/>
          <w:sz w:val="28"/>
          <w:szCs w:val="28"/>
          <w:rtl/>
        </w:rPr>
        <w:t xml:space="preserve">۱. تهران؛ مجلس؛ شماره نسخه: ۵۲۹/۱۱</w:t>
      </w:r>
    </w:p>
    <w:p>
      <w:pPr>
        <w:pStyle w:val="BookText"/>
      </w:pPr>
      <w:r>
        <w:rPr>
          <w:rFonts w:ascii="IRNazanin" w:hAnsi="IRNazanin" w:eastAsia="IRNazanin" w:cs="IRNazanin"/>
          <w:lang w:bidi="fa-IR"/>
          <w:color w:val="111111"/>
          <w:sz w:val="28"/>
          <w:szCs w:val="28"/>
          <w:rtl/>
        </w:rPr>
        <w:t xml:space="preserve">تاریخ پیامبر و خلفاء و ائمه شیعه تا عضدالدوله. رساله مانندی است. در آن آمده در خلافت فاروق اعظم به مرتبه ای قوت و شوکت اسلام شده گویند سی و شش هزار شهر و قصبه مفتوح شد و چهار هزار کنشت خراب گشت و بجای آن مسجد و منابر بنا شد. مؤلف آن باید از سنیان دوازده امامی باشد؛ بی کا، تا: قرن ۱۰؛ کاغذ: سفید، جلد: تیماج آلبالویی ضربی مقوایی با ترنج، ۱۰ص (۲۲۷-۲۳۶)، ابعاد متن: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[سنا: ف:</w:t>
      </w:r>
    </w:p>
    <w:p>
      <w:pPr>
        <w:pStyle w:val="BookText"/>
      </w:pPr>
      <w:r>
        <w:rPr>
          <w:rFonts w:ascii="IRNazanin" w:hAnsi="IRNazanin" w:eastAsia="IRNazanin" w:cs="IRNazanin"/>
          <w:lang w:bidi="fa-IR"/>
          <w:color w:val="111111"/>
          <w:sz w:val="28"/>
          <w:szCs w:val="28"/>
          <w:rtl/>
        </w:rPr>
        <w:t xml:space="preserve">۳۲۸-۱ ]</w:t>
      </w:r>
    </w:p>
    <w:p>
      <w:pPr>
        <w:pStyle w:val="BookText"/>
      </w:pPr>
      <w:r>
        <w:rPr>
          <w:rFonts w:ascii="IRNazanin" w:hAnsi="IRNazanin" w:eastAsia="IRNazanin" w:cs="IRNazanin"/>
          <w:lang w:bidi="fa-IR"/>
          <w:color w:val="111111"/>
          <w:sz w:val="28"/>
          <w:szCs w:val="28"/>
          <w:rtl/>
        </w:rPr>
        <w:t xml:space="preserve">۲. مشهد؛ رضوی؛ شماره نسخه: ۴۱۵۰</w:t>
      </w:r>
    </w:p>
    <w:p>
      <w:pPr>
        <w:pStyle w:val="BookText"/>
      </w:pPr>
      <w:r>
        <w:rPr>
          <w:rFonts w:ascii="IRNazanin" w:hAnsi="IRNazanin" w:eastAsia="IRNazanin" w:cs="IRNazanin"/>
          <w:lang w:bidi="fa-IR"/>
          <w:color w:val="111111"/>
          <w:sz w:val="28"/>
          <w:szCs w:val="28"/>
          <w:rtl/>
        </w:rPr>
        <w:t xml:space="preserve">آغاز: که پاره ای از پیغمبر باشند و خدای عزوجل؛ انجام: نباید این سخن معزالدوله را معقول قطعه ای در تاریخ ائمه و خلفای عصر ایشان؛ خط: نستعلیق، بی کا، تا: قرن ۱۱؛ افتادگی: آغاز [الفبائی: ۹۷]</w:t>
      </w:r>
    </w:p>
    <w:p>
      <w:pPr>
        <w:pStyle w:val="BookText"/>
      </w:pPr>
      <w:r>
        <w:rPr>
          <w:rFonts w:ascii="IRNazanin" w:hAnsi="IRNazanin" w:eastAsia="IRNazanin" w:cs="IRNazanin"/>
          <w:lang w:bidi="fa-IR"/>
          <w:color w:val="111111"/>
          <w:sz w:val="28"/>
          <w:szCs w:val="28"/>
          <w:rtl/>
        </w:rPr>
        <w:t xml:space="preserve">٣. اصفهان؛ دانشگاه؛ شماره نسخه:۴۶۴</w:t>
      </w:r>
    </w:p>
    <w:p>
      <w:pPr>
        <w:pStyle w:val="BookText"/>
      </w:pPr>
      <w:r>
        <w:rPr>
          <w:rFonts w:ascii="IRNazanin" w:hAnsi="IRNazanin" w:eastAsia="IRNazanin" w:cs="IRNazanin"/>
          <w:lang w:bidi="fa-IR"/>
          <w:color w:val="111111"/>
          <w:sz w:val="28"/>
          <w:szCs w:val="28"/>
          <w:rtl/>
        </w:rPr>
        <w:t xml:space="preserve">نخستین عنوان آن «ذکر شعیب» است و می رسد به عنوان «جلال الدين منكبرنی» و در همین جا از جنگ سیف الدین و ملک هرات در رجب ۹۱۸ یاد می شود؛ خط: نستعلیق، بی کا، تا: قرن ۱۱؛ افتادگی: آغاز و انجام؛ کاغذ: سمرقندی[نشریه: ۱۱-۸۸۵]</w:t>
      </w:r>
    </w:p>
    <w:p>
      <w:pPr>
        <w:pStyle w:val="BookText"/>
      </w:pPr>
      <w:r>
        <w:rPr>
          <w:rFonts w:ascii="IRNazanin" w:hAnsi="IRNazanin" w:eastAsia="IRNazanin" w:cs="IRNazanin"/>
          <w:lang w:bidi="fa-IR"/>
          <w:color w:val="111111"/>
          <w:sz w:val="28"/>
          <w:szCs w:val="28"/>
          <w:rtl/>
        </w:rPr>
        <w:t xml:space="preserve">۴. تهران؛ نوربخش، شماره نسخه:۱۹</w:t>
      </w:r>
    </w:p>
    <w:p>
      <w:pPr>
        <w:pStyle w:val="BookText"/>
      </w:pPr>
      <w:r>
        <w:rPr>
          <w:rFonts w:ascii="IRNazanin" w:hAnsi="IRNazanin" w:eastAsia="IRNazanin" w:cs="IRNazanin"/>
          <w:lang w:bidi="fa-IR"/>
          <w:color w:val="111111"/>
          <w:sz w:val="28"/>
          <w:szCs w:val="28"/>
          <w:rtl/>
        </w:rPr>
        <w:t xml:space="preserve">آغاز: راویان اخبار هدایت آثار چنین روایت کرده اند که روزی سید عالم پیشوای بنی آدم محمد مصطفی ... باصحابه كبار در مسجد نشسته وعظ می فرمودند؛ انجام: که این سوار که بود که اکنون آمد؟ امیر گفت: پیغمبر است.</w:t>
      </w:r>
    </w:p>
    <w:p>
      <w:pPr>
        <w:pStyle w:val="BookText"/>
      </w:pPr>
      <w:r>
        <w:rPr>
          <w:rFonts w:ascii="IRNazanin" w:hAnsi="IRNazanin" w:eastAsia="IRNazanin" w:cs="IRNazanin"/>
          <w:lang w:bidi="fa-IR"/>
          <w:color w:val="111111"/>
          <w:sz w:val="28"/>
          <w:szCs w:val="28"/>
          <w:rtl/>
        </w:rPr>
        <w:t xml:space="preserve">در آن از جنگ ها و دلاوری های حضرت علی و دیگر سرداران صدر اسلام یاد شده است؛ خط: نستعلیق، بی کا، تا: قرن ۱۲؛ افتادگی: انجام؛ کاغذ: ایرانی، جلد: تیماج مشکی یک لا، ۶۴ص، ۱۶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۱-۲۷]</w:t>
      </w:r>
    </w:p>
    <w:p>
      <w:pPr>
        <w:pStyle w:val="BookText"/>
      </w:pPr>
      <w:r>
        <w:rPr>
          <w:rFonts w:ascii="IRNazanin" w:hAnsi="IRNazanin" w:eastAsia="IRNazanin" w:cs="IRNazanin"/>
          <w:lang w:bidi="fa-IR"/>
          <w:color w:val="111111"/>
          <w:sz w:val="28"/>
          <w:szCs w:val="28"/>
          <w:rtl/>
        </w:rPr>
        <w:t xml:space="preserve">۵. مشهد؛ گوهرشاد؛ شماره نسخه: ۱۸۲۲</w:t>
      </w:r>
    </w:p>
    <w:p>
      <w:pPr>
        <w:pStyle w:val="BookText"/>
      </w:pPr>
      <w:r>
        <w:rPr>
          <w:rFonts w:ascii="IRNazanin" w:hAnsi="IRNazanin" w:eastAsia="IRNazanin" w:cs="IRNazanin"/>
          <w:lang w:bidi="fa-IR"/>
          <w:color w:val="111111"/>
          <w:sz w:val="28"/>
          <w:szCs w:val="28"/>
          <w:rtl/>
        </w:rPr>
        <w:t xml:space="preserve">برخی از فهرست مطالب پس از اسامی و معرفی آباء و اجداد نبی اکرم(صلی الله علیه وآله وسلم)چنین است: گفتار در بیان بشارت کتب آسمانی و اشارت سعادتمندان در جهانی به لغت و وصف حضرت خاتم الأنبياء عليه التحية و السلام، ذکر رسیدن تبع به مکه مشرفه و مدینه محترمه و فایز شدن او به دولت ایمان قبل از بعثت سال های فراوان، ذكر ابو عامر راهب و استماع نمودن آواز جنیان اقوال وهن و کاذب، ذکر صور انبیاء عليهم السلام، ذكر بعضی حکایات و روایات که قبل از تولد محفل نشین قافله سالار انبياء عليهم الصلوات و السلام به ثبوت پیوسته، گفتار در میلاد با صفای آن شفیع روز معاد و بیان بعضی حوادث که در آن شب دست داد، شمه ای از غرائب که آمنه و غیر او در شب ولادت مشاهده کردند، گفتار در معنی تسوية البيوت و تصور از آنچه طالع همایون آن محبوب حضرت حي لا يموت ...، ذکر کفایت شر مستهزئان و رسیدن مهم ایشان به خسران و زیان، ذکر وفات ابوطالب و موت خدیجه کبری رضی الله عنها، ذکر رفتن حضرت نبوی صلوات الله وسلامه عليه به طائف ...، ذکر عروج حضرت مقدس نبوی بر معارج قدس ...؛ خط: نستعلیق عالی، بی کا، تا: اواخر قرن ۱۲؛ افتادگی: آغاز و انجام؛ مجدول دارای کمند؛ واقف: سید سعید طباطبایی، ۱۳۳۲، کاغذ: نخودی آهار مهره، جلد: مقوا رویه گالینگور دار چینی، ۱۶۳گ، ۳۰ سطر، اندازه: ۴۱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۲۶/۵ سم [ف: ۵-۲۳۴]</w:t>
      </w:r>
    </w:p>
    <w:p>
      <w:pPr>
        <w:pStyle w:val="BookText"/>
      </w:pPr>
      <w:r>
        <w:rPr>
          <w:rFonts w:ascii="IRNazanin" w:hAnsi="IRNazanin" w:eastAsia="IRNazanin" w:cs="IRNazanin"/>
          <w:lang w:bidi="fa-IR"/>
          <w:color w:val="111111"/>
          <w:sz w:val="28"/>
          <w:szCs w:val="28"/>
          <w:rtl/>
        </w:rPr>
        <w:t xml:space="preserve">۶. تهران؛ ملک؛ شماره نسخه: ۴۷۱۹/۶۱</w:t>
      </w:r>
    </w:p>
    <w:p>
      <w:pPr>
        <w:pStyle w:val="BookText"/>
      </w:pPr>
      <w:r>
        <w:rPr>
          <w:rFonts w:ascii="IRNazanin" w:hAnsi="IRNazanin" w:eastAsia="IRNazanin" w:cs="IRNazanin"/>
          <w:lang w:bidi="fa-IR"/>
          <w:color w:val="111111"/>
          <w:sz w:val="28"/>
          <w:szCs w:val="28"/>
          <w:rtl/>
        </w:rPr>
        <w:t xml:space="preserve">آغاز: لمعه اول. در احوال حضرت خاتم الأنبياء عليه التحية و الثنا. نسب شریفش بدین موجب است: محمد بن عبدالله؛ انجام: و این اول غیبت کبری است.</w:t>
      </w:r>
    </w:p>
    <w:p>
      <w:pPr>
        <w:pStyle w:val="BookText"/>
      </w:pPr>
      <w:r>
        <w:rPr>
          <w:rFonts w:ascii="IRNazanin" w:hAnsi="IRNazanin" w:eastAsia="IRNazanin" w:cs="IRNazanin"/>
          <w:lang w:bidi="fa-IR"/>
          <w:color w:val="111111"/>
          <w:sz w:val="28"/>
          <w:szCs w:val="28"/>
          <w:rtl/>
        </w:rPr>
        <w:t xml:space="preserve">گفتاری کوتاه است در دو «لمعه»: لمعه یکم نسب و سرگذشت پیامبر از جنگ هایش تا وفات، لمعه دوم در سرگذشت امامان تا غیبت کبری؛ خط شکسته نستعلیق، بی کا، تا: ۱۲۳۴ق، جان طهران، مدرسه صدر اعظم کاغذ: نوعی ترمه، جلد: رویه میشن سیاه، ۲گی (۱۵۸ر۱۵۹پ)، اندازه: ۲۸/۲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۱۷/۲ سم [ف: ۸-۷۵]</w:t>
      </w:r>
    </w:p>
    <w:p>
      <w:pPr>
        <w:pStyle w:val="BookText"/>
      </w:pPr>
      <w:r>
        <w:rPr>
          <w:rFonts w:ascii="IRNazanin" w:hAnsi="IRNazanin" w:eastAsia="IRNazanin" w:cs="IRNazanin"/>
          <w:lang w:bidi="fa-IR"/>
          <w:color w:val="111111"/>
          <w:sz w:val="28"/>
          <w:szCs w:val="28"/>
          <w:rtl/>
        </w:rPr>
        <w:t xml:space="preserve">۷. قم؛ گلپایگانی؛ شماره نسخه:۲۰۲۶- ۱۱/۱۲۶</w:t>
      </w:r>
    </w:p>
    <w:p>
      <w:pPr>
        <w:pStyle w:val="BookText"/>
      </w:pPr>
      <w:r>
        <w:rPr>
          <w:rFonts w:ascii="IRNazanin" w:hAnsi="IRNazanin" w:eastAsia="IRNazanin" w:cs="IRNazanin"/>
          <w:lang w:bidi="fa-IR"/>
          <w:color w:val="111111"/>
          <w:sz w:val="28"/>
          <w:szCs w:val="28"/>
          <w:rtl/>
        </w:rPr>
        <w:t xml:space="preserve">آغاز: به سند معتبر از جناب صادق (عليه السلام) روایت شده است که چون حضرت رسول خدا از آمنه متولد شد؛ انجام: ناگهان چشم فکندند به آن صحن سرا***هر دو دیدند که شد نور محمد پیدا / مضطرب گشته دویدند بزورید و کد *** تا رسیدند بر فاطمه بنت اسد تاریخ عمومی است از صدر اسلام شامل داستان هایی از زندگی حضرت علی (عليه السلام) و حضرت پیامبر(صلی الله علیه وآله وسلم) و دیگر امامان که بدون سند و مآخذ برای استفاده عامه مردم تحریر شده؛ خط: نسخ، بی کا، تا: ۲۴ ذیحجه ۱۲۶۲ق؛ افتادگی: آغاز و انجام؛ در دو برگ اشعاری از حاج سلیمان صباحی کاشی تحریر شده؛ جلد: تیماج مشکی مجدول، ۱۶۴گ، ۱۵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۲-۶۷۹]</w:t>
      </w:r>
    </w:p>
    <w:p>
      <w:pPr>
        <w:pStyle w:val="BookText"/>
      </w:pPr>
      <w:r>
        <w:rPr>
          <w:rFonts w:ascii="IRNazanin" w:hAnsi="IRNazanin" w:eastAsia="IRNazanin" w:cs="IRNazanin"/>
          <w:lang w:bidi="fa-IR"/>
          <w:color w:val="111111"/>
          <w:sz w:val="28"/>
          <w:szCs w:val="28"/>
          <w:rtl/>
        </w:rPr>
        <w:t xml:space="preserve">۸. قم؛ مرعشی؛ شماره نسخه: ۱۱۳۹۱</w:t>
      </w:r>
    </w:p>
    <w:p>
      <w:pPr>
        <w:pStyle w:val="BookText"/>
      </w:pPr>
      <w:r>
        <w:rPr>
          <w:rFonts w:ascii="IRNazanin" w:hAnsi="IRNazanin" w:eastAsia="IRNazanin" w:cs="IRNazanin"/>
          <w:lang w:bidi="fa-IR"/>
          <w:color w:val="111111"/>
          <w:sz w:val="28"/>
          <w:szCs w:val="28"/>
          <w:rtl/>
        </w:rPr>
        <w:t xml:space="preserve">آغاز و در حوالی شهر سوس جنگی دیگری کرده باز غالب شد؛ انجام: سنه سیصد و پنجاه فوت عبد الرحمن الناصر لدين الله اموی خلیفه اسپانیول مختصری است در تاریخ اسلام از سال ۶۲ تا سال ۳۵۰ق بر اسلوب تاریخ نویسانی همچون طبری، احتمال می رود که از آثار زمان قاجار باشد؛ خط: شکسته نستعلیق، بی کا، تا: قرن ۱۴؛ افتادگی: آغاز، کاغذ: فرنگی، جلد: تیماج شکلاتی، ۳۵ گ، ۱۳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۲۲/۵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۲۸-۶۵۶]</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اصفهان؛ دانشگاه؛ شماره نسخه: ۴۹۵</w:t>
      </w:r>
    </w:p>
    <w:p>
      <w:pPr>
        <w:pStyle w:val="BookText"/>
      </w:pPr>
      <w:r>
        <w:rPr>
          <w:rFonts w:ascii="IRNazanin" w:hAnsi="IRNazanin" w:eastAsia="IRNazanin" w:cs="IRNazanin"/>
          <w:lang w:bidi="fa-IR"/>
          <w:color w:val="111111"/>
          <w:sz w:val="28"/>
          <w:szCs w:val="28"/>
          <w:rtl/>
        </w:rPr>
        <w:t xml:space="preserve">تازگی ها به نگارش در آمده است؛ خط: نستعلیق، بی کا، تا: قرن ۱۴؛ کاغذ: فرنگی نشریه: ۱۱-۸۸۵]</w:t>
      </w:r>
    </w:p>
    <w:p>
      <w:pPr>
        <w:pStyle w:val="BookText"/>
      </w:pPr>
      <w:r>
        <w:rPr>
          <w:rFonts w:ascii="IRNazanin" w:hAnsi="IRNazanin" w:eastAsia="IRNazanin" w:cs="IRNazanin"/>
          <w:lang w:bidi="fa-IR"/>
          <w:color w:val="111111"/>
          <w:sz w:val="28"/>
          <w:szCs w:val="28"/>
          <w:rtl/>
        </w:rPr>
        <w:t xml:space="preserve">۱۰. اصفهان، دانشگاه؛ شماره نسخه:۵۲۵</w:t>
      </w:r>
    </w:p>
    <w:p>
      <w:pPr>
        <w:pStyle w:val="BookText"/>
      </w:pPr>
      <w:r>
        <w:rPr>
          <w:rFonts w:ascii="IRNazanin" w:hAnsi="IRNazanin" w:eastAsia="IRNazanin" w:cs="IRNazanin"/>
          <w:lang w:bidi="fa-IR"/>
          <w:color w:val="111111"/>
          <w:sz w:val="28"/>
          <w:szCs w:val="28"/>
          <w:rtl/>
        </w:rPr>
        <w:t xml:space="preserve">تازه است؛ خط: نستعلیق، بی کا، تا: قرن ۱۴؛ کاغذ: فرنگی[ نشریه: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۸۸۵-۱۱ ]</w:t>
      </w:r>
    </w:p>
    <w:p>
      <w:pPr>
        <w:pStyle w:val="BookText"/>
      </w:pPr>
      <w:r>
        <w:rPr>
          <w:rFonts w:ascii="IRNazanin" w:hAnsi="IRNazanin" w:eastAsia="IRNazanin" w:cs="IRNazanin"/>
          <w:lang w:bidi="fa-IR"/>
          <w:color w:val="111111"/>
          <w:sz w:val="28"/>
          <w:szCs w:val="28"/>
          <w:rtl/>
        </w:rPr>
        <w:t xml:space="preserve">۱۱. اصفهان، دانشگاه، شماره نسخه:۵۲۶</w:t>
      </w:r>
    </w:p>
    <w:p>
      <w:pPr>
        <w:pStyle w:val="BookText"/>
      </w:pPr>
      <w:r>
        <w:rPr>
          <w:rFonts w:ascii="IRNazanin" w:hAnsi="IRNazanin" w:eastAsia="IRNazanin" w:cs="IRNazanin"/>
          <w:lang w:bidi="fa-IR"/>
          <w:color w:val="111111"/>
          <w:sz w:val="28"/>
          <w:szCs w:val="28"/>
          <w:rtl/>
        </w:rPr>
        <w:t xml:space="preserve">در آن از قمقام فرهاد میرزا و مجمع النورین و جز اینها آورده شده؛ خط: نستعلیق، بی کا، تا: قرن ۱۴[ نشریه: ۱۱-۸۸۵]</w:t>
      </w:r>
    </w:p>
    <w:p>
      <w:pPr>
        <w:pStyle w:val="BookText"/>
      </w:pPr>
      <w:r>
        <w:rPr>
          <w:rFonts w:ascii="IRNazanin" w:hAnsi="IRNazanin" w:eastAsia="IRNazanin" w:cs="IRNazanin"/>
          <w:lang w:bidi="fa-IR"/>
          <w:color w:val="111111"/>
          <w:sz w:val="28"/>
          <w:szCs w:val="28"/>
          <w:rtl/>
        </w:rPr>
        <w:t xml:space="preserve">۱۲. اصفهان؛ دانشگاه؛ شماره نسخه: ۵۱۳/۲</w:t>
      </w:r>
    </w:p>
    <w:p>
      <w:pPr>
        <w:pStyle w:val="BookText"/>
      </w:pPr>
      <w:r>
        <w:rPr>
          <w:rFonts w:ascii="IRNazanin" w:hAnsi="IRNazanin" w:eastAsia="IRNazanin" w:cs="IRNazanin"/>
          <w:lang w:bidi="fa-IR"/>
          <w:color w:val="111111"/>
          <w:sz w:val="28"/>
          <w:szCs w:val="28"/>
          <w:rtl/>
        </w:rPr>
        <w:t xml:space="preserve">تازه است؛ خط: نستعلیق، بی کا، تا: قرن ۱۴؛ کاغذ: فرنگی [نشريه: ۹۴۹-۱۱ ]</w:t>
      </w:r>
    </w:p>
    <w:p>
      <w:pPr>
        <w:pStyle w:val="BookText"/>
      </w:pPr>
      <w:r>
        <w:rPr>
          <w:rFonts w:ascii="IRNazanin" w:hAnsi="IRNazanin" w:eastAsia="IRNazanin" w:cs="IRNazanin"/>
          <w:lang w:bidi="fa-IR"/>
          <w:color w:val="111111"/>
          <w:sz w:val="28"/>
          <w:szCs w:val="28"/>
          <w:rtl/>
        </w:rPr>
        <w:t xml:space="preserve">۱۳. قم؛ گلپایگانی؛ شماره نسخه:۱۲۹/۴ - ۱/۱۲۹</w:t>
      </w:r>
    </w:p>
    <w:p>
      <w:pPr>
        <w:pStyle w:val="BookText"/>
      </w:pPr>
      <w:r>
        <w:rPr>
          <w:rFonts w:ascii="IRNazanin" w:hAnsi="IRNazanin" w:eastAsia="IRNazanin" w:cs="IRNazanin"/>
          <w:lang w:bidi="fa-IR"/>
          <w:color w:val="111111"/>
          <w:sz w:val="28"/>
          <w:szCs w:val="28"/>
          <w:rtl/>
        </w:rPr>
        <w:t xml:space="preserve">آغاز: شکایت می کنم غم و اندوه خود را به خدای ما این ضحاک اگر نه این بودی به اندک زمانی پریشان می ساختم جمع شما را ونرم می کردم گردنهای شما را ابوبکر، انجام: اگر نه چنین بودی نمی گذاشتم احدی را از اعدای رسول و آنان که منافق بودند به رسول خدای ونمی گذاشتم یکی از منکران ولاية خود را و هر آینه  بخشی از کتابی است که به تاریخ اسلام اختصاص داشته، در این بخش وقایع بعد از ارتحال نبی اکرم(صلی الله علیه وآله وسلم)و جریان انتخاب خلیفه و تهاجم به بیت حضرت امیر (عليه السلام) درج شده؛ خط: نسخ، بی کا، بی تا، افتادگی: آغاز و انجام؛ ۲۱گ، ۱۷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۲-۶۸۰]</w:t>
      </w:r>
    </w:p>
    <w:p>
      <w:pPr>
        <w:pStyle w:val="BookText"/>
      </w:pPr>
      <w:r>
        <w:rPr>
          <w:rFonts w:ascii="IRNazanin" w:hAnsi="IRNazanin" w:eastAsia="IRNazanin" w:cs="IRNazanin"/>
          <w:lang w:bidi="fa-IR"/>
          <w:color w:val="111111"/>
          <w:sz w:val="28"/>
          <w:szCs w:val="28"/>
          <w:rtl/>
        </w:rPr>
        <w:t xml:space="preserve">۱۴. اصفهان؛ شهرداری اصفهان، شماره نسخه:۲</w:t>
      </w:r>
    </w:p>
    <w:p>
      <w:pPr>
        <w:pStyle w:val="BookText"/>
      </w:pPr>
      <w:r>
        <w:rPr>
          <w:rFonts w:ascii="IRNazanin" w:hAnsi="IRNazanin" w:eastAsia="IRNazanin" w:cs="IRNazanin"/>
          <w:lang w:bidi="fa-IR"/>
          <w:color w:val="111111"/>
          <w:sz w:val="28"/>
          <w:szCs w:val="28"/>
          <w:rtl/>
        </w:rPr>
        <w:t xml:space="preserve">آغاز: نخستین عنوان: فرستادن آن جناب بار دیگر جمعی از اصحاب را به رفاقت جعفر طیار ... و از آن جمله بد جعفر نامور*** از انش فرستاد خير البشر؛ انجام: باز پسین عنوان: آخرین وداع سید انبیاء اهل بیت را و سپردن اسرار ربانی به شاه اولیاء و رحلت فرمودن از عالم فانی بسردای جاودانی. پس آل عبا را به حسن خطاب*** طلب کرد بهر وداع آن جناب. مثنوی است؛ بی کا، بی تا [نشریه: ۵-۳۰۸]</w:t>
      </w:r>
    </w:p>
    <w:p>
      <w:pPr>
        <w:pStyle w:val="BookText"/>
      </w:pPr>
      <w:r>
        <w:rPr>
          <w:rFonts w:ascii="IRNazanin" w:hAnsi="IRNazanin" w:eastAsia="IRNazanin" w:cs="IRNazanin"/>
          <w:lang w:bidi="fa-IR"/>
          <w:color w:val="111111"/>
          <w:sz w:val="28"/>
          <w:szCs w:val="28"/>
          <w:rtl/>
        </w:rPr>
        <w:t xml:space="preserve">۱۵. تهران؛ نوربخش؛ شماره نسخه:۳۵۸</w:t>
      </w:r>
    </w:p>
    <w:p>
      <w:pPr>
        <w:pStyle w:val="BookText"/>
      </w:pPr>
      <w:r>
        <w:rPr>
          <w:rFonts w:ascii="IRNazanin" w:hAnsi="IRNazanin" w:eastAsia="IRNazanin" w:cs="IRNazanin"/>
          <w:lang w:bidi="fa-IR"/>
          <w:color w:val="111111"/>
          <w:sz w:val="28"/>
          <w:szCs w:val="28"/>
          <w:rtl/>
        </w:rPr>
        <w:t xml:space="preserve">آغاز: گذشت امام تفصيل مأثر ایشان این است که والد خجسته آثار فرخنده اطوار محمد؛ انجام: واجب بود که دست به آمین برآورند. کتابی است با عناوین «ذکرذکر» و در آن سرگذشت بزرگان اسلام از روز تولد تا هنگام وفات آمده است. پایان نسخه افتاده و تا در گذشت حضرت علی(عليه السلام) را دارد؛ خط: نستعلیق، بی کا، بی تا؛ افتادگی: انجام؛ کاغذ: ایرانی، جلد: تیماج يشمی با ترنج، ۹۱۸، ۱۴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۲-۸۵]</w:t>
      </w:r>
    </w:p>
    <w:p>
      <w:pPr>
        <w:pStyle w:val="BookText"/>
      </w:pPr>
      <w:r>
        <w:rPr>
          <w:rFonts w:ascii="IRNazanin" w:hAnsi="IRNazanin" w:eastAsia="IRNazanin" w:cs="IRNazanin"/>
          <w:lang w:bidi="fa-IR"/>
          <w:color w:val="111111"/>
          <w:sz w:val="28"/>
          <w:szCs w:val="28"/>
          <w:rtl/>
        </w:rPr>
        <w:t xml:space="preserve">۱۶. تهران؛ ملی، شماره نسخه: ۱۹۹۴۰</w:t>
      </w:r>
    </w:p>
    <w:p>
      <w:pPr>
        <w:pStyle w:val="BookText"/>
      </w:pPr>
      <w:r>
        <w:rPr>
          <w:rFonts w:ascii="IRNazanin" w:hAnsi="IRNazanin" w:eastAsia="IRNazanin" w:cs="IRNazanin"/>
          <w:lang w:bidi="fa-IR"/>
          <w:color w:val="111111"/>
          <w:sz w:val="28"/>
          <w:szCs w:val="28"/>
          <w:rtl/>
        </w:rPr>
        <w:t xml:space="preserve">بی کا، بی تا؛ خریداری از امرالله صفری [رایانه]</w:t>
      </w:r>
    </w:p>
    <w:p>
      <w:pPr>
        <w:pStyle w:val="BookText"/>
      </w:pPr>
      <w:r>
        <w:rPr>
          <w:rFonts w:ascii="IRNazanin" w:hAnsi="IRNazanin" w:eastAsia="IRNazanin" w:cs="IRNazanin"/>
          <w:lang w:bidi="fa-IR"/>
          <w:color w:val="111111"/>
          <w:sz w:val="28"/>
          <w:szCs w:val="28"/>
          <w:rtl/>
        </w:rPr>
        <w:t xml:space="preserve">۱۷. تهران؛ ملی؛ شماره نسخه: ۲۰۷۷۷</w:t>
      </w:r>
    </w:p>
    <w:p>
      <w:pPr>
        <w:pStyle w:val="BookText"/>
      </w:pPr>
      <w:r>
        <w:rPr>
          <w:rFonts w:ascii="IRNazanin" w:hAnsi="IRNazanin" w:eastAsia="IRNazanin" w:cs="IRNazanin"/>
          <w:lang w:bidi="fa-IR"/>
          <w:color w:val="111111"/>
          <w:sz w:val="28"/>
          <w:szCs w:val="28"/>
          <w:rtl/>
        </w:rPr>
        <w:t xml:space="preserve">به نظم؛ بی کا، بی تا؛ خریداری از امرالله صفری [رایانه]</w:t>
      </w:r>
    </w:p>
    <w:p>
      <w:pPr>
        <w:pStyle w:val="BookText"/>
      </w:pPr>
      <w:r>
        <w:rPr>
          <w:rFonts w:ascii="IRNazanin" w:hAnsi="IRNazanin" w:eastAsia="IRNazanin" w:cs="IRNazanin"/>
          <w:lang w:bidi="fa-IR"/>
          <w:color w:val="111111"/>
          <w:sz w:val="28"/>
          <w:szCs w:val="28"/>
          <w:rtl/>
        </w:rPr>
        <w:t xml:space="preserve">۱۸. تهران؛ ملی؛ شماره نسخه:۱۷۹۰۷</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اندازه: ۲۴/۴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۱۵/۸ سم [رایانه]</w:t>
      </w:r>
    </w:p>
    <w:p>
      <w:pPr>
        <w:pStyle w:val="BookText"/>
      </w:pPr>
      <w:r>
        <w:rPr>
          <w:rFonts w:ascii="IRNazanin" w:hAnsi="IRNazanin" w:eastAsia="IRNazanin" w:cs="IRNazanin"/>
          <w:lang w:bidi="fa-IR"/>
          <w:color w:val="111111"/>
          <w:sz w:val="28"/>
          <w:szCs w:val="28"/>
          <w:rtl/>
        </w:rPr>
        <w:t xml:space="preserve">۱۹. تهران؛ مجلس؛ شماره نسخه: ۲۸۸۵/۶</w:t>
      </w:r>
    </w:p>
    <w:p>
      <w:pPr>
        <w:pStyle w:val="BookText"/>
      </w:pPr>
      <w:r>
        <w:rPr>
          <w:rFonts w:ascii="IRNazanin" w:hAnsi="IRNazanin" w:eastAsia="IRNazanin" w:cs="IRNazanin"/>
          <w:lang w:bidi="fa-IR"/>
          <w:color w:val="111111"/>
          <w:sz w:val="28"/>
          <w:szCs w:val="28"/>
          <w:rtl/>
        </w:rPr>
        <w:t xml:space="preserve">آغاز: و میانه حرب خبر وفات ابوبکر و خلافت عمر خطاب و عزل خالد ولید رسید و امارت ابوعبیده جراح پوشیده داشتند تا لشکر اسلام مظفر شد و رومیان بعد از قتل بسیار منهزم شدند بعد از فتح، خبر آشکارا کردند لشکر بفرمان عمر خطاب و در امر ابو عبیده جراح در آمدند؛ انجام: و از جانب حضرت امیر المؤمنین على(عليه السلام)عبدالله عباس، شامیان راضی نشدند و گفتند او عمزاده تست و بقرابت نگرد ابو موسی اشعری قرار افتاد چون او حاضر نبود تا مدت ششماه وعده حکمین معین شد و از همدیگر بر گشتند مرتضی علی بكوفه رفت و معاویه بشام چون وعده منقضی شد عمر و عاص و ابوموسی اشعری ... بخشی است از تاریخ خلفای اسلام و در آن قسمتی از تاریخ روزگار ابوبکر تا حضرت على (عليه السلام)یاد شده است؛ بی کا، بی تا؛ افتادگی: آغاز و انجام کاغذ: اصفهانی؛ گوناگون، جلد: تیماج مشکی یک لا، ۱۸ص (۵۱-۶۸)، قطع: وزیری، اندازه: ۱۲/۵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۱۰-۲۷۲]</w:t>
      </w:r>
    </w:p>
    <w:p>
      <w:pPr>
        <w:pStyle w:val="BookText"/>
      </w:pPr>
      <w:r>
        <w:rPr>
          <w:rFonts w:ascii="IRNazanin" w:hAnsi="IRNazanin" w:eastAsia="IRNazanin" w:cs="IRNazanin"/>
          <w:lang w:bidi="fa-IR"/>
          <w:color w:val="111111"/>
          <w:sz w:val="28"/>
          <w:szCs w:val="28"/>
          <w:rtl/>
        </w:rPr>
        <w:t xml:space="preserve">۲۰. تهران؛ ملی؛ شماره نسخه:۱۸۰۱۹</w:t>
      </w:r>
    </w:p>
    <w:p>
      <w:pPr>
        <w:pStyle w:val="BookText"/>
      </w:pPr>
      <w:r>
        <w:rPr>
          <w:rFonts w:ascii="IRNazanin" w:hAnsi="IRNazanin" w:eastAsia="IRNazanin" w:cs="IRNazanin"/>
          <w:lang w:bidi="fa-IR"/>
          <w:color w:val="111111"/>
          <w:sz w:val="28"/>
          <w:szCs w:val="28"/>
          <w:rtl/>
        </w:rPr>
        <w:t xml:space="preserve">بی کا، بی تا؛ انتقالی از کتابخانه پهلوی مجموعه نوازی؛ ۱۰۴گ، اندازه: 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۲۰سم [رایانه]</w:t>
      </w:r>
    </w:p>
    <w:p>
      <w:pPr>
        <w:pStyle w:val="BookText"/>
      </w:pPr>
      <w:r>
        <w:rPr>
          <w:rFonts w:ascii="IRNazanin" w:hAnsi="IRNazanin" w:eastAsia="IRNazanin" w:cs="IRNazanin"/>
          <w:lang w:bidi="fa-IR"/>
          <w:color w:val="111111"/>
          <w:sz w:val="28"/>
          <w:szCs w:val="28"/>
          <w:rtl/>
        </w:rPr>
        <w:t xml:space="preserve">۲۱. قم؛ مرعشی؛ شماره نسخه:۵۷۵۳</w:t>
      </w:r>
    </w:p>
    <w:p>
      <w:pPr>
        <w:pStyle w:val="BookText"/>
      </w:pPr>
      <w:r>
        <w:rPr>
          <w:rFonts w:ascii="IRNazanin" w:hAnsi="IRNazanin" w:eastAsia="IRNazanin" w:cs="IRNazanin"/>
          <w:lang w:bidi="fa-IR"/>
          <w:color w:val="111111"/>
          <w:sz w:val="28"/>
          <w:szCs w:val="28"/>
          <w:rtl/>
        </w:rPr>
        <w:t xml:space="preserve">آغاز: و بقولی این واقعه عظمی در اوایل ربيع الاول سنه مزبوره و بعقیده حمدالله در صفر سنه ۴۹ روی داده انجام: سید علی شوشتری ولد میر اسدالله شوشتری بود که چندین سال در خدمت شاه ...</w:t>
      </w:r>
    </w:p>
    <w:p>
      <w:pPr>
        <w:pStyle w:val="BookText"/>
      </w:pPr>
      <w:r>
        <w:rPr>
          <w:rFonts w:ascii="IRNazanin" w:hAnsi="IRNazanin" w:eastAsia="IRNazanin" w:cs="IRNazanin"/>
          <w:lang w:bidi="fa-IR"/>
          <w:color w:val="111111"/>
          <w:sz w:val="28"/>
          <w:szCs w:val="28"/>
          <w:rtl/>
        </w:rPr>
        <w:t xml:space="preserve">تاریخ مختصری است از دولت ها و رویدادهای کشورهای اسلامی با ذکر بعضی از بزرگان دولتی و علمی. در حالات سلطان مراد خان عثمان حالت تحریر کتاب را سال ۱۰۹۵ ثبت کرده است. این کتاب بنا به نوشته رضا قلی خان هدایت روی برگ اول نسخه از یکی از سادات مرعشی مازندران است. فهرست اجمالی کتاب جز حالات ائمه(عليه السلام) که در آغاز آن آمده، چنین است: ذکر مجملی از احوالات و حکومت و ایام سلطنت بنی امیه، بیان وقایع زمان خلافت بنی عباس، شرفا و حکام مکه معظمه، بعضی از سلاطین معاصر بني العباس، ذكر مجملی از اخبار سلاطین ولایت ملتستان، مجملی از احوالات سلاطین کجرات، مجملی از احوال سلاطين مالوه و ماند، مجملی از احوالات سلاطین دکن، مجملی از ذکر سلاطین جونپور، مجملی از احوال ملوک دیلم، مجملی از احوالات سلاطین سلاجقه، ظهور اقاصره آل عثمان؛ اسامی جمعی از ولات موصل، بعضی از حكام مصر طولونيه اند، فرمانفرمایان طبقه اسماعیلیه، ابتداء دولت حسن الصباح الحمیری، سلاطين جبل که مشهورند بگاو پاره، مجملی از ملوک مازندران، ذكر بعضی از سلاطین اندلس، ذكر بعضی از حکام و ولات افریقیه، ذكر حکام و ولات مصر از آل ایوب، ذكر بعضی از حکام سیستان و نیمروز، در مبادی احوال ملوک خوارزم،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378" w:name="pg20363_209664"/>
    <w:bookmarkEnd w:id="378"/>
    <w:p>
      <w:pPr>
        <w:pStyle w:val="BookText"/>
      </w:pPr>
      <w:r>
        <w:rPr>
          <w:rFonts w:ascii="IRNazanin" w:hAnsi="IRNazanin" w:eastAsia="IRNazanin" w:cs="IRNazanin"/>
          <w:lang w:bidi="fa-IR"/>
          <w:color w:val="111111"/>
          <w:sz w:val="28"/>
          <w:szCs w:val="28"/>
          <w:rtl/>
        </w:rPr>
        <w:t xml:space="preserve">مختاری از احوال ترک و تاتار، مختاری از ملوک طوایف، مجملی از احوال ملوک قراقوینلو و آق قوینلو، مختاری از احوالات سلاطین نامدار صفویه؛ خط: نستعلیق، بی کا، بی تاب افتادگی: آغاز و انجام؛ مصحح؛ چند یادداشت از رضا قلی خان هدایت به تاریخ ۱۲۷۶ با مهر «رضا قلی» (بیضوی)؛ جلد: تیماج قهوه ای، ۲۵۵گ، ۱۷ سطر، اندازه: ۲۷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۱۵-۱۴۴]</w:t>
      </w:r>
    </w:p>
    <w:p>
      <w:pPr>
        <w:pStyle w:val="BookText"/>
      </w:pPr>
      <w:r>
        <w:rPr>
          <w:rFonts w:ascii="IRNazanin" w:hAnsi="IRNazanin" w:eastAsia="IRNazanin" w:cs="IRNazanin"/>
          <w:lang w:bidi="fa-IR"/>
          <w:color w:val="111111"/>
          <w:sz w:val="28"/>
          <w:szCs w:val="28"/>
          <w:rtl/>
        </w:rPr>
        <w:t xml:space="preserve">۲۲. تهران؛ دانشگاه؛ شماره نسخه: ۳۸۳۰/۲ -ف</w:t>
      </w:r>
    </w:p>
    <w:p>
      <w:pPr>
        <w:pStyle w:val="BookText"/>
      </w:pPr>
      <w:r>
        <w:rPr>
          <w:rFonts w:ascii="IRNazanin" w:hAnsi="IRNazanin" w:eastAsia="IRNazanin" w:cs="IRNazanin"/>
          <w:lang w:bidi="fa-IR"/>
          <w:color w:val="111111"/>
          <w:sz w:val="28"/>
          <w:szCs w:val="28"/>
          <w:rtl/>
        </w:rPr>
        <w:t xml:space="preserve">خط: نستعلیق، بی کا، بی تا [فيلمها ف: ۲-۲۵۴]</w:t>
      </w:r>
    </w:p>
    <w:p>
      <w:pPr>
        <w:pStyle w:val="BookText"/>
      </w:pPr>
      <w:r>
        <w:rPr>
          <w:rFonts w:ascii="IRNazanin" w:hAnsi="IRNazanin" w:eastAsia="IRNazanin" w:cs="IRNazanin"/>
          <w:lang w:bidi="fa-IR"/>
          <w:color w:val="111111"/>
          <w:sz w:val="28"/>
          <w:szCs w:val="28"/>
          <w:rtl/>
        </w:rPr>
        <w:t xml:space="preserve">۲۳. تهران؛ چهل ستون؛ شماره نسخه: ۲۸۱/۱</w:t>
      </w:r>
    </w:p>
    <w:p>
      <w:pPr>
        <w:pStyle w:val="BookText"/>
      </w:pPr>
      <w:r>
        <w:rPr>
          <w:rFonts w:ascii="IRNazanin" w:hAnsi="IRNazanin" w:eastAsia="IRNazanin" w:cs="IRNazanin"/>
          <w:lang w:bidi="fa-IR"/>
          <w:color w:val="111111"/>
          <w:sz w:val="28"/>
          <w:szCs w:val="28"/>
          <w:rtl/>
        </w:rPr>
        <w:t xml:space="preserve">بخشی از یک کتاب تاریخ. یکی از عناوینش این است: «فصل ثانی در بیان کیفیت خلافت و حالات واقعات و حروب و غزوات حضرت امیر المومنین با حزب ناکثین و قاسطین و مارقین ...»؛ بی کا، بی تا[ چند نسخه -ف: ۳۷۰]</w:t>
      </w:r>
    </w:p>
    <w:p>
      <w:pPr>
        <w:pStyle w:val="BookText"/>
      </w:pPr>
      <w:r>
        <w:rPr>
          <w:rFonts w:ascii="IRNazanin" w:hAnsi="IRNazanin" w:eastAsia="IRNazanin" w:cs="IRNazanin"/>
          <w:lang w:bidi="fa-IR"/>
          <w:color w:val="111111"/>
          <w:sz w:val="28"/>
          <w:szCs w:val="28"/>
          <w:rtl/>
        </w:rPr>
        <w:t xml:space="preserve">۲۴. یزد؛ وزیری؛ شماره نسخه: ۲۹۹۷/۲</w:t>
      </w:r>
    </w:p>
    <w:p>
      <w:pPr>
        <w:pStyle w:val="BookText"/>
      </w:pPr>
      <w:r>
        <w:rPr>
          <w:rFonts w:ascii="IRNazanin" w:hAnsi="IRNazanin" w:eastAsia="IRNazanin" w:cs="IRNazanin"/>
          <w:lang w:bidi="fa-IR"/>
          <w:color w:val="111111"/>
          <w:sz w:val="28"/>
          <w:szCs w:val="28"/>
          <w:rtl/>
        </w:rPr>
        <w:t xml:space="preserve">آغاز: فرمود که در ذیل آنچه نوشته شده؛ انجام: که آری ای عزیزان این خود چه باشد. مشتمل است بر احوالات عمر و عثمان و حضرت علی (عليه السلام)؛ بی کا، بی تاب افتادگی: آغاز و انجام کاغذ: اصفهانی، جلد: مقوایی روکش کاغذ سبز، ابعاد متن: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۴-۱۴۹۹]</w:t>
      </w:r>
    </w:p>
    <w:p>
      <w:pPr>
        <w:pStyle w:val="BookText"/>
      </w:pPr>
      <w:r>
        <w:rPr>
          <w:rFonts w:ascii="IRNazanin" w:hAnsi="IRNazanin" w:eastAsia="IRNazanin" w:cs="IRNazanin"/>
          <w:lang w:bidi="fa-IR"/>
          <w:color w:val="111111"/>
          <w:sz w:val="28"/>
          <w:szCs w:val="28"/>
          <w:rtl/>
        </w:rPr>
        <w:t xml:space="preserve">۲۵. مشهد؛ رضوی؛ شماره نسخه:۲۷۰۸۴</w:t>
      </w:r>
    </w:p>
    <w:p>
      <w:pPr>
        <w:pStyle w:val="BookText"/>
      </w:pPr>
      <w:r>
        <w:rPr>
          <w:rFonts w:ascii="IRNazanin" w:hAnsi="IRNazanin" w:eastAsia="IRNazanin" w:cs="IRNazanin"/>
          <w:lang w:bidi="fa-IR"/>
          <w:color w:val="111111"/>
          <w:sz w:val="28"/>
          <w:szCs w:val="28"/>
          <w:rtl/>
        </w:rPr>
        <w:t xml:space="preserve">آغاز: جامع از اسماع آن لذت دیگر یابد و هر چند پیگر دلکش موزون در لباس پاکیزه ... جلوه گر آید؛ انجام: گفت که همان لحظه بگفتن این کلمات مشغول شدم ... هرگز از من زابل نشد از او پرسیدند که در ليلة الهر ترک آن نکردی خط: نستعلیق، بی کا، بی تا، افتادگی: آغاز و انجام کاغذ: حنایی، جلد: مقوا با عطف پارچه، ۲۵ سطر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قطع: سلطانی، اندازه: ۲۳/۵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۳۳/۵ سم [رایانه]</w:t>
      </w:r>
    </w:p>
    <w:p>
      <w:pPr>
        <w:pStyle w:val="BookText"/>
      </w:pPr>
      <w:r>
        <w:rPr>
          <w:rFonts w:ascii="IRNazanin" w:hAnsi="IRNazanin" w:eastAsia="IRNazanin" w:cs="IRNazanin"/>
          <w:lang w:bidi="fa-IR"/>
          <w:color w:val="111111"/>
          <w:sz w:val="28"/>
          <w:szCs w:val="28"/>
          <w:rtl/>
        </w:rPr>
        <w:t xml:space="preserve">← تاریخ الاسلام للذهبی ← تاریخ الاسلام و طبقات مشاهير الأعلام</w:t>
      </w:r>
    </w:p>
    <w:p>
      <w:pPr>
        <w:pStyle w:val="Heading3"/>
      </w:pPr>
      <w:bookmarkStart w:id="2014" w:name="_Toc1274"/>
      <w:r>
        <w:t>• تاریخ اسلام (مختصر) / تاریخ / فارسی</w:t>
      </w:r>
      <w:bookmarkEnd w:id="2014"/>
    </w:p>
    <w:p>
      <w:pPr>
        <w:pStyle w:val="BookText"/>
      </w:pPr>
      <w:r>
        <w:rPr>
          <w:rFonts w:ascii="Times New Roman" w:hAnsi="Times New Roman" w:eastAsia="Times New Roman" w:cs="Times New Roman"/>
          <w:lang w:val="en-US" w:bidi="en-US"/>
          <w:color w:val="111111"/>
          <w:sz w:val="28"/>
          <w:szCs w:val="28"/>
          <w:rtl/>
        </w:rPr>
        <w:t xml:space="preserve">tārīx-e eslām (mx.)</w:t>
      </w:r>
    </w:p>
    <w:p>
      <w:pPr>
        <w:pStyle w:val="BookText"/>
      </w:pPr>
      <w:r>
        <w:rPr>
          <w:rFonts w:ascii="IRNazanin" w:hAnsi="IRNazanin" w:eastAsia="IRNazanin" w:cs="IRNazanin"/>
          <w:lang w:bidi="fa-IR"/>
          <w:color w:val="111111"/>
          <w:sz w:val="28"/>
          <w:szCs w:val="28"/>
          <w:rtl/>
        </w:rPr>
        <w:t xml:space="preserve">تهران؛ چهل ستون؛ شماره نسخه:۲۲۵</w:t>
      </w:r>
    </w:p>
    <w:p>
      <w:pPr>
        <w:pStyle w:val="BookText"/>
      </w:pPr>
      <w:r>
        <w:rPr>
          <w:rFonts w:ascii="IRNazanin" w:hAnsi="IRNazanin" w:eastAsia="IRNazanin" w:cs="IRNazanin"/>
          <w:lang w:bidi="fa-IR"/>
          <w:color w:val="111111"/>
          <w:sz w:val="28"/>
          <w:szCs w:val="28"/>
          <w:rtl/>
        </w:rPr>
        <w:t xml:space="preserve">آغاز: عربستان شبه جزیزه بزرگی است به مساحت تقریبا</w:t>
      </w:r>
    </w:p>
    <w:p>
      <w:pPr>
        <w:pStyle w:val="BookText"/>
      </w:pPr>
      <w:r>
        <w:rPr>
          <w:rFonts w:ascii="IRNazanin" w:hAnsi="IRNazanin" w:eastAsia="IRNazanin" w:cs="IRNazanin"/>
          <w:lang w:bidi="fa-IR"/>
          <w:color w:val="111111"/>
          <w:sz w:val="28"/>
          <w:szCs w:val="28"/>
          <w:rtl/>
        </w:rPr>
        <w:t xml:space="preserve">تاریخ اسلام نگارش دکتر فیاض را بانو هاشمیان نژاد کوتاه کرده؛ خط: نستعلیق، بی کا، بی تا؛ ۴۰گ، قطع: ربعی[ چند نسخه -ف: ۳۵۴]</w:t>
      </w:r>
    </w:p>
    <w:p>
      <w:pPr>
        <w:pStyle w:val="Heading3"/>
      </w:pPr>
      <w:bookmarkStart w:id="2015" w:name="_Toc1275"/>
      <w:r>
        <w:t>• تاریخ اسلام (مختصر) / تاریخ / فارسی</w:t>
      </w:r>
      <w:bookmarkEnd w:id="2015"/>
    </w:p>
    <w:p>
      <w:pPr>
        <w:pStyle w:val="BookText"/>
      </w:pPr>
      <w:r>
        <w:rPr>
          <w:rFonts w:ascii="Times New Roman" w:hAnsi="Times New Roman" w:eastAsia="Times New Roman" w:cs="Times New Roman"/>
          <w:lang w:val="en-US" w:bidi="en-US"/>
          <w:color w:val="111111"/>
          <w:sz w:val="28"/>
          <w:szCs w:val="28"/>
          <w:rtl/>
        </w:rPr>
        <w:t xml:space="preserve">tārīx-e eslām (mx.)</w:t>
      </w:r>
    </w:p>
    <w:p>
      <w:pPr>
        <w:pStyle w:val="BookText"/>
      </w:pPr>
      <w:r>
        <w:rPr>
          <w:rFonts w:ascii="IRNazanin" w:hAnsi="IRNazanin" w:eastAsia="IRNazanin" w:cs="IRNazanin"/>
          <w:lang w:bidi="fa-IR"/>
          <w:color w:val="111111"/>
          <w:sz w:val="28"/>
          <w:szCs w:val="28"/>
          <w:rtl/>
        </w:rPr>
        <w:t xml:space="preserve">قم؛ فیضیه؛ شماره نسخه: ۶۴۵/۲</w:t>
      </w:r>
    </w:p>
    <w:p>
      <w:pPr>
        <w:pStyle w:val="BookText"/>
      </w:pPr>
      <w:r>
        <w:rPr>
          <w:rFonts w:ascii="IRNazanin" w:hAnsi="IRNazanin" w:eastAsia="IRNazanin" w:cs="IRNazanin"/>
          <w:lang w:bidi="fa-IR"/>
          <w:color w:val="111111"/>
          <w:sz w:val="28"/>
          <w:szCs w:val="28"/>
          <w:rtl/>
        </w:rPr>
        <w:t xml:space="preserve">آغاز: جزيرة العرب یا عربستان فلاتی است مسطح؛ انجام: مروان که آخرین خلفای بنی امیه است ملقب به حمار می باشد خلاصه ای از تاریخ اسلام تا پایان حکومت بنی امیه؛ بی کا، بی تا؛ ۲۰گ، ۱۷سطر،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۳-۱۵]</w:t>
      </w:r>
    </w:p>
    <w:p>
      <w:pPr>
        <w:pStyle w:val="Heading3"/>
      </w:pPr>
      <w:bookmarkStart w:id="2016" w:name="_Toc1276"/>
      <w:r>
        <w:t>• تاریخ اسلام و ایران / تاریخ / فارسی</w:t>
      </w:r>
      <w:bookmarkEnd w:id="2016"/>
    </w:p>
    <w:p>
      <w:pPr>
        <w:pStyle w:val="BookText"/>
      </w:pPr>
      <w:r>
        <w:rPr>
          <w:rFonts w:ascii="Times New Roman" w:hAnsi="Times New Roman" w:eastAsia="Times New Roman" w:cs="Times New Roman"/>
          <w:lang w:val="en-US" w:bidi="en-US"/>
          <w:color w:val="111111"/>
          <w:sz w:val="28"/>
          <w:szCs w:val="28"/>
          <w:rtl/>
        </w:rPr>
        <w:t xml:space="preserve">tārīx-e eslām va īrān</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IRNazanin" w:hAnsi="IRNazanin" w:eastAsia="IRNazanin" w:cs="IRNazanin"/>
          <w:lang w:bidi="fa-IR"/>
          <w:color w:val="111111"/>
          <w:sz w:val="28"/>
          <w:szCs w:val="28"/>
          <w:rtl/>
        </w:rPr>
        <w:t xml:space="preserve">۱. قم؛ گلپایگانی؛ شماره نسخه:۷۷۳۳- ۳۹/۱۱۳</w:t>
      </w:r>
    </w:p>
    <w:p>
      <w:pPr>
        <w:pStyle w:val="BookText"/>
      </w:pPr>
      <w:r>
        <w:rPr>
          <w:rFonts w:ascii="IRNazanin" w:hAnsi="IRNazanin" w:eastAsia="IRNazanin" w:cs="IRNazanin"/>
          <w:lang w:bidi="fa-IR"/>
          <w:color w:val="111111"/>
          <w:sz w:val="28"/>
          <w:szCs w:val="28"/>
          <w:rtl/>
        </w:rPr>
        <w:t xml:space="preserve">آغاز: جوار و دوستی که پدرش با اونگ خان او را اعزار و احترام نموده فرزند می خواند و چند مرتبه او را بر سر مخالفا فرستاده ظفر یافت؛ انجام: شنبه ۴ شعبان داخل مشهد شدند و خیابان ..... و آب میان خیابان مشهد وصحن آستانه کتابی است در تاریخ صدر اسلام و پس از آن احوال سلاطين ایران تا اواخر قرن ۱۱ هجری، در ابتدای شرح حال هر یک از سلاطین یا بیان حوادث تاريخ حادثه را درج می کند و مباحث موجود در نسخه از حوادث سال ۳۵ ق تا ۱۰۶۱ق را شامل است؛ خط: نستعلیق، بی کا، تا: قرن ۱۲؛ افتادگی: آغاز و انجام؛ برگهای نسخه جابجا شده؛ جلد: مقوا عطف گالینگور قهوه ای، ۱۱۱گ، ۱۵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۲-۶۸۱</w:t>
      </w:r>
    </w:p>
    <w:p>
      <w:pPr>
        <w:pStyle w:val="BookText"/>
      </w:pPr>
      <w:r>
        <w:rPr>
          <w:rFonts w:ascii="IRNazanin" w:hAnsi="IRNazanin" w:eastAsia="IRNazanin" w:cs="IRNazanin"/>
          <w:lang w:bidi="fa-IR"/>
          <w:color w:val="111111"/>
          <w:sz w:val="28"/>
          <w:szCs w:val="28"/>
          <w:rtl/>
        </w:rPr>
        <w:t xml:space="preserve">۲. قم؛ گلپایگانی؛ شماره نسخه:۷۴۷۴- ۳۸/۹۴</w:t>
      </w:r>
    </w:p>
    <w:p>
      <w:pPr>
        <w:pStyle w:val="BookText"/>
      </w:pPr>
      <w:r>
        <w:rPr>
          <w:rFonts w:ascii="IRNazanin" w:hAnsi="IRNazanin" w:eastAsia="IRNazanin" w:cs="IRNazanin"/>
          <w:lang w:bidi="fa-IR"/>
          <w:color w:val="111111"/>
          <w:sz w:val="28"/>
          <w:szCs w:val="28"/>
          <w:rtl/>
        </w:rPr>
        <w:t xml:space="preserve">آغاز: الغرض چون این امر بسعی مالک اشتر و سر کردگی اشعث بن قیس شد بعضی از اهل کوفه ... مخفی نیست که در ابتدا و انتها جنگ صفین اختلاف است که چند وقت بود عبدالله در حبیب السير آورده که؛ انجام: وروس بسیار اسیر وقتیل و سالهای دراز وقرنها گذشت که روسیه یاد ایران زمین و تسخیر آن نکردند لقد كان في قصصهم عبرة لأولى الباب کتاب مفصلی است در تاریخ اسلام و ایران تألیف یکی از مورخین قرن ۱۳ هجری، به دلیل افتادگی آغاز نسخه نام مؤلف به دست نیامد، نسخه حاضر از جنگ صفین را در بردارد، در بیان تاریخ خلفا و سلاطین به مسائل اجتماعی و حوادث عجیبی که در آن اعصار اتفاق افتاده اشاره می کند و شمه ای از صفات سلاطین را بیان می نماید تاریخ ایران را تا اوایل قرن یازدهم و سلطنت شاه عباس می آورد و در اواخر کتاب متن مصالحه نامچه ای را که به تاریخ ۱۲۴۷ نگاشته آورده است مصالحه مذکور فیمابین حشمت الدوله و آقا محمد جعفر مجتهد است در مورد مزارع دار الدولة کرمانشاهان. مؤلف از روضة الصفا و حبيب السير مطالبی نقل می کند؛ خط: نسخ، بی کا، تا: قرن ۱۳؛ افتادگی: آغاز؛ جلد: تیماج قهوه ای مجدول با ترنج و سرترنج، ۳۶۷گ، ۱۹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۲-۶۸۰]</w:t>
      </w:r>
    </w:p>
    <w:p>
      <w:pPr>
        <w:pStyle w:val="BookText"/>
      </w:pPr>
      <w:r>
        <w:rPr>
          <w:rFonts w:ascii="IRNazanin" w:hAnsi="IRNazanin" w:eastAsia="IRNazanin" w:cs="IRNazanin"/>
          <w:lang w:bidi="fa-IR"/>
          <w:color w:val="111111"/>
          <w:sz w:val="28"/>
          <w:szCs w:val="28"/>
          <w:rtl/>
        </w:rPr>
        <w:t xml:space="preserve">٣. قم؛ مسجد اعظم؛ شماره نسخه: ۴۱۷۳/۱</w:t>
      </w:r>
    </w:p>
    <w:p>
      <w:pPr>
        <w:pStyle w:val="BookText"/>
      </w:pPr>
      <w:r>
        <w:rPr>
          <w:rFonts w:ascii="IRNazanin" w:hAnsi="IRNazanin" w:eastAsia="IRNazanin" w:cs="IRNazanin"/>
          <w:lang w:bidi="fa-IR"/>
          <w:color w:val="111111"/>
          <w:sz w:val="28"/>
          <w:szCs w:val="28"/>
          <w:rtl/>
        </w:rPr>
        <w:t xml:space="preserve">آغاز: عربستان شبه جزیره ای است که از جنوب به خلیج عدن و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379" w:name="pg20363_209665"/>
    <w:bookmarkEnd w:id="379"/>
    <w:p>
      <w:pPr>
        <w:pStyle w:val="BookText"/>
      </w:pPr>
      <w:r>
        <w:rPr>
          <w:rFonts w:ascii="IRNazanin" w:hAnsi="IRNazanin" w:eastAsia="IRNazanin" w:cs="IRNazanin"/>
          <w:lang w:bidi="fa-IR"/>
          <w:color w:val="111111"/>
          <w:sz w:val="28"/>
          <w:szCs w:val="28"/>
          <w:rtl/>
        </w:rPr>
        <w:t xml:space="preserve">تنگه باب المندب و اقیانوس هند و از مشرق به بحر عمان؛ انجام: اشرف افغان در این موقع با کمال درایت و زیر کی کارها را انجام داد و قبل از هر چیز مدعیان خود را از قبیل الیاس که یکی از دوستان محمود بود.</w:t>
      </w:r>
    </w:p>
    <w:p>
      <w:pPr>
        <w:pStyle w:val="BookText"/>
      </w:pPr>
      <w:r>
        <w:rPr>
          <w:rFonts w:ascii="IRNazanin" w:hAnsi="IRNazanin" w:eastAsia="IRNazanin" w:cs="IRNazanin"/>
          <w:lang w:bidi="fa-IR"/>
          <w:color w:val="111111"/>
          <w:sz w:val="28"/>
          <w:szCs w:val="28"/>
          <w:rtl/>
        </w:rPr>
        <w:t xml:space="preserve">احتمالا یکی از دست نوشته های دانشجویان است که مختصرة تاریخ اسلام و ورود آن به ایران و ایران اسلامی را بررسی کرده  است؛ خط: نستعلیق، بی کا، بی تا، جلد: گالینگور سبز، عطف تیماج زرشکی، ۱۱۹گ (1ر-۱۱۹پ)، ۲۵ سطر، اندازه: ۲۷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مخ: ۱-۳۰۳)</w:t>
      </w:r>
    </w:p>
    <w:p>
      <w:pPr>
        <w:pStyle w:val="BookText"/>
      </w:pPr>
      <w:r>
        <w:rPr>
          <w:rFonts w:ascii="IRNazanin" w:hAnsi="IRNazanin" w:eastAsia="IRNazanin" w:cs="IRNazanin"/>
          <w:lang w:bidi="fa-IR"/>
          <w:color w:val="111111"/>
          <w:sz w:val="28"/>
          <w:szCs w:val="28"/>
          <w:rtl/>
        </w:rPr>
        <w:t xml:space="preserve">۴. تهران؛ دانشگاه؛ شماره نسخه: ۷۵۰۷/۱۳</w:t>
      </w:r>
    </w:p>
    <w:p>
      <w:pPr>
        <w:pStyle w:val="BookText"/>
      </w:pPr>
      <w:r>
        <w:rPr>
          <w:rFonts w:ascii="IRNazanin" w:hAnsi="IRNazanin" w:eastAsia="IRNazanin" w:cs="IRNazanin"/>
          <w:lang w:bidi="fa-IR"/>
          <w:color w:val="111111"/>
          <w:sz w:val="28"/>
          <w:szCs w:val="28"/>
          <w:rtl/>
        </w:rPr>
        <w:t xml:space="preserve">خط: نستعلیق، بی کا، بی تا، کاغذ: فرنگی کبود و سفید، جلد: مقوا عطف تریاکی، ۲گ (۷۳-۷۴)، ۱۸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 قطع: خشتی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سم [ف: ۱۶-۶۰۰]</w:t>
      </w:r>
    </w:p>
    <w:p>
      <w:pPr>
        <w:pStyle w:val="BookText"/>
      </w:pPr>
      <w:r>
        <w:rPr>
          <w:rFonts w:ascii="IRNazanin" w:hAnsi="IRNazanin" w:eastAsia="IRNazanin" w:cs="IRNazanin"/>
          <w:lang w:bidi="fa-IR"/>
          <w:color w:val="111111"/>
          <w:sz w:val="28"/>
          <w:szCs w:val="28"/>
          <w:rtl/>
        </w:rPr>
        <w:t xml:space="preserve">۵. تهران؛ دانشگاه؛ شماره نسخه: ۷۵۰۷/۱۳</w:t>
      </w:r>
    </w:p>
    <w:p>
      <w:pPr>
        <w:pStyle w:val="BookText"/>
      </w:pPr>
      <w:r>
        <w:rPr>
          <w:rFonts w:ascii="IRNazanin" w:hAnsi="IRNazanin" w:eastAsia="IRNazanin" w:cs="IRNazanin"/>
          <w:lang w:bidi="fa-IR"/>
          <w:color w:val="111111"/>
          <w:sz w:val="28"/>
          <w:szCs w:val="28"/>
          <w:rtl/>
        </w:rPr>
        <w:t xml:space="preserve">با عنوان باب دوم بیان احوال خاقان اوزبک و مغول؛ خط: نستعلیق، بی کا، بی تا؛ کاغذ: فرنگی کبود و سفید، جلد: مقوا عطف تریاکی، ۲گ (۷۳-۷۴)، ۱۸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۱۶-۶۰۰]</w:t>
      </w:r>
    </w:p>
    <w:p>
      <w:pPr>
        <w:pStyle w:val="Heading3"/>
      </w:pPr>
      <w:bookmarkStart w:id="2017" w:name="_Toc1277"/>
      <w:r>
        <w:t>• تاریخ الاسلام و طبقات مشاهير الأعلام = تاریخ الاسلام للذهبي = تاریخ ذهبی / تاریخ اسلام / عربی</w:t>
      </w:r>
      <w:bookmarkEnd w:id="2017"/>
    </w:p>
    <w:p>
      <w:pPr>
        <w:pStyle w:val="BookText"/>
      </w:pPr>
      <w:r>
        <w:rPr>
          <w:rFonts w:ascii="Times New Roman" w:hAnsi="Times New Roman" w:eastAsia="Times New Roman" w:cs="Times New Roman"/>
          <w:lang w:val="en-US" w:bidi="en-US"/>
          <w:color w:val="111111"/>
          <w:sz w:val="28"/>
          <w:szCs w:val="28"/>
          <w:rtl/>
        </w:rPr>
        <w:t xml:space="preserve">tārīx-ul islām wa tabaqāt-u mašāhīr-il aʻlām = tārīx-ul islām li-d-dahabī= tārīx-i dahabī</w:t>
      </w:r>
    </w:p>
    <w:p>
      <w:pPr>
        <w:pStyle w:val="BookText"/>
      </w:pPr>
      <w:r>
        <w:rPr>
          <w:rFonts w:ascii="IRNazanin" w:hAnsi="IRNazanin" w:eastAsia="IRNazanin" w:cs="IRNazanin"/>
          <w:lang w:bidi="fa-IR"/>
          <w:color w:val="111111"/>
          <w:sz w:val="28"/>
          <w:szCs w:val="28"/>
          <w:rtl/>
        </w:rPr>
        <w:t xml:space="preserve">ذهبی، محمد بن احمد، ۶۷۳-۷۴۸ قمری</w:t>
      </w:r>
    </w:p>
    <w:p>
      <w:pPr>
        <w:pStyle w:val="BookText"/>
      </w:pPr>
      <w:r>
        <w:rPr>
          <w:rFonts w:ascii="Times New Roman" w:hAnsi="Times New Roman" w:eastAsia="Times New Roman" w:cs="Times New Roman"/>
          <w:lang w:val="en-US" w:bidi="en-US"/>
          <w:color w:val="111111"/>
          <w:sz w:val="28"/>
          <w:szCs w:val="28"/>
          <w:rtl/>
        </w:rPr>
        <w:t xml:space="preserve">zahabī, mohammad ebn-e ahmad (1275-1348)</w:t>
      </w:r>
    </w:p>
    <w:p>
      <w:pPr>
        <w:pStyle w:val="BookText"/>
      </w:pPr>
      <w:r>
        <w:rPr>
          <w:rFonts w:ascii="IRNazanin" w:hAnsi="IRNazanin" w:eastAsia="IRNazanin" w:cs="IRNazanin"/>
          <w:lang w:bidi="fa-IR"/>
          <w:color w:val="111111"/>
          <w:sz w:val="28"/>
          <w:szCs w:val="28"/>
          <w:rtl/>
        </w:rPr>
        <w:t xml:space="preserve">کتاب مفصلی است در تاریخ اسلام، به ترتیب سنوات از سال اول هجری تا آخر سال ۷۰۰ق. مؤلف کتاب را به ۷۰ طبقه تقسیم کرده و هر طبقه را در ۱۰ سال قرار داده است و اسامی هر طبقه را به ترتیب حروف هجاء مرتب کرده است. مؤلف چند بار این کتاب را مختصر کرده است. تجزیه کتاب به حسب نسخ موجود آن متفاوت است. حاجی خلیفه آن را در دوازده مجلد و کحاله آن را در بیست و یک مجلد نوشته است. پس از وی دیگران کار او را دنبال کرده ذیل هایی برای آن ساخته اند.</w:t>
      </w:r>
    </w:p>
    <w:p>
      <w:pPr>
        <w:pStyle w:val="BookText"/>
      </w:pPr>
      <w:r>
        <w:rPr>
          <w:rFonts w:ascii="IRNazanin" w:hAnsi="IRNazanin" w:eastAsia="IRNazanin" w:cs="IRNazanin"/>
          <w:lang w:bidi="fa-IR"/>
          <w:color w:val="111111"/>
          <w:sz w:val="28"/>
          <w:szCs w:val="28"/>
          <w:rtl/>
        </w:rPr>
        <w:t xml:space="preserve">چاپ: قاهرة، مكتبة القدسی، ۱۹۵۴م، الجزء الخامس، نشره: حسام الدین القدسی، ۳۵۲ص</w:t>
      </w:r>
    </w:p>
    <w:p>
      <w:pPr>
        <w:pStyle w:val="BookText"/>
      </w:pPr>
      <w:r>
        <w:rPr>
          <w:rFonts w:ascii="IRNazanin" w:hAnsi="IRNazanin" w:eastAsia="IRNazanin" w:cs="IRNazanin"/>
          <w:lang w:bidi="fa-IR"/>
          <w:color w:val="111111"/>
          <w:sz w:val="28"/>
          <w:szCs w:val="28"/>
          <w:rtl/>
        </w:rPr>
        <w:t xml:space="preserve">[دنا ۶۷۲/۲ (۱۰ نسخه)؛ کشف الظنون ۲۹۵/۱ ؛ معجم المؤلفين ۲۸۹/۸ ؛ معجم المطبوعات ۹۰۱/۱ «دول الاسلام»؛ پیشگفتار چ «تهذيب الكمال في اسماء الرجال» از بشار عواد معروف ]</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تاریخ دول الاسلام على الولاء و خلفاء الامة و ملوکها و اعلامها؛ ذهبی، محمد بن احمد (۶۷۳-۷۴۸)</w:t>
      </w:r>
    </w:p>
    <w:p>
      <w:pPr>
        <w:pStyle w:val="BookText"/>
      </w:pPr>
      <w:r>
        <w:rPr>
          <w:rFonts w:ascii="IRNazanin" w:hAnsi="IRNazanin" w:eastAsia="IRNazanin" w:cs="IRNazanin"/>
          <w:lang w:bidi="fa-IR"/>
          <w:color w:val="111111"/>
          <w:sz w:val="28"/>
          <w:szCs w:val="28"/>
          <w:rtl/>
        </w:rPr>
        <w:t xml:space="preserve">۲- غربال الزمان المفتتح بسيد ولد؛ عدنان عامری، عبدالله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دائرة المعارف؛ شماره نسخه:۶۷- عکسی</w:t>
      </w:r>
    </w:p>
    <w:p>
      <w:pPr>
        <w:pStyle w:val="BookText"/>
      </w:pPr>
      <w:r>
        <w:rPr>
          <w:rFonts w:ascii="IRNazanin" w:hAnsi="IRNazanin" w:eastAsia="IRNazanin" w:cs="IRNazanin"/>
          <w:lang w:bidi="fa-IR"/>
          <w:color w:val="111111"/>
          <w:sz w:val="28"/>
          <w:szCs w:val="28"/>
          <w:rtl/>
        </w:rPr>
        <w:t xml:space="preserve">آغاز: المجلد الثاني عشر من کتاب تاریخ الاسلام تاليف محمد بن احمد بن عثمان الذهبي. من هذه الطبقة (3صفحه بعد). بسمله الطبقة السادسة و الثلاثون. سنة احدی و خمسین و ثلاثمائة. احمد بن محمد بن خليج البغدادی نزیل مصر، و واپسین کس: محمد بن ابی موسی عیسی بن احمد بن موسی بن محمد بن ابراهيم ... الشريف واپسین عنوان (کس): محمد بن ابی موسی عیسی بن احمد بن موسی بن محمد بن ابراهيم ... الهاشمي است نسخه اصل: ایاصوفيا، ش ۲۰۰۸. جلد ۱۲، طبقه ۳۶، از سال ۳۵ ق؛ خط: نسخ تحریری، کاتب = مؤلف، تا: قرن ۱۸ در ۳ مجلد عکس؛ ۲۷۹ گ، ۱۹ سطر [عکسی ف: ۲-۵۱]</w:t>
      </w:r>
    </w:p>
    <w:p>
      <w:pPr>
        <w:pStyle w:val="BookText"/>
      </w:pPr>
      <w:r>
        <w:rPr>
          <w:rFonts w:ascii="IRNazanin" w:hAnsi="IRNazanin" w:eastAsia="IRNazanin" w:cs="IRNazanin"/>
          <w:lang w:bidi="fa-IR"/>
          <w:color w:val="111111"/>
          <w:sz w:val="28"/>
          <w:szCs w:val="28"/>
          <w:rtl/>
        </w:rPr>
        <w:t xml:space="preserve">تهران، دانشگاه شماره نسخه: ۴۲۲-ف</w:t>
      </w:r>
    </w:p>
    <w:p>
      <w:pPr>
        <w:pStyle w:val="BookText"/>
      </w:pPr>
      <w:r>
        <w:rPr>
          <w:rFonts w:ascii="Amiri" w:hAnsi="Amiri" w:eastAsia="Amiri" w:cs="Amiri"/>
          <w:lang w:bidi="ar-SA"/>
          <w:color w:val="111111"/>
          <w:sz w:val="28"/>
          <w:szCs w:val="28"/>
          <w:rtl/>
        </w:rPr>
        <w:t xml:space="preserve">نسخه اصل: همان نسخه بالا [فيلمها ف: ۱-۲۹۲]</w:t>
      </w:r>
    </w:p>
    <w:p>
      <w:pPr>
        <w:pStyle w:val="BookText"/>
      </w:pPr>
      <w:r>
        <w:rPr>
          <w:rFonts w:ascii="IRNazanin" w:hAnsi="IRNazanin" w:eastAsia="IRNazanin" w:cs="IRNazanin"/>
          <w:lang w:bidi="fa-IR"/>
          <w:color w:val="111111"/>
          <w:sz w:val="28"/>
          <w:szCs w:val="28"/>
          <w:rtl/>
        </w:rPr>
        <w:t xml:space="preserve">۲. قم؛ مرعشی؛ شماره نسخه: ۶۲۴عکسی و ۶۲۵عکسی</w:t>
      </w:r>
    </w:p>
    <w:p>
      <w:pPr>
        <w:pStyle w:val="BookText"/>
      </w:pPr>
      <w:r>
        <w:rPr>
          <w:rFonts w:ascii="IRNazanin" w:hAnsi="IRNazanin" w:eastAsia="IRNazanin" w:cs="IRNazanin"/>
          <w:lang w:bidi="fa-IR"/>
          <w:color w:val="111111"/>
          <w:sz w:val="28"/>
          <w:szCs w:val="28"/>
          <w:rtl/>
        </w:rPr>
        <w:t xml:space="preserve">آغاز: الطبقة الحادية و الأربعون، ذکر سنة احدی و أربعمایه و من توفي فيها. احمد بن عبدالملک بن هاشم ... الاشبیلی المالکی؛ انجام: اسماعيل ... ابو غالب الاسكافي النحوي نسخه اصل: ایاصوفيا - استانبول، ش ۳۰۰۹. مشتمل است بر ذکر حوادث و وفیات از ابتدای سال ۴۰۱ تا مقداری از سال ۴۵۰ق؛ خط: نسخ، كاتب = مؤلف (ظاهرة)، بی تا، افتادگی: انجام؛ روی صفحه عنوان «المجلد الحادی عشر» ثبت شده، مصحح، محشی؛ ۲۴۷گ، مختلف السطر [عکسی ف: ۲-۱۰۸ و ۱۰۹]</w:t>
      </w:r>
    </w:p>
    <w:p>
      <w:pPr>
        <w:pStyle w:val="BookText"/>
      </w:pPr>
      <w:r>
        <w:rPr>
          <w:rFonts w:ascii="IRNazanin" w:hAnsi="IRNazanin" w:eastAsia="IRNazanin" w:cs="IRNazanin"/>
          <w:lang w:bidi="fa-IR"/>
          <w:color w:val="111111"/>
          <w:sz w:val="28"/>
          <w:szCs w:val="28"/>
          <w:rtl/>
        </w:rPr>
        <w:t xml:space="preserve">٣. تهران؛ مجلس؛ شماره نسخه: ۹۵۲۱</w:t>
      </w:r>
    </w:p>
    <w:p>
      <w:pPr>
        <w:pStyle w:val="BookText"/>
      </w:pPr>
      <w:r>
        <w:rPr>
          <w:rFonts w:ascii="IRNazanin" w:hAnsi="IRNazanin" w:eastAsia="IRNazanin" w:cs="IRNazanin"/>
          <w:lang w:bidi="fa-IR"/>
          <w:color w:val="111111"/>
          <w:sz w:val="28"/>
          <w:szCs w:val="28"/>
          <w:rtl/>
        </w:rPr>
        <w:t xml:space="preserve">آغاز: بسمله. حوادث سنة احدی و خمسین و خمسمائة قدم في اواخر سنة خمسين الى بغداد السلطان سلیمن شاه بن محمد بن ملکشاه؛ انجام: مات قبل الستمائة آخر الطبقة و لله الحمد اولا و آخرا</w:t>
      </w:r>
    </w:p>
    <w:p>
      <w:pPr>
        <w:pStyle w:val="BookText"/>
      </w:pPr>
      <w:r>
        <w:rPr>
          <w:rFonts w:ascii="IRNazanin" w:hAnsi="IRNazanin" w:eastAsia="IRNazanin" w:cs="IRNazanin"/>
          <w:lang w:bidi="fa-IR"/>
          <w:color w:val="111111"/>
          <w:sz w:val="28"/>
          <w:szCs w:val="28"/>
          <w:rtl/>
        </w:rPr>
        <w:t xml:space="preserve">مجلد دوم از سال ۵۵۱ تا ۵۸۶ سپس طبقه ۵۹ از احمد تا قاضی خان و طبقه ۶ از احمد تا یوسف؛ خط: نسخ، بی کا، تا: سه شنبه ۴ شوال ۱۰۶۱ق؛ مجدول، رکابه دار، دارای چند یادداشت تملک به تاریخ های ۱۱۰۰ و ۱۱۲۷ و ۱۲۴۰، چند یادداشت تاریخ تولد به تاریخ های ۱۳۳۹-۱۳۴۴؛ جلد: مقوای رویه پارچه سبز عطف تیماج آبی، ۲۳۷گ، ۲۵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۳۰-۱۹۲]</w:t>
      </w:r>
    </w:p>
    <w:p>
      <w:pPr>
        <w:pStyle w:val="BookText"/>
      </w:pPr>
      <w:r>
        <w:rPr>
          <w:rFonts w:ascii="IRNazanin" w:hAnsi="IRNazanin" w:eastAsia="IRNazanin" w:cs="IRNazanin"/>
          <w:lang w:bidi="fa-IR"/>
          <w:color w:val="111111"/>
          <w:sz w:val="28"/>
          <w:szCs w:val="28"/>
          <w:rtl/>
        </w:rPr>
        <w:t xml:space="preserve">تهران؛ دانشگاه؛ شماره نسخه:۷۰۰۴-عکس</w:t>
      </w:r>
    </w:p>
    <w:p>
      <w:pPr>
        <w:pStyle w:val="BookText"/>
      </w:pPr>
      <w:r>
        <w:rPr>
          <w:rFonts w:ascii="IRNazanin" w:hAnsi="IRNazanin" w:eastAsia="IRNazanin" w:cs="IRNazanin"/>
          <w:lang w:bidi="fa-IR"/>
          <w:color w:val="111111"/>
          <w:sz w:val="28"/>
          <w:szCs w:val="28"/>
          <w:rtl/>
        </w:rPr>
        <w:t xml:space="preserve">نسخه اصل: همان نسخه بالا [فیلمها ف: ۳-۲۷۱]</w:t>
      </w:r>
    </w:p>
    <w:p>
      <w:pPr>
        <w:pStyle w:val="BookText"/>
      </w:pPr>
      <w:r>
        <w:rPr>
          <w:rFonts w:ascii="IRNazanin" w:hAnsi="IRNazanin" w:eastAsia="IRNazanin" w:cs="IRNazanin"/>
          <w:lang w:bidi="fa-IR"/>
          <w:color w:val="111111"/>
          <w:sz w:val="28"/>
          <w:szCs w:val="28"/>
          <w:rtl/>
        </w:rPr>
        <w:t xml:space="preserve">۴. قم: مرکز مطالعات؛ شماره نسخه: ۱۰۵۱/۲ -عکسی و ۱۰۵۲/۲ -عکسی</w:t>
      </w:r>
    </w:p>
    <w:p>
      <w:pPr>
        <w:pStyle w:val="BookText"/>
      </w:pPr>
      <w:r>
        <w:rPr>
          <w:rFonts w:ascii="IRNazanin" w:hAnsi="IRNazanin" w:eastAsia="IRNazanin" w:cs="IRNazanin"/>
          <w:lang w:bidi="fa-IR"/>
          <w:color w:val="111111"/>
          <w:sz w:val="28"/>
          <w:szCs w:val="28"/>
          <w:rtl/>
        </w:rPr>
        <w:t xml:space="preserve">آغاز: واشتهروا حج معادلا للنفي احمد العز مكان يمشي كثيرا لطلب السماع في الاماكن؛ انجام: محمد الشيخ جمال الدين الساوجی الزاهد شيخ الطائفة القلندرية قدم دمشق و ... ثم أن الساوجی حلق وجهه و راسه فابطل على ذلك حاله.</w:t>
      </w:r>
    </w:p>
    <w:p>
      <w:pPr>
        <w:pStyle w:val="BookText"/>
      </w:pPr>
      <w:r>
        <w:rPr>
          <w:rFonts w:ascii="IRNazanin" w:hAnsi="IRNazanin" w:eastAsia="IRNazanin" w:cs="IRNazanin"/>
          <w:lang w:bidi="fa-IR"/>
          <w:color w:val="111111"/>
          <w:sz w:val="28"/>
          <w:szCs w:val="28"/>
          <w:rtl/>
        </w:rPr>
        <w:t xml:space="preserve">بخش بسیار کوتاهی از تاریخ الاسلام از سال ۵۵۵ به بعد تا سال ۵۹۲ق؛ خط: نسخ، بی کا، بی تا؛ اهدایی: آقای</w:t>
      </w:r>
    </w:p>
    <w:p>
      <w:pPr>
        <w:pStyle w:val="BookText"/>
      </w:pPr>
      <w:r>
        <w:rPr>
          <w:rFonts w:ascii="IRNazanin" w:hAnsi="IRNazanin" w:eastAsia="IRNazanin" w:cs="IRNazanin"/>
          <w:lang w:bidi="fa-IR"/>
          <w:color w:val="111111"/>
          <w:sz w:val="28"/>
          <w:szCs w:val="28"/>
          <w:rtl/>
        </w:rPr>
        <w:t xml:space="preserve">حاج محمد کلاهی؛ جلد: گالینگور مشکی، ۹گ (۶-۱۴)، ۲۵ سطر، اندازه: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380" w:name="pg20363_209666"/>
    <w:bookmarkEnd w:id="380"/>
    <w:p>
      <w:pPr>
        <w:pStyle w:val="BookText"/>
      </w:pPr>
      <w:r>
        <w:rPr>
          <w:rFonts w:ascii="IRNazanin" w:hAnsi="IRNazanin" w:eastAsia="IRNazanin" w:cs="IRNazanin"/>
          <w:lang w:bidi="fa-IR"/>
          <w:color w:val="111111"/>
          <w:sz w:val="28"/>
          <w:szCs w:val="28"/>
          <w:rtl/>
        </w:rPr>
        <w:t xml:space="preserve">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۲-۳۰۱]</w:t>
      </w:r>
    </w:p>
    <w:p>
      <w:pPr>
        <w:pStyle w:val="BookText"/>
      </w:pPr>
      <w:r>
        <w:rPr>
          <w:rFonts w:ascii="IRNazanin" w:hAnsi="IRNazanin" w:eastAsia="IRNazanin" w:cs="IRNazanin"/>
          <w:lang w:bidi="fa-IR"/>
          <w:color w:val="111111"/>
          <w:sz w:val="28"/>
          <w:szCs w:val="28"/>
          <w:rtl/>
        </w:rPr>
        <w:t xml:space="preserve">۵. تهران، دانشگاه؛ شماره نسخه:۳۷۹۹-ف</w:t>
      </w:r>
    </w:p>
    <w:p>
      <w:pPr>
        <w:pStyle w:val="BookText"/>
      </w:pPr>
      <w:r>
        <w:rPr>
          <w:rFonts w:ascii="IRNazanin" w:hAnsi="IRNazanin" w:eastAsia="IRNazanin" w:cs="IRNazanin"/>
          <w:lang w:bidi="fa-IR"/>
          <w:color w:val="111111"/>
          <w:sz w:val="28"/>
          <w:szCs w:val="28"/>
          <w:rtl/>
        </w:rPr>
        <w:t xml:space="preserve">نسخه اصل: پاریس 1214 . </w:t>
      </w:r>
      <w:r>
        <w:rPr>
          <w:rFonts w:ascii="Times New Roman" w:hAnsi="Times New Roman" w:eastAsia="Times New Roman" w:cs="Times New Roman"/>
          <w:lang w:val="en-US" w:bidi="en-US"/>
          <w:color w:val="111111"/>
          <w:sz w:val="28"/>
          <w:szCs w:val="28"/>
          <w:rtl/>
        </w:rPr>
        <w:t xml:space="preserve">A. F </w:t>
      </w:r>
      <w:r>
        <w:rPr>
          <w:rFonts w:ascii="IRNazanin" w:hAnsi="IRNazanin" w:eastAsia="IRNazanin" w:cs="IRNazanin"/>
          <w:lang w:bidi="fa-IR"/>
          <w:color w:val="111111"/>
          <w:sz w:val="28"/>
          <w:szCs w:val="28"/>
          <w:rtl/>
        </w:rPr>
        <w:t xml:space="preserve">؛ بی کا، بی تا [فيلمها ف: ۲-۲۵۰]</w:t>
      </w:r>
    </w:p>
    <w:p>
      <w:pPr>
        <w:pStyle w:val="BookText"/>
      </w:pPr>
      <w:r>
        <w:rPr>
          <w:rFonts w:ascii="IRNazanin" w:hAnsi="IRNazanin" w:eastAsia="IRNazanin" w:cs="IRNazanin"/>
          <w:lang w:bidi="fa-IR"/>
          <w:color w:val="111111"/>
          <w:sz w:val="28"/>
          <w:szCs w:val="28"/>
          <w:rtl/>
        </w:rPr>
        <w:t xml:space="preserve">۶. تهران، دانشگاه؛ شماره نسخه:۶۹۸-ف</w:t>
      </w:r>
    </w:p>
    <w:p>
      <w:pPr>
        <w:pStyle w:val="BookText"/>
      </w:pPr>
      <w:r>
        <w:rPr>
          <w:rFonts w:ascii="IRNazanin" w:hAnsi="IRNazanin" w:eastAsia="IRNazanin" w:cs="IRNazanin"/>
          <w:lang w:bidi="fa-IR"/>
          <w:color w:val="111111"/>
          <w:sz w:val="28"/>
          <w:szCs w:val="28"/>
          <w:rtl/>
        </w:rPr>
        <w:t xml:space="preserve">نسخه اصل: موزه بریتانیا 23280 .</w:t>
      </w:r>
      <w:r>
        <w:rPr>
          <w:rFonts w:ascii="Times New Roman" w:hAnsi="Times New Roman" w:eastAsia="Times New Roman" w:cs="Times New Roman"/>
          <w:lang w:val="en-US" w:bidi="en-US"/>
          <w:color w:val="111111"/>
          <w:sz w:val="28"/>
          <w:szCs w:val="28"/>
          <w:rtl/>
        </w:rPr>
        <w:t xml:space="preserve">Add</w:t>
      </w:r>
      <w:r>
        <w:rPr>
          <w:rFonts w:ascii="IRNazanin" w:hAnsi="IRNazanin" w:eastAsia="IRNazanin" w:cs="IRNazanin"/>
          <w:lang w:bidi="fa-IR"/>
          <w:color w:val="111111"/>
          <w:sz w:val="28"/>
          <w:szCs w:val="28"/>
          <w:rtl/>
        </w:rPr>
        <w:t xml:space="preserve">؛ خط: نسخ، بی کا، بی تا؛ ۱۹۰گ، ۲۳ سطر</w:t>
      </w:r>
    </w:p>
    <w:p>
      <w:pPr>
        <w:pStyle w:val="BookText"/>
      </w:pPr>
      <w:r>
        <w:rPr>
          <w:rFonts w:ascii="Amiri" w:hAnsi="Amiri" w:eastAsia="Amiri" w:cs="Amiri"/>
          <w:lang w:bidi="ar-SA"/>
          <w:color w:val="111111"/>
          <w:sz w:val="28"/>
          <w:szCs w:val="28"/>
          <w:rtl/>
        </w:rPr>
        <w:t xml:space="preserve">[فيلمها ف: ۱-۲۹۳]</w:t>
      </w:r>
    </w:p>
    <w:p>
      <w:pPr>
        <w:pStyle w:val="BookText"/>
      </w:pPr>
      <w:r>
        <w:rPr>
          <w:rFonts w:ascii="IRNazanin" w:hAnsi="IRNazanin" w:eastAsia="IRNazanin" w:cs="IRNazanin"/>
          <w:lang w:bidi="fa-IR"/>
          <w:color w:val="111111"/>
          <w:sz w:val="28"/>
          <w:szCs w:val="28"/>
          <w:rtl/>
        </w:rPr>
        <w:t xml:space="preserve">۷. تهران، دانشگاه؛ شماره نسخه: ۷۰۰-ف</w:t>
      </w:r>
    </w:p>
    <w:p>
      <w:pPr>
        <w:pStyle w:val="BookText"/>
      </w:pPr>
      <w:r>
        <w:rPr>
          <w:rFonts w:ascii="IRNazanin" w:hAnsi="IRNazanin" w:eastAsia="IRNazanin" w:cs="IRNazanin"/>
          <w:lang w:bidi="fa-IR"/>
          <w:color w:val="111111"/>
          <w:sz w:val="28"/>
          <w:szCs w:val="28"/>
          <w:rtl/>
        </w:rPr>
        <w:t xml:space="preserve">نسخه اصل: موزه بریتانیا 250 .</w:t>
      </w:r>
      <w:r>
        <w:rPr>
          <w:rFonts w:ascii="Times New Roman" w:hAnsi="Times New Roman" w:eastAsia="Times New Roman" w:cs="Times New Roman"/>
          <w:lang w:val="en-US" w:bidi="en-US"/>
          <w:color w:val="111111"/>
          <w:sz w:val="28"/>
          <w:szCs w:val="28"/>
          <w:rtl/>
        </w:rPr>
        <w:t xml:space="preserve">Or. </w:t>
      </w:r>
      <w:r>
        <w:rPr>
          <w:rFonts w:ascii="IRNazanin" w:hAnsi="IRNazanin" w:eastAsia="IRNazanin" w:cs="IRNazanin"/>
          <w:lang w:bidi="fa-IR"/>
          <w:color w:val="111111"/>
          <w:sz w:val="28"/>
          <w:szCs w:val="28"/>
          <w:rtl/>
        </w:rPr>
        <w:t xml:space="preserve">از سال ۴۵۱-۴۹۰ (این هم باید از ذهبی باشد)؛ خط: نسخ، كا: محمد بن ابراهيم بن محمد نیلی، بی تا؛ افتادگی: انجام [فیلمها ف: ۱-۲۹۳]</w:t>
      </w:r>
    </w:p>
    <w:p>
      <w:pPr>
        <w:pStyle w:val="Heading3"/>
      </w:pPr>
      <w:bookmarkStart w:id="2018" w:name="_Toc1278"/>
      <w:r>
        <w:t>•تاریخ اشکانیان / تاریخ ایران / فارسی</w:t>
      </w:r>
      <w:bookmarkEnd w:id="2018"/>
    </w:p>
    <w:p>
      <w:pPr>
        <w:pStyle w:val="BookText"/>
      </w:pPr>
      <w:r>
        <w:rPr>
          <w:rFonts w:ascii="Times New Roman" w:hAnsi="Times New Roman" w:eastAsia="Times New Roman" w:cs="Times New Roman"/>
          <w:lang w:val="en-US" w:bidi="en-US"/>
          <w:color w:val="111111"/>
          <w:sz w:val="28"/>
          <w:szCs w:val="28"/>
          <w:rtl/>
        </w:rPr>
        <w:t xml:space="preserve">tārīx-e aškānīyān</w:t>
      </w:r>
    </w:p>
    <w:p>
      <w:pPr>
        <w:pStyle w:val="BookText"/>
      </w:pPr>
      <w:r>
        <w:rPr>
          <w:rFonts w:ascii="IRNazanin" w:hAnsi="IRNazanin" w:eastAsia="IRNazanin" w:cs="IRNazanin"/>
          <w:lang w:bidi="fa-IR"/>
          <w:color w:val="111111"/>
          <w:sz w:val="28"/>
          <w:szCs w:val="28"/>
          <w:rtl/>
        </w:rPr>
        <w:t xml:space="preserve">تهران؛ ملی؛ شماره نسخه: ۲۷۳۸۱</w:t>
      </w:r>
    </w:p>
    <w:p>
      <w:pPr>
        <w:pStyle w:val="BookText"/>
      </w:pPr>
      <w:r>
        <w:rPr>
          <w:rFonts w:ascii="IRNazanin" w:hAnsi="IRNazanin" w:eastAsia="IRNazanin" w:cs="IRNazanin"/>
          <w:lang w:bidi="fa-IR"/>
          <w:color w:val="111111"/>
          <w:sz w:val="28"/>
          <w:szCs w:val="28"/>
          <w:rtl/>
        </w:rPr>
        <w:t xml:space="preserve">بی کا، بی تا؛ انتقالی از مبادلات در تاریخ ۸۷/۳/۲۵ [رایانه]</w:t>
      </w:r>
    </w:p>
    <w:p>
      <w:pPr>
        <w:pStyle w:val="BookText"/>
      </w:pPr>
      <w:r>
        <w:rPr>
          <w:rFonts w:ascii="IRNazanin" w:hAnsi="IRNazanin" w:eastAsia="IRNazanin" w:cs="IRNazanin"/>
          <w:lang w:bidi="fa-IR"/>
          <w:color w:val="111111"/>
          <w:sz w:val="28"/>
          <w:szCs w:val="28"/>
          <w:rtl/>
        </w:rPr>
        <w:t xml:space="preserve">← تاریخ اصفهان ← محاسن اصفهان</w:t>
      </w:r>
    </w:p>
    <w:p>
      <w:pPr>
        <w:pStyle w:val="Heading3"/>
      </w:pPr>
      <w:bookmarkStart w:id="2019" w:name="_Toc1279"/>
      <w:r>
        <w:t>• تاریخ اصفهان = ترجمه محاسن اصفهان / تاریخ ایران / فارسی</w:t>
      </w:r>
      <w:bookmarkEnd w:id="2019"/>
    </w:p>
    <w:p>
      <w:pPr>
        <w:pStyle w:val="BookText"/>
      </w:pPr>
      <w:r>
        <w:rPr>
          <w:rFonts w:ascii="Times New Roman" w:hAnsi="Times New Roman" w:eastAsia="Times New Roman" w:cs="Times New Roman"/>
          <w:lang w:val="en-US" w:bidi="en-US"/>
          <w:color w:val="111111"/>
          <w:sz w:val="28"/>
          <w:szCs w:val="28"/>
          <w:rtl/>
        </w:rPr>
        <w:t xml:space="preserve">tārīx-e esfahān= t.-ye mahāsen-e esfahān</w:t>
      </w:r>
    </w:p>
    <w:p>
      <w:pPr>
        <w:pStyle w:val="BookText"/>
      </w:pPr>
      <w:r>
        <w:rPr>
          <w:rFonts w:ascii="IRNazanin" w:hAnsi="IRNazanin" w:eastAsia="IRNazanin" w:cs="IRNazanin"/>
          <w:lang w:bidi="fa-IR"/>
          <w:color w:val="111111"/>
          <w:sz w:val="28"/>
          <w:szCs w:val="28"/>
          <w:rtl/>
        </w:rPr>
        <w:t xml:space="preserve">آوی، حسین بن محمد، ق ۸ قمری</w:t>
      </w:r>
    </w:p>
    <w:p>
      <w:pPr>
        <w:pStyle w:val="BookText"/>
      </w:pPr>
      <w:r>
        <w:rPr>
          <w:rFonts w:ascii="Times New Roman" w:hAnsi="Times New Roman" w:eastAsia="Times New Roman" w:cs="Times New Roman"/>
          <w:lang w:val="en-US" w:bidi="en-US"/>
          <w:color w:val="111111"/>
          <w:sz w:val="28"/>
          <w:szCs w:val="28"/>
          <w:rtl/>
        </w:rPr>
        <w:t xml:space="preserve">āvī, hoseyn ebn-e mohammad (-14c)</w:t>
      </w:r>
    </w:p>
    <w:p>
      <w:pPr>
        <w:pStyle w:val="BookText"/>
      </w:pPr>
      <w:r>
        <w:rPr>
          <w:rFonts w:ascii="IRNazanin" w:hAnsi="IRNazanin" w:eastAsia="IRNazanin" w:cs="IRNazanin"/>
          <w:lang w:bidi="fa-IR"/>
          <w:color w:val="111111"/>
          <w:sz w:val="28"/>
          <w:szCs w:val="28"/>
          <w:rtl/>
        </w:rPr>
        <w:t xml:space="preserve">وابسته به محاسن اصفهان = تاریخ اصفهان؛ مافروخی، مفضل بن سعد (۵-) اهدا به: وزیر غیاث الدین محمد بن رشید الدین فضل الله تاريخ تأليف: ۷۲۹ق؛ محل تأليف: اصفهان ترجمه ای است با افزودگی هایی، در ۸ «ذکر»: 1. وصف اصفهان به اجمال؛ ۲. وصف اصفهان و نواحی به تفصيل؛ ۳. حدیث گاو خانی و نوادر نواحی اصفهان؛ ۴. محاسن داخلی و خارجی شهر؛ ۵. بزرگانی که از آن شهر بیرون آمده اند؛ ۶. وصف اصفهان و اهل آن؛ 7. صفت فصول آن شهر؛ ۸ وصف مصلی و کوهچه و نام ابدال و بزرگان آن سامان. ( احمد منزوی) آغاز: شکر این غم خوارگی بهر دعای دولتت</w:t>
      </w:r>
      <w:r>
        <w:rPr>
          <w:rFonts w:ascii="IRNazanin" w:hAnsi="IRNazanin" w:eastAsia="IRNazanin" w:cs="IRNazanin"/>
          <w:lang w:bidi="fa-IR"/>
          <w:color w:val="111111"/>
          <w:sz w:val="28"/>
          <w:szCs w:val="28"/>
          <w:b w:val="1"/>
          <w:bCs w:val="1"/>
          <w:i w:val="1"/>
          <w:iCs w:val="1"/>
          <w:rtl/>
        </w:rPr>
        <w:t xml:space="preserve">نسخه دارد زهی از طرز حسان يافته / گر اجازت باشد از حضرت فرو خواند دعا</w:t>
      </w:r>
      <w:r>
        <w:rPr>
          <w:rFonts w:ascii="IRNazanin" w:hAnsi="IRNazanin" w:eastAsia="IRNazanin" w:cs="IRNazanin"/>
          <w:lang w:bidi="fa-IR"/>
          <w:color w:val="111111"/>
          <w:sz w:val="28"/>
          <w:szCs w:val="28"/>
          <w:rtl/>
        </w:rPr>
        <w:t xml:space="preserve"> رسم آمین در پیش از لطف یزدان یافته انجام: مبارزان طریقت که نفس بشکستند *** بزور بازوی تقوی و للحروب رجال. چاپ: تهران، به کوشش عباس اقبال آشتیانی، ۱۳۳۸ش، ۱۶۸+۵ ص.</w:t>
      </w:r>
    </w:p>
    <w:p>
      <w:pPr>
        <w:pStyle w:val="BookText"/>
      </w:pPr>
      <w:r>
        <w:rPr>
          <w:rFonts w:ascii="IRNazanin" w:hAnsi="IRNazanin" w:eastAsia="IRNazanin" w:cs="IRNazanin"/>
          <w:lang w:bidi="fa-IR"/>
          <w:color w:val="111111"/>
          <w:sz w:val="28"/>
          <w:szCs w:val="28"/>
          <w:rtl/>
        </w:rPr>
        <w:t xml:space="preserve">[دنا ۶۷۲/۲ ؛ فهرستواره منزوی ۹۳۰/۲ ]</w:t>
      </w:r>
    </w:p>
    <w:p>
      <w:pPr>
        <w:pStyle w:val="BookText"/>
      </w:pPr>
      <w:r>
        <w:rPr>
          <w:rFonts w:ascii="IRNazanin" w:hAnsi="IRNazanin" w:eastAsia="IRNazanin" w:cs="IRNazanin"/>
          <w:lang w:bidi="fa-IR"/>
          <w:color w:val="111111"/>
          <w:sz w:val="28"/>
          <w:szCs w:val="28"/>
          <w:rtl/>
        </w:rPr>
        <w:t xml:space="preserve">۱. تهران؛ دانشگاه؛ شماره نسخه:۵۰۲۳ف</w:t>
      </w:r>
    </w:p>
    <w:p>
      <w:pPr>
        <w:pStyle w:val="BookText"/>
      </w:pPr>
      <w:r>
        <w:rPr>
          <w:rFonts w:ascii="IRNazanin" w:hAnsi="IRNazanin" w:eastAsia="IRNazanin" w:cs="IRNazanin"/>
          <w:lang w:bidi="fa-IR"/>
          <w:color w:val="111111"/>
          <w:sz w:val="28"/>
          <w:szCs w:val="28"/>
          <w:rtl/>
        </w:rPr>
        <w:t xml:space="preserve">نسخه اصل: انجمن آسیایی همایونی 180 .</w:t>
      </w:r>
      <w:r>
        <w:rPr>
          <w:rFonts w:ascii="Times New Roman" w:hAnsi="Times New Roman" w:eastAsia="Times New Roman" w:cs="Times New Roman"/>
          <w:lang w:val="en-US" w:bidi="en-US"/>
          <w:color w:val="111111"/>
          <w:sz w:val="28"/>
          <w:szCs w:val="28"/>
          <w:rtl/>
        </w:rPr>
        <w:t xml:space="preserve">P </w:t>
      </w:r>
      <w:r>
        <w:rPr>
          <w:rFonts w:ascii="IRNazanin" w:hAnsi="IRNazanin" w:eastAsia="IRNazanin" w:cs="IRNazanin"/>
          <w:lang w:bidi="fa-IR"/>
          <w:color w:val="111111"/>
          <w:sz w:val="28"/>
          <w:szCs w:val="28"/>
          <w:rtl/>
        </w:rPr>
        <w:t xml:space="preserve">؛ بی کا، تا: ۸۸۴ق [فیلمها ف: ۳-۱۲۴]</w:t>
      </w:r>
    </w:p>
    <w:p>
      <w:pPr>
        <w:pStyle w:val="BookText"/>
      </w:pPr>
      <w:r>
        <w:rPr>
          <w:rFonts w:ascii="IRNazanin" w:hAnsi="IRNazanin" w:eastAsia="IRNazanin" w:cs="IRNazanin"/>
          <w:lang w:bidi="fa-IR"/>
          <w:color w:val="111111"/>
          <w:sz w:val="28"/>
          <w:szCs w:val="28"/>
          <w:rtl/>
        </w:rPr>
        <w:t xml:space="preserve">۲. قم؛ مرعشی؛ شماره نسخه:۱۱۵۰۵</w:t>
      </w:r>
    </w:p>
    <w:p>
      <w:pPr>
        <w:pStyle w:val="BookText"/>
      </w:pPr>
      <w:r>
        <w:rPr>
          <w:rFonts w:ascii="IRNazanin" w:hAnsi="IRNazanin" w:eastAsia="IRNazanin" w:cs="IRNazanin"/>
          <w:lang w:bidi="fa-IR"/>
          <w:color w:val="111111"/>
          <w:sz w:val="28"/>
          <w:szCs w:val="28"/>
          <w:rtl/>
        </w:rPr>
        <w:t xml:space="preserve">آغاز: عرب را که تو دیدی بر ما دوش*** امروز همانست عجم وار بر آمد؛ انجام: فمل حل جيليس يثني رحالها*** و أنسی ..</w:t>
      </w:r>
    </w:p>
    <w:p>
      <w:pPr>
        <w:pStyle w:val="BookText"/>
      </w:pPr>
      <w:r>
        <w:rPr>
          <w:rFonts w:ascii="IRNazanin" w:hAnsi="IRNazanin" w:eastAsia="IRNazanin" w:cs="IRNazanin"/>
          <w:lang w:bidi="fa-IR"/>
          <w:color w:val="111111"/>
          <w:sz w:val="28"/>
          <w:szCs w:val="28"/>
          <w:rtl/>
        </w:rPr>
        <w:t xml:space="preserve">خط: شکسته نستعلیق و نسخ، كا: ظهير جرادقانی (گلپایگانی)، تا: قرن ۱۱؛ افتادگی: آغاز و انجام؛ مصحح با رمز ۱۲ و ۲۵ مهر: عبده صادق ۱۱۷۸» (مربع)؛ کاغذ: سمرقندی تحریری، جلد: تیماج قهوه ای یک لا، ۸۱گ، ۱۸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۲۹-۱۴۳]</w:t>
      </w:r>
    </w:p>
    <w:p>
      <w:pPr>
        <w:pStyle w:val="BookText"/>
      </w:pPr>
      <w:r>
        <w:rPr>
          <w:rFonts w:ascii="IRNazanin" w:hAnsi="IRNazanin" w:eastAsia="IRNazanin" w:cs="IRNazanin"/>
          <w:lang w:bidi="fa-IR"/>
          <w:color w:val="111111"/>
          <w:sz w:val="28"/>
          <w:szCs w:val="28"/>
          <w:rtl/>
        </w:rPr>
        <w:t xml:space="preserve">٣. مشهد؛ رضوی؛ شماره نسخه:۱۲۲۰۵</w:t>
      </w:r>
    </w:p>
    <w:p>
      <w:pPr>
        <w:pStyle w:val="BookText"/>
      </w:pPr>
      <w:r>
        <w:rPr>
          <w:rFonts w:ascii="IRNazanin" w:hAnsi="IRNazanin" w:eastAsia="IRNazanin" w:cs="IRNazanin"/>
          <w:lang w:bidi="fa-IR"/>
          <w:color w:val="111111"/>
          <w:sz w:val="28"/>
          <w:szCs w:val="28"/>
          <w:rtl/>
        </w:rPr>
        <w:t xml:space="preserve">آغاز: اما بعد چنین گوید محرر این کلمات و مقرر این ملكات؛ انجام: برابر خط: نسخ، كا: محمد باقر، تا: شوال ۱۲۷۹ق، جا؛ تهران؛ افتادگی: آغاز [الفبائی:-۴۹۹]</w:t>
      </w:r>
    </w:p>
    <w:p>
      <w:pPr>
        <w:pStyle w:val="BookText"/>
      </w:pPr>
      <w:r>
        <w:rPr>
          <w:rFonts w:ascii="IRNazanin" w:hAnsi="IRNazanin" w:eastAsia="IRNazanin" w:cs="IRNazanin"/>
          <w:lang w:bidi="fa-IR"/>
          <w:color w:val="111111"/>
          <w:sz w:val="28"/>
          <w:szCs w:val="28"/>
          <w:rtl/>
        </w:rPr>
        <w:t xml:space="preserve">۴. تهران: دانشگاه؛ شماره نسخه:۱۷۴۹</w:t>
      </w:r>
    </w:p>
    <w:p>
      <w:pPr>
        <w:pStyle w:val="BookText"/>
      </w:pPr>
      <w:r>
        <w:rPr>
          <w:rFonts w:ascii="IRNazanin" w:hAnsi="IRNazanin" w:eastAsia="IRNazanin" w:cs="IRNazanin"/>
          <w:lang w:bidi="fa-IR"/>
          <w:color w:val="111111"/>
          <w:sz w:val="28"/>
          <w:szCs w:val="28"/>
          <w:rtl/>
        </w:rPr>
        <w:t xml:space="preserve">خط: نسخ، بی کا، بی تا؛ از زمان مترجم و تا س اس ۱۴۵ چاپی را دارد و یک صفحه نونویس است؛ کاغذ: سمرقندی، ۱۷۰، ۱۵ سطر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۸-۲۷۲]</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مرعشی؛ شماره نسخه:۱۵۴۳</w:t>
      </w:r>
    </w:p>
    <w:p>
      <w:pPr>
        <w:pStyle w:val="BookText"/>
      </w:pPr>
      <w:r>
        <w:rPr>
          <w:rFonts w:ascii="IRNazanin" w:hAnsi="IRNazanin" w:eastAsia="IRNazanin" w:cs="IRNazanin"/>
          <w:lang w:bidi="fa-IR"/>
          <w:color w:val="111111"/>
          <w:sz w:val="28"/>
          <w:szCs w:val="28"/>
          <w:rtl/>
        </w:rPr>
        <w:t xml:space="preserve">آغاز و انجام: برابر خط: نسخ زیبا، بی کا، بی تا، جلد: تیماج قرمز ضربی طلایی، ۱۳۴</w:t>
      </w:r>
    </w:p>
    <w:p>
      <w:pPr>
        <w:pStyle w:val="BookText"/>
      </w:pPr>
      <w:r>
        <w:rPr>
          <w:rFonts w:ascii="IRNazanin" w:hAnsi="IRNazanin" w:eastAsia="IRNazanin" w:cs="IRNazanin"/>
          <w:lang w:bidi="fa-IR"/>
          <w:color w:val="111111"/>
          <w:sz w:val="28"/>
          <w:szCs w:val="28"/>
          <w:rtl/>
        </w:rPr>
        <w:t xml:space="preserve">، ۱۲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۴-۳۴۵]</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قم؛ مرعشی؛ شماره نسخه:۲۲۶۷</w:t>
      </w:r>
    </w:p>
    <w:p>
      <w:pPr>
        <w:pStyle w:val="BookText"/>
      </w:pPr>
      <w:r>
        <w:rPr>
          <w:rFonts w:ascii="IRNazanin" w:hAnsi="IRNazanin" w:eastAsia="IRNazanin" w:cs="IRNazanin"/>
          <w:lang w:bidi="fa-IR"/>
          <w:color w:val="111111"/>
          <w:sz w:val="28"/>
          <w:szCs w:val="28"/>
          <w:rtl/>
        </w:rPr>
        <w:t xml:space="preserve">خط: نسخ، بی کا، بی تا؛ جلد: مقوایی عطف تیماج مشکی، ۷۱گ، ۲۰ سطر،اندازه: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۶-۲۵۲]</w:t>
      </w:r>
    </w:p>
    <w:p>
      <w:pPr>
        <w:pStyle w:val="Heading3"/>
      </w:pPr>
      <w:bookmarkStart w:id="2020" w:name="_Toc1280"/>
      <w:r>
        <w:t>•تاریخ اصفهان / تاریخ ایران / فارسی</w:t>
      </w:r>
      <w:bookmarkEnd w:id="2020"/>
    </w:p>
    <w:p>
      <w:pPr>
        <w:pStyle w:val="BookText"/>
      </w:pPr>
      <w:r>
        <w:rPr>
          <w:rFonts w:ascii="Times New Roman" w:hAnsi="Times New Roman" w:eastAsia="Times New Roman" w:cs="Times New Roman"/>
          <w:lang w:val="en-US" w:bidi="en-US"/>
          <w:color w:val="111111"/>
          <w:sz w:val="28"/>
          <w:szCs w:val="28"/>
          <w:rtl/>
        </w:rPr>
        <w:t xml:space="preserve">tārīx-e esfahān</w:t>
      </w:r>
    </w:p>
    <w:p>
      <w:pPr>
        <w:pStyle w:val="BookText"/>
      </w:pPr>
      <w:r>
        <w:rPr>
          <w:rFonts w:ascii="IRNazanin" w:hAnsi="IRNazanin" w:eastAsia="IRNazanin" w:cs="IRNazanin"/>
          <w:lang w:bidi="fa-IR"/>
          <w:color w:val="111111"/>
          <w:sz w:val="28"/>
          <w:szCs w:val="28"/>
          <w:rtl/>
        </w:rPr>
        <w:t xml:space="preserve">طرفه اصفهانی، فرج الله، ق۱۳ قمری</w:t>
      </w:r>
    </w:p>
    <w:p>
      <w:pPr>
        <w:pStyle w:val="BookText"/>
      </w:pPr>
      <w:r>
        <w:rPr>
          <w:rFonts w:ascii="Times New Roman" w:hAnsi="Times New Roman" w:eastAsia="Times New Roman" w:cs="Times New Roman"/>
          <w:lang w:val="en-US" w:bidi="en-US"/>
          <w:color w:val="111111"/>
          <w:sz w:val="28"/>
          <w:szCs w:val="28"/>
          <w:rtl/>
        </w:rPr>
        <w:t xml:space="preserve">torfe-ye esfahānī, faraj-ol-lāh (-19c)</w:t>
      </w:r>
    </w:p>
    <w:p>
      <w:pPr>
        <w:pStyle w:val="BookText"/>
      </w:pPr>
      <w:r>
        <w:rPr>
          <w:rFonts w:ascii="IRNazanin" w:hAnsi="IRNazanin" w:eastAsia="IRNazanin" w:cs="IRNazanin"/>
          <w:lang w:bidi="fa-IR"/>
          <w:color w:val="111111"/>
          <w:sz w:val="28"/>
          <w:szCs w:val="28"/>
          <w:rtl/>
        </w:rPr>
        <w:t xml:space="preserve">تاريخ تأليف: ۱۲۶۶ق تاریخ رویداد شورش اصفهان در سال ۱۲۶۶ ق است که همان سال نگاشته است و سفرنامه مانندی است به اصفهان که برای بررسی شورش آن از سوی سپهدار از تهران رفته بود و از ۱۴ رمضان ۱۲۶۶ ق تا ۱۸ محرم را دارد. (احمد منزوی) آغاز: پس از بدرود سر کار سپهدار كثير الاقتدار از دارالخلافه طهران و ورود فین کاشان اعيان دارالسلطنه اصفهان کم و بیش ... روان آمدند ... انجام: بتاریخ ۱۲۶۶ صورت اتمام پذیرفت.</w:t>
      </w:r>
    </w:p>
    <w:p>
      <w:pPr>
        <w:pStyle w:val="BookText"/>
      </w:pPr>
      <w:r>
        <w:rPr>
          <w:rFonts w:ascii="IRNazanin" w:hAnsi="IRNazanin" w:eastAsia="IRNazanin" w:cs="IRNazanin"/>
          <w:lang w:bidi="fa-IR"/>
          <w:color w:val="111111"/>
          <w:sz w:val="28"/>
          <w:szCs w:val="28"/>
          <w:rtl/>
        </w:rPr>
        <w:t xml:space="preserve">[دنا ۶۷۲/۲ ؛ فهرستواره منزوی ۸۴۰/۲ ]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381" w:name="pg20363_209667"/>
    <w:bookmarkEnd w:id="381"/>
    <w:p>
      <w:pPr>
        <w:pStyle w:val="BookText"/>
      </w:pPr>
      <w:r>
        <w:rPr>
          <w:rFonts w:ascii="IRNazanin" w:hAnsi="IRNazanin" w:eastAsia="IRNazanin" w:cs="IRNazanin"/>
          <w:lang w:bidi="fa-IR"/>
          <w:color w:val="111111"/>
          <w:sz w:val="28"/>
          <w:szCs w:val="28"/>
          <w:rtl/>
        </w:rPr>
        <w:t xml:space="preserve">تهران؛ ملک؛ شماره نسخه:۳۷۲۶</w:t>
      </w:r>
    </w:p>
    <w:p>
      <w:pPr>
        <w:pStyle w:val="BookText"/>
      </w:pPr>
      <w:r>
        <w:rPr>
          <w:rFonts w:ascii="IRNazanin" w:hAnsi="IRNazanin" w:eastAsia="IRNazanin" w:cs="IRNazanin"/>
          <w:lang w:bidi="fa-IR"/>
          <w:color w:val="111111"/>
          <w:sz w:val="28"/>
          <w:szCs w:val="28"/>
          <w:rtl/>
        </w:rPr>
        <w:t xml:space="preserve">آغاز و انجام: برابر خط: نستعلیق، بی کا، تا: ۱۲۶۶ق؛ کاغذ: کاغذ فرنگی آهار مهره، جلد: میشن قهوه ای، ۴۶ گ، ۹ سطر، اندازه: ۱۷/۶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۱۱/۲ سم [ف: ۷۴-۲ ]</w:t>
      </w:r>
    </w:p>
    <w:p>
      <w:pPr>
        <w:pStyle w:val="BookText"/>
      </w:pPr>
      <w:r>
        <w:rPr>
          <w:rFonts w:ascii="IRNazanin" w:hAnsi="IRNazanin" w:eastAsia="IRNazanin" w:cs="IRNazanin"/>
          <w:lang w:bidi="fa-IR"/>
          <w:color w:val="111111"/>
          <w:sz w:val="28"/>
          <w:szCs w:val="28"/>
          <w:rtl/>
        </w:rPr>
        <w:t xml:space="preserve">تهران؛ دانشگاه؛ شماره نسخه: ۵۰۸۱ف</w:t>
      </w:r>
    </w:p>
    <w:p>
      <w:pPr>
        <w:pStyle w:val="BookText"/>
      </w:pPr>
      <w:r>
        <w:rPr>
          <w:rFonts w:ascii="Amiri" w:hAnsi="Amiri" w:eastAsia="Amiri" w:cs="Amiri"/>
          <w:lang w:bidi="ar-SA"/>
          <w:color w:val="111111"/>
          <w:sz w:val="28"/>
          <w:szCs w:val="28"/>
          <w:rtl/>
        </w:rPr>
        <w:t xml:space="preserve">نسخه اصل: همان نسخه بالا [فيلمها ف: ۳-۱۳۱]</w:t>
      </w:r>
    </w:p>
    <w:p>
      <w:pPr>
        <w:pStyle w:val="Heading3"/>
      </w:pPr>
      <w:bookmarkStart w:id="2021" w:name="_Toc1281"/>
      <w:r>
        <w:t>• تاریخ اصفهان / تاریخ ایران / فارسی</w:t>
      </w:r>
      <w:bookmarkEnd w:id="2021"/>
    </w:p>
    <w:p>
      <w:pPr>
        <w:pStyle w:val="BookText"/>
      </w:pPr>
      <w:r>
        <w:rPr>
          <w:rFonts w:ascii="Times New Roman" w:hAnsi="Times New Roman" w:eastAsia="Times New Roman" w:cs="Times New Roman"/>
          <w:lang w:val="en-US" w:bidi="en-US"/>
          <w:color w:val="111111"/>
          <w:sz w:val="28"/>
          <w:szCs w:val="28"/>
          <w:rtl/>
        </w:rPr>
        <w:t xml:space="preserve">tārīx-e esfahān</w:t>
      </w:r>
    </w:p>
    <w:p>
      <w:pPr>
        <w:pStyle w:val="BookText"/>
      </w:pPr>
      <w:r>
        <w:rPr>
          <w:rFonts w:ascii="IRNazanin" w:hAnsi="IRNazanin" w:eastAsia="IRNazanin" w:cs="IRNazanin"/>
          <w:lang w:bidi="fa-IR"/>
          <w:color w:val="111111"/>
          <w:sz w:val="28"/>
          <w:szCs w:val="28"/>
          <w:rtl/>
        </w:rPr>
        <w:t xml:space="preserve">ارباب اصفهانی، محمد مهدی بن محمد رضا، ۱۲۳۴ ۱۳۱۴ قمری</w:t>
      </w:r>
    </w:p>
    <w:p>
      <w:pPr>
        <w:pStyle w:val="BookText"/>
      </w:pPr>
      <w:r>
        <w:rPr>
          <w:rFonts w:ascii="Times New Roman" w:hAnsi="Times New Roman" w:eastAsia="Times New Roman" w:cs="Times New Roman"/>
          <w:lang w:val="en-US" w:bidi="en-US"/>
          <w:color w:val="111111"/>
          <w:sz w:val="28"/>
          <w:szCs w:val="28"/>
          <w:rtl/>
        </w:rPr>
        <w:t xml:space="preserve">arbāb-e esfahānī, mohammad mahdī ebn-e mohammad reza (1819-1897)</w:t>
      </w:r>
    </w:p>
    <w:p>
      <w:pPr>
        <w:pStyle w:val="BookText"/>
      </w:pPr>
      <w:r>
        <w:rPr>
          <w:rFonts w:ascii="IRNazanin" w:hAnsi="IRNazanin" w:eastAsia="IRNazanin" w:cs="IRNazanin"/>
          <w:lang w:bidi="fa-IR"/>
          <w:color w:val="111111"/>
          <w:sz w:val="28"/>
          <w:szCs w:val="28"/>
          <w:rtl/>
        </w:rPr>
        <w:t xml:space="preserve">شیراز؛ بغایری، عبدالرزاق: شماره نسخه:بدون شماره</w:t>
      </w:r>
    </w:p>
    <w:p>
      <w:pPr>
        <w:pStyle w:val="BookText"/>
      </w:pPr>
      <w:r>
        <w:rPr>
          <w:rFonts w:ascii="IRNazanin" w:hAnsi="IRNazanin" w:eastAsia="IRNazanin" w:cs="IRNazanin"/>
          <w:lang w:bidi="fa-IR"/>
          <w:color w:val="111111"/>
          <w:sz w:val="28"/>
          <w:szCs w:val="28"/>
          <w:rtl/>
        </w:rPr>
        <w:t xml:space="preserve">خط: شکسته، كا: علی اکبر حسینی تفرشی، تا: رمضان ۱۳۳۰ق میراث اسلامی: ۵-۵۶۷]</w:t>
      </w:r>
    </w:p>
    <w:p>
      <w:pPr>
        <w:pStyle w:val="Heading3"/>
      </w:pPr>
      <w:bookmarkStart w:id="2022" w:name="_Toc1282"/>
      <w:r>
        <w:t>• تاریخ اصفهان / تاریخ ایران / فارسی</w:t>
      </w:r>
      <w:bookmarkEnd w:id="2022"/>
    </w:p>
    <w:p>
      <w:pPr>
        <w:pStyle w:val="BookText"/>
      </w:pPr>
      <w:r>
        <w:rPr>
          <w:rFonts w:ascii="Times New Roman" w:hAnsi="Times New Roman" w:eastAsia="Times New Roman" w:cs="Times New Roman"/>
          <w:lang w:val="en-US" w:bidi="en-US"/>
          <w:color w:val="111111"/>
          <w:sz w:val="28"/>
          <w:szCs w:val="28"/>
          <w:rtl/>
        </w:rPr>
        <w:t xml:space="preserve">tārīx-e esfahān</w:t>
      </w:r>
    </w:p>
    <w:p>
      <w:pPr>
        <w:pStyle w:val="BookText"/>
      </w:pPr>
      <w:r>
        <w:rPr>
          <w:rFonts w:ascii="IRNazanin" w:hAnsi="IRNazanin" w:eastAsia="IRNazanin" w:cs="IRNazanin"/>
          <w:lang w:bidi="fa-IR"/>
          <w:color w:val="111111"/>
          <w:sz w:val="28"/>
          <w:szCs w:val="28"/>
          <w:rtl/>
        </w:rPr>
        <w:t xml:space="preserve">جابری انصاری، حسن بن علی، ۱۲۸۷-۱۳۷۶ قمری</w:t>
      </w:r>
    </w:p>
    <w:p>
      <w:pPr>
        <w:pStyle w:val="BookText"/>
      </w:pPr>
      <w:r>
        <w:rPr>
          <w:rFonts w:ascii="Times New Roman" w:hAnsi="Times New Roman" w:eastAsia="Times New Roman" w:cs="Times New Roman"/>
          <w:lang w:val="en-US" w:bidi="en-US"/>
          <w:color w:val="111111"/>
          <w:sz w:val="28"/>
          <w:szCs w:val="28"/>
          <w:rtl/>
        </w:rPr>
        <w:t xml:space="preserve">jāberī ansārī, hasan ebn-e ‘alī (1870-1957)</w:t>
      </w:r>
    </w:p>
    <w:p>
      <w:pPr>
        <w:pStyle w:val="BookText"/>
      </w:pPr>
      <w:r>
        <w:rPr>
          <w:rFonts w:ascii="IRNazanin" w:hAnsi="IRNazanin" w:eastAsia="IRNazanin" w:cs="IRNazanin"/>
          <w:lang w:bidi="fa-IR"/>
          <w:color w:val="111111"/>
          <w:sz w:val="28"/>
          <w:szCs w:val="28"/>
          <w:rtl/>
        </w:rPr>
        <w:t xml:space="preserve">چاپ: اصفهان، سنگی، ۱۳۳۳ق، خشتی، ۲+۱۶۳صص</w:t>
      </w:r>
    </w:p>
    <w:p>
      <w:pPr>
        <w:pStyle w:val="BookText"/>
      </w:pPr>
      <w:r>
        <w:rPr>
          <w:rFonts w:ascii="IRNazanin" w:hAnsi="IRNazanin" w:eastAsia="IRNazanin" w:cs="IRNazanin"/>
          <w:lang w:bidi="fa-IR"/>
          <w:color w:val="111111"/>
          <w:sz w:val="28"/>
          <w:szCs w:val="28"/>
          <w:rtl/>
        </w:rPr>
        <w:t xml:space="preserve">[دنا ۶۷۳/۲ ؛ فهرستواره منزوی ۲/ ۸۴۰]</w:t>
      </w:r>
    </w:p>
    <w:p>
      <w:pPr>
        <w:pStyle w:val="BookText"/>
      </w:pPr>
      <w:r>
        <w:rPr>
          <w:rFonts w:ascii="IRNazanin" w:hAnsi="IRNazanin" w:eastAsia="IRNazanin" w:cs="IRNazanin"/>
          <w:lang w:bidi="fa-IR"/>
          <w:color w:val="111111"/>
          <w:sz w:val="28"/>
          <w:szCs w:val="28"/>
          <w:rtl/>
        </w:rPr>
        <w:t xml:space="preserve">قم؛ مرعشی؛ شماره نسخه:۶۷۰۵</w:t>
      </w:r>
    </w:p>
    <w:p>
      <w:pPr>
        <w:pStyle w:val="BookText"/>
      </w:pPr>
      <w:r>
        <w:rPr>
          <w:rFonts w:ascii="IRNazanin" w:hAnsi="IRNazanin" w:eastAsia="IRNazanin" w:cs="IRNazanin"/>
          <w:lang w:bidi="fa-IR"/>
          <w:color w:val="111111"/>
          <w:sz w:val="28"/>
          <w:szCs w:val="28"/>
          <w:rtl/>
        </w:rPr>
        <w:t xml:space="preserve">خط: نسخ، بی کا، بی تا، نسخه چاپ سنگی کتاب است که مؤلف به تاریخ ذیحجه ۱۳۳۷ به شیخ محمد على (معلم) حبیب آبادی اهداء نموده و او حواشی نیکویی به خط خود بر آن نوشته و در دوازدهم ذیقعده ۱۳۵۳ نسخه را به کار گذاردن کتابخانه میرزا عبد الرزاق خان سر تیپ مهندس بخشیده است. صفحه ها در دو بخش بالا تاریخ اصفهان و پائین تاریخ عمومی سنواتی؛ جلد: مقوایی عطف تیماج مشکی، ۱۰۷گ، ۱۹ سطر، اندازه: ۱۶/۵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۱۷-۲۶۳]</w:t>
      </w:r>
    </w:p>
    <w:p>
      <w:pPr>
        <w:pStyle w:val="BookText"/>
      </w:pPr>
      <w:r>
        <w:rPr>
          <w:rFonts w:ascii="Times New Roman" w:hAnsi="Times New Roman" w:eastAsia="Times New Roman" w:cs="Times New Roman"/>
          <w:lang w:val="en-US" w:bidi="en-US"/>
          <w:color w:val="111111"/>
          <w:sz w:val="28"/>
          <w:szCs w:val="28"/>
          <w:rtl/>
        </w:rPr>
        <w:t xml:space="preserve">tārīx-e esfahān</w:t>
      </w:r>
    </w:p>
    <w:p>
      <w:pPr>
        <w:pStyle w:val="Heading3"/>
      </w:pPr>
      <w:bookmarkStart w:id="2023" w:name="_Toc1283"/>
      <w:r>
        <w:t>• تاریخ اصفهان / تاریخ ایران / فارسی</w:t>
      </w:r>
      <w:bookmarkEnd w:id="2023"/>
    </w:p>
    <w:p>
      <w:pPr>
        <w:pStyle w:val="BookText"/>
      </w:pPr>
      <w:r>
        <w:rPr>
          <w:rFonts w:ascii="IRNazanin" w:hAnsi="IRNazanin" w:eastAsia="IRNazanin" w:cs="IRNazanin"/>
          <w:lang w:bidi="fa-IR"/>
          <w:color w:val="111111"/>
          <w:sz w:val="28"/>
          <w:szCs w:val="28"/>
          <w:rtl/>
        </w:rPr>
        <w:t xml:space="preserve">فخرالادباء اصفهانی، حیدر علی بن محمد مهدی، ق۱۴ قمری</w:t>
      </w:r>
    </w:p>
    <w:p>
      <w:pPr>
        <w:pStyle w:val="BookText"/>
      </w:pPr>
      <w:r>
        <w:rPr>
          <w:rFonts w:ascii="Times New Roman" w:hAnsi="Times New Roman" w:eastAsia="Times New Roman" w:cs="Times New Roman"/>
          <w:lang w:val="en-US" w:bidi="en-US"/>
          <w:color w:val="111111"/>
          <w:sz w:val="28"/>
          <w:szCs w:val="28"/>
          <w:rtl/>
        </w:rPr>
        <w:t xml:space="preserve">faxr-ol-odabā' esfahānī, heydar ‘alī ebn-e mohammad mahdī (-20c)</w:t>
      </w:r>
    </w:p>
    <w:p>
      <w:pPr>
        <w:pStyle w:val="BookText"/>
      </w:pPr>
      <w:r>
        <w:rPr>
          <w:rFonts w:ascii="IRNazanin" w:hAnsi="IRNazanin" w:eastAsia="IRNazanin" w:cs="IRNazanin"/>
          <w:lang w:bidi="fa-IR"/>
          <w:color w:val="111111"/>
          <w:sz w:val="28"/>
          <w:szCs w:val="28"/>
          <w:rtl/>
        </w:rPr>
        <w:t xml:space="preserve">اهداء به: صارم الدوله و فرزند ظل السلطان</w:t>
      </w:r>
    </w:p>
    <w:p>
      <w:pPr>
        <w:pStyle w:val="BookText"/>
      </w:pPr>
      <w:r>
        <w:rPr>
          <w:rFonts w:ascii="IRNazanin" w:hAnsi="IRNazanin" w:eastAsia="IRNazanin" w:cs="IRNazanin"/>
          <w:lang w:bidi="fa-IR"/>
          <w:color w:val="111111"/>
          <w:sz w:val="28"/>
          <w:szCs w:val="28"/>
          <w:rtl/>
        </w:rPr>
        <w:t xml:space="preserve">تاریخی مختصر و کلی است در باب اصفهان که در قرن چهاردهم تألیف شده است. تاریخ تالیف آن را ۱۳۴۲ (ملک) و ۱۳۵۳ (فرهنگ ایران زمین) هم نوشته اند.</w:t>
      </w:r>
    </w:p>
    <w:p>
      <w:pPr>
        <w:pStyle w:val="BookText"/>
      </w:pPr>
      <w:r>
        <w:rPr>
          <w:rFonts w:ascii="IRNazanin" w:hAnsi="IRNazanin" w:eastAsia="IRNazanin" w:cs="IRNazanin"/>
          <w:lang w:bidi="fa-IR"/>
          <w:color w:val="111111"/>
          <w:sz w:val="28"/>
          <w:szCs w:val="28"/>
          <w:rtl/>
        </w:rPr>
        <w:t xml:space="preserve">آغاز: بسمله، الحمد و الصلوة در سال ۱۳۴۵ هجری این بنده بیمقدار حیدر علی بن محمد مهدی اصفهانی ملقب به ندیم الملك رساله مختصری در تاریخ شهر اصفهان که از بلاد اصفهانی ملقب به نديم الملك رساله مختصری در تاریخ شهر اصفهان که از بلاد معظم قدیمه ایران است نوشته مشتمل بر اصول و مهمات تاریخی و شرح ابنیه قدیمه ایران است</w:t>
      </w:r>
    </w:p>
    <w:p>
      <w:pPr>
        <w:pStyle w:val="BookText"/>
      </w:pPr>
      <w:r>
        <w:rPr>
          <w:rFonts w:ascii="IRNazanin" w:hAnsi="IRNazanin" w:eastAsia="IRNazanin" w:cs="IRNazanin"/>
          <w:lang w:bidi="fa-IR"/>
          <w:color w:val="111111"/>
          <w:sz w:val="28"/>
          <w:szCs w:val="28"/>
          <w:rtl/>
        </w:rPr>
        <w:t xml:space="preserve">انجام: ولی نهایت مورد تکریم و احترام سلسله صفویه است و متعلق است به هشت قرن قبل</w:t>
      </w:r>
    </w:p>
    <w:p>
      <w:pPr>
        <w:pStyle w:val="BookText"/>
      </w:pPr>
      <w:r>
        <w:rPr>
          <w:rFonts w:ascii="IRNazanin" w:hAnsi="IRNazanin" w:eastAsia="IRNazanin" w:cs="IRNazanin"/>
          <w:lang w:bidi="fa-IR"/>
          <w:color w:val="111111"/>
          <w:sz w:val="28"/>
          <w:szCs w:val="28"/>
          <w:rtl/>
        </w:rPr>
        <w:t xml:space="preserve">چاپ: به کوشش ایرج افشار، در فرهنگ ایران زمین، ۱۲: ۱۴۵ -۱۷۳</w:t>
      </w:r>
    </w:p>
    <w:p>
      <w:pPr>
        <w:pStyle w:val="BookText"/>
      </w:pPr>
      <w:r>
        <w:rPr>
          <w:rFonts w:ascii="IRNazanin" w:hAnsi="IRNazanin" w:eastAsia="IRNazanin" w:cs="IRNazanin"/>
          <w:lang w:bidi="fa-IR"/>
          <w:color w:val="111111"/>
          <w:sz w:val="28"/>
          <w:szCs w:val="28"/>
          <w:rtl/>
        </w:rPr>
        <w:t xml:space="preserve">[دنا ۶۷۳/۲ ؛ فهرستواره منزوی ۸۴۰/۲ ]</w:t>
      </w:r>
    </w:p>
    <w:p>
      <w:pPr>
        <w:pStyle w:val="BookText"/>
      </w:pPr>
      <w:r>
        <w:rPr>
          <w:rFonts w:ascii="IRNazanin" w:hAnsi="IRNazanin" w:eastAsia="IRNazanin" w:cs="IRNazanin"/>
          <w:lang w:bidi="fa-IR"/>
          <w:color w:val="111111"/>
          <w:sz w:val="28"/>
          <w:szCs w:val="28"/>
          <w:rtl/>
        </w:rPr>
        <w:t xml:space="preserve">۱. تهران؛ مجلس؛ شماره نسخه:۱۸۵۴۳</w:t>
      </w:r>
    </w:p>
    <w:p>
      <w:pPr>
        <w:pStyle w:val="BookText"/>
      </w:pPr>
      <w:r>
        <w:rPr>
          <w:rFonts w:ascii="IRNazanin" w:hAnsi="IRNazanin" w:eastAsia="IRNazanin" w:cs="IRNazanin"/>
          <w:lang w:bidi="fa-IR"/>
          <w:color w:val="111111"/>
          <w:sz w:val="28"/>
          <w:szCs w:val="28"/>
          <w:rtl/>
        </w:rPr>
        <w:t xml:space="preserve">کاتب = مؤلف، تا: قرن ۱۴ [د.ث. مجلس]</w:t>
      </w:r>
    </w:p>
    <w:p>
      <w:pPr>
        <w:pStyle w:val="BookText"/>
      </w:pPr>
      <w:r>
        <w:rPr>
          <w:rFonts w:ascii="IRNazanin" w:hAnsi="IRNazanin" w:eastAsia="IRNazanin" w:cs="IRNazanin"/>
          <w:lang w:bidi="fa-IR"/>
          <w:color w:val="111111"/>
          <w:sz w:val="28"/>
          <w:szCs w:val="28"/>
          <w:rtl/>
        </w:rPr>
        <w:t xml:space="preserve">۲. اصفهان؛ عمومی اصفهان (فرهنگ سابق)؛ شماره نسخه:۱۱۴۶۵</w:t>
      </w:r>
    </w:p>
    <w:p>
      <w:pPr>
        <w:pStyle w:val="BookText"/>
      </w:pPr>
      <w:r>
        <w:rPr>
          <w:rFonts w:ascii="IRNazanin" w:hAnsi="IRNazanin" w:eastAsia="IRNazanin" w:cs="IRNazanin"/>
          <w:lang w:bidi="fa-IR"/>
          <w:color w:val="111111"/>
          <w:sz w:val="28"/>
          <w:szCs w:val="28"/>
          <w:rtl/>
        </w:rPr>
        <w:t xml:space="preserve">کاتب = مؤلف، تا: جمادی الثانی ۱۳۴۰ق [ نشریه: ۳۱۵۵]</w:t>
      </w:r>
    </w:p>
    <w:p>
      <w:pPr>
        <w:pStyle w:val="BookText"/>
      </w:pPr>
      <w:r>
        <w:rPr>
          <w:rFonts w:ascii="IRNazanin" w:hAnsi="IRNazanin" w:eastAsia="IRNazanin" w:cs="IRNazanin"/>
          <w:lang w:bidi="fa-IR"/>
          <w:color w:val="111111"/>
          <w:sz w:val="28"/>
          <w:szCs w:val="28"/>
          <w:rtl/>
        </w:rPr>
        <w:t xml:space="preserve">٣. تهران؛ مجلس؛ شماره نسخه: ۱۵۹۴۹</w:t>
      </w:r>
    </w:p>
    <w:p>
      <w:pPr>
        <w:pStyle w:val="BookText"/>
      </w:pPr>
      <w:r>
        <w:rPr>
          <w:rFonts w:ascii="IRNazanin" w:hAnsi="IRNazanin" w:eastAsia="IRNazanin" w:cs="IRNazanin"/>
          <w:lang w:bidi="fa-IR"/>
          <w:color w:val="111111"/>
          <w:sz w:val="28"/>
          <w:szCs w:val="28"/>
          <w:rtl/>
        </w:rPr>
        <w:t xml:space="preserve">آغاز: برابر؛ انجام و اینک از صاحبان خط در اصفهان کسی باقی نیست.</w:t>
      </w:r>
    </w:p>
    <w:p>
      <w:pPr>
        <w:pStyle w:val="BookText"/>
      </w:pPr>
      <w:r>
        <w:rPr>
          <w:rFonts w:ascii="IRNazanin" w:hAnsi="IRNazanin" w:eastAsia="IRNazanin" w:cs="IRNazanin"/>
          <w:lang w:bidi="fa-IR"/>
          <w:color w:val="111111"/>
          <w:sz w:val="28"/>
          <w:szCs w:val="28"/>
          <w:rtl/>
        </w:rPr>
        <w:t xml:space="preserve">و السلام علی من اتبع الهدی.</w:t>
      </w:r>
    </w:p>
    <w:p>
      <w:pPr>
        <w:pStyle w:val="BookText"/>
      </w:pPr>
      <w:r>
        <w:rPr>
          <w:rFonts w:ascii="IRNazanin" w:hAnsi="IRNazanin" w:eastAsia="IRNazanin" w:cs="IRNazanin"/>
          <w:lang w:bidi="fa-IR"/>
          <w:color w:val="111111"/>
          <w:sz w:val="28"/>
          <w:szCs w:val="28"/>
          <w:rtl/>
        </w:rPr>
        <w:t xml:space="preserve">خط: نستعلیق شکسته، کاتب = مؤلف، تا: جمادی الاول ۱۳۴۴ق؛ ركابه دار؛ جلد: مقوا رویه مخمل بنفش 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۱۷/۵ سم [ف: ۴۴-۱۵۱]</w:t>
      </w:r>
    </w:p>
    <w:p>
      <w:pPr>
        <w:pStyle w:val="BookText"/>
      </w:pPr>
      <w:r>
        <w:rPr>
          <w:rFonts w:ascii="IRNazanin" w:hAnsi="IRNazanin" w:eastAsia="IRNazanin" w:cs="IRNazanin"/>
          <w:lang w:bidi="fa-IR"/>
          <w:color w:val="111111"/>
          <w:sz w:val="28"/>
          <w:szCs w:val="28"/>
          <w:rtl/>
        </w:rPr>
        <w:t xml:space="preserve">۴. اصفهان؛ صارم الدوله (كتابخانه فرهنگ اصفهان)؛ شماره نسخه:۹۹۰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خوش، کاتب = مؤلف، تا: جمادی الاول ۱۳۴۵ق؛ کاغذ: فرنگی، جلد: مقوایی با روکش کاغذ الوان، ۶۶ص، ۱۱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۱۱۰]</w:t>
      </w:r>
    </w:p>
    <w:p>
      <w:pPr>
        <w:pStyle w:val="BookText"/>
      </w:pPr>
      <w:r>
        <w:rPr>
          <w:rFonts w:ascii="IRNazanin" w:hAnsi="IRNazanin" w:eastAsia="IRNazanin" w:cs="IRNazanin"/>
          <w:lang w:bidi="fa-IR"/>
          <w:color w:val="111111"/>
          <w:sz w:val="28"/>
          <w:szCs w:val="28"/>
          <w:rtl/>
        </w:rPr>
        <w:t xml:space="preserve">۵. تهران؛ چهل ستون؛ شماره نسخه:۲۰۳</w:t>
      </w:r>
    </w:p>
    <w:p>
      <w:pPr>
        <w:pStyle w:val="BookText"/>
      </w:pPr>
      <w:r>
        <w:rPr>
          <w:rFonts w:ascii="IRNazanin" w:hAnsi="IRNazanin" w:eastAsia="IRNazanin" w:cs="IRNazanin"/>
          <w:lang w:bidi="fa-IR"/>
          <w:color w:val="111111"/>
          <w:sz w:val="28"/>
          <w:szCs w:val="28"/>
          <w:rtl/>
        </w:rPr>
        <w:t xml:space="preserve">آغاز: این بنده بی مقدار حیدر علی بن محمد مهدی اصفهانی تاریخ مختصری در شرح اصفهان که از بلاد مهمه قدیمه ایران است نوشته، مشتمل بر مطالب عمده تاریخی و ابنیه قدیمی مهمه بطور ایجاز و اختصار و رعایت مدرک، امید است نزد ارباب خرد مقبول افتد خط: نستعلیق، کاتب = مؤلف، بی تا؛ با یادداشت اهداء نسخه به ابوالقاسم خان سعید از مؤلف؛ ۲۷گ، قطع: ربعی [ چند نسخه سف: ۳۴۶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ملک؛ شماره نسخه:۳۷۱۳</w:t>
      </w:r>
    </w:p>
    <w:p>
      <w:pPr>
        <w:pStyle w:val="BookText"/>
      </w:pPr>
      <w:r>
        <w:rPr>
          <w:rFonts w:ascii="IRNazanin" w:hAnsi="IRNazanin" w:eastAsia="IRNazanin" w:cs="IRNazanin"/>
          <w:lang w:bidi="fa-IR"/>
          <w:color w:val="111111"/>
          <w:sz w:val="28"/>
          <w:szCs w:val="28"/>
          <w:rtl/>
        </w:rPr>
        <w:t xml:space="preserve">خط: شکسته نستعلیق، بی کا، تا: قرن ۱۴؛ کاغذ: کاغذ فرنگی، جلد: شميز، ۳۲گ، ۱۵ سطر، اندازه: ۱۷/۹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۱۱/۴ سم [ف: ۲-۷۴]</w:t>
      </w:r>
    </w:p>
    <w:p>
      <w:pPr>
        <w:pStyle w:val="BookText"/>
      </w:pPr>
      <w:r>
        <w:rPr>
          <w:rFonts w:ascii="IRNazanin" w:hAnsi="IRNazanin" w:eastAsia="IRNazanin" w:cs="IRNazanin"/>
          <w:lang w:bidi="fa-IR"/>
          <w:color w:val="111111"/>
          <w:sz w:val="28"/>
          <w:szCs w:val="28"/>
          <w:rtl/>
        </w:rPr>
        <w:t xml:space="preserve">۷. تهران، دانشگاه؛ شماره نسخه:۲۰۲۸ف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382" w:name="pg20363_209668"/>
    <w:bookmarkEnd w:id="382"/>
    <w:p>
      <w:pPr>
        <w:pStyle w:val="BookText"/>
      </w:pPr>
      <w:r>
        <w:rPr>
          <w:rFonts w:ascii="IRNazanin" w:hAnsi="IRNazanin" w:eastAsia="IRNazanin" w:cs="IRNazanin"/>
          <w:lang w:bidi="fa-IR"/>
          <w:color w:val="111111"/>
          <w:sz w:val="28"/>
          <w:szCs w:val="28"/>
          <w:rtl/>
        </w:rPr>
        <w:t xml:space="preserve">نسخه اصل: کتابخانه حسین ثقفی اعزاز پسر دکتر خلیل خان اعلم الدوله؛ كا: حسین مرندی، تا: ۱۰ مهر ۱۳۱۴ش، به دستور صور اسرافیل فرمانروای سپاهان؛ از روی خط مؤلف؛ ۶۲ص [فیلمها في ۲۹-۱]</w:t>
      </w:r>
    </w:p>
    <w:p>
      <w:pPr>
        <w:pStyle w:val="BookText"/>
      </w:pPr>
      <w:r>
        <w:rPr>
          <w:rFonts w:ascii="IRNazanin" w:hAnsi="IRNazanin" w:eastAsia="IRNazanin" w:cs="IRNazanin"/>
          <w:lang w:bidi="fa-IR"/>
          <w:color w:val="111111"/>
          <w:sz w:val="28"/>
          <w:szCs w:val="28"/>
          <w:rtl/>
        </w:rPr>
        <w:t xml:space="preserve">← تاریخ الاصمعی ← نهاية الأرب في أخبار الفرس و العرب</w:t>
      </w:r>
    </w:p>
    <w:p>
      <w:pPr>
        <w:pStyle w:val="Heading3"/>
      </w:pPr>
      <w:bookmarkStart w:id="2024" w:name="_Toc1284"/>
      <w:r>
        <w:t>• تاريخ الاطباء / طب / عربي</w:t>
      </w:r>
      <w:bookmarkEnd w:id="2024"/>
    </w:p>
    <w:p>
      <w:pPr>
        <w:pStyle w:val="BookText"/>
      </w:pPr>
      <w:r>
        <w:rPr>
          <w:rFonts w:ascii="Times New Roman" w:hAnsi="Times New Roman" w:eastAsia="Times New Roman" w:cs="Times New Roman"/>
          <w:lang w:val="en-US" w:bidi="en-US"/>
          <w:color w:val="111111"/>
          <w:sz w:val="28"/>
          <w:szCs w:val="28"/>
          <w:rtl/>
        </w:rPr>
        <w:t xml:space="preserve">tārīx-ul aţibbā'</w:t>
      </w:r>
    </w:p>
    <w:p>
      <w:pPr>
        <w:pStyle w:val="BookText"/>
      </w:pPr>
      <w:r>
        <w:rPr>
          <w:rFonts w:ascii="IRNazanin" w:hAnsi="IRNazanin" w:eastAsia="IRNazanin" w:cs="IRNazanin"/>
          <w:lang w:bidi="fa-IR"/>
          <w:color w:val="111111"/>
          <w:sz w:val="28"/>
          <w:szCs w:val="28"/>
          <w:rtl/>
        </w:rPr>
        <w:t xml:space="preserve">حنين بن اسحاق، ۱۹۴- ۲۶۰ قمری</w:t>
      </w:r>
    </w:p>
    <w:p>
      <w:pPr>
        <w:pStyle w:val="BookText"/>
      </w:pPr>
      <w:r>
        <w:rPr>
          <w:rFonts w:ascii="Times New Roman" w:hAnsi="Times New Roman" w:eastAsia="Times New Roman" w:cs="Times New Roman"/>
          <w:lang w:val="en-US" w:bidi="en-US"/>
          <w:color w:val="111111"/>
          <w:sz w:val="28"/>
          <w:szCs w:val="28"/>
          <w:rtl/>
        </w:rPr>
        <w:t xml:space="preserve">honayn ebn-e eshāq (811-875)</w:t>
      </w:r>
    </w:p>
    <w:p>
      <w:pPr>
        <w:pStyle w:val="BookText"/>
      </w:pPr>
      <w:r>
        <w:rPr>
          <w:rFonts w:ascii="IRNazanin" w:hAnsi="IRNazanin" w:eastAsia="IRNazanin" w:cs="IRNazanin"/>
          <w:lang w:bidi="fa-IR"/>
          <w:color w:val="111111"/>
          <w:sz w:val="28"/>
          <w:szCs w:val="28"/>
          <w:rtl/>
        </w:rPr>
        <w:t xml:space="preserve">گویا از حنین.</w:t>
      </w:r>
    </w:p>
    <w:p>
      <w:pPr>
        <w:pStyle w:val="BookText"/>
      </w:pPr>
      <w:r>
        <w:rPr>
          <w:rFonts w:ascii="IRNazanin" w:hAnsi="IRNazanin" w:eastAsia="IRNazanin" w:cs="IRNazanin"/>
          <w:lang w:bidi="fa-IR"/>
          <w:color w:val="111111"/>
          <w:sz w:val="28"/>
          <w:szCs w:val="28"/>
          <w:rtl/>
        </w:rPr>
        <w:t xml:space="preserve">تهران؛ دانشگاه؛ شماره نسخه:۳۶۴۹/۶ -ف</w:t>
      </w:r>
    </w:p>
    <w:p>
      <w:pPr>
        <w:pStyle w:val="BookText"/>
      </w:pPr>
      <w:r>
        <w:rPr>
          <w:rFonts w:ascii="IRNazanin" w:hAnsi="IRNazanin" w:eastAsia="IRNazanin" w:cs="IRNazanin"/>
          <w:lang w:bidi="fa-IR"/>
          <w:color w:val="111111"/>
          <w:sz w:val="28"/>
          <w:szCs w:val="28"/>
          <w:rtl/>
        </w:rPr>
        <w:t xml:space="preserve">بی کا، بی تا [فيلمها ف: ۲-۲۱۰]</w:t>
      </w:r>
    </w:p>
    <w:p>
      <w:pPr>
        <w:pStyle w:val="BookText"/>
      </w:pPr>
      <w:r>
        <w:rPr>
          <w:rFonts w:ascii="IRNazanin" w:hAnsi="IRNazanin" w:eastAsia="IRNazanin" w:cs="IRNazanin"/>
          <w:lang w:bidi="fa-IR"/>
          <w:color w:val="111111"/>
          <w:sz w:val="28"/>
          <w:szCs w:val="28"/>
          <w:rtl/>
        </w:rPr>
        <w:t xml:space="preserve">← تاریخ اعظمی← واقعات کشمیر</w:t>
      </w:r>
    </w:p>
    <w:p>
      <w:pPr>
        <w:pStyle w:val="BookText"/>
      </w:pPr>
      <w:r>
        <w:rPr>
          <w:rFonts w:ascii="IRNazanin" w:hAnsi="IRNazanin" w:eastAsia="IRNazanin" w:cs="IRNazanin"/>
          <w:lang w:bidi="fa-IR"/>
          <w:color w:val="111111"/>
          <w:sz w:val="28"/>
          <w:szCs w:val="28"/>
          <w:rtl/>
        </w:rPr>
        <w:t xml:space="preserve">← تاریخ اعظمی ← وقایع شورش شیخ عبيد الله</w:t>
      </w:r>
    </w:p>
    <w:p>
      <w:pPr>
        <w:pStyle w:val="BookText"/>
      </w:pPr>
      <w:r>
        <w:rPr>
          <w:rFonts w:ascii="IRNazanin" w:hAnsi="IRNazanin" w:eastAsia="IRNazanin" w:cs="IRNazanin"/>
          <w:lang w:bidi="fa-IR"/>
          <w:color w:val="111111"/>
          <w:sz w:val="28"/>
          <w:szCs w:val="28"/>
          <w:rtl/>
        </w:rPr>
        <w:t xml:space="preserve">← تاریخ افضل ← المضاف الى بدايع الأزمان في وقایع کرمان</w:t>
      </w:r>
    </w:p>
    <w:p>
      <w:pPr>
        <w:pStyle w:val="Heading3"/>
      </w:pPr>
      <w:bookmarkStart w:id="2025" w:name="_Toc1285"/>
      <w:r>
        <w:t>• تاریخ افغانستان / تاریخ ایران / فارسی</w:t>
      </w:r>
      <w:bookmarkEnd w:id="2025"/>
    </w:p>
    <w:p>
      <w:pPr>
        <w:pStyle w:val="BookText"/>
      </w:pPr>
      <w:r>
        <w:rPr>
          <w:rFonts w:ascii="IRNazanin" w:hAnsi="IRNazanin" w:eastAsia="IRNazanin" w:cs="IRNazanin"/>
          <w:lang w:bidi="fa-IR"/>
          <w:color w:val="111111"/>
          <w:sz w:val="28"/>
          <w:szCs w:val="28"/>
          <w:rtl/>
        </w:rPr>
        <w:t xml:space="preserve">اعتضادالسلطنه، علیقلی بن فتحعلی، ۱۲۳۴-۱۲۹۸؟ قمری</w:t>
      </w:r>
    </w:p>
    <w:p>
      <w:pPr>
        <w:pStyle w:val="BookText"/>
      </w:pPr>
      <w:r>
        <w:rPr>
          <w:rFonts w:ascii="Times New Roman" w:hAnsi="Times New Roman" w:eastAsia="Times New Roman" w:cs="Times New Roman"/>
          <w:lang w:val="en-US" w:bidi="en-US"/>
          <w:color w:val="111111"/>
          <w:sz w:val="28"/>
          <w:szCs w:val="28"/>
          <w:rtl/>
        </w:rPr>
        <w:t xml:space="preserve">tārīx-e afqānestān</w:t>
      </w:r>
    </w:p>
    <w:p>
      <w:pPr>
        <w:pStyle w:val="BookText"/>
      </w:pPr>
      <w:r>
        <w:rPr>
          <w:rFonts w:ascii="Times New Roman" w:hAnsi="Times New Roman" w:eastAsia="Times New Roman" w:cs="Times New Roman"/>
          <w:lang w:val="en-US" w:bidi="en-US"/>
          <w:color w:val="111111"/>
          <w:sz w:val="28"/>
          <w:szCs w:val="28"/>
          <w:rtl/>
        </w:rPr>
        <w:t xml:space="preserve">e tezād-os-saltane, 'alī-qolī ebn-e fath-‘ali (1819-1881)</w:t>
      </w:r>
    </w:p>
    <w:p>
      <w:pPr>
        <w:pStyle w:val="BookText"/>
      </w:pPr>
      <w:r>
        <w:rPr>
          <w:rFonts w:ascii="IRNazanin" w:hAnsi="IRNazanin" w:eastAsia="IRNazanin" w:cs="IRNazanin"/>
          <w:lang w:bidi="fa-IR"/>
          <w:color w:val="111111"/>
          <w:sz w:val="28"/>
          <w:szCs w:val="28"/>
          <w:rtl/>
        </w:rPr>
        <w:t xml:space="preserve">نویسنده که ناظر حوادث هرات در زمان صدارت میرزا آقا خان نوری بوده و جدا شدن هرات از ایران را دیده این کتاب را نوشته است.</w:t>
      </w:r>
    </w:p>
    <w:p>
      <w:pPr>
        <w:pStyle w:val="BookText"/>
      </w:pPr>
      <w:r>
        <w:rPr>
          <w:rFonts w:ascii="IRNazanin" w:hAnsi="IRNazanin" w:eastAsia="IRNazanin" w:cs="IRNazanin"/>
          <w:lang w:bidi="fa-IR"/>
          <w:color w:val="111111"/>
          <w:sz w:val="28"/>
          <w:szCs w:val="28"/>
          <w:rtl/>
        </w:rPr>
        <w:t xml:space="preserve">چاپ: تهران، ۱۲۷۳ق، چاپ سنگی؛ به کوشش هاشم محدث، تهران، ۱۳۶۵ش، تحت نام «تاریخ وقایع و سوانح افغانستان»</w:t>
      </w:r>
    </w:p>
    <w:p>
      <w:pPr>
        <w:pStyle w:val="BookText"/>
      </w:pPr>
      <w:r>
        <w:rPr>
          <w:rFonts w:ascii="IRNazanin" w:hAnsi="IRNazanin" w:eastAsia="IRNazanin" w:cs="IRNazanin"/>
          <w:lang w:bidi="fa-IR"/>
          <w:color w:val="111111"/>
          <w:sz w:val="28"/>
          <w:szCs w:val="28"/>
          <w:rtl/>
        </w:rPr>
        <w:t xml:space="preserve">[دنا ۶۷۳/۲ ؛ فهرستواره منزوی ۸۴۱/۲ و ۹۱۵/۲ ]</w:t>
      </w:r>
    </w:p>
    <w:p>
      <w:pPr>
        <w:pStyle w:val="BookText"/>
      </w:pPr>
      <w:r>
        <w:rPr>
          <w:rFonts w:ascii="IRNazanin" w:hAnsi="IRNazanin" w:eastAsia="IRNazanin" w:cs="IRNazanin"/>
          <w:lang w:bidi="fa-IR"/>
          <w:color w:val="111111"/>
          <w:sz w:val="28"/>
          <w:szCs w:val="28"/>
          <w:rtl/>
        </w:rPr>
        <w:t xml:space="preserve">۱. تهران؛ ملک؛ شماره نسخه:۱۲۷۷/۵</w:t>
      </w:r>
    </w:p>
    <w:p>
      <w:pPr>
        <w:pStyle w:val="BookText"/>
      </w:pPr>
      <w:r>
        <w:rPr>
          <w:rFonts w:ascii="IRNazanin" w:hAnsi="IRNazanin" w:eastAsia="IRNazanin" w:cs="IRNazanin"/>
          <w:lang w:bidi="fa-IR"/>
          <w:color w:val="111111"/>
          <w:sz w:val="28"/>
          <w:szCs w:val="28"/>
          <w:rtl/>
        </w:rPr>
        <w:t xml:space="preserve">خط: نستعلیق، کاتب = مؤلف، بی تا؛ ۲۳ سطر [ف: ۵-۲۵۴]</w:t>
      </w:r>
    </w:p>
    <w:p>
      <w:pPr>
        <w:pStyle w:val="BookText"/>
      </w:pPr>
      <w:r>
        <w:rPr>
          <w:rFonts w:ascii="IRNazanin" w:hAnsi="IRNazanin" w:eastAsia="IRNazanin" w:cs="IRNazanin"/>
          <w:lang w:bidi="fa-IR"/>
          <w:color w:val="111111"/>
          <w:sz w:val="28"/>
          <w:szCs w:val="28"/>
          <w:rtl/>
        </w:rPr>
        <w:t xml:space="preserve">۲. تهران، مرکز فرهنگی خراسان شماره نسخه: ۲۵ عکسی</w:t>
      </w:r>
    </w:p>
    <w:p>
      <w:pPr>
        <w:pStyle w:val="BookText"/>
      </w:pPr>
      <w:r>
        <w:rPr>
          <w:rFonts w:ascii="IRNazanin" w:hAnsi="IRNazanin" w:eastAsia="IRNazanin" w:cs="IRNazanin"/>
          <w:lang w:bidi="fa-IR"/>
          <w:color w:val="111111"/>
          <w:sz w:val="28"/>
          <w:szCs w:val="28"/>
          <w:rtl/>
        </w:rPr>
        <w:t xml:space="preserve">نسخه اصل: کتابخانه دانشگاه علیگر هند؛ بی کا، بی تا؛ ۷۵گ</w:t>
      </w:r>
    </w:p>
    <w:p>
      <w:pPr>
        <w:pStyle w:val="BookText"/>
      </w:pPr>
      <w:r>
        <w:rPr>
          <w:rFonts w:ascii="IRNazanin" w:hAnsi="IRNazanin" w:eastAsia="IRNazanin" w:cs="IRNazanin"/>
          <w:lang w:bidi="fa-IR"/>
          <w:color w:val="111111"/>
          <w:sz w:val="28"/>
          <w:szCs w:val="28"/>
          <w:rtl/>
        </w:rPr>
        <w:t xml:space="preserve">[جنگی: ۱-۴۴۸]</w:t>
      </w:r>
    </w:p>
    <w:p>
      <w:pPr>
        <w:pStyle w:val="Heading3"/>
      </w:pPr>
      <w:bookmarkStart w:id="2026" w:name="_Toc1286"/>
      <w:r>
        <w:t>• تاریخ افغانستان / تاریخ / فارسی</w:t>
      </w:r>
      <w:bookmarkEnd w:id="2026"/>
    </w:p>
    <w:p>
      <w:pPr>
        <w:pStyle w:val="BookText"/>
      </w:pPr>
      <w:r>
        <w:rPr>
          <w:rFonts w:ascii="Times New Roman" w:hAnsi="Times New Roman" w:eastAsia="Times New Roman" w:cs="Times New Roman"/>
          <w:lang w:val="en-US" w:bidi="en-US"/>
          <w:color w:val="111111"/>
          <w:sz w:val="28"/>
          <w:szCs w:val="28"/>
          <w:rtl/>
        </w:rPr>
        <w:t xml:space="preserve">tārīx-e afqānestān</w:t>
      </w:r>
    </w:p>
    <w:p>
      <w:pPr>
        <w:pStyle w:val="BookText"/>
      </w:pPr>
      <w:r>
        <w:rPr>
          <w:rFonts w:ascii="IRNazanin" w:hAnsi="IRNazanin" w:eastAsia="IRNazanin" w:cs="IRNazanin"/>
          <w:lang w:bidi="fa-IR"/>
          <w:color w:val="111111"/>
          <w:sz w:val="28"/>
          <w:szCs w:val="28"/>
          <w:rtl/>
        </w:rPr>
        <w:t xml:space="preserve">بارکزائی، عبدالرحمان بن محمد افضل، ق۱۳ قمری</w:t>
      </w:r>
    </w:p>
    <w:p>
      <w:pPr>
        <w:pStyle w:val="BookText"/>
      </w:pPr>
      <w:r>
        <w:rPr>
          <w:rFonts w:ascii="Times New Roman" w:hAnsi="Times New Roman" w:eastAsia="Times New Roman" w:cs="Times New Roman"/>
          <w:lang w:val="en-US" w:bidi="en-US"/>
          <w:color w:val="111111"/>
          <w:sz w:val="28"/>
          <w:szCs w:val="28"/>
          <w:rtl/>
        </w:rPr>
        <w:t xml:space="preserve">bārkazā'ī, abd-or-rahmān ebn-e mohammad afzal ( 19c)  </w:t>
      </w:r>
      <w:r>
        <w:rPr>
          <w:rFonts w:ascii="IRNazanin" w:hAnsi="IRNazanin" w:eastAsia="IRNazanin" w:cs="IRNazanin"/>
          <w:lang w:bidi="fa-IR"/>
          <w:color w:val="111111"/>
          <w:sz w:val="28"/>
          <w:szCs w:val="28"/>
          <w:rtl/>
        </w:rPr>
        <w:t xml:space="preserve">نویسنده که از شاهان افغانستان و پسر محمد افضل خان و پدر حبیب الله می باشد، این کتاب را (یعنی جلد دوم تاریخ افغانستان را می پردازد و با مسأله تعیین ولیعهد و جانشین خود آغاز سخن می کند و بعد به مسائل داخلی و ترقیاتی که افغانستان باید بکند می پردازد و از کارخانه ها و وسایل تمدنی که باید افغانها در مملکت خود ایجاد کنند صحبت می نماید سپس از روابط خارجی افغانستان و قشون های انگلیس و روس سخن می گوید. در بین قسمت های این تاریخ فصلی است راجع به وضع زندگانی خود امیر عبدالرحمن خان که بسیار جالب توجه است.</w:t>
      </w:r>
    </w:p>
    <w:p>
      <w:pPr>
        <w:pStyle w:val="BookText"/>
      </w:pPr>
      <w:r>
        <w:rPr>
          <w:rFonts w:ascii="IRNazanin" w:hAnsi="IRNazanin" w:eastAsia="IRNazanin" w:cs="IRNazanin"/>
          <w:lang w:bidi="fa-IR"/>
          <w:color w:val="111111"/>
          <w:sz w:val="28"/>
          <w:szCs w:val="28"/>
          <w:rtl/>
        </w:rPr>
        <w:t xml:space="preserve">تهران؛ ملی؛ شماره نسخه: ۲۹۸۱</w:t>
      </w:r>
    </w:p>
    <w:p>
      <w:pPr>
        <w:pStyle w:val="BookText"/>
      </w:pPr>
      <w:r>
        <w:rPr>
          <w:rFonts w:ascii="IRNazanin" w:hAnsi="IRNazanin" w:eastAsia="IRNazanin" w:cs="IRNazanin"/>
          <w:lang w:bidi="fa-IR"/>
          <w:color w:val="111111"/>
          <w:sz w:val="28"/>
          <w:szCs w:val="28"/>
          <w:rtl/>
        </w:rPr>
        <w:t xml:space="preserve">آغاز: فصل اول: در باب جانشین امیر افغانستان بتخت کابل؛ انجام: و فتح با انگلیسها خواهد بود چنانچه همیشه در هر جنگ بزرگی که دولت انگلیس با دولت روس و فرانسه با سایر دشمنان نموده است فتح با مشار اليها بوده است.</w:t>
      </w:r>
    </w:p>
    <w:p>
      <w:pPr>
        <w:pStyle w:val="BookText"/>
      </w:pPr>
      <w:r>
        <w:rPr>
          <w:rFonts w:ascii="IRNazanin" w:hAnsi="IRNazanin" w:eastAsia="IRNazanin" w:cs="IRNazanin"/>
          <w:lang w:bidi="fa-IR"/>
          <w:color w:val="111111"/>
          <w:sz w:val="28"/>
          <w:szCs w:val="28"/>
          <w:rtl/>
        </w:rPr>
        <w:t xml:space="preserve">جلد دوم؛ خط: نستعلیق، کا: محمد ملقب به نبیل خانی، تا: ۱۳۲۱ق، جا: تبریز؛ کاغذ: فرنگی، جلد: مقوایی میشن تریاکی، ۱۷۸گ، ۱۴سطر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۶-۷۳۳]</w:t>
      </w:r>
    </w:p>
    <w:p>
      <w:pPr>
        <w:pStyle w:val="Heading3"/>
      </w:pPr>
      <w:bookmarkStart w:id="2027" w:name="_Toc1287"/>
      <w:r>
        <w:t>•تاریخ افغانستان / تاریخ / فارسی</w:t>
      </w:r>
      <w:bookmarkEnd w:id="2027"/>
    </w:p>
    <w:p>
      <w:pPr>
        <w:pStyle w:val="BookText"/>
      </w:pPr>
      <w:r>
        <w:rPr>
          <w:rFonts w:ascii="Times New Roman" w:hAnsi="Times New Roman" w:eastAsia="Times New Roman" w:cs="Times New Roman"/>
          <w:lang w:val="en-US" w:bidi="en-US"/>
          <w:color w:val="111111"/>
          <w:sz w:val="28"/>
          <w:szCs w:val="28"/>
          <w:rtl/>
        </w:rPr>
        <w:t xml:space="preserve">tārīx-e afqānestān</w:t>
      </w:r>
    </w:p>
    <w:p>
      <w:pPr>
        <w:pStyle w:val="BookText"/>
      </w:pPr>
      <w:r>
        <w:rPr>
          <w:rFonts w:ascii="IRNazanin" w:hAnsi="IRNazanin" w:eastAsia="IRNazanin" w:cs="IRNazanin"/>
          <w:lang w:bidi="fa-IR"/>
          <w:color w:val="111111"/>
          <w:sz w:val="28"/>
          <w:szCs w:val="28"/>
          <w:rtl/>
        </w:rPr>
        <w:t xml:space="preserve">غیر همانند: ۱. تهران، سپهسالار؛ شماره نسخه:۱۴۶۵</w:t>
      </w:r>
    </w:p>
    <w:p>
      <w:pPr>
        <w:pStyle w:val="BookText"/>
      </w:pPr>
      <w:r>
        <w:rPr>
          <w:rFonts w:ascii="IRNazanin" w:hAnsi="IRNazanin" w:eastAsia="IRNazanin" w:cs="IRNazanin"/>
          <w:lang w:bidi="fa-IR"/>
          <w:color w:val="111111"/>
          <w:sz w:val="28"/>
          <w:szCs w:val="28"/>
          <w:rtl/>
        </w:rPr>
        <w:t xml:space="preserve">آغاز: بسمله. افغانستان مملکتی است وسيع و با تحديد مردم یوروپ طول آن از سوی مشرق به طرف مغرب هزار میل مسافت است؛ انجام: از قبل امیر دوست محمد خان به حضرت دارالخلافه آمد، و شاهنشاه امیر. (ناقص است)</w:t>
      </w:r>
    </w:p>
    <w:p>
      <w:pPr>
        <w:pStyle w:val="BookText"/>
      </w:pPr>
      <w:r>
        <w:rPr>
          <w:rFonts w:ascii="IRNazanin" w:hAnsi="IRNazanin" w:eastAsia="IRNazanin" w:cs="IRNazanin"/>
          <w:lang w:bidi="fa-IR"/>
          <w:color w:val="111111"/>
          <w:sz w:val="28"/>
          <w:szCs w:val="28"/>
          <w:rtl/>
        </w:rPr>
        <w:t xml:space="preserve">تاریخ این کشور را پس از آمدن انگلیس ها و گریختن دوست محمد خان و رسیدن کهن دل خان به تهران. ترجمه ای است از انگلیسی؛ خط: نستعلیق، بی کا، تا: قرن ۱۳؛ افتادگی: انجام؛ مجدول؛ کاغذ: فرنگی نازک آهار مهره، جلد: تیماج سرخ، ۳۶گ، ۱۷ سطر،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۳۳/۵سم [ف: ۳-۲۹۲]</w:t>
      </w:r>
    </w:p>
    <w:p>
      <w:pPr>
        <w:pStyle w:val="BookText"/>
      </w:pPr>
      <w:r>
        <w:rPr>
          <w:rFonts w:ascii="IRNazanin" w:hAnsi="IRNazanin" w:eastAsia="IRNazanin" w:cs="IRNazanin"/>
          <w:lang w:bidi="fa-IR"/>
          <w:color w:val="111111"/>
          <w:sz w:val="28"/>
          <w:szCs w:val="28"/>
          <w:rtl/>
        </w:rPr>
        <w:t xml:space="preserve">۲. تهران؛ ملی؛ شماره نسخه:۱۹۹۱۵</w:t>
      </w:r>
    </w:p>
    <w:p>
      <w:pPr>
        <w:pStyle w:val="BookText"/>
      </w:pPr>
      <w:r>
        <w:rPr>
          <w:rFonts w:ascii="IRNazanin" w:hAnsi="IRNazanin" w:eastAsia="IRNazanin" w:cs="IRNazanin"/>
          <w:lang w:bidi="fa-IR"/>
          <w:color w:val="111111"/>
          <w:sz w:val="28"/>
          <w:szCs w:val="28"/>
          <w:rtl/>
        </w:rPr>
        <w:t xml:space="preserve">بی کا، تا: ۱۳۳۱ق؛ خریداری از امرالله صفری [رایانه]</w:t>
      </w:r>
    </w:p>
    <w:p>
      <w:pPr>
        <w:pStyle w:val="BookText"/>
      </w:pPr>
      <w:r>
        <w:rPr>
          <w:rFonts w:ascii="IRNazanin" w:hAnsi="IRNazanin" w:eastAsia="IRNazanin" w:cs="IRNazanin"/>
          <w:lang w:bidi="fa-IR"/>
          <w:color w:val="111111"/>
          <w:sz w:val="28"/>
          <w:szCs w:val="28"/>
          <w:rtl/>
        </w:rPr>
        <w:t xml:space="preserve">٣. تهران: مجلس؛ شماره نسخه: ۶۲۲/۱</w:t>
      </w:r>
    </w:p>
    <w:p>
      <w:pPr>
        <w:pStyle w:val="BookText"/>
      </w:pPr>
      <w:r>
        <w:rPr>
          <w:rFonts w:ascii="IRNazanin" w:hAnsi="IRNazanin" w:eastAsia="IRNazanin" w:cs="IRNazanin"/>
          <w:lang w:bidi="fa-IR"/>
          <w:color w:val="111111"/>
          <w:sz w:val="28"/>
          <w:szCs w:val="28"/>
          <w:rtl/>
        </w:rPr>
        <w:t xml:space="preserve">در ذکر سلطنت احمدشاه و تیمور شاه و شاه زمان و شاه محمود و غیره؛ بی کا، بی تا؛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۲-۳۸۱]</w:t>
      </w:r>
    </w:p>
    <w:p>
      <w:pPr>
        <w:pStyle w:val="BookText"/>
      </w:pPr>
      <w:r>
        <w:rPr>
          <w:rFonts w:ascii="IRNazanin" w:hAnsi="IRNazanin" w:eastAsia="IRNazanin" w:cs="IRNazanin"/>
          <w:lang w:bidi="fa-IR"/>
          <w:color w:val="111111"/>
          <w:sz w:val="28"/>
          <w:szCs w:val="28"/>
          <w:rtl/>
        </w:rPr>
        <w:t xml:space="preserve">← تاریخ افغانی ← بدايع الاخبار</w:t>
      </w:r>
    </w:p>
    <w:p>
      <w:pPr>
        <w:pStyle w:val="Heading3"/>
      </w:pPr>
      <w:bookmarkStart w:id="2028" w:name="_Toc1288"/>
      <w:r>
        <w:t>• تاریخ اکبرشاه / تاریخ هند / فارسی</w:t>
      </w:r>
      <w:bookmarkEnd w:id="2028"/>
    </w:p>
    <w:p>
      <w:pPr>
        <w:pStyle w:val="BookText"/>
      </w:pPr>
      <w:r>
        <w:rPr>
          <w:rFonts w:ascii="Times New Roman" w:hAnsi="Times New Roman" w:eastAsia="Times New Roman" w:cs="Times New Roman"/>
          <w:lang w:val="en-US" w:bidi="en-US"/>
          <w:color w:val="111111"/>
          <w:sz w:val="28"/>
          <w:szCs w:val="28"/>
          <w:rtl/>
        </w:rPr>
        <w:t xml:space="preserve">tārīx-e akbar-šāh</w:t>
      </w:r>
    </w:p>
    <w:p>
      <w:pPr>
        <w:pStyle w:val="BookText"/>
      </w:pPr>
      <w:r>
        <w:rPr>
          <w:rFonts w:ascii="IRNazanin" w:hAnsi="IRNazanin" w:eastAsia="IRNazanin" w:cs="IRNazanin"/>
          <w:lang w:bidi="fa-IR"/>
          <w:color w:val="111111"/>
          <w:sz w:val="28"/>
          <w:szCs w:val="28"/>
          <w:rtl/>
        </w:rPr>
        <w:t xml:space="preserve">اصفهان، دانشگاه؛ شماره نسخه: ۵۵۱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383" w:name="pg20363_209669"/>
    <w:bookmarkEnd w:id="383"/>
    <w:p>
      <w:pPr>
        <w:pStyle w:val="BookText"/>
      </w:pPr>
      <w:r>
        <w:rPr>
          <w:rFonts w:ascii="IRNazanin" w:hAnsi="IRNazanin" w:eastAsia="IRNazanin" w:cs="IRNazanin"/>
          <w:lang w:bidi="fa-IR"/>
          <w:color w:val="111111"/>
          <w:sz w:val="28"/>
          <w:szCs w:val="28"/>
          <w:rtl/>
        </w:rPr>
        <w:t xml:space="preserve">آغاز: سخن تازه سازم بنام خدای</w:t>
      </w:r>
      <w:r>
        <w:rPr>
          <w:rFonts w:ascii="IRNazanin" w:hAnsi="IRNazanin" w:eastAsia="IRNazanin" w:cs="IRNazanin"/>
          <w:lang w:bidi="fa-IR"/>
          <w:color w:val="111111"/>
          <w:sz w:val="28"/>
          <w:szCs w:val="28"/>
          <w:b w:val="1"/>
          <w:bCs w:val="1"/>
          <w:i w:val="1"/>
          <w:iCs w:val="1"/>
          <w:rtl/>
        </w:rPr>
        <w:t xml:space="preserve">که نامش به معنی بود رهنمای؛ انجام: نظام سخن از کلام تو باد</w:t>
      </w:r>
      <w:r>
        <w:rPr>
          <w:rFonts w:ascii="IRNazanin" w:hAnsi="IRNazanin" w:eastAsia="IRNazanin" w:cs="IRNazanin"/>
          <w:lang w:bidi="fa-IR"/>
          <w:color w:val="111111"/>
          <w:sz w:val="28"/>
          <w:szCs w:val="28"/>
          <w:rtl/>
        </w:rPr>
        <w:t xml:space="preserve"> طراز معانی به نام تو باد</w:t>
      </w:r>
    </w:p>
    <w:p>
      <w:pPr>
        <w:pStyle w:val="BookText"/>
      </w:pPr>
      <w:r>
        <w:rPr>
          <w:rFonts w:ascii="IRNazanin" w:hAnsi="IRNazanin" w:eastAsia="IRNazanin" w:cs="IRNazanin"/>
          <w:lang w:bidi="fa-IR"/>
          <w:color w:val="111111"/>
          <w:sz w:val="28"/>
          <w:szCs w:val="28"/>
          <w:rtl/>
        </w:rPr>
        <w:t xml:space="preserve">از سال ۱۷ تا ۴۷ پادشاهی اوست؛ خط: نستعلیق، بی کا، تا: قرن ۱۱؛ مجدول، با سرلوح زرین؛ کاغذ: سپاهانی [نشریه: ۱۱-۸۸۵]</w:t>
      </w:r>
    </w:p>
    <w:p>
      <w:pPr>
        <w:pStyle w:val="Heading3"/>
      </w:pPr>
      <w:bookmarkStart w:id="2029" w:name="_Toc1289"/>
      <w:r>
        <w:t>•تاریخ اکبرشاه / تاریخ هند / فارسی</w:t>
      </w:r>
      <w:bookmarkEnd w:id="2029"/>
    </w:p>
    <w:p>
      <w:pPr>
        <w:pStyle w:val="BookText"/>
      </w:pPr>
      <w:r>
        <w:rPr>
          <w:rFonts w:ascii="Times New Roman" w:hAnsi="Times New Roman" w:eastAsia="Times New Roman" w:cs="Times New Roman"/>
          <w:lang w:val="en-US" w:bidi="en-US"/>
          <w:color w:val="111111"/>
          <w:sz w:val="28"/>
          <w:szCs w:val="28"/>
          <w:rtl/>
        </w:rPr>
        <w:t xml:space="preserve">tārīx-e akbar-šāh</w:t>
      </w:r>
    </w:p>
    <w:p>
      <w:pPr>
        <w:pStyle w:val="BookText"/>
      </w:pPr>
      <w:r>
        <w:rPr>
          <w:rFonts w:ascii="IRNazanin" w:hAnsi="IRNazanin" w:eastAsia="IRNazanin" w:cs="IRNazanin"/>
          <w:lang w:bidi="fa-IR"/>
          <w:color w:val="111111"/>
          <w:sz w:val="28"/>
          <w:szCs w:val="28"/>
          <w:rtl/>
        </w:rPr>
        <w:t xml:space="preserve">تاریخچه ای است در زندگی جلال الدین محمد اکبرشاه هندی نوه بابر شاه از دودمان امیر تیمور کورگانی که در اوایل قرن یازدهم هجری قمری در هندوستان سلطنت می کرده است. شرح سوانح زندگی و وقایع و حوادث سلطنت اکبرشاه است از بدو طفولیت تا فتح</w:t>
      </w:r>
    </w:p>
    <w:p>
      <w:pPr>
        <w:pStyle w:val="BookText"/>
      </w:pPr>
      <w:r>
        <w:rPr>
          <w:rFonts w:ascii="IRNazanin" w:hAnsi="IRNazanin" w:eastAsia="IRNazanin" w:cs="IRNazanin"/>
          <w:lang w:bidi="fa-IR"/>
          <w:color w:val="111111"/>
          <w:sz w:val="28"/>
          <w:szCs w:val="28"/>
          <w:rtl/>
        </w:rPr>
        <w:t xml:space="preserve">(قلعه سورت) که مفصلا به توصیف آمده است.</w:t>
      </w:r>
    </w:p>
    <w:p>
      <w:pPr>
        <w:pStyle w:val="BookText"/>
      </w:pPr>
      <w:r>
        <w:rPr>
          <w:rFonts w:ascii="IRNazanin" w:hAnsi="IRNazanin" w:eastAsia="IRNazanin" w:cs="IRNazanin"/>
          <w:lang w:bidi="fa-IR"/>
          <w:color w:val="111111"/>
          <w:sz w:val="28"/>
          <w:szCs w:val="28"/>
          <w:rtl/>
        </w:rPr>
        <w:t xml:space="preserve">تهران؛ سلطنتی؛ شماره نسخه:۲۲۵۳</w:t>
      </w:r>
    </w:p>
    <w:p>
      <w:pPr>
        <w:pStyle w:val="BookText"/>
      </w:pPr>
      <w:r>
        <w:rPr>
          <w:rFonts w:ascii="IRNazanin" w:hAnsi="IRNazanin" w:eastAsia="IRNazanin" w:cs="IRNazanin"/>
          <w:lang w:bidi="fa-IR"/>
          <w:color w:val="111111"/>
          <w:sz w:val="28"/>
          <w:szCs w:val="28"/>
          <w:rtl/>
        </w:rPr>
        <w:t xml:space="preserve">آغاز: آنان آرامی شعف دست فکرت از دامن هودج کبریا کوتاه داشته تشنه لب و آبله پای هزاران جوش و خروش فرو خروده مهر خاموشی بر لب نهاده اند ... آسمان جلوه زمین و نگین*** صاحب عقل کل جلال الدين / نور خورشید ذات و ظل اله*** گوهر تاج و بخت اكبر شاه؛ انجام: آنچه بر زبان قلم میاید و بر صفحه بيان رقم می پذیرد روز بروز بسمع همایون میرسد دست آویز آفرین روز افزون و نوازش گوناگون میگردد و سعادتمند بنده که خدمت او پسند شاهنشاه افتد ... بتاریخ شهر جمادى الأول سال یکهزار و دویست و سی هشت هجری نبوی صلی الله عليه و اله و سلم مطابق یونت ئیل خیریت دلیل در دارالخلافه طهران صانها اله من طوارق الحدثان ...</w:t>
      </w:r>
    </w:p>
    <w:p>
      <w:pPr>
        <w:pStyle w:val="BookText"/>
      </w:pPr>
      <w:r>
        <w:rPr>
          <w:rFonts w:ascii="IRNazanin" w:hAnsi="IRNazanin" w:eastAsia="IRNazanin" w:cs="IRNazanin"/>
          <w:lang w:bidi="fa-IR"/>
          <w:color w:val="111111"/>
          <w:sz w:val="28"/>
          <w:szCs w:val="28"/>
          <w:rtl/>
        </w:rPr>
        <w:t xml:space="preserve">خط: نستعلیق، بی کا، تا: ۱۲۳۸ق؛ افتادگی: آغاز (صفحه اول)؛ مجدول، یک سرلوح مذهب مرصع بسیار خوب، دارای دوازده مجلس نقاشی آب و رنگی شیوه کار هند، نام نقاشان: لعل، هند کوالیاری، هم حپو چهره نامی مسکین، سینگر، کریمدد افغان، طرح جكن عمل السير، طرح بساول عمل چهتره. از کتب مسروقه و اکتشافی است که نظمیه وقت کشف دوباره کتابخانه عودت داده؛ مهر: کتابخانه دولت علیه ایران ۱۳۲۹؛ کاغذ: ختایی ضخیم حنایی، جلد: مقوای روکش چرمی تریاکی با ترنج و حواشی طرح کتبیه ای، ۶۶۶ص، ۲۵ سطر، قطع: تیموری حجیم، اندازه: ۲۶/۵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۳۶/۵سم [ف: ۵-۲۲]</w:t>
      </w:r>
    </w:p>
    <w:p>
      <w:pPr>
        <w:pStyle w:val="BookText"/>
      </w:pPr>
      <w:r>
        <w:rPr>
          <w:rFonts w:ascii="IRNazanin" w:hAnsi="IRNazanin" w:eastAsia="IRNazanin" w:cs="IRNazanin"/>
          <w:lang w:bidi="fa-IR"/>
          <w:color w:val="111111"/>
          <w:sz w:val="28"/>
          <w:szCs w:val="28"/>
          <w:rtl/>
        </w:rPr>
        <w:t xml:space="preserve">← تاریخ اکبر شاهی ← تاریخ اکبری</w:t>
      </w:r>
    </w:p>
    <w:p>
      <w:pPr>
        <w:pStyle w:val="BookText"/>
      </w:pPr>
      <w:r>
        <w:rPr>
          <w:rFonts w:ascii="IRNazanin" w:hAnsi="IRNazanin" w:eastAsia="IRNazanin" w:cs="IRNazanin"/>
          <w:lang w:bidi="fa-IR"/>
          <w:color w:val="111111"/>
          <w:sz w:val="28"/>
          <w:szCs w:val="28"/>
          <w:rtl/>
        </w:rPr>
        <w:t xml:space="preserve">← تاریخ اکبر شاهی ← مرآت الصرف</w:t>
      </w:r>
    </w:p>
    <w:p>
      <w:pPr>
        <w:pStyle w:val="BookText"/>
      </w:pPr>
      <w:r>
        <w:rPr>
          <w:rFonts w:ascii="IRNazanin" w:hAnsi="IRNazanin" w:eastAsia="IRNazanin" w:cs="IRNazanin"/>
          <w:lang w:bidi="fa-IR"/>
          <w:color w:val="111111"/>
          <w:sz w:val="28"/>
          <w:szCs w:val="28"/>
          <w:rtl/>
        </w:rPr>
        <w:t xml:space="preserve">← تاریخ اکبری ← تاريخ الفي</w:t>
      </w:r>
    </w:p>
    <w:p>
      <w:pPr>
        <w:pStyle w:val="Heading3"/>
      </w:pPr>
      <w:bookmarkStart w:id="2030" w:name="_Toc1290"/>
      <w:r>
        <w:t>•تاریخ اکبری = محمدت نامه ایزدی = اکبرنامه = تاریخ اکبر شاهی = آئین اکبری / تاریخ هند / فارسی</w:t>
      </w:r>
      <w:bookmarkEnd w:id="2030"/>
    </w:p>
    <w:p>
      <w:pPr>
        <w:pStyle w:val="BookText"/>
      </w:pPr>
      <w:r>
        <w:rPr>
          <w:rFonts w:ascii="Times New Roman" w:hAnsi="Times New Roman" w:eastAsia="Times New Roman" w:cs="Times New Roman"/>
          <w:lang w:val="en-US" w:bidi="en-US"/>
          <w:color w:val="111111"/>
          <w:sz w:val="28"/>
          <w:szCs w:val="28"/>
          <w:rtl/>
        </w:rPr>
        <w:t xml:space="preserve">tārīx-e akbarī = mahmadat-nāme-ye izadī = akbar nāme = tārīx-e akbar-šāhī=āyīn-e akbarī</w:t>
      </w:r>
    </w:p>
    <w:p>
      <w:pPr>
        <w:pStyle w:val="BookText"/>
      </w:pPr>
      <w:r>
        <w:rPr>
          <w:rFonts w:ascii="IRNazanin" w:hAnsi="IRNazanin" w:eastAsia="IRNazanin" w:cs="IRNazanin"/>
          <w:lang w:bidi="fa-IR"/>
          <w:color w:val="111111"/>
          <w:sz w:val="28"/>
          <w:szCs w:val="28"/>
          <w:rtl/>
        </w:rPr>
        <w:t xml:space="preserve">علامی، ابوالفضل بن مبارک، ۹۵۸؟ -۱۰۱۱؟ قمری</w:t>
      </w:r>
    </w:p>
    <w:p>
      <w:pPr>
        <w:pStyle w:val="BookText"/>
      </w:pPr>
      <w:r>
        <w:rPr>
          <w:rFonts w:ascii="Times New Roman" w:hAnsi="Times New Roman" w:eastAsia="Times New Roman" w:cs="Times New Roman"/>
          <w:lang w:val="en-US" w:bidi="en-US"/>
          <w:color w:val="111111"/>
          <w:sz w:val="28"/>
          <w:szCs w:val="28"/>
          <w:rtl/>
        </w:rPr>
        <w:t xml:space="preserve">‘allāmī, ab-ol-fazl ebn-e mobārak (1551-1603)</w:t>
      </w:r>
    </w:p>
    <w:p>
      <w:pPr>
        <w:pStyle w:val="BookText"/>
      </w:pPr>
      <w:r>
        <w:rPr>
          <w:rFonts w:ascii="IRNazanin" w:hAnsi="IRNazanin" w:eastAsia="IRNazanin" w:cs="IRNazanin"/>
          <w:lang w:bidi="fa-IR"/>
          <w:color w:val="111111"/>
          <w:sz w:val="28"/>
          <w:szCs w:val="28"/>
          <w:rtl/>
        </w:rPr>
        <w:t xml:space="preserve">تاریخ تأليف: ۱۰۰۴ق</w:t>
      </w:r>
    </w:p>
    <w:p>
      <w:pPr>
        <w:pStyle w:val="BookText"/>
      </w:pPr>
      <w:r>
        <w:rPr>
          <w:rFonts w:ascii="IRNazanin" w:hAnsi="IRNazanin" w:eastAsia="IRNazanin" w:cs="IRNazanin"/>
          <w:lang w:bidi="fa-IR"/>
          <w:color w:val="111111"/>
          <w:sz w:val="28"/>
          <w:szCs w:val="28"/>
          <w:rtl/>
        </w:rPr>
        <w:t xml:space="preserve">مؤلف برادر ابو الفیض فیضی شاعر است. تاریخ مفصل و سال شمار دوران سلطنت جلال الدین اکبر شاه بابری گورکانی ( ۱۰۱۴-۹۶۳</w:t>
      </w:r>
    </w:p>
    <w:p>
      <w:pPr>
        <w:pStyle w:val="BookText"/>
      </w:pPr>
      <w:r>
        <w:rPr>
          <w:rFonts w:ascii="IRNazanin" w:hAnsi="IRNazanin" w:eastAsia="IRNazanin" w:cs="IRNazanin"/>
          <w:lang w:bidi="fa-IR"/>
          <w:color w:val="111111"/>
          <w:sz w:val="28"/>
          <w:szCs w:val="28"/>
          <w:rtl/>
        </w:rPr>
        <w:t xml:space="preserve">ق) است، در یک «مقدمه» و سه «دفتر»: ۱. ولادت اکبر شاه و زایچه و طالع او و ذکر دایگان وی و نیز تاریخ اجداد او؛ ۲. تاریخ اکبر شاه از جلوس (۹۳۶ق) تا اواسط سال هفدهم پادشاهی (۹۷۹ق)؛ 3. تاریخ وقایع از سال ۹۸۰ق تا سال ۴۷ پادشاهی اکبر شاه (۱۰۱۰ق). تأليف كتاب در ۹۸۲ق آغاز و جلد دوم آن در شعبان ۱۰۰۴ق پایان یافته است. پس از آن مؤلف تا سال ۱۰۱۰ ق به تحریر جلد سوم اشتغال داشت اما در این زمان با قتل او کار نگارش کتاب ناتمام می ماند. برخی از محققان آیین اکبری را جلد آخر اکبرنامه دانسته اند. ولی این نظر درست نیست و آیین اکبری اثر مستقل و جداگانه و دائرة المعارف گونه ای است که ابوالفضل علامی آن را در شرح نهادها و آیین های دوران اکبر شاه و دربار او در ۱۰۰۶ق تأليف کرده است. (حافظیان و حکیم)</w:t>
      </w:r>
    </w:p>
    <w:p>
      <w:pPr>
        <w:pStyle w:val="BookText"/>
      </w:pPr>
      <w:r>
        <w:rPr>
          <w:rFonts w:ascii="IRNazanin" w:hAnsi="IRNazanin" w:eastAsia="IRNazanin" w:cs="IRNazanin"/>
          <w:lang w:bidi="fa-IR"/>
          <w:color w:val="111111"/>
          <w:sz w:val="28"/>
          <w:szCs w:val="28"/>
          <w:rtl/>
        </w:rPr>
        <w:t xml:space="preserve">آغاز: بسمله، الله اكبر این چه دریائیست ژرف و شناختنی شگرف که حقیقت پذیران دقیقه رس و روشن ضمیران صبح نفس که باریک بینان جدول آفرینش و پرگار کشان لوحه دانش و بینشند</w:t>
      </w:r>
    </w:p>
    <w:p>
      <w:pPr>
        <w:pStyle w:val="BookText"/>
      </w:pPr>
      <w:r>
        <w:rPr>
          <w:rFonts w:ascii="IRNazanin" w:hAnsi="IRNazanin" w:eastAsia="IRNazanin" w:cs="IRNazanin"/>
          <w:lang w:bidi="fa-IR"/>
          <w:color w:val="111111"/>
          <w:sz w:val="28"/>
          <w:szCs w:val="28"/>
          <w:rtl/>
        </w:rPr>
        <w:t xml:space="preserve">[ آغاز قسمت دوم: جلوس مقدس حضرت شاهنشاهی بر اورنک فرماندهی جهانبانی سلسله انتظام کارگاه آفرینش که مظاهر حقیقت نمای شهود شواهد قدرت واجب الوجود است وابسته بفرمانروایی بزرگ نهادی باید که بار عالم و عالمیان را ببازوی تأييد الهی بر سر تواند گرفت] انجام: قسمت اول: الحمدلله که ذکر این سلسله رفيعه ... انتظام یافت و بنگارش این فهرست رفعت و عنوان دولت ذره هوا سرشت ابوالفضل سعادت پذیر شد. کلکم که سرش زبان غیب است</w:t>
      </w:r>
      <w:r>
        <w:rPr>
          <w:rFonts w:ascii="IRNazanin" w:hAnsi="IRNazanin" w:eastAsia="IRNazanin" w:cs="IRNazanin"/>
          <w:lang w:bidi="fa-IR"/>
          <w:color w:val="111111"/>
          <w:sz w:val="28"/>
          <w:szCs w:val="28"/>
          <w:b w:val="1"/>
          <w:bCs w:val="1"/>
          <w:i w:val="1"/>
          <w:iCs w:val="1"/>
          <w:rtl/>
        </w:rPr>
        <w:t xml:space="preserve">گنجینه گشای کان غیب است / زانکس که نگه کند بتمكين *** انصاف طلب کنم نه تحسين / این نامه سزای آفرین باد *** انشاء الله که اینچنین باد. قسمت دوم: باین جنبش کلک گردون خرام</w:t>
      </w:r>
      <w:r>
        <w:rPr>
          <w:rFonts w:ascii="IRNazanin" w:hAnsi="IRNazanin" w:eastAsia="IRNazanin" w:cs="IRNazanin"/>
          <w:lang w:bidi="fa-IR"/>
          <w:color w:val="111111"/>
          <w:sz w:val="28"/>
          <w:szCs w:val="28"/>
          <w:rtl/>
        </w:rPr>
        <w:t xml:space="preserve">به پایان برم این گرامی کلام.</w:t>
      </w:r>
    </w:p>
    <w:p>
      <w:pPr>
        <w:pStyle w:val="BookText"/>
      </w:pPr>
      <w:r>
        <w:rPr>
          <w:rFonts w:ascii="IRNazanin" w:hAnsi="IRNazanin" w:eastAsia="IRNazanin" w:cs="IRNazanin"/>
          <w:lang w:bidi="fa-IR"/>
          <w:color w:val="111111"/>
          <w:sz w:val="28"/>
          <w:szCs w:val="28"/>
          <w:rtl/>
        </w:rPr>
        <w:t xml:space="preserve">چاپ: -کلکته، ۱۸۷۷ تا ۱۸۸۶م، سربی، وزیری؛ لكنهو، ۱۳۱۰ق، سنگی؛ لكنهو، ۱۳۳۱ق، سنگی؛ دهلی، به اهتمام میر سید احمد خان بهادر، ۱۲۷۲ق، قطع بزرگ؛ لكهنو، ۱۸۸۲م</w:t>
      </w:r>
    </w:p>
    <w:p>
      <w:pPr>
        <w:pStyle w:val="BookText"/>
      </w:pPr>
      <w:r>
        <w:rPr>
          <w:rFonts w:ascii="IRNazanin" w:hAnsi="IRNazanin" w:eastAsia="IRNazanin" w:cs="IRNazanin"/>
          <w:lang w:bidi="fa-IR"/>
          <w:color w:val="111111"/>
          <w:sz w:val="28"/>
          <w:szCs w:val="28"/>
          <w:rtl/>
        </w:rPr>
        <w:t xml:space="preserve">[دنا ۶۷۳/۲ (۴۹ نسخه)؛ الذريعة ۲۷۶/۲ ؛ نسخه های منزوی ۴۵۷۰/۶ ؛ فهرستواره منزوی</w:t>
      </w:r>
    </w:p>
    <w:p>
      <w:pPr>
        <w:pStyle w:val="BookText"/>
      </w:pPr>
      <w:r>
        <w:rPr>
          <w:rFonts w:ascii="IRNazanin" w:hAnsi="IRNazanin" w:eastAsia="IRNazanin" w:cs="IRNazanin"/>
          <w:lang w:bidi="fa-IR"/>
          <w:color w:val="111111"/>
          <w:sz w:val="28"/>
          <w:szCs w:val="28"/>
          <w:rtl/>
        </w:rPr>
        <w:t xml:space="preserve">۱۱۳۱/۲ -۱۱۳۳؛ مشترک پاکستان ۴۰۲/۱۰ ؛ دائرة المعارف ]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 اسلامی، ج ۹، ص ۷۲۰-۷۲۲؛ دانشنامه ادب فارسی، ج ۴، ص ۲۴۲]</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دیباچه تاریخ اکبری = دیباجه اکبر نامه؛ علامی، ابوالفضل بن مبارک (۹۵۸-۱۰۱۱) ۲- مختصر مظفری = تحریر و تلخیص تاریخ اکبری؛ سپهر کاشانی، عباسقلی بن محمد تقی (۱۲۶۸-۱۳۴۲)</w:t>
      </w:r>
    </w:p>
    <w:p>
      <w:pPr>
        <w:pStyle w:val="BookText"/>
      </w:pPr>
      <w:r>
        <w:rPr>
          <w:rFonts w:ascii="IRNazanin" w:hAnsi="IRNazanin" w:eastAsia="IRNazanin" w:cs="IRNazanin"/>
          <w:lang w:bidi="fa-IR"/>
          <w:color w:val="111111"/>
          <w:sz w:val="28"/>
          <w:szCs w:val="28"/>
          <w:rtl/>
        </w:rPr>
        <w:t xml:space="preserve">۱. تهران؛ سپهسالار؛ شماره نسخه: ۱۴۹۰</w:t>
      </w:r>
    </w:p>
    <w:p>
      <w:pPr>
        <w:pStyle w:val="BookText"/>
      </w:pPr>
      <w:r>
        <w:rPr>
          <w:rFonts w:ascii="IRNazanin" w:hAnsi="IRNazanin" w:eastAsia="IRNazanin" w:cs="IRNazanin"/>
          <w:lang w:bidi="fa-IR"/>
          <w:color w:val="111111"/>
          <w:sz w:val="28"/>
          <w:szCs w:val="28"/>
          <w:rtl/>
        </w:rPr>
        <w:t xml:space="preserve">آغاز: درین هنگام که عشرت ابتسام، که موکب مقدس شاهنشاهی؛ انجام: تمام شد دفتر تاریخ اکبر نامه در سنه ۴۰ جلوس والا. نظام سخن از کلام تو باد</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طراز معانسی بنام تو باد جلد سوم و چهارم، از سال سیزدهم الهی آغاز و به سال ۴۷= ۱۰۱۰ق آن پایان می یابد؛ خط: نستعلیق هندی، بی کا، تا: قرن ۱۱؛ مجدول، یک سرلوح؛ تملك: اعتضاد السلطنه در ۱۲۹۳ق؛ واقف: سپهسالار، ۱۲۹۷ق؛ کاغذ: هندی نخودی، جلد: تیماج قهوه ای، ۳۴۳گ، ۲۵ سطر،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۳-۲۹۴]</w:t>
      </w:r>
    </w:p>
    <w:p>
      <w:pPr>
        <w:pStyle w:val="BookText"/>
      </w:pPr>
      <w:r>
        <w:rPr>
          <w:rFonts w:ascii="IRNazanin" w:hAnsi="IRNazanin" w:eastAsia="IRNazanin" w:cs="IRNazanin"/>
          <w:lang w:bidi="fa-IR"/>
          <w:color w:val="111111"/>
          <w:sz w:val="28"/>
          <w:szCs w:val="28"/>
          <w:rtl/>
        </w:rPr>
        <w:t xml:space="preserve">۲. تهران؛ ملک؛ شماره نسخه: ۳۹۵۲</w:t>
      </w:r>
    </w:p>
    <w:p>
      <w:pPr>
        <w:pStyle w:val="BookText"/>
      </w:pPr>
      <w:r>
        <w:rPr>
          <w:rFonts w:ascii="IRNazanin" w:hAnsi="IRNazanin" w:eastAsia="IRNazanin" w:cs="IRNazanin"/>
          <w:lang w:bidi="fa-IR"/>
          <w:color w:val="111111"/>
          <w:sz w:val="28"/>
          <w:szCs w:val="28"/>
          <w:rtl/>
        </w:rPr>
        <w:t xml:space="preserve">خط: نستعلیق، بی کا، تا: قرن ۱۱؛ افتادگی: آغاز و انجام کاغذ: کاغذ فستقی، جلد: میشن قهوه ای، ۳۳۳گ، ۱۹ سطر، اندازه: ۲۸/۳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۱۶/۶ سم [ف: ۲-۷۴]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نسخه:۸۵۲۷</w:t>
      </w:r>
    </w:p>
    <w:p>
      <w:pPr>
        <w:pStyle w:val="BookText"/>
      </w:pPr>
      <w:r>
        <w:rPr>
          <w:rFonts w:ascii="IRNazanin" w:hAnsi="IRNazanin" w:eastAsia="IRNazanin" w:cs="IRNazanin"/>
          <w:lang w:bidi="fa-IR"/>
          <w:color w:val="111111"/>
          <w:sz w:val="28"/>
          <w:szCs w:val="28"/>
          <w:rtl/>
        </w:rPr>
        <w:t xml:space="preserve">خط: نستعلیق، بی کا، تا: قرن ۱۱ و ۱۲؛ یادداشتی از عباس قلی سپهر که کتاب را از فرزندش لسان السلطنه به سال ۱۳۲۵ ق در تهران خریده؛ مهر: «مشیر افخم» (بیضوی)، «هو مشیر افخم وزیر تألیفات»، «بنده آل محمد اسماعيل» (بیضوی)، «از جان و دل هستم غلام علی» (بیضوی)، «عبده محمد علی» (مربع)، «به روز قیامت بلرزد جسد محمد بفریاد حسن رسد» (مربع)، «عبده الراجی غلام علی» (بیضوی)، «بنده آل محمد يوسف» (مربع)، «منتظر لطف الهى يوسف» (مربع)، «شرف یافت نامم ز نام محمد» (مربع)؛ جلد: تیماج سبز ضربی با ترنج و سرترنج، ۲۸۳گ، ۲۱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۲۸-۸۵]</w:t>
      </w:r>
    </w:p>
    <w:p>
      <w:pPr>
        <w:pStyle w:val="BookText"/>
      </w:pPr>
      <w:r>
        <w:rPr>
          <w:rFonts w:ascii="IRNazanin" w:hAnsi="IRNazanin" w:eastAsia="IRNazanin" w:cs="IRNazanin"/>
          <w:lang w:bidi="fa-IR"/>
          <w:color w:val="111111"/>
          <w:sz w:val="28"/>
          <w:szCs w:val="28"/>
          <w:rtl/>
        </w:rPr>
        <w:t xml:space="preserve">۴. تهران؛ مجلس؛ شماره نسخه:۸۶۲۸</w:t>
      </w:r>
    </w:p>
    <w:p>
      <w:pPr>
        <w:pStyle w:val="BookText"/>
      </w:pPr>
      <w:r>
        <w:rPr>
          <w:rFonts w:ascii="IRNazanin" w:hAnsi="IRNazanin" w:eastAsia="IRNazanin" w:cs="IRNazanin"/>
          <w:lang w:bidi="fa-IR"/>
          <w:color w:val="111111"/>
          <w:sz w:val="28"/>
          <w:szCs w:val="28"/>
          <w:rtl/>
        </w:rPr>
        <w:t xml:space="preserve">آغاز: و بالجمله بعد فراغ از مراسم سپاس گذاری این عطیه کبری روز اسفندار پنجم بهر ماه الهی موافق چهارشنبه نهم جمادی الاولی نهضت موكب شاهنشاهی شد</w:t>
      </w:r>
    </w:p>
    <w:p>
      <w:pPr>
        <w:pStyle w:val="BookText"/>
      </w:pPr>
      <w:r>
        <w:rPr>
          <w:rFonts w:ascii="IRNazanin" w:hAnsi="IRNazanin" w:eastAsia="IRNazanin" w:cs="IRNazanin"/>
          <w:lang w:bidi="fa-IR"/>
          <w:color w:val="111111"/>
          <w:sz w:val="28"/>
          <w:szCs w:val="28"/>
          <w:rtl/>
        </w:rPr>
        <w:t xml:space="preserve">خط: نستعلیق، بی کا، تا: قرن ۱۱؛ افتادگی: آغاز؛ مهر: کتابخانه سعید نفیسی؛ مهر: «ابوالقاسم» (بیضوی)؛ جلد: تیماج قهوه ای با ترنج و سرترنج، ۵۲۰، ۲۱ سطر، اندازه: ۱۵/۵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۲۸-۱۷۱]</w:t>
      </w:r>
    </w:p>
    <w:p>
      <w:pPr>
        <w:pStyle w:val="BookText"/>
      </w:pPr>
      <w:r>
        <w:rPr>
          <w:rFonts w:ascii="IRNazanin" w:hAnsi="IRNazanin" w:eastAsia="IRNazanin" w:cs="IRNazanin"/>
          <w:lang w:bidi="fa-IR"/>
          <w:color w:val="111111"/>
          <w:sz w:val="28"/>
          <w:szCs w:val="28"/>
          <w:rtl/>
        </w:rPr>
        <w:t xml:space="preserve">۵. رشت؛ جمعیت نشر فرهنگی؛ شماره نسخه: ۸۳۰ الف</w:t>
      </w:r>
    </w:p>
    <w:p>
      <w:pPr>
        <w:pStyle w:val="BookText"/>
      </w:pPr>
      <w:r>
        <w:rPr>
          <w:rFonts w:ascii="IRNazanin" w:hAnsi="IRNazanin" w:eastAsia="IRNazanin" w:cs="IRNazanin"/>
          <w:lang w:bidi="fa-IR"/>
          <w:color w:val="111111"/>
          <w:sz w:val="28"/>
          <w:szCs w:val="28"/>
          <w:rtl/>
        </w:rPr>
        <w:t xml:space="preserve">جلد ۲؛ خط: نستعلیق، بی کا، تا: قرن ۱۱؛ افتادگی: آغاز و انجام؛ جلد: مقوا عطف پارچه، ۲۶۱گ، ۲۱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۹/۴ سم [ رشت و همدان: ف: ۱۰۹۲]</w:t>
      </w:r>
    </w:p>
    <w:p>
      <w:pPr>
        <w:pStyle w:val="BookText"/>
      </w:pPr>
      <w:r>
        <w:rPr>
          <w:rFonts w:ascii="Amiri" w:hAnsi="Amiri" w:eastAsia="Amiri" w:cs="Amiri"/>
          <w:lang w:bidi="ar-SA"/>
          <w:color w:val="111111"/>
          <w:sz w:val="28"/>
          <w:szCs w:val="28"/>
          <w:rtl/>
        </w:rPr>
        <w:t xml:space="preserve">6 . تهران: دائرة المعارف؛ شماره نسخه:۱۱</w:t>
      </w:r>
    </w:p>
    <w:p>
      <w:pPr>
        <w:pStyle w:val="BookText"/>
      </w:pPr>
      <w:r>
        <w:rPr>
          <w:rFonts w:ascii="IRNazanin" w:hAnsi="IRNazanin" w:eastAsia="IRNazanin" w:cs="IRNazanin"/>
          <w:lang w:bidi="fa-IR"/>
          <w:color w:val="111111"/>
          <w:sz w:val="28"/>
          <w:szCs w:val="28"/>
          <w:rtl/>
        </w:rPr>
        <w:t xml:space="preserve">تاریخ اکبر شاه - تاریخ اکبرشاهی ۵۴۳ آغاز: (نسخه از تولد همایون آغاز می شود): ... بدایع حضرت جهانبانی؛ انجام: در سال دهم جلوس اكبر افتاده است): ...</w:t>
      </w:r>
    </w:p>
    <w:p>
      <w:pPr>
        <w:pStyle w:val="BookText"/>
      </w:pPr>
      <w:r>
        <w:rPr>
          <w:rFonts w:ascii="IRNazanin" w:hAnsi="IRNazanin" w:eastAsia="IRNazanin" w:cs="IRNazanin"/>
          <w:lang w:bidi="fa-IR"/>
          <w:color w:val="111111"/>
          <w:sz w:val="28"/>
          <w:szCs w:val="28"/>
          <w:rtl/>
        </w:rPr>
        <w:t xml:space="preserve">سطوت موكب والا روی به فرار آورده ... خط: نستعلیق تحریری، بی کا، تا: قرن ۱۱؛ افتادگی: انجام؛ کاغذ: نخودی، جلد: تیماج يشمی، ۲۳۵ گ، ۲۲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سم [ف: ۱-۲۴]</w:t>
      </w:r>
    </w:p>
    <w:p>
      <w:pPr>
        <w:pStyle w:val="BookText"/>
      </w:pPr>
      <w:r>
        <w:rPr>
          <w:rFonts w:ascii="IRNazanin" w:hAnsi="IRNazanin" w:eastAsia="IRNazanin" w:cs="IRNazanin"/>
          <w:lang w:bidi="fa-IR"/>
          <w:color w:val="111111"/>
          <w:sz w:val="28"/>
          <w:szCs w:val="28"/>
          <w:rtl/>
        </w:rPr>
        <w:t xml:space="preserve">۷. اصفهان؛ دانشگاه؛ شماره نسخه:۲۸۸</w:t>
      </w:r>
    </w:p>
    <w:p>
      <w:pPr>
        <w:pStyle w:val="BookText"/>
      </w:pPr>
      <w:r>
        <w:rPr>
          <w:rFonts w:ascii="IRNazanin" w:hAnsi="IRNazanin" w:eastAsia="IRNazanin" w:cs="IRNazanin"/>
          <w:lang w:bidi="fa-IR"/>
          <w:color w:val="111111"/>
          <w:sz w:val="28"/>
          <w:szCs w:val="28"/>
          <w:rtl/>
        </w:rPr>
        <w:t xml:space="preserve">تا سال ۴۸ الهی را داراست؛ خط: نستعلیق، بی کا، تا: قرن ۱۱؛ مجدول، دارای سرلوح؛ جلد: تیماج قهوه ای ضربی، ۲۲۲گ، ۲۹سطر، اندازه: ۲۱/۵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۲۶/۵</w:t>
      </w:r>
    </w:p>
    <w:p>
      <w:pPr>
        <w:pStyle w:val="BookText"/>
      </w:pPr>
      <w:r>
        <w:rPr>
          <w:rFonts w:ascii="IRNazanin" w:hAnsi="IRNazanin" w:eastAsia="IRNazanin" w:cs="IRNazanin"/>
          <w:lang w:bidi="fa-IR"/>
          <w:color w:val="111111"/>
          <w:sz w:val="28"/>
          <w:szCs w:val="28"/>
          <w:rtl/>
        </w:rPr>
        <w:t xml:space="preserve">سم [ف: ۱-۲۱۱ ]</w:t>
      </w:r>
    </w:p>
    <w:p>
      <w:pPr>
        <w:pStyle w:val="BookText"/>
      </w:pPr>
      <w:r>
        <w:rPr>
          <w:rFonts w:ascii="IRNazanin" w:hAnsi="IRNazanin" w:eastAsia="IRNazanin" w:cs="IRNazanin"/>
          <w:lang w:bidi="fa-IR"/>
          <w:color w:val="111111"/>
          <w:sz w:val="28"/>
          <w:szCs w:val="28"/>
          <w:rtl/>
        </w:rPr>
        <w:t xml:space="preserve">۸. مشهد؛ رضوی؛ شماره نسخه: ۱۰۲۶۲</w:t>
      </w:r>
    </w:p>
    <w:p>
      <w:pPr>
        <w:pStyle w:val="BookText"/>
      </w:pPr>
      <w:r>
        <w:rPr>
          <w:rFonts w:ascii="IRNazanin" w:hAnsi="IRNazanin" w:eastAsia="IRNazanin" w:cs="IRNazanin"/>
          <w:lang w:bidi="fa-IR"/>
          <w:color w:val="111111"/>
          <w:sz w:val="28"/>
          <w:szCs w:val="28"/>
          <w:rtl/>
        </w:rPr>
        <w:t xml:space="preserve">آغاز: برابر؛ انجام: برابر قسمت دوم</w:t>
      </w:r>
    </w:p>
    <w:p>
      <w:pPr>
        <w:pStyle w:val="BookText"/>
      </w:pPr>
      <w:r>
        <w:rPr>
          <w:rFonts w:ascii="IRNazanin" w:hAnsi="IRNazanin" w:eastAsia="IRNazanin" w:cs="IRNazanin"/>
          <w:lang w:bidi="fa-IR"/>
          <w:color w:val="111111"/>
          <w:sz w:val="28"/>
          <w:szCs w:val="28"/>
          <w:rtl/>
        </w:rPr>
        <w:t xml:space="preserve">خط: نستعلیق متوسط، بی کا، تا: احتمالا قرن ۱۱؛ چند تاریخ تملک، منجمله: «تاریخ اکبری در اصفهان ابتیاع گردید و ملحق به کتابخانه سرکار نواب مستطاب اشرف امجد والا احتشام الدوله شد.» و «هو. دخل في نوبتی و انا العبد العاصی فرهاد بن ولیعهد طاب ثراه بالبيع الشرعي في ۱۸ شهر جمادى الآخره سنه ۱۲۷۹ هجری»؛ کاغذ: حنایی سمرقندی، جلد: میشن عنابی ضربی عطف خرمایی، ۳۷۹گ، ۲۲ سطر،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۹-۸]</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قم؛ مرعشی؛ شماره نسخه: ۱۴۲۸۰</w:t>
      </w:r>
    </w:p>
    <w:p>
      <w:pPr>
        <w:pStyle w:val="BookText"/>
      </w:pPr>
      <w:r>
        <w:rPr>
          <w:rFonts w:ascii="IRNazanin" w:hAnsi="IRNazanin" w:eastAsia="IRNazanin" w:cs="IRNazanin"/>
          <w:lang w:bidi="fa-IR"/>
          <w:color w:val="111111"/>
          <w:sz w:val="28"/>
          <w:szCs w:val="28"/>
          <w:rtl/>
        </w:rPr>
        <w:t xml:space="preserve">آغاز: برابر؛ انجام: برابر قسمت اول خط: نسخ، بی کا، تا: قرن ۱۱؛ مجدول؛ کاغذ: شرقی، جلد: چرم مشکی، ۱۷۴ گ، ۲۱ سطر (۱۴/۵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۱۰۹-۳۶]</w:t>
      </w:r>
    </w:p>
    <w:p>
      <w:pPr>
        <w:pStyle w:val="BookText"/>
      </w:pPr>
      <w:r>
        <w:rPr>
          <w:rFonts w:ascii="IRNazanin" w:hAnsi="IRNazanin" w:eastAsia="IRNazanin" w:cs="IRNazanin"/>
          <w:lang w:bidi="fa-IR"/>
          <w:color w:val="111111"/>
          <w:sz w:val="28"/>
          <w:szCs w:val="28"/>
          <w:rtl/>
        </w:rPr>
        <w:t xml:space="preserve">۱۰. تهران، دانشگاه؛ شماره نسخه: ۲۰۳۸</w:t>
      </w:r>
    </w:p>
    <w:p>
      <w:pPr>
        <w:pStyle w:val="BookText"/>
      </w:pPr>
      <w:r>
        <w:rPr>
          <w:rFonts w:ascii="IRNazanin" w:hAnsi="IRNazanin" w:eastAsia="IRNazanin" w:cs="IRNazanin"/>
          <w:lang w:bidi="fa-IR"/>
          <w:color w:val="111111"/>
          <w:sz w:val="28"/>
          <w:szCs w:val="28"/>
          <w:rtl/>
        </w:rPr>
        <w:t xml:space="preserve">خط: نسخ، بی کا، تا: دوشنبه ۹ جمادی الثانی ۱۰۱۶ق؛ تملك: صفی قلی فرمانروای پیشین ایروان در جمادی الاول ۱۰۸۶؛ کاغذ: هندی، جلد: تیماج مشکی، ۲۹۳گ، ۲۳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۸-۶۵۶]</w:t>
      </w:r>
    </w:p>
    <w:p>
      <w:pPr>
        <w:pStyle w:val="BookText"/>
      </w:pPr>
      <w:r>
        <w:rPr>
          <w:rFonts w:ascii="IRNazanin" w:hAnsi="IRNazanin" w:eastAsia="IRNazanin" w:cs="IRNazanin"/>
          <w:lang w:bidi="fa-IR"/>
          <w:color w:val="111111"/>
          <w:sz w:val="28"/>
          <w:szCs w:val="28"/>
          <w:rtl/>
        </w:rPr>
        <w:t xml:space="preserve">۱۱. تهران؛ دانشگاه؛ شماره نسخه: ۱۲۱</w:t>
      </w:r>
    </w:p>
    <w:p>
      <w:pPr>
        <w:pStyle w:val="BookText"/>
      </w:pPr>
      <w:r>
        <w:rPr>
          <w:rFonts w:ascii="IRNazanin" w:hAnsi="IRNazanin" w:eastAsia="IRNazanin" w:cs="IRNazanin"/>
          <w:lang w:bidi="fa-IR"/>
          <w:color w:val="111111"/>
          <w:sz w:val="28"/>
          <w:szCs w:val="28"/>
          <w:rtl/>
        </w:rPr>
        <w:t xml:space="preserve">آغاز: برابر؛ انجام: برابر قسمت دوم</w:t>
      </w:r>
    </w:p>
    <w:p>
      <w:pPr>
        <w:pStyle w:val="BookText"/>
      </w:pPr>
      <w:r>
        <w:rPr>
          <w:rFonts w:ascii="IRNazanin" w:hAnsi="IRNazanin" w:eastAsia="IRNazanin" w:cs="IRNazanin"/>
          <w:lang w:bidi="fa-IR"/>
          <w:color w:val="111111"/>
          <w:sz w:val="28"/>
          <w:szCs w:val="28"/>
          <w:rtl/>
        </w:rPr>
        <w:t xml:space="preserve">خط: نستعلیق، كا: امین الدین محمد پسر نظام الدین احمد پسر ضیاء الدین خلیل الله، تا: ۱۰۲۰ق، جان هند؛ مجدول، چند زایجه مانند زایجه محمد هاشم در ۲۶ جمادی الاول ۱۱۷۶ و نیز چند برادر او در تاریخ های بعد از او؛ تملك: محمد هاشم پسر میر محمد رضی؛ کاغذ: ترمه نخدی، جلد: تیماج مشکی، ۳۳۵گ، ۲۳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۲-۵۱۷]</w:t>
      </w:r>
    </w:p>
    <w:p>
      <w:pPr>
        <w:pStyle w:val="BookText"/>
      </w:pPr>
      <w:r>
        <w:rPr>
          <w:rFonts w:ascii="IRNazanin" w:hAnsi="IRNazanin" w:eastAsia="IRNazanin" w:cs="IRNazanin"/>
          <w:lang w:bidi="fa-IR"/>
          <w:color w:val="111111"/>
          <w:sz w:val="28"/>
          <w:szCs w:val="28"/>
          <w:rtl/>
        </w:rPr>
        <w:t xml:space="preserve">۱۲. رشت؛ جمعیت نشر فرهنگ؛ شماره نسخه:۱۱۰ت</w:t>
      </w:r>
    </w:p>
    <w:p>
      <w:pPr>
        <w:pStyle w:val="BookText"/>
      </w:pPr>
      <w:r>
        <w:rPr>
          <w:rFonts w:ascii="IRNazanin" w:hAnsi="IRNazanin" w:eastAsia="IRNazanin" w:cs="IRNazanin"/>
          <w:lang w:bidi="fa-IR"/>
          <w:color w:val="111111"/>
          <w:sz w:val="28"/>
          <w:szCs w:val="28"/>
          <w:rtl/>
        </w:rPr>
        <w:t xml:space="preserve">خط: نسخ خوش، بی کا، تا: رجب ۱۰۲۱ق؛ مجدول؛ جلد: مقوایی، ۷۸۹ص، ۲۵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قطع: وزیری، اندازه: ۲۷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[رشت و همدان: ف: ۱۰۹۲]</w:t>
      </w:r>
    </w:p>
    <w:p>
      <w:pPr>
        <w:pStyle w:val="BookText"/>
      </w:pPr>
      <w:r>
        <w:rPr>
          <w:rFonts w:ascii="IRNazanin" w:hAnsi="IRNazanin" w:eastAsia="IRNazanin" w:cs="IRNazanin"/>
          <w:lang w:bidi="fa-IR"/>
          <w:color w:val="111111"/>
          <w:sz w:val="28"/>
          <w:szCs w:val="28"/>
          <w:rtl/>
        </w:rPr>
        <w:t xml:space="preserve">۱۳. تهران؛ مجلس؛ شماره نسخه:۲۱۷</w:t>
      </w:r>
    </w:p>
    <w:p>
      <w:pPr>
        <w:pStyle w:val="BookText"/>
      </w:pPr>
      <w:r>
        <w:rPr>
          <w:rFonts w:ascii="IRNazanin" w:hAnsi="IRNazanin" w:eastAsia="IRNazanin" w:cs="IRNazanin"/>
          <w:lang w:bidi="fa-IR"/>
          <w:color w:val="111111"/>
          <w:sz w:val="28"/>
          <w:szCs w:val="28"/>
          <w:rtl/>
        </w:rPr>
        <w:t xml:space="preserve">آغاز: برابر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نستعلیق، بی کا، تا: ۱۰۲۳ق؛ ۴۱۳ ، ۲۵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۲-۱۲۲]</w:t>
      </w:r>
    </w:p>
    <w:p>
      <w:pPr>
        <w:pStyle w:val="BookText"/>
      </w:pPr>
      <w:r>
        <w:rPr>
          <w:rFonts w:ascii="IRNazanin" w:hAnsi="IRNazanin" w:eastAsia="IRNazanin" w:cs="IRNazanin"/>
          <w:lang w:bidi="fa-IR"/>
          <w:color w:val="111111"/>
          <w:sz w:val="28"/>
          <w:szCs w:val="28"/>
          <w:rtl/>
        </w:rPr>
        <w:t xml:space="preserve">۱۴. قم؛ مسجد اعظم؛ شماره نسخه: ۱۵۸۱</w:t>
      </w:r>
    </w:p>
    <w:p>
      <w:pPr>
        <w:pStyle w:val="BookText"/>
      </w:pPr>
      <w:r>
        <w:rPr>
          <w:rFonts w:ascii="IRNazanin" w:hAnsi="IRNazanin" w:eastAsia="IRNazanin" w:cs="IRNazanin"/>
          <w:lang w:bidi="fa-IR"/>
          <w:color w:val="111111"/>
          <w:sz w:val="28"/>
          <w:szCs w:val="28"/>
          <w:rtl/>
        </w:rPr>
        <w:t xml:space="preserve">آغاز: سر اعظم و خدمت زحل و وجه در سبحان مریخ و نه مشتری و آذرجان و مست بعد مریخ و اثنا عشر با قمر؛ انجام: برابر قسمت دوم</w:t>
      </w:r>
    </w:p>
    <w:p>
      <w:pPr>
        <w:pStyle w:val="BookText"/>
      </w:pPr>
      <w:r>
        <w:rPr>
          <w:rFonts w:ascii="IRNazanin" w:hAnsi="IRNazanin" w:eastAsia="IRNazanin" w:cs="IRNazanin"/>
          <w:lang w:bidi="fa-IR"/>
          <w:color w:val="111111"/>
          <w:sz w:val="28"/>
          <w:szCs w:val="28"/>
          <w:rtl/>
        </w:rPr>
        <w:t xml:space="preserve">جلد اول و دوم؛ خط: نستعلیق، كا: حاجی قطب الدین، تا: چهارشنبه ۳ ذیحجه ۱۰۲۵ق، جان اصفهان؛ افتادگی: آغاز؛ جلد: تیماج قهوه ای با ترنج با سر، ۹۰۴گ، ۲۰ سطر،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مخ: ۱-۱۹۶]</w:t>
      </w:r>
    </w:p>
    <w:p>
      <w:pPr>
        <w:pStyle w:val="BookText"/>
      </w:pPr>
      <w:r>
        <w:rPr>
          <w:rFonts w:ascii="IRNazanin" w:hAnsi="IRNazanin" w:eastAsia="IRNazanin" w:cs="IRNazanin"/>
          <w:lang w:bidi="fa-IR"/>
          <w:color w:val="111111"/>
          <w:sz w:val="28"/>
          <w:szCs w:val="28"/>
          <w:rtl/>
        </w:rPr>
        <w:t xml:space="preserve">۱۵. تهران: ادبیات، شماره نسخه:۱۳۸ - ب</w:t>
      </w:r>
    </w:p>
    <w:p>
      <w:pPr>
        <w:pStyle w:val="BookText"/>
      </w:pPr>
      <w:r>
        <w:rPr>
          <w:rFonts w:ascii="IRNazanin" w:hAnsi="IRNazanin" w:eastAsia="IRNazanin" w:cs="IRNazanin"/>
          <w:lang w:bidi="fa-IR"/>
          <w:color w:val="111111"/>
          <w:sz w:val="28"/>
          <w:szCs w:val="28"/>
          <w:rtl/>
        </w:rPr>
        <w:t xml:space="preserve">خط: نسخ، كا: محمد حسین بن سید محمد شاه حسینی شوشتری، تا: پنج شنبه شعبان ۱۰۳۲ق؛ خط حاج زین العابدین بن اسكندر شیروانی سیاح مورخ ۱۲۲۵ در پایان هست (به گواهی قزوینی)؛ کاغذ: سمرقندی، جلد: پارچه ای عطف تیماج سرخ، ۳۲۴گ، ۲۳</w:t>
      </w:r>
    </w:p>
    <w:p>
      <w:pPr>
        <w:pStyle w:val="BookText"/>
      </w:pPr>
      <w:r>
        <w:rPr>
          <w:rFonts w:ascii="IRNazanin" w:hAnsi="IRNazanin" w:eastAsia="IRNazanin" w:cs="IRNazanin"/>
          <w:lang w:bidi="fa-IR"/>
          <w:color w:val="111111"/>
          <w:sz w:val="28"/>
          <w:szCs w:val="28"/>
          <w:rtl/>
        </w:rPr>
        <w:t xml:space="preserve">سطر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سم [ف: ۱-۵۷]</w:t>
      </w:r>
    </w:p>
    <w:p>
      <w:pPr>
        <w:pStyle w:val="BookText"/>
      </w:pPr>
      <w:r>
        <w:rPr>
          <w:rFonts w:ascii="IRNazanin" w:hAnsi="IRNazanin" w:eastAsia="IRNazanin" w:cs="IRNazanin"/>
          <w:lang w:bidi="fa-IR"/>
          <w:color w:val="111111"/>
          <w:sz w:val="28"/>
          <w:szCs w:val="28"/>
          <w:rtl/>
        </w:rPr>
        <w:t xml:space="preserve">۱۶. مشهد؛ رضوی؛ شماره نسخه: ۴۱۷۲</w:t>
      </w:r>
    </w:p>
    <w:p>
      <w:pPr>
        <w:pStyle w:val="BookText"/>
      </w:pPr>
      <w:r>
        <w:rPr>
          <w:rFonts w:ascii="IRNazanin" w:hAnsi="IRNazanin" w:eastAsia="IRNazanin" w:cs="IRNazanin"/>
          <w:lang w:bidi="fa-IR"/>
          <w:color w:val="111111"/>
          <w:sz w:val="28"/>
          <w:szCs w:val="28"/>
          <w:rtl/>
        </w:rPr>
        <w:t xml:space="preserve">آغاز: برابر؛ انجام: برابر قسمت اول جلد اول؛ خط: نسخ، كا: امین الدین محمد کرمانی، تا: رجب ۱۰۳۴ق؛ واقف: نایینی؛ کاغذ: کاهی، جلد: تیماج قهوه ای ضربی، ۲۵۰ گ، ۱۹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 سم [ف: ۷-۱۰]</w:t>
      </w:r>
    </w:p>
    <w:p>
      <w:pPr>
        <w:pStyle w:val="BookText"/>
      </w:pPr>
      <w:r>
        <w:rPr>
          <w:rFonts w:ascii="IRNazanin" w:hAnsi="IRNazanin" w:eastAsia="IRNazanin" w:cs="IRNazanin"/>
          <w:lang w:bidi="fa-IR"/>
          <w:color w:val="111111"/>
          <w:sz w:val="28"/>
          <w:szCs w:val="28"/>
          <w:rtl/>
        </w:rPr>
        <w:t xml:space="preserve">۱۷. تهران؛ مجلس؛ شماره نسخه:۳۵۵۳</w:t>
      </w:r>
    </w:p>
    <w:p>
      <w:pPr>
        <w:pStyle w:val="BookText"/>
      </w:pPr>
      <w:r>
        <w:rPr>
          <w:rFonts w:ascii="IRNazanin" w:hAnsi="IRNazanin" w:eastAsia="IRNazanin" w:cs="IRNazanin"/>
          <w:lang w:bidi="fa-IR"/>
          <w:color w:val="111111"/>
          <w:sz w:val="28"/>
          <w:szCs w:val="28"/>
          <w:rtl/>
        </w:rPr>
        <w:t xml:space="preserve">آغاز: خواب سعادت احتجاب که خلوتخانه غیب عبارت از آنست مشاهده فرمودند که حق سبحانه و تعالی خلقی؛ انجام: برابر قسمت دوم</w:t>
      </w:r>
    </w:p>
    <w:p>
      <w:pPr>
        <w:pStyle w:val="BookText"/>
      </w:pPr>
      <w:r>
        <w:rPr>
          <w:rFonts w:ascii="IRNazanin" w:hAnsi="IRNazanin" w:eastAsia="IRNazanin" w:cs="IRNazanin"/>
          <w:lang w:bidi="fa-IR"/>
          <w:color w:val="111111"/>
          <w:sz w:val="28"/>
          <w:szCs w:val="28"/>
          <w:rtl/>
        </w:rPr>
        <w:t xml:space="preserve">خط: نستعلیق، كا: میر حبیب بن میر حاتم گیلانی لاهیجی، تا: ربيع الاول ۱۰۳۷ق؛ افتادگی: آغاز؛ یادداشت از استاد جلال الدین همایی؛ کاغذ: فرنگی سفید، جلد: تیماج نارنجی، ۵۹۴ص، ۲۴ سطر، اندازه: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سم [ف: ۱۰-۱۵۱۳]</w:t>
      </w:r>
    </w:p>
    <w:p>
      <w:pPr>
        <w:pStyle w:val="BookText"/>
      </w:pPr>
      <w:r>
        <w:rPr>
          <w:rFonts w:ascii="IRNazanin" w:hAnsi="IRNazanin" w:eastAsia="IRNazanin" w:cs="IRNazanin"/>
          <w:lang w:bidi="fa-IR"/>
          <w:color w:val="111111"/>
          <w:sz w:val="28"/>
          <w:szCs w:val="28"/>
          <w:rtl/>
        </w:rPr>
        <w:t xml:space="preserve">۱۸. مشهد؛ رضوی؛ شماره نسخه: ۱۱۲۵۱</w:t>
      </w:r>
    </w:p>
    <w:p>
      <w:pPr>
        <w:pStyle w:val="BookText"/>
      </w:pPr>
      <w:r>
        <w:rPr>
          <w:rFonts w:ascii="IRNazanin" w:hAnsi="IRNazanin" w:eastAsia="IRNazanin" w:cs="IRNazanin"/>
          <w:lang w:bidi="fa-IR"/>
          <w:color w:val="111111"/>
          <w:sz w:val="28"/>
          <w:szCs w:val="28"/>
          <w:rtl/>
        </w:rPr>
        <w:t xml:space="preserve">آغاز: برابر؛ انجام: برابر قسمت دوم خط: نستعلیق، بی کا، تا: ۱۰۴۱ق؛ مجدول؛ واقف: علامه حائری؛ کاغذ: نخودی آهار مهره، جلد: میشن ضربی، ۶۰۷گ، ۱۶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۲۶/۵سم [ف: ۹-۹]</w:t>
      </w:r>
    </w:p>
    <w:p>
      <w:pPr>
        <w:pStyle w:val="BookText"/>
      </w:pPr>
      <w:r>
        <w:rPr>
          <w:rFonts w:ascii="IRNazanin" w:hAnsi="IRNazanin" w:eastAsia="IRNazanin" w:cs="IRNazanin"/>
          <w:lang w:bidi="fa-IR"/>
          <w:color w:val="111111"/>
          <w:sz w:val="28"/>
          <w:szCs w:val="28"/>
          <w:rtl/>
        </w:rPr>
        <w:t xml:space="preserve">۱۹. تهران؛ ملی؛ شماره نسخه:۱۲۴</w:t>
      </w:r>
    </w:p>
    <w:p>
      <w:pPr>
        <w:pStyle w:val="BookText"/>
      </w:pPr>
      <w:r>
        <w:rPr>
          <w:rFonts w:ascii="IRNazanin" w:hAnsi="IRNazanin" w:eastAsia="IRNazanin" w:cs="IRNazanin"/>
          <w:lang w:bidi="fa-IR"/>
          <w:color w:val="111111"/>
          <w:sz w:val="28"/>
          <w:szCs w:val="28"/>
          <w:rtl/>
        </w:rPr>
        <w:t xml:space="preserve">آغاز: برابر؛ انجام: برابر قسمت دوم</w:t>
      </w:r>
    </w:p>
    <w:p>
      <w:pPr>
        <w:pStyle w:val="BookText"/>
      </w:pPr>
      <w:r>
        <w:rPr>
          <w:rFonts w:ascii="IRNazanin" w:hAnsi="IRNazanin" w:eastAsia="IRNazanin" w:cs="IRNazanin"/>
          <w:lang w:bidi="fa-IR"/>
          <w:color w:val="111111"/>
          <w:sz w:val="28"/>
          <w:szCs w:val="28"/>
          <w:rtl/>
        </w:rPr>
        <w:t xml:space="preserve">خط: نستعلیق، کا: صدرای بن ملا خليل لاهیجی، تا: یک شنبه ۴ ذیحجه ۱۰۴۲ق؛ توضیح: در دفاتر اموالی کتابخانه ملی این نسخه به اشتباه محامد ایزدی» ثبت شده است؛ مجدول؛ کاغذ: فرنگی فستقی، جلد: تیماج مشکی، ۵۲۵ گی*، ۱۵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 اندازه:</w:t>
      </w:r>
    </w:p>
    <w:p>
      <w:pPr>
        <w:pStyle w:val="BookText"/>
      </w:pPr>
      <w:r>
        <w:rPr>
          <w:rFonts w:ascii="IRNazanin" w:hAnsi="IRNazanin" w:eastAsia="IRNazanin" w:cs="IRNazanin"/>
          <w:lang w:bidi="fa-IR"/>
          <w:color w:val="111111"/>
          <w:sz w:val="28"/>
          <w:szCs w:val="28"/>
          <w:rtl/>
        </w:rPr>
        <w:t xml:space="preserve">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۱-۱۱۶]</w:t>
      </w:r>
    </w:p>
    <w:p>
      <w:pPr>
        <w:pStyle w:val="BookText"/>
      </w:pPr>
      <w:r>
        <w:rPr>
          <w:rFonts w:ascii="IRNazanin" w:hAnsi="IRNazanin" w:eastAsia="IRNazanin" w:cs="IRNazanin"/>
          <w:lang w:bidi="fa-IR"/>
          <w:color w:val="111111"/>
          <w:sz w:val="28"/>
          <w:szCs w:val="28"/>
          <w:rtl/>
        </w:rPr>
        <w:t xml:space="preserve">تهران، دانشگاه؛ شماره نسخه:۱۹۵۹ف</w:t>
      </w:r>
    </w:p>
    <w:p>
      <w:pPr>
        <w:pStyle w:val="BookText"/>
      </w:pPr>
      <w:r>
        <w:rPr>
          <w:rFonts w:ascii="IRNazanin" w:hAnsi="IRNazanin" w:eastAsia="IRNazanin" w:cs="IRNazanin"/>
          <w:lang w:bidi="fa-IR"/>
          <w:color w:val="111111"/>
          <w:sz w:val="28"/>
          <w:szCs w:val="28"/>
          <w:rtl/>
        </w:rPr>
        <w:t xml:space="preserve">نسخه اصل: همان نسخه بالا (فیلمها ف: ۱-۱۶]</w:t>
      </w:r>
    </w:p>
    <w:p>
      <w:pPr>
        <w:pStyle w:val="BookText"/>
      </w:pPr>
      <w:r>
        <w:rPr>
          <w:rFonts w:ascii="IRNazanin" w:hAnsi="IRNazanin" w:eastAsia="IRNazanin" w:cs="IRNazanin"/>
          <w:lang w:bidi="fa-IR"/>
          <w:color w:val="111111"/>
          <w:sz w:val="28"/>
          <w:szCs w:val="28"/>
          <w:rtl/>
        </w:rPr>
        <w:t xml:space="preserve">۲۰. تهران؛ سپهسالار؛ شماره نسخه:۱۴۸۸</w:t>
      </w:r>
    </w:p>
    <w:p>
      <w:pPr>
        <w:pStyle w:val="BookText"/>
      </w:pPr>
      <w:r>
        <w:rPr>
          <w:rFonts w:ascii="IRNazanin" w:hAnsi="IRNazanin" w:eastAsia="IRNazanin" w:cs="IRNazanin"/>
          <w:lang w:bidi="fa-IR"/>
          <w:color w:val="111111"/>
          <w:sz w:val="28"/>
          <w:szCs w:val="28"/>
          <w:rtl/>
        </w:rPr>
        <w:t xml:space="preserve">خط: نستعلیق، بی کا، تا: ۱۰۴۸ق؛ یک سرلوح، مجدول؛ کاغذ: سمرقندی، جلد: تیماج مشکی، ۳۸۷گ، ۲۱ سطر،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۳-۲۹۳]</w:t>
      </w:r>
    </w:p>
    <w:p>
      <w:pPr>
        <w:pStyle w:val="BookText"/>
      </w:pPr>
      <w:r>
        <w:rPr>
          <w:rFonts w:ascii="IRNazanin" w:hAnsi="IRNazanin" w:eastAsia="IRNazanin" w:cs="IRNazanin"/>
          <w:lang w:bidi="fa-IR"/>
          <w:color w:val="111111"/>
          <w:sz w:val="28"/>
          <w:szCs w:val="28"/>
          <w:rtl/>
        </w:rPr>
        <w:t xml:space="preserve">۲۱. تهران؛ ملی؛ شماره نسخه: ۱۵۹</w:t>
      </w:r>
    </w:p>
    <w:p>
      <w:pPr>
        <w:pStyle w:val="BookText"/>
      </w:pPr>
      <w:r>
        <w:rPr>
          <w:rFonts w:ascii="IRNazanin" w:hAnsi="IRNazanin" w:eastAsia="IRNazanin" w:cs="IRNazanin"/>
          <w:lang w:bidi="fa-IR"/>
          <w:color w:val="111111"/>
          <w:sz w:val="28"/>
          <w:szCs w:val="28"/>
          <w:rtl/>
        </w:rPr>
        <w:t xml:space="preserve">آغاز: برابر؛ انجام: برابر قسمت دوم</w:t>
      </w:r>
    </w:p>
    <w:p>
      <w:pPr>
        <w:pStyle w:val="BookText"/>
      </w:pPr>
      <w:r>
        <w:rPr>
          <w:rFonts w:ascii="IRNazanin" w:hAnsi="IRNazanin" w:eastAsia="IRNazanin" w:cs="IRNazanin"/>
          <w:lang w:bidi="fa-IR"/>
          <w:color w:val="111111"/>
          <w:sz w:val="28"/>
          <w:szCs w:val="28"/>
          <w:rtl/>
        </w:rPr>
        <w:t xml:space="preserve">خط: نستعلیق، بی کا، تا: ۱۰۵۴ق، کاغذ: متن کاغذ اصفهانی و مقدمه کاغذ فرنگی، جلد: تیماج قرمز، ۵۲۲گ، ۱۷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۱-۱۶۴]</w:t>
      </w:r>
    </w:p>
    <w:p>
      <w:pPr>
        <w:pStyle w:val="BookText"/>
      </w:pPr>
      <w:r>
        <w:rPr>
          <w:rFonts w:ascii="IRNazanin" w:hAnsi="IRNazanin" w:eastAsia="IRNazanin" w:cs="IRNazanin"/>
          <w:lang w:bidi="fa-IR"/>
          <w:color w:val="111111"/>
          <w:sz w:val="28"/>
          <w:szCs w:val="28"/>
          <w:rtl/>
        </w:rPr>
        <w:t xml:space="preserve">۲۲. تهران؛ ملک؛ شماره نسخه:۴۳۷۷</w:t>
      </w:r>
    </w:p>
    <w:p>
      <w:pPr>
        <w:pStyle w:val="BookText"/>
      </w:pPr>
      <w:r>
        <w:rPr>
          <w:rFonts w:ascii="IRNazanin" w:hAnsi="IRNazanin" w:eastAsia="IRNazanin" w:cs="IRNazanin"/>
          <w:lang w:bidi="fa-IR"/>
          <w:color w:val="111111"/>
          <w:sz w:val="28"/>
          <w:szCs w:val="28"/>
          <w:rtl/>
        </w:rPr>
        <w:t xml:space="preserve">خط: نستعلیق، كا: قوام الدین بن خلیفه کازرونی، تا: ذیحجه ۱۰۵۶ق؛ کاغذ: کاغذ ترمه، جلد: میشن قرمز طلاکوب، ۳۵۱ گ، ۲۵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۳۰سم [ف: ۲-۷۴]</w:t>
      </w:r>
    </w:p>
    <w:p>
      <w:pPr>
        <w:pStyle w:val="BookText"/>
      </w:pPr>
      <w:r>
        <w:rPr>
          <w:rFonts w:ascii="Amiri" w:hAnsi="Amiri" w:eastAsia="Amiri" w:cs="Amiri"/>
          <w:lang w:bidi="ar-SA"/>
          <w:color w:val="111111"/>
          <w:sz w:val="28"/>
          <w:szCs w:val="28"/>
          <w:rtl/>
        </w:rPr>
        <w:t xml:space="preserve">۲۳. تهران: دائرة المعارف، شماره نسخه:۱۲</w:t>
      </w:r>
    </w:p>
    <w:p>
      <w:pPr>
        <w:pStyle w:val="BookText"/>
      </w:pPr>
      <w:r>
        <w:rPr>
          <w:rFonts w:ascii="IRNazanin" w:hAnsi="IRNazanin" w:eastAsia="IRNazanin" w:cs="IRNazanin"/>
          <w:lang w:bidi="fa-IR"/>
          <w:color w:val="111111"/>
          <w:sz w:val="28"/>
          <w:szCs w:val="28"/>
          <w:rtl/>
        </w:rPr>
        <w:t xml:space="preserve">آغاز: برابر؛ انجام: برابر قسمت دوم</w:t>
      </w:r>
    </w:p>
    <w:p>
      <w:pPr>
        <w:pStyle w:val="BookText"/>
      </w:pPr>
      <w:r>
        <w:rPr>
          <w:rFonts w:ascii="IRNazanin" w:hAnsi="IRNazanin" w:eastAsia="IRNazanin" w:cs="IRNazanin"/>
          <w:lang w:bidi="fa-IR"/>
          <w:color w:val="111111"/>
          <w:sz w:val="28"/>
          <w:szCs w:val="28"/>
          <w:rtl/>
        </w:rPr>
        <w:t xml:space="preserve">خط: نستعلیق خوش، كا: مرتضی قلیخان درانی، تا: رمضان ۱۰۷۷ق، به خواهش امیر زاده اعظم افخم اکرم؛ کاغذ: نخودی، جلد: گالینگور ضربی، ۳۸۴گ، ۲۵ سطر ( ۲۱/۵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۳۱/۵سم [ف: ۱-۲۴]</w:t>
      </w:r>
    </w:p>
    <w:p>
      <w:pPr>
        <w:pStyle w:val="BookText"/>
      </w:pPr>
      <w:r>
        <w:rPr>
          <w:rFonts w:ascii="IRNazanin" w:hAnsi="IRNazanin" w:eastAsia="IRNazanin" w:cs="IRNazanin"/>
          <w:lang w:bidi="fa-IR"/>
          <w:color w:val="111111"/>
          <w:sz w:val="28"/>
          <w:szCs w:val="28"/>
          <w:rtl/>
        </w:rPr>
        <w:t xml:space="preserve">۲۴. تهران؛ مجلس؛ شماره نسخه: ۸۹۴۵/۳۸</w:t>
      </w:r>
    </w:p>
    <w:p>
      <w:pPr>
        <w:pStyle w:val="BookText"/>
      </w:pPr>
      <w:r>
        <w:rPr>
          <w:rFonts w:ascii="IRNazanin" w:hAnsi="IRNazanin" w:eastAsia="IRNazanin" w:cs="IRNazanin"/>
          <w:lang w:bidi="fa-IR"/>
          <w:color w:val="111111"/>
          <w:sz w:val="28"/>
          <w:szCs w:val="28"/>
          <w:rtl/>
        </w:rPr>
        <w:t xml:space="preserve">آغاز: برابر؛ انجام: از رموز نکات عالی اشارات این اسم بدیع خبر دار گشته از فيض سعادت و کرامات مسمی بهره مند گردند.</w:t>
      </w:r>
    </w:p>
    <w:p>
      <w:pPr>
        <w:pStyle w:val="BookText"/>
      </w:pPr>
      <w:r>
        <w:rPr>
          <w:rFonts w:ascii="IRNazanin" w:hAnsi="IRNazanin" w:eastAsia="IRNazanin" w:cs="IRNazanin"/>
          <w:lang w:bidi="fa-IR"/>
          <w:color w:val="111111"/>
          <w:sz w:val="28"/>
          <w:szCs w:val="28"/>
          <w:rtl/>
        </w:rPr>
        <w:t xml:space="preserve">مقدمه کتاب؛ خط: نستعلیق و شکسته نستعلیق، بی کا، تا: ۲۰ شعبان ۱۰۸۵ق، جا: قزوین؛ کاغذ: الوان آهار مهره، جلد: گالینگور بنفش، ۱۲ص (۳۰۷-۳۱۸)، اندازه: ۲۷/۸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۱۵/۶ سم [ف: ۲۹/۱-۴۲۷]</w:t>
      </w:r>
    </w:p>
    <w:p>
      <w:pPr>
        <w:pStyle w:val="BookText"/>
      </w:pPr>
      <w:r>
        <w:rPr>
          <w:rFonts w:ascii="IRNazanin" w:hAnsi="IRNazanin" w:eastAsia="IRNazanin" w:cs="IRNazanin"/>
          <w:lang w:bidi="fa-IR"/>
          <w:color w:val="111111"/>
          <w:sz w:val="28"/>
          <w:szCs w:val="28"/>
          <w:rtl/>
        </w:rPr>
        <w:t xml:space="preserve">۲۵. تهران؛ سپهسالار؛ شماره نسخه: ۱۴۸۸ مکرر</w:t>
      </w:r>
    </w:p>
    <w:p>
      <w:pPr>
        <w:pStyle w:val="BookText"/>
      </w:pPr>
      <w:r>
        <w:rPr>
          <w:rFonts w:ascii="IRNazanin" w:hAnsi="IRNazanin" w:eastAsia="IRNazanin" w:cs="IRNazanin"/>
          <w:lang w:bidi="fa-IR"/>
          <w:color w:val="111111"/>
          <w:sz w:val="28"/>
          <w:szCs w:val="28"/>
          <w:rtl/>
        </w:rPr>
        <w:t xml:space="preserve">خط: نستعلیق، بی کا، تا: ۶ ذیحجه ۱۰۹۵ق؛ افتادگی: آغاز؛ کاغذ: ترمه سفید سپاهانی، جلد: تیماج سرخ، ۳۴۷گ، ۲۳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۳-۲۹۴]</w:t>
      </w:r>
    </w:p>
    <w:p>
      <w:pPr>
        <w:pStyle w:val="BookText"/>
      </w:pPr>
      <w:r>
        <w:rPr>
          <w:rFonts w:ascii="IRNazanin" w:hAnsi="IRNazanin" w:eastAsia="IRNazanin" w:cs="IRNazanin"/>
          <w:lang w:bidi="fa-IR"/>
          <w:color w:val="111111"/>
          <w:sz w:val="28"/>
          <w:szCs w:val="28"/>
          <w:rtl/>
        </w:rPr>
        <w:t xml:space="preserve">۲۶. تهران؛ ادبیات؛ شماره نسخه: ۵۸ - ب</w:t>
      </w:r>
    </w:p>
    <w:p>
      <w:pPr>
        <w:pStyle w:val="BookText"/>
      </w:pPr>
      <w:r>
        <w:rPr>
          <w:rFonts w:ascii="IRNazanin" w:hAnsi="IRNazanin" w:eastAsia="IRNazanin" w:cs="IRNazanin"/>
          <w:lang w:bidi="fa-IR"/>
          <w:color w:val="111111"/>
          <w:sz w:val="28"/>
          <w:szCs w:val="28"/>
          <w:rtl/>
        </w:rPr>
        <w:t xml:space="preserve">خط: نسخ، کا: محمد بن اسد الله، تا: چهارشنبه ۱۷ محرم ۱۰۹۸ق؛ کاغذ: سپاهانی، جلد: تیماج قهوه ای، ۳۴۰گ، ۲۲ سطر (۲۰۱۰)،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۱-۵۶]</w:t>
      </w:r>
    </w:p>
    <w:p>
      <w:pPr>
        <w:pStyle w:val="BookText"/>
      </w:pPr>
      <w:r>
        <w:rPr>
          <w:rFonts w:ascii="Amiri" w:hAnsi="Amiri" w:eastAsia="Amiri" w:cs="Amiri"/>
          <w:lang w:bidi="ar-SA"/>
          <w:color w:val="111111"/>
          <w:sz w:val="28"/>
          <w:szCs w:val="28"/>
          <w:rtl/>
        </w:rPr>
        <w:t xml:space="preserve">۲۷. تهران؛ مجلس؛ شماره نسخه:۲۴۷- فيروز</w:t>
      </w:r>
    </w:p>
    <w:p>
      <w:pPr>
        <w:pStyle w:val="BookText"/>
      </w:pPr>
      <w:r>
        <w:rPr>
          <w:rFonts w:ascii="IRNazanin" w:hAnsi="IRNazanin" w:eastAsia="IRNazanin" w:cs="IRNazanin"/>
          <w:lang w:bidi="fa-IR"/>
          <w:color w:val="111111"/>
          <w:sz w:val="28"/>
          <w:szCs w:val="28"/>
          <w:rtl/>
        </w:rPr>
        <w:t xml:space="preserve">خط: نستعلیق، بی کا، تا: قرن ۱۲؛ دارای نوشته ای از محمد مومن ایشک آقاسی محتوى نقل رویای عجیب مورخ یکهزار و سیصد و اندی؛ کاغذ: فرنگی ضخیم، جلد: تیماج قرمز ترنج دار، ۶۵۴ص، ۲۳ سطر، قطع: رحلی، اندازه: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۲۱-۱۲]</w:t>
      </w:r>
    </w:p>
    <w:p>
      <w:pPr>
        <w:pStyle w:val="BookText"/>
      </w:pPr>
      <w:r>
        <w:rPr>
          <w:rFonts w:ascii="IRNazanin" w:hAnsi="IRNazanin" w:eastAsia="IRNazanin" w:cs="IRNazanin"/>
          <w:lang w:bidi="fa-IR"/>
          <w:color w:val="111111"/>
          <w:sz w:val="28"/>
          <w:szCs w:val="28"/>
          <w:rtl/>
        </w:rPr>
        <w:t xml:space="preserve">۲۸. تهران؛ ملک؛ شماره نسخه:۴۳۲۸</w:t>
      </w:r>
    </w:p>
    <w:p>
      <w:pPr>
        <w:pStyle w:val="BookText"/>
      </w:pPr>
      <w:r>
        <w:rPr>
          <w:rFonts w:ascii="IRNazanin" w:hAnsi="IRNazanin" w:eastAsia="IRNazanin" w:cs="IRNazanin"/>
          <w:lang w:bidi="fa-IR"/>
          <w:color w:val="111111"/>
          <w:sz w:val="28"/>
          <w:szCs w:val="28"/>
          <w:rtl/>
        </w:rPr>
        <w:t xml:space="preserve">خط: نستعلیق، بی کا، تا: قرن ۱۲؛ کاغذ: کاغذ ترمه، جلد: میشن قهوه ای، ۳۳۰گ، ۲۵ سطر، اندازه: ۳۲/۳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۲۰/۷ سم [ف: ۲-۷۴]</w:t>
      </w:r>
    </w:p>
    <w:p>
      <w:pPr>
        <w:pStyle w:val="BookText"/>
      </w:pPr>
      <w:r>
        <w:rPr>
          <w:rFonts w:ascii="IRNazanin" w:hAnsi="IRNazanin" w:eastAsia="IRNazanin" w:cs="IRNazanin"/>
          <w:lang w:bidi="fa-IR"/>
          <w:color w:val="111111"/>
          <w:sz w:val="28"/>
          <w:szCs w:val="28"/>
          <w:rtl/>
        </w:rPr>
        <w:t xml:space="preserve">۲۹. تهران؛ الهیات؛ شماره نسخه: ۱۷۰</w:t>
      </w:r>
    </w:p>
    <w:p>
      <w:pPr>
        <w:pStyle w:val="BookText"/>
      </w:pPr>
      <w:r>
        <w:rPr>
          <w:rFonts w:ascii="IRNazanin" w:hAnsi="IRNazanin" w:eastAsia="IRNazanin" w:cs="IRNazanin"/>
          <w:lang w:bidi="fa-IR"/>
          <w:color w:val="111111"/>
          <w:sz w:val="28"/>
          <w:szCs w:val="28"/>
          <w:rtl/>
        </w:rPr>
        <w:t xml:space="preserve">آغاز: برابر؛ انجام: برابر قسمت دوم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نستعلیق، بی کا، تا: قرن ۱۲؛ مجدول؛ کاغذ: فرنگی، جلد: تیماج قهوه ای مقوایی، ۴۷۶گ، ۲۰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قطع: رحلی اندازه: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۱۹]</w:t>
      </w:r>
    </w:p>
    <w:p>
      <w:pPr>
        <w:pStyle w:val="BookText"/>
      </w:pPr>
      <w:r>
        <w:rPr>
          <w:rFonts w:ascii="IRNazanin" w:hAnsi="IRNazanin" w:eastAsia="IRNazanin" w:cs="IRNazanin"/>
          <w:lang w:bidi="fa-IR"/>
          <w:color w:val="111111"/>
          <w:sz w:val="28"/>
          <w:szCs w:val="28"/>
          <w:rtl/>
        </w:rPr>
        <w:t xml:space="preserve">۳۰. تهران: دانشگاه؛ شماره نسخه:۲۷۰۶</w:t>
      </w:r>
    </w:p>
    <w:p>
      <w:pPr>
        <w:pStyle w:val="BookText"/>
      </w:pPr>
      <w:r>
        <w:rPr>
          <w:rFonts w:ascii="IRNazanin" w:hAnsi="IRNazanin" w:eastAsia="IRNazanin" w:cs="IRNazanin"/>
          <w:lang w:bidi="fa-IR"/>
          <w:color w:val="111111"/>
          <w:sz w:val="28"/>
          <w:szCs w:val="28"/>
          <w:rtl/>
        </w:rPr>
        <w:t xml:space="preserve">خط: نستعلیق، بی کا، تا: قرن ۱۲؛ افتادگی: آغاز و انجام کاغذ: هندی، جلد: تیماج حنایی، ۱۷۶گ، ۲۰ سطر (۲۰۱۱)، اندازه: ۱۷/۵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۲۷/۵سم [ف: ۱۰-۱۵۸۵]</w:t>
      </w:r>
    </w:p>
    <w:p>
      <w:pPr>
        <w:pStyle w:val="BookText"/>
      </w:pPr>
      <w:r>
        <w:rPr>
          <w:rFonts w:ascii="IRNazanin" w:hAnsi="IRNazanin" w:eastAsia="IRNazanin" w:cs="IRNazanin"/>
          <w:lang w:bidi="fa-IR"/>
          <w:color w:val="111111"/>
          <w:sz w:val="28"/>
          <w:szCs w:val="28"/>
          <w:rtl/>
        </w:rPr>
        <w:t xml:space="preserve">۳۱. تهران؛ مجلس؛ شماره نسخه: ۹۴۷۰</w:t>
      </w:r>
    </w:p>
    <w:p>
      <w:pPr>
        <w:pStyle w:val="BookText"/>
      </w:pPr>
      <w:r>
        <w:rPr>
          <w:rFonts w:ascii="IRNazanin" w:hAnsi="IRNazanin" w:eastAsia="IRNazanin" w:cs="IRNazanin"/>
          <w:lang w:bidi="fa-IR"/>
          <w:color w:val="111111"/>
          <w:sz w:val="28"/>
          <w:szCs w:val="28"/>
          <w:rtl/>
        </w:rPr>
        <w:t xml:space="preserve">آغاز: در اختیار این طالع سعادت مطالع بدایع لطايف ملحوظ شده؛ انجام: از گلخن بیم و بستانچه امید و تا پشگاه بستگی و نزهت جای</w:t>
      </w:r>
    </w:p>
    <w:p>
      <w:pPr>
        <w:pStyle w:val="BookText"/>
      </w:pPr>
      <w:r>
        <w:rPr>
          <w:rFonts w:ascii="IRNazanin" w:hAnsi="IRNazanin" w:eastAsia="IRNazanin" w:cs="IRNazanin"/>
          <w:lang w:bidi="fa-IR"/>
          <w:color w:val="111111"/>
          <w:sz w:val="28"/>
          <w:szCs w:val="28"/>
          <w:rtl/>
        </w:rPr>
        <w:t xml:space="preserve">خط: نستعلیق، بی کا، تا: قرن ۱۲؛ افتادگی: آغاز و انجام؛ رکابه دار؛ جلد: تیماج فرنگی مشکی، ۲۳۳گ، ۲۳ سطر،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۳۰-۱۵۸]</w:t>
      </w:r>
    </w:p>
    <w:p>
      <w:pPr>
        <w:pStyle w:val="BookText"/>
      </w:pPr>
      <w:r>
        <w:rPr>
          <w:rFonts w:ascii="IRNazanin" w:hAnsi="IRNazanin" w:eastAsia="IRNazanin" w:cs="IRNazanin"/>
          <w:lang w:bidi="fa-IR"/>
          <w:color w:val="111111"/>
          <w:sz w:val="28"/>
          <w:szCs w:val="28"/>
          <w:rtl/>
        </w:rPr>
        <w:t xml:space="preserve">۳۲. تهران؛ ملک؛ شماره نسخه:۳۹۴۲</w:t>
      </w:r>
    </w:p>
    <w:p>
      <w:pPr>
        <w:pStyle w:val="BookText"/>
      </w:pPr>
      <w:r>
        <w:rPr>
          <w:rFonts w:ascii="IRNazanin" w:hAnsi="IRNazanin" w:eastAsia="IRNazanin" w:cs="IRNazanin"/>
          <w:lang w:bidi="fa-IR"/>
          <w:color w:val="111111"/>
          <w:sz w:val="28"/>
          <w:szCs w:val="28"/>
          <w:rtl/>
        </w:rPr>
        <w:t xml:space="preserve">خط: نستعلیق، بی کا، تا: قرن ۱۲؛ افتادگی: انجام؛ کاغذ: کاغذ فستقی سفید، جلد: میشن قهوه ای، ۲۸۰گ، ۲۱ سطر، اندازه: ۲۹/۱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سم [ف: ۲-۷۴]</w:t>
      </w:r>
    </w:p>
    <w:p>
      <w:pPr>
        <w:pStyle w:val="BookText"/>
      </w:pPr>
      <w:r>
        <w:rPr>
          <w:rFonts w:ascii="IRNazanin" w:hAnsi="IRNazanin" w:eastAsia="IRNazanin" w:cs="IRNazanin"/>
          <w:lang w:bidi="fa-IR"/>
          <w:color w:val="111111"/>
          <w:sz w:val="28"/>
          <w:szCs w:val="28"/>
          <w:rtl/>
        </w:rPr>
        <w:t xml:space="preserve">۳۳. مشهد: رضوی؛ شماره نسخه:۲۸۲۸۵</w:t>
      </w:r>
    </w:p>
    <w:p>
      <w:pPr>
        <w:pStyle w:val="BookText"/>
      </w:pPr>
      <w:r>
        <w:rPr>
          <w:rFonts w:ascii="IRNazanin" w:hAnsi="IRNazanin" w:eastAsia="IRNazanin" w:cs="IRNazanin"/>
          <w:lang w:bidi="fa-IR"/>
          <w:color w:val="111111"/>
          <w:sz w:val="28"/>
          <w:szCs w:val="28"/>
          <w:rtl/>
        </w:rPr>
        <w:t xml:space="preserve">آغاز: برابر؛ انجام: برابر قسمت دوم</w:t>
      </w:r>
    </w:p>
    <w:p>
      <w:pPr>
        <w:pStyle w:val="BookText"/>
      </w:pPr>
      <w:r>
        <w:rPr>
          <w:rFonts w:ascii="IRNazanin" w:hAnsi="IRNazanin" w:eastAsia="IRNazanin" w:cs="IRNazanin"/>
          <w:lang w:bidi="fa-IR"/>
          <w:color w:val="111111"/>
          <w:sz w:val="28"/>
          <w:szCs w:val="28"/>
          <w:rtl/>
        </w:rPr>
        <w:t xml:space="preserve">جلد اول و دوم؛ خط: نستعلیق، بی کا، تا: قرن ۱۲؛ مصحح، مجدول؛ اهدایی: رهبری، تیر ۱۳۸۱؛ کاغذ: کشمیری نخودی، جلد: تیماج فرنگی قهوه ای مجدول زرکوب، ۵۰۱گ، ۲۳ سطر، اندازه: ۱۶/۵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۳۳/۵ سم [اهدائی رهبر: ۸-۲۵۹]</w:t>
      </w:r>
    </w:p>
    <w:p>
      <w:pPr>
        <w:pStyle w:val="BookText"/>
      </w:pPr>
      <w:r>
        <w:rPr>
          <w:rFonts w:ascii="IRNazanin" w:hAnsi="IRNazanin" w:eastAsia="IRNazanin" w:cs="IRNazanin"/>
          <w:lang w:bidi="fa-IR"/>
          <w:color w:val="111111"/>
          <w:sz w:val="28"/>
          <w:szCs w:val="28"/>
          <w:rtl/>
        </w:rPr>
        <w:t xml:space="preserve">۳۴. مشهد؛ رضوی؛ شماره نسخه: ۳۵۳۶۴</w:t>
      </w:r>
    </w:p>
    <w:p>
      <w:pPr>
        <w:pStyle w:val="BookText"/>
      </w:pPr>
      <w:r>
        <w:rPr>
          <w:rFonts w:ascii="IRNazanin" w:hAnsi="IRNazanin" w:eastAsia="IRNazanin" w:cs="IRNazanin"/>
          <w:lang w:bidi="fa-IR"/>
          <w:color w:val="111111"/>
          <w:sz w:val="28"/>
          <w:szCs w:val="28"/>
          <w:rtl/>
        </w:rPr>
        <w:t xml:space="preserve">آغاز: برابر؛ انجام: برابر قسمت دوم</w:t>
      </w:r>
    </w:p>
    <w:p>
      <w:pPr>
        <w:pStyle w:val="BookText"/>
      </w:pPr>
      <w:r>
        <w:rPr>
          <w:rFonts w:ascii="IRNazanin" w:hAnsi="IRNazanin" w:eastAsia="IRNazanin" w:cs="IRNazanin"/>
          <w:lang w:bidi="fa-IR"/>
          <w:color w:val="111111"/>
          <w:sz w:val="28"/>
          <w:szCs w:val="28"/>
          <w:rtl/>
        </w:rPr>
        <w:t xml:space="preserve">جلد اول و دوم؛ خط: نستعلیق، بی کا، تا: قرن ۱۲؛ مجدول، اهدایی: رهبری، اردیبهشت ۱۳۸۶؛ جلد: تیماج فرنگی قهوه ای مجدول زرکوب، ۴۸۶گ، ۱۹ سطر، اندازه: 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w:t>
      </w:r>
    </w:p>
    <w:p>
      <w:pPr>
        <w:pStyle w:val="BookText"/>
      </w:pPr>
      <w:r>
        <w:rPr>
          <w:rFonts w:ascii="IRNazanin" w:hAnsi="IRNazanin" w:eastAsia="IRNazanin" w:cs="IRNazanin"/>
          <w:lang w:bidi="fa-IR"/>
          <w:color w:val="111111"/>
          <w:sz w:val="28"/>
          <w:szCs w:val="28"/>
          <w:rtl/>
        </w:rPr>
        <w:t xml:space="preserve">سم [اهدائی رهبر: ۸-۳۶۰]</w:t>
      </w:r>
    </w:p>
    <w:p>
      <w:pPr>
        <w:pStyle w:val="BookText"/>
      </w:pPr>
      <w:r>
        <w:rPr>
          <w:rFonts w:ascii="IRNazanin" w:hAnsi="IRNazanin" w:eastAsia="IRNazanin" w:cs="IRNazanin"/>
          <w:lang w:bidi="fa-IR"/>
          <w:color w:val="111111"/>
          <w:sz w:val="28"/>
          <w:szCs w:val="28"/>
          <w:rtl/>
        </w:rPr>
        <w:t xml:space="preserve">۳۵. مشهد؛ رضوی؛ شماره نسخه:۳۵۳۵۸</w:t>
      </w:r>
    </w:p>
    <w:p>
      <w:pPr>
        <w:pStyle w:val="BookText"/>
      </w:pPr>
      <w:r>
        <w:rPr>
          <w:rFonts w:ascii="IRNazanin" w:hAnsi="IRNazanin" w:eastAsia="IRNazanin" w:cs="IRNazanin"/>
          <w:lang w:bidi="fa-IR"/>
          <w:color w:val="111111"/>
          <w:sz w:val="28"/>
          <w:szCs w:val="28"/>
          <w:rtl/>
        </w:rPr>
        <w:t xml:space="preserve">آغاز: چون حقیقت حال به مسامع اقبال رسید بر خلاف فهم های ناقص زمانیان؛ انجام: مسافران ابد را سبيل قافله چیست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اگر جنازه آن رهنمای کل بگذشت جلد سوم. ادامه نسخه ۳۵۳۶۴؛ خط: نستعلیق، بی کا، تا: ۲ جمادی الاول قرن ۱۲؛ مجدول؛ اهدایی: رهبری، اردیبهشت ۱۳۸۶؛ کاغذ: کشمیری نخودی، جلد: تیماج فرنگی قهوه ای مجدول زرکوب، ۴۹۲گ، ۱۸ سطر، اندازه: ۱۵/۵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۳۱/۵سم [ اهدائی رهبر: ۸-۳۶۱)</w:t>
      </w:r>
    </w:p>
    <w:p>
      <w:pPr>
        <w:pStyle w:val="BookText"/>
      </w:pPr>
      <w:r>
        <w:rPr>
          <w:rFonts w:ascii="IRNazanin" w:hAnsi="IRNazanin" w:eastAsia="IRNazanin" w:cs="IRNazanin"/>
          <w:lang w:bidi="fa-IR"/>
          <w:color w:val="111111"/>
          <w:sz w:val="28"/>
          <w:szCs w:val="28"/>
          <w:rtl/>
        </w:rPr>
        <w:t xml:space="preserve">۳۶. تهران: انجمن آثار و مفاخر فرهنگی؛ شماره نسخه:۱۳۶</w:t>
      </w:r>
    </w:p>
    <w:p>
      <w:pPr>
        <w:pStyle w:val="BookText"/>
      </w:pPr>
      <w:r>
        <w:rPr>
          <w:rFonts w:ascii="IRNazanin" w:hAnsi="IRNazanin" w:eastAsia="IRNazanin" w:cs="IRNazanin"/>
          <w:lang w:bidi="fa-IR"/>
          <w:color w:val="111111"/>
          <w:sz w:val="28"/>
          <w:szCs w:val="28"/>
          <w:rtl/>
        </w:rPr>
        <w:t xml:space="preserve">آغاز: بعد از دو سال و چهار ماه تعبیر رویای صدق پیرای بظهور پیوست تبارک الله و هي اسم سامی و طلسم گرامی؛ انجام: پایه دولت در رکاب سعادت آورده توسن شیر صد آهو خرا مرا در نخجیر گاه جلوه دادند.</w:t>
      </w:r>
    </w:p>
    <w:p>
      <w:pPr>
        <w:pStyle w:val="BookText"/>
      </w:pPr>
      <w:r>
        <w:rPr>
          <w:rFonts w:ascii="IRNazanin" w:hAnsi="IRNazanin" w:eastAsia="IRNazanin" w:cs="IRNazanin"/>
          <w:lang w:bidi="fa-IR"/>
          <w:color w:val="111111"/>
          <w:sz w:val="28"/>
          <w:szCs w:val="28"/>
          <w:rtl/>
        </w:rPr>
        <w:t xml:space="preserve">تاریخ اکبرشاهی ۵۴۵ تاریخ هند و سلسله گورکانیان هند پرداخته است؛ خط: نستعلیق، بی کا، تا: محتملا قرن ۱۲؛ محشی؛ کاغذ: فرنگی آهار مهره، جلد: تیماج مقوایی با ترنج و نیم ترنج، ۳۷۸ص، ۲۷ سطر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۳۶/۵ سم [ف: ۱۷۰]</w:t>
      </w:r>
    </w:p>
    <w:p>
      <w:pPr>
        <w:pStyle w:val="BookText"/>
      </w:pPr>
      <w:r>
        <w:rPr>
          <w:rFonts w:ascii="IRNazanin" w:hAnsi="IRNazanin" w:eastAsia="IRNazanin" w:cs="IRNazanin"/>
          <w:lang w:bidi="fa-IR"/>
          <w:color w:val="111111"/>
          <w:sz w:val="28"/>
          <w:szCs w:val="28"/>
          <w:rtl/>
        </w:rPr>
        <w:t xml:space="preserve">۳۷. مشهد؛ رضوی؛ شماره نسخه: ۱۶۲۲۰</w:t>
      </w:r>
    </w:p>
    <w:p>
      <w:pPr>
        <w:pStyle w:val="BookText"/>
      </w:pPr>
      <w:r>
        <w:rPr>
          <w:rFonts w:ascii="IRNazanin" w:hAnsi="IRNazanin" w:eastAsia="IRNazanin" w:cs="IRNazanin"/>
          <w:lang w:bidi="fa-IR"/>
          <w:color w:val="111111"/>
          <w:sz w:val="28"/>
          <w:szCs w:val="28"/>
          <w:rtl/>
        </w:rPr>
        <w:t xml:space="preserve">آغاز: برابر؛ انجام: برابر قسمت دوم خط: نستعلیق، کا: محمد زمان بن محمد اکبر جنابذی، تا: قرن ۱۲ [رایانه ]</w:t>
      </w:r>
    </w:p>
    <w:p>
      <w:pPr>
        <w:pStyle w:val="BookText"/>
      </w:pPr>
      <w:r>
        <w:rPr>
          <w:rFonts w:ascii="IRNazanin" w:hAnsi="IRNazanin" w:eastAsia="IRNazanin" w:cs="IRNazanin"/>
          <w:lang w:bidi="fa-IR"/>
          <w:color w:val="111111"/>
          <w:sz w:val="28"/>
          <w:szCs w:val="28"/>
          <w:rtl/>
        </w:rPr>
        <w:t xml:space="preserve">۳۸. مشهد؛ رضوی؛ شماره نسخه:۴۰۷۴</w:t>
      </w:r>
    </w:p>
    <w:p>
      <w:pPr>
        <w:pStyle w:val="BookText"/>
      </w:pPr>
      <w:r>
        <w:rPr>
          <w:rFonts w:ascii="IRNazanin" w:hAnsi="IRNazanin" w:eastAsia="IRNazanin" w:cs="IRNazanin"/>
          <w:lang w:bidi="fa-IR"/>
          <w:color w:val="111111"/>
          <w:sz w:val="28"/>
          <w:szCs w:val="28"/>
          <w:rtl/>
        </w:rPr>
        <w:t xml:space="preserve">آغاز: چون مرکز این خانه این جور است و صاحبش در دوم ... به تدبیراتی که در مال؛ انجام: و قلاوز مقصود پدیدار آمد</w:t>
      </w:r>
    </w:p>
    <w:p>
      <w:pPr>
        <w:pStyle w:val="BookText"/>
      </w:pPr>
      <w:r>
        <w:rPr>
          <w:rFonts w:ascii="IRNazanin" w:hAnsi="IRNazanin" w:eastAsia="IRNazanin" w:cs="IRNazanin"/>
          <w:lang w:bidi="fa-IR"/>
          <w:color w:val="111111"/>
          <w:sz w:val="28"/>
          <w:szCs w:val="28"/>
          <w:rtl/>
        </w:rPr>
        <w:t xml:space="preserve">خط: نستعلیق، بی کا، تا: قرن ۱۲؛ افتادگی: آغاز و انجام [رایانه ]</w:t>
      </w:r>
    </w:p>
    <w:p>
      <w:pPr>
        <w:pStyle w:val="BookText"/>
      </w:pPr>
      <w:r>
        <w:rPr>
          <w:rFonts w:ascii="IRNazanin" w:hAnsi="IRNazanin" w:eastAsia="IRNazanin" w:cs="IRNazanin"/>
          <w:lang w:bidi="fa-IR"/>
          <w:color w:val="111111"/>
          <w:sz w:val="28"/>
          <w:szCs w:val="28"/>
          <w:rtl/>
        </w:rPr>
        <w:t xml:space="preserve">۳۹. مشهد؛ رضوی؛ شماره نسخه:۲۸۴۳۹</w:t>
      </w:r>
    </w:p>
    <w:p>
      <w:pPr>
        <w:pStyle w:val="BookText"/>
      </w:pPr>
      <w:r>
        <w:rPr>
          <w:rFonts w:ascii="IRNazanin" w:hAnsi="IRNazanin" w:eastAsia="IRNazanin" w:cs="IRNazanin"/>
          <w:lang w:bidi="fa-IR"/>
          <w:color w:val="111111"/>
          <w:sz w:val="28"/>
          <w:szCs w:val="28"/>
          <w:rtl/>
        </w:rPr>
        <w:t xml:space="preserve">آغاز: اگرچه در قوس است اما به حست تسوية البيوت به خانه ششم نثار سعادت جاوید می کند؛ انجام: و بر بالای ساباط منازل دلگشا ساخته شد و آن حضرت پیش از اتمام آن دوست دیگر در همان جا بوده خط: نستعلیق، بی کا، تا: قرن ۱۲؛ افتادگی: آغاز و انجام؛ اهدایی: رهبری، خرداد ۱۳۸۱؛ کاغذ: کشمیری نخودی، جلد: تیماج فرنگی زرشکی با نقش گل و بوته، ۲۷۴گ، ۱۶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 اهدائی رهبر: ۸-۳۶۱]</w:t>
      </w:r>
    </w:p>
    <w:p>
      <w:pPr>
        <w:pStyle w:val="BookText"/>
      </w:pPr>
      <w:r>
        <w:rPr>
          <w:rFonts w:ascii="IRNazanin" w:hAnsi="IRNazanin" w:eastAsia="IRNazanin" w:cs="IRNazanin"/>
          <w:lang w:bidi="fa-IR"/>
          <w:color w:val="111111"/>
          <w:sz w:val="28"/>
          <w:szCs w:val="28"/>
          <w:rtl/>
        </w:rPr>
        <w:t xml:space="preserve">۴۰. مشهد؛ رضوی؛ شماره نسخه: ۳۱۷۵۵</w:t>
      </w:r>
    </w:p>
    <w:p>
      <w:pPr>
        <w:pStyle w:val="BookText"/>
      </w:pPr>
      <w:r>
        <w:rPr>
          <w:rFonts w:ascii="IRNazanin" w:hAnsi="IRNazanin" w:eastAsia="IRNazanin" w:cs="IRNazanin"/>
          <w:lang w:bidi="fa-IR"/>
          <w:color w:val="111111"/>
          <w:sz w:val="28"/>
          <w:szCs w:val="28"/>
          <w:rtl/>
        </w:rPr>
        <w:t xml:space="preserve">آغاز: برابر؛ انجام: و به دست خود تیشه بر پای خود می زد این جا بزرگان دینی را بسیار خطا می افتد.</w:t>
      </w:r>
    </w:p>
    <w:p>
      <w:pPr>
        <w:pStyle w:val="BookText"/>
      </w:pPr>
      <w:r>
        <w:rPr>
          <w:rFonts w:ascii="IRNazanin" w:hAnsi="IRNazanin" w:eastAsia="IRNazanin" w:cs="IRNazanin"/>
          <w:lang w:bidi="fa-IR"/>
          <w:color w:val="111111"/>
          <w:sz w:val="28"/>
          <w:szCs w:val="28"/>
          <w:rtl/>
        </w:rPr>
        <w:t xml:space="preserve">خط: نستعلیق، بی کا، تا: قرن ۱۲؛ افتادگی: انجام؛ با سرلوح مزدوج و مرصع، مجدول، دارای دو رباعی از خواجه میر درد و میر حسین؛ اهدایی: رهبری، بهمن ۱۳۸۳؛ کاغذ: نخودی، جلد: تیماج فرنگی قهوه ای زرکوب، ۱۶۱گ، ۲۵ سطر، اندازه: ۱۹/۵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w:t>
      </w:r>
    </w:p>
    <w:p>
      <w:pPr>
        <w:pStyle w:val="BookText"/>
      </w:pPr>
      <w:r>
        <w:rPr>
          <w:rFonts w:ascii="IRNazanin" w:hAnsi="IRNazanin" w:eastAsia="IRNazanin" w:cs="IRNazanin"/>
          <w:lang w:bidi="fa-IR"/>
          <w:color w:val="111111"/>
          <w:sz w:val="28"/>
          <w:szCs w:val="28"/>
          <w:rtl/>
        </w:rPr>
        <w:t xml:space="preserve">[اهدائی رهبر: ۸- ۳۶۱]</w:t>
      </w:r>
    </w:p>
    <w:p>
      <w:pPr>
        <w:pStyle w:val="BookText"/>
      </w:pPr>
      <w:r>
        <w:rPr>
          <w:rFonts w:ascii="IRNazanin" w:hAnsi="IRNazanin" w:eastAsia="IRNazanin" w:cs="IRNazanin"/>
          <w:lang w:bidi="fa-IR"/>
          <w:color w:val="111111"/>
          <w:sz w:val="28"/>
          <w:szCs w:val="28"/>
          <w:rtl/>
        </w:rPr>
        <w:t xml:space="preserve">۴۱. قم؛ مرعشی؛ شماره نسخه: ۱۴۸۴۱</w:t>
      </w:r>
    </w:p>
    <w:p>
      <w:pPr>
        <w:pStyle w:val="BookText"/>
      </w:pPr>
      <w:r>
        <w:rPr>
          <w:rFonts w:ascii="IRNazanin" w:hAnsi="IRNazanin" w:eastAsia="IRNazanin" w:cs="IRNazanin"/>
          <w:lang w:bidi="fa-IR"/>
          <w:color w:val="111111"/>
          <w:sz w:val="28"/>
          <w:szCs w:val="28"/>
          <w:rtl/>
        </w:rPr>
        <w:t xml:space="preserve">آغاز: برابر؛ انجام: بیست و دویم ذی قعدة سنة سبع و تسعین و تسعمائة كابل محل نزول رایات جلال گشت حکیم همام و میر صدر جهان که به ایلچی گری به ماوراء النهر ...</w:t>
      </w:r>
    </w:p>
    <w:p>
      <w:pPr>
        <w:pStyle w:val="BookText"/>
      </w:pPr>
      <w:r>
        <w:rPr>
          <w:rFonts w:ascii="IRNazanin" w:hAnsi="IRNazanin" w:eastAsia="IRNazanin" w:cs="IRNazanin"/>
          <w:lang w:bidi="fa-IR"/>
          <w:color w:val="111111"/>
          <w:sz w:val="28"/>
          <w:szCs w:val="28"/>
          <w:rtl/>
        </w:rPr>
        <w:t xml:space="preserve">خط: نستعلیق، بی کا، تا: حدود قرن ۱۲؛ افتادگی: انجام؛ کاغذ: شرقی، جلد: مشمع قهوه ای عطف تیماج قهوه ای، ۲۵۳گ، ۲۱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۳۷-۴۵۰]</w:t>
      </w:r>
    </w:p>
    <w:p>
      <w:pPr>
        <w:pStyle w:val="BookText"/>
      </w:pPr>
      <w:r>
        <w:rPr>
          <w:rFonts w:ascii="IRNazanin" w:hAnsi="IRNazanin" w:eastAsia="IRNazanin" w:cs="IRNazanin"/>
          <w:lang w:bidi="fa-IR"/>
          <w:color w:val="111111"/>
          <w:sz w:val="28"/>
          <w:szCs w:val="28"/>
          <w:rtl/>
        </w:rPr>
        <w:t xml:space="preserve">۴۲. اصفهان، دانشگاه؛ شماره نسخه: ۲۰</w:t>
      </w:r>
    </w:p>
    <w:p>
      <w:pPr>
        <w:pStyle w:val="BookText"/>
      </w:pPr>
      <w:r>
        <w:rPr>
          <w:rFonts w:ascii="IRNazanin" w:hAnsi="IRNazanin" w:eastAsia="IRNazanin" w:cs="IRNazanin"/>
          <w:lang w:bidi="fa-IR"/>
          <w:color w:val="111111"/>
          <w:sz w:val="28"/>
          <w:szCs w:val="28"/>
          <w:rtl/>
        </w:rPr>
        <w:t xml:space="preserve">خط: نستعلیق، كا: محمد جعفر بن ملا محمد حسين دماوندی، تا: دهه سوم ۱۱۰۷ق؛ افتادگی: آغاز، کاغذ: سپاهانی آهار مهره [نشریه: ۱۱-۸۸۶]</w:t>
      </w:r>
    </w:p>
    <w:p>
      <w:pPr>
        <w:pStyle w:val="BookText"/>
      </w:pPr>
      <w:r>
        <w:rPr>
          <w:rFonts w:ascii="IRNazanin" w:hAnsi="IRNazanin" w:eastAsia="IRNazanin" w:cs="IRNazanin"/>
          <w:lang w:bidi="fa-IR"/>
          <w:color w:val="111111"/>
          <w:sz w:val="28"/>
          <w:szCs w:val="28"/>
          <w:rtl/>
        </w:rPr>
        <w:t xml:space="preserve">۴۳. اصفهان، دانشگاه؛ شماره نسخه: ۸۲</w:t>
      </w:r>
    </w:p>
    <w:p>
      <w:pPr>
        <w:pStyle w:val="BookText"/>
      </w:pPr>
      <w:r>
        <w:rPr>
          <w:rFonts w:ascii="IRNazanin" w:hAnsi="IRNazanin" w:eastAsia="IRNazanin" w:cs="IRNazanin"/>
          <w:lang w:bidi="fa-IR"/>
          <w:color w:val="111111"/>
          <w:sz w:val="28"/>
          <w:szCs w:val="28"/>
          <w:rtl/>
        </w:rPr>
        <w:t xml:space="preserve">آغاز: بدر آسمان قدر پایه عزت این سلسله از حضيض افلاک تصاعد نموده دیگر از راست کیشان درست اندیش معلوم شده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نستعلیق، کا: محمد جعفر بن ملا محمد حسين دماوندی، تان دهه آخر ربیع الاول ۱۱۰۷ق، جهت احمد بیگ غلام سرکار عالی؛ افتادگی: آغاز؛ جلد: تیماج قهوه ای، ۴۰۸گ، ۱۸سطر،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۱-۶۹]</w:t>
      </w:r>
    </w:p>
    <w:p>
      <w:pPr>
        <w:pStyle w:val="BookText"/>
      </w:pPr>
      <w:r>
        <w:rPr>
          <w:rFonts w:ascii="IRNazanin" w:hAnsi="IRNazanin" w:eastAsia="IRNazanin" w:cs="IRNazanin"/>
          <w:lang w:bidi="fa-IR"/>
          <w:color w:val="111111"/>
          <w:sz w:val="28"/>
          <w:szCs w:val="28"/>
          <w:rtl/>
        </w:rPr>
        <w:t xml:space="preserve">۴۴. تهران؛ سپهسالار؛ شماره نسخه:۸۲۹۹</w:t>
      </w:r>
    </w:p>
    <w:p>
      <w:pPr>
        <w:pStyle w:val="BookText"/>
      </w:pPr>
      <w:r>
        <w:rPr>
          <w:rFonts w:ascii="IRNazanin" w:hAnsi="IRNazanin" w:eastAsia="IRNazanin" w:cs="IRNazanin"/>
          <w:lang w:bidi="fa-IR"/>
          <w:color w:val="111111"/>
          <w:sz w:val="28"/>
          <w:szCs w:val="28"/>
          <w:rtl/>
        </w:rPr>
        <w:t xml:space="preserve">خط: نستعلیق، بی کا، تا: ۱۱ ذیقعده ۱۱۱۷ق، پنجاه و یکمین سال اورنگ زیب؛ مجدول؛ کاغذ: هندی نخودی، جلد: تیماج قهوه ای مقوایی، ۴۸۷ گ، ۲۱ سطر، اندازه: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۳-۱۸۱]</w:t>
      </w:r>
    </w:p>
    <w:p>
      <w:pPr>
        <w:pStyle w:val="BookText"/>
      </w:pPr>
      <w:r>
        <w:rPr>
          <w:rFonts w:ascii="IRNazanin" w:hAnsi="IRNazanin" w:eastAsia="IRNazanin" w:cs="IRNazanin"/>
          <w:lang w:bidi="fa-IR"/>
          <w:color w:val="111111"/>
          <w:sz w:val="28"/>
          <w:szCs w:val="28"/>
          <w:rtl/>
        </w:rPr>
        <w:t xml:space="preserve">۴۵. قم؛ مسجد اعظم، شماره نسخه:۳۱۵۹</w:t>
      </w:r>
    </w:p>
    <w:p>
      <w:pPr>
        <w:pStyle w:val="BookText"/>
      </w:pPr>
      <w:r>
        <w:rPr>
          <w:rFonts w:ascii="IRNazanin" w:hAnsi="IRNazanin" w:eastAsia="IRNazanin" w:cs="IRNazanin"/>
          <w:lang w:bidi="fa-IR"/>
          <w:color w:val="111111"/>
          <w:sz w:val="28"/>
          <w:szCs w:val="28"/>
          <w:rtl/>
        </w:rPr>
        <w:t xml:space="preserve">آغاز: صورت زایچه طالع جلوس اقدس نقش پذیر پر کار صدق و رقم آرای خامه سداد ساختن از لوازم وقت است تا بينا دلانرا مستوجب مزید روشنائی کرد و کوتاه بینانرا چشم دوربین؛ انجام مرا چون هاتف دل دیده دمساز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برآورد از زبان همت آواز / بهار نوبر آر از چشمه نوش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سخن را ... تازه در گوش.</w:t>
      </w:r>
    </w:p>
    <w:p>
      <w:pPr>
        <w:pStyle w:val="BookText"/>
      </w:pPr>
      <w:r>
        <w:rPr>
          <w:rFonts w:ascii="IRNazanin" w:hAnsi="IRNazanin" w:eastAsia="IRNazanin" w:cs="IRNazanin"/>
          <w:lang w:bidi="fa-IR"/>
          <w:color w:val="111111"/>
          <w:sz w:val="28"/>
          <w:szCs w:val="28"/>
          <w:rtl/>
        </w:rPr>
        <w:t xml:space="preserve">از ابتدا تا پایان دفتر دوم؛ خط: نستعلیق، بی کا، تا: رجب ۱۱۱۷ق؛ افتادگی: آغاز؛ جلد: تیماج قهوه ای مجدول، ۲۴۰گ، ۱۶ سطر،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مخ: ۱-۱۹۶]</w:t>
      </w:r>
    </w:p>
    <w:p>
      <w:pPr>
        <w:pStyle w:val="BookText"/>
      </w:pPr>
      <w:r>
        <w:rPr>
          <w:rFonts w:ascii="IRNazanin" w:hAnsi="IRNazanin" w:eastAsia="IRNazanin" w:cs="IRNazanin"/>
          <w:lang w:bidi="fa-IR"/>
          <w:color w:val="111111"/>
          <w:sz w:val="28"/>
          <w:szCs w:val="28"/>
          <w:rtl/>
        </w:rPr>
        <w:t xml:space="preserve">۴۶. تهران؛ مجلس؛ شماره نسخه:۷۲۹۳</w:t>
      </w:r>
    </w:p>
    <w:p>
      <w:pPr>
        <w:pStyle w:val="BookText"/>
      </w:pPr>
      <w:r>
        <w:rPr>
          <w:rFonts w:ascii="IRNazanin" w:hAnsi="IRNazanin" w:eastAsia="IRNazanin" w:cs="IRNazanin"/>
          <w:lang w:bidi="fa-IR"/>
          <w:color w:val="111111"/>
          <w:sz w:val="28"/>
          <w:szCs w:val="28"/>
          <w:rtl/>
        </w:rPr>
        <w:t xml:space="preserve">آغاز: سلسله انتظام کارگاه آفرینش که مظاهر حقیقت نمایی شهود و شواهد قدرت واجب الوجود است؛ انجام: برابر قسمت دوم</w:t>
      </w:r>
    </w:p>
    <w:p>
      <w:pPr>
        <w:pStyle w:val="BookText"/>
      </w:pPr>
      <w:r>
        <w:rPr>
          <w:rFonts w:ascii="IRNazanin" w:hAnsi="IRNazanin" w:eastAsia="IRNazanin" w:cs="IRNazanin"/>
          <w:lang w:bidi="fa-IR"/>
          <w:color w:val="111111"/>
          <w:sz w:val="28"/>
          <w:szCs w:val="28"/>
          <w:rtl/>
        </w:rPr>
        <w:t xml:space="preserve">جلد دوم؛ خط: نستعلیق، کا: غلام محی الدین، تا: ۱۵ ذیقعده ۱۱۵۳ق؛ تملک: شیخ محمد حسین؛ جلد: تیماج مشکی، ۳۶۵ گ، ۱۸ سطر،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۲۵-۲۸۵]</w:t>
      </w:r>
    </w:p>
    <w:p>
      <w:pPr>
        <w:pStyle w:val="BookText"/>
      </w:pPr>
      <w:r>
        <w:rPr>
          <w:rFonts w:ascii="IRNazanin" w:hAnsi="IRNazanin" w:eastAsia="IRNazanin" w:cs="IRNazanin"/>
          <w:lang w:bidi="fa-IR"/>
          <w:color w:val="111111"/>
          <w:sz w:val="28"/>
          <w:szCs w:val="28"/>
          <w:rtl/>
        </w:rPr>
        <w:t xml:space="preserve">۴۷. تهران؛ ملک؛ شماره نسخه:۴۳۷۸</w:t>
      </w:r>
    </w:p>
    <w:p>
      <w:pPr>
        <w:pStyle w:val="BookText"/>
      </w:pPr>
      <w:r>
        <w:rPr>
          <w:rFonts w:ascii="IRNazanin" w:hAnsi="IRNazanin" w:eastAsia="IRNazanin" w:cs="IRNazanin"/>
          <w:lang w:bidi="fa-IR"/>
          <w:color w:val="111111"/>
          <w:sz w:val="28"/>
          <w:szCs w:val="28"/>
          <w:rtl/>
        </w:rPr>
        <w:t xml:space="preserve">خط: نستعلیق، بی کا، تا: قرن ۱۳؛ مجدول؛ کاغذ: کاغذ ترمه، جلد: میشن قهوه ای، ۳۴۱گ، ۲۳ سطر، اندازه: ۳۳۷۲۰/۵ سم [ف: ۲-۷۴]</w:t>
      </w:r>
    </w:p>
    <w:p>
      <w:pPr>
        <w:pStyle w:val="BookText"/>
      </w:pPr>
      <w:r>
        <w:rPr>
          <w:rFonts w:ascii="IRNazanin" w:hAnsi="IRNazanin" w:eastAsia="IRNazanin" w:cs="IRNazanin"/>
          <w:lang w:bidi="fa-IR"/>
          <w:color w:val="111111"/>
          <w:sz w:val="28"/>
          <w:szCs w:val="28"/>
          <w:rtl/>
        </w:rPr>
        <w:t xml:space="preserve">۴۸. مشهد؛ رضوی؛ شماره نسخه: ۲۸۳۹۹</w:t>
      </w:r>
    </w:p>
    <w:p>
      <w:pPr>
        <w:pStyle w:val="BookText"/>
      </w:pPr>
      <w:r>
        <w:rPr>
          <w:rFonts w:ascii="IRNazanin" w:hAnsi="IRNazanin" w:eastAsia="IRNazanin" w:cs="IRNazanin"/>
          <w:lang w:bidi="fa-IR"/>
          <w:color w:val="111111"/>
          <w:sz w:val="28"/>
          <w:szCs w:val="28"/>
          <w:rtl/>
        </w:rPr>
        <w:t xml:space="preserve">آغاز: چهلم سال الهی دو هزار و هفتصد و سی و هفت قصبه از صد و پنج سر کار در فلم رو بود چون جمع ده ساله قرار گفت ... آن را دوازده بخش بر ساخت و هر یک را صوبه نام نهاد؛ انجام: و از الیاس قبض و از خضر بسط خوانند</w:t>
      </w:r>
    </w:p>
    <w:p>
      <w:pPr>
        <w:pStyle w:val="BookText"/>
      </w:pPr>
      <w:r>
        <w:rPr>
          <w:rFonts w:ascii="IRNazanin" w:hAnsi="IRNazanin" w:eastAsia="IRNazanin" w:cs="IRNazanin"/>
          <w:lang w:bidi="fa-IR"/>
          <w:color w:val="111111"/>
          <w:sz w:val="28"/>
          <w:szCs w:val="28"/>
          <w:rtl/>
        </w:rPr>
        <w:t xml:space="preserve">بخش جغرافیای آن (دفتر سوم و مفصلترین بخش کتاب )شامل معرفی این دوازده صوبه هند (بخش) است: الله آباد، آگره، اوده، اجمیر، احمد آباد، بهار، بنگاله، دهلی، کابل، لاهور، ملتان و مالوه؛ خط: نستعلیق، کا: سید نجف على غلام جناب پاک مرتضی علی، تا: ۱۲۳۹ق؛ اهدایی: رهبری، تیر ۱۳۸۱؛ کاغذ: کشمیری نخودی آهار مهره، جلد: مقوا رویه مشمع آبی عطف تیماج سرخ، ۱۰۳گ، ۱۷ سطر، اندازه: ۲۳/۵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سم[اهدائی رهبر: ۳۵۵-۸ ]</w:t>
      </w:r>
    </w:p>
    <w:p>
      <w:pPr>
        <w:pStyle w:val="BookText"/>
      </w:pPr>
      <w:r>
        <w:rPr>
          <w:rFonts w:ascii="IRNazanin" w:hAnsi="IRNazanin" w:eastAsia="IRNazanin" w:cs="IRNazanin"/>
          <w:lang w:bidi="fa-IR"/>
          <w:color w:val="111111"/>
          <w:sz w:val="28"/>
          <w:szCs w:val="28"/>
          <w:rtl/>
        </w:rPr>
        <w:t xml:space="preserve">۴۹. یزد؛ آصف پور؛ شماره نسخه:بدون شماره</w:t>
      </w:r>
    </w:p>
    <w:p>
      <w:pPr>
        <w:pStyle w:val="BookText"/>
      </w:pPr>
      <w:r>
        <w:rPr>
          <w:rFonts w:ascii="IRNazanin" w:hAnsi="IRNazanin" w:eastAsia="IRNazanin" w:cs="IRNazanin"/>
          <w:lang w:bidi="fa-IR"/>
          <w:color w:val="111111"/>
          <w:sz w:val="28"/>
          <w:szCs w:val="28"/>
          <w:rtl/>
        </w:rPr>
        <w:t xml:space="preserve">بی کا، بی تا؛ جلد اول از آخر ناقص و دوم و سیم از اول و آخر ناقص است؛ مجدول</w:t>
      </w:r>
    </w:p>
    <w:p>
      <w:pPr>
        <w:pStyle w:val="BookText"/>
      </w:pPr>
      <w:r>
        <w:rPr>
          <w:rFonts w:ascii="Amiri" w:hAnsi="Amiri" w:eastAsia="Amiri" w:cs="Amiri"/>
          <w:lang w:bidi="ar-SA"/>
          <w:color w:val="111111"/>
          <w:sz w:val="28"/>
          <w:szCs w:val="28"/>
          <w:rtl/>
        </w:rPr>
        <w:t xml:space="preserve">[نشريه: ۷-۷۱۱]</w:t>
      </w:r>
    </w:p>
    <w:p>
      <w:pPr>
        <w:pStyle w:val="BookText"/>
      </w:pPr>
      <w:r>
        <w:rPr>
          <w:rFonts w:ascii="IRNazanin" w:hAnsi="IRNazanin" w:eastAsia="IRNazanin" w:cs="IRNazanin"/>
          <w:lang w:bidi="fa-IR"/>
          <w:color w:val="111111"/>
          <w:sz w:val="28"/>
          <w:szCs w:val="28"/>
          <w:rtl/>
        </w:rPr>
        <w:t xml:space="preserve">۵۰. مشهد؛ رضوی؛ شماره نسخه:۲۷۹۳۷</w:t>
      </w:r>
    </w:p>
    <w:p>
      <w:pPr>
        <w:pStyle w:val="BookText"/>
      </w:pPr>
      <w:r>
        <w:rPr>
          <w:rFonts w:ascii="IRNazanin" w:hAnsi="IRNazanin" w:eastAsia="IRNazanin" w:cs="IRNazanin"/>
          <w:lang w:bidi="fa-IR"/>
          <w:color w:val="111111"/>
          <w:sz w:val="28"/>
          <w:szCs w:val="28"/>
          <w:rtl/>
        </w:rPr>
        <w:t xml:space="preserve">آغاز: بادشاه باشد که نواب بیرم خان بهادرلو خود را از آن سلسله می گوید و حیدر سلطان شیبانی مع فرزندان انجام و میان کرباسی طبسی و بالا مثقالی اصفهانی که درین ایام اتمام داده عرض نمود ترتیب دهند و ملاحظه.</w:t>
      </w:r>
    </w:p>
    <w:p>
      <w:pPr>
        <w:pStyle w:val="BookText"/>
      </w:pPr>
      <w:r>
        <w:rPr>
          <w:rFonts w:ascii="IRNazanin" w:hAnsi="IRNazanin" w:eastAsia="IRNazanin" w:cs="IRNazanin"/>
          <w:lang w:bidi="fa-IR"/>
          <w:color w:val="111111"/>
          <w:sz w:val="28"/>
          <w:szCs w:val="28"/>
          <w:rtl/>
        </w:rPr>
        <w:t xml:space="preserve">خط: نستعلیق، بی کا، بی تا، افتادگی: آغاز و انجام؛ مجدول؛ اهدایی: رهبری، دی ۱۳۸۰؛ کاغذ: کشمیری نخودی آهار مهره، جلد: تیماج فرنگی زرشکی زرکوب، ۱۵۷ گ، ۱۵ سطر، اندازه: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۲۳/۵ سم [ اهدائی رهبر: ۸-۳۶۲]</w:t>
      </w:r>
    </w:p>
    <w:p>
      <w:pPr>
        <w:pStyle w:val="BookText"/>
      </w:pPr>
      <w:r>
        <w:rPr>
          <w:rFonts w:ascii="IRNazanin" w:hAnsi="IRNazanin" w:eastAsia="IRNazanin" w:cs="IRNazanin"/>
          <w:lang w:bidi="fa-IR"/>
          <w:color w:val="111111"/>
          <w:sz w:val="28"/>
          <w:szCs w:val="28"/>
          <w:rtl/>
        </w:rPr>
        <w:t xml:space="preserve">۵۱. تهران؛ ملی؛ شماره نسخه:۲۰۹۰۷</w:t>
      </w:r>
    </w:p>
    <w:p>
      <w:pPr>
        <w:pStyle w:val="BookText"/>
      </w:pPr>
      <w:r>
        <w:rPr>
          <w:rFonts w:ascii="IRNazanin" w:hAnsi="IRNazanin" w:eastAsia="IRNazanin" w:cs="IRNazanin"/>
          <w:lang w:bidi="fa-IR"/>
          <w:color w:val="111111"/>
          <w:sz w:val="28"/>
          <w:szCs w:val="28"/>
          <w:rtl/>
        </w:rPr>
        <w:t xml:space="preserve">بی کا، بی تا؛ خریداری از علی اکبر سلطانی [رایانه]</w:t>
      </w:r>
    </w:p>
    <w:p>
      <w:pPr>
        <w:pStyle w:val="BookText"/>
      </w:pPr>
      <w:r>
        <w:rPr>
          <w:rFonts w:ascii="IRNazanin" w:hAnsi="IRNazanin" w:eastAsia="IRNazanin" w:cs="IRNazanin"/>
          <w:lang w:bidi="fa-IR"/>
          <w:color w:val="111111"/>
          <w:sz w:val="28"/>
          <w:szCs w:val="28"/>
          <w:rtl/>
        </w:rPr>
        <w:t xml:space="preserve">۵۲. تهران؛ ملی؛ شماره نسخه:۲۷۲۶۶</w:t>
      </w:r>
    </w:p>
    <w:p>
      <w:pPr>
        <w:pStyle w:val="BookText"/>
      </w:pPr>
      <w:r>
        <w:rPr>
          <w:rFonts w:ascii="IRNazanin" w:hAnsi="IRNazanin" w:eastAsia="IRNazanin" w:cs="IRNazanin"/>
          <w:lang w:bidi="fa-IR"/>
          <w:color w:val="111111"/>
          <w:sz w:val="28"/>
          <w:szCs w:val="28"/>
          <w:rtl/>
        </w:rPr>
        <w:t xml:space="preserve">بی کا، بی تا، خریداری از رضا میدانی [رایانه]</w:t>
      </w:r>
    </w:p>
    <w:p>
      <w:pPr>
        <w:pStyle w:val="BookText"/>
      </w:pPr>
      <w:r>
        <w:rPr>
          <w:rFonts w:ascii="IRNazanin" w:hAnsi="IRNazanin" w:eastAsia="IRNazanin" w:cs="IRNazanin"/>
          <w:lang w:bidi="fa-IR"/>
          <w:color w:val="111111"/>
          <w:sz w:val="28"/>
          <w:szCs w:val="28"/>
          <w:rtl/>
        </w:rPr>
        <w:t xml:space="preserve">۵۳. قم؛ مسجد اعظم؛ شماره نسخه:۴۰۴۵</w:t>
      </w:r>
    </w:p>
    <w:p>
      <w:pPr>
        <w:pStyle w:val="BookText"/>
      </w:pPr>
      <w:r>
        <w:rPr>
          <w:rFonts w:ascii="IRNazanin" w:hAnsi="IRNazanin" w:eastAsia="IRNazanin" w:cs="IRNazanin"/>
          <w:lang w:bidi="fa-IR"/>
          <w:color w:val="111111"/>
          <w:sz w:val="28"/>
          <w:szCs w:val="28"/>
          <w:rtl/>
        </w:rPr>
        <w:t xml:space="preserve">آغاز: نیکوست حال ما به هوای خیال کل. از آن باز که افراد انسانی در بازار حدوث وچارسوی کون پیکار آر شده اند ارباب عقیدت که باطن ایشان به نیات خیر آراسته؛ انجام: نیک بسیجی وخوب کرداری را به جستجوی بخت ویاوری اقبال از آشوب خود بینی و ورطه ریا بر کناره دارند.</w:t>
      </w:r>
    </w:p>
    <w:p>
      <w:pPr>
        <w:pStyle w:val="BookText"/>
      </w:pPr>
      <w:r>
        <w:rPr>
          <w:rFonts w:ascii="IRNazanin" w:hAnsi="IRNazanin" w:eastAsia="IRNazanin" w:cs="IRNazanin"/>
          <w:lang w:bidi="fa-IR"/>
          <w:color w:val="111111"/>
          <w:sz w:val="28"/>
          <w:szCs w:val="28"/>
          <w:rtl/>
        </w:rPr>
        <w:t xml:space="preserve">جلد اول؛ خط: نستعلیق، بی کا، بی تا؛ افتادگی: آغاز و انجام؛ جلد: گالینگور سبز عطف تیماج زرشکی، ۶۹گ، ۲۰ 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مخ: ۱-۱۹۶]</w:t>
      </w:r>
    </w:p>
    <w:p>
      <w:pPr>
        <w:pStyle w:val="BookText"/>
      </w:pPr>
      <w:r>
        <w:rPr>
          <w:rFonts w:ascii="IRNazanin" w:hAnsi="IRNazanin" w:eastAsia="IRNazanin" w:cs="IRNazanin"/>
          <w:lang w:bidi="fa-IR"/>
          <w:color w:val="111111"/>
          <w:sz w:val="28"/>
          <w:szCs w:val="28"/>
          <w:rtl/>
        </w:rPr>
        <w:t xml:space="preserve">۵۴. تهران: مجلس؛ شماره نسخه:۷۴۶۶</w:t>
      </w:r>
    </w:p>
    <w:p>
      <w:pPr>
        <w:pStyle w:val="BookText"/>
      </w:pPr>
      <w:r>
        <w:rPr>
          <w:rFonts w:ascii="IRNazanin" w:hAnsi="IRNazanin" w:eastAsia="IRNazanin" w:cs="IRNazanin"/>
          <w:lang w:bidi="fa-IR"/>
          <w:color w:val="111111"/>
          <w:sz w:val="28"/>
          <w:szCs w:val="28"/>
          <w:rtl/>
        </w:rPr>
        <w:t xml:space="preserve">آغاز: برابر؛ انجام: برابر قسمت دوم</w:t>
      </w:r>
    </w:p>
    <w:p>
      <w:pPr>
        <w:pStyle w:val="BookText"/>
      </w:pPr>
      <w:r>
        <w:rPr>
          <w:rFonts w:ascii="IRNazanin" w:hAnsi="IRNazanin" w:eastAsia="IRNazanin" w:cs="IRNazanin"/>
          <w:lang w:bidi="fa-IR"/>
          <w:color w:val="111111"/>
          <w:sz w:val="28"/>
          <w:szCs w:val="28"/>
          <w:rtl/>
        </w:rPr>
        <w:t xml:space="preserve">دو جلد؛ خط: نستعلیق، بی کا، بی تا، مجدول مذهب مرصع، با سرلوح مزدوج مذهب مرصع جلد: تیماج دورو سوخت شمسه، ۳۴۲گ، ۲۳ سطر،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۲۵-۴۳۹]</w:t>
      </w:r>
    </w:p>
    <w:p>
      <w:pPr>
        <w:pStyle w:val="BookText"/>
      </w:pPr>
      <w:r>
        <w:rPr>
          <w:rFonts w:ascii="IRNazanin" w:hAnsi="IRNazanin" w:eastAsia="IRNazanin" w:cs="IRNazanin"/>
          <w:lang w:bidi="fa-IR"/>
          <w:color w:val="111111"/>
          <w:sz w:val="28"/>
          <w:szCs w:val="28"/>
          <w:rtl/>
        </w:rPr>
        <w:t xml:space="preserve">۵۵. تهران؛ فرهاد معتمد؛ شماره نسخه: ۲۸</w:t>
      </w:r>
    </w:p>
    <w:p>
      <w:pPr>
        <w:pStyle w:val="BookText"/>
      </w:pPr>
      <w:r>
        <w:rPr>
          <w:rFonts w:ascii="IRNazanin" w:hAnsi="IRNazanin" w:eastAsia="IRNazanin" w:cs="IRNazanin"/>
          <w:lang w:bidi="fa-IR"/>
          <w:color w:val="111111"/>
          <w:sz w:val="28"/>
          <w:szCs w:val="28"/>
          <w:rtl/>
        </w:rPr>
        <w:t xml:space="preserve">خط: نستعلیق، بی کا، بی تا، کاغذ: فرنگی، جلد: تیماج سرخ مقوایی، ۲۱ سطر (۱۲/۵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 نشریه: ۳-۱۴۹]</w:t>
      </w:r>
    </w:p>
    <w:p>
      <w:pPr>
        <w:pStyle w:val="BookText"/>
      </w:pPr>
      <w:r>
        <w:rPr>
          <w:rFonts w:ascii="IRNazanin" w:hAnsi="IRNazanin" w:eastAsia="IRNazanin" w:cs="IRNazanin"/>
          <w:lang w:bidi="fa-IR"/>
          <w:color w:val="111111"/>
          <w:sz w:val="28"/>
          <w:szCs w:val="28"/>
          <w:rtl/>
        </w:rPr>
        <w:t xml:space="preserve">۵۶. تهران؛ مجلس؛ شماره نسخه: ۱۳۶۳۶</w:t>
      </w:r>
    </w:p>
    <w:p>
      <w:pPr>
        <w:pStyle w:val="BookText"/>
      </w:pPr>
      <w:r>
        <w:rPr>
          <w:rFonts w:ascii="IRNazanin" w:hAnsi="IRNazanin" w:eastAsia="IRNazanin" w:cs="IRNazanin"/>
          <w:lang w:bidi="fa-IR"/>
          <w:color w:val="111111"/>
          <w:sz w:val="28"/>
          <w:szCs w:val="28"/>
          <w:rtl/>
        </w:rPr>
        <w:t xml:space="preserve">آغاز: برابر؛ انجام: حضرت به دولت و سعادت از خانه زین فرود آمده روی باز بر زمین جلد اول؛ خط: نستعلیق، بی کا، بی تا، افتادگی: انجام؛ با سرلوح مزدوج مذهب مرصع با گل های الوان، مجدول مذهب؛ جلد: تیماج سرخ، ۴۳۳گ، ۱۷سطر،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 سم [ف: ۳۷-۱۶۲]</w:t>
      </w:r>
    </w:p>
    <w:p>
      <w:pPr>
        <w:pStyle w:val="BookText"/>
      </w:pPr>
      <w:r>
        <w:rPr>
          <w:rFonts w:ascii="IRNazanin" w:hAnsi="IRNazanin" w:eastAsia="IRNazanin" w:cs="IRNazanin"/>
          <w:lang w:bidi="fa-IR"/>
          <w:color w:val="111111"/>
          <w:sz w:val="28"/>
          <w:szCs w:val="28"/>
          <w:rtl/>
        </w:rPr>
        <w:t xml:space="preserve">۵۷. یزد؛ وزیری؛ شماره نسخه:۳۷۰۶</w:t>
      </w:r>
    </w:p>
    <w:p>
      <w:pPr>
        <w:pStyle w:val="BookText"/>
      </w:pPr>
      <w:r>
        <w:rPr>
          <w:rFonts w:ascii="IRNazanin" w:hAnsi="IRNazanin" w:eastAsia="IRNazanin" w:cs="IRNazanin"/>
          <w:lang w:bidi="fa-IR"/>
          <w:color w:val="111111"/>
          <w:sz w:val="28"/>
          <w:szCs w:val="28"/>
          <w:rtl/>
        </w:rPr>
        <w:t xml:space="preserve">آغاز: برابر؛ انجام: برابر قسمت اول تاریخ پادشاهان هند مشتمل بر دو قسمت. نام مؤلف به قرینه آغاز نسخه تعیین شد؛ خط: نستعلیق، بی کا، بی تا؛ کاغذ: اصفهانی، جلد: مقوایی، ۴۰۱گ، ۲۲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[ف: ۵-۱۷۵۶]</w:t>
      </w:r>
    </w:p>
    <w:p>
      <w:pPr>
        <w:pStyle w:val="BookText"/>
      </w:pPr>
      <w:r>
        <w:rPr>
          <w:rFonts w:ascii="IRNazanin" w:hAnsi="IRNazanin" w:eastAsia="IRNazanin" w:cs="IRNazanin"/>
          <w:lang w:bidi="fa-IR"/>
          <w:color w:val="111111"/>
          <w:sz w:val="28"/>
          <w:szCs w:val="28"/>
          <w:rtl/>
        </w:rPr>
        <w:t xml:space="preserve">۵۸. یزد؛ وزیری؛ شماره نسخه:۳۷۰۷</w:t>
      </w:r>
    </w:p>
    <w:p>
      <w:pPr>
        <w:pStyle w:val="BookText"/>
      </w:pPr>
      <w:r>
        <w:rPr>
          <w:rFonts w:ascii="IRNazanin" w:hAnsi="IRNazanin" w:eastAsia="IRNazanin" w:cs="IRNazanin"/>
          <w:lang w:bidi="fa-IR"/>
          <w:color w:val="111111"/>
          <w:sz w:val="28"/>
          <w:szCs w:val="28"/>
          <w:rtl/>
        </w:rPr>
        <w:t xml:space="preserve">آغاز: گرفت در هر کس؛ انجام: گروه گروه مردم کامیاب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384" w:name="pg20363_209674"/>
    <w:bookmarkEnd w:id="384"/>
    <w:p>
      <w:pPr>
        <w:pStyle w:val="BookText"/>
      </w:pPr>
      <w:r>
        <w:rPr>
          <w:rFonts w:ascii="IRNazanin" w:hAnsi="IRNazanin" w:eastAsia="IRNazanin" w:cs="IRNazanin"/>
          <w:lang w:bidi="fa-IR"/>
          <w:color w:val="111111"/>
          <w:sz w:val="28"/>
          <w:szCs w:val="28"/>
          <w:rtl/>
        </w:rPr>
        <w:t xml:space="preserve">آمدند و نثارها بر افشاندند</w:t>
      </w:r>
    </w:p>
    <w:p>
      <w:pPr>
        <w:pStyle w:val="BookText"/>
      </w:pPr>
      <w:r>
        <w:rPr>
          <w:rFonts w:ascii="IRNazanin" w:hAnsi="IRNazanin" w:eastAsia="IRNazanin" w:cs="IRNazanin"/>
          <w:lang w:bidi="fa-IR"/>
          <w:color w:val="111111"/>
          <w:sz w:val="28"/>
          <w:szCs w:val="28"/>
          <w:rtl/>
        </w:rPr>
        <w:t xml:space="preserve">جلد سوم کتاب؛ خط: نستعلیق، بی کا، بیتا؛ افتادگی: آغاز و انجام، مجدول؛ کاغذ: اصفهانی حنایی، جلد: مقوایی با تیماج قرمز، ۳۹۲گ، ۱۹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 اندازه: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۵-۱۷۵۷]</w:t>
      </w:r>
    </w:p>
    <w:p>
      <w:pPr>
        <w:pStyle w:val="BookText"/>
      </w:pPr>
      <w:r>
        <w:rPr>
          <w:rFonts w:ascii="IRNazanin" w:hAnsi="IRNazanin" w:eastAsia="IRNazanin" w:cs="IRNazanin"/>
          <w:lang w:bidi="fa-IR"/>
          <w:color w:val="111111"/>
          <w:sz w:val="28"/>
          <w:szCs w:val="28"/>
          <w:rtl/>
        </w:rPr>
        <w:t xml:space="preserve">۵۹. قم؛ مرعشی؛ شماره نسخه:۵۲۸۳</w:t>
      </w:r>
    </w:p>
    <w:p>
      <w:pPr>
        <w:pStyle w:val="BookText"/>
      </w:pPr>
      <w:r>
        <w:rPr>
          <w:rFonts w:ascii="IRNazanin" w:hAnsi="IRNazanin" w:eastAsia="IRNazanin" w:cs="IRNazanin"/>
          <w:lang w:bidi="fa-IR"/>
          <w:color w:val="111111"/>
          <w:sz w:val="28"/>
          <w:szCs w:val="28"/>
          <w:rtl/>
        </w:rPr>
        <w:t xml:space="preserve">آغاز: برابر؛ انجام: برابر قسمت دوم</w:t>
      </w:r>
    </w:p>
    <w:p>
      <w:pPr>
        <w:pStyle w:val="BookText"/>
      </w:pPr>
      <w:r>
        <w:rPr>
          <w:rFonts w:ascii="IRNazanin" w:hAnsi="IRNazanin" w:eastAsia="IRNazanin" w:cs="IRNazanin"/>
          <w:lang w:bidi="fa-IR"/>
          <w:color w:val="111111"/>
          <w:sz w:val="28"/>
          <w:szCs w:val="28"/>
          <w:rtl/>
        </w:rPr>
        <w:t xml:space="preserve">خط: نستعلیق، بی کا، بی تا، تملک: میر عبدالله کشمیری؛ جلد: مقوایی عطف پارچه قرمز، ۳۴۸گ، ۲۵ سطر،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۱۴-۷۰]</w:t>
      </w:r>
    </w:p>
    <w:p>
      <w:pPr>
        <w:pStyle w:val="Heading3"/>
      </w:pPr>
      <w:bookmarkStart w:id="2031" w:name="_Toc1291"/>
      <w:r>
        <w:t>• تاریخ اكتشاف آمریکا / تاریخ / فارسی</w:t>
      </w:r>
      <w:bookmarkEnd w:id="2031"/>
    </w:p>
    <w:p>
      <w:pPr>
        <w:pStyle w:val="BookText"/>
      </w:pPr>
      <w:r>
        <w:rPr>
          <w:rFonts w:ascii="Times New Roman" w:hAnsi="Times New Roman" w:eastAsia="Times New Roman" w:cs="Times New Roman"/>
          <w:lang w:val="en-US" w:bidi="en-US"/>
          <w:color w:val="111111"/>
          <w:sz w:val="28"/>
          <w:szCs w:val="28"/>
          <w:rtl/>
        </w:rPr>
        <w:t xml:space="preserve">tārīx-e ektešāf-e āmrīkā</w:t>
      </w:r>
    </w:p>
    <w:p>
      <w:pPr>
        <w:pStyle w:val="BookText"/>
      </w:pPr>
      <w:r>
        <w:rPr>
          <w:rFonts w:ascii="IRNazanin" w:hAnsi="IRNazanin" w:eastAsia="IRNazanin" w:cs="IRNazanin"/>
          <w:lang w:bidi="fa-IR"/>
          <w:color w:val="111111"/>
          <w:sz w:val="28"/>
          <w:szCs w:val="28"/>
          <w:rtl/>
        </w:rPr>
        <w:t xml:space="preserve">فلك المعالی، محمد حسین، ق۱۴ قمری</w:t>
      </w:r>
    </w:p>
    <w:p>
      <w:pPr>
        <w:pStyle w:val="BookText"/>
      </w:pPr>
      <w:r>
        <w:rPr>
          <w:rFonts w:ascii="Times New Roman" w:hAnsi="Times New Roman" w:eastAsia="Times New Roman" w:cs="Times New Roman"/>
          <w:lang w:val="en-US" w:bidi="en-US"/>
          <w:color w:val="111111"/>
          <w:sz w:val="28"/>
          <w:szCs w:val="28"/>
          <w:rtl/>
        </w:rPr>
        <w:t xml:space="preserve">falak-ol- ma‘ālī, mohammad hoseyn (-20c)</w:t>
      </w:r>
    </w:p>
    <w:p>
      <w:pPr>
        <w:pStyle w:val="BookText"/>
      </w:pPr>
      <w:r>
        <w:rPr>
          <w:rFonts w:ascii="IRNazanin" w:hAnsi="IRNazanin" w:eastAsia="IRNazanin" w:cs="IRNazanin"/>
          <w:lang w:bidi="fa-IR"/>
          <w:color w:val="111111"/>
          <w:sz w:val="28"/>
          <w:szCs w:val="28"/>
          <w:rtl/>
        </w:rPr>
        <w:t xml:space="preserve">به امر: میرزا فتح الله خان بیگلر بیکی (امیر تومان)</w:t>
      </w:r>
    </w:p>
    <w:p>
      <w:pPr>
        <w:pStyle w:val="BookText"/>
      </w:pPr>
      <w:r>
        <w:rPr>
          <w:rFonts w:ascii="IRNazanin" w:hAnsi="IRNazanin" w:eastAsia="IRNazanin" w:cs="IRNazanin"/>
          <w:lang w:bidi="fa-IR"/>
          <w:color w:val="111111"/>
          <w:sz w:val="28"/>
          <w:szCs w:val="28"/>
          <w:rtl/>
        </w:rPr>
        <w:t xml:space="preserve">تاریخ تأليف: ۱۳۱۳؛ محل تأليف: رشت</w:t>
      </w:r>
    </w:p>
    <w:p>
      <w:pPr>
        <w:pStyle w:val="BookText"/>
      </w:pPr>
      <w:r>
        <w:rPr>
          <w:rFonts w:ascii="IRNazanin" w:hAnsi="IRNazanin" w:eastAsia="IRNazanin" w:cs="IRNazanin"/>
          <w:lang w:bidi="fa-IR"/>
          <w:color w:val="111111"/>
          <w:sz w:val="28"/>
          <w:szCs w:val="28"/>
          <w:rtl/>
        </w:rPr>
        <w:t xml:space="preserve">ترجمه از متن عربی پطرس افندى الياس شحاده لبنانی در زمان ناصرالدین شاه قاجار، در یک «مقدمه» و یازده فصل».</w:t>
      </w:r>
    </w:p>
    <w:p>
      <w:pPr>
        <w:pStyle w:val="BookText"/>
      </w:pPr>
      <w:r>
        <w:rPr>
          <w:rFonts w:ascii="IRNazanin" w:hAnsi="IRNazanin" w:eastAsia="IRNazanin" w:cs="IRNazanin"/>
          <w:lang w:bidi="fa-IR"/>
          <w:color w:val="111111"/>
          <w:sz w:val="28"/>
          <w:szCs w:val="28"/>
          <w:rtl/>
        </w:rPr>
        <w:t xml:space="preserve">[دنا ۶۷۵/۲ ؛ استوری ۴۲۸ و ۱۱۶۰]</w:t>
      </w:r>
    </w:p>
    <w:p>
      <w:pPr>
        <w:pStyle w:val="BookText"/>
      </w:pPr>
      <w:r>
        <w:rPr>
          <w:rFonts w:ascii="Amiri" w:hAnsi="Amiri" w:eastAsia="Amiri" w:cs="Amiri"/>
          <w:lang w:bidi="ar-SA"/>
          <w:color w:val="111111"/>
          <w:sz w:val="28"/>
          <w:szCs w:val="28"/>
          <w:rtl/>
        </w:rPr>
        <w:t xml:space="preserve">تهران؛ الهيات؛ شماره نسخه: ۴۲۲</w:t>
      </w:r>
    </w:p>
    <w:p>
      <w:pPr>
        <w:pStyle w:val="BookText"/>
      </w:pPr>
      <w:r>
        <w:rPr>
          <w:rFonts w:ascii="IRNazanin" w:hAnsi="IRNazanin" w:eastAsia="IRNazanin" w:cs="IRNazanin"/>
          <w:lang w:bidi="fa-IR"/>
          <w:color w:val="111111"/>
          <w:sz w:val="28"/>
          <w:szCs w:val="28"/>
          <w:rtl/>
        </w:rPr>
        <w:t xml:space="preserve">آغاز: بسمله. تذکره ستایش بی منتهی و تأدیه نیایش لا تحصى حضرت واجب الوجودی را سزاست که کتابخانه ممکنات؛ انجام: در بدبختی و حرف و خطر و عدم مساعدت اهل زمان با او این است عاقبت کار هر شخص (انتهی)</w:t>
      </w:r>
    </w:p>
    <w:p>
      <w:pPr>
        <w:pStyle w:val="BookText"/>
      </w:pPr>
      <w:r>
        <w:rPr>
          <w:rFonts w:ascii="IRNazanin" w:hAnsi="IRNazanin" w:eastAsia="IRNazanin" w:cs="IRNazanin"/>
          <w:lang w:bidi="fa-IR"/>
          <w:color w:val="111111"/>
          <w:sz w:val="28"/>
          <w:szCs w:val="28"/>
          <w:rtl/>
        </w:rPr>
        <w:t xml:space="preserve">خط: نستعلیق خوش، كا: عیسی بن جواد، تا: جمعه ۷ ربيع الثانی ۱۳۱۳ق، جان رشت؛ کاغذ: فرنگی، جلد: تیماج سبز مقوایی، ۱۱۴گ، ۱۳ سطر (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۱۴/۵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۲۰]</w:t>
      </w:r>
    </w:p>
    <w:p>
      <w:pPr>
        <w:pStyle w:val="Heading3"/>
      </w:pPr>
      <w:bookmarkStart w:id="2032" w:name="_Toc1292"/>
      <w:r>
        <w:t>•تاریخ اکتشافات / جغرافيا / فارسی</w:t>
      </w:r>
      <w:bookmarkEnd w:id="2032"/>
    </w:p>
    <w:p>
      <w:pPr>
        <w:pStyle w:val="BookText"/>
      </w:pPr>
      <w:r>
        <w:rPr>
          <w:rFonts w:ascii="Times New Roman" w:hAnsi="Times New Roman" w:eastAsia="Times New Roman" w:cs="Times New Roman"/>
          <w:lang w:val="en-US" w:bidi="en-US"/>
          <w:color w:val="111111"/>
          <w:sz w:val="28"/>
          <w:szCs w:val="28"/>
          <w:rtl/>
        </w:rPr>
        <w:t xml:space="preserve">tārīx-e ektešāf</w:t>
      </w:r>
    </w:p>
    <w:p>
      <w:pPr>
        <w:pStyle w:val="BookText"/>
      </w:pPr>
      <w:r>
        <w:rPr>
          <w:rFonts w:ascii="IRNazanin" w:hAnsi="IRNazanin" w:eastAsia="IRNazanin" w:cs="IRNazanin"/>
          <w:lang w:bidi="fa-IR"/>
          <w:color w:val="111111"/>
          <w:sz w:val="28"/>
          <w:szCs w:val="28"/>
          <w:rtl/>
        </w:rPr>
        <w:t xml:space="preserve">مشهد؛ رضوی، شماره نسخه:۱۵۹۱۳</w:t>
      </w:r>
    </w:p>
    <w:p>
      <w:pPr>
        <w:pStyle w:val="BookText"/>
      </w:pPr>
      <w:r>
        <w:rPr>
          <w:rFonts w:ascii="IRNazanin" w:hAnsi="IRNazanin" w:eastAsia="IRNazanin" w:cs="IRNazanin"/>
          <w:lang w:bidi="fa-IR"/>
          <w:color w:val="111111"/>
          <w:sz w:val="28"/>
          <w:szCs w:val="28"/>
          <w:rtl/>
        </w:rPr>
        <w:t xml:space="preserve">آغاز: بسمله کره ارض که مادر آن مسكون هستیم؛ انجام: و هو وليهم بما كانوا يعلمون و هو الله لا اله الا هو</w:t>
      </w:r>
    </w:p>
    <w:p>
      <w:pPr>
        <w:pStyle w:val="BookText"/>
      </w:pPr>
      <w:r>
        <w:rPr>
          <w:rFonts w:ascii="IRNazanin" w:hAnsi="IRNazanin" w:eastAsia="IRNazanin" w:cs="IRNazanin"/>
          <w:lang w:bidi="fa-IR"/>
          <w:color w:val="111111"/>
          <w:sz w:val="28"/>
          <w:szCs w:val="28"/>
          <w:rtl/>
        </w:rPr>
        <w:t xml:space="preserve">خط: نستعلیق تحریری، کا: بهاء الدين، تا: ۱۳۴۹ق؛ کاغذ: مشقی، جلد: تیماج، ۲۰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۲۱۸۱۳سم [رایانه]</w:t>
      </w:r>
    </w:p>
    <w:p>
      <w:pPr>
        <w:pStyle w:val="Heading3"/>
      </w:pPr>
      <w:bookmarkStart w:id="2033" w:name="_Toc1293"/>
      <w:r>
        <w:t>• تاریخ اکراد / تاریخ ایران، تاریخ / فارسی</w:t>
      </w:r>
      <w:bookmarkEnd w:id="2033"/>
    </w:p>
    <w:p>
      <w:pPr>
        <w:pStyle w:val="BookText"/>
      </w:pPr>
      <w:r>
        <w:rPr>
          <w:rFonts w:ascii="Times New Roman" w:hAnsi="Times New Roman" w:eastAsia="Times New Roman" w:cs="Times New Roman"/>
          <w:lang w:val="en-US" w:bidi="en-US"/>
          <w:color w:val="111111"/>
          <w:sz w:val="28"/>
          <w:szCs w:val="28"/>
          <w:rtl/>
        </w:rPr>
        <w:t xml:space="preserve">tārīx-e akrād</w:t>
      </w:r>
    </w:p>
    <w:p>
      <w:pPr>
        <w:pStyle w:val="BookText"/>
      </w:pPr>
      <w:r>
        <w:rPr>
          <w:rFonts w:ascii="IRNazanin" w:hAnsi="IRNazanin" w:eastAsia="IRNazanin" w:cs="IRNazanin"/>
          <w:lang w:bidi="fa-IR"/>
          <w:color w:val="111111"/>
          <w:sz w:val="28"/>
          <w:szCs w:val="28"/>
          <w:rtl/>
        </w:rPr>
        <w:t xml:space="preserve">تاریخ تأليف: غره ربيع الأول ۱۲۹۹ق؛ محل تالیف: تبریز</w:t>
      </w:r>
    </w:p>
    <w:p>
      <w:pPr>
        <w:pStyle w:val="BookText"/>
      </w:pPr>
      <w:r>
        <w:rPr>
          <w:rFonts w:ascii="IRNazanin" w:hAnsi="IRNazanin" w:eastAsia="IRNazanin" w:cs="IRNazanin"/>
          <w:lang w:bidi="fa-IR"/>
          <w:color w:val="111111"/>
          <w:sz w:val="28"/>
          <w:szCs w:val="28"/>
          <w:rtl/>
        </w:rPr>
        <w:t xml:space="preserve">از: نظیری؛ تاریخ مختصری از شورش شیخ عبیدالله کرد و جنگ دو ساله او با اهالی ارومیه و بناب و اطراف زنجان و ساوجبلاغ و میان دو آب اطراف مراغه، می باشد که مؤلف از جمله محصورین در این جنگ بوده و نظیری تخلص دارد (عهد كل را از نظیری بشنوید).</w:t>
      </w:r>
    </w:p>
    <w:p>
      <w:pPr>
        <w:pStyle w:val="BookText"/>
      </w:pPr>
      <w:r>
        <w:rPr>
          <w:rFonts w:ascii="IRNazanin" w:hAnsi="IRNazanin" w:eastAsia="IRNazanin" w:cs="IRNazanin"/>
          <w:lang w:bidi="fa-IR"/>
          <w:color w:val="111111"/>
          <w:sz w:val="28"/>
          <w:szCs w:val="28"/>
          <w:rtl/>
        </w:rPr>
        <w:t xml:space="preserve">قم؛ مرعشی؛ شماره نسخه:۹۷۷۷</w:t>
      </w:r>
    </w:p>
    <w:p>
      <w:pPr>
        <w:pStyle w:val="BookText"/>
      </w:pPr>
      <w:r>
        <w:rPr>
          <w:rFonts w:ascii="IRNazanin" w:hAnsi="IRNazanin" w:eastAsia="IRNazanin" w:cs="IRNazanin"/>
          <w:lang w:bidi="fa-IR"/>
          <w:color w:val="111111"/>
          <w:sz w:val="28"/>
          <w:szCs w:val="28"/>
          <w:rtl/>
        </w:rPr>
        <w:t xml:space="preserve">آغاز: حمد و ثنا خداوندی را سزاوار است که آفرینش كل ممکنات در ید قدرت اوست و شکر بیحد از قیاس خالقی را سزاوار است؛ انجام: و این تاریخ اکراد را بنده درگاه علی در دارالسلطنه تبریز</w:t>
      </w:r>
    </w:p>
    <w:p>
      <w:pPr>
        <w:pStyle w:val="BookText"/>
      </w:pPr>
      <w:r>
        <w:rPr>
          <w:rFonts w:ascii="IRNazanin" w:hAnsi="IRNazanin" w:eastAsia="IRNazanin" w:cs="IRNazanin"/>
          <w:lang w:bidi="fa-IR"/>
          <w:color w:val="111111"/>
          <w:sz w:val="28"/>
          <w:szCs w:val="28"/>
          <w:rtl/>
        </w:rPr>
        <w:t xml:space="preserve">از: نظیری؛ خط: نستعلیق، کاتب = مؤلف، بی تا، جلد: تیماج قهوه ای، ۷۵گ، ۱۰ سطر، اندازه: ۱۶/۵</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[ف: ۲۵-۱۱۵]</w:t>
      </w:r>
    </w:p>
    <w:p>
      <w:pPr>
        <w:pStyle w:val="BookText"/>
      </w:pPr>
      <w:r>
        <w:rPr>
          <w:rFonts w:ascii="IRNazanin" w:hAnsi="IRNazanin" w:eastAsia="IRNazanin" w:cs="IRNazanin"/>
          <w:lang w:bidi="fa-IR"/>
          <w:color w:val="111111"/>
          <w:sz w:val="28"/>
          <w:szCs w:val="28"/>
          <w:rtl/>
        </w:rPr>
        <w:t xml:space="preserve">←تاریخ اکراد اردلان و بابان ← سير الاكراد</w:t>
      </w:r>
    </w:p>
    <w:p>
      <w:pPr>
        <w:pStyle w:val="BookText"/>
      </w:pPr>
      <w:r>
        <w:rPr>
          <w:rFonts w:ascii="IRNazanin" w:hAnsi="IRNazanin" w:eastAsia="IRNazanin" w:cs="IRNazanin"/>
          <w:lang w:bidi="fa-IR"/>
          <w:color w:val="111111"/>
          <w:sz w:val="28"/>
          <w:szCs w:val="28"/>
          <w:rtl/>
        </w:rPr>
        <w:t xml:space="preserve">← تاریخ الاكراد ← شرفنامه</w:t>
      </w:r>
    </w:p>
    <w:p>
      <w:pPr>
        <w:pStyle w:val="Heading3"/>
      </w:pPr>
      <w:bookmarkStart w:id="2034" w:name="_Toc1294"/>
      <w:r>
        <w:t>•تاريخ الفي = تاریخ اکبری / تاریخ جهان / فارسی</w:t>
      </w:r>
      <w:bookmarkEnd w:id="2034"/>
    </w:p>
    <w:p>
      <w:pPr>
        <w:pStyle w:val="BookText"/>
      </w:pPr>
      <w:r>
        <w:rPr>
          <w:rFonts w:ascii="Times New Roman" w:hAnsi="Times New Roman" w:eastAsia="Times New Roman" w:cs="Times New Roman"/>
          <w:lang w:val="en-US" w:bidi="en-US"/>
          <w:color w:val="111111"/>
          <w:sz w:val="28"/>
          <w:szCs w:val="28"/>
          <w:rtl/>
        </w:rPr>
        <w:t xml:space="preserve">tārīx-e alfī = tārīx-e akbarī</w:t>
      </w:r>
    </w:p>
    <w:p>
      <w:pPr>
        <w:pStyle w:val="BookText"/>
      </w:pPr>
      <w:r>
        <w:rPr>
          <w:rFonts w:ascii="IRNazanin" w:hAnsi="IRNazanin" w:eastAsia="IRNazanin" w:cs="IRNazanin"/>
          <w:lang w:bidi="fa-IR"/>
          <w:color w:val="111111"/>
          <w:sz w:val="28"/>
          <w:szCs w:val="28"/>
          <w:rtl/>
        </w:rPr>
        <w:t xml:space="preserve">تتوی، احمد بن نصر الله، ۹۹۶؟ قمری</w:t>
      </w:r>
    </w:p>
    <w:p>
      <w:pPr>
        <w:pStyle w:val="BookText"/>
      </w:pPr>
      <w:r>
        <w:rPr>
          <w:rFonts w:ascii="Times New Roman" w:hAnsi="Times New Roman" w:eastAsia="Times New Roman" w:cs="Times New Roman"/>
          <w:lang w:val="en-US" w:bidi="en-US"/>
          <w:color w:val="111111"/>
          <w:sz w:val="28"/>
          <w:szCs w:val="28"/>
          <w:rtl/>
        </w:rPr>
        <w:t xml:space="preserve">tatavī, ahmad ebn-e nasr-ol-lāh (-1588)</w:t>
      </w:r>
    </w:p>
    <w:p>
      <w:pPr>
        <w:pStyle w:val="BookText"/>
      </w:pPr>
      <w:r>
        <w:rPr>
          <w:rFonts w:ascii="IRNazanin" w:hAnsi="IRNazanin" w:eastAsia="IRNazanin" w:cs="IRNazanin"/>
          <w:lang w:bidi="fa-IR"/>
          <w:color w:val="111111"/>
          <w:sz w:val="28"/>
          <w:szCs w:val="28"/>
          <w:rtl/>
        </w:rPr>
        <w:t xml:space="preserve">تاریخ تأليف: از ۹۹۳ق</w:t>
      </w:r>
    </w:p>
    <w:p>
      <w:pPr>
        <w:pStyle w:val="BookText"/>
      </w:pPr>
      <w:r>
        <w:rPr>
          <w:rFonts w:ascii="IRNazanin" w:hAnsi="IRNazanin" w:eastAsia="IRNazanin" w:cs="IRNazanin"/>
          <w:lang w:bidi="fa-IR"/>
          <w:color w:val="111111"/>
          <w:sz w:val="28"/>
          <w:szCs w:val="28"/>
          <w:rtl/>
        </w:rPr>
        <w:t xml:space="preserve">کار گروهی از دانشمندان روزگار اکبرشاه. اكبر شاه (۹۶۳ ۱۰۱۴ ق) در سال ۹۹۳ق به گروهی دستور می دهد که تاریخ عمومی از اسلام تا سال ۱۰۰۰ق را بنگارند. نقیب خان، میرغیاث علی فرزند عبداللطيف قزوینی (-۱۰۲۳ق) و قاضی احمد تتوي کشته در لاهور به سال ۹۹۶ق /۱۵۸۸م) و میر شاه فتح الله شیرازی (-۹۹۷ق/۱۵۸۹م)، تاریخ دو ساله نخستین پس از مرگ پیامبر را نوشتند. حکیم همام فرزند عبدالرزاق گیلانی ( ۱۰۰۴ق/۱۵۹۶م) و حاجی ابراهیم سرهندی (-۹۹۴ق/۱۵۸۶م) و خواجه میرزا نظام الدین احمد نگارنده «طبقات اکبر شاهی» و عبدالقادر بدوانی و جز آنان تاریخ ۳ تا ۳۵ پس از مرگ پیامبر را نگاشتند. قاضی زاده احمد تتوی (۹۹۶ق) از سال ۳۶ تا غازان خان را در دو جلد به تنهایی نگاشت و از غازان خان تا سال ۹۹۷ق را آصف خان میرزا قوام الدین جعفر بیگ قزوینی (۱۰۲۱ق/۱۶۱۲م) نگاشت. (احمد منزوی)</w:t>
      </w:r>
    </w:p>
    <w:p>
      <w:pPr>
        <w:pStyle w:val="BookText"/>
      </w:pPr>
      <w:r>
        <w:rPr>
          <w:rFonts w:ascii="IRNazanin" w:hAnsi="IRNazanin" w:eastAsia="IRNazanin" w:cs="IRNazanin"/>
          <w:lang w:bidi="fa-IR"/>
          <w:color w:val="111111"/>
          <w:sz w:val="28"/>
          <w:szCs w:val="28"/>
          <w:rtl/>
        </w:rPr>
        <w:t xml:space="preserve">ثبت نسخه ها به نام احمد تتوی از باب کثرت نقش او نسبت به دیگران است.</w:t>
      </w:r>
    </w:p>
    <w:p>
      <w:pPr>
        <w:pStyle w:val="BookText"/>
      </w:pPr>
      <w:r>
        <w:rPr>
          <w:rFonts w:ascii="IRNazanin" w:hAnsi="IRNazanin" w:eastAsia="IRNazanin" w:cs="IRNazanin"/>
          <w:lang w:bidi="fa-IR"/>
          <w:color w:val="111111"/>
          <w:sz w:val="28"/>
          <w:szCs w:val="28"/>
          <w:rtl/>
        </w:rPr>
        <w:t xml:space="preserve">آغاز: ۱. بسمله. تمامترین نعمتهای یزدانی و بهترین عنایتهای سبحانی مر بندگانرا نهادن زمام اختیار ایشان را در قبضه اقتدار پادشاهی عادل عاقل با انصاف است ... حکم کرده شد که رؤس مسائل عقلی مذاهب و ملل مختلفه را ارباب لغات بزبان یکدیگر ترجمه کنند و گلستان مسائل نقلی را ... از خار دست نشان متعصبان پاک سازند . بعد از جمع ما يحتاج فن تاریخ از کتب معتبره ... بفضیلت دستگاه مرحوم حکیم احمد حكم شده که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تاریخی از ابتداء رحلت ... مشتمل بر تحقیق احوال جميع اطراف و اکناف عالم لغایت حال در قلم آورده بموجب فرمان در عرض سه سال تاریخی مبسوط لغایت احوال غازان خان نوشته بود و بحسب تقدير حکیم مذکور بر دست یکی از امر ازادگان ایل و الوس در شب پانزدهم صفر ۹۹۶ هجری زخم خورده قاتل خود را شناخت کشنده خود را کشته دید جان فدای عدالت عادل حقیقی کرده در گذشت و بنده درگاه از خاک برداشته این درگاه باین خدمت مأمور شد و توفيق اتمام از ملک علام میکنند انشا الله اثر اجابت بزودی ظاهر شود. ۲. بسمله، آغاز کتاب در بیان اموریکه واقع شد در سال اول رحلت خاتم النبین (صلی الله علیه وآله وسلم) نقل است که چون حضرت خاتم النبین رحلت فرمودند اهل بیت آغاز گریه و زاری کردند و مردمی که در مسجد بودند چون او از اهل بیت شنیدند اضطراب و افغان در میان ایشان افتاد و سراسیمه و حیران شدند و گویا اجسادی بودند بی ارواح و عقول ایشان بر طرف شده بود و بعضی از سخن گفتن باز ماندند مثل عثمان عفان و بعضی بفساد گرفتار شدند انجام: وقایع سال نهصد و هشتاد و چهارم از هجرت پیغمبر صلی الله عليه و اله موافق سال بیست و دوم الهى آنچه در ایران در این سال سانح شده اینست که در اوائل صفر این سال شاه طهماسب پهلو بر بستر ناتوانی نهاد و در ایام بی حضوری هم چنان به سرانجام امور ملک و مال مشغول مینمود و چون بواسطه مرور شهور و سنین در عيار زر رایج ایران نقصان پیدا شده بود در این ایام اکثر اکابر و اعیان ممالک ایران را به مجلس حاضر میساخت و در باب زرهای تا تمام عیار و شکستن بنوعی که به تجار و ... نقصانی عاید نشود مشورت میکرد ... سید عبدالله خان بخان جهان فرستادند که سبب خوشحالی و تحرک او بر جنگ گردد و در وقت رخصت سید عبدالله خان بر زبان الهام بیان گذشت که خبر فتح ولایت بنگاله باینجا خواهی آورد و همچنان شد و بعد از رفتن سید عبدالله خان دیگر باره خبر رسید که چون مظفر خان عازم بنگاله شد ... نوازش بسیار یافت و فرحت خان و فرهنگ خان پسرش و قراطاق خان که جا گیر داران حدود بودند با کجر جنگ بی صرفه کرده کشته شدند و در آن صوبه فتنه بلند شد ...</w:t>
      </w:r>
    </w:p>
    <w:p>
      <w:pPr>
        <w:pStyle w:val="BookText"/>
      </w:pPr>
      <w:r>
        <w:rPr>
          <w:rFonts w:ascii="IRNazanin" w:hAnsi="IRNazanin" w:eastAsia="IRNazanin" w:cs="IRNazanin"/>
          <w:lang w:bidi="fa-IR"/>
          <w:color w:val="111111"/>
          <w:sz w:val="28"/>
          <w:szCs w:val="28"/>
          <w:rtl/>
        </w:rPr>
        <w:t xml:space="preserve">[ تاریخ نظم و نثر در ایران و در زبان فارسی تا پایان قرن دهم هجری از سعید نفیسی، ص ۳۵۶-۳۵۷؛ الذريعة ۲۸۸/۱ ؛ دنا ۶۷۵/۲ (۳۳ نسخه)؛ نسخه های منزوی ۴۱۰۰/۶ -۴۱۰۲ (3۷ نسخه)؛ مشترک پاکستان ۱۱۵/۱۰ (۲ نسخه دیگر)؛ فهرستواره منزوی ۵۷۱/۱</w:t>
      </w:r>
    </w:p>
    <w:p>
      <w:pPr>
        <w:pStyle w:val="BookText"/>
      </w:pPr>
      <w:r>
        <w:rPr>
          <w:rFonts w:ascii="Amiri" w:hAnsi="Amiri" w:eastAsia="Amiri" w:cs="Amiri"/>
          <w:lang w:bidi="ar-SA"/>
          <w:color w:val="111111"/>
          <w:sz w:val="28"/>
          <w:szCs w:val="28"/>
          <w:rtl/>
        </w:rPr>
        <w:t xml:space="preserve">«تاريخ الفي» ]</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احسن القصص؛ تتوی، احمد بن نصرالله (-۹۹۶)</w:t>
      </w:r>
    </w:p>
    <w:p>
      <w:pPr>
        <w:pStyle w:val="BookText"/>
      </w:pPr>
      <w:r>
        <w:rPr>
          <w:rFonts w:ascii="IRNazanin" w:hAnsi="IRNazanin" w:eastAsia="IRNazanin" w:cs="IRNazanin"/>
          <w:lang w:bidi="fa-IR"/>
          <w:color w:val="111111"/>
          <w:sz w:val="28"/>
          <w:szCs w:val="28"/>
          <w:rtl/>
        </w:rPr>
        <w:t xml:space="preserve">۲- احسن القصص و دافع الغصص = حشمت شاهی؛ شریف حائری،</w:t>
      </w:r>
    </w:p>
    <w:p>
      <w:pPr>
        <w:pStyle w:val="BookText"/>
      </w:pPr>
      <w:r>
        <w:rPr>
          <w:rFonts w:ascii="IRNazanin" w:hAnsi="IRNazanin" w:eastAsia="IRNazanin" w:cs="IRNazanin"/>
          <w:lang w:bidi="fa-IR"/>
          <w:color w:val="111111"/>
          <w:sz w:val="28"/>
          <w:szCs w:val="28"/>
          <w:rtl/>
        </w:rPr>
        <w:t xml:space="preserve">احمد بن ابوالفتح (۱۳)</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تهران؛ مجلس؛ شماره نسخه:۳۵۶ - فيروز</w:t>
      </w:r>
    </w:p>
    <w:p>
      <w:pPr>
        <w:pStyle w:val="BookText"/>
      </w:pPr>
      <w:r>
        <w:rPr>
          <w:rFonts w:ascii="IRNazanin" w:hAnsi="IRNazanin" w:eastAsia="IRNazanin" w:cs="IRNazanin"/>
          <w:lang w:bidi="fa-IR"/>
          <w:color w:val="111111"/>
          <w:sz w:val="28"/>
          <w:szCs w:val="28"/>
          <w:rtl/>
        </w:rPr>
        <w:t xml:space="preserve">جلد اول است، از حوادث روز دهم جنگ صفین تا سال ۵۸۸ از رحلت پیغمبر(صلی الله علیه وآله وسلم)؛ خط: نستعلیق، بی کا، تا: قرن ۱۱؛ افتادگی: آغاز و انجام کاغذ: فرنگی نازک، جلد: تیماج زرد، ۱۲۹۴ص، ۳۰ سطر، قطع: رحلی، اندازه: ۳۶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۲۱-۲۳</w:t>
      </w:r>
    </w:p>
    <w:p>
      <w:pPr>
        <w:pStyle w:val="BookText"/>
      </w:pPr>
      <w:r>
        <w:rPr>
          <w:rFonts w:ascii="IRNazanin" w:hAnsi="IRNazanin" w:eastAsia="IRNazanin" w:cs="IRNazanin"/>
          <w:lang w:bidi="fa-IR"/>
          <w:color w:val="111111"/>
          <w:sz w:val="28"/>
          <w:szCs w:val="28"/>
          <w:rtl/>
        </w:rPr>
        <w:t xml:space="preserve">۲. تهران؛ مجلس؛ شماره نسخه:۹۴۴۵</w:t>
      </w:r>
    </w:p>
    <w:p>
      <w:pPr>
        <w:pStyle w:val="BookText"/>
      </w:pPr>
      <w:r>
        <w:rPr>
          <w:rFonts w:ascii="IRNazanin" w:hAnsi="IRNazanin" w:eastAsia="IRNazanin" w:cs="IRNazanin"/>
          <w:lang w:bidi="fa-IR"/>
          <w:color w:val="111111"/>
          <w:sz w:val="28"/>
          <w:szCs w:val="28"/>
          <w:rtl/>
        </w:rPr>
        <w:t xml:space="preserve">آغاز: بسمله. وقایع سال ششصد و يكم از رحلت حضرت خیر البشر صلوات الله عليه و آله در اوایل این سال چنگیز خان ساجوقه بهادرا با یکتومان لشکر مفعول؛ انجام: از پشت اسب برداشته پیش زین خرد بنشانید</w:t>
      </w:r>
    </w:p>
    <w:p>
      <w:pPr>
        <w:pStyle w:val="BookText"/>
      </w:pPr>
      <w:r>
        <w:rPr>
          <w:rFonts w:ascii="IRNazanin" w:hAnsi="IRNazanin" w:eastAsia="IRNazanin" w:cs="IRNazanin"/>
          <w:lang w:bidi="fa-IR"/>
          <w:color w:val="111111"/>
          <w:sz w:val="28"/>
          <w:szCs w:val="28"/>
          <w:rtl/>
        </w:rPr>
        <w:t xml:space="preserve">از وقایع سال ششصد و يكم از رحلت پیامبر(صلی الله علیه وآله وسلم) تا وقایع سال ششصد و نود و نهم از رحلت پیامبر؛ خط: نستعلیق شکسته، بی کا، تا: قرن ۱۱؛ مجدول، کمند کشی شده، دارای سرلوح مذهب، رکابه دار؛ جلد: مقوا با رویه مشمع مشکی عطف تیماج مشکی، ۲۶۳، ۱۷ سطر،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 مختصر ف: ۳۰-۱۳۳]</w:t>
      </w:r>
    </w:p>
    <w:p>
      <w:pPr>
        <w:pStyle w:val="BookText"/>
      </w:pPr>
      <w:r>
        <w:rPr>
          <w:rFonts w:ascii="IRNazanin" w:hAnsi="IRNazanin" w:eastAsia="IRNazanin" w:cs="IRNazanin"/>
          <w:lang w:bidi="fa-IR"/>
          <w:color w:val="111111"/>
          <w:sz w:val="28"/>
          <w:szCs w:val="28"/>
          <w:rtl/>
        </w:rPr>
        <w:t xml:space="preserve">٣. تهران، دانشگاه؛ شماره نسخه:۵۸۵۴</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هندی، بی کا، تا: قرن ۱۱ و ۱۲؛ در چهار جلد: ۱) ۵۳۹گ، از ۵۷۳ تا ۹۸۴، آغاز افتاده، ۲) ۲۷۷گ، از ۲۸۸ تا ۵۵۰، ۳) ۴۵۰ گ، از ۱ تا ۲۸۷، ۴) ۵۳۵، از ۱ تا ۵۷۱؛ جلد ۱ و ۲ گالینگور مشکی زرکوب، جلد ۳ و ۴ تیماج سرخ ضربی ترنجی، قطع: رحلي [ف: ۱۶-۱۰۷]</w:t>
      </w:r>
    </w:p>
    <w:p>
      <w:pPr>
        <w:pStyle w:val="BookText"/>
      </w:pPr>
      <w:r>
        <w:rPr>
          <w:rFonts w:ascii="IRNazanin" w:hAnsi="IRNazanin" w:eastAsia="IRNazanin" w:cs="IRNazanin"/>
          <w:lang w:bidi="fa-IR"/>
          <w:color w:val="111111"/>
          <w:sz w:val="28"/>
          <w:szCs w:val="28"/>
          <w:rtl/>
        </w:rPr>
        <w:t xml:space="preserve">تهران؛ دائرة المعارف؛ شماره نسخه:۷-عکسی</w:t>
      </w:r>
    </w:p>
    <w:p>
      <w:pPr>
        <w:pStyle w:val="BookText"/>
      </w:pPr>
      <w:r>
        <w:rPr>
          <w:rFonts w:ascii="IRNazanin" w:hAnsi="IRNazanin" w:eastAsia="IRNazanin" w:cs="IRNazanin"/>
          <w:lang w:bidi="fa-IR"/>
          <w:color w:val="111111"/>
          <w:sz w:val="28"/>
          <w:szCs w:val="28"/>
          <w:rtl/>
        </w:rPr>
        <w:t xml:space="preserve">نسخه اصل: همان نسخه بالا [عکسی ف: ۲-۵۱]</w:t>
      </w:r>
    </w:p>
    <w:p>
      <w:pPr>
        <w:pStyle w:val="BookText"/>
      </w:pPr>
      <w:r>
        <w:rPr>
          <w:rFonts w:ascii="IRNazanin" w:hAnsi="IRNazanin" w:eastAsia="IRNazanin" w:cs="IRNazanin"/>
          <w:lang w:bidi="fa-IR"/>
          <w:color w:val="111111"/>
          <w:sz w:val="28"/>
          <w:szCs w:val="28"/>
          <w:rtl/>
        </w:rPr>
        <w:t xml:space="preserve">۴. تهران؛ مجلس؛ شماره نسخه:۸۹۶۷</w:t>
      </w:r>
    </w:p>
    <w:p>
      <w:pPr>
        <w:pStyle w:val="BookText"/>
      </w:pPr>
      <w:r>
        <w:rPr>
          <w:rFonts w:ascii="IRNazanin" w:hAnsi="IRNazanin" w:eastAsia="IRNazanin" w:cs="IRNazanin"/>
          <w:lang w:bidi="fa-IR"/>
          <w:color w:val="111111"/>
          <w:sz w:val="28"/>
          <w:szCs w:val="28"/>
          <w:rtl/>
        </w:rPr>
        <w:t xml:space="preserve">آغاز: برابر ۲؛ انجام: برابر</w:t>
      </w:r>
    </w:p>
    <w:p>
      <w:pPr>
        <w:pStyle w:val="BookText"/>
      </w:pPr>
      <w:r>
        <w:rPr>
          <w:rFonts w:ascii="IRNazanin" w:hAnsi="IRNazanin" w:eastAsia="IRNazanin" w:cs="IRNazanin"/>
          <w:lang w:bidi="fa-IR"/>
          <w:color w:val="111111"/>
          <w:sz w:val="28"/>
          <w:szCs w:val="28"/>
          <w:rtl/>
        </w:rPr>
        <w:t xml:space="preserve">خط: نستعلیق، بی کا، تا: قرن ۱۲؛ ركابه دار، با این یادداشت ها: یادداشت معرفی مؤلفان کتاب بدین صورت: «یا هو، مولانا احمد قاضی زاده تتوی تاريخ الفی را که ابتدای او رحلت حضرت رسول است تا سنه ۶۸۴ نوشت و به دست یکی از امر ازادگان مقتول گردید و بعد از قتل او اكبر شاه هندی اتمام این تاریخ را در عهده اهتمام آصف خان هندی که از ملازمان شاه مذکور بود گذاشت و او تا سنه ۹۸۷ نوشت»، یادداشتی از عزالدوله عبدالصمد خان در ۴ شعبان ۱۳۴۵ ق که نوشته: «بسیار خوب تاریخی است»، یادداشت دیگری از او در شعبان ۱۳۰۷ ق در طهران؛ مهر: «طرازنده بارگاه قضا» (مستطیل بزرگ)، مهر برج شاهی محمدرضا که در سال ۱۲۴۶ ضبط کتابخانه مبارکه گردید؛ خریداری از احتشام نصیری؛ کاغذ: فرنگی نخودی آهار مهره، جلد: تیماج قهوه ای ضربی با ترنج و سرترنج، ۴۸۶ گ، ۵۰ سطر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 اندازه: ۴۲/۳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۲۹/۱ -۴۹۳]</w:t>
      </w:r>
    </w:p>
    <w:p>
      <w:pPr>
        <w:pStyle w:val="BookText"/>
      </w:pPr>
      <w:r>
        <w:rPr>
          <w:rFonts w:ascii="IRNazanin" w:hAnsi="IRNazanin" w:eastAsia="IRNazanin" w:cs="IRNazanin"/>
          <w:lang w:bidi="fa-IR"/>
          <w:color w:val="111111"/>
          <w:sz w:val="28"/>
          <w:szCs w:val="28"/>
          <w:rtl/>
        </w:rPr>
        <w:t xml:space="preserve">۵. تهران، دانشگاه؛ شماره نسخه: ۴۷۰۲</w:t>
      </w:r>
    </w:p>
    <w:p>
      <w:pPr>
        <w:pStyle w:val="BookText"/>
      </w:pPr>
      <w:r>
        <w:rPr>
          <w:rFonts w:ascii="IRNazanin" w:hAnsi="IRNazanin" w:eastAsia="IRNazanin" w:cs="IRNazanin"/>
          <w:lang w:bidi="fa-IR"/>
          <w:color w:val="111111"/>
          <w:sz w:val="28"/>
          <w:szCs w:val="28"/>
          <w:rtl/>
        </w:rPr>
        <w:t xml:space="preserve">آغاز: نسخه ایست از کلمات اکابر دین و بعضی از ملوک و سلاطین که از تواريخ الفيه اکبری نوشته شده. بسمله در سنه سی و نه از رحلت جناب رسول ... که حضرت امام حسن ... بدرجه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رفيعه شهادت رسیدند و وجه شهادت آن جناب را چنین تصریح نموده اند، انجام: صد و سی نهم از رحلت سید بشر در این سال</w:t>
      </w:r>
    </w:p>
    <w:p>
      <w:pPr>
        <w:pStyle w:val="BookText"/>
      </w:pPr>
      <w:r>
        <w:rPr>
          <w:rFonts w:ascii="IRNazanin" w:hAnsi="IRNazanin" w:eastAsia="IRNazanin" w:cs="IRNazanin"/>
          <w:lang w:bidi="fa-IR"/>
          <w:color w:val="111111"/>
          <w:sz w:val="28"/>
          <w:szCs w:val="28"/>
          <w:rtl/>
        </w:rPr>
        <w:t xml:space="preserve">عباس بن محمد ... بعد از فوت ابو عمر عیسی آن بخشی را. حوادث سال های ۳۹ و ۱۳۵ است؛ خط: نستعلیق، بی کا، تا: قرن ۱۲؛ افتادگی: انجام</w:t>
      </w:r>
    </w:p>
    <w:p>
      <w:pPr>
        <w:pStyle w:val="BookText"/>
      </w:pPr>
      <w:r>
        <w:rPr>
          <w:rFonts w:ascii="IRNazanin" w:hAnsi="IRNazanin" w:eastAsia="IRNazanin" w:cs="IRNazanin"/>
          <w:lang w:bidi="fa-IR"/>
          <w:color w:val="111111"/>
          <w:sz w:val="28"/>
          <w:szCs w:val="28"/>
          <w:rtl/>
        </w:rPr>
        <w:t xml:space="preserve">کاغذ: فرنگی، جلد: تیماج سرخ گرد و عطف قهوه ای، ۴۲۵گ، ۱۷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۳۶۴۷-۱۴]</w:t>
      </w:r>
    </w:p>
    <w:p>
      <w:pPr>
        <w:pStyle w:val="BookText"/>
      </w:pPr>
      <w:r>
        <w:rPr>
          <w:rFonts w:ascii="IRNazanin" w:hAnsi="IRNazanin" w:eastAsia="IRNazanin" w:cs="IRNazanin"/>
          <w:lang w:bidi="fa-IR"/>
          <w:color w:val="111111"/>
          <w:sz w:val="28"/>
          <w:szCs w:val="28"/>
          <w:rtl/>
        </w:rPr>
        <w:t xml:space="preserve">۶. قم؛ مرعشی؛ شماره نسخه: ۸۲۲۰</w:t>
      </w:r>
    </w:p>
    <w:p>
      <w:pPr>
        <w:pStyle w:val="BookText"/>
      </w:pPr>
      <w:r>
        <w:rPr>
          <w:rFonts w:ascii="IRNazanin" w:hAnsi="IRNazanin" w:eastAsia="IRNazanin" w:cs="IRNazanin"/>
          <w:lang w:bidi="fa-IR"/>
          <w:color w:val="111111"/>
          <w:sz w:val="28"/>
          <w:szCs w:val="28"/>
          <w:rtl/>
        </w:rPr>
        <w:t xml:space="preserve">جلد سوم، از سال ۷۰۱ تا ۹۹۴؛ خط: نسخ، بی کا، تا: قرن ۱۲؛ جلد: تیماج مشکی، ۴۷۹گ، ۲۱ سطر،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۲۱-۱۸۶]</w:t>
      </w:r>
    </w:p>
    <w:p>
      <w:pPr>
        <w:pStyle w:val="BookText"/>
      </w:pPr>
      <w:r>
        <w:rPr>
          <w:rFonts w:ascii="IRNazanin" w:hAnsi="IRNazanin" w:eastAsia="IRNazanin" w:cs="IRNazanin"/>
          <w:lang w:bidi="fa-IR"/>
          <w:color w:val="111111"/>
          <w:sz w:val="28"/>
          <w:szCs w:val="28"/>
          <w:rtl/>
        </w:rPr>
        <w:t xml:space="preserve">۷. قم؛ مرعشی؛ شماره نسخه: ۸۲۲۱</w:t>
      </w:r>
    </w:p>
    <w:p>
      <w:pPr>
        <w:pStyle w:val="BookText"/>
      </w:pPr>
      <w:r>
        <w:rPr>
          <w:rFonts w:ascii="IRNazanin" w:hAnsi="IRNazanin" w:eastAsia="IRNazanin" w:cs="IRNazanin"/>
          <w:lang w:bidi="fa-IR"/>
          <w:color w:val="111111"/>
          <w:sz w:val="28"/>
          <w:szCs w:val="28"/>
          <w:rtl/>
        </w:rPr>
        <w:t xml:space="preserve">جلد دوم، سال های ۴۰۱ تا ۷۰۰؛ خط: نسخ، بی کا، تا: قرن ۱۲؛ جلد: تیماج مشکی، ۳۴۳گ، ۲۱ سطر، اندازه: ۳۳۷۲۱سم [ف: ۱۸۷-۲۱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الهیات؛ شماره نسخه: ۵/۱</w:t>
      </w:r>
    </w:p>
    <w:p>
      <w:pPr>
        <w:pStyle w:val="BookText"/>
      </w:pPr>
      <w:r>
        <w:rPr>
          <w:rFonts w:ascii="IRNazanin" w:hAnsi="IRNazanin" w:eastAsia="IRNazanin" w:cs="IRNazanin"/>
          <w:lang w:bidi="fa-IR"/>
          <w:color w:val="111111"/>
          <w:sz w:val="28"/>
          <w:szCs w:val="28"/>
          <w:rtl/>
        </w:rPr>
        <w:t xml:space="preserve">از رحلت تا ۵۵ هجری؛ خط: نستعلیق، بی کا، تا: قرن ۱۲ با سرلوح با گل و بوته زرین؛ کاغذ: هندی، جلد: تیماج کبود ضربی مقوایی، ۵۴۳گ، ۳۰ سطر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۲۵/۵ )، اندازه:</w:t>
      </w:r>
    </w:p>
    <w:p>
      <w:pPr>
        <w:pStyle w:val="BookText"/>
      </w:pPr>
      <w:r>
        <w:rPr>
          <w:rFonts w:ascii="IRNazanin" w:hAnsi="IRNazanin" w:eastAsia="IRNazanin" w:cs="IRNazanin"/>
          <w:lang w:bidi="fa-IR"/>
          <w:color w:val="111111"/>
          <w:sz w:val="28"/>
          <w:szCs w:val="28"/>
          <w:rtl/>
        </w:rPr>
        <w:t xml:space="preserve">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۲۰]</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الهیات؛ شماره نسخه: ۵/۲</w:t>
      </w:r>
    </w:p>
    <w:p>
      <w:pPr>
        <w:pStyle w:val="BookText"/>
      </w:pPr>
      <w:r>
        <w:rPr>
          <w:rFonts w:ascii="IRNazanin" w:hAnsi="IRNazanin" w:eastAsia="IRNazanin" w:cs="IRNazanin"/>
          <w:lang w:bidi="fa-IR"/>
          <w:color w:val="111111"/>
          <w:sz w:val="28"/>
          <w:szCs w:val="28"/>
          <w:rtl/>
        </w:rPr>
        <w:t xml:space="preserve">سال ۵۵۲ تا ۹۸۴ق؛ خط: نستعلیق، بی کا، تا: قرن ۱۲؛ کاغذ: اصفهانی، جلد: تیماج</w:t>
      </w:r>
    </w:p>
    <w:p>
      <w:pPr>
        <w:pStyle w:val="BookText"/>
      </w:pPr>
      <w:r>
        <w:rPr>
          <w:rFonts w:ascii="IRNazanin" w:hAnsi="IRNazanin" w:eastAsia="IRNazanin" w:cs="IRNazanin"/>
          <w:lang w:bidi="fa-IR"/>
          <w:color w:val="111111"/>
          <w:sz w:val="28"/>
          <w:szCs w:val="28"/>
          <w:rtl/>
        </w:rPr>
        <w:t xml:space="preserve">کبود ضربی، ۵۲۷ گ، ۳۰ سطر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۲۵/۵)،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۳۵/۵ سم [ف: ۲۰]</w:t>
      </w:r>
    </w:p>
    <w:p>
      <w:pPr>
        <w:pStyle w:val="BookText"/>
      </w:pPr>
      <w:r>
        <w:rPr>
          <w:rFonts w:ascii="IRNazanin" w:hAnsi="IRNazanin" w:eastAsia="IRNazanin" w:cs="IRNazanin"/>
          <w:lang w:bidi="fa-IR"/>
          <w:color w:val="111111"/>
          <w:sz w:val="28"/>
          <w:szCs w:val="28"/>
          <w:rtl/>
        </w:rPr>
        <w:t xml:space="preserve">۱۰. تهران؛ ملک؛ شماره نسخه:۴۳۷۵</w:t>
      </w:r>
    </w:p>
    <w:p>
      <w:pPr>
        <w:pStyle w:val="BookText"/>
      </w:pPr>
      <w:r>
        <w:rPr>
          <w:rFonts w:ascii="IRNazanin" w:hAnsi="IRNazanin" w:eastAsia="IRNazanin" w:cs="IRNazanin"/>
          <w:lang w:bidi="fa-IR"/>
          <w:color w:val="111111"/>
          <w:sz w:val="28"/>
          <w:szCs w:val="28"/>
          <w:rtl/>
        </w:rPr>
        <w:t xml:space="preserve">جلد اول تا سال ۵۰۰ هجری؛ خط: نسخ، كا: محمد باقر بن محمد حسن بروجنی، تا: قرن ۱۳، برای سلطان حسن میرزا؛ کاغذ: فرنگی آهار مهره، جلد: میشن قهوه ای، ۳۳۴، ۳۸ سطر، اندازه: ۳۶۸۲۲/۳ سم [ف: ۲-۷۵]</w:t>
      </w:r>
    </w:p>
    <w:p>
      <w:pPr>
        <w:pStyle w:val="BookText"/>
      </w:pPr>
      <w:r>
        <w:rPr>
          <w:rFonts w:ascii="IRNazanin" w:hAnsi="IRNazanin" w:eastAsia="IRNazanin" w:cs="IRNazanin"/>
          <w:lang w:bidi="fa-IR"/>
          <w:color w:val="111111"/>
          <w:sz w:val="28"/>
          <w:szCs w:val="28"/>
          <w:rtl/>
        </w:rPr>
        <w:t xml:space="preserve">۱۱. تهران؛ ملک؛ شماره نسخه:۴۳۷۶</w:t>
      </w:r>
    </w:p>
    <w:p>
      <w:pPr>
        <w:pStyle w:val="BookText"/>
      </w:pPr>
      <w:r>
        <w:rPr>
          <w:rFonts w:ascii="IRNazanin" w:hAnsi="IRNazanin" w:eastAsia="IRNazanin" w:cs="IRNazanin"/>
          <w:lang w:bidi="fa-IR"/>
          <w:color w:val="111111"/>
          <w:sz w:val="28"/>
          <w:szCs w:val="28"/>
          <w:rtl/>
        </w:rPr>
        <w:t xml:space="preserve">جلد دوم از سال ۵۰۱ تا سلطنت شاه اسمعیل؛ خط: نسخ، بی کا، تا: قرن ۱۳؛ کاغذ: کاغذ فستقی، جلد: میشن سیاه ضربی، ۷۰۱گ، ۳۴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۳۰سم [ف: ۲-۷۵]</w:t>
      </w:r>
    </w:p>
    <w:p>
      <w:pPr>
        <w:pStyle w:val="BookText"/>
      </w:pPr>
      <w:r>
        <w:rPr>
          <w:rFonts w:ascii="IRNazanin" w:hAnsi="IRNazanin" w:eastAsia="IRNazanin" w:cs="IRNazanin"/>
          <w:lang w:bidi="fa-IR"/>
          <w:color w:val="111111"/>
          <w:sz w:val="28"/>
          <w:szCs w:val="28"/>
          <w:rtl/>
        </w:rPr>
        <w:t xml:space="preserve">۱۲. تهران: دانشگاه؛ شماره نسخه: ۲۲۱</w:t>
      </w:r>
    </w:p>
    <w:p>
      <w:pPr>
        <w:pStyle w:val="BookText"/>
      </w:pPr>
      <w:r>
        <w:rPr>
          <w:rFonts w:ascii="IRNazanin" w:hAnsi="IRNazanin" w:eastAsia="IRNazanin" w:cs="IRNazanin"/>
          <w:lang w:bidi="fa-IR"/>
          <w:color w:val="111111"/>
          <w:sz w:val="28"/>
          <w:szCs w:val="28"/>
          <w:rtl/>
        </w:rPr>
        <w:t xml:space="preserve">آغاز: برابر ۲؛ انجام پایان سال ۳۹۸ در تاریخ ابن کثير آورده که بعد از فوت حاجب سعید جماعتی. بر سر قبر او رفته ... و چون شب بمنزل آمدند عجوزه که نوحه خوان بود در خواب دید که شخصی ... از قبر حاجب سعید بیرون آمده ... و گرز بآن پیره زن حواله کرد. زن ... از خواب بیدار شد و دیگر از نوحه گری توبه کرد. (و در سال سیصد و نود و نهم) از رحلت فقط یک سوم کتاب را در بر دارد یعنی از سال یکم مرگ پیغمبر تا سال سیصد و نود و نیم، دیباچه را ندارد، از سال یکم آغاز شده، پایان نیز ندارد و سیزده سطر از سال ۳۹۹ را نوشته و باقیمانده را که در صفحه پسین بوده در این جلد جا نداده است؛</w:t>
      </w:r>
    </w:p>
    <w:p>
      <w:pPr>
        <w:pStyle w:val="BookText"/>
      </w:pPr>
      <w:r>
        <w:rPr>
          <w:rFonts w:ascii="IRNazanin" w:hAnsi="IRNazanin" w:eastAsia="IRNazanin" w:cs="IRNazanin"/>
          <w:lang w:bidi="fa-IR"/>
          <w:color w:val="111111"/>
          <w:sz w:val="28"/>
          <w:szCs w:val="28"/>
          <w:rtl/>
        </w:rPr>
        <w:t xml:space="preserve">خط: نسخ، بی کا، تا: گویا ۱۲۳۸ق؛ افتادگی: انجام؛ مصحح؛ کاغذ سفید آهار مهره فرنگی، جلد: روغنی زرد و سرخ، ۴۱۳گ، ۳۱ سطر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[ف: ۲-۵۲۰]</w:t>
      </w:r>
    </w:p>
    <w:p>
      <w:pPr>
        <w:pStyle w:val="BookText"/>
      </w:pPr>
      <w:r>
        <w:rPr>
          <w:rFonts w:ascii="IRNazanin" w:hAnsi="IRNazanin" w:eastAsia="IRNazanin" w:cs="IRNazanin"/>
          <w:lang w:bidi="fa-IR"/>
          <w:color w:val="111111"/>
          <w:sz w:val="28"/>
          <w:szCs w:val="28"/>
          <w:rtl/>
        </w:rPr>
        <w:t xml:space="preserve">تهران؛ دائرة المعارف؛ شماره نسخه: ۴۰- عکسی و ۴۱۳-عکسی</w:t>
      </w:r>
    </w:p>
    <w:p>
      <w:pPr>
        <w:pStyle w:val="BookText"/>
      </w:pPr>
      <w:r>
        <w:rPr>
          <w:rFonts w:ascii="IRNazanin" w:hAnsi="IRNazanin" w:eastAsia="IRNazanin" w:cs="IRNazanin"/>
          <w:lang w:bidi="fa-IR"/>
          <w:color w:val="111111"/>
          <w:sz w:val="28"/>
          <w:szCs w:val="28"/>
          <w:rtl/>
        </w:rPr>
        <w:t xml:space="preserve">نسخه اصل: همان نسخه بالا [عکسی ف: ۲-۵۲]</w:t>
      </w:r>
    </w:p>
    <w:p>
      <w:pPr>
        <w:pStyle w:val="BookText"/>
      </w:pPr>
      <w:r>
        <w:rPr>
          <w:rFonts w:ascii="IRNazanin" w:hAnsi="IRNazanin" w:eastAsia="IRNazanin" w:cs="IRNazanin"/>
          <w:lang w:bidi="fa-IR"/>
          <w:color w:val="111111"/>
          <w:sz w:val="28"/>
          <w:szCs w:val="28"/>
          <w:rtl/>
        </w:rPr>
        <w:t xml:space="preserve">۱۳. مشهد؛ رضوی؛ شماره نسخه:۴۰۷۹</w:t>
      </w:r>
    </w:p>
    <w:p>
      <w:pPr>
        <w:pStyle w:val="BookText"/>
      </w:pPr>
      <w:r>
        <w:rPr>
          <w:rFonts w:ascii="IRNazanin" w:hAnsi="IRNazanin" w:eastAsia="IRNazanin" w:cs="IRNazanin"/>
          <w:lang w:bidi="fa-IR"/>
          <w:color w:val="111111"/>
          <w:sz w:val="28"/>
          <w:szCs w:val="28"/>
          <w:rtl/>
        </w:rPr>
        <w:t xml:space="preserve">آغاز: بسمله جلد ثانی از کتاب تاريخ الفی در ذکر وقایع سال پانصد و یکم از رحلت خیر البشر عليه؛ انجام: داود افغان را جميعه تما با خود جمع کرده تا ده</w:t>
      </w:r>
    </w:p>
    <w:p>
      <w:pPr>
        <w:pStyle w:val="BookText"/>
      </w:pPr>
      <w:r>
        <w:rPr>
          <w:rFonts w:ascii="IRNazanin" w:hAnsi="IRNazanin" w:eastAsia="IRNazanin" w:cs="IRNazanin"/>
          <w:lang w:bidi="fa-IR"/>
          <w:color w:val="111111"/>
          <w:sz w:val="28"/>
          <w:szCs w:val="28"/>
          <w:rtl/>
        </w:rPr>
        <w:t xml:space="preserve">خط: نسخ، كا: احمد، تا: ۱۲۳۸ق، جان کرمانشاهان؛ افتادگی: انجام [الفبائی: ۶۴]</w:t>
      </w:r>
    </w:p>
    <w:p>
      <w:pPr>
        <w:pStyle w:val="BookText"/>
      </w:pPr>
      <w:r>
        <w:rPr>
          <w:rFonts w:ascii="IRNazanin" w:hAnsi="IRNazanin" w:eastAsia="IRNazanin" w:cs="IRNazanin"/>
          <w:lang w:bidi="fa-IR"/>
          <w:color w:val="111111"/>
          <w:sz w:val="28"/>
          <w:szCs w:val="28"/>
          <w:rtl/>
        </w:rPr>
        <w:t xml:space="preserve">۱۴. مشهد؛ رضوی؛ شماره نسخه:۴۰۷۸</w:t>
      </w:r>
    </w:p>
    <w:p>
      <w:pPr>
        <w:pStyle w:val="BookText"/>
      </w:pPr>
      <w:r>
        <w:rPr>
          <w:rFonts w:ascii="IRNazanin" w:hAnsi="IRNazanin" w:eastAsia="IRNazanin" w:cs="IRNazanin"/>
          <w:lang w:bidi="fa-IR"/>
          <w:color w:val="111111"/>
          <w:sz w:val="28"/>
          <w:szCs w:val="28"/>
          <w:rtl/>
        </w:rPr>
        <w:t xml:space="preserve">آغاز: برابر ۲؛ انجام: بعضی از آمرا خود مقرر نمود تمام شد ... ثانی عشر شعبان المعظم من شهور سنه ۱۲۳۸</w:t>
      </w:r>
    </w:p>
    <w:p>
      <w:pPr>
        <w:pStyle w:val="BookText"/>
      </w:pPr>
      <w:r>
        <w:rPr>
          <w:rFonts w:ascii="IRNazanin" w:hAnsi="IRNazanin" w:eastAsia="IRNazanin" w:cs="IRNazanin"/>
          <w:lang w:bidi="fa-IR"/>
          <w:color w:val="111111"/>
          <w:sz w:val="28"/>
          <w:szCs w:val="28"/>
          <w:rtl/>
        </w:rPr>
        <w:t xml:space="preserve">خط: نسخ، كا: احمد، تا: ۱۲۳۸ق، جان کرمانشاهان [الفبائی: ۶۴]</w:t>
      </w:r>
    </w:p>
    <w:p>
      <w:pPr>
        <w:pStyle w:val="BookText"/>
      </w:pPr>
      <w:r>
        <w:rPr>
          <w:rFonts w:ascii="IRNazanin" w:hAnsi="IRNazanin" w:eastAsia="IRNazanin" w:cs="IRNazanin"/>
          <w:lang w:bidi="fa-IR"/>
          <w:color w:val="111111"/>
          <w:sz w:val="28"/>
          <w:szCs w:val="28"/>
          <w:rtl/>
        </w:rPr>
        <w:t xml:space="preserve">۱۵. تهران؛ مجلس: شماره نسخه:۲۲۲</w:t>
      </w:r>
    </w:p>
    <w:p>
      <w:pPr>
        <w:pStyle w:val="BookText"/>
      </w:pPr>
      <w:r>
        <w:rPr>
          <w:rFonts w:ascii="IRNazanin" w:hAnsi="IRNazanin" w:eastAsia="IRNazanin" w:cs="IRNazanin"/>
          <w:lang w:bidi="fa-IR"/>
          <w:color w:val="111111"/>
          <w:sz w:val="28"/>
          <w:szCs w:val="28"/>
          <w:rtl/>
        </w:rPr>
        <w:t xml:space="preserve">آغاز: برابر ۲</w:t>
      </w:r>
    </w:p>
    <w:p>
      <w:pPr>
        <w:pStyle w:val="BookText"/>
      </w:pPr>
      <w:r>
        <w:rPr>
          <w:rFonts w:ascii="IRNazanin" w:hAnsi="IRNazanin" w:eastAsia="IRNazanin" w:cs="IRNazanin"/>
          <w:lang w:bidi="fa-IR"/>
          <w:color w:val="111111"/>
          <w:sz w:val="28"/>
          <w:szCs w:val="28"/>
          <w:rtl/>
        </w:rPr>
        <w:t xml:space="preserve">جلد اول؛ خط: نسخ، بی کا، تا: ۱۲۴۴ق؛ ۶۰۹گ، ۳۴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۲-۱۲۵] ۱۶. تهران: ملی؛ شماره نسخه: ۱۷۴۰</w:t>
      </w:r>
    </w:p>
    <w:p>
      <w:pPr>
        <w:pStyle w:val="BookText"/>
      </w:pPr>
      <w:r>
        <w:rPr>
          <w:rFonts w:ascii="IRNazanin" w:hAnsi="IRNazanin" w:eastAsia="IRNazanin" w:cs="IRNazanin"/>
          <w:lang w:bidi="fa-IR"/>
          <w:color w:val="111111"/>
          <w:sz w:val="28"/>
          <w:szCs w:val="28"/>
          <w:rtl/>
        </w:rPr>
        <w:t xml:space="preserve">آغاز: برابر ۲؛ انجام: آن کوهستانرا بجا گیر بعضی امراء خود داد و السلام من فضله العميم و لطفه الجسيم</w:t>
      </w:r>
    </w:p>
    <w:p>
      <w:pPr>
        <w:pStyle w:val="BookText"/>
      </w:pPr>
      <w:r>
        <w:rPr>
          <w:rFonts w:ascii="IRNazanin" w:hAnsi="IRNazanin" w:eastAsia="IRNazanin" w:cs="IRNazanin"/>
          <w:lang w:bidi="fa-IR"/>
          <w:color w:val="111111"/>
          <w:sz w:val="28"/>
          <w:szCs w:val="28"/>
          <w:rtl/>
        </w:rPr>
        <w:t xml:space="preserve">جلد اول؛ خط: شکسته نستعلیق، كا: احمد بن ابوالفتح شريف حائری اصفهانی، تا: ۱۲۴۵ق، جان کرمان؛ مهر: ناصرالدین شاه؛ کاغذ: فرنگی، جلد: تیماج مشکی با ترنج و نیم ترنج، ۳۴ سطر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۴-۲۰۱]</w:t>
      </w:r>
    </w:p>
    <w:p>
      <w:pPr>
        <w:pStyle w:val="BookText"/>
      </w:pPr>
      <w:r>
        <w:rPr>
          <w:rFonts w:ascii="IRNazanin" w:hAnsi="IRNazanin" w:eastAsia="IRNazanin" w:cs="IRNazanin"/>
          <w:lang w:bidi="fa-IR"/>
          <w:color w:val="111111"/>
          <w:sz w:val="28"/>
          <w:szCs w:val="28"/>
          <w:rtl/>
        </w:rPr>
        <w:t xml:space="preserve">۱۷. اصفهان؛ صارم الدوله (كتابخانه فرهنگ اصفهان)؛ شماره نسخه:۹۰۴</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۲؛ انجام: شاه قصد فارس کند از بغداد به اصفهان آمد و از وقایع ایشان انکه یحیی بن عثم بن مغربی جلد اول؛ خط: نسخ، كا: احمد بن ابوالفتح اصفهانی، تا: ۱۲۴۶ق، جان کرمانشاه؛ ۱۲۵۲ص، ۲۸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۴۲]</w:t>
      </w:r>
    </w:p>
    <w:p>
      <w:pPr>
        <w:pStyle w:val="BookText"/>
      </w:pPr>
      <w:r>
        <w:rPr>
          <w:rFonts w:ascii="IRNazanin" w:hAnsi="IRNazanin" w:eastAsia="IRNazanin" w:cs="IRNazanin"/>
          <w:lang w:bidi="fa-IR"/>
          <w:color w:val="111111"/>
          <w:sz w:val="28"/>
          <w:szCs w:val="28"/>
          <w:rtl/>
        </w:rPr>
        <w:t xml:space="preserve">اصفهان؛ عمومی اصفهان (فرهنگ سابق)؛ شماره نسخه: ۱۳۷۹</w:t>
      </w:r>
    </w:p>
    <w:p>
      <w:pPr>
        <w:pStyle w:val="BookText"/>
      </w:pPr>
      <w:r>
        <w:rPr>
          <w:rFonts w:ascii="IRNazanin" w:hAnsi="IRNazanin" w:eastAsia="IRNazanin" w:cs="IRNazanin"/>
          <w:lang w:bidi="fa-IR"/>
          <w:color w:val="111111"/>
          <w:sz w:val="28"/>
          <w:szCs w:val="28"/>
          <w:rtl/>
        </w:rPr>
        <w:t xml:space="preserve">همان نسخه بالا [نشریه: ۵-۳۱۶]</w:t>
      </w:r>
    </w:p>
    <w:p>
      <w:pPr>
        <w:pStyle w:val="BookText"/>
      </w:pPr>
      <w:r>
        <w:rPr>
          <w:rFonts w:ascii="IRNazanin" w:hAnsi="IRNazanin" w:eastAsia="IRNazanin" w:cs="IRNazanin"/>
          <w:lang w:bidi="fa-IR"/>
          <w:color w:val="111111"/>
          <w:sz w:val="28"/>
          <w:szCs w:val="28"/>
          <w:rtl/>
        </w:rPr>
        <w:t xml:space="preserve">۱۸. اصفهان؛ صارم الدوله (كتابخانه فرهنگ اصفهان)؛ شماره نسخه:۹۰۵</w:t>
      </w:r>
    </w:p>
    <w:p>
      <w:pPr>
        <w:pStyle w:val="BookText"/>
      </w:pPr>
      <w:r>
        <w:rPr>
          <w:rFonts w:ascii="IRNazanin" w:hAnsi="IRNazanin" w:eastAsia="IRNazanin" w:cs="IRNazanin"/>
          <w:lang w:bidi="fa-IR"/>
          <w:color w:val="111111"/>
          <w:sz w:val="28"/>
          <w:szCs w:val="28"/>
          <w:rtl/>
        </w:rPr>
        <w:t xml:space="preserve">آغاز: بسمله، وقایع سال پانصد و يكم از رحلت سید بشر عليه و آله التحية من الملك الاكبر؛ انجام: برابر جلد دوم، خط: نسخ، كا: احمد بن ابوالفتح اصفهانی، تا: جمادی الثانی ۱۲۴۶ق، جان کرمانشاه؛ ۱۴۰۶ص، ۳۴ سطر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w:t>
      </w:r>
    </w:p>
    <w:p>
      <w:pPr>
        <w:pStyle w:val="BookText"/>
      </w:pPr>
      <w:r>
        <w:rPr>
          <w:rFonts w:ascii="IRNazanin" w:hAnsi="IRNazanin" w:eastAsia="IRNazanin" w:cs="IRNazanin"/>
          <w:lang w:bidi="fa-IR"/>
          <w:color w:val="111111"/>
          <w:sz w:val="28"/>
          <w:szCs w:val="28"/>
          <w:rtl/>
        </w:rPr>
        <w:t xml:space="preserve">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[عمومی اصفهان (فرهنگ سابق): في: 1-19]</w:t>
      </w:r>
    </w:p>
    <w:p>
      <w:pPr>
        <w:pStyle w:val="BookText"/>
      </w:pPr>
      <w:r>
        <w:rPr>
          <w:rFonts w:ascii="IRNazanin" w:hAnsi="IRNazanin" w:eastAsia="IRNazanin" w:cs="IRNazanin"/>
          <w:lang w:bidi="fa-IR"/>
          <w:color w:val="111111"/>
          <w:sz w:val="28"/>
          <w:szCs w:val="28"/>
          <w:rtl/>
        </w:rPr>
        <w:t xml:space="preserve">اصفهان؛ عمومی اصفهان (فرهنگ سابق)؛ شماره نسخه: ۱۲۸۰</w:t>
      </w:r>
    </w:p>
    <w:p>
      <w:pPr>
        <w:pStyle w:val="BookText"/>
      </w:pPr>
      <w:r>
        <w:rPr>
          <w:rFonts w:ascii="IRNazanin" w:hAnsi="IRNazanin" w:eastAsia="IRNazanin" w:cs="IRNazanin"/>
          <w:lang w:bidi="fa-IR"/>
          <w:color w:val="111111"/>
          <w:sz w:val="28"/>
          <w:szCs w:val="28"/>
          <w:rtl/>
        </w:rPr>
        <w:t xml:space="preserve">همان نسخه بالا [نشریه: ۵-۳۱۶]</w:t>
      </w:r>
    </w:p>
    <w:p>
      <w:pPr>
        <w:pStyle w:val="BookText"/>
      </w:pPr>
      <w:r>
        <w:rPr>
          <w:rFonts w:ascii="IRNazanin" w:hAnsi="IRNazanin" w:eastAsia="IRNazanin" w:cs="IRNazanin"/>
          <w:lang w:bidi="fa-IR"/>
          <w:color w:val="111111"/>
          <w:sz w:val="28"/>
          <w:szCs w:val="28"/>
          <w:rtl/>
        </w:rPr>
        <w:t xml:space="preserve">۱۹. مشهد؛ رضوی، شماره نسخه:۱۰۹۲۹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بسمله. ذکر وقایع سال پانصد و يكم از رحلت سید بشر عليه و آله التحية من الملك الأكبر. در اوایل اینسال سلطان سنجر لشکرهای خراسان را جمع آورده بخاطر بهرام شاه بن مسعود شاه غزنوی متوجه غزنه شد؛ انجام: برابر</w:t>
      </w:r>
    </w:p>
    <w:p>
      <w:pPr>
        <w:pStyle w:val="BookText"/>
      </w:pPr>
      <w:r>
        <w:rPr>
          <w:rFonts w:ascii="IRNazanin" w:hAnsi="IRNazanin" w:eastAsia="IRNazanin" w:cs="IRNazanin"/>
          <w:lang w:bidi="fa-IR"/>
          <w:color w:val="111111"/>
          <w:sz w:val="28"/>
          <w:szCs w:val="28"/>
          <w:rtl/>
        </w:rPr>
        <w:t xml:space="preserve">جلد ۲، از سال ۵۰۱ رحلت یعنی از عزم سلطان سنجر برای حمله به غزنین و جنگ با ارسلانشاه را تا سال ۹۸۲ هجری مطابق با ۹۷۲ رحلت مقارن با پنجاه و چهارمین سال سلطنت شاه طهماسب صفوی (۹۳۰-۹۸۴)؛ خط: نسخ خوش، بی کا، تا: ۱۲۶۱ق؛ قبل از آغاز کتاب آمده است: «در روز سه شنبه پانزدهم شهر جمادی الاول یکهزار و دویست و نود و چهار هجری مطابق سال خیریت مال او دئیل سر کار مستطاب اشرف والا شاهزاده بهمن میرزا این جلد دوم کتاب تاريخ الفی را بنواب غلام شاه میرزا بخشیدند که ملک مخصوص او باشد و على الدوام مطالعه و مذاکره نماید والسلام ۱۲۹۴». در پایان آمده است: «حسب الحكم نواب اشرف ارفع والا صاحب اختیار كل ممالک آذربایجان بهمن میرزا حرسه الله که ولیعهد مغفور نایب السلطنه العليه عباس میرزا ابن سلطان فتحعلیشاه قاجار طاب الله ثراه را بهمین فرزند و پادشاه جمجاه انجم سپاه محمد شاه غازی خلد الله ملکه را کهین برادر است بتاريخ سنه هزار و دویست و شصت و یک هجری که در دارالسلطنه تبریز تشریف داشتند استنساخ جلد ثانی این نسخه شریفه که موسوم بتاريخ الفي است انجام پذیرفت و بتصحيح جمعی از فضلاء بقدر وسع بصحت پیوسته داخل کتابخانه مبارکه گردید والسلام»، دارای کمند، مجدول؛ واقف: محمد بریمانی، خرداد ۱۳۵۱؛ کاغذ: نباتی آهار مهره، جلد: تیماج مشکی ضربی، ۴۹۶گ، ۳۳ سطر،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۹-۱۶]</w:t>
      </w:r>
    </w:p>
    <w:p>
      <w:pPr>
        <w:pStyle w:val="BookText"/>
      </w:pPr>
      <w:r>
        <w:rPr>
          <w:rFonts w:ascii="IRNazanin" w:hAnsi="IRNazanin" w:eastAsia="IRNazanin" w:cs="IRNazanin"/>
          <w:lang w:bidi="fa-IR"/>
          <w:color w:val="111111"/>
          <w:sz w:val="28"/>
          <w:szCs w:val="28"/>
          <w:rtl/>
        </w:rPr>
        <w:t xml:space="preserve">۲۰. تهران؛ سپهسالار؛ شماره نسخه: ۱۵۵۰</w:t>
      </w:r>
    </w:p>
    <w:p>
      <w:pPr>
        <w:pStyle w:val="BookText"/>
      </w:pPr>
      <w:r>
        <w:rPr>
          <w:rFonts w:ascii="IRNazanin" w:hAnsi="IRNazanin" w:eastAsia="IRNazanin" w:cs="IRNazanin"/>
          <w:lang w:bidi="fa-IR"/>
          <w:color w:val="111111"/>
          <w:sz w:val="28"/>
          <w:szCs w:val="28"/>
          <w:rtl/>
        </w:rPr>
        <w:t xml:space="preserve">جلد اول، از آغاز مرگ پیامبر تا سرگذشت طغتكين؛ خط: نستعلیق، بی کا، تا: ۱۲۶۶ق؛ کاغذ: فرنگی سفید، جلد: تیماج سرخ ضربی مقوایی، ۵۱۱گ، ۳۰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۳-۲۹۳]</w:t>
      </w:r>
    </w:p>
    <w:p>
      <w:pPr>
        <w:pStyle w:val="BookText"/>
      </w:pPr>
      <w:r>
        <w:rPr>
          <w:rFonts w:ascii="IRNazanin" w:hAnsi="IRNazanin" w:eastAsia="IRNazanin" w:cs="IRNazanin"/>
          <w:lang w:bidi="fa-IR"/>
          <w:color w:val="111111"/>
          <w:sz w:val="28"/>
          <w:szCs w:val="28"/>
          <w:rtl/>
        </w:rPr>
        <w:t xml:space="preserve">۲۱. تهران، دانشگاه؛ شماره نسخه:۱۲۳۳</w:t>
      </w:r>
    </w:p>
    <w:p>
      <w:pPr>
        <w:pStyle w:val="BookText"/>
      </w:pPr>
      <w:r>
        <w:rPr>
          <w:rFonts w:ascii="IRNazanin" w:hAnsi="IRNazanin" w:eastAsia="IRNazanin" w:cs="IRNazanin"/>
          <w:lang w:bidi="fa-IR"/>
          <w:color w:val="111111"/>
          <w:sz w:val="28"/>
          <w:szCs w:val="28"/>
          <w:rtl/>
        </w:rPr>
        <w:t xml:space="preserve">آغاز: برابر ۱؛ انجام: (سال ۷۸۴) چنانکه دو روز دکان و بازارها بسته ماند و روز سیم سلطان فرمود تا منادی کردند که مردم بحال خود باشند (بتاریخ شهر محرم الحرام پیچی ئیل سنه ۱۳۱۴ بجهت تقدیم کتابخانه بندگان جناب مستطاب اجل اكرم افخم آقای (پاک کردند) مد ظله العالی بید اقل بندگان میرزا حیدر علی بن مرحوم آقا میرزا زین العابدین علی آبادی طاب ثراه تحریر شد.</w:t>
      </w:r>
    </w:p>
    <w:p>
      <w:pPr>
        <w:pStyle w:val="BookText"/>
      </w:pPr>
      <w:r>
        <w:rPr>
          <w:rFonts w:ascii="IRNazanin" w:hAnsi="IRNazanin" w:eastAsia="IRNazanin" w:cs="IRNazanin"/>
          <w:lang w:bidi="fa-IR"/>
          <w:color w:val="111111"/>
          <w:sz w:val="28"/>
          <w:szCs w:val="28"/>
          <w:rtl/>
        </w:rPr>
        <w:t xml:space="preserve">از آغاز تا رویدادهای ۷۲۲ (سلطان ابوسعید)؛ خط: نستعلیق خوش، کا: میرزا حیدر على بن آقا میرزا زین العابدین علی آبادی، تا: ۱۳۱۴ ق، برای تقدیم به کتابخانه جناب مستطاب اجل اکرم (پاک کرده اند). با سرلوح و جدولبندی چند راه؛ مجدول، یک سرلوح آراسته و رنگارنگ؛ کاغذ: ترمه آهار مهره، جلد: مقوای مشکی ته میشن، ۲۷۰ گ، ۱۵ سطر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 اندازه: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۳۰سم [ف: ۶-۲۴۴۶]</w:t>
      </w:r>
    </w:p>
    <w:p>
      <w:pPr>
        <w:pStyle w:val="BookText"/>
      </w:pPr>
      <w:r>
        <w:rPr>
          <w:rFonts w:ascii="IRNazanin" w:hAnsi="IRNazanin" w:eastAsia="IRNazanin" w:cs="IRNazanin"/>
          <w:lang w:bidi="fa-IR"/>
          <w:color w:val="111111"/>
          <w:sz w:val="28"/>
          <w:szCs w:val="28"/>
          <w:rtl/>
        </w:rPr>
        <w:t xml:space="preserve">تهران؛ دائرة المعارف؛ شماره نسخه:۵-عکسی</w:t>
      </w:r>
    </w:p>
    <w:p>
      <w:pPr>
        <w:pStyle w:val="BookText"/>
      </w:pPr>
      <w:r>
        <w:rPr>
          <w:rFonts w:ascii="IRNazanin" w:hAnsi="IRNazanin" w:eastAsia="IRNazanin" w:cs="IRNazanin"/>
          <w:lang w:bidi="fa-IR"/>
          <w:color w:val="111111"/>
          <w:sz w:val="28"/>
          <w:szCs w:val="28"/>
          <w:rtl/>
        </w:rPr>
        <w:t xml:space="preserve">نسخه اصل: همان نسخه بالا [ عکسی ف: ۲-۵۲]</w:t>
      </w:r>
    </w:p>
    <w:p>
      <w:pPr>
        <w:pStyle w:val="BookText"/>
      </w:pPr>
      <w:r>
        <w:rPr>
          <w:rFonts w:ascii="IRNazanin" w:hAnsi="IRNazanin" w:eastAsia="IRNazanin" w:cs="IRNazanin"/>
          <w:lang w:bidi="fa-IR"/>
          <w:color w:val="111111"/>
          <w:sz w:val="28"/>
          <w:szCs w:val="28"/>
          <w:rtl/>
        </w:rPr>
        <w:t xml:space="preserve">۲۲. تهران؛ مجلس؛ شماره نسخه: ۳۵۸۹</w:t>
      </w:r>
    </w:p>
    <w:p>
      <w:pPr>
        <w:pStyle w:val="BookText"/>
      </w:pPr>
      <w:r>
        <w:rPr>
          <w:rFonts w:ascii="IRNazanin" w:hAnsi="IRNazanin" w:eastAsia="IRNazanin" w:cs="IRNazanin"/>
          <w:lang w:bidi="fa-IR"/>
          <w:color w:val="111111"/>
          <w:sz w:val="28"/>
          <w:szCs w:val="28"/>
          <w:rtl/>
        </w:rPr>
        <w:t xml:space="preserve">آغاز: بسمله، جلد ثانی از تاریخ الفى وقايع سنه ۴۰۱ از رحلت حضرت خیر البشر(صلی الله علیه وآله وسلم) که در اوایل این سال سلطان سنجر بن سلطان ملک شاہ سلجوقی؛ انجام: چون خزانه را تسلیم چنگیز خان کرد از نزد وی مرخص شد و بملازمت التاخان رفت. جهة تقدیم کتاب خانه مبار که حضرت مستطاب اجل اكرم افخم آقای سعد الملک روحنا فداه بيد اقل العباد بهاء الدین علی آبادی اتمام پذیرفت في شهر صفر المظفر سنه ۱۳۱۳.</w:t>
      </w:r>
    </w:p>
    <w:p>
      <w:pPr>
        <w:pStyle w:val="BookText"/>
      </w:pPr>
      <w:r>
        <w:rPr>
          <w:rFonts w:ascii="IRNazanin" w:hAnsi="IRNazanin" w:eastAsia="IRNazanin" w:cs="IRNazanin"/>
          <w:lang w:bidi="fa-IR"/>
          <w:color w:val="111111"/>
          <w:sz w:val="28"/>
          <w:szCs w:val="28"/>
          <w:rtl/>
        </w:rPr>
        <w:t xml:space="preserve">جلد دوم، شامل وقایع تاریخی سال های ۵۰۱ تا ۶۰۱ق؛ خط: نستعلیق خوب، كا: بهاء الدین علی آبادی، تا: ۱۳۳۱ق؛ این نسخه را برای کتابخانه سعدالملک نوشته، یک سرلوح مذهب، با نقاشی با آب طلا و لاجورد، مجدول؛ کاغذ: شکری رنگ فرنگی نازک، جلد: گالینگور مشکی عطف تیماج، ۴۱۲ص، ۱۵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۲۹/۵سم [ف: ۱۰-۱۵۵۸]</w:t>
      </w:r>
    </w:p>
    <w:p>
      <w:pPr>
        <w:pStyle w:val="BookText"/>
      </w:pPr>
      <w:r>
        <w:rPr>
          <w:rFonts w:ascii="IRNazanin" w:hAnsi="IRNazanin" w:eastAsia="IRNazanin" w:cs="IRNazanin"/>
          <w:lang w:bidi="fa-IR"/>
          <w:color w:val="111111"/>
          <w:sz w:val="28"/>
          <w:szCs w:val="28"/>
          <w:rtl/>
        </w:rPr>
        <w:t xml:space="preserve">۲۳. تهران: مجلس؛ شماره نسخه:۲۲۳</w:t>
      </w:r>
    </w:p>
    <w:p>
      <w:pPr>
        <w:pStyle w:val="BookText"/>
      </w:pPr>
      <w:r>
        <w:rPr>
          <w:rFonts w:ascii="IRNazanin" w:hAnsi="IRNazanin" w:eastAsia="IRNazanin" w:cs="IRNazanin"/>
          <w:lang w:bidi="fa-IR"/>
          <w:color w:val="111111"/>
          <w:sz w:val="28"/>
          <w:szCs w:val="28"/>
          <w:rtl/>
        </w:rPr>
        <w:t xml:space="preserve">جلد دوم، در اخبار و سوانح دوره سلاطين مغول تا ایام سلطنت شاه طهماسب صفوی، از سال ۶۸۷ تا سال ۹۳۶ رحلت؛ خط: نستعلیق، بی کا، بی تا، افتادگی: آغاز و انجام؛ ۴۷۵، ۲۵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۲-۱۲۵]</w:t>
      </w:r>
    </w:p>
    <w:p>
      <w:pPr>
        <w:pStyle w:val="BookText"/>
      </w:pPr>
      <w:r>
        <w:rPr>
          <w:rFonts w:ascii="IRNazanin" w:hAnsi="IRNazanin" w:eastAsia="IRNazanin" w:cs="IRNazanin"/>
          <w:lang w:bidi="fa-IR"/>
          <w:color w:val="111111"/>
          <w:sz w:val="28"/>
          <w:szCs w:val="28"/>
          <w:rtl/>
        </w:rPr>
        <w:t xml:space="preserve">۲۴. تهران؛ سلطنتی؛ شماره نسخه:۵۹۴</w:t>
      </w:r>
    </w:p>
    <w:p>
      <w:pPr>
        <w:pStyle w:val="BookText"/>
      </w:pPr>
      <w:r>
        <w:rPr>
          <w:rFonts w:ascii="IRNazanin" w:hAnsi="IRNazanin" w:eastAsia="IRNazanin" w:cs="IRNazanin"/>
          <w:lang w:bidi="fa-IR"/>
          <w:color w:val="111111"/>
          <w:sz w:val="28"/>
          <w:szCs w:val="28"/>
          <w:rtl/>
        </w:rPr>
        <w:t xml:space="preserve">آغاز: برابر ۲؛ انجام: سال چهار صد و نود و نهم از رحلت سید بشر عليه واله التحيه من الملك الاكبر از جمله وقایع اینسال آنکه چون سلطان محمد از یاغی شدن ایلغاری و اتابک طغتكين و اتفاق ایشان با فرنگ خبر یافت صاحب همدان امیر بر سق بن برسق راه سپهسالار لشگر گردانیده بجنگ ایلغاری و اتابک طغتكين فرستاد ... و از جمله وقایع اینسال آنکه فرنگیان شهر دفینه که از شهرهای ولایت شام بود از دست عمال و نواب اتابک طغتكين گرفته بواسطه ... از سال اول رحلت تا سال نهصد و هشتاد و سه بعد از رحلت است؛ خط: نسخ، بی کا، بی تا؛ از کتب مرحومه مهد علیاست و به سال ۱۳۲۲ ق از عرض</w:t>
      </w:r>
    </w:p>
    <w:p>
      <w:pPr>
        <w:pStyle w:val="BookText"/>
      </w:pPr>
      <w:r>
        <w:rPr>
          <w:rFonts w:ascii="IRNazanin" w:hAnsi="IRNazanin" w:eastAsia="IRNazanin" w:cs="IRNazanin"/>
          <w:lang w:bidi="fa-IR"/>
          <w:color w:val="111111"/>
          <w:sz w:val="28"/>
          <w:szCs w:val="28"/>
          <w:rtl/>
        </w:rPr>
        <w:t xml:space="preserve">کتابخانه مبار که گذشته، مجدول، مذهب، یک سرلوح مذهب مرصع کاغذ: ترمه اصفهانی آهار مهره، جلد: مقوای روغنی بوم طلائی منقش به گل و بوته الوان با تزیینات، ۶۸۷ص، ۴۱ سطر، اندازه: ۲۹/۵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۴۲/۵ سم [ف: ۵-۲۵]</w:t>
      </w:r>
    </w:p>
    <w:p>
      <w:pPr>
        <w:pStyle w:val="BookText"/>
      </w:pPr>
      <w:r>
        <w:rPr>
          <w:rFonts w:ascii="IRNazanin" w:hAnsi="IRNazanin" w:eastAsia="IRNazanin" w:cs="IRNazanin"/>
          <w:lang w:bidi="fa-IR"/>
          <w:color w:val="111111"/>
          <w:sz w:val="28"/>
          <w:szCs w:val="28"/>
          <w:rtl/>
        </w:rPr>
        <w:t xml:space="preserve">۲۵. تهران؛ سلطنتی؛ شماره نسخه:۵۹۵</w:t>
      </w:r>
    </w:p>
    <w:p>
      <w:pPr>
        <w:pStyle w:val="BookText"/>
      </w:pPr>
      <w:r>
        <w:rPr>
          <w:rFonts w:ascii="IRNazanin" w:hAnsi="IRNazanin" w:eastAsia="IRNazanin" w:cs="IRNazanin"/>
          <w:lang w:bidi="fa-IR"/>
          <w:color w:val="111111"/>
          <w:sz w:val="28"/>
          <w:szCs w:val="28"/>
          <w:rtl/>
        </w:rPr>
        <w:t xml:space="preserve">آغاز: برابر ۲؛ انجام: برابر</w:t>
      </w:r>
    </w:p>
    <w:p>
      <w:pPr>
        <w:pStyle w:val="BookText"/>
      </w:pPr>
      <w:r>
        <w:rPr>
          <w:rFonts w:ascii="IRNazanin" w:hAnsi="IRNazanin" w:eastAsia="IRNazanin" w:cs="IRNazanin"/>
          <w:lang w:bidi="fa-IR"/>
          <w:color w:val="111111"/>
          <w:sz w:val="28"/>
          <w:szCs w:val="28"/>
          <w:rtl/>
        </w:rPr>
        <w:t xml:space="preserve">خط: نسخ تحریری، بی کا، بی تا؛ مجدول، مذهب، یک سرلوح مذهب مرصع کاغذ: ترمه اصفهانی آهار مهره، جلد: مقوای وکش چرم پشت گلی رنگ، ۱۴۰۷ص، ۴۱ سطر، اندازه:</w:t>
      </w:r>
    </w:p>
    <w:p>
      <w:pPr>
        <w:pStyle w:val="BookText"/>
      </w:pPr>
      <w:r>
        <w:rPr>
          <w:rFonts w:ascii="IRNazanin" w:hAnsi="IRNazanin" w:eastAsia="IRNazanin" w:cs="IRNazanin"/>
          <w:lang w:bidi="fa-IR"/>
          <w:color w:val="111111"/>
          <w:sz w:val="28"/>
          <w:szCs w:val="28"/>
          <w:rtl/>
        </w:rPr>
        <w:t xml:space="preserve">۲۸/۷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۴۲/۵سم [ف: ۵-۲۸]</w:t>
      </w:r>
    </w:p>
    <w:p>
      <w:pPr>
        <w:pStyle w:val="BookText"/>
      </w:pPr>
      <w:r>
        <w:rPr>
          <w:rFonts w:ascii="IRNazanin" w:hAnsi="IRNazanin" w:eastAsia="IRNazanin" w:cs="IRNazanin"/>
          <w:lang w:bidi="fa-IR"/>
          <w:color w:val="111111"/>
          <w:sz w:val="28"/>
          <w:szCs w:val="28"/>
          <w:rtl/>
        </w:rPr>
        <w:t xml:space="preserve">۲۶. تهران؛ سلطنتی، شماره نسخه:۵۹۶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385" w:name="pg20363_209678"/>
    <w:bookmarkEnd w:id="385"/>
    <w:p>
      <w:pPr>
        <w:pStyle w:val="BookText"/>
      </w:pPr>
      <w:r>
        <w:rPr>
          <w:rFonts w:ascii="IRNazanin" w:hAnsi="IRNazanin" w:eastAsia="IRNazanin" w:cs="IRNazanin"/>
          <w:lang w:bidi="fa-IR"/>
          <w:color w:val="111111"/>
          <w:sz w:val="28"/>
          <w:szCs w:val="28"/>
          <w:rtl/>
        </w:rPr>
        <w:t xml:space="preserve">آغاز: وقایع سال چهارصد و نود و نهم از رحلت سید البشر(صلی الله علیه وآله وسلم) من ملك الاكبر از جمله وقایع این سال آنکه چون سلطان محمد از یاغی شدن ایلغاری و اتابک طغتكين و اتفاق ایشان با فرنگ</w:t>
      </w:r>
    </w:p>
    <w:p>
      <w:pPr>
        <w:pStyle w:val="BookText"/>
      </w:pPr>
      <w:r>
        <w:rPr>
          <w:rFonts w:ascii="IRNazanin" w:hAnsi="IRNazanin" w:eastAsia="IRNazanin" w:cs="IRNazanin"/>
          <w:lang w:bidi="fa-IR"/>
          <w:color w:val="111111"/>
          <w:sz w:val="28"/>
          <w:szCs w:val="28"/>
          <w:rtl/>
        </w:rPr>
        <w:t xml:space="preserve">خبر یافت؛ انجام: برابر خط: نسخ، بی کا، بی تا؛ مجدول، مذهب، یک سرلوح مذهب مرصع کاغذ: ترمه اصفهانی آهار مهره، جلد: مقوای روغنی بوم طلائی منقش به گل و بوته الوان با تزیینات، ۷۸۷ص، ۴۲ سطر، اندازه: ۴۲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۵-۳۰]</w:t>
      </w:r>
    </w:p>
    <w:p>
      <w:pPr>
        <w:pStyle w:val="BookText"/>
      </w:pPr>
      <w:r>
        <w:rPr>
          <w:rFonts w:ascii="IRNazanin" w:hAnsi="IRNazanin" w:eastAsia="IRNazanin" w:cs="IRNazanin"/>
          <w:lang w:bidi="fa-IR"/>
          <w:color w:val="111111"/>
          <w:sz w:val="28"/>
          <w:szCs w:val="28"/>
          <w:rtl/>
        </w:rPr>
        <w:t xml:space="preserve">۲۷. تهران، دانشگاه؛ شماره نسخه:۱۲۲۹</w:t>
      </w:r>
    </w:p>
    <w:p>
      <w:pPr>
        <w:pStyle w:val="BookText"/>
      </w:pPr>
      <w:r>
        <w:rPr>
          <w:rFonts w:ascii="IRNazanin" w:hAnsi="IRNazanin" w:eastAsia="IRNazanin" w:cs="IRNazanin"/>
          <w:lang w:bidi="fa-IR"/>
          <w:color w:val="111111"/>
          <w:sz w:val="28"/>
          <w:szCs w:val="28"/>
          <w:rtl/>
        </w:rPr>
        <w:t xml:space="preserve">آغاز: و گفت از رسول خدا ... شنیده که فرمود والی این امر قریش اند سعد گفت آری زید بن ثابت انصاری برخاست (سال يكم)؛ انجام: پس امام حسين عليه السلام فرمود سبحان الله بنده مؤمن پیش حضرت حق ... عزیزتر است از آنکه روح او را در حوصله مرغ سبز کند ای يونس هر گاه قبض روح مؤمن شد خدای تعالی او را در قالبی از سال وفات، سال ۱۱ هجری تا ۴۹ هجری؛ خط: نستعلیق، بی کا بی تا؛ کاغذ: فرنگی کلفت، جلد: تیماج سرخ ضربی، ۳۷۰گی، ۱۱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سم [ف: ۶-۲۴۴۲]</w:t>
      </w:r>
    </w:p>
    <w:p>
      <w:pPr>
        <w:pStyle w:val="BookText"/>
      </w:pPr>
      <w:r>
        <w:rPr>
          <w:rFonts w:ascii="IRNazanin" w:hAnsi="IRNazanin" w:eastAsia="IRNazanin" w:cs="IRNazanin"/>
          <w:lang w:bidi="fa-IR"/>
          <w:color w:val="111111"/>
          <w:sz w:val="28"/>
          <w:szCs w:val="28"/>
          <w:rtl/>
        </w:rPr>
        <w:t xml:space="preserve">تهران؛ دائرة المعارف، شماره نسخه: ۱-عکسی</w:t>
      </w:r>
    </w:p>
    <w:p>
      <w:pPr>
        <w:pStyle w:val="BookText"/>
      </w:pPr>
      <w:r>
        <w:rPr>
          <w:rFonts w:ascii="IRNazanin" w:hAnsi="IRNazanin" w:eastAsia="IRNazanin" w:cs="IRNazanin"/>
          <w:lang w:bidi="fa-IR"/>
          <w:color w:val="111111"/>
          <w:sz w:val="28"/>
          <w:szCs w:val="28"/>
          <w:rtl/>
        </w:rPr>
        <w:t xml:space="preserve">نسخه اصل: همان نسخه بالا [ عکسی ف: ۲-۵۲]</w:t>
      </w:r>
    </w:p>
    <w:p>
      <w:pPr>
        <w:pStyle w:val="BookText"/>
      </w:pPr>
      <w:r>
        <w:rPr>
          <w:rFonts w:ascii="IRNazanin" w:hAnsi="IRNazanin" w:eastAsia="IRNazanin" w:cs="IRNazanin"/>
          <w:lang w:bidi="fa-IR"/>
          <w:color w:val="111111"/>
          <w:sz w:val="28"/>
          <w:szCs w:val="28"/>
          <w:rtl/>
        </w:rPr>
        <w:t xml:space="preserve">۲۸. تهران، دانشگاه؛ شماره نسخه:۱۲۳۰</w:t>
      </w:r>
    </w:p>
    <w:p>
      <w:pPr>
        <w:pStyle w:val="BookText"/>
      </w:pPr>
      <w:r>
        <w:rPr>
          <w:rFonts w:ascii="IRNazanin" w:hAnsi="IRNazanin" w:eastAsia="IRNazanin" w:cs="IRNazanin"/>
          <w:lang w:bidi="fa-IR"/>
          <w:color w:val="111111"/>
          <w:sz w:val="28"/>
          <w:szCs w:val="28"/>
          <w:rtl/>
        </w:rPr>
        <w:t xml:space="preserve">آغاز: در قالبی مثل این قالب در می آورد پس میخورند و مینوشند</w:t>
      </w:r>
    </w:p>
    <w:p>
      <w:pPr>
        <w:pStyle w:val="BookText"/>
      </w:pPr>
      <w:r>
        <w:rPr>
          <w:rFonts w:ascii="IRNazanin" w:hAnsi="IRNazanin" w:eastAsia="IRNazanin" w:cs="IRNazanin"/>
          <w:lang w:bidi="fa-IR"/>
          <w:color w:val="111111"/>
          <w:sz w:val="28"/>
          <w:szCs w:val="28"/>
          <w:rtl/>
        </w:rPr>
        <w:t xml:space="preserve">(دنباله شماره پیش، درباره سال ۲۶)؛ انجام: ذکر وقایع سال چهل و یکم از رحلت ... و وظیفه آنکه بقول جمعی سفها که طالب فتنه اند عمل ننمایند و السلام امام حسین علیه السلام در جواب نوشت. جلد دوم؛ خط: نستعلیق، بی کا، بی تاب ۳۴۴گ، ۱۱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سم [ف: ۶-۲۴۴۵]</w:t>
      </w:r>
    </w:p>
    <w:p>
      <w:pPr>
        <w:pStyle w:val="BookText"/>
      </w:pPr>
      <w:r>
        <w:rPr>
          <w:rFonts w:ascii="IRNazanin" w:hAnsi="IRNazanin" w:eastAsia="IRNazanin" w:cs="IRNazanin"/>
          <w:lang w:bidi="fa-IR"/>
          <w:color w:val="111111"/>
          <w:sz w:val="28"/>
          <w:szCs w:val="28"/>
          <w:rtl/>
        </w:rPr>
        <w:t xml:space="preserve">تهران؛ دائرة المعارف؛ شماره نسخه: ۲-عکسی و ۳۸۲-عکسی</w:t>
      </w:r>
    </w:p>
    <w:p>
      <w:pPr>
        <w:pStyle w:val="BookText"/>
      </w:pPr>
      <w:r>
        <w:rPr>
          <w:rFonts w:ascii="IRNazanin" w:hAnsi="IRNazanin" w:eastAsia="IRNazanin" w:cs="IRNazanin"/>
          <w:lang w:bidi="fa-IR"/>
          <w:color w:val="111111"/>
          <w:sz w:val="28"/>
          <w:szCs w:val="28"/>
          <w:rtl/>
        </w:rPr>
        <w:t xml:space="preserve">نسخه اصل: همان نسخه بالا [ عکسی ف: ۲-۵۲]</w:t>
      </w:r>
    </w:p>
    <w:p>
      <w:pPr>
        <w:pStyle w:val="BookText"/>
      </w:pPr>
      <w:r>
        <w:rPr>
          <w:rFonts w:ascii="IRNazanin" w:hAnsi="IRNazanin" w:eastAsia="IRNazanin" w:cs="IRNazanin"/>
          <w:lang w:bidi="fa-IR"/>
          <w:color w:val="111111"/>
          <w:sz w:val="28"/>
          <w:szCs w:val="28"/>
          <w:rtl/>
        </w:rPr>
        <w:t xml:space="preserve">۲۹. تهران: دانشگاه؛ شماره نسخه:۱۲۳۱</w:t>
      </w:r>
    </w:p>
    <w:p>
      <w:pPr>
        <w:pStyle w:val="BookText"/>
      </w:pPr>
      <w:r>
        <w:rPr>
          <w:rFonts w:ascii="IRNazanin" w:hAnsi="IRNazanin" w:eastAsia="IRNazanin" w:cs="IRNazanin"/>
          <w:lang w:bidi="fa-IR"/>
          <w:color w:val="111111"/>
          <w:sz w:val="28"/>
          <w:szCs w:val="28"/>
          <w:rtl/>
        </w:rPr>
        <w:t xml:space="preserve">آغاز: و خصومت افتد تا او فارغ البال باشد مروان گفت والله يا سعید که تو بهتری از من پس مروان از سعید عذر خواسته باز گشت (سال ۴۳)؛ انجام: و علی بن عیسی را که قبل از این بمدتی مدید از ایالت دیار خراسان عزل شده باز بامارت آن دیار نصب فرمود و از آنجا باز بجانب بغداد مراجعت نمود و چون (سرگذشت رشید)</w:t>
      </w:r>
    </w:p>
    <w:p>
      <w:pPr>
        <w:pStyle w:val="BookText"/>
      </w:pPr>
      <w:r>
        <w:rPr>
          <w:rFonts w:ascii="IRNazanin" w:hAnsi="IRNazanin" w:eastAsia="IRNazanin" w:cs="IRNazanin"/>
          <w:lang w:bidi="fa-IR"/>
          <w:color w:val="111111"/>
          <w:sz w:val="28"/>
          <w:szCs w:val="28"/>
          <w:rtl/>
        </w:rPr>
        <w:t xml:space="preserve">درون جلد دارد که آغاز این جلد دنباله سرگذشت معاویه است و صحاف جابجا کرده و باید به جلد رحلت تا ۳۹ پیوست شود و سپس تا سال ۷۷ را ندارد و از ۷۸ دارد تا پایان خلافت هرون؛ خط: نستعلیق، بی کا، بی تا، ۳۲۰گ، ۱۱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w:t>
      </w:r>
    </w:p>
    <w:p>
      <w:pPr>
        <w:pStyle w:val="BookText"/>
      </w:pPr>
      <w:r>
        <w:rPr>
          <w:rFonts w:ascii="IRNazanin" w:hAnsi="IRNazanin" w:eastAsia="IRNazanin" w:cs="IRNazanin"/>
          <w:lang w:bidi="fa-IR"/>
          <w:color w:val="111111"/>
          <w:sz w:val="28"/>
          <w:szCs w:val="28"/>
          <w:rtl/>
        </w:rPr>
        <w:t xml:space="preserve">سم [ف: ۶-۲۴۴۵]</w:t>
      </w:r>
    </w:p>
    <w:p>
      <w:pPr>
        <w:pStyle w:val="BookText"/>
      </w:pPr>
      <w:r>
        <w:rPr>
          <w:rFonts w:ascii="IRNazanin" w:hAnsi="IRNazanin" w:eastAsia="IRNazanin" w:cs="IRNazanin"/>
          <w:lang w:bidi="fa-IR"/>
          <w:color w:val="111111"/>
          <w:sz w:val="28"/>
          <w:szCs w:val="28"/>
          <w:rtl/>
        </w:rPr>
        <w:t xml:space="preserve">۳۰. تهران، دانشگاه؛ شماره نسخه: ۱۲۳۲</w:t>
      </w:r>
    </w:p>
    <w:p>
      <w:pPr>
        <w:pStyle w:val="BookText"/>
      </w:pPr>
      <w:r>
        <w:rPr>
          <w:rFonts w:ascii="IRNazanin" w:hAnsi="IRNazanin" w:eastAsia="IRNazanin" w:cs="IRNazanin"/>
          <w:lang w:bidi="fa-IR"/>
          <w:color w:val="111111"/>
          <w:sz w:val="28"/>
          <w:szCs w:val="28"/>
          <w:rtl/>
        </w:rPr>
        <w:t xml:space="preserve">آغاز: و برای او استمالت نامه فرستد و او را بموقف خلافت طلب دارد باین عنوان که باو نویسد که ای برادر بوجود توجهت تمشیت مهات خلافت و انتظام امور مملکت ... احتیاج تمام است (داستان امین و مأمون)؛ انجام: ذکر سلطنت منصور بن نوح بن نصر بن احمد سامانی ...... و البتكین در غزنین مستقل گشت و در محرم اینسال (سال ۳۴۰ مرگ پیامبر).</w:t>
      </w:r>
    </w:p>
    <w:p>
      <w:pPr>
        <w:pStyle w:val="BookText"/>
      </w:pPr>
      <w:r>
        <w:rPr>
          <w:rFonts w:ascii="IRNazanin" w:hAnsi="IRNazanin" w:eastAsia="IRNazanin" w:cs="IRNazanin"/>
          <w:lang w:bidi="fa-IR"/>
          <w:color w:val="111111"/>
          <w:sz w:val="28"/>
          <w:szCs w:val="28"/>
          <w:rtl/>
        </w:rPr>
        <w:t xml:space="preserve">از دنباله سرگذشت معاویه آغاز می شود تا پایان کار هارون الرشید؛ خط: نستعلیق، بی کا، بی تا؛ ۳۶۴گ، ۱۱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سم [ف: ۶-۲۴۴۵]</w:t>
      </w:r>
    </w:p>
    <w:p>
      <w:pPr>
        <w:pStyle w:val="BookText"/>
      </w:pPr>
      <w:r>
        <w:rPr>
          <w:rFonts w:ascii="IRNazanin" w:hAnsi="IRNazanin" w:eastAsia="IRNazanin" w:cs="IRNazanin"/>
          <w:lang w:bidi="fa-IR"/>
          <w:color w:val="111111"/>
          <w:sz w:val="28"/>
          <w:szCs w:val="28"/>
          <w:rtl/>
        </w:rPr>
        <w:t xml:space="preserve">تهران؛ دائرة المعارف؛ شماره نسخه:۳- عکسی و ۴-عکسی</w:t>
      </w:r>
    </w:p>
    <w:p>
      <w:pPr>
        <w:pStyle w:val="BookText"/>
      </w:pPr>
      <w:r>
        <w:rPr>
          <w:rFonts w:ascii="IRNazanin" w:hAnsi="IRNazanin" w:eastAsia="IRNazanin" w:cs="IRNazanin"/>
          <w:lang w:bidi="fa-IR"/>
          <w:color w:val="111111"/>
          <w:sz w:val="28"/>
          <w:szCs w:val="28"/>
          <w:rtl/>
        </w:rPr>
        <w:t xml:space="preserve">نسخه اصل: همان نسخه بالا [ عکسی ف: ۲-۵۲]</w:t>
      </w:r>
    </w:p>
    <w:p>
      <w:pPr>
        <w:pStyle w:val="BookText"/>
      </w:pPr>
      <w:r>
        <w:rPr>
          <w:rFonts w:ascii="IRNazanin" w:hAnsi="IRNazanin" w:eastAsia="IRNazanin" w:cs="IRNazanin"/>
          <w:lang w:bidi="fa-IR"/>
          <w:color w:val="111111"/>
          <w:sz w:val="28"/>
          <w:szCs w:val="28"/>
          <w:rtl/>
        </w:rPr>
        <w:t xml:space="preserve">۳۱. تهران، دانشگاه؛ شماره نسخه:۱۲۳۴</w:t>
      </w:r>
    </w:p>
    <w:p>
      <w:pPr>
        <w:pStyle w:val="BookText"/>
      </w:pPr>
      <w:r>
        <w:rPr>
          <w:rFonts w:ascii="IRNazanin" w:hAnsi="IRNazanin" w:eastAsia="IRNazanin" w:cs="IRNazanin"/>
          <w:lang w:bidi="fa-IR"/>
          <w:color w:val="111111"/>
          <w:sz w:val="28"/>
          <w:szCs w:val="28"/>
          <w:rtl/>
        </w:rPr>
        <w:t xml:space="preserve">آغاز: وقایع سنه هشتصد از رحلت خير البشر .. صاحبقران گیتی استان در دوازدهم محرم از آب سند عبور نمود؛ انجام: از رحلت حضرت خير البشر ... میرزا سلطان ابوسعید پادشاه ایران امیر احمد برلاس را بفارس در گزین و امیر فرمان شیخ را بیزد و امیر حاجی يساولرا بابر قوه و اسکندر رکابدار را بقم تعیین نمود ... و پسران امیر علی شکر با او نیز بیوفائی کرده در همدان او را بقتل آوردند را میرزاده حسین علی (بجهت تقدیم کتابخانه حضرت مستطاب اجل اكرم افخم آقای ... (پاک شده) روحی فداه بیداقل چاکران عباس بن ابو الحسن منشی باشی علی آبادی سمت تحریر یافت في شهر شعبان سنه ۱۳۱۳) خط: نستعلیق، بی کا، بی تا، مجدول، با سرلوح آراسته با کاغذ: فرنگی کلفت، جلد: تیماج سرخ ضربی گرد آن مشکی و مقوائی، ۲۳۲ گ، ۱۵ سطر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۶-۲۴۴۶]</w:t>
      </w:r>
    </w:p>
    <w:p>
      <w:pPr>
        <w:pStyle w:val="BookText"/>
      </w:pPr>
      <w:r>
        <w:rPr>
          <w:rFonts w:ascii="IRNazanin" w:hAnsi="IRNazanin" w:eastAsia="IRNazanin" w:cs="IRNazanin"/>
          <w:lang w:bidi="fa-IR"/>
          <w:color w:val="111111"/>
          <w:sz w:val="28"/>
          <w:szCs w:val="28"/>
          <w:rtl/>
        </w:rPr>
        <w:t xml:space="preserve">تهران؛ دائرة المعارف؛ شماره نسخه: ۶-عکسی</w:t>
      </w:r>
    </w:p>
    <w:p>
      <w:pPr>
        <w:pStyle w:val="BookText"/>
      </w:pPr>
      <w:r>
        <w:rPr>
          <w:rFonts w:ascii="IRNazanin" w:hAnsi="IRNazanin" w:eastAsia="IRNazanin" w:cs="IRNazanin"/>
          <w:lang w:bidi="fa-IR"/>
          <w:color w:val="111111"/>
          <w:sz w:val="28"/>
          <w:szCs w:val="28"/>
          <w:rtl/>
        </w:rPr>
        <w:t xml:space="preserve">نسخه اصل: همان نسخه بالا [ عکسی ف: ۲-۵۲]</w:t>
      </w:r>
    </w:p>
    <w:p>
      <w:pPr>
        <w:pStyle w:val="BookText"/>
      </w:pPr>
      <w:r>
        <w:rPr>
          <w:rFonts w:ascii="IRNazanin" w:hAnsi="IRNazanin" w:eastAsia="IRNazanin" w:cs="IRNazanin"/>
          <w:lang w:bidi="fa-IR"/>
          <w:color w:val="111111"/>
          <w:sz w:val="28"/>
          <w:szCs w:val="28"/>
          <w:rtl/>
        </w:rPr>
        <w:t xml:space="preserve">تهران، دانشگاه؛ شماره نسخه: ۴۳۳۰ف</w:t>
      </w:r>
    </w:p>
    <w:p>
      <w:pPr>
        <w:pStyle w:val="BookText"/>
      </w:pPr>
      <w:r>
        <w:rPr>
          <w:rFonts w:ascii="IRNazanin" w:hAnsi="IRNazanin" w:eastAsia="IRNazanin" w:cs="IRNazanin"/>
          <w:lang w:bidi="fa-IR"/>
          <w:color w:val="111111"/>
          <w:sz w:val="28"/>
          <w:szCs w:val="28"/>
          <w:rtl/>
        </w:rPr>
        <w:t xml:space="preserve">نسخه اصل: نسخه های بالا (دانشگاه ۱۲۲۹-۱۲۳۴) [فيلمها ف: ۳-۴۶]</w:t>
      </w:r>
    </w:p>
    <w:p>
      <w:pPr>
        <w:pStyle w:val="BookText"/>
      </w:pPr>
      <w:r>
        <w:rPr>
          <w:rFonts w:ascii="IRNazanin" w:hAnsi="IRNazanin" w:eastAsia="IRNazanin" w:cs="IRNazanin"/>
          <w:lang w:bidi="fa-IR"/>
          <w:color w:val="111111"/>
          <w:sz w:val="28"/>
          <w:szCs w:val="28"/>
          <w:rtl/>
        </w:rPr>
        <w:t xml:space="preserve">تهران؛ دائرة المعارف؛ شماره نسخه:۴۱۴-عکسی</w:t>
      </w:r>
    </w:p>
    <w:p>
      <w:pPr>
        <w:pStyle w:val="BookText"/>
      </w:pPr>
      <w:r>
        <w:rPr>
          <w:rFonts w:ascii="IRNazanin" w:hAnsi="IRNazanin" w:eastAsia="IRNazanin" w:cs="IRNazanin"/>
          <w:lang w:bidi="fa-IR"/>
          <w:color w:val="111111"/>
          <w:sz w:val="28"/>
          <w:szCs w:val="28"/>
          <w:rtl/>
        </w:rPr>
        <w:t xml:space="preserve">نسخه اصل: نسخه های بالا [عکسی ف: ۲-۵۲]</w:t>
      </w:r>
    </w:p>
    <w:p>
      <w:pPr>
        <w:pStyle w:val="Heading3"/>
      </w:pPr>
      <w:bookmarkStart w:id="2035" w:name="_Toc1295"/>
      <w:r>
        <w:t>•تاريخ الكساندر اول امپراطور روس / تاریخ پادشاهان / فارسی</w:t>
      </w:r>
      <w:bookmarkEnd w:id="2035"/>
    </w:p>
    <w:p>
      <w:pPr>
        <w:pStyle w:val="BookText"/>
      </w:pPr>
      <w:r>
        <w:rPr>
          <w:rFonts w:ascii="Times New Roman" w:hAnsi="Times New Roman" w:eastAsia="Times New Roman" w:cs="Times New Roman"/>
          <w:lang w:val="en-US" w:bidi="en-US"/>
          <w:color w:val="111111"/>
          <w:sz w:val="28"/>
          <w:szCs w:val="28"/>
          <w:rtl/>
        </w:rPr>
        <w:t xml:space="preserve">tārīx-e aleksānder-e avval emperātūr-e rūs</w:t>
      </w:r>
    </w:p>
    <w:p>
      <w:pPr>
        <w:pStyle w:val="BookText"/>
      </w:pPr>
      <w:r>
        <w:rPr>
          <w:rFonts w:ascii="IRNazanin" w:hAnsi="IRNazanin" w:eastAsia="IRNazanin" w:cs="IRNazanin"/>
          <w:lang w:bidi="fa-IR"/>
          <w:color w:val="111111"/>
          <w:sz w:val="28"/>
          <w:szCs w:val="28"/>
          <w:rtl/>
        </w:rPr>
        <w:t xml:space="preserve">مترجم: ماردروس ق ۱۹ میلادی ترجمه: ۸ ذیقعده ۱۲۸۳ ق در زمان ناصرالدین شاه قاجار یک دوره تاریخ روسیه به فارسی ترجمه شد که جلد چهارم آن این کتاب است. در این کتاب به طور مفصل شرح حال الكساندر اول امپراطور معروف روسیه از زمان خردسالی تا آخرین روزهای زندگی او آمده است. ترجمه آن سلیس و خالی از اغلاق می باشد ولی متن فارسی آن از اغلاط املایی بر کنار نیست.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386" w:name="pg20363_209679"/>
    <w:bookmarkEnd w:id="386"/>
    <w:p>
      <w:pPr>
        <w:pStyle w:val="BookText"/>
      </w:pPr>
      <w:r>
        <w:rPr>
          <w:rFonts w:ascii="IRNazanin" w:hAnsi="IRNazanin" w:eastAsia="IRNazanin" w:cs="IRNazanin"/>
          <w:lang w:bidi="fa-IR"/>
          <w:color w:val="111111"/>
          <w:sz w:val="28"/>
          <w:szCs w:val="28"/>
          <w:rtl/>
        </w:rPr>
        <w:t xml:space="preserve">تهران؛ ملی؛ شماره نسخه:۴۷۴</w:t>
      </w:r>
    </w:p>
    <w:p>
      <w:pPr>
        <w:pStyle w:val="BookText"/>
      </w:pPr>
      <w:r>
        <w:rPr>
          <w:rFonts w:ascii="IRNazanin" w:hAnsi="IRNazanin" w:eastAsia="IRNazanin" w:cs="IRNazanin"/>
          <w:lang w:bidi="fa-IR"/>
          <w:color w:val="111111"/>
          <w:sz w:val="28"/>
          <w:szCs w:val="28"/>
          <w:rtl/>
        </w:rPr>
        <w:t xml:space="preserve">آغاز: تاریخ جدید. باب پنجم، شرح حال الكساندر اول. ذکر خدمات الكسندر اول، نمره ۹۶ در روز دوازدهم ماه مارت في سنه ۱۸۰۱ هنگامی که الكسندر به تخت روسیه برقرار گردید؛ انجام: که تدبیر عظیم پطر کبیر و مساعی کاطارینای دویم و الكسندر بحد تکمیل رسد</w:t>
      </w:r>
    </w:p>
    <w:p>
      <w:pPr>
        <w:pStyle w:val="BookText"/>
      </w:pPr>
      <w:r>
        <w:rPr>
          <w:rFonts w:ascii="IRNazanin" w:hAnsi="IRNazanin" w:eastAsia="IRNazanin" w:cs="IRNazanin"/>
          <w:lang w:bidi="fa-IR"/>
          <w:color w:val="111111"/>
          <w:sz w:val="28"/>
          <w:szCs w:val="28"/>
          <w:rtl/>
        </w:rPr>
        <w:t xml:space="preserve">خط: نستعلیق خوش، بی کا، تا: جمعه ۸ ذیقعده ۱۲۸۳ق، جان تهران؛ کاغذ: فرنگی لب طلایی، جلد: تیماج سیاه با گل و بته زر، ۲۲۴گ، ۱۱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۱-۴۵۸]</w:t>
      </w:r>
    </w:p>
    <w:p>
      <w:pPr>
        <w:pStyle w:val="Heading3"/>
      </w:pPr>
      <w:bookmarkStart w:id="2036" w:name="_Toc1296"/>
      <w:r>
        <w:t>•تاریخ امامان و شاهان و فیلسوفان / تاریخ عربی</w:t>
      </w:r>
      <w:bookmarkEnd w:id="2036"/>
    </w:p>
    <w:p>
      <w:pPr>
        <w:pStyle w:val="BookText"/>
      </w:pPr>
      <w:r>
        <w:rPr>
          <w:rFonts w:ascii="Times New Roman" w:hAnsi="Times New Roman" w:eastAsia="Times New Roman" w:cs="Times New Roman"/>
          <w:lang w:val="en-US" w:bidi="en-US"/>
          <w:color w:val="111111"/>
          <w:sz w:val="28"/>
          <w:szCs w:val="28"/>
          <w:rtl/>
        </w:rPr>
        <w:t xml:space="preserve">tārīx-e emāmān va šāhān va filsūfān</w:t>
      </w:r>
    </w:p>
    <w:p>
      <w:pPr>
        <w:pStyle w:val="BookText"/>
      </w:pPr>
      <w:r>
        <w:rPr>
          <w:rFonts w:ascii="IRNazanin" w:hAnsi="IRNazanin" w:eastAsia="IRNazanin" w:cs="IRNazanin"/>
          <w:lang w:bidi="fa-IR"/>
          <w:color w:val="111111"/>
          <w:sz w:val="28"/>
          <w:szCs w:val="28"/>
          <w:rtl/>
        </w:rPr>
        <w:t xml:space="preserve">در دو «باب»:</w:t>
      </w:r>
    </w:p>
    <w:p>
      <w:pPr>
        <w:pStyle w:val="BookText"/>
      </w:pPr>
      <w:r>
        <w:rPr>
          <w:rFonts w:ascii="IRNazanin" w:hAnsi="IRNazanin" w:eastAsia="IRNazanin" w:cs="IRNazanin"/>
          <w:lang w:bidi="fa-IR"/>
          <w:color w:val="111111"/>
          <w:sz w:val="28"/>
          <w:szCs w:val="28"/>
          <w:rtl/>
        </w:rPr>
        <w:t xml:space="preserve">۱. دوازده امام، ۲. پادشاهان و فیلسوفان. پادشاهان هند را از تاريخ أكبری نقل کرده است.</w:t>
      </w:r>
    </w:p>
    <w:p>
      <w:pPr>
        <w:pStyle w:val="BookText"/>
      </w:pPr>
      <w:r>
        <w:rPr>
          <w:rFonts w:ascii="IRNazanin" w:hAnsi="IRNazanin" w:eastAsia="IRNazanin" w:cs="IRNazanin"/>
          <w:lang w:bidi="fa-IR"/>
          <w:color w:val="111111"/>
          <w:sz w:val="28"/>
          <w:szCs w:val="28"/>
          <w:rtl/>
        </w:rPr>
        <w:t xml:space="preserve">تهران؛ سپهسالار؛ شماره نسخه:۱۵۲۵</w:t>
      </w:r>
    </w:p>
    <w:p>
      <w:pPr>
        <w:pStyle w:val="BookText"/>
      </w:pPr>
      <w:r>
        <w:rPr>
          <w:rFonts w:ascii="IRNazanin" w:hAnsi="IRNazanin" w:eastAsia="IRNazanin" w:cs="IRNazanin"/>
          <w:lang w:bidi="fa-IR"/>
          <w:color w:val="111111"/>
          <w:sz w:val="28"/>
          <w:szCs w:val="28"/>
          <w:rtl/>
        </w:rPr>
        <w:t xml:space="preserve">آغاز: بسمله. بر دقیقه شناسان دفاتر معرفت کردگار ... پوشیده نماناد که در اول این کتاب سمت گزارش یافته که دنیا مقر طوایف؛ انجام: محمد خان رابع بن ابراهیم خان به تاریخ سنه ۱۰۵۸ به سلطنت رسیده و مدت سلطنت و ارتحال او و سلاطین بعد چون معلوم نتوانست نمود، لذا به همین اکتفا نمود. در سلخ ذیقعده ۱۱۲۲ به اتمام رسید. و موقع است که ... یاد بنمائید.</w:t>
      </w:r>
    </w:p>
    <w:p>
      <w:pPr>
        <w:pStyle w:val="BookText"/>
      </w:pPr>
      <w:r>
        <w:rPr>
          <w:rFonts w:ascii="IRNazanin" w:hAnsi="IRNazanin" w:eastAsia="IRNazanin" w:cs="IRNazanin"/>
          <w:lang w:bidi="fa-IR"/>
          <w:color w:val="111111"/>
          <w:sz w:val="28"/>
          <w:szCs w:val="28"/>
          <w:rtl/>
        </w:rPr>
        <w:t xml:space="preserve">خط: نستعلیق، بی کا، تا: دوشنبه ۱ ربیع الثانی ۱۲۲۸ق؛ کاغذ: فرنگی سفید، جلد: تیماج حنایی ضربی یک لا، ۱۵۹گ، ۱۹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۳-۲۹۴]</w:t>
      </w:r>
    </w:p>
    <w:p>
      <w:pPr>
        <w:pStyle w:val="Heading3"/>
      </w:pPr>
      <w:bookmarkStart w:id="2037" w:name="_Toc1297"/>
      <w:r>
        <w:t>•تاریخ امام حسن مجتبی (علیه السلام) / تاریخ معصومین / فارسی</w:t>
      </w:r>
      <w:bookmarkEnd w:id="2037"/>
    </w:p>
    <w:p>
      <w:pPr>
        <w:pStyle w:val="BookText"/>
      </w:pPr>
      <w:r>
        <w:rPr>
          <w:rFonts w:ascii="Times New Roman" w:hAnsi="Times New Roman" w:eastAsia="Times New Roman" w:cs="Times New Roman"/>
          <w:lang w:val="en-US" w:bidi="en-US"/>
          <w:color w:val="111111"/>
          <w:sz w:val="28"/>
          <w:szCs w:val="28"/>
          <w:rtl/>
        </w:rPr>
        <w:t xml:space="preserve">tārīx-e emām hasan-e mojtabā</w:t>
      </w:r>
    </w:p>
    <w:p>
      <w:pPr>
        <w:pStyle w:val="BookText"/>
      </w:pPr>
      <w:r>
        <w:rPr>
          <w:rFonts w:ascii="IRNazanin" w:hAnsi="IRNazanin" w:eastAsia="IRNazanin" w:cs="IRNazanin"/>
          <w:lang w:bidi="fa-IR"/>
          <w:color w:val="111111"/>
          <w:sz w:val="28"/>
          <w:szCs w:val="28"/>
          <w:rtl/>
        </w:rPr>
        <w:t xml:space="preserve">رساله مختصری در شرح زندگانی امام ابو محمد حسن بن على(عليه السلام)شامل صلح آن حضرت تا شهادت است.</w:t>
      </w:r>
    </w:p>
    <w:p>
      <w:pPr>
        <w:pStyle w:val="BookText"/>
      </w:pPr>
      <w:r>
        <w:rPr>
          <w:rFonts w:ascii="IRNazanin" w:hAnsi="IRNazanin" w:eastAsia="IRNazanin" w:cs="IRNazanin"/>
          <w:lang w:bidi="fa-IR"/>
          <w:color w:val="111111"/>
          <w:sz w:val="28"/>
          <w:szCs w:val="28"/>
          <w:rtl/>
        </w:rPr>
        <w:t xml:space="preserve">قم؛ مرعشی؛ شماره نسخه: ۱۱۶۱۷/۱۰</w:t>
      </w:r>
    </w:p>
    <w:p>
      <w:pPr>
        <w:pStyle w:val="BookText"/>
      </w:pPr>
      <w:r>
        <w:rPr>
          <w:rFonts w:ascii="IRNazanin" w:hAnsi="IRNazanin" w:eastAsia="IRNazanin" w:cs="IRNazanin"/>
          <w:lang w:bidi="fa-IR"/>
          <w:color w:val="111111"/>
          <w:sz w:val="28"/>
          <w:szCs w:val="28"/>
          <w:rtl/>
        </w:rPr>
        <w:t xml:space="preserve">آغاز: شافيه بيان حسب و نسب و جلالت خود فرمود و در ضمن آن مفاخرتها گفت؛ انجام: بر پشت جنازه آنحضرت پای برهنه می آمدند و میكریستند و روایت کرده است. خط: نسخ، بی کا، تا: قرن ۱۳؛ افتادگی: آغاز و انجام؛ مصحح؛ کاغذ: فرنگی، آهار مهره، جلد: مقوایی سفید، ۲۸گ (۴۹-۷۶)، ۱۷ سطر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۲۹-۳۶۲]</w:t>
      </w:r>
    </w:p>
    <w:p>
      <w:pPr>
        <w:pStyle w:val="Heading3"/>
      </w:pPr>
      <w:bookmarkStart w:id="2038" w:name="_Toc1298"/>
      <w:r>
        <w:t>• تاریخ امام حسین(عليه السلام)/ تاریخ معصومین / عربی</w:t>
      </w:r>
      <w:bookmarkEnd w:id="2038"/>
    </w:p>
    <w:p>
      <w:pPr>
        <w:pStyle w:val="BookText"/>
      </w:pPr>
      <w:r>
        <w:rPr>
          <w:rFonts w:ascii="Times New Roman" w:hAnsi="Times New Roman" w:eastAsia="Times New Roman" w:cs="Times New Roman"/>
          <w:lang w:val="en-US" w:bidi="en-US"/>
          <w:color w:val="111111"/>
          <w:sz w:val="28"/>
          <w:szCs w:val="28"/>
          <w:rtl/>
        </w:rPr>
        <w:t xml:space="preserve">tārīx-e emām hoseyn</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IRNazanin" w:hAnsi="IRNazanin" w:eastAsia="IRNazanin" w:cs="IRNazanin"/>
          <w:lang w:bidi="fa-IR"/>
          <w:color w:val="111111"/>
          <w:sz w:val="28"/>
          <w:szCs w:val="28"/>
          <w:rtl/>
        </w:rPr>
        <w:t xml:space="preserve">۱. تهران؛ ملی؛ شماره نسخه:۲۶۰۲۷</w:t>
      </w:r>
    </w:p>
    <w:p>
      <w:pPr>
        <w:pStyle w:val="BookText"/>
      </w:pPr>
      <w:r>
        <w:rPr>
          <w:rFonts w:ascii="IRNazanin" w:hAnsi="IRNazanin" w:eastAsia="IRNazanin" w:cs="IRNazanin"/>
          <w:lang w:bidi="fa-IR"/>
          <w:color w:val="111111"/>
          <w:sz w:val="28"/>
          <w:szCs w:val="28"/>
          <w:rtl/>
        </w:rPr>
        <w:t xml:space="preserve">بی کا، بی تا، خریداری از حوزه علمیه ولی عصر کرمان [رایانه ]</w:t>
      </w:r>
    </w:p>
    <w:p>
      <w:pPr>
        <w:pStyle w:val="BookText"/>
      </w:pPr>
      <w:r>
        <w:rPr>
          <w:rFonts w:ascii="IRNazanin" w:hAnsi="IRNazanin" w:eastAsia="IRNazanin" w:cs="IRNazanin"/>
          <w:lang w:bidi="fa-IR"/>
          <w:color w:val="111111"/>
          <w:sz w:val="28"/>
          <w:szCs w:val="28"/>
          <w:rtl/>
        </w:rPr>
        <w:t xml:space="preserve">۲. قم، گلپایگانی؛ شماره نسخه:۳۲۱۷- ۱۶/۲۲۷</w:t>
      </w:r>
    </w:p>
    <w:p>
      <w:pPr>
        <w:pStyle w:val="BookText"/>
      </w:pPr>
      <w:r>
        <w:rPr>
          <w:rFonts w:ascii="IRNazanin" w:hAnsi="IRNazanin" w:eastAsia="IRNazanin" w:cs="IRNazanin"/>
          <w:lang w:bidi="fa-IR"/>
          <w:color w:val="111111"/>
          <w:sz w:val="28"/>
          <w:szCs w:val="28"/>
          <w:rtl/>
        </w:rPr>
        <w:t xml:space="preserve">آغاز: برو بریز زمرگم به فرق خاک سیاه *** اجل رسید ان لا اله الا الله / همان امین خداوند مهربان است این*** یقین بدان ملک الموت قبض جان است این؛ انجام: پرسید یکی ز من که تصدیق تو چیست *** این هست علی و آن عمر حق با کیست / گفتم به جواب من يقين دانم و بس***این شیر خداست عمر ندانم .... کیست به نقل از عين البكاء بروجردی و محرق القلوب نراقی و دیگران به نظم و نثر؛ خط: نسخ، كا: براتعلی بن نوروز علی، تا: پنج شنبه ۲۷ جمادی الثانی ۱۲۵۵ق؛ افتادگی: آغاز؛ جلد: تیماج مشکی، ۱۶۵گ، ۱۵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۲-۶۹۱]</w:t>
      </w:r>
    </w:p>
    <w:p>
      <w:pPr>
        <w:pStyle w:val="BookText"/>
      </w:pPr>
      <w:r>
        <w:rPr>
          <w:rFonts w:ascii="IRNazanin" w:hAnsi="IRNazanin" w:eastAsia="IRNazanin" w:cs="IRNazanin"/>
          <w:lang w:bidi="fa-IR"/>
          <w:color w:val="111111"/>
          <w:sz w:val="28"/>
          <w:szCs w:val="28"/>
          <w:rtl/>
        </w:rPr>
        <w:t xml:space="preserve">٣. دامغان؛ صادقیه؛ شماره نسخه:۲۵۳</w:t>
      </w:r>
    </w:p>
    <w:p>
      <w:pPr>
        <w:pStyle w:val="BookText"/>
      </w:pPr>
      <w:r>
        <w:rPr>
          <w:rFonts w:ascii="IRNazanin" w:hAnsi="IRNazanin" w:eastAsia="IRNazanin" w:cs="IRNazanin"/>
          <w:lang w:bidi="fa-IR"/>
          <w:color w:val="111111"/>
          <w:sz w:val="28"/>
          <w:szCs w:val="28"/>
          <w:rtl/>
        </w:rPr>
        <w:t xml:space="preserve">آغاز: حضرت فاطمه فرمود تا حسین و حسن عليهما السلام را بخواند و گفت ای جانان مادر؛ انجام: مرا هست جانی که کردم فدا*** در این را برای رضای خدا متفرقاتی است در تاریخ امام حسین(عليه السلام) و وقایع کربلا و دارای اشعار بسیار؛ خط: نستعلیق، بی کا، تا: قرن ۱۴؛ افتادگی: آغاز و انجام؛ جلد: تیماج قهوه ای، ۵۹گ، مختلف السطر، اندازه: ۱۶/۵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 سم [ف مخ: ۱۶۹]</w:t>
      </w:r>
    </w:p>
    <w:p>
      <w:pPr>
        <w:pStyle w:val="BookText"/>
      </w:pPr>
      <w:r>
        <w:rPr>
          <w:rFonts w:ascii="IRNazanin" w:hAnsi="IRNazanin" w:eastAsia="IRNazanin" w:cs="IRNazanin"/>
          <w:lang w:bidi="fa-IR"/>
          <w:color w:val="111111"/>
          <w:sz w:val="28"/>
          <w:szCs w:val="28"/>
          <w:rtl/>
        </w:rPr>
        <w:t xml:space="preserve">۴.؛ گلپایگانی؛ شماره نسخه:۲۸۲۹- ۱۵/۶۹</w:t>
      </w:r>
    </w:p>
    <w:p>
      <w:pPr>
        <w:pStyle w:val="BookText"/>
      </w:pPr>
      <w:r>
        <w:rPr>
          <w:rFonts w:ascii="IRNazanin" w:hAnsi="IRNazanin" w:eastAsia="IRNazanin" w:cs="IRNazanin"/>
          <w:lang w:bidi="fa-IR"/>
          <w:color w:val="111111"/>
          <w:sz w:val="28"/>
          <w:szCs w:val="28"/>
          <w:rtl/>
        </w:rPr>
        <w:t xml:space="preserve">آغاز: حضرت رسالت پناه (صلی الله علیه وآله وسلم)فرمود که حق تعالی را ملکی هست که دردائیل می گویند و او ... ده هزار بال داشت و از میان هر بالی تا بال دیگر؛ انجام: فصل در بیان آنچه از غرائب معجزات بعد از شهادت آن حضرت به ظهور آمد ... حضرت صادق عليه السلام عرض کردم که من حاضر می شدم در مانند جلاء العيون علامه مجلسی ولی غیر از آن، مؤلف این رساله را در چند« فصل» قرار داده که در نسخه ها تا فصل شانزدهم موجود است. مؤلف در این رساله وقایع کربلا و عاشورا را به تفصیل بیان نموده است؛ خط: نسخ، بی کا، بی تا؛ افتادگی: آغاز و انجام؛ جلد: تیماج مشکی با ترنج و سرترنج مجدول، ۱۱۶گ، ۲۱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۲-۶۸۳]</w:t>
      </w:r>
    </w:p>
    <w:p>
      <w:pPr>
        <w:pStyle w:val="BookText"/>
      </w:pPr>
      <w:r>
        <w:rPr>
          <w:rFonts w:ascii="IRNazanin" w:hAnsi="IRNazanin" w:eastAsia="IRNazanin" w:cs="IRNazanin"/>
          <w:lang w:bidi="fa-IR"/>
          <w:color w:val="111111"/>
          <w:sz w:val="28"/>
          <w:szCs w:val="28"/>
          <w:rtl/>
        </w:rPr>
        <w:t xml:space="preserve">۵. تهران؛ مجلس؛ شماره نسخه:۱۳۷۵۹/۶</w:t>
      </w:r>
    </w:p>
    <w:p>
      <w:pPr>
        <w:pStyle w:val="BookText"/>
      </w:pPr>
      <w:r>
        <w:rPr>
          <w:rFonts w:ascii="IRNazanin" w:hAnsi="IRNazanin" w:eastAsia="IRNazanin" w:cs="IRNazanin"/>
          <w:lang w:bidi="fa-IR"/>
          <w:color w:val="111111"/>
          <w:sz w:val="28"/>
          <w:szCs w:val="28"/>
          <w:rtl/>
        </w:rPr>
        <w:t xml:space="preserve">آغاز: حمد و ثناء مخصوص شاهنشاهی است که در دار دنیا و دوستانش مقهور؛ انجام: غبار سرخی پیدا شد ... عذاب الهی بر زمین نازل می شود آه واویلا مؤلف برای منبرهای خود تهیه نموده است؛ بی کا، بی تا؛ جلد: تیماج قهوه ای، ۱۹گ (۴۵ر -۶۳ر) [ف: ۳۷-۲۹۴]</w:t>
      </w:r>
    </w:p>
    <w:p>
      <w:pPr>
        <w:pStyle w:val="BookText"/>
      </w:pPr>
      <w:r>
        <w:rPr>
          <w:rFonts w:ascii="IRNazanin" w:hAnsi="IRNazanin" w:eastAsia="IRNazanin" w:cs="IRNazanin"/>
          <w:lang w:bidi="fa-IR"/>
          <w:color w:val="111111"/>
          <w:sz w:val="28"/>
          <w:szCs w:val="28"/>
          <w:rtl/>
        </w:rPr>
        <w:t xml:space="preserve">. تهران؛ مجلس؛ شماره نسخه:۱۴۳۷۵</w:t>
      </w:r>
    </w:p>
    <w:p>
      <w:pPr>
        <w:pStyle w:val="BookText"/>
      </w:pPr>
      <w:r>
        <w:rPr>
          <w:rFonts w:ascii="IRNazanin" w:hAnsi="IRNazanin" w:eastAsia="IRNazanin" w:cs="IRNazanin"/>
          <w:lang w:bidi="fa-IR"/>
          <w:color w:val="111111"/>
          <w:sz w:val="28"/>
          <w:szCs w:val="28"/>
          <w:rtl/>
        </w:rPr>
        <w:t xml:space="preserve">آغاز: هیچ قربتی در سفر و همنشینی در حضر برابر ذکر و شکر او نیست دوم اذا وقعت في بلية فاستعن بالله اگر ببلایی درمانی و عافیت از تو کناره گیرد؛ انجام: در کنز الغرایب آورده که مهتر و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387" w:name="pg20363_209680"/>
    <w:bookmarkEnd w:id="387"/>
    <w:p>
      <w:pPr>
        <w:pStyle w:val="BookText"/>
      </w:pPr>
      <w:r>
        <w:rPr>
          <w:rFonts w:ascii="IRNazanin" w:hAnsi="IRNazanin" w:eastAsia="IRNazanin" w:cs="IRNazanin"/>
          <w:lang w:bidi="fa-IR"/>
          <w:color w:val="111111"/>
          <w:sz w:val="28"/>
          <w:szCs w:val="28"/>
          <w:rtl/>
        </w:rPr>
        <w:t xml:space="preserve">بهتر و بزرگتر همه یاران دوزخ مایست او را شدید گویند ... محاربان کوفه و شام که در آن معرکه حاضر بوده اند. مقتلی است در شرح حال و وقایع اهل بیت (عليهم السلام) خصوصا وقایع جان گداز کربلا. مؤلف کتابش را در چند باب ترتیب داده و در آغاز آن، از ابتلائات پیامبران قبل از اسلام شمه ای بیان نموده و بعد از آن اندکی از مصایب حضرت پیامبر (صلی الله علیه وآله وسلم) و حضرت فاطمه زهرا(عليها السلام)ذکر نموده و پس از آن وقایع کربلا را مفصل به صورت مقتل، بدون ذکر مأخذ بیان نموده است. مؤلف در اثنای کتاب مکرر اشعاری به فارسی از شاعران ذکر می کند؛ خط: نستعلیق، بی کا، بی تا، افتادگی: آغاز و انجام؛ بی کا، بی تا، جلد: تیماج قهوه ای، ۲۱۸گ، ۱۶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سم [ف: ۳۸-۵۰۵]</w:t>
      </w:r>
    </w:p>
    <w:p>
      <w:pPr>
        <w:pStyle w:val="BookText"/>
      </w:pPr>
      <w:r>
        <w:rPr>
          <w:rFonts w:ascii="IRNazanin" w:hAnsi="IRNazanin" w:eastAsia="IRNazanin" w:cs="IRNazanin"/>
          <w:lang w:bidi="fa-IR"/>
          <w:color w:val="111111"/>
          <w:sz w:val="28"/>
          <w:szCs w:val="28"/>
          <w:rtl/>
        </w:rPr>
        <w:t xml:space="preserve">۷. تهران؛ ملی؛ شماره نسخه:۱۷۵۷۹</w:t>
      </w:r>
    </w:p>
    <w:p>
      <w:pPr>
        <w:pStyle w:val="BookText"/>
      </w:pPr>
      <w:r>
        <w:rPr>
          <w:rFonts w:ascii="IRNazanin" w:hAnsi="IRNazanin" w:eastAsia="IRNazanin" w:cs="IRNazanin"/>
          <w:lang w:bidi="fa-IR"/>
          <w:color w:val="111111"/>
          <w:sz w:val="28"/>
          <w:szCs w:val="28"/>
          <w:rtl/>
        </w:rPr>
        <w:t xml:space="preserve">واقعات و حالات شهادت امام حسن؛ بی کا، بی تا انتقالی از کتابخانه پهلوی - مجموعه نوازی؛ اندازه: ۳۳۷۱۹/۹ سم [رایانه]</w:t>
      </w:r>
    </w:p>
    <w:p>
      <w:pPr>
        <w:pStyle w:val="Heading3"/>
      </w:pPr>
      <w:bookmarkStart w:id="2039" w:name="_Toc1299"/>
      <w:r>
        <w:t>• تاریخ امام رضا(عليه السلام) / تاریخ معصومین / فارسی</w:t>
      </w:r>
      <w:bookmarkEnd w:id="2039"/>
    </w:p>
    <w:p>
      <w:pPr>
        <w:pStyle w:val="BookText"/>
      </w:pPr>
      <w:r>
        <w:rPr>
          <w:rFonts w:ascii="Times New Roman" w:hAnsi="Times New Roman" w:eastAsia="Times New Roman" w:cs="Times New Roman"/>
          <w:lang w:val="en-US" w:bidi="en-US"/>
          <w:color w:val="111111"/>
          <w:sz w:val="28"/>
          <w:szCs w:val="28"/>
          <w:rtl/>
        </w:rPr>
        <w:t xml:space="preserve">tārīx-e emām rezā</w:t>
      </w:r>
    </w:p>
    <w:p>
      <w:pPr>
        <w:pStyle w:val="BookText"/>
      </w:pPr>
      <w:r>
        <w:rPr>
          <w:rFonts w:ascii="IRNazanin" w:hAnsi="IRNazanin" w:eastAsia="IRNazanin" w:cs="IRNazanin"/>
          <w:lang w:bidi="fa-IR"/>
          <w:color w:val="111111"/>
          <w:sz w:val="28"/>
          <w:szCs w:val="28"/>
          <w:rtl/>
        </w:rPr>
        <w:t xml:space="preserve">مؤلف می گوید: محمد حسین خان اظهار نمود که همیشه در سویدای خاطر برادرم مرحوم علی رضا خان بود که به سعی وی کتابی به لغت فارسی در ذکر احوال و معجزات و مدت عمر و کیفیت شهادت و محل دفن امام رضا(عليه السلام) به نحوی که در اخبار و آثار معتبره وارد شده، تألیف شود تا آنکه آن مرحوم داعی حق را لبیک گفت و خان از من خواست تا کتاب مذکور را بنگارم و من این کتاب را در ۱۵ «فصل» نگاشتم. غالبا از قدما چون ابن شهر آشوب، مفید، اربلی، راوندی ... و كتب آنان نقل می کند و در موارد اندکی با عنوان «مؤلف گوید» توضیحی مختصر می آورد. عنوان «فصل»ها چنین است: ۱. احوال والده آن حضرت و کیفیت ولادت و اسم و لقب و کنیت و نقش خاتم آن جناب؛ ۲. نصوصی که بر امامت آن حضرت به خصوص وارد شده است؛ ۳. معجزات و غرایب حالاتی که از آن سرور اهل سعادت مشاهده شده است در دو بیان؛ ۴. محاسن اوصاف و مکارم اخلاق و جوامع سنن و آداب و خصال آن برگزیده خداوند متعال؛ ۵. مجملی از احوال آن حضرت از وقت ولادت تا زمان شهادت و مدت عمر؛ ۶. احوال آن حضرت در زمان هارون؛ 7. معجزات و احوالی که در حال رفتن آن حضرت به جانب خراسان اتفاق افتاد؛ ۸ ورود آن حضرت به مرو و ملاقات با مأمون و تکلیف نمودن مأمون آن جناب را به قبول ولایت عهد؛ ۹. آنچه در میان آن حضرت و مأمون بعد از ولایت عهد واقع شد؛ ۱۰. احتجاجاتی که مأمون خود برای تقرب به آن حضرت با مخالفان می کرد؛ ۱۱. خروج آن حضرت به نماز عید و طلب باران و غیر آن به خواهش مأمون؛ ۱۲. اموری چند که ذکر آن در این مقام مناسب است؟ ۱۳. اخباریکه از رسول خدا(صلی الله علیه وآله وسلم)و ائمه طاهرین (عليه السلام)در خصوص شهید شدن آن حضرت تاریخ امامان - تاریخ امپراطور ۵۵۳ وارد شده است؛ ۱۴. کیفیت شهادت آن حضرت؛ ۱۵. ذکر ازواج و اولاد و اخوان و اصحاب و اقارب آن جناب؛ خاتمه در ذكر معجزات و کراماتی که در نزد ضریح مقدس به ظهور رسیده است.</w:t>
      </w:r>
    </w:p>
    <w:p>
      <w:pPr>
        <w:pStyle w:val="BookText"/>
      </w:pPr>
      <w:r>
        <w:rPr>
          <w:rFonts w:ascii="IRNazanin" w:hAnsi="IRNazanin" w:eastAsia="IRNazanin" w:cs="IRNazanin"/>
          <w:lang w:bidi="fa-IR"/>
          <w:color w:val="111111"/>
          <w:sz w:val="28"/>
          <w:szCs w:val="28"/>
          <w:rtl/>
        </w:rPr>
        <w:t xml:space="preserve">قم؛ طبسی؛ شماره نسخه: ۶۸۴</w:t>
      </w:r>
    </w:p>
    <w:p>
      <w:pPr>
        <w:pStyle w:val="BookText"/>
      </w:pPr>
      <w:r>
        <w:rPr>
          <w:rFonts w:ascii="IRNazanin" w:hAnsi="IRNazanin" w:eastAsia="IRNazanin" w:cs="IRNazanin"/>
          <w:lang w:bidi="fa-IR"/>
          <w:color w:val="111111"/>
          <w:sz w:val="28"/>
          <w:szCs w:val="28"/>
          <w:rtl/>
        </w:rPr>
        <w:t xml:space="preserve">آغاز: مخادیم لازم التكريم يعنی ثمره شجره رفعت وعظمت ونور حديقه مردمی ومکرمت.. محمد حسین خان ... اظهار نمود که همیشه در سویدای ... تألیف این کتاب بهمان نحو که در خاطر غفران مآب مخمر و مصور بوده است نمود و مشتمل است بر پانزده فصل؛ انجام: قلنق تاش می گفتند و او با جمع دیگر در آنجا بودند و آن کیسه را کسی از من دزدید و من ملتفت نبودم و چون خط: نستعلیق، بی کا، تا: قرن ۱۳؛ افتادگی: آغاز ( یک صفحه) و انجام؛ مصحح، خط خوردگی دارد؛ ۱۲۲گ، ۱۴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مخ: ۱-۹۰]</w:t>
      </w:r>
    </w:p>
    <w:p>
      <w:pPr>
        <w:pStyle w:val="Heading3"/>
      </w:pPr>
      <w:bookmarkStart w:id="2040" w:name="_Toc1300"/>
      <w:r>
        <w:t>•تاریخ امپراطوران آلمان و پاپهای رم / تاریخ / فارسی</w:t>
      </w:r>
      <w:bookmarkEnd w:id="2040"/>
    </w:p>
    <w:p>
      <w:pPr>
        <w:pStyle w:val="BookText"/>
      </w:pPr>
      <w:r>
        <w:rPr>
          <w:rFonts w:ascii="Times New Roman" w:hAnsi="Times New Roman" w:eastAsia="Times New Roman" w:cs="Times New Roman"/>
          <w:lang w:val="en-US" w:bidi="en-US"/>
          <w:color w:val="111111"/>
          <w:sz w:val="28"/>
          <w:szCs w:val="28"/>
          <w:rtl/>
        </w:rPr>
        <w:t xml:space="preserve">tārīx-e emperātūrān-e ālmān va pāp-hā-ye rom</w:t>
      </w:r>
    </w:p>
    <w:p>
      <w:pPr>
        <w:pStyle w:val="BookText"/>
      </w:pPr>
      <w:r>
        <w:rPr>
          <w:rFonts w:ascii="IRNazanin" w:hAnsi="IRNazanin" w:eastAsia="IRNazanin" w:cs="IRNazanin"/>
          <w:lang w:bidi="fa-IR"/>
          <w:color w:val="111111"/>
          <w:sz w:val="28"/>
          <w:szCs w:val="28"/>
          <w:rtl/>
        </w:rPr>
        <w:t xml:space="preserve">ولتر، فرانسوا ماری آروئه دو ۱۶۹۴-۱۷۷۸ میلادی</w:t>
      </w:r>
    </w:p>
    <w:p>
      <w:pPr>
        <w:pStyle w:val="BookText"/>
      </w:pPr>
      <w:r>
        <w:rPr>
          <w:rFonts w:ascii="Times New Roman" w:hAnsi="Times New Roman" w:eastAsia="Times New Roman" w:cs="Times New Roman"/>
          <w:lang w:val="en-US" w:bidi="en-US"/>
          <w:color w:val="111111"/>
          <w:sz w:val="28"/>
          <w:szCs w:val="28"/>
          <w:rtl/>
        </w:rPr>
        <w:t xml:space="preserve">volter, ferānswā mārī āro’e do (1694-1778)</w:t>
      </w:r>
    </w:p>
    <w:p>
      <w:pPr>
        <w:pStyle w:val="BookText"/>
      </w:pPr>
      <w:r>
        <w:rPr>
          <w:rFonts w:ascii="IRNazanin" w:hAnsi="IRNazanin" w:eastAsia="IRNazanin" w:cs="IRNazanin"/>
          <w:lang w:bidi="fa-IR"/>
          <w:color w:val="111111"/>
          <w:sz w:val="28"/>
          <w:szCs w:val="28"/>
          <w:rtl/>
        </w:rPr>
        <w:t xml:space="preserve">ترجمه ای از فرانسوی به فارسی از کتاب ولتر، نویسنده و شاعر معروف فرانسه، است. این ترجمه تا وقایع سال ۱۹۶۴ میلادی رسیده و ناتمام مانده است.</w:t>
      </w:r>
    </w:p>
    <w:p>
      <w:pPr>
        <w:pStyle w:val="BookText"/>
      </w:pPr>
      <w:r>
        <w:rPr>
          <w:rFonts w:ascii="IRNazanin" w:hAnsi="IRNazanin" w:eastAsia="IRNazanin" w:cs="IRNazanin"/>
          <w:lang w:bidi="fa-IR"/>
          <w:color w:val="111111"/>
          <w:sz w:val="28"/>
          <w:szCs w:val="28"/>
          <w:rtl/>
        </w:rPr>
        <w:t xml:space="preserve">تهران؛ مجلس؛ شماره نسخه:۲۲۴</w:t>
      </w:r>
    </w:p>
    <w:p>
      <w:pPr>
        <w:pStyle w:val="BookText"/>
      </w:pPr>
      <w:r>
        <w:rPr>
          <w:rFonts w:ascii="IRNazanin" w:hAnsi="IRNazanin" w:eastAsia="IRNazanin" w:cs="IRNazanin"/>
          <w:lang w:bidi="fa-IR"/>
          <w:color w:val="111111"/>
          <w:sz w:val="28"/>
          <w:szCs w:val="28"/>
          <w:rtl/>
        </w:rPr>
        <w:t xml:space="preserve">آغاز: پس از سپاس و ستایش خداوند جهان و جهانیان و درود خاتم پیغمبران خط: نستعلیق، بی کا، بی تا؛ ۱۰۸گ، ۱۰۸ سطر، قطع: رحلی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۲-۱۲۶]</w:t>
      </w:r>
    </w:p>
    <w:p>
      <w:pPr>
        <w:pStyle w:val="Heading3"/>
      </w:pPr>
      <w:bookmarkStart w:id="2041" w:name="_Toc1301"/>
      <w:r>
        <w:t>•تاریخ امپراطور نیکولا و وقایع سی سال سلطنت او / تاریخ / فارسی</w:t>
      </w:r>
      <w:bookmarkEnd w:id="2041"/>
    </w:p>
    <w:p>
      <w:pPr>
        <w:pStyle w:val="BookText"/>
      </w:pPr>
      <w:r>
        <w:rPr>
          <w:rFonts w:ascii="Times New Roman" w:hAnsi="Times New Roman" w:eastAsia="Times New Roman" w:cs="Times New Roman"/>
          <w:lang w:val="en-US" w:bidi="en-US"/>
          <w:color w:val="111111"/>
          <w:sz w:val="28"/>
          <w:szCs w:val="28"/>
          <w:rtl/>
        </w:rPr>
        <w:t xml:space="preserve">tārīx-e emperātūr nīkolā va vaqāye‘-e sī sāl saltanat-e ū</w:t>
      </w:r>
    </w:p>
    <w:p>
      <w:pPr>
        <w:pStyle w:val="BookText"/>
      </w:pPr>
      <w:r>
        <w:rPr>
          <w:rFonts w:ascii="IRNazanin" w:hAnsi="IRNazanin" w:eastAsia="IRNazanin" w:cs="IRNazanin"/>
          <w:lang w:bidi="fa-IR"/>
          <w:color w:val="111111"/>
          <w:sz w:val="28"/>
          <w:szCs w:val="28"/>
          <w:rtl/>
        </w:rPr>
        <w:t xml:space="preserve">مترجم: ریشار خان ، یوسف ۱۸۶۸-۱۹۳۵ میلادی تاریخ ترجمه: ۱۲۷۵ق مترجم: موسیو ریشار خان فرانسوی با تصحيح دوستعلی خان معير الممالک. این کتاب قسمتی از تاریخ روسیه است، در چند فصل»: ۱. از تولد گران دوک نیکولا تا مکتوب او به خلیفه مسکو؛ ۲. از تفصيل حالات و امپراطوری الكسندر تا بروز اغتشاش در مسکو؛ ۳. از رسیدن میشل به شهر پطر تا توبه و اطاعت سربازان یاغی؛ ۴. از گرفتن پرنس ترويد سکائی تا گرفتن بزرگان اغتشاش در ولایات؛ ۵. از حرمت داشتن اهالی سفارتخانه تا انتقال جنازه امپراطور؛ ۶. از آمدن دوک ولين تان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388" w:name="pg20363_209681"/>
    <w:bookmarkEnd w:id="388"/>
    <w:p>
      <w:pPr>
        <w:pStyle w:val="BookText"/>
      </w:pPr>
      <w:r>
        <w:rPr>
          <w:rFonts w:ascii="IRNazanin" w:hAnsi="IRNazanin" w:eastAsia="IRNazanin" w:cs="IRNazanin"/>
          <w:lang w:bidi="fa-IR"/>
          <w:color w:val="111111"/>
          <w:sz w:val="28"/>
          <w:szCs w:val="28"/>
          <w:rtl/>
        </w:rPr>
        <w:t xml:space="preserve">به شهر پطر تا اخراج بلد شدن مفسدین، ۷. از آمدن چند نفر متشخصین به شهر پطر تا تهیه و تدارک جنگ؛ ۸ از اعاده جنگ ایران تا صدور دستخط؛ ۹. از اعلام جنگ به دولت عثمانلو تا فتح لشکر فرانسه در ولایت پلاستر؛ ۱۰. از اعاده جنگ تا ناخوش شدن امپراطور؛ ۱۱. از رفتن سفیر روم به پطر تا وفات یافتن گران دوک قسطنطن؛ ۱۲. از نزول بلا در ولایت ورشو تا بستن عهد نامه پنهانی دولت عثمانلو با دولت روس؛ ۱۳. از اغتشاش جدید در مملکت له تا سفر نیکولا بدول خارجه؛ ۱۴. از پیدا شدن بلای هولناک تا ظلم دولت روس به ملت کاتوليک؛ ۱۵. از امور شرقی تا کم کردن لشکر؛ ۱۶. از جواب و سؤال دولت روس با پاپ تا توجه امپراطور بامپراطریس؛ ۱۷. از اغتشاش ماه فوریه در پاریس تا سال بیست و پنجم جلوس امپراطور؛ ۱۸. از ایام بخت برگشتگی امپراطور نیکولا تا اعلام نامه چهار دولت و نامه كنت نسل ورد جواب دولت انگلیس؛ ۱۹. از دورویی دولت روس تا جنگ در شهر الم؛ ۲۰. از غروب کردن کوکب بخت امپراطور نیکولا تا وفات یافتن امپراطور نیکولا؛ ۲۱. در اوصاف امپراطور نیکولا. در این کتاب بیش از بیست و یک فصل دیده نشد.</w:t>
      </w:r>
    </w:p>
    <w:p>
      <w:pPr>
        <w:pStyle w:val="BookText"/>
      </w:pPr>
      <w:r>
        <w:rPr>
          <w:rFonts w:ascii="IRNazanin" w:hAnsi="IRNazanin" w:eastAsia="IRNazanin" w:cs="IRNazanin"/>
          <w:lang w:bidi="fa-IR"/>
          <w:color w:val="111111"/>
          <w:sz w:val="28"/>
          <w:szCs w:val="28"/>
          <w:rtl/>
        </w:rPr>
        <w:t xml:space="preserve">تهران؛ ملی؛ شماره نسخه:۱۴۵</w:t>
      </w:r>
    </w:p>
    <w:p>
      <w:pPr>
        <w:pStyle w:val="BookText"/>
      </w:pPr>
      <w:r>
        <w:rPr>
          <w:rFonts w:ascii="IRNazanin" w:hAnsi="IRNazanin" w:eastAsia="IRNazanin" w:cs="IRNazanin"/>
          <w:lang w:bidi="fa-IR"/>
          <w:color w:val="111111"/>
          <w:sz w:val="28"/>
          <w:szCs w:val="28"/>
          <w:rtl/>
        </w:rPr>
        <w:t xml:space="preserve">آغاز: پس از فهرست فصل اول: مورخ می گوید بتاریخ سیزدهم ماه دسامبر ۱۵۵۳ عیسوی مطابق سنه ۱۹۶۱ انجام: مختصر گویم مردان بزرگ نمی میرند تمت (تم) الكتاب بعون الملک الوهاب سنه ۱۲۷۵</w:t>
      </w:r>
    </w:p>
    <w:p>
      <w:pPr>
        <w:pStyle w:val="BookText"/>
      </w:pPr>
      <w:r>
        <w:rPr>
          <w:rFonts w:ascii="IRNazanin" w:hAnsi="IRNazanin" w:eastAsia="IRNazanin" w:cs="IRNazanin"/>
          <w:lang w:bidi="fa-IR"/>
          <w:color w:val="111111"/>
          <w:sz w:val="28"/>
          <w:szCs w:val="28"/>
          <w:rtl/>
        </w:rPr>
        <w:t xml:space="preserve">خط: نستعلیق خوش، بی کا، تا: ۱۲۷۵ق، جا: تهران؛ محشی، به خط ناصرالدین شاه چنین آمده: «ترجمه تاریخ نیکولای امپراطور روس مرحوم است که داده بودیم موسیو ریشار فرانسوی ملقب به میرزا رضا ترجمه کند به توسط دوستعلی خان معير الممالک روز چهارشنبه ۱۴ شهر جمادی الثانی (الثانية) بحضور آوردند یونت ئیل سنه ۱۲۷۵ در طهران»؛ کاغذ: فرنگی آبی، جلد: تیماج قرمز مجدول زر ضربی، ۴۰۱گ، ۱۷ سطر (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۲۴/۳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۱-۱۳۹]</w:t>
      </w:r>
    </w:p>
    <w:p>
      <w:pPr>
        <w:pStyle w:val="Heading3"/>
      </w:pPr>
      <w:bookmarkStart w:id="2042" w:name="_Toc1302"/>
      <w:r>
        <w:t>• تاریخ امیرالمؤمنین علی(عليه السلام) / تاریخ معصومین / فارسی</w:t>
      </w:r>
      <w:bookmarkEnd w:id="2042"/>
    </w:p>
    <w:p>
      <w:pPr>
        <w:pStyle w:val="BookText"/>
      </w:pPr>
      <w:r>
        <w:rPr>
          <w:rFonts w:ascii="Times New Roman" w:hAnsi="Times New Roman" w:eastAsia="Times New Roman" w:cs="Times New Roman"/>
          <w:lang w:val="en-US" w:bidi="en-US"/>
          <w:color w:val="111111"/>
          <w:sz w:val="28"/>
          <w:szCs w:val="28"/>
          <w:rtl/>
        </w:rPr>
        <w:t xml:space="preserve">tārīx-e amīr-al-mo’menīn ‘alī</w:t>
      </w:r>
    </w:p>
    <w:p>
      <w:pPr>
        <w:pStyle w:val="BookText"/>
      </w:pPr>
      <w:r>
        <w:rPr>
          <w:rFonts w:ascii="IRNazanin" w:hAnsi="IRNazanin" w:eastAsia="IRNazanin" w:cs="IRNazanin"/>
          <w:lang w:bidi="fa-IR"/>
          <w:color w:val="111111"/>
          <w:sz w:val="28"/>
          <w:szCs w:val="28"/>
          <w:rtl/>
        </w:rPr>
        <w:t xml:space="preserve">جمال حسینی، عطاء الله بن فضل الله، - ۹۳۰؟ قمری</w:t>
      </w:r>
    </w:p>
    <w:p>
      <w:pPr>
        <w:pStyle w:val="BookText"/>
      </w:pPr>
      <w:r>
        <w:rPr>
          <w:rFonts w:ascii="Times New Roman" w:hAnsi="Times New Roman" w:eastAsia="Times New Roman" w:cs="Times New Roman"/>
          <w:lang w:val="en-US" w:bidi="en-US"/>
          <w:color w:val="111111"/>
          <w:sz w:val="28"/>
          <w:szCs w:val="28"/>
          <w:rtl/>
        </w:rPr>
        <w:t xml:space="preserve">jamāl hoseynī, ‘atā’-ol-lāh ebn-e fazl-ol-lāh (-1524)</w:t>
      </w:r>
    </w:p>
    <w:p>
      <w:pPr>
        <w:pStyle w:val="BookText"/>
      </w:pPr>
      <w:r>
        <w:rPr>
          <w:rFonts w:ascii="IRNazanin" w:hAnsi="IRNazanin" w:eastAsia="IRNazanin" w:cs="IRNazanin"/>
          <w:lang w:bidi="fa-IR"/>
          <w:color w:val="111111"/>
          <w:sz w:val="28"/>
          <w:szCs w:val="28"/>
          <w:rtl/>
        </w:rPr>
        <w:t xml:space="preserve">تاریخ مختصری است در زندگانی امیر مؤمنان علی(عليه السلام) با استفاده از کتب تاریخی نظیر فتوح ابن اعثم و مستقصی.</w:t>
      </w:r>
    </w:p>
    <w:p>
      <w:pPr>
        <w:pStyle w:val="BookText"/>
      </w:pPr>
      <w:r>
        <w:rPr>
          <w:rFonts w:ascii="IRNazanin" w:hAnsi="IRNazanin" w:eastAsia="IRNazanin" w:cs="IRNazanin"/>
          <w:lang w:bidi="fa-IR"/>
          <w:color w:val="111111"/>
          <w:sz w:val="28"/>
          <w:szCs w:val="28"/>
          <w:rtl/>
        </w:rPr>
        <w:t xml:space="preserve">اصفهان؛ مدرسه صدر بازار؛ شماره نسخه:۷۱۷/۴</w:t>
      </w:r>
    </w:p>
    <w:p>
      <w:pPr>
        <w:pStyle w:val="BookText"/>
      </w:pPr>
      <w:r>
        <w:rPr>
          <w:rFonts w:ascii="IRNazanin" w:hAnsi="IRNazanin" w:eastAsia="IRNazanin" w:cs="IRNazanin"/>
          <w:lang w:bidi="fa-IR"/>
          <w:color w:val="111111"/>
          <w:sz w:val="28"/>
          <w:szCs w:val="28"/>
          <w:rtl/>
        </w:rPr>
        <w:t xml:space="preserve">آغاز: فرموده از این خطب جليل از ایشان هر دو لابد است پس مالک اشتر و حکیم بن جبله به نزد هر دو رفتند و گفتند؛ انجام: التقى المنتجب الولي المعرب سليل عبد المطلب و سيد العجم و العرب صلی الله عليه و سلم كثيرا پس از ... فرود آمد و امر خط: نسخ، كا: امیر محمد معصوم بن میر ابوالخان حسینی کر مرودی، بی تا، افتادگی: آغاز و انجام؛ مصحح؛ ۷۵گ (۱۲۱ر ۱۹۵پ)، اندازه: ۳۰۷۲۰سم [ف: ۳-۵۳۳]</w:t>
      </w:r>
    </w:p>
    <w:p>
      <w:pPr>
        <w:pStyle w:val="BookText"/>
      </w:pPr>
      <w:r>
        <w:rPr>
          <w:rFonts w:ascii="IRNazanin" w:hAnsi="IRNazanin" w:eastAsia="IRNazanin" w:cs="IRNazanin"/>
          <w:lang w:bidi="fa-IR"/>
          <w:color w:val="111111"/>
          <w:sz w:val="28"/>
          <w:szCs w:val="28"/>
          <w:rtl/>
        </w:rPr>
        <w:t xml:space="preserve">← تاریخ امیر تیمور گورکان← سعادت نامه</w:t>
      </w:r>
    </w:p>
    <w:p>
      <w:pPr>
        <w:pStyle w:val="BookText"/>
      </w:pPr>
      <w:r>
        <w:rPr>
          <w:rFonts w:ascii="IRNazanin" w:hAnsi="IRNazanin" w:eastAsia="IRNazanin" w:cs="IRNazanin"/>
          <w:lang w:bidi="fa-IR"/>
          <w:color w:val="111111"/>
          <w:sz w:val="28"/>
          <w:szCs w:val="28"/>
          <w:rtl/>
        </w:rPr>
        <w:t xml:space="preserve">← تاریخ امیری ← کاخ کیوانی</w:t>
      </w:r>
    </w:p>
    <w:p>
      <w:pPr>
        <w:pStyle w:val="Heading3"/>
      </w:pPr>
      <w:bookmarkStart w:id="2043" w:name="_Toc1303"/>
      <w:r>
        <w:t>• تاريخ الأمير يشبک الظاهری و رحلة من القاهرة الى آسيا الصغرى / تاریخ / عربی</w:t>
      </w:r>
      <w:bookmarkEnd w:id="2043"/>
    </w:p>
    <w:p>
      <w:pPr>
        <w:pStyle w:val="BookText"/>
      </w:pPr>
      <w:r>
        <w:rPr>
          <w:rFonts w:ascii="Times New Roman" w:hAnsi="Times New Roman" w:eastAsia="Times New Roman" w:cs="Times New Roman"/>
          <w:lang w:val="en-US" w:bidi="en-US"/>
          <w:color w:val="111111"/>
          <w:sz w:val="28"/>
          <w:szCs w:val="28"/>
          <w:rtl/>
        </w:rPr>
        <w:t xml:space="preserve">tārīx-ul amīr yašbak az-zāhirī wa raḥla min-al qāhira ilā āsīyā aş-Şuğrā</w:t>
      </w:r>
    </w:p>
    <w:p>
      <w:pPr>
        <w:pStyle w:val="BookText"/>
      </w:pPr>
      <w:r>
        <w:rPr>
          <w:rFonts w:ascii="IRNazanin" w:hAnsi="IRNazanin" w:eastAsia="IRNazanin" w:cs="IRNazanin"/>
          <w:lang w:bidi="fa-IR"/>
          <w:color w:val="111111"/>
          <w:sz w:val="28"/>
          <w:szCs w:val="28"/>
          <w:rtl/>
        </w:rPr>
        <w:t xml:space="preserve">مؤمنی، محمد بن بهادر، ق ۹ قمری</w:t>
      </w:r>
    </w:p>
    <w:p>
      <w:pPr>
        <w:pStyle w:val="BookText"/>
      </w:pPr>
      <w:r>
        <w:rPr>
          <w:rFonts w:ascii="Times New Roman" w:hAnsi="Times New Roman" w:eastAsia="Times New Roman" w:cs="Times New Roman"/>
          <w:lang w:val="en-US" w:bidi="en-US"/>
          <w:color w:val="111111"/>
          <w:sz w:val="28"/>
          <w:szCs w:val="28"/>
          <w:rtl/>
        </w:rPr>
        <w:t xml:space="preserve">mo’menī, mohammad ebn-e bahādor (-15c)</w:t>
      </w:r>
    </w:p>
    <w:p>
      <w:pPr>
        <w:pStyle w:val="BookText"/>
      </w:pPr>
      <w:r>
        <w:rPr>
          <w:rFonts w:ascii="IRNazanin" w:hAnsi="IRNazanin" w:eastAsia="IRNazanin" w:cs="IRNazanin"/>
          <w:lang w:bidi="fa-IR"/>
          <w:color w:val="111111"/>
          <w:sz w:val="28"/>
          <w:szCs w:val="28"/>
          <w:rtl/>
        </w:rPr>
        <w:t xml:space="preserve">[فهرس المخطوطات المصورة (معهد المخطوطات العربية)، التاریخ 1/76]</w:t>
      </w:r>
    </w:p>
    <w:p>
      <w:pPr>
        <w:pStyle w:val="BookText"/>
      </w:pPr>
      <w:r>
        <w:rPr>
          <w:rFonts w:ascii="IRNazanin" w:hAnsi="IRNazanin" w:eastAsia="IRNazanin" w:cs="IRNazanin"/>
          <w:lang w:bidi="fa-IR"/>
          <w:color w:val="111111"/>
          <w:sz w:val="28"/>
          <w:szCs w:val="28"/>
          <w:rtl/>
        </w:rPr>
        <w:t xml:space="preserve">قم؛ مرعشی؛ شماره نسخه: ۱۲۲۷/۲</w:t>
      </w:r>
    </w:p>
    <w:p>
      <w:pPr>
        <w:pStyle w:val="BookText"/>
      </w:pPr>
      <w:r>
        <w:rPr>
          <w:rFonts w:ascii="IRNazanin" w:hAnsi="IRNazanin" w:eastAsia="IRNazanin" w:cs="IRNazanin"/>
          <w:lang w:bidi="fa-IR"/>
          <w:color w:val="111111"/>
          <w:sz w:val="28"/>
          <w:szCs w:val="28"/>
          <w:rtl/>
        </w:rPr>
        <w:t xml:space="preserve">آغاز: بسمله. الحمدلله الذي نصر عباده المؤمنين و أيدهم بكلمة التقوى و جعلهم .. أما بعد فلما كان نهار الاثنين العاشر من شهور شوال سنة خمس و سبعین و ثمان مائة توجه المقر الأشرف الكريم العالي الأميري الكبيری ... يشبک الظاهري ثم الأشرفي؛ انجام: و جمع بعض المتأخرين سيرته في مجلد كبير الى آخر أيام ولده شاه رخ الذي طال مدته الى سنة ۸۵۰ اللهم اختم لنا بخير و للمسلمين آمین و الحمد لله وحده ...</w:t>
      </w:r>
    </w:p>
    <w:p>
      <w:pPr>
        <w:pStyle w:val="BookText"/>
      </w:pPr>
      <w:r>
        <w:rPr>
          <w:rFonts w:ascii="IRNazanin" w:hAnsi="IRNazanin" w:eastAsia="IRNazanin" w:cs="IRNazanin"/>
          <w:lang w:bidi="fa-IR"/>
          <w:color w:val="111111"/>
          <w:sz w:val="28"/>
          <w:szCs w:val="28"/>
          <w:rtl/>
        </w:rPr>
        <w:t xml:space="preserve">خط: نسخ، بی کا، بی تا؛ ۱۰۷ص (۱۰۷-۲۱۳)، ۱۲ سطر [عکسی ف: ۵۲۲-۳ ]</w:t>
      </w:r>
    </w:p>
    <w:p>
      <w:pPr>
        <w:pStyle w:val="Heading3"/>
      </w:pPr>
      <w:bookmarkStart w:id="2044" w:name="_Toc1304"/>
      <w:r>
        <w:t>•تاریخ امین و مأمون / تاریخ / فارسی</w:t>
      </w:r>
      <w:bookmarkEnd w:id="2044"/>
    </w:p>
    <w:p>
      <w:pPr>
        <w:pStyle w:val="BookText"/>
      </w:pPr>
      <w:r>
        <w:rPr>
          <w:rFonts w:ascii="Times New Roman" w:hAnsi="Times New Roman" w:eastAsia="Times New Roman" w:cs="Times New Roman"/>
          <w:lang w:val="en-US" w:bidi="en-US"/>
          <w:color w:val="111111"/>
          <w:sz w:val="28"/>
          <w:szCs w:val="28"/>
          <w:rtl/>
        </w:rPr>
        <w:t xml:space="preserve">tārīx-e amīn va ma'mūn</w:t>
      </w:r>
    </w:p>
    <w:p>
      <w:pPr>
        <w:pStyle w:val="BookText"/>
      </w:pPr>
      <w:r>
        <w:rPr>
          <w:rFonts w:ascii="Amiri" w:hAnsi="Amiri" w:eastAsia="Amiri" w:cs="Amiri"/>
          <w:lang w:bidi="ar-SA"/>
          <w:color w:val="111111"/>
          <w:sz w:val="28"/>
          <w:szCs w:val="28"/>
          <w:rtl/>
        </w:rPr>
        <w:t xml:space="preserve">قاجار، عبدالحسين بن مؤيد الدوله</w:t>
      </w:r>
    </w:p>
    <w:p>
      <w:pPr>
        <w:pStyle w:val="BookText"/>
      </w:pPr>
      <w:r>
        <w:rPr>
          <w:rFonts w:ascii="Times New Roman" w:hAnsi="Times New Roman" w:eastAsia="Times New Roman" w:cs="Times New Roman"/>
          <w:lang w:val="en-US" w:bidi="en-US"/>
          <w:color w:val="111111"/>
          <w:sz w:val="28"/>
          <w:szCs w:val="28"/>
          <w:rtl/>
        </w:rPr>
        <w:t xml:space="preserve">qājār, 'abd-ol-hoseyn ebn-e mo’ayyed-od-dowle</w:t>
      </w:r>
    </w:p>
    <w:p>
      <w:pPr>
        <w:pStyle w:val="BookText"/>
      </w:pPr>
      <w:r>
        <w:rPr>
          <w:rFonts w:ascii="IRNazanin" w:hAnsi="IRNazanin" w:eastAsia="IRNazanin" w:cs="IRNazanin"/>
          <w:lang w:bidi="fa-IR"/>
          <w:color w:val="111111"/>
          <w:sz w:val="28"/>
          <w:szCs w:val="28"/>
          <w:rtl/>
        </w:rPr>
        <w:t xml:space="preserve">اهداء به: به نام میرزا عبدالوهاب خان جلال الملک</w:t>
      </w:r>
    </w:p>
    <w:p>
      <w:pPr>
        <w:pStyle w:val="BookText"/>
      </w:pPr>
      <w:r>
        <w:rPr>
          <w:rFonts w:ascii="IRNazanin" w:hAnsi="IRNazanin" w:eastAsia="IRNazanin" w:cs="IRNazanin"/>
          <w:lang w:bidi="fa-IR"/>
          <w:color w:val="111111"/>
          <w:sz w:val="28"/>
          <w:szCs w:val="28"/>
          <w:rtl/>
        </w:rPr>
        <w:t xml:space="preserve">تهران؛ دانشسرای عالی - کتابخانه میرزا عبدالعظیم خان قریب گرکانی؛ شماره نسخه: ۳۱</w:t>
      </w:r>
    </w:p>
    <w:p>
      <w:pPr>
        <w:pStyle w:val="BookText"/>
      </w:pPr>
      <w:r>
        <w:rPr>
          <w:rFonts w:ascii="IRNazanin" w:hAnsi="IRNazanin" w:eastAsia="IRNazanin" w:cs="IRNazanin"/>
          <w:lang w:bidi="fa-IR"/>
          <w:color w:val="111111"/>
          <w:sz w:val="28"/>
          <w:szCs w:val="28"/>
          <w:rtl/>
        </w:rPr>
        <w:t xml:space="preserve">خط: نستعلیق، بی کا، تا: قرن ۱۴، قطع: خشتی [نشریه: ۵-۶۱۹]</w:t>
      </w:r>
    </w:p>
    <w:p>
      <w:pPr>
        <w:pStyle w:val="Heading3"/>
      </w:pPr>
      <w:bookmarkStart w:id="2045" w:name="_Toc1305"/>
      <w:r>
        <w:t>•تاريخ الأنبياء الأكابر و بیان أولي العزم منهم / تاریخ پیامبران / عربی</w:t>
      </w:r>
      <w:bookmarkEnd w:id="2045"/>
    </w:p>
    <w:p>
      <w:pPr>
        <w:pStyle w:val="BookText"/>
      </w:pPr>
      <w:r>
        <w:rPr>
          <w:rFonts w:ascii="Times New Roman" w:hAnsi="Times New Roman" w:eastAsia="Times New Roman" w:cs="Times New Roman"/>
          <w:lang w:val="en-US" w:bidi="en-US"/>
          <w:color w:val="111111"/>
          <w:sz w:val="28"/>
          <w:szCs w:val="28"/>
          <w:rtl/>
        </w:rPr>
        <w:t xml:space="preserve">tārīx-ul ’anbīyā’-il akābir wa bayān-u uli-1-azm-i min hum</w:t>
      </w:r>
    </w:p>
    <w:p>
      <w:pPr>
        <w:pStyle w:val="BookText"/>
      </w:pPr>
      <w:r>
        <w:rPr>
          <w:rFonts w:ascii="IRNazanin" w:hAnsi="IRNazanin" w:eastAsia="IRNazanin" w:cs="IRNazanin"/>
          <w:lang w:bidi="fa-IR"/>
          <w:color w:val="111111"/>
          <w:sz w:val="28"/>
          <w:szCs w:val="28"/>
          <w:rtl/>
        </w:rPr>
        <w:t xml:space="preserve">ابن وزیر، عبدالباسط بن خليل، ۸۴۴-۹۲۰ قمری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389" w:name="pg20363_209682"/>
    <w:bookmarkEnd w:id="389"/>
    <w:p>
      <w:pPr>
        <w:pStyle w:val="BookText"/>
      </w:pPr>
      <w:r>
        <w:rPr>
          <w:rFonts w:ascii="Times New Roman" w:hAnsi="Times New Roman" w:eastAsia="Times New Roman" w:cs="Times New Roman"/>
          <w:lang w:val="en-US" w:bidi="en-US"/>
          <w:color w:val="111111"/>
          <w:sz w:val="28"/>
          <w:szCs w:val="28"/>
          <w:rtl/>
        </w:rPr>
        <w:t xml:space="preserve">ebn-e vazīr, 'abdolbāset ebn-e xalīl (1441-1515)</w:t>
      </w:r>
    </w:p>
    <w:p>
      <w:pPr>
        <w:pStyle w:val="BookText"/>
      </w:pPr>
      <w:r>
        <w:rPr>
          <w:rFonts w:ascii="IRNazanin" w:hAnsi="IRNazanin" w:eastAsia="IRNazanin" w:cs="IRNazanin"/>
          <w:lang w:bidi="fa-IR"/>
          <w:color w:val="111111"/>
          <w:sz w:val="28"/>
          <w:szCs w:val="28"/>
          <w:rtl/>
        </w:rPr>
        <w:t xml:space="preserve">رساله مختصری است در تاریخ پیامبران، در مقدمه گوید: «هذه لطيفة مختصرة ظريفة مباركة شريفة تشتمل على تاريخ ما بين الأنبياء الأكابر من المدد و السنين و الأعوام و بیان اولی العزم منهم ... جمعتها من كلام العلماء الأعلام و الائمة في هذا الشأن من آدم الى نبينا محمد عليهما الصلاة و السلام». . دکتر محمد کمال الدين عزالدین این رساله را تحقیق و آماده چاپ کرده است.</w:t>
      </w:r>
    </w:p>
    <w:p>
      <w:pPr>
        <w:pStyle w:val="BookText"/>
      </w:pPr>
      <w:r>
        <w:rPr>
          <w:rFonts w:ascii="IRNazanin" w:hAnsi="IRNazanin" w:eastAsia="IRNazanin" w:cs="IRNazanin"/>
          <w:lang w:bidi="fa-IR"/>
          <w:color w:val="111111"/>
          <w:sz w:val="28"/>
          <w:szCs w:val="28"/>
          <w:rtl/>
        </w:rPr>
        <w:t xml:space="preserve">قم؛ مرعشی؛ شماره نسخه: ۱۲۴۹/۲</w:t>
      </w:r>
    </w:p>
    <w:p>
      <w:pPr>
        <w:pStyle w:val="BookText"/>
      </w:pPr>
      <w:r>
        <w:rPr>
          <w:rFonts w:ascii="IRNazanin" w:hAnsi="IRNazanin" w:eastAsia="IRNazanin" w:cs="IRNazanin"/>
          <w:lang w:bidi="fa-IR"/>
          <w:color w:val="111111"/>
          <w:sz w:val="28"/>
          <w:szCs w:val="28"/>
          <w:rtl/>
        </w:rPr>
        <w:t xml:space="preserve">آغاز: بسمله. قال العبد الفقير إلى الله تعالى الحفی عبدالباسط بن خليل الحنفى عنه عفى أما بعد حمدالله تعالى على جزيل نواله ... آدم صفی الله (علیه السلام)، هو أبو البشر و یکنی أبو محمد و أبو صالح أيضا؛ انجام: الكريم من النقص هذا آخر ما فتح الله تعالی به من الكلام في هذا المقام و السلام خط: نسخ معرب، بی کا، بی تا؛ ؛ ۱۷ص (۲۹-۴۵)، ۹ سطر [عکسی ف: ۳-۵۶۰]</w:t>
      </w:r>
    </w:p>
    <w:p>
      <w:pPr>
        <w:pStyle w:val="Heading3"/>
      </w:pPr>
      <w:bookmarkStart w:id="2046" w:name="_Toc1306"/>
      <w:r>
        <w:t>•تاریخ انبیاء / تاریخ پیامبران / ترکی</w:t>
      </w:r>
      <w:bookmarkEnd w:id="2046"/>
    </w:p>
    <w:p>
      <w:pPr>
        <w:pStyle w:val="BookText"/>
      </w:pPr>
      <w:r>
        <w:rPr>
          <w:rFonts w:ascii="Times New Roman" w:hAnsi="Times New Roman" w:eastAsia="Times New Roman" w:cs="Times New Roman"/>
          <w:lang w:val="en-US" w:bidi="en-US"/>
          <w:color w:val="111111"/>
          <w:sz w:val="28"/>
          <w:szCs w:val="28"/>
          <w:rtl/>
        </w:rPr>
        <w:t xml:space="preserve">tārīx-e anbīyā</w:t>
      </w:r>
    </w:p>
    <w:p>
      <w:pPr>
        <w:pStyle w:val="BookText"/>
      </w:pPr>
      <w:r>
        <w:rPr>
          <w:rFonts w:ascii="IRNazanin" w:hAnsi="IRNazanin" w:eastAsia="IRNazanin" w:cs="IRNazanin"/>
          <w:lang w:bidi="fa-IR"/>
          <w:color w:val="111111"/>
          <w:sz w:val="28"/>
          <w:szCs w:val="28"/>
          <w:rtl/>
        </w:rPr>
        <w:t xml:space="preserve">امیر علیشیر نوائی، علیشیر بن کيچکنه، ۸۴۴-۹۰۶؟ قمری</w:t>
      </w:r>
    </w:p>
    <w:p>
      <w:pPr>
        <w:pStyle w:val="BookText"/>
      </w:pPr>
      <w:r>
        <w:rPr>
          <w:rFonts w:ascii="Times New Roman" w:hAnsi="Times New Roman" w:eastAsia="Times New Roman" w:cs="Times New Roman"/>
          <w:lang w:val="en-US" w:bidi="en-US"/>
          <w:color w:val="111111"/>
          <w:sz w:val="28"/>
          <w:szCs w:val="28"/>
          <w:rtl/>
        </w:rPr>
        <w:t xml:space="preserve">amīr 'alī-šīr-e navā'ī, ‘alī-šīr ebn-e kīčakne (1441 1501)</w:t>
      </w:r>
    </w:p>
    <w:p>
      <w:pPr>
        <w:pStyle w:val="BookText"/>
      </w:pPr>
      <w:r>
        <w:rPr>
          <w:rFonts w:ascii="IRNazanin" w:hAnsi="IRNazanin" w:eastAsia="IRNazanin" w:cs="IRNazanin"/>
          <w:lang w:bidi="fa-IR"/>
          <w:color w:val="111111"/>
          <w:sz w:val="28"/>
          <w:szCs w:val="28"/>
          <w:rtl/>
        </w:rPr>
        <w:t xml:space="preserve">١. مشهد؛ رضوی؛ شماره نسخه:۴۰۸۸</w:t>
      </w:r>
    </w:p>
    <w:p>
      <w:pPr>
        <w:pStyle w:val="BookText"/>
      </w:pPr>
      <w:r>
        <w:rPr>
          <w:rFonts w:ascii="IRNazanin" w:hAnsi="IRNazanin" w:eastAsia="IRNazanin" w:cs="IRNazanin"/>
          <w:lang w:bidi="fa-IR"/>
          <w:color w:val="111111"/>
          <w:sz w:val="28"/>
          <w:szCs w:val="28"/>
          <w:rtl/>
        </w:rPr>
        <w:t xml:space="preserve">آغاز: بسمله کنون وقت است کز کلک سخن گوی؛ انجام: شيوه</w:t>
      </w:r>
    </w:p>
    <w:p>
      <w:pPr>
        <w:pStyle w:val="BookText"/>
      </w:pPr>
      <w:r>
        <w:rPr>
          <w:rFonts w:ascii="IRNazanin" w:hAnsi="IRNazanin" w:eastAsia="IRNazanin" w:cs="IRNazanin"/>
          <w:lang w:bidi="fa-IR"/>
          <w:color w:val="111111"/>
          <w:sz w:val="28"/>
          <w:szCs w:val="28"/>
          <w:rtl/>
        </w:rPr>
        <w:t xml:space="preserve">خفيه تقدير دن مستبعد خط: نستعلیق، بی کا، بی تا، کاغذ: نخودی، جلد: تیماج، ۲۳ سطر</w:t>
      </w:r>
    </w:p>
    <w:p>
      <w:pPr>
        <w:pStyle w:val="BookText"/>
      </w:pPr>
      <w:r>
        <w:rPr>
          <w:rFonts w:ascii="IRNazanin" w:hAnsi="IRNazanin" w:eastAsia="IRNazanin" w:cs="IRNazanin"/>
          <w:lang w:bidi="fa-IR"/>
          <w:color w:val="111111"/>
          <w:sz w:val="28"/>
          <w:szCs w:val="28"/>
          <w:rtl/>
        </w:rPr>
        <w:t xml:space="preserve">(۱۵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 الفبائی:-۹۸]</w:t>
      </w:r>
    </w:p>
    <w:p>
      <w:pPr>
        <w:pStyle w:val="BookText"/>
      </w:pPr>
      <w:r>
        <w:rPr>
          <w:rFonts w:ascii="IRNazanin" w:hAnsi="IRNazanin" w:eastAsia="IRNazanin" w:cs="IRNazanin"/>
          <w:lang w:bidi="fa-IR"/>
          <w:color w:val="111111"/>
          <w:sz w:val="28"/>
          <w:szCs w:val="28"/>
          <w:rtl/>
        </w:rPr>
        <w:t xml:space="preserve">۲. مشهد؛ رضوی؛ شماره نسخه:ض۱۱۹۲۳</w:t>
      </w:r>
    </w:p>
    <w:p>
      <w:pPr>
        <w:pStyle w:val="BookText"/>
      </w:pPr>
      <w:r>
        <w:rPr>
          <w:rFonts w:ascii="IRNazanin" w:hAnsi="IRNazanin" w:eastAsia="IRNazanin" w:cs="IRNazanin"/>
          <w:lang w:bidi="fa-IR"/>
          <w:color w:val="111111"/>
          <w:sz w:val="28"/>
          <w:szCs w:val="28"/>
          <w:rtl/>
        </w:rPr>
        <w:t xml:space="preserve">خط: شکسته نستعلیق، کا: مریم میرهادی، بی تا [الفبائی: ۹۸]</w:t>
      </w:r>
    </w:p>
    <w:p>
      <w:pPr>
        <w:pStyle w:val="BookText"/>
      </w:pPr>
      <w:r>
        <w:rPr>
          <w:rFonts w:ascii="IRNazanin" w:hAnsi="IRNazanin" w:eastAsia="IRNazanin" w:cs="IRNazanin"/>
          <w:lang w:bidi="fa-IR"/>
          <w:color w:val="111111"/>
          <w:sz w:val="28"/>
          <w:szCs w:val="28"/>
          <w:rtl/>
        </w:rPr>
        <w:t xml:space="preserve">٣. تبریز؛ ملی؛ شماره نسخه: ۳۵۸۲/۱۷</w:t>
      </w:r>
    </w:p>
    <w:p>
      <w:pPr>
        <w:pStyle w:val="BookText"/>
      </w:pPr>
      <w:r>
        <w:rPr>
          <w:rFonts w:ascii="IRNazanin" w:hAnsi="IRNazanin" w:eastAsia="IRNazanin" w:cs="IRNazanin"/>
          <w:lang w:bidi="fa-IR"/>
          <w:color w:val="111111"/>
          <w:sz w:val="28"/>
          <w:szCs w:val="28"/>
          <w:rtl/>
        </w:rPr>
        <w:t xml:space="preserve">آغاز: بسمله. آدم صلوات الله عليه خلقتی آدم نینک کنیتی ابوالبشر در انجام: نو شیروان عادلین وزیری ایردی آنینک سوزلرلاریدین دور ... چون انبیا علیه السلام سوزی و عباد و حکما تاریخی على الاجمال مذکور بولدی ایمدی عجم ملوک ذکریکا شروع قیلای ... خط: نستعلیق، بی کا، بی تا؛ کاغذ: ابریشمی و ترمه، جلد: چرمی سیاه و باسمه منقش، ۲۵گ،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 سم [ف: ۳-۱۱۱۱]</w:t>
      </w:r>
    </w:p>
    <w:p>
      <w:pPr>
        <w:pStyle w:val="Heading3"/>
      </w:pPr>
      <w:bookmarkStart w:id="2047" w:name="_Toc1307"/>
      <w:r>
        <w:t>•تاریخ انبیاء / تاریخ پیامبران / فارسی</w:t>
      </w:r>
      <w:bookmarkEnd w:id="2047"/>
    </w:p>
    <w:p>
      <w:pPr>
        <w:pStyle w:val="BookText"/>
      </w:pPr>
      <w:r>
        <w:rPr>
          <w:rFonts w:ascii="Times New Roman" w:hAnsi="Times New Roman" w:eastAsia="Times New Roman" w:cs="Times New Roman"/>
          <w:lang w:val="en-US" w:bidi="en-US"/>
          <w:color w:val="111111"/>
          <w:sz w:val="28"/>
          <w:szCs w:val="28"/>
          <w:rtl/>
        </w:rPr>
        <w:t xml:space="preserve">tārīx-e anbīyā</w:t>
      </w:r>
    </w:p>
    <w:p>
      <w:pPr>
        <w:pStyle w:val="BookText"/>
      </w:pPr>
      <w:r>
        <w:rPr>
          <w:rFonts w:ascii="IRNazanin" w:hAnsi="IRNazanin" w:eastAsia="IRNazanin" w:cs="IRNazanin"/>
          <w:lang w:bidi="fa-IR"/>
          <w:color w:val="111111"/>
          <w:sz w:val="28"/>
          <w:szCs w:val="28"/>
          <w:rtl/>
        </w:rPr>
        <w:t xml:space="preserve">تاریخ امیرالمؤمنین - تاریخ انبیاء شیرازی، محمد حسین بن فخر الدین، ق ۱۴ قمری</w:t>
      </w:r>
    </w:p>
    <w:p>
      <w:pPr>
        <w:pStyle w:val="BookText"/>
      </w:pPr>
      <w:r>
        <w:rPr>
          <w:rFonts w:ascii="Times New Roman" w:hAnsi="Times New Roman" w:eastAsia="Times New Roman" w:cs="Times New Roman"/>
          <w:lang w:val="en-US" w:bidi="en-US"/>
          <w:color w:val="111111"/>
          <w:sz w:val="28"/>
          <w:szCs w:val="28"/>
          <w:rtl/>
        </w:rPr>
        <w:t xml:space="preserve">šīrāzī, mohammad hoseyn ebn-e faxr-od-dīn (-20c)</w:t>
      </w:r>
    </w:p>
    <w:p>
      <w:pPr>
        <w:pStyle w:val="BookText"/>
      </w:pPr>
      <w:r>
        <w:rPr>
          <w:rFonts w:ascii="IRNazanin" w:hAnsi="IRNazanin" w:eastAsia="IRNazanin" w:cs="IRNazanin"/>
          <w:lang w:bidi="fa-IR"/>
          <w:color w:val="111111"/>
          <w:sz w:val="28"/>
          <w:szCs w:val="28"/>
          <w:rtl/>
        </w:rPr>
        <w:t xml:space="preserve">گزیده ای از تاریخ پیامبران از حضرت آدم تا وقایع سال ۳۵ بعد از هجرت پیامبر اکرم  (صلی الله علیه وآله وسلم) ظاهرا بر گرفته از ناسخ التواریخ.</w:t>
      </w:r>
    </w:p>
    <w:p>
      <w:pPr>
        <w:pStyle w:val="BookText"/>
      </w:pPr>
      <w:r>
        <w:rPr>
          <w:rFonts w:ascii="IRNazanin" w:hAnsi="IRNazanin" w:eastAsia="IRNazanin" w:cs="IRNazanin"/>
          <w:lang w:bidi="fa-IR"/>
          <w:color w:val="111111"/>
          <w:sz w:val="28"/>
          <w:szCs w:val="28"/>
          <w:rtl/>
        </w:rPr>
        <w:t xml:space="preserve">اصفهان، دانشگاه؛ شماره نسخه:۱۰۵</w:t>
      </w:r>
    </w:p>
    <w:p>
      <w:pPr>
        <w:pStyle w:val="BookText"/>
      </w:pPr>
      <w:r>
        <w:rPr>
          <w:rFonts w:ascii="IRNazanin" w:hAnsi="IRNazanin" w:eastAsia="IRNazanin" w:cs="IRNazanin"/>
          <w:lang w:bidi="fa-IR"/>
          <w:color w:val="111111"/>
          <w:sz w:val="28"/>
          <w:szCs w:val="28"/>
          <w:rtl/>
        </w:rPr>
        <w:t xml:space="preserve">آغاز: تشخيص مساحت زمین و قسمت ارض ربع مسكون فسحت زمین از کران تا کران صد و نود و شش ملیان میل در میل بود خط: نستعلیق، کاتب = مؤلف، بی تا؛ مصحح؛ از کتاب های عبدالحسین سپنتا؛ جلد: تیماج سبز بدون مقوا.، ۲۴۸گ، مختلف السطر، اندازه: ۱۱/۵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۱- ۸۲]</w:t>
      </w:r>
    </w:p>
    <w:p>
      <w:pPr>
        <w:pStyle w:val="Heading3"/>
      </w:pPr>
      <w:bookmarkStart w:id="2048" w:name="_Toc1308"/>
      <w:r>
        <w:t>•تاریخ انبیاء / تاریخ پیامبران / فارسی</w:t>
      </w:r>
      <w:bookmarkEnd w:id="2048"/>
    </w:p>
    <w:p>
      <w:pPr>
        <w:pStyle w:val="BookText"/>
      </w:pPr>
      <w:r>
        <w:rPr>
          <w:rFonts w:ascii="Times New Roman" w:hAnsi="Times New Roman" w:eastAsia="Times New Roman" w:cs="Times New Roman"/>
          <w:lang w:val="en-US" w:bidi="en-US"/>
          <w:color w:val="111111"/>
          <w:sz w:val="28"/>
          <w:szCs w:val="28"/>
          <w:rtl/>
        </w:rPr>
        <w:t xml:space="preserve">tārīx-e anbīyā</w:t>
      </w:r>
    </w:p>
    <w:p>
      <w:pPr>
        <w:pStyle w:val="BookText"/>
      </w:pPr>
      <w:r>
        <w:rPr>
          <w:rFonts w:ascii="IRNazanin" w:hAnsi="IRNazanin" w:eastAsia="IRNazanin" w:cs="IRNazanin"/>
          <w:lang w:bidi="fa-IR"/>
          <w:color w:val="111111"/>
          <w:sz w:val="28"/>
          <w:szCs w:val="28"/>
          <w:rtl/>
        </w:rPr>
        <w:t xml:space="preserve">همانندی نامعلوم ۱. تهران: ملی؛ شماره نسخه:۲۵۸۶۳</w:t>
      </w:r>
    </w:p>
    <w:p>
      <w:pPr>
        <w:pStyle w:val="BookText"/>
      </w:pPr>
      <w:r>
        <w:rPr>
          <w:rFonts w:ascii="IRNazanin" w:hAnsi="IRNazanin" w:eastAsia="IRNazanin" w:cs="IRNazanin"/>
          <w:lang w:bidi="fa-IR"/>
          <w:color w:val="111111"/>
          <w:sz w:val="28"/>
          <w:szCs w:val="28"/>
          <w:rtl/>
        </w:rPr>
        <w:t xml:space="preserve">بی کا، بی تا؛ خریداری از حوزه علمیه ولی عصر کرمان [رایانه ]</w:t>
      </w:r>
    </w:p>
    <w:p>
      <w:pPr>
        <w:pStyle w:val="BookText"/>
      </w:pPr>
      <w:r>
        <w:rPr>
          <w:rFonts w:ascii="IRNazanin" w:hAnsi="IRNazanin" w:eastAsia="IRNazanin" w:cs="IRNazanin"/>
          <w:lang w:bidi="fa-IR"/>
          <w:color w:val="111111"/>
          <w:sz w:val="28"/>
          <w:szCs w:val="28"/>
          <w:rtl/>
        </w:rPr>
        <w:t xml:space="preserve">۲. تهران؛ ملی؛ شماره نسخه: ۲۰۷۲۱</w:t>
      </w:r>
    </w:p>
    <w:p>
      <w:pPr>
        <w:pStyle w:val="BookText"/>
      </w:pPr>
      <w:r>
        <w:rPr>
          <w:rFonts w:ascii="IRNazanin" w:hAnsi="IRNazanin" w:eastAsia="IRNazanin" w:cs="IRNazanin"/>
          <w:lang w:bidi="fa-IR"/>
          <w:color w:val="111111"/>
          <w:sz w:val="28"/>
          <w:szCs w:val="28"/>
          <w:rtl/>
        </w:rPr>
        <w:t xml:space="preserve">بی کا، بی تا، خریداری از پروین محمودیان [رایانه]</w:t>
      </w:r>
    </w:p>
    <w:p>
      <w:pPr>
        <w:pStyle w:val="BookText"/>
      </w:pPr>
      <w:r>
        <w:rPr>
          <w:rFonts w:ascii="IRNazanin" w:hAnsi="IRNazanin" w:eastAsia="IRNazanin" w:cs="IRNazanin"/>
          <w:lang w:bidi="fa-IR"/>
          <w:color w:val="111111"/>
          <w:sz w:val="28"/>
          <w:szCs w:val="28"/>
          <w:rtl/>
        </w:rPr>
        <w:t xml:space="preserve">٣. تهران؛ ملی؛ شماره نسخه:۱۷۴۶۳</w:t>
      </w:r>
    </w:p>
    <w:p>
      <w:pPr>
        <w:pStyle w:val="BookText"/>
      </w:pPr>
      <w:r>
        <w:rPr>
          <w:rFonts w:ascii="IRNazanin" w:hAnsi="IRNazanin" w:eastAsia="IRNazanin" w:cs="IRNazanin"/>
          <w:lang w:bidi="fa-IR"/>
          <w:color w:val="111111"/>
          <w:sz w:val="28"/>
          <w:szCs w:val="28"/>
          <w:rtl/>
        </w:rPr>
        <w:t xml:space="preserve">تاریخ انبیاء؛ بی کا، بی تا؛ خریداری از مصطفی حسینی؛ اندازه: ۲۱/۴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۱۳/۲ سم [رایانه]</w:t>
      </w:r>
    </w:p>
    <w:p>
      <w:pPr>
        <w:pStyle w:val="BookText"/>
      </w:pPr>
      <w:r>
        <w:rPr>
          <w:rFonts w:ascii="IRNazanin" w:hAnsi="IRNazanin" w:eastAsia="IRNazanin" w:cs="IRNazanin"/>
          <w:lang w:bidi="fa-IR"/>
          <w:color w:val="111111"/>
          <w:sz w:val="28"/>
          <w:szCs w:val="28"/>
          <w:rtl/>
        </w:rPr>
        <w:t xml:space="preserve">۴. تهران؛ ملی؛ شماره نسخه:۲۰۸۱۴</w:t>
      </w:r>
    </w:p>
    <w:p>
      <w:pPr>
        <w:pStyle w:val="BookText"/>
      </w:pPr>
      <w:r>
        <w:rPr>
          <w:rFonts w:ascii="IRNazanin" w:hAnsi="IRNazanin" w:eastAsia="IRNazanin" w:cs="IRNazanin"/>
          <w:lang w:bidi="fa-IR"/>
          <w:color w:val="111111"/>
          <w:sz w:val="28"/>
          <w:szCs w:val="28"/>
          <w:rtl/>
        </w:rPr>
        <w:t xml:space="preserve">بی کا، بی تا، خریداری از قربان بالازاده [رایانه ]</w:t>
      </w:r>
    </w:p>
    <w:p>
      <w:pPr>
        <w:pStyle w:val="Heading3"/>
      </w:pPr>
      <w:bookmarkStart w:id="2049" w:name="_Toc1309"/>
      <w:r>
        <w:t>•تاریخ انبیاء / تاریخ / عربی</w:t>
      </w:r>
      <w:bookmarkEnd w:id="2049"/>
    </w:p>
    <w:p>
      <w:pPr>
        <w:pStyle w:val="BookText"/>
      </w:pPr>
      <w:r>
        <w:rPr>
          <w:rFonts w:ascii="Times New Roman" w:hAnsi="Times New Roman" w:eastAsia="Times New Roman" w:cs="Times New Roman"/>
          <w:lang w:val="en-US" w:bidi="en-US"/>
          <w:color w:val="111111"/>
          <w:sz w:val="28"/>
          <w:szCs w:val="28"/>
          <w:rtl/>
        </w:rPr>
        <w:t xml:space="preserve">tārīx-e anbīyā'</w:t>
      </w:r>
    </w:p>
    <w:p>
      <w:pPr>
        <w:pStyle w:val="BookText"/>
      </w:pPr>
      <w:r>
        <w:rPr>
          <w:rFonts w:ascii="IRNazanin" w:hAnsi="IRNazanin" w:eastAsia="IRNazanin" w:cs="IRNazanin"/>
          <w:lang w:bidi="fa-IR"/>
          <w:color w:val="111111"/>
          <w:sz w:val="28"/>
          <w:szCs w:val="28"/>
          <w:rtl/>
        </w:rPr>
        <w:t xml:space="preserve">مشهد؛ رضوی؛ شماره نسخه:۱۷۸۷۳</w:t>
      </w:r>
    </w:p>
    <w:p>
      <w:pPr>
        <w:pStyle w:val="BookText"/>
      </w:pPr>
      <w:r>
        <w:rPr>
          <w:rFonts w:ascii="IRNazanin" w:hAnsi="IRNazanin" w:eastAsia="IRNazanin" w:cs="IRNazanin"/>
          <w:lang w:bidi="fa-IR"/>
          <w:color w:val="111111"/>
          <w:sz w:val="28"/>
          <w:szCs w:val="28"/>
          <w:rtl/>
        </w:rPr>
        <w:t xml:space="preserve">آغاز: الحمد الله الذي انبت الخلق نباتا وجعلهم حياء؛ انجام: يدفن الى جنب قبر نبينا محمد برحمتک یا ارحك الراحمیم احادیث خلف عنوان شناسه)، تا احوال ذوالقرنین؛ خط: نسخ، كا: عبدالوهاب بن ابراهیم، تا: ۱۲۵۹ق؛ کاغذ: شکری، جلد: اسقاطی، ۱۴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 [رایانه]</w:t>
      </w:r>
    </w:p>
    <w:p>
      <w:pPr>
        <w:pStyle w:val="BookText"/>
      </w:pPr>
      <w:r>
        <w:rPr>
          <w:rFonts w:ascii="IRNazanin" w:hAnsi="IRNazanin" w:eastAsia="IRNazanin" w:cs="IRNazanin"/>
          <w:lang w:bidi="fa-IR"/>
          <w:color w:val="111111"/>
          <w:sz w:val="28"/>
          <w:szCs w:val="28"/>
          <w:rtl/>
        </w:rPr>
        <w:t xml:space="preserve">← تاریخ انبیاء و اوصياء و ملوک ایران ← تاریخ انبیاء و سلاطین</w:t>
      </w:r>
    </w:p>
    <w:p>
      <w:pPr>
        <w:pStyle w:val="Heading3"/>
      </w:pPr>
      <w:bookmarkStart w:id="2050" w:name="_Toc1310"/>
      <w:r>
        <w:t>• تاریخ انبیاء و ائمه / تاریخ معصومین / فارسی</w:t>
      </w:r>
      <w:bookmarkEnd w:id="2050"/>
    </w:p>
    <w:p>
      <w:pPr>
        <w:pStyle w:val="BookText"/>
      </w:pPr>
      <w:r>
        <w:rPr>
          <w:rFonts w:ascii="Times New Roman" w:hAnsi="Times New Roman" w:eastAsia="Times New Roman" w:cs="Times New Roman"/>
          <w:lang w:val="en-US" w:bidi="en-US"/>
          <w:color w:val="111111"/>
          <w:sz w:val="28"/>
          <w:szCs w:val="28"/>
          <w:rtl/>
        </w:rPr>
        <w:t xml:space="preserve">tārīx-e anbīyā' va a'emme</w:t>
      </w:r>
    </w:p>
    <w:p>
      <w:pPr>
        <w:pStyle w:val="BookText"/>
      </w:pPr>
      <w:r>
        <w:rPr>
          <w:rFonts w:ascii="IRNazanin" w:hAnsi="IRNazanin" w:eastAsia="IRNazanin" w:cs="IRNazanin"/>
          <w:lang w:bidi="fa-IR"/>
          <w:color w:val="111111"/>
          <w:sz w:val="28"/>
          <w:szCs w:val="28"/>
          <w:rtl/>
        </w:rPr>
        <w:t xml:space="preserve">نسائی، حسن بن حسن، ۱۲۳۷-۱۳۱۶ قمری</w:t>
      </w:r>
    </w:p>
    <w:p>
      <w:pPr>
        <w:pStyle w:val="BookText"/>
      </w:pPr>
      <w:r>
        <w:rPr>
          <w:rFonts w:ascii="Times New Roman" w:hAnsi="Times New Roman" w:eastAsia="Times New Roman" w:cs="Times New Roman"/>
          <w:lang w:val="en-US" w:bidi="en-US"/>
          <w:color w:val="111111"/>
          <w:sz w:val="28"/>
          <w:szCs w:val="28"/>
          <w:rtl/>
        </w:rPr>
        <w:t xml:space="preserve">fasā’ī, hasan ebn-e hasan (1822-1899)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390" w:name="pg20363_209683"/>
    <w:bookmarkEnd w:id="390"/>
    <w:p>
      <w:pPr>
        <w:pStyle w:val="BookText"/>
      </w:pPr>
      <w:r>
        <w:rPr>
          <w:rFonts w:ascii="IRNazanin" w:hAnsi="IRNazanin" w:eastAsia="IRNazanin" w:cs="IRNazanin"/>
          <w:lang w:bidi="fa-IR"/>
          <w:color w:val="111111"/>
          <w:sz w:val="28"/>
          <w:szCs w:val="28"/>
          <w:rtl/>
        </w:rPr>
        <w:t xml:space="preserve">مشهد؛ رضوی؛ شماره نسخه:۱۶۹۹۳</w:t>
      </w:r>
    </w:p>
    <w:p>
      <w:pPr>
        <w:pStyle w:val="BookText"/>
      </w:pPr>
      <w:r>
        <w:rPr>
          <w:rFonts w:ascii="IRNazanin" w:hAnsi="IRNazanin" w:eastAsia="IRNazanin" w:cs="IRNazanin"/>
          <w:lang w:bidi="fa-IR"/>
          <w:color w:val="111111"/>
          <w:sz w:val="28"/>
          <w:szCs w:val="28"/>
          <w:rtl/>
        </w:rPr>
        <w:t xml:space="preserve">آغاز: بوحدانیتک عما يليق بذاتك مما؛ انجام: البته که تو را خواهد کشت اما آنکه</w:t>
      </w:r>
    </w:p>
    <w:p>
      <w:pPr>
        <w:pStyle w:val="BookText"/>
      </w:pPr>
      <w:r>
        <w:rPr>
          <w:rFonts w:ascii="IRNazanin" w:hAnsi="IRNazanin" w:eastAsia="IRNazanin" w:cs="IRNazanin"/>
          <w:lang w:bidi="fa-IR"/>
          <w:color w:val="111111"/>
          <w:sz w:val="28"/>
          <w:szCs w:val="28"/>
          <w:rtl/>
        </w:rPr>
        <w:t xml:space="preserve">خط: نستعلیق، بی کا، تا: قرن ۱۴؛ افتادگی: آغاز و انجام؛ جلد: تیماج، ۲۵ سطر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[رایانه]</w:t>
      </w:r>
    </w:p>
    <w:p>
      <w:pPr>
        <w:pStyle w:val="Heading3"/>
      </w:pPr>
      <w:bookmarkStart w:id="2051" w:name="_Toc1311"/>
      <w:r>
        <w:t>•تاریخ انبیاء و ائمه (عليه السلام) / تاریخ معصومین / فارسی</w:t>
      </w:r>
      <w:bookmarkEnd w:id="2051"/>
    </w:p>
    <w:p>
      <w:pPr>
        <w:pStyle w:val="BookText"/>
      </w:pPr>
      <w:r>
        <w:rPr>
          <w:rFonts w:ascii="Times New Roman" w:hAnsi="Times New Roman" w:eastAsia="Times New Roman" w:cs="Times New Roman"/>
          <w:lang w:val="en-US" w:bidi="en-US"/>
          <w:color w:val="111111"/>
          <w:sz w:val="28"/>
          <w:szCs w:val="28"/>
          <w:rtl/>
        </w:rPr>
        <w:t xml:space="preserve">tārīx-e anbīyā' va a'emme</w:t>
      </w:r>
    </w:p>
    <w:p>
      <w:pPr>
        <w:pStyle w:val="BookText"/>
      </w:pPr>
      <w:r>
        <w:rPr>
          <w:rFonts w:ascii="IRNazanin" w:hAnsi="IRNazanin" w:eastAsia="IRNazanin" w:cs="IRNazanin"/>
          <w:lang w:bidi="fa-IR"/>
          <w:color w:val="111111"/>
          <w:sz w:val="28"/>
          <w:szCs w:val="28"/>
          <w:rtl/>
        </w:rPr>
        <w:t xml:space="preserve">مشهد؛ رضوی؛ شماره نسخه:۲۹۱۷۹</w:t>
      </w:r>
    </w:p>
    <w:p>
      <w:pPr>
        <w:pStyle w:val="BookText"/>
      </w:pPr>
      <w:r>
        <w:rPr>
          <w:rFonts w:ascii="IRNazanin" w:hAnsi="IRNazanin" w:eastAsia="IRNazanin" w:cs="IRNazanin"/>
          <w:lang w:bidi="fa-IR"/>
          <w:color w:val="111111"/>
          <w:sz w:val="28"/>
          <w:szCs w:val="28"/>
          <w:rtl/>
        </w:rPr>
        <w:t xml:space="preserve">آغاز: بسمله، حمد له، بدان ای فرزند صالح که آنکه حضرت عزت جل و جلاله و عظم نواله وقع شانه فرمود: انجام: امام دوازدهم محمد بن حسن العسكر کنیت او مولانا ابوالقاسم المهدی مولو سامره.</w:t>
      </w:r>
    </w:p>
    <w:p>
      <w:pPr>
        <w:pStyle w:val="BookText"/>
      </w:pPr>
      <w:r>
        <w:rPr>
          <w:rFonts w:ascii="IRNazanin" w:hAnsi="IRNazanin" w:eastAsia="IRNazanin" w:cs="IRNazanin"/>
          <w:lang w:bidi="fa-IR"/>
          <w:color w:val="111111"/>
          <w:sz w:val="28"/>
          <w:szCs w:val="28"/>
          <w:rtl/>
        </w:rPr>
        <w:t xml:space="preserve">خط: نسخ، بی کا، بی تا، کاغذ: نخودی، جلد: مقوا با عطف پارچه ابعاد متن: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۲۰/۸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[رایانه]</w:t>
      </w:r>
    </w:p>
    <w:p>
      <w:pPr>
        <w:pStyle w:val="BookText"/>
      </w:pPr>
      <w:r>
        <w:rPr>
          <w:rFonts w:ascii="IRNazanin" w:hAnsi="IRNazanin" w:eastAsia="IRNazanin" w:cs="IRNazanin"/>
          <w:lang w:bidi="fa-IR"/>
          <w:color w:val="111111"/>
          <w:sz w:val="28"/>
          <w:szCs w:val="28"/>
          <w:rtl/>
        </w:rPr>
        <w:t xml:space="preserve">← تاریخ انبیاء و پادشاهان← تحفه سلیمانی</w:t>
      </w:r>
    </w:p>
    <w:p>
      <w:pPr>
        <w:pStyle w:val="Heading3"/>
      </w:pPr>
      <w:bookmarkStart w:id="2052" w:name="_Toc1312"/>
      <w:r>
        <w:t>• تاریخ انبیاء و سلاطین / تاریخ پیامبران، تاریخ پادشاهان / فارسی</w:t>
      </w:r>
      <w:bookmarkEnd w:id="2052"/>
    </w:p>
    <w:p>
      <w:pPr>
        <w:pStyle w:val="BookText"/>
      </w:pPr>
      <w:r>
        <w:rPr>
          <w:rFonts w:ascii="Times New Roman" w:hAnsi="Times New Roman" w:eastAsia="Times New Roman" w:cs="Times New Roman"/>
          <w:lang w:val="en-US" w:bidi="en-US"/>
          <w:color w:val="111111"/>
          <w:sz w:val="28"/>
          <w:szCs w:val="28"/>
          <w:rtl/>
        </w:rPr>
        <w:t xml:space="preserve">tārīx-e anbīyā' va salātīn</w:t>
      </w:r>
    </w:p>
    <w:p>
      <w:pPr>
        <w:pStyle w:val="BookText"/>
      </w:pPr>
      <w:r>
        <w:rPr>
          <w:rFonts w:ascii="IRNazanin" w:hAnsi="IRNazanin" w:eastAsia="IRNazanin" w:cs="IRNazanin"/>
          <w:lang w:bidi="fa-IR"/>
          <w:color w:val="111111"/>
          <w:sz w:val="28"/>
          <w:szCs w:val="28"/>
          <w:rtl/>
        </w:rPr>
        <w:t xml:space="preserve">۱. تهران؛ ملک؛ شماره نسخه: ۴۹۲/۲۲</w:t>
      </w:r>
    </w:p>
    <w:p>
      <w:pPr>
        <w:pStyle w:val="BookText"/>
      </w:pPr>
      <w:r>
        <w:rPr>
          <w:rFonts w:ascii="IRNazanin" w:hAnsi="IRNazanin" w:eastAsia="IRNazanin" w:cs="IRNazanin"/>
          <w:lang w:bidi="fa-IR"/>
          <w:color w:val="111111"/>
          <w:sz w:val="28"/>
          <w:szCs w:val="28"/>
          <w:rtl/>
        </w:rPr>
        <w:t xml:space="preserve">آغاز: حمدله ... اما بعد این کتابیست در ذکر مجملی از احوال پیغمبران که نام ایشان در قرآن و حدیث صریحا آمده است؛ انجام: طبقه آق قوینلو بنهایت انجامید</w:t>
      </w:r>
    </w:p>
    <w:p>
      <w:pPr>
        <w:pStyle w:val="BookText"/>
      </w:pPr>
      <w:r>
        <w:rPr>
          <w:rFonts w:ascii="IRNazanin" w:hAnsi="IRNazanin" w:eastAsia="IRNazanin" w:cs="IRNazanin"/>
          <w:lang w:bidi="fa-IR"/>
          <w:color w:val="111111"/>
          <w:sz w:val="28"/>
          <w:szCs w:val="28"/>
          <w:rtl/>
        </w:rPr>
        <w:t xml:space="preserve">تاریخ عمومی ایران است و تا شاه اسمعیل می رسد؛ خط: نستعلیق، بی کا، تا قرن ۱۰؛ کاغذ: ترمه سمرقندی، جلد: میشن قرمز، ۱۲۵ص (۱۲۸-۴ هامش)، ۱۸ سطر، اندازه: ۱۲/۲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۲۰/۷ سم [ف: ۵-۴۲]</w:t>
      </w:r>
    </w:p>
    <w:p>
      <w:pPr>
        <w:pStyle w:val="BookText"/>
      </w:pPr>
      <w:r>
        <w:rPr>
          <w:rFonts w:ascii="IRNazanin" w:hAnsi="IRNazanin" w:eastAsia="IRNazanin" w:cs="IRNazanin"/>
          <w:lang w:bidi="fa-IR"/>
          <w:color w:val="111111"/>
          <w:sz w:val="28"/>
          <w:szCs w:val="28"/>
          <w:rtl/>
        </w:rPr>
        <w:t xml:space="preserve">۲. تهران، دانشگاه؛ شماره نسخه:۵۷۴۶</w:t>
      </w:r>
    </w:p>
    <w:p>
      <w:pPr>
        <w:pStyle w:val="BookText"/>
      </w:pPr>
      <w:r>
        <w:rPr>
          <w:rFonts w:ascii="IRNazanin" w:hAnsi="IRNazanin" w:eastAsia="IRNazanin" w:cs="IRNazanin"/>
          <w:lang w:bidi="fa-IR"/>
          <w:color w:val="111111"/>
          <w:sz w:val="28"/>
          <w:szCs w:val="28"/>
          <w:rtl/>
        </w:rPr>
        <w:t xml:space="preserve">آغاز: که گفت رب لاتذر على الأرض ... طوفان فرستاد و نوح با این هشتاد تن در کشتی نشستند؛ انجام: پادشاه مغفور ابوسعید ... در حال حیات ارپاخان را ولی عهد خود گردانند و الله اعلم بالصواب.</w:t>
      </w:r>
    </w:p>
    <w:p>
      <w:pPr>
        <w:pStyle w:val="BookText"/>
      </w:pPr>
      <w:r>
        <w:rPr>
          <w:rFonts w:ascii="IRNazanin" w:hAnsi="IRNazanin" w:eastAsia="IRNazanin" w:cs="IRNazanin"/>
          <w:lang w:bidi="fa-IR"/>
          <w:color w:val="111111"/>
          <w:sz w:val="28"/>
          <w:szCs w:val="28"/>
          <w:rtl/>
        </w:rPr>
        <w:t xml:space="preserve">زمان سلطان محمد خدابنده و سلطان ابوسعید گورگانی، قسم دوم آن در ملوک فرس و مشاهير انبیاء است، در چند طبقه تا می رسد به طایفه هشتم مغول از قسم چهارم در ذکر سلاطین معاصر بنی عباس؛ خط: نستعلیق، کا: کمترین مریدان حضرت شاه محیی الدين بنده الدين (؟)، تا: قرن ۱۱؛ افتادگی: آغاز کاغذ: سپاهانی، جلد: گالینگور، ۳۸گ، ۱۵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قطع: بغلی،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۱۶-۸۲]</w:t>
      </w:r>
    </w:p>
    <w:p>
      <w:pPr>
        <w:pStyle w:val="BookText"/>
      </w:pPr>
      <w:r>
        <w:rPr>
          <w:rFonts w:ascii="IRNazanin" w:hAnsi="IRNazanin" w:eastAsia="IRNazanin" w:cs="IRNazanin"/>
          <w:lang w:bidi="fa-IR"/>
          <w:color w:val="111111"/>
          <w:sz w:val="28"/>
          <w:szCs w:val="28"/>
          <w:rtl/>
        </w:rPr>
        <w:t xml:space="preserve">٣. مشهد؛ رضوی؛ شماره نسخه: ۴۱۷۸</w:t>
      </w:r>
    </w:p>
    <w:p>
      <w:pPr>
        <w:pStyle w:val="BookText"/>
      </w:pPr>
      <w:r>
        <w:rPr>
          <w:rFonts w:ascii="IRNazanin" w:hAnsi="IRNazanin" w:eastAsia="IRNazanin" w:cs="IRNazanin"/>
          <w:lang w:bidi="fa-IR"/>
          <w:color w:val="111111"/>
          <w:sz w:val="28"/>
          <w:szCs w:val="28"/>
          <w:rtl/>
        </w:rPr>
        <w:t xml:space="preserve">آغاز: حضرت ابو البشر عليه السلام، ابوالبشر لقب شریفش صفی الله است؛ انجام: پاکویه از اقلیم پنجم است هوایش بگرمی مایل است.</w:t>
      </w:r>
    </w:p>
    <w:p>
      <w:pPr>
        <w:pStyle w:val="BookText"/>
      </w:pPr>
      <w:r>
        <w:rPr>
          <w:rFonts w:ascii="IRNazanin" w:hAnsi="IRNazanin" w:eastAsia="IRNazanin" w:cs="IRNazanin"/>
          <w:lang w:bidi="fa-IR"/>
          <w:color w:val="111111"/>
          <w:sz w:val="28"/>
          <w:szCs w:val="28"/>
          <w:rtl/>
        </w:rPr>
        <w:t xml:space="preserve">در این کتاب فاتحه و خاتمه ای وجود ندارد و از آخر هم دنباله مطلب ناتمام مانده است، به همین جهت مؤلف شناخته نمی شود. تاریخی است مختصر که از احوال آدم ابوالبشر آغاز شده و به وقایع زمان شاه عباس ثانی تا سال ۱۰۶۷ق پایان می پذیرد، و در آخر لاحقه ای دارد مشتمل بر جغرافیای ربع مسکون در سه صفحه با یک صفحه نقشه اقالیم سبعه که در اصل کروی بوده. مؤلف این کتاب تاریخ صفویه و بالاخص تاریخ شاه عباس ثانی را که</w:t>
      </w:r>
    </w:p>
    <w:p>
      <w:pPr>
        <w:pStyle w:val="BookText"/>
      </w:pPr>
      <w:r>
        <w:rPr>
          <w:rFonts w:ascii="IRNazanin" w:hAnsi="IRNazanin" w:eastAsia="IRNazanin" w:cs="IRNazanin"/>
          <w:lang w:bidi="fa-IR"/>
          <w:color w:val="111111"/>
          <w:sz w:val="28"/>
          <w:szCs w:val="28"/>
          <w:rtl/>
        </w:rPr>
        <w:t xml:space="preserve">خود معاصر وی بوده است به تفصیل بیشتر نوشته و وقایع سنواتی زمان او را از شب جمعه شانزدهم صفر ۱۰۵۲ که در کاشان جلوس کرده است تا ربيع الأول ۱۰۶۷ به قلم آورده، نیمی از آن پاره شده و از میان رفته است؛ خط: شکسته نستعلیق، بی کا، تا: نیمه دوم قرن ۱۱؛ تملك: مرحوم تقی دانش تهرانی (مستشار اعظم) که در ۱۳۴۷ ق، مالک این نسخه بوده نوشته است که خط شفيعاست. و خطاست چه کاتب این نسخه را نمی توان در شمار خوشنویسان آورد تا به شفيعا چه رسد؛ واقف: نایینی؛ کاغذ: نخودی، جلد: تیماج خرمایی، ۴۲گ، مختلف السطر، اندازه: ۳۷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۲۴/۸ سم [ف: ۷-۲۸]</w:t>
      </w:r>
    </w:p>
    <w:p>
      <w:pPr>
        <w:pStyle w:val="BookText"/>
      </w:pPr>
      <w:r>
        <w:rPr>
          <w:rFonts w:ascii="IRNazanin" w:hAnsi="IRNazanin" w:eastAsia="IRNazanin" w:cs="IRNazanin"/>
          <w:lang w:bidi="fa-IR"/>
          <w:color w:val="111111"/>
          <w:sz w:val="28"/>
          <w:szCs w:val="28"/>
          <w:rtl/>
        </w:rPr>
        <w:t xml:space="preserve">۴. تهران: مجلس؛ شماره نسخه: ۶۶۴۵/۱۷</w:t>
      </w:r>
    </w:p>
    <w:p>
      <w:pPr>
        <w:pStyle w:val="BookText"/>
      </w:pPr>
      <w:r>
        <w:rPr>
          <w:rFonts w:ascii="IRNazanin" w:hAnsi="IRNazanin" w:eastAsia="IRNazanin" w:cs="IRNazanin"/>
          <w:lang w:bidi="fa-IR"/>
          <w:color w:val="111111"/>
          <w:sz w:val="28"/>
          <w:szCs w:val="28"/>
          <w:rtl/>
        </w:rPr>
        <w:t xml:space="preserve">آغاز: الحمدلله رب العالمين ... اما بعد این کتابی است در ذکر مجملی از احوال پیغمبران که نام ایشان در قرآن و حدیث صریحا آمده است؛ انجام و در سنه عشرین و تسعمائة بار دیگر آمده آنجا به دست لشکر ظفر اثر به قتل رسید و دولت طبقه آق قوینلو به نهایت انجامید. خط: نستعلیق زیبا، بی کا، تا: قرن ۱۳؛ مجدول، در حاشیه به چلیپا؛ جلد: تیماج تریاکی با ترنج و سرترنج، ۱۳۰ص (حاشیه ۱-۱۳۰)،</w:t>
      </w:r>
    </w:p>
    <w:p>
      <w:pPr>
        <w:pStyle w:val="BookText"/>
      </w:pPr>
      <w:r>
        <w:rPr>
          <w:rFonts w:ascii="IRNazanin" w:hAnsi="IRNazanin" w:eastAsia="IRNazanin" w:cs="IRNazanin"/>
          <w:lang w:bidi="fa-IR"/>
          <w:color w:val="111111"/>
          <w:sz w:val="28"/>
          <w:szCs w:val="28"/>
          <w:rtl/>
        </w:rPr>
        <w:t xml:space="preserve">۱۸ سطر، اندازه: ۲۱۶۱۴سم [ف: ۲۰-۱۷۳]</w:t>
      </w:r>
    </w:p>
    <w:p>
      <w:pPr>
        <w:pStyle w:val="BookText"/>
      </w:pPr>
      <w:r>
        <w:rPr>
          <w:rFonts w:ascii="IRNazanin" w:hAnsi="IRNazanin" w:eastAsia="IRNazanin" w:cs="IRNazanin"/>
          <w:lang w:bidi="fa-IR"/>
          <w:color w:val="111111"/>
          <w:sz w:val="28"/>
          <w:szCs w:val="28"/>
          <w:rtl/>
        </w:rPr>
        <w:t xml:space="preserve">۵. یزد؛ وزیری؛ شماره نسخه:۳۱۲۶</w:t>
      </w:r>
    </w:p>
    <w:p>
      <w:pPr>
        <w:pStyle w:val="BookText"/>
      </w:pPr>
      <w:r>
        <w:rPr>
          <w:rFonts w:ascii="IRNazanin" w:hAnsi="IRNazanin" w:eastAsia="IRNazanin" w:cs="IRNazanin"/>
          <w:lang w:bidi="fa-IR"/>
          <w:color w:val="111111"/>
          <w:sz w:val="28"/>
          <w:szCs w:val="28"/>
          <w:rtl/>
        </w:rPr>
        <w:t xml:space="preserve">آغاز: و همین عين جبر است. جواب گوئیم که جبر نیست بلکه عین اختیار است؛ انجام: و اما احوال بعضی از پادشاهان عرب و اهل جاهلیت انشاء الله تعالی در کتاب احوال رسول خدا محمد مصطفی مذکور خواهد شد</w:t>
      </w:r>
    </w:p>
    <w:p>
      <w:pPr>
        <w:pStyle w:val="BookText"/>
      </w:pPr>
      <w:r>
        <w:rPr>
          <w:rFonts w:ascii="IRNazanin" w:hAnsi="IRNazanin" w:eastAsia="IRNazanin" w:cs="IRNazanin"/>
          <w:lang w:bidi="fa-IR"/>
          <w:color w:val="111111"/>
          <w:sz w:val="28"/>
          <w:szCs w:val="28"/>
          <w:rtl/>
        </w:rPr>
        <w:t xml:space="preserve">تأليف ۱۲۵۸ قمری؛ خط: نستعلیق، بی کا، تا: ربيع الاول ۱۲۵۹ق؛ افتادگی: آغاز کاغذ: فرنگی، جلد: مقوایی روکش کاغذ ابری ۲۹۵گ، ۱۹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۵-۱۵۴۱]</w:t>
      </w:r>
    </w:p>
    <w:p>
      <w:pPr>
        <w:pStyle w:val="BookText"/>
      </w:pPr>
      <w:r>
        <w:rPr>
          <w:rFonts w:ascii="IRNazanin" w:hAnsi="IRNazanin" w:eastAsia="IRNazanin" w:cs="IRNazanin"/>
          <w:lang w:bidi="fa-IR"/>
          <w:color w:val="111111"/>
          <w:sz w:val="28"/>
          <w:szCs w:val="28"/>
          <w:rtl/>
        </w:rPr>
        <w:t xml:space="preserve">۶. اصفهان: شهرداری اصفهان، شماره نسخه:3</w:t>
      </w:r>
    </w:p>
    <w:p>
      <w:pPr>
        <w:pStyle w:val="BookText"/>
      </w:pPr>
      <w:r>
        <w:rPr>
          <w:rFonts w:ascii="IRNazanin" w:hAnsi="IRNazanin" w:eastAsia="IRNazanin" w:cs="IRNazanin"/>
          <w:lang w:bidi="fa-IR"/>
          <w:color w:val="111111"/>
          <w:sz w:val="28"/>
          <w:szCs w:val="28"/>
          <w:rtl/>
        </w:rPr>
        <w:t xml:space="preserve">در ذکر شمه ای از اخبار سید المرسلین است و می رسد به تاریخ اهل بیت و امویان و عباسیان و سپس ذکر ملوک و سلاطین که در زمان خلفای بنی عباس در ممالک اسلام سلطنت می نمودند، عنوان «ذکر شعب» دارد و می رسد به عنوان «جلال الدين منكبرنی» و «حکومت آل صفویه در میان اكراد»؛ بی کا، بی تا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391" w:name="pg20363_209684"/>
    <w:bookmarkEnd w:id="391"/>
    <w:p>
      <w:pPr>
        <w:pStyle w:val="BookText"/>
      </w:pPr>
      <w:r>
        <w:rPr>
          <w:rFonts w:ascii="IRNazanin" w:hAnsi="IRNazanin" w:eastAsia="IRNazanin" w:cs="IRNazanin"/>
          <w:lang w:bidi="fa-IR"/>
          <w:color w:val="111111"/>
          <w:sz w:val="28"/>
          <w:szCs w:val="28"/>
          <w:rtl/>
        </w:rPr>
        <w:t xml:space="preserve">[نشریه: ۵-۳۰۸]</w:t>
      </w:r>
    </w:p>
    <w:p>
      <w:pPr>
        <w:pStyle w:val="Heading3"/>
      </w:pPr>
      <w:bookmarkStart w:id="2053" w:name="_Toc1313"/>
      <w:r>
        <w:t>•تاریخ انتقادی / تاریخ ایران / فارسی</w:t>
      </w:r>
      <w:bookmarkEnd w:id="2053"/>
    </w:p>
    <w:p>
      <w:pPr>
        <w:pStyle w:val="BookText"/>
      </w:pPr>
      <w:r>
        <w:rPr>
          <w:rFonts w:ascii="Times New Roman" w:hAnsi="Times New Roman" w:eastAsia="Times New Roman" w:cs="Times New Roman"/>
          <w:lang w:val="en-US" w:bidi="en-US"/>
          <w:color w:val="111111"/>
          <w:sz w:val="28"/>
          <w:szCs w:val="28"/>
          <w:rtl/>
        </w:rPr>
        <w:t xml:space="preserve">tārīx-e enteqādī</w:t>
      </w:r>
    </w:p>
    <w:p>
      <w:pPr>
        <w:pStyle w:val="BookText"/>
      </w:pPr>
      <w:r>
        <w:rPr>
          <w:rFonts w:ascii="IRNazanin" w:hAnsi="IRNazanin" w:eastAsia="IRNazanin" w:cs="IRNazanin"/>
          <w:lang w:bidi="fa-IR"/>
          <w:color w:val="111111"/>
          <w:sz w:val="28"/>
          <w:szCs w:val="28"/>
          <w:rtl/>
        </w:rPr>
        <w:t xml:space="preserve">رساله که ابتدایی ناقص دارد با انتقاد به شیوه حکومتی شاه</w:t>
      </w:r>
    </w:p>
    <w:p>
      <w:pPr>
        <w:pStyle w:val="BookText"/>
      </w:pPr>
      <w:r>
        <w:rPr>
          <w:rFonts w:ascii="IRNazanin" w:hAnsi="IRNazanin" w:eastAsia="IRNazanin" w:cs="IRNazanin"/>
          <w:lang w:bidi="fa-IR"/>
          <w:color w:val="111111"/>
          <w:sz w:val="28"/>
          <w:szCs w:val="28"/>
          <w:rtl/>
        </w:rPr>
        <w:t xml:space="preserve">ظاهرة تمامی شاهان قاجار تا زمان نویسنده شروع می شود که اکثرا از او با عنوان «ریاست کلیه» یاد می کند. عمده انتقادات نویسنده به جز شخص شاه متوجه متولیان امور اقتصادی از جمله مستوفیان است. وی به توصیف جامعه ای می پردازد که مردمش از تفاوت عمل و شاریط نابسامان اقتصادی که ظلم عمال دولت ناشی می شد به جان آمده اند. اما از آنجا که شخص شاه یا همان ریاست کلیه واکنشی از خود نشان نمی دهد، او را هم شریک می دانند. او همچنین به دو گروه به شدت حمله می کند که عبارت از عمال ظالم و مستبد دولتی به همراه علمای درباری هستند که هر دو یکسره در خدمت منافع شاه و دربار قدم بر می دارند. این رساله یکی از رساله های مهم انتقادی عصر قاجار است که می تواند از جمله آثاری تلقی شود که باعث پیدایش اندیشه مشروطه خواهانه در ایران گردید.</w:t>
      </w:r>
    </w:p>
    <w:p>
      <w:pPr>
        <w:pStyle w:val="BookText"/>
      </w:pPr>
      <w:r>
        <w:rPr>
          <w:rFonts w:ascii="IRNazanin" w:hAnsi="IRNazanin" w:eastAsia="IRNazanin" w:cs="IRNazanin"/>
          <w:lang w:bidi="fa-IR"/>
          <w:color w:val="111111"/>
          <w:sz w:val="28"/>
          <w:szCs w:val="28"/>
          <w:rtl/>
        </w:rPr>
        <w:t xml:space="preserve">آغاز: که اگر در رفع ظلم و بدعت جدید که ضرر آن به ملت و دولت ایران می رسد خلق را ناچار می کند که برای اموال و واولاد خود غارتی ها به وصایت انتخاب کنند</w:t>
      </w:r>
    </w:p>
    <w:p>
      <w:pPr>
        <w:pStyle w:val="BookText"/>
      </w:pPr>
      <w:r>
        <w:rPr>
          <w:rFonts w:ascii="IRNazanin" w:hAnsi="IRNazanin" w:eastAsia="IRNazanin" w:cs="IRNazanin"/>
          <w:lang w:bidi="fa-IR"/>
          <w:color w:val="111111"/>
          <w:sz w:val="28"/>
          <w:szCs w:val="28"/>
          <w:rtl/>
        </w:rPr>
        <w:t xml:space="preserve">انجام: وجود این جانورها اختیار را از ید قدرت پادشاه بیرون برده اطمینان مالی و جانی را از جمیع خلق ایران سلب کرده است.</w:t>
      </w:r>
    </w:p>
    <w:p>
      <w:pPr>
        <w:pStyle w:val="BookText"/>
      </w:pPr>
      <w:r>
        <w:rPr>
          <w:rFonts w:ascii="IRNazanin" w:hAnsi="IRNazanin" w:eastAsia="IRNazanin" w:cs="IRNazanin"/>
          <w:lang w:bidi="fa-IR"/>
          <w:color w:val="111111"/>
          <w:sz w:val="28"/>
          <w:szCs w:val="28"/>
          <w:rtl/>
        </w:rPr>
        <w:t xml:space="preserve">چاپ: با تصحیح دکتر میترا مهر آبادی، گنجینه بهارستان، تاریخ ۲ (قاجار)، مسلسل ۱۲، تهران، کتابخانه مجلس شورای اسلامی، ۱۳۸۴ش</w:t>
      </w:r>
    </w:p>
    <w:p>
      <w:pPr>
        <w:pStyle w:val="BookText"/>
      </w:pPr>
      <w:r>
        <w:rPr>
          <w:rFonts w:ascii="IRNazanin" w:hAnsi="IRNazanin" w:eastAsia="IRNazanin" w:cs="IRNazanin"/>
          <w:lang w:bidi="fa-IR"/>
          <w:color w:val="111111"/>
          <w:sz w:val="28"/>
          <w:szCs w:val="28"/>
          <w:rtl/>
        </w:rPr>
        <w:t xml:space="preserve">تهران؛ مجلس؛ شماره نسخه: ۷۸۱</w:t>
      </w:r>
    </w:p>
    <w:p>
      <w:pPr>
        <w:pStyle w:val="BookText"/>
      </w:pPr>
      <w:r>
        <w:rPr>
          <w:rFonts w:ascii="IRNazanin" w:hAnsi="IRNazanin" w:eastAsia="IRNazanin" w:cs="IRNazanin"/>
          <w:lang w:bidi="fa-IR"/>
          <w:color w:val="111111"/>
          <w:sz w:val="28"/>
          <w:szCs w:val="28"/>
          <w:rtl/>
        </w:rPr>
        <w:t xml:space="preserve">خط: نستعلیق، بی کا، تا: قرن ۱۴؛ افتادگی: آغاز و انجام؛ کاغذ: آبی خط دار، جلد: تیماج قهوه ای، ۶۲، ۹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۴)،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[سنا: ف: ۲-۵۹]</w:t>
      </w:r>
    </w:p>
    <w:p>
      <w:pPr>
        <w:pStyle w:val="BookText"/>
      </w:pPr>
      <w:r>
        <w:rPr>
          <w:rFonts w:ascii="IRNazanin" w:hAnsi="IRNazanin" w:eastAsia="IRNazanin" w:cs="IRNazanin"/>
          <w:lang w:bidi="fa-IR"/>
          <w:color w:val="111111"/>
          <w:sz w:val="28"/>
          <w:szCs w:val="28"/>
          <w:rtl/>
        </w:rPr>
        <w:t xml:space="preserve">تهران؛ مفتاح؛ شماره نسخه: ۵۱۱</w:t>
      </w:r>
    </w:p>
    <w:p>
      <w:pPr>
        <w:pStyle w:val="BookText"/>
      </w:pPr>
      <w:r>
        <w:rPr>
          <w:rFonts w:ascii="IRNazanin" w:hAnsi="IRNazanin" w:eastAsia="IRNazanin" w:cs="IRNazanin"/>
          <w:lang w:bidi="fa-IR"/>
          <w:color w:val="111111"/>
          <w:sz w:val="28"/>
          <w:szCs w:val="28"/>
          <w:rtl/>
        </w:rPr>
        <w:t xml:space="preserve">همان نسخه بالا [نشریه: ۷-۱۰۹]</w:t>
      </w:r>
    </w:p>
    <w:p>
      <w:pPr>
        <w:pStyle w:val="Heading3"/>
      </w:pPr>
      <w:bookmarkStart w:id="2054" w:name="_Toc1314"/>
      <w:r>
        <w:t>•تاریخ انتقال شهور اولیای کرام / تراجم، تاریخ پیامبران / فارسی</w:t>
      </w:r>
      <w:bookmarkEnd w:id="2054"/>
    </w:p>
    <w:p>
      <w:pPr>
        <w:pStyle w:val="BookText"/>
      </w:pPr>
      <w:r>
        <w:rPr>
          <w:rFonts w:ascii="Times New Roman" w:hAnsi="Times New Roman" w:eastAsia="Times New Roman" w:cs="Times New Roman"/>
          <w:lang w:val="en-US" w:bidi="en-US"/>
          <w:color w:val="111111"/>
          <w:sz w:val="28"/>
          <w:szCs w:val="28"/>
          <w:rtl/>
        </w:rPr>
        <w:t xml:space="preserve">tārīx-e enteqāl-e šohūr-e owlīyā-ye kerām</w:t>
      </w:r>
    </w:p>
    <w:p>
      <w:pPr>
        <w:pStyle w:val="BookText"/>
      </w:pPr>
      <w:r>
        <w:rPr>
          <w:rFonts w:ascii="IRNazanin" w:hAnsi="IRNazanin" w:eastAsia="IRNazanin" w:cs="IRNazanin"/>
          <w:lang w:bidi="fa-IR"/>
          <w:color w:val="111111"/>
          <w:sz w:val="28"/>
          <w:szCs w:val="28"/>
          <w:rtl/>
        </w:rPr>
        <w:t xml:space="preserve">نجیب خان، محمد</w:t>
      </w:r>
    </w:p>
    <w:p>
      <w:pPr>
        <w:pStyle w:val="BookText"/>
      </w:pPr>
      <w:r>
        <w:rPr>
          <w:rFonts w:ascii="Times New Roman" w:hAnsi="Times New Roman" w:eastAsia="Times New Roman" w:cs="Times New Roman"/>
          <w:lang w:val="en-US" w:bidi="en-US"/>
          <w:color w:val="111111"/>
          <w:sz w:val="28"/>
          <w:szCs w:val="28"/>
          <w:rtl/>
        </w:rPr>
        <w:t xml:space="preserve">najīb xān, mohammad</w:t>
      </w:r>
    </w:p>
    <w:p>
      <w:pPr>
        <w:pStyle w:val="BookText"/>
      </w:pPr>
      <w:r>
        <w:rPr>
          <w:rFonts w:ascii="IRNazanin" w:hAnsi="IRNazanin" w:eastAsia="IRNazanin" w:cs="IRNazanin"/>
          <w:lang w:bidi="fa-IR"/>
          <w:color w:val="111111"/>
          <w:sz w:val="28"/>
          <w:szCs w:val="28"/>
          <w:rtl/>
        </w:rPr>
        <w:t xml:space="preserve">تصنیف محمد نجیب خان (آغاز نسخه) در ص آمده «کتاب فاتحه از آدم ع تا ختم الانبیاء حضرت رسول (ص س) و همه اولياء الله و اصفياء الله و اتقياء الله و جميع شهیدان و عارفان و اصلان و عالمان و زاهدان زمان که تصنیف محمد نجيب ... مرحوم ...). در آن کسانی که در روزهای ماه های عربی از ۱ ربیع الاول سال ۱ (محمد) تا ۳۰ صفر سال ۳۰ (شیخ احمد کابلی و مسور) در گذشته اند بر شمرده شده است.</w:t>
      </w:r>
    </w:p>
    <w:p>
      <w:pPr>
        <w:pStyle w:val="BookText"/>
      </w:pPr>
      <w:r>
        <w:rPr>
          <w:rFonts w:ascii="IRNazanin" w:hAnsi="IRNazanin" w:eastAsia="IRNazanin" w:cs="IRNazanin"/>
          <w:lang w:bidi="fa-IR"/>
          <w:color w:val="111111"/>
          <w:sz w:val="28"/>
          <w:szCs w:val="28"/>
          <w:rtl/>
        </w:rPr>
        <w:t xml:space="preserve">تهران؛ دانشگاه؛ شماره نسخه:۸۰۴۱</w:t>
      </w:r>
    </w:p>
    <w:p>
      <w:pPr>
        <w:pStyle w:val="BookText"/>
      </w:pPr>
      <w:r>
        <w:rPr>
          <w:rFonts w:ascii="IRNazanin" w:hAnsi="IRNazanin" w:eastAsia="IRNazanin" w:cs="IRNazanin"/>
          <w:lang w:bidi="fa-IR"/>
          <w:color w:val="111111"/>
          <w:sz w:val="28"/>
          <w:szCs w:val="28"/>
          <w:rtl/>
        </w:rPr>
        <w:t xml:space="preserve">خط: نستعلیق، بی کا، تا: قرن ۱۲ و ۱۳؛ مهر: «میرزا بیک اسیر ولد میرزا اکرم»؛ کاغذ: هندی، ۷۲، ۱۵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[ف: ۱۷-۱۴]</w:t>
      </w:r>
    </w:p>
    <w:p>
      <w:pPr>
        <w:pStyle w:val="Heading3"/>
      </w:pPr>
      <w:bookmarkStart w:id="2055" w:name="_Toc1315"/>
      <w:r>
        <w:t>•تاریخ انطاکیه / تاریخ / عربی</w:t>
      </w:r>
      <w:bookmarkEnd w:id="2055"/>
    </w:p>
    <w:p>
      <w:pPr>
        <w:pStyle w:val="BookText"/>
      </w:pPr>
      <w:r>
        <w:rPr>
          <w:rFonts w:ascii="Times New Roman" w:hAnsi="Times New Roman" w:eastAsia="Times New Roman" w:cs="Times New Roman"/>
          <w:lang w:val="en-US" w:bidi="en-US"/>
          <w:color w:val="111111"/>
          <w:sz w:val="28"/>
          <w:szCs w:val="28"/>
          <w:rtl/>
        </w:rPr>
        <w:t xml:space="preserve">tārīx-e antākīye</w:t>
      </w:r>
    </w:p>
    <w:p>
      <w:pPr>
        <w:pStyle w:val="BookText"/>
      </w:pPr>
      <w:r>
        <w:rPr>
          <w:rFonts w:ascii="IRNazanin" w:hAnsi="IRNazanin" w:eastAsia="IRNazanin" w:cs="IRNazanin"/>
          <w:lang w:bidi="fa-IR"/>
          <w:color w:val="111111"/>
          <w:sz w:val="28"/>
          <w:szCs w:val="28"/>
          <w:rtl/>
        </w:rPr>
        <w:t xml:space="preserve">تهران؛ ملک؛ شماره نسخه: ۳۶۳۰/۵</w:t>
      </w:r>
    </w:p>
    <w:p>
      <w:pPr>
        <w:pStyle w:val="BookText"/>
      </w:pPr>
      <w:r>
        <w:rPr>
          <w:rFonts w:ascii="IRNazanin" w:hAnsi="IRNazanin" w:eastAsia="IRNazanin" w:cs="IRNazanin"/>
          <w:lang w:bidi="fa-IR"/>
          <w:color w:val="111111"/>
          <w:sz w:val="28"/>
          <w:szCs w:val="28"/>
          <w:rtl/>
        </w:rPr>
        <w:t xml:space="preserve">خط: نسخ، كا: قاسم عبدالله، بی تا [ف: ۷-۷]</w:t>
      </w:r>
    </w:p>
    <w:p>
      <w:pPr>
        <w:pStyle w:val="Heading3"/>
      </w:pPr>
      <w:bookmarkStart w:id="2056" w:name="_Toc1316"/>
      <w:r>
        <w:t>•تاریخ انقراض صفویه / تاریخ ایران / فارسی</w:t>
      </w:r>
      <w:bookmarkEnd w:id="2056"/>
    </w:p>
    <w:p>
      <w:pPr>
        <w:pStyle w:val="BookText"/>
      </w:pPr>
      <w:r>
        <w:rPr>
          <w:rFonts w:ascii="Times New Roman" w:hAnsi="Times New Roman" w:eastAsia="Times New Roman" w:cs="Times New Roman"/>
          <w:lang w:val="en-US" w:bidi="en-US"/>
          <w:color w:val="111111"/>
          <w:sz w:val="28"/>
          <w:szCs w:val="28"/>
          <w:rtl/>
        </w:rPr>
        <w:t xml:space="preserve">tārīx-e enqerāz-e safavīye</w:t>
      </w:r>
    </w:p>
    <w:p>
      <w:pPr>
        <w:pStyle w:val="BookText"/>
      </w:pPr>
      <w:r>
        <w:rPr>
          <w:rFonts w:ascii="Amiri" w:hAnsi="Amiri" w:eastAsia="Amiri" w:cs="Amiri"/>
          <w:lang w:bidi="ar-SA"/>
          <w:color w:val="111111"/>
          <w:sz w:val="28"/>
          <w:szCs w:val="28"/>
          <w:rtl/>
        </w:rPr>
        <w:t xml:space="preserve">ابراهيم بن عليرضا</w:t>
      </w:r>
    </w:p>
    <w:p>
      <w:pPr>
        <w:pStyle w:val="BookText"/>
      </w:pPr>
      <w:r>
        <w:rPr>
          <w:rFonts w:ascii="Times New Roman" w:hAnsi="Times New Roman" w:eastAsia="Times New Roman" w:cs="Times New Roman"/>
          <w:lang w:val="en-US" w:bidi="en-US"/>
          <w:color w:val="111111"/>
          <w:sz w:val="28"/>
          <w:szCs w:val="28"/>
          <w:rtl/>
        </w:rPr>
        <w:t xml:space="preserve">ebrāhīm ebn-e ‘alī-rezā</w:t>
      </w:r>
    </w:p>
    <w:p>
      <w:pPr>
        <w:pStyle w:val="BookText"/>
      </w:pPr>
      <w:r>
        <w:rPr>
          <w:rFonts w:ascii="IRNazanin" w:hAnsi="IRNazanin" w:eastAsia="IRNazanin" w:cs="IRNazanin"/>
          <w:lang w:bidi="fa-IR"/>
          <w:color w:val="111111"/>
          <w:sz w:val="28"/>
          <w:szCs w:val="28"/>
          <w:rtl/>
        </w:rPr>
        <w:t xml:space="preserve">اصل کتاب تألیف یک سیاح مسیحی است که از عصر سلطان سلیمان تا ورود اشرف افغان به اصفهان بیست و شش سال در اصفهان بوده است. کتاب او به استانبول می رسد و از زبان انگلیسی به ترکی ترجمه می شود و به نام نصرت نامه چاپ می شود. بعد در ایران در سال ۱۲۷۴ توسط عبدالرزاق بن نجفعلی از ترکی به فارسی ترجمه می شود. در نهایت سید ابراهیم آن ترجمه را بازنویسی می کند و به فارسی فصيح برگردانده می شود.</w:t>
      </w:r>
    </w:p>
    <w:p>
      <w:pPr>
        <w:pStyle w:val="BookText"/>
      </w:pPr>
      <w:r>
        <w:rPr>
          <w:rFonts w:ascii="IRNazanin" w:hAnsi="IRNazanin" w:eastAsia="IRNazanin" w:cs="IRNazanin"/>
          <w:lang w:bidi="fa-IR"/>
          <w:color w:val="111111"/>
          <w:sz w:val="28"/>
          <w:szCs w:val="28"/>
          <w:rtl/>
        </w:rPr>
        <w:t xml:space="preserve">مشهد، شیخ علی حیدر، شماره نسخه:۱۰۹۸</w:t>
      </w:r>
    </w:p>
    <w:p>
      <w:pPr>
        <w:pStyle w:val="BookText"/>
      </w:pPr>
      <w:r>
        <w:rPr>
          <w:rFonts w:ascii="IRNazanin" w:hAnsi="IRNazanin" w:eastAsia="IRNazanin" w:cs="IRNazanin"/>
          <w:lang w:bidi="fa-IR"/>
          <w:color w:val="111111"/>
          <w:sz w:val="28"/>
          <w:szCs w:val="28"/>
          <w:rtl/>
        </w:rPr>
        <w:t xml:space="preserve">آغاز: حمد و سپاس بیرون از ادراک و هم و قیاس سزای ذات مقدس خداوندی است؛ انجام: عمارت اشرف باره اشرف گویند این باره را شش ماه با تمام رسانیده است</w:t>
      </w:r>
    </w:p>
    <w:p>
      <w:pPr>
        <w:pStyle w:val="BookText"/>
      </w:pPr>
      <w:r>
        <w:rPr>
          <w:rFonts w:ascii="IRNazanin" w:hAnsi="IRNazanin" w:eastAsia="IRNazanin" w:cs="IRNazanin"/>
          <w:lang w:bidi="fa-IR"/>
          <w:color w:val="111111"/>
          <w:sz w:val="28"/>
          <w:szCs w:val="28"/>
          <w:rtl/>
        </w:rPr>
        <w:t xml:space="preserve">خط: نسخ، بی کا، تا: ۱۱۳۴ق؛ تملك: سید ریحان الله بن جعفر موسوی در ۱۳۲۳ با مهر «العبد ريحان الله الموسوی» (بیضوی)؛ مهر: سید محمد باقر بروجردی؛ در آخر نوشته ای به تاریخ ۱۳۲۱؛ جلد: تیماج گلی، ۱۱۰گ، ۱۵ سطر، اندازه: ۱۶/۵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۲۵/۵ سم [مؤيد: ۹۶-۳ ]</w:t>
      </w:r>
    </w:p>
    <w:p>
      <w:pPr>
        <w:pStyle w:val="Heading3"/>
      </w:pPr>
      <w:bookmarkStart w:id="2057" w:name="_Toc1317"/>
      <w:r>
        <w:t>•تاریخ انقلاب ایران / تاریخ ایران / فارسی</w:t>
      </w:r>
      <w:bookmarkEnd w:id="2057"/>
    </w:p>
    <w:p>
      <w:pPr>
        <w:pStyle w:val="BookText"/>
      </w:pPr>
      <w:r>
        <w:rPr>
          <w:rFonts w:ascii="Times New Roman" w:hAnsi="Times New Roman" w:eastAsia="Times New Roman" w:cs="Times New Roman"/>
          <w:lang w:val="en-US" w:bidi="en-US"/>
          <w:color w:val="111111"/>
          <w:sz w:val="28"/>
          <w:szCs w:val="28"/>
          <w:rtl/>
        </w:rPr>
        <w:t xml:space="preserve">tārīx-e enqelāb-e īrān</w:t>
      </w:r>
    </w:p>
    <w:p>
      <w:pPr>
        <w:pStyle w:val="BookText"/>
      </w:pPr>
      <w:r>
        <w:rPr>
          <w:rFonts w:ascii="IRNazanin" w:hAnsi="IRNazanin" w:eastAsia="IRNazanin" w:cs="IRNazanin"/>
          <w:lang w:bidi="fa-IR"/>
          <w:color w:val="111111"/>
          <w:sz w:val="28"/>
          <w:szCs w:val="28"/>
          <w:rtl/>
        </w:rPr>
        <w:t xml:space="preserve">تاریخ نیکویی است درباره بیداری ایرانیان و نهضت ملی آنان در سال های اخیر و بیان علل و عواملی که این جنبش را به وجود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392" w:name="pg20363_209685"/>
    <w:bookmarkEnd w:id="392"/>
    <w:p>
      <w:pPr>
        <w:pStyle w:val="BookText"/>
      </w:pPr>
      <w:r>
        <w:rPr>
          <w:rFonts w:ascii="IRNazanin" w:hAnsi="IRNazanin" w:eastAsia="IRNazanin" w:cs="IRNazanin"/>
          <w:lang w:bidi="fa-IR"/>
          <w:color w:val="111111"/>
          <w:sz w:val="28"/>
          <w:szCs w:val="28"/>
          <w:rtl/>
        </w:rPr>
        <w:t xml:space="preserve">آورد، با بعضی از اسناد و مدارک مربوط به عصر ناصری و پس از آن. ترجمه ای است از کتابی خارجی و در بسیاری از فرازها به مانند مقدمه کتاب «تاریخ بیداری ایرانیان» ناظم الاسلام محمد بن علی کرمانی (۱۳۳۷) می باشد، مشتمل بر ده «فصل»: ۱. سید جمال الدین نخستین هواخواه اتحاد اسلام؛ ۲. امتیاز تنباکو و نتایج آن؛ ۳. کشته شدن ناصر الدین شاه؛ ۴. مظفر الدین شاه و اعطای مشروطیت؛ ۵. محمد علی شاه و قانون اساسی؛ ۶. معاهده دولتين روس و انگلیس؛ 7. به هم خوردن مجلس اول؛ ۸ وقایع تبریز؛ 9. سقوط تبریز و هیجان ایالات؛ ۱۰. غلبه بیت و خلع محمد علی</w:t>
      </w:r>
    </w:p>
    <w:p>
      <w:pPr>
        <w:pStyle w:val="BookText"/>
      </w:pPr>
      <w:r>
        <w:rPr>
          <w:rFonts w:ascii="IRNazanin" w:hAnsi="IRNazanin" w:eastAsia="IRNazanin" w:cs="IRNazanin"/>
          <w:lang w:bidi="fa-IR"/>
          <w:color w:val="111111"/>
          <w:sz w:val="28"/>
          <w:szCs w:val="28"/>
          <w:rtl/>
        </w:rPr>
        <w:t xml:space="preserve">قم؛ مرعشی؛ شماره نسخه: ۸۸۶۰</w:t>
      </w:r>
    </w:p>
    <w:p>
      <w:pPr>
        <w:pStyle w:val="BookText"/>
      </w:pPr>
      <w:r>
        <w:rPr>
          <w:rFonts w:ascii="IRNazanin" w:hAnsi="IRNazanin" w:eastAsia="IRNazanin" w:cs="IRNazanin"/>
          <w:lang w:bidi="fa-IR"/>
          <w:color w:val="111111"/>
          <w:sz w:val="28"/>
          <w:szCs w:val="28"/>
          <w:rtl/>
        </w:rPr>
        <w:t xml:space="preserve">آغاز: فصل اول سید جمال الدين ... مؤلف</w:t>
      </w:r>
    </w:p>
    <w:p>
      <w:pPr>
        <w:pStyle w:val="BookText"/>
      </w:pPr>
      <w:r>
        <w:rPr>
          <w:rFonts w:ascii="IRNazanin" w:hAnsi="IRNazanin" w:eastAsia="IRNazanin" w:cs="IRNazanin"/>
          <w:lang w:bidi="fa-IR"/>
          <w:color w:val="111111"/>
          <w:sz w:val="28"/>
          <w:szCs w:val="28"/>
          <w:rtl/>
        </w:rPr>
        <w:t xml:space="preserve">گوید در تابستان ۱۹۰۲ میلادی زمانی که دارالعلم كمبريج بقدوم هیئت هواخواهان توسعه مدارس</w:t>
      </w:r>
    </w:p>
    <w:p>
      <w:pPr>
        <w:pStyle w:val="BookText"/>
      </w:pPr>
      <w:r>
        <w:rPr>
          <w:rFonts w:ascii="IRNazanin" w:hAnsi="IRNazanin" w:eastAsia="IRNazanin" w:cs="IRNazanin"/>
          <w:lang w:bidi="fa-IR"/>
          <w:color w:val="111111"/>
          <w:sz w:val="28"/>
          <w:szCs w:val="28"/>
          <w:rtl/>
        </w:rPr>
        <w:t xml:space="preserve">خط: نستعلیق، بی کا، بی تا؛ جلد: گالینگور مشکی، ۱۴۹ گ، مختلف السطر،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۲۳-۴۵]</w:t>
      </w:r>
    </w:p>
    <w:p>
      <w:pPr>
        <w:pStyle w:val="Heading3"/>
      </w:pPr>
      <w:bookmarkStart w:id="2058" w:name="_Toc1318"/>
      <w:r>
        <w:t>• تاریخ انقلاب تبریز / تاریخ ایران / فارسی</w:t>
      </w:r>
      <w:bookmarkEnd w:id="2058"/>
    </w:p>
    <w:p>
      <w:pPr>
        <w:pStyle w:val="BookText"/>
      </w:pPr>
      <w:r>
        <w:rPr>
          <w:rFonts w:ascii="Times New Roman" w:hAnsi="Times New Roman" w:eastAsia="Times New Roman" w:cs="Times New Roman"/>
          <w:lang w:val="en-US" w:bidi="en-US"/>
          <w:color w:val="111111"/>
          <w:sz w:val="28"/>
          <w:szCs w:val="28"/>
          <w:rtl/>
        </w:rPr>
        <w:t xml:space="preserve">tārīx-e enqelāb-e tabrīz</w:t>
      </w:r>
    </w:p>
    <w:p>
      <w:pPr>
        <w:pStyle w:val="BookText"/>
      </w:pPr>
      <w:r>
        <w:rPr>
          <w:rFonts w:ascii="IRNazanin" w:hAnsi="IRNazanin" w:eastAsia="IRNazanin" w:cs="IRNazanin"/>
          <w:lang w:bidi="fa-IR"/>
          <w:color w:val="111111"/>
          <w:sz w:val="28"/>
          <w:szCs w:val="28"/>
          <w:rtl/>
        </w:rPr>
        <w:t xml:space="preserve">ويجویه، محمد باقر</w:t>
      </w:r>
    </w:p>
    <w:p>
      <w:pPr>
        <w:pStyle w:val="BookText"/>
      </w:pPr>
      <w:r>
        <w:rPr>
          <w:rFonts w:ascii="Times New Roman" w:hAnsi="Times New Roman" w:eastAsia="Times New Roman" w:cs="Times New Roman"/>
          <w:lang w:val="en-US" w:bidi="en-US"/>
          <w:color w:val="111111"/>
          <w:sz w:val="28"/>
          <w:szCs w:val="28"/>
          <w:rtl/>
        </w:rPr>
        <w:t xml:space="preserve">veyjūye, mohammad bāqer</w:t>
      </w:r>
    </w:p>
    <w:p>
      <w:pPr>
        <w:pStyle w:val="BookText"/>
      </w:pPr>
      <w:r>
        <w:rPr>
          <w:rFonts w:ascii="IRNazanin" w:hAnsi="IRNazanin" w:eastAsia="IRNazanin" w:cs="IRNazanin"/>
          <w:lang w:bidi="fa-IR"/>
          <w:color w:val="111111"/>
          <w:sz w:val="28"/>
          <w:szCs w:val="28"/>
          <w:rtl/>
        </w:rPr>
        <w:t xml:space="preserve">خلاصه ای است از تاریخ انقلاب تبریز و مبارزه مشروطه طلبان سردار ملی، سالار ملی) با مستبدين، مربوط به ۱۳۲۵-۱۳۲۶، به گفته نویسنده: در طول این چهار ماه جنگ و آشوب، سیصد هزار تومان مخارج دعوا شده و چهار هزار و سیصد و دو توپ شلیک گردیده و تحقیق چهار هزار نفر از طرفین کشته شدند و علاوه گرسنگی و گرانی و ... سرانجام قصیه به پیروزی مشروطه طلبان و مردم در ذیحجه ۱۳۲۶ خاتمه یافت، نویسنده که شاهد وقایع و حوادث حساس و پر آشوب بوده با نگارش ساده و روان خود تصویر صحیح و دقیقی از انقلاب مردم ارائه داده است، به ویژه حقایقی از شجاعت، اتحاد، میهن پرستی، وحدت و یکپارچگی مسلمین و آیات عظام و دیگر طبقات را در آن ولایت روشن ساخته است.</w:t>
      </w:r>
    </w:p>
    <w:p>
      <w:pPr>
        <w:pStyle w:val="BookText"/>
      </w:pPr>
      <w:r>
        <w:rPr>
          <w:rFonts w:ascii="IRNazanin" w:hAnsi="IRNazanin" w:eastAsia="IRNazanin" w:cs="IRNazanin"/>
          <w:lang w:bidi="fa-IR"/>
          <w:color w:val="111111"/>
          <w:sz w:val="28"/>
          <w:szCs w:val="28"/>
          <w:rtl/>
        </w:rPr>
        <w:t xml:space="preserve">اراک؛ دهگان؛ شماره نسخه: ۹۹</w:t>
      </w:r>
    </w:p>
    <w:p>
      <w:pPr>
        <w:pStyle w:val="BookText"/>
      </w:pPr>
      <w:r>
        <w:rPr>
          <w:rFonts w:ascii="IRNazanin" w:hAnsi="IRNazanin" w:eastAsia="IRNazanin" w:cs="IRNazanin"/>
          <w:lang w:bidi="fa-IR"/>
          <w:color w:val="111111"/>
          <w:sz w:val="28"/>
          <w:szCs w:val="28"/>
          <w:rtl/>
        </w:rPr>
        <w:t xml:space="preserve">آغاز: همه روزه خیالشان فاسد و مملکت ایران را بکلی نا امن نمودند؛ انجام: الفاظ غير مرغوب را درجه قبول نخواهند گذاشت و نکته نخواهند گرفت</w:t>
      </w:r>
    </w:p>
    <w:p>
      <w:pPr>
        <w:pStyle w:val="BookText"/>
      </w:pPr>
      <w:r>
        <w:rPr>
          <w:rFonts w:ascii="IRNazanin" w:hAnsi="IRNazanin" w:eastAsia="IRNazanin" w:cs="IRNazanin"/>
          <w:lang w:bidi="fa-IR"/>
          <w:color w:val="111111"/>
          <w:sz w:val="28"/>
          <w:szCs w:val="28"/>
          <w:rtl/>
        </w:rPr>
        <w:t xml:space="preserve">خط: تحریری، بی کا، تا: احتمالا قرن ۱۴؛ افتادگی: آغاز و وسط؛ از کتاب های مرحوم ابراهیم دهگانه کاغذ سفید خط دار، جلد: مقوایی با رویه نایلون صورتی، ۱۲۶گ، مختلف السطر،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۱-۱۱۰]</w:t>
      </w:r>
    </w:p>
    <w:p>
      <w:pPr>
        <w:pStyle w:val="Heading3"/>
      </w:pPr>
      <w:bookmarkStart w:id="2059" w:name="_Toc1319"/>
      <w:r>
        <w:t>•تاریخ انقلاب مشروطیت ایران / تاریخ ایران / فارسی</w:t>
      </w:r>
      <w:bookmarkEnd w:id="2059"/>
    </w:p>
    <w:p>
      <w:pPr>
        <w:pStyle w:val="BookText"/>
      </w:pPr>
      <w:r>
        <w:rPr>
          <w:rFonts w:ascii="Times New Roman" w:hAnsi="Times New Roman" w:eastAsia="Times New Roman" w:cs="Times New Roman"/>
          <w:lang w:val="en-US" w:bidi="en-US"/>
          <w:color w:val="111111"/>
          <w:sz w:val="28"/>
          <w:szCs w:val="28"/>
          <w:rtl/>
        </w:rPr>
        <w:t xml:space="preserve">tārīx-e enqelāb-e mašrūtīyat-e īrān</w:t>
      </w:r>
    </w:p>
    <w:p>
      <w:pPr>
        <w:pStyle w:val="BookText"/>
      </w:pPr>
      <w:r>
        <w:rPr>
          <w:rFonts w:ascii="IRNazanin" w:hAnsi="IRNazanin" w:eastAsia="IRNazanin" w:cs="IRNazanin"/>
          <w:lang w:bidi="fa-IR"/>
          <w:color w:val="111111"/>
          <w:sz w:val="28"/>
          <w:szCs w:val="28"/>
          <w:rtl/>
        </w:rPr>
        <w:t xml:space="preserve">محیط مافی، هاشم، ق ۱۴ قمری</w:t>
      </w:r>
    </w:p>
    <w:p>
      <w:pPr>
        <w:pStyle w:val="BookText"/>
      </w:pPr>
      <w:r>
        <w:rPr>
          <w:rFonts w:ascii="Times New Roman" w:hAnsi="Times New Roman" w:eastAsia="Times New Roman" w:cs="Times New Roman"/>
          <w:lang w:val="en-US" w:bidi="en-US"/>
          <w:color w:val="111111"/>
          <w:sz w:val="28"/>
          <w:szCs w:val="28"/>
          <w:rtl/>
        </w:rPr>
        <w:t xml:space="preserve">mohīt-e māfi, hāšem (-20c)</w:t>
      </w:r>
    </w:p>
    <w:p>
      <w:pPr>
        <w:pStyle w:val="BookText"/>
      </w:pPr>
      <w:r>
        <w:rPr>
          <w:rFonts w:ascii="IRNazanin" w:hAnsi="IRNazanin" w:eastAsia="IRNazanin" w:cs="IRNazanin"/>
          <w:lang w:bidi="fa-IR"/>
          <w:color w:val="111111"/>
          <w:sz w:val="28"/>
          <w:szCs w:val="28"/>
          <w:rtl/>
        </w:rPr>
        <w:t xml:space="preserve">تاریخ مفصلی است با تکیه بر کتاب های تاریخی و اسناد و یادداشت های تاریخی برخی از افراد در زمامداری سلاطين قاجار و چگونگی سقوط و علل آن و اوضاع سیاسی دوران قاجاریه و بیان عهدنامه ها و جنگ های واقعه در آن ایام و بررسی اوضاع کلی مملکت ایران و آنچه موجب انقلاب مشروطه شد. این کتاب در چند فصل مفصل تنظیم شده که عناوین آنها در آغاز هر جلد آمده است.</w:t>
      </w:r>
    </w:p>
    <w:p>
      <w:pPr>
        <w:pStyle w:val="BookText"/>
      </w:pPr>
      <w:r>
        <w:rPr>
          <w:rFonts w:ascii="IRNazanin" w:hAnsi="IRNazanin" w:eastAsia="IRNazanin" w:cs="IRNazanin"/>
          <w:lang w:bidi="fa-IR"/>
          <w:color w:val="111111"/>
          <w:sz w:val="28"/>
          <w:szCs w:val="28"/>
          <w:rtl/>
        </w:rPr>
        <w:t xml:space="preserve">[دنا ۶۷۸/۲ ؛ فهرستواره منزوی ۹۰۲/۲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۸۷۱۰</w:t>
      </w:r>
    </w:p>
    <w:p>
      <w:pPr>
        <w:pStyle w:val="BookText"/>
      </w:pPr>
      <w:r>
        <w:rPr>
          <w:rFonts w:ascii="IRNazanin" w:hAnsi="IRNazanin" w:eastAsia="IRNazanin" w:cs="IRNazanin"/>
          <w:lang w:bidi="fa-IR"/>
          <w:color w:val="111111"/>
          <w:sz w:val="28"/>
          <w:szCs w:val="28"/>
          <w:rtl/>
        </w:rPr>
        <w:t xml:space="preserve">جلد اول؛ خط: نستعلیق، کاتب = مؤلف، تا: قرن ۱۴؛ مصحح، با افزودگی ها در حاشیه؛ جلد: تیماج قهوه ای، ۳۰۶گ، مختلف السطر، اندازه: ۲۱/۵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۲۸-۲۱۸]</w:t>
      </w:r>
    </w:p>
    <w:p>
      <w:pPr>
        <w:pStyle w:val="BookText"/>
      </w:pPr>
      <w:r>
        <w:rPr>
          <w:rFonts w:ascii="IRNazanin" w:hAnsi="IRNazanin" w:eastAsia="IRNazanin" w:cs="IRNazanin"/>
          <w:lang w:bidi="fa-IR"/>
          <w:color w:val="111111"/>
          <w:sz w:val="28"/>
          <w:szCs w:val="28"/>
          <w:rtl/>
        </w:rPr>
        <w:t xml:space="preserve">۲. تهران؛ مجلس؛ شماره نسخه:۸۷۱۱</w:t>
      </w:r>
    </w:p>
    <w:p>
      <w:pPr>
        <w:pStyle w:val="BookText"/>
      </w:pPr>
      <w:r>
        <w:rPr>
          <w:rFonts w:ascii="IRNazanin" w:hAnsi="IRNazanin" w:eastAsia="IRNazanin" w:cs="IRNazanin"/>
          <w:lang w:bidi="fa-IR"/>
          <w:color w:val="111111"/>
          <w:sz w:val="28"/>
          <w:szCs w:val="28"/>
          <w:rtl/>
        </w:rPr>
        <w:t xml:space="preserve">جلد دوم، از فصل هفتم تا فصل دهم؛ خط: نستعلیق، کاتب = مؤلف، تا: قرن ۱۴؛ جلد: تیماج قهوه ای، ۳۲۹گ، مختلف السطر، اندازه: ۲۱/۵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۲۸-۲۱۸]</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نسخه:۸۷۱۲</w:t>
      </w:r>
    </w:p>
    <w:p>
      <w:pPr>
        <w:pStyle w:val="BookText"/>
      </w:pPr>
      <w:r>
        <w:rPr>
          <w:rFonts w:ascii="IRNazanin" w:hAnsi="IRNazanin" w:eastAsia="IRNazanin" w:cs="IRNazanin"/>
          <w:lang w:bidi="fa-IR"/>
          <w:color w:val="111111"/>
          <w:sz w:val="28"/>
          <w:szCs w:val="28"/>
          <w:rtl/>
        </w:rPr>
        <w:t xml:space="preserve">جلد سوم، از فصل ۱۱ تا فصل ۱۸؛ خط: نستعلیق، کاتب = مؤلف، تا: قرن ۱۴؛ جلد: تیماج قهوه ای، ۳۶۷گ، مختلف السطر، اندازه: ۲۱/۵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۲۸-۲۱۸]</w:t>
      </w:r>
    </w:p>
    <w:p>
      <w:pPr>
        <w:pStyle w:val="BookText"/>
      </w:pPr>
      <w:r>
        <w:rPr>
          <w:rFonts w:ascii="IRNazanin" w:hAnsi="IRNazanin" w:eastAsia="IRNazanin" w:cs="IRNazanin"/>
          <w:lang w:bidi="fa-IR"/>
          <w:color w:val="111111"/>
          <w:sz w:val="28"/>
          <w:szCs w:val="28"/>
          <w:rtl/>
        </w:rPr>
        <w:t xml:space="preserve">۴. تهران: مجلس؛ شماره نسخه:۸۷۰۹</w:t>
      </w:r>
    </w:p>
    <w:p>
      <w:pPr>
        <w:pStyle w:val="BookText"/>
      </w:pPr>
      <w:r>
        <w:rPr>
          <w:rFonts w:ascii="IRNazanin" w:hAnsi="IRNazanin" w:eastAsia="IRNazanin" w:cs="IRNazanin"/>
          <w:lang w:bidi="fa-IR"/>
          <w:color w:val="111111"/>
          <w:sz w:val="28"/>
          <w:szCs w:val="28"/>
          <w:rtl/>
        </w:rPr>
        <w:t xml:space="preserve">جلد چهارم، از سال ۱۲۹۳ تا ۱۳۳۲ق و کودتای ایران؛ خط: نستعلیق، کاتب = مؤلف، تا: قرن ۱۴، جلد: تیماج قهوه ای، ۳۴۸گ، مختلف السطر، اندازه: ۲۱/۵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۲۸-۲۱۸]</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مجلس؛ شماره نسخه:۸۷۱۳</w:t>
      </w:r>
    </w:p>
    <w:p>
      <w:pPr>
        <w:pStyle w:val="BookText"/>
      </w:pPr>
      <w:r>
        <w:rPr>
          <w:rFonts w:ascii="IRNazanin" w:hAnsi="IRNazanin" w:eastAsia="IRNazanin" w:cs="IRNazanin"/>
          <w:lang w:bidi="fa-IR"/>
          <w:color w:val="111111"/>
          <w:sz w:val="28"/>
          <w:szCs w:val="28"/>
          <w:rtl/>
        </w:rPr>
        <w:t xml:space="preserve">جلد پنجم؛ خط: نستعلیق، کاتب = مؤلف، تا: قرن ۱۴؛ در چند برگ آغازین مقدمه مؤلف که باید در جلد اول باشد؛ جلد: تیماج قهوه ای، ۳۵۱ گ، اندازه: ۲۱/۵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۲۸-۲۱۹]</w:t>
      </w:r>
    </w:p>
    <w:p>
      <w:pPr>
        <w:pStyle w:val="Heading3"/>
      </w:pPr>
      <w:bookmarkStart w:id="2060" w:name="_Toc1320"/>
      <w:r>
        <w:t>•تاریخ انکشافات و اختراعات صنعت / فارسی</w:t>
      </w:r>
      <w:bookmarkEnd w:id="2060"/>
    </w:p>
    <w:p>
      <w:pPr>
        <w:pStyle w:val="BookText"/>
      </w:pPr>
      <w:r>
        <w:rPr>
          <w:rFonts w:ascii="Times New Roman" w:hAnsi="Times New Roman" w:eastAsia="Times New Roman" w:cs="Times New Roman"/>
          <w:lang w:val="en-US" w:bidi="en-US"/>
          <w:color w:val="111111"/>
          <w:sz w:val="28"/>
          <w:szCs w:val="28"/>
          <w:rtl/>
        </w:rPr>
        <w:t xml:space="preserve">tārīx-e enkešāfāt va exterā‘āt</w:t>
      </w:r>
    </w:p>
    <w:p>
      <w:pPr>
        <w:pStyle w:val="BookText"/>
      </w:pPr>
      <w:r>
        <w:rPr>
          <w:rFonts w:ascii="IRNazanin" w:hAnsi="IRNazanin" w:eastAsia="IRNazanin" w:cs="IRNazanin"/>
          <w:lang w:bidi="fa-IR"/>
          <w:color w:val="111111"/>
          <w:sz w:val="28"/>
          <w:szCs w:val="28"/>
          <w:rtl/>
        </w:rPr>
        <w:t xml:space="preserve">منوچهر، ق۱۳ قمری</w:t>
      </w:r>
    </w:p>
    <w:p>
      <w:pPr>
        <w:pStyle w:val="BookText"/>
      </w:pPr>
      <w:r>
        <w:rPr>
          <w:rFonts w:ascii="Times New Roman" w:hAnsi="Times New Roman" w:eastAsia="Times New Roman" w:cs="Times New Roman"/>
          <w:lang w:val="en-US" w:bidi="en-US"/>
          <w:color w:val="111111"/>
          <w:sz w:val="28"/>
          <w:szCs w:val="28"/>
          <w:rtl/>
        </w:rPr>
        <w:t xml:space="preserve">manūčehr (-19c)</w:t>
      </w:r>
    </w:p>
    <w:p>
      <w:pPr>
        <w:pStyle w:val="BookText"/>
      </w:pPr>
      <w:r>
        <w:rPr>
          <w:rFonts w:ascii="IRNazanin" w:hAnsi="IRNazanin" w:eastAsia="IRNazanin" w:cs="IRNazanin"/>
          <w:lang w:bidi="fa-IR"/>
          <w:color w:val="111111"/>
          <w:sz w:val="28"/>
          <w:szCs w:val="28"/>
          <w:rtl/>
        </w:rPr>
        <w:t xml:space="preserve">اهدا به: ناصر الدین شاه (۱۲۶۴-۱۳۱۳ق)</w:t>
      </w:r>
    </w:p>
    <w:p>
      <w:pPr>
        <w:pStyle w:val="BookText"/>
      </w:pPr>
      <w:r>
        <w:rPr>
          <w:rFonts w:ascii="IRNazanin" w:hAnsi="IRNazanin" w:eastAsia="IRNazanin" w:cs="IRNazanin"/>
          <w:lang w:bidi="fa-IR"/>
          <w:color w:val="111111"/>
          <w:sz w:val="28"/>
          <w:szCs w:val="28"/>
          <w:rtl/>
        </w:rPr>
        <w:t xml:space="preserve">در این کتاب به تفصیل از اختراعات زمان نویسنده سخن رفته که از جمله آن اختراع بالون به سال ۱۷۸۱م و ساختن ویولون است. علاوه بر اختراعات، این کتاب حاوی انکشافات جغرافیایی متعدد و اطلاعات زیادی در کشاورزی مدرن است و مجموعة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393" w:name="pg20363_209686"/>
    <w:bookmarkEnd w:id="393"/>
    <w:p>
      <w:pPr>
        <w:pStyle w:val="BookText"/>
      </w:pPr>
      <w:r>
        <w:rPr>
          <w:rFonts w:ascii="IRNazanin" w:hAnsi="IRNazanin" w:eastAsia="IRNazanin" w:cs="IRNazanin"/>
          <w:lang w:bidi="fa-IR"/>
          <w:color w:val="111111"/>
          <w:sz w:val="28"/>
          <w:szCs w:val="28"/>
          <w:rtl/>
        </w:rPr>
        <w:t xml:space="preserve">کتابی است حاوی اطلاعات جالب توجهی درباره مطالب علمی و مفید زمان نگارش آن. در این کتاب اسماء فرانسوی اختراعات مقابل نام کلمه فارسی آنها آمده است.</w:t>
      </w:r>
    </w:p>
    <w:p>
      <w:pPr>
        <w:pStyle w:val="BookText"/>
      </w:pPr>
      <w:r>
        <w:rPr>
          <w:rFonts w:ascii="IRNazanin" w:hAnsi="IRNazanin" w:eastAsia="IRNazanin" w:cs="IRNazanin"/>
          <w:lang w:bidi="fa-IR"/>
          <w:color w:val="111111"/>
          <w:sz w:val="28"/>
          <w:szCs w:val="28"/>
          <w:rtl/>
        </w:rPr>
        <w:t xml:space="preserve">[دنا ۶۷۸/۲ ؛ فهرستواره منزوی ۳۸۰۰/۵  ]</w:t>
      </w:r>
    </w:p>
    <w:p>
      <w:pPr>
        <w:pStyle w:val="BookText"/>
      </w:pPr>
      <w:r>
        <w:rPr>
          <w:rFonts w:ascii="IRNazanin" w:hAnsi="IRNazanin" w:eastAsia="IRNazanin" w:cs="IRNazanin"/>
          <w:lang w:bidi="fa-IR"/>
          <w:color w:val="111111"/>
          <w:sz w:val="28"/>
          <w:szCs w:val="28"/>
          <w:rtl/>
        </w:rPr>
        <w:t xml:space="preserve">تهران؛ ملی؛ شماره نسخه:۴۶۵</w:t>
      </w:r>
    </w:p>
    <w:p>
      <w:pPr>
        <w:pStyle w:val="BookText"/>
      </w:pPr>
      <w:r>
        <w:rPr>
          <w:rFonts w:ascii="IRNazanin" w:hAnsi="IRNazanin" w:eastAsia="IRNazanin" w:cs="IRNazanin"/>
          <w:lang w:bidi="fa-IR"/>
          <w:color w:val="111111"/>
          <w:sz w:val="28"/>
          <w:szCs w:val="28"/>
          <w:rtl/>
        </w:rPr>
        <w:t xml:space="preserve">آغاز: هو الله تعالى شأنه. این کتاب موسوم بتاريخ انکشافات و اختراعات که بفرانسه ... موسوم است ترجمه خانه زاد دولت جاوید آیت قاهره منوچهر است؛ انجام: و در قرن هجدهم متداول شد این ساز غالبا در تماشا خانها استعمال میشد. تمت بالخير و السعادة</w:t>
      </w:r>
    </w:p>
    <w:p>
      <w:pPr>
        <w:pStyle w:val="BookText"/>
      </w:pPr>
      <w:r>
        <w:rPr>
          <w:rFonts w:ascii="IRNazanin" w:hAnsi="IRNazanin" w:eastAsia="IRNazanin" w:cs="IRNazanin"/>
          <w:lang w:bidi="fa-IR"/>
          <w:color w:val="111111"/>
          <w:sz w:val="28"/>
          <w:szCs w:val="28"/>
          <w:rtl/>
        </w:rPr>
        <w:t xml:space="preserve">خط: نستعلیق، کاتب = مؤلف، تا: قرن ۱۳، جا: تهران؛ سرفصل ها با لاتین؛ کاغذ: فرنگی آبی، جلد: تیماج قرمز، ۴۸گ، ۱۸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۲۰/۵سم [ف: ۱-۴۵۰</w:t>
      </w:r>
    </w:p>
    <w:p>
      <w:pPr>
        <w:pStyle w:val="Heading3"/>
      </w:pPr>
      <w:bookmarkStart w:id="2061" w:name="_Toc1321"/>
      <w:r>
        <w:t>•تاریخ انکشاف اوسترالی و معموریت آنجا / تاریخ / فارسی</w:t>
      </w:r>
      <w:bookmarkEnd w:id="2061"/>
    </w:p>
    <w:p>
      <w:pPr>
        <w:pStyle w:val="BookText"/>
      </w:pPr>
      <w:r>
        <w:rPr>
          <w:rFonts w:ascii="Times New Roman" w:hAnsi="Times New Roman" w:eastAsia="Times New Roman" w:cs="Times New Roman"/>
          <w:lang w:val="en-US" w:bidi="en-US"/>
          <w:color w:val="111111"/>
          <w:sz w:val="28"/>
          <w:szCs w:val="28"/>
          <w:rtl/>
        </w:rPr>
        <w:t xml:space="preserve">tārīx-e enkešāf-e ostorālī va ma'mūrīyat-e ānjā</w:t>
      </w:r>
    </w:p>
    <w:p>
      <w:pPr>
        <w:pStyle w:val="BookText"/>
      </w:pPr>
      <w:r>
        <w:rPr>
          <w:rFonts w:ascii="IRNazanin" w:hAnsi="IRNazanin" w:eastAsia="IRNazanin" w:cs="IRNazanin"/>
          <w:lang w:bidi="fa-IR"/>
          <w:color w:val="111111"/>
          <w:sz w:val="28"/>
          <w:szCs w:val="28"/>
          <w:rtl/>
        </w:rPr>
        <w:t xml:space="preserve">تاریخ تأليف: ۱۳۰۶ق/۱۹۸۹م</w:t>
      </w:r>
    </w:p>
    <w:p>
      <w:pPr>
        <w:pStyle w:val="BookText"/>
      </w:pPr>
      <w:r>
        <w:rPr>
          <w:rFonts w:ascii="IRNazanin" w:hAnsi="IRNazanin" w:eastAsia="IRNazanin" w:cs="IRNazanin"/>
          <w:lang w:bidi="fa-IR"/>
          <w:color w:val="111111"/>
          <w:sz w:val="28"/>
          <w:szCs w:val="28"/>
          <w:rtl/>
        </w:rPr>
        <w:t xml:space="preserve">ترجمه «کمترین غلام جان نثار، انتوان». نام کتاب و نگارنده و تاریخ در صفحه عنوان به خامه کاتب آمده است. از کارهای روزگار ناصری است. در ۱۶ «فصل»: ۱. بیان وضع و امتداد و وسعت آن کشور و فرق میان این اقلیم با دیگر اقلیم ها؛ ۲. بیان انکشاف اول استرالیا؛ ۳. بیان انتظام سیدنی؛ ۴. بیان زمستان اول که در سیدنی ملاحظه شد؛ ۵. بیان تأخیر در رسیدن مدد و آذوقه از اروپا ...۱۰. بیان کار کنی و دولتمندی مهاجران ... ؛ ۱۶. بیان حالت اهالی مملکت استرالیا از جمله بومی ها و مقصران نفی بلد.</w:t>
      </w:r>
    </w:p>
    <w:p>
      <w:pPr>
        <w:pStyle w:val="BookText"/>
      </w:pPr>
      <w:r>
        <w:rPr>
          <w:rFonts w:ascii="Amiri" w:hAnsi="Amiri" w:eastAsia="Amiri" w:cs="Amiri"/>
          <w:lang w:bidi="ar-SA"/>
          <w:color w:val="111111"/>
          <w:sz w:val="28"/>
          <w:szCs w:val="28"/>
          <w:rtl/>
        </w:rPr>
        <w:t xml:space="preserve">تهران؛ دائرة المعارف؛ شماره نسخه:۱۰۰</w:t>
      </w:r>
    </w:p>
    <w:p>
      <w:pPr>
        <w:pStyle w:val="BookText"/>
      </w:pPr>
      <w:r>
        <w:rPr>
          <w:rFonts w:ascii="IRNazanin" w:hAnsi="IRNazanin" w:eastAsia="IRNazanin" w:cs="IRNazanin"/>
          <w:lang w:bidi="fa-IR"/>
          <w:color w:val="111111"/>
          <w:sz w:val="28"/>
          <w:szCs w:val="28"/>
          <w:rtl/>
        </w:rPr>
        <w:t xml:space="preserve">آغاز: هو الله تعالی، انکشاف اوسترالی و معموریت آنجا. فصل اول. در بیان وضع اوسترالی؛ انجام: اوسترالی باز هم مدتی مهاجر انگلیس باقی خواهد ماند</w:t>
      </w:r>
    </w:p>
    <w:p>
      <w:pPr>
        <w:pStyle w:val="BookText"/>
      </w:pPr>
      <w:r>
        <w:rPr>
          <w:rFonts w:ascii="IRNazanin" w:hAnsi="IRNazanin" w:eastAsia="IRNazanin" w:cs="IRNazanin"/>
          <w:lang w:bidi="fa-IR"/>
          <w:color w:val="111111"/>
          <w:sz w:val="28"/>
          <w:szCs w:val="28"/>
          <w:rtl/>
        </w:rPr>
        <w:t xml:space="preserve">خط: نسخ پخته، بی کا، تا: ۱۳۰۶ق؛ کاغذ: شکری فرنگی، جلد: تیماج قرمز مجدول، ۱۵۸گ، ۱۵ سطر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۷۲۱سم [ف: ۱-۴۲]</w:t>
      </w:r>
    </w:p>
    <w:p>
      <w:pPr>
        <w:pStyle w:val="Heading3"/>
      </w:pPr>
      <w:bookmarkStart w:id="2062" w:name="_Toc1322"/>
      <w:r>
        <w:t>• تاریخ انکشاف کشاورزی / فرانسوی چای و مصرف آن در فرنگ</w:t>
      </w:r>
      <w:bookmarkEnd w:id="2062"/>
    </w:p>
    <w:p>
      <w:pPr>
        <w:pStyle w:val="BookText"/>
      </w:pPr>
      <w:r>
        <w:rPr>
          <w:rFonts w:ascii="Times New Roman" w:hAnsi="Times New Roman" w:eastAsia="Times New Roman" w:cs="Times New Roman"/>
          <w:lang w:val="en-US" w:bidi="en-US"/>
          <w:color w:val="111111"/>
          <w:sz w:val="28"/>
          <w:szCs w:val="28"/>
          <w:rtl/>
        </w:rPr>
        <w:t xml:space="preserve">tārīx-e enkešāf-e čāy va masraf ān dar farang</w:t>
      </w:r>
    </w:p>
    <w:p>
      <w:pPr>
        <w:pStyle w:val="BookText"/>
      </w:pPr>
      <w:r>
        <w:rPr>
          <w:rFonts w:ascii="IRNazanin" w:hAnsi="IRNazanin" w:eastAsia="IRNazanin" w:cs="IRNazanin"/>
          <w:lang w:bidi="fa-IR"/>
          <w:color w:val="111111"/>
          <w:sz w:val="28"/>
          <w:szCs w:val="28"/>
          <w:rtl/>
        </w:rPr>
        <w:t xml:space="preserve">تهران؛ مجلس؛ شماره نسخه: ۹۴۵۳/۱۷</w:t>
      </w:r>
    </w:p>
    <w:p>
      <w:pPr>
        <w:pStyle w:val="BookText"/>
      </w:pPr>
      <w:r>
        <w:rPr>
          <w:rFonts w:ascii="IRNazanin" w:hAnsi="IRNazanin" w:eastAsia="IRNazanin" w:cs="IRNazanin"/>
          <w:lang w:bidi="fa-IR"/>
          <w:color w:val="111111"/>
          <w:sz w:val="28"/>
          <w:szCs w:val="28"/>
          <w:rtl/>
        </w:rPr>
        <w:t xml:space="preserve">برگی از یک روزنامه ابی کا، بی تا؛ اص (۲۸۳۹) [مختصر ف: ۱۲۴]</w:t>
      </w:r>
    </w:p>
    <w:p>
      <w:pPr>
        <w:pStyle w:val="BookText"/>
      </w:pPr>
      <w:r>
        <w:rPr>
          <w:rFonts w:ascii="IRNazanin" w:hAnsi="IRNazanin" w:eastAsia="IRNazanin" w:cs="IRNazanin"/>
          <w:lang w:bidi="fa-IR"/>
          <w:color w:val="111111"/>
          <w:sz w:val="28"/>
          <w:szCs w:val="28"/>
          <w:rtl/>
        </w:rPr>
        <w:t xml:space="preserve">تاریخ انقلاب - تاریخ انگلیس</w:t>
      </w:r>
    </w:p>
    <w:p>
      <w:pPr>
        <w:pStyle w:val="Heading3"/>
      </w:pPr>
      <w:bookmarkStart w:id="2063" w:name="_Toc1323"/>
      <w:r>
        <w:t>•تاریخ انگلستان (ترجمه) / تاریخ / فارسی</w:t>
      </w:r>
      <w:bookmarkEnd w:id="2063"/>
    </w:p>
    <w:p>
      <w:pPr>
        <w:pStyle w:val="BookText"/>
      </w:pPr>
      <w:r>
        <w:rPr>
          <w:rFonts w:ascii="Times New Roman" w:hAnsi="Times New Roman" w:eastAsia="Times New Roman" w:cs="Times New Roman"/>
          <w:lang w:val="en-US" w:bidi="en-US"/>
          <w:color w:val="111111"/>
          <w:sz w:val="28"/>
          <w:szCs w:val="28"/>
          <w:rtl/>
        </w:rPr>
        <w:t xml:space="preserve">tārīx-e engelestān (t.)</w:t>
      </w:r>
    </w:p>
    <w:p>
      <w:pPr>
        <w:pStyle w:val="BookText"/>
      </w:pPr>
      <w:r>
        <w:rPr>
          <w:rFonts w:ascii="IRNazanin" w:hAnsi="IRNazanin" w:eastAsia="IRNazanin" w:cs="IRNazanin"/>
          <w:lang w:bidi="fa-IR"/>
          <w:color w:val="111111"/>
          <w:sz w:val="28"/>
          <w:szCs w:val="28"/>
          <w:rtl/>
        </w:rPr>
        <w:t xml:space="preserve">صحافباشی، اسماعیل بن ابراهیم، ق۱۳ قمری</w:t>
      </w:r>
    </w:p>
    <w:p>
      <w:pPr>
        <w:pStyle w:val="BookText"/>
      </w:pPr>
      <w:r>
        <w:rPr>
          <w:rFonts w:ascii="Times New Roman" w:hAnsi="Times New Roman" w:eastAsia="Times New Roman" w:cs="Times New Roman"/>
          <w:lang w:val="en-US" w:bidi="en-US"/>
          <w:color w:val="111111"/>
          <w:sz w:val="28"/>
          <w:szCs w:val="28"/>
          <w:rtl/>
        </w:rPr>
        <w:t xml:space="preserve">sahhāfbāšī, esmāʻīl ebn-e ebrāhīm (-190)</w:t>
      </w:r>
    </w:p>
    <w:p>
      <w:pPr>
        <w:pStyle w:val="BookText"/>
      </w:pPr>
      <w:r>
        <w:rPr>
          <w:rFonts w:ascii="IRNazanin" w:hAnsi="IRNazanin" w:eastAsia="IRNazanin" w:cs="IRNazanin"/>
          <w:lang w:bidi="fa-IR"/>
          <w:color w:val="111111"/>
          <w:sz w:val="28"/>
          <w:szCs w:val="28"/>
          <w:rtl/>
        </w:rPr>
        <w:t xml:space="preserve">تأليف لئونهارد اسکمیز، ترجمه میرزا اسماعیل پسر ابراهیم صحاف باشی شاگرد دارالفنون، از آغاز تا پادشاهی ملکه ویکتوریا در دوازده فصل» و یک «خاتمه»: ۱. برتان در ابوابجمعی نورمان؛ ۲. زمان هتپار کی تا زمان ایجاد انگلستان در تحت سلطنت اكبرت؛ ۳. از جلوس اكبرت تا زمان تسخیر نورمان؛ ۴. زمان سلاطين نورمان؛ ۵. زمان سلاطین پلانتا جنست؛ ۶. زمان سلاطین پلانتا جنست؛ ۷. زمان سلاطين لانكاستر؛ ۸ زمان سلسله یورک؛ ۹. زمان سلسله استوارت؛ ۱۰. زمان سلسله استوارت؛ ۱۱. ايضا زمان سلسله استوارت؛ ۱۲. زمان سلسله هانور؛ این کتاب به زمان ملکه ویکتوریا از انگلیسی به فارسی ترجمه شده است.</w:t>
      </w:r>
    </w:p>
    <w:p>
      <w:pPr>
        <w:pStyle w:val="BookText"/>
      </w:pPr>
      <w:r>
        <w:rPr>
          <w:rFonts w:ascii="IRNazanin" w:hAnsi="IRNazanin" w:eastAsia="IRNazanin" w:cs="IRNazanin"/>
          <w:lang w:bidi="fa-IR"/>
          <w:color w:val="111111"/>
          <w:sz w:val="28"/>
          <w:szCs w:val="28"/>
          <w:rtl/>
        </w:rPr>
        <w:t xml:space="preserve">[استوری ۴۲۹/۱ ؛ دنا ۶۷۸/۲ ]</w:t>
      </w:r>
    </w:p>
    <w:p>
      <w:pPr>
        <w:pStyle w:val="BookText"/>
      </w:pPr>
      <w:r>
        <w:rPr>
          <w:rFonts w:ascii="IRNazanin" w:hAnsi="IRNazanin" w:eastAsia="IRNazanin" w:cs="IRNazanin"/>
          <w:lang w:bidi="fa-IR"/>
          <w:color w:val="111111"/>
          <w:sz w:val="28"/>
          <w:szCs w:val="28"/>
          <w:rtl/>
        </w:rPr>
        <w:t xml:space="preserve">تهران؛ ملی؛ شماره نسخه: ۷۲</w:t>
      </w:r>
    </w:p>
    <w:p>
      <w:pPr>
        <w:pStyle w:val="BookText"/>
      </w:pPr>
      <w:r>
        <w:rPr>
          <w:rFonts w:ascii="IRNazanin" w:hAnsi="IRNazanin" w:eastAsia="IRNazanin" w:cs="IRNazanin"/>
          <w:lang w:bidi="fa-IR"/>
          <w:color w:val="111111"/>
          <w:sz w:val="28"/>
          <w:szCs w:val="28"/>
          <w:rtl/>
        </w:rPr>
        <w:t xml:space="preserve">آغاز: بسمله، طراز عنوان هر دفتر و دیوان حمد يزدان پاکی است جلت قدرته که نه او را آغاز است و نه انجام و آغاز صحیفه هر بیان شكر پادشاهی علت كلمته؛ انجام: در عهد سلطنت ویکتوریا گینا موقوف شد فلورین نقره که دو شیلنگی باشد با پول سه پنی رایج گردید و بجای پنی و نیم پنیهای مسی قدیمی و زین پول مفرق (=مفرغ) قشنگتر و سبکتر رواج یافت.</w:t>
      </w:r>
    </w:p>
    <w:p>
      <w:pPr>
        <w:pStyle w:val="BookText"/>
      </w:pPr>
      <w:r>
        <w:rPr>
          <w:rFonts w:ascii="IRNazanin" w:hAnsi="IRNazanin" w:eastAsia="IRNazanin" w:cs="IRNazanin"/>
          <w:lang w:bidi="fa-IR"/>
          <w:color w:val="111111"/>
          <w:sz w:val="28"/>
          <w:szCs w:val="28"/>
          <w:rtl/>
        </w:rPr>
        <w:t xml:space="preserve">خط: نستعلیق شکسته خوش، بی کا، بی تا، کاغذ: فرنگی آبی، جلد: مخمل سبز، ۱۷۴، ۱۸ سطر ( ۲۰/۳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۶۲-۱ ]</w:t>
      </w:r>
    </w:p>
    <w:p>
      <w:pPr>
        <w:pStyle w:val="BookText"/>
      </w:pPr>
      <w:r>
        <w:rPr>
          <w:rFonts w:ascii="IRNazanin" w:hAnsi="IRNazanin" w:eastAsia="IRNazanin" w:cs="IRNazanin"/>
          <w:lang w:bidi="fa-IR"/>
          <w:color w:val="111111"/>
          <w:sz w:val="28"/>
          <w:szCs w:val="28"/>
          <w:rtl/>
        </w:rPr>
        <w:t xml:space="preserve">تهران، دانشگاه؛ شماره نسخه:۱۹۰۵ف</w:t>
      </w:r>
    </w:p>
    <w:p>
      <w:pPr>
        <w:pStyle w:val="BookText"/>
      </w:pPr>
      <w:r>
        <w:rPr>
          <w:rFonts w:ascii="Amiri" w:hAnsi="Amiri" w:eastAsia="Amiri" w:cs="Amiri"/>
          <w:lang w:bidi="ar-SA"/>
          <w:color w:val="111111"/>
          <w:sz w:val="28"/>
          <w:szCs w:val="28"/>
          <w:rtl/>
        </w:rPr>
        <w:t xml:space="preserve">همان نسخه بالا [فيلمها ف: ۱-۲۹]</w:t>
      </w:r>
    </w:p>
    <w:p>
      <w:pPr>
        <w:pStyle w:val="Heading3"/>
      </w:pPr>
      <w:bookmarkStart w:id="2064" w:name="_Toc1324"/>
      <w:r>
        <w:t>•تاریخ انگلیس (ترجمه) / تاریخ / فارسی</w:t>
      </w:r>
      <w:bookmarkEnd w:id="2064"/>
    </w:p>
    <w:p>
      <w:pPr>
        <w:pStyle w:val="BookText"/>
      </w:pPr>
      <w:r>
        <w:rPr>
          <w:rFonts w:ascii="Times New Roman" w:hAnsi="Times New Roman" w:eastAsia="Times New Roman" w:cs="Times New Roman"/>
          <w:lang w:val="en-US" w:bidi="en-US"/>
          <w:color w:val="111111"/>
          <w:sz w:val="28"/>
          <w:szCs w:val="28"/>
          <w:rtl/>
        </w:rPr>
        <w:t xml:space="preserve">tārīx-e engelīs (t.)</w:t>
      </w:r>
    </w:p>
    <w:p>
      <w:pPr>
        <w:pStyle w:val="BookText"/>
      </w:pPr>
      <w:r>
        <w:rPr>
          <w:rFonts w:ascii="IRNazanin" w:hAnsi="IRNazanin" w:eastAsia="IRNazanin" w:cs="IRNazanin"/>
          <w:lang w:bidi="fa-IR"/>
          <w:color w:val="111111"/>
          <w:sz w:val="28"/>
          <w:szCs w:val="28"/>
          <w:rtl/>
        </w:rPr>
        <w:t xml:space="preserve">شیخ رضا اخوی حاج محسن خان، ق۱۳ قمری</w:t>
      </w:r>
    </w:p>
    <w:p>
      <w:pPr>
        <w:pStyle w:val="BookText"/>
      </w:pPr>
      <w:r>
        <w:rPr>
          <w:rFonts w:ascii="Times New Roman" w:hAnsi="Times New Roman" w:eastAsia="Times New Roman" w:cs="Times New Roman"/>
          <w:lang w:val="en-US" w:bidi="en-US"/>
          <w:color w:val="111111"/>
          <w:sz w:val="28"/>
          <w:szCs w:val="28"/>
          <w:rtl/>
        </w:rPr>
        <w:t xml:space="preserve">šeyx rezā axavī-ye hāj mohsen xān (-196)</w:t>
      </w:r>
    </w:p>
    <w:p>
      <w:pPr>
        <w:pStyle w:val="BookText"/>
      </w:pPr>
      <w:r>
        <w:rPr>
          <w:rFonts w:ascii="IRNazanin" w:hAnsi="IRNazanin" w:eastAsia="IRNazanin" w:cs="IRNazanin"/>
          <w:lang w:bidi="fa-IR"/>
          <w:color w:val="111111"/>
          <w:sz w:val="28"/>
          <w:szCs w:val="28"/>
          <w:rtl/>
        </w:rPr>
        <w:t xml:space="preserve">تاریخ دولت انگلیس و حوادث ایام آن دولت از زمان تسلط رومیها تا سال ۱۸۱۵م که سال شکست ناپلئون بناپارت می باشد. گرچه حوادث موجود در آن به نحو مختصر آمده ولی همین حوادث مختصر از مطالب مهم تاریخ انگلیس است.</w:t>
      </w:r>
    </w:p>
    <w:p>
      <w:pPr>
        <w:pStyle w:val="BookText"/>
      </w:pPr>
      <w:r>
        <w:rPr>
          <w:rFonts w:ascii="IRNazanin" w:hAnsi="IRNazanin" w:eastAsia="IRNazanin" w:cs="IRNazanin"/>
          <w:lang w:bidi="fa-IR"/>
          <w:color w:val="111111"/>
          <w:sz w:val="28"/>
          <w:szCs w:val="28"/>
          <w:rtl/>
        </w:rPr>
        <w:t xml:space="preserve">تهران؛ ملی؛ شماره نسخه: ۳۰۰</w:t>
      </w:r>
    </w:p>
    <w:p>
      <w:pPr>
        <w:pStyle w:val="BookText"/>
      </w:pPr>
      <w:r>
        <w:rPr>
          <w:rFonts w:ascii="IRNazanin" w:hAnsi="IRNazanin" w:eastAsia="IRNazanin" w:cs="IRNazanin"/>
          <w:lang w:bidi="fa-IR"/>
          <w:color w:val="111111"/>
          <w:sz w:val="28"/>
          <w:szCs w:val="28"/>
          <w:rtl/>
        </w:rPr>
        <w:t xml:space="preserve">آغاز: ترجمه: هو الله الملك المنان. حمد بیحد و ثنای بیعد مر خداوندیرا سزاست که از صنع قدرتش جهانی فانی و عالمی باقی و از قلم همت و مشیتش بمجرد صفحه؛ انجام: بامیدی چند از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394" w:name="pg20363_209687"/>
    <w:bookmarkEnd w:id="394"/>
    <w:p>
      <w:pPr>
        <w:pStyle w:val="BookText"/>
      </w:pPr>
      <w:r>
        <w:rPr>
          <w:rFonts w:ascii="IRNazanin" w:hAnsi="IRNazanin" w:eastAsia="IRNazanin" w:cs="IRNazanin"/>
          <w:lang w:bidi="fa-IR"/>
          <w:color w:val="111111"/>
          <w:sz w:val="28"/>
          <w:szCs w:val="28"/>
          <w:rtl/>
        </w:rPr>
        <w:t xml:space="preserve">آنجا که بر حسب عنایات و ترقیات هریک از آنها که پیوسته باعمال و ضایعات مرتكب و متحمل بوده و منتهای عنایات را مرعی دارد</w:t>
      </w:r>
    </w:p>
    <w:p>
      <w:pPr>
        <w:pStyle w:val="BookText"/>
      </w:pPr>
      <w:r>
        <w:rPr>
          <w:rFonts w:ascii="IRNazanin" w:hAnsi="IRNazanin" w:eastAsia="IRNazanin" w:cs="IRNazanin"/>
          <w:lang w:bidi="fa-IR"/>
          <w:color w:val="111111"/>
          <w:sz w:val="28"/>
          <w:szCs w:val="28"/>
          <w:rtl/>
        </w:rPr>
        <w:t xml:space="preserve">خط: نستعلیق، کا: شیخ رضا اخوی حاج حسن خان، تا: قرن ۱۳، جان محتملا" تهران، با سرلوح مذهب، مجدول، مذهب؛ کاغذ: فرنگی، لب طلایی، جلد: تیماج بنفش، گل و بته زر، ۸۹گ، ۱۲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۱-۲۹۳]</w:t>
      </w:r>
    </w:p>
    <w:p>
      <w:pPr>
        <w:pStyle w:val="Heading3"/>
      </w:pPr>
      <w:bookmarkStart w:id="2065" w:name="_Toc1325"/>
      <w:r>
        <w:t>•تاریخ اوده / تاریخ / فارسی و اردو</w:t>
      </w:r>
      <w:bookmarkEnd w:id="2065"/>
    </w:p>
    <w:p>
      <w:pPr>
        <w:pStyle w:val="BookText"/>
      </w:pPr>
      <w:r>
        <w:rPr>
          <w:rFonts w:ascii="Times New Roman" w:hAnsi="Times New Roman" w:eastAsia="Times New Roman" w:cs="Times New Roman"/>
          <w:lang w:val="en-US" w:bidi="en-US"/>
          <w:color w:val="111111"/>
          <w:sz w:val="28"/>
          <w:szCs w:val="28"/>
          <w:rtl/>
        </w:rPr>
        <w:t xml:space="preserve">tārīx-e ūde</w:t>
      </w:r>
    </w:p>
    <w:p>
      <w:pPr>
        <w:pStyle w:val="BookText"/>
      </w:pPr>
      <w:r>
        <w:rPr>
          <w:rFonts w:ascii="IRNazanin" w:hAnsi="IRNazanin" w:eastAsia="IRNazanin" w:cs="IRNazanin"/>
          <w:lang w:bidi="fa-IR"/>
          <w:color w:val="111111"/>
          <w:sz w:val="28"/>
          <w:szCs w:val="28"/>
          <w:rtl/>
        </w:rPr>
        <w:t xml:space="preserve">تاریخ منطقه اوده در شمال شبه قاره هندوستان و نوابان آن منطقه است که به دو زبان فارسی و اردو نوشته شده و نام مؤلف آن به دست نیامد.</w:t>
      </w:r>
    </w:p>
    <w:p>
      <w:pPr>
        <w:pStyle w:val="BookText"/>
      </w:pPr>
      <w:r>
        <w:rPr>
          <w:rFonts w:ascii="IRNazanin" w:hAnsi="IRNazanin" w:eastAsia="IRNazanin" w:cs="IRNazanin"/>
          <w:lang w:bidi="fa-IR"/>
          <w:color w:val="111111"/>
          <w:sz w:val="28"/>
          <w:szCs w:val="28"/>
          <w:rtl/>
        </w:rPr>
        <w:t xml:space="preserve">[دنا ۶۷۸/۲ ؛ فهرستواره منزوی ۱۱۶۰/۲ ؛ دائرة المعارف بزرگ اسلامی ۴۱۸-۴۱۷/۱۰ ]</w:t>
      </w:r>
    </w:p>
    <w:p>
      <w:pPr>
        <w:pStyle w:val="BookText"/>
      </w:pPr>
      <w:r>
        <w:rPr>
          <w:rFonts w:ascii="IRNazanin" w:hAnsi="IRNazanin" w:eastAsia="IRNazanin" w:cs="IRNazanin"/>
          <w:lang w:bidi="fa-IR"/>
          <w:color w:val="111111"/>
          <w:sz w:val="28"/>
          <w:szCs w:val="28"/>
          <w:rtl/>
        </w:rPr>
        <w:t xml:space="preserve">مشهد؛ رضوی؛ شماره نسخه:۲۷۸۳۴</w:t>
      </w:r>
    </w:p>
    <w:p>
      <w:pPr>
        <w:pStyle w:val="BookText"/>
      </w:pPr>
      <w:r>
        <w:rPr>
          <w:rFonts w:ascii="IRNazanin" w:hAnsi="IRNazanin" w:eastAsia="IRNazanin" w:cs="IRNazanin"/>
          <w:lang w:bidi="fa-IR"/>
          <w:color w:val="111111"/>
          <w:sz w:val="28"/>
          <w:szCs w:val="28"/>
          <w:rtl/>
        </w:rPr>
        <w:t xml:space="preserve">آغاز: سزاوار حمد و ثنا خالق ارض و سما جل و اعلى صانع بیچون و چرا خط: نستعلیق، بی کا، بی تا، افتادگی: انجام؛ اهدایی: رهبری، دی ۱۳۸۰، کاغذ: حنایی، ۱۶۰گ، ۱۵ سطر، اندازه: ۲۰/۵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[اهدائی رهبر: ۸-۳۶۶]</w:t>
      </w:r>
    </w:p>
    <w:p>
      <w:pPr>
        <w:pStyle w:val="Heading3"/>
      </w:pPr>
      <w:bookmarkStart w:id="2066" w:name="_Toc1326"/>
      <w:r>
        <w:t>•تاریخ اورنگ زیب / تاریخ هند / فارسی</w:t>
      </w:r>
      <w:bookmarkEnd w:id="2066"/>
    </w:p>
    <w:p>
      <w:pPr>
        <w:pStyle w:val="BookText"/>
      </w:pPr>
      <w:r>
        <w:rPr>
          <w:rFonts w:ascii="Times New Roman" w:hAnsi="Times New Roman" w:eastAsia="Times New Roman" w:cs="Times New Roman"/>
          <w:lang w:val="en-US" w:bidi="en-US"/>
          <w:color w:val="111111"/>
          <w:sz w:val="28"/>
          <w:szCs w:val="28"/>
          <w:rtl/>
        </w:rPr>
        <w:t xml:space="preserve">tārīx-e owrang zīb</w:t>
      </w:r>
    </w:p>
    <w:p>
      <w:pPr>
        <w:pStyle w:val="BookText"/>
      </w:pPr>
      <w:r>
        <w:rPr>
          <w:rFonts w:ascii="IRNazanin" w:hAnsi="IRNazanin" w:eastAsia="IRNazanin" w:cs="IRNazanin"/>
          <w:lang w:bidi="fa-IR"/>
          <w:color w:val="111111"/>
          <w:sz w:val="28"/>
          <w:szCs w:val="28"/>
          <w:rtl/>
        </w:rPr>
        <w:t xml:space="preserve">نخستین عنوان «متوجه شدن اورنگ زیب سمت دکن جهت تنبه مخالفان درین ضمن هرج و مرج واقع شدن در بنگاله» و باز پسین عنوان «مسلط شد مهابت جنگ بر صوبه بنگاله و بهار ... است.</w:t>
      </w:r>
    </w:p>
    <w:p>
      <w:pPr>
        <w:pStyle w:val="BookText"/>
      </w:pPr>
      <w:r>
        <w:rPr>
          <w:rFonts w:ascii="IRNazanin" w:hAnsi="IRNazanin" w:eastAsia="IRNazanin" w:cs="IRNazanin"/>
          <w:lang w:bidi="fa-IR"/>
          <w:color w:val="111111"/>
          <w:sz w:val="28"/>
          <w:szCs w:val="28"/>
          <w:rtl/>
        </w:rPr>
        <w:t xml:space="preserve">[دنا ۶۷۸/۲ ؛ فهرستواره منزوی ۱۱۶۰/۲ ]</w:t>
      </w:r>
    </w:p>
    <w:p>
      <w:pPr>
        <w:pStyle w:val="BookText"/>
      </w:pPr>
      <w:r>
        <w:rPr>
          <w:rFonts w:ascii="IRNazanin" w:hAnsi="IRNazanin" w:eastAsia="IRNazanin" w:cs="IRNazanin"/>
          <w:lang w:bidi="fa-IR"/>
          <w:color w:val="111111"/>
          <w:sz w:val="28"/>
          <w:szCs w:val="28"/>
          <w:rtl/>
        </w:rPr>
        <w:t xml:space="preserve">تهران؛ دانشگاه؛ شماره نسخه: ۵۴۱۰</w:t>
      </w:r>
    </w:p>
    <w:p>
      <w:pPr>
        <w:pStyle w:val="BookText"/>
      </w:pPr>
      <w:r>
        <w:rPr>
          <w:rFonts w:ascii="IRNazanin" w:hAnsi="IRNazanin" w:eastAsia="IRNazanin" w:cs="IRNazanin"/>
          <w:lang w:bidi="fa-IR"/>
          <w:color w:val="111111"/>
          <w:sz w:val="28"/>
          <w:szCs w:val="28"/>
          <w:rtl/>
        </w:rPr>
        <w:t xml:space="preserve">آغاز: حاتم جود مسیح اخلاق داور انجم سپاه اسپهبد آسمان خرگاه هلاکت رکاب مشتری طلعت بدر قباب بهرام صولت فلک جاه؛ انجام: و خان مذکور را به نیابت آنجا مقرر ساخت و از مهم فارغ البال شده به سیر و شکار پرداخت و در سنه یک هزار و یک صد و شصت و دو هجری به مرض استسقاء رحلت نمود و سراج الدوله به مسند نظامت جانشین او شد به تاریخ بیست و دوم شهر شوال سنه ۱۲۰۰ مطابق سی و دوم ماه ساتون سنه ۱۲۲۹ ... بنگاله تحریر یافت.</w:t>
      </w:r>
    </w:p>
    <w:p>
      <w:pPr>
        <w:pStyle w:val="BookText"/>
      </w:pPr>
      <w:r>
        <w:rPr>
          <w:rFonts w:ascii="IRNazanin" w:hAnsi="IRNazanin" w:eastAsia="IRNazanin" w:cs="IRNazanin"/>
          <w:lang w:bidi="fa-IR"/>
          <w:color w:val="111111"/>
          <w:sz w:val="28"/>
          <w:szCs w:val="28"/>
          <w:rtl/>
        </w:rPr>
        <w:t xml:space="preserve">خط: نستعلیق، بی کا، تا: قرن ۱۳ کاغذ: فرنگی سبز، جلد: تیماج، ۹۰ گ، ۱۵ سطر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۱۶-۳]</w:t>
      </w:r>
    </w:p>
    <w:p>
      <w:pPr>
        <w:pStyle w:val="Heading3"/>
      </w:pPr>
      <w:bookmarkStart w:id="2067" w:name="_Toc1327"/>
      <w:r>
        <w:t>•تاریخ الاوصياء / اخلاق / فارسی</w:t>
      </w:r>
      <w:bookmarkEnd w:id="2067"/>
    </w:p>
    <w:p>
      <w:pPr>
        <w:pStyle w:val="BookText"/>
      </w:pPr>
      <w:r>
        <w:rPr>
          <w:rFonts w:ascii="Times New Roman" w:hAnsi="Times New Roman" w:eastAsia="Times New Roman" w:cs="Times New Roman"/>
          <w:lang w:val="en-US" w:bidi="en-US"/>
          <w:color w:val="111111"/>
          <w:sz w:val="28"/>
          <w:szCs w:val="28"/>
          <w:rtl/>
        </w:rPr>
        <w:t xml:space="preserve">tarix-ol awsiya'</w:t>
      </w:r>
    </w:p>
    <w:p>
      <w:pPr>
        <w:pStyle w:val="BookText"/>
      </w:pPr>
      <w:r>
        <w:rPr>
          <w:rFonts w:ascii="IRNazanin" w:hAnsi="IRNazanin" w:eastAsia="IRNazanin" w:cs="IRNazanin"/>
          <w:lang w:bidi="fa-IR"/>
          <w:color w:val="111111"/>
          <w:sz w:val="28"/>
          <w:szCs w:val="28"/>
          <w:rtl/>
        </w:rPr>
        <w:t xml:space="preserve">فراهانی، مهدی، ق۱۳ قمری</w:t>
      </w:r>
    </w:p>
    <w:p>
      <w:pPr>
        <w:pStyle w:val="BookText"/>
      </w:pPr>
      <w:r>
        <w:rPr>
          <w:rFonts w:ascii="Times New Roman" w:hAnsi="Times New Roman" w:eastAsia="Times New Roman" w:cs="Times New Roman"/>
          <w:lang w:val="en-US" w:bidi="en-US"/>
          <w:color w:val="111111"/>
          <w:sz w:val="28"/>
          <w:szCs w:val="28"/>
          <w:rtl/>
        </w:rPr>
        <w:t xml:space="preserve">farāhānī, mahdī (-19c)</w:t>
      </w:r>
    </w:p>
    <w:p>
      <w:pPr>
        <w:pStyle w:val="BookText"/>
      </w:pPr>
      <w:r>
        <w:rPr>
          <w:rFonts w:ascii="IRNazanin" w:hAnsi="IRNazanin" w:eastAsia="IRNazanin" w:cs="IRNazanin"/>
          <w:lang w:bidi="fa-IR"/>
          <w:color w:val="111111"/>
          <w:sz w:val="28"/>
          <w:szCs w:val="28"/>
          <w:rtl/>
        </w:rPr>
        <w:t xml:space="preserve">نویسنده که از منشیان دربار فتحعلی شاه قاجار است چون به دربار محمد شاه راه می یابد این کتاب را به امر محمد شاه قاجار در اخلاق در پنج «صحیفه» نگاشته است: ۱. حكمت، مشتمل بر یک «مقدمه» و چهار «باب»: مقدمه: در مناجات، باب اول: در سیر و عادات پیغمبر اسلام، باب دوم: در ذکر احوال و اعمال صالحه جمعی از صحابه، باب سیم: در ذکر قصص و حکایات جمعی که علو منزلت آنها بواسطه دانش بوده است، باب چهارم: در ذکر احوال وزراء و خاصان درگاه حضرت ظل اللهی؛ ۲. شجاعت؛ ۳. عفت؛ ۴. عدالت؛ ۵. حکایات ظریف و تمثیلات</w:t>
      </w:r>
    </w:p>
    <w:p>
      <w:pPr>
        <w:pStyle w:val="BookText"/>
      </w:pPr>
      <w:r>
        <w:rPr>
          <w:rFonts w:ascii="IRNazanin" w:hAnsi="IRNazanin" w:eastAsia="IRNazanin" w:cs="IRNazanin"/>
          <w:lang w:bidi="fa-IR"/>
          <w:color w:val="111111"/>
          <w:sz w:val="28"/>
          <w:szCs w:val="28"/>
          <w:rtl/>
        </w:rPr>
        <w:t xml:space="preserve">تهران؛ ملی؛ شماره نسخه:۱۸۶۶</w:t>
      </w:r>
    </w:p>
    <w:p>
      <w:pPr>
        <w:pStyle w:val="BookText"/>
      </w:pPr>
      <w:r>
        <w:rPr>
          <w:rFonts w:ascii="IRNazanin" w:hAnsi="IRNazanin" w:eastAsia="IRNazanin" w:cs="IRNazanin"/>
          <w:lang w:bidi="fa-IR"/>
          <w:color w:val="111111"/>
          <w:sz w:val="28"/>
          <w:szCs w:val="28"/>
          <w:rtl/>
        </w:rPr>
        <w:t xml:space="preserve">آغاز: بسمله، سپاس و ستایش آنرا که بستودن سزاست و بر بخشش و بخشودن توانا؛ انجام: بر درش خسروان خراج گذار***همه افرنج و روم باج گذار خط: نستعلیق، کاتب = مؤلف، تا: قرن ۱۳، جا: طهران؛ با سرلوح مذهب، مجدول؛ مهر: ناصرالدین شاه؛ کاغذ: فرنگی، جلد: تیماج قرمز با ترنج و نیم ترنج، ۲۳۱ ، ۱۷سطر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۳۳/۵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سم [ف: ۴-۳۲۷]</w:t>
      </w:r>
    </w:p>
    <w:p>
      <w:pPr>
        <w:pStyle w:val="BookText"/>
      </w:pPr>
      <w:r>
        <w:rPr>
          <w:rFonts w:ascii="IRNazanin" w:hAnsi="IRNazanin" w:eastAsia="IRNazanin" w:cs="IRNazanin"/>
          <w:lang w:bidi="fa-IR"/>
          <w:color w:val="111111"/>
          <w:sz w:val="28"/>
          <w:szCs w:val="28"/>
          <w:rtl/>
        </w:rPr>
        <w:t xml:space="preserve">←تاریخ الاولاد الحضرة المصطفوی← تاریخ محمدی</w:t>
      </w:r>
    </w:p>
    <w:p>
      <w:pPr>
        <w:pStyle w:val="Heading3"/>
      </w:pPr>
      <w:bookmarkStart w:id="2068" w:name="_Toc1328"/>
      <w:r>
        <w:t>•تاریخ اولجایتو / تاریخ / فارسی</w:t>
      </w:r>
      <w:bookmarkEnd w:id="2068"/>
    </w:p>
    <w:p>
      <w:pPr>
        <w:pStyle w:val="BookText"/>
      </w:pPr>
      <w:r>
        <w:rPr>
          <w:rFonts w:ascii="Times New Roman" w:hAnsi="Times New Roman" w:eastAsia="Times New Roman" w:cs="Times New Roman"/>
          <w:lang w:val="en-US" w:bidi="en-US"/>
          <w:color w:val="111111"/>
          <w:sz w:val="28"/>
          <w:szCs w:val="28"/>
          <w:rtl/>
        </w:rPr>
        <w:t xml:space="preserve">tārīx-e oljāytā</w:t>
      </w:r>
    </w:p>
    <w:p>
      <w:pPr>
        <w:pStyle w:val="BookText"/>
      </w:pPr>
      <w:r>
        <w:rPr>
          <w:rFonts w:ascii="IRNazanin" w:hAnsi="IRNazanin" w:eastAsia="IRNazanin" w:cs="IRNazanin"/>
          <w:lang w:bidi="fa-IR"/>
          <w:color w:val="111111"/>
          <w:sz w:val="28"/>
          <w:szCs w:val="28"/>
          <w:rtl/>
        </w:rPr>
        <w:t xml:space="preserve">؟ کاشانی، عبدالله بن على، -۷۳۸ قمری</w:t>
      </w:r>
    </w:p>
    <w:p>
      <w:pPr>
        <w:pStyle w:val="BookText"/>
      </w:pPr>
      <w:r>
        <w:rPr>
          <w:rFonts w:ascii="Times New Roman" w:hAnsi="Times New Roman" w:eastAsia="Times New Roman" w:cs="Times New Roman"/>
          <w:lang w:val="en-US" w:bidi="en-US"/>
          <w:color w:val="111111"/>
          <w:sz w:val="28"/>
          <w:szCs w:val="28"/>
          <w:rtl/>
        </w:rPr>
        <w:t xml:space="preserve">kāšānī, ‘abd-ol-lāh ebn-e ‘alī (-1338)</w:t>
      </w:r>
    </w:p>
    <w:p>
      <w:pPr>
        <w:pStyle w:val="BookText"/>
      </w:pPr>
      <w:r>
        <w:rPr>
          <w:rFonts w:ascii="IRNazanin" w:hAnsi="IRNazanin" w:eastAsia="IRNazanin" w:cs="IRNazanin"/>
          <w:lang w:bidi="fa-IR"/>
          <w:color w:val="111111"/>
          <w:sz w:val="28"/>
          <w:szCs w:val="28"/>
          <w:rtl/>
        </w:rPr>
        <w:t xml:space="preserve">تاریخ تأليف: ۷۰۳-۷۱۶ق تاریخ اولجاتیو غیاث الدین سلطان محمد خدابنده .</w:t>
      </w:r>
    </w:p>
    <w:p>
      <w:pPr>
        <w:pStyle w:val="BookText"/>
      </w:pPr>
      <w:r>
        <w:rPr>
          <w:rFonts w:ascii="IRNazanin" w:hAnsi="IRNazanin" w:eastAsia="IRNazanin" w:cs="IRNazanin"/>
          <w:lang w:bidi="fa-IR"/>
          <w:color w:val="111111"/>
          <w:sz w:val="28"/>
          <w:szCs w:val="28"/>
          <w:rtl/>
        </w:rPr>
        <w:t xml:space="preserve">[دنا ۶۷۸/۲ ؛ استوری ۲۶۷/۱ و ۱۲۷۲؛ بلوشه ش ۴۵۰]</w:t>
      </w:r>
    </w:p>
    <w:p>
      <w:pPr>
        <w:pStyle w:val="BookText"/>
      </w:pPr>
      <w:r>
        <w:rPr>
          <w:rFonts w:ascii="IRNazanin" w:hAnsi="IRNazanin" w:eastAsia="IRNazanin" w:cs="IRNazanin"/>
          <w:lang w:bidi="fa-IR"/>
          <w:color w:val="111111"/>
          <w:sz w:val="28"/>
          <w:szCs w:val="28"/>
          <w:rtl/>
        </w:rPr>
        <w:t xml:space="preserve">۱. تهران؛ دانشگاه؛ شماره نسخه:۱۱۷/۳</w:t>
      </w:r>
    </w:p>
    <w:p>
      <w:pPr>
        <w:pStyle w:val="BookText"/>
      </w:pPr>
      <w:r>
        <w:rPr>
          <w:rFonts w:ascii="IRNazanin" w:hAnsi="IRNazanin" w:eastAsia="IRNazanin" w:cs="IRNazanin"/>
          <w:lang w:bidi="fa-IR"/>
          <w:color w:val="111111"/>
          <w:sz w:val="28"/>
          <w:szCs w:val="28"/>
          <w:rtl/>
        </w:rPr>
        <w:t xml:space="preserve">ف نسخه اصل: ایاصوفيا ش ۳۰۱۹؛ خط: نستعلیق، کا: احمد بن حسین ساناق هروی، تا: ۷۵۲ق؛ ۶۷ص (۶۸-۱۳۴)، ۲۵ سطر [فيلمها ف: ۴۱۱-۱ ]</w:t>
      </w:r>
    </w:p>
    <w:p>
      <w:pPr>
        <w:pStyle w:val="BookText"/>
      </w:pPr>
      <w:r>
        <w:rPr>
          <w:rFonts w:ascii="IRNazanin" w:hAnsi="IRNazanin" w:eastAsia="IRNazanin" w:cs="IRNazanin"/>
          <w:lang w:bidi="fa-IR"/>
          <w:color w:val="111111"/>
          <w:sz w:val="28"/>
          <w:szCs w:val="28"/>
          <w:rtl/>
        </w:rPr>
        <w:t xml:space="preserve">تهران؛ ملی؛ شماره نسخه:عکسی بدون شماره</w:t>
      </w:r>
    </w:p>
    <w:p>
      <w:pPr>
        <w:pStyle w:val="BookText"/>
      </w:pPr>
      <w:r>
        <w:rPr>
          <w:rFonts w:ascii="IRNazanin" w:hAnsi="IRNazanin" w:eastAsia="IRNazanin" w:cs="IRNazanin"/>
          <w:lang w:bidi="fa-IR"/>
          <w:color w:val="111111"/>
          <w:sz w:val="28"/>
          <w:szCs w:val="28"/>
          <w:rtl/>
        </w:rPr>
        <w:t xml:space="preserve">همان نسخه بالا [نشریه: ۳-۱۰۰]</w:t>
      </w:r>
    </w:p>
    <w:p>
      <w:pPr>
        <w:pStyle w:val="BookText"/>
      </w:pPr>
      <w:r>
        <w:rPr>
          <w:rFonts w:ascii="IRNazanin" w:hAnsi="IRNazanin" w:eastAsia="IRNazanin" w:cs="IRNazanin"/>
          <w:lang w:bidi="fa-IR"/>
          <w:color w:val="111111"/>
          <w:sz w:val="28"/>
          <w:szCs w:val="28"/>
          <w:rtl/>
        </w:rPr>
        <w:t xml:space="preserve">۲. تهران، دانشگاه؛ شماره نسخه:۷۶۳-ف</w:t>
      </w:r>
    </w:p>
    <w:p>
      <w:pPr>
        <w:pStyle w:val="BookText"/>
      </w:pPr>
      <w:r>
        <w:rPr>
          <w:rFonts w:ascii="IRNazanin" w:hAnsi="IRNazanin" w:eastAsia="IRNazanin" w:cs="IRNazanin"/>
          <w:lang w:bidi="fa-IR"/>
          <w:color w:val="111111"/>
          <w:sz w:val="28"/>
          <w:szCs w:val="28"/>
          <w:rtl/>
        </w:rPr>
        <w:t xml:space="preserve">نسخه اصل: پاریس 1419 .</w:t>
      </w:r>
    </w:p>
    <w:p>
      <w:pPr>
        <w:pStyle w:val="BookText"/>
      </w:pPr>
      <w:r>
        <w:rPr>
          <w:rFonts w:ascii="Times New Roman" w:hAnsi="Times New Roman" w:eastAsia="Times New Roman" w:cs="Times New Roman"/>
          <w:lang w:val="en-US" w:bidi="en-US"/>
          <w:color w:val="111111"/>
          <w:sz w:val="28"/>
          <w:szCs w:val="28"/>
          <w:rtl/>
        </w:rPr>
        <w:t xml:space="preserve">S. P</w:t>
      </w:r>
      <w:r>
        <w:rPr>
          <w:rFonts w:ascii="IRNazanin" w:hAnsi="IRNazanin" w:eastAsia="IRNazanin" w:cs="IRNazanin"/>
          <w:lang w:bidi="fa-IR"/>
          <w:color w:val="111111"/>
          <w:sz w:val="28"/>
          <w:szCs w:val="28"/>
          <w:rtl/>
        </w:rPr>
        <w:t xml:space="preserve">؛ خط: نستعلیق، کا: محمد یوسف بن حضرت قلی تبریزی، تا: ۱ جمادی الاول؛ ۱۶۲گ، ۱۷ سطر [فیلمها ف: ۱-۲۹]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395" w:name="pg20363_209688"/>
    <w:bookmarkEnd w:id="395"/>
    <w:p>
      <w:pPr>
        <w:pStyle w:val="Heading3"/>
      </w:pPr>
      <w:bookmarkStart w:id="2069" w:name="_Toc1329"/>
      <w:r>
        <w:t>•تاريخ أهل بيت عليهم السلام / تاریخ معصومین / عربی</w:t>
      </w:r>
      <w:bookmarkEnd w:id="2069"/>
    </w:p>
    <w:p>
      <w:pPr>
        <w:pStyle w:val="BookText"/>
      </w:pPr>
      <w:r>
        <w:rPr>
          <w:rFonts w:ascii="Times New Roman" w:hAnsi="Times New Roman" w:eastAsia="Times New Roman" w:cs="Times New Roman"/>
          <w:lang w:val="en-US" w:bidi="en-US"/>
          <w:color w:val="111111"/>
          <w:sz w:val="28"/>
          <w:szCs w:val="28"/>
          <w:rtl/>
        </w:rPr>
        <w:t xml:space="preserve">tārīx-u 'ahl-i bayt ‘alay-him-us-salām</w:t>
      </w:r>
    </w:p>
    <w:p>
      <w:pPr>
        <w:pStyle w:val="BookText"/>
      </w:pPr>
      <w:r>
        <w:rPr>
          <w:rFonts w:ascii="IRNazanin" w:hAnsi="IRNazanin" w:eastAsia="IRNazanin" w:cs="IRNazanin"/>
          <w:lang w:bidi="fa-IR"/>
          <w:color w:val="111111"/>
          <w:sz w:val="28"/>
          <w:szCs w:val="28"/>
          <w:rtl/>
        </w:rPr>
        <w:t xml:space="preserve">جهضمي، نصر بن على، -۲۵۰ قمری</w:t>
      </w:r>
    </w:p>
    <w:p>
      <w:pPr>
        <w:pStyle w:val="BookText"/>
      </w:pPr>
      <w:r>
        <w:rPr>
          <w:rFonts w:ascii="Times New Roman" w:hAnsi="Times New Roman" w:eastAsia="Times New Roman" w:cs="Times New Roman"/>
          <w:lang w:val="en-US" w:bidi="en-US"/>
          <w:color w:val="111111"/>
          <w:sz w:val="28"/>
          <w:szCs w:val="28"/>
          <w:rtl/>
        </w:rPr>
        <w:t xml:space="preserve">jahzamī, nasr ebn-e ‘alī (-865)</w:t>
      </w:r>
    </w:p>
    <w:p>
      <w:pPr>
        <w:pStyle w:val="BookText"/>
      </w:pPr>
      <w:r>
        <w:rPr>
          <w:rFonts w:ascii="IRNazanin" w:hAnsi="IRNazanin" w:eastAsia="IRNazanin" w:cs="IRNazanin"/>
          <w:lang w:bidi="fa-IR"/>
          <w:color w:val="111111"/>
          <w:sz w:val="28"/>
          <w:szCs w:val="28"/>
          <w:rtl/>
        </w:rPr>
        <w:t xml:space="preserve">روایاتی است در تاریخ ولادت و وفات و انساب و اسماء و کناء و القاب و قبور ائمه(عليه السلام)که نصر بن على جهضمی از امام رضا(عليه السلام)پرسیده و آن حضرت به طور مختصر بدان پاسخ گفته اند. به روایت: محب الدین محمد بن محمود بن حسن بن نجار بغدادی. آغاز: بسمله: أخبرنا الامام الفاضل العلامة محب الدين ابو عبد الله محمد بن محمود بن الحسن بن النجار البغدادي المحدث بالمدرسة الشريفة المستنصرية قال أخبرنا المشايخ الثلثة ابوعبدالله محمد بن عبدالواحد ابن الفاخر القرشی و ابوماجد محمد بن حامد بن عبدالمنعم بن عزيز الواعظ و ابو محمد اسعد بن احمد ابن حامد الثقفي اجازة قالوا جميعا اخبرنا ابو منصور عبد الرحيم بن محمد بن احمد بن الشرابي الشيرازي اذنا قال أخبرنا ابومسعود احمد بن محمد بن عبدالعزيز بن شاذان الجبلي بخطه قال أخبرنی ابو علی احمد بن محمد بن على العمادي النسوي بنساء قرائة عليه اخبرنا ابوالعباس احمد بن ابراهيم بن على الكندى بمكة سنة خمسين و ثلاثمائة أخبرنا ابوبکر محمد بن احمد بن محمد بن عبدالله بن اسمعیل المعروف بابن ابی الثلج حدثنی عتبة بن سعد بن کنانه عن احمد بن محمد الفار ثاني عن نصر بن على الجهظمي قال سئلت أبا الحسن علی بن موسی الرضا انجام: و هي الكلمة التي الزمها الله فمن احبه فقد احبنی و من ابغضه فقد ابغضني فبشره بذلك.</w:t>
      </w:r>
    </w:p>
    <w:p>
      <w:pPr>
        <w:pStyle w:val="BookText"/>
      </w:pPr>
      <w:r>
        <w:rPr>
          <w:rFonts w:ascii="IRNazanin" w:hAnsi="IRNazanin" w:eastAsia="IRNazanin" w:cs="IRNazanin"/>
          <w:lang w:bidi="fa-IR"/>
          <w:color w:val="111111"/>
          <w:sz w:val="28"/>
          <w:szCs w:val="28"/>
          <w:rtl/>
        </w:rPr>
        <w:t xml:space="preserve">چاپ کتاب در قم ضمن مجموعه نفیسه» و در تبریز توسط شهید محمد علی قاضی طباطبائی چاپ شده، با تحقیق استاد سید محمد رضا حسینی جلالی، ضمن سلسلة مصادر بحارالانوار چاپ شده</w:t>
      </w:r>
    </w:p>
    <w:p>
      <w:pPr>
        <w:pStyle w:val="BookText"/>
      </w:pPr>
      <w:r>
        <w:rPr>
          <w:rFonts w:ascii="IRNazanin" w:hAnsi="IRNazanin" w:eastAsia="IRNazanin" w:cs="IRNazanin"/>
          <w:lang w:bidi="fa-IR"/>
          <w:color w:val="111111"/>
          <w:sz w:val="28"/>
          <w:szCs w:val="28"/>
          <w:rtl/>
        </w:rPr>
        <w:t xml:space="preserve">[دنا ۶۷۸/۲ (۱ نسخه)]</w:t>
      </w:r>
    </w:p>
    <w:p>
      <w:pPr>
        <w:pStyle w:val="BookText"/>
      </w:pPr>
      <w:r>
        <w:rPr>
          <w:rFonts w:ascii="IRNazanin" w:hAnsi="IRNazanin" w:eastAsia="IRNazanin" w:cs="IRNazanin"/>
          <w:lang w:bidi="fa-IR"/>
          <w:color w:val="111111"/>
          <w:sz w:val="28"/>
          <w:szCs w:val="28"/>
          <w:rtl/>
        </w:rPr>
        <w:t xml:space="preserve">۱. قم: مرکز احیاء؛ شماره نسخه:۳۳۷۲/۲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۱۱؛ مصحح از عبدالله بن محمود شوشتری؛ ۳گ (۹۲-۹۴پ)، ۲۷ سطر، اندازه: ۱۸/۵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۲۴/۵سم [محدث ارموی مخ: ۱-۲۶۹]</w:t>
      </w:r>
    </w:p>
    <w:p>
      <w:pPr>
        <w:pStyle w:val="BookText"/>
      </w:pPr>
      <w:r>
        <w:rPr>
          <w:rFonts w:ascii="IRNazanin" w:hAnsi="IRNazanin" w:eastAsia="IRNazanin" w:cs="IRNazanin"/>
          <w:lang w:bidi="fa-IR"/>
          <w:color w:val="111111"/>
          <w:sz w:val="28"/>
          <w:szCs w:val="28"/>
          <w:rtl/>
        </w:rPr>
        <w:t xml:space="preserve">۲. قم؛ مرعشی؛ شماره نسخه: ۱۱۴۳/۱</w:t>
      </w:r>
    </w:p>
    <w:p>
      <w:pPr>
        <w:pStyle w:val="BookText"/>
      </w:pPr>
      <w:r>
        <w:rPr>
          <w:rFonts w:ascii="IRNazanin" w:hAnsi="IRNazanin" w:eastAsia="IRNazanin" w:cs="IRNazanin"/>
          <w:lang w:bidi="fa-IR"/>
          <w:color w:val="111111"/>
          <w:sz w:val="28"/>
          <w:szCs w:val="28"/>
          <w:rtl/>
        </w:rPr>
        <w:t xml:space="preserve">آغاز: برابر؛ انجام: ثم بطل الباب. ولد أمير المؤمنین (عليه السلام) ... و في رواية قتل يوم صفين و ليس بشئ. تم الكتاب.</w:t>
      </w:r>
    </w:p>
    <w:p>
      <w:pPr>
        <w:pStyle w:val="BookText"/>
      </w:pPr>
      <w:r>
        <w:rPr>
          <w:rFonts w:ascii="IRNazanin" w:hAnsi="IRNazanin" w:eastAsia="IRNazanin" w:cs="IRNazanin"/>
          <w:lang w:bidi="fa-IR"/>
          <w:color w:val="111111"/>
          <w:sz w:val="28"/>
          <w:szCs w:val="28"/>
          <w:rtl/>
        </w:rPr>
        <w:t xml:space="preserve">خط: نسخ، كان على بن عبدالله جزایری، تا: پنج شنبه ۱۷ صفر ۱۰۲۶ق، جا: قريه طيب آباد در زمان شاه عباس حسینی؛ ۶ص (1 -۶)، ۲۷ سطر [عکسی ف: ۳-۲۹۸]</w:t>
      </w:r>
    </w:p>
    <w:p>
      <w:pPr>
        <w:pStyle w:val="BookText"/>
      </w:pPr>
      <w:r>
        <w:rPr>
          <w:rFonts w:ascii="IRNazanin" w:hAnsi="IRNazanin" w:eastAsia="IRNazanin" w:cs="IRNazanin"/>
          <w:lang w:bidi="fa-IR"/>
          <w:color w:val="111111"/>
          <w:sz w:val="28"/>
          <w:szCs w:val="28"/>
          <w:rtl/>
        </w:rPr>
        <w:t xml:space="preserve">٣. مشهد؛ رضوی؛ شماره نسخه:۲۴۸۶۴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۱۲۸۳ق؛ اهدایی: رهبری، اسفند ۱۳۸۶؛ کاغذ: نخودی فرنگی آهار مهره، جلد: مقوا عطف تیماج قهوه ای، 7گ، ۱۷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[اهدائی رهبر: ۲ اخبار۱-۱۷۶]</w:t>
      </w:r>
    </w:p>
    <w:p>
      <w:pPr>
        <w:pStyle w:val="BookText"/>
      </w:pPr>
      <w:r>
        <w:rPr>
          <w:rFonts w:ascii="IRNazanin" w:hAnsi="IRNazanin" w:eastAsia="IRNazanin" w:cs="IRNazanin"/>
          <w:lang w:bidi="fa-IR"/>
          <w:color w:val="111111"/>
          <w:sz w:val="28"/>
          <w:szCs w:val="28"/>
          <w:rtl/>
        </w:rPr>
        <w:t xml:space="preserve">۴. تهران؛ دانشگاه؛ شماره نسخه: ۲۱۱۹/۲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كان حسن، تا: ۶ ربيع الاول ۱۳۱۹ق؛ از روی نسخه حاجی نوری مورخ ۸ شوال ۱۲۷۹؛ کاغذ: فرنگی، جلد: تیماج حنایی عطف قهوه ای، ۴گ (۵ر-ر)، ۲۳ سطر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[ف: ۸-۷۵۸]</w:t>
      </w:r>
    </w:p>
    <w:p>
      <w:pPr>
        <w:pStyle w:val="BookText"/>
      </w:pPr>
      <w:r>
        <w:rPr>
          <w:rFonts w:ascii="IRNazanin" w:hAnsi="IRNazanin" w:eastAsia="IRNazanin" w:cs="IRNazanin"/>
          <w:lang w:bidi="fa-IR"/>
          <w:color w:val="111111"/>
          <w:sz w:val="28"/>
          <w:szCs w:val="28"/>
          <w:rtl/>
        </w:rPr>
        <w:t xml:space="preserve">۵. تهران؛ مجلس؛ شماره نسخه: ۱۵۷۱۶/۲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جلد: تیماج فرنگی قهوه ای، ۹گ (۲۱پ - ۲۹ر)، ۱۴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۴۴-۱۹]</w:t>
      </w:r>
    </w:p>
    <w:p>
      <w:pPr>
        <w:pStyle w:val="BookText"/>
      </w:pPr>
      <w:r>
        <w:rPr>
          <w:rFonts w:ascii="IRNazanin" w:hAnsi="IRNazanin" w:eastAsia="IRNazanin" w:cs="IRNazanin"/>
          <w:lang w:bidi="fa-IR"/>
          <w:color w:val="111111"/>
          <w:sz w:val="28"/>
          <w:szCs w:val="28"/>
          <w:rtl/>
        </w:rPr>
        <w:t xml:space="preserve">←تاریخ ایام مسار الشيعه و عمالها من القرب في الشريعة ← مسار الشيعة في التواريخ الشرعية عن الأئمة المهدية</w:t>
      </w:r>
    </w:p>
    <w:p>
      <w:pPr>
        <w:pStyle w:val="BookText"/>
      </w:pPr>
      <w:r>
        <w:rPr>
          <w:rFonts w:ascii="IRNazanin" w:hAnsi="IRNazanin" w:eastAsia="IRNazanin" w:cs="IRNazanin"/>
          <w:lang w:bidi="fa-IR"/>
          <w:color w:val="111111"/>
          <w:sz w:val="28"/>
          <w:szCs w:val="28"/>
          <w:rtl/>
        </w:rPr>
        <w:t xml:space="preserve">←تاریخ ایران ← تاریخ سلاطین عجم</w:t>
      </w:r>
    </w:p>
    <w:p>
      <w:pPr>
        <w:pStyle w:val="BookText"/>
      </w:pPr>
      <w:r>
        <w:rPr>
          <w:rFonts w:ascii="IRNazanin" w:hAnsi="IRNazanin" w:eastAsia="IRNazanin" w:cs="IRNazanin"/>
          <w:lang w:bidi="fa-IR"/>
          <w:color w:val="111111"/>
          <w:sz w:val="28"/>
          <w:szCs w:val="28"/>
          <w:rtl/>
        </w:rPr>
        <w:t xml:space="preserve">← تاریخ ایران ← تاریخ پادشاهان ایران</w:t>
      </w:r>
    </w:p>
    <w:p>
      <w:pPr>
        <w:pStyle w:val="Heading3"/>
      </w:pPr>
      <w:bookmarkStart w:id="2070" w:name="_Toc1330"/>
      <w:r>
        <w:t>•تاریخ ایران / تاریخ ایران / فارسی</w:t>
      </w:r>
      <w:bookmarkEnd w:id="2070"/>
    </w:p>
    <w:p>
      <w:pPr>
        <w:pStyle w:val="BookText"/>
      </w:pPr>
      <w:r>
        <w:rPr>
          <w:rFonts w:ascii="Times New Roman" w:hAnsi="Times New Roman" w:eastAsia="Times New Roman" w:cs="Times New Roman"/>
          <w:lang w:val="en-US" w:bidi="en-US"/>
          <w:color w:val="111111"/>
          <w:sz w:val="28"/>
          <w:szCs w:val="28"/>
          <w:rtl/>
        </w:rPr>
        <w:t xml:space="preserve">tārīx-e īrān</w:t>
      </w:r>
    </w:p>
    <w:p>
      <w:pPr>
        <w:pStyle w:val="BookText"/>
      </w:pPr>
      <w:r>
        <w:rPr>
          <w:rFonts w:ascii="IRNazanin" w:hAnsi="IRNazanin" w:eastAsia="IRNazanin" w:cs="IRNazanin"/>
          <w:lang w:bidi="fa-IR"/>
          <w:color w:val="111111"/>
          <w:sz w:val="28"/>
          <w:szCs w:val="28"/>
          <w:rtl/>
        </w:rPr>
        <w:t xml:space="preserve">بر کشاطی، محمود بن آقاخان، ق ۱۲ قمری</w:t>
      </w:r>
    </w:p>
    <w:p>
      <w:pPr>
        <w:pStyle w:val="BookText"/>
      </w:pPr>
      <w:r>
        <w:rPr>
          <w:rFonts w:ascii="Times New Roman" w:hAnsi="Times New Roman" w:eastAsia="Times New Roman" w:cs="Times New Roman"/>
          <w:lang w:val="en-US" w:bidi="en-US"/>
          <w:color w:val="111111"/>
          <w:sz w:val="28"/>
          <w:szCs w:val="28"/>
          <w:rtl/>
        </w:rPr>
        <w:t xml:space="preserve">barksati, mahmud ebn-e aqaxan (-18c)</w:t>
      </w:r>
    </w:p>
    <w:p>
      <w:pPr>
        <w:pStyle w:val="BookText"/>
      </w:pPr>
      <w:r>
        <w:rPr>
          <w:rFonts w:ascii="IRNazanin" w:hAnsi="IRNazanin" w:eastAsia="IRNazanin" w:cs="IRNazanin"/>
          <w:lang w:bidi="fa-IR"/>
          <w:color w:val="111111"/>
          <w:sz w:val="28"/>
          <w:szCs w:val="28"/>
          <w:rtl/>
        </w:rPr>
        <w:t xml:space="preserve">از محمود شیرازی نقاش پسر آقا خان بر کشاطی بهارلو است در وقایع زمان خود او با تصویر معاصران تصویر خود او هم در این نسخه که به خط او است هست پدرش نوکر فرمانفرمای فارس بوده است. پاسخ شاه سلیم به شاه عباس دوم در ربيع الأول ۱۱۷۰ در آن دیده می شود.</w:t>
      </w:r>
    </w:p>
    <w:p>
      <w:pPr>
        <w:pStyle w:val="BookText"/>
      </w:pPr>
      <w:r>
        <w:rPr>
          <w:rFonts w:ascii="IRNazanin" w:hAnsi="IRNazanin" w:eastAsia="IRNazanin" w:cs="IRNazanin"/>
          <w:lang w:bidi="fa-IR"/>
          <w:color w:val="111111"/>
          <w:sz w:val="28"/>
          <w:szCs w:val="28"/>
          <w:rtl/>
        </w:rPr>
        <w:t xml:space="preserve">[فهرستواره منزوی ۸۴۶/۲ ]</w:t>
      </w:r>
    </w:p>
    <w:p>
      <w:pPr>
        <w:pStyle w:val="BookText"/>
      </w:pPr>
      <w:r>
        <w:rPr>
          <w:rFonts w:ascii="IRNazanin" w:hAnsi="IRNazanin" w:eastAsia="IRNazanin" w:cs="IRNazanin"/>
          <w:lang w:bidi="fa-IR"/>
          <w:color w:val="111111"/>
          <w:sz w:val="28"/>
          <w:szCs w:val="28"/>
          <w:rtl/>
        </w:rPr>
        <w:t xml:space="preserve">تهران؛ دانشگاه؛ شماره نسخه:۲۵۱۷</w:t>
      </w:r>
    </w:p>
    <w:p>
      <w:pPr>
        <w:pStyle w:val="BookText"/>
      </w:pPr>
      <w:r>
        <w:rPr>
          <w:rFonts w:ascii="IRNazanin" w:hAnsi="IRNazanin" w:eastAsia="IRNazanin" w:cs="IRNazanin"/>
          <w:lang w:bidi="fa-IR"/>
          <w:color w:val="111111"/>
          <w:sz w:val="28"/>
          <w:szCs w:val="28"/>
          <w:rtl/>
        </w:rPr>
        <w:t xml:space="preserve">آغاز: حضرت امام رضا ... بجلوه ظهور بطور ظاهر آمد؛ انجام: مدرسه سید میرزا محمد بست نشسته بودند با ۴۹ تصویر کار خود او؛ خط: نستعلیق، کاتب = مؤلف، بی تا؛ افتادگی: انجام؛ کاغذ: فرنگی، جلد: تیماج تریاکی ضربی، ۱۳۹گ، ۱۲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۹-۱۳۰۹]</w:t>
      </w:r>
    </w:p>
    <w:p>
      <w:pPr>
        <w:pStyle w:val="Heading3"/>
      </w:pPr>
      <w:bookmarkStart w:id="2071" w:name="_Toc1331"/>
      <w:r>
        <w:t>•تاریخ ایران / تاریخ ایران / فارسی</w:t>
      </w:r>
      <w:bookmarkEnd w:id="2071"/>
    </w:p>
    <w:p>
      <w:pPr>
        <w:pStyle w:val="BookText"/>
      </w:pPr>
      <w:r>
        <w:rPr>
          <w:rFonts w:ascii="Times New Roman" w:hAnsi="Times New Roman" w:eastAsia="Times New Roman" w:cs="Times New Roman"/>
          <w:lang w:val="en-US" w:bidi="en-US"/>
          <w:color w:val="111111"/>
          <w:sz w:val="28"/>
          <w:szCs w:val="28"/>
          <w:rtl/>
        </w:rPr>
        <w:t xml:space="preserve">tārīx-e īrān</w:t>
      </w:r>
    </w:p>
    <w:p>
      <w:pPr>
        <w:pStyle w:val="BookText"/>
      </w:pPr>
      <w:r>
        <w:rPr>
          <w:rFonts w:ascii="IRNazanin" w:hAnsi="IRNazanin" w:eastAsia="IRNazanin" w:cs="IRNazanin"/>
          <w:lang w:bidi="fa-IR"/>
          <w:color w:val="111111"/>
          <w:sz w:val="28"/>
          <w:szCs w:val="28"/>
          <w:rtl/>
        </w:rPr>
        <w:t xml:space="preserve">هروی، عبدالرحيم بن حسینعلی، ۱۲۸۶ قمری</w:t>
      </w:r>
    </w:p>
    <w:p>
      <w:pPr>
        <w:pStyle w:val="BookText"/>
      </w:pPr>
      <w:r>
        <w:rPr>
          <w:rFonts w:ascii="Times New Roman" w:hAnsi="Times New Roman" w:eastAsia="Times New Roman" w:cs="Times New Roman"/>
          <w:lang w:val="en-US" w:bidi="en-US"/>
          <w:color w:val="111111"/>
          <w:sz w:val="28"/>
          <w:szCs w:val="28"/>
          <w:rtl/>
        </w:rPr>
        <w:t xml:space="preserve">heravī, ‘abd-or-rahīm ebn-e hoseyn--alī (-1870)</w:t>
      </w:r>
    </w:p>
    <w:p>
      <w:pPr>
        <w:pStyle w:val="BookText"/>
      </w:pPr>
      <w:r>
        <w:rPr>
          <w:rFonts w:ascii="IRNazanin" w:hAnsi="IRNazanin" w:eastAsia="IRNazanin" w:cs="IRNazanin"/>
          <w:lang w:bidi="fa-IR"/>
          <w:color w:val="111111"/>
          <w:sz w:val="28"/>
          <w:szCs w:val="28"/>
          <w:rtl/>
        </w:rPr>
        <w:t xml:space="preserve">تاريخ تأليف: ۱۲۸۳- ۱۲۸۴ق جلد یکم در تاریخ ایران پیش از اسلام بر حسب طبقات و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396" w:name="pg20363_209689"/>
    <w:bookmarkEnd w:id="396"/>
    <w:p>
      <w:pPr>
        <w:pStyle w:val="BookText"/>
      </w:pPr>
      <w:r>
        <w:rPr>
          <w:rFonts w:ascii="IRNazanin" w:hAnsi="IRNazanin" w:eastAsia="IRNazanin" w:cs="IRNazanin"/>
          <w:lang w:bidi="fa-IR"/>
          <w:color w:val="111111"/>
          <w:sz w:val="28"/>
          <w:szCs w:val="28"/>
          <w:rtl/>
        </w:rPr>
        <w:t xml:space="preserve">سال های پس از هبوط آدم و تاریخ اسلام تا عروج پیامبر. مؤلف در آن از «ناسخ التواریخ» خرده گیری نموده است، او مؤلف طرائف الحكمه» است. وعده داده که جلد دوم پس از هجرت را بیاورد.</w:t>
      </w:r>
    </w:p>
    <w:p>
      <w:pPr>
        <w:pStyle w:val="BookText"/>
      </w:pPr>
      <w:r>
        <w:rPr>
          <w:rFonts w:ascii="IRNazanin" w:hAnsi="IRNazanin" w:eastAsia="IRNazanin" w:cs="IRNazanin"/>
          <w:lang w:bidi="fa-IR"/>
          <w:color w:val="111111"/>
          <w:sz w:val="28"/>
          <w:szCs w:val="28"/>
          <w:rtl/>
        </w:rPr>
        <w:t xml:space="preserve">آغاز: بسمله. ذکر عقیده متقدمین مورخین در امتداد زمان و مدار ستاره گان آسمان. مردم عجم که در مملکت ایران زمین از این پیش سکون داشته اند</w:t>
      </w:r>
    </w:p>
    <w:p>
      <w:pPr>
        <w:pStyle w:val="BookText"/>
      </w:pPr>
      <w:r>
        <w:rPr>
          <w:rFonts w:ascii="IRNazanin" w:hAnsi="IRNazanin" w:eastAsia="IRNazanin" w:cs="IRNazanin"/>
          <w:lang w:bidi="fa-IR"/>
          <w:color w:val="111111"/>
          <w:sz w:val="28"/>
          <w:szCs w:val="28"/>
          <w:rtl/>
        </w:rPr>
        <w:t xml:space="preserve">[دنا ۶۷۹/۲ ؛ فهرستواره منزوی ۸۴۶/۲ ]</w:t>
      </w:r>
    </w:p>
    <w:p>
      <w:pPr>
        <w:pStyle w:val="BookText"/>
      </w:pPr>
      <w:r>
        <w:rPr>
          <w:rFonts w:ascii="IRNazanin" w:hAnsi="IRNazanin" w:eastAsia="IRNazanin" w:cs="IRNazanin"/>
          <w:lang w:bidi="fa-IR"/>
          <w:color w:val="111111"/>
          <w:sz w:val="28"/>
          <w:szCs w:val="28"/>
          <w:rtl/>
        </w:rPr>
        <w:t xml:space="preserve">تهران؛ دانشگاه؛ شماره نسخه:۲۷۲۹</w:t>
      </w:r>
    </w:p>
    <w:p>
      <w:pPr>
        <w:pStyle w:val="BookText"/>
      </w:pPr>
      <w:r>
        <w:rPr>
          <w:rFonts w:ascii="IRNazanin" w:hAnsi="IRNazanin" w:eastAsia="IRNazanin" w:cs="IRNazanin"/>
          <w:lang w:bidi="fa-IR"/>
          <w:color w:val="111111"/>
          <w:sz w:val="28"/>
          <w:szCs w:val="28"/>
          <w:rtl/>
        </w:rPr>
        <w:t xml:space="preserve">آغاز: برابر انجام: وقایع بعد از هجرت را در جلد ثانی باختصار نگارش خواهد شد انشاء الله تعالى هذا آخر المجلد الأول (قد تمت بيد مؤلفه ... ابن حسینعلی عبدالرحيم في حادی عشر شهر ربيع من شهور سنة ۱۲۸۴)</w:t>
      </w:r>
    </w:p>
    <w:p>
      <w:pPr>
        <w:pStyle w:val="BookText"/>
      </w:pPr>
      <w:r>
        <w:rPr>
          <w:rFonts w:ascii="IRNazanin" w:hAnsi="IRNazanin" w:eastAsia="IRNazanin" w:cs="IRNazanin"/>
          <w:lang w:bidi="fa-IR"/>
          <w:color w:val="111111"/>
          <w:sz w:val="28"/>
          <w:szCs w:val="28"/>
          <w:rtl/>
        </w:rPr>
        <w:t xml:space="preserve">خط: نستعلیق، کاتب = مؤلف، بی تا، محشی از خود مؤلف؛ خط حسین قلی بن دیوان بیگی در برگ ۱۷۷ر هست؛ کاغذ: فرنگی، جلد: تیماج تریاکی، ۲۰۰گی، ۲۷ سطر (۱۴</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 )، اندازه: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۳۰سم [ف: ۱۰-۱۶۰۲]</w:t>
      </w:r>
    </w:p>
    <w:p>
      <w:pPr>
        <w:pStyle w:val="Heading3"/>
      </w:pPr>
      <w:bookmarkStart w:id="2072" w:name="_Toc1332"/>
      <w:r>
        <w:t>•تاریخ ایران / تاریخ ایران / فارسی</w:t>
      </w:r>
      <w:bookmarkEnd w:id="2072"/>
    </w:p>
    <w:p>
      <w:pPr>
        <w:pStyle w:val="BookText"/>
      </w:pPr>
      <w:r>
        <w:rPr>
          <w:rFonts w:ascii="Times New Roman" w:hAnsi="Times New Roman" w:eastAsia="Times New Roman" w:cs="Times New Roman"/>
          <w:lang w:val="en-US" w:bidi="en-US"/>
          <w:color w:val="111111"/>
          <w:sz w:val="28"/>
          <w:szCs w:val="28"/>
          <w:rtl/>
        </w:rPr>
        <w:t xml:space="preserve">tārīx-e īrān</w:t>
      </w:r>
    </w:p>
    <w:p>
      <w:pPr>
        <w:pStyle w:val="BookText"/>
      </w:pPr>
      <w:r>
        <w:rPr>
          <w:rFonts w:ascii="IRNazanin" w:hAnsi="IRNazanin" w:eastAsia="IRNazanin" w:cs="IRNazanin"/>
          <w:lang w:bidi="fa-IR"/>
          <w:color w:val="111111"/>
          <w:sz w:val="28"/>
          <w:szCs w:val="28"/>
          <w:rtl/>
        </w:rPr>
        <w:t xml:space="preserve">دولت آبادی، یحیی، ۱۲۴۱-۱۳۱۸ شمسی</w:t>
      </w:r>
    </w:p>
    <w:p>
      <w:pPr>
        <w:pStyle w:val="BookText"/>
      </w:pPr>
      <w:r>
        <w:rPr>
          <w:rFonts w:ascii="Times New Roman" w:hAnsi="Times New Roman" w:eastAsia="Times New Roman" w:cs="Times New Roman"/>
          <w:lang w:val="en-US" w:bidi="en-US"/>
          <w:color w:val="111111"/>
          <w:sz w:val="28"/>
          <w:szCs w:val="28"/>
          <w:rtl/>
        </w:rPr>
        <w:t xml:space="preserve">dowlat-ābādī, yahyā (1862-1939)</w:t>
      </w:r>
    </w:p>
    <w:p>
      <w:pPr>
        <w:pStyle w:val="BookText"/>
      </w:pPr>
      <w:r>
        <w:rPr>
          <w:rFonts w:ascii="IRNazanin" w:hAnsi="IRNazanin" w:eastAsia="IRNazanin" w:cs="IRNazanin"/>
          <w:lang w:bidi="fa-IR"/>
          <w:color w:val="111111"/>
          <w:sz w:val="28"/>
          <w:szCs w:val="28"/>
          <w:rtl/>
        </w:rPr>
        <w:t xml:space="preserve">مقدمه: سابقه احوال ایرانیان، اخلاق و عادات ایرانیان.</w:t>
      </w:r>
    </w:p>
    <w:p>
      <w:pPr>
        <w:pStyle w:val="BookText"/>
      </w:pPr>
      <w:r>
        <w:rPr>
          <w:rFonts w:ascii="IRNazanin" w:hAnsi="IRNazanin" w:eastAsia="IRNazanin" w:cs="IRNazanin"/>
          <w:lang w:bidi="fa-IR"/>
          <w:color w:val="111111"/>
          <w:sz w:val="28"/>
          <w:szCs w:val="28"/>
          <w:rtl/>
        </w:rPr>
        <w:t xml:space="preserve">تهران؛ مینوی؛ شماره نسخه:۱۴ بخش ۲</w:t>
      </w:r>
    </w:p>
    <w:p>
      <w:pPr>
        <w:pStyle w:val="BookText"/>
      </w:pPr>
      <w:r>
        <w:rPr>
          <w:rFonts w:ascii="IRNazanin" w:hAnsi="IRNazanin" w:eastAsia="IRNazanin" w:cs="IRNazanin"/>
          <w:lang w:bidi="fa-IR"/>
          <w:color w:val="111111"/>
          <w:sz w:val="28"/>
          <w:szCs w:val="28"/>
          <w:rtl/>
        </w:rPr>
        <w:t xml:space="preserve">خط: نستعلیق، بی کا، تا: ذیقعده ۱۳۲۸ق؛ ۲۳ص [ف: ۸۶]</w:t>
      </w:r>
    </w:p>
    <w:p>
      <w:pPr>
        <w:pStyle w:val="Heading3"/>
      </w:pPr>
      <w:bookmarkStart w:id="2073" w:name="_Toc1333"/>
      <w:r>
        <w:t>•تاریخ ایران / تاریخ ایران / فارسی</w:t>
      </w:r>
      <w:bookmarkEnd w:id="2073"/>
    </w:p>
    <w:p>
      <w:pPr>
        <w:pStyle w:val="BookText"/>
      </w:pPr>
      <w:r>
        <w:rPr>
          <w:rFonts w:ascii="Times New Roman" w:hAnsi="Times New Roman" w:eastAsia="Times New Roman" w:cs="Times New Roman"/>
          <w:lang w:val="en-US" w:bidi="en-US"/>
          <w:color w:val="111111"/>
          <w:sz w:val="28"/>
          <w:szCs w:val="28"/>
          <w:rtl/>
        </w:rPr>
        <w:t xml:space="preserve">tārīx-e īrān</w:t>
      </w:r>
    </w:p>
    <w:p>
      <w:pPr>
        <w:pStyle w:val="BookText"/>
      </w:pPr>
      <w:r>
        <w:rPr>
          <w:rFonts w:ascii="IRNazanin" w:hAnsi="IRNazanin" w:eastAsia="IRNazanin" w:cs="IRNazanin"/>
          <w:lang w:bidi="fa-IR"/>
          <w:color w:val="111111"/>
          <w:sz w:val="28"/>
          <w:szCs w:val="28"/>
          <w:rtl/>
        </w:rPr>
        <w:t xml:space="preserve">اقبال آشتیانی، عباس، ۱۲۷۶-۱۳۳۴ شمسی</w:t>
      </w:r>
    </w:p>
    <w:p>
      <w:pPr>
        <w:pStyle w:val="BookText"/>
      </w:pPr>
      <w:r>
        <w:rPr>
          <w:rFonts w:ascii="Times New Roman" w:hAnsi="Times New Roman" w:eastAsia="Times New Roman" w:cs="Times New Roman"/>
          <w:lang w:val="en-US" w:bidi="en-US"/>
          <w:color w:val="111111"/>
          <w:sz w:val="28"/>
          <w:szCs w:val="28"/>
          <w:rtl/>
        </w:rPr>
        <w:t xml:space="preserve">eqbāl-e āštīyānī, “abbās (1897-1955)</w:t>
      </w:r>
    </w:p>
    <w:p>
      <w:pPr>
        <w:pStyle w:val="BookText"/>
      </w:pPr>
      <w:r>
        <w:rPr>
          <w:rFonts w:ascii="IRNazanin" w:hAnsi="IRNazanin" w:eastAsia="IRNazanin" w:cs="IRNazanin"/>
          <w:lang w:bidi="fa-IR"/>
          <w:color w:val="111111"/>
          <w:sz w:val="28"/>
          <w:szCs w:val="28"/>
          <w:rtl/>
        </w:rPr>
        <w:t xml:space="preserve">تهران؛ دانشگاه؛ شماره نسخه:۵۴۳۴</w:t>
      </w:r>
    </w:p>
    <w:p>
      <w:pPr>
        <w:pStyle w:val="BookText"/>
      </w:pPr>
      <w:r>
        <w:rPr>
          <w:rFonts w:ascii="IRNazanin" w:hAnsi="IRNazanin" w:eastAsia="IRNazanin" w:cs="IRNazanin"/>
          <w:lang w:bidi="fa-IR"/>
          <w:color w:val="111111"/>
          <w:sz w:val="28"/>
          <w:szCs w:val="28"/>
          <w:rtl/>
        </w:rPr>
        <w:t xml:space="preserve">خط: نستعلیق، کاتب = مؤلف، بی تا، کاغذ: فرنگی شطرنجی جلد: گالینگور، ۲۶۳گ،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۲۸/۵سم [ف: ۱۶-۸]</w:t>
      </w:r>
    </w:p>
    <w:p>
      <w:pPr>
        <w:pStyle w:val="Heading3"/>
      </w:pPr>
      <w:bookmarkStart w:id="2074" w:name="_Toc1334"/>
      <w:r>
        <w:t>• تاریخ ایران / تاریخ / فارسی</w:t>
      </w:r>
      <w:bookmarkEnd w:id="2074"/>
    </w:p>
    <w:p>
      <w:pPr>
        <w:pStyle w:val="BookText"/>
      </w:pPr>
      <w:r>
        <w:rPr>
          <w:rFonts w:ascii="Times New Roman" w:hAnsi="Times New Roman" w:eastAsia="Times New Roman" w:cs="Times New Roman"/>
          <w:lang w:val="en-US" w:bidi="en-US"/>
          <w:color w:val="111111"/>
          <w:sz w:val="28"/>
          <w:szCs w:val="28"/>
          <w:rtl/>
        </w:rPr>
        <w:t xml:space="preserve">tārīx-e īrān</w:t>
      </w:r>
    </w:p>
    <w:p>
      <w:pPr>
        <w:pStyle w:val="BookText"/>
      </w:pPr>
      <w:r>
        <w:rPr>
          <w:rFonts w:ascii="IRNazanin" w:hAnsi="IRNazanin" w:eastAsia="IRNazanin" w:cs="IRNazanin"/>
          <w:lang w:bidi="fa-IR"/>
          <w:color w:val="111111"/>
          <w:sz w:val="28"/>
          <w:szCs w:val="28"/>
          <w:rtl/>
        </w:rPr>
        <w:t xml:space="preserve">عرب باغی، حسین بن نصر الله، ۱۲۹۴-۱۳۶۹ قمری</w:t>
      </w:r>
    </w:p>
    <w:p>
      <w:pPr>
        <w:pStyle w:val="BookText"/>
      </w:pPr>
      <w:r>
        <w:rPr>
          <w:rFonts w:ascii="Times New Roman" w:hAnsi="Times New Roman" w:eastAsia="Times New Roman" w:cs="Times New Roman"/>
          <w:lang w:val="en-US" w:bidi="en-US"/>
          <w:color w:val="111111"/>
          <w:sz w:val="28"/>
          <w:szCs w:val="28"/>
          <w:rtl/>
        </w:rPr>
        <w:t xml:space="preserve">'arab bāqī, hoseyn (1877-1950)</w:t>
      </w:r>
    </w:p>
    <w:p>
      <w:pPr>
        <w:pStyle w:val="BookText"/>
      </w:pPr>
      <w:r>
        <w:rPr>
          <w:rFonts w:ascii="IRNazanin" w:hAnsi="IRNazanin" w:eastAsia="IRNazanin" w:cs="IRNazanin"/>
          <w:lang w:bidi="fa-IR"/>
          <w:color w:val="111111"/>
          <w:sz w:val="28"/>
          <w:szCs w:val="28"/>
          <w:rtl/>
        </w:rPr>
        <w:t xml:space="preserve">مشهد؛ رضوی؛ شماره نسخه: ۱۶۶۲۰</w:t>
      </w:r>
    </w:p>
    <w:p>
      <w:pPr>
        <w:pStyle w:val="BookText"/>
      </w:pPr>
      <w:r>
        <w:rPr>
          <w:rFonts w:ascii="IRNazanin" w:hAnsi="IRNazanin" w:eastAsia="IRNazanin" w:cs="IRNazanin"/>
          <w:lang w:bidi="fa-IR"/>
          <w:color w:val="111111"/>
          <w:sz w:val="28"/>
          <w:szCs w:val="28"/>
          <w:rtl/>
        </w:rPr>
        <w:t xml:space="preserve">آغاز: درس اول بسمله و به نستعين، تاریخ چه گونه چیزیست؛</w:t>
      </w:r>
    </w:p>
    <w:p>
      <w:pPr>
        <w:pStyle w:val="BookText"/>
      </w:pPr>
      <w:r>
        <w:rPr>
          <w:rFonts w:ascii="IRNazanin" w:hAnsi="IRNazanin" w:eastAsia="IRNazanin" w:cs="IRNazanin"/>
          <w:lang w:bidi="fa-IR"/>
          <w:color w:val="111111"/>
          <w:sz w:val="28"/>
          <w:szCs w:val="28"/>
          <w:rtl/>
        </w:rPr>
        <w:t xml:space="preserve">انجام: سه روز و سه شب کشید و سردار ایران کشته و درفش گاویان بدست اعراب افتاد خط: نستعلیق تحریری، بی کا، تا: ۱۳۵۷ق؛ کاغذ: مشقی، جلد: مقوا، ۱۴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[رایانه]</w:t>
      </w:r>
    </w:p>
    <w:p>
      <w:pPr>
        <w:pStyle w:val="Heading3"/>
      </w:pPr>
      <w:bookmarkStart w:id="2075" w:name="_Toc1335"/>
      <w:r>
        <w:t>•تاریخ ایران / شعر، تاریخ ایران / فارسی</w:t>
      </w:r>
      <w:bookmarkEnd w:id="2075"/>
    </w:p>
    <w:p>
      <w:pPr>
        <w:pStyle w:val="BookText"/>
      </w:pPr>
      <w:r>
        <w:rPr>
          <w:rFonts w:ascii="Times New Roman" w:hAnsi="Times New Roman" w:eastAsia="Times New Roman" w:cs="Times New Roman"/>
          <w:lang w:val="en-US" w:bidi="en-US"/>
          <w:color w:val="111111"/>
          <w:sz w:val="28"/>
          <w:szCs w:val="28"/>
          <w:rtl/>
        </w:rPr>
        <w:t xml:space="preserve">tārīx-e īrān</w:t>
      </w:r>
    </w:p>
    <w:p>
      <w:pPr>
        <w:pStyle w:val="BookText"/>
      </w:pPr>
      <w:r>
        <w:rPr>
          <w:rFonts w:ascii="IRNazanin" w:hAnsi="IRNazanin" w:eastAsia="IRNazanin" w:cs="IRNazanin"/>
          <w:lang w:bidi="fa-IR"/>
          <w:color w:val="111111"/>
          <w:sz w:val="28"/>
          <w:szCs w:val="28"/>
          <w:rtl/>
        </w:rPr>
        <w:t xml:space="preserve">حکیم، میرزا تقی، ق ۱۴ قمری</w:t>
      </w:r>
    </w:p>
    <w:p>
      <w:pPr>
        <w:pStyle w:val="BookText"/>
      </w:pPr>
      <w:r>
        <w:rPr>
          <w:rFonts w:ascii="Times New Roman" w:hAnsi="Times New Roman" w:eastAsia="Times New Roman" w:cs="Times New Roman"/>
          <w:lang w:val="en-US" w:bidi="en-US"/>
          <w:color w:val="111111"/>
          <w:sz w:val="28"/>
          <w:szCs w:val="28"/>
          <w:rtl/>
        </w:rPr>
        <w:t xml:space="preserve">hakīm, mīrzā taqī (-20c)</w:t>
      </w:r>
    </w:p>
    <w:p>
      <w:pPr>
        <w:pStyle w:val="BookText"/>
      </w:pPr>
      <w:r>
        <w:rPr>
          <w:rFonts w:ascii="IRNazanin" w:hAnsi="IRNazanin" w:eastAsia="IRNazanin" w:cs="IRNazanin"/>
          <w:lang w:bidi="fa-IR"/>
          <w:color w:val="111111"/>
          <w:sz w:val="28"/>
          <w:szCs w:val="28"/>
          <w:rtl/>
        </w:rPr>
        <w:t xml:space="preserve">تاریخ تأليف: ۱۳۰۶ق تاریخ مختصر ایران از آفرینش تا کشته شدن الب ارسلان سلجوقی. آغاز: به نام جهاندار کل جهان *** بنام خداوند کون و مکان انجام: بسی شاعران گفته شعر و غزل*** به هر رنگ و هر بوی و ز هر محل</w:t>
      </w:r>
    </w:p>
    <w:p>
      <w:pPr>
        <w:pStyle w:val="BookText"/>
      </w:pPr>
      <w:r>
        <w:rPr>
          <w:rFonts w:ascii="IRNazanin" w:hAnsi="IRNazanin" w:eastAsia="IRNazanin" w:cs="IRNazanin"/>
          <w:lang w:bidi="fa-IR"/>
          <w:color w:val="111111"/>
          <w:sz w:val="28"/>
          <w:szCs w:val="28"/>
          <w:rtl/>
        </w:rPr>
        <w:t xml:space="preserve">[دنا ۶۷۹/۲ ؛ فهرستواره منزوی ۸۴۵/۲ و ۵۰۵/۱۰ ]</w:t>
      </w:r>
    </w:p>
    <w:p>
      <w:pPr>
        <w:pStyle w:val="BookText"/>
      </w:pPr>
      <w:r>
        <w:rPr>
          <w:rFonts w:ascii="IRNazanin" w:hAnsi="IRNazanin" w:eastAsia="IRNazanin" w:cs="IRNazanin"/>
          <w:lang w:bidi="fa-IR"/>
          <w:color w:val="111111"/>
          <w:sz w:val="28"/>
          <w:szCs w:val="28"/>
          <w:rtl/>
        </w:rPr>
        <w:t xml:space="preserve">تهران؛ ملک؛ شماره نسخه: ۴۷۹۱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۱۳۰۶ق؛ کاغذ: کاغذ فرنگی، جلد: میشن زرد سیر، ۱۱۹گ، ۳۰ سطر، اندازه: ۳۵/۶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۲۱/۸ سم [ف: ۲-۷۶]</w:t>
      </w:r>
    </w:p>
    <w:p>
      <w:pPr>
        <w:pStyle w:val="Heading3"/>
      </w:pPr>
      <w:bookmarkStart w:id="2076" w:name="_Toc1336"/>
      <w:r>
        <w:t>• تاریخ ایران / تاریخ ایران / فارسی</w:t>
      </w:r>
      <w:bookmarkEnd w:id="2076"/>
    </w:p>
    <w:p>
      <w:pPr>
        <w:pStyle w:val="BookText"/>
      </w:pPr>
      <w:r>
        <w:rPr>
          <w:rFonts w:ascii="Times New Roman" w:hAnsi="Times New Roman" w:eastAsia="Times New Roman" w:cs="Times New Roman"/>
          <w:lang w:val="en-US" w:bidi="en-US"/>
          <w:color w:val="111111"/>
          <w:sz w:val="28"/>
          <w:szCs w:val="28"/>
          <w:rtl/>
        </w:rPr>
        <w:t xml:space="preserve">tārīx-e īrān</w:t>
      </w:r>
    </w:p>
    <w:p>
      <w:pPr>
        <w:pStyle w:val="BookText"/>
      </w:pPr>
      <w:r>
        <w:rPr>
          <w:rFonts w:ascii="IRNazanin" w:hAnsi="IRNazanin" w:eastAsia="IRNazanin" w:cs="IRNazanin"/>
          <w:lang w:bidi="fa-IR"/>
          <w:color w:val="111111"/>
          <w:sz w:val="28"/>
          <w:szCs w:val="28"/>
          <w:rtl/>
        </w:rPr>
        <w:t xml:space="preserve">شریف صفوی، زین العابدين بن فتحعلی، ق ۱۴ قمری</w:t>
      </w:r>
    </w:p>
    <w:p>
      <w:pPr>
        <w:pStyle w:val="BookText"/>
      </w:pPr>
      <w:r>
        <w:rPr>
          <w:rFonts w:ascii="Times New Roman" w:hAnsi="Times New Roman" w:eastAsia="Times New Roman" w:cs="Times New Roman"/>
          <w:lang w:val="en-US" w:bidi="en-US"/>
          <w:color w:val="111111"/>
          <w:sz w:val="28"/>
          <w:szCs w:val="28"/>
          <w:rtl/>
        </w:rPr>
        <w:t xml:space="preserve">šarīf-e safavī, zayn-ol-"ābedīn ebn-e fath-‘alī (-20c)</w:t>
      </w:r>
    </w:p>
    <w:p>
      <w:pPr>
        <w:pStyle w:val="BookText"/>
      </w:pPr>
      <w:r>
        <w:rPr>
          <w:rFonts w:ascii="IRNazanin" w:hAnsi="IRNazanin" w:eastAsia="IRNazanin" w:cs="IRNazanin"/>
          <w:lang w:bidi="fa-IR"/>
          <w:color w:val="111111"/>
          <w:sz w:val="28"/>
          <w:szCs w:val="28"/>
          <w:rtl/>
        </w:rPr>
        <w:t xml:space="preserve">رساله در تاریخ و نسب دودمان صفوی است.</w:t>
      </w:r>
    </w:p>
    <w:p>
      <w:pPr>
        <w:pStyle w:val="BookText"/>
      </w:pPr>
      <w:r>
        <w:rPr>
          <w:rFonts w:ascii="IRNazanin" w:hAnsi="IRNazanin" w:eastAsia="IRNazanin" w:cs="IRNazanin"/>
          <w:lang w:bidi="fa-IR"/>
          <w:color w:val="111111"/>
          <w:sz w:val="28"/>
          <w:szCs w:val="28"/>
          <w:rtl/>
        </w:rPr>
        <w:t xml:space="preserve">[دنا ۶۷۹/۲ ؛ فهرستواره منزوی ۸۴۶/۲ ]</w:t>
      </w:r>
    </w:p>
    <w:p>
      <w:pPr>
        <w:pStyle w:val="BookText"/>
      </w:pPr>
      <w:r>
        <w:rPr>
          <w:rFonts w:ascii="IRNazanin" w:hAnsi="IRNazanin" w:eastAsia="IRNazanin" w:cs="IRNazanin"/>
          <w:lang w:bidi="fa-IR"/>
          <w:color w:val="111111"/>
          <w:sz w:val="28"/>
          <w:szCs w:val="28"/>
          <w:rtl/>
        </w:rPr>
        <w:t xml:space="preserve">تهران، ادبیات، شماره نسخه:۲۰۷-ج</w:t>
      </w:r>
    </w:p>
    <w:p>
      <w:pPr>
        <w:pStyle w:val="BookText"/>
      </w:pPr>
      <w:r>
        <w:rPr>
          <w:rFonts w:ascii="IRNazanin" w:hAnsi="IRNazanin" w:eastAsia="IRNazanin" w:cs="IRNazanin"/>
          <w:lang w:bidi="fa-IR"/>
          <w:color w:val="111111"/>
          <w:sz w:val="28"/>
          <w:szCs w:val="28"/>
          <w:rtl/>
        </w:rPr>
        <w:t xml:space="preserve">آغاز: بسمله، مختصر تاریخی است که نگاشت آن را بنده ... زین العابدين الشريف الرضوی؛ انجام: و تاریخ کشته شدنش: «نادر بدرک رفت» خط: نستعلیق، بی کا، تا: قرن ۱۳؛ تملك: امیر فیروز کوهی در ۱۳۱۷؛ کاغذ: فرنگی، جلد: مقوا، ۲۸گ، ۱۴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۱-۵۷]</w:t>
      </w:r>
    </w:p>
    <w:p>
      <w:pPr>
        <w:pStyle w:val="Heading3"/>
      </w:pPr>
      <w:bookmarkStart w:id="2077" w:name="_Toc1337"/>
      <w:r>
        <w:t>•تاریخ ایران / تاریخ ایران / فارسی</w:t>
      </w:r>
      <w:bookmarkEnd w:id="2077"/>
    </w:p>
    <w:p>
      <w:pPr>
        <w:pStyle w:val="BookText"/>
      </w:pPr>
      <w:r>
        <w:rPr>
          <w:rFonts w:ascii="Times New Roman" w:hAnsi="Times New Roman" w:eastAsia="Times New Roman" w:cs="Times New Roman"/>
          <w:lang w:val="en-US" w:bidi="en-US"/>
          <w:color w:val="111111"/>
          <w:sz w:val="28"/>
          <w:szCs w:val="28"/>
          <w:rtl/>
        </w:rPr>
        <w:t xml:space="preserve">tārīx-e īrān</w:t>
      </w:r>
    </w:p>
    <w:p>
      <w:pPr>
        <w:pStyle w:val="BookText"/>
      </w:pPr>
      <w:r>
        <w:rPr>
          <w:rFonts w:ascii="IRNazanin" w:hAnsi="IRNazanin" w:eastAsia="IRNazanin" w:cs="IRNazanin"/>
          <w:lang w:bidi="fa-IR"/>
          <w:color w:val="111111"/>
          <w:sz w:val="28"/>
          <w:szCs w:val="28"/>
          <w:rtl/>
        </w:rPr>
        <w:t xml:space="preserve">شیرازی، محمد حسین بن فخر الدین، ق۱۴ قمری</w:t>
      </w:r>
    </w:p>
    <w:p>
      <w:pPr>
        <w:pStyle w:val="BookText"/>
      </w:pPr>
      <w:r>
        <w:rPr>
          <w:rFonts w:ascii="Times New Roman" w:hAnsi="Times New Roman" w:eastAsia="Times New Roman" w:cs="Times New Roman"/>
          <w:lang w:val="en-US" w:bidi="en-US"/>
          <w:color w:val="111111"/>
          <w:sz w:val="28"/>
          <w:szCs w:val="28"/>
          <w:rtl/>
        </w:rPr>
        <w:t xml:space="preserve">šīrāzī, mohammad hoseyn ebn-e faxr-od-dīn (-20c)</w:t>
      </w:r>
    </w:p>
    <w:p>
      <w:pPr>
        <w:pStyle w:val="BookText"/>
      </w:pPr>
      <w:r>
        <w:rPr>
          <w:rFonts w:ascii="IRNazanin" w:hAnsi="IRNazanin" w:eastAsia="IRNazanin" w:cs="IRNazanin"/>
          <w:lang w:bidi="fa-IR"/>
          <w:color w:val="111111"/>
          <w:sz w:val="28"/>
          <w:szCs w:val="28"/>
          <w:rtl/>
        </w:rPr>
        <w:t xml:space="preserve">تاریخ مختصر پادشاهی ایران است از سلسله پیشدادیان تا قبل از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397" w:name="pg20363_209690"/>
    <w:bookmarkEnd w:id="397"/>
    <w:p>
      <w:pPr>
        <w:pStyle w:val="BookText"/>
      </w:pPr>
      <w:r>
        <w:rPr>
          <w:rFonts w:ascii="IRNazanin" w:hAnsi="IRNazanin" w:eastAsia="IRNazanin" w:cs="IRNazanin"/>
          <w:lang w:bidi="fa-IR"/>
          <w:color w:val="111111"/>
          <w:sz w:val="28"/>
          <w:szCs w:val="28"/>
          <w:rtl/>
        </w:rPr>
        <w:t xml:space="preserve">اسلام.</w:t>
      </w:r>
    </w:p>
    <w:p>
      <w:pPr>
        <w:pStyle w:val="BookText"/>
      </w:pPr>
      <w:r>
        <w:rPr>
          <w:rFonts w:ascii="IRNazanin" w:hAnsi="IRNazanin" w:eastAsia="IRNazanin" w:cs="IRNazanin"/>
          <w:lang w:bidi="fa-IR"/>
          <w:color w:val="111111"/>
          <w:sz w:val="28"/>
          <w:szCs w:val="28"/>
          <w:rtl/>
        </w:rPr>
        <w:t xml:space="preserve">اصفهان، دانشگاه؛ شماره نسخه:۱۰۱</w:t>
      </w:r>
    </w:p>
    <w:p>
      <w:pPr>
        <w:pStyle w:val="BookText"/>
      </w:pPr>
      <w:r>
        <w:rPr>
          <w:rFonts w:ascii="IRNazanin" w:hAnsi="IRNazanin" w:eastAsia="IRNazanin" w:cs="IRNazanin"/>
          <w:lang w:bidi="fa-IR"/>
          <w:color w:val="111111"/>
          <w:sz w:val="28"/>
          <w:szCs w:val="28"/>
          <w:rtl/>
        </w:rPr>
        <w:t xml:space="preserve">آغاز: ایران حدود آن از جانب جنوب به خلیج فارس و دریای هند و از سمت مشرق و شمال و مشرق به آب سند و رود جیحون منتهی می شود</w:t>
      </w:r>
    </w:p>
    <w:p>
      <w:pPr>
        <w:pStyle w:val="BookText"/>
      </w:pPr>
      <w:r>
        <w:rPr>
          <w:rFonts w:ascii="IRNazanin" w:hAnsi="IRNazanin" w:eastAsia="IRNazanin" w:cs="IRNazanin"/>
          <w:lang w:bidi="fa-IR"/>
          <w:color w:val="111111"/>
          <w:sz w:val="28"/>
          <w:szCs w:val="28"/>
          <w:rtl/>
        </w:rPr>
        <w:t xml:space="preserve">خط: نستعلیق، کاتب = مؤلف، بی تا؛ مصحح؛ از کتاب های عبدالحسین سپنتا؛ جلد: تیماج قرمز، ۱۵۸گ، مختلف السطر،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۱-۸۰]</w:t>
      </w:r>
    </w:p>
    <w:p>
      <w:pPr>
        <w:pStyle w:val="Heading3"/>
      </w:pPr>
      <w:bookmarkStart w:id="2078" w:name="_Toc1338"/>
      <w:r>
        <w:t>•تاریخ ایران / تاریخ ایران / فارسی</w:t>
      </w:r>
      <w:bookmarkEnd w:id="2078"/>
    </w:p>
    <w:p>
      <w:pPr>
        <w:pStyle w:val="BookText"/>
      </w:pPr>
      <w:r>
        <w:rPr>
          <w:rFonts w:ascii="Times New Roman" w:hAnsi="Times New Roman" w:eastAsia="Times New Roman" w:cs="Times New Roman"/>
          <w:lang w:val="en-US" w:bidi="en-US"/>
          <w:color w:val="111111"/>
          <w:sz w:val="28"/>
          <w:szCs w:val="28"/>
          <w:rtl/>
        </w:rPr>
        <w:t xml:space="preserve">tārīx-e īrān</w:t>
      </w:r>
    </w:p>
    <w:p>
      <w:pPr>
        <w:pStyle w:val="BookText"/>
      </w:pPr>
      <w:r>
        <w:rPr>
          <w:rFonts w:ascii="IRNazanin" w:hAnsi="IRNazanin" w:eastAsia="IRNazanin" w:cs="IRNazanin"/>
          <w:lang w:bidi="fa-IR"/>
          <w:color w:val="111111"/>
          <w:sz w:val="28"/>
          <w:szCs w:val="28"/>
          <w:rtl/>
        </w:rPr>
        <w:t xml:space="preserve">غیر همانند: ۱. تهران؛ ادبیات؛ شماره نسخه:۵۴ - ج</w:t>
      </w:r>
    </w:p>
    <w:p>
      <w:pPr>
        <w:pStyle w:val="BookText"/>
      </w:pPr>
      <w:r>
        <w:rPr>
          <w:rFonts w:ascii="IRNazanin" w:hAnsi="IRNazanin" w:eastAsia="IRNazanin" w:cs="IRNazanin"/>
          <w:lang w:bidi="fa-IR"/>
          <w:color w:val="111111"/>
          <w:sz w:val="28"/>
          <w:szCs w:val="28"/>
          <w:rtl/>
        </w:rPr>
        <w:t xml:space="preserve">آغاز: يزدجرد یعنی پسر و بعضی برادر بهرام گفته اند؛ انجام: صبح روز دوشنبه دوازدهم شهر صفر در دار المؤمنین مذکور (مشهد) به جوار رحمت ایزدی پیوست نعش آن پادشاه ... بدار المؤمين قم برده در جوار معصومه گذاشته عمارت عالی ساختند و موقوفات مقرر شدند همه روز آب و آش بمستحقین داده میشود امید که عمر بدولت این پادشاه عالم پناه در تزاید باد</w:t>
      </w:r>
    </w:p>
    <w:p>
      <w:pPr>
        <w:pStyle w:val="BookText"/>
      </w:pPr>
      <w:r>
        <w:rPr>
          <w:rFonts w:ascii="IRNazanin" w:hAnsi="IRNazanin" w:eastAsia="IRNazanin" w:cs="IRNazanin"/>
          <w:lang w:bidi="fa-IR"/>
          <w:color w:val="111111"/>
          <w:sz w:val="28"/>
          <w:szCs w:val="28"/>
          <w:rtl/>
        </w:rPr>
        <w:t xml:space="preserve">برب العباد. تم تم تم</w:t>
      </w:r>
    </w:p>
    <w:p>
      <w:pPr>
        <w:pStyle w:val="BookText"/>
      </w:pPr>
      <w:r>
        <w:rPr>
          <w:rFonts w:ascii="IRNazanin" w:hAnsi="IRNazanin" w:eastAsia="IRNazanin" w:cs="IRNazanin"/>
          <w:lang w:bidi="fa-IR"/>
          <w:color w:val="111111"/>
          <w:sz w:val="28"/>
          <w:szCs w:val="28"/>
          <w:rtl/>
        </w:rPr>
        <w:t xml:space="preserve">از یزدگرد آغاز و می رسد به ولادت شاه صفی بن صفی میرزا بن شاه عباس و جلوس وی و در پایان کامل است و خندانهای شاهان ایران را تا ۱۰۵۱ دارد؛ خط: نستعلیق، بی کا، تا: قرن ۱۱ کاغذ: سپاهانی، جلد: مقوا، ۳۹گ، سطور چلیپا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۱-۵۸]</w:t>
      </w:r>
    </w:p>
    <w:p>
      <w:pPr>
        <w:pStyle w:val="BookText"/>
      </w:pPr>
      <w:r>
        <w:rPr>
          <w:rFonts w:ascii="IRNazanin" w:hAnsi="IRNazanin" w:eastAsia="IRNazanin" w:cs="IRNazanin"/>
          <w:lang w:bidi="fa-IR"/>
          <w:color w:val="111111"/>
          <w:sz w:val="28"/>
          <w:szCs w:val="28"/>
          <w:rtl/>
        </w:rPr>
        <w:t xml:space="preserve">۲. تهران: لغت نامه دهخدا، شماره نسخه:۷/۳</w:t>
      </w:r>
    </w:p>
    <w:p>
      <w:pPr>
        <w:pStyle w:val="BookText"/>
      </w:pPr>
      <w:r>
        <w:rPr>
          <w:rFonts w:ascii="IRNazanin" w:hAnsi="IRNazanin" w:eastAsia="IRNazanin" w:cs="IRNazanin"/>
          <w:lang w:bidi="fa-IR"/>
          <w:color w:val="111111"/>
          <w:sz w:val="28"/>
          <w:szCs w:val="28"/>
          <w:rtl/>
        </w:rPr>
        <w:t xml:space="preserve">در زمان صفویان ساخته شده و به نثر و نظم تا اندازه ای شیوا؛ خط: نستعلیق، بی کا، تا: قرن ۱۰ و ۱۱؛ افتادگی: آغاز و انجام؛ مجدول زرین [نشریه: ۳-۳۲]</w:t>
      </w:r>
    </w:p>
    <w:p>
      <w:pPr>
        <w:pStyle w:val="BookText"/>
      </w:pPr>
      <w:r>
        <w:rPr>
          <w:rFonts w:ascii="IRNazanin" w:hAnsi="IRNazanin" w:eastAsia="IRNazanin" w:cs="IRNazanin"/>
          <w:lang w:bidi="fa-IR"/>
          <w:color w:val="111111"/>
          <w:sz w:val="28"/>
          <w:szCs w:val="28"/>
          <w:rtl/>
        </w:rPr>
        <w:t xml:space="preserve">٢. میبد؛ مخطوطات و اسناد میبد؛ شماره نسخه:۱۷</w:t>
      </w:r>
    </w:p>
    <w:p>
      <w:pPr>
        <w:pStyle w:val="BookText"/>
      </w:pPr>
      <w:r>
        <w:rPr>
          <w:rFonts w:ascii="IRNazanin" w:hAnsi="IRNazanin" w:eastAsia="IRNazanin" w:cs="IRNazanin"/>
          <w:lang w:bidi="fa-IR"/>
          <w:color w:val="111111"/>
          <w:sz w:val="28"/>
          <w:szCs w:val="28"/>
          <w:rtl/>
        </w:rPr>
        <w:t xml:space="preserve">آغاز: از تأثیر تیغ عالم گیر از پیش مردم دیده و دیده مردم نهان کرده</w:t>
      </w:r>
    </w:p>
    <w:p>
      <w:pPr>
        <w:pStyle w:val="BookText"/>
      </w:pPr>
      <w:r>
        <w:rPr>
          <w:rFonts w:ascii="IRNazanin" w:hAnsi="IRNazanin" w:eastAsia="IRNazanin" w:cs="IRNazanin"/>
          <w:lang w:bidi="fa-IR"/>
          <w:color w:val="111111"/>
          <w:sz w:val="28"/>
          <w:szCs w:val="28"/>
          <w:rtl/>
        </w:rPr>
        <w:t xml:space="preserve">از تواریخ مربوط به دوران صفویه است که در آن از شیخ زاهد و شیخ صفی الدین کتاب صفوة الصفا نام برده شده؛ خط: نسخ، بی کا، تا: قرن ۱۱؛ افتادگی: آغاز؛ ۲۲۴گ، ۱۲ سطر، اندازه: ۱۱/۵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۱۷/۵ سم [ف: ۲۵]</w:t>
      </w:r>
    </w:p>
    <w:p>
      <w:pPr>
        <w:pStyle w:val="BookText"/>
      </w:pPr>
      <w:r>
        <w:rPr>
          <w:rFonts w:ascii="IRNazanin" w:hAnsi="IRNazanin" w:eastAsia="IRNazanin" w:cs="IRNazanin"/>
          <w:lang w:bidi="fa-IR"/>
          <w:color w:val="111111"/>
          <w:sz w:val="28"/>
          <w:szCs w:val="28"/>
          <w:rtl/>
        </w:rPr>
        <w:t xml:space="preserve">۴. تهران؛ مهدوی؛ شماره نسخه: ۳۵۲</w:t>
      </w:r>
    </w:p>
    <w:p>
      <w:pPr>
        <w:pStyle w:val="BookText"/>
      </w:pPr>
      <w:r>
        <w:rPr>
          <w:rFonts w:ascii="IRNazanin" w:hAnsi="IRNazanin" w:eastAsia="IRNazanin" w:cs="IRNazanin"/>
          <w:lang w:bidi="fa-IR"/>
          <w:color w:val="111111"/>
          <w:sz w:val="28"/>
          <w:szCs w:val="28"/>
          <w:rtl/>
        </w:rPr>
        <w:t xml:space="preserve">تأليف ۱۰۱۸ ( ۱۹۳روپ ۱۶۴پ) در این سه جا این کتاب «مجمل» خوانده شده: «۲پ ۱۶۴ ۱۹۳پ» مؤلف پس از دیباچه ای در آفرینش و تاریخ و سالشماری می گوید که «این بی مقدار در اول سال تألیف این مجمل از زیج الغ بیکی برسم کتابخانه ... محمد قلی قطب شاه والی تلنگانه در مکه معظمه تقویم تامی بافق حیدر آباد گلکنده استخراج نمود که نوروز سلطانی در شنبه چهاردهم ذي الحجة الحرام سنه ۱۰۱۷ اتفاق افتاده ..»، کتاب در هفت فصل» است: ۱. سرگذشت پیامبران، ۲. سرگذشت محمد و امامان، ۳. پادشاهان ایران پیش از اسلام، ۴. امویان، ۵. عباسیان، ۶. پادشاهان معاصر عباسیان، ۷-صفویان؛ خط: نسخ، بی کا، تا: قرن ۱۱؛ افتادگی: آغاز و انجام [نشریه: ۲-۶۵]</w:t>
      </w:r>
    </w:p>
    <w:p>
      <w:pPr>
        <w:pStyle w:val="BookText"/>
      </w:pPr>
      <w:r>
        <w:rPr>
          <w:rFonts w:ascii="IRNazanin" w:hAnsi="IRNazanin" w:eastAsia="IRNazanin" w:cs="IRNazanin"/>
          <w:lang w:bidi="fa-IR"/>
          <w:color w:val="111111"/>
          <w:sz w:val="28"/>
          <w:szCs w:val="28"/>
          <w:rtl/>
        </w:rPr>
        <w:t xml:space="preserve">۵. تهران؛ مدارک فرهنگی؛ شماره نسخه: ۱۴۸/۱</w:t>
      </w:r>
    </w:p>
    <w:p>
      <w:pPr>
        <w:pStyle w:val="BookText"/>
      </w:pPr>
      <w:r>
        <w:rPr>
          <w:rFonts w:ascii="IRNazanin" w:hAnsi="IRNazanin" w:eastAsia="IRNazanin" w:cs="IRNazanin"/>
          <w:lang w:bidi="fa-IR"/>
          <w:color w:val="111111"/>
          <w:sz w:val="28"/>
          <w:szCs w:val="28"/>
          <w:rtl/>
        </w:rPr>
        <w:t xml:space="preserve">آغاز: از ماورالنهر و ترکستان باتفاق یکدیگر قصد خراسان کردند؛ انجام: سپهر بفرمان جهانش به کام*** دعا کوی اوانس و جان و السلام رحمت الله ابن عبدالله نوسی شامل مطالب تاریخی در مورد ایران است و سلسله های پادشاهی آن شامل ابواب و فصول مختلف که که آغاز آن افتاده است از تاریخ غزنویان را دارا می باشد ذکر غزنویان و عدد ایشان، ذکر غوریان، آل بویه، سلجوقیان، خوارزمشاهیان، اتابکیان، اسمعیلیان، و ... ؛ خط: نستعلیق خوب، كان رحمت الله ابن عبدالله نویسی، تا: محرم ۱۰۳۸ق؛ افتادگی: آغاز؛ تملک: محمد علی فرزند آقای علی اکبر نصر آبادی؛ کاغذ: اصفهانی و فرنگی حنایی، جلد: مقوایی روکش تیماج قهوه ای با ترنج و سرترنج، ۸۸ص (ار ۸۸ر)، ۱۷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۱۳۶]</w:t>
      </w:r>
    </w:p>
    <w:p>
      <w:pPr>
        <w:pStyle w:val="BookText"/>
      </w:pPr>
      <w:r>
        <w:rPr>
          <w:rFonts w:ascii="IRNazanin" w:hAnsi="IRNazanin" w:eastAsia="IRNazanin" w:cs="IRNazanin"/>
          <w:lang w:bidi="fa-IR"/>
          <w:color w:val="111111"/>
          <w:sz w:val="28"/>
          <w:szCs w:val="28"/>
          <w:rtl/>
        </w:rPr>
        <w:t xml:space="preserve">۶. قم؛ گلپایگانی؛ شماره نسخه: ۷۶۸۹- ۳۹/۶۹</w:t>
      </w:r>
    </w:p>
    <w:p>
      <w:pPr>
        <w:pStyle w:val="BookText"/>
      </w:pPr>
      <w:r>
        <w:rPr>
          <w:rFonts w:ascii="IRNazanin" w:hAnsi="IRNazanin" w:eastAsia="IRNazanin" w:cs="IRNazanin"/>
          <w:lang w:bidi="fa-IR"/>
          <w:color w:val="111111"/>
          <w:sz w:val="28"/>
          <w:szCs w:val="28"/>
          <w:rtl/>
        </w:rPr>
        <w:t xml:space="preserve">آغاز: تربیت کشیده بلکه آنچه مطلوب است از کتب معتبره این فن چون تاریخ طبری محمد بن جریره بترجمه ابو على محمد بیغمی وزیر آل عباسیان ... دیگر روضة الصفای محمد بن امیر خاونده شاه خارزمی دیگر حبیب اسیر ... و غيرهم منشرح ومنبسط است؛ انجام: تا تاریخ تألیف این مختصر که شهر رمضان المبارک سنة تسع وخمسين وتسعه مائة صد و هشتاد و هشت سال و از ایشان تا غایت بیست و یک تن سلطنت رسیده آمد اول امیر تیمور گورکان ... بیستم میرزا همایون بن میرزا بابر که الحال در هند بپادشاهی ممکن است ... سلطان احمد جلایر ...</w:t>
      </w:r>
    </w:p>
    <w:p>
      <w:pPr>
        <w:pStyle w:val="BookText"/>
      </w:pPr>
      <w:r>
        <w:rPr>
          <w:rFonts w:ascii="IRNazanin" w:hAnsi="IRNazanin" w:eastAsia="IRNazanin" w:cs="IRNazanin"/>
          <w:lang w:bidi="fa-IR"/>
          <w:color w:val="111111"/>
          <w:sz w:val="28"/>
          <w:szCs w:val="28"/>
          <w:rtl/>
        </w:rPr>
        <w:t xml:space="preserve">کتاب مختصری است در بیان تاریخ ایران از صدر اسلام تا اواسط قرن ده با عنوان «حکایت - حکایت» که به سال ۹۵۹ ق تأليف شده و در آغاز منابعی را که از آنها نقل نموده اسم می برد تاریخ طبری با ترجمه ابوعلی محمد بیغمی، تاریخ مروج الذهب مسعودی، و تاریخ فتوح کوفی با ترجمه احمد بن محمد مستوفی تاریخ منتظم ابن جوزی، تاریخ آل عباس با ترجمه یحیی جرپادگانی کشف الغمة على بن عیسی اربلی، جامع الحکایت عوفی، مرات الجنان عبدالله نافعی یمنی، جامع التواریخ خواجه رشید، تاریخ قوام الملکی قاضی ابرقی، طبقات ناصری منهاج من سراج جورجانی، تاریخ فخرالدين داود، مجمع النوادر احمد نظامی تاریخ وصاف شیرازی، ظفرنامه یزدی، جهانگشای جوینی، مطلع السعدين سمرقندی، روضة الصفا، حبیب السير، تذكرة الشعرا، دولت شاهی و مجالس النفایس امیر علیشیر و ...؛ خط: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نستعلیق، بی کا، تا: قرن ۱۱ و ۱۲؛ افتادگی: آغاز و انجام؛ مجدول؛ جلد: مقوا عطف</w:t>
      </w:r>
    </w:p>
    <w:p>
      <w:pPr>
        <w:pStyle w:val="BookText"/>
      </w:pPr>
      <w:r>
        <w:rPr>
          <w:rFonts w:ascii="IRNazanin" w:hAnsi="IRNazanin" w:eastAsia="IRNazanin" w:cs="IRNazanin"/>
          <w:lang w:bidi="fa-IR"/>
          <w:color w:val="111111"/>
          <w:sz w:val="28"/>
          <w:szCs w:val="28"/>
          <w:rtl/>
        </w:rPr>
        <w:t xml:space="preserve">گالینگور قهوه ای، ۱۱۲گ، ۱۹ سطر، اندازه: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۲۳/۵ سم [ف: ۲-۶۸۴]</w:t>
      </w:r>
    </w:p>
    <w:p>
      <w:pPr>
        <w:pStyle w:val="BookText"/>
      </w:pPr>
      <w:r>
        <w:rPr>
          <w:rFonts w:ascii="IRNazanin" w:hAnsi="IRNazanin" w:eastAsia="IRNazanin" w:cs="IRNazanin"/>
          <w:lang w:bidi="fa-IR"/>
          <w:color w:val="111111"/>
          <w:sz w:val="28"/>
          <w:szCs w:val="28"/>
          <w:rtl/>
        </w:rPr>
        <w:t xml:space="preserve">٧. تهران؛ دانشگاه؛ شماره نسخه:۵۰۷۸</w:t>
      </w:r>
    </w:p>
    <w:p>
      <w:pPr>
        <w:pStyle w:val="BookText"/>
      </w:pPr>
      <w:r>
        <w:rPr>
          <w:rFonts w:ascii="IRNazanin" w:hAnsi="IRNazanin" w:eastAsia="IRNazanin" w:cs="IRNazanin"/>
          <w:lang w:bidi="fa-IR"/>
          <w:color w:val="111111"/>
          <w:sz w:val="28"/>
          <w:szCs w:val="28"/>
          <w:rtl/>
        </w:rPr>
        <w:t xml:space="preserve">آغاز: کیومرث لفظی است سریانی و معنی وی زنده گویا باشد؛ انجام: وقتست که کمیت خوشخرام قلم بذکر ملوک انعطاف نماید ... و مامول از عنایت کردگار.</w:t>
      </w:r>
    </w:p>
    <w:p>
      <w:pPr>
        <w:pStyle w:val="BookText"/>
      </w:pPr>
      <w:r>
        <w:rPr>
          <w:rFonts w:ascii="IRNazanin" w:hAnsi="IRNazanin" w:eastAsia="IRNazanin" w:cs="IRNazanin"/>
          <w:lang w:bidi="fa-IR"/>
          <w:color w:val="111111"/>
          <w:sz w:val="28"/>
          <w:szCs w:val="28"/>
          <w:rtl/>
        </w:rPr>
        <w:t xml:space="preserve">سرگذشت پادشاهان ایران و پیامبر است و نسخه از کیومرث است تا خالد بن سنان و در پایان آن از «امیر مؤید جوانبخت» و مخدومی حقایق پناهی طيب الله صدر العارفین» یاد شده است؛ خط: نستعلیق، بی کا، تا: قرن ۱۲؛ افتادگی: انجام؛ کاغذ: فرنگی زرد، جلد: تیماج حنایی ترنجی، ۳۶۵گ، ۱۹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۱۵-۴۱۰۶]</w:t>
      </w:r>
    </w:p>
    <w:p>
      <w:pPr>
        <w:pStyle w:val="BookText"/>
      </w:pPr>
      <w:r>
        <w:rPr>
          <w:rFonts w:ascii="IRNazanin" w:hAnsi="IRNazanin" w:eastAsia="IRNazanin" w:cs="IRNazanin"/>
          <w:lang w:bidi="fa-IR"/>
          <w:color w:val="111111"/>
          <w:sz w:val="28"/>
          <w:szCs w:val="28"/>
          <w:rtl/>
        </w:rPr>
        <w:t xml:space="preserve">۸. تهران؛ ملی؛ شماره نسخه: ۱۱۷۱/۵</w:t>
      </w:r>
    </w:p>
    <w:p>
      <w:pPr>
        <w:pStyle w:val="BookText"/>
      </w:pPr>
      <w:r>
        <w:rPr>
          <w:rFonts w:ascii="IRNazanin" w:hAnsi="IRNazanin" w:eastAsia="IRNazanin" w:cs="IRNazanin"/>
          <w:lang w:bidi="fa-IR"/>
          <w:color w:val="111111"/>
          <w:sz w:val="28"/>
          <w:szCs w:val="28"/>
          <w:rtl/>
        </w:rPr>
        <w:t xml:space="preserve">آغاز: اول پادشاه که بهم رسید کیومرث برادر شیث بود.؛ انجام: از وسطام اثری نیست شهر زرو از اقلیم چهارم است.</w:t>
      </w:r>
    </w:p>
    <w:p>
      <w:pPr>
        <w:pStyle w:val="BookText"/>
      </w:pPr>
      <w:r>
        <w:rPr>
          <w:rFonts w:ascii="IRNazanin" w:hAnsi="IRNazanin" w:eastAsia="IRNazanin" w:cs="IRNazanin"/>
          <w:lang w:bidi="fa-IR"/>
          <w:color w:val="111111"/>
          <w:sz w:val="28"/>
          <w:szCs w:val="28"/>
          <w:rtl/>
        </w:rPr>
        <w:t xml:space="preserve">یک دوره تاریخ ایران از زمان کیومرت تا پادشاهی شیرویه بنا بر مدار کی داستانی و حماسه فردوسی و سایر تاریخ نویسان گذشته گرد آوری شده است و در آخر آن یک صفحه در مطالب جغرافیایی آمده است؛ خط: نستعلیق، کا: قوام الدین محمد بن الحاجی مولانا عبدالاحد همدانی، تا: ۱۱۷۱ق، جا: بلده نجنكر من بلدو کج؛ کاغذ: دولت آبادی، جلد: تیماج سیاه با ترنج و نیم ترنج، ۱۲۰گ، ۱۷ سطر (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۳-۲۰۳]</w:t>
      </w:r>
    </w:p>
    <w:p>
      <w:pPr>
        <w:pStyle w:val="BookText"/>
      </w:pPr>
      <w:r>
        <w:rPr>
          <w:rFonts w:ascii="IRNazanin" w:hAnsi="IRNazanin" w:eastAsia="IRNazanin" w:cs="IRNazanin"/>
          <w:lang w:bidi="fa-IR"/>
          <w:color w:val="111111"/>
          <w:sz w:val="28"/>
          <w:szCs w:val="28"/>
          <w:rtl/>
        </w:rPr>
        <w:t xml:space="preserve">۹. قم، گلپایگانی؛ شماره نسخه:۷۲۳۸- ۳۷/۲۸</w:t>
      </w:r>
    </w:p>
    <w:p>
      <w:pPr>
        <w:pStyle w:val="BookText"/>
      </w:pPr>
      <w:r>
        <w:rPr>
          <w:rFonts w:ascii="IRNazanin" w:hAnsi="IRNazanin" w:eastAsia="IRNazanin" w:cs="IRNazanin"/>
          <w:lang w:bidi="fa-IR"/>
          <w:color w:val="111111"/>
          <w:sz w:val="28"/>
          <w:szCs w:val="28"/>
          <w:rtl/>
        </w:rPr>
        <w:t xml:space="preserve">آغاز: رسیدن شکست اشرف بموجب اعلام او و معتبرین بلد را که در میانه ارک کنار شهر احداث کرده بودند جمع ... در بیان محاربه سردره خار و کسر رایت شوکت افغانی بعنايت سبحانی؛ انجام: وقایع تنکورئیل موافق سال هزار و صد و پنجاه و شش هجری شبی که بیست و چهارم ماه محرم الحرام بود ... و هر کس که باین جماعت اظهار عداوت نماید خارج از دین و محروم از شفاعت حضرت خاتم النبيين ...</w:t>
      </w:r>
    </w:p>
    <w:p>
      <w:pPr>
        <w:pStyle w:val="BookText"/>
      </w:pPr>
      <w:r>
        <w:rPr>
          <w:rFonts w:ascii="IRNazanin" w:hAnsi="IRNazanin" w:eastAsia="IRNazanin" w:cs="IRNazanin"/>
          <w:lang w:bidi="fa-IR"/>
          <w:color w:val="111111"/>
          <w:sz w:val="28"/>
          <w:szCs w:val="28"/>
          <w:rtl/>
        </w:rPr>
        <w:t xml:space="preserve">بندی از کتابی است در تاریخ ایران در عصر نادرشاه، بین سال های ۱۱۴۴ تا ۱۱۵۶ در نسخه حاضر موجود است و بیشتر به جنگهای افغانه با ایران پرداخته است؛ خط: نستعلیق، بی کا، تا: قرن ۱۳؛ افتادگی: آغاز و انجام؛ ۹۱گ، ۲۳ سطر،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۲-۶۸۴]</w:t>
      </w:r>
    </w:p>
    <w:p>
      <w:pPr>
        <w:pStyle w:val="BookText"/>
      </w:pPr>
      <w:r>
        <w:rPr>
          <w:rFonts w:ascii="IRNazanin" w:hAnsi="IRNazanin" w:eastAsia="IRNazanin" w:cs="IRNazanin"/>
          <w:lang w:bidi="fa-IR"/>
          <w:color w:val="111111"/>
          <w:sz w:val="28"/>
          <w:szCs w:val="28"/>
          <w:rtl/>
        </w:rPr>
        <w:t xml:space="preserve">۱۰. تهران؛ مجلس؛ شماره نسخه: ۴۲۴۱</w:t>
      </w:r>
    </w:p>
    <w:p>
      <w:pPr>
        <w:pStyle w:val="BookText"/>
      </w:pPr>
      <w:r>
        <w:rPr>
          <w:rFonts w:ascii="IRNazanin" w:hAnsi="IRNazanin" w:eastAsia="IRNazanin" w:cs="IRNazanin"/>
          <w:lang w:bidi="fa-IR"/>
          <w:color w:val="111111"/>
          <w:sz w:val="28"/>
          <w:szCs w:val="28"/>
          <w:rtl/>
        </w:rPr>
        <w:t xml:space="preserve">آغاز: بسمله. باب اول در بیان حدود کوهستان و کمیر (کویر) و جنگل و رودخانه ها و هوای دولت علیه ایران است</w:t>
      </w:r>
    </w:p>
    <w:p>
      <w:pPr>
        <w:pStyle w:val="BookText"/>
      </w:pPr>
      <w:r>
        <w:rPr>
          <w:rFonts w:ascii="IRNazanin" w:hAnsi="IRNazanin" w:eastAsia="IRNazanin" w:cs="IRNazanin"/>
          <w:lang w:bidi="fa-IR"/>
          <w:color w:val="111111"/>
          <w:sz w:val="28"/>
          <w:szCs w:val="28"/>
          <w:rtl/>
        </w:rPr>
        <w:t xml:space="preserve">تاریخ عمومی ایران است، در آخر افتادگی دارد، شیوه کتابت و ذکر حدود ایران نشان می دهد که مؤلف معاصر است؛ خط: نستعلیق، بی کا، تا: محتملا اواخر قرن ۱۳؛ کاغذ: فرنگی، جلد: تیماج قرمز، ۱۱۴، ۱۴ سطر [ف: ۱۱-۲۵۷]</w:t>
      </w:r>
    </w:p>
    <w:p>
      <w:pPr>
        <w:pStyle w:val="BookText"/>
      </w:pPr>
      <w:r>
        <w:rPr>
          <w:rFonts w:ascii="IRNazanin" w:hAnsi="IRNazanin" w:eastAsia="IRNazanin" w:cs="IRNazanin"/>
          <w:lang w:bidi="fa-IR"/>
          <w:color w:val="111111"/>
          <w:sz w:val="28"/>
          <w:szCs w:val="28"/>
          <w:rtl/>
        </w:rPr>
        <w:t xml:space="preserve">۱۱. تهران؛ ادبیات؛ شماره نسخه:۶۹ - ب</w:t>
      </w:r>
    </w:p>
    <w:p>
      <w:pPr>
        <w:pStyle w:val="BookText"/>
      </w:pPr>
      <w:r>
        <w:rPr>
          <w:rFonts w:ascii="IRNazanin" w:hAnsi="IRNazanin" w:eastAsia="IRNazanin" w:cs="IRNazanin"/>
          <w:lang w:bidi="fa-IR"/>
          <w:color w:val="111111"/>
          <w:sz w:val="28"/>
          <w:szCs w:val="28"/>
          <w:rtl/>
        </w:rPr>
        <w:t xml:space="preserve">آغاز: ذکر باقی حالات و واقعات تنگوزئيل سنه سته و تسعين و تسعماة سال اول جلوس سعادت مأنوس حضرت اعلی شاهی و بیان فتنه ای که در گاه معلی میانه امرا وقوع یافته جمعی از اعاظم امرا بقتل رسیده اند چون خطه اعلى شاهي ظل الهی د راوان طفولیت در دارالسلطنه هرات نزد علیقلی خان الله و طایفه شاملو نشوو نما یافته؛ انجام: در نسخه ما افتاده و با عنوان «ستة و ثمانین و ثمانمأة» را دارد</w:t>
      </w:r>
    </w:p>
    <w:p>
      <w:pPr>
        <w:pStyle w:val="BookText"/>
      </w:pPr>
      <w:r>
        <w:rPr>
          <w:rFonts w:ascii="IRNazanin" w:hAnsi="IRNazanin" w:eastAsia="IRNazanin" w:cs="IRNazanin"/>
          <w:lang w:bidi="fa-IR"/>
          <w:color w:val="111111"/>
          <w:sz w:val="28"/>
          <w:szCs w:val="28"/>
          <w:rtl/>
        </w:rPr>
        <w:t xml:space="preserve">در این نسخه عنوان دوم تاریخ شاه عباس و وقایع سیچقان سال ۹۹۷» است سپس درباره «توجه موکب همایونی بصوب خراسان»، عنوان چهارم در «ذکر گرفتاری علی خان لیلی» و «فتح قلعه اولاد مازندران» سپس «سوانح ایام ۱۰۰۷» پس از این قضایای ماوراء النهر واحوال عبدالله خان و سلاطین اوزبک» است سپس از مرگ عبدالله خان و فرمانروایی و به تخت نشستن عبدالرحمان خان و مرگ او و بتخت نشستن پیر محمد خاندر بخارا و عبد الامين خان در بلخ یاد می شود پس ازین تاریخ خراسان است و از تخت نشستن دین محمد خان در هرات یاد می گردد و آغاز داستان گشودن خراسان و جنگ با دین محمد خان اوزبک است. در نیمه دوم نسخه داستان نخستین گشودن قسطنطنیه است و حوادث تاریخی از سال ۸۷۵ آغاز می گردد خاتمه آن در اخبار و آثار جهانبانی خسرو سلاطین روزگار» است و آخرین تاریخ سال ۸۸۶ می باشد و رویهم ۲۲ داستان دارد. عنوان «خاتمه کتیبه» در پایان هست؛ خط: نستعلیق، بی کا، تا: قرن ۱۳؛ افتادگی: آغاز و انجام؛ کاغذ: فرنگی، جلد: تیماج آبی، ۱۸۸ گ، ۱۵ سطر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۲۰/۵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۳۰/۵سم [ف: ۱-۵۸]</w:t>
      </w:r>
    </w:p>
    <w:p>
      <w:pPr>
        <w:pStyle w:val="BookText"/>
      </w:pPr>
      <w:r>
        <w:rPr>
          <w:rFonts w:ascii="IRNazanin" w:hAnsi="IRNazanin" w:eastAsia="IRNazanin" w:cs="IRNazanin"/>
          <w:lang w:bidi="fa-IR"/>
          <w:color w:val="111111"/>
          <w:sz w:val="28"/>
          <w:szCs w:val="28"/>
          <w:rtl/>
        </w:rPr>
        <w:t xml:space="preserve">۱۲. تهران، فرمانفرمائیان، حافظ (دکتر)، شماره نسخه:بدون شماره</w:t>
      </w:r>
    </w:p>
    <w:p>
      <w:pPr>
        <w:pStyle w:val="BookText"/>
      </w:pPr>
      <w:r>
        <w:rPr>
          <w:rFonts w:ascii="IRNazanin" w:hAnsi="IRNazanin" w:eastAsia="IRNazanin" w:cs="IRNazanin"/>
          <w:lang w:bidi="fa-IR"/>
          <w:color w:val="111111"/>
          <w:sz w:val="28"/>
          <w:szCs w:val="28"/>
          <w:rtl/>
        </w:rPr>
        <w:t xml:space="preserve">جنرال سایکس، ترجمه فارسی، در بیست «فصل»؛ خط: شکسته نستعلیق، بی کا، تا: قرن ۱۳؛ جلد: تیماج تریاکی، مقوایی، رحلی [نشریه: ۷-۵۴۴]</w:t>
      </w:r>
    </w:p>
    <w:p>
      <w:pPr>
        <w:pStyle w:val="BookText"/>
      </w:pPr>
      <w:r>
        <w:rPr>
          <w:rFonts w:ascii="IRNazanin" w:hAnsi="IRNazanin" w:eastAsia="IRNazanin" w:cs="IRNazanin"/>
          <w:lang w:bidi="fa-IR"/>
          <w:color w:val="111111"/>
          <w:sz w:val="28"/>
          <w:szCs w:val="28"/>
          <w:rtl/>
        </w:rPr>
        <w:t xml:space="preserve">۱۳. شیراز؛ شاهچراغ؛ شماره نسخه: ۵۶۱/۲</w:t>
      </w:r>
    </w:p>
    <w:p>
      <w:pPr>
        <w:pStyle w:val="BookText"/>
      </w:pPr>
      <w:r>
        <w:rPr>
          <w:rFonts w:ascii="IRNazanin" w:hAnsi="IRNazanin" w:eastAsia="IRNazanin" w:cs="IRNazanin"/>
          <w:lang w:bidi="fa-IR"/>
          <w:color w:val="111111"/>
          <w:sz w:val="28"/>
          <w:szCs w:val="28"/>
          <w:rtl/>
        </w:rPr>
        <w:t xml:space="preserve">آغاز: لآلی ثنا می زند مخزن دارا و فزون از مخزن دریا گزارشی از لشکر کشی فتحعلی شاه در سال ۱۲۲۵ در حدود آذربایجان؛ خط: نستعلیق شکسته، كا: میرزا قاسم بن کربلائی محمد باقر شیرازی، تا: ۲۹ شوال ۱۲۷۲ق؛ مجدول؛ ۶گ (۸پ - ۱۳ر)، اندازه: ۲۰/۵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۲۹/۵ سم [ف: ۳-۱۰۷]</w:t>
      </w:r>
    </w:p>
    <w:p>
      <w:pPr>
        <w:pStyle w:val="BookText"/>
      </w:pPr>
      <w:r>
        <w:rPr>
          <w:rFonts w:ascii="IRNazanin" w:hAnsi="IRNazanin" w:eastAsia="IRNazanin" w:cs="IRNazanin"/>
          <w:lang w:bidi="fa-IR"/>
          <w:color w:val="111111"/>
          <w:sz w:val="28"/>
          <w:szCs w:val="28"/>
          <w:rtl/>
        </w:rPr>
        <w:t xml:space="preserve">۱۴. اصفهان، ادبیات، شماره نسخه:3</w:t>
      </w:r>
    </w:p>
    <w:p>
      <w:pPr>
        <w:pStyle w:val="BookText"/>
      </w:pPr>
      <w:r>
        <w:rPr>
          <w:rFonts w:ascii="IRNazanin" w:hAnsi="IRNazanin" w:eastAsia="IRNazanin" w:cs="IRNazanin"/>
          <w:lang w:bidi="fa-IR"/>
          <w:color w:val="111111"/>
          <w:sz w:val="28"/>
          <w:szCs w:val="28"/>
          <w:rtl/>
        </w:rPr>
        <w:t xml:space="preserve">آغاز: پیرایه رخسار نیکو عذار معانی و الفاظ دلفریب و حليه گرانبهای سراپای عروسان زیبا روی و حوراو شان مشكين موی؛ انجام: جهانرا بانصاف آباد کن.</w:t>
      </w:r>
    </w:p>
    <w:p>
      <w:pPr>
        <w:pStyle w:val="BookText"/>
      </w:pPr>
      <w:r>
        <w:rPr>
          <w:rFonts w:ascii="IRNazanin" w:hAnsi="IRNazanin" w:eastAsia="IRNazanin" w:cs="IRNazanin"/>
          <w:lang w:bidi="fa-IR"/>
          <w:color w:val="111111"/>
          <w:sz w:val="28"/>
          <w:szCs w:val="28"/>
          <w:rtl/>
        </w:rPr>
        <w:t xml:space="preserve">ساخته زمان ناصرالدین شاه «از روی تاریخ پادشاهان عجم» از پیشدادیان تا یزدگرد؛ خط: شکسته نستعلیق، كا: فضل الله بن عبد الله، تا: شنبه ۱۵ رمضان ۱۲۷۶ق، در زمان ناصرالدین شاه؛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مجدول؛ قطع: ربعی [نشریه: ۴-۴۷۵]</w:t>
      </w:r>
    </w:p>
    <w:p>
      <w:pPr>
        <w:pStyle w:val="BookText"/>
      </w:pPr>
      <w:r>
        <w:rPr>
          <w:rFonts w:ascii="IRNazanin" w:hAnsi="IRNazanin" w:eastAsia="IRNazanin" w:cs="IRNazanin"/>
          <w:lang w:bidi="fa-IR"/>
          <w:color w:val="111111"/>
          <w:sz w:val="28"/>
          <w:szCs w:val="28"/>
          <w:rtl/>
        </w:rPr>
        <w:t xml:space="preserve">تهران؛ دانشگاه؛ شماره نسخه:۲۵۴۳-ف</w:t>
      </w:r>
    </w:p>
    <w:p>
      <w:pPr>
        <w:pStyle w:val="BookText"/>
      </w:pPr>
      <w:r>
        <w:rPr>
          <w:rFonts w:ascii="Amiri" w:hAnsi="Amiri" w:eastAsia="Amiri" w:cs="Amiri"/>
          <w:lang w:bidi="ar-SA"/>
          <w:color w:val="111111"/>
          <w:sz w:val="28"/>
          <w:szCs w:val="28"/>
          <w:rtl/>
        </w:rPr>
        <w:t xml:space="preserve">همان نسخه بالا [فيلمها ف: ۱-۳۰]</w:t>
      </w:r>
    </w:p>
    <w:p>
      <w:pPr>
        <w:pStyle w:val="BookText"/>
      </w:pPr>
      <w:r>
        <w:rPr>
          <w:rFonts w:ascii="IRNazanin" w:hAnsi="IRNazanin" w:eastAsia="IRNazanin" w:cs="IRNazanin"/>
          <w:lang w:bidi="fa-IR"/>
          <w:color w:val="111111"/>
          <w:sz w:val="28"/>
          <w:szCs w:val="28"/>
          <w:rtl/>
        </w:rPr>
        <w:t xml:space="preserve">۱۵. قم؛ مسجد اعظم؛ شماره نسخه:۱۸۱۴</w:t>
      </w:r>
    </w:p>
    <w:p>
      <w:pPr>
        <w:pStyle w:val="BookText"/>
      </w:pPr>
      <w:r>
        <w:rPr>
          <w:rFonts w:ascii="IRNazanin" w:hAnsi="IRNazanin" w:eastAsia="IRNazanin" w:cs="IRNazanin"/>
          <w:lang w:bidi="fa-IR"/>
          <w:color w:val="111111"/>
          <w:sz w:val="28"/>
          <w:szCs w:val="28"/>
          <w:rtl/>
        </w:rPr>
        <w:t xml:space="preserve">آغاز: پس از استیلای عرب و انقراض سلسله ساسانی مملکت ایران طرف تعرض اقوام وحشی و بدوی متعدد قرار گرفت و در نتیجه صدمات کلی یافت و بسیاری از بلاد؛ انجام: مجلس مؤسسان بعد از آنکه کار خود را به آخر رسانید و استدعایش مورد توجه شخص شاهنشاه واقع شد منحل و از این تاریخ بود که سلطنت رسمی اعليحضرت همایون شاهنشاه رضا پهلوی سردودمان پهلوی آغاز می شود.</w:t>
      </w:r>
    </w:p>
    <w:p>
      <w:pPr>
        <w:pStyle w:val="BookText"/>
      </w:pPr>
      <w:r>
        <w:rPr>
          <w:rFonts w:ascii="IRNazanin" w:hAnsi="IRNazanin" w:eastAsia="IRNazanin" w:cs="IRNazanin"/>
          <w:lang w:bidi="fa-IR"/>
          <w:color w:val="111111"/>
          <w:sz w:val="28"/>
          <w:szCs w:val="28"/>
          <w:rtl/>
        </w:rPr>
        <w:t xml:space="preserve">تاریخ ایران به اختصار از انقراض حکومت افاغنه تا مشروطه ( ۱۳۲۴-۱۱۴۲ ) را در یازده «فصل» نوشته است. ظاهرة دروس تحصیلات متوسطه است که در سال ۱۳۱۷ شمسی در دفتر کلاسور نوشته شده است؛ خط: تحریری، بی کا، تا: ۱۳۱۷ق؛ مجدول؛ جلد: مقوا، ۱۱۸گی، ۲۵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مخ :1-305]</w:t>
      </w:r>
    </w:p>
    <w:p>
      <w:pPr>
        <w:pStyle w:val="BookText"/>
      </w:pPr>
      <w:r>
        <w:rPr>
          <w:rFonts w:ascii="IRNazanin" w:hAnsi="IRNazanin" w:eastAsia="IRNazanin" w:cs="IRNazanin"/>
          <w:lang w:bidi="fa-IR"/>
          <w:color w:val="111111"/>
          <w:sz w:val="28"/>
          <w:szCs w:val="28"/>
          <w:rtl/>
        </w:rPr>
        <w:t xml:space="preserve">۱۶. مشهد؛ رضوی؛ شماره نسخه:۱۱۹۲۷</w:t>
      </w:r>
    </w:p>
    <w:p>
      <w:pPr>
        <w:pStyle w:val="BookText"/>
      </w:pPr>
      <w:r>
        <w:rPr>
          <w:rFonts w:ascii="IRNazanin" w:hAnsi="IRNazanin" w:eastAsia="IRNazanin" w:cs="IRNazanin"/>
          <w:lang w:bidi="fa-IR"/>
          <w:color w:val="111111"/>
          <w:sz w:val="28"/>
          <w:szCs w:val="28"/>
          <w:rtl/>
        </w:rPr>
        <w:t xml:space="preserve">آغاز: پس الرشید خلیفه عباسی؛ انجام: به بهشت و به ثواب و به فراوان کردار</w:t>
      </w:r>
    </w:p>
    <w:p>
      <w:pPr>
        <w:pStyle w:val="BookText"/>
      </w:pPr>
      <w:r>
        <w:rPr>
          <w:rFonts w:ascii="IRNazanin" w:hAnsi="IRNazanin" w:eastAsia="IRNazanin" w:cs="IRNazanin"/>
          <w:lang w:bidi="fa-IR"/>
          <w:color w:val="111111"/>
          <w:sz w:val="28"/>
          <w:szCs w:val="28"/>
          <w:rtl/>
        </w:rPr>
        <w:t xml:space="preserve">جزوات درسی؛ خط: شکسته نستعلیق، کا: مریم میرهادی، تا ۱۳۲۳ق؛ کاغذ: فرنگی، جلد: میشن ضربی، ۲۱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سم [ الفبائی:-۹۸]</w:t>
      </w:r>
    </w:p>
    <w:p>
      <w:pPr>
        <w:pStyle w:val="BookText"/>
      </w:pPr>
      <w:r>
        <w:rPr>
          <w:rFonts w:ascii="IRNazanin" w:hAnsi="IRNazanin" w:eastAsia="IRNazanin" w:cs="IRNazanin"/>
          <w:lang w:bidi="fa-IR"/>
          <w:color w:val="111111"/>
          <w:sz w:val="28"/>
          <w:szCs w:val="28"/>
          <w:rtl/>
        </w:rPr>
        <w:t xml:space="preserve">۱۷. تهران؛ ملی؛ شماره نسخه: ۲۵۶۸۱</w:t>
      </w:r>
    </w:p>
    <w:p>
      <w:pPr>
        <w:pStyle w:val="BookText"/>
      </w:pPr>
      <w:r>
        <w:rPr>
          <w:rFonts w:ascii="IRNazanin" w:hAnsi="IRNazanin" w:eastAsia="IRNazanin" w:cs="IRNazanin"/>
          <w:lang w:bidi="fa-IR"/>
          <w:color w:val="111111"/>
          <w:sz w:val="28"/>
          <w:szCs w:val="28"/>
          <w:rtl/>
        </w:rPr>
        <w:t xml:space="preserve">بی کا، تا: ۱۳۲۴ق، خریداری از رضا غیبی [رایانه]</w:t>
      </w:r>
    </w:p>
    <w:p>
      <w:pPr>
        <w:pStyle w:val="BookText"/>
      </w:pPr>
      <w:r>
        <w:rPr>
          <w:rFonts w:ascii="IRNazanin" w:hAnsi="IRNazanin" w:eastAsia="IRNazanin" w:cs="IRNazanin"/>
          <w:lang w:bidi="fa-IR"/>
          <w:color w:val="111111"/>
          <w:sz w:val="28"/>
          <w:szCs w:val="28"/>
          <w:rtl/>
        </w:rPr>
        <w:t xml:space="preserve">۱۸. قم؛ مسجد اعظم، شماره نسخه: ۷۴۷/۱۱</w:t>
      </w:r>
    </w:p>
    <w:p>
      <w:pPr>
        <w:pStyle w:val="BookText"/>
      </w:pPr>
      <w:r>
        <w:rPr>
          <w:rFonts w:ascii="IRNazanin" w:hAnsi="IRNazanin" w:eastAsia="IRNazanin" w:cs="IRNazanin"/>
          <w:lang w:bidi="fa-IR"/>
          <w:color w:val="111111"/>
          <w:sz w:val="28"/>
          <w:szCs w:val="28"/>
          <w:rtl/>
        </w:rPr>
        <w:t xml:space="preserve">آغاز: نادر با آن وقایعی که البته ... جاده را صاف کرد و کاملا آسوده خیال گردید به خیال سلطنت افتاد چون امراء و قشون؛ انجام: دست یافتن روس و تفلیس به تبریز - عباس میرزا در خوی بود ... بعضی از اکابر اساسا از صحت عمل و ممانعت عباس میراز ناراضی بودند ... مختصری است در تاریخ دوره نادری و پس از او تا جنگ های ایران و روس؛ خط: نستعلیق، بی کا، بی تا، مجدول لاجوردی؛ جلد: مقوا عطف تیماج زرشکی، ۳۶ گ،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مخ: ۱-۳۰۵]</w:t>
      </w:r>
    </w:p>
    <w:p>
      <w:pPr>
        <w:pStyle w:val="BookText"/>
      </w:pPr>
      <w:r>
        <w:rPr>
          <w:rFonts w:ascii="IRNazanin" w:hAnsi="IRNazanin" w:eastAsia="IRNazanin" w:cs="IRNazanin"/>
          <w:lang w:bidi="fa-IR"/>
          <w:color w:val="111111"/>
          <w:sz w:val="28"/>
          <w:szCs w:val="28"/>
          <w:rtl/>
        </w:rPr>
        <w:t xml:space="preserve">۱۹. قم؛ مسجد اعظم؛ شماره نسخه: ۱۱۶۸/۱</w:t>
      </w:r>
    </w:p>
    <w:p>
      <w:pPr>
        <w:pStyle w:val="BookText"/>
      </w:pPr>
      <w:r>
        <w:rPr>
          <w:rFonts w:ascii="IRNazanin" w:hAnsi="IRNazanin" w:eastAsia="IRNazanin" w:cs="IRNazanin"/>
          <w:lang w:bidi="fa-IR"/>
          <w:color w:val="111111"/>
          <w:sz w:val="28"/>
          <w:szCs w:val="28"/>
          <w:rtl/>
        </w:rPr>
        <w:t xml:space="preserve">آغاز: ابتدا با عثمان پاشا ایرانیها جنگ کردند وعمال پاشا فرار کرده اند؛ انجام: مستعمرات انگلیس در آمریکا عبارت است از کانادا و در اقیانوسیه، تمام استرالیا و چند جزیره بزرگ دیگر خط: نستعلیق، بی کا، بی تا، جلد: گالینگور با عطف پارچه ای، ۱۷۳گ،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مخ: ۱-۳۰۴]</w:t>
      </w:r>
    </w:p>
    <w:p>
      <w:pPr>
        <w:pStyle w:val="BookText"/>
      </w:pPr>
      <w:r>
        <w:rPr>
          <w:rFonts w:ascii="IRNazanin" w:hAnsi="IRNazanin" w:eastAsia="IRNazanin" w:cs="IRNazanin"/>
          <w:lang w:bidi="fa-IR"/>
          <w:color w:val="111111"/>
          <w:sz w:val="28"/>
          <w:szCs w:val="28"/>
          <w:rtl/>
        </w:rPr>
        <w:t xml:space="preserve">۲۰. قم؛ مسجد اعظم؛ شماره نسخه: ۴۰۳۳/۲</w:t>
      </w:r>
    </w:p>
    <w:p>
      <w:pPr>
        <w:pStyle w:val="BookText"/>
      </w:pPr>
      <w:r>
        <w:rPr>
          <w:rFonts w:ascii="IRNazanin" w:hAnsi="IRNazanin" w:eastAsia="IRNazanin" w:cs="IRNazanin"/>
          <w:lang w:bidi="fa-IR"/>
          <w:color w:val="111111"/>
          <w:sz w:val="28"/>
          <w:szCs w:val="28"/>
          <w:rtl/>
        </w:rPr>
        <w:t xml:space="preserve">آغاز: از قصد او ایمنی نداشت راه کرنر پیش گرفت و ترکستان رفت و بلاش بغایت عدل گستر و رعیت پرور بود و در انواع هنر بصیرتی کامل و در فنون آداب ذهنی صافی داشت؛ انجام: و بهرام در قفای ایشان می باخته و بنه و اثقال و امتعه و احمال به تاراج می داد تا به کلی چون هبا از مهب صبا متفرق و اداره شدند و از حدود خوارزم مراجعت کرد با نجح مرام و پیروزی نادر با کان</w:t>
      </w:r>
    </w:p>
    <w:p>
      <w:pPr>
        <w:pStyle w:val="BookText"/>
      </w:pPr>
      <w:r>
        <w:rPr>
          <w:rFonts w:ascii="IRNazanin" w:hAnsi="IRNazanin" w:eastAsia="IRNazanin" w:cs="IRNazanin"/>
          <w:lang w:bidi="fa-IR"/>
          <w:color w:val="111111"/>
          <w:sz w:val="28"/>
          <w:szCs w:val="28"/>
          <w:rtl/>
        </w:rPr>
        <w:t xml:space="preserve">تاریخ پیشدادیان و کیان ایران زمین است. از مثنوی هایی شبیه «شاهنامه» یاری گرفته است و عبارات عربی نسبتا فراوان و در برخی مواضع، آیات مبارکه قرآن مجید به چشم می خورد. از این ابی مقفع، ابوعلی مسکویه و کتابش «آداب العرب و الفرس» یاد کرده است؛ خط: نستعلیق، بی کا، بی تا، افتادگی: آغاز و انجام؛ جلد: گالینگور سبز عطف تیماج زرشکی، ۹۷گ (۲۵ر -۱۲۱پ)،۱۶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۳۴سم [ف مخ: ۱-۳۰۴]</w:t>
      </w:r>
    </w:p>
    <w:p>
      <w:pPr>
        <w:pStyle w:val="BookText"/>
      </w:pPr>
      <w:r>
        <w:rPr>
          <w:rFonts w:ascii="IRNazanin" w:hAnsi="IRNazanin" w:eastAsia="IRNazanin" w:cs="IRNazanin"/>
          <w:lang w:bidi="fa-IR"/>
          <w:color w:val="111111"/>
          <w:sz w:val="28"/>
          <w:szCs w:val="28"/>
          <w:rtl/>
        </w:rPr>
        <w:t xml:space="preserve">۲۱. تهران، دانشگاه؛ شماره نسخه:۱۵۴۸ف</w:t>
      </w:r>
    </w:p>
    <w:p>
      <w:pPr>
        <w:pStyle w:val="BookText"/>
      </w:pPr>
      <w:r>
        <w:rPr>
          <w:rFonts w:ascii="IRNazanin" w:hAnsi="IRNazanin" w:eastAsia="IRNazanin" w:cs="IRNazanin"/>
          <w:lang w:bidi="fa-IR"/>
          <w:color w:val="111111"/>
          <w:sz w:val="28"/>
          <w:szCs w:val="28"/>
          <w:rtl/>
        </w:rPr>
        <w:t xml:space="preserve">نسخه اصل: کتابخانه دکتر اصغر مهدوی ش ۳۵۲. تاریخ ایران = مجمل؛ خط: نسخ، بی کا، بی تا، ۲۲۸، ۱۹ سطر [فیلمها ف: ۱-۳۰]</w:t>
      </w:r>
    </w:p>
    <w:p>
      <w:pPr>
        <w:pStyle w:val="BookText"/>
      </w:pPr>
      <w:r>
        <w:rPr>
          <w:rFonts w:ascii="IRNazanin" w:hAnsi="IRNazanin" w:eastAsia="IRNazanin" w:cs="IRNazanin"/>
          <w:lang w:bidi="fa-IR"/>
          <w:color w:val="111111"/>
          <w:sz w:val="28"/>
          <w:szCs w:val="28"/>
          <w:rtl/>
        </w:rPr>
        <w:t xml:space="preserve">۲۲. تهران؛ دانشگاه؛ شماره نسخه: ۱۶۹۵ و ۱۷۱۸ف</w:t>
      </w:r>
    </w:p>
    <w:p>
      <w:pPr>
        <w:pStyle w:val="BookText"/>
      </w:pPr>
      <w:r>
        <w:rPr>
          <w:rFonts w:ascii="IRNazanin" w:hAnsi="IRNazanin" w:eastAsia="IRNazanin" w:cs="IRNazanin"/>
          <w:lang w:bidi="fa-IR"/>
          <w:color w:val="111111"/>
          <w:sz w:val="28"/>
          <w:szCs w:val="28"/>
          <w:rtl/>
        </w:rPr>
        <w:t xml:space="preserve">نسخه اصل: کتابخانه دولت علیه ایران ش ۱۱۷۰ (کتابخانه ملی ۲۴۶) به نام ترجمه تاریخ مملكتی ایران. مارکهام (مارخام)</w:t>
      </w:r>
    </w:p>
    <w:p>
      <w:pPr>
        <w:pStyle w:val="BookText"/>
      </w:pPr>
      <w:r>
        <w:rPr>
          <w:rFonts w:ascii="Times New Roman" w:hAnsi="Times New Roman" w:eastAsia="Times New Roman" w:cs="Times New Roman"/>
          <w:lang w:val="en-US" w:bidi="en-US"/>
          <w:color w:val="111111"/>
          <w:sz w:val="28"/>
          <w:szCs w:val="28"/>
          <w:rtl/>
        </w:rPr>
        <w:t xml:space="preserve">CI. R. Markham: A. General Sketch of the history of Persia</w:t>
      </w:r>
    </w:p>
    <w:p>
      <w:pPr>
        <w:pStyle w:val="BookText"/>
      </w:pPr>
      <w:r>
        <w:rPr>
          <w:rFonts w:ascii="IRNazanin" w:hAnsi="IRNazanin" w:eastAsia="IRNazanin" w:cs="IRNazanin"/>
          <w:lang w:bidi="fa-IR"/>
          <w:color w:val="111111"/>
          <w:sz w:val="28"/>
          <w:szCs w:val="28"/>
          <w:rtl/>
        </w:rPr>
        <w:t xml:space="preserve">تاریخ دولت شاهنشاهی ایران است از پیشدادیان تا سال ۲۵ سلطنت شاهنشاهی که به دستور او به فارسی ترجمه شده است؛ بی کا، بی تا [ فیلمها ف: ۱-۳۰]</w:t>
      </w:r>
    </w:p>
    <w:p>
      <w:pPr>
        <w:pStyle w:val="BookText"/>
      </w:pPr>
      <w:r>
        <w:rPr>
          <w:rFonts w:ascii="IRNazanin" w:hAnsi="IRNazanin" w:eastAsia="IRNazanin" w:cs="IRNazanin"/>
          <w:lang w:bidi="fa-IR"/>
          <w:color w:val="111111"/>
          <w:sz w:val="28"/>
          <w:szCs w:val="28"/>
          <w:rtl/>
        </w:rPr>
        <w:t xml:space="preserve">۲۳. تهران، دانشگاه؛ شماره نسخه: ۵۴۳۹</w:t>
      </w:r>
    </w:p>
    <w:p>
      <w:pPr>
        <w:pStyle w:val="BookText"/>
      </w:pPr>
      <w:r>
        <w:rPr>
          <w:rFonts w:ascii="IRNazanin" w:hAnsi="IRNazanin" w:eastAsia="IRNazanin" w:cs="IRNazanin"/>
          <w:lang w:bidi="fa-IR"/>
          <w:color w:val="111111"/>
          <w:sz w:val="28"/>
          <w:szCs w:val="28"/>
          <w:rtl/>
        </w:rPr>
        <w:t xml:space="preserve">صفاریان و سامانیان و غزنویان و زندیان؛ خط: نستعلیق خوش بی کا، بی تا، کاغذ: فرنگی کبود، جلد: گالینگور قهوه ای، ۸۷گ، ۱۱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۱۶-۹]</w:t>
      </w:r>
    </w:p>
    <w:p>
      <w:pPr>
        <w:pStyle w:val="BookText"/>
      </w:pPr>
      <w:r>
        <w:rPr>
          <w:rFonts w:ascii="IRNazanin" w:hAnsi="IRNazanin" w:eastAsia="IRNazanin" w:cs="IRNazanin"/>
          <w:lang w:bidi="fa-IR"/>
          <w:color w:val="111111"/>
          <w:sz w:val="28"/>
          <w:szCs w:val="28"/>
          <w:rtl/>
        </w:rPr>
        <w:t xml:space="preserve">۲۴. تهران: لغت نامه دهخدا، شماره نسخه:۷/۳</w:t>
      </w:r>
    </w:p>
    <w:p>
      <w:pPr>
        <w:pStyle w:val="BookText"/>
      </w:pPr>
      <w:r>
        <w:rPr>
          <w:rFonts w:ascii="IRNazanin" w:hAnsi="IRNazanin" w:eastAsia="IRNazanin" w:cs="IRNazanin"/>
          <w:lang w:bidi="fa-IR"/>
          <w:color w:val="111111"/>
          <w:sz w:val="28"/>
          <w:szCs w:val="28"/>
          <w:rtl/>
        </w:rPr>
        <w:t xml:space="preserve">بی کا، بی تا [ نشریه: ۳-۷]</w:t>
      </w:r>
    </w:p>
    <w:p>
      <w:pPr>
        <w:pStyle w:val="BookText"/>
      </w:pPr>
      <w:r>
        <w:rPr>
          <w:rFonts w:ascii="IRNazanin" w:hAnsi="IRNazanin" w:eastAsia="IRNazanin" w:cs="IRNazanin"/>
          <w:lang w:bidi="fa-IR"/>
          <w:color w:val="111111"/>
          <w:sz w:val="28"/>
          <w:szCs w:val="28"/>
          <w:rtl/>
        </w:rPr>
        <w:t xml:space="preserve">۲۵. فردوس؛ قائم؛ شماره نسخه: ۲</w:t>
      </w:r>
    </w:p>
    <w:p>
      <w:pPr>
        <w:pStyle w:val="BookText"/>
      </w:pPr>
      <w:r>
        <w:rPr>
          <w:rFonts w:ascii="IRNazanin" w:hAnsi="IRNazanin" w:eastAsia="IRNazanin" w:cs="IRNazanin"/>
          <w:lang w:bidi="fa-IR"/>
          <w:color w:val="111111"/>
          <w:sz w:val="28"/>
          <w:szCs w:val="28"/>
          <w:rtl/>
        </w:rPr>
        <w:t xml:space="preserve">آغاز: سرخای را مسدود ساخت و چون سرخاي لكزی در جمعیت از حاجی داود پیش و بحسب قوت در پیش بود شیروان را به فرمان قیصری متصرف شد؛ انجام: و علیشاه را کور ساخت امیر اصلان خان از انجام کار علیشاه با جمعیت خود روانه تبریز و ابراهیم خان روانه همدان شد چون امیر اصلان</w:t>
      </w:r>
    </w:p>
    <w:p>
      <w:pPr>
        <w:pStyle w:val="BookText"/>
      </w:pPr>
      <w:r>
        <w:rPr>
          <w:rFonts w:ascii="IRNazanin" w:hAnsi="IRNazanin" w:eastAsia="IRNazanin" w:cs="IRNazanin"/>
          <w:lang w:bidi="fa-IR"/>
          <w:color w:val="111111"/>
          <w:sz w:val="28"/>
          <w:szCs w:val="28"/>
          <w:rtl/>
        </w:rPr>
        <w:t xml:space="preserve">کتابی است در تاریخ که از بیان وقایع برخی حمله ها به اصفهان در سال ۱۱۳۳ شروع و به بیان وقایع سال ۱۱۵۹ پایان می یابد. برخی عناوین آن چنین است: در بیان احوال محمود غلجه و آمدن او بر سر کرمان و اصفهان، در بیان آمدن روسیه به گیلان و وقایع آن زمان، در بیان چند نفری که در زمان فطرت ایران به ادعای شاهزادگی اظهار خودسری و آزادگی کردند، در بیان نسب و مولد حضرت ظل اللهی، در بیان آغاز محاربه ظل سبحانی با ملک محمود سیستانی، در بیان نصب رضا قلی خان از دربار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398" w:name="pg20363_209693"/>
    <w:bookmarkEnd w:id="398"/>
    <w:p>
      <w:pPr>
        <w:pStyle w:val="BookText"/>
      </w:pPr>
      <w:r>
        <w:rPr>
          <w:rFonts w:ascii="IRNazanin" w:hAnsi="IRNazanin" w:eastAsia="IRNazanin" w:cs="IRNazanin"/>
          <w:lang w:bidi="fa-IR"/>
          <w:color w:val="111111"/>
          <w:sz w:val="28"/>
          <w:szCs w:val="28"/>
          <w:rtl/>
        </w:rPr>
        <w:t xml:space="preserve">شاهی به امر سرداری، در بیان سرداری محمد خان تركمان، در بیان محاصره قلعه قوزغان و تنبیه تاتار مرد، در بیان ورود کو کبه والا به اصفهان و خلع سلطنت از شاه طهماسب، در بیان آمدن عثمان پاشای سر عسکر به جانب قرا تپه، انقلاب اوضاع در بند و شیروان و توجه موکب شاهزاده نصرالله میرزا به عزم تسکین فتنه آن دیار، خط: نستعلیق، بی کا، بی تا، افتادگی: آغاز و انجام؛ اهدایی: فاتحی؛ جلد: مقوای لایی با روکش آبی، ۱۴۰گ، ۱۹</w:t>
      </w:r>
    </w:p>
    <w:p>
      <w:pPr>
        <w:pStyle w:val="BookText"/>
      </w:pPr>
      <w:r>
        <w:rPr>
          <w:rFonts w:ascii="IRNazanin" w:hAnsi="IRNazanin" w:eastAsia="IRNazanin" w:cs="IRNazanin"/>
          <w:lang w:bidi="fa-IR"/>
          <w:color w:val="111111"/>
          <w:sz w:val="28"/>
          <w:szCs w:val="28"/>
          <w:rtl/>
        </w:rPr>
        <w:t xml:space="preserve">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۳۱/۵سم [ف مخ]</w:t>
      </w:r>
    </w:p>
    <w:p>
      <w:pPr>
        <w:pStyle w:val="BookText"/>
      </w:pPr>
      <w:r>
        <w:rPr>
          <w:rFonts w:ascii="IRNazanin" w:hAnsi="IRNazanin" w:eastAsia="IRNazanin" w:cs="IRNazanin"/>
          <w:lang w:bidi="fa-IR"/>
          <w:color w:val="111111"/>
          <w:sz w:val="28"/>
          <w:szCs w:val="28"/>
          <w:rtl/>
        </w:rPr>
        <w:t xml:space="preserve">۲۶. قم؛ مرکز احیاء؛ شماره نسخه:۳۶</w:t>
      </w:r>
    </w:p>
    <w:p>
      <w:pPr>
        <w:pStyle w:val="BookText"/>
      </w:pPr>
      <w:r>
        <w:rPr>
          <w:rFonts w:ascii="IRNazanin" w:hAnsi="IRNazanin" w:eastAsia="IRNazanin" w:cs="IRNazanin"/>
          <w:lang w:bidi="fa-IR"/>
          <w:color w:val="111111"/>
          <w:sz w:val="28"/>
          <w:szCs w:val="28"/>
          <w:rtl/>
        </w:rPr>
        <w:t xml:space="preserve">آغاز: ناله و زاری خطاب آمد زچرخ*** کای خداوندان جاه الاعتبار</w:t>
      </w:r>
    </w:p>
    <w:p>
      <w:pPr>
        <w:pStyle w:val="BookText"/>
      </w:pPr>
      <w:r>
        <w:rPr>
          <w:rFonts w:ascii="IRNazanin" w:hAnsi="IRNazanin" w:eastAsia="IRNazanin" w:cs="IRNazanin"/>
          <w:lang w:bidi="fa-IR"/>
          <w:color w:val="111111"/>
          <w:sz w:val="28"/>
          <w:szCs w:val="28"/>
          <w:rtl/>
        </w:rPr>
        <w:t xml:space="preserve">تاریخی است مختصر در ذکر پادشاهان و دانشمندان و عرفا و شاعران ایران از اوایل قرن هشتم تا اواسط قرن یازدهم. مؤلف بیشتر به تاریخ ولادت و وفات آنان نظر داشته و اشعار و ماده تاریخ های فراوانی در اثناء از خود یا شاعران ذکر می کند. نسخه حاضر از پادشاهی سلطان ابوسعید و در گذشت او به سال ۷۳۶ و جانشینی ملوک طوایف (فرزندان هلاکو خان و تولی خان) شروع شده و به وفات حضرت عالم شیخ عزیزان از عرفای سده یازدهم) پایان می یابد؛ خط: نستعلیق زیبا، بی کا، بی تا، افتادگی: آغاز؛ مجدول؛ ۵۰۰ص [عکسی ف: ۱-۵۰]</w:t>
      </w:r>
    </w:p>
    <w:p>
      <w:pPr>
        <w:pStyle w:val="BookText"/>
      </w:pPr>
      <w:r>
        <w:rPr>
          <w:rFonts w:ascii="IRNazanin" w:hAnsi="IRNazanin" w:eastAsia="IRNazanin" w:cs="IRNazanin"/>
          <w:lang w:bidi="fa-IR"/>
          <w:color w:val="111111"/>
          <w:sz w:val="28"/>
          <w:szCs w:val="28"/>
          <w:rtl/>
        </w:rPr>
        <w:t xml:space="preserve">← تاریخ ایران از زمان بسیار قدیم تا انقراض دولت ساسانی ← ایران باستان</w:t>
      </w:r>
    </w:p>
    <w:p>
      <w:pPr>
        <w:pStyle w:val="Heading3"/>
      </w:pPr>
      <w:bookmarkStart w:id="2079" w:name="_Toc1339"/>
      <w:r>
        <w:t>•تاریخ ایران باستان / تاریخ ایران / فارسی</w:t>
      </w:r>
      <w:bookmarkEnd w:id="2079"/>
    </w:p>
    <w:p>
      <w:pPr>
        <w:pStyle w:val="BookText"/>
      </w:pPr>
      <w:r>
        <w:rPr>
          <w:rFonts w:ascii="Times New Roman" w:hAnsi="Times New Roman" w:eastAsia="Times New Roman" w:cs="Times New Roman"/>
          <w:lang w:val="en-US" w:bidi="en-US"/>
          <w:color w:val="111111"/>
          <w:sz w:val="28"/>
          <w:szCs w:val="28"/>
          <w:rtl/>
        </w:rPr>
        <w:t xml:space="preserve">tārīx-e īrān-e bāstān</w:t>
      </w:r>
    </w:p>
    <w:p>
      <w:pPr>
        <w:pStyle w:val="BookText"/>
      </w:pPr>
      <w:r>
        <w:rPr>
          <w:rFonts w:ascii="IRNazanin" w:hAnsi="IRNazanin" w:eastAsia="IRNazanin" w:cs="IRNazanin"/>
          <w:lang w:bidi="fa-IR"/>
          <w:color w:val="111111"/>
          <w:sz w:val="28"/>
          <w:szCs w:val="28"/>
          <w:rtl/>
        </w:rPr>
        <w:t xml:space="preserve">تاریخ پادشاهان ایران قبل از اسلام است از پادشاهی هوشنگ تا نیمه پادشاهی یزدجرد بن بهرام، مؤلف در اثنا مثال های عربی به نثر و نظم و همچنین اشعاری به فارسی می آورد. آغاز به دانش کیومرث را ثانی است*** حقیقت سزاوار سلطانی است. ذکر پادشاهی هوشنگ و کیفیت سلطنت او</w:t>
      </w:r>
    </w:p>
    <w:p>
      <w:pPr>
        <w:pStyle w:val="BookText"/>
      </w:pPr>
      <w:r>
        <w:rPr>
          <w:rFonts w:ascii="IRNazanin" w:hAnsi="IRNazanin" w:eastAsia="IRNazanin" w:cs="IRNazanin"/>
          <w:lang w:bidi="fa-IR"/>
          <w:color w:val="111111"/>
          <w:sz w:val="28"/>
          <w:szCs w:val="28"/>
          <w:rtl/>
        </w:rPr>
        <w:t xml:space="preserve">قم، گلپایگانی؛ شماره نسخه: ۹۱۳۲- ۶۰/۷۲</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بی تا، افتادگی: آغاز و وسط و انجام؛ ۱۱۱گ، ۱۵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۲-۶۸۵]</w:t>
      </w:r>
    </w:p>
    <w:p>
      <w:pPr>
        <w:pStyle w:val="Heading3"/>
      </w:pPr>
      <w:bookmarkStart w:id="2080" w:name="_Toc1340"/>
      <w:r>
        <w:t>•تاریخ ایران باستان و اسکندر / تاریخ ایران / فارسی</w:t>
      </w:r>
      <w:bookmarkEnd w:id="2080"/>
    </w:p>
    <w:p>
      <w:pPr>
        <w:pStyle w:val="BookText"/>
      </w:pPr>
      <w:r>
        <w:rPr>
          <w:rFonts w:ascii="Times New Roman" w:hAnsi="Times New Roman" w:eastAsia="Times New Roman" w:cs="Times New Roman"/>
          <w:lang w:val="en-US" w:bidi="en-US"/>
          <w:color w:val="111111"/>
          <w:sz w:val="28"/>
          <w:szCs w:val="28"/>
          <w:rtl/>
        </w:rPr>
        <w:t xml:space="preserve">tārīx-e īrān-e bāstān va eskandar</w:t>
      </w:r>
    </w:p>
    <w:p>
      <w:pPr>
        <w:pStyle w:val="BookText"/>
      </w:pPr>
      <w:r>
        <w:rPr>
          <w:rFonts w:ascii="IRNazanin" w:hAnsi="IRNazanin" w:eastAsia="IRNazanin" w:cs="IRNazanin"/>
          <w:lang w:bidi="fa-IR"/>
          <w:color w:val="111111"/>
          <w:sz w:val="28"/>
          <w:szCs w:val="28"/>
          <w:rtl/>
        </w:rPr>
        <w:t xml:space="preserve">در تاریخ باستان است از ذکر ملوک و جنگ های ایشان همراه با ذکر فتوحات اسکندر و جانشینان وی. از مروج الذهب و تاریخ ملكم انگلیسی نام برده است.</w:t>
      </w:r>
    </w:p>
    <w:p>
      <w:pPr>
        <w:pStyle w:val="BookText"/>
      </w:pPr>
      <w:r>
        <w:rPr>
          <w:rFonts w:ascii="IRNazanin" w:hAnsi="IRNazanin" w:eastAsia="IRNazanin" w:cs="IRNazanin"/>
          <w:lang w:bidi="fa-IR"/>
          <w:color w:val="111111"/>
          <w:sz w:val="28"/>
          <w:szCs w:val="28"/>
          <w:rtl/>
        </w:rPr>
        <w:t xml:space="preserve">قم، مسجد اعظم؛ شماره نسخه:۴۰۵۷/۳</w:t>
      </w:r>
    </w:p>
    <w:p>
      <w:pPr>
        <w:pStyle w:val="BookText"/>
      </w:pPr>
      <w:r>
        <w:rPr>
          <w:rFonts w:ascii="IRNazanin" w:hAnsi="IRNazanin" w:eastAsia="IRNazanin" w:cs="IRNazanin"/>
          <w:lang w:bidi="fa-IR"/>
          <w:color w:val="111111"/>
          <w:sz w:val="28"/>
          <w:szCs w:val="28"/>
          <w:rtl/>
        </w:rPr>
        <w:t xml:space="preserve">آغاز: پس از داراب پسر بزرگش اردشیر ثانی که یونانیان او را از راس گویند و منسو مون لقب داده اند به تخت نشست چون بسی با هوش و درایت و خیلی فطن بود؛ انجام: و بنا بر قول فردوسی غباد پسر پیروز داخل آسرا بود که سوخزا با لشکری گران از زابل آمده او را رها کرد و سلطنت پیروز بیست سال طول کشید.</w:t>
      </w:r>
    </w:p>
    <w:p>
      <w:pPr>
        <w:pStyle w:val="BookText"/>
      </w:pPr>
      <w:r>
        <w:rPr>
          <w:rFonts w:ascii="IRNazanin" w:hAnsi="IRNazanin" w:eastAsia="IRNazanin" w:cs="IRNazanin"/>
          <w:lang w:bidi="fa-IR"/>
          <w:color w:val="111111"/>
          <w:sz w:val="28"/>
          <w:szCs w:val="28"/>
          <w:rtl/>
        </w:rPr>
        <w:t xml:space="preserve">خط: نستعلیق، بی کا، بی تا؛ افتادگی: آغاز و انجام؛ جلد: گالینگور سبز، عطف تیماج زرشکی، ۵۴گ (۱۸۴-۱۳۷پ)، ۱۸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مخ: ۱-۳۰۵]</w:t>
      </w:r>
    </w:p>
    <w:p>
      <w:pPr>
        <w:pStyle w:val="Heading3"/>
      </w:pPr>
      <w:bookmarkStart w:id="2081" w:name="_Toc1341"/>
      <w:r>
        <w:t>• تاریخ ایران (ترجمه) / تاریخ ایران / فارسی</w:t>
      </w:r>
      <w:bookmarkEnd w:id="2081"/>
    </w:p>
    <w:p>
      <w:pPr>
        <w:pStyle w:val="BookText"/>
      </w:pPr>
      <w:r>
        <w:rPr>
          <w:rFonts w:ascii="Times New Roman" w:hAnsi="Times New Roman" w:eastAsia="Times New Roman" w:cs="Times New Roman"/>
          <w:lang w:val="en-US" w:bidi="en-US"/>
          <w:color w:val="111111"/>
          <w:sz w:val="28"/>
          <w:szCs w:val="28"/>
          <w:rtl/>
        </w:rPr>
        <w:t xml:space="preserve">tārīx-e īrān (t.)</w:t>
      </w:r>
    </w:p>
    <w:p>
      <w:pPr>
        <w:pStyle w:val="BookText"/>
      </w:pPr>
      <w:r>
        <w:rPr>
          <w:rFonts w:ascii="IRNazanin" w:hAnsi="IRNazanin" w:eastAsia="IRNazanin" w:cs="IRNazanin"/>
          <w:lang w:bidi="fa-IR"/>
          <w:color w:val="111111"/>
          <w:sz w:val="28"/>
          <w:szCs w:val="28"/>
          <w:rtl/>
        </w:rPr>
        <w:t xml:space="preserve">ملكم، جان، ۱۷۶۹-۱۸۳۳ میلادی</w:t>
      </w:r>
    </w:p>
    <w:p>
      <w:pPr>
        <w:pStyle w:val="BookText"/>
      </w:pPr>
      <w:r>
        <w:rPr>
          <w:rFonts w:ascii="Times New Roman" w:hAnsi="Times New Roman" w:eastAsia="Times New Roman" w:cs="Times New Roman"/>
          <w:lang w:val="en-US" w:bidi="en-US"/>
          <w:color w:val="111111"/>
          <w:sz w:val="28"/>
          <w:szCs w:val="28"/>
          <w:rtl/>
        </w:rPr>
        <w:t xml:space="preserve">malkom, jan (1769-1833)</w:t>
      </w:r>
    </w:p>
    <w:p>
      <w:pPr>
        <w:pStyle w:val="BookText"/>
      </w:pPr>
      <w:r>
        <w:rPr>
          <w:rFonts w:ascii="IRNazanin" w:hAnsi="IRNazanin" w:eastAsia="IRNazanin" w:cs="IRNazanin"/>
          <w:lang w:bidi="fa-IR"/>
          <w:color w:val="111111"/>
          <w:sz w:val="28"/>
          <w:szCs w:val="28"/>
          <w:rtl/>
        </w:rPr>
        <w:t xml:space="preserve">مترجم: حيرت، اسماعيل بن محمد على -۱۲۸۷ ؟ قمری ترجمه فارسی اثر سرجان ملکم سفیر فرمانروای انگلیس در هند نزد فتحعلی شاه در دو جلد از پیشدادیان تا قاجاریان. ترجمه دیگری از آن را شیخ محمد اصفهانی دارد. چاپ: چند بار چاپ شده است</w:t>
      </w:r>
    </w:p>
    <w:p>
      <w:pPr>
        <w:pStyle w:val="BookText"/>
      </w:pPr>
      <w:r>
        <w:rPr>
          <w:rFonts w:ascii="IRNazanin" w:hAnsi="IRNazanin" w:eastAsia="IRNazanin" w:cs="IRNazanin"/>
          <w:lang w:bidi="fa-IR"/>
          <w:color w:val="111111"/>
          <w:sz w:val="28"/>
          <w:szCs w:val="28"/>
          <w:rtl/>
        </w:rPr>
        <w:t xml:space="preserve">[فهرستواره منزوی ۸۴۵/۲ ]</w:t>
      </w:r>
    </w:p>
    <w:p>
      <w:pPr>
        <w:pStyle w:val="BookText"/>
      </w:pPr>
      <w:r>
        <w:rPr>
          <w:rFonts w:ascii="IRNazanin" w:hAnsi="IRNazanin" w:eastAsia="IRNazanin" w:cs="IRNazanin"/>
          <w:lang w:bidi="fa-IR"/>
          <w:color w:val="111111"/>
          <w:sz w:val="28"/>
          <w:szCs w:val="28"/>
          <w:rtl/>
        </w:rPr>
        <w:t xml:space="preserve">تهران؛ ملک؛ شماره نسخه:۴۸۱۴</w:t>
      </w:r>
    </w:p>
    <w:p>
      <w:pPr>
        <w:pStyle w:val="BookText"/>
      </w:pPr>
      <w:r>
        <w:rPr>
          <w:rFonts w:ascii="IRNazanin" w:hAnsi="IRNazanin" w:eastAsia="IRNazanin" w:cs="IRNazanin"/>
          <w:lang w:bidi="fa-IR"/>
          <w:color w:val="111111"/>
          <w:sz w:val="28"/>
          <w:szCs w:val="28"/>
          <w:rtl/>
        </w:rPr>
        <w:t xml:space="preserve">جلد اول؛ خط: نستعلیق، كا: میرزا محمد علی شیرازی، تا: ۱۲۸۷ق، به دستور محمد نبی خان شیرازی؛ تملک: یوسف خان مستشارالدوله که در ۱۲۹۳ آن را به میرزا محمد مستوفی بخشیده؛ کاغذ: کاغذ فرنگی آهار مهره، جلد: میشن آلبالویی سیر، ۱۹۷گ، ۱۹ سطر، اندازه:</w:t>
      </w:r>
    </w:p>
    <w:p>
      <w:pPr>
        <w:pStyle w:val="BookText"/>
      </w:pPr>
      <w:r>
        <w:rPr>
          <w:rFonts w:ascii="IRNazanin" w:hAnsi="IRNazanin" w:eastAsia="IRNazanin" w:cs="IRNazanin"/>
          <w:lang w:bidi="fa-IR"/>
          <w:color w:val="111111"/>
          <w:sz w:val="28"/>
          <w:szCs w:val="28"/>
          <w:rtl/>
        </w:rPr>
        <w:t xml:space="preserve">۳۲/۹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۲۴/۸ سم [ف: ۲-۷۵ ]</w:t>
      </w:r>
    </w:p>
    <w:p>
      <w:pPr>
        <w:pStyle w:val="BookText"/>
      </w:pPr>
      <w:r>
        <w:rPr>
          <w:rFonts w:ascii="IRNazanin" w:hAnsi="IRNazanin" w:eastAsia="IRNazanin" w:cs="IRNazanin"/>
          <w:lang w:bidi="fa-IR"/>
          <w:color w:val="111111"/>
          <w:sz w:val="28"/>
          <w:szCs w:val="28"/>
          <w:rtl/>
        </w:rPr>
        <w:t xml:space="preserve">تهران؛ ملک؛ شماره نسخه:۴۳۵۴</w:t>
      </w:r>
    </w:p>
    <w:p>
      <w:pPr>
        <w:pStyle w:val="BookText"/>
      </w:pPr>
      <w:r>
        <w:rPr>
          <w:rFonts w:ascii="IRNazanin" w:hAnsi="IRNazanin" w:eastAsia="IRNazanin" w:cs="IRNazanin"/>
          <w:lang w:bidi="fa-IR"/>
          <w:color w:val="111111"/>
          <w:sz w:val="28"/>
          <w:szCs w:val="28"/>
          <w:rtl/>
        </w:rPr>
        <w:t xml:space="preserve">جلد دوم؛ خط: نستعلیق، بی کا، تا: ۱۲۸۷ق؛ اهدایی یوسف مستشار الدوله به میرزا محمد مستوفی در ۱۲۹۲؛ کاغذ: کاغذ فرنگی آهار مهره، جلد: میشن آلبالویی طلا کوب، ۲۰۱گ، ۱۹ سطر، اندازه: ۳۳/۲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۲۴/۸ سم [ف: ۲-۷۵]</w:t>
      </w:r>
    </w:p>
    <w:p>
      <w:pPr>
        <w:pStyle w:val="Heading3"/>
      </w:pPr>
      <w:bookmarkStart w:id="2082" w:name="_Toc1342"/>
      <w:r>
        <w:t>•تاریخ ایران معینای اردوبادی / تاریخ ایران / فارسی</w:t>
      </w:r>
      <w:bookmarkEnd w:id="2082"/>
    </w:p>
    <w:p>
      <w:pPr>
        <w:pStyle w:val="BookText"/>
      </w:pPr>
      <w:r>
        <w:rPr>
          <w:rFonts w:ascii="Times New Roman" w:hAnsi="Times New Roman" w:eastAsia="Times New Roman" w:cs="Times New Roman"/>
          <w:lang w:val="en-US" w:bidi="en-US"/>
          <w:color w:val="111111"/>
          <w:sz w:val="28"/>
          <w:szCs w:val="28"/>
          <w:rtl/>
        </w:rPr>
        <w:t xml:space="preserve">tārīx-e īrān moʻīnā-ye ordobādī</w:t>
      </w:r>
    </w:p>
    <w:p>
      <w:pPr>
        <w:pStyle w:val="BookText"/>
      </w:pPr>
      <w:r>
        <w:rPr>
          <w:rFonts w:ascii="IRNazanin" w:hAnsi="IRNazanin" w:eastAsia="IRNazanin" w:cs="IRNazanin"/>
          <w:lang w:bidi="fa-IR"/>
          <w:color w:val="111111"/>
          <w:sz w:val="28"/>
          <w:szCs w:val="28"/>
          <w:rtl/>
        </w:rPr>
        <w:t xml:space="preserve">تاريخ تأليف: ۱۰۷۵ق از آغاز اسلام تا زمان شاه عباس دوم و سال ۱۰۷۵ که فهرست خوبی است از شاهان ایران و سال ها به سیاق است</w:t>
      </w:r>
    </w:p>
    <w:p>
      <w:pPr>
        <w:pStyle w:val="BookText"/>
      </w:pPr>
      <w:r>
        <w:rPr>
          <w:rFonts w:ascii="IRNazanin" w:hAnsi="IRNazanin" w:eastAsia="IRNazanin" w:cs="IRNazanin"/>
          <w:lang w:bidi="fa-IR"/>
          <w:color w:val="111111"/>
          <w:sz w:val="28"/>
          <w:szCs w:val="28"/>
          <w:rtl/>
        </w:rPr>
        <w:t xml:space="preserve">[دنا ۶۸۱/۲ ]</w:t>
      </w:r>
    </w:p>
    <w:p>
      <w:pPr>
        <w:pStyle w:val="BookText"/>
      </w:pPr>
      <w:r>
        <w:rPr>
          <w:rFonts w:ascii="IRNazanin" w:hAnsi="IRNazanin" w:eastAsia="IRNazanin" w:cs="IRNazanin"/>
          <w:lang w:bidi="fa-IR"/>
          <w:color w:val="111111"/>
          <w:sz w:val="28"/>
          <w:szCs w:val="28"/>
          <w:rtl/>
        </w:rPr>
        <w:t xml:space="preserve">تهران؛ دانشگاه؛ شماره نسخه:۲۵۹۱/۷</w:t>
      </w:r>
    </w:p>
    <w:p>
      <w:pPr>
        <w:pStyle w:val="BookText"/>
      </w:pPr>
      <w:r>
        <w:rPr>
          <w:rFonts w:ascii="IRNazanin" w:hAnsi="IRNazanin" w:eastAsia="IRNazanin" w:cs="IRNazanin"/>
          <w:lang w:bidi="fa-IR"/>
          <w:color w:val="111111"/>
          <w:sz w:val="28"/>
          <w:szCs w:val="28"/>
          <w:rtl/>
        </w:rPr>
        <w:t xml:space="preserve">آغاز: بسمله: احوال سلاطین زمان و خواتین دوران که از زمان هجرت پیغمبر که الحال یکهزار و هفتاد و پنج سال است، سلاطین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399" w:name="pg20363_209694"/>
    <w:bookmarkEnd w:id="399"/>
    <w:p>
      <w:pPr>
        <w:pStyle w:val="BookText"/>
      </w:pPr>
      <w:r>
        <w:rPr>
          <w:rFonts w:ascii="IRNazanin" w:hAnsi="IRNazanin" w:eastAsia="IRNazanin" w:cs="IRNazanin"/>
          <w:lang w:bidi="fa-IR"/>
          <w:color w:val="111111"/>
          <w:sz w:val="28"/>
          <w:szCs w:val="28"/>
          <w:rtl/>
        </w:rPr>
        <w:t xml:space="preserve">هر کدام چند سال سلطنت کرده اند؛ انجام: سلاطین صفوی ... (سياق است)</w:t>
      </w:r>
    </w:p>
    <w:p>
      <w:pPr>
        <w:pStyle w:val="BookText"/>
      </w:pPr>
      <w:r>
        <w:rPr>
          <w:rFonts w:ascii="IRNazanin" w:hAnsi="IRNazanin" w:eastAsia="IRNazanin" w:cs="IRNazanin"/>
          <w:lang w:bidi="fa-IR"/>
          <w:color w:val="111111"/>
          <w:sz w:val="28"/>
          <w:szCs w:val="28"/>
          <w:rtl/>
        </w:rPr>
        <w:t xml:space="preserve">خط: نستعلیق، بی کا، تا: قرن ۱۱؛ کاغذ: سپاهانی، جلد: تیماج مشکی، ۱۲ص (۸۰۰-۸۱۱)، سطور چلیپا (۱۴/۵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 اندازه: ۲۷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اف: ۹- ۱۴۲۰]</w:t>
      </w:r>
    </w:p>
    <w:p>
      <w:pPr>
        <w:pStyle w:val="Heading3"/>
      </w:pPr>
      <w:bookmarkStart w:id="2083" w:name="_Toc1343"/>
      <w:r>
        <w:t>•تاریخ ایران و ایرانیان (ترجمه) / تاریخ ایران / فارسی</w:t>
      </w:r>
      <w:bookmarkEnd w:id="2083"/>
    </w:p>
    <w:p>
      <w:pPr>
        <w:pStyle w:val="BookText"/>
      </w:pPr>
      <w:r>
        <w:rPr>
          <w:rFonts w:ascii="Times New Roman" w:hAnsi="Times New Roman" w:eastAsia="Times New Roman" w:cs="Times New Roman"/>
          <w:lang w:val="en-US" w:bidi="en-US"/>
          <w:color w:val="111111"/>
          <w:sz w:val="28"/>
          <w:szCs w:val="28"/>
          <w:rtl/>
        </w:rPr>
        <w:t xml:space="preserve">tārīx-e īrān va īrānīyān (t.)</w:t>
      </w:r>
    </w:p>
    <w:p>
      <w:pPr>
        <w:pStyle w:val="BookText"/>
      </w:pPr>
      <w:r>
        <w:rPr>
          <w:rFonts w:ascii="IRNazanin" w:hAnsi="IRNazanin" w:eastAsia="IRNazanin" w:cs="IRNazanin"/>
          <w:lang w:bidi="fa-IR"/>
          <w:color w:val="111111"/>
          <w:sz w:val="28"/>
          <w:szCs w:val="28"/>
          <w:rtl/>
        </w:rPr>
        <w:t xml:space="preserve">خواجه نوریان، ابوتراب، ۱۲۳۷-۱۳۰۶ شمسی</w:t>
      </w:r>
    </w:p>
    <w:p>
      <w:pPr>
        <w:pStyle w:val="BookText"/>
      </w:pPr>
      <w:r>
        <w:rPr>
          <w:rFonts w:ascii="Times New Roman" w:hAnsi="Times New Roman" w:eastAsia="Times New Roman" w:cs="Times New Roman"/>
          <w:lang w:val="en-US" w:bidi="en-US"/>
          <w:color w:val="111111"/>
          <w:sz w:val="28"/>
          <w:szCs w:val="28"/>
          <w:rtl/>
        </w:rPr>
        <w:t xml:space="preserve">xāje nūrīān, abū-torāb (1858-1927)</w:t>
      </w:r>
    </w:p>
    <w:p>
      <w:pPr>
        <w:pStyle w:val="BookText"/>
      </w:pPr>
      <w:r>
        <w:rPr>
          <w:rFonts w:ascii="IRNazanin" w:hAnsi="IRNazanin" w:eastAsia="IRNazanin" w:cs="IRNazanin"/>
          <w:lang w:bidi="fa-IR"/>
          <w:color w:val="111111"/>
          <w:sz w:val="28"/>
          <w:szCs w:val="28"/>
          <w:rtl/>
        </w:rPr>
        <w:t xml:space="preserve">به دستور: حاج علیقلی خان سردار اسعد بختیاری ترجمه است از کتاب ژورف آرتور گوبینو در تاریخ ایران. چاپ: فهرست فارسی مشار ۱/۱۰۴۳</w:t>
      </w:r>
    </w:p>
    <w:p>
      <w:pPr>
        <w:pStyle w:val="BookText"/>
      </w:pPr>
      <w:r>
        <w:rPr>
          <w:rFonts w:ascii="IRNazanin" w:hAnsi="IRNazanin" w:eastAsia="IRNazanin" w:cs="IRNazanin"/>
          <w:lang w:bidi="fa-IR"/>
          <w:color w:val="111111"/>
          <w:sz w:val="28"/>
          <w:szCs w:val="28"/>
          <w:rtl/>
        </w:rPr>
        <w:t xml:space="preserve">[دنا ۶۸۱/۲ ؛ فهرستواره منزوی ۸۴۹/۲ ]</w:t>
      </w:r>
    </w:p>
    <w:p>
      <w:pPr>
        <w:pStyle w:val="BookText"/>
      </w:pPr>
      <w:r>
        <w:rPr>
          <w:rFonts w:ascii="IRNazanin" w:hAnsi="IRNazanin" w:eastAsia="IRNazanin" w:cs="IRNazanin"/>
          <w:lang w:bidi="fa-IR"/>
          <w:color w:val="111111"/>
          <w:sz w:val="28"/>
          <w:szCs w:val="28"/>
          <w:rtl/>
        </w:rPr>
        <w:t xml:space="preserve">۱. اصفهان، دانشگاه؛ شماره نسخه:۳۰۶</w:t>
      </w:r>
    </w:p>
    <w:p>
      <w:pPr>
        <w:pStyle w:val="BookText"/>
      </w:pPr>
      <w:r>
        <w:rPr>
          <w:rFonts w:ascii="IRNazanin" w:hAnsi="IRNazanin" w:eastAsia="IRNazanin" w:cs="IRNazanin"/>
          <w:lang w:bidi="fa-IR"/>
          <w:color w:val="111111"/>
          <w:sz w:val="28"/>
          <w:szCs w:val="28"/>
          <w:rtl/>
        </w:rPr>
        <w:t xml:space="preserve">جلد اول و دوم؛ خط: نستعلیق، کا: محمد علی تفرشی، تا: چهارشنبه ۱۲ صفر ۱۳۳۳ (پایان جلد دوم)؛ مصحح؛ جلد: تیماج مشکی.، ۳۶۸گ، ۱۲ سطر، اندازه: ۲۲/۵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۱-۲۲۶] و [نشریه ۱۱-۸۸۶]</w:t>
      </w:r>
    </w:p>
    <w:p>
      <w:pPr>
        <w:pStyle w:val="BookText"/>
      </w:pPr>
      <w:r>
        <w:rPr>
          <w:rFonts w:ascii="IRNazanin" w:hAnsi="IRNazanin" w:eastAsia="IRNazanin" w:cs="IRNazanin"/>
          <w:lang w:bidi="fa-IR"/>
          <w:color w:val="111111"/>
          <w:sz w:val="28"/>
          <w:szCs w:val="28"/>
          <w:rtl/>
        </w:rPr>
        <w:t xml:space="preserve">۲. اصفهان، دانشگاه؛ شماره نسخه:۳۰۷</w:t>
      </w:r>
    </w:p>
    <w:p>
      <w:pPr>
        <w:pStyle w:val="BookText"/>
      </w:pPr>
      <w:r>
        <w:rPr>
          <w:rFonts w:ascii="IRNazanin" w:hAnsi="IRNazanin" w:eastAsia="IRNazanin" w:cs="IRNazanin"/>
          <w:lang w:bidi="fa-IR"/>
          <w:color w:val="111111"/>
          <w:sz w:val="28"/>
          <w:szCs w:val="28"/>
          <w:rtl/>
        </w:rPr>
        <w:t xml:space="preserve">جلد سوم؛ خط: نستعلیق، کا: محمد علی تفرشی، تا: ربيع الثانی ۱۳۳۳ق؛ جلد: تیماج مشکی، ۲۹۶گ، ۱۲ سطر، اندازه: ۲۲/۵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۱-۲۲۶]</w:t>
      </w:r>
    </w:p>
    <w:p>
      <w:pPr>
        <w:pStyle w:val="Heading3"/>
      </w:pPr>
      <w:bookmarkStart w:id="2084" w:name="_Toc1344"/>
      <w:r>
        <w:t>•تاریخ ایران و جهان / تاریخ ایران / فارسی</w:t>
      </w:r>
      <w:bookmarkEnd w:id="2084"/>
    </w:p>
    <w:p>
      <w:pPr>
        <w:pStyle w:val="BookText"/>
      </w:pPr>
      <w:r>
        <w:rPr>
          <w:rFonts w:ascii="Times New Roman" w:hAnsi="Times New Roman" w:eastAsia="Times New Roman" w:cs="Times New Roman"/>
          <w:lang w:val="en-US" w:bidi="en-US"/>
          <w:color w:val="111111"/>
          <w:sz w:val="28"/>
          <w:szCs w:val="28"/>
          <w:rtl/>
        </w:rPr>
        <w:t xml:space="preserve">tārīx-e īrān va jahan</w:t>
      </w:r>
    </w:p>
    <w:p>
      <w:pPr>
        <w:pStyle w:val="BookText"/>
      </w:pPr>
      <w:r>
        <w:rPr>
          <w:rFonts w:ascii="IRNazanin" w:hAnsi="IRNazanin" w:eastAsia="IRNazanin" w:cs="IRNazanin"/>
          <w:lang w:bidi="fa-IR"/>
          <w:color w:val="111111"/>
          <w:sz w:val="28"/>
          <w:szCs w:val="28"/>
          <w:rtl/>
        </w:rPr>
        <w:t xml:space="preserve">تاریخ جدیدی است در پادشاهان ایرانی و ارتباط آنان با ممالک دیگر و نیز تاریخ اسلام. از شخصی به نام «سید جمال الدين» با عنوان «استادنا» یاد کرده است. از شیوه تاریخ نویسی ایرانی انتقاد و تاریخ نویسان یونانی را ستوده است. عناوین آن «گفتار» و «مجلس» است.</w:t>
      </w:r>
    </w:p>
    <w:p>
      <w:pPr>
        <w:pStyle w:val="BookText"/>
      </w:pPr>
      <w:r>
        <w:rPr>
          <w:rFonts w:ascii="IRNazanin" w:hAnsi="IRNazanin" w:eastAsia="IRNazanin" w:cs="IRNazanin"/>
          <w:lang w:bidi="fa-IR"/>
          <w:color w:val="111111"/>
          <w:sz w:val="28"/>
          <w:szCs w:val="28"/>
          <w:rtl/>
        </w:rPr>
        <w:t xml:space="preserve">قم؛ مسجد اعظم، شماره نسخه:۴۰۶۶/۵</w:t>
      </w:r>
    </w:p>
    <w:p>
      <w:pPr>
        <w:pStyle w:val="BookText"/>
      </w:pPr>
      <w:r>
        <w:rPr>
          <w:rFonts w:ascii="IRNazanin" w:hAnsi="IRNazanin" w:eastAsia="IRNazanin" w:cs="IRNazanin"/>
          <w:lang w:bidi="fa-IR"/>
          <w:color w:val="111111"/>
          <w:sz w:val="28"/>
          <w:szCs w:val="28"/>
          <w:rtl/>
        </w:rPr>
        <w:t xml:space="preserve">آغاز: زاماسب همین که به تخت نشست سال (۴۹۶) از میلاد گذشته بود با بزرگان ایران در باب کار قباد گنکاش نمودن</w:t>
      </w:r>
    </w:p>
    <w:p>
      <w:pPr>
        <w:pStyle w:val="BookText"/>
      </w:pPr>
      <w:r>
        <w:rPr>
          <w:rFonts w:ascii="IRNazanin" w:hAnsi="IRNazanin" w:eastAsia="IRNazanin" w:cs="IRNazanin"/>
          <w:lang w:bidi="fa-IR"/>
          <w:color w:val="111111"/>
          <w:sz w:val="28"/>
          <w:szCs w:val="28"/>
          <w:rtl/>
        </w:rPr>
        <w:t xml:space="preserve">گرفت؛ انجام: در یازدهم شهر ربيع الاول که ارتحال آن حضرت به دار بقاء به وقوع پیوست به محض استماع این خبر لشکر اسامة بن زید از راه برگشته در مسجد مدینه مشغول سوگواری حضرت سید المرسلین گشتند. خط: نستعلیق، بی کا، بی تا، افتادگی: آغاز؛ جلد: گالینگور سبز، عطف تیماج زرشکی، ۴۳گ (۱۳۵ -۱۷۷ر)، ۱۸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مخ: ۱-۳۰۶]</w:t>
      </w:r>
    </w:p>
    <w:p>
      <w:pPr>
        <w:pStyle w:val="BookText"/>
      </w:pPr>
      <w:r>
        <w:rPr>
          <w:rFonts w:ascii="IRNazanin" w:hAnsi="IRNazanin" w:eastAsia="IRNazanin" w:cs="IRNazanin"/>
          <w:lang w:bidi="fa-IR"/>
          <w:color w:val="111111"/>
          <w:sz w:val="28"/>
          <w:szCs w:val="28"/>
          <w:rtl/>
        </w:rPr>
        <w:t xml:space="preserve">تاریخ ایران - تاریخ بابر شاه</w:t>
      </w:r>
    </w:p>
    <w:p>
      <w:pPr>
        <w:pStyle w:val="Heading3"/>
      </w:pPr>
      <w:bookmarkStart w:id="2085" w:name="_Toc1345"/>
      <w:r>
        <w:t>•تاریخ ایران و خلفا / تاریخ / فارسی</w:t>
      </w:r>
      <w:bookmarkEnd w:id="2085"/>
    </w:p>
    <w:p>
      <w:pPr>
        <w:pStyle w:val="BookText"/>
      </w:pPr>
      <w:r>
        <w:rPr>
          <w:rFonts w:ascii="Times New Roman" w:hAnsi="Times New Roman" w:eastAsia="Times New Roman" w:cs="Times New Roman"/>
          <w:lang w:val="en-US" w:bidi="en-US"/>
          <w:color w:val="111111"/>
          <w:sz w:val="28"/>
          <w:szCs w:val="28"/>
          <w:rtl/>
        </w:rPr>
        <w:t xml:space="preserve">tārīx-e īrān va xolafā</w:t>
      </w:r>
    </w:p>
    <w:p>
      <w:pPr>
        <w:pStyle w:val="BookText"/>
      </w:pPr>
      <w:r>
        <w:rPr>
          <w:rFonts w:ascii="IRNazanin" w:hAnsi="IRNazanin" w:eastAsia="IRNazanin" w:cs="IRNazanin"/>
          <w:lang w:bidi="fa-IR"/>
          <w:color w:val="111111"/>
          <w:sz w:val="28"/>
          <w:szCs w:val="28"/>
          <w:rtl/>
        </w:rPr>
        <w:t xml:space="preserve">تهران؛ مجلس؛ شماره نسخه:۱۵۹۵۱/۵</w:t>
      </w:r>
    </w:p>
    <w:p>
      <w:pPr>
        <w:pStyle w:val="BookText"/>
      </w:pPr>
      <w:r>
        <w:rPr>
          <w:rFonts w:ascii="IRNazanin" w:hAnsi="IRNazanin" w:eastAsia="IRNazanin" w:cs="IRNazanin"/>
          <w:lang w:bidi="fa-IR"/>
          <w:color w:val="111111"/>
          <w:sz w:val="28"/>
          <w:szCs w:val="28"/>
          <w:rtl/>
        </w:rPr>
        <w:t xml:space="preserve">تا معتصم و فتح بغداد به دست هلاکو؛ خط: نستعلیق، بی کا، بی تاب مجدول محرر، کمند کشی شده، رکابه دار؛ جلد: تیماج مشکی، ۱۱۶ص (۲۱۳-۳۲۸)، ۲۱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w:t>
      </w:r>
    </w:p>
    <w:p>
      <w:pPr>
        <w:pStyle w:val="BookText"/>
      </w:pPr>
      <w:r>
        <w:rPr>
          <w:rFonts w:ascii="IRNazanin" w:hAnsi="IRNazanin" w:eastAsia="IRNazanin" w:cs="IRNazanin"/>
          <w:lang w:bidi="fa-IR"/>
          <w:color w:val="111111"/>
          <w:sz w:val="28"/>
          <w:szCs w:val="28"/>
          <w:rtl/>
        </w:rPr>
        <w:t xml:space="preserve">سم [ف: ۴۴-۱۵۲]</w:t>
      </w:r>
    </w:p>
    <w:p>
      <w:pPr>
        <w:pStyle w:val="Heading3"/>
      </w:pPr>
      <w:bookmarkStart w:id="2086" w:name="_Toc1346"/>
      <w:r>
        <w:t>•تاریخ ایران و عربستان و روم / تاریخ جهان / فارسی</w:t>
      </w:r>
      <w:bookmarkEnd w:id="2086"/>
    </w:p>
    <w:p>
      <w:pPr>
        <w:pStyle w:val="BookText"/>
      </w:pPr>
      <w:r>
        <w:rPr>
          <w:rFonts w:ascii="Times New Roman" w:hAnsi="Times New Roman" w:eastAsia="Times New Roman" w:cs="Times New Roman"/>
          <w:lang w:val="en-US" w:bidi="en-US"/>
          <w:color w:val="111111"/>
          <w:sz w:val="28"/>
          <w:szCs w:val="28"/>
          <w:rtl/>
        </w:rPr>
        <w:t xml:space="preserve">tārīx-e īrān va ‘arabestān va rūm</w:t>
      </w:r>
    </w:p>
    <w:p>
      <w:pPr>
        <w:pStyle w:val="BookText"/>
      </w:pPr>
      <w:r>
        <w:rPr>
          <w:rFonts w:ascii="IRNazanin" w:hAnsi="IRNazanin" w:eastAsia="IRNazanin" w:cs="IRNazanin"/>
          <w:lang w:bidi="fa-IR"/>
          <w:color w:val="111111"/>
          <w:sz w:val="28"/>
          <w:szCs w:val="28"/>
          <w:rtl/>
        </w:rPr>
        <w:t xml:space="preserve">ترجمه از یکی از زبان های فرانسه یا انگلیسی است و تاریخ مختصر ایران و عربستان و روم را قبل از اسلام بیان می کند.</w:t>
      </w:r>
    </w:p>
    <w:p>
      <w:pPr>
        <w:pStyle w:val="BookText"/>
      </w:pPr>
      <w:r>
        <w:rPr>
          <w:rFonts w:ascii="IRNazanin" w:hAnsi="IRNazanin" w:eastAsia="IRNazanin" w:cs="IRNazanin"/>
          <w:lang w:bidi="fa-IR"/>
          <w:color w:val="111111"/>
          <w:sz w:val="28"/>
          <w:szCs w:val="28"/>
          <w:rtl/>
        </w:rPr>
        <w:t xml:space="preserve">[دنا ۶۸۱/۲ ؛ فهرستواره منزوی ۸۴۹/۲ ]</w:t>
      </w:r>
    </w:p>
    <w:p>
      <w:pPr>
        <w:pStyle w:val="BookText"/>
      </w:pPr>
      <w:r>
        <w:rPr>
          <w:rFonts w:ascii="IRNazanin" w:hAnsi="IRNazanin" w:eastAsia="IRNazanin" w:cs="IRNazanin"/>
          <w:lang w:bidi="fa-IR"/>
          <w:color w:val="111111"/>
          <w:sz w:val="28"/>
          <w:szCs w:val="28"/>
          <w:rtl/>
        </w:rPr>
        <w:t xml:space="preserve">تهران؛ ملک؛ شماره نسخه:۶۴۰۸</w:t>
      </w:r>
    </w:p>
    <w:p>
      <w:pPr>
        <w:pStyle w:val="BookText"/>
      </w:pPr>
      <w:r>
        <w:rPr>
          <w:rFonts w:ascii="IRNazanin" w:hAnsi="IRNazanin" w:eastAsia="IRNazanin" w:cs="IRNazanin"/>
          <w:lang w:bidi="fa-IR"/>
          <w:color w:val="111111"/>
          <w:sz w:val="28"/>
          <w:szCs w:val="28"/>
          <w:rtl/>
        </w:rPr>
        <w:t xml:space="preserve">آغاز: بسمله، بطوری که در تاریخ ایران دیده ایم بعد از اسکندر ایران و شام و آسیای صغیر؛ انجام: ظهور حضرت مسیح. بطوری که گفتیم مذهب قدیم رومی دارای جنبه اخلاقی و روحانی ... (پس از دو صفحه و نیم) و کسی که از تمام دارائی خود صرف نظر نکند پیرو و شاگرد دینی نیست. خط: شکسته، نستعلیق، بی کا، تا: قرن ۱۴؛ افتادگی: انجام؛ کاغذ: کاغذ فرنگی، جلد: مقوای رویه ابری، ۵۷گ، ۱۸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۱۳/۴ سم [ف: ۲-۷۶]</w:t>
      </w:r>
    </w:p>
    <w:p>
      <w:pPr>
        <w:pStyle w:val="Heading3"/>
      </w:pPr>
      <w:bookmarkStart w:id="2087" w:name="_Toc1347"/>
      <w:r>
        <w:t>•تاریخ ایل بختیاری / تاریخ ایران / فارسی</w:t>
      </w:r>
      <w:bookmarkEnd w:id="2087"/>
    </w:p>
    <w:p>
      <w:pPr>
        <w:pStyle w:val="BookText"/>
      </w:pPr>
      <w:r>
        <w:rPr>
          <w:rFonts w:ascii="Times New Roman" w:hAnsi="Times New Roman" w:eastAsia="Times New Roman" w:cs="Times New Roman"/>
          <w:lang w:val="en-US" w:bidi="en-US"/>
          <w:color w:val="111111"/>
          <w:sz w:val="28"/>
          <w:szCs w:val="28"/>
          <w:rtl/>
        </w:rPr>
        <w:t xml:space="preserve">tarix-e 1l-e baxtiyari</w:t>
      </w:r>
    </w:p>
    <w:p>
      <w:pPr>
        <w:pStyle w:val="BookText"/>
      </w:pPr>
      <w:r>
        <w:rPr>
          <w:rFonts w:ascii="IRNazanin" w:hAnsi="IRNazanin" w:eastAsia="IRNazanin" w:cs="IRNazanin"/>
          <w:lang w:bidi="fa-IR"/>
          <w:color w:val="111111"/>
          <w:sz w:val="28"/>
          <w:szCs w:val="28"/>
          <w:rtl/>
        </w:rPr>
        <w:t xml:space="preserve">اهدا به: حاج علی قلی خان سردار اسعد در چگونگی پیدایش این ایل از زمان قدیم که بنا به گفته مؤلف اینان اصل ایرانیان اند و اقوام دیگر به این سرزمین کوچ کرده اند. این جزوه را یکی از ملازمان حاج علی قلی خان سردار اسعد نگاشته و به وی تقدیم نموده است.</w:t>
      </w:r>
    </w:p>
    <w:p>
      <w:pPr>
        <w:pStyle w:val="BookText"/>
      </w:pPr>
      <w:r>
        <w:rPr>
          <w:rFonts w:ascii="IRNazanin" w:hAnsi="IRNazanin" w:eastAsia="IRNazanin" w:cs="IRNazanin"/>
          <w:lang w:bidi="fa-IR"/>
          <w:color w:val="111111"/>
          <w:sz w:val="28"/>
          <w:szCs w:val="28"/>
          <w:rtl/>
        </w:rPr>
        <w:t xml:space="preserve">[دنا ۶۸۱/۲ ]</w:t>
      </w:r>
    </w:p>
    <w:p>
      <w:pPr>
        <w:pStyle w:val="BookText"/>
      </w:pPr>
      <w:r>
        <w:rPr>
          <w:rFonts w:ascii="IRNazanin" w:hAnsi="IRNazanin" w:eastAsia="IRNazanin" w:cs="IRNazanin"/>
          <w:lang w:bidi="fa-IR"/>
          <w:color w:val="111111"/>
          <w:sz w:val="28"/>
          <w:szCs w:val="28"/>
          <w:rtl/>
        </w:rPr>
        <w:t xml:space="preserve">قم؛ مرعشی؛ شماره نسخه:۸۳۴۴</w:t>
      </w:r>
    </w:p>
    <w:p>
      <w:pPr>
        <w:pStyle w:val="BookText"/>
      </w:pPr>
      <w:r>
        <w:rPr>
          <w:rFonts w:ascii="IRNazanin" w:hAnsi="IRNazanin" w:eastAsia="IRNazanin" w:cs="IRNazanin"/>
          <w:lang w:bidi="fa-IR"/>
          <w:color w:val="111111"/>
          <w:sz w:val="28"/>
          <w:szCs w:val="28"/>
          <w:rtl/>
        </w:rPr>
        <w:t xml:space="preserve">آغاز: الحمدلله الذي خلق الانسان علمه البيان ... بر ارباب خرد و بینش و صاحبان بصیرت و دانش واضح و مبرهن است؛ انجام: ما بقى امم یا ترکند یا عرب يهود هم از فصيله اعراب قدیم است خط: نستعلیق، كا: عاحش، تا: ربيع الثانی ۱۳۲۸ق؛ جلد: تیماج سبز، ۲۲گ، ۱۱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۲۱-۳۰۴]</w:t>
      </w:r>
    </w:p>
    <w:p>
      <w:pPr>
        <w:pStyle w:val="BookText"/>
      </w:pPr>
      <w:r>
        <w:rPr>
          <w:rFonts w:ascii="IRNazanin" w:hAnsi="IRNazanin" w:eastAsia="IRNazanin" w:cs="IRNazanin"/>
          <w:lang w:bidi="fa-IR"/>
          <w:color w:val="111111"/>
          <w:sz w:val="28"/>
          <w:szCs w:val="28"/>
          <w:rtl/>
        </w:rPr>
        <w:t xml:space="preserve">←تاریخ ایلچی نظامشاه ← خلاصة التواريخ</w:t>
      </w:r>
    </w:p>
    <w:p>
      <w:pPr>
        <w:pStyle w:val="Heading3"/>
      </w:pPr>
      <w:bookmarkStart w:id="2088" w:name="_Toc1348"/>
      <w:r>
        <w:t>•تاریخ بابر شاه / تاریخ / ترکی، فارسی</w:t>
      </w:r>
      <w:bookmarkEnd w:id="2088"/>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400" w:name="pg20363_209695"/>
    <w:bookmarkEnd w:id="400"/>
    <w:p>
      <w:pPr>
        <w:pStyle w:val="BookText"/>
      </w:pPr>
      <w:r>
        <w:rPr>
          <w:rFonts w:ascii="Times New Roman" w:hAnsi="Times New Roman" w:eastAsia="Times New Roman" w:cs="Times New Roman"/>
          <w:lang w:val="en-US" w:bidi="en-US"/>
          <w:color w:val="111111"/>
          <w:sz w:val="28"/>
          <w:szCs w:val="28"/>
          <w:rtl/>
        </w:rPr>
        <w:t xml:space="preserve">tārīx-e bāber-šāh</w:t>
      </w:r>
    </w:p>
    <w:p>
      <w:pPr>
        <w:pStyle w:val="BookText"/>
      </w:pPr>
      <w:r>
        <w:rPr>
          <w:rFonts w:ascii="IRNazanin" w:hAnsi="IRNazanin" w:eastAsia="IRNazanin" w:cs="IRNazanin"/>
          <w:lang w:bidi="fa-IR"/>
          <w:color w:val="111111"/>
          <w:sz w:val="28"/>
          <w:szCs w:val="28"/>
          <w:rtl/>
        </w:rPr>
        <w:t xml:space="preserve">تهران؛ دانشگاه؛ شماره نسخه:بدون شماره</w:t>
      </w:r>
    </w:p>
    <w:p>
      <w:pPr>
        <w:pStyle w:val="BookText"/>
      </w:pPr>
      <w:r>
        <w:rPr>
          <w:rFonts w:ascii="IRNazanin" w:hAnsi="IRNazanin" w:eastAsia="IRNazanin" w:cs="IRNazanin"/>
          <w:lang w:bidi="fa-IR"/>
          <w:color w:val="111111"/>
          <w:sz w:val="28"/>
          <w:szCs w:val="28"/>
          <w:rtl/>
        </w:rPr>
        <w:t xml:space="preserve">عکس نسخه کتابخانه سلطنتی بی فیلم و هنوز هم شماره گذاری نشده است. از آغاز پادشاهی او در ماه رمضان ۸۹۹ تا ۹۳۵، متن ترکی با ترجمه فارسی؛ بی کا، بی تا فیلمها [ف: ۱-۳۰]</w:t>
      </w:r>
    </w:p>
    <w:p>
      <w:pPr>
        <w:pStyle w:val="Heading3"/>
      </w:pPr>
      <w:bookmarkStart w:id="2089" w:name="_Toc1349"/>
      <w:r>
        <w:t>•تاریخ بابیان / تاریخ / فارسی</w:t>
      </w:r>
      <w:bookmarkEnd w:id="2089"/>
    </w:p>
    <w:p>
      <w:pPr>
        <w:pStyle w:val="BookText"/>
      </w:pPr>
      <w:r>
        <w:rPr>
          <w:rFonts w:ascii="Times New Roman" w:hAnsi="Times New Roman" w:eastAsia="Times New Roman" w:cs="Times New Roman"/>
          <w:lang w:val="en-US" w:bidi="en-US"/>
          <w:color w:val="111111"/>
          <w:sz w:val="28"/>
          <w:szCs w:val="28"/>
          <w:rtl/>
        </w:rPr>
        <w:t xml:space="preserve">tārīx-e bābīyān</w:t>
      </w:r>
    </w:p>
    <w:p>
      <w:pPr>
        <w:pStyle w:val="BookText"/>
      </w:pPr>
      <w:r>
        <w:rPr>
          <w:rFonts w:ascii="IRNazanin" w:hAnsi="IRNazanin" w:eastAsia="IRNazanin" w:cs="IRNazanin"/>
          <w:lang w:bidi="fa-IR"/>
          <w:color w:val="111111"/>
          <w:sz w:val="28"/>
          <w:szCs w:val="28"/>
          <w:rtl/>
        </w:rPr>
        <w:t xml:space="preserve">در آغاز این تاریخ مختصر، گفتاری از اتحاد وحدت و نهضت آمده پس از آن رویدادهای آغاز ظهور بابیان و مخصوصا آزارهایی که به اتباع این مسلک وارد شده گزارش شده و مؤلف خود را یکی از خارجیان غیر ایرانی معرفی کند که طالب اصلاح و ترقی مملکت است.</w:t>
      </w:r>
    </w:p>
    <w:p>
      <w:pPr>
        <w:pStyle w:val="BookText"/>
      </w:pPr>
      <w:r>
        <w:rPr>
          <w:rFonts w:ascii="IRNazanin" w:hAnsi="IRNazanin" w:eastAsia="IRNazanin" w:cs="IRNazanin"/>
          <w:lang w:bidi="fa-IR"/>
          <w:color w:val="111111"/>
          <w:sz w:val="28"/>
          <w:szCs w:val="28"/>
          <w:rtl/>
        </w:rPr>
        <w:t xml:space="preserve">[دنا ۶۸۱/۲ ]</w:t>
      </w:r>
    </w:p>
    <w:p>
      <w:pPr>
        <w:pStyle w:val="BookText"/>
      </w:pPr>
      <w:r>
        <w:rPr>
          <w:rFonts w:ascii="IRNazanin" w:hAnsi="IRNazanin" w:eastAsia="IRNazanin" w:cs="IRNazanin"/>
          <w:lang w:bidi="fa-IR"/>
          <w:color w:val="111111"/>
          <w:sz w:val="28"/>
          <w:szCs w:val="28"/>
          <w:rtl/>
        </w:rPr>
        <w:t xml:space="preserve">قم؛ مرعشی؛ شماره نسخه:۹۲۵۹</w:t>
      </w:r>
    </w:p>
    <w:p>
      <w:pPr>
        <w:pStyle w:val="BookText"/>
      </w:pPr>
      <w:r>
        <w:rPr>
          <w:rFonts w:ascii="IRNazanin" w:hAnsi="IRNazanin" w:eastAsia="IRNazanin" w:cs="IRNazanin"/>
          <w:lang w:bidi="fa-IR"/>
          <w:color w:val="111111"/>
          <w:sz w:val="28"/>
          <w:szCs w:val="28"/>
          <w:rtl/>
        </w:rPr>
        <w:t xml:space="preserve">آغاز: خرده بینان خردمند بفر فراست دریافت کنند و دانشمندان بصير بعين اليقين ببینند و هوشمندان خبیر بنور کیاست و دانش دانند؛ انجام: قبر اخوی مرحوم علی بسته اند. خط: نستعلیق، کا: نور محمد بن محمد، تا: ۴ رجب ۱۳۴۰ق؛ تملک: جواد حسین زاده دانشوری نژاد؛ جلد: مقوائی عطف پارچه، ۲۴۱گ، ۱۲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۲۴-۵۳]</w:t>
      </w:r>
    </w:p>
    <w:p>
      <w:pPr>
        <w:pStyle w:val="Heading3"/>
      </w:pPr>
      <w:bookmarkStart w:id="2090" w:name="_Toc1350"/>
      <w:r>
        <w:t>•تاریخ بافق / تاریخ ایران / فارسی</w:t>
      </w:r>
      <w:bookmarkEnd w:id="2090"/>
    </w:p>
    <w:p>
      <w:pPr>
        <w:pStyle w:val="BookText"/>
      </w:pPr>
      <w:r>
        <w:rPr>
          <w:rFonts w:ascii="Times New Roman" w:hAnsi="Times New Roman" w:eastAsia="Times New Roman" w:cs="Times New Roman"/>
          <w:lang w:val="en-US" w:bidi="en-US"/>
          <w:color w:val="111111"/>
          <w:sz w:val="28"/>
          <w:szCs w:val="28"/>
          <w:rtl/>
        </w:rPr>
        <w:t xml:space="preserve">tārīx-e bāfq</w:t>
      </w:r>
    </w:p>
    <w:p>
      <w:pPr>
        <w:pStyle w:val="BookText"/>
      </w:pPr>
      <w:r>
        <w:rPr>
          <w:rFonts w:ascii="IRNazanin" w:hAnsi="IRNazanin" w:eastAsia="IRNazanin" w:cs="IRNazanin"/>
          <w:lang w:bidi="fa-IR"/>
          <w:color w:val="111111"/>
          <w:sz w:val="28"/>
          <w:szCs w:val="28"/>
          <w:rtl/>
        </w:rPr>
        <w:t xml:space="preserve">تهران؛ ملی؛ شماره نسخه:۱۸۰۸۶</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۱۵۰گ، اندازه: ۲۹/۳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۱۹/۸</w:t>
      </w:r>
    </w:p>
    <w:p>
      <w:pPr>
        <w:pStyle w:val="BookText"/>
      </w:pPr>
      <w:r>
        <w:rPr>
          <w:rFonts w:ascii="IRNazanin" w:hAnsi="IRNazanin" w:eastAsia="IRNazanin" w:cs="IRNazanin"/>
          <w:lang w:bidi="fa-IR"/>
          <w:color w:val="111111"/>
          <w:sz w:val="28"/>
          <w:szCs w:val="28"/>
          <w:rtl/>
        </w:rPr>
        <w:t xml:space="preserve">سم [رایانه]</w:t>
      </w:r>
    </w:p>
    <w:p>
      <w:pPr>
        <w:pStyle w:val="Heading3"/>
      </w:pPr>
      <w:bookmarkStart w:id="2091" w:name="_Toc1351"/>
      <w:r>
        <w:t>•تاریخ بانک / اقتصاد / فارسی</w:t>
      </w:r>
      <w:bookmarkEnd w:id="2091"/>
    </w:p>
    <w:p>
      <w:pPr>
        <w:pStyle w:val="BookText"/>
      </w:pPr>
      <w:r>
        <w:rPr>
          <w:rFonts w:ascii="Times New Roman" w:hAnsi="Times New Roman" w:eastAsia="Times New Roman" w:cs="Times New Roman"/>
          <w:lang w:val="en-US" w:bidi="en-US"/>
          <w:color w:val="111111"/>
          <w:sz w:val="28"/>
          <w:szCs w:val="28"/>
          <w:rtl/>
        </w:rPr>
        <w:t xml:space="preserve">tārīx-e bānk</w:t>
      </w:r>
    </w:p>
    <w:p>
      <w:pPr>
        <w:pStyle w:val="BookText"/>
      </w:pPr>
      <w:r>
        <w:rPr>
          <w:rFonts w:ascii="IRNazanin" w:hAnsi="IRNazanin" w:eastAsia="IRNazanin" w:cs="IRNazanin"/>
          <w:lang w:bidi="fa-IR"/>
          <w:color w:val="111111"/>
          <w:sz w:val="28"/>
          <w:szCs w:val="28"/>
          <w:rtl/>
        </w:rPr>
        <w:t xml:space="preserve">تهران؛ مجلس؛ شماره نسخه: ۹۴۵۱/۳۱</w:t>
      </w:r>
    </w:p>
    <w:p>
      <w:pPr>
        <w:pStyle w:val="BookText"/>
      </w:pPr>
      <w:r>
        <w:rPr>
          <w:rFonts w:ascii="IRNazanin" w:hAnsi="IRNazanin" w:eastAsia="IRNazanin" w:cs="IRNazanin"/>
          <w:lang w:bidi="fa-IR"/>
          <w:color w:val="111111"/>
          <w:sz w:val="28"/>
          <w:szCs w:val="28"/>
          <w:rtl/>
        </w:rPr>
        <w:t xml:space="preserve">خط: نستعلیق، بی کا، تا: قرن ۱۳ و ۱۴؛ ص (۱۳۴۰-۱۳۴۶) مختصر [ف: ۱۲۵]</w:t>
      </w:r>
    </w:p>
    <w:p>
      <w:pPr>
        <w:pStyle w:val="Heading3"/>
      </w:pPr>
      <w:bookmarkStart w:id="2092" w:name="_Toc1352"/>
      <w:r>
        <w:t>•تاریخ بایزید خواندگار روم / تاریخ / فارسی</w:t>
      </w:r>
      <w:bookmarkEnd w:id="2092"/>
    </w:p>
    <w:p>
      <w:pPr>
        <w:pStyle w:val="BookText"/>
      </w:pPr>
      <w:r>
        <w:rPr>
          <w:rFonts w:ascii="Times New Roman" w:hAnsi="Times New Roman" w:eastAsia="Times New Roman" w:cs="Times New Roman"/>
          <w:lang w:val="en-US" w:bidi="en-US"/>
          <w:color w:val="111111"/>
          <w:sz w:val="28"/>
          <w:szCs w:val="28"/>
          <w:rtl/>
        </w:rPr>
        <w:t xml:space="preserve">tārīx-e bāyazīd xāndegār-e rūm</w:t>
      </w:r>
    </w:p>
    <w:p>
      <w:pPr>
        <w:pStyle w:val="BookText"/>
      </w:pPr>
      <w:r>
        <w:rPr>
          <w:rFonts w:ascii="IRNazanin" w:hAnsi="IRNazanin" w:eastAsia="IRNazanin" w:cs="IRNazanin"/>
          <w:lang w:bidi="fa-IR"/>
          <w:color w:val="111111"/>
          <w:sz w:val="28"/>
          <w:szCs w:val="28"/>
          <w:rtl/>
        </w:rPr>
        <w:t xml:space="preserve">[دنا ۶۸۲/۲ ]</w:t>
      </w:r>
    </w:p>
    <w:p>
      <w:pPr>
        <w:pStyle w:val="BookText"/>
      </w:pPr>
      <w:r>
        <w:rPr>
          <w:rFonts w:ascii="IRNazanin" w:hAnsi="IRNazanin" w:eastAsia="IRNazanin" w:cs="IRNazanin"/>
          <w:lang w:bidi="fa-IR"/>
          <w:color w:val="111111"/>
          <w:sz w:val="28"/>
          <w:szCs w:val="28"/>
          <w:rtl/>
        </w:rPr>
        <w:t xml:space="preserve">تهران؛ دانشگاه؛ شماره نسخه:۳۶۷۷ و ۳۶۷۸عکس</w:t>
      </w:r>
    </w:p>
    <w:p>
      <w:pPr>
        <w:pStyle w:val="BookText"/>
      </w:pPr>
      <w:r>
        <w:rPr>
          <w:rFonts w:ascii="IRNazanin" w:hAnsi="IRNazanin" w:eastAsia="IRNazanin" w:cs="IRNazanin"/>
          <w:lang w:bidi="fa-IR"/>
          <w:color w:val="111111"/>
          <w:sz w:val="28"/>
          <w:szCs w:val="28"/>
          <w:rtl/>
        </w:rPr>
        <w:t xml:space="preserve">نسخه اصل: موزه آسیایی آکادمی علوم شوروی </w:t>
      </w:r>
      <w:r>
        <w:rPr>
          <w:rFonts w:ascii="Times New Roman" w:hAnsi="Times New Roman" w:eastAsia="Times New Roman" w:cs="Times New Roman"/>
          <w:lang w:val="en-US" w:bidi="en-US"/>
          <w:color w:val="111111"/>
          <w:sz w:val="28"/>
          <w:szCs w:val="28"/>
          <w:rtl/>
        </w:rPr>
        <w:t xml:space="preserve">CCC. II </w:t>
      </w:r>
      <w:r>
        <w:rPr>
          <w:rFonts w:ascii="IRNazanin" w:hAnsi="IRNazanin" w:eastAsia="IRNazanin" w:cs="IRNazanin"/>
          <w:lang w:bidi="fa-IR"/>
          <w:color w:val="111111"/>
          <w:sz w:val="28"/>
          <w:szCs w:val="28"/>
          <w:rtl/>
        </w:rPr>
        <w:t xml:space="preserve">؛ خط: نستعلیق، كا: على رضا عباسی، تا: ۱۰۱۰ق؛ واقف: شاه عباس برای آستانه شاه صفی؛ ۱۴۵گ [فیلمها ف: ۱-۳۰]</w:t>
      </w:r>
    </w:p>
    <w:p>
      <w:pPr>
        <w:pStyle w:val="BookText"/>
      </w:pPr>
      <w:r>
        <w:rPr>
          <w:rFonts w:ascii="IRNazanin" w:hAnsi="IRNazanin" w:eastAsia="IRNazanin" w:cs="IRNazanin"/>
          <w:lang w:bidi="fa-IR"/>
          <w:color w:val="111111"/>
          <w:sz w:val="28"/>
          <w:szCs w:val="28"/>
          <w:rtl/>
        </w:rPr>
        <w:t xml:space="preserve">تهران؛ ملی؛ شماره نسخه:عکسی بدون شماره</w:t>
      </w:r>
    </w:p>
    <w:p>
      <w:pPr>
        <w:pStyle w:val="BookText"/>
      </w:pPr>
      <w:r>
        <w:rPr>
          <w:rFonts w:ascii="IRNazanin" w:hAnsi="IRNazanin" w:eastAsia="IRNazanin" w:cs="IRNazanin"/>
          <w:lang w:bidi="fa-IR"/>
          <w:color w:val="111111"/>
          <w:sz w:val="28"/>
          <w:szCs w:val="28"/>
          <w:rtl/>
        </w:rPr>
        <w:t xml:space="preserve">نسخه اصل: همان نسخه اصل بالا [نشریه: ۳-۱۰۰]</w:t>
      </w:r>
    </w:p>
    <w:p>
      <w:pPr>
        <w:pStyle w:val="Heading3"/>
      </w:pPr>
      <w:bookmarkStart w:id="2093" w:name="_Toc1353"/>
      <w:r>
        <w:t>•تاریخ بجوی / تاریخ / ترکی</w:t>
      </w:r>
      <w:bookmarkEnd w:id="2093"/>
    </w:p>
    <w:p>
      <w:pPr>
        <w:pStyle w:val="BookText"/>
      </w:pPr>
      <w:r>
        <w:rPr>
          <w:rFonts w:ascii="Times New Roman" w:hAnsi="Times New Roman" w:eastAsia="Times New Roman" w:cs="Times New Roman"/>
          <w:lang w:val="en-US" w:bidi="en-US"/>
          <w:color w:val="111111"/>
          <w:sz w:val="28"/>
          <w:szCs w:val="28"/>
          <w:rtl/>
        </w:rPr>
        <w:t xml:space="preserve">tārīx-e bajavī</w:t>
      </w:r>
    </w:p>
    <w:p>
      <w:pPr>
        <w:pStyle w:val="BookText"/>
      </w:pPr>
      <w:r>
        <w:rPr>
          <w:rFonts w:ascii="IRNazanin" w:hAnsi="IRNazanin" w:eastAsia="IRNazanin" w:cs="IRNazanin"/>
          <w:lang w:bidi="fa-IR"/>
          <w:color w:val="111111"/>
          <w:sz w:val="28"/>
          <w:szCs w:val="28"/>
          <w:rtl/>
        </w:rPr>
        <w:t xml:space="preserve">ابراهیم افندی</w:t>
      </w:r>
    </w:p>
    <w:p>
      <w:pPr>
        <w:pStyle w:val="BookText"/>
      </w:pPr>
      <w:r>
        <w:rPr>
          <w:rFonts w:ascii="Times New Roman" w:hAnsi="Times New Roman" w:eastAsia="Times New Roman" w:cs="Times New Roman"/>
          <w:lang w:val="en-US" w:bidi="en-US"/>
          <w:color w:val="111111"/>
          <w:sz w:val="28"/>
          <w:szCs w:val="28"/>
          <w:rtl/>
        </w:rPr>
        <w:t xml:space="preserve">ebrāhīm afandi</w:t>
      </w:r>
    </w:p>
    <w:p>
      <w:pPr>
        <w:pStyle w:val="BookText"/>
      </w:pPr>
      <w:r>
        <w:rPr>
          <w:rFonts w:ascii="IRNazanin" w:hAnsi="IRNazanin" w:eastAsia="IRNazanin" w:cs="IRNazanin"/>
          <w:lang w:bidi="fa-IR"/>
          <w:color w:val="111111"/>
          <w:sz w:val="28"/>
          <w:szCs w:val="28"/>
          <w:rtl/>
        </w:rPr>
        <w:t xml:space="preserve">تاریخ مفصل عصر سلطان سلیمان خان عثمانی است که مؤلف از افراد مورد اعتماد شنیده و درباره گفته ها بررسی کرده و در این کتاب تدوین نموده است. در آغاز این کتاب خاندان سلاطین عثمانی با اختصار پس از آن صدر اعظم های سلیمان خان و وزرای او رجال درباری و مشاهير علما و فضلا و مشایخ آن عصر نگارش یافته پس از آن از سال ۹۲۶ تا سال ۱۰۴۹ تاریخ سنواتی است با فواید تاریخی متفرقه ای که به مناسبت مطالب اضافه شده است.</w:t>
      </w:r>
    </w:p>
    <w:p>
      <w:pPr>
        <w:pStyle w:val="BookText"/>
      </w:pPr>
      <w:r>
        <w:rPr>
          <w:rFonts w:ascii="IRNazanin" w:hAnsi="IRNazanin" w:eastAsia="IRNazanin" w:cs="IRNazanin"/>
          <w:lang w:bidi="fa-IR"/>
          <w:color w:val="111111"/>
          <w:sz w:val="28"/>
          <w:szCs w:val="28"/>
          <w:rtl/>
        </w:rPr>
        <w:t xml:space="preserve">قم؛ مرعشی؛ شماره نسخه:۶۶۸۸</w:t>
      </w:r>
    </w:p>
    <w:p>
      <w:pPr>
        <w:pStyle w:val="BookText"/>
      </w:pPr>
      <w:r>
        <w:rPr>
          <w:rFonts w:ascii="IRNazanin" w:hAnsi="IRNazanin" w:eastAsia="IRNazanin" w:cs="IRNazanin"/>
          <w:lang w:bidi="fa-IR"/>
          <w:color w:val="111111"/>
          <w:sz w:val="28"/>
          <w:szCs w:val="28"/>
          <w:rtl/>
        </w:rPr>
        <w:t xml:space="preserve">آغاز: حمدا لرب من عبد ذليل ... اما بعد خلال صفا و اخوان با وفاية خفی و پوشیده اولميه؛ انجام: بلکه لطف و احسانیکه معامله ایدوب طريق عدلیه کتميه بمنه و لطفه خط: نسخ، بی کا، بی تا، تملك: عثمان كاتب مصرف به تاریخ ۱۴ ربیع الاول ۱۱۶۸، سید مصطفی مسعود سر اطبا خاصه به تاریخ ۱۲۲۷؛ جلد: تیماج قرمز عطف تیماج قهوه ای، ۵۰۲گ، ۱۵ سطر، اندازه: ۲۰۱۴/۵ سم [ف: ۱۷-۲۴۹]</w:t>
      </w:r>
    </w:p>
    <w:p>
      <w:pPr>
        <w:pStyle w:val="Heading3"/>
      </w:pPr>
      <w:bookmarkStart w:id="2094" w:name="_Toc1354"/>
      <w:r>
        <w:t>•تاریخ بحر الانساب در شرح حال شیخ احمد جام / تراجم / فارسی</w:t>
      </w:r>
      <w:bookmarkEnd w:id="2094"/>
    </w:p>
    <w:p>
      <w:pPr>
        <w:pStyle w:val="BookText"/>
      </w:pPr>
      <w:r>
        <w:rPr>
          <w:rFonts w:ascii="Times New Roman" w:hAnsi="Times New Roman" w:eastAsia="Times New Roman" w:cs="Times New Roman"/>
          <w:lang w:val="en-US" w:bidi="en-US"/>
          <w:color w:val="111111"/>
          <w:sz w:val="28"/>
          <w:szCs w:val="28"/>
          <w:rtl/>
        </w:rPr>
        <w:t xml:space="preserve">tārīx-e bahr-ol ansāb dar š.-e hāl-e šeyx ahmad-e jām</w:t>
      </w:r>
    </w:p>
    <w:p>
      <w:pPr>
        <w:pStyle w:val="BookText"/>
      </w:pPr>
      <w:r>
        <w:rPr>
          <w:rFonts w:ascii="IRNazanin" w:hAnsi="IRNazanin" w:eastAsia="IRNazanin" w:cs="IRNazanin"/>
          <w:lang w:bidi="fa-IR"/>
          <w:color w:val="111111"/>
          <w:sz w:val="28"/>
          <w:szCs w:val="28"/>
          <w:rtl/>
        </w:rPr>
        <w:t xml:space="preserve">حکیم جامی نامقی، محمد</w:t>
      </w:r>
    </w:p>
    <w:p>
      <w:pPr>
        <w:pStyle w:val="BookText"/>
      </w:pPr>
      <w:r>
        <w:rPr>
          <w:rFonts w:ascii="Times New Roman" w:hAnsi="Times New Roman" w:eastAsia="Times New Roman" w:cs="Times New Roman"/>
          <w:lang w:val="en-US" w:bidi="en-US"/>
          <w:color w:val="111111"/>
          <w:sz w:val="28"/>
          <w:szCs w:val="28"/>
          <w:rtl/>
        </w:rPr>
        <w:t xml:space="preserve">hakīm jāmī nāmedī, mohammad</w:t>
      </w:r>
    </w:p>
    <w:p>
      <w:pPr>
        <w:pStyle w:val="BookText"/>
      </w:pPr>
      <w:r>
        <w:rPr>
          <w:rFonts w:ascii="IRNazanin" w:hAnsi="IRNazanin" w:eastAsia="IRNazanin" w:cs="IRNazanin"/>
          <w:lang w:bidi="fa-IR"/>
          <w:color w:val="111111"/>
          <w:sz w:val="28"/>
          <w:szCs w:val="28"/>
          <w:rtl/>
        </w:rPr>
        <w:t xml:space="preserve">تهران؛ مجلس؛ شماره نسخه:۱۷۸۲۷</w:t>
      </w:r>
    </w:p>
    <w:p>
      <w:pPr>
        <w:pStyle w:val="BookText"/>
      </w:pPr>
      <w:r>
        <w:rPr>
          <w:rFonts w:ascii="IRNazanin" w:hAnsi="IRNazanin" w:eastAsia="IRNazanin" w:cs="IRNazanin"/>
          <w:lang w:bidi="fa-IR"/>
          <w:color w:val="111111"/>
          <w:sz w:val="28"/>
          <w:szCs w:val="28"/>
          <w:rtl/>
        </w:rPr>
        <w:t xml:space="preserve">بی کا، بی تا [د.ث. مجلس]</w:t>
      </w:r>
    </w:p>
    <w:p>
      <w:pPr>
        <w:pStyle w:val="Heading3"/>
      </w:pPr>
      <w:bookmarkStart w:id="2095" w:name="_Toc1355"/>
      <w:r>
        <w:t>•تاريخ البحرین و تراجم أعلامه = الذخائر في جغرافيا البنادر و الجزائر / جغرافیا، تراجم / عربی</w:t>
      </w:r>
      <w:bookmarkEnd w:id="2095"/>
    </w:p>
    <w:p>
      <w:pPr>
        <w:pStyle w:val="BookText"/>
      </w:pPr>
      <w:r>
        <w:rPr>
          <w:rFonts w:ascii="Times New Roman" w:hAnsi="Times New Roman" w:eastAsia="Times New Roman" w:cs="Times New Roman"/>
          <w:lang w:val="en-US" w:bidi="en-US"/>
          <w:color w:val="111111"/>
          <w:sz w:val="28"/>
          <w:szCs w:val="28"/>
          <w:rtl/>
        </w:rPr>
        <w:t xml:space="preserve">tārīx-ul bahrayn wa tarājim-u aʻlām-ih</w:t>
      </w:r>
    </w:p>
    <w:p>
      <w:pPr>
        <w:pStyle w:val="BookText"/>
      </w:pPr>
      <w:r>
        <w:rPr>
          <w:rFonts w:ascii="IRNazanin" w:hAnsi="IRNazanin" w:eastAsia="IRNazanin" w:cs="IRNazanin"/>
          <w:lang w:bidi="fa-IR"/>
          <w:color w:val="111111"/>
          <w:sz w:val="28"/>
          <w:szCs w:val="28"/>
          <w:rtl/>
        </w:rPr>
        <w:t xml:space="preserve">آل عصفور، محمد علی بن محمد نقی، ۱۲۸۹-۱۳۵۰ قمری</w:t>
      </w:r>
    </w:p>
    <w:p>
      <w:pPr>
        <w:pStyle w:val="BookText"/>
      </w:pPr>
      <w:r>
        <w:rPr>
          <w:rFonts w:ascii="Times New Roman" w:hAnsi="Times New Roman" w:eastAsia="Times New Roman" w:cs="Times New Roman"/>
          <w:lang w:val="en-US" w:bidi="en-US"/>
          <w:color w:val="111111"/>
          <w:sz w:val="28"/>
          <w:szCs w:val="28"/>
          <w:rtl/>
        </w:rPr>
        <w:t xml:space="preserve">āl-e ‘osfūr, mohammad 'alī ebn-e mohammad naqi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401" w:name="pg20363_209696"/>
    <w:bookmarkEnd w:id="401"/>
    <w:p>
      <w:pPr>
        <w:pStyle w:val="BookText"/>
      </w:pPr>
      <w:r>
        <w:rPr>
          <w:rFonts w:ascii="Times New Roman" w:hAnsi="Times New Roman" w:eastAsia="Times New Roman" w:cs="Times New Roman"/>
          <w:lang w:val="en-US" w:bidi="en-US"/>
          <w:color w:val="111111"/>
          <w:sz w:val="28"/>
          <w:szCs w:val="28"/>
          <w:rtl/>
        </w:rPr>
        <w:t xml:space="preserve">(1872-1932)</w:t>
      </w:r>
    </w:p>
    <w:p>
      <w:pPr>
        <w:pStyle w:val="BookText"/>
      </w:pPr>
      <w:r>
        <w:rPr>
          <w:rFonts w:ascii="Amiri" w:hAnsi="Amiri" w:eastAsia="Amiri" w:cs="Amiri"/>
          <w:lang w:bidi="ar-SA"/>
          <w:color w:val="111111"/>
          <w:sz w:val="28"/>
          <w:szCs w:val="28"/>
          <w:rtl/>
        </w:rPr>
        <w:t xml:space="preserve">تاريخ تأليف: جمعه ۱۲ شعبان ۱۳۱۹ق</w:t>
      </w:r>
    </w:p>
    <w:p>
      <w:pPr>
        <w:pStyle w:val="BookText"/>
      </w:pPr>
      <w:r>
        <w:rPr>
          <w:rFonts w:ascii="IRNazanin" w:hAnsi="IRNazanin" w:eastAsia="IRNazanin" w:cs="IRNazanin"/>
          <w:lang w:bidi="fa-IR"/>
          <w:color w:val="111111"/>
          <w:sz w:val="28"/>
          <w:szCs w:val="28"/>
          <w:rtl/>
        </w:rPr>
        <w:t xml:space="preserve">تاریخ بحرین و بیان وضعیت جغرافیایی این منطقه و شرح حال علمای بحرین است در یازده «باب»: ۱. مشتمل على عدد قریها و أساميها و غير ذلك من المطالب؛ ۲. أقسام فواكها و رطبها و تمرها؛ ۳. عيونها؛ ۴. ذکر ملوك البحرين و ما وقع عليها؛ ۵. ما وقع عليها بعد ظهور الاسلام؛ ۶. ذكر مشایخ آل مذکور؛ ۷. نبذة</w:t>
      </w:r>
    </w:p>
    <w:p>
      <w:pPr>
        <w:pStyle w:val="BookText"/>
      </w:pPr>
      <w:r>
        <w:rPr>
          <w:rFonts w:ascii="IRNazanin" w:hAnsi="IRNazanin" w:eastAsia="IRNazanin" w:cs="IRNazanin"/>
          <w:lang w:bidi="fa-IR"/>
          <w:color w:val="111111"/>
          <w:sz w:val="28"/>
          <w:szCs w:val="28"/>
          <w:rtl/>
        </w:rPr>
        <w:t xml:space="preserve">من مكاتبات السلاطين مع مشايخ آل مذکور، فصل في أسماک البحرين و حوتها، فصل في ذكر تكون الؤلؤة؛ ۸ ذکر مواضع البحرين التي ضبطها صاحب القاموس؛ ۹. ذكر الوقعات البحرين و ما صدر عليها من كلام على (علیه السلام)؛ ۱۰. قصة الوزير مع أهل البحرين بالرمانة؛ ۱۱. ذكر محاسن أهل البحرين و شعرائها. مفصل ترین بخش کتاب به شرح حال علمای بحرین اختصاص دارد و در این باب ترجمه جمعی از علمای آل عصفور نیز درج شده و در خاتمه، شرح حال و آثار مؤلف به عنوان «حالات مؤلف الكتاب» آمده است و از تألیفات خود نام برده است از آن جمله: جلاء الضمير في حل مشکلات آية التطهير؛ جلاء الضمایر في انتصار ابن عامر؛ تحف الخواص في شرح سورة الاخلاص؛ طبقات النحاة؛ حاشية على الألفية؛ دقایق الحقايق في انتصار صابح الحدائق؛ الفوائد الجميلة في الرسائل الجليلة.</w:t>
      </w:r>
    </w:p>
    <w:p>
      <w:pPr>
        <w:pStyle w:val="BookText"/>
      </w:pPr>
      <w:r>
        <w:rPr>
          <w:rFonts w:ascii="Amiri" w:hAnsi="Amiri" w:eastAsia="Amiri" w:cs="Amiri"/>
          <w:lang w:bidi="ar-SA"/>
          <w:color w:val="111111"/>
          <w:sz w:val="28"/>
          <w:szCs w:val="28"/>
          <w:rtl/>
        </w:rPr>
        <w:t xml:space="preserve">آغاز: الحمدلله الذي فاوت بين العباد و فضل بعض خلقه على بعض حتى في الأمكنة و البلاد</w:t>
      </w:r>
    </w:p>
    <w:p>
      <w:pPr>
        <w:pStyle w:val="BookText"/>
      </w:pPr>
      <w:r>
        <w:rPr>
          <w:rFonts w:ascii="IRNazanin" w:hAnsi="IRNazanin" w:eastAsia="IRNazanin" w:cs="IRNazanin"/>
          <w:lang w:bidi="fa-IR"/>
          <w:color w:val="111111"/>
          <w:sz w:val="28"/>
          <w:szCs w:val="28"/>
          <w:rtl/>
        </w:rPr>
        <w:t xml:space="preserve">١. مشهد؛ رضوی؛ شماره نسخه:۱۸۵۴۹</w:t>
      </w:r>
    </w:p>
    <w:p>
      <w:pPr>
        <w:pStyle w:val="BookText"/>
      </w:pPr>
      <w:r>
        <w:rPr>
          <w:rFonts w:ascii="IRNazanin" w:hAnsi="IRNazanin" w:eastAsia="IRNazanin" w:cs="IRNazanin"/>
          <w:lang w:bidi="fa-IR"/>
          <w:color w:val="111111"/>
          <w:sz w:val="28"/>
          <w:szCs w:val="28"/>
          <w:rtl/>
        </w:rPr>
        <w:t xml:space="preserve">آغاز: بسمله، الحمدلله الذي خلق كره الأرض على وفق؛ انجام: جهة الشمال ۲۰ دقیقه و طوله ۵۰ درجه ۲۰ دقیقه جهة الشرق.</w:t>
      </w:r>
    </w:p>
    <w:p>
      <w:pPr>
        <w:pStyle w:val="BookText"/>
      </w:pPr>
      <w:r>
        <w:rPr>
          <w:rFonts w:ascii="IRNazanin" w:hAnsi="IRNazanin" w:eastAsia="IRNazanin" w:cs="IRNazanin"/>
          <w:lang w:bidi="fa-IR"/>
          <w:color w:val="111111"/>
          <w:sz w:val="28"/>
          <w:szCs w:val="28"/>
          <w:rtl/>
        </w:rPr>
        <w:t xml:space="preserve">خط: نسخ تحریری، کاتب = مؤلف، تا: قرن ۱۴ [رایانه]</w:t>
      </w:r>
    </w:p>
    <w:p>
      <w:pPr>
        <w:pStyle w:val="BookText"/>
      </w:pPr>
      <w:r>
        <w:rPr>
          <w:rFonts w:ascii="IRNazanin" w:hAnsi="IRNazanin" w:eastAsia="IRNazanin" w:cs="IRNazanin"/>
          <w:lang w:bidi="fa-IR"/>
          <w:color w:val="111111"/>
          <w:sz w:val="28"/>
          <w:szCs w:val="28"/>
          <w:rtl/>
        </w:rPr>
        <w:t xml:space="preserve">۲. قم؛ مرعشی؛ شماره نسخه:۱۳۸۹ عکسی</w:t>
      </w:r>
    </w:p>
    <w:p>
      <w:pPr>
        <w:pStyle w:val="BookText"/>
      </w:pPr>
      <w:r>
        <w:rPr>
          <w:rFonts w:ascii="IRNazanin" w:hAnsi="IRNazanin" w:eastAsia="IRNazanin" w:cs="IRNazanin"/>
          <w:lang w:bidi="fa-IR"/>
          <w:color w:val="111111"/>
          <w:sz w:val="28"/>
          <w:szCs w:val="28"/>
          <w:rtl/>
        </w:rPr>
        <w:t xml:space="preserve">آغاز: برابر؛ انجام: انما شهرة العالم بمصنفاته و مؤلفاته و كان ذلك في يوم الجمعة ... نسخه اصل: کتابخانه سید هادی آل باليل موسوی دروقی در قم؛ خط: نسخ، كاتب = مؤلف، تا: جمعه ۱۲ شعبان ۱۳۱۹ق؛ تملک: هادی بن سید یاسین آل باليل موسوی در شعبان ۱۴۰۹ و مهر مكتبه وی؛ ۲۷۸ص، ۱۵سطر [عکسی ف: ۴-۱۸۲]</w:t>
      </w:r>
    </w:p>
    <w:p>
      <w:pPr>
        <w:pStyle w:val="BookText"/>
      </w:pPr>
      <w:r>
        <w:rPr>
          <w:rFonts w:ascii="IRNazanin" w:hAnsi="IRNazanin" w:eastAsia="IRNazanin" w:cs="IRNazanin"/>
          <w:lang w:bidi="fa-IR"/>
          <w:color w:val="111111"/>
          <w:sz w:val="28"/>
          <w:szCs w:val="28"/>
          <w:rtl/>
        </w:rPr>
        <w:t xml:space="preserve">٣. قم: مرکز احیاء؛ شماره نسخه: ۳۴۰</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كاتب = مؤلف، بی تا؛ ۱۴۵ ص [عکسی ف: ۱-۳۹۹]</w:t>
      </w:r>
    </w:p>
    <w:p>
      <w:pPr>
        <w:pStyle w:val="BookText"/>
      </w:pPr>
      <w:r>
        <w:rPr>
          <w:rFonts w:ascii="IRNazanin" w:hAnsi="IRNazanin" w:eastAsia="IRNazanin" w:cs="IRNazanin"/>
          <w:lang w:bidi="fa-IR"/>
          <w:color w:val="111111"/>
          <w:sz w:val="28"/>
          <w:szCs w:val="28"/>
          <w:rtl/>
        </w:rPr>
        <w:t xml:space="preserve">۴. مشهد؛ رضوی؛ شماره نسخه: ۱۷۹۳۹</w:t>
      </w:r>
    </w:p>
    <w:p>
      <w:pPr>
        <w:pStyle w:val="BookText"/>
      </w:pPr>
      <w:r>
        <w:rPr>
          <w:rFonts w:ascii="IRNazanin" w:hAnsi="IRNazanin" w:eastAsia="IRNazanin" w:cs="IRNazanin"/>
          <w:lang w:bidi="fa-IR"/>
          <w:color w:val="111111"/>
          <w:sz w:val="28"/>
          <w:szCs w:val="28"/>
          <w:rtl/>
        </w:rPr>
        <w:t xml:space="preserve">آغاز: برابر؛ انجام: و انما شهره العالم بصنفاته و مؤلفاته سنه ۱۳۱۹</w:t>
      </w:r>
    </w:p>
    <w:p>
      <w:pPr>
        <w:pStyle w:val="BookText"/>
      </w:pPr>
      <w:r>
        <w:rPr>
          <w:rFonts w:ascii="IRNazanin" w:hAnsi="IRNazanin" w:eastAsia="IRNazanin" w:cs="IRNazanin"/>
          <w:lang w:bidi="fa-IR"/>
          <w:color w:val="111111"/>
          <w:sz w:val="28"/>
          <w:szCs w:val="28"/>
          <w:rtl/>
        </w:rPr>
        <w:t xml:space="preserve">خط: نسخ شکسته، بی کا، تا: ۱۳۱۹ق؛ کاغذ: حنایی، جلد: مقوا، ۷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[رایانه]</w:t>
      </w:r>
    </w:p>
    <w:p>
      <w:pPr>
        <w:pStyle w:val="Heading3"/>
      </w:pPr>
      <w:bookmarkStart w:id="2096" w:name="_Toc1356"/>
      <w:r>
        <w:t>•تاریخ بخارا (ترجمه) / تاریخ ایران / فارسی</w:t>
      </w:r>
      <w:bookmarkEnd w:id="2096"/>
    </w:p>
    <w:p>
      <w:pPr>
        <w:pStyle w:val="BookText"/>
      </w:pPr>
      <w:r>
        <w:rPr>
          <w:rFonts w:ascii="Times New Roman" w:hAnsi="Times New Roman" w:eastAsia="Times New Roman" w:cs="Times New Roman"/>
          <w:lang w:val="en-US" w:bidi="en-US"/>
          <w:color w:val="111111"/>
          <w:sz w:val="28"/>
          <w:szCs w:val="28"/>
          <w:rtl/>
        </w:rPr>
        <w:t xml:space="preserve">tārīx-e boxārā (t.)</w:t>
      </w:r>
    </w:p>
    <w:p>
      <w:pPr>
        <w:pStyle w:val="BookText"/>
      </w:pPr>
      <w:r>
        <w:rPr>
          <w:rFonts w:ascii="IRNazanin" w:hAnsi="IRNazanin" w:eastAsia="IRNazanin" w:cs="IRNazanin"/>
          <w:lang w:bidi="fa-IR"/>
          <w:color w:val="111111"/>
          <w:sz w:val="28"/>
          <w:szCs w:val="28"/>
          <w:rtl/>
        </w:rPr>
        <w:t xml:space="preserve">ابونصر بخاری، احمد بن محمد، ق۶ قمری</w:t>
      </w:r>
    </w:p>
    <w:p>
      <w:pPr>
        <w:pStyle w:val="BookText"/>
      </w:pPr>
      <w:r>
        <w:rPr>
          <w:rFonts w:ascii="Times New Roman" w:hAnsi="Times New Roman" w:eastAsia="Times New Roman" w:cs="Times New Roman"/>
          <w:lang w:val="en-US" w:bidi="en-US"/>
          <w:color w:val="111111"/>
          <w:sz w:val="28"/>
          <w:szCs w:val="28"/>
          <w:rtl/>
        </w:rPr>
        <w:t xml:space="preserve">abū-nasr-e boxārī, ahmad ebn-e mohammad (-12c)</w:t>
      </w:r>
    </w:p>
    <w:p>
      <w:pPr>
        <w:pStyle w:val="BookText"/>
      </w:pPr>
      <w:r>
        <w:rPr>
          <w:rFonts w:ascii="IRNazanin" w:hAnsi="IRNazanin" w:eastAsia="IRNazanin" w:cs="IRNazanin"/>
          <w:lang w:bidi="fa-IR"/>
          <w:color w:val="111111"/>
          <w:sz w:val="28"/>
          <w:szCs w:val="28"/>
          <w:rtl/>
        </w:rPr>
        <w:t xml:space="preserve">تاریخ تأليف: ۵۲۲ق کتاب تأليف ابوبکر محمد بن جعفر نرشخی (۲۸۶-۳۴۸) است که به نام ابو محمد نوح بن نصر بن أحمد سامانی (۳۳۲) ساخته و این کتاب را ابو نصر احمد بن محمد بن نصر قباوی از عربی به فارسی ترجمه کرده است. آغاز: چنین گوید ابونصر بن احمد چاپ: ترجمه فارسی این کتاب توسط مسيو «شارل شفر» مستشرق فرانسوی در ۱۸۹۲ در پاریس چاپ شده است؛ مدرس رضوی در سال ۱۳۱۷ش در تهران چاپ کرد. [استوری ۳۷۰ و ۱۳۰۰؛ دنا ۶۸۲/۲ ؛ فهرستواره منزوی ۸۴۹/۲ ]</w:t>
      </w:r>
    </w:p>
    <w:p>
      <w:pPr>
        <w:pStyle w:val="BookText"/>
      </w:pPr>
      <w:r>
        <w:rPr>
          <w:rFonts w:ascii="IRNazanin" w:hAnsi="IRNazanin" w:eastAsia="IRNazanin" w:cs="IRNazanin"/>
          <w:lang w:bidi="fa-IR"/>
          <w:color w:val="111111"/>
          <w:sz w:val="28"/>
          <w:szCs w:val="28"/>
          <w:rtl/>
        </w:rPr>
        <w:t xml:space="preserve">۱. تهران: دانشگاه؛ شماره نسخه: ۶۴۲-ف</w:t>
      </w:r>
    </w:p>
    <w:p>
      <w:pPr>
        <w:pStyle w:val="BookText"/>
      </w:pPr>
      <w:r>
        <w:rPr>
          <w:rFonts w:ascii="IRNazanin" w:hAnsi="IRNazanin" w:eastAsia="IRNazanin" w:cs="IRNazanin"/>
          <w:lang w:bidi="fa-IR"/>
          <w:color w:val="111111"/>
          <w:sz w:val="28"/>
          <w:szCs w:val="28"/>
          <w:rtl/>
        </w:rPr>
        <w:t xml:space="preserve">نسخه اصل: بغدادلی وهبی ش ۱۱۳۰؛ خط: نستعلیق، بی کا، تا: قرن ۹، ۱۱۱ [فیلمها ف: ۱-۳۱]</w:t>
      </w:r>
    </w:p>
    <w:p>
      <w:pPr>
        <w:pStyle w:val="BookText"/>
      </w:pPr>
      <w:r>
        <w:rPr>
          <w:rFonts w:ascii="IRNazanin" w:hAnsi="IRNazanin" w:eastAsia="IRNazanin" w:cs="IRNazanin"/>
          <w:lang w:bidi="fa-IR"/>
          <w:color w:val="111111"/>
          <w:sz w:val="28"/>
          <w:szCs w:val="28"/>
          <w:rtl/>
        </w:rPr>
        <w:t xml:space="preserve">۲. تهران؛ سپهسالار؛ شماره نسخه:۱۶۴۲/۲</w:t>
      </w:r>
    </w:p>
    <w:p>
      <w:pPr>
        <w:pStyle w:val="BookText"/>
      </w:pPr>
      <w:r>
        <w:rPr>
          <w:rFonts w:ascii="IRNazanin" w:hAnsi="IRNazanin" w:eastAsia="IRNazanin" w:cs="IRNazanin"/>
          <w:lang w:bidi="fa-IR"/>
          <w:color w:val="111111"/>
          <w:sz w:val="28"/>
          <w:szCs w:val="28"/>
          <w:rtl/>
        </w:rPr>
        <w:t xml:space="preserve">خط: نستعلیق، كا: سناء الملة بن ضیاء الحق بن حاج مولوی، تا: ۱۲۳۵ق؛ ۷۴گ (۳۷پ -۱۱۰ر) [ف: ۳-۲۹۶]</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 ۲۲۵/۲</w:t>
      </w:r>
    </w:p>
    <w:p>
      <w:pPr>
        <w:pStyle w:val="BookText"/>
      </w:pPr>
      <w:r>
        <w:rPr>
          <w:rFonts w:ascii="IRNazanin" w:hAnsi="IRNazanin" w:eastAsia="IRNazanin" w:cs="IRNazanin"/>
          <w:lang w:bidi="fa-IR"/>
          <w:color w:val="111111"/>
          <w:sz w:val="28"/>
          <w:szCs w:val="28"/>
          <w:rtl/>
        </w:rPr>
        <w:t xml:space="preserve">آغاز: برابر خط: نستعلیق شکسته، بی کا، تا: ۱۳۰۱ ق، کاغذ: فرنگی مخطط، ۱۵ سطر، قطع: وزیری،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۲-۱۲۶]</w:t>
      </w:r>
    </w:p>
    <w:p>
      <w:pPr>
        <w:pStyle w:val="BookText"/>
      </w:pPr>
      <w:r>
        <w:rPr>
          <w:rFonts w:ascii="IRNazanin" w:hAnsi="IRNazanin" w:eastAsia="IRNazanin" w:cs="IRNazanin"/>
          <w:lang w:bidi="fa-IR"/>
          <w:color w:val="111111"/>
          <w:sz w:val="28"/>
          <w:szCs w:val="28"/>
          <w:rtl/>
        </w:rPr>
        <w:t xml:space="preserve">۴. تهران: دانشگاه؛ شماره نسخه:۲۶۲۶-ف</w:t>
      </w:r>
    </w:p>
    <w:p>
      <w:pPr>
        <w:pStyle w:val="BookText"/>
      </w:pPr>
      <w:r>
        <w:rPr>
          <w:rFonts w:ascii="IRNazanin" w:hAnsi="IRNazanin" w:eastAsia="IRNazanin" w:cs="IRNazanin"/>
          <w:lang w:bidi="fa-IR"/>
          <w:color w:val="111111"/>
          <w:sz w:val="28"/>
          <w:szCs w:val="28"/>
          <w:rtl/>
        </w:rPr>
        <w:t xml:space="preserve">نسخه اصل: پاریس شماره ۱۵۱۳ فارسی؛ بی کا، بی تا [فیلمها ف: ۳۱-۱ ]</w:t>
      </w:r>
    </w:p>
    <w:p>
      <w:pPr>
        <w:pStyle w:val="BookText"/>
      </w:pPr>
      <w:r>
        <w:rPr>
          <w:rFonts w:ascii="IRNazanin" w:hAnsi="IRNazanin" w:eastAsia="IRNazanin" w:cs="IRNazanin"/>
          <w:lang w:bidi="fa-IR"/>
          <w:color w:val="111111"/>
          <w:sz w:val="28"/>
          <w:szCs w:val="28"/>
          <w:rtl/>
        </w:rPr>
        <w:t xml:space="preserve">۵. تهران: دانشگاه؛ شماره نسخه:۲۶۲۷-ف</w:t>
      </w:r>
    </w:p>
    <w:p>
      <w:pPr>
        <w:pStyle w:val="BookText"/>
      </w:pPr>
      <w:r>
        <w:rPr>
          <w:rFonts w:ascii="IRNazanin" w:hAnsi="IRNazanin" w:eastAsia="IRNazanin" w:cs="IRNazanin"/>
          <w:lang w:bidi="fa-IR"/>
          <w:color w:val="111111"/>
          <w:sz w:val="28"/>
          <w:szCs w:val="28"/>
          <w:rtl/>
        </w:rPr>
        <w:t xml:space="preserve">نسخه اصل: پاریس ش ۱۵۲۲ فارسی؛ بی کا، بی تا [فيلمها ف: ۱-۳۱]</w:t>
      </w:r>
    </w:p>
    <w:p>
      <w:pPr>
        <w:pStyle w:val="Heading3"/>
      </w:pPr>
      <w:bookmarkStart w:id="2097" w:name="_Toc1357"/>
      <w:r>
        <w:t>• تاریخ بخارا (تخليص) / تاریخ ایران / فارسی</w:t>
      </w:r>
      <w:bookmarkEnd w:id="2097"/>
    </w:p>
    <w:p>
      <w:pPr>
        <w:pStyle w:val="BookText"/>
      </w:pPr>
      <w:r>
        <w:rPr>
          <w:rFonts w:ascii="Times New Roman" w:hAnsi="Times New Roman" w:eastAsia="Times New Roman" w:cs="Times New Roman"/>
          <w:lang w:val="en-US" w:bidi="en-US"/>
          <w:color w:val="111111"/>
          <w:sz w:val="28"/>
          <w:szCs w:val="28"/>
          <w:rtl/>
        </w:rPr>
        <w:t xml:space="preserve">tārīx-e boxārā (talxīs)</w:t>
      </w:r>
    </w:p>
    <w:p>
      <w:pPr>
        <w:pStyle w:val="BookText"/>
      </w:pPr>
      <w:r>
        <w:rPr>
          <w:rFonts w:ascii="IRNazanin" w:hAnsi="IRNazanin" w:eastAsia="IRNazanin" w:cs="IRNazanin"/>
          <w:lang w:bidi="fa-IR"/>
          <w:color w:val="111111"/>
          <w:sz w:val="28"/>
          <w:szCs w:val="28"/>
          <w:rtl/>
        </w:rPr>
        <w:t xml:space="preserve">محمد بن زفر، ق۶ قمری</w:t>
      </w:r>
    </w:p>
    <w:p>
      <w:pPr>
        <w:pStyle w:val="BookText"/>
      </w:pPr>
      <w:r>
        <w:rPr>
          <w:rFonts w:ascii="Times New Roman" w:hAnsi="Times New Roman" w:eastAsia="Times New Roman" w:cs="Times New Roman"/>
          <w:lang w:val="en-US" w:bidi="en-US"/>
          <w:color w:val="111111"/>
          <w:sz w:val="28"/>
          <w:szCs w:val="28"/>
          <w:rtl/>
        </w:rPr>
        <w:t xml:space="preserve">mohammad ebn-e zofar (-12c)</w:t>
      </w:r>
    </w:p>
    <w:p>
      <w:pPr>
        <w:pStyle w:val="BookText"/>
      </w:pPr>
      <w:r>
        <w:rPr>
          <w:rFonts w:ascii="IRNazanin" w:hAnsi="IRNazanin" w:eastAsia="IRNazanin" w:cs="IRNazanin"/>
          <w:lang w:bidi="fa-IR"/>
          <w:color w:val="111111"/>
          <w:sz w:val="28"/>
          <w:szCs w:val="28"/>
          <w:rtl/>
        </w:rPr>
        <w:t xml:space="preserve">وابسته به: تاریخ بخارا (ترجمه)؛ ابونصر بخاری، احمد بن محمد (قرن ۶) تاریخ تأليف: ۵۷۴ق تاریخ بخارا به عربی تأليف ابوبکر محمد بن جعفر نرشخی ( ۳۴۷-۲۸۶</w:t>
      </w:r>
    </w:p>
    <w:p>
      <w:pPr>
        <w:pStyle w:val="BookText"/>
      </w:pPr>
      <w:r>
        <w:rPr>
          <w:rFonts w:ascii="IRNazanin" w:hAnsi="IRNazanin" w:eastAsia="IRNazanin" w:cs="IRNazanin"/>
          <w:lang w:bidi="fa-IR"/>
          <w:color w:val="111111"/>
          <w:sz w:val="28"/>
          <w:szCs w:val="28"/>
          <w:rtl/>
        </w:rPr>
        <w:t xml:space="preserve">) می باشد ترجمه آن به فارسی از ابونصر احمد بن محمد بن نصر قباوی است. تلخيص ترجمه از محمد بن زفر بن</w:t>
      </w:r>
    </w:p>
    <w:p>
      <w:pPr>
        <w:pStyle w:val="BookText"/>
      </w:pPr>
      <w:r>
        <w:rPr>
          <w:rFonts w:ascii="IRNazanin" w:hAnsi="IRNazanin" w:eastAsia="IRNazanin" w:cs="IRNazanin"/>
          <w:lang w:bidi="fa-IR"/>
          <w:color w:val="111111"/>
          <w:sz w:val="28"/>
          <w:szCs w:val="28"/>
          <w:rtl/>
        </w:rPr>
        <w:t xml:space="preserve">عمر می باشد که همین کتاب است. چاپ: ترجمه فارسی این کتاب به توسط مسيو «شارل شفر» مستشرق فرانسوی در ۱۸۹۲ در پاریس چاپ شده است.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402" w:name="pg20363_209697"/>
    <w:bookmarkEnd w:id="402"/>
    <w:p>
      <w:pPr>
        <w:pStyle w:val="BookText"/>
      </w:pPr>
      <w:r>
        <w:rPr>
          <w:rFonts w:ascii="IRNazanin" w:hAnsi="IRNazanin" w:eastAsia="IRNazanin" w:cs="IRNazanin"/>
          <w:lang w:bidi="fa-IR"/>
          <w:color w:val="111111"/>
          <w:sz w:val="28"/>
          <w:szCs w:val="28"/>
          <w:rtl/>
        </w:rPr>
        <w:t xml:space="preserve">[دنا ۶۸۲/۲ ؛ فهرستواره منزوی ۸۴۹/۲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اصفهان؛ صارم الدوله (کتابخانه فرهنگ اصفهان)؛ شماره نسخه:۹۵۹</w:t>
      </w:r>
    </w:p>
    <w:p>
      <w:pPr>
        <w:pStyle w:val="BookText"/>
      </w:pPr>
      <w:r>
        <w:rPr>
          <w:rFonts w:ascii="IRNazanin" w:hAnsi="IRNazanin" w:eastAsia="IRNazanin" w:cs="IRNazanin"/>
          <w:lang w:bidi="fa-IR"/>
          <w:color w:val="111111"/>
          <w:sz w:val="28"/>
          <w:szCs w:val="28"/>
          <w:rtl/>
        </w:rPr>
        <w:t xml:space="preserve">آغاز: بسمله، سپاس و ستایش خدای تعالی جل جلاله که آفریننده جهان است و داننده نهان است و روزی دهنده؛ انجام: و زمین و آسمان را یک معبودی علیحده است اما معبود آسمان در دیگران بزرگتر است</w:t>
      </w:r>
    </w:p>
    <w:p>
      <w:pPr>
        <w:pStyle w:val="BookText"/>
      </w:pPr>
      <w:r>
        <w:rPr>
          <w:rFonts w:ascii="IRNazanin" w:hAnsi="IRNazanin" w:eastAsia="IRNazanin" w:cs="IRNazanin"/>
          <w:lang w:bidi="fa-IR"/>
          <w:color w:val="111111"/>
          <w:sz w:val="28"/>
          <w:szCs w:val="28"/>
          <w:rtl/>
        </w:rPr>
        <w:t xml:space="preserve">در این نسخه علاوه از ترجمه تاریخ بخارا از صفحه ۸۶ به بعد قسمت هایی از کتاب مجمل التواریخ و تاريخ گزیده در ذکر امراء آن دیار و سپهسالار تاش و آمدن بفراخان به بخارا و ذکر ابوالقاسم سیمجور و امیر عبدالملک بن رضی بن نوح و وقایع فيما بین اسمعیل بن نوح و ایلک خان و تعریف شهر بخارا و سمرقند و فاریاب و دیگر شهرهای آن سامان اضافه شده؛ خط: نسخ، بی کا، تا: قرن ۱۳، ۲۵۵، ۱۸ سطر (۱۴۹)،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۸۷]</w:t>
      </w:r>
    </w:p>
    <w:p>
      <w:pPr>
        <w:pStyle w:val="BookText"/>
      </w:pPr>
      <w:r>
        <w:rPr>
          <w:rFonts w:ascii="IRNazanin" w:hAnsi="IRNazanin" w:eastAsia="IRNazanin" w:cs="IRNazanin"/>
          <w:lang w:bidi="fa-IR"/>
          <w:color w:val="111111"/>
          <w:sz w:val="28"/>
          <w:szCs w:val="28"/>
          <w:rtl/>
        </w:rPr>
        <w:t xml:space="preserve">٢. اصفهان؛ صارم الدوله (كتابخانه فرهنگ اصفهان)؛ شماره نسخه:۱۰۷۵</w:t>
      </w:r>
    </w:p>
    <w:p>
      <w:pPr>
        <w:pStyle w:val="BookText"/>
      </w:pPr>
      <w:r>
        <w:rPr>
          <w:rFonts w:ascii="IRNazanin" w:hAnsi="IRNazanin" w:eastAsia="IRNazanin" w:cs="IRNazanin"/>
          <w:lang w:bidi="fa-IR"/>
          <w:color w:val="111111"/>
          <w:sz w:val="28"/>
          <w:szCs w:val="28"/>
          <w:rtl/>
        </w:rPr>
        <w:t xml:space="preserve">خط: نستعلیق، کا: مسیح، تا: ۸ رجب ۱۲۹۲ق؛ ۱۳۸، ۱۵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سم [ف: ۱۶۷]</w:t>
      </w:r>
    </w:p>
    <w:p>
      <w:pPr>
        <w:pStyle w:val="BookText"/>
      </w:pPr>
      <w:r>
        <w:rPr>
          <w:rFonts w:ascii="IRNazanin" w:hAnsi="IRNazanin" w:eastAsia="IRNazanin" w:cs="IRNazanin"/>
          <w:lang w:bidi="fa-IR"/>
          <w:color w:val="111111"/>
          <w:sz w:val="28"/>
          <w:szCs w:val="28"/>
          <w:rtl/>
        </w:rPr>
        <w:t xml:space="preserve">٣. اصفهان؛ صارم الدوله (کتابخانه فرهنگ اصفهان)؛ شماره نسخه:۸۸۳</w:t>
      </w:r>
    </w:p>
    <w:p>
      <w:pPr>
        <w:pStyle w:val="BookText"/>
      </w:pPr>
      <w:r>
        <w:rPr>
          <w:rFonts w:ascii="IRNazanin" w:hAnsi="IRNazanin" w:eastAsia="IRNazanin" w:cs="IRNazanin"/>
          <w:lang w:bidi="fa-IR"/>
          <w:color w:val="111111"/>
          <w:sz w:val="28"/>
          <w:szCs w:val="28"/>
          <w:rtl/>
        </w:rPr>
        <w:t xml:space="preserve">آغاز: بسمله، چنین گوید ابو نصر احمد بن محمد بن النصر القبادی که ابوبکر محمد بن جعفر النرشخی کتابی تالیف کرده است.</w:t>
      </w:r>
    </w:p>
    <w:p>
      <w:pPr>
        <w:pStyle w:val="BookText"/>
      </w:pPr>
      <w:r>
        <w:rPr>
          <w:rFonts w:ascii="IRNazanin" w:hAnsi="IRNazanin" w:eastAsia="IRNazanin" w:cs="IRNazanin"/>
          <w:lang w:bidi="fa-IR"/>
          <w:color w:val="111111"/>
          <w:sz w:val="28"/>
          <w:szCs w:val="28"/>
          <w:rtl/>
        </w:rPr>
        <w:t xml:space="preserve">باهتمام امیر احمد بن نوح بن نصر بن اسماعيل اشرافی؛ انجام: او را در سرخس بند کردند و ملک آن سامان از دست ایشان بیرون رفت خط: نستعلیق خوش، كا: محمد بن حاجی محمد قلی، تا: ۱۳۱۰ق؛ ۱۴۶، ۱۳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۲۵]</w:t>
      </w:r>
    </w:p>
    <w:p>
      <w:pPr>
        <w:pStyle w:val="Heading3"/>
      </w:pPr>
      <w:bookmarkStart w:id="2098" w:name="_Toc1358"/>
      <w:r>
        <w:t>•تاریخ بخارا = مزارات بخارا = تاریخ ملا زاده / تراجم، تاریخ ایران / فارسی</w:t>
      </w:r>
      <w:bookmarkEnd w:id="2098"/>
    </w:p>
    <w:p>
      <w:pPr>
        <w:pStyle w:val="BookText"/>
      </w:pPr>
      <w:r>
        <w:rPr>
          <w:rFonts w:ascii="Times New Roman" w:hAnsi="Times New Roman" w:eastAsia="Times New Roman" w:cs="Times New Roman"/>
          <w:lang w:val="en-US" w:bidi="en-US"/>
          <w:color w:val="111111"/>
          <w:sz w:val="28"/>
          <w:szCs w:val="28"/>
          <w:rtl/>
        </w:rPr>
        <w:t xml:space="preserve">tārīx-e boxārā = mazārāt-e boxārā = tārīx-e mollā-zāde</w:t>
      </w:r>
    </w:p>
    <w:p>
      <w:pPr>
        <w:pStyle w:val="BookText"/>
      </w:pPr>
      <w:r>
        <w:rPr>
          <w:rFonts w:ascii="IRNazanin" w:hAnsi="IRNazanin" w:eastAsia="IRNazanin" w:cs="IRNazanin"/>
          <w:lang w:bidi="fa-IR"/>
          <w:color w:val="111111"/>
          <w:sz w:val="28"/>
          <w:szCs w:val="28"/>
          <w:rtl/>
        </w:rPr>
        <w:t xml:space="preserve">ملازاده هروی، احمد بن محمود، ق۸ قمری</w:t>
      </w:r>
    </w:p>
    <w:p>
      <w:pPr>
        <w:pStyle w:val="BookText"/>
      </w:pPr>
      <w:r>
        <w:rPr>
          <w:rFonts w:ascii="Times New Roman" w:hAnsi="Times New Roman" w:eastAsia="Times New Roman" w:cs="Times New Roman"/>
          <w:lang w:val="en-US" w:bidi="en-US"/>
          <w:color w:val="111111"/>
          <w:sz w:val="28"/>
          <w:szCs w:val="28"/>
          <w:rtl/>
        </w:rPr>
        <w:t xml:space="preserve">mollā-zāde-ye heravī, ahmad ebn-e mahmūd (-14c)</w:t>
      </w:r>
    </w:p>
    <w:p>
      <w:pPr>
        <w:pStyle w:val="BookText"/>
      </w:pPr>
      <w:r>
        <w:rPr>
          <w:rFonts w:ascii="IRNazanin" w:hAnsi="IRNazanin" w:eastAsia="IRNazanin" w:cs="IRNazanin"/>
          <w:lang w:bidi="fa-IR"/>
          <w:color w:val="111111"/>
          <w:sz w:val="28"/>
          <w:szCs w:val="28"/>
          <w:rtl/>
        </w:rPr>
        <w:t xml:space="preserve">تاریخ تأليف: ۲۱ رمضان ۸۲۴ق؛ محل تأليف: بخارا در ذکر مشاهد و مزارات و اسامی علماء و مشایخ بخارا که در آن بلد وفات یافته اند. در دو «قسم»: ۱. ذكر اکابری که در نفس شهر و در فناء شهر مدفونند تا مقدار نیم فرسنگی؛ ۲. ذکر عزیزانی که در حوالی شهرند، ورای حد مذکور، پس از خطبه می گوید: اینان گروهی از متقدمان و متأخران هستند که من خود گور آنان را بررسی کردم و آثارشان را دیدم. سپس در فضیلت شهر بخارا و تاریخ گشودن آن در ۵۴ق سخن می گوید و در اینجا از ربيع الابرار کشاف، تاریخ بجعیگیر نامه، جهانگشا و انساب فرشجی نقل می کند.</w:t>
      </w:r>
    </w:p>
    <w:p>
      <w:pPr>
        <w:pStyle w:val="BookText"/>
      </w:pPr>
      <w:r>
        <w:rPr>
          <w:rFonts w:ascii="IRNazanin" w:hAnsi="IRNazanin" w:eastAsia="IRNazanin" w:cs="IRNazanin"/>
          <w:lang w:bidi="fa-IR"/>
          <w:color w:val="111111"/>
          <w:sz w:val="28"/>
          <w:szCs w:val="28"/>
          <w:rtl/>
        </w:rPr>
        <w:t xml:space="preserve">آغاز: بسمله. الحمدلله الذي تفرد بالبقاء و تو حد بالعز و الكبرياء ... اما بعد هذا ذكر طائفه من اهل بخارا و نواحيها من العلماء و الكبراء ... بدانکه تقرب بارواح طیبه و مشاهد مقدسه علمای دین و مشایخ روی زمین ... هر آینه سبب مزید بركات است ...</w:t>
      </w:r>
    </w:p>
    <w:p>
      <w:pPr>
        <w:pStyle w:val="BookText"/>
      </w:pPr>
      <w:r>
        <w:rPr>
          <w:rFonts w:ascii="IRNazanin" w:hAnsi="IRNazanin" w:eastAsia="IRNazanin" w:cs="IRNazanin"/>
          <w:lang w:bidi="fa-IR"/>
          <w:color w:val="111111"/>
          <w:sz w:val="28"/>
          <w:szCs w:val="28"/>
          <w:rtl/>
        </w:rPr>
        <w:t xml:space="preserve">چاپ: به کوشش احمد گلچین معانی به نام «تاریخ ملازاده»، تهران، ۱۳۳۹ ش</w:t>
      </w:r>
    </w:p>
    <w:p>
      <w:pPr>
        <w:pStyle w:val="BookText"/>
      </w:pPr>
      <w:r>
        <w:rPr>
          <w:rFonts w:ascii="IRNazanin" w:hAnsi="IRNazanin" w:eastAsia="IRNazanin" w:cs="IRNazanin"/>
          <w:lang w:bidi="fa-IR"/>
          <w:color w:val="111111"/>
          <w:sz w:val="28"/>
          <w:szCs w:val="28"/>
          <w:rtl/>
        </w:rPr>
        <w:t xml:space="preserve">[دنا ۶۸۲/۲ ؛ ؛ فهرستواره منزوی ۱۷۷/۱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 ۱۶۵۰ف</w:t>
      </w:r>
    </w:p>
    <w:p>
      <w:pPr>
        <w:pStyle w:val="BookText"/>
      </w:pPr>
      <w:r>
        <w:rPr>
          <w:rFonts w:ascii="IRNazanin" w:hAnsi="IRNazanin" w:eastAsia="IRNazanin" w:cs="IRNazanin"/>
          <w:lang w:bidi="fa-IR"/>
          <w:color w:val="111111"/>
          <w:sz w:val="28"/>
          <w:szCs w:val="28"/>
          <w:rtl/>
        </w:rPr>
        <w:t xml:space="preserve">نسخه اصل: موزه آسیایی آکادمی علوم شوروی 223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 بی کا، تا: جمادی الثانی ۹۷۳ق [فيلمها ف: ۱-۱۹۳]</w:t>
      </w:r>
    </w:p>
    <w:p>
      <w:pPr>
        <w:pStyle w:val="BookText"/>
      </w:pPr>
      <w:r>
        <w:rPr>
          <w:rFonts w:ascii="IRNazanin" w:hAnsi="IRNazanin" w:eastAsia="IRNazanin" w:cs="IRNazanin"/>
          <w:lang w:bidi="fa-IR"/>
          <w:color w:val="111111"/>
          <w:sz w:val="28"/>
          <w:szCs w:val="28"/>
          <w:rtl/>
        </w:rPr>
        <w:t xml:space="preserve">۲. تهران؛ سپهسالار؛ شماره نسخه: ۱۶۴۲/۱</w:t>
      </w:r>
    </w:p>
    <w:p>
      <w:pPr>
        <w:pStyle w:val="BookText"/>
      </w:pPr>
      <w:r>
        <w:rPr>
          <w:rFonts w:ascii="IRNazanin" w:hAnsi="IRNazanin" w:eastAsia="IRNazanin" w:cs="IRNazanin"/>
          <w:lang w:bidi="fa-IR"/>
          <w:color w:val="111111"/>
          <w:sz w:val="28"/>
          <w:szCs w:val="28"/>
          <w:rtl/>
        </w:rPr>
        <w:t xml:space="preserve">آغاز: برابر؛ انجام: و وفات او در ۲۱ رمضان ۸۱۴ بوده است. یا ربنا بلغ منك تحية و سلامة الى ارواحهم.</w:t>
      </w:r>
    </w:p>
    <w:p>
      <w:pPr>
        <w:pStyle w:val="BookText"/>
      </w:pPr>
      <w:r>
        <w:rPr>
          <w:rFonts w:ascii="IRNazanin" w:hAnsi="IRNazanin" w:eastAsia="IRNazanin" w:cs="IRNazanin"/>
          <w:lang w:bidi="fa-IR"/>
          <w:color w:val="111111"/>
          <w:sz w:val="28"/>
          <w:szCs w:val="28"/>
          <w:rtl/>
        </w:rPr>
        <w:t xml:space="preserve">خط: نستعلیق، كا: سناء الملة بن ضیاء الحق بن حاج مولوی، تا: شعبان ۱۱۰۶ق، مجدول؛ از روی نسخه خط محمد شفیع بن ملا نظر محمد در شعبان ۱۱۰۶ نوشته شده؛ کاغذ: فرنگی سفید، جلد: روغنی زرد مقوایی، ۳۶گ (۱پ -۳۶پ)، ۱۶ سطر، اندازه: ۱۲/۵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۳-۲۹۵]</w:t>
      </w:r>
    </w:p>
    <w:p>
      <w:pPr>
        <w:pStyle w:val="BookText"/>
      </w:pPr>
      <w:r>
        <w:rPr>
          <w:rFonts w:ascii="IRNazanin" w:hAnsi="IRNazanin" w:eastAsia="IRNazanin" w:cs="IRNazanin"/>
          <w:lang w:bidi="fa-IR"/>
          <w:color w:val="111111"/>
          <w:sz w:val="28"/>
          <w:szCs w:val="28"/>
          <w:rtl/>
        </w:rPr>
        <w:t xml:space="preserve">تهران؛ دانشگاه؛ شماره نسخه: ۱۵۷۰ف</w:t>
      </w:r>
    </w:p>
    <w:p>
      <w:pPr>
        <w:pStyle w:val="BookText"/>
      </w:pPr>
      <w:r>
        <w:rPr>
          <w:rFonts w:ascii="Amiri" w:hAnsi="Amiri" w:eastAsia="Amiri" w:cs="Amiri"/>
          <w:lang w:bidi="ar-SA"/>
          <w:color w:val="111111"/>
          <w:sz w:val="28"/>
          <w:szCs w:val="28"/>
          <w:rtl/>
        </w:rPr>
        <w:t xml:space="preserve">نسخه اصل: همان نسخه بالا [فيلمها ف: ۱-۳۱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ملک؛ شماره نسخه: ۴۳۳۰/۲۶</w:t>
      </w:r>
    </w:p>
    <w:p>
      <w:pPr>
        <w:pStyle w:val="BookText"/>
      </w:pPr>
      <w:r>
        <w:rPr>
          <w:rFonts w:ascii="IRNazanin" w:hAnsi="IRNazanin" w:eastAsia="IRNazanin" w:cs="IRNazanin"/>
          <w:lang w:bidi="fa-IR"/>
          <w:color w:val="111111"/>
          <w:sz w:val="28"/>
          <w:szCs w:val="28"/>
          <w:rtl/>
        </w:rPr>
        <w:t xml:space="preserve">خط: نسخ، بی کا، تا: ۱۲۹۲ ق [ف: ۷-۳۵۶]</w:t>
      </w:r>
    </w:p>
    <w:p>
      <w:pPr>
        <w:pStyle w:val="BookText"/>
      </w:pPr>
      <w:r>
        <w:rPr>
          <w:rFonts w:ascii="IRNazanin" w:hAnsi="IRNazanin" w:eastAsia="IRNazanin" w:cs="IRNazanin"/>
          <w:lang w:bidi="fa-IR"/>
          <w:color w:val="111111"/>
          <w:sz w:val="28"/>
          <w:szCs w:val="28"/>
          <w:rtl/>
        </w:rPr>
        <w:t xml:space="preserve">۴. تهران: مجلس؛ شماره نسخه: ۲۲۵/۱</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شکسته، بی کا، تا: ۱۳۰۱ق، کاغذ: فرنگی مخطط، ۷۲گ، ۱۵ سطر، قطع: وزیری،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۲-۱۲۶]</w:t>
      </w:r>
    </w:p>
    <w:p>
      <w:pPr>
        <w:pStyle w:val="BookText"/>
      </w:pPr>
      <w:r>
        <w:rPr>
          <w:rFonts w:ascii="IRNazanin" w:hAnsi="IRNazanin" w:eastAsia="IRNazanin" w:cs="IRNazanin"/>
          <w:lang w:bidi="fa-IR"/>
          <w:color w:val="111111"/>
          <w:sz w:val="28"/>
          <w:szCs w:val="28"/>
          <w:rtl/>
        </w:rPr>
        <w:t xml:space="preserve">۵. تهران، دانشگاه؛ شماره نسخه: ۱۶۴۶/۱ ف</w:t>
      </w:r>
    </w:p>
    <w:p>
      <w:pPr>
        <w:pStyle w:val="BookText"/>
      </w:pPr>
      <w:r>
        <w:rPr>
          <w:rFonts w:ascii="IRNazanin" w:hAnsi="IRNazanin" w:eastAsia="IRNazanin" w:cs="IRNazanin"/>
          <w:lang w:bidi="fa-IR"/>
          <w:color w:val="111111"/>
          <w:sz w:val="28"/>
          <w:szCs w:val="28"/>
          <w:rtl/>
        </w:rPr>
        <w:t xml:space="preserve">نسخه اصل: موزه آسیایی آکادمی علوم شوروی .۲۳۰۷</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 بی کا، بی تا [فیلمها ف: ۱-۶۲۴]</w:t>
      </w:r>
    </w:p>
    <w:p>
      <w:pPr>
        <w:pStyle w:val="BookText"/>
      </w:pPr>
      <w:r>
        <w:rPr>
          <w:rFonts w:ascii="IRNazanin" w:hAnsi="IRNazanin" w:eastAsia="IRNazanin" w:cs="IRNazanin"/>
          <w:lang w:bidi="fa-IR"/>
          <w:color w:val="111111"/>
          <w:sz w:val="28"/>
          <w:szCs w:val="28"/>
          <w:rtl/>
        </w:rPr>
        <w:t xml:space="preserve">۶. یزد؛ کاظمینی؛ شماره نسخه:۳۷۴/۶</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در فهرست تصور شده که ملازاده کاتب این رساله است و این رساله بدون نام مؤلف آمده است؛ خط: نستعلیق، بی کا، بی تا؛ جلد: تیماج سبز ضربی، ۲۴ص (۱۵۶-۱۷۹ر)،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۲-۸۱]</w:t>
      </w:r>
    </w:p>
    <w:p>
      <w:pPr>
        <w:pStyle w:val="Heading3"/>
      </w:pPr>
      <w:bookmarkStart w:id="2099" w:name="_Toc1359"/>
      <w:r>
        <w:t>•تاریخ بخارا (ترجمه) / تاریخ ایران / فارسی</w:t>
      </w:r>
      <w:bookmarkEnd w:id="2099"/>
    </w:p>
    <w:p>
      <w:pPr>
        <w:pStyle w:val="BookText"/>
      </w:pPr>
      <w:r>
        <w:rPr>
          <w:rFonts w:ascii="Times New Roman" w:hAnsi="Times New Roman" w:eastAsia="Times New Roman" w:cs="Times New Roman"/>
          <w:lang w:val="en-US" w:bidi="en-US"/>
          <w:color w:val="111111"/>
          <w:sz w:val="28"/>
          <w:szCs w:val="28"/>
          <w:rtl/>
        </w:rPr>
        <w:t xml:space="preserve">tārīx-e boxārā (t.)</w:t>
      </w:r>
    </w:p>
    <w:p>
      <w:pPr>
        <w:pStyle w:val="BookText"/>
      </w:pPr>
      <w:r>
        <w:rPr>
          <w:rFonts w:ascii="IRNazanin" w:hAnsi="IRNazanin" w:eastAsia="IRNazanin" w:cs="IRNazanin"/>
          <w:lang w:bidi="fa-IR"/>
          <w:color w:val="111111"/>
          <w:sz w:val="28"/>
          <w:szCs w:val="28"/>
          <w:rtl/>
        </w:rPr>
        <w:t xml:space="preserve">وامبری، آرمین، ۱۸۳۲-۱۹۱۳ میلادی</w:t>
      </w:r>
    </w:p>
    <w:p>
      <w:pPr>
        <w:pStyle w:val="BookText"/>
      </w:pPr>
      <w:r>
        <w:rPr>
          <w:rFonts w:ascii="Times New Roman" w:hAnsi="Times New Roman" w:eastAsia="Times New Roman" w:cs="Times New Roman"/>
          <w:lang w:val="en-US" w:bidi="en-US"/>
          <w:color w:val="111111"/>
          <w:sz w:val="28"/>
          <w:szCs w:val="28"/>
          <w:rtl/>
        </w:rPr>
        <w:t xml:space="preserve">vāmberī, ārmīn (1832-1913)</w:t>
      </w:r>
    </w:p>
    <w:p>
      <w:pPr>
        <w:pStyle w:val="BookText"/>
      </w:pPr>
      <w:r>
        <w:rPr>
          <w:rFonts w:ascii="IRNazanin" w:hAnsi="IRNazanin" w:eastAsia="IRNazanin" w:cs="IRNazanin"/>
          <w:lang w:bidi="fa-IR"/>
          <w:color w:val="111111"/>
          <w:sz w:val="28"/>
          <w:szCs w:val="28"/>
          <w:rtl/>
        </w:rPr>
        <w:t xml:space="preserve">اصل کتاب به زبان انگلیسی است و در سال ۱۸۷۳ م در لندن چاپ شده و از زبان انگلیسی به فارسی ترجمه گردیده و شامل دوره قبل از اسلام تا ۱۸۷۳م می باشد. آغاز: بسمله، فصل دوره قبل از اسلام، بنام خداوند جان آفرین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403" w:name="pg20363_209698"/>
    <w:bookmarkEnd w:id="403"/>
    <w:p>
      <w:pPr>
        <w:pStyle w:val="BookText"/>
      </w:pPr>
      <w:r>
        <w:rPr>
          <w:rFonts w:ascii="IRNazanin" w:hAnsi="IRNazanin" w:eastAsia="IRNazanin" w:cs="IRNazanin"/>
          <w:lang w:bidi="fa-IR"/>
          <w:color w:val="111111"/>
          <w:sz w:val="28"/>
          <w:szCs w:val="28"/>
          <w:rtl/>
        </w:rPr>
        <w:t xml:space="preserve">... در موقعی که با اهمیت ترین زمینهای (آسیا) پنهان کرده اند انجام: حالا تمام شد تاریخ بخارائی من وقتیکه بیدق روسها را علم نمودند در روی قلعه سمرقند و باز گمان میتوان برد که اگر چه امروز نمیشود ولی روزی بیاید</w:t>
      </w:r>
    </w:p>
    <w:p>
      <w:pPr>
        <w:pStyle w:val="BookText"/>
      </w:pPr>
      <w:r>
        <w:rPr>
          <w:rFonts w:ascii="IRNazanin" w:hAnsi="IRNazanin" w:eastAsia="IRNazanin" w:cs="IRNazanin"/>
          <w:lang w:bidi="fa-IR"/>
          <w:color w:val="111111"/>
          <w:sz w:val="28"/>
          <w:szCs w:val="28"/>
          <w:rtl/>
        </w:rPr>
        <w:t xml:space="preserve">[دنا ۶۸۲/۲ ؛ فهرستواره منزوی ۸۴۹/۲ ]</w:t>
      </w:r>
    </w:p>
    <w:p>
      <w:pPr>
        <w:pStyle w:val="BookText"/>
      </w:pPr>
      <w:r>
        <w:rPr>
          <w:rFonts w:ascii="IRNazanin" w:hAnsi="IRNazanin" w:eastAsia="IRNazanin" w:cs="IRNazanin"/>
          <w:lang w:bidi="fa-IR"/>
          <w:color w:val="111111"/>
          <w:sz w:val="28"/>
          <w:szCs w:val="28"/>
          <w:rtl/>
        </w:rPr>
        <w:t xml:space="preserve">اصفهان؛ صارم الدوله (كتابخانه فرهنگ اصفهان)، شماره نسخه:۹۰۸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كا: چاکر خانه زاد امیر، تا: ۱۴ ذیحجه ۱۳۲۲ق؛ ۳۰۷، ۱۵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۲۷/۵سم [ف: ۴۵]</w:t>
      </w:r>
    </w:p>
    <w:p>
      <w:pPr>
        <w:pStyle w:val="BookText"/>
      </w:pPr>
      <w:r>
        <w:rPr>
          <w:rFonts w:ascii="IRNazanin" w:hAnsi="IRNazanin" w:eastAsia="IRNazanin" w:cs="IRNazanin"/>
          <w:lang w:bidi="fa-IR"/>
          <w:color w:val="111111"/>
          <w:sz w:val="28"/>
          <w:szCs w:val="28"/>
          <w:rtl/>
        </w:rPr>
        <w:t xml:space="preserve">اصفهان؛ عمومی اصفهان (فرهنگ سابق)؛ شماره نسخه:۱۱۳۸۳</w:t>
      </w:r>
    </w:p>
    <w:p>
      <w:pPr>
        <w:pStyle w:val="BookText"/>
      </w:pPr>
      <w:r>
        <w:rPr>
          <w:rFonts w:ascii="IRNazanin" w:hAnsi="IRNazanin" w:eastAsia="IRNazanin" w:cs="IRNazanin"/>
          <w:lang w:bidi="fa-IR"/>
          <w:color w:val="111111"/>
          <w:sz w:val="28"/>
          <w:szCs w:val="28"/>
          <w:rtl/>
        </w:rPr>
        <w:t xml:space="preserve">همان نسخه بالا [نشریه: ۵-۳۱۶]</w:t>
      </w:r>
    </w:p>
    <w:p>
      <w:pPr>
        <w:pStyle w:val="Heading3"/>
      </w:pPr>
      <w:bookmarkStart w:id="2100" w:name="_Toc1360"/>
      <w:r>
        <w:t>• تاریخ بخارا (ترجمه) / تاریخ ایران / فارسی</w:t>
      </w:r>
      <w:bookmarkEnd w:id="2100"/>
    </w:p>
    <w:p>
      <w:pPr>
        <w:pStyle w:val="BookText"/>
      </w:pPr>
      <w:r>
        <w:rPr>
          <w:rFonts w:ascii="Times New Roman" w:hAnsi="Times New Roman" w:eastAsia="Times New Roman" w:cs="Times New Roman"/>
          <w:lang w:val="en-US" w:bidi="en-US"/>
          <w:color w:val="111111"/>
          <w:sz w:val="28"/>
          <w:szCs w:val="28"/>
          <w:rtl/>
        </w:rPr>
        <w:t xml:space="preserve">tārīx-e boxārā (t.)</w:t>
      </w:r>
    </w:p>
    <w:p>
      <w:pPr>
        <w:pStyle w:val="BookText"/>
      </w:pPr>
      <w:r>
        <w:rPr>
          <w:rFonts w:ascii="IRNazanin" w:hAnsi="IRNazanin" w:eastAsia="IRNazanin" w:cs="IRNazanin"/>
          <w:lang w:bidi="fa-IR"/>
          <w:color w:val="111111"/>
          <w:sz w:val="28"/>
          <w:szCs w:val="28"/>
          <w:rtl/>
        </w:rPr>
        <w:t xml:space="preserve">تاریخ تأليف: ۱۴ صفر ۱۳۲۱ق ترجمه حیدر خان سرتیپ و مترجم روسی و حاجی حسن خان یاور معلم محرر و روزنامه روسی از روسی به فارسی برای ظل السلطان، اصل تاریخ حکم رانان بخارا و کاشغر و خوقند است ساخته میرزا شریف (شمس) بخارایی در ربيع الثانی ۱۲۸۶.</w:t>
      </w:r>
    </w:p>
    <w:p>
      <w:pPr>
        <w:pStyle w:val="BookText"/>
      </w:pPr>
      <w:r>
        <w:rPr>
          <w:rFonts w:ascii="IRNazanin" w:hAnsi="IRNazanin" w:eastAsia="IRNazanin" w:cs="IRNazanin"/>
          <w:lang w:bidi="fa-IR"/>
          <w:color w:val="111111"/>
          <w:sz w:val="28"/>
          <w:szCs w:val="28"/>
          <w:rtl/>
        </w:rPr>
        <w:t xml:space="preserve">تهران؛ دانشسرای عالی - کتابخانه میرزا عبدالعظیم خان قریب گرکانی؛ شماره نسخه:۱۸۵</w:t>
      </w:r>
    </w:p>
    <w:p>
      <w:pPr>
        <w:pStyle w:val="BookText"/>
      </w:pPr>
      <w:r>
        <w:rPr>
          <w:rFonts w:ascii="IRNazanin" w:hAnsi="IRNazanin" w:eastAsia="IRNazanin" w:cs="IRNazanin"/>
          <w:lang w:bidi="fa-IR"/>
          <w:color w:val="111111"/>
          <w:sz w:val="28"/>
          <w:szCs w:val="28"/>
          <w:rtl/>
        </w:rPr>
        <w:t xml:space="preserve">از امیر میر حیدر و پسر امیر شاه مراد گرفته تا می رسد به جهانگیر خواجه کاشغری؛ خط: نستعلیق، کا: حاجی حسن خان اور معلم، تا: ۱۴ صفر ۱۳۲۱ق، قطع: ربعی [نشریه: ۵-۶۱۹]</w:t>
      </w:r>
    </w:p>
    <w:p>
      <w:pPr>
        <w:pStyle w:val="BookText"/>
      </w:pPr>
      <w:r>
        <w:rPr>
          <w:rFonts w:ascii="IRNazanin" w:hAnsi="IRNazanin" w:eastAsia="IRNazanin" w:cs="IRNazanin"/>
          <w:lang w:bidi="fa-IR"/>
          <w:color w:val="111111"/>
          <w:sz w:val="28"/>
          <w:szCs w:val="28"/>
          <w:rtl/>
        </w:rPr>
        <w:t xml:space="preserve">تهران؛ دانشگاه؛ شماره نسخه:۳۱۵۸ف</w:t>
      </w:r>
    </w:p>
    <w:p>
      <w:pPr>
        <w:pStyle w:val="BookText"/>
      </w:pPr>
      <w:r>
        <w:rPr>
          <w:rFonts w:ascii="Amiri" w:hAnsi="Amiri" w:eastAsia="Amiri" w:cs="Amiri"/>
          <w:lang w:bidi="ar-SA"/>
          <w:color w:val="111111"/>
          <w:sz w:val="28"/>
          <w:szCs w:val="28"/>
          <w:rtl/>
        </w:rPr>
        <w:t xml:space="preserve">همان نسخه بالا [فيلمها ف: ۲-۸۶]</w:t>
      </w:r>
    </w:p>
    <w:p>
      <w:pPr>
        <w:pStyle w:val="Heading3"/>
      </w:pPr>
      <w:bookmarkStart w:id="2101" w:name="_Toc1361"/>
      <w:r>
        <w:t>•تاریخ بخارا (ترجمه) / تاریخ ایران / فارسی</w:t>
      </w:r>
      <w:bookmarkEnd w:id="2101"/>
    </w:p>
    <w:p>
      <w:pPr>
        <w:pStyle w:val="BookText"/>
      </w:pPr>
      <w:r>
        <w:rPr>
          <w:rFonts w:ascii="Times New Roman" w:hAnsi="Times New Roman" w:eastAsia="Times New Roman" w:cs="Times New Roman"/>
          <w:lang w:val="en-US" w:bidi="en-US"/>
          <w:color w:val="111111"/>
          <w:sz w:val="28"/>
          <w:szCs w:val="28"/>
          <w:rtl/>
        </w:rPr>
        <w:t xml:space="preserve">tārīx-e boxārā (t.)</w:t>
      </w:r>
    </w:p>
    <w:p>
      <w:pPr>
        <w:pStyle w:val="BookText"/>
      </w:pPr>
      <w:r>
        <w:rPr>
          <w:rFonts w:ascii="IRNazanin" w:hAnsi="IRNazanin" w:eastAsia="IRNazanin" w:cs="IRNazanin"/>
          <w:lang w:bidi="fa-IR"/>
          <w:color w:val="111111"/>
          <w:sz w:val="28"/>
          <w:szCs w:val="28"/>
          <w:rtl/>
        </w:rPr>
        <w:t xml:space="preserve">بخشی از تاریخ بخاراست که از روسی ترجمه شده است.</w:t>
      </w:r>
    </w:p>
    <w:p>
      <w:pPr>
        <w:pStyle w:val="BookText"/>
      </w:pPr>
      <w:r>
        <w:rPr>
          <w:rFonts w:ascii="IRNazanin" w:hAnsi="IRNazanin" w:eastAsia="IRNazanin" w:cs="IRNazanin"/>
          <w:lang w:bidi="fa-IR"/>
          <w:color w:val="111111"/>
          <w:sz w:val="28"/>
          <w:szCs w:val="28"/>
          <w:rtl/>
        </w:rPr>
        <w:t xml:space="preserve">قم؛ مسجد اعظم؛ شماره نسخه: ۴۰۷۹/۱</w:t>
      </w:r>
    </w:p>
    <w:p>
      <w:pPr>
        <w:pStyle w:val="BookText"/>
      </w:pPr>
      <w:r>
        <w:rPr>
          <w:rFonts w:ascii="IRNazanin" w:hAnsi="IRNazanin" w:eastAsia="IRNazanin" w:cs="IRNazanin"/>
          <w:lang w:bidi="fa-IR"/>
          <w:color w:val="111111"/>
          <w:sz w:val="28"/>
          <w:szCs w:val="28"/>
          <w:rtl/>
        </w:rPr>
        <w:t xml:space="preserve">آغاز: ابتدای تواریخ عمده ممالك آسيا قبل از بعثت حضرت پیغمبر (صلی الله عليه و آله) به طریق حکایت و افسانه بوده. لهذا بخارا هم شروع می کند تاریخ حال سلطنتی خود را انجام: و این موانع برای خیالات وی کافی است ناچار به دربار اوکتای قاآن پادشاه با قدرت ترکان که در کوه های (التائی) یا به ساحل جیحون مقام داشت ملتجی شد.</w:t>
      </w:r>
    </w:p>
    <w:p>
      <w:pPr>
        <w:pStyle w:val="BookText"/>
      </w:pPr>
      <w:r>
        <w:rPr>
          <w:rFonts w:ascii="IRNazanin" w:hAnsi="IRNazanin" w:eastAsia="IRNazanin" w:cs="IRNazanin"/>
          <w:lang w:bidi="fa-IR"/>
          <w:color w:val="111111"/>
          <w:sz w:val="28"/>
          <w:szCs w:val="28"/>
          <w:rtl/>
        </w:rPr>
        <w:t xml:space="preserve">خط: نستعلیق، بی کا، بی تا؛ افتادگی: انجام؛ جلد: گالینگور سبز،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مخ: ۱-۴۰۳]</w:t>
      </w:r>
    </w:p>
    <w:p>
      <w:pPr>
        <w:pStyle w:val="Heading3"/>
      </w:pPr>
      <w:bookmarkStart w:id="2102" w:name="_Toc1362"/>
      <w:r>
        <w:t>•تاریخ بخارا - تاریخ بزرگان ۵۷۱ و تاریخ برامکه - اخبار برامکه = ترجمه تاریخ برامکه</w:t>
      </w:r>
      <w:bookmarkEnd w:id="2102"/>
    </w:p>
    <w:p>
      <w:pPr>
        <w:pStyle w:val="BookText"/>
      </w:pPr>
      <w:r>
        <w:rPr>
          <w:rFonts w:ascii="IRNazanin" w:hAnsi="IRNazanin" w:eastAsia="IRNazanin" w:cs="IRNazanin"/>
          <w:lang w:bidi="fa-IR"/>
          <w:color w:val="111111"/>
          <w:sz w:val="28"/>
          <w:szCs w:val="28"/>
          <w:rtl/>
        </w:rPr>
        <w:t xml:space="preserve">/ تاریخ پادشاهان / فارسی</w:t>
      </w:r>
    </w:p>
    <w:p>
      <w:pPr>
        <w:pStyle w:val="BookText"/>
      </w:pPr>
      <w:r>
        <w:rPr>
          <w:rFonts w:ascii="Times New Roman" w:hAnsi="Times New Roman" w:eastAsia="Times New Roman" w:cs="Times New Roman"/>
          <w:lang w:val="en-US" w:bidi="en-US"/>
          <w:color w:val="111111"/>
          <w:sz w:val="28"/>
          <w:szCs w:val="28"/>
          <w:rtl/>
        </w:rPr>
        <w:t xml:space="preserve">tārīx-e barāmake = axbār-e barāmake = t.-ye tārīx-e barāmake</w:t>
      </w:r>
    </w:p>
    <w:p>
      <w:pPr>
        <w:pStyle w:val="BookText"/>
      </w:pPr>
      <w:r>
        <w:rPr>
          <w:rFonts w:ascii="IRNazanin" w:hAnsi="IRNazanin" w:eastAsia="IRNazanin" w:cs="IRNazanin"/>
          <w:lang w:bidi="fa-IR"/>
          <w:color w:val="111111"/>
          <w:sz w:val="28"/>
          <w:szCs w:val="28"/>
          <w:rtl/>
        </w:rPr>
        <w:t xml:space="preserve">هروی، محمد بن حسین، ق ۵ قمری</w:t>
      </w:r>
    </w:p>
    <w:p>
      <w:pPr>
        <w:pStyle w:val="BookText"/>
      </w:pPr>
      <w:r>
        <w:rPr>
          <w:rFonts w:ascii="Times New Roman" w:hAnsi="Times New Roman" w:eastAsia="Times New Roman" w:cs="Times New Roman"/>
          <w:lang w:val="en-US" w:bidi="en-US"/>
          <w:color w:val="111111"/>
          <w:sz w:val="28"/>
          <w:szCs w:val="28"/>
          <w:rtl/>
        </w:rPr>
        <w:t xml:space="preserve">heravī, mohammad ebn-e hoseyn (-11c)</w:t>
      </w:r>
    </w:p>
    <w:p>
      <w:pPr>
        <w:pStyle w:val="BookText"/>
      </w:pPr>
      <w:r>
        <w:rPr>
          <w:rFonts w:ascii="IRNazanin" w:hAnsi="IRNazanin" w:eastAsia="IRNazanin" w:cs="IRNazanin"/>
          <w:lang w:bidi="fa-IR"/>
          <w:color w:val="111111"/>
          <w:sz w:val="28"/>
          <w:szCs w:val="28"/>
          <w:rtl/>
        </w:rPr>
        <w:t xml:space="preserve">کتاب تاریخی است به نثر فارسی بسیار خوب که گویا ترجمه ای باشد از اصل عربی، نوشته ابوالقاسم بن غسان که مترجم به پیروی از سبک انشای او چنین نگاشته. حکایاتی است به نقل از ابو القاسم بن غسان درباره برمکیان و از آمدن برمک به دمشق نزد سلیمان بن عبد الملک خلیفه اموی آغاز می گردد.</w:t>
      </w:r>
    </w:p>
    <w:p>
      <w:pPr>
        <w:pStyle w:val="BookText"/>
      </w:pPr>
      <w:r>
        <w:rPr>
          <w:rFonts w:ascii="IRNazanin" w:hAnsi="IRNazanin" w:eastAsia="IRNazanin" w:cs="IRNazanin"/>
          <w:lang w:bidi="fa-IR"/>
          <w:color w:val="111111"/>
          <w:sz w:val="28"/>
          <w:szCs w:val="28"/>
          <w:rtl/>
        </w:rPr>
        <w:t xml:space="preserve">آغاز: بسمله، و به نستعين الحمد لله رب العالمين و الصلاة على خیر خلقه محمد و آله الطاهرین روایت کرد ابو القاسم بن غسان گرد آورنده اخبار آل برمک گفت برمک مردی بود از فرزندان وزرای ملوک اکاسره</w:t>
      </w:r>
    </w:p>
    <w:p>
      <w:pPr>
        <w:pStyle w:val="BookText"/>
      </w:pPr>
      <w:r>
        <w:rPr>
          <w:rFonts w:ascii="IRNazanin" w:hAnsi="IRNazanin" w:eastAsia="IRNazanin" w:cs="IRNazanin"/>
          <w:lang w:bidi="fa-IR"/>
          <w:color w:val="111111"/>
          <w:sz w:val="28"/>
          <w:szCs w:val="28"/>
          <w:rtl/>
        </w:rPr>
        <w:t xml:space="preserve">انجام: غلام از پیش او فرار نمود، خليفه بطلب غلام کس فرستاد و او را گرفته بیاوردند و خلیفه گفت ای عبد صاحب تو کیست و چرا از پیش من فرار نمودی و غلام همین جواب داد. گویند غلام را بکشت. تمت و الله اعلم و احكم بالحق و الحمد لله رب العالمين</w:t>
      </w:r>
    </w:p>
    <w:p>
      <w:pPr>
        <w:pStyle w:val="BookText"/>
      </w:pPr>
      <w:r>
        <w:rPr>
          <w:rFonts w:ascii="IRNazanin" w:hAnsi="IRNazanin" w:eastAsia="IRNazanin" w:cs="IRNazanin"/>
          <w:lang w:bidi="fa-IR"/>
          <w:color w:val="111111"/>
          <w:sz w:val="28"/>
          <w:szCs w:val="28"/>
          <w:rtl/>
        </w:rPr>
        <w:t xml:space="preserve">چاپ: تهران، به کوشش میرزا عبدالعظیم قريب، ۱۳۱۳ش؛ به کوشش رضا مایل هروی، خراسان، ۲ (۱۳۶۱) ش ۲.</w:t>
      </w:r>
    </w:p>
    <w:p>
      <w:pPr>
        <w:pStyle w:val="BookText"/>
      </w:pPr>
      <w:r>
        <w:rPr>
          <w:rFonts w:ascii="IRNazanin" w:hAnsi="IRNazanin" w:eastAsia="IRNazanin" w:cs="IRNazanin"/>
          <w:lang w:bidi="fa-IR"/>
          <w:color w:val="111111"/>
          <w:sz w:val="28"/>
          <w:szCs w:val="28"/>
          <w:rtl/>
        </w:rPr>
        <w:t xml:space="preserve">[ دنا ۶۸۳/۲ ؛ فهرستواره منزوی ۸۵۱/۲ ]</w:t>
      </w:r>
    </w:p>
    <w:p>
      <w:pPr>
        <w:pStyle w:val="BookText"/>
      </w:pPr>
      <w:r>
        <w:rPr>
          <w:rFonts w:ascii="IRNazanin" w:hAnsi="IRNazanin" w:eastAsia="IRNazanin" w:cs="IRNazanin"/>
          <w:lang w:bidi="fa-IR"/>
          <w:color w:val="111111"/>
          <w:sz w:val="28"/>
          <w:szCs w:val="28"/>
          <w:rtl/>
        </w:rPr>
        <w:t xml:space="preserve">۱. تهران؛ مجلس؛ شماره نسخه: ۵۱۳۸/۸۲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نام مؤلف به استناد نسخه ش ۸۲ ادبیات مشهد ذکر شد؛ خط: نستعلیق، بی کا، تا: قرن ۱۱؛ اگ (۲۵۵) [ف: ۱۵-۱۶۹]</w:t>
      </w:r>
    </w:p>
    <w:p>
      <w:pPr>
        <w:pStyle w:val="BookText"/>
      </w:pPr>
      <w:r>
        <w:rPr>
          <w:rFonts w:ascii="IRNazanin" w:hAnsi="IRNazanin" w:eastAsia="IRNazanin" w:cs="IRNazanin"/>
          <w:lang w:bidi="fa-IR"/>
          <w:color w:val="111111"/>
          <w:sz w:val="28"/>
          <w:szCs w:val="28"/>
          <w:rtl/>
        </w:rPr>
        <w:t xml:space="preserve">۲. مشهد؛ ادبیات، شماره نسخه: ۸۲ فرخ</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از صفحه ۱۴۹ به بعد با حواشی و تعليقاتی از مرحوم قریب به خط ابراهیم شاملو در اردیبهشت ۱۳۴۴ش؛ کاغذ: مشقی، جلد: پلاستیک، ۷۷گ، ۹ سطر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اندازه: 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۱۶/۵ سم [ف: ۱۹]</w:t>
      </w:r>
    </w:p>
    <w:p>
      <w:pPr>
        <w:pStyle w:val="Heading3"/>
      </w:pPr>
      <w:bookmarkStart w:id="2103" w:name="_Toc1363"/>
      <w:r>
        <w:t>•تاریخ بزرگان عرب / تاریخ عربی</w:t>
      </w:r>
      <w:bookmarkEnd w:id="2103"/>
    </w:p>
    <w:p>
      <w:pPr>
        <w:pStyle w:val="BookText"/>
      </w:pPr>
      <w:r>
        <w:rPr>
          <w:rFonts w:ascii="Times New Roman" w:hAnsi="Times New Roman" w:eastAsia="Times New Roman" w:cs="Times New Roman"/>
          <w:lang w:val="en-US" w:bidi="en-US"/>
          <w:color w:val="111111"/>
          <w:sz w:val="28"/>
          <w:szCs w:val="28"/>
          <w:rtl/>
        </w:rPr>
        <w:t xml:space="preserve">tārīx-e bozorgān-e ‘arab</w:t>
      </w:r>
    </w:p>
    <w:p>
      <w:pPr>
        <w:pStyle w:val="BookText"/>
      </w:pPr>
      <w:r>
        <w:rPr>
          <w:rFonts w:ascii="IRNazanin" w:hAnsi="IRNazanin" w:eastAsia="IRNazanin" w:cs="IRNazanin"/>
          <w:lang w:bidi="fa-IR"/>
          <w:color w:val="111111"/>
          <w:sz w:val="28"/>
          <w:szCs w:val="28"/>
          <w:rtl/>
        </w:rPr>
        <w:t xml:space="preserve">شرح حال بزرگان عرب از معاویه بن ابی سفیان تا سلطان الغرب مولاي رشيد بن على الملك المويد الشريف الحسینی را با احراز مدارک تاریخی و کتب رجال می آورد ... ابتدا نام شخصی را ذکر می کند و سپس سال تولد او را بیان می دارد و بعد پاره ای از حوادث مهم ایام او را ذکر می کند. در این مجموعه تواریخ بیشتر تکیه بر خلفای اموی و عباسی شده و مستند نویسنده نیز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404" w:name="pg20363_209699"/>
    <w:bookmarkEnd w:id="404"/>
    <w:p>
      <w:pPr>
        <w:pStyle w:val="BookText"/>
      </w:pPr>
      <w:r>
        <w:rPr>
          <w:rFonts w:ascii="IRNazanin" w:hAnsi="IRNazanin" w:eastAsia="IRNazanin" w:cs="IRNazanin"/>
          <w:lang w:bidi="fa-IR"/>
          <w:color w:val="111111"/>
          <w:sz w:val="28"/>
          <w:szCs w:val="28"/>
          <w:rtl/>
        </w:rPr>
        <w:t xml:space="preserve">بیشتر نوشته های ابن خلکان است.</w:t>
      </w:r>
    </w:p>
    <w:p>
      <w:pPr>
        <w:pStyle w:val="BookText"/>
      </w:pPr>
      <w:r>
        <w:rPr>
          <w:rFonts w:ascii="IRNazanin" w:hAnsi="IRNazanin" w:eastAsia="IRNazanin" w:cs="IRNazanin"/>
          <w:lang w:bidi="fa-IR"/>
          <w:color w:val="111111"/>
          <w:sz w:val="28"/>
          <w:szCs w:val="28"/>
          <w:rtl/>
        </w:rPr>
        <w:t xml:space="preserve">تهران؛ ملی؛ شماره نسخه: ۸۱</w:t>
      </w:r>
    </w:p>
    <w:p>
      <w:pPr>
        <w:pStyle w:val="BookText"/>
      </w:pPr>
      <w:r>
        <w:rPr>
          <w:rFonts w:ascii="IRNazanin" w:hAnsi="IRNazanin" w:eastAsia="IRNazanin" w:cs="IRNazanin"/>
          <w:lang w:bidi="fa-IR"/>
          <w:color w:val="111111"/>
          <w:sz w:val="28"/>
          <w:szCs w:val="28"/>
          <w:rtl/>
        </w:rPr>
        <w:t xml:space="preserve">آغاز: معاویه بن ابی سفیان صخر بن حرب ابن امیه بن عبد الشمس؛ انجام: واستنام في السلطنه سبع سنوات و توفي في سنه ثمان و ثمانین ... بعض المغاربه ....</w:t>
      </w:r>
    </w:p>
    <w:p>
      <w:pPr>
        <w:pStyle w:val="BookText"/>
      </w:pPr>
      <w:r>
        <w:rPr>
          <w:rFonts w:ascii="IRNazanin" w:hAnsi="IRNazanin" w:eastAsia="IRNazanin" w:cs="IRNazanin"/>
          <w:lang w:bidi="fa-IR"/>
          <w:color w:val="111111"/>
          <w:sz w:val="28"/>
          <w:szCs w:val="28"/>
          <w:rtl/>
        </w:rPr>
        <w:t xml:space="preserve">خط: نستعلیق، بی کا، تا: قرن ۱۱؛ افتادگی: آغاز و انجام؛ مهر: ناصر الدین شاه؛ کاغذ: فرنگی، جلد: تیماج سبز یک لا، ۲۳۹ گ، ۲۷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۱۱/۵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سم [ف: ۷-۷۸]</w:t>
      </w:r>
    </w:p>
    <w:p>
      <w:pPr>
        <w:pStyle w:val="Heading3"/>
      </w:pPr>
      <w:bookmarkStart w:id="2104" w:name="_Toc1364"/>
      <w:r>
        <w:t>•تاریخ بعد النبی(صلی الله علیه وآله وسلم) / تاریخ اسلام / عربی</w:t>
      </w:r>
      <w:bookmarkEnd w:id="2104"/>
    </w:p>
    <w:p>
      <w:pPr>
        <w:pStyle w:val="BookText"/>
      </w:pPr>
      <w:r>
        <w:rPr>
          <w:rFonts w:ascii="Times New Roman" w:hAnsi="Times New Roman" w:eastAsia="Times New Roman" w:cs="Times New Roman"/>
          <w:lang w:val="en-US" w:bidi="en-US"/>
          <w:color w:val="111111"/>
          <w:sz w:val="28"/>
          <w:szCs w:val="28"/>
          <w:rtl/>
        </w:rPr>
        <w:t xml:space="preserve">tārīx-u ba'd-an nabī</w:t>
      </w:r>
    </w:p>
    <w:p>
      <w:pPr>
        <w:pStyle w:val="BookText"/>
      </w:pPr>
      <w:r>
        <w:rPr>
          <w:rFonts w:ascii="IRNazanin" w:hAnsi="IRNazanin" w:eastAsia="IRNazanin" w:cs="IRNazanin"/>
          <w:lang w:bidi="fa-IR"/>
          <w:color w:val="111111"/>
          <w:sz w:val="28"/>
          <w:szCs w:val="28"/>
          <w:rtl/>
        </w:rPr>
        <w:t xml:space="preserve">تاریخ تألیف: قرن ششم تاریخ مختصری است به ترتیب سنوات، مؤلف، کتاب را با ولادت پیامبر اکرم(صلی الله علیه وآله وسلم)شروع نموده و تا سال ۵۲۶ق یعنی تا زمان خودش ادامه داده است. فهرست نگار طوپ قاپی، نام کتاب را «حوادث السنين» ثبت کرده، ليكن روی برگ عنوان چنین آمده «تاریخ بعد النبي(صلی الله علیه وآله وسلم)الى تمام الخلفاء العباسیه»، که شاید این هر دو نیز نام اصلی کتاب نباشد.</w:t>
      </w:r>
    </w:p>
    <w:p>
      <w:pPr>
        <w:pStyle w:val="BookText"/>
      </w:pPr>
      <w:r>
        <w:rPr>
          <w:rFonts w:ascii="IRNazanin" w:hAnsi="IRNazanin" w:eastAsia="IRNazanin" w:cs="IRNazanin"/>
          <w:lang w:bidi="fa-IR"/>
          <w:color w:val="111111"/>
          <w:sz w:val="28"/>
          <w:szCs w:val="28"/>
          <w:rtl/>
        </w:rPr>
        <w:t xml:space="preserve">قم؛ مرعشی؛ شماره نسخه: ۸۵۲عکسی</w:t>
      </w:r>
    </w:p>
    <w:p>
      <w:pPr>
        <w:pStyle w:val="BookText"/>
      </w:pPr>
      <w:r>
        <w:rPr>
          <w:rFonts w:ascii="IRNazanin" w:hAnsi="IRNazanin" w:eastAsia="IRNazanin" w:cs="IRNazanin"/>
          <w:lang w:bidi="fa-IR"/>
          <w:color w:val="111111"/>
          <w:sz w:val="28"/>
          <w:szCs w:val="28"/>
          <w:rtl/>
        </w:rPr>
        <w:t xml:space="preserve">آغاز: الحمدلله رب العالمين ...... اما بعد فهذه نبذة من التاريخ الخصتها و جمعتها على سنین الهجرة النبوية ... الى ما انتها اليه زماننا؛ انجام: سنة ست و عشرین و خمس ماية ... و قد تم ما اردناه من هذا التاريخ المبارک ... و حسبنا الله و نعم الوکیل</w:t>
      </w:r>
    </w:p>
    <w:p>
      <w:pPr>
        <w:pStyle w:val="BookText"/>
      </w:pPr>
      <w:r>
        <w:rPr>
          <w:rFonts w:ascii="IRNazanin" w:hAnsi="IRNazanin" w:eastAsia="IRNazanin" w:cs="IRNazanin"/>
          <w:lang w:bidi="fa-IR"/>
          <w:color w:val="111111"/>
          <w:sz w:val="28"/>
          <w:szCs w:val="28"/>
          <w:rtl/>
        </w:rPr>
        <w:t xml:space="preserve">نسخه اصل: سلطان احمد ثالث استانبول، ش ۲۹۸۱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فهرست خطی عربی طوپ قاپی</w:t>
      </w:r>
    </w:p>
    <w:p>
      <w:pPr>
        <w:pStyle w:val="BookText"/>
      </w:pPr>
      <w:r>
        <w:rPr>
          <w:rFonts w:ascii="IRNazanin" w:hAnsi="IRNazanin" w:eastAsia="IRNazanin" w:cs="IRNazanin"/>
          <w:lang w:bidi="fa-IR"/>
          <w:color w:val="111111"/>
          <w:sz w:val="28"/>
          <w:szCs w:val="28"/>
          <w:rtl/>
        </w:rPr>
        <w:t xml:space="preserve">۵/۳-۳۴۴)؛ خط: نسخ معرب، بی کا، تا: احتمالا قرن ۷؛ مصحح؛ ۱۶۹گ، ۱۷سطر [عکسی ف: ۲-۳۲۹]</w:t>
      </w:r>
    </w:p>
    <w:p>
      <w:pPr>
        <w:pStyle w:val="Heading3"/>
      </w:pPr>
      <w:bookmarkStart w:id="2105" w:name="_Toc1365"/>
      <w:r>
        <w:t>•تاریخ بلده نور / تاریخ ایران / فارسی</w:t>
      </w:r>
      <w:bookmarkEnd w:id="2105"/>
    </w:p>
    <w:p>
      <w:pPr>
        <w:pStyle w:val="BookText"/>
      </w:pPr>
      <w:r>
        <w:rPr>
          <w:rFonts w:ascii="Times New Roman" w:hAnsi="Times New Roman" w:eastAsia="Times New Roman" w:cs="Times New Roman"/>
          <w:lang w:val="en-US" w:bidi="en-US"/>
          <w:color w:val="111111"/>
          <w:sz w:val="28"/>
          <w:szCs w:val="28"/>
          <w:rtl/>
        </w:rPr>
        <w:t xml:space="preserve">tarix-e balade-ye nur</w:t>
      </w:r>
    </w:p>
    <w:p>
      <w:pPr>
        <w:pStyle w:val="BookText"/>
      </w:pPr>
      <w:r>
        <w:rPr>
          <w:rFonts w:ascii="IRNazanin" w:hAnsi="IRNazanin" w:eastAsia="IRNazanin" w:cs="IRNazanin"/>
          <w:lang w:bidi="fa-IR"/>
          <w:color w:val="111111"/>
          <w:sz w:val="28"/>
          <w:szCs w:val="28"/>
          <w:rtl/>
        </w:rPr>
        <w:t xml:space="preserve">اعتماد السلطنه، محمد حسن بن علی، ۱۲۵۹-۱۳۱۳ قمری</w:t>
      </w:r>
    </w:p>
    <w:p>
      <w:pPr>
        <w:pStyle w:val="BookText"/>
      </w:pPr>
      <w:r>
        <w:rPr>
          <w:rFonts w:ascii="Times New Roman" w:hAnsi="Times New Roman" w:eastAsia="Times New Roman" w:cs="Times New Roman"/>
          <w:lang w:val="en-US" w:bidi="en-US"/>
          <w:color w:val="111111"/>
          <w:sz w:val="28"/>
          <w:szCs w:val="28"/>
          <w:rtl/>
        </w:rPr>
        <w:t xml:space="preserve">e'temād-os-saltane, mohammad hasan ebn-e ‘alī (1843–1896)</w:t>
      </w:r>
    </w:p>
    <w:p>
      <w:pPr>
        <w:pStyle w:val="BookText"/>
      </w:pPr>
      <w:r>
        <w:rPr>
          <w:rFonts w:ascii="IRNazanin" w:hAnsi="IRNazanin" w:eastAsia="IRNazanin" w:cs="IRNazanin"/>
          <w:lang w:bidi="fa-IR"/>
          <w:color w:val="111111"/>
          <w:sz w:val="28"/>
          <w:szCs w:val="28"/>
          <w:rtl/>
        </w:rPr>
        <w:t xml:space="preserve">تاريخ تألیف: در سال های ۱۳۰۳ و ۱۳۰۴ق این کتاب از تالیفات محمد حسن خان صنیع الدوله وزیر علوم و انطباعات دوره ناصری می باشد. آغاز: بعد الحمد الله خالق الظلمات و النور و جاعل الظل و الحرور انجام: چون بتوفيق رفيع موشح و مطلع گردند اعتماد نمایند و انحراف نجویند بر این جوانب نروند تا به مجدت و ارتضا معروف گردند.</w:t>
      </w:r>
    </w:p>
    <w:p>
      <w:pPr>
        <w:pStyle w:val="BookText"/>
      </w:pPr>
      <w:r>
        <w:rPr>
          <w:rFonts w:ascii="IRNazanin" w:hAnsi="IRNazanin" w:eastAsia="IRNazanin" w:cs="IRNazanin"/>
          <w:lang w:bidi="fa-IR"/>
          <w:color w:val="111111"/>
          <w:sz w:val="28"/>
          <w:szCs w:val="28"/>
          <w:rtl/>
        </w:rPr>
        <w:t xml:space="preserve">[دنا ۶۸۳/۲ ؛ فهرستواره منزوی ۸۵۱/۲ ]</w:t>
      </w:r>
    </w:p>
    <w:p>
      <w:pPr>
        <w:pStyle w:val="BookText"/>
      </w:pPr>
      <w:r>
        <w:rPr>
          <w:rFonts w:ascii="IRNazanin" w:hAnsi="IRNazanin" w:eastAsia="IRNazanin" w:cs="IRNazanin"/>
          <w:lang w:bidi="fa-IR"/>
          <w:color w:val="111111"/>
          <w:sz w:val="28"/>
          <w:szCs w:val="28"/>
          <w:rtl/>
        </w:rPr>
        <w:t xml:space="preserve">ساری، طاهری شهاب؛ شماره نسخه: ۱۸۹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بی تا؛ جلد: تیماج، ۲۲ ، ۱۹ سطر (۲۱۶۱۷) [نشریه: ۶-۶۱۳]</w:t>
      </w:r>
    </w:p>
    <w:p>
      <w:pPr>
        <w:pStyle w:val="Heading3"/>
      </w:pPr>
      <w:bookmarkStart w:id="2106" w:name="_Toc1366"/>
      <w:r>
        <w:t>•تاریخ بلعمی = ترجمه تاریخ طبری = تاریخ نامه / تاریخ جهان / فارسی</w:t>
      </w:r>
      <w:bookmarkEnd w:id="2106"/>
    </w:p>
    <w:p>
      <w:pPr>
        <w:pStyle w:val="BookText"/>
      </w:pPr>
      <w:r>
        <w:rPr>
          <w:rFonts w:ascii="Times New Roman" w:hAnsi="Times New Roman" w:eastAsia="Times New Roman" w:cs="Times New Roman"/>
          <w:lang w:val="en-US" w:bidi="en-US"/>
          <w:color w:val="111111"/>
          <w:sz w:val="28"/>
          <w:szCs w:val="28"/>
          <w:rtl/>
        </w:rPr>
        <w:t xml:space="preserve">tārīx-e bal'amī= t.-ye tārīx-e tabarī= tārīx-nāme</w:t>
      </w:r>
    </w:p>
    <w:p>
      <w:pPr>
        <w:pStyle w:val="BookText"/>
      </w:pPr>
      <w:r>
        <w:rPr>
          <w:rFonts w:ascii="IRNazanin" w:hAnsi="IRNazanin" w:eastAsia="IRNazanin" w:cs="IRNazanin"/>
          <w:lang w:bidi="fa-IR"/>
          <w:color w:val="111111"/>
          <w:sz w:val="28"/>
          <w:szCs w:val="28"/>
          <w:rtl/>
        </w:rPr>
        <w:t xml:space="preserve">بلعمی، محمد بن محمد، -۳۶۳ قمری</w:t>
      </w:r>
    </w:p>
    <w:p>
      <w:pPr>
        <w:pStyle w:val="BookText"/>
      </w:pPr>
      <w:r>
        <w:rPr>
          <w:rFonts w:ascii="Times New Roman" w:hAnsi="Times New Roman" w:eastAsia="Times New Roman" w:cs="Times New Roman"/>
          <w:lang w:val="en-US" w:bidi="en-US"/>
          <w:color w:val="111111"/>
          <w:sz w:val="28"/>
          <w:szCs w:val="28"/>
          <w:rtl/>
        </w:rPr>
        <w:t xml:space="preserve">balʻamī, mohammad ebn-e mohammad (-974)</w:t>
      </w:r>
    </w:p>
    <w:p>
      <w:pPr>
        <w:pStyle w:val="BookText"/>
      </w:pPr>
      <w:r>
        <w:rPr>
          <w:rFonts w:ascii="IRNazanin" w:hAnsi="IRNazanin" w:eastAsia="IRNazanin" w:cs="IRNazanin"/>
          <w:lang w:bidi="fa-IR"/>
          <w:color w:val="111111"/>
          <w:sz w:val="28"/>
          <w:szCs w:val="28"/>
          <w:rtl/>
        </w:rPr>
        <w:t xml:space="preserve">وابسته به تاریخ طبری؛ طبری، محمد بن جریر (۲۲۴-۳۱۰) به دستور: منصور به نوح سامانی (۳۶۶ ق)</w:t>
      </w:r>
    </w:p>
    <w:p>
      <w:pPr>
        <w:pStyle w:val="BookText"/>
      </w:pPr>
      <w:r>
        <w:rPr>
          <w:rFonts w:ascii="IRNazanin" w:hAnsi="IRNazanin" w:eastAsia="IRNazanin" w:cs="IRNazanin"/>
          <w:lang w:bidi="fa-IR"/>
          <w:color w:val="111111"/>
          <w:sz w:val="28"/>
          <w:szCs w:val="28"/>
          <w:rtl/>
        </w:rPr>
        <w:t xml:space="preserve">تاریخ عمومی است از آغاز جهان تا روز نگارش. کار بلعمی با اصل کتاب تفاوت های بسیار دارد و ترجمه ای متصرفانه است. او زنجیره اسناد را انداخته و مطالبی درباره روزگار پیش از چیرگی اسلام بر آن افزوده است و مطالب را به گونه دیگر در «باب» «فصل»ها مرتب کرده است. این ترجمه به دستور منصور به نوح سامانی (۳۶۶ ق) انجام یافته است.</w:t>
      </w:r>
    </w:p>
    <w:p>
      <w:pPr>
        <w:pStyle w:val="BookText"/>
      </w:pPr>
      <w:r>
        <w:rPr>
          <w:rFonts w:ascii="IRNazanin" w:hAnsi="IRNazanin" w:eastAsia="IRNazanin" w:cs="IRNazanin"/>
          <w:lang w:bidi="fa-IR"/>
          <w:color w:val="111111"/>
          <w:sz w:val="28"/>
          <w:szCs w:val="28"/>
          <w:rtl/>
        </w:rPr>
        <w:t xml:space="preserve">آغاز: ۱: سپاس و آفرین مر خدای کامکار کامران ... اما بعد بدانکه این تاریخ نامه بزرگ است. گرد آورده ابو جعفر محمد ۲: شکر و سپاس حضرت خالقی را که انوار دقایق حکمت او از هر ذره از ذرات</w:t>
      </w:r>
    </w:p>
    <w:p>
      <w:pPr>
        <w:pStyle w:val="BookText"/>
      </w:pPr>
      <w:r>
        <w:rPr>
          <w:rFonts w:ascii="IRNazanin" w:hAnsi="IRNazanin" w:eastAsia="IRNazanin" w:cs="IRNazanin"/>
          <w:lang w:bidi="fa-IR"/>
          <w:color w:val="111111"/>
          <w:sz w:val="28"/>
          <w:szCs w:val="28"/>
          <w:rtl/>
        </w:rPr>
        <w:t xml:space="preserve">چاپ: جلد اول، به تصحیح مرحوم ملک الشعراء بهار و اهتمام آقای پروین گنابادی، اداره کل نگارش وزرات فرهنگ، ۱۳۴۱ش، ۱۲۳۲ صفحه، قطع وزیری، طبع سربی؛ گانپور، سنگی، ۱۳۳۴ق/۱۹۱۶م. (چاپ پنجم)، وزیری بزرگ، ۲+ ۸۰۰ص</w:t>
      </w:r>
    </w:p>
    <w:p>
      <w:pPr>
        <w:pStyle w:val="BookText"/>
      </w:pPr>
      <w:r>
        <w:rPr>
          <w:rFonts w:ascii="IRNazanin" w:hAnsi="IRNazanin" w:eastAsia="IRNazanin" w:cs="IRNazanin"/>
          <w:lang w:bidi="fa-IR"/>
          <w:color w:val="111111"/>
          <w:sz w:val="28"/>
          <w:szCs w:val="28"/>
          <w:rtl/>
        </w:rPr>
        <w:t xml:space="preserve">[کشف الظنون ۲۹۷/۱ ؛ فهرستواره منزوی ۵۷۹/۱ ؛ تاریخ ادبیات در ایران ۶۱۹/۱</w:t>
      </w:r>
    </w:p>
    <w:p>
      <w:pPr>
        <w:pStyle w:val="BookText"/>
      </w:pPr>
      <w:r>
        <w:rPr>
          <w:rFonts w:ascii="IRNazanin" w:hAnsi="IRNazanin" w:eastAsia="IRNazanin" w:cs="IRNazanin"/>
          <w:lang w:bidi="fa-IR"/>
          <w:color w:val="111111"/>
          <w:sz w:val="28"/>
          <w:szCs w:val="28"/>
          <w:rtl/>
        </w:rPr>
        <w:t xml:space="preserve">، نیز رک به مقدمه مرحوم پروین گنابادی بر تاریخ بلعمی چاپ تهران؛ رک: مجله دانشکده ادبیات مشهد ش ۳ سال دوازدهم ص ۵۵۰؛ ریحانة الادب ۲۸۰/۱ ، الذریعه ۸۶/۴</w:t>
      </w:r>
    </w:p>
    <w:p>
      <w:pPr>
        <w:pStyle w:val="BookText"/>
      </w:pPr>
      <w:r>
        <w:rPr>
          <w:rFonts w:ascii="IRNazanin" w:hAnsi="IRNazanin" w:eastAsia="IRNazanin" w:cs="IRNazanin"/>
          <w:lang w:bidi="fa-IR"/>
          <w:color w:val="111111"/>
          <w:sz w:val="28"/>
          <w:szCs w:val="28"/>
          <w:rtl/>
        </w:rPr>
        <w:t xml:space="preserve">و ۲۲۲/۳ ؛ دنا ۶۸۳/۲ (۶۹ نسخه)]</w:t>
      </w:r>
    </w:p>
    <w:p>
      <w:pPr>
        <w:pStyle w:val="BookText"/>
      </w:pPr>
      <w:r>
        <w:rPr>
          <w:rFonts w:ascii="IRNazanin" w:hAnsi="IRNazanin" w:eastAsia="IRNazanin" w:cs="IRNazanin"/>
          <w:lang w:bidi="fa-IR"/>
          <w:color w:val="111111"/>
          <w:sz w:val="28"/>
          <w:szCs w:val="28"/>
          <w:rtl/>
        </w:rPr>
        <w:t xml:space="preserve">١. مشهد؛ رضوی؛ شماره نسخه: ۷۴۸۱</w:t>
      </w:r>
    </w:p>
    <w:p>
      <w:pPr>
        <w:pStyle w:val="BookText"/>
      </w:pPr>
      <w:r>
        <w:rPr>
          <w:rFonts w:ascii="IRNazanin" w:hAnsi="IRNazanin" w:eastAsia="IRNazanin" w:cs="IRNazanin"/>
          <w:lang w:bidi="fa-IR"/>
          <w:color w:val="111111"/>
          <w:sz w:val="28"/>
          <w:szCs w:val="28"/>
          <w:rtl/>
        </w:rPr>
        <w:t xml:space="preserve">آغاز: بقية من فتح حاضریه و قرنسرین - گفتا و خالد سیف الله روی بقر نسرین نهاد بس مردمان قر نسرین بسیار کار زار کردند؛ انجام: و علم و جامه سبین کردند تا سفاح را از آنجا لشکر بایست فرستادن تا همه را بکشد. والله اعلم بالصواب.</w:t>
      </w:r>
    </w:p>
    <w:p>
      <w:pPr>
        <w:pStyle w:val="BookText"/>
      </w:pPr>
      <w:r>
        <w:rPr>
          <w:rFonts w:ascii="IRNazanin" w:hAnsi="IRNazanin" w:eastAsia="IRNazanin" w:cs="IRNazanin"/>
          <w:lang w:bidi="fa-IR"/>
          <w:color w:val="111111"/>
          <w:sz w:val="28"/>
          <w:szCs w:val="28"/>
          <w:rtl/>
        </w:rPr>
        <w:t xml:space="preserve">جزء دوم از جلد دوم. و مشتمل بر وقایع دوران خلافت عمرست تا کشته شدن مروان یعنی حوادث سال های ۱۵ تا ۱۳۲ هجری با تشویش و سقطی در اوراق چنانکه استاد مجتبی مینوی در مقدمه چاپ عکسی آن که از طرف بنیاد فرهنگ ایران در سال ۱۳۴۴ شمسی نشر یافته است توضیح داده اند؛ خط: نسخ، كا: اسحق بن محمد بن عمر بن محمد شروانی، تا: محرم ۵۸۶ق، جان زنجان؛ در ستون آخر فهرست به خطی همزمان نسخه و شاید اندکی پس از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چنین مسطورست: «الله المعين، لخزانة كتب الملك العالم العادل المؤيد المظفر المنصور المجاهد المرابط محيى العدل فخر الدنيا و الدين عز الاسلام و المسلمین شاه غازی ابوالمظفر بهرامشاه بن داود نصیر امیر المؤمنین مدالله ظله»، به همان خط نوشته شده است: «یاد گار بنده مخلص اسمعیل بن ابی القاسم المستوفی المعروف بضياء الدين تغمده الله برحمته)؛ کاغذ: نخودی ضخیم، جلد: تیماج ضربی مشکی، ۲۴۴گ، ۲۱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۷-۳۲]</w:t>
      </w:r>
    </w:p>
    <w:p>
      <w:pPr>
        <w:pStyle w:val="BookText"/>
      </w:pPr>
      <w:r>
        <w:rPr>
          <w:rFonts w:ascii="IRNazanin" w:hAnsi="IRNazanin" w:eastAsia="IRNazanin" w:cs="IRNazanin"/>
          <w:lang w:bidi="fa-IR"/>
          <w:color w:val="111111"/>
          <w:sz w:val="28"/>
          <w:szCs w:val="28"/>
          <w:rtl/>
        </w:rPr>
        <w:t xml:space="preserve">تهران؛ دانشگاه؛ شماره نسخه:۱۴۰۳ف</w:t>
      </w:r>
    </w:p>
    <w:p>
      <w:pPr>
        <w:pStyle w:val="BookText"/>
      </w:pPr>
      <w:r>
        <w:rPr>
          <w:rFonts w:ascii="Amiri" w:hAnsi="Amiri" w:eastAsia="Amiri" w:cs="Amiri"/>
          <w:lang w:bidi="ar-SA"/>
          <w:color w:val="111111"/>
          <w:sz w:val="28"/>
          <w:szCs w:val="28"/>
          <w:rtl/>
        </w:rPr>
        <w:t xml:space="preserve">نسخه اصل: همان نسخه بالا [فيلمها ف: ۱-۳۸]</w:t>
      </w:r>
    </w:p>
    <w:p>
      <w:pPr>
        <w:pStyle w:val="BookText"/>
      </w:pPr>
      <w:r>
        <w:rPr>
          <w:rFonts w:ascii="IRNazanin" w:hAnsi="IRNazanin" w:eastAsia="IRNazanin" w:cs="IRNazanin"/>
          <w:lang w:bidi="fa-IR"/>
          <w:color w:val="111111"/>
          <w:sz w:val="28"/>
          <w:szCs w:val="28"/>
          <w:rtl/>
        </w:rPr>
        <w:t xml:space="preserve">۲. تهران؛ مجلس؛ شماره نسخه:۸۶۵۶</w:t>
      </w:r>
    </w:p>
    <w:p>
      <w:pPr>
        <w:pStyle w:val="BookText"/>
      </w:pPr>
      <w:r>
        <w:rPr>
          <w:rFonts w:ascii="IRNazanin" w:hAnsi="IRNazanin" w:eastAsia="IRNazanin" w:cs="IRNazanin"/>
          <w:lang w:bidi="fa-IR"/>
          <w:color w:val="111111"/>
          <w:sz w:val="28"/>
          <w:szCs w:val="28"/>
          <w:rtl/>
        </w:rPr>
        <w:t xml:space="preserve">آغاز: خدای عز و جل کس نداند اما آنک محمد بن جریر گوید ما از پس این یاد کنیم اگر خدای توفیق دهد ان شاء الله در پیدا کردن خدای تعالی این خلق را از پی چه آفریده است؛ انجام: آن روز آیت فرستاد اليوم اکملت لکم دینکم و اتممت علیکم نعمتی و رضیت لکم الاسلام دينا پس خلق را بدرود کرد و بگفت که من ...</w:t>
      </w:r>
    </w:p>
    <w:p>
      <w:pPr>
        <w:pStyle w:val="BookText"/>
      </w:pPr>
      <w:r>
        <w:rPr>
          <w:rFonts w:ascii="IRNazanin" w:hAnsi="IRNazanin" w:eastAsia="IRNazanin" w:cs="IRNazanin"/>
          <w:lang w:bidi="fa-IR"/>
          <w:color w:val="111111"/>
          <w:sz w:val="28"/>
          <w:szCs w:val="28"/>
          <w:rtl/>
        </w:rPr>
        <w:t xml:space="preserve">جلد اول؛ خط: نسخ ريحان، بی کا، تا: قرن ۶؛ افتادگی: آغاز و انجام؛ مجدول، محشی با عناوین «مسعود بن ابراهيم عفى عنهما» و« م بهار»؛ جلد: تیماج قهوه ای با ترنج، ۳۶۷گ، ۱۹سطر،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۲۸/۵سم [ف: ۲۸-۱۸۸]</w:t>
      </w:r>
    </w:p>
    <w:p>
      <w:pPr>
        <w:pStyle w:val="BookText"/>
      </w:pPr>
      <w:r>
        <w:rPr>
          <w:rFonts w:ascii="IRNazanin" w:hAnsi="IRNazanin" w:eastAsia="IRNazanin" w:cs="IRNazanin"/>
          <w:lang w:bidi="fa-IR"/>
          <w:color w:val="111111"/>
          <w:sz w:val="28"/>
          <w:szCs w:val="28"/>
          <w:rtl/>
        </w:rPr>
        <w:t xml:space="preserve">٣. مشهد؛ رضوی؛ شماره نسخه:۱۱۵۰۵</w:t>
      </w:r>
    </w:p>
    <w:p>
      <w:pPr>
        <w:pStyle w:val="BookText"/>
      </w:pPr>
      <w:r>
        <w:rPr>
          <w:rFonts w:ascii="IRNazanin" w:hAnsi="IRNazanin" w:eastAsia="IRNazanin" w:cs="IRNazanin"/>
          <w:lang w:bidi="fa-IR"/>
          <w:color w:val="111111"/>
          <w:sz w:val="28"/>
          <w:szCs w:val="28"/>
          <w:rtl/>
        </w:rPr>
        <w:t xml:space="preserve">آغاز: خدای عزوجل با بندگان خویش عتاب کند؛ انجام: پیغامبر او را پرسید</w:t>
      </w:r>
    </w:p>
    <w:p>
      <w:pPr>
        <w:pStyle w:val="BookText"/>
      </w:pPr>
      <w:r>
        <w:rPr>
          <w:rFonts w:ascii="IRNazanin" w:hAnsi="IRNazanin" w:eastAsia="IRNazanin" w:cs="IRNazanin"/>
          <w:lang w:bidi="fa-IR"/>
          <w:color w:val="111111"/>
          <w:sz w:val="28"/>
          <w:szCs w:val="28"/>
          <w:rtl/>
        </w:rPr>
        <w:t xml:space="preserve">خط: نسخ، بی کا، تا: در اواخر قرن ۶ یا اوایل قرن ۷؛ افتادگی: انجام این نسخه با تاریخ بلعمی چاپ تهران تفاوتهایی دارد که عبارت است از: (۱) صفحه اول و دوم حاوی سؤالاتی است که از پیامبر اکرم کرده اند، و ظاهرا مربوط به تاریخ بلعمی نیست، (۲) پس از صفحه دوم، اوراقی از نسخه ما افتاده است که تقریبا برابر با ۳۰ صفحه تاریخ بلعمی طبع تهران است، (۳) هم بعد از صفحه ۱۶۸ نسخه حاضر افتادگی دارد که برابر است با صفحه ۴۰۱ نسخه چاپی، (۴) نیز نسخه حاضر از صفحه ۳۴۶ افتادگی دارد که برابر است با صفحات ۸۵۱ تا ۹۰۶ نسخه چاپی، (۵) آغاز «اخبار پیغامبر ما محمد مصطفی علیه السلام» که در نسخه ما عنوان قرار گرفته و مطالبی به دنبال دارد، برابر است با پایان تاریخ بلعمی چاپ تهران؛ مجدول؛ واقف: علی اکبر عبد الحسینی؛ کاغذ: دولت آبادی خوش قلم آهار مهره، جلد: تیماج قهوه ای، ۳۲۸گ، ۲۱ سطر،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[ف: ۹-۱۹]</w:t>
      </w:r>
    </w:p>
    <w:p>
      <w:pPr>
        <w:pStyle w:val="BookText"/>
      </w:pPr>
      <w:r>
        <w:rPr>
          <w:rFonts w:ascii="IRNazanin" w:hAnsi="IRNazanin" w:eastAsia="IRNazanin" w:cs="IRNazanin"/>
          <w:lang w:bidi="fa-IR"/>
          <w:color w:val="111111"/>
          <w:sz w:val="28"/>
          <w:szCs w:val="28"/>
          <w:rtl/>
        </w:rPr>
        <w:t xml:space="preserve">۴. تهران؛ مجلس؛ شماره نسخه:۳۰۷-بهار</w:t>
      </w:r>
    </w:p>
    <w:p>
      <w:pPr>
        <w:pStyle w:val="BookText"/>
      </w:pPr>
      <w:r>
        <w:rPr>
          <w:rFonts w:ascii="IRNazanin" w:hAnsi="IRNazanin" w:eastAsia="IRNazanin" w:cs="IRNazanin"/>
          <w:lang w:bidi="fa-IR"/>
          <w:color w:val="111111"/>
          <w:sz w:val="28"/>
          <w:szCs w:val="28"/>
          <w:rtl/>
        </w:rPr>
        <w:t xml:space="preserve">خط: نسخ، بی کا، تا: قرن ۶ و ۷؛ افتادگی: آغاز و انجام؛ مجدول [نشریه: ۵-۶۵۹]</w:t>
      </w:r>
    </w:p>
    <w:p>
      <w:pPr>
        <w:pStyle w:val="BookText"/>
      </w:pPr>
      <w:r>
        <w:rPr>
          <w:rFonts w:ascii="IRNazanin" w:hAnsi="IRNazanin" w:eastAsia="IRNazanin" w:cs="IRNazanin"/>
          <w:lang w:bidi="fa-IR"/>
          <w:color w:val="111111"/>
          <w:sz w:val="28"/>
          <w:szCs w:val="28"/>
          <w:rtl/>
        </w:rPr>
        <w:t xml:space="preserve">۵. تهران؛ مجلس؛ شماره نسخه:۱۸۶-بهار</w:t>
      </w:r>
    </w:p>
    <w:p>
      <w:pPr>
        <w:pStyle w:val="BookText"/>
      </w:pPr>
      <w:r>
        <w:rPr>
          <w:rFonts w:ascii="IRNazanin" w:hAnsi="IRNazanin" w:eastAsia="IRNazanin" w:cs="IRNazanin"/>
          <w:lang w:bidi="fa-IR"/>
          <w:color w:val="111111"/>
          <w:sz w:val="28"/>
          <w:szCs w:val="28"/>
          <w:rtl/>
        </w:rPr>
        <w:t xml:space="preserve">از سر گذشت محمد تا المهتدی؛ خط: نسخ درشت، بی کا، تا: قرن ۷؛ با تملک ۱۲ ربیع الثانی ۹۵۶ در سبزوار و تملک ۱۰۸۶؛ قطع: رحلی بزرگ [نشریه: ۵-۶۵۹]</w:t>
      </w:r>
    </w:p>
    <w:p>
      <w:pPr>
        <w:pStyle w:val="BookText"/>
      </w:pPr>
      <w:r>
        <w:rPr>
          <w:rFonts w:ascii="IRNazanin" w:hAnsi="IRNazanin" w:eastAsia="IRNazanin" w:cs="IRNazanin"/>
          <w:lang w:bidi="fa-IR"/>
          <w:color w:val="111111"/>
          <w:sz w:val="28"/>
          <w:szCs w:val="28"/>
          <w:rtl/>
        </w:rPr>
        <w:t xml:space="preserve">6 . تهران؛ دانشگاه؛ شماره نسخه: ۸۶۸-ف</w:t>
      </w:r>
    </w:p>
    <w:p>
      <w:pPr>
        <w:pStyle w:val="BookText"/>
      </w:pPr>
      <w:r>
        <w:rPr>
          <w:rFonts w:ascii="IRNazanin" w:hAnsi="IRNazanin" w:eastAsia="IRNazanin" w:cs="IRNazanin"/>
          <w:lang w:bidi="fa-IR"/>
          <w:color w:val="111111"/>
          <w:sz w:val="28"/>
          <w:szCs w:val="28"/>
          <w:rtl/>
        </w:rPr>
        <w:t xml:space="preserve">نسخه اصل: موزه انجمن همایونی آسیایی لندن </w:t>
      </w:r>
      <w:r>
        <w:rPr>
          <w:rFonts w:ascii="Times New Roman" w:hAnsi="Times New Roman" w:eastAsia="Times New Roman" w:cs="Times New Roman"/>
          <w:lang w:val="en-US" w:bidi="en-US"/>
          <w:color w:val="111111"/>
          <w:sz w:val="28"/>
          <w:szCs w:val="28"/>
          <w:rtl/>
        </w:rPr>
        <w:t xml:space="preserve">RAs </w:t>
      </w:r>
      <w:r>
        <w:rPr>
          <w:rFonts w:ascii="IRNazanin" w:hAnsi="IRNazanin" w:eastAsia="IRNazanin" w:cs="IRNazanin"/>
          <w:lang w:bidi="fa-IR"/>
          <w:color w:val="111111"/>
          <w:sz w:val="28"/>
          <w:szCs w:val="28"/>
          <w:rtl/>
        </w:rPr>
        <w:t xml:space="preserve">ش ۲۲؛ خط: نسخ، كان محمد شاه بن علی بن محمود شاد بخت حافظ اصفهانی، تا: شنبه ۱۸ شوال ۷۰۱ق؛ ۳۷۳گ، ۳۳ سطر [فیلمها ف: ۳۷-۱]</w:t>
      </w:r>
    </w:p>
    <w:p>
      <w:pPr>
        <w:pStyle w:val="BookText"/>
      </w:pPr>
      <w:r>
        <w:rPr>
          <w:rFonts w:ascii="IRNazanin" w:hAnsi="IRNazanin" w:eastAsia="IRNazanin" w:cs="IRNazanin"/>
          <w:lang w:bidi="fa-IR"/>
          <w:color w:val="111111"/>
          <w:sz w:val="28"/>
          <w:szCs w:val="28"/>
          <w:rtl/>
        </w:rPr>
        <w:t xml:space="preserve">۷. تهران، دانشگاه؛ شماره نسخه:۱۵۳۵ف</w:t>
      </w:r>
    </w:p>
    <w:p>
      <w:pPr>
        <w:pStyle w:val="BookText"/>
      </w:pPr>
      <w:r>
        <w:rPr>
          <w:rFonts w:ascii="IRNazanin" w:hAnsi="IRNazanin" w:eastAsia="IRNazanin" w:cs="IRNazanin"/>
          <w:lang w:bidi="fa-IR"/>
          <w:color w:val="111111"/>
          <w:sz w:val="28"/>
          <w:szCs w:val="28"/>
          <w:rtl/>
        </w:rPr>
        <w:t xml:space="preserve">نسخه اصل: فاتح ش ۴۲۸۵. در هفت مجلد؛ كا: احمد بن نجم خطاط اخلاطی، تا: یکشنبه ۱ شوال ۷۰۲ق؛ ۳۶۸گ [فیلمها ف: ۳۸-۱ ]</w:t>
      </w:r>
    </w:p>
    <w:p>
      <w:pPr>
        <w:pStyle w:val="BookText"/>
      </w:pPr>
      <w:r>
        <w:rPr>
          <w:rFonts w:ascii="IRNazanin" w:hAnsi="IRNazanin" w:eastAsia="IRNazanin" w:cs="IRNazanin"/>
          <w:lang w:bidi="fa-IR"/>
          <w:color w:val="111111"/>
          <w:sz w:val="28"/>
          <w:szCs w:val="28"/>
          <w:rtl/>
        </w:rPr>
        <w:t xml:space="preserve">۸. تهران: دانشگاه؛ شماره نسخه: ۷۹-ف</w:t>
      </w:r>
    </w:p>
    <w:p>
      <w:pPr>
        <w:pStyle w:val="BookText"/>
      </w:pPr>
      <w:r>
        <w:rPr>
          <w:rFonts w:ascii="IRNazanin" w:hAnsi="IRNazanin" w:eastAsia="IRNazanin" w:cs="IRNazanin"/>
          <w:lang w:bidi="fa-IR"/>
          <w:color w:val="111111"/>
          <w:sz w:val="28"/>
          <w:szCs w:val="28"/>
          <w:rtl/>
        </w:rPr>
        <w:t xml:space="preserve">نسخه اصل: ایاصوفيا ش ۳۰۵۰؛ خط: نسخ، كا: عثمان بن احمد بن ابی بکر معروف به خالویه، تا: رجب ۷۱۳ق؛ فتح الله بن نظام الدین شیروانی ۲۷ رمضان ۶۸۰۲ ۴۴۷گ [فیلمها ف: ۱-۳۷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دانشگاه؛ شماره نسخه: ۸۰-ف</w:t>
      </w:r>
    </w:p>
    <w:p>
      <w:pPr>
        <w:pStyle w:val="BookText"/>
      </w:pPr>
      <w:r>
        <w:rPr>
          <w:rFonts w:ascii="IRNazanin" w:hAnsi="IRNazanin" w:eastAsia="IRNazanin" w:cs="IRNazanin"/>
          <w:lang w:bidi="fa-IR"/>
          <w:color w:val="111111"/>
          <w:sz w:val="28"/>
          <w:szCs w:val="28"/>
          <w:rtl/>
        </w:rPr>
        <w:t xml:space="preserve">نسخه اصل: ایاصوفیه ش ۳۰۵۱؛ خط: نسخ، كا: محمود بن محمد ابن ابی بکر بن احمد معروف به خالویه، تا: اواخر ذیقعده ۷۱۸ق؛ ۳۳۰ گ، ۳۵ سطر [فیلمها ف: ۱-۳۷]</w:t>
      </w:r>
    </w:p>
    <w:p>
      <w:pPr>
        <w:pStyle w:val="BookText"/>
      </w:pPr>
      <w:r>
        <w:rPr>
          <w:rFonts w:ascii="IRNazanin" w:hAnsi="IRNazanin" w:eastAsia="IRNazanin" w:cs="IRNazanin"/>
          <w:lang w:bidi="fa-IR"/>
          <w:color w:val="111111"/>
          <w:sz w:val="28"/>
          <w:szCs w:val="28"/>
          <w:rtl/>
        </w:rPr>
        <w:t xml:space="preserve">۱۰. تهران؛ دانشگاه؛ شماره نسخه: ۸۶۹ف و ۳۲۷۲-ف</w:t>
      </w:r>
    </w:p>
    <w:p>
      <w:pPr>
        <w:pStyle w:val="BookText"/>
      </w:pPr>
      <w:r>
        <w:rPr>
          <w:rFonts w:ascii="IRNazanin" w:hAnsi="IRNazanin" w:eastAsia="IRNazanin" w:cs="IRNazanin"/>
          <w:lang w:bidi="fa-IR"/>
          <w:color w:val="111111"/>
          <w:sz w:val="28"/>
          <w:szCs w:val="28"/>
          <w:rtl/>
        </w:rPr>
        <w:t xml:space="preserve">نسخه اصل: فاتح ش ۴۲۸۱؛ خط: نسخ، كا: عبدالله بن سعد الله بن ابی غالب اصفهانی، تا: پنج شنبه ۲۱ ربیع الاول ۷۲۵ق، جا: فیروزان در خانه دارنده نسخه امیر نظام رکن الدین امیر غازان؛ واقف: سلطان محمود غازی [فیلمها ف: ۱-۳۸ و ۲-۱۱۳]</w:t>
      </w:r>
    </w:p>
    <w:p>
      <w:pPr>
        <w:pStyle w:val="BookText"/>
      </w:pPr>
      <w:r>
        <w:rPr>
          <w:rFonts w:ascii="IRNazanin" w:hAnsi="IRNazanin" w:eastAsia="IRNazanin" w:cs="IRNazanin"/>
          <w:lang w:bidi="fa-IR"/>
          <w:color w:val="111111"/>
          <w:sz w:val="28"/>
          <w:szCs w:val="28"/>
          <w:rtl/>
        </w:rPr>
        <w:t xml:space="preserve">۱۱. تهران، دانشگاه؛ شماره نسخه:۸۴۶ف و ۱۰۷۶ف</w:t>
      </w:r>
    </w:p>
    <w:p>
      <w:pPr>
        <w:pStyle w:val="BookText"/>
      </w:pPr>
      <w:r>
        <w:rPr>
          <w:rFonts w:ascii="IRNazanin" w:hAnsi="IRNazanin" w:eastAsia="IRNazanin" w:cs="IRNazanin"/>
          <w:lang w:bidi="fa-IR"/>
          <w:color w:val="111111"/>
          <w:sz w:val="28"/>
          <w:szCs w:val="28"/>
          <w:rtl/>
        </w:rPr>
        <w:t xml:space="preserve">نسخه اصل: پاریس 63 .</w:t>
      </w:r>
      <w:r>
        <w:rPr>
          <w:rFonts w:ascii="Times New Roman" w:hAnsi="Times New Roman" w:eastAsia="Times New Roman" w:cs="Times New Roman"/>
          <w:lang w:val="en-US" w:bidi="en-US"/>
          <w:color w:val="111111"/>
          <w:sz w:val="28"/>
          <w:szCs w:val="28"/>
          <w:rtl/>
        </w:rPr>
        <w:t xml:space="preserve">P</w:t>
      </w:r>
      <w:r>
        <w:rPr>
          <w:rFonts w:ascii="IRNazanin" w:hAnsi="IRNazanin" w:eastAsia="IRNazanin" w:cs="IRNazanin"/>
          <w:lang w:bidi="fa-IR"/>
          <w:color w:val="111111"/>
          <w:sz w:val="28"/>
          <w:szCs w:val="28"/>
          <w:rtl/>
        </w:rPr>
        <w:t xml:space="preserve">؛ خط: نسخ، بی کا، تا: ربيع الأول ۷۲۷ق؛ ۳۹۶گ، ۳۷ سطر [فيلمها ف: ۱-۳۷ و ۳۸]</w:t>
      </w:r>
    </w:p>
    <w:p>
      <w:pPr>
        <w:pStyle w:val="BookText"/>
      </w:pPr>
      <w:r>
        <w:rPr>
          <w:rFonts w:ascii="IRNazanin" w:hAnsi="IRNazanin" w:eastAsia="IRNazanin" w:cs="IRNazanin"/>
          <w:lang w:bidi="fa-IR"/>
          <w:color w:val="111111"/>
          <w:sz w:val="28"/>
          <w:szCs w:val="28"/>
          <w:rtl/>
        </w:rPr>
        <w:t xml:space="preserve">۱۲. تهران، دانشگاه؛ شماره نسخه: ۸۳۱ف</w:t>
      </w:r>
    </w:p>
    <w:p>
      <w:pPr>
        <w:pStyle w:val="BookText"/>
      </w:pPr>
      <w:r>
        <w:rPr>
          <w:rFonts w:ascii="IRNazanin" w:hAnsi="IRNazanin" w:eastAsia="IRNazanin" w:cs="IRNazanin"/>
          <w:lang w:bidi="fa-IR"/>
          <w:color w:val="111111"/>
          <w:sz w:val="28"/>
          <w:szCs w:val="28"/>
          <w:rtl/>
        </w:rPr>
        <w:t xml:space="preserve">نسخه اصل: بادلیان ۳۷۶ الیوت </w:t>
      </w:r>
      <w:r>
        <w:rPr>
          <w:rFonts w:ascii="Times New Roman" w:hAnsi="Times New Roman" w:eastAsia="Times New Roman" w:cs="Times New Roman"/>
          <w:lang w:val="en-US" w:bidi="en-US"/>
          <w:color w:val="111111"/>
          <w:sz w:val="28"/>
          <w:szCs w:val="28"/>
          <w:rtl/>
        </w:rPr>
        <w:t xml:space="preserve">eliot</w:t>
      </w:r>
      <w:r>
        <w:rPr>
          <w:rFonts w:ascii="IRNazanin" w:hAnsi="IRNazanin" w:eastAsia="IRNazanin" w:cs="IRNazanin"/>
          <w:lang w:bidi="fa-IR"/>
          <w:color w:val="111111"/>
          <w:sz w:val="28"/>
          <w:szCs w:val="28"/>
          <w:rtl/>
        </w:rPr>
        <w:t xml:space="preserve">؛ خط: نسخ، كا: اسمعیل بن محمود بن محمد بن مسعود بن محمد انسی جبریانی، تا: چهارشنبه ۱۵ صفر ۷۴۴ق؛ ۳۸۸، ۲۷ سطر [فیلمها ف: ۱-۳۷]</w:t>
      </w:r>
    </w:p>
    <w:p>
      <w:pPr>
        <w:pStyle w:val="BookText"/>
      </w:pPr>
      <w:r>
        <w:rPr>
          <w:rFonts w:ascii="IRNazanin" w:hAnsi="IRNazanin" w:eastAsia="IRNazanin" w:cs="IRNazanin"/>
          <w:lang w:bidi="fa-IR"/>
          <w:color w:val="111111"/>
          <w:sz w:val="28"/>
          <w:szCs w:val="28"/>
          <w:rtl/>
        </w:rPr>
        <w:t xml:space="preserve">۱۳. قم؛ فیضیه؛ شماره نسخه:۴۷۳</w:t>
      </w:r>
    </w:p>
    <w:p>
      <w:pPr>
        <w:pStyle w:val="BookText"/>
      </w:pPr>
      <w:r>
        <w:rPr>
          <w:rFonts w:ascii="IRNazanin" w:hAnsi="IRNazanin" w:eastAsia="IRNazanin" w:cs="IRNazanin"/>
          <w:lang w:bidi="fa-IR"/>
          <w:color w:val="111111"/>
          <w:sz w:val="28"/>
          <w:szCs w:val="28"/>
          <w:rtl/>
        </w:rPr>
        <w:t xml:space="preserve">آغاز: برابر ۱؛ انجام: که این کتاب تمام کند که فرمان یافت از آغاز بعثت تا کشته شدن متوكل؛ خط: نستعلیق، بی کا، تا: قرن ۹؛ با حاشیه هایی از زین العابدین حسنی عفى عنه؛ ۲۹۵گ، ۲۳ سطر،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۲-۳۰]</w:t>
      </w:r>
    </w:p>
    <w:p>
      <w:pPr>
        <w:pStyle w:val="BookText"/>
      </w:pPr>
      <w:r>
        <w:rPr>
          <w:rFonts w:ascii="IRNazanin" w:hAnsi="IRNazanin" w:eastAsia="IRNazanin" w:cs="IRNazanin"/>
          <w:lang w:bidi="fa-IR"/>
          <w:color w:val="111111"/>
          <w:sz w:val="28"/>
          <w:szCs w:val="28"/>
          <w:rtl/>
        </w:rPr>
        <w:t xml:space="preserve">۱۴. تهران؛ سپهسالار؛ شماره نسخه: ۱۵۵۲</w:t>
      </w:r>
    </w:p>
    <w:p>
      <w:pPr>
        <w:pStyle w:val="BookText"/>
      </w:pPr>
      <w:r>
        <w:rPr>
          <w:rFonts w:ascii="IRNazanin" w:hAnsi="IRNazanin" w:eastAsia="IRNazanin" w:cs="IRNazanin"/>
          <w:lang w:bidi="fa-IR"/>
          <w:color w:val="111111"/>
          <w:sz w:val="28"/>
          <w:szCs w:val="28"/>
          <w:rtl/>
        </w:rPr>
        <w:t xml:space="preserve">هر دو جلد؛ خط: نستعلیق، بی کا، تا: قرن ۹، کاغذ: سپاهانی و فرنگی سفید، جلد: تیماج مشکی ضربی مقوایی، ۶۳۵گ، ۲۱ سطر،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۳-۴۰۲]</w:t>
      </w:r>
    </w:p>
    <w:p>
      <w:pPr>
        <w:pStyle w:val="BookText"/>
      </w:pPr>
      <w:r>
        <w:rPr>
          <w:rFonts w:ascii="IRNazanin" w:hAnsi="IRNazanin" w:eastAsia="IRNazanin" w:cs="IRNazanin"/>
          <w:lang w:bidi="fa-IR"/>
          <w:color w:val="111111"/>
          <w:sz w:val="28"/>
          <w:szCs w:val="28"/>
          <w:rtl/>
        </w:rPr>
        <w:t xml:space="preserve">۱۵. تهران؛ سلطنتی؛ شماره نسخه: ۴۸۱</w:t>
      </w:r>
    </w:p>
    <w:p>
      <w:pPr>
        <w:pStyle w:val="BookText"/>
      </w:pPr>
      <w:r>
        <w:rPr>
          <w:rFonts w:ascii="IRNazanin" w:hAnsi="IRNazanin" w:eastAsia="IRNazanin" w:cs="IRNazanin"/>
          <w:lang w:bidi="fa-IR"/>
          <w:color w:val="111111"/>
          <w:sz w:val="28"/>
          <w:szCs w:val="28"/>
          <w:rtl/>
        </w:rPr>
        <w:t xml:space="preserve">آغاز: تاریخ طبری - بسمله شکر و سپاس بی حد و قیاس آفریننده زمین و آسمان را آنکس که نه ممتاز و نه انباز و نه دستور و نه یار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نه زن و نه فرزند همیشه بوده همیشه باشد و بر هست او نشانهای آفرینش او پیداست آسمان و زمین و شب و روز و آنچه در آن اندر است؛ انجام: خلافة مستظهر بالله. بعد از مقتدی خلیفه مستظهر بود و نام وي احمد بود و کنیت وی ابو العباس بود و مدت عمر وی چهل و یکسال و شش ماه و شش روز بود و بیست و پنج سال و سه ماه و یازده روز خليفتی کرد ... تمام شد کتاب تواریخ روزگار عالم از احد آدم و احیا پیغمبران و ملکان و تازیان و پارسیان و گردش روزگار ایشان .... و این کتاب که گرد آورده ابو جعفر بن محمد بن جریر بن یزید بن خالد الطبری رحمة الله عليه (مقداری از سطور در اثر وصالی از بین رفته است و در زمان منصور بن اسمعیل سامانی در این موضع هم جملات محو شده است) روز پنج شنبه ششم ماه (محو شده) اول سنه احد عشرین و ثمانمائه ۸۲۱ کاتب (محو شده) محمود بن محمد ...</w:t>
      </w:r>
    </w:p>
    <w:p>
      <w:pPr>
        <w:pStyle w:val="BookText"/>
      </w:pPr>
      <w:r>
        <w:rPr>
          <w:rFonts w:ascii="IRNazanin" w:hAnsi="IRNazanin" w:eastAsia="IRNazanin" w:cs="IRNazanin"/>
          <w:lang w:bidi="fa-IR"/>
          <w:color w:val="111111"/>
          <w:sz w:val="28"/>
          <w:szCs w:val="28"/>
          <w:rtl/>
        </w:rPr>
        <w:t xml:space="preserve">خط: نسخ و نستعلیق، كان محمود بن محمد، تا: ۸۲۱ق؛ در آن نوشته شده «ابتياعی از ورثه مرحوم طهماسب میرزا مؤید الدوله بتاریخ شهر محرم الحرام ۱۲۹۷ داخل کتابخانه مبارکه موزه سرکاری شد»؛ مهر: «الحاج مصطفی صدقی»؛ کاغذ: بخارایی نخودی، جلد: مقوای روکش چرم سبز، ۸۶۶ص، ۲۳ سطر، اندازه: ۳۴/۲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۲۶/۸ سم [ف: ۵-۲۵۱]</w:t>
      </w:r>
    </w:p>
    <w:p>
      <w:pPr>
        <w:pStyle w:val="BookText"/>
      </w:pPr>
      <w:r>
        <w:rPr>
          <w:rFonts w:ascii="IRNazanin" w:hAnsi="IRNazanin" w:eastAsia="IRNazanin" w:cs="IRNazanin"/>
          <w:lang w:bidi="fa-IR"/>
          <w:color w:val="111111"/>
          <w:sz w:val="28"/>
          <w:szCs w:val="28"/>
          <w:rtl/>
        </w:rPr>
        <w:t xml:space="preserve">۱۶. تهران؛ مجلس؛ شماره نسخه:۵۵۷۵</w:t>
      </w:r>
    </w:p>
    <w:p>
      <w:pPr>
        <w:pStyle w:val="BookText"/>
      </w:pPr>
      <w:r>
        <w:rPr>
          <w:rFonts w:ascii="IRNazanin" w:hAnsi="IRNazanin" w:eastAsia="IRNazanin" w:cs="IRNazanin"/>
          <w:lang w:bidi="fa-IR"/>
          <w:color w:val="111111"/>
          <w:sz w:val="28"/>
          <w:szCs w:val="28"/>
          <w:rtl/>
        </w:rPr>
        <w:t xml:space="preserve">آغاز: برابر ۱؛ انجام: و لجميع الخلايق بفضل رحمتک الحمدلله رب العالمين و الصلوة و السلام على محمد و آله الطيبين الطاهرین. خط: نستعلیق، بی کا، تا: ۸۲۴ق؛ مجدول، مذهب؛ کاغذ: شکری نازک سمرقندی، جلد: تیماج فیلی تیره ضربی، ۱۱۱۸ص، ۲۴</w:t>
      </w:r>
    </w:p>
    <w:p>
      <w:pPr>
        <w:pStyle w:val="BookText"/>
      </w:pPr>
      <w:r>
        <w:rPr>
          <w:rFonts w:ascii="IRNazanin" w:hAnsi="IRNazanin" w:eastAsia="IRNazanin" w:cs="IRNazanin"/>
          <w:lang w:bidi="fa-IR"/>
          <w:color w:val="111111"/>
          <w:sz w:val="28"/>
          <w:szCs w:val="28"/>
          <w:rtl/>
        </w:rPr>
        <w:t xml:space="preserve">سطر، قطع: رحلی،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۱۷-۳۸]</w:t>
      </w:r>
    </w:p>
    <w:p>
      <w:pPr>
        <w:pStyle w:val="BookText"/>
      </w:pPr>
      <w:r>
        <w:rPr>
          <w:rFonts w:ascii="Amiri" w:hAnsi="Amiri" w:eastAsia="Amiri" w:cs="Amiri"/>
          <w:lang w:bidi="ar-SA"/>
          <w:color w:val="111111"/>
          <w:sz w:val="28"/>
          <w:szCs w:val="28"/>
          <w:rtl/>
        </w:rPr>
        <w:t xml:space="preserve">۱۷. تهران؛ دائرة المعارف؛ شماره نسخه:۱۸۹</w:t>
      </w:r>
    </w:p>
    <w:p>
      <w:pPr>
        <w:pStyle w:val="BookText"/>
      </w:pPr>
      <w:r>
        <w:rPr>
          <w:rFonts w:ascii="IRNazanin" w:hAnsi="IRNazanin" w:eastAsia="IRNazanin" w:cs="IRNazanin"/>
          <w:lang w:bidi="fa-IR"/>
          <w:color w:val="111111"/>
          <w:sz w:val="28"/>
          <w:szCs w:val="28"/>
          <w:rtl/>
        </w:rPr>
        <w:t xml:space="preserve">آغاز: برابر ۱؛ انجام: و مدت خلافت المتقدر بالله بیست و چهار سال و یازده ماه بود. و السلام. تم کتاب محمدی .. خط: نسخ و نستعلیق، كا: تاج الدين احمد (نیمه دوم)، تا: بخش آغازین از قرنهای ۷ و ۸ ق و نیمه دوم اواسط صفر ۸۳۸؛ شیوه نوشتن کهن (ذ = د، ج = چ، ک = گ، ...)، با یادداشت سعید نفیسی؛ کاغذ: نخودی، جلد: تیماج مشکی، ۴۵۰گ، مختلف السطر (۱۶/۵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۲۳/۵)، اندازه: 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۱-۴۲]</w:t>
      </w:r>
    </w:p>
    <w:p>
      <w:pPr>
        <w:pStyle w:val="BookText"/>
      </w:pPr>
      <w:r>
        <w:rPr>
          <w:rFonts w:ascii="IRNazanin" w:hAnsi="IRNazanin" w:eastAsia="IRNazanin" w:cs="IRNazanin"/>
          <w:lang w:bidi="fa-IR"/>
          <w:color w:val="111111"/>
          <w:sz w:val="28"/>
          <w:szCs w:val="28"/>
          <w:rtl/>
        </w:rPr>
        <w:t xml:space="preserve">۱۸. تهران، دانشگاه؛ شماره نسخه:۷۸-ف</w:t>
      </w:r>
    </w:p>
    <w:p>
      <w:pPr>
        <w:pStyle w:val="BookText"/>
      </w:pPr>
      <w:r>
        <w:rPr>
          <w:rFonts w:ascii="IRNazanin" w:hAnsi="IRNazanin" w:eastAsia="IRNazanin" w:cs="IRNazanin"/>
          <w:lang w:bidi="fa-IR"/>
          <w:color w:val="111111"/>
          <w:sz w:val="28"/>
          <w:szCs w:val="28"/>
          <w:rtl/>
        </w:rPr>
        <w:t xml:space="preserve">نسخه اصل: ایاصوفيا ش ۳۰۴۹؛ خط: نسخ، كا: يعقوب بن حسين مهاجری، تا: دوشنبه ۲۳ صفر ۱۴۶ق، جا: اصفان، مسجد جامع؛ ۴۸۶گ [فیلمها ف: ۱-۳۷]</w:t>
      </w:r>
    </w:p>
    <w:p>
      <w:pPr>
        <w:pStyle w:val="BookText"/>
      </w:pPr>
      <w:r>
        <w:rPr>
          <w:rFonts w:ascii="IRNazanin" w:hAnsi="IRNazanin" w:eastAsia="IRNazanin" w:cs="IRNazanin"/>
          <w:lang w:bidi="fa-IR"/>
          <w:color w:val="111111"/>
          <w:sz w:val="28"/>
          <w:szCs w:val="28"/>
          <w:rtl/>
        </w:rPr>
        <w:t xml:space="preserve">۱۹. تهران؛ مجلس؛ شماره نسخه: ۸۲۲۱</w:t>
      </w:r>
    </w:p>
    <w:p>
      <w:pPr>
        <w:pStyle w:val="BookText"/>
      </w:pPr>
      <w:r>
        <w:rPr>
          <w:rFonts w:ascii="IRNazanin" w:hAnsi="IRNazanin" w:eastAsia="IRNazanin" w:cs="IRNazanin"/>
          <w:lang w:bidi="fa-IR"/>
          <w:color w:val="111111"/>
          <w:sz w:val="28"/>
          <w:szCs w:val="28"/>
          <w:rtl/>
        </w:rPr>
        <w:t xml:space="preserve">آغاز: برابر۱</w:t>
      </w:r>
    </w:p>
    <w:p>
      <w:pPr>
        <w:pStyle w:val="BookText"/>
      </w:pPr>
      <w:r>
        <w:rPr>
          <w:rFonts w:ascii="IRNazanin" w:hAnsi="IRNazanin" w:eastAsia="IRNazanin" w:cs="IRNazanin"/>
          <w:lang w:bidi="fa-IR"/>
          <w:color w:val="111111"/>
          <w:sz w:val="28"/>
          <w:szCs w:val="28"/>
          <w:rtl/>
        </w:rPr>
        <w:t xml:space="preserve">خط: نسخ، بی کا، تا: ۱۵ ذیقعده ۸۴۸ق؛ مجدول زر و لاجورد، دارای کتیبه های مذهب و مرصع؛ تملك: رضا قلی هدایت مورخ ۱۲۶۲ق؛ مهر: «الفقير عبدالحميد» (بیضوی)؛ جلد: تیماج مشکی با  ترنج با سر، ۴۴۴۶گ، ۲۵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۲۷/۲ -۱۷]</w:t>
      </w:r>
    </w:p>
    <w:p>
      <w:pPr>
        <w:pStyle w:val="BookText"/>
      </w:pPr>
      <w:r>
        <w:rPr>
          <w:rFonts w:ascii="IRNazanin" w:hAnsi="IRNazanin" w:eastAsia="IRNazanin" w:cs="IRNazanin"/>
          <w:lang w:bidi="fa-IR"/>
          <w:color w:val="111111"/>
          <w:sz w:val="28"/>
          <w:szCs w:val="28"/>
          <w:rtl/>
        </w:rPr>
        <w:t xml:space="preserve">۲۰. تهران؛ مهدوی؛ شماره نسخه: ۸۷۲</w:t>
      </w:r>
    </w:p>
    <w:p>
      <w:pPr>
        <w:pStyle w:val="BookText"/>
      </w:pPr>
      <w:r>
        <w:rPr>
          <w:rFonts w:ascii="IRNazanin" w:hAnsi="IRNazanin" w:eastAsia="IRNazanin" w:cs="IRNazanin"/>
          <w:lang w:bidi="fa-IR"/>
          <w:color w:val="111111"/>
          <w:sz w:val="28"/>
          <w:szCs w:val="28"/>
          <w:rtl/>
        </w:rPr>
        <w:t xml:space="preserve">با جدول صور اقالیم سبعه و طبقات ملوک در ۱۲ گی تا ملحدان الموت، خط عباسقلی سپهر پسر میرزا محمد تقی لسان الملک کاشانی مورخ ۱ صفر ۱۳۱۱ ئیلان ئیل در ص ع هست؛ خط: نسخ، كا: شهاب احمد بن محمد بن يعقوب بن احمد بن الحاج علی دهقلی، تا: ۹ محرم ۸۵۲ق، ۱۶ شعبان ۸۵۲ در نیمه ۲؛ مجدول زر و لاجورد، با سرلوح؛ کاغذ: ترمه، ۴۱۴گ، ۲۹ سطر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 اندازه: ۲۲/۵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۲۷/۵سم [ نشریه: ۲-۱۷۶]</w:t>
      </w:r>
    </w:p>
    <w:p>
      <w:pPr>
        <w:pStyle w:val="BookText"/>
      </w:pPr>
      <w:r>
        <w:rPr>
          <w:rFonts w:ascii="IRNazanin" w:hAnsi="IRNazanin" w:eastAsia="IRNazanin" w:cs="IRNazanin"/>
          <w:lang w:bidi="fa-IR"/>
          <w:color w:val="111111"/>
          <w:sz w:val="28"/>
          <w:szCs w:val="28"/>
          <w:rtl/>
        </w:rPr>
        <w:t xml:space="preserve">تهران؛ دانشگاه؛ شماره نسخه:۱۵۹۰ف</w:t>
      </w:r>
    </w:p>
    <w:p>
      <w:pPr>
        <w:pStyle w:val="BookText"/>
      </w:pPr>
      <w:r>
        <w:rPr>
          <w:rFonts w:ascii="Amiri" w:hAnsi="Amiri" w:eastAsia="Amiri" w:cs="Amiri"/>
          <w:lang w:bidi="ar-SA"/>
          <w:color w:val="111111"/>
          <w:sz w:val="28"/>
          <w:szCs w:val="28"/>
          <w:rtl/>
        </w:rPr>
        <w:t xml:space="preserve">نسخه اصل: همان نسخه بالا [فيلمها ف: ۱-۳۸]</w:t>
      </w:r>
    </w:p>
    <w:p>
      <w:pPr>
        <w:pStyle w:val="BookText"/>
      </w:pPr>
      <w:r>
        <w:rPr>
          <w:rFonts w:ascii="IRNazanin" w:hAnsi="IRNazanin" w:eastAsia="IRNazanin" w:cs="IRNazanin"/>
          <w:lang w:bidi="fa-IR"/>
          <w:color w:val="111111"/>
          <w:sz w:val="28"/>
          <w:szCs w:val="28"/>
          <w:rtl/>
        </w:rPr>
        <w:t xml:space="preserve">۲۱. تبریز؛ ملی؛ شماره نسخه:۳۳۱۸</w:t>
      </w:r>
    </w:p>
    <w:p>
      <w:pPr>
        <w:pStyle w:val="BookText"/>
      </w:pPr>
      <w:r>
        <w:rPr>
          <w:rFonts w:ascii="IRNazanin" w:hAnsi="IRNazanin" w:eastAsia="IRNazanin" w:cs="IRNazanin"/>
          <w:lang w:bidi="fa-IR"/>
          <w:color w:val="111111"/>
          <w:sz w:val="28"/>
          <w:szCs w:val="28"/>
          <w:rtl/>
        </w:rPr>
        <w:t xml:space="preserve">آغاز: برابر ۱؛ انجام: و ملك آل سلجوق در روم هنوز باقیست اما طبقه ملاحده و خوارزمیان در تاریخ جوینی مذکور است تم التاريخ الموسوم بتاريخ الطبري في ۵ محرم الحرام سنه اثنی و خمسين و ثمانمائة هجريه ...</w:t>
      </w:r>
    </w:p>
    <w:p>
      <w:pPr>
        <w:pStyle w:val="BookText"/>
      </w:pPr>
      <w:r>
        <w:rPr>
          <w:rFonts w:ascii="IRNazanin" w:hAnsi="IRNazanin" w:eastAsia="IRNazanin" w:cs="IRNazanin"/>
          <w:lang w:bidi="fa-IR"/>
          <w:color w:val="111111"/>
          <w:sz w:val="28"/>
          <w:szCs w:val="28"/>
          <w:rtl/>
        </w:rPr>
        <w:t xml:space="preserve">خط: نستعلیق، بی کا، تا: ۸۵۲ق؛ مجدول؛ تملك: عنایت الله احمد افندی به تاریخ ۱۱۹۸ق با مهر «عنایت الله ۱۱۴۷»؛ جلد: چرمی ضربی، ۳۱۰گ، ۲۷ سطر، اندازه: ۲۳/۵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۳۱/۵</w:t>
      </w:r>
    </w:p>
    <w:p>
      <w:pPr>
        <w:pStyle w:val="BookText"/>
      </w:pPr>
      <w:r>
        <w:rPr>
          <w:rFonts w:ascii="IRNazanin" w:hAnsi="IRNazanin" w:eastAsia="IRNazanin" w:cs="IRNazanin"/>
          <w:lang w:bidi="fa-IR"/>
          <w:color w:val="111111"/>
          <w:sz w:val="28"/>
          <w:szCs w:val="28"/>
          <w:rtl/>
        </w:rPr>
        <w:t xml:space="preserve">سم [ف: ۱-۲۴۷]</w:t>
      </w:r>
    </w:p>
    <w:p>
      <w:pPr>
        <w:pStyle w:val="BookText"/>
      </w:pPr>
      <w:r>
        <w:rPr>
          <w:rFonts w:ascii="IRNazanin" w:hAnsi="IRNazanin" w:eastAsia="IRNazanin" w:cs="IRNazanin"/>
          <w:lang w:bidi="fa-IR"/>
          <w:color w:val="111111"/>
          <w:sz w:val="28"/>
          <w:szCs w:val="28"/>
          <w:rtl/>
        </w:rPr>
        <w:t xml:space="preserve">۲۲. تهران؛ سلطنتی؛ شماره نسخه: ۴۸۲</w:t>
      </w:r>
    </w:p>
    <w:p>
      <w:pPr>
        <w:pStyle w:val="BookText"/>
      </w:pPr>
      <w:r>
        <w:rPr>
          <w:rFonts w:ascii="IRNazanin" w:hAnsi="IRNazanin" w:eastAsia="IRNazanin" w:cs="IRNazanin"/>
          <w:lang w:bidi="fa-IR"/>
          <w:color w:val="111111"/>
          <w:sz w:val="28"/>
          <w:szCs w:val="28"/>
          <w:rtl/>
        </w:rPr>
        <w:t xml:space="preserve">آغاز: ما يشاء و بيت الا اربعه اشيا الرزق و الاجل و السعادة بس جهودان گفتند ای محمد بتورته اندر همچنین نوشته است؛ انجام: في تاريخ غره رجب المرجب سنة تسع ثمانين و ثمانمایه الهجريه آمرزیده باد که از برای نویسنده این کتاب فقیر گناه کار ... سعدالدین بن تاج الدين بن علی بن محمد بن نجيب الكازرونی سوره فاتحة الكتاب بخواند و دعاء آمرزش از حضرة الله سبحانه و تعالی طلب کند .... على خير خلقه محمد و آله اجمعين الطيبين الطاهرین و سلم تسلم دائما ابدا كثيرا.</w:t>
      </w:r>
    </w:p>
    <w:p>
      <w:pPr>
        <w:pStyle w:val="BookText"/>
      </w:pPr>
      <w:r>
        <w:rPr>
          <w:rFonts w:ascii="IRNazanin" w:hAnsi="IRNazanin" w:eastAsia="IRNazanin" w:cs="IRNazanin"/>
          <w:lang w:bidi="fa-IR"/>
          <w:color w:val="111111"/>
          <w:sz w:val="28"/>
          <w:szCs w:val="28"/>
          <w:rtl/>
        </w:rPr>
        <w:t xml:space="preserve">از آغاز خلقت تا خلافت المستظهر بالله. مطالب مندرجه مانند نسخه شماره دفتر ۴۸۱ می باشد؛ خط: نسخ، كا: سعد الدين بن تاج الدين بن على بن محمد بن نجیب کازرونی، تا: ۸۸۹ق؛ افتادگی: آغاز (یک صفحه)؛ پشت صفحه اول نوشته شده «ابتياعی از ورثه مرحوم طهماسب میرزا مؤیدالدوله بتاريخ شهر محرم الحرام ۱۲۹۷ داخل موزه کتابخانه اقدس ظل اللهی شد»، یک یادداشت در مورد وبای هولناک سال ۱۲۶۷ ق نوشته شده که از کشتار این مرض پناه بر خداوند عالمیان برده و بکر مش امیدوار شده اند، یادداشت دیگری از زلزله مهیب شهر شیراز به سال ۱۲۶۹ق نوشته شده که دوازده هزار کس بهر رسم و اسم از دارفانی بسرای بقا شتافتند -بامضای فتح الله شیرازی؛ مجدول؛ کاغذ: سمرقندی</w:t>
      </w:r>
    </w:p>
    <w:p>
      <w:pPr>
        <w:pStyle w:val="BookText"/>
      </w:pPr>
      <w:r>
        <w:rPr>
          <w:rFonts w:ascii="IRNazanin" w:hAnsi="IRNazanin" w:eastAsia="IRNazanin" w:cs="IRNazanin"/>
          <w:lang w:bidi="fa-IR"/>
          <w:color w:val="111111"/>
          <w:sz w:val="28"/>
          <w:szCs w:val="28"/>
          <w:rtl/>
        </w:rPr>
        <w:t xml:space="preserve">نخودی، جلد: مقوای روکش چرم لاکی رنگ، ۹۹۸ص، ۲۷ سطر، اندازه: ۱۷/۳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۲۴/۵</w:t>
      </w:r>
    </w:p>
    <w:p>
      <w:pPr>
        <w:pStyle w:val="BookText"/>
      </w:pPr>
      <w:r>
        <w:rPr>
          <w:rFonts w:ascii="IRNazanin" w:hAnsi="IRNazanin" w:eastAsia="IRNazanin" w:cs="IRNazanin"/>
          <w:lang w:bidi="fa-IR"/>
          <w:color w:val="111111"/>
          <w:sz w:val="28"/>
          <w:szCs w:val="28"/>
          <w:rtl/>
        </w:rPr>
        <w:t xml:space="preserve">سم [ف: ۵-۴۸۱]</w:t>
      </w:r>
    </w:p>
    <w:p>
      <w:pPr>
        <w:pStyle w:val="BookText"/>
      </w:pPr>
      <w:r>
        <w:rPr>
          <w:rFonts w:ascii="IRNazanin" w:hAnsi="IRNazanin" w:eastAsia="IRNazanin" w:cs="IRNazanin"/>
          <w:lang w:bidi="fa-IR"/>
          <w:color w:val="111111"/>
          <w:sz w:val="28"/>
          <w:szCs w:val="28"/>
          <w:rtl/>
        </w:rPr>
        <w:t xml:space="preserve">۲۳. تهران: مجلس؛ شماره نسخه: ۳۱۶۰</w:t>
      </w:r>
    </w:p>
    <w:p>
      <w:pPr>
        <w:pStyle w:val="BookText"/>
      </w:pPr>
      <w:r>
        <w:rPr>
          <w:rFonts w:ascii="IRNazanin" w:hAnsi="IRNazanin" w:eastAsia="IRNazanin" w:cs="IRNazanin"/>
          <w:lang w:bidi="fa-IR"/>
          <w:color w:val="111111"/>
          <w:sz w:val="28"/>
          <w:szCs w:val="28"/>
          <w:rtl/>
        </w:rPr>
        <w:t xml:space="preserve">آغاز: مکه در رودخانه ای افتاده است و آنجا زرع نمیباشد و او را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بکه نیز گویند و بارو دارد و هر که نوبت اول بكعبه رسید البته بخندد از غایت خرمی؛ انجام: که چگونه کشته شد و ملک عجم از دست وی برفت ابتدای آن از انساب پیغامبر صلی الله عليه و سلم.</w:t>
      </w:r>
    </w:p>
    <w:p>
      <w:pPr>
        <w:pStyle w:val="BookText"/>
      </w:pPr>
      <w:r>
        <w:rPr>
          <w:rFonts w:ascii="IRNazanin" w:hAnsi="IRNazanin" w:eastAsia="IRNazanin" w:cs="IRNazanin"/>
          <w:lang w:bidi="fa-IR"/>
          <w:color w:val="111111"/>
          <w:sz w:val="28"/>
          <w:szCs w:val="28"/>
          <w:rtl/>
        </w:rPr>
        <w:t xml:space="preserve">بخشی است از آغاز همین ترجمه؛ خط: نسخ، بی کا، تا: قرن ۱۰؛ مجدول، رقم کاتب در پایان نسخه: «تمام شد نصف اول از تاریخ محمد بن جریر بن یزید الطبري عليه الرحمة ... و صحبه اجمعين»، یادداشت هایی از ملک الشعراء، چند جمله ای را میر محمد باقر در رمضان ۱۱۸۱ از باب سیاهه مشق نوشته؛ تملك: علی اصغر بن محمد ابراهیم در ۱۲۹۲ با مهر بیضی شکل او؛ کاغذ: اصفهانی مایل به زردی، جلد: تیماج سبز، ۴۱۰ص، ۲۷ سطر،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۱۰-۷۴۳]</w:t>
      </w:r>
    </w:p>
    <w:p>
      <w:pPr>
        <w:pStyle w:val="BookText"/>
      </w:pPr>
      <w:r>
        <w:rPr>
          <w:rFonts w:ascii="IRNazanin" w:hAnsi="IRNazanin" w:eastAsia="IRNazanin" w:cs="IRNazanin"/>
          <w:lang w:bidi="fa-IR"/>
          <w:color w:val="111111"/>
          <w:sz w:val="28"/>
          <w:szCs w:val="28"/>
          <w:rtl/>
        </w:rPr>
        <w:t xml:space="preserve">۲۴. تهران؛ ملی؛ شماره نسخه: ۲۵۷۰</w:t>
      </w:r>
    </w:p>
    <w:p>
      <w:pPr>
        <w:pStyle w:val="BookText"/>
      </w:pPr>
      <w:r>
        <w:rPr>
          <w:rFonts w:ascii="IRNazanin" w:hAnsi="IRNazanin" w:eastAsia="IRNazanin" w:cs="IRNazanin"/>
          <w:lang w:bidi="fa-IR"/>
          <w:color w:val="111111"/>
          <w:sz w:val="28"/>
          <w:szCs w:val="28"/>
          <w:rtl/>
        </w:rPr>
        <w:t xml:space="preserve">آغاز: برابر ۱ انجام: کیست آن جز خدای در دو سرای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کامتره بود ز سهو و خطای</w:t>
      </w:r>
    </w:p>
    <w:p>
      <w:pPr>
        <w:pStyle w:val="BookText"/>
      </w:pPr>
      <w:r>
        <w:rPr>
          <w:rFonts w:ascii="IRNazanin" w:hAnsi="IRNazanin" w:eastAsia="IRNazanin" w:cs="IRNazanin"/>
          <w:lang w:bidi="fa-IR"/>
          <w:color w:val="111111"/>
          <w:sz w:val="28"/>
          <w:szCs w:val="28"/>
          <w:rtl/>
        </w:rPr>
        <w:t xml:space="preserve">خط: نستعلیق، بی کا، تا: محتملا قرن ۱۰؛ با سرلوح مذهب، مجدول؛ کاغذ: بخارائی، جلد: تیماج مشکی، ۷۷۸گ، ۲۱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۶-۸۹]</w:t>
      </w:r>
    </w:p>
    <w:p>
      <w:pPr>
        <w:pStyle w:val="BookText"/>
      </w:pPr>
      <w:r>
        <w:rPr>
          <w:rFonts w:ascii="IRNazanin" w:hAnsi="IRNazanin" w:eastAsia="IRNazanin" w:cs="IRNazanin"/>
          <w:lang w:bidi="fa-IR"/>
          <w:color w:val="111111"/>
          <w:sz w:val="28"/>
          <w:szCs w:val="28"/>
          <w:rtl/>
        </w:rPr>
        <w:t xml:space="preserve">۲۵. قم؛ مرعشی؛ شماره نسخه:۳۸۱۴</w:t>
      </w:r>
    </w:p>
    <w:p>
      <w:pPr>
        <w:pStyle w:val="BookText"/>
      </w:pPr>
      <w:r>
        <w:rPr>
          <w:rFonts w:ascii="IRNazanin" w:hAnsi="IRNazanin" w:eastAsia="IRNazanin" w:cs="IRNazanin"/>
          <w:lang w:bidi="fa-IR"/>
          <w:color w:val="111111"/>
          <w:sz w:val="28"/>
          <w:szCs w:val="28"/>
          <w:rtl/>
        </w:rPr>
        <w:t xml:space="preserve">از آغاز کتاب تا تاریخ خلافت المسترشد بالله عباسی؛ خط: نستعلیق، بی کا، تا: قرن ۱۰؛ مجدول به زر و مشکی، مصحح، دارای سرلوح رنگین مختصر؛ جلد: تیماج قهوه ای ضربی،</w:t>
      </w:r>
    </w:p>
    <w:p>
      <w:pPr>
        <w:pStyle w:val="BookText"/>
      </w:pPr>
      <w:r>
        <w:rPr>
          <w:rFonts w:ascii="IRNazanin" w:hAnsi="IRNazanin" w:eastAsia="IRNazanin" w:cs="IRNazanin"/>
          <w:lang w:bidi="fa-IR"/>
          <w:color w:val="111111"/>
          <w:sz w:val="28"/>
          <w:szCs w:val="28"/>
          <w:rtl/>
        </w:rPr>
        <w:t xml:space="preserve">۴۶۰گ، ۲۵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۲۸/۵سم [ف: ۱۰-۱۹۲]</w:t>
      </w:r>
    </w:p>
    <w:p>
      <w:pPr>
        <w:pStyle w:val="BookText"/>
      </w:pPr>
      <w:r>
        <w:rPr>
          <w:rFonts w:ascii="IRNazanin" w:hAnsi="IRNazanin" w:eastAsia="IRNazanin" w:cs="IRNazanin"/>
          <w:lang w:bidi="fa-IR"/>
          <w:color w:val="111111"/>
          <w:sz w:val="28"/>
          <w:szCs w:val="28"/>
          <w:rtl/>
        </w:rPr>
        <w:t xml:space="preserve">۲۶. قم؛ مرعشی؛ شماره نسخه:۳۰۰۶</w:t>
      </w:r>
    </w:p>
    <w:p>
      <w:pPr>
        <w:pStyle w:val="BookText"/>
      </w:pPr>
      <w:r>
        <w:rPr>
          <w:rFonts w:ascii="IRNazanin" w:hAnsi="IRNazanin" w:eastAsia="IRNazanin" w:cs="IRNazanin"/>
          <w:lang w:bidi="fa-IR"/>
          <w:color w:val="111111"/>
          <w:sz w:val="28"/>
          <w:szCs w:val="28"/>
          <w:rtl/>
        </w:rPr>
        <w:t xml:space="preserve">آغاز: برابر ۱؛ انجام: وصیت می کنم شما را که فرمان بريد آنرا که امیر شماست و خیانت مکنید و آن غنیمت مدزدید ...</w:t>
      </w:r>
    </w:p>
    <w:p>
      <w:pPr>
        <w:pStyle w:val="BookText"/>
      </w:pPr>
      <w:r>
        <w:rPr>
          <w:rFonts w:ascii="IRNazanin" w:hAnsi="IRNazanin" w:eastAsia="IRNazanin" w:cs="IRNazanin"/>
          <w:lang w:bidi="fa-IR"/>
          <w:color w:val="111111"/>
          <w:sz w:val="28"/>
          <w:szCs w:val="28"/>
          <w:rtl/>
        </w:rPr>
        <w:t xml:space="preserve">خط: نسخ، بی کا، تا: قرن ۱۰؛ افتادگی: انجام؛ جلد: مقوایی عطف تیماج قهوه ای، ۳۹۲گ، ۲۳ سطر،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۸-۱۷۹]</w:t>
      </w:r>
    </w:p>
    <w:p>
      <w:pPr>
        <w:pStyle w:val="BookText"/>
      </w:pPr>
      <w:r>
        <w:rPr>
          <w:rFonts w:ascii="IRNazanin" w:hAnsi="IRNazanin" w:eastAsia="IRNazanin" w:cs="IRNazanin"/>
          <w:lang w:bidi="fa-IR"/>
          <w:color w:val="111111"/>
          <w:sz w:val="28"/>
          <w:szCs w:val="28"/>
          <w:rtl/>
        </w:rPr>
        <w:t xml:space="preserve">۲۷. تهران؛ ملک؛ شماره نسخه:۴۱۵۴</w:t>
      </w:r>
    </w:p>
    <w:p>
      <w:pPr>
        <w:pStyle w:val="BookText"/>
      </w:pPr>
      <w:r>
        <w:rPr>
          <w:rFonts w:ascii="IRNazanin" w:hAnsi="IRNazanin" w:eastAsia="IRNazanin" w:cs="IRNazanin"/>
          <w:lang w:bidi="fa-IR"/>
          <w:color w:val="111111"/>
          <w:sz w:val="28"/>
          <w:szCs w:val="28"/>
          <w:rtl/>
        </w:rPr>
        <w:t xml:space="preserve">خط: نسخ، بی کا، تا: اواخر قرن ۱۰؛ افتادگی: آغاز (ورق اول)؛ تملك: مرتضی قلی در ۱۲۹۵؛ کاغذ: کاغذ ترمه، جلد: مرغش آلبالویی، ۵۰۳گ، ۲۷ سطر، اندازه: ۳۱/۲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۱۹/۸ سم [ف: ۲-۷۷]</w:t>
      </w:r>
    </w:p>
    <w:p>
      <w:pPr>
        <w:pStyle w:val="BookText"/>
      </w:pPr>
      <w:r>
        <w:rPr>
          <w:rFonts w:ascii="IRNazanin" w:hAnsi="IRNazanin" w:eastAsia="IRNazanin" w:cs="IRNazanin"/>
          <w:lang w:bidi="fa-IR"/>
          <w:color w:val="111111"/>
          <w:sz w:val="28"/>
          <w:szCs w:val="28"/>
          <w:rtl/>
        </w:rPr>
        <w:t xml:space="preserve">۲۸. تهران: مجلس؛ شماره نسخه:۵۶۱۳</w:t>
      </w:r>
    </w:p>
    <w:p>
      <w:pPr>
        <w:pStyle w:val="BookText"/>
      </w:pPr>
      <w:r>
        <w:rPr>
          <w:rFonts w:ascii="IRNazanin" w:hAnsi="IRNazanin" w:eastAsia="IRNazanin" w:cs="IRNazanin"/>
          <w:lang w:bidi="fa-IR"/>
          <w:color w:val="111111"/>
          <w:sz w:val="28"/>
          <w:szCs w:val="28"/>
          <w:rtl/>
        </w:rPr>
        <w:t xml:space="preserve">خط: نستعلیق، كا: برهان بن وحيد الدين بن نورالدين هروی، تا: ۹۳۳ق؛ با یک سرلوح مذهب، مجدول مذهب؛ کاغذ: فرنگی آهاردار شکری، جلد: روغنی تیره رنگ با ترنج و نیم ترنج دور خط کشی، ۹۲۸ص، ۲۵ سطر،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 سم [ف: ۱۷-۶۷]</w:t>
      </w:r>
    </w:p>
    <w:p>
      <w:pPr>
        <w:pStyle w:val="BookText"/>
      </w:pPr>
      <w:r>
        <w:rPr>
          <w:rFonts w:ascii="IRNazanin" w:hAnsi="IRNazanin" w:eastAsia="IRNazanin" w:cs="IRNazanin"/>
          <w:lang w:bidi="fa-IR"/>
          <w:color w:val="111111"/>
          <w:sz w:val="28"/>
          <w:szCs w:val="28"/>
          <w:rtl/>
        </w:rPr>
        <w:t xml:space="preserve">۲۹. تهران؛ ملک؛ شماره نسخه:۳۹۰۶</w:t>
      </w:r>
    </w:p>
    <w:p>
      <w:pPr>
        <w:pStyle w:val="BookText"/>
      </w:pPr>
      <w:r>
        <w:rPr>
          <w:rFonts w:ascii="IRNazanin" w:hAnsi="IRNazanin" w:eastAsia="IRNazanin" w:cs="IRNazanin"/>
          <w:lang w:bidi="fa-IR"/>
          <w:color w:val="111111"/>
          <w:sz w:val="28"/>
          <w:szCs w:val="28"/>
          <w:rtl/>
        </w:rPr>
        <w:t xml:space="preserve">خط: نستعلیق، کا: احمد بن محمد بن احمد کاتب افزری جهرمی، تا: ۱۲ صفر ۹۴۱ق؛ کاغذ: کاغذ ترمه، جلد: میشن سیاه ضربی، ۵۰۶گ، ۲۳ سطر، اندازه: ۳۰/۲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سم [ف: ۲-۷۶]</w:t>
      </w:r>
    </w:p>
    <w:p>
      <w:pPr>
        <w:pStyle w:val="BookText"/>
      </w:pPr>
      <w:r>
        <w:rPr>
          <w:rFonts w:ascii="IRNazanin" w:hAnsi="IRNazanin" w:eastAsia="IRNazanin" w:cs="IRNazanin"/>
          <w:lang w:bidi="fa-IR"/>
          <w:color w:val="111111"/>
          <w:sz w:val="28"/>
          <w:szCs w:val="28"/>
          <w:rtl/>
        </w:rPr>
        <w:t xml:space="preserve">۳۰. مشهد؛ فرهنگ و هنر؛ شماره نسخه:ج-1</w:t>
      </w:r>
    </w:p>
    <w:p>
      <w:pPr>
        <w:pStyle w:val="BookText"/>
      </w:pPr>
      <w:r>
        <w:rPr>
          <w:rFonts w:ascii="IRNazanin" w:hAnsi="IRNazanin" w:eastAsia="IRNazanin" w:cs="IRNazanin"/>
          <w:lang w:bidi="fa-IR"/>
          <w:color w:val="111111"/>
          <w:sz w:val="28"/>
          <w:szCs w:val="28"/>
          <w:rtl/>
        </w:rPr>
        <w:t xml:space="preserve">آغاز: بسمله و به نستعين آغاز جلد دوم از تاریخ ابو جعفر بن محمد بن جریر الطبری رحمة الله عليه که در اول بزبان تازی بود؛ انجام: و الصلوة و السلام على خير خلقه محمد و آله اجمعین و سلم تسليما دائما حمدا كثيرا تمام شد کتاب طبری بعون الله تعالی. جلد دوم؛ خط: نستعلیق، کا: میرزا علی بن مظفر بن محمود خاتون آبادی، تا: ۹۹۹ق؛ بعضی از صفحات را آقای محمد ملک زاده با نسخه دیگری مقابله و تصحیح کرده اند، مرحوم ملک الشعرای بهار این نسخه را تصحیح کرده و در حواشی بعضی از صفحات توضیحاتی داده اند، در حاشیه صفحه اول این کتاب آقای محمد ملک زاده نوشته اند: «هنگامیکه مرحوم ملک الشعرا از طرف وزارت فرهنگ مامور اصلاح و تصحیح ترجمه تاریخ طبری بود و نسخ خطی را نزد خود جمع نموده بود این نسخه نیز از طرف فرهنگی خراسان نزد آن مرحوم فرستاده شد و چندین ماه مورد مطالعه و استفاده آن مرحوم قرار گرفت و یادداشت هایی بخط خود در حواشی این نسخه مرقوم داشت این خود یادگاری است از مرحوم ملک الشعرا بهار که در کتابخانه فرهنگ خراسان نگاهداری می شود روز یک شنبه ۲۶ اردیبهشت یادداشت شد ۱۳۳۳ امضاء محمد ملک زاده؛ اهدایی: دکتر سید موسی خان حجازی به کتابخانه کاغذ کاهی صیقلی زرد، جلد: مقوای ساغری مشکی، ۷۲۴ص، مختلف السطر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w:t>
      </w:r>
    </w:p>
    <w:p>
      <w:pPr>
        <w:pStyle w:val="BookText"/>
      </w:pPr>
      <w:r>
        <w:rPr>
          <w:rFonts w:ascii="IRNazanin" w:hAnsi="IRNazanin" w:eastAsia="IRNazanin" w:cs="IRNazanin"/>
          <w:lang w:bidi="fa-IR"/>
          <w:color w:val="111111"/>
          <w:sz w:val="28"/>
          <w:szCs w:val="28"/>
          <w:rtl/>
        </w:rPr>
        <w:t xml:space="preserve">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۱۰۵]</w:t>
      </w:r>
    </w:p>
    <w:p>
      <w:pPr>
        <w:pStyle w:val="BookText"/>
      </w:pPr>
      <w:r>
        <w:rPr>
          <w:rFonts w:ascii="IRNazanin" w:hAnsi="IRNazanin" w:eastAsia="IRNazanin" w:cs="IRNazanin"/>
          <w:lang w:bidi="fa-IR"/>
          <w:color w:val="111111"/>
          <w:sz w:val="28"/>
          <w:szCs w:val="28"/>
          <w:rtl/>
        </w:rPr>
        <w:t xml:space="preserve">تهران؛ دانشگاه؛ شماره نسخه: ۲۱۶۲-ف</w:t>
      </w:r>
    </w:p>
    <w:p>
      <w:pPr>
        <w:pStyle w:val="BookText"/>
      </w:pPr>
      <w:r>
        <w:rPr>
          <w:rFonts w:ascii="Amiri" w:hAnsi="Amiri" w:eastAsia="Amiri" w:cs="Amiri"/>
          <w:lang w:bidi="ar-SA"/>
          <w:color w:val="111111"/>
          <w:sz w:val="28"/>
          <w:szCs w:val="28"/>
          <w:rtl/>
        </w:rPr>
        <w:t xml:space="preserve">نسخه اصل: همان نسخه بالا [فيلمها ف: ۱-۳۸]</w:t>
      </w:r>
    </w:p>
    <w:p>
      <w:pPr>
        <w:pStyle w:val="BookText"/>
      </w:pPr>
      <w:r>
        <w:rPr>
          <w:rFonts w:ascii="IRNazanin" w:hAnsi="IRNazanin" w:eastAsia="IRNazanin" w:cs="IRNazanin"/>
          <w:lang w:bidi="fa-IR"/>
          <w:color w:val="111111"/>
          <w:sz w:val="28"/>
          <w:szCs w:val="28"/>
          <w:rtl/>
        </w:rPr>
        <w:t xml:space="preserve">۳۱. تهران؛ مجلس؛ شماره نسخه: ۹۴۶۶/۲۱۸</w:t>
      </w:r>
    </w:p>
    <w:p>
      <w:pPr>
        <w:pStyle w:val="BookText"/>
      </w:pPr>
      <w:r>
        <w:rPr>
          <w:rFonts w:ascii="IRNazanin" w:hAnsi="IRNazanin" w:eastAsia="IRNazanin" w:cs="IRNazanin"/>
          <w:lang w:bidi="fa-IR"/>
          <w:color w:val="111111"/>
          <w:sz w:val="28"/>
          <w:szCs w:val="28"/>
          <w:rtl/>
        </w:rPr>
        <w:t xml:space="preserve">درباره شامل احوالات حکمای طبرستان؛ خط: نستعلیق، کا: حسن اسفندیار، تا: قرن ۱۱؛ اص (۴۷۲) [مختصر ف: ۹۲۰]</w:t>
      </w:r>
    </w:p>
    <w:p>
      <w:pPr>
        <w:pStyle w:val="BookText"/>
      </w:pPr>
      <w:r>
        <w:rPr>
          <w:rFonts w:ascii="IRNazanin" w:hAnsi="IRNazanin" w:eastAsia="IRNazanin" w:cs="IRNazanin"/>
          <w:lang w:bidi="fa-IR"/>
          <w:color w:val="111111"/>
          <w:sz w:val="28"/>
          <w:szCs w:val="28"/>
          <w:rtl/>
        </w:rPr>
        <w:t xml:space="preserve">۳۲. تهران: لغت نامه دهخدا، شماره نسخه:۱۷۸</w:t>
      </w:r>
    </w:p>
    <w:p>
      <w:pPr>
        <w:pStyle w:val="BookText"/>
      </w:pPr>
      <w:r>
        <w:rPr>
          <w:rFonts w:ascii="IRNazanin" w:hAnsi="IRNazanin" w:eastAsia="IRNazanin" w:cs="IRNazanin"/>
          <w:lang w:bidi="fa-IR"/>
          <w:color w:val="111111"/>
          <w:sz w:val="28"/>
          <w:szCs w:val="28"/>
          <w:rtl/>
        </w:rPr>
        <w:t xml:space="preserve">خط: نستعلیق، بی کا، تا: قرن ۱۰ و ۱۱؛ جلد: تیماج مشکی، قطع: رحلی [نشریه: ۳-۷]</w:t>
      </w:r>
    </w:p>
    <w:p>
      <w:pPr>
        <w:pStyle w:val="BookText"/>
      </w:pPr>
      <w:r>
        <w:rPr>
          <w:rFonts w:ascii="IRNazanin" w:hAnsi="IRNazanin" w:eastAsia="IRNazanin" w:cs="IRNazanin"/>
          <w:lang w:bidi="fa-IR"/>
          <w:color w:val="111111"/>
          <w:sz w:val="28"/>
          <w:szCs w:val="28"/>
          <w:rtl/>
        </w:rPr>
        <w:t xml:space="preserve">۳۳. تهران؛ مجلس؛ شماره نسخه: ۲۲۹۱</w:t>
      </w:r>
    </w:p>
    <w:p>
      <w:pPr>
        <w:pStyle w:val="BookText"/>
      </w:pPr>
      <w:r>
        <w:rPr>
          <w:rFonts w:ascii="IRNazanin" w:hAnsi="IRNazanin" w:eastAsia="IRNazanin" w:cs="IRNazanin"/>
          <w:lang w:bidi="fa-IR"/>
          <w:color w:val="111111"/>
          <w:sz w:val="28"/>
          <w:szCs w:val="28"/>
          <w:rtl/>
        </w:rPr>
        <w:t xml:space="preserve">آغاز: الحمدلله العلى الاعلى الولي الأولى؛ انجام: آله اجمعين الطيبين الطاهرين. خط: نسخ تعلیق، بی کا، تا: قرن ۱۱؛ افتادگی: انجام؛ آغاز این نسخه با آغاز چاپ لكنهو و نسخه خطی دیگری که به شماره ۲۳۱ در این کتابخانه هست اختلاف دارد. بدینگونه که در آغاز این نسخه خطبه و دیباچه ای به زبان عربی هست که تا سطر ۸ صحیفه ۲ می رسد و بجای آن در دو نسخه دیگر مقدمه ای به زبان فارسی آمده که در بیشتر از نسخه های معتبر هم هست و تنها پس از آن مقدمه عربی که مطابق سطر ۱۵ صحیفه ۵ نسخه چاپی است، این نسخه با دو نسخه دیگر تطبیق می شود. در این مقدمه عربی که اندکی از آن پاره شده و وصالی کرده اند نام پادشاهی که به فرمان او این کتاب ترجمه شده «امير السيد الملك المظفر ابی صالح منصور ابن احمد بن اسماعیل بن احمد بن سامان بن ... (پارگی) الرازي الأصفهد المرزبان» آمده و پیداست که این نسبت به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وجه درست نیست. سپس در این مقدمه گفته شده که فایق الخاصه در سال ۲۶۱ به ترجمه این کتاب فرمان داده است و حال آنکه فایق امیر ترک معروف به فایق الخاصه از امرای معروف دربار نوح بن منصور (۳۶۵-۳۸۷) بوده و اگر به فرمان او این کتاب ترجمه شده است می بایست لااقل در ۳۶۱ باشد نه ۲۶۱ احدی و ستین و مأتین) که در این نسخه نوشته شده. منصور نام در میان پادشاهان سامانی دو تن بوده اند یکی منصور بن نوح بن نصر بن احمد بن اسماعیل بن احمد که از ۳۵۰ تا ۶۵ سلطنت کرده و دیگر منصور بن نوح بن منصور بن نوح بن نصر بن احمد که از ۳۸۷ تا ۳۸۹ سلطنت کرد و منصور بن احمد نامی که کنیه او ابوصالح بوده باشد در میان سامانیان نبوده و ابوصالح کنیه همان منصور بن نوح اول است. لذا مطالب این مقدمه عربی به کلی نادرست و ساختگی است و معلوم نیست به چه اندیشه آن را ساخته اند؛ کاغذ: امیری شکری آهار مهره، جلد: روغنی، ۱۱۳۳ص، ۲۵ سطر، اندازه: ۱۸/۵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۳۰سم [ف: ۶-۲۴۴]</w:t>
      </w:r>
    </w:p>
    <w:p>
      <w:pPr>
        <w:pStyle w:val="BookText"/>
      </w:pPr>
      <w:r>
        <w:rPr>
          <w:rFonts w:ascii="IRNazanin" w:hAnsi="IRNazanin" w:eastAsia="IRNazanin" w:cs="IRNazanin"/>
          <w:lang w:bidi="fa-IR"/>
          <w:color w:val="111111"/>
          <w:sz w:val="28"/>
          <w:szCs w:val="28"/>
          <w:rtl/>
        </w:rPr>
        <w:t xml:space="preserve">۳۴. تهران؛ دانشگاه؛ شماره نسخه:۹۲۲۶</w:t>
      </w:r>
    </w:p>
    <w:p>
      <w:pPr>
        <w:pStyle w:val="BookText"/>
      </w:pPr>
      <w:r>
        <w:rPr>
          <w:rFonts w:ascii="IRNazanin" w:hAnsi="IRNazanin" w:eastAsia="IRNazanin" w:cs="IRNazanin"/>
          <w:lang w:bidi="fa-IR"/>
          <w:color w:val="111111"/>
          <w:sz w:val="28"/>
          <w:szCs w:val="28"/>
          <w:rtl/>
        </w:rPr>
        <w:t xml:space="preserve">خط: نسخ، كا: عبدل اول پسر مولانا لطف الله، تا: قرن ۱۱؛ مهر: امیر سیف الدین گویا مورخ ۱۱۰۶؛ واقف: احمد والی رقه؛ کاغذ: سپاهانی، جلد: تیماج سرخ ترنجی، ۲۷گی، ۲۳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۸۱۸ ۳۰سم [ف: ۱۷-۳۲۵]</w:t>
      </w:r>
    </w:p>
    <w:p>
      <w:pPr>
        <w:pStyle w:val="BookText"/>
      </w:pPr>
      <w:r>
        <w:rPr>
          <w:rFonts w:ascii="Amiri" w:hAnsi="Amiri" w:eastAsia="Amiri" w:cs="Amiri"/>
          <w:lang w:bidi="ar-SA"/>
          <w:color w:val="111111"/>
          <w:sz w:val="28"/>
          <w:szCs w:val="28"/>
          <w:rtl/>
        </w:rPr>
        <w:t xml:space="preserve">۳۵. تهران: دائرة المعارف؛ شماره نسخه:۱۹۰</w:t>
      </w:r>
    </w:p>
    <w:p>
      <w:pPr>
        <w:pStyle w:val="BookText"/>
      </w:pPr>
      <w:r>
        <w:rPr>
          <w:rFonts w:ascii="IRNazanin" w:hAnsi="IRNazanin" w:eastAsia="IRNazanin" w:cs="IRNazanin"/>
          <w:lang w:bidi="fa-IR"/>
          <w:color w:val="111111"/>
          <w:sz w:val="28"/>
          <w:szCs w:val="28"/>
          <w:rtl/>
        </w:rPr>
        <w:t xml:space="preserve">آغاز: (برابر ص ۶۹ چاپی) گریید بی مادر و پاشنه پای بر زمین مالید چنانکه رسم کودکان بود؛ انجام: (در «خبر الوقعة ببغداد و خلع الأمين و مقتل حسین بن علی بن عیسی» افتاده است): ... و چون به رقه رسید بیمار شد و حسین بن علی ...</w:t>
      </w:r>
    </w:p>
    <w:p>
      <w:pPr>
        <w:pStyle w:val="BookText"/>
      </w:pPr>
      <w:r>
        <w:rPr>
          <w:rFonts w:ascii="IRNazanin" w:hAnsi="IRNazanin" w:eastAsia="IRNazanin" w:cs="IRNazanin"/>
          <w:lang w:bidi="fa-IR"/>
          <w:color w:val="111111"/>
          <w:sz w:val="28"/>
          <w:szCs w:val="28"/>
          <w:rtl/>
        </w:rPr>
        <w:t xml:space="preserve">خط: نسخ پخته، بی کا، تا: قرن ۱۱؛ افتادگی: آغاز، از مرگ هاجر و آوردن اسماعیل آغاز می گردد؛ کاغذ: نخودی، جلد: گالینگور قهوه ای، ۲۶۰گ، ۳۱ سطر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۱- ۴۲]</w:t>
      </w:r>
    </w:p>
    <w:p>
      <w:pPr>
        <w:pStyle w:val="BookText"/>
      </w:pPr>
      <w:r>
        <w:rPr>
          <w:rFonts w:ascii="IRNazanin" w:hAnsi="IRNazanin" w:eastAsia="IRNazanin" w:cs="IRNazanin"/>
          <w:lang w:bidi="fa-IR"/>
          <w:color w:val="111111"/>
          <w:sz w:val="28"/>
          <w:szCs w:val="28"/>
          <w:rtl/>
        </w:rPr>
        <w:t xml:space="preserve">۳۶. تهران؛ ملک؛ شماره نسخه:۳۹۳۶</w:t>
      </w:r>
    </w:p>
    <w:p>
      <w:pPr>
        <w:pStyle w:val="BookText"/>
      </w:pPr>
      <w:r>
        <w:rPr>
          <w:rFonts w:ascii="IRNazanin" w:hAnsi="IRNazanin" w:eastAsia="IRNazanin" w:cs="IRNazanin"/>
          <w:lang w:bidi="fa-IR"/>
          <w:color w:val="111111"/>
          <w:sz w:val="28"/>
          <w:szCs w:val="28"/>
          <w:rtl/>
        </w:rPr>
        <w:t xml:space="preserve">از داستان تعبیه عرب و حرب کردن خالد بن ولید با ایشان تا المستظهر بالله؛ خط: نستعلیق، کا: محمد شریف، تا: اواخر جمادی الثانی ۱۰۱۴ق؛ مجدول؛ کاغذ: کاغذ ترمه، جلد: میشن یشمی طلاکوب، ۴۳۲گ، ۱۵ سطر، اندازه:</w:t>
      </w:r>
    </w:p>
    <w:p>
      <w:pPr>
        <w:pStyle w:val="BookText"/>
      </w:pPr>
      <w:r>
        <w:rPr>
          <w:rFonts w:ascii="IRNazanin" w:hAnsi="IRNazanin" w:eastAsia="IRNazanin" w:cs="IRNazanin"/>
          <w:lang w:bidi="fa-IR"/>
          <w:color w:val="111111"/>
          <w:sz w:val="28"/>
          <w:szCs w:val="28"/>
          <w:rtl/>
        </w:rPr>
        <w:t xml:space="preserve">۲۵/۳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۱۸/۴ سم [ف: ۲-۷۶]</w:t>
      </w:r>
    </w:p>
    <w:p>
      <w:pPr>
        <w:pStyle w:val="BookText"/>
      </w:pPr>
      <w:r>
        <w:rPr>
          <w:rFonts w:ascii="IRNazanin" w:hAnsi="IRNazanin" w:eastAsia="IRNazanin" w:cs="IRNazanin"/>
          <w:lang w:bidi="fa-IR"/>
          <w:color w:val="111111"/>
          <w:sz w:val="28"/>
          <w:szCs w:val="28"/>
          <w:rtl/>
        </w:rPr>
        <w:t xml:space="preserve">۳۷. تهران؛ ملک؛ شماره نسخه: ۴۰۷۲</w:t>
      </w:r>
    </w:p>
    <w:p>
      <w:pPr>
        <w:pStyle w:val="BookText"/>
      </w:pPr>
      <w:r>
        <w:rPr>
          <w:rFonts w:ascii="IRNazanin" w:hAnsi="IRNazanin" w:eastAsia="IRNazanin" w:cs="IRNazanin"/>
          <w:lang w:bidi="fa-IR"/>
          <w:color w:val="111111"/>
          <w:sz w:val="28"/>
          <w:szCs w:val="28"/>
          <w:rtl/>
        </w:rPr>
        <w:t xml:space="preserve">نسخه منتخب؛ خط: نستعلیق، کا: نجف قلی بن میر اشرف، تا: شنبه ۱۱ جمادی الاول ۱۰۴۹ق، کاغذ: کاغذ ترمه، جلد: میشن نارنجی، ۲۶۵ ، ۲۰ سطر، اندازه: ۲۵/۳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۱۸/۴ سم [ف: ۲-۷۷]</w:t>
      </w:r>
    </w:p>
    <w:p>
      <w:pPr>
        <w:pStyle w:val="BookText"/>
      </w:pPr>
      <w:r>
        <w:rPr>
          <w:rFonts w:ascii="IRNazanin" w:hAnsi="IRNazanin" w:eastAsia="IRNazanin" w:cs="IRNazanin"/>
          <w:lang w:bidi="fa-IR"/>
          <w:color w:val="111111"/>
          <w:sz w:val="28"/>
          <w:szCs w:val="28"/>
          <w:rtl/>
        </w:rPr>
        <w:t xml:space="preserve">۳۸. مشهد؛ رضوی؛ شماره نسخه:۴۲۰۷</w:t>
      </w:r>
    </w:p>
    <w:p>
      <w:pPr>
        <w:pStyle w:val="BookText"/>
      </w:pPr>
      <w:r>
        <w:rPr>
          <w:rFonts w:ascii="IRNazanin" w:hAnsi="IRNazanin" w:eastAsia="IRNazanin" w:cs="IRNazanin"/>
          <w:lang w:bidi="fa-IR"/>
          <w:color w:val="111111"/>
          <w:sz w:val="28"/>
          <w:szCs w:val="28"/>
          <w:rtl/>
        </w:rPr>
        <w:t xml:space="preserve">آغاز: بدانکه این تاریخنامه بزرگست؛ انجام: و در دویست و نود و چهار سمت اتمام پذیرفت خط: نستعلیق، كا: محمد قاسمین استادی، تا: ۱۵ شعبان ۱۰۵۴ق، جا: دژ پنجده؛ واقف: نائینی؛ کاغذ: نخودی، جلد: چرمی، ۴۱۴گ، ۲۵ سطر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 اندازه:۲۳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۳۷/۵سم [ف: ۷-۳۳]</w:t>
      </w:r>
    </w:p>
    <w:p>
      <w:pPr>
        <w:pStyle w:val="BookText"/>
      </w:pPr>
      <w:r>
        <w:rPr>
          <w:rFonts w:ascii="IRNazanin" w:hAnsi="IRNazanin" w:eastAsia="IRNazanin" w:cs="IRNazanin"/>
          <w:lang w:bidi="fa-IR"/>
          <w:color w:val="111111"/>
          <w:sz w:val="28"/>
          <w:szCs w:val="28"/>
          <w:rtl/>
        </w:rPr>
        <w:t xml:space="preserve">تهران؛ دانشگاه؛ شماره نسخه: ۲۲۴۱-ف</w:t>
      </w:r>
    </w:p>
    <w:p>
      <w:pPr>
        <w:pStyle w:val="BookText"/>
      </w:pPr>
      <w:r>
        <w:rPr>
          <w:rFonts w:ascii="Amiri" w:hAnsi="Amiri" w:eastAsia="Amiri" w:cs="Amiri"/>
          <w:lang w:bidi="ar-SA"/>
          <w:color w:val="111111"/>
          <w:sz w:val="28"/>
          <w:szCs w:val="28"/>
          <w:rtl/>
        </w:rPr>
        <w:t xml:space="preserve">نسخه اصل: همان نسخه بالا[ فيلمها ف: ۱-۳۸]</w:t>
      </w:r>
    </w:p>
    <w:p>
      <w:pPr>
        <w:pStyle w:val="BookText"/>
      </w:pPr>
      <w:r>
        <w:rPr>
          <w:rFonts w:ascii="IRNazanin" w:hAnsi="IRNazanin" w:eastAsia="IRNazanin" w:cs="IRNazanin"/>
          <w:lang w:bidi="fa-IR"/>
          <w:color w:val="111111"/>
          <w:sz w:val="28"/>
          <w:szCs w:val="28"/>
          <w:rtl/>
        </w:rPr>
        <w:t xml:space="preserve">۳۹. مشهد؛ شیخ علی حیدر؛ شماره نسخه:۸۸</w:t>
      </w:r>
    </w:p>
    <w:p>
      <w:pPr>
        <w:pStyle w:val="BookText"/>
      </w:pPr>
      <w:r>
        <w:rPr>
          <w:rFonts w:ascii="IRNazanin" w:hAnsi="IRNazanin" w:eastAsia="IRNazanin" w:cs="IRNazanin"/>
          <w:lang w:bidi="fa-IR"/>
          <w:color w:val="111111"/>
          <w:sz w:val="28"/>
          <w:szCs w:val="28"/>
          <w:rtl/>
        </w:rPr>
        <w:t xml:space="preserve">آغاز: چنین گوید وهب بن منبه که از پیغامبر (صلی الله علیه و آله و سلم) شنیدم که فرمود: انجام: دیدند که ایشان حرب را ساخته بودند پس حرب اندر گرفتند</w:t>
      </w:r>
    </w:p>
    <w:p>
      <w:pPr>
        <w:pStyle w:val="BookText"/>
      </w:pPr>
      <w:r>
        <w:rPr>
          <w:rFonts w:ascii="IRNazanin" w:hAnsi="IRNazanin" w:eastAsia="IRNazanin" w:cs="IRNazanin"/>
          <w:lang w:bidi="fa-IR"/>
          <w:color w:val="111111"/>
          <w:sz w:val="28"/>
          <w:szCs w:val="28"/>
          <w:rtl/>
        </w:rPr>
        <w:t xml:space="preserve">خط: نسخ، كا: زین العابدين بن حسين جرمغانی، تا: پنج شنبه ۱۸ رجب ۱۰۶۱ق؛ مجدول، با سرلوح مذهب؛ تملک: فرهاد میرزا بن ولیعهد در ۱۳۰۲، و نیز تملک به بیع از کتب حسام السلطنة از حاج بابا کتابفروش؛ جلد: تیماج مشکی، ۴۴۱گ، ۲۵ سطر،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 مؤید: ۳-۴۶۹]</w:t>
      </w:r>
    </w:p>
    <w:p>
      <w:pPr>
        <w:pStyle w:val="BookText"/>
      </w:pPr>
      <w:r>
        <w:rPr>
          <w:rFonts w:ascii="IRNazanin" w:hAnsi="IRNazanin" w:eastAsia="IRNazanin" w:cs="IRNazanin"/>
          <w:lang w:bidi="fa-IR"/>
          <w:color w:val="111111"/>
          <w:sz w:val="28"/>
          <w:szCs w:val="28"/>
          <w:rtl/>
        </w:rPr>
        <w:t xml:space="preserve">۴۰. تهران؛ ملی؛ شماره نسخه: ۱۱۴۲</w:t>
      </w:r>
    </w:p>
    <w:p>
      <w:pPr>
        <w:pStyle w:val="BookText"/>
      </w:pPr>
      <w:r>
        <w:rPr>
          <w:rFonts w:ascii="IRNazanin" w:hAnsi="IRNazanin" w:eastAsia="IRNazanin" w:cs="IRNazanin"/>
          <w:lang w:bidi="fa-IR"/>
          <w:color w:val="111111"/>
          <w:sz w:val="28"/>
          <w:szCs w:val="28"/>
          <w:rtl/>
        </w:rPr>
        <w:t xml:space="preserve">آغاز: برابر ۱؛ انجام: و آن کسی که از پس این زمان ما باشد بی این تاریخ خلفا و سلاطین خود می نویسند تم الكتاب بحمد الله تعالی و حن توفيقه. خط: نسخ و نستعلیق، بی کا، تا: شنبه ۲۷ صفر ۱۰۹۳ق؛ افتادگی: انجام کاغذ: فرنگی، جلد: تیماج سرخ، ۵۴۹گ، ۲۱ سطر</w:t>
      </w:r>
    </w:p>
    <w:p>
      <w:pPr>
        <w:pStyle w:val="BookText"/>
      </w:pPr>
      <w:r>
        <w:rPr>
          <w:rFonts w:ascii="IRNazanin" w:hAnsi="IRNazanin" w:eastAsia="IRNazanin" w:cs="IRNazanin"/>
          <w:lang w:bidi="fa-IR"/>
          <w:color w:val="111111"/>
          <w:sz w:val="28"/>
          <w:szCs w:val="28"/>
          <w:rtl/>
        </w:rPr>
        <w:t xml:space="preserve">(۲۴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۳۲/۵ سم [ف: ۳-۱۶۵]</w:t>
      </w:r>
    </w:p>
    <w:p>
      <w:pPr>
        <w:pStyle w:val="BookText"/>
      </w:pPr>
      <w:r>
        <w:rPr>
          <w:rFonts w:ascii="IRNazanin" w:hAnsi="IRNazanin" w:eastAsia="IRNazanin" w:cs="IRNazanin"/>
          <w:lang w:bidi="fa-IR"/>
          <w:color w:val="111111"/>
          <w:sz w:val="28"/>
          <w:szCs w:val="28"/>
          <w:rtl/>
        </w:rPr>
        <w:t xml:space="preserve">۴۱. مشهد؛ رضوی؛ شماره نسخه:۲۲۲۴۶</w:t>
      </w:r>
    </w:p>
    <w:p>
      <w:pPr>
        <w:pStyle w:val="BookText"/>
      </w:pPr>
      <w:r>
        <w:rPr>
          <w:rFonts w:ascii="IRNazanin" w:hAnsi="IRNazanin" w:eastAsia="IRNazanin" w:cs="IRNazanin"/>
          <w:lang w:bidi="fa-IR"/>
          <w:color w:val="111111"/>
          <w:sz w:val="28"/>
          <w:szCs w:val="28"/>
          <w:rtl/>
        </w:rPr>
        <w:t xml:space="preserve">آغاز: هر جایی طلب کسی همی کردند این خبر یزدجرد بن شهریار شد ... آغاز اخبار پیغامبر محمد مصطفی؛ انجام: خبر خلافت المستظهر بالله ... اندر پهلوی پدر خویش دفن کردند رحمة الله و الحمدلله.</w:t>
      </w:r>
    </w:p>
    <w:p>
      <w:pPr>
        <w:pStyle w:val="BookText"/>
      </w:pPr>
      <w:r>
        <w:rPr>
          <w:rFonts w:ascii="IRNazanin" w:hAnsi="IRNazanin" w:eastAsia="IRNazanin" w:cs="IRNazanin"/>
          <w:lang w:bidi="fa-IR"/>
          <w:color w:val="111111"/>
          <w:sz w:val="28"/>
          <w:szCs w:val="28"/>
          <w:rtl/>
        </w:rPr>
        <w:t xml:space="preserve">خط: نستعلیق، بی کا، تا: قرن ۱۲؛ افتادگی: آغاز؛ اهدایی: رهبری، فروردین ۱۳۷۴؛ کاغذ: کشمیری نباتی، جلد: مقوا با روکش کاغذی عطف گالینگور سبز، ۱۸۹ گ، ۲۵ سطر، اندازه:</w:t>
      </w:r>
    </w:p>
    <w:p>
      <w:pPr>
        <w:pStyle w:val="BookText"/>
      </w:pPr>
      <w:r>
        <w:rPr>
          <w:rFonts w:ascii="IRNazanin" w:hAnsi="IRNazanin" w:eastAsia="IRNazanin" w:cs="IRNazanin"/>
          <w:lang w:bidi="fa-IR"/>
          <w:color w:val="111111"/>
          <w:sz w:val="28"/>
          <w:szCs w:val="28"/>
          <w:rtl/>
        </w:rPr>
        <w:t xml:space="preserve">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 اهدائی رهبر: ۸-۳۸۷]</w:t>
      </w:r>
    </w:p>
    <w:p>
      <w:pPr>
        <w:pStyle w:val="BookText"/>
      </w:pPr>
      <w:r>
        <w:rPr>
          <w:rFonts w:ascii="IRNazanin" w:hAnsi="IRNazanin" w:eastAsia="IRNazanin" w:cs="IRNazanin"/>
          <w:lang w:bidi="fa-IR"/>
          <w:color w:val="111111"/>
          <w:sz w:val="28"/>
          <w:szCs w:val="28"/>
          <w:rtl/>
        </w:rPr>
        <w:t xml:space="preserve">۴۲. تهران؛ سپهسالار؛ شماره نسخه: ۱۵۵۱</w:t>
      </w:r>
    </w:p>
    <w:p>
      <w:pPr>
        <w:pStyle w:val="BookText"/>
      </w:pPr>
      <w:r>
        <w:rPr>
          <w:rFonts w:ascii="IRNazanin" w:hAnsi="IRNazanin" w:eastAsia="IRNazanin" w:cs="IRNazanin"/>
          <w:lang w:bidi="fa-IR"/>
          <w:color w:val="111111"/>
          <w:sz w:val="28"/>
          <w:szCs w:val="28"/>
          <w:rtl/>
        </w:rPr>
        <w:t xml:space="preserve">آغاز: برابر ۱؛ انجام: و محمد جریر الطبری خواست که این کتاب تمام کند فرمان یافت.</w:t>
      </w:r>
    </w:p>
    <w:p>
      <w:pPr>
        <w:pStyle w:val="BookText"/>
      </w:pPr>
      <w:r>
        <w:rPr>
          <w:rFonts w:ascii="IRNazanin" w:hAnsi="IRNazanin" w:eastAsia="IRNazanin" w:cs="IRNazanin"/>
          <w:lang w:bidi="fa-IR"/>
          <w:color w:val="111111"/>
          <w:sz w:val="28"/>
          <w:szCs w:val="28"/>
          <w:rtl/>
        </w:rPr>
        <w:t xml:space="preserve">هر دو جلد ؛ خط: نستعلیق، بی کا، تا: قرن ۱۲؛ مجدول؛ کاغذ: فرنگی سفید آهار مهره، جلد: تیماج مشکی ضربی مقوایی با ترنج، ۲۰ سطر،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۳-۴۰۲]</w:t>
      </w:r>
    </w:p>
    <w:p>
      <w:pPr>
        <w:pStyle w:val="BookText"/>
      </w:pPr>
      <w:r>
        <w:rPr>
          <w:rFonts w:ascii="IRNazanin" w:hAnsi="IRNazanin" w:eastAsia="IRNazanin" w:cs="IRNazanin"/>
          <w:lang w:bidi="fa-IR"/>
          <w:color w:val="111111"/>
          <w:sz w:val="28"/>
          <w:szCs w:val="28"/>
          <w:rtl/>
        </w:rPr>
        <w:t xml:space="preserve">۴۳. تبریز؛ ملی؛ شماره نسخه:۳۳۱۴</w:t>
      </w:r>
    </w:p>
    <w:p>
      <w:pPr>
        <w:pStyle w:val="BookText"/>
      </w:pPr>
      <w:r>
        <w:rPr>
          <w:rFonts w:ascii="IRNazanin" w:hAnsi="IRNazanin" w:eastAsia="IRNazanin" w:cs="IRNazanin"/>
          <w:lang w:bidi="fa-IR"/>
          <w:color w:val="111111"/>
          <w:sz w:val="28"/>
          <w:szCs w:val="28"/>
          <w:rtl/>
        </w:rPr>
        <w:t xml:space="preserve">آغاز: بسمله روایت کند محمد بن اسماعیل بن ابراهیم بخاری ... و سلم نشسته بودم جابر بن عبدالله انصاری در آمد و بنشست؛ انجام: برگ نونویس: ... گفت روزی پیش حضرت رسول صلی الله عليه و على آله و اولاده الطيبين الطاهرين و سلم نسخه: ... و دوشنبه از مکه بمدينه هجرت کرد و اندر روز دوشنبه وفات یافت تمت الكتاب بعون الله ... الوهاب ... قسمتی از ترجمه تاریخ طبری؛ خط: نستعلیق، کا: مامد ابن محمد بیگ، تا: ۱۱۸۵ق؛ مجدول؛ کاغذ: آهار مهره فرنگی نخودی، جلد: چرمی، ۱۷۶، ۱۸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w:t>
      </w:r>
    </w:p>
    <w:p>
      <w:pPr>
        <w:pStyle w:val="BookText"/>
      </w:pPr>
      <w:r>
        <w:rPr>
          <w:rFonts w:ascii="IRNazanin" w:hAnsi="IRNazanin" w:eastAsia="IRNazanin" w:cs="IRNazanin"/>
          <w:lang w:bidi="fa-IR"/>
          <w:color w:val="111111"/>
          <w:sz w:val="28"/>
          <w:szCs w:val="28"/>
          <w:rtl/>
        </w:rPr>
        <w:t xml:space="preserve">سم [ف:۳-۱۰۲۱]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۴۴. قم؛ مرکز احیاء؛ شماره نسخه: ۳۷۳۹</w:t>
      </w:r>
    </w:p>
    <w:p>
      <w:pPr>
        <w:pStyle w:val="BookText"/>
      </w:pPr>
      <w:r>
        <w:rPr>
          <w:rFonts w:ascii="IRNazanin" w:hAnsi="IRNazanin" w:eastAsia="IRNazanin" w:cs="IRNazanin"/>
          <w:lang w:bidi="fa-IR"/>
          <w:color w:val="111111"/>
          <w:sz w:val="28"/>
          <w:szCs w:val="28"/>
          <w:rtl/>
        </w:rPr>
        <w:t xml:space="preserve">آغاز: برابر ۱؛ انجام: اندر این آیت زیرا که اگر پیغمبر راسهو افتاد تانماز ازوقت شدی ...</w:t>
      </w:r>
    </w:p>
    <w:p>
      <w:pPr>
        <w:pStyle w:val="BookText"/>
      </w:pPr>
      <w:r>
        <w:rPr>
          <w:rFonts w:ascii="IRNazanin" w:hAnsi="IRNazanin" w:eastAsia="IRNazanin" w:cs="IRNazanin"/>
          <w:lang w:bidi="fa-IR"/>
          <w:color w:val="111111"/>
          <w:sz w:val="28"/>
          <w:szCs w:val="28"/>
          <w:rtl/>
        </w:rPr>
        <w:t xml:space="preserve">از آغاز کتاب تا اواخر قصه حضرت سلیمان؛ خط: نستعلیق، بی کا، تا: قرن ۱۳؛ افتادگی: انجام؛ یادداشت تاریخ فوت به سال های ۱۲۹۱ و ۱۲۹۳ و ۱۳۳۱ آمده؛ کاغذ: الوان، جلد: تیماج مشکی ضربی، ۱۷۷گ، مختلف السطر،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محدث ارموی مخ: ۱-۲۷۰]</w:t>
      </w:r>
    </w:p>
    <w:p>
      <w:pPr>
        <w:pStyle w:val="BookText"/>
      </w:pPr>
      <w:r>
        <w:rPr>
          <w:rFonts w:ascii="IRNazanin" w:hAnsi="IRNazanin" w:eastAsia="IRNazanin" w:cs="IRNazanin"/>
          <w:lang w:bidi="fa-IR"/>
          <w:color w:val="111111"/>
          <w:sz w:val="28"/>
          <w:szCs w:val="28"/>
          <w:rtl/>
        </w:rPr>
        <w:t xml:space="preserve">۴۵. قم: فیضیه؛ شماره نسخه: ۱۷۱</w:t>
      </w:r>
    </w:p>
    <w:p>
      <w:pPr>
        <w:pStyle w:val="BookText"/>
      </w:pPr>
      <w:r>
        <w:rPr>
          <w:rFonts w:ascii="IRNazanin" w:hAnsi="IRNazanin" w:eastAsia="IRNazanin" w:cs="IRNazanin"/>
          <w:lang w:bidi="fa-IR"/>
          <w:color w:val="111111"/>
          <w:sz w:val="28"/>
          <w:szCs w:val="28"/>
          <w:rtl/>
        </w:rPr>
        <w:t xml:space="preserve">آغاز: برابر ۱؛ انجام: که این کتاب تمام کند که فرمان یافت خط: تحریری، کا: محمد على بن محمد حسین حسینی قزوینی، تا ۱۲۴۰ق؛ ۴۲۵، ۱۹سطر،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۲-۳۰]</w:t>
      </w:r>
    </w:p>
    <w:p>
      <w:pPr>
        <w:pStyle w:val="BookText"/>
      </w:pPr>
      <w:r>
        <w:rPr>
          <w:rFonts w:ascii="IRNazanin" w:hAnsi="IRNazanin" w:eastAsia="IRNazanin" w:cs="IRNazanin"/>
          <w:lang w:bidi="fa-IR"/>
          <w:color w:val="111111"/>
          <w:sz w:val="28"/>
          <w:szCs w:val="28"/>
          <w:rtl/>
        </w:rPr>
        <w:t xml:space="preserve">۴۶. مشهد؛ رضوی؛ شماره نسخه: ۳۷۲۵۰</w:t>
      </w:r>
    </w:p>
    <w:p>
      <w:pPr>
        <w:pStyle w:val="BookText"/>
      </w:pPr>
      <w:r>
        <w:rPr>
          <w:rFonts w:ascii="IRNazanin" w:hAnsi="IRNazanin" w:eastAsia="IRNazanin" w:cs="IRNazanin"/>
          <w:lang w:bidi="fa-IR"/>
          <w:color w:val="111111"/>
          <w:sz w:val="28"/>
          <w:szCs w:val="28"/>
          <w:rtl/>
        </w:rPr>
        <w:t xml:space="preserve">آغاز: چنین گوید وهب بن منبه که از پیغامبر صلی الله عليه و سلم شنیدم که فرمود: خدای عزوجل زودتر چیزی که بیافرید از خلقان دیوان آفرید؛ انجام: چون به مسلمانان رسیدند دیدند که ایشان حرب را ساخته بودند پس حرب اندر گرفتند</w:t>
      </w:r>
    </w:p>
    <w:p>
      <w:pPr>
        <w:pStyle w:val="BookText"/>
      </w:pPr>
      <w:r>
        <w:rPr>
          <w:rFonts w:ascii="IRNazanin" w:hAnsi="IRNazanin" w:eastAsia="IRNazanin" w:cs="IRNazanin"/>
          <w:lang w:bidi="fa-IR"/>
          <w:color w:val="111111"/>
          <w:sz w:val="28"/>
          <w:szCs w:val="28"/>
          <w:rtl/>
        </w:rPr>
        <w:t xml:space="preserve">از آغاز تا خلافت امیر المؤمنین (علیه السلام) بدون مقدمه؛ خط: نسخ، كا: زین العابدین بن حسین چرمغانی، تا: پنج شنبه ۱۸ رجب ۱۲۶۱ق؛ مجدول، با سرلوح و کتیبه کم کار؛ تملک: فرهاد میرزا به تاریخ چهارشنبه 9 شوال ۱۳۰۲؛ اهدایی: رهبری، مهر ۱۳۸۶؛ کاغذ: فرنگی شکری آهار مهره، جلد: تیماج مشکی، ۴۴۳گ، ۲۵ سطر، اندازه: ۱۹/۵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۳۰سم [اهدائی رهبر: ۸-۳۸۸]</w:t>
      </w:r>
    </w:p>
    <w:p>
      <w:pPr>
        <w:pStyle w:val="BookText"/>
      </w:pPr>
      <w:r>
        <w:rPr>
          <w:rFonts w:ascii="IRNazanin" w:hAnsi="IRNazanin" w:eastAsia="IRNazanin" w:cs="IRNazanin"/>
          <w:lang w:bidi="fa-IR"/>
          <w:color w:val="111111"/>
          <w:sz w:val="28"/>
          <w:szCs w:val="28"/>
          <w:rtl/>
        </w:rPr>
        <w:t xml:space="preserve">۴۷. مشهد؛ رضوی؛ شماره نسخه:۱۹۳۳۴</w:t>
      </w:r>
    </w:p>
    <w:p>
      <w:pPr>
        <w:pStyle w:val="BookText"/>
      </w:pPr>
      <w:r>
        <w:rPr>
          <w:rFonts w:ascii="IRNazanin" w:hAnsi="IRNazanin" w:eastAsia="IRNazanin" w:cs="IRNazanin"/>
          <w:lang w:bidi="fa-IR"/>
          <w:color w:val="111111"/>
          <w:sz w:val="28"/>
          <w:szCs w:val="28"/>
          <w:rtl/>
        </w:rPr>
        <w:t xml:space="preserve">آغاز: رس سجود کنند و گویند یا رب زینهار به گناه خلق (كذا)؛ انجام: چهار سال و یازده ماه بود و الله اعلم ... محمد بن جریر الطبری. خط: نستعلیق خوش، كا: قزوینی، محمد حسن، تا: ۱۲۶۳ق؛ افتادگی: آغاز؛ کاغذ: شکری، جلد: مقوا با عطف و گوشه تیماج، ۲۳ سطر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۲۴/۵ )،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سم [رایانه]</w:t>
      </w:r>
    </w:p>
    <w:p>
      <w:pPr>
        <w:pStyle w:val="BookText"/>
      </w:pPr>
      <w:r>
        <w:rPr>
          <w:rFonts w:ascii="IRNazanin" w:hAnsi="IRNazanin" w:eastAsia="IRNazanin" w:cs="IRNazanin"/>
          <w:lang w:bidi="fa-IR"/>
          <w:color w:val="111111"/>
          <w:sz w:val="28"/>
          <w:szCs w:val="28"/>
          <w:rtl/>
        </w:rPr>
        <w:t xml:space="preserve">۴۸. تهران؛ دانشگاه؛ شماره نسخه: ۶۲۵۷</w:t>
      </w:r>
    </w:p>
    <w:p>
      <w:pPr>
        <w:pStyle w:val="BookText"/>
      </w:pPr>
      <w:r>
        <w:rPr>
          <w:rFonts w:ascii="IRNazanin" w:hAnsi="IRNazanin" w:eastAsia="IRNazanin" w:cs="IRNazanin"/>
          <w:lang w:bidi="fa-IR"/>
          <w:color w:val="111111"/>
          <w:sz w:val="28"/>
          <w:szCs w:val="28"/>
          <w:rtl/>
        </w:rPr>
        <w:t xml:space="preserve">خط: نستعلیق، كان محمد رحيم بن محمد حسن کوهبنی تفرشی، تا: دوشنبه ۲۵ رجب ۱۳۱۰ق، برای میرزا احمد خان کاغذ: فرنگی، جلد: تیماج تریاکی مقوایی، ۳۹۳گ، ۲۲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۱۶-۲۲۸]</w:t>
      </w:r>
    </w:p>
    <w:p>
      <w:pPr>
        <w:pStyle w:val="BookText"/>
      </w:pPr>
      <w:r>
        <w:rPr>
          <w:rFonts w:ascii="IRNazanin" w:hAnsi="IRNazanin" w:eastAsia="IRNazanin" w:cs="IRNazanin"/>
          <w:lang w:bidi="fa-IR"/>
          <w:color w:val="111111"/>
          <w:sz w:val="28"/>
          <w:szCs w:val="28"/>
          <w:rtl/>
        </w:rPr>
        <w:t xml:space="preserve">۴۹. تهران؛ مینوی؛ شماره نسخه: ۱۰۶/۲</w:t>
      </w:r>
    </w:p>
    <w:p>
      <w:pPr>
        <w:pStyle w:val="BookText"/>
      </w:pPr>
      <w:r>
        <w:rPr>
          <w:rFonts w:ascii="IRNazanin" w:hAnsi="IRNazanin" w:eastAsia="IRNazanin" w:cs="IRNazanin"/>
          <w:lang w:bidi="fa-IR"/>
          <w:color w:val="111111"/>
          <w:sz w:val="28"/>
          <w:szCs w:val="28"/>
          <w:rtl/>
        </w:rPr>
        <w:t xml:space="preserve">مستخرجات و گزیده هایی از تاریخ طبری ترجمه بلعمی از روی نسخه موزه بریتانیا 7524 .</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 کا: مجتبی مینوی، بی تا [نشریه: ۶-۶۸۱]</w:t>
      </w:r>
    </w:p>
    <w:p>
      <w:pPr>
        <w:pStyle w:val="BookText"/>
      </w:pPr>
      <w:r>
        <w:rPr>
          <w:rFonts w:ascii="IRNazanin" w:hAnsi="IRNazanin" w:eastAsia="IRNazanin" w:cs="IRNazanin"/>
          <w:lang w:bidi="fa-IR"/>
          <w:color w:val="111111"/>
          <w:sz w:val="28"/>
          <w:szCs w:val="28"/>
          <w:rtl/>
        </w:rPr>
        <w:t xml:space="preserve">۵۰. تهران؛ مجلس؛ شماره نسخه: ۲۳۱</w:t>
      </w:r>
    </w:p>
    <w:p>
      <w:pPr>
        <w:pStyle w:val="BookText"/>
      </w:pPr>
      <w:r>
        <w:rPr>
          <w:rFonts w:ascii="IRNazanin" w:hAnsi="IRNazanin" w:eastAsia="IRNazanin" w:cs="IRNazanin"/>
          <w:lang w:bidi="fa-IR"/>
          <w:color w:val="111111"/>
          <w:sz w:val="28"/>
          <w:szCs w:val="28"/>
          <w:rtl/>
        </w:rPr>
        <w:t xml:space="preserve">آغاز: سپاس و آفرین مر خدای جهانیان و آفریننده زمین و زمان آنکس نه همتا و نه انبار و نه دستور و نه یار و نه زن و نه فرزند و همیشه بود و همیشه باشد</w:t>
      </w:r>
    </w:p>
    <w:p>
      <w:pPr>
        <w:pStyle w:val="BookText"/>
      </w:pPr>
      <w:r>
        <w:rPr>
          <w:rFonts w:ascii="IRNazanin" w:hAnsi="IRNazanin" w:eastAsia="IRNazanin" w:cs="IRNazanin"/>
          <w:lang w:bidi="fa-IR"/>
          <w:color w:val="111111"/>
          <w:sz w:val="28"/>
          <w:szCs w:val="28"/>
          <w:rtl/>
        </w:rPr>
        <w:t xml:space="preserve">مجلد اول؛ خط: نستعلیق، بی کا، بی تا، دارای سرلوح ممتار، اطراف دو صفحه اول تذهیب و ترصيع قدیمی اعلی؛ کاغذ: نباتی و حاشیه کاغذ زرد و سرخ، ۲۹۳گ، ۱۹ 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۲-۱۲۹]</w:t>
      </w:r>
    </w:p>
    <w:p>
      <w:pPr>
        <w:pStyle w:val="BookText"/>
      </w:pPr>
      <w:r>
        <w:rPr>
          <w:rFonts w:ascii="IRNazanin" w:hAnsi="IRNazanin" w:eastAsia="IRNazanin" w:cs="IRNazanin"/>
          <w:lang w:bidi="fa-IR"/>
          <w:color w:val="111111"/>
          <w:sz w:val="28"/>
          <w:szCs w:val="28"/>
          <w:rtl/>
        </w:rPr>
        <w:t xml:space="preserve">۵۱. تبریز؛ تربیت؛ شماره نسخه: ۱۹۰</w:t>
      </w:r>
    </w:p>
    <w:p>
      <w:pPr>
        <w:pStyle w:val="BookText"/>
      </w:pPr>
      <w:r>
        <w:rPr>
          <w:rFonts w:ascii="IRNazanin" w:hAnsi="IRNazanin" w:eastAsia="IRNazanin" w:cs="IRNazanin"/>
          <w:lang w:bidi="fa-IR"/>
          <w:color w:val="111111"/>
          <w:sz w:val="28"/>
          <w:szCs w:val="28"/>
          <w:rtl/>
        </w:rPr>
        <w:t xml:space="preserve">بی کا، بی تا [ف: ۱۹۱]</w:t>
      </w:r>
    </w:p>
    <w:p>
      <w:pPr>
        <w:pStyle w:val="BookText"/>
      </w:pPr>
      <w:r>
        <w:rPr>
          <w:rFonts w:ascii="IRNazanin" w:hAnsi="IRNazanin" w:eastAsia="IRNazanin" w:cs="IRNazanin"/>
          <w:lang w:bidi="fa-IR"/>
          <w:color w:val="111111"/>
          <w:sz w:val="28"/>
          <w:szCs w:val="28"/>
          <w:rtl/>
        </w:rPr>
        <w:t xml:space="preserve">۵۲. تهران؛ دانشگاه؛ شماره نسخه: ۵۸۶۳ف</w:t>
      </w:r>
    </w:p>
    <w:p>
      <w:pPr>
        <w:pStyle w:val="BookText"/>
      </w:pPr>
      <w:r>
        <w:rPr>
          <w:rFonts w:ascii="IRNazanin" w:hAnsi="IRNazanin" w:eastAsia="IRNazanin" w:cs="IRNazanin"/>
          <w:lang w:bidi="fa-IR"/>
          <w:color w:val="111111"/>
          <w:sz w:val="28"/>
          <w:szCs w:val="28"/>
          <w:rtl/>
        </w:rPr>
        <w:t xml:space="preserve">نسخه اصل: کتابخانه ملی ونیز </w:t>
      </w:r>
      <w:r>
        <w:rPr>
          <w:rFonts w:ascii="Times New Roman" w:hAnsi="Times New Roman" w:eastAsia="Times New Roman" w:cs="Times New Roman"/>
          <w:lang w:val="en-US" w:bidi="en-US"/>
          <w:color w:val="111111"/>
          <w:sz w:val="28"/>
          <w:szCs w:val="28"/>
          <w:rtl/>
        </w:rPr>
        <w:t xml:space="preserve">LXXXIIGod CXXXXLL or </w:t>
      </w:r>
      <w:r>
        <w:rPr>
          <w:rFonts w:ascii="IRNazanin" w:hAnsi="IRNazanin" w:eastAsia="IRNazanin" w:cs="IRNazanin"/>
          <w:lang w:bidi="fa-IR"/>
          <w:color w:val="111111"/>
          <w:sz w:val="28"/>
          <w:szCs w:val="28"/>
          <w:rtl/>
        </w:rPr>
        <w:t xml:space="preserve">۱۲۸؛ خط: نسخ، بی کا، بی تا؛ افتادگی: انجام [فیلمها ف: ۳-۱۸۸]</w:t>
      </w:r>
    </w:p>
    <w:p>
      <w:pPr>
        <w:pStyle w:val="BookText"/>
      </w:pPr>
      <w:r>
        <w:rPr>
          <w:rFonts w:ascii="IRNazanin" w:hAnsi="IRNazanin" w:eastAsia="IRNazanin" w:cs="IRNazanin"/>
          <w:lang w:bidi="fa-IR"/>
          <w:color w:val="111111"/>
          <w:sz w:val="28"/>
          <w:szCs w:val="28"/>
          <w:rtl/>
        </w:rPr>
        <w:t xml:space="preserve">۵۳. تهران: دانشگاه؛ شماره نسخه:۱۷ف</w:t>
      </w:r>
    </w:p>
    <w:p>
      <w:pPr>
        <w:pStyle w:val="BookText"/>
      </w:pPr>
      <w:r>
        <w:rPr>
          <w:rFonts w:ascii="IRNazanin" w:hAnsi="IRNazanin" w:eastAsia="IRNazanin" w:cs="IRNazanin"/>
          <w:lang w:bidi="fa-IR"/>
          <w:color w:val="111111"/>
          <w:sz w:val="28"/>
          <w:szCs w:val="28"/>
          <w:rtl/>
        </w:rPr>
        <w:t xml:space="preserve">نسخه اصل: ونیز کتابخانه ملی سن مار کو ونیسیا، نسخه خطی شرقی ش ۱۲۸ پرو ونینزا، مانی ژیا کومو، ش ۷۷ کلکسیون ش ۱۷۱ نسخ در ۷۲۴ گ (در دو قسمت عکس شده: بخش نخستین ۳۷۲۳-۳۷۱۵ ، نیمه دوم ۱۴۷۹-۱۳۸۵)؛ بی کا، بی تا؛ افتادگی: آغاز</w:t>
      </w:r>
    </w:p>
    <w:p>
      <w:pPr>
        <w:pStyle w:val="BookText"/>
      </w:pPr>
      <w:r>
        <w:rPr>
          <w:rFonts w:ascii="IRNazanin" w:hAnsi="IRNazanin" w:eastAsia="IRNazanin" w:cs="IRNazanin"/>
          <w:lang w:bidi="fa-IR"/>
          <w:color w:val="111111"/>
          <w:sz w:val="28"/>
          <w:szCs w:val="28"/>
          <w:rtl/>
        </w:rPr>
        <w:t xml:space="preserve">و انجام [فیلمها ف: ۱-۳۷]</w:t>
      </w:r>
    </w:p>
    <w:p>
      <w:pPr>
        <w:pStyle w:val="BookText"/>
      </w:pPr>
      <w:r>
        <w:rPr>
          <w:rFonts w:ascii="IRNazanin" w:hAnsi="IRNazanin" w:eastAsia="IRNazanin" w:cs="IRNazanin"/>
          <w:lang w:bidi="fa-IR"/>
          <w:color w:val="111111"/>
          <w:sz w:val="28"/>
          <w:szCs w:val="28"/>
          <w:rtl/>
        </w:rPr>
        <w:t xml:space="preserve">۵۴. قم؛ معصومیه؛ شماره نسخه: ۶۸</w:t>
      </w:r>
    </w:p>
    <w:p>
      <w:pPr>
        <w:pStyle w:val="BookText"/>
      </w:pPr>
      <w:r>
        <w:rPr>
          <w:rFonts w:ascii="IRNazanin" w:hAnsi="IRNazanin" w:eastAsia="IRNazanin" w:cs="IRNazanin"/>
          <w:lang w:bidi="fa-IR"/>
          <w:color w:val="111111"/>
          <w:sz w:val="28"/>
          <w:szCs w:val="28"/>
          <w:rtl/>
        </w:rPr>
        <w:t xml:space="preserve">آغاز : سپاس و آفرین مر خدای کامکار و کامران و آفریننده زمین و آسمان و آنکس نه همتا و نه انباز و نه دستور و نه یارو و نه زن و نه فرزند؛ انجام: ذکر خلافت الناصر لدين الله ابوالعباس احمد بن المستضى بامر الله غره ذي القعدة سنة خمس وسبعين و خمسماة بخلافت بنشست.</w:t>
      </w:r>
    </w:p>
    <w:p>
      <w:pPr>
        <w:pStyle w:val="BookText"/>
      </w:pPr>
      <w:r>
        <w:rPr>
          <w:rFonts w:ascii="IRNazanin" w:hAnsi="IRNazanin" w:eastAsia="IRNazanin" w:cs="IRNazanin"/>
          <w:lang w:bidi="fa-IR"/>
          <w:color w:val="111111"/>
          <w:sz w:val="28"/>
          <w:szCs w:val="28"/>
          <w:rtl/>
        </w:rPr>
        <w:t xml:space="preserve">خط: نستعلیق، بی کا، بی تا؛ مجدول؛ مهر: «محمد علی ۱۲۵۹» (شش ضلعی)؛ جلد: تیماج زرد مایل به حنایی ضربی، ۵۹۰گ، ۲۷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۱-۸۶]</w:t>
      </w:r>
    </w:p>
    <w:p>
      <w:pPr>
        <w:pStyle w:val="BookText"/>
      </w:pPr>
      <w:r>
        <w:rPr>
          <w:rFonts w:ascii="IRNazanin" w:hAnsi="IRNazanin" w:eastAsia="IRNazanin" w:cs="IRNazanin"/>
          <w:lang w:bidi="fa-IR"/>
          <w:color w:val="111111"/>
          <w:sz w:val="28"/>
          <w:szCs w:val="28"/>
          <w:rtl/>
        </w:rPr>
        <w:t xml:space="preserve">۵۵. تهران: دانشگاه؛ شماره نسخه:۱۳۵۴ف</w:t>
      </w:r>
    </w:p>
    <w:p>
      <w:pPr>
        <w:pStyle w:val="BookText"/>
      </w:pPr>
      <w:r>
        <w:rPr>
          <w:rFonts w:ascii="IRNazanin" w:hAnsi="IRNazanin" w:eastAsia="IRNazanin" w:cs="IRNazanin"/>
          <w:lang w:bidi="fa-IR"/>
          <w:color w:val="111111"/>
          <w:sz w:val="28"/>
          <w:szCs w:val="28"/>
          <w:rtl/>
        </w:rPr>
        <w:t xml:space="preserve">نسخه اصل: دیوان هند ۳۳۱۵ اته ۸؛ خط: نسخ، بی کا، بی تا؛ ۷۲۲گ، ۲۱ سطر [فيلمها ف: ۱-۳۸]</w:t>
      </w:r>
    </w:p>
    <w:p>
      <w:pPr>
        <w:pStyle w:val="BookText"/>
      </w:pPr>
      <w:r>
        <w:rPr>
          <w:rFonts w:ascii="IRNazanin" w:hAnsi="IRNazanin" w:eastAsia="IRNazanin" w:cs="IRNazanin"/>
          <w:lang w:bidi="fa-IR"/>
          <w:color w:val="111111"/>
          <w:sz w:val="28"/>
          <w:szCs w:val="28"/>
          <w:rtl/>
        </w:rPr>
        <w:t xml:space="preserve">۵۶. تهران، دانشگاه؛ شماره نسخه:۱۳۵۵ -ف</w:t>
      </w:r>
    </w:p>
    <w:p>
      <w:pPr>
        <w:pStyle w:val="BookText"/>
      </w:pPr>
      <w:r>
        <w:rPr>
          <w:rFonts w:ascii="IRNazanin" w:hAnsi="IRNazanin" w:eastAsia="IRNazanin" w:cs="IRNazanin"/>
          <w:lang w:bidi="fa-IR"/>
          <w:color w:val="111111"/>
          <w:sz w:val="28"/>
          <w:szCs w:val="28"/>
          <w:rtl/>
        </w:rPr>
        <w:t xml:space="preserve">نسخه اصل: دیوان هند ۱۹۳۸ اته ۱۹ خط: نسخ و نستعلیق، بی کا، بی تا؛ ۱۸اگ [فیلمها ف: ۱-۳۸]</w:t>
      </w:r>
    </w:p>
    <w:p>
      <w:pPr>
        <w:pStyle w:val="BookText"/>
      </w:pPr>
      <w:r>
        <w:rPr>
          <w:rFonts w:ascii="IRNazanin" w:hAnsi="IRNazanin" w:eastAsia="IRNazanin" w:cs="IRNazanin"/>
          <w:lang w:bidi="fa-IR"/>
          <w:color w:val="111111"/>
          <w:sz w:val="28"/>
          <w:szCs w:val="28"/>
          <w:rtl/>
        </w:rPr>
        <w:t xml:space="preserve">۵۷. تهران: دانشگاه؛ شماره نسخه:۱۳۵۶ -ف</w:t>
      </w:r>
    </w:p>
    <w:p>
      <w:pPr>
        <w:pStyle w:val="BookText"/>
      </w:pPr>
      <w:r>
        <w:rPr>
          <w:rFonts w:ascii="IRNazanin" w:hAnsi="IRNazanin" w:eastAsia="IRNazanin" w:cs="IRNazanin"/>
          <w:lang w:bidi="fa-IR"/>
          <w:color w:val="111111"/>
          <w:sz w:val="28"/>
          <w:szCs w:val="28"/>
          <w:rtl/>
        </w:rPr>
        <w:t xml:space="preserve">نسخ اصل: دیوان هند ۲۶۶۹ اته ۲؛ بی کا، بی تا [فيلمها ف: ۱-۳۸]</w:t>
      </w:r>
    </w:p>
    <w:p>
      <w:pPr>
        <w:pStyle w:val="BookText"/>
      </w:pPr>
      <w:r>
        <w:rPr>
          <w:rFonts w:ascii="IRNazanin" w:hAnsi="IRNazanin" w:eastAsia="IRNazanin" w:cs="IRNazanin"/>
          <w:lang w:bidi="fa-IR"/>
          <w:color w:val="111111"/>
          <w:sz w:val="28"/>
          <w:szCs w:val="28"/>
          <w:rtl/>
        </w:rPr>
        <w:t xml:space="preserve">۵۸. قم؛ مسجد اعظم؛ شماره نسخه: ۳۵۸۳</w:t>
      </w:r>
    </w:p>
    <w:p>
      <w:pPr>
        <w:pStyle w:val="BookText"/>
      </w:pPr>
      <w:r>
        <w:rPr>
          <w:rFonts w:ascii="IRNazanin" w:hAnsi="IRNazanin" w:eastAsia="IRNazanin" w:cs="IRNazanin"/>
          <w:lang w:bidi="fa-IR"/>
          <w:color w:val="111111"/>
          <w:sz w:val="28"/>
          <w:szCs w:val="28"/>
          <w:rtl/>
        </w:rPr>
        <w:t xml:space="preserve">آغاز: خداوندی است که بیافرید پس خدای تعالی طبع توحید و معرفت خود در دل او پیدا کرد بی آن که کاری کرد یا کسی او را بیاموخت و حکما ایدون گویند که مثل ابراهیم اندر آن وقت چنان بود؛ انجام: چون کیخسرو از جایگاه خویش با این لشکر بیامد آن دایه بیامد نام او سومهار و همه اهل بیت خویش را گرد کرد و پیش کیخسرو آمد و دستوری خواست که ایشان را بدان جنگ بیرون برد تا (نگین) سیاوش بخواهد کیخسرو آن زن را نیز برد پس آن خط: نستعلیق، بی کا، بی تا، افتادگی: آغاز و انجام؛ مجدول؛ جلد: گالینگور سیاه، ۱۱۱گ، ۱۹سطر، اندازه: ۳۶۶۲۳سم [ف مخ: ۱-۴۰۳]</w:t>
      </w:r>
    </w:p>
    <w:p>
      <w:pPr>
        <w:pStyle w:val="BookText"/>
      </w:pPr>
      <w:r>
        <w:rPr>
          <w:rFonts w:ascii="IRNazanin" w:hAnsi="IRNazanin" w:eastAsia="IRNazanin" w:cs="IRNazanin"/>
          <w:lang w:bidi="fa-IR"/>
          <w:color w:val="111111"/>
          <w:sz w:val="28"/>
          <w:szCs w:val="28"/>
          <w:rtl/>
        </w:rPr>
        <w:t xml:space="preserve">۵۹. تهران؛ دانشگاه؛ شماره نسخه:۸۶۷ف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405" w:name="pg20363_209705"/>
    <w:bookmarkEnd w:id="405"/>
    <w:p>
      <w:pPr>
        <w:pStyle w:val="BookText"/>
      </w:pPr>
      <w:r>
        <w:rPr>
          <w:rFonts w:ascii="IRNazanin" w:hAnsi="IRNazanin" w:eastAsia="IRNazanin" w:cs="IRNazanin"/>
          <w:lang w:bidi="fa-IR"/>
          <w:color w:val="111111"/>
          <w:sz w:val="28"/>
          <w:szCs w:val="28"/>
          <w:rtl/>
        </w:rPr>
        <w:t xml:space="preserve">نسخه اصل: بادلیان 323 </w:t>
      </w:r>
      <w:r>
        <w:rPr>
          <w:rFonts w:ascii="Times New Roman" w:hAnsi="Times New Roman" w:eastAsia="Times New Roman" w:cs="Times New Roman"/>
          <w:lang w:val="en-US" w:bidi="en-US"/>
          <w:color w:val="111111"/>
          <w:sz w:val="28"/>
          <w:szCs w:val="28"/>
          <w:rtl/>
        </w:rPr>
        <w:t xml:space="preserve">Land Or</w:t>
      </w:r>
      <w:r>
        <w:rPr>
          <w:rFonts w:ascii="IRNazanin" w:hAnsi="IRNazanin" w:eastAsia="IRNazanin" w:cs="IRNazanin"/>
          <w:lang w:bidi="fa-IR"/>
          <w:color w:val="111111"/>
          <w:sz w:val="28"/>
          <w:szCs w:val="28"/>
          <w:rtl/>
        </w:rPr>
        <w:t xml:space="preserve">؛ خط: نسخ، بی کا، بی تا؛ ۶۱۱گ، ۳۱ سطر [فيلمها ف: ۱-۳۷]</w:t>
      </w:r>
    </w:p>
    <w:p>
      <w:pPr>
        <w:pStyle w:val="BookText"/>
      </w:pPr>
      <w:r>
        <w:rPr>
          <w:rFonts w:ascii="IRNazanin" w:hAnsi="IRNazanin" w:eastAsia="IRNazanin" w:cs="IRNazanin"/>
          <w:lang w:bidi="fa-IR"/>
          <w:color w:val="111111"/>
          <w:sz w:val="28"/>
          <w:szCs w:val="28"/>
          <w:rtl/>
        </w:rPr>
        <w:t xml:space="preserve">۶۰. تهران؛ دانشگاه؛ شماره نسخه:۱۰۷۳-ف</w:t>
      </w:r>
    </w:p>
    <w:p>
      <w:pPr>
        <w:pStyle w:val="BookText"/>
      </w:pPr>
      <w:r>
        <w:rPr>
          <w:rFonts w:ascii="IRNazanin" w:hAnsi="IRNazanin" w:eastAsia="IRNazanin" w:cs="IRNazanin"/>
          <w:lang w:bidi="fa-IR"/>
          <w:color w:val="111111"/>
          <w:sz w:val="28"/>
          <w:szCs w:val="28"/>
          <w:rtl/>
        </w:rPr>
        <w:t xml:space="preserve">نسخه اصل: مونیخ ش</w:t>
      </w:r>
    </w:p>
    <w:p>
      <w:pPr>
        <w:pStyle w:val="BookText"/>
      </w:pPr>
      <w:r>
        <w:rPr>
          <w:rFonts w:ascii="IRNazanin" w:hAnsi="IRNazanin" w:eastAsia="IRNazanin" w:cs="IRNazanin"/>
          <w:lang w:bidi="fa-IR"/>
          <w:color w:val="111111"/>
          <w:sz w:val="28"/>
          <w:szCs w:val="28"/>
          <w:rtl/>
        </w:rPr>
        <w:t xml:space="preserve">۲۰۳ فارسی؛ بی کا، بی تا، ۴۱۵گ [فیلمها ف: ۱-۳۸]</w:t>
      </w:r>
    </w:p>
    <w:p>
      <w:pPr>
        <w:pStyle w:val="BookText"/>
      </w:pPr>
      <w:r>
        <w:rPr>
          <w:rFonts w:ascii="IRNazanin" w:hAnsi="IRNazanin" w:eastAsia="IRNazanin" w:cs="IRNazanin"/>
          <w:lang w:bidi="fa-IR"/>
          <w:color w:val="111111"/>
          <w:sz w:val="28"/>
          <w:szCs w:val="28"/>
          <w:rtl/>
        </w:rPr>
        <w:t xml:space="preserve">۶۱. تهران، دانشگاه؛ شماره نسخه:۷۱۵-ف</w:t>
      </w:r>
    </w:p>
    <w:p>
      <w:pPr>
        <w:pStyle w:val="BookText"/>
      </w:pPr>
      <w:r>
        <w:rPr>
          <w:rFonts w:ascii="IRNazanin" w:hAnsi="IRNazanin" w:eastAsia="IRNazanin" w:cs="IRNazanin"/>
          <w:lang w:bidi="fa-IR"/>
          <w:color w:val="111111"/>
          <w:sz w:val="28"/>
          <w:szCs w:val="28"/>
          <w:rtl/>
        </w:rPr>
        <w:t xml:space="preserve">نسخه اصل: موزه بریتانیا 7324 .</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 بی کا، بی تا؛ ۱۴۱گ، ۲۰ سطر [فيلمها ف: ۱-۳۷]</w:t>
      </w:r>
    </w:p>
    <w:p>
      <w:pPr>
        <w:pStyle w:val="BookText"/>
      </w:pPr>
      <w:r>
        <w:rPr>
          <w:rFonts w:ascii="IRNazanin" w:hAnsi="IRNazanin" w:eastAsia="IRNazanin" w:cs="IRNazanin"/>
          <w:lang w:bidi="fa-IR"/>
          <w:color w:val="111111"/>
          <w:sz w:val="28"/>
          <w:szCs w:val="28"/>
          <w:rtl/>
        </w:rPr>
        <w:t xml:space="preserve">۶۲. تهران، دانشگاه؛ شماره نسخه: ۷۹۵-ف</w:t>
      </w:r>
    </w:p>
    <w:p>
      <w:pPr>
        <w:pStyle w:val="BookText"/>
      </w:pPr>
      <w:r>
        <w:rPr>
          <w:rFonts w:ascii="IRNazanin" w:hAnsi="IRNazanin" w:eastAsia="IRNazanin" w:cs="IRNazanin"/>
          <w:lang w:bidi="fa-IR"/>
          <w:color w:val="111111"/>
          <w:sz w:val="28"/>
          <w:szCs w:val="28"/>
          <w:rtl/>
        </w:rPr>
        <w:t xml:space="preserve">نسخه اصل: کتابخانه ملی وین </w:t>
      </w:r>
      <w:r>
        <w:rPr>
          <w:rFonts w:ascii="Times New Roman" w:hAnsi="Times New Roman" w:eastAsia="Times New Roman" w:cs="Times New Roman"/>
          <w:lang w:val="en-US" w:bidi="en-US"/>
          <w:color w:val="111111"/>
          <w:sz w:val="28"/>
          <w:szCs w:val="28"/>
          <w:rtl/>
        </w:rPr>
        <w:t xml:space="preserve">Cod Mict </w:t>
      </w:r>
      <w:r>
        <w:rPr>
          <w:rFonts w:ascii="IRNazanin" w:hAnsi="IRNazanin" w:eastAsia="IRNazanin" w:cs="IRNazanin"/>
          <w:lang w:bidi="fa-IR"/>
          <w:color w:val="111111"/>
          <w:sz w:val="28"/>
          <w:szCs w:val="28"/>
          <w:rtl/>
        </w:rPr>
        <w:t xml:space="preserve">بی کا، بی تا، ۳۰۶گ، ۲۷ سطر [فیلمها ف: ۱-۳۷]</w:t>
      </w:r>
    </w:p>
    <w:p>
      <w:pPr>
        <w:pStyle w:val="BookText"/>
      </w:pPr>
      <w:r>
        <w:rPr>
          <w:rFonts w:ascii="IRNazanin" w:hAnsi="IRNazanin" w:eastAsia="IRNazanin" w:cs="IRNazanin"/>
          <w:lang w:bidi="fa-IR"/>
          <w:color w:val="111111"/>
          <w:sz w:val="28"/>
          <w:szCs w:val="28"/>
          <w:rtl/>
        </w:rPr>
        <w:t xml:space="preserve">۶۳. تهران؛ ملی؛ شماره نسخه: ۱۷۸۵۲</w:t>
      </w:r>
    </w:p>
    <w:p>
      <w:pPr>
        <w:pStyle w:val="BookText"/>
      </w:pPr>
      <w:r>
        <w:rPr>
          <w:rFonts w:ascii="IRNazanin" w:hAnsi="IRNazanin" w:eastAsia="IRNazanin" w:cs="IRNazanin"/>
          <w:lang w:bidi="fa-IR"/>
          <w:color w:val="111111"/>
          <w:sz w:val="28"/>
          <w:szCs w:val="28"/>
          <w:rtl/>
        </w:rPr>
        <w:t xml:space="preserve">آغاز: برابر ۲؛ انجام: قبل از این آنحضرت چند درجه از مدارج عمر طی کرده بود که وحی نازل شد ... / در وفات حضرت نبی اکرم (صلی الله علیه وآله وسلم) ...</w:t>
      </w:r>
    </w:p>
    <w:p>
      <w:pPr>
        <w:pStyle w:val="BookText"/>
      </w:pPr>
      <w:r>
        <w:rPr>
          <w:rFonts w:ascii="IRNazanin" w:hAnsi="IRNazanin" w:eastAsia="IRNazanin" w:cs="IRNazanin"/>
          <w:lang w:bidi="fa-IR"/>
          <w:color w:val="111111"/>
          <w:sz w:val="28"/>
          <w:szCs w:val="28"/>
          <w:rtl/>
        </w:rPr>
        <w:t xml:space="preserve">انجامه: .... زاد آنجمان از دنیا به نیکو کاری بردارید، گوشه گیر از جهان مجاز توشه آنجمان درین میاز.</w:t>
      </w:r>
    </w:p>
    <w:p>
      <w:pPr>
        <w:pStyle w:val="BookText"/>
      </w:pPr>
      <w:r>
        <w:rPr>
          <w:rFonts w:ascii="IRNazanin" w:hAnsi="IRNazanin" w:eastAsia="IRNazanin" w:cs="IRNazanin"/>
          <w:lang w:bidi="fa-IR"/>
          <w:color w:val="111111"/>
          <w:sz w:val="28"/>
          <w:szCs w:val="28"/>
          <w:rtl/>
        </w:rPr>
        <w:t xml:space="preserve">ترجمه بخشی از تاریخ طبری است؛ خط: نستعلیق تحریری، کا: ایراندوه صفویه، تا: قرن ۱۲؛ با سرلوح مذهب ناتمام، کتیبه رنگه نویسی، مجدول، از معدود نسخه های خطی ترجمه تاریخ طبری اثر ابپ عداله صالح بن محمد که به تصریح مقدمه و خطبه کتاب و با توجه به بررسی منابع و مآخذ، نسخه نادر است، انتقالی از کتابخانه پهلوی - مجموعه نوازی؛ کاغذ: سپاهانی فرنگی نخودی، جلد: فرنگی الحاقی یکپارچه مقوایی با رویه تیماج، ۲۴۶گ، ۲۰سطر اندازه سطور: ۹۰، اندازه: ۳۰/۶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م [رایانه]</w:t>
      </w:r>
    </w:p>
    <w:p>
      <w:pPr>
        <w:pStyle w:val="Heading3"/>
      </w:pPr>
      <w:bookmarkStart w:id="2107" w:name="_Toc1367"/>
      <w:r>
        <w:t>• تاریخ بلغراد / شعر / ترکی</w:t>
      </w:r>
      <w:bookmarkEnd w:id="2107"/>
    </w:p>
    <w:p>
      <w:pPr>
        <w:pStyle w:val="BookText"/>
      </w:pPr>
      <w:r>
        <w:rPr>
          <w:rFonts w:ascii="Times New Roman" w:hAnsi="Times New Roman" w:eastAsia="Times New Roman" w:cs="Times New Roman"/>
          <w:lang w:val="en-US" w:bidi="en-US"/>
          <w:color w:val="111111"/>
          <w:sz w:val="28"/>
          <w:szCs w:val="28"/>
          <w:rtl/>
        </w:rPr>
        <w:t xml:space="preserve">tārīx-e belqerād</w:t>
      </w:r>
    </w:p>
    <w:p>
      <w:pPr>
        <w:pStyle w:val="BookText"/>
      </w:pPr>
      <w:r>
        <w:rPr>
          <w:rFonts w:ascii="IRNazanin" w:hAnsi="IRNazanin" w:eastAsia="IRNazanin" w:cs="IRNazanin"/>
          <w:lang w:bidi="fa-IR"/>
          <w:color w:val="111111"/>
          <w:sz w:val="28"/>
          <w:szCs w:val="28"/>
          <w:rtl/>
        </w:rPr>
        <w:t xml:space="preserve">به نثر و نظم ترکی از منیف افندی.</w:t>
      </w:r>
    </w:p>
    <w:p>
      <w:pPr>
        <w:pStyle w:val="BookText"/>
      </w:pPr>
      <w:r>
        <w:rPr>
          <w:rFonts w:ascii="IRNazanin" w:hAnsi="IRNazanin" w:eastAsia="IRNazanin" w:cs="IRNazanin"/>
          <w:lang w:bidi="fa-IR"/>
          <w:color w:val="111111"/>
          <w:sz w:val="28"/>
          <w:szCs w:val="28"/>
          <w:rtl/>
        </w:rPr>
        <w:t xml:space="preserve">تهران؛ دانشگاه؛ شماره نسخه: ۹۶۹۵/۳ خط: نستعليق ترک، کا: محمد سعید، تا: قرن ۱۳</w:t>
      </w:r>
    </w:p>
    <w:p>
      <w:pPr>
        <w:pStyle w:val="BookText"/>
      </w:pPr>
      <w:r>
        <w:rPr>
          <w:rFonts w:ascii="IRNazanin" w:hAnsi="IRNazanin" w:eastAsia="IRNazanin" w:cs="IRNazanin"/>
          <w:lang w:bidi="fa-IR"/>
          <w:color w:val="111111"/>
          <w:sz w:val="28"/>
          <w:szCs w:val="28"/>
          <w:rtl/>
        </w:rPr>
        <w:t xml:space="preserve">کاغذ: استانبولی، جلد: تیماج مشکی زرکوب مقوایی، ۲گ (۷۳پ۔ ۷۴ر)، ۲۹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w:t>
      </w:r>
    </w:p>
    <w:p>
      <w:pPr>
        <w:pStyle w:val="BookText"/>
      </w:pPr>
      <w:r>
        <w:rPr>
          <w:rFonts w:ascii="IRNazanin" w:hAnsi="IRNazanin" w:eastAsia="IRNazanin" w:cs="IRNazanin"/>
          <w:lang w:bidi="fa-IR"/>
          <w:color w:val="111111"/>
          <w:sz w:val="28"/>
          <w:szCs w:val="28"/>
          <w:rtl/>
        </w:rPr>
        <w:t xml:space="preserve">)،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۱۷-۴۵۳]</w:t>
      </w:r>
    </w:p>
    <w:p>
      <w:pPr>
        <w:pStyle w:val="Heading3"/>
      </w:pPr>
      <w:bookmarkStart w:id="2108" w:name="_Toc1368"/>
      <w:r>
        <w:t>•تاریخ بلوای اصفهان / شعر، تاریخ ایران / فارسی</w:t>
      </w:r>
      <w:bookmarkEnd w:id="2108"/>
    </w:p>
    <w:p>
      <w:pPr>
        <w:pStyle w:val="BookText"/>
      </w:pPr>
      <w:r>
        <w:rPr>
          <w:rFonts w:ascii="Times New Roman" w:hAnsi="Times New Roman" w:eastAsia="Times New Roman" w:cs="Times New Roman"/>
          <w:lang w:val="en-US" w:bidi="en-US"/>
          <w:color w:val="111111"/>
          <w:sz w:val="28"/>
          <w:szCs w:val="28"/>
          <w:rtl/>
        </w:rPr>
        <w:t xml:space="preserve">tārīx-e balvā-ye esfahān</w:t>
      </w:r>
    </w:p>
    <w:p>
      <w:pPr>
        <w:pStyle w:val="BookText"/>
      </w:pPr>
      <w:r>
        <w:rPr>
          <w:rFonts w:ascii="IRNazanin" w:hAnsi="IRNazanin" w:eastAsia="IRNazanin" w:cs="IRNazanin"/>
          <w:lang w:bidi="fa-IR"/>
          <w:color w:val="111111"/>
          <w:sz w:val="28"/>
          <w:szCs w:val="28"/>
          <w:rtl/>
        </w:rPr>
        <w:t xml:space="preserve">منشی، عبدالحسين بن محمود، ۱۲۵۰-۱۳۳۶ شمسی</w:t>
      </w:r>
    </w:p>
    <w:p>
      <w:pPr>
        <w:pStyle w:val="BookText"/>
      </w:pPr>
      <w:r>
        <w:rPr>
          <w:rFonts w:ascii="Times New Roman" w:hAnsi="Times New Roman" w:eastAsia="Times New Roman" w:cs="Times New Roman"/>
          <w:lang w:val="en-US" w:bidi="en-US"/>
          <w:color w:val="111111"/>
          <w:sz w:val="28"/>
          <w:szCs w:val="28"/>
          <w:rtl/>
        </w:rPr>
        <w:t xml:space="preserve">monšī, 'abd-ol-hoseyn ebn-e mahmūd (1871-1957)</w:t>
      </w:r>
    </w:p>
    <w:p>
      <w:pPr>
        <w:pStyle w:val="BookText"/>
      </w:pPr>
      <w:r>
        <w:rPr>
          <w:rFonts w:ascii="IRNazanin" w:hAnsi="IRNazanin" w:eastAsia="IRNazanin" w:cs="IRNazanin"/>
          <w:lang w:bidi="fa-IR"/>
          <w:color w:val="111111"/>
          <w:sz w:val="28"/>
          <w:szCs w:val="28"/>
          <w:rtl/>
        </w:rPr>
        <w:t xml:space="preserve">تهران؛ مجلس؛ شماره نسخه:۱۸۳۳۷ ض</w:t>
      </w:r>
    </w:p>
    <w:p>
      <w:pPr>
        <w:pStyle w:val="BookText"/>
      </w:pPr>
      <w:r>
        <w:rPr>
          <w:rFonts w:ascii="IRNazanin" w:hAnsi="IRNazanin" w:eastAsia="IRNazanin" w:cs="IRNazanin"/>
          <w:lang w:bidi="fa-IR"/>
          <w:color w:val="111111"/>
          <w:sz w:val="28"/>
          <w:szCs w:val="28"/>
          <w:rtl/>
        </w:rPr>
        <w:t xml:space="preserve">بی کا، تا: ۱۲۷۷ ق [د.ث. مجلس]</w:t>
      </w:r>
    </w:p>
    <w:p>
      <w:pPr>
        <w:pStyle w:val="Heading3"/>
      </w:pPr>
      <w:bookmarkStart w:id="2109" w:name="_Toc1369"/>
      <w:r>
        <w:t>•تاریخ بنادر خلیج فارس / جغرافيا / فارسی</w:t>
      </w:r>
      <w:bookmarkEnd w:id="2109"/>
    </w:p>
    <w:p>
      <w:pPr>
        <w:pStyle w:val="BookText"/>
      </w:pPr>
      <w:r>
        <w:rPr>
          <w:rFonts w:ascii="Times New Roman" w:hAnsi="Times New Roman" w:eastAsia="Times New Roman" w:cs="Times New Roman"/>
          <w:lang w:val="en-US" w:bidi="en-US"/>
          <w:color w:val="111111"/>
          <w:sz w:val="28"/>
          <w:szCs w:val="28"/>
          <w:rtl/>
        </w:rPr>
        <w:t xml:space="preserve">tārīx-e banāder-e xalīj-e fārs</w:t>
      </w:r>
    </w:p>
    <w:p>
      <w:pPr>
        <w:pStyle w:val="BookText"/>
      </w:pPr>
      <w:r>
        <w:rPr>
          <w:rFonts w:ascii="IRNazanin" w:hAnsi="IRNazanin" w:eastAsia="IRNazanin" w:cs="IRNazanin"/>
          <w:lang w:bidi="fa-IR"/>
          <w:color w:val="111111"/>
          <w:sz w:val="28"/>
          <w:szCs w:val="28"/>
          <w:rtl/>
        </w:rPr>
        <w:t xml:space="preserve">کازرونی، ابراهیم بن اسماعیل، ۱۱۷۵-۱۲۶۰ ؟ قمری</w:t>
      </w:r>
    </w:p>
    <w:p>
      <w:pPr>
        <w:pStyle w:val="BookText"/>
      </w:pPr>
      <w:r>
        <w:rPr>
          <w:rFonts w:ascii="Times New Roman" w:hAnsi="Times New Roman" w:eastAsia="Times New Roman" w:cs="Times New Roman"/>
          <w:lang w:val="en-US" w:bidi="en-US"/>
          <w:color w:val="111111"/>
          <w:sz w:val="28"/>
          <w:szCs w:val="28"/>
          <w:rtl/>
        </w:rPr>
        <w:t xml:space="preserve">kāzerūnī, ebrāhīm ebn-e esmāʻīl (1762-1844)</w:t>
      </w:r>
    </w:p>
    <w:p>
      <w:pPr>
        <w:pStyle w:val="BookText"/>
      </w:pPr>
      <w:r>
        <w:rPr>
          <w:rFonts w:ascii="IRNazanin" w:hAnsi="IRNazanin" w:eastAsia="IRNazanin" w:cs="IRNazanin"/>
          <w:lang w:bidi="fa-IR"/>
          <w:color w:val="111111"/>
          <w:sz w:val="28"/>
          <w:szCs w:val="28"/>
          <w:rtl/>
        </w:rPr>
        <w:t xml:space="preserve">تاریخ تأليف: ۱۲۵۳ق نویسنده این کتاب از شاعران، عارفان، پزشکان و ادیبان عصر قاجار است که به «نادری» تخلص می کرده است. وی که در میانسالی سفری به هند کرده و از آن ثروتی به دست آورده بود، پس از بازگشت به شیراز به سبب آگاهی از اوضاع جنوب کشور، از طرف محمد شاه قاجار (۱۲۵۰ق) مأمور به نگارش کتابی در شناخت بنادر و جزایر خلیج فارسی می شود. در آن آمده: «حکم محکم جهان مطاع ... رف صدور پذیرفته؛ مشعر بر این که شخصی کارآگاه را مأمور به سیاحت مساحت ساحت بنادر و جزایر بحر العجم و خليج دریای فارس فرمایند که عرض و طول و فراسخ و جبال و جنوب و مال صبا و دبور و خراب و معمور و کثرت و قلت و پریشانی جمعیت و مرب و ملل و عامل و عمل و مبذر و بساتین و مذهب و آیین و میاه و آبار و فرضات و بازار و مزرعه و انهار از کم و بسیار بنادر و جزایر دریابار اطلاع کلی حاصل نمود [5] در کتابچه مفصل و مشروح نگاشته به درگاه جهانیان امید گاه منظور نظر انوار اولیا ... سازد. امتثالا الفرمان واجب الاذعان ... این هیچ کس هیچ مدان محمد ابراهیم الشهير بكازروني المتخلص بنادری را منظور نظر آفتاب اثر هیچمدانش از یک نظر مرحمت اثر همه دان و رخام خام وجود نابود را جلوه مهر درخشان و فروغ گوهر رخان ارزانی داشت اگر چه به نحوی که از غم مرحوم و والد مغفور این سراپا قصور مشهود ... گردیده که آباء و اسلاف ایشان از نژاد مرحوم مغفور میرزا اشرف بن ... میرزا حفیظ ... بن میرزا اشرف بن ... میرزا حسیب بن ... میرزا محمد اشرف بن میرزا احمد ابن عم و داماد سلطان المحققين ... استاد میر محمد باقر داماد المتخلص به اشراق بوده اند. سپس به صورت مفصل شرح حال خاندان و مهاجرت آنها به هند و باز گشتشان را نقل کرده است. سر آخر هم از پدرش میرزا اسماعیل می گوید که در قصبه گازران فارس اقامت می گزیند و مؤلف نیز در همان جا می ماند. تنظیم شده در دو «باب»: ۱. حقیقت و چگونگی بنادر واقعه در سواحل دریای فارس از بندر محمره که در کنار شط کاران واقع به فاصله سه فرسخ به دریا مانده بندر مذکور وقوع یافته؛ ۲. چگونگی و حقایق جزایری که در خلیج بحر فارس واقع است و ذکر هر جزیره را در مقابل هر بندر که واقع است متعرض می گردد، و هر یک از این دو باب تقسیم می شوند به فصول متعدد به قدر آبادی و خرابی و جمعیت و پریشانی آن بندر و جزیره؛ از آن که بندر محمره از سمت شمال تقدیم دات بر جميع بنادر و بندر مینا و از جانب جنوب و داعی دولت قاهره از طرف مال حسب الأمر متوجه دم از این جهت ابتداء به بندر محمره نموده و ابواب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406" w:name="pg20363_209706"/>
    <w:bookmarkEnd w:id="406"/>
    <w:p>
      <w:pPr>
        <w:pStyle w:val="BookText"/>
      </w:pPr>
      <w:r>
        <w:rPr>
          <w:rFonts w:ascii="IRNazanin" w:hAnsi="IRNazanin" w:eastAsia="IRNazanin" w:cs="IRNazanin"/>
          <w:lang w:bidi="fa-IR"/>
          <w:color w:val="111111"/>
          <w:sz w:val="28"/>
          <w:szCs w:val="28"/>
          <w:rtl/>
        </w:rPr>
        <w:t xml:space="preserve">حقایق و چگونگی آن را بر چهره ناظر این کتاب گشود. با مقدمه ای دراز دامن در توصیف محمد شاه قاجار و گزیده ای از تاریخچه قاجاریه از رساله ملوک الكلام. با عناوین «حقایق نگاری فلان هر» و «حقایق نگاری فلان جزیره».</w:t>
      </w:r>
    </w:p>
    <w:p>
      <w:pPr>
        <w:pStyle w:val="BookText"/>
      </w:pPr>
      <w:r>
        <w:rPr>
          <w:rFonts w:ascii="IRNazanin" w:hAnsi="IRNazanin" w:eastAsia="IRNazanin" w:cs="IRNazanin"/>
          <w:lang w:bidi="fa-IR"/>
          <w:color w:val="111111"/>
          <w:sz w:val="28"/>
          <w:szCs w:val="28"/>
          <w:rtl/>
        </w:rPr>
        <w:t xml:space="preserve">آغاز: بسمله، الحمدلله الذي خص محمدا ابا السلطنة الكبرى و سلطه سلطانا على بسيط ... و جعله مبعوثا على كافة الدنيا و تلاطم في لجج معرفته ... و بعد پس از حمد خداوند که ناخدای هستی قدرت بالغه اش فلک فلک دوار را به بادبان اراده چاپ: تاريخ بنادر و جزایر خلیج فارس در زمان محمد شاه قاجار، محمد ابراهیم کازرونی متخلص به نادری، با تصحیح و تحشیه منوچهر ستوده، تهران، موسسه فرهنگی جهانگیری، چاپ اول، ۱۳۶۷، ۱۷۷ص + یازده ص.</w:t>
      </w:r>
    </w:p>
    <w:p>
      <w:pPr>
        <w:pStyle w:val="BookText"/>
      </w:pPr>
      <w:r>
        <w:rPr>
          <w:rFonts w:ascii="IRNazanin" w:hAnsi="IRNazanin" w:eastAsia="IRNazanin" w:cs="IRNazanin"/>
          <w:lang w:bidi="fa-IR"/>
          <w:color w:val="111111"/>
          <w:sz w:val="28"/>
          <w:szCs w:val="28"/>
          <w:rtl/>
        </w:rPr>
        <w:t xml:space="preserve">[دنا ۶۸۵/۲ ؛ فهرستواره منزوی ۱: ۱۷۷؛ نسخه های منزوی ۶: ۴۲۳۵]</w:t>
      </w:r>
    </w:p>
    <w:p>
      <w:pPr>
        <w:pStyle w:val="BookText"/>
      </w:pPr>
      <w:r>
        <w:rPr>
          <w:rFonts w:ascii="IRNazanin" w:hAnsi="IRNazanin" w:eastAsia="IRNazanin" w:cs="IRNazanin"/>
          <w:lang w:bidi="fa-IR"/>
          <w:color w:val="111111"/>
          <w:sz w:val="28"/>
          <w:szCs w:val="28"/>
          <w:rtl/>
        </w:rPr>
        <w:t xml:space="preserve">۱. تهران؛ مجلس؛ شماره نسخه: ۸۱۴۰</w:t>
      </w:r>
    </w:p>
    <w:p>
      <w:pPr>
        <w:pStyle w:val="BookText"/>
      </w:pPr>
      <w:r>
        <w:rPr>
          <w:rFonts w:ascii="IRNazanin" w:hAnsi="IRNazanin" w:eastAsia="IRNazanin" w:cs="IRNazanin"/>
          <w:lang w:bidi="fa-IR"/>
          <w:color w:val="111111"/>
          <w:sz w:val="28"/>
          <w:szCs w:val="28"/>
          <w:rtl/>
        </w:rPr>
        <w:t xml:space="preserve">آغاز: برابر؛ انجام: و جميع فراسخی که در کنار دریا از سامان بندر محمره تا هنگامی که به بندر مشعور می رسد که اول بنادریست که در کنار دریا واقعست بیست و دو فرسنگ راه است و از بندر مشعور تا مینا و مضافات آن، آنچه بحساب آمده صد و چهل و هشت فرسنگ که تمامی آنها چهارصد و هفتاد فرسنگ با مضافات مینا تحریر یافت.</w:t>
      </w:r>
    </w:p>
    <w:p>
      <w:pPr>
        <w:pStyle w:val="BookText"/>
      </w:pPr>
      <w:r>
        <w:rPr>
          <w:rFonts w:ascii="IRNazanin" w:hAnsi="IRNazanin" w:eastAsia="IRNazanin" w:cs="IRNazanin"/>
          <w:lang w:bidi="fa-IR"/>
          <w:color w:val="111111"/>
          <w:sz w:val="28"/>
          <w:szCs w:val="28"/>
          <w:rtl/>
        </w:rPr>
        <w:t xml:space="preserve">خط: شکسته نستعلیق، بی کا، تا: قرن ۱۳؛ رکابه دار، مصحح، جلد: مقوایی با روکش تیماج مشکی با ترنج و سرترنج، ۹۲، ۱۳ سطر، اندازه: ۲۰/۸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۱۴/۸ سم [ف: ۲۷/۱ -۲۶۳]</w:t>
      </w:r>
    </w:p>
    <w:p>
      <w:pPr>
        <w:pStyle w:val="BookText"/>
      </w:pPr>
      <w:r>
        <w:rPr>
          <w:rFonts w:ascii="IRNazanin" w:hAnsi="IRNazanin" w:eastAsia="IRNazanin" w:cs="IRNazanin"/>
          <w:lang w:bidi="fa-IR"/>
          <w:color w:val="111111"/>
          <w:sz w:val="28"/>
          <w:szCs w:val="28"/>
          <w:rtl/>
        </w:rPr>
        <w:t xml:space="preserve">۲. تهران؛ مجلس؛ شماره نسخه: ۹۱۵۲</w:t>
      </w:r>
    </w:p>
    <w:p>
      <w:pPr>
        <w:pStyle w:val="BookText"/>
      </w:pPr>
      <w:r>
        <w:rPr>
          <w:rFonts w:ascii="IRNazanin" w:hAnsi="IRNazanin" w:eastAsia="IRNazanin" w:cs="IRNazanin"/>
          <w:lang w:bidi="fa-IR"/>
          <w:color w:val="111111"/>
          <w:sz w:val="28"/>
          <w:szCs w:val="28"/>
          <w:rtl/>
        </w:rPr>
        <w:t xml:space="preserve">آغاز: برابر انجام و از بندر معشور تا مینا و مضافات آن آن چه به حساب آمده چهار صد و چهل و هشت فرسنگ که تمامی آنها چهارصد و هفتاد فرسنگ با مضافات مینا و تحریر یافت که بر خواننده مجهول نماند. خط: نستعلیق، کا: محمد علی حسینی، تا: ربيع الثانی ۱۲۵۵ق؛ با سرلوح مذهب و مرصع با کتیبه قلمدانی زرپوش، مجدول، مذهب، کمند کشی شده، رکابه دار؛ مهر: کتابخانه جعفر سلطان القرایی؛ خریداری از جعفر سلطان القرایی؛ کاغذ: فرنگی نخودی آهار مهره، جلد: روغنی نفیس عطف تیماج قهوه ای، اگ، ۱۵ سطر (۶/۳</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۱۲/۵ )، اندازه: ۱۶/۹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۹/۳ سم [ف: ۲۹/۲ -۸۱۱]</w:t>
      </w:r>
    </w:p>
    <w:p>
      <w:pPr>
        <w:pStyle w:val="BookText"/>
      </w:pPr>
      <w:r>
        <w:rPr>
          <w:rFonts w:ascii="IRNazanin" w:hAnsi="IRNazanin" w:eastAsia="IRNazanin" w:cs="IRNazanin"/>
          <w:lang w:bidi="fa-IR"/>
          <w:color w:val="111111"/>
          <w:sz w:val="28"/>
          <w:szCs w:val="28"/>
          <w:rtl/>
        </w:rPr>
        <w:t xml:space="preserve">تهران؛ دانشگاه؛ شماره نسخه:۴۲۷۳-ف و ۴۷۲۵-ع</w:t>
      </w:r>
    </w:p>
    <w:p>
      <w:pPr>
        <w:pStyle w:val="BookText"/>
      </w:pPr>
      <w:r>
        <w:rPr>
          <w:rFonts w:ascii="IRNazanin" w:hAnsi="IRNazanin" w:eastAsia="IRNazanin" w:cs="IRNazanin"/>
          <w:lang w:bidi="fa-IR"/>
          <w:color w:val="111111"/>
          <w:sz w:val="28"/>
          <w:szCs w:val="28"/>
          <w:rtl/>
        </w:rPr>
        <w:t xml:space="preserve">نسخه اصل: همان نسخه بالا [فیلمها ف: ۳-۴۰ و ف: ۱-۳۱]</w:t>
      </w:r>
    </w:p>
    <w:p>
      <w:pPr>
        <w:pStyle w:val="BookText"/>
      </w:pPr>
      <w:r>
        <w:rPr>
          <w:rFonts w:ascii="IRNazanin" w:hAnsi="IRNazanin" w:eastAsia="IRNazanin" w:cs="IRNazanin"/>
          <w:lang w:bidi="fa-IR"/>
          <w:color w:val="111111"/>
          <w:sz w:val="28"/>
          <w:szCs w:val="28"/>
          <w:rtl/>
        </w:rPr>
        <w:t xml:space="preserve">←تاریخ بناکتی ←روضة أولي الألباب في معرفة التواريخ و الانساب</w:t>
      </w:r>
    </w:p>
    <w:p>
      <w:pPr>
        <w:pStyle w:val="Heading3"/>
      </w:pPr>
      <w:bookmarkStart w:id="2110" w:name="_Toc1370"/>
      <w:r>
        <w:t>• تاریخ بناکتی و تاریخ گزیده مستوفی / تاریخ / فارسی</w:t>
      </w:r>
      <w:bookmarkEnd w:id="2110"/>
    </w:p>
    <w:p>
      <w:pPr>
        <w:pStyle w:val="BookText"/>
      </w:pPr>
      <w:r>
        <w:rPr>
          <w:rFonts w:ascii="Times New Roman" w:hAnsi="Times New Roman" w:eastAsia="Times New Roman" w:cs="Times New Roman"/>
          <w:lang w:val="en-US" w:bidi="en-US"/>
          <w:color w:val="111111"/>
          <w:sz w:val="28"/>
          <w:szCs w:val="28"/>
          <w:rtl/>
        </w:rPr>
        <w:t xml:space="preserve">tārīx-e banāketī va tārīx-e gz.-ye mostawfi</w:t>
      </w:r>
    </w:p>
    <w:p>
      <w:pPr>
        <w:pStyle w:val="BookText"/>
      </w:pPr>
      <w:r>
        <w:rPr>
          <w:rFonts w:ascii="IRNazanin" w:hAnsi="IRNazanin" w:eastAsia="IRNazanin" w:cs="IRNazanin"/>
          <w:lang w:bidi="fa-IR"/>
          <w:color w:val="111111"/>
          <w:sz w:val="28"/>
          <w:szCs w:val="28"/>
          <w:rtl/>
        </w:rPr>
        <w:t xml:space="preserve">تاریخ بلغراد - تاریخ بنای ۵۷۹ وابسته به: تاریخ گزیده = شرفنامه؛ حمدالله مستوفی، حمدالله بن ابی بکر (-۷۵۰) روضة اولي الألباب في معرفة التواريخ و الأنساب = تاریخ بناکتی؛ بناکتی، داود بن محمد (-۷۳۰)</w:t>
      </w:r>
    </w:p>
    <w:p>
      <w:pPr>
        <w:pStyle w:val="BookText"/>
      </w:pPr>
      <w:r>
        <w:rPr>
          <w:rFonts w:ascii="IRNazanin" w:hAnsi="IRNazanin" w:eastAsia="IRNazanin" w:cs="IRNazanin"/>
          <w:lang w:bidi="fa-IR"/>
          <w:color w:val="111111"/>
          <w:sz w:val="28"/>
          <w:szCs w:val="28"/>
          <w:rtl/>
        </w:rPr>
        <w:t xml:space="preserve">تهران؛ صنعتی زاده، همایون شماره نسخه:بدون شماره</w:t>
      </w:r>
    </w:p>
    <w:p>
      <w:pPr>
        <w:pStyle w:val="BookText"/>
      </w:pPr>
      <w:r>
        <w:rPr>
          <w:rFonts w:ascii="IRNazanin" w:hAnsi="IRNazanin" w:eastAsia="IRNazanin" w:cs="IRNazanin"/>
          <w:lang w:bidi="fa-IR"/>
          <w:color w:val="111111"/>
          <w:sz w:val="28"/>
          <w:szCs w:val="28"/>
          <w:rtl/>
        </w:rPr>
        <w:t xml:space="preserve">منتخب؛ خط: نستعلیق، بی کا، تا: قرن ۱۱ [نشریه: ۷-۷۹۹]</w:t>
      </w:r>
    </w:p>
    <w:p>
      <w:pPr>
        <w:pStyle w:val="Heading3"/>
      </w:pPr>
      <w:bookmarkStart w:id="2111" w:name="_Toc1371"/>
      <w:r>
        <w:t>• تاریخ بنای آتشگاه و رهرام / شعر، تاریخ / فارسی</w:t>
      </w:r>
      <w:bookmarkEnd w:id="2111"/>
    </w:p>
    <w:p>
      <w:pPr>
        <w:pStyle w:val="BookText"/>
      </w:pPr>
      <w:r>
        <w:rPr>
          <w:rFonts w:ascii="Times New Roman" w:hAnsi="Times New Roman" w:eastAsia="Times New Roman" w:cs="Times New Roman"/>
          <w:lang w:val="en-US" w:bidi="en-US"/>
          <w:color w:val="111111"/>
          <w:sz w:val="28"/>
          <w:szCs w:val="28"/>
          <w:rtl/>
        </w:rPr>
        <w:t xml:space="preserve">tārīx-e banā-ye ātašgāh va rahrām</w:t>
      </w:r>
    </w:p>
    <w:p>
      <w:pPr>
        <w:pStyle w:val="BookText"/>
      </w:pPr>
      <w:r>
        <w:rPr>
          <w:rFonts w:ascii="Amiri" w:hAnsi="Amiri" w:eastAsia="Amiri" w:cs="Amiri"/>
          <w:lang w:bidi="ar-SA"/>
          <w:color w:val="111111"/>
          <w:sz w:val="28"/>
          <w:szCs w:val="28"/>
          <w:rtl/>
        </w:rPr>
        <w:t xml:space="preserve">تاريخ تأليف: ۱۲۰۰ق</w:t>
      </w:r>
    </w:p>
    <w:p>
      <w:pPr>
        <w:pStyle w:val="BookText"/>
      </w:pPr>
      <w:r>
        <w:rPr>
          <w:rFonts w:ascii="IRNazanin" w:hAnsi="IRNazanin" w:eastAsia="IRNazanin" w:cs="IRNazanin"/>
          <w:lang w:bidi="fa-IR"/>
          <w:color w:val="111111"/>
          <w:sz w:val="28"/>
          <w:szCs w:val="28"/>
          <w:rtl/>
        </w:rPr>
        <w:t xml:space="preserve">تهران؛ دانشگاه؛ شماره نسخه:۲۵۷۷/۶</w:t>
      </w:r>
    </w:p>
    <w:p>
      <w:pPr>
        <w:pStyle w:val="BookText"/>
      </w:pPr>
      <w:r>
        <w:rPr>
          <w:rFonts w:ascii="IRNazanin" w:hAnsi="IRNazanin" w:eastAsia="IRNazanin" w:cs="IRNazanin"/>
          <w:lang w:bidi="fa-IR"/>
          <w:color w:val="111111"/>
          <w:sz w:val="28"/>
          <w:szCs w:val="28"/>
          <w:rtl/>
        </w:rPr>
        <w:t xml:space="preserve">سروده سال ۱۲۰۰ در ۱۰۵ بیت؛ خط: نستعلیق، بی کا، تا: قرن ۱۳؛ کاغذ: فرنگی، جلد: تیماج تریاکی، ۸ص (۴۴۱-۴۴۸)، ۱۵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سم [ف: ۹-۱۳۷۹]</w:t>
      </w:r>
    </w:p>
    <w:p>
      <w:pPr>
        <w:pStyle w:val="Heading3"/>
      </w:pPr>
      <w:bookmarkStart w:id="2112" w:name="_Toc1372"/>
      <w:r>
        <w:t>•تاریخ بنای خانقاه سلطان الب / شعر / فارسی و ترکی</w:t>
      </w:r>
      <w:bookmarkEnd w:id="2112"/>
    </w:p>
    <w:p>
      <w:pPr>
        <w:pStyle w:val="BookText"/>
      </w:pPr>
      <w:r>
        <w:rPr>
          <w:rFonts w:ascii="Times New Roman" w:hAnsi="Times New Roman" w:eastAsia="Times New Roman" w:cs="Times New Roman"/>
          <w:lang w:val="en-US" w:bidi="en-US"/>
          <w:color w:val="111111"/>
          <w:sz w:val="28"/>
          <w:szCs w:val="28"/>
          <w:rtl/>
        </w:rPr>
        <w:t xml:space="preserve">tārīx-e banā-ye xāneqāh-e soltān alb</w:t>
      </w:r>
    </w:p>
    <w:p>
      <w:pPr>
        <w:pStyle w:val="BookText"/>
      </w:pPr>
      <w:r>
        <w:rPr>
          <w:rFonts w:ascii="IRNazanin" w:hAnsi="IRNazanin" w:eastAsia="IRNazanin" w:cs="IRNazanin"/>
          <w:lang w:bidi="fa-IR"/>
          <w:color w:val="111111"/>
          <w:sz w:val="28"/>
          <w:szCs w:val="28"/>
          <w:rtl/>
        </w:rPr>
        <w:t xml:space="preserve">منظومه ای است فارسی و ترکی در تاریخ بنای خانقاه سلطان الب که مطابق شعر «مثال باغ جنان» سال تاریخ آن می شود. در این نسخه ۲۰ بیت از اشعار موجود است.</w:t>
      </w:r>
    </w:p>
    <w:p>
      <w:pPr>
        <w:pStyle w:val="BookText"/>
      </w:pPr>
      <w:r>
        <w:rPr>
          <w:rFonts w:ascii="IRNazanin" w:hAnsi="IRNazanin" w:eastAsia="IRNazanin" w:cs="IRNazanin"/>
          <w:lang w:bidi="fa-IR"/>
          <w:color w:val="111111"/>
          <w:sz w:val="28"/>
          <w:szCs w:val="28"/>
          <w:rtl/>
        </w:rPr>
        <w:t xml:space="preserve">قم؛ طبسی، شماره نسخه: ۵۳۵/۲</w:t>
      </w:r>
    </w:p>
    <w:p>
      <w:pPr>
        <w:pStyle w:val="BookText"/>
      </w:pPr>
      <w:r>
        <w:rPr>
          <w:rFonts w:ascii="IRNazanin" w:hAnsi="IRNazanin" w:eastAsia="IRNazanin" w:cs="IRNazanin"/>
          <w:lang w:bidi="fa-IR"/>
          <w:color w:val="111111"/>
          <w:sz w:val="28"/>
          <w:szCs w:val="28"/>
          <w:rtl/>
        </w:rPr>
        <w:t xml:space="preserve">آغاز: زهی خجسته مکانی منزل پاكان *** مطاف اهل جهان جای مرشد کامل / ایماس عجیب دیسام قبله بنی آدم *** مزار عارف کامل طواف کعبه دل؛ انجام: دلی بگفت حزد وف ثانهان اینجا *** کدام دیده بدیده چنین مکان شریف زهی بنای امین بیک عالیشان اینجا. خط: نستعلیق، بی کا، بی تا؛ جلد: تیماج قهوه ای، اگ، ۱۹ 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مخ: ۱-۹۰]</w:t>
      </w:r>
    </w:p>
    <w:p>
      <w:pPr>
        <w:pStyle w:val="Heading3"/>
      </w:pPr>
      <w:bookmarkStart w:id="2113" w:name="_Toc1373"/>
      <w:r>
        <w:t>•تاریخ بنای قلعه صالح آباد / شعر / فارسی</w:t>
      </w:r>
      <w:bookmarkEnd w:id="2113"/>
    </w:p>
    <w:p>
      <w:pPr>
        <w:pStyle w:val="BookText"/>
      </w:pPr>
      <w:r>
        <w:rPr>
          <w:rFonts w:ascii="Times New Roman" w:hAnsi="Times New Roman" w:eastAsia="Times New Roman" w:cs="Times New Roman"/>
          <w:lang w:val="en-US" w:bidi="en-US"/>
          <w:color w:val="111111"/>
          <w:sz w:val="28"/>
          <w:szCs w:val="28"/>
          <w:rtl/>
        </w:rPr>
        <w:t xml:space="preserve">tārīx-e banā-ye qal'e-ye sāleh-ābād</w:t>
      </w:r>
    </w:p>
    <w:p>
      <w:pPr>
        <w:pStyle w:val="BookText"/>
      </w:pPr>
      <w:r>
        <w:rPr>
          <w:rFonts w:ascii="IRNazanin" w:hAnsi="IRNazanin" w:eastAsia="IRNazanin" w:cs="IRNazanin"/>
          <w:lang w:bidi="fa-IR"/>
          <w:color w:val="111111"/>
          <w:sz w:val="28"/>
          <w:szCs w:val="28"/>
          <w:rtl/>
        </w:rPr>
        <w:t xml:space="preserve">داعی دزفولی، عبدالله بن محمد باقر، ۱۱۵۸-۱۲۵۶ ؟ قمری</w:t>
      </w:r>
    </w:p>
    <w:p>
      <w:pPr>
        <w:pStyle w:val="BookText"/>
      </w:pPr>
      <w:r>
        <w:rPr>
          <w:rFonts w:ascii="Times New Roman" w:hAnsi="Times New Roman" w:eastAsia="Times New Roman" w:cs="Times New Roman"/>
          <w:lang w:val="en-US" w:bidi="en-US"/>
          <w:color w:val="111111"/>
          <w:sz w:val="28"/>
          <w:szCs w:val="28"/>
          <w:rtl/>
        </w:rPr>
        <w:t xml:space="preserve">dāʻī dezfūlī, “abd-ol-lāh ebn-e mohammad bāger (1745-1840)</w:t>
      </w:r>
    </w:p>
    <w:p>
      <w:pPr>
        <w:pStyle w:val="BookText"/>
      </w:pPr>
      <w:r>
        <w:rPr>
          <w:rFonts w:ascii="IRNazanin" w:hAnsi="IRNazanin" w:eastAsia="IRNazanin" w:cs="IRNazanin"/>
          <w:lang w:bidi="fa-IR"/>
          <w:color w:val="111111"/>
          <w:sz w:val="28"/>
          <w:szCs w:val="28"/>
          <w:rtl/>
        </w:rPr>
        <w:t xml:space="preserve">پنجاه و پنج بيت شعر فارسی است درباره تاریخ قريه صالح آباد دزفول که صالح خان در سال ۱۲۳۶ ق بنا نموده است.</w:t>
      </w:r>
    </w:p>
    <w:p>
      <w:pPr>
        <w:pStyle w:val="BookText"/>
      </w:pPr>
      <w:r>
        <w:rPr>
          <w:rFonts w:ascii="IRNazanin" w:hAnsi="IRNazanin" w:eastAsia="IRNazanin" w:cs="IRNazanin"/>
          <w:lang w:bidi="fa-IR"/>
          <w:color w:val="111111"/>
          <w:sz w:val="28"/>
          <w:szCs w:val="28"/>
          <w:rtl/>
        </w:rPr>
        <w:t xml:space="preserve">تهران؛ مجلس؛ شماره نسخه: ۱۲۱۱۷/۲</w:t>
      </w:r>
    </w:p>
    <w:p>
      <w:pPr>
        <w:pStyle w:val="BookText"/>
      </w:pPr>
      <w:r>
        <w:rPr>
          <w:rFonts w:ascii="IRNazanin" w:hAnsi="IRNazanin" w:eastAsia="IRNazanin" w:cs="IRNazanin"/>
          <w:lang w:bidi="fa-IR"/>
          <w:color w:val="111111"/>
          <w:sz w:val="28"/>
          <w:szCs w:val="28"/>
          <w:rtl/>
        </w:rPr>
        <w:t xml:space="preserve">آغاز: باز از مکرمت خسرو خورشید نگین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صاحب افسر و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407" w:name="pg20363_209707"/>
    <w:bookmarkEnd w:id="407"/>
    <w:p>
      <w:pPr>
        <w:pStyle w:val="BookText"/>
      </w:pPr>
      <w:r>
        <w:rPr>
          <w:rFonts w:ascii="IRNazanin" w:hAnsi="IRNazanin" w:eastAsia="IRNazanin" w:cs="IRNazanin"/>
          <w:lang w:bidi="fa-IR"/>
          <w:color w:val="111111"/>
          <w:sz w:val="28"/>
          <w:szCs w:val="28"/>
          <w:rtl/>
        </w:rPr>
        <w:t xml:space="preserve">اورنگی و سلیمان امین / شاه بن شاه شهنشاه نشان *** حامی بیضه اسلام و همه کشور دین؛ انجام: خواستم ماده تاريخ من از پیر خرد*** تا دهم دفتر ایام بذکرش تزیین / زد رقم خامه داعی ز پی تاریخش***صالح آباد بود طعنه زن خلد برین»</w:t>
      </w:r>
    </w:p>
    <w:p>
      <w:pPr>
        <w:pStyle w:val="BookText"/>
      </w:pPr>
      <w:r>
        <w:rPr>
          <w:rFonts w:ascii="IRNazanin" w:hAnsi="IRNazanin" w:eastAsia="IRNazanin" w:cs="IRNazanin"/>
          <w:lang w:bidi="fa-IR"/>
          <w:color w:val="111111"/>
          <w:sz w:val="28"/>
          <w:szCs w:val="28"/>
          <w:rtl/>
        </w:rPr>
        <w:t xml:space="preserve">خط: نسخ، بی کا، تا: ۱۲۳۶ق؛ جلد: تیماج، قهوه ای ترنج با سر، کص (۲۶۷-۲۶۸)، ۲۲ سطر، اندازه: ۱۸/۵</w:t>
      </w:r>
    </w:p>
    <w:p>
      <w:pPr>
        <w:pStyle w:val="BookText"/>
      </w:pP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۲۹/۵سم [ف: ۳۵-۱۲۲]</w:t>
      </w:r>
    </w:p>
    <w:p>
      <w:pPr>
        <w:pStyle w:val="Heading3"/>
      </w:pPr>
      <w:bookmarkStart w:id="2114" w:name="_Toc1374"/>
      <w:r>
        <w:t>•تاریخ بنگاله / تاریخ / فارسی</w:t>
      </w:r>
      <w:bookmarkEnd w:id="2114"/>
    </w:p>
    <w:p>
      <w:pPr>
        <w:pStyle w:val="BookText"/>
      </w:pPr>
      <w:r>
        <w:rPr>
          <w:rFonts w:ascii="Times New Roman" w:hAnsi="Times New Roman" w:eastAsia="Times New Roman" w:cs="Times New Roman"/>
          <w:lang w:val="en-US" w:bidi="en-US"/>
          <w:color w:val="111111"/>
          <w:sz w:val="28"/>
          <w:szCs w:val="28"/>
          <w:rtl/>
        </w:rPr>
        <w:t xml:space="preserve">tārīx-e bangāle</w:t>
      </w:r>
    </w:p>
    <w:p>
      <w:pPr>
        <w:pStyle w:val="BookText"/>
      </w:pPr>
      <w:r>
        <w:rPr>
          <w:rFonts w:ascii="IRNazanin" w:hAnsi="IRNazanin" w:eastAsia="IRNazanin" w:cs="IRNazanin"/>
          <w:lang w:bidi="fa-IR"/>
          <w:color w:val="111111"/>
          <w:sz w:val="28"/>
          <w:szCs w:val="28"/>
          <w:rtl/>
        </w:rPr>
        <w:t xml:space="preserve">تهران؛ دانشگاه؛ شماره نسخه: ۱۲۲۸/۵</w:t>
      </w:r>
    </w:p>
    <w:p>
      <w:pPr>
        <w:pStyle w:val="BookText"/>
      </w:pPr>
      <w:r>
        <w:rPr>
          <w:rFonts w:ascii="IRNazanin" w:hAnsi="IRNazanin" w:eastAsia="IRNazanin" w:cs="IRNazanin"/>
          <w:lang w:bidi="fa-IR"/>
          <w:color w:val="111111"/>
          <w:sz w:val="28"/>
          <w:szCs w:val="28"/>
          <w:rtl/>
        </w:rPr>
        <w:t xml:space="preserve">ف نسخه اصل: بادلیان ۳۷۸ اوزلی (ش تا: ۱۰۶۷ق [فيلمها ف: ۱-۵۸۱]</w:t>
      </w:r>
    </w:p>
    <w:p>
      <w:pPr>
        <w:pStyle w:val="BookText"/>
      </w:pPr>
      <w:r>
        <w:rPr>
          <w:rFonts w:ascii="IRNazanin" w:hAnsi="IRNazanin" w:eastAsia="IRNazanin" w:cs="IRNazanin"/>
          <w:lang w:bidi="fa-IR"/>
          <w:color w:val="111111"/>
          <w:sz w:val="28"/>
          <w:szCs w:val="28"/>
          <w:rtl/>
        </w:rPr>
        <w:t xml:space="preserve">۲۸۰)؛ خط: نستعلیق، بی کا،</w:t>
      </w:r>
    </w:p>
    <w:p>
      <w:pPr>
        <w:pStyle w:val="Heading3"/>
      </w:pPr>
      <w:bookmarkStart w:id="2115" w:name="_Toc1375"/>
      <w:r>
        <w:t>•تاریخ بوشهر / تاریخ ایران / فارسی</w:t>
      </w:r>
      <w:bookmarkEnd w:id="2115"/>
    </w:p>
    <w:p>
      <w:pPr>
        <w:pStyle w:val="BookText"/>
      </w:pPr>
      <w:r>
        <w:rPr>
          <w:rFonts w:ascii="Times New Roman" w:hAnsi="Times New Roman" w:eastAsia="Times New Roman" w:cs="Times New Roman"/>
          <w:lang w:val="en-US" w:bidi="en-US"/>
          <w:color w:val="111111"/>
          <w:sz w:val="28"/>
          <w:szCs w:val="28"/>
          <w:rtl/>
        </w:rPr>
        <w:t xml:space="preserve">tārīx-e būšehr</w:t>
      </w:r>
    </w:p>
    <w:p>
      <w:pPr>
        <w:pStyle w:val="BookText"/>
      </w:pPr>
      <w:r>
        <w:rPr>
          <w:rFonts w:ascii="IRNazanin" w:hAnsi="IRNazanin" w:eastAsia="IRNazanin" w:cs="IRNazanin"/>
          <w:lang w:bidi="fa-IR"/>
          <w:color w:val="111111"/>
          <w:sz w:val="28"/>
          <w:szCs w:val="28"/>
          <w:rtl/>
        </w:rPr>
        <w:t xml:space="preserve">سعادت، محمد حسین بن محمد علی، ق۱۴ قمری</w:t>
      </w:r>
    </w:p>
    <w:p>
      <w:pPr>
        <w:pStyle w:val="BookText"/>
      </w:pPr>
      <w:r>
        <w:rPr>
          <w:rFonts w:ascii="Times New Roman" w:hAnsi="Times New Roman" w:eastAsia="Times New Roman" w:cs="Times New Roman"/>
          <w:lang w:val="en-US" w:bidi="en-US"/>
          <w:color w:val="111111"/>
          <w:sz w:val="28"/>
          <w:szCs w:val="28"/>
          <w:rtl/>
        </w:rPr>
        <w:t xml:space="preserve">saʻādat, mohammad hoseyn ebn-e mohammad ‘alī ( 20c)</w:t>
      </w:r>
    </w:p>
    <w:p>
      <w:pPr>
        <w:pStyle w:val="BookText"/>
      </w:pPr>
      <w:r>
        <w:rPr>
          <w:rFonts w:ascii="IRNazanin" w:hAnsi="IRNazanin" w:eastAsia="IRNazanin" w:cs="IRNazanin"/>
          <w:lang w:bidi="fa-IR"/>
          <w:color w:val="111111"/>
          <w:sz w:val="28"/>
          <w:szCs w:val="28"/>
          <w:rtl/>
        </w:rPr>
        <w:t xml:space="preserve">تاریخ تأليف: ۱۳۴۰ق تاریخ بوشهر و بندرهای جنوبی ایران است.</w:t>
      </w:r>
    </w:p>
    <w:p>
      <w:pPr>
        <w:pStyle w:val="BookText"/>
      </w:pPr>
      <w:r>
        <w:rPr>
          <w:rFonts w:ascii="IRNazanin" w:hAnsi="IRNazanin" w:eastAsia="IRNazanin" w:cs="IRNazanin"/>
          <w:lang w:bidi="fa-IR"/>
          <w:color w:val="111111"/>
          <w:sz w:val="28"/>
          <w:szCs w:val="28"/>
          <w:rtl/>
        </w:rPr>
        <w:t xml:space="preserve">آغاز: حمد له. بر ارباب بصیرت و دانش مستور و پوشیده نیست که امروزه شناختن علم تاریخ و دانستن فن جغرافيا</w:t>
      </w:r>
    </w:p>
    <w:p>
      <w:pPr>
        <w:pStyle w:val="BookText"/>
      </w:pPr>
      <w:r>
        <w:rPr>
          <w:rFonts w:ascii="IRNazanin" w:hAnsi="IRNazanin" w:eastAsia="IRNazanin" w:cs="IRNazanin"/>
          <w:lang w:bidi="fa-IR"/>
          <w:color w:val="111111"/>
          <w:sz w:val="28"/>
          <w:szCs w:val="28"/>
          <w:rtl/>
        </w:rPr>
        <w:t xml:space="preserve">[دنا ۶۸۶/۲ ؛ فهرستواره منزوی ۸۵۱/۲ ]</w:t>
      </w:r>
    </w:p>
    <w:p>
      <w:pPr>
        <w:pStyle w:val="BookText"/>
      </w:pPr>
      <w:r>
        <w:rPr>
          <w:rFonts w:ascii="IRNazanin" w:hAnsi="IRNazanin" w:eastAsia="IRNazanin" w:cs="IRNazanin"/>
          <w:lang w:bidi="fa-IR"/>
          <w:color w:val="111111"/>
          <w:sz w:val="28"/>
          <w:szCs w:val="28"/>
          <w:rtl/>
        </w:rPr>
        <w:t xml:space="preserve">۱. تهران؛ ادبیات، شماره نسخه:۹۵ حکمت</w:t>
      </w:r>
    </w:p>
    <w:p>
      <w:pPr>
        <w:pStyle w:val="BookText"/>
      </w:pPr>
      <w:r>
        <w:rPr>
          <w:rFonts w:ascii="IRNazanin" w:hAnsi="IRNazanin" w:eastAsia="IRNazanin" w:cs="IRNazanin"/>
          <w:lang w:bidi="fa-IR"/>
          <w:color w:val="111111"/>
          <w:sz w:val="28"/>
          <w:szCs w:val="28"/>
          <w:rtl/>
        </w:rPr>
        <w:t xml:space="preserve">خط: نسخ، بی کا، تا: قرن ۱۴؛ جلد: تیماج تریاکی، قطع: خشتی [ف: ۲-۵]</w:t>
      </w:r>
    </w:p>
    <w:p>
      <w:pPr>
        <w:pStyle w:val="BookText"/>
      </w:pPr>
      <w:r>
        <w:rPr>
          <w:rFonts w:ascii="IRNazanin" w:hAnsi="IRNazanin" w:eastAsia="IRNazanin" w:cs="IRNazanin"/>
          <w:lang w:bidi="fa-IR"/>
          <w:color w:val="111111"/>
          <w:sz w:val="28"/>
          <w:szCs w:val="28"/>
          <w:rtl/>
        </w:rPr>
        <w:t xml:space="preserve">۲. تهران؛ ادبیات؛ شماره نسخه:۹۵ حکمت</w:t>
      </w:r>
    </w:p>
    <w:p>
      <w:pPr>
        <w:pStyle w:val="BookText"/>
      </w:pPr>
      <w:r>
        <w:rPr>
          <w:rFonts w:ascii="IRNazanin" w:hAnsi="IRNazanin" w:eastAsia="IRNazanin" w:cs="IRNazanin"/>
          <w:lang w:bidi="fa-IR"/>
          <w:color w:val="111111"/>
          <w:sz w:val="28"/>
          <w:szCs w:val="28"/>
          <w:rtl/>
        </w:rPr>
        <w:t xml:space="preserve">بی کا، بی تا؛ جلد: مقوایی، قطع: رحلي [ف: ۲-۶]</w:t>
      </w:r>
    </w:p>
    <w:p>
      <w:pPr>
        <w:pStyle w:val="Heading3"/>
      </w:pPr>
      <w:bookmarkStart w:id="2116" w:name="_Toc1376"/>
      <w:r>
        <w:t>•تاریخ بهادرشاهی / تاریخ / فارسی</w:t>
      </w:r>
      <w:bookmarkEnd w:id="2116"/>
    </w:p>
    <w:p>
      <w:pPr>
        <w:pStyle w:val="BookText"/>
      </w:pPr>
      <w:r>
        <w:rPr>
          <w:rFonts w:ascii="Times New Roman" w:hAnsi="Times New Roman" w:eastAsia="Times New Roman" w:cs="Times New Roman"/>
          <w:lang w:val="en-US" w:bidi="en-US"/>
          <w:color w:val="111111"/>
          <w:sz w:val="28"/>
          <w:szCs w:val="28"/>
          <w:rtl/>
        </w:rPr>
        <w:t xml:space="preserve">tārīx-e bahādor-šāhī</w:t>
      </w:r>
    </w:p>
    <w:p>
      <w:pPr>
        <w:pStyle w:val="BookText"/>
      </w:pPr>
      <w:r>
        <w:rPr>
          <w:rFonts w:ascii="IRNazanin" w:hAnsi="IRNazanin" w:eastAsia="IRNazanin" w:cs="IRNazanin"/>
          <w:lang w:bidi="fa-IR"/>
          <w:color w:val="111111"/>
          <w:sz w:val="28"/>
          <w:szCs w:val="28"/>
          <w:rtl/>
        </w:rPr>
        <w:t xml:space="preserve">عالی شیرازی، محمد، -۱۱۲۱ قمری</w:t>
      </w:r>
    </w:p>
    <w:p>
      <w:pPr>
        <w:pStyle w:val="BookText"/>
      </w:pPr>
      <w:r>
        <w:rPr>
          <w:rFonts w:ascii="Times New Roman" w:hAnsi="Times New Roman" w:eastAsia="Times New Roman" w:cs="Times New Roman"/>
          <w:lang w:val="en-US" w:bidi="en-US"/>
          <w:color w:val="111111"/>
          <w:sz w:val="28"/>
          <w:szCs w:val="28"/>
          <w:rtl/>
        </w:rPr>
        <w:t xml:space="preserve">‘ālī-ye šīrāzī, mohammad (-1710)</w:t>
      </w:r>
    </w:p>
    <w:p>
      <w:pPr>
        <w:pStyle w:val="BookText"/>
      </w:pPr>
      <w:r>
        <w:rPr>
          <w:rFonts w:ascii="IRNazanin" w:hAnsi="IRNazanin" w:eastAsia="IRNazanin" w:cs="IRNazanin"/>
          <w:lang w:bidi="fa-IR"/>
          <w:color w:val="111111"/>
          <w:sz w:val="28"/>
          <w:szCs w:val="28"/>
          <w:rtl/>
        </w:rPr>
        <w:t xml:space="preserve">واقعات عالم گیری: عالی، در آن آمده است: «بیا ای ساقی میخانه عالی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یکی از درد نوشان زلالی». مربوط به قطب الدین شاه عالم بهادر شاه (۱۱۱۹-۱۱۲۴) که در شب پنج شنبه پایان رجب ۲۱ مهرماه الهی در برهان پور از مادر زاده است و چنانکه در متن آمده است در ۱۱۱۹ با این ماده تاریخ «در عام رحمت عالم آمده» بر تخت شاهی نشسته است. باز در آن آمده: «ازين عهد بهادر شاه غازی*** به فعل آید هوسهای هواخواه». درباره دو سال نخستین پادشاهی بهادرشاه است. (دانش پژوه)</w:t>
      </w:r>
    </w:p>
    <w:p>
      <w:pPr>
        <w:pStyle w:val="BookText"/>
      </w:pPr>
      <w:r>
        <w:rPr>
          <w:rFonts w:ascii="IRNazanin" w:hAnsi="IRNazanin" w:eastAsia="IRNazanin" w:cs="IRNazanin"/>
          <w:lang w:bidi="fa-IR"/>
          <w:color w:val="111111"/>
          <w:sz w:val="28"/>
          <w:szCs w:val="28"/>
          <w:rtl/>
        </w:rPr>
        <w:t xml:space="preserve">آغاز: هو الله الكريم. بسم الله الرحمن الرحیم دست بر آورد به جود کریم. ناز و نعیم دو جهان در کفش *** خلق ازل تا به ابد مصرفش. افسر سلطان سخن حمد مالک الملکی است که سریر شاهنشاهیش به جواهر کلمات معجز آیات فتعالى الله الملک الحق ... الكريم ترصيع پذیرفته انجام: و جمعی کثیر از بندگان عاطفت خلقت و اضافه و خدمت به مراد رسيد الحمدلله رب العالمين و الصلاة على سید المرسلین محمد و آله و سلم.</w:t>
      </w:r>
    </w:p>
    <w:p>
      <w:pPr>
        <w:pStyle w:val="BookText"/>
      </w:pPr>
      <w:r>
        <w:rPr>
          <w:rFonts w:ascii="IRNazanin" w:hAnsi="IRNazanin" w:eastAsia="IRNazanin" w:cs="IRNazanin"/>
          <w:lang w:bidi="fa-IR"/>
          <w:color w:val="111111"/>
          <w:sz w:val="28"/>
          <w:szCs w:val="28"/>
          <w:rtl/>
        </w:rPr>
        <w:t xml:space="preserve">[فهرستواره منزوی ۱۱۶۳/۲ ]</w:t>
      </w:r>
    </w:p>
    <w:p>
      <w:pPr>
        <w:pStyle w:val="BookText"/>
      </w:pPr>
      <w:r>
        <w:rPr>
          <w:rFonts w:ascii="IRNazanin" w:hAnsi="IRNazanin" w:eastAsia="IRNazanin" w:cs="IRNazanin"/>
          <w:lang w:bidi="fa-IR"/>
          <w:color w:val="111111"/>
          <w:sz w:val="28"/>
          <w:szCs w:val="28"/>
          <w:rtl/>
        </w:rPr>
        <w:t xml:space="preserve">تهران؛ دانشگاه، شماره نسخه: ۸۰۰۷/۱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۱۲؛ مجدول؛ کاغذ: هندی، جلد: تیماج سرخ ضربی، ۹۶گی (۳ر-۹۸ر)، ۹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۱۷-۶]</w:t>
      </w:r>
    </w:p>
    <w:p>
      <w:pPr>
        <w:pStyle w:val="Heading3"/>
      </w:pPr>
      <w:bookmarkStart w:id="2117" w:name="_Toc1377"/>
      <w:r>
        <w:t>•تاریخ بهارستان تهماسبی = جهانگشای نادری / تاریخ ایران / فارسی</w:t>
      </w:r>
      <w:bookmarkEnd w:id="2117"/>
    </w:p>
    <w:p>
      <w:pPr>
        <w:pStyle w:val="BookText"/>
      </w:pPr>
      <w:r>
        <w:rPr>
          <w:rFonts w:ascii="Times New Roman" w:hAnsi="Times New Roman" w:eastAsia="Times New Roman" w:cs="Times New Roman"/>
          <w:lang w:val="en-US" w:bidi="en-US"/>
          <w:color w:val="111111"/>
          <w:sz w:val="28"/>
          <w:szCs w:val="28"/>
          <w:rtl/>
        </w:rPr>
        <w:t xml:space="preserve">tārīx-e bahārestān-e tahmāsbī= jahāngošā-ye nāderī</w:t>
      </w:r>
    </w:p>
    <w:p>
      <w:pPr>
        <w:pStyle w:val="BookText"/>
      </w:pPr>
      <w:r>
        <w:rPr>
          <w:rFonts w:ascii="IRNazanin" w:hAnsi="IRNazanin" w:eastAsia="IRNazanin" w:cs="IRNazanin"/>
          <w:lang w:bidi="fa-IR"/>
          <w:color w:val="111111"/>
          <w:sz w:val="28"/>
          <w:szCs w:val="28"/>
          <w:rtl/>
        </w:rPr>
        <w:t xml:space="preserve">وقایع نگار، عبدالعلی، ق۱۳ قمری</w:t>
      </w:r>
    </w:p>
    <w:p>
      <w:pPr>
        <w:pStyle w:val="BookText"/>
      </w:pPr>
      <w:r>
        <w:rPr>
          <w:rFonts w:ascii="Times New Roman" w:hAnsi="Times New Roman" w:eastAsia="Times New Roman" w:cs="Times New Roman"/>
          <w:lang w:val="en-US" w:bidi="en-US"/>
          <w:color w:val="111111"/>
          <w:sz w:val="28"/>
          <w:szCs w:val="28"/>
          <w:rtl/>
        </w:rPr>
        <w:t xml:space="preserve">vaqāye'-negār, ‘abd-ol-'alī (-190)</w:t>
      </w:r>
    </w:p>
    <w:p>
      <w:pPr>
        <w:pStyle w:val="BookText"/>
      </w:pPr>
      <w:r>
        <w:rPr>
          <w:rFonts w:ascii="IRNazanin" w:hAnsi="IRNazanin" w:eastAsia="IRNazanin" w:cs="IRNazanin"/>
          <w:lang w:bidi="fa-IR"/>
          <w:color w:val="111111"/>
          <w:sz w:val="28"/>
          <w:szCs w:val="28"/>
          <w:rtl/>
        </w:rPr>
        <w:t xml:space="preserve">تاریخ سقوط صفویه و استیلای افشاریه از زمان جلوس شاه سلطان حسین صفوی در میانه سال های ۱۱۲۶ و ۱۱۳۵ق و تا سرگذشت فرزندان رضا قلی میرزا و ایلچی گوی می رسد. نسخه از سال ۱۹۶۰ ق به بعد در خاتمه کار خاقان مغفور و کیفیت قتل اولاد و احفاد آورده شده که به نظر می رسد از الحاقات قاجاریه باشد. این کتاب با جهانگشای نادری، تألیف میرزا مهدیخان منشی الممالک، «منشی دربار نادرشاه» مطابقت زیادی دارد که اگر اختلافات اندک در کلمات و عبارات را در نظر نیاوریم، می توانیم بگوییم که این همان کتاب جهانگشای نادری است و غیر از این هم نیست. مؤلف فهرست کتب خطی فارسی مدعی شده است که کتابی به نام تاریخ بهارستان وجود ندارد و کسی که خطبه کتاب جهانگشای نادری را تعویض نموده، خواسته است که تأليف آن را به خود نسبت بدهد .... به نظر ما این احتمال وجود دارد که نام مؤلف اصلی همان عبدالعلی وقایع نگار باشد که زحمت ملازمت پیوسته رجال سیاست و رزم را بر خود هموار نموده و به عنوان کارگزار «میرزا مهدی منشی استر آبادی» کار می کرده و میرزا مهدی به دلیل شهرت منشی گری خود استفاده را می برده است و نظیر این امر بسیار اتفاق افتاده است که عموم از آن بی اطلاع می باشند ولی به عنوان مثال کتاب «الماثر و الاثار» تأليف اعتماد السلطنه که در اصل، تالیف ملا عبدالوهاب قزوینی، پدر شادروان علامه محمد قزوینی است و اعتماد السلطنه خود در منتظم ناصری بدان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408" w:name="pg20363_209708"/>
    <w:bookmarkEnd w:id="408"/>
    <w:p>
      <w:pPr>
        <w:pStyle w:val="BookText"/>
      </w:pPr>
      <w:r>
        <w:rPr>
          <w:rFonts w:ascii="IRNazanin" w:hAnsi="IRNazanin" w:eastAsia="IRNazanin" w:cs="IRNazanin"/>
          <w:lang w:bidi="fa-IR"/>
          <w:color w:val="111111"/>
          <w:sz w:val="28"/>
          <w:szCs w:val="28"/>
          <w:rtl/>
        </w:rPr>
        <w:t xml:space="preserve">اعتراف نموده، و از شیوه نگارش او انتقاد کرده است. (سید محمود مرعشی) آغاز: بسلمه سپاس خداوند برا سزاست که پروردگار جهانست ... .و بعد چنین گوید ... عبدالعلی و قایع نگار در سنه تنگوزئيل یکهزار و صد و بیست و شش پس از رحلت شهنشاه سعید و جلوس ... شاه سلطان حسین بهادرخان</w:t>
      </w:r>
    </w:p>
    <w:p>
      <w:pPr>
        <w:pStyle w:val="BookText"/>
      </w:pPr>
      <w:r>
        <w:rPr>
          <w:rFonts w:ascii="IRNazanin" w:hAnsi="IRNazanin" w:eastAsia="IRNazanin" w:cs="IRNazanin"/>
          <w:lang w:bidi="fa-IR"/>
          <w:color w:val="111111"/>
          <w:sz w:val="28"/>
          <w:szCs w:val="28"/>
          <w:rtl/>
        </w:rPr>
        <w:t xml:space="preserve">[دنا ۶۸۶/۲ ؛ نسخه های منزوی ۴۲۲۴/۶ ؛ فهرستواره منزوی ۸۳۱/۲ ]</w:t>
      </w:r>
    </w:p>
    <w:p>
      <w:pPr>
        <w:pStyle w:val="BookText"/>
      </w:pPr>
      <w:r>
        <w:rPr>
          <w:rFonts w:ascii="IRNazanin" w:hAnsi="IRNazanin" w:eastAsia="IRNazanin" w:cs="IRNazanin"/>
          <w:lang w:bidi="fa-IR"/>
          <w:color w:val="111111"/>
          <w:sz w:val="28"/>
          <w:szCs w:val="28"/>
          <w:rtl/>
        </w:rPr>
        <w:t xml:space="preserve">۱. تهران، دانشگاه؛ شماره نسخه:۲۷۷۳</w:t>
      </w:r>
    </w:p>
    <w:p>
      <w:pPr>
        <w:pStyle w:val="BookText"/>
      </w:pPr>
      <w:r>
        <w:rPr>
          <w:rFonts w:ascii="IRNazanin" w:hAnsi="IRNazanin" w:eastAsia="IRNazanin" w:cs="IRNazanin"/>
          <w:lang w:bidi="fa-IR"/>
          <w:color w:val="111111"/>
          <w:sz w:val="28"/>
          <w:szCs w:val="28"/>
          <w:rtl/>
        </w:rPr>
        <w:t xml:space="preserve">آغاز: برابر؛ انجام: علی شاه میرزا تمامی نقود و اسباب (افتاده در دنبال عنوان:اولاد شاهزاده نصرالله میرزا)</w:t>
      </w:r>
    </w:p>
    <w:p>
      <w:pPr>
        <w:pStyle w:val="BookText"/>
      </w:pPr>
      <w:r>
        <w:rPr>
          <w:rFonts w:ascii="IRNazanin" w:hAnsi="IRNazanin" w:eastAsia="IRNazanin" w:cs="IRNazanin"/>
          <w:lang w:bidi="fa-IR"/>
          <w:color w:val="111111"/>
          <w:sz w:val="28"/>
          <w:szCs w:val="28"/>
          <w:rtl/>
        </w:rPr>
        <w:t xml:space="preserve">خط: نستعلیق، بی کا، تا: قرن ۱۲ و ۱۳؛ کاغذ: فرنگی، جلد:</w:t>
      </w:r>
    </w:p>
    <w:p>
      <w:pPr>
        <w:pStyle w:val="BookText"/>
      </w:pPr>
      <w:r>
        <w:rPr>
          <w:rFonts w:ascii="IRNazanin" w:hAnsi="IRNazanin" w:eastAsia="IRNazanin" w:cs="IRNazanin"/>
          <w:lang w:bidi="fa-IR"/>
          <w:color w:val="111111"/>
          <w:sz w:val="28"/>
          <w:szCs w:val="28"/>
          <w:rtl/>
        </w:rPr>
        <w:t xml:space="preserve">روغنی، ۱۲۸گ، ۲۰سطر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۱۰-۱۶۲۹]</w:t>
      </w:r>
    </w:p>
    <w:p>
      <w:pPr>
        <w:pStyle w:val="BookText"/>
      </w:pPr>
      <w:r>
        <w:rPr>
          <w:rFonts w:ascii="IRNazanin" w:hAnsi="IRNazanin" w:eastAsia="IRNazanin" w:cs="IRNazanin"/>
          <w:lang w:bidi="fa-IR"/>
          <w:color w:val="111111"/>
          <w:sz w:val="28"/>
          <w:szCs w:val="28"/>
          <w:rtl/>
        </w:rPr>
        <w:t xml:space="preserve">۲. قم؛ مرعشی؛ شماره نسخه:۱۱۲۰۵</w:t>
      </w:r>
    </w:p>
    <w:p>
      <w:pPr>
        <w:pStyle w:val="BookText"/>
      </w:pPr>
      <w:r>
        <w:rPr>
          <w:rFonts w:ascii="IRNazanin" w:hAnsi="IRNazanin" w:eastAsia="IRNazanin" w:cs="IRNazanin"/>
          <w:lang w:bidi="fa-IR"/>
          <w:color w:val="111111"/>
          <w:sz w:val="28"/>
          <w:szCs w:val="28"/>
          <w:rtl/>
        </w:rPr>
        <w:t xml:space="preserve">آغاز: هنگام صبح اهل مشهد بر مخالف ملک اتفاق کرده دروازها را گشوده؛ انجام: علی شاه میرزا در روز بقصاص خون شاهزادگان با دیده نابینا سر در زیر با دیده پی روان از عقب برادران دوان شد</w:t>
      </w:r>
    </w:p>
    <w:p>
      <w:pPr>
        <w:pStyle w:val="BookText"/>
      </w:pPr>
      <w:r>
        <w:rPr>
          <w:rFonts w:ascii="IRNazanin" w:hAnsi="IRNazanin" w:eastAsia="IRNazanin" w:cs="IRNazanin"/>
          <w:lang w:bidi="fa-IR"/>
          <w:color w:val="111111"/>
          <w:sz w:val="28"/>
          <w:szCs w:val="28"/>
          <w:rtl/>
        </w:rPr>
        <w:t xml:space="preserve">خط: شکسته، بی کا، تا: قرن ۱۳؛ افتادگی: آغاز؛ مصحح، محشی؛ در آن نام ملا محمد رفیعای گیلانی آمده؛ کاغذ: سمزقندی، جلد: چرم مشکی، عطف: چرم قهوه ای، ۱۲۴گ، ۲۱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۳۲/۵سم [ف: ۲۸-۲۹۳]</w:t>
      </w:r>
    </w:p>
    <w:p>
      <w:pPr>
        <w:pStyle w:val="Heading3"/>
      </w:pPr>
      <w:bookmarkStart w:id="2118" w:name="_Toc1378"/>
      <w:r>
        <w:t>•تاریخ بهرام میرزا صفوی / تاریخ / فارسی</w:t>
      </w:r>
      <w:bookmarkEnd w:id="2118"/>
    </w:p>
    <w:p>
      <w:pPr>
        <w:pStyle w:val="BookText"/>
      </w:pPr>
      <w:r>
        <w:rPr>
          <w:rFonts w:ascii="Times New Roman" w:hAnsi="Times New Roman" w:eastAsia="Times New Roman" w:cs="Times New Roman"/>
          <w:lang w:val="en-US" w:bidi="en-US"/>
          <w:color w:val="111111"/>
          <w:sz w:val="28"/>
          <w:szCs w:val="28"/>
          <w:rtl/>
        </w:rPr>
        <w:t xml:space="preserve">tārīx-e bahrām mīrzā safavī</w:t>
      </w:r>
    </w:p>
    <w:p>
      <w:pPr>
        <w:pStyle w:val="BookText"/>
      </w:pPr>
      <w:r>
        <w:rPr>
          <w:rFonts w:ascii="IRNazanin" w:hAnsi="IRNazanin" w:eastAsia="IRNazanin" w:cs="IRNazanin"/>
          <w:lang w:bidi="fa-IR"/>
          <w:color w:val="111111"/>
          <w:sz w:val="28"/>
          <w:szCs w:val="28"/>
          <w:rtl/>
        </w:rPr>
        <w:t xml:space="preserve">بافقی، محمد مفيد بن محمود، ق ۱۱ قمری</w:t>
      </w:r>
    </w:p>
    <w:p>
      <w:pPr>
        <w:pStyle w:val="BookText"/>
      </w:pPr>
      <w:r>
        <w:rPr>
          <w:rFonts w:ascii="Times New Roman" w:hAnsi="Times New Roman" w:eastAsia="Times New Roman" w:cs="Times New Roman"/>
          <w:lang w:val="en-US" w:bidi="en-US"/>
          <w:color w:val="111111"/>
          <w:sz w:val="28"/>
          <w:szCs w:val="28"/>
          <w:rtl/>
        </w:rPr>
        <w:t xml:space="preserve">bāfqi, mohammad mofīd ebn-e mahmūd (-170)</w:t>
      </w:r>
    </w:p>
    <w:p>
      <w:pPr>
        <w:pStyle w:val="BookText"/>
      </w:pPr>
      <w:r>
        <w:rPr>
          <w:rFonts w:ascii="IRNazanin" w:hAnsi="IRNazanin" w:eastAsia="IRNazanin" w:cs="IRNazanin"/>
          <w:lang w:bidi="fa-IR"/>
          <w:color w:val="111111"/>
          <w:sz w:val="28"/>
          <w:szCs w:val="28"/>
          <w:rtl/>
        </w:rPr>
        <w:t xml:space="preserve">تاريخ تأليف: ۱۰۷۵ق زندگانی و احوال بهرام میرزا پسر شاه اسماعیل صفوی و فرزندان آن شاهزاده است. جد مؤلف همراه بهرام میرزا بوده و بعضی از وقایع و احوالات زندگی او را به رشته تحریر در آورده بود که مؤلف آن نوشته ها را به همراه اطلاعات دیگری در این کتاب تدوین کرده است. تحریر نهایی کتاب هم زمانی که مؤلف عازم هندوستان بود به دستور شاه عباس ثانی در ۱۰۷۵ق به انجام رسید. از کتابی با نام تاریخ بهرام میرزا در زمره تألیفات محمد مفيد مستوفی یاد نشده است. اما از او کتاب دیگری با نام جامع مفیدی در تاریخ یزد در 3 جلد می شناسیم: جلد اول: تاریخ یزد از عهد اسکندر تا امیر تیمور گورکان؛ جلد دوم: تاریخ یزد پس از آن دوران تا شاه سلیمان صفوی که معاصر مؤلف بوده است؛ جلد سوم: شرح احوال رجال و وصف نواحی یزد.</w:t>
      </w:r>
    </w:p>
    <w:p>
      <w:pPr>
        <w:pStyle w:val="BookText"/>
      </w:pPr>
      <w:r>
        <w:rPr>
          <w:rFonts w:ascii="IRNazanin" w:hAnsi="IRNazanin" w:eastAsia="IRNazanin" w:cs="IRNazanin"/>
          <w:lang w:bidi="fa-IR"/>
          <w:color w:val="111111"/>
          <w:sz w:val="28"/>
          <w:szCs w:val="28"/>
          <w:rtl/>
        </w:rPr>
        <w:t xml:space="preserve">با قراینی که در کتاب دیده می شود به احتمال فراوان نسخه ما بخشی از پایان جلد دوم کتاب است. متأسفانه متن کامل این  جلد هنوز به دست نیامده و فقط بخش هایی از آن در دو کتابخانه سالار جنگ هندوستان و موزه بریتانیا موجود است. بنا بر این امکان مقابله برای اطمینان بیشتر فراهم نشد.</w:t>
      </w:r>
    </w:p>
    <w:p>
      <w:pPr>
        <w:pStyle w:val="BookText"/>
      </w:pPr>
      <w:r>
        <w:rPr>
          <w:rFonts w:ascii="IRNazanin" w:hAnsi="IRNazanin" w:eastAsia="IRNazanin" w:cs="IRNazanin"/>
          <w:lang w:bidi="fa-IR"/>
          <w:color w:val="111111"/>
          <w:sz w:val="28"/>
          <w:szCs w:val="28"/>
          <w:rtl/>
        </w:rPr>
        <w:t xml:space="preserve">جلد اول و سوم جامع مفیدی به کوشش ایرج افشار چاپ شده است. (در تهران، کتابفروشی اسدی، ۱۳۴۰-۱۳۴۲ش، و تجدید چاپ آن در تهران، اساطیر، ۱۳۸۵ش) جامع مفیدی بین سال های ۱۰۹۰-۱۰۸۲ ق. در مولتان هند تحریر شده و مؤلف در پایان کتاب شرح حال مفصلی از خود آورده است.</w:t>
      </w:r>
    </w:p>
    <w:p>
      <w:pPr>
        <w:pStyle w:val="BookText"/>
      </w:pPr>
      <w:r>
        <w:rPr>
          <w:rFonts w:ascii="IRNazanin" w:hAnsi="IRNazanin" w:eastAsia="IRNazanin" w:cs="IRNazanin"/>
          <w:lang w:bidi="fa-IR"/>
          <w:color w:val="111111"/>
          <w:sz w:val="28"/>
          <w:szCs w:val="28"/>
          <w:rtl/>
        </w:rPr>
        <w:t xml:space="preserve">[فهرستواره منزوی ۹۳۹۹۳۸/ ]</w:t>
      </w:r>
    </w:p>
    <w:p>
      <w:pPr>
        <w:pStyle w:val="BookText"/>
      </w:pPr>
      <w:r>
        <w:rPr>
          <w:rFonts w:ascii="IRNazanin" w:hAnsi="IRNazanin" w:eastAsia="IRNazanin" w:cs="IRNazanin"/>
          <w:lang w:bidi="fa-IR"/>
          <w:color w:val="111111"/>
          <w:sz w:val="28"/>
          <w:szCs w:val="28"/>
          <w:rtl/>
        </w:rPr>
        <w:t xml:space="preserve">مشهد؛ رضوی؛ شماره نسخه:۲۸۴۰۱</w:t>
      </w:r>
    </w:p>
    <w:p>
      <w:pPr>
        <w:pStyle w:val="BookText"/>
      </w:pPr>
      <w:r>
        <w:rPr>
          <w:rFonts w:ascii="IRNazanin" w:hAnsi="IRNazanin" w:eastAsia="IRNazanin" w:cs="IRNazanin"/>
          <w:lang w:bidi="fa-IR"/>
          <w:color w:val="111111"/>
          <w:sz w:val="28"/>
          <w:szCs w:val="28"/>
          <w:rtl/>
        </w:rPr>
        <w:t xml:space="preserve">آغاز: تزئین این صحفه بلاغت آئین به ذکر بعضی از صادرات افعال و واردات احوال شاهزاده بلند قدر عالی تبار، انجام: شرح حالات و کیفیت فتوحات آن حضرت ولایت مرتبت و شاهزادگان کیوان منزلت بر سبیل تفصيل و تبيين به امداد ... سحاب قلم فیروزی رقم در مجلد دیگر نگارش یابد ان شاء الله تعالى وحده العزيز</w:t>
      </w:r>
    </w:p>
    <w:p>
      <w:pPr>
        <w:pStyle w:val="BookText"/>
      </w:pPr>
      <w:r>
        <w:rPr>
          <w:rFonts w:ascii="IRNazanin" w:hAnsi="IRNazanin" w:eastAsia="IRNazanin" w:cs="IRNazanin"/>
          <w:lang w:bidi="fa-IR"/>
          <w:color w:val="111111"/>
          <w:sz w:val="28"/>
          <w:szCs w:val="28"/>
          <w:rtl/>
        </w:rPr>
        <w:t xml:space="preserve">خط: نستعلیق، بی کا، تا: ۱۱۶۲ق، در برگ اول نوشته شده: «تاریخ بهرام میرزا و سلطنت قندهار، ۸۶ ورق» با فهرست مطالب کتاب در اول نسخه، ابتدای فهرست نوشته شده: «فهرست مطالب تاریخ پادشاهان بهرام میرزا برادر اعیانی پادشاه شاه طهماسب تصنيف محد مفید مستوفی»، در پایان فهرست هم تاریخ کتابت آن ذکر شده است: «اتمام در ۱۲ ربیع الاول روز یک شنبه سنه احمد احمد شاه»؛ اهدایی: رهبری، خرداد ۱۳۸۱؛ کاغذ: نخودی، جلد: مقوا رویه کاغذ ابر و باد، ۸۴گ، ۱۷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سم [هدائی رهبر: ۸-۳۶۷]</w:t>
      </w:r>
    </w:p>
    <w:p>
      <w:pPr>
        <w:pStyle w:val="BookText"/>
      </w:pPr>
      <w:r>
        <w:rPr>
          <w:rFonts w:ascii="IRNazanin" w:hAnsi="IRNazanin" w:eastAsia="IRNazanin" w:cs="IRNazanin"/>
          <w:lang w:bidi="fa-IR"/>
          <w:color w:val="111111"/>
          <w:sz w:val="28"/>
          <w:szCs w:val="28"/>
          <w:rtl/>
        </w:rPr>
        <w:t xml:space="preserve">←تاریخ بیت المقدس و ذکر بناه ← فضائل القدس</w:t>
      </w:r>
    </w:p>
    <w:p>
      <w:pPr>
        <w:pStyle w:val="Heading3"/>
      </w:pPr>
      <w:bookmarkStart w:id="2119" w:name="_Toc1379"/>
      <w:r>
        <w:t>•تاریخ بی دروغ = ماجرای قتل ناصرالدین شاه / تاریخ ایران / فارسی</w:t>
      </w:r>
      <w:bookmarkEnd w:id="2119"/>
    </w:p>
    <w:p>
      <w:pPr>
        <w:pStyle w:val="BookText"/>
      </w:pPr>
      <w:r>
        <w:rPr>
          <w:rFonts w:ascii="Times New Roman" w:hAnsi="Times New Roman" w:eastAsia="Times New Roman" w:cs="Times New Roman"/>
          <w:lang w:val="en-US" w:bidi="en-US"/>
          <w:color w:val="111111"/>
          <w:sz w:val="28"/>
          <w:szCs w:val="28"/>
          <w:rtl/>
        </w:rPr>
        <w:t xml:space="preserve">tārīx-e bī-dorūq = mājarā-ye qatl-e nāser-ed-dīn šāh</w:t>
      </w:r>
    </w:p>
    <w:p>
      <w:pPr>
        <w:pStyle w:val="BookText"/>
      </w:pPr>
      <w:r>
        <w:rPr>
          <w:rFonts w:ascii="IRNazanin" w:hAnsi="IRNazanin" w:eastAsia="IRNazanin" w:cs="IRNazanin"/>
          <w:lang w:bidi="fa-IR"/>
          <w:color w:val="111111"/>
          <w:sz w:val="28"/>
          <w:szCs w:val="28"/>
          <w:rtl/>
        </w:rPr>
        <w:t xml:space="preserve">ظهیرالدوله، علی بن محمد ناصر، ۱۲۸۱-۱۳۴۲ قمری</w:t>
      </w:r>
    </w:p>
    <w:p>
      <w:pPr>
        <w:pStyle w:val="BookText"/>
      </w:pPr>
      <w:r>
        <w:rPr>
          <w:rFonts w:ascii="Times New Roman" w:hAnsi="Times New Roman" w:eastAsia="Times New Roman" w:cs="Times New Roman"/>
          <w:lang w:val="en-US" w:bidi="en-US"/>
          <w:color w:val="111111"/>
          <w:sz w:val="28"/>
          <w:szCs w:val="28"/>
          <w:rtl/>
        </w:rPr>
        <w:t xml:space="preserve">zahīr-od-dowle, “alī ebn-e mohammad nāser (1865 1924)</w:t>
      </w:r>
    </w:p>
    <w:p>
      <w:pPr>
        <w:pStyle w:val="BookText"/>
      </w:pPr>
      <w:r>
        <w:rPr>
          <w:rFonts w:ascii="IRNazanin" w:hAnsi="IRNazanin" w:eastAsia="IRNazanin" w:cs="IRNazanin"/>
          <w:lang w:bidi="fa-IR"/>
          <w:color w:val="111111"/>
          <w:sz w:val="28"/>
          <w:szCs w:val="28"/>
          <w:rtl/>
        </w:rPr>
        <w:t xml:space="preserve">مؤلف که از دراویش و درباریان ناصرالدین شاه قاجار و داماد وی شوهر فروغ الدوله ملکه ایران بوده، در کتاب حاضر کیفیت قتل ناصر الدین شاه را با ذکر جزئیات دقیق حادثه گزارش نموده است. در ۷ «فصل»: ۱. جشن قرن سال پنجاهم، ۲. میرزا رضا کرمانی، ۳. سوء اتفاق، ۴. روز دوم، به خاک سپاری، ۵. تخت نشینی مظفرالدین شاه، ۶. قصاص، ۷. تا چند توان وضع مکرر دیدن عزلی، نصبی، قیامتی، آشوبی آغاز: فصل اول - جشن قرن سال پنجاهم سلطنت ناصرالدین شاه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409" w:name="pg20363_209709"/>
    <w:bookmarkEnd w:id="409"/>
    <w:p>
      <w:pPr>
        <w:pStyle w:val="BookText"/>
      </w:pPr>
      <w:r>
        <w:rPr>
          <w:rFonts w:ascii="IRNazanin" w:hAnsi="IRNazanin" w:eastAsia="IRNazanin" w:cs="IRNazanin"/>
          <w:lang w:bidi="fa-IR"/>
          <w:color w:val="111111"/>
          <w:sz w:val="28"/>
          <w:szCs w:val="28"/>
          <w:rtl/>
        </w:rPr>
        <w:t xml:space="preserve">قاجار دهم ماه ذیقعده ۱۳۱۳ هجری محمدی (صلی الله علیه وآله وسلم) با جمعی از احباب و رفقا به رسم همه سال رفتیم به باغ قصر قاجار.</w:t>
      </w:r>
    </w:p>
    <w:p>
      <w:pPr>
        <w:pStyle w:val="BookText"/>
      </w:pPr>
      <w:r>
        <w:rPr>
          <w:rFonts w:ascii="IRNazanin" w:hAnsi="IRNazanin" w:eastAsia="IRNazanin" w:cs="IRNazanin"/>
          <w:lang w:bidi="fa-IR"/>
          <w:color w:val="111111"/>
          <w:sz w:val="28"/>
          <w:szCs w:val="28"/>
          <w:rtl/>
        </w:rPr>
        <w:t xml:space="preserve">انجام: و تقریبا به نظر غیر ممکن می آید بلاتردید قبول و يقين کردم و در این تاریخ مختصر یادداشت نمودم و عنان قلم را در کشیدم.</w:t>
      </w:r>
    </w:p>
    <w:p>
      <w:pPr>
        <w:pStyle w:val="BookText"/>
      </w:pPr>
      <w:r>
        <w:rPr>
          <w:rFonts w:ascii="IRNazanin" w:hAnsi="IRNazanin" w:eastAsia="IRNazanin" w:cs="IRNazanin"/>
          <w:lang w:bidi="fa-IR"/>
          <w:color w:val="111111"/>
          <w:sz w:val="28"/>
          <w:szCs w:val="28"/>
          <w:rtl/>
        </w:rPr>
        <w:t xml:space="preserve">[رجال بامداد ۳۶۷/۲ -۳۷۰؛ دنا ۶۸۶/۲ ؛ فهرستواره منزوی ۸۵۲/۲ ، الذریعه ۲۲/۲۵ ]</w:t>
      </w:r>
    </w:p>
    <w:p>
      <w:pPr>
        <w:pStyle w:val="BookText"/>
      </w:pPr>
      <w:r>
        <w:rPr>
          <w:rFonts w:ascii="IRNazanin" w:hAnsi="IRNazanin" w:eastAsia="IRNazanin" w:cs="IRNazanin"/>
          <w:lang w:bidi="fa-IR"/>
          <w:color w:val="111111"/>
          <w:sz w:val="28"/>
          <w:szCs w:val="28"/>
          <w:rtl/>
        </w:rPr>
        <w:t xml:space="preserve">١. مشهد؛ رضوی؛ شماره نسخه:۱۰۴۰۰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کا: ظهيرالدوله، تا: ۱۳۱۴ق [الفبائی: ۵۹۸]</w:t>
      </w:r>
    </w:p>
    <w:p>
      <w:pPr>
        <w:pStyle w:val="BookText"/>
      </w:pPr>
      <w:r>
        <w:rPr>
          <w:rFonts w:ascii="IRNazanin" w:hAnsi="IRNazanin" w:eastAsia="IRNazanin" w:cs="IRNazanin"/>
          <w:lang w:bidi="fa-IR"/>
          <w:color w:val="111111"/>
          <w:sz w:val="28"/>
          <w:szCs w:val="28"/>
          <w:rtl/>
        </w:rPr>
        <w:t xml:space="preserve">۲. تهران؛ مجلس؛ شماره نسخه: ۷۹۶۰/۱۵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تحریری، كا: وحید اشراقی، تا: آخر جمادی الثانی ۱۳۱۴ق؛ جلد: مقوا عطف تیماج، ۶۰ص (۴۱۴-۴۷۳)، اندازه: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۲۶-۴۴۰]</w:t>
      </w:r>
    </w:p>
    <w:p>
      <w:pPr>
        <w:pStyle w:val="BookText"/>
      </w:pPr>
      <w:r>
        <w:rPr>
          <w:rFonts w:ascii="IRNazanin" w:hAnsi="IRNazanin" w:eastAsia="IRNazanin" w:cs="IRNazanin"/>
          <w:lang w:bidi="fa-IR"/>
          <w:color w:val="111111"/>
          <w:sz w:val="28"/>
          <w:szCs w:val="28"/>
          <w:rtl/>
        </w:rPr>
        <w:t xml:space="preserve">٣. تهران، دانشگاه؛ شماره نسخه: ۳۳۲۹/۴ -ف</w:t>
      </w:r>
    </w:p>
    <w:p>
      <w:pPr>
        <w:pStyle w:val="BookText"/>
      </w:pPr>
      <w:r>
        <w:rPr>
          <w:rFonts w:ascii="IRNazanin" w:hAnsi="IRNazanin" w:eastAsia="IRNazanin" w:cs="IRNazanin"/>
          <w:lang w:bidi="fa-IR"/>
          <w:color w:val="111111"/>
          <w:sz w:val="28"/>
          <w:szCs w:val="28"/>
          <w:rtl/>
        </w:rPr>
        <w:t xml:space="preserve">نسخه اصل: ملکی آقای عبدالله انتظام؛ خط: نستعلیق، بی کا، تا: ۲۴ ذیحجه ۱۳۲۴ق</w:t>
      </w:r>
    </w:p>
    <w:p>
      <w:pPr>
        <w:pStyle w:val="BookText"/>
      </w:pPr>
      <w:r>
        <w:rPr>
          <w:rFonts w:ascii="Amiri" w:hAnsi="Amiri" w:eastAsia="Amiri" w:cs="Amiri"/>
          <w:lang w:bidi="ar-SA"/>
          <w:color w:val="111111"/>
          <w:sz w:val="28"/>
          <w:szCs w:val="28"/>
          <w:rtl/>
        </w:rPr>
        <w:t xml:space="preserve">[فيلمها ف: ۲-۱۲۵]</w:t>
      </w:r>
    </w:p>
    <w:p>
      <w:pPr>
        <w:pStyle w:val="Heading3"/>
      </w:pPr>
      <w:bookmarkStart w:id="2120" w:name="_Toc1380"/>
      <w:r>
        <w:t>•تاریخ بیزمارک / تاریخ / فارسی</w:t>
      </w:r>
      <w:bookmarkEnd w:id="2120"/>
    </w:p>
    <w:p>
      <w:pPr>
        <w:pStyle w:val="BookText"/>
      </w:pPr>
      <w:r>
        <w:rPr>
          <w:rFonts w:ascii="Times New Roman" w:hAnsi="Times New Roman" w:eastAsia="Times New Roman" w:cs="Times New Roman"/>
          <w:lang w:val="en-US" w:bidi="en-US"/>
          <w:color w:val="111111"/>
          <w:sz w:val="28"/>
          <w:szCs w:val="28"/>
          <w:rtl/>
        </w:rPr>
        <w:t xml:space="preserve">tārīx-e bīzmārk</w:t>
      </w:r>
    </w:p>
    <w:p>
      <w:pPr>
        <w:pStyle w:val="BookText"/>
      </w:pPr>
      <w:r>
        <w:rPr>
          <w:rFonts w:ascii="IRNazanin" w:hAnsi="IRNazanin" w:eastAsia="IRNazanin" w:cs="IRNazanin"/>
          <w:lang w:bidi="fa-IR"/>
          <w:color w:val="111111"/>
          <w:sz w:val="28"/>
          <w:szCs w:val="28"/>
          <w:rtl/>
        </w:rPr>
        <w:t xml:space="preserve">بارن نرمان، ق۱۳ قمری</w:t>
      </w:r>
    </w:p>
    <w:p>
      <w:pPr>
        <w:pStyle w:val="BookText"/>
      </w:pPr>
      <w:r>
        <w:rPr>
          <w:rFonts w:ascii="Times New Roman" w:hAnsi="Times New Roman" w:eastAsia="Times New Roman" w:cs="Times New Roman"/>
          <w:lang w:val="en-US" w:bidi="en-US"/>
          <w:color w:val="111111"/>
          <w:sz w:val="28"/>
          <w:szCs w:val="28"/>
          <w:rtl/>
        </w:rPr>
        <w:t xml:space="preserve">bāron normān (-19c)</w:t>
      </w:r>
    </w:p>
    <w:p>
      <w:pPr>
        <w:pStyle w:val="BookText"/>
      </w:pPr>
      <w:r>
        <w:rPr>
          <w:rFonts w:ascii="IRNazanin" w:hAnsi="IRNazanin" w:eastAsia="IRNazanin" w:cs="IRNazanin"/>
          <w:lang w:bidi="fa-IR"/>
          <w:color w:val="111111"/>
          <w:sz w:val="28"/>
          <w:szCs w:val="28"/>
          <w:rtl/>
        </w:rPr>
        <w:t xml:space="preserve">از: دکتر موریتس بوش؛ مترجم: بارون نورمان؛ سال ترجمه: ۱۲۹۸ق</w:t>
      </w:r>
    </w:p>
    <w:p>
      <w:pPr>
        <w:pStyle w:val="BookText"/>
      </w:pPr>
      <w:r>
        <w:rPr>
          <w:rFonts w:ascii="IRNazanin" w:hAnsi="IRNazanin" w:eastAsia="IRNazanin" w:cs="IRNazanin"/>
          <w:lang w:bidi="fa-IR"/>
          <w:color w:val="111111"/>
          <w:sz w:val="28"/>
          <w:szCs w:val="28"/>
          <w:rtl/>
        </w:rPr>
        <w:t xml:space="preserve">۱. تهران؛ ملی؛ شماره نسخه:۱۸۸۵</w:t>
      </w:r>
    </w:p>
    <w:p>
      <w:pPr>
        <w:pStyle w:val="BookText"/>
      </w:pPr>
      <w:r>
        <w:rPr>
          <w:rFonts w:ascii="IRNazanin" w:hAnsi="IRNazanin" w:eastAsia="IRNazanin" w:cs="IRNazanin"/>
          <w:lang w:bidi="fa-IR"/>
          <w:color w:val="111111"/>
          <w:sz w:val="28"/>
          <w:szCs w:val="28"/>
          <w:rtl/>
        </w:rPr>
        <w:t xml:space="preserve">آغاز: ترجمه: جلد دوم تاریخ کنت دو بیزمارک و همراهانش در اوقات جنگ فرانسه با پروس؛ انجام: در این مدت آنچه که ممکن بود بشود شده و بانجام رسیده است</w:t>
      </w:r>
    </w:p>
    <w:p>
      <w:pPr>
        <w:pStyle w:val="BookText"/>
      </w:pPr>
      <w:r>
        <w:rPr>
          <w:rFonts w:ascii="IRNazanin" w:hAnsi="IRNazanin" w:eastAsia="IRNazanin" w:cs="IRNazanin"/>
          <w:lang w:bidi="fa-IR"/>
          <w:color w:val="111111"/>
          <w:sz w:val="28"/>
          <w:szCs w:val="28"/>
          <w:rtl/>
        </w:rPr>
        <w:t xml:space="preserve">این نسخه جلد دوم تاریخ بیزمارک است و از فصل پانزدهم متن اصلی شروع میشود و تا آخر کتاب می آید. در این نسخه وقایع آلمان و جنگ های پروس و فرانسه و سایر وقایع اتفاقیه این دوره بیان می شود. این نسخه از زبان آلمانی ترجمه شده است؛ خط: شکسته نستعلیق، کا: محمود بن رشيد مدرس عراقی، تا: ۱۲۹۸ق، جا: تهران؛ مجدول؛ به خط ناصر الدین آمده: «تماما ملاحظه شد اما حقیقت بی مزه و بی معنی نوشته بود نه تاریخ است نه حکایت نه روزنامه هیچ نمیدانم مرد که بنگ خورده بوده است که اینطورها نوشته است تمام شد»؛ کاغذ: فرنگی، جلد: مخمل آبی با گل و بوته، ۲۳۶ گ، ۱۱سطر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۳۴۲-۴ ]</w:t>
      </w:r>
    </w:p>
    <w:p>
      <w:pPr>
        <w:pStyle w:val="BookText"/>
      </w:pPr>
      <w:r>
        <w:rPr>
          <w:rFonts w:ascii="IRNazanin" w:hAnsi="IRNazanin" w:eastAsia="IRNazanin" w:cs="IRNazanin"/>
          <w:lang w:bidi="fa-IR"/>
          <w:color w:val="111111"/>
          <w:sz w:val="28"/>
          <w:szCs w:val="28"/>
          <w:rtl/>
        </w:rPr>
        <w:t xml:space="preserve">۲. تهران؛ ملی؛ شماره نسخه: ۱۸۷۲</w:t>
      </w:r>
    </w:p>
    <w:p>
      <w:pPr>
        <w:pStyle w:val="BookText"/>
      </w:pPr>
      <w:r>
        <w:rPr>
          <w:rFonts w:ascii="IRNazanin" w:hAnsi="IRNazanin" w:eastAsia="IRNazanin" w:cs="IRNazanin"/>
          <w:lang w:bidi="fa-IR"/>
          <w:color w:val="111111"/>
          <w:sz w:val="28"/>
          <w:szCs w:val="28"/>
          <w:rtl/>
        </w:rPr>
        <w:t xml:space="preserve">آغاز: مقدمه، وقایعی که بیست سال قبل ازین در اولین و آخرین؛ انجام: که ظاهرا ما به صاحب آن بهیچوجه اذیتی نرسانده بودیم جلد اول، در جنک ۱۸۷۰ و ۱۸۷۱ میلادی؛ خط: شکسته نستعلیق، كان محمود بن رشيد مدرس عراقی، تا: ۱۲۹۸ق، جان تهران؛ با سرلوح مذهب، مجدول، به خط ناصرالدين شاه آمده «تماما ملاحظه شد اما جلد آخر را هم خاندیم (خواندیم) بی معنی نوشته شد» با کاغذ: فرنگی، جلد: مخمل آبی با گل و بوته، ۱۴۹گ، ۱۱سطر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۱۹/۵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۳۲/۵سم [ف: ۴-۳۳۲]</w:t>
      </w:r>
    </w:p>
    <w:p>
      <w:pPr>
        <w:pStyle w:val="Heading3"/>
      </w:pPr>
      <w:bookmarkStart w:id="2121" w:name="_Toc1381"/>
      <w:r>
        <w:t>• تاریخ بیست ساله نفت ایران / تاریخ ایران / فارسی</w:t>
      </w:r>
      <w:bookmarkEnd w:id="2121"/>
    </w:p>
    <w:p>
      <w:pPr>
        <w:pStyle w:val="BookText"/>
      </w:pPr>
      <w:r>
        <w:rPr>
          <w:rFonts w:ascii="Times New Roman" w:hAnsi="Times New Roman" w:eastAsia="Times New Roman" w:cs="Times New Roman"/>
          <w:lang w:val="en-US" w:bidi="en-US"/>
          <w:color w:val="111111"/>
          <w:sz w:val="28"/>
          <w:szCs w:val="28"/>
          <w:rtl/>
        </w:rPr>
        <w:t xml:space="preserve">tārīx-e bīst sāle-ye naft-e īrān</w:t>
      </w:r>
    </w:p>
    <w:p>
      <w:pPr>
        <w:pStyle w:val="BookText"/>
      </w:pPr>
      <w:r>
        <w:rPr>
          <w:rFonts w:ascii="IRNazanin" w:hAnsi="IRNazanin" w:eastAsia="IRNazanin" w:cs="IRNazanin"/>
          <w:lang w:bidi="fa-IR"/>
          <w:color w:val="111111"/>
          <w:sz w:val="28"/>
          <w:szCs w:val="28"/>
          <w:rtl/>
        </w:rPr>
        <w:t xml:space="preserve">مکی، حسین، ۱۲۹۰ شمسی</w:t>
      </w:r>
    </w:p>
    <w:p>
      <w:pPr>
        <w:pStyle w:val="BookText"/>
      </w:pPr>
      <w:r>
        <w:rPr>
          <w:rFonts w:ascii="Times New Roman" w:hAnsi="Times New Roman" w:eastAsia="Times New Roman" w:cs="Times New Roman"/>
          <w:lang w:val="en-US" w:bidi="en-US"/>
          <w:color w:val="111111"/>
          <w:sz w:val="28"/>
          <w:szCs w:val="28"/>
          <w:rtl/>
        </w:rPr>
        <w:t xml:space="preserve">makkī, hoseyn (1911-)</w:t>
      </w:r>
    </w:p>
    <w:p>
      <w:pPr>
        <w:pStyle w:val="BookText"/>
      </w:pPr>
      <w:r>
        <w:rPr>
          <w:rFonts w:ascii="IRNazanin" w:hAnsi="IRNazanin" w:eastAsia="IRNazanin" w:cs="IRNazanin"/>
          <w:lang w:bidi="fa-IR"/>
          <w:color w:val="111111"/>
          <w:sz w:val="28"/>
          <w:szCs w:val="28"/>
          <w:rtl/>
        </w:rPr>
        <w:t xml:space="preserve">چاپ: چاپ ۱۳۲۳ خ در ۲۷۲ و ۳۸۲ در دو جلد.</w:t>
      </w:r>
    </w:p>
    <w:p>
      <w:pPr>
        <w:pStyle w:val="BookText"/>
      </w:pPr>
      <w:r>
        <w:rPr>
          <w:rFonts w:ascii="IRNazanin" w:hAnsi="IRNazanin" w:eastAsia="IRNazanin" w:cs="IRNazanin"/>
          <w:lang w:bidi="fa-IR"/>
          <w:color w:val="111111"/>
          <w:sz w:val="28"/>
          <w:szCs w:val="28"/>
          <w:rtl/>
        </w:rPr>
        <w:t xml:space="preserve">۱. تهران: دانشگاه؛ شماره نسخه:۴۰۹۶-ف</w:t>
      </w:r>
    </w:p>
    <w:p>
      <w:pPr>
        <w:pStyle w:val="BookText"/>
      </w:pPr>
      <w:r>
        <w:rPr>
          <w:rFonts w:ascii="IRNazanin" w:hAnsi="IRNazanin" w:eastAsia="IRNazanin" w:cs="IRNazanin"/>
          <w:lang w:bidi="fa-IR"/>
          <w:color w:val="111111"/>
          <w:sz w:val="28"/>
          <w:szCs w:val="28"/>
          <w:rtl/>
        </w:rPr>
        <w:t xml:space="preserve">نسخه اصل: چاپ محمد علی علمی در ۴-۱۳۲۳، ج ۱ و ۲؛ بی کا، بی تا [فيلمها ف: ۳-۱۴]</w:t>
      </w:r>
    </w:p>
    <w:p>
      <w:pPr>
        <w:pStyle w:val="BookText"/>
      </w:pPr>
      <w:r>
        <w:rPr>
          <w:rFonts w:ascii="IRNazanin" w:hAnsi="IRNazanin" w:eastAsia="IRNazanin" w:cs="IRNazanin"/>
          <w:lang w:bidi="fa-IR"/>
          <w:color w:val="111111"/>
          <w:sz w:val="28"/>
          <w:szCs w:val="28"/>
          <w:rtl/>
        </w:rPr>
        <w:t xml:space="preserve">۲. تهران، دانشگاه؛ شماره نسخه: ۴۶۵۲-ف</w:t>
      </w:r>
    </w:p>
    <w:p>
      <w:pPr>
        <w:pStyle w:val="BookText"/>
      </w:pPr>
      <w:r>
        <w:rPr>
          <w:rFonts w:ascii="IRNazanin" w:hAnsi="IRNazanin" w:eastAsia="IRNazanin" w:cs="IRNazanin"/>
          <w:lang w:bidi="fa-IR"/>
          <w:color w:val="111111"/>
          <w:sz w:val="28"/>
          <w:szCs w:val="28"/>
          <w:rtl/>
        </w:rPr>
        <w:t xml:space="preserve">بی کا، بی تا [فيلمها ف: ۳-۸۴]</w:t>
      </w:r>
    </w:p>
    <w:p>
      <w:pPr>
        <w:pStyle w:val="Heading3"/>
      </w:pPr>
      <w:bookmarkStart w:id="2122" w:name="_Toc1382"/>
      <w:r>
        <w:t>•تاریخ بیست و شش سال (ترجمه) / تاریخ / فارسی حکومت الکساندر دویم</w:t>
      </w:r>
      <w:bookmarkEnd w:id="2122"/>
    </w:p>
    <w:p>
      <w:pPr>
        <w:pStyle w:val="BookText"/>
      </w:pPr>
      <w:r>
        <w:rPr>
          <w:rFonts w:ascii="Times New Roman" w:hAnsi="Times New Roman" w:eastAsia="Times New Roman" w:cs="Times New Roman"/>
          <w:lang w:val="en-US" w:bidi="en-US"/>
          <w:color w:val="111111"/>
          <w:sz w:val="28"/>
          <w:szCs w:val="28"/>
          <w:rtl/>
        </w:rPr>
        <w:t xml:space="preserve">tārīx-e bīst va šeš sāl hokūmat-e aleksānder-e doyyom</w:t>
      </w:r>
    </w:p>
    <w:p>
      <w:pPr>
        <w:pStyle w:val="BookText"/>
      </w:pPr>
      <w:r>
        <w:rPr>
          <w:rFonts w:ascii="Times New Roman" w:hAnsi="Times New Roman" w:eastAsia="Times New Roman" w:cs="Times New Roman"/>
          <w:lang w:val="en-US" w:bidi="en-US"/>
          <w:color w:val="111111"/>
          <w:sz w:val="28"/>
          <w:szCs w:val="28"/>
          <w:rtl/>
        </w:rPr>
        <w:t xml:space="preserve">(t.)</w:t>
      </w:r>
    </w:p>
    <w:p>
      <w:pPr>
        <w:pStyle w:val="BookText"/>
      </w:pPr>
      <w:r>
        <w:rPr>
          <w:rFonts w:ascii="IRNazanin" w:hAnsi="IRNazanin" w:eastAsia="IRNazanin" w:cs="IRNazanin"/>
          <w:lang w:bidi="fa-IR"/>
          <w:color w:val="111111"/>
          <w:sz w:val="28"/>
          <w:szCs w:val="28"/>
          <w:rtl/>
        </w:rPr>
        <w:t xml:space="preserve">آوانس</w:t>
      </w:r>
    </w:p>
    <w:p>
      <w:pPr>
        <w:pStyle w:val="BookText"/>
      </w:pPr>
      <w:r>
        <w:rPr>
          <w:rFonts w:ascii="Times New Roman" w:hAnsi="Times New Roman" w:eastAsia="Times New Roman" w:cs="Times New Roman"/>
          <w:lang w:val="en-US" w:bidi="en-US"/>
          <w:color w:val="111111"/>
          <w:sz w:val="28"/>
          <w:szCs w:val="28"/>
          <w:rtl/>
        </w:rPr>
        <w:t xml:space="preserve">āvāns</w:t>
      </w:r>
    </w:p>
    <w:p>
      <w:pPr>
        <w:pStyle w:val="BookText"/>
      </w:pPr>
      <w:r>
        <w:rPr>
          <w:rFonts w:ascii="IRNazanin" w:hAnsi="IRNazanin" w:eastAsia="IRNazanin" w:cs="IRNazanin"/>
          <w:lang w:bidi="fa-IR"/>
          <w:color w:val="111111"/>
          <w:sz w:val="28"/>
          <w:szCs w:val="28"/>
          <w:rtl/>
        </w:rPr>
        <w:t xml:space="preserve">اهداء به:مظفر الدین میرزای ولیعهد سال ترجمه: ۱۳۱۲ق الكساندر دویم پادشاه معروف روسیه مدت بیست و شش سال سلطنت کرد و از سلسله تسارها بود. در این کتاب شرح حال او می آید. ابتداء مقدمه ای در شرح حال نیکلای اول است و بعد شرح حال الكساندر دوم می آید. اصل کتاب به زبان فرانسوی بوده و از آن زبان به فارسی برگردانده شده است</w:t>
      </w:r>
    </w:p>
    <w:p>
      <w:pPr>
        <w:pStyle w:val="BookText"/>
      </w:pPr>
      <w:r>
        <w:rPr>
          <w:rFonts w:ascii="IRNazanin" w:hAnsi="IRNazanin" w:eastAsia="IRNazanin" w:cs="IRNazanin"/>
          <w:lang w:bidi="fa-IR"/>
          <w:color w:val="111111"/>
          <w:sz w:val="28"/>
          <w:szCs w:val="28"/>
          <w:rtl/>
        </w:rPr>
        <w:t xml:space="preserve">۱. تهران؛ ملی؛ شماره نسخه: ۱۸۳۲</w:t>
      </w:r>
    </w:p>
    <w:p>
      <w:pPr>
        <w:pStyle w:val="BookText"/>
      </w:pPr>
      <w:r>
        <w:rPr>
          <w:rFonts w:ascii="IRNazanin" w:hAnsi="IRNazanin" w:eastAsia="IRNazanin" w:cs="IRNazanin"/>
          <w:lang w:bidi="fa-IR"/>
          <w:color w:val="111111"/>
          <w:sz w:val="28"/>
          <w:szCs w:val="28"/>
          <w:rtl/>
        </w:rPr>
        <w:t xml:space="preserve">آغاز: مقدمه تاریخی نیکلای اول از سنه ۱۸۲۵ تا سنه ۱۸۵۵؛ انجام: چند صد نفر اسیر ... و عثمان پاشا مجروح و دستگیر شد خط: نستعلیق، بی کا، تا: شعبان ۱۳۱۲ق، جا: تهران؛ با سرلوح مذهب، مجدول؛ کاغذ: فرنگی، آبی، جلد: تیماج ماشی با گل و بوته زر، ۲۰۶گ، ۱۳ سطر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سم [ف: ۲۸۰-۴ ]</w:t>
      </w:r>
    </w:p>
    <w:p>
      <w:pPr>
        <w:pStyle w:val="BookText"/>
      </w:pPr>
      <w:r>
        <w:rPr>
          <w:rFonts w:ascii="IRNazanin" w:hAnsi="IRNazanin" w:eastAsia="IRNazanin" w:cs="IRNazanin"/>
          <w:lang w:bidi="fa-IR"/>
          <w:color w:val="111111"/>
          <w:sz w:val="28"/>
          <w:szCs w:val="28"/>
          <w:rtl/>
        </w:rPr>
        <w:t xml:space="preserve">۲. تهران؛ مجلس؛ شماره نسخه:۲۲۶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410" w:name="pg20363_209710"/>
    <w:bookmarkEnd w:id="410"/>
    <w:p>
      <w:pPr>
        <w:pStyle w:val="BookText"/>
      </w:pPr>
      <w:r>
        <w:rPr>
          <w:rFonts w:ascii="IRNazanin" w:hAnsi="IRNazanin" w:eastAsia="IRNazanin" w:cs="IRNazanin"/>
          <w:lang w:bidi="fa-IR"/>
          <w:color w:val="111111"/>
          <w:sz w:val="28"/>
          <w:szCs w:val="28"/>
          <w:rtl/>
        </w:rPr>
        <w:t xml:space="preserve">خط: نستعلیق، بی کا، تا: ۱۳۱۲ و ۱۳۱۳ق؛ دارای سرلوح مذهب؛ ۵۰۲گ، ۱۳ سطر،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سم [ف: ۲-۱۲۷]</w:t>
      </w:r>
    </w:p>
    <w:p>
      <w:pPr>
        <w:pStyle w:val="BookText"/>
      </w:pPr>
      <w:r>
        <w:rPr>
          <w:rFonts w:ascii="IRNazanin" w:hAnsi="IRNazanin" w:eastAsia="IRNazanin" w:cs="IRNazanin"/>
          <w:lang w:bidi="fa-IR"/>
          <w:color w:val="111111"/>
          <w:sz w:val="28"/>
          <w:szCs w:val="28"/>
          <w:rtl/>
        </w:rPr>
        <w:t xml:space="preserve">٣. تهران؛ مجلس؛ شماره نسخه: ۲۲۷</w:t>
      </w:r>
    </w:p>
    <w:p>
      <w:pPr>
        <w:pStyle w:val="BookText"/>
      </w:pPr>
      <w:r>
        <w:rPr>
          <w:rFonts w:ascii="IRNazanin" w:hAnsi="IRNazanin" w:eastAsia="IRNazanin" w:cs="IRNazanin"/>
          <w:lang w:bidi="fa-IR"/>
          <w:color w:val="111111"/>
          <w:sz w:val="28"/>
          <w:szCs w:val="28"/>
          <w:rtl/>
        </w:rPr>
        <w:t xml:space="preserve">خط: تایپی، بی کا، تا: ۱۳۱۲ و ۱۳۱۳ق؛ دارای سرلوح مذهب؛ ۵۰۲گ، ۱۳ سطر،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سم [ف: ۲-۱۲۷]</w:t>
      </w:r>
    </w:p>
    <w:p>
      <w:pPr>
        <w:pStyle w:val="BookText"/>
      </w:pPr>
      <w:r>
        <w:rPr>
          <w:rFonts w:ascii="IRNazanin" w:hAnsi="IRNazanin" w:eastAsia="IRNazanin" w:cs="IRNazanin"/>
          <w:lang w:bidi="fa-IR"/>
          <w:color w:val="111111"/>
          <w:sz w:val="28"/>
          <w:szCs w:val="28"/>
          <w:rtl/>
        </w:rPr>
        <w:t xml:space="preserve">۴. تهران؛ مجلس؛ شماره نسخه:۲۲۸</w:t>
      </w:r>
    </w:p>
    <w:p>
      <w:pPr>
        <w:pStyle w:val="BookText"/>
      </w:pPr>
      <w:r>
        <w:rPr>
          <w:rFonts w:ascii="IRNazanin" w:hAnsi="IRNazanin" w:eastAsia="IRNazanin" w:cs="IRNazanin"/>
          <w:lang w:bidi="fa-IR"/>
          <w:color w:val="111111"/>
          <w:sz w:val="28"/>
          <w:szCs w:val="28"/>
          <w:rtl/>
        </w:rPr>
        <w:t xml:space="preserve">خط: نستعلیق، بی کا، تا: ۱۳۱۲ و ۱۳۱۳ق؛ دارای سرلوح مذهب؛ ۵۰۲گ، ۱۳ سطر، اندازه: ۲۱/۵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۳۴سم [ف: ۲-۱۲۷]</w:t>
      </w:r>
    </w:p>
    <w:p>
      <w:pPr>
        <w:pStyle w:val="Heading3"/>
      </w:pPr>
      <w:bookmarkStart w:id="2123" w:name="_Toc1383"/>
      <w:r>
        <w:t>•تاریخ بیهق / تاریخ ایران / فارسی</w:t>
      </w:r>
      <w:bookmarkEnd w:id="2123"/>
    </w:p>
    <w:p>
      <w:pPr>
        <w:pStyle w:val="BookText"/>
      </w:pPr>
      <w:r>
        <w:rPr>
          <w:rFonts w:ascii="Times New Roman" w:hAnsi="Times New Roman" w:eastAsia="Times New Roman" w:cs="Times New Roman"/>
          <w:lang w:val="en-US" w:bidi="en-US"/>
          <w:color w:val="111111"/>
          <w:sz w:val="28"/>
          <w:szCs w:val="28"/>
          <w:rtl/>
        </w:rPr>
        <w:t xml:space="preserve">tārīx-e beyhaq</w:t>
      </w:r>
    </w:p>
    <w:p>
      <w:pPr>
        <w:pStyle w:val="BookText"/>
      </w:pPr>
      <w:r>
        <w:rPr>
          <w:rFonts w:ascii="IRNazanin" w:hAnsi="IRNazanin" w:eastAsia="IRNazanin" w:cs="IRNazanin"/>
          <w:lang w:bidi="fa-IR"/>
          <w:color w:val="111111"/>
          <w:sz w:val="28"/>
          <w:szCs w:val="28"/>
          <w:rtl/>
        </w:rPr>
        <w:t xml:space="preserve">بیهقی، علی بن زید، ۴۹۹-۵۶۵ قمری</w:t>
      </w:r>
    </w:p>
    <w:p>
      <w:pPr>
        <w:pStyle w:val="BookText"/>
      </w:pPr>
      <w:r>
        <w:rPr>
          <w:rFonts w:ascii="Times New Roman" w:hAnsi="Times New Roman" w:eastAsia="Times New Roman" w:cs="Times New Roman"/>
          <w:lang w:val="en-US" w:bidi="en-US"/>
          <w:color w:val="111111"/>
          <w:sz w:val="28"/>
          <w:szCs w:val="28"/>
          <w:rtl/>
        </w:rPr>
        <w:t xml:space="preserve">beyhaqī, ‘alī ebn-e zeyd (1106-1170)</w:t>
      </w:r>
    </w:p>
    <w:p>
      <w:pPr>
        <w:pStyle w:val="BookText"/>
      </w:pPr>
      <w:r>
        <w:rPr>
          <w:rFonts w:ascii="IRNazanin" w:hAnsi="IRNazanin" w:eastAsia="IRNazanin" w:cs="IRNazanin"/>
          <w:lang w:bidi="fa-IR"/>
          <w:color w:val="111111"/>
          <w:sz w:val="28"/>
          <w:szCs w:val="28"/>
          <w:rtl/>
        </w:rPr>
        <w:t xml:space="preserve">تاریخ خراسان بزرگ، طاهریان، سامانیان، غزنویان و سلجوقیان. در آن از سال های ۵۶۱ و ۵۶۱ یاد شده است.</w:t>
      </w:r>
    </w:p>
    <w:p>
      <w:pPr>
        <w:pStyle w:val="BookText"/>
      </w:pPr>
      <w:r>
        <w:rPr>
          <w:rFonts w:ascii="IRNazanin" w:hAnsi="IRNazanin" w:eastAsia="IRNazanin" w:cs="IRNazanin"/>
          <w:lang w:bidi="fa-IR"/>
          <w:color w:val="111111"/>
          <w:sz w:val="28"/>
          <w:szCs w:val="28"/>
          <w:rtl/>
        </w:rPr>
        <w:t xml:space="preserve">چاپ: چاپ بهمنیار در تهران به سال ۱۳۱۷ با دیباچه قزوینی</w:t>
      </w:r>
    </w:p>
    <w:p>
      <w:pPr>
        <w:pStyle w:val="BookText"/>
      </w:pPr>
      <w:r>
        <w:rPr>
          <w:rFonts w:ascii="IRNazanin" w:hAnsi="IRNazanin" w:eastAsia="IRNazanin" w:cs="IRNazanin"/>
          <w:lang w:bidi="fa-IR"/>
          <w:color w:val="111111"/>
          <w:sz w:val="28"/>
          <w:szCs w:val="28"/>
          <w:rtl/>
        </w:rPr>
        <w:t xml:space="preserve">[معالم العلما ش ۳۳۴؛ بیست مقاله قزوینی ۷۶/۲ -۸۶؛ سبک شناسی ۳۶۵/۲ ؛ استوری ۳۵۴/۱ -۱۲۹۵؛ دنا ۶۸۶/۲ ؛ فهرستواره منزوی ۸۵۲/۲ ]</w:t>
      </w:r>
    </w:p>
    <w:p>
      <w:pPr>
        <w:pStyle w:val="BookText"/>
      </w:pPr>
      <w:r>
        <w:rPr>
          <w:rFonts w:ascii="IRNazanin" w:hAnsi="IRNazanin" w:eastAsia="IRNazanin" w:cs="IRNazanin"/>
          <w:lang w:bidi="fa-IR"/>
          <w:color w:val="111111"/>
          <w:sz w:val="28"/>
          <w:szCs w:val="28"/>
          <w:rtl/>
        </w:rPr>
        <w:t xml:space="preserve">۱. تهران؛ ملی؛ شماره نسخه:۵۵-عکسی</w:t>
      </w:r>
    </w:p>
    <w:p>
      <w:pPr>
        <w:pStyle w:val="BookText"/>
      </w:pPr>
      <w:r>
        <w:rPr>
          <w:rFonts w:ascii="IRNazanin" w:hAnsi="IRNazanin" w:eastAsia="IRNazanin" w:cs="IRNazanin"/>
          <w:lang w:bidi="fa-IR"/>
          <w:color w:val="111111"/>
          <w:sz w:val="28"/>
          <w:szCs w:val="28"/>
          <w:rtl/>
        </w:rPr>
        <w:t xml:space="preserve">نسخه اصل: نسخه لندن؛ بی کا، تا: ۸۳۵ق آنشریه: ۲-۲۷۱]</w:t>
      </w:r>
    </w:p>
    <w:p>
      <w:pPr>
        <w:pStyle w:val="BookText"/>
      </w:pPr>
      <w:r>
        <w:rPr>
          <w:rFonts w:ascii="IRNazanin" w:hAnsi="IRNazanin" w:eastAsia="IRNazanin" w:cs="IRNazanin"/>
          <w:lang w:bidi="fa-IR"/>
          <w:color w:val="111111"/>
          <w:sz w:val="28"/>
          <w:szCs w:val="28"/>
          <w:rtl/>
        </w:rPr>
        <w:t xml:space="preserve">۲. تهران؛ ملی؛ شماره نسخه:۵۳-عکسی</w:t>
      </w:r>
    </w:p>
    <w:p>
      <w:pPr>
        <w:pStyle w:val="BookText"/>
      </w:pPr>
      <w:r>
        <w:rPr>
          <w:rFonts w:ascii="IRNazanin" w:hAnsi="IRNazanin" w:eastAsia="IRNazanin" w:cs="IRNazanin"/>
          <w:lang w:bidi="fa-IR"/>
          <w:color w:val="111111"/>
          <w:sz w:val="28"/>
          <w:szCs w:val="28"/>
          <w:rtl/>
        </w:rPr>
        <w:t xml:space="preserve">نسخه اصل: نسخه برلین؛ بی کا، تا: ۱۲۶۵ ق [ نشریه: ۲-۲۷۱]</w:t>
      </w:r>
    </w:p>
    <w:p>
      <w:pPr>
        <w:pStyle w:val="BookText"/>
      </w:pPr>
      <w:r>
        <w:rPr>
          <w:rFonts w:ascii="IRNazanin" w:hAnsi="IRNazanin" w:eastAsia="IRNazanin" w:cs="IRNazanin"/>
          <w:lang w:bidi="fa-IR"/>
          <w:color w:val="111111"/>
          <w:sz w:val="28"/>
          <w:szCs w:val="28"/>
          <w:rtl/>
        </w:rPr>
        <w:t xml:space="preserve">٣. تهران؛ ملی؛ شماره نسخه:۵۶- عکسی</w:t>
      </w:r>
    </w:p>
    <w:p>
      <w:pPr>
        <w:pStyle w:val="BookText"/>
      </w:pPr>
      <w:r>
        <w:rPr>
          <w:rFonts w:ascii="IRNazanin" w:hAnsi="IRNazanin" w:eastAsia="IRNazanin" w:cs="IRNazanin"/>
          <w:lang w:bidi="fa-IR"/>
          <w:color w:val="111111"/>
          <w:sz w:val="28"/>
          <w:szCs w:val="28"/>
          <w:rtl/>
        </w:rPr>
        <w:t xml:space="preserve">نسخه اصل: موزه بریتانیا؛ بی کا، بی تا [نشریه: ۲-۲۷۱]</w:t>
      </w:r>
    </w:p>
    <w:p>
      <w:pPr>
        <w:pStyle w:val="BookText"/>
      </w:pPr>
      <w:r>
        <w:rPr>
          <w:rFonts w:ascii="IRNazanin" w:hAnsi="IRNazanin" w:eastAsia="IRNazanin" w:cs="IRNazanin"/>
          <w:lang w:bidi="fa-IR"/>
          <w:color w:val="111111"/>
          <w:sz w:val="28"/>
          <w:szCs w:val="28"/>
          <w:rtl/>
        </w:rPr>
        <w:t xml:space="preserve">۴. تهران؛ ادبیات، شماره نسخه:۱۰ عکسی</w:t>
      </w:r>
    </w:p>
    <w:p>
      <w:pPr>
        <w:pStyle w:val="BookText"/>
      </w:pPr>
      <w:r>
        <w:rPr>
          <w:rFonts w:ascii="IRNazanin" w:hAnsi="IRNazanin" w:eastAsia="IRNazanin" w:cs="IRNazanin"/>
          <w:lang w:bidi="fa-IR"/>
          <w:color w:val="111111"/>
          <w:sz w:val="28"/>
          <w:szCs w:val="28"/>
          <w:rtl/>
        </w:rPr>
        <w:t xml:space="preserve">نسخه اصل: لندن 3585 .</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 بی کا، بی تا ۱۸۰گی [ف: ۱-۵۲۹]</w:t>
      </w:r>
    </w:p>
    <w:p>
      <w:pPr>
        <w:pStyle w:val="BookText"/>
      </w:pPr>
      <w:r>
        <w:rPr>
          <w:rFonts w:ascii="IRNazanin" w:hAnsi="IRNazanin" w:eastAsia="IRNazanin" w:cs="IRNazanin"/>
          <w:lang w:bidi="fa-IR"/>
          <w:color w:val="111111"/>
          <w:sz w:val="28"/>
          <w:szCs w:val="28"/>
          <w:rtl/>
        </w:rPr>
        <w:t xml:space="preserve">۵. تهران؛ ملی؛ شماره نسخه: ۵۲-عکسی</w:t>
      </w:r>
    </w:p>
    <w:p>
      <w:pPr>
        <w:pStyle w:val="BookText"/>
      </w:pPr>
      <w:r>
        <w:rPr>
          <w:rFonts w:ascii="IRNazanin" w:hAnsi="IRNazanin" w:eastAsia="IRNazanin" w:cs="IRNazanin"/>
          <w:lang w:bidi="fa-IR"/>
          <w:color w:val="111111"/>
          <w:sz w:val="28"/>
          <w:szCs w:val="28"/>
          <w:rtl/>
        </w:rPr>
        <w:t xml:space="preserve">نسخه اصل: کتابخانه دولتی برلین شماره ۷۳۷ با مقدمه محمد قزوینی؛ بی کا، بیتا (نشریه: ۲-۲۷۱]</w:t>
      </w:r>
    </w:p>
    <w:p>
      <w:pPr>
        <w:pStyle w:val="Heading3"/>
      </w:pPr>
      <w:bookmarkStart w:id="2124" w:name="_Toc1384"/>
      <w:r>
        <w:t>• تاریخ بیهقی = تاریخ ناصری = تاریخ آل سبکتکین =تاریخ مسعودی / تاریخ ایران / فارسی</w:t>
      </w:r>
      <w:bookmarkEnd w:id="2124"/>
    </w:p>
    <w:p>
      <w:pPr>
        <w:pStyle w:val="BookText"/>
      </w:pPr>
      <w:r>
        <w:rPr>
          <w:rFonts w:ascii="Times New Roman" w:hAnsi="Times New Roman" w:eastAsia="Times New Roman" w:cs="Times New Roman"/>
          <w:lang w:val="en-US" w:bidi="en-US"/>
          <w:color w:val="111111"/>
          <w:sz w:val="28"/>
          <w:szCs w:val="28"/>
          <w:rtl/>
        </w:rPr>
        <w:t xml:space="preserve">āl-e tārīx-e = nāserī tārīx-e tārīx-e beyhaqī = saboktakīn = tārīx-e mas‘ūdī</w:t>
      </w:r>
    </w:p>
    <w:p>
      <w:pPr>
        <w:pStyle w:val="BookText"/>
      </w:pPr>
      <w:r>
        <w:rPr>
          <w:rFonts w:ascii="IRNazanin" w:hAnsi="IRNazanin" w:eastAsia="IRNazanin" w:cs="IRNazanin"/>
          <w:lang w:bidi="fa-IR"/>
          <w:color w:val="111111"/>
          <w:sz w:val="28"/>
          <w:szCs w:val="28"/>
          <w:rtl/>
        </w:rPr>
        <w:t xml:space="preserve">بیهقی، محمد بن حسین، ۳۸۵-۴۷۰ قمری</w:t>
      </w:r>
    </w:p>
    <w:p>
      <w:pPr>
        <w:pStyle w:val="BookText"/>
      </w:pPr>
      <w:r>
        <w:rPr>
          <w:rFonts w:ascii="Times New Roman" w:hAnsi="Times New Roman" w:eastAsia="Times New Roman" w:cs="Times New Roman"/>
          <w:lang w:val="en-US" w:bidi="en-US"/>
          <w:color w:val="111111"/>
          <w:sz w:val="28"/>
          <w:szCs w:val="28"/>
          <w:rtl/>
        </w:rPr>
        <w:t xml:space="preserve">beyhaqī, mohammad ebn-e hoseyn (996-1078)</w:t>
      </w:r>
    </w:p>
    <w:p>
      <w:pPr>
        <w:pStyle w:val="BookText"/>
      </w:pPr>
      <w:r>
        <w:rPr>
          <w:rFonts w:ascii="IRNazanin" w:hAnsi="IRNazanin" w:eastAsia="IRNazanin" w:cs="IRNazanin"/>
          <w:lang w:bidi="fa-IR"/>
          <w:color w:val="111111"/>
          <w:sz w:val="28"/>
          <w:szCs w:val="28"/>
          <w:rtl/>
        </w:rPr>
        <w:t xml:space="preserve">در میان سال های ۴۵۰-۴۵۱ نگاشته است، رویدادهای روزگار سلطان مسعود پسر محمود سبکتکین غزنوی است. میرخواند گوید: در ۳۰ جلد بوده که «تاریخ بیهقی» بخشی از آن است که باقیمانده که سال های ۴۲۱-۴۳۲ را دارد؛ یعنی از به تخت نشستن سلطان مسعود تا شکست او از سلجوقیان. آغاز: 1: بسمله، الحمدلله رب العالمين. اما بعد چنین گوید</w:t>
      </w:r>
    </w:p>
    <w:p>
      <w:pPr>
        <w:pStyle w:val="BookText"/>
      </w:pPr>
      <w:r>
        <w:rPr>
          <w:rFonts w:ascii="IRNazanin" w:hAnsi="IRNazanin" w:eastAsia="IRNazanin" w:cs="IRNazanin"/>
          <w:lang w:bidi="fa-IR"/>
          <w:color w:val="111111"/>
          <w:sz w:val="28"/>
          <w:szCs w:val="28"/>
          <w:rtl/>
        </w:rPr>
        <w:t xml:space="preserve">گوینده داستان باستان ابوالفضل بیهقی که چون سلطان محمود ۲:گوینده تاریخ ابو الفضل بیهقی گوید: که چون سلطان غازی محمود بن سبکتکین رحمه الله علیه در غزنی گذشته شد ... انجام: و خردمندان را د راین باب عبرت بسیار است و چون از این فارغ شدیم بابی دیگر پیش گیریم تا آنچه وعده کرده ایم به اتمام رسانیم انشاء الله تعالی چاپ: طهران، سنگی، ۱۳۰۷ ق.، وزیری، ۳۰۶۹۰صص؛ تهران، دانشگاه تهران، تصحيح سعید نفیسی، ۱۳۱۹- ۱۳۲۲ش، 3ج؛ مشهد دانشکده ادبیات و علوم انسانی دانشگاه مشهد، تصحیح علی اکبر فیاض، ۱۳۵۰ش، ۱۰۹۰ص [فهرستواره منزوی ۸۵۲/۲ ، الذريعة 3: نسخه های منزوی</w:t>
      </w:r>
    </w:p>
    <w:p>
      <w:pPr>
        <w:pStyle w:val="BookText"/>
      </w:pPr>
      <w:r>
        <w:rPr>
          <w:rFonts w:ascii="IRNazanin" w:hAnsi="IRNazanin" w:eastAsia="IRNazanin" w:cs="IRNazanin"/>
          <w:lang w:bidi="fa-IR"/>
          <w:color w:val="111111"/>
          <w:sz w:val="28"/>
          <w:szCs w:val="28"/>
          <w:rtl/>
        </w:rPr>
        <w:t xml:space="preserve">۴۲۳۶/۶ (۲۹ نسخه)؛مشترک پاکستان ۱۴۵۹/۱۱ ؛ استوری ۲۵۳, ۱۲۸۱؛ مشار فارسی</w:t>
      </w:r>
    </w:p>
    <w:p>
      <w:pPr>
        <w:pStyle w:val="BookText"/>
      </w:pPr>
      <w:r>
        <w:rPr>
          <w:rFonts w:ascii="IRNazanin" w:hAnsi="IRNazanin" w:eastAsia="IRNazanin" w:cs="IRNazanin"/>
          <w:lang w:bidi="fa-IR"/>
          <w:color w:val="111111"/>
          <w:sz w:val="28"/>
          <w:szCs w:val="28"/>
          <w:rtl/>
        </w:rPr>
        <w:t xml:space="preserve">۱۰۴۹/۱ (۵ چاپ)؛ اعلام زرکلی: ج ۶ ص ۱۰۰؛ دنا ۶۸۶/۲ -۶۸۷ (۳۶ نسخه)]</w:t>
      </w:r>
    </w:p>
    <w:p>
      <w:pPr>
        <w:pStyle w:val="BookText"/>
      </w:pPr>
      <w:r>
        <w:rPr>
          <w:rFonts w:ascii="IRNazanin" w:hAnsi="IRNazanin" w:eastAsia="IRNazanin" w:cs="IRNazanin"/>
          <w:lang w:bidi="fa-IR"/>
          <w:color w:val="111111"/>
          <w:sz w:val="28"/>
          <w:szCs w:val="28"/>
          <w:rtl/>
        </w:rPr>
        <w:t xml:space="preserve">۱. تهران: دانشگاه؛ شماره نسخه: ۶۵۶۹</w:t>
      </w:r>
    </w:p>
    <w:p>
      <w:pPr>
        <w:pStyle w:val="BookText"/>
      </w:pPr>
      <w:r>
        <w:rPr>
          <w:rFonts w:ascii="IRNazanin" w:hAnsi="IRNazanin" w:eastAsia="IRNazanin" w:cs="IRNazanin"/>
          <w:lang w:bidi="fa-IR"/>
          <w:color w:val="111111"/>
          <w:sz w:val="28"/>
          <w:szCs w:val="28"/>
          <w:rtl/>
        </w:rPr>
        <w:t xml:space="preserve">خط: نسخ، بی کا، تا: قرن ۱۰؛ افتادگی: وسط؛ با سرلوح، مجدول زر و لاجورد و زنگار؛ با تاریخ تملک ۷ شوال ۱۴ (۱۰۰۴)؛ نسخه در لاهور بوده؛ کاغذ: سپاهانی، جلد: تیماج روغنی سبز، ۳۲۶ گ، ۱۸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۱۶-۲۹۹]</w:t>
      </w:r>
    </w:p>
    <w:p>
      <w:pPr>
        <w:pStyle w:val="BookText"/>
      </w:pPr>
      <w:r>
        <w:rPr>
          <w:rFonts w:ascii="IRNazanin" w:hAnsi="IRNazanin" w:eastAsia="IRNazanin" w:cs="IRNazanin"/>
          <w:lang w:bidi="fa-IR"/>
          <w:color w:val="111111"/>
          <w:sz w:val="28"/>
          <w:szCs w:val="28"/>
          <w:rtl/>
        </w:rPr>
        <w:t xml:space="preserve">۲. تهران؛ لغت نامه دهخدا، شماره نسخه:۱۱۵</w:t>
      </w:r>
    </w:p>
    <w:p>
      <w:pPr>
        <w:pStyle w:val="BookText"/>
      </w:pPr>
      <w:r>
        <w:rPr>
          <w:rFonts w:ascii="IRNazanin" w:hAnsi="IRNazanin" w:eastAsia="IRNazanin" w:cs="IRNazanin"/>
          <w:lang w:bidi="fa-IR"/>
          <w:color w:val="111111"/>
          <w:sz w:val="28"/>
          <w:szCs w:val="28"/>
          <w:rtl/>
        </w:rPr>
        <w:t xml:space="preserve">خط: نستعلیق، بی کا، تا: قرن ۱۱؛ افتادگی: آغاز و انجام؛ مجدول زرین؛ جلد: گالینگور (نشریه: ۳-۷]</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نسخه:۸۵۰۲</w:t>
      </w:r>
    </w:p>
    <w:p>
      <w:pPr>
        <w:pStyle w:val="BookText"/>
      </w:pPr>
      <w:r>
        <w:rPr>
          <w:rFonts w:ascii="IRNazanin" w:hAnsi="IRNazanin" w:eastAsia="IRNazanin" w:cs="IRNazanin"/>
          <w:lang w:bidi="fa-IR"/>
          <w:color w:val="111111"/>
          <w:sz w:val="28"/>
          <w:szCs w:val="28"/>
          <w:rtl/>
        </w:rPr>
        <w:t xml:space="preserve">انجام:. خط: نستعلیق، بی کا، تا: قرن ۱۱؛ افتادگی: آغاز؛ مجدول، محشی؛ مهر: «عبده عبدالكريم الموسوی» (بیضوی)، «المتوكل على الله عبده محمود» (مربع)؛ جلد: تیماج سرمه ای، ۳۵۶، ۱۹سطر،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۲۸-۷۴]</w:t>
      </w:r>
    </w:p>
    <w:p>
      <w:pPr>
        <w:pStyle w:val="BookText"/>
      </w:pPr>
      <w:r>
        <w:rPr>
          <w:rFonts w:ascii="IRNazanin" w:hAnsi="IRNazanin" w:eastAsia="IRNazanin" w:cs="IRNazanin"/>
          <w:lang w:bidi="fa-IR"/>
          <w:color w:val="111111"/>
          <w:sz w:val="28"/>
          <w:szCs w:val="28"/>
          <w:rtl/>
        </w:rPr>
        <w:t xml:space="preserve">تهران، دانشگاه؛ شماره نسخه:۲۷۸۳ف</w:t>
      </w:r>
    </w:p>
    <w:p>
      <w:pPr>
        <w:pStyle w:val="BookText"/>
      </w:pPr>
      <w:r>
        <w:rPr>
          <w:rFonts w:ascii="IRNazanin" w:hAnsi="IRNazanin" w:eastAsia="IRNazanin" w:cs="IRNazanin"/>
          <w:lang w:bidi="fa-IR"/>
          <w:color w:val="111111"/>
          <w:sz w:val="28"/>
          <w:szCs w:val="28"/>
          <w:rtl/>
        </w:rPr>
        <w:t xml:space="preserve">نسخه اصل: همان نسخه بالا [فیلمها ف: ۱-۳۲]</w:t>
      </w:r>
    </w:p>
    <w:p>
      <w:pPr>
        <w:pStyle w:val="BookText"/>
      </w:pPr>
      <w:r>
        <w:rPr>
          <w:rFonts w:ascii="IRNazanin" w:hAnsi="IRNazanin" w:eastAsia="IRNazanin" w:cs="IRNazanin"/>
          <w:lang w:bidi="fa-IR"/>
          <w:color w:val="111111"/>
          <w:sz w:val="28"/>
          <w:szCs w:val="28"/>
          <w:rtl/>
        </w:rPr>
        <w:t xml:space="preserve">۴. تهران، دانشگاه؛ شماره نسخه:۵۹۳۳</w:t>
      </w:r>
    </w:p>
    <w:p>
      <w:pPr>
        <w:pStyle w:val="BookText"/>
      </w:pPr>
      <w:r>
        <w:rPr>
          <w:rFonts w:ascii="IRNazanin" w:hAnsi="IRNazanin" w:eastAsia="IRNazanin" w:cs="IRNazanin"/>
          <w:lang w:bidi="fa-IR"/>
          <w:color w:val="111111"/>
          <w:sz w:val="28"/>
          <w:szCs w:val="28"/>
          <w:rtl/>
        </w:rPr>
        <w:t xml:space="preserve">خط: نستعلیق، بی کا، تا: قرن ۱۲؛ با تکمیل نفیسی؛ کاغذ: فرنگی کبود، جلد: تیماج تریاکی ضربی، ۲۲۱ ، ۲۰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سم [ف: ۱۶-۱۶۱]</w:t>
      </w:r>
    </w:p>
    <w:p>
      <w:pPr>
        <w:pStyle w:val="BookText"/>
      </w:pPr>
      <w:r>
        <w:rPr>
          <w:rFonts w:ascii="IRNazanin" w:hAnsi="IRNazanin" w:eastAsia="IRNazanin" w:cs="IRNazanin"/>
          <w:lang w:bidi="fa-IR"/>
          <w:color w:val="111111"/>
          <w:sz w:val="28"/>
          <w:szCs w:val="28"/>
          <w:rtl/>
        </w:rPr>
        <w:t xml:space="preserve">تهران، دانشگاه؛ شماره نسخه:۳۸۲۷-ف</w:t>
      </w:r>
    </w:p>
    <w:p>
      <w:pPr>
        <w:pStyle w:val="BookText"/>
      </w:pPr>
      <w:r>
        <w:rPr>
          <w:rFonts w:ascii="Amiri" w:hAnsi="Amiri" w:eastAsia="Amiri" w:cs="Amiri"/>
          <w:lang w:bidi="ar-SA"/>
          <w:color w:val="111111"/>
          <w:sz w:val="28"/>
          <w:szCs w:val="28"/>
          <w:rtl/>
        </w:rPr>
        <w:t xml:space="preserve">نسخه اصل: همان نسخه بالا [فيلمها ف: ۲-۲۵۴]</w:t>
      </w:r>
    </w:p>
    <w:p>
      <w:pPr>
        <w:pStyle w:val="BookText"/>
      </w:pPr>
      <w:r>
        <w:rPr>
          <w:rFonts w:ascii="IRNazanin" w:hAnsi="IRNazanin" w:eastAsia="IRNazanin" w:cs="IRNazanin"/>
          <w:lang w:bidi="fa-IR"/>
          <w:color w:val="111111"/>
          <w:sz w:val="28"/>
          <w:szCs w:val="28"/>
          <w:rtl/>
        </w:rPr>
        <w:t xml:space="preserve">.. مشهد؛ رضوی؛ شماره نسخه:۳۷۱۸۹</w:t>
      </w:r>
    </w:p>
    <w:p>
      <w:pPr>
        <w:pStyle w:val="BookText"/>
      </w:pPr>
      <w:r>
        <w:rPr>
          <w:rFonts w:ascii="IRNazanin" w:hAnsi="IRNazanin" w:eastAsia="IRNazanin" w:cs="IRNazanin"/>
          <w:lang w:bidi="fa-IR"/>
          <w:color w:val="111111"/>
          <w:sz w:val="28"/>
          <w:szCs w:val="28"/>
          <w:rtl/>
        </w:rPr>
        <w:t xml:space="preserve">آغاز: زندگانی خداوند عالم سلطان اعظم ولي النعم دراز باد؛ انجام: برابر خط: نستعلیق، بی کا، تا: ۱۵ رمضان ۱۲۰۷ق؛ مصحح، تملك: محمد علی ناصح به تاریخ ۱۳۴۵؛ جلد: تیماج قهوه ای، ۲۰۷گ، ۲۱ سطر، اندازه: ۱۷/۵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 اهدائی رهبر: ۸-۳۶۸]</w:t>
      </w:r>
    </w:p>
    <w:p>
      <w:pPr>
        <w:pStyle w:val="BookText"/>
      </w:pPr>
      <w:r>
        <w:rPr>
          <w:rFonts w:ascii="IRNazanin" w:hAnsi="IRNazanin" w:eastAsia="IRNazanin" w:cs="IRNazanin"/>
          <w:lang w:bidi="fa-IR"/>
          <w:color w:val="111111"/>
          <w:sz w:val="28"/>
          <w:szCs w:val="28"/>
          <w:rtl/>
        </w:rPr>
        <w:t xml:space="preserve">مشهد؛ شیخ علی حیدر، شماره نسخه:۱۱۰۹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نسخه بالا [ مؤید: ۳-۱۰۴]</w:t>
      </w:r>
    </w:p>
    <w:p>
      <w:pPr>
        <w:pStyle w:val="BookText"/>
      </w:pPr>
      <w:r>
        <w:rPr>
          <w:rFonts w:ascii="IRNazanin" w:hAnsi="IRNazanin" w:eastAsia="IRNazanin" w:cs="IRNazanin"/>
          <w:lang w:bidi="fa-IR"/>
          <w:color w:val="111111"/>
          <w:sz w:val="28"/>
          <w:szCs w:val="28"/>
          <w:rtl/>
        </w:rPr>
        <w:t xml:space="preserve">۶. تهران؛ مجلس؛ شماره نسخه: ۸۲۲۲</w:t>
      </w:r>
    </w:p>
    <w:p>
      <w:pPr>
        <w:pStyle w:val="BookText"/>
      </w:pPr>
      <w:r>
        <w:rPr>
          <w:rFonts w:ascii="IRNazanin" w:hAnsi="IRNazanin" w:eastAsia="IRNazanin" w:cs="IRNazanin"/>
          <w:lang w:bidi="fa-IR"/>
          <w:color w:val="111111"/>
          <w:sz w:val="28"/>
          <w:szCs w:val="28"/>
          <w:rtl/>
        </w:rPr>
        <w:t xml:space="preserve">آغاز: بسمله زندگانی خداوند عالمان سلطان اعظم ولي النعم؛ انجام: برابر خط: نسخ، كا: عبدالله بن میرزا محمد رضا اصفهانی، تا: شوال ۱۲۰۸ق؛ جلد: روغنی با نقش گل و بوته، ۳۷۵گ، ۱۷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۲۷/۲ -۱۷]</w:t>
      </w:r>
    </w:p>
    <w:p>
      <w:pPr>
        <w:pStyle w:val="BookText"/>
      </w:pPr>
      <w:r>
        <w:rPr>
          <w:rFonts w:ascii="IRNazanin" w:hAnsi="IRNazanin" w:eastAsia="IRNazanin" w:cs="IRNazanin"/>
          <w:lang w:bidi="fa-IR"/>
          <w:color w:val="111111"/>
          <w:sz w:val="28"/>
          <w:szCs w:val="28"/>
          <w:rtl/>
        </w:rPr>
        <w:t xml:space="preserve">۷. تهران؛ مجلس؛ شماره نسخه: ۵۵۹۰</w:t>
      </w:r>
    </w:p>
    <w:p>
      <w:pPr>
        <w:pStyle w:val="BookText"/>
      </w:pPr>
      <w:r>
        <w:rPr>
          <w:rFonts w:ascii="IRNazanin" w:hAnsi="IRNazanin" w:eastAsia="IRNazanin" w:cs="IRNazanin"/>
          <w:lang w:bidi="fa-IR"/>
          <w:color w:val="111111"/>
          <w:sz w:val="28"/>
          <w:szCs w:val="28"/>
          <w:rtl/>
        </w:rPr>
        <w:t xml:space="preserve">آغاز: برابر ۱؛ انجام: برابر</w:t>
      </w:r>
    </w:p>
    <w:p>
      <w:pPr>
        <w:pStyle w:val="BookText"/>
      </w:pPr>
      <w:r>
        <w:rPr>
          <w:rFonts w:ascii="IRNazanin" w:hAnsi="IRNazanin" w:eastAsia="IRNazanin" w:cs="IRNazanin"/>
          <w:lang w:bidi="fa-IR"/>
          <w:color w:val="111111"/>
          <w:sz w:val="28"/>
          <w:szCs w:val="28"/>
          <w:rtl/>
        </w:rPr>
        <w:t xml:space="preserve">خط: نسخ زیبا، كان عبد الوهاب، تا: ۱۲۰۹ق؛ دارای یک سرلوح مذهب، مجدول، مذهب، دارای کمند؛ کاغذ: فرنگی آبی کمرنگ خیلی نازک، جلد: تیماج قهوه ای، ۵۰۲ص، ۲۱ سطر، اندازه: ۲۶/۵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۱۷-۴۸]</w:t>
      </w:r>
    </w:p>
    <w:p>
      <w:pPr>
        <w:pStyle w:val="BookText"/>
      </w:pPr>
      <w:r>
        <w:rPr>
          <w:rFonts w:ascii="IRNazanin" w:hAnsi="IRNazanin" w:eastAsia="IRNazanin" w:cs="IRNazanin"/>
          <w:lang w:bidi="fa-IR"/>
          <w:color w:val="111111"/>
          <w:sz w:val="28"/>
          <w:szCs w:val="28"/>
          <w:rtl/>
        </w:rPr>
        <w:t xml:space="preserve">۸. قم؛ مرعشی؛ شماره نسخه:۷۵۶۶</w:t>
      </w:r>
    </w:p>
    <w:p>
      <w:pPr>
        <w:pStyle w:val="BookText"/>
      </w:pPr>
      <w:r>
        <w:rPr>
          <w:rFonts w:ascii="IRNazanin" w:hAnsi="IRNazanin" w:eastAsia="IRNazanin" w:cs="IRNazanin"/>
          <w:lang w:bidi="fa-IR"/>
          <w:color w:val="111111"/>
          <w:sz w:val="28"/>
          <w:szCs w:val="28"/>
          <w:rtl/>
        </w:rPr>
        <w:t xml:space="preserve">آغاز: گوینده این داستان بوالفضل بیهقی ... زندگانی خداوند عالم سلطان اعظم ولى النعم دراز باد؛ انجام: برابر قطعه ای از آن تاریخ می باشد شامل احوال سلطان محمود؛ خط: نستعلیق، بی کا، تا: چهارشنبه ۴ رمضان ۱۲۵۹ق؛ تملکی بدون نام به تاریخ ۱۲۸۷ در دارالسلطنه تبریز؛ جلد: تیماج ضربی مشکی، ۲۱۳گ، ۱۹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۱۹- ۳۷۱]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شیراز؛ علامه طباطبائی؛ شماره نسخه: ۱۳۴۱</w:t>
      </w:r>
    </w:p>
    <w:p>
      <w:pPr>
        <w:pStyle w:val="BookText"/>
      </w:pPr>
      <w:r>
        <w:rPr>
          <w:rFonts w:ascii="IRNazanin" w:hAnsi="IRNazanin" w:eastAsia="IRNazanin" w:cs="IRNazanin"/>
          <w:lang w:bidi="fa-IR"/>
          <w:color w:val="111111"/>
          <w:sz w:val="28"/>
          <w:szCs w:val="28"/>
          <w:rtl/>
        </w:rPr>
        <w:t xml:space="preserve">خط: نستعلیق شکسته، بی کا، تا: دوشنبه ۱۶ جمادی الثانی ۱۲۶۰ق؛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 نسخه پژوهی: ۲-۱۲۱]</w:t>
      </w:r>
    </w:p>
    <w:p>
      <w:pPr>
        <w:pStyle w:val="BookText"/>
      </w:pPr>
      <w:r>
        <w:rPr>
          <w:rFonts w:ascii="IRNazanin" w:hAnsi="IRNazanin" w:eastAsia="IRNazanin" w:cs="IRNazanin"/>
          <w:lang w:bidi="fa-IR"/>
          <w:color w:val="111111"/>
          <w:sz w:val="28"/>
          <w:szCs w:val="28"/>
          <w:rtl/>
        </w:rPr>
        <w:t xml:space="preserve">۱۰. خوی؛ نمازی،شماره نسخه: ۸۸۰</w:t>
      </w:r>
    </w:p>
    <w:p>
      <w:pPr>
        <w:pStyle w:val="BookText"/>
      </w:pPr>
      <w:r>
        <w:rPr>
          <w:rFonts w:ascii="IRNazanin" w:hAnsi="IRNazanin" w:eastAsia="IRNazanin" w:cs="IRNazanin"/>
          <w:lang w:bidi="fa-IR"/>
          <w:color w:val="111111"/>
          <w:sz w:val="28"/>
          <w:szCs w:val="28"/>
          <w:rtl/>
        </w:rPr>
        <w:t xml:space="preserve">آغاز: برابر ۲؛ انجام: برابر</w:t>
      </w:r>
    </w:p>
    <w:p>
      <w:pPr>
        <w:pStyle w:val="BookText"/>
      </w:pPr>
      <w:r>
        <w:rPr>
          <w:rFonts w:ascii="IRNazanin" w:hAnsi="IRNazanin" w:eastAsia="IRNazanin" w:cs="IRNazanin"/>
          <w:lang w:bidi="fa-IR"/>
          <w:color w:val="111111"/>
          <w:sz w:val="28"/>
          <w:szCs w:val="28"/>
          <w:rtl/>
        </w:rPr>
        <w:t xml:space="preserve">خط: نستعلیق زیبا، بی کا، تا: پنج شنبه ۱۱ شعبان ۱۲۶۴ق؛ جلد: تیماج نارنجی، ۲۶۳گ، ۲۱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 سم [میراث اسلامی: دفتر دهم -۷۶۳]</w:t>
      </w:r>
    </w:p>
    <w:p>
      <w:pPr>
        <w:pStyle w:val="BookText"/>
      </w:pPr>
      <w:r>
        <w:rPr>
          <w:rFonts w:ascii="IRNazanin" w:hAnsi="IRNazanin" w:eastAsia="IRNazanin" w:cs="IRNazanin"/>
          <w:lang w:bidi="fa-IR"/>
          <w:color w:val="111111"/>
          <w:sz w:val="28"/>
          <w:szCs w:val="28"/>
          <w:rtl/>
        </w:rPr>
        <w:t xml:space="preserve">۱۱. تهران: مجلس؛ شماره نسخه:۲۲۹</w:t>
      </w:r>
    </w:p>
    <w:p>
      <w:pPr>
        <w:pStyle w:val="BookText"/>
      </w:pPr>
      <w:r>
        <w:rPr>
          <w:rFonts w:ascii="IRNazanin" w:hAnsi="IRNazanin" w:eastAsia="IRNazanin" w:cs="IRNazanin"/>
          <w:lang w:bidi="fa-IR"/>
          <w:color w:val="111111"/>
          <w:sz w:val="28"/>
          <w:szCs w:val="28"/>
          <w:rtl/>
        </w:rPr>
        <w:t xml:space="preserve">آغاز: برابر ۲</w:t>
      </w:r>
    </w:p>
    <w:p>
      <w:pPr>
        <w:pStyle w:val="BookText"/>
      </w:pPr>
      <w:r>
        <w:rPr>
          <w:rFonts w:ascii="IRNazanin" w:hAnsi="IRNazanin" w:eastAsia="IRNazanin" w:cs="IRNazanin"/>
          <w:lang w:bidi="fa-IR"/>
          <w:color w:val="111111"/>
          <w:sz w:val="28"/>
          <w:szCs w:val="28"/>
          <w:rtl/>
        </w:rPr>
        <w:t xml:space="preserve">خط: نستعلیق شکسته، بی کا، تا: ۱۲۶۵ق؛ کاغذ: الوان، ۲۱۴گ، ۲۱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۲-۱۲۷]</w:t>
      </w:r>
    </w:p>
    <w:p>
      <w:pPr>
        <w:pStyle w:val="BookText"/>
      </w:pPr>
      <w:r>
        <w:rPr>
          <w:rFonts w:ascii="IRNazanin" w:hAnsi="IRNazanin" w:eastAsia="IRNazanin" w:cs="IRNazanin"/>
          <w:lang w:bidi="fa-IR"/>
          <w:color w:val="111111"/>
          <w:sz w:val="28"/>
          <w:szCs w:val="28"/>
          <w:rtl/>
        </w:rPr>
        <w:t xml:space="preserve">۱۲. تهران؛ ملی؛ شماره نسخه:۱۶۶۳</w:t>
      </w:r>
    </w:p>
    <w:p>
      <w:pPr>
        <w:pStyle w:val="BookText"/>
      </w:pPr>
      <w:r>
        <w:rPr>
          <w:rFonts w:ascii="IRNazanin" w:hAnsi="IRNazanin" w:eastAsia="IRNazanin" w:cs="IRNazanin"/>
          <w:lang w:bidi="fa-IR"/>
          <w:color w:val="111111"/>
          <w:sz w:val="28"/>
          <w:szCs w:val="28"/>
          <w:rtl/>
        </w:rPr>
        <w:t xml:space="preserve">آغاز: چون سلطان محمود در غزنین گذشته شد پسر بزرگ ولیعهد او؛ انجام: برابر خط: نستعلیق، بی کا، تا: ۱۲۷۰ق، کاغذ: فرنگی، جلد: تیماج قرمز، ۲۵۸گ، ۲۱سطر (۱۰/۵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۱۸/۵)،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سم [ف: ۴-۱۳۹]</w:t>
      </w:r>
    </w:p>
    <w:p>
      <w:pPr>
        <w:pStyle w:val="BookText"/>
      </w:pPr>
      <w:r>
        <w:rPr>
          <w:rFonts w:ascii="IRNazanin" w:hAnsi="IRNazanin" w:eastAsia="IRNazanin" w:cs="IRNazanin"/>
          <w:lang w:bidi="fa-IR"/>
          <w:color w:val="111111"/>
          <w:sz w:val="28"/>
          <w:szCs w:val="28"/>
          <w:rtl/>
        </w:rPr>
        <w:t xml:space="preserve">۱۳. تهران؛ ملی؛ شماره نسخه:۳۰۷۳</w:t>
      </w:r>
    </w:p>
    <w:p>
      <w:pPr>
        <w:pStyle w:val="BookText"/>
      </w:pPr>
      <w:r>
        <w:rPr>
          <w:rFonts w:ascii="Amiri" w:hAnsi="Amiri" w:eastAsia="Amiri" w:cs="Amiri"/>
          <w:lang w:bidi="ar-SA"/>
          <w:color w:val="111111"/>
          <w:sz w:val="28"/>
          <w:szCs w:val="28"/>
          <w:rtl/>
        </w:rPr>
        <w:t xml:space="preserve">آغاز: بسمله و به نستعين، الحمدلله رب العالمين و الصلوة و السلام على محمد و آله الطاهرين اما بعد؛ انجام: برابر</w:t>
      </w:r>
    </w:p>
    <w:p>
      <w:pPr>
        <w:pStyle w:val="BookText"/>
      </w:pPr>
      <w:r>
        <w:rPr>
          <w:rFonts w:ascii="IRNazanin" w:hAnsi="IRNazanin" w:eastAsia="IRNazanin" w:cs="IRNazanin"/>
          <w:lang w:bidi="fa-IR"/>
          <w:color w:val="111111"/>
          <w:sz w:val="28"/>
          <w:szCs w:val="28"/>
          <w:rtl/>
        </w:rPr>
        <w:t xml:space="preserve">خط: نستعلیق، بی کا، تا: ۱۲۷۲ق؛ با سرلوح، مجدول؛ کاغذ: فرنگی، جلد: مقوایی مخمل عنابی، ۱۷۱، ۲۵سطر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[ف: ۶-۸۷۰]</w:t>
      </w:r>
    </w:p>
    <w:p>
      <w:pPr>
        <w:pStyle w:val="BookText"/>
      </w:pPr>
      <w:r>
        <w:rPr>
          <w:rFonts w:ascii="IRNazanin" w:hAnsi="IRNazanin" w:eastAsia="IRNazanin" w:cs="IRNazanin"/>
          <w:lang w:bidi="fa-IR"/>
          <w:color w:val="111111"/>
          <w:sz w:val="28"/>
          <w:szCs w:val="28"/>
          <w:rtl/>
        </w:rPr>
        <w:t xml:space="preserve">۱۴. تهران؛ دانشگاه؛ شماره نسخه:۲۵۸۲-ف</w:t>
      </w:r>
    </w:p>
    <w:p>
      <w:pPr>
        <w:pStyle w:val="BookText"/>
      </w:pPr>
      <w:r>
        <w:rPr>
          <w:rFonts w:ascii="IRNazanin" w:hAnsi="IRNazanin" w:eastAsia="IRNazanin" w:cs="IRNazanin"/>
          <w:lang w:bidi="fa-IR"/>
          <w:color w:val="111111"/>
          <w:sz w:val="28"/>
          <w:szCs w:val="28"/>
          <w:rtl/>
        </w:rPr>
        <w:t xml:space="preserve">نسخه اصل: پاریس.۱۰۵۴</w:t>
      </w:r>
      <w:r>
        <w:rPr>
          <w:rFonts w:ascii="Times New Roman" w:hAnsi="Times New Roman" w:eastAsia="Times New Roman" w:cs="Times New Roman"/>
          <w:lang w:val="en-US" w:bidi="en-US"/>
          <w:color w:val="111111"/>
          <w:sz w:val="28"/>
          <w:szCs w:val="28"/>
          <w:rtl/>
        </w:rPr>
        <w:t xml:space="preserve">S.P </w:t>
      </w:r>
      <w:r>
        <w:rPr>
          <w:rFonts w:ascii="IRNazanin" w:hAnsi="IRNazanin" w:eastAsia="IRNazanin" w:cs="IRNazanin"/>
          <w:lang w:bidi="fa-IR"/>
          <w:color w:val="111111"/>
          <w:sz w:val="28"/>
          <w:szCs w:val="28"/>
          <w:rtl/>
        </w:rPr>
        <w:t xml:space="preserve">؛ خط: نستعلیق، بی کا، تا: یک شنبه ۵ ربيع الثانی ۱۲۷۴ق، به فرمایش وزیر مختار فرانسه [فیلمها ف: ۱-۳۱]</w:t>
      </w:r>
    </w:p>
    <w:p>
      <w:pPr>
        <w:pStyle w:val="BookText"/>
      </w:pPr>
      <w:r>
        <w:rPr>
          <w:rFonts w:ascii="Amiri" w:hAnsi="Amiri" w:eastAsia="Amiri" w:cs="Amiri"/>
          <w:lang w:bidi="ar-SA"/>
          <w:color w:val="111111"/>
          <w:sz w:val="28"/>
          <w:szCs w:val="28"/>
          <w:rtl/>
        </w:rPr>
        <w:t xml:space="preserve">۱۵. تهران: دائرة المعارف؛ شماره نسخه:۸۷۸</w:t>
      </w:r>
    </w:p>
    <w:p>
      <w:pPr>
        <w:pStyle w:val="BookText"/>
      </w:pPr>
      <w:r>
        <w:rPr>
          <w:rFonts w:ascii="IRNazanin" w:hAnsi="IRNazanin" w:eastAsia="IRNazanin" w:cs="IRNazanin"/>
          <w:lang w:bidi="fa-IR"/>
          <w:color w:val="111111"/>
          <w:sz w:val="28"/>
          <w:szCs w:val="28"/>
          <w:rtl/>
        </w:rPr>
        <w:t xml:space="preserve">آغاز: برابر ۱؛ انجام: برابر</w:t>
      </w:r>
    </w:p>
    <w:p>
      <w:pPr>
        <w:pStyle w:val="BookText"/>
      </w:pPr>
      <w:r>
        <w:rPr>
          <w:rFonts w:ascii="IRNazanin" w:hAnsi="IRNazanin" w:eastAsia="IRNazanin" w:cs="IRNazanin"/>
          <w:lang w:bidi="fa-IR"/>
          <w:color w:val="111111"/>
          <w:sz w:val="28"/>
          <w:szCs w:val="28"/>
          <w:rtl/>
        </w:rPr>
        <w:t xml:space="preserve">خط ثلث، بی کا، تا: چهارشنبه ۱۲ جمادی الاول ۱۲۷۴ق؛ جلد: مقوایی تیماج مشکی پوشانیده، ۱۶۳گ، ۲۵ سطر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۳۴/۵سم [ف: ۲-۳۶]</w:t>
      </w:r>
    </w:p>
    <w:p>
      <w:pPr>
        <w:pStyle w:val="BookText"/>
      </w:pPr>
      <w:r>
        <w:rPr>
          <w:rFonts w:ascii="IRNazanin" w:hAnsi="IRNazanin" w:eastAsia="IRNazanin" w:cs="IRNazanin"/>
          <w:lang w:bidi="fa-IR"/>
          <w:color w:val="111111"/>
          <w:sz w:val="28"/>
          <w:szCs w:val="28"/>
          <w:rtl/>
        </w:rPr>
        <w:t xml:space="preserve">۱۶. تهران: نوربخش؛ شماره نسخه:۳۵۰</w:t>
      </w:r>
    </w:p>
    <w:p>
      <w:pPr>
        <w:pStyle w:val="BookText"/>
      </w:pPr>
      <w:r>
        <w:rPr>
          <w:rFonts w:ascii="IRNazanin" w:hAnsi="IRNazanin" w:eastAsia="IRNazanin" w:cs="IRNazanin"/>
          <w:lang w:bidi="fa-IR"/>
          <w:color w:val="111111"/>
          <w:sz w:val="28"/>
          <w:szCs w:val="28"/>
          <w:rtl/>
        </w:rPr>
        <w:t xml:space="preserve">آغاز: زندگانی خداوند عالم سلطان ولي النعم دراز باد و در بزرگی و دولت پادشاهی و نصرت و رسیدن؛ انجام: برابر از آغاز آمدن برادر حاجب على تا جنگ شاه ملک خط: نستعلیق، كا: فتحعلی شیرازی پسر خان جان، تا: شوال ۱۲۸۴ق، حسب الامر حاجی میرزا محمد خان مجد الملك متولی باشی آستان قدس رضوی؛ کاغذ: فرنگی، جلد: تیماج سرخ مقوایی،</w:t>
      </w:r>
    </w:p>
    <w:p>
      <w:pPr>
        <w:pStyle w:val="BookText"/>
      </w:pPr>
      <w:r>
        <w:rPr>
          <w:rFonts w:ascii="IRNazanin" w:hAnsi="IRNazanin" w:eastAsia="IRNazanin" w:cs="IRNazanin"/>
          <w:lang w:bidi="fa-IR"/>
          <w:color w:val="111111"/>
          <w:sz w:val="28"/>
          <w:szCs w:val="28"/>
          <w:rtl/>
        </w:rPr>
        <w:t xml:space="preserve">۴۹۰ص، ۲۳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۲-۸۱]</w:t>
      </w:r>
    </w:p>
    <w:p>
      <w:pPr>
        <w:pStyle w:val="BookText"/>
      </w:pPr>
      <w:r>
        <w:rPr>
          <w:rFonts w:ascii="IRNazanin" w:hAnsi="IRNazanin" w:eastAsia="IRNazanin" w:cs="IRNazanin"/>
          <w:lang w:bidi="fa-IR"/>
          <w:color w:val="111111"/>
          <w:sz w:val="28"/>
          <w:szCs w:val="28"/>
          <w:rtl/>
        </w:rPr>
        <w:t xml:space="preserve">۱۷. اصفهان: جابری انصاری: شماره نسخه:۴۵</w:t>
      </w:r>
    </w:p>
    <w:p>
      <w:pPr>
        <w:pStyle w:val="BookText"/>
      </w:pPr>
      <w:r>
        <w:rPr>
          <w:rFonts w:ascii="IRNazanin" w:hAnsi="IRNazanin" w:eastAsia="IRNazanin" w:cs="IRNazanin"/>
          <w:lang w:bidi="fa-IR"/>
          <w:color w:val="111111"/>
          <w:sz w:val="28"/>
          <w:szCs w:val="28"/>
          <w:rtl/>
        </w:rPr>
        <w:t xml:space="preserve">خط: نستعلیق، كا: میرزا صادق خان مشار دیوان، تا: ۱۲۸۶ق [نشریه: ۶-۵۹۷]</w:t>
      </w:r>
    </w:p>
    <w:p>
      <w:pPr>
        <w:pStyle w:val="BookText"/>
      </w:pPr>
      <w:r>
        <w:rPr>
          <w:rFonts w:ascii="IRNazanin" w:hAnsi="IRNazanin" w:eastAsia="IRNazanin" w:cs="IRNazanin"/>
          <w:lang w:bidi="fa-IR"/>
          <w:color w:val="111111"/>
          <w:sz w:val="28"/>
          <w:szCs w:val="28"/>
          <w:rtl/>
        </w:rPr>
        <w:t xml:space="preserve">۱۸. تهران: دانشگاه؛ شماره نسخه: ۷۶۷۲</w:t>
      </w:r>
    </w:p>
    <w:p>
      <w:pPr>
        <w:pStyle w:val="BookText"/>
      </w:pPr>
      <w:r>
        <w:rPr>
          <w:rFonts w:ascii="IRNazanin" w:hAnsi="IRNazanin" w:eastAsia="IRNazanin" w:cs="IRNazanin"/>
          <w:lang w:bidi="fa-IR"/>
          <w:color w:val="111111"/>
          <w:sz w:val="28"/>
          <w:szCs w:val="28"/>
          <w:rtl/>
        </w:rPr>
        <w:t xml:space="preserve">خط: نستعلیق، بی کا، تا: پنج شنبه ۲۷ ذیقعده ۱۲۸۸ق؛ کاغذ: فرنگی، جلد: تیماج سرخ ضربی مقوایی، ۲۶۳گ، ۱۸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۱۶-۶۶۸]</w:t>
      </w:r>
    </w:p>
    <w:p>
      <w:pPr>
        <w:pStyle w:val="BookText"/>
      </w:pPr>
      <w:r>
        <w:rPr>
          <w:rFonts w:ascii="IRNazanin" w:hAnsi="IRNazanin" w:eastAsia="IRNazanin" w:cs="IRNazanin"/>
          <w:lang w:bidi="fa-IR"/>
          <w:color w:val="111111"/>
          <w:sz w:val="28"/>
          <w:szCs w:val="28"/>
          <w:rtl/>
        </w:rPr>
        <w:t xml:space="preserve">۱۹. تهران؛ ملی؛ شماره نسخه:۱۱۲۰</w:t>
      </w:r>
    </w:p>
    <w:p>
      <w:pPr>
        <w:pStyle w:val="BookText"/>
      </w:pPr>
      <w:r>
        <w:rPr>
          <w:rFonts w:ascii="IRNazanin" w:hAnsi="IRNazanin" w:eastAsia="IRNazanin" w:cs="IRNazanin"/>
          <w:lang w:bidi="fa-IR"/>
          <w:color w:val="111111"/>
          <w:sz w:val="28"/>
          <w:szCs w:val="28"/>
          <w:rtl/>
        </w:rPr>
        <w:t xml:space="preserve">آغاز: برابر ۱؛ انجام: و اگر هریكرا شرح دهم على حده کتابی است از خبر راستی بیرون نباشم و خردمندان را در این باب عبرت بسیار است اگر مطالعه کنند. خط: نستعلیق خوش، كا: صادق بن کاظم شیرازی، تا: پنج شنبه ۹ محرم ۱۲۹۱ق؛ با سرلوح مذهب، مجدول؛ کاغذ: فرنگی، جلد: تیماج آبی با گل و بوته، ۳۶۶گ، ۱۸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۳-۱۴۰]</w:t>
      </w:r>
    </w:p>
    <w:p>
      <w:pPr>
        <w:pStyle w:val="BookText"/>
      </w:pPr>
      <w:r>
        <w:rPr>
          <w:rFonts w:ascii="IRNazanin" w:hAnsi="IRNazanin" w:eastAsia="IRNazanin" w:cs="IRNazanin"/>
          <w:lang w:bidi="fa-IR"/>
          <w:color w:val="111111"/>
          <w:sz w:val="28"/>
          <w:szCs w:val="28"/>
          <w:rtl/>
        </w:rPr>
        <w:t xml:space="preserve">۲۰. قم، گلپایگانی؛ شماره نسخه:۷۰۲۴- ۳۶/۲۴</w:t>
      </w:r>
    </w:p>
    <w:p>
      <w:pPr>
        <w:pStyle w:val="BookText"/>
      </w:pPr>
      <w:r>
        <w:rPr>
          <w:rFonts w:ascii="IRNazanin" w:hAnsi="IRNazanin" w:eastAsia="IRNazanin" w:cs="IRNazanin"/>
          <w:lang w:bidi="fa-IR"/>
          <w:color w:val="111111"/>
          <w:sz w:val="28"/>
          <w:szCs w:val="28"/>
          <w:rtl/>
        </w:rPr>
        <w:t xml:space="preserve">آغاز: چنانکه چون لشکر سوی هرات کشید باز به شراب در آمد ... نویسند چون بوسعد نام سلطان بگفت همگان پیاده شدند و باز برنشستند؛ انجام: برابر خط: نسخ، بی کا، تا: ۱۲۹۲ق؛ افتادگی: آغاز؛ یادداشتی از ابوالحسن قاجار شیخ الرئیس که این نسخه را استكتاب نموده و به امیر حسن خان اهداء کرده با مهر وی؛ جلد: تیماج سرخ، ۳۲۶گ، ۱۹ سطر،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۲-۶۸۵]</w:t>
      </w:r>
    </w:p>
    <w:p>
      <w:pPr>
        <w:pStyle w:val="BookText"/>
      </w:pPr>
      <w:r>
        <w:rPr>
          <w:rFonts w:ascii="IRNazanin" w:hAnsi="IRNazanin" w:eastAsia="IRNazanin" w:cs="IRNazanin"/>
          <w:lang w:bidi="fa-IR"/>
          <w:color w:val="111111"/>
          <w:sz w:val="28"/>
          <w:szCs w:val="28"/>
          <w:rtl/>
        </w:rPr>
        <w:t xml:space="preserve">۲۱. مشهد؛ رضوی؛ شماره نسخه:۱۴۱۰۵</w:t>
      </w:r>
    </w:p>
    <w:p>
      <w:pPr>
        <w:pStyle w:val="BookText"/>
      </w:pPr>
      <w:r>
        <w:rPr>
          <w:rFonts w:ascii="IRNazanin" w:hAnsi="IRNazanin" w:eastAsia="IRNazanin" w:cs="IRNazanin"/>
          <w:lang w:bidi="fa-IR"/>
          <w:color w:val="111111"/>
          <w:sz w:val="28"/>
          <w:szCs w:val="28"/>
          <w:rtl/>
        </w:rPr>
        <w:t xml:space="preserve">آغاز: بسمله الحمدالله رب العالمين؛ انجام: برابر خط: نستعلیق، کا: سید محمد، تا: ۱۲۹۶ق؛ توسط داود همدانی کسر نویسی شده؛ کاغذ: نخودی، جلد: تیماج، ۲۳ سطر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411" w:name="pg20363_209712"/>
    <w:bookmarkEnd w:id="411"/>
    <w:p>
      <w:pPr>
        <w:pStyle w:val="BookText"/>
      </w:pPr>
      <w:r>
        <w:rPr>
          <w:rFonts w:ascii="IRNazanin" w:hAnsi="IRNazanin" w:eastAsia="IRNazanin" w:cs="IRNazanin"/>
          <w:lang w:bidi="fa-IR"/>
          <w:color w:val="111111"/>
          <w:sz w:val="28"/>
          <w:szCs w:val="28"/>
          <w:rtl/>
        </w:rPr>
        <w:t xml:space="preserve">(۱۰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 الفبائی: ۹۸]</w:t>
      </w:r>
    </w:p>
    <w:p>
      <w:pPr>
        <w:pStyle w:val="BookText"/>
      </w:pPr>
      <w:r>
        <w:rPr>
          <w:rFonts w:ascii="IRNazanin" w:hAnsi="IRNazanin" w:eastAsia="IRNazanin" w:cs="IRNazanin"/>
          <w:lang w:bidi="fa-IR"/>
          <w:color w:val="111111"/>
          <w:sz w:val="28"/>
          <w:szCs w:val="28"/>
          <w:rtl/>
        </w:rPr>
        <w:t xml:space="preserve">۲۲. تهران؛ مجلس؛ شماره نسخه:۳۱۳۹</w:t>
      </w:r>
    </w:p>
    <w:p>
      <w:pPr>
        <w:pStyle w:val="BookText"/>
      </w:pPr>
      <w:r>
        <w:rPr>
          <w:rFonts w:ascii="IRNazanin" w:hAnsi="IRNazanin" w:eastAsia="IRNazanin" w:cs="IRNazanin"/>
          <w:lang w:bidi="fa-IR"/>
          <w:color w:val="111111"/>
          <w:sz w:val="28"/>
          <w:szCs w:val="28"/>
          <w:rtl/>
        </w:rPr>
        <w:t xml:space="preserve">آغاز: برابر ۱؛ انجام: برابر</w:t>
      </w:r>
    </w:p>
    <w:p>
      <w:pPr>
        <w:pStyle w:val="BookText"/>
      </w:pPr>
      <w:r>
        <w:rPr>
          <w:rFonts w:ascii="IRNazanin" w:hAnsi="IRNazanin" w:eastAsia="IRNazanin" w:cs="IRNazanin"/>
          <w:lang w:bidi="fa-IR"/>
          <w:color w:val="111111"/>
          <w:sz w:val="28"/>
          <w:szCs w:val="28"/>
          <w:rtl/>
        </w:rPr>
        <w:t xml:space="preserve">خط: نستعلیق، كا: داود، تا: جمادی الثانی ۱۲۹۶ق، جا: مشهد مقدس؛ افتادگی: آغاز؛ كاتب فرزند میرزا محمد تقی همدانی، که بر حسب فرمایش سید محمد لشکر نویس باشی خراسان نوشته، این نسخه را ملک الشعراء بهار در سوم فروردین ۱۳۱۶ش خریده، آن را خوانده و تصحیح نموده و در کنار برگها تصحیحات خود را نوشته؛ کاغذ: اصفهانی، جلد: تیماج سرخ، ۶۳۰ص، ۲۳ سطر،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۱۰-۷۰۹]</w:t>
      </w:r>
    </w:p>
    <w:p>
      <w:pPr>
        <w:pStyle w:val="BookText"/>
      </w:pPr>
      <w:r>
        <w:rPr>
          <w:rFonts w:ascii="IRNazanin" w:hAnsi="IRNazanin" w:eastAsia="IRNazanin" w:cs="IRNazanin"/>
          <w:lang w:bidi="fa-IR"/>
          <w:color w:val="111111"/>
          <w:sz w:val="28"/>
          <w:szCs w:val="28"/>
          <w:rtl/>
        </w:rPr>
        <w:t xml:space="preserve">۲۳. قم؛ مسجد اعظم؛ شماره نسخه:۱۵۸۷</w:t>
      </w:r>
    </w:p>
    <w:p>
      <w:pPr>
        <w:pStyle w:val="BookText"/>
      </w:pPr>
      <w:r>
        <w:rPr>
          <w:rFonts w:ascii="IRNazanin" w:hAnsi="IRNazanin" w:eastAsia="IRNazanin" w:cs="IRNazanin"/>
          <w:lang w:bidi="fa-IR"/>
          <w:color w:val="111111"/>
          <w:sz w:val="28"/>
          <w:szCs w:val="28"/>
          <w:rtl/>
        </w:rPr>
        <w:t xml:space="preserve">آغاز: برابر ۱؛ انجام: برابر</w:t>
      </w:r>
    </w:p>
    <w:p>
      <w:pPr>
        <w:pStyle w:val="BookText"/>
      </w:pPr>
      <w:r>
        <w:rPr>
          <w:rFonts w:ascii="IRNazanin" w:hAnsi="IRNazanin" w:eastAsia="IRNazanin" w:cs="IRNazanin"/>
          <w:lang w:bidi="fa-IR"/>
          <w:color w:val="111111"/>
          <w:sz w:val="28"/>
          <w:szCs w:val="28"/>
          <w:rtl/>
        </w:rPr>
        <w:t xml:space="preserve">خط: نستعلیق، بی کا، تا: ۷ ذیحجه ۱۲۹۷ق، جا؛ تهران؛ جلد: تیماج قهوه ای، ۲۳۶گ، ۲۳ سطر، اندازه: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۳۰سم [ف مخ: ۱-۳۰۶]</w:t>
      </w:r>
    </w:p>
    <w:p>
      <w:pPr>
        <w:pStyle w:val="BookText"/>
      </w:pPr>
      <w:r>
        <w:rPr>
          <w:rFonts w:ascii="IRNazanin" w:hAnsi="IRNazanin" w:eastAsia="IRNazanin" w:cs="IRNazanin"/>
          <w:lang w:bidi="fa-IR"/>
          <w:color w:val="111111"/>
          <w:sz w:val="28"/>
          <w:szCs w:val="28"/>
          <w:rtl/>
        </w:rPr>
        <w:t xml:space="preserve">۲۴. تهران، دانشگاه؛ شماره نسخه:۲۹۸۳</w:t>
      </w:r>
    </w:p>
    <w:p>
      <w:pPr>
        <w:pStyle w:val="BookText"/>
      </w:pPr>
      <w:r>
        <w:rPr>
          <w:rFonts w:ascii="IRNazanin" w:hAnsi="IRNazanin" w:eastAsia="IRNazanin" w:cs="IRNazanin"/>
          <w:lang w:bidi="fa-IR"/>
          <w:color w:val="111111"/>
          <w:sz w:val="28"/>
          <w:szCs w:val="28"/>
          <w:rtl/>
        </w:rPr>
        <w:t xml:space="preserve">خط: نستعلیق، بی کا، تا: ۱۰ رجب ۱۲۹۹ق، مجدول، با سرلوح زرین و آراسته؛ کاغذ: فرنگی، جلد: تیماج سرخ ضربی مقوایی، ۲۸۳گ، ۲۱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اندازه: 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w:t>
      </w:r>
    </w:p>
    <w:p>
      <w:pPr>
        <w:pStyle w:val="BookText"/>
      </w:pPr>
      <w:r>
        <w:rPr>
          <w:rFonts w:ascii="IRNazanin" w:hAnsi="IRNazanin" w:eastAsia="IRNazanin" w:cs="IRNazanin"/>
          <w:lang w:bidi="fa-IR"/>
          <w:color w:val="111111"/>
          <w:sz w:val="28"/>
          <w:szCs w:val="28"/>
          <w:rtl/>
        </w:rPr>
        <w:t xml:space="preserve">سم [ف: ۱۰-۱۸۹۶]</w:t>
      </w:r>
    </w:p>
    <w:p>
      <w:pPr>
        <w:pStyle w:val="BookText"/>
      </w:pPr>
      <w:r>
        <w:rPr>
          <w:rFonts w:ascii="IRNazanin" w:hAnsi="IRNazanin" w:eastAsia="IRNazanin" w:cs="IRNazanin"/>
          <w:lang w:bidi="fa-IR"/>
          <w:color w:val="111111"/>
          <w:sz w:val="28"/>
          <w:szCs w:val="28"/>
          <w:rtl/>
        </w:rPr>
        <w:t xml:space="preserve">۲۵. تهران؛ ملک؛ شماره نسخه:۳۸۶۵</w:t>
      </w:r>
    </w:p>
    <w:p>
      <w:pPr>
        <w:pStyle w:val="BookText"/>
      </w:pPr>
      <w:r>
        <w:rPr>
          <w:rFonts w:ascii="IRNazanin" w:hAnsi="IRNazanin" w:eastAsia="IRNazanin" w:cs="IRNazanin"/>
          <w:lang w:bidi="fa-IR"/>
          <w:color w:val="111111"/>
          <w:sz w:val="28"/>
          <w:szCs w:val="28"/>
          <w:rtl/>
        </w:rPr>
        <w:t xml:space="preserve">خط: نستعلیق، کا: میرزا علی بن محمد هادی استرابادی، تان چهارشنبه ۲۰ رجب ۱۳۳۹ق، جا: قم، برای میرزا مهدی خان اعتضاد الدوله، متن و هامش؛ کاغذ: کاغذ فرنگی، جلد: میشن قرمز، ۳۶۹گ، ۹ سطر، اندازه: ۲۱/۱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۱۶/۸ سم [ف: ۲-۷۷]</w:t>
      </w:r>
    </w:p>
    <w:p>
      <w:pPr>
        <w:pStyle w:val="BookText"/>
      </w:pPr>
      <w:r>
        <w:rPr>
          <w:rFonts w:ascii="IRNazanin" w:hAnsi="IRNazanin" w:eastAsia="IRNazanin" w:cs="IRNazanin"/>
          <w:lang w:bidi="fa-IR"/>
          <w:color w:val="111111"/>
          <w:sz w:val="28"/>
          <w:szCs w:val="28"/>
          <w:rtl/>
        </w:rPr>
        <w:t xml:space="preserve">۲۶. تهران؛ دانشگاه؛ شماره نسخه:۲۱۸۷ف</w:t>
      </w:r>
    </w:p>
    <w:p>
      <w:pPr>
        <w:pStyle w:val="BookText"/>
      </w:pPr>
      <w:r>
        <w:rPr>
          <w:rFonts w:ascii="IRNazanin" w:hAnsi="IRNazanin" w:eastAsia="IRNazanin" w:cs="IRNazanin"/>
          <w:lang w:bidi="fa-IR"/>
          <w:color w:val="111111"/>
          <w:sz w:val="28"/>
          <w:szCs w:val="28"/>
          <w:rtl/>
        </w:rPr>
        <w:t xml:space="preserve">نسخه اصل: مدرسه نواب ش</w:t>
      </w:r>
    </w:p>
    <w:p>
      <w:pPr>
        <w:pStyle w:val="BookText"/>
      </w:pPr>
      <w:r>
        <w:rPr>
          <w:rFonts w:ascii="IRNazanin" w:hAnsi="IRNazanin" w:eastAsia="IRNazanin" w:cs="IRNazanin"/>
          <w:lang w:bidi="fa-IR"/>
          <w:color w:val="111111"/>
          <w:sz w:val="28"/>
          <w:szCs w:val="28"/>
          <w:rtl/>
        </w:rPr>
        <w:t xml:space="preserve">۸۳۱؛ بی کا، بی تا [فیلمها ف: ۱-۳۱]</w:t>
      </w:r>
    </w:p>
    <w:p>
      <w:pPr>
        <w:pStyle w:val="BookText"/>
      </w:pPr>
      <w:r>
        <w:rPr>
          <w:rFonts w:ascii="IRNazanin" w:hAnsi="IRNazanin" w:eastAsia="IRNazanin" w:cs="IRNazanin"/>
          <w:lang w:bidi="fa-IR"/>
          <w:color w:val="111111"/>
          <w:sz w:val="28"/>
          <w:szCs w:val="28"/>
          <w:rtl/>
        </w:rPr>
        <w:t xml:space="preserve">۲۷. تهران: دانشگاه؛ شماره نسخه: ۲۶۲۰-ف و ۲۶۲۱-في</w:t>
      </w:r>
    </w:p>
    <w:p>
      <w:pPr>
        <w:pStyle w:val="BookText"/>
      </w:pPr>
      <w:r>
        <w:rPr>
          <w:rFonts w:ascii="IRNazanin" w:hAnsi="IRNazanin" w:eastAsia="IRNazanin" w:cs="IRNazanin"/>
          <w:lang w:bidi="fa-IR"/>
          <w:color w:val="111111"/>
          <w:sz w:val="28"/>
          <w:szCs w:val="28"/>
          <w:rtl/>
        </w:rPr>
        <w:t xml:space="preserve">نسخه اصل: دیوان هند ش ۳۷۳۶؛ بی کا، بی تا [فيلمها ف: ۱-۳۱]</w:t>
      </w:r>
    </w:p>
    <w:p>
      <w:pPr>
        <w:pStyle w:val="BookText"/>
      </w:pPr>
      <w:r>
        <w:rPr>
          <w:rFonts w:ascii="IRNazanin" w:hAnsi="IRNazanin" w:eastAsia="IRNazanin" w:cs="IRNazanin"/>
          <w:lang w:bidi="fa-IR"/>
          <w:color w:val="111111"/>
          <w:sz w:val="28"/>
          <w:szCs w:val="28"/>
          <w:rtl/>
        </w:rPr>
        <w:t xml:space="preserve">۲۸. تهران: دانشگاه؛ شماره نسخه: ۲۶۳۰ف</w:t>
      </w:r>
    </w:p>
    <w:p>
      <w:pPr>
        <w:pStyle w:val="BookText"/>
      </w:pPr>
      <w:r>
        <w:rPr>
          <w:rFonts w:ascii="IRNazanin" w:hAnsi="IRNazanin" w:eastAsia="IRNazanin" w:cs="IRNazanin"/>
          <w:lang w:bidi="fa-IR"/>
          <w:color w:val="111111"/>
          <w:sz w:val="28"/>
          <w:szCs w:val="28"/>
          <w:rtl/>
        </w:rPr>
        <w:t xml:space="preserve">نسخه اصل: موزه بریتانیا 1925 </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 بی کا، بی تا [فيلمها ف: ۱-۳۱]</w:t>
      </w:r>
    </w:p>
    <w:p>
      <w:pPr>
        <w:pStyle w:val="BookText"/>
      </w:pPr>
      <w:r>
        <w:rPr>
          <w:rFonts w:ascii="IRNazanin" w:hAnsi="IRNazanin" w:eastAsia="IRNazanin" w:cs="IRNazanin"/>
          <w:lang w:bidi="fa-IR"/>
          <w:color w:val="111111"/>
          <w:sz w:val="28"/>
          <w:szCs w:val="28"/>
          <w:rtl/>
        </w:rPr>
        <w:t xml:space="preserve">۲۹. تهران، دانشگاه؛ شماره نسخه: ۳۶۳۱ف</w:t>
      </w:r>
    </w:p>
    <w:p>
      <w:pPr>
        <w:pStyle w:val="BookText"/>
      </w:pPr>
      <w:r>
        <w:rPr>
          <w:rFonts w:ascii="IRNazanin" w:hAnsi="IRNazanin" w:eastAsia="IRNazanin" w:cs="IRNazanin"/>
          <w:lang w:bidi="fa-IR"/>
          <w:color w:val="111111"/>
          <w:sz w:val="28"/>
          <w:szCs w:val="28"/>
          <w:rtl/>
        </w:rPr>
        <w:t xml:space="preserve">نسخه اصل: موزه بریتانیا 1926 </w:t>
      </w:r>
      <w:r>
        <w:rPr>
          <w:rFonts w:ascii="Times New Roman" w:hAnsi="Times New Roman" w:eastAsia="Times New Roman" w:cs="Times New Roman"/>
          <w:lang w:val="en-US" w:bidi="en-US"/>
          <w:color w:val="111111"/>
          <w:sz w:val="28"/>
          <w:szCs w:val="28"/>
          <w:rtl/>
        </w:rPr>
        <w:t xml:space="preserve">Or </w:t>
      </w:r>
      <w:r>
        <w:rPr>
          <w:rFonts w:ascii="IRNazanin" w:hAnsi="IRNazanin" w:eastAsia="IRNazanin" w:cs="IRNazanin"/>
          <w:lang w:bidi="fa-IR"/>
          <w:color w:val="111111"/>
          <w:sz w:val="28"/>
          <w:szCs w:val="28"/>
          <w:rtl/>
        </w:rPr>
        <w:t xml:space="preserve">بی کا، بی تا [فيلمها ف: ۱-۳۱]</w:t>
      </w:r>
    </w:p>
    <w:p>
      <w:pPr>
        <w:pStyle w:val="BookText"/>
      </w:pPr>
      <w:r>
        <w:rPr>
          <w:rFonts w:ascii="IRNazanin" w:hAnsi="IRNazanin" w:eastAsia="IRNazanin" w:cs="IRNazanin"/>
          <w:lang w:bidi="fa-IR"/>
          <w:color w:val="111111"/>
          <w:sz w:val="28"/>
          <w:szCs w:val="28"/>
          <w:rtl/>
        </w:rPr>
        <w:t xml:space="preserve">۳۰. تهران؛ دانشگاه؛ شماره نسخه: ۲۶۳۲في</w:t>
      </w:r>
    </w:p>
    <w:p>
      <w:pPr>
        <w:pStyle w:val="BookText"/>
      </w:pPr>
      <w:r>
        <w:rPr>
          <w:rFonts w:ascii="IRNazanin" w:hAnsi="IRNazanin" w:eastAsia="IRNazanin" w:cs="IRNazanin"/>
          <w:lang w:bidi="fa-IR"/>
          <w:color w:val="111111"/>
          <w:sz w:val="28"/>
          <w:szCs w:val="28"/>
          <w:rtl/>
        </w:rPr>
        <w:t xml:space="preserve">نسخه اصل: موزه بریتانیا 1927 </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 بی کا، بی تا [فيلمها ف: ۱-۳۱]</w:t>
      </w:r>
    </w:p>
    <w:p>
      <w:pPr>
        <w:pStyle w:val="BookText"/>
      </w:pPr>
      <w:r>
        <w:rPr>
          <w:rFonts w:ascii="IRNazanin" w:hAnsi="IRNazanin" w:eastAsia="IRNazanin" w:cs="IRNazanin"/>
          <w:lang w:bidi="fa-IR"/>
          <w:color w:val="111111"/>
          <w:sz w:val="28"/>
          <w:szCs w:val="28"/>
          <w:rtl/>
        </w:rPr>
        <w:t xml:space="preserve">۳۱. تهران؛ دانشگاه؛ شماره نسخه:۲۶۱۹-ف و ۲۶۳۵-ف</w:t>
      </w:r>
    </w:p>
    <w:p>
      <w:pPr>
        <w:pStyle w:val="BookText"/>
      </w:pPr>
      <w:r>
        <w:rPr>
          <w:rFonts w:ascii="IRNazanin" w:hAnsi="IRNazanin" w:eastAsia="IRNazanin" w:cs="IRNazanin"/>
          <w:lang w:bidi="fa-IR"/>
          <w:color w:val="111111"/>
          <w:sz w:val="28"/>
          <w:szCs w:val="28"/>
          <w:rtl/>
        </w:rPr>
        <w:t xml:space="preserve">نسخه اصل: موزه بریتانیا 1928 .</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 بی کا، بی تا فیلمها ف: ۱-۳۲]</w:t>
      </w:r>
    </w:p>
    <w:p>
      <w:pPr>
        <w:pStyle w:val="BookText"/>
      </w:pPr>
      <w:r>
        <w:rPr>
          <w:rFonts w:ascii="IRNazanin" w:hAnsi="IRNazanin" w:eastAsia="IRNazanin" w:cs="IRNazanin"/>
          <w:lang w:bidi="fa-IR"/>
          <w:color w:val="111111"/>
          <w:sz w:val="28"/>
          <w:szCs w:val="28"/>
          <w:rtl/>
        </w:rPr>
        <w:t xml:space="preserve">۳۲. تهران، دانشگاه؛ شماره نسخه:۲۶۱۸-في</w:t>
      </w:r>
    </w:p>
    <w:p>
      <w:pPr>
        <w:pStyle w:val="BookText"/>
      </w:pPr>
      <w:r>
        <w:rPr>
          <w:rFonts w:ascii="IRNazanin" w:hAnsi="IRNazanin" w:eastAsia="IRNazanin" w:cs="IRNazanin"/>
          <w:lang w:bidi="fa-IR"/>
          <w:color w:val="111111"/>
          <w:sz w:val="28"/>
          <w:szCs w:val="28"/>
          <w:rtl/>
        </w:rPr>
        <w:t xml:space="preserve">نسخه اصل: موزه بریتانیا 45576 </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 بی کا، بی تا [فيلمها ف: ۱-۳۲)</w:t>
      </w:r>
    </w:p>
    <w:p>
      <w:pPr>
        <w:pStyle w:val="BookText"/>
      </w:pPr>
      <w:r>
        <w:rPr>
          <w:rFonts w:ascii="IRNazanin" w:hAnsi="IRNazanin" w:eastAsia="IRNazanin" w:cs="IRNazanin"/>
          <w:lang w:bidi="fa-IR"/>
          <w:color w:val="111111"/>
          <w:sz w:val="28"/>
          <w:szCs w:val="28"/>
          <w:rtl/>
        </w:rPr>
        <w:t xml:space="preserve">۳۳. مشهد؛ رضوی؛ شماره نسخه: ۱۵۹۷۲</w:t>
      </w:r>
    </w:p>
    <w:p>
      <w:pPr>
        <w:pStyle w:val="BookText"/>
      </w:pPr>
      <w:r>
        <w:rPr>
          <w:rFonts w:ascii="IRNazanin" w:hAnsi="IRNazanin" w:eastAsia="IRNazanin" w:cs="IRNazanin"/>
          <w:lang w:bidi="fa-IR"/>
          <w:color w:val="111111"/>
          <w:sz w:val="28"/>
          <w:szCs w:val="28"/>
          <w:rtl/>
        </w:rPr>
        <w:t xml:space="preserve">آغاز: بسمله الحمدالله رب العالمین و الصلوه و السلام خير خلقه محمد و آله اجمعين؛ انجام: و عجائب این باب خوارزمشاه بپایان آمد</w:t>
      </w:r>
    </w:p>
    <w:p>
      <w:pPr>
        <w:pStyle w:val="BookText"/>
      </w:pPr>
      <w:r>
        <w:rPr>
          <w:rFonts w:ascii="IRNazanin" w:hAnsi="IRNazanin" w:eastAsia="IRNazanin" w:cs="IRNazanin"/>
          <w:lang w:bidi="fa-IR"/>
          <w:color w:val="111111"/>
          <w:sz w:val="28"/>
          <w:szCs w:val="28"/>
          <w:rtl/>
        </w:rPr>
        <w:t xml:space="preserve">خط: نستعلیق، بی کا، بی تا، کاغذ: نخودی، جلد: میشن، ۲۱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[رایانه]</w:t>
      </w:r>
    </w:p>
    <w:p>
      <w:pPr>
        <w:pStyle w:val="BookText"/>
      </w:pPr>
      <w:r>
        <w:rPr>
          <w:rFonts w:ascii="IRNazanin" w:hAnsi="IRNazanin" w:eastAsia="IRNazanin" w:cs="IRNazanin"/>
          <w:lang w:bidi="fa-IR"/>
          <w:color w:val="111111"/>
          <w:sz w:val="28"/>
          <w:szCs w:val="28"/>
          <w:rtl/>
        </w:rPr>
        <w:t xml:space="preserve">← تاریخ پادشاهان ← تاریخ سلاطين</w:t>
      </w:r>
    </w:p>
    <w:p>
      <w:pPr>
        <w:pStyle w:val="Heading3"/>
      </w:pPr>
      <w:bookmarkStart w:id="2125" w:name="_Toc1385"/>
      <w:r>
        <w:t>•تاریخ پادشاهان = تقویم تاریخ / تاریخ ایران / فارسی</w:t>
      </w:r>
      <w:bookmarkEnd w:id="2125"/>
    </w:p>
    <w:p>
      <w:pPr>
        <w:pStyle w:val="BookText"/>
      </w:pPr>
      <w:r>
        <w:rPr>
          <w:rFonts w:ascii="Times New Roman" w:hAnsi="Times New Roman" w:eastAsia="Times New Roman" w:cs="Times New Roman"/>
          <w:lang w:val="en-US" w:bidi="en-US"/>
          <w:color w:val="111111"/>
          <w:sz w:val="28"/>
          <w:szCs w:val="28"/>
          <w:rtl/>
        </w:rPr>
        <w:t xml:space="preserve">tarix-e padesahan = taqvim-e tarix</w:t>
      </w:r>
    </w:p>
    <w:p>
      <w:pPr>
        <w:pStyle w:val="BookText"/>
      </w:pPr>
      <w:r>
        <w:rPr>
          <w:rFonts w:ascii="IRNazanin" w:hAnsi="IRNazanin" w:eastAsia="IRNazanin" w:cs="IRNazanin"/>
          <w:lang w:bidi="fa-IR"/>
          <w:color w:val="111111"/>
          <w:sz w:val="28"/>
          <w:szCs w:val="28"/>
          <w:rtl/>
        </w:rPr>
        <w:t xml:space="preserve">تاریخ پادشاهان ایران باستان و پس از اسلام است به شيوه تقویم التواریخ چلبی و با جداول مرتب. در آغاز، تاریخ و احوال پیغمبر(صلی الله علیه وآله وسلم) است با خلفاء راشدین تا امام حسین بن علی (عليه السلام) و پس از آن فهرست: پیشدادیان، کیانیان، طبقه اسکندر رومی (که به گفته مؤلف از بین طبقات پادشاهان افتاده)، اشکانیان، ساسانیان، سامانیان، آل بویه، سبکتکینیان، سلجوقیان، خوارزمشاهان، ملاحده و در آخر طبقه بنی امیه و بنی عباس. نویسنده در آغاز پادشاهان نخست فهرست اجمالی طبقات آنها را یاد می کند. در جداول برای هر یک از افراد طبقات، این عناوین یاد شده: کنیت ها، نام ها، پدران، مادران، توقیعات، لقب ها، مدت عمر، مدت پادشاهی (یا خلافت). این عناوین گاه در طول جداول است و گاه در عرض آنها.</w:t>
      </w:r>
    </w:p>
    <w:p>
      <w:pPr>
        <w:pStyle w:val="BookText"/>
      </w:pPr>
      <w:r>
        <w:rPr>
          <w:rFonts w:ascii="IRNazanin" w:hAnsi="IRNazanin" w:eastAsia="IRNazanin" w:cs="IRNazanin"/>
          <w:lang w:bidi="fa-IR"/>
          <w:color w:val="111111"/>
          <w:sz w:val="28"/>
          <w:szCs w:val="28"/>
          <w:rtl/>
        </w:rPr>
        <w:t xml:space="preserve">تهران؛ مجلس؛ شماره نسخه:۶۳۶۳/۷</w:t>
      </w:r>
    </w:p>
    <w:p>
      <w:pPr>
        <w:pStyle w:val="BookText"/>
      </w:pPr>
      <w:r>
        <w:rPr>
          <w:rFonts w:ascii="IRNazanin" w:hAnsi="IRNazanin" w:eastAsia="IRNazanin" w:cs="IRNazanin"/>
          <w:lang w:bidi="fa-IR"/>
          <w:color w:val="111111"/>
          <w:sz w:val="28"/>
          <w:szCs w:val="28"/>
          <w:rtl/>
        </w:rPr>
        <w:t xml:space="preserve">خط: نستعلیق، كان محمد اسماعیل بن محمد صادق شیرازی، تا: ۱۲۵۱ق، جا: بغداد؛ کاغذ: فرنگی، جلد: تیماج قهوه ای، ۱۸ص ( ۲۲۴-۲۰۷ )، اندازه: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۱۹-۴۲۲]</w:t>
      </w:r>
    </w:p>
    <w:p>
      <w:pPr>
        <w:pStyle w:val="Heading3"/>
      </w:pPr>
      <w:bookmarkStart w:id="2126" w:name="_Toc1386"/>
      <w:r>
        <w:t>•تاریخ پادشاهان انگلستان / تاریخ پادشاهان / فارسی</w:t>
      </w:r>
      <w:bookmarkEnd w:id="2126"/>
    </w:p>
    <w:p>
      <w:pPr>
        <w:pStyle w:val="BookText"/>
      </w:pPr>
      <w:r>
        <w:rPr>
          <w:rFonts w:ascii="Times New Roman" w:hAnsi="Times New Roman" w:eastAsia="Times New Roman" w:cs="Times New Roman"/>
          <w:lang w:val="en-US" w:bidi="en-US"/>
          <w:color w:val="111111"/>
          <w:sz w:val="28"/>
          <w:szCs w:val="28"/>
          <w:rtl/>
        </w:rPr>
        <w:t xml:space="preserve">tārīx-e pādešāhān-e engelestān</w:t>
      </w:r>
    </w:p>
    <w:p>
      <w:pPr>
        <w:pStyle w:val="BookText"/>
      </w:pPr>
      <w:r>
        <w:rPr>
          <w:rFonts w:ascii="IRNazanin" w:hAnsi="IRNazanin" w:eastAsia="IRNazanin" w:cs="IRNazanin"/>
          <w:lang w:bidi="fa-IR"/>
          <w:color w:val="111111"/>
          <w:sz w:val="28"/>
          <w:szCs w:val="28"/>
          <w:rtl/>
        </w:rPr>
        <w:t xml:space="preserve">قاجار، اسماعیل میرزا بن فتحعلی، ۱۲۷۹ قمری</w:t>
      </w:r>
    </w:p>
    <w:p>
      <w:pPr>
        <w:pStyle w:val="BookText"/>
      </w:pPr>
      <w:r>
        <w:rPr>
          <w:rFonts w:ascii="Times New Roman" w:hAnsi="Times New Roman" w:eastAsia="Times New Roman" w:cs="Times New Roman"/>
          <w:lang w:val="en-US" w:bidi="en-US"/>
          <w:color w:val="111111"/>
          <w:sz w:val="28"/>
          <w:szCs w:val="28"/>
          <w:rtl/>
        </w:rPr>
        <w:t xml:space="preserve">qājār, esmāʻīl mīrzā ben fath-“alī (-1863)</w:t>
      </w:r>
    </w:p>
    <w:p>
      <w:pPr>
        <w:pStyle w:val="BookText"/>
      </w:pPr>
      <w:r>
        <w:rPr>
          <w:rFonts w:ascii="IRNazanin" w:hAnsi="IRNazanin" w:eastAsia="IRNazanin" w:cs="IRNazanin"/>
          <w:lang w:bidi="fa-IR"/>
          <w:color w:val="111111"/>
          <w:sz w:val="28"/>
          <w:szCs w:val="28"/>
          <w:rtl/>
        </w:rPr>
        <w:t xml:space="preserve">در حالات پادشاهان انگلستان از ادوارد اول تا ملکه ویکتوریا و مهمترین رویدادهای تاریخ آنان و آنچه تعلق به خاندان های سلطنتی دارد، ترجمه شده از فرانسوی.</w:t>
      </w:r>
    </w:p>
    <w:p>
      <w:pPr>
        <w:pStyle w:val="BookText"/>
      </w:pPr>
      <w:r>
        <w:rPr>
          <w:rFonts w:ascii="IRNazanin" w:hAnsi="IRNazanin" w:eastAsia="IRNazanin" w:cs="IRNazanin"/>
          <w:lang w:bidi="fa-IR"/>
          <w:color w:val="111111"/>
          <w:sz w:val="28"/>
          <w:szCs w:val="28"/>
          <w:rtl/>
        </w:rPr>
        <w:t xml:space="preserve">قم؛ مرعشی؛ شماره نسخه:۱۰۳۰۸</w:t>
      </w:r>
    </w:p>
    <w:p>
      <w:pPr>
        <w:pStyle w:val="BookText"/>
      </w:pPr>
      <w:r>
        <w:rPr>
          <w:rFonts w:ascii="IRNazanin" w:hAnsi="IRNazanin" w:eastAsia="IRNazanin" w:cs="IRNazanin"/>
          <w:lang w:bidi="fa-IR"/>
          <w:color w:val="111111"/>
          <w:sz w:val="28"/>
          <w:szCs w:val="28"/>
          <w:rtl/>
        </w:rPr>
        <w:t xml:space="preserve">آغاز: وقتی که هنری سیم بدبخت مرد پسر ارشدش ادوارد بود در خارج و جنگ می کرد در شام خط: نستعلیق، کا: محمد على منشی آشتیانی، تا: ذیحجه ۱۳۱۹ق؛ بیست و هفت عکس از نسخه ای چاپی الصاق شده؛ جلد: تیماج قرمز، ۵۰گ، ۱۷ سطر،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۲۶-۲۴۶]</w:t>
      </w:r>
    </w:p>
    <w:p>
      <w:pPr>
        <w:pStyle w:val="BookText"/>
      </w:pPr>
      <w:r>
        <w:rPr>
          <w:rFonts w:ascii="IRNazanin" w:hAnsi="IRNazanin" w:eastAsia="IRNazanin" w:cs="IRNazanin"/>
          <w:lang w:bidi="fa-IR"/>
          <w:color w:val="111111"/>
          <w:sz w:val="28"/>
          <w:szCs w:val="28"/>
          <w:rtl/>
        </w:rPr>
        <w:t xml:space="preserve">← تاریخ پادشاهان ایران← تاریخ سیاقی</w:t>
      </w:r>
    </w:p>
    <w:p>
      <w:pPr>
        <w:pStyle w:val="BookText"/>
      </w:pPr>
      <w:r>
        <w:rPr>
          <w:rFonts w:ascii="IRNazanin" w:hAnsi="IRNazanin" w:eastAsia="IRNazanin" w:cs="IRNazanin"/>
          <w:lang w:bidi="fa-IR"/>
          <w:color w:val="111111"/>
          <w:sz w:val="28"/>
          <w:szCs w:val="28"/>
          <w:rtl/>
        </w:rPr>
        <w:t xml:space="preserve">←تاریخ پادشاهان ایران← تاریخ سلاطین ایران</w:t>
      </w:r>
    </w:p>
    <w:p>
      <w:pPr>
        <w:pStyle w:val="BookText"/>
      </w:pPr>
      <w:r>
        <w:rPr>
          <w:rFonts w:ascii="IRNazanin" w:hAnsi="IRNazanin" w:eastAsia="IRNazanin" w:cs="IRNazanin"/>
          <w:lang w:bidi="fa-IR"/>
          <w:color w:val="111111"/>
          <w:sz w:val="28"/>
          <w:szCs w:val="28"/>
          <w:rtl/>
        </w:rPr>
        <w:t xml:space="preserve">←تاریخ پادشاهان ایران← مجمل التواریخ</w:t>
      </w:r>
    </w:p>
    <w:p>
      <w:pPr>
        <w:pStyle w:val="Heading3"/>
      </w:pPr>
      <w:bookmarkStart w:id="2127" w:name="_Toc1387"/>
      <w:r>
        <w:t>• تاریخ پادشاهان ایران = تاریخ ایران = خلاصة التواریخ / تاریخ ایران / فارسی</w:t>
      </w:r>
      <w:bookmarkEnd w:id="2127"/>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412" w:name="pg20363_209713"/>
    <w:bookmarkEnd w:id="412"/>
    <w:p>
      <w:pPr>
        <w:pStyle w:val="BookText"/>
      </w:pPr>
      <w:r>
        <w:rPr>
          <w:rFonts w:ascii="Times New Roman" w:hAnsi="Times New Roman" w:eastAsia="Times New Roman" w:cs="Times New Roman"/>
          <w:lang w:val="en-US" w:bidi="en-US"/>
          <w:color w:val="111111"/>
          <w:sz w:val="28"/>
          <w:szCs w:val="28"/>
          <w:rtl/>
        </w:rPr>
        <w:t xml:space="preserve">tārīx-e pādešāhān-e īrān = tārīx-e īrān = xolāsat-ot tavārīx</w:t>
      </w:r>
    </w:p>
    <w:p>
      <w:pPr>
        <w:pStyle w:val="BookText"/>
      </w:pPr>
      <w:r>
        <w:rPr>
          <w:rFonts w:ascii="IRNazanin" w:hAnsi="IRNazanin" w:eastAsia="IRNazanin" w:cs="IRNazanin"/>
          <w:lang w:bidi="fa-IR"/>
          <w:color w:val="111111"/>
          <w:sz w:val="28"/>
          <w:szCs w:val="28"/>
          <w:rtl/>
        </w:rPr>
        <w:t xml:space="preserve">ادیب کاشانی، احمد بن ابوالحسن، ق۱۳ قمری</w:t>
      </w:r>
    </w:p>
    <w:p>
      <w:pPr>
        <w:pStyle w:val="BookText"/>
      </w:pPr>
      <w:r>
        <w:rPr>
          <w:rFonts w:ascii="Times New Roman" w:hAnsi="Times New Roman" w:eastAsia="Times New Roman" w:cs="Times New Roman"/>
          <w:lang w:val="en-US" w:bidi="en-US"/>
          <w:color w:val="111111"/>
          <w:sz w:val="28"/>
          <w:szCs w:val="28"/>
          <w:rtl/>
        </w:rPr>
        <w:t xml:space="preserve">adīb kāšānī, ahmad ebn-e ab-ol-hasan (-19c)</w:t>
      </w:r>
    </w:p>
    <w:p>
      <w:pPr>
        <w:pStyle w:val="BookText"/>
      </w:pPr>
      <w:r>
        <w:rPr>
          <w:rFonts w:ascii="IRNazanin" w:hAnsi="IRNazanin" w:eastAsia="IRNazanin" w:cs="IRNazanin"/>
          <w:lang w:bidi="fa-IR"/>
          <w:color w:val="111111"/>
          <w:sz w:val="28"/>
          <w:szCs w:val="28"/>
          <w:rtl/>
        </w:rPr>
        <w:t xml:space="preserve">اهدا به: ناصرالدین شاه تاريخ تأليف: ۱۲۶۵ق نام پادشاهان ایران و توران و عثمانی و هند و مدت فرمانروایی آنها را به سیاق آورده است. منابع او در دیباچه یاد شده و از آنها است دساتیر و تاريخ الفي. تاريخ اجمالی سلاطین عجم که در ملک اسلام حکومت کرده اند، از پادشاهان قبل از اسلام پشدادیان شروع و به شاه سلیمان صفوی (۱۰۷۷-۱۱۰۵) ختم می کند، اول نام پادشاه را می آورد بعد سال جلوس و وقایع مهم دروه سلطنت وی را به طور فهرست وار و بعد وفات را با حساب سياق ذکر و در آخر آثار باقیمانده از دوره هر پادشاه را فهرست گونه می آورد به ضمیمه جدولی در کنی و القاب و اعقاب ائمه اطهار علیهم السلام. آغاز: بسمله. احمد اللهم مالک الملک ... و بعد چون علم تاریخ و اطلاع بر احوال سلاطين سالفه و اوضاع ماضيه علمی است شريف ... بخاطر این بنده ... احمد الاديب الكاشانی رسید که خلاصه ای از کتب تواریخ ... از سلاطین ایران و توران و روم و هند را ... از ... کیومرث الى يومنا هذا که یکهزار و دویست و شصت و پنج است که زمان دولت شهنشاه اعظم افخم [است] ذکر نمایم. انجام: ناصر الدین شاه بن محمد چهارده سال.</w:t>
      </w:r>
    </w:p>
    <w:p>
      <w:pPr>
        <w:pStyle w:val="BookText"/>
      </w:pPr>
      <w:r>
        <w:rPr>
          <w:rFonts w:ascii="IRNazanin" w:hAnsi="IRNazanin" w:eastAsia="IRNazanin" w:cs="IRNazanin"/>
          <w:lang w:bidi="fa-IR"/>
          <w:color w:val="111111"/>
          <w:sz w:val="28"/>
          <w:szCs w:val="28"/>
          <w:rtl/>
        </w:rPr>
        <w:t xml:space="preserve">[ دنا ۶۸۷/۲ -۶۸۸؛ فهرستواره منزوی ۸۴۴/۲ و ۸۵۳]</w:t>
      </w:r>
    </w:p>
    <w:p>
      <w:pPr>
        <w:pStyle w:val="BookText"/>
      </w:pPr>
      <w:r>
        <w:rPr>
          <w:rFonts w:ascii="IRNazanin" w:hAnsi="IRNazanin" w:eastAsia="IRNazanin" w:cs="IRNazanin"/>
          <w:lang w:bidi="fa-IR"/>
          <w:color w:val="111111"/>
          <w:sz w:val="28"/>
          <w:szCs w:val="28"/>
          <w:rtl/>
        </w:rPr>
        <w:t xml:space="preserve">۱. تهران؛ ملی؛ شماره نسخه: ۷۴۰</w:t>
      </w:r>
    </w:p>
    <w:p>
      <w:pPr>
        <w:pStyle w:val="BookText"/>
      </w:pPr>
      <w:r>
        <w:rPr>
          <w:rFonts w:ascii="IRNazanin" w:hAnsi="IRNazanin" w:eastAsia="IRNazanin" w:cs="IRNazanin"/>
          <w:lang w:bidi="fa-IR"/>
          <w:color w:val="111111"/>
          <w:sz w:val="28"/>
          <w:szCs w:val="28"/>
          <w:rtl/>
        </w:rPr>
        <w:t xml:space="preserve">آغاز و انجام: برابر خط: نسخ، كاتب = مؤلف، بی تا، جا: تهران؛ با سرلوح، مجدول مذهب؛ کاغذ: فرنگی، جلد: تیماج سبز، ۳۴گ، ۱۴ سطر (۱۱۶۶)،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۲-۲۶۱]</w:t>
      </w:r>
    </w:p>
    <w:p>
      <w:pPr>
        <w:pStyle w:val="BookText"/>
      </w:pPr>
      <w:r>
        <w:rPr>
          <w:rFonts w:ascii="IRNazanin" w:hAnsi="IRNazanin" w:eastAsia="IRNazanin" w:cs="IRNazanin"/>
          <w:lang w:bidi="fa-IR"/>
          <w:color w:val="111111"/>
          <w:sz w:val="28"/>
          <w:szCs w:val="28"/>
          <w:rtl/>
        </w:rPr>
        <w:t xml:space="preserve">۲. خوی؛ نمازی؛ شماره نسخه:۳۱۷/۵</w:t>
      </w:r>
    </w:p>
    <w:p>
      <w:pPr>
        <w:pStyle w:val="BookText"/>
      </w:pPr>
      <w:r>
        <w:rPr>
          <w:rFonts w:ascii="IRNazanin" w:hAnsi="IRNazanin" w:eastAsia="IRNazanin" w:cs="IRNazanin"/>
          <w:lang w:bidi="fa-IR"/>
          <w:color w:val="111111"/>
          <w:sz w:val="28"/>
          <w:szCs w:val="28"/>
          <w:rtl/>
        </w:rPr>
        <w:t xml:space="preserve">خط: نسخ، كا: اسماعيل بن محمد حسن حسینی زنوزی خویی، تا: ۱۲۴۳ق، واقف: شهید؛ جلد: تیماج ضربی با ترنج،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۱۵۸]</w:t>
      </w:r>
    </w:p>
    <w:p>
      <w:pPr>
        <w:pStyle w:val="BookText"/>
      </w:pPr>
      <w:r>
        <w:rPr>
          <w:rFonts w:ascii="IRNazanin" w:hAnsi="IRNazanin" w:eastAsia="IRNazanin" w:cs="IRNazanin"/>
          <w:lang w:bidi="fa-IR"/>
          <w:color w:val="111111"/>
          <w:sz w:val="28"/>
          <w:szCs w:val="28"/>
          <w:rtl/>
        </w:rPr>
        <w:t xml:space="preserve">٣. تهران، دانشگاه؛ شماره نسخه:۳۱۱۵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۱۴؛ مجدول، یادداشت های تاریخی ۱۲۶۴ و ۱۳۱۳ و ۱۳۲۹ق و ۱۲۹۹ و ۱۳۰۴ش در پایان؛ کاغذ: فرنگی، جلد: تیماج سرخ زرکوب عطف و درون سبز، ۴۷گ، ۱۲ سطر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۹سم [ف: ۱۱-۲۰۷۰]</w:t>
      </w:r>
    </w:p>
    <w:p>
      <w:pPr>
        <w:pStyle w:val="BookText"/>
      </w:pPr>
      <w:r>
        <w:rPr>
          <w:rFonts w:ascii="IRNazanin" w:hAnsi="IRNazanin" w:eastAsia="IRNazanin" w:cs="IRNazanin"/>
          <w:lang w:bidi="fa-IR"/>
          <w:color w:val="111111"/>
          <w:sz w:val="28"/>
          <w:szCs w:val="28"/>
          <w:rtl/>
        </w:rPr>
        <w:t xml:space="preserve">۴. قم؛ مرعشی؛ شماره نسخه:۷۳۴۰/۳</w:t>
      </w:r>
    </w:p>
    <w:p>
      <w:pPr>
        <w:pStyle w:val="BookText"/>
      </w:pPr>
      <w:r>
        <w:rPr>
          <w:rFonts w:ascii="IRNazanin" w:hAnsi="IRNazanin" w:eastAsia="IRNazanin" w:cs="IRNazanin"/>
          <w:lang w:bidi="fa-IR"/>
          <w:color w:val="111111"/>
          <w:sz w:val="28"/>
          <w:szCs w:val="28"/>
          <w:rtl/>
        </w:rPr>
        <w:t xml:space="preserve">آغاز: برابر؛ انجام: سلطان العصر محمد شاه قاجار انشاء الله تعالی بعمر طبیعی برسد.</w:t>
      </w:r>
    </w:p>
    <w:p>
      <w:pPr>
        <w:pStyle w:val="BookText"/>
      </w:pPr>
      <w:r>
        <w:rPr>
          <w:rFonts w:ascii="IRNazanin" w:hAnsi="IRNazanin" w:eastAsia="IRNazanin" w:cs="IRNazanin"/>
          <w:lang w:bidi="fa-IR"/>
          <w:color w:val="111111"/>
          <w:sz w:val="28"/>
          <w:szCs w:val="28"/>
          <w:rtl/>
        </w:rPr>
        <w:t xml:space="preserve">خط: نسخ، بی کا، بی تا؛ جلد: تیماج سبز عطف تیماج مشکی، ۱۶گ (۴۴پ۵۹پ)، اندازه:</w:t>
      </w:r>
    </w:p>
    <w:p>
      <w:pPr>
        <w:pStyle w:val="BookText"/>
      </w:pPr>
      <w:r>
        <w:rPr>
          <w:rFonts w:ascii="IRNazanin" w:hAnsi="IRNazanin" w:eastAsia="IRNazanin" w:cs="IRNazanin"/>
          <w:lang w:bidi="fa-IR"/>
          <w:color w:val="111111"/>
          <w:sz w:val="28"/>
          <w:szCs w:val="28"/>
          <w:rtl/>
        </w:rPr>
        <w:t xml:space="preserve">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۱۹-۱۳۳]</w:t>
      </w:r>
    </w:p>
    <w:p>
      <w:pPr>
        <w:pStyle w:val="BookText"/>
      </w:pPr>
      <w:r>
        <w:rPr>
          <w:rFonts w:ascii="IRNazanin" w:hAnsi="IRNazanin" w:eastAsia="IRNazanin" w:cs="IRNazanin"/>
          <w:lang w:bidi="fa-IR"/>
          <w:color w:val="111111"/>
          <w:sz w:val="28"/>
          <w:szCs w:val="28"/>
          <w:rtl/>
        </w:rPr>
        <w:t xml:space="preserve">۵. تهران، دانشگاه؛ شماره نسخه: ۵۵۱۹/۱</w:t>
      </w:r>
    </w:p>
    <w:p>
      <w:pPr>
        <w:pStyle w:val="BookText"/>
      </w:pPr>
      <w:r>
        <w:rPr>
          <w:rFonts w:ascii="IRNazanin" w:hAnsi="IRNazanin" w:eastAsia="IRNazanin" w:cs="IRNazanin"/>
          <w:lang w:bidi="fa-IR"/>
          <w:color w:val="111111"/>
          <w:sz w:val="28"/>
          <w:szCs w:val="28"/>
          <w:rtl/>
        </w:rPr>
        <w:t xml:space="preserve">خط: نسخ، كا: ابن ملا محمد مهدی آقا بابا شهمیرزادی، بی تاب کاغذ: فرنگی، جلد: تیماج سبز تیره، ۱۸گ (۱پ-۱۸ر)، ۱۹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۱۶-۲۷]</w:t>
      </w:r>
    </w:p>
    <w:p>
      <w:pPr>
        <w:pStyle w:val="Heading3"/>
      </w:pPr>
      <w:bookmarkStart w:id="2128" w:name="_Toc1388"/>
      <w:r>
        <w:t>•تاریخ پادشاهان ایران / تاریخ ایران / فارسی</w:t>
      </w:r>
      <w:bookmarkEnd w:id="2128"/>
    </w:p>
    <w:p>
      <w:pPr>
        <w:pStyle w:val="BookText"/>
      </w:pPr>
      <w:r>
        <w:rPr>
          <w:rFonts w:ascii="Times New Roman" w:hAnsi="Times New Roman" w:eastAsia="Times New Roman" w:cs="Times New Roman"/>
          <w:lang w:val="en-US" w:bidi="en-US"/>
          <w:color w:val="111111"/>
          <w:sz w:val="28"/>
          <w:szCs w:val="28"/>
          <w:rtl/>
        </w:rPr>
        <w:t xml:space="preserve">tārīx-e pādešāhān-e īrān</w:t>
      </w:r>
    </w:p>
    <w:p>
      <w:pPr>
        <w:pStyle w:val="BookText"/>
      </w:pPr>
      <w:r>
        <w:rPr>
          <w:rFonts w:ascii="IRNazanin" w:hAnsi="IRNazanin" w:eastAsia="IRNazanin" w:cs="IRNazanin"/>
          <w:lang w:bidi="fa-IR"/>
          <w:color w:val="111111"/>
          <w:sz w:val="28"/>
          <w:szCs w:val="28"/>
          <w:rtl/>
        </w:rPr>
        <w:t xml:space="preserve">غیر همانند: ۱. تهران؛ ملک؛ شماره نسخه: ۱۴۸۱/۸</w:t>
      </w:r>
    </w:p>
    <w:p>
      <w:pPr>
        <w:pStyle w:val="BookText"/>
      </w:pPr>
      <w:r>
        <w:rPr>
          <w:rFonts w:ascii="IRNazanin" w:hAnsi="IRNazanin" w:eastAsia="IRNazanin" w:cs="IRNazanin"/>
          <w:lang w:bidi="fa-IR"/>
          <w:color w:val="111111"/>
          <w:sz w:val="28"/>
          <w:szCs w:val="28"/>
          <w:rtl/>
        </w:rPr>
        <w:t xml:space="preserve">تاریخ پادشاهان روزگار عباسی از طاهریان تا مغولان؛ بی کا، تا: قرن ۱۳ کاغذ: آهار مهره قورخانه ای، جلد: میشن یشمی، ۵گ (۲۵۲ر -۲۵۶ر)،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۵-۲۷۳]</w:t>
      </w:r>
    </w:p>
    <w:p>
      <w:pPr>
        <w:pStyle w:val="BookText"/>
      </w:pPr>
      <w:r>
        <w:rPr>
          <w:rFonts w:ascii="IRNazanin" w:hAnsi="IRNazanin" w:eastAsia="IRNazanin" w:cs="IRNazanin"/>
          <w:lang w:bidi="fa-IR"/>
          <w:color w:val="111111"/>
          <w:sz w:val="28"/>
          <w:szCs w:val="28"/>
          <w:rtl/>
        </w:rPr>
        <w:t xml:space="preserve">۲. تهران: ملک؛ شماره نسخه: ۱۴۸۱/۹</w:t>
      </w:r>
    </w:p>
    <w:p>
      <w:pPr>
        <w:pStyle w:val="BookText"/>
      </w:pPr>
      <w:r>
        <w:rPr>
          <w:rFonts w:ascii="IRNazanin" w:hAnsi="IRNazanin" w:eastAsia="IRNazanin" w:cs="IRNazanin"/>
          <w:lang w:bidi="fa-IR"/>
          <w:color w:val="111111"/>
          <w:sz w:val="28"/>
          <w:szCs w:val="28"/>
          <w:rtl/>
        </w:rPr>
        <w:t xml:space="preserve">تاریخ پادشاهان ایران پیش از يورش از سامانیان و اشکانیان و کیان؛ بی کا، تا: قرن ۱۳؛ در ۲۶۲پ سرگذشت فریدون و ضحاک و جمشید است؛ کاغذ: آهار مهره قورخانه ای، جلد: میشن یشمی، 1گ (۲۵۶-۲۶۲پ)،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۵-۲۷۳]</w:t>
      </w:r>
    </w:p>
    <w:p>
      <w:pPr>
        <w:pStyle w:val="BookText"/>
      </w:pPr>
      <w:r>
        <w:rPr>
          <w:rFonts w:ascii="IRNazanin" w:hAnsi="IRNazanin" w:eastAsia="IRNazanin" w:cs="IRNazanin"/>
          <w:lang w:bidi="fa-IR"/>
          <w:color w:val="111111"/>
          <w:sz w:val="28"/>
          <w:szCs w:val="28"/>
          <w:rtl/>
        </w:rPr>
        <w:t xml:space="preserve">٣. قم؛ مرعشی؛ شماره نسخه: ۷۹۵۲/۱</w:t>
      </w:r>
    </w:p>
    <w:p>
      <w:pPr>
        <w:pStyle w:val="BookText"/>
      </w:pPr>
      <w:r>
        <w:rPr>
          <w:rFonts w:ascii="IRNazanin" w:hAnsi="IRNazanin" w:eastAsia="IRNazanin" w:cs="IRNazanin"/>
          <w:lang w:bidi="fa-IR"/>
          <w:color w:val="111111"/>
          <w:sz w:val="28"/>
          <w:szCs w:val="28"/>
          <w:rtl/>
        </w:rPr>
        <w:t xml:space="preserve">آغاز: بعد از تقدیم حمد و ثنای، نظم پادشاهی که پادشاهان را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پادشاهی بمحض قدرت اوست؛ انجام: درود از فضل حق بادا مکرر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بر او و اولاد او تا روز محشر تاریخ مختصری است از پادشاهان پیشدادیان و کیانیان و اکشانیان و ساسانیان و ملوک تابع خاندان اخير قبل از ظهور اسلام. این قطعه بخش دوم از کتابی است بزرگی که به بخش چهارم آن نیز حوالت داده شده است؛ خط: نستعلیق، بی کا، تا: ۱۴ ربیع الثانی ۱۲۶۸ق؛ جلد: تیماج قهوه ای، ۶۶گ (اپ-۶۶پ)، ۱۷ سطر،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۲۰-۲۸۷]</w:t>
      </w:r>
    </w:p>
    <w:p>
      <w:pPr>
        <w:pStyle w:val="BookText"/>
      </w:pPr>
      <w:r>
        <w:rPr>
          <w:rFonts w:ascii="IRNazanin" w:hAnsi="IRNazanin" w:eastAsia="IRNazanin" w:cs="IRNazanin"/>
          <w:lang w:bidi="fa-IR"/>
          <w:color w:val="111111"/>
          <w:sz w:val="28"/>
          <w:szCs w:val="28"/>
          <w:rtl/>
        </w:rPr>
        <w:t xml:space="preserve">۴. قم، مرکز احیاء؛ شماره نسخه:۱۴۰۸</w:t>
      </w:r>
    </w:p>
    <w:p>
      <w:pPr>
        <w:pStyle w:val="BookText"/>
      </w:pPr>
      <w:r>
        <w:rPr>
          <w:rFonts w:ascii="IRNazanin" w:hAnsi="IRNazanin" w:eastAsia="IRNazanin" w:cs="IRNazanin"/>
          <w:lang w:bidi="fa-IR"/>
          <w:color w:val="111111"/>
          <w:sz w:val="28"/>
          <w:szCs w:val="28"/>
          <w:rtl/>
        </w:rPr>
        <w:t xml:space="preserve">خط: نستعلیق، بی کا، بی تا؛ روی برگ اول یادداشتی است به تاریخ جمعه هشتم ذیقعده ۱۲۶۴؛ جلد: تیماج آبی، ۱۲۱ گ، مختلف السطر،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۴-۲۴۲]</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مرکز احیاء؛ شماره نسخه:۱۰۵۴</w:t>
      </w:r>
    </w:p>
    <w:p>
      <w:pPr>
        <w:pStyle w:val="BookText"/>
      </w:pPr>
      <w:r>
        <w:rPr>
          <w:rFonts w:ascii="IRNazanin" w:hAnsi="IRNazanin" w:eastAsia="IRNazanin" w:cs="IRNazanin"/>
          <w:lang w:bidi="fa-IR"/>
          <w:color w:val="111111"/>
          <w:sz w:val="28"/>
          <w:szCs w:val="28"/>
          <w:rtl/>
        </w:rPr>
        <w:t xml:space="preserve">آغاز: از آغاز جهانگیری چنگیز خان و تاخت و تاز لشکر مغول تا انجام شهر پاری زندیان که پانصد و شصت و نه سال است؛ انجام پس از این داستان کیخسرو خان بخونخواهی برادرش گماشته شده او نیز کشته گردید پس از آن محمد زمان خان. تاریخ نسبتا مختصر و نیکویی است از پادشاهان و حکمفرمایانی که در ایران حکومت داشته اند از آغاز پادشاهی مغولیان (سال ۶۳۶) تا حکومت زندیان (سال ۱۲۰۵)، که مجموعا، بنا به نوشته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413" w:name="pg20363_209714"/>
    <w:bookmarkEnd w:id="413"/>
    <w:p>
      <w:pPr>
        <w:pStyle w:val="BookText"/>
      </w:pPr>
      <w:r>
        <w:rPr>
          <w:rFonts w:ascii="IRNazanin" w:hAnsi="IRNazanin" w:eastAsia="IRNazanin" w:cs="IRNazanin"/>
          <w:lang w:bidi="fa-IR"/>
          <w:color w:val="111111"/>
          <w:sz w:val="28"/>
          <w:szCs w:val="28"/>
          <w:rtl/>
        </w:rPr>
        <w:t xml:space="preserve">مؤلف این کتاب شانزده گروه می باشند. در هر گروه پادشاهان و حکمرانان آنها به ترتیب تاریخی ذکر می شوند و رویدادهای عصر هر یک را می آورد و بزرگان و علمای آن روزگار را برمی شمارد. این نسخه تا آغاز گروه نهمین (افغانان) را دارد؛ خط: نستعلیق خوش، بی کا، بی تا، افتادگی: انجام؛ یادداشتی روی برگ اول به تاریخ چهارشنبه یازدهم شعبان ۱۳۲۰ می نویسد که کتاب را در مقابل اجاره اطاقی نوشته است؛ جلد: گالینگور سبز، ۱۷۷گ، ۱۰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۳-۲۸۷]</w:t>
      </w:r>
    </w:p>
    <w:p>
      <w:pPr>
        <w:pStyle w:val="BookText"/>
      </w:pPr>
      <w:r>
        <w:rPr>
          <w:rFonts w:ascii="IRNazanin" w:hAnsi="IRNazanin" w:eastAsia="IRNazanin" w:cs="IRNazanin"/>
          <w:lang w:bidi="fa-IR"/>
          <w:color w:val="111111"/>
          <w:sz w:val="28"/>
          <w:szCs w:val="28"/>
          <w:rtl/>
        </w:rPr>
        <w:t xml:space="preserve">←تاریخ پادشاهان عجم← تاریخ سیاقی</w:t>
      </w:r>
    </w:p>
    <w:p>
      <w:pPr>
        <w:pStyle w:val="BookText"/>
      </w:pPr>
      <w:r>
        <w:rPr>
          <w:rFonts w:ascii="IRNazanin" w:hAnsi="IRNazanin" w:eastAsia="IRNazanin" w:cs="IRNazanin"/>
          <w:lang w:bidi="fa-IR"/>
          <w:color w:val="111111"/>
          <w:sz w:val="28"/>
          <w:szCs w:val="28"/>
          <w:rtl/>
        </w:rPr>
        <w:t xml:space="preserve">← تاریخ پادشاهان عجم← مجمل التواريخ</w:t>
      </w:r>
    </w:p>
    <w:p>
      <w:pPr>
        <w:pStyle w:val="Heading3"/>
      </w:pPr>
      <w:bookmarkStart w:id="2129" w:name="_Toc1389"/>
      <w:r>
        <w:t>• تاریخ پادشاهان عجم = مجمل التواریخ / تاریخ ایران/فارسی</w:t>
      </w:r>
      <w:bookmarkEnd w:id="2129"/>
    </w:p>
    <w:p>
      <w:pPr>
        <w:pStyle w:val="BookText"/>
      </w:pPr>
      <w:r>
        <w:rPr>
          <w:rFonts w:ascii="Times New Roman" w:hAnsi="Times New Roman" w:eastAsia="Times New Roman" w:cs="Times New Roman"/>
          <w:lang w:val="en-US" w:bidi="en-US"/>
          <w:color w:val="111111"/>
          <w:sz w:val="28"/>
          <w:szCs w:val="28"/>
          <w:rtl/>
        </w:rPr>
        <w:t xml:space="preserve">tārīx-e pādešāhān-e ‘ajam = mojmal-ot tavārīx</w:t>
      </w:r>
    </w:p>
    <w:p>
      <w:pPr>
        <w:pStyle w:val="BookText"/>
      </w:pPr>
      <w:r>
        <w:rPr>
          <w:rFonts w:ascii="IRNazanin" w:hAnsi="IRNazanin" w:eastAsia="IRNazanin" w:cs="IRNazanin"/>
          <w:lang w:bidi="fa-IR"/>
          <w:color w:val="111111"/>
          <w:sz w:val="28"/>
          <w:szCs w:val="28"/>
          <w:rtl/>
        </w:rPr>
        <w:t xml:space="preserve">محمد ابراهيم بن اسماعیل، ق ۱۱ قمری</w:t>
      </w:r>
    </w:p>
    <w:p>
      <w:pPr>
        <w:pStyle w:val="BookText"/>
      </w:pPr>
      <w:r>
        <w:rPr>
          <w:rFonts w:ascii="Times New Roman" w:hAnsi="Times New Roman" w:eastAsia="Times New Roman" w:cs="Times New Roman"/>
          <w:lang w:val="en-US" w:bidi="en-US"/>
          <w:color w:val="111111"/>
          <w:sz w:val="28"/>
          <w:szCs w:val="28"/>
          <w:rtl/>
        </w:rPr>
        <w:t xml:space="preserve">mohammad ebrāhīm ebn-e esmāʻīl (-17c)</w:t>
      </w:r>
    </w:p>
    <w:p>
      <w:pPr>
        <w:pStyle w:val="BookText"/>
      </w:pPr>
      <w:r>
        <w:rPr>
          <w:rFonts w:ascii="IRNazanin" w:hAnsi="IRNazanin" w:eastAsia="IRNazanin" w:cs="IRNazanin"/>
          <w:lang w:bidi="fa-IR"/>
          <w:color w:val="111111"/>
          <w:sz w:val="28"/>
          <w:szCs w:val="28"/>
          <w:rtl/>
        </w:rPr>
        <w:t xml:space="preserve">مجمل تواریخ پادشاهان ایران است از کیومرث تا شاه صفی اعداد و رقم ها به سیاق است. نویسنده این تاریخ ریزه کاری های</w:t>
      </w:r>
    </w:p>
    <w:p>
      <w:pPr>
        <w:pStyle w:val="BookText"/>
      </w:pPr>
      <w:r>
        <w:rPr>
          <w:rFonts w:ascii="IRNazanin" w:hAnsi="IRNazanin" w:eastAsia="IRNazanin" w:cs="IRNazanin"/>
          <w:lang w:bidi="fa-IR"/>
          <w:color w:val="111111"/>
          <w:sz w:val="28"/>
          <w:szCs w:val="28"/>
          <w:rtl/>
        </w:rPr>
        <w:t xml:space="preserve">جالب و نکته های تاریخی سودمند در این کتاب خود گنجانیده و نیز روشی خاص و غریب دارد. از عنوانها چنین فهمیده می شود که کتاب دارای هفتاد «مجمل»، پنجاه و هفت «حرف» و چند «دفعه است». مؤلف در ذیل تاریخ شاه اسماعیل اول، فهرست اسامی سادات، فضلا و شعرای معاصر آن پادشاه را یاد می کند و القاب «مولانا» «قاضی» یا «امیر» را بالای نام ها چنان می نویسد که در نظر اول شبیه به اعداد سياق است. اینک آن فهرست: سادات عظام و فضلاء کرام و شعرا که معاصر آن حضرت بوده اند: صدرالدین محمد، غیاث الدین منصور، جلال دوانی، نورالدین سعید، ابو یزید، شرف الدین علی، عبدالله، اهلی شیرازی، نعمة الله ثانی، تاج الدین کرمانی، میر حسین یزدی، غیاث الدین محمد، توانا اصفهانی، قوام الدین حسین، معز الدين محمد، نورالدین، اسمعیل شنب غازانی، عبدالوهاب، صفي الله، مسافر، مسیح، بغدادی، عبدالصمد، بیک قناد، علاء الدين، حسین، ابراهیم علی، محمد، زين الدين على نعمة الله حلی، ضياء الدين، نور الدين عبد الله، دهکی، شهیدی، شمس الدين محمد، جعفر، قاسم نور علی، قوام الدین شمس الله بن على، بهاء الدوله، امیری، رکن الدین محمد، قاسم نجفی، سلطان حسین، شمس الدین علی سبزواری، ابوالقاسم، جعفر، زاده محمد، على اکبر، غیاث الدین محمد، محمد مولوی، نظام الدين على استر آبادی، علاءالدوله ثانی، ابوالحسن رازی، کمال الدين حسین، عبدالحسین مصری، سید احمد قاسم، محمد مؤمن، عبد المؤمن، خاطر واعظ، نظام الدین بیک، نظام الدین احمد جیلانی.</w:t>
      </w:r>
    </w:p>
    <w:p>
      <w:pPr>
        <w:pStyle w:val="BookText"/>
      </w:pPr>
      <w:r>
        <w:rPr>
          <w:rFonts w:ascii="IRNazanin" w:hAnsi="IRNazanin" w:eastAsia="IRNazanin" w:cs="IRNazanin"/>
          <w:lang w:bidi="fa-IR"/>
          <w:color w:val="111111"/>
          <w:sz w:val="28"/>
          <w:szCs w:val="28"/>
          <w:rtl/>
        </w:rPr>
        <w:t xml:space="preserve">[استوری ۱۲۷۱/۱ ؛ فهرستواره منزوی ۸۵۴/۲ ]</w:t>
      </w:r>
    </w:p>
    <w:p>
      <w:pPr>
        <w:pStyle w:val="BookText"/>
      </w:pPr>
      <w:r>
        <w:rPr>
          <w:rFonts w:ascii="IRNazanin" w:hAnsi="IRNazanin" w:eastAsia="IRNazanin" w:cs="IRNazanin"/>
          <w:lang w:bidi="fa-IR"/>
          <w:color w:val="111111"/>
          <w:sz w:val="28"/>
          <w:szCs w:val="28"/>
          <w:rtl/>
        </w:rPr>
        <w:t xml:space="preserve">۱. تهران: مجلس؛ شماره نسخه:۵۶۹۸</w:t>
      </w:r>
    </w:p>
    <w:p>
      <w:pPr>
        <w:pStyle w:val="BookText"/>
      </w:pPr>
      <w:r>
        <w:rPr>
          <w:rFonts w:ascii="IRNazanin" w:hAnsi="IRNazanin" w:eastAsia="IRNazanin" w:cs="IRNazanin"/>
          <w:lang w:bidi="fa-IR"/>
          <w:color w:val="111111"/>
          <w:sz w:val="28"/>
          <w:szCs w:val="28"/>
          <w:rtl/>
        </w:rPr>
        <w:t xml:space="preserve">آغاز: از تاریخ پادشاهان عجم که در مملکت ایران سلطنت کرده اند از ابتداء سلطنت کیومرث ... الى جلوس شاه عباس (گویا منظور شاه عباس ثانی است که پس از شاه صفی جلوس کرده است).؛ انجام: در لوى ئیل سنه ۱۰۴۹ ییلاق و غشلاق در دارالسلطنه اصفهان واقع شد ... و در سنه ۱۰۵۰ نواب رضوان جایگاه همایون بعزم يورش دار القرار قندهار ... در... کاشان مریض شد بتاريخ ... ۱۸ صفر ... انتقال فرمودند. مدت سلطنتش بیست و دو عام (بسیاق) و ۷ ماه.</w:t>
      </w:r>
    </w:p>
    <w:p>
      <w:pPr>
        <w:pStyle w:val="BookText"/>
      </w:pPr>
      <w:r>
        <w:rPr>
          <w:rFonts w:ascii="IRNazanin" w:hAnsi="IRNazanin" w:eastAsia="IRNazanin" w:cs="IRNazanin"/>
          <w:lang w:bidi="fa-IR"/>
          <w:color w:val="111111"/>
          <w:sz w:val="28"/>
          <w:szCs w:val="28"/>
          <w:rtl/>
        </w:rPr>
        <w:t xml:space="preserve">خط: نستعلیق، بی کا، تا: قرن ۱۱؛ مهر: «عبده محمد ابراهيم بن اسماعيل» (بیضی) و به نظر می رسد نویسنده کتاب او باشد؛ مجدول؛ کاغذ: اصفهانی، جلد: تیماج قهوه ای، ۱۴۴ص، مختلف السطر، قطع: وزیری، اندازه: ۲۷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۱۷-۱۵۳]</w:t>
      </w:r>
    </w:p>
    <w:p>
      <w:pPr>
        <w:pStyle w:val="BookText"/>
      </w:pPr>
      <w:r>
        <w:rPr>
          <w:rFonts w:ascii="IRNazanin" w:hAnsi="IRNazanin" w:eastAsia="IRNazanin" w:cs="IRNazanin"/>
          <w:lang w:bidi="fa-IR"/>
          <w:color w:val="111111"/>
          <w:sz w:val="28"/>
          <w:szCs w:val="28"/>
          <w:rtl/>
        </w:rPr>
        <w:t xml:space="preserve">۲. تهران؛ مجلس؛ شماره نسخه:۱۴۸۳۱</w:t>
      </w:r>
    </w:p>
    <w:p>
      <w:pPr>
        <w:pStyle w:val="BookText"/>
      </w:pPr>
      <w:r>
        <w:rPr>
          <w:rFonts w:ascii="IRNazanin" w:hAnsi="IRNazanin" w:eastAsia="IRNazanin" w:cs="IRNazanin"/>
          <w:lang w:bidi="fa-IR"/>
          <w:color w:val="111111"/>
          <w:sz w:val="28"/>
          <w:szCs w:val="28"/>
          <w:rtl/>
        </w:rPr>
        <w:t xml:space="preserve">آغاز: مجمل از تاریخ پادشاهان عجم که در مملکت ایران سلطنت کرده اند از ابتداء سلطنت کیومرث تا شاه صفی از کیومرث تا حوادث سال ۱۰۵۰ و ذکر فوت شاه صفی صفوی؛ خط: شکسته نستعلیق، بی کا، تا: قرن ۱۲، جلد: تیماج قهوه ای، ۷۱گ، مختلف السطر، اندازه:</w:t>
      </w:r>
    </w:p>
    <w:p>
      <w:pPr>
        <w:pStyle w:val="BookText"/>
      </w:pPr>
      <w:r>
        <w:rPr>
          <w:rFonts w:ascii="IRNazanin" w:hAnsi="IRNazanin" w:eastAsia="IRNazanin" w:cs="IRNazanin"/>
          <w:lang w:bidi="fa-IR"/>
          <w:color w:val="111111"/>
          <w:sz w:val="28"/>
          <w:szCs w:val="28"/>
          <w:rtl/>
        </w:rPr>
        <w:t xml:space="preserve">۲۳/۳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۲۳۵۴۱]</w:t>
      </w:r>
    </w:p>
    <w:p>
      <w:pPr>
        <w:pStyle w:val="BookText"/>
      </w:pPr>
      <w:r>
        <w:rPr>
          <w:rFonts w:ascii="IRNazanin" w:hAnsi="IRNazanin" w:eastAsia="IRNazanin" w:cs="IRNazanin"/>
          <w:lang w:bidi="fa-IR"/>
          <w:color w:val="111111"/>
          <w:sz w:val="28"/>
          <w:szCs w:val="28"/>
          <w:rtl/>
        </w:rPr>
        <w:t xml:space="preserve">٣. اصفهان؛ صارم الدوله (كتابخانه فرهنگ اصفهان)؛ شماره نسخه:۹۸۴</w:t>
      </w:r>
    </w:p>
    <w:p>
      <w:pPr>
        <w:pStyle w:val="BookText"/>
      </w:pPr>
      <w:r>
        <w:rPr>
          <w:rFonts w:ascii="IRNazanin" w:hAnsi="IRNazanin" w:eastAsia="IRNazanin" w:cs="IRNazanin"/>
          <w:lang w:bidi="fa-IR"/>
          <w:color w:val="111111"/>
          <w:sz w:val="28"/>
          <w:szCs w:val="28"/>
          <w:rtl/>
        </w:rPr>
        <w:t xml:space="preserve">آغاز: بسمله، مجمل التاريخ پادشاهان عجم که در ملک ایران سلطنت کرده اند از ابتدا کیومرث که بعضی او را آدم عليه السلام؛ انجام: منوچهر خان حاکم مشهد مقدس شد بمدافعه او رفته ابوالغازی گرفتار شد و سیچقان ئیل و اودئیل ۱۰۴۶ اردوی معلی در اصفهان نزول اجلال داشته در فهرست ناشناس است. از کیومرث تا قسمتی از شاه عباس؛ خط: نستعلیق، بی کا، تا: قرن ۱۳؛ کاغذ: فرنگی، جلد: مقوایی با روکش تیماج سبز، ۱۷۲ص، ۱۳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۱۰۵]</w:t>
      </w:r>
    </w:p>
    <w:p>
      <w:pPr>
        <w:pStyle w:val="Heading3"/>
      </w:pPr>
      <w:bookmarkStart w:id="2130" w:name="_Toc1390"/>
      <w:r>
        <w:t>•تاریخ پادشاهان عجم / تاریخ ایران / فارسی</w:t>
      </w:r>
      <w:bookmarkEnd w:id="2130"/>
    </w:p>
    <w:p>
      <w:pPr>
        <w:pStyle w:val="BookText"/>
      </w:pPr>
      <w:r>
        <w:rPr>
          <w:rFonts w:ascii="Times New Roman" w:hAnsi="Times New Roman" w:eastAsia="Times New Roman" w:cs="Times New Roman"/>
          <w:lang w:val="en-US" w:bidi="en-US"/>
          <w:color w:val="111111"/>
          <w:sz w:val="28"/>
          <w:szCs w:val="28"/>
          <w:rtl/>
        </w:rPr>
        <w:t xml:space="preserve">tārīx-e pādešāhān-e 'ajam</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همدان؛ دانشگاه بوعلی؛ شماره نسخه:۱۴</w:t>
      </w:r>
    </w:p>
    <w:p>
      <w:pPr>
        <w:pStyle w:val="BookText"/>
      </w:pPr>
      <w:r>
        <w:rPr>
          <w:rFonts w:ascii="IRNazanin" w:hAnsi="IRNazanin" w:eastAsia="IRNazanin" w:cs="IRNazanin"/>
          <w:lang w:bidi="fa-IR"/>
          <w:color w:val="111111"/>
          <w:sz w:val="28"/>
          <w:szCs w:val="28"/>
          <w:rtl/>
        </w:rPr>
        <w:t xml:space="preserve">آغاز: اول احوال پادشاهان که قبل از ظهور اسلام پادشاهی کرده اند، دفعه اول احوال پیشدادیان و آثار و اختراع ایشان تاریخ بسیار مختصری است از پادشاهانی که بر ایران حکمرانی کرده اند، از پیشدادیان تا صفویان ( شاه صفی)، تاریخ ها سیاق و در آن بعضی از خصوصیات جغرافیائی ایران نیز آمده است؛ خط: نستعلیق، کا: محمد محسن بن مرتضی ساکن اشرف مازندران، تا: ۲۸ شعبان ۱۰۷۸ق، جا: دارالفتح اوجین، به دستور مرتضی قلی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414" w:name="pg20363_209715"/>
    <w:bookmarkEnd w:id="414"/>
    <w:p>
      <w:pPr>
        <w:pStyle w:val="BookText"/>
      </w:pPr>
      <w:r>
        <w:rPr>
          <w:rFonts w:ascii="IRNazanin" w:hAnsi="IRNazanin" w:eastAsia="IRNazanin" w:cs="IRNazanin"/>
          <w:lang w:bidi="fa-IR"/>
          <w:color w:val="111111"/>
          <w:sz w:val="28"/>
          <w:szCs w:val="28"/>
          <w:rtl/>
        </w:rPr>
        <w:t xml:space="preserve">خان بیک؛ ۳۹گ، مختلف السطر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[ف: ۱۴]</w:t>
      </w:r>
    </w:p>
    <w:p>
      <w:pPr>
        <w:pStyle w:val="BookText"/>
      </w:pPr>
      <w:r>
        <w:rPr>
          <w:rFonts w:ascii="IRNazanin" w:hAnsi="IRNazanin" w:eastAsia="IRNazanin" w:cs="IRNazanin"/>
          <w:lang w:bidi="fa-IR"/>
          <w:color w:val="111111"/>
          <w:sz w:val="28"/>
          <w:szCs w:val="28"/>
          <w:rtl/>
        </w:rPr>
        <w:t xml:space="preserve">٢. مشهد؛ میبدی؛ شماره نسخه:۳۱۹</w:t>
      </w:r>
    </w:p>
    <w:p>
      <w:pPr>
        <w:pStyle w:val="BookText"/>
      </w:pPr>
      <w:r>
        <w:rPr>
          <w:rFonts w:ascii="IRNazanin" w:hAnsi="IRNazanin" w:eastAsia="IRNazanin" w:cs="IRNazanin"/>
          <w:lang w:bidi="fa-IR"/>
          <w:color w:val="111111"/>
          <w:sz w:val="28"/>
          <w:szCs w:val="28"/>
          <w:rtl/>
        </w:rPr>
        <w:t xml:space="preserve">همان تاریخ سیاقی است؛ خط: نستعلیق خوب، بی کا، تا: قرن ۱۳؛ جلد: تیماج قهوه ای ضربی، ۸۳گ، مختلف السطر،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۲-۴۶]</w:t>
      </w:r>
    </w:p>
    <w:p>
      <w:pPr>
        <w:pStyle w:val="BookText"/>
      </w:pPr>
      <w:r>
        <w:rPr>
          <w:rFonts w:ascii="IRNazanin" w:hAnsi="IRNazanin" w:eastAsia="IRNazanin" w:cs="IRNazanin"/>
          <w:lang w:bidi="fa-IR"/>
          <w:color w:val="111111"/>
          <w:sz w:val="28"/>
          <w:szCs w:val="28"/>
          <w:rtl/>
        </w:rPr>
        <w:t xml:space="preserve">٣. تهران؛ موزه ملی؛ شماره نسخه:۱۷</w:t>
      </w:r>
    </w:p>
    <w:p>
      <w:pPr>
        <w:pStyle w:val="BookText"/>
      </w:pPr>
      <w:r>
        <w:rPr>
          <w:rFonts w:ascii="IRNazanin" w:hAnsi="IRNazanin" w:eastAsia="IRNazanin" w:cs="IRNazanin"/>
          <w:lang w:bidi="fa-IR"/>
          <w:color w:val="111111"/>
          <w:sz w:val="28"/>
          <w:szCs w:val="28"/>
          <w:rtl/>
        </w:rPr>
        <w:t xml:space="preserve">خط: نستعلیق، بی کا، تا: قرن ۱۳ نشریه: ۳-۱۱۹]</w:t>
      </w:r>
    </w:p>
    <w:p>
      <w:pPr>
        <w:pStyle w:val="BookText"/>
      </w:pPr>
      <w:r>
        <w:rPr>
          <w:rFonts w:ascii="IRNazanin" w:hAnsi="IRNazanin" w:eastAsia="IRNazanin" w:cs="IRNazanin"/>
          <w:lang w:bidi="fa-IR"/>
          <w:color w:val="111111"/>
          <w:sz w:val="28"/>
          <w:szCs w:val="28"/>
          <w:rtl/>
        </w:rPr>
        <w:t xml:space="preserve">۴. تهران؛ دائرة المعارف؛ شماره نسخه: ۱۰/۱۵۰-عکسی</w:t>
      </w:r>
    </w:p>
    <w:p>
      <w:pPr>
        <w:pStyle w:val="BookText"/>
      </w:pPr>
      <w:r>
        <w:rPr>
          <w:rFonts w:ascii="IRNazanin" w:hAnsi="IRNazanin" w:eastAsia="IRNazanin" w:cs="IRNazanin"/>
          <w:lang w:bidi="fa-IR"/>
          <w:color w:val="111111"/>
          <w:sz w:val="28"/>
          <w:szCs w:val="28"/>
          <w:rtl/>
        </w:rPr>
        <w:t xml:space="preserve">آغاز: مختصری از پادشاهی ملوک عجم. بدانکه پادشاهان کیان چهار (طبقه) کرده اند. اول پیشدادیان بوده اند؛ انجام: و کسی نام دین کیان نتوانستی بردن، که در حال او را بکشتندي، و السلام و الاكرام. تاریخ ایران باستان است، در چهار طبقه: پیشدادیان، کیانیان، اشکانیان و چهارم ساسانیان. که می رسد به توراندخت و بر افتادن ساسانیان؛ خط: نستعلیق آمیخته به شکسته، بی کا، تا: ۲ صفر ۱۲۱۸ق؛ ۱۰ص (۳۳۸-۳۴۷) [عکسی ف: ۲-۵۳]</w:t>
      </w:r>
    </w:p>
    <w:p>
      <w:pPr>
        <w:pStyle w:val="BookText"/>
      </w:pPr>
      <w:r>
        <w:rPr>
          <w:rFonts w:ascii="IRNazanin" w:hAnsi="IRNazanin" w:eastAsia="IRNazanin" w:cs="IRNazanin"/>
          <w:lang w:bidi="fa-IR"/>
          <w:color w:val="111111"/>
          <w:sz w:val="28"/>
          <w:szCs w:val="28"/>
          <w:rtl/>
        </w:rPr>
        <w:t xml:space="preserve">۵. قم؛ مسجد اعظم، شماره نسخه:۱۱۱۹</w:t>
      </w:r>
    </w:p>
    <w:p>
      <w:pPr>
        <w:pStyle w:val="BookText"/>
      </w:pPr>
      <w:r>
        <w:rPr>
          <w:rFonts w:ascii="IRNazanin" w:hAnsi="IRNazanin" w:eastAsia="IRNazanin" w:cs="IRNazanin"/>
          <w:lang w:bidi="fa-IR"/>
          <w:color w:val="111111"/>
          <w:sz w:val="28"/>
          <w:szCs w:val="28"/>
          <w:rtl/>
        </w:rPr>
        <w:t xml:space="preserve">آغاز: بایسته بود همیشه، هست بی شد يسه ودادار را در آغاز هر کار یاد کردن هنر است که فر فروزه گانش اروند پاک گوهر است؛ انجام: وهر سال صدهزار خائیه زرین از روم به ایران می فرستاد، چون ناهید را دهان بوی بد میداد داراب را</w:t>
      </w:r>
    </w:p>
    <w:p>
      <w:pPr>
        <w:pStyle w:val="BookText"/>
      </w:pPr>
      <w:r>
        <w:rPr>
          <w:rFonts w:ascii="IRNazanin" w:hAnsi="IRNazanin" w:eastAsia="IRNazanin" w:cs="IRNazanin"/>
          <w:lang w:bidi="fa-IR"/>
          <w:color w:val="111111"/>
          <w:sz w:val="28"/>
          <w:szCs w:val="28"/>
          <w:rtl/>
        </w:rPr>
        <w:t xml:space="preserve">تاریخ مختصری در شرح حال و چگونگی حکومت یافتن پادشاهان عجم. نام کتاب با توجه به مطالب کتاب در عنوان آورده شد؛ خط: نستعلیق، بی کا، بی تا؛ افتادگی: انجام؛ بعضی لغات در حاشیه توضیح داده شده؛ جلد: تیماج و عطف تیماج مشکی، ۲۹۰گ، ۱۲ سطر، اندازه: ۱۹/۵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۲۵/۵سم [ف مخ: ۱-۳۰۷]</w:t>
      </w:r>
    </w:p>
    <w:p>
      <w:pPr>
        <w:pStyle w:val="BookText"/>
      </w:pPr>
      <w:r>
        <w:rPr>
          <w:rFonts w:ascii="IRNazanin" w:hAnsi="IRNazanin" w:eastAsia="IRNazanin" w:cs="IRNazanin"/>
          <w:lang w:bidi="fa-IR"/>
          <w:color w:val="111111"/>
          <w:sz w:val="28"/>
          <w:szCs w:val="28"/>
          <w:rtl/>
        </w:rPr>
        <w:t xml:space="preserve">۶. تهران؛ چهل ستون؛ شماره نسخه:۲۰۴</w:t>
      </w:r>
    </w:p>
    <w:p>
      <w:pPr>
        <w:pStyle w:val="BookText"/>
      </w:pPr>
      <w:r>
        <w:rPr>
          <w:rFonts w:ascii="IRNazanin" w:hAnsi="IRNazanin" w:eastAsia="IRNazanin" w:cs="IRNazanin"/>
          <w:lang w:bidi="fa-IR"/>
          <w:color w:val="111111"/>
          <w:sz w:val="28"/>
          <w:szCs w:val="28"/>
          <w:rtl/>
        </w:rPr>
        <w:t xml:space="preserve">خط: شکسته نستعلیق، بی کا، بی تا؛ افتادگی: انجام؛ ۳۹گ [چند نسخه -ف: ۳۴۷]</w:t>
      </w:r>
    </w:p>
    <w:p>
      <w:pPr>
        <w:pStyle w:val="BookText"/>
      </w:pPr>
      <w:r>
        <w:rPr>
          <w:rFonts w:ascii="IRNazanin" w:hAnsi="IRNazanin" w:eastAsia="IRNazanin" w:cs="IRNazanin"/>
          <w:lang w:bidi="fa-IR"/>
          <w:color w:val="111111"/>
          <w:sz w:val="28"/>
          <w:szCs w:val="28"/>
          <w:rtl/>
        </w:rPr>
        <w:t xml:space="preserve">۷. تبریز؛ ملی؛ شماره نسخه: ۳۲۶۹</w:t>
      </w:r>
    </w:p>
    <w:p>
      <w:pPr>
        <w:pStyle w:val="BookText"/>
      </w:pPr>
      <w:r>
        <w:rPr>
          <w:rFonts w:ascii="IRNazanin" w:hAnsi="IRNazanin" w:eastAsia="IRNazanin" w:cs="IRNazanin"/>
          <w:lang w:bidi="fa-IR"/>
          <w:color w:val="111111"/>
          <w:sz w:val="28"/>
          <w:szCs w:val="28"/>
          <w:rtl/>
        </w:rPr>
        <w:t xml:space="preserve">آغاز: (بعد از دو برگی فهرست و ضبط آغاز و مدت عمر و سلطنت کیومرث با سیاق) کیومرث بن أنوش بن شيث بن آدم نخستین سلاطين جهان اولین ملوک پیشدادیان است؛ انجام: و بعد از گیرودار بسیار او را منهزم و پیر قلیخان قاجار را مأمور بمجادله مصطفی خان شیروانی نموده معاودت به تبریز نموده و در برگ آخر «تاریخ پادشاهان عجم، از ابتدای سلطنت کیومرث الى انتهای دولت فتحعلی شاه قاجار، سلاطینی که بعد از ظهور اسلام سلطنت کرده اند، از خلافت خلفای بنی امیه الى قاجاریه، فتحعلی شاه قاجار» و پشت این برگ «در دوم شهر ذي حجة الحرام بعد از کشته شدن مرحوم آقا محمد خان الى 19 محرم الحرام ۱۲۱۲ که يوم ورود آنحضرت بطهران و جلوس اوست ...»</w:t>
      </w:r>
    </w:p>
    <w:p>
      <w:pPr>
        <w:pStyle w:val="BookText"/>
      </w:pPr>
      <w:r>
        <w:rPr>
          <w:rFonts w:ascii="IRNazanin" w:hAnsi="IRNazanin" w:eastAsia="IRNazanin" w:cs="IRNazanin"/>
          <w:lang w:bidi="fa-IR"/>
          <w:color w:val="111111"/>
          <w:sz w:val="28"/>
          <w:szCs w:val="28"/>
          <w:rtl/>
        </w:rPr>
        <w:t xml:space="preserve">تاریخی است جدولی و سیاقی از اول تاریخ اساطیری ایران سلطنت کیومرث) تا حوادث سال ۲۱۱۹ق اواسط سلطنت</w:t>
      </w:r>
    </w:p>
    <w:p>
      <w:pPr>
        <w:pStyle w:val="BookText"/>
      </w:pPr>
      <w:r>
        <w:rPr>
          <w:rFonts w:ascii="IRNazanin" w:hAnsi="IRNazanin" w:eastAsia="IRNazanin" w:cs="IRNazanin"/>
          <w:lang w:bidi="fa-IR"/>
          <w:color w:val="111111"/>
          <w:sz w:val="28"/>
          <w:szCs w:val="28"/>
          <w:rtl/>
        </w:rPr>
        <w:t xml:space="preserve">فتحعلی شاه قاجار؛ خط: نسخ تعلیق، بی کا، بی تا؛ کاغذ: فرنگی، جلد: چرمی سیاه، ۱۰۱گ، ۱۳-۲۶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۳۴/۵ سم [ف: ۱-۱۶۰]</w:t>
      </w:r>
    </w:p>
    <w:p>
      <w:pPr>
        <w:pStyle w:val="BookText"/>
      </w:pPr>
      <w:r>
        <w:rPr>
          <w:rFonts w:ascii="IRNazanin" w:hAnsi="IRNazanin" w:eastAsia="IRNazanin" w:cs="IRNazanin"/>
          <w:lang w:bidi="fa-IR"/>
          <w:color w:val="111111"/>
          <w:sz w:val="28"/>
          <w:szCs w:val="28"/>
          <w:rtl/>
        </w:rPr>
        <w:t xml:space="preserve">۸. تبریز؛ ملی؛ شماره نسخه:۳۲۹۷</w:t>
      </w:r>
    </w:p>
    <w:p>
      <w:pPr>
        <w:pStyle w:val="BookText"/>
      </w:pPr>
      <w:r>
        <w:rPr>
          <w:rFonts w:ascii="IRNazanin" w:hAnsi="IRNazanin" w:eastAsia="IRNazanin" w:cs="IRNazanin"/>
          <w:lang w:bidi="fa-IR"/>
          <w:color w:val="111111"/>
          <w:sz w:val="28"/>
          <w:szCs w:val="28"/>
          <w:rtl/>
        </w:rPr>
        <w:t xml:space="preserve">آغاز: بعد از جدول و تاریخ بطرز سیاق «اول احوال پادشاهان که قبل از ظهور اسلام پادشاهی کرده اند مشتمل بر چهار دفعه؛ انجام: در لوی پیل سنه ۱۰۳۷ امام قلیخان اراده تسخیر بصره نموده و نواب همیون را عارضه روی داده مدبر طبیعت دست از قوای نامیه بدن برداشت و در شب پنج شنبه ۲۴ شهر جمادى الأول ۱۰۳۷ هنگام طلوع صبح مرغ روحش بریاض رضوان خرامید انا الله و انا اليه راجعون مدت سلطنت آن یگانه سلاطین ایام ... و اختراعات او زیاده از آن است که تحریر توان نمود و این مجمل را گنجایش آن نیست لهذا قليلی از آن ... میشود، عباس آباد اصفهان، جامع اصفهان که از عجایب روزگار است، زاینده رود ... که مشهور به پل و رود مصیب خان، فرح آباد مازندران، شرف آباد، شارع مازندران.</w:t>
      </w:r>
    </w:p>
    <w:p>
      <w:pPr>
        <w:pStyle w:val="BookText"/>
      </w:pPr>
      <w:r>
        <w:rPr>
          <w:rFonts w:ascii="IRNazanin" w:hAnsi="IRNazanin" w:eastAsia="IRNazanin" w:cs="IRNazanin"/>
          <w:lang w:bidi="fa-IR"/>
          <w:color w:val="111111"/>
          <w:sz w:val="28"/>
          <w:szCs w:val="28"/>
          <w:rtl/>
        </w:rPr>
        <w:t xml:space="preserve">از ابتدای تاریخ اساطیری ایران (سلطنت کیومرث) تا حوادث سال ۱۰۳۷ق و واقعه وفات شاه عباس کبیر، تاریخی است جدولی و سیاقی؛ خط: نسخ تعلیق، بی کا، بی تا؛ جلد: چرمی سیاه، ۵۵ گ، ۱۷-۱۳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۱-۱۶۱]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مشهد؛ شیخ علی حیدر؛ شماره نسخه:۱۱۷۸</w:t>
      </w:r>
    </w:p>
    <w:p>
      <w:pPr>
        <w:pStyle w:val="BookText"/>
      </w:pPr>
      <w:r>
        <w:rPr>
          <w:rFonts w:ascii="IRNazanin" w:hAnsi="IRNazanin" w:eastAsia="IRNazanin" w:cs="IRNazanin"/>
          <w:lang w:bidi="fa-IR"/>
          <w:color w:val="111111"/>
          <w:sz w:val="28"/>
          <w:szCs w:val="28"/>
          <w:rtl/>
        </w:rPr>
        <w:t xml:space="preserve">آغاز: کیومرث بن قينان بن أنوش بن ... سلاطین جهان اولین ملوک در ایران؛ انجام: آن حضرت را مسخر و مسلم، و توضیح این مقال على سبيل الايجاز و الاجمال آنکه</w:t>
      </w:r>
    </w:p>
    <w:p>
      <w:pPr>
        <w:pStyle w:val="BookText"/>
      </w:pPr>
      <w:r>
        <w:rPr>
          <w:rFonts w:ascii="IRNazanin" w:hAnsi="IRNazanin" w:eastAsia="IRNazanin" w:cs="IRNazanin"/>
          <w:lang w:bidi="fa-IR"/>
          <w:color w:val="111111"/>
          <w:sz w:val="28"/>
          <w:szCs w:val="28"/>
          <w:rtl/>
        </w:rPr>
        <w:t xml:space="preserve">تاریخ پادشاهان عجم را از زمان کیومرث تا محمد شاه قاجار نوشته و هر کدام را به طور مختصر بیان کرده و سال سلطنت آنها را گفته است؛ خط: نستعلیق، بی کا، بی تا، افتادگی: انجام؛ جلد: تیماج قهوه ای، ۹۰گ، مختلف السطر، اندازه: ۱۵</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۲۱/۵سم [ مؤيد: ]۱۵۵-۳</w:t>
      </w:r>
    </w:p>
    <w:p>
      <w:pPr>
        <w:pStyle w:val="BookText"/>
      </w:pPr>
      <w:r>
        <w:rPr>
          <w:rFonts w:ascii="IRNazanin" w:hAnsi="IRNazanin" w:eastAsia="IRNazanin" w:cs="IRNazanin"/>
          <w:lang w:bidi="fa-IR"/>
          <w:color w:val="111111"/>
          <w:sz w:val="28"/>
          <w:szCs w:val="28"/>
          <w:rtl/>
        </w:rPr>
        <w:t xml:space="preserve">۱۰. تهران؛ ملی؛ شماره نسخه:۱۹۰۷۶</w:t>
      </w:r>
    </w:p>
    <w:p>
      <w:pPr>
        <w:pStyle w:val="BookText"/>
      </w:pPr>
      <w:r>
        <w:rPr>
          <w:rFonts w:ascii="IRNazanin" w:hAnsi="IRNazanin" w:eastAsia="IRNazanin" w:cs="IRNazanin"/>
          <w:lang w:bidi="fa-IR"/>
          <w:color w:val="111111"/>
          <w:sz w:val="28"/>
          <w:szCs w:val="28"/>
          <w:rtl/>
        </w:rPr>
        <w:t xml:space="preserve">تاریخ پادشاهان عجم؛ بی کا، بی تا انتقالی از کتابخانه پهلوی - مجموعه نوازی؛ اندازه: 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۲۰سم [رایانه]</w:t>
      </w:r>
    </w:p>
    <w:p>
      <w:pPr>
        <w:pStyle w:val="BookText"/>
      </w:pPr>
      <w:r>
        <w:rPr>
          <w:rFonts w:ascii="IRNazanin" w:hAnsi="IRNazanin" w:eastAsia="IRNazanin" w:cs="IRNazanin"/>
          <w:lang w:bidi="fa-IR"/>
          <w:color w:val="111111"/>
          <w:sz w:val="28"/>
          <w:szCs w:val="28"/>
          <w:rtl/>
        </w:rPr>
        <w:t xml:space="preserve">۱۱. تهران؛ ملی؛ شماره نسخه:۱۷۱۴۶ بی کا، بی تا، خریداری از امرالله صفری؛ اندازه:</w:t>
      </w:r>
    </w:p>
    <w:p>
      <w:pPr>
        <w:pStyle w:val="BookText"/>
      </w:pPr>
      <w:r>
        <w:rPr>
          <w:rFonts w:ascii="IRNazanin" w:hAnsi="IRNazanin" w:eastAsia="IRNazanin" w:cs="IRNazanin"/>
          <w:lang w:bidi="fa-IR"/>
          <w:color w:val="111111"/>
          <w:sz w:val="28"/>
          <w:szCs w:val="28"/>
          <w:rtl/>
        </w:rPr>
        <w:t xml:space="preserve">۱۷/۲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۱۰/۳ سم [رایانه ]</w:t>
      </w:r>
    </w:p>
    <w:p>
      <w:pPr>
        <w:pStyle w:val="Heading3"/>
      </w:pPr>
      <w:bookmarkStart w:id="2131" w:name="_Toc1391"/>
      <w:r>
        <w:t>• تاریخ پادشاهان عجم به سیاق / تاریخ ایران / فارسی</w:t>
      </w:r>
      <w:bookmarkEnd w:id="2131"/>
    </w:p>
    <w:p>
      <w:pPr>
        <w:pStyle w:val="BookText"/>
      </w:pPr>
      <w:r>
        <w:rPr>
          <w:rFonts w:ascii="Times New Roman" w:hAnsi="Times New Roman" w:eastAsia="Times New Roman" w:cs="Times New Roman"/>
          <w:lang w:val="en-US" w:bidi="en-US"/>
          <w:color w:val="111111"/>
          <w:sz w:val="28"/>
          <w:szCs w:val="28"/>
          <w:rtl/>
        </w:rPr>
        <w:t xml:space="preserve">tārīx-e pādešāhān-e ‘ajam be sīyāq</w:t>
      </w:r>
    </w:p>
    <w:p>
      <w:pPr>
        <w:pStyle w:val="BookText"/>
      </w:pPr>
      <w:r>
        <w:rPr>
          <w:rFonts w:ascii="IRNazanin" w:hAnsi="IRNazanin" w:eastAsia="IRNazanin" w:cs="IRNazanin"/>
          <w:lang w:bidi="fa-IR"/>
          <w:color w:val="111111"/>
          <w:sz w:val="28"/>
          <w:szCs w:val="28"/>
          <w:rtl/>
        </w:rPr>
        <w:t xml:space="preserve">از کیومرث تا فتحعلی شاه قاجار. در آغاز، فهرست طبقات سلاطین ایران پیش از اسلام را آورده اند. در این نسخه آغاز سلسله قاجايه و سلطنت آقا محمد خان و فتحعلی شاه با تفصلی بیشتر یاد شده. این کتاب را به «سياق التواریخ» هم نام برده اند و نسخ آن از حیث انجام با هم اختلاف ها دارد.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415" w:name="pg20363_209716"/>
    <w:bookmarkEnd w:id="415"/>
    <w:p>
      <w:pPr>
        <w:pStyle w:val="BookText"/>
      </w:pPr>
      <w:r>
        <w:rPr>
          <w:rFonts w:ascii="IRNazanin" w:hAnsi="IRNazanin" w:eastAsia="IRNazanin" w:cs="IRNazanin"/>
          <w:lang w:bidi="fa-IR"/>
          <w:color w:val="111111"/>
          <w:sz w:val="28"/>
          <w:szCs w:val="28"/>
          <w:rtl/>
        </w:rPr>
        <w:t xml:space="preserve">۱. تهران؛ ملک؛ شماره نسخه:۳۷۲۲</w:t>
      </w:r>
    </w:p>
    <w:p>
      <w:pPr>
        <w:pStyle w:val="BookText"/>
      </w:pPr>
      <w:r>
        <w:rPr>
          <w:rFonts w:ascii="IRNazanin" w:hAnsi="IRNazanin" w:eastAsia="IRNazanin" w:cs="IRNazanin"/>
          <w:lang w:bidi="fa-IR"/>
          <w:color w:val="111111"/>
          <w:sz w:val="28"/>
          <w:szCs w:val="28"/>
          <w:rtl/>
        </w:rPr>
        <w:t xml:space="preserve">انجام: (ذیل فتح علی شاه) و در سال پیچی ئیل ۱۲۱۵ والده آن حضرت عازم عتبه بوس ... شده ... به غارت رفت و طالب آنان شدند. تا وقایع سال ۱۲۱۵؛ خط: شکسته نستعلیق، بی کا، تا: قرن ۱۳ کاغذ: کاغذ فرنگی آهار مهره، جلد: میشن لاجوردی لایی، ۹۸ گ، ۲۰ سطر، اندازه: ۲۱/۹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۱۴/۴ سم [ف: ۲-۷۷ ]</w:t>
      </w:r>
    </w:p>
    <w:p>
      <w:pPr>
        <w:pStyle w:val="BookText"/>
      </w:pPr>
      <w:r>
        <w:rPr>
          <w:rFonts w:ascii="IRNazanin" w:hAnsi="IRNazanin" w:eastAsia="IRNazanin" w:cs="IRNazanin"/>
          <w:lang w:bidi="fa-IR"/>
          <w:color w:val="111111"/>
          <w:sz w:val="28"/>
          <w:szCs w:val="28"/>
          <w:rtl/>
        </w:rPr>
        <w:t xml:space="preserve">۲. تهران؛ ملک؛ شماره نسخه: ۳۹۱۲</w:t>
      </w:r>
    </w:p>
    <w:p>
      <w:pPr>
        <w:pStyle w:val="BookText"/>
      </w:pPr>
      <w:r>
        <w:rPr>
          <w:rFonts w:ascii="IRNazanin" w:hAnsi="IRNazanin" w:eastAsia="IRNazanin" w:cs="IRNazanin"/>
          <w:lang w:bidi="fa-IR"/>
          <w:color w:val="111111"/>
          <w:sz w:val="28"/>
          <w:szCs w:val="28"/>
          <w:rtl/>
        </w:rPr>
        <w:t xml:space="preserve">تا وقایع سال ۱۲۲۰؛ خط: شکسته، نستعلیق، بی کا، تا: قرن ۱۳؛ کاغذ: کاغذ فستقی، جلد: میشن یشمی مغزی قرمز، ۷۲گ، مختلف السطر، اندازه: ۲۷/۴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۳۸/۲ سم [ف: ۲-۷۷]</w:t>
      </w:r>
    </w:p>
    <w:p>
      <w:pPr>
        <w:pStyle w:val="BookText"/>
      </w:pPr>
      <w:r>
        <w:rPr>
          <w:rFonts w:ascii="IRNazanin" w:hAnsi="IRNazanin" w:eastAsia="IRNazanin" w:cs="IRNazanin"/>
          <w:lang w:bidi="fa-IR"/>
          <w:color w:val="111111"/>
          <w:sz w:val="28"/>
          <w:szCs w:val="28"/>
          <w:rtl/>
        </w:rPr>
        <w:t xml:space="preserve">٣. تهران، ملک، شماره نسخه: ۳۹۳۲</w:t>
      </w:r>
    </w:p>
    <w:p>
      <w:pPr>
        <w:pStyle w:val="BookText"/>
      </w:pPr>
      <w:r>
        <w:rPr>
          <w:rFonts w:ascii="IRNazanin" w:hAnsi="IRNazanin" w:eastAsia="IRNazanin" w:cs="IRNazanin"/>
          <w:lang w:bidi="fa-IR"/>
          <w:color w:val="111111"/>
          <w:sz w:val="28"/>
          <w:szCs w:val="28"/>
          <w:rtl/>
        </w:rPr>
        <w:t xml:space="preserve">تا وقایع سال ۱۲۲۰؛ خط: شکسته نستعلیق، بی کا، تا: قرن ۱۳؛ کاغذ: کاغذ آهار مهره فرنگی، جلد: میشن سیاه ضربی، ۷۸گ، مختلف السطر، اندازه: ۲۰/۴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۳۲/۴سم [ف: ۲-۷۷]</w:t>
      </w:r>
    </w:p>
    <w:p>
      <w:pPr>
        <w:pStyle w:val="BookText"/>
      </w:pPr>
      <w:r>
        <w:rPr>
          <w:rFonts w:ascii="IRNazanin" w:hAnsi="IRNazanin" w:eastAsia="IRNazanin" w:cs="IRNazanin"/>
          <w:lang w:bidi="fa-IR"/>
          <w:color w:val="111111"/>
          <w:sz w:val="28"/>
          <w:szCs w:val="28"/>
          <w:rtl/>
        </w:rPr>
        <w:t xml:space="preserve">۴. تهران: ملک؛ شماره نسخه:۴۱۷۵</w:t>
      </w:r>
    </w:p>
    <w:p>
      <w:pPr>
        <w:pStyle w:val="BookText"/>
      </w:pPr>
      <w:r>
        <w:rPr>
          <w:rFonts w:ascii="IRNazanin" w:hAnsi="IRNazanin" w:eastAsia="IRNazanin" w:cs="IRNazanin"/>
          <w:lang w:bidi="fa-IR"/>
          <w:color w:val="111111"/>
          <w:sz w:val="28"/>
          <w:szCs w:val="28"/>
          <w:rtl/>
        </w:rPr>
        <w:t xml:space="preserve">تا وقایع سال ۱۲۱۲؛ خط: شکسته، نستعلیق، بی کا، تا: قرن ۱۳؛ کاغذ: کاغذ فستقی، جلد: میشن لایی پشمی مغزی دار، ۹۶گ، مختلف السطر، اندازه: ۲۰/۸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۲۹/۹سم [ف: ۲-۷۸]</w:t>
      </w:r>
    </w:p>
    <w:p>
      <w:pPr>
        <w:pStyle w:val="BookText"/>
      </w:pPr>
      <w:r>
        <w:rPr>
          <w:rFonts w:ascii="IRNazanin" w:hAnsi="IRNazanin" w:eastAsia="IRNazanin" w:cs="IRNazanin"/>
          <w:lang w:bidi="fa-IR"/>
          <w:color w:val="111111"/>
          <w:sz w:val="28"/>
          <w:szCs w:val="28"/>
          <w:rtl/>
        </w:rPr>
        <w:t xml:space="preserve">۵. اصفهان، دانشگاه؛ شماره نسخه:۳۱۸</w:t>
      </w:r>
    </w:p>
    <w:p>
      <w:pPr>
        <w:pStyle w:val="BookText"/>
      </w:pPr>
      <w:r>
        <w:rPr>
          <w:rFonts w:ascii="IRNazanin" w:hAnsi="IRNazanin" w:eastAsia="IRNazanin" w:cs="IRNazanin"/>
          <w:lang w:bidi="fa-IR"/>
          <w:color w:val="111111"/>
          <w:sz w:val="28"/>
          <w:szCs w:val="28"/>
          <w:rtl/>
        </w:rPr>
        <w:t xml:space="preserve">از پیشدادیان تا قاجاریه؛ خط: نستعلیق، بی کا، تا: قرن ۱۳؛ مهر: «لا اله الا الله الملك الحق المبين محمد بن جعفر» (مربع)؛ جلد: تیماج زرشکی، ۷۴گ، مختلف السطر،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سم [ف: ۱-۲۳۲]</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نوربخش؛ شماره نسخه: ۸۰۴/۱</w:t>
      </w:r>
    </w:p>
    <w:p>
      <w:pPr>
        <w:pStyle w:val="BookText"/>
      </w:pPr>
      <w:r>
        <w:rPr>
          <w:rFonts w:ascii="IRNazanin" w:hAnsi="IRNazanin" w:eastAsia="IRNazanin" w:cs="IRNazanin"/>
          <w:lang w:bidi="fa-IR"/>
          <w:color w:val="111111"/>
          <w:sz w:val="28"/>
          <w:szCs w:val="28"/>
          <w:rtl/>
        </w:rPr>
        <w:t xml:space="preserve">بر خلاف برخی از نسخ، دانشمندان و فضلا و عصر آن پادشاه یاد نشده؛ خط: نستعلیق زیبا، بی کا، تا: قرن ۱۳؛ کاغذ: فرنگی، جلد: تیماج قهوه ای، مختلف السطر،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سم [ نشریه: ۱۳- ۱۸۰]</w:t>
      </w:r>
    </w:p>
    <w:p>
      <w:pPr>
        <w:pStyle w:val="BookText"/>
      </w:pPr>
      <w:r>
        <w:rPr>
          <w:rFonts w:ascii="IRNazanin" w:hAnsi="IRNazanin" w:eastAsia="IRNazanin" w:cs="IRNazanin"/>
          <w:lang w:bidi="fa-IR"/>
          <w:color w:val="111111"/>
          <w:sz w:val="28"/>
          <w:szCs w:val="28"/>
          <w:rtl/>
        </w:rPr>
        <w:t xml:space="preserve">۷. تهران؛ صنعتی زاده، همایون؛ شماره نسخه:بدون شماره</w:t>
      </w:r>
    </w:p>
    <w:p>
      <w:pPr>
        <w:pStyle w:val="BookText"/>
      </w:pPr>
      <w:r>
        <w:rPr>
          <w:rFonts w:ascii="IRNazanin" w:hAnsi="IRNazanin" w:eastAsia="IRNazanin" w:cs="IRNazanin"/>
          <w:lang w:bidi="fa-IR"/>
          <w:color w:val="111111"/>
          <w:sz w:val="28"/>
          <w:szCs w:val="28"/>
          <w:rtl/>
        </w:rPr>
        <w:t xml:space="preserve">خط شکسته نستعلیق، بی کا، تا: ۱۲۱۲ق (نشریه: ۷-۷۹۹]</w:t>
      </w:r>
    </w:p>
    <w:p>
      <w:pPr>
        <w:pStyle w:val="BookText"/>
      </w:pPr>
      <w:r>
        <w:rPr>
          <w:rFonts w:ascii="IRNazanin" w:hAnsi="IRNazanin" w:eastAsia="IRNazanin" w:cs="IRNazanin"/>
          <w:lang w:bidi="fa-IR"/>
          <w:color w:val="111111"/>
          <w:sz w:val="28"/>
          <w:szCs w:val="28"/>
          <w:rtl/>
        </w:rPr>
        <w:t xml:space="preserve">۸. قم؛ فیضیه؛ شماره نسخه: ۴۲</w:t>
      </w:r>
    </w:p>
    <w:p>
      <w:pPr>
        <w:pStyle w:val="BookText"/>
      </w:pPr>
      <w:r>
        <w:rPr>
          <w:rFonts w:ascii="IRNazanin" w:hAnsi="IRNazanin" w:eastAsia="IRNazanin" w:cs="IRNazanin"/>
          <w:lang w:bidi="fa-IR"/>
          <w:color w:val="111111"/>
          <w:sz w:val="28"/>
          <w:szCs w:val="28"/>
          <w:rtl/>
        </w:rPr>
        <w:t xml:space="preserve">تا پایان پادشاهی فتحعلیشاه قاجار؛ خط: نستعلیق، بی کا، بی تا؛ ۶۲گ،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۳۴سم [ف: ۲-۱۷]</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قم؛ فیضیه؛ شماره نسخه:۶۶۶ تا پایان پادشاهی فتحعلیشاه قاجار؛ خط: نستعلیق، بی کا، بی تا؛ این نسخه با نسخه شماره ۴۲ مدرسه فیضیه تفاوتهایی دارد ولی با نسخه ای که در سال ۱۲۶۲ چاپ شده برابر است؛ ۱۷۲گ،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۲-۱۷]</w:t>
      </w:r>
    </w:p>
    <w:p>
      <w:pPr>
        <w:pStyle w:val="Heading3"/>
      </w:pPr>
      <w:bookmarkStart w:id="2132" w:name="_Toc1392"/>
      <w:r>
        <w:t>•تاریخ پادشاهان عجم (مختصر) / تاریخ ایران / فارسی</w:t>
      </w:r>
      <w:bookmarkEnd w:id="2132"/>
    </w:p>
    <w:p>
      <w:pPr>
        <w:pStyle w:val="BookText"/>
      </w:pPr>
      <w:r>
        <w:rPr>
          <w:rFonts w:ascii="Times New Roman" w:hAnsi="Times New Roman" w:eastAsia="Times New Roman" w:cs="Times New Roman"/>
          <w:lang w:val="en-US" w:bidi="en-US"/>
          <w:color w:val="111111"/>
          <w:sz w:val="28"/>
          <w:szCs w:val="28"/>
          <w:rtl/>
        </w:rPr>
        <w:t xml:space="preserve">tārīx-e pādešāhān-e ‘ajam (mx.)</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نسخه:۱۱۴۴</w:t>
      </w:r>
    </w:p>
    <w:p>
      <w:pPr>
        <w:pStyle w:val="BookText"/>
      </w:pPr>
      <w:r>
        <w:rPr>
          <w:rFonts w:ascii="IRNazanin" w:hAnsi="IRNazanin" w:eastAsia="IRNazanin" w:cs="IRNazanin"/>
          <w:lang w:bidi="fa-IR"/>
          <w:color w:val="111111"/>
          <w:sz w:val="28"/>
          <w:szCs w:val="28"/>
          <w:rtl/>
        </w:rPr>
        <w:t xml:space="preserve">رساله ای است به قاعده و قانون اهل سیاق مشتمل بر خلاصه تاریخ پادشاهان عجم پیش از اسلام و پس از آن، از پیشدادیان تا فتح علی شاه قاجار مبتنی بر آثار و ابنیه و اختراعات غريبه و وقایع اتفاقیه زمان هر یک از ایشان، شماره و تواریخ به خط سیاق؛ خط: نستعلیق، بی کا، تا: قرن ۱۳؛ افتادگی: انجام؛ کاغذ: سفید، جلد: تیماج سبز ضربی و مقوایی، ۸۵گ، ۱۸-۲۹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[سنا: ف: ۲-۱۳۳]</w:t>
      </w:r>
    </w:p>
    <w:p>
      <w:pPr>
        <w:pStyle w:val="BookText"/>
      </w:pPr>
      <w:r>
        <w:rPr>
          <w:rFonts w:ascii="IRNazanin" w:hAnsi="IRNazanin" w:eastAsia="IRNazanin" w:cs="IRNazanin"/>
          <w:lang w:bidi="fa-IR"/>
          <w:color w:val="111111"/>
          <w:sz w:val="28"/>
          <w:szCs w:val="28"/>
          <w:rtl/>
        </w:rPr>
        <w:t xml:space="preserve">۲. تهران: مجلس؛ شماره نسخه:۲۵۰</w:t>
      </w:r>
    </w:p>
    <w:p>
      <w:pPr>
        <w:pStyle w:val="BookText"/>
      </w:pPr>
      <w:r>
        <w:rPr>
          <w:rFonts w:ascii="IRNazanin" w:hAnsi="IRNazanin" w:eastAsia="IRNazanin" w:cs="IRNazanin"/>
          <w:lang w:bidi="fa-IR"/>
          <w:color w:val="111111"/>
          <w:sz w:val="28"/>
          <w:szCs w:val="28"/>
          <w:rtl/>
        </w:rPr>
        <w:t xml:space="preserve">به ترتیب علم سياق از زمان پیشدادیان تا دوره فتحعلی شاه و هنگام محاربه دولت ایران با روسیه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خط: شکسته تحریری، بی کا، بی تا؛ مجدول؛ ۸۷گ، ۲۰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۲-۱۳۹ ]</w:t>
      </w:r>
    </w:p>
    <w:p>
      <w:pPr>
        <w:pStyle w:val="Heading3"/>
      </w:pPr>
      <w:bookmarkStart w:id="2133" w:name="_Toc1393"/>
      <w:r>
        <w:t>• تاریخ پادشاهان و امراء / تاریخ / فارسی</w:t>
      </w:r>
      <w:bookmarkEnd w:id="2133"/>
    </w:p>
    <w:p>
      <w:pPr>
        <w:pStyle w:val="BookText"/>
      </w:pPr>
      <w:r>
        <w:rPr>
          <w:rFonts w:ascii="Times New Roman" w:hAnsi="Times New Roman" w:eastAsia="Times New Roman" w:cs="Times New Roman"/>
          <w:lang w:val="en-US" w:bidi="en-US"/>
          <w:color w:val="111111"/>
          <w:sz w:val="28"/>
          <w:szCs w:val="28"/>
          <w:rtl/>
        </w:rPr>
        <w:t xml:space="preserve">tārīx-e pādešāhān va omarā’</w:t>
      </w:r>
    </w:p>
    <w:p>
      <w:pPr>
        <w:pStyle w:val="BookText"/>
      </w:pPr>
      <w:r>
        <w:rPr>
          <w:rFonts w:ascii="IRNazanin" w:hAnsi="IRNazanin" w:eastAsia="IRNazanin" w:cs="IRNazanin"/>
          <w:lang w:bidi="fa-IR"/>
          <w:color w:val="111111"/>
          <w:sz w:val="28"/>
          <w:szCs w:val="28"/>
          <w:rtl/>
        </w:rPr>
        <w:t xml:space="preserve">تهران؛ مجلس؛ شماره نسخه: ۹۴۶۶/۹۰</w:t>
      </w:r>
    </w:p>
    <w:p>
      <w:pPr>
        <w:pStyle w:val="BookText"/>
      </w:pPr>
      <w:r>
        <w:rPr>
          <w:rFonts w:ascii="IRNazanin" w:hAnsi="IRNazanin" w:eastAsia="IRNazanin" w:cs="IRNazanin"/>
          <w:lang w:bidi="fa-IR"/>
          <w:color w:val="111111"/>
          <w:sz w:val="28"/>
          <w:szCs w:val="28"/>
          <w:rtl/>
        </w:rPr>
        <w:t xml:space="preserve">خط نستعلیق، بی کا، تا:شعبان ۱۰۴۱ق؛ اص (۱۹۴) [مختصر ف: ۱۲۵]</w:t>
      </w:r>
    </w:p>
    <w:p>
      <w:pPr>
        <w:pStyle w:val="Heading3"/>
      </w:pPr>
      <w:bookmarkStart w:id="2134" w:name="_Toc1394"/>
      <w:r>
        <w:t>•تاریخ پادشاهی طهماسب یکم / تاریخ پادشاهان / فارسی</w:t>
      </w:r>
      <w:bookmarkEnd w:id="2134"/>
    </w:p>
    <w:p>
      <w:pPr>
        <w:pStyle w:val="BookText"/>
      </w:pPr>
      <w:r>
        <w:rPr>
          <w:rFonts w:ascii="Times New Roman" w:hAnsi="Times New Roman" w:eastAsia="Times New Roman" w:cs="Times New Roman"/>
          <w:lang w:val="en-US" w:bidi="en-US"/>
          <w:color w:val="111111"/>
          <w:sz w:val="28"/>
          <w:szCs w:val="28"/>
          <w:rtl/>
        </w:rPr>
        <w:t xml:space="preserve">tārīx-e pādešāhī-ye tahmāsb-e yekom</w:t>
      </w:r>
    </w:p>
    <w:p>
      <w:pPr>
        <w:pStyle w:val="BookText"/>
      </w:pPr>
      <w:r>
        <w:rPr>
          <w:rFonts w:ascii="IRNazanin" w:hAnsi="IRNazanin" w:eastAsia="IRNazanin" w:cs="IRNazanin"/>
          <w:lang w:bidi="fa-IR"/>
          <w:color w:val="111111"/>
          <w:sz w:val="28"/>
          <w:szCs w:val="28"/>
          <w:rtl/>
        </w:rPr>
        <w:t xml:space="preserve">افسانه وار و داستان مانند.</w:t>
      </w:r>
    </w:p>
    <w:p>
      <w:pPr>
        <w:pStyle w:val="BookText"/>
      </w:pPr>
      <w:r>
        <w:rPr>
          <w:rFonts w:ascii="IRNazanin" w:hAnsi="IRNazanin" w:eastAsia="IRNazanin" w:cs="IRNazanin"/>
          <w:lang w:bidi="fa-IR"/>
          <w:color w:val="111111"/>
          <w:sz w:val="28"/>
          <w:szCs w:val="28"/>
          <w:rtl/>
        </w:rPr>
        <w:t xml:space="preserve">تهران، دانشگاه؛ شماره نسخه:۲۹۹۰-ف</w:t>
      </w:r>
    </w:p>
    <w:p>
      <w:pPr>
        <w:pStyle w:val="BookText"/>
      </w:pPr>
      <w:r>
        <w:rPr>
          <w:rFonts w:ascii="IRNazanin" w:hAnsi="IRNazanin" w:eastAsia="IRNazanin" w:cs="IRNazanin"/>
          <w:lang w:bidi="fa-IR"/>
          <w:color w:val="111111"/>
          <w:sz w:val="28"/>
          <w:szCs w:val="28"/>
          <w:rtl/>
        </w:rPr>
        <w:t xml:space="preserve">نسخه اصل: مجلس. افسانه وار و داستان مانند؛ خط: نستعلیق، بی کا، بی تا؛افتادگی:آغاز</w:t>
      </w:r>
    </w:p>
    <w:p>
      <w:pPr>
        <w:pStyle w:val="Heading3"/>
      </w:pPr>
      <w:bookmarkStart w:id="2135" w:name="_Toc1395"/>
      <w:r>
        <w:t>• تاریخ پچوی / تاریخ / ترکی</w:t>
      </w:r>
      <w:bookmarkEnd w:id="2135"/>
    </w:p>
    <w:p>
      <w:pPr>
        <w:pStyle w:val="BookText"/>
      </w:pPr>
      <w:r>
        <w:rPr>
          <w:rFonts w:ascii="Times New Roman" w:hAnsi="Times New Roman" w:eastAsia="Times New Roman" w:cs="Times New Roman"/>
          <w:lang w:val="en-US" w:bidi="en-US"/>
          <w:color w:val="111111"/>
          <w:sz w:val="28"/>
          <w:szCs w:val="28"/>
          <w:rtl/>
        </w:rPr>
        <w:t xml:space="preserve">tārīx-e pačavī</w:t>
      </w:r>
    </w:p>
    <w:p>
      <w:pPr>
        <w:pStyle w:val="BookText"/>
      </w:pPr>
      <w:r>
        <w:rPr>
          <w:rFonts w:ascii="IRNazanin" w:hAnsi="IRNazanin" w:eastAsia="IRNazanin" w:cs="IRNazanin"/>
          <w:lang w:bidi="fa-IR"/>
          <w:color w:val="111111"/>
          <w:sz w:val="28"/>
          <w:szCs w:val="28"/>
          <w:rtl/>
        </w:rPr>
        <w:t xml:space="preserve">به ترکی عثمانی چاپ: چاپ استانبول در مطبعه عامره در ۱۲۸۳.</w:t>
      </w:r>
    </w:p>
    <w:p>
      <w:pPr>
        <w:pStyle w:val="BookText"/>
      </w:pPr>
      <w:r>
        <w:rPr>
          <w:rFonts w:ascii="IRNazanin" w:hAnsi="IRNazanin" w:eastAsia="IRNazanin" w:cs="IRNazanin"/>
          <w:lang w:bidi="fa-IR"/>
          <w:color w:val="111111"/>
          <w:sz w:val="28"/>
          <w:szCs w:val="28"/>
          <w:rtl/>
        </w:rPr>
        <w:t xml:space="preserve">تهران؛ دانشگاه؛ شماره نسخه:۳۷۶۵-ف</w:t>
      </w:r>
    </w:p>
    <w:p>
      <w:pPr>
        <w:pStyle w:val="BookText"/>
      </w:pPr>
      <w:r>
        <w:rPr>
          <w:rFonts w:ascii="IRNazanin" w:hAnsi="IRNazanin" w:eastAsia="IRNazanin" w:cs="IRNazanin"/>
          <w:lang w:bidi="fa-IR"/>
          <w:color w:val="111111"/>
          <w:sz w:val="28"/>
          <w:szCs w:val="28"/>
          <w:rtl/>
        </w:rPr>
        <w:t xml:space="preserve">ج ۱ و ۲؛ بی کا، بی تا [فیلمها ف: ۲-۲۴۵]</w:t>
      </w:r>
    </w:p>
    <w:p>
      <w:pPr>
        <w:pStyle w:val="Heading3"/>
      </w:pPr>
      <w:bookmarkStart w:id="2136" w:name="_Toc1396"/>
      <w:r>
        <w:t>•تاریخ پرتقال / تاریخ جهان / فارسی</w:t>
      </w:r>
      <w:bookmarkEnd w:id="2136"/>
    </w:p>
    <w:p>
      <w:pPr>
        <w:pStyle w:val="BookText"/>
      </w:pPr>
      <w:r>
        <w:rPr>
          <w:rFonts w:ascii="Times New Roman" w:hAnsi="Times New Roman" w:eastAsia="Times New Roman" w:cs="Times New Roman"/>
          <w:lang w:val="en-US" w:bidi="en-US"/>
          <w:color w:val="111111"/>
          <w:sz w:val="28"/>
          <w:szCs w:val="28"/>
          <w:rtl/>
        </w:rPr>
        <w:t xml:space="preserve">tārīx-e porteqāl</w:t>
      </w:r>
    </w:p>
    <w:p>
      <w:pPr>
        <w:pStyle w:val="BookText"/>
      </w:pPr>
      <w:r>
        <w:rPr>
          <w:rFonts w:ascii="IRNazanin" w:hAnsi="IRNazanin" w:eastAsia="IRNazanin" w:cs="IRNazanin"/>
          <w:lang w:bidi="fa-IR"/>
          <w:color w:val="111111"/>
          <w:sz w:val="28"/>
          <w:szCs w:val="28"/>
          <w:rtl/>
        </w:rPr>
        <w:t xml:space="preserve">اصفهان؛ عمومی اصفهان (فرهنگ سابق)؛ شماره نسخه:۱۱۴۴۸</w:t>
      </w:r>
    </w:p>
    <w:p>
      <w:pPr>
        <w:pStyle w:val="BookText"/>
      </w:pPr>
      <w:r>
        <w:rPr>
          <w:rFonts w:ascii="IRNazanin" w:hAnsi="IRNazanin" w:eastAsia="IRNazanin" w:cs="IRNazanin"/>
          <w:lang w:bidi="fa-IR"/>
          <w:color w:val="111111"/>
          <w:sz w:val="28"/>
          <w:szCs w:val="28"/>
          <w:rtl/>
        </w:rPr>
        <w:t xml:space="preserve">از ۱۰۹۲ تا ۱۸۶۲؛ بی کا، بی تا [نشریه: ۳۱۶۵]</w:t>
      </w:r>
    </w:p>
    <w:p>
      <w:pPr>
        <w:pStyle w:val="Heading3"/>
      </w:pPr>
      <w:bookmarkStart w:id="2137" w:name="_Toc1397"/>
      <w:r>
        <w:t>•تاریخ پرتقال (ترجمه) / تاریخ جهان / فارسی</w:t>
      </w:r>
      <w:bookmarkEnd w:id="2137"/>
    </w:p>
    <w:p>
      <w:pPr>
        <w:pStyle w:val="BookText"/>
      </w:pPr>
      <w:r>
        <w:rPr>
          <w:rFonts w:ascii="Times New Roman" w:hAnsi="Times New Roman" w:eastAsia="Times New Roman" w:cs="Times New Roman"/>
          <w:lang w:val="en-US" w:bidi="en-US"/>
          <w:color w:val="111111"/>
          <w:sz w:val="28"/>
          <w:szCs w:val="28"/>
          <w:rtl/>
        </w:rPr>
        <w:t xml:space="preserve">tārīx-e porteqāl (t.)</w:t>
      </w:r>
    </w:p>
    <w:p>
      <w:pPr>
        <w:pStyle w:val="BookText"/>
      </w:pPr>
      <w:r>
        <w:rPr>
          <w:rFonts w:ascii="IRNazanin" w:hAnsi="IRNazanin" w:eastAsia="IRNazanin" w:cs="IRNazanin"/>
          <w:lang w:bidi="fa-IR"/>
          <w:color w:val="111111"/>
          <w:sz w:val="28"/>
          <w:szCs w:val="28"/>
          <w:rtl/>
        </w:rPr>
        <w:t xml:space="preserve">گروسی، عیسی، ق۱۳ قمری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416" w:name="pg20363_209717"/>
    <w:bookmarkEnd w:id="416"/>
    <w:p>
      <w:pPr>
        <w:pStyle w:val="BookText"/>
      </w:pPr>
      <w:r>
        <w:rPr>
          <w:rFonts w:ascii="Times New Roman" w:hAnsi="Times New Roman" w:eastAsia="Times New Roman" w:cs="Times New Roman"/>
          <w:lang w:val="en-US" w:bidi="en-US"/>
          <w:color w:val="111111"/>
          <w:sz w:val="28"/>
          <w:szCs w:val="28"/>
          <w:rtl/>
        </w:rPr>
        <w:t xml:space="preserve">garrūsī, ‘īsā (-190)</w:t>
      </w:r>
    </w:p>
    <w:p>
      <w:pPr>
        <w:pStyle w:val="BookText"/>
      </w:pPr>
      <w:r>
        <w:rPr>
          <w:rFonts w:ascii="IRNazanin" w:hAnsi="IRNazanin" w:eastAsia="IRNazanin" w:cs="IRNazanin"/>
          <w:lang w:bidi="fa-IR"/>
          <w:color w:val="111111"/>
          <w:sz w:val="28"/>
          <w:szCs w:val="28"/>
          <w:rtl/>
        </w:rPr>
        <w:t xml:space="preserve">ترجمه عیسی مترجم مخصوص ظل السلطان، از جنگ اوریک إلى يومنا هذا به طور خلاصه.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اصفهان؛ صارم الدوله (کتابخانه فرهنگ اصفهان)؛ شماره نسخه:۸۸۸</w:t>
      </w:r>
    </w:p>
    <w:p>
      <w:pPr>
        <w:pStyle w:val="BookText"/>
      </w:pPr>
      <w:r>
        <w:rPr>
          <w:rFonts w:ascii="IRNazanin" w:hAnsi="IRNazanin" w:eastAsia="IRNazanin" w:cs="IRNazanin"/>
          <w:lang w:bidi="fa-IR"/>
          <w:color w:val="111111"/>
          <w:sz w:val="28"/>
          <w:szCs w:val="28"/>
          <w:rtl/>
        </w:rPr>
        <w:t xml:space="preserve">آغاز: در سنه هزار و نود و دو مسیحی که شهرها و بلوکات تورنتانی در تصرف خلفای ملوک کرد و بود و فقط چند بلده و بلوکی که عبارت از منهو وتر الشمت و قسمتی از بعيره باشد در بد تمالك عیسویان باقی مانده بود، انجام: بواسطه این وصلت و سرپرست شخص خودش تعهد کرد که بسیره برادرش رفتار نماید و یکی از حافظ و نگاه داران قویم استقلالات و ایمنهای مملکتش باشد</w:t>
      </w:r>
    </w:p>
    <w:p>
      <w:pPr>
        <w:pStyle w:val="BookText"/>
      </w:pPr>
      <w:r>
        <w:rPr>
          <w:rFonts w:ascii="IRNazanin" w:hAnsi="IRNazanin" w:eastAsia="IRNazanin" w:cs="IRNazanin"/>
          <w:lang w:bidi="fa-IR"/>
          <w:color w:val="111111"/>
          <w:sz w:val="28"/>
          <w:szCs w:val="28"/>
          <w:rtl/>
        </w:rPr>
        <w:t xml:space="preserve">خط: نستعلیق، کاتب = مؤلف، تا: ربيع الثانی ۱۳۰۲ق، دارای جداول متداخل؛ ۶۵ص، ۱۲سطر،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۲۹]</w:t>
      </w:r>
    </w:p>
    <w:p>
      <w:pPr>
        <w:pStyle w:val="BookText"/>
      </w:pPr>
      <w:r>
        <w:rPr>
          <w:rFonts w:ascii="IRNazanin" w:hAnsi="IRNazanin" w:eastAsia="IRNazanin" w:cs="IRNazanin"/>
          <w:lang w:bidi="fa-IR"/>
          <w:color w:val="111111"/>
          <w:sz w:val="28"/>
          <w:szCs w:val="28"/>
          <w:rtl/>
        </w:rPr>
        <w:t xml:space="preserve">٢. اصفهان؛ صارم الدوله (كتابخانه فرهنگ اصفهان)؛ شماره نسخه:۹۷۳</w:t>
      </w:r>
    </w:p>
    <w:p>
      <w:pPr>
        <w:pStyle w:val="BookText"/>
      </w:pPr>
      <w:r>
        <w:rPr>
          <w:rFonts w:ascii="IRNazanin" w:hAnsi="IRNazanin" w:eastAsia="IRNazanin" w:cs="IRNazanin"/>
          <w:lang w:bidi="fa-IR"/>
          <w:color w:val="111111"/>
          <w:sz w:val="28"/>
          <w:szCs w:val="28"/>
          <w:rtl/>
        </w:rPr>
        <w:t xml:space="preserve">خط شکسته نستعلیق، بی کا، تا: قرن ۱۴؛ ۵۸ص، ۱۲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w:t>
      </w:r>
    </w:p>
    <w:p>
      <w:pPr>
        <w:pStyle w:val="BookText"/>
      </w:pPr>
      <w:r>
        <w:rPr>
          <w:rFonts w:ascii="IRNazanin" w:hAnsi="IRNazanin" w:eastAsia="IRNazanin" w:cs="IRNazanin"/>
          <w:lang w:bidi="fa-IR"/>
          <w:color w:val="111111"/>
          <w:sz w:val="28"/>
          <w:szCs w:val="28"/>
          <w:rtl/>
        </w:rPr>
        <w:t xml:space="preserve">سم [ف: ۹۸]</w:t>
      </w:r>
    </w:p>
    <w:p>
      <w:pPr>
        <w:pStyle w:val="BookText"/>
      </w:pPr>
      <w:r>
        <w:rPr>
          <w:rFonts w:ascii="IRNazanin" w:hAnsi="IRNazanin" w:eastAsia="IRNazanin" w:cs="IRNazanin"/>
          <w:lang w:bidi="fa-IR"/>
          <w:color w:val="111111"/>
          <w:sz w:val="28"/>
          <w:szCs w:val="28"/>
          <w:rtl/>
        </w:rPr>
        <w:t xml:space="preserve">٣. اصفهان؛ صارم الدوله (کتابخانه فرهنگ اصفهان)؛ شماره نسخه:۹۰۳/۳</w:t>
      </w:r>
    </w:p>
    <w:p>
      <w:pPr>
        <w:pStyle w:val="BookText"/>
      </w:pPr>
      <w:r>
        <w:rPr>
          <w:rFonts w:ascii="IRNazanin" w:hAnsi="IRNazanin" w:eastAsia="IRNazanin" w:cs="IRNazanin"/>
          <w:lang w:bidi="fa-IR"/>
          <w:color w:val="111111"/>
          <w:sz w:val="28"/>
          <w:szCs w:val="28"/>
          <w:rtl/>
        </w:rPr>
        <w:t xml:space="preserve">خط: نسخ زیبا، بی کا، تا: قرن ۱۴؛ ۳۴ص (۲۴۰-۲۷۳)، ۱۹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۴۱]</w:t>
      </w:r>
    </w:p>
    <w:p>
      <w:pPr>
        <w:pStyle w:val="BookText"/>
      </w:pPr>
      <w:r>
        <w:rPr>
          <w:rFonts w:ascii="IRNazanin" w:hAnsi="IRNazanin" w:eastAsia="IRNazanin" w:cs="IRNazanin"/>
          <w:lang w:bidi="fa-IR"/>
          <w:color w:val="111111"/>
          <w:sz w:val="28"/>
          <w:szCs w:val="28"/>
          <w:rtl/>
        </w:rPr>
        <w:t xml:space="preserve">۴. اصفهان؛ صارم الدوله (كتابخانه فرهنگ اصفهان، شماره نسخه:۹۰۱/۳</w:t>
      </w:r>
    </w:p>
    <w:p>
      <w:pPr>
        <w:pStyle w:val="BookText"/>
      </w:pPr>
      <w:r>
        <w:rPr>
          <w:rFonts w:ascii="IRNazanin" w:hAnsi="IRNazanin" w:eastAsia="IRNazanin" w:cs="IRNazanin"/>
          <w:lang w:bidi="fa-IR"/>
          <w:color w:val="111111"/>
          <w:sz w:val="28"/>
          <w:szCs w:val="28"/>
          <w:rtl/>
        </w:rPr>
        <w:t xml:space="preserve">خط: نستعلیق، کا: محمد حسن طباطبائی محرر نائینی، تا: قرن ۱۴؛ ۳۴ص (۲۳۶-۲۶۹)، ۱۷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۳۹)</w:t>
      </w:r>
    </w:p>
    <w:p>
      <w:pPr>
        <w:pStyle w:val="Heading3"/>
      </w:pPr>
      <w:bookmarkStart w:id="2138" w:name="_Toc1398"/>
      <w:r>
        <w:t>• تاریخ پسندیده / تاریخ ایران / فارسی</w:t>
      </w:r>
      <w:bookmarkEnd w:id="2138"/>
    </w:p>
    <w:p>
      <w:pPr>
        <w:pStyle w:val="BookText"/>
      </w:pPr>
      <w:r>
        <w:rPr>
          <w:rFonts w:ascii="Times New Roman" w:hAnsi="Times New Roman" w:eastAsia="Times New Roman" w:cs="Times New Roman"/>
          <w:lang w:val="en-US" w:bidi="en-US"/>
          <w:color w:val="111111"/>
          <w:sz w:val="28"/>
          <w:szCs w:val="28"/>
          <w:rtl/>
        </w:rPr>
        <w:t xml:space="preserve">tārīx-e pasandīde</w:t>
      </w:r>
    </w:p>
    <w:p>
      <w:pPr>
        <w:pStyle w:val="BookText"/>
      </w:pPr>
      <w:r>
        <w:rPr>
          <w:rFonts w:ascii="IRNazanin" w:hAnsi="IRNazanin" w:eastAsia="IRNazanin" w:cs="IRNazanin"/>
          <w:lang w:bidi="fa-IR"/>
          <w:color w:val="111111"/>
          <w:sz w:val="28"/>
          <w:szCs w:val="28"/>
          <w:rtl/>
        </w:rPr>
        <w:t xml:space="preserve">الاری شیرازی، روح الله، ق ۱۰ قمری</w:t>
      </w:r>
    </w:p>
    <w:p>
      <w:pPr>
        <w:pStyle w:val="BookText"/>
      </w:pPr>
      <w:r>
        <w:rPr>
          <w:rFonts w:ascii="Times New Roman" w:hAnsi="Times New Roman" w:eastAsia="Times New Roman" w:cs="Times New Roman"/>
          <w:lang w:val="en-US" w:bidi="en-US"/>
          <w:color w:val="111111"/>
          <w:sz w:val="28"/>
          <w:szCs w:val="28"/>
          <w:rtl/>
        </w:rPr>
        <w:t xml:space="preserve">lārī šīrāzī, rūh-ol lāh (-16c)</w:t>
      </w:r>
    </w:p>
    <w:p>
      <w:pPr>
        <w:pStyle w:val="BookText"/>
      </w:pPr>
      <w:r>
        <w:rPr>
          <w:rFonts w:ascii="IRNazanin" w:hAnsi="IRNazanin" w:eastAsia="IRNazanin" w:cs="IRNazanin"/>
          <w:lang w:bidi="fa-IR"/>
          <w:color w:val="111111"/>
          <w:sz w:val="28"/>
          <w:szCs w:val="28"/>
          <w:rtl/>
        </w:rPr>
        <w:t xml:space="preserve">وابسته به: ظفرنامه تیموری = فتح نامه صاحبقرانی؛ شرف الدين علی یزدی (-۸۵۸) گزیده ای است از «تاریخ تیموری» شرف الدین علی یزدی آغاز: بسمله. حمد و ستایش بی آلایش بر پادشاهی که پادشاهان جهان سر بر خط بندگی و فرمان او دارند ... خاک راه بندگان درگاه عالم پناه روح الله منشی از تاریخ تیموری تأليف ... شرف الدین علی یزدی ... و ابیات عربيه ... بیرون کرده ... آن را «تاریخ پسندیده» نام نهاد انجام: بعدلش جهان یکسر آراسته </w:t>
      </w:r>
      <w:r>
        <w:rPr>
          <w:rFonts w:ascii="IRNazanin" w:hAnsi="IRNazanin" w:eastAsia="IRNazanin" w:cs="IRNazanin"/>
          <w:lang w:bidi="fa-IR"/>
          <w:color w:val="111111"/>
          <w:sz w:val="28"/>
          <w:szCs w:val="28"/>
          <w:b w:val="1"/>
          <w:bCs w:val="1"/>
          <w:i w:val="1"/>
          <w:iCs w:val="1"/>
          <w:rtl/>
        </w:rPr>
        <w:t xml:space="preserve">ز عالم رسوم بدی کاسته / خلایق مرفه ز احسان او</w:t>
      </w:r>
      <w:r>
        <w:rPr>
          <w:rFonts w:ascii="IRNazanin" w:hAnsi="IRNazanin" w:eastAsia="IRNazanin" w:cs="IRNazanin"/>
          <w:lang w:bidi="fa-IR"/>
          <w:color w:val="111111"/>
          <w:sz w:val="28"/>
          <w:szCs w:val="28"/>
          <w:rtl/>
        </w:rPr>
        <w:t xml:space="preserve"> زمین و زمان زیر فرمان او (تمت)</w:t>
      </w:r>
    </w:p>
    <w:p>
      <w:pPr>
        <w:pStyle w:val="BookText"/>
      </w:pPr>
      <w:r>
        <w:rPr>
          <w:rFonts w:ascii="IRNazanin" w:hAnsi="IRNazanin" w:eastAsia="IRNazanin" w:cs="IRNazanin"/>
          <w:lang w:bidi="fa-IR"/>
          <w:color w:val="111111"/>
          <w:sz w:val="28"/>
          <w:szCs w:val="28"/>
          <w:rtl/>
        </w:rPr>
        <w:t xml:space="preserve">[ دنا ۶۸۸/۲ ؛ فهرستواره منزوی ۸۵۵/۲ ]</w:t>
      </w:r>
    </w:p>
    <w:p>
      <w:pPr>
        <w:pStyle w:val="BookText"/>
      </w:pPr>
      <w:r>
        <w:rPr>
          <w:rFonts w:ascii="IRNazanin" w:hAnsi="IRNazanin" w:eastAsia="IRNazanin" w:cs="IRNazanin"/>
          <w:lang w:bidi="fa-IR"/>
          <w:color w:val="111111"/>
          <w:sz w:val="28"/>
          <w:szCs w:val="28"/>
          <w:rtl/>
        </w:rPr>
        <w:t xml:space="preserve">تهران؛ مجلس؛ شماره نسخه:۴۰۹۲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۱۲-۱۱؛ با سرلوح، مجدول؛ کاغذ:</w:t>
      </w:r>
    </w:p>
    <w:p>
      <w:pPr>
        <w:pStyle w:val="BookText"/>
      </w:pPr>
      <w:r>
        <w:rPr>
          <w:rFonts w:ascii="IRNazanin" w:hAnsi="IRNazanin" w:eastAsia="IRNazanin" w:cs="IRNazanin"/>
          <w:lang w:bidi="fa-IR"/>
          <w:color w:val="111111"/>
          <w:sz w:val="28"/>
          <w:szCs w:val="28"/>
          <w:rtl/>
        </w:rPr>
        <w:t xml:space="preserve">سپاهانی، جلد: تیماج قهوه ای ضربی، ۲۵۱ گ، ۱۹ سطر</w:t>
      </w:r>
    </w:p>
    <w:p>
      <w:pPr>
        <w:pStyle w:val="BookText"/>
      </w:pPr>
      <w:r>
        <w:rPr>
          <w:rFonts w:ascii="IRNazanin" w:hAnsi="IRNazanin" w:eastAsia="IRNazanin" w:cs="IRNazanin"/>
          <w:lang w:bidi="fa-IR"/>
          <w:color w:val="111111"/>
          <w:sz w:val="28"/>
          <w:szCs w:val="28"/>
          <w:rtl/>
        </w:rPr>
        <w:t xml:space="preserve">(۱۳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 اندازه: ۲۱/۵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۳۵/۵سم [ف: ۱۱-۸۷]</w:t>
      </w:r>
    </w:p>
    <w:p>
      <w:pPr>
        <w:pStyle w:val="Heading3"/>
      </w:pPr>
      <w:bookmarkStart w:id="2139" w:name="_Toc1399"/>
      <w:r>
        <w:t>• تاریخ پطر کبیر / تاریخ / فارسی</w:t>
      </w:r>
      <w:bookmarkEnd w:id="2139"/>
    </w:p>
    <w:p>
      <w:pPr>
        <w:pStyle w:val="BookText"/>
      </w:pPr>
      <w:r>
        <w:rPr>
          <w:rFonts w:ascii="Times New Roman" w:hAnsi="Times New Roman" w:eastAsia="Times New Roman" w:cs="Times New Roman"/>
          <w:lang w:val="en-US" w:bidi="en-US"/>
          <w:color w:val="111111"/>
          <w:sz w:val="28"/>
          <w:szCs w:val="28"/>
          <w:rtl/>
        </w:rPr>
        <w:t xml:space="preserve">tārīx-e peter-e kabīr</w:t>
      </w:r>
    </w:p>
    <w:p>
      <w:pPr>
        <w:pStyle w:val="BookText"/>
      </w:pPr>
      <w:r>
        <w:rPr>
          <w:rFonts w:ascii="IRNazanin" w:hAnsi="IRNazanin" w:eastAsia="IRNazanin" w:cs="IRNazanin"/>
          <w:lang w:bidi="fa-IR"/>
          <w:color w:val="111111"/>
          <w:sz w:val="28"/>
          <w:szCs w:val="28"/>
          <w:rtl/>
        </w:rPr>
        <w:t xml:space="preserve">ولتر، فرانسوا ماری آروئه دو ۱۶۹۴-۱۷۷۸ میلادی</w:t>
      </w:r>
    </w:p>
    <w:p>
      <w:pPr>
        <w:pStyle w:val="BookText"/>
      </w:pPr>
      <w:r>
        <w:rPr>
          <w:rFonts w:ascii="Times New Roman" w:hAnsi="Times New Roman" w:eastAsia="Times New Roman" w:cs="Times New Roman"/>
          <w:lang w:val="en-US" w:bidi="en-US"/>
          <w:color w:val="111111"/>
          <w:sz w:val="28"/>
          <w:szCs w:val="28"/>
          <w:rtl/>
        </w:rPr>
        <w:t xml:space="preserve">volter, ferānswā mārī āro'e do (1694-1778)</w:t>
      </w:r>
    </w:p>
    <w:p>
      <w:pPr>
        <w:pStyle w:val="BookText"/>
      </w:pPr>
      <w:r>
        <w:rPr>
          <w:rFonts w:ascii="IRNazanin" w:hAnsi="IRNazanin" w:eastAsia="IRNazanin" w:cs="IRNazanin"/>
          <w:lang w:bidi="fa-IR"/>
          <w:color w:val="111111"/>
          <w:sz w:val="28"/>
          <w:szCs w:val="28"/>
          <w:rtl/>
        </w:rPr>
        <w:t xml:space="preserve">ولتر می گوید پس از تدوین کتاب شارل دوازدهم دست به تحریر شرح حال پطر کبیر زدم چه پطر کبیر از چهره های درخشان زمان خود بود و در قیاس با شارل دوازدهم، که پادشاهی مشهور و بر اثر جنگ های متعدد خود شهرت بسزایی یافته بود، بسیار برتر آمد زیرا پطر کبیر از آنجا که منجی ملت روس و نشان دهنده زندگی نو به آنها بود کارهایی کرد که کمتر پادشاهی می کند و در حقیقت یکی از پادشاهان بزرگی عالم است. در این کتاب ولتر با قلم موشکاف خود نکات تاریک زندگی پطر را روشن می کند و اعمال او را یک یک شرح می دهد. مترجم در ترجمه رعایت سادگی نکرده و با اخلاق و تكلف نثر بعد از دوره صفوی این مطالب را ترجمه نموده است. جلد اول این کتاب دارای هیجده «فصل» و بیشتر جنبه تاریخ شخصی پطر را دارد و جلد دوم دارای سیزده« فصل» و بیشتر جنبه تاریخ عمومی روسیه را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ملی؛ شماره نسخه:۴۷۶</w:t>
      </w:r>
    </w:p>
    <w:p>
      <w:pPr>
        <w:pStyle w:val="BookText"/>
      </w:pPr>
      <w:r>
        <w:rPr>
          <w:rFonts w:ascii="IRNazanin" w:hAnsi="IRNazanin" w:eastAsia="IRNazanin" w:cs="IRNazanin"/>
          <w:lang w:bidi="fa-IR"/>
          <w:color w:val="111111"/>
          <w:sz w:val="28"/>
          <w:szCs w:val="28"/>
          <w:rtl/>
        </w:rPr>
        <w:t xml:space="preserve">آغاز: هو الله الموفق المعين. ترجمه تاریخ پطر کبیر که در عهد سلطنت کترین مشهور بخورشید کلاه حکیم والتر مشهور نوشته . حکیم والتر می گوید؛ انجام: در سنه ۱۱۳۸ کترین را به پادشاهی اختیار کرده زمام مهام دولت بكف اقتدار و ذمه اهتمام او سپردند خط: نستعلیق، بی کا، تا: قرن ۱۳، جان محتملا تهران؛ مجدول؛ کاغذ: ترمه، جلد: تیماج قرمز با گل و بته و منگنه زر، ۱۲۰گ، ۲۱ سطر (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۱۳/۵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سم [ف: ۱-۴۵۹]</w:t>
      </w:r>
    </w:p>
    <w:p>
      <w:pPr>
        <w:pStyle w:val="BookText"/>
      </w:pPr>
      <w:r>
        <w:rPr>
          <w:rFonts w:ascii="IRNazanin" w:hAnsi="IRNazanin" w:eastAsia="IRNazanin" w:cs="IRNazanin"/>
          <w:lang w:bidi="fa-IR"/>
          <w:color w:val="111111"/>
          <w:sz w:val="28"/>
          <w:szCs w:val="28"/>
          <w:rtl/>
        </w:rPr>
        <w:t xml:space="preserve">۲. قم؛ گلپایگانی شماره نسخه: ۳۶۷۹/۱ -۱۹/۹</w:t>
      </w:r>
    </w:p>
    <w:p>
      <w:pPr>
        <w:pStyle w:val="BookText"/>
      </w:pPr>
      <w:r>
        <w:rPr>
          <w:rFonts w:ascii="IRNazanin" w:hAnsi="IRNazanin" w:eastAsia="IRNazanin" w:cs="IRNazanin"/>
          <w:lang w:bidi="fa-IR"/>
          <w:color w:val="111111"/>
          <w:sz w:val="28"/>
          <w:szCs w:val="28"/>
          <w:rtl/>
        </w:rPr>
        <w:t xml:space="preserve">آغاز: بسمله، حکیم والتر می گوید که صد و پنجاه سال قبل از این اهل اروپ بر این بودند که در میان سلاطين اهل مشرق کسیکه در امور لشکر کشی و مهام کشور گشائی مهارت تام؛ انجام: در سنه ۱۱۳۸ کترین را بپادشاهی اختیار کرده زمام مهام بكف اقتدار او سپردند. در حاشیه صفحه اول این نسخه احتمال داده شده که این تاریخ میان سال های ۱۱۸۳-۱۱۸۴ تأليف شده باشد؛ خط: نستعلیق، بی کا، تا: صفر ۱۲۶۶ق، مجدول مشکی؛ جلد: تیماج مشکی، ۶۵گ، ۲۵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۲-۶۸۶]</w:t>
      </w:r>
    </w:p>
    <w:p>
      <w:pPr>
        <w:pStyle w:val="BookText"/>
      </w:pPr>
      <w:r>
        <w:rPr>
          <w:rFonts w:ascii="IRNazanin" w:hAnsi="IRNazanin" w:eastAsia="IRNazanin" w:cs="IRNazanin"/>
          <w:lang w:bidi="fa-IR"/>
          <w:color w:val="111111"/>
          <w:sz w:val="28"/>
          <w:szCs w:val="28"/>
          <w:rtl/>
        </w:rPr>
        <w:t xml:space="preserve">٣. تهران: مجلس؛ شماره نسخه: ۴۰۷۱</w:t>
      </w:r>
    </w:p>
    <w:p>
      <w:pPr>
        <w:pStyle w:val="BookText"/>
      </w:pPr>
      <w:r>
        <w:rPr>
          <w:rFonts w:ascii="IRNazanin" w:hAnsi="IRNazanin" w:eastAsia="IRNazanin" w:cs="IRNazanin"/>
          <w:lang w:bidi="fa-IR"/>
          <w:color w:val="111111"/>
          <w:sz w:val="28"/>
          <w:szCs w:val="28"/>
          <w:rtl/>
        </w:rPr>
        <w:t xml:space="preserve">آغاز: بسمله. از قرار تحریر مؤرخین سوید چنین مفهوم می شود که باعث قتال؛ انجام: بعد از آنکه مردم با دل دردناک و گریبان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417" w:name="pg20363_209718"/>
    <w:bookmarkEnd w:id="417"/>
    <w:p>
      <w:pPr>
        <w:pStyle w:val="BookText"/>
      </w:pPr>
      <w:r>
        <w:rPr>
          <w:rFonts w:ascii="IRNazanin" w:hAnsi="IRNazanin" w:eastAsia="IRNazanin" w:cs="IRNazanin"/>
          <w:lang w:bidi="fa-IR"/>
          <w:color w:val="111111"/>
          <w:sz w:val="28"/>
          <w:szCs w:val="28"/>
          <w:rtl/>
        </w:rPr>
        <w:t xml:space="preserve">چاک پطر را دفن کردند در سنه ۱۱۳۸ کترین را بپادشاهی اختیار کرده زمام مهام بكف اقتدار او سپردند جلد دوم. در سیزده فصل. فصل اول در بیان جنگ دولت عثمانیه با دولت روسیه و احوالات لوئی دوازدهم و تفصيل احوالات قترین زن پطر؛ خط: نسخ زیبا، بی کا، تا: قرن ۱۴؛ کاغذ: فرنگی، جلد: تیماج سرخ، ۴۴گ، ۱۵ سطر (۱۱/۵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اندازه: ۲۶/۵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سم [ف: ۱۱-۶۸]</w:t>
      </w:r>
    </w:p>
    <w:p>
      <w:pPr>
        <w:pStyle w:val="Heading3"/>
      </w:pPr>
      <w:bookmarkStart w:id="2140" w:name="_Toc1400"/>
      <w:r>
        <w:t>•تاریخ پطر کبیر / تاریخ / فارسی</w:t>
      </w:r>
      <w:bookmarkEnd w:id="2140"/>
    </w:p>
    <w:p>
      <w:pPr>
        <w:pStyle w:val="BookText"/>
      </w:pPr>
      <w:r>
        <w:rPr>
          <w:rFonts w:ascii="Times New Roman" w:hAnsi="Times New Roman" w:eastAsia="Times New Roman" w:cs="Times New Roman"/>
          <w:lang w:val="en-US" w:bidi="en-US"/>
          <w:color w:val="111111"/>
          <w:sz w:val="28"/>
          <w:szCs w:val="28"/>
          <w:rtl/>
        </w:rPr>
        <w:t xml:space="preserve">tārīx-e peter-e kabīr</w:t>
      </w:r>
    </w:p>
    <w:p>
      <w:pPr>
        <w:pStyle w:val="BookText"/>
      </w:pPr>
      <w:r>
        <w:rPr>
          <w:rFonts w:ascii="IRNazanin" w:hAnsi="IRNazanin" w:eastAsia="IRNazanin" w:cs="IRNazanin"/>
          <w:lang w:bidi="fa-IR"/>
          <w:color w:val="111111"/>
          <w:sz w:val="28"/>
          <w:szCs w:val="28"/>
          <w:rtl/>
        </w:rPr>
        <w:t xml:space="preserve">قم؛ مسجد اعظم، شماره نسخه: ۲۴۸۳/۱۰</w:t>
      </w:r>
    </w:p>
    <w:p>
      <w:pPr>
        <w:pStyle w:val="BookText"/>
      </w:pPr>
      <w:r>
        <w:rPr>
          <w:rFonts w:ascii="IRNazanin" w:hAnsi="IRNazanin" w:eastAsia="IRNazanin" w:cs="IRNazanin"/>
          <w:lang w:bidi="fa-IR"/>
          <w:color w:val="111111"/>
          <w:sz w:val="28"/>
          <w:szCs w:val="28"/>
          <w:rtl/>
        </w:rPr>
        <w:t xml:space="preserve">آغاز: فصل پنجم در خصوص سلطنت الكسی، الكسی بعد از پطر بزرگ يكسال در سلطنت پدر خود میشل گذشته بنای عروس گذاشت و دختر یکی از نجبای روسیه را بعقد خود در آورد؛ انجام: مکرر اسمش مذکور شد و او باعث جنگ سویه گشته بود از اوضاع پادشاه نویسند مایوس شده نزد پطر کبیر آمد خدمت و ملازمت ... تاریخ مفصل و داستان وار پطر کبیر امپراطور تزاری روسیه و سرزمین روس و نقل جریانات و حوادث بسیار که در چند فصل تنظیم شده است؛ خط: نستعلیق، بی کا، تا: قرن ۱۲؛ افتادگی: آغاز و انجام تمام کتاب در هامش و لابه لای سطور رساله ها نگاشته شده و چندان قابل استفاده نیست؛ ۱۵۷ گ، چلیپا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مخ: ۱-۳۰۷]</w:t>
      </w:r>
    </w:p>
    <w:p>
      <w:pPr>
        <w:pStyle w:val="BookText"/>
      </w:pPr>
      <w:r>
        <w:rPr>
          <w:rFonts w:ascii="IRNazanin" w:hAnsi="IRNazanin" w:eastAsia="IRNazanin" w:cs="IRNazanin"/>
          <w:lang w:bidi="fa-IR"/>
          <w:color w:val="111111"/>
          <w:sz w:val="28"/>
          <w:szCs w:val="28"/>
          <w:rtl/>
        </w:rPr>
        <w:t xml:space="preserve">← تاریخ پنجاب ← تاریخ هندوستان</w:t>
      </w:r>
    </w:p>
    <w:p>
      <w:pPr>
        <w:pStyle w:val="Heading3"/>
      </w:pPr>
      <w:bookmarkStart w:id="2141" w:name="_Toc1401"/>
      <w:r>
        <w:t>•تاریخ پنج سلطان عثمانی / تاریخ / فارسی</w:t>
      </w:r>
      <w:bookmarkEnd w:id="2141"/>
    </w:p>
    <w:p>
      <w:pPr>
        <w:pStyle w:val="BookText"/>
      </w:pPr>
      <w:r>
        <w:rPr>
          <w:rFonts w:ascii="Times New Roman" w:hAnsi="Times New Roman" w:eastAsia="Times New Roman" w:cs="Times New Roman"/>
          <w:lang w:val="en-US" w:bidi="en-US"/>
          <w:color w:val="111111"/>
          <w:sz w:val="28"/>
          <w:szCs w:val="28"/>
          <w:rtl/>
        </w:rPr>
        <w:t xml:space="preserve">tārīx-e panj soltān-e ‘osmānī</w:t>
      </w:r>
    </w:p>
    <w:p>
      <w:pPr>
        <w:pStyle w:val="BookText"/>
      </w:pPr>
      <w:r>
        <w:rPr>
          <w:rFonts w:ascii="IRNazanin" w:hAnsi="IRNazanin" w:eastAsia="IRNazanin" w:cs="IRNazanin"/>
          <w:lang w:bidi="fa-IR"/>
          <w:color w:val="111111"/>
          <w:sz w:val="28"/>
          <w:szCs w:val="28"/>
          <w:rtl/>
        </w:rPr>
        <w:t xml:space="preserve">از: هانری ماتیه؛ مترجم: زکی. مترجم می گوید دهامر (مقصود هامر آلمانی نویسنده معروف تاریخ سلاطین عثمانی است) تاریخ مفصل شاهان آل عثمان را از آغاز تا سلطنت سلطان حمید اول تألیف کرده است و من آن را ترجمه نموده ام ولی وقایع ایام پنج سلطان دیگر را یعنی: عبدالحميد اول، سلطان سليم ثالث، سلطان مصطفی رابع، سلطان محمود ثانی و سلطان عبدالمجيد اول را ذکر نکرده است لذا من برای تکمیل کار او و رفع نقص به ترجمه حال این پنج سلطان از کتاب هانری ماتیه پرداختم گر چه کار هانری ماتیه مختصرتر از کار دهامر است ولی برای رفع نقص چاره ای جز این ترجمه نبود خاصه آنکه ماتیه نیز معظم کار این پنج سلطان را آورده است.</w:t>
      </w:r>
    </w:p>
    <w:p>
      <w:pPr>
        <w:pStyle w:val="BookText"/>
      </w:pPr>
      <w:r>
        <w:rPr>
          <w:rFonts w:ascii="IRNazanin" w:hAnsi="IRNazanin" w:eastAsia="IRNazanin" w:cs="IRNazanin"/>
          <w:lang w:bidi="fa-IR"/>
          <w:color w:val="111111"/>
          <w:sz w:val="28"/>
          <w:szCs w:val="28"/>
          <w:rtl/>
        </w:rPr>
        <w:t xml:space="preserve">تهران؛ ملی؛ شماره نسخه:۱۵۴۷</w:t>
      </w:r>
    </w:p>
    <w:p>
      <w:pPr>
        <w:pStyle w:val="BookText"/>
      </w:pPr>
      <w:r>
        <w:rPr>
          <w:rFonts w:ascii="IRNazanin" w:hAnsi="IRNazanin" w:eastAsia="IRNazanin" w:cs="IRNazanin"/>
          <w:lang w:bidi="fa-IR"/>
          <w:color w:val="111111"/>
          <w:sz w:val="28"/>
          <w:szCs w:val="28"/>
          <w:rtl/>
        </w:rPr>
        <w:t xml:space="preserve">آغاز: بسمله تبارک و تعالی شانه العزيز: چون دهامر صاحب منصب</w:t>
      </w:r>
    </w:p>
    <w:p>
      <w:pPr>
        <w:pStyle w:val="BookText"/>
      </w:pPr>
      <w:r>
        <w:rPr>
          <w:rFonts w:ascii="IRNazanin" w:hAnsi="IRNazanin" w:eastAsia="IRNazanin" w:cs="IRNazanin"/>
          <w:lang w:bidi="fa-IR"/>
          <w:color w:val="111111"/>
          <w:sz w:val="28"/>
          <w:szCs w:val="28"/>
          <w:rtl/>
        </w:rPr>
        <w:t xml:space="preserve">تاریخ پسندیده - تاریخ پیامبر ۵۹۱ معروف آلمان؛ انجام: یک دولت بزرگی حاضر و ناظریم خداوند متعال صلح عمومی برهم نزند خط: نستعلیق، کاتب = مؤلف، تا: قرن ۱۳، جا؛ تهران؛ کاغذ: فرنگی، جلد: تیماج قرمز، ۴۸گ، ۲۰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۲۶/۵)،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w:t>
      </w:r>
    </w:p>
    <w:p>
      <w:pPr>
        <w:pStyle w:val="BookText"/>
      </w:pPr>
      <w:r>
        <w:rPr>
          <w:rFonts w:ascii="IRNazanin" w:hAnsi="IRNazanin" w:eastAsia="IRNazanin" w:cs="IRNazanin"/>
          <w:lang w:bidi="fa-IR"/>
          <w:color w:val="111111"/>
          <w:sz w:val="28"/>
          <w:szCs w:val="28"/>
          <w:rtl/>
        </w:rPr>
        <w:t xml:space="preserve">سم [ف: ۴-۳۹]</w:t>
      </w:r>
    </w:p>
    <w:p>
      <w:pPr>
        <w:pStyle w:val="Heading3"/>
      </w:pPr>
      <w:bookmarkStart w:id="2142" w:name="_Toc1402"/>
      <w:r>
        <w:t>•تاریخ پیامبر (صلی الله علیه وآله وسلم) / تاریخ پیامبر اکرم (صلی الله علیه وآله وسلم) / عربی</w:t>
      </w:r>
      <w:bookmarkEnd w:id="2142"/>
    </w:p>
    <w:p>
      <w:pPr>
        <w:pStyle w:val="BookText"/>
      </w:pPr>
      <w:r>
        <w:rPr>
          <w:rFonts w:ascii="Times New Roman" w:hAnsi="Times New Roman" w:eastAsia="Times New Roman" w:cs="Times New Roman"/>
          <w:lang w:val="en-US" w:bidi="en-US"/>
          <w:color w:val="111111"/>
          <w:sz w:val="28"/>
          <w:szCs w:val="28"/>
          <w:rtl/>
        </w:rPr>
        <w:t xml:space="preserve">tārīx-e payāmbar</w:t>
      </w:r>
    </w:p>
    <w:p>
      <w:pPr>
        <w:pStyle w:val="BookText"/>
      </w:pPr>
      <w:r>
        <w:rPr>
          <w:rFonts w:ascii="IRNazanin" w:hAnsi="IRNazanin" w:eastAsia="IRNazanin" w:cs="IRNazanin"/>
          <w:lang w:bidi="fa-IR"/>
          <w:color w:val="111111"/>
          <w:sz w:val="28"/>
          <w:szCs w:val="28"/>
          <w:rtl/>
        </w:rPr>
        <w:t xml:space="preserve">مشهد؛ رضوی؛ شماره نسخه:۴۱۲۲</w:t>
      </w:r>
    </w:p>
    <w:p>
      <w:pPr>
        <w:pStyle w:val="BookText"/>
      </w:pPr>
      <w:r>
        <w:rPr>
          <w:rFonts w:ascii="IRNazanin" w:hAnsi="IRNazanin" w:eastAsia="IRNazanin" w:cs="IRNazanin"/>
          <w:lang w:bidi="fa-IR"/>
          <w:color w:val="111111"/>
          <w:sz w:val="28"/>
          <w:szCs w:val="28"/>
          <w:rtl/>
        </w:rPr>
        <w:t xml:space="preserve">آغاز: الكهنه عن علمهم وفي تلك الليل تساقطت الأصنام؛ انجام: و احمد و اخوه و ابوالحسن و من اصفهان خط: نسخ، بی کا، بی تا؛ افتادگی: آغاز و انجام کاغذ: نخودی، جلد: میشن، ۹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 الفبائی:-۹۸]</w:t>
      </w:r>
    </w:p>
    <w:p>
      <w:pPr>
        <w:pStyle w:val="Heading3"/>
      </w:pPr>
      <w:bookmarkStart w:id="2143" w:name="_Toc1403"/>
      <w:r>
        <w:t>•تاریخ پیامبر (صلی الله علیه وآله وسلم) = سيرة المصطفى / تاریخ پیامبر اکرم (صلی الله علیه وآله وسلم) / فارسی</w:t>
      </w:r>
      <w:bookmarkEnd w:id="2143"/>
    </w:p>
    <w:p>
      <w:pPr>
        <w:pStyle w:val="BookText"/>
      </w:pPr>
      <w:r>
        <w:rPr>
          <w:rFonts w:ascii="Times New Roman" w:hAnsi="Times New Roman" w:eastAsia="Times New Roman" w:cs="Times New Roman"/>
          <w:lang w:val="en-US" w:bidi="en-US"/>
          <w:color w:val="111111"/>
          <w:sz w:val="28"/>
          <w:szCs w:val="28"/>
          <w:rtl/>
        </w:rPr>
        <w:t xml:space="preserve">tārīx-e payāmbar = sīrat-ol mostafā</w:t>
      </w:r>
    </w:p>
    <w:p>
      <w:pPr>
        <w:pStyle w:val="BookText"/>
      </w:pPr>
      <w:r>
        <w:rPr>
          <w:rFonts w:ascii="IRNazanin" w:hAnsi="IRNazanin" w:eastAsia="IRNazanin" w:cs="IRNazanin"/>
          <w:lang w:bidi="fa-IR"/>
          <w:color w:val="111111"/>
          <w:sz w:val="28"/>
          <w:szCs w:val="28"/>
          <w:rtl/>
        </w:rPr>
        <w:t xml:space="preserve">رساله مفصلی است در تاریخ حضرت پیامبر (ص) مشتمل بر</w:t>
      </w:r>
    </w:p>
    <w:p>
      <w:pPr>
        <w:pStyle w:val="BookText"/>
      </w:pPr>
      <w:r>
        <w:rPr>
          <w:rFonts w:ascii="IRNazanin" w:hAnsi="IRNazanin" w:eastAsia="IRNazanin" w:cs="IRNazanin"/>
          <w:lang w:bidi="fa-IR"/>
          <w:color w:val="111111"/>
          <w:sz w:val="28"/>
          <w:szCs w:val="28"/>
          <w:rtl/>
        </w:rPr>
        <w:t xml:space="preserve">چندین «باب» و هر باب در چندین «فصل»، در نسخه حاضر ۲۶ باب کتاب موجود است: ۱ و ۲. ندارد؛ ۳. تعاقب ولات به خانه کعبه وترتبت ولایت از یشان؛ ۴. ظاهر شدن چاه زمزم؛ ۵. ذبح عبدالله پدر پیغمبر(عليه السلام)؛ ۶. مولود پیغمبر(عليه السلام)؛ ۷. رضاع حضرت پیغمبر(عليه السلام)؛ ۸ کفایت ابوطالب سید را عليه السلام؛ 9. اوصاف و اخلاق پیغمبر(عليه السلام)؛ ۱۰. تقدیم داشتن قریش سید را عليه السلام از مبعث تا حجر الاسود؛ ۱۱. خبر دادن یهود و نصاری و کهنه عرب از مبعث حضرت پیغمبر(عليه السلام)؛ ۱۲. مبعث پیغمبر (عليه السلام)؛ ۱۳. اسلام حمزه عبدالمطلب كرم الله وجهه؛ ۱۴. ماجراء میان پیغمبر(عليه السلام) و قریش رفت؛ ۱۵. عنوانش خالی مانده است؛ ۱۶. معراج پیغمبر(عليه السلام)؛ ۱۷. ندارد؛ ۱۸. رفتن پیغمبر  (صلی الله علیه وآله وسلم) به سوی طائف؛ ۱۹. عرض دادن پیغمبر خود را در موسم حاج به قبیله عرب؛ ۲۰. بیعت کردن انصار با پیغمبر(عليه السلام)؛ ۲۱. هجرت صحابه به مدینه؛ ۲۲. هجرت پیغمبر (عليه السلام)؛ ۲۳ تا ۲۵. عنوانش خالی مانده است؛ ۲۶. غزاهای پیغمبر (صلی الله علیه وآله وسلم). در اول باب دوازدهم آمده که المجلد الثاني من جملة السيرة المصطفى(عليه السلام)» و گویا نام کتاب سيرة المصطفی است.</w:t>
      </w:r>
    </w:p>
    <w:p>
      <w:pPr>
        <w:pStyle w:val="BookText"/>
      </w:pPr>
      <w:r>
        <w:rPr>
          <w:rFonts w:ascii="IRNazanin" w:hAnsi="IRNazanin" w:eastAsia="IRNazanin" w:cs="IRNazanin"/>
          <w:lang w:bidi="fa-IR"/>
          <w:color w:val="111111"/>
          <w:sz w:val="28"/>
          <w:szCs w:val="28"/>
          <w:rtl/>
        </w:rPr>
        <w:t xml:space="preserve">قم، گلپایگانی؛ شماره نسخه:۴۹۴۳- ۲۵/۳۳</w:t>
      </w:r>
    </w:p>
    <w:p>
      <w:pPr>
        <w:pStyle w:val="BookText"/>
      </w:pPr>
      <w:r>
        <w:rPr>
          <w:rFonts w:ascii="IRNazanin" w:hAnsi="IRNazanin" w:eastAsia="IRNazanin" w:cs="IRNazanin"/>
          <w:lang w:bidi="fa-IR"/>
          <w:color w:val="111111"/>
          <w:sz w:val="28"/>
          <w:szCs w:val="28"/>
          <w:rtl/>
        </w:rPr>
        <w:t xml:space="preserve">آغاز: و پوشانیدن وی جامه در کعبه چنین گویند که نخست</w:t>
      </w:r>
    </w:p>
    <w:p>
      <w:pPr>
        <w:pStyle w:val="BookText"/>
      </w:pPr>
      <w:r>
        <w:rPr>
          <w:rFonts w:ascii="IRNazanin" w:hAnsi="IRNazanin" w:eastAsia="IRNazanin" w:cs="IRNazanin"/>
          <w:lang w:bidi="fa-IR"/>
          <w:color w:val="111111"/>
          <w:sz w:val="28"/>
          <w:szCs w:val="28"/>
          <w:rtl/>
        </w:rPr>
        <w:t xml:space="preserve">کسی که جامه در خانه کعبه پوشید تبع بود و تبع دو بودند یکی؛ انجام یکی را از قوم خزاعه بکشتند و قوم بنی خزاعه هم عهد پیغمبر صلوات الله عليه بودند و قریش بیاری بنوبکر رفتند و بنی خزاعه.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418" w:name="pg20363_209719"/>
    <w:bookmarkEnd w:id="418"/>
    <w:p>
      <w:pPr>
        <w:pStyle w:val="BookText"/>
      </w:pPr>
      <w:r>
        <w:rPr>
          <w:rFonts w:ascii="IRNazanin" w:hAnsi="IRNazanin" w:eastAsia="IRNazanin" w:cs="IRNazanin"/>
          <w:lang w:bidi="fa-IR"/>
          <w:color w:val="111111"/>
          <w:sz w:val="28"/>
          <w:szCs w:val="28"/>
          <w:rtl/>
        </w:rPr>
        <w:t xml:space="preserve">خط: نسخ، بی کا، تا: قرن ۱۰؛ افتادگی: آغاز و انجام؛ جلد: مقوا، ۱۳۴گ، ۲۰ سطر،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۲-۶۹۱]</w:t>
      </w:r>
    </w:p>
    <w:p>
      <w:pPr>
        <w:pStyle w:val="Heading3"/>
      </w:pPr>
      <w:bookmarkStart w:id="2144" w:name="_Toc1404"/>
      <w:r>
        <w:t>•تاریخ پیامبر (صلی الله علیه وآله وسلم) / تاریخ پیامبران / فارسی</w:t>
      </w:r>
      <w:bookmarkEnd w:id="2144"/>
    </w:p>
    <w:p>
      <w:pPr>
        <w:pStyle w:val="BookText"/>
      </w:pPr>
      <w:r>
        <w:rPr>
          <w:rFonts w:ascii="Times New Roman" w:hAnsi="Times New Roman" w:eastAsia="Times New Roman" w:cs="Times New Roman"/>
          <w:lang w:val="en-US" w:bidi="en-US"/>
          <w:color w:val="111111"/>
          <w:sz w:val="28"/>
          <w:szCs w:val="28"/>
          <w:rtl/>
        </w:rPr>
        <w:t xml:space="preserve">tārīx-e payāmbar</w:t>
      </w:r>
    </w:p>
    <w:p>
      <w:pPr>
        <w:pStyle w:val="BookText"/>
      </w:pPr>
      <w:r>
        <w:rPr>
          <w:rFonts w:ascii="Amiri" w:hAnsi="Amiri" w:eastAsia="Amiri" w:cs="Amiri"/>
          <w:lang w:bidi="ar-SA"/>
          <w:color w:val="111111"/>
          <w:sz w:val="28"/>
          <w:szCs w:val="28"/>
          <w:rtl/>
        </w:rPr>
        <w:t xml:space="preserve">ظاهرة غير همانند:</w:t>
      </w:r>
    </w:p>
    <w:p>
      <w:pPr>
        <w:pStyle w:val="BookText"/>
      </w:pPr>
      <w:r>
        <w:rPr>
          <w:rFonts w:ascii="IRNazanin" w:hAnsi="IRNazanin" w:eastAsia="IRNazanin" w:cs="IRNazanin"/>
          <w:lang w:bidi="fa-IR"/>
          <w:color w:val="111111"/>
          <w:sz w:val="28"/>
          <w:szCs w:val="28"/>
          <w:rtl/>
        </w:rPr>
        <w:t xml:space="preserve">۱. تهران؛ مجلس؛ شماره نسخه: ۸۸۶۴/۲۵</w:t>
      </w:r>
    </w:p>
    <w:p>
      <w:pPr>
        <w:pStyle w:val="BookText"/>
      </w:pPr>
      <w:r>
        <w:rPr>
          <w:rFonts w:ascii="IRNazanin" w:hAnsi="IRNazanin" w:eastAsia="IRNazanin" w:cs="IRNazanin"/>
          <w:lang w:bidi="fa-IR"/>
          <w:color w:val="111111"/>
          <w:sz w:val="28"/>
          <w:szCs w:val="28"/>
          <w:rtl/>
        </w:rPr>
        <w:t xml:space="preserve">آغاز: فصل ششم در بیان ملاقات عبدالمطلب با بوئک شوم من الابرهة الأشرم در وقت آمدن او بقصد تخریب خانه کعبه و درین فصل چند از قضیه مبین می گردد .. وهب این منية (كذا) روایت می کند که چون ذونواس ملک یمن بود و کیش یهودی را نصرت می کرد؛ انجام: فصل دهم در بیان ذکر عبدالله ابن عبد المطلب و واقعات او و تزویج آمنه خاتون و حمل او به حضرت سید المرسلین ... که در جمال و کنال یگانه روز گار بود و در استحضار صحائف آسمانی نشان داشت و در.</w:t>
      </w:r>
    </w:p>
    <w:p>
      <w:pPr>
        <w:pStyle w:val="BookText"/>
      </w:pPr>
      <w:r>
        <w:rPr>
          <w:rFonts w:ascii="IRNazanin" w:hAnsi="IRNazanin" w:eastAsia="IRNazanin" w:cs="IRNazanin"/>
          <w:lang w:bidi="fa-IR"/>
          <w:color w:val="111111"/>
          <w:sz w:val="28"/>
          <w:szCs w:val="28"/>
          <w:rtl/>
        </w:rPr>
        <w:t xml:space="preserve">بخشی از کتابی است؛ خط: نسخ و نستعلیق، بی کا، تا: قرن ۱۱؛ افتادگی: انجام؛ کاغذ: الوان آهار مهره، جلد: میشن عنابی، ۵گ (79ر -۸۳پ متن و حاشیه)، ابعاد متن:</w:t>
      </w:r>
    </w:p>
    <w:p>
      <w:pPr>
        <w:pStyle w:val="BookText"/>
      </w:pPr>
      <w:r>
        <w:rPr>
          <w:rFonts w:ascii="IRNazanin" w:hAnsi="IRNazanin" w:eastAsia="IRNazanin" w:cs="IRNazanin"/>
          <w:lang w:bidi="fa-IR"/>
          <w:color w:val="111111"/>
          <w:sz w:val="28"/>
          <w:szCs w:val="28"/>
          <w:rtl/>
        </w:rPr>
        <w:t xml:space="preserve">۱۷/۳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۸/۶ ، اندازه: ۱۵/۶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۲۷/۹سم [ف: ۲۹/۱-۱۷۰]</w:t>
      </w:r>
    </w:p>
    <w:p>
      <w:pPr>
        <w:pStyle w:val="Heading3"/>
      </w:pPr>
      <w:bookmarkStart w:id="2145" w:name="_Toc1405"/>
      <w:r>
        <w:t>•تاریخ پیامبر(صلی الله علیه وآله وسلم)/ تاریخ پیامبر اکرم(صلی الله علیه وآله وسلم)/ فارسی</w:t>
      </w:r>
      <w:bookmarkEnd w:id="2145"/>
    </w:p>
    <w:p>
      <w:pPr>
        <w:pStyle w:val="BookText"/>
      </w:pPr>
      <w:r>
        <w:rPr>
          <w:rFonts w:ascii="Times New Roman" w:hAnsi="Times New Roman" w:eastAsia="Times New Roman" w:cs="Times New Roman"/>
          <w:lang w:val="en-US" w:bidi="en-US"/>
          <w:color w:val="111111"/>
          <w:sz w:val="28"/>
          <w:szCs w:val="28"/>
          <w:rtl/>
        </w:rPr>
        <w:t xml:space="preserve">tārīx-e payāmbar</w:t>
      </w:r>
    </w:p>
    <w:p>
      <w:pPr>
        <w:pStyle w:val="BookText"/>
      </w:pPr>
      <w:r>
        <w:rPr>
          <w:rFonts w:ascii="IRNazanin" w:hAnsi="IRNazanin" w:eastAsia="IRNazanin" w:cs="IRNazanin"/>
          <w:lang w:bidi="fa-IR"/>
          <w:color w:val="111111"/>
          <w:sz w:val="28"/>
          <w:szCs w:val="28"/>
          <w:rtl/>
        </w:rPr>
        <w:t xml:space="preserve">۱. قم، دار الحدیث، شماره نسخه:۱۲۹</w:t>
      </w:r>
    </w:p>
    <w:p>
      <w:pPr>
        <w:pStyle w:val="BookText"/>
      </w:pPr>
      <w:r>
        <w:rPr>
          <w:rFonts w:ascii="IRNazanin" w:hAnsi="IRNazanin" w:eastAsia="IRNazanin" w:cs="IRNazanin"/>
          <w:lang w:bidi="fa-IR"/>
          <w:color w:val="111111"/>
          <w:sz w:val="28"/>
          <w:szCs w:val="28"/>
          <w:rtl/>
        </w:rPr>
        <w:t xml:space="preserve">جلد دوم کتاب است و در آن تاریخ حضرت پیامبر اکرم(صلی الله علیه وآله وسلم) در شش «جهت» بیان شده، با این عنوانها: جهت 1. ظهور نور وجود مقدس آن حضرت، در دوازده «فائده»، ۲. طلوع آفتاب عالمتاب سرور کائنات، 3. بيان لفظ و معنای نبی و رسول و اولوالعزم در ده «فائده»، ۴. بيان بعثت و رسالت حضرت سید المرسلین، ۵. بیان اسامی، القاب، شمایل و ... ۶. بیان احوال باقی انبیا و رسل که در سلسله نسب آن حضرت داخل نیستند؛ خط: نسخ، بی کا، تا: قرن ۱۲؛ افتادگی: آغاز؛ مصحح، جلد: گالینگور، ۲۲۵ گ، ۲۷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۳۷سم [ف: ۱۰۶]</w:t>
      </w:r>
    </w:p>
    <w:p>
      <w:pPr>
        <w:pStyle w:val="BookText"/>
      </w:pPr>
      <w:r>
        <w:rPr>
          <w:rFonts w:ascii="IRNazanin" w:hAnsi="IRNazanin" w:eastAsia="IRNazanin" w:cs="IRNazanin"/>
          <w:lang w:bidi="fa-IR"/>
          <w:color w:val="111111"/>
          <w:sz w:val="28"/>
          <w:szCs w:val="28"/>
          <w:rtl/>
        </w:rPr>
        <w:t xml:space="preserve">۲. شیراز؛ شاهچراغ؛ شماره نسخه: ۷۶۱</w:t>
      </w:r>
    </w:p>
    <w:p>
      <w:pPr>
        <w:pStyle w:val="BookText"/>
      </w:pPr>
      <w:r>
        <w:rPr>
          <w:rFonts w:ascii="IRNazanin" w:hAnsi="IRNazanin" w:eastAsia="IRNazanin" w:cs="IRNazanin"/>
          <w:lang w:bidi="fa-IR"/>
          <w:color w:val="111111"/>
          <w:sz w:val="28"/>
          <w:szCs w:val="28"/>
          <w:rtl/>
        </w:rPr>
        <w:t xml:space="preserve">زندگی پیامبر اسلام(صلی الله علیه وآله وسلم). باب دوم: در بیان بشاراتی است که انبیاء و اوصياء و غیر ایشان برای بعثت و ولادت پیغمبر آخر الزمان داده اند ... باب پنجاه و نهم: در بیان فضائل سنيه و اخلاق عليه و رفعت شأن و سایر احوال حضرت سلمان رضي الله عنه؛ خط: نسخ، بی کا، تا: قرن ۱۳؛ افتادگی: آغاز و انجام؛ ۴۶۵گ،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۲۸/۵سم [ف: ۳-۱۵]</w:t>
      </w:r>
    </w:p>
    <w:p>
      <w:pPr>
        <w:pStyle w:val="BookText"/>
      </w:pPr>
      <w:r>
        <w:rPr>
          <w:rFonts w:ascii="IRNazanin" w:hAnsi="IRNazanin" w:eastAsia="IRNazanin" w:cs="IRNazanin"/>
          <w:lang w:bidi="fa-IR"/>
          <w:color w:val="111111"/>
          <w:sz w:val="28"/>
          <w:szCs w:val="28"/>
          <w:rtl/>
        </w:rPr>
        <w:t xml:space="preserve">٣. قم؛ گلپایگانی؛ شماره نسخه:۴۳۶۹- ۲۲/۸۹</w:t>
      </w:r>
    </w:p>
    <w:p>
      <w:pPr>
        <w:pStyle w:val="BookText"/>
      </w:pPr>
      <w:r>
        <w:rPr>
          <w:rFonts w:ascii="IRNazanin" w:hAnsi="IRNazanin" w:eastAsia="IRNazanin" w:cs="IRNazanin"/>
          <w:lang w:bidi="fa-IR"/>
          <w:color w:val="111111"/>
          <w:sz w:val="28"/>
          <w:szCs w:val="28"/>
          <w:rtl/>
        </w:rPr>
        <w:t xml:space="preserve">آغاز: بسلمه، اعوذ بالله ... وقل رب ادخلنی ... نصیر. در مکه معظمه چون کار بر پیغمبر تنگی شد یعنی به قسمی که این چهار نفری که اسلام آورده بودند از دست کفار قریش نمی توانستند؛ انجام: من بات وفي يده غمر فعرض له عارض ... یعنی کسیکه با دست نشسته بخوابد ... اتته امرءة فقال ألك بعل قال نعم قال كيف انت له قالت ما آلوه قال هو جنتك ونارك قال أن الله عز وجل يبغض الشيخ الغريب. رساله مفصلی است در تاریخ حضرت پیامبر(صلی الله علیه وآله وسلم)و وقایع صدر اسلام که از کتاب های ناسخ التواريخ و حیات القلوب انتخاب و نقل شده است؛ خط: نسخ و نستعلیق، کا: میر محمد حسین بن محمد اسماعیل اصفهانی، تا: یک شنبه ۲۹ جمادی الاول ۱۳۰۵ق؛ جلد: تیماج قهوه ای، ۴۵۹ گ، مختلف السطر،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۲-۶۹۰]</w:t>
      </w:r>
    </w:p>
    <w:p>
      <w:pPr>
        <w:pStyle w:val="BookText"/>
      </w:pPr>
      <w:r>
        <w:rPr>
          <w:rFonts w:ascii="IRNazanin" w:hAnsi="IRNazanin" w:eastAsia="IRNazanin" w:cs="IRNazanin"/>
          <w:lang w:bidi="fa-IR"/>
          <w:color w:val="111111"/>
          <w:sz w:val="28"/>
          <w:szCs w:val="28"/>
          <w:rtl/>
        </w:rPr>
        <w:t xml:space="preserve">۴. تهران؛ ملی؛ شماره نسخه: ۲۵۵۸۹</w:t>
      </w:r>
    </w:p>
    <w:p>
      <w:pPr>
        <w:pStyle w:val="BookText"/>
      </w:pPr>
      <w:r>
        <w:rPr>
          <w:rFonts w:ascii="IRNazanin" w:hAnsi="IRNazanin" w:eastAsia="IRNazanin" w:cs="IRNazanin"/>
          <w:lang w:bidi="fa-IR"/>
          <w:color w:val="111111"/>
          <w:sz w:val="28"/>
          <w:szCs w:val="28"/>
          <w:rtl/>
        </w:rPr>
        <w:t xml:space="preserve">بی کا، بی تا؛ خریداری از امان الله [رایانه]</w:t>
      </w:r>
    </w:p>
    <w:p>
      <w:pPr>
        <w:pStyle w:val="BookText"/>
      </w:pPr>
      <w:r>
        <w:rPr>
          <w:rFonts w:ascii="IRNazanin" w:hAnsi="IRNazanin" w:eastAsia="IRNazanin" w:cs="IRNazanin"/>
          <w:lang w:bidi="fa-IR"/>
          <w:color w:val="111111"/>
          <w:sz w:val="28"/>
          <w:szCs w:val="28"/>
          <w:rtl/>
        </w:rPr>
        <w:t xml:space="preserve">۵. قم: مرکز مطالعات؛ شماره نسخه:۲۱۶</w:t>
      </w:r>
    </w:p>
    <w:p>
      <w:pPr>
        <w:pStyle w:val="BookText"/>
      </w:pPr>
      <w:r>
        <w:rPr>
          <w:rFonts w:ascii="IRNazanin" w:hAnsi="IRNazanin" w:eastAsia="IRNazanin" w:cs="IRNazanin"/>
          <w:lang w:bidi="fa-IR"/>
          <w:color w:val="111111"/>
          <w:sz w:val="28"/>
          <w:szCs w:val="28"/>
          <w:rtl/>
        </w:rPr>
        <w:t xml:space="preserve">آغاز: نکشم طعام بگذاشت و گمان برداشت و بطلب محمد پیروز آمد آنحضرة را دید پیش خانه کعبه که بصد فکر و اندیشه؟ انجام: اگر شیر نر بود از پنجه مردی می دریدند و اگر پلنگ ... بزور بازو سرش از تن جدا می گردانید مؤلف در این کتاب وقایع و تاریخ حضرت پیامبر را به ترتیب سال ها بیان نموده است.</w:t>
      </w:r>
    </w:p>
    <w:p>
      <w:pPr>
        <w:pStyle w:val="BookText"/>
      </w:pPr>
      <w:r>
        <w:rPr>
          <w:rFonts w:ascii="IRNazanin" w:hAnsi="IRNazanin" w:eastAsia="IRNazanin" w:cs="IRNazanin"/>
          <w:lang w:bidi="fa-IR"/>
          <w:color w:val="111111"/>
          <w:sz w:val="28"/>
          <w:szCs w:val="28"/>
          <w:rtl/>
        </w:rPr>
        <w:t xml:space="preserve">مؤلف از ذکر مصادر و منابع خودداری نموده و در دو مورد از کتاب سیر مولی جمال الدین حسین (حسن) خوارزمی مطالبی را نقل نموده است. این کتاب غیر از روضة الصفا و حبیب السیر است، در نسخه حاضر وقایع از پناه بردن مسلمانان به شعب ابی طالب شروع و تا وقایع سال هفتم از هجرت را شامل است؛ خط: نستعلیق، بی کا، بی تا؛ افتادگی: آغاز و انجام؛ مهر: «یا شفیع المذنبین» (بیضوی)؛ جلد: مقوا عطف پارچه، ۱۴۳، ۱۶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۱-۱۸۵]</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مشهد؛ شیخ علی حیدر، شماره نسخه:۱۰۹۶</w:t>
      </w:r>
    </w:p>
    <w:p>
      <w:pPr>
        <w:pStyle w:val="BookText"/>
      </w:pPr>
      <w:r>
        <w:rPr>
          <w:rFonts w:ascii="IRNazanin" w:hAnsi="IRNazanin" w:eastAsia="IRNazanin" w:cs="IRNazanin"/>
          <w:lang w:bidi="fa-IR"/>
          <w:color w:val="111111"/>
          <w:sz w:val="28"/>
          <w:szCs w:val="28"/>
          <w:rtl/>
        </w:rPr>
        <w:t xml:space="preserve">آغاز: بود مرا گفت ترا سوگند میدهم بخدای تعالی ای ابوبکر؛ انجام: پدر و مادرت مسلمان شده اند می خواهی که ترا کتابی است در تاریخ پیامبر(صلی الله علیه وآله وسلم)که به حسب سال های حیات آن حضرت تنظیم شده و عناوین آن فصل است و در هر فصلی واقعه هایی ذکر کرده است؛ خط: نسخ، بی کا، بی تا، افتادگی: آغاز و انجام؛ تملک: «سید ریحان الله موسوی در ۱۳۱۲ با مهر« العبد ریحان الله الموسوی» (بیضوی)؛ مهر: سید محمد باقر بروجردی؛ جلد: تیماج قهوه ای، ۲۲۵، ۲۵ سطر، اندازه: ۲۶/۵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سم [ مؤید: ۳-۹۵]</w:t>
      </w:r>
    </w:p>
    <w:p>
      <w:pPr>
        <w:pStyle w:val="Heading3"/>
      </w:pPr>
      <w:bookmarkStart w:id="2146" w:name="_Toc1406"/>
      <w:r>
        <w:t>• تاریخ پیامبر و ائمه (علیه السلام) / تاریخ معصومین / فارسی</w:t>
      </w:r>
      <w:bookmarkEnd w:id="2146"/>
    </w:p>
    <w:p>
      <w:pPr>
        <w:pStyle w:val="BookText"/>
      </w:pPr>
      <w:r>
        <w:rPr>
          <w:rFonts w:ascii="Times New Roman" w:hAnsi="Times New Roman" w:eastAsia="Times New Roman" w:cs="Times New Roman"/>
          <w:lang w:val="en-US" w:bidi="en-US"/>
          <w:color w:val="111111"/>
          <w:sz w:val="28"/>
          <w:szCs w:val="28"/>
          <w:rtl/>
        </w:rPr>
        <w:t xml:space="preserve">tarix-e payambar va a'emme</w:t>
      </w:r>
    </w:p>
    <w:p>
      <w:pPr>
        <w:pStyle w:val="BookText"/>
      </w:pPr>
      <w:r>
        <w:rPr>
          <w:rFonts w:ascii="Amiri" w:hAnsi="Amiri" w:eastAsia="Amiri" w:cs="Amiri"/>
          <w:lang w:bidi="ar-SA"/>
          <w:color w:val="111111"/>
          <w:sz w:val="28"/>
          <w:szCs w:val="28"/>
          <w:rtl/>
        </w:rPr>
        <w:t xml:space="preserve">ظاهرة غير همانند: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 قم؛ گلپایگانی؛ شماره نسخه:۲۴۳- ۲/۶۳</w:t>
      </w:r>
    </w:p>
    <w:p>
      <w:pPr>
        <w:pStyle w:val="BookText"/>
      </w:pPr>
      <w:r>
        <w:rPr>
          <w:rFonts w:ascii="IRNazanin" w:hAnsi="IRNazanin" w:eastAsia="IRNazanin" w:cs="IRNazanin"/>
          <w:lang w:bidi="fa-IR"/>
          <w:color w:val="111111"/>
          <w:sz w:val="28"/>
          <w:szCs w:val="28"/>
          <w:rtl/>
        </w:rPr>
        <w:t xml:space="preserve">آغاز: از حضرت اله دستوری خواست چون دستوری یافت دست برداشت و دعا کرد خدای تعالی ماه به دو نیمه کرد؛ انجام: به امر الهی غایب شد وحی و موجود است و به اشارت و فرمان الهی جل جلاله ظهور کند ان شاء الله تعالى وحده العزيز تمت الكتاب بعون الله. کتابی است در تاریخ پیامبر اکرم(صلی الله علیه وآله وسلم)و بیان فضائل آن حضرت و تاریخ اسلام پس از رحلت آن حضرت و تاریخ ائمه اطهار تا امام زمان (عجل الله تعالی فرجه الشریف) و بیان فضائل و معجزات معصومین (علیهم السلام)دارای فصول، که برای پیامبر(صلی الله علیه وآله وسلم)و امام علی(علیه السلام)فصول متعددی را اختصاص داده اما درباره هر یک از امامان بعد از علی(علیه السلام)تا امام زمان (عجل الله تعالی فرجه الشریف)یک فصل اختصاص داده در ولادت و بخشی از معجزات و فضائل و وفات آن حضرات. شباهت دارد به «احسن الكبار» ورامینی [نک: فهرستواره کتابهای فارسی، منزوی ۱۵۳۶/۳ و ۱۷۴۹) و یا «لوامع الانوار» زواره ای که تلخيص «احسن الكبار» است. از «فصل في ذكر مغازى النبي صلى الله عليه و آله» تا آخر کتاب؛ خط: نستعلیق، کا: شاه علی بن عماد الدین شیعی زوارئی، تا: چهارشنبه ۱ ربیع الاول ۹۸۴ق، جان قریه محمدی از قراء نائين؛ افتادگی: آغاز و وسط؛ مجدول؛ جلد: مقوا با عطف پارچه ای، ۱۸۷، ۲۱-۱۹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۲-۶۸۷]</w:t>
      </w:r>
    </w:p>
    <w:p>
      <w:pPr>
        <w:pStyle w:val="BookText"/>
      </w:pPr>
      <w:r>
        <w:rPr>
          <w:rFonts w:ascii="IRNazanin" w:hAnsi="IRNazanin" w:eastAsia="IRNazanin" w:cs="IRNazanin"/>
          <w:lang w:bidi="fa-IR"/>
          <w:color w:val="111111"/>
          <w:sz w:val="28"/>
          <w:szCs w:val="28"/>
          <w:rtl/>
        </w:rPr>
        <w:t xml:space="preserve">۲. تهران؛ مجلس؛ شماره نسخه: ۷۹۷۲/۱</w:t>
      </w:r>
    </w:p>
    <w:p>
      <w:pPr>
        <w:pStyle w:val="BookText"/>
      </w:pPr>
      <w:r>
        <w:rPr>
          <w:rFonts w:ascii="IRNazanin" w:hAnsi="IRNazanin" w:eastAsia="IRNazanin" w:cs="IRNazanin"/>
          <w:lang w:bidi="fa-IR"/>
          <w:color w:val="111111"/>
          <w:sz w:val="28"/>
          <w:szCs w:val="28"/>
          <w:rtl/>
        </w:rPr>
        <w:t xml:space="preserve">آغاز: بسمله حمد و ثنای واجب الوجودی را سزاست که غواص فکرت را از دریای حیرت در کف اندیشه در آرد حکیمی که به موجب حکمت تامه و به مقتضای مصلحت عامه رساله ای است مشتمل بر احوال حضرت پیامبر(صلی الله علیه وآله وسلم)و احوال هر یک از ائمه دین صلوات الله وسلامه عليهم از مولود و اعمار و وفات و موضع قبور و فضل زیارت و کیفیت زیارت روضات مقدسه ایشان، مشتمل بر چهارده «باب» و هر باب در چند فصل». مؤلف در فصل دوم از باب چهاردهم در عمر حضرت صاحب الزمان عليه السلام گوید: «عمر آن حضرت در حین تحریر این رساله که از تاریخ هجرت نهصد و بیست سال گذشته بود و در روز ولادت حضرت صاحب الزمان محمد بن حسن صلوات الله عليه از هجرت دویست و پنجاه و پنج سال رفته پس عمر آن حضرت از روز ولادت تا حین تحریر این رساله ششصد و هفتاد و چهار سال باشد. بنابراین توضیح تألیف کتاب در سال ۹۲۰ق صورت گرفته است. در آن از شیخ طوسی و شیخ صدوق و ابن طاووس نقل قول نموده است؛ خط: نستعلیق، کا: شرف الدین، تا: ۱۰۴۰ق؛ جلد: تیماج قهوه ای، ۳۱گ (۱-۳۱پ)، ۱۵ سطر، اندازه: ۱۱/۵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۱۹/۵ سم [ف: ۲۶-۴۵۱]</w:t>
      </w:r>
    </w:p>
    <w:p>
      <w:pPr>
        <w:pStyle w:val="BookText"/>
      </w:pPr>
      <w:r>
        <w:rPr>
          <w:rFonts w:ascii="IRNazanin" w:hAnsi="IRNazanin" w:eastAsia="IRNazanin" w:cs="IRNazanin"/>
          <w:lang w:bidi="fa-IR"/>
          <w:color w:val="111111"/>
          <w:sz w:val="28"/>
          <w:szCs w:val="28"/>
          <w:rtl/>
        </w:rPr>
        <w:t xml:space="preserve">٣. قم، گلپایگانی؛ شماره نسخه:۲۵۷۶- ۱۴/۲۶</w:t>
      </w:r>
    </w:p>
    <w:p>
      <w:pPr>
        <w:pStyle w:val="BookText"/>
      </w:pPr>
      <w:r>
        <w:rPr>
          <w:rFonts w:ascii="IRNazanin" w:hAnsi="IRNazanin" w:eastAsia="IRNazanin" w:cs="IRNazanin"/>
          <w:lang w:bidi="fa-IR"/>
          <w:color w:val="111111"/>
          <w:sz w:val="28"/>
          <w:szCs w:val="28"/>
          <w:rtl/>
        </w:rPr>
        <w:t xml:space="preserve">آغاز و برادر او على بن ابی طالب که هیچ پیغمبری را چنین معجزه نبود ... فصل دوم در بیان کیفیت معراج و آن را به روایات مختلفه؛ انجام: و روایت به اسناد از مولی نبی ... از ابی جعفر (علیه السلام) که گفت چون قائم ... کند دست خود را بر سر بندگان نهد پس عقلشان .... و در کتاب مونس الحزين آورده که روایت کرده اند که چون قائم ... رساله مفصلی است در تاریخ حضرت پیامبر(صلی الله علیه وآله وسلم)و دوازده امام مانند حیات القلوب علامه مجلسی ولی غیر از آن، مؤلف در اغلب موارد مصادر خود را ذکر نکرده و روایات را با حذف سند و با ترجمه فارسی آورده است. او کتابش را در چهل «فصل» قرار داده که عنوان برخی از آنها چنین است: فصل 1. ندارد، ۲. کیفیت معراج، ۳. ذکر خواب کردن امیر المؤمنین علی (علیه السلام)در مقام پیامبر(صلی الله علیه وآله وسلم)، ۴. معجزات شامل ۵۳ معجزه از حضرت، ۵. ذكر مغازی، غزوه بدر، ۶. احد، ۱۳. بيان نصوصی که در بیان ائمه اثنی عشر واقع است، ۱۴. ذکر ولادت حضرت امیر، ۱۵. معجزات حضرت علی، چهل معجزه، ۱۶. ذكر بعضی از قضایای حضرت امیر، چهل قضیه، ۱۷. ذكر بعضی مناقب حضرت امیر، ۱۸. ذکر خبر سقیفه؛ ۲۹. ذکر ولادت حضرت ابی جعفر محمد باقر؛ ۳۴. ولادت امام علی النقی(علیه السلام)؛ ۳۵. ولادت امام محمد ابي الحسن. مؤلف در آن از شیخ صدوق با تعبیر ابو جعفر قمی مطالب زیادی نقل نموده است. همچنین در آن از کتاب مونس الحزين شيخ صدوق نیز مطالبی را نقل نموده است. این کتاب غیر از شواهد النبوه جامی، معارج النبوه مسکین فراهی، حياة القلوب مجلسی، حديقة الشيعه مقدس اردبیلی و مجمع الهدی زوارهای است؛ خط: نستعلیق، كا: عبدالقادر بن ملا علی لنگرودی، تا: ۱۰۶۰ق، جلد: تیماج قهوه ای با ترنج و سرترنج، ۲۴۵گ، ۲۲ سطر،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۲-۶۸۶]</w:t>
      </w:r>
    </w:p>
    <w:p>
      <w:pPr>
        <w:pStyle w:val="BookText"/>
      </w:pPr>
      <w:r>
        <w:rPr>
          <w:rFonts w:ascii="IRNazanin" w:hAnsi="IRNazanin" w:eastAsia="IRNazanin" w:cs="IRNazanin"/>
          <w:lang w:bidi="fa-IR"/>
          <w:color w:val="111111"/>
          <w:sz w:val="28"/>
          <w:szCs w:val="28"/>
          <w:rtl/>
        </w:rPr>
        <w:t xml:space="preserve">۴. مشهد؛ رضوی؛ شماره نسخه:۲۳۹۸۹</w:t>
      </w:r>
    </w:p>
    <w:p>
      <w:pPr>
        <w:pStyle w:val="BookText"/>
      </w:pPr>
      <w:r>
        <w:rPr>
          <w:rFonts w:ascii="IRNazanin" w:hAnsi="IRNazanin" w:eastAsia="IRNazanin" w:cs="IRNazanin"/>
          <w:lang w:bidi="fa-IR"/>
          <w:color w:val="111111"/>
          <w:sz w:val="28"/>
          <w:szCs w:val="28"/>
          <w:rtl/>
        </w:rPr>
        <w:t xml:space="preserve">آغاز: و نه بودند و از زنان دوازده کس بودند؛ انجام: و اعتماد</w:t>
      </w:r>
    </w:p>
    <w:p>
      <w:pPr>
        <w:pStyle w:val="BookText"/>
      </w:pPr>
      <w:r>
        <w:rPr>
          <w:rFonts w:ascii="IRNazanin" w:hAnsi="IRNazanin" w:eastAsia="IRNazanin" w:cs="IRNazanin"/>
          <w:lang w:bidi="fa-IR"/>
          <w:color w:val="111111"/>
          <w:sz w:val="28"/>
          <w:szCs w:val="28"/>
          <w:rtl/>
        </w:rPr>
        <w:t xml:space="preserve">کلی بر عصمت حق تعالی بوده ... در این نسخه که صدرا و ذیلا ناقص و مؤلف آن اهل تسنن است حالات نبی اکرم(صلی الله علیه وآله وسلم)و زوجات و فرزندان بلافصل آن حضرت و ائمه اطهار و معجزات آنها را از منابع اهل سنت نقل کرده است؛ خط: نستعلیق، بی کا، تا: قرن ۱۲؛ کاغذ: نخودی، جلد: مقوا عطف تیماج قهوه ای، ۳۶گ، ۱۵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۲۶-۱۴۱]</w:t>
      </w:r>
    </w:p>
    <w:p>
      <w:pPr>
        <w:pStyle w:val="BookText"/>
      </w:pPr>
      <w:r>
        <w:rPr>
          <w:rFonts w:ascii="IRNazanin" w:hAnsi="IRNazanin" w:eastAsia="IRNazanin" w:cs="IRNazanin"/>
          <w:lang w:bidi="fa-IR"/>
          <w:color w:val="111111"/>
          <w:sz w:val="28"/>
          <w:szCs w:val="28"/>
          <w:rtl/>
        </w:rPr>
        <w:t xml:space="preserve">۵. تهران؛ مجلس؛ شماره نسخه: ۱۳۳۳۰</w:t>
      </w:r>
    </w:p>
    <w:p>
      <w:pPr>
        <w:pStyle w:val="BookText"/>
      </w:pPr>
      <w:r>
        <w:rPr>
          <w:rFonts w:ascii="IRNazanin" w:hAnsi="IRNazanin" w:eastAsia="IRNazanin" w:cs="IRNazanin"/>
          <w:lang w:bidi="fa-IR"/>
          <w:color w:val="111111"/>
          <w:sz w:val="28"/>
          <w:szCs w:val="28"/>
          <w:rtl/>
        </w:rPr>
        <w:t xml:space="preserve">آغاز: الحمدلله رب العالمین و الصلوة و السلام على خير خلقه محمد و آله الطاهرين اما بعد، رشحه اول، در بیان نسب و ولادت و رضا ع حضرت خاتم النبیین صلی الله علیه و آله؛ انجام: آنچه برایشان لازم است گفت خلافت و پادشاهی را بعد از خود برای من قرار ده حضرت فرمود که این به دست من. تاریخ مفصلی است در شرح حالات چهاردهمعصوم (علیه السلام). مؤلف آن را از کتاب های شیعیان از جمله «بحارالانوار» و «حیات القلوب» علامه مجلسی جمع آوری نموده و از علامه مجلسی با دعای «رحمه الله» یاد می کند. او کتابش را در دو «لجه» و هر لجه را در ده «موج» و هر موج را در ده «رشحه تنظیم نموده است.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419" w:name="pg20363_209721"/>
    <w:bookmarkEnd w:id="419"/>
    <w:p>
      <w:pPr>
        <w:pStyle w:val="BookText"/>
      </w:pPr>
      <w:r>
        <w:rPr>
          <w:rFonts w:ascii="IRNazanin" w:hAnsi="IRNazanin" w:eastAsia="IRNazanin" w:cs="IRNazanin"/>
          <w:lang w:bidi="fa-IR"/>
          <w:color w:val="111111"/>
          <w:sz w:val="28"/>
          <w:szCs w:val="28"/>
          <w:rtl/>
        </w:rPr>
        <w:t xml:space="preserve">نسخه حاضر که نسخه مؤلف است ترتیب فصول و ابواب آن نامنظم و این مطالب و فصول را شامل است: لجه اول: در حالات اصحاب کسا شامل ده موج با این عناوین: موج ۱ و ۲. حالات حضرت پیامبر(صلی الله علیه وآله وسلم)، ۳ و ۴. حضرت فاطمه زهرا(علیها السلام)، ۵ و ۶. حضرت امام علی(علیه السلام)، ۷ و ۸ امام حسن(علیه السلام)، ۹ و ۱۰. امام حسین(علیه السلام). لجه ثانی: در غزوات حضرت پیامبر، شامل ده موج: موج اول غزوه بدر و احد. بعد از آن فهرست ابواب و فصول نامرتب و بدین صورت است: باب ۳۳. غزوه حمراء ثلاثل اسد، باب ۳۴. بیان وقایعی که در ما بين جنگ احد و غزوہ احزاب واقع شد، شامل چند فصل، ۳۵. بیان جنگ خندق که آن را غزوه احزاب می نامند، ۳۶. غزوه بنی قریظه، ۳۷. بیان غزوات و وقایعی که در ما بين غزوه احزاب و غزوه حديبيه واقع شده، شامل چند فصل، ۳۸. غزوه حديبيه، ۳۹. بیان فتح خبير و قدوم جعفر طیار از حبشه، ۴۰. بیان عمره قضا و نوشتن نامه ها به پادشاهان و سایر وقایع تا غزوه موته، ۴۱. بيان غزوه موته است، ۴۲. بیان غزوه ذات السلاسل است، ۴۳. بیان فتح مکه معظمه، ۴۴. بیان غزوہ حنین و سایر وقایع که پیش از آن و بعد از آن به وقوع پیوسته، ۴۵. بیان غزوه تبوک و قصه عقبه و مسجد ضرار، ۴۶. بيان نزول سوره برائت، ۴۷. بیان مباهله؛ خط: نسخ، بی کا، تا: قرن ۱۳؛ افتادگی: انجام؛ مصحح؛ جلد: مقوا عطف و گوشه تیماج سرخ، ۴۲۶گ، ۲۵ سطر، اندازه:</w:t>
      </w:r>
    </w:p>
    <w:p>
      <w:pPr>
        <w:pStyle w:val="BookText"/>
      </w:pPr>
      <w:r>
        <w:rPr>
          <w:rFonts w:ascii="IRNazanin" w:hAnsi="IRNazanin" w:eastAsia="IRNazanin" w:cs="IRNazanin"/>
          <w:lang w:bidi="fa-IR"/>
          <w:color w:val="111111"/>
          <w:sz w:val="28"/>
          <w:szCs w:val="28"/>
          <w:rtl/>
        </w:rPr>
        <w:t xml:space="preserve">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۳۶-۲۸۸]</w:t>
      </w:r>
    </w:p>
    <w:p>
      <w:pPr>
        <w:pStyle w:val="BookText"/>
      </w:pPr>
      <w:r>
        <w:rPr>
          <w:rFonts w:ascii="IRNazanin" w:hAnsi="IRNazanin" w:eastAsia="IRNazanin" w:cs="IRNazanin"/>
          <w:lang w:bidi="fa-IR"/>
          <w:color w:val="111111"/>
          <w:sz w:val="28"/>
          <w:szCs w:val="28"/>
          <w:rtl/>
        </w:rPr>
        <w:t xml:space="preserve">۶. سمنان؛ مسجد اعظم شهمیرزاد؛ شماره نسخه:۲۳</w:t>
      </w:r>
    </w:p>
    <w:p>
      <w:pPr>
        <w:pStyle w:val="BookText"/>
      </w:pPr>
      <w:r>
        <w:rPr>
          <w:rFonts w:ascii="IRNazanin" w:hAnsi="IRNazanin" w:eastAsia="IRNazanin" w:cs="IRNazanin"/>
          <w:lang w:bidi="fa-IR"/>
          <w:color w:val="111111"/>
          <w:sz w:val="28"/>
          <w:szCs w:val="28"/>
          <w:rtl/>
        </w:rPr>
        <w:t xml:space="preserve">آغاز: رسول الله من بعد از این مرا دشمن دارد رسول ص از دست وی فراستد و در چشمش نهاد ... السادس و الثلثون روایت کردند از عبدالله بریده که گفت؛ انجام: روایت کرد مخزوی که گفت ابوالحسن موسی کسی فرستاد و موالی و شیعه را جمع کرد و گفت میدانید که شما راه مرا جمع کردم ... که گفت ابو جعفر علی بن موسی را گفتم بدرستی که قومی کتابی است در تاریخ پیامبر(صلی الله علیه وآله وسلم)و امامان(علیهم السلام)شامل چند فصل». فصول موجود در نسخه: معجزات پیامبر اکرم شامل ۶۰ معجزه، فصل في ذكر مغاذي النبي (صلی الله علیه وآله وسلم)، فصل في غزوة الرقاع، فصلى في غزوة الخيبر ... فصل في ذكر طرف نص النبي(صلی الله علیه وآله وسلم)على امامة اثنی عشر من عترته و ذريته ... فصل في ذكر خبر السقيفة ... فصل في ذكر جمع آمدن خوارج بنهروان ... سپس ولادتها و وفيات ائمه را می آورد و از کتب مختلفی چون كفاية الاثر و روضة الصالحين و ... نقل می کند. این کتاب حیات القلوب مجلسی نیست، از معجزات پیامبر(صلی الله علیه وآله وسلم)تا وفات امام موسی(علیه السلام)؛ خط: نسخ، بی کا، تا: قرن ۱۳؛ افتادگی: آغاز و انجام؛ مصحح؛ جلد: تیماج قهوه ای، ۱۸۰ گ، ۱۵ سطر، اندازه: ۱۹/۵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۲۳/۵سم [ف مخ]</w:t>
      </w:r>
    </w:p>
    <w:p>
      <w:pPr>
        <w:pStyle w:val="BookText"/>
      </w:pPr>
      <w:r>
        <w:rPr>
          <w:rFonts w:ascii="IRNazanin" w:hAnsi="IRNazanin" w:eastAsia="IRNazanin" w:cs="IRNazanin"/>
          <w:lang w:bidi="fa-IR"/>
          <w:color w:val="111111"/>
          <w:sz w:val="28"/>
          <w:szCs w:val="28"/>
          <w:rtl/>
        </w:rPr>
        <w:t xml:space="preserve">۷. تهران؛ چهل ستون؛ شماره نسخه: ۲۰۲</w:t>
      </w:r>
    </w:p>
    <w:p>
      <w:pPr>
        <w:pStyle w:val="BookText"/>
      </w:pPr>
      <w:r>
        <w:rPr>
          <w:rFonts w:ascii="IRNazanin" w:hAnsi="IRNazanin" w:eastAsia="IRNazanin" w:cs="IRNazanin"/>
          <w:lang w:bidi="fa-IR"/>
          <w:color w:val="111111"/>
          <w:sz w:val="28"/>
          <w:szCs w:val="28"/>
          <w:rtl/>
        </w:rPr>
        <w:t xml:space="preserve">اوراقی از آن است و اشعار فارسی زیاد دارد؛ بی کا، بی تا چند [نسخه -ف: ۳۴۶]</w:t>
      </w:r>
    </w:p>
    <w:p>
      <w:pPr>
        <w:pStyle w:val="BookText"/>
      </w:pPr>
      <w:r>
        <w:rPr>
          <w:rFonts w:ascii="IRNazanin" w:hAnsi="IRNazanin" w:eastAsia="IRNazanin" w:cs="IRNazanin"/>
          <w:lang w:bidi="fa-IR"/>
          <w:color w:val="111111"/>
          <w:sz w:val="28"/>
          <w:szCs w:val="28"/>
          <w:rtl/>
        </w:rPr>
        <w:t xml:space="preserve">۸. قم؛ طبسی؛ شماره نسخه:۱۷</w:t>
      </w:r>
    </w:p>
    <w:p>
      <w:pPr>
        <w:pStyle w:val="BookText"/>
      </w:pPr>
      <w:r>
        <w:rPr>
          <w:rFonts w:ascii="IRNazanin" w:hAnsi="IRNazanin" w:eastAsia="IRNazanin" w:cs="IRNazanin"/>
          <w:lang w:bidi="fa-IR"/>
          <w:color w:val="111111"/>
          <w:sz w:val="28"/>
          <w:szCs w:val="28"/>
          <w:rtl/>
        </w:rPr>
        <w:t xml:space="preserve">آغاز: آنحضرت فرمود ای عزرائیل میخواهم بملاقات پروردگار خود فایض شوم؛ انجام: که وقت شامی بود که سکینه بر در خیمه ایستاده بود و میدید که مردم بسیار از آنجا عبور می کنند از زینب خاتون پرسید مجالسي است در ذکر ولادت و شهادت و وفیات معصومین عليهم السلام دارای ابواب و فصول متعدد، مؤلف از اشعار سروده خود بسیار استفاده می کند با عنوان «لمؤلفه» شرح حال امام حسین(علیه السلام)، و جریان عاشورا مفصلترین بخش کتاب را تشکیل می دهد از تحفة المجالس» و کتب دیگر نقل می کند. تاریخ فاطمه</w:t>
      </w:r>
    </w:p>
    <w:p>
      <w:pPr>
        <w:pStyle w:val="BookText"/>
      </w:pPr>
      <w:r>
        <w:rPr>
          <w:rFonts w:ascii="IRNazanin" w:hAnsi="IRNazanin" w:eastAsia="IRNazanin" w:cs="IRNazanin"/>
          <w:lang w:bidi="fa-IR"/>
          <w:color w:val="111111"/>
          <w:sz w:val="28"/>
          <w:szCs w:val="28"/>
          <w:rtl/>
        </w:rPr>
        <w:t xml:space="preserve">(سلام الله علیها) تا پایان نهضت حسینی(علیه السلام)؛ خط: نستعلیق، بی کا، بی تا، افتادگی: آغاز و انجام؛ مصحح؛ جلد: تیماج مشکی، ۱۵۲گ، ۲۵ سطر،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مخ: ۱-۹۱]</w:t>
      </w:r>
    </w:p>
    <w:p>
      <w:pPr>
        <w:pStyle w:val="BookText"/>
      </w:pPr>
      <w:r>
        <w:rPr>
          <w:rFonts w:ascii="IRNazanin" w:hAnsi="IRNazanin" w:eastAsia="IRNazanin" w:cs="IRNazanin"/>
          <w:lang w:bidi="fa-IR"/>
          <w:color w:val="111111"/>
          <w:sz w:val="28"/>
          <w:szCs w:val="28"/>
          <w:rtl/>
        </w:rPr>
        <w:t xml:space="preserve">←تاریخ پیامبر اکرم ← تاریخ النبي(صلی الله علیه وآله وسلم)</w:t>
      </w:r>
    </w:p>
    <w:p>
      <w:pPr>
        <w:pStyle w:val="Heading3"/>
      </w:pPr>
      <w:bookmarkStart w:id="2147" w:name="_Toc1407"/>
      <w:r>
        <w:t>•تاریخ پیامبران و اسلام / تاریخ پیامبران / فارسی</w:t>
      </w:r>
      <w:bookmarkEnd w:id="2147"/>
    </w:p>
    <w:p>
      <w:pPr>
        <w:pStyle w:val="BookText"/>
      </w:pPr>
      <w:r>
        <w:rPr>
          <w:rFonts w:ascii="Times New Roman" w:hAnsi="Times New Roman" w:eastAsia="Times New Roman" w:cs="Times New Roman"/>
          <w:lang w:val="en-US" w:bidi="en-US"/>
          <w:color w:val="111111"/>
          <w:sz w:val="28"/>
          <w:szCs w:val="28"/>
          <w:rtl/>
        </w:rPr>
        <w:t xml:space="preserve">am tārīx-e payāmbarān va eslām</w:t>
      </w:r>
    </w:p>
    <w:p>
      <w:pPr>
        <w:pStyle w:val="BookText"/>
      </w:pPr>
      <w:r>
        <w:rPr>
          <w:rFonts w:ascii="IRNazanin" w:hAnsi="IRNazanin" w:eastAsia="IRNazanin" w:cs="IRNazanin"/>
          <w:lang w:bidi="fa-IR"/>
          <w:color w:val="111111"/>
          <w:sz w:val="28"/>
          <w:szCs w:val="28"/>
          <w:rtl/>
        </w:rPr>
        <w:t xml:space="preserve">رساله مفصلی است تألیف شده در اواخر قرن سیزدهم، مؤلف در آن تاریخ پیامبران را به صورت مختصر و پس از آن تاریخ حضرت پیامبر(صلی الله علیه وآله وسلم)و غزوات آن حضرت و تاریخ فاطمه زهرا و پس از آن وقایع دوران خلافت سه خلیفه را ذکر نموده است. او از علامه مجلسی و کتاب بحر المصائب در موارد متعدد مطالبی را نقل کرده است. این کتاب به سبک منبر تألیف گردیده و مؤلف اغلب از ذکر مصادر و مآخذ خودداری نموده است.</w:t>
      </w:r>
    </w:p>
    <w:p>
      <w:pPr>
        <w:pStyle w:val="BookText"/>
      </w:pPr>
      <w:r>
        <w:rPr>
          <w:rFonts w:ascii="IRNazanin" w:hAnsi="IRNazanin" w:eastAsia="IRNazanin" w:cs="IRNazanin"/>
          <w:lang w:bidi="fa-IR"/>
          <w:color w:val="111111"/>
          <w:sz w:val="28"/>
          <w:szCs w:val="28"/>
          <w:rtl/>
        </w:rPr>
        <w:t xml:space="preserve">قم، گلپایگانی؛ شماره نسخه: ۲۹۹۱- ۱۶/۱</w:t>
      </w:r>
    </w:p>
    <w:p>
      <w:pPr>
        <w:pStyle w:val="BookText"/>
      </w:pPr>
      <w:r>
        <w:rPr>
          <w:rFonts w:ascii="IRNazanin" w:hAnsi="IRNazanin" w:eastAsia="IRNazanin" w:cs="IRNazanin"/>
          <w:lang w:bidi="fa-IR"/>
          <w:color w:val="111111"/>
          <w:sz w:val="28"/>
          <w:szCs w:val="28"/>
          <w:rtl/>
        </w:rPr>
        <w:t xml:space="preserve">آغاز: و کیفیت حضرت یونس بدين قسم است که آن پیامبر در سن سی سالگی مبعوث شد و مدت سی سال قوم خود را دعوت نمود. در آن مدت دو نفر متابعت او نمودند؛ انجام: اما بدن عزیز زهرا را عمدا بیرون خاک گذاشت و منظور آن حرامزاده این بود که درندگان صحرا بیایند آن ابدان مقدسه را پاره پاره نمایند و آثاری از آن ابدان باقی نماند. خط: نستعلیق شکسته، كاتب = مؤلف، تا: قرن ۱۳؛ افتادگی: آغاز و انجام؛ جلد: تیماج زرد، ۲۷۷گ، ۱۷-۱۸ سطر، اندازه: ۳۶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۲-۶۸۷]</w:t>
      </w:r>
    </w:p>
    <w:p>
      <w:pPr>
        <w:pStyle w:val="Heading3"/>
      </w:pPr>
      <w:bookmarkStart w:id="2148" w:name="_Toc1408"/>
      <w:r>
        <w:t>•تاریخ پیامبران و سلاطین / تاریخ</w:t>
      </w:r>
      <w:bookmarkEnd w:id="2148"/>
    </w:p>
    <w:p>
      <w:pPr>
        <w:pStyle w:val="BookText"/>
      </w:pPr>
      <w:r>
        <w:rPr>
          <w:rFonts w:ascii="Times New Roman" w:hAnsi="Times New Roman" w:eastAsia="Times New Roman" w:cs="Times New Roman"/>
          <w:lang w:val="en-US" w:bidi="en-US"/>
          <w:color w:val="111111"/>
          <w:sz w:val="28"/>
          <w:szCs w:val="28"/>
          <w:rtl/>
        </w:rPr>
        <w:t xml:space="preserve">tārīx-e payāmbarān va salātīn</w:t>
      </w:r>
    </w:p>
    <w:p>
      <w:pPr>
        <w:pStyle w:val="BookText"/>
      </w:pPr>
      <w:r>
        <w:rPr>
          <w:rFonts w:ascii="Amiri" w:hAnsi="Amiri" w:eastAsia="Amiri" w:cs="Amiri"/>
          <w:lang w:bidi="ar-SA"/>
          <w:color w:val="111111"/>
          <w:sz w:val="28"/>
          <w:szCs w:val="28"/>
          <w:rtl/>
        </w:rPr>
        <w:t xml:space="preserve">تهران؛ مجلس؛ شماره نسخه: ۲۹۱/۱۱ - فيروز</w:t>
      </w:r>
    </w:p>
    <w:p>
      <w:pPr>
        <w:pStyle w:val="BookText"/>
      </w:pPr>
      <w:r>
        <w:rPr>
          <w:rFonts w:ascii="IRNazanin" w:hAnsi="IRNazanin" w:eastAsia="IRNazanin" w:cs="IRNazanin"/>
          <w:lang w:bidi="fa-IR"/>
          <w:color w:val="111111"/>
          <w:sz w:val="28"/>
          <w:szCs w:val="28"/>
          <w:rtl/>
        </w:rPr>
        <w:t xml:space="preserve">بخش از نفائس الفنون آملی؛ بی کا، بی تا، کاغذ: مختلف آهار مهره، جلد: تیماج مشکی، ۳۱ص (۲۷۴-۳۰۴)،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420" w:name="pg20363_209722"/>
    <w:bookmarkEnd w:id="420"/>
    <w:p>
      <w:pPr>
        <w:pStyle w:val="BookText"/>
      </w:pPr>
      <w:r>
        <w:rPr>
          <w:rFonts w:ascii="IRNazanin" w:hAnsi="IRNazanin" w:eastAsia="IRNazanin" w:cs="IRNazanin"/>
          <w:lang w:bidi="fa-IR"/>
          <w:color w:val="111111"/>
          <w:sz w:val="28"/>
          <w:szCs w:val="28"/>
          <w:rtl/>
        </w:rPr>
        <w:t xml:space="preserve">[ف: ۲۱-۲۷۴]</w:t>
      </w:r>
    </w:p>
    <w:p>
      <w:pPr>
        <w:pStyle w:val="Heading3"/>
      </w:pPr>
      <w:bookmarkStart w:id="2149" w:name="_Toc1409"/>
      <w:r>
        <w:t>•تاریخ پیدا شدن سیب زمینی / تاریخ / فارسی</w:t>
      </w:r>
      <w:bookmarkEnd w:id="2149"/>
    </w:p>
    <w:p>
      <w:pPr>
        <w:pStyle w:val="BookText"/>
      </w:pPr>
      <w:r>
        <w:rPr>
          <w:rFonts w:ascii="Times New Roman" w:hAnsi="Times New Roman" w:eastAsia="Times New Roman" w:cs="Times New Roman"/>
          <w:lang w:val="en-US" w:bidi="en-US"/>
          <w:color w:val="111111"/>
          <w:sz w:val="28"/>
          <w:szCs w:val="28"/>
          <w:rtl/>
        </w:rPr>
        <w:t xml:space="preserve">tārīx-e peydā šodan-e sīb-zamīnī</w:t>
      </w:r>
    </w:p>
    <w:p>
      <w:pPr>
        <w:pStyle w:val="BookText"/>
      </w:pPr>
      <w:r>
        <w:rPr>
          <w:rFonts w:ascii="IRNazanin" w:hAnsi="IRNazanin" w:eastAsia="IRNazanin" w:cs="IRNazanin"/>
          <w:lang w:bidi="fa-IR"/>
          <w:color w:val="111111"/>
          <w:sz w:val="28"/>
          <w:szCs w:val="28"/>
          <w:rtl/>
        </w:rPr>
        <w:t xml:space="preserve">مستشار الدوله، يوسف بن كاظم، ۱۳۱۳ قمری</w:t>
      </w:r>
    </w:p>
    <w:p>
      <w:pPr>
        <w:pStyle w:val="BookText"/>
      </w:pPr>
      <w:r>
        <w:rPr>
          <w:rFonts w:ascii="Times New Roman" w:hAnsi="Times New Roman" w:eastAsia="Times New Roman" w:cs="Times New Roman"/>
          <w:lang w:val="en-US" w:bidi="en-US"/>
          <w:color w:val="111111"/>
          <w:sz w:val="28"/>
          <w:szCs w:val="28"/>
          <w:rtl/>
        </w:rPr>
        <w:t xml:space="preserve">mostašār-od-dowle, yūsof ebn-e kāzem (-1896)</w:t>
      </w:r>
    </w:p>
    <w:p>
      <w:pPr>
        <w:pStyle w:val="BookText"/>
      </w:pPr>
      <w:r>
        <w:rPr>
          <w:rFonts w:ascii="IRNazanin" w:hAnsi="IRNazanin" w:eastAsia="IRNazanin" w:cs="IRNazanin"/>
          <w:lang w:bidi="fa-IR"/>
          <w:color w:val="111111"/>
          <w:sz w:val="28"/>
          <w:szCs w:val="28"/>
          <w:rtl/>
        </w:rPr>
        <w:t xml:space="preserve">تهران؛ مجلس؛ شماره نسخه: ۱۸۶۳۸ ض</w:t>
      </w:r>
    </w:p>
    <w:p>
      <w:pPr>
        <w:pStyle w:val="BookText"/>
      </w:pPr>
      <w:r>
        <w:rPr>
          <w:rFonts w:ascii="IRNazanin" w:hAnsi="IRNazanin" w:eastAsia="IRNazanin" w:cs="IRNazanin"/>
          <w:lang w:bidi="fa-IR"/>
          <w:color w:val="111111"/>
          <w:sz w:val="28"/>
          <w:szCs w:val="28"/>
          <w:rtl/>
        </w:rPr>
        <w:t xml:space="preserve">ترجمه از فرانسه به فارسی، نسخه بسیار نادر؛ بی کا، بی تا [د.ث. مجلس ]</w:t>
      </w:r>
    </w:p>
    <w:p>
      <w:pPr>
        <w:pStyle w:val="Heading3"/>
      </w:pPr>
      <w:bookmarkStart w:id="2150" w:name="_Toc1410"/>
      <w:r>
        <w:t>•تاریخ پیدایش مشروطیت ایران به انقلاب طوس / تاریخ ایران / فارسی</w:t>
      </w:r>
      <w:bookmarkEnd w:id="2150"/>
    </w:p>
    <w:p>
      <w:pPr>
        <w:pStyle w:val="BookText"/>
      </w:pPr>
      <w:r>
        <w:rPr>
          <w:rFonts w:ascii="Times New Roman" w:hAnsi="Times New Roman" w:eastAsia="Times New Roman" w:cs="Times New Roman"/>
          <w:lang w:val="en-US" w:bidi="en-US"/>
          <w:color w:val="111111"/>
          <w:sz w:val="28"/>
          <w:szCs w:val="28"/>
          <w:rtl/>
        </w:rPr>
        <w:t xml:space="preserve">tārīx-e peydāyeš-e mašrūtīyat-e īrān = enqelāb-e tūs</w:t>
      </w:r>
    </w:p>
    <w:p>
      <w:pPr>
        <w:pStyle w:val="BookText"/>
      </w:pPr>
      <w:r>
        <w:rPr>
          <w:rFonts w:ascii="IRNazanin" w:hAnsi="IRNazanin" w:eastAsia="IRNazanin" w:cs="IRNazanin"/>
          <w:lang w:bidi="fa-IR"/>
          <w:color w:val="111111"/>
          <w:sz w:val="28"/>
          <w:szCs w:val="28"/>
          <w:rtl/>
        </w:rPr>
        <w:t xml:space="preserve">ادیب هروی، محمد حسن بن محمد تقی، ۱۳۰۲ق ۱۴ قمری</w:t>
      </w:r>
    </w:p>
    <w:p>
      <w:pPr>
        <w:pStyle w:val="BookText"/>
      </w:pPr>
      <w:r>
        <w:rPr>
          <w:rFonts w:ascii="Times New Roman" w:hAnsi="Times New Roman" w:eastAsia="Times New Roman" w:cs="Times New Roman"/>
          <w:lang w:val="en-US" w:bidi="en-US"/>
          <w:color w:val="111111"/>
          <w:sz w:val="28"/>
          <w:szCs w:val="28"/>
          <w:rtl/>
        </w:rPr>
        <w:t xml:space="preserve">adīb-e heravī, mohammad hasan ebn-e mohammad taqī (1885-20c)</w:t>
      </w:r>
    </w:p>
    <w:p>
      <w:pPr>
        <w:pStyle w:val="BookText"/>
      </w:pPr>
      <w:r>
        <w:rPr>
          <w:rFonts w:ascii="IRNazanin" w:hAnsi="IRNazanin" w:eastAsia="IRNazanin" w:cs="IRNazanin"/>
          <w:lang w:bidi="fa-IR"/>
          <w:color w:val="111111"/>
          <w:sz w:val="28"/>
          <w:szCs w:val="28"/>
          <w:rtl/>
        </w:rPr>
        <w:t xml:space="preserve">شامل سه جلد و هر سه جلد تأليف محمد حسن ادیب هروی خراسانی است که خلاصه آن را به نام انقلاب طوس به سال ۱۳۳۶ و تمام آن را به عنوان تاریخ پیدایش مشروطیت ایران به سال ۱۳۷۲ ق، به طبع رسانیده و پس از چاپ نسخه دستنویس خود را وقف کتابخانه آستان قدس کرده است.</w:t>
      </w:r>
    </w:p>
    <w:p>
      <w:pPr>
        <w:pStyle w:val="BookText"/>
      </w:pPr>
      <w:r>
        <w:rPr>
          <w:rFonts w:ascii="IRNazanin" w:hAnsi="IRNazanin" w:eastAsia="IRNazanin" w:cs="IRNazanin"/>
          <w:lang w:bidi="fa-IR"/>
          <w:color w:val="111111"/>
          <w:sz w:val="28"/>
          <w:szCs w:val="28"/>
          <w:rtl/>
        </w:rPr>
        <w:t xml:space="preserve">آغاز: بسمله. و تحسبونه هينا و هو عند الله عظيم. چنین گوید نگارنده این اوراق احقر عباد محمد حسن بن محمد تقی خراسانی اقل خدام دربار فیض آثار چون واقعه توپ بستن روس باستان عرش بنیان [دنا ۶۹۰/۲ ]</w:t>
      </w:r>
    </w:p>
    <w:p>
      <w:pPr>
        <w:pStyle w:val="BookText"/>
      </w:pPr>
      <w:r>
        <w:rPr>
          <w:rFonts w:ascii="IRNazanin" w:hAnsi="IRNazanin" w:eastAsia="IRNazanin" w:cs="IRNazanin"/>
          <w:lang w:bidi="fa-IR"/>
          <w:color w:val="111111"/>
          <w:sz w:val="28"/>
          <w:szCs w:val="28"/>
          <w:rtl/>
        </w:rPr>
        <w:t xml:space="preserve">۱. تهران؛ مجلس؛ شماره نسخه: ۱۵۷۷۲</w:t>
      </w:r>
    </w:p>
    <w:p>
      <w:pPr>
        <w:pStyle w:val="BookText"/>
      </w:pPr>
      <w:r>
        <w:rPr>
          <w:rFonts w:ascii="IRNazanin" w:hAnsi="IRNazanin" w:eastAsia="IRNazanin" w:cs="IRNazanin"/>
          <w:lang w:bidi="fa-IR"/>
          <w:color w:val="111111"/>
          <w:sz w:val="28"/>
          <w:szCs w:val="28"/>
          <w:rtl/>
        </w:rPr>
        <w:t xml:space="preserve">آغاز: برابر، انجام: اللهم عجل فرج ولیک المنتظر الامام الثاني عشر. خط: نسخ، كاتب = مؤلف، تا: چهارشنبه ۸ محرم ۱۳۳۸ق، جان مشهد، مدرسه فاضلیه؛ در ابتدای نسخه تصویر مؤلف آمده؛ مهر: مؤلف: جلد: تیماج، ۷۸گ، ۱۸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إف: ۴۴ -56]</w:t>
      </w:r>
    </w:p>
    <w:p>
      <w:pPr>
        <w:pStyle w:val="BookText"/>
      </w:pPr>
      <w:r>
        <w:rPr>
          <w:rFonts w:ascii="IRNazanin" w:hAnsi="IRNazanin" w:eastAsia="IRNazanin" w:cs="IRNazanin"/>
          <w:lang w:bidi="fa-IR"/>
          <w:color w:val="111111"/>
          <w:sz w:val="28"/>
          <w:szCs w:val="28"/>
          <w:rtl/>
        </w:rPr>
        <w:t xml:space="preserve">٢. مشهد؛ رضوی؛ شماره نسخه:۸۴۸۶</w:t>
      </w:r>
    </w:p>
    <w:p>
      <w:pPr>
        <w:pStyle w:val="BookText"/>
      </w:pPr>
      <w:r>
        <w:rPr>
          <w:rFonts w:ascii="IRNazanin" w:hAnsi="IRNazanin" w:eastAsia="IRNazanin" w:cs="IRNazanin"/>
          <w:lang w:bidi="fa-IR"/>
          <w:color w:val="111111"/>
          <w:sz w:val="28"/>
          <w:szCs w:val="28"/>
          <w:rtl/>
        </w:rPr>
        <w:t xml:space="preserve">آغاز: بسر نیامده عمر عزیز جهدی کن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که چون قلم ز تو در هر قدم اثر ماند؛ انجام: در قصر سلطنتی ایران، رجوع شود بكتاب اختناق ایران مصور ص ۴۰۱.</w:t>
      </w:r>
    </w:p>
    <w:p>
      <w:pPr>
        <w:pStyle w:val="BookText"/>
      </w:pPr>
      <w:r>
        <w:rPr>
          <w:rFonts w:ascii="IRNazanin" w:hAnsi="IRNazanin" w:eastAsia="IRNazanin" w:cs="IRNazanin"/>
          <w:lang w:bidi="fa-IR"/>
          <w:color w:val="111111"/>
          <w:sz w:val="28"/>
          <w:szCs w:val="28"/>
          <w:rtl/>
        </w:rPr>
        <w:t xml:space="preserve">جلد اول است با ۸۷ قطعه عکس که بیشتر آنها از روزنامه ها بریده شده است؛ خط: نسخ، كاتب = مؤلف، بی تا؛ کاغذ: سفید فرنگی، جلد: چرمی، ۱۲۲گ، ۱۷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 اندازه: ۱۷/۷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[ف: ۷-۱۶]</w:t>
      </w:r>
    </w:p>
    <w:p>
      <w:pPr>
        <w:pStyle w:val="BookText"/>
      </w:pPr>
      <w:r>
        <w:rPr>
          <w:rFonts w:ascii="IRNazanin" w:hAnsi="IRNazanin" w:eastAsia="IRNazanin" w:cs="IRNazanin"/>
          <w:lang w:bidi="fa-IR"/>
          <w:color w:val="111111"/>
          <w:sz w:val="28"/>
          <w:szCs w:val="28"/>
          <w:rtl/>
        </w:rPr>
        <w:t xml:space="preserve">٣. مشهد؛ رضوی؛ شماره نسخه:۸۴۸۷</w:t>
      </w:r>
    </w:p>
    <w:p>
      <w:pPr>
        <w:pStyle w:val="BookText"/>
      </w:pPr>
      <w:r>
        <w:rPr>
          <w:rFonts w:ascii="IRNazanin" w:hAnsi="IRNazanin" w:eastAsia="IRNazanin" w:cs="IRNazanin"/>
          <w:lang w:bidi="fa-IR"/>
          <w:color w:val="111111"/>
          <w:sz w:val="28"/>
          <w:szCs w:val="28"/>
          <w:rtl/>
        </w:rPr>
        <w:t xml:space="preserve">آغاز: فهرست مندرجات متن: در دوره دوم مجلس شورای ملی؛ انجام: محرر این سطور در جلد متمم این نسخه موجوده ایراد نموده است و الحمدلله على ما ختم.</w:t>
      </w:r>
    </w:p>
    <w:p>
      <w:pPr>
        <w:pStyle w:val="BookText"/>
      </w:pPr>
      <w:r>
        <w:rPr>
          <w:rFonts w:ascii="IRNazanin" w:hAnsi="IRNazanin" w:eastAsia="IRNazanin" w:cs="IRNazanin"/>
          <w:lang w:bidi="fa-IR"/>
          <w:color w:val="111111"/>
          <w:sz w:val="28"/>
          <w:szCs w:val="28"/>
          <w:rtl/>
        </w:rPr>
        <w:t xml:space="preserve">جلد دوم. دارای ۵۸ قطعه عکس؛ خط: نسخ، كاتب = مؤلف، بی تا؛ کاغذ: سفید فرنگی، جلد: چرمی، ۲۷۳ گی، ۱۷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 اندازه: ۲۳/۵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اف: ۷-۱۶]</w:t>
      </w:r>
    </w:p>
    <w:p>
      <w:pPr>
        <w:pStyle w:val="BookText"/>
      </w:pPr>
      <w:r>
        <w:rPr>
          <w:rFonts w:ascii="IRNazanin" w:hAnsi="IRNazanin" w:eastAsia="IRNazanin" w:cs="IRNazanin"/>
          <w:lang w:bidi="fa-IR"/>
          <w:color w:val="111111"/>
          <w:sz w:val="28"/>
          <w:szCs w:val="28"/>
          <w:rtl/>
        </w:rPr>
        <w:t xml:space="preserve">۴. مشهد؛ رضوی؛ شماره نسخه:۸۴۸۸</w:t>
      </w:r>
    </w:p>
    <w:p>
      <w:pPr>
        <w:pStyle w:val="BookText"/>
      </w:pPr>
      <w:r>
        <w:rPr>
          <w:rFonts w:ascii="IRNazanin" w:hAnsi="IRNazanin" w:eastAsia="IRNazanin" w:cs="IRNazanin"/>
          <w:lang w:bidi="fa-IR"/>
          <w:color w:val="111111"/>
          <w:sz w:val="28"/>
          <w:szCs w:val="28"/>
          <w:rtl/>
        </w:rPr>
        <w:t xml:space="preserve">آغاز: فهرست مندرجات متمم جلد دوم: مقبره مرحوم شیخ بهائی؛ انجام: امیدست پس از طبع این دو جلد در آتیه نزدیکی بجمع و تأليف مجلد ۳ نیز موفق شویم.</w:t>
      </w:r>
    </w:p>
    <w:p>
      <w:pPr>
        <w:pStyle w:val="BookText"/>
      </w:pPr>
      <w:r>
        <w:rPr>
          <w:rFonts w:ascii="IRNazanin" w:hAnsi="IRNazanin" w:eastAsia="IRNazanin" w:cs="IRNazanin"/>
          <w:lang w:bidi="fa-IR"/>
          <w:color w:val="111111"/>
          <w:sz w:val="28"/>
          <w:szCs w:val="28"/>
          <w:rtl/>
        </w:rPr>
        <w:t xml:space="preserve">جلد سوم یا متمم جلد دوم است با نوزده قطعه عکس؛ خط: نسخ، کاتب = مؤلف، بی تا؛ واقف: مؤلف، آبان ۱۳۳۵؛ کاغذ: سفید فرنگی، جلد: چرمی، ۱۳۰گ، ۱۷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w:t>
      </w:r>
    </w:p>
    <w:p>
      <w:pPr>
        <w:pStyle w:val="BookText"/>
      </w:pPr>
      <w:r>
        <w:rPr>
          <w:rFonts w:ascii="IRNazanin" w:hAnsi="IRNazanin" w:eastAsia="IRNazanin" w:cs="IRNazanin"/>
          <w:lang w:bidi="fa-IR"/>
          <w:color w:val="111111"/>
          <w:sz w:val="28"/>
          <w:szCs w:val="28"/>
          <w:rtl/>
        </w:rPr>
        <w:t xml:space="preserve">)،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۷-۱۷]</w:t>
      </w:r>
    </w:p>
    <w:p>
      <w:pPr>
        <w:pStyle w:val="BookText"/>
      </w:pPr>
      <w:r>
        <w:rPr>
          <w:rFonts w:ascii="IRNazanin" w:hAnsi="IRNazanin" w:eastAsia="IRNazanin" w:cs="IRNazanin"/>
          <w:lang w:bidi="fa-IR"/>
          <w:color w:val="111111"/>
          <w:sz w:val="28"/>
          <w:szCs w:val="28"/>
          <w:rtl/>
        </w:rPr>
        <w:t xml:space="preserve">۵. مشهد؛ فرهنگ و هنر؛ شماره نسخه:الف-۵۵</w:t>
      </w:r>
    </w:p>
    <w:p>
      <w:pPr>
        <w:pStyle w:val="BookText"/>
      </w:pPr>
      <w:r>
        <w:rPr>
          <w:rFonts w:ascii="IRNazanin" w:hAnsi="IRNazanin" w:eastAsia="IRNazanin" w:cs="IRNazanin"/>
          <w:lang w:bidi="fa-IR"/>
          <w:color w:val="111111"/>
          <w:sz w:val="28"/>
          <w:szCs w:val="28"/>
          <w:rtl/>
        </w:rPr>
        <w:t xml:space="preserve">آغاز: برابر؛ انجام: الحمد لله الذي هدانا لهذا وما كنا لنهتدي لولا أن هدانا الله قد وقع الفراغ عن تسوید ...</w:t>
      </w:r>
    </w:p>
    <w:p>
      <w:pPr>
        <w:pStyle w:val="BookText"/>
      </w:pPr>
      <w:r>
        <w:rPr>
          <w:rFonts w:ascii="IRNazanin" w:hAnsi="IRNazanin" w:eastAsia="IRNazanin" w:cs="IRNazanin"/>
          <w:lang w:bidi="fa-IR"/>
          <w:color w:val="111111"/>
          <w:sz w:val="28"/>
          <w:szCs w:val="28"/>
          <w:rtl/>
        </w:rPr>
        <w:t xml:space="preserve">خط: مختلف، بی کا، تا: ۱۳۳۹ق؛ اهدایی: آقای شمس الدين طباطبائی؛ مهر: مؤلف به نام «محمد حسن»؛ کاغذ: فرنگی وسط سفید تیره خط دار، جلد: مقوای چاپی، ۲۴۰ ص، مختلف السطر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۱۰۴]</w:t>
      </w:r>
    </w:p>
    <w:p>
      <w:pPr>
        <w:pStyle w:val="Heading3"/>
      </w:pPr>
      <w:bookmarkStart w:id="2151" w:name="_Toc1411"/>
      <w:r>
        <w:t>•تاریخ پیش از هبوط آدم (علیه السلام) / تاریخ عمومی / فارسی</w:t>
      </w:r>
      <w:bookmarkEnd w:id="2151"/>
    </w:p>
    <w:p>
      <w:pPr>
        <w:pStyle w:val="BookText"/>
      </w:pPr>
      <w:r>
        <w:rPr>
          <w:rFonts w:ascii="Times New Roman" w:hAnsi="Times New Roman" w:eastAsia="Times New Roman" w:cs="Times New Roman"/>
          <w:lang w:val="en-US" w:bidi="en-US"/>
          <w:color w:val="111111"/>
          <w:sz w:val="28"/>
          <w:szCs w:val="28"/>
          <w:rtl/>
        </w:rPr>
        <w:t xml:space="preserve">tārīx-e pīš az hobūt-e ādam</w:t>
      </w:r>
    </w:p>
    <w:p>
      <w:pPr>
        <w:pStyle w:val="BookText"/>
      </w:pPr>
      <w:r>
        <w:rPr>
          <w:rFonts w:ascii="IRNazanin" w:hAnsi="IRNazanin" w:eastAsia="IRNazanin" w:cs="IRNazanin"/>
          <w:lang w:bidi="fa-IR"/>
          <w:color w:val="111111"/>
          <w:sz w:val="28"/>
          <w:szCs w:val="28"/>
          <w:rtl/>
        </w:rPr>
        <w:t xml:space="preserve">امیر علی، ۱۸۴۹-۱۹۲۸ میلادی</w:t>
      </w:r>
    </w:p>
    <w:p>
      <w:pPr>
        <w:pStyle w:val="BookText"/>
      </w:pPr>
      <w:r>
        <w:rPr>
          <w:rFonts w:ascii="Times New Roman" w:hAnsi="Times New Roman" w:eastAsia="Times New Roman" w:cs="Times New Roman"/>
          <w:lang w:val="en-US" w:bidi="en-US"/>
          <w:color w:val="111111"/>
          <w:sz w:val="28"/>
          <w:szCs w:val="28"/>
          <w:rtl/>
        </w:rPr>
        <w:t xml:space="preserve">amir ali (1849-1928)</w:t>
      </w:r>
    </w:p>
    <w:p>
      <w:pPr>
        <w:pStyle w:val="BookText"/>
      </w:pPr>
      <w:r>
        <w:rPr>
          <w:rFonts w:ascii="IRNazanin" w:hAnsi="IRNazanin" w:eastAsia="IRNazanin" w:cs="IRNazanin"/>
          <w:lang w:bidi="fa-IR"/>
          <w:color w:val="111111"/>
          <w:sz w:val="28"/>
          <w:szCs w:val="28"/>
          <w:rtl/>
        </w:rPr>
        <w:t xml:space="preserve">کتابی است در تاریخ پیش از هبوط آدم و انبیاء در پنج «باب» و «خاتمه »: باب ۱. که عنوانش مشخص نیست در تاریخ هبوط آدم است؛ ۲. ذكر نسب حضرت پیغمبر و حضرت ائمه اطهار و عدد اولاد و مدت اعمار ایشان؛ ۳. بیان غزوات سید کائنات و باعث ایجاد موجودات است؛ ۴. ذكر خلفا؛ ۵. معرفت کیفیت طرق و مذاهب و ملل خلق است؛ خاتمه در بیان مواعظ و نصایح مجمله که في الجمله مورث تنبیه برادران دینی است. مؤلف کتابی در</w:t>
      </w:r>
    </w:p>
    <w:p>
      <w:pPr>
        <w:pStyle w:val="BookText"/>
      </w:pPr>
      <w:r>
        <w:rPr>
          <w:rFonts w:ascii="IRNazanin" w:hAnsi="IRNazanin" w:eastAsia="IRNazanin" w:cs="IRNazanin"/>
          <w:lang w:bidi="fa-IR"/>
          <w:color w:val="111111"/>
          <w:sz w:val="28"/>
          <w:szCs w:val="28"/>
          <w:rtl/>
        </w:rPr>
        <w:t xml:space="preserve">تاریخ اسلام» به زبان انگلیسی تألیف کرده که در الذریعه معرفی شده است.</w:t>
      </w:r>
    </w:p>
    <w:p>
      <w:pPr>
        <w:pStyle w:val="BookText"/>
      </w:pPr>
      <w:r>
        <w:rPr>
          <w:rFonts w:ascii="IRNazanin" w:hAnsi="IRNazanin" w:eastAsia="IRNazanin" w:cs="IRNazanin"/>
          <w:lang w:bidi="fa-IR"/>
          <w:color w:val="111111"/>
          <w:sz w:val="28"/>
          <w:szCs w:val="28"/>
          <w:rtl/>
        </w:rPr>
        <w:t xml:space="preserve">تهران؛ ملی؛ شماره نسخه: ۱۵۶۷۰</w:t>
      </w:r>
    </w:p>
    <w:p>
      <w:pPr>
        <w:pStyle w:val="BookText"/>
      </w:pPr>
      <w:r>
        <w:rPr>
          <w:rFonts w:ascii="IRNazanin" w:hAnsi="IRNazanin" w:eastAsia="IRNazanin" w:cs="IRNazanin"/>
          <w:lang w:bidi="fa-IR"/>
          <w:color w:val="111111"/>
          <w:sz w:val="28"/>
          <w:szCs w:val="28"/>
          <w:rtl/>
        </w:rPr>
        <w:t xml:space="preserve">آغاز: بسمله. بعد از حمد و ثنا حضرت ... و درود نامعدود بر خاتم الانبيا ... چون این نسخه مختصری از احوالات جان و خلقت انسان؛ انجام: هزار حیله توان ساخت وز همه آن به که هم ز صلح و هم از چنگش احتراز کنی. تمت الكتاب ... سنه ۱۲۲۱ هجری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421" w:name="pg20363_209723"/>
    <w:bookmarkEnd w:id="421"/>
    <w:p>
      <w:pPr>
        <w:pStyle w:val="BookText"/>
      </w:pPr>
      <w:r>
        <w:rPr>
          <w:rFonts w:ascii="IRNazanin" w:hAnsi="IRNazanin" w:eastAsia="IRNazanin" w:cs="IRNazanin"/>
          <w:lang w:bidi="fa-IR"/>
          <w:color w:val="111111"/>
          <w:sz w:val="28"/>
          <w:szCs w:val="28"/>
          <w:rtl/>
        </w:rPr>
        <w:t xml:space="preserve">نبوي في مجهلی بندر</w:t>
      </w:r>
    </w:p>
    <w:p>
      <w:pPr>
        <w:pStyle w:val="BookText"/>
      </w:pPr>
      <w:r>
        <w:rPr>
          <w:rFonts w:ascii="IRNazanin" w:hAnsi="IRNazanin" w:eastAsia="IRNazanin" w:cs="IRNazanin"/>
          <w:lang w:bidi="fa-IR"/>
          <w:color w:val="111111"/>
          <w:sz w:val="28"/>
          <w:szCs w:val="28"/>
          <w:rtl/>
        </w:rPr>
        <w:t xml:space="preserve">خط: نستعلیق، بی کا، بی تا، کاغذ: فرنگی نخودی، جلد: تیماج مشکی، ۵۷گ، ۱۹ سطر (۸/۳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 [رایانه]</w:t>
      </w:r>
    </w:p>
    <w:p>
      <w:pPr>
        <w:pStyle w:val="Heading3"/>
      </w:pPr>
      <w:bookmarkStart w:id="2152" w:name="_Toc1412"/>
      <w:r>
        <w:t>• تاريخ تأتر / متفرقه / فارسی</w:t>
      </w:r>
      <w:bookmarkEnd w:id="2152"/>
    </w:p>
    <w:p>
      <w:pPr>
        <w:pStyle w:val="BookText"/>
      </w:pPr>
      <w:r>
        <w:rPr>
          <w:rFonts w:ascii="Times New Roman" w:hAnsi="Times New Roman" w:eastAsia="Times New Roman" w:cs="Times New Roman"/>
          <w:lang w:val="en-US" w:bidi="en-US"/>
          <w:color w:val="111111"/>
          <w:sz w:val="28"/>
          <w:szCs w:val="28"/>
          <w:rtl/>
        </w:rPr>
        <w:t xml:space="preserve">tārīx-e te’ātr</w:t>
      </w:r>
    </w:p>
    <w:p>
      <w:pPr>
        <w:pStyle w:val="BookText"/>
      </w:pPr>
      <w:r>
        <w:rPr>
          <w:rFonts w:ascii="IRNazanin" w:hAnsi="IRNazanin" w:eastAsia="IRNazanin" w:cs="IRNazanin"/>
          <w:lang w:bidi="fa-IR"/>
          <w:color w:val="111111"/>
          <w:sz w:val="28"/>
          <w:szCs w:val="28"/>
          <w:rtl/>
        </w:rPr>
        <w:t xml:space="preserve">سیما، حسین، ق۱۴ قمری</w:t>
      </w:r>
    </w:p>
    <w:p>
      <w:pPr>
        <w:pStyle w:val="BookText"/>
      </w:pPr>
      <w:r>
        <w:rPr>
          <w:rFonts w:ascii="Times New Roman" w:hAnsi="Times New Roman" w:eastAsia="Times New Roman" w:cs="Times New Roman"/>
          <w:lang w:val="en-US" w:bidi="en-US"/>
          <w:color w:val="111111"/>
          <w:sz w:val="28"/>
          <w:szCs w:val="28"/>
          <w:rtl/>
        </w:rPr>
        <w:t xml:space="preserve">sīmā, hoseyn (-20c)</w:t>
      </w:r>
    </w:p>
    <w:p>
      <w:pPr>
        <w:pStyle w:val="BookText"/>
      </w:pPr>
      <w:r>
        <w:rPr>
          <w:rFonts w:ascii="IRNazanin" w:hAnsi="IRNazanin" w:eastAsia="IRNazanin" w:cs="IRNazanin"/>
          <w:lang w:bidi="fa-IR"/>
          <w:color w:val="111111"/>
          <w:sz w:val="28"/>
          <w:szCs w:val="28"/>
          <w:rtl/>
        </w:rPr>
        <w:t xml:space="preserve">کتاب مختصری است در تاریخ تأتر اروپا و برخی از نمایشنامه نویسان آن.</w:t>
      </w:r>
    </w:p>
    <w:p>
      <w:pPr>
        <w:pStyle w:val="BookText"/>
      </w:pPr>
      <w:r>
        <w:rPr>
          <w:rFonts w:ascii="IRNazanin" w:hAnsi="IRNazanin" w:eastAsia="IRNazanin" w:cs="IRNazanin"/>
          <w:lang w:bidi="fa-IR"/>
          <w:color w:val="111111"/>
          <w:sz w:val="28"/>
          <w:szCs w:val="28"/>
          <w:rtl/>
        </w:rPr>
        <w:t xml:space="preserve">قم؛ مسجد اعظم؛ شماره نسخه:۷۱۷</w:t>
      </w:r>
    </w:p>
    <w:p>
      <w:pPr>
        <w:pStyle w:val="BookText"/>
      </w:pPr>
      <w:r>
        <w:rPr>
          <w:rFonts w:ascii="IRNazanin" w:hAnsi="IRNazanin" w:eastAsia="IRNazanin" w:cs="IRNazanin"/>
          <w:lang w:bidi="fa-IR"/>
          <w:color w:val="111111"/>
          <w:sz w:val="28"/>
          <w:szCs w:val="28"/>
          <w:rtl/>
        </w:rPr>
        <w:t xml:space="preserve">آغاز: در سال ۱۴۰۰ میلادی یعنی اواخر قرن چهارم فلور آنس دارای یک جمهوری بود بسیار علامانه و با سیاست کامل و مقتدر مردم هم کاری و با صنعت بودند، انجام و در اغلب آنها نیز تأثیرات آثار کرنی ورامین به خوبی معلوم است ولی از طرف دیگر بدون اینکه خود او متوجه شود تجددهایی در تراژدی آورد که حیات تراژدی را کاملا به خطر انداخته است</w:t>
      </w:r>
    </w:p>
    <w:p>
      <w:pPr>
        <w:pStyle w:val="BookText"/>
      </w:pPr>
      <w:r>
        <w:rPr>
          <w:rFonts w:ascii="IRNazanin" w:hAnsi="IRNazanin" w:eastAsia="IRNazanin" w:cs="IRNazanin"/>
          <w:lang w:bidi="fa-IR"/>
          <w:color w:val="111111"/>
          <w:sz w:val="28"/>
          <w:szCs w:val="28"/>
          <w:rtl/>
        </w:rPr>
        <w:t xml:space="preserve">خط: نستعلیق، کاتب = مؤلف، تا: ۱۳۲۸ش؛ قلم خوردگی؛ جلد: مقوا، ۱۲گ، مختلف السطر،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مخ: ۱-۳۰۸]</w:t>
      </w:r>
    </w:p>
    <w:p>
      <w:pPr>
        <w:pStyle w:val="BookText"/>
      </w:pPr>
      <w:r>
        <w:rPr>
          <w:rFonts w:ascii="IRNazanin" w:hAnsi="IRNazanin" w:eastAsia="IRNazanin" w:cs="IRNazanin"/>
          <w:lang w:bidi="fa-IR"/>
          <w:color w:val="111111"/>
          <w:sz w:val="28"/>
          <w:szCs w:val="28"/>
          <w:rtl/>
        </w:rPr>
        <w:t xml:space="preserve">←تاریخ تاج محل← احوال بانو بیگم (مختصر)</w:t>
      </w:r>
    </w:p>
    <w:p>
      <w:pPr>
        <w:pStyle w:val="Heading3"/>
      </w:pPr>
      <w:bookmarkStart w:id="2153" w:name="_Toc1413"/>
      <w:r>
        <w:t>•تاریخ تاج محل / جغرافيا / فارسی</w:t>
      </w:r>
      <w:bookmarkEnd w:id="2153"/>
    </w:p>
    <w:p>
      <w:pPr>
        <w:pStyle w:val="BookText"/>
      </w:pPr>
      <w:r>
        <w:rPr>
          <w:rFonts w:ascii="Times New Roman" w:hAnsi="Times New Roman" w:eastAsia="Times New Roman" w:cs="Times New Roman"/>
          <w:lang w:val="en-US" w:bidi="en-US"/>
          <w:color w:val="111111"/>
          <w:sz w:val="28"/>
          <w:szCs w:val="28"/>
          <w:rtl/>
        </w:rPr>
        <w:t xml:space="preserve">tārīx-e tāj mahal</w:t>
      </w:r>
    </w:p>
    <w:p>
      <w:pPr>
        <w:pStyle w:val="BookText"/>
      </w:pPr>
      <w:r>
        <w:rPr>
          <w:rFonts w:ascii="IRNazanin" w:hAnsi="IRNazanin" w:eastAsia="IRNazanin" w:cs="IRNazanin"/>
          <w:lang w:bidi="fa-IR"/>
          <w:color w:val="111111"/>
          <w:sz w:val="28"/>
          <w:szCs w:val="28"/>
          <w:rtl/>
        </w:rPr>
        <w:t xml:space="preserve">تاریخ عمارت مقبره تاج محل (۱۰۰۰-۱۰۴۰ ق) دختر نواب آصف</w:t>
      </w:r>
    </w:p>
    <w:p>
      <w:pPr>
        <w:pStyle w:val="BookText"/>
      </w:pPr>
      <w:r>
        <w:rPr>
          <w:rFonts w:ascii="IRNazanin" w:hAnsi="IRNazanin" w:eastAsia="IRNazanin" w:cs="IRNazanin"/>
          <w:lang w:bidi="fa-IR"/>
          <w:color w:val="111111"/>
          <w:sz w:val="28"/>
          <w:szCs w:val="28"/>
          <w:rtl/>
        </w:rPr>
        <w:t xml:space="preserve">خان و همسر شاه جهان پادشاه (۱۰۳۷-۱۰۶۷ ق) و گزارش ساخت مقبره و هزینه به کار رفته و مهندسان ساختمان است.</w:t>
      </w:r>
    </w:p>
    <w:p>
      <w:pPr>
        <w:pStyle w:val="BookText"/>
      </w:pPr>
      <w:r>
        <w:rPr>
          <w:rFonts w:ascii="IRNazanin" w:hAnsi="IRNazanin" w:eastAsia="IRNazanin" w:cs="IRNazanin"/>
          <w:lang w:bidi="fa-IR"/>
          <w:color w:val="111111"/>
          <w:sz w:val="28"/>
          <w:szCs w:val="28"/>
          <w:rtl/>
        </w:rPr>
        <w:t xml:space="preserve">[ فهرستواره منزوی ۱۷۵/۱ -۱۷۶ و ۱۱۶۷/۲ ؛ نسخه های منزوی ۳۹۳۷/۶ ]</w:t>
      </w:r>
    </w:p>
    <w:p>
      <w:pPr>
        <w:pStyle w:val="BookText"/>
      </w:pPr>
      <w:r>
        <w:rPr>
          <w:rFonts w:ascii="IRNazanin" w:hAnsi="IRNazanin" w:eastAsia="IRNazanin" w:cs="IRNazanin"/>
          <w:lang w:bidi="fa-IR"/>
          <w:color w:val="111111"/>
          <w:sz w:val="28"/>
          <w:szCs w:val="28"/>
          <w:rtl/>
        </w:rPr>
        <w:t xml:space="preserve">قم؛ مرعشی؛ شماره نسخه: ۱۷۶۱</w:t>
      </w:r>
    </w:p>
    <w:p>
      <w:pPr>
        <w:pStyle w:val="BookText"/>
      </w:pPr>
      <w:r>
        <w:rPr>
          <w:rFonts w:ascii="IRNazanin" w:hAnsi="IRNazanin" w:eastAsia="IRNazanin" w:cs="IRNazanin"/>
          <w:lang w:bidi="fa-IR"/>
          <w:color w:val="111111"/>
          <w:sz w:val="28"/>
          <w:szCs w:val="28"/>
          <w:rtl/>
        </w:rPr>
        <w:t xml:space="preserve">آغاز: طاقچه ۱۲ بابت باله تتمه گلدسته؛ انجام: مبلغهای کلیه میزان کلی</w:t>
      </w:r>
    </w:p>
    <w:p>
      <w:pPr>
        <w:pStyle w:val="BookText"/>
      </w:pPr>
      <w:r>
        <w:rPr>
          <w:rFonts w:ascii="IRNazanin" w:hAnsi="IRNazanin" w:eastAsia="IRNazanin" w:cs="IRNazanin"/>
          <w:lang w:bidi="fa-IR"/>
          <w:color w:val="111111"/>
          <w:sz w:val="28"/>
          <w:szCs w:val="28"/>
          <w:rtl/>
        </w:rPr>
        <w:t xml:space="preserve">نسخه اصل: کتابخانه ندوة العلماء، لكهنو، هند، شماره ۱۰ (ردیف ۳۴)؛ خط: نستعلیق، بی کا، بی تا؛ تصویر حاضر از صفحه ۸۰ تا ۹۸ نسخه اصل را دربردارد؛ ۳۸ص، ۸ سطر [عکسی ف: ۵-۲۰۹]</w:t>
      </w:r>
    </w:p>
    <w:p>
      <w:pPr>
        <w:pStyle w:val="Heading3"/>
      </w:pPr>
      <w:bookmarkStart w:id="2154" w:name="_Toc1414"/>
      <w:r>
        <w:t>•تاریخ تازی / تاریخ / عربی</w:t>
      </w:r>
      <w:bookmarkEnd w:id="2154"/>
    </w:p>
    <w:p>
      <w:pPr>
        <w:pStyle w:val="BookText"/>
      </w:pPr>
      <w:r>
        <w:rPr>
          <w:rFonts w:ascii="Times New Roman" w:hAnsi="Times New Roman" w:eastAsia="Times New Roman" w:cs="Times New Roman"/>
          <w:lang w:val="en-US" w:bidi="en-US"/>
          <w:color w:val="111111"/>
          <w:sz w:val="28"/>
          <w:szCs w:val="28"/>
          <w:rtl/>
        </w:rPr>
        <w:t xml:space="preserve">tārīx-e tāzī</w:t>
      </w:r>
    </w:p>
    <w:p>
      <w:pPr>
        <w:pStyle w:val="BookText"/>
      </w:pPr>
      <w:r>
        <w:rPr>
          <w:rFonts w:ascii="IRNazanin" w:hAnsi="IRNazanin" w:eastAsia="IRNazanin" w:cs="IRNazanin"/>
          <w:lang w:bidi="fa-IR"/>
          <w:color w:val="111111"/>
          <w:sz w:val="28"/>
          <w:szCs w:val="28"/>
          <w:rtl/>
        </w:rPr>
        <w:t xml:space="preserve">رصاصی، علی بن صلاح، ق ۱۱ قمری</w:t>
      </w:r>
    </w:p>
    <w:p>
      <w:pPr>
        <w:pStyle w:val="BookText"/>
      </w:pPr>
      <w:r>
        <w:rPr>
          <w:rFonts w:ascii="Times New Roman" w:hAnsi="Times New Roman" w:eastAsia="Times New Roman" w:cs="Times New Roman"/>
          <w:lang w:val="en-US" w:bidi="en-US"/>
          <w:color w:val="111111"/>
          <w:sz w:val="28"/>
          <w:szCs w:val="28"/>
          <w:rtl/>
        </w:rPr>
        <w:t xml:space="preserve">rasāsī, 'alī ebn-e salāh (-17c)</w:t>
      </w:r>
    </w:p>
    <w:p>
      <w:pPr>
        <w:pStyle w:val="BookText"/>
      </w:pPr>
      <w:r>
        <w:rPr>
          <w:rFonts w:ascii="IRNazanin" w:hAnsi="IRNazanin" w:eastAsia="IRNazanin" w:cs="IRNazanin"/>
          <w:lang w:bidi="fa-IR"/>
          <w:color w:val="111111"/>
          <w:sz w:val="28"/>
          <w:szCs w:val="28"/>
          <w:rtl/>
        </w:rPr>
        <w:t xml:space="preserve">این کتاب که قسمت اول آن در این نسخه افتاده و نام تاریخ عربی بر حسب ثبت پشت جلد گرفته است تاریخ ولاتی است که بر یمن حکم رانده و مذهب زیدیه داشته اند. در ابتدا سلاطين چرکس و ترک می آیند و سپس وقایع به شكل وقايع السنين تا ۱۰۵۵ق ثبت می شود.</w:t>
      </w:r>
    </w:p>
    <w:p>
      <w:pPr>
        <w:pStyle w:val="BookText"/>
      </w:pPr>
      <w:r>
        <w:rPr>
          <w:rFonts w:ascii="IRNazanin" w:hAnsi="IRNazanin" w:eastAsia="IRNazanin" w:cs="IRNazanin"/>
          <w:lang w:bidi="fa-IR"/>
          <w:color w:val="111111"/>
          <w:sz w:val="28"/>
          <w:szCs w:val="28"/>
          <w:rtl/>
        </w:rPr>
        <w:t xml:space="preserve">تهران؛ ملی؛ شماره نسخه:۱۵۶۹</w:t>
      </w:r>
    </w:p>
    <w:p>
      <w:pPr>
        <w:pStyle w:val="BookText"/>
      </w:pPr>
      <w:r>
        <w:rPr>
          <w:rFonts w:ascii="IRNazanin" w:hAnsi="IRNazanin" w:eastAsia="IRNazanin" w:cs="IRNazanin"/>
          <w:lang w:bidi="fa-IR"/>
          <w:color w:val="111111"/>
          <w:sz w:val="28"/>
          <w:szCs w:val="28"/>
          <w:rtl/>
        </w:rPr>
        <w:t xml:space="preserve">آغاز: فاصلحه کله و اتقن عمله و عم ما في صحن المسجد؛ انجام: لاستفتاح تهامه الكره الثانيه.</w:t>
      </w:r>
    </w:p>
    <w:p>
      <w:pPr>
        <w:pStyle w:val="BookText"/>
      </w:pPr>
      <w:r>
        <w:rPr>
          <w:rFonts w:ascii="IRNazanin" w:hAnsi="IRNazanin" w:eastAsia="IRNazanin" w:cs="IRNazanin"/>
          <w:lang w:bidi="fa-IR"/>
          <w:color w:val="111111"/>
          <w:sz w:val="28"/>
          <w:szCs w:val="28"/>
          <w:rtl/>
        </w:rPr>
        <w:t xml:space="preserve">خط: نسخ، بی کا، تا: ۱۰۶۹ق؛ افتادگی: آغاز؛ صفحه اول امضاء و خط فرهاد بن ولیعهد (شاهزاده فرهاد میرزای معتمد الدوله)؛ کاغذ: فرنگی، جلد: تیماج عنابی، ۲۴۶گ، ۳۱ سطر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۳۰سم [ف: ۱۰-۹۷]</w:t>
      </w:r>
    </w:p>
    <w:p>
      <w:pPr>
        <w:pStyle w:val="Heading3"/>
      </w:pPr>
      <w:bookmarkStart w:id="2155" w:name="_Toc1415"/>
      <w:r>
        <w:t>•تاریخ تبت = مسافرت نامه / سفرنامه / فارسی</w:t>
      </w:r>
      <w:bookmarkEnd w:id="2155"/>
    </w:p>
    <w:p>
      <w:pPr>
        <w:pStyle w:val="BookText"/>
      </w:pPr>
      <w:r>
        <w:rPr>
          <w:rFonts w:ascii="Times New Roman" w:hAnsi="Times New Roman" w:eastAsia="Times New Roman" w:cs="Times New Roman"/>
          <w:lang w:val="en-US" w:bidi="en-US"/>
          <w:color w:val="111111"/>
          <w:sz w:val="28"/>
          <w:szCs w:val="28"/>
          <w:rtl/>
        </w:rPr>
        <w:t xml:space="preserve">tārīx-e tabbat = mosāferat-nāme</w:t>
      </w:r>
    </w:p>
    <w:p>
      <w:pPr>
        <w:pStyle w:val="BookText"/>
      </w:pPr>
      <w:r>
        <w:rPr>
          <w:rFonts w:ascii="IRNazanin" w:hAnsi="IRNazanin" w:eastAsia="IRNazanin" w:cs="IRNazanin"/>
          <w:lang w:bidi="fa-IR"/>
          <w:color w:val="111111"/>
          <w:sz w:val="28"/>
          <w:szCs w:val="28"/>
          <w:rtl/>
        </w:rPr>
        <w:t xml:space="preserve">صحافباشی، اسماعیل بن ابراهیم، ق۱۳ قمری</w:t>
      </w:r>
    </w:p>
    <w:p>
      <w:pPr>
        <w:pStyle w:val="BookText"/>
      </w:pPr>
      <w:r>
        <w:rPr>
          <w:rFonts w:ascii="Times New Roman" w:hAnsi="Times New Roman" w:eastAsia="Times New Roman" w:cs="Times New Roman"/>
          <w:lang w:val="en-US" w:bidi="en-US"/>
          <w:color w:val="111111"/>
          <w:sz w:val="28"/>
          <w:szCs w:val="28"/>
          <w:rtl/>
        </w:rPr>
        <w:t xml:space="preserve">sahhafbasi, esma'il ebn-e ebrahim (-19c)</w:t>
      </w:r>
    </w:p>
    <w:p>
      <w:pPr>
        <w:pStyle w:val="BookText"/>
      </w:pPr>
      <w:r>
        <w:rPr>
          <w:rFonts w:ascii="IRNazanin" w:hAnsi="IRNazanin" w:eastAsia="IRNazanin" w:cs="IRNazanin"/>
          <w:lang w:bidi="fa-IR"/>
          <w:color w:val="111111"/>
          <w:sz w:val="28"/>
          <w:szCs w:val="28"/>
          <w:rtl/>
        </w:rPr>
        <w:t xml:space="preserve">از پطرزبورغ تا هند تا چین تا تبت در پنجاه «فصل»، ترجمه از انگلیسی به فارسی از متن سوبج هنری لاندور.</w:t>
      </w:r>
    </w:p>
    <w:p>
      <w:pPr>
        <w:pStyle w:val="BookText"/>
      </w:pPr>
      <w:r>
        <w:rPr>
          <w:rFonts w:ascii="IRNazanin" w:hAnsi="IRNazanin" w:eastAsia="IRNazanin" w:cs="IRNazanin"/>
          <w:lang w:bidi="fa-IR"/>
          <w:color w:val="111111"/>
          <w:sz w:val="28"/>
          <w:szCs w:val="28"/>
          <w:rtl/>
        </w:rPr>
        <w:t xml:space="preserve">آغاز: ترجمه: بسمه تعالی شأنه العزيز. بر حسب امر اعليحضرت قدر قدرت اقدس همایون شهریاری ابوالمظفر و المنصور مظفرالدین شاه قاجار خلدالله ملکه و دولته و حشمته و جلاله و قدرته بسیاحت نامه</w:t>
      </w:r>
    </w:p>
    <w:p>
      <w:pPr>
        <w:pStyle w:val="BookText"/>
      </w:pPr>
      <w:r>
        <w:rPr>
          <w:rFonts w:ascii="IRNazanin" w:hAnsi="IRNazanin" w:eastAsia="IRNazanin" w:cs="IRNazanin"/>
          <w:lang w:bidi="fa-IR"/>
          <w:color w:val="111111"/>
          <w:sz w:val="28"/>
          <w:szCs w:val="28"/>
          <w:rtl/>
        </w:rPr>
        <w:t xml:space="preserve">[دنا ۶۹۱/۲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نسخه:۱۸۸- بهار</w:t>
      </w:r>
    </w:p>
    <w:p>
      <w:pPr>
        <w:pStyle w:val="BookText"/>
      </w:pPr>
      <w:r>
        <w:rPr>
          <w:rFonts w:ascii="IRNazanin" w:hAnsi="IRNazanin" w:eastAsia="IRNazanin" w:cs="IRNazanin"/>
          <w:lang w:bidi="fa-IR"/>
          <w:color w:val="111111"/>
          <w:sz w:val="28"/>
          <w:szCs w:val="28"/>
          <w:rtl/>
        </w:rPr>
        <w:t xml:space="preserve">نام مترجم به استناد فهرستواره منزوی ۱۵۱/۱ ذکر شد. جلد 1؛ خط: نستعلیق، كا: عزیز الله، تا: ۱۶ ذیقعده ۱۳۲۲ق؛ قطع: وزیری [نشریه: ۵-۶۵۹]</w:t>
      </w:r>
    </w:p>
    <w:p>
      <w:pPr>
        <w:pStyle w:val="BookText"/>
      </w:pPr>
      <w:r>
        <w:rPr>
          <w:rFonts w:ascii="IRNazanin" w:hAnsi="IRNazanin" w:eastAsia="IRNazanin" w:cs="IRNazanin"/>
          <w:lang w:bidi="fa-IR"/>
          <w:color w:val="111111"/>
          <w:sz w:val="28"/>
          <w:szCs w:val="28"/>
          <w:rtl/>
        </w:rPr>
        <w:t xml:space="preserve">۲. تهران؛ ملی؛ شماره نسخه:۲۷۶</w:t>
      </w:r>
    </w:p>
    <w:p>
      <w:pPr>
        <w:pStyle w:val="BookText"/>
      </w:pPr>
      <w:r>
        <w:rPr>
          <w:rFonts w:ascii="IRNazanin" w:hAnsi="IRNazanin" w:eastAsia="IRNazanin" w:cs="IRNazanin"/>
          <w:lang w:bidi="fa-IR"/>
          <w:color w:val="111111"/>
          <w:sz w:val="28"/>
          <w:szCs w:val="28"/>
          <w:rtl/>
        </w:rPr>
        <w:t xml:space="preserve">آغاز: برابر؛ انجام: اجزائی که بنا شده همراه من بیایند منحصر شده به چهار نفر متعهد شدند باتفاق من تا تنگه مسيوم بیایند. آخر نسخه: تمام شد جلد اول مسافرت نامه سویچ هنری لاندور ترجمه غلام خانه زاد لسان السلطان پسر مرحوم صحاف باشي في شهر رجب المرجب سنه یکهزار و سیصد و بیست و دو هجری ۱۳۲۲.</w:t>
      </w:r>
    </w:p>
    <w:p>
      <w:pPr>
        <w:pStyle w:val="BookText"/>
      </w:pPr>
      <w:r>
        <w:rPr>
          <w:rFonts w:ascii="IRNazanin" w:hAnsi="IRNazanin" w:eastAsia="IRNazanin" w:cs="IRNazanin"/>
          <w:lang w:bidi="fa-IR"/>
          <w:color w:val="111111"/>
          <w:sz w:val="28"/>
          <w:szCs w:val="28"/>
          <w:rtl/>
        </w:rPr>
        <w:t xml:space="preserve">جلد اول؛ خط: شکسته نستعلیق، بی کا، تا: رجب ۱۳۲۲ق، جان تهران؛ با سرلوح مذهب، مجدول؛ کاغذ: فرنگی آبی، جلد: مخمل آبی با گل و بته، ۱۲۵ گ، ۱۴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۱-۲۷۰]</w:t>
      </w:r>
    </w:p>
    <w:p>
      <w:pPr>
        <w:pStyle w:val="Heading3"/>
      </w:pPr>
      <w:bookmarkStart w:id="2156" w:name="_Toc1416"/>
      <w:r>
        <w:t>•تاریخ تبریز / تاریخ ایران / فارسی</w:t>
      </w:r>
      <w:bookmarkEnd w:id="2156"/>
    </w:p>
    <w:p>
      <w:pPr>
        <w:pStyle w:val="BookText"/>
      </w:pPr>
      <w:r>
        <w:rPr>
          <w:rFonts w:ascii="Times New Roman" w:hAnsi="Times New Roman" w:eastAsia="Times New Roman" w:cs="Times New Roman"/>
          <w:lang w:val="en-US" w:bidi="en-US"/>
          <w:color w:val="111111"/>
          <w:sz w:val="28"/>
          <w:szCs w:val="28"/>
          <w:rtl/>
        </w:rPr>
        <w:t xml:space="preserve">tārīx-e tabrīz</w:t>
      </w:r>
    </w:p>
    <w:p>
      <w:pPr>
        <w:pStyle w:val="BookText"/>
      </w:pPr>
      <w:r>
        <w:rPr>
          <w:rFonts w:ascii="IRNazanin" w:hAnsi="IRNazanin" w:eastAsia="IRNazanin" w:cs="IRNazanin"/>
          <w:lang w:bidi="fa-IR"/>
          <w:color w:val="111111"/>
          <w:sz w:val="28"/>
          <w:szCs w:val="28"/>
          <w:rtl/>
        </w:rPr>
        <w:t xml:space="preserve">ثریا قاجار، نادر میرزا بن میرزا صاحب اختیار،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422" w:name="pg20363_209724"/>
    <w:bookmarkEnd w:id="422"/>
    <w:p>
      <w:pPr>
        <w:pStyle w:val="BookText"/>
      </w:pPr>
      <w:r>
        <w:rPr>
          <w:rFonts w:ascii="IRNazanin" w:hAnsi="IRNazanin" w:eastAsia="IRNazanin" w:cs="IRNazanin"/>
          <w:lang w:bidi="fa-IR"/>
          <w:color w:val="111111"/>
          <w:sz w:val="28"/>
          <w:szCs w:val="28"/>
          <w:rtl/>
        </w:rPr>
        <w:t xml:space="preserve">۱۲۴۴ق-۱۳ قمری</w:t>
      </w:r>
    </w:p>
    <w:p>
      <w:pPr>
        <w:pStyle w:val="BookText"/>
      </w:pPr>
      <w:r>
        <w:rPr>
          <w:rFonts w:ascii="Times New Roman" w:hAnsi="Times New Roman" w:eastAsia="Times New Roman" w:cs="Times New Roman"/>
          <w:lang w:val="en-US" w:bidi="en-US"/>
          <w:color w:val="111111"/>
          <w:sz w:val="28"/>
          <w:szCs w:val="28"/>
          <w:rtl/>
        </w:rPr>
        <w:t xml:space="preserve">sorayyā dājār, nāder mīrzā ebn-e mīrzā sāheb-e extīyār (1829-19c)</w:t>
      </w:r>
    </w:p>
    <w:p>
      <w:pPr>
        <w:pStyle w:val="BookText"/>
      </w:pPr>
      <w:r>
        <w:rPr>
          <w:rFonts w:ascii="IRNazanin" w:hAnsi="IRNazanin" w:eastAsia="IRNazanin" w:cs="IRNazanin"/>
          <w:lang w:bidi="fa-IR"/>
          <w:color w:val="111111"/>
          <w:sz w:val="28"/>
          <w:szCs w:val="28"/>
          <w:rtl/>
        </w:rPr>
        <w:t xml:space="preserve">تاريخ تأليف: آغاز ۱۲۹۹ق و انجام ۱۳۰۲ق مجموعه ای است پراکنده از مطالب تاریخی و شرح جامعی است در خصوص شهر تبریز با ذکر اسامی مساجد و ابنیه تاریخی و اماکن قدیمی و جدید آن زمان اسامی قنوات و همچنین نام مشاهیر و بزرگان و شعرا و عرفای تبریز و شمه ای در احوال حکمرانان و امیرانی که در تبریز حکومت داشته اند و خلاصه ای از عهدنامه و شرح جنگ ها و مبارزات بین ایران، روس و عثمانی با ذکر تاریخ و نیز شرحی راجع به حفر کانال سوئز با قید و ذکر تاریخ و صورت مخارج و معائدات مربوطه بین سعید پاشا از کشور مصر و ناپلئون از کشور فرانسه و چگونگی احوال مسيو لسپس مهندس و رئیس کمپانی حفر کانال سوئز به اضافه اینکه مؤلف این کتاب تاریخچه ای از دوران نادرشاه افشار، کریم خان زند و اوایل سلطنت سلسله قاجاریه و شرح مبسوطی از حالات نیاکان و احوالات خویش را به رشته تحریر کشیده است. در انتها فصلی درباره عشیره دنبلی و فصلی در شورش بابک خرم دین اختصاص داده شده است. در ۱۲۹۹ بدان آغاز و در ۱۳۰۲ ق به پایان رسانده است. تاریخ آغاز در الذریعه ۱۳۰۲ ق به نام میرزا کاظم طباطبائی تبریزی و انجام آن ۲۲ محرم ۱۳۱۴ ق ذکر شده است.</w:t>
      </w:r>
    </w:p>
    <w:p>
      <w:pPr>
        <w:pStyle w:val="BookText"/>
      </w:pPr>
      <w:r>
        <w:rPr>
          <w:rFonts w:ascii="IRNazanin" w:hAnsi="IRNazanin" w:eastAsia="IRNazanin" w:cs="IRNazanin"/>
          <w:lang w:bidi="fa-IR"/>
          <w:color w:val="111111"/>
          <w:sz w:val="28"/>
          <w:szCs w:val="28"/>
          <w:rtl/>
        </w:rPr>
        <w:t xml:space="preserve">آغاز: آغاز مقدمه: بسمله به نستعين: بسی نامه خواندم بسی رنج بردم*** ز گفتار تازی و هم پهلوانی / بچندین هنر شصت دو سال بودم***که توشه برم ز آشکار و نهانی / بجز حسرت و جز و بال گناهان *** ندارم کنون از جوانی نشانی. ایدوست آنگاهم بنواختی و کار فرمودی که پیر دریافته است و دیده از کردار مانده و موی سپید و از جهان نا امید ... ای دوست آن گاه هم بنواختی و کار فرمودی که پیری دریافته است انجام: این فصل بیاوردم که به تاریخ های پارسی بدین شرح نبود. چاپ: تهران، سنگی، ۱۳۲۳ق.، رحلی، ۳۹۷ص</w:t>
      </w:r>
    </w:p>
    <w:p>
      <w:pPr>
        <w:pStyle w:val="BookText"/>
      </w:pPr>
      <w:r>
        <w:rPr>
          <w:rFonts w:ascii="IRNazanin" w:hAnsi="IRNazanin" w:eastAsia="IRNazanin" w:cs="IRNazanin"/>
          <w:lang w:bidi="fa-IR"/>
          <w:color w:val="111111"/>
          <w:sz w:val="28"/>
          <w:szCs w:val="28"/>
          <w:rtl/>
        </w:rPr>
        <w:t xml:space="preserve">[دنا ۶۹۱/۲ ؛ الذریعه ۲۴۵/۳ ؛ فهرستواره منزوی ۹۱۴/۲ «تاریخ و جغرافیای دارالسلطنه تبریز» ]</w:t>
      </w:r>
    </w:p>
    <w:p>
      <w:pPr>
        <w:pStyle w:val="BookText"/>
      </w:pPr>
      <w:r>
        <w:rPr>
          <w:rFonts w:ascii="IRNazanin" w:hAnsi="IRNazanin" w:eastAsia="IRNazanin" w:cs="IRNazanin"/>
          <w:lang w:bidi="fa-IR"/>
          <w:color w:val="111111"/>
          <w:sz w:val="28"/>
          <w:szCs w:val="28"/>
          <w:rtl/>
        </w:rPr>
        <w:t xml:space="preserve">۱. تهران؛ مجلس؛ شماره نسخه:۱۵۱۰۹</w:t>
      </w:r>
    </w:p>
    <w:p>
      <w:pPr>
        <w:pStyle w:val="BookText"/>
      </w:pPr>
      <w:r>
        <w:rPr>
          <w:rFonts w:ascii="IRNazanin" w:hAnsi="IRNazanin" w:eastAsia="IRNazanin" w:cs="IRNazanin"/>
          <w:lang w:bidi="fa-IR"/>
          <w:color w:val="111111"/>
          <w:sz w:val="28"/>
          <w:szCs w:val="28"/>
          <w:rtl/>
        </w:rPr>
        <w:t xml:space="preserve">خط: تحریری، کاتب = مؤلف، تا: قرن ۱۳ [مختصر ف: ۱۲۵]</w:t>
      </w:r>
    </w:p>
    <w:p>
      <w:pPr>
        <w:pStyle w:val="BookText"/>
      </w:pPr>
      <w:r>
        <w:rPr>
          <w:rFonts w:ascii="IRNazanin" w:hAnsi="IRNazanin" w:eastAsia="IRNazanin" w:cs="IRNazanin"/>
          <w:lang w:bidi="fa-IR"/>
          <w:color w:val="111111"/>
          <w:sz w:val="28"/>
          <w:szCs w:val="28"/>
          <w:rtl/>
        </w:rPr>
        <w:t xml:space="preserve">۲. تهران؛ سلطنتی؛ شماره نسخه:۲۸۸</w:t>
      </w:r>
    </w:p>
    <w:p>
      <w:pPr>
        <w:pStyle w:val="BookText"/>
      </w:pPr>
      <w:r>
        <w:rPr>
          <w:rFonts w:ascii="IRNazanin" w:hAnsi="IRNazanin" w:eastAsia="IRNazanin" w:cs="IRNazanin"/>
          <w:lang w:bidi="fa-IR"/>
          <w:color w:val="111111"/>
          <w:sz w:val="28"/>
          <w:szCs w:val="28"/>
          <w:rtl/>
        </w:rPr>
        <w:t xml:space="preserve">آغاز: تبریز -اکنون مصر اعظم ایران و قاعده آذربایجان و متبحر این اقلیم است و این شهر بنائی است که پس از بعثت پیغمبر صلوات الله و سلامه عليه نهاده اند و بتحقيق ندانیم که بانی کیست و بكدام روزگار آباد شده اکنون سزاوار است که سخن های کوتاه از گفتار مورخین بیاوریم تا آیندگان نه پندارند که با آن یادداشت ها نه دیده و نه دانسته ایم في بناء التبريز و باینها و الاختلاف بين المورخین؛ انجام: یکی از اکراد عثمانی از شیخ مفارقت کرده میخواهد بخاک عثمانی عبور کند در آنجا دستگیر شده محافظین سرش را بریده مالش را ضبط میکنند. قد تم بعون الله الملک المنان.</w:t>
      </w:r>
    </w:p>
    <w:p>
      <w:pPr>
        <w:pStyle w:val="BookText"/>
      </w:pPr>
      <w:r>
        <w:rPr>
          <w:rFonts w:ascii="IRNazanin" w:hAnsi="IRNazanin" w:eastAsia="IRNazanin" w:cs="IRNazanin"/>
          <w:lang w:bidi="fa-IR"/>
          <w:color w:val="111111"/>
          <w:sz w:val="28"/>
          <w:szCs w:val="28"/>
          <w:rtl/>
        </w:rPr>
        <w:t xml:space="preserve">خط: شکسته نستعلیق و نسخ، بی کا، تا: ذیقعده ۱۳۰۲ ق ؟؟ کاغذ: اصفهانی آهار مهره، جلد: مقوای روکش چرم لاکی، ۴۶۰ص، ۱۷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۳۴/۵سم [ف: ۵-۴۳]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ملک؛ شماره نسخه: ۳۷۲۰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بی کا، تا: محرم ۱۳۱۴ق، جا: تبریز؛ کاغذ: کاغذ فرنگی آبی، جلد: میشن قرمز، ۱۰۷گی*، ۱۶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۱۵/۲ سم [ف: ۲-۷۸]</w:t>
      </w:r>
    </w:p>
    <w:p>
      <w:pPr>
        <w:pStyle w:val="Heading3"/>
      </w:pPr>
      <w:bookmarkStart w:id="2157" w:name="_Toc1417"/>
      <w:r>
        <w:t>•تاریخ تبریز / تاریخ ایران / فارسی</w:t>
      </w:r>
      <w:bookmarkEnd w:id="2157"/>
    </w:p>
    <w:p>
      <w:pPr>
        <w:pStyle w:val="BookText"/>
      </w:pPr>
      <w:r>
        <w:rPr>
          <w:rFonts w:ascii="Times New Roman" w:hAnsi="Times New Roman" w:eastAsia="Times New Roman" w:cs="Times New Roman"/>
          <w:lang w:val="en-US" w:bidi="en-US"/>
          <w:color w:val="111111"/>
          <w:sz w:val="28"/>
          <w:szCs w:val="28"/>
          <w:rtl/>
        </w:rPr>
        <w:t xml:space="preserve">tārīx-e tabrīz</w:t>
      </w:r>
    </w:p>
    <w:p>
      <w:pPr>
        <w:pStyle w:val="BookText"/>
      </w:pPr>
      <w:r>
        <w:rPr>
          <w:rFonts w:ascii="IRNazanin" w:hAnsi="IRNazanin" w:eastAsia="IRNazanin" w:cs="IRNazanin"/>
          <w:lang w:bidi="fa-IR"/>
          <w:color w:val="111111"/>
          <w:sz w:val="28"/>
          <w:szCs w:val="28"/>
          <w:rtl/>
        </w:rPr>
        <w:t xml:space="preserve">فیلسوف الدوله، عبدالحسين بن محمد حسن، ۱۲۷۷ ۱۳۶۰ قمری</w:t>
      </w:r>
    </w:p>
    <w:p>
      <w:pPr>
        <w:pStyle w:val="BookText"/>
      </w:pPr>
      <w:r>
        <w:rPr>
          <w:rFonts w:ascii="Times New Roman" w:hAnsi="Times New Roman" w:eastAsia="Times New Roman" w:cs="Times New Roman"/>
          <w:lang w:val="en-US" w:bidi="en-US"/>
          <w:color w:val="111111"/>
          <w:sz w:val="28"/>
          <w:szCs w:val="28"/>
          <w:rtl/>
        </w:rPr>
        <w:t xml:space="preserve">filsūf-od-dowle, ‘abd-ol-hoseyn ebn-e mohammad hasan (1861-1941)</w:t>
      </w:r>
    </w:p>
    <w:p>
      <w:pPr>
        <w:pStyle w:val="BookText"/>
      </w:pPr>
      <w:r>
        <w:rPr>
          <w:rFonts w:ascii="IRNazanin" w:hAnsi="IRNazanin" w:eastAsia="IRNazanin" w:cs="IRNazanin"/>
          <w:lang w:bidi="fa-IR"/>
          <w:color w:val="111111"/>
          <w:sz w:val="28"/>
          <w:szCs w:val="28"/>
          <w:rtl/>
        </w:rPr>
        <w:t xml:space="preserve">رساله کوتاهی است در تاریخ شهر تبریز، و شامل: وجه تسمیه تبریز، محصول و صنایع آن، آب و هوا، تعداد جمعیت، آداب و رسوم، آثار عتیقه، اخلاق و طرز معاشرت، مذاهب، شعرا و فضلای معروف، مقابر، مزارات متبرکه و محلات معروف شهر، که به صورت گزیده، به معرفی آنها پرداخته شده است.</w:t>
      </w:r>
    </w:p>
    <w:p>
      <w:pPr>
        <w:pStyle w:val="BookText"/>
      </w:pPr>
      <w:r>
        <w:rPr>
          <w:rFonts w:ascii="IRNazanin" w:hAnsi="IRNazanin" w:eastAsia="IRNazanin" w:cs="IRNazanin"/>
          <w:lang w:bidi="fa-IR"/>
          <w:color w:val="111111"/>
          <w:sz w:val="28"/>
          <w:szCs w:val="28"/>
          <w:rtl/>
        </w:rPr>
        <w:t xml:space="preserve">آغاز: در وجه تسمیه تبریز ما بين مورخین اختلاف است، به عقیده حمد الله مستوفی زبیده زن هارون الرشید، در سال يکصد و هفتاد و پنج هجری، بنای این شهر نموده. انجام: مسافت از تبریز تا نقاط دیگر آذربایجان، بنا به قول مرآت البلدان، تا او جان ۸ فرسخ، اردبیل ۳۰ ... مراغه ۱۸، میاندوآب ۲۰، ساوجبلاغ ۳۰</w:t>
      </w:r>
    </w:p>
    <w:p>
      <w:pPr>
        <w:pStyle w:val="BookText"/>
      </w:pPr>
      <w:r>
        <w:rPr>
          <w:rFonts w:ascii="IRNazanin" w:hAnsi="IRNazanin" w:eastAsia="IRNazanin" w:cs="IRNazanin"/>
          <w:lang w:bidi="fa-IR"/>
          <w:color w:val="111111"/>
          <w:sz w:val="28"/>
          <w:szCs w:val="28"/>
          <w:rtl/>
        </w:rPr>
        <w:t xml:space="preserve">[دنا ۶۹۱/۲ ؛ ریحانة الأدب: ۳۸۴/۴ -۳۸۵]</w:t>
      </w:r>
    </w:p>
    <w:p>
      <w:pPr>
        <w:pStyle w:val="BookText"/>
      </w:pPr>
      <w:r>
        <w:rPr>
          <w:rFonts w:ascii="IRNazanin" w:hAnsi="IRNazanin" w:eastAsia="IRNazanin" w:cs="IRNazanin"/>
          <w:lang w:bidi="fa-IR"/>
          <w:color w:val="111111"/>
          <w:sz w:val="28"/>
          <w:szCs w:val="28"/>
          <w:rtl/>
        </w:rPr>
        <w:t xml:space="preserve">قم؛ مرعشی؛ شماره نسخه: ۱۳۰۰۳/۱</w:t>
      </w:r>
    </w:p>
    <w:p>
      <w:pPr>
        <w:pStyle w:val="BookText"/>
      </w:pPr>
      <w:r>
        <w:rPr>
          <w:rFonts w:ascii="IRNazanin" w:hAnsi="IRNazanin" w:eastAsia="IRNazanin" w:cs="IRNazanin"/>
          <w:lang w:bidi="fa-IR"/>
          <w:color w:val="111111"/>
          <w:sz w:val="28"/>
          <w:szCs w:val="28"/>
          <w:rtl/>
        </w:rPr>
        <w:t xml:space="preserve">آغاز و انجام: برابر خط: شکسته نستعلیق، كا: عبدالله موسوی اشتهاردی، تا: ۱۳۵۸ق، جا: قم؛ مصحح، کتابت این نسخه به دستور آیت الله مرعشی نجفی صورت گرفته؛ کاغذ: فرنگی خط دفتری، ۸گ (آپار)، ۱۷ سطر، اندازه: 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۱۵/۵ سم [ف: ۳۳-۱۴]</w:t>
      </w:r>
    </w:p>
    <w:p>
      <w:pPr>
        <w:pStyle w:val="Heading3"/>
      </w:pPr>
      <w:bookmarkStart w:id="2158" w:name="_Toc1418"/>
      <w:r>
        <w:t>•تاریخ تبریز = زلزله های تاریخی تبریز / تاریخ ایران / فارسی</w:t>
      </w:r>
      <w:bookmarkEnd w:id="2158"/>
    </w:p>
    <w:p>
      <w:pPr>
        <w:pStyle w:val="BookText"/>
      </w:pPr>
      <w:r>
        <w:rPr>
          <w:rFonts w:ascii="Times New Roman" w:hAnsi="Times New Roman" w:eastAsia="Times New Roman" w:cs="Times New Roman"/>
          <w:lang w:val="en-US" w:bidi="en-US"/>
          <w:color w:val="111111"/>
          <w:sz w:val="28"/>
          <w:szCs w:val="28"/>
          <w:rtl/>
        </w:rPr>
        <w:t xml:space="preserve">tarix-e tabriz = zelzele-ha-ye tarixi-ye tabriz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423" w:name="pg20363_209725"/>
    <w:bookmarkEnd w:id="423"/>
    <w:p>
      <w:pPr>
        <w:pStyle w:val="BookText"/>
      </w:pPr>
      <w:r>
        <w:rPr>
          <w:rFonts w:ascii="IRNazanin" w:hAnsi="IRNazanin" w:eastAsia="IRNazanin" w:cs="IRNazanin"/>
          <w:lang w:bidi="fa-IR"/>
          <w:color w:val="111111"/>
          <w:sz w:val="28"/>
          <w:szCs w:val="28"/>
          <w:rtl/>
        </w:rPr>
        <w:t xml:space="preserve">تاریخچه تبریز است. در آن از بنیاد تبریز به دست وهسودان پس از ویرانی بزرگی که از زلزله رخ داد و از اینکه به دعوت وهسودان چهار تن از مشایخ هر یک در یکی از چهار گوشه شهر، سنگی و نیز از این که پیش بینی کردند که محال است دیگر تبریز به زلزله یا سیل خراب گردد، یاد شده است.</w:t>
      </w:r>
    </w:p>
    <w:p>
      <w:pPr>
        <w:pStyle w:val="BookText"/>
      </w:pPr>
      <w:r>
        <w:rPr>
          <w:rFonts w:ascii="IRNazanin" w:hAnsi="IRNazanin" w:eastAsia="IRNazanin" w:cs="IRNazanin"/>
          <w:lang w:bidi="fa-IR"/>
          <w:color w:val="111111"/>
          <w:sz w:val="28"/>
          <w:szCs w:val="28"/>
          <w:rtl/>
        </w:rPr>
        <w:t xml:space="preserve">تهران؛ مجلس؛ شماره نسخه: ۱۱۴/۱۴۵۹۰</w:t>
      </w:r>
    </w:p>
    <w:p>
      <w:pPr>
        <w:pStyle w:val="BookText"/>
      </w:pPr>
      <w:r>
        <w:rPr>
          <w:rFonts w:ascii="IRNazanin" w:hAnsi="IRNazanin" w:eastAsia="IRNazanin" w:cs="IRNazanin"/>
          <w:lang w:bidi="fa-IR"/>
          <w:color w:val="111111"/>
          <w:sz w:val="28"/>
          <w:szCs w:val="28"/>
          <w:rtl/>
        </w:rPr>
        <w:t xml:space="preserve">آغاز: بنیاد تبریز در زمان خلافت هرون الرشید زن او زیبده خاتون فرمود خط: نسخ، بی کا، تا: دوشنبه ۲۷ ربيع الأول ۷۲۳ق، جلد: تیماج کرم قهوه ای، اص(۴۳۹)، ۴۱ سطر، اندازه: 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۴۱–۹۳]</w:t>
      </w:r>
    </w:p>
    <w:p>
      <w:pPr>
        <w:pStyle w:val="BookText"/>
      </w:pPr>
      <w:r>
        <w:rPr>
          <w:rFonts w:ascii="IRNazanin" w:hAnsi="IRNazanin" w:eastAsia="IRNazanin" w:cs="IRNazanin"/>
          <w:lang w:bidi="fa-IR"/>
          <w:color w:val="111111"/>
          <w:sz w:val="28"/>
          <w:szCs w:val="28"/>
          <w:rtl/>
        </w:rPr>
        <w:t xml:space="preserve">← تاریخ تحریم تنباکو ← تحریم تنباکو</w:t>
      </w:r>
    </w:p>
    <w:p>
      <w:pPr>
        <w:pStyle w:val="Heading3"/>
      </w:pPr>
      <w:bookmarkStart w:id="2159" w:name="_Toc1419"/>
      <w:r>
        <w:t>•تاریخ تحولات اقتصادی ایران / اقتصاد / فارسی</w:t>
      </w:r>
      <w:bookmarkEnd w:id="2159"/>
    </w:p>
    <w:p>
      <w:pPr>
        <w:pStyle w:val="BookText"/>
      </w:pPr>
      <w:r>
        <w:rPr>
          <w:rFonts w:ascii="Times New Roman" w:hAnsi="Times New Roman" w:eastAsia="Times New Roman" w:cs="Times New Roman"/>
          <w:lang w:val="en-US" w:bidi="en-US"/>
          <w:color w:val="111111"/>
          <w:sz w:val="28"/>
          <w:szCs w:val="28"/>
          <w:rtl/>
        </w:rPr>
        <w:t xml:space="preserve">tārīx-e tahavvolāt-e eqtesādī-ye īrān</w:t>
      </w:r>
    </w:p>
    <w:p>
      <w:pPr>
        <w:pStyle w:val="BookText"/>
      </w:pPr>
      <w:r>
        <w:rPr>
          <w:rFonts w:ascii="IRNazanin" w:hAnsi="IRNazanin" w:eastAsia="IRNazanin" w:cs="IRNazanin"/>
          <w:lang w:bidi="fa-IR"/>
          <w:color w:val="111111"/>
          <w:sz w:val="28"/>
          <w:szCs w:val="28"/>
          <w:rtl/>
        </w:rPr>
        <w:t xml:space="preserve">دادبخش، محمد، ق۱۴ قمری</w:t>
      </w:r>
    </w:p>
    <w:p>
      <w:pPr>
        <w:pStyle w:val="BookText"/>
      </w:pPr>
      <w:r>
        <w:rPr>
          <w:rFonts w:ascii="Times New Roman" w:hAnsi="Times New Roman" w:eastAsia="Times New Roman" w:cs="Times New Roman"/>
          <w:lang w:val="en-US" w:bidi="en-US"/>
          <w:color w:val="111111"/>
          <w:sz w:val="28"/>
          <w:szCs w:val="28"/>
          <w:rtl/>
        </w:rPr>
        <w:t xml:space="preserve">dādbaxs, mohammad (-20c)</w:t>
      </w:r>
    </w:p>
    <w:p>
      <w:pPr>
        <w:pStyle w:val="BookText"/>
      </w:pPr>
      <w:r>
        <w:rPr>
          <w:rFonts w:ascii="IRNazanin" w:hAnsi="IRNazanin" w:eastAsia="IRNazanin" w:cs="IRNazanin"/>
          <w:lang w:bidi="fa-IR"/>
          <w:color w:val="111111"/>
          <w:sz w:val="28"/>
          <w:szCs w:val="28"/>
          <w:rtl/>
        </w:rPr>
        <w:t xml:space="preserve">در تحولات اقتصادی ایران از زمان صفویه تا دوران ملی شدن صنعت نفت با استفاده از درس دکتر رشیدی. مؤلف از سال ۱۳۵۰ شروع به تأليف آن نموده است.</w:t>
      </w:r>
    </w:p>
    <w:p>
      <w:pPr>
        <w:pStyle w:val="BookText"/>
      </w:pPr>
      <w:r>
        <w:rPr>
          <w:rFonts w:ascii="IRNazanin" w:hAnsi="IRNazanin" w:eastAsia="IRNazanin" w:cs="IRNazanin"/>
          <w:lang w:bidi="fa-IR"/>
          <w:color w:val="111111"/>
          <w:sz w:val="28"/>
          <w:szCs w:val="28"/>
          <w:rtl/>
        </w:rPr>
        <w:t xml:space="preserve">خوانسار؛ فاضل؛ شماره نسخه: ۴۳۱</w:t>
      </w:r>
    </w:p>
    <w:p>
      <w:pPr>
        <w:pStyle w:val="BookText"/>
      </w:pPr>
      <w:r>
        <w:rPr>
          <w:rFonts w:ascii="IRNazanin" w:hAnsi="IRNazanin" w:eastAsia="IRNazanin" w:cs="IRNazanin"/>
          <w:lang w:bidi="fa-IR"/>
          <w:color w:val="111111"/>
          <w:sz w:val="28"/>
          <w:szCs w:val="28"/>
          <w:rtl/>
        </w:rPr>
        <w:t xml:space="preserve">آغاز مسائلی که باید برای آن گزارش تهیه شود: ۱نقش دولت و سازمانهای دولتی در تحولات اقتصادی ایران خط: نستعلیق، كاتب = مؤلف، بی تا، در پایان کتاب تئوری اقتصاد ضمیمه شده است؛ کاغذ: کاهی خط دار، جلد: مقوایی، ۱۵۰گ، مختلف السطر،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 سم [ف: ۲-۹۹]</w:t>
      </w:r>
    </w:p>
    <w:p>
      <w:pPr>
        <w:pStyle w:val="BookText"/>
      </w:pPr>
      <w:r>
        <w:rPr>
          <w:rFonts w:ascii="IRNazanin" w:hAnsi="IRNazanin" w:eastAsia="IRNazanin" w:cs="IRNazanin"/>
          <w:lang w:bidi="fa-IR"/>
          <w:color w:val="111111"/>
          <w:sz w:val="28"/>
          <w:szCs w:val="28"/>
          <w:rtl/>
        </w:rPr>
        <w:t xml:space="preserve">قم، مرکز احیاء؛ شماره نسخه:۱۱۴۹</w:t>
      </w:r>
    </w:p>
    <w:p>
      <w:pPr>
        <w:pStyle w:val="BookText"/>
      </w:pPr>
      <w:r>
        <w:rPr>
          <w:rFonts w:ascii="IRNazanin" w:hAnsi="IRNazanin" w:eastAsia="IRNazanin" w:cs="IRNazanin"/>
          <w:lang w:bidi="fa-IR"/>
          <w:color w:val="111111"/>
          <w:sz w:val="28"/>
          <w:szCs w:val="28"/>
          <w:rtl/>
        </w:rPr>
        <w:t xml:space="preserve">نسخه اصل: همان نسخه بالا [عکسی ف: ۳-۴۳۴]</w:t>
      </w:r>
    </w:p>
    <w:p>
      <w:pPr>
        <w:pStyle w:val="Heading3"/>
      </w:pPr>
      <w:bookmarkStart w:id="2160" w:name="_Toc1420"/>
      <w:r>
        <w:t>•تاریخ ترک / تاریخ / فارسی</w:t>
      </w:r>
      <w:bookmarkEnd w:id="2160"/>
    </w:p>
    <w:p>
      <w:pPr>
        <w:pStyle w:val="BookText"/>
      </w:pPr>
      <w:r>
        <w:rPr>
          <w:rFonts w:ascii="Times New Roman" w:hAnsi="Times New Roman" w:eastAsia="Times New Roman" w:cs="Times New Roman"/>
          <w:lang w:val="en-US" w:bidi="en-US"/>
          <w:color w:val="111111"/>
          <w:sz w:val="28"/>
          <w:szCs w:val="28"/>
          <w:rtl/>
        </w:rPr>
        <w:t xml:space="preserve">tarix-e tork</w:t>
      </w:r>
    </w:p>
    <w:p>
      <w:pPr>
        <w:pStyle w:val="BookText"/>
      </w:pPr>
      <w:r>
        <w:rPr>
          <w:rFonts w:ascii="IRNazanin" w:hAnsi="IRNazanin" w:eastAsia="IRNazanin" w:cs="IRNazanin"/>
          <w:lang w:bidi="fa-IR"/>
          <w:color w:val="111111"/>
          <w:sz w:val="28"/>
          <w:szCs w:val="28"/>
          <w:rtl/>
        </w:rPr>
        <w:t xml:space="preserve">علی آبادی مازندرانی، زکی بن مقيم، ق۱۴ قمری</w:t>
      </w:r>
    </w:p>
    <w:p>
      <w:pPr>
        <w:pStyle w:val="BookText"/>
      </w:pPr>
      <w:r>
        <w:rPr>
          <w:rFonts w:ascii="Times New Roman" w:hAnsi="Times New Roman" w:eastAsia="Times New Roman" w:cs="Times New Roman"/>
          <w:lang w:val="en-US" w:bidi="en-US"/>
          <w:color w:val="111111"/>
          <w:sz w:val="28"/>
          <w:szCs w:val="28"/>
          <w:rtl/>
        </w:rPr>
        <w:t xml:space="preserve">‘alī-ābādī māzandarānī, zakī ebn-e moqīm (-20c)</w:t>
      </w:r>
    </w:p>
    <w:p>
      <w:pPr>
        <w:pStyle w:val="BookText"/>
      </w:pPr>
      <w:r>
        <w:rPr>
          <w:rFonts w:ascii="IRNazanin" w:hAnsi="IRNazanin" w:eastAsia="IRNazanin" w:cs="IRNazanin"/>
          <w:lang w:bidi="fa-IR"/>
          <w:color w:val="111111"/>
          <w:sz w:val="28"/>
          <w:szCs w:val="28"/>
          <w:rtl/>
        </w:rPr>
        <w:t xml:space="preserve">ترجمه ای است از فرانسه. مترجم گویا میرزا زکی خان سرهنگ است که تاریخ گل را به فارسی گردانیده است.</w:t>
      </w:r>
    </w:p>
    <w:p>
      <w:pPr>
        <w:pStyle w:val="BookText"/>
      </w:pPr>
      <w:r>
        <w:rPr>
          <w:rFonts w:ascii="IRNazanin" w:hAnsi="IRNazanin" w:eastAsia="IRNazanin" w:cs="IRNazanin"/>
          <w:lang w:bidi="fa-IR"/>
          <w:color w:val="111111"/>
          <w:sz w:val="28"/>
          <w:szCs w:val="28"/>
          <w:rtl/>
        </w:rPr>
        <w:t xml:space="preserve">تهران؛ سپهسالار؛ شماره نسخه: ۱۴۹۷/۲</w:t>
      </w:r>
    </w:p>
    <w:p>
      <w:pPr>
        <w:pStyle w:val="BookText"/>
      </w:pPr>
      <w:r>
        <w:rPr>
          <w:rFonts w:ascii="IRNazanin" w:hAnsi="IRNazanin" w:eastAsia="IRNazanin" w:cs="IRNazanin"/>
          <w:lang w:bidi="fa-IR"/>
          <w:color w:val="111111"/>
          <w:sz w:val="28"/>
          <w:szCs w:val="28"/>
          <w:rtl/>
        </w:rPr>
        <w:t xml:space="preserve">آغاز: طائفه ترگ از طوایف قدیم اند و از آن منشعب شده است سلاطین عثمانلو؛ انجام: و قلعه را که مسخر شده بود آتش زده ویران نمود (ناقص مانده). بی کا، بی تا؛ افتادگی: انجام کاغذ: فرنگی نخودی، جلد: تیماج سبز تیره، ۸۰گ (۶۱پ-۱۴۰)، ۲۷ سطر،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۲۹۶-۳ ]</w:t>
      </w:r>
    </w:p>
    <w:p>
      <w:pPr>
        <w:pStyle w:val="Heading3"/>
      </w:pPr>
      <w:bookmarkStart w:id="2161" w:name="_Toc1421"/>
      <w:r>
        <w:t>• تاریخ ترکستان / تاریخ / فارسی</w:t>
      </w:r>
      <w:bookmarkEnd w:id="2161"/>
    </w:p>
    <w:p>
      <w:pPr>
        <w:pStyle w:val="BookText"/>
      </w:pPr>
      <w:r>
        <w:rPr>
          <w:rFonts w:ascii="Times New Roman" w:hAnsi="Times New Roman" w:eastAsia="Times New Roman" w:cs="Times New Roman"/>
          <w:lang w:val="en-US" w:bidi="en-US"/>
          <w:color w:val="111111"/>
          <w:sz w:val="28"/>
          <w:szCs w:val="28"/>
          <w:rtl/>
        </w:rPr>
        <w:t xml:space="preserve">tārīx-e torkestān</w:t>
      </w:r>
    </w:p>
    <w:p>
      <w:pPr>
        <w:pStyle w:val="BookText"/>
      </w:pPr>
      <w:r>
        <w:rPr>
          <w:rFonts w:ascii="IRNazanin" w:hAnsi="IRNazanin" w:eastAsia="IRNazanin" w:cs="IRNazanin"/>
          <w:lang w:bidi="fa-IR"/>
          <w:color w:val="111111"/>
          <w:sz w:val="28"/>
          <w:szCs w:val="28"/>
          <w:rtl/>
        </w:rPr>
        <w:t xml:space="preserve">ترجمه ای از یک متن روسی در تاریخ ترکستان در زمان قاجار.</w:t>
      </w:r>
    </w:p>
    <w:p>
      <w:pPr>
        <w:pStyle w:val="BookText"/>
      </w:pPr>
      <w:r>
        <w:rPr>
          <w:rFonts w:ascii="IRNazanin" w:hAnsi="IRNazanin" w:eastAsia="IRNazanin" w:cs="IRNazanin"/>
          <w:lang w:bidi="fa-IR"/>
          <w:color w:val="111111"/>
          <w:sz w:val="28"/>
          <w:szCs w:val="28"/>
          <w:rtl/>
        </w:rPr>
        <w:t xml:space="preserve">تهران مرکز فرهنگی خراسان شماره نسخه:۹۳عکسی بی کا، تا: ۱۲۶۳ق [جنگ: ۱-۴۴۶]</w:t>
      </w:r>
    </w:p>
    <w:p>
      <w:pPr>
        <w:pStyle w:val="Heading3"/>
      </w:pPr>
      <w:bookmarkStart w:id="2162" w:name="_Toc1422"/>
      <w:r>
        <w:t>• تاریخ ترکمانیه / تاریخ ایران / فارسی</w:t>
      </w:r>
      <w:bookmarkEnd w:id="2162"/>
    </w:p>
    <w:p>
      <w:pPr>
        <w:pStyle w:val="BookText"/>
      </w:pPr>
      <w:r>
        <w:rPr>
          <w:rFonts w:ascii="Times New Roman" w:hAnsi="Times New Roman" w:eastAsia="Times New Roman" w:cs="Times New Roman"/>
          <w:lang w:val="en-US" w:bidi="en-US"/>
          <w:color w:val="111111"/>
          <w:sz w:val="28"/>
          <w:szCs w:val="28"/>
          <w:rtl/>
        </w:rPr>
        <w:t xml:space="preserve">tārīx-e torkamānīye</w:t>
      </w:r>
    </w:p>
    <w:p>
      <w:pPr>
        <w:pStyle w:val="BookText"/>
      </w:pPr>
      <w:r>
        <w:rPr>
          <w:rFonts w:ascii="IRNazanin" w:hAnsi="IRNazanin" w:eastAsia="IRNazanin" w:cs="IRNazanin"/>
          <w:lang w:bidi="fa-IR"/>
          <w:color w:val="111111"/>
          <w:sz w:val="28"/>
          <w:szCs w:val="28"/>
          <w:rtl/>
        </w:rPr>
        <w:t xml:space="preserve">نیشابوری، محمود بن عبدالله، ق ۱۱ قمری</w:t>
      </w:r>
    </w:p>
    <w:p>
      <w:pPr>
        <w:pStyle w:val="BookText"/>
      </w:pPr>
      <w:r>
        <w:rPr>
          <w:rFonts w:ascii="Times New Roman" w:hAnsi="Times New Roman" w:eastAsia="Times New Roman" w:cs="Times New Roman"/>
          <w:lang w:val="en-US" w:bidi="en-US"/>
          <w:color w:val="111111"/>
          <w:sz w:val="28"/>
          <w:szCs w:val="28"/>
          <w:rtl/>
        </w:rPr>
        <w:t xml:space="preserve">neyšābūrī, mahmūd ebn-e ‘abd-ol-lāh (-17c)</w:t>
      </w:r>
    </w:p>
    <w:p>
      <w:pPr>
        <w:pStyle w:val="BookText"/>
      </w:pPr>
      <w:r>
        <w:rPr>
          <w:rFonts w:ascii="IRNazanin" w:hAnsi="IRNazanin" w:eastAsia="IRNazanin" w:cs="IRNazanin"/>
          <w:lang w:bidi="fa-IR"/>
          <w:color w:val="111111"/>
          <w:sz w:val="28"/>
          <w:szCs w:val="28"/>
          <w:rtl/>
        </w:rPr>
        <w:t xml:space="preserve">اهدا به: امیر قرا محمد ترکمان در دودمان قراقوینلو: قرامحمد پایه گذار دودمان (-۷۹۲ق) و پسر او قرایوسف (-۸۲۳ق) و در پایان سلطان قلی قطب الملك پایه گذار قطبشاهان هند. [دنا ۶۹۱/۲ ؛ فهرستواره منزوی ۸۵۵/۲ ]</w:t>
      </w:r>
    </w:p>
    <w:p>
      <w:pPr>
        <w:pStyle w:val="BookText"/>
      </w:pPr>
      <w:r>
        <w:rPr>
          <w:rFonts w:ascii="IRNazanin" w:hAnsi="IRNazanin" w:eastAsia="IRNazanin" w:cs="IRNazanin"/>
          <w:lang w:bidi="fa-IR"/>
          <w:color w:val="111111"/>
          <w:sz w:val="28"/>
          <w:szCs w:val="28"/>
          <w:rtl/>
        </w:rPr>
        <w:t xml:space="preserve">تهران؛ دانشگاه؛ شماره نسخه:۱۸۸۶-ف</w:t>
      </w:r>
    </w:p>
    <w:p>
      <w:pPr>
        <w:pStyle w:val="BookText"/>
      </w:pPr>
      <w:r>
        <w:rPr>
          <w:rFonts w:ascii="IRNazanin" w:hAnsi="IRNazanin" w:eastAsia="IRNazanin" w:cs="IRNazanin"/>
          <w:lang w:bidi="fa-IR"/>
          <w:color w:val="111111"/>
          <w:sz w:val="28"/>
          <w:szCs w:val="28"/>
          <w:rtl/>
        </w:rPr>
        <w:t xml:space="preserve">نسخه اصل: دیوان هند ش ۳۰۲۲ (اته ۵۷۳)؛ كا: منشی میرزایی بیک، تا: ۱۹ جنوری ۱۲۳۰ق، جا: کلکته، به دستور کرنل مکانر صاحب بهادر [فیلمها ف: ۱-۳۲]</w:t>
      </w:r>
    </w:p>
    <w:p>
      <w:pPr>
        <w:pStyle w:val="Heading3"/>
      </w:pPr>
      <w:bookmarkStart w:id="2163" w:name="_Toc1423"/>
      <w:r>
        <w:t>• تاریخ ترکی (ترجمه) / تاریخ / فارسی</w:t>
      </w:r>
      <w:bookmarkEnd w:id="2163"/>
    </w:p>
    <w:p>
      <w:pPr>
        <w:pStyle w:val="BookText"/>
      </w:pPr>
      <w:r>
        <w:rPr>
          <w:rFonts w:ascii="Times New Roman" w:hAnsi="Times New Roman" w:eastAsia="Times New Roman" w:cs="Times New Roman"/>
          <w:lang w:val="en-US" w:bidi="en-US"/>
          <w:color w:val="111111"/>
          <w:sz w:val="28"/>
          <w:szCs w:val="28"/>
          <w:rtl/>
        </w:rPr>
        <w:t xml:space="preserve">tārīx-e torkī (t.)</w:t>
      </w:r>
    </w:p>
    <w:p>
      <w:pPr>
        <w:pStyle w:val="BookText"/>
      </w:pPr>
      <w:r>
        <w:rPr>
          <w:rFonts w:ascii="IRNazanin" w:hAnsi="IRNazanin" w:eastAsia="IRNazanin" w:cs="IRNazanin"/>
          <w:lang w:bidi="fa-IR"/>
          <w:color w:val="111111"/>
          <w:sz w:val="28"/>
          <w:szCs w:val="28"/>
          <w:rtl/>
        </w:rPr>
        <w:t xml:space="preserve">سلانیکی، مصطفی افندی،-۱۰۱۰ قمری</w:t>
      </w:r>
    </w:p>
    <w:p>
      <w:pPr>
        <w:pStyle w:val="BookText"/>
      </w:pPr>
      <w:r>
        <w:rPr>
          <w:rFonts w:ascii="Times New Roman" w:hAnsi="Times New Roman" w:eastAsia="Times New Roman" w:cs="Times New Roman"/>
          <w:lang w:val="en-US" w:bidi="en-US"/>
          <w:color w:val="111111"/>
          <w:sz w:val="28"/>
          <w:szCs w:val="28"/>
          <w:rtl/>
        </w:rPr>
        <w:t xml:space="preserve">salānīkī, mostafā afandī (-1602)</w:t>
      </w:r>
    </w:p>
    <w:p>
      <w:pPr>
        <w:pStyle w:val="BookText"/>
      </w:pPr>
      <w:r>
        <w:rPr>
          <w:rFonts w:ascii="IRNazanin" w:hAnsi="IRNazanin" w:eastAsia="IRNazanin" w:cs="IRNazanin"/>
          <w:lang w:bidi="fa-IR"/>
          <w:color w:val="111111"/>
          <w:sz w:val="28"/>
          <w:szCs w:val="28"/>
          <w:rtl/>
        </w:rPr>
        <w:t xml:space="preserve">تاريخ تأليف: ۱۲۸۲ق تاریخ و حوادث روزگار و واقعات دوران سلطنت سلطان سلیمان عثمانی است که به امر ناصرالدین شاه قاجار به فارسی ترجمه شده است و به نظر می رسد که کاتب همان مترجم نسخه است.</w:t>
      </w:r>
    </w:p>
    <w:p>
      <w:pPr>
        <w:pStyle w:val="BookText"/>
      </w:pPr>
      <w:r>
        <w:rPr>
          <w:rFonts w:ascii="IRNazanin" w:hAnsi="IRNazanin" w:eastAsia="IRNazanin" w:cs="IRNazanin"/>
          <w:lang w:bidi="fa-IR"/>
          <w:color w:val="111111"/>
          <w:sz w:val="28"/>
          <w:szCs w:val="28"/>
          <w:rtl/>
        </w:rPr>
        <w:t xml:space="preserve">تهران؛ سلطنتی؛ شماره نسخه:۷۲۸</w:t>
      </w:r>
    </w:p>
    <w:p>
      <w:pPr>
        <w:pStyle w:val="BookText"/>
      </w:pPr>
      <w:r>
        <w:rPr>
          <w:rFonts w:ascii="IRNazanin" w:hAnsi="IRNazanin" w:eastAsia="IRNazanin" w:cs="IRNazanin"/>
          <w:lang w:bidi="fa-IR"/>
          <w:color w:val="111111"/>
          <w:sz w:val="28"/>
          <w:szCs w:val="28"/>
          <w:rtl/>
        </w:rPr>
        <w:t xml:space="preserve">آغاز: آغاز مقدمه: بسم الله الرحمن الرحيم الحمد الله الذي لم يورخ قدم ذاته و لم ينسخ عظم صفاته ... اما بعد در این اوان.. ناصرالدین شاه قاجار ... حسب الامر اقدس اعلى ... این جان نثار ... حسن ابن علی را فرمان داد که این تاریخ ترکی العباره بعبارت فارسی ... ترجمه نماید ... الى آخر.</w:t>
      </w:r>
    </w:p>
    <w:p>
      <w:pPr>
        <w:pStyle w:val="BookText"/>
      </w:pPr>
      <w:r>
        <w:rPr>
          <w:rFonts w:ascii="IRNazanin" w:hAnsi="IRNazanin" w:eastAsia="IRNazanin" w:cs="IRNazanin"/>
          <w:lang w:bidi="fa-IR"/>
          <w:color w:val="111111"/>
          <w:sz w:val="28"/>
          <w:szCs w:val="28"/>
          <w:rtl/>
        </w:rPr>
        <w:t xml:space="preserve">آغاز متن تاریخ: بسمله -دفتر حوادث روزگار و واقعات دوران که در زمان سلطنت سلطان سلیمان خان خلدالله خلافته واقع شده در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424" w:name="pg20363_209726"/>
    <w:bookmarkEnd w:id="424"/>
    <w:p>
      <w:pPr>
        <w:pStyle w:val="BookText"/>
      </w:pPr>
      <w:r>
        <w:rPr>
          <w:rFonts w:ascii="IRNazanin" w:hAnsi="IRNazanin" w:eastAsia="IRNazanin" w:cs="IRNazanin"/>
          <w:lang w:bidi="fa-IR"/>
          <w:color w:val="111111"/>
          <w:sz w:val="28"/>
          <w:szCs w:val="28"/>
          <w:rtl/>
        </w:rPr>
        <w:t xml:space="preserve">این پریشان اوراق ثبت نموده ... حرره في أوائل شهر صفر ۹۷۱ در تاریخ سلخ محرم الحرام و غره صفر المظفر نهصد و هفتاد و یک؛ انجام: چاپ کننده تاریخ یغما با تفصيل محرر است از طبع باقی دیگر صرف نظر گردید ... تمة الكتاب بعون الله الملک الوهاب في پانزدهم شهر رمضان المبارک ۱۲۸۲.</w:t>
      </w:r>
    </w:p>
    <w:p>
      <w:pPr>
        <w:pStyle w:val="BookText"/>
      </w:pPr>
      <w:r>
        <w:rPr>
          <w:rFonts w:ascii="IRNazanin" w:hAnsi="IRNazanin" w:eastAsia="IRNazanin" w:cs="IRNazanin"/>
          <w:lang w:bidi="fa-IR"/>
          <w:color w:val="111111"/>
          <w:sz w:val="28"/>
          <w:szCs w:val="28"/>
          <w:rtl/>
        </w:rPr>
        <w:t xml:space="preserve">خط: نستعلیق، کاتب = مؤلف، تا: ۱۲۸۲ق؛ مجدول، مذهب، کمنددار، سه سرلوح، دارای تذهیب و ترصيع ممتاز؛ کاغذ: فرنگی نخودی رنگ آهار مهره، جلد: مقوای روکش چرم مشکی، ۳۲۱ص، ۱۷ سطر، اندازه: ۳۶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 سم [ف: ۵-۴۹]</w:t>
      </w:r>
    </w:p>
    <w:p>
      <w:pPr>
        <w:pStyle w:val="BookText"/>
      </w:pPr>
      <w:r>
        <w:rPr>
          <w:rFonts w:ascii="IRNazanin" w:hAnsi="IRNazanin" w:eastAsia="IRNazanin" w:cs="IRNazanin"/>
          <w:lang w:bidi="fa-IR"/>
          <w:color w:val="111111"/>
          <w:sz w:val="28"/>
          <w:szCs w:val="28"/>
          <w:rtl/>
        </w:rPr>
        <w:t xml:space="preserve">← تاریخ تقویمی ← تاریخ سیاقی</w:t>
      </w:r>
    </w:p>
    <w:p>
      <w:pPr>
        <w:pStyle w:val="BookText"/>
      </w:pPr>
      <w:r>
        <w:rPr>
          <w:rFonts w:ascii="IRNazanin" w:hAnsi="IRNazanin" w:eastAsia="IRNazanin" w:cs="IRNazanin"/>
          <w:lang w:bidi="fa-IR"/>
          <w:color w:val="111111"/>
          <w:sz w:val="28"/>
          <w:szCs w:val="28"/>
          <w:rtl/>
        </w:rPr>
        <w:t xml:space="preserve">← تاریخ تقویمی ← تقويم التواریخ (ترجمه)</w:t>
      </w:r>
    </w:p>
    <w:p>
      <w:pPr>
        <w:pStyle w:val="BookText"/>
      </w:pPr>
      <w:r>
        <w:rPr>
          <w:rFonts w:ascii="IRNazanin" w:hAnsi="IRNazanin" w:eastAsia="IRNazanin" w:cs="IRNazanin"/>
          <w:lang w:bidi="fa-IR"/>
          <w:color w:val="111111"/>
          <w:sz w:val="28"/>
          <w:szCs w:val="28"/>
          <w:rtl/>
        </w:rPr>
        <w:t xml:space="preserve">← تاریخ تقویمی ←مجمل التواريخ</w:t>
      </w:r>
    </w:p>
    <w:p>
      <w:pPr>
        <w:pStyle w:val="Heading3"/>
      </w:pPr>
      <w:bookmarkStart w:id="2164" w:name="_Toc1424"/>
      <w:r>
        <w:t>• تاریخ تمدن / تاریخ / فارسی</w:t>
      </w:r>
      <w:bookmarkEnd w:id="2164"/>
    </w:p>
    <w:p>
      <w:pPr>
        <w:pStyle w:val="BookText"/>
      </w:pPr>
      <w:r>
        <w:rPr>
          <w:rFonts w:ascii="Times New Roman" w:hAnsi="Times New Roman" w:eastAsia="Times New Roman" w:cs="Times New Roman"/>
          <w:lang w:val="en-US" w:bidi="en-US"/>
          <w:color w:val="111111"/>
          <w:sz w:val="28"/>
          <w:szCs w:val="28"/>
          <w:rtl/>
        </w:rPr>
        <w:t xml:space="preserve">tārīx-e tamaddon</w:t>
      </w:r>
    </w:p>
    <w:p>
      <w:pPr>
        <w:pStyle w:val="BookText"/>
      </w:pPr>
      <w:r>
        <w:rPr>
          <w:rFonts w:ascii="IRNazanin" w:hAnsi="IRNazanin" w:eastAsia="IRNazanin" w:cs="IRNazanin"/>
          <w:lang w:bidi="fa-IR"/>
          <w:color w:val="111111"/>
          <w:sz w:val="28"/>
          <w:szCs w:val="28"/>
          <w:rtl/>
        </w:rPr>
        <w:t xml:space="preserve">ایمن، ایرج</w:t>
      </w:r>
    </w:p>
    <w:p>
      <w:pPr>
        <w:pStyle w:val="BookText"/>
      </w:pPr>
      <w:r>
        <w:rPr>
          <w:rFonts w:ascii="Times New Roman" w:hAnsi="Times New Roman" w:eastAsia="Times New Roman" w:cs="Times New Roman"/>
          <w:lang w:val="en-US" w:bidi="en-US"/>
          <w:color w:val="111111"/>
          <w:sz w:val="28"/>
          <w:szCs w:val="28"/>
          <w:rtl/>
        </w:rPr>
        <w:t xml:space="preserve">īman, īraj</w:t>
      </w:r>
    </w:p>
    <w:p>
      <w:pPr>
        <w:pStyle w:val="BookText"/>
      </w:pPr>
      <w:r>
        <w:rPr>
          <w:rFonts w:ascii="IRNazanin" w:hAnsi="IRNazanin" w:eastAsia="IRNazanin" w:cs="IRNazanin"/>
          <w:lang w:bidi="fa-IR"/>
          <w:color w:val="111111"/>
          <w:sz w:val="28"/>
          <w:szCs w:val="28"/>
          <w:rtl/>
        </w:rPr>
        <w:t xml:space="preserve">یادداشت هایی است از درس جناب آقای رهنما برای ششم ادبی دبیرستان فیروز بهرام سال ۱۳۲۴ ۱۳۲۵ شمسی</w:t>
      </w:r>
    </w:p>
    <w:p>
      <w:pPr>
        <w:pStyle w:val="BookText"/>
      </w:pPr>
      <w:r>
        <w:rPr>
          <w:rFonts w:ascii="IRNazanin" w:hAnsi="IRNazanin" w:eastAsia="IRNazanin" w:cs="IRNazanin"/>
          <w:lang w:bidi="fa-IR"/>
          <w:color w:val="111111"/>
          <w:sz w:val="28"/>
          <w:szCs w:val="28"/>
          <w:rtl/>
        </w:rPr>
        <w:t xml:space="preserve">قم؛ مسجد اعظم، شماره نسخه:۳۸۵۴</w:t>
      </w:r>
    </w:p>
    <w:p>
      <w:pPr>
        <w:pStyle w:val="BookText"/>
      </w:pPr>
      <w:r>
        <w:rPr>
          <w:rFonts w:ascii="IRNazanin" w:hAnsi="IRNazanin" w:eastAsia="IRNazanin" w:cs="IRNazanin"/>
          <w:lang w:bidi="fa-IR"/>
          <w:color w:val="111111"/>
          <w:sz w:val="28"/>
          <w:szCs w:val="28"/>
          <w:rtl/>
        </w:rPr>
        <w:t xml:space="preserve">آغاز: بطوری که آگاهیم بیداری افکار در اروپا خیلی زودتر از سایر نقاط عالم شروع گردیده و در نتیجه پیدایش صنایع و کارخانه جات جدید تحولاتی تازه در اوضاع اجتماعی دول روی داده؛ انجام: در همین دوره به تدریج قبائل مختلف به داد و ستد پرداختند و همچنین دهات و قصبات کوچکی بنا نهادند که مرحله شهرنشینی دنباله همان تمدن کشاورزی است که در این دوره بشر برای رفت و آمد و استفاده از افکار</w:t>
      </w:r>
    </w:p>
    <w:p>
      <w:pPr>
        <w:pStyle w:val="BookText"/>
      </w:pPr>
      <w:r>
        <w:rPr>
          <w:rFonts w:ascii="IRNazanin" w:hAnsi="IRNazanin" w:eastAsia="IRNazanin" w:cs="IRNazanin"/>
          <w:lang w:bidi="fa-IR"/>
          <w:color w:val="111111"/>
          <w:sz w:val="28"/>
          <w:szCs w:val="28"/>
          <w:rtl/>
        </w:rPr>
        <w:t xml:space="preserve">خط: تحریری، کاتب = مؤلف، تا: ۱۳۲۴-۱۳۲۵ش؛ جلد: مقوا، ۵۲گ، مختلف السطر،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إف مخ: ۱-۳۰۸]</w:t>
      </w:r>
    </w:p>
    <w:p>
      <w:pPr>
        <w:pStyle w:val="Heading3"/>
      </w:pPr>
      <w:bookmarkStart w:id="2165" w:name="_Toc1425"/>
      <w:r>
        <w:t>•تاریخ تمدن جدید اروپا و ایران / تاریخ / فارسی</w:t>
      </w:r>
      <w:bookmarkEnd w:id="2165"/>
    </w:p>
    <w:p>
      <w:pPr>
        <w:pStyle w:val="BookText"/>
      </w:pPr>
      <w:r>
        <w:rPr>
          <w:rFonts w:ascii="Times New Roman" w:hAnsi="Times New Roman" w:eastAsia="Times New Roman" w:cs="Times New Roman"/>
          <w:lang w:val="en-US" w:bidi="en-US"/>
          <w:color w:val="111111"/>
          <w:sz w:val="28"/>
          <w:szCs w:val="28"/>
          <w:rtl/>
        </w:rPr>
        <w:t xml:space="preserve">tārīx-e tamaddon-e jadīd-e orūpā va īrān</w:t>
      </w:r>
    </w:p>
    <w:p>
      <w:pPr>
        <w:pStyle w:val="BookText"/>
      </w:pPr>
      <w:r>
        <w:rPr>
          <w:rFonts w:ascii="IRNazanin" w:hAnsi="IRNazanin" w:eastAsia="IRNazanin" w:cs="IRNazanin"/>
          <w:lang w:bidi="fa-IR"/>
          <w:color w:val="111111"/>
          <w:sz w:val="28"/>
          <w:szCs w:val="28"/>
          <w:rtl/>
        </w:rPr>
        <w:t xml:space="preserve">جزوه درسی یکی از دانش جویان که در زمینه تمدن جدید، آزادی افکار، سرمایه داری و مسائل مربوط به پول و بانک و انجمن ها و مجلات علمی اروپا، بحران های سیاسی و اقتصادی دنیا و تاریخ معاصر ایران نگاشته شده است.</w:t>
      </w:r>
    </w:p>
    <w:p>
      <w:pPr>
        <w:pStyle w:val="BookText"/>
      </w:pPr>
      <w:r>
        <w:rPr>
          <w:rFonts w:ascii="IRNazanin" w:hAnsi="IRNazanin" w:eastAsia="IRNazanin" w:cs="IRNazanin"/>
          <w:lang w:bidi="fa-IR"/>
          <w:color w:val="111111"/>
          <w:sz w:val="28"/>
          <w:szCs w:val="28"/>
          <w:rtl/>
        </w:rPr>
        <w:t xml:space="preserve">قم؛ مسجد اعظم؛ شماره نسخه:۲۳۲۰</w:t>
      </w:r>
    </w:p>
    <w:p>
      <w:pPr>
        <w:pStyle w:val="BookText"/>
      </w:pPr>
      <w:r>
        <w:rPr>
          <w:rFonts w:ascii="IRNazanin" w:hAnsi="IRNazanin" w:eastAsia="IRNazanin" w:cs="IRNazanin"/>
          <w:lang w:bidi="fa-IR"/>
          <w:color w:val="111111"/>
          <w:sz w:val="28"/>
          <w:szCs w:val="28"/>
          <w:rtl/>
        </w:rPr>
        <w:t xml:space="preserve">آغاز: تاریخ تمدن: تعریف تاریخ: تاریخ عبارتست از شرح وقایع گذشته و اتفاقاتی که برای نوع بشر رخ داده؛ انجام: قابل خواندن نیست جزوه درسی؛ خط: نستعلیق، کاتب = مؤلف، تا: ۱۳۲۷ق؛ جلد: مقوا آبی با عطف پارچه سیاه، ۲۶۰گ، ۱۴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إف مخ: ۱-۳۰۹]</w:t>
      </w:r>
    </w:p>
    <w:p>
      <w:pPr>
        <w:pStyle w:val="Heading3"/>
      </w:pPr>
      <w:bookmarkStart w:id="2166" w:name="_Toc1426"/>
      <w:r>
        <w:t>•تاریخ تنباکو د تاریخ تحریم تنباکو = تاریخ الدخانیه / تاریخ ایران / فارسی</w:t>
      </w:r>
      <w:bookmarkEnd w:id="2166"/>
    </w:p>
    <w:p>
      <w:pPr>
        <w:pStyle w:val="BookText"/>
      </w:pPr>
      <w:r>
        <w:rPr>
          <w:rFonts w:ascii="Times New Roman" w:hAnsi="Times New Roman" w:eastAsia="Times New Roman" w:cs="Times New Roman"/>
          <w:lang w:val="en-US" w:bidi="en-US"/>
          <w:color w:val="111111"/>
          <w:sz w:val="28"/>
          <w:szCs w:val="28"/>
          <w:rtl/>
        </w:rPr>
        <w:t xml:space="preserve">tārīx-e tanbākū = tārīx-e tahrīm-e tanbākū = tārīx-od doxānīye</w:t>
      </w:r>
    </w:p>
    <w:p>
      <w:pPr>
        <w:pStyle w:val="BookText"/>
      </w:pPr>
      <w:r>
        <w:rPr>
          <w:rFonts w:ascii="IRNazanin" w:hAnsi="IRNazanin" w:eastAsia="IRNazanin" w:cs="IRNazanin"/>
          <w:lang w:bidi="fa-IR"/>
          <w:color w:val="111111"/>
          <w:sz w:val="28"/>
          <w:szCs w:val="28"/>
          <w:rtl/>
        </w:rPr>
        <w:t xml:space="preserve">کربلائی، حسن، - ۱۳۲۰ ؟ قمری</w:t>
      </w:r>
    </w:p>
    <w:p>
      <w:pPr>
        <w:pStyle w:val="BookText"/>
      </w:pPr>
      <w:r>
        <w:rPr>
          <w:rFonts w:ascii="Times New Roman" w:hAnsi="Times New Roman" w:eastAsia="Times New Roman" w:cs="Times New Roman"/>
          <w:lang w:val="en-US" w:bidi="en-US"/>
          <w:color w:val="111111"/>
          <w:sz w:val="28"/>
          <w:szCs w:val="28"/>
          <w:rtl/>
        </w:rPr>
        <w:t xml:space="preserve">karbalā'ī, hasan (-1902)</w:t>
      </w:r>
    </w:p>
    <w:p>
      <w:pPr>
        <w:pStyle w:val="BookText"/>
      </w:pPr>
      <w:r>
        <w:rPr>
          <w:rFonts w:ascii="IRNazanin" w:hAnsi="IRNazanin" w:eastAsia="IRNazanin" w:cs="IRNazanin"/>
          <w:lang w:bidi="fa-IR"/>
          <w:color w:val="111111"/>
          <w:sz w:val="28"/>
          <w:szCs w:val="28"/>
          <w:rtl/>
        </w:rPr>
        <w:t xml:space="preserve">تاريخ تأليف: ۱۳۱۰ق؛ محل تأليف: سامره گزارشی از جریان امتیاز تنباکو دادن ناصرالدین شاه قاجار در سال ۱۳۰۹ به انگلیس ها و تحریم نمودن میرزا محمد حسن مجدد شیرازی استعمال دخانیات را که منجر به لغو امتیاز گردید. این کتاب اسناد و مدارک مهمی از این قضیه در بردارد و شایان تحقیق و بررسی تاریخی می باشد. آغاز: یا مبتدئا بالنعم قبل استحقاقها لك الحمد كثيرا ... ای خدای بخشنده مهربان چون من نادان و ناتوانی را کجا سرزد پیرامون ستایش و ثنای تو گردد انجام: انجام رساله را نیز بنقل يک چند آیت و روایت مسکی الختام گردانیم ... چاپ: چاپ دهکان، ۱۳۳۳ش؛ به کوشش رسول جعفریان، سده</w:t>
      </w:r>
    </w:p>
    <w:p>
      <w:pPr>
        <w:pStyle w:val="BookText"/>
      </w:pPr>
      <w:r>
        <w:rPr>
          <w:rFonts w:ascii="IRNazanin" w:hAnsi="IRNazanin" w:eastAsia="IRNazanin" w:cs="IRNazanin"/>
          <w:lang w:bidi="fa-IR"/>
          <w:color w:val="111111"/>
          <w:sz w:val="28"/>
          <w:szCs w:val="28"/>
          <w:rtl/>
        </w:rPr>
        <w:t xml:space="preserve">تحریم تنباکو، تهران، ۱۳۷۳: ص ۱-۲۲۹ (قسمت دوم از کتاب)</w:t>
      </w:r>
    </w:p>
    <w:p>
      <w:pPr>
        <w:pStyle w:val="BookText"/>
      </w:pPr>
      <w:r>
        <w:rPr>
          <w:rFonts w:ascii="IRNazanin" w:hAnsi="IRNazanin" w:eastAsia="IRNazanin" w:cs="IRNazanin"/>
          <w:lang w:bidi="fa-IR"/>
          <w:color w:val="111111"/>
          <w:sz w:val="28"/>
          <w:szCs w:val="28"/>
          <w:rtl/>
        </w:rPr>
        <w:t xml:space="preserve">[دنا ۶۹۱/۲ ؛ فهرستواره منزوی ۸۵۶/۲ و ۸۶۴]</w:t>
      </w:r>
    </w:p>
    <w:p>
      <w:pPr>
        <w:pStyle w:val="BookText"/>
      </w:pPr>
      <w:r>
        <w:rPr>
          <w:rFonts w:ascii="IRNazanin" w:hAnsi="IRNazanin" w:eastAsia="IRNazanin" w:cs="IRNazanin"/>
          <w:lang w:bidi="fa-IR"/>
          <w:color w:val="111111"/>
          <w:sz w:val="28"/>
          <w:szCs w:val="28"/>
          <w:rtl/>
        </w:rPr>
        <w:t xml:space="preserve">۱. قم؛ مرعشی؛ شماره نسخه:۷۵۳۰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علی بن محمد رضا طباطبائی تبریزی، تا: شعبان ۱۳۴۶ق، جا: نجف اشرف؛ جلد: تیماج زرد بدون مقوا، ۱۲۴گ، مختلف السطر،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۱۹-۳۳۶]</w:t>
      </w:r>
    </w:p>
    <w:p>
      <w:pPr>
        <w:pStyle w:val="BookText"/>
      </w:pPr>
      <w:r>
        <w:rPr>
          <w:rFonts w:ascii="IRNazanin" w:hAnsi="IRNazanin" w:eastAsia="IRNazanin" w:cs="IRNazanin"/>
          <w:lang w:bidi="fa-IR"/>
          <w:color w:val="111111"/>
          <w:sz w:val="28"/>
          <w:szCs w:val="28"/>
          <w:rtl/>
        </w:rPr>
        <w:t xml:space="preserve">۲. قم، مؤسسه آية الله بروجردی؛ شماره نسخه:۴۰۸</w:t>
      </w:r>
    </w:p>
    <w:p>
      <w:pPr>
        <w:pStyle w:val="BookText"/>
      </w:pPr>
      <w:r>
        <w:rPr>
          <w:rFonts w:ascii="IRNazanin" w:hAnsi="IRNazanin" w:eastAsia="IRNazanin" w:cs="IRNazanin"/>
          <w:lang w:bidi="fa-IR"/>
          <w:color w:val="111111"/>
          <w:sz w:val="28"/>
          <w:szCs w:val="28"/>
          <w:rtl/>
        </w:rPr>
        <w:t xml:space="preserve">آغاز: برابر خط: نسخ، كان شريف الكتاب على رضوی قمی، تا: یک شنبه هفته دوم ذیحجه ۱۳۴۷ ق، به دستور حاج میرزا عبدالحسین صاحب الداری)؛ مجدول؛ تملك: عبد الحسين بن علی بن محمد على بروجردی صاحب الداری عراقی؛ جلد: مقوایی عطف پارچه، ۱۱۷گ، ۱۶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۲-۲۵۸]</w:t>
      </w:r>
    </w:p>
    <w:p>
      <w:pPr>
        <w:pStyle w:val="BookText"/>
      </w:pPr>
      <w:r>
        <w:rPr>
          <w:rFonts w:ascii="IRNazanin" w:hAnsi="IRNazanin" w:eastAsia="IRNazanin" w:cs="IRNazanin"/>
          <w:lang w:bidi="fa-IR"/>
          <w:color w:val="111111"/>
          <w:sz w:val="28"/>
          <w:szCs w:val="28"/>
          <w:rtl/>
        </w:rPr>
        <w:t xml:space="preserve">٣. قم؛ مرعشی؛ شماره نسخه:۱۰۹۰۵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جمال الدین بن محمد حسن نجفی نائینی، تا: چهارشنبه ۲۶ صفر ۱۳۵۶ق؛ جلد: مقوایی عطف پارچه قرمز، ۸۱گ، ۲۱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۲۷-۳۲۲]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425" w:name="pg20363_209727"/>
    <w:bookmarkEnd w:id="425"/>
    <w:p>
      <w:pPr>
        <w:pStyle w:val="Heading3"/>
      </w:pPr>
      <w:bookmarkStart w:id="2167" w:name="_Toc1427"/>
      <w:r>
        <w:t>•تاریخ تنزل و خرابی دولت روم / تاریخ جهان / فارسی</w:t>
      </w:r>
      <w:bookmarkEnd w:id="2167"/>
    </w:p>
    <w:p>
      <w:pPr>
        <w:pStyle w:val="BookText"/>
      </w:pPr>
      <w:r>
        <w:rPr>
          <w:rFonts w:ascii="Times New Roman" w:hAnsi="Times New Roman" w:eastAsia="Times New Roman" w:cs="Times New Roman"/>
          <w:lang w:val="en-US" w:bidi="en-US"/>
          <w:color w:val="111111"/>
          <w:sz w:val="28"/>
          <w:szCs w:val="28"/>
          <w:rtl/>
        </w:rPr>
        <w:t xml:space="preserve">tārīx-e tanazzol va xarābī-ye dowlat-e rūm</w:t>
      </w:r>
    </w:p>
    <w:p>
      <w:pPr>
        <w:pStyle w:val="BookText"/>
      </w:pPr>
      <w:r>
        <w:rPr>
          <w:rFonts w:ascii="IRNazanin" w:hAnsi="IRNazanin" w:eastAsia="IRNazanin" w:cs="IRNazanin"/>
          <w:lang w:bidi="fa-IR"/>
          <w:color w:val="111111"/>
          <w:sz w:val="28"/>
          <w:szCs w:val="28"/>
          <w:rtl/>
        </w:rPr>
        <w:t xml:space="preserve">مهندس تبریزی، محمد رضا، ۱۲۹۹ قمری</w:t>
      </w:r>
    </w:p>
    <w:p>
      <w:pPr>
        <w:pStyle w:val="BookText"/>
      </w:pPr>
      <w:r>
        <w:rPr>
          <w:rFonts w:ascii="Times New Roman" w:hAnsi="Times New Roman" w:eastAsia="Times New Roman" w:cs="Times New Roman"/>
          <w:lang w:val="en-US" w:bidi="en-US"/>
          <w:color w:val="111111"/>
          <w:sz w:val="28"/>
          <w:szCs w:val="28"/>
          <w:rtl/>
        </w:rPr>
        <w:t xml:space="preserve">mohandes-e tabrīzī, mohammad rezā (-1882)</w:t>
      </w:r>
    </w:p>
    <w:p>
      <w:pPr>
        <w:pStyle w:val="BookText"/>
      </w:pPr>
      <w:r>
        <w:rPr>
          <w:rFonts w:ascii="IRNazanin" w:hAnsi="IRNazanin" w:eastAsia="IRNazanin" w:cs="IRNazanin"/>
          <w:lang w:bidi="fa-IR"/>
          <w:color w:val="111111"/>
          <w:sz w:val="28"/>
          <w:szCs w:val="28"/>
          <w:rtl/>
        </w:rPr>
        <w:t xml:space="preserve">تاریخ تأليف: ۱۲۴۷ق از: گیبان (= گیبون). این کتاب که از معروف ترین تاریخ های راجع به روم قدیم است با تشریح وضع جغرافیایی روم آغاز می گردد و پس از شرح مفصلی از تاریخ آن کشور به ذکر قحطی ای که در آن سرزمین اتفاق افتاده می پردازد و با ذکر آن نسخه انجام می پذیرد.</w:t>
      </w:r>
    </w:p>
    <w:p>
      <w:pPr>
        <w:pStyle w:val="BookText"/>
      </w:pPr>
      <w:r>
        <w:rPr>
          <w:rFonts w:ascii="IRNazanin" w:hAnsi="IRNazanin" w:eastAsia="IRNazanin" w:cs="IRNazanin"/>
          <w:lang w:bidi="fa-IR"/>
          <w:color w:val="111111"/>
          <w:sz w:val="28"/>
          <w:szCs w:val="28"/>
          <w:rtl/>
        </w:rPr>
        <w:t xml:space="preserve">تهران؛ ملی؛ شماره نسخه:۶۶</w:t>
      </w:r>
    </w:p>
    <w:p>
      <w:pPr>
        <w:pStyle w:val="BookText"/>
      </w:pPr>
      <w:r>
        <w:rPr>
          <w:rFonts w:ascii="IRNazanin" w:hAnsi="IRNazanin" w:eastAsia="IRNazanin" w:cs="IRNazanin"/>
          <w:lang w:bidi="fa-IR"/>
          <w:color w:val="111111"/>
          <w:sz w:val="28"/>
          <w:szCs w:val="28"/>
          <w:rtl/>
        </w:rPr>
        <w:t xml:space="preserve">آغاز: جلد اول تاریخ تنزل دولت روم مشتمل است بر ده فصل فصل اول در بیان وسعت و لشکر مملکت روم در عهد سلطنت این دو سلطان عادل؛ انجام: خلاصه کلام باین طریق دولت و مملکت روم روز بروز روی در تنزل نهاده بود. آخر نسخه: جلد اول بعون ملک ازل و ابد در دويم شهر رمضان المبارک من شهور سنه هزار و دویست و چهل و هفت هجری در دارالصفای خوی با تمام رسید. جلد اول؛ خط: نستعلیق، کاتب = مؤلف، تا: ۲ رمضان ۱۲۴۷ق، جان خوی؛ قبل از فهرست یک صفحه وجود دارد که می رساند صفحه قبل آن افتاده است و در این صفحه مترجم سبب آشنایی خود را با عباس میرزا ذکر می کند و می گوید: «من بنده و خدمتگزار شاهزاده جهانگیر میرزا بوده ام و در زمان حکومت جهانگیر میرزا در خوی این کتاب از انگلیسی ترجمه شد و بصحابت محمد حسن بیک بخراسان نزد ولیعهد فرستاده شد»؛ کاغذ: فرنگی فستقی، جلد: تیماج قرمز، ۲۶۷ گ، ۱۶ سطر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۲۹/۲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۱۹/۲ سم [ف: ۱-۵۶]</w:t>
      </w:r>
    </w:p>
    <w:p>
      <w:pPr>
        <w:pStyle w:val="Heading3"/>
      </w:pPr>
      <w:bookmarkStart w:id="2168" w:name="_Toc1428"/>
      <w:r>
        <w:t>•تاریخ تولد / تاریخ / فارسی</w:t>
      </w:r>
      <w:bookmarkEnd w:id="2168"/>
    </w:p>
    <w:p>
      <w:pPr>
        <w:pStyle w:val="BookText"/>
      </w:pPr>
      <w:r>
        <w:rPr>
          <w:rFonts w:ascii="Times New Roman" w:hAnsi="Times New Roman" w:eastAsia="Times New Roman" w:cs="Times New Roman"/>
          <w:lang w:val="en-US" w:bidi="en-US"/>
          <w:color w:val="111111"/>
          <w:sz w:val="28"/>
          <w:szCs w:val="28"/>
          <w:rtl/>
        </w:rPr>
        <w:t xml:space="preserve">tārīx-e tavallod</w:t>
      </w:r>
    </w:p>
    <w:p>
      <w:pPr>
        <w:pStyle w:val="BookText"/>
      </w:pPr>
      <w:r>
        <w:rPr>
          <w:rFonts w:ascii="IRNazanin" w:hAnsi="IRNazanin" w:eastAsia="IRNazanin" w:cs="IRNazanin"/>
          <w:lang w:bidi="fa-IR"/>
          <w:color w:val="111111"/>
          <w:sz w:val="28"/>
          <w:szCs w:val="28"/>
          <w:rtl/>
        </w:rPr>
        <w:t xml:space="preserve">غیر همانند: 1. تهران، دانشگاه؛ شماره نسخه: ۶۹۵۵/۲</w:t>
      </w:r>
    </w:p>
    <w:p>
      <w:pPr>
        <w:pStyle w:val="BookText"/>
      </w:pPr>
      <w:r>
        <w:rPr>
          <w:rFonts w:ascii="IRNazanin" w:hAnsi="IRNazanin" w:eastAsia="IRNazanin" w:cs="IRNazanin"/>
          <w:lang w:bidi="fa-IR"/>
          <w:color w:val="111111"/>
          <w:sz w:val="28"/>
          <w:szCs w:val="28"/>
          <w:rtl/>
        </w:rPr>
        <w:t xml:space="preserve">تاریخ تولد شیخ بهائی در غروب آفتاب روز چهارشنبه ۲۷ ذیحجه ۹۵۳ به نقل از روی خط پدر او و تاریخ مرگ او در ۱۱ شوال ۱۰۳۰ و تاریخ تولد شهید ثانی در ۹۱۱ و مرگش در ۹۶۵ به نقل از خط پدر بهائی و تاریخ تولد پدر بهائی در روز ۱ محرم ۹۱۸ و مرگش پس از ۶۶ سال و دو ماه و هفت روز در ۱۸ ربیع الاول ۹۸۴ از روی خط شیخ بهائی؛ خط: نستعلیق، بی کا، تا: قرن ۱۱؛ کاغذ: سپاهانی، جلد: تیماج آلبالویی مقوایی عطف مشکی، ۱۵</w:t>
      </w:r>
    </w:p>
    <w:p>
      <w:pPr>
        <w:pStyle w:val="BookText"/>
      </w:pPr>
      <w:r>
        <w:rPr>
          <w:rFonts w:ascii="IRNazanin" w:hAnsi="IRNazanin" w:eastAsia="IRNazanin" w:cs="IRNazanin"/>
          <w:lang w:bidi="fa-IR"/>
          <w:color w:val="111111"/>
          <w:sz w:val="28"/>
          <w:szCs w:val="28"/>
          <w:rtl/>
        </w:rPr>
        <w:t xml:space="preserve">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۱۶-۴۰۹]</w:t>
      </w:r>
    </w:p>
    <w:p>
      <w:pPr>
        <w:pStyle w:val="BookText"/>
      </w:pPr>
      <w:r>
        <w:rPr>
          <w:rFonts w:ascii="IRNazanin" w:hAnsi="IRNazanin" w:eastAsia="IRNazanin" w:cs="IRNazanin"/>
          <w:lang w:bidi="fa-IR"/>
          <w:color w:val="111111"/>
          <w:sz w:val="28"/>
          <w:szCs w:val="28"/>
          <w:rtl/>
        </w:rPr>
        <w:t xml:space="preserve">۲. تهران؛ مجلس؛ شماره نسخه: ۸۹۷۱/۲۰</w:t>
      </w:r>
    </w:p>
    <w:p>
      <w:pPr>
        <w:pStyle w:val="BookText"/>
      </w:pPr>
      <w:r>
        <w:rPr>
          <w:rFonts w:ascii="IRNazanin" w:hAnsi="IRNazanin" w:eastAsia="IRNazanin" w:cs="IRNazanin"/>
          <w:lang w:bidi="fa-IR"/>
          <w:color w:val="111111"/>
          <w:sz w:val="28"/>
          <w:szCs w:val="28"/>
          <w:rtl/>
        </w:rPr>
        <w:t xml:space="preserve">سه تاریخ تولد، مربوط به سه فرزند محمد رحیم خان بن حاجی اسمعیل خان قاجار به نام های محمود و محمد حسن و محمد محسن در سال های ۱۲۴۶ و ۱۲۴۸ و ۱۲۵۴ق، با شرح و توضیح احوال اجرام آسمانی و زندگی اجتماعی خودش. نوشته شده در شنبه ۵ صفر و ۱۸ شوال ۱۲۵۵ ق به خط محمدرحیم خان؛ خط : نستعلیق، بی کا، تا: قرن ۱۲؛ کاغذ: فرنگی نخودی آهار مهره، جلد: میشن مشکی، اگ (ر۴۳)، ۲۳ سطر (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w:t>
      </w:r>
    </w:p>
    <w:p>
      <w:pPr>
        <w:pStyle w:val="BookText"/>
      </w:pPr>
      <w:r>
        <w:rPr>
          <w:rFonts w:ascii="IRNazanin" w:hAnsi="IRNazanin" w:eastAsia="IRNazanin" w:cs="IRNazanin"/>
          <w:lang w:bidi="fa-IR"/>
          <w:color w:val="111111"/>
          <w:sz w:val="28"/>
          <w:szCs w:val="28"/>
          <w:rtl/>
        </w:rPr>
        <w:t xml:space="preserve">۲۶/۱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۱۶/۲ سم [ف: ۲۹/۱ -۵۰۳]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 ۱۰۴۵/۱۱ -طباطبائی</w:t>
      </w:r>
    </w:p>
    <w:p>
      <w:pPr>
        <w:pStyle w:val="BookText"/>
      </w:pPr>
      <w:r>
        <w:rPr>
          <w:rFonts w:ascii="IRNazanin" w:hAnsi="IRNazanin" w:eastAsia="IRNazanin" w:cs="IRNazanin"/>
          <w:lang w:bidi="fa-IR"/>
          <w:color w:val="111111"/>
          <w:sz w:val="28"/>
          <w:szCs w:val="28"/>
          <w:rtl/>
        </w:rPr>
        <w:t xml:space="preserve">تاریخ تولد نور چشمی زهرا بیگم ملقب به سلطنت بیگم؛ کا: سید محمد بن صادق طباطبائی (سنگلجی)، تا: قرن ۱۳؛ کاغذ: فرنگی، جلد: تیماج قرمز، ۱ص (۳۱)،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۲۳-۳۴۶)</w:t>
      </w:r>
    </w:p>
    <w:p>
      <w:pPr>
        <w:pStyle w:val="Heading3"/>
      </w:pPr>
      <w:bookmarkStart w:id="2169" w:name="_Toc1429"/>
      <w:r>
        <w:t>•تاریخ تولد ام الائمة(عليهم السلام)/ تاریخ / فارسی</w:t>
      </w:r>
      <w:bookmarkEnd w:id="2169"/>
    </w:p>
    <w:p>
      <w:pPr>
        <w:pStyle w:val="BookText"/>
      </w:pPr>
      <w:r>
        <w:rPr>
          <w:rFonts w:ascii="Times New Roman" w:hAnsi="Times New Roman" w:eastAsia="Times New Roman" w:cs="Times New Roman"/>
          <w:lang w:val="en-US" w:bidi="en-US"/>
          <w:color w:val="111111"/>
          <w:sz w:val="28"/>
          <w:szCs w:val="28"/>
          <w:rtl/>
        </w:rPr>
        <w:t xml:space="preserve">tārīx-e tavallod-e omm-ol a’emme</w:t>
      </w:r>
    </w:p>
    <w:p>
      <w:pPr>
        <w:pStyle w:val="BookText"/>
      </w:pPr>
      <w:r>
        <w:rPr>
          <w:rFonts w:ascii="IRNazanin" w:hAnsi="IRNazanin" w:eastAsia="IRNazanin" w:cs="IRNazanin"/>
          <w:lang w:bidi="fa-IR"/>
          <w:color w:val="111111"/>
          <w:sz w:val="28"/>
          <w:szCs w:val="28"/>
          <w:rtl/>
        </w:rPr>
        <w:t xml:space="preserve">تولد سيدة نساء العالمين زهرای بتول عليها السلام را با استفاده از روایات و کتب بیان کرده است.</w:t>
      </w:r>
    </w:p>
    <w:p>
      <w:pPr>
        <w:pStyle w:val="BookText"/>
      </w:pPr>
      <w:r>
        <w:rPr>
          <w:rFonts w:ascii="IRNazanin" w:hAnsi="IRNazanin" w:eastAsia="IRNazanin" w:cs="IRNazanin"/>
          <w:lang w:bidi="fa-IR"/>
          <w:color w:val="111111"/>
          <w:sz w:val="28"/>
          <w:szCs w:val="28"/>
          <w:rtl/>
        </w:rPr>
        <w:t xml:space="preserve">قم؛ مسجد اعظم؛ شماره نسخه: ۳۷۸۷/۳</w:t>
      </w:r>
    </w:p>
    <w:p>
      <w:pPr>
        <w:pStyle w:val="BookText"/>
      </w:pPr>
      <w:r>
        <w:rPr>
          <w:rFonts w:ascii="IRNazanin" w:hAnsi="IRNazanin" w:eastAsia="IRNazanin" w:cs="IRNazanin"/>
          <w:lang w:bidi="fa-IR"/>
          <w:color w:val="111111"/>
          <w:sz w:val="28"/>
          <w:szCs w:val="28"/>
          <w:rtl/>
        </w:rPr>
        <w:t xml:space="preserve">آغاز: در تولد ام الائمة النقباء النجباء فاطمة الزهراء وصاحب کتاب عدد رحمه الله روایت کرده است که پنج سال بعد از بعثت حضرت رسالت پناه صلى الله عليه و آله حضرت فاطمه سلام الله عليها از خدیجه متولد شد؛ انجام: دیدم که احدی را دوست تر از علی بن ابیطالب نمی داری با این سبب تكلم نمودم به لغت على بن ابیطالب عليه السلام تا موجب زیادتی محبت تو وقلع هموم وغموم تو شده خط: نسخ، كا: محمد حسین لنگرودی، تا: رجب ۱۲۹۵ق؛ فائده در مجلس روضه امام حسین(عليه السلام)؛ جلد: مقوا، ۱۲گ، ۱۷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مخ: ۱-۵۱۳]</w:t>
      </w:r>
    </w:p>
    <w:p>
      <w:pPr>
        <w:pStyle w:val="Heading3"/>
      </w:pPr>
      <w:bookmarkStart w:id="2170" w:name="_Toc1430"/>
      <w:r>
        <w:t>•تاریخ تهران / تاریخ ایران / فارسی</w:t>
      </w:r>
      <w:bookmarkEnd w:id="2170"/>
    </w:p>
    <w:p>
      <w:pPr>
        <w:pStyle w:val="BookText"/>
      </w:pPr>
      <w:r>
        <w:rPr>
          <w:rFonts w:ascii="Times New Roman" w:hAnsi="Times New Roman" w:eastAsia="Times New Roman" w:cs="Times New Roman"/>
          <w:lang w:val="en-US" w:bidi="en-US"/>
          <w:color w:val="111111"/>
          <w:sz w:val="28"/>
          <w:szCs w:val="28"/>
          <w:rtl/>
        </w:rPr>
        <w:t xml:space="preserve">tārīx-e tehrān</w:t>
      </w:r>
    </w:p>
    <w:p>
      <w:pPr>
        <w:pStyle w:val="BookText"/>
      </w:pPr>
      <w:r>
        <w:rPr>
          <w:rFonts w:ascii="IRNazanin" w:hAnsi="IRNazanin" w:eastAsia="IRNazanin" w:cs="IRNazanin"/>
          <w:lang w:bidi="fa-IR"/>
          <w:color w:val="111111"/>
          <w:sz w:val="28"/>
          <w:szCs w:val="28"/>
          <w:rtl/>
        </w:rPr>
        <w:t xml:space="preserve">مشكور، علاء الدین بن محمد حسن، ق ۱۴ قمری</w:t>
      </w:r>
    </w:p>
    <w:p>
      <w:pPr>
        <w:pStyle w:val="BookText"/>
      </w:pPr>
      <w:r>
        <w:rPr>
          <w:rFonts w:ascii="Times New Roman" w:hAnsi="Times New Roman" w:eastAsia="Times New Roman" w:cs="Times New Roman"/>
          <w:lang w:val="en-US" w:bidi="en-US"/>
          <w:color w:val="111111"/>
          <w:sz w:val="28"/>
          <w:szCs w:val="28"/>
          <w:rtl/>
        </w:rPr>
        <w:t xml:space="preserve">maškūr, ‘alā’-od-dīn ebn-e mohammad hasan (-20c)</w:t>
      </w:r>
    </w:p>
    <w:p>
      <w:pPr>
        <w:pStyle w:val="BookText"/>
      </w:pPr>
      <w:r>
        <w:rPr>
          <w:rFonts w:ascii="IRNazanin" w:hAnsi="IRNazanin" w:eastAsia="IRNazanin" w:cs="IRNazanin"/>
          <w:lang w:bidi="fa-IR"/>
          <w:color w:val="111111"/>
          <w:sz w:val="28"/>
          <w:szCs w:val="28"/>
          <w:rtl/>
        </w:rPr>
        <w:t xml:space="preserve">تاريخ تأليف: ۱۳۴۳ق کتابی در رویدادها و تاریخ و جغرافیای ری و تهران و زندگی نامه گروهی از بزرگان معاصر مؤلف در تهران و ذکر چهل تن علاء الدین نام( به مناسبت نام مؤلف که علاءالدین می باشد). مشتمل بر یک «مقدمه» و سه «مقاله» و یک «خاتمه»: مقدمه: در معنی تاریخ و لفظ «طهران» و جغرافیای آن؛ مقاله ۱. تاریخ طهران قبل از اسلام؛ مقاله ۲. تاریخ ری از زمان فتح تا خرابی آن؛ مقاله 3. تاریخ طهران تا اوان مشروطیت؛ خاتمه: در ذکر گروهی از بزرگان معاصر.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426" w:name="pg20363_209728"/>
    <w:bookmarkEnd w:id="426"/>
    <w:p>
      <w:pPr>
        <w:pStyle w:val="BookText"/>
      </w:pPr>
      <w:r>
        <w:rPr>
          <w:rFonts w:ascii="IRNazanin" w:hAnsi="IRNazanin" w:eastAsia="IRNazanin" w:cs="IRNazanin"/>
          <w:lang w:bidi="fa-IR"/>
          <w:color w:val="111111"/>
          <w:sz w:val="28"/>
          <w:szCs w:val="28"/>
          <w:rtl/>
        </w:rPr>
        <w:t xml:space="preserve">[دنا ۶۹۲/۲ ؛ فهرستواره منزوی ۸۵۶/۲ ]</w:t>
      </w:r>
    </w:p>
    <w:p>
      <w:pPr>
        <w:pStyle w:val="BookText"/>
      </w:pPr>
      <w:r>
        <w:rPr>
          <w:rFonts w:ascii="IRNazanin" w:hAnsi="IRNazanin" w:eastAsia="IRNazanin" w:cs="IRNazanin"/>
          <w:lang w:bidi="fa-IR"/>
          <w:color w:val="111111"/>
          <w:sz w:val="28"/>
          <w:szCs w:val="28"/>
          <w:rtl/>
        </w:rPr>
        <w:t xml:space="preserve">قم؛ مرعشی؛ شماره نسخه:۳۱۹۷</w:t>
      </w:r>
    </w:p>
    <w:p>
      <w:pPr>
        <w:pStyle w:val="BookText"/>
      </w:pPr>
      <w:r>
        <w:rPr>
          <w:rFonts w:ascii="IRNazanin" w:hAnsi="IRNazanin" w:eastAsia="IRNazanin" w:cs="IRNazanin"/>
          <w:lang w:bidi="fa-IR"/>
          <w:color w:val="111111"/>
          <w:sz w:val="28"/>
          <w:szCs w:val="28"/>
          <w:rtl/>
        </w:rPr>
        <w:t xml:space="preserve">آغاز: سپاس بی قیاس حضرت لم يزل ولا يزالی را سزاست که از جمله آثار قدرتش تغییر و تبدیل در این عالم ناسوت ثابت و برقرار است خط: نستعلیق، بی کا، بی تا؛ یادداشت های درهم است و به دفترهای دیگر احالت می دهد که ظاهرا در آنها تحقیقات مؤلف نگاشته شده؛ جلد: مقوایی عطف تیماج قرمز، ۵۷گ، مختلف السطر،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۸-۴۲۰]</w:t>
      </w:r>
    </w:p>
    <w:p>
      <w:pPr>
        <w:pStyle w:val="Heading3"/>
      </w:pPr>
      <w:bookmarkStart w:id="2171" w:name="_Toc1431"/>
      <w:r>
        <w:t>• تاریخ تیمور / تاریخ / فارسی</w:t>
      </w:r>
      <w:bookmarkEnd w:id="2171"/>
    </w:p>
    <w:p>
      <w:pPr>
        <w:pStyle w:val="BookText"/>
      </w:pPr>
      <w:r>
        <w:rPr>
          <w:rFonts w:ascii="Times New Roman" w:hAnsi="Times New Roman" w:eastAsia="Times New Roman" w:cs="Times New Roman"/>
          <w:lang w:val="en-US" w:bidi="en-US"/>
          <w:color w:val="111111"/>
          <w:sz w:val="28"/>
          <w:szCs w:val="28"/>
          <w:rtl/>
        </w:rPr>
        <w:t xml:space="preserve">tārīx-e teymūr</w:t>
      </w:r>
    </w:p>
    <w:p>
      <w:pPr>
        <w:pStyle w:val="BookText"/>
      </w:pPr>
      <w:r>
        <w:rPr>
          <w:rFonts w:ascii="IRNazanin" w:hAnsi="IRNazanin" w:eastAsia="IRNazanin" w:cs="IRNazanin"/>
          <w:lang w:bidi="fa-IR"/>
          <w:color w:val="111111"/>
          <w:sz w:val="28"/>
          <w:szCs w:val="28"/>
          <w:rtl/>
        </w:rPr>
        <w:t xml:space="preserve">اقبال آشتیانی، عباس، ۱۲۷۶-۱۳۳۴ شمسی</w:t>
      </w:r>
    </w:p>
    <w:p>
      <w:pPr>
        <w:pStyle w:val="BookText"/>
      </w:pPr>
      <w:r>
        <w:rPr>
          <w:rFonts w:ascii="Times New Roman" w:hAnsi="Times New Roman" w:eastAsia="Times New Roman" w:cs="Times New Roman"/>
          <w:lang w:val="en-US" w:bidi="en-US"/>
          <w:color w:val="111111"/>
          <w:sz w:val="28"/>
          <w:szCs w:val="28"/>
          <w:rtl/>
        </w:rPr>
        <w:t xml:space="preserve">eqbāl-e āštīyānī, ‘abbās (1897-1955)</w:t>
      </w:r>
    </w:p>
    <w:p>
      <w:pPr>
        <w:pStyle w:val="BookText"/>
      </w:pPr>
      <w:r>
        <w:rPr>
          <w:rFonts w:ascii="IRNazanin" w:hAnsi="IRNazanin" w:eastAsia="IRNazanin" w:cs="IRNazanin"/>
          <w:lang w:bidi="fa-IR"/>
          <w:color w:val="111111"/>
          <w:sz w:val="28"/>
          <w:szCs w:val="28"/>
          <w:rtl/>
        </w:rPr>
        <w:t xml:space="preserve">از ظهور او در سال ۷۳۶ آغاز می شود.</w:t>
      </w:r>
    </w:p>
    <w:p>
      <w:pPr>
        <w:pStyle w:val="BookText"/>
      </w:pPr>
      <w:r>
        <w:rPr>
          <w:rFonts w:ascii="IRNazanin" w:hAnsi="IRNazanin" w:eastAsia="IRNazanin" w:cs="IRNazanin"/>
          <w:lang w:bidi="fa-IR"/>
          <w:color w:val="111111"/>
          <w:sz w:val="28"/>
          <w:szCs w:val="28"/>
          <w:rtl/>
        </w:rPr>
        <w:t xml:space="preserve">تهران، دانشگاه؛ شماره نسخه: ۵۴۴۰</w:t>
      </w:r>
    </w:p>
    <w:p>
      <w:pPr>
        <w:pStyle w:val="BookText"/>
      </w:pPr>
      <w:r>
        <w:rPr>
          <w:rFonts w:ascii="IRNazanin" w:hAnsi="IRNazanin" w:eastAsia="IRNazanin" w:cs="IRNazanin"/>
          <w:lang w:bidi="fa-IR"/>
          <w:color w:val="111111"/>
          <w:sz w:val="28"/>
          <w:szCs w:val="28"/>
          <w:rtl/>
        </w:rPr>
        <w:t xml:space="preserve">آغاز: اوضاع ایران مقارن استيلاء تيمور؛ انجام: تمام تابستان سال ۷۸۷ را در سمرقند و زمستان در بخارا بسر برد. خط: نستعلیق، کاتب = مؤلف، بی تا، کاغذ: فرنگی، جلد: گالینگور قهوه ای، ۱۱۶گ، ۱۰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[ف:۱۶-۹]</w:t>
      </w:r>
    </w:p>
    <w:p>
      <w:pPr>
        <w:pStyle w:val="Heading3"/>
      </w:pPr>
      <w:bookmarkStart w:id="2172" w:name="_Toc1432"/>
      <w:r>
        <w:t>•تاریخ تیمور / تاریخ ایران / فارسی</w:t>
      </w:r>
      <w:bookmarkEnd w:id="2172"/>
    </w:p>
    <w:p>
      <w:pPr>
        <w:pStyle w:val="BookText"/>
      </w:pPr>
      <w:r>
        <w:rPr>
          <w:rFonts w:ascii="Times New Roman" w:hAnsi="Times New Roman" w:eastAsia="Times New Roman" w:cs="Times New Roman"/>
          <w:lang w:val="en-US" w:bidi="en-US"/>
          <w:color w:val="111111"/>
          <w:sz w:val="28"/>
          <w:szCs w:val="28"/>
          <w:rtl/>
        </w:rPr>
        <w:t xml:space="preserve">tārīx-e teymūr</w:t>
      </w:r>
    </w:p>
    <w:p>
      <w:pPr>
        <w:pStyle w:val="BookText"/>
      </w:pPr>
      <w:r>
        <w:rPr>
          <w:rFonts w:ascii="IRNazanin" w:hAnsi="IRNazanin" w:eastAsia="IRNazanin" w:cs="IRNazanin"/>
          <w:lang w:bidi="fa-IR"/>
          <w:color w:val="111111"/>
          <w:sz w:val="28"/>
          <w:szCs w:val="28"/>
          <w:rtl/>
        </w:rPr>
        <w:t xml:space="preserve">شرح حال تیمور گورکان.</w:t>
      </w:r>
    </w:p>
    <w:p>
      <w:pPr>
        <w:pStyle w:val="BookText"/>
      </w:pPr>
      <w:r>
        <w:rPr>
          <w:rFonts w:ascii="IRNazanin" w:hAnsi="IRNazanin" w:eastAsia="IRNazanin" w:cs="IRNazanin"/>
          <w:lang w:bidi="fa-IR"/>
          <w:color w:val="111111"/>
          <w:sz w:val="28"/>
          <w:szCs w:val="28"/>
          <w:rtl/>
        </w:rPr>
        <w:t xml:space="preserve">تهران؛ مجلس؛ شماره نسخه: ۸۹۷۱/۲۱</w:t>
      </w:r>
    </w:p>
    <w:p>
      <w:pPr>
        <w:pStyle w:val="BookText"/>
      </w:pPr>
      <w:r>
        <w:rPr>
          <w:rFonts w:ascii="IRNazanin" w:hAnsi="IRNazanin" w:eastAsia="IRNazanin" w:cs="IRNazanin"/>
          <w:lang w:bidi="fa-IR"/>
          <w:color w:val="111111"/>
          <w:sz w:val="28"/>
          <w:szCs w:val="28"/>
          <w:rtl/>
        </w:rPr>
        <w:t xml:space="preserve">آغاز: تیمور خان گورکان پسر طراغای از نسل قراجارنویان بود و ایام عمرش چون به بیست رسد دغدغه جهانگیری بر مزاج مبارکش راه یافت و در آن زمان امیر حسین از نسل چنگیز خان پادشاه بلخ بود؛ انجام: تا خود را به ترکستان رسانید و اراده کرد که به جانب خطا رود چون ابتداء یراق سفر کردند و لشکری را فرمود تا اختیار وازق راه نمایند تب کرده فوت شد خط: نستعلیق، بی کا، تا: قرن ۱۲ کاغذ: فرنگی نخودی آهار مهره، جلد: میشن مشکی، ۸گ (۴۳-۵۰پ)، ۲۳ سطر (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۲۶/۱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۱۶/۲ سم [ف: ۲۹/۱-۵۰۳]</w:t>
      </w:r>
    </w:p>
    <w:p>
      <w:pPr>
        <w:pStyle w:val="Heading3"/>
      </w:pPr>
      <w:bookmarkStart w:id="2173" w:name="_Toc1433"/>
      <w:r>
        <w:t>•تاریخ تیموری / تاریخ / فارسی</w:t>
      </w:r>
      <w:bookmarkEnd w:id="2173"/>
    </w:p>
    <w:p>
      <w:pPr>
        <w:pStyle w:val="BookText"/>
      </w:pPr>
      <w:r>
        <w:rPr>
          <w:rFonts w:ascii="Times New Roman" w:hAnsi="Times New Roman" w:eastAsia="Times New Roman" w:cs="Times New Roman"/>
          <w:lang w:val="en-US" w:bidi="en-US"/>
          <w:color w:val="111111"/>
          <w:sz w:val="28"/>
          <w:szCs w:val="28"/>
          <w:rtl/>
        </w:rPr>
        <w:t xml:space="preserve">tārīx-e teymūrī</w:t>
      </w:r>
    </w:p>
    <w:p>
      <w:pPr>
        <w:pStyle w:val="BookText"/>
      </w:pPr>
      <w:r>
        <w:rPr>
          <w:rFonts w:ascii="IRNazanin" w:hAnsi="IRNazanin" w:eastAsia="IRNazanin" w:cs="IRNazanin"/>
          <w:lang w:bidi="fa-IR"/>
          <w:color w:val="111111"/>
          <w:sz w:val="28"/>
          <w:szCs w:val="28"/>
          <w:rtl/>
        </w:rPr>
        <w:t xml:space="preserve">تاریخ روزگار و رویدادهای عصر سلطان حسین بایقرا، با انشائی ادبی نیکو ولی پر تملق در چند گفتار که به نسب وی شروع شده و با ذکر اولادش ختم می گردد، نگاشته شده است.</w:t>
      </w:r>
    </w:p>
    <w:p>
      <w:pPr>
        <w:pStyle w:val="BookText"/>
      </w:pPr>
      <w:r>
        <w:rPr>
          <w:rFonts w:ascii="IRNazanin" w:hAnsi="IRNazanin" w:eastAsia="IRNazanin" w:cs="IRNazanin"/>
          <w:lang w:bidi="fa-IR"/>
          <w:color w:val="111111"/>
          <w:sz w:val="28"/>
          <w:szCs w:val="28"/>
          <w:rtl/>
        </w:rPr>
        <w:t xml:space="preserve">تاریخ تنزل - تاریخ تیموری ۶۰۱</w:t>
      </w:r>
    </w:p>
    <w:p>
      <w:pPr>
        <w:pStyle w:val="BookText"/>
      </w:pPr>
      <w:r>
        <w:rPr>
          <w:rFonts w:ascii="IRNazanin" w:hAnsi="IRNazanin" w:eastAsia="IRNazanin" w:cs="IRNazanin"/>
          <w:lang w:bidi="fa-IR"/>
          <w:color w:val="111111"/>
          <w:sz w:val="28"/>
          <w:szCs w:val="28"/>
          <w:rtl/>
        </w:rPr>
        <w:t xml:space="preserve">قم؛ مرعشی؛ شماره نسخه:۷۹۵۳</w:t>
      </w:r>
    </w:p>
    <w:p>
      <w:pPr>
        <w:pStyle w:val="BookText"/>
      </w:pPr>
      <w:r>
        <w:rPr>
          <w:rFonts w:ascii="IRNazanin" w:hAnsi="IRNazanin" w:eastAsia="IRNazanin" w:cs="IRNazanin"/>
          <w:lang w:bidi="fa-IR"/>
          <w:color w:val="111111"/>
          <w:sz w:val="28"/>
          <w:szCs w:val="28"/>
          <w:rtl/>
        </w:rPr>
        <w:t xml:space="preserve">آغاز: مشاطه رخسار ابكار سخن و پیرایه بند عذار حکایات نوو کهن جواهر اخبار خاقان منصور ظهور می آورد؛ انجام: هست درر ار کفش ابروار نیست ولی چون کفش ابر بهار خط: نستعلیق، کا: اسماعیل، تا: ۱۲۳۳ق؛ نشانی تعارف ملا آقای شهمیرزادی با مهر «محمد هادي بن محمد ابراهیم» (مربع)؛ تملك: زین العابدین بن میرزا اخوی اشتهاردی اصفهان با مهر الواثق بالله الغني عبده زين العابدین» (مربع)، تملکی بدون نام به تاريخ رمضان ۱۲۹۲ با مهر «عبده علی اصغر بن محمد ابرهيم» (بیضوی)؛ جلد: تیماج سبز، ۱۲۷گ، ۲۰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۲۰-۲۸۸]</w:t>
      </w:r>
    </w:p>
    <w:p>
      <w:pPr>
        <w:pStyle w:val="Heading3"/>
      </w:pPr>
      <w:bookmarkStart w:id="2174" w:name="_Toc1434"/>
      <w:r>
        <w:t>•تاریخ تیموریان و مغول / تاریخ / فارسی</w:t>
      </w:r>
      <w:bookmarkEnd w:id="2174"/>
    </w:p>
    <w:p>
      <w:pPr>
        <w:pStyle w:val="BookText"/>
      </w:pPr>
      <w:r>
        <w:rPr>
          <w:rFonts w:ascii="Times New Roman" w:hAnsi="Times New Roman" w:eastAsia="Times New Roman" w:cs="Times New Roman"/>
          <w:lang w:val="en-US" w:bidi="en-US"/>
          <w:color w:val="111111"/>
          <w:sz w:val="28"/>
          <w:szCs w:val="28"/>
          <w:rtl/>
        </w:rPr>
        <w:t xml:space="preserve">tārīx-e teymūrīyān va moqol</w:t>
      </w:r>
    </w:p>
    <w:p>
      <w:pPr>
        <w:pStyle w:val="BookText"/>
      </w:pPr>
      <w:r>
        <w:rPr>
          <w:rFonts w:ascii="IRNazanin" w:hAnsi="IRNazanin" w:eastAsia="IRNazanin" w:cs="IRNazanin"/>
          <w:lang w:bidi="fa-IR"/>
          <w:color w:val="111111"/>
          <w:sz w:val="28"/>
          <w:szCs w:val="28"/>
          <w:rtl/>
        </w:rPr>
        <w:t xml:space="preserve">۱. تهران، دانشگاه؛ شماره نسخه:۱۲۵۳-ف</w:t>
      </w:r>
    </w:p>
    <w:p>
      <w:pPr>
        <w:pStyle w:val="BookText"/>
      </w:pPr>
      <w:r>
        <w:rPr>
          <w:rFonts w:ascii="IRNazanin" w:hAnsi="IRNazanin" w:eastAsia="IRNazanin" w:cs="IRNazanin"/>
          <w:lang w:bidi="fa-IR"/>
          <w:color w:val="111111"/>
          <w:sz w:val="28"/>
          <w:szCs w:val="28"/>
          <w:rtl/>
        </w:rPr>
        <w:t xml:space="preserve">نسخه اصل: بادلیان ش ۱۸۸ اوزلی؛ خط: نسخ، بی کا، بی تا؛ ۲۰۳گ، ۱۳ سطر فيلمها [ف: ۱-۳۲]</w:t>
      </w:r>
    </w:p>
    <w:p>
      <w:pPr>
        <w:pStyle w:val="BookText"/>
      </w:pPr>
      <w:r>
        <w:rPr>
          <w:rFonts w:ascii="IRNazanin" w:hAnsi="IRNazanin" w:eastAsia="IRNazanin" w:cs="IRNazanin"/>
          <w:lang w:bidi="fa-IR"/>
          <w:color w:val="111111"/>
          <w:sz w:val="28"/>
          <w:szCs w:val="28"/>
          <w:rtl/>
        </w:rPr>
        <w:t xml:space="preserve">۲. تهران، دانشگاه؛ شماره نسخه:۱۲۵۳-ف</w:t>
      </w:r>
    </w:p>
    <w:p>
      <w:pPr>
        <w:pStyle w:val="BookText"/>
      </w:pPr>
      <w:r>
        <w:rPr>
          <w:rFonts w:ascii="IRNazanin" w:hAnsi="IRNazanin" w:eastAsia="IRNazanin" w:cs="IRNazanin"/>
          <w:lang w:bidi="fa-IR"/>
          <w:color w:val="111111"/>
          <w:sz w:val="28"/>
          <w:szCs w:val="28"/>
          <w:rtl/>
        </w:rPr>
        <w:t xml:space="preserve">نسخه اصل: بادلیان ش ۱۸۹؛ خط: نسخ و نستعلیق، بی کا، بی تا؛ ۲۰۳گ، ۱۳ سطر (فیلمها ف: ۱-۳۲]</w:t>
      </w:r>
    </w:p>
    <w:p>
      <w:pPr>
        <w:pStyle w:val="Heading3"/>
      </w:pPr>
      <w:bookmarkStart w:id="2175" w:name="_Toc1435"/>
      <w:r>
        <w:t>•تاریخ تیموری (جهانگیری) / تاریخ ایران / فارسی</w:t>
      </w:r>
      <w:bookmarkEnd w:id="2175"/>
    </w:p>
    <w:p>
      <w:pPr>
        <w:pStyle w:val="BookText"/>
      </w:pPr>
      <w:r>
        <w:rPr>
          <w:rFonts w:ascii="Times New Roman" w:hAnsi="Times New Roman" w:eastAsia="Times New Roman" w:cs="Times New Roman"/>
          <w:lang w:val="en-US" w:bidi="en-US"/>
          <w:color w:val="111111"/>
          <w:sz w:val="28"/>
          <w:szCs w:val="28"/>
          <w:rtl/>
        </w:rPr>
        <w:t xml:space="preserve">tārīx-e teymūrī (jahāngīrī)</w:t>
      </w:r>
    </w:p>
    <w:p>
      <w:pPr>
        <w:pStyle w:val="BookText"/>
      </w:pPr>
      <w:r>
        <w:rPr>
          <w:rFonts w:ascii="IRNazanin" w:hAnsi="IRNazanin" w:eastAsia="IRNazanin" w:cs="IRNazanin"/>
          <w:lang w:bidi="fa-IR"/>
          <w:color w:val="111111"/>
          <w:sz w:val="28"/>
          <w:szCs w:val="28"/>
          <w:rtl/>
        </w:rPr>
        <w:t xml:space="preserve">شرح احوال و بیان حسب و نسب خاندان امیر تیمور کورگان است با ذکر و توصیفی از جنگ ها و فتوحاتش و شمه ای از محاسن و خصایص آن امیر آغاز: بسمله بیام خدایی که از نام اوست *** که ما را توانائی و گفت و گوست ... گفتار در خصایص این تأليف و ذکر مزیتی چند که بدان مفردست در بیان اشباه و نظایر تاریخ مفاخر و مأثر حضرت صاحبقرانی بروجهی که مسوده آن مکمل شده و بی تغیری در آن بزیادتی و نقصان به بیاض خواهد رفت انجام: خاتمه مقاله در ذكر خصایصی که صاحب قران ...... الى آخر ... قد فرغ عن تحرير الكتاب في شرح الشباب لكني عن توارد الا حزان و الا لم لم قريب عن المشيب و الهرم.</w:t>
      </w:r>
    </w:p>
    <w:p>
      <w:pPr>
        <w:pStyle w:val="BookText"/>
      </w:pPr>
      <w:r>
        <w:rPr>
          <w:rFonts w:ascii="IRNazanin" w:hAnsi="IRNazanin" w:eastAsia="IRNazanin" w:cs="IRNazanin"/>
          <w:lang w:bidi="fa-IR"/>
          <w:color w:val="111111"/>
          <w:sz w:val="28"/>
          <w:szCs w:val="28"/>
          <w:rtl/>
        </w:rPr>
        <w:t xml:space="preserve">۱. تهران؛ سلطنتی؛ شماره نسخه: ۷۶۱</w:t>
      </w:r>
    </w:p>
    <w:p>
      <w:pPr>
        <w:pStyle w:val="BookText"/>
      </w:pPr>
      <w:r>
        <w:rPr>
          <w:rFonts w:ascii="IRNazanin" w:hAnsi="IRNazanin" w:eastAsia="IRNazanin" w:cs="IRNazanin"/>
          <w:lang w:bidi="fa-IR"/>
          <w:color w:val="111111"/>
          <w:sz w:val="28"/>
          <w:szCs w:val="28"/>
          <w:rtl/>
        </w:rPr>
        <w:t xml:space="preserve">آغاز و انجام: برابر خط: نسخ خوش، بی کا، بی تا؛ انتقالی از قصر بلور؛ مجدول، کمند کشی، یک سرلوح مرصع مذهب منقش خوب؛ مهر: دولت عليه ایران ۱۳۲۹؛ کاغذ: فرنگی، جلد: مقوای روکش جرم ساغری مشکی، ۶۱۰ص، ۲۵ سطر، قطع: وزيري [ف: ۵-۵۴]</w:t>
      </w:r>
    </w:p>
    <w:p>
      <w:pPr>
        <w:pStyle w:val="BookText"/>
      </w:pPr>
      <w:r>
        <w:rPr>
          <w:rFonts w:ascii="IRNazanin" w:hAnsi="IRNazanin" w:eastAsia="IRNazanin" w:cs="IRNazanin"/>
          <w:lang w:bidi="fa-IR"/>
          <w:color w:val="111111"/>
          <w:sz w:val="28"/>
          <w:szCs w:val="28"/>
          <w:rtl/>
        </w:rPr>
        <w:t xml:space="preserve">۲. تهران؛ سلطنتی؛ شماره نسخه: ۷۶۲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427" w:name="pg20363_209729"/>
    <w:bookmarkEnd w:id="427"/>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حسین بن لقمان مختاری کوبنانی، تا: ۸۶۳ق؛ این نسخه در سال ۱۲۹۹ هجری متعلق به فرهاد میرزا معتمدالدوله بوده و سپس به سال ۱۳۲۲ هجری داخل کتابخانه موزه سر کار شده؛ مجدول، با یک سرلوح کتیبه ای سبک کار هرات، یک سرلوح مرصع مذهب منقش خوب؛ کاغذ: ختایی، جلد: مقوای روکش چرم مشکی با ترنج، ۷۹۸ص، ۱۳ سطر،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۵-۵۸]</w:t>
      </w:r>
    </w:p>
    <w:p>
      <w:pPr>
        <w:pStyle w:val="BookText"/>
      </w:pPr>
      <w:r>
        <w:rPr>
          <w:rFonts w:ascii="IRNazanin" w:hAnsi="IRNazanin" w:eastAsia="IRNazanin" w:cs="IRNazanin"/>
          <w:lang w:bidi="fa-IR"/>
          <w:color w:val="111111"/>
          <w:sz w:val="28"/>
          <w:szCs w:val="28"/>
          <w:rtl/>
        </w:rPr>
        <w:t xml:space="preserve">← تاریخ الثقيفة ← سقیفه بنی ساعده</w:t>
      </w:r>
    </w:p>
    <w:p>
      <w:pPr>
        <w:pStyle w:val="Heading3"/>
      </w:pPr>
      <w:bookmarkStart w:id="2176" w:name="_Toc1436"/>
      <w:r>
        <w:t>•تاریخ ثورة نجف اشرف / تاریخ / فارسی</w:t>
      </w:r>
      <w:bookmarkEnd w:id="2176"/>
    </w:p>
    <w:p>
      <w:pPr>
        <w:pStyle w:val="BookText"/>
      </w:pPr>
      <w:r>
        <w:rPr>
          <w:rFonts w:ascii="Times New Roman" w:hAnsi="Times New Roman" w:eastAsia="Times New Roman" w:cs="Times New Roman"/>
          <w:lang w:val="en-US" w:bidi="en-US"/>
          <w:color w:val="111111"/>
          <w:sz w:val="28"/>
          <w:szCs w:val="28"/>
          <w:rtl/>
        </w:rPr>
        <w:t xml:space="preserve">tārīx-e sawrat-e najaf-e ašraf</w:t>
      </w:r>
    </w:p>
    <w:p>
      <w:pPr>
        <w:pStyle w:val="BookText"/>
      </w:pPr>
      <w:r>
        <w:rPr>
          <w:rFonts w:ascii="IRNazanin" w:hAnsi="IRNazanin" w:eastAsia="IRNazanin" w:cs="IRNazanin"/>
          <w:lang w:bidi="fa-IR"/>
          <w:color w:val="111111"/>
          <w:sz w:val="28"/>
          <w:szCs w:val="28"/>
          <w:rtl/>
        </w:rPr>
        <w:t xml:space="preserve">امام جمعه خوئی، محمد امین بن یحیی،-۱۳۶۷ ؟ قمری</w:t>
      </w:r>
    </w:p>
    <w:p>
      <w:pPr>
        <w:pStyle w:val="BookText"/>
      </w:pPr>
      <w:r>
        <w:rPr>
          <w:rFonts w:ascii="Times New Roman" w:hAnsi="Times New Roman" w:eastAsia="Times New Roman" w:cs="Times New Roman"/>
          <w:lang w:val="en-US" w:bidi="en-US"/>
          <w:color w:val="111111"/>
          <w:sz w:val="28"/>
          <w:szCs w:val="28"/>
          <w:rtl/>
        </w:rPr>
        <w:t xml:space="preserve">emām jom'e xūll, mohammad amīn ebn-e yahyā ( 1948)</w:t>
      </w:r>
    </w:p>
    <w:p>
      <w:pPr>
        <w:pStyle w:val="BookText"/>
      </w:pPr>
      <w:r>
        <w:rPr>
          <w:rFonts w:ascii="IRNazanin" w:hAnsi="IRNazanin" w:eastAsia="IRNazanin" w:cs="IRNazanin"/>
          <w:lang w:bidi="fa-IR"/>
          <w:color w:val="111111"/>
          <w:sz w:val="28"/>
          <w:szCs w:val="28"/>
          <w:rtl/>
        </w:rPr>
        <w:t xml:space="preserve">تاریخ روزانه حرکت و جنگ نجفی هاست ضد انگلیس ها به سال ۱۳۳۶ق و چگونگی حصار نجف و مقاومت اهالی، با پاره ای از تلگراف و نامه هایی که بین دو طرف رد و بدل شده است. آن گونه که در مقدمه نسخه چاپی آن آمده با توجه به اینکه کار مرحوم صدر الاسلام امام جمعه خوئی فراتر از یک استنساخ صرف می باشد و ضمنا چند بار نیز در متن کتاب نامش آمده و خودش نیز در واقعه مذکور در نجف حضور داشته و از سوئی اگر شخص، اندکی تأمل کند، در سه نسخه ای از این رساله به خط آن مرحوم موجود است، متوجه می شود که نسخه ها اندکی با یکدیگر متفاوت است و بر اساس «خاطرات ذهنی» نگاشته شده است و کامل ترین نسخه همان نسخه شماره ۹۳۲۲ می باشد که چاپ شده است. با توجه به این دلائل خدشه ناپذیر، به احتمال قوی این تاریخ مختصر، از جمله تألیفات خود مرحوم صدرالاسلام، امام جمعه خوئی است، چنانچه در نسخه چاپ شده این رساله هم در مقدمه اش آن را ترجیحا از آن مرحوم دانسته اند «و الله العالم» ضمنا در یکی (از کتاب های خود آثار و تألیفات خوئی) صریح در ضمن تأليفات نام این کتاب را آورده است.</w:t>
      </w:r>
    </w:p>
    <w:p>
      <w:pPr>
        <w:pStyle w:val="BookText"/>
      </w:pPr>
      <w:r>
        <w:rPr>
          <w:rFonts w:ascii="IRNazanin" w:hAnsi="IRNazanin" w:eastAsia="IRNazanin" w:cs="IRNazanin"/>
          <w:lang w:bidi="fa-IR"/>
          <w:color w:val="111111"/>
          <w:sz w:val="28"/>
          <w:szCs w:val="28"/>
          <w:rtl/>
        </w:rPr>
        <w:t xml:space="preserve">آغاز: روز سه شنبه ششم جمادی الاخری که دو روز به تحویل شمس و عید سلطانی مانده بود سنه هزار و سیصد و سی و شش هجری (۱۳۳۶) اول فجر جماعتی از اهالی</w:t>
      </w:r>
    </w:p>
    <w:p>
      <w:pPr>
        <w:pStyle w:val="BookText"/>
      </w:pPr>
      <w:r>
        <w:rPr>
          <w:rFonts w:ascii="IRNazanin" w:hAnsi="IRNazanin" w:eastAsia="IRNazanin" w:cs="IRNazanin"/>
          <w:lang w:bidi="fa-IR"/>
          <w:color w:val="111111"/>
          <w:sz w:val="28"/>
          <w:szCs w:val="28"/>
          <w:rtl/>
        </w:rPr>
        <w:t xml:space="preserve">انجام: انسان با حشرات و حیوانات نباید این معامله را بکند فضلا از نوع خود</w:t>
      </w:r>
    </w:p>
    <w:p>
      <w:pPr>
        <w:pStyle w:val="BookText"/>
      </w:pPr>
      <w:r>
        <w:rPr>
          <w:rFonts w:ascii="IRNazanin" w:hAnsi="IRNazanin" w:eastAsia="IRNazanin" w:cs="IRNazanin"/>
          <w:lang w:bidi="fa-IR"/>
          <w:color w:val="111111"/>
          <w:sz w:val="28"/>
          <w:szCs w:val="28"/>
          <w:rtl/>
        </w:rPr>
        <w:t xml:space="preserve">چاپ: به کوشش احمد حسینی اشکوری، میراث اسلامی ۳ .۳۱۰-۲۵۷ :(۱۳۷۵)</w:t>
      </w:r>
    </w:p>
    <w:p>
      <w:pPr>
        <w:pStyle w:val="BookText"/>
      </w:pPr>
      <w:r>
        <w:rPr>
          <w:rFonts w:ascii="Amiri" w:hAnsi="Amiri" w:eastAsia="Amiri" w:cs="Amiri"/>
          <w:lang w:bidi="ar-SA"/>
          <w:color w:val="111111"/>
          <w:sz w:val="28"/>
          <w:szCs w:val="28"/>
          <w:rtl/>
        </w:rPr>
        <w:t xml:space="preserve">[دنا ۶۹۲/۲ ؛ معجم المؤلفين ۸۱/۹]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۱۲۲۵۹/۱</w:t>
      </w:r>
    </w:p>
    <w:p>
      <w:pPr>
        <w:pStyle w:val="BookText"/>
      </w:pPr>
      <w:r>
        <w:rPr>
          <w:rFonts w:ascii="IRNazanin" w:hAnsi="IRNazanin" w:eastAsia="IRNazanin" w:cs="IRNazanin"/>
          <w:lang w:bidi="fa-IR"/>
          <w:color w:val="111111"/>
          <w:sz w:val="28"/>
          <w:szCs w:val="28"/>
          <w:rtl/>
        </w:rPr>
        <w:t xml:space="preserve">آغاز: شب سه شنبه ۶ جمادی الثانية است ۱۳۳۶ هجری قمری مطابق ۲۹ حوت ۱۲۶۶ شمسی نزدیک فجر دفعة صدای تیر و تفنگها در فضای نجف بلند شد و غلطیدن گرفت؛ انجام: و بعضی را عقیده بر آنست که نظر سیاسی بوده و این اقدام در نتیجه روابطی بوده که در بین اعراب نجف و عجمی</w:t>
      </w:r>
    </w:p>
    <w:p>
      <w:pPr>
        <w:pStyle w:val="BookText"/>
      </w:pPr>
      <w:r>
        <w:rPr>
          <w:rFonts w:ascii="IRNazanin" w:hAnsi="IRNazanin" w:eastAsia="IRNazanin" w:cs="IRNazanin"/>
          <w:lang w:bidi="fa-IR"/>
          <w:color w:val="111111"/>
          <w:sz w:val="28"/>
          <w:szCs w:val="28"/>
          <w:rtl/>
        </w:rPr>
        <w:t xml:space="preserve">خط: شکسته نستعلیق، کاتب = مؤلف، تا: قرن ۱۴؛ افتادگی: انجام؛ مصحح، نسبت به نسخه شماره ۹۳۲۲ اختلافات جزئی و جابجایی جملات و کلمات دیده می شود؛ کاغذ: مشکی، 9گ (۹۱)، ۲۰ سطر،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سم [ف: ۳۱-۱۰۰]</w:t>
      </w:r>
    </w:p>
    <w:p>
      <w:pPr>
        <w:pStyle w:val="BookText"/>
      </w:pPr>
      <w:r>
        <w:rPr>
          <w:rFonts w:ascii="IRNazanin" w:hAnsi="IRNazanin" w:eastAsia="IRNazanin" w:cs="IRNazanin"/>
          <w:lang w:bidi="fa-IR"/>
          <w:color w:val="111111"/>
          <w:sz w:val="28"/>
          <w:szCs w:val="28"/>
          <w:rtl/>
        </w:rPr>
        <w:t xml:space="preserve">۲. قم؛ مرعشی؛ شماره نسخه: ۱۲۲۵۹/۲</w:t>
      </w:r>
    </w:p>
    <w:p>
      <w:pPr>
        <w:pStyle w:val="BookText"/>
      </w:pPr>
      <w:r>
        <w:rPr>
          <w:rFonts w:ascii="IRNazanin" w:hAnsi="IRNazanin" w:eastAsia="IRNazanin" w:cs="IRNazanin"/>
          <w:lang w:bidi="fa-IR"/>
          <w:color w:val="111111"/>
          <w:sz w:val="28"/>
          <w:szCs w:val="28"/>
          <w:rtl/>
        </w:rPr>
        <w:t xml:space="preserve">آغاز: شب سه شنبه ۶ جمادی الثانية است ۱۳۳۶ هجری قمری مطابق ۲۹ حود ۱۲۹۶ شمسی نزدیک فجر دفعة صدای تیر و تفنگها در فضای نجف بلند شد احدی انتظار این صدا را نداشت؛ انجام: نسبت به قضایای آتیه تاریخ و جغرافی دار الحكومة حاليه نجف را نیز مقدمه بطور خیلی اختصار به عرض ایشان برسانم خط: شکسته نستعلیق، کاتب = مؤلف، تا: قرن ۱۴؛ افتادگی: انجام؛ مصحح، کاغذ: فرنگی خط دار، جلد: تیماج عسلی با ترنج گل و بوته، ۴گ (۱۰-۱۳)، ۲۰ سطر (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۳۱-۱۰۱)</w:t>
      </w:r>
    </w:p>
    <w:p>
      <w:pPr>
        <w:pStyle w:val="BookText"/>
      </w:pPr>
      <w:r>
        <w:rPr>
          <w:rFonts w:ascii="IRNazanin" w:hAnsi="IRNazanin" w:eastAsia="IRNazanin" w:cs="IRNazanin"/>
          <w:lang w:bidi="fa-IR"/>
          <w:color w:val="111111"/>
          <w:sz w:val="28"/>
          <w:szCs w:val="28"/>
          <w:rtl/>
        </w:rPr>
        <w:t xml:space="preserve">٣. قم؛ مرعشی؛ شماره نسخه: ۹۳۲۲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کاتب = مؤلف، تا: قرن ۱۴؛ ۳۰گ، ۲۰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۲۴-۱۱۳]</w:t>
      </w:r>
    </w:p>
    <w:p>
      <w:pPr>
        <w:pStyle w:val="Heading3"/>
      </w:pPr>
      <w:bookmarkStart w:id="2177" w:name="_Toc1437"/>
      <w:r>
        <w:t>•تاریخ جاهلیت / تاریخ / فارسی</w:t>
      </w:r>
      <w:bookmarkEnd w:id="2177"/>
    </w:p>
    <w:p>
      <w:pPr>
        <w:pStyle w:val="BookText"/>
      </w:pPr>
      <w:r>
        <w:rPr>
          <w:rFonts w:ascii="Times New Roman" w:hAnsi="Times New Roman" w:eastAsia="Times New Roman" w:cs="Times New Roman"/>
          <w:lang w:val="en-US" w:bidi="en-US"/>
          <w:color w:val="111111"/>
          <w:sz w:val="28"/>
          <w:szCs w:val="28"/>
          <w:rtl/>
        </w:rPr>
        <w:t xml:space="preserve">tārīx-e jāhelīyat</w:t>
      </w:r>
    </w:p>
    <w:p>
      <w:pPr>
        <w:pStyle w:val="BookText"/>
      </w:pPr>
      <w:r>
        <w:rPr>
          <w:rFonts w:ascii="IRNazanin" w:hAnsi="IRNazanin" w:eastAsia="IRNazanin" w:cs="IRNazanin"/>
          <w:lang w:bidi="fa-IR"/>
          <w:color w:val="111111"/>
          <w:sz w:val="28"/>
          <w:szCs w:val="28"/>
          <w:rtl/>
        </w:rPr>
        <w:t xml:space="preserve">تهران؛ ملی؛ شماره نسخه:۲۷۴۷۳</w:t>
      </w:r>
    </w:p>
    <w:p>
      <w:pPr>
        <w:pStyle w:val="BookText"/>
      </w:pPr>
      <w:r>
        <w:rPr>
          <w:rFonts w:ascii="IRNazanin" w:hAnsi="IRNazanin" w:eastAsia="IRNazanin" w:cs="IRNazanin"/>
          <w:lang w:bidi="fa-IR"/>
          <w:color w:val="111111"/>
          <w:sz w:val="28"/>
          <w:szCs w:val="28"/>
          <w:rtl/>
        </w:rPr>
        <w:t xml:space="preserve">بی کا، بی تا؛ اهدایی: مهدی سراج انصاری [رایانه]</w:t>
      </w:r>
    </w:p>
    <w:p>
      <w:pPr>
        <w:pStyle w:val="Heading3"/>
      </w:pPr>
      <w:bookmarkStart w:id="2178" w:name="_Toc1438"/>
      <w:r>
        <w:t>•تاریخ جائس / تراجم / فارسی</w:t>
      </w:r>
      <w:bookmarkEnd w:id="2178"/>
    </w:p>
    <w:p>
      <w:pPr>
        <w:pStyle w:val="BookText"/>
      </w:pPr>
      <w:r>
        <w:rPr>
          <w:rFonts w:ascii="Times New Roman" w:hAnsi="Times New Roman" w:eastAsia="Times New Roman" w:cs="Times New Roman"/>
          <w:lang w:val="en-US" w:bidi="en-US"/>
          <w:color w:val="111111"/>
          <w:sz w:val="28"/>
          <w:szCs w:val="28"/>
          <w:rtl/>
        </w:rPr>
        <w:t xml:space="preserve">tārīx-e jā’es</w:t>
      </w:r>
    </w:p>
    <w:p>
      <w:pPr>
        <w:pStyle w:val="BookText"/>
      </w:pPr>
      <w:r>
        <w:rPr>
          <w:rFonts w:ascii="IRNazanin" w:hAnsi="IRNazanin" w:eastAsia="IRNazanin" w:cs="IRNazanin"/>
          <w:lang w:bidi="fa-IR"/>
          <w:color w:val="111111"/>
          <w:sz w:val="28"/>
          <w:szCs w:val="28"/>
          <w:rtl/>
        </w:rPr>
        <w:t xml:space="preserve">جائسی، عبد القادر خان، ق۱۳ قمری</w:t>
      </w:r>
    </w:p>
    <w:p>
      <w:pPr>
        <w:pStyle w:val="BookText"/>
      </w:pPr>
      <w:r>
        <w:rPr>
          <w:rFonts w:ascii="Times New Roman" w:hAnsi="Times New Roman" w:eastAsia="Times New Roman" w:cs="Times New Roman"/>
          <w:lang w:val="en-US" w:bidi="en-US"/>
          <w:color w:val="111111"/>
          <w:sz w:val="28"/>
          <w:szCs w:val="28"/>
          <w:rtl/>
        </w:rPr>
        <w:t xml:space="preserve">ja'esi, abd-ol-qaderxan (-19c)</w:t>
      </w:r>
    </w:p>
    <w:p>
      <w:pPr>
        <w:pStyle w:val="BookText"/>
      </w:pPr>
      <w:r>
        <w:rPr>
          <w:rFonts w:ascii="IRNazanin" w:hAnsi="IRNazanin" w:eastAsia="IRNazanin" w:cs="IRNazanin"/>
          <w:lang w:bidi="fa-IR"/>
          <w:color w:val="111111"/>
          <w:sz w:val="28"/>
          <w:szCs w:val="28"/>
          <w:rtl/>
        </w:rPr>
        <w:t xml:space="preserve">عبد القادر از علاقمندان به تصوف و از مریدان شیخ غفور اشرف اشرفی جائسی بود و در این اثر شرح حال بزرگان صوفیه در جائس را به تفصیل آورده است. مؤلف برای کتاب نام خاصی انتخاب نکرده است ولی در فهرست کتابخانه ندوة العلماء به عنوان «تاریخ جائس» معرفی شده است. نسخه منحصر به فرد تاریخ جائس در کتابخانه ندوة العلماء در لکهنو نگهداری می شود.</w:t>
      </w:r>
    </w:p>
    <w:p>
      <w:pPr>
        <w:pStyle w:val="BookText"/>
      </w:pPr>
      <w:r>
        <w:rPr>
          <w:rFonts w:ascii="IRNazanin" w:hAnsi="IRNazanin" w:eastAsia="IRNazanin" w:cs="IRNazanin"/>
          <w:lang w:bidi="fa-IR"/>
          <w:color w:val="111111"/>
          <w:sz w:val="28"/>
          <w:szCs w:val="28"/>
          <w:rtl/>
        </w:rPr>
        <w:t xml:space="preserve">[دانشنامه ادب فارسی ۱۸۹۱/۴ -۱۸۹۲؛ فهرستواره منزوی ۱۱۶۹/۲ ]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428" w:name="pg20363_209730"/>
    <w:bookmarkEnd w:id="428"/>
    <w:p>
      <w:pPr>
        <w:pStyle w:val="BookText"/>
      </w:pPr>
      <w:r>
        <w:rPr>
          <w:rFonts w:ascii="IRNazanin" w:hAnsi="IRNazanin" w:eastAsia="IRNazanin" w:cs="IRNazanin"/>
          <w:lang w:bidi="fa-IR"/>
          <w:color w:val="111111"/>
          <w:sz w:val="28"/>
          <w:szCs w:val="28"/>
          <w:rtl/>
        </w:rPr>
        <w:t xml:space="preserve">قم؛ مرعشی؛ شماره نسخه:۱۷۲۸</w:t>
      </w:r>
    </w:p>
    <w:p>
      <w:pPr>
        <w:pStyle w:val="BookText"/>
      </w:pPr>
      <w:r>
        <w:rPr>
          <w:rFonts w:ascii="IRNazanin" w:hAnsi="IRNazanin" w:eastAsia="IRNazanin" w:cs="IRNazanin"/>
          <w:lang w:bidi="fa-IR"/>
          <w:color w:val="111111"/>
          <w:sz w:val="28"/>
          <w:szCs w:val="28"/>
          <w:rtl/>
        </w:rPr>
        <w:t xml:space="preserve">آغاز: بسمله. حمدله. و الصلوة و السلام على رسوله محمد و آله و اصحابه أجمعين، أما بعد در اوائل ورود مسعود که قصبه جایس بقدوم کرامت لزوم جناب سیادت مآب قطب الاقطاب غوث الصمدانی ... میر سید اشرف جهانگیر سمنانی قدس الله سره العزيز رونق پذیر گشت، شرفا و اکابر خیلداران که عبارت از منصب داران صاحب؛ انجام: بیان حضرت مرشدی بواسطه میان منگری مرحوم شنیده ام می نویسم فقط، تمت. نسخه اصل: کتابخانه ندوة العلماء، لكهنو، هند، شماره ۱۱ (ردیف ۱۰۶)؛ خط: نستعلیق، بی کا، بیتا؛ مصحح؛ انجامه کاتب: «تمت تمام شد - کار من نظام شد، از رساله مولوی شیخ عبدالقادر خان صاحب بنارسی مدفن جایسی موطن، تحریر شد»؛ ۱۱۰ص، ۱۴ سطر [عکسی ف: ۵-۱۶۶]</w:t>
      </w:r>
    </w:p>
    <w:p>
      <w:pPr>
        <w:pStyle w:val="Heading3"/>
      </w:pPr>
      <w:bookmarkStart w:id="2179" w:name="_Toc1439"/>
      <w:r>
        <w:t>• تاریخ (جدول) / تاریخ / ترکی، فارسی</w:t>
      </w:r>
      <w:bookmarkEnd w:id="2179"/>
    </w:p>
    <w:p>
      <w:pPr>
        <w:pStyle w:val="BookText"/>
      </w:pPr>
      <w:r>
        <w:rPr>
          <w:rFonts w:ascii="Times New Roman" w:hAnsi="Times New Roman" w:eastAsia="Times New Roman" w:cs="Times New Roman"/>
          <w:lang w:val="en-US" w:bidi="en-US"/>
          <w:color w:val="111111"/>
          <w:sz w:val="28"/>
          <w:szCs w:val="28"/>
          <w:rtl/>
        </w:rPr>
        <w:t xml:space="preserve">tārīx (jadval)</w:t>
      </w:r>
    </w:p>
    <w:p>
      <w:pPr>
        <w:pStyle w:val="BookText"/>
      </w:pPr>
      <w:r>
        <w:rPr>
          <w:rFonts w:ascii="IRNazanin" w:hAnsi="IRNazanin" w:eastAsia="IRNazanin" w:cs="IRNazanin"/>
          <w:lang w:bidi="fa-IR"/>
          <w:color w:val="111111"/>
          <w:sz w:val="28"/>
          <w:szCs w:val="28"/>
          <w:rtl/>
        </w:rPr>
        <w:t xml:space="preserve">یک دوره تاریخ عالم است که از ابتدای هبوط آدم شروع و تا حوادث سال ۱۱۷۵ق وقایع عالم على التوالی می آید و در ضمن تعدادی از این وقایع که وابسته به دوران سلاطین عثمانی می باشد به زبان ترکی آمده است. حوادث مندرج در آن ضمن جداولی بیان که به ابتدای آن جداول سال مورد بحث نیز ذکر شده است.</w:t>
      </w:r>
    </w:p>
    <w:p>
      <w:pPr>
        <w:pStyle w:val="BookText"/>
      </w:pPr>
      <w:r>
        <w:rPr>
          <w:rFonts w:ascii="IRNazanin" w:hAnsi="IRNazanin" w:eastAsia="IRNazanin" w:cs="IRNazanin"/>
          <w:lang w:bidi="fa-IR"/>
          <w:color w:val="111111"/>
          <w:sz w:val="28"/>
          <w:szCs w:val="28"/>
          <w:rtl/>
        </w:rPr>
        <w:t xml:space="preserve">تهران؛ ملی؛ شماره نسخه: ۲۰۷۲</w:t>
      </w:r>
    </w:p>
    <w:p>
      <w:pPr>
        <w:pStyle w:val="BookText"/>
      </w:pPr>
      <w:r>
        <w:rPr>
          <w:rFonts w:ascii="IRNazanin" w:hAnsi="IRNazanin" w:eastAsia="IRNazanin" w:cs="IRNazanin"/>
          <w:lang w:bidi="fa-IR"/>
          <w:color w:val="111111"/>
          <w:sz w:val="28"/>
          <w:szCs w:val="28"/>
          <w:rtl/>
        </w:rPr>
        <w:t xml:space="preserve">آغاز: ظاهر میگردد از آن کیفیت تعلیم و امیدوار است از کاملين و مطلعين؛ انجام: ال کیومرث ... و طبرستان سنه ۹۵۷</w:t>
      </w:r>
    </w:p>
    <w:p>
      <w:pPr>
        <w:pStyle w:val="BookText"/>
      </w:pPr>
      <w:r>
        <w:rPr>
          <w:rFonts w:ascii="IRNazanin" w:hAnsi="IRNazanin" w:eastAsia="IRNazanin" w:cs="IRNazanin"/>
          <w:lang w:bidi="fa-IR"/>
          <w:color w:val="111111"/>
          <w:sz w:val="28"/>
          <w:szCs w:val="28"/>
          <w:rtl/>
        </w:rPr>
        <w:t xml:space="preserve">خط: نستعلیق، بی کا، تا: محتملا قرن ۱۲؛ افتادگی: آغاز؛ کاغذ: فرنگی، جلد: تیماج ماشی، ۲۴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۵-۸۱]</w:t>
      </w:r>
    </w:p>
    <w:p>
      <w:pPr>
        <w:pStyle w:val="Heading3"/>
      </w:pPr>
      <w:bookmarkStart w:id="2180" w:name="_Toc1440"/>
      <w:r>
        <w:t>•تاریخ جدید / تاریخ ایران، بهائیت / فارسی</w:t>
      </w:r>
      <w:bookmarkEnd w:id="2180"/>
    </w:p>
    <w:p>
      <w:pPr>
        <w:pStyle w:val="BookText"/>
      </w:pPr>
      <w:r>
        <w:rPr>
          <w:rFonts w:ascii="Times New Roman" w:hAnsi="Times New Roman" w:eastAsia="Times New Roman" w:cs="Times New Roman"/>
          <w:lang w:val="en-US" w:bidi="en-US"/>
          <w:color w:val="111111"/>
          <w:sz w:val="28"/>
          <w:szCs w:val="28"/>
          <w:rtl/>
        </w:rPr>
        <w:t xml:space="preserve">tārīx-e jadīd</w:t>
      </w:r>
    </w:p>
    <w:p>
      <w:pPr>
        <w:pStyle w:val="BookText"/>
      </w:pPr>
      <w:r>
        <w:rPr>
          <w:rFonts w:ascii="IRNazanin" w:hAnsi="IRNazanin" w:eastAsia="IRNazanin" w:cs="IRNazanin"/>
          <w:lang w:bidi="fa-IR"/>
          <w:color w:val="111111"/>
          <w:sz w:val="28"/>
          <w:szCs w:val="28"/>
          <w:rtl/>
        </w:rPr>
        <w:t xml:space="preserve">همدانی، میرزا حسین،-۱۲۹۹ قمری</w:t>
      </w:r>
    </w:p>
    <w:p>
      <w:pPr>
        <w:pStyle w:val="BookText"/>
      </w:pPr>
      <w:r>
        <w:rPr>
          <w:rFonts w:ascii="Times New Roman" w:hAnsi="Times New Roman" w:eastAsia="Times New Roman" w:cs="Times New Roman"/>
          <w:lang w:val="en-US" w:bidi="en-US"/>
          <w:color w:val="111111"/>
          <w:sz w:val="28"/>
          <w:szCs w:val="28"/>
          <w:rtl/>
        </w:rPr>
        <w:t xml:space="preserve">hamadānī, mīrzā hoseyn (-1882)</w:t>
      </w:r>
    </w:p>
    <w:p>
      <w:pPr>
        <w:pStyle w:val="BookText"/>
      </w:pPr>
      <w:r>
        <w:rPr>
          <w:rFonts w:ascii="IRNazanin" w:hAnsi="IRNazanin" w:eastAsia="IRNazanin" w:cs="IRNazanin"/>
          <w:lang w:bidi="fa-IR"/>
          <w:color w:val="111111"/>
          <w:sz w:val="28"/>
          <w:szCs w:val="28"/>
          <w:rtl/>
        </w:rPr>
        <w:t xml:space="preserve">تاریخ باب و بهاست. چون مؤلف تقلید در مذهب و دین را جائز نمی دانسته در سفری که به ایران آمده وقایع اتفاقیه خود را آورده تا عبرتی برای دیگران باشد، مؤلف پس از سیاحت در جميع فرنگستان و اروپا و هندوستان و بررسی ملل و ادیان این ممالک، به ایران رسیده و قصد ماندگاری نداشته، ولی پس از اقامت با طایفه بابی ها ارتباط برقرار کرده و نسبتا مفصل به حالات و عقاید و شرح حال علمای آنان پرداخته است.</w:t>
      </w:r>
    </w:p>
    <w:p>
      <w:pPr>
        <w:pStyle w:val="BookText"/>
      </w:pPr>
      <w:r>
        <w:rPr>
          <w:rFonts w:ascii="IRNazanin" w:hAnsi="IRNazanin" w:eastAsia="IRNazanin" w:cs="IRNazanin"/>
          <w:lang w:bidi="fa-IR"/>
          <w:color w:val="111111"/>
          <w:sz w:val="28"/>
          <w:szCs w:val="28"/>
          <w:rtl/>
        </w:rPr>
        <w:t xml:space="preserve">مؤلف این کتاب که خود را سیاح فرانسوی معرفی کرده است تألیف خود را در دو دفتر تنظیم نموده است: دفتر اول: در تاریخ این فرقه؛ دفتر دوم: در بیان عقائد این فرقه. (سید جعفر حسینی) برون آن را به انگلیسی برگردانده است (چاپ کیمبریج در ۱۸۹۳ )</w:t>
      </w:r>
    </w:p>
    <w:p>
      <w:pPr>
        <w:pStyle w:val="BookText"/>
      </w:pPr>
      <w:r>
        <w:rPr>
          <w:rFonts w:ascii="IRNazanin" w:hAnsi="IRNazanin" w:eastAsia="IRNazanin" w:cs="IRNazanin"/>
          <w:lang w:bidi="fa-IR"/>
          <w:color w:val="111111"/>
          <w:sz w:val="28"/>
          <w:szCs w:val="28"/>
          <w:rtl/>
        </w:rPr>
        <w:t xml:space="preserve">آغاز: خورده بینان به فر فراست دریافت کنند و دانشمندان بصیر به عین الیقین بینند و هوشمندان خبير به نور کیاست و دانش دانند</w:t>
      </w:r>
    </w:p>
    <w:p>
      <w:pPr>
        <w:pStyle w:val="BookText"/>
      </w:pPr>
      <w:r>
        <w:rPr>
          <w:rFonts w:ascii="IRNazanin" w:hAnsi="IRNazanin" w:eastAsia="IRNazanin" w:cs="IRNazanin"/>
          <w:lang w:bidi="fa-IR"/>
          <w:color w:val="111111"/>
          <w:sz w:val="28"/>
          <w:szCs w:val="28"/>
          <w:rtl/>
        </w:rPr>
        <w:t xml:space="preserve">[ نسخه های منزوی ص ۱۷۳۶؛ فهرست نیکولسون ص ۷۷؛ ذیل ریو ش ۱۵؛ فهرستواره منزوی ۸۵۷/۲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نسخه:۳۳۵۰-ف</w:t>
      </w:r>
    </w:p>
    <w:p>
      <w:pPr>
        <w:pStyle w:val="BookText"/>
      </w:pPr>
      <w:r>
        <w:rPr>
          <w:rFonts w:ascii="IRNazanin" w:hAnsi="IRNazanin" w:eastAsia="IRNazanin" w:cs="IRNazanin"/>
          <w:lang w:bidi="fa-IR"/>
          <w:color w:val="111111"/>
          <w:sz w:val="28"/>
          <w:szCs w:val="28"/>
          <w:rtl/>
        </w:rPr>
        <w:t xml:space="preserve">خط: نسخ، بی کا، تا: ۶ ذیقعده ۱۳۲۹ق [فيلمها ف: ۲-۱۲۸]</w:t>
      </w:r>
    </w:p>
    <w:p>
      <w:pPr>
        <w:pStyle w:val="BookText"/>
      </w:pPr>
      <w:r>
        <w:rPr>
          <w:rFonts w:ascii="IRNazanin" w:hAnsi="IRNazanin" w:eastAsia="IRNazanin" w:cs="IRNazanin"/>
          <w:lang w:bidi="fa-IR"/>
          <w:color w:val="111111"/>
          <w:sz w:val="28"/>
          <w:szCs w:val="28"/>
          <w:rtl/>
        </w:rPr>
        <w:t xml:space="preserve">۲. زهان؛ مدرسه جعفریه زهان، شماره نسخه:۱۲۶</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تا: شنبه از ذیحجه ۱۳۳۱ق؛ دو برگ آخر لوح جابر در فضائل فاطمه زهراء (سلام الله علیها)؛ جلد: تیماج قهوه ای، ۲۱۵گ، ۱۹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۹۸]</w:t>
      </w:r>
    </w:p>
    <w:p>
      <w:pPr>
        <w:pStyle w:val="BookText"/>
      </w:pPr>
      <w:r>
        <w:rPr>
          <w:rFonts w:ascii="IRNazanin" w:hAnsi="IRNazanin" w:eastAsia="IRNazanin" w:cs="IRNazanin"/>
          <w:lang w:bidi="fa-IR"/>
          <w:color w:val="111111"/>
          <w:sz w:val="28"/>
          <w:szCs w:val="28"/>
          <w:rtl/>
        </w:rPr>
        <w:t xml:space="preserve">٣. تهران، دانشگاه؛ شماره نسخه: ۴۰۴۶/۱ -ف</w:t>
      </w:r>
    </w:p>
    <w:p>
      <w:pPr>
        <w:pStyle w:val="BookText"/>
      </w:pPr>
      <w:r>
        <w:rPr>
          <w:rFonts w:ascii="IRNazanin" w:hAnsi="IRNazanin" w:eastAsia="IRNazanin" w:cs="IRNazanin"/>
          <w:lang w:bidi="fa-IR"/>
          <w:color w:val="111111"/>
          <w:sz w:val="28"/>
          <w:szCs w:val="28"/>
          <w:rtl/>
        </w:rPr>
        <w:t xml:space="preserve">نسخه اصل: کیمبریج (9) </w:t>
      </w:r>
      <w:r>
        <w:rPr>
          <w:rFonts w:ascii="Times New Roman" w:hAnsi="Times New Roman" w:eastAsia="Times New Roman" w:cs="Times New Roman"/>
          <w:lang w:val="en-US" w:bidi="en-US"/>
          <w:color w:val="111111"/>
          <w:sz w:val="28"/>
          <w:szCs w:val="28"/>
          <w:rtl/>
        </w:rPr>
        <w:t xml:space="preserve">F56(7), F55 </w:t>
      </w:r>
      <w:r>
        <w:rPr>
          <w:rFonts w:ascii="IRNazanin" w:hAnsi="IRNazanin" w:eastAsia="IRNazanin" w:cs="IRNazanin"/>
          <w:lang w:bidi="fa-IR"/>
          <w:color w:val="111111"/>
          <w:sz w:val="28"/>
          <w:szCs w:val="28"/>
          <w:rtl/>
        </w:rPr>
        <w:t xml:space="preserve">؛ بی کا، بی تا [فيلمها ف: ۳ ]</w:t>
      </w:r>
    </w:p>
    <w:p>
      <w:pPr>
        <w:pStyle w:val="Heading3"/>
      </w:pPr>
      <w:bookmarkStart w:id="2181" w:name="_Toc1441"/>
      <w:r>
        <w:t>• تاریخ جدید / تاریخ / فارسی</w:t>
      </w:r>
      <w:bookmarkEnd w:id="2181"/>
    </w:p>
    <w:p>
      <w:pPr>
        <w:pStyle w:val="BookText"/>
      </w:pPr>
      <w:r>
        <w:rPr>
          <w:rFonts w:ascii="Times New Roman" w:hAnsi="Times New Roman" w:eastAsia="Times New Roman" w:cs="Times New Roman"/>
          <w:lang w:val="en-US" w:bidi="en-US"/>
          <w:color w:val="111111"/>
          <w:sz w:val="28"/>
          <w:szCs w:val="28"/>
          <w:rtl/>
        </w:rPr>
        <w:t xml:space="preserve">tārīx-e jadīd</w:t>
      </w:r>
    </w:p>
    <w:p>
      <w:pPr>
        <w:pStyle w:val="BookText"/>
      </w:pPr>
      <w:r>
        <w:rPr>
          <w:rFonts w:ascii="IRNazanin" w:hAnsi="IRNazanin" w:eastAsia="IRNazanin" w:cs="IRNazanin"/>
          <w:lang w:bidi="fa-IR"/>
          <w:color w:val="111111"/>
          <w:sz w:val="28"/>
          <w:szCs w:val="28"/>
          <w:rtl/>
        </w:rPr>
        <w:t xml:space="preserve">معتمد الملک</w:t>
      </w:r>
    </w:p>
    <w:p>
      <w:pPr>
        <w:pStyle w:val="BookText"/>
      </w:pPr>
      <w:r>
        <w:rPr>
          <w:rFonts w:ascii="Times New Roman" w:hAnsi="Times New Roman" w:eastAsia="Times New Roman" w:cs="Times New Roman"/>
          <w:lang w:val="en-US" w:bidi="en-US"/>
          <w:color w:val="111111"/>
          <w:sz w:val="28"/>
          <w:szCs w:val="28"/>
          <w:rtl/>
        </w:rPr>
        <w:t xml:space="preserve">moʻtamed-ol-molk</w:t>
      </w:r>
    </w:p>
    <w:p>
      <w:pPr>
        <w:pStyle w:val="BookText"/>
      </w:pPr>
      <w:r>
        <w:rPr>
          <w:rFonts w:ascii="IRNazanin" w:hAnsi="IRNazanin" w:eastAsia="IRNazanin" w:cs="IRNazanin"/>
          <w:lang w:bidi="fa-IR"/>
          <w:color w:val="111111"/>
          <w:sz w:val="28"/>
          <w:szCs w:val="28"/>
          <w:rtl/>
        </w:rPr>
        <w:t xml:space="preserve">تاریخ جدید اروپا را در سه «قسمت» گزارش کرده است: کیفیت تأسیس یا تشکیل دول امروزه اروپا، کشف اراضی جدید و نتایج حاصله آن، اختراعات مهمه و ترقی مادی و معنوی اورپ. آغاز: تاریخ عمومی و خصوصی هر ملتی را بمناسبت وقایع عمومی و خصوصی هر ملتی تقسیم و تنظیم می توان کرد.</w:t>
      </w:r>
    </w:p>
    <w:p>
      <w:pPr>
        <w:pStyle w:val="BookText"/>
      </w:pPr>
      <w:r>
        <w:rPr>
          <w:rFonts w:ascii="IRNazanin" w:hAnsi="IRNazanin" w:eastAsia="IRNazanin" w:cs="IRNazanin"/>
          <w:lang w:bidi="fa-IR"/>
          <w:color w:val="111111"/>
          <w:sz w:val="28"/>
          <w:szCs w:val="28"/>
          <w:rtl/>
        </w:rPr>
        <w:t xml:space="preserve">مشهد؛ میبدی؛ شماره نسخه:۴۶۰/۳</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کا: محمود خان دانشجوی کلاس چهارم مدرسه سیاسی، بی تا، جلد: گالینگور سبز، ۲۸۳گ (۱۳۹پ-۴۲۱ر)،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۲-۱۳۹]</w:t>
      </w:r>
    </w:p>
    <w:p>
      <w:pPr>
        <w:pStyle w:val="Heading3"/>
      </w:pPr>
      <w:bookmarkStart w:id="2182" w:name="_Toc1442"/>
      <w:r>
        <w:t>• تاریخ جدید (ترجمه) / تاریخ / فارسی</w:t>
      </w:r>
      <w:bookmarkEnd w:id="2182"/>
    </w:p>
    <w:p>
      <w:pPr>
        <w:pStyle w:val="BookText"/>
      </w:pPr>
      <w:r>
        <w:rPr>
          <w:rFonts w:ascii="Times New Roman" w:hAnsi="Times New Roman" w:eastAsia="Times New Roman" w:cs="Times New Roman"/>
          <w:lang w:val="en-US" w:bidi="en-US"/>
          <w:color w:val="111111"/>
          <w:sz w:val="28"/>
          <w:szCs w:val="28"/>
          <w:rtl/>
        </w:rPr>
        <w:t xml:space="preserve">tārīx-e jadīd (t.)</w:t>
      </w:r>
    </w:p>
    <w:p>
      <w:pPr>
        <w:pStyle w:val="BookText"/>
      </w:pPr>
      <w:r>
        <w:rPr>
          <w:rFonts w:ascii="IRNazanin" w:hAnsi="IRNazanin" w:eastAsia="IRNazanin" w:cs="IRNazanin"/>
          <w:lang w:bidi="fa-IR"/>
          <w:color w:val="111111"/>
          <w:sz w:val="28"/>
          <w:szCs w:val="28"/>
          <w:rtl/>
        </w:rPr>
        <w:t xml:space="preserve">ماردروس، ق۱۹ میلادی</w:t>
      </w:r>
    </w:p>
    <w:p>
      <w:pPr>
        <w:pStyle w:val="BookText"/>
      </w:pPr>
      <w:r>
        <w:rPr>
          <w:rFonts w:ascii="Times New Roman" w:hAnsi="Times New Roman" w:eastAsia="Times New Roman" w:cs="Times New Roman"/>
          <w:lang w:val="en-US" w:bidi="en-US"/>
          <w:color w:val="111111"/>
          <w:sz w:val="28"/>
          <w:szCs w:val="28"/>
          <w:rtl/>
        </w:rPr>
        <w:t xml:space="preserve">mārdrūs (-19c)</w:t>
      </w:r>
    </w:p>
    <w:p>
      <w:pPr>
        <w:pStyle w:val="BookText"/>
      </w:pPr>
      <w:r>
        <w:rPr>
          <w:rFonts w:ascii="IRNazanin" w:hAnsi="IRNazanin" w:eastAsia="IRNazanin" w:cs="IRNazanin"/>
          <w:lang w:bidi="fa-IR"/>
          <w:color w:val="111111"/>
          <w:sz w:val="28"/>
          <w:szCs w:val="28"/>
          <w:rtl/>
        </w:rPr>
        <w:t xml:space="preserve">معتمد الملک تاریخ تأليف: ۱۵ محرم ۱۲۸۷ق از: لامه فلوریه، مترجم: ماردروس داود خانف و معتمد الملك.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429" w:name="pg20363_209731"/>
    <w:bookmarkEnd w:id="429"/>
    <w:p>
      <w:pPr>
        <w:pStyle w:val="BookText"/>
      </w:pPr>
      <w:r>
        <w:rPr>
          <w:rFonts w:ascii="IRNazanin" w:hAnsi="IRNazanin" w:eastAsia="IRNazanin" w:cs="IRNazanin"/>
          <w:lang w:bidi="fa-IR"/>
          <w:color w:val="111111"/>
          <w:sz w:val="28"/>
          <w:szCs w:val="28"/>
          <w:rtl/>
        </w:rPr>
        <w:t xml:space="preserve">شامل تاریخ اروپا و وقایع کشورهای اروپایی تا سال ۱۷۷۴م است مترجم با کمک معتمد الملک آن را به سبک خاصی از فرانسه به فارسی برگردانده است.</w:t>
      </w:r>
    </w:p>
    <w:p>
      <w:pPr>
        <w:pStyle w:val="BookText"/>
      </w:pPr>
      <w:r>
        <w:rPr>
          <w:rFonts w:ascii="IRNazanin" w:hAnsi="IRNazanin" w:eastAsia="IRNazanin" w:cs="IRNazanin"/>
          <w:lang w:bidi="fa-IR"/>
          <w:color w:val="111111"/>
          <w:sz w:val="28"/>
          <w:szCs w:val="28"/>
          <w:rtl/>
        </w:rPr>
        <w:t xml:space="preserve">تهران؛ ملی؛ شماره نسخه: ۲۲۰</w:t>
      </w:r>
    </w:p>
    <w:p>
      <w:pPr>
        <w:pStyle w:val="BookText"/>
      </w:pPr>
      <w:r>
        <w:rPr>
          <w:rFonts w:ascii="IRNazanin" w:hAnsi="IRNazanin" w:eastAsia="IRNazanin" w:cs="IRNazanin"/>
          <w:lang w:bidi="fa-IR"/>
          <w:color w:val="111111"/>
          <w:sz w:val="28"/>
          <w:szCs w:val="28"/>
          <w:rtl/>
        </w:rPr>
        <w:t xml:space="preserve">آغاز: تاریخ جدید که مختصرة نقل شده. مستدعی از دوستان چنانم که اگر نقشه جغرافیایی اروپا حاضر داشته باشند کمال ملاحظه و دقت را در سمت شمالی آن نقشه نمایند. انجام: فهرست وقایع تاریخ فرانسه که مقارن این گزارشات مشروح می باشد در سنه ۱۷۷۴ فوت لوى پانزدهم و جلوس لوی شانزدهم بر تخت سلطنت فرانسه</w:t>
      </w:r>
    </w:p>
    <w:p>
      <w:pPr>
        <w:pStyle w:val="BookText"/>
      </w:pPr>
      <w:r>
        <w:rPr>
          <w:rFonts w:ascii="IRNazanin" w:hAnsi="IRNazanin" w:eastAsia="IRNazanin" w:cs="IRNazanin"/>
          <w:lang w:bidi="fa-IR"/>
          <w:color w:val="111111"/>
          <w:sz w:val="28"/>
          <w:szCs w:val="28"/>
          <w:rtl/>
        </w:rPr>
        <w:t xml:space="preserve">جلد دوم؛ خط: نستعلیق، بی کا، تا: ۱۵ محرم ۱۲۸۷ق، جا: تهران؛ با سرلوح مذهب، مجدول؛ در صفحه دوم نوشته شده: «تماما ملاحظه شد»؛ کاغذ: فرنگی، جلد: تیماج سیاه با گل و بته زر، ۱۶۸گ، ۱۲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۲۶/۵سم [ف: ۱-۲۱۳]</w:t>
      </w:r>
    </w:p>
    <w:p>
      <w:pPr>
        <w:pStyle w:val="Heading3"/>
      </w:pPr>
      <w:bookmarkStart w:id="2183" w:name="_Toc1443"/>
      <w:r>
        <w:t>• تاریخ جدید / تاریخ / فارسی</w:t>
      </w:r>
      <w:bookmarkEnd w:id="2183"/>
    </w:p>
    <w:p>
      <w:pPr>
        <w:pStyle w:val="BookText"/>
      </w:pPr>
      <w:r>
        <w:rPr>
          <w:rFonts w:ascii="Times New Roman" w:hAnsi="Times New Roman" w:eastAsia="Times New Roman" w:cs="Times New Roman"/>
          <w:lang w:val="en-US" w:bidi="en-US"/>
          <w:color w:val="111111"/>
          <w:sz w:val="28"/>
          <w:szCs w:val="28"/>
          <w:rtl/>
        </w:rPr>
        <w:t xml:space="preserve">tārīx-e jadīd</w:t>
      </w:r>
    </w:p>
    <w:p>
      <w:pPr>
        <w:pStyle w:val="BookText"/>
      </w:pPr>
      <w:r>
        <w:rPr>
          <w:rFonts w:ascii="IRNazanin" w:hAnsi="IRNazanin" w:eastAsia="IRNazanin" w:cs="IRNazanin"/>
          <w:lang w:bidi="fa-IR"/>
          <w:color w:val="111111"/>
          <w:sz w:val="28"/>
          <w:szCs w:val="28"/>
          <w:rtl/>
        </w:rPr>
        <w:t xml:space="preserve">تاریخ قرن جدید است که در مدرسه سیاسی قدیم خوانده می شده است.</w:t>
      </w:r>
    </w:p>
    <w:p>
      <w:pPr>
        <w:pStyle w:val="BookText"/>
      </w:pPr>
      <w:r>
        <w:rPr>
          <w:rFonts w:ascii="IRNazanin" w:hAnsi="IRNazanin" w:eastAsia="IRNazanin" w:cs="IRNazanin"/>
          <w:lang w:bidi="fa-IR"/>
          <w:color w:val="111111"/>
          <w:sz w:val="28"/>
          <w:szCs w:val="28"/>
          <w:rtl/>
        </w:rPr>
        <w:t xml:space="preserve">تهران؛ حقوق؛ شماره نسخه:۸۴-د</w:t>
      </w:r>
    </w:p>
    <w:p>
      <w:pPr>
        <w:pStyle w:val="BookText"/>
      </w:pPr>
      <w:r>
        <w:rPr>
          <w:rFonts w:ascii="IRNazanin" w:hAnsi="IRNazanin" w:eastAsia="IRNazanin" w:cs="IRNazanin"/>
          <w:lang w:bidi="fa-IR"/>
          <w:color w:val="111111"/>
          <w:sz w:val="28"/>
          <w:szCs w:val="28"/>
          <w:rtl/>
        </w:rPr>
        <w:t xml:space="preserve">آغاز: بسمله. تاریخ جدید ۱۴۵۳-۱۷۸۹، تاریخ عمومی و خصوصی را هر ملتی ... تنظیم میتواند کرد؛ انجام: کار را منجر بانقلاب تغییر حکومتی فرانسه مینماید خط: نستعلیق، کا: حسین بن علی بن عبدالجلیل، تا: پنج شنبه ۱۳ قوس اول ربیع الاول ۱۳۳۷/۱۲۹۷</w:t>
      </w:r>
    </w:p>
    <w:p>
      <w:pPr>
        <w:pStyle w:val="BookText"/>
      </w:pPr>
      <w:r>
        <w:rPr>
          <w:rFonts w:ascii="IRNazanin" w:hAnsi="IRNazanin" w:eastAsia="IRNazanin" w:cs="IRNazanin"/>
          <w:lang w:bidi="fa-IR"/>
          <w:color w:val="111111"/>
          <w:sz w:val="28"/>
          <w:szCs w:val="28"/>
          <w:rtl/>
        </w:rPr>
        <w:t xml:space="preserve">، کاغذ: فرنگی، جلد: تیماج مشکی، ۳۹۵گ، ۱۵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سم [ف:۲۵)</w:t>
      </w:r>
    </w:p>
    <w:p>
      <w:pPr>
        <w:pStyle w:val="Heading3"/>
      </w:pPr>
      <w:bookmarkStart w:id="2184" w:name="_Toc1444"/>
      <w:r>
        <w:t>• تاریخ جدید یزد / تاریخ ایران / فارسی</w:t>
      </w:r>
      <w:bookmarkEnd w:id="2184"/>
    </w:p>
    <w:p>
      <w:pPr>
        <w:pStyle w:val="BookText"/>
      </w:pPr>
      <w:r>
        <w:rPr>
          <w:rFonts w:ascii="Times New Roman" w:hAnsi="Times New Roman" w:eastAsia="Times New Roman" w:cs="Times New Roman"/>
          <w:lang w:val="en-US" w:bidi="en-US"/>
          <w:color w:val="111111"/>
          <w:sz w:val="28"/>
          <w:szCs w:val="28"/>
          <w:rtl/>
        </w:rPr>
        <w:t xml:space="preserve">tārīx-e jadīd-e yazd</w:t>
      </w:r>
    </w:p>
    <w:p>
      <w:pPr>
        <w:pStyle w:val="BookText"/>
      </w:pPr>
      <w:r>
        <w:rPr>
          <w:rFonts w:ascii="IRNazanin" w:hAnsi="IRNazanin" w:eastAsia="IRNazanin" w:cs="IRNazanin"/>
          <w:lang w:bidi="fa-IR"/>
          <w:color w:val="111111"/>
          <w:sz w:val="28"/>
          <w:szCs w:val="28"/>
          <w:rtl/>
        </w:rPr>
        <w:t xml:space="preserve">کاتب یزدی، احمد بن حسین، ق۹ قمری</w:t>
      </w:r>
    </w:p>
    <w:p>
      <w:pPr>
        <w:pStyle w:val="BookText"/>
      </w:pPr>
      <w:r>
        <w:rPr>
          <w:rFonts w:ascii="Times New Roman" w:hAnsi="Times New Roman" w:eastAsia="Times New Roman" w:cs="Times New Roman"/>
          <w:lang w:val="en-US" w:bidi="en-US"/>
          <w:color w:val="111111"/>
          <w:sz w:val="28"/>
          <w:szCs w:val="28"/>
          <w:rtl/>
        </w:rPr>
        <w:t xml:space="preserve">kāteb-e yazdī, ahmad ebn-e hoseyn (-15c)</w:t>
      </w:r>
    </w:p>
    <w:p>
      <w:pPr>
        <w:pStyle w:val="BookText"/>
      </w:pPr>
      <w:r>
        <w:rPr>
          <w:rFonts w:ascii="IRNazanin" w:hAnsi="IRNazanin" w:eastAsia="IRNazanin" w:cs="IRNazanin"/>
          <w:lang w:bidi="fa-IR"/>
          <w:color w:val="111111"/>
          <w:sz w:val="28"/>
          <w:szCs w:val="28"/>
          <w:rtl/>
        </w:rPr>
        <w:t xml:space="preserve">اهدا به: جهانشاه قره قویونلو (۸۳۹-۸۷۲ق) تاریخ تألیف: ۸۸۱ق؛ محل تأليف: یزد کتاب در ۸۸۱ ق به انجام رسیده، در آغاز کتاب از تاریخ ۸۵۰ یاد شده است پس کتاب میان این دو تاریخ ساخته شده است. در دوازده مقاله: ۱. سلطنت اسکندر فيلفوس؛ ۲. ملوک فرس از اردشیر بابکان تا یزدگرد بزه کار و ساختن كثه و بیده و عقدا؛ ۳. عمارت هایی که در یزد شده در اسلام؛ ۴. آمدن جلال الدين شاه سلجوقی به سپاهان و علاءالدوله بیرد؛ ۵. اتابکان یزد پس از با کالنجار تا سلغرشاه؛ ۶. بنی مظفر؛ ۷. عمارت ها که در یزد شده از زمان تیمور گورکان تا زمان مؤلف؛ ۸ مساجد و مدارس و مزارت و مقابر و سرگذشت برخی از مشایخ و تاریخ مرگ آنها؛ . باغستان و محلات آن و باغ های اهرستان و کثنویه و مریا باد و یعقوبی و سلفر آباد و آسیاهای اهرستان؛ ۱۰. آبها و کاریز ها و چاه های یزد؛ ۱۱. مرک خاقان معینی شاهرخی و سلطنت سلطان محمد؛ ۱۲. سلطنت جهان شاه تا سال ۷۶۲. (دانش پژوه) آغاز: 1: بسمله، برفت رسم تمیز و نماند عرض و وقار نه عزت فقرا و نه حرمت مهمان ۲: بسمله، حمد و ثنا و سپاس سزاوار پروردگار یست که عالم و آدم را آفریده و آسمان و زمین اثری از آثار کبریا و عظمت و جلال اوست ... چنین گویند مؤلف این رساله ... احمد بن حسین بن على الكاتب ... بدان ای عزیز من که این رساله ایست موسوم بتاریخ جدید منسوب بتاريخ ... يزد چاپ: مشار ۱۰۶۴/۱ (۳ چاپ)</w:t>
      </w:r>
    </w:p>
    <w:p>
      <w:pPr>
        <w:pStyle w:val="BookText"/>
      </w:pPr>
      <w:r>
        <w:rPr>
          <w:rFonts w:ascii="IRNazanin" w:hAnsi="IRNazanin" w:eastAsia="IRNazanin" w:cs="IRNazanin"/>
          <w:lang w:bidi="fa-IR"/>
          <w:color w:val="111111"/>
          <w:sz w:val="28"/>
          <w:szCs w:val="28"/>
          <w:rtl/>
        </w:rPr>
        <w:t xml:space="preserve">[دنا ۶۹۳/۲ ؛ دیباچه تاریخ یزد آیتی چاپ ۱۳۱۷ در یزد ص۱۷؛ مشار ۳۱۰؛ تاریخ یزد جعفری ص ۱۷۱؛ نسخه های منزوی ۴۲۴۰/۶ ؛ فهرستواره منزوی ۸۵۸/۲]</w:t>
      </w:r>
    </w:p>
    <w:p>
      <w:pPr>
        <w:pStyle w:val="BookText"/>
      </w:pPr>
      <w:r>
        <w:rPr>
          <w:rFonts w:ascii="IRNazanin" w:hAnsi="IRNazanin" w:eastAsia="IRNazanin" w:cs="IRNazanin"/>
          <w:lang w:bidi="fa-IR"/>
          <w:color w:val="111111"/>
          <w:sz w:val="28"/>
          <w:szCs w:val="28"/>
          <w:rtl/>
        </w:rPr>
        <w:t xml:space="preserve">۱. تهران: ملک؛ شماره نسخه:۳۸۷۶</w:t>
      </w:r>
    </w:p>
    <w:p>
      <w:pPr>
        <w:pStyle w:val="BookText"/>
      </w:pPr>
      <w:r>
        <w:rPr>
          <w:rFonts w:ascii="IRNazanin" w:hAnsi="IRNazanin" w:eastAsia="IRNazanin" w:cs="IRNazanin"/>
          <w:lang w:bidi="fa-IR"/>
          <w:color w:val="111111"/>
          <w:sz w:val="28"/>
          <w:szCs w:val="28"/>
          <w:rtl/>
        </w:rPr>
        <w:t xml:space="preserve">خط: نستعلیق، بی کا، تا: قرن ۱۱؛ افتادگی: وسط؛ کاغذ: کاغذ ترمه، جلد: میشن قرمز، ۱۴۰گ، ۱۸ سطر، اندازه: ۲۱/۷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۱۳/۲ سم [ف: ۲-۷۹]</w:t>
      </w:r>
    </w:p>
    <w:p>
      <w:pPr>
        <w:pStyle w:val="BookText"/>
      </w:pPr>
      <w:r>
        <w:rPr>
          <w:rFonts w:ascii="IRNazanin" w:hAnsi="IRNazanin" w:eastAsia="IRNazanin" w:cs="IRNazanin"/>
          <w:lang w:bidi="fa-IR"/>
          <w:color w:val="111111"/>
          <w:sz w:val="28"/>
          <w:szCs w:val="28"/>
          <w:rtl/>
        </w:rPr>
        <w:t xml:space="preserve">۲. تهران؛ مجلس؛ شماره نسخه: ۸۲۸۱</w:t>
      </w:r>
    </w:p>
    <w:p>
      <w:pPr>
        <w:pStyle w:val="BookText"/>
      </w:pPr>
      <w:r>
        <w:rPr>
          <w:rFonts w:ascii="IRNazanin" w:hAnsi="IRNazanin" w:eastAsia="IRNazanin" w:cs="IRNazanin"/>
          <w:lang w:bidi="fa-IR"/>
          <w:color w:val="111111"/>
          <w:sz w:val="28"/>
          <w:szCs w:val="28"/>
          <w:rtl/>
        </w:rPr>
        <w:t xml:space="preserve">آغاز: بسمله هست در چارسوی کون و فساد، انجام: که چون بر خواند این گوید دعائی خط: نستعلیق، بی کا، تا: احتمالا قرن ۱۱؛ از ص ۲۸۰ تا ۲۹۵ گویا نونویس و به خط محمد ابراهيم سنه ۱۲۲۸؛ مصحح؛ جلد: رونی</w:t>
      </w:r>
    </w:p>
    <w:p>
      <w:pPr>
        <w:pStyle w:val="BookText"/>
      </w:pPr>
      <w:r>
        <w:rPr>
          <w:rFonts w:ascii="IRNazanin" w:hAnsi="IRNazanin" w:eastAsia="IRNazanin" w:cs="IRNazanin"/>
          <w:lang w:bidi="fa-IR"/>
          <w:color w:val="111111"/>
          <w:sz w:val="28"/>
          <w:szCs w:val="28"/>
          <w:rtl/>
        </w:rPr>
        <w:t xml:space="preserve">گل و بوته، ۲۹۵ص، ۱۷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۲۷/۲-۴۹]</w:t>
      </w:r>
    </w:p>
    <w:p>
      <w:pPr>
        <w:pStyle w:val="BookText"/>
      </w:pPr>
      <w:r>
        <w:rPr>
          <w:rFonts w:ascii="IRNazanin" w:hAnsi="IRNazanin" w:eastAsia="IRNazanin" w:cs="IRNazanin"/>
          <w:lang w:bidi="fa-IR"/>
          <w:color w:val="111111"/>
          <w:sz w:val="28"/>
          <w:szCs w:val="28"/>
          <w:rtl/>
        </w:rPr>
        <w:t xml:space="preserve">٣. تهران؛ مجلس؛ شماره نسخه:۲۲۷۴</w:t>
      </w:r>
    </w:p>
    <w:p>
      <w:pPr>
        <w:pStyle w:val="BookText"/>
      </w:pPr>
      <w:r>
        <w:rPr>
          <w:rFonts w:ascii="IRNazanin" w:hAnsi="IRNazanin" w:eastAsia="IRNazanin" w:cs="IRNazanin"/>
          <w:lang w:bidi="fa-IR"/>
          <w:color w:val="111111"/>
          <w:sz w:val="28"/>
          <w:szCs w:val="28"/>
          <w:rtl/>
        </w:rPr>
        <w:t xml:space="preserve">آغاز: هست در جار سوی کون و فساد؛ انجام: و برنج زرد و سفید و فالوده زعفرانی خط: نسخ تعلیق، بی کا، تا: قرن ۱۱؛ افتادگی: انجام کاغذ: اصفهانی شکری آهار مهره، جلد: تیماج عنابی بی مقوا، ۳۲۷ص، ۱۵ سطر، اندازه: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۱۸/۵ سم [ف: ۶-۲۲۹]</w:t>
      </w:r>
    </w:p>
    <w:p>
      <w:pPr>
        <w:pStyle w:val="BookText"/>
      </w:pPr>
      <w:r>
        <w:rPr>
          <w:rFonts w:ascii="IRNazanin" w:hAnsi="IRNazanin" w:eastAsia="IRNazanin" w:cs="IRNazanin"/>
          <w:lang w:bidi="fa-IR"/>
          <w:color w:val="111111"/>
          <w:sz w:val="28"/>
          <w:szCs w:val="28"/>
          <w:rtl/>
        </w:rPr>
        <w:t xml:space="preserve">تهران؛ دانشگاه؛ شماره نسخه: ۴۷۲۱- عکس و ۴۷۸۷- عکس و ۴۷۸۸-عکس</w:t>
      </w:r>
    </w:p>
    <w:p>
      <w:pPr>
        <w:pStyle w:val="BookText"/>
      </w:pPr>
      <w:r>
        <w:rPr>
          <w:rFonts w:ascii="Amiri" w:hAnsi="Amiri" w:eastAsia="Amiri" w:cs="Amiri"/>
          <w:lang w:bidi="ar-SA"/>
          <w:color w:val="111111"/>
          <w:sz w:val="28"/>
          <w:szCs w:val="28"/>
          <w:rtl/>
        </w:rPr>
        <w:t xml:space="preserve">نسخه اصل: همان نسخه بالا [فيلمها ف: ۳-۲۳۱ و ۲۳۲]</w:t>
      </w:r>
    </w:p>
    <w:p>
      <w:pPr>
        <w:pStyle w:val="BookText"/>
      </w:pPr>
      <w:r>
        <w:rPr>
          <w:rFonts w:ascii="IRNazanin" w:hAnsi="IRNazanin" w:eastAsia="IRNazanin" w:cs="IRNazanin"/>
          <w:lang w:bidi="fa-IR"/>
          <w:color w:val="111111"/>
          <w:sz w:val="28"/>
          <w:szCs w:val="28"/>
          <w:rtl/>
        </w:rPr>
        <w:t xml:space="preserve">۴. یزد؛ وزیری؛ شماره نسخه:۱۷۰۹</w:t>
      </w:r>
    </w:p>
    <w:p>
      <w:pPr>
        <w:pStyle w:val="BookText"/>
      </w:pPr>
      <w:r>
        <w:rPr>
          <w:rFonts w:ascii="IRNazanin" w:hAnsi="IRNazanin" w:eastAsia="IRNazanin" w:cs="IRNazanin"/>
          <w:lang w:bidi="fa-IR"/>
          <w:color w:val="111111"/>
          <w:sz w:val="28"/>
          <w:szCs w:val="28"/>
          <w:rtl/>
        </w:rPr>
        <w:t xml:space="preserve">آغاز: برابر ۱؛ انجام: که چون بر خواند این گوید دعا. تمام شد کتاب تاریخ جدید.</w:t>
      </w:r>
    </w:p>
    <w:p>
      <w:pPr>
        <w:pStyle w:val="BookText"/>
      </w:pPr>
      <w:r>
        <w:rPr>
          <w:rFonts w:ascii="IRNazanin" w:hAnsi="IRNazanin" w:eastAsia="IRNazanin" w:cs="IRNazanin"/>
          <w:lang w:bidi="fa-IR"/>
          <w:color w:val="111111"/>
          <w:sz w:val="28"/>
          <w:szCs w:val="28"/>
          <w:rtl/>
        </w:rPr>
        <w:t xml:space="preserve">خط: نستعلیق، بی کا، تا: ۳ رجب ۱۰۹۸ق؛ اهدایی: عباس جواهری؛ کاغذ: اصفهانی، جلد: مقوایی کاغذ رنگین عطف تیماج تریاکی، ۱۱۰گ،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۳-۱۰۳۳]</w:t>
      </w:r>
    </w:p>
    <w:p>
      <w:pPr>
        <w:pStyle w:val="BookText"/>
      </w:pPr>
      <w:r>
        <w:rPr>
          <w:rFonts w:ascii="IRNazanin" w:hAnsi="IRNazanin" w:eastAsia="IRNazanin" w:cs="IRNazanin"/>
          <w:lang w:bidi="fa-IR"/>
          <w:color w:val="111111"/>
          <w:sz w:val="28"/>
          <w:szCs w:val="28"/>
          <w:rtl/>
        </w:rPr>
        <w:t xml:space="preserve">۵. تهران: ملک؛ شماره نسخه:۳۷۵۷</w:t>
      </w:r>
    </w:p>
    <w:p>
      <w:pPr>
        <w:pStyle w:val="BookText"/>
      </w:pPr>
      <w:r>
        <w:rPr>
          <w:rFonts w:ascii="IRNazanin" w:hAnsi="IRNazanin" w:eastAsia="IRNazanin" w:cs="IRNazanin"/>
          <w:lang w:bidi="fa-IR"/>
          <w:color w:val="111111"/>
          <w:sz w:val="28"/>
          <w:szCs w:val="28"/>
          <w:rtl/>
        </w:rPr>
        <w:t xml:space="preserve">آغاز: در خطبه است؛ انجام: به نیم دانگ سیاه به کس طمع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430" w:name="pg20363_209732"/>
    <w:bookmarkEnd w:id="430"/>
    <w:p>
      <w:pPr>
        <w:pStyle w:val="BookText"/>
      </w:pPr>
      <w:r>
        <w:rPr>
          <w:rFonts w:ascii="IRNazanin" w:hAnsi="IRNazanin" w:eastAsia="IRNazanin" w:cs="IRNazanin"/>
          <w:lang w:bidi="fa-IR"/>
          <w:color w:val="111111"/>
          <w:sz w:val="28"/>
          <w:szCs w:val="28"/>
          <w:rtl/>
        </w:rPr>
        <w:t xml:space="preserve">نکرده و رعایت رعایا واجب شناختی اما خرابی خط: نسخ، بی کا، تا: قرن ۱۲؛ افتادگی: آغاز و انجام؛ کاغذ: کاغذ فستقی، جلد: میشن قهوه ای سیر، ۲۰۸ ، ۱۳ سطر، اندازه: ۱۰/۳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۱۴/۶ سم [ف: ۲-۷۹]</w:t>
      </w:r>
    </w:p>
    <w:p>
      <w:pPr>
        <w:pStyle w:val="BookText"/>
      </w:pPr>
      <w:r>
        <w:rPr>
          <w:rFonts w:ascii="IRNazanin" w:hAnsi="IRNazanin" w:eastAsia="IRNazanin" w:cs="IRNazanin"/>
          <w:lang w:bidi="fa-IR"/>
          <w:color w:val="111111"/>
          <w:sz w:val="28"/>
          <w:szCs w:val="28"/>
          <w:rtl/>
        </w:rPr>
        <w:t xml:space="preserve">۶. تهران، ملک؛ شماره نسخه: ۳۷۸۰</w:t>
      </w:r>
    </w:p>
    <w:p>
      <w:pPr>
        <w:pStyle w:val="BookText"/>
      </w:pPr>
      <w:r>
        <w:rPr>
          <w:rFonts w:ascii="IRNazanin" w:hAnsi="IRNazanin" w:eastAsia="IRNazanin" w:cs="IRNazanin"/>
          <w:lang w:bidi="fa-IR"/>
          <w:color w:val="111111"/>
          <w:sz w:val="28"/>
          <w:szCs w:val="28"/>
          <w:rtl/>
        </w:rPr>
        <w:t xml:space="preserve">خط: نسخ، كا: عبد الحي بن محمد معز عبدالحسنی ، تا: ۱۴ رجب ۱۱۷۹ق؛ قسمت افتاده در خطبه توسط آقای حاج حسین ملک واقف کتابخانه در اوراق جداگانه کامل شده؛ کاغذ: کاغذ فستقی، جلد: ساغری کاغذی فرنگی، ۱۴۸ گ، ۱۶ سطر، اندازه: ۱۹/۶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۱۳۹سم [ف: ۲-۷۹]</w:t>
      </w:r>
    </w:p>
    <w:p>
      <w:pPr>
        <w:pStyle w:val="BookText"/>
      </w:pPr>
      <w:r>
        <w:rPr>
          <w:rFonts w:ascii="IRNazanin" w:hAnsi="IRNazanin" w:eastAsia="IRNazanin" w:cs="IRNazanin"/>
          <w:lang w:bidi="fa-IR"/>
          <w:color w:val="111111"/>
          <w:sz w:val="28"/>
          <w:szCs w:val="28"/>
          <w:rtl/>
        </w:rPr>
        <w:t xml:space="preserve">تهران؛ دانشگاه؛ شماره نسخه: ۲۶۵۱-ف</w:t>
      </w:r>
    </w:p>
    <w:p>
      <w:pPr>
        <w:pStyle w:val="BookText"/>
      </w:pPr>
      <w:r>
        <w:rPr>
          <w:rFonts w:ascii="IRNazanin" w:hAnsi="IRNazanin" w:eastAsia="IRNazanin" w:cs="IRNazanin"/>
          <w:lang w:bidi="fa-IR"/>
          <w:color w:val="111111"/>
          <w:sz w:val="28"/>
          <w:szCs w:val="28"/>
          <w:rtl/>
        </w:rPr>
        <w:t xml:space="preserve">نسخه اصل: همان نسخه بالا [فیلمها ف: ۱- ۳۹]</w:t>
      </w:r>
    </w:p>
    <w:p>
      <w:pPr>
        <w:pStyle w:val="BookText"/>
      </w:pPr>
      <w:r>
        <w:rPr>
          <w:rFonts w:ascii="IRNazanin" w:hAnsi="IRNazanin" w:eastAsia="IRNazanin" w:cs="IRNazanin"/>
          <w:lang w:bidi="fa-IR"/>
          <w:color w:val="111111"/>
          <w:sz w:val="28"/>
          <w:szCs w:val="28"/>
          <w:rtl/>
        </w:rPr>
        <w:t xml:space="preserve">۷. تهران؛ مجلس؛ شماره نسخه:۱۳۳۷۴</w:t>
      </w:r>
    </w:p>
    <w:p>
      <w:pPr>
        <w:pStyle w:val="BookText"/>
      </w:pPr>
      <w:r>
        <w:rPr>
          <w:rFonts w:ascii="IRNazanin" w:hAnsi="IRNazanin" w:eastAsia="IRNazanin" w:cs="IRNazanin"/>
          <w:lang w:bidi="fa-IR"/>
          <w:color w:val="111111"/>
          <w:sz w:val="28"/>
          <w:szCs w:val="28"/>
          <w:rtl/>
        </w:rPr>
        <w:t xml:space="preserve">آغاز: برخیز من برخاستم آن فالج از من برفت شيخ صالح از طرف کرد رو بر در مسجد مقیم بود در آن شب که سید وفات کرد گفت دیدم؛ انجام: و مجوسیان بسیار از آن ... و باغها و کشخوان ها ساختند و به غایت باغستانی خرم روح.</w:t>
      </w:r>
    </w:p>
    <w:p>
      <w:pPr>
        <w:pStyle w:val="BookText"/>
      </w:pPr>
      <w:r>
        <w:rPr>
          <w:rFonts w:ascii="IRNazanin" w:hAnsi="IRNazanin" w:eastAsia="IRNazanin" w:cs="IRNazanin"/>
          <w:lang w:bidi="fa-IR"/>
          <w:color w:val="111111"/>
          <w:sz w:val="28"/>
          <w:szCs w:val="28"/>
          <w:rtl/>
        </w:rPr>
        <w:t xml:space="preserve">قسم نهم: ذکر باغستانها» و یک صفحه از قسم دهم: ذکر مياه و کاریزها؛ خط: نستعلیق، بی کا، تا: قرن ۱۳؛ جلد: میشین سرمه ای، گ، ۱۶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سم [ف: ۳۶- ۳۲۰]</w:t>
      </w:r>
    </w:p>
    <w:p>
      <w:pPr>
        <w:pStyle w:val="BookText"/>
      </w:pPr>
      <w:r>
        <w:rPr>
          <w:rFonts w:ascii="IRNazanin" w:hAnsi="IRNazanin" w:eastAsia="IRNazanin" w:cs="IRNazanin"/>
          <w:lang w:bidi="fa-IR"/>
          <w:color w:val="111111"/>
          <w:sz w:val="28"/>
          <w:szCs w:val="28"/>
          <w:rtl/>
        </w:rPr>
        <w:t xml:space="preserve">۸. یزد؛ وزیری؛ شماره نسخه:۱۳۱۲</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۲؛ انجام: و مفصل تر ازین نسخه تاریخ جدید نسخه دیگر را نیافتم تحرير في ... خط: نسخ، كا: حسن حسینی، تا: ۱۳۳۰ق، اهدایی: وزیری؛ کاغذ: فرنگی، جلد: مقوایی، ۲۱۳گ، ۱۷ سطر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سم [ف: ۳-۹۲۵]</w:t>
      </w:r>
    </w:p>
    <w:p>
      <w:pPr>
        <w:pStyle w:val="BookText"/>
      </w:pPr>
      <w:r>
        <w:rPr>
          <w:rFonts w:ascii="IRNazanin" w:hAnsi="IRNazanin" w:eastAsia="IRNazanin" w:cs="IRNazanin"/>
          <w:lang w:bidi="fa-IR"/>
          <w:color w:val="111111"/>
          <w:sz w:val="28"/>
          <w:szCs w:val="28"/>
          <w:rtl/>
        </w:rPr>
        <w:t xml:space="preserve">یزد؛ جامع کبیر؛ شماره نسخه:۱۲</w:t>
      </w:r>
    </w:p>
    <w:p>
      <w:pPr>
        <w:pStyle w:val="BookText"/>
      </w:pPr>
      <w:r>
        <w:rPr>
          <w:rFonts w:ascii="IRNazanin" w:hAnsi="IRNazanin" w:eastAsia="IRNazanin" w:cs="IRNazanin"/>
          <w:lang w:bidi="fa-IR"/>
          <w:color w:val="111111"/>
          <w:sz w:val="28"/>
          <w:szCs w:val="28"/>
          <w:rtl/>
        </w:rPr>
        <w:t xml:space="preserve">همان نسخه بالا [نشریه: ۴-۳۷۵]</w:t>
      </w:r>
    </w:p>
    <w:p>
      <w:pPr>
        <w:pStyle w:val="BookText"/>
      </w:pPr>
      <w:r>
        <w:rPr>
          <w:rFonts w:ascii="IRNazanin" w:hAnsi="IRNazanin" w:eastAsia="IRNazanin" w:cs="IRNazanin"/>
          <w:lang w:bidi="fa-IR"/>
          <w:color w:val="111111"/>
          <w:sz w:val="28"/>
          <w:szCs w:val="28"/>
          <w:rtl/>
        </w:rPr>
        <w:t xml:space="preserve">تهران؛ دانشگاه؛ شماره نسخه:۲۵۹۵-ف</w:t>
      </w:r>
    </w:p>
    <w:p>
      <w:pPr>
        <w:pStyle w:val="BookText"/>
      </w:pPr>
      <w:r>
        <w:rPr>
          <w:rFonts w:ascii="Amiri" w:hAnsi="Amiri" w:eastAsia="Amiri" w:cs="Amiri"/>
          <w:lang w:bidi="ar-SA"/>
          <w:color w:val="111111"/>
          <w:sz w:val="28"/>
          <w:szCs w:val="28"/>
          <w:rtl/>
        </w:rPr>
        <w:t xml:space="preserve">نسخه اصل: همان نسخه بالا [فيلمها ف: ۱- ۳۹]</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ادبیات؛ شماره نسخه: ۸۴/۲ - د</w:t>
      </w:r>
    </w:p>
    <w:p>
      <w:pPr>
        <w:pStyle w:val="BookText"/>
      </w:pPr>
      <w:r>
        <w:rPr>
          <w:rFonts w:ascii="IRNazanin" w:hAnsi="IRNazanin" w:eastAsia="IRNazanin" w:cs="IRNazanin"/>
          <w:lang w:bidi="fa-IR"/>
          <w:color w:val="111111"/>
          <w:sz w:val="28"/>
          <w:szCs w:val="28"/>
          <w:rtl/>
        </w:rPr>
        <w:t xml:space="preserve">آغاز: نقل از تاریخ مختصر جعفری چنین گوید مؤلف این رساله ... جعفر بن محمد بن حسن يعرف بجفری ... این رساله موسوم بتاریخ یزد در زمان ... ابوالمظفر شاهرخ بهارد خان تأليف نموده م در ده قسم قرارداد (هامش آغاز) بدان ای عزیز که این رساله مبتنی بر دوازه مقاله است ده مقاله از احوال و اوضاع قدیم و دو مقاله مشتمل بر تاریخ جدید از زمان وفات خاقانی متصل شاهرخی و آنچه از صادرات و واردات در بلاد واقع شدى مجملا و آنچه در یزد واقع شدی مفصلا؛ انجام: و بذیل عفو و مرحمت بپوشانند ... بآمرزش رساد آن آشنایی ***که چون بر خواند این گوید دعایی از دیباچه یک صفحه و نیمی پیش از نام جهانشاه بهادر خان را دارد و می رسد تا به دو صفحه ای از مقاله ۱۱ درباره صادرات و واردات</w:t>
      </w:r>
    </w:p>
    <w:p>
      <w:pPr>
        <w:pStyle w:val="BookText"/>
      </w:pPr>
      <w:r>
        <w:rPr>
          <w:rFonts w:ascii="IRNazanin" w:hAnsi="IRNazanin" w:eastAsia="IRNazanin" w:cs="IRNazanin"/>
          <w:lang w:bidi="fa-IR"/>
          <w:color w:val="111111"/>
          <w:sz w:val="28"/>
          <w:szCs w:val="28"/>
          <w:rtl/>
        </w:rPr>
        <w:t xml:space="preserve">یزد؛ خط: نستعلیق، بی کا، تا: قرن ۱۴؛ افتادگی: آغاز؛ در هامش آغاز آمده که نسخه نزدیک ۱۳۱۲ نوشته شده؛ ۸۵ص (۴۴ر -۱۲۹ر)، ۱۵ سطر (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[ف: ۱-۶۳]</w:t>
      </w:r>
    </w:p>
    <w:p>
      <w:pPr>
        <w:pStyle w:val="BookText"/>
      </w:pPr>
      <w:r>
        <w:rPr>
          <w:rFonts w:ascii="IRNazanin" w:hAnsi="IRNazanin" w:eastAsia="IRNazanin" w:cs="IRNazanin"/>
          <w:lang w:bidi="fa-IR"/>
          <w:color w:val="111111"/>
          <w:sz w:val="28"/>
          <w:szCs w:val="28"/>
          <w:rtl/>
        </w:rPr>
        <w:t xml:space="preserve">۱۰. تهران؛ دانشگاه؛ شماره نسخه: ۲۱۹۸/۲ -ف و ۲۱۹۹/۲ ف</w:t>
      </w:r>
    </w:p>
    <w:p>
      <w:pPr>
        <w:pStyle w:val="BookText"/>
      </w:pPr>
      <w:r>
        <w:rPr>
          <w:rFonts w:ascii="Amiri" w:hAnsi="Amiri" w:eastAsia="Amiri" w:cs="Amiri"/>
          <w:lang w:bidi="ar-SA"/>
          <w:color w:val="111111"/>
          <w:sz w:val="28"/>
          <w:szCs w:val="28"/>
          <w:rtl/>
        </w:rPr>
        <w:t xml:space="preserve">نسخه اصل: همان نسخه بالا [فيلمها ف: ۱-۶۴۹]</w:t>
      </w:r>
    </w:p>
    <w:p>
      <w:pPr>
        <w:pStyle w:val="Heading3"/>
      </w:pPr>
      <w:bookmarkStart w:id="2185" w:name="_Toc1445"/>
      <w:r>
        <w:t>• تاریخ جرجان / تاریخ / فارسی</w:t>
      </w:r>
      <w:bookmarkEnd w:id="2185"/>
    </w:p>
    <w:p>
      <w:pPr>
        <w:pStyle w:val="BookText"/>
      </w:pPr>
      <w:r>
        <w:rPr>
          <w:rFonts w:ascii="Times New Roman" w:hAnsi="Times New Roman" w:eastAsia="Times New Roman" w:cs="Times New Roman"/>
          <w:lang w:val="en-US" w:bidi="en-US"/>
          <w:color w:val="111111"/>
          <w:sz w:val="28"/>
          <w:szCs w:val="28"/>
          <w:rtl/>
        </w:rPr>
        <w:t xml:space="preserve">tārīx-e jorjān</w:t>
      </w:r>
    </w:p>
    <w:p>
      <w:pPr>
        <w:pStyle w:val="BookText"/>
      </w:pPr>
      <w:r>
        <w:rPr>
          <w:rFonts w:ascii="IRNazanin" w:hAnsi="IRNazanin" w:eastAsia="IRNazanin" w:cs="IRNazanin"/>
          <w:lang w:bidi="fa-IR"/>
          <w:color w:val="111111"/>
          <w:sz w:val="28"/>
          <w:szCs w:val="28"/>
          <w:rtl/>
        </w:rPr>
        <w:t xml:space="preserve">جرجانی، حمزه بن يوسف، ۳۴۰-۴۲۷ قمری</w:t>
      </w:r>
    </w:p>
    <w:p>
      <w:pPr>
        <w:pStyle w:val="BookText"/>
      </w:pPr>
      <w:r>
        <w:rPr>
          <w:rFonts w:ascii="Times New Roman" w:hAnsi="Times New Roman" w:eastAsia="Times New Roman" w:cs="Times New Roman"/>
          <w:lang w:val="en-US" w:bidi="en-US"/>
          <w:color w:val="111111"/>
          <w:sz w:val="28"/>
          <w:szCs w:val="28"/>
          <w:rtl/>
        </w:rPr>
        <w:t xml:space="preserve">jorjānī, hamze ebn-e yūsof (952-1037)</w:t>
      </w:r>
    </w:p>
    <w:p>
      <w:pPr>
        <w:pStyle w:val="BookText"/>
      </w:pPr>
      <w:r>
        <w:rPr>
          <w:rFonts w:ascii="IRNazanin" w:hAnsi="IRNazanin" w:eastAsia="IRNazanin" w:cs="IRNazanin"/>
          <w:lang w:bidi="fa-IR"/>
          <w:color w:val="111111"/>
          <w:sz w:val="28"/>
          <w:szCs w:val="28"/>
          <w:rtl/>
        </w:rPr>
        <w:t xml:space="preserve">در شناخت علمای جرجان و تاریخ و اخبار ایشان بر اساس حروف معجم. چاپ: در بادلیان آکسفورد چاپ شده؛ حیدر آباد دکن، ۱۹۵۰م</w:t>
      </w:r>
    </w:p>
    <w:p>
      <w:pPr>
        <w:pStyle w:val="BookText"/>
      </w:pPr>
      <w:r>
        <w:rPr>
          <w:rFonts w:ascii="IRNazanin" w:hAnsi="IRNazanin" w:eastAsia="IRNazanin" w:cs="IRNazanin"/>
          <w:lang w:bidi="fa-IR"/>
          <w:color w:val="111111"/>
          <w:sz w:val="28"/>
          <w:szCs w:val="28"/>
          <w:rtl/>
        </w:rPr>
        <w:t xml:space="preserve">۱. تهران، مینوی؛ شماره نسخه:۲۸۲بخش۳</w:t>
      </w:r>
    </w:p>
    <w:p>
      <w:pPr>
        <w:pStyle w:val="BookText"/>
      </w:pPr>
      <w:r>
        <w:rPr>
          <w:rFonts w:ascii="IRNazanin" w:hAnsi="IRNazanin" w:eastAsia="IRNazanin" w:cs="IRNazanin"/>
          <w:lang w:bidi="fa-IR"/>
          <w:color w:val="111111"/>
          <w:sz w:val="28"/>
          <w:szCs w:val="28"/>
          <w:rtl/>
        </w:rPr>
        <w:t xml:space="preserve">نسخه اصل:بادلیان آکسفورد، لاود۲۷۶</w:t>
      </w:r>
      <w:r>
        <w:rPr>
          <w:rFonts w:ascii="Times New Roman" w:hAnsi="Times New Roman" w:eastAsia="Times New Roman" w:cs="Times New Roman"/>
          <w:lang w:val="en-US" w:bidi="en-US"/>
          <w:color w:val="111111"/>
          <w:sz w:val="28"/>
          <w:szCs w:val="28"/>
          <w:rtl/>
        </w:rPr>
        <w:t xml:space="preserve">lavd</w:t>
      </w:r>
      <w:r>
        <w:rPr>
          <w:rFonts w:ascii="IRNazanin" w:hAnsi="IRNazanin" w:eastAsia="IRNazanin" w:cs="IRNazanin"/>
          <w:lang w:bidi="fa-IR"/>
          <w:color w:val="111111"/>
          <w:sz w:val="28"/>
          <w:szCs w:val="28"/>
          <w:rtl/>
        </w:rPr>
        <w:t xml:space="preserve">؛ بی کا، بی تا [ف: ۱۳۶]</w:t>
      </w:r>
    </w:p>
    <w:p>
      <w:pPr>
        <w:pStyle w:val="BookText"/>
      </w:pPr>
      <w:r>
        <w:rPr>
          <w:rFonts w:ascii="IRNazanin" w:hAnsi="IRNazanin" w:eastAsia="IRNazanin" w:cs="IRNazanin"/>
          <w:lang w:bidi="fa-IR"/>
          <w:color w:val="111111"/>
          <w:sz w:val="28"/>
          <w:szCs w:val="28"/>
          <w:rtl/>
        </w:rPr>
        <w:t xml:space="preserve">۲. تهران؛ ملی؛ شماره نسخه:۱۱۴- عکسی</w:t>
      </w:r>
    </w:p>
    <w:p>
      <w:pPr>
        <w:pStyle w:val="BookText"/>
      </w:pPr>
      <w:r>
        <w:rPr>
          <w:rFonts w:ascii="IRNazanin" w:hAnsi="IRNazanin" w:eastAsia="IRNazanin" w:cs="IRNazanin"/>
          <w:lang w:bidi="fa-IR"/>
          <w:color w:val="111111"/>
          <w:sz w:val="28"/>
          <w:szCs w:val="28"/>
          <w:rtl/>
        </w:rPr>
        <w:t xml:space="preserve">نسخه اصل: از کتابخانه بادلیان اسکفورد ۱۷۶-۵۸؛ بی کا، بی تا [نشریه: ۲-۲۷۱]</w:t>
      </w:r>
    </w:p>
    <w:p>
      <w:pPr>
        <w:pStyle w:val="Heading3"/>
      </w:pPr>
      <w:bookmarkStart w:id="2186" w:name="_Toc1446"/>
      <w:r>
        <w:t>• تاریخ جزری / تاریخ / عربی</w:t>
      </w:r>
      <w:bookmarkEnd w:id="2186"/>
    </w:p>
    <w:p>
      <w:pPr>
        <w:pStyle w:val="BookText"/>
      </w:pPr>
      <w:r>
        <w:rPr>
          <w:rFonts w:ascii="Times New Roman" w:hAnsi="Times New Roman" w:eastAsia="Times New Roman" w:cs="Times New Roman"/>
          <w:lang w:val="en-US" w:bidi="en-US"/>
          <w:color w:val="111111"/>
          <w:sz w:val="28"/>
          <w:szCs w:val="28"/>
          <w:rtl/>
        </w:rPr>
        <w:t xml:space="preserve">tārīx-e jazarī</w:t>
      </w:r>
    </w:p>
    <w:p>
      <w:pPr>
        <w:pStyle w:val="BookText"/>
      </w:pPr>
      <w:r>
        <w:rPr>
          <w:rFonts w:ascii="IRNazanin" w:hAnsi="IRNazanin" w:eastAsia="IRNazanin" w:cs="IRNazanin"/>
          <w:lang w:bidi="fa-IR"/>
          <w:color w:val="111111"/>
          <w:sz w:val="28"/>
          <w:szCs w:val="28"/>
          <w:rtl/>
        </w:rPr>
        <w:t xml:space="preserve">ابن جزری، محمد بن محمد، ۷۵۱-۸۳۳؟ قمری</w:t>
      </w:r>
    </w:p>
    <w:p>
      <w:pPr>
        <w:pStyle w:val="BookText"/>
      </w:pPr>
      <w:r>
        <w:rPr>
          <w:rFonts w:ascii="Times New Roman" w:hAnsi="Times New Roman" w:eastAsia="Times New Roman" w:cs="Times New Roman"/>
          <w:lang w:val="en-US" w:bidi="en-US"/>
          <w:color w:val="111111"/>
          <w:sz w:val="28"/>
          <w:szCs w:val="28"/>
          <w:rtl/>
        </w:rPr>
        <w:t xml:space="preserve">ebn-e jazarī, mohammad ebn-e mohammad (1351 1430)</w:t>
      </w:r>
    </w:p>
    <w:p>
      <w:pPr>
        <w:pStyle w:val="BookText"/>
      </w:pPr>
      <w:r>
        <w:rPr>
          <w:rFonts w:ascii="IRNazanin" w:hAnsi="IRNazanin" w:eastAsia="IRNazanin" w:cs="IRNazanin"/>
          <w:lang w:bidi="fa-IR"/>
          <w:color w:val="111111"/>
          <w:sz w:val="28"/>
          <w:szCs w:val="28"/>
          <w:rtl/>
        </w:rPr>
        <w:t xml:space="preserve">نویسنده پس از آنکه به تفصیل از فوائد تاریخ سخن می گوید و بیان می دارد که تاریخ چه اثری در تحول افکار دارد بر آن می شود که حوادث مهم زمان را بر حسب تاريخ وقوع آنها بنگارد. وی ابتداء چهار مبداء تاریخ را شرح می دهد یعنی «تاریخ سکندری» و «تاریخ دقلطیانوس» و «تاریخ هجره النبي» و «تاریخ یزدجردی» و سپس یکایک حوادث زمان را از زمان پیغمبر شرح می دهد تا واقعه سال هفتصد هجری و بدین ترتیب نخستین واقعه ذکر شده بعثت عم رسول (حمزه سید الشهداء) است برای جنگ و آخرین واقعه آمدن غازان خان است با قشونش به طرف فرات و قصد حلب کردن. (انوار)</w:t>
      </w:r>
    </w:p>
    <w:p>
      <w:pPr>
        <w:pStyle w:val="BookText"/>
      </w:pPr>
      <w:r>
        <w:rPr>
          <w:rFonts w:ascii="IRNazanin" w:hAnsi="IRNazanin" w:eastAsia="IRNazanin" w:cs="IRNazanin"/>
          <w:lang w:bidi="fa-IR"/>
          <w:color w:val="111111"/>
          <w:sz w:val="28"/>
          <w:szCs w:val="28"/>
          <w:rtl/>
        </w:rPr>
        <w:t xml:space="preserve">[دنا ۶۹۳/۲ ؛ ریحانة الادب: ۲۶۵/۲ ]</w:t>
      </w:r>
    </w:p>
    <w:p>
      <w:pPr>
        <w:pStyle w:val="BookText"/>
      </w:pPr>
      <w:r>
        <w:rPr>
          <w:rFonts w:ascii="IRNazanin" w:hAnsi="IRNazanin" w:eastAsia="IRNazanin" w:cs="IRNazanin"/>
          <w:lang w:bidi="fa-IR"/>
          <w:color w:val="111111"/>
          <w:sz w:val="28"/>
          <w:szCs w:val="28"/>
          <w:rtl/>
        </w:rPr>
        <w:t xml:space="preserve">۱. تهران؛ مجلس؛ شماره نسخه: ۴۵۸۵/۲</w:t>
      </w:r>
    </w:p>
    <w:p>
      <w:pPr>
        <w:pStyle w:val="BookText"/>
      </w:pPr>
      <w:r>
        <w:rPr>
          <w:rFonts w:ascii="IRNazanin" w:hAnsi="IRNazanin" w:eastAsia="IRNazanin" w:cs="IRNazanin"/>
          <w:lang w:bidi="fa-IR"/>
          <w:color w:val="111111"/>
          <w:sz w:val="28"/>
          <w:szCs w:val="28"/>
          <w:rtl/>
        </w:rPr>
        <w:t xml:space="preserve">آغاز: بسمله. قال شيخنا و سیدنا اما الائمة ... الجزری ... و بعد فهذا شهر مولد سيد الأنبياء و خیر رسل الله؛ انجام: یا رب من فتنة الذبح و درک الشقاء وسوء القضاء و اعف عنا واغفر لنا و تكرم انت مولی الوری الجزیل العطاء و قد تم</w:t>
      </w:r>
    </w:p>
    <w:p>
      <w:pPr>
        <w:pStyle w:val="BookText"/>
      </w:pPr>
      <w:r>
        <w:rPr>
          <w:rFonts w:ascii="IRNazanin" w:hAnsi="IRNazanin" w:eastAsia="IRNazanin" w:cs="IRNazanin"/>
          <w:lang w:bidi="fa-IR"/>
          <w:color w:val="111111"/>
          <w:sz w:val="28"/>
          <w:szCs w:val="28"/>
          <w:rtl/>
        </w:rPr>
        <w:t xml:space="preserve">خط: نسخ، كا: احمد بن علی بن عبدالرشید اصفهانی، تا: ۱۴۳ق،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431" w:name="pg20363_209733"/>
    <w:bookmarkEnd w:id="431"/>
    <w:p>
      <w:pPr>
        <w:pStyle w:val="BookText"/>
      </w:pPr>
      <w:r>
        <w:rPr>
          <w:rFonts w:ascii="IRNazanin" w:hAnsi="IRNazanin" w:eastAsia="IRNazanin" w:cs="IRNazanin"/>
          <w:lang w:bidi="fa-IR"/>
          <w:color w:val="111111"/>
          <w:sz w:val="28"/>
          <w:szCs w:val="28"/>
          <w:rtl/>
        </w:rPr>
        <w:t xml:space="preserve">جا؛ ابرقوه؛ کاغذ: اصفهانی، جلد: تیماج زرد، ۴۵گ (۴۱پ - ۸۵ر)، ۲۱ سطر،اندازه :  ۲۲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۱۲-۲۸۱]</w:t>
      </w:r>
    </w:p>
    <w:p>
      <w:pPr>
        <w:pStyle w:val="BookText"/>
      </w:pPr>
      <w:r>
        <w:rPr>
          <w:rFonts w:ascii="IRNazanin" w:hAnsi="IRNazanin" w:eastAsia="IRNazanin" w:cs="IRNazanin"/>
          <w:lang w:bidi="fa-IR"/>
          <w:color w:val="111111"/>
          <w:sz w:val="28"/>
          <w:szCs w:val="28"/>
          <w:rtl/>
        </w:rPr>
        <w:t xml:space="preserve">۲. تهران؛ ملی؛ شماره نسخه:۴۶۹</w:t>
      </w:r>
    </w:p>
    <w:p>
      <w:pPr>
        <w:pStyle w:val="BookText"/>
      </w:pPr>
      <w:r>
        <w:rPr>
          <w:rFonts w:ascii="IRNazanin" w:hAnsi="IRNazanin" w:eastAsia="IRNazanin" w:cs="IRNazanin"/>
          <w:lang w:bidi="fa-IR"/>
          <w:color w:val="111111"/>
          <w:sz w:val="28"/>
          <w:szCs w:val="28"/>
          <w:rtl/>
        </w:rPr>
        <w:t xml:space="preserve">آغاز: قال العبد الفقير محمد بن محمد بن محمد بن الجزري عفا الله عنه و رحمه و لطف به. الحمد لله الذي جعل الحوادث؛ انجام: و هذا آخر ما لخصه من تاريخ حافظ الاسلام ابی عبد الله محمد بن عثمان الذي رحمه الله و فرغت منه في يوم الجمعه رابع عشر شهر رجب ثمان و تسعين و سبعمائه بمدينة انطاکیه حرس الله ثغرها و ذلك ... و الرومیه المحروسه نصرا لله تعالى ملكها العادل السلطان أبا يزيد خان بن مراد خان بن اور خان بن عثمان بن اردکرل ... خط: نسخ، كا: عبد القادر بن احمد فقیه، تا: ۹۱۰ق، جان ادرنه؛ مجدول، با یک واسطه منقول از خط مصنف است؛ کاغذ: خانبالغ، جلد: میشن قهوه ای با ترنج، ۲۰۸گ، ۲۱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۷-۳۹۱)</w:t>
      </w:r>
    </w:p>
    <w:p>
      <w:pPr>
        <w:pStyle w:val="Heading3"/>
      </w:pPr>
      <w:bookmarkStart w:id="2187" w:name="_Toc1447"/>
      <w:r>
        <w:t>• تاریخ جزیره قشم / تاریخ ایران / فارسی</w:t>
      </w:r>
      <w:bookmarkEnd w:id="2187"/>
    </w:p>
    <w:p>
      <w:pPr>
        <w:pStyle w:val="BookText"/>
      </w:pPr>
      <w:r>
        <w:rPr>
          <w:rFonts w:ascii="Times New Roman" w:hAnsi="Times New Roman" w:eastAsia="Times New Roman" w:cs="Times New Roman"/>
          <w:lang w:val="en-US" w:bidi="en-US"/>
          <w:color w:val="111111"/>
          <w:sz w:val="28"/>
          <w:szCs w:val="28"/>
          <w:rtl/>
        </w:rPr>
        <w:t xml:space="preserve">tārīx-e jazīre-ye qešm</w:t>
      </w:r>
    </w:p>
    <w:p>
      <w:pPr>
        <w:pStyle w:val="BookText"/>
      </w:pPr>
      <w:r>
        <w:rPr>
          <w:rFonts w:ascii="IRNazanin" w:hAnsi="IRNazanin" w:eastAsia="IRNazanin" w:cs="IRNazanin"/>
          <w:lang w:bidi="fa-IR"/>
          <w:color w:val="111111"/>
          <w:sz w:val="28"/>
          <w:szCs w:val="28"/>
          <w:rtl/>
        </w:rPr>
        <w:t xml:space="preserve">، محمد حسن، ۱۳۶۸ قمری</w:t>
      </w:r>
    </w:p>
    <w:p>
      <w:pPr>
        <w:pStyle w:val="BookText"/>
      </w:pPr>
      <w:r>
        <w:rPr>
          <w:rFonts w:ascii="Times New Roman" w:hAnsi="Times New Roman" w:eastAsia="Times New Roman" w:cs="Times New Roman"/>
          <w:lang w:val="en-US" w:bidi="en-US"/>
          <w:color w:val="111111"/>
          <w:sz w:val="28"/>
          <w:szCs w:val="28"/>
          <w:rtl/>
        </w:rPr>
        <w:t xml:space="preserve">rahīmī kāšānī, mohammad hasan (-1949)</w:t>
      </w:r>
    </w:p>
    <w:p>
      <w:pPr>
        <w:pStyle w:val="BookText"/>
      </w:pPr>
      <w:r>
        <w:rPr>
          <w:rFonts w:ascii="IRNazanin" w:hAnsi="IRNazanin" w:eastAsia="IRNazanin" w:cs="IRNazanin"/>
          <w:lang w:bidi="fa-IR"/>
          <w:color w:val="111111"/>
          <w:sz w:val="28"/>
          <w:szCs w:val="28"/>
          <w:rtl/>
        </w:rPr>
        <w:t xml:space="preserve">رساله کوتاهی است در تاریخ و جغرافیایی جزیره قشم از جزایر ایران در خلیج فارس، مؤلف در این رساله به بیان مذهب، محصول، تجارت، صنعت، رسوم و عادات مرمان این جزیره پرداخته است.</w:t>
      </w:r>
    </w:p>
    <w:p>
      <w:pPr>
        <w:pStyle w:val="BookText"/>
      </w:pPr>
      <w:r>
        <w:rPr>
          <w:rFonts w:ascii="IRNazanin" w:hAnsi="IRNazanin" w:eastAsia="IRNazanin" w:cs="IRNazanin"/>
          <w:lang w:bidi="fa-IR"/>
          <w:color w:val="111111"/>
          <w:sz w:val="28"/>
          <w:szCs w:val="28"/>
          <w:rtl/>
        </w:rPr>
        <w:t xml:space="preserve">قم؛ مرعشی؛ شماره نسخه: ۱۴۷۶۳</w:t>
      </w:r>
    </w:p>
    <w:p>
      <w:pPr>
        <w:pStyle w:val="BookText"/>
      </w:pPr>
      <w:r>
        <w:rPr>
          <w:rFonts w:ascii="IRNazanin" w:hAnsi="IRNazanin" w:eastAsia="IRNazanin" w:cs="IRNazanin"/>
          <w:lang w:bidi="fa-IR"/>
          <w:color w:val="111111"/>
          <w:sz w:val="28"/>
          <w:szCs w:val="28"/>
          <w:rtl/>
        </w:rPr>
        <w:t xml:space="preserve">آغاز: بسمله، مذهب عموم سکنه جزیره، در عداد اهل سنت و طريقه شافعی دارند، و شیعه آنجا انگشت شمار است، صنعت جولا بافی است، منسوجات پنبه بافند، از قبیل؛ انجام: عده رجال آنجا به ششصد و هفتاد نفر، و کشتی غوص به هفتاد و سه فروند خانه هائی که از گل و سنگ نباشد، به دویست و پانزده باب رسیده است.</w:t>
      </w:r>
    </w:p>
    <w:p>
      <w:pPr>
        <w:pStyle w:val="BookText"/>
      </w:pPr>
      <w:r>
        <w:rPr>
          <w:rFonts w:ascii="IRNazanin" w:hAnsi="IRNazanin" w:eastAsia="IRNazanin" w:cs="IRNazanin"/>
          <w:lang w:bidi="fa-IR"/>
          <w:color w:val="111111"/>
          <w:sz w:val="28"/>
          <w:szCs w:val="28"/>
          <w:rtl/>
        </w:rPr>
        <w:t xml:space="preserve">خط: نستعلیق، کاتب = مؤلف، تا: ۱۳۶۸ق؛ کاغذ: خط دار دفتری، جلد: تیماج قهوه ای ضربی با ترنج و سرترنج، ۱۴گ، ۱۸ سطر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 اندازه: ۲۷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۳۷-۳۵۶]</w:t>
      </w:r>
    </w:p>
    <w:p>
      <w:pPr>
        <w:pStyle w:val="BookText"/>
      </w:pPr>
      <w:r>
        <w:rPr>
          <w:rFonts w:ascii="IRNazanin" w:hAnsi="IRNazanin" w:eastAsia="IRNazanin" w:cs="IRNazanin"/>
          <w:lang w:bidi="fa-IR"/>
          <w:color w:val="111111"/>
          <w:sz w:val="28"/>
          <w:szCs w:val="28"/>
          <w:rtl/>
        </w:rPr>
        <w:t xml:space="preserve">← تاریخ جعفری ← تاریخ یزد</w:t>
      </w:r>
    </w:p>
    <w:p>
      <w:pPr>
        <w:pStyle w:val="Heading3"/>
      </w:pPr>
      <w:bookmarkStart w:id="2188" w:name="_Toc1448"/>
      <w:r>
        <w:t>• تاریخ جعفری / تاریخ / فارسی</w:t>
      </w:r>
      <w:bookmarkEnd w:id="2188"/>
    </w:p>
    <w:p>
      <w:pPr>
        <w:pStyle w:val="BookText"/>
      </w:pPr>
      <w:r>
        <w:rPr>
          <w:rFonts w:ascii="Times New Roman" w:hAnsi="Times New Roman" w:eastAsia="Times New Roman" w:cs="Times New Roman"/>
          <w:lang w:val="en-US" w:bidi="en-US"/>
          <w:color w:val="111111"/>
          <w:sz w:val="28"/>
          <w:szCs w:val="28"/>
          <w:rtl/>
        </w:rPr>
        <w:t xml:space="preserve">tarix-e jafari</w:t>
      </w:r>
    </w:p>
    <w:p>
      <w:pPr>
        <w:pStyle w:val="BookText"/>
      </w:pPr>
      <w:r>
        <w:rPr>
          <w:rFonts w:ascii="IRNazanin" w:hAnsi="IRNazanin" w:eastAsia="IRNazanin" w:cs="IRNazanin"/>
          <w:lang w:bidi="fa-IR"/>
          <w:color w:val="111111"/>
          <w:sz w:val="28"/>
          <w:szCs w:val="28"/>
          <w:rtl/>
        </w:rPr>
        <w:t xml:space="preserve">تهران؛ مینوی؛ شماره نسخه:۱۰۷ بخش ۳</w:t>
      </w:r>
    </w:p>
    <w:p>
      <w:pPr>
        <w:pStyle w:val="BookText"/>
      </w:pPr>
      <w:r>
        <w:rPr>
          <w:rFonts w:ascii="IRNazanin" w:hAnsi="IRNazanin" w:eastAsia="IRNazanin" w:cs="IRNazanin"/>
          <w:lang w:bidi="fa-IR"/>
          <w:color w:val="111111"/>
          <w:sz w:val="28"/>
          <w:szCs w:val="28"/>
          <w:rtl/>
        </w:rPr>
        <w:t xml:space="preserve">آغاز: نخستین عنوان پس از افتادگی: ذكر ابتداء سلطنت عالی</w:t>
      </w:r>
    </w:p>
    <w:p>
      <w:pPr>
        <w:pStyle w:val="BookText"/>
      </w:pPr>
      <w:r>
        <w:rPr>
          <w:rFonts w:ascii="IRNazanin" w:hAnsi="IRNazanin" w:eastAsia="IRNazanin" w:cs="IRNazanin"/>
          <w:lang w:bidi="fa-IR"/>
          <w:color w:val="111111"/>
          <w:sz w:val="28"/>
          <w:szCs w:val="28"/>
          <w:rtl/>
        </w:rPr>
        <w:t xml:space="preserve">حضرت سلطان اعظم غیاث الحق و السلطنة والدین سلطان محمد بهادر. نسخه اصل: گویا از لنینگراد (دیباچه تاریخ یزد چاپ افشار ص ۱۹۵-یزدنامه او ۵۳- ۶۰). تاریخ خلفا را هم دارد و می رسد به قسم چهارم ذکر سلاطین زمان بنی عباس؛ خط: نستعلیق، بی کا، بی تاب افتادگی: آغاز؛ در دو نیمه با یادداشت های تاریخ ۱۹ رمضان ۱۲۴۰، ۱۴ ذیقعده ۱۲۵۸، سیچقان ئیل شعبان ۱۲۱۹، ۱۶ ذیقعده ۲۱۸، ۱۲۲۱/۲۴ ، ۱۲۴۰، با یادداشت های ترکی مورخ ۲۴۱، ۱۲۱۸، ۱۲۲۱ [ف: ۱۰۶]</w:t>
      </w:r>
    </w:p>
    <w:p>
      <w:pPr>
        <w:pStyle w:val="Heading3"/>
      </w:pPr>
      <w:bookmarkStart w:id="2189" w:name="_Toc1449"/>
      <w:r>
        <w:t>•تاریخ جلال الدین خوارزمشاه (ترجمه) / تاریخ ایران / فارسی</w:t>
      </w:r>
      <w:bookmarkEnd w:id="2189"/>
    </w:p>
    <w:p>
      <w:pPr>
        <w:pStyle w:val="BookText"/>
      </w:pPr>
      <w:r>
        <w:rPr>
          <w:rFonts w:ascii="Times New Roman" w:hAnsi="Times New Roman" w:eastAsia="Times New Roman" w:cs="Times New Roman"/>
          <w:lang w:val="en-US" w:bidi="en-US"/>
          <w:color w:val="111111"/>
          <w:sz w:val="28"/>
          <w:szCs w:val="28"/>
          <w:rtl/>
        </w:rPr>
        <w:t xml:space="preserve">tārīx-e jalāl-od-dīn xārazm-šāh (t.)</w:t>
      </w:r>
    </w:p>
    <w:p>
      <w:pPr>
        <w:pStyle w:val="BookText"/>
      </w:pPr>
      <w:r>
        <w:rPr>
          <w:rFonts w:ascii="IRNazanin" w:hAnsi="IRNazanin" w:eastAsia="IRNazanin" w:cs="IRNazanin"/>
          <w:lang w:bidi="fa-IR"/>
          <w:color w:val="111111"/>
          <w:sz w:val="28"/>
          <w:szCs w:val="28"/>
          <w:rtl/>
        </w:rPr>
        <w:t xml:space="preserve">اصل از نامق پاشا دانشمند عثمانی در ۱۶ «فصل» و مترجم فارسی آن دانسته نشده کیست</w:t>
      </w:r>
    </w:p>
    <w:p>
      <w:pPr>
        <w:pStyle w:val="BookText"/>
      </w:pPr>
      <w:r>
        <w:rPr>
          <w:rFonts w:ascii="IRNazanin" w:hAnsi="IRNazanin" w:eastAsia="IRNazanin" w:cs="IRNazanin"/>
          <w:lang w:bidi="fa-IR"/>
          <w:color w:val="111111"/>
          <w:sz w:val="28"/>
          <w:szCs w:val="28"/>
          <w:rtl/>
        </w:rPr>
        <w:t xml:space="preserve">[فهرستواره منزوی ۸۵۸/۲ ]</w:t>
      </w:r>
    </w:p>
    <w:p>
      <w:pPr>
        <w:pStyle w:val="BookText"/>
      </w:pPr>
      <w:r>
        <w:rPr>
          <w:rFonts w:ascii="IRNazanin" w:hAnsi="IRNazanin" w:eastAsia="IRNazanin" w:cs="IRNazanin"/>
          <w:lang w:bidi="fa-IR"/>
          <w:color w:val="111111"/>
          <w:sz w:val="28"/>
          <w:szCs w:val="28"/>
          <w:rtl/>
        </w:rPr>
        <w:t xml:space="preserve">تهران، دانشگاه؛ شماره نسخه:۲۶۴۴</w:t>
      </w:r>
    </w:p>
    <w:p>
      <w:pPr>
        <w:pStyle w:val="BookText"/>
      </w:pPr>
      <w:r>
        <w:rPr>
          <w:rFonts w:ascii="IRNazanin" w:hAnsi="IRNazanin" w:eastAsia="IRNazanin" w:cs="IRNazanin"/>
          <w:lang w:bidi="fa-IR"/>
          <w:color w:val="111111"/>
          <w:sz w:val="28"/>
          <w:szCs w:val="28"/>
          <w:rtl/>
        </w:rPr>
        <w:t xml:space="preserve">آغاز: هو الفتاح العليم. بسمله. و به نستعین. الحمد لله رب العالمين ... بهتر آن است قبل از شروع به تحریر کتاب اسامی سلاطين</w:t>
      </w:r>
    </w:p>
    <w:p>
      <w:pPr>
        <w:pStyle w:val="BookText"/>
      </w:pPr>
      <w:r>
        <w:rPr>
          <w:rFonts w:ascii="IRNazanin" w:hAnsi="IRNazanin" w:eastAsia="IRNazanin" w:cs="IRNazanin"/>
          <w:lang w:bidi="fa-IR"/>
          <w:color w:val="111111"/>
          <w:sz w:val="28"/>
          <w:szCs w:val="28"/>
          <w:rtl/>
        </w:rPr>
        <w:t xml:space="preserve">خارزمی را بقارئین محترم معرفی نموده؛ انجام: جان را بجان آفرین تسلیم نمود فسبحان الذي من لايموت خط: نستعلیق، کا: محمد حسین بن غلامعلی، تا: ۱۷ جمادی الاول ۱۳۴۲ق؛ کاغذ: فرنگی، جلد: تیماج مشکی مقوایی، ۱۰۴گ، ۲۹ سطر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 اندازه: ۲۲/۵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۳۵/۵سم [ف: ۱۰-۱۵۱۹]</w:t>
      </w:r>
    </w:p>
    <w:p>
      <w:pPr>
        <w:pStyle w:val="Heading3"/>
      </w:pPr>
      <w:bookmarkStart w:id="2190" w:name="_Toc1450"/>
      <w:r>
        <w:t>•تاریخ جلوس سلاطین / شعر، تاریخ ایران / فارسی</w:t>
      </w:r>
      <w:bookmarkEnd w:id="2190"/>
    </w:p>
    <w:p>
      <w:pPr>
        <w:pStyle w:val="BookText"/>
      </w:pPr>
      <w:r>
        <w:rPr>
          <w:rFonts w:ascii="Times New Roman" w:hAnsi="Times New Roman" w:eastAsia="Times New Roman" w:cs="Times New Roman"/>
          <w:lang w:val="en-US" w:bidi="en-US"/>
          <w:color w:val="111111"/>
          <w:sz w:val="28"/>
          <w:szCs w:val="28"/>
          <w:rtl/>
        </w:rPr>
        <w:t xml:space="preserve">tārīx-e jolūs-e salātīn</w:t>
      </w:r>
    </w:p>
    <w:p>
      <w:pPr>
        <w:pStyle w:val="BookText"/>
      </w:pPr>
      <w:r>
        <w:rPr>
          <w:rFonts w:ascii="IRNazanin" w:hAnsi="IRNazanin" w:eastAsia="IRNazanin" w:cs="IRNazanin"/>
          <w:lang w:bidi="fa-IR"/>
          <w:color w:val="111111"/>
          <w:sz w:val="28"/>
          <w:szCs w:val="28"/>
          <w:rtl/>
        </w:rPr>
        <w:t xml:space="preserve">تهران؛ ملک؛ شماره نسخه: ۳۶۸۰/۵</w:t>
      </w:r>
    </w:p>
    <w:p>
      <w:pPr>
        <w:pStyle w:val="BookText"/>
      </w:pPr>
      <w:r>
        <w:rPr>
          <w:rFonts w:ascii="IRNazanin" w:hAnsi="IRNazanin" w:eastAsia="IRNazanin" w:cs="IRNazanin"/>
          <w:lang w:bidi="fa-IR"/>
          <w:color w:val="111111"/>
          <w:sz w:val="28"/>
          <w:szCs w:val="28"/>
          <w:rtl/>
        </w:rPr>
        <w:t xml:space="preserve">به نظم؛ خط: شکسته نستعلیق، کا: میرزا حسن کرمانی، تا: قرن ۱۲ [ف: ۷-۱۹]</w:t>
      </w:r>
    </w:p>
    <w:p>
      <w:pPr>
        <w:pStyle w:val="Heading3"/>
      </w:pPr>
      <w:bookmarkStart w:id="2191" w:name="_Toc1451"/>
      <w:r>
        <w:t>• تاریخ جنگ آلمان و فرانسه / تاریخ / فارسی</w:t>
      </w:r>
      <w:bookmarkEnd w:id="2191"/>
    </w:p>
    <w:p>
      <w:pPr>
        <w:pStyle w:val="BookText"/>
      </w:pPr>
      <w:r>
        <w:rPr>
          <w:rFonts w:ascii="Times New Roman" w:hAnsi="Times New Roman" w:eastAsia="Times New Roman" w:cs="Times New Roman"/>
          <w:lang w:val="en-US" w:bidi="en-US"/>
          <w:color w:val="111111"/>
          <w:sz w:val="28"/>
          <w:szCs w:val="28"/>
          <w:rtl/>
        </w:rPr>
        <w:t xml:space="preserve">tārīx-e jang-e ālmān va farānse</w:t>
      </w:r>
    </w:p>
    <w:p>
      <w:pPr>
        <w:pStyle w:val="BookText"/>
      </w:pPr>
      <w:r>
        <w:rPr>
          <w:rFonts w:ascii="IRNazanin" w:hAnsi="IRNazanin" w:eastAsia="IRNazanin" w:cs="IRNazanin"/>
          <w:lang w:bidi="fa-IR"/>
          <w:color w:val="111111"/>
          <w:sz w:val="28"/>
          <w:szCs w:val="28"/>
          <w:rtl/>
        </w:rPr>
        <w:t xml:space="preserve">ترجمه تاریخ جنگ آلمان و فرانسه در سال ۱۸۷۰ میلادی است که مختصر به زبان فارسی نگاشته شده بدون ذکر نام مترجم و کاتب و دارای ۲۴ قطعه عکس چاپی فرنگی است از مناظر مختلف مربوط به این تاریخ که از تابلوهای اصل نقاشی عکس گرفته شده است.</w:t>
      </w:r>
    </w:p>
    <w:p>
      <w:pPr>
        <w:pStyle w:val="BookText"/>
      </w:pPr>
      <w:r>
        <w:rPr>
          <w:rFonts w:ascii="IRNazanin" w:hAnsi="IRNazanin" w:eastAsia="IRNazanin" w:cs="IRNazanin"/>
          <w:lang w:bidi="fa-IR"/>
          <w:color w:val="111111"/>
          <w:sz w:val="28"/>
          <w:szCs w:val="28"/>
          <w:rtl/>
        </w:rPr>
        <w:t xml:space="preserve">تهران؛ سلطنتی؛ شماره نسخه: ۹۱۲</w:t>
      </w:r>
    </w:p>
    <w:p>
      <w:pPr>
        <w:pStyle w:val="BookText"/>
      </w:pPr>
      <w:r>
        <w:rPr>
          <w:rFonts w:ascii="IRNazanin" w:hAnsi="IRNazanin" w:eastAsia="IRNazanin" w:cs="IRNazanin"/>
          <w:lang w:bidi="fa-IR"/>
          <w:color w:val="111111"/>
          <w:sz w:val="28"/>
          <w:szCs w:val="28"/>
          <w:rtl/>
        </w:rPr>
        <w:t xml:space="preserve">آغاز: صورت اول ورود پادشاه پروس به برلین در پانزدهم ژولیه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432" w:name="pg20363_209734"/>
    <w:bookmarkEnd w:id="432"/>
    <w:p>
      <w:pPr>
        <w:pStyle w:val="BookText"/>
      </w:pPr>
      <w:r>
        <w:rPr>
          <w:rFonts w:ascii="IRNazanin" w:hAnsi="IRNazanin" w:eastAsia="IRNazanin" w:cs="IRNazanin"/>
          <w:lang w:bidi="fa-IR"/>
          <w:color w:val="111111"/>
          <w:sz w:val="28"/>
          <w:szCs w:val="28"/>
          <w:rtl/>
        </w:rPr>
        <w:t xml:space="preserve">۱۸۷۰ یعنی ۱۵ ربیع الثانی ۱۲۸۷. بر اشخاص با ادراک پوشیده نماند که رافت و مرحمت خداوندی در حق ملت پروس و پادشاهان اندائمی بوده است چنانچه از تاریخ این سنوات مجددا معلوم کردند. پس از آنکه اهالی قدیم رومن طایفه شاهزادگان هوهن اشتوفن را مضمحل نموده و مملکت آلمانی را ویران نمودند باز رعایای این مملکت بزیر سایه طایفه شاهزادگان هوهن سولرن روز گاری گذرانیدند؛ انجام: تا شب صورت فردریک از اطفال احاطه بود و احسنت احسنت نسبت بپادشاه و بخصوص بعيال او على الدوام بلند میگشت. خوشی قلب و مهربانی ملکه اکوستا و امداد او در هر چیزیکه باعث آبادانی ملت است و معرفت او باختراعات در صنایع و در علوم در هزار و هزار قلوب ابدالمدت یاد خواهد ماند ... خط: نسخ، بی کا، بی تا؛ مهر: کتابخانه دولت علیه ایران ۱۳۲۹؛ کاغذ: فرنگی کبود رنگ، جلد: مقوای روکش میشن سرمه ای با ترنج، ۱۵، ۱۶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۵-۹۰)</w:t>
      </w:r>
    </w:p>
    <w:p>
      <w:pPr>
        <w:pStyle w:val="Heading3"/>
      </w:pPr>
      <w:bookmarkStart w:id="2192" w:name="_Toc1452"/>
      <w:r>
        <w:t>•تاریخ جنگ استریا / تاریخ جهان / فارسی</w:t>
      </w:r>
      <w:bookmarkEnd w:id="2192"/>
    </w:p>
    <w:p>
      <w:pPr>
        <w:pStyle w:val="BookText"/>
      </w:pPr>
      <w:r>
        <w:rPr>
          <w:rFonts w:ascii="Times New Roman" w:hAnsi="Times New Roman" w:eastAsia="Times New Roman" w:cs="Times New Roman"/>
          <w:lang w:val="en-US" w:bidi="en-US"/>
          <w:color w:val="111111"/>
          <w:sz w:val="28"/>
          <w:szCs w:val="28"/>
          <w:rtl/>
        </w:rPr>
        <w:t xml:space="preserve">tārīx-e jang-e āsterīyā</w:t>
      </w:r>
    </w:p>
    <w:p>
      <w:pPr>
        <w:pStyle w:val="BookText"/>
      </w:pPr>
      <w:r>
        <w:rPr>
          <w:rFonts w:ascii="IRNazanin" w:hAnsi="IRNazanin" w:eastAsia="IRNazanin" w:cs="IRNazanin"/>
          <w:lang w:bidi="fa-IR"/>
          <w:color w:val="111111"/>
          <w:sz w:val="28"/>
          <w:szCs w:val="28"/>
          <w:rtl/>
        </w:rPr>
        <w:t xml:space="preserve">مشتمل بر وقایع جنگی که در سال ۱۷۰۵ م مطابق با ۱۲۲۰ قمری فيما بین دولت فرانسه و نمسه (وین) و روس در استريا (اطریش) واقع شده و به فارسی ترجمه شده است.</w:t>
      </w:r>
    </w:p>
    <w:p>
      <w:pPr>
        <w:pStyle w:val="BookText"/>
      </w:pPr>
      <w:r>
        <w:rPr>
          <w:rFonts w:ascii="IRNazanin" w:hAnsi="IRNazanin" w:eastAsia="IRNazanin" w:cs="IRNazanin"/>
          <w:lang w:bidi="fa-IR"/>
          <w:color w:val="111111"/>
          <w:sz w:val="28"/>
          <w:szCs w:val="28"/>
          <w:rtl/>
        </w:rPr>
        <w:t xml:space="preserve">اصفهان؛ صارم الدوله (کتابخانه فرهنگ اصفهان)؛ شماره نسخه:۹۸۳</w:t>
      </w:r>
    </w:p>
    <w:p>
      <w:pPr>
        <w:pStyle w:val="BookText"/>
      </w:pPr>
      <w:r>
        <w:rPr>
          <w:rFonts w:ascii="IRNazanin" w:hAnsi="IRNazanin" w:eastAsia="IRNazanin" w:cs="IRNazanin"/>
          <w:lang w:bidi="fa-IR"/>
          <w:color w:val="111111"/>
          <w:sz w:val="28"/>
          <w:szCs w:val="28"/>
          <w:rtl/>
        </w:rPr>
        <w:t xml:space="preserve">آغاز: بسمله، ترجمه بیان از جانب جناب ناپلئون امپراطور فرانسه باهل مجلس سناست که مجلس؛ انجام: اگر آرام نگیرند زیاده از آن تأدیب خواهیم کرد و ین کیفیت را باهل عالم ظاهر خواهیم ساخت. خط: شکسته نستعلیق خوش، بی کا، تا: قرن ۱۳ کاغذ: فرنگی، جلد: مقوایی با روکش تیماج عنابی با ترنج و سرترنج مذهب، ۱۴۱ص، ۱۴ سطر (۸/۵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۱۴/۵)، اندازه: ۲۰۷۱۳سم [ف: ۱۰۵]</w:t>
      </w:r>
    </w:p>
    <w:p>
      <w:pPr>
        <w:pStyle w:val="Heading3"/>
      </w:pPr>
      <w:bookmarkStart w:id="2193" w:name="_Toc1453"/>
      <w:r>
        <w:t>•تاریخ جنگ ایران و ترک / تاریخ / فارسی</w:t>
      </w:r>
      <w:bookmarkEnd w:id="2193"/>
    </w:p>
    <w:p>
      <w:pPr>
        <w:pStyle w:val="BookText"/>
      </w:pPr>
      <w:r>
        <w:rPr>
          <w:rFonts w:ascii="Times New Roman" w:hAnsi="Times New Roman" w:eastAsia="Times New Roman" w:cs="Times New Roman"/>
          <w:lang w:val="en-US" w:bidi="en-US"/>
          <w:color w:val="111111"/>
          <w:sz w:val="28"/>
          <w:szCs w:val="28"/>
          <w:rtl/>
        </w:rPr>
        <w:t xml:space="preserve">tārīx-e jang-e īrān va tork</w:t>
      </w:r>
    </w:p>
    <w:p>
      <w:pPr>
        <w:pStyle w:val="BookText"/>
      </w:pPr>
      <w:r>
        <w:rPr>
          <w:rFonts w:ascii="IRNazanin" w:hAnsi="IRNazanin" w:eastAsia="IRNazanin" w:cs="IRNazanin"/>
          <w:lang w:bidi="fa-IR"/>
          <w:color w:val="111111"/>
          <w:sz w:val="28"/>
          <w:szCs w:val="28"/>
          <w:rtl/>
        </w:rPr>
        <w:t xml:space="preserve">تهران، دانشگاه؛ شماره نسخه: ۴۱۵۸-ف</w:t>
      </w:r>
    </w:p>
    <w:p>
      <w:pPr>
        <w:pStyle w:val="BookText"/>
      </w:pPr>
      <w:r>
        <w:rPr>
          <w:rFonts w:ascii="IRNazanin" w:hAnsi="IRNazanin" w:eastAsia="IRNazanin" w:cs="IRNazanin"/>
          <w:lang w:bidi="fa-IR"/>
          <w:color w:val="111111"/>
          <w:sz w:val="28"/>
          <w:szCs w:val="28"/>
          <w:rtl/>
        </w:rPr>
        <w:t xml:space="preserve">در ۱۵۷۶-۱۵۸۶ از جوتو مازومينادوي از مردمرودی و پزشکی چاپ ۱۵۸۸ ش ۸۸ همان فهرست)؛ بی کا، بی تا [فيلمها ف: ۳-۲۳]</w:t>
      </w:r>
    </w:p>
    <w:p>
      <w:pPr>
        <w:pStyle w:val="Heading3"/>
      </w:pPr>
      <w:bookmarkStart w:id="2194" w:name="_Toc1454"/>
      <w:r>
        <w:t>•تاریخ جنگ بلوچستان / تاریخ / فارسی</w:t>
      </w:r>
      <w:bookmarkEnd w:id="2194"/>
    </w:p>
    <w:p>
      <w:pPr>
        <w:pStyle w:val="BookText"/>
      </w:pPr>
      <w:r>
        <w:rPr>
          <w:rFonts w:ascii="Times New Roman" w:hAnsi="Times New Roman" w:eastAsia="Times New Roman" w:cs="Times New Roman"/>
          <w:lang w:val="en-US" w:bidi="en-US"/>
          <w:color w:val="111111"/>
          <w:sz w:val="28"/>
          <w:szCs w:val="28"/>
          <w:rtl/>
        </w:rPr>
        <w:t xml:space="preserve">tārīx-e jang-e balūčestān</w:t>
      </w:r>
    </w:p>
    <w:p>
      <w:pPr>
        <w:pStyle w:val="BookText"/>
      </w:pPr>
      <w:r>
        <w:rPr>
          <w:rFonts w:ascii="IRNazanin" w:hAnsi="IRNazanin" w:eastAsia="IRNazanin" w:cs="IRNazanin"/>
          <w:lang w:bidi="fa-IR"/>
          <w:color w:val="111111"/>
          <w:sz w:val="28"/>
          <w:szCs w:val="28"/>
          <w:rtl/>
        </w:rPr>
        <w:t xml:space="preserve">تاریخ نفیس و با ارزشی برای محققان و پژوهشگران منطقه بلوچستان، می باشد، این کتاب صورت گزارش یکی از صاحب منصبان دولتی است در خصوص جنگهای سال ۱۳۰۷ |</w:t>
      </w:r>
    </w:p>
    <w:p>
      <w:pPr>
        <w:pStyle w:val="BookText"/>
      </w:pPr>
      <w:r>
        <w:rPr>
          <w:rFonts w:ascii="IRNazanin" w:hAnsi="IRNazanin" w:eastAsia="IRNazanin" w:cs="IRNazanin"/>
          <w:lang w:bidi="fa-IR"/>
          <w:color w:val="111111"/>
          <w:sz w:val="28"/>
          <w:szCs w:val="28"/>
          <w:rtl/>
        </w:rPr>
        <w:t xml:space="preserve">تاریخ جزیره - تاریخ جنگ ۶۰۷</w:t>
      </w:r>
    </w:p>
    <w:p>
      <w:pPr>
        <w:pStyle w:val="BookText"/>
      </w:pPr>
      <w:r>
        <w:rPr>
          <w:rFonts w:ascii="IRNazanin" w:hAnsi="IRNazanin" w:eastAsia="IRNazanin" w:cs="IRNazanin"/>
          <w:lang w:bidi="fa-IR"/>
          <w:color w:val="111111"/>
          <w:sz w:val="28"/>
          <w:szCs w:val="28"/>
          <w:rtl/>
        </w:rPr>
        <w:t xml:space="preserve">شمسی به بعد که از ناحیه طایفه «باران زائی» و سایر طوائف محلی بلوچستان با دولت مرکزی صورت گرفته است.</w:t>
      </w:r>
    </w:p>
    <w:p>
      <w:pPr>
        <w:pStyle w:val="BookText"/>
      </w:pPr>
      <w:r>
        <w:rPr>
          <w:rFonts w:ascii="IRNazanin" w:hAnsi="IRNazanin" w:eastAsia="IRNazanin" w:cs="IRNazanin"/>
          <w:lang w:bidi="fa-IR"/>
          <w:color w:val="111111"/>
          <w:sz w:val="28"/>
          <w:szCs w:val="28"/>
          <w:rtl/>
        </w:rPr>
        <w:t xml:space="preserve">قم؛ مرعشی؛ شماره نسخه:۱۲۲۵۷</w:t>
      </w:r>
    </w:p>
    <w:p>
      <w:pPr>
        <w:pStyle w:val="BookText"/>
      </w:pPr>
      <w:r>
        <w:rPr>
          <w:rFonts w:ascii="IRNazanin" w:hAnsi="IRNazanin" w:eastAsia="IRNazanin" w:cs="IRNazanin"/>
          <w:lang w:bidi="fa-IR"/>
          <w:color w:val="111111"/>
          <w:sz w:val="28"/>
          <w:szCs w:val="28"/>
          <w:rtl/>
        </w:rPr>
        <w:t xml:space="preserve">آغاز: سالهای متمادی است که منطقه بلوچستان از تحت سلطه و نفوذ حکومت شاهنشاهی بکنار آمده؛ انجام: دوست محمد خان قبول ننموده روز چهارشنبه در میان هزاران مرد و زن که عموما جدا از حرکت او ممانعت داشته اند حرکت مینماید</w:t>
      </w:r>
    </w:p>
    <w:p>
      <w:pPr>
        <w:pStyle w:val="BookText"/>
      </w:pPr>
      <w:r>
        <w:rPr>
          <w:rFonts w:ascii="IRNazanin" w:hAnsi="IRNazanin" w:eastAsia="IRNazanin" w:cs="IRNazanin"/>
          <w:lang w:bidi="fa-IR"/>
          <w:color w:val="111111"/>
          <w:sz w:val="28"/>
          <w:szCs w:val="28"/>
          <w:rtl/>
        </w:rPr>
        <w:t xml:space="preserve">خط: شکسته نستعلیق، بی کا، تا: قرن ۱۴؛ خط مرحوم صدر الاسلام محمد امین بن میرزا یحیی امام جمعه خوئی در آغاز نسخه در سال ۱۳۱۲ شمسی آمده؛ کاغذ: معمولی خط دار، جلد: تیماج مشکی با ترنج گل و مرغ و گوزن، ۶۱گ، ۶۱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۳۱-۹۸]</w:t>
      </w:r>
    </w:p>
    <w:p>
      <w:pPr>
        <w:pStyle w:val="Heading3"/>
      </w:pPr>
      <w:bookmarkStart w:id="2195" w:name="_Toc1455"/>
      <w:r>
        <w:t>•تاریخ جنگ چین و قشون متحده ملل اروپا / تاریخ / فارسی</w:t>
      </w:r>
      <w:bookmarkEnd w:id="2195"/>
    </w:p>
    <w:p>
      <w:pPr>
        <w:pStyle w:val="BookText"/>
      </w:pPr>
      <w:r>
        <w:rPr>
          <w:rFonts w:ascii="Times New Roman" w:hAnsi="Times New Roman" w:eastAsia="Times New Roman" w:cs="Times New Roman"/>
          <w:lang w:val="en-US" w:bidi="en-US"/>
          <w:color w:val="111111"/>
          <w:sz w:val="28"/>
          <w:szCs w:val="28"/>
          <w:rtl/>
        </w:rPr>
        <w:t xml:space="preserve">tārīx-e jang-e čīn va qošūn-e mottahede-ye melal-e orūpā</w:t>
      </w:r>
    </w:p>
    <w:p>
      <w:pPr>
        <w:pStyle w:val="BookText"/>
      </w:pPr>
      <w:r>
        <w:rPr>
          <w:rFonts w:ascii="IRNazanin" w:hAnsi="IRNazanin" w:eastAsia="IRNazanin" w:cs="IRNazanin"/>
          <w:lang w:bidi="fa-IR"/>
          <w:color w:val="111111"/>
          <w:sz w:val="28"/>
          <w:szCs w:val="28"/>
          <w:rtl/>
        </w:rPr>
        <w:t xml:space="preserve">صحافباشی، اسماعیل بن ابراهیم، ق۱۳ قمری</w:t>
      </w:r>
    </w:p>
    <w:p>
      <w:pPr>
        <w:pStyle w:val="BookText"/>
      </w:pPr>
      <w:r>
        <w:rPr>
          <w:rFonts w:ascii="Times New Roman" w:hAnsi="Times New Roman" w:eastAsia="Times New Roman" w:cs="Times New Roman"/>
          <w:lang w:val="en-US" w:bidi="en-US"/>
          <w:color w:val="111111"/>
          <w:sz w:val="28"/>
          <w:szCs w:val="28"/>
          <w:rtl/>
        </w:rPr>
        <w:t xml:space="preserve">sahhāfbāšī, esmāʻīl ebn-e ebrāhīm (-19c)</w:t>
      </w:r>
    </w:p>
    <w:p>
      <w:pPr>
        <w:pStyle w:val="BookText"/>
      </w:pPr>
      <w:r>
        <w:rPr>
          <w:rFonts w:ascii="IRNazanin" w:hAnsi="IRNazanin" w:eastAsia="IRNazanin" w:cs="IRNazanin"/>
          <w:lang w:bidi="fa-IR"/>
          <w:color w:val="111111"/>
          <w:sz w:val="28"/>
          <w:szCs w:val="28"/>
          <w:rtl/>
        </w:rPr>
        <w:t xml:space="preserve">تاریخ ترجمه: جمادی الاول ۱۳۲۱ ق اصل از: هنری سوج لاندر. مترجم: اسمعيل پسر مرحوم صحاف باشی. در این کتاب ابتداء از اقوام چینی معروف به بوکسور» (=مشت زن) بحث می شود و سپس از جنگی که ممالک متحده اروپا در ۱۹۰۰ میلادی با چین کرده اند که سرانجام به شکست چین و از بین رفتن امپراطوری آن کشور می کشد به طور مفصل سخن به میان آید.</w:t>
      </w:r>
    </w:p>
    <w:p>
      <w:pPr>
        <w:pStyle w:val="BookText"/>
      </w:pPr>
      <w:r>
        <w:rPr>
          <w:rFonts w:ascii="IRNazanin" w:hAnsi="IRNazanin" w:eastAsia="IRNazanin" w:cs="IRNazanin"/>
          <w:lang w:bidi="fa-IR"/>
          <w:color w:val="111111"/>
          <w:sz w:val="28"/>
          <w:szCs w:val="28"/>
          <w:rtl/>
        </w:rPr>
        <w:t xml:space="preserve">تهران؛ ملی؛ شماره نسخه:۲۲۶</w:t>
      </w:r>
    </w:p>
    <w:p>
      <w:pPr>
        <w:pStyle w:val="BookText"/>
      </w:pPr>
      <w:r>
        <w:rPr>
          <w:rFonts w:ascii="IRNazanin" w:hAnsi="IRNazanin" w:eastAsia="IRNazanin" w:cs="IRNazanin"/>
          <w:lang w:bidi="fa-IR"/>
          <w:color w:val="111111"/>
          <w:sz w:val="28"/>
          <w:szCs w:val="28"/>
          <w:rtl/>
        </w:rPr>
        <w:t xml:space="preserve">آغاز: تاریخ جنگ چین و قشون متحده ملل اروپ سال ۱۹۰۰ میلادی مطابق سال هزار و سیصد و هیجده هجری. فصل اول: در مملکت چین از قدیم، انجام: برویم به بینیم در ضمنی که ما بطرف پکن هجوم می بریم برای استخلاص سفارات چه حادثه در سفارات محصور رخ نمود ؟. آخر نسخه: تمام شد جلد اول تاریخ جنگ چین و سیاحت نامه هنری سوج لاندر ترجمه غلام خانه زاد اسمعیل پسر مرحوم صحاف باشی مترجم مخصوص همایونی روحی فداه في شهر جمادی الاولی ۱۳۲۱.</w:t>
      </w:r>
    </w:p>
    <w:p>
      <w:pPr>
        <w:pStyle w:val="BookText"/>
      </w:pPr>
      <w:r>
        <w:rPr>
          <w:rFonts w:ascii="IRNazanin" w:hAnsi="IRNazanin" w:eastAsia="IRNazanin" w:cs="IRNazanin"/>
          <w:lang w:bidi="fa-IR"/>
          <w:color w:val="111111"/>
          <w:sz w:val="28"/>
          <w:szCs w:val="28"/>
          <w:rtl/>
        </w:rPr>
        <w:t xml:space="preserve">جلد اول؛ خط: نستعلیق خوش، بی کا، تا: جمادی الاول ۱۳۲۱ق، جا: تهران؛ مجدول، مذهب، با سرلوح مذهب، به خط مظفر الدین شاه نوشته شده: «هو الله تعالى شأنه امروز که روز جمعه ۱۵ شهر جمادی الاولی است در قصر صاحب قرانيه هستم ناخوشی وبا هست این کتاب که جلد اول تاریخ جنگ چین با دول اروپا است با حضور فخر الملک و سیف السلطان و نظام السلطان و ناصر خان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433" w:name="pg20363_209735"/>
    <w:bookmarkEnd w:id="433"/>
    <w:p>
      <w:pPr>
        <w:pStyle w:val="BookText"/>
      </w:pPr>
      <w:r>
        <w:rPr>
          <w:rFonts w:ascii="IRNazanin" w:hAnsi="IRNazanin" w:eastAsia="IRNazanin" w:cs="IRNazanin"/>
          <w:lang w:bidi="fa-IR"/>
          <w:color w:val="111111"/>
          <w:sz w:val="28"/>
          <w:szCs w:val="28"/>
          <w:rtl/>
        </w:rPr>
        <w:t xml:space="preserve">و بصير السلطنه و حکیم الملک، دکتر خلیل خان که از حکمای مخصوص خودمان است در حضور در وقت ظهر تمام کرد ۱۳۳۲»؛ کاغذ: فرنگی آبی، جلد: مخمل آبی، ۱۴۲گی، ۱۵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۱-۲۳۳]</w:t>
      </w:r>
    </w:p>
    <w:p>
      <w:pPr>
        <w:pStyle w:val="Heading3"/>
      </w:pPr>
      <w:bookmarkStart w:id="2196" w:name="_Toc1456"/>
      <w:r>
        <w:t>•تاریخ جنگ روس و عثمانی / تاریخ / فارسی</w:t>
      </w:r>
      <w:bookmarkEnd w:id="2196"/>
    </w:p>
    <w:p>
      <w:pPr>
        <w:pStyle w:val="BookText"/>
      </w:pPr>
      <w:r>
        <w:rPr>
          <w:rFonts w:ascii="Times New Roman" w:hAnsi="Times New Roman" w:eastAsia="Times New Roman" w:cs="Times New Roman"/>
          <w:lang w:val="en-US" w:bidi="en-US"/>
          <w:color w:val="111111"/>
          <w:sz w:val="28"/>
          <w:szCs w:val="28"/>
          <w:rtl/>
        </w:rPr>
        <w:t xml:space="preserve">tārīx-e jang-e rūs va ‘osmānī</w:t>
      </w:r>
    </w:p>
    <w:p>
      <w:pPr>
        <w:pStyle w:val="BookText"/>
      </w:pPr>
      <w:r>
        <w:rPr>
          <w:rFonts w:ascii="IRNazanin" w:hAnsi="IRNazanin" w:eastAsia="IRNazanin" w:cs="IRNazanin"/>
          <w:lang w:bidi="fa-IR"/>
          <w:color w:val="111111"/>
          <w:sz w:val="28"/>
          <w:szCs w:val="28"/>
          <w:rtl/>
        </w:rPr>
        <w:t xml:space="preserve">کتابی مفصل و شرح کاملی است از عملیات نظامی که از جانب سپاه امپراطوری روسیه در جنگ سال ۱۸۷۷ میلادی با دولت عثمانی شده است. ظاهرا از یکی از زبان های اروپایی ترجمه شده و بیشتر بدان می ماند که از روی اسناد نظامی روسی ترجمه کرده اند. نام مؤلف و مترجم معلوم نیست و چون خط و کاغذ آن خط از اوایل قرن حاضر است پیداست که در اواخر قرن سیزدهم یا اوایل قرن چهاردهم ترجمه کرده و نسخه برداشته اند.</w:t>
      </w:r>
    </w:p>
    <w:p>
      <w:pPr>
        <w:pStyle w:val="BookText"/>
      </w:pPr>
      <w:r>
        <w:rPr>
          <w:rFonts w:ascii="IRNazanin" w:hAnsi="IRNazanin" w:eastAsia="IRNazanin" w:cs="IRNazanin"/>
          <w:lang w:bidi="fa-IR"/>
          <w:color w:val="111111"/>
          <w:sz w:val="28"/>
          <w:szCs w:val="28"/>
          <w:rtl/>
        </w:rPr>
        <w:t xml:space="preserve">تهران؛ مجلس؛ شماره نسخه:۲۲۷۵</w:t>
      </w:r>
    </w:p>
    <w:p>
      <w:pPr>
        <w:pStyle w:val="BookText"/>
      </w:pPr>
      <w:r>
        <w:rPr>
          <w:rFonts w:ascii="IRNazanin" w:hAnsi="IRNazanin" w:eastAsia="IRNazanin" w:cs="IRNazanin"/>
          <w:lang w:bidi="fa-IR"/>
          <w:color w:val="111111"/>
          <w:sz w:val="28"/>
          <w:szCs w:val="28"/>
          <w:rtl/>
        </w:rPr>
        <w:t xml:space="preserve">آغاز: فصل نهم - فهرست جنگ آسیا. حرکت چهارستون از سپاه روس؛ انجام: جنگ در قراطاغ بمتار که انجامید و زمین آزاد شد. ظاهرة مجلد دوم از کتاب است و از فصل نهم تا فصل هیجدهم را در بر دارد و به وقایع یازدهم سپتامبر ۱۸۷۷ منتهی می شود؛ خط: نسخ تعليق، كا: محمد علی حسینی تفریشی، بی تا، کاغذ: آبی فرنگی، جلد: تیماج خرمایی، ۵۷۴ص، ۱۲سطر،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۶-۲۳۰]</w:t>
      </w:r>
    </w:p>
    <w:p>
      <w:pPr>
        <w:pStyle w:val="Heading3"/>
      </w:pPr>
      <w:bookmarkStart w:id="2197" w:name="_Toc1457"/>
      <w:r>
        <w:t>•تاریخ جنگ روس و عثمانی / تاریخ / فارسی</w:t>
      </w:r>
      <w:bookmarkEnd w:id="2197"/>
    </w:p>
    <w:p>
      <w:pPr>
        <w:pStyle w:val="BookText"/>
      </w:pPr>
      <w:r>
        <w:rPr>
          <w:rFonts w:ascii="Times New Roman" w:hAnsi="Times New Roman" w:eastAsia="Times New Roman" w:cs="Times New Roman"/>
          <w:lang w:val="en-US" w:bidi="en-US"/>
          <w:color w:val="111111"/>
          <w:sz w:val="28"/>
          <w:szCs w:val="28"/>
          <w:rtl/>
        </w:rPr>
        <w:t xml:space="preserve">tārīx-e jang-e rūs va ‘osmānī</w:t>
      </w:r>
    </w:p>
    <w:p>
      <w:pPr>
        <w:pStyle w:val="BookText"/>
      </w:pPr>
      <w:r>
        <w:rPr>
          <w:rFonts w:ascii="IRNazanin" w:hAnsi="IRNazanin" w:eastAsia="IRNazanin" w:cs="IRNazanin"/>
          <w:lang w:bidi="fa-IR"/>
          <w:color w:val="111111"/>
          <w:sz w:val="28"/>
          <w:szCs w:val="28"/>
          <w:rtl/>
        </w:rPr>
        <w:t xml:space="preserve">تهران؛ مجلس؛ شماره نسخه:۲۲۷۶</w:t>
      </w:r>
    </w:p>
    <w:p>
      <w:pPr>
        <w:pStyle w:val="BookText"/>
      </w:pPr>
      <w:r>
        <w:rPr>
          <w:rFonts w:ascii="IRNazanin" w:hAnsi="IRNazanin" w:eastAsia="IRNazanin" w:cs="IRNazanin"/>
          <w:lang w:bidi="fa-IR"/>
          <w:color w:val="111111"/>
          <w:sz w:val="28"/>
          <w:szCs w:val="28"/>
          <w:rtl/>
        </w:rPr>
        <w:t xml:space="preserve">آغاز: جلد سیم. مشرق زمینی؛ انجام: وضع جدیدی بظهور رسید. خط: نسخ تعلیق، بی کا، تا: سه شنبه ۱۷ ربیع الثانی؛ کاغذ: آبی فرنگی، جلد: تیماج خرمایی، ۷۰۴ص، ۱۳ سطر، اندازه: ۱۷/۵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 سم [ف: ۶-۲۳۱]</w:t>
      </w:r>
    </w:p>
    <w:p>
      <w:pPr>
        <w:pStyle w:val="Heading3"/>
      </w:pPr>
      <w:bookmarkStart w:id="2198" w:name="_Toc1458"/>
      <w:r>
        <w:t>•تاریخ جنگ روس و عثمانی (ترجمه) / تاریخ / فارسی</w:t>
      </w:r>
      <w:bookmarkEnd w:id="2198"/>
    </w:p>
    <w:p>
      <w:pPr>
        <w:pStyle w:val="BookText"/>
      </w:pPr>
      <w:r>
        <w:rPr>
          <w:rFonts w:ascii="Times New Roman" w:hAnsi="Times New Roman" w:eastAsia="Times New Roman" w:cs="Times New Roman"/>
          <w:lang w:val="en-US" w:bidi="en-US"/>
          <w:color w:val="111111"/>
          <w:sz w:val="28"/>
          <w:szCs w:val="28"/>
          <w:rtl/>
        </w:rPr>
        <w:t xml:space="preserve">tārīx-e jang-e rūs va Rosmānī (t.)</w:t>
      </w:r>
    </w:p>
    <w:p>
      <w:pPr>
        <w:pStyle w:val="BookText"/>
      </w:pPr>
      <w:r>
        <w:rPr>
          <w:rFonts w:ascii="IRNazanin" w:hAnsi="IRNazanin" w:eastAsia="IRNazanin" w:cs="IRNazanin"/>
          <w:lang w:bidi="fa-IR"/>
          <w:color w:val="111111"/>
          <w:sz w:val="28"/>
          <w:szCs w:val="28"/>
          <w:rtl/>
        </w:rPr>
        <w:t xml:space="preserve">محلاتی، محمد کاظم بن احمد، ۱۲۵۰-۱۳۱۳ قمری</w:t>
      </w:r>
    </w:p>
    <w:p>
      <w:pPr>
        <w:pStyle w:val="BookText"/>
      </w:pPr>
      <w:r>
        <w:rPr>
          <w:rFonts w:ascii="Times New Roman" w:hAnsi="Times New Roman" w:eastAsia="Times New Roman" w:cs="Times New Roman"/>
          <w:lang w:val="en-US" w:bidi="en-US"/>
          <w:color w:val="111111"/>
          <w:sz w:val="28"/>
          <w:szCs w:val="28"/>
          <w:rtl/>
        </w:rPr>
        <w:t xml:space="preserve">mahallātī, mohammad kāzem ebn-e ahmad (1835 1896)</w:t>
      </w:r>
    </w:p>
    <w:p>
      <w:pPr>
        <w:pStyle w:val="BookText"/>
      </w:pPr>
      <w:r>
        <w:rPr>
          <w:rFonts w:ascii="IRNazanin" w:hAnsi="IRNazanin" w:eastAsia="IRNazanin" w:cs="IRNazanin"/>
          <w:lang w:bidi="fa-IR"/>
          <w:color w:val="111111"/>
          <w:sz w:val="28"/>
          <w:szCs w:val="28"/>
          <w:rtl/>
        </w:rPr>
        <w:t xml:space="preserve">از مسیو آمدلفر (لوفر)؛ سال ترجمه: ۱۲۹۸ق</w:t>
      </w:r>
    </w:p>
    <w:p>
      <w:pPr>
        <w:pStyle w:val="BookText"/>
      </w:pPr>
      <w:r>
        <w:rPr>
          <w:rFonts w:ascii="IRNazanin" w:hAnsi="IRNazanin" w:eastAsia="IRNazanin" w:cs="IRNazanin"/>
          <w:lang w:bidi="fa-IR"/>
          <w:color w:val="111111"/>
          <w:sz w:val="28"/>
          <w:szCs w:val="28"/>
          <w:rtl/>
        </w:rPr>
        <w:t xml:space="preserve">در قرن سیزدهم دو جنگی مهم فرانسه و آلمان به سال ۱۲۸۷ ق و روس و عثمانی به سال ۱۲۹۴ ق در گرفته و مسیو آمدلفر فرانسوی تاریخ این دو جنگ را نگاشته است، ناصرالدین شاه قاجار به مخبرالدوله دستور ترجمه این کتاب را در مدرسه دارالفنون داده</w:t>
      </w:r>
    </w:p>
    <w:p>
      <w:pPr>
        <w:pStyle w:val="BookText"/>
      </w:pPr>
      <w:r>
        <w:rPr>
          <w:rFonts w:ascii="IRNazanin" w:hAnsi="IRNazanin" w:eastAsia="IRNazanin" w:cs="IRNazanin"/>
          <w:lang w:bidi="fa-IR"/>
          <w:color w:val="111111"/>
          <w:sz w:val="28"/>
          <w:szCs w:val="28"/>
          <w:rtl/>
        </w:rPr>
        <w:t xml:space="preserve">و مترجم آن را در دو جلد ترجمه کرده است. مترجم که معلم طبیعی مدرسه دارالفنون است این کتاب را که شامل جنگهای دولتين عثمانی و روس و مجملی از جغرافیای عثمانی و تاریخ و جغرافیای قره طاغ و قشون آن ولایت و نیز تاریخ و جغرافيا و قشون سرب است از زبان فرانسوی به فارسی بر می گرداند.</w:t>
      </w:r>
    </w:p>
    <w:p>
      <w:pPr>
        <w:pStyle w:val="BookText"/>
      </w:pPr>
      <w:r>
        <w:rPr>
          <w:rFonts w:ascii="IRNazanin" w:hAnsi="IRNazanin" w:eastAsia="IRNazanin" w:cs="IRNazanin"/>
          <w:lang w:bidi="fa-IR"/>
          <w:color w:val="111111"/>
          <w:sz w:val="28"/>
          <w:szCs w:val="28"/>
          <w:rtl/>
        </w:rPr>
        <w:t xml:space="preserve">آغاز: بسمله، فصل اول: فهرست دولتين عثمانی و روس مجملی از تاریخ جنگهای این دو دولت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ملک؛ شماره نسخه:۱۴۸۱/۴</w:t>
      </w:r>
    </w:p>
    <w:p>
      <w:pPr>
        <w:pStyle w:val="BookText"/>
      </w:pPr>
      <w:r>
        <w:rPr>
          <w:rFonts w:ascii="IRNazanin" w:hAnsi="IRNazanin" w:eastAsia="IRNazanin" w:cs="IRNazanin"/>
          <w:lang w:bidi="fa-IR"/>
          <w:color w:val="111111"/>
          <w:sz w:val="28"/>
          <w:szCs w:val="28"/>
          <w:rtl/>
        </w:rPr>
        <w:t xml:space="preserve">خط: نسخ و نستعلیق، بی کا، تا: قرن ۱۳؛ ۳۰گ (۵۱ر-۸۰پ) [ف: ۲۷۲-۵]</w:t>
      </w:r>
    </w:p>
    <w:p>
      <w:pPr>
        <w:pStyle w:val="BookText"/>
      </w:pPr>
      <w:r>
        <w:rPr>
          <w:rFonts w:ascii="IRNazanin" w:hAnsi="IRNazanin" w:eastAsia="IRNazanin" w:cs="IRNazanin"/>
          <w:lang w:bidi="fa-IR"/>
          <w:color w:val="111111"/>
          <w:sz w:val="28"/>
          <w:szCs w:val="28"/>
          <w:rtl/>
        </w:rPr>
        <w:t xml:space="preserve">۲. تهران؛ ملی؛ شماره نسخه:۱۶۶۷</w:t>
      </w:r>
    </w:p>
    <w:p>
      <w:pPr>
        <w:pStyle w:val="BookText"/>
      </w:pPr>
      <w:r>
        <w:rPr>
          <w:rFonts w:ascii="IRNazanin" w:hAnsi="IRNazanin" w:eastAsia="IRNazanin" w:cs="IRNazanin"/>
          <w:lang w:bidi="fa-IR"/>
          <w:color w:val="111111"/>
          <w:sz w:val="28"/>
          <w:szCs w:val="28"/>
          <w:rtl/>
        </w:rPr>
        <w:t xml:space="preserve">آغاز: برابر، انجام: با کمال مشقت و شدت مواظبت دیده بودند مانعی باقی نماند جلد اول؛ خط: شکسته نستعلیق، بی کا، تا: ۱۲۹۸ق، جا: طهران؛ با سر لوح مذهب، مجدول؛ کاغذ: فرنگی، آبی، جلد: تیماج قرمز، ۱۸۴گ، ۱۷سطر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۴-۱۴۴]</w:t>
      </w:r>
    </w:p>
    <w:p>
      <w:pPr>
        <w:pStyle w:val="BookText"/>
      </w:pPr>
      <w:r>
        <w:rPr>
          <w:rFonts w:ascii="IRNazanin" w:hAnsi="IRNazanin" w:eastAsia="IRNazanin" w:cs="IRNazanin"/>
          <w:lang w:bidi="fa-IR"/>
          <w:color w:val="111111"/>
          <w:sz w:val="28"/>
          <w:szCs w:val="28"/>
          <w:rtl/>
        </w:rPr>
        <w:t xml:space="preserve">٣. تهران؛ ملی؛ شماره نسخه:۱۵۴۲</w:t>
      </w:r>
    </w:p>
    <w:p>
      <w:pPr>
        <w:pStyle w:val="BookText"/>
      </w:pPr>
      <w:r>
        <w:rPr>
          <w:rFonts w:ascii="IRNazanin" w:hAnsi="IRNazanin" w:eastAsia="IRNazanin" w:cs="IRNazanin"/>
          <w:lang w:bidi="fa-IR"/>
          <w:color w:val="111111"/>
          <w:sz w:val="28"/>
          <w:szCs w:val="28"/>
          <w:rtl/>
        </w:rPr>
        <w:t xml:space="preserve">آغاز: برابر؛ انجام: برای تدارکات زیادی که روسها با کمال مشقت و شدت مواظبت دیده بودند مانعی باقی نماند</w:t>
      </w:r>
    </w:p>
    <w:p>
      <w:pPr>
        <w:pStyle w:val="BookText"/>
      </w:pPr>
      <w:r>
        <w:rPr>
          <w:rFonts w:ascii="IRNazanin" w:hAnsi="IRNazanin" w:eastAsia="IRNazanin" w:cs="IRNazanin"/>
          <w:lang w:bidi="fa-IR"/>
          <w:color w:val="111111"/>
          <w:sz w:val="28"/>
          <w:szCs w:val="28"/>
          <w:rtl/>
        </w:rPr>
        <w:t xml:space="preserve">جلد اول؛ خط: نستعلیق، کا: اسدالله محلاتی، تا: ۱۲۹۸ق؛ مجدول؛ خط ناصرالدین شاه: «جلد اول تاریخ جنگ عثمانی و روس تماما ملاحظه شد»؛ کاغذ: فرنگی، آبی، جلد: تیماج ماشی با گل و بوته، ۱۸۷ گ، ۱۵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۴-۳۵]</w:t>
      </w:r>
    </w:p>
    <w:p>
      <w:pPr>
        <w:pStyle w:val="BookText"/>
      </w:pPr>
      <w:r>
        <w:rPr>
          <w:rFonts w:ascii="IRNazanin" w:hAnsi="IRNazanin" w:eastAsia="IRNazanin" w:cs="IRNazanin"/>
          <w:lang w:bidi="fa-IR"/>
          <w:color w:val="111111"/>
          <w:sz w:val="28"/>
          <w:szCs w:val="28"/>
          <w:rtl/>
        </w:rPr>
        <w:t xml:space="preserve">۴. تهران؛ ملی؛ شماره نسخه:۱۵۴۴</w:t>
      </w:r>
    </w:p>
    <w:p>
      <w:pPr>
        <w:pStyle w:val="BookText"/>
      </w:pPr>
      <w:r>
        <w:rPr>
          <w:rFonts w:ascii="IRNazanin" w:hAnsi="IRNazanin" w:eastAsia="IRNazanin" w:cs="IRNazanin"/>
          <w:lang w:bidi="fa-IR"/>
          <w:color w:val="111111"/>
          <w:sz w:val="28"/>
          <w:szCs w:val="28"/>
          <w:rtl/>
        </w:rPr>
        <w:t xml:space="preserve">آغاز: بسمله، فصل نهم. فهرست. جنگ آسیا. حرکت چهار ستون سپاه روس؛ انجام: جنگ در قراطاغ بمتار که انجامید و زمین آن آزاد شد</w:t>
      </w:r>
    </w:p>
    <w:p>
      <w:pPr>
        <w:pStyle w:val="BookText"/>
      </w:pPr>
      <w:r>
        <w:rPr>
          <w:rFonts w:ascii="IRNazanin" w:hAnsi="IRNazanin" w:eastAsia="IRNazanin" w:cs="IRNazanin"/>
          <w:lang w:bidi="fa-IR"/>
          <w:color w:val="111111"/>
          <w:sz w:val="28"/>
          <w:szCs w:val="28"/>
          <w:rtl/>
        </w:rPr>
        <w:t xml:space="preserve">جلد دوم از فصل نهم کتاب اصلی شروع می شود و شامل: جنگ روس ها و ترکها در آسیا، جنگ جلو باطوم، حمله و تسخیر اردهان، استحضارات جنگی از قارص، تسخیر بایزید و قراکلیسا، جنگ اطراف قارص، حرکت ژنرال ترکو کاشف، اماکن ساخلوی عثمانیان، شورش قفقاز و سوخوم قلعه؛ خط: نستعلیق، كا: محتملا اسداله محلاتی، تا: ۱۲۹۹ق، جا: تهران؛ با سرلوح مذهب، مجدول؛ خط ناصر الدین شاه: «تماما ملاحظه شد»؛ کاغذ: فرنگی، آبی، جلد: تیماج قرمز با گل و بوته، ۲۶۷ گی، ۱۵سطر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۳۳/۶سم [ف: ۴-۳۶]</w:t>
      </w:r>
    </w:p>
    <w:p>
      <w:pPr>
        <w:pStyle w:val="BookText"/>
      </w:pPr>
      <w:r>
        <w:rPr>
          <w:rFonts w:ascii="IRNazanin" w:hAnsi="IRNazanin" w:eastAsia="IRNazanin" w:cs="IRNazanin"/>
          <w:lang w:bidi="fa-IR"/>
          <w:color w:val="111111"/>
          <w:sz w:val="28"/>
          <w:szCs w:val="28"/>
          <w:rtl/>
        </w:rPr>
        <w:t xml:space="preserve">۵. اصفهان؛ صارم الدوله (کتابخانه فرهنگ اصفهان)؛ شماره نسخه: ۸۹۰</w:t>
      </w:r>
    </w:p>
    <w:p>
      <w:pPr>
        <w:pStyle w:val="BookText"/>
      </w:pPr>
      <w:r>
        <w:rPr>
          <w:rFonts w:ascii="IRNazanin" w:hAnsi="IRNazanin" w:eastAsia="IRNazanin" w:cs="IRNazanin"/>
          <w:lang w:bidi="fa-IR"/>
          <w:color w:val="111111"/>
          <w:sz w:val="28"/>
          <w:szCs w:val="28"/>
          <w:rtl/>
        </w:rPr>
        <w:t xml:space="preserve">آغاز: برابر؛ انجام: و شهر مزبور معظم ترین ولاينست که از سمت گرجستان در دهنه ارمنیان متعلق بروس واقع است</w:t>
      </w:r>
    </w:p>
    <w:p>
      <w:pPr>
        <w:pStyle w:val="BookText"/>
      </w:pPr>
      <w:r>
        <w:rPr>
          <w:rFonts w:ascii="IRNazanin" w:hAnsi="IRNazanin" w:eastAsia="IRNazanin" w:cs="IRNazanin"/>
          <w:lang w:bidi="fa-IR"/>
          <w:color w:val="111111"/>
          <w:sz w:val="28"/>
          <w:szCs w:val="28"/>
          <w:rtl/>
        </w:rPr>
        <w:t xml:space="preserve">خط: نستعلیق خوش، كا: محمد کاظم بن احمد محلاتی، تا: رمضان ۱۲۹۹ق؛ ۳۳۲ص، ۱۷ سطر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۳۱]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434" w:name="pg20363_209736"/>
    <w:bookmarkEnd w:id="434"/>
    <w:p>
      <w:pPr>
        <w:pStyle w:val="BookText"/>
      </w:pPr>
      <w:r>
        <w:rPr>
          <w:rFonts w:ascii="IRNazanin" w:hAnsi="IRNazanin" w:eastAsia="IRNazanin" w:cs="IRNazanin"/>
          <w:lang w:bidi="fa-IR"/>
          <w:color w:val="111111"/>
          <w:sz w:val="28"/>
          <w:szCs w:val="28"/>
          <w:rtl/>
        </w:rPr>
        <w:t xml:space="preserve">۶. اصفهان؛ صارم الدوله (كتابخانه فرهنگ اصفهان، شماره نسخه:۸۹۴</w:t>
      </w:r>
    </w:p>
    <w:p>
      <w:pPr>
        <w:pStyle w:val="BookText"/>
      </w:pPr>
      <w:r>
        <w:rPr>
          <w:rFonts w:ascii="IRNazanin" w:hAnsi="IRNazanin" w:eastAsia="IRNazanin" w:cs="IRNazanin"/>
          <w:lang w:bidi="fa-IR"/>
          <w:color w:val="111111"/>
          <w:sz w:val="28"/>
          <w:szCs w:val="28"/>
          <w:rtl/>
        </w:rPr>
        <w:t xml:space="preserve">آغاز: برابر؛ انجام: در پانزدهم ماه ژون آب رودخانه دانوب شروع به تنزل سریع نمود و پس از چند روز دیگر برای تدارکات زیادی.. .</w:t>
      </w:r>
    </w:p>
    <w:p>
      <w:pPr>
        <w:pStyle w:val="BookText"/>
      </w:pPr>
      <w:r>
        <w:rPr>
          <w:rFonts w:ascii="IRNazanin" w:hAnsi="IRNazanin" w:eastAsia="IRNazanin" w:cs="IRNazanin"/>
          <w:lang w:bidi="fa-IR"/>
          <w:color w:val="111111"/>
          <w:sz w:val="28"/>
          <w:szCs w:val="28"/>
          <w:rtl/>
        </w:rPr>
        <w:t xml:space="preserve">جلد اول، خط: نسخ عالی، بی کا، تا: اوایل قرن ۱۴، ۲۴۵ گ، ۲۴ سطر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۳۳]</w:t>
      </w:r>
    </w:p>
    <w:p>
      <w:pPr>
        <w:pStyle w:val="BookText"/>
      </w:pPr>
      <w:r>
        <w:rPr>
          <w:rFonts w:ascii="IRNazanin" w:hAnsi="IRNazanin" w:eastAsia="IRNazanin" w:cs="IRNazanin"/>
          <w:lang w:bidi="fa-IR"/>
          <w:color w:val="111111"/>
          <w:sz w:val="28"/>
          <w:szCs w:val="28"/>
          <w:rtl/>
        </w:rPr>
        <w:t xml:space="preserve">۷. اصفهان؛ صارم الدوله (كتابخانه فرهنگ اصفهان، شماره نسخه: ۸۹۱</w:t>
      </w:r>
    </w:p>
    <w:p>
      <w:pPr>
        <w:pStyle w:val="BookText"/>
      </w:pPr>
      <w:r>
        <w:rPr>
          <w:rFonts w:ascii="IRNazanin" w:hAnsi="IRNazanin" w:eastAsia="IRNazanin" w:cs="IRNazanin"/>
          <w:lang w:bidi="fa-IR"/>
          <w:color w:val="111111"/>
          <w:sz w:val="28"/>
          <w:szCs w:val="28"/>
          <w:rtl/>
        </w:rPr>
        <w:t xml:space="preserve">آغاز: بسمله، فصل اول، فهرست وضع سپاه در آسیا دستور العمل مختار پاشا؛ انجام: جنگ سخت تری که برای ممالک اروپا اهمیت و اعتبار نامه داشت باید عما قريب شروع شود و يحتمل بعدها سوانح آنجنگ را ما در رشته تحریر در آوردیم</w:t>
      </w:r>
    </w:p>
    <w:p>
      <w:pPr>
        <w:pStyle w:val="BookText"/>
      </w:pPr>
      <w:r>
        <w:rPr>
          <w:rFonts w:ascii="IRNazanin" w:hAnsi="IRNazanin" w:eastAsia="IRNazanin" w:cs="IRNazanin"/>
          <w:lang w:bidi="fa-IR"/>
          <w:color w:val="111111"/>
          <w:sz w:val="28"/>
          <w:szCs w:val="28"/>
          <w:rtl/>
        </w:rPr>
        <w:t xml:space="preserve">جلد دوم: مشتمل بر وقایع مذکور در سال ۱۸۷۷ ال ۱۸۷۸ شامل ۱۵ «فصل» و هر فصلی محتوی چند مطلب؛ خط: نستعلیق زیبا، كا: فرج الله تفرشی محرر تلگرافخانه، تا: ۱۴ صفر ۱۳۰۱ق؛ دارای سرلوح مذهب، جداول متداخل، دارای انجامه گل و بوته به زر؛ کاغذ: فرنگی آبی، جلد: مقوایی با روکش تیماج سبز، ۷۴۷ص، ۱۷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۳۲]</w:t>
      </w:r>
    </w:p>
    <w:p>
      <w:pPr>
        <w:pStyle w:val="BookText"/>
      </w:pPr>
      <w:r>
        <w:rPr>
          <w:rFonts w:ascii="IRNazanin" w:hAnsi="IRNazanin" w:eastAsia="IRNazanin" w:cs="IRNazanin"/>
          <w:lang w:bidi="fa-IR"/>
          <w:color w:val="111111"/>
          <w:sz w:val="28"/>
          <w:szCs w:val="28"/>
          <w:rtl/>
        </w:rPr>
        <w:t xml:space="preserve">۸. یزد؛ کاظمینی؛ شماره نسخه:۴۸۵</w:t>
      </w:r>
    </w:p>
    <w:p>
      <w:pPr>
        <w:pStyle w:val="BookText"/>
      </w:pPr>
      <w:r>
        <w:rPr>
          <w:rFonts w:ascii="IRNazanin" w:hAnsi="IRNazanin" w:eastAsia="IRNazanin" w:cs="IRNazanin"/>
          <w:lang w:bidi="fa-IR"/>
          <w:color w:val="111111"/>
          <w:sz w:val="28"/>
          <w:szCs w:val="28"/>
          <w:rtl/>
        </w:rPr>
        <w:t xml:space="preserve">آغاز: الحمدلله رب العالمين ... چون در این قرن اخیر در بسیاری از نقاط معتبره کره زمین جنگهای مهمه عظيمه رویداد و در وضع ممالک تغییرات کلیه پدید آمد</w:t>
      </w:r>
    </w:p>
    <w:p>
      <w:pPr>
        <w:pStyle w:val="BookText"/>
      </w:pPr>
      <w:r>
        <w:rPr>
          <w:rFonts w:ascii="IRNazanin" w:hAnsi="IRNazanin" w:eastAsia="IRNazanin" w:cs="IRNazanin"/>
          <w:lang w:bidi="fa-IR"/>
          <w:color w:val="111111"/>
          <w:sz w:val="28"/>
          <w:szCs w:val="28"/>
          <w:rtl/>
        </w:rPr>
        <w:t xml:space="preserve">خط: نستعلیق، کا: محمد رضا پیشخدمت سرکار حضرت اشرف، تا: جمعه ۲۳ ذیقعده ۱۳۰۲ق، به دستور شاهزاده عبدالله میرزا حشمت الدوله؛ جلد: تیماج سبز ضربی، ۴۵۴ گ، ۱۶ سطر، اندازه: ۲۱/۵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۲-۱۷۷]</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ملی؛ شماره نسخه:۶۵۴</w:t>
      </w:r>
    </w:p>
    <w:p>
      <w:pPr>
        <w:pStyle w:val="BookText"/>
      </w:pPr>
      <w:r>
        <w:rPr>
          <w:rFonts w:ascii="IRNazanin" w:hAnsi="IRNazanin" w:eastAsia="IRNazanin" w:cs="IRNazanin"/>
          <w:lang w:bidi="fa-IR"/>
          <w:color w:val="111111"/>
          <w:sz w:val="28"/>
          <w:szCs w:val="28"/>
          <w:rtl/>
        </w:rPr>
        <w:t xml:space="preserve">آغاز: برابر؛ انجام: و شهر مزبور معظم ترین ولایتیست که از سمت گرجستان در دهنه ارمنیان متعلق بروس واقع است. تذکر: در فهرست با عنوان ظاهر، نام کاتب به عنوان مترجم آمده است؛ در این کتاب از جنگ سال ۱۸۷۷م. که بین دو دولت روس و عثمانی اتفاق افتاده و از عهدنامه ای که پس از پایان این جنگ میان طرفین منعقد گردیده است بحث می شود؛ خط: نسخ، كا: محمد على، تا: ۱۳۰۴ق، جان محتملا تهران؛ کاغذ: فرنگی آبی، جلد: تیماج قرمز با ترنج و نیم ترنج، ۱۶۰گ، ۱۲ سطر (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۲-۱۵۸]</w:t>
      </w:r>
    </w:p>
    <w:p>
      <w:pPr>
        <w:pStyle w:val="BookText"/>
      </w:pPr>
      <w:r>
        <w:rPr>
          <w:rFonts w:ascii="IRNazanin" w:hAnsi="IRNazanin" w:eastAsia="IRNazanin" w:cs="IRNazanin"/>
          <w:lang w:bidi="fa-IR"/>
          <w:color w:val="111111"/>
          <w:sz w:val="28"/>
          <w:szCs w:val="28"/>
          <w:rtl/>
        </w:rPr>
        <w:t xml:space="preserve">۱۰. تهران؛ ملی؛ شماره نسخه:۱۸۳۷</w:t>
      </w:r>
    </w:p>
    <w:p>
      <w:pPr>
        <w:pStyle w:val="BookText"/>
      </w:pPr>
      <w:r>
        <w:rPr>
          <w:rFonts w:ascii="IRNazanin" w:hAnsi="IRNazanin" w:eastAsia="IRNazanin" w:cs="IRNazanin"/>
          <w:lang w:bidi="fa-IR"/>
          <w:color w:val="111111"/>
          <w:sz w:val="28"/>
          <w:szCs w:val="28"/>
          <w:rtl/>
        </w:rPr>
        <w:t xml:space="preserve">آغاز: بسمله، فصل نهم. فهرست. جنگ آسيا. حرکت چهار ستون؛ انجام: جنگ در قراطاغ بمتار که انجامید و زمین آن آزاد شد</w:t>
      </w:r>
    </w:p>
    <w:p>
      <w:pPr>
        <w:pStyle w:val="BookText"/>
      </w:pPr>
      <w:r>
        <w:rPr>
          <w:rFonts w:ascii="IRNazanin" w:hAnsi="IRNazanin" w:eastAsia="IRNazanin" w:cs="IRNazanin"/>
          <w:lang w:bidi="fa-IR"/>
          <w:color w:val="111111"/>
          <w:sz w:val="28"/>
          <w:szCs w:val="28"/>
          <w:rtl/>
        </w:rPr>
        <w:t xml:space="preserve">جلد دوم؛ خط: شکسته نستعلیق خوش، كا: عبدالغفار همدانی، تا: ۱۳۰۵ق، کاغذ: فرنگی، آبی، جلد: تیماج، قرمز، ۲۵۵گ، ۱۷سطر (۱۲/۵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۳۲/۵سم [ف: ۴-۲۸۷]</w:t>
      </w:r>
    </w:p>
    <w:p>
      <w:pPr>
        <w:pStyle w:val="BookText"/>
      </w:pPr>
      <w:r>
        <w:rPr>
          <w:rFonts w:ascii="IRNazanin" w:hAnsi="IRNazanin" w:eastAsia="IRNazanin" w:cs="IRNazanin"/>
          <w:lang w:bidi="fa-IR"/>
          <w:color w:val="111111"/>
          <w:sz w:val="28"/>
          <w:szCs w:val="28"/>
          <w:rtl/>
        </w:rPr>
        <w:t xml:space="preserve">۱۱. تهران؛ ملک؛ شماره نسخه: ۳۹۱۱</w:t>
      </w:r>
    </w:p>
    <w:p>
      <w:pPr>
        <w:pStyle w:val="BookText"/>
      </w:pPr>
      <w:r>
        <w:rPr>
          <w:rFonts w:ascii="IRNazanin" w:hAnsi="IRNazanin" w:eastAsia="IRNazanin" w:cs="IRNazanin"/>
          <w:lang w:bidi="fa-IR"/>
          <w:color w:val="111111"/>
          <w:sz w:val="28"/>
          <w:szCs w:val="28"/>
          <w:rtl/>
        </w:rPr>
        <w:t xml:space="preserve">آغاز: بسمله، حمدله ... چون در این قرن اخیر در بسیاری از نقاط معتبره کره زمین جنگهای مهمه عظيمه روی داد؛ انجام: می گوئیم جنگ مشرق زمین تمام شد. جلد دوم؛ خط: شکسته، نستعلیق، كا: سید جواد کاشانی، تا: فطر ۱۳۰۷ق، کاغذ: کاغذ فلفل نمکی آبی فرنگی، جلد: میشن قرمز، ۲۶۵گ، ۱۶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۲۷/۲ سم [ف: ۲-۱۸۹]</w:t>
      </w:r>
    </w:p>
    <w:p>
      <w:pPr>
        <w:pStyle w:val="BookText"/>
      </w:pPr>
      <w:r>
        <w:rPr>
          <w:rFonts w:ascii="IRNazanin" w:hAnsi="IRNazanin" w:eastAsia="IRNazanin" w:cs="IRNazanin"/>
          <w:lang w:bidi="fa-IR"/>
          <w:color w:val="111111"/>
          <w:sz w:val="28"/>
          <w:szCs w:val="28"/>
          <w:rtl/>
        </w:rPr>
        <w:t xml:space="preserve">۱۲. تهران؛ مجلس؛ شماره نسخه: ۵۶۰۱</w:t>
      </w:r>
    </w:p>
    <w:p>
      <w:pPr>
        <w:pStyle w:val="BookText"/>
      </w:pPr>
      <w:r>
        <w:rPr>
          <w:rFonts w:ascii="IRNazanin" w:hAnsi="IRNazanin" w:eastAsia="IRNazanin" w:cs="IRNazanin"/>
          <w:lang w:bidi="fa-IR"/>
          <w:color w:val="111111"/>
          <w:sz w:val="28"/>
          <w:szCs w:val="28"/>
          <w:rtl/>
        </w:rPr>
        <w:t xml:space="preserve">آغاز: الحمدلله رب العالمين ... چون در این قرن اخیر در بسیاری از نقاط؛ انجام: با مصالحه نامه به انجام رسید و میگویم جنگ مشرق زمین تمام شد، تمام شد جلد دوم جنگ مشرق زمین ۱۳۰۰- هـ</w:t>
      </w:r>
    </w:p>
    <w:p>
      <w:pPr>
        <w:pStyle w:val="BookText"/>
      </w:pPr>
      <w:r>
        <w:rPr>
          <w:rFonts w:ascii="IRNazanin" w:hAnsi="IRNazanin" w:eastAsia="IRNazanin" w:cs="IRNazanin"/>
          <w:lang w:bidi="fa-IR"/>
          <w:color w:val="111111"/>
          <w:sz w:val="28"/>
          <w:szCs w:val="28"/>
          <w:rtl/>
        </w:rPr>
        <w:t xml:space="preserve">جلد دوم و اواخر جنگ روس و عثمانی است با ذکر كامل وقایع؛ خط: نستعلیق، كا: عبدالكريم بن میرزا محمد علی گیلانی، تا: ۱۳۱۱ ق، به امر شاهزاده امیر بیک ملقب به حشمت الدوله؛ كاتب متذکر شده که نسخه را در نهایت دقت مقابله و تصحیح کرده است؛ کاغذ: فرنگی نازک آهاردار شکری، جلد: تیماج سرخ، ۶۲۲، ۱۷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۱۷-۵۷]</w:t>
      </w:r>
    </w:p>
    <w:p>
      <w:pPr>
        <w:pStyle w:val="BookText"/>
      </w:pPr>
      <w:r>
        <w:rPr>
          <w:rFonts w:ascii="IRNazanin" w:hAnsi="IRNazanin" w:eastAsia="IRNazanin" w:cs="IRNazanin"/>
          <w:lang w:bidi="fa-IR"/>
          <w:color w:val="111111"/>
          <w:sz w:val="28"/>
          <w:szCs w:val="28"/>
          <w:rtl/>
        </w:rPr>
        <w:t xml:space="preserve">۱۳. قم؛ مرکز احیاء؛ شماره نسخه:۳۰۸</w:t>
      </w:r>
    </w:p>
    <w:p>
      <w:pPr>
        <w:pStyle w:val="BookText"/>
      </w:pPr>
      <w:r>
        <w:rPr>
          <w:rFonts w:ascii="IRNazanin" w:hAnsi="IRNazanin" w:eastAsia="IRNazanin" w:cs="IRNazanin"/>
          <w:lang w:bidi="fa-IR"/>
          <w:color w:val="111111"/>
          <w:sz w:val="28"/>
          <w:szCs w:val="28"/>
          <w:rtl/>
        </w:rPr>
        <w:t xml:space="preserve">آغاز: الحمدلله رب العالمين ... چون در این قرن اخیر در بسیاری از نقاط معتبر کره زمین جنگهای مهمه عظيمه رو داد؛ انجام: و يتحمل بعدها سوانح آن جنگ را ما در رشته تحریر در آوریم ولی کوشش ما امروز با مصالحه تامه بانجام رسیده. جلد دوم؛ خط: نسخ، كا: محمد حسن، تا: پنج شنبه ۱۸ صفر ۱۳۱۹ق، برای شاهزاده عبدالله میرزا حشمت الدوله؛ کتاب را غلامحسین بختیار به تاریخ ۱۲ مرداد ۱۳۲۷ به فرزندش یحیی خان بخشیده؛ جلد: تیماج مشکی، ۳۱۳گ، ۲۰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۱-۴۱۴]</w:t>
      </w:r>
    </w:p>
    <w:p>
      <w:pPr>
        <w:pStyle w:val="BookText"/>
      </w:pPr>
      <w:r>
        <w:rPr>
          <w:rFonts w:ascii="IRNazanin" w:hAnsi="IRNazanin" w:eastAsia="IRNazanin" w:cs="IRNazanin"/>
          <w:lang w:bidi="fa-IR"/>
          <w:color w:val="111111"/>
          <w:sz w:val="28"/>
          <w:szCs w:val="28"/>
          <w:rtl/>
        </w:rPr>
        <w:t xml:space="preserve">۱۴. تهران، دانشگاه؛ شماره نسخه:۷۸۲۳</w:t>
      </w:r>
    </w:p>
    <w:p>
      <w:pPr>
        <w:pStyle w:val="BookText"/>
      </w:pPr>
      <w:r>
        <w:rPr>
          <w:rFonts w:ascii="IRNazanin" w:hAnsi="IRNazanin" w:eastAsia="IRNazanin" w:cs="IRNazanin"/>
          <w:lang w:bidi="fa-IR"/>
          <w:color w:val="111111"/>
          <w:sz w:val="28"/>
          <w:szCs w:val="28"/>
          <w:rtl/>
        </w:rPr>
        <w:t xml:space="preserve">خط: نسخ خوش، بی کا، بی تا؛ برای محمد ابراهیم خان پیش خدمت خاصه و پسر فرخ خان امین الدوله در ۶ شوال ۱۳۰۱ در دو جلد؛ اهدایی: آقا حسن علی غفاری معاون الدوله کاشانی؛ کاغذ: فرنگی، جلد: تیماج عنابی، ۲۶۰گ، ۲۹ سطر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۱۶-۷۱۵]</w:t>
      </w:r>
    </w:p>
    <w:p>
      <w:pPr>
        <w:pStyle w:val="BookText"/>
      </w:pPr>
      <w:r>
        <w:rPr>
          <w:rFonts w:ascii="IRNazanin" w:hAnsi="IRNazanin" w:eastAsia="IRNazanin" w:cs="IRNazanin"/>
          <w:lang w:bidi="fa-IR"/>
          <w:color w:val="111111"/>
          <w:sz w:val="28"/>
          <w:szCs w:val="28"/>
          <w:rtl/>
        </w:rPr>
        <w:t xml:space="preserve">۱۵. اصفهان؛ صارم الدوله (كتابخانه فرهنگ اصفهان)؛ شماره نسخه:۸۹۳</w:t>
      </w:r>
    </w:p>
    <w:p>
      <w:pPr>
        <w:pStyle w:val="BookText"/>
      </w:pPr>
      <w:r>
        <w:rPr>
          <w:rFonts w:ascii="IRNazanin" w:hAnsi="IRNazanin" w:eastAsia="IRNazanin" w:cs="IRNazanin"/>
          <w:lang w:bidi="fa-IR"/>
          <w:color w:val="111111"/>
          <w:sz w:val="28"/>
          <w:szCs w:val="28"/>
          <w:rtl/>
        </w:rPr>
        <w:t xml:space="preserve">آغاز: بسمله، فصل اول فهرست، وضع سپاه در آسیا دستور العمل مختار پاشا؛ انجام: جنگ سخت تری که برای ممالک اروپا اهمیت و اعتبار نامه داشت باید عما قريب شروع شود جلد دوم؛ خط: نسخ عالی، بی کا، بی تا؛ ۶۳۲، ۲۴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۳۳]</w:t>
      </w:r>
    </w:p>
    <w:p>
      <w:pPr>
        <w:pStyle w:val="Heading3"/>
      </w:pPr>
      <w:bookmarkStart w:id="2199" w:name="_Toc1459"/>
      <w:r>
        <w:t>•تاریخ جنگ سودان / تاریخ / فارسی</w:t>
      </w:r>
      <w:bookmarkEnd w:id="2199"/>
    </w:p>
    <w:p>
      <w:pPr>
        <w:pStyle w:val="BookText"/>
      </w:pPr>
      <w:r>
        <w:rPr>
          <w:rFonts w:ascii="Times New Roman" w:hAnsi="Times New Roman" w:eastAsia="Times New Roman" w:cs="Times New Roman"/>
          <w:lang w:val="en-US" w:bidi="en-US"/>
          <w:color w:val="111111"/>
          <w:sz w:val="28"/>
          <w:szCs w:val="28"/>
          <w:rtl/>
        </w:rPr>
        <w:t xml:space="preserve">tārīx-e jang-e sūdān</w:t>
      </w:r>
    </w:p>
    <w:p>
      <w:pPr>
        <w:pStyle w:val="BookText"/>
      </w:pPr>
      <w:r>
        <w:rPr>
          <w:rFonts w:ascii="IRNazanin" w:hAnsi="IRNazanin" w:eastAsia="IRNazanin" w:cs="IRNazanin"/>
          <w:lang w:bidi="fa-IR"/>
          <w:color w:val="111111"/>
          <w:sz w:val="28"/>
          <w:szCs w:val="28"/>
          <w:rtl/>
        </w:rPr>
        <w:t xml:space="preserve">مجیر شیبانی، علی محمد، ۱۲۲۹-۱۳۰۷ شمسی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435" w:name="pg20363_209737"/>
    <w:bookmarkEnd w:id="435"/>
    <w:p>
      <w:pPr>
        <w:pStyle w:val="BookText"/>
      </w:pPr>
      <w:r>
        <w:rPr>
          <w:rFonts w:ascii="Times New Roman" w:hAnsi="Times New Roman" w:eastAsia="Times New Roman" w:cs="Times New Roman"/>
          <w:lang w:val="en-US" w:bidi="en-US"/>
          <w:color w:val="111111"/>
          <w:sz w:val="28"/>
          <w:szCs w:val="28"/>
          <w:rtl/>
        </w:rPr>
        <w:t xml:space="preserve">mojīr-e šeybānī, ‘alī-mohammad (1850-1928)</w:t>
      </w:r>
    </w:p>
    <w:p>
      <w:pPr>
        <w:pStyle w:val="BookText"/>
      </w:pPr>
      <w:r>
        <w:rPr>
          <w:rFonts w:ascii="IRNazanin" w:hAnsi="IRNazanin" w:eastAsia="IRNazanin" w:cs="IRNazanin"/>
          <w:lang w:bidi="fa-IR"/>
          <w:color w:val="111111"/>
          <w:sz w:val="28"/>
          <w:szCs w:val="28"/>
          <w:rtl/>
        </w:rPr>
        <w:t xml:space="preserve">تاریخ ترجمه: ۱۳۰۸ق</w:t>
      </w:r>
    </w:p>
    <w:p>
      <w:pPr>
        <w:pStyle w:val="BookText"/>
      </w:pPr>
      <w:r>
        <w:rPr>
          <w:rFonts w:ascii="IRNazanin" w:hAnsi="IRNazanin" w:eastAsia="IRNazanin" w:cs="IRNazanin"/>
          <w:lang w:bidi="fa-IR"/>
          <w:color w:val="111111"/>
          <w:sz w:val="28"/>
          <w:szCs w:val="28"/>
          <w:rtl/>
        </w:rPr>
        <w:t xml:space="preserve">به درخواست: اعتماد السلطنه</w:t>
      </w:r>
    </w:p>
    <w:p>
      <w:pPr>
        <w:pStyle w:val="BookText"/>
      </w:pPr>
      <w:r>
        <w:rPr>
          <w:rFonts w:ascii="IRNazanin" w:hAnsi="IRNazanin" w:eastAsia="IRNazanin" w:cs="IRNazanin"/>
          <w:lang w:bidi="fa-IR"/>
          <w:color w:val="111111"/>
          <w:sz w:val="28"/>
          <w:szCs w:val="28"/>
          <w:rtl/>
        </w:rPr>
        <w:t xml:space="preserve">اهدا به: ناصر الدین شاه قاجار (۱۲۶۴-۱۳۱۳ق) تاریخ جنگ های مصریان و انگلیسی ها با شورشیان سودان و تاریخچه سودان از ابتدای استیلای خانواده محمد علی پاشا و احوال محمد احمد سودانی معروف به متمهدی از سال ۱۸۱۹ تا ۱۸۸۵م است که از مجله اللطائف قاهره ترجمه شده است. مترجم که نایب وزارت انطباعات بوده می نویسد: «واقع شده با مقدمه مختصری در تاریخ سودان از ابتداء استيلاء خانواده محمد علی پاشا بر سودان إلى يومنا هذا که از جریده عربيه موس. م به اللطائف منطبعه قاهره مصر ترجمه و نقل و نگارش می شود». مشتمل بر سیزده فصل»: ۱. غلبه و استيلاء خانواده محد على پاشا بر مملکت سودان؛ ۲. جغرافیای بلاد و احوال عباد سودان؛ 3. خلاصه احوال گردون پاشا؛ ۴. ذکر حکومت رؤوف پاشا در سودان و قیام متمهدی؛ ۵. حکومت عبدالقادر پاشا در سودان؛ ۶. جنرال هكس؛ 7. وقایع احوال شورشیان و هل عصیان در سواكن؛ ۸ اعاده جنرال کردون از انگلیس به طرف سودان؛ ۹. حمله انگلیس بر سواكن؛ ۱۰. حرکت عساکر انگلیس از سواكن؛ ۱۱. وقایع احوال قشون جنرال هربرت استورت؛ ۱۲. احوال سپاه جنرال ارک و بیرون کشیدن سپاه انگلیس از خاک سودان؛ ۱۳. واقعه جنس. (حافظیان و حکيم)</w:t>
      </w:r>
    </w:p>
    <w:p>
      <w:pPr>
        <w:pStyle w:val="BookText"/>
      </w:pPr>
      <w:r>
        <w:rPr>
          <w:rFonts w:ascii="IRNazanin" w:hAnsi="IRNazanin" w:eastAsia="IRNazanin" w:cs="IRNazanin"/>
          <w:lang w:bidi="fa-IR"/>
          <w:color w:val="111111"/>
          <w:sz w:val="28"/>
          <w:szCs w:val="28"/>
          <w:rtl/>
        </w:rPr>
        <w:t xml:space="preserve">آغاز: بعد بسمله. این تاریخ مشتمل است بر تفصیل معارک و حروبی که میان مصریان و انگلیسیان با شورشیان سودان واقع شده، با مقدمه مختصری در تاریخ سودان از ابتداء استيلاء خانواده محمد علی پاشابر سودان إلى يومنا هذا که از جيده عربيه موسوم به اللطایف منطبعه قاهره مصر ترجمه و نقل و نگارش می شود ... فهرست تاریخ و سفرنامه سلطنتی ص ۹۲-۹۳]</w:t>
      </w:r>
    </w:p>
    <w:p>
      <w:pPr>
        <w:pStyle w:val="BookText"/>
      </w:pPr>
      <w:r>
        <w:rPr>
          <w:rFonts w:ascii="IRNazanin" w:hAnsi="IRNazanin" w:eastAsia="IRNazanin" w:cs="IRNazanin"/>
          <w:lang w:bidi="fa-IR"/>
          <w:color w:val="111111"/>
          <w:sz w:val="28"/>
          <w:szCs w:val="28"/>
          <w:rtl/>
        </w:rPr>
        <w:t xml:space="preserve">۱. تهران؛ مجلس؛ شماره نسخه:۱۲۱۵</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کاتب = مؤلف ، تا: شب صفر ۱۳۰۸ق؛ مجدول؛ کاغذ: سفید، جلد: تیماج حنایی ضربی و مقوایی، ۱۰۹گ، ۱۱سطر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[سنا: ف: ۲-۱۷۰]</w:t>
      </w:r>
    </w:p>
    <w:p>
      <w:pPr>
        <w:pStyle w:val="BookText"/>
      </w:pPr>
      <w:r>
        <w:rPr>
          <w:rFonts w:ascii="IRNazanin" w:hAnsi="IRNazanin" w:eastAsia="IRNazanin" w:cs="IRNazanin"/>
          <w:lang w:bidi="fa-IR"/>
          <w:color w:val="111111"/>
          <w:sz w:val="28"/>
          <w:szCs w:val="28"/>
          <w:rtl/>
        </w:rPr>
        <w:t xml:space="preserve">۲. مشهد؛ شیخ علی حیدر؛ شماره نسخه: ۴۱</w:t>
      </w:r>
    </w:p>
    <w:p>
      <w:pPr>
        <w:pStyle w:val="BookText"/>
      </w:pPr>
      <w:r>
        <w:rPr>
          <w:rFonts w:ascii="IRNazanin" w:hAnsi="IRNazanin" w:eastAsia="IRNazanin" w:cs="IRNazanin"/>
          <w:lang w:bidi="fa-IR"/>
          <w:color w:val="111111"/>
          <w:sz w:val="28"/>
          <w:szCs w:val="28"/>
          <w:rtl/>
        </w:rPr>
        <w:t xml:space="preserve">آغاز: برابر؛ انجام: و از هفوات آن اغماض فرمایند. فسبحان من تفرد بالعصمة و الكمال</w:t>
      </w:r>
    </w:p>
    <w:p>
      <w:pPr>
        <w:pStyle w:val="BookText"/>
      </w:pPr>
      <w:r>
        <w:rPr>
          <w:rFonts w:ascii="IRNazanin" w:hAnsi="IRNazanin" w:eastAsia="IRNazanin" w:cs="IRNazanin"/>
          <w:lang w:bidi="fa-IR"/>
          <w:color w:val="111111"/>
          <w:sz w:val="28"/>
          <w:szCs w:val="28"/>
          <w:rtl/>
        </w:rPr>
        <w:t xml:space="preserve">خط: نستعلیق، كا:علی کاشانی، تا: پنج شنبه ۲۸ ربیع الاول ۱۳۰۷ق؛ اهدایی: سید عبد الوهاب مهدوی اصفهانی، ۱۳۰۷ش؛ جلد: تیماج زرد، ۴۰۰گ، ۹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w:t>
      </w:r>
    </w:p>
    <w:p>
      <w:pPr>
        <w:pStyle w:val="BookText"/>
      </w:pPr>
      <w:r>
        <w:rPr>
          <w:rFonts w:ascii="IRNazanin" w:hAnsi="IRNazanin" w:eastAsia="IRNazanin" w:cs="IRNazanin"/>
          <w:lang w:bidi="fa-IR"/>
          <w:color w:val="111111"/>
          <w:sz w:val="28"/>
          <w:szCs w:val="28"/>
          <w:rtl/>
        </w:rPr>
        <w:t xml:space="preserve">سم [مؤید: ۳-۵۸۷]</w:t>
      </w:r>
    </w:p>
    <w:p>
      <w:pPr>
        <w:pStyle w:val="BookText"/>
      </w:pPr>
      <w:r>
        <w:rPr>
          <w:rFonts w:ascii="IRNazanin" w:hAnsi="IRNazanin" w:eastAsia="IRNazanin" w:cs="IRNazanin"/>
          <w:lang w:bidi="fa-IR"/>
          <w:color w:val="111111"/>
          <w:sz w:val="28"/>
          <w:szCs w:val="28"/>
          <w:rtl/>
        </w:rPr>
        <w:t xml:space="preserve">٣. مشهد؛ رضوی؛ شماره نسخه:۳۷۱۴۵</w:t>
      </w:r>
    </w:p>
    <w:p>
      <w:pPr>
        <w:pStyle w:val="BookText"/>
      </w:pPr>
      <w:r>
        <w:rPr>
          <w:rFonts w:ascii="IRNazanin" w:hAnsi="IRNazanin" w:eastAsia="IRNazanin" w:cs="IRNazanin"/>
          <w:lang w:bidi="fa-IR"/>
          <w:color w:val="111111"/>
          <w:sz w:val="28"/>
          <w:szCs w:val="28"/>
          <w:rtl/>
        </w:rPr>
        <w:t xml:space="preserve">آغاز: برابر؛ انجام: حسن شیم خویش اقالت کنند و از هفوات آن اغماض فرمایند فسبحان من تفرد بالعصمة و الكمال</w:t>
      </w:r>
    </w:p>
    <w:p>
      <w:pPr>
        <w:pStyle w:val="BookText"/>
      </w:pPr>
      <w:r>
        <w:rPr>
          <w:rFonts w:ascii="IRNazanin" w:hAnsi="IRNazanin" w:eastAsia="IRNazanin" w:cs="IRNazanin"/>
          <w:lang w:bidi="fa-IR"/>
          <w:color w:val="111111"/>
          <w:sz w:val="28"/>
          <w:szCs w:val="28"/>
          <w:rtl/>
        </w:rPr>
        <w:t xml:space="preserve">خط: نستعلیق شکسته، كا: علی کاشانی، تا: پنج شنبه ۲۸ ربیع الاول ۱۳۰۷ق؛ یادداشت سید عبدالوهاب مهدوی اصفهانی در ۱۳ مرداد ۱۳۰۷؛ اهدایی: رهبری، مهر ۱۳۸۶؛ کاغذ: فرنگی نخودی آهار مهره، جلد: تیماج عنابی مجدول، ۱۹۶ گ، و سطر، اندازه: ۱۲/۵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 اهدائی رهبر: ۸-۳۶۹ ]</w:t>
      </w:r>
    </w:p>
    <w:p>
      <w:pPr>
        <w:pStyle w:val="BookText"/>
      </w:pPr>
      <w:r>
        <w:rPr>
          <w:rFonts w:ascii="IRNazanin" w:hAnsi="IRNazanin" w:eastAsia="IRNazanin" w:cs="IRNazanin"/>
          <w:lang w:bidi="fa-IR"/>
          <w:color w:val="111111"/>
          <w:sz w:val="28"/>
          <w:szCs w:val="28"/>
          <w:rtl/>
        </w:rPr>
        <w:t xml:space="preserve">۴. تهران؛ سلطنتی؛ شماره نسخه: ۱۷۷۱</w:t>
      </w:r>
    </w:p>
    <w:p>
      <w:pPr>
        <w:pStyle w:val="BookText"/>
      </w:pPr>
      <w:r>
        <w:rPr>
          <w:rFonts w:ascii="IRNazanin" w:hAnsi="IRNazanin" w:eastAsia="IRNazanin" w:cs="IRNazanin"/>
          <w:lang w:bidi="fa-IR"/>
          <w:color w:val="111111"/>
          <w:sz w:val="28"/>
          <w:szCs w:val="28"/>
          <w:rtl/>
        </w:rPr>
        <w:t xml:space="preserve">آغاز: بسمله، تاریخ حروب سودان و ترجمه حال محمد احمد سودانی معروف بمتمهدی که از روی اسناد صحيحه در جراید عربيه منطبعه مصر در ظرف چند سال بطبع و انتشار رسانیده اند این بنده درگاه جهان پناه علیمحمد مستوفی خادم وزارت انطباعات و اداره روزنامجات بر حسب اشارت جناب جلالتماب اعتماد السلطنه وزیر انطباعات و دارالترجمه دولتی و مترجم مخصوص حضور همایونی از عربی فارسی ترجمه نموده و نسخه از آنرا بامید اینکه در پیشگاه آستان مبارک شرف قبول یافته ... تقدیم خاکپای همایون داشت؛ انجام: با این حالت حکومت مصر پلتیک حزم پیش گرفته برای خاموش کردن آتش فتنه و شورش سودان بتدبير صواب پرداخت ... و فواید اینکار در تسکین حرکات و اسکات نعره و فریاد اهل شورش ... روزبروز ظاهرتر و بیشتر میگردد. و انه على كل شيئ قدير. تم تحرير في شهر شعبان المعظم بارس ئیل سنه ۱۳۰۸.</w:t>
      </w:r>
    </w:p>
    <w:p>
      <w:pPr>
        <w:pStyle w:val="BookText"/>
      </w:pPr>
      <w:r>
        <w:rPr>
          <w:rFonts w:ascii="IRNazanin" w:hAnsi="IRNazanin" w:eastAsia="IRNazanin" w:cs="IRNazanin"/>
          <w:lang w:bidi="fa-IR"/>
          <w:color w:val="111111"/>
          <w:sz w:val="28"/>
          <w:szCs w:val="28"/>
          <w:rtl/>
        </w:rPr>
        <w:t xml:space="preserve">خط: شکسته نستعلیق، بی کا، تا: ۱۳۰۸ق؛ مجدول مذهب، دو کتیبه منقش مذهب؛ کاغذ: فرنگی فلفل نمکی، جلد: مقوای روکش مخمل زنگاری، ۳۲۰ص، ۱۱ سطر،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۵-۹۲]</w:t>
      </w:r>
    </w:p>
    <w:p>
      <w:pPr>
        <w:pStyle w:val="BookText"/>
      </w:pPr>
      <w:r>
        <w:rPr>
          <w:rFonts w:ascii="IRNazanin" w:hAnsi="IRNazanin" w:eastAsia="IRNazanin" w:cs="IRNazanin"/>
          <w:lang w:bidi="fa-IR"/>
          <w:color w:val="111111"/>
          <w:sz w:val="28"/>
          <w:szCs w:val="28"/>
          <w:rtl/>
        </w:rPr>
        <w:t xml:space="preserve">۵. تهران: مجلس؛ شماره نسخه:۲۲۷۷</w:t>
      </w:r>
    </w:p>
    <w:p>
      <w:pPr>
        <w:pStyle w:val="BookText"/>
      </w:pPr>
      <w:r>
        <w:rPr>
          <w:rFonts w:ascii="IRNazanin" w:hAnsi="IRNazanin" w:eastAsia="IRNazanin" w:cs="IRNazanin"/>
          <w:lang w:bidi="fa-IR"/>
          <w:color w:val="111111"/>
          <w:sz w:val="28"/>
          <w:szCs w:val="28"/>
          <w:rtl/>
        </w:rPr>
        <w:t xml:space="preserve">آغاز: برابر؛ انجام: از هفوات آن اغماض فرمایند فسبحان من تفرد بالعصمة و الكمال انتهی. خط: نسخ تعلیق، کا: اسدالله بن هاشم ملایری، تا: ۱۳۰۹ق؛ دارای ۲ تذهیب بسیار متوسط از طلای بدل، مجدول؛ کاغذ: فرنگی آبی، جلد: تیماج خرمایی، ۳۳۷ص، ۱۱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۶-۲۳۱]</w:t>
      </w:r>
    </w:p>
    <w:p>
      <w:pPr>
        <w:pStyle w:val="BookText"/>
      </w:pPr>
      <w:r>
        <w:rPr>
          <w:rFonts w:ascii="IRNazanin" w:hAnsi="IRNazanin" w:eastAsia="IRNazanin" w:cs="IRNazanin"/>
          <w:lang w:bidi="fa-IR"/>
          <w:color w:val="111111"/>
          <w:sz w:val="28"/>
          <w:szCs w:val="28"/>
          <w:rtl/>
        </w:rPr>
        <w:t xml:space="preserve">۶. تهران: ملی؛ شماره نسخه:۱۸۵۸</w:t>
      </w:r>
    </w:p>
    <w:p>
      <w:pPr>
        <w:pStyle w:val="BookText"/>
      </w:pPr>
      <w:r>
        <w:rPr>
          <w:rFonts w:ascii="IRNazanin" w:hAnsi="IRNazanin" w:eastAsia="IRNazanin" w:cs="IRNazanin"/>
          <w:lang w:bidi="fa-IR"/>
          <w:color w:val="111111"/>
          <w:sz w:val="28"/>
          <w:szCs w:val="28"/>
          <w:rtl/>
        </w:rPr>
        <w:t xml:space="preserve">آغاز: هو الله تعالی دیباچه کتاب تاریخ سودان بسمله و به نستعين الحمدلله المدرک الغيب و الشهود؛ انجام: با رعایت شرائط استقصاء و استكمال در مجلدی دیگر بپردازد و محقر هدیتی تقدیم آستان اعلى سازد خط: نستعلیق، بی کا، تا: ۱۳۲۵ق، جان تهران؛ با سرلوحه مذهب، مجدول؛ کاغذ: فرنگی، فلفل نمکی، جلد: مخمل بنفش با گل و بوته، ۱۱۲گ، ۱۵ سطر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۴-۳۲۱]</w:t>
      </w:r>
    </w:p>
    <w:p>
      <w:pPr>
        <w:pStyle w:val="Heading3"/>
      </w:pPr>
      <w:bookmarkStart w:id="2200" w:name="_Toc1460"/>
      <w:r>
        <w:t>•تاریخ جنگ شرق اقصی / تاریخ / فارسی</w:t>
      </w:r>
      <w:bookmarkEnd w:id="2200"/>
    </w:p>
    <w:p>
      <w:pPr>
        <w:pStyle w:val="BookText"/>
      </w:pPr>
      <w:r>
        <w:rPr>
          <w:rFonts w:ascii="Times New Roman" w:hAnsi="Times New Roman" w:eastAsia="Times New Roman" w:cs="Times New Roman"/>
          <w:lang w:val="en-US" w:bidi="en-US"/>
          <w:color w:val="111111"/>
          <w:sz w:val="28"/>
          <w:szCs w:val="28"/>
          <w:rtl/>
        </w:rPr>
        <w:t xml:space="preserve">tārīx-e jang-e šarq-e aqsā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436" w:name="pg20363_209738"/>
    <w:bookmarkEnd w:id="436"/>
    <w:p>
      <w:pPr>
        <w:pStyle w:val="BookText"/>
      </w:pPr>
      <w:r>
        <w:rPr>
          <w:rFonts w:ascii="IRNazanin" w:hAnsi="IRNazanin" w:eastAsia="IRNazanin" w:cs="IRNazanin"/>
          <w:lang w:bidi="fa-IR"/>
          <w:color w:val="111111"/>
          <w:sz w:val="28"/>
          <w:szCs w:val="28"/>
          <w:rtl/>
        </w:rPr>
        <w:t xml:space="preserve">ثمر انصاری، حسین بن محمد علی، ۱۲۸۴-۱۳۴۴ قمری</w:t>
      </w:r>
    </w:p>
    <w:p>
      <w:pPr>
        <w:pStyle w:val="BookText"/>
      </w:pPr>
      <w:r>
        <w:rPr>
          <w:rFonts w:ascii="Times New Roman" w:hAnsi="Times New Roman" w:eastAsia="Times New Roman" w:cs="Times New Roman"/>
          <w:lang w:val="en-US" w:bidi="en-US"/>
          <w:color w:val="111111"/>
          <w:sz w:val="28"/>
          <w:szCs w:val="28"/>
          <w:rtl/>
        </w:rPr>
        <w:t xml:space="preserve">samar-e ansārī, hoseyn ebn-e mohammad ‘alā (1868</w:t>
      </w:r>
    </w:p>
    <w:p>
      <w:pPr>
        <w:pStyle w:val="BookText"/>
      </w:pPr>
      <w:r>
        <w:rPr>
          <w:rFonts w:ascii="Times New Roman" w:hAnsi="Times New Roman" w:eastAsia="Times New Roman" w:cs="Times New Roman"/>
          <w:lang w:val="en-US" w:bidi="en-US"/>
          <w:color w:val="111111"/>
          <w:sz w:val="28"/>
          <w:szCs w:val="28"/>
          <w:rtl/>
        </w:rPr>
        <w:t xml:space="preserve">1926.</w:t>
      </w:r>
    </w:p>
    <w:p>
      <w:pPr>
        <w:pStyle w:val="BookText"/>
      </w:pPr>
      <w:r>
        <w:rPr>
          <w:rFonts w:ascii="IRNazanin" w:hAnsi="IRNazanin" w:eastAsia="IRNazanin" w:cs="IRNazanin"/>
          <w:lang w:bidi="fa-IR"/>
          <w:color w:val="111111"/>
          <w:sz w:val="28"/>
          <w:szCs w:val="28"/>
          <w:rtl/>
        </w:rPr>
        <w:t xml:space="preserve">به دستور: میرزا فضل الله خان لواء الملك رئيس قشون اصفهان تاریخ تأليف: از ۱۳۲۸ق تاریخ مفصل جنگ های ژاپن و روس می باشد که طی فصول در چند جلد نگارش یافته و گویا ترجمه از کتابی به روسی باشد.</w:t>
      </w:r>
    </w:p>
    <w:p>
      <w:pPr>
        <w:pStyle w:val="BookText"/>
      </w:pPr>
      <w:r>
        <w:rPr>
          <w:rFonts w:ascii="IRNazanin" w:hAnsi="IRNazanin" w:eastAsia="IRNazanin" w:cs="IRNazanin"/>
          <w:lang w:bidi="fa-IR"/>
          <w:color w:val="111111"/>
          <w:sz w:val="28"/>
          <w:szCs w:val="28"/>
          <w:rtl/>
        </w:rPr>
        <w:t xml:space="preserve">۱. قم؛ مرعشی؛ شماره نسخه:۷۹۷۵</w:t>
      </w:r>
    </w:p>
    <w:p>
      <w:pPr>
        <w:pStyle w:val="BookText"/>
      </w:pPr>
      <w:r>
        <w:rPr>
          <w:rFonts w:ascii="IRNazanin" w:hAnsi="IRNazanin" w:eastAsia="IRNazanin" w:cs="IRNazanin"/>
          <w:lang w:bidi="fa-IR"/>
          <w:color w:val="111111"/>
          <w:sz w:val="28"/>
          <w:szCs w:val="28"/>
          <w:rtl/>
        </w:rPr>
        <w:t xml:space="preserve">جلد دوم کتاب و فصل های ۱۳-۲۰؛ خط: نستعلیق، بی کا، بی تا؛ شاید به خط مؤلف؛ جلد: مخمل قرمز، ۲۰۸گ، مختلف السطر،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۲۰-۳۰۱]</w:t>
      </w:r>
    </w:p>
    <w:p>
      <w:pPr>
        <w:pStyle w:val="BookText"/>
      </w:pPr>
      <w:r>
        <w:rPr>
          <w:rFonts w:ascii="IRNazanin" w:hAnsi="IRNazanin" w:eastAsia="IRNazanin" w:cs="IRNazanin"/>
          <w:lang w:bidi="fa-IR"/>
          <w:color w:val="111111"/>
          <w:sz w:val="28"/>
          <w:szCs w:val="28"/>
          <w:rtl/>
        </w:rPr>
        <w:t xml:space="preserve">۲. قم؛ مسجد اعظم؛ شماره نسخه: ۴۰۵۷/۱</w:t>
      </w:r>
    </w:p>
    <w:p>
      <w:pPr>
        <w:pStyle w:val="BookText"/>
      </w:pPr>
      <w:r>
        <w:rPr>
          <w:rFonts w:ascii="IRNazanin" w:hAnsi="IRNazanin" w:eastAsia="IRNazanin" w:cs="IRNazanin"/>
          <w:lang w:bidi="fa-IR"/>
          <w:color w:val="111111"/>
          <w:sz w:val="28"/>
          <w:szCs w:val="28"/>
          <w:rtl/>
        </w:rPr>
        <w:t xml:space="preserve">آغاز: در اوایل ماه ژویه با وجود فتوحات جزئيه ساخلو و اقدامات مجدانه فرمانده قلعه وضع پرت آرتور ظاهرا رو به نومیدی می رود؛ انجام: صورت کشتی های مضمحل شده و نابود شده از این قرار است: بوردنیو، اسکندر سیم، کیناز سوارف ارل جنگی منچوری را دربردارد؛ خط: نستعلیق، بی کا، بی تا، جلد: گالینگور سبز، عطف تیماج زرشکی، ۴۶گ (۱پ-۴۶ر)، ۱۴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مخ: ۱-۳۰۹]</w:t>
      </w:r>
    </w:p>
    <w:p>
      <w:pPr>
        <w:pStyle w:val="BookText"/>
      </w:pPr>
      <w:r>
        <w:rPr>
          <w:rFonts w:ascii="IRNazanin" w:hAnsi="IRNazanin" w:eastAsia="IRNazanin" w:cs="IRNazanin"/>
          <w:lang w:bidi="fa-IR"/>
          <w:color w:val="111111"/>
          <w:sz w:val="28"/>
          <w:szCs w:val="28"/>
          <w:rtl/>
        </w:rPr>
        <w:t xml:space="preserve">٣. قم؛ مرعشی؛ شماره نسخه:۷۹۷۶</w:t>
      </w:r>
    </w:p>
    <w:p>
      <w:pPr>
        <w:pStyle w:val="BookText"/>
      </w:pPr>
      <w:r>
        <w:rPr>
          <w:rFonts w:ascii="IRNazanin" w:hAnsi="IRNazanin" w:eastAsia="IRNazanin" w:cs="IRNazanin"/>
          <w:lang w:bidi="fa-IR"/>
          <w:color w:val="111111"/>
          <w:sz w:val="28"/>
          <w:szCs w:val="28"/>
          <w:rtl/>
        </w:rPr>
        <w:t xml:space="preserve">جلد چهارم، مشتمل بر فصل های ۲۴-۲۸؛ خط: نستعلیق، بی کا،</w:t>
      </w:r>
    </w:p>
    <w:p>
      <w:pPr>
        <w:pStyle w:val="BookText"/>
      </w:pPr>
      <w:r>
        <w:rPr>
          <w:rFonts w:ascii="IRNazanin" w:hAnsi="IRNazanin" w:eastAsia="IRNazanin" w:cs="IRNazanin"/>
          <w:lang w:bidi="fa-IR"/>
          <w:color w:val="111111"/>
          <w:sz w:val="28"/>
          <w:szCs w:val="28"/>
          <w:rtl/>
        </w:rPr>
        <w:t xml:space="preserve">بی تا؛ ۲۲۴گ، مختلف السطر،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۲۰-۳۰۲]</w:t>
      </w:r>
    </w:p>
    <w:p>
      <w:pPr>
        <w:pStyle w:val="Heading3"/>
      </w:pPr>
      <w:bookmarkStart w:id="2201" w:name="_Toc1461"/>
      <w:r>
        <w:t>• تاریخ جنگ مشرق زمین / تاریخ / فارسی</w:t>
      </w:r>
      <w:bookmarkEnd w:id="2201"/>
    </w:p>
    <w:p>
      <w:pPr>
        <w:pStyle w:val="BookText"/>
      </w:pPr>
      <w:r>
        <w:rPr>
          <w:rFonts w:ascii="Times New Roman" w:hAnsi="Times New Roman" w:eastAsia="Times New Roman" w:cs="Times New Roman"/>
          <w:lang w:val="en-US" w:bidi="en-US"/>
          <w:color w:val="111111"/>
          <w:sz w:val="28"/>
          <w:szCs w:val="28"/>
          <w:rtl/>
        </w:rPr>
        <w:t xml:space="preserve">tārīx-e jang-e mašreq zamīn</w:t>
      </w:r>
    </w:p>
    <w:p>
      <w:pPr>
        <w:pStyle w:val="BookText"/>
      </w:pPr>
      <w:r>
        <w:rPr>
          <w:rFonts w:ascii="IRNazanin" w:hAnsi="IRNazanin" w:eastAsia="IRNazanin" w:cs="IRNazanin"/>
          <w:lang w:bidi="fa-IR"/>
          <w:color w:val="111111"/>
          <w:sz w:val="28"/>
          <w:szCs w:val="28"/>
          <w:rtl/>
        </w:rPr>
        <w:t xml:space="preserve">تهران؛ ملک؛ شماره نسخه:۳۸۲۵</w:t>
      </w:r>
    </w:p>
    <w:p>
      <w:pPr>
        <w:pStyle w:val="BookText"/>
      </w:pPr>
      <w:r>
        <w:rPr>
          <w:rFonts w:ascii="IRNazanin" w:hAnsi="IRNazanin" w:eastAsia="IRNazanin" w:cs="IRNazanin"/>
          <w:lang w:bidi="fa-IR"/>
          <w:color w:val="111111"/>
          <w:sz w:val="28"/>
          <w:szCs w:val="28"/>
          <w:rtl/>
        </w:rPr>
        <w:t xml:space="preserve">آغاز: طرح جنگهای روس بعد از تسخیر پلونا. اعمال جنگی ژنرال کور کو؛ انجام: می گوئیم جنگی مشرق زمین تمام شد، ترجمه جلد اول جنگ مشرق زمین. قسمتی از جلد اول؛ خط: نستعلیق، کا: محمد علی حسینی تفرشی، تا: دوشنبه ۲۷ رمضان ۱۳۰۵ق، کاغذ فرنگی، جلد: میشن قرمز، ۲۰۰گ، ۱۲ سطر، اندازه: ۲۱/۶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۱۷/۱ سم [ف: ۲-۱۸۹]</w:t>
      </w:r>
    </w:p>
    <w:p>
      <w:pPr>
        <w:pStyle w:val="Heading3"/>
      </w:pPr>
      <w:bookmarkStart w:id="2202" w:name="_Toc1462"/>
      <w:r>
        <w:t>•تاریخ جنگهای ایران و روس / تاریخ ایران / ترکی، فارسی</w:t>
      </w:r>
      <w:bookmarkEnd w:id="2202"/>
    </w:p>
    <w:p>
      <w:pPr>
        <w:pStyle w:val="BookText"/>
      </w:pPr>
      <w:r>
        <w:rPr>
          <w:rFonts w:ascii="Times New Roman" w:hAnsi="Times New Roman" w:eastAsia="Times New Roman" w:cs="Times New Roman"/>
          <w:lang w:val="en-US" w:bidi="en-US"/>
          <w:color w:val="111111"/>
          <w:sz w:val="28"/>
          <w:szCs w:val="28"/>
          <w:rtl/>
        </w:rPr>
        <w:t xml:space="preserve">tārīx-e jang-hā-ye īrān va rūs</w:t>
      </w:r>
    </w:p>
    <w:p>
      <w:pPr>
        <w:pStyle w:val="BookText"/>
      </w:pPr>
      <w:r>
        <w:rPr>
          <w:rFonts w:ascii="IRNazanin" w:hAnsi="IRNazanin" w:eastAsia="IRNazanin" w:cs="IRNazanin"/>
          <w:lang w:bidi="fa-IR"/>
          <w:color w:val="111111"/>
          <w:sz w:val="28"/>
          <w:szCs w:val="28"/>
          <w:rtl/>
        </w:rPr>
        <w:t xml:space="preserve">شرح بخشی از جنگ های ایران و روس به زبان فارسی و ترکی است که بیشتر راجع به جنگ آوری های علیمردان خان سرهنگ فوج گروس از سرداران عباس میرزا (نایب السلطنه) و جعفر قلی خان صحبت می کند.</w:t>
      </w:r>
    </w:p>
    <w:p>
      <w:pPr>
        <w:pStyle w:val="BookText"/>
      </w:pPr>
      <w:r>
        <w:rPr>
          <w:rFonts w:ascii="IRNazanin" w:hAnsi="IRNazanin" w:eastAsia="IRNazanin" w:cs="IRNazanin"/>
          <w:lang w:bidi="fa-IR"/>
          <w:color w:val="111111"/>
          <w:sz w:val="28"/>
          <w:szCs w:val="28"/>
          <w:rtl/>
        </w:rPr>
        <w:t xml:space="preserve">تهران؛ ملی؛ شماره نسخه:۱۵۹۲۴</w:t>
      </w:r>
    </w:p>
    <w:p>
      <w:pPr>
        <w:pStyle w:val="BookText"/>
      </w:pPr>
      <w:r>
        <w:rPr>
          <w:rFonts w:ascii="IRNazanin" w:hAnsi="IRNazanin" w:eastAsia="IRNazanin" w:cs="IRNazanin"/>
          <w:lang w:bidi="fa-IR"/>
          <w:color w:val="111111"/>
          <w:sz w:val="28"/>
          <w:szCs w:val="28"/>
          <w:rtl/>
        </w:rPr>
        <w:t xml:space="preserve">آغاز: بنده بر حسن خان گفتم که من بر سردار آباد می روم بنده هشت ساعت از شب؛ انجام: كتور بالازانی صابور بالا قازانی*** يمان قون شوید قوهوم باش بلاقازانی خط: نستعلیق، بی کا، بی تا، افتادگی: آغاز و انجام؛ انتقالی از سازمان مدارک فرهنگی انقلاب اسلامی؛ کاغذ: فرنگی فستقی و نخودی، جلد: مقوایی روکش کاغذ ابر و باد، ۵۰ص (۱۶-۶۵)، ۱۴ سطر (۱۰/۵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۱۵/۵)،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[رایانه]</w:t>
      </w:r>
    </w:p>
    <w:p>
      <w:pPr>
        <w:pStyle w:val="Heading3"/>
      </w:pPr>
      <w:bookmarkStart w:id="2203" w:name="_Toc1463"/>
      <w:r>
        <w:t>•تاریخ جواهرات در ایران / تاریخ / فارسی</w:t>
      </w:r>
      <w:bookmarkEnd w:id="2203"/>
    </w:p>
    <w:p>
      <w:pPr>
        <w:pStyle w:val="BookText"/>
      </w:pPr>
      <w:r>
        <w:rPr>
          <w:rFonts w:ascii="Times New Roman" w:hAnsi="Times New Roman" w:eastAsia="Times New Roman" w:cs="Times New Roman"/>
          <w:lang w:val="en-US" w:bidi="en-US"/>
          <w:color w:val="111111"/>
          <w:sz w:val="28"/>
          <w:szCs w:val="28"/>
          <w:rtl/>
        </w:rPr>
        <w:t xml:space="preserve">tārīx-e javāherāt dar īrān</w:t>
      </w:r>
    </w:p>
    <w:p>
      <w:pPr>
        <w:pStyle w:val="BookText"/>
      </w:pPr>
      <w:r>
        <w:rPr>
          <w:rFonts w:ascii="IRNazanin" w:hAnsi="IRNazanin" w:eastAsia="IRNazanin" w:cs="IRNazanin"/>
          <w:lang w:bidi="fa-IR"/>
          <w:color w:val="111111"/>
          <w:sz w:val="28"/>
          <w:szCs w:val="28"/>
          <w:rtl/>
        </w:rPr>
        <w:t xml:space="preserve">اقبال آشتیانی، عباس، ۱۲۷۶-۱۳۳۴ شمسی</w:t>
      </w:r>
    </w:p>
    <w:p>
      <w:pPr>
        <w:pStyle w:val="BookText"/>
      </w:pPr>
      <w:r>
        <w:rPr>
          <w:rFonts w:ascii="Times New Roman" w:hAnsi="Times New Roman" w:eastAsia="Times New Roman" w:cs="Times New Roman"/>
          <w:lang w:val="en-US" w:bidi="en-US"/>
          <w:color w:val="111111"/>
          <w:sz w:val="28"/>
          <w:szCs w:val="28"/>
          <w:rtl/>
        </w:rPr>
        <w:t xml:space="preserve">eqbāl-e āštīyānī, ‘abbās (1897-1955)</w:t>
      </w:r>
    </w:p>
    <w:p>
      <w:pPr>
        <w:pStyle w:val="BookText"/>
      </w:pPr>
      <w:r>
        <w:rPr>
          <w:rFonts w:ascii="IRNazanin" w:hAnsi="IRNazanin" w:eastAsia="IRNazanin" w:cs="IRNazanin"/>
          <w:lang w:bidi="fa-IR"/>
          <w:color w:val="111111"/>
          <w:sz w:val="28"/>
          <w:szCs w:val="28"/>
          <w:rtl/>
        </w:rPr>
        <w:t xml:space="preserve">از یادداشت های اقبال آشتیانی با سیاهه جواهرات آستان قدس رضوی در پایان.</w:t>
      </w:r>
    </w:p>
    <w:p>
      <w:pPr>
        <w:pStyle w:val="BookText"/>
      </w:pPr>
      <w:r>
        <w:rPr>
          <w:rFonts w:ascii="IRNazanin" w:hAnsi="IRNazanin" w:eastAsia="IRNazanin" w:cs="IRNazanin"/>
          <w:lang w:bidi="fa-IR"/>
          <w:color w:val="111111"/>
          <w:sz w:val="28"/>
          <w:szCs w:val="28"/>
          <w:rtl/>
        </w:rPr>
        <w:t xml:space="preserve">تهران؛ دانشگاه؛ شماره نسخه: ۵۴۳۲/۱۰</w:t>
      </w:r>
    </w:p>
    <w:p>
      <w:pPr>
        <w:pStyle w:val="BookText"/>
      </w:pPr>
      <w:r>
        <w:rPr>
          <w:rFonts w:ascii="IRNazanin" w:hAnsi="IRNazanin" w:eastAsia="IRNazanin" w:cs="IRNazanin"/>
          <w:lang w:bidi="fa-IR"/>
          <w:color w:val="111111"/>
          <w:sz w:val="28"/>
          <w:szCs w:val="28"/>
          <w:rtl/>
        </w:rPr>
        <w:t xml:space="preserve">خط: نستعلیق، کاتب = مؤلف ، بی تا، ماشین شده؛ کاغذ: فرنگی، جلد: گالینگور مقوایی، ۳۵گ (۱۶۹-۲۰۳)، قطع: رحلی، اندازه: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۱۶-۷]</w:t>
      </w:r>
    </w:p>
    <w:p>
      <w:pPr>
        <w:pStyle w:val="Heading3"/>
      </w:pPr>
      <w:bookmarkStart w:id="2204" w:name="_Toc1464"/>
      <w:r>
        <w:t>•تاریخ جودت = تاریخ عثمانی / تاریخ / فارسی</w:t>
      </w:r>
      <w:bookmarkEnd w:id="2204"/>
    </w:p>
    <w:p>
      <w:pPr>
        <w:pStyle w:val="BookText"/>
      </w:pPr>
      <w:r>
        <w:rPr>
          <w:rFonts w:ascii="Times New Roman" w:hAnsi="Times New Roman" w:eastAsia="Times New Roman" w:cs="Times New Roman"/>
          <w:lang w:val="en-US" w:bidi="en-US"/>
          <w:color w:val="111111"/>
          <w:sz w:val="28"/>
          <w:szCs w:val="28"/>
          <w:rtl/>
        </w:rPr>
        <w:t xml:space="preserve">tārīx-e jawdat = tārīx-e 'osmānī</w:t>
      </w:r>
    </w:p>
    <w:p>
      <w:pPr>
        <w:pStyle w:val="BookText"/>
      </w:pPr>
      <w:r>
        <w:rPr>
          <w:rFonts w:ascii="IRNazanin" w:hAnsi="IRNazanin" w:eastAsia="IRNazanin" w:cs="IRNazanin"/>
          <w:lang w:bidi="fa-IR"/>
          <w:color w:val="111111"/>
          <w:sz w:val="28"/>
          <w:szCs w:val="28"/>
          <w:rtl/>
        </w:rPr>
        <w:t xml:space="preserve">ارونقی، محمد حسین بن سلطان محمد، ق۱۳ قمری</w:t>
      </w:r>
    </w:p>
    <w:p>
      <w:pPr>
        <w:pStyle w:val="BookText"/>
      </w:pPr>
      <w:r>
        <w:rPr>
          <w:rFonts w:ascii="Times New Roman" w:hAnsi="Times New Roman" w:eastAsia="Times New Roman" w:cs="Times New Roman"/>
          <w:lang w:val="en-US" w:bidi="en-US"/>
          <w:color w:val="111111"/>
          <w:sz w:val="28"/>
          <w:szCs w:val="28"/>
          <w:rtl/>
        </w:rPr>
        <w:t xml:space="preserve">arūnaqī, mohammad hoseyn ebn-e soltān mohammad (-19c)</w:t>
      </w:r>
    </w:p>
    <w:p>
      <w:pPr>
        <w:pStyle w:val="BookText"/>
      </w:pPr>
      <w:r>
        <w:rPr>
          <w:rFonts w:ascii="IRNazanin" w:hAnsi="IRNazanin" w:eastAsia="IRNazanin" w:cs="IRNazanin"/>
          <w:lang w:bidi="fa-IR"/>
          <w:color w:val="111111"/>
          <w:sz w:val="28"/>
          <w:szCs w:val="28"/>
          <w:rtl/>
        </w:rPr>
        <w:t xml:space="preserve">اهداء به: ناصرالدین شاه قاجار تاریخ تأليف: ۱۲۷۴ق این کتاب تاریخ دودمان عثمانی است تا کریمخان زند. مترجم آن را از کتاب احمد جودت افندی (-۱۲۸۳ ق) از ترکی به فارسی برگردانده است. او می نویسد که من سی و دو جلد تاریخ خير الله افندی را به فارسی در آوردم. احمد جودت به فرموده عبدالمجید خان این کتاب را ساخته و در آن یک «مقدمه» و دوازده «مقاله» گذارده و از وقایع سال ۱۹۸۸ آغاز نموده است.</w:t>
      </w:r>
    </w:p>
    <w:p>
      <w:pPr>
        <w:pStyle w:val="BookText"/>
      </w:pPr>
      <w:r>
        <w:rPr>
          <w:rFonts w:ascii="IRNazanin" w:hAnsi="IRNazanin" w:eastAsia="IRNazanin" w:cs="IRNazanin"/>
          <w:lang w:bidi="fa-IR"/>
          <w:color w:val="111111"/>
          <w:sz w:val="28"/>
          <w:szCs w:val="28"/>
          <w:rtl/>
        </w:rPr>
        <w:t xml:space="preserve">آغاز: بسمله، حمد و سپاس بیقياس سزاوار معبود بحق شایسته مالك الملك مطلقی است جلت عظمته و عظمت قدرته ...</w:t>
      </w:r>
    </w:p>
    <w:p>
      <w:pPr>
        <w:pStyle w:val="BookText"/>
      </w:pPr>
      <w:r>
        <w:rPr>
          <w:rFonts w:ascii="IRNazanin" w:hAnsi="IRNazanin" w:eastAsia="IRNazanin" w:cs="IRNazanin"/>
          <w:lang w:bidi="fa-IR"/>
          <w:color w:val="111111"/>
          <w:sz w:val="28"/>
          <w:szCs w:val="28"/>
          <w:rtl/>
        </w:rPr>
        <w:t xml:space="preserve">۱. تهران: ملی؛ شماره نسخه:۵۵۸</w:t>
      </w:r>
    </w:p>
    <w:p>
      <w:pPr>
        <w:pStyle w:val="BookText"/>
      </w:pPr>
      <w:r>
        <w:rPr>
          <w:rFonts w:ascii="IRNazanin" w:hAnsi="IRNazanin" w:eastAsia="IRNazanin" w:cs="IRNazanin"/>
          <w:lang w:bidi="fa-IR"/>
          <w:color w:val="111111"/>
          <w:sz w:val="28"/>
          <w:szCs w:val="28"/>
          <w:rtl/>
        </w:rPr>
        <w:t xml:space="preserve">آغاز: سپس سپاس خالق بیچون تالی حمد بیقیاس قادر کن فیکون تعالى شأنه؛ انجام: و از تجار ایشان در ممالک عثمانیه گمرک و باج و سایر رسومات معاف باشد. جلد سوم؛ خط: نستعلیق خوش، كاتب = مؤلف (احتمالا)، تا: قرن ۱۳، جا: تهران، با سرلوح مذهب، مجدول مذهب؛ کاغذ: فرنگی آبی، جلد: تیماج مقوایی قرمز، ۱۳۶، ۱۵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437" w:name="pg20363_209739"/>
    <w:bookmarkEnd w:id="437"/>
    <w:p>
      <w:pPr>
        <w:pStyle w:val="BookText"/>
      </w:pPr>
      <w:r>
        <w:rPr>
          <w:rFonts w:ascii="IRNazanin" w:hAnsi="IRNazanin" w:eastAsia="IRNazanin" w:cs="IRNazanin"/>
          <w:lang w:bidi="fa-IR"/>
          <w:color w:val="111111"/>
          <w:sz w:val="28"/>
          <w:szCs w:val="28"/>
          <w:rtl/>
        </w:rPr>
        <w:t xml:space="preserve">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۲-۴۷]</w:t>
      </w:r>
    </w:p>
    <w:p>
      <w:pPr>
        <w:pStyle w:val="BookText"/>
      </w:pPr>
      <w:r>
        <w:rPr>
          <w:rFonts w:ascii="IRNazanin" w:hAnsi="IRNazanin" w:eastAsia="IRNazanin" w:cs="IRNazanin"/>
          <w:lang w:bidi="fa-IR"/>
          <w:color w:val="111111"/>
          <w:sz w:val="28"/>
          <w:szCs w:val="28"/>
          <w:rtl/>
        </w:rPr>
        <w:t xml:space="preserve">۲. تهران، دانشگاه، شماره نسخه: ۴۳۶۸</w:t>
      </w:r>
    </w:p>
    <w:p>
      <w:pPr>
        <w:pStyle w:val="BookText"/>
      </w:pPr>
      <w:r>
        <w:rPr>
          <w:rFonts w:ascii="IRNazanin" w:hAnsi="IRNazanin" w:eastAsia="IRNazanin" w:cs="IRNazanin"/>
          <w:lang w:bidi="fa-IR"/>
          <w:color w:val="111111"/>
          <w:sz w:val="28"/>
          <w:szCs w:val="28"/>
          <w:rtl/>
        </w:rPr>
        <w:t xml:space="preserve">آغاز: برابر؛ انجام: باعث ریختن خون بیگناه خط: نستعلیق، کاتب = مؤلف (گویا)، تا: قرن ۱۳؛ افتادگی: انجام؛ کاغذ: فرنگی آهار مهره، جلد: تیماج تریاکی مقوایی، ۸۸گ، ۲۱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۱۳-۳۳۳۷]</w:t>
      </w:r>
    </w:p>
    <w:p>
      <w:pPr>
        <w:pStyle w:val="BookText"/>
      </w:pPr>
      <w:r>
        <w:rPr>
          <w:rFonts w:ascii="IRNazanin" w:hAnsi="IRNazanin" w:eastAsia="IRNazanin" w:cs="IRNazanin"/>
          <w:lang w:bidi="fa-IR"/>
          <w:color w:val="111111"/>
          <w:sz w:val="28"/>
          <w:szCs w:val="28"/>
          <w:rtl/>
        </w:rPr>
        <w:t xml:space="preserve">٣. تهران، ملی، شماره نسخه:۵۵۷</w:t>
      </w:r>
    </w:p>
    <w:p>
      <w:pPr>
        <w:pStyle w:val="BookText"/>
      </w:pPr>
      <w:r>
        <w:rPr>
          <w:rFonts w:ascii="IRNazanin" w:hAnsi="IRNazanin" w:eastAsia="IRNazanin" w:cs="IRNazanin"/>
          <w:lang w:bidi="fa-IR"/>
          <w:color w:val="111111"/>
          <w:sz w:val="28"/>
          <w:szCs w:val="28"/>
          <w:rtl/>
        </w:rPr>
        <w:t xml:space="preserve">آغاز: برابر؛ انجام: و اوراق رسميه و مجلدات سایره و معلومات و ذوات معارف سمات بختام رسید.</w:t>
      </w:r>
    </w:p>
    <w:p>
      <w:pPr>
        <w:pStyle w:val="BookText"/>
      </w:pPr>
      <w:r>
        <w:rPr>
          <w:rFonts w:ascii="IRNazanin" w:hAnsi="IRNazanin" w:eastAsia="IRNazanin" w:cs="IRNazanin"/>
          <w:lang w:bidi="fa-IR"/>
          <w:color w:val="111111"/>
          <w:sz w:val="28"/>
          <w:szCs w:val="28"/>
          <w:rtl/>
        </w:rPr>
        <w:t xml:space="preserve">جلد اول؛ خط: نستعلیق خوش، کا: محمد حسین مترجم خوئی، تا: ۱۲۷۴ق، جا؛ تهران؛ مجدول مذهب؛ کاغذ: فرنگی، آبی، جلد: تیماج قرمز، ۲۵۰گ، ۱۵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۴۶-۲ ]</w:t>
      </w:r>
    </w:p>
    <w:p>
      <w:pPr>
        <w:pStyle w:val="BookText"/>
      </w:pPr>
      <w:r>
        <w:rPr>
          <w:rFonts w:ascii="IRNazanin" w:hAnsi="IRNazanin" w:eastAsia="IRNazanin" w:cs="IRNazanin"/>
          <w:lang w:bidi="fa-IR"/>
          <w:color w:val="111111"/>
          <w:sz w:val="28"/>
          <w:szCs w:val="28"/>
          <w:rtl/>
        </w:rPr>
        <w:t xml:space="preserve">۴. تهران: مجلس؛ شماره نسخه: ۲۲۸۰</w:t>
      </w:r>
    </w:p>
    <w:p>
      <w:pPr>
        <w:pStyle w:val="BookText"/>
      </w:pPr>
      <w:r>
        <w:rPr>
          <w:rFonts w:ascii="IRNazanin" w:hAnsi="IRNazanin" w:eastAsia="IRNazanin" w:cs="IRNazanin"/>
          <w:lang w:bidi="fa-IR"/>
          <w:color w:val="111111"/>
          <w:sz w:val="28"/>
          <w:szCs w:val="28"/>
          <w:rtl/>
        </w:rPr>
        <w:t xml:space="preserve">آغاز: مجلد اول (ص ۴-۹۵): «بعد از حمد و سپاس بی قیاس جناب رب العزه ...)، مجلد دوم (ص ۹۶-۱۶۰): «پس از حمد و سپاس بی قیاس خالق بی همتا ...»، مجلد سوم (۱۶۲-۲۴۱): «حمد لا يعد ولا يحصى مختص خداوند بی همتا ...)، مجلد چهارم (ص ۳۱۹-۲۴۳</w:t>
      </w:r>
    </w:p>
    <w:p>
      <w:pPr>
        <w:pStyle w:val="BookText"/>
      </w:pPr>
      <w:r>
        <w:rPr>
          <w:rFonts w:ascii="IRNazanin" w:hAnsi="IRNazanin" w:eastAsia="IRNazanin" w:cs="IRNazanin"/>
          <w:lang w:bidi="fa-IR"/>
          <w:color w:val="111111"/>
          <w:sz w:val="28"/>
          <w:szCs w:val="28"/>
          <w:rtl/>
        </w:rPr>
        <w:t xml:space="preserve">): حمد و شکر بی عد و شمار سزاوار کردگار لا يزالی است ..)، مجلد پنجم (ص ۳۲۳-۱۳۸۸): «حمد و سپاس فزون از قیاس مختص ذات بی همتای معبود مطلق ...)، مجلد ششم (ص ۴۷۴-۳۹۱ ): «حمد بی نهایت سزاوار شهنشاه قلمرو حکومت ...» یا انجام: مجلد اول: «استقلال کلیسیای شرق را ادعا میکردند.</w:t>
      </w:r>
    </w:p>
    <w:p>
      <w:pPr>
        <w:pStyle w:val="BookText"/>
      </w:pPr>
      <w:r>
        <w:rPr>
          <w:rFonts w:ascii="IRNazanin" w:hAnsi="IRNazanin" w:eastAsia="IRNazanin" w:cs="IRNazanin"/>
          <w:lang w:bidi="fa-IR"/>
          <w:color w:val="111111"/>
          <w:sz w:val="28"/>
          <w:szCs w:val="28"/>
          <w:rtl/>
        </w:rPr>
        <w:t xml:space="preserve">مجلد دوم: «مدت چهل و پنج اتفاق افتاده بود در این مجلد دوم درج نمود.»، مجلد سوم: «مشتمل است بر غزوات و فتوحات خداوندگار او رخان غازي و السلام»، مجلد چهارم: «بقيه وقایع و احوالات حواله بجلد خامس کرده بتتمیم پرداخت.»، مجلد پنجم: ... توقف اناطولی بلاموجب دانسته عود کرد.»، مجلد ششم: «چنانکه تفصیلش در جلد هفتم و هشتم مسطور خواهد شد». شامل شش مجلد از کتاب است از آغاز تاریخ عثمانی تا پایان سلطنت سلطان محمد خان در سال ۸۲۴؛ خط: تحریری، بی کا، بی تاب این نسخه جزو کتابخانه صنيع الدوله محمد حسن خان بوده؛ کاغذ: فرنگی سفید شکری آهار مهره، جلد: میشن حنایی، ۴۷۴ص، ۲۱ سطر،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سم [ف: ۶-۲۳۳]</w:t>
      </w:r>
    </w:p>
    <w:p>
      <w:pPr>
        <w:pStyle w:val="Heading3"/>
      </w:pPr>
      <w:bookmarkStart w:id="2205" w:name="_Toc1465"/>
      <w:r>
        <w:t>• تاریخ جوک = هربنش نامه / داستان / فارسی</w:t>
      </w:r>
      <w:bookmarkEnd w:id="2205"/>
    </w:p>
    <w:p>
      <w:pPr>
        <w:pStyle w:val="BookText"/>
      </w:pPr>
      <w:r>
        <w:rPr>
          <w:rFonts w:ascii="Times New Roman" w:hAnsi="Times New Roman" w:eastAsia="Times New Roman" w:cs="Times New Roman"/>
          <w:lang w:val="en-US" w:bidi="en-US"/>
          <w:color w:val="111111"/>
          <w:sz w:val="28"/>
          <w:szCs w:val="28"/>
          <w:rtl/>
        </w:rPr>
        <w:t xml:space="preserve">tārīx-e jok = harboneš-nāme</w:t>
      </w:r>
    </w:p>
    <w:p>
      <w:pPr>
        <w:pStyle w:val="BookText"/>
      </w:pPr>
      <w:r>
        <w:rPr>
          <w:rFonts w:ascii="IRNazanin" w:hAnsi="IRNazanin" w:eastAsia="IRNazanin" w:cs="IRNazanin"/>
          <w:lang w:bidi="fa-IR"/>
          <w:color w:val="111111"/>
          <w:sz w:val="28"/>
          <w:szCs w:val="28"/>
          <w:rtl/>
        </w:rPr>
        <w:t xml:space="preserve">فیض محمد، ۱۸۶۲- ۱۹۳۰ میلادی</w:t>
      </w:r>
    </w:p>
    <w:p>
      <w:pPr>
        <w:pStyle w:val="BookText"/>
      </w:pPr>
      <w:r>
        <w:rPr>
          <w:rFonts w:ascii="Times New Roman" w:hAnsi="Times New Roman" w:eastAsia="Times New Roman" w:cs="Times New Roman"/>
          <w:lang w:val="en-US" w:bidi="en-US"/>
          <w:color w:val="111111"/>
          <w:sz w:val="28"/>
          <w:szCs w:val="28"/>
          <w:rtl/>
        </w:rPr>
        <w:t xml:space="preserve">feyz mohammad (1862-1930)</w:t>
      </w:r>
    </w:p>
    <w:p>
      <w:pPr>
        <w:pStyle w:val="BookText"/>
      </w:pPr>
      <w:r>
        <w:rPr>
          <w:rFonts w:ascii="IRNazanin" w:hAnsi="IRNazanin" w:eastAsia="IRNazanin" w:cs="IRNazanin"/>
          <w:lang w:bidi="fa-IR"/>
          <w:color w:val="111111"/>
          <w:sz w:val="28"/>
          <w:szCs w:val="28"/>
          <w:rtl/>
        </w:rPr>
        <w:t xml:space="preserve">تاریخ ترجمه: ۹۸۵ق؛ محل تالیف: كلكته ترجمه کتاب «تاریخ جوک» است. اصل کتاب به زبان است. رمانی است که قصه هربنس یکی از برهمن های هندی را بیان می کند. در اول آن چنین آمده است: «و می گویم وقتی در نیم</w:t>
      </w:r>
    </w:p>
    <w:p>
      <w:pPr>
        <w:pStyle w:val="BookText"/>
      </w:pPr>
      <w:r>
        <w:rPr>
          <w:rFonts w:ascii="IRNazanin" w:hAnsi="IRNazanin" w:eastAsia="IRNazanin" w:cs="IRNazanin"/>
          <w:lang w:bidi="fa-IR"/>
          <w:color w:val="111111"/>
          <w:sz w:val="28"/>
          <w:szCs w:val="28"/>
          <w:rtl/>
        </w:rPr>
        <w:t xml:space="preserve">کهار سونک نام برهمنی بود بزرگی از پرسوت پرسید و گفت شما با من سخنان شیرین داستانهای اولاد بهرت و قصه های دیوتها و دانو و کند هرت و مارد دراجهس و دیلت و سده و کشجک گفتید درس اعما ایشان نیز به تفصیل فرمودید و ابتدای خلقت کوران از شما شنیدم ولیکن از پیدا شدن خانواده جاودنان بمن نگفته اید بگوئید بعد از آن پسر سرت گفت که چندان ثواب که درصد جک اسمیده و صد جک راج سوى و قصد جک باج پی است هر کس این کتاب هربنس را بشنود یا بخواند یا بنویسید ...... و این کتاب را چنانچه بی سیتا بن باراخه ختمچه گفته بود من با تو می گویم بشنو ...» و بعد از آن تاریخ آنان را به صورت رمان افسانه ای مفصل تا آخر کتاب آورده است. عبدالحسین حائری)</w:t>
      </w:r>
    </w:p>
    <w:p>
      <w:pPr>
        <w:pStyle w:val="BookText"/>
      </w:pPr>
      <w:r>
        <w:rPr>
          <w:rFonts w:ascii="IRNazanin" w:hAnsi="IRNazanin" w:eastAsia="IRNazanin" w:cs="IRNazanin"/>
          <w:lang w:bidi="fa-IR"/>
          <w:color w:val="111111"/>
          <w:sz w:val="28"/>
          <w:szCs w:val="28"/>
          <w:rtl/>
        </w:rPr>
        <w:t xml:space="preserve">تهران؛ مجلس؛ شماره نسخه: ۷۱۶۸</w:t>
      </w:r>
    </w:p>
    <w:p>
      <w:pPr>
        <w:pStyle w:val="BookText"/>
      </w:pPr>
      <w:r>
        <w:rPr>
          <w:rFonts w:ascii="IRNazanin" w:hAnsi="IRNazanin" w:eastAsia="IRNazanin" w:cs="IRNazanin"/>
          <w:lang w:bidi="fa-IR"/>
          <w:color w:val="111111"/>
          <w:sz w:val="28"/>
          <w:szCs w:val="28"/>
          <w:rtl/>
        </w:rPr>
        <w:t xml:space="preserve">آغاز: اول نویس دارالعيار معانی حقیقت نگار که میزان پر کار محاسبه حواس را که صاحب توجه دفتر خانه وجود نمود کریمی که ارباب مناصب عرفان را هر روزه؛ انجام: و هر کس خیراتی که در هربنس گفته شد بدهد ثواب جک اسمید بیاید این سخن را بپاس گفته است تمت. خط: نستعلیق، کاتب = مؤلف، تا: ۹۸۵ق، جا: كلكلته؛ جلد: تیماج قهوه ای با ترنج با، ۲۵۸گ، ۱۸ سطر، اندازه:۲۸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۲۵-۱۷۴]</w:t>
      </w:r>
    </w:p>
    <w:p>
      <w:pPr>
        <w:pStyle w:val="Heading3"/>
      </w:pPr>
      <w:bookmarkStart w:id="2206" w:name="_Toc1466"/>
      <w:r>
        <w:t>•تاریخ جوک / اخلاق / فارسی</w:t>
      </w:r>
      <w:bookmarkEnd w:id="2206"/>
    </w:p>
    <w:p>
      <w:pPr>
        <w:pStyle w:val="BookText"/>
      </w:pPr>
      <w:r>
        <w:rPr>
          <w:rFonts w:ascii="Times New Roman" w:hAnsi="Times New Roman" w:eastAsia="Times New Roman" w:cs="Times New Roman"/>
          <w:lang w:val="en-US" w:bidi="en-US"/>
          <w:color w:val="111111"/>
          <w:sz w:val="28"/>
          <w:szCs w:val="28"/>
          <w:rtl/>
        </w:rPr>
        <w:t xml:space="preserve">tārīx-e jok</w:t>
      </w:r>
    </w:p>
    <w:p>
      <w:pPr>
        <w:pStyle w:val="BookText"/>
      </w:pPr>
      <w:r>
        <w:rPr>
          <w:rFonts w:ascii="IRNazanin" w:hAnsi="IRNazanin" w:eastAsia="IRNazanin" w:cs="IRNazanin"/>
          <w:lang w:bidi="fa-IR"/>
          <w:color w:val="111111"/>
          <w:sz w:val="28"/>
          <w:szCs w:val="28"/>
          <w:rtl/>
        </w:rPr>
        <w:t xml:space="preserve">از: پادهری زیرونیمو شویر. نویسنده می گوید کتابهای بسیار در اخلاق و آیین ملکداری خوانده ام و معرفت بسیار در این زمینه آموخته ام لذا بر آن شدم که عصاره خوانده های خود را بنگارم و به خدمت شاه وقت عرضه دارم و «چون پادشاه این ضروریات را رعایت فرمود مقتضيات سلطنت را به خوبترین وجهی به تقدیم رسانید». دارای چهار فصل» و یک «خاتمه» است: فصل 1. بیان عزت که پادشاه بخدا خواهد داد و مشتمل است به عجز و نیاز و عزت که به الله و به چیزهای الهی بجا خواهد آورد؛ ۲. بیان اصلاح پادشاه بنفس نفیس</w:t>
      </w:r>
    </w:p>
    <w:p>
      <w:pPr>
        <w:pStyle w:val="BookText"/>
      </w:pPr>
      <w:r>
        <w:rPr>
          <w:rFonts w:ascii="IRNazanin" w:hAnsi="IRNazanin" w:eastAsia="IRNazanin" w:cs="IRNazanin"/>
          <w:lang w:bidi="fa-IR"/>
          <w:color w:val="111111"/>
          <w:sz w:val="28"/>
          <w:szCs w:val="28"/>
          <w:rtl/>
        </w:rPr>
        <w:t xml:space="preserve">خود؛ ۳. بیان تعلیم عهده داران؛ ۴. محبت رعایا و پناه گرفتن ایشان را؛ خاتمه: در سخنان مسینس حکیم که به او گوستو قیصر گفته است. این کتاب در هند نوشته است.</w:t>
      </w:r>
    </w:p>
    <w:p>
      <w:pPr>
        <w:pStyle w:val="BookText"/>
      </w:pPr>
      <w:r>
        <w:rPr>
          <w:rFonts w:ascii="IRNazanin" w:hAnsi="IRNazanin" w:eastAsia="IRNazanin" w:cs="IRNazanin"/>
          <w:lang w:bidi="fa-IR"/>
          <w:color w:val="111111"/>
          <w:sz w:val="28"/>
          <w:szCs w:val="28"/>
          <w:rtl/>
        </w:rPr>
        <w:t xml:space="preserve">تهران؛ ملی؛ شماره نسخه:۱۹۹۸</w:t>
      </w:r>
    </w:p>
    <w:p>
      <w:pPr>
        <w:pStyle w:val="BookText"/>
      </w:pPr>
      <w:r>
        <w:rPr>
          <w:rFonts w:ascii="IRNazanin" w:hAnsi="IRNazanin" w:eastAsia="IRNazanin" w:cs="IRNazanin"/>
          <w:lang w:bidi="fa-IR"/>
          <w:color w:val="111111"/>
          <w:sz w:val="28"/>
          <w:szCs w:val="28"/>
          <w:rtl/>
        </w:rPr>
        <w:t xml:space="preserve">خط: نستعلیق، بی کا، تا: محتملا قرن ۱۳؛ افتادگی: انجام؛ کاغذ: هندی، جلد: تیماج آبی مقوایی، ۲۵۹گ، ۱۹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۴-۵۰۳]</w:t>
      </w:r>
    </w:p>
    <w:p>
      <w:pPr>
        <w:pStyle w:val="Heading3"/>
      </w:pPr>
      <w:bookmarkStart w:id="2207" w:name="_Toc1467"/>
      <w:r>
        <w:t>•تاریخ جونپور / تاریخ / فارسی</w:t>
      </w:r>
      <w:bookmarkEnd w:id="2207"/>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438" w:name="pg20363_209740"/>
    <w:bookmarkEnd w:id="438"/>
    <w:p>
      <w:pPr>
        <w:pStyle w:val="BookText"/>
      </w:pPr>
      <w:r>
        <w:rPr>
          <w:rFonts w:ascii="Times New Roman" w:hAnsi="Times New Roman" w:eastAsia="Times New Roman" w:cs="Times New Roman"/>
          <w:lang w:val="en-US" w:bidi="en-US"/>
          <w:color w:val="111111"/>
          <w:sz w:val="28"/>
          <w:szCs w:val="28"/>
          <w:rtl/>
        </w:rPr>
        <w:t xml:space="preserve">tārīx-e jonpūr</w:t>
      </w:r>
    </w:p>
    <w:p>
      <w:pPr>
        <w:pStyle w:val="BookText"/>
      </w:pPr>
      <w:r>
        <w:rPr>
          <w:rFonts w:ascii="IRNazanin" w:hAnsi="IRNazanin" w:eastAsia="IRNazanin" w:cs="IRNazanin"/>
          <w:lang w:bidi="fa-IR"/>
          <w:color w:val="111111"/>
          <w:sz w:val="28"/>
          <w:szCs w:val="28"/>
          <w:rtl/>
        </w:rPr>
        <w:t xml:space="preserve">زیدی جونپوری، غلامحسن</w:t>
      </w:r>
    </w:p>
    <w:p>
      <w:pPr>
        <w:pStyle w:val="BookText"/>
      </w:pPr>
      <w:r>
        <w:rPr>
          <w:rFonts w:ascii="Times New Roman" w:hAnsi="Times New Roman" w:eastAsia="Times New Roman" w:cs="Times New Roman"/>
          <w:lang w:val="en-US" w:bidi="en-US"/>
          <w:color w:val="111111"/>
          <w:sz w:val="28"/>
          <w:szCs w:val="28"/>
          <w:rtl/>
        </w:rPr>
        <w:t xml:space="preserve">zeydī jonpūrī, qolām-hoseyn</w:t>
      </w:r>
    </w:p>
    <w:p>
      <w:pPr>
        <w:pStyle w:val="BookText"/>
      </w:pPr>
      <w:r>
        <w:rPr>
          <w:rFonts w:ascii="IRNazanin" w:hAnsi="IRNazanin" w:eastAsia="IRNazanin" w:cs="IRNazanin"/>
          <w:lang w:bidi="fa-IR"/>
          <w:color w:val="111111"/>
          <w:sz w:val="28"/>
          <w:szCs w:val="28"/>
          <w:rtl/>
        </w:rPr>
        <w:t xml:space="preserve">تاریخ کوتاه جونپور است با گزارش بیشتر درباره سلاطين شرقی در دو «فصل» و یک «تتمه». تتمه آن در سرگذشت دانشمندان جونپور است. مؤلف در مقدمه گوید: «چون به خدمت منشی گری ... مستر چارلس جیزم صاحب بهادر دام دولته که صاحب رجستر بلده جونپور بود سرفراز شد روزی صاحب ممدوح ازین راقم فرمود که احوال جونپور و عمارت این شهر و کیفیت سلاطين شرقيه آنچه راستی و دوستی باشد به عبارت مختصر برنگار ... فصل اول در بیان بناء جونپور و احوال سلاطين شرقيه که در جونپور سلطنت کردند، فصل دوم در عمارت شهر و تتمه در بیان احوال بزرگان جونپور ... نام مؤلف در برخی منابع، غلام حسین جونپوری ثبت شده، ولی در نسخه حاضر غلامحسن» آمده است. مؤلف از استادان خود، «محمد عسکری» را نام برده که در سال ۱۱۸۹ق وفات یافته است.</w:t>
      </w:r>
    </w:p>
    <w:p>
      <w:pPr>
        <w:pStyle w:val="BookText"/>
      </w:pPr>
      <w:r>
        <w:rPr>
          <w:rFonts w:ascii="IRNazanin" w:hAnsi="IRNazanin" w:eastAsia="IRNazanin" w:cs="IRNazanin"/>
          <w:lang w:bidi="fa-IR"/>
          <w:color w:val="111111"/>
          <w:sz w:val="28"/>
          <w:szCs w:val="28"/>
          <w:rtl/>
        </w:rPr>
        <w:t xml:space="preserve">[فهرستواره منزوی ۱۱۶۹/۲ ]</w:t>
      </w:r>
    </w:p>
    <w:p>
      <w:pPr>
        <w:pStyle w:val="BookText"/>
      </w:pPr>
      <w:r>
        <w:rPr>
          <w:rFonts w:ascii="IRNazanin" w:hAnsi="IRNazanin" w:eastAsia="IRNazanin" w:cs="IRNazanin"/>
          <w:lang w:bidi="fa-IR"/>
          <w:color w:val="111111"/>
          <w:sz w:val="28"/>
          <w:szCs w:val="28"/>
          <w:rtl/>
        </w:rPr>
        <w:t xml:space="preserve">قم؛ مرعشی؛ شماره نسخه: ۱۱۴۵/۱</w:t>
      </w:r>
    </w:p>
    <w:p>
      <w:pPr>
        <w:pStyle w:val="BookText"/>
      </w:pPr>
      <w:r>
        <w:rPr>
          <w:rFonts w:ascii="IRNazanin" w:hAnsi="IRNazanin" w:eastAsia="IRNazanin" w:cs="IRNazanin"/>
          <w:lang w:bidi="fa-IR"/>
          <w:color w:val="111111"/>
          <w:sz w:val="28"/>
          <w:szCs w:val="28"/>
          <w:rtl/>
        </w:rPr>
        <w:t xml:space="preserve">آغاز: بسمله. بر صاحبان دانش مخفی نماند که راقم این اوراق یعنی سید غلام حسن جونپوری ... فصل اول در بیان بناء جونپور و احوال سلاطين گذشته. در تاریخ جهان آرا می نویسد که آغاز بناء جونپور از سلطان فیروزشاه است؛ انجام: در همه علوم قدرت داشته باشد در جونپور نیست، الله تعالی آن جناب را تا دیر سلامت دارد.</w:t>
      </w:r>
    </w:p>
    <w:p>
      <w:pPr>
        <w:pStyle w:val="BookText"/>
      </w:pPr>
      <w:r>
        <w:rPr>
          <w:rFonts w:ascii="IRNazanin" w:hAnsi="IRNazanin" w:eastAsia="IRNazanin" w:cs="IRNazanin"/>
          <w:lang w:bidi="fa-IR"/>
          <w:color w:val="111111"/>
          <w:sz w:val="28"/>
          <w:szCs w:val="28"/>
          <w:rtl/>
        </w:rPr>
        <w:t xml:space="preserve">خط نستعلیق، بی کا، تا: قرن ۱۳؛ ۲۰ص (۱-۲۰) [عکسی ف: ۳-۳۰۳]</w:t>
      </w:r>
    </w:p>
    <w:p>
      <w:pPr>
        <w:pStyle w:val="Heading3"/>
      </w:pPr>
      <w:bookmarkStart w:id="2208" w:name="_Toc1468"/>
      <w:r>
        <w:t>•تاریخ جهان / تاریخ / فارسی</w:t>
      </w:r>
      <w:bookmarkEnd w:id="2208"/>
    </w:p>
    <w:p>
      <w:pPr>
        <w:pStyle w:val="BookText"/>
      </w:pPr>
      <w:r>
        <w:rPr>
          <w:rFonts w:ascii="Times New Roman" w:hAnsi="Times New Roman" w:eastAsia="Times New Roman" w:cs="Times New Roman"/>
          <w:lang w:val="en-US" w:bidi="en-US"/>
          <w:color w:val="111111"/>
          <w:sz w:val="28"/>
          <w:szCs w:val="28"/>
          <w:rtl/>
        </w:rPr>
        <w:t xml:space="preserve">tārīx-e jahān</w:t>
      </w:r>
    </w:p>
    <w:p>
      <w:pPr>
        <w:pStyle w:val="BookText"/>
      </w:pPr>
      <w:r>
        <w:rPr>
          <w:rFonts w:ascii="IRNazanin" w:hAnsi="IRNazanin" w:eastAsia="IRNazanin" w:cs="IRNazanin"/>
          <w:lang w:bidi="fa-IR"/>
          <w:color w:val="111111"/>
          <w:sz w:val="28"/>
          <w:szCs w:val="28"/>
          <w:rtl/>
        </w:rPr>
        <w:t xml:space="preserve">دردی اصفهانی، اسمعیل، ق۱۴ قمری</w:t>
      </w:r>
    </w:p>
    <w:p>
      <w:pPr>
        <w:pStyle w:val="BookText"/>
      </w:pPr>
      <w:r>
        <w:rPr>
          <w:rFonts w:ascii="Times New Roman" w:hAnsi="Times New Roman" w:eastAsia="Times New Roman" w:cs="Times New Roman"/>
          <w:lang w:val="en-US" w:bidi="en-US"/>
          <w:color w:val="111111"/>
          <w:sz w:val="28"/>
          <w:szCs w:val="28"/>
          <w:rtl/>
        </w:rPr>
        <w:t xml:space="preserve">dordī esfahānī, esmāʻīl (-20c)</w:t>
      </w:r>
    </w:p>
    <w:p>
      <w:pPr>
        <w:pStyle w:val="BookText"/>
      </w:pPr>
      <w:r>
        <w:rPr>
          <w:rFonts w:ascii="IRNazanin" w:hAnsi="IRNazanin" w:eastAsia="IRNazanin" w:cs="IRNazanin"/>
          <w:lang w:bidi="fa-IR"/>
          <w:color w:val="111111"/>
          <w:sz w:val="28"/>
          <w:szCs w:val="28"/>
          <w:rtl/>
        </w:rPr>
        <w:t xml:space="preserve">تاریخ تأليف: ۱۳۰۵ق تاريخ اجمالی است از اوضاع جهان در نیمه دوم قرن نوزدهم میلادی، و مخصوصا به هند و ایران عنایت بیشتر داشته و اوضاع اجتماعی و اقتصادی این دو کشور را با تفصیل زیادتری بیان می کند، ضمنا تصریح می کند که این جلد اول عنوان مقدمه را دارد و اصل مطلب مقصود در جلد دوم بیان می شود. در این کتاب از روزنامه ها و اطلاعات خبرگزاری ها استفاده بسیار شده و گاهی بعضی از فرازهای مهم و سندهای تاریخی را با همان لغت انگلیسی نقل کرده و به فارسی ترجمه می کند و از این رهگذر بر اهمیت نوشته های خود می افزاید. برق ترقی روس و جرمن و انگلیس چشم مؤلف را پر کرده و از فعالیتها و اصلاحات انگلیس ها در هند تمجید می نماید و آرزو می کند</w:t>
      </w:r>
    </w:p>
    <w:p>
      <w:pPr>
        <w:pStyle w:val="BookText"/>
      </w:pPr>
      <w:r>
        <w:rPr>
          <w:rFonts w:ascii="IRNazanin" w:hAnsi="IRNazanin" w:eastAsia="IRNazanin" w:cs="IRNazanin"/>
          <w:lang w:bidi="fa-IR"/>
          <w:color w:val="111111"/>
          <w:sz w:val="28"/>
          <w:szCs w:val="28"/>
          <w:rtl/>
        </w:rPr>
        <w:t xml:space="preserve">هموطنان عزیزش (ایرانیان) همان راه را بپیمایند و جدا مانند آنان خودسازی کنند. ولی در عین حال از سیاست انگلیس نکوهش کرده و جابجا از آنها خرده گیری می کند. مؤلف از مردم اصفهان است و بیست و پنج سال قبل از تألیف این کتاب به هند (ظاهرا حیدر آباد) مهاجرت کرده و در فقر و فلاکت می زیسته و از این جهت در پاره ای مطالب اظهار ناراحتی می کند و دو کتاب «امراض مسلمانان» و «رساله در تغییر رسم الخط مسلمانان» را از خود یاد آوری می کند. به وطن خویش ایران علاقه فراوان دارد و آرزوی جشن بسیار مفصل پنجاهمین سال سلطنت ناصرالدین شاه قاجار را در دل خود می پروراند و به وسیله انتقاد شدید می خواهد اسباب ترقی و تعالی کشورش را فراهم سازد. در این کتاب برای بار دوم تجدید نظر شده و تاریخ ماه رمضان ۱۳۰۵ در صفحه ۵۸۰ به همین منظور دیده می شود، و صفحه های آخر را با خبری به تاریخ پنجم ذیقعده ۱۳۰۵ به پایان برده است. عناوین مهم کتاب: حالات استریا و هنگاری؛ حالت فرانس؛ حالت جرمن؛ حالت ملک ایتالیا؛ حالت انگلستان؛ حالت یونیتد استیتس در آمریکا؛ حالت ملک هندوستان؛ فقرات و کیفیات مختلفه؛ حالت چین؛ حالت چیان؛ حالت ملک عثمانی؛ حالت ایران ویران ما؛ حالت حیدر آباد؛ حالت ملک هند قدیم و جدید؛ فقرات مختلفه؛ شرح حال پارسیان (زردشتیان) هند؛ قونسل جنرال ایران و پارسیان؛ نکته چینی و ملاحظه این کیفیت؛ تحريف الفبای مسلمانان؛ معاملات ایران و دول خارجه.</w:t>
      </w:r>
    </w:p>
    <w:p>
      <w:pPr>
        <w:pStyle w:val="BookText"/>
      </w:pPr>
      <w:r>
        <w:rPr>
          <w:rFonts w:ascii="IRNazanin" w:hAnsi="IRNazanin" w:eastAsia="IRNazanin" w:cs="IRNazanin"/>
          <w:lang w:bidi="fa-IR"/>
          <w:color w:val="111111"/>
          <w:sz w:val="28"/>
          <w:szCs w:val="28"/>
          <w:rtl/>
        </w:rPr>
        <w:t xml:space="preserve">[دنا ۶۹۵/۲ ]</w:t>
      </w:r>
    </w:p>
    <w:p>
      <w:pPr>
        <w:pStyle w:val="BookText"/>
      </w:pPr>
      <w:r>
        <w:rPr>
          <w:rFonts w:ascii="IRNazanin" w:hAnsi="IRNazanin" w:eastAsia="IRNazanin" w:cs="IRNazanin"/>
          <w:lang w:bidi="fa-IR"/>
          <w:color w:val="111111"/>
          <w:sz w:val="28"/>
          <w:szCs w:val="28"/>
          <w:rtl/>
        </w:rPr>
        <w:t xml:space="preserve">قم؛ مرعشی؛ شماره نسخه: ۲۴۳۹</w:t>
      </w:r>
    </w:p>
    <w:p>
      <w:pPr>
        <w:pStyle w:val="BookText"/>
      </w:pPr>
      <w:r>
        <w:rPr>
          <w:rFonts w:ascii="IRNazanin" w:hAnsi="IRNazanin" w:eastAsia="IRNazanin" w:cs="IRNazanin"/>
          <w:lang w:bidi="fa-IR"/>
          <w:color w:val="111111"/>
          <w:sz w:val="28"/>
          <w:szCs w:val="28"/>
          <w:rtl/>
        </w:rPr>
        <w:t xml:space="preserve">آغاز: حالت استریا و هنگاری، ۱ در علم، تا در این سنوات اخیر حالت علم و تربیت بسیار بد بود؛ انجام: خدایا به پاکان درگاهت اثری بخش میوه این محن خالصانه ارادت مندانه مصنف را. خط: نستعلیق، بی کا، بی تا، افتادگی: آغاز؛ شاید به خط مؤلف؛ مصحح؛ جلد: مقوایی عطف تیماج مشکی، ۲۹۸گ، ۱۹ سطر، اندازه: 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سم [ف: ۷- ۳۶]</w:t>
      </w:r>
    </w:p>
    <w:p>
      <w:pPr>
        <w:pStyle w:val="Heading3"/>
      </w:pPr>
      <w:bookmarkStart w:id="2209" w:name="_Toc1469"/>
      <w:r>
        <w:t>• تاریخ جهان / تاریخ جهان / فارسی</w:t>
      </w:r>
      <w:bookmarkEnd w:id="2209"/>
    </w:p>
    <w:p>
      <w:pPr>
        <w:pStyle w:val="BookText"/>
      </w:pPr>
      <w:r>
        <w:rPr>
          <w:rFonts w:ascii="Times New Roman" w:hAnsi="Times New Roman" w:eastAsia="Times New Roman" w:cs="Times New Roman"/>
          <w:lang w:val="en-US" w:bidi="en-US"/>
          <w:color w:val="111111"/>
          <w:sz w:val="28"/>
          <w:szCs w:val="28"/>
          <w:rtl/>
        </w:rPr>
        <w:t xml:space="preserve">tārīx-e jahān</w:t>
      </w:r>
    </w:p>
    <w:p>
      <w:pPr>
        <w:pStyle w:val="BookText"/>
      </w:pPr>
      <w:r>
        <w:rPr>
          <w:rFonts w:ascii="IRNazanin" w:hAnsi="IRNazanin" w:eastAsia="IRNazanin" w:cs="IRNazanin"/>
          <w:lang w:bidi="fa-IR"/>
          <w:color w:val="111111"/>
          <w:sz w:val="28"/>
          <w:szCs w:val="28"/>
          <w:rtl/>
        </w:rPr>
        <w:t xml:space="preserve">تاریخ اسلام و اروپا است از استیلای قوم بربر تا پادشاهی هانری سوم.</w:t>
      </w:r>
    </w:p>
    <w:p>
      <w:pPr>
        <w:pStyle w:val="BookText"/>
      </w:pPr>
      <w:r>
        <w:rPr>
          <w:rFonts w:ascii="IRNazanin" w:hAnsi="IRNazanin" w:eastAsia="IRNazanin" w:cs="IRNazanin"/>
          <w:lang w:bidi="fa-IR"/>
          <w:color w:val="111111"/>
          <w:sz w:val="28"/>
          <w:szCs w:val="28"/>
          <w:rtl/>
        </w:rPr>
        <w:t xml:space="preserve">تهران؛ دانشگاه؛ شماره نسخه:۴۸۲۵</w:t>
      </w:r>
    </w:p>
    <w:p>
      <w:pPr>
        <w:pStyle w:val="BookText"/>
      </w:pPr>
      <w:r>
        <w:rPr>
          <w:rFonts w:ascii="IRNazanin" w:hAnsi="IRNazanin" w:eastAsia="IRNazanin" w:cs="IRNazanin"/>
          <w:lang w:bidi="fa-IR"/>
          <w:color w:val="111111"/>
          <w:sz w:val="28"/>
          <w:szCs w:val="28"/>
          <w:rtl/>
        </w:rPr>
        <w:t xml:space="preserve">خط: نستعلیق، بی کا، تا: قرن ۱۴؛ جزوه درسی مدرسه ای را می ماند؛ کاغذ: فرنگی، جلد: مقوا، ۱۸۳ گ، ۲۰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۱۴-۳۸۵۲]</w:t>
      </w:r>
    </w:p>
    <w:p>
      <w:pPr>
        <w:pStyle w:val="Heading3"/>
      </w:pPr>
      <w:bookmarkStart w:id="2210" w:name="_Toc1470"/>
      <w:r>
        <w:t>• تاریخ جهان / تاریخ / فارسی</w:t>
      </w:r>
      <w:bookmarkEnd w:id="2210"/>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439" w:name="pg20363_209741"/>
    <w:bookmarkEnd w:id="439"/>
    <w:p>
      <w:pPr>
        <w:pStyle w:val="BookText"/>
      </w:pPr>
      <w:r>
        <w:rPr>
          <w:rFonts w:ascii="Times New Roman" w:hAnsi="Times New Roman" w:eastAsia="Times New Roman" w:cs="Times New Roman"/>
          <w:lang w:val="en-US" w:bidi="en-US"/>
          <w:color w:val="111111"/>
          <w:sz w:val="28"/>
          <w:szCs w:val="28"/>
          <w:rtl/>
        </w:rPr>
        <w:t xml:space="preserve">tārīx-e jahān</w:t>
      </w:r>
    </w:p>
    <w:p>
      <w:pPr>
        <w:pStyle w:val="BookText"/>
      </w:pPr>
      <w:r>
        <w:rPr>
          <w:rFonts w:ascii="IRNazanin" w:hAnsi="IRNazanin" w:eastAsia="IRNazanin" w:cs="IRNazanin"/>
          <w:lang w:bidi="fa-IR"/>
          <w:color w:val="111111"/>
          <w:sz w:val="28"/>
          <w:szCs w:val="28"/>
          <w:rtl/>
        </w:rPr>
        <w:t xml:space="preserve">تاریخ عمومی اتفاقاتی است که از عصر پادشاهی سلطان حسین میرزا بایقرا گورکانی (۸۷۵-۹۱۱ق) تا اواخر سلطنت اكبر شاه ( ۱۰۱۴-۹۶۳ ق) در هندوستان رخ داده است. مؤلف ضمن بیان تاریخ هجری به وقایع آن سال پرداخته و جزئیاتی از تاریخ زندگانی پادشاهان را آورده است، نام کتاب و مؤلف را نیافتیم.</w:t>
      </w:r>
    </w:p>
    <w:p>
      <w:pPr>
        <w:pStyle w:val="BookText"/>
      </w:pPr>
      <w:r>
        <w:rPr>
          <w:rFonts w:ascii="IRNazanin" w:hAnsi="IRNazanin" w:eastAsia="IRNazanin" w:cs="IRNazanin"/>
          <w:lang w:bidi="fa-IR"/>
          <w:color w:val="111111"/>
          <w:sz w:val="28"/>
          <w:szCs w:val="28"/>
          <w:rtl/>
        </w:rPr>
        <w:t xml:space="preserve">قم؛ مرعشی؛ شماره نسخه:۱۳۲۹۶</w:t>
      </w:r>
    </w:p>
    <w:p>
      <w:pPr>
        <w:pStyle w:val="BookText"/>
      </w:pPr>
      <w:r>
        <w:rPr>
          <w:rFonts w:ascii="IRNazanin" w:hAnsi="IRNazanin" w:eastAsia="IRNazanin" w:cs="IRNazanin"/>
          <w:lang w:bidi="fa-IR"/>
          <w:color w:val="111111"/>
          <w:sz w:val="28"/>
          <w:szCs w:val="28"/>
          <w:rtl/>
        </w:rPr>
        <w:t xml:space="preserve">آغاز: و امیرزاده حسینعلی درینوقت بموجب حکم در تبریز بود و حال لشکر پادشاه دگرگون شد و بواسطه صلح امیر غیاث الدین محمد پادشاه زاده ساری را به اردوی امیر حسن بیگی فرستاده؛ انجام: تا مجموع لشکرهای آن حدود را بی توقف به مدد خان جهان روانه شوند و با نسیک و اصفخان با لشکری کی بدفع رانا تعیین یافته بود تا حدود کو کند بی توقف رفتند.</w:t>
      </w:r>
    </w:p>
    <w:p>
      <w:pPr>
        <w:pStyle w:val="BookText"/>
      </w:pPr>
      <w:r>
        <w:rPr>
          <w:rFonts w:ascii="IRNazanin" w:hAnsi="IRNazanin" w:eastAsia="IRNazanin" w:cs="IRNazanin"/>
          <w:lang w:bidi="fa-IR"/>
          <w:color w:val="111111"/>
          <w:sz w:val="28"/>
          <w:szCs w:val="28"/>
          <w:rtl/>
        </w:rPr>
        <w:t xml:space="preserve">خط: نستعلیق زیبا، كا: يوسف بن ابوالحسن منشی باشی علی آبادی، تا: شعبان ۱۳۱۳ق؛ افتادگی: آغاز و انجام؛ مصحح، دارای سرلوح زیبای مرصع با زمینه طلا و طرحهای اسلیمی با رنگ های گوناگون، مجدول به طلا، کاغذ: شرقی، جلد: مشمعی مشکی عطف تیماج مشکی، ۲۵۹گ، ۱۵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اندازه: ۲۲/۵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۳۰سم [ف: ۳۳-۵۲۲]</w:t>
      </w:r>
    </w:p>
    <w:p>
      <w:pPr>
        <w:pStyle w:val="Heading3"/>
      </w:pPr>
      <w:bookmarkStart w:id="2211" w:name="_Toc1471"/>
      <w:r>
        <w:t>•تاریخ جهان آرا / تاریخ ایران / فارسی</w:t>
      </w:r>
      <w:bookmarkEnd w:id="2211"/>
    </w:p>
    <w:p>
      <w:pPr>
        <w:pStyle w:val="BookText"/>
      </w:pPr>
      <w:r>
        <w:rPr>
          <w:rFonts w:ascii="Times New Roman" w:hAnsi="Times New Roman" w:eastAsia="Times New Roman" w:cs="Times New Roman"/>
          <w:lang w:val="en-US" w:bidi="en-US"/>
          <w:color w:val="111111"/>
          <w:sz w:val="28"/>
          <w:szCs w:val="28"/>
          <w:rtl/>
        </w:rPr>
        <w:t xml:space="preserve">tārīx-e jahān-ārā</w:t>
      </w:r>
    </w:p>
    <w:p>
      <w:pPr>
        <w:pStyle w:val="BookText"/>
      </w:pPr>
      <w:r>
        <w:rPr>
          <w:rFonts w:ascii="IRNazanin" w:hAnsi="IRNazanin" w:eastAsia="IRNazanin" w:cs="IRNazanin"/>
          <w:lang w:bidi="fa-IR"/>
          <w:color w:val="111111"/>
          <w:sz w:val="28"/>
          <w:szCs w:val="28"/>
          <w:rtl/>
        </w:rPr>
        <w:t xml:space="preserve">تهرانی، ابوبکر، ق۹ قمری</w:t>
      </w:r>
    </w:p>
    <w:p>
      <w:pPr>
        <w:pStyle w:val="BookText"/>
      </w:pPr>
      <w:r>
        <w:rPr>
          <w:rFonts w:ascii="Times New Roman" w:hAnsi="Times New Roman" w:eastAsia="Times New Roman" w:cs="Times New Roman"/>
          <w:lang w:val="en-US" w:bidi="en-US"/>
          <w:color w:val="111111"/>
          <w:sz w:val="28"/>
          <w:szCs w:val="28"/>
          <w:rtl/>
        </w:rPr>
        <w:t xml:space="preserve">tehrānī, ābū-bakr (-150)</w:t>
      </w:r>
    </w:p>
    <w:p>
      <w:pPr>
        <w:pStyle w:val="BookText"/>
      </w:pPr>
      <w:r>
        <w:rPr>
          <w:rFonts w:ascii="IRNazanin" w:hAnsi="IRNazanin" w:eastAsia="IRNazanin" w:cs="IRNazanin"/>
          <w:lang w:bidi="fa-IR"/>
          <w:color w:val="111111"/>
          <w:sz w:val="28"/>
          <w:szCs w:val="28"/>
          <w:rtl/>
        </w:rPr>
        <w:t xml:space="preserve">این تاریخ در شرح حال و نسب شاه اسماعیل اول صفوی و کیفیت جلوس او براریکه سلطنت و فتوحات و کشورگشایی های آن سلطان است و سپس مختصری به دوران شاه طهماسب اول می پردازد و بعد با دعای خیر درباره او کتاب به پایان می رود. از آنجا که نویسنده به دوره شاه اسماعیل بوده است، کتاب او حاوی مباحث جالبی از اوضاع دربار شاه اسماعیل صفوی است.</w:t>
      </w:r>
    </w:p>
    <w:p>
      <w:pPr>
        <w:pStyle w:val="BookText"/>
      </w:pPr>
      <w:r>
        <w:rPr>
          <w:rFonts w:ascii="IRNazanin" w:hAnsi="IRNazanin" w:eastAsia="IRNazanin" w:cs="IRNazanin"/>
          <w:lang w:bidi="fa-IR"/>
          <w:color w:val="111111"/>
          <w:sz w:val="28"/>
          <w:szCs w:val="28"/>
          <w:rtl/>
        </w:rPr>
        <w:t xml:space="preserve">در ابتدای صفحه اول کتاب نویسنده ملا ابوبکر طهرانی ذکر شده، اگر این ملا ابوبكر طهرانی همان مؤلف تاریخ دیار بکریه باشد که معاصر اوزن حسن است چنین شخصی ممکن نیست که بتواند نویسنده این کتاب باشد و اگر ملا ابوبکر طهرانی جز او باشد آن هم بعید می نماید که به دوره شاه اسماعیل، با گرمی بازار تشیع، ابوبکر نامی نویسنده تاریخ شاه متعصب شیعه باشد بی شک نویسنده کس دیگر است و انتساب کتاب به ابوبکر طهرانی از سهوهای کتاب یا اغلاط عمدی است شاید از قاضی احمد غفاری باشد. (عبدالله انوار)</w:t>
      </w:r>
    </w:p>
    <w:p>
      <w:pPr>
        <w:pStyle w:val="BookText"/>
      </w:pPr>
      <w:r>
        <w:rPr>
          <w:rFonts w:ascii="IRNazanin" w:hAnsi="IRNazanin" w:eastAsia="IRNazanin" w:cs="IRNazanin"/>
          <w:lang w:bidi="fa-IR"/>
          <w:color w:val="111111"/>
          <w:sz w:val="28"/>
          <w:szCs w:val="28"/>
          <w:rtl/>
        </w:rPr>
        <w:t xml:space="preserve">مسلم از احمد غفاری نیست.</w:t>
      </w:r>
    </w:p>
    <w:p>
      <w:pPr>
        <w:pStyle w:val="BookText"/>
      </w:pPr>
      <w:r>
        <w:rPr>
          <w:rFonts w:ascii="Amiri" w:hAnsi="Amiri" w:eastAsia="Amiri" w:cs="Amiri"/>
          <w:lang w:bidi="ar-SA"/>
          <w:color w:val="111111"/>
          <w:sz w:val="28"/>
          <w:szCs w:val="28"/>
          <w:rtl/>
        </w:rPr>
        <w:t xml:space="preserve">آغاز: الحمدلله رب العالمين و الصلوة و السلام على اشرف الانبياء و المرسلين.</w:t>
      </w:r>
    </w:p>
    <w:p>
      <w:pPr>
        <w:pStyle w:val="BookText"/>
      </w:pPr>
      <w:r>
        <w:rPr>
          <w:rFonts w:ascii="IRNazanin" w:hAnsi="IRNazanin" w:eastAsia="IRNazanin" w:cs="IRNazanin"/>
          <w:lang w:bidi="fa-IR"/>
          <w:color w:val="111111"/>
          <w:sz w:val="28"/>
          <w:szCs w:val="28"/>
          <w:rtl/>
        </w:rPr>
        <w:t xml:space="preserve">انجام: که ویرا هیج امید عافیت نیست ... ظلم بر مظلوم.</w:t>
      </w:r>
    </w:p>
    <w:p>
      <w:pPr>
        <w:pStyle w:val="BookText"/>
      </w:pPr>
      <w:r>
        <w:rPr>
          <w:rFonts w:ascii="IRNazanin" w:hAnsi="IRNazanin" w:eastAsia="IRNazanin" w:cs="IRNazanin"/>
          <w:lang w:bidi="fa-IR"/>
          <w:color w:val="111111"/>
          <w:sz w:val="28"/>
          <w:szCs w:val="28"/>
          <w:rtl/>
        </w:rPr>
        <w:t xml:space="preserve">[فهرستواره منزوی ۹۴۴/۲ ]</w:t>
      </w:r>
    </w:p>
    <w:p>
      <w:pPr>
        <w:pStyle w:val="BookText"/>
      </w:pPr>
      <w:r>
        <w:rPr>
          <w:rFonts w:ascii="IRNazanin" w:hAnsi="IRNazanin" w:eastAsia="IRNazanin" w:cs="IRNazanin"/>
          <w:lang w:bidi="fa-IR"/>
          <w:color w:val="111111"/>
          <w:sz w:val="28"/>
          <w:szCs w:val="28"/>
          <w:rtl/>
        </w:rPr>
        <w:t xml:space="preserve">تهران؛ ملی؛ شماره نسخه:۱۴۹۹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ابوالحسن بن نور، تا: ۱۰۹۹ق؛ مجدول؛ کاغذ: فرنگی، جلد: تیماج، مشکی با ترنج و نیم ترنج، ۳۳۵، ۱۷ سطر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۳-۵۴۸]</w:t>
      </w:r>
    </w:p>
    <w:p>
      <w:pPr>
        <w:pStyle w:val="Heading3"/>
      </w:pPr>
      <w:bookmarkStart w:id="2212" w:name="_Toc1472"/>
      <w:r>
        <w:t>•تاریخ جهان آرا = رطب اللسان / تاریخ ایران / فارسی</w:t>
      </w:r>
      <w:bookmarkEnd w:id="2212"/>
    </w:p>
    <w:p>
      <w:pPr>
        <w:pStyle w:val="BookText"/>
      </w:pPr>
      <w:r>
        <w:rPr>
          <w:rFonts w:ascii="Times New Roman" w:hAnsi="Times New Roman" w:eastAsia="Times New Roman" w:cs="Times New Roman"/>
          <w:lang w:val="en-US" w:bidi="en-US"/>
          <w:color w:val="111111"/>
          <w:sz w:val="28"/>
          <w:szCs w:val="28"/>
          <w:rtl/>
        </w:rPr>
        <w:t xml:space="preserve">tārīx-e jahān-ārā = ratb-ol lesān</w:t>
      </w:r>
    </w:p>
    <w:p>
      <w:pPr>
        <w:pStyle w:val="BookText"/>
      </w:pPr>
      <w:r>
        <w:rPr>
          <w:rFonts w:ascii="IRNazanin" w:hAnsi="IRNazanin" w:eastAsia="IRNazanin" w:cs="IRNazanin"/>
          <w:lang w:bidi="fa-IR"/>
          <w:color w:val="111111"/>
          <w:sz w:val="28"/>
          <w:szCs w:val="28"/>
          <w:rtl/>
        </w:rPr>
        <w:t xml:space="preserve">همای مروزی، محمد صادق، ق۱۳ قمری</w:t>
      </w:r>
    </w:p>
    <w:p>
      <w:pPr>
        <w:pStyle w:val="BookText"/>
      </w:pPr>
      <w:r>
        <w:rPr>
          <w:rFonts w:ascii="Times New Roman" w:hAnsi="Times New Roman" w:eastAsia="Times New Roman" w:cs="Times New Roman"/>
          <w:lang w:val="en-US" w:bidi="en-US"/>
          <w:color w:val="111111"/>
          <w:sz w:val="28"/>
          <w:szCs w:val="28"/>
          <w:rtl/>
        </w:rPr>
        <w:t xml:space="preserve">homā-ye marvazī, mohammad sādeq (-19c)</w:t>
      </w:r>
    </w:p>
    <w:p>
      <w:pPr>
        <w:pStyle w:val="BookText"/>
      </w:pPr>
      <w:r>
        <w:rPr>
          <w:rFonts w:ascii="IRNazanin" w:hAnsi="IRNazanin" w:eastAsia="IRNazanin" w:cs="IRNazanin"/>
          <w:lang w:bidi="fa-IR"/>
          <w:color w:val="111111"/>
          <w:sz w:val="28"/>
          <w:szCs w:val="28"/>
          <w:rtl/>
        </w:rPr>
        <w:t xml:space="preserve">اهدا به: فتحعلی شاه قاجار (۱۲۱۲-۱۲۵۰ق) تاریخ بیست ساله نخست سلطنت فتحعلی شاه قاجار را (۱۲۱۲ ۱۲۳۳) از ابتدای جلوس او تا سال ۱۲۳۲ق با انشایی ادبی نگاشته است. این تاریخ در دو جلد تأليف شده: ۱. در وقایع ده ساله اول حکومت فتحعلی شاه قاجار؛ ۲. اختصاص بوقايع ده ساله دوم فتحعلی شاه دارد و در آن از وقایع مربوط به جنگ های ایران و روس مفصل سخن می رود.</w:t>
      </w:r>
    </w:p>
    <w:p>
      <w:pPr>
        <w:pStyle w:val="BookText"/>
      </w:pPr>
      <w:r>
        <w:rPr>
          <w:rFonts w:ascii="IRNazanin" w:hAnsi="IRNazanin" w:eastAsia="IRNazanin" w:cs="IRNazanin"/>
          <w:lang w:bidi="fa-IR"/>
          <w:color w:val="111111"/>
          <w:sz w:val="28"/>
          <w:szCs w:val="28"/>
          <w:rtl/>
        </w:rPr>
        <w:t xml:space="preserve">آغاز: جلد اول: نحمد اللهم يا من لك الامر و لک الملک ... حمد خداوندی را رواست که خاک تیره را منبت لاله و گل گردانیده ...</w:t>
      </w:r>
    </w:p>
    <w:p>
      <w:pPr>
        <w:pStyle w:val="BookText"/>
      </w:pPr>
      <w:r>
        <w:rPr>
          <w:rFonts w:ascii="IRNazanin" w:hAnsi="IRNazanin" w:eastAsia="IRNazanin" w:cs="IRNazanin"/>
          <w:lang w:bidi="fa-IR"/>
          <w:color w:val="111111"/>
          <w:sz w:val="28"/>
          <w:szCs w:val="28"/>
          <w:rtl/>
        </w:rPr>
        <w:t xml:space="preserve">جلد دوم: بسمله الحمدلله رب العالمين حمد و سپاس و ثنا و ستایش مر خداوندیرا رواست که ما سوی خود بابداع و اختراع از عدم بوجود آورد و از روی رحمت بمحض قدرت عالم و آدم موجود نمود ... آغاز بهار آرائی یازدهم سال جلوس میمنت مأنوس موافق یکهزار و دویست و بیست و دو هجری مطابق سال فرخ فال توشقان ئیل خیریت دلیل ترکی</w:t>
      </w:r>
    </w:p>
    <w:p>
      <w:pPr>
        <w:pStyle w:val="BookText"/>
      </w:pPr>
      <w:r>
        <w:rPr>
          <w:rFonts w:ascii="IRNazanin" w:hAnsi="IRNazanin" w:eastAsia="IRNazanin" w:cs="IRNazanin"/>
          <w:lang w:bidi="fa-IR"/>
          <w:color w:val="111111"/>
          <w:sz w:val="28"/>
          <w:szCs w:val="28"/>
          <w:rtl/>
        </w:rPr>
        <w:t xml:space="preserve">انجام: منت خدایرا که بمیامن بخت فیروز اعليحضرت خلافت پناهی وقایع عشره ثانیه دولت ابد آیت .. اتمام و انجام پذیرفته ... یا رب اندر دهن روح الامین آمین باد. اللهم ابد دولته العليه و خلد خلافته البهيه بمحمد و آله خير البرية، الحمدلله اولا و آخر و ظاهر و باطن و الصلوة و السلام على خير خلقه محمد و آله اجمعین و سلم تسليما كثيرا كثيرا</w:t>
      </w:r>
    </w:p>
    <w:p>
      <w:pPr>
        <w:pStyle w:val="BookText"/>
      </w:pPr>
      <w:r>
        <w:rPr>
          <w:rFonts w:ascii="IRNazanin" w:hAnsi="IRNazanin" w:eastAsia="IRNazanin" w:cs="IRNazanin"/>
          <w:lang w:bidi="fa-IR"/>
          <w:color w:val="111111"/>
          <w:sz w:val="28"/>
          <w:szCs w:val="28"/>
          <w:rtl/>
        </w:rPr>
        <w:t xml:space="preserve">چاپ: با نام تاریخ جنگهای ایران و روس: یادداشتهای میرزا محمد صادق وقایع نگار هما مروزی، گرد آورنده: حسین آذری به تصحيح امیر هوشنگ آذر، ناشر: مصحح، تهران، ۱۳۸۶ش</w:t>
      </w:r>
    </w:p>
    <w:p>
      <w:pPr>
        <w:pStyle w:val="BookText"/>
      </w:pPr>
      <w:r>
        <w:rPr>
          <w:rFonts w:ascii="IRNazanin" w:hAnsi="IRNazanin" w:eastAsia="IRNazanin" w:cs="IRNazanin"/>
          <w:lang w:bidi="fa-IR"/>
          <w:color w:val="111111"/>
          <w:sz w:val="28"/>
          <w:szCs w:val="28"/>
          <w:rtl/>
        </w:rPr>
        <w:t xml:space="preserve">[دنا ۶۹۵/۲ (۲۷ نسخه)؛ نسخه های منزوی ج ۴۳۰۵/۶ ؛ ریحانة الادب ج ۳۲۱/۴ ؛ الذریعه</w:t>
      </w:r>
    </w:p>
    <w:p>
      <w:pPr>
        <w:pStyle w:val="BookText"/>
      </w:pPr>
      <w:r>
        <w:rPr>
          <w:rFonts w:ascii="IRNazanin" w:hAnsi="IRNazanin" w:eastAsia="IRNazanin" w:cs="IRNazanin"/>
          <w:lang w:bidi="fa-IR"/>
          <w:color w:val="111111"/>
          <w:sz w:val="28"/>
          <w:szCs w:val="28"/>
          <w:rtl/>
        </w:rPr>
        <w:t xml:space="preserve">۲۴۷/۲ و ۲۹۸/۵ ؛ فهرستواره منزوی ۹۴۴/۲ و ۹۷۳/۲ ]</w:t>
      </w:r>
    </w:p>
    <w:p>
      <w:pPr>
        <w:pStyle w:val="BookText"/>
      </w:pPr>
      <w:r>
        <w:rPr>
          <w:rFonts w:ascii="IRNazanin" w:hAnsi="IRNazanin" w:eastAsia="IRNazanin" w:cs="IRNazanin"/>
          <w:lang w:bidi="fa-IR"/>
          <w:color w:val="111111"/>
          <w:sz w:val="28"/>
          <w:szCs w:val="28"/>
          <w:rtl/>
        </w:rPr>
        <w:t xml:space="preserve">۱. تهران: مهدوی؛ شماره نسخه:۵۹۶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نستعلیق، بی کا، تا: قرن ۱۳؛ کاغذ: فرنگی[ نشریه: ۲-۷۲]</w:t>
      </w:r>
    </w:p>
    <w:p>
      <w:pPr>
        <w:pStyle w:val="BookText"/>
      </w:pPr>
      <w:r>
        <w:rPr>
          <w:rFonts w:ascii="IRNazanin" w:hAnsi="IRNazanin" w:eastAsia="IRNazanin" w:cs="IRNazanin"/>
          <w:lang w:bidi="fa-IR"/>
          <w:color w:val="111111"/>
          <w:sz w:val="28"/>
          <w:szCs w:val="28"/>
          <w:rtl/>
        </w:rPr>
        <w:t xml:space="preserve">۲. تهران؛ سپهسالار؛ شماره نسخه: ۷۲۴۰</w:t>
      </w:r>
    </w:p>
    <w:p>
      <w:pPr>
        <w:pStyle w:val="BookText"/>
      </w:pPr>
      <w:r>
        <w:rPr>
          <w:rFonts w:ascii="IRNazanin" w:hAnsi="IRNazanin" w:eastAsia="IRNazanin" w:cs="IRNazanin"/>
          <w:lang w:bidi="fa-IR"/>
          <w:color w:val="111111"/>
          <w:sz w:val="28"/>
          <w:szCs w:val="28"/>
          <w:rtl/>
        </w:rPr>
        <w:t xml:space="preserve">آغاز: برابر؛ انجام: تا جه کند شاه و چه گوید قضاء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یا چه بود حكم وچه سازد قدر فقط تاریخ قاجار را در بر دارد؛ خط: نستعلیق، بی کا، تا: قرن ۱۳؛ کاغذ: فرنگی کبود، جلد: تیماج مشکی، ۲۴۴گ، ۱۷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۴- ۱۳۰]</w:t>
      </w:r>
    </w:p>
    <w:p>
      <w:pPr>
        <w:pStyle w:val="BookText"/>
      </w:pPr>
      <w:r>
        <w:rPr>
          <w:rFonts w:ascii="IRNazanin" w:hAnsi="IRNazanin" w:eastAsia="IRNazanin" w:cs="IRNazanin"/>
          <w:lang w:bidi="fa-IR"/>
          <w:color w:val="111111"/>
          <w:sz w:val="28"/>
          <w:szCs w:val="28"/>
          <w:rtl/>
        </w:rPr>
        <w:t xml:space="preserve">٣. تهران؛ ملک؛ شماره نسخه:۳۹۰۷</w:t>
      </w:r>
    </w:p>
    <w:p>
      <w:pPr>
        <w:pStyle w:val="BookText"/>
      </w:pPr>
      <w:r>
        <w:rPr>
          <w:rFonts w:ascii="IRNazanin" w:hAnsi="IRNazanin" w:eastAsia="IRNazanin" w:cs="IRNazanin"/>
          <w:lang w:bidi="fa-IR"/>
          <w:color w:val="111111"/>
          <w:sz w:val="28"/>
          <w:szCs w:val="28"/>
          <w:rtl/>
        </w:rPr>
        <w:t xml:space="preserve">خط: نستعلیق، بی کا، تا: قرن ۱۳؛ دارای سرلوح مذهب، مجدول مذهب؛ کاغذ: کاغذ فستقی، جلد: رویه کاغذی ساغری قرمز فرنگی، ۲۷۴گ، ۱۵ سطر، اندازه: ۲۸/۲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۱۹/۱ سم [ف: ۲-۱۹۷]</w:t>
      </w:r>
    </w:p>
    <w:p>
      <w:pPr>
        <w:pStyle w:val="BookText"/>
      </w:pPr>
      <w:r>
        <w:rPr>
          <w:rFonts w:ascii="IRNazanin" w:hAnsi="IRNazanin" w:eastAsia="IRNazanin" w:cs="IRNazanin"/>
          <w:lang w:bidi="fa-IR"/>
          <w:color w:val="111111"/>
          <w:sz w:val="28"/>
          <w:szCs w:val="28"/>
          <w:rtl/>
        </w:rPr>
        <w:t xml:space="preserve">۴. تهران؛ ملک؛ شماره نسخه:۴۱۲۶</w:t>
      </w:r>
    </w:p>
    <w:p>
      <w:pPr>
        <w:pStyle w:val="BookText"/>
      </w:pPr>
      <w:r>
        <w:rPr>
          <w:rFonts w:ascii="IRNazanin" w:hAnsi="IRNazanin" w:eastAsia="IRNazanin" w:cs="IRNazanin"/>
          <w:lang w:bidi="fa-IR"/>
          <w:color w:val="111111"/>
          <w:sz w:val="28"/>
          <w:szCs w:val="28"/>
          <w:rtl/>
        </w:rPr>
        <w:t xml:space="preserve">خط: نستعلیق، بی کا، تا: قرن ۱۳؛ با یک سرلوح مذهب؛ کاغذ:</w:t>
      </w:r>
    </w:p>
    <w:p>
      <w:pPr>
        <w:pStyle w:val="BookText"/>
      </w:pPr>
      <w:r>
        <w:rPr>
          <w:rFonts w:ascii="IRNazanin" w:hAnsi="IRNazanin" w:eastAsia="IRNazanin" w:cs="IRNazanin"/>
          <w:lang w:bidi="fa-IR"/>
          <w:color w:val="111111"/>
          <w:sz w:val="28"/>
          <w:szCs w:val="28"/>
          <w:rtl/>
        </w:rPr>
        <w:t xml:space="preserve">کاغذ فستقی، ، جلد: روغنی گل و بوته زمینه طلایی، ۳۶۹گ، ۱۵  سطر، اندازه: ۱۹/۹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۲۰/۶سم [ف: ۲-۱۹۷]</w:t>
      </w:r>
    </w:p>
    <w:p>
      <w:pPr>
        <w:pStyle w:val="BookText"/>
      </w:pPr>
      <w:r>
        <w:rPr>
          <w:rFonts w:ascii="IRNazanin" w:hAnsi="IRNazanin" w:eastAsia="IRNazanin" w:cs="IRNazanin"/>
          <w:lang w:bidi="fa-IR"/>
          <w:color w:val="111111"/>
          <w:sz w:val="28"/>
          <w:szCs w:val="28"/>
          <w:rtl/>
        </w:rPr>
        <w:t xml:space="preserve">۵. تهران؛ ملک؛ شماره نسخه: ۴۲۹۹</w:t>
      </w:r>
    </w:p>
    <w:p>
      <w:pPr>
        <w:pStyle w:val="BookText"/>
      </w:pPr>
      <w:r>
        <w:rPr>
          <w:rFonts w:ascii="IRNazanin" w:hAnsi="IRNazanin" w:eastAsia="IRNazanin" w:cs="IRNazanin"/>
          <w:lang w:bidi="fa-IR"/>
          <w:color w:val="111111"/>
          <w:sz w:val="28"/>
          <w:szCs w:val="28"/>
          <w:rtl/>
        </w:rPr>
        <w:t xml:space="preserve">خط: شکسته، نستعلیق، بی کا، تا: قرن ۱۳؛ مجدول؛ کاغذ: کاغذ فستقی، جلد: میشن</w:t>
      </w:r>
    </w:p>
    <w:p>
      <w:pPr>
        <w:pStyle w:val="BookText"/>
      </w:pPr>
      <w:r>
        <w:rPr>
          <w:rFonts w:ascii="IRNazanin" w:hAnsi="IRNazanin" w:eastAsia="IRNazanin" w:cs="IRNazanin"/>
          <w:lang w:bidi="fa-IR"/>
          <w:color w:val="111111"/>
          <w:sz w:val="28"/>
          <w:szCs w:val="28"/>
          <w:rtl/>
        </w:rPr>
        <w:t xml:space="preserve">قرمز، ۳۶۴گ، ۱۵ سطر، اندازه: ۲۸/۲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سم [ف: ۲-۱۹۷]</w:t>
      </w:r>
    </w:p>
    <w:p>
      <w:pPr>
        <w:pStyle w:val="BookText"/>
      </w:pPr>
      <w:r>
        <w:rPr>
          <w:rFonts w:ascii="IRNazanin" w:hAnsi="IRNazanin" w:eastAsia="IRNazanin" w:cs="IRNazanin"/>
          <w:lang w:bidi="fa-IR"/>
          <w:color w:val="111111"/>
          <w:sz w:val="28"/>
          <w:szCs w:val="28"/>
          <w:rtl/>
        </w:rPr>
        <w:t xml:space="preserve">۶. تهران؛ ملی؛ شماره نسخه:۱۵۰۰</w:t>
      </w:r>
    </w:p>
    <w:p>
      <w:pPr>
        <w:pStyle w:val="BookText"/>
      </w:pPr>
      <w:r>
        <w:rPr>
          <w:rFonts w:ascii="IRNazanin" w:hAnsi="IRNazanin" w:eastAsia="IRNazanin" w:cs="IRNazanin"/>
          <w:lang w:bidi="fa-IR"/>
          <w:color w:val="111111"/>
          <w:sz w:val="28"/>
          <w:szCs w:val="28"/>
          <w:rtl/>
        </w:rPr>
        <w:t xml:space="preserve">آغاز: برابر جلد ۲؛ انجام: برابر جلد دوم؛ خط: نستعلیق، بی کا، تا: قرن ۱۳، جا: طهران؛ مجدول، با سرلوح مذهب؛ کاغذ: فرنگی، جلد: روغنی بوم سبز با گل و بوته، ۱۶۶گ، ۱۵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۳-۵۴۹]</w:t>
      </w:r>
    </w:p>
    <w:p>
      <w:pPr>
        <w:pStyle w:val="BookText"/>
      </w:pPr>
      <w:r>
        <w:rPr>
          <w:rFonts w:ascii="IRNazanin" w:hAnsi="IRNazanin" w:eastAsia="IRNazanin" w:cs="IRNazanin"/>
          <w:lang w:bidi="fa-IR"/>
          <w:color w:val="111111"/>
          <w:sz w:val="28"/>
          <w:szCs w:val="28"/>
          <w:rtl/>
        </w:rPr>
        <w:t xml:space="preserve">٧. تهران؛ ملی؛ شماره نسخه:۱۵</w:t>
      </w:r>
    </w:p>
    <w:p>
      <w:pPr>
        <w:pStyle w:val="BookText"/>
      </w:pPr>
      <w:r>
        <w:rPr>
          <w:rFonts w:ascii="IRNazanin" w:hAnsi="IRNazanin" w:eastAsia="IRNazanin" w:cs="IRNazanin"/>
          <w:lang w:bidi="fa-IR"/>
          <w:color w:val="111111"/>
          <w:sz w:val="28"/>
          <w:szCs w:val="28"/>
          <w:rtl/>
        </w:rPr>
        <w:t xml:space="preserve">آغاز: برابر جلد ۲؛ انجام: برابر جلد دوم، حاوی وقایع ده ساله دوم سلطنت فتحعلیشاه قاجار و آخرین فصل آن در «تتميم ذكر ركضت شاهزاده آزاده بولایت تربت و خاتمه کار محمد خان قرائی»؛ خط: نستعلیق خوش، بی کا، تا: قرن ۱۳، جا؛ تهران؛ مجدول، با سرلوح؛ کاغذ: فستقی جلد: روغنی مقوایی با گل و بوته، ۱۷۰، ۱۴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w:t>
      </w:r>
    </w:p>
    <w:p>
      <w:pPr>
        <w:pStyle w:val="BookText"/>
      </w:pPr>
      <w:r>
        <w:rPr>
          <w:rFonts w:ascii="IRNazanin" w:hAnsi="IRNazanin" w:eastAsia="IRNazanin" w:cs="IRNazanin"/>
          <w:lang w:bidi="fa-IR"/>
          <w:color w:val="111111"/>
          <w:sz w:val="28"/>
          <w:szCs w:val="28"/>
          <w:rtl/>
        </w:rPr>
        <w:t xml:space="preserve">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۱-۱۰]</w:t>
      </w:r>
    </w:p>
    <w:p>
      <w:pPr>
        <w:pStyle w:val="BookText"/>
      </w:pPr>
      <w:r>
        <w:rPr>
          <w:rFonts w:ascii="IRNazanin" w:hAnsi="IRNazanin" w:eastAsia="IRNazanin" w:cs="IRNazanin"/>
          <w:lang w:bidi="fa-IR"/>
          <w:color w:val="111111"/>
          <w:sz w:val="28"/>
          <w:szCs w:val="28"/>
          <w:rtl/>
        </w:rPr>
        <w:t xml:space="preserve">تهران؛ دانشگاه؛ شماره نسخه: ۱۷۹۲ف</w:t>
      </w:r>
    </w:p>
    <w:p>
      <w:pPr>
        <w:pStyle w:val="BookText"/>
      </w:pPr>
      <w:r>
        <w:rPr>
          <w:rFonts w:ascii="IRNazanin" w:hAnsi="IRNazanin" w:eastAsia="IRNazanin" w:cs="IRNazanin"/>
          <w:lang w:bidi="fa-IR"/>
          <w:color w:val="111111"/>
          <w:sz w:val="28"/>
          <w:szCs w:val="28"/>
          <w:rtl/>
        </w:rPr>
        <w:t xml:space="preserve">نسخه اصل: همان نسخه بالا [فیلمها ف: ۱-۳۲]</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ملی؛ شماره نسخه:۴۴</w:t>
      </w:r>
    </w:p>
    <w:p>
      <w:pPr>
        <w:pStyle w:val="BookText"/>
      </w:pPr>
      <w:r>
        <w:rPr>
          <w:rFonts w:ascii="IRNazanin" w:hAnsi="IRNazanin" w:eastAsia="IRNazanin" w:cs="IRNazanin"/>
          <w:lang w:bidi="fa-IR"/>
          <w:color w:val="111111"/>
          <w:sz w:val="28"/>
          <w:szCs w:val="28"/>
          <w:rtl/>
        </w:rPr>
        <w:t xml:space="preserve">آغاز و در عین عزت ذليل آرد جز حریم بار گاهش کسی را پناهی نیست و در آن بارگاه احدی را بگستاخی راهی؛ انجام: و خاطر ارادت ذخایر همای شکسته بال از عنایات گوناگون شاهنشاهی خرم و مسرور. تا چه کند شاه و چه گوید قضا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تا چه بود حکم و چه سازد قدر تاریخ ده ساله اول سلطنت فتحعلی شاه است و ابتدا از نسب طائفه قاجار آغاز سخن می کند و پس از بحث در حوادث ایام ده ساله اول سلطنت فتحعلی شاه سخن را در «ذکر عمارت سپهر برین که تاریخ جهان آرا ۶۱۵ در چمن سلطانیه بحكم سلطانی معمور آمده» به پایان می برد؛ خط: نستعلیق خوش، بی کا، تا: قرن ۱۳، جا: تهران؛ کاغذ: فرنگی، جلد: تیماج قرمز، ۲۲۴گ، ۱۶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۱-۳۲ ]</w:t>
      </w:r>
    </w:p>
    <w:p>
      <w:pPr>
        <w:pStyle w:val="BookText"/>
      </w:pPr>
      <w:r>
        <w:rPr>
          <w:rFonts w:ascii="IRNazanin" w:hAnsi="IRNazanin" w:eastAsia="IRNazanin" w:cs="IRNazanin"/>
          <w:lang w:bidi="fa-IR"/>
          <w:color w:val="111111"/>
          <w:sz w:val="28"/>
          <w:szCs w:val="28"/>
          <w:rtl/>
        </w:rPr>
        <w:t xml:space="preserve">تهران؛ دانشگاه؛ شماره نسخه:۱۸۱۶ف</w:t>
      </w:r>
    </w:p>
    <w:p>
      <w:pPr>
        <w:pStyle w:val="BookText"/>
      </w:pPr>
      <w:r>
        <w:rPr>
          <w:rFonts w:ascii="Amiri" w:hAnsi="Amiri" w:eastAsia="Amiri" w:cs="Amiri"/>
          <w:lang w:bidi="ar-SA"/>
          <w:color w:val="111111"/>
          <w:sz w:val="28"/>
          <w:szCs w:val="28"/>
          <w:rtl/>
        </w:rPr>
        <w:t xml:space="preserve">نسخه اصل: همان نسخه بالا [فيلمها ف: ۱-۳۲]</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ملی؛ شماره نسخه: ۲۲۵۹</w:t>
      </w:r>
    </w:p>
    <w:p>
      <w:pPr>
        <w:pStyle w:val="BookText"/>
      </w:pPr>
      <w:r>
        <w:rPr>
          <w:rFonts w:ascii="IRNazanin" w:hAnsi="IRNazanin" w:eastAsia="IRNazanin" w:cs="IRNazanin"/>
          <w:lang w:bidi="fa-IR"/>
          <w:color w:val="111111"/>
          <w:sz w:val="28"/>
          <w:szCs w:val="28"/>
          <w:rtl/>
        </w:rPr>
        <w:t xml:space="preserve">آغاز: برابر؛ انجام: همای شکسته بال از عنایات گوناگون شاهنشاهی خرم و مسرور خط: نسخ، بی کا، تا: قرن ۱۳؛ با سرلوح مذهب، مجدول؛ کاغذ: ترمه، جلد: تیماج قرمز با ترنج و نیم ترنج، ۳۳۵گ، ۱۹سطر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سم [ف: ۵-۳۷۹]</w:t>
      </w:r>
    </w:p>
    <w:p>
      <w:pPr>
        <w:pStyle w:val="BookText"/>
      </w:pPr>
      <w:r>
        <w:rPr>
          <w:rFonts w:ascii="IRNazanin" w:hAnsi="IRNazanin" w:eastAsia="IRNazanin" w:cs="IRNazanin"/>
          <w:lang w:bidi="fa-IR"/>
          <w:color w:val="111111"/>
          <w:sz w:val="28"/>
          <w:szCs w:val="28"/>
          <w:rtl/>
        </w:rPr>
        <w:t xml:space="preserve">۱۰. تهران؛ ملی؛ شماره نسخه: ۲۲۶۲/۲</w:t>
      </w:r>
    </w:p>
    <w:p>
      <w:pPr>
        <w:pStyle w:val="BookText"/>
      </w:pPr>
      <w:r>
        <w:rPr>
          <w:rFonts w:ascii="IRNazanin" w:hAnsi="IRNazanin" w:eastAsia="IRNazanin" w:cs="IRNazanin"/>
          <w:lang w:bidi="fa-IR"/>
          <w:color w:val="111111"/>
          <w:sz w:val="28"/>
          <w:szCs w:val="28"/>
          <w:rtl/>
        </w:rPr>
        <w:t xml:space="preserve">آغاز: برابر، انجام: باغوای خالد پاشا بابان قدم از مرز خویش فراتر نهاد خط: نستعلیق، بی کا، تا: قرن ۱۳؛ افتادگی: انجام؛ کاغذ: فرنگی، جلد: تیماج ماشی با ترنج و نیم ترنج، ۱۶۳ص، ۱۵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۲۹/۵ سم [ف: ۵-۳۸۲]</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مشهد؛ رضوی؛ شماره نسخه: ۲۰۴۸۱</w:t>
      </w:r>
    </w:p>
    <w:p>
      <w:pPr>
        <w:pStyle w:val="BookText"/>
      </w:pPr>
      <w:r>
        <w:rPr>
          <w:rFonts w:ascii="IRNazanin" w:hAnsi="IRNazanin" w:eastAsia="IRNazanin" w:cs="IRNazanin"/>
          <w:lang w:bidi="fa-IR"/>
          <w:color w:val="111111"/>
          <w:sz w:val="28"/>
          <w:szCs w:val="28"/>
          <w:rtl/>
        </w:rPr>
        <w:t xml:space="preserve">آغاز: چون سر کوز اوزلی ایلچی دولت انگلیس در چمن سلطانیه به استدعا و تمنای رویش جوف سردار روس از حضرت خلافت رخصت انصراف به دارالسلطنه تبریز حاصل نموده با جناب قائم مقام میرزا ابوالحسن خان سفير دولت عليه وارد تبریز گردید؛ انجام: شاهنشاه اسلام پناه بر گشاد مکارم خسروانه به اقتضای مروت شاهانه از خونش در گذشته</w:t>
      </w:r>
    </w:p>
    <w:p>
      <w:pPr>
        <w:pStyle w:val="BookText"/>
      </w:pPr>
      <w:r>
        <w:rPr>
          <w:rFonts w:ascii="IRNazanin" w:hAnsi="IRNazanin" w:eastAsia="IRNazanin" w:cs="IRNazanin"/>
          <w:lang w:bidi="fa-IR"/>
          <w:color w:val="111111"/>
          <w:sz w:val="28"/>
          <w:szCs w:val="28"/>
          <w:rtl/>
        </w:rPr>
        <w:t xml:space="preserve">خط: نستعلیق، بی کا، تا: قرن ۱۳؛ افتادگی: آغاز و وسط و انجام؛ مجدول، به خطی جدید در ابتدا نام آن را این چنین نوشته اند: چهان گشای فتحعلیشاه قاجار المتوفی ۱۲۵۰ و مؤلف آن وقایع نگار می باشد که از رجال دولت بوده و ادیب بوده و این کتاب نسخه دره نادری می باشد که کتابی ادبی است»؛ تملك: «سید مصطفی صفایی خوانساری» به تاریخ رمضان ۱۴۰۲ق؛ اهدایی: رهبری، خرداد ۱۳۷۳؛ کاغذ: فرنگی نباتی، جلد: تیماج مشکی،</w:t>
      </w:r>
    </w:p>
    <w:p>
      <w:pPr>
        <w:pStyle w:val="BookText"/>
      </w:pPr>
      <w:r>
        <w:rPr>
          <w:rFonts w:ascii="IRNazanin" w:hAnsi="IRNazanin" w:eastAsia="IRNazanin" w:cs="IRNazanin"/>
          <w:lang w:bidi="fa-IR"/>
          <w:color w:val="111111"/>
          <w:sz w:val="28"/>
          <w:szCs w:val="28"/>
          <w:rtl/>
        </w:rPr>
        <w:t xml:space="preserve">۱۴۱گ، ۱۵ سطر، اندازه: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 اهدائی رهبر: ۸-۳۹۵]</w:t>
      </w:r>
    </w:p>
    <w:p>
      <w:pPr>
        <w:pStyle w:val="BookText"/>
      </w:pPr>
      <w:r>
        <w:rPr>
          <w:rFonts w:ascii="IRNazanin" w:hAnsi="IRNazanin" w:eastAsia="IRNazanin" w:cs="IRNazanin"/>
          <w:lang w:bidi="fa-IR"/>
          <w:color w:val="111111"/>
          <w:sz w:val="28"/>
          <w:szCs w:val="28"/>
          <w:rtl/>
        </w:rPr>
        <w:t xml:space="preserve">۱۲. تهران؛ مجلس؛ شماره نسخه:۸۶۲۳</w:t>
      </w:r>
    </w:p>
    <w:p>
      <w:pPr>
        <w:pStyle w:val="BookText"/>
      </w:pPr>
      <w:r>
        <w:rPr>
          <w:rFonts w:ascii="IRNazanin" w:hAnsi="IRNazanin" w:eastAsia="IRNazanin" w:cs="IRNazanin"/>
          <w:lang w:bidi="fa-IR"/>
          <w:color w:val="111111"/>
          <w:sz w:val="28"/>
          <w:szCs w:val="28"/>
          <w:rtl/>
        </w:rPr>
        <w:t xml:space="preserve">انجام و اکنون شروع به ترتیب وقایع عشره ثانيه کرده شود و شواهد معانی از پرده فکرت به بهترین صورتی خط: نستعلیق، بی کا، تا: قرن ۱۳؛ افتادگی: انجام؛ مصحح، دارای سرلوح مرصع مذهب، مجدول؛ تملک: محمد حسين جلیلی کرمانشاهی به سال ۱۳۲ق؛ جلد: روغنی با ترنج و سرترنج، ۲۷۳ گ، ۱۵ سطر،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۲۸-۱۶۸]</w:t>
      </w:r>
    </w:p>
    <w:p>
      <w:pPr>
        <w:pStyle w:val="BookText"/>
      </w:pPr>
      <w:r>
        <w:rPr>
          <w:rFonts w:ascii="IRNazanin" w:hAnsi="IRNazanin" w:eastAsia="IRNazanin" w:cs="IRNazanin"/>
          <w:lang w:bidi="fa-IR"/>
          <w:color w:val="111111"/>
          <w:sz w:val="28"/>
          <w:szCs w:val="28"/>
          <w:rtl/>
        </w:rPr>
        <w:t xml:space="preserve">۱۳. قم؛ مرعشی؛ شماره نسخه: ۸۱۷۱</w:t>
      </w:r>
    </w:p>
    <w:p>
      <w:pPr>
        <w:pStyle w:val="BookText"/>
      </w:pPr>
      <w:r>
        <w:rPr>
          <w:rFonts w:ascii="IRNazanin" w:hAnsi="IRNazanin" w:eastAsia="IRNazanin" w:cs="IRNazanin"/>
          <w:lang w:bidi="fa-IR"/>
          <w:color w:val="111111"/>
          <w:sz w:val="28"/>
          <w:szCs w:val="28"/>
          <w:rtl/>
        </w:rPr>
        <w:t xml:space="preserve">آغاز: برابر جلد اول؛ خط: نستعلیق، کا: محمد مهدی، تا: شنبه ۲۰ صفر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۱۲۲۶ق؛ جلد: تیماج مشکی، ۱۵۴گ، ۲۰ سطر،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۲۱-۱۵۳]</w:t>
      </w:r>
    </w:p>
    <w:p>
      <w:pPr>
        <w:pStyle w:val="BookText"/>
      </w:pPr>
      <w:r>
        <w:rPr>
          <w:rFonts w:ascii="IRNazanin" w:hAnsi="IRNazanin" w:eastAsia="IRNazanin" w:cs="IRNazanin"/>
          <w:lang w:bidi="fa-IR"/>
          <w:color w:val="111111"/>
          <w:sz w:val="28"/>
          <w:szCs w:val="28"/>
          <w:rtl/>
        </w:rPr>
        <w:t xml:space="preserve">۱۴. تهران؛ سلطنتی؛ شماره نسخه:۷۲۱</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جلد ۲؛ انجام: ذکر محاصره خبوشان و انجام مهام رضا قلیخان ... این کتاب مستطاب مسمى بجهان آرا در مدت ده روز بخامه ارادت ختامه کاتب حضرت سلطانی محمد مهدی حسینی فراهانی صورت تحریر پذیرفت بتاریخ روز چهارشنبه هفتم شهر رجب المرجب سنه ۱۲۳۳. خط: نستعلیق، كا: محمد مهدی حسینی فراهانی ملک الكتاب کاتب حضرت سلطانی، تا: چهارشنبه ۷ رجب ۱۲۳۳ق؛ مجدول، کمند کشی، یک سرلوح مذهب؛ کاغذ: فرنگی آهار مهره، جلد: مقوای روغنی بوم سرنجی رنگ منقش به گل و برگ، ۳۵۶ص، ۱۴ سطر، قطع: وزیری، اندازه: ۲۹/۸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۲۰/۹ سم [ف: ۵-۳۱۷]</w:t>
      </w:r>
    </w:p>
    <w:p>
      <w:pPr>
        <w:pStyle w:val="BookText"/>
      </w:pPr>
      <w:r>
        <w:rPr>
          <w:rFonts w:ascii="IRNazanin" w:hAnsi="IRNazanin" w:eastAsia="IRNazanin" w:cs="IRNazanin"/>
          <w:lang w:bidi="fa-IR"/>
          <w:color w:val="111111"/>
          <w:sz w:val="28"/>
          <w:szCs w:val="28"/>
          <w:rtl/>
        </w:rPr>
        <w:t xml:space="preserve">۱۵. تهران؛ سلطنتی؛ شماره نسخه: ۷۲۰</w:t>
      </w:r>
    </w:p>
    <w:p>
      <w:pPr>
        <w:pStyle w:val="BookText"/>
      </w:pPr>
      <w:r>
        <w:rPr>
          <w:rFonts w:ascii="IRNazanin" w:hAnsi="IRNazanin" w:eastAsia="IRNazanin" w:cs="IRNazanin"/>
          <w:lang w:bidi="fa-IR"/>
          <w:color w:val="111111"/>
          <w:sz w:val="28"/>
          <w:szCs w:val="28"/>
          <w:rtl/>
        </w:rPr>
        <w:t xml:space="preserve">آغاز: بسمله تاریخ جهان آرا مشتمل بر فتوحات و وقایع سی ساله دولت عليه صاحب قران گیتی ستان خلدالله ملکه؛ انجام: ذکر عمارت سپهر برین که در چمن سلطانیه بحكم سلطانی معمور آمده ... این کتاب مستطاب که روزنامه مأثر حضرت صاحبقران گیتی سنان وقایع سی ساله دولت ابد نشانست به تصنيف و انشای بنده وقایع نگار دولت علیه شاهنشاه قاجار محمد صادق مروزی و اهتمام در استكتاب عالیجاه مقرب الخاقان عمده السادات العظام ملک الكتاب میرزا مهدی فراهانی در روز شنبه بیست و دویم شهر ذي حجة الحرام یکهزار و دویست و چهل و دو صورت اتمام و سمت انجام پذیرفت امید که مستحسن خاطر آفتاب مظاهر شاهنشاه اسلام پناه افتاده از راه مرحمت گستری و ذره پروری بقبول آن ابواب اعتبار و افتخار بر چهره فدویان دولت ابد آیت گشاده آید اللهم ابد دولته العليه و خلد خلافته البهيه بمحمد و آله خير البرية.</w:t>
      </w:r>
    </w:p>
    <w:p>
      <w:pPr>
        <w:pStyle w:val="BookText"/>
      </w:pPr>
      <w:r>
        <w:rPr>
          <w:rFonts w:ascii="IRNazanin" w:hAnsi="IRNazanin" w:eastAsia="IRNazanin" w:cs="IRNazanin"/>
          <w:lang w:bidi="fa-IR"/>
          <w:color w:val="111111"/>
          <w:sz w:val="28"/>
          <w:szCs w:val="28"/>
          <w:rtl/>
        </w:rPr>
        <w:t xml:space="preserve">وقایع سی ساله سلطنت فتحعلیشاه قاجار است؛ خط: نستعلیق، كان میرزا مهدی فراهانی ملک الكتاب، تا: شنبه ۲۲ ذیحجه ۱۲۴۲ق؛ مجدول، کمند کشی زرین، یک سرلوح مذهب؛ مهر: ناصر الدین شاه قاجار؛ کاغذ: ترمه فرنگی، جلد: مقوای روغنی بوم سبز چمنی مذهب به اسلیمی و گل و برگ زرین، ۵۳۲ص، ۲۱ سطر، اندازه: ۴۲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 سم [ف: ۵-۳۲۶]</w:t>
      </w:r>
    </w:p>
    <w:p>
      <w:pPr>
        <w:pStyle w:val="BookText"/>
      </w:pPr>
      <w:r>
        <w:rPr>
          <w:rFonts w:ascii="IRNazanin" w:hAnsi="IRNazanin" w:eastAsia="IRNazanin" w:cs="IRNazanin"/>
          <w:lang w:bidi="fa-IR"/>
          <w:color w:val="111111"/>
          <w:sz w:val="28"/>
          <w:szCs w:val="28"/>
          <w:rtl/>
        </w:rPr>
        <w:t xml:space="preserve">۱۶. تهران: مجلس؛ شماره نسخه:۸۲۰۳</w:t>
      </w:r>
    </w:p>
    <w:p>
      <w:pPr>
        <w:pStyle w:val="BookText"/>
      </w:pPr>
      <w:r>
        <w:rPr>
          <w:rFonts w:ascii="IRNazanin" w:hAnsi="IRNazanin" w:eastAsia="IRNazanin" w:cs="IRNazanin"/>
          <w:lang w:bidi="fa-IR"/>
          <w:color w:val="111111"/>
          <w:sz w:val="28"/>
          <w:szCs w:val="28"/>
          <w:rtl/>
        </w:rPr>
        <w:t xml:space="preserve">آغاز: برابر، انجام: از عنایات گواگون شاهنشاهی خرم و مسرور خط: نستعلیق، کا: میرزا مهدی حسینی فراهانی، تا: شنبه ۲۲ ذیحجه ۱۲۴۳ق؛ با سرلوح مذهب منقش زیبا، مجدول، مذهب؛ جلد: مقوای روغنی منقش به گل و برگ الوان، ۴۹۹ ، ۲۱ سطر، اندازه:</w:t>
      </w:r>
    </w:p>
    <w:p>
      <w:pPr>
        <w:pStyle w:val="BookText"/>
      </w:pPr>
      <w:r>
        <w:rPr>
          <w:rFonts w:ascii="IRNazanin" w:hAnsi="IRNazanin" w:eastAsia="IRNazanin" w:cs="IRNazanin"/>
          <w:lang w:bidi="fa-IR"/>
          <w:color w:val="111111"/>
          <w:sz w:val="28"/>
          <w:szCs w:val="28"/>
          <w:rtl/>
        </w:rPr>
        <w:t xml:space="preserve">۴۲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۲۶/۵ سم [ف: ۲۷/۲ -۱۰]</w:t>
      </w:r>
    </w:p>
    <w:p>
      <w:pPr>
        <w:pStyle w:val="BookText"/>
      </w:pPr>
      <w:r>
        <w:rPr>
          <w:rFonts w:ascii="IRNazanin" w:hAnsi="IRNazanin" w:eastAsia="IRNazanin" w:cs="IRNazanin"/>
          <w:lang w:bidi="fa-IR"/>
          <w:color w:val="111111"/>
          <w:sz w:val="28"/>
          <w:szCs w:val="28"/>
          <w:rtl/>
        </w:rPr>
        <w:t xml:space="preserve">۱۷. تهران؛ سلطنتی؛ شماره نسخه:۲۳۵۳</w:t>
      </w:r>
    </w:p>
    <w:p>
      <w:pPr>
        <w:pStyle w:val="BookText"/>
      </w:pPr>
      <w:r>
        <w:rPr>
          <w:rFonts w:ascii="IRNazanin" w:hAnsi="IRNazanin" w:eastAsia="IRNazanin" w:cs="IRNazanin"/>
          <w:lang w:bidi="fa-IR"/>
          <w:color w:val="111111"/>
          <w:sz w:val="28"/>
          <w:szCs w:val="28"/>
          <w:rtl/>
        </w:rPr>
        <w:t xml:space="preserve">آغاز: برابر؛ انجام: ذکر عمارت سپهر برین که در چمن سلطانیه بحكم سلطانی معمور آمده ... این کتاب مستطاب که روزنامه مأثر حضرت صاحبقران گیتی سنان ... به تصنیف و انشای بنده وقایع نگار ...... در استكتاب عالیجاه مقرب الخاقان ... میرزا مهدی الحسینی الفراهانی بتاریخ روز شنبه بیست و دوم شهر ذیحجة الحرام ۱۲۴۳ صورت اتمام و سمت انجام پذیرفت ...</w:t>
      </w:r>
    </w:p>
    <w:p>
      <w:pPr>
        <w:pStyle w:val="BookText"/>
      </w:pPr>
      <w:r>
        <w:rPr>
          <w:rFonts w:ascii="IRNazanin" w:hAnsi="IRNazanin" w:eastAsia="IRNazanin" w:cs="IRNazanin"/>
          <w:lang w:bidi="fa-IR"/>
          <w:color w:val="111111"/>
          <w:sz w:val="28"/>
          <w:szCs w:val="28"/>
          <w:rtl/>
        </w:rPr>
        <w:t xml:space="preserve">خط: نستعلیق، کا: میرزا مهدی حسینی فراهانی ملک الكتاب، تا: شنبه ۲۲ ذیحجه ۱۲۴۳ق؛ مجدول، کمنددار زرین، یک سرلوح مذهب مرصع، یک سرلوح مختصر اکلیلی؛ مهر: ناصر الدین شاه قاجار؛ کاغذ: فستقی، جلد: مقوای روغنی بوم قهوه ای منقش به سه دسته گل الوان با تزیینات بسیار دیگر، ۵۹۴ص، ۲۱ سطر، اندازه: ۴۲/۴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۲۶/۷ سم [ف: ۵-۳۲۹]</w:t>
      </w:r>
    </w:p>
    <w:p>
      <w:pPr>
        <w:pStyle w:val="BookText"/>
      </w:pPr>
      <w:r>
        <w:rPr>
          <w:rFonts w:ascii="IRNazanin" w:hAnsi="IRNazanin" w:eastAsia="IRNazanin" w:cs="IRNazanin"/>
          <w:lang w:bidi="fa-IR"/>
          <w:color w:val="111111"/>
          <w:sz w:val="28"/>
          <w:szCs w:val="28"/>
          <w:rtl/>
        </w:rPr>
        <w:t xml:space="preserve">۱۸. تهران؛ سلطنتی؛ شماره نسخه:۱۷۴۹</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جلد ۲؛ انجام: ذکر محاصره خبوشان و انجام مهام رضا قلیخان ... خط: نستعلیق، بی کا، بی تا؛ مجدول، کمند کشی زرین، و رنگین، یک سرلوح مذهب مرصع منقش؛ ۳۰۶ص، ۱۵ سطر، اندازه: ۳۹/۸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سم [ف: ۵-۳۲۸]</w:t>
      </w:r>
    </w:p>
    <w:p>
      <w:pPr>
        <w:pStyle w:val="BookText"/>
      </w:pPr>
      <w:r>
        <w:rPr>
          <w:rFonts w:ascii="IRNazanin" w:hAnsi="IRNazanin" w:eastAsia="IRNazanin" w:cs="IRNazanin"/>
          <w:lang w:bidi="fa-IR"/>
          <w:color w:val="111111"/>
          <w:sz w:val="28"/>
          <w:szCs w:val="28"/>
          <w:rtl/>
        </w:rPr>
        <w:t xml:space="preserve">۱۹. قم؛ فیضیه؛ شماره نسخه: ۱۰۵۲</w:t>
      </w:r>
    </w:p>
    <w:p>
      <w:pPr>
        <w:pStyle w:val="BookText"/>
      </w:pPr>
      <w:r>
        <w:rPr>
          <w:rFonts w:ascii="IRNazanin" w:hAnsi="IRNazanin" w:eastAsia="IRNazanin" w:cs="IRNazanin"/>
          <w:lang w:bidi="fa-IR"/>
          <w:color w:val="111111"/>
          <w:sz w:val="28"/>
          <w:szCs w:val="28"/>
          <w:rtl/>
        </w:rPr>
        <w:t xml:space="preserve">آغاز: دریغا که از دور گردون فتاد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چنان سلک جمعیتی ز انتظام؛ انجام: زماه رجب تا به سلخ صيام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مرین نامه نامور شد تمام ... خط: نستعلیق، بی کا، بی تا، افتادگی: آغاز و انجام؛ ۱۳۶، ۹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۲-۴۵]</w:t>
      </w:r>
    </w:p>
    <w:p>
      <w:pPr>
        <w:pStyle w:val="BookText"/>
      </w:pPr>
      <w:r>
        <w:rPr>
          <w:rFonts w:ascii="IRNazanin" w:hAnsi="IRNazanin" w:eastAsia="IRNazanin" w:cs="IRNazanin"/>
          <w:lang w:bidi="fa-IR"/>
          <w:color w:val="111111"/>
          <w:sz w:val="28"/>
          <w:szCs w:val="28"/>
          <w:rtl/>
        </w:rPr>
        <w:t xml:space="preserve">۲۰. تهران؛ سلطنتی؛ شماره نسخه:۷۱۹</w:t>
      </w:r>
    </w:p>
    <w:p>
      <w:pPr>
        <w:pStyle w:val="BookText"/>
      </w:pPr>
      <w:r>
        <w:rPr>
          <w:rFonts w:ascii="IRNazanin" w:hAnsi="IRNazanin" w:eastAsia="IRNazanin" w:cs="IRNazanin"/>
          <w:lang w:bidi="fa-IR"/>
          <w:color w:val="111111"/>
          <w:sz w:val="28"/>
          <w:szCs w:val="28"/>
          <w:rtl/>
        </w:rPr>
        <w:t xml:space="preserve">آغاز: برابر؛ انجام: منت خدایرا از یمن اقبال بیزوال خسرو عدیم المثال وقایع و آثار ده ساله خلافت کبری ...... انجام پذیرفته آمد ... . اکنون شروع به ترتیب وقایع عشره ثانيه کرده شود ... امید ... که از عنایت گوناگون شاهنشاهی خرم و مسرور. تا چند کند شاه و</w:t>
      </w:r>
    </w:p>
    <w:p>
      <w:pPr>
        <w:pStyle w:val="BookText"/>
      </w:pPr>
      <w:r>
        <w:rPr>
          <w:rFonts w:ascii="IRNazanin" w:hAnsi="IRNazanin" w:eastAsia="IRNazanin" w:cs="IRNazanin"/>
          <w:lang w:bidi="fa-IR"/>
          <w:color w:val="111111"/>
          <w:sz w:val="28"/>
          <w:szCs w:val="28"/>
          <w:rtl/>
        </w:rPr>
        <w:t xml:space="preserve">چه گوید قضا*** یا چه بود حكم و چه سازد قدر خط: نستعلیق، بی کا، بی تا؛ به سالهای ۱۲۸۲ و ۱۳۲۲ به ترتیب از عرض گذشته، یادداشتی راجع به تألیف این تاریخ به امضای عباسقلی سپهر، مجدول، کمند کشی زرین، یک سرلوح مذهب مختصر؛ مهر: ناصر الدین شاه قاجار؛ کاغذ: فرنگی آهار مهره، جلد: مقوای روغنی بوم گلی رنگ منقش به گل و برگ های مختلف الوان و تزیینات بسیار دیگر، ۵۶۹ص، ۱۵ سطر، قطع: وزیری، اندازه: ۲۰/۸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۳۰سم [ف: ۵-۳۲۳]</w:t>
      </w:r>
    </w:p>
    <w:p>
      <w:pPr>
        <w:pStyle w:val="BookText"/>
      </w:pPr>
      <w:r>
        <w:rPr>
          <w:rFonts w:ascii="IRNazanin" w:hAnsi="IRNazanin" w:eastAsia="IRNazanin" w:cs="IRNazanin"/>
          <w:lang w:bidi="fa-IR"/>
          <w:color w:val="111111"/>
          <w:sz w:val="28"/>
          <w:szCs w:val="28"/>
          <w:rtl/>
        </w:rPr>
        <w:t xml:space="preserve">۲۱. تهران؛ سلطنتی؛ شماره نسخه: ۱۷۶۱</w:t>
      </w:r>
    </w:p>
    <w:p>
      <w:pPr>
        <w:pStyle w:val="BookText"/>
      </w:pPr>
      <w:r>
        <w:rPr>
          <w:rFonts w:ascii="IRNazanin" w:hAnsi="IRNazanin" w:eastAsia="IRNazanin" w:cs="IRNazanin"/>
          <w:lang w:bidi="fa-IR"/>
          <w:color w:val="111111"/>
          <w:sz w:val="28"/>
          <w:szCs w:val="28"/>
          <w:rtl/>
        </w:rPr>
        <w:t xml:space="preserve">آغاز: برابر، انجام: منت خدایرا از یمن اقبال بیزوال خسرو عدیم المثال وقایع و آثار ده ساله خلافت کبری ... انجام پذیرفته آمد .... اکنون شروع به ترتیب وقایع عشره ثانيه کرده شود ... امید ... که از عنایت گوناگون شاهنشاهی خرم و مسرور. تا چند کند شاه و چه گوید قضا *** یا چه بود حكم و چه سازد قدر</w:t>
      </w:r>
    </w:p>
    <w:p>
      <w:pPr>
        <w:pStyle w:val="BookText"/>
      </w:pPr>
      <w:r>
        <w:rPr>
          <w:rFonts w:ascii="IRNazanin" w:hAnsi="IRNazanin" w:eastAsia="IRNazanin" w:cs="IRNazanin"/>
          <w:lang w:bidi="fa-IR"/>
          <w:color w:val="111111"/>
          <w:sz w:val="28"/>
          <w:szCs w:val="28"/>
          <w:rtl/>
        </w:rPr>
        <w:t xml:space="preserve">خط: نستعلیق، بی کا، بی تا؛ مجدول؛ مهر: ناصرالدین شاه قاجار، مشير السلطنه ۱۳۲۲ق؛ کاغذ: فستقی، جلد: مقوای روغنی بوم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440" w:name="pg20363_209744"/>
    <w:bookmarkEnd w:id="440"/>
    <w:p>
      <w:pPr>
        <w:pStyle w:val="BookText"/>
      </w:pPr>
      <w:r>
        <w:rPr>
          <w:rFonts w:ascii="IRNazanin" w:hAnsi="IRNazanin" w:eastAsia="IRNazanin" w:cs="IRNazanin"/>
          <w:lang w:bidi="fa-IR"/>
          <w:color w:val="111111"/>
          <w:sz w:val="28"/>
          <w:szCs w:val="28"/>
          <w:rtl/>
        </w:rPr>
        <w:t xml:space="preserve">گلی رنگ منقش به گل و برگ های با تزیینات بسیار دیگر، ۶۱۶ص، ۱۵ سطر، قطع: وزیری، اندازه: 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۳۰سم [ف: ۵-۳۲۵]</w:t>
      </w:r>
    </w:p>
    <w:p>
      <w:pPr>
        <w:pStyle w:val="BookText"/>
      </w:pPr>
      <w:r>
        <w:rPr>
          <w:rFonts w:ascii="IRNazanin" w:hAnsi="IRNazanin" w:eastAsia="IRNazanin" w:cs="IRNazanin"/>
          <w:lang w:bidi="fa-IR"/>
          <w:color w:val="111111"/>
          <w:sz w:val="28"/>
          <w:szCs w:val="28"/>
          <w:rtl/>
        </w:rPr>
        <w:t xml:space="preserve">۲۲. تهران؛ سلطنتی؛ شماره نسخه: ۱۷۵۰</w:t>
      </w:r>
    </w:p>
    <w:p>
      <w:pPr>
        <w:pStyle w:val="BookText"/>
      </w:pPr>
      <w:r>
        <w:rPr>
          <w:rFonts w:ascii="IRNazanin" w:hAnsi="IRNazanin" w:eastAsia="IRNazanin" w:cs="IRNazanin"/>
          <w:lang w:bidi="fa-IR"/>
          <w:color w:val="111111"/>
          <w:sz w:val="28"/>
          <w:szCs w:val="28"/>
          <w:rtl/>
        </w:rPr>
        <w:t xml:space="preserve">آغاز: برابر جلد ۲، انجام: ذکر محاصره خبوشان و انجام مهام رضا قلیخان ...</w:t>
      </w:r>
    </w:p>
    <w:p>
      <w:pPr>
        <w:pStyle w:val="BookText"/>
      </w:pPr>
      <w:r>
        <w:rPr>
          <w:rFonts w:ascii="IRNazanin" w:hAnsi="IRNazanin" w:eastAsia="IRNazanin" w:cs="IRNazanin"/>
          <w:lang w:bidi="fa-IR"/>
          <w:color w:val="111111"/>
          <w:sz w:val="28"/>
          <w:szCs w:val="28"/>
          <w:rtl/>
        </w:rPr>
        <w:t xml:space="preserve">خط: نستعلیق، بی کا، بی تا، دارای یادداشت: «جلد ثانی تاریخ جهان آرا که در سنه ۱۲۳۴ هجری با تمام رسیده بنظر اشرف شاهنشاه عالم پناه روحی رسیده است»، یادداشت دیگر «این دو جلد کتاب را مرحوم میرزا محمد صادق وقایع نگار که از قاجار مرو شاهجهان هستند تألیف کرده اند. غلام زاده عباسقلی سپهر ثانی»، مجدول، کمند کشی زرین، یک سرلوح مذهب منقش کاغذ: فرنگی آهار مهره، جلد:مقوای روغنی بوم سرنجی رنگ با تزیینات بسیار، ۲۳۴ ، ۱۵ سطر، اندازه: ۲۹/۸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۲۰/۹ سم [ف: ۵-۳۱۹]</w:t>
      </w:r>
    </w:p>
    <w:p>
      <w:pPr>
        <w:pStyle w:val="BookText"/>
      </w:pPr>
      <w:r>
        <w:rPr>
          <w:rFonts w:ascii="IRNazanin" w:hAnsi="IRNazanin" w:eastAsia="IRNazanin" w:cs="IRNazanin"/>
          <w:lang w:bidi="fa-IR"/>
          <w:color w:val="111111"/>
          <w:sz w:val="28"/>
          <w:szCs w:val="28"/>
          <w:rtl/>
        </w:rPr>
        <w:t xml:space="preserve">۲۳. تهران؛ سلطنتی؛ شماره نسخه:۱۸۲۵</w:t>
      </w:r>
    </w:p>
    <w:p>
      <w:pPr>
        <w:pStyle w:val="BookText"/>
      </w:pPr>
      <w:r>
        <w:rPr>
          <w:rFonts w:ascii="IRNazanin" w:hAnsi="IRNazanin" w:eastAsia="IRNazanin" w:cs="IRNazanin"/>
          <w:lang w:bidi="fa-IR"/>
          <w:color w:val="111111"/>
          <w:sz w:val="28"/>
          <w:szCs w:val="28"/>
          <w:rtl/>
        </w:rPr>
        <w:t xml:space="preserve">آغاز: برابر جلد ۲؛ انجام: ذکر محاصره خبوشان و انجام مهام رضا قلیخان</w:t>
      </w:r>
    </w:p>
    <w:p>
      <w:pPr>
        <w:pStyle w:val="BookText"/>
      </w:pPr>
      <w:r>
        <w:rPr>
          <w:rFonts w:ascii="IRNazanin" w:hAnsi="IRNazanin" w:eastAsia="IRNazanin" w:cs="IRNazanin"/>
          <w:lang w:bidi="fa-IR"/>
          <w:color w:val="111111"/>
          <w:sz w:val="28"/>
          <w:szCs w:val="28"/>
          <w:rtl/>
        </w:rPr>
        <w:t xml:space="preserve">خط: نستعلیق، بی کا، بی تا؛ مجدول، کمند کشی، یک سرلوح مذهب؛ کاغذ: فرنگی آهار مهره، جلد: مقوای روغنی بوم سرنجی رنگ منقش به گل و برگ الوان و تزیینات دیگر، اندازه: ۲۹/۳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سم [ف: ۵-۳۲۲]</w:t>
      </w:r>
    </w:p>
    <w:p>
      <w:pPr>
        <w:pStyle w:val="BookText"/>
      </w:pPr>
      <w:r>
        <w:rPr>
          <w:rFonts w:ascii="IRNazanin" w:hAnsi="IRNazanin" w:eastAsia="IRNazanin" w:cs="IRNazanin"/>
          <w:lang w:bidi="fa-IR"/>
          <w:color w:val="111111"/>
          <w:sz w:val="28"/>
          <w:szCs w:val="28"/>
          <w:rtl/>
        </w:rPr>
        <w:t xml:space="preserve">۲۴. تهران؛ سلطنتی؛ شماره نسخه: ۱۷۶۲</w:t>
      </w:r>
    </w:p>
    <w:p>
      <w:pPr>
        <w:pStyle w:val="BookText"/>
      </w:pPr>
      <w:r>
        <w:rPr>
          <w:rFonts w:ascii="IRNazanin" w:hAnsi="IRNazanin" w:eastAsia="IRNazanin" w:cs="IRNazanin"/>
          <w:lang w:bidi="fa-IR"/>
          <w:color w:val="111111"/>
          <w:sz w:val="28"/>
          <w:szCs w:val="28"/>
          <w:rtl/>
        </w:rPr>
        <w:t xml:space="preserve">آغاز: برابر جلد ۲؛ انجام: ذکر محاصره خبوشان و انجام مهام رضا قلیخان</w:t>
      </w:r>
    </w:p>
    <w:p>
      <w:pPr>
        <w:pStyle w:val="BookText"/>
      </w:pPr>
      <w:r>
        <w:rPr>
          <w:rFonts w:ascii="IRNazanin" w:hAnsi="IRNazanin" w:eastAsia="IRNazanin" w:cs="IRNazanin"/>
          <w:lang w:bidi="fa-IR"/>
          <w:color w:val="111111"/>
          <w:sz w:val="28"/>
          <w:szCs w:val="28"/>
          <w:rtl/>
        </w:rPr>
        <w:t xml:space="preserve">خط: نستعلیق، بی کا، بی تا، کاغذ: فستقی، جلد: مقوای روغنی بوم سرنجی رنگ منقش به گل و برگ با تزیینات بسیار، ۳۳۰ص، ۱۵ سطر، قطع: وزیری، اندازه: ۲۹/۵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۲۰/۸ سم [ف: ۵-۳۲۰ ]</w:t>
      </w:r>
    </w:p>
    <w:p>
      <w:pPr>
        <w:pStyle w:val="BookText"/>
      </w:pPr>
      <w:r>
        <w:rPr>
          <w:rFonts w:ascii="IRNazanin" w:hAnsi="IRNazanin" w:eastAsia="IRNazanin" w:cs="IRNazanin"/>
          <w:lang w:bidi="fa-IR"/>
          <w:color w:val="111111"/>
          <w:sz w:val="28"/>
          <w:szCs w:val="28"/>
          <w:rtl/>
        </w:rPr>
        <w:t xml:space="preserve">۲۵. تهران؛ سلطنتی؛ شماره نسخه:۱۸۰۳</w:t>
      </w:r>
    </w:p>
    <w:p>
      <w:pPr>
        <w:pStyle w:val="BookText"/>
      </w:pPr>
      <w:r>
        <w:rPr>
          <w:rFonts w:ascii="IRNazanin" w:hAnsi="IRNazanin" w:eastAsia="IRNazanin" w:cs="IRNazanin"/>
          <w:lang w:bidi="fa-IR"/>
          <w:color w:val="111111"/>
          <w:sz w:val="28"/>
          <w:szCs w:val="28"/>
          <w:rtl/>
        </w:rPr>
        <w:t xml:space="preserve">آغاز: برابر جلد ۲؛</w:t>
      </w:r>
    </w:p>
    <w:p>
      <w:pPr>
        <w:pStyle w:val="BookText"/>
      </w:pPr>
      <w:r>
        <w:rPr>
          <w:rFonts w:ascii="IRNazanin" w:hAnsi="IRNazanin" w:eastAsia="IRNazanin" w:cs="IRNazanin"/>
          <w:lang w:bidi="fa-IR"/>
          <w:color w:val="111111"/>
          <w:sz w:val="28"/>
          <w:szCs w:val="28"/>
          <w:rtl/>
        </w:rPr>
        <w:t xml:space="preserve">خط: نستعلیق، بی کا، بی تا؛ کاغذ: فستقی، اندازه: ۳/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۲۹/۵ سم [ف: ۵-۳۲۱]</w:t>
      </w:r>
    </w:p>
    <w:p>
      <w:pPr>
        <w:pStyle w:val="Heading3"/>
      </w:pPr>
      <w:bookmarkStart w:id="2213" w:name="_Toc1473"/>
      <w:r>
        <w:t>• تاریخ جهان گشا = تاریخ جهانگشای = جهانگشای جوینی / تاریخ ایران / فارسی</w:t>
      </w:r>
      <w:bookmarkEnd w:id="2213"/>
    </w:p>
    <w:p>
      <w:pPr>
        <w:pStyle w:val="BookText"/>
      </w:pPr>
      <w:r>
        <w:rPr>
          <w:rFonts w:ascii="Times New Roman" w:hAnsi="Times New Roman" w:eastAsia="Times New Roman" w:cs="Times New Roman"/>
          <w:lang w:val="en-US" w:bidi="en-US"/>
          <w:color w:val="111111"/>
          <w:sz w:val="28"/>
          <w:szCs w:val="28"/>
          <w:rtl/>
        </w:rPr>
        <w:t xml:space="preserve">tārīx-e jahān-gošā = tārīx-e jahāngošāy = jahāngošā-ye joveynī</w:t>
      </w:r>
    </w:p>
    <w:p>
      <w:pPr>
        <w:pStyle w:val="BookText"/>
      </w:pPr>
      <w:r>
        <w:rPr>
          <w:rFonts w:ascii="IRNazanin" w:hAnsi="IRNazanin" w:eastAsia="IRNazanin" w:cs="IRNazanin"/>
          <w:lang w:bidi="fa-IR"/>
          <w:color w:val="111111"/>
          <w:sz w:val="28"/>
          <w:szCs w:val="28"/>
          <w:rtl/>
        </w:rPr>
        <w:t xml:space="preserve">؟ جوینی، عطا ملک بن محمد، ۶۲۳-۶۸۱؟ قمری</w:t>
      </w:r>
    </w:p>
    <w:p>
      <w:pPr>
        <w:pStyle w:val="BookText"/>
      </w:pPr>
      <w:r>
        <w:rPr>
          <w:rFonts w:ascii="Times New Roman" w:hAnsi="Times New Roman" w:eastAsia="Times New Roman" w:cs="Times New Roman"/>
          <w:lang w:val="en-US" w:bidi="en-US"/>
          <w:color w:val="111111"/>
          <w:sz w:val="28"/>
          <w:szCs w:val="28"/>
          <w:rtl/>
        </w:rPr>
        <w:t xml:space="preserve">joveynī, ‘atā malek ebn-e mohammad (1227-1283)</w:t>
      </w:r>
    </w:p>
    <w:p>
      <w:pPr>
        <w:pStyle w:val="BookText"/>
      </w:pPr>
      <w:r>
        <w:rPr>
          <w:rFonts w:ascii="IRNazanin" w:hAnsi="IRNazanin" w:eastAsia="IRNazanin" w:cs="IRNazanin"/>
          <w:lang w:bidi="fa-IR"/>
          <w:color w:val="111111"/>
          <w:sz w:val="28"/>
          <w:szCs w:val="28"/>
          <w:rtl/>
        </w:rPr>
        <w:t xml:space="preserve">تاریخ تأليف: ۶۵۸ق</w:t>
      </w:r>
    </w:p>
    <w:p>
      <w:pPr>
        <w:pStyle w:val="BookText"/>
      </w:pPr>
      <w:r>
        <w:rPr>
          <w:rFonts w:ascii="IRNazanin" w:hAnsi="IRNazanin" w:eastAsia="IRNazanin" w:cs="IRNazanin"/>
          <w:lang w:bidi="fa-IR"/>
          <w:color w:val="111111"/>
          <w:sz w:val="28"/>
          <w:szCs w:val="28"/>
          <w:rtl/>
        </w:rPr>
        <w:t xml:space="preserve">در تاریخ مغول و سلاطین خوارزمشاهیه و دیگر وقایع تا سال</w:t>
      </w:r>
    </w:p>
    <w:p>
      <w:pPr>
        <w:pStyle w:val="BookText"/>
      </w:pPr>
      <w:r>
        <w:rPr>
          <w:rFonts w:ascii="IRNazanin" w:hAnsi="IRNazanin" w:eastAsia="IRNazanin" w:cs="IRNazanin"/>
          <w:lang w:bidi="fa-IR"/>
          <w:color w:val="111111"/>
          <w:sz w:val="28"/>
          <w:szCs w:val="28"/>
          <w:rtl/>
        </w:rPr>
        <w:t xml:space="preserve">۶۵۵ و تا گشودن بغداد در ۶۵۶ق، در سه جلد. شامل اخبار و وقایع دروان چنگیز و هلاکو خان مغول به زبان فارسی که لغات مغولی و ایغوری بسیار در آن به کار رفته ولی دارای انشائی منشیانه و نثری قابل توجه است به اضافه آنکه کم و کیف اتفاقات و رویدادهای آن زمان بخوبی نمایان است.</w:t>
      </w:r>
    </w:p>
    <w:p>
      <w:pPr>
        <w:pStyle w:val="BookText"/>
      </w:pPr>
      <w:r>
        <w:rPr>
          <w:rFonts w:ascii="IRNazanin" w:hAnsi="IRNazanin" w:eastAsia="IRNazanin" w:cs="IRNazanin"/>
          <w:lang w:bidi="fa-IR"/>
          <w:color w:val="111111"/>
          <w:sz w:val="28"/>
          <w:szCs w:val="28"/>
          <w:rtl/>
        </w:rPr>
        <w:t xml:space="preserve">آغاز: بسمله. سپاس و ثنا معبودی را که واجب الوجودست بسجودی کی وجود او واهب انوار عقل وجود است ... چنین گوید چون در شهور سنة خمسین و ستمائه بخت مطاوعت نمود و سعادت مساعدت کرد ... مع هذا چون بچند نوبت دیار ماوراء النهر و ترکستان تا سر حد ماچین و اقصی چین که مقر سریر مملکت ... چنگیز خان است و واسطه عقد ملک ایشان مطالعه افتاد و بعضی احوال معاینه رفت و از معتبران و مقبول قولان وقایع گذشته را استماع افتاد از التزام اشارت دوستان ... مقرر و محقق گشت در قید کتابت کشید و مجموعه این حکایات را بتاریخ جهانگشای جوینی موسوم گردانید ...</w:t>
      </w:r>
    </w:p>
    <w:p>
      <w:pPr>
        <w:pStyle w:val="BookText"/>
      </w:pPr>
      <w:r>
        <w:rPr>
          <w:rFonts w:ascii="IRNazanin" w:hAnsi="IRNazanin" w:eastAsia="IRNazanin" w:cs="IRNazanin"/>
          <w:lang w:bidi="fa-IR"/>
          <w:color w:val="111111"/>
          <w:sz w:val="28"/>
          <w:szCs w:val="28"/>
          <w:rtl/>
        </w:rPr>
        <w:t xml:space="preserve">چاپ: تهران، به کوشش علامه قزوینی و ادوارد براون، ۱۳۵۵ق؛ تهران، به کوشش سید جلال الدین تهرانی، ۱۳۱۲ش [دنا ۶۹۶/۲ (۴۵ نسخه)؛ الذريعة ۲۴۷/۳ و ۲۴۸ و ۳۰۰/۵</w:t>
      </w:r>
    </w:p>
    <w:p>
      <w:pPr>
        <w:pStyle w:val="BookText"/>
      </w:pPr>
      <w:r>
        <w:rPr>
          <w:rFonts w:ascii="IRNazanin" w:hAnsi="IRNazanin" w:eastAsia="IRNazanin" w:cs="IRNazanin"/>
          <w:lang w:bidi="fa-IR"/>
          <w:color w:val="111111"/>
          <w:sz w:val="28"/>
          <w:szCs w:val="28"/>
          <w:rtl/>
        </w:rPr>
        <w:t xml:space="preserve">؛ فهرستواره منزوی ۹۴۵/۲ و ۹۴۶؛ نسخه های منزوی ۴۳۰۶/۶ ؛ مشار ۱۷ ۱۰۶۸]</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۱- فرهنگ لغات ترکی جغتایی جهانگشای جوینی</w:t>
      </w:r>
    </w:p>
    <w:p>
      <w:pPr>
        <w:pStyle w:val="BookText"/>
      </w:pPr>
      <w:r>
        <w:rPr>
          <w:rFonts w:ascii="IRNazanin" w:hAnsi="IRNazanin" w:eastAsia="IRNazanin" w:cs="IRNazanin"/>
          <w:lang w:bidi="fa-IR"/>
          <w:color w:val="111111"/>
          <w:sz w:val="28"/>
          <w:szCs w:val="28"/>
          <w:rtl/>
        </w:rPr>
        <w:t xml:space="preserve">۱. تهران، دانشگاه؛ شماره نسخه: ۱۸۲-ف</w:t>
      </w:r>
    </w:p>
    <w:p>
      <w:pPr>
        <w:pStyle w:val="BookText"/>
      </w:pPr>
      <w:r>
        <w:rPr>
          <w:rFonts w:ascii="IRNazanin" w:hAnsi="IRNazanin" w:eastAsia="IRNazanin" w:cs="IRNazanin"/>
          <w:lang w:bidi="fa-IR"/>
          <w:color w:val="111111"/>
          <w:sz w:val="28"/>
          <w:szCs w:val="28"/>
          <w:rtl/>
        </w:rPr>
        <w:t xml:space="preserve">نسخه اصل: عمجه حسین پاشا ش ۳۵۹؛ خط: نستعلیق، بی کا، تا:</w:t>
      </w:r>
    </w:p>
    <w:p>
      <w:pPr>
        <w:pStyle w:val="BookText"/>
      </w:pPr>
      <w:r>
        <w:rPr>
          <w:rFonts w:ascii="IRNazanin" w:hAnsi="IRNazanin" w:eastAsia="IRNazanin" w:cs="IRNazanin"/>
          <w:lang w:bidi="fa-IR"/>
          <w:color w:val="111111"/>
          <w:sz w:val="28"/>
          <w:szCs w:val="28"/>
          <w:rtl/>
        </w:rPr>
        <w:t xml:space="preserve">یک شنبه ۱۴ شعبان ۶۹۸ق [فیلمها ف: ۱-۳۳]</w:t>
      </w:r>
    </w:p>
    <w:p>
      <w:pPr>
        <w:pStyle w:val="BookText"/>
      </w:pPr>
      <w:r>
        <w:rPr>
          <w:rFonts w:ascii="IRNazanin" w:hAnsi="IRNazanin" w:eastAsia="IRNazanin" w:cs="IRNazanin"/>
          <w:lang w:bidi="fa-IR"/>
          <w:color w:val="111111"/>
          <w:sz w:val="28"/>
          <w:szCs w:val="28"/>
          <w:rtl/>
        </w:rPr>
        <w:t xml:space="preserve">۲. تهران، دانشگاه؛ شماره نسخه: ۴۰۲۵/۱ -ف</w:t>
      </w:r>
    </w:p>
    <w:p>
      <w:pPr>
        <w:pStyle w:val="BookText"/>
      </w:pPr>
      <w:r>
        <w:rPr>
          <w:rFonts w:ascii="IRNazanin" w:hAnsi="IRNazanin" w:eastAsia="IRNazanin" w:cs="IRNazanin"/>
          <w:lang w:bidi="fa-IR"/>
          <w:color w:val="111111"/>
          <w:sz w:val="28"/>
          <w:szCs w:val="28"/>
          <w:rtl/>
        </w:rPr>
        <w:t xml:space="preserve">نسخه اصل: کتابخانه مجتبی مینوی ۷۷؛ خط: نسخ، كان محمد شاه بن علی بن محمود بن شاد بخت شیخ حافظ اصفهانی کرانی، تا: ۶۹۸ق [فيلمها ف: ۳-۴]</w:t>
      </w:r>
    </w:p>
    <w:p>
      <w:pPr>
        <w:pStyle w:val="BookText"/>
      </w:pPr>
      <w:r>
        <w:rPr>
          <w:rFonts w:ascii="IRNazanin" w:hAnsi="IRNazanin" w:eastAsia="IRNazanin" w:cs="IRNazanin"/>
          <w:lang w:bidi="fa-IR"/>
          <w:color w:val="111111"/>
          <w:sz w:val="28"/>
          <w:szCs w:val="28"/>
          <w:rtl/>
        </w:rPr>
        <w:t xml:space="preserve">٣. تهران: مینوی؛ شماره نسخه: ۷۷/۱</w:t>
      </w:r>
    </w:p>
    <w:p>
      <w:pPr>
        <w:pStyle w:val="BookText"/>
      </w:pPr>
      <w:r>
        <w:rPr>
          <w:rFonts w:ascii="IRNazanin" w:hAnsi="IRNazanin" w:eastAsia="IRNazanin" w:cs="IRNazanin"/>
          <w:lang w:bidi="fa-IR"/>
          <w:color w:val="111111"/>
          <w:sz w:val="28"/>
          <w:szCs w:val="28"/>
          <w:rtl/>
        </w:rPr>
        <w:t xml:space="preserve">هر سه بخش؛ خط: نسخ، كا: محمد شاه بن على بن محمود بن شاد بخت معروف به شیخ حافظ اصفهانی، تا: نیمه ذیقعده ۶۹۸ق، جان محله کران؛ جلد: تیماج عنابی مقوایی (نشریه: ۶-۶۷۹]</w:t>
      </w:r>
    </w:p>
    <w:p>
      <w:pPr>
        <w:pStyle w:val="BookText"/>
      </w:pPr>
      <w:r>
        <w:rPr>
          <w:rFonts w:ascii="IRNazanin" w:hAnsi="IRNazanin" w:eastAsia="IRNazanin" w:cs="IRNazanin"/>
          <w:lang w:bidi="fa-IR"/>
          <w:color w:val="111111"/>
          <w:sz w:val="28"/>
          <w:szCs w:val="28"/>
          <w:rtl/>
        </w:rPr>
        <w:t xml:space="preserve">۴. تهران؛ مجلس؛ شماره نسخه:۱۶۴۲۷</w:t>
      </w:r>
    </w:p>
    <w:p>
      <w:pPr>
        <w:pStyle w:val="BookText"/>
      </w:pPr>
      <w:r>
        <w:rPr>
          <w:rFonts w:ascii="IRNazanin" w:hAnsi="IRNazanin" w:eastAsia="IRNazanin" w:cs="IRNazanin"/>
          <w:lang w:bidi="fa-IR"/>
          <w:color w:val="111111"/>
          <w:sz w:val="28"/>
          <w:szCs w:val="28"/>
          <w:rtl/>
        </w:rPr>
        <w:t xml:space="preserve">بی کا، تا: ۸۱۴ق؛ قطع: وزیری [د.ث. مجلس]</w:t>
      </w:r>
    </w:p>
    <w:p>
      <w:pPr>
        <w:pStyle w:val="BookText"/>
      </w:pPr>
      <w:r>
        <w:rPr>
          <w:rFonts w:ascii="IRNazanin" w:hAnsi="IRNazanin" w:eastAsia="IRNazanin" w:cs="IRNazanin"/>
          <w:lang w:bidi="fa-IR"/>
          <w:color w:val="111111"/>
          <w:sz w:val="28"/>
          <w:szCs w:val="28"/>
          <w:rtl/>
        </w:rPr>
        <w:t xml:space="preserve">۵. تهران؛ مهدوی؛ شماره نسخه: ۶۷/۱</w:t>
      </w:r>
    </w:p>
    <w:p>
      <w:pPr>
        <w:pStyle w:val="BookText"/>
      </w:pPr>
      <w:r>
        <w:rPr>
          <w:rFonts w:ascii="IRNazanin" w:hAnsi="IRNazanin" w:eastAsia="IRNazanin" w:cs="IRNazanin"/>
          <w:lang w:bidi="fa-IR"/>
          <w:color w:val="111111"/>
          <w:sz w:val="28"/>
          <w:szCs w:val="28"/>
          <w:rtl/>
        </w:rPr>
        <w:t xml:space="preserve">هر سه جلد در متن؛ خط: نسخ، بی کا، تا: ۱۴۹ق، کاغذ: سپاهانی [نشریه: ۲-۹۵]</w:t>
      </w:r>
    </w:p>
    <w:p>
      <w:pPr>
        <w:pStyle w:val="BookText"/>
      </w:pPr>
      <w:r>
        <w:rPr>
          <w:rFonts w:ascii="IRNazanin" w:hAnsi="IRNazanin" w:eastAsia="IRNazanin" w:cs="IRNazanin"/>
          <w:lang w:bidi="fa-IR"/>
          <w:color w:val="111111"/>
          <w:sz w:val="28"/>
          <w:szCs w:val="28"/>
          <w:rtl/>
        </w:rPr>
        <w:t xml:space="preserve">. تهران، سپهسالار؛ شماره نسخه: ۲۳۱ صدر</w:t>
      </w:r>
    </w:p>
    <w:p>
      <w:pPr>
        <w:pStyle w:val="BookText"/>
      </w:pPr>
      <w:r>
        <w:rPr>
          <w:rFonts w:ascii="IRNazanin" w:hAnsi="IRNazanin" w:eastAsia="IRNazanin" w:cs="IRNazanin"/>
          <w:lang w:bidi="fa-IR"/>
          <w:color w:val="111111"/>
          <w:sz w:val="28"/>
          <w:szCs w:val="28"/>
          <w:rtl/>
        </w:rPr>
        <w:t xml:space="preserve">کمی از دیباچه افتاده. از چنگیز خان شروع شده.</w:t>
      </w:r>
    </w:p>
    <w:p>
      <w:pPr>
        <w:pStyle w:val="BookText"/>
      </w:pPr>
      <w:r>
        <w:rPr>
          <w:rFonts w:ascii="IRNazanin" w:hAnsi="IRNazanin" w:eastAsia="IRNazanin" w:cs="IRNazanin"/>
          <w:lang w:bidi="fa-IR"/>
          <w:color w:val="111111"/>
          <w:sz w:val="28"/>
          <w:szCs w:val="28"/>
          <w:rtl/>
        </w:rPr>
        <w:t xml:space="preserve">پس از پایان جلد اول هشت برگی از «مشارب التجارب» بیهقی و «جوامع العلوم» رازی در سرگذشت بلكاتكين به فارسی هست و پس از آن اندکی از جلد سوم است که فقط هفت برگ اول آن باقی است؛ خط: نستعلیق، بی کا، تا: قرن ۱۱؛ با یک سرلوح، مجدول؛ واقف: محمد تقی تهرانی، وصی حکمی، در ۱۳۴۳ق، کاغذ: سپاهانی، جلد: تیماج سرخ مقوایی، ۷۶گ، ۲۳ سطر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۲۱/۵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۳۴سم [ف: ۴-۱۳۱]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۷. قم: مرکز احیاء؛ شماره نسخه:۱۸۰۵</w:t>
      </w:r>
    </w:p>
    <w:p>
      <w:pPr>
        <w:pStyle w:val="BookText"/>
      </w:pPr>
      <w:r>
        <w:rPr>
          <w:rFonts w:ascii="IRNazanin" w:hAnsi="IRNazanin" w:eastAsia="IRNazanin" w:cs="IRNazanin"/>
          <w:lang w:bidi="fa-IR"/>
          <w:color w:val="111111"/>
          <w:sz w:val="28"/>
          <w:szCs w:val="28"/>
          <w:rtl/>
        </w:rPr>
        <w:t xml:space="preserve">جلد اول و دوم؛ خط: نستعلیق، بی کا، تا: قرن ۱۱؛ افتادگی: آغاز؛ جلد: تیماج قهوه ای، ۲۸۹گ، ۱۴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۲۲۵-۵ ]</w:t>
      </w:r>
    </w:p>
    <w:p>
      <w:pPr>
        <w:pStyle w:val="BookText"/>
      </w:pPr>
      <w:r>
        <w:rPr>
          <w:rFonts w:ascii="IRNazanin" w:hAnsi="IRNazanin" w:eastAsia="IRNazanin" w:cs="IRNazanin"/>
          <w:lang w:bidi="fa-IR"/>
          <w:color w:val="111111"/>
          <w:sz w:val="28"/>
          <w:szCs w:val="28"/>
          <w:rtl/>
        </w:rPr>
        <w:t xml:space="preserve">۸. تهران: لغت نامه دهخدا، شماره نسخه:۱۰۸</w:t>
      </w:r>
    </w:p>
    <w:p>
      <w:pPr>
        <w:pStyle w:val="BookText"/>
      </w:pPr>
      <w:r>
        <w:rPr>
          <w:rFonts w:ascii="IRNazanin" w:hAnsi="IRNazanin" w:eastAsia="IRNazanin" w:cs="IRNazanin"/>
          <w:lang w:bidi="fa-IR"/>
          <w:color w:val="111111"/>
          <w:sz w:val="28"/>
          <w:szCs w:val="28"/>
          <w:rtl/>
        </w:rPr>
        <w:t xml:space="preserve">خط: نستعلیق، بی کا، تا: ۱۰11ق، تاریخ پایان جلد دوم جمادی الثانی ۱۱ (گویا ۱۰۱۱ یا ۱۰۰۱)؛ جلد: تیماج مشکی یک لا، قطع: خشتی [نشریه: ۳-۷]</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مشهد؛ رضوی؛ شماره نسخه:۴۲۲۲</w:t>
      </w:r>
    </w:p>
    <w:p>
      <w:pPr>
        <w:pStyle w:val="BookText"/>
      </w:pPr>
      <w:r>
        <w:rPr>
          <w:rFonts w:ascii="IRNazanin" w:hAnsi="IRNazanin" w:eastAsia="IRNazanin" w:cs="IRNazanin"/>
          <w:lang w:bidi="fa-IR"/>
          <w:color w:val="111111"/>
          <w:sz w:val="28"/>
          <w:szCs w:val="28"/>
          <w:rtl/>
        </w:rPr>
        <w:t xml:space="preserve">انجام: و نوروز عالم افروز ازین کار بازیب و تزیین فقطع دابر القوم الذين ظلموا.</w:t>
      </w:r>
    </w:p>
    <w:p>
      <w:pPr>
        <w:pStyle w:val="BookText"/>
      </w:pPr>
      <w:r>
        <w:rPr>
          <w:rFonts w:ascii="IRNazanin" w:hAnsi="IRNazanin" w:eastAsia="IRNazanin" w:cs="IRNazanin"/>
          <w:lang w:bidi="fa-IR"/>
          <w:color w:val="111111"/>
          <w:sz w:val="28"/>
          <w:szCs w:val="28"/>
          <w:rtl/>
        </w:rPr>
        <w:t xml:space="preserve">نیمه دوم از جلد سوم؛ خط: نستعلیق، بی کا، تا: قرن ۱۳؛ واقف: نایینی، کاغذ: سفید فرنگی، جلد: تیماج مشکی ضربی، ۲۳۲گ، ۱۶ سطر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۱۴/۶ سم [ف: ۷-۲۹]</w:t>
      </w:r>
    </w:p>
    <w:p>
      <w:pPr>
        <w:pStyle w:val="BookText"/>
      </w:pPr>
      <w:r>
        <w:rPr>
          <w:rFonts w:ascii="IRNazanin" w:hAnsi="IRNazanin" w:eastAsia="IRNazanin" w:cs="IRNazanin"/>
          <w:lang w:bidi="fa-IR"/>
          <w:color w:val="111111"/>
          <w:sz w:val="28"/>
          <w:szCs w:val="28"/>
          <w:rtl/>
        </w:rPr>
        <w:t xml:space="preserve">۱۰. تهران؛ مجلس؛ شماره نسخه: ۲۷۶ - فیروز</w:t>
      </w:r>
    </w:p>
    <w:p>
      <w:pPr>
        <w:pStyle w:val="BookText"/>
      </w:pPr>
      <w:r>
        <w:rPr>
          <w:rFonts w:ascii="IRNazanin" w:hAnsi="IRNazanin" w:eastAsia="IRNazanin" w:cs="IRNazanin"/>
          <w:lang w:bidi="fa-IR"/>
          <w:color w:val="111111"/>
          <w:sz w:val="28"/>
          <w:szCs w:val="28"/>
          <w:rtl/>
        </w:rPr>
        <w:t xml:space="preserve">خط: نسخ، كا: غلامحسین ابو القاسم گلپایگانی، تا: ۱۲۰۸ق؛ کاغذ: فرنگی شکری آهار مهره، جلد: تیماج قرمز، ۴۲۰ص، ۳۲ سطر،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سم [ف: ۲۱-۶۱]</w:t>
      </w:r>
    </w:p>
    <w:p>
      <w:pPr>
        <w:pStyle w:val="BookText"/>
      </w:pPr>
      <w:r>
        <w:rPr>
          <w:rFonts w:ascii="IRNazanin" w:hAnsi="IRNazanin" w:eastAsia="IRNazanin" w:cs="IRNazanin"/>
          <w:lang w:bidi="fa-IR"/>
          <w:color w:val="111111"/>
          <w:sz w:val="28"/>
          <w:szCs w:val="28"/>
          <w:rtl/>
        </w:rPr>
        <w:t xml:space="preserve">۱۱. قم: مرکز احیاء؛ شماره نسخه:۲۰۹۶</w:t>
      </w:r>
    </w:p>
    <w:p>
      <w:pPr>
        <w:pStyle w:val="BookText"/>
      </w:pPr>
      <w:r>
        <w:rPr>
          <w:rFonts w:ascii="IRNazanin" w:hAnsi="IRNazanin" w:eastAsia="IRNazanin" w:cs="IRNazanin"/>
          <w:lang w:bidi="fa-IR"/>
          <w:color w:val="111111"/>
          <w:sz w:val="28"/>
          <w:szCs w:val="28"/>
          <w:rtl/>
        </w:rPr>
        <w:t xml:space="preserve">آغاز: برابر، انجام: ازین فتح مبین است و نوروز عالم افروز ازین کار بازیب و تزیین فقطع دابر القوم الذين ظلموا.</w:t>
      </w:r>
    </w:p>
    <w:p>
      <w:pPr>
        <w:pStyle w:val="BookText"/>
      </w:pPr>
      <w:r>
        <w:rPr>
          <w:rFonts w:ascii="IRNazanin" w:hAnsi="IRNazanin" w:eastAsia="IRNazanin" w:cs="IRNazanin"/>
          <w:lang w:bidi="fa-IR"/>
          <w:color w:val="111111"/>
          <w:sz w:val="28"/>
          <w:szCs w:val="28"/>
          <w:rtl/>
        </w:rPr>
        <w:t xml:space="preserve">خط: نستعلیق، كا: احمد اصفهانی، تا: ۱۲۱۱ق، برای یکی از سلاطین؛ مصحح، مجدول، دارای سرلوح رنگین، در برگ آخر تاریخ جلوس بعضی از سلاطین عثمانی و مدت سلطنت آنان آمده؛ جلد: تیماج قهوه ای ضربی، ۲۱۷گ، ۱۸ سطر،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 محدث [رموی مخ: ۱-۲۷۰]</w:t>
      </w:r>
    </w:p>
    <w:p>
      <w:pPr>
        <w:pStyle w:val="BookText"/>
      </w:pPr>
      <w:r>
        <w:rPr>
          <w:rFonts w:ascii="IRNazanin" w:hAnsi="IRNazanin" w:eastAsia="IRNazanin" w:cs="IRNazanin"/>
          <w:lang w:bidi="fa-IR"/>
          <w:color w:val="111111"/>
          <w:sz w:val="28"/>
          <w:szCs w:val="28"/>
          <w:rtl/>
        </w:rPr>
        <w:t xml:space="preserve">۱۲. قم؛ مدرسه رضویه؛ شماره نسخه:۹</w:t>
      </w:r>
    </w:p>
    <w:p>
      <w:pPr>
        <w:pStyle w:val="BookText"/>
      </w:pPr>
      <w:r>
        <w:rPr>
          <w:rFonts w:ascii="IRNazanin" w:hAnsi="IRNazanin" w:eastAsia="IRNazanin" w:cs="IRNazanin"/>
          <w:lang w:bidi="fa-IR"/>
          <w:color w:val="111111"/>
          <w:sz w:val="28"/>
          <w:szCs w:val="28"/>
          <w:rtl/>
        </w:rPr>
        <w:t xml:space="preserve">خط: نستعلیق، كا: عبدالمطلب شیرازی، تا: دهه دوم ربیع الثانی ۱۲۲۳ق؛ تملك: «افوض امرى الى اله عبده محمد صالح»؛ جلد: سوخته زرکوب، ۱۶۲گ، قطع: رحلی [چند نسخه ف: ۵ ]</w:t>
      </w:r>
    </w:p>
    <w:p>
      <w:pPr>
        <w:pStyle w:val="BookText"/>
      </w:pPr>
      <w:r>
        <w:rPr>
          <w:rFonts w:ascii="IRNazanin" w:hAnsi="IRNazanin" w:eastAsia="IRNazanin" w:cs="IRNazanin"/>
          <w:lang w:bidi="fa-IR"/>
          <w:color w:val="111111"/>
          <w:sz w:val="28"/>
          <w:szCs w:val="28"/>
          <w:rtl/>
        </w:rPr>
        <w:t xml:space="preserve">۱۳. تهران؛ ملی؛ شماره نسخه:۵۳۳</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انجام: غریق رحمت یزدان کسی باد***که کاتب را بالحمدی که ...</w:t>
      </w:r>
    </w:p>
    <w:p>
      <w:pPr>
        <w:pStyle w:val="BookText"/>
      </w:pPr>
      <w:r>
        <w:rPr>
          <w:rFonts w:ascii="IRNazanin" w:hAnsi="IRNazanin" w:eastAsia="IRNazanin" w:cs="IRNazanin"/>
          <w:lang w:bidi="fa-IR"/>
          <w:color w:val="111111"/>
          <w:sz w:val="28"/>
          <w:szCs w:val="28"/>
          <w:rtl/>
        </w:rPr>
        <w:t xml:space="preserve">جلد اول؛ خط: نستعلیق، بی کا، تا: ۱۲۳۰ق، جان محتملا تهران؛ مجدول؛ کاغذ: فرنگی، جلد: ساغری سیاه، زر و سیاه، ۲۲۹گ، 19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 اندازه:</w:t>
      </w:r>
    </w:p>
    <w:p>
      <w:pPr>
        <w:pStyle w:val="BookText"/>
      </w:pPr>
      <w:r>
        <w:rPr>
          <w:rFonts w:ascii="IRNazanin" w:hAnsi="IRNazanin" w:eastAsia="IRNazanin" w:cs="IRNazanin"/>
          <w:lang w:bidi="fa-IR"/>
          <w:color w:val="111111"/>
          <w:sz w:val="28"/>
          <w:szCs w:val="28"/>
          <w:rtl/>
        </w:rPr>
        <w:t xml:space="preserve">۱۳/۵ ۲۳</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سم [ف: ۲-۲۷]</w:t>
      </w:r>
    </w:p>
    <w:p>
      <w:pPr>
        <w:pStyle w:val="BookText"/>
      </w:pPr>
      <w:r>
        <w:rPr>
          <w:rFonts w:ascii="IRNazanin" w:hAnsi="IRNazanin" w:eastAsia="IRNazanin" w:cs="IRNazanin"/>
          <w:lang w:bidi="fa-IR"/>
          <w:color w:val="111111"/>
          <w:sz w:val="28"/>
          <w:szCs w:val="28"/>
          <w:rtl/>
        </w:rPr>
        <w:t xml:space="preserve">۱۴. تهران؛ ملی؛ شماره نسخه:۲۰۵۳</w:t>
      </w:r>
    </w:p>
    <w:p>
      <w:pPr>
        <w:pStyle w:val="BookText"/>
      </w:pPr>
      <w:r>
        <w:rPr>
          <w:rFonts w:ascii="IRNazanin" w:hAnsi="IRNazanin" w:eastAsia="IRNazanin" w:cs="IRNazanin"/>
          <w:lang w:bidi="fa-IR"/>
          <w:color w:val="111111"/>
          <w:sz w:val="28"/>
          <w:szCs w:val="28"/>
          <w:rtl/>
        </w:rPr>
        <w:t xml:space="preserve">آغاز: برابر؛ انجام: در مضیق زندان از ترس ایشان پیمانه بود که بسر آمد و باری که بسته شد و ذلك ذكرى للذاکرین.</w:t>
      </w:r>
    </w:p>
    <w:p>
      <w:pPr>
        <w:pStyle w:val="BookText"/>
      </w:pPr>
      <w:r>
        <w:rPr>
          <w:rFonts w:ascii="IRNazanin" w:hAnsi="IRNazanin" w:eastAsia="IRNazanin" w:cs="IRNazanin"/>
          <w:lang w:bidi="fa-IR"/>
          <w:color w:val="111111"/>
          <w:sz w:val="28"/>
          <w:szCs w:val="28"/>
          <w:rtl/>
        </w:rPr>
        <w:t xml:space="preserve">خط: نستعلیق، كان محمد مومن جابر می گرایلی، تا: ۱۲۳۰ق، جا: خراسان؛ کاغذ: ترمه، جلد: تیماج قرمز یک لا، ۱۹۷ ، ۲۱ سطر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سم [ف: ۵-۵۲]</w:t>
      </w:r>
    </w:p>
    <w:p>
      <w:pPr>
        <w:pStyle w:val="BookText"/>
      </w:pPr>
      <w:r>
        <w:rPr>
          <w:rFonts w:ascii="IRNazanin" w:hAnsi="IRNazanin" w:eastAsia="IRNazanin" w:cs="IRNazanin"/>
          <w:lang w:bidi="fa-IR"/>
          <w:color w:val="111111"/>
          <w:sz w:val="28"/>
          <w:szCs w:val="28"/>
          <w:rtl/>
        </w:rPr>
        <w:t xml:space="preserve">۱۵. تهران؛ ملی؛ شماره نسخه:۲۹۸۸</w:t>
      </w:r>
    </w:p>
    <w:p>
      <w:pPr>
        <w:pStyle w:val="BookText"/>
      </w:pPr>
      <w:r>
        <w:rPr>
          <w:rFonts w:ascii="IRNazanin" w:hAnsi="IRNazanin" w:eastAsia="IRNazanin" w:cs="IRNazanin"/>
          <w:lang w:bidi="fa-IR"/>
          <w:color w:val="111111"/>
          <w:sz w:val="28"/>
          <w:szCs w:val="28"/>
          <w:rtl/>
        </w:rPr>
        <w:t xml:space="preserve">آغاز: برابر؛ انجام: و نور عالم افروز ازین کار با زیب و تزیین</w:t>
      </w:r>
    </w:p>
    <w:p>
      <w:pPr>
        <w:pStyle w:val="BookText"/>
      </w:pPr>
      <w:r>
        <w:rPr>
          <w:rFonts w:ascii="IRNazanin" w:hAnsi="IRNazanin" w:eastAsia="IRNazanin" w:cs="IRNazanin"/>
          <w:lang w:bidi="fa-IR"/>
          <w:color w:val="111111"/>
          <w:sz w:val="28"/>
          <w:szCs w:val="28"/>
          <w:rtl/>
        </w:rPr>
        <w:t xml:space="preserve">خط: نسخ، بی کا، تا: ۱۲۳۳ق؛ کاغذ: فرنگی، جلد: مقوایی تمام میشن تریاکی، ۱۷۸، ۲۰ سطر ( ۲۲/۵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 اندازه: ۲۹/۵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۶-۷۴۲]</w:t>
      </w:r>
    </w:p>
    <w:p>
      <w:pPr>
        <w:pStyle w:val="BookText"/>
      </w:pPr>
      <w:r>
        <w:rPr>
          <w:rFonts w:ascii="IRNazanin" w:hAnsi="IRNazanin" w:eastAsia="IRNazanin" w:cs="IRNazanin"/>
          <w:lang w:bidi="fa-IR"/>
          <w:color w:val="111111"/>
          <w:sz w:val="28"/>
          <w:szCs w:val="28"/>
          <w:rtl/>
        </w:rPr>
        <w:t xml:space="preserve">۱۶. تهران: مفتاح، شماره نسخه:۵۲۷</w:t>
      </w:r>
    </w:p>
    <w:p>
      <w:pPr>
        <w:pStyle w:val="BookText"/>
      </w:pPr>
      <w:r>
        <w:rPr>
          <w:rFonts w:ascii="IRNazanin" w:hAnsi="IRNazanin" w:eastAsia="IRNazanin" w:cs="IRNazanin"/>
          <w:lang w:bidi="fa-IR"/>
          <w:color w:val="111111"/>
          <w:sz w:val="28"/>
          <w:szCs w:val="28"/>
          <w:rtl/>
        </w:rPr>
        <w:t xml:space="preserve">خط: شکسته نستعلیق و نسخ، بی کا، تا: ۱۷ رمضان ۱۲۳۷ق؛ با سرلوح زرین، مجدول [نشریه: ۷-۱۱۰]</w:t>
      </w:r>
    </w:p>
    <w:p>
      <w:pPr>
        <w:pStyle w:val="BookText"/>
      </w:pPr>
      <w:r>
        <w:rPr>
          <w:rFonts w:ascii="IRNazanin" w:hAnsi="IRNazanin" w:eastAsia="IRNazanin" w:cs="IRNazanin"/>
          <w:lang w:bidi="fa-IR"/>
          <w:color w:val="111111"/>
          <w:sz w:val="28"/>
          <w:szCs w:val="28"/>
          <w:rtl/>
        </w:rPr>
        <w:t xml:space="preserve">۱۷. تهران، ملک، شماره نسخه:۴۱۱۸</w:t>
      </w:r>
    </w:p>
    <w:p>
      <w:pPr>
        <w:pStyle w:val="BookText"/>
      </w:pPr>
      <w:r>
        <w:rPr>
          <w:rFonts w:ascii="IRNazanin" w:hAnsi="IRNazanin" w:eastAsia="IRNazanin" w:cs="IRNazanin"/>
          <w:lang w:bidi="fa-IR"/>
          <w:color w:val="111111"/>
          <w:sz w:val="28"/>
          <w:szCs w:val="28"/>
          <w:rtl/>
        </w:rPr>
        <w:t xml:space="preserve">خط: شکسته نستعلیق، بی کا، تا: ۲۱ ربیع الثانی ۱۲۳۹ق؛ دارای یک سرلوح مذهب، یادداشت محمد بن كاظم بروجردی در ۱۳۲۳؛ کاغذ: کاغذ ترمه اصفهانی، جلد: میشن سیاه ضربی، ۱۹۸ گ، ۱۹ سطر، اندازه: ۱۷/۷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۲۸/۵سم [ف: ۲-۱۹۹]</w:t>
      </w:r>
    </w:p>
    <w:p>
      <w:pPr>
        <w:pStyle w:val="BookText"/>
      </w:pPr>
      <w:r>
        <w:rPr>
          <w:rFonts w:ascii="IRNazanin" w:hAnsi="IRNazanin" w:eastAsia="IRNazanin" w:cs="IRNazanin"/>
          <w:lang w:bidi="fa-IR"/>
          <w:color w:val="111111"/>
          <w:sz w:val="28"/>
          <w:szCs w:val="28"/>
          <w:rtl/>
        </w:rPr>
        <w:t xml:space="preserve">۱۸. تهران؛ ملی؛ شماره نسخه:7</w:t>
      </w:r>
    </w:p>
    <w:p>
      <w:pPr>
        <w:pStyle w:val="BookText"/>
      </w:pPr>
      <w:r>
        <w:rPr>
          <w:rFonts w:ascii="IRNazanin" w:hAnsi="IRNazanin" w:eastAsia="IRNazanin" w:cs="IRNazanin"/>
          <w:lang w:bidi="fa-IR"/>
          <w:color w:val="111111"/>
          <w:sz w:val="28"/>
          <w:szCs w:val="28"/>
          <w:rtl/>
        </w:rPr>
        <w:t xml:space="preserve">آغاز: برابر؛ انجام: و تشویق در دل تمامت خلق عالم تا به چه حد کشیده و از مخاصمت ایشان شب و روز در مضیق زندان از ترس کارد زنان ایشان. تاریخ جهانگشا تمام شد تاریخ جهانگشای جوینی بتاريخ يوم الخميس في خامس عشرین ذي القعده الحرام سنه خمس و اربعین و مأتین بعد الألف، كاتب الحروف الاثم الجانی محمد تقی ابن محمد کاظم الهمدانی، امید اگر سهوی یا خطائی باشد در اصلاح او کوشند سه جلد در یک مجلد؛ خط: نسخ خوش، كا: محمد تقی بن محمد کاظم همدانی، تا: پنج شنبه ۲۵ ذیقعده ۱۲۴۵ق، جا؛ تهران؛ کاغذ: فرنگی فستقی، جلد: تیماج مقوایی، ۱۹۹، ۲۲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w:t>
      </w:r>
    </w:p>
    <w:p>
      <w:pPr>
        <w:pStyle w:val="BookText"/>
      </w:pPr>
      <w:r>
        <w:rPr>
          <w:rFonts w:ascii="IRNazanin" w:hAnsi="IRNazanin" w:eastAsia="IRNazanin" w:cs="IRNazanin"/>
          <w:lang w:bidi="fa-IR"/>
          <w:color w:val="111111"/>
          <w:sz w:val="28"/>
          <w:szCs w:val="28"/>
          <w:rtl/>
        </w:rPr>
        <w:t xml:space="preserve">۱۸/۵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۲۸سم [ف: ۱-۴]</w:t>
      </w:r>
    </w:p>
    <w:p>
      <w:pPr>
        <w:pStyle w:val="BookText"/>
      </w:pPr>
      <w:r>
        <w:rPr>
          <w:rFonts w:ascii="IRNazanin" w:hAnsi="IRNazanin" w:eastAsia="IRNazanin" w:cs="IRNazanin"/>
          <w:lang w:bidi="fa-IR"/>
          <w:color w:val="111111"/>
          <w:sz w:val="28"/>
          <w:szCs w:val="28"/>
          <w:rtl/>
        </w:rPr>
        <w:t xml:space="preserve">۱۹. تهران، سپهسالار؛ شماره نسخه:۱۵۴۱</w:t>
      </w:r>
    </w:p>
    <w:p>
      <w:pPr>
        <w:pStyle w:val="BookText"/>
      </w:pPr>
      <w:r>
        <w:rPr>
          <w:rFonts w:ascii="IRNazanin" w:hAnsi="IRNazanin" w:eastAsia="IRNazanin" w:cs="IRNazanin"/>
          <w:lang w:bidi="fa-IR"/>
          <w:color w:val="111111"/>
          <w:sz w:val="28"/>
          <w:szCs w:val="28"/>
          <w:rtl/>
        </w:rPr>
        <w:t xml:space="preserve">هر سه جزء در یک جلد؛ خط: نستعلیق، كا: ابوطالب، تا: ۲۱ جمادی الاول ۱۲۴۹ق، برای</w:t>
      </w:r>
    </w:p>
    <w:p>
      <w:pPr>
        <w:pStyle w:val="BookText"/>
      </w:pPr>
      <w:r>
        <w:rPr>
          <w:rFonts w:ascii="IRNazanin" w:hAnsi="IRNazanin" w:eastAsia="IRNazanin" w:cs="IRNazanin"/>
          <w:lang w:bidi="fa-IR"/>
          <w:color w:val="111111"/>
          <w:sz w:val="28"/>
          <w:szCs w:val="28"/>
          <w:rtl/>
        </w:rPr>
        <w:t xml:space="preserve">کتابخانه شهریاری؛ یک سرلوح؛ کاغذ: فرنگی کبود، جلد: تیماج مشکی ضربی با ترنج زرد، ۲۴ سطر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سم [ف: ۴-۱۳۱]</w:t>
      </w:r>
    </w:p>
    <w:p>
      <w:pPr>
        <w:pStyle w:val="BookText"/>
      </w:pPr>
      <w:r>
        <w:rPr>
          <w:rFonts w:ascii="IRNazanin" w:hAnsi="IRNazanin" w:eastAsia="IRNazanin" w:cs="IRNazanin"/>
          <w:lang w:bidi="fa-IR"/>
          <w:color w:val="111111"/>
          <w:sz w:val="28"/>
          <w:szCs w:val="28"/>
          <w:rtl/>
        </w:rPr>
        <w:t xml:space="preserve">۲۰. تهران؛ ملک؛ شماره نسخه: ۴۰۸۲</w:t>
      </w:r>
    </w:p>
    <w:p>
      <w:pPr>
        <w:pStyle w:val="BookText"/>
      </w:pPr>
      <w:r>
        <w:rPr>
          <w:rFonts w:ascii="IRNazanin" w:hAnsi="IRNazanin" w:eastAsia="IRNazanin" w:cs="IRNazanin"/>
          <w:lang w:bidi="fa-IR"/>
          <w:color w:val="111111"/>
          <w:sz w:val="28"/>
          <w:szCs w:val="28"/>
          <w:rtl/>
        </w:rPr>
        <w:t xml:space="preserve">خط: شکسته نستعلیق، بی کا، تا: ۲۴ شعبان ۱۲۵۲ق، برای عزالدوله حاکم همدان؛ مجدول؛ کاغذ: کاغذ فستقی، جلد: میشن قهوه ای، ۲۷۹گ، ۲۰ سطر، اندازه: ۲۵/۱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۱۵/۲ سم [ف: ۲-۱۹۹]</w:t>
      </w:r>
    </w:p>
    <w:p>
      <w:pPr>
        <w:pStyle w:val="BookText"/>
      </w:pPr>
      <w:r>
        <w:rPr>
          <w:rFonts w:ascii="IRNazanin" w:hAnsi="IRNazanin" w:eastAsia="IRNazanin" w:cs="IRNazanin"/>
          <w:lang w:bidi="fa-IR"/>
          <w:color w:val="111111"/>
          <w:sz w:val="28"/>
          <w:szCs w:val="28"/>
          <w:rtl/>
        </w:rPr>
        <w:t xml:space="preserve">۲۱. تهران؛ ملی؛ شماره نسخه:۲۰۲۴</w:t>
      </w:r>
    </w:p>
    <w:p>
      <w:pPr>
        <w:pStyle w:val="BookText"/>
      </w:pPr>
      <w:r>
        <w:rPr>
          <w:rFonts w:ascii="IRNazanin" w:hAnsi="IRNazanin" w:eastAsia="IRNazanin" w:cs="IRNazanin"/>
          <w:lang w:bidi="fa-IR"/>
          <w:color w:val="111111"/>
          <w:sz w:val="28"/>
          <w:szCs w:val="28"/>
          <w:rtl/>
        </w:rPr>
        <w:t xml:space="preserve">آغاز: برابر؛ انجام: سپاهیان و تركان بعضی بگریختند و بعضی کشته شدند و بهری ایل گشتند و بكوفه و بصره نرفته ایل شدند و السلام.</w:t>
      </w:r>
    </w:p>
    <w:p>
      <w:pPr>
        <w:pStyle w:val="BookText"/>
      </w:pPr>
      <w:r>
        <w:rPr>
          <w:rFonts w:ascii="IRNazanin" w:hAnsi="IRNazanin" w:eastAsia="IRNazanin" w:cs="IRNazanin"/>
          <w:lang w:bidi="fa-IR"/>
          <w:color w:val="111111"/>
          <w:sz w:val="28"/>
          <w:szCs w:val="28"/>
          <w:rtl/>
        </w:rPr>
        <w:t xml:space="preserve">خط: نستعلیق، بی کا، تا: ۱۲۵۳ق، کاغذ: فرنگی، جلد: تیماج قرمز، ۱۴۱گ، ۲۱سطر (</w:t>
      </w:r>
    </w:p>
    <w:p>
      <w:pPr>
        <w:pStyle w:val="BookText"/>
      </w:pPr>
      <w:r>
        <w:rPr>
          <w:rFonts w:ascii="IRNazanin" w:hAnsi="IRNazanin" w:eastAsia="IRNazanin" w:cs="IRNazanin"/>
          <w:lang w:bidi="fa-IR"/>
          <w:color w:val="111111"/>
          <w:sz w:val="28"/>
          <w:szCs w:val="28"/>
          <w:rtl/>
        </w:rPr>
        <w:t xml:space="preserve">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۲۷/۵سم [ف: ۵-۲۲]</w:t>
      </w:r>
    </w:p>
    <w:p>
      <w:pPr>
        <w:pStyle w:val="BookText"/>
      </w:pPr>
      <w:r>
        <w:rPr>
          <w:rFonts w:ascii="IRNazanin" w:hAnsi="IRNazanin" w:eastAsia="IRNazanin" w:cs="IRNazanin"/>
          <w:lang w:bidi="fa-IR"/>
          <w:color w:val="111111"/>
          <w:sz w:val="28"/>
          <w:szCs w:val="28"/>
          <w:rtl/>
        </w:rPr>
        <w:t xml:space="preserve">۲۲. تهران، دانشگاه؛ شماره نسخه:۲۶۱۶</w:t>
      </w:r>
    </w:p>
    <w:p>
      <w:pPr>
        <w:pStyle w:val="BookText"/>
      </w:pPr>
      <w:r>
        <w:rPr>
          <w:rFonts w:ascii="IRNazanin" w:hAnsi="IRNazanin" w:eastAsia="IRNazanin" w:cs="IRNazanin"/>
          <w:lang w:bidi="fa-IR"/>
          <w:color w:val="111111"/>
          <w:sz w:val="28"/>
          <w:szCs w:val="28"/>
          <w:rtl/>
        </w:rPr>
        <w:t xml:space="preserve">جلد اول؛ خط: نستعلیق خوش، بی کا، تا: ۱۲۵۴ق؛ کاغذ: فرنگی، جلد: تیماج مشکی، ۷۷گ، ۲۴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 اندازه: ۲۱/۵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۹-۱۴۷۶]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۲۳. تهران، دانشگاه؛ شماره نسخه: ۸۳۳۹</w:t>
      </w:r>
    </w:p>
    <w:p>
      <w:pPr>
        <w:pStyle w:val="BookText"/>
      </w:pPr>
      <w:r>
        <w:rPr>
          <w:rFonts w:ascii="IRNazanin" w:hAnsi="IRNazanin" w:eastAsia="IRNazanin" w:cs="IRNazanin"/>
          <w:lang w:bidi="fa-IR"/>
          <w:color w:val="111111"/>
          <w:sz w:val="28"/>
          <w:szCs w:val="28"/>
          <w:rtl/>
        </w:rPr>
        <w:t xml:space="preserve">جلد او ۲؛ خط: نستعلیق، كا: سید حسن تحیت پسر آقا میر عبدالمجيد واعظ اصفهانی، تا: دهه یکم جمادی الاول ۱۲۶۷ق، برای اتابک میرزا میرزا آقا؛ با حواشی قزوینی؛ تملك: عباس اقبال در ۲۸/۱۰/۲۷ ، خریداری قزوینی از او؛ کاغذ: فرنگی، جلد: تیماج تریاکی ضربی، ۱۵۶گ، ۱۸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۱۷-۱۱۳]</w:t>
      </w:r>
    </w:p>
    <w:p>
      <w:pPr>
        <w:pStyle w:val="BookText"/>
      </w:pPr>
      <w:r>
        <w:rPr>
          <w:rFonts w:ascii="IRNazanin" w:hAnsi="IRNazanin" w:eastAsia="IRNazanin" w:cs="IRNazanin"/>
          <w:lang w:bidi="fa-IR"/>
          <w:color w:val="111111"/>
          <w:sz w:val="28"/>
          <w:szCs w:val="28"/>
          <w:rtl/>
        </w:rPr>
        <w:t xml:space="preserve">۲۴. قم؛ مرعشی؛ شماره نسخه:۱۰۹۱۵</w:t>
      </w:r>
    </w:p>
    <w:p>
      <w:pPr>
        <w:pStyle w:val="BookText"/>
      </w:pPr>
      <w:r>
        <w:rPr>
          <w:rFonts w:ascii="IRNazanin" w:hAnsi="IRNazanin" w:eastAsia="IRNazanin" w:cs="IRNazanin"/>
          <w:lang w:bidi="fa-IR"/>
          <w:color w:val="111111"/>
          <w:sz w:val="28"/>
          <w:szCs w:val="28"/>
          <w:rtl/>
        </w:rPr>
        <w:t xml:space="preserve">خط: نستعلیق ممتاز، کا: محمد حسین بن علی علیبادی، تا: ۱۸ ذیحجه ۱۲۷۳ق؛ نسخه هنری، مجدول، دارای سرلوح مرصع؛ قطع: رقعی کوچک (میراث شهاب: س وش ۲-۵]</w:t>
      </w:r>
    </w:p>
    <w:p>
      <w:pPr>
        <w:pStyle w:val="BookText"/>
      </w:pPr>
      <w:r>
        <w:rPr>
          <w:rFonts w:ascii="IRNazanin" w:hAnsi="IRNazanin" w:eastAsia="IRNazanin" w:cs="IRNazanin"/>
          <w:lang w:bidi="fa-IR"/>
          <w:color w:val="111111"/>
          <w:sz w:val="28"/>
          <w:szCs w:val="28"/>
          <w:rtl/>
        </w:rPr>
        <w:t xml:space="preserve">۲۵. اصفهان؛ جابری انصاری؛ شماره نسخه:۲۹</w:t>
      </w:r>
    </w:p>
    <w:p>
      <w:pPr>
        <w:pStyle w:val="BookText"/>
      </w:pPr>
      <w:r>
        <w:rPr>
          <w:rFonts w:ascii="IRNazanin" w:hAnsi="IRNazanin" w:eastAsia="IRNazanin" w:cs="IRNazanin"/>
          <w:lang w:bidi="fa-IR"/>
          <w:color w:val="111111"/>
          <w:sz w:val="28"/>
          <w:szCs w:val="28"/>
          <w:rtl/>
        </w:rPr>
        <w:t xml:space="preserve">خط: نستعلیق، کا: حاجی میرزا علی انصاری، تا: ۱۲۷۴ق [نشریه: ۵۹۶-۶ ]</w:t>
      </w:r>
    </w:p>
    <w:p>
      <w:pPr>
        <w:pStyle w:val="BookText"/>
      </w:pPr>
      <w:r>
        <w:rPr>
          <w:rFonts w:ascii="IRNazanin" w:hAnsi="IRNazanin" w:eastAsia="IRNazanin" w:cs="IRNazanin"/>
          <w:lang w:bidi="fa-IR"/>
          <w:color w:val="111111"/>
          <w:sz w:val="28"/>
          <w:szCs w:val="28"/>
          <w:rtl/>
        </w:rPr>
        <w:t xml:space="preserve">۲۶. تهران؛ مجلس؛ شماره نسخه: ۵۷۰۱</w:t>
      </w:r>
    </w:p>
    <w:p>
      <w:pPr>
        <w:pStyle w:val="BookText"/>
      </w:pPr>
      <w:r>
        <w:rPr>
          <w:rFonts w:ascii="IRNazanin" w:hAnsi="IRNazanin" w:eastAsia="IRNazanin" w:cs="IRNazanin"/>
          <w:lang w:bidi="fa-IR"/>
          <w:color w:val="111111"/>
          <w:sz w:val="28"/>
          <w:szCs w:val="28"/>
          <w:rtl/>
        </w:rPr>
        <w:t xml:space="preserve">آغاز: برابر؛ انجام: و نوروز عالم افروز ازین کار با زیب و تزیین بيقطع دابر القوم الذين ظلموا و الحمدلله رب العالمين. خط: نسخ، بی کا، تا: ۱۲۷۵ق، کاغذ: فرنگی سفید، جلد: روغنی زمینه طلائی حاشیه سرخ و سبز و مشکی، ۲۲۶ص، ۲۶ سطر، قطع: رحلی، اندازه: ۲۱/۵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۳۴سم [ف: ۱۷-۱۵۷]</w:t>
      </w:r>
    </w:p>
    <w:p>
      <w:pPr>
        <w:pStyle w:val="BookText"/>
      </w:pPr>
      <w:r>
        <w:rPr>
          <w:rFonts w:ascii="IRNazanin" w:hAnsi="IRNazanin" w:eastAsia="IRNazanin" w:cs="IRNazanin"/>
          <w:lang w:bidi="fa-IR"/>
          <w:color w:val="111111"/>
          <w:sz w:val="28"/>
          <w:szCs w:val="28"/>
          <w:rtl/>
        </w:rPr>
        <w:t xml:space="preserve">۲۷. یزد؛ صدوقی یزدی؛ شماره نسخه:۱۲۲</w:t>
      </w:r>
    </w:p>
    <w:p>
      <w:pPr>
        <w:pStyle w:val="BookText"/>
      </w:pPr>
      <w:r>
        <w:rPr>
          <w:rFonts w:ascii="IRNazanin" w:hAnsi="IRNazanin" w:eastAsia="IRNazanin" w:cs="IRNazanin"/>
          <w:lang w:bidi="fa-IR"/>
          <w:color w:val="111111"/>
          <w:sz w:val="28"/>
          <w:szCs w:val="28"/>
          <w:rtl/>
        </w:rPr>
        <w:t xml:space="preserve">خط: نسخ خوب، بی کا، تا: ۱۲۸۰ق، جان همدان، به دستور عزالدوله عبدالصمد میرزا، دارای سرلوح دقیق، مصحح، محشی؛ جلد: تیماج قرمز، ۲۷۵ گ، ۲۰ سطر، اندازه: ۲۰/۵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۳۳/۵سم [ف: ۱۰۱]</w:t>
      </w:r>
    </w:p>
    <w:p>
      <w:pPr>
        <w:pStyle w:val="BookText"/>
      </w:pPr>
      <w:r>
        <w:rPr>
          <w:rFonts w:ascii="IRNazanin" w:hAnsi="IRNazanin" w:eastAsia="IRNazanin" w:cs="IRNazanin"/>
          <w:lang w:bidi="fa-IR"/>
          <w:color w:val="111111"/>
          <w:sz w:val="28"/>
          <w:szCs w:val="28"/>
          <w:rtl/>
        </w:rPr>
        <w:t xml:space="preserve">۲۸. تهران؛ ملک؛ شماره نسخه:۳۹۴۸</w:t>
      </w:r>
    </w:p>
    <w:p>
      <w:pPr>
        <w:pStyle w:val="BookText"/>
      </w:pPr>
      <w:r>
        <w:rPr>
          <w:rFonts w:ascii="IRNazanin" w:hAnsi="IRNazanin" w:eastAsia="IRNazanin" w:cs="IRNazanin"/>
          <w:lang w:bidi="fa-IR"/>
          <w:color w:val="111111"/>
          <w:sz w:val="28"/>
          <w:szCs w:val="28"/>
          <w:rtl/>
        </w:rPr>
        <w:t xml:space="preserve">خط: نسخ، بی کا، تا: شعبان ۱۲۸۰ق، جا: اصفهان؛ به فرمان نظام الملک نوری؛ مجدول؛ کاغذ: کاغذ آهار مهره فرنگی، جلد: میشن زرد، ۱۷۱گ، ۲۱ سطر، اندازه:</w:t>
      </w:r>
    </w:p>
    <w:p>
      <w:pPr>
        <w:pStyle w:val="BookText"/>
      </w:pPr>
      <w:r>
        <w:rPr>
          <w:rFonts w:ascii="IRNazanin" w:hAnsi="IRNazanin" w:eastAsia="IRNazanin" w:cs="IRNazanin"/>
          <w:lang w:bidi="fa-IR"/>
          <w:color w:val="111111"/>
          <w:sz w:val="28"/>
          <w:szCs w:val="28"/>
          <w:rtl/>
        </w:rPr>
        <w:t xml:space="preserve">۲۸/۴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۱۷/۸ سم [ف: ۲-۱۹۹ ]</w:t>
      </w:r>
    </w:p>
    <w:p>
      <w:pPr>
        <w:pStyle w:val="BookText"/>
      </w:pPr>
      <w:r>
        <w:rPr>
          <w:rFonts w:ascii="IRNazanin" w:hAnsi="IRNazanin" w:eastAsia="IRNazanin" w:cs="IRNazanin"/>
          <w:lang w:bidi="fa-IR"/>
          <w:color w:val="111111"/>
          <w:sz w:val="28"/>
          <w:szCs w:val="28"/>
          <w:rtl/>
        </w:rPr>
        <w:t xml:space="preserve">۲۹. تهران؛ مجلس؛ شماره نسخه: ۸۹۲ ط</w:t>
      </w:r>
    </w:p>
    <w:p>
      <w:pPr>
        <w:pStyle w:val="BookText"/>
      </w:pPr>
      <w:r>
        <w:rPr>
          <w:rFonts w:ascii="IRNazanin" w:hAnsi="IRNazanin" w:eastAsia="IRNazanin" w:cs="IRNazanin"/>
          <w:lang w:bidi="fa-IR"/>
          <w:color w:val="111111"/>
          <w:sz w:val="28"/>
          <w:szCs w:val="28"/>
          <w:rtl/>
        </w:rPr>
        <w:t xml:space="preserve">آغاز: برابر؛ انجام: تو چنان زی که بمیری برهی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نه چنان زی که بمیری برهند ... نوروز عالم افروز ازین کار با زیب و تزئین فقطع دابر القوم الذين ظلموا و الحمدلله رب العالمین و صلی ...</w:t>
      </w:r>
    </w:p>
    <w:p>
      <w:pPr>
        <w:pStyle w:val="BookText"/>
      </w:pPr>
      <w:r>
        <w:rPr>
          <w:rFonts w:ascii="IRNazanin" w:hAnsi="IRNazanin" w:eastAsia="IRNazanin" w:cs="IRNazanin"/>
          <w:lang w:bidi="fa-IR"/>
          <w:color w:val="111111"/>
          <w:sz w:val="28"/>
          <w:szCs w:val="28"/>
          <w:rtl/>
        </w:rPr>
        <w:t xml:space="preserve">خط: نستعلیق، كا: حسن بن عبدالمجید حسینی واعظ اصفهانی، تان ۱۲۸۰ق؛ کاغذ: فرنگی آهار مهره زر افشان، جلد: تیماج عسلی با ترنج، ۲۰۸گ، ۱۹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۲۸/۵سم [ف: ۲۴/۲-۵۹]</w:t>
      </w:r>
    </w:p>
    <w:p>
      <w:pPr>
        <w:pStyle w:val="BookText"/>
      </w:pPr>
      <w:r>
        <w:rPr>
          <w:rFonts w:ascii="IRNazanin" w:hAnsi="IRNazanin" w:eastAsia="IRNazanin" w:cs="IRNazanin"/>
          <w:lang w:bidi="fa-IR"/>
          <w:color w:val="111111"/>
          <w:sz w:val="28"/>
          <w:szCs w:val="28"/>
          <w:rtl/>
        </w:rPr>
        <w:t xml:space="preserve">۳۰. تهران؛ ملی؛ شماره نسخه:۱۰۵۸</w:t>
      </w:r>
    </w:p>
    <w:p>
      <w:pPr>
        <w:pStyle w:val="BookText"/>
      </w:pPr>
      <w:r>
        <w:rPr>
          <w:rFonts w:ascii="IRNazanin" w:hAnsi="IRNazanin" w:eastAsia="IRNazanin" w:cs="IRNazanin"/>
          <w:lang w:bidi="fa-IR"/>
          <w:color w:val="111111"/>
          <w:sz w:val="28"/>
          <w:szCs w:val="28"/>
          <w:rtl/>
        </w:rPr>
        <w:t xml:space="preserve">آغاز: برابر؛ انجام: و سپاهیان و تركان بعضی بگریختند و بعضی کشته شدند و بهری ایل گشتند و بكوفه و بصره نرفته ایل شدند. از ورق ۱ تا ۱۳۶ جلد اول، از ورق ۱۳۷ تا ۲۸۹ جلد دوم، از ورزق ۲۸۹ تا ۳۸۶ جلد سوم، از ۳۸۷ تا ۳۹۹ شرح فرستادن ایلچی به بغداد از طرف هلاکو برای سر کوبی ملاحده؛ خط: نستعلیق خوش، كا: میر علی شیرازی، تا: ۱۲۸۸ق، جا: محتملا طهران؛ با سرلوح زر، مذهب، مجدول؛ کاغذ: فرنگی، جلد: تیماج مشکی،</w:t>
      </w:r>
    </w:p>
    <w:p>
      <w:pPr>
        <w:pStyle w:val="BookText"/>
      </w:pPr>
      <w:r>
        <w:rPr>
          <w:rFonts w:ascii="IRNazanin" w:hAnsi="IRNazanin" w:eastAsia="IRNazanin" w:cs="IRNazanin"/>
          <w:lang w:bidi="fa-IR"/>
          <w:color w:val="111111"/>
          <w:sz w:val="28"/>
          <w:szCs w:val="28"/>
          <w:rtl/>
        </w:rPr>
        <w:t xml:space="preserve">۳۹۱گ، ۱۴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۳۵/۵سم [ف: ۳-۷۶)</w:t>
      </w:r>
    </w:p>
    <w:p>
      <w:pPr>
        <w:pStyle w:val="BookText"/>
      </w:pPr>
      <w:r>
        <w:rPr>
          <w:rFonts w:ascii="IRNazanin" w:hAnsi="IRNazanin" w:eastAsia="IRNazanin" w:cs="IRNazanin"/>
          <w:lang w:bidi="fa-IR"/>
          <w:color w:val="111111"/>
          <w:sz w:val="28"/>
          <w:szCs w:val="28"/>
          <w:rtl/>
        </w:rPr>
        <w:t xml:space="preserve">۳۱. تهران؛ سلطنتی؛ شماره نسخه: ۱۷۲۹</w:t>
      </w:r>
    </w:p>
    <w:p>
      <w:pPr>
        <w:pStyle w:val="BookText"/>
      </w:pPr>
      <w:r>
        <w:rPr>
          <w:rFonts w:ascii="IRNazanin" w:hAnsi="IRNazanin" w:eastAsia="IRNazanin" w:cs="IRNazanin"/>
          <w:lang w:bidi="fa-IR"/>
          <w:color w:val="111111"/>
          <w:sz w:val="28"/>
          <w:szCs w:val="28"/>
          <w:rtl/>
        </w:rPr>
        <w:t xml:space="preserve">آغاز: برابر؛ انجام: ... ذكر تتمه احوال ركن الدين و انتهاء کار ایشان ... نمقه الداعی ... محمود بن الغفور الحاج محمد خوئی الاصل تبریزی الوصل في شهر ذیقعدة الحرام من شهور سنه ست و تسعين بعد ما تين و الف من الهجرة ... خط: نستعلیق، کا: محمود بن حاج محمد خوئی، تا: ۱۲۹۶ق؛ مهر: کتابخانه علیه دولت ایران ۱۳۲۹؛ مجدول، کمند کشی، یک سرلوح مذهب؛ کاغذ: فرنگی نباتی رنگ، جلد: مقوای روکش تیماج قهوه ای، ۵۳۴ص، 19 سطر، قطع: وزیری، اندازه: ۱۹/۵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۲۶/۵سم [ف: ۵-۹۷]</w:t>
      </w:r>
    </w:p>
    <w:p>
      <w:pPr>
        <w:pStyle w:val="BookText"/>
      </w:pPr>
      <w:r>
        <w:rPr>
          <w:rFonts w:ascii="IRNazanin" w:hAnsi="IRNazanin" w:eastAsia="IRNazanin" w:cs="IRNazanin"/>
          <w:lang w:bidi="fa-IR"/>
          <w:color w:val="111111"/>
          <w:sz w:val="28"/>
          <w:szCs w:val="28"/>
          <w:rtl/>
        </w:rPr>
        <w:t xml:space="preserve">۳۲. تهران؛ ادبیات؛ شماره نسخه: ۱۴۸/۱ - ج</w:t>
      </w:r>
    </w:p>
    <w:p>
      <w:pPr>
        <w:pStyle w:val="BookText"/>
      </w:pPr>
      <w:r>
        <w:rPr>
          <w:rFonts w:ascii="IRNazanin" w:hAnsi="IRNazanin" w:eastAsia="IRNazanin" w:cs="IRNazanin"/>
          <w:lang w:bidi="fa-IR"/>
          <w:color w:val="111111"/>
          <w:sz w:val="28"/>
          <w:szCs w:val="28"/>
          <w:rtl/>
        </w:rPr>
        <w:t xml:space="preserve">سه جلد جهانگشای جوینی است با گفتار خواجه طوسی درباره گشودن بغداد؛ کا: اسدالله بن میرزا عیسی تفرشی، تا: دوشنبه ۱۵ صفر ۱۳۰۳ق؛ کاغذ: فرنگی، جلد: تیماج عنابی ضربی، ۳۰۷گ، ۱۶ سطر (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۱-۶۱]</w:t>
      </w:r>
    </w:p>
    <w:p>
      <w:pPr>
        <w:pStyle w:val="BookText"/>
      </w:pPr>
      <w:r>
        <w:rPr>
          <w:rFonts w:ascii="IRNazanin" w:hAnsi="IRNazanin" w:eastAsia="IRNazanin" w:cs="IRNazanin"/>
          <w:lang w:bidi="fa-IR"/>
          <w:color w:val="111111"/>
          <w:sz w:val="28"/>
          <w:szCs w:val="28"/>
          <w:rtl/>
        </w:rPr>
        <w:t xml:space="preserve">۳۳. تهران؛ ادبیات؛ شماره نسخه: ۲۳۸/۱ - ج</w:t>
      </w:r>
    </w:p>
    <w:p>
      <w:pPr>
        <w:pStyle w:val="BookText"/>
      </w:pPr>
      <w:r>
        <w:rPr>
          <w:rFonts w:ascii="IRNazanin" w:hAnsi="IRNazanin" w:eastAsia="IRNazanin" w:cs="IRNazanin"/>
          <w:lang w:bidi="fa-IR"/>
          <w:color w:val="111111"/>
          <w:sz w:val="28"/>
          <w:szCs w:val="28"/>
          <w:rtl/>
        </w:rPr>
        <w:t xml:space="preserve">از سر گذشت منكوقا آن است تا پایان کار نزاریان؛ خط: نستعلیق، کا: مجتبی مینوی، تا فروردین ۱۳۰۳ق؛ از روی نسخه نوشته سید اسدالله بن میرزا عیسی حسینی تفرشی در ۱۳۰۳ قمری از روی نسخه مورخ ۱۵ ذیقعده ۶۹۸ نوشته شیخ حافظ محمد شاه بن على بن محمود بن شاهد بخت کرانی سپاهانی از روی نسخه صاحب دیوان کاغذ: فرنگی، جلد: گالینگور مقوایی، ۸۵ گ، ۲۱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۱-۶۱]</w:t>
      </w:r>
    </w:p>
    <w:p>
      <w:pPr>
        <w:pStyle w:val="BookText"/>
      </w:pPr>
      <w:r>
        <w:rPr>
          <w:rFonts w:ascii="IRNazanin" w:hAnsi="IRNazanin" w:eastAsia="IRNazanin" w:cs="IRNazanin"/>
          <w:lang w:bidi="fa-IR"/>
          <w:color w:val="111111"/>
          <w:sz w:val="28"/>
          <w:szCs w:val="28"/>
          <w:rtl/>
        </w:rPr>
        <w:t xml:space="preserve">۳۴. تهران؛ نوربخش، شماره نسخه: ۵۲۰/۱</w:t>
      </w:r>
    </w:p>
    <w:p>
      <w:pPr>
        <w:pStyle w:val="BookText"/>
      </w:pPr>
      <w:r>
        <w:rPr>
          <w:rFonts w:ascii="IRNazanin" w:hAnsi="IRNazanin" w:eastAsia="IRNazanin" w:cs="IRNazanin"/>
          <w:lang w:bidi="fa-IR"/>
          <w:color w:val="111111"/>
          <w:sz w:val="28"/>
          <w:szCs w:val="28"/>
          <w:rtl/>
        </w:rPr>
        <w:t xml:space="preserve">آغاز: برابر؛ انجام: پیمانه ای بود که بسر آمد و بادی که می وزید بسته شد.</w:t>
      </w:r>
    </w:p>
    <w:p>
      <w:pPr>
        <w:pStyle w:val="BookText"/>
      </w:pPr>
      <w:r>
        <w:rPr>
          <w:rFonts w:ascii="IRNazanin" w:hAnsi="IRNazanin" w:eastAsia="IRNazanin" w:cs="IRNazanin"/>
          <w:lang w:bidi="fa-IR"/>
          <w:color w:val="111111"/>
          <w:sz w:val="28"/>
          <w:szCs w:val="28"/>
          <w:rtl/>
        </w:rPr>
        <w:t xml:space="preserve">خط: نستعلیق، کا: اسماعيل بن میرزا احمد مستوفی تفرشی، تا: ۲۲ شوال ۱۳۰۵ق؛ کاغذ: فرنگی، جلد: تیماج قرمز، ۷۲۵ص (۲- ۷۲۶)، ۱۶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۲-۱۸۲]</w:t>
      </w:r>
    </w:p>
    <w:p>
      <w:pPr>
        <w:pStyle w:val="BookText"/>
      </w:pPr>
      <w:r>
        <w:rPr>
          <w:rFonts w:ascii="IRNazanin" w:hAnsi="IRNazanin" w:eastAsia="IRNazanin" w:cs="IRNazanin"/>
          <w:lang w:bidi="fa-IR"/>
          <w:color w:val="111111"/>
          <w:sz w:val="28"/>
          <w:szCs w:val="28"/>
          <w:rtl/>
        </w:rPr>
        <w:t xml:space="preserve">۳۵. تهران؛ نوربخش، شماره نسخه:۵۲۰/۳</w:t>
      </w:r>
    </w:p>
    <w:p>
      <w:pPr>
        <w:pStyle w:val="BookText"/>
      </w:pPr>
      <w:r>
        <w:rPr>
          <w:rFonts w:ascii="IRNazanin" w:hAnsi="IRNazanin" w:eastAsia="IRNazanin" w:cs="IRNazanin"/>
          <w:lang w:bidi="fa-IR"/>
          <w:color w:val="111111"/>
          <w:sz w:val="28"/>
          <w:szCs w:val="28"/>
          <w:rtl/>
        </w:rPr>
        <w:t xml:space="preserve">آغاز: وان يمسسك الله بضر ... به حکم آنکه به هر وقتی و زمانی؛ انجام: و امانی عزیزان و دوستان را زندگانی باد و السلام.</w:t>
      </w:r>
    </w:p>
    <w:p>
      <w:pPr>
        <w:pStyle w:val="BookText"/>
      </w:pPr>
      <w:r>
        <w:rPr>
          <w:rFonts w:ascii="IRNazanin" w:hAnsi="IRNazanin" w:eastAsia="IRNazanin" w:cs="IRNazanin"/>
          <w:lang w:bidi="fa-IR"/>
          <w:color w:val="111111"/>
          <w:sz w:val="28"/>
          <w:szCs w:val="28"/>
          <w:rtl/>
        </w:rPr>
        <w:t xml:space="preserve">خلاصه تاریخ جهان گشا؛ خط: نستعلیق، کا: اسماعيل بن میرزا احمد مستوفی تفرشی، تا: ۲ ذیقعده ۱۳۰۵ق، کاغذ: فرنگی، جلد: تیماج قرمز، ۳۳ص (۷۳۲-۷۶۴)، ۱۶سطر، اندازه:</w:t>
      </w:r>
    </w:p>
    <w:p>
      <w:pPr>
        <w:pStyle w:val="BookText"/>
      </w:pPr>
      <w:r>
        <w:rPr>
          <w:rFonts w:ascii="IRNazanin" w:hAnsi="IRNazanin" w:eastAsia="IRNazanin" w:cs="IRNazanin"/>
          <w:lang w:bidi="fa-IR"/>
          <w:color w:val="111111"/>
          <w:sz w:val="28"/>
          <w:szCs w:val="28"/>
          <w:rtl/>
        </w:rPr>
        <w:t xml:space="preserve">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۲-۱۸۳]</w:t>
      </w:r>
    </w:p>
    <w:p>
      <w:pPr>
        <w:pStyle w:val="BookText"/>
      </w:pPr>
      <w:r>
        <w:rPr>
          <w:rFonts w:ascii="IRNazanin" w:hAnsi="IRNazanin" w:eastAsia="IRNazanin" w:cs="IRNazanin"/>
          <w:lang w:bidi="fa-IR"/>
          <w:color w:val="111111"/>
          <w:sz w:val="28"/>
          <w:szCs w:val="28"/>
          <w:rtl/>
        </w:rPr>
        <w:t xml:space="preserve">۳۶. تهران؛ مجلس؛ شماره نسخه: ۹۳۱۱</w:t>
      </w:r>
    </w:p>
    <w:p>
      <w:pPr>
        <w:pStyle w:val="BookText"/>
      </w:pPr>
      <w:r>
        <w:rPr>
          <w:rFonts w:ascii="IRNazanin" w:hAnsi="IRNazanin" w:eastAsia="IRNazanin" w:cs="IRNazanin"/>
          <w:lang w:bidi="fa-IR"/>
          <w:color w:val="111111"/>
          <w:sz w:val="28"/>
          <w:szCs w:val="28"/>
          <w:rtl/>
        </w:rPr>
        <w:t xml:space="preserve">آغاز: برابر، انجام: بسر آمد و بادی می نمود که نشسته شد ذلك ذكرى للذاکرین و کذلک الله يفعل بالظالمين</w:t>
      </w:r>
    </w:p>
    <w:p>
      <w:pPr>
        <w:pStyle w:val="BookText"/>
      </w:pPr>
      <w:r>
        <w:rPr>
          <w:rFonts w:ascii="IRNazanin" w:hAnsi="IRNazanin" w:eastAsia="IRNazanin" w:cs="IRNazanin"/>
          <w:lang w:bidi="fa-IR"/>
          <w:color w:val="111111"/>
          <w:sz w:val="28"/>
          <w:szCs w:val="28"/>
          <w:rtl/>
        </w:rPr>
        <w:t xml:space="preserve">خط: نسخ، كا: محمد بن حسین تبریزی، تا: ۱۳۰۷ق؛ مصحح، رکابه دار، فرهنگ لغات ترکی به کار رفته در کتاب ضمیمه نسخه؛ جلد: تیماج مشکی مجدول، ۲۶۲گ، ۱۹ سطر، اندازه: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441" w:name="pg20363_209747"/>
    <w:bookmarkEnd w:id="441"/>
    <w:p>
      <w:pPr>
        <w:pStyle w:val="BookText"/>
      </w:pPr>
      <w:r>
        <w:rPr>
          <w:rFonts w:ascii="IRNazanin" w:hAnsi="IRNazanin" w:eastAsia="IRNazanin" w:cs="IRNazanin"/>
          <w:lang w:bidi="fa-IR"/>
          <w:color w:val="111111"/>
          <w:sz w:val="28"/>
          <w:szCs w:val="28"/>
          <w:rtl/>
        </w:rPr>
        <w:t xml:space="preserve">۲۸/۵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۳۰-۶۸]</w:t>
      </w:r>
    </w:p>
    <w:p>
      <w:pPr>
        <w:pStyle w:val="BookText"/>
      </w:pPr>
      <w:r>
        <w:rPr>
          <w:rFonts w:ascii="IRNazanin" w:hAnsi="IRNazanin" w:eastAsia="IRNazanin" w:cs="IRNazanin"/>
          <w:lang w:bidi="fa-IR"/>
          <w:color w:val="111111"/>
          <w:sz w:val="28"/>
          <w:szCs w:val="28"/>
          <w:rtl/>
        </w:rPr>
        <w:t xml:space="preserve">۳۷. تهران؛ ادبیات، شماره نسخه:۲۴۹ - ج</w:t>
      </w:r>
    </w:p>
    <w:p>
      <w:pPr>
        <w:pStyle w:val="BookText"/>
      </w:pPr>
      <w:r>
        <w:rPr>
          <w:rFonts w:ascii="IRNazanin" w:hAnsi="IRNazanin" w:eastAsia="IRNazanin" w:cs="IRNazanin"/>
          <w:lang w:bidi="fa-IR"/>
          <w:color w:val="111111"/>
          <w:sz w:val="28"/>
          <w:szCs w:val="28"/>
          <w:rtl/>
        </w:rPr>
        <w:t xml:space="preserve">از جهانگشای چنگیز خان است تا پایان کتاب؛ خط: نستعلیق، كان محمد بركات الله بهوپالی هندی، تا: ۱۳۱۹ق، جا: لندن، برای ادوارد برون؛ از روی نسخه مورخ ۶۵۸/۱۴</w:t>
      </w:r>
    </w:p>
    <w:p>
      <w:pPr>
        <w:pStyle w:val="BookText"/>
      </w:pPr>
      <w:r>
        <w:rPr>
          <w:rFonts w:ascii="IRNazanin" w:hAnsi="IRNazanin" w:eastAsia="IRNazanin" w:cs="IRNazanin"/>
          <w:lang w:bidi="fa-IR"/>
          <w:color w:val="111111"/>
          <w:sz w:val="28"/>
          <w:szCs w:val="28"/>
          <w:rtl/>
        </w:rPr>
        <w:t xml:space="preserve">و مقابله شده با نسخه های موزه بریتانیا ش 155 </w:t>
      </w:r>
      <w:r>
        <w:rPr>
          <w:rFonts w:ascii="Times New Roman" w:hAnsi="Times New Roman" w:eastAsia="Times New Roman" w:cs="Times New Roman"/>
          <w:lang w:val="en-US" w:bidi="en-US"/>
          <w:color w:val="111111"/>
          <w:sz w:val="28"/>
          <w:szCs w:val="28"/>
          <w:rtl/>
        </w:rPr>
        <w:t xml:space="preserve">Or (</w:t>
      </w:r>
      <w:r>
        <w:rPr>
          <w:rFonts w:ascii="IRNazanin" w:hAnsi="IRNazanin" w:eastAsia="IRNazanin" w:cs="IRNazanin"/>
          <w:lang w:bidi="fa-IR"/>
          <w:color w:val="111111"/>
          <w:sz w:val="28"/>
          <w:szCs w:val="28"/>
          <w:rtl/>
        </w:rPr>
        <w:t xml:space="preserve">ریو صفحه ۱۶۰) و دیوان هند؛ کاغذ: فرنگی، جلد: مقوایی عطف تیماج سبز، ۳۷۴، ۲۲ سطر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۱-۶۱]</w:t>
      </w:r>
    </w:p>
    <w:p>
      <w:pPr>
        <w:pStyle w:val="BookText"/>
      </w:pPr>
      <w:r>
        <w:rPr>
          <w:rFonts w:ascii="IRNazanin" w:hAnsi="IRNazanin" w:eastAsia="IRNazanin" w:cs="IRNazanin"/>
          <w:lang w:bidi="fa-IR"/>
          <w:color w:val="111111"/>
          <w:sz w:val="28"/>
          <w:szCs w:val="28"/>
          <w:rtl/>
        </w:rPr>
        <w:t xml:space="preserve">۳۸. تهران؛ ادبیات، شماره نسخه: ۱۴۱/۲ - ب</w:t>
      </w:r>
    </w:p>
    <w:p>
      <w:pPr>
        <w:pStyle w:val="BookText"/>
      </w:pPr>
      <w:r>
        <w:rPr>
          <w:rFonts w:ascii="IRNazanin" w:hAnsi="IRNazanin" w:eastAsia="IRNazanin" w:cs="IRNazanin"/>
          <w:lang w:bidi="fa-IR"/>
          <w:color w:val="111111"/>
          <w:sz w:val="28"/>
          <w:szCs w:val="28"/>
          <w:rtl/>
        </w:rPr>
        <w:t xml:space="preserve">جلد دوم ؛ خط: نسخ، كا: محمد بن عبد الوهاب قزوینی، تا: ۲۳ جمادی الثانی ۱۳۲۵ق؛ ۱۵۵ص [ف: ۱-۶۱]</w:t>
      </w:r>
    </w:p>
    <w:p>
      <w:pPr>
        <w:pStyle w:val="BookText"/>
      </w:pPr>
      <w:r>
        <w:rPr>
          <w:rFonts w:ascii="IRNazanin" w:hAnsi="IRNazanin" w:eastAsia="IRNazanin" w:cs="IRNazanin"/>
          <w:lang w:bidi="fa-IR"/>
          <w:color w:val="111111"/>
          <w:sz w:val="28"/>
          <w:szCs w:val="28"/>
          <w:rtl/>
        </w:rPr>
        <w:t xml:space="preserve">۳۹. تهران؛ ادبیات؛ شماره نسخه: ۱۴۱/۱ - ب</w:t>
      </w:r>
    </w:p>
    <w:p>
      <w:pPr>
        <w:pStyle w:val="BookText"/>
      </w:pPr>
      <w:r>
        <w:rPr>
          <w:rFonts w:ascii="IRNazanin" w:hAnsi="IRNazanin" w:eastAsia="IRNazanin" w:cs="IRNazanin"/>
          <w:lang w:bidi="fa-IR"/>
          <w:color w:val="111111"/>
          <w:sz w:val="28"/>
          <w:szCs w:val="28"/>
          <w:rtl/>
        </w:rPr>
        <w:t xml:space="preserve">جلد یکم؛ خط: نسخ، كا: محمد بن عبدالوهاب قزوینی، تا: ۱۲ ذیقعده ۱۳۳۴ق، برای چاپ آماده کرده بود و دیباچه و حواشی او را دارد؛ کاغذ: فرنگی، جلد: مقوا، ۸۳+۱۴۳ص، ۳۸ سطر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۲۷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۳۷سم [ف: ۱-۶۰]</w:t>
      </w:r>
    </w:p>
    <w:p>
      <w:pPr>
        <w:pStyle w:val="BookText"/>
      </w:pPr>
      <w:r>
        <w:rPr>
          <w:rFonts w:ascii="IRNazanin" w:hAnsi="IRNazanin" w:eastAsia="IRNazanin" w:cs="IRNazanin"/>
          <w:lang w:bidi="fa-IR"/>
          <w:color w:val="111111"/>
          <w:sz w:val="28"/>
          <w:szCs w:val="28"/>
          <w:rtl/>
        </w:rPr>
        <w:t xml:space="preserve">۴۰. تهران؛ ادبیات، شماره نسخه:۱۴۱/۳ - ب</w:t>
      </w:r>
    </w:p>
    <w:p>
      <w:pPr>
        <w:pStyle w:val="BookText"/>
      </w:pPr>
      <w:r>
        <w:rPr>
          <w:rFonts w:ascii="IRNazanin" w:hAnsi="IRNazanin" w:eastAsia="IRNazanin" w:cs="IRNazanin"/>
          <w:lang w:bidi="fa-IR"/>
          <w:color w:val="111111"/>
          <w:sz w:val="28"/>
          <w:szCs w:val="28"/>
          <w:rtl/>
        </w:rPr>
        <w:t xml:space="preserve">جلد سوم؛ خط: نسخ، كا: محمد بن عبدالوهاب قزوینی، تا: ۵ ذیحجه ۱۳۵۱ق؛ ۲۲۸ص (۳۰۱۰۴۶- ۴۳۵+۴۷) [ف: ۱-۶۱]</w:t>
      </w:r>
    </w:p>
    <w:p>
      <w:pPr>
        <w:pStyle w:val="BookText"/>
      </w:pPr>
      <w:r>
        <w:rPr>
          <w:rFonts w:ascii="IRNazanin" w:hAnsi="IRNazanin" w:eastAsia="IRNazanin" w:cs="IRNazanin"/>
          <w:lang w:bidi="fa-IR"/>
          <w:color w:val="111111"/>
          <w:sz w:val="28"/>
          <w:szCs w:val="28"/>
          <w:rtl/>
        </w:rPr>
        <w:t xml:space="preserve">۴۱. تهران؛ سلطنتی؛ شماره نسخہ:۷۵۳</w:t>
      </w:r>
    </w:p>
    <w:p>
      <w:pPr>
        <w:pStyle w:val="BookText"/>
      </w:pPr>
      <w:r>
        <w:rPr>
          <w:rFonts w:ascii="IRNazanin" w:hAnsi="IRNazanin" w:eastAsia="IRNazanin" w:cs="IRNazanin"/>
          <w:lang w:bidi="fa-IR"/>
          <w:color w:val="111111"/>
          <w:sz w:val="28"/>
          <w:szCs w:val="28"/>
          <w:rtl/>
        </w:rPr>
        <w:t xml:space="preserve">آغاز: برابر؛ انجام: ذکر تتمه احوال ركن الدين و انتهای کار ایشان ... و از مخاصمت ایشان شب و روز در مضیق زندان ... پیمانه بود که بسر آمد و بادی می نمود که نشسته شد ... خط: نسخ، بی کا، بی تا؛ کاغذ: بغدادی، جلد: مقوای روکش میشن مشکی،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۵-۹۴]</w:t>
      </w:r>
    </w:p>
    <w:p>
      <w:pPr>
        <w:pStyle w:val="BookText"/>
      </w:pPr>
      <w:r>
        <w:rPr>
          <w:rFonts w:ascii="IRNazanin" w:hAnsi="IRNazanin" w:eastAsia="IRNazanin" w:cs="IRNazanin"/>
          <w:lang w:bidi="fa-IR"/>
          <w:color w:val="111111"/>
          <w:sz w:val="28"/>
          <w:szCs w:val="28"/>
          <w:rtl/>
        </w:rPr>
        <w:t xml:space="preserve">۴۲. تهران؛ سلطنتی؛ شماره نسخه:۷۵۵</w:t>
      </w:r>
    </w:p>
    <w:p>
      <w:pPr>
        <w:pStyle w:val="BookText"/>
      </w:pPr>
      <w:r>
        <w:rPr>
          <w:rFonts w:ascii="IRNazanin" w:hAnsi="IRNazanin" w:eastAsia="IRNazanin" w:cs="IRNazanin"/>
          <w:lang w:bidi="fa-IR"/>
          <w:color w:val="111111"/>
          <w:sz w:val="28"/>
          <w:szCs w:val="28"/>
          <w:rtl/>
        </w:rPr>
        <w:t xml:space="preserve">آغاز: برابر؛ انجام: و جمال الدين تفرسی که یکی از اکابر عراق جمعی معارضان او سبب حد یا از روی حقیقت او را بشنامت قدم موسوم کردند ...</w:t>
      </w:r>
    </w:p>
    <w:p>
      <w:pPr>
        <w:pStyle w:val="BookText"/>
      </w:pPr>
      <w:r>
        <w:rPr>
          <w:rFonts w:ascii="IRNazanin" w:hAnsi="IRNazanin" w:eastAsia="IRNazanin" w:cs="IRNazanin"/>
          <w:lang w:bidi="fa-IR"/>
          <w:color w:val="111111"/>
          <w:sz w:val="28"/>
          <w:szCs w:val="28"/>
          <w:rtl/>
        </w:rPr>
        <w:t xml:space="preserve">خط: نسخ خوب، بی کا، بی تا؛ نسخه متعلق به کتابخانه سلاطين تیموری هندوستان بوده و در حواشی اغلب صفحات حکایات</w:t>
      </w:r>
    </w:p>
    <w:p>
      <w:pPr>
        <w:pStyle w:val="BookText"/>
      </w:pPr>
      <w:r>
        <w:rPr>
          <w:rFonts w:ascii="IRNazanin" w:hAnsi="IRNazanin" w:eastAsia="IRNazanin" w:cs="IRNazanin"/>
          <w:lang w:bidi="fa-IR"/>
          <w:color w:val="111111"/>
          <w:sz w:val="28"/>
          <w:szCs w:val="28"/>
          <w:rtl/>
        </w:rPr>
        <w:t xml:space="preserve">کوتاه و اشعار و احادیثی به قلم های مختلف یادداشت شده به سنوات ۱۱۴۸-۱۱۵۵ق، دارای دو سرلوح مذهب مرصع کار کشمیر، مجدول؛ کاغذ: کشمیری، فاقد جلد، ۴۳۹گ، ۱۹ سطر، قطع : وزیری،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۱۴/۷ سم [ف: ۵-۹۶]</w:t>
      </w:r>
    </w:p>
    <w:p>
      <w:pPr>
        <w:pStyle w:val="BookText"/>
      </w:pPr>
      <w:r>
        <w:rPr>
          <w:rFonts w:ascii="IRNazanin" w:hAnsi="IRNazanin" w:eastAsia="IRNazanin" w:cs="IRNazanin"/>
          <w:lang w:bidi="fa-IR"/>
          <w:color w:val="111111"/>
          <w:sz w:val="28"/>
          <w:szCs w:val="28"/>
          <w:rtl/>
        </w:rPr>
        <w:t xml:space="preserve">۴۳. تهران؛ مهدوی؛ شماره نسخه: ۷۱</w:t>
      </w:r>
    </w:p>
    <w:p>
      <w:pPr>
        <w:pStyle w:val="BookText"/>
      </w:pPr>
      <w:r>
        <w:rPr>
          <w:rFonts w:ascii="IRNazanin" w:hAnsi="IRNazanin" w:eastAsia="IRNazanin" w:cs="IRNazanin"/>
          <w:lang w:bidi="fa-IR"/>
          <w:color w:val="111111"/>
          <w:sz w:val="28"/>
          <w:szCs w:val="28"/>
          <w:rtl/>
        </w:rPr>
        <w:t xml:space="preserve">هر سه جلد؛ خط: نستعلیق، بی کا، تا: ۴۸ [۸]؛ افتادگی: آغاز؛ کاغذ: سپاهانی نشریه: ۲-۶۵]</w:t>
      </w:r>
    </w:p>
    <w:p>
      <w:pPr>
        <w:pStyle w:val="BookText"/>
      </w:pPr>
      <w:r>
        <w:rPr>
          <w:rFonts w:ascii="IRNazanin" w:hAnsi="IRNazanin" w:eastAsia="IRNazanin" w:cs="IRNazanin"/>
          <w:lang w:bidi="fa-IR"/>
          <w:color w:val="111111"/>
          <w:sz w:val="28"/>
          <w:szCs w:val="28"/>
          <w:rtl/>
        </w:rPr>
        <w:t xml:space="preserve">۴۴. تهران: مجلس؛ شماره نسخه:۱۴۱۸۹</w:t>
      </w:r>
    </w:p>
    <w:p>
      <w:pPr>
        <w:pStyle w:val="BookText"/>
      </w:pPr>
      <w:r>
        <w:rPr>
          <w:rFonts w:ascii="IRNazanin" w:hAnsi="IRNazanin" w:eastAsia="IRNazanin" w:cs="IRNazanin"/>
          <w:lang w:bidi="fa-IR"/>
          <w:color w:val="111111"/>
          <w:sz w:val="28"/>
          <w:szCs w:val="28"/>
          <w:rtl/>
        </w:rPr>
        <w:t xml:space="preserve">آغاز: برابر؛ انجام: تشویش در دل تمامت خلق تا به چه حد کشیده و از مخاصمت ایشان شب و روز در مضیق زندان از ترس کار دزدان ایشان تم.</w:t>
      </w:r>
    </w:p>
    <w:p>
      <w:pPr>
        <w:pStyle w:val="BookText"/>
      </w:pPr>
      <w:r>
        <w:rPr>
          <w:rFonts w:ascii="IRNazanin" w:hAnsi="IRNazanin" w:eastAsia="IRNazanin" w:cs="IRNazanin"/>
          <w:lang w:bidi="fa-IR"/>
          <w:color w:val="111111"/>
          <w:sz w:val="28"/>
          <w:szCs w:val="28"/>
          <w:rtl/>
        </w:rPr>
        <w:t xml:space="preserve">از اول کتاب تا وقایع سال ۶۵۵ق؛ خط: نستعلیق، بی کا، بی تاب افتادگی: انجام؛ مجدول زرین و لاجوردی و محرر؛ تملک: بهمن میرزا فرزند عباس میرزا نایب السلطنه با دو مهر «یگانه گوهر دریای خسروی بهمن ۱۲۴۱» (مربع) و «بهمن بن نایب السلطنه عباس</w:t>
      </w:r>
    </w:p>
    <w:p>
      <w:pPr>
        <w:pStyle w:val="BookText"/>
      </w:pPr>
      <w:r>
        <w:rPr>
          <w:rFonts w:ascii="IRNazanin" w:hAnsi="IRNazanin" w:eastAsia="IRNazanin" w:cs="IRNazanin"/>
          <w:lang w:bidi="fa-IR"/>
          <w:color w:val="111111"/>
          <w:sz w:val="28"/>
          <w:szCs w:val="28"/>
          <w:rtl/>
        </w:rPr>
        <w:t xml:space="preserve">میرزای قاجار ۱۲۵۱» (مربع)؛ یادداشتی از محمد کبیر موسوی مبنی بر هدیه نسخ از طرف فرزند بهمن میرزا به وی با مهر «محمد کبیر الموسوي ۱۳۰۹»؛ جلد: تیماج مشکی، ۱۴۰ گی، ۲۵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[ف: ۳۸-۲۵۰]</w:t>
      </w:r>
    </w:p>
    <w:p>
      <w:pPr>
        <w:pStyle w:val="BookText"/>
      </w:pPr>
      <w:r>
        <w:rPr>
          <w:rFonts w:ascii="IRNazanin" w:hAnsi="IRNazanin" w:eastAsia="IRNazanin" w:cs="IRNazanin"/>
          <w:lang w:bidi="fa-IR"/>
          <w:color w:val="111111"/>
          <w:sz w:val="28"/>
          <w:szCs w:val="28"/>
          <w:rtl/>
        </w:rPr>
        <w:t xml:space="preserve">←تاریخ جهانگشای ← تاریخ جهان گشا</w:t>
      </w:r>
    </w:p>
    <w:p>
      <w:pPr>
        <w:pStyle w:val="BookText"/>
      </w:pPr>
      <w:r>
        <w:rPr>
          <w:rFonts w:ascii="IRNazanin" w:hAnsi="IRNazanin" w:eastAsia="IRNazanin" w:cs="IRNazanin"/>
          <w:lang w:bidi="fa-IR"/>
          <w:color w:val="111111"/>
          <w:sz w:val="28"/>
          <w:szCs w:val="28"/>
          <w:rtl/>
        </w:rPr>
        <w:t xml:space="preserve">← تاریخ جهانگشای نادری ← جهانگشای نادری</w:t>
      </w:r>
    </w:p>
    <w:p>
      <w:pPr>
        <w:pStyle w:val="BookText"/>
      </w:pPr>
      <w:r>
        <w:rPr>
          <w:rFonts w:ascii="IRNazanin" w:hAnsi="IRNazanin" w:eastAsia="IRNazanin" w:cs="IRNazanin"/>
          <w:lang w:bidi="fa-IR"/>
          <w:color w:val="111111"/>
          <w:sz w:val="28"/>
          <w:szCs w:val="28"/>
          <w:rtl/>
        </w:rPr>
        <w:t xml:space="preserve">← تاریخ جهانگشای نادری← وقایع الایام و ...</w:t>
      </w:r>
    </w:p>
    <w:p>
      <w:pPr>
        <w:pStyle w:val="Heading3"/>
      </w:pPr>
      <w:bookmarkStart w:id="2214" w:name="_Toc1474"/>
      <w:r>
        <w:t>• تاریخ جهانگشای نادری (منتخب) / تاریخ / فارسی</w:t>
      </w:r>
      <w:bookmarkEnd w:id="2214"/>
    </w:p>
    <w:p>
      <w:pPr>
        <w:pStyle w:val="BookText"/>
      </w:pPr>
      <w:r>
        <w:rPr>
          <w:rFonts w:ascii="Times New Roman" w:hAnsi="Times New Roman" w:eastAsia="Times New Roman" w:cs="Times New Roman"/>
          <w:lang w:val="en-US" w:bidi="en-US"/>
          <w:color w:val="111111"/>
          <w:sz w:val="28"/>
          <w:szCs w:val="28"/>
          <w:rtl/>
        </w:rPr>
        <w:t xml:space="preserve">tārīx-e jahāngošā-ye nāderī (mn.)</w:t>
      </w:r>
    </w:p>
    <w:p>
      <w:pPr>
        <w:pStyle w:val="BookText"/>
      </w:pPr>
      <w:r>
        <w:rPr>
          <w:rFonts w:ascii="IRNazanin" w:hAnsi="IRNazanin" w:eastAsia="IRNazanin" w:cs="IRNazanin"/>
          <w:lang w:bidi="fa-IR"/>
          <w:color w:val="111111"/>
          <w:sz w:val="28"/>
          <w:szCs w:val="28"/>
          <w:rtl/>
        </w:rPr>
        <w:t xml:space="preserve">وابسته به: جهانگشای نادری = تاریخ جهانگشای نادری = تاریخ نادری = وقایع نادری؛ استر آبادی، محمد مهدی بن محمد نصیر (۱۱۸۰-۱۱۰۰)</w:t>
      </w:r>
    </w:p>
    <w:p>
      <w:pPr>
        <w:pStyle w:val="BookText"/>
      </w:pPr>
      <w:r>
        <w:rPr>
          <w:rFonts w:ascii="IRNazanin" w:hAnsi="IRNazanin" w:eastAsia="IRNazanin" w:cs="IRNazanin"/>
          <w:lang w:bidi="fa-IR"/>
          <w:color w:val="111111"/>
          <w:sz w:val="28"/>
          <w:szCs w:val="28"/>
          <w:rtl/>
        </w:rPr>
        <w:t xml:space="preserve">ظاهرا غیر همانند:</w:t>
      </w:r>
    </w:p>
    <w:p>
      <w:pPr>
        <w:pStyle w:val="BookText"/>
      </w:pPr>
      <w:r>
        <w:rPr>
          <w:rFonts w:ascii="IRNazanin" w:hAnsi="IRNazanin" w:eastAsia="IRNazanin" w:cs="IRNazanin"/>
          <w:lang w:bidi="fa-IR"/>
          <w:color w:val="111111"/>
          <w:sz w:val="28"/>
          <w:szCs w:val="28"/>
          <w:rtl/>
        </w:rPr>
        <w:t xml:space="preserve">۱. قم؛ مرعشی؛ شماره نسخه: ۱۲۱۴۴/۲</w:t>
      </w:r>
    </w:p>
    <w:p>
      <w:pPr>
        <w:pStyle w:val="BookText"/>
      </w:pPr>
      <w:r>
        <w:rPr>
          <w:rFonts w:ascii="IRNazanin" w:hAnsi="IRNazanin" w:eastAsia="IRNazanin" w:cs="IRNazanin"/>
          <w:lang w:bidi="fa-IR"/>
          <w:color w:val="111111"/>
          <w:sz w:val="28"/>
          <w:szCs w:val="28"/>
          <w:rtl/>
        </w:rPr>
        <w:t xml:space="preserve">آغاز: در روز فلان، خسرو سیارگان رخت به شهرستان حمل کشید شاهد گل پیرهن بهار در شبستان چمن و دامن جویبار آغاز جلوه گری کرد؛ انجام: متقبل مال و خراج گردید و ساحت گلزار از رستن گلهای لاله عباسی بندر عباس شده . ناتمام. بیشتر بخش های ادبی تاریخ جهانگشای نادری در این نسخه انتخاب شده است. از وقایع سال ۱۱۴۳ق ورود نادر به مشهد رضوی تا وقایع سال ۱۱۴۷ق را شامل است؛ خط: شکسته خوش، بی کا، تا: قرن ۱۲؛ افتادگی: آغاز و انجام برخی از نامه ها و منشآت نگارنده ظاهرا در حاشیه آمده؛ کاغذ: فرنگی کلاسیک آهار مهره، ۹گ (۱۳۵)، ۱۲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سم [ف: ۳۰-۶۰۴]</w:t>
      </w:r>
    </w:p>
    <w:p>
      <w:pPr>
        <w:pStyle w:val="BookText"/>
      </w:pPr>
      <w:r>
        <w:rPr>
          <w:rFonts w:ascii="IRNazanin" w:hAnsi="IRNazanin" w:eastAsia="IRNazanin" w:cs="IRNazanin"/>
          <w:lang w:bidi="fa-IR"/>
          <w:color w:val="111111"/>
          <w:sz w:val="28"/>
          <w:szCs w:val="28"/>
          <w:rtl/>
        </w:rPr>
        <w:t xml:space="preserve">۲. تهران؛ دانشگاه؛ شماره نسخه:۱۷۴۵</w:t>
      </w:r>
    </w:p>
    <w:p>
      <w:pPr>
        <w:pStyle w:val="BookText"/>
      </w:pPr>
      <w:r>
        <w:rPr>
          <w:rFonts w:ascii="IRNazanin" w:hAnsi="IRNazanin" w:eastAsia="IRNazanin" w:cs="IRNazanin"/>
          <w:lang w:bidi="fa-IR"/>
          <w:color w:val="111111"/>
          <w:sz w:val="28"/>
          <w:szCs w:val="28"/>
          <w:rtl/>
        </w:rPr>
        <w:t xml:space="preserve">خط: نستعلیق، بی کا، تا: قرن ۱۲؛ افتادگی: آغاز و انجام؛ با نسخه ۱۷۴۴ اندکی جدایی دارد، یادداشت محمد علی بن عباس بن یحیی بن يعقوب مورخ ۱۲۵۶ در پایان</w:t>
      </w:r>
    </w:p>
    <w:p>
      <w:pPr>
        <w:pStyle w:val="BookText"/>
      </w:pPr>
      <w:r>
        <w:rPr>
          <w:rFonts w:ascii="IRNazanin" w:hAnsi="IRNazanin" w:eastAsia="IRNazanin" w:cs="IRNazanin"/>
          <w:lang w:bidi="fa-IR"/>
          <w:color w:val="111111"/>
          <w:sz w:val="28"/>
          <w:szCs w:val="28"/>
          <w:rtl/>
        </w:rPr>
        <w:t xml:space="preserve">کاغذ: فرنگی، جلد: تیماج سرخ، ۱۲۸گ، ۲۳ سطر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 اندازه: ۱۹/۵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۲۹/۵</w:t>
      </w:r>
    </w:p>
    <w:p>
      <w:pPr>
        <w:pStyle w:val="BookText"/>
      </w:pPr>
      <w:r>
        <w:rPr>
          <w:rFonts w:ascii="IRNazanin" w:hAnsi="IRNazanin" w:eastAsia="IRNazanin" w:cs="IRNazanin"/>
          <w:lang w:bidi="fa-IR"/>
          <w:color w:val="111111"/>
          <w:sz w:val="28"/>
          <w:szCs w:val="28"/>
          <w:rtl/>
        </w:rPr>
        <w:t xml:space="preserve">سم [ف: ۸-۲۶۹]</w:t>
      </w:r>
    </w:p>
    <w:p>
      <w:pPr>
        <w:pStyle w:val="BookText"/>
      </w:pPr>
      <w:r>
        <w:rPr>
          <w:rFonts w:ascii="IRNazanin" w:hAnsi="IRNazanin" w:eastAsia="IRNazanin" w:cs="IRNazanin"/>
          <w:lang w:bidi="fa-IR"/>
          <w:color w:val="111111"/>
          <w:sz w:val="28"/>
          <w:szCs w:val="28"/>
          <w:rtl/>
        </w:rPr>
        <w:t xml:space="preserve">٣. قم؛ فیضیه؛ شماره نسخه: ۹۶۲/۱</w:t>
      </w:r>
    </w:p>
    <w:p>
      <w:pPr>
        <w:pStyle w:val="BookText"/>
      </w:pPr>
      <w:r>
        <w:rPr>
          <w:rFonts w:ascii="IRNazanin" w:hAnsi="IRNazanin" w:eastAsia="IRNazanin" w:cs="IRNazanin"/>
          <w:lang w:bidi="fa-IR"/>
          <w:color w:val="111111"/>
          <w:sz w:val="28"/>
          <w:szCs w:val="28"/>
          <w:rtl/>
        </w:rPr>
        <w:t xml:space="preserve">خط: نستعلیق، کا: محمد حسین محمد شفیع، تا: ۱۲۲۹ق؛ ۱۵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۳-۴۴]</w:t>
      </w:r>
    </w:p>
    <w:p>
      <w:pPr>
        <w:pStyle w:val="BookText"/>
      </w:pPr>
      <w:r>
        <w:rPr>
          <w:rFonts w:ascii="IRNazanin" w:hAnsi="IRNazanin" w:eastAsia="IRNazanin" w:cs="IRNazanin"/>
          <w:lang w:bidi="fa-IR"/>
          <w:color w:val="111111"/>
          <w:sz w:val="28"/>
          <w:szCs w:val="28"/>
          <w:rtl/>
        </w:rPr>
        <w:t xml:space="preserve">۴. تهران؛ دانشگاه؛ شماره نسخه:۱۷۴۴</w:t>
      </w:r>
    </w:p>
    <w:p>
      <w:pPr>
        <w:pStyle w:val="BookText"/>
      </w:pPr>
      <w:r>
        <w:rPr>
          <w:rFonts w:ascii="IRNazanin" w:hAnsi="IRNazanin" w:eastAsia="IRNazanin" w:cs="IRNazanin"/>
          <w:lang w:bidi="fa-IR"/>
          <w:color w:val="111111"/>
          <w:sz w:val="28"/>
          <w:szCs w:val="28"/>
          <w:rtl/>
        </w:rPr>
        <w:t xml:space="preserve">خط: نستعلیق، بی کا، تا: ۲۷ ربیع الاول ۱۲۴۴ق، جا: طوس؛ مجدول سرخ و لاجورد؛ کاغذ: فرنگی، جلد: تیماج تریاکی، ۱۲۲گ، ۲۱ سطر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۲۰/۵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۲۳/۵ سم [ف: ۸-۲۶۹]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442" w:name="pg20363_209748"/>
    <w:bookmarkEnd w:id="442"/>
    <w:p>
      <w:pPr>
        <w:pStyle w:val="Heading3"/>
      </w:pPr>
      <w:bookmarkStart w:id="2215" w:name="_Toc1475"/>
      <w:r>
        <w:t>• تاریخ جهانگیر = مقدمه ظفرنامه تیموری / تاریخ ایران / فارسی</w:t>
      </w:r>
      <w:bookmarkEnd w:id="2215"/>
    </w:p>
    <w:p>
      <w:pPr>
        <w:pStyle w:val="BookText"/>
      </w:pPr>
      <w:r>
        <w:rPr>
          <w:rFonts w:ascii="Times New Roman" w:hAnsi="Times New Roman" w:eastAsia="Times New Roman" w:cs="Times New Roman"/>
          <w:lang w:val="en-US" w:bidi="en-US"/>
          <w:color w:val="111111"/>
          <w:sz w:val="28"/>
          <w:szCs w:val="28"/>
          <w:rtl/>
        </w:rPr>
        <w:t xml:space="preserve">tārīx-e jahāngīr = moqaddame-ye zafar-nāme-ye</w:t>
      </w:r>
    </w:p>
    <w:p>
      <w:pPr>
        <w:pStyle w:val="BookText"/>
      </w:pPr>
      <w:r>
        <w:rPr>
          <w:rFonts w:ascii="Times New Roman" w:hAnsi="Times New Roman" w:eastAsia="Times New Roman" w:cs="Times New Roman"/>
          <w:lang w:val="en-US" w:bidi="en-US"/>
          <w:color w:val="111111"/>
          <w:sz w:val="28"/>
          <w:szCs w:val="28"/>
          <w:rtl/>
        </w:rPr>
        <w:t xml:space="preserve">teymūrī</w:t>
      </w:r>
    </w:p>
    <w:p>
      <w:pPr>
        <w:pStyle w:val="BookText"/>
      </w:pPr>
      <w:r>
        <w:rPr>
          <w:rFonts w:ascii="IRNazanin" w:hAnsi="IRNazanin" w:eastAsia="IRNazanin" w:cs="IRNazanin"/>
          <w:lang w:bidi="fa-IR"/>
          <w:color w:val="111111"/>
          <w:sz w:val="28"/>
          <w:szCs w:val="28"/>
          <w:rtl/>
        </w:rPr>
        <w:t xml:space="preserve">شرف الدین علی یزدی، ۸۵۸ قمری</w:t>
      </w:r>
    </w:p>
    <w:p>
      <w:pPr>
        <w:pStyle w:val="BookText"/>
      </w:pPr>
      <w:r>
        <w:rPr>
          <w:rFonts w:ascii="Times New Roman" w:hAnsi="Times New Roman" w:eastAsia="Times New Roman" w:cs="Times New Roman"/>
          <w:lang w:val="en-US" w:bidi="en-US"/>
          <w:color w:val="111111"/>
          <w:sz w:val="28"/>
          <w:szCs w:val="28"/>
          <w:rtl/>
        </w:rPr>
        <w:t xml:space="preserve">šaraf-od-dīn ‘alī-ye yazdī (-1454)</w:t>
      </w:r>
    </w:p>
    <w:p>
      <w:pPr>
        <w:pStyle w:val="BookText"/>
      </w:pPr>
      <w:r>
        <w:rPr>
          <w:rFonts w:ascii="IRNazanin" w:hAnsi="IRNazanin" w:eastAsia="IRNazanin" w:cs="IRNazanin"/>
          <w:lang w:bidi="fa-IR"/>
          <w:color w:val="111111"/>
          <w:sz w:val="28"/>
          <w:szCs w:val="28"/>
          <w:rtl/>
        </w:rPr>
        <w:t xml:space="preserve">اهدا به: شاهرخ میرزا (۸۰۷-۸۰۵ق)</w:t>
      </w:r>
    </w:p>
    <w:p>
      <w:pPr>
        <w:pStyle w:val="BookText"/>
      </w:pPr>
      <w:r>
        <w:rPr>
          <w:rFonts w:ascii="IRNazanin" w:hAnsi="IRNazanin" w:eastAsia="IRNazanin" w:cs="IRNazanin"/>
          <w:lang w:bidi="fa-IR"/>
          <w:color w:val="111111"/>
          <w:sz w:val="28"/>
          <w:szCs w:val="28"/>
          <w:rtl/>
        </w:rPr>
        <w:t xml:space="preserve">تاریخ تأليف: ۸۲۲ق</w:t>
      </w:r>
    </w:p>
    <w:p>
      <w:pPr>
        <w:pStyle w:val="BookText"/>
      </w:pPr>
      <w:r>
        <w:rPr>
          <w:rFonts w:ascii="IRNazanin" w:hAnsi="IRNazanin" w:eastAsia="IRNazanin" w:cs="IRNazanin"/>
          <w:lang w:bidi="fa-IR"/>
          <w:color w:val="111111"/>
          <w:sz w:val="28"/>
          <w:szCs w:val="28"/>
          <w:rtl/>
        </w:rPr>
        <w:t xml:space="preserve">مقدمه بر ظفرنامه اوست در آفرینش جهان و تاریخ انبیاء و پادشاهان مغول.</w:t>
      </w:r>
    </w:p>
    <w:p>
      <w:pPr>
        <w:pStyle w:val="BookText"/>
      </w:pPr>
      <w:r>
        <w:rPr>
          <w:rFonts w:ascii="IRNazanin" w:hAnsi="IRNazanin" w:eastAsia="IRNazanin" w:cs="IRNazanin"/>
          <w:lang w:bidi="fa-IR"/>
          <w:color w:val="111111"/>
          <w:sz w:val="28"/>
          <w:szCs w:val="28"/>
          <w:rtl/>
        </w:rPr>
        <w:t xml:space="preserve">آغاز: افتتاح تاریخ جهانداری و ابتدای نامه ظفر و بختیاری سپاس حضرت</w:t>
      </w:r>
    </w:p>
    <w:p>
      <w:pPr>
        <w:pStyle w:val="BookText"/>
      </w:pPr>
      <w:r>
        <w:rPr>
          <w:rFonts w:ascii="IRNazanin" w:hAnsi="IRNazanin" w:eastAsia="IRNazanin" w:cs="IRNazanin"/>
          <w:lang w:bidi="fa-IR"/>
          <w:color w:val="111111"/>
          <w:sz w:val="28"/>
          <w:szCs w:val="28"/>
          <w:rtl/>
        </w:rPr>
        <w:t xml:space="preserve">انجام: هنگام آن آمد که در اصل تاریخ حضرت صاحبقرانی شروع کرده شود و هذا آخر مقدمة.</w:t>
      </w:r>
    </w:p>
    <w:p>
      <w:pPr>
        <w:pStyle w:val="BookText"/>
      </w:pPr>
      <w:r>
        <w:rPr>
          <w:rFonts w:ascii="IRNazanin" w:hAnsi="IRNazanin" w:eastAsia="IRNazanin" w:cs="IRNazanin"/>
          <w:lang w:bidi="fa-IR"/>
          <w:color w:val="111111"/>
          <w:sz w:val="28"/>
          <w:szCs w:val="28"/>
          <w:rtl/>
        </w:rPr>
        <w:t xml:space="preserve">[دنا ۶۹۷/۲ (۵ نسخه)؛ فهرستواره منزوی ۸۵۹/۲ ]</w:t>
      </w:r>
    </w:p>
    <w:p>
      <w:pPr>
        <w:pStyle w:val="BookText"/>
      </w:pPr>
      <w:r>
        <w:rPr>
          <w:rFonts w:ascii="IRNazanin" w:hAnsi="IRNazanin" w:eastAsia="IRNazanin" w:cs="IRNazanin"/>
          <w:lang w:bidi="fa-IR"/>
          <w:color w:val="111111"/>
          <w:sz w:val="28"/>
          <w:szCs w:val="28"/>
          <w:rtl/>
        </w:rPr>
        <w:t xml:space="preserve">۱. قم؛ مرعشی؛ شماره نسخه: ۱۰۳۸۲</w:t>
      </w:r>
    </w:p>
    <w:p>
      <w:pPr>
        <w:pStyle w:val="BookText"/>
      </w:pPr>
      <w:r>
        <w:rPr>
          <w:rFonts w:ascii="IRNazanin" w:hAnsi="IRNazanin" w:eastAsia="IRNazanin" w:cs="IRNazanin"/>
          <w:lang w:bidi="fa-IR"/>
          <w:color w:val="111111"/>
          <w:sz w:val="28"/>
          <w:szCs w:val="28"/>
          <w:rtl/>
        </w:rPr>
        <w:t xml:space="preserve">بی کا، تا: نیمه دوم قرن ۱۰؛ مجدول [میراث شهاب: س ۸ش ۴-۵۷]</w:t>
      </w:r>
    </w:p>
    <w:p>
      <w:pPr>
        <w:pStyle w:val="BookText"/>
      </w:pPr>
      <w:r>
        <w:rPr>
          <w:rFonts w:ascii="IRNazanin" w:hAnsi="IRNazanin" w:eastAsia="IRNazanin" w:cs="IRNazanin"/>
          <w:lang w:bidi="fa-IR"/>
          <w:color w:val="111111"/>
          <w:sz w:val="28"/>
          <w:szCs w:val="28"/>
          <w:rtl/>
        </w:rPr>
        <w:t xml:space="preserve">۲. تهران؛ ملی؛ شماره نسخه: ۱۳۴۲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۹۳۵ق؛ با سرلوح مذهب، مجدول؛ کاغذ: دولت آبادی، جلد: تیماج قرمز مقوایی، ۴۵گ، ۲۱ سطر (۱۵۹)،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۳-۴۰۵]</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دانشگاه؛ شماره نسخه:۶۵۷۵</w:t>
      </w:r>
    </w:p>
    <w:p>
      <w:pPr>
        <w:pStyle w:val="BookText"/>
      </w:pPr>
      <w:r>
        <w:rPr>
          <w:rFonts w:ascii="IRNazanin" w:hAnsi="IRNazanin" w:eastAsia="IRNazanin" w:cs="IRNazanin"/>
          <w:lang w:bidi="fa-IR"/>
          <w:color w:val="111111"/>
          <w:sz w:val="28"/>
          <w:szCs w:val="28"/>
          <w:rtl/>
        </w:rPr>
        <w:t xml:space="preserve">آغاز: برابر؛ انجام: در جنب مسجد جامع واقع است تا معلوم باشد. خط: نستعلیق، بی کا، تا: قرن ۱۰ و ۱۱ کاغذ: سمرقندی، جلد: مقوا، ۵۱گ، ۲۵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۱۶-۳۰۱]</w:t>
      </w:r>
    </w:p>
    <w:p>
      <w:pPr>
        <w:pStyle w:val="BookText"/>
      </w:pPr>
      <w:r>
        <w:rPr>
          <w:rFonts w:ascii="IRNazanin" w:hAnsi="IRNazanin" w:eastAsia="IRNazanin" w:cs="IRNazanin"/>
          <w:lang w:bidi="fa-IR"/>
          <w:color w:val="111111"/>
          <w:sz w:val="28"/>
          <w:szCs w:val="28"/>
          <w:rtl/>
        </w:rPr>
        <w:t xml:space="preserve">۴. تهران؛ دائرة المعارف؛ شماره نسخه: ۲۶۹- عکسی</w:t>
      </w:r>
    </w:p>
    <w:p>
      <w:pPr>
        <w:pStyle w:val="BookText"/>
      </w:pPr>
      <w:r>
        <w:rPr>
          <w:rFonts w:ascii="IRNazanin" w:hAnsi="IRNazanin" w:eastAsia="IRNazanin" w:cs="IRNazanin"/>
          <w:lang w:bidi="fa-IR"/>
          <w:color w:val="111111"/>
          <w:sz w:val="28"/>
          <w:szCs w:val="28"/>
          <w:rtl/>
        </w:rPr>
        <w:t xml:space="preserve">آغاز: برابر نسخه اصل: گنج بخش، ش ۳۳۰ (مشترک ۱۰/۱۶۱ ). تنها مقدمه است؛ خط: نستعلیق پخته، بی کا، تا: قرن ۱۱؛ ۷۸گ (۱-۷۸) عکسی [ف: ۲-۱۹۱]</w:t>
      </w:r>
    </w:p>
    <w:p>
      <w:pPr>
        <w:pStyle w:val="BookText"/>
      </w:pPr>
      <w:r>
        <w:rPr>
          <w:rFonts w:ascii="IRNazanin" w:hAnsi="IRNazanin" w:eastAsia="IRNazanin" w:cs="IRNazanin"/>
          <w:lang w:bidi="fa-IR"/>
          <w:color w:val="111111"/>
          <w:sz w:val="28"/>
          <w:szCs w:val="28"/>
          <w:rtl/>
        </w:rPr>
        <w:t xml:space="preserve">۵. تهران؛ سپهسالار؛ شماره نسخه:۱۵۰۵</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انجام و نسب قبان ناله آدم ... سبق ذکر یافته. (ناقص، در سرگذشت خانهای توران ).  تذکر: نام مؤلف به قرینه آغاز تعیین شد؛ خط: نستعلیق، بی کا، تا: قرن ۱۲؛ افتادگی: انجام؛ مجدول، یک سرلوح؛ کاغذ: سمرقندی نخودی، جلد: تیماج حنایی، ۸۳گ، ۲۱ سطر، اندازه:</w:t>
      </w:r>
    </w:p>
    <w:p>
      <w:pPr>
        <w:pStyle w:val="BookText"/>
      </w:pPr>
      <w:r>
        <w:rPr>
          <w:rFonts w:ascii="IRNazanin" w:hAnsi="IRNazanin" w:eastAsia="IRNazanin" w:cs="IRNazanin"/>
          <w:lang w:bidi="fa-IR"/>
          <w:color w:val="111111"/>
          <w:sz w:val="28"/>
          <w:szCs w:val="28"/>
          <w:rtl/>
        </w:rPr>
        <w:t xml:space="preserve">۱۳/۵ ۲۴/۵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سم [ف: ۳-۲۹۷]</w:t>
      </w:r>
    </w:p>
    <w:p>
      <w:pPr>
        <w:pStyle w:val="BookText"/>
      </w:pPr>
      <w:r>
        <w:rPr>
          <w:rFonts w:ascii="IRNazanin" w:hAnsi="IRNazanin" w:eastAsia="IRNazanin" w:cs="IRNazanin"/>
          <w:lang w:bidi="fa-IR"/>
          <w:color w:val="111111"/>
          <w:sz w:val="28"/>
          <w:szCs w:val="28"/>
          <w:rtl/>
        </w:rPr>
        <w:t xml:space="preserve">۶. مشهد؛ رضوی؛ شماره نسخه:۱۴۱۹۵</w:t>
      </w:r>
    </w:p>
    <w:p>
      <w:pPr>
        <w:pStyle w:val="BookText"/>
      </w:pPr>
      <w:r>
        <w:rPr>
          <w:rFonts w:ascii="IRNazanin" w:hAnsi="IRNazanin" w:eastAsia="IRNazanin" w:cs="IRNazanin"/>
          <w:lang w:bidi="fa-IR"/>
          <w:color w:val="111111"/>
          <w:sz w:val="28"/>
          <w:szCs w:val="28"/>
          <w:rtl/>
        </w:rPr>
        <w:t xml:space="preserve">آغاز: بی منتهای اوست طاوس بوستان؛ انجام: که نسبت خرقه اش</w:t>
      </w:r>
    </w:p>
    <w:p>
      <w:pPr>
        <w:pStyle w:val="BookText"/>
      </w:pPr>
      <w:r>
        <w:rPr>
          <w:rFonts w:ascii="IRNazanin" w:hAnsi="IRNazanin" w:eastAsia="IRNazanin" w:cs="IRNazanin"/>
          <w:lang w:bidi="fa-IR"/>
          <w:color w:val="111111"/>
          <w:sz w:val="28"/>
          <w:szCs w:val="28"/>
          <w:rtl/>
        </w:rPr>
        <w:t xml:space="preserve">خط: نستعلیق، بی کا، بی تا، کاغذ: نخودی، جلد: تیماج، ۱۷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 الفبائی:-۹۸]</w:t>
      </w:r>
    </w:p>
    <w:p>
      <w:pPr>
        <w:pStyle w:val="Heading3"/>
      </w:pPr>
      <w:bookmarkStart w:id="2216" w:name="_Toc1476"/>
      <w:r>
        <w:t>• تاریخ جهانگیر شاهی = فرهنگ بدیع لغات جهانگیری / ادبیات فارسی</w:t>
      </w:r>
      <w:bookmarkEnd w:id="2216"/>
    </w:p>
    <w:p>
      <w:pPr>
        <w:pStyle w:val="BookText"/>
      </w:pPr>
      <w:r>
        <w:rPr>
          <w:rFonts w:ascii="Times New Roman" w:hAnsi="Times New Roman" w:eastAsia="Times New Roman" w:cs="Times New Roman"/>
          <w:lang w:val="en-US" w:bidi="en-US"/>
          <w:color w:val="111111"/>
          <w:sz w:val="28"/>
          <w:szCs w:val="28"/>
          <w:rtl/>
        </w:rPr>
        <w:t xml:space="preserve">farhang-e badī'-e loqāt-e</w:t>
      </w:r>
    </w:p>
    <w:p>
      <w:pPr>
        <w:pStyle w:val="BookText"/>
      </w:pPr>
      <w:r>
        <w:rPr>
          <w:rFonts w:ascii="Times New Roman" w:hAnsi="Times New Roman" w:eastAsia="Times New Roman" w:cs="Times New Roman"/>
          <w:lang w:val="en-US" w:bidi="en-US"/>
          <w:color w:val="111111"/>
          <w:sz w:val="28"/>
          <w:szCs w:val="28"/>
          <w:rtl/>
        </w:rPr>
        <w:t xml:space="preserve">jahāngīr-šāhī = tārīx-e jahāngīrī</w:t>
      </w:r>
    </w:p>
    <w:p>
      <w:pPr>
        <w:pStyle w:val="BookText"/>
      </w:pPr>
      <w:r>
        <w:rPr>
          <w:rFonts w:ascii="IRNazanin" w:hAnsi="IRNazanin" w:eastAsia="IRNazanin" w:cs="IRNazanin"/>
          <w:lang w:bidi="fa-IR"/>
          <w:color w:val="111111"/>
          <w:sz w:val="28"/>
          <w:szCs w:val="28"/>
          <w:rtl/>
        </w:rPr>
        <w:t xml:space="preserve">خواجه زاده ولی سرهندی، ق ۱۱ قمری</w:t>
      </w:r>
    </w:p>
    <w:p>
      <w:pPr>
        <w:pStyle w:val="BookText"/>
      </w:pPr>
      <w:r>
        <w:rPr>
          <w:rFonts w:ascii="Times New Roman" w:hAnsi="Times New Roman" w:eastAsia="Times New Roman" w:cs="Times New Roman"/>
          <w:lang w:val="en-US" w:bidi="en-US"/>
          <w:color w:val="111111"/>
          <w:sz w:val="28"/>
          <w:szCs w:val="28"/>
          <w:rtl/>
        </w:rPr>
        <w:t xml:space="preserve">xāje-zāde valī sarhendī (-17c)</w:t>
      </w:r>
    </w:p>
    <w:p>
      <w:pPr>
        <w:pStyle w:val="BookText"/>
      </w:pPr>
      <w:r>
        <w:rPr>
          <w:rFonts w:ascii="IRNazanin" w:hAnsi="IRNazanin" w:eastAsia="IRNazanin" w:cs="IRNazanin"/>
          <w:lang w:bidi="fa-IR"/>
          <w:color w:val="111111"/>
          <w:sz w:val="28"/>
          <w:szCs w:val="28"/>
          <w:rtl/>
        </w:rPr>
        <w:t xml:space="preserve">اهداء به: نورالدين محمد جهانگیر</w:t>
      </w:r>
    </w:p>
    <w:p>
      <w:pPr>
        <w:pStyle w:val="BookText"/>
      </w:pPr>
      <w:r>
        <w:rPr>
          <w:rFonts w:ascii="IRNazanin" w:hAnsi="IRNazanin" w:eastAsia="IRNazanin" w:cs="IRNazanin"/>
          <w:lang w:bidi="fa-IR"/>
          <w:color w:val="111111"/>
          <w:sz w:val="28"/>
          <w:szCs w:val="28"/>
          <w:rtl/>
        </w:rPr>
        <w:t xml:space="preserve">تاریخ تالیف: ۱۰۱۳ق</w:t>
      </w:r>
    </w:p>
    <w:p>
      <w:pPr>
        <w:pStyle w:val="BookText"/>
      </w:pPr>
      <w:r>
        <w:rPr>
          <w:rFonts w:ascii="IRNazanin" w:hAnsi="IRNazanin" w:eastAsia="IRNazanin" w:cs="IRNazanin"/>
          <w:lang w:bidi="fa-IR"/>
          <w:color w:val="111111"/>
          <w:sz w:val="28"/>
          <w:szCs w:val="28"/>
          <w:rtl/>
        </w:rPr>
        <w:t xml:space="preserve">در یک «مقدمه و فهرست و یک «مقاله» به نام نورالدين محمد جهانگیر، ساخته در چهل سالگی در ۱۰۱۳، در پایان نسخه آمده: المنتخب فرهنگ بدیع اللغات جهانگیری» نام دیگر آن تواريخ جهانگیر شاهی است.</w:t>
      </w:r>
    </w:p>
    <w:p>
      <w:pPr>
        <w:pStyle w:val="BookText"/>
      </w:pPr>
      <w:r>
        <w:rPr>
          <w:rFonts w:ascii="IRNazanin" w:hAnsi="IRNazanin" w:eastAsia="IRNazanin" w:cs="IRNazanin"/>
          <w:lang w:bidi="fa-IR"/>
          <w:color w:val="111111"/>
          <w:sz w:val="28"/>
          <w:szCs w:val="28"/>
          <w:rtl/>
        </w:rPr>
        <w:t xml:space="preserve">تهران؛ دانشگاه؛ شماره نسخه:۱۱۴۳-ف</w:t>
      </w:r>
    </w:p>
    <w:p>
      <w:pPr>
        <w:pStyle w:val="BookText"/>
      </w:pPr>
      <w:r>
        <w:rPr>
          <w:rFonts w:ascii="IRNazanin" w:hAnsi="IRNazanin" w:eastAsia="IRNazanin" w:cs="IRNazanin"/>
          <w:lang w:bidi="fa-IR"/>
          <w:color w:val="111111"/>
          <w:sz w:val="28"/>
          <w:szCs w:val="28"/>
          <w:rtl/>
        </w:rPr>
        <w:t xml:space="preserve">نسخه اصل: بادلیان ۲۳۱ 23 </w:t>
      </w:r>
      <w:r>
        <w:rPr>
          <w:rFonts w:ascii="Times New Roman" w:hAnsi="Times New Roman" w:eastAsia="Times New Roman" w:cs="Times New Roman"/>
          <w:lang w:val="en-US" w:bidi="en-US"/>
          <w:color w:val="111111"/>
          <w:sz w:val="28"/>
          <w:szCs w:val="28"/>
          <w:rtl/>
        </w:rPr>
        <w:t xml:space="preserve">Seld Sup</w:t>
      </w:r>
      <w:r>
        <w:rPr>
          <w:rFonts w:ascii="IRNazanin" w:hAnsi="IRNazanin" w:eastAsia="IRNazanin" w:cs="IRNazanin"/>
          <w:lang w:bidi="fa-IR"/>
          <w:color w:val="111111"/>
          <w:sz w:val="28"/>
          <w:szCs w:val="28"/>
          <w:rtl/>
        </w:rPr>
        <w:t xml:space="preserve">؛ خط: نستعلیق، کاتب = مؤلف، بی تا؛ چند صفحه در پایان شعر است در قصیده و لغز به خط چلیپا؛ ۴۵گ، ۱۷ سطر (فیلمها ف: ۱-۱۴۷] و [فیلمها ف: ۱-۳۳]</w:t>
      </w:r>
    </w:p>
    <w:p>
      <w:pPr>
        <w:pStyle w:val="Heading3"/>
      </w:pPr>
      <w:bookmarkStart w:id="2217" w:name="_Toc1477"/>
      <w:r>
        <w:t>• تاریخ جهانگیری = نسخه زیبای جهانگیر/تاریخ/فارسی</w:t>
      </w:r>
      <w:bookmarkEnd w:id="2217"/>
    </w:p>
    <w:p>
      <w:pPr>
        <w:pStyle w:val="BookText"/>
      </w:pPr>
      <w:r>
        <w:rPr>
          <w:rFonts w:ascii="Times New Roman" w:hAnsi="Times New Roman" w:eastAsia="Times New Roman" w:cs="Times New Roman"/>
          <w:lang w:val="en-US" w:bidi="en-US"/>
          <w:color w:val="111111"/>
          <w:sz w:val="28"/>
          <w:szCs w:val="28"/>
          <w:rtl/>
        </w:rPr>
        <w:t xml:space="preserve">tārīx-e jahāngīrī = nosxe-ye zībā-ye jahāngīr</w:t>
      </w:r>
    </w:p>
    <w:p>
      <w:pPr>
        <w:pStyle w:val="BookText"/>
      </w:pPr>
      <w:r>
        <w:rPr>
          <w:rFonts w:ascii="IRNazanin" w:hAnsi="IRNazanin" w:eastAsia="IRNazanin" w:cs="IRNazanin"/>
          <w:lang w:bidi="fa-IR"/>
          <w:color w:val="111111"/>
          <w:sz w:val="28"/>
          <w:szCs w:val="28"/>
          <w:rtl/>
        </w:rPr>
        <w:t xml:space="preserve">مطربی اصم سمرقندی، ق ۱۱ قمری</w:t>
      </w:r>
    </w:p>
    <w:p>
      <w:pPr>
        <w:pStyle w:val="BookText"/>
      </w:pPr>
      <w:r>
        <w:rPr>
          <w:rFonts w:ascii="Times New Roman" w:hAnsi="Times New Roman" w:eastAsia="Times New Roman" w:cs="Times New Roman"/>
          <w:lang w:val="en-US" w:bidi="en-US"/>
          <w:color w:val="111111"/>
          <w:sz w:val="28"/>
          <w:szCs w:val="28"/>
          <w:rtl/>
        </w:rPr>
        <w:t xml:space="preserve">motrebī asam-e samarqandī (-17c)</w:t>
      </w:r>
    </w:p>
    <w:p>
      <w:pPr>
        <w:pStyle w:val="BookText"/>
      </w:pPr>
      <w:r>
        <w:rPr>
          <w:rFonts w:ascii="IRNazanin" w:hAnsi="IRNazanin" w:eastAsia="IRNazanin" w:cs="IRNazanin"/>
          <w:lang w:bidi="fa-IR"/>
          <w:color w:val="111111"/>
          <w:sz w:val="28"/>
          <w:szCs w:val="28"/>
          <w:rtl/>
        </w:rPr>
        <w:t xml:space="preserve">اهداء به: جهانگیر پادشاه بابری هند (۱۰۱۴-۱۰۳۷ق) تاریخ تالیف: آغاز: رجب ۱۰۳۴ق، پایان: جمادی الثانی ۱۰۳۶ق؛ محل تالیف: هند کتابی است درباره پادشاهان جغتایی و ازبک و شعرا و دانشمندان عهد ایشان و نیز شاهانی که با ایشان پیوستگی داشتند. مؤلف در این تذکر شرح احوال شعرایی را که از ماوراء النهر به هند رفته اند و تا ۱۰۳۴ با آنها ملاقات کرده، آورده است. کتاب در یک «مقدمه»، دو «سلسله» و یک «خاتمه» است: سلسله اول در ذکر سلاطین چغتای و شعرای بلاغت شعاری که در زمان ایشان خلعت ظهور و اشتهار پوشیده اند و دیوان اشعار ایشان در ماوراء النهر رواج داشته است؛ سلسله دوم در ذکر سلاطین اوزبکیه و افاضلی که در ایام دولت ایشان خلعت اشتهار پوشیده اند، و این سلسله مشتمل بر دو «طبقه» است: طبقه اول در ذکر سلاطینی که نسبت پیوستگی به این خاندان عالی شان دارند و افاضلی که در ایام دولت به ایشان بوده اند، طبقه دوم در ذکر سلاطینی که نسبت ایشان به پادشاه چنگیز خان می رسد و افاضلی که در ایام ایشان خلعت اشتهار پوشیده اند؛ خاتمه در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443" w:name="pg20363_209749"/>
    <w:bookmarkEnd w:id="443"/>
    <w:p>
      <w:pPr>
        <w:pStyle w:val="BookText"/>
      </w:pPr>
      <w:r>
        <w:rPr>
          <w:rFonts w:ascii="IRNazanin" w:hAnsi="IRNazanin" w:eastAsia="IRNazanin" w:cs="IRNazanin"/>
          <w:lang w:bidi="fa-IR"/>
          <w:color w:val="111111"/>
          <w:sz w:val="28"/>
          <w:szCs w:val="28"/>
          <w:rtl/>
        </w:rPr>
        <w:t xml:space="preserve">ذكر ملازمت خلیفه الهی ضل اللهی و وقایع وارده در ایام ملازمت و لیالی. مطربی در آن شرح ملاقات های خود با جهانگیر را به نسخه منضم ساخته است. نام کتاب در منابع تاریخ جهانگیری» ضبط شده است ولی به نام «نسخه زیبای جهانگیر» به چاپ رسیده است؛ چون مؤلف ماده تاریخ تأليف این اثر را «نسخه زیبای جهانگیر» سروده است.</w:t>
      </w:r>
    </w:p>
    <w:p>
      <w:pPr>
        <w:pStyle w:val="BookText"/>
      </w:pPr>
      <w:r>
        <w:rPr>
          <w:rFonts w:ascii="IRNazanin" w:hAnsi="IRNazanin" w:eastAsia="IRNazanin" w:cs="IRNazanin"/>
          <w:lang w:bidi="fa-IR"/>
          <w:color w:val="111111"/>
          <w:sz w:val="28"/>
          <w:szCs w:val="28"/>
          <w:rtl/>
        </w:rPr>
        <w:t xml:space="preserve">چاپ: این کتاب به کوشش اسماعیل بیگ جانوف و سید علی موجانی در سال ۱۳۷۷ ه.ش، به اهتمام کتابخانه آیت الله مرعشی نجفی ره به چاپ رسیده است.  [ تاریخ تذکره های فارسی ۵۲۶/۲ -۵۳۰؛ دانشنامه ادب فارسی ۲۵۵/۱ و ۲۶۹ و ۸۲۲ ]</w:t>
      </w:r>
    </w:p>
    <w:p>
      <w:pPr>
        <w:pStyle w:val="BookText"/>
      </w:pPr>
      <w:r>
        <w:rPr>
          <w:rFonts w:ascii="IRNazanin" w:hAnsi="IRNazanin" w:eastAsia="IRNazanin" w:cs="IRNazanin"/>
          <w:lang w:bidi="fa-IR"/>
          <w:color w:val="111111"/>
          <w:sz w:val="28"/>
          <w:szCs w:val="28"/>
          <w:rtl/>
        </w:rPr>
        <w:t xml:space="preserve">قم؛ مرعشی؛ شماره نسخه: ۱۶۸۱</w:t>
      </w:r>
    </w:p>
    <w:p>
      <w:pPr>
        <w:pStyle w:val="BookText"/>
      </w:pPr>
      <w:r>
        <w:rPr>
          <w:rFonts w:ascii="IRNazanin" w:hAnsi="IRNazanin" w:eastAsia="IRNazanin" w:cs="IRNazanin"/>
          <w:lang w:bidi="fa-IR"/>
          <w:color w:val="111111"/>
          <w:sz w:val="28"/>
          <w:szCs w:val="28"/>
          <w:rtl/>
        </w:rPr>
        <w:t xml:space="preserve">آغاز: ای نام تو افتتاح هر دیوانی *** وز نام تو آرایش هر عنوانی</w:t>
      </w:r>
    </w:p>
    <w:p>
      <w:pPr>
        <w:pStyle w:val="BookText"/>
      </w:pPr>
      <w:r>
        <w:rPr>
          <w:rFonts w:ascii="IRNazanin" w:hAnsi="IRNazanin" w:eastAsia="IRNazanin" w:cs="IRNazanin"/>
          <w:lang w:bidi="fa-IR"/>
          <w:color w:val="111111"/>
          <w:sz w:val="28"/>
          <w:szCs w:val="28"/>
          <w:rtl/>
        </w:rPr>
        <w:t xml:space="preserve">/ در کنه کمال تو کی تندیشه رسد *** در راه تو عقل کل بود حیرانی.</w:t>
      </w:r>
    </w:p>
    <w:p>
      <w:pPr>
        <w:pStyle w:val="BookText"/>
      </w:pPr>
      <w:r>
        <w:rPr>
          <w:rFonts w:ascii="IRNazanin" w:hAnsi="IRNazanin" w:eastAsia="IRNazanin" w:cs="IRNazanin"/>
          <w:lang w:bidi="fa-IR"/>
          <w:color w:val="111111"/>
          <w:sz w:val="28"/>
          <w:szCs w:val="28"/>
          <w:rtl/>
        </w:rPr>
        <w:t xml:space="preserve">بعد از تذکره حمد الهی تعالی و تعظیم و پس از تبصره نعمت رسالت پناهی ... بنده کمتر از هر کم مطربي الأصم؛ انجام: و در اختتام این رباعی ذو فاقتین گفته شد، رباعی: صد شکر که این نامه با تمام رسید *** و آغاز کتاب ما بانجام رسید / نقشی که مراد مطربی بود بدهر *** آمد زپس پرده ایام پدید، تمت.</w:t>
      </w:r>
    </w:p>
    <w:p>
      <w:pPr>
        <w:pStyle w:val="BookText"/>
      </w:pPr>
      <w:r>
        <w:rPr>
          <w:rFonts w:ascii="IRNazanin" w:hAnsi="IRNazanin" w:eastAsia="IRNazanin" w:cs="IRNazanin"/>
          <w:lang w:bidi="fa-IR"/>
          <w:color w:val="111111"/>
          <w:sz w:val="28"/>
          <w:szCs w:val="28"/>
          <w:rtl/>
        </w:rPr>
        <w:t xml:space="preserve">نسخه اصل: ایندیا آفیس لندن، شماره ۳۰۲۳؛ خط: نستعلیق، کا: محمد امین حسینی، تا: سه شنبه ۲۳ ربیع الاول (برابر با ۲۰ اسفند) ۱۰۷۵ق، هنگامی که بندگان حضرت خلافت پناهی ابی الظفر محی الدین اورنگ زیب بهادر عالم گیر پادشاه غازی فروغ بخش اورنگ شاه جهان آباد بودند؛ مصحح؛ ۴۸۱ص، ۱۵ سطر [عکسی ف: ۵-۱۰۱]</w:t>
      </w:r>
    </w:p>
    <w:p>
      <w:pPr>
        <w:pStyle w:val="BookText"/>
      </w:pPr>
      <w:r>
        <w:rPr>
          <w:rFonts w:ascii="IRNazanin" w:hAnsi="IRNazanin" w:eastAsia="IRNazanin" w:cs="IRNazanin"/>
          <w:lang w:bidi="fa-IR"/>
          <w:color w:val="111111"/>
          <w:sz w:val="28"/>
          <w:szCs w:val="28"/>
          <w:rtl/>
        </w:rPr>
        <w:t xml:space="preserve">←تاریخ چرا کسه ← بدائع الزهور في وقائع الدهور</w:t>
      </w:r>
    </w:p>
    <w:p>
      <w:pPr>
        <w:pStyle w:val="BookText"/>
      </w:pPr>
      <w:r>
        <w:rPr>
          <w:rFonts w:ascii="IRNazanin" w:hAnsi="IRNazanin" w:eastAsia="IRNazanin" w:cs="IRNazanin"/>
          <w:lang w:bidi="fa-IR"/>
          <w:color w:val="111111"/>
          <w:sz w:val="28"/>
          <w:szCs w:val="28"/>
          <w:rtl/>
        </w:rPr>
        <w:t xml:space="preserve">←تاریخ چغتایی ← تاریخ نادر شاهی</w:t>
      </w:r>
    </w:p>
    <w:p>
      <w:pPr>
        <w:pStyle w:val="Heading3"/>
      </w:pPr>
      <w:bookmarkStart w:id="2218" w:name="_Toc1478"/>
      <w:r>
        <w:t>• تاریخ چلبی / تاریخ / فارسی</w:t>
      </w:r>
      <w:bookmarkEnd w:id="2218"/>
    </w:p>
    <w:p>
      <w:pPr>
        <w:pStyle w:val="BookText"/>
      </w:pPr>
      <w:r>
        <w:rPr>
          <w:rFonts w:ascii="Times New Roman" w:hAnsi="Times New Roman" w:eastAsia="Times New Roman" w:cs="Times New Roman"/>
          <w:lang w:val="en-US" w:bidi="en-US"/>
          <w:color w:val="111111"/>
          <w:sz w:val="28"/>
          <w:szCs w:val="28"/>
          <w:rtl/>
        </w:rPr>
        <w:t xml:space="preserve">tārīx-e čalabī</w:t>
      </w:r>
    </w:p>
    <w:p>
      <w:pPr>
        <w:pStyle w:val="BookText"/>
      </w:pPr>
      <w:r>
        <w:rPr>
          <w:rFonts w:ascii="IRNazanin" w:hAnsi="IRNazanin" w:eastAsia="IRNazanin" w:cs="IRNazanin"/>
          <w:lang w:bidi="fa-IR"/>
          <w:color w:val="111111"/>
          <w:sz w:val="28"/>
          <w:szCs w:val="28"/>
          <w:rtl/>
        </w:rPr>
        <w:t xml:space="preserve">چلبی زاده، اسماعیل عاصم، ق ۱۲ قمری</w:t>
      </w:r>
    </w:p>
    <w:p>
      <w:pPr>
        <w:pStyle w:val="BookText"/>
      </w:pPr>
      <w:r>
        <w:rPr>
          <w:rFonts w:ascii="Times New Roman" w:hAnsi="Times New Roman" w:eastAsia="Times New Roman" w:cs="Times New Roman"/>
          <w:lang w:val="en-US" w:bidi="en-US"/>
          <w:color w:val="111111"/>
          <w:sz w:val="28"/>
          <w:szCs w:val="28"/>
          <w:rtl/>
        </w:rPr>
        <w:t xml:space="preserve">čalabī zāde, esmāʻīl ‘āsem (-180)</w:t>
      </w:r>
    </w:p>
    <w:p>
      <w:pPr>
        <w:pStyle w:val="BookText"/>
      </w:pPr>
      <w:r>
        <w:rPr>
          <w:rFonts w:ascii="IRNazanin" w:hAnsi="IRNazanin" w:eastAsia="IRNazanin" w:cs="IRNazanin"/>
          <w:lang w:bidi="fa-IR"/>
          <w:color w:val="111111"/>
          <w:sz w:val="28"/>
          <w:szCs w:val="28"/>
          <w:rtl/>
        </w:rPr>
        <w:t xml:space="preserve">وابسته به: تاریخ؛ راشد افندی، محمد (-۱۱۴۸ق) اهدا به: سلطان احمد خان غازی بن سلطان محمد خان بن سلطان ابراهیم خان عثمانی ذیلی است بر تاریخ راشد افندی تأليف اسمعیل عاصم چلبی زاده شامل وقایع و سوانح سنواتی از ۱۱۳۵ تا ۱۱۴۱ هجری.</w:t>
      </w:r>
    </w:p>
    <w:p>
      <w:pPr>
        <w:pStyle w:val="BookText"/>
      </w:pPr>
      <w:r>
        <w:rPr>
          <w:rFonts w:ascii="IRNazanin" w:hAnsi="IRNazanin" w:eastAsia="IRNazanin" w:cs="IRNazanin"/>
          <w:lang w:bidi="fa-IR"/>
          <w:color w:val="111111"/>
          <w:sz w:val="28"/>
          <w:szCs w:val="28"/>
          <w:rtl/>
        </w:rPr>
        <w:t xml:space="preserve">مشهد؛ رضوی؛ شماره نسخه:۴۱۷۹</w:t>
      </w:r>
    </w:p>
    <w:p>
      <w:pPr>
        <w:pStyle w:val="BookText"/>
      </w:pPr>
      <w:r>
        <w:rPr>
          <w:rFonts w:ascii="IRNazanin" w:hAnsi="IRNazanin" w:eastAsia="IRNazanin" w:cs="IRNazanin"/>
          <w:lang w:bidi="fa-IR"/>
          <w:color w:val="111111"/>
          <w:sz w:val="28"/>
          <w:szCs w:val="28"/>
          <w:rtl/>
        </w:rPr>
        <w:t xml:space="preserve">آغاز: حمدی که بنور قدس آراسته اند *** حمدی که چو بزم قدس پیراسته اند</w:t>
      </w:r>
    </w:p>
    <w:p>
      <w:pPr>
        <w:pStyle w:val="BookText"/>
      </w:pPr>
      <w:r>
        <w:rPr>
          <w:rFonts w:ascii="IRNazanin" w:hAnsi="IRNazanin" w:eastAsia="IRNazanin" w:cs="IRNazanin"/>
          <w:lang w:bidi="fa-IR"/>
          <w:color w:val="111111"/>
          <w:sz w:val="28"/>
          <w:szCs w:val="28"/>
          <w:rtl/>
        </w:rPr>
        <w:t xml:space="preserve">/ حمدی که بدان حمد تقرب جویند *** آنها که زهر دو کون برخاسته اند؛</w:t>
      </w:r>
    </w:p>
    <w:p>
      <w:pPr>
        <w:pStyle w:val="BookText"/>
      </w:pPr>
      <w:r>
        <w:rPr>
          <w:rFonts w:ascii="IRNazanin" w:hAnsi="IRNazanin" w:eastAsia="IRNazanin" w:cs="IRNazanin"/>
          <w:lang w:bidi="fa-IR"/>
          <w:color w:val="111111"/>
          <w:sz w:val="28"/>
          <w:szCs w:val="28"/>
          <w:rtl/>
        </w:rPr>
        <w:t xml:space="preserve">انجام: اوامر جهان مطاع ارسال اولندی. خط: نسخ، بی کا، تا: قرن ۱۳؛ شیوه عثمانی، با یک سرلوح کوچک، مجدول؛ واقف: نائینی؛ کاغذ: فرنگی آهار مهره، جلد: تیماج ضربی مشکی در وسط ترنج طلایی، ۲۳۶ گ، ۲۹ سطر ( ۲۲/۲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۱۰/۲ )، اندازه: ۲۶/۸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۷-۲۹]</w:t>
      </w:r>
    </w:p>
    <w:p>
      <w:pPr>
        <w:pStyle w:val="Heading3"/>
      </w:pPr>
      <w:bookmarkStart w:id="2219" w:name="_Toc1479"/>
      <w:r>
        <w:t>• تاریخ چلبی برهان الدین در فتح قلعه «معن» / تاریخ</w:t>
      </w:r>
      <w:bookmarkEnd w:id="2219"/>
    </w:p>
    <w:p>
      <w:pPr>
        <w:pStyle w:val="BookText"/>
      </w:pPr>
      <w:r>
        <w:rPr>
          <w:rFonts w:ascii="Times New Roman" w:hAnsi="Times New Roman" w:eastAsia="Times New Roman" w:cs="Times New Roman"/>
          <w:lang w:val="en-US" w:bidi="en-US"/>
          <w:color w:val="111111"/>
          <w:sz w:val="28"/>
          <w:szCs w:val="28"/>
          <w:rtl/>
        </w:rPr>
        <w:t xml:space="preserve">tārīx-e čalabī-ye borhān-od-dīn dar fath-e qal'e-ye «man</w:t>
      </w:r>
    </w:p>
    <w:p>
      <w:pPr>
        <w:pStyle w:val="BookText"/>
      </w:pPr>
      <w:r>
        <w:rPr>
          <w:rFonts w:ascii="IRNazanin" w:hAnsi="IRNazanin" w:eastAsia="IRNazanin" w:cs="IRNazanin"/>
          <w:lang w:bidi="fa-IR"/>
          <w:color w:val="111111"/>
          <w:sz w:val="28"/>
          <w:szCs w:val="28"/>
          <w:rtl/>
        </w:rPr>
        <w:t xml:space="preserve">تهران؛ دانشگاه؛ شماره نسخه:</w:t>
      </w:r>
    </w:p>
    <w:p>
      <w:pPr>
        <w:pStyle w:val="BookText"/>
      </w:pPr>
      <w:r>
        <w:rPr>
          <w:rFonts w:ascii="IRNazanin" w:hAnsi="IRNazanin" w:eastAsia="IRNazanin" w:cs="IRNazanin"/>
          <w:lang w:bidi="fa-IR"/>
          <w:color w:val="111111"/>
          <w:sz w:val="28"/>
          <w:szCs w:val="28"/>
          <w:rtl/>
        </w:rPr>
        <w:t xml:space="preserve">۵۷۳/۳۸</w:t>
      </w:r>
    </w:p>
    <w:p>
      <w:pPr>
        <w:pStyle w:val="BookText"/>
      </w:pPr>
      <w:r>
        <w:rPr>
          <w:rFonts w:ascii="IRNazanin" w:hAnsi="IRNazanin" w:eastAsia="IRNazanin" w:cs="IRNazanin"/>
          <w:lang w:bidi="fa-IR"/>
          <w:color w:val="111111"/>
          <w:sz w:val="28"/>
          <w:szCs w:val="28"/>
          <w:rtl/>
        </w:rPr>
        <w:t xml:space="preserve">ف نسخه اصل: لالا اسماعیل ش ۴۸۷ر؛ بی کا، تا: صفر ۷۹۲ق؛ اگ (۲۸۲) [فيلمها ف: ۱-۵۰۴]</w:t>
      </w:r>
    </w:p>
    <w:p>
      <w:pPr>
        <w:pStyle w:val="Heading3"/>
      </w:pPr>
      <w:bookmarkStart w:id="2220" w:name="_Toc1480"/>
      <w:r>
        <w:t>•تاریخچه د تاریخ عمومی / تاریخ جهان / فارسی</w:t>
      </w:r>
      <w:bookmarkEnd w:id="2220"/>
    </w:p>
    <w:p>
      <w:pPr>
        <w:pStyle w:val="BookText"/>
      </w:pPr>
      <w:r>
        <w:rPr>
          <w:rFonts w:ascii="Times New Roman" w:hAnsi="Times New Roman" w:eastAsia="Times New Roman" w:cs="Times New Roman"/>
          <w:lang w:val="en-US" w:bidi="en-US"/>
          <w:color w:val="111111"/>
          <w:sz w:val="28"/>
          <w:szCs w:val="28"/>
          <w:rtl/>
        </w:rPr>
        <w:t xml:space="preserve">tārīxčhe = tārīx-e 'omūmī</w:t>
      </w:r>
    </w:p>
    <w:p>
      <w:pPr>
        <w:pStyle w:val="BookText"/>
      </w:pPr>
      <w:r>
        <w:rPr>
          <w:rFonts w:ascii="IRNazanin" w:hAnsi="IRNazanin" w:eastAsia="IRNazanin" w:cs="IRNazanin"/>
          <w:lang w:bidi="fa-IR"/>
          <w:color w:val="111111"/>
          <w:sz w:val="28"/>
          <w:szCs w:val="28"/>
          <w:rtl/>
        </w:rPr>
        <w:t xml:space="preserve">مختصری است در تعیین تواریخ انبیا و بزرگان و پادشاهان وقایع و حوادث تا قرن ۱۰ که نویسنده خود زندگی می کرده و مؤلف تاریخ بسیاری از وقایع قرن ۹ و ۱۰ و وفیات معاریف را بسیار دقیق یاد کرده است. به هنگام نوشتن این رساله از ولادت پیغمبر (صلی الله علیه وآله وسلم) ۹۳۴ سال می گذشته است.</w:t>
      </w:r>
    </w:p>
    <w:p>
      <w:pPr>
        <w:pStyle w:val="BookText"/>
      </w:pPr>
      <w:r>
        <w:rPr>
          <w:rFonts w:ascii="IRNazanin" w:hAnsi="IRNazanin" w:eastAsia="IRNazanin" w:cs="IRNazanin"/>
          <w:lang w:bidi="fa-IR"/>
          <w:color w:val="111111"/>
          <w:sz w:val="28"/>
          <w:szCs w:val="28"/>
          <w:rtl/>
        </w:rPr>
        <w:t xml:space="preserve">[دنا ۶۹۹/۲ ؛ فهرستواره منزوی ۵۷۵/۱ ]</w:t>
      </w:r>
    </w:p>
    <w:p>
      <w:pPr>
        <w:pStyle w:val="BookText"/>
      </w:pPr>
      <w:r>
        <w:rPr>
          <w:rFonts w:ascii="IRNazanin" w:hAnsi="IRNazanin" w:eastAsia="IRNazanin" w:cs="IRNazanin"/>
          <w:lang w:bidi="fa-IR"/>
          <w:color w:val="111111"/>
          <w:sz w:val="28"/>
          <w:szCs w:val="28"/>
          <w:rtl/>
        </w:rPr>
        <w:t xml:space="preserve">تهران؛ مجلس؛ شماره نسخه:۲۷۸۵/۵</w:t>
      </w:r>
    </w:p>
    <w:p>
      <w:pPr>
        <w:pStyle w:val="BookText"/>
      </w:pPr>
      <w:r>
        <w:rPr>
          <w:rFonts w:ascii="IRNazanin" w:hAnsi="IRNazanin" w:eastAsia="IRNazanin" w:cs="IRNazanin"/>
          <w:lang w:bidi="fa-IR"/>
          <w:color w:val="111111"/>
          <w:sz w:val="28"/>
          <w:szCs w:val="28"/>
          <w:rtl/>
        </w:rPr>
        <w:t xml:space="preserve">آغاز: بسمله، تواریخ انبیا و اولیا و الملوک و السلاطين و الحوادث الواقعة في العالم. ابتداء آفرینش عالم چنانچه در تواریخ ... مشهور است و بزرگان اعتبار کنند؛ انجام: وفات میر اعظم ملك الأمراء المعظم امیر نظام الدین اشرف بیک ولد يار علی بیک ... در قزوین في شهر ربيع الاول سنه مذکوره، وفات امیر اعظم ابو الفتح ولد سلطان حسین بایندر فروردین ماه جلالی در حوالی شیراز و کشته شدن امیر اعظم شیخ علی بیک ولد يار بیک ... في يوم الاثنين 19 ذي القعدة الحرام سنة 988 هجريه. تمت الرساله بعون الملک الوهاب.</w:t>
      </w:r>
    </w:p>
    <w:p>
      <w:pPr>
        <w:pStyle w:val="BookText"/>
      </w:pPr>
      <w:r>
        <w:rPr>
          <w:rFonts w:ascii="IRNazanin" w:hAnsi="IRNazanin" w:eastAsia="IRNazanin" w:cs="IRNazanin"/>
          <w:lang w:bidi="fa-IR"/>
          <w:color w:val="111111"/>
          <w:sz w:val="28"/>
          <w:szCs w:val="28"/>
          <w:rtl/>
        </w:rPr>
        <w:t xml:space="preserve">بی کا، بی تا، کاغذ: فرنگی شکری رنگ، جلد: تیماج خرمایی طلاکوب، لاص (۴۹-۵۵)، ۲۳ سطر، قطع: نیم خشتی، اندازه: ۱۲/۵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سم [ف: ۱۰-۲۶]</w:t>
      </w:r>
    </w:p>
    <w:p>
      <w:pPr>
        <w:pStyle w:val="BookText"/>
      </w:pPr>
      <w:r>
        <w:rPr>
          <w:rFonts w:ascii="IRNazanin" w:hAnsi="IRNazanin" w:eastAsia="IRNazanin" w:cs="IRNazanin"/>
          <w:lang w:bidi="fa-IR"/>
          <w:color w:val="111111"/>
          <w:sz w:val="28"/>
          <w:szCs w:val="28"/>
          <w:rtl/>
        </w:rPr>
        <w:t xml:space="preserve">←تاریخچه احوالات پسرهای خاقان← تاریخ ملكزادگان تخمه خاقان مغفور</w:t>
      </w:r>
    </w:p>
    <w:p>
      <w:pPr>
        <w:pStyle w:val="Heading3"/>
      </w:pPr>
      <w:bookmarkStart w:id="2221" w:name="_Toc1481"/>
      <w:r>
        <w:t>•تاریخچه احوال علماء و مشاهیر / تراجم / فارسی</w:t>
      </w:r>
      <w:bookmarkEnd w:id="2221"/>
    </w:p>
    <w:p>
      <w:pPr>
        <w:pStyle w:val="BookText"/>
      </w:pPr>
      <w:r>
        <w:rPr>
          <w:rFonts w:ascii="Times New Roman" w:hAnsi="Times New Roman" w:eastAsia="Times New Roman" w:cs="Times New Roman"/>
          <w:lang w:val="en-US" w:bidi="en-US"/>
          <w:color w:val="111111"/>
          <w:sz w:val="28"/>
          <w:szCs w:val="28"/>
          <w:rtl/>
        </w:rPr>
        <w:t xml:space="preserve">tārīxčhe-ye ahvāl-e ‘olamā' va mašāhīr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444" w:name="pg20363_209750"/>
    <w:bookmarkEnd w:id="444"/>
    <w:p>
      <w:pPr>
        <w:pStyle w:val="BookText"/>
      </w:pPr>
      <w:r>
        <w:rPr>
          <w:rFonts w:ascii="IRNazanin" w:hAnsi="IRNazanin" w:eastAsia="IRNazanin" w:cs="IRNazanin"/>
          <w:lang w:bidi="fa-IR"/>
          <w:color w:val="111111"/>
          <w:sz w:val="28"/>
          <w:szCs w:val="28"/>
          <w:rtl/>
        </w:rPr>
        <w:t xml:space="preserve">تهران؛ مجلس؛ شماره نسخه:۱۷۷۴۹</w:t>
      </w:r>
    </w:p>
    <w:p>
      <w:pPr>
        <w:pStyle w:val="BookText"/>
      </w:pPr>
      <w:r>
        <w:rPr>
          <w:rFonts w:ascii="IRNazanin" w:hAnsi="IRNazanin" w:eastAsia="IRNazanin" w:cs="IRNazanin"/>
          <w:lang w:bidi="fa-IR"/>
          <w:color w:val="111111"/>
          <w:sz w:val="28"/>
          <w:szCs w:val="28"/>
          <w:rtl/>
        </w:rPr>
        <w:t xml:space="preserve">بی کا، بی تا [د.ث. مجلس</w:t>
      </w:r>
    </w:p>
    <w:p>
      <w:pPr>
        <w:pStyle w:val="BookText"/>
      </w:pPr>
      <w:r>
        <w:rPr>
          <w:rFonts w:ascii="IRNazanin" w:hAnsi="IRNazanin" w:eastAsia="IRNazanin" w:cs="IRNazanin"/>
          <w:lang w:bidi="fa-IR"/>
          <w:color w:val="111111"/>
          <w:sz w:val="28"/>
          <w:szCs w:val="28"/>
          <w:rtl/>
        </w:rPr>
        <w:t xml:space="preserve">← تاریخ چهارده معصوم ← تاریخ معصومین(عليهم السلام)</w:t>
      </w:r>
    </w:p>
    <w:p>
      <w:pPr>
        <w:pStyle w:val="BookText"/>
      </w:pPr>
      <w:r>
        <w:rPr>
          <w:rFonts w:ascii="IRNazanin" w:hAnsi="IRNazanin" w:eastAsia="IRNazanin" w:cs="IRNazanin"/>
          <w:lang w:bidi="fa-IR"/>
          <w:color w:val="111111"/>
          <w:sz w:val="28"/>
          <w:szCs w:val="28"/>
          <w:rtl/>
        </w:rPr>
        <w:t xml:space="preserve">← تاریخ چهارده معصوم ← زندگی نامه معصومین(عليهم السلام)</w:t>
      </w:r>
    </w:p>
    <w:p>
      <w:pPr>
        <w:pStyle w:val="Heading3"/>
      </w:pPr>
      <w:bookmarkStart w:id="2222" w:name="_Toc1482"/>
      <w:r>
        <w:t>•تاریخ چهارده معصوم / تاریخ معصومین / فارسی</w:t>
      </w:r>
      <w:bookmarkEnd w:id="2222"/>
    </w:p>
    <w:p>
      <w:pPr>
        <w:pStyle w:val="BookText"/>
      </w:pPr>
      <w:r>
        <w:rPr>
          <w:rFonts w:ascii="Times New Roman" w:hAnsi="Times New Roman" w:eastAsia="Times New Roman" w:cs="Times New Roman"/>
          <w:lang w:val="en-US" w:bidi="en-US"/>
          <w:color w:val="111111"/>
          <w:sz w:val="28"/>
          <w:szCs w:val="28"/>
          <w:rtl/>
        </w:rPr>
        <w:t xml:space="preserve">tārīx-e čahārdah ma‘sūm</w:t>
      </w:r>
    </w:p>
    <w:p>
      <w:pPr>
        <w:pStyle w:val="BookText"/>
      </w:pPr>
      <w:r>
        <w:rPr>
          <w:rFonts w:ascii="IRNazanin" w:hAnsi="IRNazanin" w:eastAsia="IRNazanin" w:cs="IRNazanin"/>
          <w:lang w:bidi="fa-IR"/>
          <w:color w:val="111111"/>
          <w:sz w:val="28"/>
          <w:szCs w:val="28"/>
          <w:rtl/>
        </w:rPr>
        <w:t xml:space="preserve">خیر آبادی، امان الله، ق۱۳ قمری</w:t>
      </w:r>
    </w:p>
    <w:p>
      <w:pPr>
        <w:pStyle w:val="BookText"/>
      </w:pPr>
      <w:r>
        <w:rPr>
          <w:rFonts w:ascii="Times New Roman" w:hAnsi="Times New Roman" w:eastAsia="Times New Roman" w:cs="Times New Roman"/>
          <w:lang w:val="en-US" w:bidi="en-US"/>
          <w:color w:val="111111"/>
          <w:sz w:val="28"/>
          <w:szCs w:val="28"/>
          <w:rtl/>
        </w:rPr>
        <w:t xml:space="preserve">xarābādī, amān-ol-lāh (-19c)</w:t>
      </w:r>
    </w:p>
    <w:p>
      <w:pPr>
        <w:pStyle w:val="BookText"/>
      </w:pPr>
      <w:r>
        <w:rPr>
          <w:rFonts w:ascii="IRNazanin" w:hAnsi="IRNazanin" w:eastAsia="IRNazanin" w:cs="IRNazanin"/>
          <w:lang w:bidi="fa-IR"/>
          <w:color w:val="111111"/>
          <w:sz w:val="28"/>
          <w:szCs w:val="28"/>
          <w:rtl/>
        </w:rPr>
        <w:t xml:space="preserve">تاریخ تأليف: ۱۲۲۲ق رساله ای است مختصر در احوالات چهارده معصوم (عليهم السلام)که در ذیل نام شریف هر یک از معصومین(عليهم السلام) این مطالب به صورت اختصار آورده شده است: اسماء شریفه، کنیه، القاب، مكان ولادت، روز و ماه و سال ولادت، نام پدر و مادر، نقش نگین، تعداد دختران و پسران و همسران، تاریخ وفات و شهادت و سبب شهادت، محل وفات و شهادت، مكان مرقد مطهر، نام سلطان زمان وی، نام نائب و وصی و نام دربان درگاه</w:t>
      </w:r>
    </w:p>
    <w:p>
      <w:pPr>
        <w:pStyle w:val="BookText"/>
      </w:pPr>
      <w:r>
        <w:rPr>
          <w:rFonts w:ascii="IRNazanin" w:hAnsi="IRNazanin" w:eastAsia="IRNazanin" w:cs="IRNazanin"/>
          <w:lang w:bidi="fa-IR"/>
          <w:color w:val="111111"/>
          <w:sz w:val="28"/>
          <w:szCs w:val="28"/>
          <w:rtl/>
        </w:rPr>
        <w:t xml:space="preserve">قم؛ گلپایگانی؛ شماره نسخه:۵۹۹۵/۴ -۳۰/۶۵</w:t>
      </w:r>
    </w:p>
    <w:p>
      <w:pPr>
        <w:pStyle w:val="BookText"/>
      </w:pPr>
      <w:r>
        <w:rPr>
          <w:rFonts w:ascii="IRNazanin" w:hAnsi="IRNazanin" w:eastAsia="IRNazanin" w:cs="IRNazanin"/>
          <w:lang w:bidi="fa-IR"/>
          <w:color w:val="111111"/>
          <w:sz w:val="28"/>
          <w:szCs w:val="28"/>
          <w:rtl/>
        </w:rPr>
        <w:t xml:space="preserve">آغاز: بسمله، از کتاب مستطاب مسمى بالسفينه اینست که ..... و جلاء العيون و از بعضی کتب معتبره دیگر غلام درگاه آل رسول سید امان الله خیر آبادی برای تسهیل مرام محبان خاندان على؛ انجام: معصوم چهاردهم اسم شریف امام محمد بن حسن (عليه السلام)</w:t>
      </w:r>
    </w:p>
    <w:p>
      <w:pPr>
        <w:pStyle w:val="BookText"/>
      </w:pPr>
      <w:r>
        <w:rPr>
          <w:rFonts w:ascii="IRNazanin" w:hAnsi="IRNazanin" w:eastAsia="IRNazanin" w:cs="IRNazanin"/>
          <w:lang w:bidi="fa-IR"/>
          <w:color w:val="111111"/>
          <w:sz w:val="28"/>
          <w:szCs w:val="28"/>
          <w:rtl/>
        </w:rPr>
        <w:t xml:space="preserve">کنیت شریف ابوالقاسم ... نام دربان درگاه عثمان بن سعید نام اوصیاء العلم عند الله تمام شد.</w:t>
      </w:r>
    </w:p>
    <w:p>
      <w:pPr>
        <w:pStyle w:val="BookText"/>
      </w:pPr>
      <w:r>
        <w:rPr>
          <w:rFonts w:ascii="IRNazanin" w:hAnsi="IRNazanin" w:eastAsia="IRNazanin" w:cs="IRNazanin"/>
          <w:lang w:bidi="fa-IR"/>
          <w:color w:val="111111"/>
          <w:sz w:val="28"/>
          <w:szCs w:val="28"/>
          <w:rtl/>
        </w:rPr>
        <w:t xml:space="preserve">از اول تا آخر؛ خط: نستعلیق، بی کا، تا: قرن ۱۳؛ در آخر نسخه در دو صفحه انواع خبر «متواتر، آحاد، صحیح، حسن، موثق، ضعیف، مقبول، مشهور، مضمر و ...» توضیح داده شده؛ جلد: مقوای سفید، عطف گالینگور، ۱۳، ۲۴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۲-۶۸۹]</w:t>
      </w:r>
    </w:p>
    <w:p>
      <w:pPr>
        <w:pStyle w:val="Heading3"/>
      </w:pPr>
      <w:bookmarkStart w:id="2223" w:name="_Toc1483"/>
      <w:r>
        <w:t>• تاریخ چهارده معصوم / تاریخ معصومین / فارسی</w:t>
      </w:r>
      <w:bookmarkEnd w:id="2223"/>
    </w:p>
    <w:p>
      <w:pPr>
        <w:pStyle w:val="BookText"/>
      </w:pPr>
      <w:r>
        <w:rPr>
          <w:rFonts w:ascii="Times New Roman" w:hAnsi="Times New Roman" w:eastAsia="Times New Roman" w:cs="Times New Roman"/>
          <w:lang w:val="en-US" w:bidi="en-US"/>
          <w:color w:val="111111"/>
          <w:sz w:val="28"/>
          <w:szCs w:val="28"/>
          <w:rtl/>
        </w:rPr>
        <w:t xml:space="preserve">tārīx-e čahārdah ma‘sūm</w:t>
      </w:r>
    </w:p>
    <w:p>
      <w:pPr>
        <w:pStyle w:val="BookText"/>
      </w:pPr>
      <w:r>
        <w:rPr>
          <w:rFonts w:ascii="IRNazanin" w:hAnsi="IRNazanin" w:eastAsia="IRNazanin" w:cs="IRNazanin"/>
          <w:lang w:bidi="fa-IR"/>
          <w:color w:val="111111"/>
          <w:sz w:val="28"/>
          <w:szCs w:val="28"/>
          <w:rtl/>
        </w:rPr>
        <w:t xml:space="preserve">خوانساری، ولى الدين على</w:t>
      </w:r>
    </w:p>
    <w:p>
      <w:pPr>
        <w:pStyle w:val="BookText"/>
      </w:pPr>
      <w:r>
        <w:rPr>
          <w:rFonts w:ascii="Times New Roman" w:hAnsi="Times New Roman" w:eastAsia="Times New Roman" w:cs="Times New Roman"/>
          <w:lang w:val="en-US" w:bidi="en-US"/>
          <w:color w:val="111111"/>
          <w:sz w:val="28"/>
          <w:szCs w:val="28"/>
          <w:rtl/>
        </w:rPr>
        <w:t xml:space="preserve">xānsārī, valī-od-dīn 'alī</w:t>
      </w:r>
    </w:p>
    <w:p>
      <w:pPr>
        <w:pStyle w:val="BookText"/>
      </w:pPr>
      <w:r>
        <w:rPr>
          <w:rFonts w:ascii="IRNazanin" w:hAnsi="IRNazanin" w:eastAsia="IRNazanin" w:cs="IRNazanin"/>
          <w:lang w:bidi="fa-IR"/>
          <w:color w:val="111111"/>
          <w:sz w:val="28"/>
          <w:szCs w:val="28"/>
          <w:rtl/>
        </w:rPr>
        <w:t xml:space="preserve">رساله ای است در شناختن القاب و انساب و مبدء نشو و نما و عدد اولاد ازدواج و مدت عمر ائمه(عليه السلام)، مشتمل بر ۱۴ «نور». آغاز: حمد خداوندی را سزاست که سمند خیال را در بیابان بی پایان تصورات به جلوه ظهور در آورده و شکر معبودی را سزد</w:t>
      </w:r>
    </w:p>
    <w:p>
      <w:pPr>
        <w:pStyle w:val="BookText"/>
      </w:pPr>
      <w:r>
        <w:rPr>
          <w:rFonts w:ascii="IRNazanin" w:hAnsi="IRNazanin" w:eastAsia="IRNazanin" w:cs="IRNazanin"/>
          <w:lang w:bidi="fa-IR"/>
          <w:color w:val="111111"/>
          <w:sz w:val="28"/>
          <w:szCs w:val="28"/>
          <w:rtl/>
        </w:rPr>
        <w:t xml:space="preserve">[دنا ۶۹۸/۲ ]</w:t>
      </w:r>
    </w:p>
    <w:p>
      <w:pPr>
        <w:pStyle w:val="BookText"/>
      </w:pPr>
      <w:r>
        <w:rPr>
          <w:rFonts w:ascii="IRNazanin" w:hAnsi="IRNazanin" w:eastAsia="IRNazanin" w:cs="IRNazanin"/>
          <w:lang w:bidi="fa-IR"/>
          <w:color w:val="111111"/>
          <w:sz w:val="28"/>
          <w:szCs w:val="28"/>
          <w:rtl/>
        </w:rPr>
        <w:t xml:space="preserve">مشهد؛ رضوی؛ شماره نسخه:۳۸۱۱۸</w:t>
      </w:r>
    </w:p>
    <w:p>
      <w:pPr>
        <w:pStyle w:val="BookText"/>
      </w:pPr>
      <w:r>
        <w:rPr>
          <w:rFonts w:ascii="IRNazanin" w:hAnsi="IRNazanin" w:eastAsia="IRNazanin" w:cs="IRNazanin"/>
          <w:lang w:bidi="fa-IR"/>
          <w:color w:val="111111"/>
          <w:sz w:val="28"/>
          <w:szCs w:val="28"/>
          <w:rtl/>
        </w:rPr>
        <w:t xml:space="preserve">آغاز: برابر؛ انجام: در دانستن بعضی از عبارات ضروریه. خدا یکی را از شر شیطان و دیو نفس اماره نجات دهد بحق محمد و آله اجمعين الطيبين الطاهرين. خط: نستعلیق، بی کا، تا: ۱۲۳۴ق؛ مجدول؛ مهر: «الراجی محمد باقر بن محمد حسن» (بیضوی)؛ جلد: تیماج مشکی، ۲۲گ (آپ۔ ۲۲پ)، ۲۰ 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 اهدائی رهبر: ۸-۱۷۳]</w:t>
      </w:r>
    </w:p>
    <w:p>
      <w:pPr>
        <w:pStyle w:val="BookText"/>
      </w:pPr>
      <w:r>
        <w:rPr>
          <w:rFonts w:ascii="IRNazanin" w:hAnsi="IRNazanin" w:eastAsia="IRNazanin" w:cs="IRNazanin"/>
          <w:lang w:bidi="fa-IR"/>
          <w:color w:val="111111"/>
          <w:sz w:val="28"/>
          <w:szCs w:val="28"/>
          <w:rtl/>
        </w:rPr>
        <w:t xml:space="preserve">مشهد؛ شیخ علی حیدر، شماره نسخه: ۱۴۸۳/۱</w:t>
      </w:r>
    </w:p>
    <w:p>
      <w:pPr>
        <w:pStyle w:val="BookText"/>
      </w:pPr>
      <w:r>
        <w:rPr>
          <w:rFonts w:ascii="IRNazanin" w:hAnsi="IRNazanin" w:eastAsia="IRNazanin" w:cs="IRNazanin"/>
          <w:lang w:bidi="fa-IR"/>
          <w:color w:val="111111"/>
          <w:sz w:val="28"/>
          <w:szCs w:val="28"/>
          <w:rtl/>
        </w:rPr>
        <w:t xml:space="preserve">همان نسخه بالا [ مؤید: ۳-۳۹۰]</w:t>
      </w:r>
    </w:p>
    <w:p>
      <w:pPr>
        <w:pStyle w:val="Heading3"/>
      </w:pPr>
      <w:bookmarkStart w:id="2224" w:name="_Toc1484"/>
      <w:r>
        <w:t>•تاریخ چهارده معصوم / تاریخ معصومین / عربی</w:t>
      </w:r>
      <w:bookmarkEnd w:id="2224"/>
    </w:p>
    <w:p>
      <w:pPr>
        <w:pStyle w:val="BookText"/>
      </w:pPr>
      <w:r>
        <w:rPr>
          <w:rFonts w:ascii="Times New Roman" w:hAnsi="Times New Roman" w:eastAsia="Times New Roman" w:cs="Times New Roman"/>
          <w:lang w:val="en-US" w:bidi="en-US"/>
          <w:color w:val="111111"/>
          <w:sz w:val="28"/>
          <w:szCs w:val="28"/>
          <w:rtl/>
        </w:rPr>
        <w:t xml:space="preserve">tārīx-e čahārdah ma‘sūm</w:t>
      </w:r>
    </w:p>
    <w:p>
      <w:pPr>
        <w:pStyle w:val="BookText"/>
      </w:pPr>
      <w:r>
        <w:rPr>
          <w:rFonts w:ascii="IRNazanin" w:hAnsi="IRNazanin" w:eastAsia="IRNazanin" w:cs="IRNazanin"/>
          <w:lang w:bidi="fa-IR"/>
          <w:color w:val="111111"/>
          <w:sz w:val="28"/>
          <w:szCs w:val="28"/>
          <w:rtl/>
        </w:rPr>
        <w:t xml:space="preserve">تاریخچه مواليد و وفيات و زندگی پیغمبر (صلی الله علیه وآله وسلم) و امامان(عليهم السلام)است مستخرج از مقنعه شیخ مفید محمد بن محمد بن نعمان بغدادی (م ۴۱۳). نویسنده در پایان این تاریخچه از رجال میرزا محمد استر آبادی یاد کرده است.</w:t>
      </w:r>
    </w:p>
    <w:p>
      <w:pPr>
        <w:pStyle w:val="BookText"/>
      </w:pPr>
      <w:r>
        <w:rPr>
          <w:rFonts w:ascii="IRNazanin" w:hAnsi="IRNazanin" w:eastAsia="IRNazanin" w:cs="IRNazanin"/>
          <w:lang w:bidi="fa-IR"/>
          <w:color w:val="111111"/>
          <w:sz w:val="28"/>
          <w:szCs w:val="28"/>
          <w:rtl/>
        </w:rPr>
        <w:t xml:space="preserve">تهران؛ مجلس؛ شماره نسخه: ۱۸۰۵/۴۲</w:t>
      </w:r>
    </w:p>
    <w:p>
      <w:pPr>
        <w:pStyle w:val="BookText"/>
      </w:pPr>
      <w:r>
        <w:rPr>
          <w:rFonts w:ascii="IRNazanin" w:hAnsi="IRNazanin" w:eastAsia="IRNazanin" w:cs="IRNazanin"/>
          <w:lang w:bidi="fa-IR"/>
          <w:color w:val="111111"/>
          <w:sz w:val="28"/>
          <w:szCs w:val="28"/>
          <w:rtl/>
        </w:rPr>
        <w:t xml:space="preserve">آغاز: تاریخ ولادت رسول الله و الائمه علیهم السلام و وفاتهم و موضع و فاتهم و مدة عمر هم على ما ذكره المفيده في المقنعه، محمد بن عبد الله (صلی الله علیه وآله وسلم)و لدبمكة يوم الجمعه السابع عشر من شهر ربیع الاول في عام الفيل؛ انجام: يرمى فقال لله امر هو بالغه و مات رحمه الله سنة تسع و عشرین و ثلاثمايه قوقعت الغيه الكبرى رجال میرزا محمد خط: نسخ، بی کا، تا: با تاریخ ۱۰۷۹ق؛ کاغذ: فرنگی سفید، جلد: تیماج قرمز ضربی، ۴ص (۳۰۴-۳۰۷)، ۲۵ سطر،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۹-۳۶۳]</w:t>
      </w:r>
    </w:p>
    <w:p>
      <w:pPr>
        <w:pStyle w:val="Heading3"/>
      </w:pPr>
      <w:bookmarkStart w:id="2225" w:name="_Toc1485"/>
      <w:r>
        <w:t>•تاریخ چهارده معصوم / تاریخ معصومین / فارسی</w:t>
      </w:r>
      <w:bookmarkEnd w:id="2225"/>
    </w:p>
    <w:p>
      <w:pPr>
        <w:pStyle w:val="BookText"/>
      </w:pPr>
      <w:r>
        <w:rPr>
          <w:rFonts w:ascii="Times New Roman" w:hAnsi="Times New Roman" w:eastAsia="Times New Roman" w:cs="Times New Roman"/>
          <w:lang w:val="en-US" w:bidi="en-US"/>
          <w:color w:val="111111"/>
          <w:sz w:val="28"/>
          <w:szCs w:val="28"/>
          <w:rtl/>
        </w:rPr>
        <w:t xml:space="preserve">tārīx-e čahārdah ma‘sūm</w:t>
      </w:r>
    </w:p>
    <w:p>
      <w:pPr>
        <w:pStyle w:val="BookText"/>
      </w:pPr>
      <w:r>
        <w:rPr>
          <w:rFonts w:ascii="IRNazanin" w:hAnsi="IRNazanin" w:eastAsia="IRNazanin" w:cs="IRNazanin"/>
          <w:lang w:bidi="fa-IR"/>
          <w:color w:val="111111"/>
          <w:sz w:val="28"/>
          <w:szCs w:val="28"/>
          <w:rtl/>
        </w:rPr>
        <w:t xml:space="preserve">غیر همانند: ١. مشهد؛ شیخ علی حیدر؛ شماره نسخه:۱۲۳۳</w:t>
      </w:r>
    </w:p>
    <w:p>
      <w:pPr>
        <w:pStyle w:val="BookText"/>
      </w:pPr>
      <w:r>
        <w:rPr>
          <w:rFonts w:ascii="IRNazanin" w:hAnsi="IRNazanin" w:eastAsia="IRNazanin" w:cs="IRNazanin"/>
          <w:lang w:bidi="fa-IR"/>
          <w:color w:val="111111"/>
          <w:sz w:val="28"/>
          <w:szCs w:val="28"/>
          <w:rtl/>
        </w:rPr>
        <w:t xml:space="preserve">آغاز: آنحضرت است، بدانکه اشهر میان علمای امامیه آنست که؛ انجام: و باطل را به او سرنگون سازم و دینت حق برای من خالص باشد، باینجا ختم کردم این عجاله کتابی است در تاریخ چهارده معصوم(عليهم السلام)است که بر ۱۴ «باب» مرتب است و هر بابی دارای فصولی است. تاریخ تأليف ۶ محرم ۱۰۸۹ است. از تاریخ امام حسين(عليه السلام)شروع می شود؛ خط: نسخ، كان ملا ربيعا بن محمد صادق، تا: چهارشنبه ۵ جمادی الثانی ۱۱۱۵ق؛ افتادگی: آغاز؛ کتابت از روی خط مصنف ظاهرة مصحح، با علامت بلاغ؛ مهر: «المذنب عنایت الله» (بیضوی)؛ جلد: معمولی، ۲۵۳گ، ۲۱ سطر، اندازه: ۱۶/۵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۲۴/۵سم [ مؤيد: ۳-۱۹۸]</w:t>
      </w:r>
    </w:p>
    <w:p>
      <w:pPr>
        <w:pStyle w:val="BookText"/>
      </w:pPr>
      <w:r>
        <w:rPr>
          <w:rFonts w:ascii="IRNazanin" w:hAnsi="IRNazanin" w:eastAsia="IRNazanin" w:cs="IRNazanin"/>
          <w:lang w:bidi="fa-IR"/>
          <w:color w:val="111111"/>
          <w:sz w:val="28"/>
          <w:szCs w:val="28"/>
          <w:rtl/>
        </w:rPr>
        <w:t xml:space="preserve">۲. اردکان یزد؛ امام صادق؛ شماره نسخه:۱۵۷</w:t>
      </w:r>
    </w:p>
    <w:p>
      <w:pPr>
        <w:pStyle w:val="BookText"/>
      </w:pPr>
      <w:r>
        <w:rPr>
          <w:rFonts w:ascii="IRNazanin" w:hAnsi="IRNazanin" w:eastAsia="IRNazanin" w:cs="IRNazanin"/>
          <w:lang w:bidi="fa-IR"/>
          <w:color w:val="111111"/>
          <w:sz w:val="28"/>
          <w:szCs w:val="28"/>
          <w:rtl/>
        </w:rPr>
        <w:t xml:space="preserve">آغاز: افکند برای نثار ولادت آن حضرت و شیعیان را به زنجیر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445" w:name="pg20363_209751"/>
    <w:bookmarkEnd w:id="445"/>
    <w:p>
      <w:pPr>
        <w:pStyle w:val="BookText"/>
      </w:pPr>
      <w:r>
        <w:rPr>
          <w:rFonts w:ascii="IRNazanin" w:hAnsi="IRNazanin" w:eastAsia="IRNazanin" w:cs="IRNazanin"/>
          <w:lang w:bidi="fa-IR"/>
          <w:color w:val="111111"/>
          <w:sz w:val="28"/>
          <w:szCs w:val="28"/>
          <w:rtl/>
        </w:rPr>
        <w:t xml:space="preserve">بستند و چهل روز در قلعه ای محبوس کردند؛ انجام: و يرقان است بر بنی آدم و علت گرفتن محصولات و اشجار و طاعون عظیم است در روم مکرر و خرابی اکثر امصار کتابی است مختصر در حالات چهارده معصوم در چهارده «باب»؛ خط: نستعلیق، بی کا، تا: قرن ۱۳؛ افتادگی: آغاز و انجام؛ اهدایی: ورثه امام زاده؛ کاغذ: الوان، جلد: پارچه ای چهار خانه، ۷۰گ، مختلف السطر،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۱-۱۴۰]</w:t>
      </w:r>
    </w:p>
    <w:p>
      <w:pPr>
        <w:pStyle w:val="BookText"/>
      </w:pPr>
      <w:r>
        <w:rPr>
          <w:rFonts w:ascii="IRNazanin" w:hAnsi="IRNazanin" w:eastAsia="IRNazanin" w:cs="IRNazanin"/>
          <w:lang w:bidi="fa-IR"/>
          <w:color w:val="111111"/>
          <w:sz w:val="28"/>
          <w:szCs w:val="28"/>
          <w:rtl/>
        </w:rPr>
        <w:t xml:space="preserve">٣. تهران: نوربخش؛ شماره نسخه: ۷۷۴/۲</w:t>
      </w:r>
    </w:p>
    <w:p>
      <w:pPr>
        <w:pStyle w:val="BookText"/>
      </w:pPr>
      <w:r>
        <w:rPr>
          <w:rFonts w:ascii="IRNazanin" w:hAnsi="IRNazanin" w:eastAsia="IRNazanin" w:cs="IRNazanin"/>
          <w:lang w:bidi="fa-IR"/>
          <w:color w:val="111111"/>
          <w:sz w:val="28"/>
          <w:szCs w:val="28"/>
          <w:rtl/>
        </w:rPr>
        <w:t xml:space="preserve">جدول «معرفت احوال» چهارده معصوم است با تشجير؛ خط: نستعلیق، بی کا، تا: قرن ۱۳؛ کاغذ: فرنگی سفید، جلد: تیماج مشکی، ۸گ (۷۳-۸۰)، ۱۸ سطر، قطع: خشتی،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 نشریه: ۱۳-۱۵۸]</w:t>
      </w:r>
    </w:p>
    <w:p>
      <w:pPr>
        <w:pStyle w:val="BookText"/>
      </w:pPr>
      <w:r>
        <w:rPr>
          <w:rFonts w:ascii="Amiri" w:hAnsi="Amiri" w:eastAsia="Amiri" w:cs="Amiri"/>
          <w:lang w:bidi="ar-SA"/>
          <w:color w:val="111111"/>
          <w:sz w:val="28"/>
          <w:szCs w:val="28"/>
          <w:rtl/>
        </w:rPr>
        <w:t xml:space="preserve">۴. تهران؛ مجلس؛ شماره نسخه: ۹۴/۱ - فيروز</w:t>
      </w:r>
    </w:p>
    <w:p>
      <w:pPr>
        <w:pStyle w:val="BookText"/>
      </w:pPr>
      <w:r>
        <w:rPr>
          <w:rFonts w:ascii="IRNazanin" w:hAnsi="IRNazanin" w:eastAsia="IRNazanin" w:cs="IRNazanin"/>
          <w:lang w:bidi="fa-IR"/>
          <w:color w:val="111111"/>
          <w:sz w:val="28"/>
          <w:szCs w:val="28"/>
          <w:rtl/>
        </w:rPr>
        <w:t xml:space="preserve">جدولی است با ۲۱ خصوصیت برای هر یک از ۱۴ معصوم؛ خط: نستعلیق، كا: علی پناه سالکی، تا: ۱۲۳۹ق؛ کاغذ: فرنگی آهار مهره، جلد: تیماج قرمز با ترنج و نیم ترنج، ۲ ص (۱-۲)، اندازه: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۲۰/۵سم [ف: ۲۱-۲۳۰]</w:t>
      </w:r>
    </w:p>
    <w:p>
      <w:pPr>
        <w:pStyle w:val="BookText"/>
      </w:pPr>
      <w:r>
        <w:rPr>
          <w:rFonts w:ascii="IRNazanin" w:hAnsi="IRNazanin" w:eastAsia="IRNazanin" w:cs="IRNazanin"/>
          <w:lang w:bidi="fa-IR"/>
          <w:color w:val="111111"/>
          <w:sz w:val="28"/>
          <w:szCs w:val="28"/>
          <w:rtl/>
        </w:rPr>
        <w:t xml:space="preserve">۵. اردکان یزد؛ امام صادق؛ شماره نسخه:۴۰۵</w:t>
      </w:r>
    </w:p>
    <w:p>
      <w:pPr>
        <w:pStyle w:val="BookText"/>
      </w:pPr>
      <w:r>
        <w:rPr>
          <w:rFonts w:ascii="IRNazanin" w:hAnsi="IRNazanin" w:eastAsia="IRNazanin" w:cs="IRNazanin"/>
          <w:lang w:bidi="fa-IR"/>
          <w:color w:val="111111"/>
          <w:sz w:val="28"/>
          <w:szCs w:val="28"/>
          <w:rtl/>
        </w:rPr>
        <w:t xml:space="preserve">آغاز: و تلقای نفس خود چیزی نمی گفت فائده جبرئیل و میکائیل دو اسم عجمی اند که ... کرده اند جبر در لغت سریانی به معنی عبد است؛ انجام: و كفرها که از ایشان صادر شده و تا حال بحمدالله جمعی از ایشان شیعه و مومن شدند و الله يهدي من يشاء الی صراط المستقيم</w:t>
      </w:r>
    </w:p>
    <w:p>
      <w:pPr>
        <w:pStyle w:val="BookText"/>
      </w:pPr>
      <w:r>
        <w:rPr>
          <w:rFonts w:ascii="IRNazanin" w:hAnsi="IRNazanin" w:eastAsia="IRNazanin" w:cs="IRNazanin"/>
          <w:lang w:bidi="fa-IR"/>
          <w:color w:val="111111"/>
          <w:sz w:val="28"/>
          <w:szCs w:val="28"/>
          <w:rtl/>
        </w:rPr>
        <w:t xml:space="preserve">احوالات و تاریخ زندگانی چهارده معصوم را به گونه ای بسیار مختصر گزارش کرده و در تاریخ حضرت حجت به تفصیل پرداخته و چون از آغاز نسخه افتادگی دارد نام کتاب و مؤلف باید تحقیق شود؛ خط: نسخ، كا: محمد علی بن سید مهدی اردستانی طباطبائی، تا: ربيع الثانی ۱۲۶۰ق، جا: اردستان؛ افتادگی: آغاز؛ ۱۰۵گ، ۱۹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w:t>
      </w:r>
    </w:p>
    <w:p>
      <w:pPr>
        <w:pStyle w:val="BookText"/>
      </w:pPr>
      <w:r>
        <w:rPr>
          <w:rFonts w:ascii="IRNazanin" w:hAnsi="IRNazanin" w:eastAsia="IRNazanin" w:cs="IRNazanin"/>
          <w:lang w:bidi="fa-IR"/>
          <w:color w:val="111111"/>
          <w:sz w:val="28"/>
          <w:szCs w:val="28"/>
          <w:rtl/>
        </w:rPr>
        <w:t xml:space="preserve">سم [ف: ۲-۱۲۹)</w:t>
      </w:r>
    </w:p>
    <w:p>
      <w:pPr>
        <w:pStyle w:val="BookText"/>
      </w:pPr>
      <w:r>
        <w:rPr>
          <w:rFonts w:ascii="IRNazanin" w:hAnsi="IRNazanin" w:eastAsia="IRNazanin" w:cs="IRNazanin"/>
          <w:lang w:bidi="fa-IR"/>
          <w:color w:val="111111"/>
          <w:sz w:val="28"/>
          <w:szCs w:val="28"/>
          <w:rtl/>
        </w:rPr>
        <w:t xml:space="preserve">۶. قم؛ گلپایگانی؛ شماره نسخه: ۷۸۷۸/۲ - ۵۳/۸۸</w:t>
      </w:r>
    </w:p>
    <w:p>
      <w:pPr>
        <w:pStyle w:val="BookText"/>
      </w:pPr>
      <w:r>
        <w:rPr>
          <w:rFonts w:ascii="IRNazanin" w:hAnsi="IRNazanin" w:eastAsia="IRNazanin" w:cs="IRNazanin"/>
          <w:lang w:bidi="fa-IR"/>
          <w:color w:val="111111"/>
          <w:sz w:val="28"/>
          <w:szCs w:val="28"/>
          <w:rtl/>
        </w:rPr>
        <w:t xml:space="preserve">آغاز: رفتند که حقیقت واقعه را معلوم کنند ایشان را به تیرهای شهاب زدند برای دلالت پیغمبری آنحضرت بخشی از کتابی است در تاریخ ائمه. در نسخه حاضر تاریخ حضرت پیامبر و حضرت على(عليه السلام) موجود است. گویا بخشی از کتاب حيوة القلوب علامه مجلسی است؛ خط: نسخ، بی کا، بی تاب افتادگی: آغاز و انجام؛ ۳۸ گ، ۱۸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w:t>
      </w:r>
    </w:p>
    <w:p>
      <w:pPr>
        <w:pStyle w:val="BookText"/>
      </w:pPr>
      <w:r>
        <w:rPr>
          <w:rFonts w:ascii="IRNazanin" w:hAnsi="IRNazanin" w:eastAsia="IRNazanin" w:cs="IRNazanin"/>
          <w:lang w:bidi="fa-IR"/>
          <w:color w:val="111111"/>
          <w:sz w:val="28"/>
          <w:szCs w:val="28"/>
          <w:rtl/>
        </w:rPr>
        <w:t xml:space="preserve">[۶۸۸-۲ ]</w:t>
      </w:r>
    </w:p>
    <w:p>
      <w:pPr>
        <w:pStyle w:val="BookText"/>
      </w:pPr>
      <w:r>
        <w:rPr>
          <w:rFonts w:ascii="IRNazanin" w:hAnsi="IRNazanin" w:eastAsia="IRNazanin" w:cs="IRNazanin"/>
          <w:lang w:bidi="fa-IR"/>
          <w:color w:val="111111"/>
          <w:sz w:val="28"/>
          <w:szCs w:val="28"/>
          <w:rtl/>
        </w:rPr>
        <w:t xml:space="preserve">۷. یزد؛ وزیری؛ شماره نسخه:۲۱۲۹</w:t>
      </w:r>
    </w:p>
    <w:p>
      <w:pPr>
        <w:pStyle w:val="BookText"/>
      </w:pPr>
      <w:r>
        <w:rPr>
          <w:rFonts w:ascii="IRNazanin" w:hAnsi="IRNazanin" w:eastAsia="IRNazanin" w:cs="IRNazanin"/>
          <w:lang w:bidi="fa-IR"/>
          <w:color w:val="111111"/>
          <w:sz w:val="28"/>
          <w:szCs w:val="28"/>
          <w:rtl/>
        </w:rPr>
        <w:t xml:space="preserve">آغاز: الاسم رجب المرجب بعد عام الفيل بسی سال گویند؛ انجام: و جوانی را دید نیکو روی گندم گون با دو ذوابه. کتابی مشتمل بر تاریخ چهارده معصوم(عليه السلام)و بعض از معجزات؛ خط: نسخ، بی کا، بی تا؛ افتادگی: آغاز و انجام؛ اهدایی: وزیری؛ کاغذ: نوعی ترمه، جلد: مقوایی روکش کاغذ مشکی، ۲۱۲ گ،  ۱۵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[ف: ۴-۲۱۱۷۳]</w:t>
      </w:r>
    </w:p>
    <w:p>
      <w:pPr>
        <w:pStyle w:val="BookText"/>
      </w:pPr>
      <w:r>
        <w:rPr>
          <w:rFonts w:ascii="IRNazanin" w:hAnsi="IRNazanin" w:eastAsia="IRNazanin" w:cs="IRNazanin"/>
          <w:lang w:bidi="fa-IR"/>
          <w:color w:val="111111"/>
          <w:sz w:val="28"/>
          <w:szCs w:val="28"/>
          <w:rtl/>
        </w:rPr>
        <w:t xml:space="preserve">۸. یزد؛ وزیری؛ شماره نسخه: ۴۰۷۴</w:t>
      </w:r>
    </w:p>
    <w:p>
      <w:pPr>
        <w:pStyle w:val="BookText"/>
      </w:pPr>
      <w:r>
        <w:rPr>
          <w:rFonts w:ascii="IRNazanin" w:hAnsi="IRNazanin" w:eastAsia="IRNazanin" w:cs="IRNazanin"/>
          <w:lang w:bidi="fa-IR"/>
          <w:color w:val="111111"/>
          <w:sz w:val="28"/>
          <w:szCs w:val="28"/>
          <w:rtl/>
        </w:rPr>
        <w:t xml:space="preserve">بی کا، بی تا [نشریه: ۱۳-۳۶۲]</w:t>
      </w:r>
    </w:p>
    <w:p>
      <w:pPr>
        <w:pStyle w:val="Heading3"/>
      </w:pPr>
      <w:bookmarkStart w:id="2226" w:name="_Toc1486"/>
      <w:r>
        <w:t>•تاریخچه استفاده از چای و شکر در ایران / تاریخ ایران / فارسی</w:t>
      </w:r>
      <w:bookmarkEnd w:id="2226"/>
    </w:p>
    <w:p>
      <w:pPr>
        <w:pStyle w:val="BookText"/>
      </w:pPr>
      <w:r>
        <w:rPr>
          <w:rFonts w:ascii="Times New Roman" w:hAnsi="Times New Roman" w:eastAsia="Times New Roman" w:cs="Times New Roman"/>
          <w:lang w:val="en-US" w:bidi="en-US"/>
          <w:color w:val="111111"/>
          <w:sz w:val="28"/>
          <w:szCs w:val="28"/>
          <w:rtl/>
        </w:rPr>
        <w:t xml:space="preserve">tārīxčhe-ye estefāde az čāy va šekar dar īrān</w:t>
      </w:r>
    </w:p>
    <w:p>
      <w:pPr>
        <w:pStyle w:val="BookText"/>
      </w:pPr>
      <w:r>
        <w:rPr>
          <w:rFonts w:ascii="IRNazanin" w:hAnsi="IRNazanin" w:eastAsia="IRNazanin" w:cs="IRNazanin"/>
          <w:lang w:bidi="fa-IR"/>
          <w:color w:val="111111"/>
          <w:sz w:val="28"/>
          <w:szCs w:val="28"/>
          <w:rtl/>
        </w:rPr>
        <w:t xml:space="preserve">تهران؛ مجلس؛ شماره نسخه: ۸۹۶۸/۳۸</w:t>
      </w:r>
    </w:p>
    <w:p>
      <w:pPr>
        <w:pStyle w:val="BookText"/>
      </w:pPr>
      <w:r>
        <w:rPr>
          <w:rFonts w:ascii="IRNazanin" w:hAnsi="IRNazanin" w:eastAsia="IRNazanin" w:cs="IRNazanin"/>
          <w:lang w:bidi="fa-IR"/>
          <w:color w:val="111111"/>
          <w:sz w:val="28"/>
          <w:szCs w:val="28"/>
          <w:rtl/>
        </w:rPr>
        <w:t xml:space="preserve">آغاز: چای اگر چه قبل از ظهور این دولت وارد ایران گردیده است اما مثل اغلب طیبات و مواد تنعم خط: نستعلیق و شکسته، بی کا، تا: اوایل قرن ۱۴؛ کاغذ: فرنگی نخودی و فستقی، جلد: چرم قهوه ای با ترنج منقش به گل و مرغ، کص (۳۶۸-۳۶۹)، اندازه:</w:t>
      </w:r>
    </w:p>
    <w:p>
      <w:pPr>
        <w:pStyle w:val="BookText"/>
      </w:pPr>
      <w:r>
        <w:rPr>
          <w:rFonts w:ascii="IRNazanin" w:hAnsi="IRNazanin" w:eastAsia="IRNazanin" w:cs="IRNazanin"/>
          <w:lang w:bidi="fa-IR"/>
          <w:color w:val="111111"/>
          <w:sz w:val="28"/>
          <w:szCs w:val="28"/>
          <w:rtl/>
        </w:rPr>
        <w:t xml:space="preserve">۲۱/۸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۱۲/۶ سم [ف: ۲۹/۱-۴۹۶]</w:t>
      </w:r>
    </w:p>
    <w:p>
      <w:pPr>
        <w:pStyle w:val="Heading3"/>
      </w:pPr>
      <w:bookmarkStart w:id="2227" w:name="_Toc1487"/>
      <w:r>
        <w:t>•تاریخچه افکار سیاسی / تاریخ / فارسی</w:t>
      </w:r>
      <w:bookmarkEnd w:id="2227"/>
    </w:p>
    <w:p>
      <w:pPr>
        <w:pStyle w:val="BookText"/>
      </w:pPr>
      <w:r>
        <w:rPr>
          <w:rFonts w:ascii="Times New Roman" w:hAnsi="Times New Roman" w:eastAsia="Times New Roman" w:cs="Times New Roman"/>
          <w:lang w:val="en-US" w:bidi="en-US"/>
          <w:color w:val="111111"/>
          <w:sz w:val="28"/>
          <w:szCs w:val="28"/>
          <w:rtl/>
        </w:rPr>
        <w:t xml:space="preserve">tārīxche afkār-e sīyāsī</w:t>
      </w:r>
    </w:p>
    <w:p>
      <w:pPr>
        <w:pStyle w:val="BookText"/>
      </w:pPr>
      <w:r>
        <w:rPr>
          <w:rFonts w:ascii="IRNazanin" w:hAnsi="IRNazanin" w:eastAsia="IRNazanin" w:cs="IRNazanin"/>
          <w:lang w:bidi="fa-IR"/>
          <w:color w:val="111111"/>
          <w:sz w:val="28"/>
          <w:szCs w:val="28"/>
          <w:rtl/>
        </w:rPr>
        <w:t xml:space="preserve">میر حسینی، یدالله، ق ۱۴</w:t>
      </w:r>
    </w:p>
    <w:p>
      <w:pPr>
        <w:pStyle w:val="BookText"/>
      </w:pPr>
      <w:r>
        <w:rPr>
          <w:rFonts w:ascii="Times New Roman" w:hAnsi="Times New Roman" w:eastAsia="Times New Roman" w:cs="Times New Roman"/>
          <w:lang w:val="en-US" w:bidi="en-US"/>
          <w:color w:val="111111"/>
          <w:sz w:val="28"/>
          <w:szCs w:val="28"/>
          <w:rtl/>
        </w:rPr>
        <w:t xml:space="preserve">mīrhoseynī, yad-ol-lāh (-14c)</w:t>
      </w:r>
    </w:p>
    <w:p>
      <w:pPr>
        <w:pStyle w:val="BookText"/>
      </w:pPr>
      <w:r>
        <w:rPr>
          <w:rFonts w:ascii="IRNazanin" w:hAnsi="IRNazanin" w:eastAsia="IRNazanin" w:cs="IRNazanin"/>
          <w:lang w:bidi="fa-IR"/>
          <w:color w:val="111111"/>
          <w:sz w:val="28"/>
          <w:szCs w:val="28"/>
          <w:rtl/>
        </w:rPr>
        <w:t xml:space="preserve">تاريخ تأليف: ۱۳۲۰-۱۳۲۱ش پژوهشی است فلسفی تاریخی درباره افکار سیاسی و چگونگی تشکیل دولت ها از دید فلاسفه يونان و رم، در دو بخش (فصل)، و نوشته ک. ر ماریس و ماری ماریس که میرحسینی در سال تحصیلی ۱۳۲۰-۱۳۲۱ ش آن را به فارسی برگردانده است.</w:t>
      </w:r>
    </w:p>
    <w:p>
      <w:pPr>
        <w:pStyle w:val="BookText"/>
      </w:pPr>
      <w:r>
        <w:rPr>
          <w:rFonts w:ascii="IRNazanin" w:hAnsi="IRNazanin" w:eastAsia="IRNazanin" w:cs="IRNazanin"/>
          <w:lang w:bidi="fa-IR"/>
          <w:color w:val="111111"/>
          <w:sz w:val="28"/>
          <w:szCs w:val="28"/>
          <w:rtl/>
        </w:rPr>
        <w:t xml:space="preserve">قم؛ مرعشی؛ شماره نسخه:۴۱۶۷</w:t>
      </w:r>
    </w:p>
    <w:p>
      <w:pPr>
        <w:pStyle w:val="BookText"/>
      </w:pPr>
      <w:r>
        <w:rPr>
          <w:rFonts w:ascii="IRNazanin" w:hAnsi="IRNazanin" w:eastAsia="IRNazanin" w:cs="IRNazanin"/>
          <w:lang w:bidi="fa-IR"/>
          <w:color w:val="111111"/>
          <w:sz w:val="28"/>
          <w:szCs w:val="28"/>
          <w:rtl/>
        </w:rPr>
        <w:t xml:space="preserve">آغاز: فصل اول یونانیان جمهوری افلاطون، زمانی که یونانی جهان را از نظر می گذراند می دید که قابل فهم و ادراک است؛ انجام: و دنیا ناچار بود جریمه آنرا بصورت هفتصد سال جهل جهل و تاریکی بپردازد.</w:t>
      </w:r>
    </w:p>
    <w:p>
      <w:pPr>
        <w:pStyle w:val="BookText"/>
      </w:pPr>
      <w:r>
        <w:rPr>
          <w:rFonts w:ascii="IRNazanin" w:hAnsi="IRNazanin" w:eastAsia="IRNazanin" w:cs="IRNazanin"/>
          <w:lang w:bidi="fa-IR"/>
          <w:color w:val="111111"/>
          <w:sz w:val="28"/>
          <w:szCs w:val="28"/>
          <w:rtl/>
        </w:rPr>
        <w:t xml:space="preserve">خط: نستعلیق زیبا، كا: میرحسینی، یدالله، بی تا؛ نسخه را متر جم به آقای دکتر صورتگر تقدیم داشته؛ جلد: گالینگور سبز، ۴۰ گ، ۲۰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۱۱-۱۷۹]</w:t>
      </w:r>
    </w:p>
    <w:p>
      <w:pPr>
        <w:pStyle w:val="Heading3"/>
      </w:pPr>
      <w:bookmarkStart w:id="2228" w:name="_Toc1488"/>
      <w:r>
        <w:t>•تاریخچه الماسهای بزرگ / طبیعیات / فارسی</w:t>
      </w:r>
      <w:bookmarkEnd w:id="2228"/>
    </w:p>
    <w:p>
      <w:pPr>
        <w:pStyle w:val="BookText"/>
      </w:pPr>
      <w:r>
        <w:rPr>
          <w:rFonts w:ascii="Times New Roman" w:hAnsi="Times New Roman" w:eastAsia="Times New Roman" w:cs="Times New Roman"/>
          <w:lang w:val="en-US" w:bidi="en-US"/>
          <w:color w:val="111111"/>
          <w:sz w:val="28"/>
          <w:szCs w:val="28"/>
          <w:rtl/>
        </w:rPr>
        <w:t xml:space="preserve">tārīxche-ye almās-hā-ye bozorg</w:t>
      </w:r>
    </w:p>
    <w:p>
      <w:pPr>
        <w:pStyle w:val="BookText"/>
      </w:pPr>
      <w:r>
        <w:rPr>
          <w:rFonts w:ascii="IRNazanin" w:hAnsi="IRNazanin" w:eastAsia="IRNazanin" w:cs="IRNazanin"/>
          <w:lang w:bidi="fa-IR"/>
          <w:color w:val="111111"/>
          <w:sz w:val="28"/>
          <w:szCs w:val="28"/>
          <w:rtl/>
        </w:rPr>
        <w:t xml:space="preserve">اعتماد السلطنه، محمد حسن بن علی، ۱۲۵۹-۱۳۱۳ قمری</w:t>
      </w:r>
    </w:p>
    <w:p>
      <w:pPr>
        <w:pStyle w:val="BookText"/>
      </w:pPr>
      <w:r>
        <w:rPr>
          <w:rFonts w:ascii="Times New Roman" w:hAnsi="Times New Roman" w:eastAsia="Times New Roman" w:cs="Times New Roman"/>
          <w:lang w:val="en-US" w:bidi="en-US"/>
          <w:color w:val="111111"/>
          <w:sz w:val="28"/>
          <w:szCs w:val="28"/>
          <w:rtl/>
        </w:rPr>
        <w:t xml:space="preserve">ebn-e ‘alī</w:t>
      </w:r>
    </w:p>
    <w:p>
      <w:pPr>
        <w:pStyle w:val="BookText"/>
      </w:pPr>
      <w:r>
        <w:rPr>
          <w:rFonts w:ascii="Times New Roman" w:hAnsi="Times New Roman" w:eastAsia="Times New Roman" w:cs="Times New Roman"/>
          <w:lang w:val="en-US" w:bidi="en-US"/>
          <w:color w:val="111111"/>
          <w:sz w:val="28"/>
          <w:szCs w:val="28"/>
          <w:rtl/>
        </w:rPr>
        <w:t xml:space="preserve">eftemād-os-saltane, mohammad hasan (1843–1896)</w:t>
      </w:r>
    </w:p>
    <w:p>
      <w:pPr>
        <w:pStyle w:val="BookText"/>
      </w:pPr>
      <w:r>
        <w:rPr>
          <w:rFonts w:ascii="IRNazanin" w:hAnsi="IRNazanin" w:eastAsia="IRNazanin" w:cs="IRNazanin"/>
          <w:lang w:bidi="fa-IR"/>
          <w:color w:val="111111"/>
          <w:sz w:val="28"/>
          <w:szCs w:val="28"/>
          <w:rtl/>
        </w:rPr>
        <w:t xml:space="preserve">تاریخچه هجده قطعه از الماس های بزرگ و مشهور جهان است که از روزنامه انگلیسی ترجمه شده و مترجم على الظاهر محمد حسنخان اعتماد السلطنه است.</w:t>
      </w:r>
    </w:p>
    <w:p>
      <w:pPr>
        <w:pStyle w:val="BookText"/>
      </w:pPr>
      <w:r>
        <w:rPr>
          <w:rFonts w:ascii="IRNazanin" w:hAnsi="IRNazanin" w:eastAsia="IRNazanin" w:cs="IRNazanin"/>
          <w:lang w:bidi="fa-IR"/>
          <w:color w:val="111111"/>
          <w:sz w:val="28"/>
          <w:szCs w:val="28"/>
          <w:rtl/>
        </w:rPr>
        <w:t xml:space="preserve">[دنا ۶۹۹/۲ ؛ فهرستواره منزوی ۳۸۰۰/۵ ]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446" w:name="pg20363_209752"/>
    <w:bookmarkEnd w:id="446"/>
    <w:p>
      <w:pPr>
        <w:pStyle w:val="BookText"/>
      </w:pPr>
      <w:r>
        <w:rPr>
          <w:rFonts w:ascii="IRNazanin" w:hAnsi="IRNazanin" w:eastAsia="IRNazanin" w:cs="IRNazanin"/>
          <w:lang w:bidi="fa-IR"/>
          <w:color w:val="111111"/>
          <w:sz w:val="28"/>
          <w:szCs w:val="28"/>
          <w:rtl/>
        </w:rPr>
        <w:t xml:space="preserve">مشهد؛ رضوی؛ شماره نسخه:۴۱۸۷</w:t>
      </w:r>
    </w:p>
    <w:p>
      <w:pPr>
        <w:pStyle w:val="BookText"/>
      </w:pPr>
      <w:r>
        <w:rPr>
          <w:rFonts w:ascii="IRNazanin" w:hAnsi="IRNazanin" w:eastAsia="IRNazanin" w:cs="IRNazanin"/>
          <w:lang w:bidi="fa-IR"/>
          <w:color w:val="111111"/>
          <w:sz w:val="28"/>
          <w:szCs w:val="28"/>
          <w:rtl/>
        </w:rPr>
        <w:t xml:space="preserve">آغاز: ترجمه روزنامه انگلیسی است که در باب الماسهای بزرگ نوشته اند؛ انجام: خوبست که کتاب او را گرفته و بفرصت مطالعه نمایند. خط: نستعلیق، بی کا، تا: قرن ۱۴؛ با سرلوح گل و بوته اسلیمی زرین، مجدول؛ واقف: اشرف السلطنه همسر اعتماد السلطنه، سوم شعبان ۱۳۳۴؛ کاغذ: سفید فرنگی، جلد: پارچه ای، ۱۳ گ، ۱۰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۹/۸ )، اندازه: ۱۵/۸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۷-۳۰]</w:t>
      </w:r>
    </w:p>
    <w:p>
      <w:pPr>
        <w:pStyle w:val="BookText"/>
      </w:pPr>
      <w:r>
        <w:rPr>
          <w:rFonts w:ascii="IRNazanin" w:hAnsi="IRNazanin" w:eastAsia="IRNazanin" w:cs="IRNazanin"/>
          <w:lang w:bidi="fa-IR"/>
          <w:color w:val="111111"/>
          <w:sz w:val="28"/>
          <w:szCs w:val="28"/>
          <w:rtl/>
        </w:rPr>
        <w:t xml:space="preserve">به تاریخچه بنی شیبان » طایفه شیبانی</w:t>
      </w:r>
    </w:p>
    <w:p>
      <w:pPr>
        <w:pStyle w:val="Heading3"/>
      </w:pPr>
      <w:bookmarkStart w:id="2229" w:name="_Toc1489"/>
      <w:r>
        <w:t>•تاریخچه جنگ ارامنه و مسلمانان قفقاز (ترجمه) / تاریخ / فارسی</w:t>
      </w:r>
      <w:bookmarkEnd w:id="2229"/>
    </w:p>
    <w:p>
      <w:pPr>
        <w:pStyle w:val="BookText"/>
      </w:pPr>
      <w:r>
        <w:rPr>
          <w:rFonts w:ascii="Times New Roman" w:hAnsi="Times New Roman" w:eastAsia="Times New Roman" w:cs="Times New Roman"/>
          <w:lang w:val="en-US" w:bidi="en-US"/>
          <w:color w:val="111111"/>
          <w:sz w:val="28"/>
          <w:szCs w:val="28"/>
          <w:rtl/>
        </w:rPr>
        <w:t xml:space="preserve">tārīxčhe-ye jang-e arāmane va mosalmānān-e qafqāz</w:t>
      </w:r>
    </w:p>
    <w:p>
      <w:pPr>
        <w:pStyle w:val="BookText"/>
      </w:pPr>
      <w:r>
        <w:rPr>
          <w:rFonts w:ascii="IRNazanin" w:hAnsi="IRNazanin" w:eastAsia="IRNazanin" w:cs="IRNazanin"/>
          <w:lang w:bidi="fa-IR"/>
          <w:color w:val="111111"/>
          <w:sz w:val="28"/>
          <w:szCs w:val="28"/>
          <w:rtl/>
        </w:rPr>
        <w:t xml:space="preserve">نبیل خانی تبریزی، محمد بن على</w:t>
      </w:r>
    </w:p>
    <w:p>
      <w:pPr>
        <w:pStyle w:val="BookText"/>
      </w:pPr>
      <w:r>
        <w:rPr>
          <w:rFonts w:ascii="Times New Roman" w:hAnsi="Times New Roman" w:eastAsia="Times New Roman" w:cs="Times New Roman"/>
          <w:lang w:val="en-US" w:bidi="en-US"/>
          <w:color w:val="111111"/>
          <w:sz w:val="28"/>
          <w:szCs w:val="28"/>
          <w:rtl/>
        </w:rPr>
        <w:t xml:space="preserve">mohammad-e bn-e “alī nabīl xānī tabrīzī</w:t>
      </w:r>
    </w:p>
    <w:p>
      <w:pPr>
        <w:pStyle w:val="BookText"/>
      </w:pPr>
      <w:r>
        <w:rPr>
          <w:rFonts w:ascii="IRNazanin" w:hAnsi="IRNazanin" w:eastAsia="IRNazanin" w:cs="IRNazanin"/>
          <w:lang w:bidi="fa-IR"/>
          <w:color w:val="111111"/>
          <w:sz w:val="28"/>
          <w:szCs w:val="28"/>
          <w:rtl/>
        </w:rPr>
        <w:t xml:space="preserve">تاریخچه جنگ ارامنه و مسلمانان قفقاز در ۱۹۰۵ از اردوبادی، محمد سعید، ترجمه فارسی از محمد بن علی نبیل خانی تبریزی. از روی نسخه چاپی بادکوبه.</w:t>
      </w:r>
    </w:p>
    <w:p>
      <w:pPr>
        <w:pStyle w:val="BookText"/>
      </w:pPr>
      <w:r>
        <w:rPr>
          <w:rFonts w:ascii="IRNazanin" w:hAnsi="IRNazanin" w:eastAsia="IRNazanin" w:cs="IRNazanin"/>
          <w:lang w:bidi="fa-IR"/>
          <w:color w:val="111111"/>
          <w:sz w:val="28"/>
          <w:szCs w:val="28"/>
          <w:rtl/>
        </w:rPr>
        <w:t xml:space="preserve">تهران؛ ملک؛ شماره نسخه: ۳۷۴۳/۱</w:t>
      </w:r>
    </w:p>
    <w:p>
      <w:pPr>
        <w:pStyle w:val="BookText"/>
      </w:pPr>
      <w:r>
        <w:rPr>
          <w:rFonts w:ascii="IRNazanin" w:hAnsi="IRNazanin" w:eastAsia="IRNazanin" w:cs="IRNazanin"/>
          <w:lang w:bidi="fa-IR"/>
          <w:color w:val="111111"/>
          <w:sz w:val="28"/>
          <w:szCs w:val="28"/>
          <w:rtl/>
        </w:rPr>
        <w:t xml:space="preserve">خط: نستعلیق، بی کا، تا: شعبان ۱۳۳۴ق؛ کاغذ: فرنگی، جلد: روی ابری فرنگی، ۱۵۴ص (۱-۱۵۴)، ۱۴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سم [ف: ۳۴-۷ ]</w:t>
      </w:r>
    </w:p>
    <w:p>
      <w:pPr>
        <w:pStyle w:val="Heading3"/>
      </w:pPr>
      <w:bookmarkStart w:id="2230" w:name="_Toc1490"/>
      <w:r>
        <w:t>•تاریخچه خراسان / تاریخ ایران / فارسی</w:t>
      </w:r>
      <w:bookmarkEnd w:id="2230"/>
    </w:p>
    <w:p>
      <w:pPr>
        <w:pStyle w:val="BookText"/>
      </w:pPr>
      <w:r>
        <w:rPr>
          <w:rFonts w:ascii="Times New Roman" w:hAnsi="Times New Roman" w:eastAsia="Times New Roman" w:cs="Times New Roman"/>
          <w:lang w:val="en-US" w:bidi="en-US"/>
          <w:color w:val="111111"/>
          <w:sz w:val="28"/>
          <w:szCs w:val="28"/>
          <w:rtl/>
        </w:rPr>
        <w:t xml:space="preserve">tārīxčhe-ye xorāsān</w:t>
      </w:r>
    </w:p>
    <w:p>
      <w:pPr>
        <w:pStyle w:val="BookText"/>
      </w:pPr>
      <w:r>
        <w:rPr>
          <w:rFonts w:ascii="IRNazanin" w:hAnsi="IRNazanin" w:eastAsia="IRNazanin" w:cs="IRNazanin"/>
          <w:lang w:bidi="fa-IR"/>
          <w:color w:val="111111"/>
          <w:sz w:val="28"/>
          <w:szCs w:val="28"/>
          <w:rtl/>
        </w:rPr>
        <w:t xml:space="preserve">سیفی، عبدالحسين بن ملا علی جان، ق۱۴ قمری</w:t>
      </w:r>
    </w:p>
    <w:p>
      <w:pPr>
        <w:pStyle w:val="BookText"/>
      </w:pPr>
      <w:r>
        <w:rPr>
          <w:rFonts w:ascii="Times New Roman" w:hAnsi="Times New Roman" w:eastAsia="Times New Roman" w:cs="Times New Roman"/>
          <w:lang w:val="en-US" w:bidi="en-US"/>
          <w:color w:val="111111"/>
          <w:sz w:val="28"/>
          <w:szCs w:val="28"/>
          <w:rtl/>
        </w:rPr>
        <w:t xml:space="preserve">seyfī, abd-ol-hoseyn ebn-e mollā ‘alī jān (-20c)</w:t>
      </w:r>
    </w:p>
    <w:p>
      <w:pPr>
        <w:pStyle w:val="BookText"/>
      </w:pPr>
      <w:r>
        <w:rPr>
          <w:rFonts w:ascii="IRNazanin" w:hAnsi="IRNazanin" w:eastAsia="IRNazanin" w:cs="IRNazanin"/>
          <w:lang w:bidi="fa-IR"/>
          <w:color w:val="111111"/>
          <w:sz w:val="28"/>
          <w:szCs w:val="28"/>
          <w:rtl/>
        </w:rPr>
        <w:t xml:space="preserve">جغرافیای شهر مشهد و تاریخ روضه مطهره حضرت امام رضا</w:t>
      </w:r>
    </w:p>
    <w:p>
      <w:pPr>
        <w:pStyle w:val="BookText"/>
      </w:pPr>
      <w:r>
        <w:rPr>
          <w:rFonts w:ascii="IRNazanin" w:hAnsi="IRNazanin" w:eastAsia="IRNazanin" w:cs="IRNazanin"/>
          <w:lang w:bidi="fa-IR"/>
          <w:color w:val="111111"/>
          <w:sz w:val="28"/>
          <w:szCs w:val="28"/>
          <w:rtl/>
        </w:rPr>
        <w:t xml:space="preserve">(عليه السلام) را از کتاب «زندگانی حضرت رضا» تأليف ابوالقاسم سحاب انتخاب کرده با افزودگی هایی در ماده تاریخ های بعضی از وقایع و شخصیت ها، به اضافه فرازی از ناشر جریده «تمدن اسلام» سید علی رضا حسینی شهرستانی که به مناسبت فجایع مشهد درباره زناشویی و حجاب نگاشته بود.</w:t>
      </w:r>
    </w:p>
    <w:p>
      <w:pPr>
        <w:pStyle w:val="BookText"/>
      </w:pPr>
      <w:r>
        <w:rPr>
          <w:rFonts w:ascii="IRNazanin" w:hAnsi="IRNazanin" w:eastAsia="IRNazanin" w:cs="IRNazanin"/>
          <w:lang w:bidi="fa-IR"/>
          <w:color w:val="111111"/>
          <w:sz w:val="28"/>
          <w:szCs w:val="28"/>
          <w:rtl/>
        </w:rPr>
        <w:t xml:space="preserve">[دنا ۶۹۹/۲ ؛ فهرستواره منزوی ۸۶۰/۲ ]</w:t>
      </w:r>
    </w:p>
    <w:p>
      <w:pPr>
        <w:pStyle w:val="BookText"/>
      </w:pPr>
      <w:r>
        <w:rPr>
          <w:rFonts w:ascii="IRNazanin" w:hAnsi="IRNazanin" w:eastAsia="IRNazanin" w:cs="IRNazanin"/>
          <w:lang w:bidi="fa-IR"/>
          <w:color w:val="111111"/>
          <w:sz w:val="28"/>
          <w:szCs w:val="28"/>
          <w:rtl/>
        </w:rPr>
        <w:t xml:space="preserve">قم؛ مرعشی؛ شماره نسخه:۶۲۵۵</w:t>
      </w:r>
    </w:p>
    <w:p>
      <w:pPr>
        <w:pStyle w:val="BookText"/>
      </w:pPr>
      <w:r>
        <w:rPr>
          <w:rFonts w:ascii="IRNazanin" w:hAnsi="IRNazanin" w:eastAsia="IRNazanin" w:cs="IRNazanin"/>
          <w:lang w:bidi="fa-IR"/>
          <w:color w:val="111111"/>
          <w:sz w:val="28"/>
          <w:szCs w:val="28"/>
          <w:rtl/>
        </w:rPr>
        <w:t xml:space="preserve">آغاز: الحمدلله رب العالمين ... اما بعد چنین گوید حقیر بی بضاعت خادم در گاه حضرت ابی عبد الله خط: نستعلیق، کاتب = مؤلف، بی تا، مجدول؛ جلد: تیماج قرمز ضربی، ۷۱گ، مختلف السطر،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 سم [ف: ۱۶-۲۳۸]</w:t>
      </w:r>
    </w:p>
    <w:p>
      <w:pPr>
        <w:pStyle w:val="Heading3"/>
      </w:pPr>
      <w:bookmarkStart w:id="2231" w:name="_Toc1491"/>
      <w:r>
        <w:t>•تاریخچه خروج چرا کسه / تاریخ / عربی</w:t>
      </w:r>
      <w:bookmarkEnd w:id="2231"/>
    </w:p>
    <w:p>
      <w:pPr>
        <w:pStyle w:val="BookText"/>
      </w:pPr>
      <w:r>
        <w:rPr>
          <w:rFonts w:ascii="Times New Roman" w:hAnsi="Times New Roman" w:eastAsia="Times New Roman" w:cs="Times New Roman"/>
          <w:lang w:val="en-US" w:bidi="en-US"/>
          <w:color w:val="111111"/>
          <w:sz w:val="28"/>
          <w:szCs w:val="28"/>
          <w:rtl/>
        </w:rPr>
        <w:t xml:space="preserve">tārīxčhe-ye xorūj-e čarākese</w:t>
      </w:r>
    </w:p>
    <w:p>
      <w:pPr>
        <w:pStyle w:val="BookText"/>
      </w:pPr>
      <w:r>
        <w:rPr>
          <w:rFonts w:ascii="IRNazanin" w:hAnsi="IRNazanin" w:eastAsia="IRNazanin" w:cs="IRNazanin"/>
          <w:lang w:bidi="fa-IR"/>
          <w:color w:val="111111"/>
          <w:sz w:val="28"/>
          <w:szCs w:val="28"/>
          <w:rtl/>
        </w:rPr>
        <w:t xml:space="preserve">عبد الآوی</w:t>
      </w:r>
    </w:p>
    <w:p>
      <w:pPr>
        <w:pStyle w:val="BookText"/>
      </w:pPr>
      <w:r>
        <w:rPr>
          <w:rFonts w:ascii="Times New Roman" w:hAnsi="Times New Roman" w:eastAsia="Times New Roman" w:cs="Times New Roman"/>
          <w:lang w:val="en-US" w:bidi="en-US"/>
          <w:color w:val="111111"/>
          <w:sz w:val="28"/>
          <w:szCs w:val="28"/>
          <w:rtl/>
        </w:rPr>
        <w:t xml:space="preserve">‘abd-ol-āvī</w:t>
      </w:r>
    </w:p>
    <w:p>
      <w:pPr>
        <w:pStyle w:val="BookText"/>
      </w:pPr>
      <w:r>
        <w:rPr>
          <w:rFonts w:ascii="IRNazanin" w:hAnsi="IRNazanin" w:eastAsia="IRNazanin" w:cs="IRNazanin"/>
          <w:lang w:bidi="fa-IR"/>
          <w:color w:val="111111"/>
          <w:sz w:val="28"/>
          <w:szCs w:val="28"/>
          <w:rtl/>
        </w:rPr>
        <w:t xml:space="preserve">رساله ای است در تاریخ حمله دولت عثمانی به بلاد شام و خروج چراكسه شام علیه آنان و بیرون راندن آنها توسط سلطان سلیم خان بن بایزید خان عثمانی که مؤلف از او در مقدمه به احترام یاد نموده است. آغاز: بسمله، الحمد لمن تنزه سلطان عزه عن سمات الزوال و تقدس کرباء ملكه عن شرابب الانتقال الذي قصم بسيف نقمته رقاب الجائرين ... اما بعد فانه كان في التفكر في سير الامم الماضية. التدبر في قصص القرون الخاليه</w:t>
      </w:r>
    </w:p>
    <w:p>
      <w:pPr>
        <w:pStyle w:val="BookText"/>
      </w:pPr>
      <w:r>
        <w:rPr>
          <w:rFonts w:ascii="IRNazanin" w:hAnsi="IRNazanin" w:eastAsia="IRNazanin" w:cs="IRNazanin"/>
          <w:lang w:bidi="fa-IR"/>
          <w:color w:val="111111"/>
          <w:sz w:val="28"/>
          <w:szCs w:val="28"/>
          <w:rtl/>
        </w:rPr>
        <w:t xml:space="preserve">تهران؛ مجلس؛ شماره نسخه:۲۸۸۲/۱۳</w:t>
      </w:r>
    </w:p>
    <w:p>
      <w:pPr>
        <w:pStyle w:val="BookText"/>
      </w:pPr>
      <w:r>
        <w:rPr>
          <w:rFonts w:ascii="IRNazanin" w:hAnsi="IRNazanin" w:eastAsia="IRNazanin" w:cs="IRNazanin"/>
          <w:lang w:bidi="fa-IR"/>
          <w:color w:val="111111"/>
          <w:sz w:val="28"/>
          <w:szCs w:val="28"/>
          <w:rtl/>
        </w:rPr>
        <w:t xml:space="preserve">آغاز: برابر؛ انجام: في كل ما اقول و اعمل و كيف لاونعتی عجز و فتور و صفتی نقص و قصور وان لم يتفق الأمر كما هو المرام فليس هذا اول قارورة كسرت في الاسلام و السلام خط: نسخ، بی کا، تا: با تاریخ ۸۵۷ق؛ کاغذ: ترکی ضخیم، جلد: تیماج قهوه ای، ۲۳ص (۷۱۷-۷۳۹)، ۱۳، ۱۵، ۱۹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۴۱/۵سم [ف: ۱۰-۲۶۴]</w:t>
      </w:r>
    </w:p>
    <w:p>
      <w:pPr>
        <w:pStyle w:val="BookText"/>
      </w:pPr>
      <w:r>
        <w:rPr>
          <w:rFonts w:ascii="IRNazanin" w:hAnsi="IRNazanin" w:eastAsia="IRNazanin" w:cs="IRNazanin"/>
          <w:lang w:bidi="fa-IR"/>
          <w:color w:val="111111"/>
          <w:sz w:val="28"/>
          <w:szCs w:val="28"/>
          <w:rtl/>
        </w:rPr>
        <w:t xml:space="preserve">قم، مرکز احیاء؛ شماره نسخه: ۱۹۲۵/۱۳</w:t>
      </w:r>
    </w:p>
    <w:p>
      <w:pPr>
        <w:pStyle w:val="BookText"/>
      </w:pPr>
      <w:r>
        <w:rPr>
          <w:rFonts w:ascii="IRNazanin" w:hAnsi="IRNazanin" w:eastAsia="IRNazanin" w:cs="IRNazanin"/>
          <w:lang w:bidi="fa-IR"/>
          <w:color w:val="111111"/>
          <w:sz w:val="28"/>
          <w:szCs w:val="28"/>
          <w:rtl/>
        </w:rPr>
        <w:t xml:space="preserve">نسخه اصل: همان نسخه بالا [عکسی ف: ۵-۳۸۵]</w:t>
      </w:r>
    </w:p>
    <w:p>
      <w:pPr>
        <w:pStyle w:val="Heading3"/>
      </w:pPr>
      <w:bookmarkStart w:id="2232" w:name="_Toc1492"/>
      <w:r>
        <w:t>•تاریخچه دودمان قاجار / تاریخ ایران / فارسی</w:t>
      </w:r>
      <w:bookmarkEnd w:id="2232"/>
    </w:p>
    <w:p>
      <w:pPr>
        <w:pStyle w:val="BookText"/>
      </w:pPr>
      <w:r>
        <w:rPr>
          <w:rFonts w:ascii="Times New Roman" w:hAnsi="Times New Roman" w:eastAsia="Times New Roman" w:cs="Times New Roman"/>
          <w:lang w:val="en-US" w:bidi="en-US"/>
          <w:color w:val="111111"/>
          <w:sz w:val="28"/>
          <w:szCs w:val="28"/>
          <w:rtl/>
        </w:rPr>
        <w:t xml:space="preserve">tārīxčhe-ye dūdmān-e qājār</w:t>
      </w:r>
    </w:p>
    <w:p>
      <w:pPr>
        <w:pStyle w:val="BookText"/>
      </w:pPr>
      <w:r>
        <w:rPr>
          <w:rFonts w:ascii="IRNazanin" w:hAnsi="IRNazanin" w:eastAsia="IRNazanin" w:cs="IRNazanin"/>
          <w:lang w:bidi="fa-IR"/>
          <w:color w:val="111111"/>
          <w:sz w:val="28"/>
          <w:szCs w:val="28"/>
          <w:rtl/>
        </w:rPr>
        <w:t xml:space="preserve">شرح دودمان قاجاریه و چگونگی سلطنت آقا محمد خان و فتحعلیشاه قاجار در پنج فصل» گزارش شده؛ به اضافه پنج مقاله در بیان وضع جغرافیای خلیخ فارس و حكمرانان مملکت عمان؛ وضع جغرافیای ممالک وسط آسيا و خيوق و بخارا و افغانستان؛ صورت عهدنامه ای که ما بین دولت علیه ایرانش و دولت بهیه انگلیس منعقد شده است؛ صورت عهدنامه ای که مابین دولت علیه ایران و دولت بهیه روس انعقاد یافته؛ اسامی سفرای کبار و وزرای مختار دولت انگلیس و دولت روس و دولت فرانسه که به دربار دولت علیه ایران مأمور شده اند. [دنا ۶۹۹/۲ ؛ فهرستواره منزوی ۸۶۰/۲ ]</w:t>
      </w:r>
    </w:p>
    <w:p>
      <w:pPr>
        <w:pStyle w:val="BookText"/>
      </w:pPr>
      <w:r>
        <w:rPr>
          <w:rFonts w:ascii="IRNazanin" w:hAnsi="IRNazanin" w:eastAsia="IRNazanin" w:cs="IRNazanin"/>
          <w:lang w:bidi="fa-IR"/>
          <w:color w:val="111111"/>
          <w:sz w:val="28"/>
          <w:szCs w:val="28"/>
          <w:rtl/>
        </w:rPr>
        <w:t xml:space="preserve">تهران؛ سلطنتی؛ شماره نسخه:۲۳۱۴</w:t>
      </w:r>
    </w:p>
    <w:p>
      <w:pPr>
        <w:pStyle w:val="BookText"/>
      </w:pPr>
      <w:r>
        <w:rPr>
          <w:rFonts w:ascii="IRNazanin" w:hAnsi="IRNazanin" w:eastAsia="IRNazanin" w:cs="IRNazanin"/>
          <w:lang w:bidi="fa-IR"/>
          <w:color w:val="111111"/>
          <w:sz w:val="28"/>
          <w:szCs w:val="28"/>
          <w:rtl/>
        </w:rPr>
        <w:t xml:space="preserve">آغاز: مصنف تاریخ پادشاهان هوشنگ نشان سلسله جلیله را به پنج قسمت منقسم ساخته و هر قسمتی را در تلو فصلی مندرج نموده و بعضی مطالب را که راجع بتاريخ مملکت ایران و سلطنت سلسله جليله میباشد در پنج مقاله بیان نموده ... جلوس آقا محمدشاه غازي بتخت سلطنت در سنه يكهزار و دویست و ده هجری نبوی ... مطابق سنه یکهزار و هفتصد و نود و پنج عیسوی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447" w:name="pg20363_209753"/>
    <w:bookmarkEnd w:id="447"/>
    <w:p>
      <w:pPr>
        <w:pStyle w:val="BookText"/>
      </w:pPr>
      <w:r>
        <w:rPr>
          <w:rFonts w:ascii="IRNazanin" w:hAnsi="IRNazanin" w:eastAsia="IRNazanin" w:cs="IRNazanin"/>
          <w:lang w:bidi="fa-IR"/>
          <w:color w:val="111111"/>
          <w:sz w:val="28"/>
          <w:szCs w:val="28"/>
          <w:rtl/>
        </w:rPr>
        <w:t xml:space="preserve">واقع شد؛ انجام: اسامی سفرا و وزرای مختار دولت روس مأمور دربار دولت علیه ایران جنرال بر مول اوف در ۱۲۳۳ هجری مطابق ۱۸۱۷ مسیحی ... موسیوبل شارژ دفر در ۱۲۸۹ هجری مطابق ۱۸۷۱ مسیحی ... خط: نستعلیق، بی کا، بی تا؛ کاغذ: فرنگی چهرهای رنگ، جلد: مقوای روکش مخمل آبی، ۴۷۳ص، ۱۲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۱۴/۹ سم [ف: ۵-۳۳۱]</w:t>
      </w:r>
    </w:p>
    <w:p>
      <w:pPr>
        <w:pStyle w:val="BookText"/>
      </w:pPr>
      <w:r>
        <w:rPr>
          <w:rFonts w:ascii="IRNazanin" w:hAnsi="IRNazanin" w:eastAsia="IRNazanin" w:cs="IRNazanin"/>
          <w:lang w:bidi="fa-IR"/>
          <w:color w:val="111111"/>
          <w:sz w:val="28"/>
          <w:szCs w:val="28"/>
          <w:rtl/>
        </w:rPr>
        <w:t xml:space="preserve">←تاریخچه زوجات خاقان ← تاریخ عضدی</w:t>
      </w:r>
    </w:p>
    <w:p>
      <w:pPr>
        <w:pStyle w:val="BookText"/>
      </w:pPr>
      <w:r>
        <w:rPr>
          <w:rFonts w:ascii="IRNazanin" w:hAnsi="IRNazanin" w:eastAsia="IRNazanin" w:cs="IRNazanin"/>
          <w:lang w:bidi="fa-IR"/>
          <w:color w:val="111111"/>
          <w:sz w:val="28"/>
          <w:szCs w:val="28"/>
          <w:rtl/>
        </w:rPr>
        <w:t xml:space="preserve">←تاریخچه کشف آمریکا← کشف الغرايب</w:t>
      </w:r>
    </w:p>
    <w:p>
      <w:pPr>
        <w:pStyle w:val="Heading3"/>
      </w:pPr>
      <w:bookmarkStart w:id="2233" w:name="_Toc1493"/>
      <w:r>
        <w:t>• تاریخچه مالیه ایران / اسناد / فارسی</w:t>
      </w:r>
      <w:bookmarkEnd w:id="2233"/>
    </w:p>
    <w:p>
      <w:pPr>
        <w:pStyle w:val="BookText"/>
      </w:pPr>
      <w:r>
        <w:rPr>
          <w:rFonts w:ascii="Times New Roman" w:hAnsi="Times New Roman" w:eastAsia="Times New Roman" w:cs="Times New Roman"/>
          <w:lang w:val="en-US" w:bidi="en-US"/>
          <w:color w:val="111111"/>
          <w:sz w:val="28"/>
          <w:szCs w:val="28"/>
          <w:rtl/>
        </w:rPr>
        <w:t xml:space="preserve">tārīxčhe-ye mālīye-ye īrān</w:t>
      </w:r>
    </w:p>
    <w:p>
      <w:pPr>
        <w:pStyle w:val="BookText"/>
      </w:pPr>
      <w:r>
        <w:rPr>
          <w:rFonts w:ascii="IRNazanin" w:hAnsi="IRNazanin" w:eastAsia="IRNazanin" w:cs="IRNazanin"/>
          <w:lang w:bidi="fa-IR"/>
          <w:color w:val="111111"/>
          <w:sz w:val="28"/>
          <w:szCs w:val="28"/>
          <w:rtl/>
        </w:rPr>
        <w:t xml:space="preserve">جزوه ای است در تاریخچه مالیه ایران در ابتدای سلطنت ناصرالدین شاه تا اوایل سلطنت پهلوی و مقایسه اوضاع مالی انگلیس، فرانسه، آلمان و ایتالیا در دوازده فصل» که نسخه حاضر تا آخر فصل هفتم را دارد. برخی از عناوین بدین تفصیل می باشد: فصل 1. تاریخچه مالیه ایران از ابتدای سلطنت ناصرالدین شاه تا سلطنت پهلوی؛ ۲. خالصجات دولتی و خالصجات انتقالی؛ ۳. مالیاتهای مستقیم؛ ۴. مالیات مستقیم بر عایدات؛ ۵. مالیات غیر مستقیم گمرکات و عوایدی را که این اداره وصول می کند ...</w:t>
      </w:r>
    </w:p>
    <w:p>
      <w:pPr>
        <w:pStyle w:val="BookText"/>
      </w:pPr>
      <w:r>
        <w:rPr>
          <w:rFonts w:ascii="IRNazanin" w:hAnsi="IRNazanin" w:eastAsia="IRNazanin" w:cs="IRNazanin"/>
          <w:lang w:bidi="fa-IR"/>
          <w:color w:val="111111"/>
          <w:sz w:val="28"/>
          <w:szCs w:val="28"/>
          <w:rtl/>
        </w:rPr>
        <w:t xml:space="preserve">تهران؛ ملی؛ شماره نسخه: ۱۵۶۷۳</w:t>
      </w:r>
    </w:p>
    <w:p>
      <w:pPr>
        <w:pStyle w:val="BookText"/>
      </w:pPr>
      <w:r>
        <w:rPr>
          <w:rFonts w:ascii="IRNazanin" w:hAnsi="IRNazanin" w:eastAsia="IRNazanin" w:cs="IRNazanin"/>
          <w:lang w:bidi="fa-IR"/>
          <w:color w:val="111111"/>
          <w:sz w:val="28"/>
          <w:szCs w:val="28"/>
          <w:rtl/>
        </w:rPr>
        <w:t xml:space="preserve">آغاز: مقدمه: چون دروه اول سال درس علوم مالیه اصول و قواعد کلی این علم را دیدیم حال لازمست وضعیت مالی؛ انجام: ۹ گذرنامه -۲۰۰۰۰۰۰ ریال ۱۰- عایدات متفرقه و غیر مترقبه - ۱۵۰۰۰۰۰۰ریال</w:t>
      </w:r>
    </w:p>
    <w:p>
      <w:pPr>
        <w:pStyle w:val="BookText"/>
      </w:pPr>
      <w:r>
        <w:rPr>
          <w:rFonts w:ascii="IRNazanin" w:hAnsi="IRNazanin" w:eastAsia="IRNazanin" w:cs="IRNazanin"/>
          <w:lang w:bidi="fa-IR"/>
          <w:color w:val="111111"/>
          <w:sz w:val="28"/>
          <w:szCs w:val="28"/>
          <w:rtl/>
        </w:rPr>
        <w:t xml:space="preserve">خط: شکسته نستعلیق، بی کا، بی تا، کاغذ: دفتری خط دار، جلد: مقوا روکش کاغذ زرشکی عطف پارچه سرمه ای، ۹۳گ، ۱۹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[رایانه ]</w:t>
      </w:r>
    </w:p>
    <w:p>
      <w:pPr>
        <w:pStyle w:val="Heading3"/>
      </w:pPr>
      <w:bookmarkStart w:id="2234" w:name="_Toc1494"/>
      <w:r>
        <w:t>•تاریخچه مدرسه دارالفنون / تاریخ ایران / فارسی</w:t>
      </w:r>
      <w:bookmarkEnd w:id="2234"/>
    </w:p>
    <w:p>
      <w:pPr>
        <w:pStyle w:val="BookText"/>
      </w:pPr>
      <w:r>
        <w:rPr>
          <w:rFonts w:ascii="Times New Roman" w:hAnsi="Times New Roman" w:eastAsia="Times New Roman" w:cs="Times New Roman"/>
          <w:lang w:val="en-US" w:bidi="en-US"/>
          <w:color w:val="111111"/>
          <w:sz w:val="28"/>
          <w:szCs w:val="28"/>
          <w:rtl/>
        </w:rPr>
        <w:t xml:space="preserve">tārīxčhe-ye madrese-ye dār-ol-fonūn</w:t>
      </w:r>
    </w:p>
    <w:p>
      <w:pPr>
        <w:pStyle w:val="BookText"/>
      </w:pPr>
      <w:r>
        <w:rPr>
          <w:rFonts w:ascii="IRNazanin" w:hAnsi="IRNazanin" w:eastAsia="IRNazanin" w:cs="IRNazanin"/>
          <w:lang w:bidi="fa-IR"/>
          <w:color w:val="111111"/>
          <w:sz w:val="28"/>
          <w:szCs w:val="28"/>
          <w:rtl/>
        </w:rPr>
        <w:t xml:space="preserve">مهندس، آقاخان، ۱۲۷۴-۱۳۵۶ قمری</w:t>
      </w:r>
    </w:p>
    <w:p>
      <w:pPr>
        <w:pStyle w:val="BookText"/>
      </w:pPr>
      <w:r>
        <w:rPr>
          <w:rFonts w:ascii="Times New Roman" w:hAnsi="Times New Roman" w:eastAsia="Times New Roman" w:cs="Times New Roman"/>
          <w:lang w:val="en-US" w:bidi="en-US"/>
          <w:color w:val="111111"/>
          <w:sz w:val="28"/>
          <w:szCs w:val="28"/>
          <w:rtl/>
        </w:rPr>
        <w:t xml:space="preserve">mohandes, āqā-xān (1858-1937)</w:t>
      </w:r>
    </w:p>
    <w:p>
      <w:pPr>
        <w:pStyle w:val="BookText"/>
      </w:pPr>
      <w:r>
        <w:rPr>
          <w:rFonts w:ascii="IRNazanin" w:hAnsi="IRNazanin" w:eastAsia="IRNazanin" w:cs="IRNazanin"/>
          <w:lang w:bidi="fa-IR"/>
          <w:color w:val="111111"/>
          <w:sz w:val="28"/>
          <w:szCs w:val="28"/>
          <w:rtl/>
        </w:rPr>
        <w:t xml:space="preserve">همراه با شرح حال مختصری از جمع آورنده کتاب.</w:t>
      </w:r>
    </w:p>
    <w:p>
      <w:pPr>
        <w:pStyle w:val="BookText"/>
      </w:pPr>
      <w:r>
        <w:rPr>
          <w:rFonts w:ascii="IRNazanin" w:hAnsi="IRNazanin" w:eastAsia="IRNazanin" w:cs="IRNazanin"/>
          <w:lang w:bidi="fa-IR"/>
          <w:color w:val="111111"/>
          <w:sz w:val="28"/>
          <w:szCs w:val="28"/>
          <w:rtl/>
        </w:rPr>
        <w:t xml:space="preserve">[دنا ۶۹۹/۲ ؛ فهرستواره منزوی ۸۶۱/۲ ]</w:t>
      </w:r>
    </w:p>
    <w:p>
      <w:pPr>
        <w:pStyle w:val="BookText"/>
      </w:pPr>
      <w:r>
        <w:rPr>
          <w:rFonts w:ascii="IRNazanin" w:hAnsi="IRNazanin" w:eastAsia="IRNazanin" w:cs="IRNazanin"/>
          <w:lang w:bidi="fa-IR"/>
          <w:color w:val="111111"/>
          <w:sz w:val="28"/>
          <w:szCs w:val="28"/>
          <w:rtl/>
        </w:rPr>
        <w:t xml:space="preserve">اصفهان؛ عمومی اصفهان (فرهنگ سابق)؛ شماره نسخه:۳۸۷۳</w:t>
      </w:r>
    </w:p>
    <w:p>
      <w:pPr>
        <w:pStyle w:val="BookText"/>
      </w:pPr>
      <w:r>
        <w:rPr>
          <w:rFonts w:ascii="IRNazanin" w:hAnsi="IRNazanin" w:eastAsia="IRNazanin" w:cs="IRNazanin"/>
          <w:lang w:bidi="fa-IR"/>
          <w:color w:val="111111"/>
          <w:sz w:val="28"/>
          <w:szCs w:val="28"/>
          <w:rtl/>
        </w:rPr>
        <w:t xml:space="preserve">آغاز: در موضوع مدرسه دارالفنون اگر بخواهم شرحی بنویسم باید مقدمه مختصری از حال مرحوم مغفور رضا قلیخان أمير الشعرا متخلص بهدایت رحمة الله شروع نمایم؛ انجام: حالا دیگر بواسطه</w:t>
      </w:r>
    </w:p>
    <w:p>
      <w:pPr>
        <w:pStyle w:val="BookText"/>
      </w:pPr>
      <w:r>
        <w:rPr>
          <w:rFonts w:ascii="IRNazanin" w:hAnsi="IRNazanin" w:eastAsia="IRNazanin" w:cs="IRNazanin"/>
          <w:lang w:bidi="fa-IR"/>
          <w:color w:val="111111"/>
          <w:sz w:val="28"/>
          <w:szCs w:val="28"/>
          <w:rtl/>
        </w:rPr>
        <w:t xml:space="preserve">ضعف قوا گوشه انزوا اختیار کرده حتی المقدور کمتر رفت و آمد دارم و منتظرم که چه وقت این جان نا قابل را تسلیم کنم و بگذرم خداوند انشاء الله عاقبت را خیر کند. خط: نستعلیق، کاتب = مؤلف، بی تا، کاغذ: فرنگی، جلد: کاغذی، ۱۵، ۱۳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[عمومی اصفهان (فرهنگ سابق): في: ۱-۴۶]</w:t>
      </w:r>
    </w:p>
    <w:p>
      <w:pPr>
        <w:pStyle w:val="Heading3"/>
      </w:pPr>
      <w:bookmarkStart w:id="2235" w:name="_Toc1495"/>
      <w:r>
        <w:t>•تاریخچه مشروطیت / تاریخ ایران / فارسی و عربی</w:t>
      </w:r>
      <w:bookmarkEnd w:id="2235"/>
    </w:p>
    <w:p>
      <w:pPr>
        <w:pStyle w:val="BookText"/>
      </w:pPr>
      <w:r>
        <w:rPr>
          <w:rFonts w:ascii="Times New Roman" w:hAnsi="Times New Roman" w:eastAsia="Times New Roman" w:cs="Times New Roman"/>
          <w:lang w:val="en-US" w:bidi="en-US"/>
          <w:color w:val="111111"/>
          <w:sz w:val="28"/>
          <w:szCs w:val="28"/>
          <w:rtl/>
        </w:rPr>
        <w:t xml:space="preserve">tārīxche-ye mašrūtīyat</w:t>
      </w:r>
    </w:p>
    <w:p>
      <w:pPr>
        <w:pStyle w:val="BookText"/>
      </w:pPr>
      <w:r>
        <w:rPr>
          <w:rFonts w:ascii="IRNazanin" w:hAnsi="IRNazanin" w:eastAsia="IRNazanin" w:cs="IRNazanin"/>
          <w:lang w:bidi="fa-IR"/>
          <w:color w:val="111111"/>
          <w:sz w:val="28"/>
          <w:szCs w:val="28"/>
          <w:rtl/>
        </w:rPr>
        <w:t xml:space="preserve">تویسرکانی، ضیاء الدین بن حاجی آقاسی، ق ۱۴ قمری</w:t>
      </w:r>
    </w:p>
    <w:p>
      <w:pPr>
        <w:pStyle w:val="BookText"/>
      </w:pPr>
      <w:r>
        <w:rPr>
          <w:rFonts w:ascii="Times New Roman" w:hAnsi="Times New Roman" w:eastAsia="Times New Roman" w:cs="Times New Roman"/>
          <w:lang w:val="en-US" w:bidi="en-US"/>
          <w:color w:val="111111"/>
          <w:sz w:val="28"/>
          <w:szCs w:val="28"/>
          <w:rtl/>
        </w:rPr>
        <w:t xml:space="preserve">toyserkānī, zīyā-od-dīn ebn-e hājī ādāsī (-20c)</w:t>
      </w:r>
    </w:p>
    <w:p>
      <w:pPr>
        <w:pStyle w:val="BookText"/>
      </w:pPr>
      <w:r>
        <w:rPr>
          <w:rFonts w:ascii="IRNazanin" w:hAnsi="IRNazanin" w:eastAsia="IRNazanin" w:cs="IRNazanin"/>
          <w:lang w:bidi="fa-IR"/>
          <w:color w:val="111111"/>
          <w:sz w:val="28"/>
          <w:szCs w:val="28"/>
          <w:rtl/>
        </w:rPr>
        <w:t xml:space="preserve">[فهرستواره منزوی ۸۶۱/۲ با عنوان «تاریخچه مشروطیت»]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 ۳۴۶۰</w:t>
      </w:r>
    </w:p>
    <w:p>
      <w:pPr>
        <w:pStyle w:val="BookText"/>
      </w:pPr>
      <w:r>
        <w:rPr>
          <w:rFonts w:ascii="IRNazanin" w:hAnsi="IRNazanin" w:eastAsia="IRNazanin" w:cs="IRNazanin"/>
          <w:lang w:bidi="fa-IR"/>
          <w:color w:val="111111"/>
          <w:sz w:val="28"/>
          <w:szCs w:val="28"/>
          <w:rtl/>
        </w:rPr>
        <w:t xml:space="preserve">در فهرست با عنوان «جنگ». گرد آورده ضياء الدين تویسرکانی به نظم و نثر خود او و پدرش حاجی محمد نبی و تاریخ مشروطیت است به فارسی و عربی بدینگونه: ۱. بلوای تهران در ۱۳۲۳ و تحصن بازرگانان و پیشه وران در سفارت انگلیس و شعرهایی که آنها در جلو چادرهای خود نوشته بودند (۹۳)، ۲. مرگ مظفرالدین شاه و پادشاهی محمد علی شاه (۱۰۱)، ۳. حوادث نهاوند و تویسرکان در ۱۳۲۶ و داستان شیخ فضل الله نوری و ملا محمد آملی و دیگران در برابر مشروطه خواهان (۱۰۷)، ۴. حوادث پس از رفتن محمد علی میرزا بفرنگستان در ۱۳۲۹ در ایران (۱۱۸)، ۵. تاریخ در گذشت دانشمندان و بزرگان (۳ و ۱۵۰-۱۵۱ و ۱۹۳)، ۶. شورش سالار الدوله و آشوبهای ولايات ثلاث (۱۶۹)، ۷. شورش دودمان سکوند در تویسرکان و ریشه کن ساختن آنها در ۱۳۱۳ (۱۸۰)، ۸ شورش رجبعلی سرابی در تویسرکان در ۱۳۲۰ (۱۹۶). در پایان نسخه یادداشت ۱۳۱۶ و ۱۳۱۷ از خود گردآورنده هست و در ص ۱۹۱ یادداشت ۱۳۲۶ دارد. چنین است نام سرایندگانی که شعر آنها در این جنگ آمده است: رباعی روی سنگ قبر ابن سینا که نگار خانم دختر عباس میرزا نایب السلطنه در ربيع الثانی ۱۳۱۶ تعمیر کرده بود گویا از خود او، شعر: هلالی، ضیاء الدین تویسرکانی، ملا نقی کرهرودی، قاضی میر حسین یزدی، ناصر خسرو، میر فندرسکی، جمال الدين محمد اردستانی، آقا حسین خوانساری، خلیفه سلطان، سنایی، آگهی یزدی، اوحدی مراغه ای، خواجه نصیر طوسی، ذهنی کاشانی، ابن یمین فریومدی، میرزا یوسف مرندی، عشرت تویسرکانی، کیوان تویسرکانی، بحر العلوم، ابی الفتح برهانی، جامی، شیخ بهائی، حاجی آقا نبی تویسرکانی، میرزا اشرف، ناصرالدین شاه قاجار، میرداماد، علیقلی میرزای اعتضاد السلطنة، شیخ آذری، قاضی میر حسین میبدی؛ خط: نستعلیق، كاتب = مؤلف، بی تا؛ کاغذ: فرنگی، جلد: تیماج سبز ضربی مقوایی، ۱۰۲گ، ۱۴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۱۱-۲۴۶۸]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448" w:name="pg20363_209754"/>
    <w:bookmarkEnd w:id="448"/>
    <w:p>
      <w:pPr>
        <w:pStyle w:val="BookText"/>
      </w:pPr>
      <w:r>
        <w:rPr>
          <w:rFonts w:ascii="IRNazanin" w:hAnsi="IRNazanin" w:eastAsia="IRNazanin" w:cs="IRNazanin"/>
          <w:lang w:bidi="fa-IR"/>
          <w:color w:val="111111"/>
          <w:sz w:val="28"/>
          <w:szCs w:val="28"/>
          <w:rtl/>
        </w:rPr>
        <w:t xml:space="preserve">۲. تهران، دانشگاه؛ شماره نسخه:۳۴۰۶</w:t>
      </w:r>
    </w:p>
    <w:p>
      <w:pPr>
        <w:pStyle w:val="BookText"/>
      </w:pPr>
      <w:r>
        <w:rPr>
          <w:rFonts w:ascii="IRNazanin" w:hAnsi="IRNazanin" w:eastAsia="IRNazanin" w:cs="IRNazanin"/>
          <w:lang w:bidi="fa-IR"/>
          <w:color w:val="111111"/>
          <w:sz w:val="28"/>
          <w:szCs w:val="28"/>
          <w:rtl/>
        </w:rPr>
        <w:t xml:space="preserve">گرد آورده ضياء الدين بن حاجی آقاسی تویسرکانی زنده در ۱۳۰۹ و گذشته از نكات تاریخی و ادبی شعر عشرت تویسرکانی، خرم تویسرکانی، خود ضياء الدين تویسرکانی، مصور تویسرکانی و مجنون تویسرکانی حاج حسین قاری در آن هست و در آن یاد شده از: ۱. نزاع متشرعه و شیخیه در همدان در ۱۳۱۵، ۲. پیدا شدن خشت کاشی در رود آور تویسرکان در ۱۲۹۲ که در آن شعری بوده است، ۳. سفر ناصرالدین شاه به تویسرکان و برخورد مؤلف با او با علما در ۱۳۰۹، ۴. سجع مهر چند پادشاه و تاریخ جلوس و مرگ</w:t>
      </w:r>
    </w:p>
    <w:p>
      <w:pPr>
        <w:pStyle w:val="BookText"/>
      </w:pPr>
      <w:r>
        <w:rPr>
          <w:rFonts w:ascii="IRNazanin" w:hAnsi="IRNazanin" w:eastAsia="IRNazanin" w:cs="IRNazanin"/>
          <w:lang w:bidi="fa-IR"/>
          <w:color w:val="111111"/>
          <w:sz w:val="28"/>
          <w:szCs w:val="28"/>
          <w:rtl/>
        </w:rPr>
        <w:t xml:space="preserve">آنها، ۵. واقعه امتیاز و انحصار تنباکو به انگلیسیها و شورش مردم در شهرها در ۱۳۰۹، ۶. سفر ناصرالدین شاه به عتبات در ۱۳۰۹؛ خط: شکسته نستعلیق، بی کا، تا: آغاز قرن ۱۴؛ کاغذ: فرنگی، جلد: تیماج زرد ضربی، ۹۰، ۱۸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۱۱-۲۴۱۳]</w:t>
      </w:r>
    </w:p>
    <w:p>
      <w:pPr>
        <w:pStyle w:val="Heading3"/>
      </w:pPr>
      <w:bookmarkStart w:id="2236" w:name="_Toc1496"/>
      <w:r>
        <w:t>• تاریخچه مکه / تاریخ</w:t>
      </w:r>
      <w:bookmarkEnd w:id="2236"/>
    </w:p>
    <w:p>
      <w:pPr>
        <w:pStyle w:val="BookText"/>
      </w:pPr>
      <w:r>
        <w:rPr>
          <w:rFonts w:ascii="Times New Roman" w:hAnsi="Times New Roman" w:eastAsia="Times New Roman" w:cs="Times New Roman"/>
          <w:lang w:val="en-US" w:bidi="en-US"/>
          <w:color w:val="111111"/>
          <w:sz w:val="28"/>
          <w:szCs w:val="28"/>
          <w:rtl/>
        </w:rPr>
        <w:t xml:space="preserve">tārīxčhe-ye makke</w:t>
      </w:r>
    </w:p>
    <w:p>
      <w:pPr>
        <w:pStyle w:val="BookText"/>
      </w:pPr>
      <w:r>
        <w:rPr>
          <w:rFonts w:ascii="IRNazanin" w:hAnsi="IRNazanin" w:eastAsia="IRNazanin" w:cs="IRNazanin"/>
          <w:lang w:bidi="fa-IR"/>
          <w:color w:val="111111"/>
          <w:sz w:val="28"/>
          <w:szCs w:val="28"/>
          <w:rtl/>
        </w:rPr>
        <w:t xml:space="preserve">سؤال و جوابی درباره تاریخ مکه.</w:t>
      </w:r>
    </w:p>
    <w:p>
      <w:pPr>
        <w:pStyle w:val="BookText"/>
      </w:pPr>
      <w:r>
        <w:rPr>
          <w:rFonts w:ascii="IRNazanin" w:hAnsi="IRNazanin" w:eastAsia="IRNazanin" w:cs="IRNazanin"/>
          <w:lang w:bidi="fa-IR"/>
          <w:color w:val="111111"/>
          <w:sz w:val="28"/>
          <w:szCs w:val="28"/>
          <w:rtl/>
        </w:rPr>
        <w:t xml:space="preserve">تهران؛ مجلس؛ شماره نسخه:۳۲/۸ خوئی</w:t>
      </w:r>
    </w:p>
    <w:p>
      <w:pPr>
        <w:pStyle w:val="BookText"/>
      </w:pPr>
      <w:r>
        <w:rPr>
          <w:rFonts w:ascii="IRNazanin" w:hAnsi="IRNazanin" w:eastAsia="IRNazanin" w:cs="IRNazanin"/>
          <w:lang w:bidi="fa-IR"/>
          <w:color w:val="111111"/>
          <w:sz w:val="28"/>
          <w:szCs w:val="28"/>
          <w:rtl/>
        </w:rPr>
        <w:t xml:space="preserve">خط: نسخ تحریری، كا: شاه رضا حیدر کهنموئی، تا: قرن ۱۰ [ف: ۲۸۷-۷ ]</w:t>
      </w:r>
    </w:p>
    <w:p>
      <w:pPr>
        <w:pStyle w:val="BookText"/>
      </w:pPr>
      <w:r>
        <w:rPr>
          <w:rFonts w:ascii="IRNazanin" w:hAnsi="IRNazanin" w:eastAsia="IRNazanin" w:cs="IRNazanin"/>
          <w:lang w:bidi="fa-IR"/>
          <w:color w:val="111111"/>
          <w:sz w:val="28"/>
          <w:szCs w:val="28"/>
          <w:rtl/>
        </w:rPr>
        <w:t xml:space="preserve">←تاریخچه منظوم← تاریخ مشروطیت</w:t>
      </w:r>
    </w:p>
    <w:p>
      <w:pPr>
        <w:pStyle w:val="Heading3"/>
      </w:pPr>
      <w:bookmarkStart w:id="2237" w:name="_Toc1497"/>
      <w:r>
        <w:t>•تاریخچه منظوم عروسی شاه با فوزیه / شعر / فارسی</w:t>
      </w:r>
      <w:bookmarkEnd w:id="2237"/>
    </w:p>
    <w:p>
      <w:pPr>
        <w:pStyle w:val="BookText"/>
      </w:pPr>
      <w:r>
        <w:rPr>
          <w:rFonts w:ascii="Times New Roman" w:hAnsi="Times New Roman" w:eastAsia="Times New Roman" w:cs="Times New Roman"/>
          <w:lang w:val="en-US" w:bidi="en-US"/>
          <w:color w:val="111111"/>
          <w:sz w:val="28"/>
          <w:szCs w:val="28"/>
          <w:rtl/>
        </w:rPr>
        <w:t xml:space="preserve">tārīxčhe-ye manzūm-e 'arūs7-ye šāh bā fūzīye</w:t>
      </w:r>
    </w:p>
    <w:p>
      <w:pPr>
        <w:pStyle w:val="BookText"/>
      </w:pPr>
      <w:r>
        <w:rPr>
          <w:rFonts w:ascii="IRNazanin" w:hAnsi="IRNazanin" w:eastAsia="IRNazanin" w:cs="IRNazanin"/>
          <w:lang w:bidi="fa-IR"/>
          <w:color w:val="111111"/>
          <w:sz w:val="28"/>
          <w:szCs w:val="28"/>
          <w:rtl/>
        </w:rPr>
        <w:t xml:space="preserve">تجلی سبزواری، رجبعلی، ۱۲۶۱-۱۳۱۹ شمسی</w:t>
      </w:r>
    </w:p>
    <w:p>
      <w:pPr>
        <w:pStyle w:val="BookText"/>
      </w:pPr>
      <w:r>
        <w:rPr>
          <w:rFonts w:ascii="Times New Roman" w:hAnsi="Times New Roman" w:eastAsia="Times New Roman" w:cs="Times New Roman"/>
          <w:lang w:val="en-US" w:bidi="en-US"/>
          <w:color w:val="111111"/>
          <w:sz w:val="28"/>
          <w:szCs w:val="28"/>
          <w:rtl/>
        </w:rPr>
        <w:t xml:space="preserve">tajallī sabzevārī, rajab--alī (1882-1940)</w:t>
      </w:r>
    </w:p>
    <w:p>
      <w:pPr>
        <w:pStyle w:val="BookText"/>
      </w:pPr>
      <w:r>
        <w:rPr>
          <w:rFonts w:ascii="IRNazanin" w:hAnsi="IRNazanin" w:eastAsia="IRNazanin" w:cs="IRNazanin"/>
          <w:lang w:bidi="fa-IR"/>
          <w:color w:val="111111"/>
          <w:sz w:val="28"/>
          <w:szCs w:val="28"/>
          <w:rtl/>
        </w:rPr>
        <w:t xml:space="preserve">مثنویی است که شاعر در تهنیت ازدواج محمد رضا پهلوی با فوزیه سروده و در آن مفصلا هیئت اعزامی ایران به مصر و عراق و سایر اموراتی را که در مراسم ازدواج صورت گرفته تعریف و مدح نموده است. تخلص شاعر تجلی می باشد از همین شاعر کتاب «تجددنامه» به چاپ رسیده است.[ الذريعة ۱۶۷/۹ ؛ فرهنگی سخنوران ۱۱۱]</w:t>
      </w:r>
    </w:p>
    <w:p>
      <w:pPr>
        <w:pStyle w:val="BookText"/>
      </w:pPr>
      <w:r>
        <w:rPr>
          <w:rFonts w:ascii="IRNazanin" w:hAnsi="IRNazanin" w:eastAsia="IRNazanin" w:cs="IRNazanin"/>
          <w:lang w:bidi="fa-IR"/>
          <w:color w:val="111111"/>
          <w:sz w:val="28"/>
          <w:szCs w:val="28"/>
          <w:rtl/>
        </w:rPr>
        <w:t xml:space="preserve">تهران؛ مجلس؛ شماره نسخه: ۷۶۵۰</w:t>
      </w:r>
    </w:p>
    <w:p>
      <w:pPr>
        <w:pStyle w:val="BookText"/>
      </w:pPr>
      <w:r>
        <w:rPr>
          <w:rFonts w:ascii="IRNazanin" w:hAnsi="IRNazanin" w:eastAsia="IRNazanin" w:cs="IRNazanin"/>
          <w:lang w:bidi="fa-IR"/>
          <w:color w:val="111111"/>
          <w:sz w:val="28"/>
          <w:szCs w:val="28"/>
          <w:rtl/>
        </w:rPr>
        <w:t xml:space="preserve">آغاز: ساقی گلچهر من ای رشک مه *** ای به دو رخ ماه شب چارده؛ انجام:</w:t>
      </w:r>
    </w:p>
    <w:p>
      <w:pPr>
        <w:pStyle w:val="BookText"/>
      </w:pPr>
      <w:r>
        <w:rPr>
          <w:rFonts w:ascii="IRNazanin" w:hAnsi="IRNazanin" w:eastAsia="IRNazanin" w:cs="IRNazanin"/>
          <w:lang w:bidi="fa-IR"/>
          <w:color w:val="111111"/>
          <w:sz w:val="28"/>
          <w:szCs w:val="28"/>
          <w:rtl/>
        </w:rPr>
        <w:t xml:space="preserve">هر دو رسد نصر تشان از خدا *** از حق اجابت ز تجلی دعا</w:t>
      </w:r>
    </w:p>
    <w:p>
      <w:pPr>
        <w:pStyle w:val="BookText"/>
      </w:pPr>
      <w:r>
        <w:rPr>
          <w:rFonts w:ascii="IRNazanin" w:hAnsi="IRNazanin" w:eastAsia="IRNazanin" w:cs="IRNazanin"/>
          <w:lang w:bidi="fa-IR"/>
          <w:color w:val="111111"/>
          <w:sz w:val="28"/>
          <w:szCs w:val="28"/>
          <w:rtl/>
        </w:rPr>
        <w:t xml:space="preserve">خط: نستعلیق، کاتب = مؤلف، بی تا، بی تا؛ مجدول محرر؛ جلد: گالینگور آبی عطف</w:t>
      </w:r>
    </w:p>
    <w:p>
      <w:pPr>
        <w:pStyle w:val="BookText"/>
      </w:pPr>
      <w:r>
        <w:rPr>
          <w:rFonts w:ascii="IRNazanin" w:hAnsi="IRNazanin" w:eastAsia="IRNazanin" w:cs="IRNazanin"/>
          <w:lang w:bidi="fa-IR"/>
          <w:color w:val="111111"/>
          <w:sz w:val="28"/>
          <w:szCs w:val="28"/>
          <w:rtl/>
        </w:rPr>
        <w:t xml:space="preserve">تیماج، ۲۲گ، ۱۷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۲۶-۱۴۶]</w:t>
      </w:r>
    </w:p>
    <w:p>
      <w:pPr>
        <w:pStyle w:val="Heading3"/>
      </w:pPr>
      <w:bookmarkStart w:id="2238" w:name="_Toc1498"/>
      <w:r>
        <w:t>•تاریخچه میرزا کوچک خان / تاریخ ایران / فارسی</w:t>
      </w:r>
      <w:bookmarkEnd w:id="2238"/>
    </w:p>
    <w:p>
      <w:pPr>
        <w:pStyle w:val="BookText"/>
      </w:pPr>
      <w:r>
        <w:rPr>
          <w:rFonts w:ascii="Times New Roman" w:hAnsi="Times New Roman" w:eastAsia="Times New Roman" w:cs="Times New Roman"/>
          <w:lang w:val="en-US" w:bidi="en-US"/>
          <w:color w:val="111111"/>
          <w:sz w:val="28"/>
          <w:szCs w:val="28"/>
          <w:rtl/>
        </w:rPr>
        <w:t xml:space="preserve">tārīxčhe-ye mīrzā kočak-xān</w:t>
      </w:r>
    </w:p>
    <w:p>
      <w:pPr>
        <w:pStyle w:val="BookText"/>
      </w:pPr>
      <w:r>
        <w:rPr>
          <w:rFonts w:ascii="IRNazanin" w:hAnsi="IRNazanin" w:eastAsia="IRNazanin" w:cs="IRNazanin"/>
          <w:lang w:bidi="fa-IR"/>
          <w:color w:val="111111"/>
          <w:sz w:val="28"/>
          <w:szCs w:val="28"/>
          <w:rtl/>
        </w:rPr>
        <w:t xml:space="preserve">موسوی برغانی، محمد بن هبة الله، ق ۱۴ قمری</w:t>
      </w:r>
    </w:p>
    <w:p>
      <w:pPr>
        <w:pStyle w:val="BookText"/>
      </w:pPr>
      <w:r>
        <w:rPr>
          <w:rFonts w:ascii="Times New Roman" w:hAnsi="Times New Roman" w:eastAsia="Times New Roman" w:cs="Times New Roman"/>
          <w:lang w:val="en-US" w:bidi="en-US"/>
          <w:color w:val="111111"/>
          <w:sz w:val="28"/>
          <w:szCs w:val="28"/>
          <w:rtl/>
        </w:rPr>
        <w:t xml:space="preserve">mūsavī baraqānī, mohammad ebn-e hebat-ol-lāh (-20c)</w:t>
      </w:r>
    </w:p>
    <w:p>
      <w:pPr>
        <w:pStyle w:val="BookText"/>
      </w:pPr>
      <w:r>
        <w:rPr>
          <w:rFonts w:ascii="IRNazanin" w:hAnsi="IRNazanin" w:eastAsia="IRNazanin" w:cs="IRNazanin"/>
          <w:lang w:bidi="fa-IR"/>
          <w:color w:val="111111"/>
          <w:sz w:val="28"/>
          <w:szCs w:val="28"/>
          <w:rtl/>
        </w:rPr>
        <w:t xml:space="preserve">تاریخ تأليف: ۲۵ ربيع الثانی ۱۳۷۰ق در تاریخچه میرزا کوچک خان جنگلی پسر میرزا بزرگ فرزند میرزا یونس، کیفیت قدرت یافتن میرزا کوچک و جنگها یا سازهاش وی را با بعضی از حوادث مربوط به روس ها و بالشویکها نقل کرده است. مؤلف دل خوشی از میرزا ندارد و می گوید: آنچه نقل می کنم یا خود شاهد بوده ام یا از مدارک معتبره به زحمت به دست آورده ام و بدون مرض و اعمال غرض ثبت می نمایم.</w:t>
      </w:r>
    </w:p>
    <w:p>
      <w:pPr>
        <w:pStyle w:val="BookText"/>
      </w:pPr>
      <w:r>
        <w:rPr>
          <w:rFonts w:ascii="IRNazanin" w:hAnsi="IRNazanin" w:eastAsia="IRNazanin" w:cs="IRNazanin"/>
          <w:lang w:bidi="fa-IR"/>
          <w:color w:val="111111"/>
          <w:sz w:val="28"/>
          <w:szCs w:val="28"/>
          <w:rtl/>
        </w:rPr>
        <w:t xml:space="preserve">تهران؛ مجلس؛ شماره نسخه:۱۵ ۱۵۵</w:t>
      </w:r>
    </w:p>
    <w:p>
      <w:pPr>
        <w:pStyle w:val="BookText"/>
      </w:pPr>
      <w:r>
        <w:rPr>
          <w:rFonts w:ascii="IRNazanin" w:hAnsi="IRNazanin" w:eastAsia="IRNazanin" w:cs="IRNazanin"/>
          <w:lang w:bidi="fa-IR"/>
          <w:color w:val="111111"/>
          <w:sz w:val="28"/>
          <w:szCs w:val="28"/>
          <w:rtl/>
        </w:rPr>
        <w:t xml:space="preserve">آغاز: الحمد لله رب العالمين ... تاریخچه میرزا کوچک خان، سوم ربیع الاول در این روز از سال یکهزار و سیصد و چهل (هـ) سر میرزا کوچک خان از تن جدا گردید؛ انجام: و اعمال غرض ثبت نمود تا مغرضین چه بگویند و چه بنگارند. خط: نستعلیق زیبا، کاتب = مؤلف، تا: ۲۵ ربیع الثانی ۱۳۷۰ق؛ جلد: چرم قهوه ای، ۱۵گ، ۱۸ سطر، اندازه: ۲۳/۳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سم [ف: ۱۳۵-۴۳]</w:t>
      </w:r>
    </w:p>
    <w:p>
      <w:pPr>
        <w:pStyle w:val="Heading3"/>
      </w:pPr>
      <w:bookmarkStart w:id="2239" w:name="_Toc1499"/>
      <w:r>
        <w:t>•تاریخچه نادرشاه / تاریخ ایران / فارسی</w:t>
      </w:r>
      <w:bookmarkEnd w:id="2239"/>
    </w:p>
    <w:p>
      <w:pPr>
        <w:pStyle w:val="BookText"/>
      </w:pPr>
      <w:r>
        <w:rPr>
          <w:rFonts w:ascii="Times New Roman" w:hAnsi="Times New Roman" w:eastAsia="Times New Roman" w:cs="Times New Roman"/>
          <w:lang w:val="en-US" w:bidi="en-US"/>
          <w:color w:val="111111"/>
          <w:sz w:val="28"/>
          <w:szCs w:val="28"/>
          <w:rtl/>
        </w:rPr>
        <w:t xml:space="preserve">tārīxčhe-ye nāder-šāh</w:t>
      </w:r>
    </w:p>
    <w:p>
      <w:pPr>
        <w:pStyle w:val="BookText"/>
      </w:pPr>
      <w:r>
        <w:rPr>
          <w:rFonts w:ascii="IRNazanin" w:hAnsi="IRNazanin" w:eastAsia="IRNazanin" w:cs="IRNazanin"/>
          <w:lang w:bidi="fa-IR"/>
          <w:color w:val="111111"/>
          <w:sz w:val="28"/>
          <w:szCs w:val="28"/>
          <w:rtl/>
        </w:rPr>
        <w:t xml:space="preserve">مینورسکی، ولادیمیر فئودوروویچ، میلادی</w:t>
      </w:r>
    </w:p>
    <w:p>
      <w:pPr>
        <w:pStyle w:val="BookText"/>
      </w:pPr>
      <w:r>
        <w:rPr>
          <w:rFonts w:ascii="IRNazanin" w:hAnsi="IRNazanin" w:eastAsia="IRNazanin" w:cs="IRNazanin"/>
          <w:lang w:bidi="fa-IR"/>
          <w:color w:val="111111"/>
          <w:sz w:val="28"/>
          <w:szCs w:val="28"/>
          <w:rtl/>
        </w:rPr>
        <w:t xml:space="preserve">۱۸۷۷–۱۹۶۶</w:t>
      </w:r>
    </w:p>
    <w:p>
      <w:pPr>
        <w:pStyle w:val="BookText"/>
      </w:pPr>
      <w:r>
        <w:rPr>
          <w:rFonts w:ascii="Times New Roman" w:hAnsi="Times New Roman" w:eastAsia="Times New Roman" w:cs="Times New Roman"/>
          <w:lang w:val="en-US" w:bidi="en-US"/>
          <w:color w:val="111111"/>
          <w:sz w:val="28"/>
          <w:szCs w:val="28"/>
          <w:rtl/>
        </w:rPr>
        <w:t xml:space="preserve">mīnorskī, velādīmīr fe’odorovīč (1877-1966)</w:t>
      </w:r>
    </w:p>
    <w:p>
      <w:pPr>
        <w:pStyle w:val="BookText"/>
      </w:pPr>
      <w:r>
        <w:rPr>
          <w:rFonts w:ascii="IRNazanin" w:hAnsi="IRNazanin" w:eastAsia="IRNazanin" w:cs="IRNazanin"/>
          <w:lang w:bidi="fa-IR"/>
          <w:color w:val="111111"/>
          <w:sz w:val="28"/>
          <w:szCs w:val="28"/>
          <w:rtl/>
        </w:rPr>
        <w:t xml:space="preserve">تهران؛ مجلس؛ شماره نسخه:۱۱۲۲۳</w:t>
      </w:r>
    </w:p>
    <w:p>
      <w:pPr>
        <w:pStyle w:val="BookText"/>
      </w:pPr>
      <w:r>
        <w:rPr>
          <w:rFonts w:ascii="IRNazanin" w:hAnsi="IRNazanin" w:eastAsia="IRNazanin" w:cs="IRNazanin"/>
          <w:lang w:bidi="fa-IR"/>
          <w:color w:val="111111"/>
          <w:sz w:val="28"/>
          <w:szCs w:val="28"/>
          <w:rtl/>
        </w:rPr>
        <w:t xml:space="preserve">خط: تحریری، کا:رشید یاسمی، تا: ۲۰ آبان ۱۳۱۳ش [ مختصر ف: ۱۲۶]</w:t>
      </w:r>
    </w:p>
    <w:p>
      <w:pPr>
        <w:pStyle w:val="BookText"/>
      </w:pPr>
      <w:r>
        <w:rPr>
          <w:rFonts w:ascii="IRNazanin" w:hAnsi="IRNazanin" w:eastAsia="IRNazanin" w:cs="IRNazanin"/>
          <w:lang w:bidi="fa-IR"/>
          <w:color w:val="111111"/>
          <w:sz w:val="28"/>
          <w:szCs w:val="28"/>
          <w:rtl/>
        </w:rPr>
        <w:t xml:space="preserve">و تاریخچه وهابیها از روزنامه تجدد / تاریخ</w:t>
      </w:r>
    </w:p>
    <w:p>
      <w:pPr>
        <w:pStyle w:val="BookText"/>
      </w:pPr>
      <w:r>
        <w:rPr>
          <w:rFonts w:ascii="Times New Roman" w:hAnsi="Times New Roman" w:eastAsia="Times New Roman" w:cs="Times New Roman"/>
          <w:lang w:val="en-US" w:bidi="en-US"/>
          <w:color w:val="111111"/>
          <w:sz w:val="28"/>
          <w:szCs w:val="28"/>
          <w:rtl/>
        </w:rPr>
        <w:t xml:space="preserve">tārīxčhe-ye vahhābī-hā az rūznāme-ye tajaddod</w:t>
      </w:r>
    </w:p>
    <w:p>
      <w:pPr>
        <w:pStyle w:val="BookText"/>
      </w:pPr>
      <w:r>
        <w:rPr>
          <w:rFonts w:ascii="IRNazanin" w:hAnsi="IRNazanin" w:eastAsia="IRNazanin" w:cs="IRNazanin"/>
          <w:lang w:bidi="fa-IR"/>
          <w:color w:val="111111"/>
          <w:sz w:val="28"/>
          <w:szCs w:val="28"/>
          <w:rtl/>
        </w:rPr>
        <w:t xml:space="preserve">تاریخچه وهابیها از روزنامه تجدد، ش ۱۵۷ و ۱۵۹ مورخ ۲۱ و</w:t>
      </w:r>
    </w:p>
    <w:p>
      <w:pPr>
        <w:pStyle w:val="BookText"/>
      </w:pPr>
      <w:r>
        <w:rPr>
          <w:rFonts w:ascii="IRNazanin" w:hAnsi="IRNazanin" w:eastAsia="IRNazanin" w:cs="IRNazanin"/>
          <w:lang w:bidi="fa-IR"/>
          <w:color w:val="111111"/>
          <w:sz w:val="28"/>
          <w:szCs w:val="28"/>
          <w:rtl/>
        </w:rPr>
        <w:t xml:space="preserve">۲۹ مرداد.</w:t>
      </w:r>
    </w:p>
    <w:p>
      <w:pPr>
        <w:pStyle w:val="BookText"/>
      </w:pPr>
      <w:r>
        <w:rPr>
          <w:rFonts w:ascii="IRNazanin" w:hAnsi="IRNazanin" w:eastAsia="IRNazanin" w:cs="IRNazanin"/>
          <w:lang w:bidi="fa-IR"/>
          <w:color w:val="111111"/>
          <w:sz w:val="28"/>
          <w:szCs w:val="28"/>
          <w:rtl/>
        </w:rPr>
        <w:t xml:space="preserve">تهران، دانشگاه؛ شماره نسخه:۹۳۷۷/۳</w:t>
      </w:r>
    </w:p>
    <w:p>
      <w:pPr>
        <w:pStyle w:val="BookText"/>
      </w:pPr>
      <w:r>
        <w:rPr>
          <w:rFonts w:ascii="IRNazanin" w:hAnsi="IRNazanin" w:eastAsia="IRNazanin" w:cs="IRNazanin"/>
          <w:lang w:bidi="fa-IR"/>
          <w:color w:val="111111"/>
          <w:sz w:val="28"/>
          <w:szCs w:val="28"/>
          <w:rtl/>
        </w:rPr>
        <w:t xml:space="preserve">خط: نستعلیق، بی کا، تا: قرن ۱۴؛ کاغذ: فرنگی، جلد: مقوا عطف گالینگور، ۲۸ ص (۱-۲۸)، ۱۷ سطر (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۱۷-۳۵۸ ]</w:t>
      </w:r>
    </w:p>
    <w:p>
      <w:pPr>
        <w:pStyle w:val="Heading3"/>
      </w:pPr>
      <w:bookmarkStart w:id="2240" w:name="_Toc1500"/>
      <w:r>
        <w:t>• تاریخ چین / تاریخ / فارسی</w:t>
      </w:r>
      <w:bookmarkEnd w:id="2240"/>
    </w:p>
    <w:p>
      <w:pPr>
        <w:pStyle w:val="BookText"/>
      </w:pPr>
      <w:r>
        <w:rPr>
          <w:rFonts w:ascii="Times New Roman" w:hAnsi="Times New Roman" w:eastAsia="Times New Roman" w:cs="Times New Roman"/>
          <w:lang w:val="en-US" w:bidi="en-US"/>
          <w:color w:val="111111"/>
          <w:sz w:val="28"/>
          <w:szCs w:val="28"/>
          <w:rtl/>
        </w:rPr>
        <w:t xml:space="preserve">tārīx-e čīn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449" w:name="pg20363_209755"/>
    <w:bookmarkEnd w:id="449"/>
    <w:p>
      <w:pPr>
        <w:pStyle w:val="BookText"/>
      </w:pPr>
      <w:r>
        <w:rPr>
          <w:rFonts w:ascii="IRNazanin" w:hAnsi="IRNazanin" w:eastAsia="IRNazanin" w:cs="IRNazanin"/>
          <w:lang w:bidi="fa-IR"/>
          <w:color w:val="111111"/>
          <w:sz w:val="28"/>
          <w:szCs w:val="28"/>
          <w:rtl/>
        </w:rPr>
        <w:t xml:space="preserve">ندیم السلطان شیرازی، محمد خليل بن محمد هاشم، قی۱۴ قمری</w:t>
      </w:r>
    </w:p>
    <w:p>
      <w:pPr>
        <w:pStyle w:val="BookText"/>
      </w:pPr>
      <w:r>
        <w:rPr>
          <w:rFonts w:ascii="Times New Roman" w:hAnsi="Times New Roman" w:eastAsia="Times New Roman" w:cs="Times New Roman"/>
          <w:lang w:val="en-US" w:bidi="en-US"/>
          <w:color w:val="111111"/>
          <w:sz w:val="28"/>
          <w:szCs w:val="28"/>
          <w:rtl/>
        </w:rPr>
        <w:t xml:space="preserve">nadīm-os-soltān-e šīrāzī, mohammad xalīlebn-e mohammad hāšem (-20c)</w:t>
      </w:r>
    </w:p>
    <w:p>
      <w:pPr>
        <w:pStyle w:val="BookText"/>
      </w:pPr>
      <w:r>
        <w:rPr>
          <w:rFonts w:ascii="IRNazanin" w:hAnsi="IRNazanin" w:eastAsia="IRNazanin" w:cs="IRNazanin"/>
          <w:lang w:bidi="fa-IR"/>
          <w:color w:val="111111"/>
          <w:sz w:val="28"/>
          <w:szCs w:val="28"/>
          <w:rtl/>
        </w:rPr>
        <w:t xml:space="preserve">از: محمد خليل بن محمد هاشم و محمد هادی دامغانی؛ زمان تأليف: ۱۳۲۲ق محمد هادی دامغانی می گوید به سال ۱۳۲۲ ق در کربلا بودم و در آنجا به حاجی میرزا خلیل نام برخوردم که ایرانی بود و به زبان های هندی و عربی و انگلیسی آشنایی داشت. او روزی به من می گفت که در هند کتابی یافته ام که حاوی اطلاعات جامع و مانعی در تاریخ چین است و من آن را از زبان اردو به فارسی برگردانده ام. دامغانی می گوید من این کتاب را دیدم و کتابی بسیار پریشان یافتم که فقط شامل یک سلسله مطالب تاریخی چین بود چون مترجم را چنین دیدم که قصد چاپ آن را دارد دریغ آمدم که به تنقیح آن دست نیازم پس منقحش کردم و به آن ملحقاتی از وقایع کشور چین تا سال ۱۳۳۰ ق به اضافه جنگ ژاپون و روس افزودم و چون از کربلا به تهران آمدم نسخه را برای چاپ آماده کردم. این نسخه در سال ۱۳۲۴ ق به نام تاریخ چین و ماچین به مترجمی ندیم السلطان محمد خليل بن محمدهاشم شیرازی به چاپ رسیده است. توضيح: تاریخ چاپ یعنی ۱۳۲۴ق با تاریخ ۱۳۳۰ ق که وقایع چین تا آن تاریخ می آید قابل تطبيق نیست. در دو جلد: جلد دوم حاوی سه «دفتر» می باشد: 1. مشتمل بر یک «مقدمه» و هفده «باب» و یک</w:t>
      </w:r>
    </w:p>
    <w:p>
      <w:pPr>
        <w:pStyle w:val="BookText"/>
      </w:pPr>
      <w:r>
        <w:rPr>
          <w:rFonts w:ascii="IRNazanin" w:hAnsi="IRNazanin" w:eastAsia="IRNazanin" w:cs="IRNazanin"/>
          <w:lang w:bidi="fa-IR"/>
          <w:color w:val="111111"/>
          <w:sz w:val="28"/>
          <w:szCs w:val="28"/>
          <w:rtl/>
        </w:rPr>
        <w:t xml:space="preserve">خاتمه» و یک «تكمله» که از نسب اهل چین شروع می شود تا تأسیس جمهوریت؛ ۲. دارای یک «مقدمه» و هفده «باب» است که در این مقدمه و ابواب از تجارت چین صحبت می شود؛ ۳. دارای یک «مقدمه» و پنج «باب» و یک «خاتمه» است و در آن از اوضاع ترکستان و حکومت آن صحبت می شود؛ جزء دوم: در شش «باب»: که در این باب ها از: جزیره فارموسا، مملکت کورتا، چین، تبت، ملکی حامی، جزایر لوچو و انقلابی که بعد از جمهوریت روی نموده است، سخن می گوید. (عبدالله انوار)</w:t>
      </w:r>
    </w:p>
    <w:p>
      <w:pPr>
        <w:pStyle w:val="BookText"/>
      </w:pPr>
      <w:r>
        <w:rPr>
          <w:rFonts w:ascii="IRNazanin" w:hAnsi="IRNazanin" w:eastAsia="IRNazanin" w:cs="IRNazanin"/>
          <w:lang w:bidi="fa-IR"/>
          <w:color w:val="111111"/>
          <w:sz w:val="28"/>
          <w:szCs w:val="28"/>
          <w:rtl/>
        </w:rPr>
        <w:t xml:space="preserve">۱. تهران؛ ملی؛ شماره نسخه:۱۹۲۶</w:t>
      </w:r>
    </w:p>
    <w:p>
      <w:pPr>
        <w:pStyle w:val="BookText"/>
      </w:pPr>
      <w:r>
        <w:rPr>
          <w:rFonts w:ascii="IRNazanin" w:hAnsi="IRNazanin" w:eastAsia="IRNazanin" w:cs="IRNazanin"/>
          <w:lang w:bidi="fa-IR"/>
          <w:color w:val="111111"/>
          <w:sz w:val="28"/>
          <w:szCs w:val="28"/>
          <w:rtl/>
        </w:rPr>
        <w:t xml:space="preserve">آغاز: بسمه تعالی شأنه العزيز، جلد دوم از کتاب تاریخ چین و آن مشتمل است بر سه دفتر؛ انجام: آلمان و اطریش و ايطاليا که مدتی است مذاکره می کند تعجیل نماید جلد دوم؛ خط: نسخ، كاتب = مؤلف، تا: ۱۳۳۰ق، جا: تهران؛ در صفحه ۵۵۹ باب ششم جزء دوم دفتر سیم خاتمه می پذیرد بعد از صفحه ۵۶۰ تا ۵۶۵ به خط نستعلیق وضع جمهوريت چین و حوادث بعد آن می آید؛ کاغذ: فرنگی، جلد: تیماج قرمز مقوایی، ۲۸۳گ، ۱۸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۴-۳۸۴]</w:t>
      </w:r>
    </w:p>
    <w:p>
      <w:pPr>
        <w:pStyle w:val="BookText"/>
      </w:pPr>
      <w:r>
        <w:rPr>
          <w:rFonts w:ascii="IRNazanin" w:hAnsi="IRNazanin" w:eastAsia="IRNazanin" w:cs="IRNazanin"/>
          <w:lang w:bidi="fa-IR"/>
          <w:color w:val="111111"/>
          <w:sz w:val="28"/>
          <w:szCs w:val="28"/>
          <w:rtl/>
        </w:rPr>
        <w:t xml:space="preserve">۲. تهران؛ ملی؛ شماره نسخه:۱۹۱۸</w:t>
      </w:r>
    </w:p>
    <w:p>
      <w:pPr>
        <w:pStyle w:val="BookText"/>
      </w:pPr>
      <w:r>
        <w:rPr>
          <w:rFonts w:ascii="IRNazanin" w:hAnsi="IRNazanin" w:eastAsia="IRNazanin" w:cs="IRNazanin"/>
          <w:lang w:bidi="fa-IR"/>
          <w:color w:val="111111"/>
          <w:sz w:val="28"/>
          <w:szCs w:val="28"/>
          <w:rtl/>
        </w:rPr>
        <w:t xml:space="preserve">خط: نسخ، كا: محتملا محمد هادی دامغانی، تا: قرن ۱۴، جان کربلا کاغذ: فرنگی، جلد: تیماج قرمز با گل و بوته، ۱۵۱گ، ابعاد متن: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۴- ۳۷۰]</w:t>
      </w:r>
    </w:p>
    <w:p>
      <w:pPr>
        <w:pStyle w:val="BookText"/>
      </w:pPr>
      <w:r>
        <w:rPr>
          <w:rFonts w:ascii="IRNazanin" w:hAnsi="IRNazanin" w:eastAsia="IRNazanin" w:cs="IRNazanin"/>
          <w:lang w:bidi="fa-IR"/>
          <w:color w:val="111111"/>
          <w:sz w:val="28"/>
          <w:szCs w:val="28"/>
          <w:rtl/>
        </w:rPr>
        <w:t xml:space="preserve">٣. تهران؛ ملی؛ شماره نسخه:۱۷۸۷</w:t>
      </w:r>
    </w:p>
    <w:p>
      <w:pPr>
        <w:pStyle w:val="BookText"/>
      </w:pPr>
      <w:r>
        <w:rPr>
          <w:rFonts w:ascii="IRNazanin" w:hAnsi="IRNazanin" w:eastAsia="IRNazanin" w:cs="IRNazanin"/>
          <w:lang w:bidi="fa-IR"/>
          <w:color w:val="111111"/>
          <w:sz w:val="28"/>
          <w:szCs w:val="28"/>
          <w:rtl/>
        </w:rPr>
        <w:t xml:space="preserve">آغاز: جلد دویم از کتاب تاریخ چین، احوالات کنک تسو</w:t>
      </w:r>
    </w:p>
    <w:p>
      <w:pPr>
        <w:pStyle w:val="BookText"/>
      </w:pPr>
      <w:r>
        <w:rPr>
          <w:rFonts w:ascii="IRNazanin" w:hAnsi="IRNazanin" w:eastAsia="IRNazanin" w:cs="IRNazanin"/>
          <w:lang w:bidi="fa-IR"/>
          <w:color w:val="111111"/>
          <w:sz w:val="28"/>
          <w:szCs w:val="28"/>
          <w:rtl/>
        </w:rPr>
        <w:t xml:space="preserve">کنفسیوس؛ انجام: و اسم تسی خانواده خود داد جلد دوم، در احوال کنفسیوس؛ خط: نستعلیق، بی کا، تا: ۱۳۲۴ق، جا: تهران؛ با سرلوح گل و بوته زر، مجدول؛ کاغذ: فرنگی، فلفل نمکی، جلد: مخمل آبی با ترنج و نیم ترنج، ۱۶۰گ، ۱۶ سطر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۴-۲۴۴]</w:t>
      </w:r>
    </w:p>
    <w:p>
      <w:pPr>
        <w:pStyle w:val="Heading3"/>
      </w:pPr>
      <w:bookmarkStart w:id="2241" w:name="_Toc1501"/>
      <w:r>
        <w:t>•تاریخ چین / تاریخ جهان / فارسی</w:t>
      </w:r>
      <w:bookmarkEnd w:id="2241"/>
    </w:p>
    <w:p>
      <w:pPr>
        <w:pStyle w:val="BookText"/>
      </w:pPr>
      <w:r>
        <w:rPr>
          <w:rFonts w:ascii="Times New Roman" w:hAnsi="Times New Roman" w:eastAsia="Times New Roman" w:cs="Times New Roman"/>
          <w:lang w:val="en-US" w:bidi="en-US"/>
          <w:color w:val="111111"/>
          <w:sz w:val="28"/>
          <w:szCs w:val="28"/>
          <w:rtl/>
        </w:rPr>
        <w:t xml:space="preserve">tārīx-e čīn</w:t>
      </w:r>
    </w:p>
    <w:p>
      <w:pPr>
        <w:pStyle w:val="BookText"/>
      </w:pPr>
      <w:r>
        <w:rPr>
          <w:rFonts w:ascii="IRNazanin" w:hAnsi="IRNazanin" w:eastAsia="IRNazanin" w:cs="IRNazanin"/>
          <w:lang w:bidi="fa-IR"/>
          <w:color w:val="111111"/>
          <w:sz w:val="28"/>
          <w:szCs w:val="28"/>
          <w:rtl/>
        </w:rPr>
        <w:t xml:space="preserve">تهران؛ مجلس؛ شماره نسخه:۱۶۴۳۶</w:t>
      </w:r>
    </w:p>
    <w:p>
      <w:pPr>
        <w:pStyle w:val="BookText"/>
      </w:pPr>
      <w:r>
        <w:rPr>
          <w:rFonts w:ascii="IRNazanin" w:hAnsi="IRNazanin" w:eastAsia="IRNazanin" w:cs="IRNazanin"/>
          <w:lang w:bidi="fa-IR"/>
          <w:color w:val="111111"/>
          <w:sz w:val="28"/>
          <w:szCs w:val="28"/>
          <w:rtl/>
        </w:rPr>
        <w:t xml:space="preserve">کاتب = مؤلف، تا: قرن ۱۳؛ افتادگی: آغاز و انجام؛ قطع: خشتی [د.ث. مجلس]</w:t>
      </w:r>
    </w:p>
    <w:p>
      <w:pPr>
        <w:pStyle w:val="Heading3"/>
      </w:pPr>
      <w:bookmarkStart w:id="2242" w:name="_Toc1502"/>
      <w:r>
        <w:t>•تاریخ چین / تاریخ / فارسی</w:t>
      </w:r>
      <w:bookmarkEnd w:id="2242"/>
    </w:p>
    <w:p>
      <w:pPr>
        <w:pStyle w:val="BookText"/>
      </w:pPr>
      <w:r>
        <w:rPr>
          <w:rFonts w:ascii="Times New Roman" w:hAnsi="Times New Roman" w:eastAsia="Times New Roman" w:cs="Times New Roman"/>
          <w:lang w:val="en-US" w:bidi="en-US"/>
          <w:color w:val="111111"/>
          <w:sz w:val="28"/>
          <w:szCs w:val="28"/>
          <w:rtl/>
        </w:rPr>
        <w:t xml:space="preserve">tārīx-e čīn</w:t>
      </w:r>
    </w:p>
    <w:p>
      <w:pPr>
        <w:pStyle w:val="BookText"/>
      </w:pPr>
      <w:r>
        <w:rPr>
          <w:rFonts w:ascii="IRNazanin" w:hAnsi="IRNazanin" w:eastAsia="IRNazanin" w:cs="IRNazanin"/>
          <w:lang w:bidi="fa-IR"/>
          <w:color w:val="111111"/>
          <w:sz w:val="28"/>
          <w:szCs w:val="28"/>
          <w:rtl/>
        </w:rPr>
        <w:t xml:space="preserve">تأليف اليس که توسط ادوارد برجیس با همکاری میرزا صادق برای بهمن میرزا ترجمه شده است.</w:t>
      </w:r>
    </w:p>
    <w:p>
      <w:pPr>
        <w:pStyle w:val="BookText"/>
      </w:pPr>
      <w:r>
        <w:rPr>
          <w:rFonts w:ascii="IRNazanin" w:hAnsi="IRNazanin" w:eastAsia="IRNazanin" w:cs="IRNazanin"/>
          <w:lang w:bidi="fa-IR"/>
          <w:color w:val="111111"/>
          <w:sz w:val="28"/>
          <w:szCs w:val="28"/>
          <w:rtl/>
        </w:rPr>
        <w:t xml:space="preserve">تهران؛ ملک؛ شماره نسخه:۳۸۱۴</w:t>
      </w:r>
    </w:p>
    <w:p>
      <w:pPr>
        <w:pStyle w:val="BookText"/>
      </w:pPr>
      <w:r>
        <w:rPr>
          <w:rFonts w:ascii="IRNazanin" w:hAnsi="IRNazanin" w:eastAsia="IRNazanin" w:cs="IRNazanin"/>
          <w:lang w:bidi="fa-IR"/>
          <w:color w:val="111111"/>
          <w:sz w:val="28"/>
          <w:szCs w:val="28"/>
          <w:rtl/>
        </w:rPr>
        <w:t xml:space="preserve">خط: نستعلیق، کا: میرزا صادق، تا: ۶ شعبان ۱۲۶۳ق؛ کاغذ: فرنگی، جلد: میشن سیاه، ۷۰گ، ۱۲ سطر، اندازه: ۱۴/۶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۲-۷۹]</w:t>
      </w:r>
    </w:p>
    <w:p>
      <w:pPr>
        <w:pStyle w:val="Heading3"/>
      </w:pPr>
      <w:bookmarkStart w:id="2243" w:name="_Toc1503"/>
      <w:r>
        <w:t>•تاریخ چین / تاریخ / فارسی</w:t>
      </w:r>
      <w:bookmarkEnd w:id="2243"/>
    </w:p>
    <w:p>
      <w:pPr>
        <w:pStyle w:val="BookText"/>
      </w:pPr>
      <w:r>
        <w:rPr>
          <w:rFonts w:ascii="Times New Roman" w:hAnsi="Times New Roman" w:eastAsia="Times New Roman" w:cs="Times New Roman"/>
          <w:lang w:val="en-US" w:bidi="en-US"/>
          <w:color w:val="111111"/>
          <w:sz w:val="28"/>
          <w:szCs w:val="28"/>
          <w:rtl/>
        </w:rPr>
        <w:t xml:space="preserve">tārīx-e čīn</w:t>
      </w:r>
    </w:p>
    <w:p>
      <w:pPr>
        <w:pStyle w:val="BookText"/>
      </w:pPr>
      <w:r>
        <w:rPr>
          <w:rFonts w:ascii="IRNazanin" w:hAnsi="IRNazanin" w:eastAsia="IRNazanin" w:cs="IRNazanin"/>
          <w:lang w:bidi="fa-IR"/>
          <w:color w:val="111111"/>
          <w:sz w:val="28"/>
          <w:szCs w:val="28"/>
          <w:rtl/>
        </w:rPr>
        <w:t xml:space="preserve">این کتاب ترجمه گونه ای است از تاریخ باستان چین و وقایع قبل از میلاد مسیح آن دیار به ابتدای خود شمه ای از جغرافیای آن مرز و بوم را نیز حاوی است. در آن بزرگان و شاهان باستانی چین آمده و سرانجام با ذکر کنفوسیوس کتاب به پایان می رود.</w:t>
      </w:r>
    </w:p>
    <w:p>
      <w:pPr>
        <w:pStyle w:val="BookText"/>
      </w:pPr>
      <w:r>
        <w:rPr>
          <w:rFonts w:ascii="IRNazanin" w:hAnsi="IRNazanin" w:eastAsia="IRNazanin" w:cs="IRNazanin"/>
          <w:lang w:bidi="fa-IR"/>
          <w:color w:val="111111"/>
          <w:sz w:val="28"/>
          <w:szCs w:val="28"/>
          <w:rtl/>
        </w:rPr>
        <w:t xml:space="preserve">تهران؛ ملی؛ شماره نسخه:۱۶۸۴</w:t>
      </w:r>
    </w:p>
    <w:p>
      <w:pPr>
        <w:pStyle w:val="BookText"/>
      </w:pPr>
      <w:r>
        <w:rPr>
          <w:rFonts w:ascii="IRNazanin" w:hAnsi="IRNazanin" w:eastAsia="IRNazanin" w:cs="IRNazanin"/>
          <w:lang w:bidi="fa-IR"/>
          <w:color w:val="111111"/>
          <w:sz w:val="28"/>
          <w:szCs w:val="28"/>
          <w:rtl/>
        </w:rPr>
        <w:t xml:space="preserve">آغاز: بسمله، بهترین آثار تاریخی که مایه دقت و توجه انسان و موجب کشف؛ انجام: آنحقایق و افتخارات همیشه پایمال عيب و فساد می گردد خط: نستعلیق خوش، بی کا، تا: ۱۳۲۲ق؛ با سرلوح مذهب، مجدول؛ کاغذ: فرنگی، فلفل نمکی، جلد: مخمل آبی با گل و بوته، ۱۲۴گ، ۱۹ سطر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۳۵/۵سم [ف: ۴-۱۵۸]</w:t>
      </w:r>
    </w:p>
    <w:p>
      <w:pPr>
        <w:pStyle w:val="Heading3"/>
      </w:pPr>
      <w:bookmarkStart w:id="2244" w:name="_Toc1504"/>
      <w:r>
        <w:t>•تاریخ چین / تاریخ جهان / فارسی</w:t>
      </w:r>
      <w:bookmarkEnd w:id="2244"/>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450" w:name="pg20363_209756"/>
    <w:bookmarkEnd w:id="450"/>
    <w:p>
      <w:pPr>
        <w:pStyle w:val="BookText"/>
      </w:pPr>
      <w:r>
        <w:rPr>
          <w:rFonts w:ascii="Times New Roman" w:hAnsi="Times New Roman" w:eastAsia="Times New Roman" w:cs="Times New Roman"/>
          <w:lang w:val="en-US" w:bidi="en-US"/>
          <w:color w:val="111111"/>
          <w:sz w:val="28"/>
          <w:szCs w:val="28"/>
          <w:rtl/>
        </w:rPr>
        <w:t xml:space="preserve">tārīx-e čīn</w:t>
      </w:r>
    </w:p>
    <w:p>
      <w:pPr>
        <w:pStyle w:val="BookText"/>
      </w:pPr>
      <w:r>
        <w:rPr>
          <w:rFonts w:ascii="IRNazanin" w:hAnsi="IRNazanin" w:eastAsia="IRNazanin" w:cs="IRNazanin"/>
          <w:lang w:bidi="fa-IR"/>
          <w:color w:val="111111"/>
          <w:sz w:val="28"/>
          <w:szCs w:val="28"/>
          <w:rtl/>
        </w:rPr>
        <w:t xml:space="preserve">تهران؛ مجلس؛ شماره نسخه:۱۹۵-بهار</w:t>
      </w:r>
    </w:p>
    <w:p>
      <w:pPr>
        <w:pStyle w:val="BookText"/>
      </w:pPr>
      <w:r>
        <w:rPr>
          <w:rFonts w:ascii="IRNazanin" w:hAnsi="IRNazanin" w:eastAsia="IRNazanin" w:cs="IRNazanin"/>
          <w:lang w:bidi="fa-IR"/>
          <w:color w:val="111111"/>
          <w:sz w:val="28"/>
          <w:szCs w:val="28"/>
          <w:rtl/>
        </w:rPr>
        <w:t xml:space="preserve">تاریخ چین و قشون ملل اروپ در ۱۹۰۰؛ خط: نستعلیق، بی کا، بی تا؛ به همان خط سفرنامه یا تاریخ سیاست تبت. [نشریه: ۵-۶۵۹]</w:t>
      </w:r>
    </w:p>
    <w:p>
      <w:pPr>
        <w:pStyle w:val="BookText"/>
      </w:pPr>
      <w:r>
        <w:rPr>
          <w:rFonts w:ascii="IRNazanin" w:hAnsi="IRNazanin" w:eastAsia="IRNazanin" w:cs="IRNazanin"/>
          <w:lang w:bidi="fa-IR"/>
          <w:color w:val="111111"/>
          <w:sz w:val="28"/>
          <w:szCs w:val="28"/>
          <w:rtl/>
        </w:rPr>
        <w:t xml:space="preserve">←تاریخ حافظ ابرو ← مجمع الفنون</w:t>
      </w:r>
    </w:p>
    <w:p>
      <w:pPr>
        <w:pStyle w:val="BookText"/>
      </w:pPr>
      <w:r>
        <w:rPr>
          <w:rFonts w:ascii="IRNazanin" w:hAnsi="IRNazanin" w:eastAsia="IRNazanin" w:cs="IRNazanin"/>
          <w:lang w:bidi="fa-IR"/>
          <w:color w:val="111111"/>
          <w:sz w:val="28"/>
          <w:szCs w:val="28"/>
          <w:rtl/>
        </w:rPr>
        <w:t xml:space="preserve">← تاریخ حافظ ابرو ← تاریخ شاهرخ</w:t>
      </w:r>
    </w:p>
    <w:p>
      <w:pPr>
        <w:pStyle w:val="BookText"/>
      </w:pPr>
      <w:r>
        <w:rPr>
          <w:rFonts w:ascii="IRNazanin" w:hAnsi="IRNazanin" w:eastAsia="IRNazanin" w:cs="IRNazanin"/>
          <w:lang w:bidi="fa-IR"/>
          <w:color w:val="111111"/>
          <w:sz w:val="28"/>
          <w:szCs w:val="28"/>
          <w:rtl/>
        </w:rPr>
        <w:t xml:space="preserve">←تاریخ حافظ ابرو← مجمع التواريخ السلطانيه</w:t>
      </w:r>
    </w:p>
    <w:p>
      <w:pPr>
        <w:pStyle w:val="BookText"/>
      </w:pPr>
      <w:r>
        <w:rPr>
          <w:rFonts w:ascii="IRNazanin" w:hAnsi="IRNazanin" w:eastAsia="IRNazanin" w:cs="IRNazanin"/>
          <w:lang w:bidi="fa-IR"/>
          <w:color w:val="111111"/>
          <w:sz w:val="28"/>
          <w:szCs w:val="28"/>
          <w:rtl/>
        </w:rPr>
        <w:t xml:space="preserve">←تاریخ حب الوطن ← حب الوطن (مثنوی)</w:t>
      </w:r>
    </w:p>
    <w:p>
      <w:pPr>
        <w:pStyle w:val="Heading3"/>
      </w:pPr>
      <w:bookmarkStart w:id="2245" w:name="_Toc1505"/>
      <w:r>
        <w:t>•تاریخ حجاج بن يوسف / تاریخ</w:t>
      </w:r>
      <w:bookmarkEnd w:id="2245"/>
    </w:p>
    <w:p>
      <w:pPr>
        <w:pStyle w:val="BookText"/>
      </w:pPr>
      <w:r>
        <w:rPr>
          <w:rFonts w:ascii="Times New Roman" w:hAnsi="Times New Roman" w:eastAsia="Times New Roman" w:cs="Times New Roman"/>
          <w:lang w:val="en-US" w:bidi="en-US"/>
          <w:color w:val="111111"/>
          <w:sz w:val="28"/>
          <w:szCs w:val="28"/>
          <w:rtl/>
        </w:rPr>
        <w:t xml:space="preserve">tārīx-e hajjāj-a bn-e yūsof</w:t>
      </w:r>
    </w:p>
    <w:p>
      <w:pPr>
        <w:pStyle w:val="BookText"/>
      </w:pPr>
      <w:r>
        <w:rPr>
          <w:rFonts w:ascii="IRNazanin" w:hAnsi="IRNazanin" w:eastAsia="IRNazanin" w:cs="IRNazanin"/>
          <w:lang w:bidi="fa-IR"/>
          <w:color w:val="111111"/>
          <w:sz w:val="28"/>
          <w:szCs w:val="28"/>
          <w:rtl/>
        </w:rPr>
        <w:t xml:space="preserve">میر سیادت علی خان</w:t>
      </w:r>
    </w:p>
    <w:p>
      <w:pPr>
        <w:pStyle w:val="BookText"/>
      </w:pPr>
      <w:r>
        <w:rPr>
          <w:rFonts w:ascii="Times New Roman" w:hAnsi="Times New Roman" w:eastAsia="Times New Roman" w:cs="Times New Roman"/>
          <w:lang w:val="en-US" w:bidi="en-US"/>
          <w:color w:val="111111"/>
          <w:sz w:val="28"/>
          <w:szCs w:val="28"/>
          <w:rtl/>
        </w:rPr>
        <w:t xml:space="preserve">mīr-sīyādat ‘alī xān</w:t>
      </w:r>
    </w:p>
    <w:p>
      <w:pPr>
        <w:pStyle w:val="BookText"/>
      </w:pPr>
      <w:r>
        <w:rPr>
          <w:rFonts w:ascii="IRNazanin" w:hAnsi="IRNazanin" w:eastAsia="IRNazanin" w:cs="IRNazanin"/>
          <w:lang w:bidi="fa-IR"/>
          <w:color w:val="111111"/>
          <w:sz w:val="28"/>
          <w:szCs w:val="28"/>
          <w:rtl/>
        </w:rPr>
        <w:t xml:space="preserve">تاریخ حکومت حجاج بن يوسف (۹۵ق) والی عراق و خراسان در زمان عبدالملک بن مروان است.</w:t>
      </w:r>
    </w:p>
    <w:p>
      <w:pPr>
        <w:pStyle w:val="BookText"/>
      </w:pPr>
      <w:r>
        <w:rPr>
          <w:rFonts w:ascii="IRNazanin" w:hAnsi="IRNazanin" w:eastAsia="IRNazanin" w:cs="IRNazanin"/>
          <w:lang w:bidi="fa-IR"/>
          <w:color w:val="111111"/>
          <w:sz w:val="28"/>
          <w:szCs w:val="28"/>
          <w:rtl/>
        </w:rPr>
        <w:t xml:space="preserve">مشهد؛ رضوی؛ شماره نسخه:۳۴۷۱۴</w:t>
      </w:r>
    </w:p>
    <w:p>
      <w:pPr>
        <w:pStyle w:val="BookText"/>
      </w:pPr>
      <w:r>
        <w:rPr>
          <w:rFonts w:ascii="IRNazanin" w:hAnsi="IRNazanin" w:eastAsia="IRNazanin" w:cs="IRNazanin"/>
          <w:lang w:bidi="fa-IR"/>
          <w:color w:val="111111"/>
          <w:sz w:val="28"/>
          <w:szCs w:val="28"/>
          <w:rtl/>
        </w:rPr>
        <w:t xml:space="preserve">آغاز: واقعات بیان تو کئی جاتی هین لیکن اس طریقی پر که معلوم هوتاهی که حجاج هی زیادہ بری خصلت اور بری؛ انجام: خراج دیتی آرهی تهی اس لئی ان کی لئی به کوهی نی بات تهین تهی خط: نستعلیق، بی کا، تا: قرن ۱۳؛ افتادگی: انجام؛ اهدایی: رهبری، اردیبهشت ۱۳۸۶؛ کاغذ: فرنگی نخودی، جلد: تیماج فرنگی مشکی، ۱۶۷گ، ۱۸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[اهدائی رهبر: ۸-۳۶۹]</w:t>
      </w:r>
    </w:p>
    <w:p>
      <w:pPr>
        <w:pStyle w:val="BookText"/>
      </w:pPr>
      <w:r>
        <w:rPr>
          <w:rFonts w:ascii="IRNazanin" w:hAnsi="IRNazanin" w:eastAsia="IRNazanin" w:cs="IRNazanin"/>
          <w:lang w:bidi="fa-IR"/>
          <w:color w:val="111111"/>
          <w:sz w:val="28"/>
          <w:szCs w:val="28"/>
          <w:rtl/>
        </w:rPr>
        <w:t xml:space="preserve">←تاریخ حزین ← تذکره انطاکی</w:t>
      </w:r>
    </w:p>
    <w:p>
      <w:pPr>
        <w:pStyle w:val="BookText"/>
      </w:pPr>
      <w:r>
        <w:rPr>
          <w:rFonts w:ascii="IRNazanin" w:hAnsi="IRNazanin" w:eastAsia="IRNazanin" w:cs="IRNazanin"/>
          <w:lang w:bidi="fa-IR"/>
          <w:color w:val="111111"/>
          <w:sz w:val="28"/>
          <w:szCs w:val="28"/>
          <w:rtl/>
        </w:rPr>
        <w:t xml:space="preserve">← تاریخ حزین ←تذكرة الاحوال</w:t>
      </w:r>
    </w:p>
    <w:p>
      <w:pPr>
        <w:pStyle w:val="Heading3"/>
      </w:pPr>
      <w:bookmarkStart w:id="2246" w:name="_Toc1506"/>
      <w:r>
        <w:t>•تاریخ حسن بیک ترکمان / تاریخ ایران / فارسی</w:t>
      </w:r>
      <w:bookmarkEnd w:id="2246"/>
    </w:p>
    <w:p>
      <w:pPr>
        <w:pStyle w:val="BookText"/>
      </w:pPr>
      <w:r>
        <w:rPr>
          <w:rFonts w:ascii="Times New Roman" w:hAnsi="Times New Roman" w:eastAsia="Times New Roman" w:cs="Times New Roman"/>
          <w:lang w:val="en-US" w:bidi="en-US"/>
          <w:color w:val="111111"/>
          <w:sz w:val="28"/>
          <w:szCs w:val="28"/>
          <w:rtl/>
        </w:rPr>
        <w:t xml:space="preserve">tārīx-e hasan beyk-e torkamān</w:t>
      </w:r>
    </w:p>
    <w:p>
      <w:pPr>
        <w:pStyle w:val="BookText"/>
      </w:pPr>
      <w:r>
        <w:rPr>
          <w:rFonts w:ascii="IRNazanin" w:hAnsi="IRNazanin" w:eastAsia="IRNazanin" w:cs="IRNazanin"/>
          <w:lang w:bidi="fa-IR"/>
          <w:color w:val="111111"/>
          <w:sz w:val="28"/>
          <w:szCs w:val="28"/>
          <w:rtl/>
        </w:rPr>
        <w:t xml:space="preserve">مقیمی ترکمان، حسن بیگ،-۱۰۰۹؟ قمری</w:t>
      </w:r>
    </w:p>
    <w:p>
      <w:pPr>
        <w:pStyle w:val="BookText"/>
      </w:pPr>
      <w:r>
        <w:rPr>
          <w:rFonts w:ascii="Times New Roman" w:hAnsi="Times New Roman" w:eastAsia="Times New Roman" w:cs="Times New Roman"/>
          <w:lang w:val="en-US" w:bidi="en-US"/>
          <w:color w:val="111111"/>
          <w:sz w:val="28"/>
          <w:szCs w:val="28"/>
          <w:rtl/>
        </w:rPr>
        <w:t xml:space="preserve">moqīmī torkamān, hasan beyg (-1601)</w:t>
      </w:r>
    </w:p>
    <w:p>
      <w:pPr>
        <w:pStyle w:val="BookText"/>
      </w:pPr>
      <w:r>
        <w:rPr>
          <w:rFonts w:ascii="IRNazanin" w:hAnsi="IRNazanin" w:eastAsia="IRNazanin" w:cs="IRNazanin"/>
          <w:lang w:bidi="fa-IR"/>
          <w:color w:val="111111"/>
          <w:sz w:val="28"/>
          <w:szCs w:val="28"/>
          <w:rtl/>
        </w:rPr>
        <w:t xml:space="preserve">نویسنده این تاریخ یعنی حسن بیک از نبائر امیر سلطان روملوست او این کتاب را به نام یکی از شاهزادگان نوشته و در آن حوادث بین اوایل قرن دهم هجری تا اواسط همان زمان را به رشته تحریر کشیده است و آن حاوی وقایع زمان شاه اسماعیل اول صفوی و شاه طهماسب اول و شاه اسماعیل دوم است و در این وقایع جنگ های شاه اسماعیل اول بسیار جالب توجه می باشد.</w:t>
      </w:r>
    </w:p>
    <w:p>
      <w:pPr>
        <w:pStyle w:val="BookText"/>
      </w:pPr>
      <w:r>
        <w:rPr>
          <w:rFonts w:ascii="IRNazanin" w:hAnsi="IRNazanin" w:eastAsia="IRNazanin" w:cs="IRNazanin"/>
          <w:lang w:bidi="fa-IR"/>
          <w:color w:val="111111"/>
          <w:sz w:val="28"/>
          <w:szCs w:val="28"/>
          <w:rtl/>
        </w:rPr>
        <w:t xml:space="preserve">تهران؛ ملی؛ شماره نسخه:۲۰۰۵</w:t>
      </w:r>
    </w:p>
    <w:p>
      <w:pPr>
        <w:pStyle w:val="BookText"/>
      </w:pPr>
      <w:r>
        <w:rPr>
          <w:rFonts w:ascii="IRNazanin" w:hAnsi="IRNazanin" w:eastAsia="IRNazanin" w:cs="IRNazanin"/>
          <w:lang w:bidi="fa-IR"/>
          <w:color w:val="111111"/>
          <w:sz w:val="28"/>
          <w:szCs w:val="28"/>
          <w:rtl/>
        </w:rPr>
        <w:t xml:space="preserve">آغاز: بسمه و به سقتي (=ثقتی، كذا في الأصل ) حمد و سپاس و شکر بیحد و قیاس سلطانی را سزاست که؛ انجام: آنحضرت از غایت .... سخن دان تر و ایشان فرستاده ... خط: نستعلیق، بی کا، تا: محتملا قرن ۱۱؛ افتادگی: انجام؛ کاغذ: بخارائی، جلد: روغنی بوم تریاکی با گل و بوته، ۳۲۶ گ، ۱۵سطر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۵-۵]</w:t>
      </w:r>
    </w:p>
    <w:p>
      <w:pPr>
        <w:pStyle w:val="Heading3"/>
      </w:pPr>
      <w:bookmarkStart w:id="2247" w:name="_Toc1507"/>
      <w:r>
        <w:t>•تاریخ حضرت آدم(عليه السلام)/ شعر، تاریخ پیامبران / فارسی</w:t>
      </w:r>
      <w:bookmarkEnd w:id="2247"/>
    </w:p>
    <w:p>
      <w:pPr>
        <w:pStyle w:val="BookText"/>
      </w:pPr>
      <w:r>
        <w:rPr>
          <w:rFonts w:ascii="Times New Roman" w:hAnsi="Times New Roman" w:eastAsia="Times New Roman" w:cs="Times New Roman"/>
          <w:lang w:val="en-US" w:bidi="en-US"/>
          <w:color w:val="111111"/>
          <w:sz w:val="28"/>
          <w:szCs w:val="28"/>
          <w:rtl/>
        </w:rPr>
        <w:t xml:space="preserve">tārīx-e hazrat-e ādam</w:t>
      </w:r>
    </w:p>
    <w:p>
      <w:pPr>
        <w:pStyle w:val="BookText"/>
      </w:pPr>
      <w:r>
        <w:rPr>
          <w:rFonts w:ascii="IRNazanin" w:hAnsi="IRNazanin" w:eastAsia="IRNazanin" w:cs="IRNazanin"/>
          <w:lang w:bidi="fa-IR"/>
          <w:color w:val="111111"/>
          <w:sz w:val="28"/>
          <w:szCs w:val="28"/>
          <w:rtl/>
        </w:rPr>
        <w:t xml:space="preserve">قادری، محمد عثمان بن محمد، ق۱۳ قمری</w:t>
      </w:r>
    </w:p>
    <w:p>
      <w:pPr>
        <w:pStyle w:val="BookText"/>
      </w:pPr>
      <w:r>
        <w:rPr>
          <w:rFonts w:ascii="Times New Roman" w:hAnsi="Times New Roman" w:eastAsia="Times New Roman" w:cs="Times New Roman"/>
          <w:lang w:val="en-US" w:bidi="en-US"/>
          <w:color w:val="111111"/>
          <w:sz w:val="28"/>
          <w:szCs w:val="28"/>
          <w:rtl/>
        </w:rPr>
        <w:t xml:space="preserve">qāderī, mohammad ‘osmān ebn-e mohammad (-19c)</w:t>
      </w:r>
    </w:p>
    <w:p>
      <w:pPr>
        <w:pStyle w:val="BookText"/>
      </w:pPr>
      <w:r>
        <w:rPr>
          <w:rFonts w:ascii="IRNazanin" w:hAnsi="IRNazanin" w:eastAsia="IRNazanin" w:cs="IRNazanin"/>
          <w:lang w:bidi="fa-IR"/>
          <w:color w:val="111111"/>
          <w:sz w:val="28"/>
          <w:szCs w:val="28"/>
          <w:rtl/>
        </w:rPr>
        <w:t xml:space="preserve">تاریخ تأليف: ۱۲۴۲ق شاعر در این منظومه مفصل تاریخ حضرت آدم(عليه السلام)را از اخراج از بهشت، توبه و وقایع بعدی تا درگذشت حضرت آدم و وصیت وی بیان نموده است. در پایان نسخه محمد گیسو دراز دو بیت در ماده تاريخ تأليف كتاب (۱۲۴۲ ق) سروده:</w:t>
      </w:r>
    </w:p>
    <w:p>
      <w:pPr>
        <w:pStyle w:val="BookText"/>
      </w:pPr>
      <w:r>
        <w:rPr>
          <w:rFonts w:ascii="IRNazanin" w:hAnsi="IRNazanin" w:eastAsia="IRNazanin" w:cs="IRNazanin"/>
          <w:lang w:bidi="fa-IR"/>
          <w:color w:val="111111"/>
          <w:sz w:val="28"/>
          <w:szCs w:val="28"/>
          <w:rtl/>
        </w:rPr>
        <w:t xml:space="preserve">«چو آن سالک راه خير الأنام *** بیان ساخته حال آدم تمام / خردسال تأليف و تصنیف او *** بگفت ذکر آدم عليه السلام»</w:t>
      </w:r>
    </w:p>
    <w:p>
      <w:pPr>
        <w:pStyle w:val="BookText"/>
      </w:pPr>
      <w:r>
        <w:rPr>
          <w:rFonts w:ascii="IRNazanin" w:hAnsi="IRNazanin" w:eastAsia="IRNazanin" w:cs="IRNazanin"/>
          <w:lang w:bidi="fa-IR"/>
          <w:color w:val="111111"/>
          <w:sz w:val="28"/>
          <w:szCs w:val="28"/>
          <w:rtl/>
        </w:rPr>
        <w:t xml:space="preserve">قم، گلپایگانی؛ شماره نسخه: ۲۸۰۲/۱ -۱۵/۴۲</w:t>
      </w:r>
    </w:p>
    <w:p>
      <w:pPr>
        <w:pStyle w:val="BookText"/>
      </w:pPr>
      <w:r>
        <w:rPr>
          <w:rFonts w:ascii="IRNazanin" w:hAnsi="IRNazanin" w:eastAsia="IRNazanin" w:cs="IRNazanin"/>
          <w:lang w:bidi="fa-IR"/>
          <w:color w:val="111111"/>
          <w:sz w:val="28"/>
          <w:szCs w:val="28"/>
          <w:rtl/>
        </w:rPr>
        <w:t xml:space="preserve">آغاز: ای کلید باب علم آن علیم ۸۸ هست بسم الله الرحمن الرحیم / هست بسم الله کلید گنج هو*** گنج هوراکی رسی بی عشق او؛ انجام: با ثنای حق ونعت مصطفى *** منتظم شد ذکر آدم هم حوا / ربنا هر دم رسان از ما سلام *** بر محمد آل وصحبش تاقیام خط: نستعلیق، بی کا، بی تا، ۷۵گ، ۱۵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۲-۶۹۰]</w:t>
      </w:r>
    </w:p>
    <w:p>
      <w:pPr>
        <w:pStyle w:val="Heading3"/>
      </w:pPr>
      <w:bookmarkStart w:id="2248" w:name="_Toc1508"/>
      <w:r>
        <w:t>•تاریخ حضرت آدم و پیامبر اکرم(صلی الله علیه وآله وسلم)/ تاریخ پیامبران / فارسی</w:t>
      </w:r>
      <w:bookmarkEnd w:id="2248"/>
    </w:p>
    <w:p>
      <w:pPr>
        <w:pStyle w:val="BookText"/>
      </w:pPr>
      <w:r>
        <w:rPr>
          <w:rFonts w:ascii="Times New Roman" w:hAnsi="Times New Roman" w:eastAsia="Times New Roman" w:cs="Times New Roman"/>
          <w:lang w:val="en-US" w:bidi="en-US"/>
          <w:color w:val="111111"/>
          <w:sz w:val="28"/>
          <w:szCs w:val="28"/>
          <w:rtl/>
        </w:rPr>
        <w:t xml:space="preserve">tārīx-e hazrat-e ādam va payāmbar-e akram</w:t>
      </w:r>
    </w:p>
    <w:p>
      <w:pPr>
        <w:pStyle w:val="BookText"/>
      </w:pPr>
      <w:r>
        <w:rPr>
          <w:rFonts w:ascii="IRNazanin" w:hAnsi="IRNazanin" w:eastAsia="IRNazanin" w:cs="IRNazanin"/>
          <w:lang w:bidi="fa-IR"/>
          <w:color w:val="111111"/>
          <w:sz w:val="28"/>
          <w:szCs w:val="28"/>
          <w:rtl/>
        </w:rPr>
        <w:t xml:space="preserve">یزد؛ وزیری؛ شماره نسخه:۲۲۳۶</w:t>
      </w:r>
    </w:p>
    <w:p>
      <w:pPr>
        <w:pStyle w:val="BookText"/>
      </w:pPr>
      <w:r>
        <w:rPr>
          <w:rFonts w:ascii="IRNazanin" w:hAnsi="IRNazanin" w:eastAsia="IRNazanin" w:cs="IRNazanin"/>
          <w:lang w:bidi="fa-IR"/>
          <w:color w:val="111111"/>
          <w:sz w:val="28"/>
          <w:szCs w:val="28"/>
          <w:rtl/>
        </w:rPr>
        <w:t xml:space="preserve">آغاز: بتقديم رسانیدند؛ انجام: و چند گاو و گوسفند. اشعاری از مؤلف دارد که تخلص او</w:t>
      </w:r>
    </w:p>
    <w:p>
      <w:pPr>
        <w:pStyle w:val="BookText"/>
      </w:pPr>
      <w:r>
        <w:rPr>
          <w:rFonts w:ascii="IRNazanin" w:hAnsi="IRNazanin" w:eastAsia="IRNazanin" w:cs="IRNazanin"/>
          <w:lang w:bidi="fa-IR"/>
          <w:color w:val="111111"/>
          <w:sz w:val="28"/>
          <w:szCs w:val="28"/>
          <w:rtl/>
        </w:rPr>
        <w:t xml:space="preserve">«واعظ» است.</w:t>
      </w:r>
    </w:p>
    <w:p>
      <w:pPr>
        <w:pStyle w:val="BookText"/>
      </w:pPr>
      <w:r>
        <w:rPr>
          <w:rFonts w:ascii="IRNazanin" w:hAnsi="IRNazanin" w:eastAsia="IRNazanin" w:cs="IRNazanin"/>
          <w:lang w:bidi="fa-IR"/>
          <w:color w:val="111111"/>
          <w:sz w:val="28"/>
          <w:szCs w:val="28"/>
          <w:rtl/>
        </w:rPr>
        <w:t xml:space="preserve">(صاحب ابواب الجنان؟)؛ خط: نستعلیق، بی کا، بی تا، افتادگی: آغاز و انجام؛ کاغذ: سمرقندی، جلد: تیماج مشکی، ۱۰۸گ، ۱۲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۴-۱۲۱۳]</w:t>
      </w:r>
    </w:p>
    <w:p>
      <w:pPr>
        <w:pStyle w:val="Heading3"/>
      </w:pPr>
      <w:bookmarkStart w:id="2249" w:name="_Toc1509"/>
      <w:r>
        <w:t>•تاریخ حضرت سید المرسلین و ائمه معصومین / تاریخ معصومین / فارسی</w:t>
      </w:r>
      <w:bookmarkEnd w:id="2249"/>
    </w:p>
    <w:p>
      <w:pPr>
        <w:pStyle w:val="BookText"/>
      </w:pPr>
      <w:r>
        <w:rPr>
          <w:rFonts w:ascii="Times New Roman" w:hAnsi="Times New Roman" w:eastAsia="Times New Roman" w:cs="Times New Roman"/>
          <w:lang w:val="en-US" w:bidi="en-US"/>
          <w:color w:val="111111"/>
          <w:sz w:val="28"/>
          <w:szCs w:val="28"/>
          <w:rtl/>
        </w:rPr>
        <w:t xml:space="preserve">va a'emme-ye</w:t>
      </w:r>
    </w:p>
    <w:p>
      <w:pPr>
        <w:pStyle w:val="BookText"/>
      </w:pPr>
      <w:r>
        <w:rPr>
          <w:rFonts w:ascii="Times New Roman" w:hAnsi="Times New Roman" w:eastAsia="Times New Roman" w:cs="Times New Roman"/>
          <w:lang w:val="en-US" w:bidi="en-US"/>
          <w:color w:val="111111"/>
          <w:sz w:val="28"/>
          <w:szCs w:val="28"/>
          <w:rtl/>
        </w:rPr>
        <w:t xml:space="preserve">tārīx-e hazrat-e seyyed-ol-morsalīn ma‘sūmīn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451" w:name="pg20363_209757"/>
    <w:bookmarkEnd w:id="451"/>
    <w:p>
      <w:pPr>
        <w:pStyle w:val="BookText"/>
      </w:pPr>
      <w:r>
        <w:rPr>
          <w:rFonts w:ascii="Amiri" w:hAnsi="Amiri" w:eastAsia="Amiri" w:cs="Amiri"/>
          <w:lang w:bidi="ar-SA"/>
          <w:color w:val="111111"/>
          <w:sz w:val="28"/>
          <w:szCs w:val="28"/>
          <w:rtl/>
        </w:rPr>
        <w:t xml:space="preserve">عبداللطيف</w:t>
      </w:r>
    </w:p>
    <w:p>
      <w:pPr>
        <w:pStyle w:val="BookText"/>
      </w:pPr>
      <w:r>
        <w:rPr>
          <w:rFonts w:ascii="Times New Roman" w:hAnsi="Times New Roman" w:eastAsia="Times New Roman" w:cs="Times New Roman"/>
          <w:lang w:val="en-US" w:bidi="en-US"/>
          <w:color w:val="111111"/>
          <w:sz w:val="28"/>
          <w:szCs w:val="28"/>
          <w:rtl/>
        </w:rPr>
        <w:t xml:space="preserve">‘abd-ol-latīf</w:t>
      </w:r>
    </w:p>
    <w:p>
      <w:pPr>
        <w:pStyle w:val="BookText"/>
      </w:pPr>
      <w:r>
        <w:rPr>
          <w:rFonts w:ascii="IRNazanin" w:hAnsi="IRNazanin" w:eastAsia="IRNazanin" w:cs="IRNazanin"/>
          <w:lang w:bidi="fa-IR"/>
          <w:color w:val="111111"/>
          <w:sz w:val="28"/>
          <w:szCs w:val="28"/>
          <w:rtl/>
        </w:rPr>
        <w:t xml:space="preserve">مشتمل بر دو « فصل»:</w:t>
      </w:r>
    </w:p>
    <w:p>
      <w:pPr>
        <w:pStyle w:val="BookText"/>
      </w:pPr>
      <w:r>
        <w:rPr>
          <w:rFonts w:ascii="IRNazanin" w:hAnsi="IRNazanin" w:eastAsia="IRNazanin" w:cs="IRNazanin"/>
          <w:lang w:bidi="fa-IR"/>
          <w:color w:val="111111"/>
          <w:sz w:val="28"/>
          <w:szCs w:val="28"/>
          <w:rtl/>
        </w:rPr>
        <w:t xml:space="preserve">۱. ذکر پیغمبر اکرم؛ ۲. ذكر ائمه معصومین.</w:t>
      </w:r>
    </w:p>
    <w:p>
      <w:pPr>
        <w:pStyle w:val="BookText"/>
      </w:pPr>
      <w:r>
        <w:rPr>
          <w:rFonts w:ascii="IRNazanin" w:hAnsi="IRNazanin" w:eastAsia="IRNazanin" w:cs="IRNazanin"/>
          <w:lang w:bidi="fa-IR"/>
          <w:color w:val="111111"/>
          <w:sz w:val="28"/>
          <w:szCs w:val="28"/>
          <w:rtl/>
        </w:rPr>
        <w:t xml:space="preserve">مشهد؛ رضوی؛ شماره نسخه:۷۱۳۴/۳</w:t>
      </w:r>
    </w:p>
    <w:p>
      <w:pPr>
        <w:pStyle w:val="BookText"/>
      </w:pPr>
      <w:r>
        <w:rPr>
          <w:rFonts w:ascii="IRNazanin" w:hAnsi="IRNazanin" w:eastAsia="IRNazanin" w:cs="IRNazanin"/>
          <w:lang w:bidi="fa-IR"/>
          <w:color w:val="111111"/>
          <w:sz w:val="28"/>
          <w:szCs w:val="28"/>
          <w:rtl/>
        </w:rPr>
        <w:t xml:space="preserve">آغاز: شکر و سپاس مر خدای را که سلاطین جهان بر آستانه عظمتش؛ انجام: در ماه صفر بیمار شدند و بدو از دهم ربیع الاول. خط: نسخ، بی کا، تا: قرن ۱۱، افتادگی: انجام؛ کاغذ: سرکه یی، جلد: پارچه ای، ۱۳، ۱۵سطر (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اندازه:</w:t>
      </w:r>
    </w:p>
    <w:p>
      <w:pPr>
        <w:pStyle w:val="BookText"/>
      </w:pPr>
      <w:r>
        <w:rPr>
          <w:rFonts w:ascii="IRNazanin" w:hAnsi="IRNazanin" w:eastAsia="IRNazanin" w:cs="IRNazanin"/>
          <w:lang w:bidi="fa-IR"/>
          <w:color w:val="111111"/>
          <w:sz w:val="28"/>
          <w:szCs w:val="28"/>
          <w:rtl/>
        </w:rPr>
        <w:t xml:space="preserve">۱۲/۵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۱۸/۶ سم [ف: ۷-۱۶۴]</w:t>
      </w:r>
    </w:p>
    <w:p>
      <w:pPr>
        <w:pStyle w:val="BookText"/>
      </w:pPr>
      <w:r>
        <w:rPr>
          <w:rFonts w:ascii="IRNazanin" w:hAnsi="IRNazanin" w:eastAsia="IRNazanin" w:cs="IRNazanin"/>
          <w:lang w:bidi="fa-IR"/>
          <w:color w:val="111111"/>
          <w:sz w:val="28"/>
          <w:szCs w:val="28"/>
          <w:rtl/>
        </w:rPr>
        <w:t xml:space="preserve">←تاریخ حفیظ الله خانی← شرفنامه</w:t>
      </w:r>
    </w:p>
    <w:p>
      <w:pPr>
        <w:pStyle w:val="BookText"/>
      </w:pPr>
      <w:r>
        <w:rPr>
          <w:rFonts w:ascii="Amiri" w:hAnsi="Amiri" w:eastAsia="Amiri" w:cs="Amiri"/>
          <w:lang w:bidi="ar-SA"/>
          <w:color w:val="111111"/>
          <w:sz w:val="28"/>
          <w:szCs w:val="28"/>
          <w:rtl/>
        </w:rPr>
        <w:t xml:space="preserve">←تاريخ الحكماء ← نزهة الأرواح و روضة الافراح</w:t>
      </w:r>
    </w:p>
    <w:p>
      <w:pPr>
        <w:pStyle w:val="BookText"/>
      </w:pPr>
      <w:r>
        <w:rPr>
          <w:rFonts w:ascii="IRNazanin" w:hAnsi="IRNazanin" w:eastAsia="IRNazanin" w:cs="IRNazanin"/>
          <w:lang w:bidi="fa-IR"/>
          <w:color w:val="111111"/>
          <w:sz w:val="28"/>
          <w:szCs w:val="28"/>
          <w:rtl/>
        </w:rPr>
        <w:t xml:space="preserve">←تاریخ حکماء ← خلاصة الحيات في أحوال الحكماء و الاعيان</w:t>
      </w:r>
    </w:p>
    <w:p>
      <w:pPr>
        <w:pStyle w:val="BookText"/>
      </w:pPr>
      <w:r>
        <w:rPr>
          <w:rFonts w:ascii="IRNazanin" w:hAnsi="IRNazanin" w:eastAsia="IRNazanin" w:cs="IRNazanin"/>
          <w:lang w:bidi="fa-IR"/>
          <w:color w:val="111111"/>
          <w:sz w:val="28"/>
          <w:szCs w:val="28"/>
          <w:rtl/>
        </w:rPr>
        <w:t xml:space="preserve">← تاریخ حکماء ← خلاصة الخمسة</w:t>
      </w:r>
    </w:p>
    <w:p>
      <w:pPr>
        <w:pStyle w:val="Heading3"/>
      </w:pPr>
      <w:bookmarkStart w:id="2250" w:name="_Toc1510"/>
      <w:r>
        <w:t>•تاريخ الحكماء = اخبار العلماء باخبار الحكماء / تراجم /عربی</w:t>
      </w:r>
      <w:bookmarkEnd w:id="2250"/>
    </w:p>
    <w:p>
      <w:pPr>
        <w:pStyle w:val="BookText"/>
      </w:pPr>
      <w:r>
        <w:rPr>
          <w:rFonts w:ascii="Times New Roman" w:hAnsi="Times New Roman" w:eastAsia="Times New Roman" w:cs="Times New Roman"/>
          <w:lang w:val="en-US" w:bidi="en-US"/>
          <w:color w:val="111111"/>
          <w:sz w:val="28"/>
          <w:szCs w:val="28"/>
          <w:rtl/>
        </w:rPr>
        <w:t xml:space="preserve">axbār-ul ‘ulamā' bi-axbār-il</w:t>
      </w:r>
    </w:p>
    <w:p>
      <w:pPr>
        <w:pStyle w:val="BookText"/>
      </w:pPr>
      <w:r>
        <w:rPr>
          <w:rFonts w:ascii="Times New Roman" w:hAnsi="Times New Roman" w:eastAsia="Times New Roman" w:cs="Times New Roman"/>
          <w:lang w:val="en-US" w:bidi="en-US"/>
          <w:color w:val="111111"/>
          <w:sz w:val="28"/>
          <w:szCs w:val="28"/>
          <w:rtl/>
        </w:rPr>
        <w:t xml:space="preserve">tārīx-ul hukamā' = hukama'</w:t>
      </w:r>
    </w:p>
    <w:p>
      <w:pPr>
        <w:pStyle w:val="BookText"/>
      </w:pPr>
      <w:r>
        <w:rPr>
          <w:rFonts w:ascii="IRNazanin" w:hAnsi="IRNazanin" w:eastAsia="IRNazanin" w:cs="IRNazanin"/>
          <w:lang w:bidi="fa-IR"/>
          <w:color w:val="111111"/>
          <w:sz w:val="28"/>
          <w:szCs w:val="28"/>
          <w:rtl/>
        </w:rPr>
        <w:t xml:space="preserve">قفطی، علی بن يوسف، ۵۶۸-۶۴۶ قمری</w:t>
      </w:r>
    </w:p>
    <w:p>
      <w:pPr>
        <w:pStyle w:val="BookText"/>
      </w:pPr>
      <w:r>
        <w:rPr>
          <w:rFonts w:ascii="Times New Roman" w:hAnsi="Times New Roman" w:eastAsia="Times New Roman" w:cs="Times New Roman"/>
          <w:lang w:val="en-US" w:bidi="en-US"/>
          <w:color w:val="111111"/>
          <w:sz w:val="28"/>
          <w:szCs w:val="28"/>
          <w:rtl/>
        </w:rPr>
        <w:t xml:space="preserve">qeftī, “alī ebn-e yūsof (1173-1249)</w:t>
      </w:r>
    </w:p>
    <w:p>
      <w:pPr>
        <w:pStyle w:val="BookText"/>
      </w:pPr>
      <w:r>
        <w:rPr>
          <w:rFonts w:ascii="IRNazanin" w:hAnsi="IRNazanin" w:eastAsia="IRNazanin" w:cs="IRNazanin"/>
          <w:lang w:bidi="fa-IR"/>
          <w:color w:val="111111"/>
          <w:sz w:val="28"/>
          <w:szCs w:val="28"/>
          <w:rtl/>
        </w:rPr>
        <w:t xml:space="preserve">شرح حال فلاسفه و حکما و پزشکان پیش از اسلام و دانشمندان معروف اسلامی است، به ترتیب حروف آغاز نام آنها با ذکر آثار تألیفی و امتیازات علمی هر کدام و در پایان معروفین به کنیه را نیز آورده است. این کتاب در فن خود بسیار مشهور و آخرین شخصی که در آن شرح حالش بازگو شده ابن رضوان متوفای سال ۴۶۰ می باشد. (سید احمد اشکوری)</w:t>
      </w:r>
    </w:p>
    <w:p>
      <w:pPr>
        <w:pStyle w:val="BookText"/>
      </w:pPr>
      <w:r>
        <w:rPr>
          <w:rFonts w:ascii="IRNazanin" w:hAnsi="IRNazanin" w:eastAsia="IRNazanin" w:cs="IRNazanin"/>
          <w:lang w:bidi="fa-IR"/>
          <w:color w:val="111111"/>
          <w:sz w:val="28"/>
          <w:szCs w:val="28"/>
          <w:rtl/>
        </w:rPr>
        <w:t xml:space="preserve">آغاز: الحمدلله خالق الكل و عالم ما قل و جل و واهب العقل و باعث مخلوقاته يوم الفصل و صلی الله على أنبيائه الاکرمین چاپ: مصر، مطبوعات السعاده، ۲۸۸ص، ۱۳۲۶ق.</w:t>
      </w:r>
    </w:p>
    <w:p>
      <w:pPr>
        <w:pStyle w:val="BookText"/>
      </w:pPr>
      <w:r>
        <w:rPr>
          <w:rFonts w:ascii="IRNazanin" w:hAnsi="IRNazanin" w:eastAsia="IRNazanin" w:cs="IRNazanin"/>
          <w:lang w:bidi="fa-IR"/>
          <w:color w:val="111111"/>
          <w:sz w:val="28"/>
          <w:szCs w:val="28"/>
          <w:rtl/>
        </w:rPr>
        <w:t xml:space="preserve">[دنا ۷۰۰/۲ ]</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تاريخ الحكماء (ترجمه)؛ زوزنی، محمد بن على (-۷) ۲- تاريخ الحكماء (ترجمه)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نسخه:۹۳۰۸</w:t>
      </w:r>
    </w:p>
    <w:p>
      <w:pPr>
        <w:pStyle w:val="BookText"/>
      </w:pPr>
      <w:r>
        <w:rPr>
          <w:rFonts w:ascii="IRNazanin" w:hAnsi="IRNazanin" w:eastAsia="IRNazanin" w:cs="IRNazanin"/>
          <w:lang w:bidi="fa-IR"/>
          <w:color w:val="111111"/>
          <w:sz w:val="28"/>
          <w:szCs w:val="28"/>
          <w:rtl/>
        </w:rPr>
        <w:t xml:space="preserve">خط: نستعلیق، بی کا، تا: جمادی الاول ۹۷۰ق؛ در پایان سرگذشت ابن سینا است از تتمة صوان الحكمة بیهقی و سرگذشت خود قفطی از تاریخ ذهنی از گفته برادرش که در حلب در ۶۴۸ نوشته؛ تملك: میرزا محسن منشی، احمد بن محمد مدرس یکی از مدارس هشت گانه قسطنطنیه، محمد بن محمد شاهی، یحیی بن محمد؛ کاغذ: استانبولی، جلد: تیماج حنایی مقوایی، ۱۲۱ گ، ۲۳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۱۷-۳۴۳]</w:t>
      </w:r>
    </w:p>
    <w:p>
      <w:pPr>
        <w:pStyle w:val="BookText"/>
      </w:pPr>
      <w:r>
        <w:rPr>
          <w:rFonts w:ascii="IRNazanin" w:hAnsi="IRNazanin" w:eastAsia="IRNazanin" w:cs="IRNazanin"/>
          <w:lang w:bidi="fa-IR"/>
          <w:color w:val="111111"/>
          <w:sz w:val="28"/>
          <w:szCs w:val="28"/>
          <w:rtl/>
        </w:rPr>
        <w:t xml:space="preserve">۲. قم؛ مرعشی؛ شماره نسخه:۸۰۱۵</w:t>
      </w:r>
    </w:p>
    <w:p>
      <w:pPr>
        <w:pStyle w:val="BookText"/>
      </w:pPr>
      <w:r>
        <w:rPr>
          <w:rFonts w:ascii="Amiri" w:hAnsi="Amiri" w:eastAsia="Amiri" w:cs="Amiri"/>
          <w:lang w:bidi="ar-SA"/>
          <w:color w:val="111111"/>
          <w:sz w:val="28"/>
          <w:szCs w:val="28"/>
          <w:rtl/>
        </w:rPr>
        <w:t xml:space="preserve">آغاز: برابر؛ انجام: و كان الفراغ منها في يوم الجمعة النصف من شعبان سنة ۴۲۲ للهجرة النبوية صلى الله على مهاجرها</w:t>
      </w:r>
    </w:p>
    <w:p>
      <w:pPr>
        <w:pStyle w:val="BookText"/>
      </w:pPr>
      <w:r>
        <w:rPr>
          <w:rFonts w:ascii="IRNazanin" w:hAnsi="IRNazanin" w:eastAsia="IRNazanin" w:cs="IRNazanin"/>
          <w:lang w:bidi="fa-IR"/>
          <w:color w:val="111111"/>
          <w:sz w:val="28"/>
          <w:szCs w:val="28"/>
          <w:rtl/>
        </w:rPr>
        <w:t xml:space="preserve">خط: نسخ، بی کا، تا: قرن ۱۱؛ تملک: محمدطاهر بن محمد باقر حسینی طبیب خورزنی عرشی افطسی به تاریخ ۱۱۳۹، مصطفی کاشانی به تاریخ ۱۲۹۰ در اصفهان؛ جلد: تیماج سبز، ۲۱۸گ، ۱۷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۲۱-۲۴]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ملک؛ شماره نسخه:۳۴۸۰</w:t>
      </w:r>
    </w:p>
    <w:p>
      <w:pPr>
        <w:pStyle w:val="BookText"/>
      </w:pPr>
      <w:r>
        <w:rPr>
          <w:rFonts w:ascii="IRNazanin" w:hAnsi="IRNazanin" w:eastAsia="IRNazanin" w:cs="IRNazanin"/>
          <w:lang w:bidi="fa-IR"/>
          <w:color w:val="111111"/>
          <w:sz w:val="28"/>
          <w:szCs w:val="28"/>
          <w:rtl/>
        </w:rPr>
        <w:t xml:space="preserve">دیباچه مختصر في ذكر بعض الحكماء اليونانيين و المليين؛ خط: نسخ، كا: محمد حسين بن طالب ابهری اصفهانی، تا: شنبه ۳ جمادی الاول ۱۰۸۹ق؛ کاغذ: ترمه، جلد: میشن قهوه ای، ۲۰۵گ، ۱۷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۱۳/۲ سم [ف: ۱-۱۹]</w:t>
      </w:r>
    </w:p>
    <w:p>
      <w:pPr>
        <w:pStyle w:val="BookText"/>
      </w:pPr>
      <w:r>
        <w:rPr>
          <w:rFonts w:ascii="IRNazanin" w:hAnsi="IRNazanin" w:eastAsia="IRNazanin" w:cs="IRNazanin"/>
          <w:lang w:bidi="fa-IR"/>
          <w:color w:val="111111"/>
          <w:sz w:val="28"/>
          <w:szCs w:val="28"/>
          <w:rtl/>
        </w:rPr>
        <w:t xml:space="preserve">۴. قم؛ مرکز احیاء؛ شماره نسخه:۱۸۱۷</w:t>
      </w:r>
    </w:p>
    <w:p>
      <w:pPr>
        <w:pStyle w:val="BookText"/>
      </w:pPr>
      <w:r>
        <w:rPr>
          <w:rFonts w:ascii="IRNazanin" w:hAnsi="IRNazanin" w:eastAsia="IRNazanin" w:cs="IRNazanin"/>
          <w:lang w:bidi="fa-IR"/>
          <w:color w:val="111111"/>
          <w:sz w:val="28"/>
          <w:szCs w:val="28"/>
          <w:rtl/>
        </w:rPr>
        <w:t xml:space="preserve">آغاز: برابر؛ انجام: و كتب في آخره و كتبه على بن رضوان بن على بن جعفر الطبيب لنفسه. خط: نسخ، بی کا، تا: سه شنبه ۹ شعبان ۱۲۹۳ق؛ در برگی سید محمد باقر حسینی موسوی فاطمی به تفصیل تاریخ تولد خود را می نویسد و روی برگ اول تملک وی به تاریخ ۱۳۹۵؛ جلد: تیماج قهوه ای، ۱۵۸گ، ۱۹سطر، اندازه: ۱۶/۵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۲۳۶۵]</w:t>
      </w:r>
    </w:p>
    <w:p>
      <w:pPr>
        <w:pStyle w:val="BookText"/>
      </w:pPr>
      <w:r>
        <w:rPr>
          <w:rFonts w:ascii="IRNazanin" w:hAnsi="IRNazanin" w:eastAsia="IRNazanin" w:cs="IRNazanin"/>
          <w:lang w:bidi="fa-IR"/>
          <w:color w:val="111111"/>
          <w:sz w:val="28"/>
          <w:szCs w:val="28"/>
          <w:rtl/>
        </w:rPr>
        <w:t xml:space="preserve">۵. شیراز؛ ملی؛ شماره نسخه: ۴۲</w:t>
      </w:r>
    </w:p>
    <w:p>
      <w:pPr>
        <w:pStyle w:val="BookText"/>
      </w:pPr>
      <w:r>
        <w:rPr>
          <w:rFonts w:ascii="IRNazanin" w:hAnsi="IRNazanin" w:eastAsia="IRNazanin" w:cs="IRNazanin"/>
          <w:lang w:bidi="fa-IR"/>
          <w:color w:val="111111"/>
          <w:sz w:val="28"/>
          <w:szCs w:val="28"/>
          <w:rtl/>
        </w:rPr>
        <w:t xml:space="preserve">آغاز: بسمله-رب وفق ويسر- المنتخبات الملتقطات من كتاب تاريخ الحكماء تالیف الوزير جمال الدين ابن الفقطی وزیر السلطان بحلب و هو على الأحياء الى سنه سته و اربعین و ستمائه هجريه الحمد الله خالق الكل عالم؛ انجام: و آخره و کتب ... على بن جعفر الطبيب ... و كان الفراغ منها في يوم الجمعه هذا.</w:t>
      </w:r>
    </w:p>
    <w:p>
      <w:pPr>
        <w:pStyle w:val="BookText"/>
      </w:pPr>
      <w:r>
        <w:rPr>
          <w:rFonts w:ascii="IRNazanin" w:hAnsi="IRNazanin" w:eastAsia="IRNazanin" w:cs="IRNazanin"/>
          <w:lang w:bidi="fa-IR"/>
          <w:color w:val="111111"/>
          <w:sz w:val="28"/>
          <w:szCs w:val="28"/>
          <w:rtl/>
        </w:rPr>
        <w:t xml:space="preserve">( منتخبات)؛ خط: نسخ شکسته، كا: على بن جعفر طیب، بی تا؛ کاغذ: كلفت نخودی، جلد: مقوا با تیماج مشکی، ۱۶۵گ، ۲۳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۱-۴۱]</w:t>
      </w:r>
    </w:p>
    <w:p>
      <w:pPr>
        <w:pStyle w:val="Heading3"/>
      </w:pPr>
      <w:bookmarkStart w:id="2251" w:name="_Toc1511"/>
      <w:r>
        <w:t>•تاريخ الحکماء / تراجم / عربی</w:t>
      </w:r>
      <w:bookmarkEnd w:id="2251"/>
    </w:p>
    <w:p>
      <w:pPr>
        <w:pStyle w:val="BookText"/>
      </w:pPr>
      <w:r>
        <w:rPr>
          <w:rFonts w:ascii="Times New Roman" w:hAnsi="Times New Roman" w:eastAsia="Times New Roman" w:cs="Times New Roman"/>
          <w:lang w:val="en-US" w:bidi="en-US"/>
          <w:color w:val="111111"/>
          <w:sz w:val="28"/>
          <w:szCs w:val="28"/>
          <w:rtl/>
        </w:rPr>
        <w:t xml:space="preserve">tarix-ul hukama'</w:t>
      </w:r>
    </w:p>
    <w:p>
      <w:pPr>
        <w:pStyle w:val="BookText"/>
      </w:pPr>
      <w:r>
        <w:rPr>
          <w:rFonts w:ascii="IRNazanin" w:hAnsi="IRNazanin" w:eastAsia="IRNazanin" w:cs="IRNazanin"/>
          <w:lang w:bidi="fa-IR"/>
          <w:color w:val="111111"/>
          <w:sz w:val="28"/>
          <w:szCs w:val="28"/>
          <w:rtl/>
        </w:rPr>
        <w:t xml:space="preserve">رساله ای است در تاریخ حکمای یونان و اسلام. در آغاز خواب دیدن مأمون ارسطو را می آورد، که پس از بیداری به دنبال کتاب های او در شهرهای روم و اسلام به جستجو می پردازد، تا اینکه به راهبی بر می خورد و جای نگارشات ارسطو را به مأمون نشان می دهد و او پنج بار شتر از آن کتاب ها را حمل می کند و مترجمین را به ترجمه آنها وا می دارد. سپس دهریون و طبیعيون و الهيون و رياضيون و منطقیون را یاد می کند. سپس سرگذشت هایی است برگزیده از نزهة الأرواح شهر زوری همچون: ابر خیس شاعر یونانی (اخوان الصفا و خلان الوفاء)،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452" w:name="pg20363_209758"/>
    <w:bookmarkEnd w:id="452"/>
    <w:p>
      <w:pPr>
        <w:pStyle w:val="BookText"/>
      </w:pPr>
      <w:r>
        <w:rPr>
          <w:rFonts w:ascii="IRNazanin" w:hAnsi="IRNazanin" w:eastAsia="IRNazanin" w:cs="IRNazanin"/>
          <w:lang w:bidi="fa-IR"/>
          <w:color w:val="111111"/>
          <w:sz w:val="28"/>
          <w:szCs w:val="28"/>
          <w:rtl/>
        </w:rPr>
        <w:t xml:space="preserve">جبرائیل بن بختیشوع، جعفر بن المكتفي، الحكم بن ابی الحكم دمشقي الطبيب، ذیمقراطیس، دیوجانس الكلامی، رزق الله المنجم، النحاس المصري، سنان ثابت بن قرة الحرانی، صالح بن بهلة الهندي، عبدالله بن ابی سهل بن نوبخت المنجم، عبيد الله بن الحسن المعروف بغلام زحل المنجم، غراب الخطيب الصقلی. آغاز: من تاريخ الحكماء في ترجمه ارسطو طاليس حكي محمد بن اسحق النديم في كتابه أن المامون راى في منامه كان رجلا ابيض مشربا حمرة واسع انجام: اذا قد نشات تلميذة يستظهر على معلمه، فقال من حضر بيض ردی الغراب ردی ای تلميذ نكد و معلم نكد</w:t>
      </w:r>
    </w:p>
    <w:p>
      <w:pPr>
        <w:pStyle w:val="BookText"/>
      </w:pPr>
      <w:r>
        <w:rPr>
          <w:rFonts w:ascii="IRNazanin" w:hAnsi="IRNazanin" w:eastAsia="IRNazanin" w:cs="IRNazanin"/>
          <w:lang w:bidi="fa-IR"/>
          <w:color w:val="111111"/>
          <w:sz w:val="28"/>
          <w:szCs w:val="28"/>
          <w:rtl/>
        </w:rPr>
        <w:t xml:space="preserve">۱. تهران؛ مجلس؛ شماره نسخه: ۱۸۰۵/۴۶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با تاریخ ۱۰۷۹ق، کاغذ: فرنگی سفید، جلد: تیماج قرمز، ۲ص (۳۲۱-۳۲۲)، ۲۵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۳۴سم [ف: ۳۶۷-۹ ]</w:t>
      </w:r>
    </w:p>
    <w:p>
      <w:pPr>
        <w:pStyle w:val="BookText"/>
      </w:pPr>
      <w:r>
        <w:rPr>
          <w:rFonts w:ascii="IRNazanin" w:hAnsi="IRNazanin" w:eastAsia="IRNazanin" w:cs="IRNazanin"/>
          <w:lang w:bidi="fa-IR"/>
          <w:color w:val="111111"/>
          <w:sz w:val="28"/>
          <w:szCs w:val="28"/>
          <w:rtl/>
        </w:rPr>
        <w:t xml:space="preserve">۲. تهران: مجلس؛ شماره نسخه: ۴۹۰۰/۶۲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با تاریخ ۱۰۷۹ق؛ کاغذ: سپاهانی، جلد: تیماج قهوه ای مغزی دار، اگ (۱۶۶-۱۷۲ر)، ۲۵ سطر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۱۴-۸۱]</w:t>
      </w:r>
    </w:p>
    <w:p>
      <w:pPr>
        <w:pStyle w:val="Heading3"/>
      </w:pPr>
      <w:bookmarkStart w:id="2252" w:name="_Toc1512"/>
      <w:r>
        <w:t>•تاريخ الحكماء / تراجم / عربی</w:t>
      </w:r>
      <w:bookmarkEnd w:id="2252"/>
    </w:p>
    <w:p>
      <w:pPr>
        <w:pStyle w:val="BookText"/>
      </w:pPr>
      <w:r>
        <w:rPr>
          <w:rFonts w:ascii="Times New Roman" w:hAnsi="Times New Roman" w:eastAsia="Times New Roman" w:cs="Times New Roman"/>
          <w:lang w:val="en-US" w:bidi="en-US"/>
          <w:color w:val="111111"/>
          <w:sz w:val="28"/>
          <w:szCs w:val="28"/>
          <w:rtl/>
        </w:rPr>
        <w:t xml:space="preserve">tarix-ul hukama'</w:t>
      </w:r>
    </w:p>
    <w:p>
      <w:pPr>
        <w:pStyle w:val="BookText"/>
      </w:pPr>
      <w:r>
        <w:rPr>
          <w:rFonts w:ascii="IRNazanin" w:hAnsi="IRNazanin" w:eastAsia="IRNazanin" w:cs="IRNazanin"/>
          <w:lang w:bidi="fa-IR"/>
          <w:color w:val="111111"/>
          <w:sz w:val="28"/>
          <w:szCs w:val="28"/>
          <w:rtl/>
        </w:rPr>
        <w:t xml:space="preserve">شرح حال بزرگانی چون: جالینوس، جعفر بن عمر بلخی، ابراهیم بن سیار بصری نظام، بطلیموس ثانی، حارث بن کلده، حنین بن اسحاق طبيب عبادی، بقراط، فیثاغورس، اسحاق بن ماهان موصلی، محمد بن زکریا رازی، خواجه نصیرالدین طوسی، بختيشوع بن جبرئیل طبيب، علی بن عیسی طبیب، ابوالهذيل علاف، على بن احمد غزالی مغربی و عمرو بن عبید در این اثر آمده است. ظاهرة، جدیدترین تاریخی که در این کتاب بیان شده، تاریخ درگذشت قطب الدین محمود بن مسعود شیرازی (۷۱۰ ق) است. عناوین کتاب به صورت «الحكيم» آمده است.</w:t>
      </w:r>
    </w:p>
    <w:p>
      <w:pPr>
        <w:pStyle w:val="BookText"/>
      </w:pPr>
      <w:r>
        <w:rPr>
          <w:rFonts w:ascii="IRNazanin" w:hAnsi="IRNazanin" w:eastAsia="IRNazanin" w:cs="IRNazanin"/>
          <w:lang w:bidi="fa-IR"/>
          <w:color w:val="111111"/>
          <w:sz w:val="28"/>
          <w:szCs w:val="28"/>
          <w:rtl/>
        </w:rPr>
        <w:t xml:space="preserve">قم؛ مرعشی؛ شماره نسخه: ۱۳۴۴۲/۴</w:t>
      </w:r>
    </w:p>
    <w:p>
      <w:pPr>
        <w:pStyle w:val="BookText"/>
      </w:pPr>
      <w:r>
        <w:rPr>
          <w:rFonts w:ascii="IRNazanin" w:hAnsi="IRNazanin" w:eastAsia="IRNazanin" w:cs="IRNazanin"/>
          <w:lang w:bidi="fa-IR"/>
          <w:color w:val="111111"/>
          <w:sz w:val="28"/>
          <w:szCs w:val="28"/>
          <w:rtl/>
        </w:rPr>
        <w:t xml:space="preserve">آغاز: كلنا و قلنا دونه و تفسير بقراط ضابط الخيل ... الحكيم جالينوس، هو آخر الحكماء المشهورين و يسمى خاتم المعلمين؛ انجام: الحكيم الزاهد عمرو بن عبيد ابن باب الزاهد المشهور ... لو كان هذا الدهر ابقی صالحا *** ابقى لنا عمرو بن عثمان شاید بخشی از کتابی است در تراجم؛ خط: نسخ، بی کا، تا: اوایل قرن ۱۲؛ افتادگی: آغاز و انجام؛ مصحح، محشى؛ مهر: آية الله مرعشی نجفی؛ واقف: محمد مکی بن محمد ضیاء الدین مکی عاملی؛ کاغذ: شرقی، جلد: تیماج سبز مجدول، ۱۶گ (۱۴۱ -۶۳۱ )تاریخ حفيظ - تاريخ الحکماء ۱۵۶)، ۱۵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۳۴-۱۱۷]</w:t>
      </w:r>
    </w:p>
    <w:p>
      <w:pPr>
        <w:pStyle w:val="Heading3"/>
      </w:pPr>
      <w:bookmarkStart w:id="2253" w:name="_Toc1513"/>
      <w:r>
        <w:t>•تاريخ الحكماء / تراجم / عربی</w:t>
      </w:r>
      <w:bookmarkEnd w:id="2253"/>
    </w:p>
    <w:p>
      <w:pPr>
        <w:pStyle w:val="BookText"/>
      </w:pPr>
      <w:r>
        <w:rPr>
          <w:rFonts w:ascii="Times New Roman" w:hAnsi="Times New Roman" w:eastAsia="Times New Roman" w:cs="Times New Roman"/>
          <w:lang w:val="en-US" w:bidi="en-US"/>
          <w:color w:val="111111"/>
          <w:sz w:val="28"/>
          <w:szCs w:val="28"/>
          <w:rtl/>
        </w:rPr>
        <w:t xml:space="preserve">tārīx-ul hukamā'</w:t>
      </w:r>
    </w:p>
    <w:p>
      <w:pPr>
        <w:pStyle w:val="BookText"/>
      </w:pPr>
      <w:r>
        <w:rPr>
          <w:rFonts w:ascii="Amiri" w:hAnsi="Amiri" w:eastAsia="Amiri" w:cs="Amiri"/>
          <w:lang w:bidi="ar-SA"/>
          <w:color w:val="111111"/>
          <w:sz w:val="28"/>
          <w:szCs w:val="28"/>
          <w:rtl/>
        </w:rPr>
        <w:t xml:space="preserve">تهران؛ مجلس؛ شماره نسخه:۲۲۱/۴ - فيروز</w:t>
      </w:r>
    </w:p>
    <w:p>
      <w:pPr>
        <w:pStyle w:val="BookText"/>
      </w:pPr>
      <w:r>
        <w:rPr>
          <w:rFonts w:ascii="IRNazanin" w:hAnsi="IRNazanin" w:eastAsia="IRNazanin" w:cs="IRNazanin"/>
          <w:lang w:bidi="fa-IR"/>
          <w:color w:val="111111"/>
          <w:sz w:val="28"/>
          <w:szCs w:val="28"/>
          <w:rtl/>
        </w:rPr>
        <w:t xml:space="preserve">آغاز: اعلم ان ایجاد الحكمه نشات اولا من آدم صفی الله بخشی است از تاریخ حکماء؛ خط: شکسته نستعلیق، بی کا، تا: قرن ۱۴؛ افتادگی: آغاز، کاغذ: فرنگی الوان، جلد: تیماج زرد، ۴ص (۱۲۱-۱۲۴)، اندازه: ۳۹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۲۱-۲۶۸]</w:t>
      </w:r>
    </w:p>
    <w:p>
      <w:pPr>
        <w:pStyle w:val="Heading3"/>
      </w:pPr>
      <w:bookmarkStart w:id="2254" w:name="_Toc1514"/>
      <w:r>
        <w:t>•تاریخ حکماء / تاریخ / عربی</w:t>
      </w:r>
      <w:bookmarkEnd w:id="2254"/>
    </w:p>
    <w:p>
      <w:pPr>
        <w:pStyle w:val="BookText"/>
      </w:pPr>
      <w:r>
        <w:rPr>
          <w:rFonts w:ascii="Times New Roman" w:hAnsi="Times New Roman" w:eastAsia="Times New Roman" w:cs="Times New Roman"/>
          <w:lang w:val="en-US" w:bidi="en-US"/>
          <w:color w:val="111111"/>
          <w:sz w:val="28"/>
          <w:szCs w:val="28"/>
          <w:rtl/>
        </w:rPr>
        <w:t xml:space="preserve">tārīx-e hokamā</w:t>
      </w:r>
    </w:p>
    <w:p>
      <w:pPr>
        <w:pStyle w:val="BookText"/>
      </w:pPr>
      <w:r>
        <w:rPr>
          <w:rFonts w:ascii="IRNazanin" w:hAnsi="IRNazanin" w:eastAsia="IRNazanin" w:cs="IRNazanin"/>
          <w:lang w:bidi="fa-IR"/>
          <w:color w:val="111111"/>
          <w:sz w:val="28"/>
          <w:szCs w:val="28"/>
          <w:rtl/>
        </w:rPr>
        <w:t xml:space="preserve">تهران؛ مجلس؛ شماره نسخه: ۳۴۵۵/۲۶۸</w:t>
      </w:r>
    </w:p>
    <w:p>
      <w:pPr>
        <w:pStyle w:val="BookText"/>
      </w:pPr>
      <w:r>
        <w:rPr>
          <w:rFonts w:ascii="IRNazanin" w:hAnsi="IRNazanin" w:eastAsia="IRNazanin" w:cs="IRNazanin"/>
          <w:lang w:bidi="fa-IR"/>
          <w:color w:val="111111"/>
          <w:sz w:val="28"/>
          <w:szCs w:val="28"/>
          <w:rtl/>
        </w:rPr>
        <w:t xml:space="preserve">آغاز: بسم الله الرحمن الرحيم حكيم هرمس العظيم المحمودة آثاره المرضية اقواله الذي يعد من الأنبياء الكبار و يقال له ادريس؛ انجام: انه لائقة بشئ من امر الدنيا القى منها ما منه بدو اقتصر على ما لابد منه و عمل يما يوثق به بابلغ ما قدر عليه. سرگذشت و آراء عقاید و سخنان جمعی از حکمای قبل از اسلام يونان است در آغاز هرمس و در پایان ذیمقراطیس یاد شده؛ بی کا، بی تا؛ جلد: تیماج قرمز، ۸ص (۳۷۴-۳۸۱)،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۱۰-۱۳۷۲]</w:t>
      </w:r>
    </w:p>
    <w:p>
      <w:pPr>
        <w:pStyle w:val="Heading3"/>
      </w:pPr>
      <w:bookmarkStart w:id="2255" w:name="_Toc1515"/>
      <w:r>
        <w:t>•تاريخ الحکماء / تراجم / فارسی</w:t>
      </w:r>
      <w:bookmarkEnd w:id="2255"/>
    </w:p>
    <w:p>
      <w:pPr>
        <w:pStyle w:val="BookText"/>
      </w:pPr>
      <w:r>
        <w:rPr>
          <w:rFonts w:ascii="Times New Roman" w:hAnsi="Times New Roman" w:eastAsia="Times New Roman" w:cs="Times New Roman"/>
          <w:lang w:val="en-US" w:bidi="en-US"/>
          <w:color w:val="111111"/>
          <w:sz w:val="28"/>
          <w:szCs w:val="28"/>
          <w:rtl/>
        </w:rPr>
        <w:t xml:space="preserve">tarix-ul hukama</w:t>
      </w:r>
    </w:p>
    <w:p>
      <w:pPr>
        <w:pStyle w:val="BookText"/>
      </w:pPr>
      <w:r>
        <w:rPr>
          <w:rFonts w:ascii="IRNazanin" w:hAnsi="IRNazanin" w:eastAsia="IRNazanin" w:cs="IRNazanin"/>
          <w:lang w:bidi="fa-IR"/>
          <w:color w:val="111111"/>
          <w:sz w:val="28"/>
          <w:szCs w:val="28"/>
          <w:rtl/>
        </w:rPr>
        <w:t xml:space="preserve">غیر همانند: ۱. قم، گلپایگانی؛ شماره نسخه:۶۶۶۵- ۳۴/۳۵</w:t>
      </w:r>
    </w:p>
    <w:p>
      <w:pPr>
        <w:pStyle w:val="BookText"/>
      </w:pPr>
      <w:r>
        <w:rPr>
          <w:rFonts w:ascii="IRNazanin" w:hAnsi="IRNazanin" w:eastAsia="IRNazanin" w:cs="IRNazanin"/>
          <w:lang w:bidi="fa-IR"/>
          <w:color w:val="111111"/>
          <w:sz w:val="28"/>
          <w:szCs w:val="28"/>
          <w:rtl/>
        </w:rPr>
        <w:t xml:space="preserve">آغاز: کتاب مستطاب تاريخ الحکما را ... و این مجموعه ان شاء الله به مقدمه و چند باب خاتمه صورت تمامت خواهد پذیرفت مقدمه اول در تعریف علم و مذمت جهل و به جهت همین؛ انجام: الامام فخر الدين محمد بن على الرازی تصانیف بسیار دارد و در اکثر علوم روز ... گفت صاحب کتابی است در حکمت و تاریخ حكما شامل «مقدمه» و چند «باب» و «خاتمه»: مقدمه اول در تعریف علم و مذمت جهل ... مقدمه سوم در دیدن ماهها، مقدمه چهارم در دوستی و دشمنی ... مقدمه ششم در بیان سخنی چند که در سلوک با دوست و دشمن بکار آید ... مقدمه یازدهم در صبر و پس از آن شرح حال حکمای متقدم همچون سقراط و افلاطون و فیثاغورث و ارسطو و لقمان و جالینوس و سپس شرح حال حکمای متاخر چون اسحاق بن حسین و یعقوب بن سفيد دمشقی و ابونصر فارابی و در نسخه تا شرح حال امام فخر رازی موجود است. مؤلف گوید چون جنگی نگاشته بود مناسب دید که کلمات اکابر را از مکارم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453" w:name="pg20363_209759"/>
    <w:bookmarkEnd w:id="453"/>
    <w:p>
      <w:pPr>
        <w:pStyle w:val="BookText"/>
      </w:pPr>
      <w:r>
        <w:rPr>
          <w:rFonts w:ascii="IRNazanin" w:hAnsi="IRNazanin" w:eastAsia="IRNazanin" w:cs="IRNazanin"/>
          <w:lang w:bidi="fa-IR"/>
          <w:color w:val="111111"/>
          <w:sz w:val="28"/>
          <w:szCs w:val="28"/>
          <w:rtl/>
        </w:rPr>
        <w:t xml:space="preserve">الاخلاق و احیاء العلوم و کشف الغمه و ربيع الابرار و اخوان الصفا و دیگر کتابها انتخاب نموده و تاریخ حكما را بیاورید. این رساله به میر محمد سعيد حمدة الملک تقدیم شده است؛ خط: نستعلیق شکسته، بی کا، تا: قرن ۱۱؛ افتادگی: آغاز و انجام؛ مجدول محرر مذهب مشکی؛ جلد: مقوایی، ۱۱۰، ۱۷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۲-۶۸۲]</w:t>
      </w:r>
    </w:p>
    <w:p>
      <w:pPr>
        <w:pStyle w:val="BookText"/>
      </w:pPr>
      <w:r>
        <w:rPr>
          <w:rFonts w:ascii="IRNazanin" w:hAnsi="IRNazanin" w:eastAsia="IRNazanin" w:cs="IRNazanin"/>
          <w:lang w:bidi="fa-IR"/>
          <w:color w:val="111111"/>
          <w:sz w:val="28"/>
          <w:szCs w:val="28"/>
          <w:rtl/>
        </w:rPr>
        <w:t xml:space="preserve">۲. قم: مرکز احیاء؛ شماره نسخه: ۱۸۶۱</w:t>
      </w:r>
    </w:p>
    <w:p>
      <w:pPr>
        <w:pStyle w:val="BookText"/>
      </w:pPr>
      <w:r>
        <w:rPr>
          <w:rFonts w:ascii="IRNazanin" w:hAnsi="IRNazanin" w:eastAsia="IRNazanin" w:cs="IRNazanin"/>
          <w:lang w:bidi="fa-IR"/>
          <w:color w:val="111111"/>
          <w:sz w:val="28"/>
          <w:szCs w:val="28"/>
          <w:rtl/>
        </w:rPr>
        <w:t xml:space="preserve">آغاز: الحمدلله الأول و الآخر و الظاهر و الباطن ... و بعد پوشیده نماند که این کلمات چند است از احوال حكماء انجام: و پیش بعضی چیزی خوانده که بعضی را شاگرد و بعضی را مصاحب و آشنا بود</w:t>
      </w:r>
    </w:p>
    <w:p>
      <w:pPr>
        <w:pStyle w:val="BookText"/>
      </w:pPr>
      <w:r>
        <w:rPr>
          <w:rFonts w:ascii="IRNazanin" w:hAnsi="IRNazanin" w:eastAsia="IRNazanin" w:cs="IRNazanin"/>
          <w:lang w:bidi="fa-IR"/>
          <w:color w:val="111111"/>
          <w:sz w:val="28"/>
          <w:szCs w:val="28"/>
          <w:rtl/>
        </w:rPr>
        <w:t xml:space="preserve">در تاریخ و بیوگرافی گروهی از حکما و فلاسفه اسلامی و پیش از اسلام، بدون مراعات ترتیب مخصوص و بیشتر شرح حالها بسیار کوتاه می باشد و در سال ۱۰۵۰ نگارش یافته است؛ خط: نستعلیق، کا: سید علی حسینی، تا: رجب ۱۰۸۷ ق، به جهت میرزا محمد رفیع؛ جلد: تیماج قرمز، ۲گ (۲پ-چپ)،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[ف: ۵-۲۷۸]</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نسخه:۸۸۹۱/۷</w:t>
      </w:r>
    </w:p>
    <w:p>
      <w:pPr>
        <w:pStyle w:val="BookText"/>
      </w:pPr>
      <w:r>
        <w:rPr>
          <w:rFonts w:ascii="IRNazanin" w:hAnsi="IRNazanin" w:eastAsia="IRNazanin" w:cs="IRNazanin"/>
          <w:lang w:bidi="fa-IR"/>
          <w:color w:val="111111"/>
          <w:sz w:val="28"/>
          <w:szCs w:val="28"/>
          <w:rtl/>
        </w:rPr>
        <w:t xml:space="preserve">آغاز: فيثاغورس حکیم فرماید: و از سخنان اوست که بالای علام طبیعت عالم نورانی است که عقل؛ انجام: و این همه آثار از مبدء که به مؤثر خود دارند برگردان ... باشند.</w:t>
      </w:r>
    </w:p>
    <w:p>
      <w:pPr>
        <w:pStyle w:val="BookText"/>
      </w:pPr>
      <w:r>
        <w:rPr>
          <w:rFonts w:ascii="IRNazanin" w:hAnsi="IRNazanin" w:eastAsia="IRNazanin" w:cs="IRNazanin"/>
          <w:lang w:bidi="fa-IR"/>
          <w:color w:val="111111"/>
          <w:sz w:val="28"/>
          <w:szCs w:val="28"/>
          <w:rtl/>
        </w:rPr>
        <w:t xml:space="preserve">شامل شرح حال و سخنان این کسان: فيثاغورس، جاماسب، زردشت، انكساغورس، سقراط، اسقلینوس، سولون، افلاطون، هرقل، ارسطاطالیس، برقلس، اقلیدس، دیو جانس، افلاطن، فرفوریوس، ثامسطيوس، نیقوماخس، ابلونيوس، افيقورسف ذیمقراطیس، ثاليس، از شرح حال فرفوریوس به بعد (صصفحه ۴۸۹ تا پایان) متن بسیار مختصر می شود. کتابت این صفحات چلیپا است و آن را بعدا به متن اصلی افزوده اند؛ خط: نستعلیق و شکسته، بی کا، تا: قرن ۱۳؛ کاغذ: فرنگی نخودی و شکری آهار مهره، جلد: میشن قهوه ای ضربی با ترنج، ۱۱۴ص (۳۷۹-۴۹۲)، ۱۷-۱۵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۲۹/۱ -۲۴۸]</w:t>
      </w:r>
    </w:p>
    <w:p>
      <w:pPr>
        <w:pStyle w:val="BookText"/>
      </w:pPr>
      <w:r>
        <w:rPr>
          <w:rFonts w:ascii="IRNazanin" w:hAnsi="IRNazanin" w:eastAsia="IRNazanin" w:cs="IRNazanin"/>
          <w:lang w:bidi="fa-IR"/>
          <w:color w:val="111111"/>
          <w:sz w:val="28"/>
          <w:szCs w:val="28"/>
          <w:rtl/>
        </w:rPr>
        <w:t xml:space="preserve">۴. تهران؛ مجلس؛ شماره نسخه: ۱۸۲۲/۲۵</w:t>
      </w:r>
    </w:p>
    <w:p>
      <w:pPr>
        <w:pStyle w:val="BookText"/>
      </w:pPr>
      <w:r>
        <w:rPr>
          <w:rFonts w:ascii="IRNazanin" w:hAnsi="IRNazanin" w:eastAsia="IRNazanin" w:cs="IRNazanin"/>
          <w:lang w:bidi="fa-IR"/>
          <w:color w:val="111111"/>
          <w:sz w:val="28"/>
          <w:szCs w:val="28"/>
          <w:rtl/>
        </w:rPr>
        <w:t xml:space="preserve">آغاز: بقراط شاگرد اسقليوس ثانی است و از فرزندان اسقلیوس اول است</w:t>
      </w:r>
    </w:p>
    <w:p>
      <w:pPr>
        <w:pStyle w:val="BookText"/>
      </w:pPr>
      <w:r>
        <w:rPr>
          <w:rFonts w:ascii="IRNazanin" w:hAnsi="IRNazanin" w:eastAsia="IRNazanin" w:cs="IRNazanin"/>
          <w:lang w:bidi="fa-IR"/>
          <w:color w:val="111111"/>
          <w:sz w:val="28"/>
          <w:szCs w:val="28"/>
          <w:rtl/>
        </w:rPr>
        <w:t xml:space="preserve">تاریخچه اجمالی چند تن از اطباء و فیلسوفان یونان و شاید خود فقره ای از کتاب انتخاب طبری مزبور باشد؛ بی کا، بی تا، جلد: تیماج قهوه ای، کص (۱۹۱-۱۹۲)، ۲۰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۹-۴۲۸]</w:t>
      </w:r>
    </w:p>
    <w:p>
      <w:pPr>
        <w:pStyle w:val="BookText"/>
      </w:pPr>
      <w:r>
        <w:rPr>
          <w:rFonts w:ascii="Amiri" w:hAnsi="Amiri" w:eastAsia="Amiri" w:cs="Amiri"/>
          <w:lang w:bidi="ar-SA"/>
          <w:color w:val="111111"/>
          <w:sz w:val="28"/>
          <w:szCs w:val="28"/>
          <w:rtl/>
        </w:rPr>
        <w:t xml:space="preserve">۵. تهران؛ مجلس؛ شماره نسخه:۳۲۸/۶ - فيروز</w:t>
      </w:r>
    </w:p>
    <w:p>
      <w:pPr>
        <w:pStyle w:val="BookText"/>
      </w:pPr>
      <w:r>
        <w:rPr>
          <w:rFonts w:ascii="IRNazanin" w:hAnsi="IRNazanin" w:eastAsia="IRNazanin" w:cs="IRNazanin"/>
          <w:lang w:bidi="fa-IR"/>
          <w:color w:val="111111"/>
          <w:sz w:val="28"/>
          <w:szCs w:val="28"/>
          <w:rtl/>
        </w:rPr>
        <w:t xml:space="preserve">بخشی است از کتابی در تاریخ که در آن در ذیل تاریخ اسکندر ترجمه عده ای از حکما و فیلسوفان باستانی آمده است و مؤلف در پایان شرح حال اسکندر می گوید: «بر ضمائر ارباب بصائر پوشیده نماند که جامع این کلمات پریشان و متردد می بود که حالات اصحاب حکمت را در چه محل از این اوراق ثبت نماید تا در نظر مقیمان خطه بلاغت نامناسب ننماید ... صورت حال برای آفتاب ... معروض گردانید بر زبان گوهر افشانش جریان یافت که چون اكثر ... حكما مثل افلاطون و ارسطو و غيرهما معاصر اسکندر بودند و بعضی از ایشان نیز ملازمت او می نمودند .... در ذیل قضایای این سعادتمند شمه ای از صادرات اقوال و افعال ایشان در سلکی تحریر در آید شاید ... قلم مشکین رقم بر موجب اشارت در آن باب شروع نمود و از روی جرت بر ایراد دو بیتی که از نتایج فکر این بنده کم بضاعت است ... اقدام نمود. در سکه گر چه نیست ولی نقش نام تو *** بر لوح خاطر همه چون سکه بر زر است / ذکر جمیل تست بر اطراف بر و بحر *** بی منت خطيب که بر چوب منبر است»، این فیلسوفان شرح حالشان در این نسخه یاد شده است: سقراط، دیو جانس، فلاطون، بقراط، ارسطو، سلیوس، بطلميوس، جالینوس؛ كا: سید علی، بی تا؛ جلد: تیماج سیاه، ۱۶گ (۳۸-پ ۴۶ و ۱۱۰پ-۱۱۶)،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۲۱-۲۹۶]</w:t>
      </w:r>
    </w:p>
    <w:p>
      <w:pPr>
        <w:pStyle w:val="BookText"/>
      </w:pPr>
      <w:r>
        <w:rPr>
          <w:rFonts w:ascii="IRNazanin" w:hAnsi="IRNazanin" w:eastAsia="IRNazanin" w:cs="IRNazanin"/>
          <w:lang w:bidi="fa-IR"/>
          <w:color w:val="111111"/>
          <w:sz w:val="28"/>
          <w:szCs w:val="28"/>
          <w:rtl/>
        </w:rPr>
        <w:t xml:space="preserve">۶. قم: مسجد اعظم؛ شماره نسخه: ۱۵۲۶/۲</w:t>
      </w:r>
    </w:p>
    <w:p>
      <w:pPr>
        <w:pStyle w:val="BookText"/>
      </w:pPr>
      <w:r>
        <w:rPr>
          <w:rFonts w:ascii="IRNazanin" w:hAnsi="IRNazanin" w:eastAsia="IRNazanin" w:cs="IRNazanin"/>
          <w:lang w:bidi="fa-IR"/>
          <w:color w:val="111111"/>
          <w:sz w:val="28"/>
          <w:szCs w:val="28"/>
          <w:rtl/>
        </w:rPr>
        <w:t xml:space="preserve">آغاز: این طایفه جليل الشان به دیده بصیرت اسرار آفرینش را مشاهده فرموده و بر وحدت آفریدگار و سرکار واقف گشته خود را به هدایت دیگری محتاج نداستند و مقلد دینی نگشتند؛ انجام: سزاوار بزرگی به فروتنی است که خدای تعالی او را عزیز گردانیده است او را بر عالمیان دراز کرده ذکر پادشاهی بهمن بن اسفندیار مختصری در تاریخ حکیمان از لقمان و فیثاغورث و ... و نیز پادشاهان ایران که به قلمی شیوا نگاشته شده است؛ خط: نستعلیق، بی کا، بی تا، افتادگی: انجام؛ جلد: تیماج مشکی، وگ، اندازه: ۱۷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مخ: ۱-۳۱۰]</w:t>
      </w:r>
    </w:p>
    <w:p>
      <w:pPr>
        <w:pStyle w:val="BookText"/>
      </w:pPr>
      <w:r>
        <w:rPr>
          <w:rFonts w:ascii="IRNazanin" w:hAnsi="IRNazanin" w:eastAsia="IRNazanin" w:cs="IRNazanin"/>
          <w:lang w:bidi="fa-IR"/>
          <w:color w:val="111111"/>
          <w:sz w:val="28"/>
          <w:szCs w:val="28"/>
          <w:rtl/>
        </w:rPr>
        <w:t xml:space="preserve">۷. قم؛ گلپایگانی، شماره نسخه:۲۰</w:t>
      </w:r>
    </w:p>
    <w:p>
      <w:pPr>
        <w:pStyle w:val="BookText"/>
      </w:pPr>
      <w:r>
        <w:rPr>
          <w:rFonts w:ascii="IRNazanin" w:hAnsi="IRNazanin" w:eastAsia="IRNazanin" w:cs="IRNazanin"/>
          <w:lang w:bidi="fa-IR"/>
          <w:color w:val="111111"/>
          <w:sz w:val="28"/>
          <w:szCs w:val="28"/>
          <w:rtl/>
        </w:rPr>
        <w:t xml:space="preserve">بخشی از تاریخ الحكماء؛ بی کا، بی تا [ف: ۲-۶۸۲]</w:t>
      </w:r>
    </w:p>
    <w:p>
      <w:pPr>
        <w:pStyle w:val="Heading3"/>
      </w:pPr>
      <w:bookmarkStart w:id="2256" w:name="_Toc1516"/>
      <w:r>
        <w:t>•تاریخ الحکماء (ترجمه) / تراجم / فارسی</w:t>
      </w:r>
      <w:bookmarkEnd w:id="2256"/>
    </w:p>
    <w:p>
      <w:pPr>
        <w:pStyle w:val="BookText"/>
      </w:pPr>
      <w:r>
        <w:rPr>
          <w:rFonts w:ascii="Times New Roman" w:hAnsi="Times New Roman" w:eastAsia="Times New Roman" w:cs="Times New Roman"/>
          <w:lang w:val="en-US" w:bidi="en-US"/>
          <w:color w:val="111111"/>
          <w:sz w:val="28"/>
          <w:szCs w:val="28"/>
          <w:rtl/>
        </w:rPr>
        <w:t xml:space="preserve">tārīx-ol hokamā’ (t.)</w:t>
      </w:r>
    </w:p>
    <w:p>
      <w:pPr>
        <w:pStyle w:val="BookText"/>
      </w:pPr>
      <w:r>
        <w:rPr>
          <w:rFonts w:ascii="IRNazanin" w:hAnsi="IRNazanin" w:eastAsia="IRNazanin" w:cs="IRNazanin"/>
          <w:lang w:bidi="fa-IR"/>
          <w:color w:val="111111"/>
          <w:sz w:val="28"/>
          <w:szCs w:val="28"/>
          <w:rtl/>
        </w:rPr>
        <w:t xml:space="preserve">وابسته به: تاريخ الحكماء = اخبار العلماء باخبار الحكماء؛ قفطی، على بن يوسف (۵۶۸-۶۴۶) اهداء به: شاه سلیمان صفوی (۱۰۷۷-۱۱۰۵ق)</w:t>
      </w:r>
    </w:p>
    <w:p>
      <w:pPr>
        <w:pStyle w:val="BookText"/>
      </w:pPr>
      <w:r>
        <w:rPr>
          <w:rFonts w:ascii="IRNazanin" w:hAnsi="IRNazanin" w:eastAsia="IRNazanin" w:cs="IRNazanin"/>
          <w:lang w:bidi="fa-IR"/>
          <w:color w:val="111111"/>
          <w:sz w:val="28"/>
          <w:szCs w:val="28"/>
          <w:rtl/>
        </w:rPr>
        <w:t xml:space="preserve">تاريخ تأليف: ۴ جمادی الاول ۱۰۹۹</w:t>
      </w:r>
    </w:p>
    <w:p>
      <w:pPr>
        <w:pStyle w:val="BookText"/>
      </w:pPr>
      <w:r>
        <w:rPr>
          <w:rFonts w:ascii="IRNazanin" w:hAnsi="IRNazanin" w:eastAsia="IRNazanin" w:cs="IRNazanin"/>
          <w:lang w:bidi="fa-IR"/>
          <w:color w:val="111111"/>
          <w:sz w:val="28"/>
          <w:szCs w:val="28"/>
          <w:rtl/>
        </w:rPr>
        <w:t xml:space="preserve">در اخبار مشاهير حکماء و اطباء متقدمین و متأخرین از یونانی و ایرانی و عرب و اسامی تصانیف آنان. این کتاب تأليف جمال الدين ابو الحسن علی بن يوسف قفطی مصری وزیر و موسوم به اخبار العلما باخبار الحكما»ست، محمد بن على خطیبی زوزنی (قرن ۷) يكسال پس از وفات ابن قفطی در ۶۴۷ با عنوان المنتخبات الملتقطات من كتاب اخبار العلماء باخبار الحكماء» آن را مختصر کرده و به «تاريخ الحكماء» مشهور گردیده؛ این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454" w:name="pg20363_209760"/>
    <w:bookmarkEnd w:id="454"/>
    <w:p>
      <w:pPr>
        <w:pStyle w:val="BookText"/>
      </w:pPr>
      <w:r>
        <w:rPr>
          <w:rFonts w:ascii="IRNazanin" w:hAnsi="IRNazanin" w:eastAsia="IRNazanin" w:cs="IRNazanin"/>
          <w:lang w:bidi="fa-IR"/>
          <w:color w:val="111111"/>
          <w:sz w:val="28"/>
          <w:szCs w:val="28"/>
          <w:rtl/>
        </w:rPr>
        <w:t xml:space="preserve">گزیده زوزنی را کسی به دستور میرزا محمد ابراهيم مستوفی به پیشنهاد برخی از بزرگان در روزگار بهادر خان شاه سلیمان صفوی حسینی (۱۰۷۷-۱۱۰۵) به فارسی در آورد که کتاب</w:t>
      </w:r>
    </w:p>
    <w:p>
      <w:pPr>
        <w:pStyle w:val="BookText"/>
      </w:pPr>
      <w:r>
        <w:rPr>
          <w:rFonts w:ascii="IRNazanin" w:hAnsi="IRNazanin" w:eastAsia="IRNazanin" w:cs="IRNazanin"/>
          <w:lang w:bidi="fa-IR"/>
          <w:color w:val="111111"/>
          <w:sz w:val="28"/>
          <w:szCs w:val="28"/>
          <w:rtl/>
        </w:rPr>
        <w:t xml:space="preserve">حاضر است. آغاز: قیمتی تر گوهر سخنی که غواص قوت نطق و بیان از تک عمان تعمق و امعان در صدف کن جستجو و بر ساحل لب گفتگو آرد نثار در آمد حمد و ثنای یگانه ایزد قدیم ... مصنف بعد بعد از حمد و ثنا میگوید علما را اختلاف است در آنکه کی است اول کسیکه در حکمت نظری .... سخن کرد انجام: خطی واضح بود و در آخر آن به عبارت نوشته کتب على بن رضوان بن على بن جعفر لنفسه و الحمدالله وقع بتيسير الله تعالی ولی کل حول قوة الفراغ عن اخراج تلك الترجمة من السواد الى البياض على يد مترجمها ليلة الأحد الرابع من شهر جمادی الاولی سنه تسع و تسعين بعد الف فالحمدالله حمدا كثيرا والصلوة على محمد و اله و تسليما شایعا متسطيرا چاپ: به همت دکتر بهمن دارائی، تهران، دانشگاه تهران، ۱۳۴۷ش [دنا ۷۰۱/۲ (در آن جا به نادرست نویسنده کتاب محمد بن على زوزنی مترجم دانسته شده است)]</w:t>
      </w:r>
    </w:p>
    <w:p>
      <w:pPr>
        <w:pStyle w:val="BookText"/>
      </w:pPr>
      <w:r>
        <w:rPr>
          <w:rFonts w:ascii="IRNazanin" w:hAnsi="IRNazanin" w:eastAsia="IRNazanin" w:cs="IRNazanin"/>
          <w:lang w:bidi="fa-IR"/>
          <w:color w:val="111111"/>
          <w:sz w:val="28"/>
          <w:szCs w:val="28"/>
          <w:rtl/>
        </w:rPr>
        <w:t xml:space="preserve">۱. تهران؛ مجلس؛ شماره نسخه:۵۳۶</w:t>
      </w:r>
    </w:p>
    <w:p>
      <w:pPr>
        <w:pStyle w:val="BookText"/>
      </w:pPr>
      <w:r>
        <w:rPr>
          <w:rFonts w:ascii="IRNazanin" w:hAnsi="IRNazanin" w:eastAsia="IRNazanin" w:cs="IRNazanin"/>
          <w:lang w:bidi="fa-IR"/>
          <w:color w:val="111111"/>
          <w:sz w:val="28"/>
          <w:szCs w:val="28"/>
          <w:rtl/>
        </w:rPr>
        <w:t xml:space="preserve">خط: نستعلیق، بی کا، تا: ۱۰۹۹ق؛ ۶۹گ، ۲۷ سطر، قطع: رحلی اندازه: ۳۵/۵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w:t>
      </w:r>
    </w:p>
    <w:p>
      <w:pPr>
        <w:pStyle w:val="BookText"/>
      </w:pPr>
      <w:r>
        <w:rPr>
          <w:rFonts w:ascii="IRNazanin" w:hAnsi="IRNazanin" w:eastAsia="IRNazanin" w:cs="IRNazanin"/>
          <w:lang w:bidi="fa-IR"/>
          <w:color w:val="111111"/>
          <w:sz w:val="28"/>
          <w:szCs w:val="28"/>
          <w:rtl/>
        </w:rPr>
        <w:t xml:space="preserve">سم [ف: ۲-۳۱۷]</w:t>
      </w:r>
    </w:p>
    <w:p>
      <w:pPr>
        <w:pStyle w:val="BookText"/>
      </w:pPr>
      <w:r>
        <w:rPr>
          <w:rFonts w:ascii="IRNazanin" w:hAnsi="IRNazanin" w:eastAsia="IRNazanin" w:cs="IRNazanin"/>
          <w:lang w:bidi="fa-IR"/>
          <w:color w:val="111111"/>
          <w:sz w:val="28"/>
          <w:szCs w:val="28"/>
          <w:rtl/>
        </w:rPr>
        <w:t xml:space="preserve">۲. تهران، دانشگاه؛ شماره نسخه:۴۲۴ و ۲۶۴۳-ف</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مجدول، مقابله شده با دو نسخ؛ جلد: تیماج سرخ ضربی مقوایی، ۱۷۱ ، ۱۹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۲۳/۵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 [ف: ۴-۶۹۳] و [فیلمها ف: ۱-۳۳]</w:t>
      </w:r>
    </w:p>
    <w:p>
      <w:pPr>
        <w:pStyle w:val="BookText"/>
      </w:pPr>
      <w:r>
        <w:rPr>
          <w:rFonts w:ascii="IRNazanin" w:hAnsi="IRNazanin" w:eastAsia="IRNazanin" w:cs="IRNazanin"/>
          <w:lang w:bidi="fa-IR"/>
          <w:color w:val="111111"/>
          <w:sz w:val="28"/>
          <w:szCs w:val="28"/>
          <w:rtl/>
        </w:rPr>
        <w:t xml:space="preserve">٣. تهران؛ مجلس؛ شماره نسخه:۵۳۵</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بی تا، مجدول؛ ۲۷۳ گ، ۱۴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اف: ۲-۳۱۶]</w:t>
      </w:r>
    </w:p>
    <w:p>
      <w:pPr>
        <w:pStyle w:val="BookText"/>
      </w:pPr>
      <w:r>
        <w:rPr>
          <w:rFonts w:ascii="IRNazanin" w:hAnsi="IRNazanin" w:eastAsia="IRNazanin" w:cs="IRNazanin"/>
          <w:lang w:bidi="fa-IR"/>
          <w:color w:val="111111"/>
          <w:sz w:val="28"/>
          <w:szCs w:val="28"/>
          <w:rtl/>
        </w:rPr>
        <w:t xml:space="preserve">۴. تهران؛ مجلس؛ شماره نسخه:۱۸۵-طباطبائی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۱۱؛ جزء کتابخانه سارو خان قورچی باشی بوده. بر پشت برگ آغاز؛ یادداشتی درباره این کتاب به قلم سید جلال الدين طهرانی، دارای کتیبه ای است مذهب، دارای سرلوح و کتیبه مذهب و مرصع، مجدول، در پایان نسخه، ترجمه شرف الدین اسماعیل جرجانی به خط نستعلیق ممتاز که الحاقی است؛ تملک: شجاع الدین ولد ساروخان قورچی باشی مورخ ۱۴ ربیع الاول ۱۱۰۵ق؛ کاغذ: دولت آبادی، جلد: تیماج زرد با ترنج و نیم ترنج، ۱۹۶گ، ۱۹ سطر، اندازه: ۲۴/۵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۲۴-۱۳۴]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گلپایگانی؛ شماره نسخه: ۷۰۶۸- ۳۶/۶۸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از اول تا آخر؛ خط: نسخ، كا: آقا بابا بن ملامحمد هادی شاهمیرزایی؟، تا: چهارشنبه ۱۶ ذیقعده ۱۰۹۹ق، حسب الامر ساروخان قورچی باشی برای کتابخانه وی؛ از روی مسوده مترجم، مجدول زرین، در پایان نسخه شرح حال اسماعيل جرجانی صاحب ذخیره خوارزمشاهی درج شده؛ جلد: تیماج زیتونی سوخت، با ترنج و سرترنج، ۲۴۲گ، ۲۰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۲-۸۷۸]</w:t>
      </w:r>
    </w:p>
    <w:p>
      <w:pPr>
        <w:pStyle w:val="BookText"/>
      </w:pPr>
      <w:r>
        <w:rPr>
          <w:rFonts w:ascii="IRNazanin" w:hAnsi="IRNazanin" w:eastAsia="IRNazanin" w:cs="IRNazanin"/>
          <w:lang w:bidi="fa-IR"/>
          <w:color w:val="111111"/>
          <w:sz w:val="28"/>
          <w:szCs w:val="28"/>
          <w:rtl/>
        </w:rPr>
        <w:t xml:space="preserve">۶. تهران، سپهسالار؛ شماره نسخه:۱۵۵۹</w:t>
      </w:r>
    </w:p>
    <w:p>
      <w:pPr>
        <w:pStyle w:val="BookText"/>
      </w:pPr>
      <w:r>
        <w:rPr>
          <w:rFonts w:ascii="IRNazanin" w:hAnsi="IRNazanin" w:eastAsia="IRNazanin" w:cs="IRNazanin"/>
          <w:lang w:bidi="fa-IR"/>
          <w:color w:val="111111"/>
          <w:sz w:val="28"/>
          <w:szCs w:val="28"/>
          <w:rtl/>
        </w:rPr>
        <w:t xml:space="preserve">خط: نستعلیق، بی کا، تا: قرن ۱۲، در پایان سرگذشت سید اسماعیل گرگانی نگارنده «ذخیره خوارزمشاهی» نوشته شده؛ کاغذ: سپاهانی نخودی، جلد: تیماج زرد، ۲۲۳گ، ۱۵ سطر، اندازه: ۱۴/۵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سم [ف: ۳-۴۰۱]</w:t>
      </w:r>
    </w:p>
    <w:p>
      <w:pPr>
        <w:pStyle w:val="BookText"/>
      </w:pPr>
      <w:r>
        <w:rPr>
          <w:rFonts w:ascii="IRNazanin" w:hAnsi="IRNazanin" w:eastAsia="IRNazanin" w:cs="IRNazanin"/>
          <w:lang w:bidi="fa-IR"/>
          <w:color w:val="111111"/>
          <w:sz w:val="28"/>
          <w:szCs w:val="28"/>
          <w:rtl/>
        </w:rPr>
        <w:t xml:space="preserve">۷. تهران، ملک، شماره نسخه:۳۸۹۵</w:t>
      </w:r>
    </w:p>
    <w:p>
      <w:pPr>
        <w:pStyle w:val="BookText"/>
      </w:pPr>
      <w:r>
        <w:rPr>
          <w:rFonts w:ascii="IRNazanin" w:hAnsi="IRNazanin" w:eastAsia="IRNazanin" w:cs="IRNazanin"/>
          <w:lang w:bidi="fa-IR"/>
          <w:color w:val="111111"/>
          <w:sz w:val="28"/>
          <w:szCs w:val="28"/>
          <w:rtl/>
        </w:rPr>
        <w:t xml:space="preserve">خط: نستعلیق، بی کا، تا: قرن ۱۲؛ دارای چهار یادداشت عرض قرن دوازدهم؛ کاغذ: کاغذ ترمه، جلد: میشن قرمز، ۲۰۴گ، ۲۰ سطر، اندازه: ۲۴/۹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۱۴/۸ سم [ف: ۲-۱۲۹]</w:t>
      </w:r>
    </w:p>
    <w:p>
      <w:pPr>
        <w:pStyle w:val="BookText"/>
      </w:pPr>
      <w:r>
        <w:rPr>
          <w:rFonts w:ascii="IRNazanin" w:hAnsi="IRNazanin" w:eastAsia="IRNazanin" w:cs="IRNazanin"/>
          <w:lang w:bidi="fa-IR"/>
          <w:color w:val="111111"/>
          <w:sz w:val="28"/>
          <w:szCs w:val="28"/>
          <w:rtl/>
        </w:rPr>
        <w:t xml:space="preserve">تهران؛ دانشگاه؛ شماره نسخه: ۲۸۷۰ف</w:t>
      </w:r>
    </w:p>
    <w:p>
      <w:pPr>
        <w:pStyle w:val="BookText"/>
      </w:pPr>
      <w:r>
        <w:rPr>
          <w:rFonts w:ascii="Amiri" w:hAnsi="Amiri" w:eastAsia="Amiri" w:cs="Amiri"/>
          <w:lang w:bidi="ar-SA"/>
          <w:color w:val="111111"/>
          <w:sz w:val="28"/>
          <w:szCs w:val="28"/>
          <w:rtl/>
        </w:rPr>
        <w:t xml:space="preserve">نسخه اصل: همان نسخه بالا [فيلمها ف: ۱-۳۳]</w:t>
      </w:r>
    </w:p>
    <w:p>
      <w:pPr>
        <w:pStyle w:val="BookText"/>
      </w:pPr>
      <w:r>
        <w:rPr>
          <w:rFonts w:ascii="IRNazanin" w:hAnsi="IRNazanin" w:eastAsia="IRNazanin" w:cs="IRNazanin"/>
          <w:lang w:bidi="fa-IR"/>
          <w:color w:val="111111"/>
          <w:sz w:val="28"/>
          <w:szCs w:val="28"/>
          <w:rtl/>
        </w:rPr>
        <w:t xml:space="preserve">۸. تهران؛ مجلس؛ شماره نسخه:۸۸۸۷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خوب، بی کا، تا: قرن ۱۲؛ مصحح، با بلاغ مقابله، رکابه دار؛ کاغذ: نخودی آهار مهره، جلد: تیماج قهوه ای با ترنج و سرترنج، ۱۸۴ص، ۱۹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اندازه: ۲۳/۹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۱۴/۶ سم [ف: ۲۳۹-۲۹/۱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قم؛ مرکز احیاء؛ شماره نسخه:۱۸۹۶/۱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۱۳؛ جلد: تیماج قهوه ای، ۱۳۰گ (۱پ۔ ۱۳۰ر)، ۲۷ سطر،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سم [ف: ۵-۳۲۳]</w:t>
      </w:r>
    </w:p>
    <w:p>
      <w:pPr>
        <w:pStyle w:val="BookText"/>
      </w:pPr>
      <w:r>
        <w:rPr>
          <w:rFonts w:ascii="IRNazanin" w:hAnsi="IRNazanin" w:eastAsia="IRNazanin" w:cs="IRNazanin"/>
          <w:lang w:bidi="fa-IR"/>
          <w:color w:val="111111"/>
          <w:sz w:val="28"/>
          <w:szCs w:val="28"/>
          <w:rtl/>
        </w:rPr>
        <w:t xml:space="preserve">۱۰. مشهد؛ رضوی؛ شماره نسخه:۴۰۸۲</w:t>
      </w:r>
    </w:p>
    <w:p>
      <w:pPr>
        <w:pStyle w:val="BookText"/>
      </w:pPr>
      <w:r>
        <w:rPr>
          <w:rFonts w:ascii="IRNazanin" w:hAnsi="IRNazanin" w:eastAsia="IRNazanin" w:cs="IRNazanin"/>
          <w:lang w:bidi="fa-IR"/>
          <w:color w:val="111111"/>
          <w:sz w:val="28"/>
          <w:szCs w:val="28"/>
          <w:rtl/>
        </w:rPr>
        <w:t xml:space="preserve">آغاز: برابر؛ انجام: في طرف و تسلم و تدق و لاشد في شوال المکرم سنه ۱۲۹۶ خط: نستعلیق، کا: سید ولی، تا: شوال ۱۲۹۶ق؛ کاغذ: نخودی، جلد: تیماج، ۱۵ سطر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 الفبائی:-۹۸]</w:t>
      </w:r>
    </w:p>
    <w:p>
      <w:pPr>
        <w:pStyle w:val="BookText"/>
      </w:pPr>
      <w:r>
        <w:rPr>
          <w:rFonts w:ascii="IRNazanin" w:hAnsi="IRNazanin" w:eastAsia="IRNazanin" w:cs="IRNazanin"/>
          <w:lang w:bidi="fa-IR"/>
          <w:color w:val="111111"/>
          <w:sz w:val="28"/>
          <w:szCs w:val="28"/>
          <w:rtl/>
        </w:rPr>
        <w:t xml:space="preserve">تهران؛ دانشگاه؛ شماره نسخه: ۲۸۷۱ف</w:t>
      </w:r>
    </w:p>
    <w:p>
      <w:pPr>
        <w:pStyle w:val="BookText"/>
      </w:pPr>
      <w:r>
        <w:rPr>
          <w:rFonts w:ascii="Amiri" w:hAnsi="Amiri" w:eastAsia="Amiri" w:cs="Amiri"/>
          <w:lang w:bidi="ar-SA"/>
          <w:color w:val="111111"/>
          <w:sz w:val="28"/>
          <w:szCs w:val="28"/>
          <w:rtl/>
        </w:rPr>
        <w:t xml:space="preserve">نسخه اصل: همان نسخه بالا [فيلمها ف: ۱-۳۳]</w:t>
      </w:r>
    </w:p>
    <w:p>
      <w:pPr>
        <w:pStyle w:val="BookText"/>
      </w:pPr>
      <w:r>
        <w:rPr>
          <w:rFonts w:ascii="IRNazanin" w:hAnsi="IRNazanin" w:eastAsia="IRNazanin" w:cs="IRNazanin"/>
          <w:lang w:bidi="fa-IR"/>
          <w:color w:val="111111"/>
          <w:sz w:val="28"/>
          <w:szCs w:val="28"/>
          <w:rtl/>
        </w:rPr>
        <w:t xml:space="preserve">۱۱. قم؛ مرعشی؛ شماره نسخه:۷۵۲۶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برای امیر ساروخان قورچی باشی ایران؛ مجدول؛ جلد: تیماج قرمز، ۲۱۷گ، ۲۰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۱۳/۵سم [ف: ۱۹-۳۳۳]</w:t>
      </w:r>
    </w:p>
    <w:p>
      <w:pPr>
        <w:pStyle w:val="Heading3"/>
      </w:pPr>
      <w:bookmarkStart w:id="2257" w:name="_Toc1517"/>
      <w:r>
        <w:t>•تاریخ حکما و علما / تراجم / فارسی</w:t>
      </w:r>
      <w:bookmarkEnd w:id="2257"/>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455" w:name="pg20363_209761"/>
    <w:bookmarkEnd w:id="455"/>
    <w:p>
      <w:pPr>
        <w:pStyle w:val="BookText"/>
      </w:pPr>
      <w:r>
        <w:rPr>
          <w:rFonts w:ascii="Times New Roman" w:hAnsi="Times New Roman" w:eastAsia="Times New Roman" w:cs="Times New Roman"/>
          <w:lang w:val="en-US" w:bidi="en-US"/>
          <w:color w:val="111111"/>
          <w:sz w:val="28"/>
          <w:szCs w:val="28"/>
          <w:rtl/>
        </w:rPr>
        <w:t xml:space="preserve">tārīx-e hokamā va ‘olamā</w:t>
      </w:r>
    </w:p>
    <w:p>
      <w:pPr>
        <w:pStyle w:val="BookText"/>
      </w:pPr>
      <w:r>
        <w:rPr>
          <w:rFonts w:ascii="IRNazanin" w:hAnsi="IRNazanin" w:eastAsia="IRNazanin" w:cs="IRNazanin"/>
          <w:lang w:bidi="fa-IR"/>
          <w:color w:val="111111"/>
          <w:sz w:val="28"/>
          <w:szCs w:val="28"/>
          <w:rtl/>
        </w:rPr>
        <w:t xml:space="preserve">شیرازی، محمد حسین بن فخرالدین، ق ۱۴ قمری</w:t>
      </w:r>
    </w:p>
    <w:p>
      <w:pPr>
        <w:pStyle w:val="BookText"/>
      </w:pPr>
      <w:r>
        <w:rPr>
          <w:rFonts w:ascii="Times New Roman" w:hAnsi="Times New Roman" w:eastAsia="Times New Roman" w:cs="Times New Roman"/>
          <w:lang w:val="en-US" w:bidi="en-US"/>
          <w:color w:val="111111"/>
          <w:sz w:val="28"/>
          <w:szCs w:val="28"/>
          <w:rtl/>
        </w:rPr>
        <w:t xml:space="preserve">šīrāzī, mohammad hoseyn ebn-e faxr-od-dīn (-20c)</w:t>
      </w:r>
    </w:p>
    <w:p>
      <w:pPr>
        <w:pStyle w:val="BookText"/>
      </w:pPr>
      <w:r>
        <w:rPr>
          <w:rFonts w:ascii="IRNazanin" w:hAnsi="IRNazanin" w:eastAsia="IRNazanin" w:cs="IRNazanin"/>
          <w:lang w:bidi="fa-IR"/>
          <w:color w:val="111111"/>
          <w:sz w:val="28"/>
          <w:szCs w:val="28"/>
          <w:rtl/>
        </w:rPr>
        <w:t xml:space="preserve">خلاصه ای است در شرح حال حکمای بعد از هبوط آدم و پس از هجرت و ترجمه شعرای سبعه معلقه و برخی از راویان و بزرگان علما در علوم مختلف و برخی از خوشنویسان.</w:t>
      </w:r>
    </w:p>
    <w:p>
      <w:pPr>
        <w:pStyle w:val="BookText"/>
      </w:pPr>
      <w:r>
        <w:rPr>
          <w:rFonts w:ascii="IRNazanin" w:hAnsi="IRNazanin" w:eastAsia="IRNazanin" w:cs="IRNazanin"/>
          <w:lang w:bidi="fa-IR"/>
          <w:color w:val="111111"/>
          <w:sz w:val="28"/>
          <w:szCs w:val="28"/>
          <w:rtl/>
        </w:rPr>
        <w:t xml:space="preserve">اصفهان، دانشگاه؛ شماره نسخه:۱۰۶</w:t>
      </w:r>
    </w:p>
    <w:p>
      <w:pPr>
        <w:pStyle w:val="BookText"/>
      </w:pPr>
      <w:r>
        <w:rPr>
          <w:rFonts w:ascii="IRNazanin" w:hAnsi="IRNazanin" w:eastAsia="IRNazanin" w:cs="IRNazanin"/>
          <w:lang w:bidi="fa-IR"/>
          <w:color w:val="111111"/>
          <w:sz w:val="28"/>
          <w:szCs w:val="28"/>
          <w:rtl/>
        </w:rPr>
        <w:t xml:space="preserve">آغاز: آمون حکیم ظهور او ۱۶۹۴ سال بعد از هبوط آدم این لفظ لقب اوست اسم وی ثيلو خس از شاگردان ادریس حضرت ادریس او را به یک ربع زمین حکومت داد خط: نستعلیق، کاتب = مؤلف، بی تا؛ مصحح؛ تملک: عبدالحسین سپنتا؛ جلد: مقوایی، عطف تیماج قهوه ای، ۱۰۱گ، مختلف السطر،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۱-۸۳]</w:t>
      </w:r>
    </w:p>
    <w:p>
      <w:pPr>
        <w:pStyle w:val="Heading3"/>
      </w:pPr>
      <w:bookmarkStart w:id="2258" w:name="_Toc1518"/>
      <w:r>
        <w:t>•تاریخ حکمای طبرستان / تاریخ ایران / فارسی</w:t>
      </w:r>
      <w:bookmarkEnd w:id="2258"/>
    </w:p>
    <w:p>
      <w:pPr>
        <w:pStyle w:val="BookText"/>
      </w:pPr>
      <w:r>
        <w:rPr>
          <w:rFonts w:ascii="Times New Roman" w:hAnsi="Times New Roman" w:eastAsia="Times New Roman" w:cs="Times New Roman"/>
          <w:lang w:val="en-US" w:bidi="en-US"/>
          <w:color w:val="111111"/>
          <w:sz w:val="28"/>
          <w:szCs w:val="28"/>
          <w:rtl/>
        </w:rPr>
        <w:t xml:space="preserve">tārīx-e hokamā-ye tabarestān</w:t>
      </w:r>
    </w:p>
    <w:p>
      <w:pPr>
        <w:pStyle w:val="BookText"/>
      </w:pPr>
      <w:r>
        <w:rPr>
          <w:rFonts w:ascii="IRNazanin" w:hAnsi="IRNazanin" w:eastAsia="IRNazanin" w:cs="IRNazanin"/>
          <w:lang w:bidi="fa-IR"/>
          <w:color w:val="111111"/>
          <w:sz w:val="28"/>
          <w:szCs w:val="28"/>
          <w:rtl/>
        </w:rPr>
        <w:t xml:space="preserve">مختصری است در بیان سلاطین ولایت طبرستان و وقایع دوران حکمرانی آنها و چگونگی به حکومت رسیدن و فوت آنان و ...</w:t>
      </w:r>
    </w:p>
    <w:p>
      <w:pPr>
        <w:pStyle w:val="BookText"/>
      </w:pPr>
      <w:r>
        <w:rPr>
          <w:rFonts w:ascii="IRNazanin" w:hAnsi="IRNazanin" w:eastAsia="IRNazanin" w:cs="IRNazanin"/>
          <w:lang w:bidi="fa-IR"/>
          <w:color w:val="111111"/>
          <w:sz w:val="28"/>
          <w:szCs w:val="28"/>
          <w:rtl/>
        </w:rPr>
        <w:t xml:space="preserve">دامغان؛ صادقیه؛ شماره نسخه: ۲۵۱/۲</w:t>
      </w:r>
    </w:p>
    <w:p>
      <w:pPr>
        <w:pStyle w:val="BookText"/>
      </w:pPr>
      <w:r>
        <w:rPr>
          <w:rFonts w:ascii="IRNazanin" w:hAnsi="IRNazanin" w:eastAsia="IRNazanin" w:cs="IRNazanin"/>
          <w:lang w:bidi="fa-IR"/>
          <w:color w:val="111111"/>
          <w:sz w:val="28"/>
          <w:szCs w:val="28"/>
          <w:rtl/>
        </w:rPr>
        <w:t xml:space="preserve">آغاز: اما بعد در کتاب استفسار چنین روایت کرده اند که حاکم بن عزيز بن مغير بن منصور بن قاسم بن مهدی که از خلفای بنی اسماعیل؛ انجام: و فاطمه خاتون مادر خواجه معزالدین ملک حسین هم بود و زبیده خاتون زن خواجه عمادالدین ملک است که مادر امیر نظام است . خط: نستعلیق، بی کا، تا: شنبه ۸ شوال ۱۲۲۱ق؛ ۱۷گ، مختلف السطر،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۲۰سم [ف مخ: ۲۷]</w:t>
      </w:r>
    </w:p>
    <w:p>
      <w:pPr>
        <w:pStyle w:val="Heading3"/>
      </w:pPr>
      <w:bookmarkStart w:id="2259" w:name="_Toc1519"/>
      <w:r>
        <w:t>•تاریخ حکمرانان اردلان / تاریخ ایران / فارسی</w:t>
      </w:r>
      <w:bookmarkEnd w:id="2259"/>
    </w:p>
    <w:p>
      <w:pPr>
        <w:pStyle w:val="BookText"/>
      </w:pPr>
      <w:r>
        <w:rPr>
          <w:rFonts w:ascii="Times New Roman" w:hAnsi="Times New Roman" w:eastAsia="Times New Roman" w:cs="Times New Roman"/>
          <w:lang w:val="en-US" w:bidi="en-US"/>
          <w:color w:val="111111"/>
          <w:sz w:val="28"/>
          <w:szCs w:val="28"/>
          <w:rtl/>
        </w:rPr>
        <w:t xml:space="preserve">tārīx-e hokmrānān-e ardalān</w:t>
      </w:r>
    </w:p>
    <w:p>
      <w:pPr>
        <w:pStyle w:val="BookText"/>
      </w:pPr>
      <w:r>
        <w:rPr>
          <w:rFonts w:ascii="IRNazanin" w:hAnsi="IRNazanin" w:eastAsia="IRNazanin" w:cs="IRNazanin"/>
          <w:lang w:bidi="fa-IR"/>
          <w:color w:val="111111"/>
          <w:sz w:val="28"/>
          <w:szCs w:val="28"/>
          <w:rtl/>
        </w:rPr>
        <w:t xml:space="preserve">در این رساله که در دو بخش تدوین شده، تاریخ وقایع حکمرانان اردلان بیان شده است. در بخش اول حکمرانان این منطقه از آغاز صفویه تا سال ۱۲۲۸ به ترتیب تاریخی با ذکر مختصری از جنگ ها و وقایع هر سال بیان شده است. این حاکمان اغلب در سنندج بوده و اغلب آنان با حکومت های عصر خود همکاری داشته اند و در جنگ های ایران با سایر کشورها نقش داشتند که در این تاریخ به صورت مختصر بیان شده است. در این تاریخ اغلب وقایع حکمرانی خان احمد خان و فرزندش خسروخان بیان شده است؛ در بخش دوم احکام و منشآتی که از طرف این حاکمان صادر گردیده تحریر شده است. ماه شرف خانم مستوره کردستانی را کتابی است در همین موضوع که با عنوان «تاریخ اردلان» با مقدمه آقای ناصر آزاد پور، در کرمانشاه سال ۱۳۳۲ش در ۲۲۵ صفحه به قطع رقعی، منتشر گردیده و بخش هایی از آن در گفتار بیست و هفتم «امرای اردلان» کتاب تاریخ مشاهیر کرد بابا مردوخ کردستانی بخش دوم (جلد سوم) ص ۲۳۰-۳۰۰ به چاپ رسیده، رساله</w:t>
      </w:r>
    </w:p>
    <w:p>
      <w:pPr>
        <w:pStyle w:val="BookText"/>
      </w:pPr>
      <w:r>
        <w:rPr>
          <w:rFonts w:ascii="IRNazanin" w:hAnsi="IRNazanin" w:eastAsia="IRNazanin" w:cs="IRNazanin"/>
          <w:lang w:bidi="fa-IR"/>
          <w:color w:val="111111"/>
          <w:sz w:val="28"/>
          <w:szCs w:val="28"/>
          <w:rtl/>
        </w:rPr>
        <w:t xml:space="preserve">حاضر گویا همان تاریخ اردلان مستوره کردستانی است.</w:t>
      </w:r>
    </w:p>
    <w:p>
      <w:pPr>
        <w:pStyle w:val="BookText"/>
      </w:pPr>
      <w:r>
        <w:rPr>
          <w:rFonts w:ascii="IRNazanin" w:hAnsi="IRNazanin" w:eastAsia="IRNazanin" w:cs="IRNazanin"/>
          <w:lang w:bidi="fa-IR"/>
          <w:color w:val="111111"/>
          <w:sz w:val="28"/>
          <w:szCs w:val="28"/>
          <w:rtl/>
        </w:rPr>
        <w:t xml:space="preserve">[نسخه های منزوی ۸۳۹/۲ ؛ مشار فارسی ۱۰۲۶/۱ ]</w:t>
      </w:r>
    </w:p>
    <w:p>
      <w:pPr>
        <w:pStyle w:val="BookText"/>
      </w:pPr>
      <w:r>
        <w:rPr>
          <w:rFonts w:ascii="IRNazanin" w:hAnsi="IRNazanin" w:eastAsia="IRNazanin" w:cs="IRNazanin"/>
          <w:lang w:bidi="fa-IR"/>
          <w:color w:val="111111"/>
          <w:sz w:val="28"/>
          <w:szCs w:val="28"/>
          <w:rtl/>
        </w:rPr>
        <w:t xml:space="preserve">قم، گلپایگانی؛ شماره نسخه:۲۱۵۶- ۱۲/۴۶</w:t>
      </w:r>
    </w:p>
    <w:p>
      <w:pPr>
        <w:pStyle w:val="BookText"/>
      </w:pPr>
      <w:r>
        <w:rPr>
          <w:rFonts w:ascii="IRNazanin" w:hAnsi="IRNazanin" w:eastAsia="IRNazanin" w:cs="IRNazanin"/>
          <w:lang w:bidi="fa-IR"/>
          <w:color w:val="111111"/>
          <w:sz w:val="28"/>
          <w:szCs w:val="28"/>
          <w:rtl/>
        </w:rPr>
        <w:t xml:space="preserve">آغاز: طهماسب برادرش ساخت سرخاب بک نیز عریضه به خدمت شاه طهماسب نوشت گزارش القاضی میرزا آنچه گذشته بود تفضلا عرض واستدعای عفو او را کرد؛ انجام: نظر وقال ولا تنظر الى من قال رشته ای و مرا به همه جهت درهای معانی باز است، ليكن اطالت كلام موجب ملال است باقی ایام ولایت به کام باد برب العباد.</w:t>
      </w:r>
    </w:p>
    <w:p>
      <w:pPr>
        <w:pStyle w:val="BookText"/>
      </w:pPr>
      <w:r>
        <w:rPr>
          <w:rFonts w:ascii="IRNazanin" w:hAnsi="IRNazanin" w:eastAsia="IRNazanin" w:cs="IRNazanin"/>
          <w:lang w:bidi="fa-IR"/>
          <w:color w:val="111111"/>
          <w:sz w:val="28"/>
          <w:szCs w:val="28"/>
          <w:rtl/>
        </w:rPr>
        <w:t xml:space="preserve">خط: نستعلیق شکسته، كا: صوفی محمد ويس محمدی بن محمد زمان، تا: جمعه ۱۷ ربيع الأول ۱۲۸۷ق، جلد: تیماج قهوه ای مجدول، ۱۴۱، ۱۷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۲-۶۹۲]</w:t>
      </w:r>
    </w:p>
    <w:p>
      <w:pPr>
        <w:pStyle w:val="Heading3"/>
      </w:pPr>
      <w:bookmarkStart w:id="2260" w:name="_Toc1520"/>
      <w:r>
        <w:t>•تاریخ حکومت تاتارها در قریم / تاریخ / فارسی</w:t>
      </w:r>
      <w:bookmarkEnd w:id="2260"/>
    </w:p>
    <w:p>
      <w:pPr>
        <w:pStyle w:val="BookText"/>
      </w:pPr>
      <w:r>
        <w:rPr>
          <w:rFonts w:ascii="Times New Roman" w:hAnsi="Times New Roman" w:eastAsia="Times New Roman" w:cs="Times New Roman"/>
          <w:lang w:val="en-US" w:bidi="en-US"/>
          <w:color w:val="111111"/>
          <w:sz w:val="28"/>
          <w:szCs w:val="28"/>
          <w:rtl/>
        </w:rPr>
        <w:t xml:space="preserve">tārīx-e hokūmat-e tātār-hā dar qoraym</w:t>
      </w:r>
    </w:p>
    <w:p>
      <w:pPr>
        <w:pStyle w:val="BookText"/>
      </w:pPr>
      <w:r>
        <w:rPr>
          <w:rFonts w:ascii="IRNazanin" w:hAnsi="IRNazanin" w:eastAsia="IRNazanin" w:cs="IRNazanin"/>
          <w:lang w:bidi="fa-IR"/>
          <w:color w:val="111111"/>
          <w:sz w:val="28"/>
          <w:szCs w:val="28"/>
          <w:rtl/>
        </w:rPr>
        <w:t xml:space="preserve">زمان تأليف: ۱۲۹۳ق پس از انحلال دولت چنگیزیان طایفه هایی از تاتارها به سوی قریم (کریمه کنونی) روی آوردند و سلسله ای بدانجا تشکیل دادند که در تاریخ به نام خان های قریم معروف اند (رجوع به طبقات سلاطین اسلام لین پول شود). چون عهدنامه روسیه و عثمانی در قینارجه امضاء شد روس ها روی به کریمه نهادند و خاندان تاتاری را از هم پاشیدند و سرزمین آنها را در قلمرو خود آوردند. این کتاب حاوی تاریخ حکمرانی این تاتارها بر قريم است با انتقاداتی بر عثمانیان بواسطه مصالحه قینار جه.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ملی؛ شماره نسخه: ۱۲۲۷/۳</w:t>
      </w:r>
    </w:p>
    <w:p>
      <w:pPr>
        <w:pStyle w:val="BookText"/>
      </w:pPr>
      <w:r>
        <w:rPr>
          <w:rFonts w:ascii="IRNazanin" w:hAnsi="IRNazanin" w:eastAsia="IRNazanin" w:cs="IRNazanin"/>
          <w:lang w:bidi="fa-IR"/>
          <w:color w:val="111111"/>
          <w:sz w:val="28"/>
          <w:szCs w:val="28"/>
          <w:rtl/>
        </w:rPr>
        <w:t xml:space="preserve">آغاز: در بیان کیفیت مملکت قریم و انقراض دولت سلسله چنگیزیه؛ انجام: درین دو سه سال جنگهای عظیم در ما بين .. که عبارتند از سلطان مرحوم و امپراطور فرانسه و پادشاه انگلیس باشد در آن مملکت واقع شده. خط: شکسته نستعلیق، كا: عبدالستار گرگانی، تا: ۱۳۰۰ق، جان تهران؛ کاغذ: فرنگی، جلد: تیماج سبز مقوایی، ۵۰ص (۵۱۸- ۵۶۷)، ۱۶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سم [ف: ۳-۲۷۳]</w:t>
      </w:r>
    </w:p>
    <w:p>
      <w:pPr>
        <w:pStyle w:val="BookText"/>
      </w:pPr>
      <w:r>
        <w:rPr>
          <w:rFonts w:ascii="IRNazanin" w:hAnsi="IRNazanin" w:eastAsia="IRNazanin" w:cs="IRNazanin"/>
          <w:lang w:bidi="fa-IR"/>
          <w:color w:val="111111"/>
          <w:sz w:val="28"/>
          <w:szCs w:val="28"/>
          <w:rtl/>
        </w:rPr>
        <w:t xml:space="preserve">۲. تهران، ملک؛ شماره نسخه:۳۹۶۱/۳</w:t>
      </w:r>
    </w:p>
    <w:p>
      <w:pPr>
        <w:pStyle w:val="BookText"/>
      </w:pPr>
      <w:r>
        <w:rPr>
          <w:rFonts w:ascii="IRNazanin" w:hAnsi="IRNazanin" w:eastAsia="IRNazanin" w:cs="IRNazanin"/>
          <w:lang w:bidi="fa-IR"/>
          <w:color w:val="111111"/>
          <w:sz w:val="28"/>
          <w:szCs w:val="28"/>
          <w:rtl/>
        </w:rPr>
        <w:t xml:space="preserve">نگارش دیگری از مجموعه ۱۲۲۷ کتابخانه ملی. شماره های ۲، ۳ و ۴ مجموعه حاضر مطابق با شماره ۳ مجموعه کتابخانه ملی می باشند که در مجموعه حاضر تفکیک شده اند و در مجموعه ملی تفکیک نشده اند؛ خط: نستعلیق، بی کا، تا: با تاریخ ۱۳۰۶ق؛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456" w:name="pg20363_209762"/>
    <w:bookmarkEnd w:id="456"/>
    <w:p>
      <w:pPr>
        <w:pStyle w:val="BookText"/>
      </w:pPr>
      <w:r>
        <w:rPr>
          <w:rFonts w:ascii="IRNazanin" w:hAnsi="IRNazanin" w:eastAsia="IRNazanin" w:cs="IRNazanin"/>
          <w:lang w:bidi="fa-IR"/>
          <w:color w:val="111111"/>
          <w:sz w:val="28"/>
          <w:szCs w:val="28"/>
          <w:rtl/>
        </w:rPr>
        <w:t xml:space="preserve">کاغذ: فرنگی خط دار، جلد: میشن زرد، ۱۷ و ۱۸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۷-۱۱۲]</w:t>
      </w:r>
    </w:p>
    <w:p>
      <w:pPr>
        <w:pStyle w:val="BookText"/>
      </w:pPr>
      <w:r>
        <w:rPr>
          <w:rFonts w:ascii="Amiri" w:hAnsi="Amiri" w:eastAsia="Amiri" w:cs="Amiri"/>
          <w:lang w:bidi="ar-SA"/>
          <w:color w:val="111111"/>
          <w:sz w:val="28"/>
          <w:szCs w:val="28"/>
          <w:rtl/>
        </w:rPr>
        <w:t xml:space="preserve">← تاريخ حلب ← بغية الطلب في تاريخ حلب</w:t>
      </w:r>
    </w:p>
    <w:p>
      <w:pPr>
        <w:pStyle w:val="Heading3"/>
      </w:pPr>
      <w:bookmarkStart w:id="2261" w:name="_Toc1521"/>
      <w:r>
        <w:t>• تاریخ حمله مغول به ایران / تاریخ ایران / فارسی</w:t>
      </w:r>
      <w:bookmarkEnd w:id="2261"/>
    </w:p>
    <w:p>
      <w:pPr>
        <w:pStyle w:val="BookText"/>
      </w:pPr>
      <w:r>
        <w:rPr>
          <w:rFonts w:ascii="Times New Roman" w:hAnsi="Times New Roman" w:eastAsia="Times New Roman" w:cs="Times New Roman"/>
          <w:lang w:val="en-US" w:bidi="en-US"/>
          <w:color w:val="111111"/>
          <w:sz w:val="28"/>
          <w:szCs w:val="28"/>
          <w:rtl/>
        </w:rPr>
        <w:t xml:space="preserve">tārīx-e hamle-ye moqol be īrān</w:t>
      </w:r>
    </w:p>
    <w:p>
      <w:pPr>
        <w:pStyle w:val="BookText"/>
      </w:pPr>
      <w:r>
        <w:rPr>
          <w:rFonts w:ascii="IRNazanin" w:hAnsi="IRNazanin" w:eastAsia="IRNazanin" w:cs="IRNazanin"/>
          <w:lang w:bidi="fa-IR"/>
          <w:color w:val="111111"/>
          <w:sz w:val="28"/>
          <w:szCs w:val="28"/>
          <w:rtl/>
        </w:rPr>
        <w:t xml:space="preserve">تهران؛ مجلس؛ شماره نسخه:۱۶۸۷۸</w:t>
      </w:r>
    </w:p>
    <w:p>
      <w:pPr>
        <w:pStyle w:val="BookText"/>
      </w:pPr>
      <w:r>
        <w:rPr>
          <w:rFonts w:ascii="IRNazanin" w:hAnsi="IRNazanin" w:eastAsia="IRNazanin" w:cs="IRNazanin"/>
          <w:lang w:bidi="fa-IR"/>
          <w:color w:val="111111"/>
          <w:sz w:val="28"/>
          <w:szCs w:val="28"/>
          <w:rtl/>
        </w:rPr>
        <w:t xml:space="preserve">بی کا، تا: ۱۳۳۴ق [دث. مجلس ]</w:t>
      </w:r>
    </w:p>
    <w:p>
      <w:pPr>
        <w:pStyle w:val="Heading3"/>
      </w:pPr>
      <w:bookmarkStart w:id="2262" w:name="_Toc1522"/>
      <w:r>
        <w:t>•تاریخ حمیدی - ترجمه شرح حال سلطان عبدالحمید ثانی / تاریخ / فارسی</w:t>
      </w:r>
      <w:bookmarkEnd w:id="2262"/>
    </w:p>
    <w:p>
      <w:pPr>
        <w:pStyle w:val="BookText"/>
      </w:pPr>
      <w:r>
        <w:rPr>
          <w:rFonts w:ascii="Times New Roman" w:hAnsi="Times New Roman" w:eastAsia="Times New Roman" w:cs="Times New Roman"/>
          <w:lang w:val="en-US" w:bidi="en-US"/>
          <w:color w:val="111111"/>
          <w:sz w:val="28"/>
          <w:szCs w:val="28"/>
          <w:rtl/>
        </w:rPr>
        <w:t xml:space="preserve">tārīx-e hamīdī = t.-ye š.-e hāl-e soltan abd-ol-hamīd-e sānī</w:t>
      </w:r>
    </w:p>
    <w:p>
      <w:pPr>
        <w:pStyle w:val="BookText"/>
      </w:pPr>
      <w:r>
        <w:rPr>
          <w:rFonts w:ascii="IRNazanin" w:hAnsi="IRNazanin" w:eastAsia="IRNazanin" w:cs="IRNazanin"/>
          <w:lang w:bidi="fa-IR"/>
          <w:color w:val="111111"/>
          <w:sz w:val="28"/>
          <w:szCs w:val="28"/>
          <w:rtl/>
        </w:rPr>
        <w:t xml:space="preserve">سردار اسعد بختیاری، علیقلی بن حسینقلی، ۱۲۷۴ ۱۳۳۶ قمری</w:t>
      </w:r>
    </w:p>
    <w:p>
      <w:pPr>
        <w:pStyle w:val="BookText"/>
      </w:pPr>
      <w:r>
        <w:rPr>
          <w:rFonts w:ascii="Times New Roman" w:hAnsi="Times New Roman" w:eastAsia="Times New Roman" w:cs="Times New Roman"/>
          <w:lang w:val="en-US" w:bidi="en-US"/>
          <w:color w:val="111111"/>
          <w:sz w:val="28"/>
          <w:szCs w:val="28"/>
          <w:rtl/>
        </w:rPr>
        <w:t xml:space="preserve">sardār as ad-e baxtīyārī, “alī-qolī ebn-e hoseyn-qolī (1858-1918)</w:t>
      </w:r>
    </w:p>
    <w:p>
      <w:pPr>
        <w:pStyle w:val="BookText"/>
      </w:pPr>
      <w:r>
        <w:rPr>
          <w:rFonts w:ascii="IRNazanin" w:hAnsi="IRNazanin" w:eastAsia="IRNazanin" w:cs="IRNazanin"/>
          <w:lang w:bidi="fa-IR"/>
          <w:color w:val="111111"/>
          <w:sz w:val="28"/>
          <w:szCs w:val="28"/>
          <w:rtl/>
        </w:rPr>
        <w:t xml:space="preserve">مؤلف این اثر ژرژ دوریس یونانی الاصل است که به زبان فرانسه آن را نگاشته و پیر کی لارد (یا کییارد) بر چاپ پاریس این اثر دیباچه ای نوشته است. این اثر در سال ۱۳۱۷ ق = ۱۲۷۸ در طهران از سوی مطبعه مبارکه شاهنشاهی تحت سرپرستی عبدالله قاجار با عنوان «تاریخ زندگانی سلطان عبدالحمید پادشاه عثمانی» با مقدمه آرشاک خان آجودان همایون و به صورت چاپی سربی منتشر شده است و در آن مترجم را به اشتباه همان مقدمه نویس دانسته اند در صورتی که در دیباچه به صراحت نام مؤلف آمده است. همچنین پشت کتاب چاپی مزبور و نیز در توضیحاتی که از سوی نوادگان مترجم و پرویز صدیقی روی برگ نخست نسخه آمده این اثر با عنوان «تاریخ حمیدی» معرفی شده است. بیشتر این کتاب شرح بیدادگریها و خونخواری های سلطان عبدالحمید عثمانی است و شرح بیماری های جنون آمیز روانی او در مراقبت از خود در برابر خطرات موهوم و ترس و نگرانی از اطرافیان.</w:t>
      </w:r>
    </w:p>
    <w:p>
      <w:pPr>
        <w:pStyle w:val="BookText"/>
      </w:pPr>
      <w:r>
        <w:rPr>
          <w:rFonts w:ascii="IRNazanin" w:hAnsi="IRNazanin" w:eastAsia="IRNazanin" w:cs="IRNazanin"/>
          <w:lang w:bidi="fa-IR"/>
          <w:color w:val="111111"/>
          <w:sz w:val="28"/>
          <w:szCs w:val="28"/>
          <w:rtl/>
        </w:rPr>
        <w:t xml:space="preserve">تهران؛ مجلس؛ شماره نسخه:۱۷۰۰۵</w:t>
      </w:r>
    </w:p>
    <w:p>
      <w:pPr>
        <w:pStyle w:val="BookText"/>
      </w:pPr>
      <w:r>
        <w:rPr>
          <w:rFonts w:ascii="IRNazanin" w:hAnsi="IRNazanin" w:eastAsia="IRNazanin" w:cs="IRNazanin"/>
          <w:lang w:bidi="fa-IR"/>
          <w:color w:val="111111"/>
          <w:sz w:val="28"/>
          <w:szCs w:val="28"/>
          <w:rtl/>
        </w:rPr>
        <w:t xml:space="preserve">آغاز: دیباچه کتاب شرح حالات سلطان عبدالحمید پادشاه عثمانی. مورخین آینده پریشان خاطر خواهند بود برای آن که انتخاب نمایند یکی از القاب مختلفه را که برای سلطان عبدالحمید مذکور شد.؛ انجام: و ظلم های او را ملتعثمانی هرگز فراموش نخواهند کرد و در تواریخ او را سلطان خونریز باید نوشت.</w:t>
      </w:r>
    </w:p>
    <w:p>
      <w:pPr>
        <w:pStyle w:val="BookText"/>
      </w:pPr>
      <w:r>
        <w:rPr>
          <w:rFonts w:ascii="IRNazanin" w:hAnsi="IRNazanin" w:eastAsia="IRNazanin" w:cs="IRNazanin"/>
          <w:lang w:bidi="fa-IR"/>
          <w:color w:val="111111"/>
          <w:sz w:val="28"/>
          <w:szCs w:val="28"/>
          <w:rtl/>
        </w:rPr>
        <w:t xml:space="preserve">انجامه: کتاب شرح حالات سلطان عبدالحمید پادشاه مملکت عثمانی که بزبان فرانسه در پاریس بطبع رسیده بود. در جوشقان چهارمحال، اواسط شهر ذی قعده الحرام شروع بترجمه آن نموده الحمدلله بدون علت مزاج در ششم شهر محرم الحرام هزار و سیصد و بیست و یک (۱۳۲۱) فراغت حاصل شد. کامل؛ خط: نسخ ممتاز، كا: به احتمال عین الملک منشی مترجم، تا: ۶ محرم ۱۳۲۱ق، جا: جوشقان چهارمحال؛ تملك: ابوالقاسم اسعد بختیاری نواده مترجم؛ جلد: چرم یشمی، ۳۵۷ص، ۱۰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۲۷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۴۷/۱</w:t>
      </w:r>
    </w:p>
    <w:p>
      <w:pPr>
        <w:pStyle w:val="BookText"/>
      </w:pPr>
      <w:r>
        <w:rPr>
          <w:rFonts w:ascii="IRNazanin" w:hAnsi="IRNazanin" w:eastAsia="IRNazanin" w:cs="IRNazanin"/>
          <w:lang w:bidi="fa-IR"/>
          <w:color w:val="111111"/>
          <w:sz w:val="28"/>
          <w:szCs w:val="28"/>
          <w:rtl/>
        </w:rPr>
        <w:t xml:space="preserve">-۱۲۵]</w:t>
      </w:r>
    </w:p>
    <w:p>
      <w:pPr>
        <w:pStyle w:val="Heading3"/>
      </w:pPr>
      <w:bookmarkStart w:id="2263" w:name="_Toc1523"/>
      <w:r>
        <w:t>•تاريخ حيا / شعر / فارسی</w:t>
      </w:r>
      <w:bookmarkEnd w:id="2263"/>
    </w:p>
    <w:p>
      <w:pPr>
        <w:pStyle w:val="BookText"/>
      </w:pPr>
      <w:r>
        <w:rPr>
          <w:rFonts w:ascii="Times New Roman" w:hAnsi="Times New Roman" w:eastAsia="Times New Roman" w:cs="Times New Roman"/>
          <w:lang w:val="en-US" w:bidi="en-US"/>
          <w:color w:val="111111"/>
          <w:sz w:val="28"/>
          <w:szCs w:val="28"/>
          <w:rtl/>
        </w:rPr>
        <w:t xml:space="preserve">tārīx-e hayā</w:t>
      </w:r>
    </w:p>
    <w:p>
      <w:pPr>
        <w:pStyle w:val="BookText"/>
      </w:pPr>
      <w:r>
        <w:rPr>
          <w:rFonts w:ascii="IRNazanin" w:hAnsi="IRNazanin" w:eastAsia="IRNazanin" w:cs="IRNazanin"/>
          <w:lang w:bidi="fa-IR"/>
          <w:color w:val="111111"/>
          <w:sz w:val="28"/>
          <w:szCs w:val="28"/>
          <w:rtl/>
        </w:rPr>
        <w:t xml:space="preserve">سی و شش ماده تاریخ منظوم فارسی است سروده حيا گویا همان شیورام حيای اکبر آبادی از مردم کایتهه و شاگرد بیدل و سراینده گلگشت بهار ارم و در گذشته ۱۱۴۴: ۱. تاریخ عطای شمشیر و علم از جناب رسول الله (۱۲۰۳)؛ ۲. تاريخ رحلت مسكين (۱۱۸۶)؛ 3. تاریخ گنبد متولی مسکین (۱۲۰۳)؛ ۴. تاریخ رحلت مکه مان صاحبه (۱۹۹۶)؛ ۵. تاریخ ثانی مکه مان صاحبه (۱۱۹۵)؛ ۶. تاریخ رحلت میر امام (۱۲۰۱)؛ 7. تاریخ نسبت پسر اکمل شاه (۱۲۰۱)؛ ۸ تاريخ كتخدایی شاه محمد خلف اكمل شاه (۱۲۰۳)؛ 9. تاريخ كتخدایی انورخان (۱۲۰۳)؛ ۱۰. تاریخ کتخدایی قاردخان (۱۲۰۳)؛ 11. تاریخ تولد پسر معزالدین خان (۱۲۰۳۹؛ ۱۲. تاريخ عمارت محمد نو احداث معمور خان (۱۲۰۳)؛ ۱۳. تاریخ خطاب صدر جنگ (۱۱۹۱)، ۱۴. تاریخ رحلت عبدالولی عزلت (۱۹۸۹)؛ ۱۵. تاریخ عنایت پالکی به حكيم قطب الدین خان از پیش کار محمد رنمست خان بهادر ساکن، گرنول عرف قمرنگر (۱۲۰۱)؛ ۱۶. تاریخ تولد برخوردار خواجہ غلام حیدر (۱۱۹۰)؛ ۱۷. تاریخ تولد خواجه ابراهیم (۱۲۰۳)؛ ۱۸. تاریخ ثانی (۱۲۰۳)؛ ۱۹. تاریخ فتح نرمل (۱۹۹۷)؛ ۲۰. تاريخ رحلت احمد علی خان خلف محمد ندوله خان بهادر (۱۲۰۱)؛ ۲۱. تاريخ رحلت میرزاخان (۱۱۷۵)؛ ۲۲. تاریخ ثانی (۱۱۷۵)؛ ۲۳. تاریخ خدمت قضای قاضی معین الدین (۱۹۹۹)؛ ۲۴. تاريخ رحلت والد مرحوم (۱۹۹۷)؛ ۲۵. تاریخ ثانی (۱۹۹۷)؛ ۲۶. تاریخ مردن کهتامل بریت (۱۲۰۲)؛ ۲۷. تاریخ حوض دیوان خانه رنمست خان بهادر (۱۹۹۹)؛ ۲۸. تاريخ عمارت نواب مشير الملك بهادر (۱۹۹۸)؛ ۲۹. تاریخ قلعه عمارت پاکتور که امین خان عرب نموده (۱۲۰۱)؛ ۳۰. تاریخ ثانی (۱۲۰۱)؛ ۳۱. تاریخ فرزند میرزا بقابیک (۱۲۰۲)؛ ۳۲. تاريخ رحلت والده مرحومه (۱۱۹۹)؛ ۳۳. تاريخ رحلت برخوردار خواجه فتح الله (۱۲۰۰)؛ ۳۴. تاریخ نسبت شادی اسماعیل خان بهادر (۱۲۰۳)؛ ۳۵. تاریخ تولد صبیه حیدر خان (۱۲۰۳)؛ ۳۶. تاريخ رحلت ابراهیم صاحب (۱۲۰۳).</w:t>
      </w:r>
    </w:p>
    <w:p>
      <w:pPr>
        <w:pStyle w:val="BookText"/>
      </w:pPr>
      <w:r>
        <w:rPr>
          <w:rFonts w:ascii="IRNazanin" w:hAnsi="IRNazanin" w:eastAsia="IRNazanin" w:cs="IRNazanin"/>
          <w:lang w:bidi="fa-IR"/>
          <w:color w:val="111111"/>
          <w:sz w:val="28"/>
          <w:szCs w:val="28"/>
          <w:rtl/>
        </w:rPr>
        <w:t xml:space="preserve">تهران، دانشگاه؛ شماره نسخه: ۸۰۳۸</w:t>
      </w:r>
    </w:p>
    <w:p>
      <w:pPr>
        <w:pStyle w:val="BookText"/>
      </w:pPr>
      <w:r>
        <w:rPr>
          <w:rFonts w:ascii="IRNazanin" w:hAnsi="IRNazanin" w:eastAsia="IRNazanin" w:cs="IRNazanin"/>
          <w:lang w:bidi="fa-IR"/>
          <w:color w:val="111111"/>
          <w:sz w:val="28"/>
          <w:szCs w:val="28"/>
          <w:rtl/>
        </w:rPr>
        <w:t xml:space="preserve">آغاز: رب يسر و تمم بالخير، بسمله. تاریخ عطای شمشیر و علم از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457" w:name="pg20363_209763"/>
    <w:bookmarkEnd w:id="457"/>
    <w:p>
      <w:pPr>
        <w:pStyle w:val="BookText"/>
      </w:pPr>
      <w:r>
        <w:rPr>
          <w:rFonts w:ascii="IRNazanin" w:hAnsi="IRNazanin" w:eastAsia="IRNazanin" w:cs="IRNazanin"/>
          <w:lang w:bidi="fa-IR"/>
          <w:color w:val="111111"/>
          <w:sz w:val="28"/>
          <w:szCs w:val="28"/>
          <w:rtl/>
        </w:rPr>
        <w:t xml:space="preserve">جناب رسول الله ص.</w:t>
      </w:r>
    </w:p>
    <w:p>
      <w:pPr>
        <w:pStyle w:val="BookText"/>
      </w:pPr>
      <w:r>
        <w:rPr>
          <w:rFonts w:ascii="IRNazanin" w:hAnsi="IRNazanin" w:eastAsia="IRNazanin" w:cs="IRNazanin"/>
          <w:lang w:bidi="fa-IR"/>
          <w:color w:val="111111"/>
          <w:sz w:val="28"/>
          <w:szCs w:val="28"/>
          <w:rtl/>
        </w:rPr>
        <w:t xml:space="preserve">خديو دو جهان رنمست خان را *** مدارجهای علیا از کرم داد /</w:t>
      </w:r>
    </w:p>
    <w:p>
      <w:pPr>
        <w:pStyle w:val="BookText"/>
      </w:pPr>
      <w:r>
        <w:rPr>
          <w:rFonts w:ascii="IRNazanin" w:hAnsi="IRNazanin" w:eastAsia="IRNazanin" w:cs="IRNazanin"/>
          <w:lang w:bidi="fa-IR"/>
          <w:color w:val="111111"/>
          <w:sz w:val="28"/>
          <w:szCs w:val="28"/>
          <w:rtl/>
        </w:rPr>
        <w:t xml:space="preserve">قبول بارگاه مصطفی کرد *** علو دین و دنیا را بهم داد /</w:t>
      </w:r>
    </w:p>
    <w:p>
      <w:pPr>
        <w:pStyle w:val="BookText"/>
      </w:pPr>
      <w:r>
        <w:rPr>
          <w:rFonts w:ascii="IRNazanin" w:hAnsi="IRNazanin" w:eastAsia="IRNazanin" w:cs="IRNazanin"/>
          <w:lang w:bidi="fa-IR"/>
          <w:color w:val="111111"/>
          <w:sz w:val="28"/>
          <w:szCs w:val="28"/>
          <w:rtl/>
        </w:rPr>
        <w:t xml:space="preserve">لوای حمزه و صمصام پر دم *** برای كثرت فوج و حشم داد /</w:t>
      </w:r>
    </w:p>
    <w:p>
      <w:pPr>
        <w:pStyle w:val="BookText"/>
      </w:pPr>
      <w:r>
        <w:rPr>
          <w:rFonts w:ascii="IRNazanin" w:hAnsi="IRNazanin" w:eastAsia="IRNazanin" w:cs="IRNazanin"/>
          <w:lang w:bidi="fa-IR"/>
          <w:color w:val="111111"/>
          <w:sz w:val="28"/>
          <w:szCs w:val="28"/>
          <w:rtl/>
        </w:rPr>
        <w:t xml:space="preserve">به فراشی روضه کرد ممتاز *** باین خدمت شكوه محترم را</w:t>
      </w:r>
    </w:p>
    <w:p>
      <w:pPr>
        <w:pStyle w:val="BookText"/>
      </w:pPr>
      <w:r>
        <w:rPr>
          <w:rFonts w:ascii="IRNazanin" w:hAnsi="IRNazanin" w:eastAsia="IRNazanin" w:cs="IRNazanin"/>
          <w:lang w:bidi="fa-IR"/>
          <w:color w:val="111111"/>
          <w:sz w:val="28"/>
          <w:szCs w:val="28"/>
          <w:rtl/>
        </w:rPr>
        <w:t xml:space="preserve">انجام: تاریخ رحلت ابراهیم صاحب مرحوم.</w:t>
      </w:r>
    </w:p>
    <w:p>
      <w:pPr>
        <w:pStyle w:val="BookText"/>
      </w:pPr>
      <w:r>
        <w:rPr>
          <w:rFonts w:ascii="IRNazanin" w:hAnsi="IRNazanin" w:eastAsia="IRNazanin" w:cs="IRNazanin"/>
          <w:lang w:bidi="fa-IR"/>
          <w:color w:val="111111"/>
          <w:sz w:val="28"/>
          <w:szCs w:val="28"/>
          <w:rtl/>
        </w:rPr>
        <w:t xml:space="preserve">پیر آگاه دل خلیل الله *** بود اسم مبارک ابراهیم /</w:t>
      </w:r>
    </w:p>
    <w:p>
      <w:pPr>
        <w:pStyle w:val="BookText"/>
      </w:pPr>
      <w:r>
        <w:rPr>
          <w:rFonts w:ascii="IRNazanin" w:hAnsi="IRNazanin" w:eastAsia="IRNazanin" w:cs="IRNazanin"/>
          <w:lang w:bidi="fa-IR"/>
          <w:color w:val="111111"/>
          <w:sz w:val="28"/>
          <w:szCs w:val="28"/>
          <w:rtl/>
        </w:rPr>
        <w:t xml:space="preserve">کرد او را ندای ایتونی *** از جهان فضا خدای کریم /</w:t>
      </w:r>
    </w:p>
    <w:p>
      <w:pPr>
        <w:pStyle w:val="BookText"/>
      </w:pPr>
      <w:r>
        <w:rPr>
          <w:rFonts w:ascii="IRNazanin" w:hAnsi="IRNazanin" w:eastAsia="IRNazanin" w:cs="IRNazanin"/>
          <w:lang w:bidi="fa-IR"/>
          <w:color w:val="111111"/>
          <w:sz w:val="28"/>
          <w:szCs w:val="28"/>
          <w:rtl/>
        </w:rPr>
        <w:t xml:space="preserve">کرد رحلت ز صدمه اش يكسر *** گشت دلها برنگ پسته دو نیم/</w:t>
      </w:r>
    </w:p>
    <w:p>
      <w:pPr>
        <w:pStyle w:val="BookText"/>
      </w:pPr>
      <w:r>
        <w:rPr>
          <w:rFonts w:ascii="IRNazanin" w:hAnsi="IRNazanin" w:eastAsia="IRNazanin" w:cs="IRNazanin"/>
          <w:lang w:bidi="fa-IR"/>
          <w:color w:val="111111"/>
          <w:sz w:val="28"/>
          <w:szCs w:val="28"/>
          <w:rtl/>
        </w:rPr>
        <w:t xml:space="preserve">جوش دریای غم تلاطم کرد *** بهر سالش حيا به قلب سلیم /</w:t>
      </w:r>
    </w:p>
    <w:p>
      <w:pPr>
        <w:pStyle w:val="BookText"/>
      </w:pPr>
      <w:r>
        <w:rPr>
          <w:rFonts w:ascii="IRNazanin" w:hAnsi="IRNazanin" w:eastAsia="IRNazanin" w:cs="IRNazanin"/>
          <w:lang w:bidi="fa-IR"/>
          <w:color w:val="111111"/>
          <w:sz w:val="28"/>
          <w:szCs w:val="28"/>
          <w:rtl/>
        </w:rPr>
        <w:t xml:space="preserve">از بکا گفت ملهم فیاض *** جای آسودنش ریاض نعیم.</w:t>
      </w:r>
    </w:p>
    <w:p>
      <w:pPr>
        <w:pStyle w:val="BookText"/>
      </w:pPr>
      <w:r>
        <w:rPr>
          <w:rFonts w:ascii="IRNazanin" w:hAnsi="IRNazanin" w:eastAsia="IRNazanin" w:cs="IRNazanin"/>
          <w:lang w:bidi="fa-IR"/>
          <w:color w:val="111111"/>
          <w:sz w:val="28"/>
          <w:szCs w:val="28"/>
          <w:rtl/>
        </w:rPr>
        <w:t xml:space="preserve">خط: نستعلیق، بی کا، تا: قرن ۱۳ و ۱۴؛ کاغذ: هندی رنگارنگ، ۲۶ص، ۱۱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 ۲۰سم (ف: ۱۷-۱۲]</w:t>
      </w:r>
    </w:p>
    <w:p>
      <w:pPr>
        <w:pStyle w:val="Heading3"/>
      </w:pPr>
      <w:bookmarkStart w:id="2264" w:name="_Toc1524"/>
      <w:r>
        <w:t>•تاریخ حیات لرد کلیو / تاریخ / فارسی</w:t>
      </w:r>
      <w:bookmarkEnd w:id="2264"/>
    </w:p>
    <w:p>
      <w:pPr>
        <w:pStyle w:val="BookText"/>
      </w:pPr>
      <w:r>
        <w:rPr>
          <w:rFonts w:ascii="Times New Roman" w:hAnsi="Times New Roman" w:eastAsia="Times New Roman" w:cs="Times New Roman"/>
          <w:lang w:val="en-US" w:bidi="en-US"/>
          <w:color w:val="111111"/>
          <w:sz w:val="28"/>
          <w:szCs w:val="28"/>
          <w:rtl/>
        </w:rPr>
        <w:t xml:space="preserve">tārīx-e hayāt-e lord kelīv</w:t>
      </w:r>
    </w:p>
    <w:p>
      <w:pPr>
        <w:pStyle w:val="BookText"/>
      </w:pPr>
      <w:r>
        <w:rPr>
          <w:rFonts w:ascii="IRNazanin" w:hAnsi="IRNazanin" w:eastAsia="IRNazanin" w:cs="IRNazanin"/>
          <w:lang w:bidi="fa-IR"/>
          <w:color w:val="111111"/>
          <w:sz w:val="28"/>
          <w:szCs w:val="28"/>
          <w:rtl/>
        </w:rPr>
        <w:t xml:space="preserve">ملكم، جان، ۱۷۶۹-۱۸۳۳ میلادی</w:t>
      </w:r>
    </w:p>
    <w:p>
      <w:pPr>
        <w:pStyle w:val="BookText"/>
      </w:pPr>
      <w:r>
        <w:rPr>
          <w:rFonts w:ascii="Times New Roman" w:hAnsi="Times New Roman" w:eastAsia="Times New Roman" w:cs="Times New Roman"/>
          <w:lang w:val="en-US" w:bidi="en-US"/>
          <w:color w:val="111111"/>
          <w:sz w:val="28"/>
          <w:szCs w:val="28"/>
          <w:rtl/>
        </w:rPr>
        <w:t xml:space="preserve">malkom, jan (1769-1833)</w:t>
      </w:r>
    </w:p>
    <w:p>
      <w:pPr>
        <w:pStyle w:val="BookText"/>
      </w:pPr>
      <w:r>
        <w:rPr>
          <w:rFonts w:ascii="IRNazanin" w:hAnsi="IRNazanin" w:eastAsia="IRNazanin" w:cs="IRNazanin"/>
          <w:lang w:bidi="fa-IR"/>
          <w:color w:val="111111"/>
          <w:sz w:val="28"/>
          <w:szCs w:val="28"/>
          <w:rtl/>
        </w:rPr>
        <w:t xml:space="preserve">مترجم: صحافباشی ، اسماعیل بن ابراهیم، قرن ۱۳ق</w:t>
      </w:r>
    </w:p>
    <w:p>
      <w:pPr>
        <w:pStyle w:val="BookText"/>
      </w:pPr>
      <w:r>
        <w:rPr>
          <w:rFonts w:ascii="IRNazanin" w:hAnsi="IRNazanin" w:eastAsia="IRNazanin" w:cs="IRNazanin"/>
          <w:lang w:bidi="fa-IR"/>
          <w:color w:val="111111"/>
          <w:sz w:val="28"/>
          <w:szCs w:val="28"/>
          <w:rtl/>
        </w:rPr>
        <w:t xml:space="preserve">هند گردید. این تاریخ به وسیله ارال آف پویس از روی روزنامه های داخلی تدوین و توسط سرجان ملکم تأليف گردیده و ماکولی در سال ۱۳۸۶ ق آن را حک و اصلاح نموده است. این تاریخ به صورت رمان برگزار شده و توسط اسماعیل فرزند صحاف باشی دولت علیه ایران به فارسی ترجمه شده است.</w:t>
      </w:r>
    </w:p>
    <w:p>
      <w:pPr>
        <w:pStyle w:val="BookText"/>
      </w:pPr>
      <w:r>
        <w:rPr>
          <w:rFonts w:ascii="IRNazanin" w:hAnsi="IRNazanin" w:eastAsia="IRNazanin" w:cs="IRNazanin"/>
          <w:lang w:bidi="fa-IR"/>
          <w:color w:val="111111"/>
          <w:sz w:val="28"/>
          <w:szCs w:val="28"/>
          <w:rtl/>
        </w:rPr>
        <w:t xml:space="preserve">تهران؛ مجلس؛ شماره نسخه: ۷۶۹۰</w:t>
      </w:r>
    </w:p>
    <w:p>
      <w:pPr>
        <w:pStyle w:val="BookText"/>
      </w:pPr>
      <w:r>
        <w:rPr>
          <w:rFonts w:ascii="IRNazanin" w:hAnsi="IRNazanin" w:eastAsia="IRNazanin" w:cs="IRNazanin"/>
          <w:lang w:bidi="fa-IR"/>
          <w:color w:val="111111"/>
          <w:sz w:val="28"/>
          <w:szCs w:val="28"/>
          <w:rtl/>
        </w:rPr>
        <w:t xml:space="preserve">آغاز: تاریخ حیات لرد کلیو را که سبب استیلای انگلیس شد بر هند ارال آف پویس از روی روزنامجات داخله تدوین و سرجان ملكم تأليف و ماكولى سنه ۱۳۸۶ حک</w:t>
      </w:r>
    </w:p>
    <w:p>
      <w:pPr>
        <w:pStyle w:val="BookText"/>
      </w:pPr>
      <w:r>
        <w:rPr>
          <w:rFonts w:ascii="IRNazanin" w:hAnsi="IRNazanin" w:eastAsia="IRNazanin" w:cs="IRNazanin"/>
          <w:lang w:bidi="fa-IR"/>
          <w:color w:val="111111"/>
          <w:sz w:val="28"/>
          <w:szCs w:val="28"/>
          <w:rtl/>
        </w:rPr>
        <w:t xml:space="preserve">و اصلاح نموده، می نگارد؛ انجام: که فرانسویان به ترکت می گذارد بوی ارزانی دارد و هم حصه از آن عزت و حرمت که آخرین سلسله هنود به تمثال لرد ویلیام بنتیک می نمودند بوی بکنند. خط: نستعلیق، بی کا، بی تا؛ بی کا، بی تا؛ جلد: تیماج قرمز مذهب، ۱۱۴گ، ۱۱ سطر،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۲۶-۱۸۵]</w:t>
      </w:r>
    </w:p>
    <w:p>
      <w:pPr>
        <w:pStyle w:val="Heading3"/>
      </w:pPr>
      <w:bookmarkStart w:id="2265" w:name="_Toc1525"/>
      <w:r>
        <w:t>•تاریخ حیات و ممات پادشاهان صفویه / تاریخ ایران / فارسی</w:t>
      </w:r>
      <w:bookmarkEnd w:id="2265"/>
    </w:p>
    <w:p>
      <w:pPr>
        <w:pStyle w:val="BookText"/>
      </w:pPr>
      <w:r>
        <w:rPr>
          <w:rFonts w:ascii="Times New Roman" w:hAnsi="Times New Roman" w:eastAsia="Times New Roman" w:cs="Times New Roman"/>
          <w:lang w:val="en-US" w:bidi="en-US"/>
          <w:color w:val="111111"/>
          <w:sz w:val="28"/>
          <w:szCs w:val="28"/>
          <w:rtl/>
        </w:rPr>
        <w:t xml:space="preserve">tārīx-e hayāt va mamāt-e pādešāhān-e safavīye</w:t>
      </w:r>
    </w:p>
    <w:p>
      <w:pPr>
        <w:pStyle w:val="BookText"/>
      </w:pPr>
      <w:r>
        <w:rPr>
          <w:rFonts w:ascii="IRNazanin" w:hAnsi="IRNazanin" w:eastAsia="IRNazanin" w:cs="IRNazanin"/>
          <w:lang w:bidi="fa-IR"/>
          <w:color w:val="111111"/>
          <w:sz w:val="28"/>
          <w:szCs w:val="28"/>
          <w:rtl/>
        </w:rPr>
        <w:t xml:space="preserve">ذوالقدر، خلیل، ق ۱۱ قمری</w:t>
      </w:r>
    </w:p>
    <w:p>
      <w:pPr>
        <w:pStyle w:val="BookText"/>
      </w:pPr>
      <w:r>
        <w:rPr>
          <w:rFonts w:ascii="Times New Roman" w:hAnsi="Times New Roman" w:eastAsia="Times New Roman" w:cs="Times New Roman"/>
          <w:lang w:val="en-US" w:bidi="en-US"/>
          <w:color w:val="111111"/>
          <w:sz w:val="28"/>
          <w:szCs w:val="28"/>
          <w:rtl/>
        </w:rPr>
        <w:t xml:space="preserve">Z0-1-qadr, Xalil (-17c)</w:t>
      </w:r>
    </w:p>
    <w:p>
      <w:pPr>
        <w:pStyle w:val="BookText"/>
      </w:pPr>
      <w:r>
        <w:rPr>
          <w:rFonts w:ascii="IRNazanin" w:hAnsi="IRNazanin" w:eastAsia="IRNazanin" w:cs="IRNazanin"/>
          <w:lang w:bidi="fa-IR"/>
          <w:color w:val="111111"/>
          <w:sz w:val="28"/>
          <w:szCs w:val="28"/>
          <w:rtl/>
        </w:rPr>
        <w:t xml:space="preserve">لیست کوتاهی از سال ولادت و جلوس و وفات پادشاهان صفوی است.</w:t>
      </w:r>
    </w:p>
    <w:p>
      <w:pPr>
        <w:pStyle w:val="BookText"/>
      </w:pPr>
      <w:r>
        <w:rPr>
          <w:rFonts w:ascii="IRNazanin" w:hAnsi="IRNazanin" w:eastAsia="IRNazanin" w:cs="IRNazanin"/>
          <w:lang w:bidi="fa-IR"/>
          <w:color w:val="111111"/>
          <w:sz w:val="28"/>
          <w:szCs w:val="28"/>
          <w:rtl/>
        </w:rPr>
        <w:t xml:space="preserve">تهران؛ مجلس؛ شماره نسخه: ۸۹۴۸/۲۰</w:t>
      </w:r>
    </w:p>
    <w:p>
      <w:pPr>
        <w:pStyle w:val="BookText"/>
      </w:pPr>
      <w:r>
        <w:rPr>
          <w:rFonts w:ascii="IRNazanin" w:hAnsi="IRNazanin" w:eastAsia="IRNazanin" w:cs="IRNazanin"/>
          <w:lang w:bidi="fa-IR"/>
          <w:color w:val="111111"/>
          <w:sz w:val="28"/>
          <w:szCs w:val="28"/>
          <w:rtl/>
        </w:rPr>
        <w:t xml:space="preserve">خط: نستعلیق شکسته، کاتب = مؤلف، تا: حدود ۱۰۵۴ق، جا: احمد آباد گجرات؛ کاغذ: الوان آهار مهره، جلد: تیماج قهوه ای ضربی با ترنج و سرترنج، ۲گ (۲۵۶پ - ۲۵۷ر)، اندازه:</w:t>
      </w:r>
    </w:p>
    <w:p>
      <w:pPr>
        <w:pStyle w:val="BookText"/>
      </w:pPr>
      <w:r>
        <w:rPr>
          <w:rFonts w:ascii="IRNazanin" w:hAnsi="IRNazanin" w:eastAsia="IRNazanin" w:cs="IRNazanin"/>
          <w:lang w:bidi="fa-IR"/>
          <w:color w:val="111111"/>
          <w:sz w:val="28"/>
          <w:szCs w:val="28"/>
          <w:rtl/>
        </w:rPr>
        <w:t xml:space="preserve">۲۶/۴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۱۴/۴ سم [ف: ۲۹/۱ -۴۴۱]</w:t>
      </w:r>
    </w:p>
    <w:p>
      <w:pPr>
        <w:pStyle w:val="BookText"/>
      </w:pPr>
      <w:r>
        <w:rPr>
          <w:rFonts w:ascii="IRNazanin" w:hAnsi="IRNazanin" w:eastAsia="IRNazanin" w:cs="IRNazanin"/>
          <w:lang w:bidi="fa-IR"/>
          <w:color w:val="111111"/>
          <w:sz w:val="28"/>
          <w:szCs w:val="28"/>
          <w:rtl/>
        </w:rPr>
        <w:t xml:space="preserve">← تاریخ حیدری← زبدة التواریخ</w:t>
      </w:r>
    </w:p>
    <w:p>
      <w:pPr>
        <w:pStyle w:val="Heading3"/>
      </w:pPr>
      <w:bookmarkStart w:id="2266" w:name="_Toc1526"/>
      <w:r>
        <w:t>•تاریخ حیدری = زبدة التواریخ = مجمع التواریخ / تاریخ جهان / فارسی</w:t>
      </w:r>
      <w:bookmarkEnd w:id="2266"/>
    </w:p>
    <w:p>
      <w:pPr>
        <w:pStyle w:val="BookText"/>
      </w:pPr>
      <w:r>
        <w:rPr>
          <w:rFonts w:ascii="Times New Roman" w:hAnsi="Times New Roman" w:eastAsia="Times New Roman" w:cs="Times New Roman"/>
          <w:lang w:val="en-US" w:bidi="en-US"/>
          <w:color w:val="111111"/>
          <w:sz w:val="28"/>
          <w:szCs w:val="28"/>
          <w:rtl/>
        </w:rPr>
        <w:t xml:space="preserve">tārīx-e heydarī = zobdat-ut tavārīx = majma'-ot tavārīx</w:t>
      </w:r>
    </w:p>
    <w:p>
      <w:pPr>
        <w:pStyle w:val="BookText"/>
      </w:pPr>
      <w:r>
        <w:rPr>
          <w:rFonts w:ascii="IRNazanin" w:hAnsi="IRNazanin" w:eastAsia="IRNazanin" w:cs="IRNazanin"/>
          <w:lang w:bidi="fa-IR"/>
          <w:color w:val="111111"/>
          <w:sz w:val="28"/>
          <w:szCs w:val="28"/>
          <w:rtl/>
        </w:rPr>
        <w:t xml:space="preserve">رازی، میر حیدر بن علی، ق ۱۱ قمری</w:t>
      </w:r>
    </w:p>
    <w:p>
      <w:pPr>
        <w:pStyle w:val="BookText"/>
      </w:pPr>
      <w:r>
        <w:rPr>
          <w:rFonts w:ascii="Times New Roman" w:hAnsi="Times New Roman" w:eastAsia="Times New Roman" w:cs="Times New Roman"/>
          <w:lang w:val="en-US" w:bidi="en-US"/>
          <w:color w:val="111111"/>
          <w:sz w:val="28"/>
          <w:szCs w:val="28"/>
          <w:rtl/>
        </w:rPr>
        <w:t xml:space="preserve">rāzī, mīrheydar ebn-e 'alī (-170)</w:t>
      </w:r>
    </w:p>
    <w:p>
      <w:pPr>
        <w:pStyle w:val="BookText"/>
      </w:pPr>
      <w:r>
        <w:rPr>
          <w:rFonts w:ascii="IRNazanin" w:hAnsi="IRNazanin" w:eastAsia="IRNazanin" w:cs="IRNazanin"/>
          <w:lang w:bidi="fa-IR"/>
          <w:color w:val="111111"/>
          <w:sz w:val="28"/>
          <w:szCs w:val="28"/>
          <w:rtl/>
        </w:rPr>
        <w:t xml:space="preserve">تاریخ تأليف: آغاز ۱۰۲۰ق (در بیست و پنج سالگی مؤلف) و انجام ۱۰۲۸ق</w:t>
      </w:r>
    </w:p>
    <w:p>
      <w:pPr>
        <w:pStyle w:val="BookText"/>
      </w:pPr>
      <w:r>
        <w:rPr>
          <w:rFonts w:ascii="IRNazanin" w:hAnsi="IRNazanin" w:eastAsia="IRNazanin" w:cs="IRNazanin"/>
          <w:lang w:bidi="fa-IR"/>
          <w:color w:val="111111"/>
          <w:sz w:val="28"/>
          <w:szCs w:val="28"/>
          <w:rtl/>
        </w:rPr>
        <w:t xml:space="preserve">تاریخ عمومی از آغاز تا روزگار نگارش. جلد دوم آن در سرگذشت فرزانگان و سرایندگان است و در ۵ «باب» است: ۱. جهان عرب، ۲. ایرانیان، ۳. آسیای مرکزی و خاوری، ۴. غرب (اروپا)، ۵-هند. (احمد منزوی)</w:t>
      </w:r>
    </w:p>
    <w:p>
      <w:pPr>
        <w:pStyle w:val="BookText"/>
      </w:pPr>
      <w:r>
        <w:rPr>
          <w:rFonts w:ascii="IRNazanin" w:hAnsi="IRNazanin" w:eastAsia="IRNazanin" w:cs="IRNazanin"/>
          <w:lang w:bidi="fa-IR"/>
          <w:color w:val="111111"/>
          <w:sz w:val="28"/>
          <w:szCs w:val="28"/>
          <w:rtl/>
        </w:rPr>
        <w:t xml:space="preserve">[فهرستواره منزوی ۶۴۶/۱ ؛ تاریخ تذکره های فارسی ۷۶۹/۲ -۷۷۲؛ نسخه های منزوی ۴۱۹۴/۶ ؛ دنا ۷۰۲/۲ ]</w:t>
      </w:r>
    </w:p>
    <w:p>
      <w:pPr>
        <w:pStyle w:val="BookText"/>
      </w:pPr>
      <w:r>
        <w:rPr>
          <w:rFonts w:ascii="IRNazanin" w:hAnsi="IRNazanin" w:eastAsia="IRNazanin" w:cs="IRNazanin"/>
          <w:lang w:bidi="fa-IR"/>
          <w:color w:val="111111"/>
          <w:sz w:val="28"/>
          <w:szCs w:val="28"/>
          <w:rtl/>
        </w:rPr>
        <w:t xml:space="preserve">۱. تهران؛ مجلس؛ شماره نسخه: ۸۸۳۹</w:t>
      </w:r>
    </w:p>
    <w:p>
      <w:pPr>
        <w:pStyle w:val="BookText"/>
      </w:pPr>
      <w:r>
        <w:rPr>
          <w:rFonts w:ascii="IRNazanin" w:hAnsi="IRNazanin" w:eastAsia="IRNazanin" w:cs="IRNazanin"/>
          <w:lang w:bidi="fa-IR"/>
          <w:color w:val="111111"/>
          <w:sz w:val="28"/>
          <w:szCs w:val="28"/>
          <w:rtl/>
        </w:rPr>
        <w:t xml:space="preserve">آغاز: باب دویم ذکر ملوک عجم و سلطنت کیامرث. پوشیده نماند که مؤیدان عجم را گمان آن است که مدتی مدید و عهدی بعيد عالم از فرمان فرمای خالی بود. آخر مردم کیامرث را بر خود پادشاه ساختند؛ انجام: بعد از هفت سال که حکومت کرد خوارزم شاهیان بر خراسان مستولی شدند و دولت از آن سلطنت بیرون رفت. ذکر حکومت هلاکو خان و اولادش در ایران باب دوم (سلسه های ایرانی)؛ خط: نسخ، بی کا، تا: قرن ۱۲؛ افتادگی: انجام؛ مجدول به شنگرف و لاجورد، کمنددار، مصحح؛ کاغذ: فرنگی نازک نخودی آهار مهره، جلد: روغنی زمینه مشکی با ترنج و سرترنج، ۲۱۲ گ، ۳۵سطر ( ۲۴/۵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 اندازه: ۳۴/۱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۲۱/۸ سم [ف: ۲۹/۱ -۸۴]</w:t>
      </w:r>
    </w:p>
    <w:p>
      <w:pPr>
        <w:pStyle w:val="BookText"/>
      </w:pPr>
      <w:r>
        <w:rPr>
          <w:rFonts w:ascii="IRNazanin" w:hAnsi="IRNazanin" w:eastAsia="IRNazanin" w:cs="IRNazanin"/>
          <w:lang w:bidi="fa-IR"/>
          <w:color w:val="111111"/>
          <w:sz w:val="28"/>
          <w:szCs w:val="28"/>
          <w:rtl/>
        </w:rPr>
        <w:t xml:space="preserve">۲. تهران، دانشگاه؛ شماره نسخه: ۵۸۴۲</w:t>
      </w:r>
    </w:p>
    <w:p>
      <w:pPr>
        <w:pStyle w:val="BookText"/>
      </w:pPr>
      <w:r>
        <w:rPr>
          <w:rFonts w:ascii="IRNazanin" w:hAnsi="IRNazanin" w:eastAsia="IRNazanin" w:cs="IRNazanin"/>
          <w:lang w:bidi="fa-IR"/>
          <w:color w:val="111111"/>
          <w:sz w:val="28"/>
          <w:szCs w:val="28"/>
          <w:rtl/>
        </w:rPr>
        <w:t xml:space="preserve">خط: نستعلیق، بی کا، تا: قرن ۱۲؛ کامل کرده سعید نفیسی از روی نسخه مجلس و با فهرست او؛ کاغذ: مقوایی، جلد: تیماج مشکی، ۷۱۶گ، ۲۵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۱۶-۱۰۴]</w:t>
      </w:r>
    </w:p>
    <w:p>
      <w:pPr>
        <w:pStyle w:val="BookText"/>
      </w:pPr>
      <w:r>
        <w:rPr>
          <w:rFonts w:ascii="IRNazanin" w:hAnsi="IRNazanin" w:eastAsia="IRNazanin" w:cs="IRNazanin"/>
          <w:lang w:bidi="fa-IR"/>
          <w:color w:val="111111"/>
          <w:sz w:val="28"/>
          <w:szCs w:val="28"/>
          <w:rtl/>
        </w:rPr>
        <w:t xml:space="preserve">٣. تهران؛ دانشگاه؛ شماره نسخه:۶۵۷۳</w:t>
      </w:r>
    </w:p>
    <w:p>
      <w:pPr>
        <w:pStyle w:val="BookText"/>
      </w:pPr>
      <w:r>
        <w:rPr>
          <w:rFonts w:ascii="IRNazanin" w:hAnsi="IRNazanin" w:eastAsia="IRNazanin" w:cs="IRNazanin"/>
          <w:lang w:bidi="fa-IR"/>
          <w:color w:val="111111"/>
          <w:sz w:val="28"/>
          <w:szCs w:val="28"/>
          <w:rtl/>
        </w:rPr>
        <w:t xml:space="preserve">خط: نسخ، بی کا، تا: ۹ ربيع الاول ۱۲۷۱ق؛ افتادگی: آغاز؛ مجدول؛ کاغذ: فرنگی، جلد: گالینگور، ۱۴۹گ، ۳۶ سطر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[ف: ۱۶-۳۰۰]</w:t>
      </w:r>
    </w:p>
    <w:p>
      <w:pPr>
        <w:pStyle w:val="BookText"/>
      </w:pPr>
      <w:r>
        <w:rPr>
          <w:rFonts w:ascii="IRNazanin" w:hAnsi="IRNazanin" w:eastAsia="IRNazanin" w:cs="IRNazanin"/>
          <w:lang w:bidi="fa-IR"/>
          <w:color w:val="111111"/>
          <w:sz w:val="28"/>
          <w:szCs w:val="28"/>
          <w:rtl/>
        </w:rPr>
        <w:t xml:space="preserve">۴. تهران، دانشگاه، شماره نسخه: ۲۷۷۰-ف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458" w:name="pg20363_209764"/>
    <w:bookmarkEnd w:id="458"/>
    <w:p>
      <w:pPr>
        <w:pStyle w:val="BookText"/>
      </w:pPr>
      <w:r>
        <w:rPr>
          <w:rFonts w:ascii="IRNazanin" w:hAnsi="IRNazanin" w:eastAsia="IRNazanin" w:cs="IRNazanin"/>
          <w:lang w:bidi="fa-IR"/>
          <w:color w:val="111111"/>
          <w:sz w:val="28"/>
          <w:szCs w:val="28"/>
          <w:rtl/>
        </w:rPr>
        <w:t xml:space="preserve">بی کا، بی تا؛ کتابخانه سعید نفیسی ش</w:t>
      </w:r>
    </w:p>
    <w:p>
      <w:pPr>
        <w:pStyle w:val="BookText"/>
      </w:pPr>
      <w:r>
        <w:rPr>
          <w:rFonts w:ascii="Amiri" w:hAnsi="Amiri" w:eastAsia="Amiri" w:cs="Amiri"/>
          <w:lang w:bidi="ar-SA"/>
          <w:color w:val="111111"/>
          <w:sz w:val="28"/>
          <w:szCs w:val="28"/>
          <w:rtl/>
        </w:rPr>
        <w:t xml:space="preserve">۳۴۴ [فيلمها ف: ۱-۳۳]</w:t>
      </w:r>
    </w:p>
    <w:p>
      <w:pPr>
        <w:pStyle w:val="BookText"/>
      </w:pPr>
      <w:r>
        <w:rPr>
          <w:rFonts w:ascii="IRNazanin" w:hAnsi="IRNazanin" w:eastAsia="IRNazanin" w:cs="IRNazanin"/>
          <w:lang w:bidi="fa-IR"/>
          <w:color w:val="111111"/>
          <w:sz w:val="28"/>
          <w:szCs w:val="28"/>
          <w:rtl/>
        </w:rPr>
        <w:t xml:space="preserve">←تاریخ خاجهانی و مخزن افغانی ← مرآت الافاغنه</w:t>
      </w:r>
    </w:p>
    <w:p>
      <w:pPr>
        <w:pStyle w:val="Heading3"/>
      </w:pPr>
      <w:bookmarkStart w:id="2267" w:name="_Toc1527"/>
      <w:r>
        <w:t>•تاریخ خاندان حکمت / تاریخ / فارسی</w:t>
      </w:r>
      <w:bookmarkEnd w:id="2267"/>
    </w:p>
    <w:p>
      <w:pPr>
        <w:pStyle w:val="BookText"/>
      </w:pPr>
      <w:r>
        <w:rPr>
          <w:rFonts w:ascii="Times New Roman" w:hAnsi="Times New Roman" w:eastAsia="Times New Roman" w:cs="Times New Roman"/>
          <w:lang w:val="en-US" w:bidi="en-US"/>
          <w:color w:val="111111"/>
          <w:sz w:val="28"/>
          <w:szCs w:val="28"/>
          <w:rtl/>
        </w:rPr>
        <w:t xml:space="preserve">tarix-e xandan-e hekmat</w:t>
      </w:r>
    </w:p>
    <w:p>
      <w:pPr>
        <w:pStyle w:val="BookText"/>
      </w:pPr>
      <w:r>
        <w:rPr>
          <w:rFonts w:ascii="IRNazanin" w:hAnsi="IRNazanin" w:eastAsia="IRNazanin" w:cs="IRNazanin"/>
          <w:lang w:bidi="fa-IR"/>
          <w:color w:val="111111"/>
          <w:sz w:val="28"/>
          <w:szCs w:val="28"/>
          <w:rtl/>
        </w:rPr>
        <w:t xml:space="preserve">جابری انصاری، حسن بن على، ۱۲۸۷-۱۳۷۶ قمری</w:t>
      </w:r>
    </w:p>
    <w:p>
      <w:pPr>
        <w:pStyle w:val="BookText"/>
      </w:pPr>
      <w:r>
        <w:rPr>
          <w:rFonts w:ascii="Times New Roman" w:hAnsi="Times New Roman" w:eastAsia="Times New Roman" w:cs="Times New Roman"/>
          <w:lang w:val="en-US" w:bidi="en-US"/>
          <w:color w:val="111111"/>
          <w:sz w:val="28"/>
          <w:szCs w:val="28"/>
          <w:rtl/>
        </w:rPr>
        <w:t xml:space="preserve">jāberī ansārī, hasan ebn-e ‘alī (1870-1957)</w:t>
      </w:r>
    </w:p>
    <w:p>
      <w:pPr>
        <w:pStyle w:val="BookText"/>
      </w:pPr>
      <w:r>
        <w:rPr>
          <w:rFonts w:ascii="IRNazanin" w:hAnsi="IRNazanin" w:eastAsia="IRNazanin" w:cs="IRNazanin"/>
          <w:lang w:bidi="fa-IR"/>
          <w:color w:val="111111"/>
          <w:sz w:val="28"/>
          <w:szCs w:val="28"/>
          <w:rtl/>
        </w:rPr>
        <w:t xml:space="preserve">مشهد؛ رضوی؛ شماره نسخه:۸۹۲۵</w:t>
      </w:r>
    </w:p>
    <w:p>
      <w:pPr>
        <w:pStyle w:val="BookText"/>
      </w:pPr>
      <w:r>
        <w:rPr>
          <w:rFonts w:ascii="IRNazanin" w:hAnsi="IRNazanin" w:eastAsia="IRNazanin" w:cs="IRNazanin"/>
          <w:lang w:bidi="fa-IR"/>
          <w:color w:val="111111"/>
          <w:sz w:val="28"/>
          <w:szCs w:val="28"/>
          <w:rtl/>
        </w:rPr>
        <w:t xml:space="preserve">آغاز: بنام بخشنده مهربان، مجملی از ماثر خاندان تیمسار هنرپرور جناب اکرم افخم؛ انجام: بتفصيل حالش را بنگارم خط: نستعلیق، کاتب =مؤلف، تا:۱۳۱۴ق، جا:اصفهان، کاغذ: نخودی، جلد: مقوا، ابعاد متن: ۱۷۷۹،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[الفبائی: ۹۸]</w:t>
      </w:r>
    </w:p>
    <w:p>
      <w:pPr>
        <w:pStyle w:val="BookText"/>
      </w:pPr>
      <w:r>
        <w:rPr>
          <w:rFonts w:ascii="IRNazanin" w:hAnsi="IRNazanin" w:eastAsia="IRNazanin" w:cs="IRNazanin"/>
          <w:lang w:bidi="fa-IR"/>
          <w:color w:val="111111"/>
          <w:sz w:val="28"/>
          <w:szCs w:val="28"/>
          <w:rtl/>
        </w:rPr>
        <w:t xml:space="preserve">تاریخ خاندان صفویه / تاریخ پادشاهان / فارسی</w:t>
      </w:r>
    </w:p>
    <w:p>
      <w:pPr>
        <w:pStyle w:val="BookText"/>
      </w:pPr>
      <w:r>
        <w:rPr>
          <w:rFonts w:ascii="Times New Roman" w:hAnsi="Times New Roman" w:eastAsia="Times New Roman" w:cs="Times New Roman"/>
          <w:lang w:val="en-US" w:bidi="en-US"/>
          <w:color w:val="111111"/>
          <w:sz w:val="28"/>
          <w:szCs w:val="28"/>
          <w:rtl/>
        </w:rPr>
        <w:t xml:space="preserve">tārīx-e xāndān-e safavīye</w:t>
      </w:r>
    </w:p>
    <w:p>
      <w:pPr>
        <w:pStyle w:val="BookText"/>
      </w:pPr>
      <w:r>
        <w:rPr>
          <w:rFonts w:ascii="IRNazanin" w:hAnsi="IRNazanin" w:eastAsia="IRNazanin" w:cs="IRNazanin"/>
          <w:lang w:bidi="fa-IR"/>
          <w:color w:val="111111"/>
          <w:sz w:val="28"/>
          <w:szCs w:val="28"/>
          <w:rtl/>
        </w:rPr>
        <w:t xml:space="preserve">یزد؛ وزیری؛ شماره نسخه: ۸۸۲</w:t>
      </w:r>
    </w:p>
    <w:p>
      <w:pPr>
        <w:pStyle w:val="BookText"/>
      </w:pPr>
      <w:r>
        <w:rPr>
          <w:rFonts w:ascii="IRNazanin" w:hAnsi="IRNazanin" w:eastAsia="IRNazanin" w:cs="IRNazanin"/>
          <w:lang w:bidi="fa-IR"/>
          <w:color w:val="111111"/>
          <w:sz w:val="28"/>
          <w:szCs w:val="28"/>
          <w:rtl/>
        </w:rPr>
        <w:t xml:space="preserve">آغاز: بکاخ دماغ راه داده دیگری را بنظر در نمی آورد، و شاه دین ... در باب مهم او آغاز می شود فرمود در آن اثنا ... عطر فشانی خامه مشکين سواد در گلزار اخبار شیخ صدر الدين موسی و اولاد:شیخ صدر الملة و الدین پس از انتقال شیخ صفی الدین به بهشت برین در آن زاویه عرش پیرایه به تمهید بساط هدایت و ارشاد پرداخت ...</w:t>
      </w:r>
    </w:p>
    <w:p>
      <w:pPr>
        <w:pStyle w:val="BookText"/>
      </w:pPr>
      <w:r>
        <w:rPr>
          <w:rFonts w:ascii="IRNazanin" w:hAnsi="IRNazanin" w:eastAsia="IRNazanin" w:cs="IRNazanin"/>
          <w:lang w:bidi="fa-IR"/>
          <w:color w:val="111111"/>
          <w:sz w:val="28"/>
          <w:szCs w:val="28"/>
          <w:rtl/>
        </w:rPr>
        <w:t xml:space="preserve">بگسترد شیخ معارف پناه *** بساط بزرگانه در خانقاه؛</w:t>
      </w:r>
    </w:p>
    <w:p>
      <w:pPr>
        <w:pStyle w:val="BookText"/>
      </w:pPr>
      <w:r>
        <w:rPr>
          <w:rFonts w:ascii="IRNazanin" w:hAnsi="IRNazanin" w:eastAsia="IRNazanin" w:cs="IRNazanin"/>
          <w:lang w:bidi="fa-IR"/>
          <w:color w:val="111111"/>
          <w:sz w:val="28"/>
          <w:szCs w:val="28"/>
          <w:rtl/>
        </w:rPr>
        <w:t xml:space="preserve">انجام: و آن حضرت از جمله سادات مختاریه است و علوی نسب و سمو حسب نبی مختار ... تاریخ اعقاب صفویه است. شاید مختصر «عالم آراء» باشد؛ خط: نستعلیق، بی کا، تا: قرن ۱۲؛ افتادگی: آغاز و انجام؛ اهدایی: وزیری؛ کاغذ: سمرقندی، جلد: مقوایی با تیماج مشکی با ترنج، ۲۶۹گ، ۱۹ سطر (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۲-۷۳۲]</w:t>
      </w:r>
    </w:p>
    <w:p>
      <w:pPr>
        <w:pStyle w:val="BookText"/>
      </w:pPr>
      <w:r>
        <w:rPr>
          <w:rFonts w:ascii="IRNazanin" w:hAnsi="IRNazanin" w:eastAsia="IRNazanin" w:cs="IRNazanin"/>
          <w:lang w:bidi="fa-IR"/>
          <w:color w:val="111111"/>
          <w:sz w:val="28"/>
          <w:szCs w:val="28"/>
          <w:rtl/>
        </w:rPr>
        <w:t xml:space="preserve">← تاریخ خاندان طاهری ← جستجوی تاریخی درباره خاندان طاهری</w:t>
      </w:r>
    </w:p>
    <w:p>
      <w:pPr>
        <w:pStyle w:val="Heading3"/>
      </w:pPr>
      <w:bookmarkStart w:id="2268" w:name="_Toc1528"/>
      <w:r>
        <w:t>•تاریخ خاندان مرعشی مازندران = مشجر سادات مرعشی / انساب / فارسی</w:t>
      </w:r>
      <w:bookmarkEnd w:id="2268"/>
    </w:p>
    <w:p>
      <w:pPr>
        <w:pStyle w:val="BookText"/>
      </w:pPr>
      <w:r>
        <w:rPr>
          <w:rFonts w:ascii="Times New Roman" w:hAnsi="Times New Roman" w:eastAsia="Times New Roman" w:cs="Times New Roman"/>
          <w:lang w:val="en-US" w:bidi="en-US"/>
          <w:color w:val="111111"/>
          <w:sz w:val="28"/>
          <w:szCs w:val="28"/>
          <w:rtl/>
        </w:rPr>
        <w:t xml:space="preserve">tārīx-e xāndān-e marʻašī-ye māzandaran = mošajjar sādāt-e mar‘ašī</w:t>
      </w:r>
    </w:p>
    <w:p>
      <w:pPr>
        <w:pStyle w:val="BookText"/>
      </w:pPr>
      <w:r>
        <w:rPr>
          <w:rFonts w:ascii="IRNazanin" w:hAnsi="IRNazanin" w:eastAsia="IRNazanin" w:cs="IRNazanin"/>
          <w:lang w:bidi="fa-IR"/>
          <w:color w:val="111111"/>
          <w:sz w:val="28"/>
          <w:szCs w:val="28"/>
          <w:rtl/>
        </w:rPr>
        <w:t xml:space="preserve">فهرست مختصری شامل: گفتار در خبردار شدن میر عبد الكريم و مردم مازندران و جمعیت ایشان و امداد درویشان؛ گفتار در آمدن میر مقل ترکمان با خیل و حشم به مازندران و نهیب و غارت نمودن؛ گفتار در ذکر خروج درویشان و آوردن سید عبد الكريم و سید ابراهیم آملی نوبت دیگر؛ گفتار در حکومت میر زین العابدین و قضیه سانحه او و جلوس میر شمس الدين به مسند سلطنت در شهور سنه اربع و تسعين و ثمانمائه؛ گفتار در بیان سلطنت میر سمي الدين و وقایع زمان حکومت او؛ گفتار در وقایعی که از زمان میر شمس الدین سانح گردید و آمدن میر عبد الكريم نوبت دیگر به مازندران ...</w:t>
      </w:r>
    </w:p>
    <w:p>
      <w:pPr>
        <w:pStyle w:val="BookText"/>
      </w:pPr>
      <w:r>
        <w:rPr>
          <w:rFonts w:ascii="IRNazanin" w:hAnsi="IRNazanin" w:eastAsia="IRNazanin" w:cs="IRNazanin"/>
          <w:lang w:bidi="fa-IR"/>
          <w:color w:val="111111"/>
          <w:sz w:val="28"/>
          <w:szCs w:val="28"/>
          <w:rtl/>
        </w:rPr>
        <w:t xml:space="preserve">چاپ: چاپ بنیاد فرهنگ</w:t>
      </w:r>
    </w:p>
    <w:p>
      <w:pPr>
        <w:pStyle w:val="BookText"/>
      </w:pPr>
      <w:r>
        <w:rPr>
          <w:rFonts w:ascii="IRNazanin" w:hAnsi="IRNazanin" w:eastAsia="IRNazanin" w:cs="IRNazanin"/>
          <w:lang w:bidi="fa-IR"/>
          <w:color w:val="111111"/>
          <w:sz w:val="28"/>
          <w:szCs w:val="28"/>
          <w:rtl/>
        </w:rPr>
        <w:t xml:space="preserve">یزد؛ وزیری؛ شماره نسخه: ۶۴۲/۱</w:t>
      </w:r>
    </w:p>
    <w:p>
      <w:pPr>
        <w:pStyle w:val="BookText"/>
      </w:pPr>
      <w:r>
        <w:rPr>
          <w:rFonts w:ascii="IRNazanin" w:hAnsi="IRNazanin" w:eastAsia="IRNazanin" w:cs="IRNazanin"/>
          <w:lang w:bidi="fa-IR"/>
          <w:color w:val="111111"/>
          <w:sz w:val="28"/>
          <w:szCs w:val="28"/>
          <w:rtl/>
        </w:rPr>
        <w:t xml:space="preserve">آغاز: بسمله و به ثقتی، شاداب ترین گلی که در چمن فصاحت و بیان و خوشاب ترین لؤلؤي که در بحر بلاغت و تبیان؛ انجام: پدر چون قرض بسیار و کلفت بسیار داشت و مدار خود را در اردوی معلی به لیت و لعل می گذرانید و قادر بر چیزی نبود لمحه سر در پیش انداخته و به دریای. خط: نستعلیق، کا: ابو تراب بن تيمور ابن ...، تا: قرن ۱۲؛ انجام؛ اهدایی: وزیری؛ کاغذ: ترمه، جلد: تیماج تریاکی، ۱۸۲گ (۱۸۲-۱ )، ۱۸ سطر (۱۱/۵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۱۹/۵)،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۲-۵۴۷]</w:t>
      </w:r>
    </w:p>
    <w:p>
      <w:pPr>
        <w:pStyle w:val="BookText"/>
      </w:pPr>
      <w:r>
        <w:rPr>
          <w:rFonts w:ascii="IRNazanin" w:hAnsi="IRNazanin" w:eastAsia="IRNazanin" w:cs="IRNazanin"/>
          <w:lang w:bidi="fa-IR"/>
          <w:color w:val="111111"/>
          <w:sz w:val="28"/>
          <w:szCs w:val="28"/>
          <w:rtl/>
        </w:rPr>
        <w:t xml:space="preserve">تهران؛ دانشگاه؛ شماره نسخه: ۴۶۰۱/۱ -ف</w:t>
      </w:r>
    </w:p>
    <w:p>
      <w:pPr>
        <w:pStyle w:val="BookText"/>
      </w:pPr>
      <w:r>
        <w:rPr>
          <w:rFonts w:ascii="Amiri" w:hAnsi="Amiri" w:eastAsia="Amiri" w:cs="Amiri"/>
          <w:lang w:bidi="ar-SA"/>
          <w:color w:val="111111"/>
          <w:sz w:val="28"/>
          <w:szCs w:val="28"/>
          <w:rtl/>
        </w:rPr>
        <w:t xml:space="preserve">نسخه اصل: همان نسخه بالا [فيلمها ف: ۳-۷۷]</w:t>
      </w:r>
    </w:p>
    <w:p>
      <w:pPr>
        <w:pStyle w:val="Heading3"/>
      </w:pPr>
      <w:bookmarkStart w:id="2269" w:name="_Toc1529"/>
      <w:r>
        <w:t>•تاریخ خانی / تاریخ / فارسی</w:t>
      </w:r>
      <w:bookmarkEnd w:id="2269"/>
    </w:p>
    <w:p>
      <w:pPr>
        <w:pStyle w:val="BookText"/>
      </w:pPr>
      <w:r>
        <w:rPr>
          <w:rFonts w:ascii="Times New Roman" w:hAnsi="Times New Roman" w:eastAsia="Times New Roman" w:cs="Times New Roman"/>
          <w:lang w:val="en-US" w:bidi="en-US"/>
          <w:color w:val="111111"/>
          <w:sz w:val="28"/>
          <w:szCs w:val="28"/>
          <w:rtl/>
        </w:rPr>
        <w:t xml:space="preserve">tārīx-e xānī</w:t>
      </w:r>
    </w:p>
    <w:p>
      <w:pPr>
        <w:pStyle w:val="BookText"/>
      </w:pPr>
      <w:r>
        <w:rPr>
          <w:rFonts w:ascii="IRNazanin" w:hAnsi="IRNazanin" w:eastAsia="IRNazanin" w:cs="IRNazanin"/>
          <w:lang w:bidi="fa-IR"/>
          <w:color w:val="111111"/>
          <w:sz w:val="28"/>
          <w:szCs w:val="28"/>
          <w:rtl/>
        </w:rPr>
        <w:t xml:space="preserve">الاهجی، علی بن شمس الدين، ق ۱۰ قمری</w:t>
      </w:r>
    </w:p>
    <w:p>
      <w:pPr>
        <w:pStyle w:val="BookText"/>
      </w:pPr>
      <w:r>
        <w:rPr>
          <w:rFonts w:ascii="Times New Roman" w:hAnsi="Times New Roman" w:eastAsia="Times New Roman" w:cs="Times New Roman"/>
          <w:lang w:val="en-US" w:bidi="en-US"/>
          <w:color w:val="111111"/>
          <w:sz w:val="28"/>
          <w:szCs w:val="28"/>
          <w:rtl/>
        </w:rPr>
        <w:t xml:space="preserve">lāhejī, ‘alī ebn-e šams-od-dīn (-160)</w:t>
      </w:r>
    </w:p>
    <w:p>
      <w:pPr>
        <w:pStyle w:val="BookText"/>
      </w:pPr>
      <w:r>
        <w:rPr>
          <w:rFonts w:ascii="IRNazanin" w:hAnsi="IRNazanin" w:eastAsia="IRNazanin" w:cs="IRNazanin"/>
          <w:lang w:bidi="fa-IR"/>
          <w:color w:val="111111"/>
          <w:sz w:val="28"/>
          <w:szCs w:val="28"/>
          <w:rtl/>
        </w:rPr>
        <w:t xml:space="preserve">اهدا به: سلطان احمد خان تاریخ تأليف: از محرم ۹۲۱ ق تا ۱۵ صفر ۹۲۲ق به نام احمد خان حسینی آخرین پادشاه گیلان که یک بار از ۹۴۳ تا ۹۷۵ق و بار دیگر از ۹۸۵ تا ۱۰۰۱ق پادشاهی کرده است. در تاریخ گیلان و مرعشیان مازندران و دانشمندان آن سرزمین. در سه «باب». .</w:t>
      </w:r>
    </w:p>
    <w:p>
      <w:pPr>
        <w:pStyle w:val="BookText"/>
      </w:pPr>
      <w:r>
        <w:rPr>
          <w:rFonts w:ascii="IRNazanin" w:hAnsi="IRNazanin" w:eastAsia="IRNazanin" w:cs="IRNazanin"/>
          <w:lang w:bidi="fa-IR"/>
          <w:color w:val="111111"/>
          <w:sz w:val="28"/>
          <w:szCs w:val="28"/>
          <w:rtl/>
        </w:rPr>
        <w:t xml:space="preserve">[دنا ۷۰۳/۲ ؛ نسخه های منزوی ۴۲۴۲.؛ فهرستواره منزوی ۸۶۲/۲ ]</w:t>
      </w:r>
    </w:p>
    <w:p>
      <w:pPr>
        <w:pStyle w:val="BookText"/>
      </w:pPr>
      <w:r>
        <w:rPr>
          <w:rFonts w:ascii="IRNazanin" w:hAnsi="IRNazanin" w:eastAsia="IRNazanin" w:cs="IRNazanin"/>
          <w:lang w:bidi="fa-IR"/>
          <w:color w:val="111111"/>
          <w:sz w:val="28"/>
          <w:szCs w:val="28"/>
          <w:rtl/>
        </w:rPr>
        <w:t xml:space="preserve">۱. تهران، مطالعات فرهنگی؛ شماره نسخه:ف ۸۹</w:t>
      </w:r>
    </w:p>
    <w:p>
      <w:pPr>
        <w:pStyle w:val="BookText"/>
      </w:pPr>
      <w:r>
        <w:rPr>
          <w:rFonts w:ascii="IRNazanin" w:hAnsi="IRNazanin" w:eastAsia="IRNazanin" w:cs="IRNazanin"/>
          <w:lang w:bidi="fa-IR"/>
          <w:color w:val="111111"/>
          <w:sz w:val="28"/>
          <w:szCs w:val="28"/>
          <w:rtl/>
        </w:rPr>
        <w:t xml:space="preserve">نسخه اصل: خاورشناسی لنینگراد ۹۴</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عکس نسخه پاریس (بلوشه ۳۰۶/۱ ش ۴۹۹) ( ۲۳۹</w:t>
      </w:r>
      <w:r>
        <w:rPr>
          <w:rFonts w:ascii="Times New Roman" w:hAnsi="Times New Roman" w:eastAsia="Times New Roman" w:cs="Times New Roman"/>
          <w:lang w:val="en-US" w:bidi="en-US"/>
          <w:color w:val="111111"/>
          <w:sz w:val="28"/>
          <w:szCs w:val="28"/>
          <w:rtl/>
        </w:rPr>
        <w:t xml:space="preserve">Sp)</w:t>
      </w:r>
      <w:r>
        <w:rPr>
          <w:rFonts w:ascii="IRNazanin" w:hAnsi="IRNazanin" w:eastAsia="IRNazanin" w:cs="IRNazanin"/>
          <w:lang w:bidi="fa-IR"/>
          <w:color w:val="111111"/>
          <w:sz w:val="28"/>
          <w:szCs w:val="28"/>
          <w:rtl/>
        </w:rPr>
        <w:t xml:space="preserve">؛ بی کا، تا: ۸ ربیع الاول ۹۷۸ق [ف: ۱۶۴]</w:t>
      </w:r>
    </w:p>
    <w:p>
      <w:pPr>
        <w:pStyle w:val="BookText"/>
      </w:pPr>
      <w:r>
        <w:rPr>
          <w:rFonts w:ascii="IRNazanin" w:hAnsi="IRNazanin" w:eastAsia="IRNazanin" w:cs="IRNazanin"/>
          <w:lang w:bidi="fa-IR"/>
          <w:color w:val="111111"/>
          <w:sz w:val="28"/>
          <w:szCs w:val="28"/>
          <w:rtl/>
        </w:rPr>
        <w:t xml:space="preserve">تهران؛ بنیاد فرهنگ ایران؛ شماره نسخه:ف ۸۹</w:t>
      </w:r>
    </w:p>
    <w:p>
      <w:pPr>
        <w:pStyle w:val="BookText"/>
      </w:pPr>
      <w:r>
        <w:rPr>
          <w:rFonts w:ascii="IRNazanin" w:hAnsi="IRNazanin" w:eastAsia="IRNazanin" w:cs="IRNazanin"/>
          <w:lang w:bidi="fa-IR"/>
          <w:color w:val="111111"/>
          <w:sz w:val="28"/>
          <w:szCs w:val="28"/>
          <w:rtl/>
        </w:rPr>
        <w:t xml:space="preserve">همان نسخه بالا [نشریه: ۱۱-۹۹۲]</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مطالعات فرهنگی؛ شماره نسخه:ف ۹۰</w:t>
      </w:r>
    </w:p>
    <w:p>
      <w:pPr>
        <w:pStyle w:val="BookText"/>
      </w:pPr>
      <w:r>
        <w:rPr>
          <w:rFonts w:ascii="IRNazanin" w:hAnsi="IRNazanin" w:eastAsia="IRNazanin" w:cs="IRNazanin"/>
          <w:lang w:bidi="fa-IR"/>
          <w:color w:val="111111"/>
          <w:sz w:val="28"/>
          <w:szCs w:val="28"/>
          <w:rtl/>
        </w:rPr>
        <w:t xml:space="preserve">خط: نستعلیق، بی کا، بی تا، ۴۹۱</w:t>
      </w:r>
      <w:r>
        <w:rPr>
          <w:rFonts w:ascii="Times New Roman" w:hAnsi="Times New Roman" w:eastAsia="Times New Roman" w:cs="Times New Roman"/>
          <w:lang w:val="en-US" w:bidi="en-US"/>
          <w:color w:val="111111"/>
          <w:sz w:val="28"/>
          <w:szCs w:val="28"/>
          <w:rtl/>
        </w:rPr>
        <w:t xml:space="preserve">C</w:t>
      </w:r>
      <w:r>
        <w:rPr>
          <w:rFonts w:ascii="IRNazanin" w:hAnsi="IRNazanin" w:eastAsia="IRNazanin" w:cs="IRNazanin"/>
          <w:lang w:bidi="fa-IR"/>
          <w:color w:val="111111"/>
          <w:sz w:val="28"/>
          <w:szCs w:val="28"/>
          <w:rtl/>
        </w:rPr>
        <w:t xml:space="preserve">، از محرم ۹۲۱ تا نیمه صفر ۹۲۲ نوشته شده است. دارای یادداشت روز شنبه ۲۱ ذیقعده ۱۱۹۹ و ۳ رجب ۱۲۵۰ [ف: ۱۶۴]</w:t>
      </w:r>
    </w:p>
    <w:p>
      <w:pPr>
        <w:pStyle w:val="BookText"/>
      </w:pPr>
      <w:r>
        <w:rPr>
          <w:rFonts w:ascii="IRNazanin" w:hAnsi="IRNazanin" w:eastAsia="IRNazanin" w:cs="IRNazanin"/>
          <w:lang w:bidi="fa-IR"/>
          <w:color w:val="111111"/>
          <w:sz w:val="28"/>
          <w:szCs w:val="28"/>
          <w:rtl/>
        </w:rPr>
        <w:t xml:space="preserve">تهران؛ بنیاد فرهنگ ایران، شماره نسخه:ف ۹۰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459" w:name="pg20363_209765"/>
    <w:bookmarkEnd w:id="459"/>
    <w:p>
      <w:pPr>
        <w:pStyle w:val="BookText"/>
      </w:pPr>
      <w:r>
        <w:rPr>
          <w:rFonts w:ascii="IRNazanin" w:hAnsi="IRNazanin" w:eastAsia="IRNazanin" w:cs="IRNazanin"/>
          <w:lang w:bidi="fa-IR"/>
          <w:color w:val="111111"/>
          <w:sz w:val="28"/>
          <w:szCs w:val="28"/>
          <w:rtl/>
        </w:rPr>
        <w:t xml:space="preserve">همان نسخه بالا [نشریه: ۱۱-۹۹۲]</w:t>
      </w:r>
    </w:p>
    <w:p>
      <w:pPr>
        <w:pStyle w:val="BookText"/>
      </w:pPr>
      <w:r>
        <w:rPr>
          <w:rFonts w:ascii="IRNazanin" w:hAnsi="IRNazanin" w:eastAsia="IRNazanin" w:cs="IRNazanin"/>
          <w:lang w:bidi="fa-IR"/>
          <w:color w:val="111111"/>
          <w:sz w:val="28"/>
          <w:szCs w:val="28"/>
          <w:rtl/>
        </w:rPr>
        <w:t xml:space="preserve">به تاریخ خرابی دهلی به وقایع خرابی دهلی</w:t>
      </w:r>
    </w:p>
    <w:p>
      <w:pPr>
        <w:pStyle w:val="Heading3"/>
      </w:pPr>
      <w:bookmarkStart w:id="2270" w:name="_Toc1530"/>
      <w:r>
        <w:t>• تاریخ خراسان / تاریخ / فارسی</w:t>
      </w:r>
      <w:bookmarkEnd w:id="2270"/>
    </w:p>
    <w:p>
      <w:pPr>
        <w:pStyle w:val="BookText"/>
      </w:pPr>
      <w:r>
        <w:rPr>
          <w:rFonts w:ascii="Times New Roman" w:hAnsi="Times New Roman" w:eastAsia="Times New Roman" w:cs="Times New Roman"/>
          <w:lang w:val="en-US" w:bidi="en-US"/>
          <w:color w:val="111111"/>
          <w:sz w:val="28"/>
          <w:szCs w:val="28"/>
          <w:rtl/>
        </w:rPr>
        <w:t xml:space="preserve">tārīx-e xorāsān</w:t>
      </w:r>
    </w:p>
    <w:p>
      <w:pPr>
        <w:pStyle w:val="BookText"/>
      </w:pPr>
      <w:r>
        <w:rPr>
          <w:rFonts w:ascii="IRNazanin" w:hAnsi="IRNazanin" w:eastAsia="IRNazanin" w:cs="IRNazanin"/>
          <w:lang w:bidi="fa-IR"/>
          <w:color w:val="111111"/>
          <w:sz w:val="28"/>
          <w:szCs w:val="28"/>
          <w:rtl/>
        </w:rPr>
        <w:t xml:space="preserve">مشهد رضوی؛ شماره نسخه:۱۵۸۵۰</w:t>
      </w:r>
    </w:p>
    <w:p>
      <w:pPr>
        <w:pStyle w:val="BookText"/>
      </w:pPr>
      <w:r>
        <w:rPr>
          <w:rFonts w:ascii="IRNazanin" w:hAnsi="IRNazanin" w:eastAsia="IRNazanin" w:cs="IRNazanin"/>
          <w:lang w:bidi="fa-IR"/>
          <w:color w:val="111111"/>
          <w:sz w:val="28"/>
          <w:szCs w:val="28"/>
          <w:rtl/>
        </w:rPr>
        <w:t xml:space="preserve">آغاز: و (بغلان) و (والحج) و بدخشان؛ انجام: در ماه رجب به مشهد معاودت نمود ناقص؛ خط: نستعلیق تحریری، کا: معارق (احتمالا)، تا: قرن ۱۴؛ افتادگی: آغاز کاغذ: کاهی،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۲۸سم [رایانه ]</w:t>
      </w:r>
    </w:p>
    <w:p>
      <w:pPr>
        <w:pStyle w:val="BookText"/>
      </w:pPr>
      <w:r>
        <w:rPr>
          <w:rFonts w:ascii="IRNazanin" w:hAnsi="IRNazanin" w:eastAsia="IRNazanin" w:cs="IRNazanin"/>
          <w:lang w:bidi="fa-IR"/>
          <w:color w:val="111111"/>
          <w:sz w:val="28"/>
          <w:szCs w:val="28"/>
          <w:rtl/>
        </w:rPr>
        <w:t xml:space="preserve">←تاریخ خسروی ← زبدة التواریخ</w:t>
      </w:r>
    </w:p>
    <w:p>
      <w:pPr>
        <w:pStyle w:val="BookText"/>
      </w:pPr>
      <w:r>
        <w:rPr>
          <w:rFonts w:ascii="IRNazanin" w:hAnsi="IRNazanin" w:eastAsia="IRNazanin" w:cs="IRNazanin"/>
          <w:lang w:bidi="fa-IR"/>
          <w:color w:val="111111"/>
          <w:sz w:val="28"/>
          <w:szCs w:val="28"/>
          <w:rtl/>
        </w:rPr>
        <w:t xml:space="preserve">← تاریخ خط و نقاشی ← قلميه</w:t>
      </w:r>
    </w:p>
    <w:p>
      <w:pPr>
        <w:pStyle w:val="Heading3"/>
      </w:pPr>
      <w:bookmarkStart w:id="2271" w:name="_Toc1531"/>
      <w:r>
        <w:t>•تاریخ خلافت امیر المؤمنین (علیه السلام) / تاریخ معصومین / فارسی</w:t>
      </w:r>
      <w:bookmarkEnd w:id="2271"/>
    </w:p>
    <w:p>
      <w:pPr>
        <w:pStyle w:val="BookText"/>
      </w:pPr>
      <w:r>
        <w:rPr>
          <w:rFonts w:ascii="Times New Roman" w:hAnsi="Times New Roman" w:eastAsia="Times New Roman" w:cs="Times New Roman"/>
          <w:lang w:val="en-US" w:bidi="en-US"/>
          <w:color w:val="111111"/>
          <w:sz w:val="28"/>
          <w:szCs w:val="28"/>
          <w:rtl/>
        </w:rPr>
        <w:t xml:space="preserve">tārīx-e xelāfat-e amīr-al-mo'menīn</w:t>
      </w:r>
    </w:p>
    <w:p>
      <w:pPr>
        <w:pStyle w:val="BookText"/>
      </w:pPr>
      <w:r>
        <w:rPr>
          <w:rFonts w:ascii="IRNazanin" w:hAnsi="IRNazanin" w:eastAsia="IRNazanin" w:cs="IRNazanin"/>
          <w:lang w:bidi="fa-IR"/>
          <w:color w:val="111111"/>
          <w:sz w:val="28"/>
          <w:szCs w:val="28"/>
          <w:rtl/>
        </w:rPr>
        <w:t xml:space="preserve">یزد؛ وزیری؛ شماره نسخه: ۵۶۰</w:t>
      </w:r>
    </w:p>
    <w:p>
      <w:pPr>
        <w:pStyle w:val="BookText"/>
      </w:pPr>
      <w:r>
        <w:rPr>
          <w:rFonts w:ascii="IRNazanin" w:hAnsi="IRNazanin" w:eastAsia="IRNazanin" w:cs="IRNazanin"/>
          <w:lang w:bidi="fa-IR"/>
          <w:color w:val="111111"/>
          <w:sz w:val="28"/>
          <w:szCs w:val="28"/>
          <w:rtl/>
        </w:rPr>
        <w:t xml:space="preserve">آغاز: بسمله، خلافت حضرت امیر المومنین علی بن ابی طالب رضي الله عنه ... چون عثمان را بکشتند مردمان؛ انجام: ترا خاطری دراک و بلاغتی کامل و عبارتی بارع و فصاحتى شامل خط: نستعلیق، بی کا، تا: ذیحجه ۹۶۶ق؛ اهدایی: وزیری؛ کاغذ: حنایی، جلد: مقوایی کاغذ آبی، ۲۴۰گ، ۱۹ سطر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۲-۴۷۸]</w:t>
      </w:r>
    </w:p>
    <w:p>
      <w:pPr>
        <w:pStyle w:val="Heading3"/>
      </w:pPr>
      <w:bookmarkStart w:id="2272" w:name="_Toc1532"/>
      <w:r>
        <w:t>•تاریخ خلفاء / تاریخ / فارسی</w:t>
      </w:r>
      <w:bookmarkEnd w:id="2272"/>
    </w:p>
    <w:p>
      <w:pPr>
        <w:pStyle w:val="BookText"/>
      </w:pPr>
      <w:r>
        <w:rPr>
          <w:rFonts w:ascii="Times New Roman" w:hAnsi="Times New Roman" w:eastAsia="Times New Roman" w:cs="Times New Roman"/>
          <w:lang w:val="en-US" w:bidi="en-US"/>
          <w:color w:val="111111"/>
          <w:sz w:val="28"/>
          <w:szCs w:val="28"/>
          <w:rtl/>
        </w:rPr>
        <w:t xml:space="preserve">tārīx-e xolafā</w:t>
      </w:r>
    </w:p>
    <w:p>
      <w:pPr>
        <w:pStyle w:val="BookText"/>
      </w:pPr>
      <w:r>
        <w:rPr>
          <w:rFonts w:ascii="IRNazanin" w:hAnsi="IRNazanin" w:eastAsia="IRNazanin" w:cs="IRNazanin"/>
          <w:lang w:bidi="fa-IR"/>
          <w:color w:val="111111"/>
          <w:sz w:val="28"/>
          <w:szCs w:val="28"/>
          <w:rtl/>
        </w:rPr>
        <w:t xml:space="preserve">ابرقوهی، اسماعیل، ق ۷ قمری</w:t>
      </w:r>
    </w:p>
    <w:p>
      <w:pPr>
        <w:pStyle w:val="BookText"/>
      </w:pPr>
      <w:r>
        <w:rPr>
          <w:rFonts w:ascii="Times New Roman" w:hAnsi="Times New Roman" w:eastAsia="Times New Roman" w:cs="Times New Roman"/>
          <w:lang w:val="en-US" w:bidi="en-US"/>
          <w:color w:val="111111"/>
          <w:sz w:val="28"/>
          <w:szCs w:val="28"/>
          <w:rtl/>
        </w:rPr>
        <w:t xml:space="preserve">abarqūlī, esmāʻīl (-13c)</w:t>
      </w:r>
    </w:p>
    <w:p>
      <w:pPr>
        <w:pStyle w:val="BookText"/>
      </w:pPr>
      <w:r>
        <w:rPr>
          <w:rFonts w:ascii="IRNazanin" w:hAnsi="IRNazanin" w:eastAsia="IRNazanin" w:cs="IRNazanin"/>
          <w:lang w:bidi="fa-IR"/>
          <w:color w:val="111111"/>
          <w:sz w:val="28"/>
          <w:szCs w:val="28"/>
          <w:rtl/>
        </w:rPr>
        <w:t xml:space="preserve">تهران؛ دانشگاه؛ شماره نسخه: ۳۱۹۲/۲ -ف</w:t>
      </w:r>
    </w:p>
    <w:p>
      <w:pPr>
        <w:pStyle w:val="BookText"/>
      </w:pPr>
      <w:r>
        <w:rPr>
          <w:rFonts w:ascii="IRNazanin" w:hAnsi="IRNazanin" w:eastAsia="IRNazanin" w:cs="IRNazanin"/>
          <w:lang w:bidi="fa-IR"/>
          <w:color w:val="111111"/>
          <w:sz w:val="28"/>
          <w:szCs w:val="28"/>
          <w:rtl/>
        </w:rPr>
        <w:t xml:space="preserve">نسخه اصل: مجلس؛ خط: نستعلیق، کا: محمد كاتب سجستانی، بی تاب جا: سجستان [فیلمها ف: ۲-۹۶]</w:t>
      </w:r>
    </w:p>
    <w:p>
      <w:pPr>
        <w:pStyle w:val="Heading3"/>
      </w:pPr>
      <w:bookmarkStart w:id="2273" w:name="_Toc1533"/>
      <w:r>
        <w:t>•تاریخ الخلفاء / تاریخ / عربی</w:t>
      </w:r>
      <w:bookmarkEnd w:id="2273"/>
    </w:p>
    <w:p>
      <w:pPr>
        <w:pStyle w:val="BookText"/>
      </w:pPr>
      <w:r>
        <w:rPr>
          <w:rFonts w:ascii="Times New Roman" w:hAnsi="Times New Roman" w:eastAsia="Times New Roman" w:cs="Times New Roman"/>
          <w:lang w:val="en-US" w:bidi="en-US"/>
          <w:color w:val="111111"/>
          <w:sz w:val="28"/>
          <w:szCs w:val="28"/>
          <w:rtl/>
        </w:rPr>
        <w:t xml:space="preserve">tārīx-ul xulafā'</w:t>
      </w:r>
    </w:p>
    <w:p>
      <w:pPr>
        <w:pStyle w:val="BookText"/>
      </w:pPr>
      <w:r>
        <w:rPr>
          <w:rFonts w:ascii="IRNazanin" w:hAnsi="IRNazanin" w:eastAsia="IRNazanin" w:cs="IRNazanin"/>
          <w:lang w:bidi="fa-IR"/>
          <w:color w:val="111111"/>
          <w:sz w:val="28"/>
          <w:szCs w:val="28"/>
          <w:rtl/>
        </w:rPr>
        <w:t xml:space="preserve">سیوطی، عبدالرحمن بن ابی بکر، ۸۴۹-۹۱۱ قمری</w:t>
      </w:r>
    </w:p>
    <w:p>
      <w:pPr>
        <w:pStyle w:val="BookText"/>
      </w:pPr>
      <w:r>
        <w:rPr>
          <w:rFonts w:ascii="Times New Roman" w:hAnsi="Times New Roman" w:eastAsia="Times New Roman" w:cs="Times New Roman"/>
          <w:lang w:val="en-US" w:bidi="en-US"/>
          <w:color w:val="111111"/>
          <w:sz w:val="28"/>
          <w:szCs w:val="28"/>
          <w:rtl/>
        </w:rPr>
        <w:t xml:space="preserve">F soyūtī, 'abd-or-rahmān ebn-e abī-bakr (1446-1506)</w:t>
      </w:r>
    </w:p>
    <w:p>
      <w:pPr>
        <w:pStyle w:val="BookText"/>
      </w:pPr>
      <w:r>
        <w:rPr>
          <w:rFonts w:ascii="IRNazanin" w:hAnsi="IRNazanin" w:eastAsia="IRNazanin" w:cs="IRNazanin"/>
          <w:lang w:bidi="fa-IR"/>
          <w:color w:val="111111"/>
          <w:sz w:val="28"/>
          <w:szCs w:val="28"/>
          <w:rtl/>
        </w:rPr>
        <w:t xml:space="preserve">کتابی است مشهور در شرح حال خلفا از دوران ابوبکر تا زمان مؤلف که به شرح حال المتوكل على الله أبوالعز عبدالعزيز بن يعقوب (۸۱۹-۹۰۳ق) پایان می پذیرد.</w:t>
      </w:r>
    </w:p>
    <w:p>
      <w:pPr>
        <w:pStyle w:val="BookText"/>
      </w:pPr>
      <w:r>
        <w:rPr>
          <w:rFonts w:ascii="IRNazanin" w:hAnsi="IRNazanin" w:eastAsia="IRNazanin" w:cs="IRNazanin"/>
          <w:lang w:bidi="fa-IR"/>
          <w:color w:val="111111"/>
          <w:sz w:val="28"/>
          <w:szCs w:val="28"/>
          <w:rtl/>
        </w:rPr>
        <w:t xml:space="preserve">سیوطی ضمن یاد کرد از هر یک از خلفا چکیده ای از وقایع مهم دوران آنها و زندگی بزرگان دین و دانش معاصرشان را ذکر کرده است. در پایان هم منابع تألیف و ارجوزه ای در نام خلفا و تاریخ وفاتشان آمده است.</w:t>
      </w:r>
    </w:p>
    <w:p>
      <w:pPr>
        <w:pStyle w:val="BookText"/>
      </w:pPr>
      <w:r>
        <w:rPr>
          <w:rFonts w:ascii="IRNazanin" w:hAnsi="IRNazanin" w:eastAsia="IRNazanin" w:cs="IRNazanin"/>
          <w:lang w:bidi="fa-IR"/>
          <w:color w:val="111111"/>
          <w:sz w:val="28"/>
          <w:szCs w:val="28"/>
          <w:rtl/>
        </w:rPr>
        <w:t xml:space="preserve">آغاز: أما بعد حمد الله الذي وعد فوفي و اوعد فعفا ... فهذا تاریخ لطیف ترجمت فيه الخلفا امرا المؤمنين القائمين بأمر الأمة من عهد أبي بكر الصديق رضي الله عنه إلى عهدنا هذا على ترتيب زمانهم الأول فالأول و ذكرت في ترجمة كل منهم ما وقع في أيامه من الحوادث المستغربة و من كان في أيامه من أئمة الدين و أعلام الأمة. چاپ: القاهرة، المكتبة التجارية، تحقيق محمد محيي الدين عبد الحميد، الطبعة الثالثة، ۱۹۶۴، ۵۳۵ص؛ السعودية، دار المنهاج، الطبعة الأولى، ۱۴۳۰ق، ۷۰۰ صحيفة</w:t>
      </w:r>
    </w:p>
    <w:p>
      <w:pPr>
        <w:pStyle w:val="BookText"/>
      </w:pPr>
      <w:r>
        <w:rPr>
          <w:rFonts w:ascii="IRNazanin" w:hAnsi="IRNazanin" w:eastAsia="IRNazanin" w:cs="IRNazanin"/>
          <w:lang w:bidi="fa-IR"/>
          <w:color w:val="111111"/>
          <w:sz w:val="28"/>
          <w:szCs w:val="28"/>
          <w:rtl/>
        </w:rPr>
        <w:t xml:space="preserve">[دنا ۷۰۳/۲ ؛ الأوقاف العامة موصل ۲۱۲/۲ ؛ کشف الظنون ۲۹۳/۲ ؛ دلیل مخطوطات السيوطي ص ۲۲۲۱-۲۲۲]</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میزان الدين في معرفة اليقين ؛ سپهر، عبدالحسين (۱۲۵۰-۱۳۱۲)</w:t>
      </w:r>
    </w:p>
    <w:p>
      <w:pPr>
        <w:pStyle w:val="BookText"/>
      </w:pPr>
      <w:r>
        <w:rPr>
          <w:rFonts w:ascii="IRNazanin" w:hAnsi="IRNazanin" w:eastAsia="IRNazanin" w:cs="IRNazanin"/>
          <w:lang w:bidi="fa-IR"/>
          <w:color w:val="111111"/>
          <w:sz w:val="28"/>
          <w:szCs w:val="28"/>
          <w:rtl/>
        </w:rPr>
        <w:t xml:space="preserve">١. مشهد؛ رضوی؛ شماره نسخه:۱۸۶۹۴</w:t>
      </w:r>
    </w:p>
    <w:p>
      <w:pPr>
        <w:pStyle w:val="BookText"/>
      </w:pPr>
      <w:r>
        <w:rPr>
          <w:rFonts w:ascii="IRNazanin" w:hAnsi="IRNazanin" w:eastAsia="IRNazanin" w:cs="IRNazanin"/>
          <w:lang w:bidi="fa-IR"/>
          <w:color w:val="111111"/>
          <w:sz w:val="28"/>
          <w:szCs w:val="28"/>
          <w:rtl/>
        </w:rPr>
        <w:t xml:space="preserve">آغاز: برابر؛ انجام: فتنة التتار علی اعظمها و اسئل الله ان يقضينا الى رحمته الواسعة قبل وقوع فتنة المأة التاسعة بجاه نبيه محمد (صلى الله عليه وآله و سلم)</w:t>
      </w:r>
    </w:p>
    <w:p>
      <w:pPr>
        <w:pStyle w:val="BookText"/>
      </w:pPr>
      <w:r>
        <w:rPr>
          <w:rFonts w:ascii="IRNazanin" w:hAnsi="IRNazanin" w:eastAsia="IRNazanin" w:cs="IRNazanin"/>
          <w:lang w:bidi="fa-IR"/>
          <w:color w:val="111111"/>
          <w:sz w:val="28"/>
          <w:szCs w:val="28"/>
          <w:rtl/>
        </w:rPr>
        <w:t xml:space="preserve">خط: نسخ، بی کا، تا: 1 محرم ۹۹۰ق؛ از روی نسخه مورخ ۸ جمادی الاول ۹۸۷ق، مجدول، با سرلوح زرین و مرصع نفیس، با کتیبه؛ اهدایی: رهبری، فروردین ۱۳۷۲؛ کاغذ: سمرقندی حنایی آهار مهره، جلد: مقوا رویه کاغذی عطف میشن قهوه ای، ۲۰۳گ، ۲۱ سطر، اندازه: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 اهدائی رهبر: ۸-۳۷۴]</w:t>
      </w:r>
    </w:p>
    <w:p>
      <w:pPr>
        <w:pStyle w:val="BookText"/>
      </w:pPr>
      <w:r>
        <w:rPr>
          <w:rFonts w:ascii="IRNazanin" w:hAnsi="IRNazanin" w:eastAsia="IRNazanin" w:cs="IRNazanin"/>
          <w:lang w:bidi="fa-IR"/>
          <w:color w:val="111111"/>
          <w:sz w:val="28"/>
          <w:szCs w:val="28"/>
          <w:rtl/>
        </w:rPr>
        <w:t xml:space="preserve">۲. مشهد؛ رضوی؛ شماره نسخه:۹۲۲۳</w:t>
      </w:r>
    </w:p>
    <w:p>
      <w:pPr>
        <w:pStyle w:val="BookText"/>
      </w:pPr>
      <w:r>
        <w:rPr>
          <w:rFonts w:ascii="IRNazanin" w:hAnsi="IRNazanin" w:eastAsia="IRNazanin" w:cs="IRNazanin"/>
          <w:lang w:bidi="fa-IR"/>
          <w:color w:val="111111"/>
          <w:sz w:val="28"/>
          <w:szCs w:val="28"/>
          <w:rtl/>
        </w:rPr>
        <w:t xml:space="preserve">آغاز: برابر؛ انجام: لا تعدوه فصرفت عنه الى عثمان فلما قتل.</w:t>
      </w:r>
    </w:p>
    <w:p>
      <w:pPr>
        <w:pStyle w:val="BookText"/>
      </w:pPr>
      <w:r>
        <w:rPr>
          <w:rFonts w:ascii="IRNazanin" w:hAnsi="IRNazanin" w:eastAsia="IRNazanin" w:cs="IRNazanin"/>
          <w:lang w:bidi="fa-IR"/>
          <w:color w:val="111111"/>
          <w:sz w:val="28"/>
          <w:szCs w:val="28"/>
          <w:rtl/>
        </w:rPr>
        <w:t xml:space="preserve">خط: نسخ، بی کا، تا: قرن ۱۱؛ افتادگی: انجام؛ دارای یک سرلوح؛ کاغذ: نخودی، جلد: چرمی ضربی، ۹۸گ، ۱۹ سطر (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۷-۳۰)</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مروی؛ شماره نسخه: ۵۳۱</w:t>
      </w:r>
    </w:p>
    <w:p>
      <w:pPr>
        <w:pStyle w:val="BookText"/>
      </w:pPr>
      <w:r>
        <w:rPr>
          <w:rFonts w:ascii="IRNazanin" w:hAnsi="IRNazanin" w:eastAsia="IRNazanin" w:cs="IRNazanin"/>
          <w:lang w:bidi="fa-IR"/>
          <w:color w:val="111111"/>
          <w:sz w:val="28"/>
          <w:szCs w:val="28"/>
          <w:rtl/>
        </w:rPr>
        <w:t xml:space="preserve">بی کا، تا: قرن ۱۱؛ قطع: خشتی [ف: ۸۰</w:t>
      </w:r>
    </w:p>
    <w:p>
      <w:pPr>
        <w:pStyle w:val="BookText"/>
      </w:pPr>
      <w:r>
        <w:rPr>
          <w:rFonts w:ascii="IRNazanin" w:hAnsi="IRNazanin" w:eastAsia="IRNazanin" w:cs="IRNazanin"/>
          <w:lang w:bidi="fa-IR"/>
          <w:color w:val="111111"/>
          <w:sz w:val="28"/>
          <w:szCs w:val="28"/>
          <w:rtl/>
        </w:rPr>
        <w:t xml:space="preserve">۴. تهران؛ مجلس؛ شماره نسخه:۲۷۹ فیروز</w:t>
      </w:r>
    </w:p>
    <w:p>
      <w:pPr>
        <w:pStyle w:val="BookText"/>
      </w:pPr>
      <w:r>
        <w:rPr>
          <w:rFonts w:ascii="IRNazanin" w:hAnsi="IRNazanin" w:eastAsia="IRNazanin" w:cs="IRNazanin"/>
          <w:lang w:bidi="fa-IR"/>
          <w:color w:val="111111"/>
          <w:sz w:val="28"/>
          <w:szCs w:val="28"/>
          <w:rtl/>
        </w:rPr>
        <w:t xml:space="preserve">خط: نسخ، بی کا، تا: قرن ۱۳ کاغذ: فرنگی، جلد: تیماج قرمز، ۶۰۲ص، ۱۸ سطر، اندازه:</w:t>
      </w:r>
    </w:p>
    <w:p>
      <w:pPr>
        <w:pStyle w:val="BookText"/>
      </w:pPr>
      <w:r>
        <w:rPr>
          <w:rFonts w:ascii="IRNazanin" w:hAnsi="IRNazanin" w:eastAsia="IRNazanin" w:cs="IRNazanin"/>
          <w:lang w:bidi="fa-IR"/>
          <w:color w:val="111111"/>
          <w:sz w:val="28"/>
          <w:szCs w:val="28"/>
          <w:rtl/>
        </w:rPr>
        <w:t xml:space="preserve">۳۳/۵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 سم [ف: ۲۱-۳۳]</w:t>
      </w:r>
    </w:p>
    <w:p>
      <w:pPr>
        <w:pStyle w:val="BookText"/>
      </w:pPr>
      <w:r>
        <w:rPr>
          <w:rFonts w:ascii="IRNazanin" w:hAnsi="IRNazanin" w:eastAsia="IRNazanin" w:cs="IRNazanin"/>
          <w:lang w:bidi="fa-IR"/>
          <w:color w:val="111111"/>
          <w:sz w:val="28"/>
          <w:szCs w:val="28"/>
          <w:rtl/>
        </w:rPr>
        <w:t xml:space="preserve">۵. رشت؛ جمعیت نشر فرهنگ؛ شماره نسخه: ۱۰۱ت</w:t>
      </w:r>
    </w:p>
    <w:p>
      <w:pPr>
        <w:pStyle w:val="BookText"/>
      </w:pPr>
      <w:r>
        <w:rPr>
          <w:rFonts w:ascii="IRNazanin" w:hAnsi="IRNazanin" w:eastAsia="IRNazanin" w:cs="IRNazanin"/>
          <w:lang w:bidi="fa-IR"/>
          <w:color w:val="111111"/>
          <w:sz w:val="28"/>
          <w:szCs w:val="28"/>
          <w:rtl/>
        </w:rPr>
        <w:t xml:space="preserve">خط: نسخ خوش، كا: محمد بن محمد حسین حسینی رشتی، تا: ۱۲۳۶ق؛ تملک: دولت شاه محمد على قاجار پسر فتح علی شاه؛ ۴۹۹گ [رشت و همدان: ف: ۱۰۹۷]</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قم؛ مرعشی؛ شماره نسخه: ۱۵۴۴/۲ عکسی</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460" w:name="pg20363_209766"/>
    <w:bookmarkEnd w:id="460"/>
    <w:p>
      <w:pPr>
        <w:pStyle w:val="BookText"/>
      </w:pPr>
      <w:r>
        <w:rPr>
          <w:rFonts w:ascii="IRNazanin" w:hAnsi="IRNazanin" w:eastAsia="IRNazanin" w:cs="IRNazanin"/>
          <w:lang w:bidi="fa-IR"/>
          <w:color w:val="111111"/>
          <w:sz w:val="28"/>
          <w:szCs w:val="28"/>
          <w:rtl/>
        </w:rPr>
        <w:t xml:space="preserve">آغاز: برابر؛ انجام: إلى رحمته الواسعة قبل وقوع فتنة الماية التاسعة بجاه محمد (صلی الله على و سلم و آله )و أصحابه تم التاريخ المبارک بحمد الله و منه و عونه وحسن توفيقه والحمد لله رب العالمين.</w:t>
      </w:r>
    </w:p>
    <w:p>
      <w:pPr>
        <w:pStyle w:val="BookText"/>
      </w:pPr>
      <w:r>
        <w:rPr>
          <w:rFonts w:ascii="IRNazanin" w:hAnsi="IRNazanin" w:eastAsia="IRNazanin" w:cs="IRNazanin"/>
          <w:lang w:bidi="fa-IR"/>
          <w:color w:val="111111"/>
          <w:sz w:val="28"/>
          <w:szCs w:val="28"/>
          <w:rtl/>
        </w:rPr>
        <w:t xml:space="preserve">نسخه اصل: کتابخانه روان کوشکی در ترکیه، شماره ۱۵۵۲؛ خط: نسخ، بی کا، بی تا، مجدول، با سرلوح مذهب؛ ۱۹۹ص (۳۷-۲۳۵)، ۲۵ سطر [عکسی ف: ۴-۴۶۶]</w:t>
      </w:r>
    </w:p>
    <w:p>
      <w:pPr>
        <w:pStyle w:val="Heading3"/>
      </w:pPr>
      <w:bookmarkStart w:id="2274" w:name="_Toc1534"/>
      <w:r>
        <w:t>•تاریخ الخلفاء / تاریخ / عربی</w:t>
      </w:r>
      <w:bookmarkEnd w:id="2274"/>
    </w:p>
    <w:p>
      <w:pPr>
        <w:pStyle w:val="BookText"/>
      </w:pPr>
      <w:r>
        <w:rPr>
          <w:rFonts w:ascii="Times New Roman" w:hAnsi="Times New Roman" w:eastAsia="Times New Roman" w:cs="Times New Roman"/>
          <w:lang w:val="en-US" w:bidi="en-US"/>
          <w:color w:val="111111"/>
          <w:sz w:val="28"/>
          <w:szCs w:val="28"/>
          <w:rtl/>
        </w:rPr>
        <w:t xml:space="preserve">tārīx-ul xulafā'</w:t>
      </w:r>
    </w:p>
    <w:p>
      <w:pPr>
        <w:pStyle w:val="BookText"/>
      </w:pPr>
      <w:r>
        <w:rPr>
          <w:rFonts w:ascii="IRNazanin" w:hAnsi="IRNazanin" w:eastAsia="IRNazanin" w:cs="IRNazanin"/>
          <w:lang w:bidi="fa-IR"/>
          <w:color w:val="111111"/>
          <w:sz w:val="28"/>
          <w:szCs w:val="28"/>
          <w:rtl/>
        </w:rPr>
        <w:t xml:space="preserve">تهران؛ ادبیات، شماره نسخه: ۳۸۸/۱</w:t>
      </w:r>
    </w:p>
    <w:p>
      <w:pPr>
        <w:pStyle w:val="BookText"/>
      </w:pPr>
      <w:r>
        <w:rPr>
          <w:rFonts w:ascii="IRNazanin" w:hAnsi="IRNazanin" w:eastAsia="IRNazanin" w:cs="IRNazanin"/>
          <w:lang w:bidi="fa-IR"/>
          <w:color w:val="111111"/>
          <w:sz w:val="28"/>
          <w:szCs w:val="28"/>
          <w:rtl/>
        </w:rPr>
        <w:t xml:space="preserve">از ابوبکر تا المعتصم، مؤلف معاصر قلاون باید باشد؛ بی کا، تان قرن ۱۳ [ف: ۳-۶۰]</w:t>
      </w:r>
    </w:p>
    <w:p>
      <w:pPr>
        <w:pStyle w:val="Heading3"/>
      </w:pPr>
      <w:bookmarkStart w:id="2275" w:name="_Toc1535"/>
      <w:r>
        <w:t>•تاریخ الخلفاء / تاریخ / عربی</w:t>
      </w:r>
      <w:bookmarkEnd w:id="2275"/>
    </w:p>
    <w:p>
      <w:pPr>
        <w:pStyle w:val="BookText"/>
      </w:pPr>
      <w:r>
        <w:rPr>
          <w:rFonts w:ascii="Times New Roman" w:hAnsi="Times New Roman" w:eastAsia="Times New Roman" w:cs="Times New Roman"/>
          <w:lang w:val="en-US" w:bidi="en-US"/>
          <w:color w:val="111111"/>
          <w:sz w:val="28"/>
          <w:szCs w:val="28"/>
          <w:rtl/>
        </w:rPr>
        <w:t xml:space="preserve">tārīx-ul xulafā'</w:t>
      </w:r>
    </w:p>
    <w:p>
      <w:pPr>
        <w:pStyle w:val="BookText"/>
      </w:pPr>
      <w:r>
        <w:rPr>
          <w:rFonts w:ascii="IRNazanin" w:hAnsi="IRNazanin" w:eastAsia="IRNazanin" w:cs="IRNazanin"/>
          <w:lang w:bidi="fa-IR"/>
          <w:color w:val="111111"/>
          <w:sz w:val="28"/>
          <w:szCs w:val="28"/>
          <w:rtl/>
        </w:rPr>
        <w:t xml:space="preserve">تهران؛ ملک؛ شماره نسخه: ۳۶۳۰/۱</w:t>
      </w:r>
    </w:p>
    <w:p>
      <w:pPr>
        <w:pStyle w:val="BookText"/>
      </w:pPr>
      <w:r>
        <w:rPr>
          <w:rFonts w:ascii="IRNazanin" w:hAnsi="IRNazanin" w:eastAsia="IRNazanin" w:cs="IRNazanin"/>
          <w:lang w:bidi="fa-IR"/>
          <w:color w:val="111111"/>
          <w:sz w:val="28"/>
          <w:szCs w:val="28"/>
          <w:rtl/>
        </w:rPr>
        <w:t xml:space="preserve">كتاب فيه تواريخ ذكر الخلفاء و الملوک و سيرهم و احوالهم و ما كانوا عليه؛ خط: نسخ، كا: قاسم عبدالله، بی تا [ف: ۷-۷]</w:t>
      </w:r>
    </w:p>
    <w:p>
      <w:pPr>
        <w:pStyle w:val="Heading3"/>
      </w:pPr>
      <w:bookmarkStart w:id="2276" w:name="_Toc1536"/>
      <w:r>
        <w:t>•تاریخ خلفاء / تاریخ / فارسی</w:t>
      </w:r>
      <w:bookmarkEnd w:id="2276"/>
    </w:p>
    <w:p>
      <w:pPr>
        <w:pStyle w:val="BookText"/>
      </w:pPr>
      <w:r>
        <w:rPr>
          <w:rFonts w:ascii="Times New Roman" w:hAnsi="Times New Roman" w:eastAsia="Times New Roman" w:cs="Times New Roman"/>
          <w:lang w:val="en-US" w:bidi="en-US"/>
          <w:color w:val="111111"/>
          <w:sz w:val="28"/>
          <w:szCs w:val="28"/>
          <w:rtl/>
        </w:rPr>
        <w:t xml:space="preserve">tārīx-e xolafā'</w:t>
      </w:r>
    </w:p>
    <w:p>
      <w:pPr>
        <w:pStyle w:val="BookText"/>
      </w:pPr>
      <w:r>
        <w:rPr>
          <w:rFonts w:ascii="IRNazanin" w:hAnsi="IRNazanin" w:eastAsia="IRNazanin" w:cs="IRNazanin"/>
          <w:lang w:bidi="fa-IR"/>
          <w:color w:val="111111"/>
          <w:sz w:val="28"/>
          <w:szCs w:val="28"/>
          <w:rtl/>
        </w:rPr>
        <w:t xml:space="preserve">قم؛ مرعشی؛ شماره نسخه: ۲۳۷۷/۲</w:t>
      </w:r>
    </w:p>
    <w:p>
      <w:pPr>
        <w:pStyle w:val="BookText"/>
      </w:pPr>
      <w:r>
        <w:rPr>
          <w:rFonts w:ascii="IRNazanin" w:hAnsi="IRNazanin" w:eastAsia="IRNazanin" w:cs="IRNazanin"/>
          <w:lang w:bidi="fa-IR"/>
          <w:color w:val="111111"/>
          <w:sz w:val="28"/>
          <w:szCs w:val="28"/>
          <w:rtl/>
        </w:rPr>
        <w:t xml:space="preserve">آغاز شده و به او عود می کند خون شهدا تمام در گردن اوست و چه خوب گفته اند.؛ انجام: خاشاک کفر و شرک زبرق غضب بسوخت *** لبریز کن ز گلبن دین دامن و بغل در تاریخ خلفای بعد از پیامبر اکرم (صلی الله عليه و آله )از مصادر شیعه و اهل سنت.</w:t>
      </w:r>
    </w:p>
    <w:p>
      <w:pPr>
        <w:pStyle w:val="BookText"/>
      </w:pPr>
      <w:r>
        <w:rPr>
          <w:rFonts w:ascii="IRNazanin" w:hAnsi="IRNazanin" w:eastAsia="IRNazanin" w:cs="IRNazanin"/>
          <w:lang w:bidi="fa-IR"/>
          <w:color w:val="111111"/>
          <w:sz w:val="28"/>
          <w:szCs w:val="28"/>
          <w:rtl/>
        </w:rPr>
        <w:t xml:space="preserve">و چون این کتاب از آغاز و اواسط و آخر افتاده دارد معلوم نشد که چیست؛ خط: نستعلیق، بی کا، بی تاب افتادگی: آغاز و انجام و وسط؛ مصحح؛ جلد: تیماج مشکی، ۱۶۸گ (۱۹۴ر -۳۶۱پ)،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۶- ۳۶۰]</w:t>
      </w:r>
    </w:p>
    <w:p>
      <w:pPr>
        <w:pStyle w:val="Heading3"/>
      </w:pPr>
      <w:bookmarkStart w:id="2277" w:name="_Toc1537"/>
      <w:r>
        <w:t>•تاریخ الخلفاء و الائمة / تاریخ / عربی</w:t>
      </w:r>
      <w:bookmarkEnd w:id="2277"/>
    </w:p>
    <w:p>
      <w:pPr>
        <w:pStyle w:val="BookText"/>
      </w:pPr>
      <w:r>
        <w:rPr>
          <w:rFonts w:ascii="Times New Roman" w:hAnsi="Times New Roman" w:eastAsia="Times New Roman" w:cs="Times New Roman"/>
          <w:lang w:val="en-US" w:bidi="en-US"/>
          <w:color w:val="111111"/>
          <w:sz w:val="28"/>
          <w:szCs w:val="28"/>
          <w:rtl/>
        </w:rPr>
        <w:t xml:space="preserve">tārīx-ul xulafā' wa-l a'imma</w:t>
      </w:r>
    </w:p>
    <w:p>
      <w:pPr>
        <w:pStyle w:val="BookText"/>
      </w:pPr>
      <w:r>
        <w:rPr>
          <w:rFonts w:ascii="IRNazanin" w:hAnsi="IRNazanin" w:eastAsia="IRNazanin" w:cs="IRNazanin"/>
          <w:lang w:bidi="fa-IR"/>
          <w:color w:val="111111"/>
          <w:sz w:val="28"/>
          <w:szCs w:val="28"/>
          <w:rtl/>
        </w:rPr>
        <w:t xml:space="preserve">وابسته به: الصواعق المحرقة على اهل الرفض و الزندقة؛ ابن حجر هیثمی، احمد بن محمد (۹۰۹-۹۷۳ق) از روی کتاب اصواعق محرقه « ابن حجر در پنج «باب» گرد کرده است.</w:t>
      </w:r>
    </w:p>
    <w:p>
      <w:pPr>
        <w:pStyle w:val="BookText"/>
      </w:pPr>
      <w:r>
        <w:rPr>
          <w:rFonts w:ascii="IRNazanin" w:hAnsi="IRNazanin" w:eastAsia="IRNazanin" w:cs="IRNazanin"/>
          <w:lang w:bidi="fa-IR"/>
          <w:color w:val="111111"/>
          <w:sz w:val="28"/>
          <w:szCs w:val="28"/>
          <w:rtl/>
        </w:rPr>
        <w:t xml:space="preserve">تهران؛ سپهسالار؛ شماره نسخه: ۲۵۲۷/۲</w:t>
      </w:r>
    </w:p>
    <w:p>
      <w:pPr>
        <w:pStyle w:val="BookText"/>
      </w:pPr>
      <w:r>
        <w:rPr>
          <w:rFonts w:ascii="IRNazanin" w:hAnsi="IRNazanin" w:eastAsia="IRNazanin" w:cs="IRNazanin"/>
          <w:lang w:bidi="fa-IR"/>
          <w:color w:val="111111"/>
          <w:sz w:val="28"/>
          <w:szCs w:val="28"/>
          <w:rtl/>
        </w:rPr>
        <w:t xml:space="preserve">تاریخ خرابی - تاریخ خلفای ۶۳۹ آغاز: بسمله. حمدله ... اما بعد فهذه رسالة جمعت فيها ما ذكره ابن الحجر في صواعقه من احوال الخلفاء و الائمة؛ انجام: ولا يصح الاعتقاد بمجرد الامكان. تمت الرسالة في يوم الاثنين في بلدة</w:t>
      </w:r>
    </w:p>
    <w:p>
      <w:pPr>
        <w:pStyle w:val="BookText"/>
      </w:pPr>
      <w:r>
        <w:rPr>
          <w:rFonts w:ascii="IRNazanin" w:hAnsi="IRNazanin" w:eastAsia="IRNazanin" w:cs="IRNazanin"/>
          <w:lang w:bidi="fa-IR"/>
          <w:color w:val="111111"/>
          <w:sz w:val="28"/>
          <w:szCs w:val="28"/>
          <w:rtl/>
        </w:rPr>
        <w:t xml:space="preserve">كاظمين في ج ۲-۱۲۳۵ ق. بی کا، بی تا، کاغذ: فرنگی سفید آهار مهره، جلد: تیماج قهوه ای، وگ (۳۴ر-۴۲پ) [ف: ۳-۲۹۸]</w:t>
      </w:r>
    </w:p>
    <w:p>
      <w:pPr>
        <w:pStyle w:val="Heading3"/>
      </w:pPr>
      <w:bookmarkStart w:id="2278" w:name="_Toc1538"/>
      <w:r>
        <w:t>•تاریخ خلفای اسماعیلی مصر و قیروان / تاریخ /  فارسی-عربی</w:t>
      </w:r>
      <w:bookmarkEnd w:id="2278"/>
    </w:p>
    <w:p>
      <w:pPr>
        <w:pStyle w:val="BookText"/>
      </w:pPr>
      <w:r>
        <w:rPr>
          <w:rFonts w:ascii="Times New Roman" w:hAnsi="Times New Roman" w:eastAsia="Times New Roman" w:cs="Times New Roman"/>
          <w:lang w:val="en-US" w:bidi="en-US"/>
          <w:color w:val="111111"/>
          <w:sz w:val="28"/>
          <w:szCs w:val="28"/>
          <w:rtl/>
        </w:rPr>
        <w:t xml:space="preserve">tārīx-e xolafā-ye esmāʻīlī-ye mesr va qīrvān</w:t>
      </w:r>
    </w:p>
    <w:p>
      <w:pPr>
        <w:pStyle w:val="BookText"/>
      </w:pPr>
      <w:r>
        <w:rPr>
          <w:rFonts w:ascii="IRNazanin" w:hAnsi="IRNazanin" w:eastAsia="IRNazanin" w:cs="IRNazanin"/>
          <w:lang w:bidi="fa-IR"/>
          <w:color w:val="111111"/>
          <w:sz w:val="28"/>
          <w:szCs w:val="28"/>
          <w:rtl/>
        </w:rPr>
        <w:t xml:space="preserve">چهارده تن بوده اند ۶۵ سال در رفاده و قیروان و دویست سال در مصر فرمان رانده اند که روی هم می شود ۲۷۰ سال.</w:t>
      </w:r>
    </w:p>
    <w:p>
      <w:pPr>
        <w:pStyle w:val="BookText"/>
      </w:pPr>
      <w:r>
        <w:rPr>
          <w:rFonts w:ascii="IRNazanin" w:hAnsi="IRNazanin" w:eastAsia="IRNazanin" w:cs="IRNazanin"/>
          <w:lang w:bidi="fa-IR"/>
          <w:color w:val="111111"/>
          <w:sz w:val="28"/>
          <w:szCs w:val="28"/>
          <w:rtl/>
        </w:rPr>
        <w:t xml:space="preserve">تهران؛ ملک؛ شماره نسخه: ۱۴۸۲/۱۲</w:t>
      </w:r>
    </w:p>
    <w:p>
      <w:pPr>
        <w:pStyle w:val="BookText"/>
      </w:pPr>
      <w:r>
        <w:rPr>
          <w:rFonts w:ascii="IRNazanin" w:hAnsi="IRNazanin" w:eastAsia="IRNazanin" w:cs="IRNazanin"/>
          <w:lang w:bidi="fa-IR"/>
          <w:color w:val="111111"/>
          <w:sz w:val="28"/>
          <w:szCs w:val="28"/>
          <w:rtl/>
        </w:rPr>
        <w:t xml:space="preserve">خط: نستعلیق، بی کا، بی تا، ۴گ ( ۱۱۳۰ - ۱۳۳ ر) [ف: ۲۷۵۵]</w:t>
      </w:r>
    </w:p>
    <w:p>
      <w:pPr>
        <w:pStyle w:val="Heading3"/>
      </w:pPr>
      <w:bookmarkStart w:id="2279" w:name="_Toc1539"/>
      <w:r>
        <w:t>•تاریخ خلفای بنی امیه / تاریخ اسلام / فارسی</w:t>
      </w:r>
      <w:bookmarkEnd w:id="2279"/>
    </w:p>
    <w:p>
      <w:pPr>
        <w:pStyle w:val="BookText"/>
      </w:pPr>
      <w:r>
        <w:rPr>
          <w:rFonts w:ascii="Times New Roman" w:hAnsi="Times New Roman" w:eastAsia="Times New Roman" w:cs="Times New Roman"/>
          <w:lang w:val="en-US" w:bidi="en-US"/>
          <w:color w:val="111111"/>
          <w:sz w:val="28"/>
          <w:szCs w:val="28"/>
          <w:rtl/>
        </w:rPr>
        <w:t xml:space="preserve">tārīx-e xolafā-ye banī-omayye</w:t>
      </w:r>
    </w:p>
    <w:p>
      <w:pPr>
        <w:pStyle w:val="BookText"/>
      </w:pPr>
      <w:r>
        <w:rPr>
          <w:rFonts w:ascii="IRNazanin" w:hAnsi="IRNazanin" w:eastAsia="IRNazanin" w:cs="IRNazanin"/>
          <w:lang w:bidi="fa-IR"/>
          <w:color w:val="111111"/>
          <w:sz w:val="28"/>
          <w:szCs w:val="28"/>
          <w:rtl/>
        </w:rPr>
        <w:t xml:space="preserve">سپهر کاشانی، عباسقلی بن محمد تقی، ۱۲۶۸-۱۳۴۲ قمری</w:t>
      </w:r>
    </w:p>
    <w:p>
      <w:pPr>
        <w:pStyle w:val="BookText"/>
      </w:pPr>
      <w:r>
        <w:rPr>
          <w:rFonts w:ascii="Times New Roman" w:hAnsi="Times New Roman" w:eastAsia="Times New Roman" w:cs="Times New Roman"/>
          <w:lang w:val="en-US" w:bidi="en-US"/>
          <w:color w:val="111111"/>
          <w:sz w:val="28"/>
          <w:szCs w:val="28"/>
          <w:rtl/>
        </w:rPr>
        <w:t xml:space="preserve">sepehr-e kāšānī, 'abbās-qolī ebn-e mohammad taqī (1852-1924)</w:t>
      </w:r>
    </w:p>
    <w:p>
      <w:pPr>
        <w:pStyle w:val="BookText"/>
      </w:pPr>
      <w:r>
        <w:rPr>
          <w:rFonts w:ascii="IRNazanin" w:hAnsi="IRNazanin" w:eastAsia="IRNazanin" w:cs="IRNazanin"/>
          <w:lang w:bidi="fa-IR"/>
          <w:color w:val="111111"/>
          <w:sz w:val="28"/>
          <w:szCs w:val="28"/>
          <w:rtl/>
        </w:rPr>
        <w:t xml:space="preserve">اهدا به: مظفر الدین شاه</w:t>
      </w:r>
    </w:p>
    <w:p>
      <w:pPr>
        <w:pStyle w:val="BookText"/>
      </w:pPr>
      <w:r>
        <w:rPr>
          <w:rFonts w:ascii="IRNazanin" w:hAnsi="IRNazanin" w:eastAsia="IRNazanin" w:cs="IRNazanin"/>
          <w:lang w:bidi="fa-IR"/>
          <w:color w:val="111111"/>
          <w:sz w:val="28"/>
          <w:szCs w:val="28"/>
          <w:rtl/>
        </w:rPr>
        <w:t xml:space="preserve">سپهر در مقدمه گوید در روز سه شنبه دوم ذیقعده ۱۳۱۹ که شرفیاب حضور شدم شاه به نگارش تاریخ سلاطین اسلامیه امر مقرر فرمود. آغاز: سپاس خداوندی را که اخبار مردم بر گذشته روزگاران را موجب بصیرت و عبرت دانشمندان حال و هوشیاران استقبال</w:t>
      </w:r>
    </w:p>
    <w:p>
      <w:pPr>
        <w:pStyle w:val="BookText"/>
      </w:pPr>
      <w:r>
        <w:rPr>
          <w:rFonts w:ascii="IRNazanin" w:hAnsi="IRNazanin" w:eastAsia="IRNazanin" w:cs="IRNazanin"/>
          <w:lang w:bidi="fa-IR"/>
          <w:color w:val="111111"/>
          <w:sz w:val="28"/>
          <w:szCs w:val="28"/>
          <w:rtl/>
        </w:rPr>
        <w:t xml:space="preserve">گردانید ... بنده درگاه الله و چاکر پیشگاه جهان پناه عباسقلی سپهر وزیر تألیفات و دار الشورای کبری معروض میدارد بر دانایان بصیر و بینایات خبير معلوم باد ...</w:t>
      </w:r>
    </w:p>
    <w:p>
      <w:pPr>
        <w:pStyle w:val="BookText"/>
      </w:pPr>
      <w:r>
        <w:rPr>
          <w:rFonts w:ascii="IRNazanin" w:hAnsi="IRNazanin" w:eastAsia="IRNazanin" w:cs="IRNazanin"/>
          <w:lang w:bidi="fa-IR"/>
          <w:color w:val="111111"/>
          <w:sz w:val="28"/>
          <w:szCs w:val="28"/>
          <w:rtl/>
        </w:rPr>
        <w:t xml:space="preserve">[دنا ۷۰۳/۲ ؛ فهرستواره منزوی ۱۵۷۱/۳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نسخه:۳۱۰۹</w:t>
      </w:r>
    </w:p>
    <w:p>
      <w:pPr>
        <w:pStyle w:val="BookText"/>
      </w:pPr>
      <w:r>
        <w:rPr>
          <w:rFonts w:ascii="IRNazanin" w:hAnsi="IRNazanin" w:eastAsia="IRNazanin" w:cs="IRNazanin"/>
          <w:lang w:bidi="fa-IR"/>
          <w:color w:val="111111"/>
          <w:sz w:val="28"/>
          <w:szCs w:val="28"/>
          <w:rtl/>
        </w:rPr>
        <w:t xml:space="preserve">آغاز: برابر؛ انجام: چون معاویه بهوش آمد و یزید را بدید گفت ای پسرک من چه کردی گفت بمسجد شدم و خطبه بخواندم و مردمان با کمال رغبت با من بیعت کردند و خرسند بازگشتند و بمنازل خود باز شدند و بعضی مکالمات او با او خط: نستعلیق، کا: محمد تقی خان كمال السلطنه، تا: ۱۳۲۱ق؛ یادداشت به خط مؤلف (عباسقلی سپهر): «این چند حرف خط فرزندی میرزا محمد تقی خان كمال السلطنه پیشخدمت حضور مهر ظهور همایونی است. حرره العبد الجاني عباسقلی سپهر کاشانی في سنة ۱۳۲۱»؛ کاغذ: فرنگی آبی، جلد: مقوایی با عطف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461" w:name="pg20363_209767"/>
    <w:bookmarkEnd w:id="461"/>
    <w:p>
      <w:pPr>
        <w:pStyle w:val="BookText"/>
      </w:pPr>
      <w:r>
        <w:rPr>
          <w:rFonts w:ascii="IRNazanin" w:hAnsi="IRNazanin" w:eastAsia="IRNazanin" w:cs="IRNazanin"/>
          <w:lang w:bidi="fa-IR"/>
          <w:color w:val="111111"/>
          <w:sz w:val="28"/>
          <w:szCs w:val="28"/>
          <w:rtl/>
        </w:rPr>
        <w:t xml:space="preserve">تیماج نارنجی، ۷۲ص، ۱۲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۱۰-۶۶۸]</w:t>
      </w:r>
    </w:p>
    <w:p>
      <w:pPr>
        <w:pStyle w:val="BookText"/>
      </w:pPr>
      <w:r>
        <w:rPr>
          <w:rFonts w:ascii="IRNazanin" w:hAnsi="IRNazanin" w:eastAsia="IRNazanin" w:cs="IRNazanin"/>
          <w:lang w:bidi="fa-IR"/>
          <w:color w:val="111111"/>
          <w:sz w:val="28"/>
          <w:szCs w:val="28"/>
          <w:rtl/>
        </w:rPr>
        <w:t xml:space="preserve">۲. تهران؛ ملی؛ شماره نسخه:۱۶۱۹</w:t>
      </w:r>
    </w:p>
    <w:p>
      <w:pPr>
        <w:pStyle w:val="BookText"/>
      </w:pPr>
      <w:r>
        <w:rPr>
          <w:rFonts w:ascii="IRNazanin" w:hAnsi="IRNazanin" w:eastAsia="IRNazanin" w:cs="IRNazanin"/>
          <w:lang w:bidi="fa-IR"/>
          <w:color w:val="111111"/>
          <w:sz w:val="28"/>
          <w:szCs w:val="28"/>
          <w:rtl/>
        </w:rPr>
        <w:t xml:space="preserve">آغاز: بسمله، بیان پاره حکایات و مکالمات عبدالملک بن مروان با ادبای زمان؛ انجام: و بتوفيق کردگار لم يزل بنگارش جلد پنجم شروع میشود جلد چهارم شامل التواریخ؛ خط: نستعلیق، کا: محمود نوری، تا: ۱۳۲۳ق، جان تهران؛ مجدول؛ کاغذ: فرنگی آبی، جلد: مخمل قرمز با گل و بوته، ۲۴۳گ، ۱۷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 اندازه: ۲۰/۵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۳۱/۵ سم [ف: ۴-۱۰۲]</w:t>
      </w:r>
    </w:p>
    <w:p>
      <w:pPr>
        <w:pStyle w:val="BookText"/>
      </w:pPr>
      <w:r>
        <w:rPr>
          <w:rFonts w:ascii="IRNazanin" w:hAnsi="IRNazanin" w:eastAsia="IRNazanin" w:cs="IRNazanin"/>
          <w:lang w:bidi="fa-IR"/>
          <w:color w:val="111111"/>
          <w:sz w:val="28"/>
          <w:szCs w:val="28"/>
          <w:rtl/>
        </w:rPr>
        <w:t xml:space="preserve">٣. تهران؛ ملی؛ شماره نسخه: ۱۶۲۰</w:t>
      </w:r>
    </w:p>
    <w:p>
      <w:pPr>
        <w:pStyle w:val="BookText"/>
      </w:pPr>
      <w:r>
        <w:rPr>
          <w:rFonts w:ascii="IRNazanin" w:hAnsi="IRNazanin" w:eastAsia="IRNazanin" w:cs="IRNazanin"/>
          <w:lang w:bidi="fa-IR"/>
          <w:color w:val="111111"/>
          <w:sz w:val="28"/>
          <w:szCs w:val="28"/>
          <w:rtl/>
        </w:rPr>
        <w:t xml:space="preserve">آغاز: برابر؛ انجام: و انشاء الله تعالى بعون خدا و توجه خدا بنگارش جلد دوم که بدولت بنی مروان بدایت و نهایت می گردد شروع میشود جلد اول شامل التواریخ؛ خط: نستعلیق، کا: حاجی محمد رضا متخلص به صفا و ملقب به سلطان الكتاب لشکر نویس محلاتی، تا: جمعه ۷ رجب ۱۳۲۹ق، جا: تهران؛ مجدول؛ کاغذ: فرنگی آبی، جلد: مخمل قرمز با گل و بوته، ۴۱۵گ، ۱۷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اندازه: 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۴-۱۰۳]</w:t>
      </w:r>
    </w:p>
    <w:p>
      <w:pPr>
        <w:pStyle w:val="BookText"/>
      </w:pPr>
      <w:r>
        <w:rPr>
          <w:rFonts w:ascii="IRNazanin" w:hAnsi="IRNazanin" w:eastAsia="IRNazanin" w:cs="IRNazanin"/>
          <w:lang w:bidi="fa-IR"/>
          <w:color w:val="111111"/>
          <w:sz w:val="28"/>
          <w:szCs w:val="28"/>
          <w:rtl/>
        </w:rPr>
        <w:t xml:space="preserve">← تاریخ الخليقة ← التاريخ العبرانی</w:t>
      </w:r>
    </w:p>
    <w:p>
      <w:pPr>
        <w:pStyle w:val="BookText"/>
      </w:pPr>
      <w:r>
        <w:rPr>
          <w:rFonts w:ascii="IRNazanin" w:hAnsi="IRNazanin" w:eastAsia="IRNazanin" w:cs="IRNazanin"/>
          <w:lang w:bidi="fa-IR"/>
          <w:color w:val="111111"/>
          <w:sz w:val="28"/>
          <w:szCs w:val="28"/>
          <w:rtl/>
        </w:rPr>
        <w:t xml:space="preserve">←تاریخ الخمیس ← الخميس في احوال نفس النفيس</w:t>
      </w:r>
    </w:p>
    <w:p>
      <w:pPr>
        <w:pStyle w:val="BookText"/>
      </w:pPr>
      <w:r>
        <w:rPr>
          <w:rFonts w:ascii="IRNazanin" w:hAnsi="IRNazanin" w:eastAsia="IRNazanin" w:cs="IRNazanin"/>
          <w:lang w:bidi="fa-IR"/>
          <w:color w:val="111111"/>
          <w:sz w:val="28"/>
          <w:szCs w:val="28"/>
          <w:rtl/>
        </w:rPr>
        <w:t xml:space="preserve">←تاریخ خواجه ← تاج التواريخ</w:t>
      </w:r>
    </w:p>
    <w:p>
      <w:pPr>
        <w:pStyle w:val="Heading3"/>
      </w:pPr>
      <w:bookmarkStart w:id="2280" w:name="_Toc1540"/>
      <w:r>
        <w:t>•تاریخ خوارزم / تاریخ / عربی</w:t>
      </w:r>
      <w:bookmarkEnd w:id="2280"/>
    </w:p>
    <w:p>
      <w:pPr>
        <w:pStyle w:val="BookText"/>
      </w:pPr>
      <w:r>
        <w:rPr>
          <w:rFonts w:ascii="Times New Roman" w:hAnsi="Times New Roman" w:eastAsia="Times New Roman" w:cs="Times New Roman"/>
          <w:lang w:val="en-US" w:bidi="en-US"/>
          <w:color w:val="111111"/>
          <w:sz w:val="28"/>
          <w:szCs w:val="28"/>
          <w:rtl/>
        </w:rPr>
        <w:t xml:space="preserve">tārīx-e xārazm</w:t>
      </w:r>
    </w:p>
    <w:p>
      <w:pPr>
        <w:pStyle w:val="BookText"/>
      </w:pPr>
      <w:r>
        <w:rPr>
          <w:rFonts w:ascii="IRNazanin" w:hAnsi="IRNazanin" w:eastAsia="IRNazanin" w:cs="IRNazanin"/>
          <w:lang w:bidi="fa-IR"/>
          <w:color w:val="111111"/>
          <w:sz w:val="28"/>
          <w:szCs w:val="28"/>
          <w:rtl/>
        </w:rPr>
        <w:t xml:space="preserve">عباسی خوارزمی، محمود بن محمد</w:t>
      </w:r>
    </w:p>
    <w:p>
      <w:pPr>
        <w:pStyle w:val="BookText"/>
      </w:pPr>
      <w:r>
        <w:rPr>
          <w:rFonts w:ascii="Times New Roman" w:hAnsi="Times New Roman" w:eastAsia="Times New Roman" w:cs="Times New Roman"/>
          <w:lang w:val="en-US" w:bidi="en-US"/>
          <w:color w:val="111111"/>
          <w:sz w:val="28"/>
          <w:szCs w:val="28"/>
          <w:rtl/>
        </w:rPr>
        <w:t xml:space="preserve">‘abbāsī xārazmī, mahmūd ebn-e mohammad</w:t>
      </w:r>
    </w:p>
    <w:p>
      <w:pPr>
        <w:pStyle w:val="BookText"/>
      </w:pPr>
      <w:r>
        <w:rPr>
          <w:rFonts w:ascii="IRNazanin" w:hAnsi="IRNazanin" w:eastAsia="IRNazanin" w:cs="IRNazanin"/>
          <w:lang w:bidi="fa-IR"/>
          <w:color w:val="111111"/>
          <w:sz w:val="28"/>
          <w:szCs w:val="28"/>
          <w:rtl/>
        </w:rPr>
        <w:t xml:space="preserve">آغاز: تاریخ خوارزم شاه. بسمله من تاريخه خوارزم للحافظ الرجال محمود بن محب ابن عباس بن ارسلان الخوارزمی من مجلد کتاب نقل عليه من أوله إلى آخره ساق ثلثة احادیث باطلة في فضل خوارزم علقتها في فضائل البلدان. اخبرنا شیخ القضاة ابوعلی ابن اسماعیل بن احمد بن الحسين البيهقى انا ابي الى ابو عبد الله الحافظ انجام: بعث اليها اثنين من الخوارزميين تم تاریخ خوارزم بالتمام و الكمال بعون الملک الوهاب ليراجع عند الاحتياج اليه برسم مولانا قاضي القضاة قدری افندى الحاكم الشرعي بفوه (؟) دامت فضائله</w:t>
      </w:r>
    </w:p>
    <w:p>
      <w:pPr>
        <w:pStyle w:val="BookText"/>
      </w:pPr>
      <w:r>
        <w:rPr>
          <w:rFonts w:ascii="IRNazanin" w:hAnsi="IRNazanin" w:eastAsia="IRNazanin" w:cs="IRNazanin"/>
          <w:lang w:bidi="fa-IR"/>
          <w:color w:val="111111"/>
          <w:sz w:val="28"/>
          <w:szCs w:val="28"/>
          <w:rtl/>
        </w:rPr>
        <w:t xml:space="preserve">[دنا ۷۰۳/۲ ؛ فهرستواره منزوی ۸۶۳/۲ ]</w:t>
      </w:r>
    </w:p>
    <w:p>
      <w:pPr>
        <w:pStyle w:val="BookText"/>
      </w:pPr>
      <w:r>
        <w:rPr>
          <w:rFonts w:ascii="IRNazanin" w:hAnsi="IRNazanin" w:eastAsia="IRNazanin" w:cs="IRNazanin"/>
          <w:lang w:bidi="fa-IR"/>
          <w:color w:val="111111"/>
          <w:sz w:val="28"/>
          <w:szCs w:val="28"/>
          <w:rtl/>
        </w:rPr>
        <w:t xml:space="preserve">تهران، دانشگاه؛ شماره نسخه:۲۹-ع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درهامش بندی است از احیاء غزالی و محاضرات راغب اصفهانی ابوالقاسم حسين بن محمد. در پایان تفسير سورة فاتحة الكتاب است از «الجلالین»؛ ۴گ (۹۴-۹۷)، ۲۰ سطر [فيلمها ف: ۱-۲۹۳]</w:t>
      </w:r>
    </w:p>
    <w:p>
      <w:pPr>
        <w:pStyle w:val="Heading3"/>
      </w:pPr>
      <w:bookmarkStart w:id="2281" w:name="_Toc1541"/>
      <w:r>
        <w:t>•تاریخ خوزستان / تاریخ ایران / فارسی</w:t>
      </w:r>
      <w:bookmarkEnd w:id="2281"/>
    </w:p>
    <w:p>
      <w:pPr>
        <w:pStyle w:val="BookText"/>
      </w:pPr>
      <w:r>
        <w:rPr>
          <w:rFonts w:ascii="Times New Roman" w:hAnsi="Times New Roman" w:eastAsia="Times New Roman" w:cs="Times New Roman"/>
          <w:lang w:val="en-US" w:bidi="en-US"/>
          <w:color w:val="111111"/>
          <w:sz w:val="28"/>
          <w:szCs w:val="28"/>
          <w:rtl/>
        </w:rPr>
        <w:t xml:space="preserve">tārīx-e xūzestān</w:t>
      </w:r>
    </w:p>
    <w:p>
      <w:pPr>
        <w:pStyle w:val="BookText"/>
      </w:pPr>
      <w:r>
        <w:rPr>
          <w:rFonts w:ascii="IRNazanin" w:hAnsi="IRNazanin" w:eastAsia="IRNazanin" w:cs="IRNazanin"/>
          <w:lang w:bidi="fa-IR"/>
          <w:color w:val="111111"/>
          <w:sz w:val="28"/>
          <w:szCs w:val="28"/>
          <w:rtl/>
        </w:rPr>
        <w:t xml:space="preserve">شوشتری جزایری، نورالدین بن محمد، ۱۳۱۶-۱۳۶۴ قمری</w:t>
      </w:r>
    </w:p>
    <w:p>
      <w:pPr>
        <w:pStyle w:val="BookText"/>
      </w:pPr>
      <w:r>
        <w:rPr>
          <w:rFonts w:ascii="Times New Roman" w:hAnsi="Times New Roman" w:eastAsia="Times New Roman" w:cs="Times New Roman"/>
          <w:lang w:val="en-US" w:bidi="en-US"/>
          <w:color w:val="111111"/>
          <w:sz w:val="28"/>
          <w:szCs w:val="28"/>
          <w:rtl/>
        </w:rPr>
        <w:t xml:space="preserve">šūštarī jazāyerī, nūr-od-dīn ebn-e mohammad (1899 1945)</w:t>
      </w:r>
    </w:p>
    <w:p>
      <w:pPr>
        <w:pStyle w:val="BookText"/>
      </w:pPr>
      <w:r>
        <w:rPr>
          <w:rFonts w:ascii="IRNazanin" w:hAnsi="IRNazanin" w:eastAsia="IRNazanin" w:cs="IRNazanin"/>
          <w:lang w:bidi="fa-IR"/>
          <w:color w:val="111111"/>
          <w:sz w:val="28"/>
          <w:szCs w:val="28"/>
          <w:rtl/>
        </w:rPr>
        <w:t xml:space="preserve">در ۳ مجلد؛ 1. جغرافيا، ۲. تاریخ سیاسی و امیران، ۳. زندگی نامه.</w:t>
      </w:r>
    </w:p>
    <w:p>
      <w:pPr>
        <w:pStyle w:val="BookText"/>
      </w:pPr>
      <w:r>
        <w:rPr>
          <w:rFonts w:ascii="IRNazanin" w:hAnsi="IRNazanin" w:eastAsia="IRNazanin" w:cs="IRNazanin"/>
          <w:lang w:bidi="fa-IR"/>
          <w:color w:val="111111"/>
          <w:sz w:val="28"/>
          <w:szCs w:val="28"/>
          <w:rtl/>
        </w:rPr>
        <w:t xml:space="preserve">[دنا ۷۰۴/۲ ؛ فهرستواره منزوی ۸۶۳/۲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 ۱۳۴۶۱</w:t>
      </w:r>
    </w:p>
    <w:p>
      <w:pPr>
        <w:pStyle w:val="BookText"/>
      </w:pPr>
      <w:r>
        <w:rPr>
          <w:rFonts w:ascii="IRNazanin" w:hAnsi="IRNazanin" w:eastAsia="IRNazanin" w:cs="IRNazanin"/>
          <w:lang w:bidi="fa-IR"/>
          <w:color w:val="111111"/>
          <w:sz w:val="28"/>
          <w:szCs w:val="28"/>
          <w:rtl/>
        </w:rPr>
        <w:t xml:space="preserve">آغاز: مقدمه تاریخ و منابع آن، کاوشها و اعصار قديمه؛ انجام: عضو اداره کل فلاحت و تجارت خاتمه به کمک او آمدند خط: نستعلیق تحریری، کاتب = مؤلف، بی تا، کاغذ: نخودی، جلد: تیماج ضربی، ابعاد متن: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(الفبائی: ۹۹]</w:t>
      </w:r>
    </w:p>
    <w:p>
      <w:pPr>
        <w:pStyle w:val="BookText"/>
      </w:pPr>
      <w:r>
        <w:rPr>
          <w:rFonts w:ascii="IRNazanin" w:hAnsi="IRNazanin" w:eastAsia="IRNazanin" w:cs="IRNazanin"/>
          <w:lang w:bidi="fa-IR"/>
          <w:color w:val="111111"/>
          <w:sz w:val="28"/>
          <w:szCs w:val="28"/>
          <w:rtl/>
        </w:rPr>
        <w:t xml:space="preserve">۲. مشهد؛ رضوی؛ شماره نسخه: ۱۳۴۳۲</w:t>
      </w:r>
    </w:p>
    <w:p>
      <w:pPr>
        <w:pStyle w:val="BookText"/>
      </w:pPr>
      <w:r>
        <w:rPr>
          <w:rFonts w:ascii="IRNazanin" w:hAnsi="IRNazanin" w:eastAsia="IRNazanin" w:cs="IRNazanin"/>
          <w:lang w:bidi="fa-IR"/>
          <w:color w:val="111111"/>
          <w:sz w:val="28"/>
          <w:szCs w:val="28"/>
          <w:rtl/>
        </w:rPr>
        <w:t xml:space="preserve">آغاز: ذكر خروج قلندرد رکوه کیلویه؛ انجام: بطرف روسیه پرواز می کنند</w:t>
      </w:r>
    </w:p>
    <w:p>
      <w:pPr>
        <w:pStyle w:val="BookText"/>
      </w:pPr>
      <w:r>
        <w:rPr>
          <w:rFonts w:ascii="IRNazanin" w:hAnsi="IRNazanin" w:eastAsia="IRNazanin" w:cs="IRNazanin"/>
          <w:lang w:bidi="fa-IR"/>
          <w:color w:val="111111"/>
          <w:sz w:val="28"/>
          <w:szCs w:val="28"/>
          <w:rtl/>
        </w:rPr>
        <w:t xml:space="preserve">بی کا، تا: قرن ۱۴؛ کاغذ: مشقی، جلد: مقوا، ۷ سطر (۷۷)، اندازه: 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[الفبائی: ۹۹]</w:t>
      </w:r>
    </w:p>
    <w:p>
      <w:pPr>
        <w:pStyle w:val="Heading3"/>
      </w:pPr>
      <w:bookmarkStart w:id="2282" w:name="_Toc1542"/>
      <w:r>
        <w:t>•تاریخ خوزستان مظهر الدولة / تاریخ / فارسی</w:t>
      </w:r>
      <w:bookmarkEnd w:id="2282"/>
    </w:p>
    <w:p>
      <w:pPr>
        <w:pStyle w:val="BookText"/>
      </w:pPr>
      <w:r>
        <w:rPr>
          <w:rFonts w:ascii="Times New Roman" w:hAnsi="Times New Roman" w:eastAsia="Times New Roman" w:cs="Times New Roman"/>
          <w:lang w:val="en-US" w:bidi="en-US"/>
          <w:color w:val="111111"/>
          <w:sz w:val="28"/>
          <w:szCs w:val="28"/>
          <w:rtl/>
        </w:rPr>
        <w:t xml:space="preserve">tārīx-e xūzestān-e mozher-od-dowle</w:t>
      </w:r>
    </w:p>
    <w:p>
      <w:pPr>
        <w:pStyle w:val="BookText"/>
      </w:pPr>
      <w:r>
        <w:rPr>
          <w:rFonts w:ascii="IRNazanin" w:hAnsi="IRNazanin" w:eastAsia="IRNazanin" w:cs="IRNazanin"/>
          <w:lang w:bidi="fa-IR"/>
          <w:color w:val="111111"/>
          <w:sz w:val="28"/>
          <w:szCs w:val="28"/>
          <w:rtl/>
        </w:rPr>
        <w:t xml:space="preserve">تهران؛ دانشگاه؛ شماره نسخه: ۵۰۹۶/۲ ف</w:t>
      </w:r>
    </w:p>
    <w:p>
      <w:pPr>
        <w:pStyle w:val="BookText"/>
      </w:pPr>
      <w:r>
        <w:rPr>
          <w:rFonts w:ascii="IRNazanin" w:hAnsi="IRNazanin" w:eastAsia="IRNazanin" w:cs="IRNazanin"/>
          <w:lang w:bidi="fa-IR"/>
          <w:color w:val="111111"/>
          <w:sz w:val="28"/>
          <w:szCs w:val="28"/>
          <w:rtl/>
        </w:rPr>
        <w:t xml:space="preserve">نسخه اصل: دانشگاه لوس آنجلس۱۱۸۲</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 بی کا، بی تا [فيلمها  ف: ۳-۱۳۳]</w:t>
      </w:r>
    </w:p>
    <w:p>
      <w:pPr>
        <w:pStyle w:val="Heading3"/>
      </w:pPr>
      <w:bookmarkStart w:id="2283" w:name="_Toc1543"/>
      <w:r>
        <w:t>• تاریخ خوی / جغرافیا، تاریخ / فارسی</w:t>
      </w:r>
      <w:bookmarkEnd w:id="2283"/>
    </w:p>
    <w:p>
      <w:pPr>
        <w:pStyle w:val="BookText"/>
      </w:pPr>
      <w:r>
        <w:rPr>
          <w:rFonts w:ascii="Times New Roman" w:hAnsi="Times New Roman" w:eastAsia="Times New Roman" w:cs="Times New Roman"/>
          <w:lang w:val="en-US" w:bidi="en-US"/>
          <w:color w:val="111111"/>
          <w:sz w:val="28"/>
          <w:szCs w:val="28"/>
          <w:rtl/>
        </w:rPr>
        <w:t xml:space="preserve">tārīx-e xoy</w:t>
      </w:r>
    </w:p>
    <w:p>
      <w:pPr>
        <w:pStyle w:val="BookText"/>
      </w:pPr>
      <w:r>
        <w:rPr>
          <w:rFonts w:ascii="IRNazanin" w:hAnsi="IRNazanin" w:eastAsia="IRNazanin" w:cs="IRNazanin"/>
          <w:lang w:bidi="fa-IR"/>
          <w:color w:val="111111"/>
          <w:sz w:val="28"/>
          <w:szCs w:val="28"/>
          <w:rtl/>
        </w:rPr>
        <w:t xml:space="preserve">امام جمعه خوئی، محمد امین بن یحیی، ۱۳۶۷ ؟ قمری</w:t>
      </w:r>
    </w:p>
    <w:p>
      <w:pPr>
        <w:pStyle w:val="BookText"/>
      </w:pPr>
      <w:r>
        <w:rPr>
          <w:rFonts w:ascii="Times New Roman" w:hAnsi="Times New Roman" w:eastAsia="Times New Roman" w:cs="Times New Roman"/>
          <w:lang w:val="en-US" w:bidi="en-US"/>
          <w:color w:val="111111"/>
          <w:sz w:val="28"/>
          <w:szCs w:val="28"/>
          <w:rtl/>
        </w:rPr>
        <w:t xml:space="preserve">emām jom'e xū’ī, mohammad amīn ebn-e yahyā ( 1948)</w:t>
      </w:r>
    </w:p>
    <w:p>
      <w:pPr>
        <w:pStyle w:val="BookText"/>
      </w:pPr>
      <w:r>
        <w:rPr>
          <w:rFonts w:ascii="IRNazanin" w:hAnsi="IRNazanin" w:eastAsia="IRNazanin" w:cs="IRNazanin"/>
          <w:lang w:bidi="fa-IR"/>
          <w:color w:val="111111"/>
          <w:sz w:val="28"/>
          <w:szCs w:val="28"/>
          <w:rtl/>
        </w:rPr>
        <w:t xml:space="preserve">گزیده ای از تاریخ شهر خوی است که علاوه بر تسميه شهر خوی و اوضاع تاریخی آن، به موقعیت جغرافیایی آن نیز پرداخته، عناوین رساله بدین شرح است: ۱. مقدمه: در سبب تأليف كتاب؛ ۲. وجه تسمیه کلمه خوی؛ 3. وضعيفت تاریخی شهر خوی.</w:t>
      </w:r>
    </w:p>
    <w:p>
      <w:pPr>
        <w:pStyle w:val="BookText"/>
      </w:pPr>
      <w:r>
        <w:rPr>
          <w:rFonts w:ascii="IRNazanin" w:hAnsi="IRNazanin" w:eastAsia="IRNazanin" w:cs="IRNazanin"/>
          <w:lang w:bidi="fa-IR"/>
          <w:color w:val="111111"/>
          <w:sz w:val="28"/>
          <w:szCs w:val="28"/>
          <w:rtl/>
        </w:rPr>
        <w:t xml:space="preserve">قم؛ مرعشی؛ شماره نسخه:۱۳۳۳۳/۵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462" w:name="pg20363_209768"/>
    <w:bookmarkEnd w:id="462"/>
    <w:p>
      <w:pPr>
        <w:pStyle w:val="BookText"/>
      </w:pPr>
      <w:r>
        <w:rPr>
          <w:rFonts w:ascii="IRNazanin" w:hAnsi="IRNazanin" w:eastAsia="IRNazanin" w:cs="IRNazanin"/>
          <w:lang w:bidi="fa-IR"/>
          <w:color w:val="111111"/>
          <w:sz w:val="28"/>
          <w:szCs w:val="28"/>
          <w:rtl/>
        </w:rPr>
        <w:t xml:space="preserve">آغاز: تابستان سال پیش ( ۱۳۱۵ هـ ) یکی شبی در دربند شمیران که هوا در نهایت صافی و اعتدال بوده و قرص عالم ارای قمر نور پر ابتهاج و ذرات اشعه مهیجه خود انجام: فاصله آن با نهر ارس که حد فاصل ما بين خاک ایران فعلی و بلاد قفقازیه روس است مطابق تعیین نقشه مرسومه ... کیلومتر است خط شکسته نستعلیق، کاتب = مؤلف، تا: ۱۳۱۵ق؛ افتادگی: انجام؛ محشی؛ کاغذ: دفتری خط دار، جلد: تیماج مشکی ضربی با ترنج گل و بوته، ۱۵گ (۴۵پ۵۹ر)، ۱۸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۳۳-۵۷۳]</w:t>
      </w:r>
    </w:p>
    <w:p>
      <w:pPr>
        <w:pStyle w:val="Heading3"/>
      </w:pPr>
      <w:bookmarkStart w:id="2284" w:name="_Toc1544"/>
      <w:r>
        <w:t>• تاریخ خوی / تاریخ / فارسی</w:t>
      </w:r>
      <w:bookmarkEnd w:id="2284"/>
    </w:p>
    <w:p>
      <w:pPr>
        <w:pStyle w:val="BookText"/>
      </w:pPr>
      <w:r>
        <w:rPr>
          <w:rFonts w:ascii="Times New Roman" w:hAnsi="Times New Roman" w:eastAsia="Times New Roman" w:cs="Times New Roman"/>
          <w:lang w:val="en-US" w:bidi="en-US"/>
          <w:color w:val="111111"/>
          <w:sz w:val="28"/>
          <w:szCs w:val="28"/>
          <w:rtl/>
        </w:rPr>
        <w:t xml:space="preserve">tārīx-e xoy</w:t>
      </w:r>
    </w:p>
    <w:p>
      <w:pPr>
        <w:pStyle w:val="BookText"/>
      </w:pPr>
      <w:r>
        <w:rPr>
          <w:rFonts w:ascii="IRNazanin" w:hAnsi="IRNazanin" w:eastAsia="IRNazanin" w:cs="IRNazanin"/>
          <w:lang w:bidi="fa-IR"/>
          <w:color w:val="111111"/>
          <w:sz w:val="28"/>
          <w:szCs w:val="28"/>
          <w:rtl/>
        </w:rPr>
        <w:t xml:space="preserve">خوئی، ابوالقاسم بن اسدالله، ۱۲۷۷ ق ۱۴ قمری</w:t>
      </w:r>
    </w:p>
    <w:p>
      <w:pPr>
        <w:pStyle w:val="BookText"/>
      </w:pPr>
      <w:r>
        <w:rPr>
          <w:rFonts w:ascii="Times New Roman" w:hAnsi="Times New Roman" w:eastAsia="Times New Roman" w:cs="Times New Roman"/>
          <w:lang w:val="en-US" w:bidi="en-US"/>
          <w:color w:val="111111"/>
          <w:sz w:val="28"/>
          <w:szCs w:val="28"/>
          <w:rtl/>
        </w:rPr>
        <w:t xml:space="preserve">xū’ī, ab-ol-qāsem ebn-e asadollāh (1861-20c)</w:t>
      </w:r>
    </w:p>
    <w:p>
      <w:pPr>
        <w:pStyle w:val="BookText"/>
      </w:pPr>
      <w:r>
        <w:rPr>
          <w:rFonts w:ascii="IRNazanin" w:hAnsi="IRNazanin" w:eastAsia="IRNazanin" w:cs="IRNazanin"/>
          <w:lang w:bidi="fa-IR"/>
          <w:color w:val="111111"/>
          <w:sz w:val="28"/>
          <w:szCs w:val="28"/>
          <w:rtl/>
        </w:rPr>
        <w:t xml:space="preserve">تاریخ و جغرافیای شهر خوی و آثار مهم تاریخی آن شهر و بیشتر به شرح حال خود مؤلف که هدف اصلی از تألیف این تاریخ بوده می پردازد و ضمنا وقایع بسیاری از رویدادهای عصر خویش را آورده و از جنبه تاریخی اهمیت دارد. دنا ۷۰۴/۲ ؛ سخنوران آذربایجان ۸۲۵/۲</w:t>
      </w:r>
    </w:p>
    <w:p>
      <w:pPr>
        <w:pStyle w:val="BookText"/>
      </w:pPr>
      <w:r>
        <w:rPr>
          <w:rFonts w:ascii="IRNazanin" w:hAnsi="IRNazanin" w:eastAsia="IRNazanin" w:cs="IRNazanin"/>
          <w:lang w:bidi="fa-IR"/>
          <w:color w:val="111111"/>
          <w:sz w:val="28"/>
          <w:szCs w:val="28"/>
          <w:rtl/>
        </w:rPr>
        <w:t xml:space="preserve">؛ تاریخ خوی (آقاسی) ۴۸۴]</w:t>
      </w:r>
    </w:p>
    <w:p>
      <w:pPr>
        <w:pStyle w:val="BookText"/>
      </w:pPr>
      <w:r>
        <w:rPr>
          <w:rFonts w:ascii="IRNazanin" w:hAnsi="IRNazanin" w:eastAsia="IRNazanin" w:cs="IRNazanin"/>
          <w:lang w:bidi="fa-IR"/>
          <w:color w:val="111111"/>
          <w:sz w:val="28"/>
          <w:szCs w:val="28"/>
          <w:rtl/>
        </w:rPr>
        <w:t xml:space="preserve">۱. قم؛ مرعشی؛ شماره نسخه: ۸۵۳۰</w:t>
      </w:r>
    </w:p>
    <w:p>
      <w:pPr>
        <w:pStyle w:val="BookText"/>
      </w:pPr>
      <w:r>
        <w:rPr>
          <w:rFonts w:ascii="IRNazanin" w:hAnsi="IRNazanin" w:eastAsia="IRNazanin" w:cs="IRNazanin"/>
          <w:lang w:bidi="fa-IR"/>
          <w:color w:val="111111"/>
          <w:sz w:val="28"/>
          <w:szCs w:val="28"/>
          <w:rtl/>
        </w:rPr>
        <w:t xml:space="preserve">آغاز: الحمدلله رب العالمين ... و بعد این مختصری است. در بیان حسب و نسب حود و شرح گزارشات و وقایع عمر و زندگانی؛ انجام: و هی می گفته است که این حاجی حیدر خان است. خط: نستعلیق، کاتب = مؤلف، بی تا، افتادگی: انجام؛ مصحح جلد: تیماج قرمز، ۲۲۸گ، ۱۷ سطر، اندازه: ۱۵/۵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۱۱۱-۲۲ ]</w:t>
      </w:r>
    </w:p>
    <w:p>
      <w:pPr>
        <w:pStyle w:val="BookText"/>
      </w:pPr>
      <w:r>
        <w:rPr>
          <w:rFonts w:ascii="IRNazanin" w:hAnsi="IRNazanin" w:eastAsia="IRNazanin" w:cs="IRNazanin"/>
          <w:lang w:bidi="fa-IR"/>
          <w:color w:val="111111"/>
          <w:sz w:val="28"/>
          <w:szCs w:val="28"/>
          <w:rtl/>
        </w:rPr>
        <w:t xml:space="preserve">۲. قم؛ مرعشی؛ شماره نسخه: ۱۲۲۶۰</w:t>
      </w:r>
    </w:p>
    <w:p>
      <w:pPr>
        <w:pStyle w:val="BookText"/>
      </w:pPr>
      <w:r>
        <w:rPr>
          <w:rFonts w:ascii="IRNazanin" w:hAnsi="IRNazanin" w:eastAsia="IRNazanin" w:cs="IRNazanin"/>
          <w:lang w:bidi="fa-IR"/>
          <w:color w:val="111111"/>
          <w:sz w:val="28"/>
          <w:szCs w:val="28"/>
          <w:rtl/>
        </w:rPr>
        <w:t xml:space="preserve">آغاز: الحمدلله المتفرد بالعز و البقاء المتنزه بصفات القدس و الكبرياء .. و بعد این صحیفه نیفه (كذا) خود مختصری است؛ انجام: و بهر طلبه که قرض میداند اگر نداشت طلب خود را از میرزا میگرفتند خط: شکسته نستعلیق، بی کا، تا: قرن ۱۴؛ افتادگی: انجام؛ مصحح، محشی؛ در تطبیق با نسخه ۸۵۳۰ این نسخه، جز چند برگ آغازین، موجود نیست و مقدار قابل توجهی از آن افتاده است؛ کاغذ: فرنگی، جلد: تیماج مشکی با ترنج گل و بوته، ۳۰گ، ۱۸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۳۱-۱۰۲]</w:t>
      </w:r>
    </w:p>
    <w:p>
      <w:pPr>
        <w:pStyle w:val="Heading3"/>
      </w:pPr>
      <w:bookmarkStart w:id="2285" w:name="_Toc1545"/>
      <w:r>
        <w:t>• تاریخ خیرات = اصح التواريخ = احسن التواریخ / تاریخ جهان / فارسی</w:t>
      </w:r>
      <w:bookmarkEnd w:id="2285"/>
    </w:p>
    <w:p>
      <w:pPr>
        <w:pStyle w:val="BookText"/>
      </w:pPr>
      <w:r>
        <w:rPr>
          <w:rFonts w:ascii="Times New Roman" w:hAnsi="Times New Roman" w:eastAsia="Times New Roman" w:cs="Times New Roman"/>
          <w:lang w:val="en-US" w:bidi="en-US"/>
          <w:color w:val="111111"/>
          <w:sz w:val="28"/>
          <w:szCs w:val="28"/>
          <w:rtl/>
        </w:rPr>
        <w:t xml:space="preserve">tārīx-e xayrāt = asahh-ot tavārīx = ahsan-ot tavārīx</w:t>
      </w:r>
    </w:p>
    <w:p>
      <w:pPr>
        <w:pStyle w:val="BookText"/>
      </w:pPr>
      <w:r>
        <w:rPr>
          <w:rFonts w:ascii="IRNazanin" w:hAnsi="IRNazanin" w:eastAsia="IRNazanin" w:cs="IRNazanin"/>
          <w:lang w:bidi="fa-IR"/>
          <w:color w:val="111111"/>
          <w:sz w:val="28"/>
          <w:szCs w:val="28"/>
          <w:rtl/>
        </w:rPr>
        <w:t xml:space="preserve">موسوی خراسانی، محمد بن امیر کبیر، ق ۹ قمری</w:t>
      </w:r>
    </w:p>
    <w:p>
      <w:pPr>
        <w:pStyle w:val="BookText"/>
      </w:pPr>
      <w:r>
        <w:rPr>
          <w:rFonts w:ascii="Times New Roman" w:hAnsi="Times New Roman" w:eastAsia="Times New Roman" w:cs="Times New Roman"/>
          <w:lang w:val="en-US" w:bidi="en-US"/>
          <w:color w:val="111111"/>
          <w:sz w:val="28"/>
          <w:szCs w:val="28"/>
          <w:rtl/>
        </w:rPr>
        <w:t xml:space="preserve">mūsavī xorāsānī, mohammad ebn-e amīr kabīr (-150)</w:t>
      </w:r>
    </w:p>
    <w:p>
      <w:pPr>
        <w:pStyle w:val="BookText"/>
      </w:pPr>
      <w:r>
        <w:rPr>
          <w:rFonts w:ascii="IRNazanin" w:hAnsi="IRNazanin" w:eastAsia="IRNazanin" w:cs="IRNazanin"/>
          <w:lang w:bidi="fa-IR"/>
          <w:color w:val="111111"/>
          <w:sz w:val="28"/>
          <w:szCs w:val="28"/>
          <w:rtl/>
        </w:rPr>
        <w:t xml:space="preserve">تاریخ خليقة - تاریخ دار الايمان ۶۴۱</w:t>
      </w:r>
    </w:p>
    <w:p>
      <w:pPr>
        <w:pStyle w:val="BookText"/>
      </w:pPr>
      <w:r>
        <w:rPr>
          <w:rFonts w:ascii="IRNazanin" w:hAnsi="IRNazanin" w:eastAsia="IRNazanin" w:cs="IRNazanin"/>
          <w:lang w:bidi="fa-IR"/>
          <w:color w:val="111111"/>
          <w:sz w:val="28"/>
          <w:szCs w:val="28"/>
          <w:rtl/>
        </w:rPr>
        <w:t xml:space="preserve">اهدا به: شاهرخ (۸۰۷-۸۵۰ق) تاریخ ایران است از آفرینش تا مرگ تیمور ۸۰۷ و رویدادها را تا ۸۵۰ نیز بر آن افزوده است. در ۱ «مقاله» و ۳ «قسم» و۱«خاتمه»: قسم اول از کیومرث تا یزدگرد، در ۴ طبقه» (باب)؛ دوم از شیث تا المعتصم ۸ «طبقه»؛ سوم پادشاهان روزگار عباسیان، ۱۳ (۱۲) «طبقه». در آن از ۴۹ کتاب بهره برده، از آن میان از «تاریخ حافظ ابرو» و «تاریخ وصاف» نیز یاد کرده است. (احمد منزوی)</w:t>
      </w:r>
    </w:p>
    <w:p>
      <w:pPr>
        <w:pStyle w:val="BookText"/>
      </w:pPr>
      <w:r>
        <w:rPr>
          <w:rFonts w:ascii="IRNazanin" w:hAnsi="IRNazanin" w:eastAsia="IRNazanin" w:cs="IRNazanin"/>
          <w:lang w:bidi="fa-IR"/>
          <w:color w:val="111111"/>
          <w:sz w:val="28"/>
          <w:szCs w:val="28"/>
          <w:rtl/>
        </w:rPr>
        <w:t xml:space="preserve">آغاز: حمد بی حد و ثنای بی عد حکیمی را ... که گوهر وجود انسان را ... به صحرای وجود آورد انجام: و در دهم رمضان سنة خمس و عشرین و ثمان مأة براه آمدند و الله اعلم بالصواب</w:t>
      </w:r>
    </w:p>
    <w:p>
      <w:pPr>
        <w:pStyle w:val="BookText"/>
      </w:pPr>
      <w:r>
        <w:rPr>
          <w:rFonts w:ascii="IRNazanin" w:hAnsi="IRNazanin" w:eastAsia="IRNazanin" w:cs="IRNazanin"/>
          <w:lang w:bidi="fa-IR"/>
          <w:color w:val="111111"/>
          <w:sz w:val="28"/>
          <w:szCs w:val="28"/>
          <w:rtl/>
        </w:rPr>
        <w:t xml:space="preserve">[دنا ۷۰۴/۲ ؛ استوری ۸۹/۱ و ۱۳۲۶؛ ذیل ریوش ۴۲۳؛ فهرستواره منزوی ۵۷۵/۱]</w:t>
      </w:r>
    </w:p>
    <w:p>
      <w:pPr>
        <w:pStyle w:val="BookText"/>
      </w:pPr>
      <w:r>
        <w:rPr>
          <w:rFonts w:ascii="IRNazanin" w:hAnsi="IRNazanin" w:eastAsia="IRNazanin" w:cs="IRNazanin"/>
          <w:lang w:bidi="fa-IR"/>
          <w:color w:val="111111"/>
          <w:sz w:val="28"/>
          <w:szCs w:val="28"/>
          <w:rtl/>
        </w:rPr>
        <w:t xml:space="preserve">۱. تهران: دانشگاه؛ شماره نسخه: ۸۷۲-ف</w:t>
      </w:r>
    </w:p>
    <w:p>
      <w:pPr>
        <w:pStyle w:val="BookText"/>
      </w:pPr>
      <w:r>
        <w:rPr>
          <w:rFonts w:ascii="IRNazanin" w:hAnsi="IRNazanin" w:eastAsia="IRNazanin" w:cs="IRNazanin"/>
          <w:lang w:bidi="fa-IR"/>
          <w:color w:val="111111"/>
          <w:sz w:val="28"/>
          <w:szCs w:val="28"/>
          <w:rtl/>
        </w:rPr>
        <w:t xml:space="preserve">نسخه اصل:بادليان ش ۲ الیوتاته ۳۲؛ خط: نستعلیق خوش، بی کا، تا: نیمه های ذیحجه ۸۴۳ق؛ ۴۳۶گ، ۳۵ سطر [فيلمها ف: ۱-۳۴]</w:t>
      </w:r>
    </w:p>
    <w:p>
      <w:pPr>
        <w:pStyle w:val="BookText"/>
      </w:pPr>
      <w:r>
        <w:rPr>
          <w:rFonts w:ascii="IRNazanin" w:hAnsi="IRNazanin" w:eastAsia="IRNazanin" w:cs="IRNazanin"/>
          <w:lang w:bidi="fa-IR"/>
          <w:color w:val="111111"/>
          <w:sz w:val="28"/>
          <w:szCs w:val="28"/>
          <w:rtl/>
        </w:rPr>
        <w:t xml:space="preserve">۲. تهران، ادبیات، شماره نسخه: ۶۱. ب</w:t>
      </w:r>
    </w:p>
    <w:p>
      <w:pPr>
        <w:pStyle w:val="BookText"/>
      </w:pPr>
      <w:r>
        <w:rPr>
          <w:rFonts w:ascii="IRNazanin" w:hAnsi="IRNazanin" w:eastAsia="IRNazanin" w:cs="IRNazanin"/>
          <w:lang w:bidi="fa-IR"/>
          <w:color w:val="111111"/>
          <w:sz w:val="28"/>
          <w:szCs w:val="28"/>
          <w:rtl/>
        </w:rPr>
        <w:t xml:space="preserve">آغاز و انجام: برابر خط: نستعلیق، بی کا، تا:۱۲۴۳ق؛ کاغذ: فرنگی، جلد: تیماج قهوه ای،</w:t>
      </w:r>
    </w:p>
    <w:p>
      <w:pPr>
        <w:pStyle w:val="BookText"/>
      </w:pPr>
      <w:r>
        <w:rPr>
          <w:rFonts w:ascii="IRNazanin" w:hAnsi="IRNazanin" w:eastAsia="IRNazanin" w:cs="IRNazanin"/>
          <w:lang w:bidi="fa-IR"/>
          <w:color w:val="111111"/>
          <w:sz w:val="28"/>
          <w:szCs w:val="28"/>
          <w:rtl/>
        </w:rPr>
        <w:t xml:space="preserve">۱۷۴ گ، ۲۱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۱-۶۴]</w:t>
      </w:r>
    </w:p>
    <w:p>
      <w:pPr>
        <w:pStyle w:val="BookText"/>
      </w:pPr>
      <w:r>
        <w:rPr>
          <w:rFonts w:ascii="IRNazanin" w:hAnsi="IRNazanin" w:eastAsia="IRNazanin" w:cs="IRNazanin"/>
          <w:lang w:bidi="fa-IR"/>
          <w:color w:val="111111"/>
          <w:sz w:val="28"/>
          <w:szCs w:val="28"/>
          <w:rtl/>
        </w:rPr>
        <w:t xml:space="preserve">٣. تهران؛ دانشگاه؛ شماره نسخه:۵۵۷۶</w:t>
      </w:r>
    </w:p>
    <w:p>
      <w:pPr>
        <w:pStyle w:val="BookText"/>
      </w:pPr>
      <w:r>
        <w:rPr>
          <w:rFonts w:ascii="IRNazanin" w:hAnsi="IRNazanin" w:eastAsia="IRNazanin" w:cs="IRNazanin"/>
          <w:lang w:bidi="fa-IR"/>
          <w:color w:val="111111"/>
          <w:sz w:val="28"/>
          <w:szCs w:val="28"/>
          <w:rtl/>
        </w:rPr>
        <w:t xml:space="preserve">خط: نستعلیق، كا: علی اصغر رودباری، تا: ۱۲۶۷ق؛ با یادداشت ۱۱ ذیحجه ۱۲۶۸ که نسخه را اسحاق میرزا پسر رئيس الدوله از قزوین برای نویسنده یادداشت فرستاده؛ کاغذ: فرنگی، جلد: تیماج سبز تیره ضربی مقوایی، ۱۵۶گ، ۲۶ سطر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قطع: رحلی،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۱۶-۳۸]</w:t>
      </w:r>
    </w:p>
    <w:p>
      <w:pPr>
        <w:pStyle w:val="BookText"/>
      </w:pPr>
      <w:r>
        <w:rPr>
          <w:rFonts w:ascii="IRNazanin" w:hAnsi="IRNazanin" w:eastAsia="IRNazanin" w:cs="IRNazanin"/>
          <w:lang w:bidi="fa-IR"/>
          <w:color w:val="111111"/>
          <w:sz w:val="28"/>
          <w:szCs w:val="28"/>
          <w:rtl/>
        </w:rPr>
        <w:t xml:space="preserve">تهران؛ دانشگاه؛ شماره نسخه: ۲۷۷۱ف و ۲۷۹۶-ف</w:t>
      </w:r>
    </w:p>
    <w:p>
      <w:pPr>
        <w:pStyle w:val="BookText"/>
      </w:pPr>
      <w:r>
        <w:rPr>
          <w:rFonts w:ascii="Amiri" w:hAnsi="Amiri" w:eastAsia="Amiri" w:cs="Amiri"/>
          <w:lang w:bidi="ar-SA"/>
          <w:color w:val="111111"/>
          <w:sz w:val="28"/>
          <w:szCs w:val="28"/>
          <w:rtl/>
        </w:rPr>
        <w:t xml:space="preserve">نسخه اصل: همان نسخه بالا [فيلمها ف: ۱-۳۴]</w:t>
      </w:r>
    </w:p>
    <w:p>
      <w:pPr>
        <w:pStyle w:val="Heading3"/>
      </w:pPr>
      <w:bookmarkStart w:id="2286" w:name="_Toc1546"/>
      <w:r>
        <w:t>•تاریخ دار الايمان قم / تاریخ ایران / فارسی</w:t>
      </w:r>
      <w:bookmarkEnd w:id="2286"/>
    </w:p>
    <w:p>
      <w:pPr>
        <w:pStyle w:val="BookText"/>
      </w:pPr>
      <w:r>
        <w:rPr>
          <w:rFonts w:ascii="Times New Roman" w:hAnsi="Times New Roman" w:eastAsia="Times New Roman" w:cs="Times New Roman"/>
          <w:lang w:val="en-US" w:bidi="en-US"/>
          <w:color w:val="111111"/>
          <w:sz w:val="28"/>
          <w:szCs w:val="28"/>
          <w:rtl/>
        </w:rPr>
        <w:t xml:space="preserve">tārīx-e dār-ol-īmān qom</w:t>
      </w:r>
    </w:p>
    <w:p>
      <w:pPr>
        <w:pStyle w:val="BookText"/>
      </w:pPr>
      <w:r>
        <w:rPr>
          <w:rFonts w:ascii="IRNazanin" w:hAnsi="IRNazanin" w:eastAsia="IRNazanin" w:cs="IRNazanin"/>
          <w:lang w:bidi="fa-IR"/>
          <w:color w:val="111111"/>
          <w:sz w:val="28"/>
          <w:szCs w:val="28"/>
          <w:rtl/>
        </w:rPr>
        <w:t xml:space="preserve">ارباب، محمد تقی بیک بن حسنعلی بیک</w:t>
      </w:r>
    </w:p>
    <w:p>
      <w:pPr>
        <w:pStyle w:val="BookText"/>
      </w:pPr>
      <w:r>
        <w:rPr>
          <w:rFonts w:ascii="Times New Roman" w:hAnsi="Times New Roman" w:eastAsia="Times New Roman" w:cs="Times New Roman"/>
          <w:lang w:val="en-US" w:bidi="en-US"/>
          <w:color w:val="111111"/>
          <w:sz w:val="28"/>
          <w:szCs w:val="28"/>
          <w:rtl/>
        </w:rPr>
        <w:t xml:space="preserve">arbāb, mohammad taqī beyk-e bn-e hasan--alī beyk</w:t>
      </w:r>
    </w:p>
    <w:p>
      <w:pPr>
        <w:pStyle w:val="BookText"/>
      </w:pPr>
      <w:r>
        <w:rPr>
          <w:rFonts w:ascii="IRNazanin" w:hAnsi="IRNazanin" w:eastAsia="IRNazanin" w:cs="IRNazanin"/>
          <w:lang w:bidi="fa-IR"/>
          <w:color w:val="111111"/>
          <w:sz w:val="28"/>
          <w:szCs w:val="28"/>
          <w:rtl/>
        </w:rPr>
        <w:t xml:space="preserve">اهدا به: میر سید مهدی موتمن السلطان حکمران قم بعد از تصمیم امنای دولت، بر تأليف كتاب «مرآت البلدان في احوالات بلاد ایران» از حکام ولایات خواسته می شود که از اشخاص خبير و بصیر هر ولایت بخواهند تا احوالات آن ولایت را تحریر و تألیف نماید. لذا مؤلف به خواسته «میر سید مهدی موتمن السلطان» حکمران قم این تاریخ را تألیف نموده است در یک «مقدمه» و چند «باب». عنوان مطالب:در ذكر قم، در ذکر عدد نفوس اشراف و اعیان و علما و سادات قم، اماکن و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463" w:name="pg20363_209769"/>
    <w:bookmarkEnd w:id="463"/>
    <w:p>
      <w:pPr>
        <w:pStyle w:val="BookText"/>
      </w:pPr>
      <w:r>
        <w:rPr>
          <w:rFonts w:ascii="IRNazanin" w:hAnsi="IRNazanin" w:eastAsia="IRNazanin" w:cs="IRNazanin"/>
          <w:lang w:bidi="fa-IR"/>
          <w:color w:val="111111"/>
          <w:sz w:val="28"/>
          <w:szCs w:val="28"/>
          <w:rtl/>
        </w:rPr>
        <w:t xml:space="preserve">عمارات عالی درجات که اول به قم آمدند، در ذکر باره بلده قم و انهار و رباغات و مستقلات و مساجد و مدارس در دوباره قم و محلات شهر، در ذکر اصناف بازار قم و مالیات قدیم و جدید، در ذکر دهات و مزارع. آغاز: بعد بسمله و حمد. و بعد چون رأى بيضا ضیای امنای دولت قاهره و اولیای سلطنت باهره بر تألیف و تصنیف کتاب مرآت البلدان في احوالات بلاد الايران ... قرار گرفته بود که در شهری بصیری و چیزی از اهل ولایت باشد احوالات آن ولایت را بقدر قوه دانش خود بنگارد و اتمام این عمل را در دارالايمان قم از بندگان ... میرزا سید مهدی حکمران این ولایت خواسته ... بعهده این بنده گذارده ... چاپ: به کوشش حسین مدرسی طباطبائی، فرهنگ ایران زمین، مجلد ۲۲، ۱۳۵۶ش، ۱۷-۶۶</w:t>
      </w:r>
    </w:p>
    <w:p>
      <w:pPr>
        <w:pStyle w:val="BookText"/>
      </w:pPr>
      <w:r>
        <w:rPr>
          <w:rFonts w:ascii="IRNazanin" w:hAnsi="IRNazanin" w:eastAsia="IRNazanin" w:cs="IRNazanin"/>
          <w:lang w:bidi="fa-IR"/>
          <w:color w:val="111111"/>
          <w:sz w:val="28"/>
          <w:szCs w:val="28"/>
          <w:rtl/>
        </w:rPr>
        <w:t xml:space="preserve">[دنا ۷۰۴/۲ ؛ فهرستواره منزوی ۸۶۳/۲ ]</w:t>
      </w:r>
    </w:p>
    <w:p>
      <w:pPr>
        <w:pStyle w:val="BookText"/>
      </w:pPr>
      <w:r>
        <w:rPr>
          <w:rFonts w:ascii="IRNazanin" w:hAnsi="IRNazanin" w:eastAsia="IRNazanin" w:cs="IRNazanin"/>
          <w:lang w:bidi="fa-IR"/>
          <w:color w:val="111111"/>
          <w:sz w:val="28"/>
          <w:szCs w:val="28"/>
          <w:rtl/>
        </w:rPr>
        <w:t xml:space="preserve">تهران؛ مجلس؛ شماره نسخه:۱۳۳۴</w:t>
      </w:r>
    </w:p>
    <w:p>
      <w:pPr>
        <w:pStyle w:val="BookText"/>
      </w:pPr>
      <w:r>
        <w:rPr>
          <w:rFonts w:ascii="IRNazanin" w:hAnsi="IRNazanin" w:eastAsia="IRNazanin" w:cs="IRNazanin"/>
          <w:lang w:bidi="fa-IR"/>
          <w:color w:val="111111"/>
          <w:sz w:val="28"/>
          <w:szCs w:val="28"/>
          <w:rtl/>
        </w:rPr>
        <w:t xml:space="preserve">آغاز: برابر؛ انجام: دیگر کوه و برادران است که دو کوه لمعي هم است ... انشاء الله بنظر بینش قبول ارباب دانش شود حرره و صنفه چاکر جان نثار دربار معدلت مدار محمد تقی بیک ولد حسین علی بیک قمی میر آب قنات ناصری ... خط: نستعلیق، كا: عبدالرحیم تفرشی، تا: محرم ۱۲۹۵ق؛ کاغذ: رنگارنگ، جلد: ساغری سبز، ۱۰۲گ، وسطر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[سنا: ف: ۲-۲۲۵]</w:t>
      </w:r>
    </w:p>
    <w:p>
      <w:pPr>
        <w:pStyle w:val="BookText"/>
      </w:pPr>
      <w:r>
        <w:rPr>
          <w:rFonts w:ascii="IRNazanin" w:hAnsi="IRNazanin" w:eastAsia="IRNazanin" w:cs="IRNazanin"/>
          <w:lang w:bidi="fa-IR"/>
          <w:color w:val="111111"/>
          <w:sz w:val="28"/>
          <w:szCs w:val="28"/>
          <w:rtl/>
        </w:rPr>
        <w:t xml:space="preserve">قم؛ مرعشی؛ شماره نسخه:۴۵۴عکسی</w:t>
      </w:r>
    </w:p>
    <w:p>
      <w:pPr>
        <w:pStyle w:val="BookText"/>
      </w:pPr>
      <w:r>
        <w:rPr>
          <w:rFonts w:ascii="IRNazanin" w:hAnsi="IRNazanin" w:eastAsia="IRNazanin" w:cs="IRNazanin"/>
          <w:lang w:bidi="fa-IR"/>
          <w:color w:val="111111"/>
          <w:sz w:val="28"/>
          <w:szCs w:val="28"/>
          <w:rtl/>
        </w:rPr>
        <w:t xml:space="preserve">نسخه اصل: همان نسخه بالا [عکسی ف: ۱-۴۰۳]</w:t>
      </w:r>
    </w:p>
    <w:p>
      <w:pPr>
        <w:pStyle w:val="BookText"/>
      </w:pPr>
      <w:r>
        <w:rPr>
          <w:rFonts w:ascii="IRNazanin" w:hAnsi="IRNazanin" w:eastAsia="IRNazanin" w:cs="IRNazanin"/>
          <w:lang w:bidi="fa-IR"/>
          <w:color w:val="111111"/>
          <w:sz w:val="28"/>
          <w:szCs w:val="28"/>
          <w:rtl/>
        </w:rPr>
        <w:t xml:space="preserve">←تاریخ دارالمؤمنین قم ← تاریخ قم (ترجمه)</w:t>
      </w:r>
    </w:p>
    <w:p>
      <w:pPr>
        <w:pStyle w:val="BookText"/>
      </w:pPr>
      <w:r>
        <w:rPr>
          <w:rFonts w:ascii="IRNazanin" w:hAnsi="IRNazanin" w:eastAsia="IRNazanin" w:cs="IRNazanin"/>
          <w:lang w:bidi="fa-IR"/>
          <w:color w:val="111111"/>
          <w:sz w:val="28"/>
          <w:szCs w:val="28"/>
          <w:rtl/>
        </w:rPr>
        <w:t xml:space="preserve">← تاریخ داغستان ← گلستان ارم</w:t>
      </w:r>
    </w:p>
    <w:p>
      <w:pPr>
        <w:pStyle w:val="Heading3"/>
      </w:pPr>
      <w:bookmarkStart w:id="2287" w:name="_Toc1547"/>
      <w:r>
        <w:t>•تاریخ دانشمندان گمنام / تراجم / فارسی</w:t>
      </w:r>
      <w:bookmarkEnd w:id="2287"/>
    </w:p>
    <w:p>
      <w:pPr>
        <w:pStyle w:val="BookText"/>
      </w:pPr>
      <w:r>
        <w:rPr>
          <w:rFonts w:ascii="Times New Roman" w:hAnsi="Times New Roman" w:eastAsia="Times New Roman" w:cs="Times New Roman"/>
          <w:lang w:val="en-US" w:bidi="en-US"/>
          <w:color w:val="111111"/>
          <w:sz w:val="28"/>
          <w:szCs w:val="28"/>
          <w:rtl/>
        </w:rPr>
        <w:t xml:space="preserve">tārīx-e dānešmandān-e gomnām</w:t>
      </w:r>
    </w:p>
    <w:p>
      <w:pPr>
        <w:pStyle w:val="BookText"/>
      </w:pPr>
      <w:r>
        <w:rPr>
          <w:rFonts w:ascii="IRNazanin" w:hAnsi="IRNazanin" w:eastAsia="IRNazanin" w:cs="IRNazanin"/>
          <w:lang w:bidi="fa-IR"/>
          <w:color w:val="111111"/>
          <w:sz w:val="28"/>
          <w:szCs w:val="28"/>
          <w:rtl/>
        </w:rPr>
        <w:t xml:space="preserve">امام جمعه خوئی، محمد امین بن یحیی، -۱۳۶۷ ؟ قمری</w:t>
      </w:r>
    </w:p>
    <w:p>
      <w:pPr>
        <w:pStyle w:val="BookText"/>
      </w:pPr>
      <w:r>
        <w:rPr>
          <w:rFonts w:ascii="Times New Roman" w:hAnsi="Times New Roman" w:eastAsia="Times New Roman" w:cs="Times New Roman"/>
          <w:lang w:val="en-US" w:bidi="en-US"/>
          <w:color w:val="111111"/>
          <w:sz w:val="28"/>
          <w:szCs w:val="28"/>
          <w:rtl/>
        </w:rPr>
        <w:t xml:space="preserve">emām jom'e xū’ī, mohammad amīn ebn-e yahyā ( 1948)</w:t>
      </w:r>
    </w:p>
    <w:p>
      <w:pPr>
        <w:pStyle w:val="BookText"/>
      </w:pPr>
      <w:r>
        <w:rPr>
          <w:rFonts w:ascii="IRNazanin" w:hAnsi="IRNazanin" w:eastAsia="IRNazanin" w:cs="IRNazanin"/>
          <w:lang w:bidi="fa-IR"/>
          <w:color w:val="111111"/>
          <w:sz w:val="28"/>
          <w:szCs w:val="28"/>
          <w:rtl/>
        </w:rPr>
        <w:t xml:space="preserve">زندگی نامه ۳۴ تن از علما و دانشمندان و مفاخر علمی و ادبی خوی می باشد که در استدراکی بر کتاب «دانشمندان آذربایجان» تأليف محمد على تربيت» نگاشته شده است و ضمن آن از تاریخ و جغرافیای منطقه خوی نیز سخن به میان آمده است. این کتاب برای پژوهشگران تاریخ خوی اثر بدیع و در خور توجه می باشد. مؤلف، در مقدمه آن گوید: «زحمتی که نگارنده برای تألیف این وجیزه بر خود هموار کرده ام خیلی پیش از آن ست که قطر این وجیزه آن را نشان می دهد.»</w:t>
      </w:r>
    </w:p>
    <w:p>
      <w:pPr>
        <w:pStyle w:val="BookText"/>
      </w:pPr>
      <w:r>
        <w:rPr>
          <w:rFonts w:ascii="IRNazanin" w:hAnsi="IRNazanin" w:eastAsia="IRNazanin" w:cs="IRNazanin"/>
          <w:lang w:bidi="fa-IR"/>
          <w:color w:val="111111"/>
          <w:sz w:val="28"/>
          <w:szCs w:val="28"/>
          <w:rtl/>
        </w:rPr>
        <w:t xml:space="preserve">قم؛ مرعشی؛ شماره نسخه: ۱۲۲۷۴/۱</w:t>
      </w:r>
    </w:p>
    <w:p>
      <w:pPr>
        <w:pStyle w:val="BookText"/>
      </w:pPr>
      <w:r>
        <w:rPr>
          <w:rFonts w:ascii="IRNazanin" w:hAnsi="IRNazanin" w:eastAsia="IRNazanin" w:cs="IRNazanin"/>
          <w:lang w:bidi="fa-IR"/>
          <w:color w:val="111111"/>
          <w:sz w:val="28"/>
          <w:szCs w:val="28"/>
          <w:rtl/>
        </w:rPr>
        <w:t xml:space="preserve">آغاز: چندی پیش یک شبی در دربند شمیران در کنار بوستان حلقه از دوستان در هوای صاف و مهتاب؛ انجام: ابو عمران مظفر بن الحسين بن المهند السلماسی الخوئی خط: شکسته نستعلیق، کاتب = مؤلف، تا: قرن ۱۴؛ افتادگی: انجام؛ مصحح؛ کاغذ: فرنگی خط دار، ۳۶گ (۱-۳۶)، ۲۰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سم [ف: ۳۱-۱۱۹]</w:t>
      </w:r>
    </w:p>
    <w:p>
      <w:pPr>
        <w:pStyle w:val="Heading3"/>
      </w:pPr>
      <w:bookmarkStart w:id="2288" w:name="_Toc1548"/>
      <w:r>
        <w:t>•تاریخ دانی / تاریخ / فارسی</w:t>
      </w:r>
      <w:bookmarkEnd w:id="2288"/>
    </w:p>
    <w:p>
      <w:pPr>
        <w:pStyle w:val="BookText"/>
      </w:pPr>
      <w:r>
        <w:rPr>
          <w:rFonts w:ascii="Times New Roman" w:hAnsi="Times New Roman" w:eastAsia="Times New Roman" w:cs="Times New Roman"/>
          <w:lang w:val="en-US" w:bidi="en-US"/>
          <w:color w:val="111111"/>
          <w:sz w:val="28"/>
          <w:szCs w:val="28"/>
          <w:rtl/>
        </w:rPr>
        <w:t xml:space="preserve">tārīx-dānī</w:t>
      </w:r>
    </w:p>
    <w:p>
      <w:pPr>
        <w:pStyle w:val="BookText"/>
      </w:pPr>
      <w:r>
        <w:rPr>
          <w:rFonts w:ascii="IRNazanin" w:hAnsi="IRNazanin" w:eastAsia="IRNazanin" w:cs="IRNazanin"/>
          <w:lang w:bidi="fa-IR"/>
          <w:color w:val="111111"/>
          <w:sz w:val="28"/>
          <w:szCs w:val="28"/>
          <w:rtl/>
        </w:rPr>
        <w:t xml:space="preserve">قراچه داغی، محمد علی بن احمد، -۱۳۱۰ قمری</w:t>
      </w:r>
    </w:p>
    <w:p>
      <w:pPr>
        <w:pStyle w:val="BookText"/>
      </w:pPr>
      <w:r>
        <w:rPr>
          <w:rFonts w:ascii="Times New Roman" w:hAnsi="Times New Roman" w:eastAsia="Times New Roman" w:cs="Times New Roman"/>
          <w:lang w:val="en-US" w:bidi="en-US"/>
          <w:color w:val="111111"/>
          <w:sz w:val="28"/>
          <w:szCs w:val="28"/>
          <w:rtl/>
        </w:rPr>
        <w:t xml:space="preserve">qarāče-dāqī, mohammad ‘alī ebn-e ahmad (-1893)</w:t>
      </w:r>
    </w:p>
    <w:p>
      <w:pPr>
        <w:pStyle w:val="BookText"/>
      </w:pPr>
      <w:r>
        <w:rPr>
          <w:rFonts w:ascii="IRNazanin" w:hAnsi="IRNazanin" w:eastAsia="IRNazanin" w:cs="IRNazanin"/>
          <w:lang w:bidi="fa-IR"/>
          <w:color w:val="111111"/>
          <w:sz w:val="28"/>
          <w:szCs w:val="28"/>
          <w:rtl/>
        </w:rPr>
        <w:t xml:space="preserve">در چگونگی پیدایش تاریخ آمری رمضانی و تاریخ هجری و تاریخ سلطانی است و پیروی از شاهان مخصوصا شاه عصر خود، ناصرالدین شاه قاجار را لازم می داند.</w:t>
      </w:r>
    </w:p>
    <w:p>
      <w:pPr>
        <w:pStyle w:val="BookText"/>
      </w:pPr>
      <w:r>
        <w:rPr>
          <w:rFonts w:ascii="IRNazanin" w:hAnsi="IRNazanin" w:eastAsia="IRNazanin" w:cs="IRNazanin"/>
          <w:lang w:bidi="fa-IR"/>
          <w:color w:val="111111"/>
          <w:sz w:val="28"/>
          <w:szCs w:val="28"/>
          <w:rtl/>
        </w:rPr>
        <w:t xml:space="preserve">قم؛ مرعشی؛ شماره نسخه: ۸۸۴/۱۵</w:t>
      </w:r>
    </w:p>
    <w:p>
      <w:pPr>
        <w:pStyle w:val="BookText"/>
      </w:pPr>
      <w:r>
        <w:rPr>
          <w:rFonts w:ascii="IRNazanin" w:hAnsi="IRNazanin" w:eastAsia="IRNazanin" w:cs="IRNazanin"/>
          <w:lang w:bidi="fa-IR"/>
          <w:color w:val="111111"/>
          <w:sz w:val="28"/>
          <w:szCs w:val="28"/>
          <w:rtl/>
        </w:rPr>
        <w:t xml:space="preserve">آغاز: الحمدلله الفرد البديع الملك المنيع ذي العرش الرفيع الذي دل على احدية ذاته بواحدية صفاته؛ انجام: از فروغ عارضش خرم بهار ملک باد باغ گیتی تا بود خرم زفصل نوبهار خط: نستعلیق، کا: محمد علی بن احمد قراچه داغی، تا: سه شنبه ۲۶ شعبان ۱۲۸۴ق؛ جلد: تیماج مشکی، ۴گ (۱۳۵ - ۱۳۸ پ)، ۱۶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۳-۸۱]</w:t>
      </w:r>
    </w:p>
    <w:p>
      <w:pPr>
        <w:pStyle w:val="BookText"/>
      </w:pPr>
      <w:r>
        <w:rPr>
          <w:rFonts w:ascii="IRNazanin" w:hAnsi="IRNazanin" w:eastAsia="IRNazanin" w:cs="IRNazanin"/>
          <w:lang w:bidi="fa-IR"/>
          <w:color w:val="111111"/>
          <w:sz w:val="28"/>
          <w:szCs w:val="28"/>
          <w:rtl/>
        </w:rPr>
        <w:t xml:space="preserve">←تاریخ دخانيه ← دخانیه</w:t>
      </w:r>
    </w:p>
    <w:p>
      <w:pPr>
        <w:pStyle w:val="BookText"/>
      </w:pPr>
      <w:r>
        <w:rPr>
          <w:rFonts w:ascii="IRNazanin" w:hAnsi="IRNazanin" w:eastAsia="IRNazanin" w:cs="IRNazanin"/>
          <w:lang w:bidi="fa-IR"/>
          <w:color w:val="111111"/>
          <w:sz w:val="28"/>
          <w:szCs w:val="28"/>
          <w:rtl/>
        </w:rPr>
        <w:t xml:space="preserve">← تاريخ الدخانیه← تاریخ تنباکو</w:t>
      </w:r>
    </w:p>
    <w:p>
      <w:pPr>
        <w:pStyle w:val="Heading3"/>
      </w:pPr>
      <w:bookmarkStart w:id="2289" w:name="_Toc1549"/>
      <w:r>
        <w:t>•تاریخ دکن / تاریخ / فارسی</w:t>
      </w:r>
      <w:bookmarkEnd w:id="2289"/>
    </w:p>
    <w:p>
      <w:pPr>
        <w:pStyle w:val="BookText"/>
      </w:pPr>
      <w:r>
        <w:rPr>
          <w:rFonts w:ascii="Times New Roman" w:hAnsi="Times New Roman" w:eastAsia="Times New Roman" w:cs="Times New Roman"/>
          <w:lang w:val="en-US" w:bidi="en-US"/>
          <w:color w:val="111111"/>
          <w:sz w:val="28"/>
          <w:szCs w:val="28"/>
          <w:rtl/>
        </w:rPr>
        <w:t xml:space="preserve">tārīx-e dakan</w:t>
      </w:r>
    </w:p>
    <w:p>
      <w:pPr>
        <w:pStyle w:val="BookText"/>
      </w:pPr>
      <w:r>
        <w:rPr>
          <w:rFonts w:ascii="IRNazanin" w:hAnsi="IRNazanin" w:eastAsia="IRNazanin" w:cs="IRNazanin"/>
          <w:lang w:bidi="fa-IR"/>
          <w:color w:val="111111"/>
          <w:sz w:val="28"/>
          <w:szCs w:val="28"/>
          <w:rtl/>
        </w:rPr>
        <w:t xml:space="preserve">تنها بخشی از یک کتاب تاریخ است. با سربند: باب سیم در احوال نواب آصف الدوله امير الممالك صلابت جنگ. مشتمل بر سه فصل: ۱. در احوال مشمول رحمت الله از ابتدا تا ارتقا به معارج جاه با تمکین بر مسند ریاست و آنچه بعد از آن تا رحلت؛ ۲. در بیان واقعه ای</w:t>
      </w:r>
    </w:p>
    <w:p>
      <w:pPr>
        <w:pStyle w:val="BookText"/>
      </w:pPr>
      <w:r>
        <w:rPr>
          <w:rFonts w:ascii="IRNazanin" w:hAnsi="IRNazanin" w:eastAsia="IRNazanin" w:cs="IRNazanin"/>
          <w:lang w:bidi="fa-IR"/>
          <w:color w:val="111111"/>
          <w:sz w:val="28"/>
          <w:szCs w:val="28"/>
          <w:rtl/>
        </w:rPr>
        <w:t xml:space="preserve">که بعد از فوت امیر الامرا فيروز جنگ، در عهد امير الممالک آصف الدوله به معرض وقوع در آمد .... در آن از ۱۲ محرم ۱۱۶۵ق یاد شده که بایستی پس از این تاریخ نگاشته شده باشد. [فهرستواره ۱۱۷۵/۲ -۱۱۷۶]</w:t>
      </w:r>
    </w:p>
    <w:p>
      <w:pPr>
        <w:pStyle w:val="BookText"/>
      </w:pPr>
      <w:r>
        <w:rPr>
          <w:rFonts w:ascii="IRNazanin" w:hAnsi="IRNazanin" w:eastAsia="IRNazanin" w:cs="IRNazanin"/>
          <w:lang w:bidi="fa-IR"/>
          <w:color w:val="111111"/>
          <w:sz w:val="28"/>
          <w:szCs w:val="28"/>
          <w:rtl/>
        </w:rPr>
        <w:t xml:space="preserve">تهران؛ دائرة المعارف؛ شماره نسخه: ۲۳۱/۱ - عکسی</w:t>
      </w:r>
    </w:p>
    <w:p>
      <w:pPr>
        <w:pStyle w:val="BookText"/>
      </w:pPr>
      <w:r>
        <w:rPr>
          <w:rFonts w:ascii="IRNazanin" w:hAnsi="IRNazanin" w:eastAsia="IRNazanin" w:cs="IRNazanin"/>
          <w:lang w:bidi="fa-IR"/>
          <w:color w:val="111111"/>
          <w:sz w:val="28"/>
          <w:szCs w:val="28"/>
          <w:rtl/>
        </w:rPr>
        <w:t xml:space="preserve">نسخه اصل: گنج بخش، ش ۷۸۴۸ (گنج ۲۰۳۰/۴ )؛ خط: نستعلیق شکسته آمیز، بی کا، تا: قرن ۱۲، ۱۶گ (۱-۱۶) [عکسی ف: ۲-۵۳]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464" w:name="pg20363_209770"/>
    <w:bookmarkEnd w:id="464"/>
    <w:p>
      <w:pPr>
        <w:pStyle w:val="Heading3"/>
      </w:pPr>
      <w:bookmarkStart w:id="2290" w:name="_Toc1550"/>
      <w:r>
        <w:t>•تاریخ د کن هند / تاریخ هند / فارسی</w:t>
      </w:r>
      <w:bookmarkEnd w:id="2290"/>
    </w:p>
    <w:p>
      <w:pPr>
        <w:pStyle w:val="BookText"/>
      </w:pPr>
      <w:r>
        <w:rPr>
          <w:rFonts w:ascii="Times New Roman" w:hAnsi="Times New Roman" w:eastAsia="Times New Roman" w:cs="Times New Roman"/>
          <w:lang w:val="en-US" w:bidi="en-US"/>
          <w:color w:val="111111"/>
          <w:sz w:val="28"/>
          <w:szCs w:val="28"/>
          <w:rtl/>
        </w:rPr>
        <w:t xml:space="preserve">tārīx-e dakan-e hend</w:t>
      </w:r>
    </w:p>
    <w:p>
      <w:pPr>
        <w:pStyle w:val="BookText"/>
      </w:pPr>
      <w:r>
        <w:rPr>
          <w:rFonts w:ascii="IRNazanin" w:hAnsi="IRNazanin" w:eastAsia="IRNazanin" w:cs="IRNazanin"/>
          <w:lang w:bidi="fa-IR"/>
          <w:color w:val="111111"/>
          <w:sz w:val="28"/>
          <w:szCs w:val="28"/>
          <w:rtl/>
        </w:rPr>
        <w:t xml:space="preserve">احمدی خیشکی خورجوی، عبدالعليم نصر الله</w:t>
      </w:r>
    </w:p>
    <w:p>
      <w:pPr>
        <w:pStyle w:val="BookText"/>
      </w:pPr>
      <w:r>
        <w:rPr>
          <w:rFonts w:ascii="Times New Roman" w:hAnsi="Times New Roman" w:eastAsia="Times New Roman" w:cs="Times New Roman"/>
          <w:lang w:val="en-US" w:bidi="en-US"/>
          <w:color w:val="111111"/>
          <w:sz w:val="28"/>
          <w:szCs w:val="28"/>
          <w:rtl/>
        </w:rPr>
        <w:t xml:space="preserve">ahmadī xīšakī xūrjavī, ‘abd-ol-‘alīm nasr-ol-lāh</w:t>
      </w:r>
    </w:p>
    <w:p>
      <w:pPr>
        <w:pStyle w:val="BookText"/>
      </w:pPr>
      <w:r>
        <w:rPr>
          <w:rFonts w:ascii="IRNazanin" w:hAnsi="IRNazanin" w:eastAsia="IRNazanin" w:cs="IRNazanin"/>
          <w:lang w:bidi="fa-IR"/>
          <w:color w:val="111111"/>
          <w:sz w:val="28"/>
          <w:szCs w:val="28"/>
          <w:rtl/>
        </w:rPr>
        <w:t xml:space="preserve">تاریخ مفصل پادشاهان دکن هند است شامل تاریخ سلسله های: عادلشاهیان، قطب شاهیان، بريد شاهیان، نظام شاهیان، عماد شاهیان و در پایان ذکر مزارات مشایخ دکن. آغاز: سپاس خداوند صمد راست که سفر را وسیله ظفر گردانید درود فرسته آخر زمان محمد (ص) راست ... الحمد لمن هو محمود في كل شأن و الصلوة على رسوله.</w:t>
      </w:r>
    </w:p>
    <w:p>
      <w:pPr>
        <w:pStyle w:val="BookText"/>
      </w:pPr>
      <w:r>
        <w:rPr>
          <w:rFonts w:ascii="IRNazanin" w:hAnsi="IRNazanin" w:eastAsia="IRNazanin" w:cs="IRNazanin"/>
          <w:lang w:bidi="fa-IR"/>
          <w:color w:val="111111"/>
          <w:sz w:val="28"/>
          <w:szCs w:val="28"/>
          <w:rtl/>
        </w:rPr>
        <w:t xml:space="preserve">چاپ: چند بار در هند به چاپ رسیده است.</w:t>
      </w:r>
    </w:p>
    <w:p>
      <w:pPr>
        <w:pStyle w:val="BookText"/>
      </w:pPr>
      <w:r>
        <w:rPr>
          <w:rFonts w:ascii="IRNazanin" w:hAnsi="IRNazanin" w:eastAsia="IRNazanin" w:cs="IRNazanin"/>
          <w:lang w:bidi="fa-IR"/>
          <w:color w:val="111111"/>
          <w:sz w:val="28"/>
          <w:szCs w:val="28"/>
          <w:rtl/>
        </w:rPr>
        <w:t xml:space="preserve">[فهرستواره, منزوی ۱۱۷۶/۲ ؛ مشار فارسی ۱۰۷۶/۱ ]</w:t>
      </w:r>
    </w:p>
    <w:p>
      <w:pPr>
        <w:pStyle w:val="BookText"/>
      </w:pPr>
      <w:r>
        <w:rPr>
          <w:rFonts w:ascii="IRNazanin" w:hAnsi="IRNazanin" w:eastAsia="IRNazanin" w:cs="IRNazanin"/>
          <w:lang w:bidi="fa-IR"/>
          <w:color w:val="111111"/>
          <w:sz w:val="28"/>
          <w:szCs w:val="28"/>
          <w:rtl/>
        </w:rPr>
        <w:t xml:space="preserve">تهران؛ مجلس؛ شماره نسخه:۱۴۱۵۴</w:t>
      </w:r>
    </w:p>
    <w:p>
      <w:pPr>
        <w:pStyle w:val="BookText"/>
      </w:pPr>
      <w:r>
        <w:rPr>
          <w:rFonts w:ascii="IRNazanin" w:hAnsi="IRNazanin" w:eastAsia="IRNazanin" w:cs="IRNazanin"/>
          <w:lang w:bidi="fa-IR"/>
          <w:color w:val="111111"/>
          <w:sz w:val="28"/>
          <w:szCs w:val="28"/>
          <w:rtl/>
        </w:rPr>
        <w:t xml:space="preserve">آغاز: برابر؛ انجام: و دهم مزار حضرت مولانا شاه سعد الله صاحب مجددی مظهری نقشبندی است ... سر ما خاک ره پیر مغان</w:t>
      </w:r>
    </w:p>
    <w:p>
      <w:pPr>
        <w:pStyle w:val="BookText"/>
      </w:pPr>
      <w:r>
        <w:rPr>
          <w:rFonts w:ascii="IRNazanin" w:hAnsi="IRNazanin" w:eastAsia="IRNazanin" w:cs="IRNazanin"/>
          <w:lang w:bidi="fa-IR"/>
          <w:color w:val="111111"/>
          <w:sz w:val="28"/>
          <w:szCs w:val="28"/>
          <w:rtl/>
        </w:rPr>
        <w:t xml:space="preserve">خواهد بود الحمدلله ...... بر احوال بزرگان طریقت ختم گردید رحمهم الله. بس کن ز حدیث عشق بس کن *** ای سوخته ترک این نفس کن. خط: نستعلیق، کا: میر کریم الدین تلمیذ سید محمد حسین بن حسن بن سعيد علوی هراروی نقشبندی قادری، تا: جمعه ۷ جمادی الثانی ۱۲۸۵ق؛ مجدول؛ جلد: گالینگور قهوه ای، ۱۹۵ گ، ۱۷ سطر، اندازه: 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۳۸-۱۹۵]</w:t>
      </w:r>
    </w:p>
    <w:p>
      <w:pPr>
        <w:pStyle w:val="BookText"/>
      </w:pPr>
      <w:r>
        <w:rPr>
          <w:rFonts w:ascii="IRNazanin" w:hAnsi="IRNazanin" w:eastAsia="IRNazanin" w:cs="IRNazanin"/>
          <w:lang w:bidi="fa-IR"/>
          <w:color w:val="111111"/>
          <w:sz w:val="28"/>
          <w:szCs w:val="28"/>
          <w:rtl/>
        </w:rPr>
        <w:t xml:space="preserve">← تاریخ دلگشای شمشیر خانی ← تاریخ شمشیر خانی</w:t>
      </w:r>
    </w:p>
    <w:p>
      <w:pPr>
        <w:pStyle w:val="BookText"/>
      </w:pPr>
      <w:r>
        <w:rPr>
          <w:rFonts w:ascii="IRNazanin" w:hAnsi="IRNazanin" w:eastAsia="IRNazanin" w:cs="IRNazanin"/>
          <w:lang w:bidi="fa-IR"/>
          <w:color w:val="111111"/>
          <w:sz w:val="28"/>
          <w:szCs w:val="28"/>
          <w:rtl/>
        </w:rPr>
        <w:t xml:space="preserve">← تاریخ دمشق ← تاریخ مدينة دمشق</w:t>
      </w:r>
    </w:p>
    <w:p>
      <w:pPr>
        <w:pStyle w:val="Heading3"/>
      </w:pPr>
      <w:bookmarkStart w:id="2291" w:name="_Toc1551"/>
      <w:r>
        <w:t>•تاریخ دمشق / تاریخ / عربی</w:t>
      </w:r>
      <w:bookmarkEnd w:id="2291"/>
    </w:p>
    <w:p>
      <w:pPr>
        <w:pStyle w:val="BookText"/>
      </w:pPr>
      <w:r>
        <w:rPr>
          <w:rFonts w:ascii="Times New Roman" w:hAnsi="Times New Roman" w:eastAsia="Times New Roman" w:cs="Times New Roman"/>
          <w:lang w:val="en-US" w:bidi="en-US"/>
          <w:color w:val="111111"/>
          <w:sz w:val="28"/>
          <w:szCs w:val="28"/>
          <w:rtl/>
        </w:rPr>
        <w:t xml:space="preserve">tarix-e damesq</w:t>
      </w:r>
    </w:p>
    <w:p>
      <w:pPr>
        <w:pStyle w:val="BookText"/>
      </w:pPr>
      <w:r>
        <w:rPr>
          <w:rFonts w:ascii="IRNazanin" w:hAnsi="IRNazanin" w:eastAsia="IRNazanin" w:cs="IRNazanin"/>
          <w:lang w:bidi="fa-IR"/>
          <w:color w:val="111111"/>
          <w:sz w:val="28"/>
          <w:szCs w:val="28"/>
          <w:rtl/>
        </w:rPr>
        <w:t xml:space="preserve">بدر العینی، محمود بن احمد، ۷۶۲-۸۵۵ قمری</w:t>
      </w:r>
    </w:p>
    <w:p>
      <w:pPr>
        <w:pStyle w:val="BookText"/>
      </w:pPr>
      <w:r>
        <w:rPr>
          <w:rFonts w:ascii="Times New Roman" w:hAnsi="Times New Roman" w:eastAsia="Times New Roman" w:cs="Times New Roman"/>
          <w:lang w:val="en-US" w:bidi="en-US"/>
          <w:color w:val="111111"/>
          <w:sz w:val="28"/>
          <w:szCs w:val="28"/>
          <w:rtl/>
        </w:rPr>
        <w:t xml:space="preserve">badr-ol-‘eynī, mahmūd ebn-e ahmad (1361-1452)</w:t>
      </w:r>
    </w:p>
    <w:p>
      <w:pPr>
        <w:pStyle w:val="BookText"/>
      </w:pPr>
      <w:r>
        <w:rPr>
          <w:rFonts w:ascii="IRNazanin" w:hAnsi="IRNazanin" w:eastAsia="IRNazanin" w:cs="IRNazanin"/>
          <w:lang w:bidi="fa-IR"/>
          <w:color w:val="111111"/>
          <w:sz w:val="28"/>
          <w:szCs w:val="28"/>
          <w:rtl/>
        </w:rPr>
        <w:t xml:space="preserve">تهران، دانشگاه؛ شماره نسخه:۶۹۶-ف</w:t>
      </w:r>
    </w:p>
    <w:p>
      <w:pPr>
        <w:pStyle w:val="BookText"/>
      </w:pPr>
      <w:r>
        <w:rPr>
          <w:rFonts w:ascii="IRNazanin" w:hAnsi="IRNazanin" w:eastAsia="IRNazanin" w:cs="IRNazanin"/>
          <w:lang w:bidi="fa-IR"/>
          <w:color w:val="111111"/>
          <w:sz w:val="28"/>
          <w:szCs w:val="28"/>
          <w:rtl/>
        </w:rPr>
        <w:t xml:space="preserve">نسخه اصل: موزه بریتانیا 22360 .</w:t>
      </w:r>
      <w:r>
        <w:rPr>
          <w:rFonts w:ascii="Times New Roman" w:hAnsi="Times New Roman" w:eastAsia="Times New Roman" w:cs="Times New Roman"/>
          <w:lang w:val="en-US" w:bidi="en-US"/>
          <w:color w:val="111111"/>
          <w:sz w:val="28"/>
          <w:szCs w:val="28"/>
          <w:rtl/>
        </w:rPr>
        <w:t xml:space="preserve">Add. </w:t>
      </w:r>
      <w:r>
        <w:rPr>
          <w:rFonts w:ascii="IRNazanin" w:hAnsi="IRNazanin" w:eastAsia="IRNazanin" w:cs="IRNazanin"/>
          <w:lang w:bidi="fa-IR"/>
          <w:color w:val="111111"/>
          <w:sz w:val="28"/>
          <w:szCs w:val="28"/>
          <w:rtl/>
        </w:rPr>
        <w:t xml:space="preserve">از سال ۷۱۷ تا ۷۹۸؛ خط: نسخ، بی کا، بی تا (فيلمها ف: ۱-۲۹۳)</w:t>
      </w:r>
    </w:p>
    <w:p>
      <w:pPr>
        <w:pStyle w:val="Heading3"/>
      </w:pPr>
      <w:bookmarkStart w:id="2292" w:name="_Toc1552"/>
      <w:r>
        <w:t>•تاریخ دمشق (مختصر) / تاریخ / عربی</w:t>
      </w:r>
      <w:bookmarkEnd w:id="2292"/>
    </w:p>
    <w:p>
      <w:pPr>
        <w:pStyle w:val="BookText"/>
      </w:pPr>
      <w:r>
        <w:rPr>
          <w:rFonts w:ascii="Times New Roman" w:hAnsi="Times New Roman" w:eastAsia="Times New Roman" w:cs="Times New Roman"/>
          <w:lang w:val="en-US" w:bidi="en-US"/>
          <w:color w:val="111111"/>
          <w:sz w:val="28"/>
          <w:szCs w:val="28"/>
          <w:rtl/>
        </w:rPr>
        <w:t xml:space="preserve">tārīx-e damešq (mx.)</w:t>
      </w:r>
    </w:p>
    <w:p>
      <w:pPr>
        <w:pStyle w:val="BookText"/>
      </w:pPr>
      <w:r>
        <w:rPr>
          <w:rFonts w:ascii="IRNazanin" w:hAnsi="IRNazanin" w:eastAsia="IRNazanin" w:cs="IRNazanin"/>
          <w:lang w:bidi="fa-IR"/>
          <w:color w:val="111111"/>
          <w:sz w:val="28"/>
          <w:szCs w:val="28"/>
          <w:rtl/>
        </w:rPr>
        <w:t xml:space="preserve">ابن منظور، محمد بن مکرم، ۶۳۰-۷۱۱ قمری</w:t>
      </w:r>
    </w:p>
    <w:p>
      <w:pPr>
        <w:pStyle w:val="BookText"/>
      </w:pPr>
      <w:r>
        <w:rPr>
          <w:rFonts w:ascii="Times New Roman" w:hAnsi="Times New Roman" w:eastAsia="Times New Roman" w:cs="Times New Roman"/>
          <w:lang w:val="en-US" w:bidi="en-US"/>
          <w:color w:val="111111"/>
          <w:sz w:val="28"/>
          <w:szCs w:val="28"/>
          <w:rtl/>
        </w:rPr>
        <w:t xml:space="preserve">ebn-o manzūr, mohammad ebn-e mokarram (1233 1312)</w:t>
      </w:r>
    </w:p>
    <w:p>
      <w:pPr>
        <w:pStyle w:val="BookText"/>
      </w:pPr>
      <w:r>
        <w:rPr>
          <w:rFonts w:ascii="IRNazanin" w:hAnsi="IRNazanin" w:eastAsia="IRNazanin" w:cs="IRNazanin"/>
          <w:lang w:bidi="fa-IR"/>
          <w:color w:val="111111"/>
          <w:sz w:val="28"/>
          <w:szCs w:val="28"/>
          <w:rtl/>
        </w:rPr>
        <w:t xml:space="preserve">وابسته به: تاريخ مدينة دمشق؛ ابن عساکر، علی بن حسن (۴۹۹ -۵۷۱ )</w:t>
      </w:r>
    </w:p>
    <w:p>
      <w:pPr>
        <w:pStyle w:val="BookText"/>
      </w:pPr>
      <w:r>
        <w:rPr>
          <w:rFonts w:ascii="IRNazanin" w:hAnsi="IRNazanin" w:eastAsia="IRNazanin" w:cs="IRNazanin"/>
          <w:lang w:bidi="fa-IR"/>
          <w:color w:val="111111"/>
          <w:sz w:val="28"/>
          <w:szCs w:val="28"/>
          <w:rtl/>
        </w:rPr>
        <w:t xml:space="preserve">تاریخ دارالمؤمنین - تاریخ دمشق ۶۴۳ کتاب «تاریخ دمشق الكبير » حافظ أبو القاسم علی بن حسن بن هبة الله شافعی، معروف به ابن عساکر را در حدود سی جزء مختصر نموده است. چاپ: دمشق، محقق:روحية النحاس، و ریاض عبد الحميد، و محمد مطیع الحافظ، دار الفكر، مطبعة العلمية، مجلد ۱-۲۹، ۱۴۰۴ و ۱۴۰۹ق.</w:t>
      </w:r>
    </w:p>
    <w:p>
      <w:pPr>
        <w:pStyle w:val="BookText"/>
      </w:pPr>
      <w:r>
        <w:rPr>
          <w:rFonts w:ascii="IRNazanin" w:hAnsi="IRNazanin" w:eastAsia="IRNazanin" w:cs="IRNazanin"/>
          <w:lang w:bidi="fa-IR"/>
          <w:color w:val="111111"/>
          <w:sz w:val="28"/>
          <w:szCs w:val="28"/>
          <w:rtl/>
        </w:rPr>
        <w:t xml:space="preserve">[دنا ۷۰۴/۲ ؛ کشف الظنون ۲۹۴/۱ ؛ معجم المؤلفين ۴۶/۱۲]</w:t>
      </w:r>
    </w:p>
    <w:p>
      <w:pPr>
        <w:pStyle w:val="BookText"/>
      </w:pPr>
      <w:r>
        <w:rPr>
          <w:rFonts w:ascii="IRNazanin" w:hAnsi="IRNazanin" w:eastAsia="IRNazanin" w:cs="IRNazanin"/>
          <w:lang w:bidi="fa-IR"/>
          <w:color w:val="111111"/>
          <w:sz w:val="28"/>
          <w:szCs w:val="28"/>
          <w:rtl/>
        </w:rPr>
        <w:t xml:space="preserve">۱. قم؛ مرعشی؛ شماره نسخه: ۵۷۰عکسی</w:t>
      </w:r>
    </w:p>
    <w:p>
      <w:pPr>
        <w:pStyle w:val="BookText"/>
      </w:pPr>
      <w:r>
        <w:rPr>
          <w:rFonts w:ascii="Amiri" w:hAnsi="Amiri" w:eastAsia="Amiri" w:cs="Amiri"/>
          <w:lang w:bidi="ar-SA"/>
          <w:color w:val="111111"/>
          <w:sz w:val="28"/>
          <w:szCs w:val="28"/>
          <w:rtl/>
        </w:rPr>
        <w:t xml:space="preserve">آغاز: ناخوانا: باب اشتقاق اسم للتاريخ و الفايدة بالعناية به؛ انجام: ثم قضى من ساعته، نجز الجزء الأول و يتلو في الثاني ... باب صفة خلقه و معرفة خلقه (صلى الله عليه وآله و سلم).</w:t>
      </w:r>
    </w:p>
    <w:p>
      <w:pPr>
        <w:pStyle w:val="BookText"/>
      </w:pPr>
      <w:r>
        <w:rPr>
          <w:rFonts w:ascii="IRNazanin" w:hAnsi="IRNazanin" w:eastAsia="IRNazanin" w:cs="IRNazanin"/>
          <w:lang w:bidi="fa-IR"/>
          <w:color w:val="111111"/>
          <w:sz w:val="28"/>
          <w:szCs w:val="28"/>
          <w:rtl/>
        </w:rPr>
        <w:t xml:space="preserve">نسخه اصل: سلطان احمد ثالث، استانبول، ش ۲۸۸۸/۱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فهرست خطی عربی طوپ قاپی ۲/۳. ۵۴۱). جزء اول؛ خط: نسخ، كاتب = مؤلف، تا:شنبه ۲۲ صفر ۶۹۰ق؛ ۱۵۱گ، ۲۱ سطر [عکسی ف: ۲-۶۲]</w:t>
      </w:r>
    </w:p>
    <w:p>
      <w:pPr>
        <w:pStyle w:val="BookText"/>
      </w:pPr>
      <w:r>
        <w:rPr>
          <w:rFonts w:ascii="IRNazanin" w:hAnsi="IRNazanin" w:eastAsia="IRNazanin" w:cs="IRNazanin"/>
          <w:lang w:bidi="fa-IR"/>
          <w:color w:val="111111"/>
          <w:sz w:val="28"/>
          <w:szCs w:val="28"/>
          <w:rtl/>
        </w:rPr>
        <w:t xml:space="preserve">۲. قم؛ مرعشی؛ شماره نسخه: ۵۷۱عکسی</w:t>
      </w:r>
    </w:p>
    <w:p>
      <w:pPr>
        <w:pStyle w:val="BookText"/>
      </w:pPr>
      <w:r>
        <w:rPr>
          <w:rFonts w:ascii="IRNazanin" w:hAnsi="IRNazanin" w:eastAsia="IRNazanin" w:cs="IRNazanin"/>
          <w:lang w:bidi="fa-IR"/>
          <w:color w:val="111111"/>
          <w:sz w:val="28"/>
          <w:szCs w:val="28"/>
          <w:rtl/>
        </w:rPr>
        <w:t xml:space="preserve">آغاز: من اسم ابيه على حرف الالف: احمد بن احمد بن ورکشین و يقال بر کشین؛ انجام: نجز الجزء الثالث و يتلوه في الرابع ان شاء الله تعالی: ابراهیم بن احمد بن الحسن ابو اسحق القرمسینی المقری الصوفي. نسخه اصل: سلطان احمد ثالث، استانبول، ش ۲۸۸۸/3 </w:t>
      </w:r>
      <w:r>
        <w:rPr>
          <w:rFonts w:ascii="Times New Roman" w:hAnsi="Times New Roman" w:eastAsia="Times New Roman" w:cs="Times New Roman"/>
          <w:lang w:val="en-US" w:bidi="en-US"/>
          <w:color w:val="111111"/>
          <w:sz w:val="28"/>
          <w:szCs w:val="28"/>
          <w:rtl/>
        </w:rPr>
        <w:t xml:space="preserve">A</w:t>
      </w:r>
    </w:p>
    <w:p>
      <w:pPr>
        <w:pStyle w:val="BookText"/>
      </w:pPr>
      <w:r>
        <w:rPr>
          <w:rFonts w:ascii="IRNazanin" w:hAnsi="IRNazanin" w:eastAsia="IRNazanin" w:cs="IRNazanin"/>
          <w:lang w:bidi="fa-IR"/>
          <w:color w:val="111111"/>
          <w:sz w:val="28"/>
          <w:szCs w:val="28"/>
          <w:rtl/>
        </w:rPr>
        <w:t xml:space="preserve">(فهرست عربی طوپ قاپی ۴۵۲/۳ ). جزء سوم؛ خط: نسخ، كاتب = مؤلف، تا: سه شنبه ۲۸ جمادی الاول ۶۹۰ق؛ ۱۶۲گ، ۲۱سطر [عکسی ف: ۶۳-۲ )</w:t>
      </w:r>
    </w:p>
    <w:p>
      <w:pPr>
        <w:pStyle w:val="BookText"/>
      </w:pPr>
      <w:r>
        <w:rPr>
          <w:rFonts w:ascii="IRNazanin" w:hAnsi="IRNazanin" w:eastAsia="IRNazanin" w:cs="IRNazanin"/>
          <w:lang w:bidi="fa-IR"/>
          <w:color w:val="111111"/>
          <w:sz w:val="28"/>
          <w:szCs w:val="28"/>
          <w:rtl/>
        </w:rPr>
        <w:t xml:space="preserve">٣. قم؛ مرعشی؛ شماره نسخه:۵۷۲عکسی</w:t>
      </w:r>
    </w:p>
    <w:p>
      <w:pPr>
        <w:pStyle w:val="BookText"/>
      </w:pPr>
      <w:r>
        <w:rPr>
          <w:rFonts w:ascii="IRNazanin" w:hAnsi="IRNazanin" w:eastAsia="IRNazanin" w:cs="IRNazanin"/>
          <w:lang w:bidi="fa-IR"/>
          <w:color w:val="111111"/>
          <w:sz w:val="28"/>
          <w:szCs w:val="28"/>
          <w:rtl/>
        </w:rPr>
        <w:t xml:space="preserve">آغاز: اشعث بن جبير و يعرف بابن ام حميدة.؛ انجام: كان ممن اهدر رسول الله(صلى الله عليه وآله و سلم)دمه يوم فتح مکه و كان ... لله و رسله. نسخه اصل: سلطان احمد ثالث، استانبول، ش ۲۸۸۸/۵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جزء پنجم؛ خط: نسخ، كاتب = مؤلف، تا: ۶ رمضان ۶۹۰ق؛ مصحح ۱۷۶گ، ۲۱ سطر [عکسی ف: ۲-۶۴]</w:t>
      </w:r>
    </w:p>
    <w:p>
      <w:pPr>
        <w:pStyle w:val="BookText"/>
      </w:pPr>
      <w:r>
        <w:rPr>
          <w:rFonts w:ascii="IRNazanin" w:hAnsi="IRNazanin" w:eastAsia="IRNazanin" w:cs="IRNazanin"/>
          <w:lang w:bidi="fa-IR"/>
          <w:color w:val="111111"/>
          <w:sz w:val="28"/>
          <w:szCs w:val="28"/>
          <w:rtl/>
        </w:rPr>
        <w:t xml:space="preserve">۴. قم؛ مرعشی؛ شماره نسخه:۵۷۳عکسی</w:t>
      </w:r>
    </w:p>
    <w:p>
      <w:pPr>
        <w:pStyle w:val="BookText"/>
      </w:pPr>
      <w:r>
        <w:rPr>
          <w:rFonts w:ascii="IRNazanin" w:hAnsi="IRNazanin" w:eastAsia="IRNazanin" w:cs="IRNazanin"/>
          <w:lang w:bidi="fa-IR"/>
          <w:color w:val="111111"/>
          <w:sz w:val="28"/>
          <w:szCs w:val="28"/>
          <w:rtl/>
        </w:rPr>
        <w:t xml:space="preserve">آغاز: جبیر بن مطعم بن على بن نوفل ابن عبد مناف بن قصی؛ انجام: الحسن بن على بن شبيب ابو على المعمري البغدادی ... نجز الجزء السادس من مختصر تاریخ دمشق، ويتلوه في السابع آن شاء الله عزوجل الحسن بن علی بن ابی طالب. نسخه اصل: سلطان احمد ثالث، استانبول، ش ۲۸۸۸/۶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فهرست عربی طوپ قاپی ۴۵۲/۳ ).</w:t>
      </w:r>
    </w:p>
    <w:p>
      <w:pPr>
        <w:pStyle w:val="BookText"/>
      </w:pPr>
      <w:r>
        <w:rPr>
          <w:rFonts w:ascii="IRNazanin" w:hAnsi="IRNazanin" w:eastAsia="IRNazanin" w:cs="IRNazanin"/>
          <w:lang w:bidi="fa-IR"/>
          <w:color w:val="111111"/>
          <w:sz w:val="28"/>
          <w:szCs w:val="28"/>
          <w:rtl/>
        </w:rPr>
        <w:t xml:space="preserve">جزء ششم؛ خط: نسخ، كاتب = مؤلف، تا: یک شنبه ۲۱ محرم ۶۹۱ق؛ مصحح؛ ۱۵۹گ، ۲۱سطر [عکسی ف: ۲-۶۵]</w:t>
      </w:r>
    </w:p>
    <w:p>
      <w:pPr>
        <w:pStyle w:val="BookText"/>
      </w:pPr>
      <w:r>
        <w:rPr>
          <w:rFonts w:ascii="IRNazanin" w:hAnsi="IRNazanin" w:eastAsia="IRNazanin" w:cs="IRNazanin"/>
          <w:lang w:bidi="fa-IR"/>
          <w:color w:val="111111"/>
          <w:sz w:val="28"/>
          <w:szCs w:val="28"/>
          <w:rtl/>
        </w:rPr>
        <w:t xml:space="preserve">۵. قم؛ مرعشی؛ شماره نسخه:۵۷۴عکسی</w:t>
      </w:r>
    </w:p>
    <w:p>
      <w:pPr>
        <w:pStyle w:val="BookText"/>
      </w:pPr>
      <w:r>
        <w:rPr>
          <w:rFonts w:ascii="IRNazanin" w:hAnsi="IRNazanin" w:eastAsia="IRNazanin" w:cs="IRNazanin"/>
          <w:lang w:bidi="fa-IR"/>
          <w:color w:val="111111"/>
          <w:sz w:val="28"/>
          <w:szCs w:val="28"/>
          <w:rtl/>
        </w:rPr>
        <w:t xml:space="preserve">آغاز: الحسن بن على بن ابی طالب ابو محمد سبط سيدنا رسول الله (صلى الله عليه وآله و سلم)و ريحانته واحد سیدی شباب اهل الجنة.؛ انجام: خالد بن المهاجر بن خالد ... نجز الجزء السابع من مختصر تاریخ دمشق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465" w:name="pg20363_209771"/>
    <w:bookmarkEnd w:id="465"/>
    <w:p>
      <w:pPr>
        <w:pStyle w:val="BookText"/>
      </w:pPr>
      <w:r>
        <w:rPr>
          <w:rFonts w:ascii="Amiri" w:hAnsi="Amiri" w:eastAsia="Amiri" w:cs="Amiri"/>
          <w:lang w:bidi="ar-SA"/>
          <w:color w:val="111111"/>
          <w:sz w:val="28"/>
          <w:szCs w:val="28"/>
          <w:rtl/>
        </w:rPr>
        <w:t xml:space="preserve">و يتلوه في الجزء الثامن انشاء الله عز وجل، (خالد بن الوليد سيف الله)</w:t>
      </w:r>
    </w:p>
    <w:p>
      <w:pPr>
        <w:pStyle w:val="BookText"/>
      </w:pPr>
      <w:r>
        <w:rPr>
          <w:rFonts w:ascii="IRNazanin" w:hAnsi="IRNazanin" w:eastAsia="IRNazanin" w:cs="IRNazanin"/>
          <w:lang w:bidi="fa-IR"/>
          <w:color w:val="111111"/>
          <w:sz w:val="28"/>
          <w:szCs w:val="28"/>
          <w:rtl/>
        </w:rPr>
        <w:t xml:space="preserve">عربی طوپ قاپی ۴۵۳/۳ ). جزء هفتم؛ خط: نسخ، كاتب = مؤلف، تا: شب ۱ ربیع الاول ۶۹۱ق؛ مصحح: ۱۶۵گ، ۲۱سطر (عکسی ف: ۶۵-۲ )</w:t>
      </w:r>
    </w:p>
    <w:p>
      <w:pPr>
        <w:pStyle w:val="BookText"/>
      </w:pPr>
      <w:r>
        <w:rPr>
          <w:rFonts w:ascii="IRNazanin" w:hAnsi="IRNazanin" w:eastAsia="IRNazanin" w:cs="IRNazanin"/>
          <w:lang w:bidi="fa-IR"/>
          <w:color w:val="111111"/>
          <w:sz w:val="28"/>
          <w:szCs w:val="28"/>
          <w:rtl/>
        </w:rPr>
        <w:t xml:space="preserve">۶. قم؛ مرعشی؛ شماره نسخه:۵۷۵عکسی</w:t>
      </w:r>
    </w:p>
    <w:p>
      <w:pPr>
        <w:pStyle w:val="BookText"/>
      </w:pPr>
      <w:r>
        <w:rPr>
          <w:rFonts w:ascii="Amiri" w:hAnsi="Amiri" w:eastAsia="Amiri" w:cs="Amiri"/>
          <w:lang w:bidi="ar-SA"/>
          <w:color w:val="111111"/>
          <w:sz w:val="28"/>
          <w:szCs w:val="28"/>
          <w:rtl/>
        </w:rPr>
        <w:t xml:space="preserve">آغاز: خالد بن الوليد بن المغيرة بن عبد الله؛ انجام: الزبير بن الاروح التميمي عراقي من التابعين ... نجز الجزء الثامن و يتلوه في التاسع ان شاء الله عزوجل، الزبير بن جعفر بن محمد بن هرون بن محمد بن عبدالله بن المعتز بالله. نسخه اصل: سلطان احمد ثالث، استانبول، ش ۲۸۸۸/۸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فهرست عربی طوپ قاپی ۴۵۳/۳ ).</w:t>
      </w:r>
    </w:p>
    <w:p>
      <w:pPr>
        <w:pStyle w:val="BookText"/>
      </w:pPr>
      <w:r>
        <w:rPr>
          <w:rFonts w:ascii="IRNazanin" w:hAnsi="IRNazanin" w:eastAsia="IRNazanin" w:cs="IRNazanin"/>
          <w:lang w:bidi="fa-IR"/>
          <w:color w:val="111111"/>
          <w:sz w:val="28"/>
          <w:szCs w:val="28"/>
          <w:rtl/>
        </w:rPr>
        <w:t xml:space="preserve">جزء هشتم ؛ خط: نسخ، كاتب =مؤلف، تا: جمادی الاول ۶۹۱ق؛ مصحح؛ ۱۶۷، ۲۱سطر [عکسی ف: ۲-۶۶]</w:t>
      </w:r>
    </w:p>
    <w:p>
      <w:pPr>
        <w:pStyle w:val="BookText"/>
      </w:pPr>
      <w:r>
        <w:rPr>
          <w:rFonts w:ascii="IRNazanin" w:hAnsi="IRNazanin" w:eastAsia="IRNazanin" w:cs="IRNazanin"/>
          <w:lang w:bidi="fa-IR"/>
          <w:color w:val="111111"/>
          <w:sz w:val="28"/>
          <w:szCs w:val="28"/>
          <w:rtl/>
        </w:rPr>
        <w:t xml:space="preserve">۷. قم؛ مرعشی؛ شماره نسخه: ۵۷۶عکسی</w:t>
      </w:r>
    </w:p>
    <w:p>
      <w:pPr>
        <w:pStyle w:val="BookText"/>
      </w:pPr>
      <w:r>
        <w:rPr>
          <w:rFonts w:ascii="Amiri" w:hAnsi="Amiri" w:eastAsia="Amiri" w:cs="Amiri"/>
          <w:lang w:bidi="ar-SA"/>
          <w:color w:val="111111"/>
          <w:sz w:val="28"/>
          <w:szCs w:val="28"/>
          <w:rtl/>
        </w:rPr>
        <w:t xml:space="preserve">آغاز: الزبير بن جعفر بن محمد بن هرون بن محمد بن عبدالله؛ انجام: وصوابه: ابن غنيم بغين معجمه و نون، و الله اعلم، نجز الجزء التاسع و يتلوه في العاشر ان شاء الله عزوجل سعيد بن الفضل. نسخه اصل: سلطان احمد ثالث، استانبول، ش ۲۸۸۸/۹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فهرست عربی طوپ قاپی ۴۵۳/۳ ). جزء نهم؛ خط: نسخ، كاتب = مؤلف، تا: سه شنبه ۷ رجب ۶۹۱ق؛ مصحح؛ ۱۵۹گ، ۲۱سطر [عکسی ف: ۶۷-۲ ]</w:t>
      </w:r>
    </w:p>
    <w:p>
      <w:pPr>
        <w:pStyle w:val="BookText"/>
      </w:pPr>
      <w:r>
        <w:rPr>
          <w:rFonts w:ascii="IRNazanin" w:hAnsi="IRNazanin" w:eastAsia="IRNazanin" w:cs="IRNazanin"/>
          <w:lang w:bidi="fa-IR"/>
          <w:color w:val="111111"/>
          <w:sz w:val="28"/>
          <w:szCs w:val="28"/>
          <w:rtl/>
        </w:rPr>
        <w:t xml:space="preserve">۸. قم؛ مرعشی؛ شماره نسخه: ۵۷۷ عکسی</w:t>
      </w:r>
    </w:p>
    <w:p>
      <w:pPr>
        <w:pStyle w:val="BookText"/>
      </w:pPr>
      <w:r>
        <w:rPr>
          <w:rFonts w:ascii="IRNazanin" w:hAnsi="IRNazanin" w:eastAsia="IRNazanin" w:cs="IRNazanin"/>
          <w:lang w:bidi="fa-IR"/>
          <w:color w:val="111111"/>
          <w:sz w:val="28"/>
          <w:szCs w:val="28"/>
          <w:rtl/>
        </w:rPr>
        <w:t xml:space="preserve">آغاز: عبدالله بن محمد بن ابی یزید ... القاضي، ول قضاء الكرخ ببغداد و قيل: ول قضاء دمشق؛ انجام: عبد الرحمن بن الغاز بن ربيعة الحرشی من اهل دمشق ... نجز الجزء الرابع عشر من مختصر تاریخ دمشق بحمد الله وعونه. نسخه اصل: سلطان احمد ثالث، استانبول، ش ۲۸۸۸/۱۴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فهرست عربی طوپ قاپی ۴۵۴/۳ ). جزء چهاردهم؛ خط: نسخ، کاتب = مؤلف، تا: شب اول رمضان ۶۹۲ق؛ مصحح: ۱۵۶گ، ۲۱سطر [عکسی ف: ۲-۶۷]</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قم؛ مرعشی؛ شماره نسخه:۵۷۸عکسی</w:t>
      </w:r>
    </w:p>
    <w:p>
      <w:pPr>
        <w:pStyle w:val="BookText"/>
      </w:pPr>
      <w:r>
        <w:rPr>
          <w:rFonts w:ascii="IRNazanin" w:hAnsi="IRNazanin" w:eastAsia="IRNazanin" w:cs="IRNazanin"/>
          <w:lang w:bidi="fa-IR"/>
          <w:color w:val="111111"/>
          <w:sz w:val="28"/>
          <w:szCs w:val="28"/>
          <w:rtl/>
        </w:rPr>
        <w:t xml:space="preserve">آغاز: عروة بن الزبير بن العوام بن خویلد ... الاسدي القرشی الفقيه.؛ انجام: فقال أبو بكر انا هويا رسول الله، قال: لا... نجز الجزء السابع عشر من مختصر تاریخ دمشق ويتلوه في الجزء الثامن عشر ان شاء الله تعالى بقية ترجمة على بن ابی طالب (علیه السلام) ... نسخه اصل: سلطان احمد ثالث، استانبول، ش ( ۲۸۸۸/۱۷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فهرست عربی طوپ قاپی ۴۵۴/۳ ). جزء هفدهم؛ خط: نسخ، کاتب = مؤلف، تا: نیمه جمادی الثانی ۶۹۳ق؛ مصحح؛ ۱۵۵گ،</w:t>
      </w:r>
    </w:p>
    <w:p>
      <w:pPr>
        <w:pStyle w:val="BookText"/>
      </w:pPr>
      <w:r>
        <w:rPr>
          <w:rFonts w:ascii="IRNazanin" w:hAnsi="IRNazanin" w:eastAsia="IRNazanin" w:cs="IRNazanin"/>
          <w:lang w:bidi="fa-IR"/>
          <w:color w:val="111111"/>
          <w:sz w:val="28"/>
          <w:szCs w:val="28"/>
          <w:rtl/>
        </w:rPr>
        <w:t xml:space="preserve">۲۱سطر [عکسی ف: ۲-۶۸]</w:t>
      </w:r>
    </w:p>
    <w:p>
      <w:pPr>
        <w:pStyle w:val="BookText"/>
      </w:pPr>
      <w:r>
        <w:rPr>
          <w:rFonts w:ascii="IRNazanin" w:hAnsi="IRNazanin" w:eastAsia="IRNazanin" w:cs="IRNazanin"/>
          <w:lang w:bidi="fa-IR"/>
          <w:color w:val="111111"/>
          <w:sz w:val="28"/>
          <w:szCs w:val="28"/>
          <w:rtl/>
        </w:rPr>
        <w:t xml:space="preserve">۱۰. قم؛ مرعشی؛ شماره نسخه:۵۷۹عکسی</w:t>
      </w:r>
    </w:p>
    <w:p>
      <w:pPr>
        <w:pStyle w:val="BookText"/>
      </w:pPr>
      <w:r>
        <w:rPr>
          <w:rFonts w:ascii="IRNazanin" w:hAnsi="IRNazanin" w:eastAsia="IRNazanin" w:cs="IRNazanin"/>
          <w:lang w:bidi="fa-IR"/>
          <w:color w:val="111111"/>
          <w:sz w:val="28"/>
          <w:szCs w:val="28"/>
          <w:rtl/>
        </w:rPr>
        <w:t xml:space="preserve">آغاز: عون بن عبد الله بن عتبة بن مسعود ... الهذلی؛ انجام: فتيلة بنت واثلة ... تم الجزء العشرون من مختصر تاریخ دمشق ويتلوه آن نسخه اصل: سلطان احمد ثالث، استانبول، ش</w:t>
      </w:r>
    </w:p>
    <w:p>
      <w:pPr>
        <w:pStyle w:val="BookText"/>
      </w:pPr>
      <w:r>
        <w:rPr>
          <w:rFonts w:ascii="IRNazanin" w:hAnsi="IRNazanin" w:eastAsia="IRNazanin" w:cs="IRNazanin"/>
          <w:lang w:bidi="fa-IR"/>
          <w:color w:val="111111"/>
          <w:sz w:val="28"/>
          <w:szCs w:val="28"/>
          <w:rtl/>
        </w:rPr>
        <w:t xml:space="preserve">۲۸۸۸/۲۰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فهرست عربی طوپ قاپی ۴۵۴/۳ ). جزء بیستم؛ خط: نسخ، کاتب = مؤلف، تا: یکشنبه ۲۲ محرم ۶۹۴ق؛ مصحح؛ ۱۵۷گ، ۲۱سطر [عکسی ف: ۲-۶۹]</w:t>
      </w:r>
    </w:p>
    <w:p>
      <w:pPr>
        <w:pStyle w:val="BookText"/>
      </w:pPr>
      <w:r>
        <w:rPr>
          <w:rFonts w:ascii="IRNazanin" w:hAnsi="IRNazanin" w:eastAsia="IRNazanin" w:cs="IRNazanin"/>
          <w:lang w:bidi="fa-IR"/>
          <w:color w:val="111111"/>
          <w:sz w:val="28"/>
          <w:szCs w:val="28"/>
          <w:rtl/>
        </w:rPr>
        <w:t xml:space="preserve">۱۱. قم؛ مرعشی؛ شماره نسخه: ۵۸۰ عکسی</w:t>
      </w:r>
    </w:p>
    <w:p>
      <w:pPr>
        <w:pStyle w:val="BookText"/>
      </w:pPr>
      <w:r>
        <w:rPr>
          <w:rFonts w:ascii="IRNazanin" w:hAnsi="IRNazanin" w:eastAsia="IRNazanin" w:cs="IRNazanin"/>
          <w:lang w:bidi="fa-IR"/>
          <w:color w:val="111111"/>
          <w:sz w:val="28"/>
          <w:szCs w:val="28"/>
          <w:rtl/>
        </w:rPr>
        <w:t xml:space="preserve">آغاز: محمد بن عبد الرحمن ابن اشعث بن نافع ابن عبدالله العجلی امام جامع دمشق؛ انجام: مالک بن ادهم بن محرز ... نجز الجزء الثالث و العشرون من تاريخ دمشق و يتلوه في الرابع و العشرين أن شاء الله عزوجل، مالک بن اسما بن خارجة. نسخه اصل: سلطان احمد ثالث، استانبول، ش ۲۸۸۸/۲۳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فهرست عربی طوپ قاپی ۴۵۴٫۳ ). جزء بیست و سوم؛ خط: نسخ، كاتب = مؤلف، تا: ۲۰ رجب ۶۹۴ق، مصحح: ۱۵۶گ، ۲۱سطر [عکسی ف: ۲-۷۰]</w:t>
      </w:r>
    </w:p>
    <w:p>
      <w:pPr>
        <w:pStyle w:val="BookText"/>
      </w:pPr>
      <w:r>
        <w:rPr>
          <w:rFonts w:ascii="IRNazanin" w:hAnsi="IRNazanin" w:eastAsia="IRNazanin" w:cs="IRNazanin"/>
          <w:lang w:bidi="fa-IR"/>
          <w:color w:val="111111"/>
          <w:sz w:val="28"/>
          <w:szCs w:val="28"/>
          <w:rtl/>
        </w:rPr>
        <w:t xml:space="preserve">۱۲. قم؛ مرعشی؛ شماره نسخه: ۵۸۱عکسی</w:t>
      </w:r>
    </w:p>
    <w:p>
      <w:pPr>
        <w:pStyle w:val="BookText"/>
      </w:pPr>
      <w:r>
        <w:rPr>
          <w:rFonts w:ascii="IRNazanin" w:hAnsi="IRNazanin" w:eastAsia="IRNazanin" w:cs="IRNazanin"/>
          <w:lang w:bidi="fa-IR"/>
          <w:color w:val="111111"/>
          <w:sz w:val="28"/>
          <w:szCs w:val="28"/>
          <w:rtl/>
        </w:rPr>
        <w:t xml:space="preserve">آغاز: هارون الرشید ابن محمد المهدي بن عبدالله المنصور بن محمد بن علی؛ انجام: یزید بن القعقاع ابو جعفر المخزومی ... نجز الجزء السابع و العشرون من مختصر تاریخ دمشق ويتلوه في الجزء الثامن و العشرين ان شاء الله ... نسخه اصل: سلطان احمد ثالث، استانبول، ش ۲۸۸۸/۲۷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جزء بیست و هفتم؛ خط: نسخ، كاتب = مؤلف، تا: جمعه ۵ ربیع الاول ۶۹۵ق (فهرست عربی طوپ قاپی ۴۵۵/۳ )؛ مصحح: ۱۵۶گ، ۲۱ سطر [عکسی ف: ۲-۷۰]</w:t>
      </w:r>
    </w:p>
    <w:p>
      <w:pPr>
        <w:pStyle w:val="Heading3"/>
      </w:pPr>
      <w:bookmarkStart w:id="2293" w:name="_Toc1553"/>
      <w:r>
        <w:t>•تاریخ دنابله / تاریخ / فارسی</w:t>
      </w:r>
      <w:bookmarkEnd w:id="2293"/>
    </w:p>
    <w:p>
      <w:pPr>
        <w:pStyle w:val="BookText"/>
      </w:pPr>
      <w:r>
        <w:rPr>
          <w:rFonts w:ascii="Times New Roman" w:hAnsi="Times New Roman" w:eastAsia="Times New Roman" w:cs="Times New Roman"/>
          <w:lang w:val="en-US" w:bidi="en-US"/>
          <w:color w:val="111111"/>
          <w:sz w:val="28"/>
          <w:szCs w:val="28"/>
          <w:rtl/>
        </w:rPr>
        <w:t xml:space="preserve">tārīx-e danābele</w:t>
      </w:r>
    </w:p>
    <w:p>
      <w:pPr>
        <w:pStyle w:val="BookText"/>
      </w:pPr>
      <w:r>
        <w:rPr>
          <w:rFonts w:ascii="IRNazanin" w:hAnsi="IRNazanin" w:eastAsia="IRNazanin" w:cs="IRNazanin"/>
          <w:lang w:bidi="fa-IR"/>
          <w:color w:val="111111"/>
          <w:sz w:val="28"/>
          <w:szCs w:val="28"/>
          <w:rtl/>
        </w:rPr>
        <w:t xml:space="preserve">دنبلی، بهاء الدين</w:t>
      </w:r>
    </w:p>
    <w:p>
      <w:pPr>
        <w:pStyle w:val="BookText"/>
      </w:pPr>
      <w:r>
        <w:rPr>
          <w:rFonts w:ascii="Times New Roman" w:hAnsi="Times New Roman" w:eastAsia="Times New Roman" w:cs="Times New Roman"/>
          <w:lang w:val="en-US" w:bidi="en-US"/>
          <w:color w:val="111111"/>
          <w:sz w:val="28"/>
          <w:szCs w:val="28"/>
          <w:rtl/>
        </w:rPr>
        <w:t xml:space="preserve">donbalī, bahā'-od-dīn</w:t>
      </w:r>
    </w:p>
    <w:p>
      <w:pPr>
        <w:pStyle w:val="BookText"/>
      </w:pPr>
      <w:r>
        <w:rPr>
          <w:rFonts w:ascii="IRNazanin" w:hAnsi="IRNazanin" w:eastAsia="IRNazanin" w:cs="IRNazanin"/>
          <w:lang w:bidi="fa-IR"/>
          <w:color w:val="111111"/>
          <w:sz w:val="28"/>
          <w:szCs w:val="28"/>
          <w:rtl/>
        </w:rPr>
        <w:t xml:space="preserve">بی کا، بی تا [نشریه: ۴-۳۳۸]</w:t>
      </w:r>
    </w:p>
    <w:p>
      <w:pPr>
        <w:pStyle w:val="Heading3"/>
      </w:pPr>
      <w:bookmarkStart w:id="2294" w:name="_Toc1554"/>
      <w:r>
        <w:t>•تاریخ دنبلی / تاریخ / فارسی</w:t>
      </w:r>
      <w:bookmarkEnd w:id="2294"/>
    </w:p>
    <w:p>
      <w:pPr>
        <w:pStyle w:val="BookText"/>
      </w:pPr>
      <w:r>
        <w:rPr>
          <w:rFonts w:ascii="Times New Roman" w:hAnsi="Times New Roman" w:eastAsia="Times New Roman" w:cs="Times New Roman"/>
          <w:lang w:val="en-US" w:bidi="en-US"/>
          <w:color w:val="111111"/>
          <w:sz w:val="28"/>
          <w:szCs w:val="28"/>
          <w:rtl/>
        </w:rPr>
        <w:t xml:space="preserve">tārīx-e donbalī</w:t>
      </w:r>
    </w:p>
    <w:p>
      <w:pPr>
        <w:pStyle w:val="BookText"/>
      </w:pPr>
      <w:r>
        <w:rPr>
          <w:rFonts w:ascii="IRNazanin" w:hAnsi="IRNazanin" w:eastAsia="IRNazanin" w:cs="IRNazanin"/>
          <w:lang w:bidi="fa-IR"/>
          <w:color w:val="111111"/>
          <w:sz w:val="28"/>
          <w:szCs w:val="28"/>
          <w:rtl/>
        </w:rPr>
        <w:t xml:space="preserve">دنبلی، ابن حسین قلی</w:t>
      </w:r>
    </w:p>
    <w:p>
      <w:pPr>
        <w:pStyle w:val="BookText"/>
      </w:pPr>
      <w:r>
        <w:rPr>
          <w:rFonts w:ascii="Times New Roman" w:hAnsi="Times New Roman" w:eastAsia="Times New Roman" w:cs="Times New Roman"/>
          <w:lang w:val="en-US" w:bidi="en-US"/>
          <w:color w:val="111111"/>
          <w:sz w:val="28"/>
          <w:szCs w:val="28"/>
          <w:rtl/>
        </w:rPr>
        <w:t xml:space="preserve">donbalī, ebn-e hoseyn-qolī</w:t>
      </w:r>
    </w:p>
    <w:p>
      <w:pPr>
        <w:pStyle w:val="BookText"/>
      </w:pPr>
      <w:r>
        <w:rPr>
          <w:rFonts w:ascii="IRNazanin" w:hAnsi="IRNazanin" w:eastAsia="IRNazanin" w:cs="IRNazanin"/>
          <w:lang w:bidi="fa-IR"/>
          <w:color w:val="111111"/>
          <w:sz w:val="28"/>
          <w:szCs w:val="28"/>
          <w:rtl/>
        </w:rPr>
        <w:t xml:space="preserve">نویسنده شیعه، شرح حال قبيله دنبلی را که از اکراد بوده و در آذربایجان و شمال عراق می زیسته اند، نگاشته است.</w:t>
      </w:r>
    </w:p>
    <w:p>
      <w:pPr>
        <w:pStyle w:val="BookText"/>
      </w:pPr>
      <w:r>
        <w:rPr>
          <w:rFonts w:ascii="IRNazanin" w:hAnsi="IRNazanin" w:eastAsia="IRNazanin" w:cs="IRNazanin"/>
          <w:lang w:bidi="fa-IR"/>
          <w:color w:val="111111"/>
          <w:sz w:val="28"/>
          <w:szCs w:val="28"/>
          <w:rtl/>
        </w:rPr>
        <w:t xml:space="preserve">تهران، مرکز فرهنگی خراسان؛ شماره نسخه:۴۵ عکسی</w:t>
      </w:r>
    </w:p>
    <w:p>
      <w:pPr>
        <w:pStyle w:val="BookText"/>
      </w:pPr>
      <w:r>
        <w:rPr>
          <w:rFonts w:ascii="IRNazanin" w:hAnsi="IRNazanin" w:eastAsia="IRNazanin" w:cs="IRNazanin"/>
          <w:lang w:bidi="fa-IR"/>
          <w:color w:val="111111"/>
          <w:sz w:val="28"/>
          <w:szCs w:val="28"/>
          <w:rtl/>
        </w:rPr>
        <w:t xml:space="preserve">خط: نسخ روشن، کا: محمد حسین بیجانی، تا: ۱۲ جمادی الاول ۱۲۸۶ق؛ ۴۶۱گ [جنگ: ۱-۴۴۶]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466" w:name="pg20363_209772"/>
    <w:bookmarkEnd w:id="466"/>
    <w:p>
      <w:pPr>
        <w:pStyle w:val="Heading3"/>
      </w:pPr>
      <w:bookmarkStart w:id="2295" w:name="_Toc1555"/>
      <w:r>
        <w:t>•تاریخ دنبلیان / تاریخ / فارسی</w:t>
      </w:r>
      <w:bookmarkEnd w:id="2295"/>
    </w:p>
    <w:p>
      <w:pPr>
        <w:pStyle w:val="BookText"/>
      </w:pPr>
      <w:r>
        <w:rPr>
          <w:rFonts w:ascii="Times New Roman" w:hAnsi="Times New Roman" w:eastAsia="Times New Roman" w:cs="Times New Roman"/>
          <w:lang w:val="en-US" w:bidi="en-US"/>
          <w:color w:val="111111"/>
          <w:sz w:val="28"/>
          <w:szCs w:val="28"/>
          <w:rtl/>
        </w:rPr>
        <w:t xml:space="preserve">tārīx-e donbolīyān</w:t>
      </w:r>
    </w:p>
    <w:p>
      <w:pPr>
        <w:pStyle w:val="BookText"/>
      </w:pPr>
      <w:r>
        <w:rPr>
          <w:rFonts w:ascii="IRNazanin" w:hAnsi="IRNazanin" w:eastAsia="IRNazanin" w:cs="IRNazanin"/>
          <w:lang w:bidi="fa-IR"/>
          <w:color w:val="111111"/>
          <w:sz w:val="28"/>
          <w:szCs w:val="28"/>
          <w:rtl/>
        </w:rPr>
        <w:t xml:space="preserve">تهران؛ دانشگاه؛ شماره نسخه: ۱۰۹۵۶/۹</w:t>
      </w:r>
    </w:p>
    <w:p>
      <w:pPr>
        <w:pStyle w:val="BookText"/>
      </w:pPr>
      <w:r>
        <w:rPr>
          <w:rFonts w:ascii="IRNazanin" w:hAnsi="IRNazanin" w:eastAsia="IRNazanin" w:cs="IRNazanin"/>
          <w:lang w:bidi="fa-IR"/>
          <w:color w:val="111111"/>
          <w:sz w:val="28"/>
          <w:szCs w:val="28"/>
          <w:rtl/>
        </w:rPr>
        <w:t xml:space="preserve">پراکنده هایی است درباره تاریخ دنبلیان که همه آن به یک خط است ولی صحافی آنها منظم نیست؛ خط: نسخ و نستعلیق، بی کا، تا: قرن ۱۳ و ۱۴؛ ۲۰گ (۴۱پ -۴۳ر و ۴۸ ر-۴۸پ و ۵۸پ - ۶۱پ و ۶۸ر -۷۹پ)، ابعاد متن: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سم</w:t>
      </w:r>
    </w:p>
    <w:p>
      <w:pPr>
        <w:pStyle w:val="BookText"/>
      </w:pPr>
      <w:r>
        <w:rPr>
          <w:rFonts w:ascii="IRNazanin" w:hAnsi="IRNazanin" w:eastAsia="IRNazanin" w:cs="IRNazanin"/>
          <w:lang w:bidi="fa-IR"/>
          <w:color w:val="111111"/>
          <w:sz w:val="28"/>
          <w:szCs w:val="28"/>
          <w:rtl/>
        </w:rPr>
        <w:t xml:space="preserve">[ف: ۲۰-۵۴۸]</w:t>
      </w:r>
    </w:p>
    <w:p>
      <w:pPr>
        <w:pStyle w:val="Heading3"/>
      </w:pPr>
      <w:bookmarkStart w:id="2296" w:name="_Toc1556"/>
      <w:r>
        <w:t>•تاریخ دنیای قدیم از آغاز خلقت / تاریخ / فارسی</w:t>
      </w:r>
      <w:bookmarkEnd w:id="2296"/>
    </w:p>
    <w:p>
      <w:pPr>
        <w:pStyle w:val="BookText"/>
      </w:pPr>
      <w:r>
        <w:rPr>
          <w:rFonts w:ascii="Times New Roman" w:hAnsi="Times New Roman" w:eastAsia="Times New Roman" w:cs="Times New Roman"/>
          <w:lang w:val="en-US" w:bidi="en-US"/>
          <w:color w:val="111111"/>
          <w:sz w:val="28"/>
          <w:szCs w:val="28"/>
          <w:rtl/>
        </w:rPr>
        <w:t xml:space="preserve">tārīx-e donyā-ye qadīm az āqāz-e xelqat</w:t>
      </w:r>
    </w:p>
    <w:p>
      <w:pPr>
        <w:pStyle w:val="BookText"/>
      </w:pPr>
      <w:r>
        <w:rPr>
          <w:rFonts w:ascii="IRNazanin" w:hAnsi="IRNazanin" w:eastAsia="IRNazanin" w:cs="IRNazanin"/>
          <w:lang w:bidi="fa-IR"/>
          <w:color w:val="111111"/>
          <w:sz w:val="28"/>
          <w:szCs w:val="28"/>
          <w:rtl/>
        </w:rPr>
        <w:t xml:space="preserve">تهران؛ مجلس؛ شماره نسخه: ۶۳/۱</w:t>
      </w:r>
    </w:p>
    <w:p>
      <w:pPr>
        <w:pStyle w:val="BookText"/>
      </w:pPr>
      <w:r>
        <w:rPr>
          <w:rFonts w:ascii="IRNazanin" w:hAnsi="IRNazanin" w:eastAsia="IRNazanin" w:cs="IRNazanin"/>
          <w:lang w:bidi="fa-IR"/>
          <w:color w:val="111111"/>
          <w:sz w:val="28"/>
          <w:szCs w:val="28"/>
          <w:rtl/>
        </w:rPr>
        <w:t xml:space="preserve">سرود ناقص؛ خط: نستعلیق، بی کا، بی تا نشریه: ۱۳-۴۲۴]</w:t>
      </w:r>
    </w:p>
    <w:p>
      <w:pPr>
        <w:pStyle w:val="BookText"/>
      </w:pPr>
      <w:r>
        <w:rPr>
          <w:rFonts w:ascii="IRNazanin" w:hAnsi="IRNazanin" w:eastAsia="IRNazanin" w:cs="IRNazanin"/>
          <w:lang w:bidi="fa-IR"/>
          <w:color w:val="111111"/>
          <w:sz w:val="28"/>
          <w:szCs w:val="28"/>
          <w:rtl/>
        </w:rPr>
        <w:t xml:space="preserve">←تاریخ دوازده امام ← تاریخ محمدی</w:t>
      </w:r>
    </w:p>
    <w:p>
      <w:pPr>
        <w:pStyle w:val="Heading3"/>
      </w:pPr>
      <w:bookmarkStart w:id="2297" w:name="_Toc1557"/>
      <w:r>
        <w:t>• تاریخ دودمان دنبلی / تاریخ / فارسی</w:t>
      </w:r>
      <w:bookmarkEnd w:id="2297"/>
    </w:p>
    <w:p>
      <w:pPr>
        <w:pStyle w:val="BookText"/>
      </w:pPr>
      <w:r>
        <w:rPr>
          <w:rFonts w:ascii="Times New Roman" w:hAnsi="Times New Roman" w:eastAsia="Times New Roman" w:cs="Times New Roman"/>
          <w:lang w:val="en-US" w:bidi="en-US"/>
          <w:color w:val="111111"/>
          <w:sz w:val="28"/>
          <w:szCs w:val="28"/>
          <w:rtl/>
        </w:rPr>
        <w:t xml:space="preserve">tārīx-e dūdmān-e donbalī</w:t>
      </w:r>
    </w:p>
    <w:p>
      <w:pPr>
        <w:pStyle w:val="BookText"/>
      </w:pPr>
      <w:r>
        <w:rPr>
          <w:rFonts w:ascii="IRNazanin" w:hAnsi="IRNazanin" w:eastAsia="IRNazanin" w:cs="IRNazanin"/>
          <w:lang w:bidi="fa-IR"/>
          <w:color w:val="111111"/>
          <w:sz w:val="28"/>
          <w:szCs w:val="28"/>
          <w:rtl/>
        </w:rPr>
        <w:t xml:space="preserve">مفتون دنبلی، عبدالرزاق بن نجفقلی، ۱۱۷۶-۱۲۴۳</w:t>
      </w:r>
    </w:p>
    <w:p>
      <w:pPr>
        <w:pStyle w:val="BookText"/>
      </w:pPr>
      <w:r>
        <w:rPr>
          <w:rFonts w:ascii="IRNazanin" w:hAnsi="IRNazanin" w:eastAsia="IRNazanin" w:cs="IRNazanin"/>
          <w:lang w:bidi="fa-IR"/>
          <w:color w:val="111111"/>
          <w:sz w:val="28"/>
          <w:szCs w:val="28"/>
          <w:rtl/>
        </w:rPr>
        <w:t xml:space="preserve">قمری</w:t>
      </w:r>
    </w:p>
    <w:p>
      <w:pPr>
        <w:pStyle w:val="BookText"/>
      </w:pPr>
      <w:r>
        <w:rPr>
          <w:rFonts w:ascii="Times New Roman" w:hAnsi="Times New Roman" w:eastAsia="Times New Roman" w:cs="Times New Roman"/>
          <w:lang w:val="en-US" w:bidi="en-US"/>
          <w:color w:val="111111"/>
          <w:sz w:val="28"/>
          <w:szCs w:val="28"/>
          <w:rtl/>
        </w:rPr>
        <w:t xml:space="preserve">maftūn-e donbalī, 'abd-or-razzāq ebn-e najaf-qolī (1763-1828)</w:t>
      </w:r>
    </w:p>
    <w:p>
      <w:pPr>
        <w:pStyle w:val="BookText"/>
      </w:pPr>
      <w:r>
        <w:rPr>
          <w:rFonts w:ascii="IRNazanin" w:hAnsi="IRNazanin" w:eastAsia="IRNazanin" w:cs="IRNazanin"/>
          <w:lang w:bidi="fa-IR"/>
          <w:color w:val="111111"/>
          <w:sz w:val="28"/>
          <w:szCs w:val="28"/>
          <w:rtl/>
        </w:rPr>
        <w:t xml:space="preserve">نخست تاریخ و آئین ایران است (۱-۹۳) سپس شرح فرمانروایی دنبلیها (۹۵-۲۱۰) و در پایان زایجه رستم خان پسر احمد خان دنبلی است مورخ روز دوشنبه ۱ رجب ۱۲۶۶ در خوی در ص ۱۰۴ از تاریخ ریاض</w:t>
      </w:r>
    </w:p>
    <w:p>
      <w:pPr>
        <w:pStyle w:val="BookText"/>
      </w:pPr>
      <w:r>
        <w:rPr>
          <w:rFonts w:ascii="IRNazanin" w:hAnsi="IRNazanin" w:eastAsia="IRNazanin" w:cs="IRNazanin"/>
          <w:lang w:bidi="fa-IR"/>
          <w:color w:val="111111"/>
          <w:sz w:val="28"/>
          <w:szCs w:val="28"/>
          <w:rtl/>
        </w:rPr>
        <w:t xml:space="preserve">الجنة نقل شده است و در ص ۱۵۴ آمده: در تاریخ آقای عبدالرزاق بیگ ابن نجفقلی خان بیگلر بیگی» با اینکه در ص ۵۹ آغاز بخش دوم آمده: «يقول حاوى الاوراق ... ابن نجفقلى الدنبلی عبد الرزاق عفي الله تعالی» در ص ۱۲۰ و ۱۲۴ آن از تاریخ سلاطین اگراد نقل شده است. پیداست که کسی این کتاب را در باره این دودمان نوشته و از ریاض الجنة بهره برده و این کتاب را گویا پس از مرگ مفتون و پس از ۱۲۶۶ ساخته است.</w:t>
      </w:r>
    </w:p>
    <w:p>
      <w:pPr>
        <w:pStyle w:val="BookText"/>
      </w:pPr>
      <w:r>
        <w:rPr>
          <w:rFonts w:ascii="IRNazanin" w:hAnsi="IRNazanin" w:eastAsia="IRNazanin" w:cs="IRNazanin"/>
          <w:lang w:bidi="fa-IR"/>
          <w:color w:val="111111"/>
          <w:sz w:val="28"/>
          <w:szCs w:val="28"/>
          <w:rtl/>
        </w:rPr>
        <w:t xml:space="preserve">تهران، دانشگاه؛ شماره نسخه:۳۲۱۰</w:t>
      </w:r>
    </w:p>
    <w:p>
      <w:pPr>
        <w:pStyle w:val="BookText"/>
      </w:pPr>
      <w:r>
        <w:rPr>
          <w:rFonts w:ascii="IRNazanin" w:hAnsi="IRNazanin" w:eastAsia="IRNazanin" w:cs="IRNazanin"/>
          <w:lang w:bidi="fa-IR"/>
          <w:color w:val="111111"/>
          <w:sz w:val="28"/>
          <w:szCs w:val="28"/>
          <w:rtl/>
        </w:rPr>
        <w:t xml:space="preserve">آغاز: بسمله. و به نستعين. ذکر طبقه سلاطین پیش دادیان کیومرث ... نخستین سلاطین جهان.؛ انجام: چنانکه گفت از نم آن بحر آب بهم رسید قد تم بالخير و السعادة (سپس زایجه است) خط: نسخ، بی کا، تا: قرن ۱۳؛ مجدول، با سرلوح؛ کاغذ: فرنگی، جلد: تیماج سبز تیره، ۱۰۶گ، ۱۹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۱۱-۲۱۶۶]</w:t>
      </w:r>
    </w:p>
    <w:p>
      <w:pPr>
        <w:pStyle w:val="Heading3"/>
      </w:pPr>
      <w:bookmarkStart w:id="2298" w:name="_Toc1558"/>
      <w:r>
        <w:t>• تاریخ دول الاسلام على الولاء و خلفاء الأمة و ملوکها و اعلامها / تاریخ / عربی</w:t>
      </w:r>
      <w:bookmarkEnd w:id="2298"/>
    </w:p>
    <w:p>
      <w:pPr>
        <w:pStyle w:val="BookText"/>
      </w:pPr>
      <w:r>
        <w:rPr>
          <w:rFonts w:ascii="Times New Roman" w:hAnsi="Times New Roman" w:eastAsia="Times New Roman" w:cs="Times New Roman"/>
          <w:lang w:val="en-US" w:bidi="en-US"/>
          <w:color w:val="111111"/>
          <w:sz w:val="28"/>
          <w:szCs w:val="28"/>
          <w:rtl/>
        </w:rPr>
        <w:t xml:space="preserve">tārīx-u duwal-il islām ‘ala-1 wilā' wa xulafā'-il umma wa mulūk-i-hā wa aʻlām-i-hā</w:t>
      </w:r>
    </w:p>
    <w:p>
      <w:pPr>
        <w:pStyle w:val="BookText"/>
      </w:pPr>
      <w:r>
        <w:rPr>
          <w:rFonts w:ascii="IRNazanin" w:hAnsi="IRNazanin" w:eastAsia="IRNazanin" w:cs="IRNazanin"/>
          <w:lang w:bidi="fa-IR"/>
          <w:color w:val="111111"/>
          <w:sz w:val="28"/>
          <w:szCs w:val="28"/>
          <w:rtl/>
        </w:rPr>
        <w:t xml:space="preserve">ذهبی، محمد بن احمد، ۶۷۳-۷۴۸ قمری</w:t>
      </w:r>
    </w:p>
    <w:p>
      <w:pPr>
        <w:pStyle w:val="BookText"/>
      </w:pPr>
      <w:r>
        <w:rPr>
          <w:rFonts w:ascii="Times New Roman" w:hAnsi="Times New Roman" w:eastAsia="Times New Roman" w:cs="Times New Roman"/>
          <w:lang w:val="en-US" w:bidi="en-US"/>
          <w:color w:val="111111"/>
          <w:sz w:val="28"/>
          <w:szCs w:val="28"/>
          <w:rtl/>
        </w:rPr>
        <w:t xml:space="preserve">zahabī, mohammad ebn-e ahmad (1275-1348)</w:t>
      </w:r>
    </w:p>
    <w:p>
      <w:pPr>
        <w:pStyle w:val="BookText"/>
      </w:pPr>
      <w:r>
        <w:rPr>
          <w:rFonts w:ascii="IRNazanin" w:hAnsi="IRNazanin" w:eastAsia="IRNazanin" w:cs="IRNazanin"/>
          <w:lang w:bidi="fa-IR"/>
          <w:color w:val="111111"/>
          <w:sz w:val="28"/>
          <w:szCs w:val="28"/>
          <w:rtl/>
        </w:rPr>
        <w:t xml:space="preserve">وابسته به: تاريخ الاسلام و طبقات مشاهير الأعلام = تاریخ الاسلام للذهبي = تاریخ ذهبی؛ ذهبی، محمد بن احمد (۶۷۳ -۷۴۸ )</w:t>
      </w:r>
    </w:p>
    <w:p>
      <w:pPr>
        <w:pStyle w:val="BookText"/>
      </w:pPr>
      <w:r>
        <w:rPr>
          <w:rFonts w:ascii="IRNazanin" w:hAnsi="IRNazanin" w:eastAsia="IRNazanin" w:cs="IRNazanin"/>
          <w:lang w:bidi="fa-IR"/>
          <w:color w:val="111111"/>
          <w:sz w:val="28"/>
          <w:szCs w:val="28"/>
          <w:rtl/>
        </w:rPr>
        <w:t xml:space="preserve">گزیده التاريخ الكبير خود اوست از آغاز تا سال ۷۱۵ با ذیلی از گمنام که تاریخ را تا به سال ۷۴۴ رسانده است. چاپ: قاهره، الهيئة المصرية العامة، محقق: فهیم محمد شلتوت و محمد مصطفی ابراهیم، چاپ جدید، دو جزء، ۱۳۹۳ق. [آربری ۹۴ بروکلمان ۴۷/۲ و ذیل ۴۵/۲</w:t>
      </w:r>
    </w:p>
    <w:p>
      <w:pPr>
        <w:pStyle w:val="BookText"/>
      </w:pPr>
      <w:r>
        <w:rPr>
          <w:rFonts w:ascii="Amiri" w:hAnsi="Amiri" w:eastAsia="Amiri" w:cs="Amiri"/>
          <w:lang w:bidi="ar-SA"/>
          <w:color w:val="111111"/>
          <w:sz w:val="28"/>
          <w:szCs w:val="28"/>
          <w:rtl/>
        </w:rPr>
        <w:t xml:space="preserve">؛ فهرست المخطوطات المصورة التاريخ ش ۶۶۲ و ۱۰۴۷]</w:t>
      </w:r>
    </w:p>
    <w:p>
      <w:pPr>
        <w:pStyle w:val="BookText"/>
      </w:pPr>
      <w:r>
        <w:rPr>
          <w:rFonts w:ascii="IRNazanin" w:hAnsi="IRNazanin" w:eastAsia="IRNazanin" w:cs="IRNazanin"/>
          <w:lang w:bidi="fa-IR"/>
          <w:color w:val="111111"/>
          <w:sz w:val="28"/>
          <w:szCs w:val="28"/>
          <w:rtl/>
        </w:rPr>
        <w:t xml:space="preserve">تهران، دانشگاه؛ شماره نسخه:۵۳۰۸</w:t>
      </w:r>
    </w:p>
    <w:p>
      <w:pPr>
        <w:pStyle w:val="BookText"/>
      </w:pPr>
      <w:r>
        <w:rPr>
          <w:rFonts w:ascii="IRNazanin" w:hAnsi="IRNazanin" w:eastAsia="IRNazanin" w:cs="IRNazanin"/>
          <w:lang w:bidi="fa-IR"/>
          <w:color w:val="111111"/>
          <w:sz w:val="28"/>
          <w:szCs w:val="28"/>
          <w:rtl/>
        </w:rPr>
        <w:t xml:space="preserve">خط: نسخ، بی کا، تا: قرن ۱۴؛ از روی نسخه نوشته محمد بن على الكتب انصاری سخاوی عصفور در ۲۷ رمضان ۷۵۵ كاغذ: فرنگی، جلد: مقوا، ۲۲۶، ۱۹ سطر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۱۵- ۴۱۹۹]</w:t>
      </w:r>
    </w:p>
    <w:p>
      <w:pPr>
        <w:pStyle w:val="Heading3"/>
      </w:pPr>
      <w:bookmarkStart w:id="2299" w:name="_Toc1559"/>
      <w:r>
        <w:t>•تاریخ دولت روم = تاریخ قیاصره = تاریخ قیصر / تاریخ / فارسی</w:t>
      </w:r>
      <w:bookmarkEnd w:id="2299"/>
    </w:p>
    <w:p>
      <w:pPr>
        <w:pStyle w:val="BookText"/>
      </w:pPr>
      <w:r>
        <w:rPr>
          <w:rFonts w:ascii="Times New Roman" w:hAnsi="Times New Roman" w:eastAsia="Times New Roman" w:cs="Times New Roman"/>
          <w:lang w:val="en-US" w:bidi="en-US"/>
          <w:color w:val="111111"/>
          <w:sz w:val="28"/>
          <w:szCs w:val="28"/>
          <w:rtl/>
        </w:rPr>
        <w:t xml:space="preserve">tārīx-e dowlat-e rūm = tārīx-e qayāsere = tārīx-e qeysar</w:t>
      </w:r>
    </w:p>
    <w:p>
      <w:pPr>
        <w:pStyle w:val="BookText"/>
      </w:pPr>
      <w:r>
        <w:rPr>
          <w:rFonts w:ascii="IRNazanin" w:hAnsi="IRNazanin" w:eastAsia="IRNazanin" w:cs="IRNazanin"/>
          <w:lang w:bidi="fa-IR"/>
          <w:color w:val="111111"/>
          <w:sz w:val="28"/>
          <w:szCs w:val="28"/>
          <w:rtl/>
        </w:rPr>
        <w:t xml:space="preserve">شیرازی، محمد ابراهیم، ق۱۳ قمری</w:t>
      </w:r>
    </w:p>
    <w:p>
      <w:pPr>
        <w:pStyle w:val="BookText"/>
      </w:pPr>
      <w:r>
        <w:rPr>
          <w:rFonts w:ascii="Times New Roman" w:hAnsi="Times New Roman" w:eastAsia="Times New Roman" w:cs="Times New Roman"/>
          <w:lang w:val="en-US" w:bidi="en-US"/>
          <w:color w:val="111111"/>
          <w:sz w:val="28"/>
          <w:szCs w:val="28"/>
          <w:rtl/>
        </w:rPr>
        <w:t xml:space="preserve">šīrāzī, mohammad ebrāhīm (-19c)</w:t>
      </w:r>
    </w:p>
    <w:p>
      <w:pPr>
        <w:pStyle w:val="BookText"/>
      </w:pPr>
      <w:r>
        <w:rPr>
          <w:rFonts w:ascii="IRNazanin" w:hAnsi="IRNazanin" w:eastAsia="IRNazanin" w:cs="IRNazanin"/>
          <w:lang w:bidi="fa-IR"/>
          <w:color w:val="111111"/>
          <w:sz w:val="28"/>
          <w:szCs w:val="28"/>
          <w:rtl/>
        </w:rPr>
        <w:t xml:space="preserve">مؤلف بنا بر خواهش دوستان خویش تاریخ رم را از هفتصد سال پیش از میلاد مسیح تا ششصد سال پس از ظهور اسلام در این کتاب نگاشته و سیزده سال به تأليف مشغول بوده است. ترجمه محمد ابراهیم شیرازی و میرزا رضا مهندس باشی. آغاز: خدایا خالقا پرورده گارا اصح تواریخ کلام و کتاب مجید تو و اصدق و افصح مورخین حبیب و پیغمبر برگزیده تو است</w:t>
      </w:r>
    </w:p>
    <w:p>
      <w:pPr>
        <w:pStyle w:val="BookText"/>
      </w:pPr>
      <w:r>
        <w:rPr>
          <w:rFonts w:ascii="IRNazanin" w:hAnsi="IRNazanin" w:eastAsia="IRNazanin" w:cs="IRNazanin"/>
          <w:lang w:bidi="fa-IR"/>
          <w:color w:val="111111"/>
          <w:sz w:val="28"/>
          <w:szCs w:val="28"/>
          <w:rtl/>
        </w:rPr>
        <w:t xml:space="preserve">[دنا ۷۰۵/۲ ]</w:t>
      </w:r>
    </w:p>
    <w:p>
      <w:pPr>
        <w:pStyle w:val="BookText"/>
      </w:pPr>
      <w:r>
        <w:rPr>
          <w:rFonts w:ascii="IRNazanin" w:hAnsi="IRNazanin" w:eastAsia="IRNazanin" w:cs="IRNazanin"/>
          <w:lang w:bidi="fa-IR"/>
          <w:color w:val="111111"/>
          <w:sz w:val="28"/>
          <w:szCs w:val="28"/>
          <w:rtl/>
        </w:rPr>
        <w:t xml:space="preserve">۱. تهران؛ ملک؛ شماره نسخه:۳۸۷۷</w:t>
      </w:r>
    </w:p>
    <w:p>
      <w:pPr>
        <w:pStyle w:val="BookText"/>
      </w:pPr>
      <w:r>
        <w:rPr>
          <w:rFonts w:ascii="IRNazanin" w:hAnsi="IRNazanin" w:eastAsia="IRNazanin" w:cs="IRNazanin"/>
          <w:lang w:bidi="fa-IR"/>
          <w:color w:val="111111"/>
          <w:sz w:val="28"/>
          <w:szCs w:val="28"/>
          <w:rtl/>
        </w:rPr>
        <w:t xml:space="preserve">آغاز: که در شهر گذشته بوده بدیشان رسانیدند؛ انجام: به دام عشق خود در آورده در فهرست با عنوان «ژوليوس قيصر» آمده است؛ خط: نستعلیق، کاتب = مؤلف، تا: قرن ۱۳؛ تملک: فرهاد میرزا در ذیقعده ۱۲۷۶؛ کاغذ: فرنگی آهار مهره، جلد: میشن یشمی مغزی دار، ۶۲۹گ، ۱۳ سطر ( ۲۲/۳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۱۶/۶ ) [ف: ۳-۴۴۳]</w:t>
      </w:r>
    </w:p>
    <w:p>
      <w:pPr>
        <w:pStyle w:val="BookText"/>
      </w:pPr>
      <w:r>
        <w:rPr>
          <w:rFonts w:ascii="IRNazanin" w:hAnsi="IRNazanin" w:eastAsia="IRNazanin" w:cs="IRNazanin"/>
          <w:lang w:bidi="fa-IR"/>
          <w:color w:val="111111"/>
          <w:sz w:val="28"/>
          <w:szCs w:val="28"/>
          <w:rtl/>
        </w:rPr>
        <w:t xml:space="preserve">۲. تهران؛ ملک؛ شماره نسخه: ۴۱۶۲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467" w:name="pg20363_209773"/>
    <w:bookmarkEnd w:id="467"/>
    <w:p>
      <w:pPr>
        <w:pStyle w:val="BookText"/>
      </w:pPr>
      <w:r>
        <w:rPr>
          <w:rFonts w:ascii="IRNazanin" w:hAnsi="IRNazanin" w:eastAsia="IRNazanin" w:cs="IRNazanin"/>
          <w:lang w:bidi="fa-IR"/>
          <w:color w:val="111111"/>
          <w:sz w:val="28"/>
          <w:szCs w:val="28"/>
          <w:rtl/>
        </w:rPr>
        <w:t xml:space="preserve">آغاز: برابر، انجام: چنانچه بعد از این به تفصیل مرقوم خواهد شد. و الله اعلم جلد اول ؛ خط: نسخ، كا: آقا بابا شهمیرزادی، تا: ۷ شوال ۱۲۷۴ق، برای بهاء الدوله؛ تملک: بهاء الدوله در ۱۲۷۴، آجودان مخصوص در ۱۳۰۹، مهدی خان غفاری در ۱۲۸۸؛ کاغذ: فرنگی آهار مهره، جلد: میشن نارنجی سیر، ۲۲۰گ، ۳۱ سطر، اندازه: ۲۱/۸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۳۵/۲ سم [ف: ۲-۸۹]</w:t>
      </w:r>
    </w:p>
    <w:p>
      <w:pPr>
        <w:pStyle w:val="BookText"/>
      </w:pPr>
      <w:r>
        <w:rPr>
          <w:rFonts w:ascii="IRNazanin" w:hAnsi="IRNazanin" w:eastAsia="IRNazanin" w:cs="IRNazanin"/>
          <w:lang w:bidi="fa-IR"/>
          <w:color w:val="111111"/>
          <w:sz w:val="28"/>
          <w:szCs w:val="28"/>
          <w:rtl/>
        </w:rPr>
        <w:t xml:space="preserve">٣. اصفهان؛ صارم الدوله (کتابخانه فرهنگ اصفهان)؛ شماره نسخه:۸۸۷</w:t>
      </w:r>
    </w:p>
    <w:p>
      <w:pPr>
        <w:pStyle w:val="BookText"/>
      </w:pPr>
      <w:r>
        <w:rPr>
          <w:rFonts w:ascii="IRNazanin" w:hAnsi="IRNazanin" w:eastAsia="IRNazanin" w:cs="IRNazanin"/>
          <w:lang w:bidi="fa-IR"/>
          <w:color w:val="111111"/>
          <w:sz w:val="28"/>
          <w:szCs w:val="28"/>
          <w:rtl/>
        </w:rPr>
        <w:t xml:space="preserve">آغاز: برابر؛ انجام: ذکر طاعون و قحط که در ولایت روم اتفاق افتاد ... و بعد از آن نوشته اند در مملکت روم مخلوق خدا بحدی کم شد که ...</w:t>
      </w:r>
    </w:p>
    <w:p>
      <w:pPr>
        <w:pStyle w:val="BookText"/>
      </w:pPr>
      <w:r>
        <w:rPr>
          <w:rFonts w:ascii="IRNazanin" w:hAnsi="IRNazanin" w:eastAsia="IRNazanin" w:cs="IRNazanin"/>
          <w:lang w:bidi="fa-IR"/>
          <w:color w:val="111111"/>
          <w:sz w:val="28"/>
          <w:szCs w:val="28"/>
          <w:rtl/>
        </w:rPr>
        <w:t xml:space="preserve">خط: شکسته نستعلیق، بی کا، تا: محرم ۱۳۱۰ق، جان اصفهان، به دستور ظل السلطان فرماندار اصفهان؛ خطوط مختلف جلد اول سید علی ۱۳۰۹ و جلد دوم محمد على منشی محرم الحرام ۱۳۱۰، دارای جداول متداخل نیلی و قرمز، مصحح، کاغذ: فرنگی آبی، جلد: مقوایی با روکش تیماج عنابی، ۴۲۳ص، ۲۴ سطر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۲۸]</w:t>
      </w:r>
    </w:p>
    <w:p>
      <w:pPr>
        <w:pStyle w:val="BookText"/>
      </w:pPr>
      <w:r>
        <w:rPr>
          <w:rFonts w:ascii="IRNazanin" w:hAnsi="IRNazanin" w:eastAsia="IRNazanin" w:cs="IRNazanin"/>
          <w:lang w:bidi="fa-IR"/>
          <w:color w:val="111111"/>
          <w:sz w:val="28"/>
          <w:szCs w:val="28"/>
          <w:rtl/>
        </w:rPr>
        <w:t xml:space="preserve">۴. تهران، مجلس؛ شماره نسخه:۲۳۰</w:t>
      </w:r>
    </w:p>
    <w:p>
      <w:pPr>
        <w:pStyle w:val="BookText"/>
      </w:pPr>
      <w:r>
        <w:rPr>
          <w:rFonts w:ascii="IRNazanin" w:hAnsi="IRNazanin" w:eastAsia="IRNazanin" w:cs="IRNazanin"/>
          <w:lang w:bidi="fa-IR"/>
          <w:color w:val="111111"/>
          <w:sz w:val="28"/>
          <w:szCs w:val="28"/>
          <w:rtl/>
        </w:rPr>
        <w:t xml:space="preserve">آغاز: برابر تا معاشقه آنتوان با کلئوپاتر ملکه مصر رسیده و در اینجا ناتمام مانده؛ خط: نستعلیق، بی کا، بی تا، ۶۱، ۲۷ سطر،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۲-۱۲۸]</w:t>
      </w:r>
    </w:p>
    <w:p>
      <w:pPr>
        <w:pStyle w:val="Heading3"/>
      </w:pPr>
      <w:bookmarkStart w:id="2300" w:name="_Toc1560"/>
      <w:r>
        <w:t>• تاریخ دولت عثمانی = تاریخ سلاطین عثمانی = سلطان التواریخ / تاریخ / فارسی</w:t>
      </w:r>
      <w:bookmarkEnd w:id="2300"/>
    </w:p>
    <w:p>
      <w:pPr>
        <w:pStyle w:val="BookText"/>
      </w:pPr>
      <w:r>
        <w:rPr>
          <w:rFonts w:ascii="Times New Roman" w:hAnsi="Times New Roman" w:eastAsia="Times New Roman" w:cs="Times New Roman"/>
          <w:lang w:val="en-US" w:bidi="en-US"/>
          <w:color w:val="111111"/>
          <w:sz w:val="28"/>
          <w:szCs w:val="28"/>
          <w:rtl/>
        </w:rPr>
        <w:t xml:space="preserve">tārīx-e dowlat-e ‘osmānī = tārīx-e salātīn-e 'osmānī = soltān-ot tavārīx</w:t>
      </w:r>
    </w:p>
    <w:p>
      <w:pPr>
        <w:pStyle w:val="BookText"/>
      </w:pPr>
      <w:r>
        <w:rPr>
          <w:rFonts w:ascii="IRNazanin" w:hAnsi="IRNazanin" w:eastAsia="IRNazanin" w:cs="IRNazanin"/>
          <w:lang w:bidi="fa-IR"/>
          <w:color w:val="111111"/>
          <w:sz w:val="28"/>
          <w:szCs w:val="28"/>
          <w:rtl/>
        </w:rPr>
        <w:t xml:space="preserve">علی آبادی مازندرانی، زکی بن مقیم، ق ۱۴ قمری</w:t>
      </w:r>
    </w:p>
    <w:p>
      <w:pPr>
        <w:pStyle w:val="BookText"/>
      </w:pPr>
      <w:r>
        <w:rPr>
          <w:rFonts w:ascii="Times New Roman" w:hAnsi="Times New Roman" w:eastAsia="Times New Roman" w:cs="Times New Roman"/>
          <w:lang w:val="en-US" w:bidi="en-US"/>
          <w:color w:val="111111"/>
          <w:sz w:val="28"/>
          <w:szCs w:val="28"/>
          <w:rtl/>
        </w:rPr>
        <w:t xml:space="preserve">‘alī-ābādī māzandarānī, zakī ebn-e moqīm (-20c)</w:t>
      </w:r>
    </w:p>
    <w:p>
      <w:pPr>
        <w:pStyle w:val="BookText"/>
      </w:pPr>
      <w:r>
        <w:rPr>
          <w:rFonts w:ascii="IRNazanin" w:hAnsi="IRNazanin" w:eastAsia="IRNazanin" w:cs="IRNazanin"/>
          <w:lang w:bidi="fa-IR"/>
          <w:color w:val="111111"/>
          <w:sz w:val="28"/>
          <w:szCs w:val="28"/>
          <w:rtl/>
        </w:rPr>
        <w:t xml:space="preserve">از هامر پورگشتال (1856-1774) (</w:t>
      </w:r>
      <w:r>
        <w:rPr>
          <w:rFonts w:ascii="Times New Roman" w:hAnsi="Times New Roman" w:eastAsia="Times New Roman" w:cs="Times New Roman"/>
          <w:lang w:val="en-US" w:bidi="en-US"/>
          <w:color w:val="111111"/>
          <w:sz w:val="28"/>
          <w:szCs w:val="28"/>
          <w:rtl/>
        </w:rPr>
        <w:t xml:space="preserve">Hammer Furgstal) </w:t>
      </w:r>
      <w:r>
        <w:rPr>
          <w:rFonts w:ascii="Amiri" w:hAnsi="Amiri" w:eastAsia="Amiri" w:cs="Amiri"/>
          <w:lang w:bidi="ar-SA"/>
          <w:color w:val="111111"/>
          <w:sz w:val="28"/>
          <w:szCs w:val="28"/>
          <w:rtl/>
        </w:rPr>
        <w:t xml:space="preserve">ترجمه مسيو دوشز (</w:t>
      </w:r>
      <w:r>
        <w:rPr>
          <w:rFonts w:ascii="Times New Roman" w:hAnsi="Times New Roman" w:eastAsia="Times New Roman" w:cs="Times New Roman"/>
          <w:lang w:val="en-US" w:bidi="en-US"/>
          <w:color w:val="111111"/>
          <w:sz w:val="28"/>
          <w:szCs w:val="28"/>
          <w:rtl/>
        </w:rPr>
        <w:t xml:space="preserve">Dochez) </w:t>
      </w:r>
      <w:r>
        <w:rPr>
          <w:rFonts w:ascii="IRNazanin" w:hAnsi="IRNazanin" w:eastAsia="IRNazanin" w:cs="IRNazanin"/>
          <w:lang w:bidi="fa-IR"/>
          <w:color w:val="111111"/>
          <w:sz w:val="28"/>
          <w:szCs w:val="28"/>
          <w:rtl/>
        </w:rPr>
        <w:t xml:space="preserve">فرانسوی از آلمانی به فرانسه، ترجمه میرزا محمد زکی خان پسر حاج میرزا مقيم مستوفی علی آبادی مازندرانی طبری یاور و سرهنگ و سر تیب توپخانه و ژنرال آجودان مخصوص همایونی که از شاگردان اعزامی زمان محمد شاه قاجار به اروپا بوده و پس از باز شدن دارالفنون مترجم کریشیش اطریشی شده بود و سپس سرهنگ یکی از فوج های تهران. برادرش میرزا رضا دکتر در پاریس درس خوانده و زنی فرانسوی داشته به نام مارگریت که معلم ظل السلطان بوده است</w:t>
      </w:r>
    </w:p>
    <w:p>
      <w:pPr>
        <w:pStyle w:val="BookText"/>
      </w:pPr>
      <w:r>
        <w:rPr>
          <w:rFonts w:ascii="IRNazanin" w:hAnsi="IRNazanin" w:eastAsia="IRNazanin" w:cs="IRNazanin"/>
          <w:lang w:bidi="fa-IR"/>
          <w:color w:val="111111"/>
          <w:sz w:val="28"/>
          <w:szCs w:val="28"/>
          <w:rtl/>
        </w:rPr>
        <w:t xml:space="preserve">(گفته آقای حسین محبوبی اردکانی از تاریخ مسعودی و جز آن) از فرانسه به فارسی به دستور ناصرالدین شاه در سال های ۱۳۱۳-۱۲۷۷ در تهران با افزودن ترجمه فارسی تاريخ هانری ماتیه، روی هم ۷ مجلد. شامل یک دوره تاریخ عثمانی است. مترجم در مقدمه ترجمه خود گوید: «در این کتاب مستطاب که تاریخ دولت سلاطين جلالت آئین عثمانی است مسیو دوهامر دانشمند معروف آلمان پس از آنکه سال های بسیار زحمت کشید و در حقیقت عمر خود را صرف مطالعه تواریخ سلاطین ممالک شرقيه نمود از روی دویست مجلد کتاب تواریخ ایران و ترک و عرب و به علاوه تواریخ دول اروپا و راپورت های وزرای مقیم دربار عثمانی که به دولت های خودشان نوشته بودند تتبع نموده این تاریخ مفصل و مبسوط را در احوالات سلسله جليله عثمانی و وقایع اتفاقیه دولت آنها تألیف کرد، مسيو دوشز فاضل فرانسوی آن را از زبان آلمانی به فرانسه ترجمه نمود و این بنده بی مقدار ... بر حسب امر .. شاهنشاه ... آن را از فرانسه به فارسی ترجمه نمود ... انا العبد الأقل الاحقر زکی الطبري العلي آبادی»</w:t>
      </w:r>
    </w:p>
    <w:p>
      <w:pPr>
        <w:pStyle w:val="BookText"/>
      </w:pPr>
      <w:r>
        <w:rPr>
          <w:rFonts w:ascii="IRNazanin" w:hAnsi="IRNazanin" w:eastAsia="IRNazanin" w:cs="IRNazanin"/>
          <w:lang w:bidi="fa-IR"/>
          <w:color w:val="111111"/>
          <w:sz w:val="28"/>
          <w:szCs w:val="28"/>
          <w:rtl/>
        </w:rPr>
        <w:t xml:space="preserve">[دنا ۷۰۵/۲ ]</w:t>
      </w:r>
    </w:p>
    <w:p>
      <w:pPr>
        <w:pStyle w:val="BookText"/>
      </w:pPr>
      <w:r>
        <w:rPr>
          <w:rFonts w:ascii="IRNazanin" w:hAnsi="IRNazanin" w:eastAsia="IRNazanin" w:cs="IRNazanin"/>
          <w:lang w:bidi="fa-IR"/>
          <w:color w:val="111111"/>
          <w:sz w:val="28"/>
          <w:szCs w:val="28"/>
          <w:rtl/>
        </w:rPr>
        <w:t xml:space="preserve">۱. تهران؛ ملک؛ شماره نسخه: ۴۱۶۸</w:t>
      </w:r>
    </w:p>
    <w:p>
      <w:pPr>
        <w:pStyle w:val="BookText"/>
      </w:pPr>
      <w:r>
        <w:rPr>
          <w:rFonts w:ascii="IRNazanin" w:hAnsi="IRNazanin" w:eastAsia="IRNazanin" w:cs="IRNazanin"/>
          <w:lang w:bidi="fa-IR"/>
          <w:color w:val="111111"/>
          <w:sz w:val="28"/>
          <w:szCs w:val="28"/>
          <w:rtl/>
        </w:rPr>
        <w:t xml:space="preserve">آغاز: جلد اول ترجمه تاریخ دولت عثمانی که سلطان التواريخ طوایف ترک. طایفه ترک از طوایف قديمه اند و از آن منشعب شده است شعبه سلاطین عثمانلو و ترکی که عثمانلوها اصل خود را بدو منسوب میدارند؛ انجام: از برخوردن به برج و باره وین درهم شکستند. تمام شد جلد اول تاریخ دولت عثمانی بتاريخ مهر صفر ۱۳۰۰ ترجمه بنده در گاه میرزا زکی</w:t>
      </w:r>
    </w:p>
    <w:p>
      <w:pPr>
        <w:pStyle w:val="BookText"/>
      </w:pPr>
      <w:r>
        <w:rPr>
          <w:rFonts w:ascii="IRNazanin" w:hAnsi="IRNazanin" w:eastAsia="IRNazanin" w:cs="IRNazanin"/>
          <w:lang w:bidi="fa-IR"/>
          <w:color w:val="111111"/>
          <w:sz w:val="28"/>
          <w:szCs w:val="28"/>
          <w:rtl/>
        </w:rPr>
        <w:t xml:space="preserve">خان سرتیپ على آبادی. جلد یکم و در ۲۶ باب (مانند س ۲۲۸۱)؛ خط: نستعلیق، کاتب = مؤلف، تا: ۱۳۰۰ق، کاغذ: فستقی، جلد: میشن سبز، ۴۶۸گ، ۲۰ سطر، اندازه: ۲۲/۲</w:t>
      </w:r>
    </w:p>
    <w:p>
      <w:pPr>
        <w:pStyle w:val="BookText"/>
      </w:pP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۳۳/۷سم [ف: ۳-۴۷۴]</w:t>
      </w:r>
    </w:p>
    <w:p>
      <w:pPr>
        <w:pStyle w:val="BookText"/>
      </w:pPr>
      <w:r>
        <w:rPr>
          <w:rFonts w:ascii="IRNazanin" w:hAnsi="IRNazanin" w:eastAsia="IRNazanin" w:cs="IRNazanin"/>
          <w:lang w:bidi="fa-IR"/>
          <w:color w:val="111111"/>
          <w:sz w:val="28"/>
          <w:szCs w:val="28"/>
          <w:rtl/>
        </w:rPr>
        <w:t xml:space="preserve">۲. تهران؛ ملک؛ شماره نسخه: ۴۳۴۹</w:t>
      </w:r>
    </w:p>
    <w:p>
      <w:pPr>
        <w:pStyle w:val="BookText"/>
      </w:pPr>
      <w:r>
        <w:rPr>
          <w:rFonts w:ascii="IRNazanin" w:hAnsi="IRNazanin" w:eastAsia="IRNazanin" w:cs="IRNazanin"/>
          <w:lang w:bidi="fa-IR"/>
          <w:color w:val="111111"/>
          <w:sz w:val="28"/>
          <w:szCs w:val="28"/>
          <w:rtl/>
        </w:rPr>
        <w:t xml:space="preserve">آغاز: ترجمه جلد دوم تاریخ دولت عثمانی موسوم به سلطان التواريخ. باب بیست و هفتم. فرستادن مأمور به دولت وندیک؛ انجام: در این وقت عنان اختیار دولت به دست رذل ترین و بی رتبه ترین موجود است که خواجه های سفید و سیاه باشند در افتاده و نتایج و عواقب امور و اعمال آنها در جلد سیم ان شاء الله تعالی مذکور خواهد شد. جلد دوم از باب بیست و هفتم تا باب پنجاه و یکم؛ خط: نستعلیق، کاتب = مؤلف، تا: صفر ۱۳۰۷ق؛ کاغذ: فرنگی آبی و سفید، جلد: میشن پرتقالی، ۶۵۷گ، ۱۹ سطر، اندازه: ۳۴/۹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۲۳/۷ سم [ف: ۳-۴۷۴]</w:t>
      </w:r>
    </w:p>
    <w:p>
      <w:pPr>
        <w:pStyle w:val="BookText"/>
      </w:pPr>
      <w:r>
        <w:rPr>
          <w:rFonts w:ascii="IRNazanin" w:hAnsi="IRNazanin" w:eastAsia="IRNazanin" w:cs="IRNazanin"/>
          <w:lang w:bidi="fa-IR"/>
          <w:color w:val="111111"/>
          <w:sz w:val="28"/>
          <w:szCs w:val="28"/>
          <w:rtl/>
        </w:rPr>
        <w:t xml:space="preserve">٣. تهران: مجلس؛ شماره نسخه: ۷۰۷۱</w:t>
      </w:r>
    </w:p>
    <w:p>
      <w:pPr>
        <w:pStyle w:val="BookText"/>
      </w:pPr>
      <w:r>
        <w:rPr>
          <w:rFonts w:ascii="IRNazanin" w:hAnsi="IRNazanin" w:eastAsia="IRNazanin" w:cs="IRNazanin"/>
          <w:lang w:bidi="fa-IR"/>
          <w:color w:val="111111"/>
          <w:sz w:val="28"/>
          <w:szCs w:val="28"/>
          <w:rtl/>
        </w:rPr>
        <w:t xml:space="preserve">آغاز: طایفه ترک از طوایف قديمه اند و از آن منشعب شده است شعبه سلاطین عثمانلو و ترکی که عثمانلوها اصل خود را بدو منسوب میدارند؛ انجام: آنچه از این قبیل اخبار بار میر سید جميعا را در دفاتر خود یادداشت میکرد و در نقشهائی که در پیش چشمش على الدوام حاضر بودند نشان میگذاشت.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نستعلیق، بی کا، تا: قرن ۱۳، بی کا؛ جلد: تیماج بنفش، ۸۰گ، ۲۱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۲۵-۸۱]</w:t>
      </w:r>
    </w:p>
    <w:p>
      <w:pPr>
        <w:pStyle w:val="BookText"/>
      </w:pPr>
      <w:r>
        <w:rPr>
          <w:rFonts w:ascii="IRNazanin" w:hAnsi="IRNazanin" w:eastAsia="IRNazanin" w:cs="IRNazanin"/>
          <w:lang w:bidi="fa-IR"/>
          <w:color w:val="111111"/>
          <w:sz w:val="28"/>
          <w:szCs w:val="28"/>
          <w:rtl/>
        </w:rPr>
        <w:t xml:space="preserve">۴. تهران؛ ملی؛ شماره نسخه:۲۱۸۶</w:t>
      </w:r>
    </w:p>
    <w:p>
      <w:pPr>
        <w:pStyle w:val="BookText"/>
      </w:pPr>
      <w:r>
        <w:rPr>
          <w:rFonts w:ascii="IRNazanin" w:hAnsi="IRNazanin" w:eastAsia="IRNazanin" w:cs="IRNazanin"/>
          <w:lang w:bidi="fa-IR"/>
          <w:color w:val="111111"/>
          <w:sz w:val="28"/>
          <w:szCs w:val="28"/>
          <w:rtl/>
        </w:rPr>
        <w:t xml:space="preserve">آغاز: ترجمه؛ بسمله حمد و سپاس فزون از قیاس؛ انجام: دیگر توقف آناطولی را بلا موجب دانسته بنا را بعودت گذاشت جلد پنجم تاریخ دولت عثمانی یعنی وقایع کشور عثمانی از سال ۷۹۱ق تا سال ۸۰۵ق می آید، در این مدت سلطان کشور عثمانی ایلدرم بایزید خان است و این جلد به طور دقیق و مفصل حوادث ایام او را از زمان جلوس او یعنی سال ۷۹۱ق مورد گفتگو قرار می دهد و تا زمان محاربه با امیر تیمور و شکست او از امیر تیمور و علاوه بر آن در این تاریخ محاربه قوصوه بوجه کامل آمده است؛ خط: نستعلیق، بی کا، تا: قرن ۱۳؛ کاغذ: فرنگی، جلد: مقوایی رویه کاغذی مشکی، ۸۹گ، ۱۱ سطر (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w:t>
      </w:r>
    </w:p>
    <w:p>
      <w:pPr>
        <w:pStyle w:val="BookText"/>
      </w:pPr>
      <w:r>
        <w:rPr>
          <w:rFonts w:ascii="IRNazanin" w:hAnsi="IRNazanin" w:eastAsia="IRNazanin" w:cs="IRNazanin"/>
          <w:lang w:bidi="fa-IR"/>
          <w:color w:val="111111"/>
          <w:sz w:val="28"/>
          <w:szCs w:val="28"/>
          <w:rtl/>
        </w:rPr>
        <w:t xml:space="preserve">۱۵/۵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۵-۲۶۸]</w:t>
      </w:r>
    </w:p>
    <w:p>
      <w:pPr>
        <w:pStyle w:val="BookText"/>
      </w:pPr>
      <w:r>
        <w:rPr>
          <w:rFonts w:ascii="IRNazanin" w:hAnsi="IRNazanin" w:eastAsia="IRNazanin" w:cs="IRNazanin"/>
          <w:lang w:bidi="fa-IR"/>
          <w:color w:val="111111"/>
          <w:sz w:val="28"/>
          <w:szCs w:val="28"/>
          <w:rtl/>
        </w:rPr>
        <w:t xml:space="preserve">۵. تهران؛ ملی؛ شماره نسخه: ۱۶۳۰</w:t>
      </w:r>
    </w:p>
    <w:p>
      <w:pPr>
        <w:pStyle w:val="BookText"/>
      </w:pPr>
      <w:r>
        <w:rPr>
          <w:rFonts w:ascii="IRNazanin" w:hAnsi="IRNazanin" w:eastAsia="IRNazanin" w:cs="IRNazanin"/>
          <w:lang w:bidi="fa-IR"/>
          <w:color w:val="111111"/>
          <w:sz w:val="28"/>
          <w:szCs w:val="28"/>
          <w:rtl/>
        </w:rPr>
        <w:t xml:space="preserve">آغاز: بسمله تبارک و تعالی شأنه العزيز، جلد سیم، تاریخ دولت عثمانی، باب پنجاه دویم، عزل سیاوش پاشای صدر اعظم؛ انجام: اقبال روسیه از بالا بزیر منحد رشد و هرچه در معبر آن واقع باشد در محل خطر است جلد سوم؛ خط: نستعلیق، كا: على ابن هدایت اله بن نصير الملک علی آبادی مازندرانی، تا: ۱۲۱۳ق؛ کاغذ: فرنگی (فلفل نمکی)، جلد: تیماج قرمز، ۷۷۹گ، ۲۱ سطر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۴-۱۱۳]</w:t>
      </w:r>
    </w:p>
    <w:p>
      <w:pPr>
        <w:pStyle w:val="BookText"/>
      </w:pPr>
      <w:r>
        <w:rPr>
          <w:rFonts w:ascii="IRNazanin" w:hAnsi="IRNazanin" w:eastAsia="IRNazanin" w:cs="IRNazanin"/>
          <w:lang w:bidi="fa-IR"/>
          <w:color w:val="111111"/>
          <w:sz w:val="28"/>
          <w:szCs w:val="28"/>
          <w:rtl/>
        </w:rPr>
        <w:t xml:space="preserve">۶. تهران، ملک؛ شماره نسخه:۴۱۴۸</w:t>
      </w:r>
    </w:p>
    <w:p>
      <w:pPr>
        <w:pStyle w:val="BookText"/>
      </w:pPr>
      <w:r>
        <w:rPr>
          <w:rFonts w:ascii="IRNazanin" w:hAnsi="IRNazanin" w:eastAsia="IRNazanin" w:cs="IRNazanin"/>
          <w:lang w:bidi="fa-IR"/>
          <w:color w:val="111111"/>
          <w:sz w:val="28"/>
          <w:szCs w:val="28"/>
          <w:rtl/>
        </w:rPr>
        <w:t xml:space="preserve">آغاز: باب اول در ذکر انساب اتراک و بیان اجداد ابن طایفه و مجملی از حالات سلاطين آل عثمان. طایفه ترک از طوایف قديمه اند و از آن منشعب شده است شعبه سلاطین عثمانلو؛ انجام: از شدت نومیدی چنان دست از جان شیرین شستند که به دست خود خانه ها را آتش زدند دست عيال و اطفال خود را گرفتند و زنده در میان آتش رفتند ... قلعه را آتش زده ویران نمودند. جلد ۱: در هفت «باب» از باب یکم و آغاز کتاب؛ خط: نستعلیق، بی کا، تا: ۱۲۷۷ق؛ کاغذ: فرنگی آبی آهار مهره، جلد: کاغذ ساغری سیاه، ۷۹گ، ۲۳ سطر، اندازه:</w:t>
      </w:r>
    </w:p>
    <w:p>
      <w:pPr>
        <w:pStyle w:val="BookText"/>
      </w:pPr>
      <w:r>
        <w:rPr>
          <w:rFonts w:ascii="IRNazanin" w:hAnsi="IRNazanin" w:eastAsia="IRNazanin" w:cs="IRNazanin"/>
          <w:lang w:bidi="fa-IR"/>
          <w:color w:val="111111"/>
          <w:sz w:val="28"/>
          <w:szCs w:val="28"/>
          <w:rtl/>
        </w:rPr>
        <w:t xml:space="preserve">۳۵/۹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۳-۴۷۳]</w:t>
      </w:r>
    </w:p>
    <w:p>
      <w:pPr>
        <w:pStyle w:val="BookText"/>
      </w:pPr>
      <w:r>
        <w:rPr>
          <w:rFonts w:ascii="IRNazanin" w:hAnsi="IRNazanin" w:eastAsia="IRNazanin" w:cs="IRNazanin"/>
          <w:lang w:bidi="fa-IR"/>
          <w:color w:val="111111"/>
          <w:sz w:val="28"/>
          <w:szCs w:val="28"/>
          <w:rtl/>
        </w:rPr>
        <w:t xml:space="preserve">۷. تهران، ملک، شماره نسخه: ۴۱۶۹</w:t>
      </w:r>
    </w:p>
    <w:p>
      <w:pPr>
        <w:pStyle w:val="BookText"/>
      </w:pPr>
      <w:r>
        <w:rPr>
          <w:rFonts w:ascii="IRNazanin" w:hAnsi="IRNazanin" w:eastAsia="IRNazanin" w:cs="IRNazanin"/>
          <w:lang w:bidi="fa-IR"/>
          <w:color w:val="111111"/>
          <w:sz w:val="28"/>
          <w:szCs w:val="28"/>
          <w:rtl/>
        </w:rPr>
        <w:t xml:space="preserve">جلد سوم تا پنجم؛ خط: نستعلیق، بی کا، تا: آغاز قرن ۱۴؛ در پایان آن مانند نسخه متن ۲۲۸۵ مجلس ۹۱ صفحه از تاریخ هازی ماتیه در احوالات پنج سلطانی عثمانی اخیر را افزوده اند؛ کاغذ: فرنگی فلفل نمکی آبی، ۹۰۱گ، ۲۰ سطر، اندازه: ۲۳/۹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۳-۴۷۴]</w:t>
      </w:r>
    </w:p>
    <w:p>
      <w:pPr>
        <w:pStyle w:val="BookText"/>
      </w:pPr>
      <w:r>
        <w:rPr>
          <w:rFonts w:ascii="IRNazanin" w:hAnsi="IRNazanin" w:eastAsia="IRNazanin" w:cs="IRNazanin"/>
          <w:lang w:bidi="fa-IR"/>
          <w:color w:val="111111"/>
          <w:sz w:val="28"/>
          <w:szCs w:val="28"/>
          <w:rtl/>
        </w:rPr>
        <w:t xml:space="preserve">۸. تهران؛ مجلس؛ شماره نسخه: ۲۲۸۱</w:t>
      </w:r>
    </w:p>
    <w:p>
      <w:pPr>
        <w:pStyle w:val="BookText"/>
      </w:pPr>
      <w:r>
        <w:rPr>
          <w:rFonts w:ascii="IRNazanin" w:hAnsi="IRNazanin" w:eastAsia="IRNazanin" w:cs="IRNazanin"/>
          <w:lang w:bidi="fa-IR"/>
          <w:color w:val="111111"/>
          <w:sz w:val="28"/>
          <w:szCs w:val="28"/>
          <w:rtl/>
        </w:rPr>
        <w:t xml:space="preserve">آغاز: طایفه ترک از طوایف قديمه اند و از آن منشعب شده است؛ انجام: از برخوردن برج و باره وین در هم شکستند. ترجمه قسمتی از مجلد اول از آغاز تاریخ عثمانی تا پایان باب</w:t>
      </w:r>
    </w:p>
    <w:p>
      <w:pPr>
        <w:pStyle w:val="BookText"/>
      </w:pPr>
      <w:r>
        <w:rPr>
          <w:rFonts w:ascii="IRNazanin" w:hAnsi="IRNazanin" w:eastAsia="IRNazanin" w:cs="IRNazanin"/>
          <w:lang w:bidi="fa-IR"/>
          <w:color w:val="111111"/>
          <w:sz w:val="28"/>
          <w:szCs w:val="28"/>
          <w:rtl/>
        </w:rPr>
        <w:t xml:space="preserve">بیست و ششم در سلطنت سلیمان اول و محاصره شهر وینه؛ خط: نسخ، شکسته، بی کا، تا: ۱۳۰۰ق؛ گاهی متر جم یادداشت هایی در توضیح مطالب متن در حاشیه نوشته، از صحیفه ۵۰۴ تا ۵۹۹ را شماره گذاشته و اشتباه از ۵۰۸ تا ۶۱۴ شماره کرده اند و سپس از ۸۱۴ تا ۸۶۲ را نیز اشتباها ۸۸۷ تا ۸۹۹ شماره گذاشته اند؛ کاغذ: روسی سفید، جلد: تیماج سرخ، ۸۸۳ص، ۱۹سطر، اندازه: ۲۲/۵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۶-۲۳۵]</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ملی؛ شماره نسخه: ۱۶۲۲</w:t>
      </w:r>
    </w:p>
    <w:p>
      <w:pPr>
        <w:pStyle w:val="BookText"/>
      </w:pPr>
      <w:r>
        <w:rPr>
          <w:rFonts w:ascii="IRNazanin" w:hAnsi="IRNazanin" w:eastAsia="IRNazanin" w:cs="IRNazanin"/>
          <w:lang w:bidi="fa-IR"/>
          <w:color w:val="111111"/>
          <w:sz w:val="28"/>
          <w:szCs w:val="28"/>
          <w:rtl/>
        </w:rPr>
        <w:t xml:space="preserve">آغاز: ترجمه: در اصل و نسب اتراک و تاریخ از غوزها و ترکمانان و سلاجقه روم و ایران، بسمله، باب اول در اصل؛ انجام که هوای فرو برون مملکت المان را بر سر داشتند از برخوردن ببرج و باره وین درهم شکستند</w:t>
      </w:r>
    </w:p>
    <w:p>
      <w:pPr>
        <w:pStyle w:val="BookText"/>
      </w:pPr>
      <w:r>
        <w:rPr>
          <w:rFonts w:ascii="IRNazanin" w:hAnsi="IRNazanin" w:eastAsia="IRNazanin" w:cs="IRNazanin"/>
          <w:lang w:bidi="fa-IR"/>
          <w:color w:val="111111"/>
          <w:sz w:val="28"/>
          <w:szCs w:val="28"/>
          <w:rtl/>
        </w:rPr>
        <w:t xml:space="preserve">جلد اول؛ خط: نستعلیق، بی کا، تا: ۱۳۰۳ق، جا: طهران؛ دارای دو صفحه مقدمه در اول کتاب کاغذ: فرنگی، جلد: تیماج مشکی، ۴۷۵گ، ۲۰سطر ( ۲۶/۴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۳۵/۵سم [ف: ۴-۱۰۵]</w:t>
      </w:r>
    </w:p>
    <w:p>
      <w:pPr>
        <w:pStyle w:val="BookText"/>
      </w:pPr>
      <w:r>
        <w:rPr>
          <w:rFonts w:ascii="IRNazanin" w:hAnsi="IRNazanin" w:eastAsia="IRNazanin" w:cs="IRNazanin"/>
          <w:lang w:bidi="fa-IR"/>
          <w:color w:val="111111"/>
          <w:sz w:val="28"/>
          <w:szCs w:val="28"/>
          <w:rtl/>
        </w:rPr>
        <w:t xml:space="preserve">۱۰. تهران؛ مجلس؛ شماره نسخه:۲۲۸۲</w:t>
      </w:r>
    </w:p>
    <w:p>
      <w:pPr>
        <w:pStyle w:val="BookText"/>
      </w:pPr>
      <w:r>
        <w:rPr>
          <w:rFonts w:ascii="IRNazanin" w:hAnsi="IRNazanin" w:eastAsia="IRNazanin" w:cs="IRNazanin"/>
          <w:lang w:bidi="fa-IR"/>
          <w:color w:val="111111"/>
          <w:sz w:val="28"/>
          <w:szCs w:val="28"/>
          <w:rtl/>
        </w:rPr>
        <w:t xml:space="preserve">آغاز: در باب گذشته اشارتی شد بر اینکه پولتیک سلیمان و صدراعظم او چگونه ببذل انعامات انجام: که کردستان باشد داشتند و در جزيرة العرب. مجلد دوم و شامل باب بیست و هفتم تا قسمتی از باب چهلم، در صحیفه ۲ نوشته شده: «صفر المظفر سنه ۱۳۰۷»؛ خط: نسخ تعلیق، بی کا، تا: ۱۳۰۷ق؛ از ص ۵۸۰ تا ۶۲۱ را اشتباه در اصل از ۶۱۱ تا ۶۵۲ شماره گذاشته اند، گاهی یادداشت هایی از جانب مترجم در حاشیه نوشته شده؛ کاغذ: روسی سفید، جلد: میشن زرشکی، ۶۲۱ص، ۱۹ سطر، اندازه: ۲۱/۵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۶-۲۳۷]</w:t>
      </w:r>
    </w:p>
    <w:p>
      <w:pPr>
        <w:pStyle w:val="BookText"/>
      </w:pPr>
      <w:r>
        <w:rPr>
          <w:rFonts w:ascii="IRNazanin" w:hAnsi="IRNazanin" w:eastAsia="IRNazanin" w:cs="IRNazanin"/>
          <w:lang w:bidi="fa-IR"/>
          <w:color w:val="111111"/>
          <w:sz w:val="28"/>
          <w:szCs w:val="28"/>
          <w:rtl/>
        </w:rPr>
        <w:t xml:space="preserve">۱۱. تهران؛ سلطنتی؛ شماره نسخه: ۲۲۹۱</w:t>
      </w:r>
    </w:p>
    <w:p>
      <w:pPr>
        <w:pStyle w:val="BookText"/>
      </w:pPr>
      <w:r>
        <w:rPr>
          <w:rFonts w:ascii="IRNazanin" w:hAnsi="IRNazanin" w:eastAsia="IRNazanin" w:cs="IRNazanin"/>
          <w:lang w:bidi="fa-IR"/>
          <w:color w:val="111111"/>
          <w:sz w:val="28"/>
          <w:szCs w:val="28"/>
          <w:rtl/>
        </w:rPr>
        <w:t xml:space="preserve">آغاز: فرستادن مأمور بدولت وندیک عیش ختنه سوران شاهزاده ها - آمدن سفرای فردیناند و زاپولیا و لهستان و روسیه و فرانسه - محاصره گونس و مراجعت از مملکت اسیتری - یورش پنجم گورون-طالب صلح شدن فردیناند از باب عالی - وقوع مصالحه اول فيما بين اطریش و دولت عثمانی؛ انجام: در این وقت عنان اختیار دولت بدست رزل ترین و بی رتبه ترین موجودات که خواجه های سفید و سیاه باشند در افتاد بتاریخ و عواقب امور و اعمال آنها در جلد سیم انشاء الله تعالی مذکور خواهد شد. تمت یزدان يکتا و خداوند بی همتا را سپاس که ترجمه جلد ثانی تاریخ سلاطین ... آل عثمان که بر حسب امر قدر اعليحضرت ... ناصرالدین شاه قاجار ... در چهاردهم شهر صفر المظفر ۱۳۰۷ تقریبا سه هفته قبل از ورود موکب همایون در مراجعت از سفر سیم فرنگستان بدارالخلافه باهره طهران به اتمام رسانیدم و انا العبد الفقير ... زکی ابن الحاجی میرزا مقيم العلی آبادی المازندرانی ... كتبه الفقير ... على ابن مرحوم میرزا هدایت اله مستوفي على آبادی مازندری ۱۳۰۷. خط: نستعلیق، كا: على ابن مرحوم میرزا هدایت الله مستوفي على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468" w:name="pg20363_209775"/>
    <w:bookmarkEnd w:id="468"/>
    <w:p>
      <w:pPr>
        <w:pStyle w:val="BookText"/>
      </w:pPr>
      <w:r>
        <w:rPr>
          <w:rFonts w:ascii="IRNazanin" w:hAnsi="IRNazanin" w:eastAsia="IRNazanin" w:cs="IRNazanin"/>
          <w:lang w:bidi="fa-IR"/>
          <w:color w:val="111111"/>
          <w:sz w:val="28"/>
          <w:szCs w:val="28"/>
          <w:rtl/>
        </w:rPr>
        <w:t xml:space="preserve">آبادی مازندری، تا: ۱۳۰۷ق؛ مهر: اعتماد حضور، علی اکبر بن حسین الحسینی؛ کاغذ: فرنگی فلفل نمکی رنگ، جلد: مقوای روکش چرم گلی رنگ، ۱۴۵۶ص، ۱۷ سطر، اندازه: ۲۱/۵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۳۳/۸ سم [ف: ۵-۲۹۴]</w:t>
      </w:r>
    </w:p>
    <w:p>
      <w:pPr>
        <w:pStyle w:val="BookText"/>
      </w:pPr>
      <w:r>
        <w:rPr>
          <w:rFonts w:ascii="IRNazanin" w:hAnsi="IRNazanin" w:eastAsia="IRNazanin" w:cs="IRNazanin"/>
          <w:lang w:bidi="fa-IR"/>
          <w:color w:val="111111"/>
          <w:sz w:val="28"/>
          <w:szCs w:val="28"/>
          <w:rtl/>
        </w:rPr>
        <w:t xml:space="preserve">۱۲. تهران؛ مجلس؛ شماره نسخه: ۲۲۸۵/۱</w:t>
      </w:r>
    </w:p>
    <w:p>
      <w:pPr>
        <w:pStyle w:val="BookText"/>
      </w:pPr>
      <w:r>
        <w:rPr>
          <w:rFonts w:ascii="IRNazanin" w:hAnsi="IRNazanin" w:eastAsia="IRNazanin" w:cs="IRNazanin"/>
          <w:lang w:bidi="fa-IR"/>
          <w:color w:val="111111"/>
          <w:sz w:val="28"/>
          <w:szCs w:val="28"/>
          <w:rtl/>
        </w:rPr>
        <w:t xml:space="preserve">آغاز: مجلس ديوان روز یک شنبه میخواست ختم شود خبر فوت سلطان احمد ثانی را بصدر اعظم رساندند؛ انجام: از بالا بزیر منحدر شد و هر چه در معبر آن واقع باشد در محل خطر است جلد پنجم (ص ۱-۹۰۳) از آغاز باب شصتم که در مجلد پیشین نیز کاتب نوشته تا پایان کتاب. در پایان کتاب (ص ۹۰۲) نوشته شده: «از وقتی که مامور این خدمت شدم تا این زمان که به پایان آمد سالهای دراز طول کشید اولا بزرگ بودن کار و کوچک بودن کارگر یک سبب بود ثانیا موانع روحانی و جسمانی زیاده از اندازه تاب و توانائی این بنده موجود بودند ثالثا معین و یاوری در ترجمه این تاریخ که تقریبا صد هزار بیت می شود نداشتم مترجم و منشی و نسخه نویس و پاکنویس خودم بودم و مهما امكن بعبارت فارسی ساده روان نوشتم ...... در ترجمه بخلاصه و اختصار نکوشیدم و بهر تفصیلی که مؤلف نوشته بود ترجمه کردم ... في الواقع این تاریخ از برای ادبای ایران در این وقت گوهر یک دانه است و نظیر و شبیه ندارد ... انا العبد ... زکی بن المقيم العلى آبادی المازندرانی ژنرال آجودان مخصوص همایونی غره ربيع المولود ۱۳۱۳»؛</w:t>
      </w:r>
    </w:p>
    <w:p>
      <w:pPr>
        <w:pStyle w:val="BookText"/>
      </w:pPr>
      <w:r>
        <w:rPr>
          <w:rFonts w:ascii="IRNazanin" w:hAnsi="IRNazanin" w:eastAsia="IRNazanin" w:cs="IRNazanin"/>
          <w:lang w:bidi="fa-IR"/>
          <w:color w:val="111111"/>
          <w:sz w:val="28"/>
          <w:szCs w:val="28"/>
          <w:rtl/>
        </w:rPr>
        <w:t xml:space="preserve">خط: نسخ تعلیق، بی کا، تا: ۱۳۱۳ق؛ با آنکه مترجم تصریح کرده که نسخه نویس و پاکنویس وی بوده است این نسخه که به خطوط مختلف است ظاهرة بخط او نیست و چند</w:t>
      </w:r>
    </w:p>
    <w:p>
      <w:pPr>
        <w:pStyle w:val="BookText"/>
      </w:pPr>
      <w:r>
        <w:rPr>
          <w:rFonts w:ascii="IRNazanin" w:hAnsi="IRNazanin" w:eastAsia="IRNazanin" w:cs="IRNazanin"/>
          <w:lang w:bidi="fa-IR"/>
          <w:color w:val="111111"/>
          <w:sz w:val="28"/>
          <w:szCs w:val="28"/>
          <w:rtl/>
        </w:rPr>
        <w:t xml:space="preserve">کاتب آن را نوشته زیرا که در بالای صحايف ۴۹۳ و ۴۹۶ به خط زیر نوشته شده «خط سید جعفر شیرازی»؛ ۹۰۳ص (۱-۹۰۳) [ف: ۲۳۸-۶ ]</w:t>
      </w:r>
    </w:p>
    <w:p>
      <w:pPr>
        <w:pStyle w:val="BookText"/>
      </w:pPr>
      <w:r>
        <w:rPr>
          <w:rFonts w:ascii="IRNazanin" w:hAnsi="IRNazanin" w:eastAsia="IRNazanin" w:cs="IRNazanin"/>
          <w:lang w:bidi="fa-IR"/>
          <w:color w:val="111111"/>
          <w:sz w:val="28"/>
          <w:szCs w:val="28"/>
          <w:rtl/>
        </w:rPr>
        <w:t xml:space="preserve">۱۳. مشهد: دانشکده ادبیات مشهد؛ شماره نسخه:۱۷۳ فرخ</w:t>
      </w:r>
    </w:p>
    <w:p>
      <w:pPr>
        <w:pStyle w:val="BookText"/>
      </w:pPr>
      <w:r>
        <w:rPr>
          <w:rFonts w:ascii="IRNazanin" w:hAnsi="IRNazanin" w:eastAsia="IRNazanin" w:cs="IRNazanin"/>
          <w:lang w:bidi="fa-IR"/>
          <w:color w:val="111111"/>
          <w:sz w:val="28"/>
          <w:szCs w:val="28"/>
          <w:rtl/>
        </w:rPr>
        <w:t xml:space="preserve">خط: نستعلیق، كا: على بن هدایت الله بن نصير الملک علی آبادی، تا: ربيع الأول ۱۳۱۳ق، کاغذ فستقی؛ جلد: تیماج خرمایی، ۷۶۳گ، ۲۱ سطر (۱۲/۵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۱۹)</w:t>
      </w:r>
    </w:p>
    <w:p>
      <w:pPr>
        <w:pStyle w:val="BookText"/>
      </w:pPr>
      <w:r>
        <w:rPr>
          <w:rFonts w:ascii="IRNazanin" w:hAnsi="IRNazanin" w:eastAsia="IRNazanin" w:cs="IRNazanin"/>
          <w:lang w:bidi="fa-IR"/>
          <w:color w:val="111111"/>
          <w:sz w:val="28"/>
          <w:szCs w:val="28"/>
          <w:rtl/>
        </w:rPr>
        <w:t xml:space="preserve">۱۴. تهران؛ مجلس؛ شماره نسخه:۲۲۸۳</w:t>
      </w:r>
    </w:p>
    <w:p>
      <w:pPr>
        <w:pStyle w:val="BookText"/>
      </w:pPr>
      <w:r>
        <w:rPr>
          <w:rFonts w:ascii="IRNazanin" w:hAnsi="IRNazanin" w:eastAsia="IRNazanin" w:cs="IRNazanin"/>
          <w:lang w:bidi="fa-IR"/>
          <w:color w:val="111111"/>
          <w:sz w:val="28"/>
          <w:szCs w:val="28"/>
          <w:rtl/>
        </w:rPr>
        <w:t xml:space="preserve">آغاز: بصره و بغداد ورقه و موصل و دیار بکر را متصرف بودند؛ انجام اعمال آنها در جلد سیم انشاء الله تعالی مذکور خواهد شد. جلد سوم، شامل قسمتی از باب چهلم تا پایان باب پنجاه و یکم؛ خط: نسخ تعلیق، بی کا، بی تا، در اصل از ص ۱ تا ۱۱۸ [ف:۶-۲۳۷]</w:t>
      </w:r>
    </w:p>
    <w:p>
      <w:pPr>
        <w:pStyle w:val="BookText"/>
      </w:pPr>
      <w:r>
        <w:rPr>
          <w:rFonts w:ascii="IRNazanin" w:hAnsi="IRNazanin" w:eastAsia="IRNazanin" w:cs="IRNazanin"/>
          <w:lang w:bidi="fa-IR"/>
          <w:color w:val="111111"/>
          <w:sz w:val="28"/>
          <w:szCs w:val="28"/>
          <w:rtl/>
        </w:rPr>
        <w:t xml:space="preserve">۱۵. تهران؛ مجلس؛ شماره نسخه:۲۲۸۴</w:t>
      </w:r>
    </w:p>
    <w:p>
      <w:pPr>
        <w:pStyle w:val="BookText"/>
      </w:pPr>
      <w:r>
        <w:rPr>
          <w:rFonts w:ascii="IRNazanin" w:hAnsi="IRNazanin" w:eastAsia="IRNazanin" w:cs="IRNazanin"/>
          <w:lang w:bidi="fa-IR"/>
          <w:color w:val="111111"/>
          <w:sz w:val="28"/>
          <w:szCs w:val="28"/>
          <w:rtl/>
        </w:rPr>
        <w:t xml:space="preserve">آغاز: دوستی آغا سلیمان خواجه با سیاوش پاشای صدر اعظم طولی نکشید؛ انجام: تاریخ عثمانی را بحوادث و تقديرات اروپا ثابت مینماید.</w:t>
      </w:r>
    </w:p>
    <w:p>
      <w:pPr>
        <w:pStyle w:val="BookText"/>
      </w:pPr>
      <w:r>
        <w:rPr>
          <w:rFonts w:ascii="IRNazanin" w:hAnsi="IRNazanin" w:eastAsia="IRNazanin" w:cs="IRNazanin"/>
          <w:lang w:bidi="fa-IR"/>
          <w:color w:val="111111"/>
          <w:sz w:val="28"/>
          <w:szCs w:val="28"/>
          <w:rtl/>
        </w:rPr>
        <w:t xml:space="preserve">جلد چهارم از آغاز باب پنجاه و دویم تا پایان باب ششم؛ خط: نسخ تعليق، بی کا، بی تا، از صحیفه ۱ تا ۵۵ را در اصل شماره گذاشته اند و سپس از صحیفه ۱۰۰ تا ۱۵۵ را اشتباه از ۱۰۴ تا ۱۵۹ و از ص ۱۵۶ تا ۱۶۳ را از ۶۰ تا ۶۷ و از ص ۱۶۴ تا ۲۱۹ را از ۱۶۷ تا ۲۲۲ و از ص ۲۷۴ تا ۴۲۵ را از ۲۷۷ تا ۴۲۸ و از ۴۲۶ تا ۶۶۰ را از ۴۲۸ تا ۶۶۲ شماره گذاشته اند، گاهی یادداشت هایی از جانب مترجم در حاشیه نوشته شده؛ کاغذ: فرنگی آسمانی رنگ، جلد: میشن سیاه، ۶۶۰ص، ۲۱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۳۳/۵ سم [ف: ۶-۲۳۸]</w:t>
      </w:r>
    </w:p>
    <w:p>
      <w:pPr>
        <w:pStyle w:val="BookText"/>
      </w:pPr>
      <w:r>
        <w:rPr>
          <w:rFonts w:ascii="IRNazanin" w:hAnsi="IRNazanin" w:eastAsia="IRNazanin" w:cs="IRNazanin"/>
          <w:lang w:bidi="fa-IR"/>
          <w:color w:val="111111"/>
          <w:sz w:val="28"/>
          <w:szCs w:val="28"/>
          <w:rtl/>
        </w:rPr>
        <w:t xml:space="preserve">۱۶. تهران؛ مجلس؛ شماره نسخه: ۲۲۸۵/۲</w:t>
      </w:r>
    </w:p>
    <w:p>
      <w:pPr>
        <w:pStyle w:val="BookText"/>
      </w:pPr>
      <w:r>
        <w:rPr>
          <w:rFonts w:ascii="IRNazanin" w:hAnsi="IRNazanin" w:eastAsia="IRNazanin" w:cs="IRNazanin"/>
          <w:lang w:bidi="fa-IR"/>
          <w:color w:val="111111"/>
          <w:sz w:val="28"/>
          <w:szCs w:val="28"/>
          <w:rtl/>
        </w:rPr>
        <w:t xml:space="preserve">آغاز: عبدالحمید آخرین پسر احمد سیم وقتی که به تخت سلطنت جلوس کرد؛ انجام: ليكن به نظر من چنان می آید که به حالت سکرات یک دولت بزرگی حاضر و ناظریم خداوند متعال صلح عمومی را برهم نزند خط: نسخ تحریری، بی کا، بی تا، در پایان نسخه نوشته شده: «تمام شد تاریخ هانری ماتیه چاکر بی مقدار زکی»، یادداشت هایی از جانب مترجم در حاشیه نوشته شده؛ کاغذ: فرنگی آسمانی رنگ، جلد: میشن عنابی، ۸۹ ص (۹۰۸-۹۹۶)، ۲۱ سطر،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۶- ۲۳۹]</w:t>
      </w:r>
    </w:p>
    <w:p>
      <w:pPr>
        <w:pStyle w:val="BookText"/>
      </w:pPr>
      <w:r>
        <w:rPr>
          <w:rFonts w:ascii="IRNazanin" w:hAnsi="IRNazanin" w:eastAsia="IRNazanin" w:cs="IRNazanin"/>
          <w:lang w:bidi="fa-IR"/>
          <w:color w:val="111111"/>
          <w:sz w:val="28"/>
          <w:szCs w:val="28"/>
          <w:rtl/>
        </w:rPr>
        <w:t xml:space="preserve">←تاریخ دولت علیه عثمانی ← تاریخ عثمانی (ترجمه)</w:t>
      </w:r>
    </w:p>
    <w:p>
      <w:pPr>
        <w:pStyle w:val="BookText"/>
      </w:pPr>
      <w:r>
        <w:rPr>
          <w:rFonts w:ascii="IRNazanin" w:hAnsi="IRNazanin" w:eastAsia="IRNazanin" w:cs="IRNazanin"/>
          <w:lang w:bidi="fa-IR"/>
          <w:color w:val="111111"/>
          <w:sz w:val="28"/>
          <w:szCs w:val="28"/>
          <w:rtl/>
        </w:rPr>
        <w:t xml:space="preserve">← تاریخ دیار بکر ← تاریخ سلاطین ترکمان</w:t>
      </w:r>
    </w:p>
    <w:p>
      <w:pPr>
        <w:pStyle w:val="Heading3"/>
      </w:pPr>
      <w:bookmarkStart w:id="2301" w:name="_Toc1561"/>
      <w:r>
        <w:t>•تاریخ ذوالقرنین = تاریخ نامه خاقان  = رساله صاحب قرانی / تاریخ ایران / فارسی</w:t>
      </w:r>
      <w:bookmarkEnd w:id="2301"/>
    </w:p>
    <w:p>
      <w:pPr>
        <w:pStyle w:val="BookText"/>
      </w:pPr>
      <w:r>
        <w:rPr>
          <w:rFonts w:ascii="Times New Roman" w:hAnsi="Times New Roman" w:eastAsia="Times New Roman" w:cs="Times New Roman"/>
          <w:lang w:val="en-US" w:bidi="en-US"/>
          <w:color w:val="111111"/>
          <w:sz w:val="28"/>
          <w:szCs w:val="28"/>
          <w:rtl/>
        </w:rPr>
        <w:t xml:space="preserve">tārīx-e zo-l-qarnayn = tārīx-nāme-ye xāqān = r.-ye sāheb-qerānī</w:t>
      </w:r>
    </w:p>
    <w:p>
      <w:pPr>
        <w:pStyle w:val="BookText"/>
      </w:pPr>
      <w:r>
        <w:rPr>
          <w:rFonts w:ascii="IRNazanin" w:hAnsi="IRNazanin" w:eastAsia="IRNazanin" w:cs="IRNazanin"/>
          <w:lang w:bidi="fa-IR"/>
          <w:color w:val="111111"/>
          <w:sz w:val="28"/>
          <w:szCs w:val="28"/>
          <w:rtl/>
        </w:rPr>
        <w:t xml:space="preserve">خاوری شیرازی، فضل الله بن عبد النبي، ۱۱۹۰-۱۲۶۷ قمری</w:t>
      </w:r>
    </w:p>
    <w:p>
      <w:pPr>
        <w:pStyle w:val="BookText"/>
      </w:pPr>
      <w:r>
        <w:rPr>
          <w:rFonts w:ascii="Times New Roman" w:hAnsi="Times New Roman" w:eastAsia="Times New Roman" w:cs="Times New Roman"/>
          <w:lang w:val="en-US" w:bidi="en-US"/>
          <w:color w:val="111111"/>
          <w:sz w:val="28"/>
          <w:szCs w:val="28"/>
          <w:rtl/>
        </w:rPr>
        <w:t xml:space="preserve">xāvarī šīrāzī, fazl-ol-lāh ebn-e ‘abd-on-nabī (1776 1851)</w:t>
      </w:r>
    </w:p>
    <w:p>
      <w:pPr>
        <w:pStyle w:val="BookText"/>
      </w:pPr>
      <w:r>
        <w:rPr>
          <w:rFonts w:ascii="IRNazanin" w:hAnsi="IRNazanin" w:eastAsia="IRNazanin" w:cs="IRNazanin"/>
          <w:lang w:bidi="fa-IR"/>
          <w:color w:val="111111"/>
          <w:sz w:val="28"/>
          <w:szCs w:val="28"/>
          <w:rtl/>
        </w:rPr>
        <w:t xml:space="preserve">تاریخ تأليف: ۶ ربيع الثانی ۱۲۴۹ و ۱۳ ربیع الثانی ۱۲۶۳ق نویسنده که در ابتداء متولی شاهچراغ بوده و در این شغل عمر می گذرانده ولی بعد به خدمت فتحعلی شاه قاجار می رسد و به منشی گری او برگزیده می شود. روزی فتحعلی شاه به او می گوید از تو تاریخی خواهم که وقایع ایام حکومت من در آن مضبوط باشد بدون حشو و زواید یا عبارت پردازی های سست و بارد. پس او این امر را می شنود و در پی نگارش این تاریخ می رود و آن را در دو جلد و یک «خاتمه» می پردازد: جلد ۱. در وقایع قرن اول از دولت ابد مدت خسروانی موسوم به «نامه خاقان»؛ جلد ۲. در ایراد اوضاع قرن ثانی از شوکت جاوید مبانی موسوم به «رساله صاحبقرانی»؛ خاتمه: در ذکر شمائل و مآثر و تعداد اولاد امجاد و نبایر و نتایج حضرت صاحبقرانی. (عبدالله انوار)</w:t>
      </w:r>
    </w:p>
    <w:p>
      <w:pPr>
        <w:pStyle w:val="BookText"/>
      </w:pPr>
      <w:r>
        <w:rPr>
          <w:rFonts w:ascii="IRNazanin" w:hAnsi="IRNazanin" w:eastAsia="IRNazanin" w:cs="IRNazanin"/>
          <w:lang w:bidi="fa-IR"/>
          <w:color w:val="111111"/>
          <w:sz w:val="28"/>
          <w:szCs w:val="28"/>
          <w:rtl/>
        </w:rPr>
        <w:t xml:space="preserve">آغاز: جلد ۱: فتح الباب نامه خاقانی و فصل الخطاب رساله صاحب قرانی سپاس افزون از قیاس شاهنشاهی راست که ساعات فتح المناجات خداوندیش بری از حوادث زوال است.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جلد ۲: عنوان رساله صاحب قران حمد خداوند ذوالجلال است جل شانه که فرمان خلافت سلاطین صاحب قران را به طغرای غرای التفات بی کران موشح داشت ... آغاز خاتمه: روزنامچه همایون: خاتمه هر کلام صد ملک علامی است که سلطنتش را بدایتی نیست و مملکتش را نهایتی</w:t>
      </w:r>
    </w:p>
    <w:p>
      <w:pPr>
        <w:pStyle w:val="BookText"/>
      </w:pPr>
      <w:r>
        <w:rPr>
          <w:rFonts w:ascii="IRNazanin" w:hAnsi="IRNazanin" w:eastAsia="IRNazanin" w:cs="IRNazanin"/>
          <w:lang w:bidi="fa-IR"/>
          <w:color w:val="111111"/>
          <w:sz w:val="28"/>
          <w:szCs w:val="28"/>
          <w:rtl/>
        </w:rPr>
        <w:t xml:space="preserve">انجام: 1: شکر مرخدای را که جلد اول این روزنامه همایون که مسمی به نامه خاقان و حاکم بر جميع وقایع یک قرن از دولت جاوید ارکان است ... به انجام رسید و این گوهر آبدار آویزه گوش مشممان روزگار گردید. امید چنانکه .. وقایع قرن ثانی نیز به آسانی بر ورق تحریر کشیده آید و بر رای مشکل پسند شهریار جهان پسندیده گردد تحرير في پنج شنبه ششم شهر ربيع الثانی ۱۲۴۹ (نسخه مهدوی نوشته سه شنبه ۸ ذوق ۱۲۵۲ در تهران). انجام ۲: نسخه مهدوی: این بنده مدحت گزار بعد از اوقات آن خسرو عالی تبار ... به ... اصفهان شتافتیم هفت ماهه وقايع هذه السنة يونت ئیل یا در آن دیار ... شرح دارم و این روزنامه با شرح و بسط را در روزگار بیاد گار نهادم. انجام ۲: نسخه مجلس: و خارستان روزگار را از آبیاری ابر همت سرشار رشک گلستان ارم گردانید ... قصيده طريقت ملک جاوید بعون الله و توفيقه به اتمام رسیدن این کتاب</w:t>
      </w:r>
    </w:p>
    <w:p>
      <w:pPr>
        <w:pStyle w:val="BookText"/>
      </w:pPr>
      <w:r>
        <w:rPr>
          <w:rFonts w:ascii="IRNazanin" w:hAnsi="IRNazanin" w:eastAsia="IRNazanin" w:cs="IRNazanin"/>
          <w:lang w:bidi="fa-IR"/>
          <w:color w:val="111111"/>
          <w:sz w:val="28"/>
          <w:szCs w:val="28"/>
          <w:rtl/>
        </w:rPr>
        <w:t xml:space="preserve">[استوری ۳۳۷/۱ و ۱۲۸۵؛ فارس نامه ناصری ۴۰/۲ ؛ منتظم ناصری ۱۱۲/۳ ؛ مهدوی ش ۲۴۴ اصل و ناتمام (نشریه ۶۵/۲ )؛ فهرست نیکولسون ص ۱۱۶ ش ۱۲</w:t>
      </w:r>
      <w:r>
        <w:rPr>
          <w:rFonts w:ascii="Times New Roman" w:hAnsi="Times New Roman" w:eastAsia="Times New Roman" w:cs="Times New Roman"/>
          <w:lang w:val="en-US" w:bidi="en-US"/>
          <w:color w:val="111111"/>
          <w:sz w:val="28"/>
          <w:szCs w:val="28"/>
          <w:rtl/>
        </w:rPr>
        <w:t xml:space="preserve">H) </w:t>
      </w:r>
      <w:r>
        <w:rPr>
          <w:rFonts w:ascii="IRNazanin" w:hAnsi="IRNazanin" w:eastAsia="IRNazanin" w:cs="IRNazanin"/>
          <w:lang w:bidi="fa-IR"/>
          <w:color w:val="111111"/>
          <w:sz w:val="28"/>
          <w:szCs w:val="28"/>
          <w:rtl/>
        </w:rPr>
        <w:t xml:space="preserve">۱۱ مورخ ۱۰ شعبان ۱۲۵۷ و اصل و دارای دو جلد و خاتمه)؛ فهرست ریو ۲۹۲/۱ ش .۱۳۶۱</w:t>
      </w:r>
      <w:r>
        <w:rPr>
          <w:rFonts w:ascii="Times New Roman" w:hAnsi="Times New Roman" w:eastAsia="Times New Roman" w:cs="Times New Roman"/>
          <w:lang w:val="en-US" w:bidi="en-US"/>
          <w:color w:val="111111"/>
          <w:sz w:val="28"/>
          <w:szCs w:val="28"/>
          <w:rtl/>
        </w:rPr>
        <w:t xml:space="preserve">Or </w:t>
      </w:r>
      <w:r>
        <w:rPr>
          <w:rFonts w:ascii="IRNazanin" w:hAnsi="IRNazanin" w:eastAsia="IRNazanin" w:cs="IRNazanin"/>
          <w:lang w:bidi="fa-IR"/>
          <w:color w:val="111111"/>
          <w:sz w:val="28"/>
          <w:szCs w:val="28"/>
          <w:rtl/>
        </w:rPr>
        <w:t xml:space="preserve">نزدیک ۱۸۵۵ دارای تنها خاتمه؛ دانشگاه لنینگراد ۱۱۶۴ ص ۴ فهرست رماسکویچ؛ فهرست طاهر جانوف ص ۲۰۱ همان ش ۱۱۶۴ در دو جلد و خاتمه ج ۱ نامه خاقان (۱-۱۳۷) تاریخ ۱۲۴۱-۲۴۹ ج ۲ رساله صاحب قران (۱۳۸) تاریخ ۱۲۴۲؛ بریگل ۹۵۲؛ فهرستواره منزوی ۸۶۴/۲ و ۹۱۱/۲ ، الذریعه ۴۴/۱۰ «ذوالقرنین»، همانجا ۲۸۸/۹ «دیوان خاوری» ؛ اعلام ۷۶۸/۱ خاوری شیرازی؛ نسخه های منزوی ۴۲۴۲/۶ (۱۰ نسخه)؛ مشترک پاکستان ۱۴۶۸/۱۱ ؛ دنا ۷۰۶/۲ ]</w:t>
      </w:r>
    </w:p>
    <w:p>
      <w:pPr>
        <w:pStyle w:val="BookText"/>
      </w:pPr>
      <w:r>
        <w:rPr>
          <w:rFonts w:ascii="IRNazanin" w:hAnsi="IRNazanin" w:eastAsia="IRNazanin" w:cs="IRNazanin"/>
          <w:lang w:bidi="fa-IR"/>
          <w:color w:val="111111"/>
          <w:sz w:val="28"/>
          <w:szCs w:val="28"/>
          <w:rtl/>
        </w:rPr>
        <w:t xml:space="preserve">۱. تهران: ملک؛ شماره نسخه:۴۳۰۲</w:t>
      </w:r>
    </w:p>
    <w:p>
      <w:pPr>
        <w:pStyle w:val="BookText"/>
      </w:pPr>
      <w:r>
        <w:rPr>
          <w:rFonts w:ascii="IRNazanin" w:hAnsi="IRNazanin" w:eastAsia="IRNazanin" w:cs="IRNazanin"/>
          <w:lang w:bidi="fa-IR"/>
          <w:color w:val="111111"/>
          <w:sz w:val="28"/>
          <w:szCs w:val="28"/>
          <w:rtl/>
        </w:rPr>
        <w:t xml:space="preserve">آغاز و انجام: برابر جلد اول در ۳ مجلد؛ خط: نستعلیق، کاتب = مؤلف، تا: ۱۲۶۲ق، جان شیراز؛ با وقف نامه او در ص ۱ با تولیت میرزا آقا بابای راز ذهبي در جمادی الاول ۱۲۶۲؛ کاغذ: فرنگی آهار مهره، جلد: میشن قهوه ای، ۴۳۸گ، ۲۳ سطر، اندازه: ۲۱/۳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۳۰/۷سم [ف: ۲-۳۸۹]</w:t>
      </w:r>
    </w:p>
    <w:p>
      <w:pPr>
        <w:pStyle w:val="BookText"/>
      </w:pPr>
      <w:r>
        <w:rPr>
          <w:rFonts w:ascii="IRNazanin" w:hAnsi="IRNazanin" w:eastAsia="IRNazanin" w:cs="IRNazanin"/>
          <w:lang w:bidi="fa-IR"/>
          <w:color w:val="111111"/>
          <w:sz w:val="28"/>
          <w:szCs w:val="28"/>
          <w:rtl/>
        </w:rPr>
        <w:t xml:space="preserve">تهران؛ دائرة المعارف، شماره نسخه:۲۸۳-عکس</w:t>
      </w:r>
    </w:p>
    <w:p>
      <w:pPr>
        <w:pStyle w:val="BookText"/>
      </w:pPr>
      <w:r>
        <w:rPr>
          <w:rFonts w:ascii="IRNazanin" w:hAnsi="IRNazanin" w:eastAsia="IRNazanin" w:cs="IRNazanin"/>
          <w:lang w:bidi="fa-IR"/>
          <w:color w:val="111111"/>
          <w:sz w:val="28"/>
          <w:szCs w:val="28"/>
          <w:rtl/>
        </w:rPr>
        <w:t xml:space="preserve">نسخه اصل: همان نسخه بالا [عکسی ف: ۲-۵۴]</w:t>
      </w:r>
    </w:p>
    <w:p>
      <w:pPr>
        <w:pStyle w:val="BookText"/>
      </w:pPr>
      <w:r>
        <w:rPr>
          <w:rFonts w:ascii="IRNazanin" w:hAnsi="IRNazanin" w:eastAsia="IRNazanin" w:cs="IRNazanin"/>
          <w:lang w:bidi="fa-IR"/>
          <w:color w:val="111111"/>
          <w:sz w:val="28"/>
          <w:szCs w:val="28"/>
          <w:rtl/>
        </w:rPr>
        <w:t xml:space="preserve">۲. تهران؛ مهدوی؛ شماره نسخه:۲۴۴</w:t>
      </w:r>
    </w:p>
    <w:p>
      <w:pPr>
        <w:pStyle w:val="BookText"/>
      </w:pPr>
      <w:r>
        <w:rPr>
          <w:rFonts w:ascii="IRNazanin" w:hAnsi="IRNazanin" w:eastAsia="IRNazanin" w:cs="IRNazanin"/>
          <w:lang w:bidi="fa-IR"/>
          <w:color w:val="111111"/>
          <w:sz w:val="28"/>
          <w:szCs w:val="28"/>
          <w:rtl/>
        </w:rPr>
        <w:t xml:space="preserve">خط: نستعلیق، کاتب = مؤلف، بی تا؛ ناتمام (نشريه: ۲-۶۵]</w:t>
      </w:r>
    </w:p>
    <w:p>
      <w:pPr>
        <w:pStyle w:val="BookText"/>
      </w:pPr>
      <w:r>
        <w:rPr>
          <w:rFonts w:ascii="IRNazanin" w:hAnsi="IRNazanin" w:eastAsia="IRNazanin" w:cs="IRNazanin"/>
          <w:lang w:bidi="fa-IR"/>
          <w:color w:val="111111"/>
          <w:sz w:val="28"/>
          <w:szCs w:val="28"/>
          <w:rtl/>
        </w:rPr>
        <w:t xml:space="preserve">تهران؛ دانشگاه؛ شماره نسخه:۳۷۳۳-ف</w:t>
      </w:r>
    </w:p>
    <w:p>
      <w:pPr>
        <w:pStyle w:val="BookText"/>
      </w:pPr>
      <w:r>
        <w:rPr>
          <w:rFonts w:ascii="Amiri" w:hAnsi="Amiri" w:eastAsia="Amiri" w:cs="Amiri"/>
          <w:lang w:bidi="ar-SA"/>
          <w:color w:val="111111"/>
          <w:sz w:val="28"/>
          <w:szCs w:val="28"/>
          <w:rtl/>
        </w:rPr>
        <w:t xml:space="preserve">همان نسخه بالا [فيلمها ف: ۲-۲۳۴]</w:t>
      </w:r>
    </w:p>
    <w:p>
      <w:pPr>
        <w:pStyle w:val="BookText"/>
      </w:pPr>
      <w:r>
        <w:rPr>
          <w:rFonts w:ascii="IRNazanin" w:hAnsi="IRNazanin" w:eastAsia="IRNazanin" w:cs="IRNazanin"/>
          <w:lang w:bidi="fa-IR"/>
          <w:color w:val="111111"/>
          <w:sz w:val="28"/>
          <w:szCs w:val="28"/>
          <w:rtl/>
        </w:rPr>
        <w:t xml:space="preserve">٣. تهران؛ مجلس؛ شماره نسخه: ۳۲۰۸</w:t>
      </w:r>
    </w:p>
    <w:p>
      <w:pPr>
        <w:pStyle w:val="BookText"/>
      </w:pPr>
      <w:r>
        <w:rPr>
          <w:rFonts w:ascii="IRNazanin" w:hAnsi="IRNazanin" w:eastAsia="IRNazanin" w:cs="IRNazanin"/>
          <w:lang w:bidi="fa-IR"/>
          <w:color w:val="111111"/>
          <w:sz w:val="28"/>
          <w:szCs w:val="28"/>
          <w:rtl/>
        </w:rPr>
        <w:t xml:space="preserve">آغاز و انجام: برابر جلد ۲</w:t>
      </w:r>
    </w:p>
    <w:p>
      <w:pPr>
        <w:pStyle w:val="BookText"/>
      </w:pPr>
      <w:r>
        <w:rPr>
          <w:rFonts w:ascii="IRNazanin" w:hAnsi="IRNazanin" w:eastAsia="IRNazanin" w:cs="IRNazanin"/>
          <w:lang w:bidi="fa-IR"/>
          <w:color w:val="111111"/>
          <w:sz w:val="28"/>
          <w:szCs w:val="28"/>
          <w:rtl/>
        </w:rPr>
        <w:t xml:space="preserve">جلد دوم؛ خط: نستعلیق، بی کا، تا: قرن ۱۳ و ۱۴؛ کاغذ: فرنگی</w:t>
      </w:r>
    </w:p>
    <w:p>
      <w:pPr>
        <w:pStyle w:val="BookText"/>
      </w:pPr>
      <w:r>
        <w:rPr>
          <w:rFonts w:ascii="IRNazanin" w:hAnsi="IRNazanin" w:eastAsia="IRNazanin" w:cs="IRNazanin"/>
          <w:lang w:bidi="fa-IR"/>
          <w:color w:val="111111"/>
          <w:sz w:val="28"/>
          <w:szCs w:val="28"/>
          <w:rtl/>
        </w:rPr>
        <w:t xml:space="preserve">برنگی شکری، جلد: پلاستیک مقوادار به رنگ سبز تیره، ۲۰ سطر، اندازه: ۳۶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۱۰-۷۸۸)</w:t>
      </w:r>
    </w:p>
    <w:p>
      <w:pPr>
        <w:pStyle w:val="BookText"/>
      </w:pPr>
      <w:r>
        <w:rPr>
          <w:rFonts w:ascii="IRNazanin" w:hAnsi="IRNazanin" w:eastAsia="IRNazanin" w:cs="IRNazanin"/>
          <w:lang w:bidi="fa-IR"/>
          <w:color w:val="111111"/>
          <w:sz w:val="28"/>
          <w:szCs w:val="28"/>
          <w:rtl/>
        </w:rPr>
        <w:t xml:space="preserve">۴. تهران؛ ملی؛ شماره نسخه: ۲۲۴۱</w:t>
      </w:r>
    </w:p>
    <w:p>
      <w:pPr>
        <w:pStyle w:val="BookText"/>
      </w:pPr>
      <w:r>
        <w:rPr>
          <w:rFonts w:ascii="IRNazanin" w:hAnsi="IRNazanin" w:eastAsia="IRNazanin" w:cs="IRNazanin"/>
          <w:lang w:bidi="fa-IR"/>
          <w:color w:val="111111"/>
          <w:sz w:val="28"/>
          <w:szCs w:val="28"/>
          <w:rtl/>
        </w:rPr>
        <w:t xml:space="preserve">آغاز: برابر جلد 1، انجام دهم اللهوردی خان یازدهم ذوالفقار خان دوازدهم بهرام خان</w:t>
      </w:r>
    </w:p>
    <w:p>
      <w:pPr>
        <w:pStyle w:val="BookText"/>
      </w:pPr>
      <w:r>
        <w:rPr>
          <w:rFonts w:ascii="IRNazanin" w:hAnsi="IRNazanin" w:eastAsia="IRNazanin" w:cs="IRNazanin"/>
          <w:lang w:bidi="fa-IR"/>
          <w:color w:val="111111"/>
          <w:sz w:val="28"/>
          <w:szCs w:val="28"/>
          <w:rtl/>
        </w:rPr>
        <w:t xml:space="preserve">خط: نستعلیق خوش، بی کا، تا: قرن ۱۳؛ کاغذ: فرنگی، جلد: تیماج قرمز با ترنج و نیم ترنج، ۲۲۲، ۳۰سطر (۲۴۸۱۳)، اندازه: ۳۴۶۲۱سم [ف: ۵-۳۶۴]</w:t>
      </w:r>
    </w:p>
    <w:p>
      <w:pPr>
        <w:pStyle w:val="BookText"/>
      </w:pPr>
      <w:r>
        <w:rPr>
          <w:rFonts w:ascii="IRNazanin" w:hAnsi="IRNazanin" w:eastAsia="IRNazanin" w:cs="IRNazanin"/>
          <w:lang w:bidi="fa-IR"/>
          <w:color w:val="111111"/>
          <w:sz w:val="28"/>
          <w:szCs w:val="28"/>
          <w:rtl/>
        </w:rPr>
        <w:t xml:space="preserve">۵. تهران؛ ملی؛ شماره نسخه:۲۶۴۴ آغاز: برابر جلد ۱؛ انجام: امامقلی خان دهم اللهوریردی خان خان یازدهم ذوالفقار خان دوازدهم بهرام خان از صفحه یک تا ۲۶۶ جلد اول و از ۲۶۷ تا ۴۵۳ جلد دوم؛ خط : نسخ، بی کا، تا: ۱۲۵۵ق؛ مجدول، با نسخه خط مصنف مقابله شده؛ کاغذ: فرنگی، جلد: تیماج ماشي با ترنج و نیم ترنج، ۲۲۷گ، ۲۷ سطر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۲۰/۵ )،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۶-۲۰۵]</w:t>
      </w:r>
    </w:p>
    <w:p>
      <w:pPr>
        <w:pStyle w:val="BookText"/>
      </w:pPr>
      <w:r>
        <w:rPr>
          <w:rFonts w:ascii="IRNazanin" w:hAnsi="IRNazanin" w:eastAsia="IRNazanin" w:cs="IRNazanin"/>
          <w:lang w:bidi="fa-IR"/>
          <w:color w:val="111111"/>
          <w:sz w:val="28"/>
          <w:szCs w:val="28"/>
          <w:rtl/>
        </w:rPr>
        <w:t xml:space="preserve">۶. تهران؛ ملی؛ شماره نسخه: ۱۷۷۱</w:t>
      </w:r>
    </w:p>
    <w:p>
      <w:pPr>
        <w:pStyle w:val="BookText"/>
      </w:pPr>
      <w:r>
        <w:rPr>
          <w:rFonts w:ascii="IRNazanin" w:hAnsi="IRNazanin" w:eastAsia="IRNazanin" w:cs="IRNazanin"/>
          <w:lang w:bidi="fa-IR"/>
          <w:color w:val="111111"/>
          <w:sz w:val="28"/>
          <w:szCs w:val="28"/>
          <w:rtl/>
        </w:rPr>
        <w:t xml:space="preserve">آغاز: برابر جلد ۱؛ انجام: شاید شنود یا رو بیاید بهوا*** زن نای تو در راه صبا ای نائی خط: نستعلیق، بی کا، تا: ۱۲۶۲ق، جان شیراز، کاغذ: فرنگی، جلد: تیماج ماشی با ترنج و نیم ترنج، ۴۴۳گ، ۲۳سطر (۲۱۶۱۱)، اندازه: ۲۱/۵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۳۰/۵ سم [ف: ۴-۲۲۹]</w:t>
      </w:r>
    </w:p>
    <w:p>
      <w:pPr>
        <w:pStyle w:val="BookText"/>
      </w:pPr>
      <w:r>
        <w:rPr>
          <w:rFonts w:ascii="IRNazanin" w:hAnsi="IRNazanin" w:eastAsia="IRNazanin" w:cs="IRNazanin"/>
          <w:lang w:bidi="fa-IR"/>
          <w:color w:val="111111"/>
          <w:sz w:val="28"/>
          <w:szCs w:val="28"/>
          <w:rtl/>
        </w:rPr>
        <w:t xml:space="preserve">۷. تهران، دانشگاه؛ شماره نسخه:۵۵۱۹/۲</w:t>
      </w:r>
    </w:p>
    <w:p>
      <w:pPr>
        <w:pStyle w:val="BookText"/>
      </w:pPr>
      <w:r>
        <w:rPr>
          <w:rFonts w:ascii="IRNazanin" w:hAnsi="IRNazanin" w:eastAsia="IRNazanin" w:cs="IRNazanin"/>
          <w:lang w:bidi="fa-IR"/>
          <w:color w:val="111111"/>
          <w:sz w:val="28"/>
          <w:szCs w:val="28"/>
          <w:rtl/>
        </w:rPr>
        <w:t xml:space="preserve">شرح نسب و حسب و شمایل و اولاد فتح علی شاه؛ خط: نسخ، كان ابن ملا محمد مهدی آقا بابا شهمیرزادی، تا: ۱۲۶۶ق، کاغذ: فرنگی، جلد: تیماج سبز تیره، ۹۸گ (۲۳-۱۲۰ر)، ۱۹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۱۶-۲۷]</w:t>
      </w:r>
    </w:p>
    <w:p>
      <w:pPr>
        <w:pStyle w:val="BookText"/>
      </w:pPr>
      <w:r>
        <w:rPr>
          <w:rFonts w:ascii="IRNazanin" w:hAnsi="IRNazanin" w:eastAsia="IRNazanin" w:cs="IRNazanin"/>
          <w:lang w:bidi="fa-IR"/>
          <w:color w:val="111111"/>
          <w:sz w:val="28"/>
          <w:szCs w:val="28"/>
          <w:rtl/>
        </w:rPr>
        <w:t xml:space="preserve">۸. تهران؛ سلطنتی؛ شماره نسخه:۷۰۳</w:t>
      </w:r>
    </w:p>
    <w:p>
      <w:pPr>
        <w:pStyle w:val="BookText"/>
      </w:pPr>
      <w:r>
        <w:rPr>
          <w:rFonts w:ascii="IRNazanin" w:hAnsi="IRNazanin" w:eastAsia="IRNazanin" w:cs="IRNazanin"/>
          <w:lang w:bidi="fa-IR"/>
          <w:color w:val="111111"/>
          <w:sz w:val="28"/>
          <w:szCs w:val="28"/>
          <w:rtl/>
        </w:rPr>
        <w:t xml:space="preserve">آغاز: بسمله خاتمه هر کلام حمد ملک غلامیست که سلطنتش را بدایتی نیست و مملکتش را نهایتی نه بنبوت حقه را بخاتمیت جناب خاتم پیغمبران ختم ساخت و از ظهور شاهنشاهی عادل و ظل اللهی باذل بختم سلطنت پرداخت لمؤلفه. محمد شه نبیره خسرو دوران که میباشد *** فلک طیش و ملک جیش و قضا حكم و قدر فرمان اما بعد چنین گوید بنده احقر فضل الله الحسيني الشيرازی متخلص بخاوری که از قرار یکه بكرات در روزنامچه دولت روز افزون تحریر یافته این بنده ... بر حسب امر صاحبقران ... مأمور بود که خاتمه بر آن روزنامچه همایون افزاید و این کتاب مستطاب را بذکر ... ایام دولت شاهنشاه مغفرت مرار نورالله مضجعه آراید؛ انجام: حسینقلی خان ... اکنون نیز در دارالخلافه طهران مقیم است و سبب افراط در استعمال شراب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469" w:name="pg20363_209777"/>
    <w:bookmarkEnd w:id="469"/>
    <w:p>
      <w:pPr>
        <w:pStyle w:val="BookText"/>
      </w:pPr>
      <w:r>
        <w:rPr>
          <w:rFonts w:ascii="IRNazanin" w:hAnsi="IRNazanin" w:eastAsia="IRNazanin" w:cs="IRNazanin"/>
          <w:lang w:bidi="fa-IR"/>
          <w:color w:val="111111"/>
          <w:sz w:val="28"/>
          <w:szCs w:val="28"/>
          <w:rtl/>
        </w:rPr>
        <w:t xml:space="preserve">ناب پیوسته سقيم اللهم اصلح اموره چهارم محمد کاظم خان پنجم فضلعلی خان مردی صاحب ذوق ... دوازدهم بهرام خان. تم الكتاب في شهر رجب سنه ۱۲۹۱.</w:t>
      </w:r>
    </w:p>
    <w:p>
      <w:pPr>
        <w:pStyle w:val="BookText"/>
      </w:pPr>
      <w:r>
        <w:rPr>
          <w:rFonts w:ascii="IRNazanin" w:hAnsi="IRNazanin" w:eastAsia="IRNazanin" w:cs="IRNazanin"/>
          <w:lang w:bidi="fa-IR"/>
          <w:color w:val="111111"/>
          <w:sz w:val="28"/>
          <w:szCs w:val="28"/>
          <w:rtl/>
        </w:rPr>
        <w:t xml:space="preserve">خط: نستعلیق عالی، بی کا، تا: رجب ۱۲۹۱ق؛ مجدول، کمند کشی زرین، یک سرلوح کتیبه ای مذهب منقش کاغذ: فرنگی کبود رنگ، جلد: مقوای روکش چرم سرمه ای، ۱۹۰ص، ۱۴ سطر، اندازه: 13/7</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 /۲۰سم [ سلطنتی ف: ۵-۳۵۲]</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مجلس؛ شماره نسخه:۳۲۰۷</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جلد ۱؛ انجام: به انجام رسید و این گوهر آبدار ... تا اینجا صورت خط مؤلف طاب ثراه بود و این نسخه از کتابی که بخط خود مؤلف مرحوم مبرور ... میرزا فضل الله خاوری بود استنساخ شد و در شهر ذي حجة الحرام سنه ۱۳۲۵ يکهزار ۱۳۲۵ اختتام یافت اللهم اجعل عواقب امورنا خيرا بمحمد و آله الأطهار خط: نستعلیق، بی کا، تا: ۱۳۲۵ق؛ درباره این کتاب شرحی به تاریخ ۱۳۲۶ به خط عناية الله دست غیب نوشته شده؛ کاغذ: فرنگی زرد، جلد: تیماج قرمز، ۳۹۸، ۲۰ سطر، اندازه: ۳۶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 سم [ف: ۱۰-۷۸۸]</w:t>
      </w:r>
    </w:p>
    <w:p>
      <w:pPr>
        <w:pStyle w:val="BookText"/>
      </w:pPr>
      <w:r>
        <w:rPr>
          <w:rFonts w:ascii="IRNazanin" w:hAnsi="IRNazanin" w:eastAsia="IRNazanin" w:cs="IRNazanin"/>
          <w:lang w:bidi="fa-IR"/>
          <w:color w:val="111111"/>
          <w:sz w:val="28"/>
          <w:szCs w:val="28"/>
          <w:rtl/>
        </w:rPr>
        <w:t xml:space="preserve">۱۰. تهران؛ سلطنتی؛ شماره نسخه:۷۲۲</w:t>
      </w:r>
    </w:p>
    <w:p>
      <w:pPr>
        <w:pStyle w:val="BookText"/>
      </w:pPr>
      <w:r>
        <w:rPr>
          <w:rFonts w:ascii="IRNazanin" w:hAnsi="IRNazanin" w:eastAsia="IRNazanin" w:cs="IRNazanin"/>
          <w:lang w:bidi="fa-IR"/>
          <w:color w:val="111111"/>
          <w:sz w:val="28"/>
          <w:szCs w:val="28"/>
          <w:rtl/>
        </w:rPr>
        <w:t xml:space="preserve">آغاز: برابر جلد ۱؛ انجام: گفتار در خاتمه کار شاهنشاه صاحبقران و رحلت آنحضرت در دارالسلطنه اصفهان ... روز پنج شنبه نوزدهم شهر جمادی الثانی سنه يكهزار و دویست و پنجاه مطابق با سال نكبت مأل يونت ئیل سه ساعت بغروب مانده در عمارت قزل اوطاق هفت دست سعادت آباد واقعه در خارج شهر اصفهان از جامه خواب استراحت برخاست و پس از صرف غذای شوربا و ادای فریضه بدرگاه ایزد بیهمتا تا بجهت اطمینان خلق بسرا پرده همایون خرامید قامت قيامت علامت را بجامه خلافت بیاراست در هنگامیکه ایستاده بند قبا را می بست ضعفی بر مزاج همایونش مستولی گشته بی اختیار بر زمین نشست آغا بهرام قراباغی را که یکی از خواجه سرایان محرم بود طلب کرد و از فرط ضعف و بیحالی باو تكيه فرمود و نفسی چند گسیخته کشیده و طایر روح پر فتوحش بر شاخسار درخت طوبی آشیان نمود ... تاریخ تولدی که در صدر كتاب ذکر شده فرمایشی است و اعتباری ندارد مدت سلطنتش سی و هفت سال و نیم شمسی و عمر مبارک آن حضرت هفتاد سال بود ... این بنده مدحت گزار بعد از وفات بجهات بی شمار قدرت همراهی با اردو را نیافتم ... بدار السلطنه اصفهان شتافتم و هفت ماهه وقايع هذه السنة يونت ئیل را در آن دیار شرح دادم و این روزنامچه با شرح و بسط را در روزگار بیاد گار نهادم تحریرة في التاريخ يوم الاثنين پانزدهم شهر رجب المرجب سنه خمسین و ماتان بعد الألف. تمت تمام شد.</w:t>
      </w:r>
    </w:p>
    <w:p>
      <w:pPr>
        <w:pStyle w:val="BookText"/>
      </w:pPr>
      <w:r>
        <w:rPr>
          <w:rFonts w:ascii="IRNazanin" w:hAnsi="IRNazanin" w:eastAsia="IRNazanin" w:cs="IRNazanin"/>
          <w:lang w:bidi="fa-IR"/>
          <w:color w:val="111111"/>
          <w:sz w:val="28"/>
          <w:szCs w:val="28"/>
          <w:rtl/>
        </w:rPr>
        <w:t xml:space="preserve">خط: نستعلیق خوب، بی کا، بی تا؛ با امضای سیدعلی مستوفی، محمدرضا الحسینی، حسین بن هدایت الله؛ یادداشتی بدین شرح: این کتاب از اول تا آخر خانده شد ابتدا ز عراق شد بروجرد و توسرکان تا مراجعت سلطنت آباد فرمودند در شب بیست و هفتم شهر صفر المظفر سنه ۱۳۱۰ لوی ئیل در حضور مبارک حضرت اقدس شهریاری فاطمه سلطان كتابخوان باتمام رساند»، مجدول مذهب، کمند کشی، یک سرلوح؛ مهر: ناصر الدین شاه قاجار؛ کاغذ: فرنگی آهار مهره، جلد: مقوای روکش چرم لاکی رنگ با ترنج، ۴۴۰، ۲۵ سطر،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۲۷/۲ سم [ف: ۵-۳۴۷]</w:t>
      </w:r>
    </w:p>
    <w:p>
      <w:pPr>
        <w:pStyle w:val="BookText"/>
      </w:pPr>
      <w:r>
        <w:rPr>
          <w:rFonts w:ascii="IRNazanin" w:hAnsi="IRNazanin" w:eastAsia="IRNazanin" w:cs="IRNazanin"/>
          <w:lang w:bidi="fa-IR"/>
          <w:color w:val="111111"/>
          <w:sz w:val="28"/>
          <w:szCs w:val="28"/>
          <w:rtl/>
        </w:rPr>
        <w:t xml:space="preserve">۱۱. تهران؛ ملی؛ شماره نسخه: ۱۷۷۶۳</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اندازه: ۳۵/۳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۲۱/۷ سم [رایانه]</w:t>
      </w:r>
    </w:p>
    <w:p>
      <w:pPr>
        <w:pStyle w:val="BookText"/>
      </w:pPr>
      <w:r>
        <w:rPr>
          <w:rFonts w:ascii="IRNazanin" w:hAnsi="IRNazanin" w:eastAsia="IRNazanin" w:cs="IRNazanin"/>
          <w:lang w:bidi="fa-IR"/>
          <w:color w:val="111111"/>
          <w:sz w:val="28"/>
          <w:szCs w:val="28"/>
          <w:rtl/>
        </w:rPr>
        <w:t xml:space="preserve">←تاریخ ذهبی ← تاریخ الاسلام و طبقات مشاهير الأعلام</w:t>
      </w:r>
    </w:p>
    <w:p>
      <w:pPr>
        <w:pStyle w:val="Heading3"/>
      </w:pPr>
      <w:bookmarkStart w:id="2302" w:name="_Toc1562"/>
      <w:r>
        <w:t>•تاریخ راجه های هندی / تاریخ هند / فارسی</w:t>
      </w:r>
      <w:bookmarkEnd w:id="2302"/>
    </w:p>
    <w:p>
      <w:pPr>
        <w:pStyle w:val="BookText"/>
      </w:pPr>
      <w:r>
        <w:rPr>
          <w:rFonts w:ascii="Times New Roman" w:hAnsi="Times New Roman" w:eastAsia="Times New Roman" w:cs="Times New Roman"/>
          <w:lang w:val="en-US" w:bidi="en-US"/>
          <w:color w:val="111111"/>
          <w:sz w:val="28"/>
          <w:szCs w:val="28"/>
          <w:rtl/>
        </w:rPr>
        <w:t xml:space="preserve">tārīx-e rāje-hā-ye hendī</w:t>
      </w:r>
    </w:p>
    <w:p>
      <w:pPr>
        <w:pStyle w:val="BookText"/>
      </w:pPr>
      <w:r>
        <w:rPr>
          <w:rFonts w:ascii="IRNazanin" w:hAnsi="IRNazanin" w:eastAsia="IRNazanin" w:cs="IRNazanin"/>
          <w:lang w:bidi="fa-IR"/>
          <w:color w:val="111111"/>
          <w:sz w:val="28"/>
          <w:szCs w:val="28"/>
          <w:rtl/>
        </w:rPr>
        <w:t xml:space="preserve">علی ابراهیم خان،-۱۲۰۸ قمری</w:t>
      </w:r>
    </w:p>
    <w:p>
      <w:pPr>
        <w:pStyle w:val="BookText"/>
      </w:pPr>
      <w:r>
        <w:rPr>
          <w:rFonts w:ascii="Times New Roman" w:hAnsi="Times New Roman" w:eastAsia="Times New Roman" w:cs="Times New Roman"/>
          <w:lang w:val="en-US" w:bidi="en-US"/>
          <w:color w:val="111111"/>
          <w:sz w:val="28"/>
          <w:szCs w:val="28"/>
          <w:rtl/>
        </w:rPr>
        <w:t xml:space="preserve">‘alī ebrāhīm xãn (-1794)</w:t>
      </w:r>
    </w:p>
    <w:p>
      <w:pPr>
        <w:pStyle w:val="BookText"/>
      </w:pPr>
      <w:r>
        <w:rPr>
          <w:rFonts w:ascii="IRNazanin" w:hAnsi="IRNazanin" w:eastAsia="IRNazanin" w:cs="IRNazanin"/>
          <w:lang w:bidi="fa-IR"/>
          <w:color w:val="111111"/>
          <w:sz w:val="28"/>
          <w:szCs w:val="28"/>
          <w:rtl/>
        </w:rPr>
        <w:t xml:space="preserve">مؤلف در این رساله بخشی از تاریخ راجه های هند را برای کورنر جنرل چارسی ارل کارن باجی راو، جمع آوری نموده و از حکمرانی ساموجی از قوم هوسله وباجی راد شروع و راجه های بعد از وی را ذکر نموده است.</w:t>
      </w:r>
    </w:p>
    <w:p>
      <w:pPr>
        <w:pStyle w:val="BookText"/>
      </w:pPr>
      <w:r>
        <w:rPr>
          <w:rFonts w:ascii="IRNazanin" w:hAnsi="IRNazanin" w:eastAsia="IRNazanin" w:cs="IRNazanin"/>
          <w:lang w:bidi="fa-IR"/>
          <w:color w:val="111111"/>
          <w:sz w:val="28"/>
          <w:szCs w:val="28"/>
          <w:rtl/>
        </w:rPr>
        <w:t xml:space="preserve">قم؛ گلپایگانی؛ شماره نسخه: ۲۰۵۱/۴ - ۱۱/۱۵۱</w:t>
      </w:r>
    </w:p>
    <w:p>
      <w:pPr>
        <w:pStyle w:val="BookText"/>
      </w:pPr>
      <w:r>
        <w:rPr>
          <w:rFonts w:ascii="IRNazanin" w:hAnsi="IRNazanin" w:eastAsia="IRNazanin" w:cs="IRNazanin"/>
          <w:lang w:bidi="fa-IR"/>
          <w:color w:val="111111"/>
          <w:sz w:val="28"/>
          <w:szCs w:val="28"/>
          <w:rtl/>
        </w:rPr>
        <w:t xml:space="preserve">آغاز: الحمد لله على نعمائه و الصلاة على نبيه و اوصيائه این وقائع بدائع، بدائع آثار عبرت نامه اولی ... که در عهد حكومت امیر والاجاه فلک بارگاه مرکز دائره اقبال نکو خواه؛ انجام: اگر چشم حقیقت بین گشاده و آئینه انصاف از ظلمت ... این نکته روشن تر از آفتاب است که چرخ ستیزه کام به جرم بد اندیشی اولاد</w:t>
      </w:r>
    </w:p>
    <w:p>
      <w:pPr>
        <w:pStyle w:val="BookText"/>
      </w:pPr>
      <w:r>
        <w:rPr>
          <w:rFonts w:ascii="IRNazanin" w:hAnsi="IRNazanin" w:eastAsia="IRNazanin" w:cs="IRNazanin"/>
          <w:lang w:bidi="fa-IR"/>
          <w:color w:val="111111"/>
          <w:sz w:val="28"/>
          <w:szCs w:val="28"/>
          <w:rtl/>
        </w:rPr>
        <w:t xml:space="preserve">خط: نستعلیق، بی کا، بی تا، افتادگی: انجام؛ جلد: مقوا، ۵۶گ، ۱۳-۱۲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۲-۶۹۲]</w:t>
      </w:r>
    </w:p>
    <w:p>
      <w:pPr>
        <w:pStyle w:val="Heading3"/>
      </w:pPr>
      <w:bookmarkStart w:id="2303" w:name="_Toc1563"/>
      <w:r>
        <w:t>•تاریخ راشد / تاریخ / ترکی</w:t>
      </w:r>
      <w:bookmarkEnd w:id="2303"/>
    </w:p>
    <w:p>
      <w:pPr>
        <w:pStyle w:val="BookText"/>
      </w:pPr>
      <w:r>
        <w:rPr>
          <w:rFonts w:ascii="Times New Roman" w:hAnsi="Times New Roman" w:eastAsia="Times New Roman" w:cs="Times New Roman"/>
          <w:lang w:val="en-US" w:bidi="en-US"/>
          <w:color w:val="111111"/>
          <w:sz w:val="28"/>
          <w:szCs w:val="28"/>
          <w:rtl/>
        </w:rPr>
        <w:t xml:space="preserve">tārīx-e rāšed</w:t>
      </w:r>
    </w:p>
    <w:p>
      <w:pPr>
        <w:pStyle w:val="BookText"/>
      </w:pPr>
      <w:r>
        <w:rPr>
          <w:rFonts w:ascii="IRNazanin" w:hAnsi="IRNazanin" w:eastAsia="IRNazanin" w:cs="IRNazanin"/>
          <w:lang w:bidi="fa-IR"/>
          <w:color w:val="111111"/>
          <w:sz w:val="28"/>
          <w:szCs w:val="28"/>
          <w:rtl/>
        </w:rPr>
        <w:t xml:space="preserve">ملطيوی، محمد بن مصطفی</w:t>
      </w:r>
    </w:p>
    <w:p>
      <w:pPr>
        <w:pStyle w:val="BookText"/>
      </w:pPr>
      <w:r>
        <w:rPr>
          <w:rFonts w:ascii="Times New Roman" w:hAnsi="Times New Roman" w:eastAsia="Times New Roman" w:cs="Times New Roman"/>
          <w:lang w:val="en-US" w:bidi="en-US"/>
          <w:color w:val="111111"/>
          <w:sz w:val="28"/>
          <w:szCs w:val="28"/>
          <w:rtl/>
        </w:rPr>
        <w:t xml:space="preserve">malatyavī, mohammad ebn-e mostafā</w:t>
      </w:r>
    </w:p>
    <w:p>
      <w:pPr>
        <w:pStyle w:val="BookText"/>
      </w:pPr>
      <w:r>
        <w:rPr>
          <w:rFonts w:ascii="IRNazanin" w:hAnsi="IRNazanin" w:eastAsia="IRNazanin" w:cs="IRNazanin"/>
          <w:lang w:bidi="fa-IR"/>
          <w:color w:val="111111"/>
          <w:sz w:val="28"/>
          <w:szCs w:val="28"/>
          <w:rtl/>
        </w:rPr>
        <w:t xml:space="preserve">ثالث) تاریخی بسیار مفصل به زبان ترکی که به دستور سلطان احمد بن محمد غازی (سلطان احمد سوم / ثالث) در تاریخ پادشاهان عثمانی از ۱۰۷۱ تا ۱۱۳۴ق نگاشته است. مؤلف در پایان، فصلی مختصر نیز در احوالات خود دارد. به جز نسخه ای که از آن در موزه بریتانیا به شماره 23585 .</w:t>
      </w:r>
      <w:r>
        <w:rPr>
          <w:rFonts w:ascii="Times New Roman" w:hAnsi="Times New Roman" w:eastAsia="Times New Roman" w:cs="Times New Roman"/>
          <w:lang w:val="en-US" w:bidi="en-US"/>
          <w:color w:val="111111"/>
          <w:sz w:val="28"/>
          <w:szCs w:val="28"/>
          <w:rtl/>
        </w:rPr>
        <w:t xml:space="preserve">Add </w:t>
      </w:r>
      <w:r>
        <w:rPr>
          <w:rFonts w:ascii="IRNazanin" w:hAnsi="IRNazanin" w:eastAsia="IRNazanin" w:cs="IRNazanin"/>
          <w:lang w:bidi="fa-IR"/>
          <w:color w:val="111111"/>
          <w:sz w:val="28"/>
          <w:szCs w:val="28"/>
          <w:rtl/>
        </w:rPr>
        <w:t xml:space="preserve">موجود است.</w:t>
      </w:r>
    </w:p>
    <w:p>
      <w:pPr>
        <w:pStyle w:val="BookText"/>
      </w:pPr>
      <w:r>
        <w:rPr>
          <w:rFonts w:ascii="IRNazanin" w:hAnsi="IRNazanin" w:eastAsia="IRNazanin" w:cs="IRNazanin"/>
          <w:lang w:bidi="fa-IR"/>
          <w:color w:val="111111"/>
          <w:sz w:val="28"/>
          <w:szCs w:val="28"/>
          <w:rtl/>
        </w:rPr>
        <w:t xml:space="preserve">چاپ: نخستین بار در سه جلد به سال ۱۱۵۳ق در قسطنطنیه و سپس در ۱۲۸۲ ق در همانجا (استانبول) و این بار در پنج جلد</w:t>
      </w:r>
    </w:p>
    <w:p>
      <w:pPr>
        <w:pStyle w:val="BookText"/>
      </w:pPr>
      <w:r>
        <w:rPr>
          <w:rFonts w:ascii="IRNazanin" w:hAnsi="IRNazanin" w:eastAsia="IRNazanin" w:cs="IRNazanin"/>
          <w:lang w:bidi="fa-IR"/>
          <w:color w:val="111111"/>
          <w:sz w:val="28"/>
          <w:szCs w:val="28"/>
          <w:rtl/>
        </w:rPr>
        <w:t xml:space="preserve">چاپ شده است.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470" w:name="pg20363_209778"/>
    <w:bookmarkEnd w:id="470"/>
    <w:p>
      <w:pPr>
        <w:pStyle w:val="BookText"/>
      </w:pPr>
      <w:r>
        <w:rPr>
          <w:rFonts w:ascii="IRNazanin" w:hAnsi="IRNazanin" w:eastAsia="IRNazanin" w:cs="IRNazanin"/>
          <w:lang w:bidi="fa-IR"/>
          <w:color w:val="111111"/>
          <w:sz w:val="28"/>
          <w:szCs w:val="28"/>
          <w:rtl/>
        </w:rPr>
        <w:t xml:space="preserve">۱. تهران؛ مجلس؛ شماره نسخه:۸۱۵۷</w:t>
      </w:r>
    </w:p>
    <w:p>
      <w:pPr>
        <w:pStyle w:val="BookText"/>
      </w:pPr>
      <w:r>
        <w:rPr>
          <w:rFonts w:ascii="IRNazanin" w:hAnsi="IRNazanin" w:eastAsia="IRNazanin" w:cs="IRNazanin"/>
          <w:lang w:bidi="fa-IR"/>
          <w:color w:val="111111"/>
          <w:sz w:val="28"/>
          <w:szCs w:val="28"/>
          <w:rtl/>
        </w:rPr>
        <w:t xml:space="preserve">آغاز: بسمله حمد اول مبدع کارگاه ایجاد و تکوین جنابنه که متتبعان صفحات تواریخ و ازمان وقوف زمان ازل عنوان وجودنده حیران و متصفحات طبقات حوادث و اکوان ... اما بعد، بو پی سپر منزل رسان مناهج و مراشد ابو المكارم محمد المدعو براشد لنک و لوک وادی عریض البوادی نظم و انشایه؛ انجام: بو عبد فقیر کبی پخه بیچارگان بیسیر و سامانی مکار مبذوله لریله پی در پی مسروز و شادکام ایلیه. امین. [رقم:] تمت.</w:t>
      </w:r>
    </w:p>
    <w:p>
      <w:pPr>
        <w:pStyle w:val="BookText"/>
      </w:pPr>
      <w:r>
        <w:rPr>
          <w:rFonts w:ascii="IRNazanin" w:hAnsi="IRNazanin" w:eastAsia="IRNazanin" w:cs="IRNazanin"/>
          <w:lang w:bidi="fa-IR"/>
          <w:color w:val="111111"/>
          <w:sz w:val="28"/>
          <w:szCs w:val="28"/>
          <w:rtl/>
        </w:rPr>
        <w:t xml:space="preserve">خط: نسخ ترکی، بی کا، تا: قرن ۱۲؛ مجدول، با سرلوح مذهب، مصحح، محشی با علامت «ط» و «5»، با علامت «بلغ»، نسخه در برگ ۲۷۵ر به پایان کتاب اول (جلد اول) می رسد و پس از دو صفحه سفید، کتاب دوم شروع می شود. در برگ ۴۸۴پ کتاب دوم پایان می یابد و از برگ ۴۸۶پ پس از سه صفحه سفید، کتاب سوم آغاز می شود. اوراق ۵۳۴ تا ۵۴۳ وارونه صحافی شده؛ جلد: مقوایی با روکش تیماج آبی، ۵۷۳گ، ۲۷ سطر، اندازه: ۱۹/۳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۳۰/۷سم [ف: ۲۷/۱ -۲۸۵]</w:t>
      </w:r>
    </w:p>
    <w:p>
      <w:pPr>
        <w:pStyle w:val="BookText"/>
      </w:pPr>
      <w:r>
        <w:rPr>
          <w:rFonts w:ascii="IRNazanin" w:hAnsi="IRNazanin" w:eastAsia="IRNazanin" w:cs="IRNazanin"/>
          <w:lang w:bidi="fa-IR"/>
          <w:color w:val="111111"/>
          <w:sz w:val="28"/>
          <w:szCs w:val="28"/>
          <w:rtl/>
        </w:rPr>
        <w:t xml:space="preserve">۲. تهران؛ مجلس؛ شماره نسخه:۵۹۱۷</w:t>
      </w:r>
    </w:p>
    <w:p>
      <w:pPr>
        <w:pStyle w:val="BookText"/>
      </w:pPr>
      <w:r>
        <w:rPr>
          <w:rFonts w:ascii="IRNazanin" w:hAnsi="IRNazanin" w:eastAsia="IRNazanin" w:cs="IRNazanin"/>
          <w:lang w:bidi="fa-IR"/>
          <w:color w:val="111111"/>
          <w:sz w:val="28"/>
          <w:szCs w:val="28"/>
          <w:rtl/>
        </w:rPr>
        <w:t xml:space="preserve">آغاز: این خامه مهمساز سر مصلحت اول *** مدحتگر کارخانه منقبت اول. نحن نقص احسن القصص؛ انجام: و بوعبد فقیر کی ... مکارم مبذوله ایله پی در پی مسرور و شادکام ایله آمین</w:t>
      </w:r>
    </w:p>
    <w:p>
      <w:pPr>
        <w:pStyle w:val="BookText"/>
      </w:pPr>
      <w:r>
        <w:rPr>
          <w:rFonts w:ascii="IRNazanin" w:hAnsi="IRNazanin" w:eastAsia="IRNazanin" w:cs="IRNazanin"/>
          <w:lang w:bidi="fa-IR"/>
          <w:color w:val="111111"/>
          <w:sz w:val="28"/>
          <w:szCs w:val="28"/>
          <w:rtl/>
        </w:rPr>
        <w:t xml:space="preserve">در فهرست از حسن بن راشد دانسته شده، از آغاز کتاب دوم را دارد؛ خط: نسخ بشيوه ترکی، بی کا، تا: قرن ۱۲؛ دارای یک سرلوح مذهب، مجدول؛ کاغذ: ترکی، جلد: گالینگور عنابی، ۹۹۴ص، ۲۸ سطر، اندازه: ۷۱۸ ۳۰سم [ف: ۱۷-۳۰۵]</w:t>
      </w:r>
    </w:p>
    <w:p>
      <w:pPr>
        <w:pStyle w:val="Heading3"/>
      </w:pPr>
      <w:bookmarkStart w:id="2304" w:name="_Toc1564"/>
      <w:r>
        <w:t>•تاریخ راقم = تاریخ راقمی = تاریخ سید راقم = تاریخ نامه راقم = تواریخ میر سید راقمی = تاریخ كثيره / تاریخ ایران / فارسی</w:t>
      </w:r>
      <w:bookmarkEnd w:id="2304"/>
    </w:p>
    <w:p>
      <w:pPr>
        <w:pStyle w:val="BookText"/>
      </w:pPr>
      <w:r>
        <w:rPr>
          <w:rFonts w:ascii="Times New Roman" w:hAnsi="Times New Roman" w:eastAsia="Times New Roman" w:cs="Times New Roman"/>
          <w:lang w:val="en-US" w:bidi="en-US"/>
          <w:color w:val="111111"/>
          <w:sz w:val="28"/>
          <w:szCs w:val="28"/>
          <w:rtl/>
        </w:rPr>
        <w:t xml:space="preserve">tārīx-e rāqem = tārīx-e rāqemī = tārīx-e seyyed rāqem</w:t>
      </w:r>
    </w:p>
    <w:p>
      <w:pPr>
        <w:pStyle w:val="BookText"/>
      </w:pPr>
      <w:r>
        <w:rPr>
          <w:rFonts w:ascii="Times New Roman" w:hAnsi="Times New Roman" w:eastAsia="Times New Roman" w:cs="Times New Roman"/>
          <w:lang w:val="en-US" w:bidi="en-US"/>
          <w:color w:val="111111"/>
          <w:sz w:val="28"/>
          <w:szCs w:val="28"/>
          <w:rtl/>
        </w:rPr>
        <w:t xml:space="preserve">= tavārīx-e mīr seyyed-e = tārīx-nāme-ye rāqem rāqemī</w:t>
      </w:r>
    </w:p>
    <w:p>
      <w:pPr>
        <w:pStyle w:val="BookText"/>
      </w:pPr>
      <w:r>
        <w:rPr>
          <w:rFonts w:ascii="IRNazanin" w:hAnsi="IRNazanin" w:eastAsia="IRNazanin" w:cs="IRNazanin"/>
          <w:lang w:bidi="fa-IR"/>
          <w:color w:val="111111"/>
          <w:sz w:val="28"/>
          <w:szCs w:val="28"/>
          <w:rtl/>
        </w:rPr>
        <w:t xml:space="preserve">راقم سمرقندی، میر شرف الدین شریف بن نورالدین، ق۱۲ قمری</w:t>
      </w:r>
    </w:p>
    <w:p>
      <w:pPr>
        <w:pStyle w:val="BookText"/>
      </w:pPr>
      <w:r>
        <w:rPr>
          <w:rFonts w:ascii="Times New Roman" w:hAnsi="Times New Roman" w:eastAsia="Times New Roman" w:cs="Times New Roman"/>
          <w:lang w:val="en-US" w:bidi="en-US"/>
          <w:color w:val="111111"/>
          <w:sz w:val="28"/>
          <w:szCs w:val="28"/>
          <w:rtl/>
        </w:rPr>
        <w:t xml:space="preserve">rāqem-e samarqandī, mīr šaraf-od-dīn šarīf ebn-e nūr od-din (-18c)</w:t>
      </w:r>
    </w:p>
    <w:p>
      <w:pPr>
        <w:pStyle w:val="BookText"/>
      </w:pPr>
      <w:r>
        <w:rPr>
          <w:rFonts w:ascii="IRNazanin" w:hAnsi="IRNazanin" w:eastAsia="IRNazanin" w:cs="IRNazanin"/>
          <w:lang w:bidi="fa-IR"/>
          <w:color w:val="111111"/>
          <w:sz w:val="28"/>
          <w:szCs w:val="28"/>
          <w:rtl/>
        </w:rPr>
        <w:t xml:space="preserve">تاريخ تأليف: ۱۱۱۳ق این کتاب تاریخ کوتاهی است در شرح رویدادهای تاریخی پادشاهان شیبانی و خانان ازبک ماوراء النهر و شرح جنگهای آنان با تیموریان و صفویان و نیز تاریخ درگذشت بسیاری از دانشمندان، ادیبان، شاعران، امیران، وزیران، پادشاهان و دیگر نامداران ایران و ماوراء النهر به ترتیب سال با شرح کوتاه احوال هر یک از آنان. در آن شرح رویدادها از تولد امیر تیمور (۷۳۶ق) تا شاهی عبدالعزيز بن ندر محمد خان از جانیان استراخان بخارا در سال ۱۰۵۴ گزارش شده است. مشابهت فراوان میان این اثر و تاریخ ترکستان محمد امین بخارایی سبب گردیده که برخی پژوهشگران گمان برند که یکی از این دو کتاب مطالبش را از دیگری گرفته است. این کتاب به نام تاریخ راقمی و تاریخ نامه راقم و تواریخ میر سید شریف راقم و تاریخ تیمور و چنگیز میر شریف راقم و تاریخ نامه کثیره هم خوانده می شود. آغاز: بر ضمایر ارباب دانش و خاطر اصحاب بینش واضح و لايح است که در تواريخ حوادثات ایام علمای عظام و فضلای کرام لئالی نظم و جواهر نثر وانموده اند انجام: رفت یوسف زبده يعقوب تارخی تأليف تاریخ نامه راقم تاریخ: هزار و صد گذشته سیزده هم *** ز سال هجرت سلطان عالم / بنوک خامه اش راقم رقم کرد *** تواریخ چنین خوب و مکرم. انجام ۲: که در عالم فقر و فنا غم را براحتی و الم را..</w:t>
      </w:r>
    </w:p>
    <w:p>
      <w:pPr>
        <w:pStyle w:val="BookText"/>
      </w:pPr>
      <w:r>
        <w:rPr>
          <w:rFonts w:ascii="IRNazanin" w:hAnsi="IRNazanin" w:eastAsia="IRNazanin" w:cs="IRNazanin"/>
          <w:lang w:bidi="fa-IR"/>
          <w:color w:val="111111"/>
          <w:sz w:val="28"/>
          <w:szCs w:val="28"/>
          <w:rtl/>
        </w:rPr>
        <w:t xml:space="preserve">چاپ: تاشکند، ۱۳۳۲ق، در حاشیه «تحفة الاحباب في تذكرة الاصحاب» قاری رحمت الله واضح بخارایی، چاپ سنگی</w:t>
      </w:r>
    </w:p>
    <w:p>
      <w:pPr>
        <w:pStyle w:val="BookText"/>
      </w:pPr>
      <w:r>
        <w:rPr>
          <w:rFonts w:ascii="IRNazanin" w:hAnsi="IRNazanin" w:eastAsia="IRNazanin" w:cs="IRNazanin"/>
          <w:lang w:bidi="fa-IR"/>
          <w:color w:val="111111"/>
          <w:sz w:val="28"/>
          <w:szCs w:val="28"/>
          <w:rtl/>
        </w:rPr>
        <w:t xml:space="preserve">[فهرستواره منزوی ۸۶۴/۲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ادبیات؛ شماره نسخه: ۱۲۲ - ب</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۱۱؛ کاغذ: سمرقندی، جلد: مقوا عطف</w:t>
      </w:r>
    </w:p>
    <w:p>
      <w:pPr>
        <w:pStyle w:val="BookText"/>
      </w:pPr>
      <w:r>
        <w:rPr>
          <w:rFonts w:ascii="IRNazanin" w:hAnsi="IRNazanin" w:eastAsia="IRNazanin" w:cs="IRNazanin"/>
          <w:lang w:bidi="fa-IR"/>
          <w:color w:val="111111"/>
          <w:sz w:val="28"/>
          <w:szCs w:val="28"/>
          <w:rtl/>
        </w:rPr>
        <w:t xml:space="preserve">تیماج آبی، ۲۲۸گ، ۱۵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۱-۶۵]</w:t>
      </w:r>
    </w:p>
    <w:p>
      <w:pPr>
        <w:pStyle w:val="BookText"/>
      </w:pPr>
      <w:r>
        <w:rPr>
          <w:rFonts w:ascii="IRNazanin" w:hAnsi="IRNazanin" w:eastAsia="IRNazanin" w:cs="IRNazanin"/>
          <w:lang w:bidi="fa-IR"/>
          <w:color w:val="111111"/>
          <w:sz w:val="28"/>
          <w:szCs w:val="28"/>
          <w:rtl/>
        </w:rPr>
        <w:t xml:space="preserve">۲. تهران، دانشگاه؛ شماره نسخه: ۷۹۱۲/۱</w:t>
      </w:r>
    </w:p>
    <w:p>
      <w:pPr>
        <w:pStyle w:val="BookText"/>
      </w:pPr>
      <w:r>
        <w:rPr>
          <w:rFonts w:ascii="IRNazanin" w:hAnsi="IRNazanin" w:eastAsia="IRNazanin" w:cs="IRNazanin"/>
          <w:lang w:bidi="fa-IR"/>
          <w:color w:val="111111"/>
          <w:sz w:val="28"/>
          <w:szCs w:val="28"/>
          <w:rtl/>
        </w:rPr>
        <w:t xml:space="preserve">خط: نستعلیق، کا: میرزا ابوالحسن قورتی، تا: جمعه ۲۲ ذیقعده ۱۳۰۸ق، جان کابل؛ کاغذ: فرنگی، جلد: تیماج مشکی مقوایی، ۱۵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سم [ف: ۱۶-۷۳۴]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دانشگاه؛ شماره نسخه: ۵۱۷۴/۲ ف</w:t>
      </w:r>
    </w:p>
    <w:p>
      <w:pPr>
        <w:pStyle w:val="BookText"/>
      </w:pPr>
      <w:r>
        <w:rPr>
          <w:rFonts w:ascii="IRNazanin" w:hAnsi="IRNazanin" w:eastAsia="IRNazanin" w:cs="IRNazanin"/>
          <w:lang w:bidi="fa-IR"/>
          <w:color w:val="111111"/>
          <w:sz w:val="28"/>
          <w:szCs w:val="28"/>
          <w:rtl/>
        </w:rPr>
        <w:t xml:space="preserve">نسخه اصل: چاپ سنگی طاشكند؛ خط: نستعلیق، كا: عبدالمنان حاجی بن عبدالوهاب، تا: ۱۳۳۲ق [فيلمها ف: ۳-۱۴۰]</w:t>
      </w:r>
    </w:p>
    <w:p>
      <w:pPr>
        <w:pStyle w:val="BookText"/>
      </w:pPr>
      <w:r>
        <w:rPr>
          <w:rFonts w:ascii="IRNazanin" w:hAnsi="IRNazanin" w:eastAsia="IRNazanin" w:cs="IRNazanin"/>
          <w:lang w:bidi="fa-IR"/>
          <w:color w:val="111111"/>
          <w:sz w:val="28"/>
          <w:szCs w:val="28"/>
          <w:rtl/>
        </w:rPr>
        <w:t xml:space="preserve">۴. تهران؛ مجلس؛ شماره نسخه:۱۴۴۲۹</w:t>
      </w:r>
    </w:p>
    <w:p>
      <w:pPr>
        <w:pStyle w:val="BookText"/>
      </w:pPr>
      <w:r>
        <w:rPr>
          <w:rFonts w:ascii="IRNazanin" w:hAnsi="IRNazanin" w:eastAsia="IRNazanin" w:cs="IRNazanin"/>
          <w:lang w:bidi="fa-IR"/>
          <w:color w:val="111111"/>
          <w:sz w:val="28"/>
          <w:szCs w:val="28"/>
          <w:rtl/>
        </w:rPr>
        <w:t xml:space="preserve">آغاز: ناله و زاری خطاب آمد ز چرخ *** کای خداوندان جاه الاعتبار. و ابن یمین نیز در فوت سلطان گوید: چون گذشت از سال هجرت هفتصد با سی و شش *** وز ربيع الآخرين هم سیزده بگذشته بود، انجام: تاریخ وفات حضرت عالم شیخ عزیزان قدس سره قدوه علمای زمان مرجع مشایخ اهل عرفان ... شهاب الدين سهروردی صدیقی قدس سرهما تمت. از وقایع سال ۷۳۶ (سال فوت سلطان ابوسعید) تا وقایع سال ۱۰۴۵؛ خط: نستعلیق زیبا، بی کا، بی تا، افتادگی: آغاز و انجام؛ بی کا، بی تا؛ مجدول زرین؛ جلد: مقوایی قهوه ای، عطف گالینگور قهوه ای، ۲۵۰گ، ۱۳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سم [ف: ۳۸-۵۶۷]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471" w:name="pg20363_209779"/>
    <w:bookmarkEnd w:id="471"/>
    <w:p>
      <w:pPr>
        <w:pStyle w:val="BookText"/>
      </w:pPr>
      <w:r>
        <w:rPr>
          <w:rFonts w:ascii="IRNazanin" w:hAnsi="IRNazanin" w:eastAsia="IRNazanin" w:cs="IRNazanin"/>
          <w:lang w:bidi="fa-IR"/>
          <w:color w:val="111111"/>
          <w:sz w:val="28"/>
          <w:szCs w:val="28"/>
          <w:rtl/>
        </w:rPr>
        <w:t xml:space="preserve">← تاریخ راقمی ← تاریخ راقم</w:t>
      </w:r>
    </w:p>
    <w:p>
      <w:pPr>
        <w:pStyle w:val="Heading3"/>
      </w:pPr>
      <w:bookmarkStart w:id="2305" w:name="_Toc1565"/>
      <w:r>
        <w:t>• تاریخ راه آهن / تاریخ / فارسی</w:t>
      </w:r>
      <w:bookmarkEnd w:id="2305"/>
    </w:p>
    <w:p>
      <w:pPr>
        <w:pStyle w:val="BookText"/>
      </w:pPr>
      <w:r>
        <w:rPr>
          <w:rFonts w:ascii="Times New Roman" w:hAnsi="Times New Roman" w:eastAsia="Times New Roman" w:cs="Times New Roman"/>
          <w:lang w:val="en-US" w:bidi="en-US"/>
          <w:color w:val="111111"/>
          <w:sz w:val="28"/>
          <w:szCs w:val="28"/>
          <w:rtl/>
        </w:rPr>
        <w:t xml:space="preserve">tārīx-e rāh-āhan</w:t>
      </w:r>
    </w:p>
    <w:p>
      <w:pPr>
        <w:pStyle w:val="BookText"/>
      </w:pPr>
      <w:r>
        <w:rPr>
          <w:rFonts w:ascii="IRNazanin" w:hAnsi="IRNazanin" w:eastAsia="IRNazanin" w:cs="IRNazanin"/>
          <w:lang w:bidi="fa-IR"/>
          <w:color w:val="111111"/>
          <w:sz w:val="28"/>
          <w:szCs w:val="28"/>
          <w:rtl/>
        </w:rPr>
        <w:t xml:space="preserve">بارن نرمان، ق۱۳ قمری</w:t>
      </w:r>
    </w:p>
    <w:p>
      <w:pPr>
        <w:pStyle w:val="BookText"/>
      </w:pPr>
      <w:r>
        <w:rPr>
          <w:rFonts w:ascii="Times New Roman" w:hAnsi="Times New Roman" w:eastAsia="Times New Roman" w:cs="Times New Roman"/>
          <w:lang w:val="en-US" w:bidi="en-US"/>
          <w:color w:val="111111"/>
          <w:sz w:val="28"/>
          <w:szCs w:val="28"/>
          <w:rtl/>
        </w:rPr>
        <w:t xml:space="preserve">baron norman (-19c)</w:t>
      </w:r>
    </w:p>
    <w:p>
      <w:pPr>
        <w:pStyle w:val="BookText"/>
      </w:pPr>
      <w:r>
        <w:rPr>
          <w:rFonts w:ascii="IRNazanin" w:hAnsi="IRNazanin" w:eastAsia="IRNazanin" w:cs="IRNazanin"/>
          <w:lang w:bidi="fa-IR"/>
          <w:color w:val="111111"/>
          <w:sz w:val="28"/>
          <w:szCs w:val="28"/>
          <w:rtl/>
        </w:rPr>
        <w:t xml:space="preserve">مترجم: میرزا هارتون مترجم ق۱۳ قمری ترجمه ای است از میرزا هارتون مترجم از کتاب:</w:t>
      </w:r>
    </w:p>
    <w:p>
      <w:pPr>
        <w:pStyle w:val="BookText"/>
      </w:pPr>
      <w:r>
        <w:rPr>
          <w:rFonts w:ascii="Times New Roman" w:hAnsi="Times New Roman" w:eastAsia="Times New Roman" w:cs="Times New Roman"/>
          <w:lang w:val="en-US" w:bidi="en-US"/>
          <w:color w:val="111111"/>
          <w:sz w:val="28"/>
          <w:szCs w:val="28"/>
          <w:rtl/>
        </w:rPr>
        <w:t xml:space="preserve">Historique des chemins de fer, application de chemins de fer</w:t>
      </w:r>
    </w:p>
    <w:p>
      <w:pPr>
        <w:pStyle w:val="BookText"/>
      </w:pPr>
      <w:r>
        <w:rPr>
          <w:rFonts w:ascii="IRNazanin" w:hAnsi="IRNazanin" w:eastAsia="IRNazanin" w:cs="IRNazanin"/>
          <w:lang w:bidi="fa-IR"/>
          <w:color w:val="111111"/>
          <w:sz w:val="28"/>
          <w:szCs w:val="28"/>
          <w:rtl/>
        </w:rPr>
        <w:t xml:space="preserve">از بارون نورمان مهندس مخصوص دولت ایران.</w:t>
      </w:r>
    </w:p>
    <w:p>
      <w:pPr>
        <w:pStyle w:val="BookText"/>
      </w:pPr>
      <w:r>
        <w:rPr>
          <w:rFonts w:ascii="IRNazanin" w:hAnsi="IRNazanin" w:eastAsia="IRNazanin" w:cs="IRNazanin"/>
          <w:lang w:bidi="fa-IR"/>
          <w:color w:val="111111"/>
          <w:sz w:val="28"/>
          <w:szCs w:val="28"/>
          <w:rtl/>
        </w:rPr>
        <w:t xml:space="preserve">تهران؛ ادبیات، شماره نسخه: ۴۱ - ب</w:t>
      </w:r>
    </w:p>
    <w:p>
      <w:pPr>
        <w:pStyle w:val="BookText"/>
      </w:pPr>
      <w:r>
        <w:rPr>
          <w:rFonts w:ascii="IRNazanin" w:hAnsi="IRNazanin" w:eastAsia="IRNazanin" w:cs="IRNazanin"/>
          <w:lang w:bidi="fa-IR"/>
          <w:color w:val="111111"/>
          <w:sz w:val="28"/>
          <w:szCs w:val="28"/>
          <w:rtl/>
        </w:rPr>
        <w:t xml:space="preserve">آغاز: تاریخ مخترعات راه آهن مشعر است بر تتبعات طرق و شوارعی که راه آهن کار کرده میشود؛ انجام: فارسی: خوشوقتی و خورسندی داریم در نسخه ما متن فرانسه و ترجمه فارسی هر دو هست و نقشه هم دارد؛ خط: شکسته نستعلیق، بی کا، تا: ۱۲۹۶ق؛ مجدول؛ کاغذ: فرنگی، جلد: مخمل قرمز، ۱۴ سطر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۳۲/۵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۱-۶۶]</w:t>
      </w:r>
    </w:p>
    <w:p>
      <w:pPr>
        <w:pStyle w:val="BookText"/>
      </w:pPr>
      <w:r>
        <w:rPr>
          <w:rFonts w:ascii="IRNazanin" w:hAnsi="IRNazanin" w:eastAsia="IRNazanin" w:cs="IRNazanin"/>
          <w:lang w:bidi="fa-IR"/>
          <w:color w:val="111111"/>
          <w:sz w:val="28"/>
          <w:szCs w:val="28"/>
          <w:rtl/>
        </w:rPr>
        <w:t xml:space="preserve">← تاریخ رستم ← داستانهای شاهنامه</w:t>
      </w:r>
    </w:p>
    <w:p>
      <w:pPr>
        <w:pStyle w:val="Heading3"/>
      </w:pPr>
      <w:bookmarkStart w:id="2306" w:name="_Toc1566"/>
      <w:r>
        <w:t>•تاریخ رستم خان و عصر او / تاریخ / فارسی</w:t>
      </w:r>
      <w:bookmarkEnd w:id="2306"/>
    </w:p>
    <w:p>
      <w:pPr>
        <w:pStyle w:val="BookText"/>
      </w:pPr>
      <w:r>
        <w:rPr>
          <w:rFonts w:ascii="Times New Roman" w:hAnsi="Times New Roman" w:eastAsia="Times New Roman" w:cs="Times New Roman"/>
          <w:lang w:val="en-US" w:bidi="en-US"/>
          <w:color w:val="111111"/>
          <w:sz w:val="28"/>
          <w:szCs w:val="28"/>
          <w:rtl/>
        </w:rPr>
        <w:t xml:space="preserve">tarix-e rostam xan va asr-eu</w:t>
      </w:r>
    </w:p>
    <w:p>
      <w:pPr>
        <w:pStyle w:val="BookText"/>
      </w:pPr>
      <w:r>
        <w:rPr>
          <w:rFonts w:ascii="IRNazanin" w:hAnsi="IRNazanin" w:eastAsia="IRNazanin" w:cs="IRNazanin"/>
          <w:lang w:bidi="fa-IR"/>
          <w:color w:val="111111"/>
          <w:sz w:val="28"/>
          <w:szCs w:val="28"/>
          <w:rtl/>
        </w:rPr>
        <w:t xml:space="preserve">بیجن، ق ۱۲ قمری</w:t>
      </w:r>
    </w:p>
    <w:p>
      <w:pPr>
        <w:pStyle w:val="BookText"/>
      </w:pPr>
      <w:r>
        <w:rPr>
          <w:rFonts w:ascii="Times New Roman" w:hAnsi="Times New Roman" w:eastAsia="Times New Roman" w:cs="Times New Roman"/>
          <w:lang w:val="en-US" w:bidi="en-US"/>
          <w:color w:val="111111"/>
          <w:sz w:val="28"/>
          <w:szCs w:val="28"/>
          <w:rtl/>
        </w:rPr>
        <w:t xml:space="preserve">bījan (-18c)</w:t>
      </w:r>
    </w:p>
    <w:p>
      <w:pPr>
        <w:pStyle w:val="BookText"/>
      </w:pPr>
      <w:r>
        <w:rPr>
          <w:rFonts w:ascii="IRNazanin" w:hAnsi="IRNazanin" w:eastAsia="IRNazanin" w:cs="IRNazanin"/>
          <w:lang w:bidi="fa-IR"/>
          <w:color w:val="111111"/>
          <w:sz w:val="28"/>
          <w:szCs w:val="28"/>
          <w:rtl/>
        </w:rPr>
        <w:t xml:space="preserve">تاريخ تأليف: ۱۷ ربیع الاول ۱۱۸۱ق تاریخ صفوی خان؛ به نام رستم خان پسر قراخان و پسرش سلیمان زمان سپهسالار و بیگلر بیگی آذربایجان، از آنچه بیجن بیژن) از زبان خان شنیده بود. در ۳ «فصل» و «خاتمه». بیجن گویا همان نگارنده «تاریخ شاه اسماعیل» باشد.</w:t>
      </w:r>
    </w:p>
    <w:p>
      <w:pPr>
        <w:pStyle w:val="BookText"/>
      </w:pPr>
      <w:r>
        <w:rPr>
          <w:rFonts w:ascii="IRNazanin" w:hAnsi="IRNazanin" w:eastAsia="IRNazanin" w:cs="IRNazanin"/>
          <w:lang w:bidi="fa-IR"/>
          <w:color w:val="111111"/>
          <w:sz w:val="28"/>
          <w:szCs w:val="28"/>
          <w:rtl/>
        </w:rPr>
        <w:t xml:space="preserve">[دنا ۷۰۶/۲ ؛ استوری ۳۱۸/۱ و ۳۰۴ و ۱۲۷۹؛ فهرستواره منزوی ۸۶۵/۲ ]</w:t>
      </w:r>
    </w:p>
    <w:p>
      <w:pPr>
        <w:pStyle w:val="BookText"/>
      </w:pPr>
      <w:r>
        <w:rPr>
          <w:rFonts w:ascii="IRNazanin" w:hAnsi="IRNazanin" w:eastAsia="IRNazanin" w:cs="IRNazanin"/>
          <w:lang w:bidi="fa-IR"/>
          <w:color w:val="111111"/>
          <w:sz w:val="28"/>
          <w:szCs w:val="28"/>
          <w:rtl/>
        </w:rPr>
        <w:t xml:space="preserve">تهران؛ دانشگاه؛ شماره نسخه:۳۹۲۷-ف</w:t>
      </w:r>
    </w:p>
    <w:p>
      <w:pPr>
        <w:pStyle w:val="BookText"/>
      </w:pPr>
      <w:r>
        <w:rPr>
          <w:rFonts w:ascii="IRNazanin" w:hAnsi="IRNazanin" w:eastAsia="IRNazanin" w:cs="IRNazanin"/>
          <w:lang w:bidi="fa-IR"/>
          <w:color w:val="111111"/>
          <w:sz w:val="28"/>
          <w:szCs w:val="28"/>
          <w:rtl/>
        </w:rPr>
        <w:t xml:space="preserve">خط: نستعلیق، کاتب = مؤلف، بی تا، موزه بریتانیا .۷۶۵۵</w:t>
      </w:r>
      <w:r>
        <w:rPr>
          <w:rFonts w:ascii="Times New Roman" w:hAnsi="Times New Roman" w:eastAsia="Times New Roman" w:cs="Times New Roman"/>
          <w:lang w:val="en-US" w:bidi="en-US"/>
          <w:color w:val="111111"/>
          <w:sz w:val="28"/>
          <w:szCs w:val="28"/>
          <w:rtl/>
        </w:rPr>
        <w:t xml:space="preserve">Add</w:t>
      </w:r>
      <w:r>
        <w:rPr>
          <w:rFonts w:ascii="IRNazanin" w:hAnsi="IRNazanin" w:eastAsia="IRNazanin" w:cs="IRNazanin"/>
          <w:lang w:bidi="fa-IR"/>
          <w:color w:val="111111"/>
          <w:sz w:val="28"/>
          <w:szCs w:val="28"/>
          <w:rtl/>
        </w:rPr>
        <w:t xml:space="preserve">؛ در ص ع عبارت «کتاب جلوس شاه صفی» و نام «محمد رحیم بک» با تاریخ ۴ رمضان ۱۱۸۸ و تاریخ ۷ ذیقعده ۱۱۸۸، همچنین عبارت «آقاجعفر خراسانی خانه اش به شماعی خانه حضرت پیوسته» و «سپه سالاری رستم خان ۱۷ شعبان ۱۰۴۰ و شهادت او ۱۰۵۱» [فيلمها ف: ۲-۲۸۳]</w:t>
      </w:r>
    </w:p>
    <w:p>
      <w:pPr>
        <w:pStyle w:val="Heading3"/>
      </w:pPr>
      <w:bookmarkStart w:id="2307" w:name="_Toc1567"/>
      <w:r>
        <w:t>•تاریخ الرسل و الملوک / تاریخ / عربی</w:t>
      </w:r>
      <w:bookmarkEnd w:id="2307"/>
    </w:p>
    <w:p>
      <w:pPr>
        <w:pStyle w:val="BookText"/>
      </w:pPr>
      <w:r>
        <w:rPr>
          <w:rFonts w:ascii="Times New Roman" w:hAnsi="Times New Roman" w:eastAsia="Times New Roman" w:cs="Times New Roman"/>
          <w:lang w:val="en-US" w:bidi="en-US"/>
          <w:color w:val="111111"/>
          <w:sz w:val="28"/>
          <w:szCs w:val="28"/>
          <w:rtl/>
        </w:rPr>
        <w:t xml:space="preserve">tārīx-ur rusul wa-l mulūk</w:t>
      </w:r>
    </w:p>
    <w:p>
      <w:pPr>
        <w:pStyle w:val="BookText"/>
      </w:pPr>
      <w:r>
        <w:rPr>
          <w:rFonts w:ascii="IRNazanin" w:hAnsi="IRNazanin" w:eastAsia="IRNazanin" w:cs="IRNazanin"/>
          <w:lang w:bidi="fa-IR"/>
          <w:color w:val="111111"/>
          <w:sz w:val="28"/>
          <w:szCs w:val="28"/>
          <w:rtl/>
        </w:rPr>
        <w:t xml:space="preserve">طبری، محمد بن جریر، ۲۲۴؟ -۳۱۰ قمری</w:t>
      </w:r>
    </w:p>
    <w:p>
      <w:pPr>
        <w:pStyle w:val="BookText"/>
      </w:pPr>
      <w:r>
        <w:rPr>
          <w:rFonts w:ascii="Times New Roman" w:hAnsi="Times New Roman" w:eastAsia="Times New Roman" w:cs="Times New Roman"/>
          <w:lang w:val="en-US" w:bidi="en-US"/>
          <w:color w:val="111111"/>
          <w:sz w:val="28"/>
          <w:szCs w:val="28"/>
          <w:rtl/>
        </w:rPr>
        <w:t xml:space="preserve">tabarī, mohammad ebn-e jarīr (840-923)</w:t>
      </w:r>
    </w:p>
    <w:p>
      <w:pPr>
        <w:pStyle w:val="BookText"/>
      </w:pPr>
      <w:r>
        <w:rPr>
          <w:rFonts w:ascii="IRNazanin" w:hAnsi="IRNazanin" w:eastAsia="IRNazanin" w:cs="IRNazanin"/>
          <w:lang w:bidi="fa-IR"/>
          <w:color w:val="111111"/>
          <w:sz w:val="28"/>
          <w:szCs w:val="28"/>
          <w:rtl/>
        </w:rPr>
        <w:t xml:space="preserve">نمونه: ثم دخئت سنة ثلث و ثلثين في هذه السنة كانت عزاه معاویه حصن المراء من ارض الروم بناحيه ملطبة و فيها كانت غزاه عبدالله بن سعد. چاپ: قاهره، دار المعارف، ۱۹۶۰، اعاد نشره: محمد ابوالفضل ابراهیم،</w:t>
      </w:r>
    </w:p>
    <w:p>
      <w:pPr>
        <w:pStyle w:val="BookText"/>
      </w:pPr>
      <w:r>
        <w:rPr>
          <w:rFonts w:ascii="IRNazanin" w:hAnsi="IRNazanin" w:eastAsia="IRNazanin" w:cs="IRNazanin"/>
          <w:lang w:bidi="fa-IR"/>
          <w:color w:val="111111"/>
          <w:sz w:val="28"/>
          <w:szCs w:val="28"/>
          <w:rtl/>
        </w:rPr>
        <w:t xml:space="preserve">تهران، دانشگاه؛ شماره نسخه:۵۵۰۳ف</w:t>
      </w:r>
    </w:p>
    <w:p>
      <w:pPr>
        <w:pStyle w:val="BookText"/>
      </w:pPr>
      <w:r>
        <w:rPr>
          <w:rFonts w:ascii="IRNazanin" w:hAnsi="IRNazanin" w:eastAsia="IRNazanin" w:cs="IRNazanin"/>
          <w:lang w:bidi="fa-IR"/>
          <w:color w:val="111111"/>
          <w:sz w:val="28"/>
          <w:szCs w:val="28"/>
          <w:rtl/>
        </w:rPr>
        <w:t xml:space="preserve">آغاز: بسمله ذكر قصة صاحب شعیا مین ملوک بنی اسرائیل و سنحاريب ... ذکر من كان على ثغر العرب من ملوک الحيرة عمر بن هند ... يتلوه في الذي بعد ذكر نسب رسول الله و ذكر بعض اخبار آبائه و اجداده با عبارت» قال أبو جعفر در جای جای آن؛ بی کا، بی تا</w:t>
      </w:r>
    </w:p>
    <w:p>
      <w:pPr>
        <w:pStyle w:val="BookText"/>
      </w:pPr>
      <w:r>
        <w:rPr>
          <w:rFonts w:ascii="IRNazanin" w:hAnsi="IRNazanin" w:eastAsia="IRNazanin" w:cs="IRNazanin"/>
          <w:lang w:bidi="fa-IR"/>
          <w:color w:val="111111"/>
          <w:sz w:val="28"/>
          <w:szCs w:val="28"/>
          <w:rtl/>
        </w:rPr>
        <w:t xml:space="preserve">[فیلمها ف: ۳-۱۶۳]</w:t>
      </w:r>
    </w:p>
    <w:p>
      <w:pPr>
        <w:pStyle w:val="BookText"/>
      </w:pPr>
      <w:r>
        <w:rPr>
          <w:rFonts w:ascii="IRNazanin" w:hAnsi="IRNazanin" w:eastAsia="IRNazanin" w:cs="IRNazanin"/>
          <w:lang w:bidi="fa-IR"/>
          <w:color w:val="111111"/>
          <w:sz w:val="28"/>
          <w:szCs w:val="28"/>
          <w:rtl/>
        </w:rPr>
        <w:t xml:space="preserve">← تاریخ رشیدی ← تاریخ محمدی</w:t>
      </w:r>
    </w:p>
    <w:p>
      <w:pPr>
        <w:pStyle w:val="Heading3"/>
      </w:pPr>
      <w:bookmarkStart w:id="2308" w:name="_Toc1568"/>
      <w:r>
        <w:t>• تاریخ رشیدی (ترجمه) / تاریخ ایران / فارسی</w:t>
      </w:r>
      <w:bookmarkEnd w:id="2308"/>
    </w:p>
    <w:p>
      <w:pPr>
        <w:pStyle w:val="BookText"/>
      </w:pPr>
      <w:r>
        <w:rPr>
          <w:rFonts w:ascii="Times New Roman" w:hAnsi="Times New Roman" w:eastAsia="Times New Roman" w:cs="Times New Roman"/>
          <w:lang w:val="en-US" w:bidi="en-US"/>
          <w:color w:val="111111"/>
          <w:sz w:val="28"/>
          <w:szCs w:val="28"/>
          <w:rtl/>
        </w:rPr>
        <w:t xml:space="preserve">tārīx-e rashidi (t.)</w:t>
      </w:r>
    </w:p>
    <w:p>
      <w:pPr>
        <w:pStyle w:val="BookText"/>
      </w:pPr>
      <w:r>
        <w:rPr>
          <w:rFonts w:ascii="IRNazanin" w:hAnsi="IRNazanin" w:eastAsia="IRNazanin" w:cs="IRNazanin"/>
          <w:lang w:bidi="fa-IR"/>
          <w:color w:val="111111"/>
          <w:sz w:val="28"/>
          <w:szCs w:val="28"/>
          <w:rtl/>
        </w:rPr>
        <w:t xml:space="preserve">گورکان، محمد حیدر بن محمد، ۹۰۵-۹۵۸ قمری</w:t>
      </w:r>
    </w:p>
    <w:p>
      <w:pPr>
        <w:pStyle w:val="BookText"/>
      </w:pPr>
      <w:r>
        <w:rPr>
          <w:rFonts w:ascii="Times New Roman" w:hAnsi="Times New Roman" w:eastAsia="Times New Roman" w:cs="Times New Roman"/>
          <w:lang w:val="en-US" w:bidi="en-US"/>
          <w:color w:val="111111"/>
          <w:sz w:val="28"/>
          <w:szCs w:val="28"/>
          <w:rtl/>
        </w:rPr>
        <w:t xml:space="preserve">gūrkān, mohammad heydar ebn-e mohammad (1500 1551)</w:t>
      </w:r>
    </w:p>
    <w:p>
      <w:pPr>
        <w:pStyle w:val="BookText"/>
      </w:pPr>
      <w:r>
        <w:rPr>
          <w:rFonts w:ascii="IRNazanin" w:hAnsi="IRNazanin" w:eastAsia="IRNazanin" w:cs="IRNazanin"/>
          <w:lang w:bidi="fa-IR"/>
          <w:color w:val="111111"/>
          <w:sz w:val="28"/>
          <w:szCs w:val="28"/>
          <w:rtl/>
        </w:rPr>
        <w:t xml:space="preserve">مترجم: سر تیپ ، میرزا احمد خان -۱۳۱۵ قمری</w:t>
      </w:r>
    </w:p>
    <w:p>
      <w:pPr>
        <w:pStyle w:val="BookText"/>
      </w:pPr>
      <w:r>
        <w:rPr>
          <w:rFonts w:ascii="IRNazanin" w:hAnsi="IRNazanin" w:eastAsia="IRNazanin" w:cs="IRNazanin"/>
          <w:lang w:bidi="fa-IR"/>
          <w:color w:val="111111"/>
          <w:sz w:val="28"/>
          <w:szCs w:val="28"/>
          <w:rtl/>
        </w:rPr>
        <w:t xml:space="preserve">اهدا به: عبدالرشید خان پسر ابوالفتح سلطان سعید خان تاریخ مغولستان و کاشغر است از روزگار تغلق تیمور (۷۴۸ ۷۶۴ق) تا بابر (۹۳۳-۹۳۷ق). در اصل «بابرنامه» است که آن را تحریر تازه کرده و بر آن افزوده. زندگی نامه دانشمندان و سرایندگان و موسیقیدانان و مذهبان را نیز دارد. بر اساس آنچه در آغاز نسخه شماره ۸۰۴۳ مجلس شورا آمده اصل این کتاب به فارسی و بعضا ترکی بوده که توسط مستر الیاس با همکاری مستر راس به انگلیسی ترجمه و منتشر شده و به جهت کمی نسخه، مجددا با دستور ظل السلطان توسط میرزا احمد خان سرتیپ از انگلیسی به فارسی ترجمه می شود. نسخه های داخل ایران اکثرا ترجمه از انگلیسی است. آغاز: دیباچه مترجم: بسمله و به نستعين بعد الحمد و الصلوة، این کتاب مستطاب ابتدا به لسان فارسی و ترکی نگاشته شده بواسطه مرور دهور نسخه آن بکلی در صفحات ایران و ترکستان معدوم و مفقود الاثر می شود. سپس از روی یک نسخه که در کتاب خانه دولتی انگلیس ضبط بود مستر الیاس، جنرال قونسول دولت معظم اليها، مقيم خراسان و سیستان از دولت متبوعه خود تحصیل اجازه نموده به معاونت و دستیاری مستر دنیزن راس که از دانشمندان معروف است آن را از زبان فارسی بزبان انگلیسی ترجمه می نماید و در سال ۱۸۹۵ میلادی بحليه طبع میرسد.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472" w:name="pg20363_209780"/>
    <w:bookmarkEnd w:id="472"/>
    <w:p>
      <w:pPr>
        <w:pStyle w:val="BookText"/>
      </w:pPr>
      <w:r>
        <w:rPr>
          <w:rFonts w:ascii="IRNazanin" w:hAnsi="IRNazanin" w:eastAsia="IRNazanin" w:cs="IRNazanin"/>
          <w:lang w:bidi="fa-IR"/>
          <w:color w:val="111111"/>
          <w:sz w:val="28"/>
          <w:szCs w:val="28"/>
          <w:rtl/>
        </w:rPr>
        <w:t xml:space="preserve">چون تحصیل نسخه فارسی غیر ممکن بود لهذا بر حسب امر وارده سنیه بندگان حضرت مستطاب اشرف اسعد امجد ارفع والا شاهنشاه زاده اعظم افخم «ظل السلطان» روحنا فداه، این چاکر بی مقدار میرزا احمد خان سرتیپ، مترجم مخصوص سرکاری که از خانزادان آستان ملایک پاسبان است با عدم لیاقت و قابلیت، اقدام به ترجمه و تالیف نسخه انگلیسی نموده به لسان ساده فارسی نگارش کرد ترجمه متن: پس از حمد و ستایش حضرت رب العزه، بر رای منیر ارباب خرد و دانش مخفی و پوشیده نیست که یکی از علوم مهمه که تحصيل آن برای بنی نوع انسان فرض و لازمست همانا علم شریف تاریخ می باشد ... لهذا این اقل عباد الله محمد حیدر ابن محمد کورکان با قلت دانش و ... آغاز در فهرستواره منزوی: افتتاح تاریخ جهانداری و ابتدای نامه ظفر و بختیاری ... انجام: ترجمه متن: مولانا یوسف، خطیب کشمیر بملاحظه آنکه این مرتبه دوم بود که برای ما در کشمیر فتح و ظفر دست داده بود «فتح مکرر» را تاریخ این واقعه دانست. از خوانندگان محترم ملتمسیم که از نواقص و خطاهای مسطوره غمض عین فرموده بر نگارنده خورده نگیرند. تمت.</w:t>
      </w:r>
    </w:p>
    <w:p>
      <w:pPr>
        <w:pStyle w:val="BookText"/>
      </w:pPr>
      <w:r>
        <w:rPr>
          <w:rFonts w:ascii="IRNazanin" w:hAnsi="IRNazanin" w:eastAsia="IRNazanin" w:cs="IRNazanin"/>
          <w:lang w:bidi="fa-IR"/>
          <w:color w:val="111111"/>
          <w:sz w:val="28"/>
          <w:szCs w:val="28"/>
          <w:rtl/>
        </w:rPr>
        <w:t xml:space="preserve">چاپ: تاریخ رشیدی، محمد حیدر میرزا دوغلات، تصحیح دکتر عباسقلی غفاری فرد، میراث مکتوب، چاپ اول، ۱۳۸۴، ۱۰۸۰ص</w:t>
      </w:r>
    </w:p>
    <w:p>
      <w:pPr>
        <w:pStyle w:val="BookText"/>
      </w:pPr>
      <w:r>
        <w:rPr>
          <w:rFonts w:ascii="IRNazanin" w:hAnsi="IRNazanin" w:eastAsia="IRNazanin" w:cs="IRNazanin"/>
          <w:lang w:bidi="fa-IR"/>
          <w:color w:val="111111"/>
          <w:sz w:val="28"/>
          <w:szCs w:val="28"/>
          <w:rtl/>
        </w:rPr>
        <w:t xml:space="preserve">[فهرستواره منزوی ۸۶۵/۲ ؛ استوری ۲۷۴/۱ و ۱۲۷۳؛ دنا ۷۰۷/۲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 ۸۶۷۳</w:t>
      </w:r>
    </w:p>
    <w:p>
      <w:pPr>
        <w:pStyle w:val="BookText"/>
      </w:pPr>
      <w:r>
        <w:rPr>
          <w:rFonts w:ascii="IRNazanin" w:hAnsi="IRNazanin" w:eastAsia="IRNazanin" w:cs="IRNazanin"/>
          <w:lang w:bidi="fa-IR"/>
          <w:color w:val="111111"/>
          <w:sz w:val="28"/>
          <w:szCs w:val="28"/>
          <w:rtl/>
        </w:rPr>
        <w:t xml:space="preserve">از میانه کتاب، نخستین عنوان «ذکر ملاقات سلطان سعید خان با منصورخان بار دویم» بازیسین عنوان «ذکر توجه مؤلف کتاب از تبت به جانب بدخشان» در میانه آمده (۱۳ب) «فرار نمودن پدرم محمد حسین گور كان انارالله برهانه از پیش شاهی بی خان به خراسان و تذکره چند» سرگذشت هنرمندان را دارد همانها که محمد شفیع در مجله مدرسه خاوری چاپ کرده است و میان برگهای ۱۵ و ۱۶ هم افتاده است؛ خط: نستعلیق، بی کا، تا: قرن ۱۱؛ کاغذ: بخارایی، فاقد جلد، ۳۴گ، ۱۵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۲۰/۵سم [ف: ۱۷-۱۹۱]</w:t>
      </w:r>
    </w:p>
    <w:p>
      <w:pPr>
        <w:pStyle w:val="BookText"/>
      </w:pPr>
      <w:r>
        <w:rPr>
          <w:rFonts w:ascii="IRNazanin" w:hAnsi="IRNazanin" w:eastAsia="IRNazanin" w:cs="IRNazanin"/>
          <w:lang w:bidi="fa-IR"/>
          <w:color w:val="111111"/>
          <w:sz w:val="28"/>
          <w:szCs w:val="28"/>
          <w:rtl/>
        </w:rPr>
        <w:t xml:space="preserve">۲. تهران؛ دانشسرای عالی - کتابخانه میرزا عبدالعظیم خان قریب</w:t>
      </w:r>
    </w:p>
    <w:p>
      <w:pPr>
        <w:pStyle w:val="BookText"/>
      </w:pPr>
      <w:r>
        <w:rPr>
          <w:rFonts w:ascii="IRNazanin" w:hAnsi="IRNazanin" w:eastAsia="IRNazanin" w:cs="IRNazanin"/>
          <w:lang w:bidi="fa-IR"/>
          <w:color w:val="111111"/>
          <w:sz w:val="28"/>
          <w:szCs w:val="28"/>
          <w:rtl/>
        </w:rPr>
        <w:t xml:space="preserve">گرکانی؛ شماره نسخه:۳۳</w:t>
      </w:r>
    </w:p>
    <w:p>
      <w:pPr>
        <w:pStyle w:val="BookText"/>
      </w:pPr>
      <w:r>
        <w:rPr>
          <w:rFonts w:ascii="IRNazanin" w:hAnsi="IRNazanin" w:eastAsia="IRNazanin" w:cs="IRNazanin"/>
          <w:lang w:bidi="fa-IR"/>
          <w:color w:val="111111"/>
          <w:sz w:val="28"/>
          <w:szCs w:val="28"/>
          <w:rtl/>
        </w:rPr>
        <w:t xml:space="preserve">خط: نستعلیق، بی کا، تا: قرن ۱۲؛ افتادگی: آغاز و انجام؛ قطع: ربعی[ نشریه: ۵-۶۲۰]</w:t>
      </w:r>
    </w:p>
    <w:p>
      <w:pPr>
        <w:pStyle w:val="BookText"/>
      </w:pPr>
      <w:r>
        <w:rPr>
          <w:rFonts w:ascii="IRNazanin" w:hAnsi="IRNazanin" w:eastAsia="IRNazanin" w:cs="IRNazanin"/>
          <w:lang w:bidi="fa-IR"/>
          <w:color w:val="111111"/>
          <w:sz w:val="28"/>
          <w:szCs w:val="28"/>
          <w:rtl/>
        </w:rPr>
        <w:t xml:space="preserve">تهران، دانشگاه؛ شماره نسخه:۳۲۱۸-ف</w:t>
      </w:r>
    </w:p>
    <w:p>
      <w:pPr>
        <w:pStyle w:val="BookText"/>
      </w:pPr>
      <w:r>
        <w:rPr>
          <w:rFonts w:ascii="Amiri" w:hAnsi="Amiri" w:eastAsia="Amiri" w:cs="Amiri"/>
          <w:lang w:bidi="ar-SA"/>
          <w:color w:val="111111"/>
          <w:sz w:val="28"/>
          <w:szCs w:val="28"/>
          <w:rtl/>
        </w:rPr>
        <w:t xml:space="preserve">نسخه اصل: همان نسخه بالا [فيلمها ف: ۲-۱۰۲]</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مرکز فرهنگی خراسان؛ شماره نسخه: ۴۳عکسی</w:t>
      </w:r>
    </w:p>
    <w:p>
      <w:pPr>
        <w:pStyle w:val="BookText"/>
      </w:pPr>
      <w:r>
        <w:rPr>
          <w:rFonts w:ascii="IRNazanin" w:hAnsi="IRNazanin" w:eastAsia="IRNazanin" w:cs="IRNazanin"/>
          <w:lang w:bidi="fa-IR"/>
          <w:color w:val="111111"/>
          <w:sz w:val="28"/>
          <w:szCs w:val="28"/>
          <w:rtl/>
        </w:rPr>
        <w:t xml:space="preserve">جزء سوم کتاب، شامل گروهی از عرفا، ادبا، امرا و کلماتی از</w:t>
      </w:r>
    </w:p>
    <w:p>
      <w:pPr>
        <w:pStyle w:val="BookText"/>
      </w:pPr>
      <w:r>
        <w:rPr>
          <w:rFonts w:ascii="IRNazanin" w:hAnsi="IRNazanin" w:eastAsia="IRNazanin" w:cs="IRNazanin"/>
          <w:lang w:bidi="fa-IR"/>
          <w:color w:val="111111"/>
          <w:sz w:val="28"/>
          <w:szCs w:val="28"/>
          <w:rtl/>
        </w:rPr>
        <w:t xml:space="preserve">آنان؛ كا: بهاء الدين، تا: ۱۲۷۲ق؛ ۵۶گ [جنگ: ۱-۴۴۶]</w:t>
      </w:r>
    </w:p>
    <w:p>
      <w:pPr>
        <w:pStyle w:val="BookText"/>
      </w:pPr>
      <w:r>
        <w:rPr>
          <w:rFonts w:ascii="IRNazanin" w:hAnsi="IRNazanin" w:eastAsia="IRNazanin" w:cs="IRNazanin"/>
          <w:lang w:bidi="fa-IR"/>
          <w:color w:val="111111"/>
          <w:sz w:val="28"/>
          <w:szCs w:val="28"/>
          <w:rtl/>
        </w:rPr>
        <w:t xml:space="preserve">۴. اصفهان؛ صارم الدوله (کتابخانه فرهنگ اصفهان)؛ شماره نسخه:۹۰۹</w:t>
      </w:r>
    </w:p>
    <w:p>
      <w:pPr>
        <w:pStyle w:val="BookText"/>
      </w:pPr>
      <w:r>
        <w:rPr>
          <w:rFonts w:ascii="IRNazanin" w:hAnsi="IRNazanin" w:eastAsia="IRNazanin" w:cs="IRNazanin"/>
          <w:lang w:bidi="fa-IR"/>
          <w:color w:val="111111"/>
          <w:sz w:val="28"/>
          <w:szCs w:val="28"/>
          <w:rtl/>
        </w:rPr>
        <w:t xml:space="preserve">آغاز: برابر؛ انجام: فراونه به لغت قدیم مغول به معنای تیرانداز است و بمعنی شکم پرست هم آمده از توجيهات مهمه آنکه این طایفه هم اکنون وجود دارند</w:t>
      </w:r>
    </w:p>
    <w:p>
      <w:pPr>
        <w:pStyle w:val="BookText"/>
      </w:pPr>
      <w:r>
        <w:rPr>
          <w:rFonts w:ascii="IRNazanin" w:hAnsi="IRNazanin" w:eastAsia="IRNazanin" w:cs="IRNazanin"/>
          <w:lang w:bidi="fa-IR"/>
          <w:color w:val="111111"/>
          <w:sz w:val="28"/>
          <w:szCs w:val="28"/>
          <w:rtl/>
        </w:rPr>
        <w:t xml:space="preserve">خط: نسخ، كا: عنایت الله اصفهانی، تا: سه شنبه ۲۹ شعبان ۱۳۲۲ق؛ کاغذ: فرنگی نخودی، ۴۳۵ص، ۲۱سطر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۴۵]</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مجلس؛ شماره نسخه: ۸۰۴۳/۱</w:t>
      </w:r>
    </w:p>
    <w:p>
      <w:pPr>
        <w:pStyle w:val="BookText"/>
      </w:pPr>
      <w:r>
        <w:rPr>
          <w:rFonts w:ascii="IRNazanin" w:hAnsi="IRNazanin" w:eastAsia="IRNazanin" w:cs="IRNazanin"/>
          <w:lang w:bidi="fa-IR"/>
          <w:color w:val="111111"/>
          <w:sz w:val="28"/>
          <w:szCs w:val="28"/>
          <w:rtl/>
        </w:rPr>
        <w:t xml:space="preserve">آغاز و انجام: برابر خط: نسخ، كا: سید احمد چالشتری، تا: پنج شنبه ۱۷ ذیقعده ۱۳۴۵ق، مطابق با ۲۸ برج ثور توشقان ئیل؛ ترجمه حاضر از روی ترجمه انگلیسی راس انجام شده که شرح آن را در «آغاز» نقل شده. پس از دیباچه مترجم، فهرست مندرجات آمده و پس از آن ترجمه مقدمه انگلیسی را در حدود پنجاه برگ است و ارزش دارد که جدا نشر نشود. پس از آن، از برگ ۵۸ تا ۲۲۰ ترجمه فارسی متن از روی ترجمه انگلیسی است. بخش آخر، ترجمه لاحقه ای است از «راجرز»، دارای رکابه، در حواشی مطالبی با عنوان «مترجم گوید» آمده که به نظر می رسد آنها را بعدا افزوده است و این شاید نشانگر این باشد که نسخه در محیطی کتابت شده که مترجم نیز در آن حضور داشته و می توانسته بعد این حواشی را بنگارد. نام کتاب در برگ دوم به خط همان کاتب چنین است: «مجلد تاریخ رشیدی در تعریف احوال مغولان آسیای وسطی»؛ جلد: مقوایی با روکش پارچه ای مخمل به رنگ بنفش سیر، ۲۱ سطر، اندازه: ۲۷/۲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۲۰/۴ سم [ف: ۲۷/۱-۸۴]</w:t>
      </w:r>
    </w:p>
    <w:p>
      <w:pPr>
        <w:pStyle w:val="Heading3"/>
      </w:pPr>
      <w:bookmarkStart w:id="2309" w:name="_Toc1569"/>
      <w:r>
        <w:t>•تاریخ رضوی / تاریخ ایران / فارسی</w:t>
      </w:r>
      <w:bookmarkEnd w:id="2309"/>
    </w:p>
    <w:p>
      <w:pPr>
        <w:pStyle w:val="BookText"/>
      </w:pPr>
      <w:r>
        <w:rPr>
          <w:rFonts w:ascii="Times New Roman" w:hAnsi="Times New Roman" w:eastAsia="Times New Roman" w:cs="Times New Roman"/>
          <w:lang w:val="en-US" w:bidi="en-US"/>
          <w:color w:val="111111"/>
          <w:sz w:val="28"/>
          <w:szCs w:val="28"/>
          <w:rtl/>
        </w:rPr>
        <w:t xml:space="preserve">tārīx-e razavī</w:t>
      </w:r>
    </w:p>
    <w:p>
      <w:pPr>
        <w:pStyle w:val="BookText"/>
      </w:pPr>
      <w:r>
        <w:rPr>
          <w:rFonts w:ascii="IRNazanin" w:hAnsi="IRNazanin" w:eastAsia="IRNazanin" w:cs="IRNazanin"/>
          <w:lang w:bidi="fa-IR"/>
          <w:color w:val="111111"/>
          <w:sz w:val="28"/>
          <w:szCs w:val="28"/>
          <w:rtl/>
        </w:rPr>
        <w:t xml:space="preserve">میر عوض بن یوسف خان بن احمد، ق ۱۱ قمری</w:t>
      </w:r>
    </w:p>
    <w:p>
      <w:pPr>
        <w:pStyle w:val="BookText"/>
      </w:pPr>
      <w:r>
        <w:rPr>
          <w:rFonts w:ascii="Times New Roman" w:hAnsi="Times New Roman" w:eastAsia="Times New Roman" w:cs="Times New Roman"/>
          <w:lang w:val="en-US" w:bidi="en-US"/>
          <w:color w:val="111111"/>
          <w:sz w:val="28"/>
          <w:szCs w:val="28"/>
          <w:rtl/>
        </w:rPr>
        <w:t xml:space="preserve">mīr-'avaz ebn-e yūsof xān ebn-e ahmad (-170)</w:t>
      </w:r>
    </w:p>
    <w:p>
      <w:pPr>
        <w:pStyle w:val="BookText"/>
      </w:pPr>
      <w:r>
        <w:rPr>
          <w:rFonts w:ascii="IRNazanin" w:hAnsi="IRNazanin" w:eastAsia="IRNazanin" w:cs="IRNazanin"/>
          <w:lang w:bidi="fa-IR"/>
          <w:color w:val="111111"/>
          <w:sz w:val="28"/>
          <w:szCs w:val="28"/>
          <w:rtl/>
        </w:rPr>
        <w:t xml:space="preserve">تاریخ خاندان خود اوست به ترتیب سنواتی. نگارنده در دیباچه بلند خود آغاز می کند از زایش میرزا یوسف خان در ۱۳۰ ق در مشهد خراسان، و این که در ۳۲ (چنین در ۹۶۸ق (چنین) پدرش میرزا احمد درمی گذرد. در این هنگام زیستن وی در مشهد دشوار شده به قصبه «اخلوبد» (اخلوبد، دهی ست در راه مشهد - قوچان. معین) پناه می برد، دلتنگی رفع نشده به سفر هندوستان می پردازد و در ملتان که آن روز در حکومت قاسم خان نیشاپوری بود فرود می آید. در ۱۲ شعبان ۹۶۸ق به قريب دارالخلافه می رسد. اکبر به پیشواز او می فرستد و از آنجا فتوحات میرزا یوسف آغاز می گردد. نام نگارنده که تبار خود را به موسی مبرقع و حضرت جواد می رساند، در دیباچه آمده است. همانجا دو بار از کتاب به «شکرف نامه» تعبیر می کند ولی خود آن را صراحتا «تاریخ رضوی» می نامد. در ص ۶۷۶ از درویش محمد امن آبادی (نک: قامع الأمراض؛ طب اورنگی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473" w:name="pg20363_209781"/>
    <w:bookmarkEnd w:id="473"/>
    <w:p>
      <w:pPr>
        <w:pStyle w:val="BookText"/>
      </w:pPr>
      <w:r>
        <w:rPr>
          <w:rFonts w:ascii="IRNazanin" w:hAnsi="IRNazanin" w:eastAsia="IRNazanin" w:cs="IRNazanin"/>
          <w:lang w:bidi="fa-IR"/>
          <w:color w:val="111111"/>
          <w:sz w:val="28"/>
          <w:szCs w:val="28"/>
          <w:rtl/>
        </w:rPr>
        <w:t xml:space="preserve">شاهی، مشترک ۶۲۲/۱ ) یاد می کند که کتاب «مفتاح الحكمت» (مشترک ۷۴۰/۱ ) را سروده به وی داه است. در ص ۴۶۴ آمده: « دفتر دوم از تاریخ رضوی در ذکر احوال خير مآل نواب صف شکن خان می پردازیم» و اینجا سفارش پدرش را به نگارش «تایخ رضوی» یاد می کند.</w:t>
      </w:r>
    </w:p>
    <w:p>
      <w:pPr>
        <w:pStyle w:val="BookText"/>
      </w:pPr>
      <w:r>
        <w:rPr>
          <w:rFonts w:ascii="IRNazanin" w:hAnsi="IRNazanin" w:eastAsia="IRNazanin" w:cs="IRNazanin"/>
          <w:lang w:bidi="fa-IR"/>
          <w:color w:val="111111"/>
          <w:sz w:val="28"/>
          <w:szCs w:val="28"/>
          <w:rtl/>
        </w:rPr>
        <w:t xml:space="preserve">آغاز: تاريخ رضوی. بسمله. وله الكبرياء في السماوات و الارض و هو العزيز الحكيم. ابیات: لله الحمد قبل كل کلام به صفات الجلال و الاكرام - حمد او تاج تارک هر سخن است ... (۸۸ سطر بعد): قطعه. سپهر دانش و بینش یگانه اكبر شاه - که همچو صبح بروی جهان گشاده جبین شهی که دیده ز آموزگار دل تعليم -شهی که یافتم از مرشد خرد تلقين. اما بعد، مؤلف این اصول و مصنف این فصول ... میر عوض بن میرزا یوسف خان بن میرزا احمد بن میرزا بیگ.</w:t>
      </w:r>
    </w:p>
    <w:p>
      <w:pPr>
        <w:pStyle w:val="BookText"/>
      </w:pPr>
      <w:r>
        <w:rPr>
          <w:rFonts w:ascii="IRNazanin" w:hAnsi="IRNazanin" w:eastAsia="IRNazanin" w:cs="IRNazanin"/>
          <w:lang w:bidi="fa-IR"/>
          <w:color w:val="111111"/>
          <w:sz w:val="28"/>
          <w:szCs w:val="28"/>
          <w:rtl/>
        </w:rPr>
        <w:t xml:space="preserve">انجام: در این وقت ساجده ماجده قبله و کعبه بیگم آنچه خانم بدیدن راقم تشرف ارزانی فرمودند و بگونه مهربانی و عنایت مراسم طبابت به تقدیم رسانیدند، از آزار و بیماری بنده بسیار دلگیر شدند و در باب طلب حکیم تاکید فرمودند لهذا معتمد نور محمد را روز پنج شنبه برای آوردن حکیم کدا کمبلاسکی جیم فرستاد.</w:t>
      </w:r>
    </w:p>
    <w:p>
      <w:pPr>
        <w:pStyle w:val="BookText"/>
      </w:pPr>
      <w:r>
        <w:rPr>
          <w:rFonts w:ascii="IRNazanin" w:hAnsi="IRNazanin" w:eastAsia="IRNazanin" w:cs="IRNazanin"/>
          <w:lang w:bidi="fa-IR"/>
          <w:color w:val="111111"/>
          <w:sz w:val="28"/>
          <w:szCs w:val="28"/>
          <w:rtl/>
        </w:rPr>
        <w:t xml:space="preserve">[ دنا ۷۰۷/۲ ]</w:t>
      </w:r>
    </w:p>
    <w:p>
      <w:pPr>
        <w:pStyle w:val="BookText"/>
      </w:pPr>
      <w:r>
        <w:rPr>
          <w:rFonts w:ascii="IRNazanin" w:hAnsi="IRNazanin" w:eastAsia="IRNazanin" w:cs="IRNazanin"/>
          <w:lang w:bidi="fa-IR"/>
          <w:color w:val="111111"/>
          <w:sz w:val="28"/>
          <w:szCs w:val="28"/>
          <w:rtl/>
        </w:rPr>
        <w:t xml:space="preserve">تهران؛ دائرة المعارف؛ شماره نسخه:۲۰۵۵- 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نسخه از زایش میرزا یوسف خان و مرگ پدرش و کوچ او به هندوستان آغاز می شود و به جنگ های دارا شکوه و غره محرم ۱۰۶۹ق و بیماری نگارنده می رسد، و بی انجامه ای به پایان می رسد؛ خط: نستعلیق شکسته، بی کا، تا: قرن ۱۱؛ چند صفحه پایانی با دستی لرزان نوشته شده، با خط خوردگیها که می تواند نسخه به خامه نگارنده و از روزهای واپسین او باشد، یادداشت هایی از ۱۱۵۳ و غره رجب ۱۲۲۹ق؛ ۶۹۸ص (۱-۶۹۸)، ۲۲سطر(۱۲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 عکسی ف: ۱-۵۷]</w:t>
      </w:r>
    </w:p>
    <w:p>
      <w:pPr>
        <w:pStyle w:val="Heading3"/>
      </w:pPr>
      <w:bookmarkStart w:id="2310" w:name="_Toc1570"/>
      <w:r>
        <w:t>•تاریخ رفعتی / تاریخ جهان / فارسی</w:t>
      </w:r>
      <w:bookmarkEnd w:id="2310"/>
    </w:p>
    <w:p>
      <w:pPr>
        <w:pStyle w:val="BookText"/>
      </w:pPr>
      <w:r>
        <w:rPr>
          <w:rFonts w:ascii="Times New Roman" w:hAnsi="Times New Roman" w:eastAsia="Times New Roman" w:cs="Times New Roman"/>
          <w:lang w:val="en-US" w:bidi="en-US"/>
          <w:color w:val="111111"/>
          <w:sz w:val="28"/>
          <w:szCs w:val="28"/>
          <w:rtl/>
        </w:rPr>
        <w:t xml:space="preserve">tārīx-e raffati</w:t>
      </w:r>
    </w:p>
    <w:p>
      <w:pPr>
        <w:pStyle w:val="BookText"/>
      </w:pPr>
      <w:r>
        <w:rPr>
          <w:rFonts w:ascii="IRNazanin" w:hAnsi="IRNazanin" w:eastAsia="IRNazanin" w:cs="IRNazanin"/>
          <w:lang w:bidi="fa-IR"/>
          <w:color w:val="111111"/>
          <w:sz w:val="28"/>
          <w:szCs w:val="28"/>
          <w:rtl/>
        </w:rPr>
        <w:t xml:space="preserve">افشار، يوسف بن خداداد، ق۱۴ قمری</w:t>
      </w:r>
    </w:p>
    <w:p>
      <w:pPr>
        <w:pStyle w:val="BookText"/>
      </w:pPr>
      <w:r>
        <w:rPr>
          <w:rFonts w:ascii="Times New Roman" w:hAnsi="Times New Roman" w:eastAsia="Times New Roman" w:cs="Times New Roman"/>
          <w:lang w:val="en-US" w:bidi="en-US"/>
          <w:color w:val="111111"/>
          <w:sz w:val="28"/>
          <w:szCs w:val="28"/>
          <w:rtl/>
        </w:rPr>
        <w:t xml:space="preserve">afšār, yūsof ebn-e xodādād (-20c)</w:t>
      </w:r>
    </w:p>
    <w:p>
      <w:pPr>
        <w:pStyle w:val="BookText"/>
      </w:pPr>
      <w:r>
        <w:rPr>
          <w:rFonts w:ascii="IRNazanin" w:hAnsi="IRNazanin" w:eastAsia="IRNazanin" w:cs="IRNazanin"/>
          <w:lang w:bidi="fa-IR"/>
          <w:color w:val="111111"/>
          <w:sz w:val="28"/>
          <w:szCs w:val="28"/>
          <w:rtl/>
        </w:rPr>
        <w:t xml:space="preserve">تاریخ و جغرافیای مختصر جهان است با انشایی زیبا و روان در ۱۴ «باب» که هر باب به اقتضای مقام دارای چند فصل است با تطبيق تواریخ هجری قمری با تواریخ میلادی، و به سال ۱۳۲۰ بدان اشتغال داشته است. فهرست ابواب کتاب: ۱. حکمت عملیه و سیاست مدنيه و اندرز پادشاهان ایران؛ ۲. جغرافيا و شناسائی سطح کره زمین؛ ۳. حالات پادشاهان ایران؛ ۴. ذکر ممالک فرنگ؛ ۵. اسامی ملوک و رؤساء تمام کره زمین؛ ۶. حالات</w:t>
      </w:r>
    </w:p>
    <w:p>
      <w:pPr>
        <w:pStyle w:val="BookText"/>
      </w:pPr>
      <w:r>
        <w:rPr>
          <w:rFonts w:ascii="IRNazanin" w:hAnsi="IRNazanin" w:eastAsia="IRNazanin" w:cs="IRNazanin"/>
          <w:lang w:bidi="fa-IR"/>
          <w:color w:val="111111"/>
          <w:sz w:val="28"/>
          <w:szCs w:val="28"/>
          <w:rtl/>
        </w:rPr>
        <w:t xml:space="preserve">سکندر و سایر قیاصر روم؛ 7. حالات بعضی از مردان کاردان جهان؛ ۸ شرح اکشاف ینگی دنیا؛ ۹. حوادث غريبه عالم؛ ۱۰. شرح مملک ژاپون و تعریف پادشاهان آنجا؛ ۱۱. ذكر پادشاهان ایران؛ ۱۲. شرح حالات بعضی از نسوان بزرگ؛ ۱۳. شرح انکشاف قطب شمال؛ ۱۴. حالات اساتید خط اساتید خط و مکاتیب سلاطين. آغاز: حمد بیحد مالک الملکی را سزد که شاه باز بلند پرواز اندیشه بساحت فضای کبریائی او طيران نتوان نمود انجام: و با قباد ساسانی و انوشیروان معاصر بود و در پانصد و شصت و پنج وفات یافت</w:t>
      </w:r>
    </w:p>
    <w:p>
      <w:pPr>
        <w:pStyle w:val="BookText"/>
      </w:pPr>
      <w:r>
        <w:rPr>
          <w:rFonts w:ascii="IRNazanin" w:hAnsi="IRNazanin" w:eastAsia="IRNazanin" w:cs="IRNazanin"/>
          <w:lang w:bidi="fa-IR"/>
          <w:color w:val="111111"/>
          <w:sz w:val="28"/>
          <w:szCs w:val="28"/>
          <w:rtl/>
        </w:rPr>
        <w:t xml:space="preserve">[فهرستواره منزوی ۵۷۶/۱ ]</w:t>
      </w:r>
    </w:p>
    <w:p>
      <w:pPr>
        <w:pStyle w:val="BookText"/>
      </w:pPr>
      <w:r>
        <w:rPr>
          <w:rFonts w:ascii="IRNazanin" w:hAnsi="IRNazanin" w:eastAsia="IRNazanin" w:cs="IRNazanin"/>
          <w:lang w:bidi="fa-IR"/>
          <w:color w:val="111111"/>
          <w:sz w:val="28"/>
          <w:szCs w:val="28"/>
          <w:rtl/>
        </w:rPr>
        <w:t xml:space="preserve">قم؛ مرعشی؛ شماره نسخه:۳۲۷۷</w:t>
      </w:r>
    </w:p>
    <w:p>
      <w:pPr>
        <w:pStyle w:val="BookText"/>
      </w:pPr>
      <w:r>
        <w:rPr>
          <w:rFonts w:ascii="IRNazanin" w:hAnsi="IRNazanin" w:eastAsia="IRNazanin" w:cs="IRNazanin"/>
          <w:lang w:bidi="fa-IR"/>
          <w:color w:val="111111"/>
          <w:sz w:val="28"/>
          <w:szCs w:val="28"/>
          <w:rtl/>
        </w:rPr>
        <w:t xml:space="preserve">آغاز و انجام: برابر خط: نستعليق نازیبا، کاتب = مؤلف (شاید)، بی تا؛ مصحح، شخصی کتاب را خوانده و چند یادداشت در آغاز نسخه نوشته؛ جلد: تیماج قرمز، ۱۸۰ گ، ۱۸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۹-۶۲]</w:t>
      </w:r>
    </w:p>
    <w:p>
      <w:pPr>
        <w:pStyle w:val="Heading3"/>
      </w:pPr>
      <w:bookmarkStart w:id="2311" w:name="_Toc1571"/>
      <w:r>
        <w:t>•تاريخ الرقة / تاریخ عربی</w:t>
      </w:r>
      <w:bookmarkEnd w:id="2311"/>
    </w:p>
    <w:p>
      <w:pPr>
        <w:pStyle w:val="BookText"/>
      </w:pPr>
      <w:r>
        <w:rPr>
          <w:rFonts w:ascii="Times New Roman" w:hAnsi="Times New Roman" w:eastAsia="Times New Roman" w:cs="Times New Roman"/>
          <w:lang w:val="en-US" w:bidi="en-US"/>
          <w:color w:val="111111"/>
          <w:sz w:val="28"/>
          <w:szCs w:val="28"/>
          <w:rtl/>
        </w:rPr>
        <w:t xml:space="preserve">tārīx-ur raqqa 1x-u</w:t>
      </w:r>
    </w:p>
    <w:p>
      <w:pPr>
        <w:pStyle w:val="BookText"/>
      </w:pPr>
      <w:r>
        <w:rPr>
          <w:rFonts w:ascii="IRNazanin" w:hAnsi="IRNazanin" w:eastAsia="IRNazanin" w:cs="IRNazanin"/>
          <w:lang w:bidi="fa-IR"/>
          <w:color w:val="111111"/>
          <w:sz w:val="28"/>
          <w:szCs w:val="28"/>
          <w:rtl/>
        </w:rPr>
        <w:t xml:space="preserve">قشیری، محمد بن سعيد، -۳۳۴ قمری</w:t>
      </w:r>
    </w:p>
    <w:p>
      <w:pPr>
        <w:pStyle w:val="BookText"/>
      </w:pPr>
      <w:r>
        <w:rPr>
          <w:rFonts w:ascii="Times New Roman" w:hAnsi="Times New Roman" w:eastAsia="Times New Roman" w:cs="Times New Roman"/>
          <w:lang w:val="en-US" w:bidi="en-US"/>
          <w:color w:val="111111"/>
          <w:sz w:val="28"/>
          <w:szCs w:val="28"/>
          <w:rtl/>
        </w:rPr>
        <w:t xml:space="preserve">qošayrī, mohammad ebn-e sa‘īd (-946)</w:t>
      </w:r>
    </w:p>
    <w:p>
      <w:pPr>
        <w:pStyle w:val="BookText"/>
      </w:pPr>
      <w:r>
        <w:rPr>
          <w:rFonts w:ascii="IRNazanin" w:hAnsi="IRNazanin" w:eastAsia="IRNazanin" w:cs="IRNazanin"/>
          <w:lang w:bidi="fa-IR"/>
          <w:color w:val="111111"/>
          <w:sz w:val="28"/>
          <w:szCs w:val="28"/>
          <w:rtl/>
        </w:rPr>
        <w:t xml:space="preserve">تاریخ مختصری است از شهر رقه و کسانی که از اصحاب رسول خدا (ص) و تابعین و فقهاء و محدثین در آنجا زیسته اند، مؤلف آنها را در سه جزء جمع آوری نموده و ابو احمد محمد بن عبدالله بن احمد بن قاسم بن جامع دهان آن را از قشیری روایت نموده است.</w:t>
      </w:r>
    </w:p>
    <w:p>
      <w:pPr>
        <w:pStyle w:val="BookText"/>
      </w:pPr>
      <w:r>
        <w:rPr>
          <w:rFonts w:ascii="IRNazanin" w:hAnsi="IRNazanin" w:eastAsia="IRNazanin" w:cs="IRNazanin"/>
          <w:lang w:bidi="fa-IR"/>
          <w:color w:val="111111"/>
          <w:sz w:val="28"/>
          <w:szCs w:val="28"/>
          <w:rtl/>
        </w:rPr>
        <w:t xml:space="preserve">چاپ: سورية، طبع بحماة، ۱۹۶۰م، نشره: طاهر النعسانی [کشف الظنون ۲۹۵/۱ ]</w:t>
      </w:r>
    </w:p>
    <w:p>
      <w:pPr>
        <w:pStyle w:val="BookText"/>
      </w:pPr>
      <w:r>
        <w:rPr>
          <w:rFonts w:ascii="IRNazanin" w:hAnsi="IRNazanin" w:eastAsia="IRNazanin" w:cs="IRNazanin"/>
          <w:lang w:bidi="fa-IR"/>
          <w:color w:val="111111"/>
          <w:sz w:val="28"/>
          <w:szCs w:val="28"/>
          <w:rtl/>
        </w:rPr>
        <w:t xml:space="preserve">قم؛ مرکز احیاء؛ شماره نسخه: ۶۱۲/۱</w:t>
      </w:r>
    </w:p>
    <w:p>
      <w:pPr>
        <w:pStyle w:val="BookText"/>
      </w:pPr>
      <w:r>
        <w:rPr>
          <w:rFonts w:ascii="IRNazanin" w:hAnsi="IRNazanin" w:eastAsia="IRNazanin" w:cs="IRNazanin"/>
          <w:lang w:bidi="fa-IR"/>
          <w:color w:val="111111"/>
          <w:sz w:val="28"/>
          <w:szCs w:val="28"/>
          <w:rtl/>
        </w:rPr>
        <w:t xml:space="preserve">آغاز: أخبرنا الشيخ الجليل ... الأصل بدرالدین احمد ... بن يوسف بن هبة الدين نسخه اصل: کتابخانه دار الكتب الظاهرية (مدرسه عمریه)، دمشق ۳۷۷۱؛ كا: محمد بن داود، بی تا؛ با سماعی از وی، در ابتدای هر رساله نام آن و مؤلف و کسانی که از مؤلف روایت کرده اند آمده، ابتدای هر جزء از رساله اول علامت سماعی از «احمد بن محمد بن ...» که کتاب را نزد «بدرالدین ابوالقاسم عبدالرحيم بن یوسف دمشقی» به همراهی کاتب در سال ۶۳۱ خوانده، و نیز صورت سماع «ابوطاهر احمد بن محمد بن احمد سلفی اصفهانی» در سال ۵۷۳ در اسکندریه و نیز سماعی به سال ۷۱۹ مندرج است؛ ۸۰گ (۲-۸۱) [عکسی ف: ۲-۲۲۰]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474" w:name="pg20363_209782"/>
    <w:bookmarkEnd w:id="474"/>
    <w:p>
      <w:pPr>
        <w:pStyle w:val="Heading3"/>
      </w:pPr>
      <w:bookmarkStart w:id="2312" w:name="_Toc1572"/>
      <w:r>
        <w:t>•تاریخ رم / تاریخ / فارسی</w:t>
      </w:r>
      <w:bookmarkEnd w:id="2312"/>
    </w:p>
    <w:p>
      <w:pPr>
        <w:pStyle w:val="BookText"/>
      </w:pPr>
      <w:r>
        <w:rPr>
          <w:rFonts w:ascii="Times New Roman" w:hAnsi="Times New Roman" w:eastAsia="Times New Roman" w:cs="Times New Roman"/>
          <w:lang w:val="en-US" w:bidi="en-US"/>
          <w:color w:val="111111"/>
          <w:sz w:val="28"/>
          <w:szCs w:val="28"/>
          <w:rtl/>
        </w:rPr>
        <w:t xml:space="preserve">tārīx-e rom</w:t>
      </w:r>
    </w:p>
    <w:p>
      <w:pPr>
        <w:pStyle w:val="BookText"/>
      </w:pPr>
      <w:r>
        <w:rPr>
          <w:rFonts w:ascii="IRNazanin" w:hAnsi="IRNazanin" w:eastAsia="IRNazanin" w:cs="IRNazanin"/>
          <w:lang w:bidi="fa-IR"/>
          <w:color w:val="111111"/>
          <w:sz w:val="28"/>
          <w:szCs w:val="28"/>
          <w:rtl/>
        </w:rPr>
        <w:t xml:space="preserve">قم؛ فیضیه؛ شماره نسخه: ۶۴۵/۱</w:t>
      </w:r>
    </w:p>
    <w:p>
      <w:pPr>
        <w:pStyle w:val="BookText"/>
      </w:pPr>
      <w:r>
        <w:rPr>
          <w:rFonts w:ascii="IRNazanin" w:hAnsi="IRNazanin" w:eastAsia="IRNazanin" w:cs="IRNazanin"/>
          <w:lang w:bidi="fa-IR"/>
          <w:color w:val="111111"/>
          <w:sz w:val="28"/>
          <w:szCs w:val="28"/>
          <w:rtl/>
        </w:rPr>
        <w:t xml:space="preserve">آغاز: فصل شانزدهم جنگ دوم پونیک از ۲۱۸ تا ۲۰۱ (پیش از میلاد)؛ انجام: و اثر جزئی که در دولت باقی مانده بود معدوم ساخت. خط: نستعلیق، بی کا، تا: ۱۳۲۴ق؛ افتادگی: آغاز و انجام؛ ۷۰گ، ۱۷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۳-۱۵]</w:t>
      </w:r>
    </w:p>
    <w:p>
      <w:pPr>
        <w:pStyle w:val="Heading3"/>
      </w:pPr>
      <w:bookmarkStart w:id="2313" w:name="_Toc1573"/>
      <w:r>
        <w:t>•تاریخ روابط بین ایران و ونیز / تاریخ / فارسی</w:t>
      </w:r>
      <w:bookmarkEnd w:id="2313"/>
    </w:p>
    <w:p>
      <w:pPr>
        <w:pStyle w:val="BookText"/>
      </w:pPr>
      <w:r>
        <w:rPr>
          <w:rFonts w:ascii="Times New Roman" w:hAnsi="Times New Roman" w:eastAsia="Times New Roman" w:cs="Times New Roman"/>
          <w:lang w:val="en-US" w:bidi="en-US"/>
          <w:color w:val="111111"/>
          <w:sz w:val="28"/>
          <w:szCs w:val="28"/>
          <w:rtl/>
        </w:rPr>
        <w:t xml:space="preserve">tārīx-e ravābet-e beyn-e īrān va venīz</w:t>
      </w:r>
    </w:p>
    <w:p>
      <w:pPr>
        <w:pStyle w:val="BookText"/>
      </w:pPr>
      <w:r>
        <w:rPr>
          <w:rFonts w:ascii="IRNazanin" w:hAnsi="IRNazanin" w:eastAsia="IRNazanin" w:cs="IRNazanin"/>
          <w:lang w:bidi="fa-IR"/>
          <w:color w:val="111111"/>
          <w:sz w:val="28"/>
          <w:szCs w:val="28"/>
          <w:rtl/>
        </w:rPr>
        <w:t xml:space="preserve">موسیو لوکو مادر کیوم برشه</w:t>
      </w:r>
    </w:p>
    <w:p>
      <w:pPr>
        <w:pStyle w:val="BookText"/>
      </w:pPr>
      <w:r>
        <w:rPr>
          <w:rFonts w:ascii="Times New Roman" w:hAnsi="Times New Roman" w:eastAsia="Times New Roman" w:cs="Times New Roman"/>
          <w:lang w:val="en-US" w:bidi="en-US"/>
          <w:color w:val="111111"/>
          <w:sz w:val="28"/>
          <w:szCs w:val="28"/>
          <w:rtl/>
        </w:rPr>
        <w:t xml:space="preserve">tārīx-e ravābet-e beyn-e īrān va venīz</w:t>
      </w:r>
    </w:p>
    <w:p>
      <w:pPr>
        <w:pStyle w:val="BookText"/>
      </w:pPr>
      <w:r>
        <w:rPr>
          <w:rFonts w:ascii="IRNazanin" w:hAnsi="IRNazanin" w:eastAsia="IRNazanin" w:cs="IRNazanin"/>
          <w:lang w:bidi="fa-IR"/>
          <w:color w:val="111111"/>
          <w:sz w:val="28"/>
          <w:szCs w:val="28"/>
          <w:rtl/>
        </w:rPr>
        <w:t xml:space="preserve">مترجم: ریشار خان ، یوسف ۱۸۶۸-۱۹۳۵ میلادی این کتاب ترجمه تاریخ و روابط بین ایران و ونیز است که از زبان ایتالیایی به توسط دکتر کاستالدى به زبان فرانسه ترجمه شده و ریشارد خان مؤدب الملک آن را جهت مظفرالدین شاه قاجار در سفر فرنگستان در شهر ونیز به سال ۱۹۰۲ میلادی به زبان فارسی ترجمه نموده است که محتوی مطالب تاریخی و روابط بین دولت ایران و ونیز است در زمان سلطان اوزون حسن آق قوانلو تا انقراض سلسله صفویه.</w:t>
      </w:r>
    </w:p>
    <w:p>
      <w:pPr>
        <w:pStyle w:val="BookText"/>
      </w:pPr>
      <w:r>
        <w:rPr>
          <w:rFonts w:ascii="IRNazanin" w:hAnsi="IRNazanin" w:eastAsia="IRNazanin" w:cs="IRNazanin"/>
          <w:lang w:bidi="fa-IR"/>
          <w:color w:val="111111"/>
          <w:sz w:val="28"/>
          <w:szCs w:val="28"/>
          <w:rtl/>
        </w:rPr>
        <w:t xml:space="preserve">تهران؛ سلطنتی؛ شماره نسخه:۸۱۴</w:t>
      </w:r>
    </w:p>
    <w:p>
      <w:pPr>
        <w:pStyle w:val="BookText"/>
      </w:pPr>
      <w:r>
        <w:rPr>
          <w:rFonts w:ascii="IRNazanin" w:hAnsi="IRNazanin" w:eastAsia="IRNazanin" w:cs="IRNazanin"/>
          <w:lang w:bidi="fa-IR"/>
          <w:color w:val="111111"/>
          <w:sz w:val="28"/>
          <w:szCs w:val="28"/>
          <w:rtl/>
        </w:rPr>
        <w:t xml:space="preserve">آغاز: بسمله، در سنه ۱۹۰۲ موقع تشریف فرمائی اعليحضرت ... مظفرالدین شاه بشهر ونیز در قصر (وژها ) و در قصر ( سن ماز) و نظر بالتفات و افتخار نسبت باین جانب فرمودند که کتاب مسيو (لوکو مادر کیوم برشه) مصنف که مشتمل بر روابط سلاطين قدیم ایران و جمهوری ونیز است برای اعليحضرت همایونی ترجمه نمایم ... فصل اول. اسم مملکت ایران در عهد خلفا ۱۲۵۸-۶۵۲ تقریبا معدوم شده بود و بعد مدتی هم بتصرف اعراب و مغولها و تاتار و ترکمانها افتاد و در مائه پانزدهم عیسوی اوزون حسن نامی مملکت اجدادی کیانیان و ساسانیان را دو مرتبه باسم ایرانی خود پایدار نمود؛ انجام: اهالی ونیز همیشه در ایران محترم بودند بهمان قسم که ایرانیها در ونیز محترم و معزز هستند. شهر میلان ۳ مارس ۱۹۰۴. مترجم دکتر (كاستالدى) قنسول اعليحضرت اقدس شهریاری نویسنده میر مجتبی.</w:t>
      </w:r>
    </w:p>
    <w:p>
      <w:pPr>
        <w:pStyle w:val="BookText"/>
      </w:pPr>
      <w:r>
        <w:rPr>
          <w:rFonts w:ascii="IRNazanin" w:hAnsi="IRNazanin" w:eastAsia="IRNazanin" w:cs="IRNazanin"/>
          <w:lang w:bidi="fa-IR"/>
          <w:color w:val="111111"/>
          <w:sz w:val="28"/>
          <w:szCs w:val="28"/>
          <w:rtl/>
        </w:rPr>
        <w:t xml:space="preserve">خط: نستعلیق خوش، كا: میر مجتبی، تا: اوایل قرن ۱۴؛ مجدول زرین، سرلوح مذهب منقش مرصع، در صفحات ۴۲ و ۴۴ عکس دو نامه از شاه سلطان حسین به فرمانفرمای ونیز به زبان ترکی و فارسی است که حاوی الطاف و اظهار دوستی فیمابین است، در صفحات ۴۱-۴۳ دو عکس چاپی یکی از کاسه فیروزه ای است که سلطان اوزون حسن برای رئیس جمهوری ونیز فرستاده و دیگر از مجلس معارفه سفير فوق العاده ایران است به نام فتحی بیک که به حکم رئیس جمهور ونیز نقاش معروف ایطالیائی به نام کابریل کالاری به تاریخ پنجم مارس ۱۶۰۳ نقاشی کرده؛ مهر: شاه سلطان حسین صفوی «وارث ملک سلیمان جهان سلطان حسین»؛ کاغذ: فرنگی نخودی آهار مهره.، جلد: مقوای روکش مخمل، ۴۴ص، ۱۶ سطر، اندازه: ۳۶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 سم [ف: ۵-۱۶۷]</w:t>
      </w:r>
    </w:p>
    <w:p>
      <w:pPr>
        <w:pStyle w:val="Heading3"/>
      </w:pPr>
      <w:bookmarkStart w:id="2314" w:name="_Toc1574"/>
      <w:r>
        <w:t>•تاریخ روابط سیاسی افغانستان / تاریخ / فارسی</w:t>
      </w:r>
      <w:bookmarkEnd w:id="2314"/>
    </w:p>
    <w:p>
      <w:pPr>
        <w:pStyle w:val="BookText"/>
      </w:pPr>
      <w:r>
        <w:rPr>
          <w:rFonts w:ascii="Times New Roman" w:hAnsi="Times New Roman" w:eastAsia="Times New Roman" w:cs="Times New Roman"/>
          <w:lang w:val="en-US" w:bidi="en-US"/>
          <w:color w:val="111111"/>
          <w:sz w:val="28"/>
          <w:szCs w:val="28"/>
          <w:rtl/>
        </w:rPr>
        <w:t xml:space="preserve">tarix-e ravabet-e siyasi-ye afqanestan</w:t>
      </w:r>
    </w:p>
    <w:p>
      <w:pPr>
        <w:pStyle w:val="BookText"/>
      </w:pPr>
      <w:r>
        <w:rPr>
          <w:rFonts w:ascii="IRNazanin" w:hAnsi="IRNazanin" w:eastAsia="IRNazanin" w:cs="IRNazanin"/>
          <w:lang w:bidi="fa-IR"/>
          <w:color w:val="111111"/>
          <w:sz w:val="28"/>
          <w:szCs w:val="28"/>
          <w:rtl/>
        </w:rPr>
        <w:t xml:space="preserve">فرخ، مهدی، ۱۲۶۵-۱۳۵۲ میلادی</w:t>
      </w:r>
    </w:p>
    <w:p>
      <w:pPr>
        <w:pStyle w:val="BookText"/>
      </w:pPr>
      <w:r>
        <w:rPr>
          <w:rFonts w:ascii="Times New Roman" w:hAnsi="Times New Roman" w:eastAsia="Times New Roman" w:cs="Times New Roman"/>
          <w:lang w:val="en-US" w:bidi="en-US"/>
          <w:color w:val="111111"/>
          <w:sz w:val="28"/>
          <w:szCs w:val="28"/>
          <w:rtl/>
        </w:rPr>
        <w:t xml:space="preserve">farrox, mahdi (1265-1352)</w:t>
      </w:r>
    </w:p>
    <w:p>
      <w:pPr>
        <w:pStyle w:val="BookText"/>
      </w:pPr>
      <w:r>
        <w:rPr>
          <w:rFonts w:ascii="IRNazanin" w:hAnsi="IRNazanin" w:eastAsia="IRNazanin" w:cs="IRNazanin"/>
          <w:lang w:bidi="fa-IR"/>
          <w:color w:val="111111"/>
          <w:sz w:val="28"/>
          <w:szCs w:val="28"/>
          <w:rtl/>
        </w:rPr>
        <w:t xml:space="preserve">۱. تهران؛ ملی؛ شماره نسخه:۱۷۷۹۹</w:t>
      </w:r>
    </w:p>
    <w:p>
      <w:pPr>
        <w:pStyle w:val="BookText"/>
      </w:pPr>
      <w:r>
        <w:rPr>
          <w:rFonts w:ascii="IRNazanin" w:hAnsi="IRNazanin" w:eastAsia="IRNazanin" w:cs="IRNazanin"/>
          <w:lang w:bidi="fa-IR"/>
          <w:color w:val="111111"/>
          <w:sz w:val="28"/>
          <w:szCs w:val="28"/>
          <w:rtl/>
        </w:rPr>
        <w:t xml:space="preserve">بی کا، تا: ۱۳۱۴ق؛ انتقالی از کتابخانه پهلوی - مجموعه نوازی؛ اندازه: ۲۹/۳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۲۲/۱</w:t>
      </w:r>
    </w:p>
    <w:p>
      <w:pPr>
        <w:pStyle w:val="BookText"/>
      </w:pPr>
      <w:r>
        <w:rPr>
          <w:rFonts w:ascii="IRNazanin" w:hAnsi="IRNazanin" w:eastAsia="IRNazanin" w:cs="IRNazanin"/>
          <w:lang w:bidi="fa-IR"/>
          <w:color w:val="111111"/>
          <w:sz w:val="28"/>
          <w:szCs w:val="28"/>
          <w:rtl/>
        </w:rPr>
        <w:t xml:space="preserve">سم [رایانه]</w:t>
      </w:r>
    </w:p>
    <w:p>
      <w:pPr>
        <w:pStyle w:val="BookText"/>
      </w:pPr>
      <w:r>
        <w:rPr>
          <w:rFonts w:ascii="IRNazanin" w:hAnsi="IRNazanin" w:eastAsia="IRNazanin" w:cs="IRNazanin"/>
          <w:lang w:bidi="fa-IR"/>
          <w:color w:val="111111"/>
          <w:sz w:val="28"/>
          <w:szCs w:val="28"/>
          <w:rtl/>
        </w:rPr>
        <w:t xml:space="preserve">۲. تهران: ملی؛ شماره نسخه:۱۸۴۷۵</w:t>
      </w:r>
    </w:p>
    <w:p>
      <w:pPr>
        <w:pStyle w:val="BookText"/>
      </w:pPr>
      <w:r>
        <w:rPr>
          <w:rFonts w:ascii="IRNazanin" w:hAnsi="IRNazanin" w:eastAsia="IRNazanin" w:cs="IRNazanin"/>
          <w:lang w:bidi="fa-IR"/>
          <w:color w:val="111111"/>
          <w:sz w:val="28"/>
          <w:szCs w:val="28"/>
          <w:rtl/>
        </w:rPr>
        <w:t xml:space="preserve">بی کا، تا: ۱۳۱۷ق؛ ۱۷۶گ، اندازه: ۱۸</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۲۲/۵ سم [رایانه]</w:t>
      </w:r>
    </w:p>
    <w:p>
      <w:pPr>
        <w:pStyle w:val="Heading3"/>
      </w:pPr>
      <w:bookmarkStart w:id="2315" w:name="_Toc1575"/>
      <w:r>
        <w:t>•تاریخ روسیه / تاریخ / فارسی</w:t>
      </w:r>
      <w:bookmarkEnd w:id="2315"/>
    </w:p>
    <w:p>
      <w:pPr>
        <w:pStyle w:val="BookText"/>
      </w:pPr>
      <w:r>
        <w:rPr>
          <w:rFonts w:ascii="Times New Roman" w:hAnsi="Times New Roman" w:eastAsia="Times New Roman" w:cs="Times New Roman"/>
          <w:lang w:val="en-US" w:bidi="en-US"/>
          <w:color w:val="111111"/>
          <w:sz w:val="28"/>
          <w:szCs w:val="28"/>
          <w:rtl/>
        </w:rPr>
        <w:t xml:space="preserve">tārīx-e rūsīye</w:t>
      </w:r>
    </w:p>
    <w:p>
      <w:pPr>
        <w:pStyle w:val="BookText"/>
      </w:pPr>
      <w:r>
        <w:rPr>
          <w:rFonts w:ascii="IRNazanin" w:hAnsi="IRNazanin" w:eastAsia="IRNazanin" w:cs="IRNazanin"/>
          <w:lang w:bidi="fa-IR"/>
          <w:color w:val="111111"/>
          <w:sz w:val="28"/>
          <w:szCs w:val="28"/>
          <w:rtl/>
        </w:rPr>
        <w:t xml:space="preserve">ابکاریوس، اسکندر بن يعقوب،-۱۳۰۳ میلادی</w:t>
      </w:r>
    </w:p>
    <w:p>
      <w:pPr>
        <w:pStyle w:val="BookText"/>
      </w:pPr>
      <w:r>
        <w:rPr>
          <w:rFonts w:ascii="Times New Roman" w:hAnsi="Times New Roman" w:eastAsia="Times New Roman" w:cs="Times New Roman"/>
          <w:lang w:val="en-US" w:bidi="en-US"/>
          <w:color w:val="111111"/>
          <w:sz w:val="28"/>
          <w:szCs w:val="28"/>
          <w:rtl/>
        </w:rPr>
        <w:t xml:space="preserve">ābkārīyās, eskandar ebn-e ya‘qūb (-1303)</w:t>
      </w:r>
    </w:p>
    <w:p>
      <w:pPr>
        <w:pStyle w:val="BookText"/>
      </w:pPr>
      <w:r>
        <w:rPr>
          <w:rFonts w:ascii="IRNazanin" w:hAnsi="IRNazanin" w:eastAsia="IRNazanin" w:cs="IRNazanin"/>
          <w:lang w:bidi="fa-IR"/>
          <w:color w:val="111111"/>
          <w:sz w:val="28"/>
          <w:szCs w:val="28"/>
          <w:rtl/>
        </w:rPr>
        <w:t xml:space="preserve">مترجم: میرزا آبکار ارمنی با تصحیح محمد على متخلص به مسکین. میرزا آبکار خان مترجم که در جولاهه اصفهان دیده به دنیا می گشاید و در مدرسه الازروف مسکو زبان روسی فرا می گیرد، چون به ایران بر می گردد عهده دار ترجمه این کتاب و کتب دیگر می شود. در ترجمه این کتاب محمد على مسكين علاوه بر کتابت دست به عبارات نیز می برد و به زیبایی لفظی آنها توجه می کند منتهی از این بابت، چنانکه در کتاب نیز آمده، توفیق چندانی نمی یابد. این کتاب حاوی وضع سیاسی روسیه از سال ۸۶۲ م تا ۱۵۴۰م است و در آن از سلاطین متعدد و شهرهای مختلف روسیه شرح مفصلی آمده است.</w:t>
      </w:r>
    </w:p>
    <w:p>
      <w:pPr>
        <w:pStyle w:val="BookText"/>
      </w:pPr>
      <w:r>
        <w:rPr>
          <w:rFonts w:ascii="IRNazanin" w:hAnsi="IRNazanin" w:eastAsia="IRNazanin" w:cs="IRNazanin"/>
          <w:lang w:bidi="fa-IR"/>
          <w:color w:val="111111"/>
          <w:sz w:val="28"/>
          <w:szCs w:val="28"/>
          <w:rtl/>
        </w:rPr>
        <w:t xml:space="preserve">تهران؛ ملی؛ شماره نسخه:۱۴۶</w:t>
      </w:r>
    </w:p>
    <w:p>
      <w:pPr>
        <w:pStyle w:val="BookText"/>
      </w:pPr>
      <w:r>
        <w:rPr>
          <w:rFonts w:ascii="IRNazanin" w:hAnsi="IRNazanin" w:eastAsia="IRNazanin" w:cs="IRNazanin"/>
          <w:lang w:bidi="fa-IR"/>
          <w:color w:val="111111"/>
          <w:sz w:val="28"/>
          <w:szCs w:val="28"/>
          <w:rtl/>
        </w:rPr>
        <w:t xml:space="preserve">آغاز: باب اول در ذکر بنیان طائفه روسیه از سنه ۸۶۲ الى سنه ۱۵۴۰ اصل بنای سلطنت آنها از چند طائفه می شود که آن بمرور دهور؛ انجام: ذکر اجتماع فلر نطنیسک ذکر مطرا پلید ویلنا ذکر حالات جمعیت لیوانیا و السلام خير الحتام</w:t>
      </w:r>
    </w:p>
    <w:p>
      <w:pPr>
        <w:pStyle w:val="BookText"/>
      </w:pPr>
      <w:r>
        <w:rPr>
          <w:rFonts w:ascii="IRNazanin" w:hAnsi="IRNazanin" w:eastAsia="IRNazanin" w:cs="IRNazanin"/>
          <w:lang w:bidi="fa-IR"/>
          <w:color w:val="111111"/>
          <w:sz w:val="28"/>
          <w:szCs w:val="28"/>
          <w:rtl/>
        </w:rPr>
        <w:t xml:space="preserve">جلد اول؛ خط: نستعلیق، كان محمد على مسكين، تا: ۱ ذیقعده ۱۲۸۲ق، جان اصفهان؛ کاغذ: فرنگی فستقی لب طلایی، جلد: تیماج قهوه ای با گل و بته، ۱۶۵گ، ۱۲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۱-۱۴۱]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475" w:name="pg20363_209783"/>
    <w:bookmarkEnd w:id="475"/>
    <w:p>
      <w:pPr>
        <w:pStyle w:val="Heading3"/>
      </w:pPr>
      <w:bookmarkStart w:id="2316" w:name="_Toc1576"/>
      <w:r>
        <w:t>• تاریخ روسیه / تاریخ / فارسی</w:t>
      </w:r>
      <w:bookmarkEnd w:id="2316"/>
    </w:p>
    <w:p>
      <w:pPr>
        <w:pStyle w:val="BookText"/>
      </w:pPr>
      <w:r>
        <w:rPr>
          <w:rFonts w:ascii="Times New Roman" w:hAnsi="Times New Roman" w:eastAsia="Times New Roman" w:cs="Times New Roman"/>
          <w:lang w:val="en-US" w:bidi="en-US"/>
          <w:color w:val="111111"/>
          <w:sz w:val="28"/>
          <w:szCs w:val="28"/>
          <w:rtl/>
        </w:rPr>
        <w:t xml:space="preserve">tārīx-e rūsīye</w:t>
      </w:r>
    </w:p>
    <w:p>
      <w:pPr>
        <w:pStyle w:val="BookText"/>
      </w:pPr>
      <w:r>
        <w:rPr>
          <w:rFonts w:ascii="IRNazanin" w:hAnsi="IRNazanin" w:eastAsia="IRNazanin" w:cs="IRNazanin"/>
          <w:lang w:bidi="fa-IR"/>
          <w:color w:val="111111"/>
          <w:sz w:val="28"/>
          <w:szCs w:val="28"/>
          <w:rtl/>
        </w:rPr>
        <w:t xml:space="preserve">سالاويوف، ولادیمیر سرگی یویچ، ۱۸۵۳-۱۹۰۰ میلادی</w:t>
      </w:r>
    </w:p>
    <w:p>
      <w:pPr>
        <w:pStyle w:val="BookText"/>
      </w:pPr>
      <w:r>
        <w:rPr>
          <w:rFonts w:ascii="Times New Roman" w:hAnsi="Times New Roman" w:eastAsia="Times New Roman" w:cs="Times New Roman"/>
          <w:lang w:val="en-US" w:bidi="en-US"/>
          <w:color w:val="111111"/>
          <w:sz w:val="28"/>
          <w:szCs w:val="28"/>
          <w:rtl/>
        </w:rPr>
        <w:t xml:space="preserve">sālāvyūf, velādīmīr sergīyevīč (1853-1900)</w:t>
      </w:r>
    </w:p>
    <w:p>
      <w:pPr>
        <w:pStyle w:val="BookText"/>
      </w:pPr>
      <w:r>
        <w:rPr>
          <w:rFonts w:ascii="IRNazanin" w:hAnsi="IRNazanin" w:eastAsia="IRNazanin" w:cs="IRNazanin"/>
          <w:lang w:bidi="fa-IR"/>
          <w:color w:val="111111"/>
          <w:sz w:val="28"/>
          <w:szCs w:val="28"/>
          <w:rtl/>
        </w:rPr>
        <w:t xml:space="preserve">مترجم: ماردروس ق۱۹ میلادی زمان ترجمه: ۱۲۸۲ق؛ اهداء به:ناصرالدین شاه در این کتاب تاریخ روسیه از سال ۸۶۲ میلادی شروع می شود و تا سال ۱۸۲۵ میلادی وقایع مهم آن می آید. سال شروع تاریخ زمانی است که هنوز روسیه متدین به دین مسیحی نبوده و مردم صحرانشين و بت پرست داشته است و سال ۱۸۲۵ میلادی زمانی است که دولت نیکلا بر روسیه حکمفرما بوده است گرچه ترجمه به وسیله مادروس خان به عمل آمده ولی عبدالرحیم افسر عبارات فارسی آنرا تصحیح کرده است.</w:t>
      </w:r>
    </w:p>
    <w:p>
      <w:pPr>
        <w:pStyle w:val="BookText"/>
      </w:pPr>
      <w:r>
        <w:rPr>
          <w:rFonts w:ascii="IRNazanin" w:hAnsi="IRNazanin" w:eastAsia="IRNazanin" w:cs="IRNazanin"/>
          <w:lang w:bidi="fa-IR"/>
          <w:color w:val="111111"/>
          <w:sz w:val="28"/>
          <w:szCs w:val="28"/>
          <w:rtl/>
        </w:rPr>
        <w:t xml:space="preserve">تهران؛ ملی؛ شماره نسخه:۱۷۱۶</w:t>
      </w:r>
    </w:p>
    <w:p>
      <w:pPr>
        <w:pStyle w:val="BookText"/>
      </w:pPr>
      <w:r>
        <w:rPr>
          <w:rFonts w:ascii="IRNazanin" w:hAnsi="IRNazanin" w:eastAsia="IRNazanin" w:cs="IRNazanin"/>
          <w:lang w:bidi="fa-IR"/>
          <w:color w:val="111111"/>
          <w:sz w:val="28"/>
          <w:szCs w:val="28"/>
          <w:rtl/>
        </w:rPr>
        <w:t xml:space="preserve">آغاز: هو الله تعالی شانه، دیباچه ترجمه کتاب بهیه روسیه. تاریخ دولت؛ انجام: و آن کتاب را با کمال تدقیق و تحقیق در اول قرن نوزدهم است کتاب و چاپ کرد خط: نستعلیق، کا: شاید عبدالرحیم افسر، تا: محتملا ۱۲۸۲ق، جان تهران؛ کاغذ: فرنگی، لب طلایی، جلد: تیماج قرمز با گل و بوته، ۴۰۳گ، ۱۶ سطر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۴-۱۸۴]</w:t>
      </w:r>
    </w:p>
    <w:p>
      <w:pPr>
        <w:pStyle w:val="Heading3"/>
      </w:pPr>
      <w:bookmarkStart w:id="2317" w:name="_Toc1577"/>
      <w:r>
        <w:t>•تاریخ روسیه / تاریخ / ترکی</w:t>
      </w:r>
      <w:bookmarkEnd w:id="2317"/>
    </w:p>
    <w:p>
      <w:pPr>
        <w:pStyle w:val="BookText"/>
      </w:pPr>
      <w:r>
        <w:rPr>
          <w:rFonts w:ascii="Times New Roman" w:hAnsi="Times New Roman" w:eastAsia="Times New Roman" w:cs="Times New Roman"/>
          <w:lang w:val="en-US" w:bidi="en-US"/>
          <w:color w:val="111111"/>
          <w:sz w:val="28"/>
          <w:szCs w:val="28"/>
          <w:rtl/>
        </w:rPr>
        <w:t xml:space="preserve">tārīx-e rūsīye</w:t>
      </w:r>
    </w:p>
    <w:p>
      <w:pPr>
        <w:pStyle w:val="BookText"/>
      </w:pPr>
      <w:r>
        <w:rPr>
          <w:rFonts w:ascii="IRNazanin" w:hAnsi="IRNazanin" w:eastAsia="IRNazanin" w:cs="IRNazanin"/>
          <w:lang w:bidi="fa-IR"/>
          <w:color w:val="111111"/>
          <w:sz w:val="28"/>
          <w:szCs w:val="28"/>
          <w:rtl/>
        </w:rPr>
        <w:t xml:space="preserve">تهران؛ مهدوی؛ شماره نسخه:۵۱۶</w:t>
      </w:r>
    </w:p>
    <w:p>
      <w:pPr>
        <w:pStyle w:val="BookText"/>
      </w:pPr>
      <w:r>
        <w:rPr>
          <w:rFonts w:ascii="IRNazanin" w:hAnsi="IRNazanin" w:eastAsia="IRNazanin" w:cs="IRNazanin"/>
          <w:lang w:bidi="fa-IR"/>
          <w:color w:val="111111"/>
          <w:sz w:val="28"/>
          <w:szCs w:val="28"/>
          <w:rtl/>
        </w:rPr>
        <w:t xml:space="preserve">خط: نستعلیق ترک، بی کا، تا: قرن ۱۳؛ با یک رحلی بزرگ [نشریه: ۲-۶۵]</w:t>
      </w:r>
    </w:p>
    <w:p>
      <w:pPr>
        <w:pStyle w:val="BookText"/>
      </w:pPr>
      <w:r>
        <w:rPr>
          <w:rFonts w:ascii="IRNazanin" w:hAnsi="IRNazanin" w:eastAsia="IRNazanin" w:cs="IRNazanin"/>
          <w:lang w:bidi="fa-IR"/>
          <w:color w:val="111111"/>
          <w:sz w:val="28"/>
          <w:szCs w:val="28"/>
          <w:rtl/>
        </w:rPr>
        <w:t xml:space="preserve">نقشه به اندازه</w:t>
      </w:r>
    </w:p>
    <w:p>
      <w:pPr>
        <w:pStyle w:val="Heading3"/>
      </w:pPr>
      <w:bookmarkStart w:id="2318" w:name="_Toc1578"/>
      <w:r>
        <w:t>•تاریخ روسیه / تاریخ / فارسی</w:t>
      </w:r>
      <w:bookmarkEnd w:id="2318"/>
    </w:p>
    <w:p>
      <w:pPr>
        <w:pStyle w:val="BookText"/>
      </w:pPr>
      <w:r>
        <w:rPr>
          <w:rFonts w:ascii="Times New Roman" w:hAnsi="Times New Roman" w:eastAsia="Times New Roman" w:cs="Times New Roman"/>
          <w:lang w:val="en-US" w:bidi="en-US"/>
          <w:color w:val="111111"/>
          <w:sz w:val="28"/>
          <w:szCs w:val="28"/>
          <w:rtl/>
        </w:rPr>
        <w:t xml:space="preserve">tārīx-e rūsīye</w:t>
      </w:r>
    </w:p>
    <w:p>
      <w:pPr>
        <w:pStyle w:val="BookText"/>
      </w:pPr>
      <w:r>
        <w:rPr>
          <w:rFonts w:ascii="IRNazanin" w:hAnsi="IRNazanin" w:eastAsia="IRNazanin" w:cs="IRNazanin"/>
          <w:lang w:bidi="fa-IR"/>
          <w:color w:val="111111"/>
          <w:sz w:val="28"/>
          <w:szCs w:val="28"/>
          <w:rtl/>
        </w:rPr>
        <w:t xml:space="preserve">ظاهرا غیر همانند: 1. تهران؛ ملک؛ شماره نسخه: ۴۳۴۰</w:t>
      </w:r>
    </w:p>
    <w:p>
      <w:pPr>
        <w:pStyle w:val="BookText"/>
      </w:pPr>
      <w:r>
        <w:rPr>
          <w:rFonts w:ascii="IRNazanin" w:hAnsi="IRNazanin" w:eastAsia="IRNazanin" w:cs="IRNazanin"/>
          <w:lang w:bidi="fa-IR"/>
          <w:color w:val="111111"/>
          <w:sz w:val="28"/>
          <w:szCs w:val="28"/>
          <w:rtl/>
        </w:rPr>
        <w:t xml:space="preserve">آغاز: اجمال مطالب جلوس نیکولا ... صلح ترکمان چای، تسلط و نفوذ دولت روس در طهران. الكساندر اول اكبر اولاد ذكور امپراطور پل در ۱۳ ماه دسامبر سنه ۱۸۲۵ میلادی در شهر ... فوت کرد؛ انجام: بعد از چهل سال صلح عمومی دوباره مبتلی به بلای عظیم گردید. خط: نستعلیق، بی کا، تا: قرن ۱۳؛ کاغذ: کاغذ فرنگی آبی، جلد: میشن نارنجی سیر، ۲۸۶گ، ۱۳ سطر، اندازه: ۳۳/۴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۲۱/۲ سم [ف: ۸۰-۲]</w:t>
      </w:r>
    </w:p>
    <w:p>
      <w:pPr>
        <w:pStyle w:val="BookText"/>
      </w:pPr>
      <w:r>
        <w:rPr>
          <w:rFonts w:ascii="IRNazanin" w:hAnsi="IRNazanin" w:eastAsia="IRNazanin" w:cs="IRNazanin"/>
          <w:lang w:bidi="fa-IR"/>
          <w:color w:val="111111"/>
          <w:sz w:val="28"/>
          <w:szCs w:val="28"/>
          <w:rtl/>
        </w:rPr>
        <w:t xml:space="preserve">۲. قم؛ مرعشی؛ شماره نسخه: ۲/ ۷۳۴۰</w:t>
      </w:r>
    </w:p>
    <w:p>
      <w:pPr>
        <w:pStyle w:val="BookText"/>
      </w:pPr>
      <w:r>
        <w:rPr>
          <w:rFonts w:ascii="IRNazanin" w:hAnsi="IRNazanin" w:eastAsia="IRNazanin" w:cs="IRNazanin"/>
          <w:lang w:bidi="fa-IR"/>
          <w:color w:val="111111"/>
          <w:sz w:val="28"/>
          <w:szCs w:val="28"/>
          <w:rtl/>
        </w:rPr>
        <w:t xml:space="preserve">آغاز: بیان مجملی از کیفیت اوضاع ممالک روسیه ... طایفه روسیه که مشهور به بنی الاصفر و مملکت ایشان؛ انجام: و طهمورث میرزا پسر او از گرجستان گریخته و روی نیاز بدرگاه شاهنشاه مظلوم نواز آوردند و خانمان چندین ساله. تاریخ مختصری است از پادشاهی روسیه با اشاره به رویدادهای آنکشور و چگونگی مداخله آنها در گرجستان؛ خط: نسخ، بی کا بیتا؛ افتادگی: انجام؛ جلد: تیماج سبز عطف تیماج مشکی، ۵گ (۱۲پ -۱۶پ)،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۱۹-۱۳۲]</w:t>
      </w:r>
    </w:p>
    <w:p>
      <w:pPr>
        <w:pStyle w:val="BookText"/>
      </w:pPr>
      <w:r>
        <w:rPr>
          <w:rFonts w:ascii="IRNazanin" w:hAnsi="IRNazanin" w:eastAsia="IRNazanin" w:cs="IRNazanin"/>
          <w:lang w:bidi="fa-IR"/>
          <w:color w:val="111111"/>
          <w:sz w:val="28"/>
          <w:szCs w:val="28"/>
          <w:rtl/>
        </w:rPr>
        <w:t xml:space="preserve">٣. قم؛ مسجد اعظم، شماره نسخه:۱۵۹۷</w:t>
      </w:r>
    </w:p>
    <w:p>
      <w:pPr>
        <w:pStyle w:val="BookText"/>
      </w:pPr>
      <w:r>
        <w:rPr>
          <w:rFonts w:ascii="IRNazanin" w:hAnsi="IRNazanin" w:eastAsia="IRNazanin" w:cs="IRNazanin"/>
          <w:lang w:bidi="fa-IR"/>
          <w:color w:val="111111"/>
          <w:sz w:val="28"/>
          <w:szCs w:val="28"/>
          <w:rtl/>
        </w:rPr>
        <w:t xml:space="preserve">آغاز: در اثنای تدارکات جنگ در یک قسمت فرنگی تغیرات بی حد نسبت به روسیه ظاهر گردیده بود و مخصوصا شخص امپراطور نیکلا طرف عداوت و تهمت های آنها واقع شده و سبب این جنگ؛ انجام: مملکت مغشوشی که استقلال خود را از دست داده و به واسطه ضعف خود اسباب دست اندازی همسایه های خود گردیده است زندگی کند. از فصل دوم تا فصل شانزدهم را در بر دارد و خود فصل شانزدهم دارای چند باب است که این نسخه تا باب نهم آن را دارد پس باب هیجدهم آن که در تاریخ عصیان لهستان است آمده که دارای هشت فصل» می باشد؛ خط: نستعلیق، بی کا، بی تا، افتادگی: آغاز و وسط؛ جلد: تیماج قهوه ای مجدول، ۳۴۵ گ، ۱۳ سطر،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مخ: ۱-۳۱۰]</w:t>
      </w:r>
    </w:p>
    <w:p>
      <w:pPr>
        <w:pStyle w:val="BookText"/>
      </w:pPr>
      <w:r>
        <w:rPr>
          <w:rFonts w:ascii="IRNazanin" w:hAnsi="IRNazanin" w:eastAsia="IRNazanin" w:cs="IRNazanin"/>
          <w:lang w:bidi="fa-IR"/>
          <w:color w:val="111111"/>
          <w:sz w:val="28"/>
          <w:szCs w:val="28"/>
          <w:rtl/>
        </w:rPr>
        <w:t xml:space="preserve">۴. تهران؛ مجلس؛ شماره نسخه: ۱۱۲۱۹</w:t>
      </w:r>
    </w:p>
    <w:p>
      <w:pPr>
        <w:pStyle w:val="BookText"/>
      </w:pPr>
      <w:r>
        <w:rPr>
          <w:rFonts w:ascii="IRNazanin" w:hAnsi="IRNazanin" w:eastAsia="IRNazanin" w:cs="IRNazanin"/>
          <w:lang w:bidi="fa-IR"/>
          <w:color w:val="111111"/>
          <w:sz w:val="28"/>
          <w:szCs w:val="28"/>
          <w:rtl/>
        </w:rPr>
        <w:t xml:space="preserve">خط: نستعلیق، بی کا، تا: قرن ۱۴ [مختصر ف: ۱۵۸]</w:t>
      </w:r>
    </w:p>
    <w:p>
      <w:pPr>
        <w:pStyle w:val="Heading3"/>
      </w:pPr>
      <w:bookmarkStart w:id="2319" w:name="_Toc1579"/>
      <w:r>
        <w:t>•تاریخ روسیه برای اطفال دبستان (ترجمه) / تاریخ / فارسی</w:t>
      </w:r>
      <w:bookmarkEnd w:id="2319"/>
    </w:p>
    <w:p>
      <w:pPr>
        <w:pStyle w:val="BookText"/>
      </w:pPr>
      <w:r>
        <w:rPr>
          <w:rFonts w:ascii="Times New Roman" w:hAnsi="Times New Roman" w:eastAsia="Times New Roman" w:cs="Times New Roman"/>
          <w:lang w:val="en-US" w:bidi="en-US"/>
          <w:color w:val="111111"/>
          <w:sz w:val="28"/>
          <w:szCs w:val="28"/>
          <w:rtl/>
        </w:rPr>
        <w:t xml:space="preserve">tārīx-e rūsīye barāye atfāl-e dabestān (t.)</w:t>
      </w:r>
    </w:p>
    <w:p>
      <w:pPr>
        <w:pStyle w:val="BookText"/>
      </w:pPr>
      <w:r>
        <w:rPr>
          <w:rFonts w:ascii="IRNazanin" w:hAnsi="IRNazanin" w:eastAsia="IRNazanin" w:cs="IRNazanin"/>
          <w:lang w:bidi="fa-IR"/>
          <w:color w:val="111111"/>
          <w:sz w:val="28"/>
          <w:szCs w:val="28"/>
          <w:rtl/>
        </w:rPr>
        <w:t xml:space="preserve">محمود میرزا بن بهمن میرزا، ق ۱۴ قمری</w:t>
      </w:r>
    </w:p>
    <w:p>
      <w:pPr>
        <w:pStyle w:val="BookText"/>
      </w:pPr>
      <w:r>
        <w:rPr>
          <w:rFonts w:ascii="Times New Roman" w:hAnsi="Times New Roman" w:eastAsia="Times New Roman" w:cs="Times New Roman"/>
          <w:lang w:val="en-US" w:bidi="en-US"/>
          <w:color w:val="111111"/>
          <w:sz w:val="28"/>
          <w:szCs w:val="28"/>
          <w:rtl/>
        </w:rPr>
        <w:t xml:space="preserve">mahmūd mīrzā ben bahman mīrzā (-20c)</w:t>
      </w:r>
    </w:p>
    <w:p>
      <w:pPr>
        <w:pStyle w:val="BookText"/>
      </w:pPr>
      <w:r>
        <w:rPr>
          <w:rFonts w:ascii="IRNazanin" w:hAnsi="IRNazanin" w:eastAsia="IRNazanin" w:cs="IRNazanin"/>
          <w:lang w:bidi="fa-IR"/>
          <w:color w:val="111111"/>
          <w:sz w:val="28"/>
          <w:szCs w:val="28"/>
          <w:rtl/>
        </w:rPr>
        <w:t xml:space="preserve">از: سالاويوف، ولادیمیر سرگی یویچ، ترجمه محمود میرزا فرزند بهمن میرزا به مراقبت و جمع آوری و نگارش على محمد بن محمود متخلص به طغرل و ملقب به شمس الشعرا. نگارنده کتاب را به امر ظل السلطان جمع آوری و به نگارش در آورده مشتمل بر: «مقدمه» و دو «بخش» و «متفرعات» دیگر: مقدمه: در بیان نگارش و تألیف و ترجمه کتاب؛ بخش اول: تاریخ روس برای اطفال دبستان؛ بخش دوم: شرح حل و تاریخ نیکلای اول از سنه ۱۸۲۵-۱۸۵۵م؛ متفرعات: شامل مطالب متفرقه دیگری است در تاریخ روس جهت بصیرت خواننده.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اصفهان؛ صارم الدوله (كتابخانه فرهنگ اصفهان)؛ شماره نسخه:۹۴۷</w:t>
      </w:r>
    </w:p>
    <w:p>
      <w:pPr>
        <w:pStyle w:val="BookText"/>
      </w:pPr>
      <w:r>
        <w:rPr>
          <w:rFonts w:ascii="IRNazanin" w:hAnsi="IRNazanin" w:eastAsia="IRNazanin" w:cs="IRNazanin"/>
          <w:lang w:bidi="fa-IR"/>
          <w:color w:val="111111"/>
          <w:sz w:val="28"/>
          <w:szCs w:val="28"/>
          <w:rtl/>
        </w:rPr>
        <w:t xml:space="preserve">آغاز: قوشن روس که امروز عالم را متزلزل و قانون نظام و انتظامشان اهل کره رامات و حیران دارد یکی از طوایف و قوام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476" w:name="pg20363_209784"/>
    <w:bookmarkEnd w:id="476"/>
    <w:p>
      <w:pPr>
        <w:pStyle w:val="BookText"/>
      </w:pPr>
      <w:r>
        <w:rPr>
          <w:rFonts w:ascii="IRNazanin" w:hAnsi="IRNazanin" w:eastAsia="IRNazanin" w:cs="IRNazanin"/>
          <w:lang w:bidi="fa-IR"/>
          <w:color w:val="111111"/>
          <w:sz w:val="28"/>
          <w:szCs w:val="28"/>
          <w:rtl/>
        </w:rPr>
        <w:t xml:space="preserve">تاجگذاران تاتاران شمالی بوده اند، انجام: و فایده از آمدن من به بلاد هند حضور تو بوده و این فایده تمام دارد مشتمل بر نظام لشکر روسیه و غیره؛ خط: شکسته نستعلیق، بی کا، تا: اواخر قرن ۱۳؛ به مراقبت و نگارش علی محمد شمس الشعرا از صفحه اول تا اواسط ص</w:t>
      </w:r>
    </w:p>
    <w:p>
      <w:pPr>
        <w:pStyle w:val="BookText"/>
      </w:pPr>
      <w:r>
        <w:rPr>
          <w:rFonts w:ascii="IRNazanin" w:hAnsi="IRNazanin" w:eastAsia="IRNazanin" w:cs="IRNazanin"/>
          <w:lang w:bidi="fa-IR"/>
          <w:color w:val="111111"/>
          <w:sz w:val="28"/>
          <w:szCs w:val="28"/>
          <w:rtl/>
        </w:rPr>
        <w:t xml:space="preserve">۷۲ این کتاب برابری می کند با ص ۴۳۲ تا ۴۶۳ کتاب شماره ۲۱، از اواسط صفحه ۷۲ تا پایان کتاب وصايا و نصایا و حکایات از تاریخ روضة الصفا نقل شده؛ ۱۲۹ص، ۱۵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۷۴] و [عمومی اصفهان (فرهنگ سابق): ف: ۱- ۳۵۲]</w:t>
      </w:r>
    </w:p>
    <w:p>
      <w:pPr>
        <w:pStyle w:val="BookText"/>
      </w:pPr>
      <w:r>
        <w:rPr>
          <w:rFonts w:ascii="IRNazanin" w:hAnsi="IRNazanin" w:eastAsia="IRNazanin" w:cs="IRNazanin"/>
          <w:lang w:bidi="fa-IR"/>
          <w:color w:val="111111"/>
          <w:sz w:val="28"/>
          <w:szCs w:val="28"/>
          <w:rtl/>
        </w:rPr>
        <w:t xml:space="preserve">۲. اصفهان؛ صارم الدوله (کتابخانه فرهنگ اصفهان)؛ شماره نسخه:۸۹۲</w:t>
      </w:r>
    </w:p>
    <w:p>
      <w:pPr>
        <w:pStyle w:val="BookText"/>
      </w:pPr>
      <w:r>
        <w:rPr>
          <w:rFonts w:ascii="IRNazanin" w:hAnsi="IRNazanin" w:eastAsia="IRNazanin" w:cs="IRNazanin"/>
          <w:lang w:bidi="fa-IR"/>
          <w:color w:val="111111"/>
          <w:sz w:val="28"/>
          <w:szCs w:val="28"/>
          <w:rtl/>
        </w:rPr>
        <w:t xml:space="preserve">آغاز: بخش اول: تاریخ روس برای اطفال دبستان که در سال ۱۸۸۰ در مطبع مدرسه م كاتكوف طبع شد؛ انجام: دولت روس از چهار طرف اقدام بکار کرد یکی از طرف ایرانی یکی از طرف آسیایی مرکزی دیگری از طرف بیر و چچین دیگری از طرف قفقاز</w:t>
      </w:r>
    </w:p>
    <w:p>
      <w:pPr>
        <w:pStyle w:val="BookText"/>
      </w:pPr>
      <w:r>
        <w:rPr>
          <w:rFonts w:ascii="IRNazanin" w:hAnsi="IRNazanin" w:eastAsia="IRNazanin" w:cs="IRNazanin"/>
          <w:lang w:bidi="fa-IR"/>
          <w:color w:val="111111"/>
          <w:sz w:val="28"/>
          <w:szCs w:val="28"/>
          <w:rtl/>
        </w:rPr>
        <w:t xml:space="preserve">خط: نسخ خوب، بی کا، تا: آغاز قرن ۱۴؛ على محمد بن محمود ملقب به شمس الشعراء متخلص به طغرل؛ ۷۸۷ص، ۲۴ سطر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سم [ف: ۳۲]</w:t>
      </w:r>
    </w:p>
    <w:p>
      <w:pPr>
        <w:pStyle w:val="BookText"/>
      </w:pPr>
      <w:r>
        <w:rPr>
          <w:rFonts w:ascii="IRNazanin" w:hAnsi="IRNazanin" w:eastAsia="IRNazanin" w:cs="IRNazanin"/>
          <w:lang w:bidi="fa-IR"/>
          <w:color w:val="111111"/>
          <w:sz w:val="28"/>
          <w:szCs w:val="28"/>
          <w:rtl/>
        </w:rPr>
        <w:t xml:space="preserve">٣. اصفهان؛ صارم الدوله (كتابخانه فرهنگ اصفهان)؛ شماره نسخه:۹۴۸</w:t>
      </w:r>
    </w:p>
    <w:p>
      <w:pPr>
        <w:pStyle w:val="BookText"/>
      </w:pPr>
      <w:r>
        <w:rPr>
          <w:rFonts w:ascii="IRNazanin" w:hAnsi="IRNazanin" w:eastAsia="IRNazanin" w:cs="IRNazanin"/>
          <w:lang w:bidi="fa-IR"/>
          <w:color w:val="111111"/>
          <w:sz w:val="28"/>
          <w:szCs w:val="28"/>
          <w:rtl/>
        </w:rPr>
        <w:t xml:space="preserve">آغاز: فصل دوم فهرست مطالب ...... در اثنای تدارکات جنگ در یک قسمت فرنگی تغییرات بیحد نسبت به روسیه ظاهر گردید؛ انجام: با اینکه دائما در یک مملکت مغشوش که استقلال خود را از دست داده و به واسطه ضعف خود اسباب دست اندازی همسایه های خود گردیده است زندگی کند.</w:t>
      </w:r>
    </w:p>
    <w:p>
      <w:pPr>
        <w:pStyle w:val="BookText"/>
      </w:pPr>
      <w:r>
        <w:rPr>
          <w:rFonts w:ascii="IRNazanin" w:hAnsi="IRNazanin" w:eastAsia="IRNazanin" w:cs="IRNazanin"/>
          <w:lang w:bidi="fa-IR"/>
          <w:color w:val="111111"/>
          <w:sz w:val="28"/>
          <w:szCs w:val="28"/>
          <w:rtl/>
        </w:rPr>
        <w:t xml:space="preserve">جلد دوم از ابتدای فصل دوم باب چهارم تا فصل شانزدهم و فصل شانزدهم (در آزادی دهاقین) مبوب بر نه باب است پس از پایان ابواب نه گانه باب هجدهم متضمن هشت فصل؛ خط شکسته نستعلیق، بی کا، تا: اوایل قرن ۱۴، ۵۳۸ص، ۱۷ سطر، اندازه:</w:t>
      </w:r>
    </w:p>
    <w:p>
      <w:pPr>
        <w:pStyle w:val="BookText"/>
      </w:pPr>
      <w:r>
        <w:rPr>
          <w:rFonts w:ascii="IRNazanin" w:hAnsi="IRNazanin" w:eastAsia="IRNazanin" w:cs="IRNazanin"/>
          <w:lang w:bidi="fa-IR"/>
          <w:color w:val="111111"/>
          <w:sz w:val="28"/>
          <w:szCs w:val="28"/>
          <w:rtl/>
        </w:rPr>
        <w:t xml:space="preserve">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۷۵] و [عمومی اصفهان فرهنگی سابق): [ف: ۱-۳۳]</w:t>
      </w:r>
    </w:p>
    <w:p>
      <w:pPr>
        <w:pStyle w:val="BookText"/>
      </w:pPr>
      <w:r>
        <w:rPr>
          <w:rFonts w:ascii="IRNazanin" w:hAnsi="IRNazanin" w:eastAsia="IRNazanin" w:cs="IRNazanin"/>
          <w:lang w:bidi="fa-IR"/>
          <w:color w:val="111111"/>
          <w:sz w:val="28"/>
          <w:szCs w:val="28"/>
          <w:rtl/>
        </w:rPr>
        <w:t xml:space="preserve">۴. اصفهان؛ صارم الدوله (کتابخانه فرهنگ اصفهان)؛ شماره نسخه:۸۹۵</w:t>
      </w:r>
    </w:p>
    <w:p>
      <w:pPr>
        <w:pStyle w:val="BookText"/>
      </w:pPr>
      <w:r>
        <w:rPr>
          <w:rFonts w:ascii="IRNazanin" w:hAnsi="IRNazanin" w:eastAsia="IRNazanin" w:cs="IRNazanin"/>
          <w:lang w:bidi="fa-IR"/>
          <w:color w:val="111111"/>
          <w:sz w:val="28"/>
          <w:szCs w:val="28"/>
          <w:rtl/>
        </w:rPr>
        <w:t xml:space="preserve">آغاز: امپراطور بعد از کلمات مزبوره اظهار مینمود ما به خوبی می دانیم اجرای قوانین جدید چقدر اشکالات خواهد داشت؛ انجام: دولت روس از چهار طرف اقدام بکار کرد یکی از طرف ایران یکی از طرف آسیای مرکزی دیگری از طرف سپر و چین دیگری از طرف قفقاز از اواخر باب هفتم فصل شانزدهم شروع و تا آخر فصل اول باب بیست و سیم خاتمه پیدا می کند (مطالب از فصول و ابواب متفرق نوشته شده)؛ خط: نستعلیق خوب، بی کا، تا: قرن ۱۴؛ ۳۱۲ص، ۱۴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۳۴/۵ سم [ف: ۳۴]</w:t>
      </w:r>
    </w:p>
    <w:p>
      <w:pPr>
        <w:pStyle w:val="BookText"/>
      </w:pPr>
      <w:r>
        <w:rPr>
          <w:rFonts w:ascii="IRNazanin" w:hAnsi="IRNazanin" w:eastAsia="IRNazanin" w:cs="IRNazanin"/>
          <w:lang w:bidi="fa-IR"/>
          <w:color w:val="111111"/>
          <w:sz w:val="28"/>
          <w:szCs w:val="28"/>
          <w:rtl/>
        </w:rPr>
        <w:t xml:space="preserve">۵. اصفهان؛ صارم الدوله (كتابخانه فرهنگ اصفهان)؛ شماره نسخه:۸۹۸</w:t>
      </w:r>
    </w:p>
    <w:p>
      <w:pPr>
        <w:pStyle w:val="BookText"/>
      </w:pPr>
      <w:r>
        <w:rPr>
          <w:rFonts w:ascii="IRNazanin" w:hAnsi="IRNazanin" w:eastAsia="IRNazanin" w:cs="IRNazanin"/>
          <w:lang w:bidi="fa-IR"/>
          <w:color w:val="111111"/>
          <w:sz w:val="28"/>
          <w:szCs w:val="28"/>
          <w:rtl/>
        </w:rPr>
        <w:t xml:space="preserve">آغاز: اصل ولایت روس نشین یعنی وطن اصلی روسها چنان که در نقشه مملک روس دیده می شود؛ انجام: با سی هزار قشون و یکصد و بیست ارابه توپ تسلیم ژنرال روس (رد کر) گردید</w:t>
      </w:r>
    </w:p>
    <w:p>
      <w:pPr>
        <w:pStyle w:val="BookText"/>
      </w:pPr>
      <w:r>
        <w:rPr>
          <w:rFonts w:ascii="IRNazanin" w:hAnsi="IRNazanin" w:eastAsia="IRNazanin" w:cs="IRNazanin"/>
          <w:lang w:bidi="fa-IR"/>
          <w:color w:val="111111"/>
          <w:sz w:val="28"/>
          <w:szCs w:val="28"/>
          <w:rtl/>
        </w:rPr>
        <w:t xml:space="preserve">بخش اول: تاریخ روس برای اطفال دبستان؛ خط: نسخ عالی، بی کا، تا: اوایل قرن ۱۴، ۶۲۸ص، ۱۵ سطر (۱۹۶۱۳/۵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۳۶]</w:t>
      </w:r>
    </w:p>
    <w:p>
      <w:pPr>
        <w:pStyle w:val="BookText"/>
      </w:pPr>
      <w:r>
        <w:rPr>
          <w:rFonts w:ascii="IRNazanin" w:hAnsi="IRNazanin" w:eastAsia="IRNazanin" w:cs="IRNazanin"/>
          <w:lang w:bidi="fa-IR"/>
          <w:color w:val="111111"/>
          <w:sz w:val="28"/>
          <w:szCs w:val="28"/>
          <w:rtl/>
        </w:rPr>
        <w:t xml:space="preserve">6 . اصفهان؛ عمومی اصفهان (فرهنگ سابق)؛ شماره نسخه: ۱۱۴۲۰</w:t>
      </w:r>
    </w:p>
    <w:p>
      <w:pPr>
        <w:pStyle w:val="BookText"/>
      </w:pPr>
      <w:r>
        <w:rPr>
          <w:rFonts w:ascii="IRNazanin" w:hAnsi="IRNazanin" w:eastAsia="IRNazanin" w:cs="IRNazanin"/>
          <w:lang w:bidi="fa-IR"/>
          <w:color w:val="111111"/>
          <w:sz w:val="28"/>
          <w:szCs w:val="28"/>
          <w:rtl/>
        </w:rPr>
        <w:t xml:space="preserve">آغاز: بسم الله الرحمن الرحيم مقدمه تاریخی نیکلای اول از سنه ۱۸۲۵ الى سنه ۱۸۰۰ عیسوی، باب اول فصل اول ... آلكساندر اول ارشد اولاد ذكور امپراطور پل؛ انجام: از قرار این اصول برای تنظیم وضع آینده رعایای مملوکی و نوکر و حقوق و تکالیف مالک و مملوک و فرایض ذمه رعایا نسبت بدولت و ملاکین از روی دقت قوانین مفصله تاسیس شده است. باب اول تا قسمتی از باب ششم فصل شانزدهم (آ زادی دهاقین)؛ خط: نستعلیق، بی کا، تا: اوایل قرن ۱۴</w:t>
      </w:r>
    </w:p>
    <w:p>
      <w:pPr>
        <w:pStyle w:val="BookText"/>
      </w:pPr>
      <w:r>
        <w:rPr>
          <w:rFonts w:ascii="IRNazanin" w:hAnsi="IRNazanin" w:eastAsia="IRNazanin" w:cs="IRNazanin"/>
          <w:lang w:bidi="fa-IR"/>
          <w:color w:val="111111"/>
          <w:sz w:val="28"/>
          <w:szCs w:val="28"/>
          <w:rtl/>
        </w:rPr>
        <w:t xml:space="preserve">کاغذ: فرنگی، جلد: مقوایی، ۲۷۹ ص، ۲۷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عمومی اصفهان (فرهنگ سابق):[ ف: ۱-۳۲]</w:t>
      </w:r>
    </w:p>
    <w:p>
      <w:pPr>
        <w:pStyle w:val="BookText"/>
      </w:pPr>
      <w:r>
        <w:rPr>
          <w:rFonts w:ascii="IRNazanin" w:hAnsi="IRNazanin" w:eastAsia="IRNazanin" w:cs="IRNazanin"/>
          <w:lang w:bidi="fa-IR"/>
          <w:color w:val="111111"/>
          <w:sz w:val="28"/>
          <w:szCs w:val="28"/>
          <w:rtl/>
        </w:rPr>
        <w:t xml:space="preserve">۷. اصفهان؛ صارم الدوله (کتابخانه فرهنگ اصفهان)؛ شماره نسخه:۹۴۶</w:t>
      </w:r>
    </w:p>
    <w:p>
      <w:pPr>
        <w:pStyle w:val="BookText"/>
      </w:pPr>
      <w:r>
        <w:rPr>
          <w:rFonts w:ascii="IRNazanin" w:hAnsi="IRNazanin" w:eastAsia="IRNazanin" w:cs="IRNazanin"/>
          <w:lang w:bidi="fa-IR"/>
          <w:color w:val="111111"/>
          <w:sz w:val="28"/>
          <w:szCs w:val="28"/>
          <w:rtl/>
        </w:rPr>
        <w:t xml:space="preserve">آغاز: بسمله، اجمالی مطالب جلوی نیکلا عصيان عسکریه در سنت پطرز پورغ بظهور رسید؛ انجام: و اظهار تألف نمود خلاصه بديع وضع ها جنگ اعلان شد و اروپا بعد از چهل سال صلح عمومی دوباره مبتلا بر بلای عظیمی گردید. مشتمل بر چهار باب و هر باب دارای چند فصل است؛ خط: شکسته نستعلیق، بی کا، تا: اوایل قرن ۱۴؛ ۳۲۲ص، ۱۷ سطر (</w:t>
      </w:r>
    </w:p>
    <w:p>
      <w:pPr>
        <w:pStyle w:val="BookText"/>
      </w:pPr>
      <w:r>
        <w:rPr>
          <w:rFonts w:ascii="IRNazanin" w:hAnsi="IRNazanin" w:eastAsia="IRNazanin" w:cs="IRNazanin"/>
          <w:lang w:bidi="fa-IR"/>
          <w:color w:val="111111"/>
          <w:sz w:val="28"/>
          <w:szCs w:val="28"/>
          <w:rtl/>
        </w:rPr>
        <w:t xml:space="preserve">۹/۱۵)،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۷۳]</w:t>
      </w:r>
    </w:p>
    <w:p>
      <w:pPr>
        <w:pStyle w:val="BookText"/>
      </w:pPr>
      <w:r>
        <w:rPr>
          <w:rFonts w:ascii="IRNazanin" w:hAnsi="IRNazanin" w:eastAsia="IRNazanin" w:cs="IRNazanin"/>
          <w:lang w:bidi="fa-IR"/>
          <w:color w:val="111111"/>
          <w:sz w:val="28"/>
          <w:szCs w:val="28"/>
          <w:rtl/>
        </w:rPr>
        <w:t xml:space="preserve">۸. اصفهان؛ عمومی اصفهان (فرهنگ سابق)؛ شماره نسخه: ۱۱۴۲۵/۱</w:t>
      </w:r>
    </w:p>
    <w:p>
      <w:pPr>
        <w:pStyle w:val="BookText"/>
      </w:pPr>
      <w:r>
        <w:rPr>
          <w:rFonts w:ascii="IRNazanin" w:hAnsi="IRNazanin" w:eastAsia="IRNazanin" w:cs="IRNazanin"/>
          <w:lang w:bidi="fa-IR"/>
          <w:color w:val="111111"/>
          <w:sz w:val="28"/>
          <w:szCs w:val="28"/>
          <w:rtl/>
        </w:rPr>
        <w:t xml:space="preserve">خط: نسخ، بی کا، تا: ذیقعده ۱۳۰۹ق، کاغذ: فرنگی، جلد: ساغری قرمز ضربی گل و بوته دار، ۱۳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۲۲۶۱۸سم عمومی اصفهان (فرهنگ سابق):[ في: ۱-۳۵۳]</w:t>
      </w:r>
    </w:p>
    <w:p>
      <w:pPr>
        <w:pStyle w:val="BookText"/>
      </w:pPr>
      <w:r>
        <w:rPr>
          <w:rFonts w:ascii="IRNazanin" w:hAnsi="IRNazanin" w:eastAsia="IRNazanin" w:cs="IRNazanin"/>
          <w:lang w:bidi="fa-IR"/>
          <w:color w:val="111111"/>
          <w:sz w:val="28"/>
          <w:szCs w:val="28"/>
          <w:rtl/>
        </w:rPr>
        <w:t xml:space="preserve">به تاریخ روسیه (کاترین دوم) » تاریخ قترینه به تاریخ روسیه و احوال کاترین دوم به شرح حال کاترین دوم</w:t>
      </w:r>
    </w:p>
    <w:p>
      <w:pPr>
        <w:pStyle w:val="Heading3"/>
      </w:pPr>
      <w:bookmarkStart w:id="2320" w:name="_Toc1580"/>
      <w:r>
        <w:t>•تاریخ روضة الصفاء (منتخب) / تاریخ / فارسی</w:t>
      </w:r>
      <w:bookmarkEnd w:id="2320"/>
    </w:p>
    <w:p>
      <w:pPr>
        <w:pStyle w:val="BookText"/>
      </w:pPr>
      <w:r>
        <w:rPr>
          <w:rFonts w:ascii="Times New Roman" w:hAnsi="Times New Roman" w:eastAsia="Times New Roman" w:cs="Times New Roman"/>
          <w:lang w:val="en-US" w:bidi="en-US"/>
          <w:color w:val="111111"/>
          <w:sz w:val="28"/>
          <w:szCs w:val="28"/>
          <w:rtl/>
        </w:rPr>
        <w:t xml:space="preserve">tārīx-e rowzat-os safā' (mn.)</w:t>
      </w:r>
    </w:p>
    <w:p>
      <w:pPr>
        <w:pStyle w:val="BookText"/>
      </w:pPr>
      <w:r>
        <w:rPr>
          <w:rFonts w:ascii="IRNazanin" w:hAnsi="IRNazanin" w:eastAsia="IRNazanin" w:cs="IRNazanin"/>
          <w:lang w:bidi="fa-IR"/>
          <w:color w:val="111111"/>
          <w:sz w:val="28"/>
          <w:szCs w:val="28"/>
          <w:rtl/>
        </w:rPr>
        <w:t xml:space="preserve">مشهد؛ الهیات؛ شماره نسخه: ۱/۱۴۸۲۰</w:t>
      </w:r>
    </w:p>
    <w:p>
      <w:pPr>
        <w:pStyle w:val="BookText"/>
      </w:pPr>
      <w:r>
        <w:rPr>
          <w:rFonts w:ascii="IRNazanin" w:hAnsi="IRNazanin" w:eastAsia="IRNazanin" w:cs="IRNazanin"/>
          <w:lang w:bidi="fa-IR"/>
          <w:color w:val="111111"/>
          <w:sz w:val="28"/>
          <w:szCs w:val="28"/>
          <w:rtl/>
        </w:rPr>
        <w:t xml:space="preserve">بخش های اخلاقی آن گزیده شده؛ خط: شکسته نستعلیق، بی کا، بیتا؛ جلد: میشن مشکی، ۱۵ سطر (متن و حاشیه)، قطع: پستی [ف: ۲-۱۱۹]</w:t>
      </w:r>
    </w:p>
    <w:p>
      <w:pPr>
        <w:pStyle w:val="Heading3"/>
      </w:pPr>
      <w:bookmarkStart w:id="2321" w:name="_Toc1581"/>
      <w:r>
        <w:t>•تاریخ روضه تاج محل / تاریخ / فارسی</w:t>
      </w:r>
      <w:bookmarkEnd w:id="2321"/>
    </w:p>
    <w:p>
      <w:pPr>
        <w:pStyle w:val="BookText"/>
      </w:pPr>
      <w:r>
        <w:rPr>
          <w:rFonts w:ascii="Times New Roman" w:hAnsi="Times New Roman" w:eastAsia="Times New Roman" w:cs="Times New Roman"/>
          <w:lang w:val="en-US" w:bidi="en-US"/>
          <w:color w:val="111111"/>
          <w:sz w:val="28"/>
          <w:szCs w:val="28"/>
          <w:rtl/>
        </w:rPr>
        <w:t xml:space="preserve">tārīx-e rowze-ye tāj mahal</w:t>
      </w:r>
    </w:p>
    <w:p>
      <w:pPr>
        <w:pStyle w:val="BookText"/>
      </w:pPr>
      <w:r>
        <w:rPr>
          <w:rFonts w:ascii="IRNazanin" w:hAnsi="IRNazanin" w:eastAsia="IRNazanin" w:cs="IRNazanin"/>
          <w:lang w:bidi="fa-IR"/>
          <w:color w:val="111111"/>
          <w:sz w:val="28"/>
          <w:szCs w:val="28"/>
          <w:rtl/>
        </w:rPr>
        <w:t xml:space="preserve">[نسخه های منزوی ۱۹۳۲]</w:t>
      </w:r>
    </w:p>
    <w:p>
      <w:pPr>
        <w:pStyle w:val="BookText"/>
      </w:pPr>
      <w:r>
        <w:rPr>
          <w:rFonts w:ascii="IRNazanin" w:hAnsi="IRNazanin" w:eastAsia="IRNazanin" w:cs="IRNazanin"/>
          <w:lang w:bidi="fa-IR"/>
          <w:color w:val="111111"/>
          <w:sz w:val="28"/>
          <w:szCs w:val="28"/>
          <w:rtl/>
        </w:rPr>
        <w:t xml:space="preserve">تهران؛ دانشگاه؛ شماره نسخه: ۶۲۱۳/۲ ف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477" w:name="pg20363_209785"/>
    <w:bookmarkEnd w:id="477"/>
    <w:p>
      <w:pPr>
        <w:pStyle w:val="BookText"/>
      </w:pPr>
      <w:r>
        <w:rPr>
          <w:rFonts w:ascii="IRNazanin" w:hAnsi="IRNazanin" w:eastAsia="IRNazanin" w:cs="IRNazanin"/>
          <w:lang w:bidi="fa-IR"/>
          <w:color w:val="111111"/>
          <w:sz w:val="28"/>
          <w:szCs w:val="28"/>
          <w:rtl/>
        </w:rPr>
        <w:t xml:space="preserve">نسخه اصل: کتابخانه گنج بخش؛ بی کا، بی تا (فیلمها ف: ۳-۲۱۰)</w:t>
      </w:r>
    </w:p>
    <w:p>
      <w:pPr>
        <w:pStyle w:val="Heading3"/>
      </w:pPr>
      <w:bookmarkStart w:id="2322" w:name="_Toc1582"/>
      <w:r>
        <w:t>•تاریخ روم / تاریخ / فارسی</w:t>
      </w:r>
      <w:bookmarkEnd w:id="2322"/>
    </w:p>
    <w:p>
      <w:pPr>
        <w:pStyle w:val="BookText"/>
      </w:pPr>
      <w:r>
        <w:rPr>
          <w:rFonts w:ascii="Times New Roman" w:hAnsi="Times New Roman" w:eastAsia="Times New Roman" w:cs="Times New Roman"/>
          <w:lang w:val="en-US" w:bidi="en-US"/>
          <w:color w:val="111111"/>
          <w:sz w:val="28"/>
          <w:szCs w:val="28"/>
          <w:rtl/>
        </w:rPr>
        <w:t xml:space="preserve">tārīx-e rūm</w:t>
      </w:r>
    </w:p>
    <w:p>
      <w:pPr>
        <w:pStyle w:val="BookText"/>
      </w:pPr>
      <w:r>
        <w:rPr>
          <w:rFonts w:ascii="IRNazanin" w:hAnsi="IRNazanin" w:eastAsia="IRNazanin" w:cs="IRNazanin"/>
          <w:lang w:bidi="fa-IR"/>
          <w:color w:val="111111"/>
          <w:sz w:val="28"/>
          <w:szCs w:val="28"/>
          <w:rtl/>
        </w:rPr>
        <w:t xml:space="preserve">در تاریخ روم است از وضع اداری و حکومت امپراطور آقسس آغاز و پس از بحث مفصل درباره سپاه روم و آداب و سنت رومیان و ذکر نام شاهان بعد از اقسس و پیدایی کانسل در حکومت رومی و جنگ های رومیان با ایرانیان و اسارت والرین امپراطور روم با ذکر طاعون و قحطی در روم کتاب بپایان می رود. ظاهرا این کتاب باید ترجمه تاریخ روم گیبون (=تنزل و خرابی دولت روم) باشد که در زمان عباس میرزا از انگلیسی به فارسی ترجمه شده است.</w:t>
      </w:r>
    </w:p>
    <w:p>
      <w:pPr>
        <w:pStyle w:val="BookText"/>
      </w:pPr>
      <w:r>
        <w:rPr>
          <w:rFonts w:ascii="IRNazanin" w:hAnsi="IRNazanin" w:eastAsia="IRNazanin" w:cs="IRNazanin"/>
          <w:lang w:bidi="fa-IR"/>
          <w:color w:val="111111"/>
          <w:sz w:val="28"/>
          <w:szCs w:val="28"/>
          <w:rtl/>
        </w:rPr>
        <w:t xml:space="preserve">تهران؛ ملی؛ شماره نسخه:۱۶۶۶</w:t>
      </w:r>
    </w:p>
    <w:p>
      <w:pPr>
        <w:pStyle w:val="BookText"/>
      </w:pPr>
      <w:r>
        <w:rPr>
          <w:rFonts w:ascii="IRNazanin" w:hAnsi="IRNazanin" w:eastAsia="IRNazanin" w:cs="IRNazanin"/>
          <w:lang w:bidi="fa-IR"/>
          <w:color w:val="111111"/>
          <w:sz w:val="28"/>
          <w:szCs w:val="28"/>
          <w:rtl/>
        </w:rPr>
        <w:t xml:space="preserve">آغاز: بسمله در تنزل و خرابی دولت روم و آن مشتمل است بر چند فصل؛ انجام: چنانچه بعد ازین بتفصيل مرقوم خواهد شد و الله اعلم تمت جلد اول جلد اول؛ خط: نستعلیق، بی کا، تا: قرن ۱۳، جان محتملا تبریز؛ کاغذ: فرنگی، جلد: تیماج ماشی با ترنج و نیم ترنج، ۳۵۰ گ، ۱۶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سم [ف: ۴-۱۴۳]</w:t>
      </w:r>
    </w:p>
    <w:p>
      <w:pPr>
        <w:pStyle w:val="Heading3"/>
      </w:pPr>
      <w:bookmarkStart w:id="2323" w:name="_Toc1583"/>
      <w:r>
        <w:t>•تاریخ روم (ترجمه) / تاریخ / فارسی</w:t>
      </w:r>
      <w:bookmarkEnd w:id="2323"/>
    </w:p>
    <w:p>
      <w:pPr>
        <w:pStyle w:val="BookText"/>
      </w:pPr>
      <w:r>
        <w:rPr>
          <w:rFonts w:ascii="Times New Roman" w:hAnsi="Times New Roman" w:eastAsia="Times New Roman" w:cs="Times New Roman"/>
          <w:lang w:val="en-US" w:bidi="en-US"/>
          <w:color w:val="111111"/>
          <w:sz w:val="28"/>
          <w:szCs w:val="28"/>
          <w:rtl/>
        </w:rPr>
        <w:t xml:space="preserve">tārīx-e rūm mīrzā ebrāhīm tabrīzī</w:t>
      </w:r>
    </w:p>
    <w:p>
      <w:pPr>
        <w:pStyle w:val="BookText"/>
      </w:pPr>
      <w:r>
        <w:rPr>
          <w:rFonts w:ascii="IRNazanin" w:hAnsi="IRNazanin" w:eastAsia="IRNazanin" w:cs="IRNazanin"/>
          <w:lang w:bidi="fa-IR"/>
          <w:color w:val="111111"/>
          <w:sz w:val="28"/>
          <w:szCs w:val="28"/>
          <w:rtl/>
        </w:rPr>
        <w:t xml:space="preserve">تبریزی، میرزا ابراهیم</w:t>
      </w:r>
    </w:p>
    <w:p>
      <w:pPr>
        <w:pStyle w:val="BookText"/>
      </w:pPr>
      <w:r>
        <w:rPr>
          <w:rFonts w:ascii="IRNazanin" w:hAnsi="IRNazanin" w:eastAsia="IRNazanin" w:cs="IRNazanin"/>
          <w:lang w:bidi="fa-IR"/>
          <w:color w:val="111111"/>
          <w:sz w:val="28"/>
          <w:szCs w:val="28"/>
          <w:rtl/>
        </w:rPr>
        <w:t xml:space="preserve">ترجمه میرزا ابراهیم تبریزی به دستور محمد شاه از روی متن انگلیسی.</w:t>
      </w:r>
    </w:p>
    <w:p>
      <w:pPr>
        <w:pStyle w:val="BookText"/>
      </w:pPr>
      <w:r>
        <w:rPr>
          <w:rFonts w:ascii="IRNazanin" w:hAnsi="IRNazanin" w:eastAsia="IRNazanin" w:cs="IRNazanin"/>
          <w:lang w:bidi="fa-IR"/>
          <w:color w:val="111111"/>
          <w:sz w:val="28"/>
          <w:szCs w:val="28"/>
          <w:rtl/>
        </w:rPr>
        <w:t xml:space="preserve">تهران؛ ملک؛ شماره نسخه: ۳۷۷۱</w:t>
      </w:r>
    </w:p>
    <w:p>
      <w:pPr>
        <w:pStyle w:val="BookText"/>
      </w:pPr>
      <w:r>
        <w:rPr>
          <w:rFonts w:ascii="IRNazanin" w:hAnsi="IRNazanin" w:eastAsia="IRNazanin" w:cs="IRNazanin"/>
          <w:lang w:bidi="fa-IR"/>
          <w:color w:val="111111"/>
          <w:sz w:val="28"/>
          <w:szCs w:val="28"/>
          <w:rtl/>
        </w:rPr>
        <w:t xml:space="preserve">آغاز: فصل اول در بیان اصل و نسب رومیان و وجه تسمیه شهر روم؛ انجام: که در شهر گذشته بود به ایشان رسانیدند. خط: نستعلیق، بی کا، تا: قرن ۱۳؛ تملک: فرهاد میرزا در ذیقعده ۱۲۷۶؛ کاغذ: فرنگی، جلد: کاغذ ابری فرنگی، ۱۶۸گ، ۱۳ سطر، اندازه: ۱۶/۸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۲۰سم [ف: ۲-۸۰ ]</w:t>
      </w:r>
    </w:p>
    <w:p>
      <w:pPr>
        <w:pStyle w:val="Heading3"/>
      </w:pPr>
      <w:bookmarkStart w:id="2324" w:name="_Toc1584"/>
      <w:r>
        <w:t>•تاریخ روم (ترجمه) / تاریخ / فارسی</w:t>
      </w:r>
      <w:bookmarkEnd w:id="2324"/>
    </w:p>
    <w:p>
      <w:pPr>
        <w:pStyle w:val="BookText"/>
      </w:pPr>
      <w:r>
        <w:rPr>
          <w:rFonts w:ascii="Times New Roman" w:hAnsi="Times New Roman" w:eastAsia="Times New Roman" w:cs="Times New Roman"/>
          <w:lang w:val="en-US" w:bidi="en-US"/>
          <w:color w:val="111111"/>
          <w:sz w:val="28"/>
          <w:szCs w:val="28"/>
          <w:rtl/>
        </w:rPr>
        <w:t xml:space="preserve">tārīx-e rūm</w:t>
      </w:r>
    </w:p>
    <w:p>
      <w:pPr>
        <w:pStyle w:val="BookText"/>
      </w:pPr>
      <w:r>
        <w:rPr>
          <w:rFonts w:ascii="IRNazanin" w:hAnsi="IRNazanin" w:eastAsia="IRNazanin" w:cs="IRNazanin"/>
          <w:lang w:bidi="fa-IR"/>
          <w:color w:val="111111"/>
          <w:sz w:val="28"/>
          <w:szCs w:val="28"/>
          <w:rtl/>
        </w:rPr>
        <w:t xml:space="preserve">زیرک زاده، غلامحسین</w:t>
      </w:r>
    </w:p>
    <w:p>
      <w:pPr>
        <w:pStyle w:val="BookText"/>
      </w:pPr>
      <w:r>
        <w:rPr>
          <w:rFonts w:ascii="Times New Roman" w:hAnsi="Times New Roman" w:eastAsia="Times New Roman" w:cs="Times New Roman"/>
          <w:lang w:val="en-US" w:bidi="en-US"/>
          <w:color w:val="111111"/>
          <w:sz w:val="28"/>
          <w:szCs w:val="28"/>
          <w:rtl/>
        </w:rPr>
        <w:t xml:space="preserve">zīrak zāde, qolām-hoseyn</w:t>
      </w:r>
    </w:p>
    <w:p>
      <w:pPr>
        <w:pStyle w:val="BookText"/>
      </w:pPr>
      <w:r>
        <w:rPr>
          <w:rFonts w:ascii="IRNazanin" w:hAnsi="IRNazanin" w:eastAsia="IRNazanin" w:cs="IRNazanin"/>
          <w:lang w:bidi="fa-IR"/>
          <w:color w:val="111111"/>
          <w:sz w:val="28"/>
          <w:szCs w:val="28"/>
          <w:rtl/>
        </w:rPr>
        <w:t xml:space="preserve">اصل کتاب از آلبر ماله و ژول ایزاک.</w:t>
      </w:r>
    </w:p>
    <w:p>
      <w:pPr>
        <w:pStyle w:val="BookText"/>
      </w:pPr>
      <w:r>
        <w:rPr>
          <w:rFonts w:ascii="IRNazanin" w:hAnsi="IRNazanin" w:eastAsia="IRNazanin" w:cs="IRNazanin"/>
          <w:lang w:bidi="fa-IR"/>
          <w:color w:val="111111"/>
          <w:sz w:val="28"/>
          <w:szCs w:val="28"/>
          <w:rtl/>
        </w:rPr>
        <w:t xml:space="preserve">تهران؛ مجلس؛ شماره نسخه:۱۱۲۲۵</w:t>
      </w:r>
    </w:p>
    <w:p>
      <w:pPr>
        <w:pStyle w:val="BookText"/>
      </w:pPr>
      <w:r>
        <w:rPr>
          <w:rFonts w:ascii="IRNazanin" w:hAnsi="IRNazanin" w:eastAsia="IRNazanin" w:cs="IRNazanin"/>
          <w:lang w:bidi="fa-IR"/>
          <w:color w:val="111111"/>
          <w:sz w:val="28"/>
          <w:szCs w:val="28"/>
          <w:rtl/>
        </w:rPr>
        <w:t xml:space="preserve">خط: تحریری، کاتب = مؤلف، بی تا [ مختصر ف: ۱۲۶]</w:t>
      </w:r>
    </w:p>
    <w:p>
      <w:pPr>
        <w:pStyle w:val="Heading3"/>
      </w:pPr>
      <w:bookmarkStart w:id="2325" w:name="_Toc1585"/>
      <w:r>
        <w:t>•تاریخ روم و شهریاران آن مرز و بوم / تاریخ / فارسی</w:t>
      </w:r>
      <w:bookmarkEnd w:id="2325"/>
    </w:p>
    <w:p>
      <w:pPr>
        <w:pStyle w:val="BookText"/>
      </w:pPr>
      <w:r>
        <w:rPr>
          <w:rFonts w:ascii="Times New Roman" w:hAnsi="Times New Roman" w:eastAsia="Times New Roman" w:cs="Times New Roman"/>
          <w:lang w:val="en-US" w:bidi="en-US"/>
          <w:color w:val="111111"/>
          <w:sz w:val="28"/>
          <w:szCs w:val="28"/>
          <w:rtl/>
        </w:rPr>
        <w:t xml:space="preserve">tārīx-e rūm va šahrīyārān-e ān marz va būm</w:t>
      </w:r>
    </w:p>
    <w:p>
      <w:pPr>
        <w:pStyle w:val="BookText"/>
      </w:pPr>
      <w:r>
        <w:rPr>
          <w:rFonts w:ascii="IRNazanin" w:hAnsi="IRNazanin" w:eastAsia="IRNazanin" w:cs="IRNazanin"/>
          <w:lang w:bidi="fa-IR"/>
          <w:color w:val="111111"/>
          <w:sz w:val="28"/>
          <w:szCs w:val="28"/>
          <w:rtl/>
        </w:rPr>
        <w:t xml:space="preserve">محمد حسن میرزا مهندس، ق۱۳ قمری</w:t>
      </w:r>
    </w:p>
    <w:p>
      <w:pPr>
        <w:pStyle w:val="BookText"/>
      </w:pPr>
      <w:r>
        <w:rPr>
          <w:rFonts w:ascii="Times New Roman" w:hAnsi="Times New Roman" w:eastAsia="Times New Roman" w:cs="Times New Roman"/>
          <w:lang w:val="en-US" w:bidi="en-US"/>
          <w:color w:val="111111"/>
          <w:sz w:val="28"/>
          <w:szCs w:val="28"/>
          <w:rtl/>
        </w:rPr>
        <w:t xml:space="preserve">mohammad hasan mīrzā mohandes (-19c)</w:t>
      </w:r>
    </w:p>
    <w:p>
      <w:pPr>
        <w:pStyle w:val="BookText"/>
      </w:pPr>
      <w:r>
        <w:rPr>
          <w:rFonts w:ascii="IRNazanin" w:hAnsi="IRNazanin" w:eastAsia="IRNazanin" w:cs="IRNazanin"/>
          <w:lang w:bidi="fa-IR"/>
          <w:color w:val="111111"/>
          <w:sz w:val="28"/>
          <w:szCs w:val="28"/>
          <w:rtl/>
        </w:rPr>
        <w:t xml:space="preserve">اهداء به: ناصرالدین شاه قاجار در شرح سلاطین عثمانی که توسط حاج میرزا مهندس به نام ناصرالدین شاه در زمان محمد خان سپهسالار وزیر جنگ از فرانسه ترجمه شده است. مؤلف از پدرش محمود میرزا نام می برد.</w:t>
      </w:r>
    </w:p>
    <w:p>
      <w:pPr>
        <w:pStyle w:val="BookText"/>
      </w:pPr>
      <w:r>
        <w:rPr>
          <w:rFonts w:ascii="IRNazanin" w:hAnsi="IRNazanin" w:eastAsia="IRNazanin" w:cs="IRNazanin"/>
          <w:lang w:bidi="fa-IR"/>
          <w:color w:val="111111"/>
          <w:sz w:val="28"/>
          <w:szCs w:val="28"/>
          <w:rtl/>
        </w:rPr>
        <w:t xml:space="preserve">تهران؛ ملک؛ شماره نسخه: ۷۰۰</w:t>
      </w:r>
    </w:p>
    <w:p>
      <w:pPr>
        <w:pStyle w:val="BookText"/>
      </w:pPr>
      <w:r>
        <w:rPr>
          <w:rFonts w:ascii="IRNazanin" w:hAnsi="IRNazanin" w:eastAsia="IRNazanin" w:cs="IRNazanin"/>
          <w:lang w:bidi="fa-IR"/>
          <w:color w:val="111111"/>
          <w:sz w:val="28"/>
          <w:szCs w:val="28"/>
          <w:rtl/>
        </w:rPr>
        <w:t xml:space="preserve">خط: نستعلیق، بی کا، تا: ۱۶ ربیع الاول ۱۲۸۰ق؛ کاغذ: فرنگی آهار مهره، جلد: میشن لایی پشمی، ۴۹گ، ۱۵ سطر، اندازه: ۱۷/۳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۱۱/۴ سم [ف: ۲-۸۰ ]</w:t>
      </w:r>
    </w:p>
    <w:p>
      <w:pPr>
        <w:pStyle w:val="Heading3"/>
      </w:pPr>
      <w:bookmarkStart w:id="2326" w:name="_Toc1586"/>
      <w:r>
        <w:t>•تاریخ روم و قیاصره / تاریخ جهان / فارسی</w:t>
      </w:r>
      <w:bookmarkEnd w:id="2326"/>
    </w:p>
    <w:p>
      <w:pPr>
        <w:pStyle w:val="BookText"/>
      </w:pPr>
      <w:r>
        <w:rPr>
          <w:rFonts w:ascii="Times New Roman" w:hAnsi="Times New Roman" w:eastAsia="Times New Roman" w:cs="Times New Roman"/>
          <w:lang w:val="en-US" w:bidi="en-US"/>
          <w:color w:val="111111"/>
          <w:sz w:val="28"/>
          <w:szCs w:val="28"/>
          <w:rtl/>
        </w:rPr>
        <w:t xml:space="preserve">tārīx-e rūm va qayāsere</w:t>
      </w:r>
    </w:p>
    <w:p>
      <w:pPr>
        <w:pStyle w:val="BookText"/>
      </w:pPr>
      <w:r>
        <w:rPr>
          <w:rFonts w:ascii="IRNazanin" w:hAnsi="IRNazanin" w:eastAsia="IRNazanin" w:cs="IRNazanin"/>
          <w:lang w:bidi="fa-IR"/>
          <w:color w:val="111111"/>
          <w:sz w:val="28"/>
          <w:szCs w:val="28"/>
          <w:rtl/>
        </w:rPr>
        <w:t xml:space="preserve">تهران؛ سلطنتی؛ شماره نسخه: ۲۲۷۲</w:t>
      </w:r>
    </w:p>
    <w:p>
      <w:pPr>
        <w:pStyle w:val="BookText"/>
      </w:pPr>
      <w:r>
        <w:rPr>
          <w:rFonts w:ascii="IRNazanin" w:hAnsi="IRNazanin" w:eastAsia="IRNazanin" w:cs="IRNazanin"/>
          <w:lang w:bidi="fa-IR"/>
          <w:color w:val="111111"/>
          <w:sz w:val="28"/>
          <w:szCs w:val="28"/>
          <w:rtl/>
        </w:rPr>
        <w:t xml:space="preserve">آغاز: فهرست جلد اول از مجلدات تاریخ روم و قیاصره. عهد اول. ذکر سلاطین باستان روم و بدو تشکیل نژاد رومیان از سنه هفتصد و پنجاه و سه الی پانصد و ده قبل از میلاد مسیح عليه السلام؛ انجام: زیرا که فتح زاما هنوز جنگ ثانی رم و کرج را تمام نکرده بود بلکه فتح جهان در اینوقت آغاز مییافت. کتاب حاضر جلد اول از تاریخ قیاصره رمية الكری (ایتالیا) است با ذکر نام سلاطین باستان روم و بدو تشکیل نژاد رومیان از هفتصد و پنجاه و سه الی سال پانصد و ده قبل از میلاد مسیح که در بیست و پنج «فصل» به تفصیل آمده است؛ خط: نستعلیق خوب، بی کا، بی تا؛ مجدول، کمند کشی، یک سرلوح؛ کاغذ: فرنگی بخور رنگ، جلد: مقوای روکش مخمل گلی رنگ با ترنج، ۷۰۳ص، ۲۰ سطر، اندازه: ۳۵/۵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[ف: ۵-۳۶۵]</w:t>
      </w:r>
    </w:p>
    <w:p>
      <w:pPr>
        <w:pStyle w:val="BookText"/>
      </w:pPr>
      <w:r>
        <w:rPr>
          <w:rFonts w:ascii="IRNazanin" w:hAnsi="IRNazanin" w:eastAsia="IRNazanin" w:cs="IRNazanin"/>
          <w:lang w:bidi="fa-IR"/>
          <w:color w:val="111111"/>
          <w:sz w:val="28"/>
          <w:szCs w:val="28"/>
          <w:rtl/>
        </w:rPr>
        <w:t xml:space="preserve">← تاریخ رویان ← تاریخ طبرستان</w:t>
      </w:r>
    </w:p>
    <w:p>
      <w:pPr>
        <w:pStyle w:val="Heading3"/>
      </w:pPr>
      <w:bookmarkStart w:id="2327" w:name="_Toc1587"/>
      <w:r>
        <w:t>•تاریخ رویان / تاریخ ایران / فارسی</w:t>
      </w:r>
      <w:bookmarkEnd w:id="2327"/>
    </w:p>
    <w:p>
      <w:pPr>
        <w:pStyle w:val="BookText"/>
      </w:pPr>
      <w:r>
        <w:rPr>
          <w:rFonts w:ascii="Times New Roman" w:hAnsi="Times New Roman" w:eastAsia="Times New Roman" w:cs="Times New Roman"/>
          <w:lang w:val="en-US" w:bidi="en-US"/>
          <w:color w:val="111111"/>
          <w:sz w:val="28"/>
          <w:szCs w:val="28"/>
          <w:rtl/>
        </w:rPr>
        <w:t xml:space="preserve">tārīx-e rūyan</w:t>
      </w:r>
    </w:p>
    <w:p>
      <w:pPr>
        <w:pStyle w:val="BookText"/>
      </w:pPr>
      <w:r>
        <w:rPr>
          <w:rFonts w:ascii="IRNazanin" w:hAnsi="IRNazanin" w:eastAsia="IRNazanin" w:cs="IRNazanin"/>
          <w:lang w:bidi="fa-IR"/>
          <w:color w:val="111111"/>
          <w:sz w:val="28"/>
          <w:szCs w:val="28"/>
          <w:rtl/>
        </w:rPr>
        <w:t xml:space="preserve">اولیاء الله آملی قرن ۸ قمری</w:t>
      </w:r>
    </w:p>
    <w:p>
      <w:pPr>
        <w:pStyle w:val="BookText"/>
      </w:pPr>
      <w:r>
        <w:rPr>
          <w:rFonts w:ascii="Times New Roman" w:hAnsi="Times New Roman" w:eastAsia="Times New Roman" w:cs="Times New Roman"/>
          <w:lang w:val="en-US" w:bidi="en-US"/>
          <w:color w:val="111111"/>
          <w:sz w:val="28"/>
          <w:szCs w:val="28"/>
          <w:rtl/>
        </w:rPr>
        <w:t xml:space="preserve">owlīyā’ lāh āmolī</w:t>
      </w:r>
    </w:p>
    <w:p>
      <w:pPr>
        <w:pStyle w:val="BookText"/>
      </w:pPr>
      <w:r>
        <w:rPr>
          <w:rFonts w:ascii="IRNazanin" w:hAnsi="IRNazanin" w:eastAsia="IRNazanin" w:cs="IRNazanin"/>
          <w:lang w:bidi="fa-IR"/>
          <w:color w:val="111111"/>
          <w:sz w:val="28"/>
          <w:szCs w:val="28"/>
          <w:rtl/>
        </w:rPr>
        <w:t xml:space="preserve">به دستور شهریار ابوالمعالی فخرالدوله شاه غازی پسر زیار پسر کیخسرو اسپهبد طبرستان (۷۶۱-۷۸۰ق). در ۷۶۳-۷۸۰ق در یک «مقدمه» و ده «باب» (هشت باب ]:</w:t>
      </w:r>
    </w:p>
    <w:p>
      <w:pPr>
        <w:pStyle w:val="BookText"/>
      </w:pPr>
      <w:r>
        <w:rPr>
          <w:rFonts w:ascii="IRNazanin" w:hAnsi="IRNazanin" w:eastAsia="IRNazanin" w:cs="IRNazanin"/>
          <w:lang w:bidi="fa-IR"/>
          <w:color w:val="111111"/>
          <w:sz w:val="28"/>
          <w:szCs w:val="28"/>
          <w:rtl/>
        </w:rPr>
        <w:t xml:space="preserve">۱. ابتدای عنارت رویان، ۲. ملوک استندار، ۳. حکام بیگانه در رویان، ۴. تصحيح نسب پادشاهان استندار، ۵. پادشاهان گذشته، ۶. پادشاهان صد سال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478" w:name="pg20363_209786"/>
    <w:bookmarkEnd w:id="478"/>
    <w:p>
      <w:pPr>
        <w:pStyle w:val="BookText"/>
      </w:pPr>
      <w:r>
        <w:rPr>
          <w:rFonts w:ascii="IRNazanin" w:hAnsi="IRNazanin" w:eastAsia="IRNazanin" w:cs="IRNazanin"/>
          <w:lang w:bidi="fa-IR"/>
          <w:color w:val="111111"/>
          <w:sz w:val="28"/>
          <w:szCs w:val="28"/>
          <w:rtl/>
        </w:rPr>
        <w:t xml:space="preserve">نزدیک به او، ۷. باقی ملوک، ۸ در ذکر واقعه مازندران. از ترجمه آلمانی و انگلیسی و فرانسوی آن یاد شده است. آغاز: بسمله و به نستعين، محامدی که محدود اوهام بشر نگردد و مدایحی که معدود افهام ارباب فکر و نظر نشود حضرت واجب الوجود على الاطلاق و مالک الملک بالاستحقاق را چاپ: تهران، ۱۳۱۳ شمسی، به کوشش عباس خلیلی؛ تهران،</w:t>
      </w:r>
    </w:p>
    <w:p>
      <w:pPr>
        <w:pStyle w:val="BookText"/>
      </w:pPr>
      <w:r>
        <w:rPr>
          <w:rFonts w:ascii="IRNazanin" w:hAnsi="IRNazanin" w:eastAsia="IRNazanin" w:cs="IRNazanin"/>
          <w:lang w:bidi="fa-IR"/>
          <w:color w:val="111111"/>
          <w:sz w:val="28"/>
          <w:szCs w:val="28"/>
          <w:rtl/>
        </w:rPr>
        <w:t xml:space="preserve">۱۳۴۸ شمسی، با تحقیق و پیشگفتار منوچهر ستوده</w:t>
      </w:r>
    </w:p>
    <w:p>
      <w:pPr>
        <w:pStyle w:val="BookText"/>
      </w:pPr>
      <w:r>
        <w:rPr>
          <w:rFonts w:ascii="IRNazanin" w:hAnsi="IRNazanin" w:eastAsia="IRNazanin" w:cs="IRNazanin"/>
          <w:lang w:bidi="fa-IR"/>
          <w:color w:val="111111"/>
          <w:sz w:val="28"/>
          <w:szCs w:val="28"/>
          <w:rtl/>
        </w:rPr>
        <w:t xml:space="preserve">۱. تهران: مجلس؛ شماره نسخه:۴۰۷۵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یک مقدمه و هشت باب؛ خط: نستعلیق، بی کا، تا: قرن ۱۱؛ کاغذ: اصفهانی، جلد: مقوایی آبی عطف و گوشه تیماج، ۵۰گ، ۲۵ سطر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۱۱-۷۱]</w:t>
      </w:r>
    </w:p>
    <w:p>
      <w:pPr>
        <w:pStyle w:val="BookText"/>
      </w:pPr>
      <w:r>
        <w:rPr>
          <w:rFonts w:ascii="IRNazanin" w:hAnsi="IRNazanin" w:eastAsia="IRNazanin" w:cs="IRNazanin"/>
          <w:lang w:bidi="fa-IR"/>
          <w:color w:val="111111"/>
          <w:sz w:val="28"/>
          <w:szCs w:val="28"/>
          <w:rtl/>
        </w:rPr>
        <w:t xml:space="preserve">۲. تهران؛ ادبیات؛ شماره نسخه:۹۴ - ج خط نستعلیق، بی کا، تا: قرن ۱۴؛ نسخه در پاریس در ۱۳۲۸/۱۰/۲۷ نزد اقبال بوده است؛ کاغذ: فرنگی، جلد: تیماج مشکی، ۷۲گ، ۱۷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۱-۶۷]</w:t>
      </w:r>
    </w:p>
    <w:p>
      <w:pPr>
        <w:pStyle w:val="Heading3"/>
      </w:pPr>
      <w:bookmarkStart w:id="2328" w:name="_Toc1588"/>
      <w:r>
        <w:t>• تاریخ زردشت و قسمتی از زند / ادیان و مذاهب / فارسی</w:t>
      </w:r>
      <w:bookmarkEnd w:id="2328"/>
    </w:p>
    <w:p>
      <w:pPr>
        <w:pStyle w:val="BookText"/>
      </w:pPr>
      <w:r>
        <w:rPr>
          <w:rFonts w:ascii="Times New Roman" w:hAnsi="Times New Roman" w:eastAsia="Times New Roman" w:cs="Times New Roman"/>
          <w:lang w:val="en-US" w:bidi="en-US"/>
          <w:color w:val="111111"/>
          <w:sz w:val="28"/>
          <w:szCs w:val="28"/>
          <w:rtl/>
        </w:rPr>
        <w:t xml:space="preserve">tārīx-e zardošt va qesmatī az zand</w:t>
      </w:r>
    </w:p>
    <w:p>
      <w:pPr>
        <w:pStyle w:val="BookText"/>
      </w:pPr>
      <w:r>
        <w:rPr>
          <w:rFonts w:ascii="IRNazanin" w:hAnsi="IRNazanin" w:eastAsia="IRNazanin" w:cs="IRNazanin"/>
          <w:lang w:bidi="fa-IR"/>
          <w:color w:val="111111"/>
          <w:sz w:val="28"/>
          <w:szCs w:val="28"/>
          <w:rtl/>
        </w:rPr>
        <w:t xml:space="preserve">در مقدمه مختصری از تاریخ زندگی زردشت آمده و سپس قسمتی از زند و پازند نقل و همراه آن شرح آنها به فارسی آمده است.</w:t>
      </w:r>
    </w:p>
    <w:p>
      <w:pPr>
        <w:pStyle w:val="BookText"/>
      </w:pPr>
      <w:r>
        <w:rPr>
          <w:rFonts w:ascii="IRNazanin" w:hAnsi="IRNazanin" w:eastAsia="IRNazanin" w:cs="IRNazanin"/>
          <w:lang w:bidi="fa-IR"/>
          <w:color w:val="111111"/>
          <w:sz w:val="28"/>
          <w:szCs w:val="28"/>
          <w:rtl/>
        </w:rPr>
        <w:t xml:space="preserve">تهران؛ ملی؛ شماره نسخه:۷۲۴</w:t>
      </w:r>
    </w:p>
    <w:p>
      <w:pPr>
        <w:pStyle w:val="BookText"/>
      </w:pPr>
      <w:r>
        <w:rPr>
          <w:rFonts w:ascii="IRNazanin" w:hAnsi="IRNazanin" w:eastAsia="IRNazanin" w:cs="IRNazanin"/>
          <w:lang w:bidi="fa-IR"/>
          <w:color w:val="111111"/>
          <w:sz w:val="28"/>
          <w:szCs w:val="28"/>
          <w:rtl/>
        </w:rPr>
        <w:t xml:space="preserve">آغاز: بنام ایزد بخشاینده بخشایشگر مهربان، عرضه داشت اینکه چون سی سال بر پادشاهی شاه گشتاسب گذشت پیغمبری پدید آمد زراتشت نام که عرب او را ابراهیم خوانند؛ انجام: آگاه دهید انجمنیان نران و مادگان بزم امشا سفندان چه نرايشان ده اند مادعج ایشان ده. خط: نستعلیق، بی کا، تا: محتملا قرن ۱۳، کاغذ: فرنگی، جلد: تیماج یک لا، ۲۵گ، ۱۱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۲-۲۲۹]</w:t>
      </w:r>
    </w:p>
    <w:p>
      <w:pPr>
        <w:pStyle w:val="Heading3"/>
      </w:pPr>
      <w:bookmarkStart w:id="2329" w:name="_Toc1589"/>
      <w:r>
        <w:t>•تاریخ زفره / تاریخ / فارسی</w:t>
      </w:r>
      <w:bookmarkEnd w:id="2329"/>
    </w:p>
    <w:p>
      <w:pPr>
        <w:pStyle w:val="BookText"/>
      </w:pPr>
      <w:r>
        <w:rPr>
          <w:rFonts w:ascii="Times New Roman" w:hAnsi="Times New Roman" w:eastAsia="Times New Roman" w:cs="Times New Roman"/>
          <w:lang w:val="en-US" w:bidi="en-US"/>
          <w:color w:val="111111"/>
          <w:sz w:val="28"/>
          <w:szCs w:val="28"/>
          <w:rtl/>
        </w:rPr>
        <w:t xml:space="preserve">tārīx-e zefre</w:t>
      </w:r>
    </w:p>
    <w:p>
      <w:pPr>
        <w:pStyle w:val="BookText"/>
      </w:pPr>
      <w:r>
        <w:rPr>
          <w:rFonts w:ascii="IRNazanin" w:hAnsi="IRNazanin" w:eastAsia="IRNazanin" w:cs="IRNazanin"/>
          <w:lang w:bidi="fa-IR"/>
          <w:color w:val="111111"/>
          <w:sz w:val="28"/>
          <w:szCs w:val="28"/>
          <w:rtl/>
        </w:rPr>
        <w:t xml:space="preserve">رجایی زفره ای، محمد حسن، ۱۳۱۰ شمسی</w:t>
      </w:r>
    </w:p>
    <w:p>
      <w:pPr>
        <w:pStyle w:val="BookText"/>
      </w:pPr>
      <w:r>
        <w:rPr>
          <w:rFonts w:ascii="Times New Roman" w:hAnsi="Times New Roman" w:eastAsia="Times New Roman" w:cs="Times New Roman"/>
          <w:lang w:val="en-US" w:bidi="en-US"/>
          <w:color w:val="111111"/>
          <w:sz w:val="28"/>
          <w:szCs w:val="28"/>
          <w:rtl/>
        </w:rPr>
        <w:t xml:space="preserve">rajāyī zefre-ī, mohammad hasan (1931-)</w:t>
      </w:r>
    </w:p>
    <w:p>
      <w:pPr>
        <w:pStyle w:val="BookText"/>
      </w:pPr>
      <w:r>
        <w:rPr>
          <w:rFonts w:ascii="IRNazanin" w:hAnsi="IRNazanin" w:eastAsia="IRNazanin" w:cs="IRNazanin"/>
          <w:lang w:bidi="fa-IR"/>
          <w:color w:val="111111"/>
          <w:sz w:val="28"/>
          <w:szCs w:val="28"/>
          <w:rtl/>
        </w:rPr>
        <w:t xml:space="preserve">مؤلف خلاصه تاریخ زفره را به ضمیمه نمونه اشعار رجاء زفرهای در ۱۳۴۵ش به چاپ رسانده و در کتاب حاضر مفصل تاریخ زفره و از قلم افتاده ها را آورده است. وی مطلبی درباره وضعیت جغرافیایی زفره و فرهنگ مردم آن و شرح حال عده ای از بزرگان آن دیار آورده و در پایان فهرستی از کتاب های خطی و چاپی کتابخانه خود به دست داده است.</w:t>
      </w:r>
    </w:p>
    <w:p>
      <w:pPr>
        <w:pStyle w:val="BookText"/>
      </w:pPr>
      <w:r>
        <w:rPr>
          <w:rFonts w:ascii="IRNazanin" w:hAnsi="IRNazanin" w:eastAsia="IRNazanin" w:cs="IRNazanin"/>
          <w:lang w:bidi="fa-IR"/>
          <w:color w:val="111111"/>
          <w:sz w:val="28"/>
          <w:szCs w:val="28"/>
          <w:rtl/>
        </w:rPr>
        <w:t xml:space="preserve">تهران؛ مجلس؛ شماره نسخه:۹۴۷۸</w:t>
      </w:r>
    </w:p>
    <w:p>
      <w:pPr>
        <w:pStyle w:val="BookText"/>
      </w:pPr>
      <w:r>
        <w:rPr>
          <w:rFonts w:ascii="IRNazanin" w:hAnsi="IRNazanin" w:eastAsia="IRNazanin" w:cs="IRNazanin"/>
          <w:lang w:bidi="fa-IR"/>
          <w:color w:val="111111"/>
          <w:sz w:val="28"/>
          <w:szCs w:val="28"/>
          <w:rtl/>
        </w:rPr>
        <w:t xml:space="preserve">آغاز: زفره جزو بخش کوهپایه اصفهان و دارای هوائی سالم و آبی گواراست؛ انجام: فهرست کتابخانه دانشکده الهیات تهران که به جای شماره اول سال 8 مجله همان دانشکده منتشر شده خط: نستعلیق تحریری، کاتب =مؤلف، تا: ۱۳۴۵ق؛ جلد: مقوا عطف پارچه، ۵۵ گ، ۱۵ سطر، اندازه: ۱۷/۵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۳۰-۱۶۰]</w:t>
      </w:r>
    </w:p>
    <w:p>
      <w:pPr>
        <w:pStyle w:val="Heading3"/>
      </w:pPr>
      <w:bookmarkStart w:id="2330" w:name="_Toc1590"/>
      <w:r>
        <w:t>•تاريخ الزمان و سبب تفرق الناس في البلدان / تاریخ / عربی</w:t>
      </w:r>
      <w:bookmarkEnd w:id="2330"/>
    </w:p>
    <w:p>
      <w:pPr>
        <w:pStyle w:val="BookText"/>
      </w:pPr>
      <w:r>
        <w:rPr>
          <w:rFonts w:ascii="Times New Roman" w:hAnsi="Times New Roman" w:eastAsia="Times New Roman" w:cs="Times New Roman"/>
          <w:lang w:val="en-US" w:bidi="en-US"/>
          <w:color w:val="111111"/>
          <w:sz w:val="28"/>
          <w:szCs w:val="28"/>
          <w:rtl/>
        </w:rPr>
        <w:t xml:space="preserve">tārīx-uz zamān wa sabab-u tafarruq-in nās fi-l buldān</w:t>
      </w:r>
    </w:p>
    <w:p>
      <w:pPr>
        <w:pStyle w:val="BookText"/>
      </w:pPr>
      <w:r>
        <w:rPr>
          <w:rFonts w:ascii="IRNazanin" w:hAnsi="IRNazanin" w:eastAsia="IRNazanin" w:cs="IRNazanin"/>
          <w:lang w:bidi="fa-IR"/>
          <w:color w:val="111111"/>
          <w:sz w:val="28"/>
          <w:szCs w:val="28"/>
          <w:rtl/>
        </w:rPr>
        <w:t xml:space="preserve">كبسی، محمد بن اسماعیل، -۱۳۰۸ قمری</w:t>
      </w:r>
    </w:p>
    <w:p>
      <w:pPr>
        <w:pStyle w:val="BookText"/>
      </w:pPr>
      <w:r>
        <w:rPr>
          <w:rFonts w:ascii="Times New Roman" w:hAnsi="Times New Roman" w:eastAsia="Times New Roman" w:cs="Times New Roman"/>
          <w:lang w:val="en-US" w:bidi="en-US"/>
          <w:color w:val="111111"/>
          <w:sz w:val="28"/>
          <w:szCs w:val="28"/>
          <w:rtl/>
        </w:rPr>
        <w:t xml:space="preserve">kabasī, mohammad ebn-e esmāʻīl (-1891)</w:t>
      </w:r>
    </w:p>
    <w:p>
      <w:pPr>
        <w:pStyle w:val="BookText"/>
      </w:pPr>
      <w:r>
        <w:rPr>
          <w:rFonts w:ascii="IRNazanin" w:hAnsi="IRNazanin" w:eastAsia="IRNazanin" w:cs="IRNazanin"/>
          <w:lang w:bidi="fa-IR"/>
          <w:color w:val="111111"/>
          <w:sz w:val="28"/>
          <w:szCs w:val="28"/>
          <w:rtl/>
        </w:rPr>
        <w:t xml:space="preserve">سبب متفرق شدن مردم بعد از طوفان حضرت نوح (علیه السلام) در بلاد مختلف و پادشاهان حمیری، ساسانی، رومی، عربی، غربی و شرقی قبل از اسلام تا اوایل اسلام در این کتاب با ذکر اشعاری به مناسبت های مختلف جمع آوری شده، به درخواست والی و مشیر آن بلاد (یمن) محمد عزه که کتابی در این باره می خواسته و چون کتابی موجود نبوده خود به تألیف این کتاب همت گماشته و تاریخ ملک یمن را در زمان اسلام به کتاب دیگر خویش که در ایام مشیر سابق مصطفی عاصم نوشته ارجاع داده است.</w:t>
      </w:r>
    </w:p>
    <w:p>
      <w:pPr>
        <w:pStyle w:val="BookText"/>
      </w:pPr>
      <w:r>
        <w:rPr>
          <w:rFonts w:ascii="Amiri" w:hAnsi="Amiri" w:eastAsia="Amiri" w:cs="Amiri"/>
          <w:lang w:bidi="ar-SA"/>
          <w:color w:val="111111"/>
          <w:sz w:val="28"/>
          <w:szCs w:val="28"/>
          <w:rtl/>
        </w:rPr>
        <w:t xml:space="preserve">[مؤلفات الزيدية ۲۳۴/۱ ]</w:t>
      </w:r>
    </w:p>
    <w:p>
      <w:pPr>
        <w:pStyle w:val="BookText"/>
      </w:pPr>
      <w:r>
        <w:rPr>
          <w:rFonts w:ascii="IRNazanin" w:hAnsi="IRNazanin" w:eastAsia="IRNazanin" w:cs="IRNazanin"/>
          <w:lang w:bidi="fa-IR"/>
          <w:color w:val="111111"/>
          <w:sz w:val="28"/>
          <w:szCs w:val="28"/>
          <w:rtl/>
        </w:rPr>
        <w:t xml:space="preserve">قم، مرکز احیاء؛ شماره نسخه:۳۳۳</w:t>
      </w:r>
    </w:p>
    <w:p>
      <w:pPr>
        <w:pStyle w:val="BookText"/>
      </w:pPr>
      <w:r>
        <w:rPr>
          <w:rFonts w:ascii="IRNazanin" w:hAnsi="IRNazanin" w:eastAsia="IRNazanin" w:cs="IRNazanin"/>
          <w:lang w:bidi="fa-IR"/>
          <w:color w:val="111111"/>
          <w:sz w:val="28"/>
          <w:szCs w:val="28"/>
          <w:rtl/>
        </w:rPr>
        <w:t xml:space="preserve">آغاز: الحمدلله الملك الكريم المعبود الصمد المقصود الرؤوف الرحيم المحمود الكثير الانعام الوافد الجود نسخه اصل: کتابخانه آکادمی لینچی رم ۳ ۳۵۸</w:t>
      </w:r>
      <w:r>
        <w:rPr>
          <w:rFonts w:ascii="Times New Roman" w:hAnsi="Times New Roman" w:eastAsia="Times New Roman" w:cs="Times New Roman"/>
          <w:lang w:val="en-US" w:bidi="en-US"/>
          <w:color w:val="111111"/>
          <w:sz w:val="28"/>
          <w:szCs w:val="28"/>
          <w:rtl/>
        </w:rPr>
        <w:t xml:space="preserve">Ansaldi</w:t>
      </w:r>
      <w:r>
        <w:rPr>
          <w:rFonts w:ascii="IRNazanin" w:hAnsi="IRNazanin" w:eastAsia="IRNazanin" w:cs="IRNazanin"/>
          <w:lang w:bidi="fa-IR"/>
          <w:color w:val="111111"/>
          <w:sz w:val="28"/>
          <w:szCs w:val="28"/>
          <w:rtl/>
        </w:rPr>
        <w:t xml:space="preserve">؛ خط: نسخ، كا: یحیی بن علی بن احمد (یا حميد) آنسی زیدی عدلی، تا: یک شنبه ۱۹ رجب ۱۳۵۰ق؛ ۱۴۲ ص [عکسی ف: ۱-۳۹۳]</w:t>
      </w:r>
    </w:p>
    <w:p>
      <w:pPr>
        <w:pStyle w:val="Heading3"/>
      </w:pPr>
      <w:bookmarkStart w:id="2331" w:name="_Toc1591"/>
      <w:r>
        <w:t>•تاریخ زمین / زمین شناسی / فارسی</w:t>
      </w:r>
      <w:bookmarkEnd w:id="2331"/>
    </w:p>
    <w:p>
      <w:pPr>
        <w:pStyle w:val="BookText"/>
      </w:pPr>
      <w:r>
        <w:rPr>
          <w:rFonts w:ascii="Times New Roman" w:hAnsi="Times New Roman" w:eastAsia="Times New Roman" w:cs="Times New Roman"/>
          <w:lang w:val="en-US" w:bidi="en-US"/>
          <w:color w:val="111111"/>
          <w:sz w:val="28"/>
          <w:szCs w:val="28"/>
          <w:rtl/>
        </w:rPr>
        <w:t xml:space="preserve">tārīx-e zamīn</w:t>
      </w:r>
    </w:p>
    <w:p>
      <w:pPr>
        <w:pStyle w:val="BookText"/>
      </w:pPr>
      <w:r>
        <w:rPr>
          <w:rFonts w:ascii="IRNazanin" w:hAnsi="IRNazanin" w:eastAsia="IRNazanin" w:cs="IRNazanin"/>
          <w:lang w:bidi="fa-IR"/>
          <w:color w:val="111111"/>
          <w:sz w:val="28"/>
          <w:szCs w:val="28"/>
          <w:rtl/>
        </w:rPr>
        <w:t xml:space="preserve">تاریخ ترجمه: رمضان ۱۲۹۲ق از: بر تیر، لئون، مترجم: کرمانشهانی. در تاریخ احوالات کره زمین و مشتمل بر یک «مقدمه» و دو مبحث» و «خاتمه» می باشد و هر مبحث شامل چند «فصل».</w:t>
      </w:r>
    </w:p>
    <w:p>
      <w:pPr>
        <w:pStyle w:val="BookText"/>
      </w:pPr>
      <w:r>
        <w:rPr>
          <w:rFonts w:ascii="IRNazanin" w:hAnsi="IRNazanin" w:eastAsia="IRNazanin" w:cs="IRNazanin"/>
          <w:lang w:bidi="fa-IR"/>
          <w:color w:val="111111"/>
          <w:sz w:val="28"/>
          <w:szCs w:val="28"/>
          <w:rtl/>
        </w:rPr>
        <w:t xml:space="preserve">تهران؛ مدارک فرهنگی؛ شماره نسخه:۸۴/۳</w:t>
      </w:r>
    </w:p>
    <w:p>
      <w:pPr>
        <w:pStyle w:val="BookText"/>
      </w:pPr>
      <w:r>
        <w:rPr>
          <w:rFonts w:ascii="IRNazanin" w:hAnsi="IRNazanin" w:eastAsia="IRNazanin" w:cs="IRNazanin"/>
          <w:lang w:bidi="fa-IR"/>
          <w:color w:val="111111"/>
          <w:sz w:val="28"/>
          <w:szCs w:val="28"/>
          <w:rtl/>
        </w:rPr>
        <w:t xml:space="preserve">آغاز: الحمدلله رب العالمين ... و بعد این رساله ای است در تاریخ احوالات زمین؛ انجام: تکميل جنس انسان را از موهبت و فيوضات خود را در او خواهد نمود به تکمیل قسمت با افتخار وی خط: شکسته نستعلیق خوب، بی کا، بی تا، کاغذ: فرنگی حنایی و مایل به حنایی، جلد: تیماج قهوه ای روشن مجدول، ۸۰ص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479" w:name="pg20363_209787"/>
    <w:bookmarkEnd w:id="479"/>
    <w:p>
      <w:pPr>
        <w:pStyle w:val="BookText"/>
      </w:pPr>
      <w:r>
        <w:rPr>
          <w:rFonts w:ascii="IRNazanin" w:hAnsi="IRNazanin" w:eastAsia="IRNazanin" w:cs="IRNazanin"/>
          <w:lang w:bidi="fa-IR"/>
          <w:color w:val="111111"/>
          <w:sz w:val="28"/>
          <w:szCs w:val="28"/>
          <w:rtl/>
        </w:rPr>
        <w:t xml:space="preserve">(۲۳۳ر -۱۳۱۲)، اندازه: ۲۱۸۱۴سم [ف: ۷۹]</w:t>
      </w:r>
    </w:p>
    <w:p>
      <w:pPr>
        <w:pStyle w:val="Heading3"/>
      </w:pPr>
      <w:bookmarkStart w:id="2332" w:name="_Toc1592"/>
      <w:r>
        <w:t>•تاریخ زندگانی پیامبر اسلام و ائمه معصومین علیهم السلام / تاریخ / فارسی</w:t>
      </w:r>
      <w:bookmarkEnd w:id="2332"/>
    </w:p>
    <w:p>
      <w:pPr>
        <w:pStyle w:val="BookText"/>
      </w:pPr>
      <w:r>
        <w:rPr>
          <w:rFonts w:ascii="Times New Roman" w:hAnsi="Times New Roman" w:eastAsia="Times New Roman" w:cs="Times New Roman"/>
          <w:lang w:val="en-US" w:bidi="en-US"/>
          <w:color w:val="111111"/>
          <w:sz w:val="28"/>
          <w:szCs w:val="28"/>
          <w:rtl/>
        </w:rPr>
        <w:t xml:space="preserve">tārīx-e zendegānī-ye payāmbar-e eslām va a'emme-ye ma'sūmīn 'alay-hem-os-salām</w:t>
      </w:r>
    </w:p>
    <w:p>
      <w:pPr>
        <w:pStyle w:val="BookText"/>
      </w:pPr>
      <w:r>
        <w:rPr>
          <w:rFonts w:ascii="IRNazanin" w:hAnsi="IRNazanin" w:eastAsia="IRNazanin" w:cs="IRNazanin"/>
          <w:lang w:bidi="fa-IR"/>
          <w:color w:val="111111"/>
          <w:sz w:val="28"/>
          <w:szCs w:val="28"/>
          <w:rtl/>
        </w:rPr>
        <w:t xml:space="preserve">تاريخ تأليف: ۱۳۰۳ تاریخ زندگانی پیامبر اسلام و ائمه معصومین است. مؤلف، در پایان زندگانی حضرت امام حسین بن علی چنین نوشته: «بتاريخ سلخ ماه شوال در طهران در مدرسه مرحوم جنبت مكان [حجة الاسلام آقای آقا سید صادق، در روز یکشنبه این چند کلمه تحریر گردید، و كان ذلك في تاريخ سنة ۱۳۰۳» وی اشعاری به فارسی نیز سروده و در چند مورد از کتاب «کشف الغمة» نقل کرده است.</w:t>
      </w:r>
    </w:p>
    <w:p>
      <w:pPr>
        <w:pStyle w:val="BookText"/>
      </w:pPr>
      <w:r>
        <w:rPr>
          <w:rFonts w:ascii="IRNazanin" w:hAnsi="IRNazanin" w:eastAsia="IRNazanin" w:cs="IRNazanin"/>
          <w:lang w:bidi="fa-IR"/>
          <w:color w:val="111111"/>
          <w:sz w:val="28"/>
          <w:szCs w:val="28"/>
          <w:rtl/>
        </w:rPr>
        <w:t xml:space="preserve">قم؛ مرعشی؛ شماره نسخه: ۱۵۱۹۱/۳</w:t>
      </w:r>
    </w:p>
    <w:p>
      <w:pPr>
        <w:pStyle w:val="BookText"/>
      </w:pPr>
      <w:r>
        <w:rPr>
          <w:rFonts w:ascii="IRNazanin" w:hAnsi="IRNazanin" w:eastAsia="IRNazanin" w:cs="IRNazanin"/>
          <w:lang w:bidi="fa-IR"/>
          <w:color w:val="111111"/>
          <w:sz w:val="28"/>
          <w:szCs w:val="28"/>
          <w:rtl/>
        </w:rPr>
        <w:t xml:space="preserve">آغاز: در اخلاق حضرت رسول (صلی الله عليه و آله) و سنتهای آنحضرت که مشترکست در میانه آنحضرت و سایر ائمه. اخلاقه. سخن نمیگفت در جایی که بکار آید؛ انجام: يوم زيارته. روز جمعه تعلق بحضرت صاحب الامر( صلوات الله علیه) دارد ... السام علیک یا مولای یا صاحب الزمان أنا مولی لک. خط: نسخ و نستعلیق، کاتب = مؤلف، بی تا، جا؛ تهران؛ مصحح، محشی، مجدول مذهب؛ کاغذ: فرنگی، ۱۲گ،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۳۸-۵۶۷]</w:t>
      </w:r>
    </w:p>
    <w:p>
      <w:pPr>
        <w:pStyle w:val="Heading3"/>
      </w:pPr>
      <w:bookmarkStart w:id="2333" w:name="_Toc1593"/>
      <w:r>
        <w:t>•تاریخ زندگانی فوبلاس (ترجمه) = ترجمه حیات فوبلاس / تراجم / فارسی</w:t>
      </w:r>
      <w:bookmarkEnd w:id="2333"/>
    </w:p>
    <w:p>
      <w:pPr>
        <w:pStyle w:val="BookText"/>
      </w:pPr>
      <w:r>
        <w:rPr>
          <w:rFonts w:ascii="Times New Roman" w:hAnsi="Times New Roman" w:eastAsia="Times New Roman" w:cs="Times New Roman"/>
          <w:lang w:val="en-US" w:bidi="en-US"/>
          <w:color w:val="111111"/>
          <w:sz w:val="28"/>
          <w:szCs w:val="28"/>
          <w:rtl/>
        </w:rPr>
        <w:t xml:space="preserve">tārīx-e zendegānī-ye fobelās (t.) = t.-ye hayāt-e fobelās</w:t>
      </w:r>
    </w:p>
    <w:p>
      <w:pPr>
        <w:pStyle w:val="BookText"/>
      </w:pPr>
      <w:r>
        <w:rPr>
          <w:rFonts w:ascii="IRNazanin" w:hAnsi="IRNazanin" w:eastAsia="IRNazanin" w:cs="IRNazanin"/>
          <w:lang w:bidi="fa-IR"/>
          <w:color w:val="111111"/>
          <w:sz w:val="28"/>
          <w:szCs w:val="28"/>
          <w:rtl/>
        </w:rPr>
        <w:t xml:space="preserve">علی بخش میرزا قاجار، ۱۲۵۴ ق۔</w:t>
      </w:r>
    </w:p>
    <w:p>
      <w:pPr>
        <w:pStyle w:val="BookText"/>
      </w:pPr>
      <w:r>
        <w:rPr>
          <w:rFonts w:ascii="Times New Roman" w:hAnsi="Times New Roman" w:eastAsia="Times New Roman" w:cs="Times New Roman"/>
          <w:lang w:val="en-US" w:bidi="en-US"/>
          <w:color w:val="111111"/>
          <w:sz w:val="28"/>
          <w:szCs w:val="28"/>
          <w:rtl/>
        </w:rPr>
        <w:t xml:space="preserve">‘alī baxš mīrzā qājār (1838-)</w:t>
      </w:r>
    </w:p>
    <w:p>
      <w:pPr>
        <w:pStyle w:val="BookText"/>
      </w:pPr>
      <w:r>
        <w:rPr>
          <w:rFonts w:ascii="IRNazanin" w:hAnsi="IRNazanin" w:eastAsia="IRNazanin" w:cs="IRNazanin"/>
          <w:lang w:bidi="fa-IR"/>
          <w:color w:val="111111"/>
          <w:sz w:val="28"/>
          <w:szCs w:val="28"/>
          <w:rtl/>
        </w:rPr>
        <w:t xml:space="preserve">مترجم می گوید: در سال ۱۲۹۲ ق به مشهد رفتم و پس از بازگشت به تهران دو جلد کتاب به نام های: تشریح الابدان و کتاب لیوردور که را از زبان فرانسه بر گرداندم و آن را به خدمت شاه تقدیم کردم. پس از احسان شاهانه قصد ترجمه کتبی در جراحی داشتم که مرا به ترجمه حیات فوبلاس تشویق کردند. من هم با وجود آنکه سنم از ترجمه این گونه کتب گذشته بود دست به ترجمه این کتاب زدم در این کتاب از رفتار و کردار و هوسرانی های فوبلاس بحث شده است. آغاز: بسمله و به نستعين، الحمدلله رب العالمين و جاعل الانسان من طين جلد دوم: بسمله. جلد دویم واقعات شش هفته از تاریخ حیات شوالی و فوبلاس. بیا تا گل برافشانیم و می در ساغر اندازیم *** فلک را سقف بشکافیم و طرح نو براندازیم</w:t>
      </w:r>
    </w:p>
    <w:p>
      <w:pPr>
        <w:pStyle w:val="BookText"/>
      </w:pPr>
      <w:r>
        <w:rPr>
          <w:rFonts w:ascii="IRNazanin" w:hAnsi="IRNazanin" w:eastAsia="IRNazanin" w:cs="IRNazanin"/>
          <w:lang w:bidi="fa-IR"/>
          <w:color w:val="111111"/>
          <w:sz w:val="28"/>
          <w:szCs w:val="28"/>
          <w:rtl/>
        </w:rPr>
        <w:t xml:space="preserve">***انجام: صد هزاران گل شکفت و بانگ مرغی بر نخواست *** عندلیبان را چه پیش آمد هزاران را چه شد. سبحان من هو حي لا يموت و الصلوة على محمد و آله الطيبين الطاهرين. [دنا ۷۰۹/۲ (۱۵ نسخه)]</w:t>
      </w:r>
    </w:p>
    <w:p>
      <w:pPr>
        <w:pStyle w:val="BookText"/>
      </w:pPr>
      <w:r>
        <w:rPr>
          <w:rFonts w:ascii="IRNazanin" w:hAnsi="IRNazanin" w:eastAsia="IRNazanin" w:cs="IRNazanin"/>
          <w:lang w:bidi="fa-IR"/>
          <w:color w:val="111111"/>
          <w:sz w:val="28"/>
          <w:szCs w:val="28"/>
          <w:rtl/>
        </w:rPr>
        <w:t xml:space="preserve">۱. تهران؛ ملی؛ شماره نسخه:۲۰۷</w:t>
      </w:r>
    </w:p>
    <w:p>
      <w:pPr>
        <w:pStyle w:val="BookText"/>
      </w:pPr>
      <w:r>
        <w:rPr>
          <w:rFonts w:ascii="IRNazanin" w:hAnsi="IRNazanin" w:eastAsia="IRNazanin" w:cs="IRNazanin"/>
          <w:lang w:bidi="fa-IR"/>
          <w:color w:val="111111"/>
          <w:sz w:val="28"/>
          <w:szCs w:val="28"/>
          <w:rtl/>
        </w:rPr>
        <w:t xml:space="preserve">آغاز: برابر جلد ۲؛ انجام: برابر</w:t>
      </w:r>
    </w:p>
    <w:p>
      <w:pPr>
        <w:pStyle w:val="BookText"/>
      </w:pPr>
      <w:r>
        <w:rPr>
          <w:rFonts w:ascii="IRNazanin" w:hAnsi="IRNazanin" w:eastAsia="IRNazanin" w:cs="IRNazanin"/>
          <w:lang w:bidi="fa-IR"/>
          <w:color w:val="111111"/>
          <w:sz w:val="28"/>
          <w:szCs w:val="28"/>
          <w:rtl/>
        </w:rPr>
        <w:t xml:space="preserve">خط: نستعلیق خوش، کاتب = مؤلف، تا: ۲۲ صفر ۱۲۹۶ق، جان تهران؛ کاغذ: فرنگی، جلد: تیماج مقوایی، ۲۲۵ گ، ۱۶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۱۷/۵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۲۵/۵سم [ف: ۱-۲۰۴]</w:t>
      </w:r>
    </w:p>
    <w:p>
      <w:pPr>
        <w:pStyle w:val="BookText"/>
      </w:pPr>
      <w:r>
        <w:rPr>
          <w:rFonts w:ascii="IRNazanin" w:hAnsi="IRNazanin" w:eastAsia="IRNazanin" w:cs="IRNazanin"/>
          <w:lang w:bidi="fa-IR"/>
          <w:color w:val="111111"/>
          <w:sz w:val="28"/>
          <w:szCs w:val="28"/>
          <w:rtl/>
        </w:rPr>
        <w:t xml:space="preserve">۲. تهران؛ ملی؛ شماره نسخه:۱۸۴۶</w:t>
      </w:r>
    </w:p>
    <w:p>
      <w:pPr>
        <w:pStyle w:val="BookText"/>
      </w:pPr>
      <w:r>
        <w:rPr>
          <w:rFonts w:ascii="IRNazanin" w:hAnsi="IRNazanin" w:eastAsia="IRNazanin" w:cs="IRNazanin"/>
          <w:lang w:bidi="fa-IR"/>
          <w:color w:val="111111"/>
          <w:sz w:val="28"/>
          <w:szCs w:val="28"/>
          <w:rtl/>
        </w:rPr>
        <w:t xml:space="preserve">آغاز: برابر، انجام: علامت سوال است که متکلم از مستمع سوال نمود خط: نسخ، بی کا، تا: ۱۲۹۴ق، جان تهران؛ کاغذ: فرنگی، جلد: تیماج ماشی، ۲۰۱گ، ۲۰ سطر ( ۲۲/۶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۴-۳۰۲]</w:t>
      </w:r>
    </w:p>
    <w:p>
      <w:pPr>
        <w:pStyle w:val="BookText"/>
      </w:pPr>
      <w:r>
        <w:rPr>
          <w:rFonts w:ascii="IRNazanin" w:hAnsi="IRNazanin" w:eastAsia="IRNazanin" w:cs="IRNazanin"/>
          <w:lang w:bidi="fa-IR"/>
          <w:color w:val="111111"/>
          <w:sz w:val="28"/>
          <w:szCs w:val="28"/>
          <w:rtl/>
        </w:rPr>
        <w:t xml:space="preserve">٣. تهران: ملی؛ شماره نسخه: ۸۶۸</w:t>
      </w:r>
    </w:p>
    <w:p>
      <w:pPr>
        <w:pStyle w:val="BookText"/>
      </w:pPr>
      <w:r>
        <w:rPr>
          <w:rFonts w:ascii="IRNazanin" w:hAnsi="IRNazanin" w:eastAsia="IRNazanin" w:cs="IRNazanin"/>
          <w:lang w:bidi="fa-IR"/>
          <w:color w:val="111111"/>
          <w:sz w:val="28"/>
          <w:szCs w:val="28"/>
          <w:rtl/>
        </w:rPr>
        <w:t xml:space="preserve">آغاز: برابر؛ انجام: اگر چه اول ادعا نمود که حسود نیست اما الى در مضیف مادام لین پول ما را ترک نکرد و با ما آمد.</w:t>
      </w:r>
    </w:p>
    <w:p>
      <w:pPr>
        <w:pStyle w:val="BookText"/>
      </w:pPr>
      <w:r>
        <w:rPr>
          <w:rFonts w:ascii="IRNazanin" w:hAnsi="IRNazanin" w:eastAsia="IRNazanin" w:cs="IRNazanin"/>
          <w:lang w:bidi="fa-IR"/>
          <w:color w:val="111111"/>
          <w:sz w:val="28"/>
          <w:szCs w:val="28"/>
          <w:rtl/>
        </w:rPr>
        <w:t xml:space="preserve">جلد اول؛ خط: نسخ، بی کا، تا: ربيع الثانی ۱۲۹۴ق، جا؛ تهران؛ کاغذ: فرنگی الوان، جلد: تیماج زرد مقوایی، ۴۲۱گ، ۱۳ کامل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سم [ف: ۲-۴۰۲]</w:t>
      </w:r>
    </w:p>
    <w:p>
      <w:pPr>
        <w:pStyle w:val="BookText"/>
      </w:pPr>
      <w:r>
        <w:rPr>
          <w:rFonts w:ascii="IRNazanin" w:hAnsi="IRNazanin" w:eastAsia="IRNazanin" w:cs="IRNazanin"/>
          <w:lang w:bidi="fa-IR"/>
          <w:color w:val="111111"/>
          <w:sz w:val="28"/>
          <w:szCs w:val="28"/>
          <w:rtl/>
        </w:rPr>
        <w:t xml:space="preserve">۴. تهران: مجلس؛ شماره نسخه:۷۸۵۵</w:t>
      </w:r>
    </w:p>
    <w:p>
      <w:pPr>
        <w:pStyle w:val="BookText"/>
      </w:pPr>
      <w:r>
        <w:rPr>
          <w:rFonts w:ascii="IRNazanin" w:hAnsi="IRNazanin" w:eastAsia="IRNazanin" w:cs="IRNazanin"/>
          <w:lang w:bidi="fa-IR"/>
          <w:color w:val="111111"/>
          <w:sz w:val="28"/>
          <w:szCs w:val="28"/>
          <w:rtl/>
        </w:rPr>
        <w:t xml:space="preserve">آغاز: این کتاب ترجمه تاریخ و روزنامه موسیو شوالی دو فبلاس است که یکی از نجباء فرانسه و بسیار خوشگل بود برای حاصل نمودن تجربه مطالعه کنندگان خوب است که عبرت گیرند و بدانند که هرزگی چه مفسده های عظیم دارد و حاصلش جز بدنامه و تلف کردن عمر چیزی نست؛ انجام: برابر جلد دوم؛ خط: نستعلیق، بی کا، بی تا، برای عبدالحسين بن سردار محمد حسن خان در هشت ماه نوشته شده؛ تملك: عبد الحسين بن سردار محمد خان ۲۰ صفر ۱۲۹۶؛ جلد: مقوا، عطف تیماج، ۱۸۷، ۱۷ سطر، اندازه: ۱۶/۵</w:t>
      </w:r>
    </w:p>
    <w:p>
      <w:pPr>
        <w:pStyle w:val="BookText"/>
      </w:pP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۲۶-۳۳۵]</w:t>
      </w:r>
    </w:p>
    <w:p>
      <w:pPr>
        <w:pStyle w:val="BookText"/>
      </w:pPr>
      <w:r>
        <w:rPr>
          <w:rFonts w:ascii="IRNazanin" w:hAnsi="IRNazanin" w:eastAsia="IRNazanin" w:cs="IRNazanin"/>
          <w:lang w:bidi="fa-IR"/>
          <w:color w:val="111111"/>
          <w:sz w:val="28"/>
          <w:szCs w:val="28"/>
          <w:rtl/>
        </w:rPr>
        <w:t xml:space="preserve">۵. تهران؛ مجلس؛ شماره نسخه:۹۳۰۶</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جلد ۲؛ انجام: و شمشیر خود را از نیام کشید من نعره زده گفتم آه این شمشیر ... همان خط: شکسته نستعلیق، بی کا، تا: قرن ۱۴؛ مهر: کتابخانه جعفر سلطان القرائی؛ جلد: تیماج قهوه ای با ترنج و سرترنج، ۲۸۲گ، ۱۴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۳۰-۶۶]</w:t>
      </w:r>
    </w:p>
    <w:p>
      <w:pPr>
        <w:pStyle w:val="BookText"/>
      </w:pPr>
      <w:r>
        <w:rPr>
          <w:rFonts w:ascii="IRNazanin" w:hAnsi="IRNazanin" w:eastAsia="IRNazanin" w:cs="IRNazanin"/>
          <w:lang w:bidi="fa-IR"/>
          <w:color w:val="111111"/>
          <w:sz w:val="28"/>
          <w:szCs w:val="28"/>
          <w:rtl/>
        </w:rPr>
        <w:t xml:space="preserve">۶. تهران؛ ملی؛ شماره نسخه: ۲۲۲</w:t>
      </w:r>
    </w:p>
    <w:p>
      <w:pPr>
        <w:pStyle w:val="BookText"/>
      </w:pPr>
      <w:r>
        <w:rPr>
          <w:rFonts w:ascii="IRNazanin" w:hAnsi="IRNazanin" w:eastAsia="IRNazanin" w:cs="IRNazanin"/>
          <w:lang w:bidi="fa-IR"/>
          <w:color w:val="111111"/>
          <w:sz w:val="28"/>
          <w:szCs w:val="28"/>
          <w:rtl/>
        </w:rPr>
        <w:t xml:space="preserve">آغاز: برابر جلد ۲؛ انجام: برابر خط: نسخ، كا: على اكبر، تا: جمادی الاول ۱۳۰۱ق، جان تهران؛ کاغذ: فرنگی، جلد: تیماج قرمز با ترنج و نیم ترنج دار، ۲۵۱گ، ۱۷ سطر(۱۱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اندازه: ۱۹/۵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۱-۲۱۵]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480" w:name="pg20363_209788"/>
    <w:bookmarkEnd w:id="480"/>
    <w:p>
      <w:pPr>
        <w:pStyle w:val="BookText"/>
      </w:pPr>
      <w:r>
        <w:rPr>
          <w:rFonts w:ascii="IRNazanin" w:hAnsi="IRNazanin" w:eastAsia="IRNazanin" w:cs="IRNazanin"/>
          <w:lang w:bidi="fa-IR"/>
          <w:color w:val="111111"/>
          <w:sz w:val="28"/>
          <w:szCs w:val="28"/>
          <w:rtl/>
        </w:rPr>
        <w:t xml:space="preserve">۷. تهران؛ ملی؛ شماره نسخه:۲۵</w:t>
      </w:r>
    </w:p>
    <w:p>
      <w:pPr>
        <w:pStyle w:val="BookText"/>
      </w:pPr>
      <w:r>
        <w:rPr>
          <w:rFonts w:ascii="IRNazanin" w:hAnsi="IRNazanin" w:eastAsia="IRNazanin" w:cs="IRNazanin"/>
          <w:lang w:bidi="fa-IR"/>
          <w:color w:val="111111"/>
          <w:sz w:val="28"/>
          <w:szCs w:val="28"/>
          <w:rtl/>
        </w:rPr>
        <w:t xml:space="preserve">آغاز: برابر؛ انجام: اللهم اغفرلی و لمن طالع کتابی بحق محمد و آله عليهم السلام، في شهر صفر المظفر من شهور سنه ۱۳۰۱ جلد اول، از ص ۱ تا ۳ سبب ترجمه کتاب و نام کتب دیگری که مترجم آن را ترجمه کرده یاد شده است و از ۳ تا ۴۶۱ شرح حال فوبلاس و نشیب و فرازهای ایام او آمده؛ خط: نسخ خوش، بی کا، تا: صفر ۱۳۰۱ق، جا: تهران؛ کاغذ: فرنگی سفید، جلد: تیماج قرمز، ۲۳۰گ، ۱۷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۲۷/۵ سم [ف: ۱-۱۸]</w:t>
      </w:r>
    </w:p>
    <w:p>
      <w:pPr>
        <w:pStyle w:val="BookText"/>
      </w:pPr>
      <w:r>
        <w:rPr>
          <w:rFonts w:ascii="IRNazanin" w:hAnsi="IRNazanin" w:eastAsia="IRNazanin" w:cs="IRNazanin"/>
          <w:lang w:bidi="fa-IR"/>
          <w:color w:val="111111"/>
          <w:sz w:val="28"/>
          <w:szCs w:val="28"/>
          <w:rtl/>
        </w:rPr>
        <w:t xml:space="preserve">۸. قم؛ مرعشی؛ شماره نسخه: ۲۴۱۸</w:t>
      </w:r>
    </w:p>
    <w:p>
      <w:pPr>
        <w:pStyle w:val="BookText"/>
      </w:pPr>
      <w:r>
        <w:rPr>
          <w:rFonts w:ascii="IRNazanin" w:hAnsi="IRNazanin" w:eastAsia="IRNazanin" w:cs="IRNazanin"/>
          <w:lang w:bidi="fa-IR"/>
          <w:color w:val="111111"/>
          <w:sz w:val="28"/>
          <w:szCs w:val="28"/>
          <w:rtl/>
        </w:rPr>
        <w:t xml:space="preserve">آغاز: الحمدلله رب العالمين ... و بعد چون در سنه ۱۲۹۲ به آستان بوسی حضرت ثامن ضامن عليه السلام؛ انجام: و هر جا (؟) این نشان هست علامت سؤال است که متکلم از مستمع سؤال نموده.</w:t>
      </w:r>
    </w:p>
    <w:p>
      <w:pPr>
        <w:pStyle w:val="BookText"/>
      </w:pPr>
      <w:r>
        <w:rPr>
          <w:rFonts w:ascii="IRNazanin" w:hAnsi="IRNazanin" w:eastAsia="IRNazanin" w:cs="IRNazanin"/>
          <w:lang w:bidi="fa-IR"/>
          <w:color w:val="111111"/>
          <w:sz w:val="28"/>
          <w:szCs w:val="28"/>
          <w:rtl/>
        </w:rPr>
        <w:t xml:space="preserve">جلد اول؛ خط: نسخ، كا: علی اکبر (میرزا علی اکبر خان شاعر)، تا: ۶ شعبان ۱۳۰۵ق؛ جلد: مقوایی عطف تیماج قهوه ای، ۲۱۶گ، ۲۰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۳۴سم [ف: ۷-۱۷]</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ملی؛ شماره نسخه:۱۶۷۵</w:t>
      </w:r>
    </w:p>
    <w:p>
      <w:pPr>
        <w:pStyle w:val="BookText"/>
      </w:pPr>
      <w:r>
        <w:rPr>
          <w:rFonts w:ascii="IRNazanin" w:hAnsi="IRNazanin" w:eastAsia="IRNazanin" w:cs="IRNazanin"/>
          <w:lang w:bidi="fa-IR"/>
          <w:color w:val="111111"/>
          <w:sz w:val="28"/>
          <w:szCs w:val="28"/>
          <w:rtl/>
        </w:rPr>
        <w:t xml:space="preserve">آغاز: برابر جلد ۲؛ انجام: برابر جلد دوم؛ خط: نسخ، كا: على اكبر، تا: ۱۳۰۶ق؛ کاغذ: فرنگی، جلد: گالینگور عطف تیماج مشکی، ۱۱۳، ۲۰سطر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۴-۱۵۱]</w:t>
      </w:r>
    </w:p>
    <w:p>
      <w:pPr>
        <w:pStyle w:val="BookText"/>
      </w:pPr>
      <w:r>
        <w:rPr>
          <w:rFonts w:ascii="IRNazanin" w:hAnsi="IRNazanin" w:eastAsia="IRNazanin" w:cs="IRNazanin"/>
          <w:lang w:bidi="fa-IR"/>
          <w:color w:val="111111"/>
          <w:sz w:val="28"/>
          <w:szCs w:val="28"/>
          <w:rtl/>
        </w:rPr>
        <w:t xml:space="preserve">۱۰. تهران؛ مجلس؛ شماره نسخه:۷۰۵۶</w:t>
      </w:r>
    </w:p>
    <w:p>
      <w:pPr>
        <w:pStyle w:val="BookText"/>
      </w:pPr>
      <w:r>
        <w:rPr>
          <w:rFonts w:ascii="IRNazanin" w:hAnsi="IRNazanin" w:eastAsia="IRNazanin" w:cs="IRNazanin"/>
          <w:lang w:bidi="fa-IR"/>
          <w:color w:val="111111"/>
          <w:sz w:val="28"/>
          <w:szCs w:val="28"/>
          <w:rtl/>
        </w:rPr>
        <w:t xml:space="preserve">آغاز: ترجمه تاریخ فوبلاس به طریق زبان فرانسه، اتفاقاتی که در مدت یک سال به فوبلاس روی داده است. به من گفته که اجداد تو در وطن خود همیشه با عزت و نعمت بوده اند؛ انجام: و هر جا که این نشا است علامت سؤال است که متکلم از مستمع سؤال نموده؛ اللهم اغفر لي و لمن طالع کتابی بحق محمد و آله. خط: نستعلیق شکسته، كا: ظاهر به خط مترجم، تا: ۱۳۰۶ق؛ جلد: تیماج، قهوه ای ترنج با سر با نقش گل و بوته مذهب، ۲۳۹ گ، ۱۸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سم [ف: ۲۵-۶۷]</w:t>
      </w:r>
    </w:p>
    <w:p>
      <w:pPr>
        <w:pStyle w:val="BookText"/>
      </w:pPr>
      <w:r>
        <w:rPr>
          <w:rFonts w:ascii="IRNazanin" w:hAnsi="IRNazanin" w:eastAsia="IRNazanin" w:cs="IRNazanin"/>
          <w:lang w:bidi="fa-IR"/>
          <w:color w:val="111111"/>
          <w:sz w:val="28"/>
          <w:szCs w:val="28"/>
          <w:rtl/>
        </w:rPr>
        <w:t xml:space="preserve">۱۱. تهران؛ ملی؛ شماره نسخه: ۱۳۷۱</w:t>
      </w:r>
    </w:p>
    <w:p>
      <w:pPr>
        <w:pStyle w:val="BookText"/>
      </w:pPr>
      <w:r>
        <w:rPr>
          <w:rFonts w:ascii="IRNazanin" w:hAnsi="IRNazanin" w:eastAsia="IRNazanin" w:cs="IRNazanin"/>
          <w:lang w:bidi="fa-IR"/>
          <w:color w:val="111111"/>
          <w:sz w:val="28"/>
          <w:szCs w:val="28"/>
          <w:rtl/>
        </w:rPr>
        <w:t xml:space="preserve">آغاز: برابر جلد ۲؛ انجام: برابر</w:t>
      </w:r>
    </w:p>
    <w:p>
      <w:pPr>
        <w:pStyle w:val="BookText"/>
      </w:pPr>
      <w:r>
        <w:rPr>
          <w:rFonts w:ascii="IRNazanin" w:hAnsi="IRNazanin" w:eastAsia="IRNazanin" w:cs="IRNazanin"/>
          <w:lang w:bidi="fa-IR"/>
          <w:color w:val="111111"/>
          <w:sz w:val="28"/>
          <w:szCs w:val="28"/>
          <w:rtl/>
        </w:rPr>
        <w:t xml:space="preserve">جلد دوم؛ خط: نسخ، كا: محمد علی، تا: ۱۳۰۶ق؛ کاغذ: فرنگی، جلد: تیماج سبز مقوایی، ۵۶۲گ، ۱۳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۳-۴۲۹]</w:t>
      </w:r>
    </w:p>
    <w:p>
      <w:pPr>
        <w:pStyle w:val="BookText"/>
      </w:pPr>
      <w:r>
        <w:rPr>
          <w:rFonts w:ascii="IRNazanin" w:hAnsi="IRNazanin" w:eastAsia="IRNazanin" w:cs="IRNazanin"/>
          <w:lang w:bidi="fa-IR"/>
          <w:color w:val="111111"/>
          <w:sz w:val="28"/>
          <w:szCs w:val="28"/>
          <w:rtl/>
        </w:rPr>
        <w:t xml:space="preserve">۱۲. اصفهان؛ صارم الدوله (كتابخانه فرهنگ اصفهان)؛ شماره نسخه:۴۵۸</w:t>
      </w:r>
    </w:p>
    <w:p>
      <w:pPr>
        <w:pStyle w:val="BookText"/>
      </w:pPr>
      <w:r>
        <w:rPr>
          <w:rFonts w:ascii="IRNazanin" w:hAnsi="IRNazanin" w:eastAsia="IRNazanin" w:cs="IRNazanin"/>
          <w:lang w:bidi="fa-IR"/>
          <w:color w:val="111111"/>
          <w:sz w:val="28"/>
          <w:szCs w:val="28"/>
          <w:rtl/>
        </w:rPr>
        <w:t xml:space="preserve">آغاز: بسمله ترجمه تاریخ حیات (فوبلاس) بطریق زبان فرانسه اتفاقاتی که در مدت یکسال رویداده است؛ انجام: و هر جا (؟) این نشان هست علامت سوال است که متکلم از مستمع سوال نموده جلد اول؛ خط: شکسته نستعلیق، کا: محمد حسن يوسف آشتیانی، تا: ذیحجه ۱۳۰۹ ق، برای ظل السلطان؛ ۴۵۸ص، ۱۴ سطر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۵۴]</w:t>
      </w:r>
    </w:p>
    <w:p>
      <w:pPr>
        <w:pStyle w:val="BookText"/>
      </w:pPr>
      <w:r>
        <w:rPr>
          <w:rFonts w:ascii="IRNazanin" w:hAnsi="IRNazanin" w:eastAsia="IRNazanin" w:cs="IRNazanin"/>
          <w:lang w:bidi="fa-IR"/>
          <w:color w:val="111111"/>
          <w:sz w:val="28"/>
          <w:szCs w:val="28"/>
          <w:rtl/>
        </w:rPr>
        <w:t xml:space="preserve">۱۳. تهران؛ ملی؛ شماره نسخه: ۱۱۹۱</w:t>
      </w:r>
    </w:p>
    <w:p>
      <w:pPr>
        <w:pStyle w:val="BookText"/>
      </w:pPr>
      <w:r>
        <w:rPr>
          <w:rFonts w:ascii="IRNazanin" w:hAnsi="IRNazanin" w:eastAsia="IRNazanin" w:cs="IRNazanin"/>
          <w:lang w:bidi="fa-IR"/>
          <w:color w:val="111111"/>
          <w:sz w:val="28"/>
          <w:szCs w:val="28"/>
          <w:rtl/>
        </w:rPr>
        <w:t xml:space="preserve">آغاز: برابر؛ انجام: اما الى در مضیف (مادام لین پول) ترک نگردد با ما آمد.</w:t>
      </w:r>
    </w:p>
    <w:p>
      <w:pPr>
        <w:pStyle w:val="BookText"/>
      </w:pPr>
      <w:r>
        <w:rPr>
          <w:rFonts w:ascii="IRNazanin" w:hAnsi="IRNazanin" w:eastAsia="IRNazanin" w:cs="IRNazanin"/>
          <w:lang w:bidi="fa-IR"/>
          <w:color w:val="111111"/>
          <w:sz w:val="28"/>
          <w:szCs w:val="28"/>
          <w:rtl/>
        </w:rPr>
        <w:t xml:space="preserve">جلد اول؛ خط: نسخ خوش، بی کا، تا: ذیحجه ۱۳۱۱ق، جان دارالسلطنه؛ کاغذ: فرنگی، جلد: تیماج سبز مقوایی، ۳۰۶گ، ۱۷ سطر (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۳-۲۲۵]</w:t>
      </w:r>
    </w:p>
    <w:p>
      <w:pPr>
        <w:pStyle w:val="BookText"/>
      </w:pPr>
      <w:r>
        <w:rPr>
          <w:rFonts w:ascii="IRNazanin" w:hAnsi="IRNazanin" w:eastAsia="IRNazanin" w:cs="IRNazanin"/>
          <w:lang w:bidi="fa-IR"/>
          <w:color w:val="111111"/>
          <w:sz w:val="28"/>
          <w:szCs w:val="28"/>
          <w:rtl/>
        </w:rPr>
        <w:t xml:space="preserve">۱۴. قم؛ مرعشی؛ شماره نسخه:۲۴۱۹</w:t>
      </w:r>
    </w:p>
    <w:p>
      <w:pPr>
        <w:pStyle w:val="BookText"/>
      </w:pPr>
      <w:r>
        <w:rPr>
          <w:rFonts w:ascii="IRNazanin" w:hAnsi="IRNazanin" w:eastAsia="IRNazanin" w:cs="IRNazanin"/>
          <w:lang w:bidi="fa-IR"/>
          <w:color w:val="111111"/>
          <w:sz w:val="28"/>
          <w:szCs w:val="28"/>
          <w:rtl/>
        </w:rPr>
        <w:t xml:space="preserve">آغاز: که صندوقی چرمین در عقب کالسکه بنهادند جلد دوم؛ خط: نستعلیق، کا: محمد علی حسینی فراهانی قائم مقامی، تا: غره رمضان ۱۳۳۱ق؛ افتادگی: آغاز، به دستور حضرت اشرف سردار اسعد؛ جلد: مقوایی عطف تیماج قهوه ای، ۴۵۱گ، ۱۴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۳۲/۵سم [ف: ۷-۱۸]</w:t>
      </w:r>
    </w:p>
    <w:p>
      <w:pPr>
        <w:pStyle w:val="BookText"/>
      </w:pPr>
      <w:r>
        <w:rPr>
          <w:rFonts w:ascii="IRNazanin" w:hAnsi="IRNazanin" w:eastAsia="IRNazanin" w:cs="IRNazanin"/>
          <w:lang w:bidi="fa-IR"/>
          <w:color w:val="111111"/>
          <w:sz w:val="28"/>
          <w:szCs w:val="28"/>
          <w:rtl/>
        </w:rPr>
        <w:t xml:space="preserve">۱۵. اصفهان؛ صارم الدوله (كتابخانه فرهنگ )اصفهان، شماره نسخه: ۹۲۱</w:t>
      </w:r>
    </w:p>
    <w:p>
      <w:pPr>
        <w:pStyle w:val="BookText"/>
      </w:pPr>
      <w:r>
        <w:rPr>
          <w:rFonts w:ascii="IRNazanin" w:hAnsi="IRNazanin" w:eastAsia="IRNazanin" w:cs="IRNazanin"/>
          <w:lang w:bidi="fa-IR"/>
          <w:color w:val="111111"/>
          <w:sz w:val="28"/>
          <w:szCs w:val="28"/>
          <w:rtl/>
        </w:rPr>
        <w:t xml:space="preserve">آغاز: برابر جلد ۲؛ انجام: برابر</w:t>
      </w:r>
    </w:p>
    <w:p>
      <w:pPr>
        <w:pStyle w:val="BookText"/>
      </w:pPr>
      <w:r>
        <w:rPr>
          <w:rFonts w:ascii="IRNazanin" w:hAnsi="IRNazanin" w:eastAsia="IRNazanin" w:cs="IRNazanin"/>
          <w:lang w:bidi="fa-IR"/>
          <w:color w:val="111111"/>
          <w:sz w:val="28"/>
          <w:szCs w:val="28"/>
          <w:rtl/>
        </w:rPr>
        <w:t xml:space="preserve">جلد دوم؛ خط: شکسته نستعلیق، كا: محمد حسن آشتیانی، بی تا؛ ۱۰۶۰ص، ۱۳ سطر (۱۳۷۸)، اندازه: ۱۸۶۱۳سم [ف: ۵۵]</w:t>
      </w:r>
    </w:p>
    <w:p>
      <w:pPr>
        <w:pStyle w:val="BookText"/>
      </w:pPr>
      <w:r>
        <w:rPr>
          <w:rFonts w:ascii="IRNazanin" w:hAnsi="IRNazanin" w:eastAsia="IRNazanin" w:cs="IRNazanin"/>
          <w:lang w:bidi="fa-IR"/>
          <w:color w:val="111111"/>
          <w:sz w:val="28"/>
          <w:szCs w:val="28"/>
          <w:rtl/>
        </w:rPr>
        <w:t xml:space="preserve">←تاریخ زندگی پیامبر (ص) ← تاریخ پیامبر(صلی الله علیه وآله وسلم)</w:t>
      </w:r>
    </w:p>
    <w:p>
      <w:pPr>
        <w:pStyle w:val="BookText"/>
      </w:pPr>
      <w:r>
        <w:rPr>
          <w:rFonts w:ascii="IRNazanin" w:hAnsi="IRNazanin" w:eastAsia="IRNazanin" w:cs="IRNazanin"/>
          <w:lang w:bidi="fa-IR"/>
          <w:color w:val="111111"/>
          <w:sz w:val="28"/>
          <w:szCs w:val="28"/>
          <w:rtl/>
        </w:rPr>
        <w:t xml:space="preserve">← تاریخ زندگی شاه طهماسب ← شاه نامه قاسمی</w:t>
      </w:r>
    </w:p>
    <w:p>
      <w:pPr>
        <w:pStyle w:val="Heading3"/>
      </w:pPr>
      <w:bookmarkStart w:id="2334" w:name="_Toc1594"/>
      <w:r>
        <w:t>•تاریخ زندگی و مقاصد ارامنه / تاریخ / فارسی</w:t>
      </w:r>
      <w:bookmarkEnd w:id="2334"/>
    </w:p>
    <w:p>
      <w:pPr>
        <w:pStyle w:val="BookText"/>
      </w:pPr>
      <w:r>
        <w:rPr>
          <w:rFonts w:ascii="Times New Roman" w:hAnsi="Times New Roman" w:eastAsia="Times New Roman" w:cs="Times New Roman"/>
          <w:lang w:val="en-US" w:bidi="en-US"/>
          <w:color w:val="111111"/>
          <w:sz w:val="28"/>
          <w:szCs w:val="28"/>
          <w:rtl/>
        </w:rPr>
        <w:t xml:space="preserve">tārīx-e zendegī va maqāsed-e arāmane</w:t>
      </w:r>
    </w:p>
    <w:p>
      <w:pPr>
        <w:pStyle w:val="BookText"/>
      </w:pPr>
      <w:r>
        <w:rPr>
          <w:rFonts w:ascii="IRNazanin" w:hAnsi="IRNazanin" w:eastAsia="IRNazanin" w:cs="IRNazanin"/>
          <w:lang w:bidi="fa-IR"/>
          <w:color w:val="111111"/>
          <w:sz w:val="28"/>
          <w:szCs w:val="28"/>
          <w:rtl/>
        </w:rPr>
        <w:t xml:space="preserve">تهران؛ ملک؛ شماره نسخه: ۳۷۴۳/۲</w:t>
      </w:r>
    </w:p>
    <w:p>
      <w:pPr>
        <w:pStyle w:val="BookText"/>
      </w:pPr>
      <w:r>
        <w:rPr>
          <w:rFonts w:ascii="IRNazanin" w:hAnsi="IRNazanin" w:eastAsia="IRNazanin" w:cs="IRNazanin"/>
          <w:lang w:bidi="fa-IR"/>
          <w:color w:val="111111"/>
          <w:sz w:val="28"/>
          <w:szCs w:val="28"/>
          <w:rtl/>
        </w:rPr>
        <w:t xml:space="preserve">از روی جریده «آچیق سوز» چاپ بادکوبه؛ خط: نستعلیق، بی کا، تا: شعبان ۱۳۳۴ق [ف: ۷-۳۴]</w:t>
      </w:r>
    </w:p>
    <w:p>
      <w:pPr>
        <w:pStyle w:val="BookText"/>
      </w:pPr>
      <w:r>
        <w:rPr>
          <w:rFonts w:ascii="IRNazanin" w:hAnsi="IRNazanin" w:eastAsia="IRNazanin" w:cs="IRNazanin"/>
          <w:lang w:bidi="fa-IR"/>
          <w:color w:val="111111"/>
          <w:sz w:val="28"/>
          <w:szCs w:val="28"/>
          <w:rtl/>
        </w:rPr>
        <w:t xml:space="preserve">←تاریخ زندیه ←تاریخ لطفعلی خان زند</w:t>
      </w:r>
    </w:p>
    <w:p>
      <w:pPr>
        <w:pStyle w:val="BookText"/>
      </w:pPr>
      <w:r>
        <w:rPr>
          <w:rFonts w:ascii="IRNazanin" w:hAnsi="IRNazanin" w:eastAsia="IRNazanin" w:cs="IRNazanin"/>
          <w:lang w:bidi="fa-IR"/>
          <w:color w:val="111111"/>
          <w:sz w:val="28"/>
          <w:szCs w:val="28"/>
          <w:rtl/>
        </w:rPr>
        <w:t xml:space="preserve">←تاریخ زندیه ← ذیل تاریخ گیتی گشای</w:t>
      </w:r>
    </w:p>
    <w:p>
      <w:pPr>
        <w:pStyle w:val="Heading3"/>
      </w:pPr>
      <w:bookmarkStart w:id="2335" w:name="_Toc1595"/>
      <w:r>
        <w:t>•تاریخ ژرمن و رم (ترجمه) / تاریخ / فارسی</w:t>
      </w:r>
      <w:bookmarkEnd w:id="2335"/>
    </w:p>
    <w:p>
      <w:pPr>
        <w:pStyle w:val="BookText"/>
      </w:pPr>
      <w:r>
        <w:rPr>
          <w:rFonts w:ascii="Times New Roman" w:hAnsi="Times New Roman" w:eastAsia="Times New Roman" w:cs="Times New Roman"/>
          <w:lang w:val="en-US" w:bidi="en-US"/>
          <w:color w:val="111111"/>
          <w:sz w:val="28"/>
          <w:szCs w:val="28"/>
          <w:rtl/>
        </w:rPr>
        <w:t xml:space="preserve">tārīx-e žerman va rom (t.) an</w:t>
      </w:r>
    </w:p>
    <w:p>
      <w:pPr>
        <w:pStyle w:val="BookText"/>
      </w:pPr>
      <w:r>
        <w:rPr>
          <w:rFonts w:ascii="IRNazanin" w:hAnsi="IRNazanin" w:eastAsia="IRNazanin" w:cs="IRNazanin"/>
          <w:lang w:bidi="fa-IR"/>
          <w:color w:val="111111"/>
          <w:sz w:val="28"/>
          <w:szCs w:val="28"/>
          <w:rtl/>
        </w:rPr>
        <w:t xml:space="preserve">قاجار، حسینعلی بن ناصرالدین شاه، ق۱۴ قمری</w:t>
      </w:r>
    </w:p>
    <w:p>
      <w:pPr>
        <w:pStyle w:val="BookText"/>
      </w:pPr>
      <w:r>
        <w:rPr>
          <w:rFonts w:ascii="Times New Roman" w:hAnsi="Times New Roman" w:eastAsia="Times New Roman" w:cs="Times New Roman"/>
          <w:lang w:val="en-US" w:bidi="en-US"/>
          <w:color w:val="111111"/>
          <w:sz w:val="28"/>
          <w:szCs w:val="28"/>
          <w:rtl/>
        </w:rPr>
        <w:t xml:space="preserve">qājār, hoseyn-'alī ebn-e nāser-od-dīn šāh (-20c)</w:t>
      </w:r>
    </w:p>
    <w:p>
      <w:pPr>
        <w:pStyle w:val="BookText"/>
      </w:pPr>
      <w:r>
        <w:rPr>
          <w:rFonts w:ascii="IRNazanin" w:hAnsi="IRNazanin" w:eastAsia="IRNazanin" w:cs="IRNazanin"/>
          <w:lang w:bidi="fa-IR"/>
          <w:color w:val="111111"/>
          <w:sz w:val="28"/>
          <w:szCs w:val="28"/>
          <w:rtl/>
        </w:rPr>
        <w:t xml:space="preserve">تهران؛ مجلس؛ شماره نسخه:۱۵۰۰۱</w:t>
      </w:r>
    </w:p>
    <w:p>
      <w:pPr>
        <w:pStyle w:val="BookText"/>
      </w:pPr>
      <w:r>
        <w:rPr>
          <w:rFonts w:ascii="IRNazanin" w:hAnsi="IRNazanin" w:eastAsia="IRNazanin" w:cs="IRNazanin"/>
          <w:lang w:bidi="fa-IR"/>
          <w:color w:val="111111"/>
          <w:sz w:val="28"/>
          <w:szCs w:val="28"/>
          <w:rtl/>
        </w:rPr>
        <w:t xml:space="preserve">ترجمه از اصل کتاب اثر فليکس و آن؛ خط: تحریری، بی کا، تا: ۱۴ صفر ۱۳۴۰ق [مختصر ف: ۱۵۸]</w:t>
      </w:r>
    </w:p>
    <w:p>
      <w:pPr>
        <w:pStyle w:val="Heading3"/>
      </w:pPr>
      <w:bookmarkStart w:id="2336" w:name="_Toc1596"/>
      <w:r>
        <w:t>•تاریخ ساختن بقعه امام رضا در سناباد طوس / تاریخ / فارسی</w:t>
      </w:r>
      <w:bookmarkEnd w:id="2336"/>
    </w:p>
    <w:p>
      <w:pPr>
        <w:pStyle w:val="BookText"/>
      </w:pPr>
      <w:r>
        <w:rPr>
          <w:rFonts w:ascii="Times New Roman" w:hAnsi="Times New Roman" w:eastAsia="Times New Roman" w:cs="Times New Roman"/>
          <w:lang w:val="en-US" w:bidi="en-US"/>
          <w:color w:val="111111"/>
          <w:sz w:val="28"/>
          <w:szCs w:val="28"/>
          <w:rtl/>
        </w:rPr>
        <w:t xml:space="preserve">tārīx-e sāxtan-e boq‘e-ye emām rezā dar sanābād-e tūs</w:t>
      </w:r>
    </w:p>
    <w:p>
      <w:pPr>
        <w:pStyle w:val="BookText"/>
      </w:pPr>
      <w:r>
        <w:rPr>
          <w:rFonts w:ascii="IRNazanin" w:hAnsi="IRNazanin" w:eastAsia="IRNazanin" w:cs="IRNazanin"/>
          <w:lang w:bidi="fa-IR"/>
          <w:color w:val="111111"/>
          <w:sz w:val="28"/>
          <w:szCs w:val="28"/>
          <w:rtl/>
        </w:rPr>
        <w:t xml:space="preserve">تاريخ تأليف: ۱۳۱۲ق دارای مطالب تاریخی مهم از آنها است تخریب و ویران کاری میرزا فضل الله وزير متولی و برادر میرزا آقا خان نوری صدر اعظم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481" w:name="pg20363_209789"/>
    <w:bookmarkEnd w:id="481"/>
    <w:p>
      <w:pPr>
        <w:pStyle w:val="BookText"/>
      </w:pPr>
      <w:r>
        <w:rPr>
          <w:rFonts w:ascii="IRNazanin" w:hAnsi="IRNazanin" w:eastAsia="IRNazanin" w:cs="IRNazanin"/>
          <w:lang w:bidi="fa-IR"/>
          <w:color w:val="111111"/>
          <w:sz w:val="28"/>
          <w:szCs w:val="28"/>
          <w:rtl/>
        </w:rPr>
        <w:t xml:space="preserve">تهران؛ دانشگاه؛ شماره نسخه: ۷۵۳۵/۵۶</w:t>
      </w:r>
    </w:p>
    <w:p>
      <w:pPr>
        <w:pStyle w:val="BookText"/>
      </w:pPr>
      <w:r>
        <w:rPr>
          <w:rFonts w:ascii="IRNazanin" w:hAnsi="IRNazanin" w:eastAsia="IRNazanin" w:cs="IRNazanin"/>
          <w:lang w:bidi="fa-IR"/>
          <w:color w:val="111111"/>
          <w:sz w:val="28"/>
          <w:szCs w:val="28"/>
          <w:rtl/>
        </w:rPr>
        <w:t xml:space="preserve">خط: نستعلیق چلیپا، بی کا، تا: قرن ۱۴، نستعلیق راسته و چلیپا؛ کاغذ: فرنگی، جلد: مخمل آبی، ۱۴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۱۶-۶۱۷]</w:t>
      </w:r>
    </w:p>
    <w:p>
      <w:pPr>
        <w:pStyle w:val="Heading3"/>
      </w:pPr>
      <w:bookmarkStart w:id="2337" w:name="_Toc1597"/>
      <w:r>
        <w:t>•تاریخ سپه / تاریخ / فارسی</w:t>
      </w:r>
      <w:bookmarkEnd w:id="2337"/>
    </w:p>
    <w:p>
      <w:pPr>
        <w:pStyle w:val="BookText"/>
      </w:pPr>
      <w:r>
        <w:rPr>
          <w:rFonts w:ascii="Times New Roman" w:hAnsi="Times New Roman" w:eastAsia="Times New Roman" w:cs="Times New Roman"/>
          <w:lang w:val="en-US" w:bidi="en-US"/>
          <w:color w:val="111111"/>
          <w:sz w:val="28"/>
          <w:szCs w:val="28"/>
          <w:rtl/>
        </w:rPr>
        <w:t xml:space="preserve">tārīx-e sepah</w:t>
      </w:r>
    </w:p>
    <w:p>
      <w:pPr>
        <w:pStyle w:val="BookText"/>
      </w:pPr>
      <w:r>
        <w:rPr>
          <w:rFonts w:ascii="IRNazanin" w:hAnsi="IRNazanin" w:eastAsia="IRNazanin" w:cs="IRNazanin"/>
          <w:lang w:bidi="fa-IR"/>
          <w:color w:val="111111"/>
          <w:sz w:val="28"/>
          <w:szCs w:val="28"/>
          <w:rtl/>
        </w:rPr>
        <w:t xml:space="preserve">جاوید، حسن</w:t>
      </w:r>
    </w:p>
    <w:p>
      <w:pPr>
        <w:pStyle w:val="BookText"/>
      </w:pPr>
      <w:r>
        <w:rPr>
          <w:rFonts w:ascii="Times New Roman" w:hAnsi="Times New Roman" w:eastAsia="Times New Roman" w:cs="Times New Roman"/>
          <w:lang w:val="en-US" w:bidi="en-US"/>
          <w:color w:val="111111"/>
          <w:sz w:val="28"/>
          <w:szCs w:val="28"/>
          <w:rtl/>
        </w:rPr>
        <w:t xml:space="preserve">jāvīd, hasan</w:t>
      </w:r>
    </w:p>
    <w:p>
      <w:pPr>
        <w:pStyle w:val="BookText"/>
      </w:pPr>
      <w:r>
        <w:rPr>
          <w:rFonts w:ascii="IRNazanin" w:hAnsi="IRNazanin" w:eastAsia="IRNazanin" w:cs="IRNazanin"/>
          <w:lang w:bidi="fa-IR"/>
          <w:color w:val="111111"/>
          <w:sz w:val="28"/>
          <w:szCs w:val="28"/>
          <w:rtl/>
        </w:rPr>
        <w:t xml:space="preserve">تاریخ تأليف: ۱۳۴۲ق در تاریخ عمومی ملل و دولت های روی زمین از آغاز ظهور تا سال تأليف (۱۳۴۲)، مشتمل بر سه جلد که اکثر آنها ترجمه ای است از مصادر تاریخ خارجی و داخلی که نظرات خود را نیز بدان افزوده است. این کتاب دارای مقدمه ای است در اهمیت علم تاریخ و قوانین ویرایشی که در زمان تأليف كتاب در کشورهای اروپایی مرسوم بوده و مؤلف آنها را در کتاب حاضر رعایت نموده است.</w:t>
      </w:r>
    </w:p>
    <w:p>
      <w:pPr>
        <w:pStyle w:val="BookText"/>
      </w:pPr>
      <w:r>
        <w:rPr>
          <w:rFonts w:ascii="IRNazanin" w:hAnsi="IRNazanin" w:eastAsia="IRNazanin" w:cs="IRNazanin"/>
          <w:lang w:bidi="fa-IR"/>
          <w:color w:val="111111"/>
          <w:sz w:val="28"/>
          <w:szCs w:val="28"/>
          <w:rtl/>
        </w:rPr>
        <w:t xml:space="preserve">اصفهان، دانشگاه؛ شماره نسخه:۴۵۶</w:t>
      </w:r>
    </w:p>
    <w:p>
      <w:pPr>
        <w:pStyle w:val="BookText"/>
      </w:pPr>
      <w:r>
        <w:rPr>
          <w:rFonts w:ascii="IRNazanin" w:hAnsi="IRNazanin" w:eastAsia="IRNazanin" w:cs="IRNazanin"/>
          <w:lang w:bidi="fa-IR"/>
          <w:color w:val="111111"/>
          <w:sz w:val="28"/>
          <w:szCs w:val="28"/>
          <w:rtl/>
        </w:rPr>
        <w:t xml:space="preserve">آغاز: حکمت على الاطلاق و وجود هستی بخش دائمی و سرمدي في ازل الآزال الى ابد الآباد سزاوار ذات قادر متعال حکیم مطلق و علیم اعلم خط: نسخ، بی کا، تا: قرن ۱۴؛ مصحح؛ برگ های پایانی به خط مؤلف، ظاهر جهت چاپ سنگی آماده شده؛ ۳۰۱گ، مختلف السطر،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۲-۳۶۴]</w:t>
      </w:r>
    </w:p>
    <w:p>
      <w:pPr>
        <w:pStyle w:val="Heading3"/>
      </w:pPr>
      <w:bookmarkStart w:id="2338" w:name="_Toc1598"/>
      <w:r>
        <w:t>•تاریخ سرحدات ترکیه و ایران / تاریخ، اسناد / فرانسوی</w:t>
      </w:r>
      <w:bookmarkEnd w:id="2338"/>
    </w:p>
    <w:p>
      <w:pPr>
        <w:pStyle w:val="BookText"/>
      </w:pPr>
      <w:r>
        <w:rPr>
          <w:rFonts w:ascii="Times New Roman" w:hAnsi="Times New Roman" w:eastAsia="Times New Roman" w:cs="Times New Roman"/>
          <w:lang w:val="en-US" w:bidi="en-US"/>
          <w:color w:val="111111"/>
          <w:sz w:val="28"/>
          <w:szCs w:val="28"/>
          <w:rtl/>
        </w:rPr>
        <w:t xml:space="preserve">tārīx-e sarhaddāt-e torkīye va īrān</w:t>
      </w:r>
    </w:p>
    <w:p>
      <w:pPr>
        <w:pStyle w:val="BookText"/>
      </w:pPr>
      <w:r>
        <w:rPr>
          <w:rFonts w:ascii="IRNazanin" w:hAnsi="IRNazanin" w:eastAsia="IRNazanin" w:cs="IRNazanin"/>
          <w:lang w:bidi="fa-IR"/>
          <w:color w:val="111111"/>
          <w:sz w:val="28"/>
          <w:szCs w:val="28"/>
          <w:rtl/>
        </w:rPr>
        <w:t xml:space="preserve">اعتلاء الملك، نصر الله، ق ۱۴ قمری</w:t>
      </w:r>
    </w:p>
    <w:p>
      <w:pPr>
        <w:pStyle w:val="BookText"/>
      </w:pPr>
      <w:r>
        <w:rPr>
          <w:rFonts w:ascii="Times New Roman" w:hAnsi="Times New Roman" w:eastAsia="Times New Roman" w:cs="Times New Roman"/>
          <w:lang w:val="en-US" w:bidi="en-US"/>
          <w:color w:val="111111"/>
          <w:sz w:val="28"/>
          <w:szCs w:val="28"/>
          <w:rtl/>
        </w:rPr>
        <w:t xml:space="preserve">eftelā-ol-molk, nasr-ol-lāh (-20c)</w:t>
      </w:r>
    </w:p>
    <w:p>
      <w:pPr>
        <w:pStyle w:val="BookText"/>
      </w:pPr>
      <w:r>
        <w:rPr>
          <w:rFonts w:ascii="IRNazanin" w:hAnsi="IRNazanin" w:eastAsia="IRNazanin" w:cs="IRNazanin"/>
          <w:lang w:bidi="fa-IR"/>
          <w:color w:val="111111"/>
          <w:sz w:val="28"/>
          <w:szCs w:val="28"/>
          <w:rtl/>
        </w:rPr>
        <w:t xml:space="preserve">مشهد؛ رضوی؛ شماره نسخه:۱۶۵۳۴</w:t>
      </w:r>
    </w:p>
    <w:p>
      <w:pPr>
        <w:pStyle w:val="BookText"/>
      </w:pPr>
      <w:r>
        <w:rPr>
          <w:rFonts w:ascii="IRNazanin" w:hAnsi="IRNazanin" w:eastAsia="IRNazanin" w:cs="IRNazanin"/>
          <w:lang w:bidi="fa-IR"/>
          <w:color w:val="111111"/>
          <w:sz w:val="28"/>
          <w:szCs w:val="28"/>
          <w:rtl/>
        </w:rPr>
        <w:t xml:space="preserve">آغاز: آغاز به لاتین؛ انجام: انجام به لاتین ج ۱، کا: اعتلاء الملک نصر الله، تا: ۱۳۲۹ق، کاغذ: مشقی، جلد: مقوا، ۱۳۱، ۲۵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[رایانه]</w:t>
      </w:r>
    </w:p>
    <w:p>
      <w:pPr>
        <w:pStyle w:val="Heading3"/>
      </w:pPr>
      <w:bookmarkStart w:id="2339" w:name="_Toc1599"/>
      <w:r>
        <w:t>•تاریخ سرگذشت مسعودی = تاریخ مسعودی / سفرنامه / فارسی</w:t>
      </w:r>
      <w:bookmarkEnd w:id="2339"/>
    </w:p>
    <w:p>
      <w:pPr>
        <w:pStyle w:val="BookText"/>
      </w:pPr>
      <w:r>
        <w:rPr>
          <w:rFonts w:ascii="Times New Roman" w:hAnsi="Times New Roman" w:eastAsia="Times New Roman" w:cs="Times New Roman"/>
          <w:lang w:val="en-US" w:bidi="en-US"/>
          <w:color w:val="111111"/>
          <w:sz w:val="28"/>
          <w:szCs w:val="28"/>
          <w:rtl/>
        </w:rPr>
        <w:t xml:space="preserve">tārīx-e sargozašt-e mas‘ūdī= tārīx-e mas‘ūdī</w:t>
      </w:r>
    </w:p>
    <w:p>
      <w:pPr>
        <w:pStyle w:val="BookText"/>
      </w:pPr>
      <w:r>
        <w:rPr>
          <w:rFonts w:ascii="IRNazanin" w:hAnsi="IRNazanin" w:eastAsia="IRNazanin" w:cs="IRNazanin"/>
          <w:lang w:bidi="fa-IR"/>
          <w:color w:val="111111"/>
          <w:sz w:val="28"/>
          <w:szCs w:val="28"/>
          <w:rtl/>
        </w:rPr>
        <w:t xml:space="preserve">ظل السلطان، مسعود میرزا بن ناصر، ۱۲۶۶-۱۳۳۶ قمری</w:t>
      </w:r>
    </w:p>
    <w:p>
      <w:pPr>
        <w:pStyle w:val="BookText"/>
      </w:pPr>
      <w:r>
        <w:rPr>
          <w:rFonts w:ascii="Times New Roman" w:hAnsi="Times New Roman" w:eastAsia="Times New Roman" w:cs="Times New Roman"/>
          <w:lang w:val="en-US" w:bidi="en-US"/>
          <w:color w:val="111111"/>
          <w:sz w:val="28"/>
          <w:szCs w:val="28"/>
          <w:rtl/>
        </w:rPr>
        <w:t xml:space="preserve">zel-os-soltān, masʻūd mīrzā ben nāser (1850-1918)</w:t>
      </w:r>
    </w:p>
    <w:p>
      <w:pPr>
        <w:pStyle w:val="BookText"/>
      </w:pPr>
      <w:r>
        <w:rPr>
          <w:rFonts w:ascii="IRNazanin" w:hAnsi="IRNazanin" w:eastAsia="IRNazanin" w:cs="IRNazanin"/>
          <w:lang w:bidi="fa-IR"/>
          <w:color w:val="111111"/>
          <w:sz w:val="28"/>
          <w:szCs w:val="28"/>
          <w:rtl/>
        </w:rPr>
        <w:t xml:space="preserve">اهدا به: بدرخواست فرزندش اسماعیل میرزا تاریخ تأليف: ۱۳۲۳ق؛ محل تأليف: ییلاق قمشلو سرگذشت پنجاه و هشت ساله ظل السلطان است که به درخواست فرزندش اسماعیل میرزا هنگام اقامتش در ییلاق خود (قمشلو) به سال ۱۳۲۳ تنظیم کرده و در آن مخصوصا به سفرهای خود پرداخته و پاره ای از حوادث عصر خود را نیز افزوده و در پایان ضمایمی بر آن اضافه کرده است. این کتاب دارای شش «باب» است: 1. مختصر تاریخ خودم؛ ۲. سفرنامه مازندران و استر آباد؛ ۳. سفر فارس؛ ۴. سفر اصفهان؛ ۵. سفر عراق؛ ۶. سفر لرستان و بروجرد. آغاز: بتاريخ هزار و سیصد و بیست و سه در برج اسد که در ییلاق خودم قمشلو بودم و یادداشت سفرهای خودم را ترتیب میدادم چاپ: تهران، سنگی، ۱۳۲۵ق</w:t>
      </w:r>
    </w:p>
    <w:p>
      <w:pPr>
        <w:pStyle w:val="BookText"/>
      </w:pPr>
      <w:r>
        <w:rPr>
          <w:rFonts w:ascii="IRNazanin" w:hAnsi="IRNazanin" w:eastAsia="IRNazanin" w:cs="IRNazanin"/>
          <w:lang w:bidi="fa-IR"/>
          <w:color w:val="111111"/>
          <w:sz w:val="28"/>
          <w:szCs w:val="28"/>
          <w:rtl/>
        </w:rPr>
        <w:t xml:space="preserve">[فهرستواره منزوی ۸۶۹/۲ ، الذریعه ۲۸۶/۳ « تاریخ مسعودی» ]</w:t>
      </w:r>
    </w:p>
    <w:p>
      <w:pPr>
        <w:pStyle w:val="BookText"/>
      </w:pPr>
      <w:r>
        <w:rPr>
          <w:rFonts w:ascii="IRNazanin" w:hAnsi="IRNazanin" w:eastAsia="IRNazanin" w:cs="IRNazanin"/>
          <w:lang w:bidi="fa-IR"/>
          <w:color w:val="111111"/>
          <w:sz w:val="28"/>
          <w:szCs w:val="28"/>
          <w:rtl/>
        </w:rPr>
        <w:t xml:space="preserve">قم؛ مرعشی؛ شماره نسخه:۱۰۰۹۶</w:t>
      </w:r>
    </w:p>
    <w:p>
      <w:pPr>
        <w:pStyle w:val="BookText"/>
      </w:pPr>
      <w:r>
        <w:rPr>
          <w:rFonts w:ascii="IRNazanin" w:hAnsi="IRNazanin" w:eastAsia="IRNazanin" w:cs="IRNazanin"/>
          <w:lang w:bidi="fa-IR"/>
          <w:color w:val="111111"/>
          <w:sz w:val="28"/>
          <w:szCs w:val="28"/>
          <w:rtl/>
        </w:rPr>
        <w:t xml:space="preserve">آغاز: بتاریخ هزار و سیصد و بیست و سه در برج اسد که در ییلاق خودم قمشلو بودم و یادداشت سفرهای خودم را ترتیب میدادم خط: نستعلیق، کا: محمد علی آشتیانی منشی خلوت، تا: صفر ۱۳۲۴ق؛ مجدول، کاتب نسخه و فتحعلی آشتیانی سرتیپ توپخانه و محمد حسن سرتیپ توپخانه کتاب را مقابله کرده اند، دارای عکس ظل السلطان؛ جلد: مخمل قرمز، ۳۷۳گ، مختلف السطر،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۲۶-۶۵]</w:t>
      </w:r>
    </w:p>
    <w:p>
      <w:pPr>
        <w:pStyle w:val="Heading3"/>
      </w:pPr>
      <w:bookmarkStart w:id="2340" w:name="_Toc1600"/>
      <w:r>
        <w:t>•تاریخ سزار (ترجمه) / تاریخ / فارسی</w:t>
      </w:r>
      <w:bookmarkEnd w:id="2340"/>
    </w:p>
    <w:p>
      <w:pPr>
        <w:pStyle w:val="BookText"/>
      </w:pPr>
      <w:r>
        <w:rPr>
          <w:rFonts w:ascii="Times New Roman" w:hAnsi="Times New Roman" w:eastAsia="Times New Roman" w:cs="Times New Roman"/>
          <w:lang w:val="en-US" w:bidi="en-US"/>
          <w:color w:val="111111"/>
          <w:sz w:val="28"/>
          <w:szCs w:val="28"/>
          <w:rtl/>
        </w:rPr>
        <w:t xml:space="preserve">tārīx-e sezār (t.)</w:t>
      </w:r>
    </w:p>
    <w:p>
      <w:pPr>
        <w:pStyle w:val="BookText"/>
      </w:pPr>
      <w:r>
        <w:rPr>
          <w:rFonts w:ascii="IRNazanin" w:hAnsi="IRNazanin" w:eastAsia="IRNazanin" w:cs="IRNazanin"/>
          <w:lang w:bidi="fa-IR"/>
          <w:color w:val="111111"/>
          <w:sz w:val="28"/>
          <w:szCs w:val="28"/>
          <w:rtl/>
        </w:rPr>
        <w:t xml:space="preserve">محسن بن حاج شیخ کاظم، ق۱۳ قمری</w:t>
      </w:r>
    </w:p>
    <w:p>
      <w:pPr>
        <w:pStyle w:val="BookText"/>
      </w:pPr>
      <w:r>
        <w:rPr>
          <w:rFonts w:ascii="Times New Roman" w:hAnsi="Times New Roman" w:eastAsia="Times New Roman" w:cs="Times New Roman"/>
          <w:lang w:val="en-US" w:bidi="en-US"/>
          <w:color w:val="111111"/>
          <w:sz w:val="28"/>
          <w:szCs w:val="28"/>
          <w:rtl/>
        </w:rPr>
        <w:t xml:space="preserve">mohsen ebn-e hāj šeyx kāzem (-19c)</w:t>
      </w:r>
    </w:p>
    <w:p>
      <w:pPr>
        <w:pStyle w:val="BookText"/>
      </w:pPr>
      <w:r>
        <w:rPr>
          <w:rFonts w:ascii="IRNazanin" w:hAnsi="IRNazanin" w:eastAsia="IRNazanin" w:cs="IRNazanin"/>
          <w:lang w:bidi="fa-IR"/>
          <w:color w:val="111111"/>
          <w:sz w:val="28"/>
          <w:szCs w:val="28"/>
          <w:rtl/>
        </w:rPr>
        <w:t xml:space="preserve">شرح فتوحات ژول سزار، سردار و سلطان معروف روم، در سرزمین گل (= فرانسه کنونی) است.</w:t>
      </w:r>
    </w:p>
    <w:p>
      <w:pPr>
        <w:pStyle w:val="BookText"/>
      </w:pPr>
      <w:r>
        <w:rPr>
          <w:rFonts w:ascii="IRNazanin" w:hAnsi="IRNazanin" w:eastAsia="IRNazanin" w:cs="IRNazanin"/>
          <w:lang w:bidi="fa-IR"/>
          <w:color w:val="111111"/>
          <w:sz w:val="28"/>
          <w:szCs w:val="28"/>
          <w:rtl/>
        </w:rPr>
        <w:t xml:space="preserve">تهران؛ ملی؛ شماره نسخه:۸۹۹</w:t>
      </w:r>
    </w:p>
    <w:p>
      <w:pPr>
        <w:pStyle w:val="BookText"/>
      </w:pPr>
      <w:r>
        <w:rPr>
          <w:rFonts w:ascii="IRNazanin" w:hAnsi="IRNazanin" w:eastAsia="IRNazanin" w:cs="IRNazanin"/>
          <w:lang w:bidi="fa-IR"/>
          <w:color w:val="111111"/>
          <w:sz w:val="28"/>
          <w:szCs w:val="28"/>
          <w:rtl/>
        </w:rPr>
        <w:t xml:space="preserve">آغاز: بسمله، حمد و ستایش بی حد و حصر و شکر و نیایش خالی از آلایش نقص و کسر مر خداوندیرا شاید و کردگاری را باید که؛ انجام: در آنسرزمین بفراغت و رفاهیت احوال بحکمرانی اشتغال نمود. تم بالخير و السعاده و الاقبال. خط: نستعلیق، کا: محتملا مترجم، تا: قرن ۱۳، جا: محتملا طهران؛ با سرلوح مذهب، مجدول؛ کاغذ: فرنگی، جلد: ابره کاغذی، ۶۷گ، ۱۱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۱۳/۵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۲۰/۵سم [ف: ۲-۴۳۵]</w:t>
      </w:r>
    </w:p>
    <w:p>
      <w:pPr>
        <w:pStyle w:val="BookText"/>
      </w:pPr>
      <w:r>
        <w:rPr>
          <w:rFonts w:ascii="IRNazanin" w:hAnsi="IRNazanin" w:eastAsia="IRNazanin" w:cs="IRNazanin"/>
          <w:lang w:bidi="fa-IR"/>
          <w:color w:val="111111"/>
          <w:sz w:val="28"/>
          <w:szCs w:val="28"/>
          <w:rtl/>
        </w:rPr>
        <w:t xml:space="preserve">← تاریخ سعيد علاء الدين محمد بن تکش بن ایل ارسلان و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482" w:name="pg20363_209790"/>
    <w:bookmarkEnd w:id="482"/>
    <w:p>
      <w:pPr>
        <w:pStyle w:val="BookText"/>
      </w:pPr>
      <w:r>
        <w:rPr>
          <w:rFonts w:ascii="IRNazanin" w:hAnsi="IRNazanin" w:eastAsia="IRNazanin" w:cs="IRNazanin"/>
          <w:lang w:bidi="fa-IR"/>
          <w:color w:val="111111"/>
          <w:sz w:val="28"/>
          <w:szCs w:val="28"/>
          <w:rtl/>
        </w:rPr>
        <w:t xml:space="preserve">جلال الدین مینكبرنی← سیرت جلال الدین مینکبرنی</w:t>
      </w:r>
    </w:p>
    <w:p>
      <w:pPr>
        <w:pStyle w:val="BookText"/>
      </w:pPr>
      <w:r>
        <w:rPr>
          <w:rFonts w:ascii="IRNazanin" w:hAnsi="IRNazanin" w:eastAsia="IRNazanin" w:cs="IRNazanin"/>
          <w:lang w:bidi="fa-IR"/>
          <w:color w:val="111111"/>
          <w:sz w:val="28"/>
          <w:szCs w:val="28"/>
          <w:rtl/>
        </w:rPr>
        <w:t xml:space="preserve">← تاریخ سلاطین ← خلاصة التواریخ</w:t>
      </w:r>
    </w:p>
    <w:p>
      <w:pPr>
        <w:pStyle w:val="Heading3"/>
      </w:pPr>
      <w:bookmarkStart w:id="2341" w:name="_Toc1601"/>
      <w:r>
        <w:t>•تاریخ سلاطین / تاریخ / فارسی</w:t>
      </w:r>
      <w:bookmarkEnd w:id="2341"/>
    </w:p>
    <w:p>
      <w:pPr>
        <w:pStyle w:val="BookText"/>
      </w:pPr>
      <w:r>
        <w:rPr>
          <w:rFonts w:ascii="Times New Roman" w:hAnsi="Times New Roman" w:eastAsia="Times New Roman" w:cs="Times New Roman"/>
          <w:lang w:val="en-US" w:bidi="en-US"/>
          <w:color w:val="111111"/>
          <w:sz w:val="28"/>
          <w:szCs w:val="28"/>
          <w:rtl/>
        </w:rPr>
        <w:t xml:space="preserve">tārīx-e salātīn</w:t>
      </w:r>
    </w:p>
    <w:p>
      <w:pPr>
        <w:pStyle w:val="BookText"/>
      </w:pPr>
      <w:r>
        <w:rPr>
          <w:rFonts w:ascii="IRNazanin" w:hAnsi="IRNazanin" w:eastAsia="IRNazanin" w:cs="IRNazanin"/>
          <w:lang w:bidi="fa-IR"/>
          <w:color w:val="111111"/>
          <w:sz w:val="28"/>
          <w:szCs w:val="28"/>
          <w:rtl/>
        </w:rPr>
        <w:t xml:space="preserve">فهرستواره ای است از خاندان های سلاطین عجم و خلفای اسلام و مدت حکمفرمایی هریک از آنها، بدین ترتیب: فرع بنی امیه، آل عباس، ملوک صفاریه، آل سامان، آل سبکتکین، سلاطين غور، آل بویه، سلاجقه، خوارزمشاهی، آل اسماعیلیه، سلاطين ایلکانیه، فرقه چوپانیه، آل مظفر، ملوک کرت، سلاطين کورکانیه، سلاطین قراقویونلو، سلاطين آق قویونلو</w:t>
      </w:r>
    </w:p>
    <w:p>
      <w:pPr>
        <w:pStyle w:val="BookText"/>
      </w:pPr>
      <w:r>
        <w:rPr>
          <w:rFonts w:ascii="IRNazanin" w:hAnsi="IRNazanin" w:eastAsia="IRNazanin" w:cs="IRNazanin"/>
          <w:lang w:bidi="fa-IR"/>
          <w:color w:val="111111"/>
          <w:sz w:val="28"/>
          <w:szCs w:val="28"/>
          <w:rtl/>
        </w:rPr>
        <w:t xml:space="preserve">قم؛ مرعشی؛ شماره نسخه: ۹۰۲۳/۲</w:t>
      </w:r>
    </w:p>
    <w:p>
      <w:pPr>
        <w:pStyle w:val="BookText"/>
      </w:pPr>
      <w:r>
        <w:rPr>
          <w:rFonts w:ascii="IRNazanin" w:hAnsi="IRNazanin" w:eastAsia="IRNazanin" w:cs="IRNazanin"/>
          <w:lang w:bidi="fa-IR"/>
          <w:color w:val="111111"/>
          <w:sz w:val="28"/>
          <w:szCs w:val="28"/>
          <w:rtl/>
        </w:rPr>
        <w:t xml:space="preserve">آغاز: فرع فراعنه بنی امیه چهارده نفر بوده اند بدین موجب ... بودند از سگان امیه چهارده ***بگرفته اند عرصه آفاق سر بسر؛ انجام: پنجم سلطان مراد بن يعقوب بیگ پانزده سال. خط: نستعلیق، بی کا، تا: ۱۳۱۸ق؛ جلد: تیماج قرمز، ۱۸گ (۵۴پ -۷۱ر)، ۱۶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سم [ف: ۲۳-۱۷۶]</w:t>
      </w:r>
    </w:p>
    <w:p>
      <w:pPr>
        <w:pStyle w:val="Heading3"/>
      </w:pPr>
      <w:bookmarkStart w:id="2342" w:name="_Toc1602"/>
      <w:r>
        <w:t>•تاریخ سلاطین اسلامی در هند / تاریخ / فارسی</w:t>
      </w:r>
      <w:bookmarkEnd w:id="2342"/>
    </w:p>
    <w:p>
      <w:pPr>
        <w:pStyle w:val="BookText"/>
      </w:pPr>
      <w:r>
        <w:rPr>
          <w:rFonts w:ascii="Times New Roman" w:hAnsi="Times New Roman" w:eastAsia="Times New Roman" w:cs="Times New Roman"/>
          <w:lang w:val="en-US" w:bidi="en-US"/>
          <w:color w:val="111111"/>
          <w:sz w:val="28"/>
          <w:szCs w:val="28"/>
          <w:rtl/>
        </w:rPr>
        <w:t xml:space="preserve">tārīx-e salātīn-e eslāmī dar hend</w:t>
      </w:r>
    </w:p>
    <w:p>
      <w:pPr>
        <w:pStyle w:val="BookText"/>
      </w:pPr>
      <w:r>
        <w:rPr>
          <w:rFonts w:ascii="IRNazanin" w:hAnsi="IRNazanin" w:eastAsia="IRNazanin" w:cs="IRNazanin"/>
          <w:lang w:bidi="fa-IR"/>
          <w:color w:val="111111"/>
          <w:sz w:val="28"/>
          <w:szCs w:val="28"/>
          <w:rtl/>
        </w:rPr>
        <w:t xml:space="preserve">مشهد؛ رضوی؛ شماره نسخه:۱۲۳۴۸</w:t>
      </w:r>
    </w:p>
    <w:p>
      <w:pPr>
        <w:pStyle w:val="BookText"/>
      </w:pPr>
      <w:r>
        <w:rPr>
          <w:rFonts w:ascii="IRNazanin" w:hAnsi="IRNazanin" w:eastAsia="IRNazanin" w:cs="IRNazanin"/>
          <w:lang w:bidi="fa-IR"/>
          <w:color w:val="111111"/>
          <w:sz w:val="28"/>
          <w:szCs w:val="28"/>
          <w:rtl/>
        </w:rPr>
        <w:t xml:space="preserve">آغاز: دو رکعت نماز گذاردم؛ انجام: رمضان سنه ۹۸۴ بفتحپور سیکری رسیدند خط: نستعلیق، بی کا، بی تا؛ افتادگی: آغاز کاغذ: نخودی، جلد: تیماج ضربی، ۱۵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[الفبائی: ۹۹]</w:t>
      </w:r>
    </w:p>
    <w:p>
      <w:pPr>
        <w:pStyle w:val="Heading3"/>
      </w:pPr>
      <w:bookmarkStart w:id="2343" w:name="_Toc1603"/>
      <w:r>
        <w:t>•تاریخ سلاطین ایران / تاریخ ایران / فارسی</w:t>
      </w:r>
      <w:bookmarkEnd w:id="2343"/>
    </w:p>
    <w:p>
      <w:pPr>
        <w:pStyle w:val="BookText"/>
      </w:pPr>
      <w:r>
        <w:rPr>
          <w:rFonts w:ascii="Times New Roman" w:hAnsi="Times New Roman" w:eastAsia="Times New Roman" w:cs="Times New Roman"/>
          <w:lang w:val="en-US" w:bidi="en-US"/>
          <w:color w:val="111111"/>
          <w:sz w:val="28"/>
          <w:szCs w:val="28"/>
          <w:rtl/>
        </w:rPr>
        <w:t xml:space="preserve">tārīx-e salātīn-e īrān</w:t>
      </w:r>
    </w:p>
    <w:p>
      <w:pPr>
        <w:pStyle w:val="BookText"/>
      </w:pPr>
      <w:r>
        <w:rPr>
          <w:rFonts w:ascii="IRNazanin" w:hAnsi="IRNazanin" w:eastAsia="IRNazanin" w:cs="IRNazanin"/>
          <w:lang w:bidi="fa-IR"/>
          <w:color w:val="111111"/>
          <w:sz w:val="28"/>
          <w:szCs w:val="28"/>
          <w:rtl/>
        </w:rPr>
        <w:t xml:space="preserve">احسان الله خان، محمد</w:t>
      </w:r>
    </w:p>
    <w:p>
      <w:pPr>
        <w:pStyle w:val="BookText"/>
      </w:pPr>
      <w:r>
        <w:rPr>
          <w:rFonts w:ascii="Times New Roman" w:hAnsi="Times New Roman" w:eastAsia="Times New Roman" w:cs="Times New Roman"/>
          <w:lang w:val="en-US" w:bidi="en-US"/>
          <w:color w:val="111111"/>
          <w:sz w:val="28"/>
          <w:szCs w:val="28"/>
          <w:rtl/>
        </w:rPr>
        <w:t xml:space="preserve">ehsān-ol-lāh xān, mohammad</w:t>
      </w:r>
    </w:p>
    <w:p>
      <w:pPr>
        <w:pStyle w:val="BookText"/>
      </w:pPr>
      <w:r>
        <w:rPr>
          <w:rFonts w:ascii="IRNazanin" w:hAnsi="IRNazanin" w:eastAsia="IRNazanin" w:cs="IRNazanin"/>
          <w:lang w:bidi="fa-IR"/>
          <w:color w:val="111111"/>
          <w:sz w:val="28"/>
          <w:szCs w:val="28"/>
          <w:rtl/>
        </w:rPr>
        <w:t xml:space="preserve">قم؛ مرعشی؛ شماره نسخه:۱۰۶۰۶</w:t>
      </w:r>
    </w:p>
    <w:p>
      <w:pPr>
        <w:pStyle w:val="BookText"/>
      </w:pPr>
      <w:r>
        <w:rPr>
          <w:rFonts w:ascii="IRNazanin" w:hAnsi="IRNazanin" w:eastAsia="IRNazanin" w:cs="IRNazanin"/>
          <w:lang w:bidi="fa-IR"/>
          <w:color w:val="111111"/>
          <w:sz w:val="28"/>
          <w:szCs w:val="28"/>
          <w:rtl/>
        </w:rPr>
        <w:t xml:space="preserve">خط: شکسته نستعلیق، بی کا، تا: قرن ۱۴؛ مصحح؛ قطع: وزیری کوچک آمیراث شهاب: س وش ۲-۵]</w:t>
      </w:r>
    </w:p>
    <w:p>
      <w:pPr>
        <w:pStyle w:val="Heading3"/>
      </w:pPr>
      <w:bookmarkStart w:id="2344" w:name="_Toc1604"/>
      <w:r>
        <w:t>•تاریخ سلاطین ایران / تاریخ ایران / فارسی</w:t>
      </w:r>
      <w:bookmarkEnd w:id="2344"/>
    </w:p>
    <w:p>
      <w:pPr>
        <w:pStyle w:val="BookText"/>
      </w:pPr>
      <w:r>
        <w:rPr>
          <w:rFonts w:ascii="Times New Roman" w:hAnsi="Times New Roman" w:eastAsia="Times New Roman" w:cs="Times New Roman"/>
          <w:lang w:val="en-US" w:bidi="en-US"/>
          <w:color w:val="111111"/>
          <w:sz w:val="28"/>
          <w:szCs w:val="28"/>
          <w:rtl/>
        </w:rPr>
        <w:t xml:space="preserve">tārīx-e salātīn-e īrān</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IRNazanin" w:hAnsi="IRNazanin" w:eastAsia="IRNazanin" w:cs="IRNazanin"/>
          <w:lang w:bidi="fa-IR"/>
          <w:color w:val="111111"/>
          <w:sz w:val="28"/>
          <w:szCs w:val="28"/>
          <w:rtl/>
        </w:rPr>
        <w:t xml:space="preserve">۱. قم: مرکز احیاء؛ شماره نسخه:۶۴۴</w:t>
      </w:r>
    </w:p>
    <w:p>
      <w:pPr>
        <w:pStyle w:val="BookText"/>
      </w:pPr>
      <w:r>
        <w:rPr>
          <w:rFonts w:ascii="IRNazanin" w:hAnsi="IRNazanin" w:eastAsia="IRNazanin" w:cs="IRNazanin"/>
          <w:lang w:bidi="fa-IR"/>
          <w:color w:val="111111"/>
          <w:sz w:val="28"/>
          <w:szCs w:val="28"/>
          <w:rtl/>
        </w:rPr>
        <w:t xml:space="preserve">آغاز: وی بوده و درباره او چکامه ها گفته است بیست و شش سال پادشاهی کرد؛ انجام: تیزهوشی وی چنین بود که ده دوازده چکامه را به یک بار شنیدن یاد می گرفت خواجه حافظ روزگار تاریخ بسیار مختصر خاندان های سلطنتی و حکمفرمایان ایران می باشد و در این نسخه بدون آغاز و انجام از «آل مظفر» تا زندیه آمده است. خاندان ها جدا از یکدیگر ذکر شده و رویدادهای عصر هر یک از آنها را می آورد؛ خط: نستعلیق، بی کا، تا: قرن ۱۳؛ افتادگی: آغاز و انجام؛ جلد: تیماج قرمز، ۱۰۷گ، ۱۶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سم [ف: ۲-۳۰۴]</w:t>
      </w:r>
    </w:p>
    <w:p>
      <w:pPr>
        <w:pStyle w:val="BookText"/>
      </w:pPr>
      <w:r>
        <w:rPr>
          <w:rFonts w:ascii="Amiri" w:hAnsi="Amiri" w:eastAsia="Amiri" w:cs="Amiri"/>
          <w:lang w:bidi="ar-SA"/>
          <w:color w:val="111111"/>
          <w:sz w:val="28"/>
          <w:szCs w:val="28"/>
          <w:rtl/>
        </w:rPr>
        <w:t xml:space="preserve">٢. اصفهان؛ مكتبة الزهراء؛ شماره نسخه:۲۶</w:t>
      </w:r>
    </w:p>
    <w:p>
      <w:pPr>
        <w:pStyle w:val="BookText"/>
      </w:pPr>
      <w:r>
        <w:rPr>
          <w:rFonts w:ascii="IRNazanin" w:hAnsi="IRNazanin" w:eastAsia="IRNazanin" w:cs="IRNazanin"/>
          <w:lang w:bidi="fa-IR"/>
          <w:color w:val="111111"/>
          <w:sz w:val="28"/>
          <w:szCs w:val="28"/>
          <w:rtl/>
        </w:rPr>
        <w:t xml:space="preserve">آغاز کردند گویند از پادشاهان ترک اول کسی که از فرات عبور کرده او بود؛ انجام: قبول فرزندی یافته، سیم ابراهیم، چهارم میرزا بديع الزمان. نام کتاب و نام مؤلف معلوم نیست ولی معلوم می شود که تاریخ سلاطین ایران بوده تا زمان شاه طهماسب؛ خط: نستعلیق، بی کا، تا: ۱۲۲۷ق؛ افتادگی: آغاز و انجام؛ ۱۰۷گ، ۲۰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۳۱]</w:t>
      </w:r>
    </w:p>
    <w:p>
      <w:pPr>
        <w:pStyle w:val="BookText"/>
      </w:pPr>
      <w:r>
        <w:rPr>
          <w:rFonts w:ascii="IRNazanin" w:hAnsi="IRNazanin" w:eastAsia="IRNazanin" w:cs="IRNazanin"/>
          <w:lang w:bidi="fa-IR"/>
          <w:color w:val="111111"/>
          <w:sz w:val="28"/>
          <w:szCs w:val="28"/>
          <w:rtl/>
        </w:rPr>
        <w:t xml:space="preserve">٣. قم؛ گلپایگانی؛ شماره نسخه:۳۳۴۴- ۱۷/۱۲۴</w:t>
      </w:r>
    </w:p>
    <w:p>
      <w:pPr>
        <w:pStyle w:val="BookText"/>
      </w:pPr>
      <w:r>
        <w:rPr>
          <w:rFonts w:ascii="IRNazanin" w:hAnsi="IRNazanin" w:eastAsia="IRNazanin" w:cs="IRNazanin"/>
          <w:lang w:bidi="fa-IR"/>
          <w:color w:val="111111"/>
          <w:sz w:val="28"/>
          <w:szCs w:val="28"/>
          <w:rtl/>
        </w:rPr>
        <w:t xml:space="preserve">آغاز: تواريخ متعلقه به جبل يامدی یاعراق وعجم مقدمه مخفی نماند که در کتب تواریخ وسیر عرب وعجم از طبقات سلاطین که قبل از طبقه ساسانیان؛ انجام این بود عقیده واقوال مورخین قدیم یونان درباره مدی یا جبل یا عراق عجم تا زمان غلبه کیخسرو بر مد و قرار دادن مد و پارس را تحت سلطنت واحده تاریخ مفصلی است از شاهان ایران در قبل از ساسانیان، مؤلف در اثنای رساله به اشعار شاهنامه نیز استناد کرده است؛ خط: تحریری، بی کا، تا: قرن ۱۴، جلد: مقوای سرخ با عطف و گوشه پارچه، ۵۹گ، ۱۱-۱۲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۲-۶۹۳]</w:t>
      </w:r>
    </w:p>
    <w:p>
      <w:pPr>
        <w:pStyle w:val="BookText"/>
      </w:pPr>
      <w:r>
        <w:rPr>
          <w:rFonts w:ascii="IRNazanin" w:hAnsi="IRNazanin" w:eastAsia="IRNazanin" w:cs="IRNazanin"/>
          <w:lang w:bidi="fa-IR"/>
          <w:color w:val="111111"/>
          <w:sz w:val="28"/>
          <w:szCs w:val="28"/>
          <w:rtl/>
        </w:rPr>
        <w:t xml:space="preserve">۴. قم؛ گلپایگانی؛ شماره نسخه: ۲۱۹- ۲/۳۹</w:t>
      </w:r>
    </w:p>
    <w:p>
      <w:pPr>
        <w:pStyle w:val="BookText"/>
      </w:pPr>
      <w:r>
        <w:rPr>
          <w:rFonts w:ascii="IRNazanin" w:hAnsi="IRNazanin" w:eastAsia="IRNazanin" w:cs="IRNazanin"/>
          <w:lang w:bidi="fa-IR"/>
          <w:color w:val="111111"/>
          <w:sz w:val="28"/>
          <w:szCs w:val="28"/>
          <w:rtl/>
        </w:rPr>
        <w:t xml:space="preserve">آغاز: بیست و نه سال ونیم. بیستم و طايع بن مطيع هفده سال و دو ماه. بیست و یکم قادر بن اسحاق بن مقتدر چهل و یک سال و چهار ماه ... و من بدايع الاتفاقات. ابوسعید بن کلثوم بن ثابت نقل کرد که من در زمان مأمون صاحب برید خراسان بودم و ... تمثيل. مشهور است که چو ارسلان سلجوقی در منتصف جمادی الاخر سنه احدی و سبعین و خمسمائة در گذشت.؛ انجام: و من البدايع شاه شجاع چون بعد از فوت سلطان .. و فرمان فرمای سلطانیه است قصدی به خاطر آوردم لاجرم.</w:t>
      </w:r>
    </w:p>
    <w:p>
      <w:pPr>
        <w:pStyle w:val="BookText"/>
      </w:pPr>
      <w:r>
        <w:rPr>
          <w:rFonts w:ascii="IRNazanin" w:hAnsi="IRNazanin" w:eastAsia="IRNazanin" w:cs="IRNazanin"/>
          <w:lang w:bidi="fa-IR"/>
          <w:color w:val="111111"/>
          <w:sz w:val="28"/>
          <w:szCs w:val="28"/>
          <w:rtl/>
        </w:rPr>
        <w:t xml:space="preserve">کتابی است شامل حکایات و وقایع تاریخی با عنوانهای: من بدایع الاتفاقات، تمثیل، نظم، من النوادر، من التدابير، القصه، من مکارم الأخلاق، نکته، حکمت، من مأثر الاقبال، من الغرايب، من السوانح، من مأتر التقوی، طبقات سلاطین سلجوقی و خوارزمشاهی و اتابکان و آل عبد المؤمن و خلافت اسماعیلیه و ... را آورده و از روضة الصفا نقل می کند و گاهی به مناسبت احادیثی را می آورد که نشانگر شیعه بودن مؤلف است؛ خط: نستعلیق، بی کا، بی تا، افتادگی: آغاز و انجام؛ جلد: تیماج سرخ،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483" w:name="pg20363_209791"/>
    <w:bookmarkEnd w:id="483"/>
    <w:p>
      <w:pPr>
        <w:pStyle w:val="BookText"/>
      </w:pPr>
      <w:r>
        <w:rPr>
          <w:rFonts w:ascii="IRNazanin" w:hAnsi="IRNazanin" w:eastAsia="IRNazanin" w:cs="IRNazanin"/>
          <w:lang w:bidi="fa-IR"/>
          <w:color w:val="111111"/>
          <w:sz w:val="28"/>
          <w:szCs w:val="28"/>
          <w:rtl/>
        </w:rPr>
        <w:t xml:space="preserve">ضربی، ۱۰۴گ، ۲۲ سطر،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۲-۶۹۳]</w:t>
      </w:r>
    </w:p>
    <w:p>
      <w:pPr>
        <w:pStyle w:val="Heading3"/>
      </w:pPr>
      <w:bookmarkStart w:id="2345" w:name="_Toc1605"/>
      <w:r>
        <w:t>•تاریخ سلاطین ترکمان = دیار بکریه / تاریخ ایران / فارسی</w:t>
      </w:r>
      <w:bookmarkEnd w:id="2345"/>
    </w:p>
    <w:p>
      <w:pPr>
        <w:pStyle w:val="BookText"/>
      </w:pPr>
      <w:r>
        <w:rPr>
          <w:rFonts w:ascii="Times New Roman" w:hAnsi="Times New Roman" w:eastAsia="Times New Roman" w:cs="Times New Roman"/>
          <w:lang w:val="en-US" w:bidi="en-US"/>
          <w:color w:val="111111"/>
          <w:sz w:val="28"/>
          <w:szCs w:val="28"/>
          <w:rtl/>
        </w:rPr>
        <w:t xml:space="preserve">tārīx-e salātīn-e torkamān=dīyār bakrīye</w:t>
      </w:r>
    </w:p>
    <w:p>
      <w:pPr>
        <w:pStyle w:val="BookText"/>
      </w:pPr>
      <w:r>
        <w:rPr>
          <w:rFonts w:ascii="IRNazanin" w:hAnsi="IRNazanin" w:eastAsia="IRNazanin" w:cs="IRNazanin"/>
          <w:lang w:bidi="fa-IR"/>
          <w:color w:val="111111"/>
          <w:sz w:val="28"/>
          <w:szCs w:val="28"/>
          <w:rtl/>
        </w:rPr>
        <w:t xml:space="preserve">تهرانی، ابوبکر، ق ۹ قمری</w:t>
      </w:r>
    </w:p>
    <w:p>
      <w:pPr>
        <w:pStyle w:val="BookText"/>
      </w:pPr>
      <w:r>
        <w:rPr>
          <w:rFonts w:ascii="Times New Roman" w:hAnsi="Times New Roman" w:eastAsia="Times New Roman" w:cs="Times New Roman"/>
          <w:lang w:val="en-US" w:bidi="en-US"/>
          <w:color w:val="111111"/>
          <w:sz w:val="28"/>
          <w:szCs w:val="28"/>
          <w:rtl/>
        </w:rPr>
        <w:t xml:space="preserve">tehrānī, ābū-bakr (-15c)</w:t>
      </w:r>
    </w:p>
    <w:p>
      <w:pPr>
        <w:pStyle w:val="BookText"/>
      </w:pPr>
      <w:r>
        <w:rPr>
          <w:rFonts w:ascii="IRNazanin" w:hAnsi="IRNazanin" w:eastAsia="IRNazanin" w:cs="IRNazanin"/>
          <w:lang w:bidi="fa-IR"/>
          <w:color w:val="111111"/>
          <w:sz w:val="28"/>
          <w:szCs w:val="28"/>
          <w:rtl/>
        </w:rPr>
        <w:t xml:space="preserve">اهدا به: ابوالنصر غياث السلطنه تاریخ تأليف: ۸۷۵ یا ۸۷۶ق تاریخ دودمان آق قوینلو است. گویا همان «تاریخ احوال سلاطین ترکمان» باشد که در عالم آرای عباسی (ص ۱۹ چاپ دوم) از آن یاد شده است. چاپ: آنقره، ۱۹۶۲، دو جلد، ۶۳۴ص [فهرستواره منزوی ۹۶۷]</w:t>
      </w:r>
    </w:p>
    <w:p>
      <w:pPr>
        <w:pStyle w:val="BookText"/>
      </w:pPr>
      <w:r>
        <w:rPr>
          <w:rFonts w:ascii="IRNazanin" w:hAnsi="IRNazanin" w:eastAsia="IRNazanin" w:cs="IRNazanin"/>
          <w:lang w:bidi="fa-IR"/>
          <w:color w:val="111111"/>
          <w:sz w:val="28"/>
          <w:szCs w:val="28"/>
          <w:rtl/>
        </w:rPr>
        <w:t xml:space="preserve">۱. تهران: دانشگاه؛ شماره نسخه:۲۶۵۹-ف</w:t>
      </w:r>
    </w:p>
    <w:p>
      <w:pPr>
        <w:pStyle w:val="BookText"/>
      </w:pPr>
      <w:r>
        <w:rPr>
          <w:rFonts w:ascii="IRNazanin" w:hAnsi="IRNazanin" w:eastAsia="IRNazanin" w:cs="IRNazanin"/>
          <w:lang w:bidi="fa-IR"/>
          <w:color w:val="111111"/>
          <w:sz w:val="28"/>
          <w:szCs w:val="28"/>
          <w:rtl/>
        </w:rPr>
        <w:t xml:space="preserve">نسخه اصل: نزد محمد احمد خان بهادر المحامی در بصره است؛ كا: عدنان ارزی، تا: ۱۳۶۳ق (۱۹۴۴م)، برای مکرمین خلیل اینانج استانبولی با نسخه بدل ص ۱-۴۱۳ (نیز نسخه دکتر والتر هینتس </w:t>
      </w:r>
      <w:r>
        <w:rPr>
          <w:rFonts w:ascii="Times New Roman" w:hAnsi="Times New Roman" w:eastAsia="Times New Roman" w:cs="Times New Roman"/>
          <w:lang w:val="en-US" w:bidi="en-US"/>
          <w:color w:val="111111"/>
          <w:sz w:val="28"/>
          <w:szCs w:val="28"/>
          <w:rtl/>
        </w:rPr>
        <w:t xml:space="preserve">W. Hinz </w:t>
      </w:r>
      <w:r>
        <w:rPr>
          <w:rFonts w:ascii="IRNazanin" w:hAnsi="IRNazanin" w:eastAsia="IRNazanin" w:cs="IRNazanin"/>
          <w:lang w:bidi="fa-IR"/>
          <w:color w:val="111111"/>
          <w:sz w:val="28"/>
          <w:szCs w:val="28"/>
          <w:rtl/>
        </w:rPr>
        <w:t xml:space="preserve">در گوتینگن) [فيلمها ف: ۱-۸۷]</w:t>
      </w:r>
    </w:p>
    <w:p>
      <w:pPr>
        <w:pStyle w:val="BookText"/>
      </w:pPr>
      <w:r>
        <w:rPr>
          <w:rFonts w:ascii="IRNazanin" w:hAnsi="IRNazanin" w:eastAsia="IRNazanin" w:cs="IRNazanin"/>
          <w:lang w:bidi="fa-IR"/>
          <w:color w:val="111111"/>
          <w:sz w:val="28"/>
          <w:szCs w:val="28"/>
          <w:rtl/>
        </w:rPr>
        <w:t xml:space="preserve">۲. تهران، ادبیات، شماره نسخه:۲۴ عکسی حکمت</w:t>
      </w:r>
    </w:p>
    <w:p>
      <w:pPr>
        <w:pStyle w:val="BookText"/>
      </w:pPr>
      <w:r>
        <w:rPr>
          <w:rFonts w:ascii="IRNazanin" w:hAnsi="IRNazanin" w:eastAsia="IRNazanin" w:cs="IRNazanin"/>
          <w:lang w:bidi="fa-IR"/>
          <w:color w:val="111111"/>
          <w:sz w:val="28"/>
          <w:szCs w:val="28"/>
          <w:rtl/>
        </w:rPr>
        <w:t xml:space="preserve">عکس نسخهای تازه ای است (شاید همان نسخه بالا)؛ بی کا، بی تا؛ مصحح، محشی به خط فرنگی، در پایان نامه اوزن حسن است به سلطان محمد از مجموعه کتبخانه اسعد افندی ش ۳۳۶۹ ص ۲۸۱-۲۸۳ گویا از قرن ۹، ۴۱۵ص (۱-۴۱۵) [ف: ۲-۱۶]</w:t>
      </w:r>
    </w:p>
    <w:p>
      <w:pPr>
        <w:pStyle w:val="Heading3"/>
      </w:pPr>
      <w:bookmarkStart w:id="2346" w:name="_Toc1606"/>
      <w:r>
        <w:t>• تاریخ سلاطین روسیه (ترجمه) / تاریخ / فارسی</w:t>
      </w:r>
      <w:bookmarkEnd w:id="2346"/>
    </w:p>
    <w:p>
      <w:pPr>
        <w:pStyle w:val="BookText"/>
      </w:pPr>
      <w:r>
        <w:rPr>
          <w:rFonts w:ascii="Times New Roman" w:hAnsi="Times New Roman" w:eastAsia="Times New Roman" w:cs="Times New Roman"/>
          <w:lang w:val="en-US" w:bidi="en-US"/>
          <w:color w:val="111111"/>
          <w:sz w:val="28"/>
          <w:szCs w:val="28"/>
          <w:rtl/>
        </w:rPr>
        <w:t xml:space="preserve">tārīx-e salātīn-e rūsīye</w:t>
      </w:r>
    </w:p>
    <w:p>
      <w:pPr>
        <w:pStyle w:val="BookText"/>
      </w:pPr>
      <w:r>
        <w:rPr>
          <w:rFonts w:ascii="IRNazanin" w:hAnsi="IRNazanin" w:eastAsia="IRNazanin" w:cs="IRNazanin"/>
          <w:lang w:bidi="fa-IR"/>
          <w:color w:val="111111"/>
          <w:sz w:val="28"/>
          <w:szCs w:val="28"/>
          <w:rtl/>
        </w:rPr>
        <w:t xml:space="preserve">محمود، ق۱۴ قمری</w:t>
      </w:r>
    </w:p>
    <w:p>
      <w:pPr>
        <w:pStyle w:val="BookText"/>
      </w:pPr>
      <w:r>
        <w:rPr>
          <w:rFonts w:ascii="Times New Roman" w:hAnsi="Times New Roman" w:eastAsia="Times New Roman" w:cs="Times New Roman"/>
          <w:lang w:val="en-US" w:bidi="en-US"/>
          <w:color w:val="111111"/>
          <w:sz w:val="28"/>
          <w:szCs w:val="28"/>
          <w:rtl/>
        </w:rPr>
        <w:t xml:space="preserve">mahmūd (-20c)</w:t>
      </w:r>
    </w:p>
    <w:p>
      <w:pPr>
        <w:pStyle w:val="BookText"/>
      </w:pPr>
      <w:r>
        <w:rPr>
          <w:rFonts w:ascii="IRNazanin" w:hAnsi="IRNazanin" w:eastAsia="IRNazanin" w:cs="IRNazanin"/>
          <w:lang w:bidi="fa-IR"/>
          <w:color w:val="111111"/>
          <w:sz w:val="28"/>
          <w:szCs w:val="28"/>
          <w:rtl/>
        </w:rPr>
        <w:t xml:space="preserve">از: سیرقی سالادیف، مترجم: محمود؛ این کتاب شامل ۵۳ «باب» است و در این ابواب از وضع سرحدات روسیه گفتگو می شود و نیز تاریخ روسیه، از قرن نهم بعد از میلاد تا پادشاهی امپراطوری نیکولای پاولوویچ (=سنه ۱۸۵۰م) می آید.</w:t>
      </w:r>
    </w:p>
    <w:p>
      <w:pPr>
        <w:pStyle w:val="BookText"/>
      </w:pPr>
      <w:r>
        <w:rPr>
          <w:rFonts w:ascii="IRNazanin" w:hAnsi="IRNazanin" w:eastAsia="IRNazanin" w:cs="IRNazanin"/>
          <w:lang w:bidi="fa-IR"/>
          <w:color w:val="111111"/>
          <w:sz w:val="28"/>
          <w:szCs w:val="28"/>
          <w:rtl/>
        </w:rPr>
        <w:t xml:space="preserve">تهران؛ ملی؛ شماره نسخه:۲۹۵</w:t>
      </w:r>
    </w:p>
    <w:p>
      <w:pPr>
        <w:pStyle w:val="BookText"/>
      </w:pPr>
      <w:r>
        <w:rPr>
          <w:rFonts w:ascii="IRNazanin" w:hAnsi="IRNazanin" w:eastAsia="IRNazanin" w:cs="IRNazanin"/>
          <w:lang w:bidi="fa-IR"/>
          <w:color w:val="111111"/>
          <w:sz w:val="28"/>
          <w:szCs w:val="28"/>
          <w:rtl/>
        </w:rPr>
        <w:t xml:space="preserve">آغاز: ترجمه: كتاب تعلیم تاریخ روس انشاء سير قی-سالادیف کتاب هشتمین است مسکو در چاپخانه مدرسه (م كات كوف) سنه ۱۸۸۰ باب اول بعد البسمله وضع اطراف که حالا معلوم است با اسم روس الى به نصف قرن ۹ بعد از تولد حضرت عیسی ع نگاه کنیم بنقشه روسیه این است؛ انجام: تسلیم شد به جنرال روس رد قربا ۳۰۰۰۰ نفر قشون و ۱۲۰ عراده توپ خط: شکسته نستعلیق، بی کا، تا: پنج شنبه ۱۵ رجب ۱۳۰۰ق؛</w:t>
      </w:r>
    </w:p>
    <w:p>
      <w:pPr>
        <w:pStyle w:val="BookText"/>
      </w:pPr>
      <w:r>
        <w:rPr>
          <w:rFonts w:ascii="IRNazanin" w:hAnsi="IRNazanin" w:eastAsia="IRNazanin" w:cs="IRNazanin"/>
          <w:lang w:bidi="fa-IR"/>
          <w:color w:val="111111"/>
          <w:sz w:val="28"/>
          <w:szCs w:val="28"/>
          <w:rtl/>
        </w:rPr>
        <w:t xml:space="preserve">کاغذ: فرنگی فلفل نمکی، جلد: تیماج قرمز با ترنج و نیم ترنج، ۳۲۷، ۱۳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۱-۲۸۹]</w:t>
      </w:r>
    </w:p>
    <w:p>
      <w:pPr>
        <w:pStyle w:val="Heading3"/>
      </w:pPr>
      <w:bookmarkStart w:id="2347" w:name="_Toc1607"/>
      <w:r>
        <w:t>•تاریخ سلاطین روم / تاریخ / فارسی</w:t>
      </w:r>
      <w:bookmarkEnd w:id="2347"/>
    </w:p>
    <w:p>
      <w:pPr>
        <w:pStyle w:val="BookText"/>
      </w:pPr>
      <w:r>
        <w:rPr>
          <w:rFonts w:ascii="Times New Roman" w:hAnsi="Times New Roman" w:eastAsia="Times New Roman" w:cs="Times New Roman"/>
          <w:lang w:val="en-US" w:bidi="en-US"/>
          <w:color w:val="111111"/>
          <w:sz w:val="28"/>
          <w:szCs w:val="28"/>
          <w:rtl/>
        </w:rPr>
        <w:t xml:space="preserve">tārīx-e salātīn-e rūm</w:t>
      </w:r>
    </w:p>
    <w:p>
      <w:pPr>
        <w:pStyle w:val="BookText"/>
      </w:pPr>
      <w:r>
        <w:rPr>
          <w:rFonts w:ascii="IRNazanin" w:hAnsi="IRNazanin" w:eastAsia="IRNazanin" w:cs="IRNazanin"/>
          <w:lang w:bidi="fa-IR"/>
          <w:color w:val="111111"/>
          <w:sz w:val="28"/>
          <w:szCs w:val="28"/>
          <w:rtl/>
        </w:rPr>
        <w:t xml:space="preserve">۱. تهران، دانشگاه؛ شماره نسخه: ۴۷۶۶/۱ ف</w:t>
      </w:r>
    </w:p>
    <w:p>
      <w:pPr>
        <w:pStyle w:val="BookText"/>
      </w:pPr>
      <w:r>
        <w:rPr>
          <w:rFonts w:ascii="IRNazanin" w:hAnsi="IRNazanin" w:eastAsia="IRNazanin" w:cs="IRNazanin"/>
          <w:lang w:bidi="fa-IR"/>
          <w:color w:val="111111"/>
          <w:sz w:val="28"/>
          <w:szCs w:val="28"/>
          <w:rtl/>
        </w:rPr>
        <w:t xml:space="preserve">بی کا، بی تا [فيلمها ف: ۳-۱۰۴]</w:t>
      </w:r>
    </w:p>
    <w:p>
      <w:pPr>
        <w:pStyle w:val="BookText"/>
      </w:pPr>
      <w:r>
        <w:rPr>
          <w:rFonts w:ascii="IRNazanin" w:hAnsi="IRNazanin" w:eastAsia="IRNazanin" w:cs="IRNazanin"/>
          <w:lang w:bidi="fa-IR"/>
          <w:color w:val="111111"/>
          <w:sz w:val="28"/>
          <w:szCs w:val="28"/>
          <w:rtl/>
        </w:rPr>
        <w:t xml:space="preserve">۲. تهران: دانشگاه؛ شماره نسخه:۴۷۶۶/۳ -ف</w:t>
      </w:r>
    </w:p>
    <w:p>
      <w:pPr>
        <w:pStyle w:val="BookText"/>
      </w:pPr>
      <w:r>
        <w:rPr>
          <w:rFonts w:ascii="IRNazanin" w:hAnsi="IRNazanin" w:eastAsia="IRNazanin" w:cs="IRNazanin"/>
          <w:lang w:bidi="fa-IR"/>
          <w:color w:val="111111"/>
          <w:sz w:val="28"/>
          <w:szCs w:val="28"/>
          <w:rtl/>
        </w:rPr>
        <w:t xml:space="preserve">ترجمه از فرانسه شاید از سلطان التواریخ؛ بی کا، بی تا [فيلمها ف: ۱۰۴-۳]</w:t>
      </w:r>
    </w:p>
    <w:p>
      <w:pPr>
        <w:pStyle w:val="Heading3"/>
      </w:pPr>
      <w:bookmarkStart w:id="2348" w:name="_Toc1608"/>
      <w:r>
        <w:t>•تاریخ سلاطین روم (ترجمه) / تاریخ پادشاهان / فارسی</w:t>
      </w:r>
      <w:bookmarkEnd w:id="2348"/>
    </w:p>
    <w:p>
      <w:pPr>
        <w:pStyle w:val="BookText"/>
      </w:pPr>
      <w:r>
        <w:rPr>
          <w:rFonts w:ascii="Times New Roman" w:hAnsi="Times New Roman" w:eastAsia="Times New Roman" w:cs="Times New Roman"/>
          <w:lang w:val="en-US" w:bidi="en-US"/>
          <w:color w:val="111111"/>
          <w:sz w:val="28"/>
          <w:szCs w:val="28"/>
          <w:rtl/>
        </w:rPr>
        <w:t xml:space="preserve">tārīx-e salātīn-e rūm (t.)</w:t>
      </w:r>
    </w:p>
    <w:p>
      <w:pPr>
        <w:pStyle w:val="BookText"/>
      </w:pPr>
      <w:r>
        <w:rPr>
          <w:rFonts w:ascii="IRNazanin" w:hAnsi="IRNazanin" w:eastAsia="IRNazanin" w:cs="IRNazanin"/>
          <w:lang w:bidi="fa-IR"/>
          <w:color w:val="111111"/>
          <w:sz w:val="28"/>
          <w:szCs w:val="28"/>
          <w:rtl/>
        </w:rPr>
        <w:t xml:space="preserve">به دستور: محمد خان امیر کبیر تاریخچه سلاطین عثمانی از سال ۷۲۳ عثمان خان اول تا سال ۱۱۹۸ سلطان عبدالحمید خان و سپس سلطان مصطفی خان رابع ذکر شده است. اصل این کتاب به زبان فرانسوی بوده است. اصل فرانسوی کتاب در کتابخانه محمد خان است. آغاز: بسمله، حمدی که مقبول پیشگاه ساکنان ملاء اعلى و مطبوع مقيمان بارگاه عالم بالا باشد انجام: سلطان متغیر شد او را محبوس کرده و بسبب اغتشاش .... او را در حبس گشتند تمام شد.</w:t>
      </w:r>
    </w:p>
    <w:p>
      <w:pPr>
        <w:pStyle w:val="BookText"/>
      </w:pPr>
      <w:r>
        <w:rPr>
          <w:rFonts w:ascii="IRNazanin" w:hAnsi="IRNazanin" w:eastAsia="IRNazanin" w:cs="IRNazanin"/>
          <w:lang w:bidi="fa-IR"/>
          <w:color w:val="111111"/>
          <w:sz w:val="28"/>
          <w:szCs w:val="28"/>
          <w:rtl/>
        </w:rPr>
        <w:t xml:space="preserve">۱. تهران؛ ملی؛ شماره نسخه: ۱۲۴۱</w:t>
      </w:r>
    </w:p>
    <w:p>
      <w:pPr>
        <w:pStyle w:val="BookText"/>
      </w:pPr>
      <w:r>
        <w:rPr>
          <w:rFonts w:ascii="IRNazanin" w:hAnsi="IRNazanin" w:eastAsia="IRNazanin" w:cs="IRNazanin"/>
          <w:lang w:bidi="fa-IR"/>
          <w:color w:val="111111"/>
          <w:sz w:val="28"/>
          <w:szCs w:val="28"/>
          <w:rtl/>
        </w:rPr>
        <w:t xml:space="preserve">آغاز و انجام: برابر خط شکسته نستعلیق، بی کا، تا: قرن ۱۳ کاغذ: فرنگی، جلد: تیماج</w:t>
      </w:r>
    </w:p>
    <w:p>
      <w:pPr>
        <w:pStyle w:val="BookText"/>
      </w:pPr>
      <w:r>
        <w:rPr>
          <w:rFonts w:ascii="IRNazanin" w:hAnsi="IRNazanin" w:eastAsia="IRNazanin" w:cs="IRNazanin"/>
          <w:lang w:bidi="fa-IR"/>
          <w:color w:val="111111"/>
          <w:sz w:val="28"/>
          <w:szCs w:val="28"/>
          <w:rtl/>
        </w:rPr>
        <w:t xml:space="preserve">سیاه، ۳۷، ۱۵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سم [ف: ۳-۲۹۳]</w:t>
      </w:r>
    </w:p>
    <w:p>
      <w:pPr>
        <w:pStyle w:val="BookText"/>
      </w:pPr>
      <w:r>
        <w:rPr>
          <w:rFonts w:ascii="IRNazanin" w:hAnsi="IRNazanin" w:eastAsia="IRNazanin" w:cs="IRNazanin"/>
          <w:lang w:bidi="fa-IR"/>
          <w:color w:val="111111"/>
          <w:sz w:val="28"/>
          <w:szCs w:val="28"/>
          <w:rtl/>
        </w:rPr>
        <w:t xml:space="preserve">۲. مشهد؛ رضوی؛ شماره نسخه: ۳۸۱۷۲</w:t>
      </w:r>
    </w:p>
    <w:p>
      <w:pPr>
        <w:pStyle w:val="BookText"/>
      </w:pPr>
      <w:r>
        <w:rPr>
          <w:rFonts w:ascii="IRNazanin" w:hAnsi="IRNazanin" w:eastAsia="IRNazanin" w:cs="IRNazanin"/>
          <w:lang w:bidi="fa-IR"/>
          <w:color w:val="111111"/>
          <w:sz w:val="28"/>
          <w:szCs w:val="28"/>
          <w:rtl/>
        </w:rPr>
        <w:t xml:space="preserve">آغاز و انجام: برابر خط: نستعلیق زیبا، كا: رضا قلی سرابی، تا: ۱۲۵۳ق، به امر محمد قلی خان؛ مجدول؛ جلد: تیماج مشکی، ۵۰گ، ۱۲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[اهدائی رهبر: ۸-۳۷۵]</w:t>
      </w:r>
    </w:p>
    <w:p>
      <w:pPr>
        <w:pStyle w:val="BookText"/>
      </w:pPr>
      <w:r>
        <w:rPr>
          <w:rFonts w:ascii="IRNazanin" w:hAnsi="IRNazanin" w:eastAsia="IRNazanin" w:cs="IRNazanin"/>
          <w:lang w:bidi="fa-IR"/>
          <w:color w:val="111111"/>
          <w:sz w:val="28"/>
          <w:szCs w:val="28"/>
          <w:rtl/>
        </w:rPr>
        <w:t xml:space="preserve">مشهد؛ شیخ علی حیدر؛ شماره نسخه:۱۰۱۵</w:t>
      </w:r>
    </w:p>
    <w:p>
      <w:pPr>
        <w:pStyle w:val="BookText"/>
      </w:pPr>
      <w:r>
        <w:rPr>
          <w:rFonts w:ascii="IRNazanin" w:hAnsi="IRNazanin" w:eastAsia="IRNazanin" w:cs="IRNazanin"/>
          <w:lang w:bidi="fa-IR"/>
          <w:color w:val="111111"/>
          <w:sz w:val="28"/>
          <w:szCs w:val="28"/>
          <w:rtl/>
        </w:rPr>
        <w:t xml:space="preserve">همان نسخه بالا [مؤید: ۳-۲۹]</w:t>
      </w:r>
    </w:p>
    <w:p>
      <w:pPr>
        <w:pStyle w:val="BookText"/>
      </w:pPr>
      <w:r>
        <w:rPr>
          <w:rFonts w:ascii="IRNazanin" w:hAnsi="IRNazanin" w:eastAsia="IRNazanin" w:cs="IRNazanin"/>
          <w:lang w:bidi="fa-IR"/>
          <w:color w:val="111111"/>
          <w:sz w:val="28"/>
          <w:szCs w:val="28"/>
          <w:rtl/>
        </w:rPr>
        <w:t xml:space="preserve">٣. تهران: ملک، شماره نسخه: ۴۰۹۴/۲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از عثمان خان است تا مصطفی چهارم در ۱۲۳۱، به دستور میرزا احمد خان امیر؛ خط: نستعلیق، بی کا، تا: ۱۲ شعبان ۱۲۵۵ق؛ کاغذ: فستقی اسلامبولی، جلد: میشن آلبالوئی ضربی، ۲۵ سطر، اندازه: ۲۷/۶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۱۸/۳ سم [ف: ۷-۲۰۹]</w:t>
      </w:r>
    </w:p>
    <w:p>
      <w:pPr>
        <w:pStyle w:val="Heading3"/>
      </w:pPr>
      <w:bookmarkStart w:id="2349" w:name="_Toc1609"/>
      <w:r>
        <w:t>•تاریخ سلاطین صفویه / تاریخ پادشاهان / فارسی</w:t>
      </w:r>
      <w:bookmarkEnd w:id="2349"/>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484" w:name="pg20363_209792"/>
    <w:bookmarkEnd w:id="484"/>
    <w:p>
      <w:pPr>
        <w:pStyle w:val="BookText"/>
      </w:pPr>
      <w:r>
        <w:rPr>
          <w:rFonts w:ascii="Times New Roman" w:hAnsi="Times New Roman" w:eastAsia="Times New Roman" w:cs="Times New Roman"/>
          <w:lang w:val="en-US" w:bidi="en-US"/>
          <w:color w:val="111111"/>
          <w:sz w:val="28"/>
          <w:szCs w:val="28"/>
          <w:rtl/>
        </w:rPr>
        <w:t xml:space="preserve">tārīx-e salātīn-e safavīye</w:t>
      </w:r>
    </w:p>
    <w:p>
      <w:pPr>
        <w:pStyle w:val="BookText"/>
      </w:pPr>
      <w:r>
        <w:rPr>
          <w:rFonts w:ascii="IRNazanin" w:hAnsi="IRNazanin" w:eastAsia="IRNazanin" w:cs="IRNazanin"/>
          <w:lang w:bidi="fa-IR"/>
          <w:color w:val="111111"/>
          <w:sz w:val="28"/>
          <w:szCs w:val="28"/>
          <w:rtl/>
        </w:rPr>
        <w:t xml:space="preserve">رساله ای است مختصر در تاریخ پادشاهان صفوی که از شاه اسماعیل تا سلطان حسین و آغاز دوره نادری را داراست.</w:t>
      </w:r>
    </w:p>
    <w:p>
      <w:pPr>
        <w:pStyle w:val="BookText"/>
      </w:pPr>
      <w:r>
        <w:rPr>
          <w:rFonts w:ascii="IRNazanin" w:hAnsi="IRNazanin" w:eastAsia="IRNazanin" w:cs="IRNazanin"/>
          <w:lang w:bidi="fa-IR"/>
          <w:color w:val="111111"/>
          <w:sz w:val="28"/>
          <w:szCs w:val="28"/>
          <w:rtl/>
        </w:rPr>
        <w:t xml:space="preserve">اصفهان؛ مدرسه صدر بازار؛ شماره نسخه: ۴۸۳/۱</w:t>
      </w:r>
    </w:p>
    <w:p>
      <w:pPr>
        <w:pStyle w:val="BookText"/>
      </w:pPr>
      <w:r>
        <w:rPr>
          <w:rFonts w:ascii="IRNazanin" w:hAnsi="IRNazanin" w:eastAsia="IRNazanin" w:cs="IRNazanin"/>
          <w:lang w:bidi="fa-IR"/>
          <w:color w:val="111111"/>
          <w:sz w:val="28"/>
          <w:szCs w:val="28"/>
          <w:rtl/>
        </w:rPr>
        <w:t xml:space="preserve">آغاز: شاه اسماعیل اول پادشاه است از سلسله صفویه پسر سلطان حیدر نواده شیخ صفی الدین که از اولاد حمزه بن موسی کاظم عليه السلام است؛ انجام: و در مقام قلع و قمع افاغنه بر آمد و آنها را مغلوب و مطرود کرد و پس از فتوحات بسیار طهماسب را هم از سلطنت خلع و خودش مستقل گردید. خط: نستعلیق، کاتب = مؤلف، تا: غره ذیقعده ۱۳۴۰ق، جلد: تیماج قهوه ای، ۱۴گ (۲پ ۱۵پ)،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۲-۳۴۷]</w:t>
      </w:r>
    </w:p>
    <w:p>
      <w:pPr>
        <w:pStyle w:val="BookText"/>
      </w:pPr>
      <w:r>
        <w:rPr>
          <w:rFonts w:ascii="IRNazanin" w:hAnsi="IRNazanin" w:eastAsia="IRNazanin" w:cs="IRNazanin"/>
          <w:lang w:bidi="fa-IR"/>
          <w:color w:val="111111"/>
          <w:sz w:val="28"/>
          <w:szCs w:val="28"/>
          <w:rtl/>
        </w:rPr>
        <w:t xml:space="preserve">←تاریخ سلاطین عثمانی← تاریخ دولت عثمانی</w:t>
      </w:r>
    </w:p>
    <w:p>
      <w:pPr>
        <w:pStyle w:val="Heading3"/>
      </w:pPr>
      <w:bookmarkStart w:id="2350" w:name="_Toc1610"/>
      <w:r>
        <w:t>• تاریخ سلاطین عثمانی / تاریخ / فارسی</w:t>
      </w:r>
      <w:bookmarkEnd w:id="2350"/>
    </w:p>
    <w:p>
      <w:pPr>
        <w:pStyle w:val="BookText"/>
      </w:pPr>
      <w:r>
        <w:rPr>
          <w:rFonts w:ascii="Times New Roman" w:hAnsi="Times New Roman" w:eastAsia="Times New Roman" w:cs="Times New Roman"/>
          <w:lang w:val="en-US" w:bidi="en-US"/>
          <w:color w:val="111111"/>
          <w:sz w:val="28"/>
          <w:szCs w:val="28"/>
          <w:rtl/>
        </w:rPr>
        <w:t xml:space="preserve">tārīx-e salātīn-e ‘osmānī</w:t>
      </w:r>
    </w:p>
    <w:p>
      <w:pPr>
        <w:pStyle w:val="BookText"/>
      </w:pPr>
      <w:r>
        <w:rPr>
          <w:rFonts w:ascii="IRNazanin" w:hAnsi="IRNazanin" w:eastAsia="IRNazanin" w:cs="IRNazanin"/>
          <w:lang w:bidi="fa-IR"/>
          <w:color w:val="111111"/>
          <w:sz w:val="28"/>
          <w:szCs w:val="28"/>
          <w:rtl/>
        </w:rPr>
        <w:t xml:space="preserve">سلطانی کرمانشاهی، حسینقلی بن مصطفی، ۱۲۴۷ ۱۳۰۳ قمری</w:t>
      </w:r>
    </w:p>
    <w:p>
      <w:pPr>
        <w:pStyle w:val="BookText"/>
      </w:pPr>
      <w:r>
        <w:rPr>
          <w:rFonts w:ascii="Times New Roman" w:hAnsi="Times New Roman" w:eastAsia="Times New Roman" w:cs="Times New Roman"/>
          <w:lang w:val="en-US" w:bidi="en-US"/>
          <w:color w:val="111111"/>
          <w:sz w:val="28"/>
          <w:szCs w:val="28"/>
          <w:rtl/>
        </w:rPr>
        <w:t xml:space="preserve">soltānī kermānšāhī, hoseyn-qolī ebn-e mostafā (1832 1886)</w:t>
      </w:r>
    </w:p>
    <w:p>
      <w:pPr>
        <w:pStyle w:val="BookText"/>
      </w:pPr>
      <w:r>
        <w:rPr>
          <w:rFonts w:ascii="IRNazanin" w:hAnsi="IRNazanin" w:eastAsia="IRNazanin" w:cs="IRNazanin"/>
          <w:lang w:bidi="fa-IR"/>
          <w:color w:val="111111"/>
          <w:sz w:val="28"/>
          <w:szCs w:val="28"/>
          <w:rtl/>
        </w:rPr>
        <w:t xml:space="preserve">تاریخ تأليف: ۱۲۸۶ق از احوال عثمان بن ارطغرل تا سلطان سلیم خان سوم را شرح داده؛ و از ترکی ترجمه شده است.</w:t>
      </w:r>
    </w:p>
    <w:p>
      <w:pPr>
        <w:pStyle w:val="BookText"/>
      </w:pPr>
      <w:r>
        <w:rPr>
          <w:rFonts w:ascii="IRNazanin" w:hAnsi="IRNazanin" w:eastAsia="IRNazanin" w:cs="IRNazanin"/>
          <w:lang w:bidi="fa-IR"/>
          <w:color w:val="111111"/>
          <w:sz w:val="28"/>
          <w:szCs w:val="28"/>
          <w:rtl/>
        </w:rPr>
        <w:t xml:space="preserve">تهران؛ ملک؛ شماره نسخه:۳۷۷۴</w:t>
      </w:r>
    </w:p>
    <w:p>
      <w:pPr>
        <w:pStyle w:val="BookText"/>
      </w:pPr>
      <w:r>
        <w:rPr>
          <w:rFonts w:ascii="IRNazanin" w:hAnsi="IRNazanin" w:eastAsia="IRNazanin" w:cs="IRNazanin"/>
          <w:lang w:bidi="fa-IR"/>
          <w:color w:val="111111"/>
          <w:sz w:val="28"/>
          <w:szCs w:val="28"/>
          <w:rtl/>
        </w:rPr>
        <w:t xml:space="preserve">آغاز: گفتار در تأسیس مبانی پادشاهی دوره عثمانی. بدان که مورخین را در تأصيل نسب آل عثمان اختلاف است، بجهة آنکه طبقه مرقومه قديم العهدند و در بلاد بعیده نشو و نما یافته اند. پس برخی این طایفه را بسلاله؛ انجام: قرار گرفت ولی در اجرای حکم خویش ضعف بهم رسانید. تا این مقام نسخه اصل عربیه نزد نگارنده بود ... هنوز نسخه منحصر به همین مجلد است بجهة تعدد تا کنون کتابی دیگر از آن نگاشته نشده تا مقام فرصت خط: شکسته نستعلیق، بی کا، تا: ۱۷ ربیع الاول ۱۲۹۳ق؛ کاغذ: کاغذ فرنگی آهار مهره، جلد: میشن زرد سیر، ۱۷۴گ، ۲۱ سطر، اندازه: ۲۱/۱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 سم [ف: ۲-۸۲]</w:t>
      </w:r>
    </w:p>
    <w:p>
      <w:pPr>
        <w:pStyle w:val="Heading3"/>
      </w:pPr>
      <w:bookmarkStart w:id="2351" w:name="_Toc1611"/>
      <w:r>
        <w:t>•تاریخ سلاطین عثمانی / تاریخ پادشاهان / فارسی</w:t>
      </w:r>
      <w:bookmarkEnd w:id="2351"/>
    </w:p>
    <w:p>
      <w:pPr>
        <w:pStyle w:val="BookText"/>
      </w:pPr>
      <w:r>
        <w:rPr>
          <w:rFonts w:ascii="Times New Roman" w:hAnsi="Times New Roman" w:eastAsia="Times New Roman" w:cs="Times New Roman"/>
          <w:lang w:val="en-US" w:bidi="en-US"/>
          <w:color w:val="111111"/>
          <w:sz w:val="28"/>
          <w:szCs w:val="28"/>
          <w:rtl/>
        </w:rPr>
        <w:t xml:space="preserve">tārīx-e salātīn-e ‘osmānī</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IRNazanin" w:hAnsi="IRNazanin" w:eastAsia="IRNazanin" w:cs="IRNazanin"/>
          <w:lang w:bidi="fa-IR"/>
          <w:color w:val="111111"/>
          <w:sz w:val="28"/>
          <w:szCs w:val="28"/>
          <w:rtl/>
        </w:rPr>
        <w:t xml:space="preserve">۱. تهران؛ ملک؛ شماره نسخه:۷۰۸</w:t>
      </w:r>
    </w:p>
    <w:p>
      <w:pPr>
        <w:pStyle w:val="BookText"/>
      </w:pPr>
      <w:r>
        <w:rPr>
          <w:rFonts w:ascii="IRNazanin" w:hAnsi="IRNazanin" w:eastAsia="IRNazanin" w:cs="IRNazanin"/>
          <w:lang w:bidi="fa-IR"/>
          <w:color w:val="111111"/>
          <w:sz w:val="28"/>
          <w:szCs w:val="28"/>
          <w:rtl/>
        </w:rPr>
        <w:t xml:space="preserve">آغاز: تاریخ اصل ملت ترک روم از بدو دولت آنها. شرح سلطنت سلطان عثمان. سلطان عثمانی را مدقق و محققا ... ملاحظه کرده اند که در آغاز کار و رئیس قبیله كثيره بی شماری از اهل سواحل شرقی بحر خزر می بود؛ انجام: آنها را متعاقب نموده این چنین در بحر جنگ می نمایند و همچنین اهل سوئد در کشتی تیراندازان خوب دارند که غفلت از جلو کشتی از کمین در می آیند و محاربه می نمایند و بعد نزدیک بر سفاین دشمن می شوند، از برای اطلاع حرکت آنها و خبر دادن از اوضاع آنها ...</w:t>
      </w:r>
    </w:p>
    <w:p>
      <w:pPr>
        <w:pStyle w:val="BookText"/>
      </w:pPr>
      <w:r>
        <w:rPr>
          <w:rFonts w:ascii="IRNazanin" w:hAnsi="IRNazanin" w:eastAsia="IRNazanin" w:cs="IRNazanin"/>
          <w:lang w:bidi="fa-IR"/>
          <w:color w:val="111111"/>
          <w:sz w:val="28"/>
          <w:szCs w:val="28"/>
          <w:rtl/>
        </w:rPr>
        <w:t xml:space="preserve">ظاهرا ترجمه از کتابهای فرانسوی است؛ خط: شکسته، نستعلیق، بی کا، تا: قرن ۱۳؛ افتادگی: انجام کاغذ: فرنگی، جلد: میشن قهوه ای، ۲۳۴، ۱۲ سطر، اندازه: ۱۸/۲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w:t>
      </w:r>
    </w:p>
    <w:p>
      <w:pPr>
        <w:pStyle w:val="BookText"/>
      </w:pPr>
      <w:r>
        <w:rPr>
          <w:rFonts w:ascii="IRNazanin" w:hAnsi="IRNazanin" w:eastAsia="IRNazanin" w:cs="IRNazanin"/>
          <w:lang w:bidi="fa-IR"/>
          <w:color w:val="111111"/>
          <w:sz w:val="28"/>
          <w:szCs w:val="28"/>
          <w:rtl/>
        </w:rPr>
        <w:t xml:space="preserve">سم [ف: ۲-۸۱]</w:t>
      </w:r>
    </w:p>
    <w:p>
      <w:pPr>
        <w:pStyle w:val="BookText"/>
      </w:pPr>
      <w:r>
        <w:rPr>
          <w:rFonts w:ascii="IRNazanin" w:hAnsi="IRNazanin" w:eastAsia="IRNazanin" w:cs="IRNazanin"/>
          <w:lang w:bidi="fa-IR"/>
          <w:color w:val="111111"/>
          <w:sz w:val="28"/>
          <w:szCs w:val="28"/>
          <w:rtl/>
        </w:rPr>
        <w:t xml:space="preserve">۲. تهران: ملی؛ شماره نسخه: ۱۰۷۶/۲</w:t>
      </w:r>
    </w:p>
    <w:p>
      <w:pPr>
        <w:pStyle w:val="BookText"/>
      </w:pPr>
      <w:r>
        <w:rPr>
          <w:rFonts w:ascii="IRNazanin" w:hAnsi="IRNazanin" w:eastAsia="IRNazanin" w:cs="IRNazanin"/>
          <w:lang w:bidi="fa-IR"/>
          <w:color w:val="111111"/>
          <w:sz w:val="28"/>
          <w:szCs w:val="28"/>
          <w:rtl/>
        </w:rPr>
        <w:t xml:space="preserve">آغاز: هو، بسمله، حمدیکه مقبول پیشگاه ساکنان ملاء اعلى و مطبوع طبع؛ انجام: او را محبوس کرد و بسببب اغتشاشی او را در حبس کشتند.</w:t>
      </w:r>
    </w:p>
    <w:p>
      <w:pPr>
        <w:pStyle w:val="BookText"/>
      </w:pPr>
      <w:r>
        <w:rPr>
          <w:rFonts w:ascii="IRNazanin" w:hAnsi="IRNazanin" w:eastAsia="IRNazanin" w:cs="IRNazanin"/>
          <w:lang w:bidi="fa-IR"/>
          <w:color w:val="111111"/>
          <w:sz w:val="28"/>
          <w:szCs w:val="28"/>
          <w:rtl/>
        </w:rPr>
        <w:t xml:space="preserve">در شرح حال و گزارش ایام سلاطین عثمانی است و شامل وقایع سالهای هفتصد و بیست و سه هجری تا هزار و دویست و سی و هشت هجری یعنی از وقایع سلطنت عثمان خان اول تا سلطان محمود خان غازی ثانی می باشد؛ خط: نستعلیق، کا: شكر الله على آبادی، تا: ربيع الأول ۱۲۷۴ق؛ کاغذ: فرنگی، جلد: تیماج قرمز، ۱۸۵گ، ۲۳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اندازه: 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۳-۹۶]</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ملی؛ شماره نسخه: ۴۴۰</w:t>
      </w:r>
    </w:p>
    <w:p>
      <w:pPr>
        <w:pStyle w:val="BookText"/>
      </w:pPr>
      <w:r>
        <w:rPr>
          <w:rFonts w:ascii="IRNazanin" w:hAnsi="IRNazanin" w:eastAsia="IRNazanin" w:cs="IRNazanin"/>
          <w:lang w:bidi="fa-IR"/>
          <w:color w:val="111111"/>
          <w:sz w:val="28"/>
          <w:szCs w:val="28"/>
          <w:rtl/>
        </w:rPr>
        <w:t xml:space="preserve">آغاز: تفصيل حالات و وقایع سلاطین عثمانی که نسلا بعد نسل سلطنت کرده اند خصوصا در خاتمه و مال سلطنت و عاقبت هریک از آنها از عثمان اول؛ انجام: ابتدای این اقامت و نقل باین مقر سلطنت در سنه ۱۴۵۳ مسیحی مطابق سنه ۸۰۷ هجری بوده است در این رساله اسامی شاهان عثمانی، از عثمان اول که به سال ۱۲۵۹م (=۶۵۸ق) به دنیا آمده تا خلع سلطان عبدالعزيز خان و به سلطنت رسیدن سلطان مراد خان پنجم که در اواخر قرن سیزدهم هجری قمری اتفاق افتاده است، می آید و نویسنده برای هر پادشاه با عبارت مختصر، مطالبی که حاوی اهم وقایع عهد اوست، می آورد؛ خط: شکسته نستعلیق خوش، بی کا، تا: رجب ۱۲۹۳ق، جا: تهران؛ آخر نسخه: «ترجمه خانه زاد دولت روز افزون محمد حسن مترجم رجب ۱۲۹۳»؛ کاغذ: فرنگی لب طلائی، جلد: مقوایی تیماج سیاه، آگ، ۱۵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۱۴/۵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۱-۴۲۹]</w:t>
      </w:r>
    </w:p>
    <w:p>
      <w:pPr>
        <w:pStyle w:val="BookText"/>
      </w:pPr>
      <w:r>
        <w:rPr>
          <w:rFonts w:ascii="IRNazanin" w:hAnsi="IRNazanin" w:eastAsia="IRNazanin" w:cs="IRNazanin"/>
          <w:lang w:bidi="fa-IR"/>
          <w:color w:val="111111"/>
          <w:sz w:val="28"/>
          <w:szCs w:val="28"/>
          <w:rtl/>
        </w:rPr>
        <w:t xml:space="preserve">۴. تهران: مجلس؛ شماره نسخه:۶۲۲/۳</w:t>
      </w:r>
    </w:p>
    <w:p>
      <w:pPr>
        <w:pStyle w:val="BookText"/>
      </w:pPr>
      <w:r>
        <w:rPr>
          <w:rFonts w:ascii="IRNazanin" w:hAnsi="IRNazanin" w:eastAsia="IRNazanin" w:cs="IRNazanin"/>
          <w:lang w:bidi="fa-IR"/>
          <w:color w:val="111111"/>
          <w:sz w:val="28"/>
          <w:szCs w:val="28"/>
          <w:rtl/>
        </w:rPr>
        <w:t xml:space="preserve">آغاز: حمدی که مقبول پیشگاه ساکنان ملاء اعلى از سلطان عثمان خان اول (۷۲۳) تا سلطان مصطفی خان رابع (۱۲۳۱). ترجمه از فرانسوی و انگلیسی؛ بی کا، بی تاب اندازه:</w:t>
      </w:r>
    </w:p>
    <w:p>
      <w:pPr>
        <w:pStyle w:val="BookText"/>
      </w:pPr>
      <w:r>
        <w:rPr>
          <w:rFonts w:ascii="IRNazanin" w:hAnsi="IRNazanin" w:eastAsia="IRNazanin" w:cs="IRNazanin"/>
          <w:lang w:bidi="fa-IR"/>
          <w:color w:val="111111"/>
          <w:sz w:val="28"/>
          <w:szCs w:val="28"/>
          <w:rtl/>
        </w:rPr>
        <w:t xml:space="preserve">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۲-۳۸۱]</w:t>
      </w:r>
    </w:p>
    <w:p>
      <w:pPr>
        <w:pStyle w:val="BookText"/>
      </w:pPr>
      <w:r>
        <w:rPr>
          <w:rFonts w:ascii="IRNazanin" w:hAnsi="IRNazanin" w:eastAsia="IRNazanin" w:cs="IRNazanin"/>
          <w:lang w:bidi="fa-IR"/>
          <w:color w:val="111111"/>
          <w:sz w:val="28"/>
          <w:szCs w:val="28"/>
          <w:rtl/>
        </w:rPr>
        <w:t xml:space="preserve">۵. تهران: ملک؛ شماره نسخه: ۱۴۸۲/۱۱</w:t>
      </w:r>
    </w:p>
    <w:p>
      <w:pPr>
        <w:pStyle w:val="BookText"/>
      </w:pPr>
      <w:r>
        <w:rPr>
          <w:rFonts w:ascii="IRNazanin" w:hAnsi="IRNazanin" w:eastAsia="IRNazanin" w:cs="IRNazanin"/>
          <w:lang w:bidi="fa-IR"/>
          <w:color w:val="111111"/>
          <w:sz w:val="28"/>
          <w:szCs w:val="28"/>
          <w:rtl/>
        </w:rPr>
        <w:t xml:space="preserve">با یادداشت از تاریخ هشت بهشت و از عثمان بیگ پایان ۵۶۷،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485" w:name="pg20363_209793"/>
    <w:bookmarkEnd w:id="485"/>
    <w:p>
      <w:pPr>
        <w:pStyle w:val="BookText"/>
      </w:pPr>
      <w:r>
        <w:rPr>
          <w:rFonts w:ascii="IRNazanin" w:hAnsi="IRNazanin" w:eastAsia="IRNazanin" w:cs="IRNazanin"/>
          <w:lang w:bidi="fa-IR"/>
          <w:color w:val="111111"/>
          <w:sz w:val="28"/>
          <w:szCs w:val="28"/>
          <w:rtl/>
        </w:rPr>
        <w:t xml:space="preserve">سالی که آنها پادشاهی کردند؛ خط نستعلیق، بی کا، بی تا[ف:۵-۲۷۵)</w:t>
      </w:r>
    </w:p>
    <w:p>
      <w:pPr>
        <w:pStyle w:val="Heading3"/>
      </w:pPr>
      <w:bookmarkStart w:id="2352" w:name="_Toc1612"/>
      <w:r>
        <w:t>•تاریخ سلاطین عجم = تاریخ ایران = پهلوی نامه ناصری / تاریخ ایران / فارسی</w:t>
      </w:r>
      <w:bookmarkEnd w:id="2352"/>
    </w:p>
    <w:p>
      <w:pPr>
        <w:pStyle w:val="BookText"/>
      </w:pPr>
      <w:r>
        <w:rPr>
          <w:rFonts w:ascii="Times New Roman" w:hAnsi="Times New Roman" w:eastAsia="Times New Roman" w:cs="Times New Roman"/>
          <w:lang w:val="en-US" w:bidi="en-US"/>
          <w:color w:val="111111"/>
          <w:sz w:val="28"/>
          <w:szCs w:val="28"/>
          <w:rtl/>
        </w:rPr>
        <w:t xml:space="preserve">tārīx-e salātīn-e ‘ajam = tārīx-e īrān = pahlavī-nāme-ye nāserī</w:t>
      </w:r>
    </w:p>
    <w:p>
      <w:pPr>
        <w:pStyle w:val="BookText"/>
      </w:pPr>
      <w:r>
        <w:rPr>
          <w:rFonts w:ascii="IRNazanin" w:hAnsi="IRNazanin" w:eastAsia="IRNazanin" w:cs="IRNazanin"/>
          <w:lang w:bidi="fa-IR"/>
          <w:color w:val="111111"/>
          <w:sz w:val="28"/>
          <w:szCs w:val="28"/>
          <w:rtl/>
        </w:rPr>
        <w:t xml:space="preserve">وقار شیرازی، احمد بن محمد شفیع، ۱۲۳۲-۱۲۹۸ قمری</w:t>
      </w:r>
    </w:p>
    <w:p>
      <w:pPr>
        <w:pStyle w:val="BookText"/>
      </w:pPr>
      <w:r>
        <w:rPr>
          <w:rFonts w:ascii="Times New Roman" w:hAnsi="Times New Roman" w:eastAsia="Times New Roman" w:cs="Times New Roman"/>
          <w:lang w:val="en-US" w:bidi="en-US"/>
          <w:color w:val="111111"/>
          <w:sz w:val="28"/>
          <w:szCs w:val="28"/>
          <w:rtl/>
        </w:rPr>
        <w:t xml:space="preserve">vaqār-e šīrāzī, ahmad ebn-e mohammad safi" (1817 1881)</w:t>
      </w:r>
    </w:p>
    <w:p>
      <w:pPr>
        <w:pStyle w:val="BookText"/>
      </w:pPr>
      <w:r>
        <w:rPr>
          <w:rFonts w:ascii="IRNazanin" w:hAnsi="IRNazanin" w:eastAsia="IRNazanin" w:cs="IRNazanin"/>
          <w:lang w:bidi="fa-IR"/>
          <w:color w:val="111111"/>
          <w:sz w:val="28"/>
          <w:szCs w:val="28"/>
          <w:rtl/>
        </w:rPr>
        <w:t xml:space="preserve">اهداء به: ناصر الدین شاه قاجار تاریخ تأليف: ۱۲۸۱ق تاریخ ایران باستان از پیشدادیان تا پایان ساسانیان، آغاز آن درست برابر «تاریخ ایران» اوست. نویسنده که از خاندان فضل و علم شیراز بوده می گوید سالها سر آن داشتم که نامه شگفت به زبان پهلوی برنگارم که «اندر آن نامه نغز از گفتار تازی هیچ نشان نبود و هیچگونه سخن نرود و در خور چنان دیدم که این نامه پهلوی را روزنامه خسروان پارس سازم تا در جهان یادگاری گذارم». متأسفانه حوادث ایام به او فرصت نمیدهد و بدین جهت او در مقدمه پوزش ازین ناکامی می خواهد گرچه مناقبی از کتاب خود بر می شمارد. آغاز: بسمله، سپاس بی کران و ستایش بی پایان خداوندی را سزاست چاپ: به اهتمام دکتر محمد علی صادقیان، شیراز، انتشارات دانشگاه شیراز، ۱۳۵۷</w:t>
      </w:r>
    </w:p>
    <w:p>
      <w:pPr>
        <w:pStyle w:val="BookText"/>
      </w:pPr>
      <w:r>
        <w:rPr>
          <w:rFonts w:ascii="IRNazanin" w:hAnsi="IRNazanin" w:eastAsia="IRNazanin" w:cs="IRNazanin"/>
          <w:lang w:bidi="fa-IR"/>
          <w:color w:val="111111"/>
          <w:sz w:val="28"/>
          <w:szCs w:val="28"/>
          <w:rtl/>
        </w:rPr>
        <w:t xml:space="preserve">[ دنا ۷۱۱/۲ ؛ فرهنگ سخنوران ۶۵۲؛ ملی ۵۰/۴؛ فهرستواره منزوی ۸۳۴/۲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ملی؛ شماره نسخه:۱۵۵۴</w:t>
      </w:r>
    </w:p>
    <w:p>
      <w:pPr>
        <w:pStyle w:val="BookText"/>
      </w:pPr>
      <w:r>
        <w:rPr>
          <w:rFonts w:ascii="IRNazanin" w:hAnsi="IRNazanin" w:eastAsia="IRNazanin" w:cs="IRNazanin"/>
          <w:lang w:bidi="fa-IR"/>
          <w:color w:val="111111"/>
          <w:sz w:val="28"/>
          <w:szCs w:val="28"/>
          <w:rtl/>
        </w:rPr>
        <w:t xml:space="preserve">آغاز: هو الله کتاب پهلوی نامه ناصری که بپارسی صرف نوشته شده و گفتار سلاطین عجم بنظم آمده من تأليف السعيد وقار شیرازی؛ انجام: امید که روزگار پادشاه آئين پناه بانجام نرسد و کارهای نیکو بانجام رساند خط: نستعلیق خوش، کاتب = مؤلف، تا: قرن ۱۳، جان شیراز؛ مجدول؛ کاغذ: فرنگی، جلد: تیماج قرمز با ترنج و نیم ترنج، ۸۹گ، ۲۹سطر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 اندازه: ۳۹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۴-۵۰]</w:t>
      </w:r>
    </w:p>
    <w:p>
      <w:pPr>
        <w:pStyle w:val="BookText"/>
      </w:pPr>
      <w:r>
        <w:rPr>
          <w:rFonts w:ascii="IRNazanin" w:hAnsi="IRNazanin" w:eastAsia="IRNazanin" w:cs="IRNazanin"/>
          <w:lang w:bidi="fa-IR"/>
          <w:color w:val="111111"/>
          <w:sz w:val="28"/>
          <w:szCs w:val="28"/>
          <w:rtl/>
        </w:rPr>
        <w:t xml:space="preserve">۲. تهران؛ ادبیات؛ شماره نسخه:۲۴ حکمت</w:t>
      </w:r>
    </w:p>
    <w:p>
      <w:pPr>
        <w:pStyle w:val="BookText"/>
      </w:pPr>
      <w:r>
        <w:rPr>
          <w:rFonts w:ascii="IRNazanin" w:hAnsi="IRNazanin" w:eastAsia="IRNazanin" w:cs="IRNazanin"/>
          <w:lang w:bidi="fa-IR"/>
          <w:color w:val="111111"/>
          <w:sz w:val="28"/>
          <w:szCs w:val="28"/>
          <w:rtl/>
        </w:rPr>
        <w:t xml:space="preserve">؛ خط: شکسته نستعلیق، بی کا، تا: قرن ۱۴، جلد: تیماج سرخ</w:t>
      </w:r>
    </w:p>
    <w:p>
      <w:pPr>
        <w:pStyle w:val="BookText"/>
      </w:pPr>
      <w:r>
        <w:rPr>
          <w:rFonts w:ascii="IRNazanin" w:hAnsi="IRNazanin" w:eastAsia="IRNazanin" w:cs="IRNazanin"/>
          <w:lang w:bidi="fa-IR"/>
          <w:color w:val="111111"/>
          <w:sz w:val="28"/>
          <w:szCs w:val="28"/>
          <w:rtl/>
        </w:rPr>
        <w:t xml:space="preserve">مقوایی، سطر، قطع: ربعی [ف: ۲-۵]</w:t>
      </w:r>
    </w:p>
    <w:p>
      <w:pPr>
        <w:pStyle w:val="BookText"/>
      </w:pPr>
      <w:r>
        <w:rPr>
          <w:rFonts w:ascii="IRNazanin" w:hAnsi="IRNazanin" w:eastAsia="IRNazanin" w:cs="IRNazanin"/>
          <w:lang w:bidi="fa-IR"/>
          <w:color w:val="111111"/>
          <w:sz w:val="28"/>
          <w:szCs w:val="28"/>
          <w:rtl/>
        </w:rPr>
        <w:t xml:space="preserve">٣. تهران؛ ادبیات؛ شماره نسخه:۱۴ حکمت</w:t>
      </w:r>
    </w:p>
    <w:p>
      <w:pPr>
        <w:pStyle w:val="BookText"/>
      </w:pPr>
      <w:r>
        <w:rPr>
          <w:rFonts w:ascii="IRNazanin" w:hAnsi="IRNazanin" w:eastAsia="IRNazanin" w:cs="IRNazanin"/>
          <w:lang w:bidi="fa-IR"/>
          <w:color w:val="111111"/>
          <w:sz w:val="28"/>
          <w:szCs w:val="28"/>
          <w:rtl/>
        </w:rPr>
        <w:t xml:space="preserve">تاریخ کیانیان است؛ خط: نستعلیق، بی کا، تا: قرن ۱۴؛ کاغذ:</w:t>
      </w:r>
    </w:p>
    <w:p>
      <w:pPr>
        <w:pStyle w:val="BookText"/>
      </w:pPr>
      <w:r>
        <w:rPr>
          <w:rFonts w:ascii="IRNazanin" w:hAnsi="IRNazanin" w:eastAsia="IRNazanin" w:cs="IRNazanin"/>
          <w:lang w:bidi="fa-IR"/>
          <w:color w:val="111111"/>
          <w:sz w:val="28"/>
          <w:szCs w:val="28"/>
          <w:rtl/>
        </w:rPr>
        <w:t xml:space="preserve">فرنگی کبود، جلد: تیماج سرخ مقوایی، سطر، قطع: ربعی [ف:۲-۵]</w:t>
      </w:r>
    </w:p>
    <w:p>
      <w:pPr>
        <w:pStyle w:val="BookText"/>
      </w:pPr>
      <w:r>
        <w:rPr>
          <w:rFonts w:ascii="IRNazanin" w:hAnsi="IRNazanin" w:eastAsia="IRNazanin" w:cs="IRNazanin"/>
          <w:lang w:bidi="fa-IR"/>
          <w:color w:val="111111"/>
          <w:sz w:val="28"/>
          <w:szCs w:val="28"/>
          <w:rtl/>
        </w:rPr>
        <w:t xml:space="preserve">۴. تهران؛ ادبیات؛ شماره نسخه:۲۵ حکمت</w:t>
      </w:r>
    </w:p>
    <w:p>
      <w:pPr>
        <w:pStyle w:val="BookText"/>
      </w:pPr>
      <w:r>
        <w:rPr>
          <w:rFonts w:ascii="IRNazanin" w:hAnsi="IRNazanin" w:eastAsia="IRNazanin" w:cs="IRNazanin"/>
          <w:lang w:bidi="fa-IR"/>
          <w:color w:val="111111"/>
          <w:sz w:val="28"/>
          <w:szCs w:val="28"/>
          <w:rtl/>
        </w:rPr>
        <w:t xml:space="preserve">تاریخ کیانیان است؛ خط: نستعلیق، بی کا، تا: قرن ۱۴؛ کاغذ: فرنگی کبود، جلد: تیماج سرخ ضربی مقوایی، قطع: ربعی [ف: ۲-۵]</w:t>
      </w:r>
    </w:p>
    <w:p>
      <w:pPr>
        <w:pStyle w:val="BookText"/>
      </w:pPr>
      <w:r>
        <w:rPr>
          <w:rFonts w:ascii="IRNazanin" w:hAnsi="IRNazanin" w:eastAsia="IRNazanin" w:cs="IRNazanin"/>
          <w:lang w:bidi="fa-IR"/>
          <w:color w:val="111111"/>
          <w:sz w:val="28"/>
          <w:szCs w:val="28"/>
          <w:rtl/>
        </w:rPr>
        <w:t xml:space="preserve">۵. تهران، ادبیات، شماره نسخه: ۶۳ حکمت</w:t>
      </w:r>
    </w:p>
    <w:p>
      <w:pPr>
        <w:pStyle w:val="BookText"/>
      </w:pPr>
      <w:r>
        <w:rPr>
          <w:rFonts w:ascii="IRNazanin" w:hAnsi="IRNazanin" w:eastAsia="IRNazanin" w:cs="IRNazanin"/>
          <w:lang w:bidi="fa-IR"/>
          <w:color w:val="111111"/>
          <w:sz w:val="28"/>
          <w:szCs w:val="28"/>
          <w:rtl/>
        </w:rPr>
        <w:t xml:space="preserve">تاریخ پادشاهان اشکانی و ساسانی است، گویا از وقار، خط: نستعلیق، کا: يوسف فسائی بفرمایش آقا میرزا محمد باقر، تا: جمادی الثانی ۱۳۲۷ق؛ جلد: تیماج سرخ مقوایی، سطر، قطع: ربعی [ف: ۲-۵]</w:t>
      </w:r>
    </w:p>
    <w:p>
      <w:pPr>
        <w:pStyle w:val="BookText"/>
      </w:pPr>
      <w:r>
        <w:rPr>
          <w:rFonts w:ascii="IRNazanin" w:hAnsi="IRNazanin" w:eastAsia="IRNazanin" w:cs="IRNazanin"/>
          <w:lang w:bidi="fa-IR"/>
          <w:color w:val="111111"/>
          <w:sz w:val="28"/>
          <w:szCs w:val="28"/>
          <w:rtl/>
        </w:rPr>
        <w:t xml:space="preserve">۶. تهران؛ ملی؛ شماره نسخه: ۱۲۱۱</w:t>
      </w:r>
    </w:p>
    <w:p>
      <w:pPr>
        <w:pStyle w:val="BookText"/>
      </w:pPr>
      <w:r>
        <w:rPr>
          <w:rFonts w:ascii="IRNazanin" w:hAnsi="IRNazanin" w:eastAsia="IRNazanin" w:cs="IRNazanin"/>
          <w:lang w:bidi="fa-IR"/>
          <w:color w:val="111111"/>
          <w:sz w:val="28"/>
          <w:szCs w:val="28"/>
          <w:rtl/>
        </w:rPr>
        <w:t xml:space="preserve">آغاز: برابر؛ انجام: بپارس. بدخمه پادشاهان فرستاد و روزگار ساسانیان نیز سر آمده و نامه انجام رسید. خط: نستعلیق، کا: محمد حسین، تا: ۱۳۳۱ق، جا: شیراز؛ کاغذ: فرنگی، جلد: مقوایی سیاه عطف تیماج سیاه، ۳۰۵گ، ۱۵ سطر (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۳-۲۴۵]</w:t>
      </w:r>
    </w:p>
    <w:p>
      <w:pPr>
        <w:pStyle w:val="BookText"/>
      </w:pPr>
      <w:r>
        <w:rPr>
          <w:rFonts w:ascii="IRNazanin" w:hAnsi="IRNazanin" w:eastAsia="IRNazanin" w:cs="IRNazanin"/>
          <w:lang w:bidi="fa-IR"/>
          <w:color w:val="111111"/>
          <w:sz w:val="28"/>
          <w:szCs w:val="28"/>
          <w:rtl/>
        </w:rPr>
        <w:t xml:space="preserve">←تاریخ سلاطین کرمان ← سمط العلى للحضرة العليا</w:t>
      </w:r>
    </w:p>
    <w:p>
      <w:pPr>
        <w:pStyle w:val="Heading3"/>
      </w:pPr>
      <w:bookmarkStart w:id="2353" w:name="_Toc1613"/>
      <w:r>
        <w:t>•تاریخ سلاطین گجرات / تاریخ / فارسی</w:t>
      </w:r>
      <w:bookmarkEnd w:id="2353"/>
    </w:p>
    <w:p>
      <w:pPr>
        <w:pStyle w:val="BookText"/>
      </w:pPr>
      <w:r>
        <w:rPr>
          <w:rFonts w:ascii="Times New Roman" w:hAnsi="Times New Roman" w:eastAsia="Times New Roman" w:cs="Times New Roman"/>
          <w:lang w:val="en-US" w:bidi="en-US"/>
          <w:color w:val="111111"/>
          <w:sz w:val="28"/>
          <w:szCs w:val="28"/>
          <w:rtl/>
        </w:rPr>
        <w:t xml:space="preserve">tārīx-e salātīn-e gojarāt</w:t>
      </w:r>
    </w:p>
    <w:p>
      <w:pPr>
        <w:pStyle w:val="BookText"/>
      </w:pPr>
      <w:r>
        <w:rPr>
          <w:rFonts w:ascii="IRNazanin" w:hAnsi="IRNazanin" w:eastAsia="IRNazanin" w:cs="IRNazanin"/>
          <w:lang w:bidi="fa-IR"/>
          <w:color w:val="111111"/>
          <w:sz w:val="28"/>
          <w:szCs w:val="28"/>
          <w:rtl/>
        </w:rPr>
        <w:t xml:space="preserve">تهران؛ ملی؛ شماره نسخه:۱۸۴۰۸</w:t>
      </w:r>
    </w:p>
    <w:p>
      <w:pPr>
        <w:pStyle w:val="BookText"/>
      </w:pPr>
      <w:r>
        <w:rPr>
          <w:rFonts w:ascii="IRNazanin" w:hAnsi="IRNazanin" w:eastAsia="IRNazanin" w:cs="IRNazanin"/>
          <w:lang w:bidi="fa-IR"/>
          <w:color w:val="111111"/>
          <w:sz w:val="28"/>
          <w:szCs w:val="28"/>
          <w:rtl/>
        </w:rPr>
        <w:t xml:space="preserve">بی کا، تا: ۱۲۵۵ق؛ انتقالی از کتابخانه پهلوی - مجموعه نوازی؛ ۴۰۹ص،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[رایانه]</w:t>
      </w:r>
    </w:p>
    <w:p>
      <w:pPr>
        <w:pStyle w:val="BookText"/>
      </w:pPr>
      <w:r>
        <w:rPr>
          <w:rFonts w:ascii="IRNazanin" w:hAnsi="IRNazanin" w:eastAsia="IRNazanin" w:cs="IRNazanin"/>
          <w:lang w:bidi="fa-IR"/>
          <w:color w:val="111111"/>
          <w:sz w:val="28"/>
          <w:szCs w:val="28"/>
          <w:rtl/>
        </w:rPr>
        <w:t xml:space="preserve">←تاریخ سلاطين گورکانی← اکبر نامه</w:t>
      </w:r>
    </w:p>
    <w:p>
      <w:pPr>
        <w:pStyle w:val="Heading3"/>
      </w:pPr>
      <w:bookmarkStart w:id="2354" w:name="_Toc1614"/>
      <w:r>
        <w:t>•تاریخ سلاطین مصر / تاریخ / فارسی</w:t>
      </w:r>
      <w:bookmarkEnd w:id="2354"/>
    </w:p>
    <w:p>
      <w:pPr>
        <w:pStyle w:val="BookText"/>
      </w:pPr>
      <w:r>
        <w:rPr>
          <w:rFonts w:ascii="Times New Roman" w:hAnsi="Times New Roman" w:eastAsia="Times New Roman" w:cs="Times New Roman"/>
          <w:lang w:val="en-US" w:bidi="en-US"/>
          <w:color w:val="111111"/>
          <w:sz w:val="28"/>
          <w:szCs w:val="28"/>
          <w:rtl/>
        </w:rPr>
        <w:t xml:space="preserve">tārīx-e salātīn-e mesr</w:t>
      </w:r>
    </w:p>
    <w:p>
      <w:pPr>
        <w:pStyle w:val="BookText"/>
      </w:pPr>
      <w:r>
        <w:rPr>
          <w:rFonts w:ascii="IRNazanin" w:hAnsi="IRNazanin" w:eastAsia="IRNazanin" w:cs="IRNazanin"/>
          <w:lang w:bidi="fa-IR"/>
          <w:color w:val="111111"/>
          <w:sz w:val="28"/>
          <w:szCs w:val="28"/>
          <w:rtl/>
        </w:rPr>
        <w:t xml:space="preserve">تهران؛ ملک، شماره نسخه:۳۸۲۸</w:t>
      </w:r>
    </w:p>
    <w:p>
      <w:pPr>
        <w:pStyle w:val="BookText"/>
      </w:pPr>
      <w:r>
        <w:rPr>
          <w:rFonts w:ascii="IRNazanin" w:hAnsi="IRNazanin" w:eastAsia="IRNazanin" w:cs="IRNazanin"/>
          <w:lang w:bidi="fa-IR"/>
          <w:color w:val="111111"/>
          <w:sz w:val="28"/>
          <w:szCs w:val="28"/>
          <w:rtl/>
        </w:rPr>
        <w:t xml:space="preserve">آغاز: در زمان خلیفه ثانی دیار مصر و بلاد شام بدست عمر و عاص مفتوح شد؛ انجام: و عموشان قطب الدین موسی احدی از اولاد او را نگذاشت که مستبد به امر باشند. اخبار سال ۵۵۹ (رفتن شیر کوه به مصر) تا وفات ملک فضل الدین پسر صلاح الدين در ۶۲۲ را در بردارد؛ خط: نسخ، كان محمد باقر، تا: دوشنبه ۱۷ ربیع الاول ۱۳۰۴ق؛ دارای یک سرلوح، مجدول به طلا؛ کاغذ: آهار مهره فرنگی، جلد: میشن سیاه ضربی، ۱۹۰گ، ۲۱ سطر، اندازه: ۱۷/۱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۲۲/۵سم [ف: ۲-۸۲]</w:t>
      </w:r>
    </w:p>
    <w:p>
      <w:pPr>
        <w:pStyle w:val="Heading3"/>
      </w:pPr>
      <w:bookmarkStart w:id="2355" w:name="_Toc1615"/>
      <w:r>
        <w:t>•تاریخ سلاطین هند (مختصر) / تاریخ هند / فارسی</w:t>
      </w:r>
      <w:bookmarkEnd w:id="2355"/>
    </w:p>
    <w:p>
      <w:pPr>
        <w:pStyle w:val="BookText"/>
      </w:pPr>
      <w:r>
        <w:rPr>
          <w:rFonts w:ascii="Times New Roman" w:hAnsi="Times New Roman" w:eastAsia="Times New Roman" w:cs="Times New Roman"/>
          <w:lang w:val="en-US" w:bidi="en-US"/>
          <w:color w:val="111111"/>
          <w:sz w:val="28"/>
          <w:szCs w:val="28"/>
          <w:rtl/>
        </w:rPr>
        <w:t xml:space="preserve">tārīx-e salātīn-e hend (mx.)</w:t>
      </w:r>
    </w:p>
    <w:p>
      <w:pPr>
        <w:pStyle w:val="BookText"/>
      </w:pPr>
      <w:r>
        <w:rPr>
          <w:rFonts w:ascii="IRNazanin" w:hAnsi="IRNazanin" w:eastAsia="IRNazanin" w:cs="IRNazanin"/>
          <w:lang w:bidi="fa-IR"/>
          <w:color w:val="111111"/>
          <w:sz w:val="28"/>
          <w:szCs w:val="28"/>
          <w:rtl/>
        </w:rPr>
        <w:t xml:space="preserve">خلاصه ای از تاریخ سلاطين مغول که در هند حکومت کرده اند تا عهد نادرشاه و سپس شمه ای از تاریخ نادر شاه را آورده است. در دیباچه مصادر و مدارک خود را ذکر می کند.</w:t>
      </w:r>
    </w:p>
    <w:p>
      <w:pPr>
        <w:pStyle w:val="BookText"/>
      </w:pPr>
      <w:r>
        <w:rPr>
          <w:rFonts w:ascii="IRNazanin" w:hAnsi="IRNazanin" w:eastAsia="IRNazanin" w:cs="IRNazanin"/>
          <w:lang w:bidi="fa-IR"/>
          <w:color w:val="111111"/>
          <w:sz w:val="28"/>
          <w:szCs w:val="28"/>
          <w:rtl/>
        </w:rPr>
        <w:t xml:space="preserve">مشهد، شیخ علی حیدر، شماره نسخه:۱۳۸۶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486" w:name="pg20363_209794"/>
    <w:bookmarkEnd w:id="486"/>
    <w:p>
      <w:pPr>
        <w:pStyle w:val="BookText"/>
      </w:pPr>
      <w:r>
        <w:rPr>
          <w:rFonts w:ascii="IRNazanin" w:hAnsi="IRNazanin" w:eastAsia="IRNazanin" w:cs="IRNazanin"/>
          <w:lang w:bidi="fa-IR"/>
          <w:color w:val="111111"/>
          <w:sz w:val="28"/>
          <w:szCs w:val="28"/>
          <w:rtl/>
        </w:rPr>
        <w:t xml:space="preserve">آغاز: از آنجا که این قبیل تصنیفات همیشه مطبوع عامه است؛ انجام: نسخه ای از این تاریخ صحیح که بقدر ذره ای به این اتفاقات که قلمی گردید پس و پیش ندارد تحریر شد که تاریخ صحیحی در دست باشد خط: نستعلیق، كا: احمد تفرشی، تا: ذیقعده ۱۳۲۰ق، به امر ناظم السلطان در عهد مظفر الدین شاه؛ مجدول، نام محمد علی ناصح دیده می شود؛ جلد: تیماج سرخ، ۸۷گ، ۱۲ سطر، اندازه: ۲۲</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۱۴/۵ سم [ مؤيد: ۳-۳۱۷]</w:t>
      </w:r>
    </w:p>
    <w:p>
      <w:pPr>
        <w:pStyle w:val="Heading3"/>
      </w:pPr>
      <w:bookmarkStart w:id="2356" w:name="_Toc1616"/>
      <w:r>
        <w:t>•تاریخ سلاطین هند و افغان / تاریخ هند / فارسی</w:t>
      </w:r>
      <w:bookmarkEnd w:id="2356"/>
    </w:p>
    <w:p>
      <w:pPr>
        <w:pStyle w:val="BookText"/>
      </w:pPr>
      <w:r>
        <w:rPr>
          <w:rFonts w:ascii="Times New Roman" w:hAnsi="Times New Roman" w:eastAsia="Times New Roman" w:cs="Times New Roman"/>
          <w:lang w:val="en-US" w:bidi="en-US"/>
          <w:color w:val="111111"/>
          <w:sz w:val="28"/>
          <w:szCs w:val="28"/>
          <w:rtl/>
        </w:rPr>
        <w:t xml:space="preserve">tārīx-e salātīn-e hend va afqān</w:t>
      </w:r>
    </w:p>
    <w:p>
      <w:pPr>
        <w:pStyle w:val="BookText"/>
      </w:pPr>
      <w:r>
        <w:rPr>
          <w:rFonts w:ascii="IRNazanin" w:hAnsi="IRNazanin" w:eastAsia="IRNazanin" w:cs="IRNazanin"/>
          <w:lang w:bidi="fa-IR"/>
          <w:color w:val="111111"/>
          <w:sz w:val="28"/>
          <w:szCs w:val="28"/>
          <w:rtl/>
        </w:rPr>
        <w:t xml:space="preserve">کتابی است در تاریخ سلاطین هند و افغانستان و داستان جنگ ها و حوادث تاریخی آنان که به جهت افتادگی طرفین نسخه نام دقیق کتاب و مؤلف به دست نیامد. شروع نسخه با حکایت شورش میرزا کامران است در قرن دهم هجری، سپس به تفصیل وقایع سال اول سلطنت تا سال چهاردهم سلطنت یکی از پادشاهان را آورده است.</w:t>
      </w:r>
    </w:p>
    <w:p>
      <w:pPr>
        <w:pStyle w:val="BookText"/>
      </w:pPr>
      <w:r>
        <w:rPr>
          <w:rFonts w:ascii="IRNazanin" w:hAnsi="IRNazanin" w:eastAsia="IRNazanin" w:cs="IRNazanin"/>
          <w:lang w:bidi="fa-IR"/>
          <w:color w:val="111111"/>
          <w:sz w:val="28"/>
          <w:szCs w:val="28"/>
          <w:rtl/>
        </w:rPr>
        <w:t xml:space="preserve">قم، گلپایگانی؛ شماره نسخه: ۶۱۲۲- ۳۲/۳۲</w:t>
      </w:r>
    </w:p>
    <w:p>
      <w:pPr>
        <w:pStyle w:val="BookText"/>
      </w:pPr>
      <w:r>
        <w:rPr>
          <w:rFonts w:ascii="IRNazanin" w:hAnsi="IRNazanin" w:eastAsia="IRNazanin" w:cs="IRNazanin"/>
          <w:lang w:bidi="fa-IR"/>
          <w:color w:val="111111"/>
          <w:sz w:val="28"/>
          <w:szCs w:val="28"/>
          <w:rtl/>
        </w:rPr>
        <w:t xml:space="preserve">آغاز: این حرام نمک را از دروازه آهنین کابل بیاویزند که موجب عبرت خودسران نفاق پیشه گردد؛ انجام: امید ایشان بجواهر مکارم گران شد و خلعت عفو پوشیده کامیاب آمال پیش پدر شتافتند. از اختصاص یافتن خرج بحضرت شاهشناهی تا آغاز سال چهاردهم از جلوس شاهنشاه؛ خط: نستعلیق، بی کا، بی تا، افتادگی: آغاز و انجام؛ جلد: مقوا عطف و گوشه گالینگور قهوه ای، ۲۱۴گ، ۲۱ سطر،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۲-۶۹۴]</w:t>
      </w:r>
    </w:p>
    <w:p>
      <w:pPr>
        <w:pStyle w:val="Heading3"/>
      </w:pPr>
      <w:bookmarkStart w:id="2357" w:name="_Toc1617"/>
      <w:r>
        <w:t>• تاریخ سلانیکی = تاریخ سلطان سلیمان خان / تاریخ / ترکی</w:t>
      </w:r>
      <w:bookmarkEnd w:id="2357"/>
    </w:p>
    <w:p>
      <w:pPr>
        <w:pStyle w:val="BookText"/>
      </w:pPr>
      <w:r>
        <w:rPr>
          <w:rFonts w:ascii="Times New Roman" w:hAnsi="Times New Roman" w:eastAsia="Times New Roman" w:cs="Times New Roman"/>
          <w:lang w:val="en-US" w:bidi="en-US"/>
          <w:color w:val="111111"/>
          <w:sz w:val="28"/>
          <w:szCs w:val="28"/>
          <w:rtl/>
        </w:rPr>
        <w:t xml:space="preserve">tārīx-e salānīkī= tārīx-e soltān soleymān xān</w:t>
      </w:r>
    </w:p>
    <w:p>
      <w:pPr>
        <w:pStyle w:val="BookText"/>
      </w:pPr>
      <w:r>
        <w:rPr>
          <w:rFonts w:ascii="IRNazanin" w:hAnsi="IRNazanin" w:eastAsia="IRNazanin" w:cs="IRNazanin"/>
          <w:lang w:bidi="fa-IR"/>
          <w:color w:val="111111"/>
          <w:sz w:val="28"/>
          <w:szCs w:val="28"/>
          <w:rtl/>
        </w:rPr>
        <w:t xml:space="preserve">سلانیکی، مصطفی افندی، -۱۰۱۰ قمری</w:t>
      </w:r>
    </w:p>
    <w:p>
      <w:pPr>
        <w:pStyle w:val="BookText"/>
      </w:pPr>
      <w:r>
        <w:rPr>
          <w:rFonts w:ascii="Times New Roman" w:hAnsi="Times New Roman" w:eastAsia="Times New Roman" w:cs="Times New Roman"/>
          <w:lang w:val="en-US" w:bidi="en-US"/>
          <w:color w:val="111111"/>
          <w:sz w:val="28"/>
          <w:szCs w:val="28"/>
          <w:rtl/>
        </w:rPr>
        <w:t xml:space="preserve">salānīkī, mostafā afandī (-1602)</w:t>
      </w:r>
    </w:p>
    <w:p>
      <w:pPr>
        <w:pStyle w:val="BookText"/>
      </w:pPr>
      <w:r>
        <w:rPr>
          <w:rFonts w:ascii="IRNazanin" w:hAnsi="IRNazanin" w:eastAsia="IRNazanin" w:cs="IRNazanin"/>
          <w:lang w:bidi="fa-IR"/>
          <w:color w:val="111111"/>
          <w:sz w:val="28"/>
          <w:szCs w:val="28"/>
          <w:rtl/>
        </w:rPr>
        <w:t xml:space="preserve">وقایع و حوادث روزگار سلطنت سلیمان خان و سلاطین عثمانی پس از او است و حوادث سال های ۹۷۱ تا ۱۰۰۱ ق ( یا ۱۰۰۸ق) را دربر می گیرد. این تاریخ به زبان ترکی است و مؤلف آن مصطفی افندی سلانیکی کاتب دربار و سپاه عثمانی است. مؤلف در برخی موارد، اشعار فارسی و ترکی نقل کرده است. چاپ: در سال ۱۲۸۱ ق در مطبعه عامره استانبول، در ۳۵۱ صفحه</w:t>
      </w:r>
    </w:p>
    <w:p>
      <w:pPr>
        <w:pStyle w:val="BookText"/>
      </w:pPr>
      <w:r>
        <w:rPr>
          <w:rFonts w:ascii="IRNazanin" w:hAnsi="IRNazanin" w:eastAsia="IRNazanin" w:cs="IRNazanin"/>
          <w:lang w:bidi="fa-IR"/>
          <w:color w:val="111111"/>
          <w:sz w:val="28"/>
          <w:szCs w:val="28"/>
          <w:rtl/>
        </w:rPr>
        <w:t xml:space="preserve">قم؛ مرعشی؛ شماره نسخه:۱۵۳۵ عکسی</w:t>
      </w:r>
    </w:p>
    <w:p>
      <w:pPr>
        <w:pStyle w:val="BookText"/>
      </w:pPr>
      <w:r>
        <w:rPr>
          <w:rFonts w:ascii="IRNazanin" w:hAnsi="IRNazanin" w:eastAsia="IRNazanin" w:cs="IRNazanin"/>
          <w:lang w:bidi="fa-IR"/>
          <w:color w:val="111111"/>
          <w:sz w:val="28"/>
          <w:szCs w:val="28"/>
          <w:rtl/>
        </w:rPr>
        <w:t xml:space="preserve">آغاز: دفتر حوادث روزگار و واقعات دوران که در زمان سلطنت حضرت سلطان سلیمان خان جوزی -بالرحمة و الرضوان واقع شده در این پریشان اوراق را ثبت نموده شد، اگر به مرور ایام به نظر آید، امید که سبب دعا شود و بالله التوفيق. تاریخ هجرت نبویه نك على صاحبها افضل التحية سنه احدی و سبعین و تسع مائة، ده واقع سلخ محرم الحرام و غره صفر المظفر کی دوشنبه کوننده سحردن حضرت پادشاه دین پناه اید الله و قواه؛ انجام: اواخر شهر بيع الآخر در دیار برک بیکلر بکیسی دیوانه ابراهیم پاشا عزل اولنوب. نسخه اصل: در کتابخانه اسعد افندی به شماره ۲۱۴۴، منتقل شده به کتابخانه سلیمانیه در استانبول؛ خط: نستعلیق، بی کا، بی تا؛ مجدول، با سرلوح؛ تملک: سید محمد شریف صاحب الحاج خزه حامد پاشازاده؛ ۲۹۶، ۲۵ سطر [عکسی ف: ۴-۴۵۵]</w:t>
      </w:r>
    </w:p>
    <w:p>
      <w:pPr>
        <w:pStyle w:val="BookText"/>
      </w:pPr>
      <w:r>
        <w:rPr>
          <w:rFonts w:ascii="IRNazanin" w:hAnsi="IRNazanin" w:eastAsia="IRNazanin" w:cs="IRNazanin"/>
          <w:lang w:bidi="fa-IR"/>
          <w:color w:val="111111"/>
          <w:sz w:val="28"/>
          <w:szCs w:val="28"/>
          <w:rtl/>
        </w:rPr>
        <w:t xml:space="preserve">←تاریخ سلجوقیان ← ذکر سلاطين آل سلجوق</w:t>
      </w:r>
    </w:p>
    <w:p>
      <w:pPr>
        <w:pStyle w:val="Heading3"/>
      </w:pPr>
      <w:bookmarkStart w:id="2358" w:name="_Toc1618"/>
      <w:r>
        <w:t>•تاریخ سلجوقیان کرمان - تاریخ کرمان / تاریخ ایران / فارسی</w:t>
      </w:r>
      <w:bookmarkEnd w:id="2358"/>
    </w:p>
    <w:p>
      <w:pPr>
        <w:pStyle w:val="BookText"/>
      </w:pPr>
      <w:r>
        <w:rPr>
          <w:rFonts w:ascii="Times New Roman" w:hAnsi="Times New Roman" w:eastAsia="Times New Roman" w:cs="Times New Roman"/>
          <w:lang w:val="en-US" w:bidi="en-US"/>
          <w:color w:val="111111"/>
          <w:sz w:val="28"/>
          <w:szCs w:val="28"/>
          <w:rtl/>
        </w:rPr>
        <w:t xml:space="preserve">tārīx-e saljūqīyān-e kermān = tārīx-e kermān</w:t>
      </w:r>
    </w:p>
    <w:p>
      <w:pPr>
        <w:pStyle w:val="BookText"/>
      </w:pPr>
      <w:r>
        <w:rPr>
          <w:rFonts w:ascii="IRNazanin" w:hAnsi="IRNazanin" w:eastAsia="IRNazanin" w:cs="IRNazanin"/>
          <w:lang w:bidi="fa-IR"/>
          <w:color w:val="111111"/>
          <w:sz w:val="28"/>
          <w:szCs w:val="28"/>
          <w:rtl/>
        </w:rPr>
        <w:t xml:space="preserve">خبیصی، محمد ابراهیم، ق ۱۱ قمری</w:t>
      </w:r>
    </w:p>
    <w:p>
      <w:pPr>
        <w:pStyle w:val="BookText"/>
      </w:pPr>
      <w:r>
        <w:rPr>
          <w:rFonts w:ascii="Times New Roman" w:hAnsi="Times New Roman" w:eastAsia="Times New Roman" w:cs="Times New Roman"/>
          <w:lang w:val="en-US" w:bidi="en-US"/>
          <w:color w:val="111111"/>
          <w:sz w:val="28"/>
          <w:szCs w:val="28"/>
          <w:rtl/>
        </w:rPr>
        <w:t xml:space="preserve">xabīsī, mohammad ebrāhīm (-17c)</w:t>
      </w:r>
    </w:p>
    <w:p>
      <w:pPr>
        <w:pStyle w:val="BookText"/>
      </w:pPr>
      <w:r>
        <w:rPr>
          <w:rFonts w:ascii="IRNazanin" w:hAnsi="IRNazanin" w:eastAsia="IRNazanin" w:cs="IRNazanin"/>
          <w:lang w:bidi="fa-IR"/>
          <w:color w:val="111111"/>
          <w:sz w:val="28"/>
          <w:szCs w:val="28"/>
          <w:rtl/>
        </w:rPr>
        <w:t xml:space="preserve">تاریخ سلجوقیان کرمان و کمی درباره سلجوقیان عراق تا روی</w:t>
      </w:r>
    </w:p>
    <w:p>
      <w:pPr>
        <w:pStyle w:val="BookText"/>
      </w:pPr>
      <w:r>
        <w:rPr>
          <w:rFonts w:ascii="IRNazanin" w:hAnsi="IRNazanin" w:eastAsia="IRNazanin" w:cs="IRNazanin"/>
          <w:lang w:bidi="fa-IR"/>
          <w:color w:val="111111"/>
          <w:sz w:val="28"/>
          <w:szCs w:val="28"/>
          <w:rtl/>
        </w:rPr>
        <w:t xml:space="preserve">کار آمدن قره ختائیان در ۶۱۹ق است. چاپ: به کوشش هو تسمان، لیدن، ۱۸۸۶م؛ سپس استاد پاریزی، تهران، ۱۳۴۳ش</w:t>
      </w:r>
    </w:p>
    <w:p>
      <w:pPr>
        <w:pStyle w:val="BookText"/>
      </w:pPr>
      <w:r>
        <w:rPr>
          <w:rFonts w:ascii="IRNazanin" w:hAnsi="IRNazanin" w:eastAsia="IRNazanin" w:cs="IRNazanin"/>
          <w:lang w:bidi="fa-IR"/>
          <w:color w:val="111111"/>
          <w:sz w:val="28"/>
          <w:szCs w:val="28"/>
          <w:rtl/>
        </w:rPr>
        <w:t xml:space="preserve">[فهرستواره ۸۷۱/۲ «تاریخ سلجوقیان کرمان»؛ نسخه های منزوی ۴۲۴۶/۶ ؛ استوری ۳۵۸/۱ «تاریخ سلجوقیان کرمان»؛ بر گل، روسی، ۲۰۵۹/۲ ؛ پیشگفتار چ پاریزی؛ نفیسی</w:t>
      </w:r>
    </w:p>
    <w:p>
      <w:pPr>
        <w:pStyle w:val="BookText"/>
      </w:pPr>
      <w:r>
        <w:rPr>
          <w:rFonts w:ascii="IRNazanin" w:hAnsi="IRNazanin" w:eastAsia="IRNazanin" w:cs="IRNazanin"/>
          <w:lang w:bidi="fa-IR"/>
          <w:color w:val="111111"/>
          <w:sz w:val="28"/>
          <w:szCs w:val="28"/>
          <w:rtl/>
        </w:rPr>
        <w:t xml:space="preserve">۱۱۸/۱ ؛ مشار ۱۰۱۶/۱ «تاریخ آل سلجوق كرمان»؛ دائرة المعارف اسلامی ۵۷/۱ ]</w:t>
      </w:r>
    </w:p>
    <w:p>
      <w:pPr>
        <w:pStyle w:val="BookText"/>
      </w:pPr>
      <w:r>
        <w:rPr>
          <w:rFonts w:ascii="IRNazanin" w:hAnsi="IRNazanin" w:eastAsia="IRNazanin" w:cs="IRNazanin"/>
          <w:lang w:bidi="fa-IR"/>
          <w:color w:val="111111"/>
          <w:sz w:val="28"/>
          <w:szCs w:val="28"/>
          <w:rtl/>
        </w:rPr>
        <w:t xml:space="preserve">تهران، دائرة المعارف، شماره نسخه:۱۷۹۴/۱ -عکسی</w:t>
      </w:r>
    </w:p>
    <w:p>
      <w:pPr>
        <w:pStyle w:val="BookText"/>
      </w:pPr>
      <w:r>
        <w:rPr>
          <w:rFonts w:ascii="IRNazanin" w:hAnsi="IRNazanin" w:eastAsia="IRNazanin" w:cs="IRNazanin"/>
          <w:lang w:bidi="fa-IR"/>
          <w:color w:val="111111"/>
          <w:sz w:val="28"/>
          <w:szCs w:val="28"/>
          <w:rtl/>
        </w:rPr>
        <w:t xml:space="preserve">آغاز: بسمله. دادار جهان اگر دو بودی نه یکی -دادار بودی لشکرستان دکی. و با بهرام قومی دیلم بودند؛ انجام: در سنه ۶۱۹ از تملک زوزن گرفته بر مسند ایالت متمکن شد، و چون احوال قتلغ سلطان در کتب تواریخ مذکور است عنان قلم ... خط: نستعلیق تحریری، بی کا، تا: قرن ۱۳؛ افتادگی: آغاز (گویا بسیار)؛ گویا از روی نسخه چاپ فرنگستان؛ ۱۳۱ص (۲-۱۳۲) [عکسی ف: ۱-۵۷]</w:t>
      </w:r>
    </w:p>
    <w:p>
      <w:pPr>
        <w:pStyle w:val="Heading3"/>
      </w:pPr>
      <w:bookmarkStart w:id="2359" w:name="_Toc1619"/>
      <w:r>
        <w:t>•تاریخ سلطان = قصص الانبياء / تاریخ / فارسی</w:t>
      </w:r>
      <w:bookmarkEnd w:id="2359"/>
    </w:p>
    <w:p>
      <w:pPr>
        <w:pStyle w:val="BookText"/>
      </w:pPr>
      <w:r>
        <w:rPr>
          <w:rFonts w:ascii="Times New Roman" w:hAnsi="Times New Roman" w:eastAsia="Times New Roman" w:cs="Times New Roman"/>
          <w:lang w:val="en-US" w:bidi="en-US"/>
          <w:color w:val="111111"/>
          <w:sz w:val="28"/>
          <w:szCs w:val="28"/>
          <w:rtl/>
        </w:rPr>
        <w:t xml:space="preserve">tārīx-e soltān = qesas-ol anbīyā“</w:t>
      </w:r>
    </w:p>
    <w:p>
      <w:pPr>
        <w:pStyle w:val="BookText"/>
      </w:pPr>
      <w:r>
        <w:rPr>
          <w:rFonts w:ascii="IRNazanin" w:hAnsi="IRNazanin" w:eastAsia="IRNazanin" w:cs="IRNazanin"/>
          <w:lang w:bidi="fa-IR"/>
          <w:color w:val="111111"/>
          <w:sz w:val="28"/>
          <w:szCs w:val="28"/>
          <w:rtl/>
        </w:rPr>
        <w:t xml:space="preserve">مشهد؛ رضوی؛ شماره نسخه:۲۸۶۶۹</w:t>
      </w:r>
    </w:p>
    <w:p>
      <w:pPr>
        <w:pStyle w:val="BookText"/>
      </w:pPr>
      <w:r>
        <w:rPr>
          <w:rFonts w:ascii="IRNazanin" w:hAnsi="IRNazanin" w:eastAsia="IRNazanin" w:cs="IRNazanin"/>
          <w:lang w:bidi="fa-IR"/>
          <w:color w:val="111111"/>
          <w:sz w:val="28"/>
          <w:szCs w:val="28"/>
          <w:rtl/>
        </w:rPr>
        <w:t xml:space="preserve">آغاز: بسمله، افتتاح سخن آن به کند اهل کمال ثنای ملک الملک خدای متعال پادشاهی که انجام: بر چهار مذهب شوند مذهب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487" w:name="pg20363_209795"/>
    <w:bookmarkEnd w:id="487"/>
    <w:p>
      <w:pPr>
        <w:pStyle w:val="BookText"/>
      </w:pPr>
      <w:r>
        <w:rPr>
          <w:rFonts w:ascii="IRNazanin" w:hAnsi="IRNazanin" w:eastAsia="IRNazanin" w:cs="IRNazanin"/>
          <w:lang w:bidi="fa-IR"/>
          <w:color w:val="111111"/>
          <w:sz w:val="28"/>
          <w:szCs w:val="28"/>
          <w:rtl/>
        </w:rPr>
        <w:t xml:space="preserve">شیعه امامیه از اول تا بحال برقرار خود است الحمد ... رب العالمين.</w:t>
      </w:r>
    </w:p>
    <w:p>
      <w:pPr>
        <w:pStyle w:val="BookText"/>
      </w:pPr>
      <w:r>
        <w:rPr>
          <w:rFonts w:ascii="IRNazanin" w:hAnsi="IRNazanin" w:eastAsia="IRNazanin" w:cs="IRNazanin"/>
          <w:lang w:bidi="fa-IR"/>
          <w:color w:val="111111"/>
          <w:sz w:val="28"/>
          <w:szCs w:val="28"/>
          <w:rtl/>
        </w:rPr>
        <w:t xml:space="preserve">کامل؛ خط: نسخ خوش، بی کا، تا: ۱۲۶۸ق؛ واقف: کتابخانه شخصی احمد شاهد؛ کاغذ: نباتی سرخی، جلد: تیماج، ۲۰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۹/۳ )، اندازه: ۲۱/۴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 [رایانه]</w:t>
      </w:r>
    </w:p>
    <w:p>
      <w:pPr>
        <w:pStyle w:val="Heading3"/>
      </w:pPr>
      <w:bookmarkStart w:id="2360" w:name="_Toc1620"/>
      <w:r>
        <w:t>•تاریخ سلطان ابراهیم / تاریخ / فارسی</w:t>
      </w:r>
      <w:bookmarkEnd w:id="2360"/>
    </w:p>
    <w:p>
      <w:pPr>
        <w:pStyle w:val="BookText"/>
      </w:pPr>
      <w:r>
        <w:rPr>
          <w:rFonts w:ascii="Times New Roman" w:hAnsi="Times New Roman" w:eastAsia="Times New Roman" w:cs="Times New Roman"/>
          <w:lang w:val="en-US" w:bidi="en-US"/>
          <w:color w:val="111111"/>
          <w:sz w:val="28"/>
          <w:szCs w:val="28"/>
          <w:rtl/>
        </w:rPr>
        <w:t xml:space="preserve">tārīx-e soltān ebrāhīm</w:t>
      </w:r>
    </w:p>
    <w:p>
      <w:pPr>
        <w:pStyle w:val="BookText"/>
      </w:pPr>
      <w:r>
        <w:rPr>
          <w:rFonts w:ascii="IRNazanin" w:hAnsi="IRNazanin" w:eastAsia="IRNazanin" w:cs="IRNazanin"/>
          <w:lang w:bidi="fa-IR"/>
          <w:color w:val="111111"/>
          <w:sz w:val="28"/>
          <w:szCs w:val="28"/>
          <w:rtl/>
        </w:rPr>
        <w:t xml:space="preserve">ملا عزیز الله، ق ۱۰ قمری</w:t>
      </w:r>
    </w:p>
    <w:p>
      <w:pPr>
        <w:pStyle w:val="BookText"/>
      </w:pPr>
      <w:r>
        <w:rPr>
          <w:rFonts w:ascii="Times New Roman" w:hAnsi="Times New Roman" w:eastAsia="Times New Roman" w:cs="Times New Roman"/>
          <w:lang w:val="en-US" w:bidi="en-US"/>
          <w:color w:val="111111"/>
          <w:sz w:val="28"/>
          <w:szCs w:val="28"/>
          <w:rtl/>
        </w:rPr>
        <w:t xml:space="preserve">mollā ‘azīz-ol-lāh (-160)</w:t>
      </w:r>
    </w:p>
    <w:p>
      <w:pPr>
        <w:pStyle w:val="BookText"/>
      </w:pPr>
      <w:r>
        <w:rPr>
          <w:rFonts w:ascii="IRNazanin" w:hAnsi="IRNazanin" w:eastAsia="IRNazanin" w:cs="IRNazanin"/>
          <w:lang w:bidi="fa-IR"/>
          <w:color w:val="111111"/>
          <w:sz w:val="28"/>
          <w:szCs w:val="28"/>
          <w:rtl/>
        </w:rPr>
        <w:t xml:space="preserve">سرگذشت و جنگهای سلطان ابراهیم فرمانروای عثمانی و عزل و کشته شدن او است و از عنوان «ذكر لشکر کشیدن روم بجزیره جریده و کیفیت آن» (تاریخ ۱۰۵۹) آغاز می شود و شعرهای فارسی بسیاری در آن آمده است. آغاز: بر ضمایر واقفان آثار امم و عارفان اخبار عالم روشن است که طراوت شجره دولت از آبیاری سحاب عدالت خسروان معدلت آثار است و نضارت بوستان مملکت بدهقانی شفقت و انصاف سلاطین نصف شعار اقامت معالم شریعت مثمر استقامت احوال عباد است و اضاعت مراسم دین و ملت منتج تخزیب بلاد.</w:t>
      </w:r>
    </w:p>
    <w:p>
      <w:pPr>
        <w:pStyle w:val="BookText"/>
      </w:pPr>
      <w:r>
        <w:rPr>
          <w:rFonts w:ascii="IRNazanin" w:hAnsi="IRNazanin" w:eastAsia="IRNazanin" w:cs="IRNazanin"/>
          <w:lang w:bidi="fa-IR"/>
          <w:color w:val="111111"/>
          <w:sz w:val="28"/>
          <w:szCs w:val="28"/>
          <w:rtl/>
        </w:rPr>
        <w:t xml:space="preserve">۱. تهران؛ دانشگاه؛ شماره نسخه: ۴۸۳۸</w:t>
      </w:r>
    </w:p>
    <w:p>
      <w:pPr>
        <w:pStyle w:val="BookText"/>
      </w:pPr>
      <w:r>
        <w:rPr>
          <w:rFonts w:ascii="IRNazanin" w:hAnsi="IRNazanin" w:eastAsia="IRNazanin" w:cs="IRNazanin"/>
          <w:lang w:bidi="fa-IR"/>
          <w:color w:val="111111"/>
          <w:sz w:val="28"/>
          <w:szCs w:val="28"/>
          <w:rtl/>
        </w:rPr>
        <w:t xml:space="preserve">آغاز: برابر؛ انجام: زمزمه سنجی مرغان روحانی بر سر .. فصاحت بر گلبن ... ( پاره شده). خط: نستعلیق، بی کا، تا: قرن ۱۲ و ۱۳؛ افتادگی: انجام؛ کاغذ: فرنگی، جلد: تیماج سرخ، ۲۱گ، سطور چلیپا (۱۹۷۹)،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سم [ف: ۱۴-۳۸۵۷]</w:t>
      </w:r>
    </w:p>
    <w:p>
      <w:pPr>
        <w:pStyle w:val="BookText"/>
      </w:pPr>
      <w:r>
        <w:rPr>
          <w:rFonts w:ascii="IRNazanin" w:hAnsi="IRNazanin" w:eastAsia="IRNazanin" w:cs="IRNazanin"/>
          <w:lang w:bidi="fa-IR"/>
          <w:color w:val="111111"/>
          <w:sz w:val="28"/>
          <w:szCs w:val="28"/>
          <w:rtl/>
        </w:rPr>
        <w:t xml:space="preserve">۲. قم؛ مرعشی؛ شماره نسخه:۴۸۷/۴</w:t>
      </w:r>
    </w:p>
    <w:p>
      <w:pPr>
        <w:pStyle w:val="BookText"/>
      </w:pPr>
      <w:r>
        <w:rPr>
          <w:rFonts w:ascii="IRNazanin" w:hAnsi="IRNazanin" w:eastAsia="IRNazanin" w:cs="IRNazanin"/>
          <w:lang w:bidi="fa-IR"/>
          <w:color w:val="111111"/>
          <w:sz w:val="28"/>
          <w:szCs w:val="28"/>
          <w:rtl/>
        </w:rPr>
        <w:t xml:space="preserve">آغاز: برابر؛ انجام: سر بصحر او جنگل نهاده در رفتند فقطع دابر القوم الذين ظلموا و الحمدلله رب العالمين خط: نسخ، بی کا، بی تا؛ مصحح، جلد: مقوایی، ۳۰گ (۵۳پ - ۸۲پ)،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سم [ف: ۲-۹۷]</w:t>
      </w:r>
    </w:p>
    <w:p>
      <w:pPr>
        <w:pStyle w:val="Heading3"/>
      </w:pPr>
      <w:bookmarkStart w:id="2361" w:name="_Toc1621"/>
      <w:r>
        <w:t>•تاریخ سلطان حسین میرزا بایقرا / تاریخ ایران / فارسی</w:t>
      </w:r>
      <w:bookmarkEnd w:id="2361"/>
    </w:p>
    <w:p>
      <w:pPr>
        <w:pStyle w:val="BookText"/>
      </w:pPr>
      <w:r>
        <w:rPr>
          <w:rFonts w:ascii="Times New Roman" w:hAnsi="Times New Roman" w:eastAsia="Times New Roman" w:cs="Times New Roman"/>
          <w:lang w:val="en-US" w:bidi="en-US"/>
          <w:color w:val="111111"/>
          <w:sz w:val="28"/>
          <w:szCs w:val="28"/>
          <w:rtl/>
        </w:rPr>
        <w:t xml:space="preserve">tārīx-e soltān hoseyn mīrzā bāyqarā</w:t>
      </w:r>
    </w:p>
    <w:p>
      <w:pPr>
        <w:pStyle w:val="BookText"/>
      </w:pPr>
      <w:r>
        <w:rPr>
          <w:rFonts w:ascii="IRNazanin" w:hAnsi="IRNazanin" w:eastAsia="IRNazanin" w:cs="IRNazanin"/>
          <w:lang w:bidi="fa-IR"/>
          <w:color w:val="111111"/>
          <w:sz w:val="28"/>
          <w:szCs w:val="28"/>
          <w:rtl/>
        </w:rPr>
        <w:t xml:space="preserve">شرح مجملی است از اوصاف و احوال سلطان حسین میرزا بایقرا از ابتدای ولادتش</w:t>
      </w:r>
    </w:p>
    <w:p>
      <w:pPr>
        <w:pStyle w:val="BookText"/>
      </w:pPr>
      <w:r>
        <w:rPr>
          <w:rFonts w:ascii="IRNazanin" w:hAnsi="IRNazanin" w:eastAsia="IRNazanin" w:cs="IRNazanin"/>
          <w:lang w:bidi="fa-IR"/>
          <w:color w:val="111111"/>
          <w:sz w:val="28"/>
          <w:szCs w:val="28"/>
          <w:rtl/>
        </w:rPr>
        <w:t xml:space="preserve">که در ماه محرم ۸۴۲ در دارالسلطنه هرات اتفاق افتاد و تاریخچه ای است از روزگار نوجوانی و آغاز جهانگیری و سلطنت و مبارزاتش و همچنین ذکر شمه ای از احوالات اولاد و امجاد آن سلطان و نیز شرح احوال بعضی از علما و فضلا و شعرا و سادات و مشایخ معاصر آن زمان با انشائی تفننی ضمن ابیاتی چند به رشته تحریر در آمده است. ابو الغازی سلطان حسین بایقرا از نوادگان امیر تیمور (۸۴۲-۹۱۱ق) بوده است.</w:t>
      </w:r>
    </w:p>
    <w:p>
      <w:pPr>
        <w:pStyle w:val="BookText"/>
      </w:pPr>
      <w:r>
        <w:rPr>
          <w:rFonts w:ascii="IRNazanin" w:hAnsi="IRNazanin" w:eastAsia="IRNazanin" w:cs="IRNazanin"/>
          <w:lang w:bidi="fa-IR"/>
          <w:color w:val="111111"/>
          <w:sz w:val="28"/>
          <w:szCs w:val="28"/>
          <w:rtl/>
        </w:rPr>
        <w:t xml:space="preserve">مشاراليه بعداز مبارزات و کشمکش های طولانی که با ابوسعید داشت بالاخره در سال ۸۷۲ق به پادشاهی قسمتی از خراسان بزرگ رسید و شهر هرات را پایتخت خویش قرار داد. سلطان حسین بایقرا پادشاهی ادیب و فاضل و ادب پرور و شیفته هنر بود و در شعر به (حسینی) تخلص می کرد. در بار این پادشاه مامن و ماوای جمع کثیری از فضلا و دانشمندان و خوشنویسان و نگارگران بنام از جمله امیر علیشیر نوائی وزیر دانشمند، استاد کمال الدین بهزاد، سلطان علی مشهدی کاتب السلطانی بوده که به خلق آثار علمی و ادبی و هنری می پرداختند که هم اکنون بقایای این آثار بدیع و نفیس زینت بخش بعضی از موزه ها و کتابخانه های جهان می باشد. آغاز: ذكر مجملی از اوصاف و احوال خاقان منصور مظفر معزالسلطنة و الخلافه ابو الغازی سلطان حسین میرزا. مشاطه آبکار سخن و پیرایه بند غدار حکایات نو و کهن جواهر مأثر خاقان منصور برین منوال بر منصه ظهور می آورد که آن سالک طریق پادشاهی مؤید بود بتائیدات الهی و موافق بتوفیقات نامتنهای در سپهر جود و سخا ... در هفته دو نوبت بروز شنبه و پنج شنبه قضاة و علما را به مجلس اشرف اعلی طلبیدی و مهمی که روی نمودی بمقتضای فتوى ائمه دین بفيصل رسانیدی و بصحبت درویشان و گوشه نشینان و مجالس وعظ بسیار تشریف بردی ... .ذكر مجملی از اوصاف و احوال خاقان منصور مظفر معزالسلطنة و الخلافه ابوالغازی سلطان حسین میرزا. مشاطه آبکار سخن و پیرایه بند غدار حکایات نو و کهن جواهر مأثر خاقان منصور برین منوال بر منصه ظهور می آورد که آن سالک طریق پادشاهی مؤید بود بتائیدات الهی و موافق بتوفیقات نامتنهای در سپهر جود و سخا ... در هفته دو نوبت بروز شنبه و پنج شنبه قضاة و علما را به مجلس اشرف اعلی طلبیدی و مهمی که روی نمودی بمقتضای فتوی ائمه دین بفيصل رسانیدی و بصحبت درویشان و گوشه نشینان و مجالس وعظ بسیار تشریف بردی انجام: سير فلک باد بکامش مدام*** نامه امید بنامش تمام. پایان ... امید آنکه بمساعدت بخت بیدار و معاضدت عنایت آصف جم اقتدار از خط زلل مصون مانده کیفیت فتوحات شاه اسکندر صفات را در حسن مدارات و ایمن استعارات بمسامع دور و نزدیک و ترک و تاریک رساند. مثنوی .... چون بعنایات خداوندگار*** بخت موافق شد و توفیق یار / ... سیر فلک</w:t>
      </w:r>
    </w:p>
    <w:p>
      <w:pPr>
        <w:pStyle w:val="BookText"/>
      </w:pPr>
      <w:r>
        <w:rPr>
          <w:rFonts w:ascii="IRNazanin" w:hAnsi="IRNazanin" w:eastAsia="IRNazanin" w:cs="IRNazanin"/>
          <w:lang w:bidi="fa-IR"/>
          <w:color w:val="111111"/>
          <w:sz w:val="28"/>
          <w:szCs w:val="28"/>
          <w:rtl/>
        </w:rPr>
        <w:t xml:space="preserve">باد بکامش مدام ***نامه امید بنامش تمام. تمة الكتاب بعون الملک الوهاب.</w:t>
      </w:r>
    </w:p>
    <w:p>
      <w:pPr>
        <w:pStyle w:val="BookText"/>
      </w:pPr>
      <w:r>
        <w:rPr>
          <w:rFonts w:ascii="IRNazanin" w:hAnsi="IRNazanin" w:eastAsia="IRNazanin" w:cs="IRNazanin"/>
          <w:lang w:bidi="fa-IR"/>
          <w:color w:val="111111"/>
          <w:sz w:val="28"/>
          <w:szCs w:val="28"/>
          <w:rtl/>
        </w:rPr>
        <w:t xml:space="preserve">[ فهرستواره منزوی ۸۷۱/۲ ]</w:t>
      </w:r>
    </w:p>
    <w:p>
      <w:pPr>
        <w:pStyle w:val="BookText"/>
      </w:pPr>
      <w:r>
        <w:rPr>
          <w:rFonts w:ascii="IRNazanin" w:hAnsi="IRNazanin" w:eastAsia="IRNazanin" w:cs="IRNazanin"/>
          <w:lang w:bidi="fa-IR"/>
          <w:color w:val="111111"/>
          <w:sz w:val="28"/>
          <w:szCs w:val="28"/>
          <w:rtl/>
        </w:rPr>
        <w:t xml:space="preserve">تهران؛ سلطنتی؛ شماره نسخه:۶۰۵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مجدول، یک سرلوح مذهب؛ کاغذ: بخارائی، جلد: مقوای روکش چرم لاکی، ۲۲۹، ۲۳ سطر،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488" w:name="pg20363_209796"/>
    <w:bookmarkEnd w:id="488"/>
    <w:p>
      <w:pPr>
        <w:pStyle w:val="BookText"/>
      </w:pPr>
      <w:r>
        <w:rPr>
          <w:rFonts w:ascii="IRNazanin" w:hAnsi="IRNazanin" w:eastAsia="IRNazanin" w:cs="IRNazanin"/>
          <w:lang w:bidi="fa-IR"/>
          <w:color w:val="111111"/>
          <w:sz w:val="28"/>
          <w:szCs w:val="28"/>
          <w:rtl/>
        </w:rPr>
        <w:t xml:space="preserve">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۲۱/۷ سم [ف: ۵-۲۳۵]</w:t>
      </w:r>
    </w:p>
    <w:p>
      <w:pPr>
        <w:pStyle w:val="Heading3"/>
      </w:pPr>
      <w:bookmarkStart w:id="2362" w:name="_Toc1622"/>
      <w:r>
        <w:t>•تاریخ سلطان حسین میرزا بایقرا / تاریخ ایران / فارسی</w:t>
      </w:r>
      <w:bookmarkEnd w:id="2362"/>
    </w:p>
    <w:p>
      <w:pPr>
        <w:pStyle w:val="BookText"/>
      </w:pPr>
      <w:r>
        <w:rPr>
          <w:rFonts w:ascii="Times New Roman" w:hAnsi="Times New Roman" w:eastAsia="Times New Roman" w:cs="Times New Roman"/>
          <w:lang w:val="en-US" w:bidi="en-US"/>
          <w:color w:val="111111"/>
          <w:sz w:val="28"/>
          <w:szCs w:val="28"/>
          <w:rtl/>
        </w:rPr>
        <w:t xml:space="preserve">tārīx-e soltan hoseyn mīrzā bāyqarā</w:t>
      </w:r>
    </w:p>
    <w:p>
      <w:pPr>
        <w:pStyle w:val="BookText"/>
      </w:pPr>
      <w:r>
        <w:rPr>
          <w:rFonts w:ascii="IRNazanin" w:hAnsi="IRNazanin" w:eastAsia="IRNazanin" w:cs="IRNazanin"/>
          <w:lang w:bidi="fa-IR"/>
          <w:color w:val="111111"/>
          <w:sz w:val="28"/>
          <w:szCs w:val="28"/>
          <w:rtl/>
        </w:rPr>
        <w:t xml:space="preserve">به نثر و نظم آغاز: حضرت با نصرت پادشاه اسلام ظل الملك العلام</w:t>
      </w:r>
    </w:p>
    <w:p>
      <w:pPr>
        <w:pStyle w:val="BookText"/>
      </w:pPr>
      <w:r>
        <w:rPr>
          <w:rFonts w:ascii="IRNazanin" w:hAnsi="IRNazanin" w:eastAsia="IRNazanin" w:cs="IRNazanin"/>
          <w:lang w:bidi="fa-IR"/>
          <w:color w:val="111111"/>
          <w:sz w:val="28"/>
          <w:szCs w:val="28"/>
          <w:rtl/>
        </w:rPr>
        <w:t xml:space="preserve">[فهرستواره منزوی ۹۳۲/۲ ]</w:t>
      </w:r>
    </w:p>
    <w:p>
      <w:pPr>
        <w:pStyle w:val="BookText"/>
      </w:pPr>
      <w:r>
        <w:rPr>
          <w:rFonts w:ascii="IRNazanin" w:hAnsi="IRNazanin" w:eastAsia="IRNazanin" w:cs="IRNazanin"/>
          <w:lang w:bidi="fa-IR"/>
          <w:color w:val="111111"/>
          <w:sz w:val="28"/>
          <w:szCs w:val="28"/>
          <w:rtl/>
        </w:rPr>
        <w:t xml:space="preserve">تهران؛ ملک؛ شماره نسخه: ۴۱۳۷/۴۴</w:t>
      </w:r>
    </w:p>
    <w:p>
      <w:pPr>
        <w:pStyle w:val="BookText"/>
      </w:pPr>
      <w:r>
        <w:rPr>
          <w:rFonts w:ascii="IRNazanin" w:hAnsi="IRNazanin" w:eastAsia="IRNazanin" w:cs="IRNazanin"/>
          <w:lang w:bidi="fa-IR"/>
          <w:color w:val="111111"/>
          <w:sz w:val="28"/>
          <w:szCs w:val="28"/>
          <w:rtl/>
        </w:rPr>
        <w:t xml:space="preserve">آغاز: حضرت با نصرت پادشاه اسلام ظل الملك العلام خط: نستعلیق، بی کا، بی تا، کاغذ: ترمه، جلد: رویه میشن یشمی ضربی، اص (۶۵ر)، اندازه: ۱۵/۹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۲۹/۵سم [ف: ۷-۲۱۵]</w:t>
      </w:r>
    </w:p>
    <w:p>
      <w:pPr>
        <w:pStyle w:val="BookText"/>
      </w:pPr>
      <w:r>
        <w:rPr>
          <w:rFonts w:ascii="IRNazanin" w:hAnsi="IRNazanin" w:eastAsia="IRNazanin" w:cs="IRNazanin"/>
          <w:lang w:bidi="fa-IR"/>
          <w:color w:val="111111"/>
          <w:sz w:val="28"/>
          <w:szCs w:val="28"/>
          <w:rtl/>
        </w:rPr>
        <w:t xml:space="preserve">← تاریخ سلطان سلیمان خان ← تاریخ سلانیکی</w:t>
      </w:r>
    </w:p>
    <w:p>
      <w:pPr>
        <w:pStyle w:val="Heading3"/>
      </w:pPr>
      <w:bookmarkStart w:id="2363" w:name="_Toc1623"/>
      <w:r>
        <w:t>•تاریخ سلطانعلی بن امام باقر علیه السلام / تاریخ /  فارسی</w:t>
      </w:r>
      <w:bookmarkEnd w:id="2363"/>
    </w:p>
    <w:p>
      <w:pPr>
        <w:pStyle w:val="BookText"/>
      </w:pPr>
      <w:r>
        <w:rPr>
          <w:rFonts w:ascii="Times New Roman" w:hAnsi="Times New Roman" w:eastAsia="Times New Roman" w:cs="Times New Roman"/>
          <w:lang w:val="en-US" w:bidi="en-US"/>
          <w:color w:val="111111"/>
          <w:sz w:val="28"/>
          <w:szCs w:val="28"/>
          <w:rtl/>
        </w:rPr>
        <w:t xml:space="preserve">tārīx-e soltān--alī ebn-e emām bāqer ‘alay-he-e-salām</w:t>
      </w:r>
    </w:p>
    <w:p>
      <w:pPr>
        <w:pStyle w:val="BookText"/>
      </w:pPr>
      <w:r>
        <w:rPr>
          <w:rFonts w:ascii="IRNazanin" w:hAnsi="IRNazanin" w:eastAsia="IRNazanin" w:cs="IRNazanin"/>
          <w:lang w:bidi="fa-IR"/>
          <w:color w:val="111111"/>
          <w:sz w:val="28"/>
          <w:szCs w:val="28"/>
          <w:rtl/>
        </w:rPr>
        <w:t xml:space="preserve">در حکایت نامه نگاشتن جمعی از اهالی چهل حصار فین کاشان به امام محمد باقر (ع) که یکی از پسران خود را بر ایشان پیشوا نماید و رفتن قاصد به مدینه و آمدن آن شاهزاده به کاشان و شهادت وی.</w:t>
      </w:r>
    </w:p>
    <w:p>
      <w:pPr>
        <w:pStyle w:val="BookText"/>
      </w:pPr>
      <w:r>
        <w:rPr>
          <w:rFonts w:ascii="IRNazanin" w:hAnsi="IRNazanin" w:eastAsia="IRNazanin" w:cs="IRNazanin"/>
          <w:lang w:bidi="fa-IR"/>
          <w:color w:val="111111"/>
          <w:sz w:val="28"/>
          <w:szCs w:val="28"/>
          <w:rtl/>
        </w:rPr>
        <w:t xml:space="preserve">١. کاشان، عاطفی، افشین: شماره نسخه: ۷۹/۱</w:t>
      </w:r>
    </w:p>
    <w:p>
      <w:pPr>
        <w:pStyle w:val="BookText"/>
      </w:pPr>
      <w:r>
        <w:rPr>
          <w:rFonts w:ascii="IRNazanin" w:hAnsi="IRNazanin" w:eastAsia="IRNazanin" w:cs="IRNazanin"/>
          <w:lang w:bidi="fa-IR"/>
          <w:color w:val="111111"/>
          <w:sz w:val="28"/>
          <w:szCs w:val="28"/>
          <w:rtl/>
        </w:rPr>
        <w:t xml:space="preserve">آغاز: کنم حمد خدای حی یکتا *** کنم مدح نبی ای حی دانا. راویان اخبار چنین کرده اند که جمعی از شیعیان چهل حصاران فين خصوصا سعید بن جلال الدین فینی و على بن قوام الدين چهل حصاری خط: نستعلیق، کا: محمد جعفر بن محمد مهدی، تا: قرن ۱۴، جلد: مقوایی عطف پارچه ای، ۱۵گ (۱پ-۱۵ر)،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سم [ف: ۶۷]</w:t>
      </w:r>
    </w:p>
    <w:p>
      <w:pPr>
        <w:pStyle w:val="BookText"/>
      </w:pPr>
      <w:r>
        <w:rPr>
          <w:rFonts w:ascii="IRNazanin" w:hAnsi="IRNazanin" w:eastAsia="IRNazanin" w:cs="IRNazanin"/>
          <w:lang w:bidi="fa-IR"/>
          <w:color w:val="111111"/>
          <w:sz w:val="28"/>
          <w:szCs w:val="28"/>
          <w:rtl/>
        </w:rPr>
        <w:t xml:space="preserve">٢. کاشان، عاطفی، افشین؛ شماره نسخه: ۸۰</w:t>
      </w:r>
    </w:p>
    <w:p>
      <w:pPr>
        <w:pStyle w:val="BookText"/>
      </w:pPr>
      <w:r>
        <w:rPr>
          <w:rFonts w:ascii="IRNazanin" w:hAnsi="IRNazanin" w:eastAsia="IRNazanin" w:cs="IRNazanin"/>
          <w:lang w:bidi="fa-IR"/>
          <w:color w:val="111111"/>
          <w:sz w:val="28"/>
          <w:szCs w:val="28"/>
          <w:rtl/>
        </w:rPr>
        <w:t xml:space="preserve">خط: نسخ، كا: محمد، تا: ۱۳۰۰ق، فاقد جلد، ۲۰ گی، مختلف السطر، اندازه: ۱۱/۵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۱۷/۵ سم [ف: ۶۸]</w:t>
      </w:r>
    </w:p>
    <w:p>
      <w:pPr>
        <w:pStyle w:val="Heading3"/>
      </w:pPr>
      <w:bookmarkStart w:id="2364" w:name="_Toc1624"/>
      <w:r>
        <w:t>•تاریخ سلطان محمد قطب شاہ / تاریخ هند / فارسی</w:t>
      </w:r>
      <w:bookmarkEnd w:id="2364"/>
    </w:p>
    <w:p>
      <w:pPr>
        <w:pStyle w:val="BookText"/>
      </w:pPr>
      <w:r>
        <w:rPr>
          <w:rFonts w:ascii="Times New Roman" w:hAnsi="Times New Roman" w:eastAsia="Times New Roman" w:cs="Times New Roman"/>
          <w:lang w:val="en-US" w:bidi="en-US"/>
          <w:color w:val="111111"/>
          <w:sz w:val="28"/>
          <w:szCs w:val="28"/>
          <w:rtl/>
        </w:rPr>
        <w:t xml:space="preserve">tārīx-e soltān mohammad qotb-šāh</w:t>
      </w:r>
    </w:p>
    <w:p>
      <w:pPr>
        <w:pStyle w:val="BookText"/>
      </w:pPr>
      <w:r>
        <w:rPr>
          <w:rFonts w:ascii="IRNazanin" w:hAnsi="IRNazanin" w:eastAsia="IRNazanin" w:cs="IRNazanin"/>
          <w:lang w:bidi="fa-IR"/>
          <w:color w:val="111111"/>
          <w:sz w:val="28"/>
          <w:szCs w:val="28"/>
          <w:rtl/>
        </w:rPr>
        <w:t xml:space="preserve">در یک «مقدمه» (سرگذشت قرایوسف تركمان) و چهار مقاله» و یک «خاتمه» تألیف شده است: مقاله ۱. احوال شاهزاده سلطان قلی قطب الملک (۹۱۸-۹۴۰ق)، ۲. جمشید قطب الملک (۹۴۰ ۹۵۷ق) و پس او سبحانقلی (۹۵۷-۹۵۷ق)، ۳. ابراهیم قطبشاه ( ۹۸۹-۹۵۷</w:t>
      </w:r>
    </w:p>
    <w:p>
      <w:pPr>
        <w:pStyle w:val="BookText"/>
      </w:pPr>
      <w:r>
        <w:rPr>
          <w:rFonts w:ascii="IRNazanin" w:hAnsi="IRNazanin" w:eastAsia="IRNazanin" w:cs="IRNazanin"/>
          <w:lang w:bidi="fa-IR"/>
          <w:color w:val="111111"/>
          <w:sz w:val="28"/>
          <w:szCs w:val="28"/>
          <w:rtl/>
        </w:rPr>
        <w:t xml:space="preserve">ق)، ۴. محمد قلی قطب شاه (۹۸۹-۱۰۲۰ق).</w:t>
      </w:r>
    </w:p>
    <w:p>
      <w:pPr>
        <w:pStyle w:val="BookText"/>
      </w:pPr>
      <w:r>
        <w:rPr>
          <w:rFonts w:ascii="IRNazanin" w:hAnsi="IRNazanin" w:eastAsia="IRNazanin" w:cs="IRNazanin"/>
          <w:lang w:bidi="fa-IR"/>
          <w:color w:val="111111"/>
          <w:sz w:val="28"/>
          <w:szCs w:val="28"/>
          <w:rtl/>
        </w:rPr>
        <w:t xml:space="preserve">[فهرستواره منزوی ۱۱۸۱/۲ ]</w:t>
      </w:r>
    </w:p>
    <w:p>
      <w:pPr>
        <w:pStyle w:val="BookText"/>
      </w:pPr>
      <w:r>
        <w:rPr>
          <w:rFonts w:ascii="IRNazanin" w:hAnsi="IRNazanin" w:eastAsia="IRNazanin" w:cs="IRNazanin"/>
          <w:lang w:bidi="fa-IR"/>
          <w:color w:val="111111"/>
          <w:sz w:val="28"/>
          <w:szCs w:val="28"/>
          <w:rtl/>
        </w:rPr>
        <w:t xml:space="preserve">تهران؛ ملک؛ شماره نسخه:۳۸۸۵</w:t>
      </w:r>
    </w:p>
    <w:p>
      <w:pPr>
        <w:pStyle w:val="BookText"/>
      </w:pPr>
      <w:r>
        <w:rPr>
          <w:rFonts w:ascii="IRNazanin" w:hAnsi="IRNazanin" w:eastAsia="IRNazanin" w:cs="IRNazanin"/>
          <w:lang w:bidi="fa-IR"/>
          <w:color w:val="111111"/>
          <w:sz w:val="28"/>
          <w:szCs w:val="28"/>
          <w:rtl/>
        </w:rPr>
        <w:t xml:space="preserve">آغاز: از مهر ولای آن حضرت والاست ... اما بعد بر ضمیر مهر تنویر ارباب درک و دانش که گلدسته باغ آفرینش اند مستور نماند؛ انجام: امیر فصیح الدین محمد سرخیل قطب شاه ... دولته و حشمته و اقباله الى يوم الدين بحرمة سيد المرسلین و عترته الطاهرین. خط: نستعلیق، کا نظام بن عبدالله شیرازی، تا: قرن ۱۲؛ افتادگی: آغاز؛ مجدول، دارای سرلوح؛ کاغذ: کاغذ ترمه، جلد: میشن یشمی، ۲۳۴ گ، ۱۸ سطر، اندازه: ۲۴/۹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۱۴/۱ سم [ف: ۲-۸۳]</w:t>
      </w:r>
    </w:p>
    <w:p>
      <w:pPr>
        <w:pStyle w:val="BookText"/>
      </w:pPr>
      <w:r>
        <w:rPr>
          <w:rFonts w:ascii="IRNazanin" w:hAnsi="IRNazanin" w:eastAsia="IRNazanin" w:cs="IRNazanin"/>
          <w:lang w:bidi="fa-IR"/>
          <w:color w:val="111111"/>
          <w:sz w:val="28"/>
          <w:szCs w:val="28"/>
          <w:rtl/>
        </w:rPr>
        <w:t xml:space="preserve">←تاریخ سلطانی← تاریخ قاجاریه</w:t>
      </w:r>
    </w:p>
    <w:p>
      <w:pPr>
        <w:pStyle w:val="Heading3"/>
      </w:pPr>
      <w:bookmarkStart w:id="2365" w:name="_Toc1625"/>
      <w:r>
        <w:t>• تاریخ سلطانی / تاریخ جهان / فارسی</w:t>
      </w:r>
      <w:bookmarkEnd w:id="2365"/>
    </w:p>
    <w:p>
      <w:pPr>
        <w:pStyle w:val="BookText"/>
      </w:pPr>
      <w:r>
        <w:rPr>
          <w:rFonts w:ascii="Times New Roman" w:hAnsi="Times New Roman" w:eastAsia="Times New Roman" w:cs="Times New Roman"/>
          <w:lang w:val="en-US" w:bidi="en-US"/>
          <w:color w:val="111111"/>
          <w:sz w:val="28"/>
          <w:szCs w:val="28"/>
          <w:rtl/>
        </w:rPr>
        <w:t xml:space="preserve">tārīx-e soltānī</w:t>
      </w:r>
    </w:p>
    <w:p>
      <w:pPr>
        <w:pStyle w:val="BookText"/>
      </w:pPr>
      <w:r>
        <w:rPr>
          <w:rFonts w:ascii="IRNazanin" w:hAnsi="IRNazanin" w:eastAsia="IRNazanin" w:cs="IRNazanin"/>
          <w:lang w:bidi="fa-IR"/>
          <w:color w:val="111111"/>
          <w:sz w:val="28"/>
          <w:szCs w:val="28"/>
          <w:rtl/>
        </w:rPr>
        <w:t xml:space="preserve">حسینی استر آبادی، حسن بن مرتضی، ق ۱۲ قمری</w:t>
      </w:r>
    </w:p>
    <w:p>
      <w:pPr>
        <w:pStyle w:val="BookText"/>
      </w:pPr>
      <w:r>
        <w:rPr>
          <w:rFonts w:ascii="Times New Roman" w:hAnsi="Times New Roman" w:eastAsia="Times New Roman" w:cs="Times New Roman"/>
          <w:lang w:val="en-US" w:bidi="en-US"/>
          <w:color w:val="111111"/>
          <w:sz w:val="28"/>
          <w:szCs w:val="28"/>
          <w:rtl/>
        </w:rPr>
        <w:t xml:space="preserve">hoseynī estarābādī, hasan ebn-e morteza (-18c)</w:t>
      </w:r>
    </w:p>
    <w:p>
      <w:pPr>
        <w:pStyle w:val="BookText"/>
      </w:pPr>
      <w:r>
        <w:rPr>
          <w:rFonts w:ascii="IRNazanin" w:hAnsi="IRNazanin" w:eastAsia="IRNazanin" w:cs="IRNazanin"/>
          <w:lang w:bidi="fa-IR"/>
          <w:color w:val="111111"/>
          <w:sz w:val="28"/>
          <w:szCs w:val="28"/>
          <w:rtl/>
        </w:rPr>
        <w:t xml:space="preserve">اهدا به: سلطان حسین صفوی تاریخ تأليف: ۱۱۱۵ق تاریخ عمومی است از بدو خلقت تا عصر صفویه در سه «باب»: 1. تاریخ جهان قبل از آدم تا حضرت خاتم؛ ۲. تاریخ انبیا و پادشاهان و سلاطین؛ 3. تاریخ خاندان صفوی. آغاز: افتتاح سخن آن به که کند اهل کمال **بثنای ملک الملک خدای متعال. صحايف حمدی که مستوفیان خیال در استیفای آن عاجز آیند</w:t>
      </w:r>
    </w:p>
    <w:p>
      <w:pPr>
        <w:pStyle w:val="BookText"/>
      </w:pPr>
      <w:r>
        <w:rPr>
          <w:rFonts w:ascii="IRNazanin" w:hAnsi="IRNazanin" w:eastAsia="IRNazanin" w:cs="IRNazanin"/>
          <w:lang w:bidi="fa-IR"/>
          <w:color w:val="111111"/>
          <w:sz w:val="28"/>
          <w:szCs w:val="28"/>
          <w:rtl/>
        </w:rPr>
        <w:t xml:space="preserve">[دنا ۷۱۲/۲ ؛ فهرستواره منزوی ۵۷۶/۱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نسخه:۲۴۱۳</w:t>
      </w:r>
    </w:p>
    <w:p>
      <w:pPr>
        <w:pStyle w:val="BookText"/>
      </w:pPr>
      <w:r>
        <w:rPr>
          <w:rFonts w:ascii="IRNazanin" w:hAnsi="IRNazanin" w:eastAsia="IRNazanin" w:cs="IRNazanin"/>
          <w:lang w:bidi="fa-IR"/>
          <w:color w:val="111111"/>
          <w:sz w:val="28"/>
          <w:szCs w:val="28"/>
          <w:rtl/>
        </w:rPr>
        <w:t xml:space="preserve">آغاز: برابر، انجام: دگر بشاه رسل مصطفی رسول الله *** دگر بحیدر صفدر علی ولی الله. خط: نستعلیق، کا: محمد تقی بن محمد ابراهیم اصفهانی، تا: پنج شنبه ۲۰ رجب ۱۲۲۲ق، جا: اصفهان؛ تملک: محمد بن هادی حسینی ساکن قریه اسفيه واجان و مهر «محمد بن هادي الحسینی» (بیضوی)؛ جلد: تیماج قهوه ای، ۲۵۸گ، ۲۳ سطر،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۷-۱۲]</w:t>
      </w:r>
    </w:p>
    <w:p>
      <w:pPr>
        <w:pStyle w:val="BookText"/>
      </w:pPr>
      <w:r>
        <w:rPr>
          <w:rFonts w:ascii="IRNazanin" w:hAnsi="IRNazanin" w:eastAsia="IRNazanin" w:cs="IRNazanin"/>
          <w:lang w:bidi="fa-IR"/>
          <w:color w:val="111111"/>
          <w:sz w:val="28"/>
          <w:szCs w:val="28"/>
          <w:rtl/>
        </w:rPr>
        <w:t xml:space="preserve">۲. قم؛ مرعشی؛ شماره نسخه:۳۲۴۳</w:t>
      </w:r>
    </w:p>
    <w:p>
      <w:pPr>
        <w:pStyle w:val="BookText"/>
      </w:pPr>
      <w:r>
        <w:rPr>
          <w:rFonts w:ascii="IRNazanin" w:hAnsi="IRNazanin" w:eastAsia="IRNazanin" w:cs="IRNazanin"/>
          <w:lang w:bidi="fa-IR"/>
          <w:color w:val="111111"/>
          <w:sz w:val="28"/>
          <w:szCs w:val="28"/>
          <w:rtl/>
        </w:rPr>
        <w:t xml:space="preserve">خط: نسخ، كا: حاجی محمد نجف آبادی، تا: جمعه ۴ رجب ۱۲۵۵ق، جلد: تیماج مشکی، ۳۷۸گ، ۲۴ سطر،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سم [ف: ۹-۳۷]</w:t>
      </w:r>
    </w:p>
    <w:p>
      <w:pPr>
        <w:pStyle w:val="BookText"/>
      </w:pPr>
      <w:r>
        <w:rPr>
          <w:rFonts w:ascii="IRNazanin" w:hAnsi="IRNazanin" w:eastAsia="IRNazanin" w:cs="IRNazanin"/>
          <w:lang w:bidi="fa-IR"/>
          <w:color w:val="111111"/>
          <w:sz w:val="28"/>
          <w:szCs w:val="28"/>
          <w:rtl/>
        </w:rPr>
        <w:t xml:space="preserve">٣. قم؛ مرعشی؛ شماره نسخه: ۳۱۸۰</w:t>
      </w:r>
    </w:p>
    <w:p>
      <w:pPr>
        <w:pStyle w:val="BookText"/>
      </w:pPr>
      <w:r>
        <w:rPr>
          <w:rFonts w:ascii="IRNazanin" w:hAnsi="IRNazanin" w:eastAsia="IRNazanin" w:cs="IRNazanin"/>
          <w:lang w:bidi="fa-IR"/>
          <w:color w:val="111111"/>
          <w:sz w:val="28"/>
          <w:szCs w:val="28"/>
          <w:rtl/>
        </w:rPr>
        <w:t xml:space="preserve">مشتمل بر تتمه باب دوم در احوال معصومین (عليه السلام)می باشد؛ خط: نسخ، بی کا، تا: سلخ ذیقعده ۱۲۵۵ق؛ مجدول؛ تملك: سید علی بن ابراهیم و مهر «حسین الحسینی» (بیضوی)، محمد حسین بن محمد سمیع؛ مهر: «هو الله الخالق عبده محمد صادق» (مربع)؛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489" w:name="pg20363_209797"/>
    <w:bookmarkEnd w:id="489"/>
    <w:p>
      <w:pPr>
        <w:pStyle w:val="BookText"/>
      </w:pPr>
      <w:r>
        <w:rPr>
          <w:rFonts w:ascii="IRNazanin" w:hAnsi="IRNazanin" w:eastAsia="IRNazanin" w:cs="IRNazanin"/>
          <w:lang w:bidi="fa-IR"/>
          <w:color w:val="111111"/>
          <w:sz w:val="28"/>
          <w:szCs w:val="28"/>
          <w:rtl/>
        </w:rPr>
        <w:t xml:space="preserve">جلد: تیماج قهوه ای، ۲۴۸گ، ۱۶ سطر، اندازه:۲۴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۸-۴۰۳]</w:t>
      </w:r>
    </w:p>
    <w:p>
      <w:pPr>
        <w:pStyle w:val="Heading3"/>
      </w:pPr>
      <w:bookmarkStart w:id="2366" w:name="_Toc1626"/>
      <w:r>
        <w:t>•تاریخ سلطانی = تاریخ قاجاریان / تاریخ جهان / فارسی</w:t>
      </w:r>
      <w:bookmarkEnd w:id="2366"/>
    </w:p>
    <w:p>
      <w:pPr>
        <w:pStyle w:val="BookText"/>
      </w:pPr>
      <w:r>
        <w:rPr>
          <w:rFonts w:ascii="Times New Roman" w:hAnsi="Times New Roman" w:eastAsia="Times New Roman" w:cs="Times New Roman"/>
          <w:lang w:val="en-US" w:bidi="en-US"/>
          <w:color w:val="111111"/>
          <w:sz w:val="28"/>
          <w:szCs w:val="28"/>
          <w:rtl/>
        </w:rPr>
        <w:t xml:space="preserve">tārīx-e soltānī = tārīx-e qājārīyān</w:t>
      </w:r>
    </w:p>
    <w:p>
      <w:pPr>
        <w:pStyle w:val="BookText"/>
      </w:pPr>
      <w:r>
        <w:rPr>
          <w:rFonts w:ascii="IRNazanin" w:hAnsi="IRNazanin" w:eastAsia="IRNazanin" w:cs="IRNazanin"/>
          <w:lang w:bidi="fa-IR"/>
          <w:color w:val="111111"/>
          <w:sz w:val="28"/>
          <w:szCs w:val="28"/>
          <w:rtl/>
        </w:rPr>
        <w:t xml:space="preserve">صاحب مازندرانی، محمد تقی بن محمد زکی،-۱۲۵۶ قمری</w:t>
      </w:r>
    </w:p>
    <w:p>
      <w:pPr>
        <w:pStyle w:val="BookText"/>
      </w:pPr>
      <w:r>
        <w:rPr>
          <w:rFonts w:ascii="Times New Roman" w:hAnsi="Times New Roman" w:eastAsia="Times New Roman" w:cs="Times New Roman"/>
          <w:lang w:val="en-US" w:bidi="en-US"/>
          <w:color w:val="111111"/>
          <w:sz w:val="28"/>
          <w:szCs w:val="28"/>
          <w:rtl/>
        </w:rPr>
        <w:t xml:space="preserve">sāheb-e māzandarānī, mohammad taqī ebn-e mohammad zakī (-1840)</w:t>
      </w:r>
    </w:p>
    <w:p>
      <w:pPr>
        <w:pStyle w:val="BookText"/>
      </w:pPr>
      <w:r>
        <w:rPr>
          <w:rFonts w:ascii="IRNazanin" w:hAnsi="IRNazanin" w:eastAsia="IRNazanin" w:cs="IRNazanin"/>
          <w:lang w:bidi="fa-IR"/>
          <w:color w:val="111111"/>
          <w:sz w:val="28"/>
          <w:szCs w:val="28"/>
          <w:rtl/>
        </w:rPr>
        <w:t xml:space="preserve">[فهرستواره منزوی ۸۹۱/۲ ]</w:t>
      </w:r>
    </w:p>
    <w:p>
      <w:pPr>
        <w:pStyle w:val="BookText"/>
      </w:pPr>
      <w:r>
        <w:rPr>
          <w:rFonts w:ascii="IRNazanin" w:hAnsi="IRNazanin" w:eastAsia="IRNazanin" w:cs="IRNazanin"/>
          <w:lang w:bidi="fa-IR"/>
          <w:color w:val="111111"/>
          <w:sz w:val="28"/>
          <w:szCs w:val="28"/>
          <w:rtl/>
        </w:rPr>
        <w:t xml:space="preserve">تهران؛ ملی؛ شماره نسخه: ۲۴۳</w:t>
      </w:r>
    </w:p>
    <w:p>
      <w:pPr>
        <w:pStyle w:val="BookText"/>
      </w:pPr>
      <w:r>
        <w:rPr>
          <w:rFonts w:ascii="IRNazanin" w:hAnsi="IRNazanin" w:eastAsia="IRNazanin" w:cs="IRNazanin"/>
          <w:lang w:bidi="fa-IR"/>
          <w:color w:val="111111"/>
          <w:sz w:val="28"/>
          <w:szCs w:val="28"/>
          <w:rtl/>
        </w:rPr>
        <w:t xml:space="preserve">آغاز: بعد البسمله، خاقان هو البحر من اى النواحي اتيته، فلجته المعروف و البر ساحله، تراه اذا ما جئته مستهلا، كانک تعطيه الذي انت سائله؛ انجام: خطا و ربط استاد زمانست قولا وفعلا استاد اقران از جواهر منظومه و در آری منثوره کتاب مستطابش بعضی را زیور این کتاب ساخت و بالله التوفيق خط: نستعلیق خوش، کاتب = مؤلف، تا: ۱۲۳۴ق، اهداء به فتحعلی شاه کاغذ: فرنگی فستقی، جلد: تیماج سیاه، ۲۵گ، ۱۴ سطر، اندازه: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۱۹/۵ سم [ف: ۱-۲۴۵]</w:t>
      </w:r>
    </w:p>
    <w:p>
      <w:pPr>
        <w:pStyle w:val="Heading3"/>
      </w:pPr>
      <w:bookmarkStart w:id="2367" w:name="_Toc1627"/>
      <w:r>
        <w:t>•تاریخ سلطانی / تاریخ جهان / فارسی</w:t>
      </w:r>
      <w:bookmarkEnd w:id="2367"/>
    </w:p>
    <w:p>
      <w:pPr>
        <w:pStyle w:val="BookText"/>
      </w:pPr>
      <w:r>
        <w:rPr>
          <w:rFonts w:ascii="Times New Roman" w:hAnsi="Times New Roman" w:eastAsia="Times New Roman" w:cs="Times New Roman"/>
          <w:lang w:val="en-US" w:bidi="en-US"/>
          <w:color w:val="111111"/>
          <w:sz w:val="28"/>
          <w:szCs w:val="28"/>
          <w:rtl/>
        </w:rPr>
        <w:t xml:space="preserve">tārīx-e soltānī</w:t>
      </w:r>
    </w:p>
    <w:p>
      <w:pPr>
        <w:pStyle w:val="BookText"/>
      </w:pPr>
      <w:r>
        <w:rPr>
          <w:rFonts w:ascii="IRNazanin" w:hAnsi="IRNazanin" w:eastAsia="IRNazanin" w:cs="IRNazanin"/>
          <w:lang w:bidi="fa-IR"/>
          <w:color w:val="111111"/>
          <w:sz w:val="28"/>
          <w:szCs w:val="28"/>
          <w:rtl/>
        </w:rPr>
        <w:t xml:space="preserve">؟ سپهر کاشانی، عباسقلی بن محمد تقی، ۱۲۶۸-۱۳۴۲ قمری</w:t>
      </w:r>
    </w:p>
    <w:p>
      <w:pPr>
        <w:pStyle w:val="BookText"/>
      </w:pPr>
      <w:r>
        <w:rPr>
          <w:rFonts w:ascii="Times New Roman" w:hAnsi="Times New Roman" w:eastAsia="Times New Roman" w:cs="Times New Roman"/>
          <w:lang w:val="en-US" w:bidi="en-US"/>
          <w:color w:val="111111"/>
          <w:sz w:val="28"/>
          <w:szCs w:val="28"/>
          <w:rtl/>
        </w:rPr>
        <w:t xml:space="preserve">sepehr-e kāšānī, “abbās-qolī ebn-e mohammad taqī (1852-1924)</w:t>
      </w:r>
    </w:p>
    <w:p>
      <w:pPr>
        <w:pStyle w:val="BookText"/>
      </w:pPr>
      <w:r>
        <w:rPr>
          <w:rFonts w:ascii="IRNazanin" w:hAnsi="IRNazanin" w:eastAsia="IRNazanin" w:cs="IRNazanin"/>
          <w:lang w:bidi="fa-IR"/>
          <w:color w:val="111111"/>
          <w:sz w:val="28"/>
          <w:szCs w:val="28"/>
          <w:rtl/>
        </w:rPr>
        <w:t xml:space="preserve">استوری از آن یاد نکرده و در فهرست فارسی مشار هم نام آن نیامده است. در فهرست مؤلفين و الذریعه نیز یادی از آن نیست. در چند جلد: جلد ۱: در سرگذشت پیامبر و امامان، انساب و قبایل سادات، پادشاهان ایران از کیومرث تا یزدگرد، سرگذشت حکما و سخنان پند آمیز ایشان (از یونانیان)، گاه شماری انساب گورگانیان تا اکبر شاه، پادشاه عثمانی تا سلطان محمد چهارم. آغاز: همه باب اول از تاریخ سلطانی فائده در ذکر احوال حضرات مطهرات سدره مرتبات عرش درجات ائمه اثنا عشر صلوات بسم الله الرحمن الرحیم بر وثيقه شناسان دفاتر معرفت کردگار و حق گزینان افراد جمع و خرج روزگار پوشیده نماناد</w:t>
      </w:r>
    </w:p>
    <w:p>
      <w:pPr>
        <w:pStyle w:val="BookText"/>
      </w:pPr>
      <w:r>
        <w:rPr>
          <w:rFonts w:ascii="IRNazanin" w:hAnsi="IRNazanin" w:eastAsia="IRNazanin" w:cs="IRNazanin"/>
          <w:lang w:bidi="fa-IR"/>
          <w:color w:val="111111"/>
          <w:sz w:val="28"/>
          <w:szCs w:val="28"/>
          <w:rtl/>
        </w:rPr>
        <w:t xml:space="preserve">[فهرستواره منزوی ۵۷۶/۱ ]</w:t>
      </w:r>
    </w:p>
    <w:p>
      <w:pPr>
        <w:pStyle w:val="BookText"/>
      </w:pPr>
      <w:r>
        <w:rPr>
          <w:rFonts w:ascii="IRNazanin" w:hAnsi="IRNazanin" w:eastAsia="IRNazanin" w:cs="IRNazanin"/>
          <w:lang w:bidi="fa-IR"/>
          <w:color w:val="111111"/>
          <w:sz w:val="28"/>
          <w:szCs w:val="28"/>
          <w:rtl/>
        </w:rPr>
        <w:t xml:space="preserve">تهران؛ ملی؛ شماره نسخه:۸۳</w:t>
      </w:r>
    </w:p>
    <w:p>
      <w:pPr>
        <w:pStyle w:val="BookText"/>
      </w:pPr>
      <w:r>
        <w:rPr>
          <w:rFonts w:ascii="IRNazanin" w:hAnsi="IRNazanin" w:eastAsia="IRNazanin" w:cs="IRNazanin"/>
          <w:lang w:bidi="fa-IR"/>
          <w:color w:val="111111"/>
          <w:sz w:val="28"/>
          <w:szCs w:val="28"/>
          <w:rtl/>
        </w:rPr>
        <w:t xml:space="preserve">آغاز: برابر؛ انجام: بعد چون معلوم نتوانست نمود بهمین اکتفا نموده و الله الموفق و المعين در فهرست ناشناس آمده ولی در معرفی نسخه عکسی آن از سپهر دانسته شده، جلد اول، خط: نستعلیق، بی کا، تا: صفر ۱۲۴۰ق؛ کاغذ: فرنگی، جلد: تیماج مشکی، ۹۵گ، ۲۳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۱- ۷۱]</w:t>
      </w:r>
    </w:p>
    <w:p>
      <w:pPr>
        <w:pStyle w:val="BookText"/>
      </w:pPr>
      <w:r>
        <w:rPr>
          <w:rFonts w:ascii="IRNazanin" w:hAnsi="IRNazanin" w:eastAsia="IRNazanin" w:cs="IRNazanin"/>
          <w:lang w:bidi="fa-IR"/>
          <w:color w:val="111111"/>
          <w:sz w:val="28"/>
          <w:szCs w:val="28"/>
          <w:rtl/>
        </w:rPr>
        <w:t xml:space="preserve">تهران؛ دانشگاه؛ شماره نسخه:۱۹۰۴ف</w:t>
      </w:r>
    </w:p>
    <w:p>
      <w:pPr>
        <w:pStyle w:val="BookText"/>
      </w:pPr>
      <w:r>
        <w:rPr>
          <w:rFonts w:ascii="Amiri" w:hAnsi="Amiri" w:eastAsia="Amiri" w:cs="Amiri"/>
          <w:lang w:bidi="ar-SA"/>
          <w:color w:val="111111"/>
          <w:sz w:val="28"/>
          <w:szCs w:val="28"/>
          <w:rtl/>
        </w:rPr>
        <w:t xml:space="preserve">همان نسخه بالا [فيلمها ف: ۱-۳۴]</w:t>
      </w:r>
    </w:p>
    <w:p>
      <w:pPr>
        <w:pStyle w:val="Heading3"/>
      </w:pPr>
      <w:bookmarkStart w:id="2368" w:name="_Toc1628"/>
      <w:r>
        <w:t>•تاریخ سلطانی / تاریخ / فارسی</w:t>
      </w:r>
      <w:bookmarkEnd w:id="2368"/>
    </w:p>
    <w:p>
      <w:pPr>
        <w:pStyle w:val="BookText"/>
      </w:pPr>
      <w:r>
        <w:rPr>
          <w:rFonts w:ascii="Times New Roman" w:hAnsi="Times New Roman" w:eastAsia="Times New Roman" w:cs="Times New Roman"/>
          <w:lang w:val="en-US" w:bidi="en-US"/>
          <w:color w:val="111111"/>
          <w:sz w:val="28"/>
          <w:szCs w:val="28"/>
          <w:rtl/>
        </w:rPr>
        <w:t xml:space="preserve">tārīx-e soltānī</w:t>
      </w:r>
    </w:p>
    <w:p>
      <w:pPr>
        <w:pStyle w:val="BookText"/>
      </w:pPr>
      <w:r>
        <w:rPr>
          <w:rFonts w:ascii="IRNazanin" w:hAnsi="IRNazanin" w:eastAsia="IRNazanin" w:cs="IRNazanin"/>
          <w:lang w:bidi="fa-IR"/>
          <w:color w:val="111111"/>
          <w:sz w:val="28"/>
          <w:szCs w:val="28"/>
          <w:rtl/>
        </w:rPr>
        <w:t xml:space="preserve">سلطان نواز خان بهادر قاهر جنگ</w:t>
      </w:r>
    </w:p>
    <w:p>
      <w:pPr>
        <w:pStyle w:val="BookText"/>
      </w:pPr>
      <w:r>
        <w:rPr>
          <w:rFonts w:ascii="Times New Roman" w:hAnsi="Times New Roman" w:eastAsia="Times New Roman" w:cs="Times New Roman"/>
          <w:lang w:val="en-US" w:bidi="en-US"/>
          <w:color w:val="111111"/>
          <w:sz w:val="28"/>
          <w:szCs w:val="28"/>
          <w:rtl/>
        </w:rPr>
        <w:t xml:space="preserve">soltān navāz xān bahādor qāher jang</w:t>
      </w:r>
    </w:p>
    <w:p>
      <w:pPr>
        <w:pStyle w:val="BookText"/>
      </w:pPr>
      <w:r>
        <w:rPr>
          <w:rFonts w:ascii="IRNazanin" w:hAnsi="IRNazanin" w:eastAsia="IRNazanin" w:cs="IRNazanin"/>
          <w:lang w:bidi="fa-IR"/>
          <w:color w:val="111111"/>
          <w:sz w:val="28"/>
          <w:szCs w:val="28"/>
          <w:rtl/>
        </w:rPr>
        <w:t xml:space="preserve">از شاه اسماعيل تا شاه صفی. استوری (۱۲۸۲/۱ ) از تاریخ سلطانی یاد می کند که در تاریخ صفویان است تا تاریخ ۱۱۶۳ اليس ۵۹ مورخ ۱۲۰۵) و نیز (۱۳۴/۱ ) از یک تاریخ سلطانی دیگر.</w:t>
      </w:r>
    </w:p>
    <w:p>
      <w:pPr>
        <w:pStyle w:val="BookText"/>
      </w:pPr>
      <w:r>
        <w:rPr>
          <w:rFonts w:ascii="IRNazanin" w:hAnsi="IRNazanin" w:eastAsia="IRNazanin" w:cs="IRNazanin"/>
          <w:lang w:bidi="fa-IR"/>
          <w:color w:val="111111"/>
          <w:sz w:val="28"/>
          <w:szCs w:val="28"/>
          <w:rtl/>
        </w:rPr>
        <w:t xml:space="preserve">تهران، دانشگاه؛ شماره نسخه:۳۲۴۹-ف</w:t>
      </w:r>
    </w:p>
    <w:p>
      <w:pPr>
        <w:pStyle w:val="BookText"/>
      </w:pPr>
      <w:r>
        <w:rPr>
          <w:rFonts w:ascii="IRNazanin" w:hAnsi="IRNazanin" w:eastAsia="IRNazanin" w:cs="IRNazanin"/>
          <w:lang w:bidi="fa-IR"/>
          <w:color w:val="111111"/>
          <w:sz w:val="28"/>
          <w:szCs w:val="28"/>
          <w:rtl/>
        </w:rPr>
        <w:t xml:space="preserve">خط: نستعلیق، بی کا، بی تا [فيلمها ف: ۲-۱۰۷]</w:t>
      </w:r>
    </w:p>
    <w:p>
      <w:pPr>
        <w:pStyle w:val="BookText"/>
      </w:pPr>
      <w:r>
        <w:rPr>
          <w:rFonts w:ascii="IRNazanin" w:hAnsi="IRNazanin" w:eastAsia="IRNazanin" w:cs="IRNazanin"/>
          <w:lang w:bidi="fa-IR"/>
          <w:color w:val="111111"/>
          <w:sz w:val="28"/>
          <w:szCs w:val="28"/>
          <w:rtl/>
        </w:rPr>
        <w:t xml:space="preserve">← تاریخ سلطنت سلسله قاجاریه ← تاریخ قاجاریه</w:t>
      </w:r>
    </w:p>
    <w:p>
      <w:pPr>
        <w:pStyle w:val="Heading3"/>
      </w:pPr>
      <w:bookmarkStart w:id="2369" w:name="_Toc1629"/>
      <w:r>
        <w:t>•تاریخ سلطنت مظفرالدین شاه قاجار / تاریخ ایران / فارسی</w:t>
      </w:r>
      <w:bookmarkEnd w:id="2369"/>
    </w:p>
    <w:p>
      <w:pPr>
        <w:pStyle w:val="BookText"/>
      </w:pPr>
      <w:r>
        <w:rPr>
          <w:rFonts w:ascii="Times New Roman" w:hAnsi="Times New Roman" w:eastAsia="Times New Roman" w:cs="Times New Roman"/>
          <w:lang w:val="en-US" w:bidi="en-US"/>
          <w:color w:val="111111"/>
          <w:sz w:val="28"/>
          <w:szCs w:val="28"/>
          <w:rtl/>
        </w:rPr>
        <w:t xml:space="preserve">tārīx-e saltanat-e mozaffar-ed-dīn-šāh-e qājār</w:t>
      </w:r>
    </w:p>
    <w:p>
      <w:pPr>
        <w:pStyle w:val="BookText"/>
      </w:pPr>
      <w:r>
        <w:rPr>
          <w:rFonts w:ascii="IRNazanin" w:hAnsi="IRNazanin" w:eastAsia="IRNazanin" w:cs="IRNazanin"/>
          <w:lang w:bidi="fa-IR"/>
          <w:color w:val="111111"/>
          <w:sz w:val="28"/>
          <w:szCs w:val="28"/>
          <w:rtl/>
        </w:rPr>
        <w:t xml:space="preserve">قراجه داغی، علی بن حسین، ق۱۴ قمری</w:t>
      </w:r>
    </w:p>
    <w:p>
      <w:pPr>
        <w:pStyle w:val="BookText"/>
      </w:pPr>
      <w:r>
        <w:rPr>
          <w:rFonts w:ascii="Times New Roman" w:hAnsi="Times New Roman" w:eastAsia="Times New Roman" w:cs="Times New Roman"/>
          <w:lang w:val="en-US" w:bidi="en-US"/>
          <w:color w:val="111111"/>
          <w:sz w:val="28"/>
          <w:szCs w:val="28"/>
          <w:rtl/>
        </w:rPr>
        <w:t xml:space="preserve">qarāje dāqī, “alī ebn-e hoseyn (-20c)</w:t>
      </w:r>
    </w:p>
    <w:p>
      <w:pPr>
        <w:pStyle w:val="BookText"/>
      </w:pPr>
      <w:r>
        <w:rPr>
          <w:rFonts w:ascii="IRNazanin" w:hAnsi="IRNazanin" w:eastAsia="IRNazanin" w:cs="IRNazanin"/>
          <w:lang w:bidi="fa-IR"/>
          <w:color w:val="111111"/>
          <w:sz w:val="28"/>
          <w:szCs w:val="28"/>
          <w:rtl/>
        </w:rPr>
        <w:t xml:space="preserve">اهدا به: مظفرالدین شاه نویسنده، که ظاهرا از متملقان درباری بوده، پس از ذکر نام سلاطین سابق بر مظفرالدین شاه به طور خلاصه، شروع به ذکر تاریخ مظفرالدین شاه می کند و با ستایش های مشمئز کننده ای از او، چنین می نماید که او با این تاریخ نگاری ملتمس پاداش و احسانی از شاه بوده است. [فهرستواره منزوی ۸۷۲/۲ ]</w:t>
      </w:r>
    </w:p>
    <w:p>
      <w:pPr>
        <w:pStyle w:val="BookText"/>
      </w:pPr>
      <w:r>
        <w:rPr>
          <w:rFonts w:ascii="IRNazanin" w:hAnsi="IRNazanin" w:eastAsia="IRNazanin" w:cs="IRNazanin"/>
          <w:lang w:bidi="fa-IR"/>
          <w:color w:val="111111"/>
          <w:sz w:val="28"/>
          <w:szCs w:val="28"/>
          <w:rtl/>
        </w:rPr>
        <w:t xml:space="preserve">تهران؛ ملی؛ شماره نسخه:۴۳۶</w:t>
      </w:r>
    </w:p>
    <w:p>
      <w:pPr>
        <w:pStyle w:val="BookText"/>
      </w:pPr>
      <w:r>
        <w:rPr>
          <w:rFonts w:ascii="IRNazanin" w:hAnsi="IRNazanin" w:eastAsia="IRNazanin" w:cs="IRNazanin"/>
          <w:lang w:bidi="fa-IR"/>
          <w:color w:val="111111"/>
          <w:sz w:val="28"/>
          <w:szCs w:val="28"/>
          <w:rtl/>
        </w:rPr>
        <w:t xml:space="preserve">آغاز: بسمله. در بیان ابتدای ظهور سلطنت در سلسه قاجار جلالت و جلادت شعار اول سلطان مقتدر این طائفه آقا محمد خان است؛ انجام: تا بود ممكن عروج حمد بر اوج فلک ***باد یا رب آفتاب سلطنتشان بی زوال. و صلی الله على محمد و اهل بیته الطيبين الطاهرين المعصومین خط: نسخ بدخط، كاتب = مؤلف، تا: قرن ۱۴؛ کاغذ: فرنگی، جلد: مقوایی قهوه ای، ۱۰گ، ۱۲ سطر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۱-۴۲۷]</w:t>
      </w:r>
    </w:p>
    <w:p>
      <w:pPr>
        <w:pStyle w:val="Heading3"/>
      </w:pPr>
      <w:bookmarkStart w:id="2370" w:name="_Toc1630"/>
      <w:r>
        <w:t>•تاریخ سمرقند / تاریخ / عربی</w:t>
      </w:r>
      <w:bookmarkEnd w:id="2370"/>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490" w:name="pg20363_209798"/>
    <w:bookmarkEnd w:id="490"/>
    <w:p>
      <w:pPr>
        <w:pStyle w:val="BookText"/>
      </w:pPr>
      <w:r>
        <w:rPr>
          <w:rFonts w:ascii="Times New Roman" w:hAnsi="Times New Roman" w:eastAsia="Times New Roman" w:cs="Times New Roman"/>
          <w:lang w:val="en-US" w:bidi="en-US"/>
          <w:color w:val="111111"/>
          <w:sz w:val="28"/>
          <w:szCs w:val="28"/>
          <w:rtl/>
        </w:rPr>
        <w:t xml:space="preserve">tārīx-e samarqand</w:t>
      </w:r>
    </w:p>
    <w:p>
      <w:pPr>
        <w:pStyle w:val="BookText"/>
      </w:pPr>
      <w:r>
        <w:rPr>
          <w:rFonts w:ascii="IRNazanin" w:hAnsi="IRNazanin" w:eastAsia="IRNazanin" w:cs="IRNazanin"/>
          <w:lang w:bidi="fa-IR"/>
          <w:color w:val="111111"/>
          <w:sz w:val="28"/>
          <w:szCs w:val="28"/>
          <w:rtl/>
        </w:rPr>
        <w:t xml:space="preserve">تهران، دانشگاه؛ شماره نسخه:۹۳۷-ف</w:t>
      </w:r>
    </w:p>
    <w:p>
      <w:pPr>
        <w:pStyle w:val="BookText"/>
      </w:pPr>
      <w:r>
        <w:rPr>
          <w:rFonts w:ascii="IRNazanin" w:hAnsi="IRNazanin" w:eastAsia="IRNazanin" w:cs="IRNazanin"/>
          <w:lang w:bidi="fa-IR"/>
          <w:color w:val="111111"/>
          <w:sz w:val="28"/>
          <w:szCs w:val="28"/>
          <w:rtl/>
        </w:rPr>
        <w:t xml:space="preserve">نسخه اصل: پاریس ش ۶۲۸۴ عربی؛ بی کا، بی تا [فيلمها ف: ۱-۲۹۳]</w:t>
      </w:r>
    </w:p>
    <w:p>
      <w:pPr>
        <w:pStyle w:val="Heading3"/>
      </w:pPr>
      <w:bookmarkStart w:id="2371" w:name="_Toc1631"/>
      <w:r>
        <w:t>•تاریخ سند = تاریخ معصومی / تاریخ / فارسی</w:t>
      </w:r>
      <w:bookmarkEnd w:id="2371"/>
    </w:p>
    <w:p>
      <w:pPr>
        <w:pStyle w:val="BookText"/>
      </w:pPr>
      <w:r>
        <w:rPr>
          <w:rFonts w:ascii="Times New Roman" w:hAnsi="Times New Roman" w:eastAsia="Times New Roman" w:cs="Times New Roman"/>
          <w:lang w:val="en-US" w:bidi="en-US"/>
          <w:color w:val="111111"/>
          <w:sz w:val="28"/>
          <w:szCs w:val="28"/>
          <w:rtl/>
        </w:rPr>
        <w:t xml:space="preserve">tārīx-e send = tārīx-e ma‘sūmī</w:t>
      </w:r>
    </w:p>
    <w:p>
      <w:pPr>
        <w:pStyle w:val="BookText"/>
      </w:pPr>
      <w:r>
        <w:rPr>
          <w:rFonts w:ascii="IRNazanin" w:hAnsi="IRNazanin" w:eastAsia="IRNazanin" w:cs="IRNazanin"/>
          <w:lang w:bidi="fa-IR"/>
          <w:color w:val="111111"/>
          <w:sz w:val="28"/>
          <w:szCs w:val="28"/>
          <w:rtl/>
        </w:rPr>
        <w:t xml:space="preserve">ترمذی سمرقندی، محمد معصوم، ۹۴۴-۱۰۱۹ قمری</w:t>
      </w:r>
    </w:p>
    <w:p>
      <w:pPr>
        <w:pStyle w:val="BookText"/>
      </w:pPr>
      <w:r>
        <w:rPr>
          <w:rFonts w:ascii="Times New Roman" w:hAnsi="Times New Roman" w:eastAsia="Times New Roman" w:cs="Times New Roman"/>
          <w:lang w:val="en-US" w:bidi="en-US"/>
          <w:color w:val="111111"/>
          <w:sz w:val="28"/>
          <w:szCs w:val="28"/>
          <w:rtl/>
        </w:rPr>
        <w:t xml:space="preserve">termezī samarqandī, mohammad ma‘sām (1583-1611)</w:t>
      </w:r>
    </w:p>
    <w:p>
      <w:pPr>
        <w:pStyle w:val="BookText"/>
      </w:pPr>
      <w:r>
        <w:rPr>
          <w:rFonts w:ascii="IRNazanin" w:hAnsi="IRNazanin" w:eastAsia="IRNazanin" w:cs="IRNazanin"/>
          <w:lang w:bidi="fa-IR"/>
          <w:color w:val="111111"/>
          <w:sz w:val="28"/>
          <w:szCs w:val="28"/>
          <w:rtl/>
        </w:rPr>
        <w:t xml:space="preserve">اهدا به: اکبر پادشاه (۹۶۳ - ۱۰۱۴ق)</w:t>
      </w:r>
    </w:p>
    <w:p>
      <w:pPr>
        <w:pStyle w:val="BookText"/>
      </w:pPr>
      <w:r>
        <w:rPr>
          <w:rFonts w:ascii="IRNazanin" w:hAnsi="IRNazanin" w:eastAsia="IRNazanin" w:cs="IRNazanin"/>
          <w:lang w:bidi="fa-IR"/>
          <w:color w:val="111111"/>
          <w:sz w:val="28"/>
          <w:szCs w:val="28"/>
          <w:rtl/>
        </w:rPr>
        <w:t xml:space="preserve">در یک «مقدمه» و چهار «جزء»: ۱. گشودن سند به روزگار وليد پسر عبدالملک، گماشتگان امویان و عباسیان؛ ۲. پادشاهان هند که پس از عباسیان بر سند فرمانروایی</w:t>
      </w:r>
    </w:p>
    <w:p>
      <w:pPr>
        <w:pStyle w:val="BookText"/>
      </w:pPr>
      <w:r>
        <w:rPr>
          <w:rFonts w:ascii="IRNazanin" w:hAnsi="IRNazanin" w:eastAsia="IRNazanin" w:cs="IRNazanin"/>
          <w:lang w:bidi="fa-IR"/>
          <w:color w:val="111111"/>
          <w:sz w:val="28"/>
          <w:szCs w:val="28"/>
          <w:rtl/>
        </w:rPr>
        <w:t xml:space="preserve">کردند؛ ۳. ارغونیان و جنگهایشان و در اینجا دو «فصل» در زندگینامه سادات و پیران و قاضیان و سرایندگان؛ ۴. انتقال فرمانروایی سند از سلطان محمود به تیموریان و اکبر پادشاه (۹۶۳-۱۰۱۴ ق) و احوال حاکمان ایالت بهکر تا روزگار نگارش. (احمد منزوی) آغاز: بر ضمایر صافیه کارآگاهان عالم بی اساس و خواطر زکیه هوشمندان سخن شناس چاپ: در چهار جزء در بمبئی بسال ۱۹۳۸ با دیباچه ای در سرگذشت او بچاپ رسیده است</w:t>
      </w:r>
    </w:p>
    <w:p>
      <w:pPr>
        <w:pStyle w:val="BookText"/>
      </w:pPr>
      <w:r>
        <w:rPr>
          <w:rFonts w:ascii="IRNazanin" w:hAnsi="IRNazanin" w:eastAsia="IRNazanin" w:cs="IRNazanin"/>
          <w:lang w:bidi="fa-IR"/>
          <w:color w:val="111111"/>
          <w:sz w:val="28"/>
          <w:szCs w:val="28"/>
          <w:rtl/>
        </w:rPr>
        <w:t xml:space="preserve">[دنا ۷۱۳/۲ ؛ مشار ۳۴۱؛ ش ۲۹۰۷؛ آربری ۲۷۱؛ استوری ۶۵۲/۱ و ۱۳۲۴؛ فهرستواره منزوی ۱۱۸۲/۲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نسخه:۲۹۰۷</w:t>
      </w:r>
    </w:p>
    <w:p>
      <w:pPr>
        <w:pStyle w:val="BookText"/>
      </w:pPr>
      <w:r>
        <w:rPr>
          <w:rFonts w:ascii="IRNazanin" w:hAnsi="IRNazanin" w:eastAsia="IRNazanin" w:cs="IRNazanin"/>
          <w:lang w:bidi="fa-IR"/>
          <w:color w:val="111111"/>
          <w:sz w:val="28"/>
          <w:szCs w:val="28"/>
          <w:rtl/>
        </w:rPr>
        <w:t xml:space="preserve">خط: نستعلیق، بی کا، تا: قرن ۱۱؛ افتادگی: آغاز و انجام کاغذ: هندی، جلد: تیماج سرخ ضربی زرکوب، ۱۸۰ گ، ۱۵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۱۰-۱۷۵۳]</w:t>
      </w:r>
    </w:p>
    <w:p>
      <w:pPr>
        <w:pStyle w:val="BookText"/>
      </w:pPr>
      <w:r>
        <w:rPr>
          <w:rFonts w:ascii="IRNazanin" w:hAnsi="IRNazanin" w:eastAsia="IRNazanin" w:cs="IRNazanin"/>
          <w:lang w:bidi="fa-IR"/>
          <w:color w:val="111111"/>
          <w:sz w:val="28"/>
          <w:szCs w:val="28"/>
          <w:rtl/>
        </w:rPr>
        <w:t xml:space="preserve">۲. تهران: دانشگاه؛ شماره نسخه: ۵۳۴۱</w:t>
      </w:r>
    </w:p>
    <w:p>
      <w:pPr>
        <w:pStyle w:val="BookText"/>
      </w:pPr>
      <w:r>
        <w:rPr>
          <w:rFonts w:ascii="IRNazanin" w:hAnsi="IRNazanin" w:eastAsia="IRNazanin" w:cs="IRNazanin"/>
          <w:lang w:bidi="fa-IR"/>
          <w:color w:val="111111"/>
          <w:sz w:val="28"/>
          <w:szCs w:val="28"/>
          <w:rtl/>
        </w:rPr>
        <w:t xml:space="preserve">خط: نستعلیق هندی، بی کا، تا: قرن ۱۲؛ مجدول زر و لاجورد، با سرلوح آراسته [ف: ۱۵-۴۲۰۹]</w:t>
      </w:r>
    </w:p>
    <w:p>
      <w:pPr>
        <w:pStyle w:val="BookText"/>
      </w:pPr>
      <w:r>
        <w:rPr>
          <w:rFonts w:ascii="IRNazanin" w:hAnsi="IRNazanin" w:eastAsia="IRNazanin" w:cs="IRNazanin"/>
          <w:lang w:bidi="fa-IR"/>
          <w:color w:val="111111"/>
          <w:sz w:val="28"/>
          <w:szCs w:val="28"/>
          <w:rtl/>
        </w:rPr>
        <w:t xml:space="preserve">←تاریخ سنواتی ← تاریخ سیاقی</w:t>
      </w:r>
    </w:p>
    <w:p>
      <w:pPr>
        <w:pStyle w:val="BookText"/>
      </w:pPr>
      <w:r>
        <w:rPr>
          <w:rFonts w:ascii="IRNazanin" w:hAnsi="IRNazanin" w:eastAsia="IRNazanin" w:cs="IRNazanin"/>
          <w:lang w:bidi="fa-IR"/>
          <w:color w:val="111111"/>
          <w:sz w:val="28"/>
          <w:szCs w:val="28"/>
          <w:rtl/>
        </w:rPr>
        <w:t xml:space="preserve">←تاریخ سنواتی← تقويم التواریخ (ترجمه)</w:t>
      </w:r>
    </w:p>
    <w:p>
      <w:pPr>
        <w:pStyle w:val="Heading3"/>
      </w:pPr>
      <w:bookmarkStart w:id="2372" w:name="_Toc1632"/>
      <w:r>
        <w:t>•تاریخ سنواتی = تاریخ منظوم / تاریخ / فارسی</w:t>
      </w:r>
      <w:bookmarkEnd w:id="2372"/>
    </w:p>
    <w:p>
      <w:pPr>
        <w:pStyle w:val="BookText"/>
      </w:pPr>
      <w:r>
        <w:rPr>
          <w:rFonts w:ascii="Times New Roman" w:hAnsi="Times New Roman" w:eastAsia="Times New Roman" w:cs="Times New Roman"/>
          <w:lang w:val="en-US" w:bidi="en-US"/>
          <w:color w:val="111111"/>
          <w:sz w:val="28"/>
          <w:szCs w:val="28"/>
          <w:rtl/>
        </w:rPr>
        <w:t xml:space="preserve">tārīx-e sanavātī= tārīx-e manzūm</w:t>
      </w:r>
    </w:p>
    <w:p>
      <w:pPr>
        <w:pStyle w:val="BookText"/>
      </w:pPr>
      <w:r>
        <w:rPr>
          <w:rFonts w:ascii="IRNazanin" w:hAnsi="IRNazanin" w:eastAsia="IRNazanin" w:cs="IRNazanin"/>
          <w:lang w:bidi="fa-IR"/>
          <w:color w:val="111111"/>
          <w:sz w:val="28"/>
          <w:szCs w:val="28"/>
          <w:rtl/>
        </w:rPr>
        <w:t xml:space="preserve">مدحت، محمد بن احمد، ق۱۳ قمری</w:t>
      </w:r>
    </w:p>
    <w:p>
      <w:pPr>
        <w:pStyle w:val="BookText"/>
      </w:pPr>
      <w:r>
        <w:rPr>
          <w:rFonts w:ascii="Times New Roman" w:hAnsi="Times New Roman" w:eastAsia="Times New Roman" w:cs="Times New Roman"/>
          <w:lang w:val="en-US" w:bidi="en-US"/>
          <w:color w:val="111111"/>
          <w:sz w:val="28"/>
          <w:szCs w:val="28"/>
          <w:rtl/>
        </w:rPr>
        <w:t xml:space="preserve">medhat, mohammad ebn-e ahmad (-19c)</w:t>
      </w:r>
    </w:p>
    <w:p>
      <w:pPr>
        <w:pStyle w:val="BookText"/>
      </w:pPr>
      <w:r>
        <w:rPr>
          <w:rFonts w:ascii="IRNazanin" w:hAnsi="IRNazanin" w:eastAsia="IRNazanin" w:cs="IRNazanin"/>
          <w:lang w:bidi="fa-IR"/>
          <w:color w:val="111111"/>
          <w:sz w:val="28"/>
          <w:szCs w:val="28"/>
          <w:rtl/>
        </w:rPr>
        <w:t xml:space="preserve">تاریخ سنواتی منظوم است، با ماده تاریخ. نام و تاریخ او «ریاض النور» است؛ از درگذشت پیامبر(صلی الله علیه وآله وسلم)تا روزگار نگارنده (قرن ۱۳ق) و نه آن چنان مرتب. بخش پایانی آن ارزشمند است: تاریخ رحلت حضرت پیامبر(صلی الله علیه وآله وسلم)، ابوبکر، عمر، عباس، عثمان، على(عليه السلام)، حسن(عليه السلام)، حسین(عليه السلام)، یزید پلید: شد ز دنیا یزید شیطان خوی *** سال مرگش ز لفظ جانی جوی. حسن بصری حبیب عجمی ... ابو حنفیه، مال و می رسد به: غلام قدر رسول نگر ۱۲۹۱، غلام احمد سکنه کولو واله ۱۲۸۳، احمد الدين ساکن مکه شریف ۱۲۶۲، مولوي على محمد صاحب مكهد ۱۲۵۳، شیخ احمد مجدد الف ثانی ۱۰۳۳ و ناتمام. آغاز: الحمدلله محيي المميت الخالق الذي خلق الليل و النهار لتعلموا عدد السنين ... اما بعد، بنده قليل البضاعة.. اجير الدين محمد المتخلص به مدعت بن المرحوم ظهيرالدین احمد.</w:t>
      </w:r>
    </w:p>
    <w:p>
      <w:pPr>
        <w:pStyle w:val="BookText"/>
      </w:pPr>
      <w:r>
        <w:rPr>
          <w:rFonts w:ascii="IRNazanin" w:hAnsi="IRNazanin" w:eastAsia="IRNazanin" w:cs="IRNazanin"/>
          <w:lang w:bidi="fa-IR"/>
          <w:color w:val="111111"/>
          <w:sz w:val="28"/>
          <w:szCs w:val="28"/>
          <w:rtl/>
        </w:rPr>
        <w:t xml:space="preserve">[مشترک ۱۰۴۴/۱۱ ]</w:t>
      </w:r>
    </w:p>
    <w:p>
      <w:pPr>
        <w:pStyle w:val="BookText"/>
      </w:pPr>
      <w:r>
        <w:rPr>
          <w:rFonts w:ascii="IRNazanin" w:hAnsi="IRNazanin" w:eastAsia="IRNazanin" w:cs="IRNazanin"/>
          <w:lang w:bidi="fa-IR"/>
          <w:color w:val="111111"/>
          <w:sz w:val="28"/>
          <w:szCs w:val="28"/>
          <w:rtl/>
        </w:rPr>
        <w:t xml:space="preserve">تهران؛ دائرة المعارف؛ شماره نسخه: ۲/ ۲۳۱-عکسی</w:t>
      </w:r>
    </w:p>
    <w:p>
      <w:pPr>
        <w:pStyle w:val="BookText"/>
      </w:pPr>
      <w:r>
        <w:rPr>
          <w:rFonts w:ascii="IRNazanin" w:hAnsi="IRNazanin" w:eastAsia="IRNazanin" w:cs="IRNazanin"/>
          <w:lang w:bidi="fa-IR"/>
          <w:color w:val="111111"/>
          <w:sz w:val="28"/>
          <w:szCs w:val="28"/>
          <w:rtl/>
        </w:rPr>
        <w:t xml:space="preserve">آغاز: برابر؛ انجام: اكتب لعام رحلته «وارث الرسوم». نسخه اصل: گنج بخش ش ۹۹۵۰؛ خط: نستعلیق پخته، كا: شیخ احمد، تا: ۱۳۱۲ق؛ ۶۴گ (۱۷-۸۰) [عکسی ف: ۲-۵۵]</w:t>
      </w:r>
    </w:p>
    <w:p>
      <w:pPr>
        <w:pStyle w:val="Heading3"/>
      </w:pPr>
      <w:bookmarkStart w:id="2373" w:name="_Toc1633"/>
      <w:r>
        <w:t>•تاریخ سنواتی / تاریخ / فارسی</w:t>
      </w:r>
      <w:bookmarkEnd w:id="2373"/>
    </w:p>
    <w:p>
      <w:pPr>
        <w:pStyle w:val="BookText"/>
      </w:pPr>
      <w:r>
        <w:rPr>
          <w:rFonts w:ascii="Times New Roman" w:hAnsi="Times New Roman" w:eastAsia="Times New Roman" w:cs="Times New Roman"/>
          <w:lang w:val="en-US" w:bidi="en-US"/>
          <w:color w:val="111111"/>
          <w:sz w:val="28"/>
          <w:szCs w:val="28"/>
          <w:rtl/>
        </w:rPr>
        <w:t xml:space="preserve">tārīx-e sanavātī</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IRNazanin" w:hAnsi="IRNazanin" w:eastAsia="IRNazanin" w:cs="IRNazanin"/>
          <w:lang w:bidi="fa-IR"/>
          <w:color w:val="111111"/>
          <w:sz w:val="28"/>
          <w:szCs w:val="28"/>
          <w:rtl/>
        </w:rPr>
        <w:t xml:space="preserve">۱. تهران: دائرة المعارف؛ شماره نسخه: ۲۰۲/۱۰ -عکسی</w:t>
      </w:r>
    </w:p>
    <w:p>
      <w:pPr>
        <w:pStyle w:val="BookText"/>
      </w:pPr>
      <w:r>
        <w:rPr>
          <w:rFonts w:ascii="IRNazanin" w:hAnsi="IRNazanin" w:eastAsia="IRNazanin" w:cs="IRNazanin"/>
          <w:lang w:bidi="fa-IR"/>
          <w:color w:val="111111"/>
          <w:sz w:val="28"/>
          <w:szCs w:val="28"/>
          <w:rtl/>
        </w:rPr>
        <w:t xml:space="preserve">آغاز: تاریخ ششم در تاریخ ابتداء عالم و غیره. حکما چنان نوشته اند که از ابتدای آفرینش عالم تا سال اول که صكر خان به پادشاهی بنشست هشتهزار و هشتصد و شصت و سه.؛ انجام: روز شنبه ۸ ربیع الاول ۱۰۲۳ و کور شدن حضرت امامقلی خان در سنه ایلائیل و جلوس حضرت نذر محمد خان بر تخت سلطنت ماوراء النهر در سنه اسب و نشستن حضرت خلافت مرتبت بر تخت سلطنت حضرت عبدالعزيز بهادر خان در ماوراء النهر در سنه ۱۰۵۱ق هجری و آن سال حمدونه بود. والله اعلم نسخه اصل: گنج بخش ش ۷۴۵؛ که بایستی ستاره شناسی از مردمان فرارود باشد. که به دنبال جدول هایی در ستاره شناسی با</w:t>
      </w:r>
    </w:p>
    <w:p>
      <w:pPr>
        <w:pStyle w:val="BookText"/>
      </w:pPr>
      <w:r>
        <w:rPr>
          <w:rFonts w:ascii="IRNazanin" w:hAnsi="IRNazanin" w:eastAsia="IRNazanin" w:cs="IRNazanin"/>
          <w:lang w:bidi="fa-IR"/>
          <w:color w:val="111111"/>
          <w:sz w:val="28"/>
          <w:szCs w:val="28"/>
          <w:rtl/>
        </w:rPr>
        <w:t xml:space="preserve">مقدمه ای در بیان تواریخ ششگانه» پرداخته، تاریخ سنواتی را از آفرینش آغاز می کند، و می رسد به ۱۰۵۱ ق بخش های واپسین آنها برای تاریخ فرارود ارزشمند است؛ خط: نستعلیق تحریری، بی کا، تا: قرن ۱۱ و ۱۲، ۱۳ (۱۶۱-۱۷۳) [عکسی ف: ۲-۵۵]</w:t>
      </w:r>
    </w:p>
    <w:p>
      <w:pPr>
        <w:pStyle w:val="BookText"/>
      </w:pPr>
      <w:r>
        <w:rPr>
          <w:rFonts w:ascii="Amiri" w:hAnsi="Amiri" w:eastAsia="Amiri" w:cs="Amiri"/>
          <w:lang w:bidi="ar-SA"/>
          <w:color w:val="111111"/>
          <w:sz w:val="28"/>
          <w:szCs w:val="28"/>
          <w:rtl/>
        </w:rPr>
        <w:t xml:space="preserve">۲. تهران؛ دائرة المعارف؛ شماره نسخه:۱۶۲/۴</w:t>
      </w:r>
    </w:p>
    <w:p>
      <w:pPr>
        <w:pStyle w:val="BookText"/>
      </w:pPr>
      <w:r>
        <w:rPr>
          <w:rFonts w:ascii="IRNazanin" w:hAnsi="IRNazanin" w:eastAsia="IRNazanin" w:cs="IRNazanin"/>
          <w:lang w:bidi="fa-IR"/>
          <w:color w:val="111111"/>
          <w:sz w:val="28"/>
          <w:szCs w:val="28"/>
          <w:rtl/>
        </w:rPr>
        <w:t xml:space="preserve">آغاز: بسمله، این چند کلمه است در معرفت تواریخ افلاک و انجم و بعضی از حوادث ایام؛ انجام: رفتن حکام لاهیجان به جانب فومن و قتل که کد خليفه و رستم سپهسالار ... رویدادهای بزرگ جهان به ویژه ایران و گیلان و مازندران در آن آمده است که ۹۵۰ از هجرت گذشته است. مؤلف به خاندان کیا در مازندران و صفویان توجه ویژه داشته است؛ خط: نستعلیق تحریری مخلوط به شکسته، بی کا، تا: قرن ۱۳، ۴گ (۳۶۳پ -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491" w:name="pg20363_209799"/>
    <w:bookmarkEnd w:id="491"/>
    <w:p>
      <w:pPr>
        <w:pStyle w:val="BookText"/>
      </w:pPr>
      <w:r>
        <w:rPr>
          <w:rFonts w:ascii="IRNazanin" w:hAnsi="IRNazanin" w:eastAsia="IRNazanin" w:cs="IRNazanin"/>
          <w:lang w:bidi="fa-IR"/>
          <w:color w:val="111111"/>
          <w:sz w:val="28"/>
          <w:szCs w:val="28"/>
          <w:rtl/>
        </w:rPr>
        <w:t xml:space="preserve">۳۶۶ر) [ف: ۱-۴۲]</w:t>
      </w:r>
    </w:p>
    <w:p>
      <w:pPr>
        <w:pStyle w:val="BookText"/>
      </w:pPr>
      <w:r>
        <w:rPr>
          <w:rFonts w:ascii="IRNazanin" w:hAnsi="IRNazanin" w:eastAsia="IRNazanin" w:cs="IRNazanin"/>
          <w:lang w:bidi="fa-IR"/>
          <w:color w:val="111111"/>
          <w:sz w:val="28"/>
          <w:szCs w:val="28"/>
          <w:rtl/>
        </w:rPr>
        <w:t xml:space="preserve">٣. مشهد؛ میبدی؛ شماره نسخه:۴۹۷</w:t>
      </w:r>
    </w:p>
    <w:p>
      <w:pPr>
        <w:pStyle w:val="BookText"/>
      </w:pPr>
      <w:r>
        <w:rPr>
          <w:rFonts w:ascii="IRNazanin" w:hAnsi="IRNazanin" w:eastAsia="IRNazanin" w:cs="IRNazanin"/>
          <w:lang w:bidi="fa-IR"/>
          <w:color w:val="111111"/>
          <w:sz w:val="28"/>
          <w:szCs w:val="28"/>
          <w:rtl/>
        </w:rPr>
        <w:t xml:space="preserve">آغاز: آغاز کتاب در بیان اموری که واقع شده در سال اول رحلت</w:t>
      </w:r>
    </w:p>
    <w:p>
      <w:pPr>
        <w:pStyle w:val="BookText"/>
      </w:pPr>
      <w:r>
        <w:rPr>
          <w:rFonts w:ascii="IRNazanin" w:hAnsi="IRNazanin" w:eastAsia="IRNazanin" w:cs="IRNazanin"/>
          <w:lang w:bidi="fa-IR"/>
          <w:color w:val="111111"/>
          <w:sz w:val="28"/>
          <w:szCs w:val="28"/>
          <w:rtl/>
        </w:rPr>
        <w:t xml:space="preserve">خاتم النبيين، نقل است که چون حضرت خاتم النبيين از سال اول در گذشت پیامبر اکرم (صلی الله علیه وآله وسلم)تا سال اول جلالی ملکشاهی. گاهی وقایعی در این نسخه ناتمام مانده است؛ خط: نسخ، بی کا، بی تا، دارای نشانی عرض به تاریخ ۱۲۳۷؛ مهر: «عبده الراجی کیومرث» (بیضوی)، «افوض امرى الى الله عبد الرحیم» (مربع)؛ جلد: تیماج مشکی، ۴۳۷، ۳۱سطر،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۲-۱۶۵]</w:t>
      </w:r>
    </w:p>
    <w:p>
      <w:pPr>
        <w:pStyle w:val="Heading3"/>
      </w:pPr>
      <w:bookmarkStart w:id="2374" w:name="_Toc1634"/>
      <w:r>
        <w:t>•تاریخ سنواتی اسلام / تاریخ اسلام / فارسی</w:t>
      </w:r>
      <w:bookmarkEnd w:id="2374"/>
    </w:p>
    <w:p>
      <w:pPr>
        <w:pStyle w:val="BookText"/>
      </w:pPr>
      <w:r>
        <w:rPr>
          <w:rFonts w:ascii="Times New Roman" w:hAnsi="Times New Roman" w:eastAsia="Times New Roman" w:cs="Times New Roman"/>
          <w:lang w:val="en-US" w:bidi="en-US"/>
          <w:color w:val="111111"/>
          <w:sz w:val="28"/>
          <w:szCs w:val="28"/>
          <w:rtl/>
        </w:rPr>
        <w:t xml:space="preserve">tārīx-e sanavātī-ye eslām</w:t>
      </w:r>
    </w:p>
    <w:p>
      <w:pPr>
        <w:pStyle w:val="BookText"/>
      </w:pPr>
      <w:r>
        <w:rPr>
          <w:rFonts w:ascii="IRNazanin" w:hAnsi="IRNazanin" w:eastAsia="IRNazanin" w:cs="IRNazanin"/>
          <w:lang w:bidi="fa-IR"/>
          <w:color w:val="111111"/>
          <w:sz w:val="28"/>
          <w:szCs w:val="28"/>
          <w:rtl/>
        </w:rPr>
        <w:t xml:space="preserve">از سال اول هجرت تا سال ۷۳۶ق و در پایان فهرست مطالب به صورت سنواتی آمده است.</w:t>
      </w:r>
    </w:p>
    <w:p>
      <w:pPr>
        <w:pStyle w:val="BookText"/>
      </w:pPr>
      <w:r>
        <w:rPr>
          <w:rFonts w:ascii="IRNazanin" w:hAnsi="IRNazanin" w:eastAsia="IRNazanin" w:cs="IRNazanin"/>
          <w:lang w:bidi="fa-IR"/>
          <w:color w:val="111111"/>
          <w:sz w:val="28"/>
          <w:szCs w:val="28"/>
          <w:rtl/>
        </w:rPr>
        <w:t xml:space="preserve">تهران؛ مجلس؛ شماره نسخه: ۸۷۸۸/۱</w:t>
      </w:r>
    </w:p>
    <w:p>
      <w:pPr>
        <w:pStyle w:val="BookText"/>
      </w:pPr>
      <w:r>
        <w:rPr>
          <w:rFonts w:ascii="IRNazanin" w:hAnsi="IRNazanin" w:eastAsia="IRNazanin" w:cs="IRNazanin"/>
          <w:lang w:bidi="fa-IR"/>
          <w:color w:val="111111"/>
          <w:sz w:val="28"/>
          <w:szCs w:val="28"/>
          <w:rtl/>
        </w:rPr>
        <w:t xml:space="preserve">آغاز: هجرت جناب پیغمبر صلی الله عليه و آله بود از مکه به مدينه که چون آیه و اذا يمكر ... نازل شد و خدای تعالی حضرت پیغمبر را از مکر و حیله کفار که در دار الندوه اختیار کرده بودند اخبار فرمود: انجام: در قراباغ از سر سلطان اعظم بوسعید دست تقدیر الهی افسر شاهی ربود، و دولت مغول به آخر رسید.</w:t>
      </w:r>
    </w:p>
    <w:p>
      <w:pPr>
        <w:pStyle w:val="BookText"/>
      </w:pPr>
      <w:r>
        <w:rPr>
          <w:rFonts w:ascii="IRNazanin" w:hAnsi="IRNazanin" w:eastAsia="IRNazanin" w:cs="IRNazanin"/>
          <w:lang w:bidi="fa-IR"/>
          <w:color w:val="111111"/>
          <w:sz w:val="28"/>
          <w:szCs w:val="28"/>
          <w:rtl/>
        </w:rPr>
        <w:t xml:space="preserve">خط: نستعلیق، بی کا، تا: قرن ۱۳؛ مصحح؛ جلد: تیماج قهوه ای، عطف تیماج قرمز، ۷۱گ (آپ -۷۱ر)، اندازه: ۳۳/۵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سم [ف: ۲۸-۲۶۲]</w:t>
      </w:r>
    </w:p>
    <w:p>
      <w:pPr>
        <w:pStyle w:val="Heading3"/>
      </w:pPr>
      <w:bookmarkStart w:id="2375" w:name="_Toc1635"/>
      <w:r>
        <w:t>•تاریخ سنی ملوک الارض و الانبياء / تاریخ / عربی</w:t>
      </w:r>
      <w:bookmarkEnd w:id="2375"/>
    </w:p>
    <w:p>
      <w:pPr>
        <w:pStyle w:val="BookText"/>
      </w:pPr>
      <w:r>
        <w:rPr>
          <w:rFonts w:ascii="Times New Roman" w:hAnsi="Times New Roman" w:eastAsia="Times New Roman" w:cs="Times New Roman"/>
          <w:lang w:val="en-US" w:bidi="en-US"/>
          <w:color w:val="111111"/>
          <w:sz w:val="28"/>
          <w:szCs w:val="28"/>
          <w:rtl/>
        </w:rPr>
        <w:t xml:space="preserve">tārīx-u senī-yi mulūk-il ard wa-l anbīyā</w:t>
      </w:r>
    </w:p>
    <w:p>
      <w:pPr>
        <w:pStyle w:val="BookText"/>
      </w:pPr>
      <w:r>
        <w:rPr>
          <w:rFonts w:ascii="IRNazanin" w:hAnsi="IRNazanin" w:eastAsia="IRNazanin" w:cs="IRNazanin"/>
          <w:lang w:bidi="fa-IR"/>
          <w:color w:val="111111"/>
          <w:sz w:val="28"/>
          <w:szCs w:val="28"/>
          <w:rtl/>
        </w:rPr>
        <w:t xml:space="preserve">حمزه اصفهانی، حمزه بن حسن، ۲۸۰؟ - ۳۶۰ ؟ قمری</w:t>
      </w:r>
    </w:p>
    <w:p>
      <w:pPr>
        <w:pStyle w:val="BookText"/>
      </w:pPr>
      <w:r>
        <w:rPr>
          <w:rFonts w:ascii="Times New Roman" w:hAnsi="Times New Roman" w:eastAsia="Times New Roman" w:cs="Times New Roman"/>
          <w:lang w:val="en-US" w:bidi="en-US"/>
          <w:color w:val="111111"/>
          <w:sz w:val="28"/>
          <w:szCs w:val="28"/>
          <w:rtl/>
        </w:rPr>
        <w:t xml:space="preserve">hamze-ye esfahānī, hamze bn-e hasan (894-972)</w:t>
      </w:r>
    </w:p>
    <w:p>
      <w:pPr>
        <w:pStyle w:val="BookText"/>
      </w:pPr>
      <w:r>
        <w:rPr>
          <w:rFonts w:ascii="IRNazanin" w:hAnsi="IRNazanin" w:eastAsia="IRNazanin" w:cs="IRNazanin"/>
          <w:lang w:bidi="fa-IR"/>
          <w:color w:val="111111"/>
          <w:sz w:val="28"/>
          <w:szCs w:val="28"/>
          <w:rtl/>
        </w:rPr>
        <w:t xml:space="preserve">کتابی تاریخی است و اصل آن مشتمل بر ده «باب» است. چاپ: لیبسک، ۱۸۴۴ و ۱۸۴۸م؛ کلکته، ۲۱۲ص، ۱۸۶۶م؛ برلین، ۱۳۴۰ق.</w:t>
      </w:r>
    </w:p>
    <w:p>
      <w:pPr>
        <w:pStyle w:val="BookText"/>
      </w:pPr>
      <w:r>
        <w:rPr>
          <w:rFonts w:ascii="IRNazanin" w:hAnsi="IRNazanin" w:eastAsia="IRNazanin" w:cs="IRNazanin"/>
          <w:lang w:bidi="fa-IR"/>
          <w:color w:val="111111"/>
          <w:sz w:val="28"/>
          <w:szCs w:val="28"/>
          <w:rtl/>
        </w:rPr>
        <w:t xml:space="preserve">[دنا ۷۱۳/۲ ]</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۱- سنی ملوک الارض و الانبیاء (ترجمه)؛ المعی نژاد، علی (-۱۴)</w:t>
      </w:r>
    </w:p>
    <w:p>
      <w:pPr>
        <w:pStyle w:val="BookText"/>
      </w:pPr>
      <w:r>
        <w:rPr>
          <w:rFonts w:ascii="IRNazanin" w:hAnsi="IRNazanin" w:eastAsia="IRNazanin" w:cs="IRNazanin"/>
          <w:lang w:bidi="fa-IR"/>
          <w:color w:val="111111"/>
          <w:sz w:val="28"/>
          <w:szCs w:val="28"/>
          <w:rtl/>
        </w:rPr>
        <w:t xml:space="preserve">۱. تهران؛ ملی؛ شماره نسخه: ۱۳۹ -عکسی</w:t>
      </w:r>
    </w:p>
    <w:p>
      <w:pPr>
        <w:pStyle w:val="BookText"/>
      </w:pPr>
      <w:r>
        <w:rPr>
          <w:rFonts w:ascii="IRNazanin" w:hAnsi="IRNazanin" w:eastAsia="IRNazanin" w:cs="IRNazanin"/>
          <w:lang w:bidi="fa-IR"/>
          <w:color w:val="111111"/>
          <w:sz w:val="28"/>
          <w:szCs w:val="28"/>
          <w:rtl/>
        </w:rPr>
        <w:t xml:space="preserve">نسخه اصل: از ترکیه نسخه انقره ۲۸۵۱۷؛ بی کا، تا: قرن ۶ [نشریه: ۲۷۲-۲ ]</w:t>
      </w:r>
    </w:p>
    <w:p>
      <w:pPr>
        <w:pStyle w:val="BookText"/>
      </w:pPr>
      <w:r>
        <w:rPr>
          <w:rFonts w:ascii="IRNazanin" w:hAnsi="IRNazanin" w:eastAsia="IRNazanin" w:cs="IRNazanin"/>
          <w:lang w:bidi="fa-IR"/>
          <w:color w:val="111111"/>
          <w:sz w:val="28"/>
          <w:szCs w:val="28"/>
          <w:rtl/>
        </w:rPr>
        <w:t xml:space="preserve">تهران؛ دانشگاه؛ شماره نسخه:۳۷۸۴-ف</w:t>
      </w:r>
    </w:p>
    <w:p>
      <w:pPr>
        <w:pStyle w:val="BookText"/>
      </w:pPr>
      <w:r>
        <w:rPr>
          <w:rFonts w:ascii="Amiri" w:hAnsi="Amiri" w:eastAsia="Amiri" w:cs="Amiri"/>
          <w:lang w:bidi="ar-SA"/>
          <w:color w:val="111111"/>
          <w:sz w:val="28"/>
          <w:szCs w:val="28"/>
          <w:rtl/>
        </w:rPr>
        <w:t xml:space="preserve">نسخه اصل: همان نسخه اصل بالا [فيلمها ف: ۲-۲۴۸]</w:t>
      </w:r>
    </w:p>
    <w:p>
      <w:pPr>
        <w:pStyle w:val="BookText"/>
      </w:pPr>
      <w:r>
        <w:rPr>
          <w:rFonts w:ascii="IRNazanin" w:hAnsi="IRNazanin" w:eastAsia="IRNazanin" w:cs="IRNazanin"/>
          <w:lang w:bidi="fa-IR"/>
          <w:color w:val="111111"/>
          <w:sz w:val="28"/>
          <w:szCs w:val="28"/>
          <w:rtl/>
        </w:rPr>
        <w:t xml:space="preserve">۲. تهران، دانشگاه؛ شماره نسخه:۳۴۲۸- ف</w:t>
      </w:r>
    </w:p>
    <w:p>
      <w:pPr>
        <w:pStyle w:val="BookText"/>
      </w:pPr>
      <w:r>
        <w:rPr>
          <w:rFonts w:ascii="Amiri" w:hAnsi="Amiri" w:eastAsia="Amiri" w:cs="Amiri"/>
          <w:lang w:bidi="ar-SA"/>
          <w:color w:val="111111"/>
          <w:sz w:val="28"/>
          <w:szCs w:val="28"/>
          <w:rtl/>
        </w:rPr>
        <w:t xml:space="preserve">نسخه اصل: ليدن ۷۶۷ وارن ۷۶۷</w:t>
      </w:r>
      <w:r>
        <w:rPr>
          <w:rFonts w:ascii="Times New Roman" w:hAnsi="Times New Roman" w:eastAsia="Times New Roman" w:cs="Times New Roman"/>
          <w:lang w:val="en-US" w:bidi="en-US"/>
          <w:color w:val="111111"/>
          <w:sz w:val="28"/>
          <w:szCs w:val="28"/>
          <w:rtl/>
        </w:rPr>
        <w:t xml:space="preserve">Warn. </w:t>
      </w:r>
      <w:r>
        <w:rPr>
          <w:rFonts w:ascii="IRNazanin" w:hAnsi="IRNazanin" w:eastAsia="IRNazanin" w:cs="IRNazanin"/>
          <w:lang w:bidi="fa-IR"/>
          <w:color w:val="111111"/>
          <w:sz w:val="28"/>
          <w:szCs w:val="28"/>
          <w:rtl/>
        </w:rPr>
        <w:t xml:space="preserve">از آغاز تا فصل ۱۰ باب ۱۰؛ خط: نسخ روشن، بی کا، بی تا، تملك: محمد بن محمود خوارزمی قرافی شادلی در ۸۳۱ و خوانده شده در این سال (۱۴۶/۲ ش ۷۵۳) [فیلمها ف: ۲-۱۴۰]</w:t>
      </w:r>
    </w:p>
    <w:p>
      <w:pPr>
        <w:pStyle w:val="BookText"/>
      </w:pPr>
      <w:r>
        <w:rPr>
          <w:rFonts w:ascii="IRNazanin" w:hAnsi="IRNazanin" w:eastAsia="IRNazanin" w:cs="IRNazanin"/>
          <w:lang w:bidi="fa-IR"/>
          <w:color w:val="111111"/>
          <w:sz w:val="28"/>
          <w:szCs w:val="28"/>
          <w:rtl/>
        </w:rPr>
        <w:t xml:space="preserve">٣. تهران؛ مینوی؛ شماره نسخه:۳۴۵بخش ۳</w:t>
      </w:r>
    </w:p>
    <w:p>
      <w:pPr>
        <w:pStyle w:val="BookText"/>
      </w:pPr>
      <w:r>
        <w:rPr>
          <w:rFonts w:ascii="IRNazanin" w:hAnsi="IRNazanin" w:eastAsia="IRNazanin" w:cs="IRNazanin"/>
          <w:lang w:bidi="fa-IR"/>
          <w:color w:val="111111"/>
          <w:sz w:val="28"/>
          <w:szCs w:val="28"/>
          <w:rtl/>
        </w:rPr>
        <w:t xml:space="preserve">نسخه اصل: موزه، گویا شماره ۷۸۷؛ كا: ابوبکر بن شاو گیر بن عبدالله فقیهی، تا: شنبه ۲۰ ذیقعده؛ با تملك ۱۰۷۸ [ف: ۱۴۷]</w:t>
      </w:r>
    </w:p>
    <w:p>
      <w:pPr>
        <w:pStyle w:val="BookText"/>
      </w:pPr>
      <w:r>
        <w:rPr>
          <w:rFonts w:ascii="IRNazanin" w:hAnsi="IRNazanin" w:eastAsia="IRNazanin" w:cs="IRNazanin"/>
          <w:lang w:bidi="fa-IR"/>
          <w:color w:val="111111"/>
          <w:sz w:val="28"/>
          <w:szCs w:val="28"/>
          <w:rtl/>
        </w:rPr>
        <w:t xml:space="preserve">۴. تهران؛ دانشگاه؛ شماره نسخه: ۶۷۱-ف</w:t>
      </w:r>
    </w:p>
    <w:p>
      <w:pPr>
        <w:pStyle w:val="BookText"/>
      </w:pPr>
      <w:r>
        <w:rPr>
          <w:rFonts w:ascii="IRNazanin" w:hAnsi="IRNazanin" w:eastAsia="IRNazanin" w:cs="IRNazanin"/>
          <w:lang w:bidi="fa-IR"/>
          <w:color w:val="111111"/>
          <w:sz w:val="28"/>
          <w:szCs w:val="28"/>
          <w:rtl/>
        </w:rPr>
        <w:t xml:space="preserve">نسخه اصل: اسماعیل صایب؛ بی کا، بی تا [فيلمها ف: ۱-۲۹۴]</w:t>
      </w:r>
    </w:p>
    <w:p>
      <w:pPr>
        <w:pStyle w:val="BookText"/>
      </w:pPr>
      <w:r>
        <w:rPr>
          <w:rFonts w:ascii="IRNazanin" w:hAnsi="IRNazanin" w:eastAsia="IRNazanin" w:cs="IRNazanin"/>
          <w:lang w:bidi="fa-IR"/>
          <w:color w:val="111111"/>
          <w:sz w:val="28"/>
          <w:szCs w:val="28"/>
          <w:rtl/>
        </w:rPr>
        <w:t xml:space="preserve">۵. شیراز؛ ملی؛ شماره نسخه: ۵۰-ت/۵۶۶</w:t>
      </w:r>
    </w:p>
    <w:p>
      <w:pPr>
        <w:pStyle w:val="BookText"/>
      </w:pPr>
      <w:r>
        <w:rPr>
          <w:rFonts w:ascii="IRNazanin" w:hAnsi="IRNazanin" w:eastAsia="IRNazanin" w:cs="IRNazanin"/>
          <w:lang w:bidi="fa-IR"/>
          <w:color w:val="111111"/>
          <w:sz w:val="28"/>
          <w:szCs w:val="28"/>
          <w:rtl/>
        </w:rPr>
        <w:t xml:space="preserve">آغاز: بسمله و به نستعين الحمد لله رب العالمين و العاقبة للمتقین و الصلوة على نبيه و حبيبه محمد و آله اجمعين و هذا کتاب اودعته تواریخ سنی ملوک الارض؛ انجام: يوم الاحد التاسع من رجب سنه اثنتين وستين و ماتین ماه اسفند مذروزدین و لما ورد محمد بن طاهر بغداد ( كذا) اعاد المعتمد الى يده عمل الشرطه. تا باب هشتم بیشتر ندارد؛ خط: نستعلیق، بی کا، بی تا، کاغذ: فرنگی نخودی، جلد: مقوا با تیماج قهوه ای سیر، ۸۰گ، ۱۷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۲-۱۵۶]</w:t>
      </w:r>
    </w:p>
    <w:p>
      <w:pPr>
        <w:pStyle w:val="BookText"/>
      </w:pPr>
      <w:r>
        <w:rPr>
          <w:rFonts w:ascii="IRNazanin" w:hAnsi="IRNazanin" w:eastAsia="IRNazanin" w:cs="IRNazanin"/>
          <w:lang w:bidi="fa-IR"/>
          <w:color w:val="111111"/>
          <w:sz w:val="28"/>
          <w:szCs w:val="28"/>
          <w:rtl/>
        </w:rPr>
        <w:t xml:space="preserve">←تاریخ سوادکوه ← التدوين في احوال جبال شروین</w:t>
      </w:r>
    </w:p>
    <w:p>
      <w:pPr>
        <w:pStyle w:val="Heading3"/>
      </w:pPr>
      <w:bookmarkStart w:id="2376" w:name="_Toc1636"/>
      <w:r>
        <w:t>• تاریخ سودان / تاریخ / فارسی</w:t>
      </w:r>
      <w:bookmarkEnd w:id="2376"/>
    </w:p>
    <w:p>
      <w:pPr>
        <w:pStyle w:val="BookText"/>
      </w:pPr>
      <w:r>
        <w:rPr>
          <w:rFonts w:ascii="Times New Roman" w:hAnsi="Times New Roman" w:eastAsia="Times New Roman" w:cs="Times New Roman"/>
          <w:lang w:val="en-US" w:bidi="en-US"/>
          <w:color w:val="111111"/>
          <w:sz w:val="28"/>
          <w:szCs w:val="28"/>
          <w:rtl/>
        </w:rPr>
        <w:t xml:space="preserve">tārīx-e sūdān</w:t>
      </w:r>
    </w:p>
    <w:p>
      <w:pPr>
        <w:pStyle w:val="BookText"/>
      </w:pPr>
      <w:r>
        <w:rPr>
          <w:rFonts w:ascii="IRNazanin" w:hAnsi="IRNazanin" w:eastAsia="IRNazanin" w:cs="IRNazanin"/>
          <w:lang w:bidi="fa-IR"/>
          <w:color w:val="111111"/>
          <w:sz w:val="28"/>
          <w:szCs w:val="28"/>
          <w:rtl/>
        </w:rPr>
        <w:t xml:space="preserve">تهران؛ ملی؛ شماره نسخه:۱۹۷۹۴</w:t>
      </w:r>
    </w:p>
    <w:p>
      <w:pPr>
        <w:pStyle w:val="BookText"/>
      </w:pPr>
      <w:r>
        <w:rPr>
          <w:rFonts w:ascii="IRNazanin" w:hAnsi="IRNazanin" w:eastAsia="IRNazanin" w:cs="IRNazanin"/>
          <w:lang w:bidi="fa-IR"/>
          <w:color w:val="111111"/>
          <w:sz w:val="28"/>
          <w:szCs w:val="28"/>
          <w:rtl/>
        </w:rPr>
        <w:t xml:space="preserve">بی کا، بی تا، خریداری از مریم ادریس پور [رایانه ]</w:t>
      </w:r>
    </w:p>
    <w:p>
      <w:pPr>
        <w:pStyle w:val="Heading3"/>
      </w:pPr>
      <w:bookmarkStart w:id="2377" w:name="_Toc1637"/>
      <w:r>
        <w:t>•تاریخ سیاح / تاریخ / ترکی</w:t>
      </w:r>
      <w:bookmarkEnd w:id="2377"/>
    </w:p>
    <w:p>
      <w:pPr>
        <w:pStyle w:val="BookText"/>
      </w:pPr>
      <w:r>
        <w:rPr>
          <w:rFonts w:ascii="Times New Roman" w:hAnsi="Times New Roman" w:eastAsia="Times New Roman" w:cs="Times New Roman"/>
          <w:lang w:val="en-US" w:bidi="en-US"/>
          <w:color w:val="111111"/>
          <w:sz w:val="28"/>
          <w:szCs w:val="28"/>
          <w:rtl/>
        </w:rPr>
        <w:t xml:space="preserve">tārīx-e sayyāh</w:t>
      </w:r>
    </w:p>
    <w:p>
      <w:pPr>
        <w:pStyle w:val="BookText"/>
      </w:pPr>
      <w:r>
        <w:rPr>
          <w:rFonts w:ascii="IRNazanin" w:hAnsi="IRNazanin" w:eastAsia="IRNazanin" w:cs="IRNazanin"/>
          <w:lang w:bidi="fa-IR"/>
          <w:color w:val="111111"/>
          <w:sz w:val="28"/>
          <w:szCs w:val="28"/>
          <w:rtl/>
        </w:rPr>
        <w:t xml:space="preserve">متفرقه، ابراهیم بن عبد الله، - ۱۱۶۰ قمری</w:t>
      </w:r>
    </w:p>
    <w:p>
      <w:pPr>
        <w:pStyle w:val="BookText"/>
      </w:pPr>
      <w:r>
        <w:rPr>
          <w:rFonts w:ascii="Times New Roman" w:hAnsi="Times New Roman" w:eastAsia="Times New Roman" w:cs="Times New Roman"/>
          <w:lang w:val="en-US" w:bidi="en-US"/>
          <w:color w:val="111111"/>
          <w:sz w:val="28"/>
          <w:szCs w:val="28"/>
          <w:rtl/>
        </w:rPr>
        <w:t xml:space="preserve">motefarreqe, ebrāhīm ebn-e 'abd-ol-lāh (-1746)</w:t>
      </w:r>
    </w:p>
    <w:p>
      <w:pPr>
        <w:pStyle w:val="BookText"/>
      </w:pPr>
      <w:r>
        <w:rPr>
          <w:rFonts w:ascii="IRNazanin" w:hAnsi="IRNazanin" w:eastAsia="IRNazanin" w:cs="IRNazanin"/>
          <w:lang w:bidi="fa-IR"/>
          <w:color w:val="111111"/>
          <w:sz w:val="28"/>
          <w:szCs w:val="28"/>
          <w:rtl/>
        </w:rPr>
        <w:t xml:space="preserve">تاريخ تأليف: ۱۱۴۱ق در ظهور اغوانیان و سبب انهدام دولت شاهان که ابراهیم متفرقه در ۱۱۴۱ آن را از لاتینی به ترکی برگردانده است. در این کتاب تاریخ صوفیان از شاه اسماعیل اردبیلی تا شاه سلطان حسین و تاریخ تهماسب قلی یا نادرشاه هم هست و نیز یورش افغانها بر ایران و پادشاهی میراویس و محمود. اصل لاتینی از </w:t>
      </w:r>
      <w:r>
        <w:rPr>
          <w:rFonts w:ascii="Times New Roman" w:hAnsi="Times New Roman" w:eastAsia="Times New Roman" w:cs="Times New Roman"/>
          <w:lang w:val="en-US" w:bidi="en-US"/>
          <w:color w:val="111111"/>
          <w:sz w:val="28"/>
          <w:szCs w:val="28"/>
          <w:rtl/>
        </w:rPr>
        <w:t xml:space="preserve">Pere Judasz Tadeusz Krusiski </w:t>
      </w:r>
      <w:r>
        <w:rPr>
          <w:rFonts w:ascii="IRNazanin" w:hAnsi="IRNazanin" w:eastAsia="IRNazanin" w:cs="IRNazanin"/>
          <w:lang w:bidi="fa-IR"/>
          <w:color w:val="111111"/>
          <w:sz w:val="28"/>
          <w:szCs w:val="28"/>
          <w:rtl/>
        </w:rPr>
        <w:t xml:space="preserve">است که به عنوان سیاح در زمان شاه سلطان حسین به اصفهان سفر کرده است و نزدیک ۲۶ سال در آن شهر مانده است و اوضاع زمان خود و مشاهدات خود در استیلای افغانها را به زبان لاتین نوشته است. از روی این ترکی به نام «عبرت نامه» یا «بصیرت نامه» به فارسی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492" w:name="pg20363_209800"/>
    <w:bookmarkEnd w:id="492"/>
    <w:p>
      <w:pPr>
        <w:pStyle w:val="BookText"/>
      </w:pPr>
      <w:r>
        <w:rPr>
          <w:rFonts w:ascii="IRNazanin" w:hAnsi="IRNazanin" w:eastAsia="IRNazanin" w:cs="IRNazanin"/>
          <w:lang w:bidi="fa-IR"/>
          <w:color w:val="111111"/>
          <w:sz w:val="28"/>
          <w:szCs w:val="28"/>
          <w:rtl/>
        </w:rPr>
        <w:t xml:space="preserve">ترجمه شده است. ژان ویکتور شوکه (</w:t>
      </w:r>
      <w:r>
        <w:rPr>
          <w:rFonts w:ascii="Times New Roman" w:hAnsi="Times New Roman" w:eastAsia="Times New Roman" w:cs="Times New Roman"/>
          <w:lang w:val="en-US" w:bidi="en-US"/>
          <w:color w:val="111111"/>
          <w:sz w:val="28"/>
          <w:szCs w:val="28"/>
          <w:rtl/>
        </w:rPr>
        <w:t xml:space="preserve">Jean Victor Choquet) </w:t>
      </w:r>
      <w:r>
        <w:rPr>
          <w:rFonts w:ascii="IRNazanin" w:hAnsi="IRNazanin" w:eastAsia="IRNazanin" w:cs="IRNazanin"/>
          <w:lang w:bidi="fa-IR"/>
          <w:color w:val="111111"/>
          <w:sz w:val="28"/>
          <w:szCs w:val="28"/>
          <w:rtl/>
        </w:rPr>
        <w:t xml:space="preserve">آن را از ترکی به فرانسه برگردانده و در استانبول در صفر ۱۱۴۲</w:t>
      </w:r>
    </w:p>
    <w:p>
      <w:pPr>
        <w:pStyle w:val="BookText"/>
      </w:pPr>
      <w:r>
        <w:rPr>
          <w:rFonts w:ascii="IRNazanin" w:hAnsi="IRNazanin" w:eastAsia="IRNazanin" w:cs="IRNazanin"/>
          <w:lang w:bidi="fa-IR"/>
          <w:color w:val="111111"/>
          <w:sz w:val="28"/>
          <w:szCs w:val="28"/>
          <w:rtl/>
        </w:rPr>
        <w:t xml:space="preserve">چاپ شده است. از دیباچه نسخه حاضر بر می آید که دو بار آن را از لاتینی به ترکی ترجمه کرده اند و نویسندگان عثمانی چون آن را درست دیدند از آن خرده ای نگرفتند. چاپ: استانبول، ۱۱۴۲</w:t>
      </w:r>
    </w:p>
    <w:p>
      <w:pPr>
        <w:pStyle w:val="BookText"/>
      </w:pPr>
      <w:r>
        <w:rPr>
          <w:rFonts w:ascii="IRNazanin" w:hAnsi="IRNazanin" w:eastAsia="IRNazanin" w:cs="IRNazanin"/>
          <w:lang w:bidi="fa-IR"/>
          <w:color w:val="111111"/>
          <w:sz w:val="28"/>
          <w:szCs w:val="28"/>
          <w:rtl/>
        </w:rPr>
        <w:t xml:space="preserve">[ دنا ۷۱۳/۲ ؛ استوری ۳۳۵/۱ ]</w:t>
      </w:r>
    </w:p>
    <w:p>
      <w:pPr>
        <w:pStyle w:val="BookText"/>
      </w:pPr>
      <w:r>
        <w:rPr>
          <w:rFonts w:ascii="IRNazanin" w:hAnsi="IRNazanin" w:eastAsia="IRNazanin" w:cs="IRNazanin"/>
          <w:lang w:bidi="fa-IR"/>
          <w:color w:val="111111"/>
          <w:sz w:val="28"/>
          <w:szCs w:val="28"/>
          <w:rtl/>
        </w:rPr>
        <w:t xml:space="preserve">شروح و حواشی:</w:t>
      </w:r>
    </w:p>
    <w:p>
      <w:pPr>
        <w:pStyle w:val="BookText"/>
      </w:pPr>
      <w:r>
        <w:rPr>
          <w:rFonts w:ascii="IRNazanin" w:hAnsi="IRNazanin" w:eastAsia="IRNazanin" w:cs="IRNazanin"/>
          <w:lang w:bidi="fa-IR"/>
          <w:color w:val="111111"/>
          <w:sz w:val="28"/>
          <w:szCs w:val="28"/>
          <w:rtl/>
        </w:rPr>
        <w:t xml:space="preserve">١- بصیرت نامه = عبرت نامه = نصرت نامه؛ مفتون دنبلی، عبدالرزاق بن نجفقلی (۱۱۷۶-۱۲۴۳)</w:t>
      </w:r>
    </w:p>
    <w:p>
      <w:pPr>
        <w:pStyle w:val="BookText"/>
      </w:pPr>
      <w:r>
        <w:rPr>
          <w:rFonts w:ascii="IRNazanin" w:hAnsi="IRNazanin" w:eastAsia="IRNazanin" w:cs="IRNazanin"/>
          <w:lang w:bidi="fa-IR"/>
          <w:color w:val="111111"/>
          <w:sz w:val="28"/>
          <w:szCs w:val="28"/>
          <w:rtl/>
        </w:rPr>
        <w:t xml:space="preserve">تهران؛ دانشگاه، شماره نسخه: ۱۸۸/۱ -ف</w:t>
      </w:r>
    </w:p>
    <w:p>
      <w:pPr>
        <w:pStyle w:val="BookText"/>
      </w:pPr>
      <w:r>
        <w:rPr>
          <w:rFonts w:ascii="IRNazanin" w:hAnsi="IRNazanin" w:eastAsia="IRNazanin" w:cs="IRNazanin"/>
          <w:lang w:bidi="fa-IR"/>
          <w:color w:val="111111"/>
          <w:sz w:val="28"/>
          <w:szCs w:val="28"/>
          <w:rtl/>
        </w:rPr>
        <w:t xml:space="preserve">نسخه اصل: اسعد افندی ۲۱۷۸ (فهرست ترکی بلوشه ۲: ۸۲ و ۱۶۲ ش ۸۷۷ و ۱۰۹۵ مورخ شعبان ۱۱۹۳)؛ خط: نسخ، كا: شیح احمد بن حاج محمد نشاطی، بیتا (فیلمها ف: ۲-۱]</w:t>
      </w:r>
    </w:p>
    <w:p>
      <w:pPr>
        <w:pStyle w:val="Heading3"/>
      </w:pPr>
      <w:bookmarkStart w:id="2378" w:name="_Toc1638"/>
      <w:r>
        <w:t>•تاریخ سیاسی اروپا / تاریخ / فارسی</w:t>
      </w:r>
      <w:bookmarkEnd w:id="2378"/>
    </w:p>
    <w:p>
      <w:pPr>
        <w:pStyle w:val="BookText"/>
      </w:pPr>
      <w:r>
        <w:rPr>
          <w:rFonts w:ascii="Times New Roman" w:hAnsi="Times New Roman" w:eastAsia="Times New Roman" w:cs="Times New Roman"/>
          <w:lang w:val="en-US" w:bidi="en-US"/>
          <w:color w:val="111111"/>
          <w:sz w:val="28"/>
          <w:szCs w:val="28"/>
          <w:rtl/>
        </w:rPr>
        <w:t xml:space="preserve">tārīx-e sīyāsī-ye orūpā</w:t>
      </w:r>
    </w:p>
    <w:p>
      <w:pPr>
        <w:pStyle w:val="BookText"/>
      </w:pPr>
      <w:r>
        <w:rPr>
          <w:rFonts w:ascii="IRNazanin" w:hAnsi="IRNazanin" w:eastAsia="IRNazanin" w:cs="IRNazanin"/>
          <w:lang w:bidi="fa-IR"/>
          <w:color w:val="111111"/>
          <w:sz w:val="28"/>
          <w:szCs w:val="28"/>
          <w:rtl/>
        </w:rPr>
        <w:t xml:space="preserve">ارنست لادیس (گویا).</w:t>
      </w:r>
    </w:p>
    <w:p>
      <w:pPr>
        <w:pStyle w:val="BookText"/>
      </w:pPr>
      <w:r>
        <w:rPr>
          <w:rFonts w:ascii="IRNazanin" w:hAnsi="IRNazanin" w:eastAsia="IRNazanin" w:cs="IRNazanin"/>
          <w:lang w:bidi="fa-IR"/>
          <w:color w:val="111111"/>
          <w:sz w:val="28"/>
          <w:szCs w:val="28"/>
          <w:rtl/>
        </w:rPr>
        <w:t xml:space="preserve">تهران؛ مجلس؛ شماره نسخه: ۱۱۲۲۱</w:t>
      </w:r>
    </w:p>
    <w:p>
      <w:pPr>
        <w:pStyle w:val="BookText"/>
      </w:pPr>
      <w:r>
        <w:rPr>
          <w:rFonts w:ascii="IRNazanin" w:hAnsi="IRNazanin" w:eastAsia="IRNazanin" w:cs="IRNazanin"/>
          <w:lang w:bidi="fa-IR"/>
          <w:color w:val="111111"/>
          <w:sz w:val="28"/>
          <w:szCs w:val="28"/>
          <w:rtl/>
        </w:rPr>
        <w:t xml:space="preserve">خط: تحریری، بی کا، تا: قرن ۱۴ [مختصر ف: ۱۲۷]</w:t>
      </w:r>
    </w:p>
    <w:p>
      <w:pPr>
        <w:pStyle w:val="Heading3"/>
      </w:pPr>
      <w:bookmarkStart w:id="2379" w:name="_Toc1639"/>
      <w:r>
        <w:t>•تاریخ سیاسی ایران / تاریخ / فارسی</w:t>
      </w:r>
      <w:bookmarkEnd w:id="2379"/>
    </w:p>
    <w:p>
      <w:pPr>
        <w:pStyle w:val="BookText"/>
      </w:pPr>
      <w:r>
        <w:rPr>
          <w:rFonts w:ascii="Times New Roman" w:hAnsi="Times New Roman" w:eastAsia="Times New Roman" w:cs="Times New Roman"/>
          <w:lang w:val="en-US" w:bidi="en-US"/>
          <w:color w:val="111111"/>
          <w:sz w:val="28"/>
          <w:szCs w:val="28"/>
          <w:rtl/>
        </w:rPr>
        <w:t xml:space="preserve">tārīx-e sīyāsī-ye īrān</w:t>
      </w:r>
    </w:p>
    <w:p>
      <w:pPr>
        <w:pStyle w:val="BookText"/>
      </w:pPr>
      <w:r>
        <w:rPr>
          <w:rFonts w:ascii="IRNazanin" w:hAnsi="IRNazanin" w:eastAsia="IRNazanin" w:cs="IRNazanin"/>
          <w:lang w:bidi="fa-IR"/>
          <w:color w:val="111111"/>
          <w:sz w:val="28"/>
          <w:szCs w:val="28"/>
          <w:rtl/>
        </w:rPr>
        <w:t xml:space="preserve">شوستر، ویلیام مورگان، ۱۸۷۷- ۱۹۶۰ میلادی</w:t>
      </w:r>
    </w:p>
    <w:p>
      <w:pPr>
        <w:pStyle w:val="BookText"/>
      </w:pPr>
      <w:r>
        <w:rPr>
          <w:rFonts w:ascii="Times New Roman" w:hAnsi="Times New Roman" w:eastAsia="Times New Roman" w:cs="Times New Roman"/>
          <w:lang w:val="en-US" w:bidi="en-US"/>
          <w:color w:val="111111"/>
          <w:sz w:val="28"/>
          <w:szCs w:val="28"/>
          <w:rtl/>
        </w:rPr>
        <w:t xml:space="preserve">šūster, vīlīyām morgān (1877-1960)</w:t>
      </w:r>
    </w:p>
    <w:p>
      <w:pPr>
        <w:pStyle w:val="BookText"/>
      </w:pPr>
      <w:r>
        <w:rPr>
          <w:rFonts w:ascii="IRNazanin" w:hAnsi="IRNazanin" w:eastAsia="IRNazanin" w:cs="IRNazanin"/>
          <w:lang w:bidi="fa-IR"/>
          <w:color w:val="111111"/>
          <w:sz w:val="28"/>
          <w:szCs w:val="28"/>
          <w:rtl/>
        </w:rPr>
        <w:t xml:space="preserve">مشهد؛ رضوی؛ شماره نسخه:۱۶۲۹۷</w:t>
      </w:r>
    </w:p>
    <w:p>
      <w:pPr>
        <w:pStyle w:val="BookText"/>
      </w:pPr>
      <w:r>
        <w:rPr>
          <w:rFonts w:ascii="IRNazanin" w:hAnsi="IRNazanin" w:eastAsia="IRNazanin" w:cs="IRNazanin"/>
          <w:lang w:bidi="fa-IR"/>
          <w:color w:val="111111"/>
          <w:sz w:val="28"/>
          <w:szCs w:val="28"/>
          <w:rtl/>
        </w:rPr>
        <w:t xml:space="preserve">آغاز: اگر بخواهیم شرح مفصل وقایع سیاسی ایران را انجام: تا در کار خود موفق شویم باقی مطالب زیادی است خاتمه خط: نستعلیق تحریری، بی کا، تا: قرن ۱۴؛ کاغذ: نباتی، جلد: مخمل، ۱۸ سطر (۲۲۶۱۵)،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[رایانه]</w:t>
      </w:r>
    </w:p>
    <w:p>
      <w:pPr>
        <w:pStyle w:val="Heading3"/>
      </w:pPr>
      <w:bookmarkStart w:id="2380" w:name="_Toc1640"/>
      <w:r>
        <w:t>•تاریخ سیاسی دوره رضاخان / تاریخ ایران / فارسی</w:t>
      </w:r>
      <w:bookmarkEnd w:id="2380"/>
    </w:p>
    <w:p>
      <w:pPr>
        <w:pStyle w:val="BookText"/>
      </w:pPr>
      <w:r>
        <w:rPr>
          <w:rFonts w:ascii="Times New Roman" w:hAnsi="Times New Roman" w:eastAsia="Times New Roman" w:cs="Times New Roman"/>
          <w:lang w:val="en-US" w:bidi="en-US"/>
          <w:color w:val="111111"/>
          <w:sz w:val="28"/>
          <w:szCs w:val="28"/>
          <w:rtl/>
        </w:rPr>
        <w:t xml:space="preserve">tārīx-e sīyāsī-ye dowre-ye rezā-xān</w:t>
      </w:r>
    </w:p>
    <w:p>
      <w:pPr>
        <w:pStyle w:val="BookText"/>
      </w:pPr>
      <w:r>
        <w:rPr>
          <w:rFonts w:ascii="IRNazanin" w:hAnsi="IRNazanin" w:eastAsia="IRNazanin" w:cs="IRNazanin"/>
          <w:lang w:bidi="fa-IR"/>
          <w:color w:val="111111"/>
          <w:sz w:val="28"/>
          <w:szCs w:val="28"/>
          <w:rtl/>
        </w:rPr>
        <w:t xml:space="preserve">مجموعه ای است شامل مطالبی، مربوط به دوره رضاخان پهلوی بدین ترتیب: ۱- مذاکرات مجلس در تصویب لایحه خلع سلطنت قاجاریه، در این جلسه این افراد در موافقت و مخالفت، صحبت کرده اند: تقی زاده (مخالف لايحه)، سید یعقوب (موافق لايحه و در جواب سید حسن تقی زاده)، علائی (مخالف لايحه)، یاسائی (موافق و در جواب علائی)، مصدق (موافق)، داور، نائب رئيس. که متن مذاکرات هر کدام از آنها در این مجموعه درج شده است؛ ۲. مذاکرات مجلس در جلسه ۲۹ شهریور ۱۳۰۵ درباره قرار داده ۱۹۱۹ که متن قرارداد نیز در پایان این بخش آمده است؛ ۳. صلح دو کارنو به قلم مشفق کاظمی؛ ۴. تعلیمات مدنيه شامل تعریف دولت و فرق بین دولت مشروطه و مستبده قانون اساسی، مدت انتخابات وکلای مجلس شورای ملی و عده آنها، وظایف مجلس وظایف مجلس سنا، وظایف هیئت وزراء، انجمن ولایتی، وظایف وزیر امور خارجه، وزیر مالیه، عدلیه، وزیر علوم و اوقاف، وزیر پست و تلگراف، تعريف خانواده ملی (ملت)؛ ۵. افتراحات و انتقادات تعريف انتقاد و افتراح، نویسنده در آن گوید که از مطلبی که در مجله آینده منتشر کرده عده ای انتقاد کرده اند و او در اینجا به آن انتقاد پاسخ داده است؛ ۶. مقاله ای از حسن کاظم زاده ایران شهر؛ ۷. علمای معروف دوره تمدن اسلامی.</w:t>
      </w:r>
    </w:p>
    <w:p>
      <w:pPr>
        <w:pStyle w:val="BookText"/>
      </w:pPr>
      <w:r>
        <w:rPr>
          <w:rFonts w:ascii="IRNazanin" w:hAnsi="IRNazanin" w:eastAsia="IRNazanin" w:cs="IRNazanin"/>
          <w:lang w:bidi="fa-IR"/>
          <w:color w:val="111111"/>
          <w:sz w:val="28"/>
          <w:szCs w:val="28"/>
          <w:rtl/>
        </w:rPr>
        <w:t xml:space="preserve">قم؛ گلپایگانی؛ شماره نسخه: ۸۲۲۲- ۵۶/۷۲ آ</w:t>
      </w:r>
    </w:p>
    <w:p>
      <w:pPr>
        <w:pStyle w:val="BookText"/>
      </w:pPr>
      <w:r>
        <w:rPr>
          <w:rFonts w:ascii="IRNazanin" w:hAnsi="IRNazanin" w:eastAsia="IRNazanin" w:cs="IRNazanin"/>
          <w:lang w:bidi="fa-IR"/>
          <w:color w:val="111111"/>
          <w:sz w:val="28"/>
          <w:szCs w:val="28"/>
          <w:rtl/>
        </w:rPr>
        <w:t xml:space="preserve">غاز: لايحه خلغ سلطنت، مقام محترم مجلس مقدس شورای ملی نظر به این که عدم رضایت از سلطنت سلسله قاجاریه و شکایاتی که از این خانواده می شود بدرجه رسیده خط: نستعلیق، بی کا، بی تا؛ افتادگی: وسط؛ ۳۲گ، ۲۲ و ۲۳ سطر، اندازه: ۲۰۷۱۳سم [ف: ۲-۶۹۵]</w:t>
      </w:r>
    </w:p>
    <w:p>
      <w:pPr>
        <w:pStyle w:val="BookText"/>
      </w:pPr>
      <w:r>
        <w:rPr>
          <w:rFonts w:ascii="IRNazanin" w:hAnsi="IRNazanin" w:eastAsia="IRNazanin" w:cs="IRNazanin"/>
          <w:lang w:bidi="fa-IR"/>
          <w:color w:val="111111"/>
          <w:sz w:val="28"/>
          <w:szCs w:val="28"/>
          <w:rtl/>
        </w:rPr>
        <w:t xml:space="preserve">← تاریخ سیاقی ← تاریخ سیاقی</w:t>
      </w:r>
    </w:p>
    <w:p>
      <w:pPr>
        <w:pStyle w:val="BookText"/>
      </w:pPr>
      <w:r>
        <w:rPr>
          <w:rFonts w:ascii="IRNazanin" w:hAnsi="IRNazanin" w:eastAsia="IRNazanin" w:cs="IRNazanin"/>
          <w:lang w:bidi="fa-IR"/>
          <w:color w:val="111111"/>
          <w:sz w:val="28"/>
          <w:szCs w:val="28"/>
          <w:rtl/>
        </w:rPr>
        <w:t xml:space="preserve">← تاریخ سیاقی ← مجمل التواریخ</w:t>
      </w:r>
    </w:p>
    <w:p>
      <w:pPr>
        <w:pStyle w:val="BookText"/>
      </w:pPr>
      <w:r>
        <w:rPr>
          <w:rFonts w:ascii="IRNazanin" w:hAnsi="IRNazanin" w:eastAsia="IRNazanin" w:cs="IRNazanin"/>
          <w:lang w:bidi="fa-IR"/>
          <w:color w:val="111111"/>
          <w:sz w:val="28"/>
          <w:szCs w:val="28"/>
          <w:rtl/>
        </w:rPr>
        <w:t xml:space="preserve">← تاریخ سیاقی←زبدة التواريخ</w:t>
      </w:r>
    </w:p>
    <w:p>
      <w:pPr>
        <w:pStyle w:val="Heading3"/>
      </w:pPr>
      <w:bookmarkStart w:id="2381" w:name="_Toc1641"/>
      <w:r>
        <w:t>•تاریخ سیاقی = سياق التواریخ = تاریخ پادشاهان ایران - تاریخ پادشاهان عجم = تاريخ مجدول = تاریخ سنواتی = مجمل التواریخ = تاریخ تقویمی = تقويم التواریخ / تاریخ ایران / فارسی</w:t>
      </w:r>
      <w:bookmarkEnd w:id="2381"/>
    </w:p>
    <w:p>
      <w:pPr>
        <w:pStyle w:val="BookText"/>
      </w:pPr>
      <w:r>
        <w:rPr>
          <w:rFonts w:ascii="Times New Roman" w:hAnsi="Times New Roman" w:eastAsia="Times New Roman" w:cs="Times New Roman"/>
          <w:lang w:val="en-US" w:bidi="en-US"/>
          <w:color w:val="111111"/>
          <w:sz w:val="28"/>
          <w:szCs w:val="28"/>
          <w:rtl/>
        </w:rPr>
        <w:t xml:space="preserve">tārīx-e sīyāqī=sīyāq-ot tavārīx = tārīx-e pādešāhān īrān</w:t>
      </w:r>
    </w:p>
    <w:p>
      <w:pPr>
        <w:pStyle w:val="BookText"/>
      </w:pPr>
      <w:r>
        <w:rPr>
          <w:rFonts w:ascii="IRNazanin" w:hAnsi="IRNazanin" w:eastAsia="IRNazanin" w:cs="IRNazanin"/>
          <w:lang w:bidi="fa-IR"/>
          <w:color w:val="111111"/>
          <w:sz w:val="28"/>
          <w:szCs w:val="28"/>
          <w:rtl/>
        </w:rPr>
        <w:t xml:space="preserve">شیخ محمد ابراهيم</w:t>
      </w:r>
    </w:p>
    <w:p>
      <w:pPr>
        <w:pStyle w:val="BookText"/>
      </w:pPr>
      <w:r>
        <w:rPr>
          <w:rFonts w:ascii="Times New Roman" w:hAnsi="Times New Roman" w:eastAsia="Times New Roman" w:cs="Times New Roman"/>
          <w:lang w:val="en-US" w:bidi="en-US"/>
          <w:color w:val="111111"/>
          <w:sz w:val="28"/>
          <w:szCs w:val="28"/>
          <w:rtl/>
        </w:rPr>
        <w:t xml:space="preserve">šeyx mohammad ebrāhīm</w:t>
      </w:r>
    </w:p>
    <w:p>
      <w:pPr>
        <w:pStyle w:val="BookText"/>
      </w:pPr>
      <w:r>
        <w:rPr>
          <w:rFonts w:ascii="IRNazanin" w:hAnsi="IRNazanin" w:eastAsia="IRNazanin" w:cs="IRNazanin"/>
          <w:lang w:bidi="fa-IR"/>
          <w:color w:val="111111"/>
          <w:sz w:val="28"/>
          <w:szCs w:val="28"/>
          <w:rtl/>
        </w:rPr>
        <w:t xml:space="preserve">از محمد ابراهیم که به خواهش محمد امین خان از صورت سیاقی به طریق واضحی در رشته تحریر کشیده است. از کیومرث است تا شاه عباس دوم در دو مقدمه. صد و شصت و شش نفر در ۵۰۳۵ سال پادشاه شده اند با فهرستی از امیران قزلباش در آخر.</w:t>
      </w:r>
    </w:p>
    <w:p>
      <w:pPr>
        <w:pStyle w:val="BookText"/>
      </w:pPr>
      <w:r>
        <w:rPr>
          <w:rFonts w:ascii="IRNazanin" w:hAnsi="IRNazanin" w:eastAsia="IRNazanin" w:cs="IRNazanin"/>
          <w:lang w:bidi="fa-IR"/>
          <w:color w:val="111111"/>
          <w:sz w:val="28"/>
          <w:szCs w:val="28"/>
          <w:rtl/>
        </w:rPr>
        <w:t xml:space="preserve">[ استوری ۱۲۷۱/۱ ؛ منزوی ۴۱۰۷]</w:t>
      </w:r>
    </w:p>
    <w:p>
      <w:pPr>
        <w:pStyle w:val="BookText"/>
      </w:pPr>
      <w:r>
        <w:rPr>
          <w:rFonts w:ascii="IRNazanin" w:hAnsi="IRNazanin" w:eastAsia="IRNazanin" w:cs="IRNazanin"/>
          <w:lang w:bidi="fa-IR"/>
          <w:color w:val="111111"/>
          <w:sz w:val="28"/>
          <w:szCs w:val="28"/>
          <w:rtl/>
        </w:rPr>
        <w:t xml:space="preserve">تهران؛ ملک؛ شماره نسخه:۴۱۰۷</w:t>
      </w:r>
    </w:p>
    <w:p>
      <w:pPr>
        <w:pStyle w:val="BookText"/>
      </w:pPr>
      <w:r>
        <w:rPr>
          <w:rFonts w:ascii="IRNazanin" w:hAnsi="IRNazanin" w:eastAsia="IRNazanin" w:cs="IRNazanin"/>
          <w:lang w:bidi="fa-IR"/>
          <w:color w:val="111111"/>
          <w:sz w:val="28"/>
          <w:szCs w:val="28"/>
          <w:rtl/>
        </w:rPr>
        <w:t xml:space="preserve">آغاز: لثالی حمد بی منتها و ثنای لا يحصى نثار بارگاه کبریای مالک الملکی است؛ انجام: مدت سلطنت او سیزده سال و شش ماه است (سال ۱۰۵۱).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493" w:name="pg20363_209801"/>
    <w:bookmarkEnd w:id="493"/>
    <w:p>
      <w:pPr>
        <w:pStyle w:val="BookText"/>
      </w:pPr>
      <w:r>
        <w:rPr>
          <w:rFonts w:ascii="IRNazanin" w:hAnsi="IRNazanin" w:eastAsia="IRNazanin" w:cs="IRNazanin"/>
          <w:lang w:bidi="fa-IR"/>
          <w:color w:val="111111"/>
          <w:sz w:val="28"/>
          <w:szCs w:val="28"/>
          <w:rtl/>
        </w:rPr>
        <w:t xml:space="preserve">خط: نستعلیق، بی کا، تا: قرن ۱۱؛ کاغذ: ترمه ختایی، جلد: میشن آلبالویی، ۲۰۶گ، ۱۱ سطر، اندازه: ۳/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۲۶/۸سم [ف: ۳-۴۸۱]</w:t>
      </w:r>
    </w:p>
    <w:p>
      <w:pPr>
        <w:pStyle w:val="Heading3"/>
      </w:pPr>
      <w:bookmarkStart w:id="2382" w:name="_Toc1642"/>
      <w:r>
        <w:t>•تاریخ سیاقی = تاریخ پادشاهان عجم = خلاصة التواریخ / تاریخ ایران / فارسی</w:t>
      </w:r>
      <w:bookmarkEnd w:id="2382"/>
    </w:p>
    <w:p>
      <w:pPr>
        <w:pStyle w:val="BookText"/>
      </w:pPr>
      <w:r>
        <w:rPr>
          <w:rFonts w:ascii="Times New Roman" w:hAnsi="Times New Roman" w:eastAsia="Times New Roman" w:cs="Times New Roman"/>
          <w:lang w:val="en-US" w:bidi="en-US"/>
          <w:color w:val="111111"/>
          <w:sz w:val="28"/>
          <w:szCs w:val="28"/>
          <w:rtl/>
        </w:rPr>
        <w:t xml:space="preserve">tārīx-e sīyāqī = tārīx-e pādešāhān-e ‘ajam = xolāsat-ot tavārīx</w:t>
      </w:r>
    </w:p>
    <w:p>
      <w:pPr>
        <w:pStyle w:val="BookText"/>
      </w:pPr>
      <w:r>
        <w:rPr>
          <w:rFonts w:ascii="IRNazanin" w:hAnsi="IRNazanin" w:eastAsia="IRNazanin" w:cs="IRNazanin"/>
          <w:lang w:bidi="fa-IR"/>
          <w:color w:val="111111"/>
          <w:sz w:val="28"/>
          <w:szCs w:val="28"/>
          <w:rtl/>
        </w:rPr>
        <w:t xml:space="preserve">سمنانی، مهدی، ق۱۳ قمری</w:t>
      </w:r>
    </w:p>
    <w:p>
      <w:pPr>
        <w:pStyle w:val="BookText"/>
      </w:pPr>
      <w:r>
        <w:rPr>
          <w:rFonts w:ascii="Times New Roman" w:hAnsi="Times New Roman" w:eastAsia="Times New Roman" w:cs="Times New Roman"/>
          <w:lang w:val="en-US" w:bidi="en-US"/>
          <w:color w:val="111111"/>
          <w:sz w:val="28"/>
          <w:szCs w:val="28"/>
          <w:rtl/>
        </w:rPr>
        <w:t xml:space="preserve">semnānī, mahdī (-19c)</w:t>
      </w:r>
    </w:p>
    <w:p>
      <w:pPr>
        <w:pStyle w:val="BookText"/>
      </w:pPr>
      <w:r>
        <w:rPr>
          <w:rFonts w:ascii="IRNazanin" w:hAnsi="IRNazanin" w:eastAsia="IRNazanin" w:cs="IRNazanin"/>
          <w:lang w:bidi="fa-IR"/>
          <w:color w:val="111111"/>
          <w:sz w:val="28"/>
          <w:szCs w:val="28"/>
          <w:rtl/>
        </w:rPr>
        <w:t xml:space="preserve">تاریخ کوتاه جهان و ایران است از پادشاهی کیومرث (برخی از آدم) که پایان آن بنا به اختلاف نسخ متفاوت است و این نسخه تا روزگار محمدشاه قاجار ادامه یافته است. عناوین و اعداد به خط سیاق و مطالب به شیوه دفاتر مستوفیان عهد قاجار نگاشته شده است. در نسخ گوناگون نامی از مؤلف كتاب به میان نیامده ولی در نسخه مورد سخن که تا روزگار محمد شاه قاجار را به صورت ناتمام دربر دارد در ذیل احوال محمدشاه، نام مهدی سمنانی دیده می شود که به ظاهر مؤلف کتاب است، عبارت او چنین است: «چنانچه فقیر حقیر مهدی سمنانی که قدمت خدمتم وسیله اعتبار آمده زیاده از توقع و چشم داشت خود مورد تفقد شاهانه ... گشته». در بخش مربوط به احوال فتحعلی شاه چندین برگ و در بخش محمد شاه یک برگ که برگ پایانی است نانوشته رها شده و چون عنوان مطالب در بالای برگهای یاد شده وجود دارد پیدا است که نویسنده قصد ادامه مطالب را  داشته است.</w:t>
      </w:r>
    </w:p>
    <w:p>
      <w:pPr>
        <w:pStyle w:val="BookText"/>
      </w:pPr>
      <w:r>
        <w:rPr>
          <w:rFonts w:ascii="IRNazanin" w:hAnsi="IRNazanin" w:eastAsia="IRNazanin" w:cs="IRNazanin"/>
          <w:lang w:bidi="fa-IR"/>
          <w:color w:val="111111"/>
          <w:sz w:val="28"/>
          <w:szCs w:val="28"/>
          <w:rtl/>
        </w:rPr>
        <w:t xml:space="preserve">[الذريعة ۷:۲۱۶؛ منزوی ۴۱۰۷:۶ ]</w:t>
      </w:r>
    </w:p>
    <w:p>
      <w:pPr>
        <w:pStyle w:val="BookText"/>
      </w:pPr>
      <w:r>
        <w:rPr>
          <w:rFonts w:ascii="IRNazanin" w:hAnsi="IRNazanin" w:eastAsia="IRNazanin" w:cs="IRNazanin"/>
          <w:lang w:bidi="fa-IR"/>
          <w:color w:val="111111"/>
          <w:sz w:val="28"/>
          <w:szCs w:val="28"/>
          <w:rtl/>
        </w:rPr>
        <w:t xml:space="preserve">تهران؛ مجلس؛ شماره نسخه:۵۳۰-طباطبائی</w:t>
      </w:r>
    </w:p>
    <w:p>
      <w:pPr>
        <w:pStyle w:val="BookText"/>
      </w:pPr>
      <w:r>
        <w:rPr>
          <w:rFonts w:ascii="IRNazanin" w:hAnsi="IRNazanin" w:eastAsia="IRNazanin" w:cs="IRNazanin"/>
          <w:lang w:bidi="fa-IR"/>
          <w:color w:val="111111"/>
          <w:sz w:val="28"/>
          <w:szCs w:val="28"/>
          <w:rtl/>
        </w:rPr>
        <w:t xml:space="preserve">آغاز: تاریخ پادشاهان عجم که در ملک ایران سلطنت کرده اند؛ انجام: توضیح این مقال على سبيل الايجاز و الاجمال آنکه چون مرحوم فتح علیشاه در سنه ۱۲۴۹ بعزم سفر اصفهان از دارالخلافه نهضت و وارد اصفهان خط: نستعلیق شکسته تحریری، بی کا، تا: قرن ۱۳؛ افتادگی: انجام؛ در حاشیه صفحه ۱۶۰، یادداشت مغرضانه ای در باب امیر کبیر و پایان کار او دیده می شود؛ کاغذ: فرنگی، جلد: تیماج قرمز، ۸۲گ،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۳۱/۵سم</w:t>
      </w:r>
    </w:p>
    <w:p>
      <w:pPr>
        <w:pStyle w:val="BookText"/>
      </w:pPr>
      <w:r>
        <w:rPr>
          <w:rFonts w:ascii="IRNazanin" w:hAnsi="IRNazanin" w:eastAsia="IRNazanin" w:cs="IRNazanin"/>
          <w:lang w:bidi="fa-IR"/>
          <w:color w:val="111111"/>
          <w:sz w:val="28"/>
          <w:szCs w:val="28"/>
          <w:rtl/>
        </w:rPr>
        <w:t xml:space="preserve">[ف: ۲۴-۳۴۳]</w:t>
      </w:r>
    </w:p>
    <w:p>
      <w:pPr>
        <w:pStyle w:val="Heading3"/>
      </w:pPr>
      <w:bookmarkStart w:id="2383" w:name="_Toc1643"/>
      <w:r>
        <w:t>•تاریخ سیاقی = سياق التواریخ = تاریخ پادشاهان ایران - تاریخ پادشاهان عجم = تاریخ مجدول = تاریخ سنواتی = مجمل التواریخ = تاریخ تقویمی = تقويم التواریخ / تاریخ ایران / فارسی</w:t>
      </w:r>
      <w:bookmarkEnd w:id="2383"/>
    </w:p>
    <w:p>
      <w:pPr>
        <w:pStyle w:val="BookText"/>
      </w:pPr>
      <w:r>
        <w:rPr>
          <w:rFonts w:ascii="Times New Roman" w:hAnsi="Times New Roman" w:eastAsia="Times New Roman" w:cs="Times New Roman"/>
          <w:lang w:val="en-US" w:bidi="en-US"/>
          <w:color w:val="111111"/>
          <w:sz w:val="28"/>
          <w:szCs w:val="28"/>
          <w:rtl/>
        </w:rPr>
        <w:t xml:space="preserve">tārīx-e sīyāqi = sīyāq-ot tavārīx = tārīx-e pādešāhān īrān = tārīx-e pādešāhān-e ‘ajam = tārīx-e mojadval = tārīx-e sanavātī= mojmal-ot tavārīx = tārīx-e taqvīmī=</w:t>
      </w:r>
    </w:p>
    <w:p>
      <w:pPr>
        <w:pStyle w:val="BookText"/>
      </w:pPr>
      <w:r>
        <w:rPr>
          <w:rFonts w:ascii="Times New Roman" w:hAnsi="Times New Roman" w:eastAsia="Times New Roman" w:cs="Times New Roman"/>
          <w:lang w:val="en-US" w:bidi="en-US"/>
          <w:color w:val="111111"/>
          <w:sz w:val="28"/>
          <w:szCs w:val="28"/>
          <w:rtl/>
        </w:rPr>
        <w:t xml:space="preserve">taqvīm-ot tavārīx</w:t>
      </w:r>
    </w:p>
    <w:p>
      <w:pPr>
        <w:pStyle w:val="BookText"/>
      </w:pPr>
      <w:r>
        <w:rPr>
          <w:rFonts w:ascii="IRNazanin" w:hAnsi="IRNazanin" w:eastAsia="IRNazanin" w:cs="IRNazanin"/>
          <w:lang w:bidi="fa-IR"/>
          <w:color w:val="111111"/>
          <w:sz w:val="28"/>
          <w:szCs w:val="28"/>
          <w:rtl/>
        </w:rPr>
        <w:t xml:space="preserve">نسخه های این کتاب متفاوت است و نام های آن نیز متفاوت ثبت شده و شاید تحریرهای گوناگون باشند از نگارندگان مختلف. تاریخ کوتاهی است از ابتدای آفرینش تا روزگار گردآورندگان. مؤلف تصمیم گرفته حالات و مدت سلطنت هر یک از پادشاهانی را که بر ایران حکمرانی کرده و آثاری خیری به یادگار گذاشته اند به طریق سیاق به رشته تحریر در آورد. نسخه ای از آن به عنوان تاریخ پادشاهان عجم که از کیومرث آغاز شده و تا پایان روزگار فتحعلی شاه قاجار به انجام رسیده، در سال ۱۲۶۲ ق در تهران به چاپ رسیده است. آغاز: ۱. بسمله، تاریخ پادشاهان عجم و غیره که در ملک ایران سلطنت کرده اند در ذکر پادشاهانی که قبل از ظهور اسلام سلطنت کرده اند ٢. کیومرث اول پیشدادیان است و آن پادشاهی را در جهان گذاشت قبل از او هیچیک از فرزندان آدم(عليه السلام)بر مسند سلطنت متمکن نشده بودند</w:t>
      </w:r>
    </w:p>
    <w:p>
      <w:pPr>
        <w:pStyle w:val="BookText"/>
      </w:pPr>
      <w:r>
        <w:rPr>
          <w:rFonts w:ascii="IRNazanin" w:hAnsi="IRNazanin" w:eastAsia="IRNazanin" w:cs="IRNazanin"/>
          <w:lang w:bidi="fa-IR"/>
          <w:color w:val="111111"/>
          <w:sz w:val="28"/>
          <w:szCs w:val="28"/>
          <w:rtl/>
        </w:rPr>
        <w:t xml:space="preserve">[دنا ۷۱۴/۲ (۶۸ نسخه)؛ فهرستواره منزوی ۸۵۴/۲ و ۸۷۳-۸۷۴؛ کشف الظنون ۴۷۳/۱ ؛ الذریعه ۷۰/۶ و ۱۹۲ و ۲۰۲ و ۲۱۴]</w:t>
      </w:r>
    </w:p>
    <w:p>
      <w:pPr>
        <w:pStyle w:val="BookText"/>
      </w:pPr>
      <w:r>
        <w:rPr>
          <w:rFonts w:ascii="IRNazanin" w:hAnsi="IRNazanin" w:eastAsia="IRNazanin" w:cs="IRNazanin"/>
          <w:lang w:bidi="fa-IR"/>
          <w:color w:val="111111"/>
          <w:sz w:val="28"/>
          <w:szCs w:val="28"/>
          <w:rtl/>
        </w:rPr>
        <w:t xml:space="preserve">۱. قم؛ مرعشی؛ شماره نسخه:۴۴۲۸</w:t>
      </w:r>
    </w:p>
    <w:p>
      <w:pPr>
        <w:pStyle w:val="BookText"/>
      </w:pPr>
      <w:r>
        <w:rPr>
          <w:rFonts w:ascii="IRNazanin" w:hAnsi="IRNazanin" w:eastAsia="IRNazanin" w:cs="IRNazanin"/>
          <w:lang w:bidi="fa-IR"/>
          <w:color w:val="111111"/>
          <w:sz w:val="28"/>
          <w:szCs w:val="28"/>
          <w:rtl/>
        </w:rPr>
        <w:t xml:space="preserve">از پیش از سلام تا عصر محمد شاه قاجار؛ خط: نستعلیق، کاتب = مؤلف (ظاهرة)، بی تا، جلد: تیماج مشکی، ۱۰۶گ، مختلف السطر،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۱۲-۲۵]</w:t>
      </w:r>
    </w:p>
    <w:p>
      <w:pPr>
        <w:pStyle w:val="BookText"/>
      </w:pPr>
      <w:r>
        <w:rPr>
          <w:rFonts w:ascii="IRNazanin" w:hAnsi="IRNazanin" w:eastAsia="IRNazanin" w:cs="IRNazanin"/>
          <w:lang w:bidi="fa-IR"/>
          <w:color w:val="111111"/>
          <w:sz w:val="28"/>
          <w:szCs w:val="28"/>
          <w:rtl/>
        </w:rPr>
        <w:t xml:space="preserve">۲. تهران: ملی؛ شماره نسخه: ۵۶/۱</w:t>
      </w:r>
    </w:p>
    <w:p>
      <w:pPr>
        <w:pStyle w:val="BookText"/>
      </w:pPr>
      <w:r>
        <w:rPr>
          <w:rFonts w:ascii="IRNazanin" w:hAnsi="IRNazanin" w:eastAsia="IRNazanin" w:cs="IRNazanin"/>
          <w:lang w:bidi="fa-IR"/>
          <w:color w:val="111111"/>
          <w:sz w:val="28"/>
          <w:szCs w:val="28"/>
          <w:rtl/>
        </w:rPr>
        <w:t xml:space="preserve">آغاز: بسمله، مجمل التاريخ پادشاهان عجم که در ملک ایران سلطنت کرده اند از ابتداء سلطنت کیومرث که بعضی او را آدم عليه السلام؛ انجام: يونت ئیل ۱۰۵۱ نواب همیون بعزم يورش قندهار از اصفهان بیرون آمده در دار المؤمنین کاشان مریض و در شب چهارشنبه ۱۸ شهر صفر بعالم جاودانی انتقال نمود. انا لله و انا اليه الراجعون (=راجعون) مدت سلطنت او سیزده عام و ششماه بود مشتمل بر وقایع تاریخی عالم از عهد کیومرث تا سال ۱۰۵۱ق است. مطالب بسیار مختصر و فهرست وار آمده و در ذکر حوادث فقط قناعت به نام حوادث و تاریخ آن شده است. در ذکر حوادث تاریخی ما قبل اسلام ایران تکیه بر شاهنامه و تاریخ گزیده گردیده و از مطالعه کتاب برمی آید که مؤلف آن مذهب شیعه داشته است؛ خط: نستعلیق خوش، بی کا، تا: ۱۰۹۱ق، جا: اصفهان؛ آخر نسخه: «مجمل التاريخ که متضمن حصول علم بر تعداد و افراد پادشاهان عجم است و سیاق کیفیت آن موافق صيغ علم سیاق وضع و در موازی (کلمه ای لا یقرء) حسب الفرموده عالی حضر [؟] میرزائی از روی افراد مذکور نقل شد که بقرينه فصول علم آن معلوم و وصول بادراک لذت اخبار ماضيه مفهوم گردد. بتاریخ شهر ربيع الاول ۱۰۹۱ مرقوم قلم شکسته رقم اقل عباد الله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الغنی میرزا محمد الحسینی البروجردی گردید»؛ مجدول؛ کاغذ: دولت آبادی، ۶۸، ۱۷ سطر ، اندازه: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۱-۴۲]</w:t>
      </w:r>
    </w:p>
    <w:p>
      <w:pPr>
        <w:pStyle w:val="BookText"/>
      </w:pPr>
      <w:r>
        <w:rPr>
          <w:rFonts w:ascii="IRNazanin" w:hAnsi="IRNazanin" w:eastAsia="IRNazanin" w:cs="IRNazanin"/>
          <w:lang w:bidi="fa-IR"/>
          <w:color w:val="111111"/>
          <w:sz w:val="28"/>
          <w:szCs w:val="28"/>
          <w:rtl/>
        </w:rPr>
        <w:t xml:space="preserve">٣. تهران: ملی؛ شماره نسخه: ۲۰۸۷/۱</w:t>
      </w:r>
    </w:p>
    <w:p>
      <w:pPr>
        <w:pStyle w:val="BookText"/>
      </w:pPr>
      <w:r>
        <w:rPr>
          <w:rFonts w:ascii="IRNazanin" w:hAnsi="IRNazanin" w:eastAsia="IRNazanin" w:cs="IRNazanin"/>
          <w:lang w:bidi="fa-IR"/>
          <w:color w:val="111111"/>
          <w:sz w:val="28"/>
          <w:szCs w:val="28"/>
          <w:rtl/>
        </w:rPr>
        <w:t xml:space="preserve">آغاز: بسمله و به نستعين، حمد و ثنائی که غایتی مراورا نیست بر پروردگاری؛ انجام: هرگاه مطالعه آن نمائی احوال سلف ... بر تو واضح ولايح خواهد شد و الحمدلله رب العالمين در بلده طيبه اجمیر در سنه ۱۰۹۱ هجری مطابق سنه ۲۴ جلوس میمنت مأنوس اورنگ زیب پادشاه در هنگامی که لشکر بر سر رایا کشیده بود فراهم آورنده این کتاب به سال ۱۰۷۵ق وارد بغداد شده در آنجا کتابی مختصر در تاریخ از یکی از نویسندگان استانبول می بیند که</w:t>
      </w:r>
    </w:p>
    <w:p>
      <w:pPr>
        <w:pStyle w:val="BookText"/>
      </w:pPr>
      <w:r>
        <w:rPr>
          <w:rFonts w:ascii="IRNazanin" w:hAnsi="IRNazanin" w:eastAsia="IRNazanin" w:cs="IRNazanin"/>
          <w:lang w:bidi="fa-IR"/>
          <w:color w:val="111111"/>
          <w:sz w:val="28"/>
          <w:szCs w:val="28"/>
          <w:rtl/>
        </w:rPr>
        <w:t xml:space="preserve">او وقایع عالم را از هبوط آدم تا سال ۱۰۶۰ق على التوالی به شکل تقویم ضبط کرده است بر آن می شود که آن را در ابتداء از ترکی به عربی ترجمه و سپس به فارسی برگرداند تا منفعت آن هم عرب را در بر گیرد هم عجم را، نام مترجم در متن نیامده ولی در صفحه ۱۱۴ از شخصی به نام ایگنجی خلیفه ملقب به مصطفی نام برده می شود که خود را مسود این اوراق معرفی می کند ظاهرا این شخص بایستی نویسنده فهرست ها و جدول باشد. در آخر کتاب محل تسوید را بلده اجمیر و سال آنرا ۱۰۹۱ق می آورد باری در این کتاب حوادث فهرست وار آمده و دنباله حوادث از ۱۰۶۰ تا ۱۰۹۱ نیز از آن مترجم باید باشد؛ خط: نسخ، كا: محمد سعید قاجار آغچه قوينلو، تا: محتملا قرن ۱۲، جا: قلعه ایروان؛ کاغذ: فرنگی،</w:t>
      </w:r>
    </w:p>
    <w:p>
      <w:pPr>
        <w:pStyle w:val="BookText"/>
      </w:pPr>
      <w:r>
        <w:rPr>
          <w:rFonts w:ascii="IRNazanin" w:hAnsi="IRNazanin" w:eastAsia="IRNazanin" w:cs="IRNazanin"/>
          <w:lang w:bidi="fa-IR"/>
          <w:color w:val="111111"/>
          <w:sz w:val="28"/>
          <w:szCs w:val="28"/>
          <w:rtl/>
        </w:rPr>
        <w:t xml:space="preserve">جلد: تیماج قرمز مقوایی، ۱۱۴، ۳۵ سطر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۲۳/۵ )، اندازه: 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۵-۹۹]</w:t>
      </w:r>
    </w:p>
    <w:p>
      <w:pPr>
        <w:pStyle w:val="BookText"/>
      </w:pPr>
      <w:r>
        <w:rPr>
          <w:rFonts w:ascii="IRNazanin" w:hAnsi="IRNazanin" w:eastAsia="IRNazanin" w:cs="IRNazanin"/>
          <w:lang w:bidi="fa-IR"/>
          <w:color w:val="111111"/>
          <w:sz w:val="28"/>
          <w:szCs w:val="28"/>
          <w:rtl/>
        </w:rPr>
        <w:t xml:space="preserve">۴. تهران؛ ملی؛ شماره نسخه:۲۷۸۹</w:t>
      </w:r>
    </w:p>
    <w:p>
      <w:pPr>
        <w:pStyle w:val="BookText"/>
      </w:pPr>
      <w:r>
        <w:rPr>
          <w:rFonts w:ascii="IRNazanin" w:hAnsi="IRNazanin" w:eastAsia="IRNazanin" w:cs="IRNazanin"/>
          <w:lang w:bidi="fa-IR"/>
          <w:color w:val="111111"/>
          <w:sz w:val="28"/>
          <w:szCs w:val="28"/>
          <w:rtl/>
        </w:rPr>
        <w:t xml:space="preserve">آغاز: تشخیص فراسخ عالم نقل است از سلمان فارسی عليه الرحمه که حضرت امیر المومنین؛ انجام: بتاريخ شب چهارشنبه هجدهم شهر صفر بعالم بقا و جنت المأوی و فردوس اعلى انتقال فرمودند انالله و انا اليه راجعون در این نسخه یک دوره تاریخ ایران از کیومرث تا حوادث ۱۰۵۱ ق آمده است. طرز تحریر مطالب چون نگارش سياق است؛ خط:</w:t>
      </w:r>
    </w:p>
    <w:p>
      <w:pPr>
        <w:pStyle w:val="BookText"/>
      </w:pPr>
      <w:r>
        <w:rPr>
          <w:rFonts w:ascii="IRNazanin" w:hAnsi="IRNazanin" w:eastAsia="IRNazanin" w:cs="IRNazanin"/>
          <w:lang w:bidi="fa-IR"/>
          <w:color w:val="111111"/>
          <w:sz w:val="28"/>
          <w:szCs w:val="28"/>
          <w:rtl/>
        </w:rPr>
        <w:t xml:space="preserve">نستعلیق، بی کا، تا: محتملا قرن ۱۲؛ کاغذ: فرنگی، جلد: تیماج</w:t>
      </w:r>
    </w:p>
    <w:p>
      <w:pPr>
        <w:pStyle w:val="BookText"/>
      </w:pPr>
      <w:r>
        <w:rPr>
          <w:rFonts w:ascii="IRNazanin" w:hAnsi="IRNazanin" w:eastAsia="IRNazanin" w:cs="IRNazanin"/>
          <w:lang w:bidi="fa-IR"/>
          <w:color w:val="111111"/>
          <w:sz w:val="28"/>
          <w:szCs w:val="28"/>
          <w:rtl/>
        </w:rPr>
        <w:t xml:space="preserve">مقوایی تریاکی ضربی، ۴۳گ، ۳۰ سطر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 اندازه: ۲۷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۶-۴۱۰]</w:t>
      </w:r>
    </w:p>
    <w:p>
      <w:pPr>
        <w:pStyle w:val="BookText"/>
      </w:pPr>
      <w:r>
        <w:rPr>
          <w:rFonts w:ascii="IRNazanin" w:hAnsi="IRNazanin" w:eastAsia="IRNazanin" w:cs="IRNazanin"/>
          <w:lang w:bidi="fa-IR"/>
          <w:color w:val="111111"/>
          <w:sz w:val="28"/>
          <w:szCs w:val="28"/>
          <w:rtl/>
        </w:rPr>
        <w:t xml:space="preserve">۵. تهران؛ ملی؛ شماره نسخه:۲۸۴۶</w:t>
      </w:r>
    </w:p>
    <w:p>
      <w:pPr>
        <w:pStyle w:val="BookText"/>
      </w:pPr>
      <w:r>
        <w:rPr>
          <w:rFonts w:ascii="IRNazanin" w:hAnsi="IRNazanin" w:eastAsia="IRNazanin" w:cs="IRNazanin"/>
          <w:lang w:bidi="fa-IR"/>
          <w:color w:val="111111"/>
          <w:sz w:val="28"/>
          <w:szCs w:val="28"/>
          <w:rtl/>
        </w:rPr>
        <w:t xml:space="preserve">آغاز: برابر ۱؛ انجام: و از سراسب بزیر آمده او را گرفته نزد آقا محمد خان بردند اولا کور و آخر بقتل رسید. به صورت مختصر و بر طريق سياق نویسان تنظیم یافته یک دوره تاریخ داستانی و باستانی ایران را از کیومرث تا اوضاع ایران بعد از لطفعلی خان زند را آورده است. آن به ابتدا در یک صفحه فهرست و از خلفای سلسله آل عثمان را از عثمان اول تا سلطان عبدالمجید خان پسر سلطان محمود خان که سی و یک تن بوده اند بر شمارد و مدت عمر و سلطنت و تاریخ ولادت و جلوس آنها را ذکر می کند و سپس به تاریخ می پردازد؛ خط: نستعلیق، بی کا، تا: قرن ۱۲، کاغذ: فرنگی الوان، جلد: تیماج مشکی، ۶۳گ، ۳۵ سطر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۶-۴۹۷]</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دانشگاه؛ شماره نسخه:۸۵۱۷</w:t>
      </w:r>
    </w:p>
    <w:p>
      <w:pPr>
        <w:pStyle w:val="BookText"/>
      </w:pPr>
      <w:r>
        <w:rPr>
          <w:rFonts w:ascii="IRNazanin" w:hAnsi="IRNazanin" w:eastAsia="IRNazanin" w:cs="IRNazanin"/>
          <w:lang w:bidi="fa-IR"/>
          <w:color w:val="111111"/>
          <w:sz w:val="28"/>
          <w:szCs w:val="28"/>
          <w:rtl/>
        </w:rPr>
        <w:t xml:space="preserve">می رسد تا سال ۹۴۰خط: نستعلیق سیاق، بی کا، تا: قرن ۱۲؛ کاغذ: فرنگی، جلد: تیماج سرخ، ۳۵گ، ۲۲ سطر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۱۷-۱۵۱]</w:t>
      </w:r>
    </w:p>
    <w:p>
      <w:pPr>
        <w:pStyle w:val="BookText"/>
      </w:pPr>
      <w:r>
        <w:rPr>
          <w:rFonts w:ascii="IRNazanin" w:hAnsi="IRNazanin" w:eastAsia="IRNazanin" w:cs="IRNazanin"/>
          <w:lang w:bidi="fa-IR"/>
          <w:color w:val="111111"/>
          <w:sz w:val="28"/>
          <w:szCs w:val="28"/>
          <w:rtl/>
        </w:rPr>
        <w:t xml:space="preserve">٧. اصفهان؛ دانشگاه؛ شماره نسخه: ۳۹</w:t>
      </w:r>
    </w:p>
    <w:p>
      <w:pPr>
        <w:pStyle w:val="BookText"/>
      </w:pPr>
      <w:r>
        <w:rPr>
          <w:rFonts w:ascii="IRNazanin" w:hAnsi="IRNazanin" w:eastAsia="IRNazanin" w:cs="IRNazanin"/>
          <w:lang w:bidi="fa-IR"/>
          <w:color w:val="111111"/>
          <w:sz w:val="28"/>
          <w:szCs w:val="28"/>
          <w:rtl/>
        </w:rPr>
        <w:t xml:space="preserve">خط: نستعلیق، بی کا، تا: قرن ۱۲، کاغذ: فرنگی نشریه: ۱۱-۹۰۲]</w:t>
      </w:r>
    </w:p>
    <w:p>
      <w:pPr>
        <w:pStyle w:val="BookText"/>
      </w:pPr>
      <w:r>
        <w:rPr>
          <w:rFonts w:ascii="IRNazanin" w:hAnsi="IRNazanin" w:eastAsia="IRNazanin" w:cs="IRNazanin"/>
          <w:lang w:bidi="fa-IR"/>
          <w:color w:val="111111"/>
          <w:sz w:val="28"/>
          <w:szCs w:val="28"/>
          <w:rtl/>
        </w:rPr>
        <w:t xml:space="preserve">۸. تهران؛ ملی؛ شماره نسخه:۲۱۴۳</w:t>
      </w:r>
    </w:p>
    <w:p>
      <w:pPr>
        <w:pStyle w:val="BookText"/>
      </w:pPr>
      <w:r>
        <w:rPr>
          <w:rFonts w:ascii="IRNazanin" w:hAnsi="IRNazanin" w:eastAsia="IRNazanin" w:cs="IRNazanin"/>
          <w:lang w:bidi="fa-IR"/>
          <w:color w:val="111111"/>
          <w:sz w:val="28"/>
          <w:szCs w:val="28"/>
          <w:rtl/>
        </w:rPr>
        <w:t xml:space="preserve">آغاز: زمان هبوط آدم الى هجرت پیغمبر صلی الله عليه و اله که بحسب احادیث؛ انجام: جزیره خارک ۵۶، جزیره الان ۸ جزیره، ایروال ۷، جزیره قیش 7 از هبوط آدم تا وقایع سال ۱۱۷۸ق را شامل است و علاوه بر آن در خاتمه نیز یک دوره جغرافیای سیاسی شهرهای ایران را آن هم به صورت سیاقی واجد است؛ خط: شکسته نستعلیق، بی کا، تا: محتملا قرن ۱۲؛ کاغذ: فرنگی، جلد: تیماج تریاکی، ۱۷۸گ، ۲۸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۲۰سم [ف: ۵-۱۹۷]</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مشهد؛ گوهرشاد؛ شماره نسخه:۶۰۷</w:t>
      </w:r>
    </w:p>
    <w:p>
      <w:pPr>
        <w:pStyle w:val="BookText"/>
      </w:pPr>
      <w:r>
        <w:rPr>
          <w:rFonts w:ascii="IRNazanin" w:hAnsi="IRNazanin" w:eastAsia="IRNazanin" w:cs="IRNazanin"/>
          <w:lang w:bidi="fa-IR"/>
          <w:color w:val="111111"/>
          <w:sz w:val="28"/>
          <w:szCs w:val="28"/>
          <w:rtl/>
        </w:rPr>
        <w:t xml:space="preserve">آغاز: برابر ۱ از پادشاهی کیومرث نخستین شاه پیشدادی تا فتحعلی شاه قاجار، و در بخش تاریخ سلاطین ایران بعد از اسلام پس از یزدگرد به احوال خاتم پیامبران و خلفای راشدین و امامان دوازده گانه شیعه و خلفای اموی و عباسی نیز پرداخته پس از آن به سلاطین ایران؛ خط شکسته نستعلیق، بی کا، تا: قرن ۱۳؛ افتادگی: انجام؛ مهر: حاج سعید کاغذ: فرنگی، جلد: مشمع لاجوردی عطف پارچه</w:t>
      </w:r>
    </w:p>
    <w:p>
      <w:pPr>
        <w:pStyle w:val="BookText"/>
      </w:pPr>
      <w:r>
        <w:rPr>
          <w:rFonts w:ascii="IRNazanin" w:hAnsi="IRNazanin" w:eastAsia="IRNazanin" w:cs="IRNazanin"/>
          <w:lang w:bidi="fa-IR"/>
          <w:color w:val="111111"/>
          <w:sz w:val="28"/>
          <w:szCs w:val="28"/>
          <w:rtl/>
        </w:rPr>
        <w:t xml:space="preserve">سرخ، ۹۰گ،۱۸ سطر (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۲-۷۲۴]</w:t>
      </w:r>
    </w:p>
    <w:p>
      <w:pPr>
        <w:pStyle w:val="BookText"/>
      </w:pPr>
      <w:r>
        <w:rPr>
          <w:rFonts w:ascii="IRNazanin" w:hAnsi="IRNazanin" w:eastAsia="IRNazanin" w:cs="IRNazanin"/>
          <w:lang w:bidi="fa-IR"/>
          <w:color w:val="111111"/>
          <w:sz w:val="28"/>
          <w:szCs w:val="28"/>
          <w:rtl/>
        </w:rPr>
        <w:t xml:space="preserve">۱۰. مشهد؛ رضوی؛ شماره نسخه:۴۲۴۵</w:t>
      </w:r>
    </w:p>
    <w:p>
      <w:pPr>
        <w:pStyle w:val="BookText"/>
      </w:pPr>
      <w:r>
        <w:rPr>
          <w:rFonts w:ascii="IRNazanin" w:hAnsi="IRNazanin" w:eastAsia="IRNazanin" w:cs="IRNazanin"/>
          <w:lang w:bidi="fa-IR"/>
          <w:color w:val="111111"/>
          <w:sz w:val="28"/>
          <w:szCs w:val="28"/>
          <w:rtl/>
        </w:rPr>
        <w:t xml:space="preserve">آغاز: برابر ۱؛ انجام: او را گرفته نزد آقا محمد خان بردند، اولا کور و آخر بقتل رسید، مدت حکومت در شیراز دو عام. از پیشدادیان تا قاجاریه، و چون فاقد مقدمه است مؤلف آن معلوم نیست ولی با اینکه بر صدر تمام صفحات نوشته شده است: «تاریخ پادشاهان عجم که در ملک ایران سلطنت کرده اند» بعد از یزدگرد بن خسرو پرویز احوال خاتم الانبياء و خلفای راشدین و ائمه اثنا عشر و خلفای اموی و عباسی نیز در آن مسطورست؛ خط: شکسته نستعلیق، بی کا، تا: قرن ۱۳؛ نسخه ما تا احوال مصطفی خان بن جعفر خان زند بیشتر ندارد و صفحه آخر آن که خلاصه ای است از احوال قاجاریه تا ذکر سلطنت ناصرالدین شاه مربوط به اصل نسخه نیست و الحاقی است؛ واقف: نایینی؛ کاغذ: سفید آهار مهره، جلد: تیماج مشکی ضربی، ۶۲گ، مختلف السطر، اندازه: ۱۵/۵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۷-۱۲۶]</w:t>
      </w:r>
    </w:p>
    <w:p>
      <w:pPr>
        <w:pStyle w:val="BookText"/>
      </w:pPr>
      <w:r>
        <w:rPr>
          <w:rFonts w:ascii="IRNazanin" w:hAnsi="IRNazanin" w:eastAsia="IRNazanin" w:cs="IRNazanin"/>
          <w:lang w:bidi="fa-IR"/>
          <w:color w:val="111111"/>
          <w:sz w:val="28"/>
          <w:szCs w:val="28"/>
          <w:rtl/>
        </w:rPr>
        <w:t xml:space="preserve">۱۱. تهران؛ ملک؛ شماره نسخه: ۳۸۰۱/۲</w:t>
      </w:r>
    </w:p>
    <w:p>
      <w:pPr>
        <w:pStyle w:val="BookText"/>
      </w:pPr>
      <w:r>
        <w:rPr>
          <w:rFonts w:ascii="IRNazanin" w:hAnsi="IRNazanin" w:eastAsia="IRNazanin" w:cs="IRNazanin"/>
          <w:lang w:bidi="fa-IR"/>
          <w:color w:val="111111"/>
          <w:sz w:val="28"/>
          <w:szCs w:val="28"/>
          <w:rtl/>
        </w:rPr>
        <w:t xml:space="preserve">فهرست اسامی و مدت عمر انبیاء و ائمه و سلاطين عجم به صورت جدول تا ناصرالدین شاه قاجار؛ بی کا، تا: قرن ۱۳ کاغذ: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آهار مهره فرنگی، جلد: میشن آلبالویی سبز، ۹ سطر، اندازه: ۲۱/۸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۱۴/۳ سم [ف: ۷-۴۹] ۱۲. اردکان یزد؛ امام صادق؛ شماره نسخه:۱۲۳</w:t>
      </w:r>
    </w:p>
    <w:p>
      <w:pPr>
        <w:pStyle w:val="BookText"/>
      </w:pPr>
      <w:r>
        <w:rPr>
          <w:rFonts w:ascii="IRNazanin" w:hAnsi="IRNazanin" w:eastAsia="IRNazanin" w:cs="IRNazanin"/>
          <w:lang w:bidi="fa-IR"/>
          <w:color w:val="111111"/>
          <w:sz w:val="28"/>
          <w:szCs w:val="28"/>
          <w:rtl/>
        </w:rPr>
        <w:t xml:space="preserve">خط: نستعلیق، بی کا، تا: قرن ۱۳؛ در دو برگ آغازین نام کتاب مجمع التواریخ آمده؛ تملک: «حاجی ابوطالب» به سال ۱۲۷۰، مهدی بن ابو طالب اردکانی»، «محمد حسین بن حاجی عیسی اردکانی»؛ تاریخ تولدی به سال ۱۳۲۳ به خط على بن ابو طالب؛ جلد: تیماج قهوه ای سوخته، ۸۷گ، مختلف السطر، اندازه: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 سم [ف: ۱-۱۱۱]</w:t>
      </w:r>
    </w:p>
    <w:p>
      <w:pPr>
        <w:pStyle w:val="BookText"/>
      </w:pPr>
      <w:r>
        <w:rPr>
          <w:rFonts w:ascii="IRNazanin" w:hAnsi="IRNazanin" w:eastAsia="IRNazanin" w:cs="IRNazanin"/>
          <w:lang w:bidi="fa-IR"/>
          <w:color w:val="111111"/>
          <w:sz w:val="28"/>
          <w:szCs w:val="28"/>
          <w:rtl/>
        </w:rPr>
        <w:t xml:space="preserve">۱۳. تهران؛ ملی؛ شماره نسخه:۱۱۱۸</w:t>
      </w:r>
    </w:p>
    <w:p>
      <w:pPr>
        <w:pStyle w:val="BookText"/>
      </w:pPr>
      <w:r>
        <w:rPr>
          <w:rFonts w:ascii="IRNazanin" w:hAnsi="IRNazanin" w:eastAsia="IRNazanin" w:cs="IRNazanin"/>
          <w:lang w:bidi="fa-IR"/>
          <w:color w:val="111111"/>
          <w:sz w:val="28"/>
          <w:szCs w:val="28"/>
          <w:rtl/>
        </w:rPr>
        <w:t xml:space="preserve">آغاز: برابر ۱؛ انجام: دبیر خاقان قاجار را مأمور بمجادله مصطفی خان شیروانی نموده و معاودت بر تبریز نمود. از زمان کیومرث تا وقایع اوایل دوران سلطنت فتحعلی شاه می باشد، نویسنده در این کتاب وقایع را بصورت حسابهایی که در دفتر داری قدیم برای مخارج تهیه می کنند در آورده و در آن هر حادثه ای را شرح داده است علاوه بر تاریخ ایران این کتاب تاریخ خلفای اموی و عباسی را نیز شامل است؛ خط: شکسته نستعلیق، بی کا، تا: قرن ۱۳؛ مجدول؛ کاغذ: فرنگی، جلد: تیماج سبز، ۱۰۲گ، ۲۴ سطر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سم [ف: ۳-۱۳۸]</w:t>
      </w:r>
    </w:p>
    <w:p>
      <w:pPr>
        <w:pStyle w:val="BookText"/>
      </w:pPr>
      <w:r>
        <w:rPr>
          <w:rFonts w:ascii="IRNazanin" w:hAnsi="IRNazanin" w:eastAsia="IRNazanin" w:cs="IRNazanin"/>
          <w:lang w:bidi="fa-IR"/>
          <w:color w:val="111111"/>
          <w:sz w:val="28"/>
          <w:szCs w:val="28"/>
          <w:rtl/>
        </w:rPr>
        <w:t xml:space="preserve">۱۴. تهران؛ ملی؛ شماره نسخه:۱۳۶۹</w:t>
      </w:r>
    </w:p>
    <w:p>
      <w:pPr>
        <w:pStyle w:val="BookText"/>
      </w:pPr>
      <w:r>
        <w:rPr>
          <w:rFonts w:ascii="IRNazanin" w:hAnsi="IRNazanin" w:eastAsia="IRNazanin" w:cs="IRNazanin"/>
          <w:lang w:bidi="fa-IR"/>
          <w:color w:val="111111"/>
          <w:sz w:val="28"/>
          <w:szCs w:val="28"/>
          <w:rtl/>
        </w:rPr>
        <w:t xml:space="preserve">آغاز: تاریخ پادشاهان عجم که در ملک ایران سلطنت کرده اند از ابتدای سلطنت؛ انجام: تتمه سلاطين قاجار الاجل الاعطم الاكرم محمد شاه قاجار حفظه الله. خط: شکسته نستعلیق، بی کا، تا: قرن ۱۳؛ مجدول؛ کاغذ: فرنگی، جلد: تیماج قرمز، ۹۶گ، ۲۸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۳-۴۲۸]</w:t>
      </w:r>
    </w:p>
    <w:p>
      <w:pPr>
        <w:pStyle w:val="BookText"/>
      </w:pPr>
      <w:r>
        <w:rPr>
          <w:rFonts w:ascii="IRNazanin" w:hAnsi="IRNazanin" w:eastAsia="IRNazanin" w:cs="IRNazanin"/>
          <w:lang w:bidi="fa-IR"/>
          <w:color w:val="111111"/>
          <w:sz w:val="28"/>
          <w:szCs w:val="28"/>
          <w:rtl/>
        </w:rPr>
        <w:t xml:space="preserve">۱۵. قم؛ مرکز احیاء؛ شماره نسخه:۸۶۶</w:t>
      </w:r>
    </w:p>
    <w:p>
      <w:pPr>
        <w:pStyle w:val="BookText"/>
      </w:pPr>
      <w:r>
        <w:rPr>
          <w:rFonts w:ascii="IRNazanin" w:hAnsi="IRNazanin" w:eastAsia="IRNazanin" w:cs="IRNazanin"/>
          <w:lang w:bidi="fa-IR"/>
          <w:color w:val="111111"/>
          <w:sz w:val="28"/>
          <w:szCs w:val="28"/>
          <w:rtl/>
        </w:rPr>
        <w:t xml:space="preserve">آغاز: تاریخ پادشاهان عجم که در ملک ایران سلطنت کرده اند به خاطر سرگردان وادی نادانی مرتضی مازندرانی رسیده نسخه اصل: کتابخانه مسجد جامع چهل ستون تهران - ۸۳۸. از مرتضی مازندرانی دانسته شده؛ خط: نستعلیق و خط سیاق، بی کا، تا: قرن ۱۳؛ ۷۸ص [عکسی ف: ۳-۵۵]</w:t>
      </w:r>
    </w:p>
    <w:p>
      <w:pPr>
        <w:pStyle w:val="BookText"/>
      </w:pPr>
      <w:r>
        <w:rPr>
          <w:rFonts w:ascii="IRNazanin" w:hAnsi="IRNazanin" w:eastAsia="IRNazanin" w:cs="IRNazanin"/>
          <w:lang w:bidi="fa-IR"/>
          <w:color w:val="111111"/>
          <w:sz w:val="28"/>
          <w:szCs w:val="28"/>
          <w:rtl/>
        </w:rPr>
        <w:t xml:space="preserve">۱۶. قم؛ مرکز احیاء؛ شماره نسخه:۹۰۷</w:t>
      </w:r>
    </w:p>
    <w:p>
      <w:pPr>
        <w:pStyle w:val="BookText"/>
      </w:pPr>
      <w:r>
        <w:rPr>
          <w:rFonts w:ascii="IRNazanin" w:hAnsi="IRNazanin" w:eastAsia="IRNazanin" w:cs="IRNazanin"/>
          <w:lang w:bidi="fa-IR"/>
          <w:color w:val="111111"/>
          <w:sz w:val="28"/>
          <w:szCs w:val="28"/>
          <w:rtl/>
        </w:rPr>
        <w:t xml:space="preserve">آغاز: برابر ۲ نسخه اصل: کتابخانه انجمن آثار ملی - تهران. از زمان کیومرث تا وقایع اوایل دوران سلطنت فتحعلی شاه می باشد، نویسنده در این کتاب وقایع را به صورت حساب هایی که در دفتر داری قدیم برای مخارج تهیه می کنند در آورده و در آن هر حادثه ای را شرح داده است علاوه بر تاریخ ایران این کتاب تاریخ خلفای اموی و عباسی را نیز شامل است؛ خط: نستعلیق، بی کا، تا: قرن ۱۳؛ در چند برگ آخر اضافاتی به خط دیگر و نونویس آمده و ادامه سلطنت ناصرالدین شاه تا پادشاهی محمد علیشاه را کتابت نموده است ؛اهدایی:مرحوم عبد الحسین بیات؛ ۱۶۷ص [عکسی ف:۳-۱۰۷]</w:t>
      </w:r>
    </w:p>
    <w:p>
      <w:pPr>
        <w:pStyle w:val="BookText"/>
      </w:pPr>
      <w:r>
        <w:rPr>
          <w:rFonts w:ascii="IRNazanin" w:hAnsi="IRNazanin" w:eastAsia="IRNazanin" w:cs="IRNazanin"/>
          <w:lang w:bidi="fa-IR"/>
          <w:color w:val="111111"/>
          <w:sz w:val="28"/>
          <w:szCs w:val="28"/>
          <w:rtl/>
        </w:rPr>
        <w:t xml:space="preserve">۱۷. قم؛ مرکز احیاء؛ شماره نسخه:۹۰۸</w:t>
      </w:r>
    </w:p>
    <w:p>
      <w:pPr>
        <w:pStyle w:val="BookText"/>
      </w:pPr>
      <w:r>
        <w:rPr>
          <w:rFonts w:ascii="IRNazanin" w:hAnsi="IRNazanin" w:eastAsia="IRNazanin" w:cs="IRNazanin"/>
          <w:lang w:bidi="fa-IR"/>
          <w:color w:val="111111"/>
          <w:sz w:val="28"/>
          <w:szCs w:val="28"/>
          <w:rtl/>
        </w:rPr>
        <w:t xml:space="preserve">نسخه اصل: کتابخانه انجمن آثار ملی - تهران. همان نسخه سابق است و فقط کاتب آن متفاوت بوده و در عبارات اندکی با یکدیگر اختلاف دارند؛ خط: نستعلیق، كا: محمد تفرشی، تا: رمضان ۱۲۵۷ق، به امر وزير لشکر منصور در زمان پادشاهی محمد شاه قاجار؛ ۲۷۵ ص [عکسی ف: ۳-۱۰۸]</w:t>
      </w:r>
    </w:p>
    <w:p>
      <w:pPr>
        <w:pStyle w:val="BookText"/>
      </w:pPr>
      <w:r>
        <w:rPr>
          <w:rFonts w:ascii="IRNazanin" w:hAnsi="IRNazanin" w:eastAsia="IRNazanin" w:cs="IRNazanin"/>
          <w:lang w:bidi="fa-IR"/>
          <w:color w:val="111111"/>
          <w:sz w:val="28"/>
          <w:szCs w:val="28"/>
          <w:rtl/>
        </w:rPr>
        <w:t xml:space="preserve">۱۸. تهران: مجلس؛ شماره نسخه:۲۲۷۳</w:t>
      </w:r>
    </w:p>
    <w:p>
      <w:pPr>
        <w:pStyle w:val="BookText"/>
      </w:pPr>
      <w:r>
        <w:rPr>
          <w:rFonts w:ascii="IRNazanin" w:hAnsi="IRNazanin" w:eastAsia="IRNazanin" w:cs="IRNazanin"/>
          <w:lang w:bidi="fa-IR"/>
          <w:color w:val="111111"/>
          <w:sz w:val="28"/>
          <w:szCs w:val="28"/>
          <w:rtl/>
        </w:rPr>
        <w:t xml:space="preserve">آغاز: فهرست اسامی و عدد سنوات سلطنت و حکومت؛ انجام: و سابقا متعهد شده بود بفرستد. چون مؤلف در صحیفه ۱۶۸ کتاب را به وقایع سال ۱۲۱۳ به پایان رسانده است پیداست که در این سال به پایان رسیده؛ خط: تحریری، بی کا، تا: قرن ۱۳؛ کاغذ: سفید فرنگی رگه دار آهار مهره، جلد: کاغذ ابری آبی و سرخ و سفید و سیاه، ۱۶۸ص،</w:t>
      </w:r>
    </w:p>
    <w:p>
      <w:pPr>
        <w:pStyle w:val="BookText"/>
      </w:pPr>
      <w:r>
        <w:rPr>
          <w:rFonts w:ascii="IRNazanin" w:hAnsi="IRNazanin" w:eastAsia="IRNazanin" w:cs="IRNazanin"/>
          <w:lang w:bidi="fa-IR"/>
          <w:color w:val="111111"/>
          <w:sz w:val="28"/>
          <w:szCs w:val="28"/>
          <w:rtl/>
        </w:rPr>
        <w:t xml:space="preserve">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۶-۲۲۹]</w:t>
      </w:r>
    </w:p>
    <w:p>
      <w:pPr>
        <w:pStyle w:val="BookText"/>
      </w:pPr>
      <w:r>
        <w:rPr>
          <w:rFonts w:ascii="IRNazanin" w:hAnsi="IRNazanin" w:eastAsia="IRNazanin" w:cs="IRNazanin"/>
          <w:lang w:bidi="fa-IR"/>
          <w:color w:val="111111"/>
          <w:sz w:val="28"/>
          <w:szCs w:val="28"/>
          <w:rtl/>
        </w:rPr>
        <w:t xml:space="preserve">۱۹. تهران؛ مجلس؛ شماره نسخه: ۴۶۸۰</w:t>
      </w:r>
    </w:p>
    <w:p>
      <w:pPr>
        <w:pStyle w:val="BookText"/>
      </w:pPr>
      <w:r>
        <w:rPr>
          <w:rFonts w:ascii="IRNazanin" w:hAnsi="IRNazanin" w:eastAsia="IRNazanin" w:cs="IRNazanin"/>
          <w:lang w:bidi="fa-IR"/>
          <w:color w:val="111111"/>
          <w:sz w:val="28"/>
          <w:szCs w:val="28"/>
          <w:rtl/>
        </w:rPr>
        <w:t xml:space="preserve">آغاز: برابر ۲؛ انجام: ابراهیم او را با تفنگ ... بقتل رسانید و مدت حکمرانی اشرف پانزده سال است ... مقهور شدند. از ابتدای سلطنت کیومرث تا پایان دولت فتحعلی شاه را به شیوه سیاق تاریخ نویسی کرده است و شرح مختصری درباره آنها داده است. هر بخش نسخه به یک سلسله اختصاص دارد به ترتیب تاریخی؛ خط: شکسته نستعلیق، بی کا، تا: قرن ۱۳؛ مهر «حاج سید نصرالله تقوی»؛ کاغذ: فرنگی کبود، جلد: چرمی قهوه ای، ۸۶گ، ابعاد متن: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۱۳-۶۲]</w:t>
      </w:r>
    </w:p>
    <w:p>
      <w:pPr>
        <w:pStyle w:val="BookText"/>
      </w:pPr>
      <w:r>
        <w:rPr>
          <w:rFonts w:ascii="IRNazanin" w:hAnsi="IRNazanin" w:eastAsia="IRNazanin" w:cs="IRNazanin"/>
          <w:lang w:bidi="fa-IR"/>
          <w:color w:val="111111"/>
          <w:sz w:val="28"/>
          <w:szCs w:val="28"/>
          <w:rtl/>
        </w:rPr>
        <w:t xml:space="preserve">۲۰. تهران، دانشگاه؛ شماره نسخه: ۹۸۳۱</w:t>
      </w:r>
    </w:p>
    <w:p>
      <w:pPr>
        <w:pStyle w:val="BookText"/>
      </w:pPr>
      <w:r>
        <w:rPr>
          <w:rFonts w:ascii="IRNazanin" w:hAnsi="IRNazanin" w:eastAsia="IRNazanin" w:cs="IRNazanin"/>
          <w:lang w:bidi="fa-IR"/>
          <w:color w:val="111111"/>
          <w:sz w:val="28"/>
          <w:szCs w:val="28"/>
          <w:rtl/>
        </w:rPr>
        <w:t xml:space="preserve">از آغاز تا فتح علی شاه؛ خط: نستعلیق ریز، بی کا، تا: قرن ۱۳؛ کاغذ: فرنگی، جلد: تیماج تریاکی ضربی ترنجی مقوایی، ربعی، ۸۰ گ، ۲۰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۱۷-۴۹۲]</w:t>
      </w:r>
    </w:p>
    <w:p>
      <w:pPr>
        <w:pStyle w:val="BookText"/>
      </w:pPr>
      <w:r>
        <w:rPr>
          <w:rFonts w:ascii="IRNazanin" w:hAnsi="IRNazanin" w:eastAsia="IRNazanin" w:cs="IRNazanin"/>
          <w:lang w:bidi="fa-IR"/>
          <w:color w:val="111111"/>
          <w:sz w:val="28"/>
          <w:szCs w:val="28"/>
          <w:rtl/>
        </w:rPr>
        <w:t xml:space="preserve">۲۱. اصفهان؛ ادبیات، شماره نسخه:۱۲</w:t>
      </w:r>
    </w:p>
    <w:p>
      <w:pPr>
        <w:pStyle w:val="BookText"/>
      </w:pPr>
      <w:r>
        <w:rPr>
          <w:rFonts w:ascii="IRNazanin" w:hAnsi="IRNazanin" w:eastAsia="IRNazanin" w:cs="IRNazanin"/>
          <w:lang w:bidi="fa-IR"/>
          <w:color w:val="111111"/>
          <w:sz w:val="28"/>
          <w:szCs w:val="28"/>
          <w:rtl/>
        </w:rPr>
        <w:t xml:space="preserve">خط شکسته و سیاق ، بی کا، تا: قرن ۱۳؛ قطع: رحلي [نشریه: ۴-۴۷۶]</w:t>
      </w:r>
    </w:p>
    <w:p>
      <w:pPr>
        <w:pStyle w:val="BookText"/>
      </w:pPr>
      <w:r>
        <w:rPr>
          <w:rFonts w:ascii="IRNazanin" w:hAnsi="IRNazanin" w:eastAsia="IRNazanin" w:cs="IRNazanin"/>
          <w:lang w:bidi="fa-IR"/>
          <w:color w:val="111111"/>
          <w:sz w:val="28"/>
          <w:szCs w:val="28"/>
          <w:rtl/>
        </w:rPr>
        <w:t xml:space="preserve">۲۲. تهران؛ مجلس؛ شماره نسخه:۸۸ ض سرود</w:t>
      </w:r>
    </w:p>
    <w:p>
      <w:pPr>
        <w:pStyle w:val="BookText"/>
      </w:pPr>
      <w:r>
        <w:rPr>
          <w:rFonts w:ascii="IRNazanin" w:hAnsi="IRNazanin" w:eastAsia="IRNazanin" w:cs="IRNazanin"/>
          <w:lang w:bidi="fa-IR"/>
          <w:color w:val="111111"/>
          <w:sz w:val="28"/>
          <w:szCs w:val="28"/>
          <w:rtl/>
        </w:rPr>
        <w:t xml:space="preserve">خط: نستعلیق، بی کا، تا: قرن ۱۳[ نشریه: ۱۳-۴۳۱]</w:t>
      </w:r>
    </w:p>
    <w:p>
      <w:pPr>
        <w:pStyle w:val="BookText"/>
      </w:pPr>
      <w:r>
        <w:rPr>
          <w:rFonts w:ascii="IRNazanin" w:hAnsi="IRNazanin" w:eastAsia="IRNazanin" w:cs="IRNazanin"/>
          <w:lang w:bidi="fa-IR"/>
          <w:color w:val="111111"/>
          <w:sz w:val="28"/>
          <w:szCs w:val="28"/>
          <w:rtl/>
        </w:rPr>
        <w:t xml:space="preserve">۲۳. اصفهان، دانشگاه؛ شماره نسخه:۲۲۸</w:t>
      </w:r>
    </w:p>
    <w:p>
      <w:pPr>
        <w:pStyle w:val="BookText"/>
      </w:pPr>
      <w:r>
        <w:rPr>
          <w:rFonts w:ascii="IRNazanin" w:hAnsi="IRNazanin" w:eastAsia="IRNazanin" w:cs="IRNazanin"/>
          <w:lang w:bidi="fa-IR"/>
          <w:color w:val="111111"/>
          <w:sz w:val="28"/>
          <w:szCs w:val="28"/>
          <w:rtl/>
        </w:rPr>
        <w:t xml:space="preserve">خط: نستعلیق، بی کا، تا: قرن ۱۳؛ با برخی از حوادث روزگار باب با کاغذ: سپاهانی [نشریه: ۱۱-۹۰۲]</w:t>
      </w:r>
    </w:p>
    <w:p>
      <w:pPr>
        <w:pStyle w:val="BookText"/>
      </w:pPr>
      <w:r>
        <w:rPr>
          <w:rFonts w:ascii="IRNazanin" w:hAnsi="IRNazanin" w:eastAsia="IRNazanin" w:cs="IRNazanin"/>
          <w:lang w:bidi="fa-IR"/>
          <w:color w:val="111111"/>
          <w:sz w:val="28"/>
          <w:szCs w:val="28"/>
          <w:rtl/>
        </w:rPr>
        <w:t xml:space="preserve">۲۴. مشهد؛ رضوی؛ شماره نسخه: ۳۸۲۲۰</w:t>
      </w:r>
    </w:p>
    <w:p>
      <w:pPr>
        <w:pStyle w:val="BookText"/>
      </w:pPr>
      <w:r>
        <w:rPr>
          <w:rFonts w:ascii="IRNazanin" w:hAnsi="IRNazanin" w:eastAsia="IRNazanin" w:cs="IRNazanin"/>
          <w:lang w:bidi="fa-IR"/>
          <w:color w:val="111111"/>
          <w:sz w:val="28"/>
          <w:szCs w:val="28"/>
          <w:rtl/>
        </w:rPr>
        <w:t xml:space="preserve">آغاز: تاریخ پادشاهان عجم از ابتدای کیومرث الى انتهای دولت فتحعلی شاه قاجار، سلاطینی که پیش از ظهور اسلام سلطنت کرده اند. انجام: و آذربایجان و غیرها آن حضرت را مسخر و مسلم آمد توضیح این مقال على سبيل الايجاز و الاجمال آن که از کیومرث تا فتحعلی شاه قاجار در برگ پایانی نسخه سرگذشت مختصر محمد شاه قاجار (۱۲۵۰-۱۲۶۴ق) هم بدان افزوده شده ولی ناقص مانده است؛ خط: نستعلیق شکسته و سیاق، بی کا، تا: قرن ۱۳؛ افتادگی: انجام؛ اهدایی: رهبری، مهر ۱۳۸۶؛ کاغذ: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فرنگی شکری آهار مهره، جلد: تیماج قهوه ای، ۸۴گ، مختلف السطر، اندازه: ۱۵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w:t>
      </w:r>
    </w:p>
    <w:p>
      <w:pPr>
        <w:pStyle w:val="BookText"/>
      </w:pPr>
      <w:r>
        <w:rPr>
          <w:rFonts w:ascii="IRNazanin" w:hAnsi="IRNazanin" w:eastAsia="IRNazanin" w:cs="IRNazanin"/>
          <w:lang w:bidi="fa-IR"/>
          <w:color w:val="111111"/>
          <w:sz w:val="28"/>
          <w:szCs w:val="28"/>
          <w:rtl/>
        </w:rPr>
        <w:t xml:space="preserve">سم [ اهدائی رهبر: ۸-۳۷۵]</w:t>
      </w:r>
    </w:p>
    <w:p>
      <w:pPr>
        <w:pStyle w:val="BookText"/>
      </w:pPr>
      <w:r>
        <w:rPr>
          <w:rFonts w:ascii="IRNazanin" w:hAnsi="IRNazanin" w:eastAsia="IRNazanin" w:cs="IRNazanin"/>
          <w:lang w:bidi="fa-IR"/>
          <w:color w:val="111111"/>
          <w:sz w:val="28"/>
          <w:szCs w:val="28"/>
          <w:rtl/>
        </w:rPr>
        <w:t xml:space="preserve">۲۵. تهران؛ حقوق؛ شماره نسخه:۱۰۳-ب</w:t>
      </w:r>
    </w:p>
    <w:p>
      <w:pPr>
        <w:pStyle w:val="BookText"/>
      </w:pPr>
      <w:r>
        <w:rPr>
          <w:rFonts w:ascii="IRNazanin" w:hAnsi="IRNazanin" w:eastAsia="IRNazanin" w:cs="IRNazanin"/>
          <w:lang w:bidi="fa-IR"/>
          <w:color w:val="111111"/>
          <w:sz w:val="28"/>
          <w:szCs w:val="28"/>
          <w:rtl/>
        </w:rPr>
        <w:t xml:space="preserve">آغاز: برابر ۱؛ انجام: اگر ولایت دیگر بمن مرحمت شود از پادشاهی پیشدادیان آغاز شده و تا پادشاهی فتحعلی شاه پایان یافته است؛ خط: شکسته نستعلیق، بی کا، تا: قرن ۱۳ کاغذ: فرنگی، جلد: تیماج مشکی ضربی مقوایی، ۷۶گ، ۳۱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w:t>
      </w:r>
    </w:p>
    <w:p>
      <w:pPr>
        <w:pStyle w:val="BookText"/>
      </w:pPr>
      <w:r>
        <w:rPr>
          <w:rFonts w:ascii="IRNazanin" w:hAnsi="IRNazanin" w:eastAsia="IRNazanin" w:cs="IRNazanin"/>
          <w:lang w:bidi="fa-IR"/>
          <w:color w:val="111111"/>
          <w:sz w:val="28"/>
          <w:szCs w:val="28"/>
          <w:rtl/>
        </w:rPr>
        <w:t xml:space="preserve">سم [ف: ۱۴۲]</w:t>
      </w:r>
    </w:p>
    <w:p>
      <w:pPr>
        <w:pStyle w:val="BookText"/>
      </w:pPr>
      <w:r>
        <w:rPr>
          <w:rFonts w:ascii="IRNazanin" w:hAnsi="IRNazanin" w:eastAsia="IRNazanin" w:cs="IRNazanin"/>
          <w:lang w:bidi="fa-IR"/>
          <w:color w:val="111111"/>
          <w:sz w:val="28"/>
          <w:szCs w:val="28"/>
          <w:rtl/>
        </w:rPr>
        <w:t xml:space="preserve">۲۶. تهران: انجمن آثار و مفاخر فرهنگی؛ شماره نسخه:۱۰۲</w:t>
      </w:r>
    </w:p>
    <w:p>
      <w:pPr>
        <w:pStyle w:val="BookText"/>
      </w:pPr>
      <w:r>
        <w:rPr>
          <w:rFonts w:ascii="IRNazanin" w:hAnsi="IRNazanin" w:eastAsia="IRNazanin" w:cs="IRNazanin"/>
          <w:lang w:bidi="fa-IR"/>
          <w:color w:val="111111"/>
          <w:sz w:val="28"/>
          <w:szCs w:val="28"/>
          <w:rtl/>
        </w:rPr>
        <w:t xml:space="preserve">آغاز: در ذکر پادشاهانی که قبل از ظهور اسلام سلطنت کرده اند؛ انجام: در دار الايمان قم در جوار حضرت معصومه مدفون شد از: محمد تفرشی محتم: زمان تأليف: ۱۲۵۷ق. از قبل از اسلام تا آخر دوره فتحعلی شاه است؛ خط: نستعلیق شکسته، کا: محمد تفرشی، تا: رمضان ۱۲۵۷ق؛ سنوات با اعداد سیاقی است؛ کاغذ: فرنگی، آهار مهره، جلد: تیماج تریاکی روشن با ترنج و نیم ترنج، ۲۶۷، ۱۷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۱۵/۵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۱۴۱]</w:t>
      </w:r>
    </w:p>
    <w:p>
      <w:pPr>
        <w:pStyle w:val="BookText"/>
      </w:pPr>
      <w:r>
        <w:rPr>
          <w:rFonts w:ascii="Amiri" w:hAnsi="Amiri" w:eastAsia="Amiri" w:cs="Amiri"/>
          <w:lang w:bidi="ar-SA"/>
          <w:color w:val="111111"/>
          <w:sz w:val="28"/>
          <w:szCs w:val="28"/>
          <w:rtl/>
        </w:rPr>
        <w:t xml:space="preserve">۲۷. تهران؛ مجلس؛ شماره نسخه:۲۳۸- فيروز</w:t>
      </w:r>
    </w:p>
    <w:p>
      <w:pPr>
        <w:pStyle w:val="BookText"/>
      </w:pPr>
      <w:r>
        <w:rPr>
          <w:rFonts w:ascii="IRNazanin" w:hAnsi="IRNazanin" w:eastAsia="IRNazanin" w:cs="IRNazanin"/>
          <w:lang w:bidi="fa-IR"/>
          <w:color w:val="111111"/>
          <w:sz w:val="28"/>
          <w:szCs w:val="28"/>
          <w:rtl/>
        </w:rPr>
        <w:t xml:space="preserve">خط: شکسته نستعلیق، کا: میرزا عبدالله طبری منشی، تا: ۱۲۵۸ق؛ افتادگی: انجام؛ این نسخه در اواخر (مجمل ۶۶ در تاریخ ۱۰۴۳) به پایان رسیده است و پیداست کاتب دنباله سخن را نا تمام گذارده است و نیز این که نام محمد ابراهيم بن اسماعیل که در آخر تمام صفحات آن نسخه هست در نسخه حاضر در هیچ جا دیده نمی شود. یکی از امتیازات مهم نسخه جای سخن که در نسخه ۵۶۹۸ نیز هست (و در دیگر نسخه ها این کتابخانه نیست) فهرست اسامی علماء و شعرا و خوش نویسان معاصر هر یک از پادشاهان است در ذیل</w:t>
      </w:r>
    </w:p>
    <w:p>
      <w:pPr>
        <w:pStyle w:val="BookText"/>
      </w:pPr>
      <w:r>
        <w:rPr>
          <w:rFonts w:ascii="IRNazanin" w:hAnsi="IRNazanin" w:eastAsia="IRNazanin" w:cs="IRNazanin"/>
          <w:lang w:bidi="fa-IR"/>
          <w:color w:val="111111"/>
          <w:sz w:val="28"/>
          <w:szCs w:val="28"/>
          <w:rtl/>
        </w:rPr>
        <w:t xml:space="preserve">(شماره ۵۶۹۸ در فهرست ۱۷ ص ۱۵۴) آورد و اسامی علماء و اهل هنر یاد شده در بقیه کتاب را به ترتیب صفحات و با مقایسه میان هر دو نسخه در اینجا می آورد. كاتب نسخه چند برگ سفید است و بر چند صفحه اشعار مختلف و چند صورت محاسبه و در آخر یادداشت طبری درباره محمد زمان الشكر نویس آمده و نیز بر یکی از این برگهای سفید این یادداشت دیده می شود «تاریخ خلاصة التواریخ پادشاهان عجم را این بنده که میرزا حسن على مستوفی می باشم به آقا میرزا بزرگ خان بخشیده ام. به تاریخ دهم محرم ۱۳۰۱». بر پشت نخستین برگ، نسبت کیومرث به آدم و به نوح به نقل از تاریخ گزیده و سپس شعر وصاف «نخستین خدیوی که کشور گشود ...» گویا به قلم عبدالله دیده می شود؛ کاغذ: فرنگی آبی، جلد: تیماج زرد، ۱۴۶ص، مختلف السطر،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۲۱-۲۶]</w:t>
      </w:r>
    </w:p>
    <w:p>
      <w:pPr>
        <w:pStyle w:val="BookText"/>
      </w:pPr>
      <w:r>
        <w:rPr>
          <w:rFonts w:ascii="IRNazanin" w:hAnsi="IRNazanin" w:eastAsia="IRNazanin" w:cs="IRNazanin"/>
          <w:lang w:bidi="fa-IR"/>
          <w:color w:val="111111"/>
          <w:sz w:val="28"/>
          <w:szCs w:val="28"/>
          <w:rtl/>
        </w:rPr>
        <w:t xml:space="preserve">۲۸. مشهد؛ رضوی؛ شماره نسخه:۴۲۴۶</w:t>
      </w:r>
    </w:p>
    <w:p>
      <w:pPr>
        <w:pStyle w:val="BookText"/>
      </w:pPr>
      <w:r>
        <w:rPr>
          <w:rFonts w:ascii="IRNazanin" w:hAnsi="IRNazanin" w:eastAsia="IRNazanin" w:cs="IRNazanin"/>
          <w:lang w:bidi="fa-IR"/>
          <w:color w:val="111111"/>
          <w:sz w:val="28"/>
          <w:szCs w:val="28"/>
          <w:rtl/>
        </w:rPr>
        <w:t xml:space="preserve">انجام: که سابقا متهد شده بود بفرستد، مدت سلطنت چهل عام. از پیشدادیان تا قاجاریه، و بعد از یزدگرد بن خسرو پرویز احوال خاتم الانبياء و خلفای راشدین و ائمه اثنا عشر و خلفای اموی و عباسی نیز دران آمده؛ خط: نستعلیق، كا: فتح الله لاریجانی، تا: ۱۲۶۱ق، نسخه ای است بسیار مغلوط ولی کامل و به احوال فتحعلیشاه و زوجات و اولاد او پایان می یابد؛ واقف: نایینی؛ کاغذ: سفید آهار مهره، جلد: تیماج ضربی قهوه ای، ۸۸گ، مختلف السطر، اندازه: ۲۲/۸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۱۴/۸ سم [ف: ۷-۱۲۶]</w:t>
      </w:r>
    </w:p>
    <w:p>
      <w:pPr>
        <w:pStyle w:val="BookText"/>
      </w:pPr>
      <w:r>
        <w:rPr>
          <w:rFonts w:ascii="IRNazanin" w:hAnsi="IRNazanin" w:eastAsia="IRNazanin" w:cs="IRNazanin"/>
          <w:lang w:bidi="fa-IR"/>
          <w:color w:val="111111"/>
          <w:sz w:val="28"/>
          <w:szCs w:val="28"/>
          <w:rtl/>
        </w:rPr>
        <w:t xml:space="preserve">۲۹. تهران؛ ادبیات، شماره نسخه: ۲۵۸ - ج</w:t>
      </w:r>
    </w:p>
    <w:p>
      <w:pPr>
        <w:pStyle w:val="BookText"/>
      </w:pPr>
      <w:r>
        <w:rPr>
          <w:rFonts w:ascii="IRNazanin" w:hAnsi="IRNazanin" w:eastAsia="IRNazanin" w:cs="IRNazanin"/>
          <w:lang w:bidi="fa-IR"/>
          <w:color w:val="111111"/>
          <w:sz w:val="28"/>
          <w:szCs w:val="28"/>
          <w:rtl/>
        </w:rPr>
        <w:t xml:space="preserve">آغاز: هو الله الموفق. بسمله. خلاصه تاریخ پادشاهان عجم و غیره که در ملک ایران سلطنت کرده اند؛ انجام: که سابقا متعهد شده بود بفرستد (... این خط شکسته من كتابت کردم . کاندر پس مرگ یادگارم باشد ۱۱ محرم تمام شد ۱۲۶۲) تاریخ پادشاهان ایران پیش ایران پیش از اسلام است تا فتحعلی شاه؛ خط: شکسته نستعلیق، بی کا، تا: ۱۲۶۲ق، کاغذ: فرنگی نخودی، جلد: تیماج حنایی ضربی، ۲۱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۱۳/۵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۱۵/۵ سم [ف: ۱-۳۲۰]</w:t>
      </w:r>
    </w:p>
    <w:p>
      <w:pPr>
        <w:pStyle w:val="BookText"/>
      </w:pPr>
      <w:r>
        <w:rPr>
          <w:rFonts w:ascii="IRNazanin" w:hAnsi="IRNazanin" w:eastAsia="IRNazanin" w:cs="IRNazanin"/>
          <w:lang w:bidi="fa-IR"/>
          <w:color w:val="111111"/>
          <w:sz w:val="28"/>
          <w:szCs w:val="28"/>
          <w:rtl/>
        </w:rPr>
        <w:t xml:space="preserve">۳۰. قم؛ گلپایگانی شماره نسخه:۲۸۷۸- ۱۵/۱۱۸</w:t>
      </w:r>
    </w:p>
    <w:p>
      <w:pPr>
        <w:pStyle w:val="BookText"/>
      </w:pPr>
      <w:r>
        <w:rPr>
          <w:rFonts w:ascii="IRNazanin" w:hAnsi="IRNazanin" w:eastAsia="IRNazanin" w:cs="IRNazanin"/>
          <w:lang w:bidi="fa-IR"/>
          <w:color w:val="111111"/>
          <w:sz w:val="28"/>
          <w:szCs w:val="28"/>
          <w:rtl/>
        </w:rPr>
        <w:t xml:space="preserve">آغاز: برابر ۲؛ انجام: السلطان العادل فتحعلی شاه قاجار ابن حسینقلی خان ... جسد منورش را به اعزاز تمام به دار الايمان قم آورده در آنجا مدفون است. از کیومرث تا فتحعلی شاه قاجار، توضیحات در بخش صفویه، افاغنه، افشاریه، و زندیه نسبتا مفصل است؛ خط: شکسته نستعلیق، بی کا، بی تا، تاریخ بیعی به سال ۱۲۶۳ در پایان نسخه؛ جلد: تیماج مشکی، ۷۹گ، مختلف السطر،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۳-۱۷۳۳]</w:t>
      </w:r>
    </w:p>
    <w:p>
      <w:pPr>
        <w:pStyle w:val="BookText"/>
      </w:pPr>
      <w:r>
        <w:rPr>
          <w:rFonts w:ascii="IRNazanin" w:hAnsi="IRNazanin" w:eastAsia="IRNazanin" w:cs="IRNazanin"/>
          <w:lang w:bidi="fa-IR"/>
          <w:color w:val="111111"/>
          <w:sz w:val="28"/>
          <w:szCs w:val="28"/>
          <w:rtl/>
        </w:rPr>
        <w:t xml:space="preserve">۳۱. اصفهان، دانشگاه؛ شماره نسخه: ۱۴۲</w:t>
      </w:r>
    </w:p>
    <w:p>
      <w:pPr>
        <w:pStyle w:val="BookText"/>
      </w:pPr>
      <w:r>
        <w:rPr>
          <w:rFonts w:ascii="IRNazanin" w:hAnsi="IRNazanin" w:eastAsia="IRNazanin" w:cs="IRNazanin"/>
          <w:lang w:bidi="fa-IR"/>
          <w:color w:val="111111"/>
          <w:sz w:val="28"/>
          <w:szCs w:val="28"/>
          <w:rtl/>
        </w:rPr>
        <w:t xml:space="preserve">آغاز: پیرایه رخسار نیکو عذار معانی و الفاظ دلفریب و حليه گرانبهای سراپای عروسان زیبا روی و حورا و شان مشكين موی از پیش از سلام تا عصر محمد شاه قاجار با مختصری از حالات پیامبر اسلام و ائمه طاهرین(عليهم السلام)و خلفای بنی امیه و بني العباس؛ خط: شکسته نستعلیق، كا: فضل بن عبدالله، تا: شنبه ۱۵ رمضان ۱۲۷۶ق (در زمان ناصرالدین شاه )؛ مجدول، دارای سرلوح رنگین مختصر؛ جلد: تیماج مشکی ضربی، ۱۷۵، ۱۲ سطر، اندازه:</w:t>
      </w:r>
    </w:p>
    <w:p>
      <w:pPr>
        <w:pStyle w:val="BookText"/>
      </w:pPr>
      <w:r>
        <w:rPr>
          <w:rFonts w:ascii="IRNazanin" w:hAnsi="IRNazanin" w:eastAsia="IRNazanin" w:cs="IRNazanin"/>
          <w:lang w:bidi="fa-IR"/>
          <w:color w:val="111111"/>
          <w:sz w:val="28"/>
          <w:szCs w:val="28"/>
          <w:rtl/>
        </w:rPr>
        <w:t xml:space="preserve">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۱-۱۰۳]</w:t>
      </w:r>
    </w:p>
    <w:p>
      <w:pPr>
        <w:pStyle w:val="BookText"/>
      </w:pPr>
      <w:r>
        <w:rPr>
          <w:rFonts w:ascii="IRNazanin" w:hAnsi="IRNazanin" w:eastAsia="IRNazanin" w:cs="IRNazanin"/>
          <w:lang w:bidi="fa-IR"/>
          <w:color w:val="111111"/>
          <w:sz w:val="28"/>
          <w:szCs w:val="28"/>
          <w:rtl/>
        </w:rPr>
        <w:t xml:space="preserve">۳۲. قم؛ مرعشی؛ شماره نسخه:۶۴۳۹</w:t>
      </w:r>
    </w:p>
    <w:p>
      <w:pPr>
        <w:pStyle w:val="BookText"/>
      </w:pPr>
      <w:r>
        <w:rPr>
          <w:rFonts w:ascii="IRNazanin" w:hAnsi="IRNazanin" w:eastAsia="IRNazanin" w:cs="IRNazanin"/>
          <w:lang w:bidi="fa-IR"/>
          <w:color w:val="111111"/>
          <w:sz w:val="28"/>
          <w:szCs w:val="28"/>
          <w:rtl/>
        </w:rPr>
        <w:t xml:space="preserve">خط: نستعلیق، بی کا، تا: اوایل قرن ۱۴؛ تملک: علی اکبر بن غلامعلی مروج الاسلام به تاریخ ۶ شوال ۱۳۴۹؛ جلد: مقوایی عطف تیماج قهوهای، ۷۶گ، مختلف السطر،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سم [ف: ۱۷-۴۷]</w:t>
      </w:r>
    </w:p>
    <w:p>
      <w:pPr>
        <w:pStyle w:val="BookText"/>
      </w:pPr>
      <w:r>
        <w:rPr>
          <w:rFonts w:ascii="IRNazanin" w:hAnsi="IRNazanin" w:eastAsia="IRNazanin" w:cs="IRNazanin"/>
          <w:lang w:bidi="fa-IR"/>
          <w:color w:val="111111"/>
          <w:sz w:val="28"/>
          <w:szCs w:val="28"/>
          <w:rtl/>
        </w:rPr>
        <w:t xml:space="preserve">۳۳. قم؛ مرعشی؛ شماره نسخه: ۱۵۱۴۵/۷</w:t>
      </w:r>
    </w:p>
    <w:p>
      <w:pPr>
        <w:pStyle w:val="BookText"/>
      </w:pPr>
      <w:r>
        <w:rPr>
          <w:rFonts w:ascii="IRNazanin" w:hAnsi="IRNazanin" w:eastAsia="IRNazanin" w:cs="IRNazanin"/>
          <w:lang w:bidi="fa-IR"/>
          <w:color w:val="111111"/>
          <w:sz w:val="28"/>
          <w:szCs w:val="28"/>
          <w:rtl/>
        </w:rPr>
        <w:t xml:space="preserve">آغاز: برابر ۲؛ انجام: نه هر کو زن بود نامرد باشد *** زن این مرد است کو بیدرد باشد. این کتاب نیز گویا از تألیفات علی بن عبدالعظیم خیابانی تبریزی واعظ (در گذشته: ۱۳۶۶ق) باشد که چند رساله از او در همین مجموعه آمده است و احتمال دارد همان مجالس الملوک محمد مفید بن محمود بافقی یزدی (در گذشته: پس از ۱۰۹۰ ق) باشد که آغاز آن به نسخه موجود شباهت دارد. یادآوری می شود نسخه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موجود به نقل از کتاب لجه الاخبار است که از منابع برخی از کتاب های خیابانی تبریزی می باشد؛ خط: شکسته نستعلیق، كان علی بن عبدالعظیم خیابانی تبریزی واعظ، تا: قرن ۱۴؛ محشی، ۶ برگ، شامل مطالبی درباره چای، قهوه، چوب چینی و ... به نقل از لجة الاخبار و صورت مکتوب آقا میرزا علیخان پاور به خدمت آقای اقبال ... در باب مخابره قتل ناصرالدین شاه قاجار به سال ۱۳۱۳ ق به خط همان خیابانی در پایان؛ کاغذ: فرنگی، جلد: تیماج قهوه ای مجدول، وگ (۱۴۴-۱۵۲)، ۲۰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۳۸-۴۴۴]</w:t>
      </w:r>
    </w:p>
    <w:p>
      <w:pPr>
        <w:pStyle w:val="BookText"/>
      </w:pPr>
      <w:r>
        <w:rPr>
          <w:rFonts w:ascii="IRNazanin" w:hAnsi="IRNazanin" w:eastAsia="IRNazanin" w:cs="IRNazanin"/>
          <w:lang w:bidi="fa-IR"/>
          <w:color w:val="111111"/>
          <w:sz w:val="28"/>
          <w:szCs w:val="28"/>
          <w:rtl/>
        </w:rPr>
        <w:t xml:space="preserve">۳۴. مشهد؛ گوهرشاد؛ شماره نسخه: ۵۹۱</w:t>
      </w:r>
    </w:p>
    <w:p>
      <w:pPr>
        <w:pStyle w:val="BookText"/>
      </w:pPr>
      <w:r>
        <w:rPr>
          <w:rFonts w:ascii="IRNazanin" w:hAnsi="IRNazanin" w:eastAsia="IRNazanin" w:cs="IRNazanin"/>
          <w:lang w:bidi="fa-IR"/>
          <w:color w:val="111111"/>
          <w:sz w:val="28"/>
          <w:szCs w:val="28"/>
          <w:rtl/>
        </w:rPr>
        <w:t xml:space="preserve">آغاز: برابر ۲؛ انجام: و تمام بزرگان و اصناف باستقبال ایشان رفتند تا آنکه روز شنبه ۵ ربیع الثانی بطهران رسیدند ۱۳۲۸. گمان می رود که کتاب سياق التواریخ باشد که به دستور میرزا عبدالحسین آقا اصفهانی برای وقایع تاریخی آن مجلس و تصویر ساخته اند. تاریخ مختصری است. شامل دو بخش است ۱- ذکر سلاطین قبل از اسلام از ابتدای سلطنت کیومرث تا ابتدای ظهور اسلام که در ایران سلطنت کردند، ۲- بعد از اسلام، از ابتدای ظهور خاتم الانبیاء تا احمد شاه قاجار. با سی مجلس و تصویر رنگی که برخی از آنها سیاه قلم است بدین ترتیب: تصویر مجلس کیومرث پادشاه، تصویر مجلس هوشنگ، تصویر جنگ طهمورث با دیوان، مجلس جمشید، ضحاک، جنگ منوچهر با سلم و تور، بلند کردن پوردستان افراسیاب را (عمل عباسعلی) بر تخت نشستن كیقباد، کیکاوش و شکار شیر، (عمل عباسعلی) کشتی رستم (عمل عباسعلی) سیاوش، فرامرز، کشته شدن اسفندیار، تصویر شاپور ذوالاکتاف که دور قلعه سیاحت می کند، کشتن بهرام شیر و گور را، کشته شدن شیرویه ، تصویر طاهر و عبدالله، امیر تیمور گورکانی، صورت عباس میرزای نایب السلطنه، صورت فتحعلی شاه قاجار، صورت محمد شاه قاجار، صورت میرزا تقی خان اتابک اعظم، صورت حاج میرزا حسین خان صدر اعظم، صورت ناصر الدین شاه، صورت مظفرالدین شاه، صورت محمد علیشاه، صورت ستارخان سردار ملی، باقرخان سالار ملی، احمد شاه نایب السلطنه و عضد الملک ...؛</w:t>
      </w:r>
    </w:p>
    <w:p>
      <w:pPr>
        <w:pStyle w:val="BookText"/>
      </w:pPr>
      <w:r>
        <w:rPr>
          <w:rFonts w:ascii="IRNazanin" w:hAnsi="IRNazanin" w:eastAsia="IRNazanin" w:cs="IRNazanin"/>
          <w:lang w:bidi="fa-IR"/>
          <w:color w:val="111111"/>
          <w:sz w:val="28"/>
          <w:szCs w:val="28"/>
          <w:rtl/>
        </w:rPr>
        <w:t xml:space="preserve">خط: نستعلیق، بی کا، تا: سه شنبه ۲ صفر ۱۳۳۱ق، حسب الفرموده میرزا عبدالحسین آقا اصفهانی؛ مجالس و تصاویر رنگی و سیاه قلم؛ مهر: حاج سید سعید کاغذ: کاهی، جلد: تیماج قهوه ای، ۸۶گ، ۱۴ سطر (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۲-۷۰۸]</w:t>
      </w:r>
    </w:p>
    <w:p>
      <w:pPr>
        <w:pStyle w:val="BookText"/>
      </w:pPr>
      <w:r>
        <w:rPr>
          <w:rFonts w:ascii="IRNazanin" w:hAnsi="IRNazanin" w:eastAsia="IRNazanin" w:cs="IRNazanin"/>
          <w:lang w:bidi="fa-IR"/>
          <w:color w:val="111111"/>
          <w:sz w:val="28"/>
          <w:szCs w:val="28"/>
          <w:rtl/>
        </w:rPr>
        <w:t xml:space="preserve">۳۵. تهران؛ لغت نامه دهخدا، شماره نسخه:۱۵۴</w:t>
      </w:r>
    </w:p>
    <w:p>
      <w:pPr>
        <w:pStyle w:val="BookText"/>
      </w:pPr>
      <w:r>
        <w:rPr>
          <w:rFonts w:ascii="IRNazanin" w:hAnsi="IRNazanin" w:eastAsia="IRNazanin" w:cs="IRNazanin"/>
          <w:lang w:bidi="fa-IR"/>
          <w:color w:val="111111"/>
          <w:sz w:val="28"/>
          <w:szCs w:val="28"/>
          <w:rtl/>
        </w:rPr>
        <w:t xml:space="preserve">از کیومرث است تا ناصرالدین شاه؛ خط: نستعلیق، بی کا، تا: قرن ۱۳ و ۱۴؛ جلد: تیماج قهوه ای تیره با ترنج و سرترنج، قطع: وزیری [نشریه: ۳-۲۱]</w:t>
      </w:r>
    </w:p>
    <w:p>
      <w:pPr>
        <w:pStyle w:val="BookText"/>
      </w:pPr>
      <w:r>
        <w:rPr>
          <w:rFonts w:ascii="IRNazanin" w:hAnsi="IRNazanin" w:eastAsia="IRNazanin" w:cs="IRNazanin"/>
          <w:lang w:bidi="fa-IR"/>
          <w:color w:val="111111"/>
          <w:sz w:val="28"/>
          <w:szCs w:val="28"/>
          <w:rtl/>
        </w:rPr>
        <w:t xml:space="preserve">۳۶. قم؛ مرعشی؛ شماره نسخه:۹۱۴۶</w:t>
      </w:r>
    </w:p>
    <w:p>
      <w:pPr>
        <w:pStyle w:val="BookText"/>
      </w:pPr>
      <w:r>
        <w:rPr>
          <w:rFonts w:ascii="IRNazanin" w:hAnsi="IRNazanin" w:eastAsia="IRNazanin" w:cs="IRNazanin"/>
          <w:lang w:bidi="fa-IR"/>
          <w:color w:val="111111"/>
          <w:sz w:val="28"/>
          <w:szCs w:val="28"/>
          <w:rtl/>
        </w:rPr>
        <w:t xml:space="preserve">از پیش از سلام تا عصر محمد شاه قاجار؛ خط: نستعلیق، بی کا، بی تا؛ مهر: کتابخانه مهندس بغایری؛ جلد: تیماج قهوه ای، ۸۷گ، مختلف السطر،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۲۳-۲۷۶]</w:t>
      </w:r>
    </w:p>
    <w:p>
      <w:pPr>
        <w:pStyle w:val="BookText"/>
      </w:pPr>
      <w:r>
        <w:rPr>
          <w:rFonts w:ascii="IRNazanin" w:hAnsi="IRNazanin" w:eastAsia="IRNazanin" w:cs="IRNazanin"/>
          <w:lang w:bidi="fa-IR"/>
          <w:color w:val="111111"/>
          <w:sz w:val="28"/>
          <w:szCs w:val="28"/>
          <w:rtl/>
        </w:rPr>
        <w:t xml:space="preserve">۳۷. مشهد؛ ادبیات؛ شماره نسخه: ۱۷۰ فرخ</w:t>
      </w:r>
    </w:p>
    <w:p>
      <w:pPr>
        <w:pStyle w:val="BookText"/>
      </w:pPr>
      <w:r>
        <w:rPr>
          <w:rFonts w:ascii="IRNazanin" w:hAnsi="IRNazanin" w:eastAsia="IRNazanin" w:cs="IRNazanin"/>
          <w:lang w:bidi="fa-IR"/>
          <w:color w:val="111111"/>
          <w:sz w:val="28"/>
          <w:szCs w:val="28"/>
          <w:rtl/>
        </w:rPr>
        <w:t xml:space="preserve">آغاز: برابر۱</w:t>
      </w:r>
    </w:p>
    <w:p>
      <w:pPr>
        <w:pStyle w:val="BookText"/>
      </w:pPr>
      <w:r>
        <w:rPr>
          <w:rFonts w:ascii="IRNazanin" w:hAnsi="IRNazanin" w:eastAsia="IRNazanin" w:cs="IRNazanin"/>
          <w:lang w:bidi="fa-IR"/>
          <w:color w:val="111111"/>
          <w:sz w:val="28"/>
          <w:szCs w:val="28"/>
          <w:rtl/>
        </w:rPr>
        <w:t xml:space="preserve">از پیشدادیان تا قاجاریه که در سال ۱۲۷۴ ق تالیف گردیده؛ خط: شکسته نستعلیق، بی کا، بی تا؛ کاغذ فرنگی؛ جلد: تیماج عنابی، ۵۷گ، مختلف السطر،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۱۰۷]</w:t>
      </w:r>
    </w:p>
    <w:p>
      <w:pPr>
        <w:pStyle w:val="BookText"/>
      </w:pPr>
      <w:r>
        <w:rPr>
          <w:rFonts w:ascii="IRNazanin" w:hAnsi="IRNazanin" w:eastAsia="IRNazanin" w:cs="IRNazanin"/>
          <w:lang w:bidi="fa-IR"/>
          <w:color w:val="111111"/>
          <w:sz w:val="28"/>
          <w:szCs w:val="28"/>
          <w:rtl/>
        </w:rPr>
        <w:t xml:space="preserve">۳۸. تهران؛ مجلس؛ شماره نسخه: ۱۷۲۴۹</w:t>
      </w:r>
    </w:p>
    <w:p>
      <w:pPr>
        <w:pStyle w:val="BookText"/>
      </w:pPr>
      <w:r>
        <w:rPr>
          <w:rFonts w:ascii="IRNazanin" w:hAnsi="IRNazanin" w:eastAsia="IRNazanin" w:cs="IRNazanin"/>
          <w:lang w:bidi="fa-IR"/>
          <w:color w:val="111111"/>
          <w:sz w:val="28"/>
          <w:szCs w:val="28"/>
          <w:rtl/>
        </w:rPr>
        <w:t xml:space="preserve">تا پایان زندیه، دارای اختلافاتی چند با نسخه های دیگر؛ بی کا، بیتا [د.ث. مجلس]</w:t>
      </w:r>
    </w:p>
    <w:p>
      <w:pPr>
        <w:pStyle w:val="BookText"/>
      </w:pPr>
      <w:r>
        <w:rPr>
          <w:rFonts w:ascii="IRNazanin" w:hAnsi="IRNazanin" w:eastAsia="IRNazanin" w:cs="IRNazanin"/>
          <w:lang w:bidi="fa-IR"/>
          <w:color w:val="111111"/>
          <w:sz w:val="28"/>
          <w:szCs w:val="28"/>
          <w:rtl/>
        </w:rPr>
        <w:t xml:space="preserve">۳۹. تهران؛ مجلس؛ شماره نسخه:۷۵۷۳</w:t>
      </w:r>
    </w:p>
    <w:p>
      <w:pPr>
        <w:pStyle w:val="BookText"/>
      </w:pPr>
      <w:r>
        <w:rPr>
          <w:rFonts w:ascii="IRNazanin" w:hAnsi="IRNazanin" w:eastAsia="IRNazanin" w:cs="IRNazanin"/>
          <w:lang w:bidi="fa-IR"/>
          <w:color w:val="111111"/>
          <w:sz w:val="28"/>
          <w:szCs w:val="28"/>
          <w:rtl/>
        </w:rPr>
        <w:t xml:space="preserve">آغاز: تاریخ پادشاهان عجم که در ملک ایران سلطنت کرده اند از ابتدا سلطنت کیان؛ انجام: آثار و اختراعات آنحضرت که به نظر احقر این بی بضاعت رسیده بنحویست که مرقوم کلک</w:t>
      </w:r>
    </w:p>
    <w:p>
      <w:pPr>
        <w:pStyle w:val="BookText"/>
      </w:pPr>
      <w:r>
        <w:rPr>
          <w:rFonts w:ascii="IRNazanin" w:hAnsi="IRNazanin" w:eastAsia="IRNazanin" w:cs="IRNazanin"/>
          <w:lang w:bidi="fa-IR"/>
          <w:color w:val="111111"/>
          <w:sz w:val="28"/>
          <w:szCs w:val="28"/>
          <w:rtl/>
        </w:rPr>
        <w:t xml:space="preserve">گردیده و الله اعلم بحقایق الامور.</w:t>
      </w:r>
    </w:p>
    <w:p>
      <w:pPr>
        <w:pStyle w:val="BookText"/>
      </w:pPr>
      <w:r>
        <w:rPr>
          <w:rFonts w:ascii="IRNazanin" w:hAnsi="IRNazanin" w:eastAsia="IRNazanin" w:cs="IRNazanin"/>
          <w:lang w:bidi="fa-IR"/>
          <w:color w:val="111111"/>
          <w:sz w:val="28"/>
          <w:szCs w:val="28"/>
          <w:rtl/>
        </w:rPr>
        <w:t xml:space="preserve">از آغاز سلسله پیشدادیان تا اواسط سلسله قاجاریه؛ خط: نستعلیق، بی کا، بی تا؛ مجدول؛ جلد: تیماج قرمز، مجدول، ۱۲۰گ، مختلف السطر،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۲۶-۶۸]</w:t>
      </w:r>
    </w:p>
    <w:p>
      <w:pPr>
        <w:pStyle w:val="BookText"/>
      </w:pPr>
      <w:r>
        <w:rPr>
          <w:rFonts w:ascii="IRNazanin" w:hAnsi="IRNazanin" w:eastAsia="IRNazanin" w:cs="IRNazanin"/>
          <w:lang w:bidi="fa-IR"/>
          <w:color w:val="111111"/>
          <w:sz w:val="28"/>
          <w:szCs w:val="28"/>
          <w:rtl/>
        </w:rPr>
        <w:t xml:space="preserve">۴۰. تهران، دانشگاه؛ شماره نسخه:۱۱۷</w:t>
      </w:r>
    </w:p>
    <w:p>
      <w:pPr>
        <w:pStyle w:val="BookText"/>
      </w:pPr>
      <w:r>
        <w:rPr>
          <w:rFonts w:ascii="IRNazanin" w:hAnsi="IRNazanin" w:eastAsia="IRNazanin" w:cs="IRNazanin"/>
          <w:lang w:bidi="fa-IR"/>
          <w:color w:val="111111"/>
          <w:sz w:val="28"/>
          <w:szCs w:val="28"/>
          <w:rtl/>
        </w:rPr>
        <w:t xml:space="preserve">آغاز: برابر ۲؛ انجام: انجام در سال فرخنده فال ۱۲۲۰ بعد از جشن نوروزی بطرف سلطانیه نهضت و در آنجا خبر قتل ابراهيم خليل خان و تفرقه ایلات از آغاز پیشدادیان تا نادرشاه؛ خط: نستعلیق شکسته، بی کا، بی تا؛ مجدول؛ کاغذ: ترمه اصفهانی، جلد: تیماج حنایی یک لا، ۸۸گ، ۲۰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۲-۵۲۳]</w:t>
      </w:r>
    </w:p>
    <w:p>
      <w:pPr>
        <w:pStyle w:val="BookText"/>
      </w:pPr>
      <w:r>
        <w:rPr>
          <w:rFonts w:ascii="IRNazanin" w:hAnsi="IRNazanin" w:eastAsia="IRNazanin" w:cs="IRNazanin"/>
          <w:lang w:bidi="fa-IR"/>
          <w:color w:val="111111"/>
          <w:sz w:val="28"/>
          <w:szCs w:val="28"/>
          <w:rtl/>
        </w:rPr>
        <w:t xml:space="preserve">۴۱. تهران: انجمن آثار و مفاخر فرهنگی؛ شماره نسخه:۱۰۳</w:t>
      </w:r>
    </w:p>
    <w:p>
      <w:pPr>
        <w:pStyle w:val="BookText"/>
      </w:pPr>
      <w:r>
        <w:rPr>
          <w:rFonts w:ascii="IRNazanin" w:hAnsi="IRNazanin" w:eastAsia="IRNazanin" w:cs="IRNazanin"/>
          <w:lang w:bidi="fa-IR"/>
          <w:color w:val="111111"/>
          <w:sz w:val="28"/>
          <w:szCs w:val="28"/>
          <w:rtl/>
        </w:rPr>
        <w:t xml:space="preserve">آغاز: خلاصة التاريخ از قرار تفصیل ذیل است؛ انجام: آنکه در اوایل ذیقعده جمع کثیری از او باش و بیعار شهر را ... حوادث پادشاهان قبل از اسلام تا حکومت ناصرالدین شاه را داراست؛ خط: شکسته نستعلیق، بی کا، بی تا، در آخر کتاب، حوادث ایام مظفرالدین شاه و محمد علیشاه تا سال ۱۳۲۵ با قلم الحاقی؛ کاغذ: فرنگی آهار مهره، جلد: مقوایی رویه کاغذی عطف تیماج تریاکی، ۱۶۵ص، ۱۸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۱۴۱]</w:t>
      </w:r>
    </w:p>
    <w:p>
      <w:pPr>
        <w:pStyle w:val="BookText"/>
      </w:pPr>
      <w:r>
        <w:rPr>
          <w:rFonts w:ascii="IRNazanin" w:hAnsi="IRNazanin" w:eastAsia="IRNazanin" w:cs="IRNazanin"/>
          <w:lang w:bidi="fa-IR"/>
          <w:color w:val="111111"/>
          <w:sz w:val="28"/>
          <w:szCs w:val="28"/>
          <w:rtl/>
        </w:rPr>
        <w:t xml:space="preserve">۴۲. تهران؛ فرمانفرمائیان، حافظ (دکتر)؛ شماره نسخه:بدون شماره ۱</w:t>
      </w:r>
    </w:p>
    <w:p>
      <w:pPr>
        <w:pStyle w:val="BookText"/>
      </w:pPr>
      <w:r>
        <w:rPr>
          <w:rFonts w:ascii="IRNazanin" w:hAnsi="IRNazanin" w:eastAsia="IRNazanin" w:cs="IRNazanin"/>
          <w:lang w:bidi="fa-IR"/>
          <w:color w:val="111111"/>
          <w:sz w:val="28"/>
          <w:szCs w:val="28"/>
          <w:rtl/>
        </w:rPr>
        <w:t xml:space="preserve">از کیومرث تا شاه سلطان حسین؛ خط: نستعلیق، بی کا، بی تا، جلد: تریاکی لاکی، قطع: رحلي[ نشریه: ۷-۵۵۰]</w:t>
      </w:r>
    </w:p>
    <w:p>
      <w:pPr>
        <w:pStyle w:val="BookText"/>
      </w:pPr>
      <w:r>
        <w:rPr>
          <w:rFonts w:ascii="IRNazanin" w:hAnsi="IRNazanin" w:eastAsia="IRNazanin" w:cs="IRNazanin"/>
          <w:lang w:bidi="fa-IR"/>
          <w:color w:val="111111"/>
          <w:sz w:val="28"/>
          <w:szCs w:val="28"/>
          <w:rtl/>
        </w:rPr>
        <w:t xml:space="preserve">۴۳. قم؛ مسجد اعظم، شماره نسخه:۱۴۵۳</w:t>
      </w:r>
    </w:p>
    <w:p>
      <w:pPr>
        <w:pStyle w:val="BookText"/>
      </w:pPr>
      <w:r>
        <w:rPr>
          <w:rFonts w:ascii="IRNazanin" w:hAnsi="IRNazanin" w:eastAsia="IRNazanin" w:cs="IRNazanin"/>
          <w:lang w:bidi="fa-IR"/>
          <w:color w:val="111111"/>
          <w:sz w:val="28"/>
          <w:szCs w:val="28"/>
          <w:rtl/>
        </w:rPr>
        <w:t xml:space="preserve">آغاز: تاریخ پادشاهان عجم که در ملک ایران سلطنت کرده اند از ابتداء سلطنت کیومرث؛ انجام و در سمرقند با امام قلیخان محاربه نمود به قتل رسیده و در این سال فرح آباد بنا شد. از آغاز سلسله پیشدادیان تا اواسط سلسله قاجاریه؛ خط: نسخ جلی، بی کا، بی تا، افتادگی: انجام؛ جلد: تیماج قهوه ای با ترنج و سر، ۱۳۱، ۱۲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مخ: ۱-۳۰۷]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494" w:name="pg20363_209806"/>
    <w:bookmarkEnd w:id="494"/>
    <w:p>
      <w:pPr>
        <w:pStyle w:val="BookText"/>
      </w:pPr>
      <w:r>
        <w:rPr>
          <w:rFonts w:ascii="IRNazanin" w:hAnsi="IRNazanin" w:eastAsia="IRNazanin" w:cs="IRNazanin"/>
          <w:lang w:bidi="fa-IR"/>
          <w:color w:val="111111"/>
          <w:sz w:val="28"/>
          <w:szCs w:val="28"/>
          <w:rtl/>
        </w:rPr>
        <w:t xml:space="preserve">۴۴. قم؛ مرعشی؛ شماره نسخه:۵۰۴۳</w:t>
      </w:r>
    </w:p>
    <w:p>
      <w:pPr>
        <w:pStyle w:val="BookText"/>
      </w:pPr>
      <w:r>
        <w:rPr>
          <w:rFonts w:ascii="IRNazanin" w:hAnsi="IRNazanin" w:eastAsia="IRNazanin" w:cs="IRNazanin"/>
          <w:lang w:bidi="fa-IR"/>
          <w:color w:val="111111"/>
          <w:sz w:val="28"/>
          <w:szCs w:val="28"/>
          <w:rtl/>
        </w:rPr>
        <w:t xml:space="preserve">خط: نستعلیق، بی کا، بیتا؛ جلد: تیماج قرمز، ۷۳گ، مختلف السطر،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۱۳- ۲۳۹]</w:t>
      </w:r>
    </w:p>
    <w:p>
      <w:pPr>
        <w:pStyle w:val="BookText"/>
      </w:pPr>
      <w:r>
        <w:rPr>
          <w:rFonts w:ascii="IRNazanin" w:hAnsi="IRNazanin" w:eastAsia="IRNazanin" w:cs="IRNazanin"/>
          <w:lang w:bidi="fa-IR"/>
          <w:color w:val="111111"/>
          <w:sz w:val="28"/>
          <w:szCs w:val="28"/>
          <w:rtl/>
        </w:rPr>
        <w:t xml:space="preserve">۴۵. قم، مرکز احیاء؛ شماره نسخه: ۹۶۰</w:t>
      </w:r>
    </w:p>
    <w:p>
      <w:pPr>
        <w:pStyle w:val="BookText"/>
      </w:pPr>
      <w:r>
        <w:rPr>
          <w:rFonts w:ascii="IRNazanin" w:hAnsi="IRNazanin" w:eastAsia="IRNazanin" w:cs="IRNazanin"/>
          <w:lang w:bidi="fa-IR"/>
          <w:color w:val="111111"/>
          <w:sz w:val="28"/>
          <w:szCs w:val="28"/>
          <w:rtl/>
        </w:rPr>
        <w:t xml:space="preserve">پیش از اسلام تا عصر محمد شاه قاجار و فتحعلی شاه؛ خط: نستعلیق، بی کا، بی تا، جلد: تیماج مشکی، ۸۱گ، مختلف السطر،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۳۴سم [ف: ۳-۱۸۱]</w:t>
      </w:r>
    </w:p>
    <w:p>
      <w:pPr>
        <w:pStyle w:val="BookText"/>
      </w:pPr>
      <w:r>
        <w:rPr>
          <w:rFonts w:ascii="IRNazanin" w:hAnsi="IRNazanin" w:eastAsia="IRNazanin" w:cs="IRNazanin"/>
          <w:lang w:bidi="fa-IR"/>
          <w:color w:val="111111"/>
          <w:sz w:val="28"/>
          <w:szCs w:val="28"/>
          <w:rtl/>
        </w:rPr>
        <w:t xml:space="preserve">۴۶. قم؛ مرعشی؛ شماره نسخه:۵۰۴۴</w:t>
      </w:r>
    </w:p>
    <w:p>
      <w:pPr>
        <w:pStyle w:val="BookText"/>
      </w:pPr>
      <w:r>
        <w:rPr>
          <w:rFonts w:ascii="IRNazanin" w:hAnsi="IRNazanin" w:eastAsia="IRNazanin" w:cs="IRNazanin"/>
          <w:lang w:bidi="fa-IR"/>
          <w:color w:val="111111"/>
          <w:sz w:val="28"/>
          <w:szCs w:val="28"/>
          <w:rtl/>
        </w:rPr>
        <w:t xml:space="preserve">از پیش از سلام تا عصر محمد شاه قاجار؛ خط: نستعلیق، بی کا، بیتا؛ جلد: تیماج قهوه ای، ۴۶گ، مختلف السطر، اندازه: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۳۰سم [ف: ۱۳- ۲۴۰]</w:t>
      </w:r>
    </w:p>
    <w:p>
      <w:pPr>
        <w:pStyle w:val="BookText"/>
      </w:pPr>
      <w:r>
        <w:rPr>
          <w:rFonts w:ascii="IRNazanin" w:hAnsi="IRNazanin" w:eastAsia="IRNazanin" w:cs="IRNazanin"/>
          <w:lang w:bidi="fa-IR"/>
          <w:color w:val="111111"/>
          <w:sz w:val="28"/>
          <w:szCs w:val="28"/>
          <w:rtl/>
        </w:rPr>
        <w:t xml:space="preserve">۴۷. تهران؛ سلطنتی؛ شماره نسخه: ۵۹۱</w:t>
      </w:r>
    </w:p>
    <w:p>
      <w:pPr>
        <w:pStyle w:val="BookText"/>
      </w:pPr>
      <w:r>
        <w:rPr>
          <w:rFonts w:ascii="IRNazanin" w:hAnsi="IRNazanin" w:eastAsia="IRNazanin" w:cs="IRNazanin"/>
          <w:lang w:bidi="fa-IR"/>
          <w:color w:val="111111"/>
          <w:sz w:val="28"/>
          <w:szCs w:val="28"/>
          <w:rtl/>
        </w:rPr>
        <w:t xml:space="preserve">آغاز: بسم الله الرحمن الرحيم السلطان ناصرالدین شاه قاجار خلد الله ... مجمل التاريخ پادشاهان عجم که در ملک ایران سلطنت کرده اند از ابتدای سلطنت کیومرث که بعضی او را اولاد آدم عليه السلام و برخی فرزند هفتم نوح عليه السلام خوانده اند؛ انجام: .... چون در این اوراق مراد بر اختصار بود ازین بیش نیفزود هرگاه منظور نظر کیمیا اثر بند گان ذیشو کت ... امیر معظم اتابک اعظم دام اجلاله العالی .. مقبول خاطر رأفت مظاهر افتد ... سایه مرحمت و عنایت سرکار عظمت مدار را بر سر عموم ... مستدام و پاینده دارد.</w:t>
      </w:r>
    </w:p>
    <w:p>
      <w:pPr>
        <w:pStyle w:val="BookText"/>
      </w:pPr>
      <w:r>
        <w:rPr>
          <w:rFonts w:ascii="IRNazanin" w:hAnsi="IRNazanin" w:eastAsia="IRNazanin" w:cs="IRNazanin"/>
          <w:lang w:bidi="fa-IR"/>
          <w:color w:val="111111"/>
          <w:sz w:val="28"/>
          <w:szCs w:val="28"/>
          <w:rtl/>
        </w:rPr>
        <w:t xml:space="preserve">العبد أقل السادات محمد جعفر الحسینی ... خط: شکسته نستعلیق، کا: سید محمد جعفر حسینی متخلص به آصفی، بی تا؛ مجدول؛ مهر: ناصرالدین شاه قاجار؛ کاغذ: اصفهانی شکری رنگ، جلد: مقوای روغنی بوم مرغشی قهوه ای، ۱۳۳ص، ۲۳-۲۱-۱۰ سطر، قطع : وزیری،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[ف: ۵-۳۹۶]</w:t>
      </w:r>
    </w:p>
    <w:p>
      <w:pPr>
        <w:pStyle w:val="BookText"/>
      </w:pPr>
      <w:r>
        <w:rPr>
          <w:rFonts w:ascii="IRNazanin" w:hAnsi="IRNazanin" w:eastAsia="IRNazanin" w:cs="IRNazanin"/>
          <w:lang w:bidi="fa-IR"/>
          <w:color w:val="111111"/>
          <w:sz w:val="28"/>
          <w:szCs w:val="28"/>
          <w:rtl/>
        </w:rPr>
        <w:t xml:space="preserve">← تاریخ سيد راقم ←تاریخ راقم</w:t>
      </w:r>
    </w:p>
    <w:p>
      <w:pPr>
        <w:pStyle w:val="Heading3"/>
      </w:pPr>
      <w:bookmarkStart w:id="2384" w:name="_Toc1644"/>
      <w:r>
        <w:t>•تاریخ سیرة البرامكة / تاریخ / عربی</w:t>
      </w:r>
      <w:bookmarkEnd w:id="2384"/>
    </w:p>
    <w:p>
      <w:pPr>
        <w:pStyle w:val="BookText"/>
      </w:pPr>
      <w:r>
        <w:rPr>
          <w:rFonts w:ascii="Times New Roman" w:hAnsi="Times New Roman" w:eastAsia="Times New Roman" w:cs="Times New Roman"/>
          <w:lang w:val="en-US" w:bidi="en-US"/>
          <w:color w:val="111111"/>
          <w:sz w:val="28"/>
          <w:szCs w:val="28"/>
          <w:rtl/>
        </w:rPr>
        <w:t xml:space="preserve">tārīx-u sīrat-il barāmaka</w:t>
      </w:r>
    </w:p>
    <w:p>
      <w:pPr>
        <w:pStyle w:val="BookText"/>
      </w:pPr>
      <w:r>
        <w:rPr>
          <w:rFonts w:ascii="IRNazanin" w:hAnsi="IRNazanin" w:eastAsia="IRNazanin" w:cs="IRNazanin"/>
          <w:lang w:bidi="fa-IR"/>
          <w:color w:val="111111"/>
          <w:sz w:val="28"/>
          <w:szCs w:val="28"/>
          <w:rtl/>
        </w:rPr>
        <w:t xml:space="preserve">تهران، دانشگاه؛ شماره نسخه:۳۵۵۳-ف</w:t>
      </w:r>
    </w:p>
    <w:p>
      <w:pPr>
        <w:pStyle w:val="BookText"/>
      </w:pPr>
      <w:r>
        <w:rPr>
          <w:rFonts w:ascii="IRNazanin" w:hAnsi="IRNazanin" w:eastAsia="IRNazanin" w:cs="IRNazanin"/>
          <w:lang w:bidi="fa-IR"/>
          <w:color w:val="111111"/>
          <w:sz w:val="28"/>
          <w:szCs w:val="28"/>
          <w:rtl/>
        </w:rPr>
        <w:t xml:space="preserve">نسخه اصل: برلین , </w:t>
      </w:r>
      <w:r>
        <w:rPr>
          <w:rFonts w:ascii="Times New Roman" w:hAnsi="Times New Roman" w:eastAsia="Times New Roman" w:cs="Times New Roman"/>
          <w:lang w:val="en-US" w:bidi="en-US"/>
          <w:color w:val="111111"/>
          <w:sz w:val="28"/>
          <w:szCs w:val="28"/>
          <w:rtl/>
        </w:rPr>
        <w:t xml:space="preserve">wetzeimn ii 381. peterman 74-109</w:t>
      </w:r>
    </w:p>
    <w:p>
      <w:pPr>
        <w:pStyle w:val="BookText"/>
      </w:pPr>
      <w:r>
        <w:rPr>
          <w:rFonts w:ascii="Times New Roman" w:hAnsi="Times New Roman" w:eastAsia="Times New Roman" w:cs="Times New Roman"/>
          <w:lang w:val="en-US" w:bidi="en-US"/>
          <w:color w:val="111111"/>
          <w:sz w:val="28"/>
          <w:szCs w:val="28"/>
          <w:rtl/>
        </w:rPr>
        <w:t xml:space="preserve">peterman ii 75 fol 262 , 1331 fol . (</w:t>
      </w:r>
      <w:r>
        <w:rPr>
          <w:rFonts w:ascii="IRNazanin" w:hAnsi="IRNazanin" w:eastAsia="IRNazanin" w:cs="IRNazanin"/>
          <w:lang w:bidi="fa-IR"/>
          <w:color w:val="111111"/>
          <w:sz w:val="28"/>
          <w:szCs w:val="28"/>
          <w:rtl/>
        </w:rPr>
        <w:t xml:space="preserve">فهرست اهلورت</w:t>
      </w:r>
    </w:p>
    <w:p>
      <w:pPr>
        <w:pStyle w:val="BookText"/>
      </w:pPr>
      <w:r>
        <w:rPr>
          <w:rFonts w:ascii="IRNazanin" w:hAnsi="IRNazanin" w:eastAsia="IRNazanin" w:cs="IRNazanin"/>
          <w:lang w:bidi="fa-IR"/>
          <w:color w:val="111111"/>
          <w:sz w:val="28"/>
          <w:szCs w:val="28"/>
          <w:rtl/>
        </w:rPr>
        <w:t xml:space="preserve">۸: ۵۵ ش ۹۰۷۶)؛ بی کا، بی تا [فيلمها ف: ۲-۱۷۸]</w:t>
      </w:r>
    </w:p>
    <w:p>
      <w:pPr>
        <w:pStyle w:val="Heading3"/>
      </w:pPr>
      <w:bookmarkStart w:id="2385" w:name="_Toc1645"/>
      <w:r>
        <w:t>• تاریخ سیستان / تاریخ ایران / عربی</w:t>
      </w:r>
      <w:bookmarkEnd w:id="2385"/>
    </w:p>
    <w:p>
      <w:pPr>
        <w:pStyle w:val="BookText"/>
      </w:pPr>
      <w:r>
        <w:rPr>
          <w:rFonts w:ascii="Times New Roman" w:hAnsi="Times New Roman" w:eastAsia="Times New Roman" w:cs="Times New Roman"/>
          <w:lang w:val="en-US" w:bidi="en-US"/>
          <w:color w:val="111111"/>
          <w:sz w:val="28"/>
          <w:szCs w:val="28"/>
          <w:rtl/>
        </w:rPr>
        <w:t xml:space="preserve">tārīx-e sīstān</w:t>
      </w:r>
    </w:p>
    <w:p>
      <w:pPr>
        <w:pStyle w:val="BookText"/>
      </w:pPr>
      <w:r>
        <w:rPr>
          <w:rFonts w:ascii="IRNazanin" w:hAnsi="IRNazanin" w:eastAsia="IRNazanin" w:cs="IRNazanin"/>
          <w:lang w:bidi="fa-IR"/>
          <w:color w:val="111111"/>
          <w:sz w:val="28"/>
          <w:szCs w:val="28"/>
          <w:rtl/>
        </w:rPr>
        <w:t xml:space="preserve">ابن معتز، عبدالله بن محمد، ۲۴۷-۲۹۶ قمری</w:t>
      </w:r>
    </w:p>
    <w:p>
      <w:pPr>
        <w:pStyle w:val="BookText"/>
      </w:pPr>
      <w:r>
        <w:rPr>
          <w:rFonts w:ascii="Times New Roman" w:hAnsi="Times New Roman" w:eastAsia="Times New Roman" w:cs="Times New Roman"/>
          <w:lang w:val="en-US" w:bidi="en-US"/>
          <w:color w:val="111111"/>
          <w:sz w:val="28"/>
          <w:szCs w:val="28"/>
          <w:rtl/>
        </w:rPr>
        <w:t xml:space="preserve">ebn-e moʻtazz, 'abd-ol-lāh ebn-e mohammad (862 -910)</w:t>
      </w:r>
    </w:p>
    <w:p>
      <w:pPr>
        <w:pStyle w:val="BookText"/>
      </w:pPr>
      <w:r>
        <w:rPr>
          <w:rFonts w:ascii="IRNazanin" w:hAnsi="IRNazanin" w:eastAsia="IRNazanin" w:cs="IRNazanin"/>
          <w:lang w:bidi="fa-IR"/>
          <w:color w:val="111111"/>
          <w:sz w:val="28"/>
          <w:szCs w:val="28"/>
          <w:rtl/>
        </w:rPr>
        <w:t xml:space="preserve">تهران؛ مجلس؛ شماره نسخه:۶۹۲</w:t>
      </w:r>
    </w:p>
    <w:p>
      <w:pPr>
        <w:pStyle w:val="BookText"/>
      </w:pPr>
      <w:r>
        <w:rPr>
          <w:rFonts w:ascii="IRNazanin" w:hAnsi="IRNazanin" w:eastAsia="IRNazanin" w:cs="IRNazanin"/>
          <w:lang w:bidi="fa-IR"/>
          <w:color w:val="111111"/>
          <w:sz w:val="28"/>
          <w:szCs w:val="28"/>
          <w:rtl/>
        </w:rPr>
        <w:t xml:space="preserve">تاریخ سیاقی - تاریخ سیستان ۶۷۹ خط: نسخ کهن، بی کا، بی تا، با یادداشت های غلام حسین در ۱۲۹۶ و سعد الدين ملا محمد کرکوکلی در ۱۲۴۳، با تصحیح ملک الشعراء بهار در هامش و تحقیق او در صفحه آخر با ۱۹ بیت شعر در ص ع کاغذ: سفید، جلد: تیماج آلبالویی با ترنج و سرترنج، ۱۹۷، ۱۷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 [سنا: ف: ۳۲-۲ ]</w:t>
      </w:r>
    </w:p>
    <w:p>
      <w:pPr>
        <w:pStyle w:val="Heading3"/>
      </w:pPr>
      <w:bookmarkStart w:id="2386" w:name="_Toc1646"/>
      <w:r>
        <w:t>•تاریخ سیستان / شعر، تاریخ / فارسی</w:t>
      </w:r>
      <w:bookmarkEnd w:id="2386"/>
    </w:p>
    <w:p>
      <w:pPr>
        <w:pStyle w:val="BookText"/>
      </w:pPr>
      <w:r>
        <w:rPr>
          <w:rFonts w:ascii="Times New Roman" w:hAnsi="Times New Roman" w:eastAsia="Times New Roman" w:cs="Times New Roman"/>
          <w:lang w:val="en-US" w:bidi="en-US"/>
          <w:color w:val="111111"/>
          <w:sz w:val="28"/>
          <w:szCs w:val="28"/>
          <w:rtl/>
        </w:rPr>
        <w:t xml:space="preserve">tārīx-e sīstān</w:t>
      </w:r>
    </w:p>
    <w:p>
      <w:pPr>
        <w:pStyle w:val="BookText"/>
      </w:pPr>
      <w:r>
        <w:rPr>
          <w:rFonts w:ascii="IRNazanin" w:hAnsi="IRNazanin" w:eastAsia="IRNazanin" w:cs="IRNazanin"/>
          <w:lang w:bidi="fa-IR"/>
          <w:color w:val="111111"/>
          <w:sz w:val="28"/>
          <w:szCs w:val="28"/>
          <w:rtl/>
        </w:rPr>
        <w:t xml:space="preserve">تاریخ تأليف: ۱۲۰۶ق از ظهیر. منظومه ای است در تاریخ سیستان از روزگار باستان تا تاریخ ۱۲۰۶ که سروده شده است. [فهرستواره منزوی ۸۷۴/۲ ]</w:t>
      </w:r>
    </w:p>
    <w:p>
      <w:pPr>
        <w:pStyle w:val="BookText"/>
      </w:pPr>
      <w:r>
        <w:rPr>
          <w:rFonts w:ascii="IRNazanin" w:hAnsi="IRNazanin" w:eastAsia="IRNazanin" w:cs="IRNazanin"/>
          <w:lang w:bidi="fa-IR"/>
          <w:color w:val="111111"/>
          <w:sz w:val="28"/>
          <w:szCs w:val="28"/>
          <w:rtl/>
        </w:rPr>
        <w:t xml:space="preserve">تهران؛ مهدوی؛ شماره نسخه:۱۱۹</w:t>
      </w:r>
    </w:p>
    <w:p>
      <w:pPr>
        <w:pStyle w:val="BookText"/>
      </w:pPr>
      <w:r>
        <w:rPr>
          <w:rFonts w:ascii="IRNazanin" w:hAnsi="IRNazanin" w:eastAsia="IRNazanin" w:cs="IRNazanin"/>
          <w:lang w:bidi="fa-IR"/>
          <w:color w:val="111111"/>
          <w:sz w:val="28"/>
          <w:szCs w:val="28"/>
          <w:rtl/>
        </w:rPr>
        <w:t xml:space="preserve">خط: نستعلیق، کاتب = مؤلف، تا: قرن ۱۳ کاغذ: فرنگی [نشريه: ۶۵-۲ ]</w:t>
      </w:r>
    </w:p>
    <w:p>
      <w:pPr>
        <w:pStyle w:val="Heading3"/>
      </w:pPr>
      <w:bookmarkStart w:id="2387" w:name="_Toc1647"/>
      <w:r>
        <w:t>•تاریخ سیستان / تاریخ ایران / فارسی</w:t>
      </w:r>
      <w:bookmarkEnd w:id="2387"/>
    </w:p>
    <w:p>
      <w:pPr>
        <w:pStyle w:val="BookText"/>
      </w:pPr>
      <w:r>
        <w:rPr>
          <w:rFonts w:ascii="Times New Roman" w:hAnsi="Times New Roman" w:eastAsia="Times New Roman" w:cs="Times New Roman"/>
          <w:lang w:val="en-US" w:bidi="en-US"/>
          <w:color w:val="111111"/>
          <w:sz w:val="28"/>
          <w:szCs w:val="28"/>
          <w:rtl/>
        </w:rPr>
        <w:t xml:space="preserve">tārīx-e sīstān</w:t>
      </w:r>
    </w:p>
    <w:p>
      <w:pPr>
        <w:pStyle w:val="BookText"/>
      </w:pPr>
      <w:r>
        <w:rPr>
          <w:rFonts w:ascii="IRNazanin" w:hAnsi="IRNazanin" w:eastAsia="IRNazanin" w:cs="IRNazanin"/>
          <w:lang w:bidi="fa-IR"/>
          <w:color w:val="111111"/>
          <w:sz w:val="28"/>
          <w:szCs w:val="28"/>
          <w:rtl/>
        </w:rPr>
        <w:t xml:space="preserve">در دو بخش جدا، یکم آن می رسد به ۴۴۴-۴۴۵ق (اوایل سلجوقیان)، بخش دوم کسی دیگر دنبال کرده رویدادها را به ۷۲۵ق رسانده است. در آغاز بنای سیستان و حدود شهر سجستان و احوال و انساب بزرگان و وقایع تاریخی آن سرزمین، گرفته شده از کتاب گرشاسب و کتاب فضائل سجستان هلال بن یوسف اوقی. آغاز: بسمله، الحمدلله رب العالمين و سبحان الذي أحاط بكل شیی علمه و نفذ في كل موجود حكمه و ظهر في جميع .. اخبار سیستان از اول که بنا کردند و انساب بزرگان و حد و شهر سجستان که از کجا بود، اندر ابتدا و فضائل آم بر دیگر شهرها</w:t>
      </w:r>
    </w:p>
    <w:p>
      <w:pPr>
        <w:pStyle w:val="BookText"/>
      </w:pPr>
      <w:r>
        <w:rPr>
          <w:rFonts w:ascii="IRNazanin" w:hAnsi="IRNazanin" w:eastAsia="IRNazanin" w:cs="IRNazanin"/>
          <w:lang w:bidi="fa-IR"/>
          <w:color w:val="111111"/>
          <w:sz w:val="28"/>
          <w:szCs w:val="28"/>
          <w:rtl/>
        </w:rPr>
        <w:t xml:space="preserve">انجام: مقاومت و معاندت از میان بر گرفتند و با هم می گذراندند تا بآخر و بالله التوفيق و الاعانه چاپ: در پاورقی روزنامه ایران به سال ۱۲۹۹-۱۳۰۲، به کوشش ملک الشعرای بهار، تهران، ۱۳۱۵</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۳۶۰-بهار</w:t>
      </w:r>
    </w:p>
    <w:p>
      <w:pPr>
        <w:pStyle w:val="BookText"/>
      </w:pPr>
      <w:r>
        <w:rPr>
          <w:rFonts w:ascii="IRNazanin" w:hAnsi="IRNazanin" w:eastAsia="IRNazanin" w:cs="IRNazanin"/>
          <w:lang w:bidi="fa-IR"/>
          <w:color w:val="111111"/>
          <w:sz w:val="28"/>
          <w:szCs w:val="28"/>
          <w:rtl/>
        </w:rPr>
        <w:t xml:space="preserve">خط: نسخ، کا: ایرانی تیموری، تا: قرن ۱۹</w:t>
      </w:r>
    </w:p>
    <w:p>
      <w:pPr>
        <w:pStyle w:val="BookText"/>
      </w:pPr>
      <w:r>
        <w:rPr>
          <w:rFonts w:ascii="IRNazanin" w:hAnsi="IRNazanin" w:eastAsia="IRNazanin" w:cs="IRNazanin"/>
          <w:lang w:bidi="fa-IR"/>
          <w:color w:val="111111"/>
          <w:sz w:val="28"/>
          <w:szCs w:val="28"/>
          <w:rtl/>
        </w:rPr>
        <w:t xml:space="preserve">کاغذ: سمر قندی، ۳۹۲ص، قطع: ربعی [نشریه: ۵-۶۵۹]</w:t>
      </w:r>
    </w:p>
    <w:p>
      <w:pPr>
        <w:pStyle w:val="BookText"/>
      </w:pPr>
      <w:r>
        <w:rPr>
          <w:rFonts w:ascii="IRNazanin" w:hAnsi="IRNazanin" w:eastAsia="IRNazanin" w:cs="IRNazanin"/>
          <w:lang w:bidi="fa-IR"/>
          <w:color w:val="111111"/>
          <w:sz w:val="28"/>
          <w:szCs w:val="28"/>
          <w:rtl/>
        </w:rPr>
        <w:t xml:space="preserve">۲. تهران؛ ملک؛ شماره نسخه: ۳۹۱۰]</w:t>
      </w:r>
    </w:p>
    <w:p>
      <w:pPr>
        <w:pStyle w:val="BookText"/>
      </w:pPr>
      <w:r>
        <w:rPr>
          <w:rFonts w:ascii="IRNazanin" w:hAnsi="IRNazanin" w:eastAsia="IRNazanin" w:cs="IRNazanin"/>
          <w:lang w:bidi="fa-IR"/>
          <w:color w:val="111111"/>
          <w:sz w:val="28"/>
          <w:szCs w:val="28"/>
          <w:rtl/>
        </w:rPr>
        <w:t xml:space="preserve">خط: شکسته، نستعلیق، بی کا، تا: قرن ۱۳؛ تملک: کتابخانه صنيع الدوله در ۱۲۹۸؛ کاغذ: کاغذ فرنگی، جلد: میشن قرمز، ۱۱۱گ، ۱۹ سطر، اندازه: ۲۹/۴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۲۰/۴ سم [ف: ۲-۸۳]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ملی؛ شماره نسخه:۱۹۲۹</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495" w:name="pg20363_209807"/>
    <w:bookmarkEnd w:id="495"/>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این نسخه تا آنجا که با نسخه چاپی مطابقت شد ظاهرة اختلافی بین آن دو نیست چه سقطات هر دو یکی و اسماء به همان شکل است که در نسخه چاپی است. ظاهرا باید این نسخه از روی روزنامه ایران استنساخ شده باشد؛ خط: شکسته نستعلیق، بی کا، تا: قرن ۱۳، جا؛ تهران؛ کاغذ: فرنگی، جلد: تیماج ماشی، ۹۶گ، ۱۷ سطر (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۴-۳۸۷]</w:t>
      </w:r>
    </w:p>
    <w:p>
      <w:pPr>
        <w:pStyle w:val="BookText"/>
      </w:pPr>
      <w:r>
        <w:rPr>
          <w:rFonts w:ascii="IRNazanin" w:hAnsi="IRNazanin" w:eastAsia="IRNazanin" w:cs="IRNazanin"/>
          <w:lang w:bidi="fa-IR"/>
          <w:color w:val="111111"/>
          <w:sz w:val="28"/>
          <w:szCs w:val="28"/>
          <w:rtl/>
        </w:rPr>
        <w:t xml:space="preserve">۴. تهران؛ ادبیات؛ شماره نسخه: ۲۴۶ - ج</w:t>
      </w:r>
    </w:p>
    <w:p>
      <w:pPr>
        <w:pStyle w:val="BookText"/>
      </w:pPr>
      <w:r>
        <w:rPr>
          <w:rFonts w:ascii="IRNazanin" w:hAnsi="IRNazanin" w:eastAsia="IRNazanin" w:cs="IRNazanin"/>
          <w:lang w:bidi="fa-IR"/>
          <w:color w:val="111111"/>
          <w:sz w:val="28"/>
          <w:szCs w:val="28"/>
          <w:rtl/>
        </w:rPr>
        <w:t xml:space="preserve">خط: نستعلیق، بی کا، تا: ۱۲۹۹ق؛ از نسخ میرزا محمد خان قزوینی، از روی پاورقی های روزنامه ایران سال ۱۲۹۶-۱۳۰۲ نویسنده عباس اقبال آشتیانی برای میرزا محمد خان قزوینی در ۲۸ ربیع الاول ۱۳۴۵، با یادداشت های قزوینی در ص ع مورخ ۱۳۴۹ با نامه آقای سعید نفیسی به قزوینی که در ۱ رجب ۱۳۴۲ به او رسیده بود؛ کاغذ: فرنگی، جلد: مقوا، ۱۸۱گ، ۱۳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۱-۶۷]</w:t>
      </w:r>
    </w:p>
    <w:p>
      <w:pPr>
        <w:pStyle w:val="BookText"/>
      </w:pPr>
      <w:r>
        <w:rPr>
          <w:rFonts w:ascii="IRNazanin" w:hAnsi="IRNazanin" w:eastAsia="IRNazanin" w:cs="IRNazanin"/>
          <w:lang w:bidi="fa-IR"/>
          <w:color w:val="111111"/>
          <w:sz w:val="28"/>
          <w:szCs w:val="28"/>
          <w:rtl/>
        </w:rPr>
        <w:t xml:space="preserve">تهران؛ دانشگاه؛ شماره نسخه:۲۵۲۷-ف</w:t>
      </w:r>
    </w:p>
    <w:p>
      <w:pPr>
        <w:pStyle w:val="BookText"/>
      </w:pPr>
      <w:r>
        <w:rPr>
          <w:rFonts w:ascii="IRNazanin" w:hAnsi="IRNazanin" w:eastAsia="IRNazanin" w:cs="IRNazanin"/>
          <w:lang w:bidi="fa-IR"/>
          <w:color w:val="111111"/>
          <w:sz w:val="28"/>
          <w:szCs w:val="28"/>
          <w:rtl/>
        </w:rPr>
        <w:t xml:space="preserve">نسخه اصل: همان نسخه بالا [فیلمها ف: ۱-۳۴]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مرعشی؛ شماره نسخه:۹۰۳۷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طبق یادداشتی روی برگ اول این نسخه کتاب حاضر میانه سالهای ۴۴۵-۷۲۵ تألیف شده است؛ خط: نستعلیق، بی کا، تا: قرن ۱۴، جلد: گالینگور مشکی، ۱۹۱، ۱۳ سطر، اندازه:</w:t>
      </w:r>
    </w:p>
    <w:p>
      <w:pPr>
        <w:pStyle w:val="BookText"/>
      </w:pPr>
      <w:r>
        <w:rPr>
          <w:rFonts w:ascii="IRNazanin" w:hAnsi="IRNazanin" w:eastAsia="IRNazanin" w:cs="IRNazanin"/>
          <w:lang w:bidi="fa-IR"/>
          <w:color w:val="111111"/>
          <w:sz w:val="28"/>
          <w:szCs w:val="28"/>
          <w:rtl/>
        </w:rPr>
        <w:t xml:space="preserve">۲۱/۵۸۱۶سم [ف: ۲۳-۱۹۴]</w:t>
      </w:r>
    </w:p>
    <w:p>
      <w:pPr>
        <w:pStyle w:val="BookText"/>
      </w:pPr>
      <w:r>
        <w:rPr>
          <w:rFonts w:ascii="IRNazanin" w:hAnsi="IRNazanin" w:eastAsia="IRNazanin" w:cs="IRNazanin"/>
          <w:lang w:bidi="fa-IR"/>
          <w:color w:val="111111"/>
          <w:sz w:val="28"/>
          <w:szCs w:val="28"/>
          <w:rtl/>
        </w:rPr>
        <w:t xml:space="preserve">6 . تهران؛ مینوی؛ شماره نسخه:۶۲</w:t>
      </w:r>
    </w:p>
    <w:p>
      <w:pPr>
        <w:pStyle w:val="BookText"/>
      </w:pPr>
      <w:r>
        <w:rPr>
          <w:rFonts w:ascii="IRNazanin" w:hAnsi="IRNazanin" w:eastAsia="IRNazanin" w:cs="IRNazanin"/>
          <w:lang w:bidi="fa-IR"/>
          <w:color w:val="111111"/>
          <w:sz w:val="28"/>
          <w:szCs w:val="28"/>
          <w:rtl/>
        </w:rPr>
        <w:t xml:space="preserve">نقل از روزنامه ایران؛ خط: نستعلیق، کا: آقای احمد مینوی برادر آقای مینوی، تا: ۱۳۰۵ق؛ مقابله شده با نسخه کهن ملک الشعراء بهار؛ ۶۹۶گ [نشریه: ۶-۶۴۰]</w:t>
      </w:r>
    </w:p>
    <w:p>
      <w:pPr>
        <w:pStyle w:val="BookText"/>
      </w:pPr>
      <w:r>
        <w:rPr>
          <w:rFonts w:ascii="IRNazanin" w:hAnsi="IRNazanin" w:eastAsia="IRNazanin" w:cs="IRNazanin"/>
          <w:lang w:bidi="fa-IR"/>
          <w:color w:val="111111"/>
          <w:sz w:val="28"/>
          <w:szCs w:val="28"/>
          <w:rtl/>
        </w:rPr>
        <w:t xml:space="preserve">۷. تهران، دانشگاه؛ شماره نسخه:۵۴۳۶</w:t>
      </w:r>
    </w:p>
    <w:p>
      <w:pPr>
        <w:pStyle w:val="BookText"/>
      </w:pPr>
      <w:r>
        <w:rPr>
          <w:rFonts w:ascii="IRNazanin" w:hAnsi="IRNazanin" w:eastAsia="IRNazanin" w:cs="IRNazanin"/>
          <w:lang w:bidi="fa-IR"/>
          <w:color w:val="111111"/>
          <w:sz w:val="28"/>
          <w:szCs w:val="28"/>
          <w:rtl/>
        </w:rPr>
        <w:t xml:space="preserve">در آغاز و انجام آن خط اقبال آشتیانی است؛ کاغذ: فرنگی، جلد: گالینگور قهوه ای، ۱۲۳ گی، ۲۳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۱۶-۸]</w:t>
      </w:r>
    </w:p>
    <w:p>
      <w:pPr>
        <w:pStyle w:val="BookText"/>
      </w:pPr>
      <w:r>
        <w:rPr>
          <w:rFonts w:ascii="IRNazanin" w:hAnsi="IRNazanin" w:eastAsia="IRNazanin" w:cs="IRNazanin"/>
          <w:lang w:bidi="fa-IR"/>
          <w:color w:val="111111"/>
          <w:sz w:val="28"/>
          <w:szCs w:val="28"/>
          <w:rtl/>
        </w:rPr>
        <w:t xml:space="preserve">←تاریخ سیفی ← تاریخ نامه هرات</w:t>
      </w:r>
    </w:p>
    <w:p>
      <w:pPr>
        <w:pStyle w:val="Heading3"/>
      </w:pPr>
      <w:bookmarkStart w:id="2388" w:name="_Toc1648"/>
      <w:r>
        <w:t>• تاریخ سیکها / تاریخ هند-هندی</w:t>
      </w:r>
      <w:bookmarkEnd w:id="2388"/>
    </w:p>
    <w:p>
      <w:pPr>
        <w:pStyle w:val="BookText"/>
      </w:pPr>
      <w:r>
        <w:rPr>
          <w:rFonts w:ascii="Times New Roman" w:hAnsi="Times New Roman" w:eastAsia="Times New Roman" w:cs="Times New Roman"/>
          <w:lang w:val="en-US" w:bidi="en-US"/>
          <w:color w:val="111111"/>
          <w:sz w:val="28"/>
          <w:szCs w:val="28"/>
          <w:rtl/>
        </w:rPr>
        <w:t xml:space="preserve">tārīx-e sīk-hā</w:t>
      </w:r>
    </w:p>
    <w:p>
      <w:pPr>
        <w:pStyle w:val="BookText"/>
      </w:pPr>
      <w:r>
        <w:rPr>
          <w:rFonts w:ascii="IRNazanin" w:hAnsi="IRNazanin" w:eastAsia="IRNazanin" w:cs="IRNazanin"/>
          <w:lang w:bidi="fa-IR"/>
          <w:color w:val="111111"/>
          <w:sz w:val="28"/>
          <w:szCs w:val="28"/>
          <w:rtl/>
        </w:rPr>
        <w:t xml:space="preserve">تهران؛ دانشگاه؛ شماره نسخه:۵۳۲۸</w:t>
      </w:r>
    </w:p>
    <w:p>
      <w:pPr>
        <w:pStyle w:val="BookText"/>
      </w:pPr>
      <w:r>
        <w:rPr>
          <w:rFonts w:ascii="IRNazanin" w:hAnsi="IRNazanin" w:eastAsia="IRNazanin" w:cs="IRNazanin"/>
          <w:lang w:bidi="fa-IR"/>
          <w:color w:val="111111"/>
          <w:sz w:val="28"/>
          <w:szCs w:val="28"/>
          <w:rtl/>
        </w:rPr>
        <w:t xml:space="preserve">از سر گذشت چارت سینگه ۱۷۵۷</w:t>
      </w:r>
      <w:r>
        <w:rPr>
          <w:rFonts w:ascii="Times New Roman" w:hAnsi="Times New Roman" w:eastAsia="Times New Roman" w:cs="Times New Roman"/>
          <w:lang w:val="en-US" w:bidi="en-US"/>
          <w:color w:val="111111"/>
          <w:sz w:val="28"/>
          <w:szCs w:val="28"/>
          <w:rtl/>
        </w:rPr>
        <w:t xml:space="preserve">Ghart Singh </w:t>
      </w:r>
      <w:r>
        <w:rPr>
          <w:rFonts w:ascii="IRNazanin" w:hAnsi="IRNazanin" w:eastAsia="IRNazanin" w:cs="IRNazanin"/>
          <w:lang w:bidi="fa-IR"/>
          <w:color w:val="111111"/>
          <w:sz w:val="28"/>
          <w:szCs w:val="28"/>
          <w:rtl/>
        </w:rPr>
        <w:t xml:space="preserve">تا رنجیت </w:t>
      </w:r>
      <w:r>
        <w:rPr>
          <w:rFonts w:ascii="Times New Roman" w:hAnsi="Times New Roman" w:eastAsia="Times New Roman" w:cs="Times New Roman"/>
          <w:lang w:val="en-US" w:bidi="en-US"/>
          <w:color w:val="111111"/>
          <w:sz w:val="28"/>
          <w:szCs w:val="28"/>
          <w:rtl/>
        </w:rPr>
        <w:t xml:space="preserve">Ranjit </w:t>
      </w:r>
      <w:r>
        <w:rPr>
          <w:rFonts w:ascii="IRNazanin" w:hAnsi="IRNazanin" w:eastAsia="IRNazanin" w:cs="IRNazanin"/>
          <w:lang w:bidi="fa-IR"/>
          <w:color w:val="111111"/>
          <w:sz w:val="28"/>
          <w:szCs w:val="28"/>
          <w:rtl/>
        </w:rPr>
        <w:t xml:space="preserve">سینگه (پایان ماه می ۱۸۱۰ به پایان ربيع الثانی ۱۲۲۰)؛ خط: نستعلیق هندی، بی کا، تا: پایان ربيع الثانی ۱۲۲۰ق، در نسخه دیباچه ای نیست و نام مؤلف در آن یاد نشده و گویا بخشی است از کتاب اقوال فرقه سیخان از خوشوقت رای؛ کاغذ: هندی، جلد: تیماج قهوه ای زرکوب مقوایی، ۸گ، ۱۳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۱۵-۴۲۰۵]</w:t>
      </w:r>
    </w:p>
    <w:p>
      <w:pPr>
        <w:pStyle w:val="Heading3"/>
      </w:pPr>
      <w:bookmarkStart w:id="2389" w:name="_Toc1649"/>
      <w:r>
        <w:t>•تاریخ شاپور (ترجمه) / داستان / فارسی</w:t>
      </w:r>
      <w:bookmarkEnd w:id="2389"/>
    </w:p>
    <w:p>
      <w:pPr>
        <w:pStyle w:val="BookText"/>
      </w:pPr>
      <w:r>
        <w:rPr>
          <w:rFonts w:ascii="Times New Roman" w:hAnsi="Times New Roman" w:eastAsia="Times New Roman" w:cs="Times New Roman"/>
          <w:lang w:val="en-US" w:bidi="en-US"/>
          <w:color w:val="111111"/>
          <w:sz w:val="28"/>
          <w:szCs w:val="28"/>
          <w:rtl/>
        </w:rPr>
        <w:t xml:space="preserve">tarix-e Sapur (t.)</w:t>
      </w:r>
    </w:p>
    <w:p>
      <w:pPr>
        <w:pStyle w:val="BookText"/>
      </w:pPr>
      <w:r>
        <w:rPr>
          <w:rFonts w:ascii="IRNazanin" w:hAnsi="IRNazanin" w:eastAsia="IRNazanin" w:cs="IRNazanin"/>
          <w:lang w:bidi="fa-IR"/>
          <w:color w:val="111111"/>
          <w:sz w:val="28"/>
          <w:szCs w:val="28"/>
          <w:rtl/>
        </w:rPr>
        <w:t xml:space="preserve">زند، عبدالحسین، ق ۱۴ قمری</w:t>
      </w:r>
    </w:p>
    <w:p>
      <w:pPr>
        <w:pStyle w:val="BookText"/>
      </w:pPr>
      <w:r>
        <w:rPr>
          <w:rFonts w:ascii="Times New Roman" w:hAnsi="Times New Roman" w:eastAsia="Times New Roman" w:cs="Times New Roman"/>
          <w:lang w:val="en-US" w:bidi="en-US"/>
          <w:color w:val="111111"/>
          <w:sz w:val="28"/>
          <w:szCs w:val="28"/>
          <w:rtl/>
        </w:rPr>
        <w:t xml:space="preserve">zand, 'abd-ol-hoseyn (-20c)</w:t>
      </w:r>
    </w:p>
    <w:p>
      <w:pPr>
        <w:pStyle w:val="BookText"/>
      </w:pPr>
      <w:r>
        <w:rPr>
          <w:rFonts w:ascii="IRNazanin" w:hAnsi="IRNazanin" w:eastAsia="IRNazanin" w:cs="IRNazanin"/>
          <w:lang w:bidi="fa-IR"/>
          <w:color w:val="111111"/>
          <w:sz w:val="28"/>
          <w:szCs w:val="28"/>
          <w:rtl/>
        </w:rPr>
        <w:t xml:space="preserve">اهداء به: مظفرالدین شاه و عین الدوله تاریخ تأليف: اردیبهشت ۱۳۲۱ تا ۱۳۲۳ق کتاب مفصل و بسیار جالبی است در احوال شاپور فرزند هرمز فرزند گودرز که پدرش به دست اعراب قبیلہ بنو قیصر، به شیخوخیت حسان بن نعمان در حمله به جزیره خوشاب کشته می شود. مادر شاپور، پریچهر به کمک غلام خود فیروز، کنیزش گلنام و به همراهی خواهر بزرگتر خود، همایون دخت می گریزد و شاپور را در پناهگاهی دور از دسترس اعراب به دنیا می آورد. پس از چند روز، فیروز که در حال تلاش برای تهیه مایحتاج مخدومان خود است به دست اعراب که دیگر جزیره را تصرف کرده اند می افتد. اما با خوش برخوردی حسان بن نعمان مواجه می شود. رابطه اعراب و این چند فارسی پس از چند بار هدیه فرستادن و دید و بازدید، به نیکی می گراید. ایشان اسلام می آورند و شیخ بنو قیصر جنوب جزیره را در حکمی تحت اختیار همایون دخت و پریچهر و و فرزندانشان، شاپور و ماه آفرید (دختر تازه به دنیا آمده همایون دخت که در زمان حمله اعراب در شکم مادر بوده است می گذارد. کل کتاب سرگذشت شاپور و ماجراهای وی است که سرانجام به حکمرانی او بر ولایت فارس و شهر شیراز در عهد هارون الرشید و برمکیان می انجامد.</w:t>
      </w:r>
    </w:p>
    <w:p>
      <w:pPr>
        <w:pStyle w:val="BookText"/>
      </w:pPr>
      <w:r>
        <w:rPr>
          <w:rFonts w:ascii="IRNazanin" w:hAnsi="IRNazanin" w:eastAsia="IRNazanin" w:cs="IRNazanin"/>
          <w:lang w:bidi="fa-IR"/>
          <w:color w:val="111111"/>
          <w:sz w:val="28"/>
          <w:szCs w:val="28"/>
          <w:rtl/>
        </w:rPr>
        <w:t xml:space="preserve">مترجم کتاب که در مقدمه، خود را عبدالحسین زند معرفی می کند ماجرای ترجمه کتاب را به این صورت شرح داده که در آغاز اردیبهشت ۱۳۲۱ هجری و در عهد مظفرالدین شاه قاجار و در روزگاری که تحت سرپرستی شاهزاده عین الدوله صدر اعظم، فضلا با فراغ بال به ترجمه و طبع افسانه های دلپذیر که در انتشار و اشاعه تهذیب اخلاق بی نظیرند می پردازند، وی نیز به پیشنهاد دوستی، چند ماهی را صرف ترجمه یکی از افسانه های نوشته شده به فرنگی می کند. مورد انتخابی وی ترجمه تاریخ شاپور از فرانسه به فارسی است. اصل کتاب به عربی است و به روایت محمد ابن نصر ابن بابک فارستانی، از ندمای شاپور تحریر شده است. در قرن ششم هجری یکی از موبدان فارسی در وسرات هند آن را از عربی به گجراتی برمی گرداند. سپس در ادوار بعد، دانشمند زبانهای شرقی کاربن کایلوس آن را از گجراتی به فرانسه ترجمه می کند. همین ترجمه فرانسوی است که در اختیار عبدالحسین زند بوده و به فارسی برگردانده شده است. نثر کتاب ساده و دارای عناصری از تناسب سازی های غیر افراطی نثر گذشته است.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496" w:name="pg20363_209808"/>
    <w:bookmarkEnd w:id="496"/>
    <w:p>
      <w:pPr>
        <w:pStyle w:val="BookText"/>
      </w:pPr>
      <w:r>
        <w:rPr>
          <w:rFonts w:ascii="IRNazanin" w:hAnsi="IRNazanin" w:eastAsia="IRNazanin" w:cs="IRNazanin"/>
          <w:lang w:bidi="fa-IR"/>
          <w:color w:val="111111"/>
          <w:sz w:val="28"/>
          <w:szCs w:val="28"/>
          <w:rtl/>
        </w:rPr>
        <w:t xml:space="preserve">از ویژگی های کتاب، استفاده از ابیات فارسی به میزان بسیار کم در خلال نثر روان و ساده کتاب است. او خود در این باره در مقدمه اش نوشته: «هر کجا مترجم مذکور (کاربن کایلوس)، عبارات گجراتی را که معنی اشعار عربیه بوده ترجمه تحت اللفظی نموده این حقیر بر طبق همان معنی شعری انشا کرده و اگر تقریبا مطابق همان مطلب بیتی چند از شعراء سابقه به خاطر داشتم بنگاشتم، که لطافت و سلاستی در طی حکایت آشکار شود و طبع خواننده از قرائت آن دچار انفجار نگردد. و چون غرض این بنده نگارنده فهم عموم ناس بود، از اندراج لغات غریبه و عبارات غامضه اجتناب نمود». مترجم بر ساده بودن سبک نثر ترجمه خود تاکید دارد و در پایان همین مقدمه، خواهش کرده: «از دانشوران کرام و ادباء فخام متمنی آنم که بر عيب سادگی این ترجمه چشم اغماض فرا پوشند ... که این حقیر این لباس ساده را بجای جامه دیبا، محض فهم قاطبه هموطنان در اندام زیبای این داستان پوشانیده». کتاب حاضر در دو جلد تدوین شده است. از تاریخ ذکر شده در بالای صفحه اول و نیز دیباچه مترجم در جلد نخست و نیز تاریخ نگارش پایان جلد دوم بر می آید که ترجمه این کتاب حجیم، از اردیبهشت ۱۳۲۱ تا ۱۳۲۳ ق به طول انجامیده است. (جواد بشرى) آغاز: بسمله - گوهر حمد و جوهر ثنائی که از میامن بركات و قراین لمعات آن وجنات مقيمان صوامع ملکوت و سکان مواضع ناسوت بفروغ وجود و پر تو خلود منور و مصور گشته، نثار دربار پروردگار رحیم ... و بعد این حقیر فقیر مستمند، عبدالحسین زند در آغاز اردیبهشت سنه ۱۳۲۱ هجری که جهان از خرمی رشک بوستان بهشت بود با یکی از دوستان عزم بوستان کرده در باغی از خارج شهر که صفا و لطافتش از فردوس یاد میداد يتفرج مشغول و رشته کلام را در لآلی معقول و منقول بسط همی دادیم</w:t>
      </w:r>
    </w:p>
    <w:p>
      <w:pPr>
        <w:pStyle w:val="BookText"/>
      </w:pPr>
      <w:r>
        <w:rPr>
          <w:rFonts w:ascii="IRNazanin" w:hAnsi="IRNazanin" w:eastAsia="IRNazanin" w:cs="IRNazanin"/>
          <w:lang w:bidi="fa-IR"/>
          <w:color w:val="111111"/>
          <w:sz w:val="28"/>
          <w:szCs w:val="28"/>
          <w:rtl/>
        </w:rPr>
        <w:t xml:space="preserve">۱. تهران؛ مجلس؛ شماره نسخه:۸۰۶۶</w:t>
      </w:r>
    </w:p>
    <w:p>
      <w:pPr>
        <w:pStyle w:val="BookText"/>
      </w:pPr>
      <w:r>
        <w:rPr>
          <w:rFonts w:ascii="IRNazanin" w:hAnsi="IRNazanin" w:eastAsia="IRNazanin" w:cs="IRNazanin"/>
          <w:lang w:bidi="fa-IR"/>
          <w:color w:val="111111"/>
          <w:sz w:val="28"/>
          <w:szCs w:val="28"/>
          <w:rtl/>
        </w:rPr>
        <w:t xml:space="preserve">آغاز: برابر؛ انجام: و آن شب را صحبتی جز دلیری و قوت بازو و چابکی و مردانگی ملکزاده شاپور در میان نبود و چون پاسی از شب برفت، رشید جعفر و شاپور را مصحوب خود بخیام حرم برده تا نیمه شب بعیش و طرب مشغول بودند پس هر یک برای استراحت بخیمه خود شدند و على الطلوع رشید ببارگاه خرامیده جعفر را فرمود امروز نوبت حکایت با کدام یک از حضار است. عرض کرد با عبدالله ابن مالك. دردم عبدالله برخواسته زمین ببوسید و عرض کرد. تمام شد جلد اول کتاب شاپور. خط: نستعلیق، کاتب = مؤلف (گویا)، تا: ۱۳۲۱ق؛ دارای رکابه؛ در آغاز صفحه نخست نوشته شده: «تاریخ سرگذشت شاپور بن هرمز که در سنه ۱۳۲۱ از فرانسه بفارسی ترجمه شده است و الحق که اگر افسانه است بهترین جميع افسانه های روزگار است.»؛ جلد: مقوایی با روکش کاغذی دارای طرح ابر و باد، ۱۷۷گ، ۲۴</w:t>
      </w:r>
    </w:p>
    <w:p>
      <w:pPr>
        <w:pStyle w:val="BookText"/>
      </w:pPr>
      <w:r>
        <w:rPr>
          <w:rFonts w:ascii="IRNazanin" w:hAnsi="IRNazanin" w:eastAsia="IRNazanin" w:cs="IRNazanin"/>
          <w:lang w:bidi="fa-IR"/>
          <w:color w:val="111111"/>
          <w:sz w:val="28"/>
          <w:szCs w:val="28"/>
          <w:rtl/>
        </w:rPr>
        <w:t xml:space="preserve">سطر، اندازه: ۲۶/۳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سم [ف: ۲۷/۱ -۱۱۸]</w:t>
      </w:r>
    </w:p>
    <w:p>
      <w:pPr>
        <w:pStyle w:val="BookText"/>
      </w:pPr>
      <w:r>
        <w:rPr>
          <w:rFonts w:ascii="IRNazanin" w:hAnsi="IRNazanin" w:eastAsia="IRNazanin" w:cs="IRNazanin"/>
          <w:lang w:bidi="fa-IR"/>
          <w:color w:val="111111"/>
          <w:sz w:val="28"/>
          <w:szCs w:val="28"/>
          <w:rtl/>
        </w:rPr>
        <w:t xml:space="preserve">۲. تهران؛ مجلس؛ شماره نسخه: ۸۰۶۷</w:t>
      </w:r>
    </w:p>
    <w:p>
      <w:pPr>
        <w:pStyle w:val="BookText"/>
      </w:pPr>
      <w:r>
        <w:rPr>
          <w:rFonts w:ascii="IRNazanin" w:hAnsi="IRNazanin" w:eastAsia="IRNazanin" w:cs="IRNazanin"/>
          <w:lang w:bidi="fa-IR"/>
          <w:color w:val="111111"/>
          <w:sz w:val="28"/>
          <w:szCs w:val="28"/>
          <w:rtl/>
        </w:rPr>
        <w:t xml:space="preserve">آغاز: بسمله - آورده اند که در مملکت مصر تاجری بود يعقوب نام که او را مكنت الى پایان و مال فراوان بودی در تمام نقاط عالم گماشتگان او تجارت کردندی و فرستادگان بهر طرف برای خرید امتعه در خور مصر گسیل داشته بودی؛ انجام: رشید برای دفع رافع که در سمرقند کوس طغیان زده و عمال و حكام اطراف را شکست فاحش داده بود بطرف خراسان عزیمت نموده در گرگان مریض گشته و در طوس وفات یافت و شاپور در فارس بحكومت و کامرانی می زیست تا در خلافت معتصم ... (؟) لذات وی را از تمتع دنیا محروم ساخت و اطفال و اعقابش از اندوخته پدر کامرانی همی نمودند تا باجداد ملحق شدند. فسبحان من لا يموت و هو الحى القيوم. سنه ۱۳۲۳.</w:t>
      </w:r>
    </w:p>
    <w:p>
      <w:pPr>
        <w:pStyle w:val="BookText"/>
      </w:pPr>
      <w:r>
        <w:rPr>
          <w:rFonts w:ascii="IRNazanin" w:hAnsi="IRNazanin" w:eastAsia="IRNazanin" w:cs="IRNazanin"/>
          <w:lang w:bidi="fa-IR"/>
          <w:color w:val="111111"/>
          <w:sz w:val="28"/>
          <w:szCs w:val="28"/>
          <w:rtl/>
        </w:rPr>
        <w:t xml:space="preserve">جلد دوم و با داستان نقل شده عبدالله ابن مالک در بارگاه رشید آغاز می شود؛ خط: نستعلیق و شکسته نستعلیق، بی کا، تا: ۱۳۲۳ق؛ دارای رکابه، روی برگ عنوان نسخه مطلب مهمی درباره تاریخ این نسخه نوشته شده: «این یادگاری احمد علی ناصر افشار یکی از بندگان آقای بهرام خان وارسته بتاريخ 7 بهمن ۱۳۰۸. آژان نمره ۵۶۲. (امضا)»؛ کاغذ: خط دار چاپی، جلد: مقوایی با روکش کاغذ طرح ابر و باد، ۲۳۱ گ، ۲۴ سطر، اندازه:</w:t>
      </w:r>
    </w:p>
    <w:p>
      <w:pPr>
        <w:pStyle w:val="BookText"/>
      </w:pPr>
      <w:r>
        <w:rPr>
          <w:rFonts w:ascii="IRNazanin" w:hAnsi="IRNazanin" w:eastAsia="IRNazanin" w:cs="IRNazanin"/>
          <w:lang w:bidi="fa-IR"/>
          <w:color w:val="111111"/>
          <w:sz w:val="28"/>
          <w:szCs w:val="28"/>
          <w:rtl/>
        </w:rPr>
        <w:t xml:space="preserve">۲۶/۳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سم [ف: ۲۷/۱ -۱۲۰]</w:t>
      </w:r>
    </w:p>
    <w:p>
      <w:pPr>
        <w:pStyle w:val="Heading3"/>
      </w:pPr>
      <w:bookmarkStart w:id="2390" w:name="_Toc1650"/>
      <w:r>
        <w:t>•تاریخ شارل دوازدهم / تاریخ پادشاهان / فارسی</w:t>
      </w:r>
      <w:bookmarkEnd w:id="2390"/>
    </w:p>
    <w:p>
      <w:pPr>
        <w:pStyle w:val="BookText"/>
      </w:pPr>
      <w:r>
        <w:rPr>
          <w:rFonts w:ascii="Times New Roman" w:hAnsi="Times New Roman" w:eastAsia="Times New Roman" w:cs="Times New Roman"/>
          <w:lang w:val="en-US" w:bidi="en-US"/>
          <w:color w:val="111111"/>
          <w:sz w:val="28"/>
          <w:szCs w:val="28"/>
          <w:rtl/>
        </w:rPr>
        <w:t xml:space="preserve">tārīx-e šārl-e davāzdahom</w:t>
      </w:r>
    </w:p>
    <w:p>
      <w:pPr>
        <w:pStyle w:val="BookText"/>
      </w:pPr>
      <w:r>
        <w:rPr>
          <w:rFonts w:ascii="IRNazanin" w:hAnsi="IRNazanin" w:eastAsia="IRNazanin" w:cs="IRNazanin"/>
          <w:lang w:bidi="fa-IR"/>
          <w:color w:val="111111"/>
          <w:sz w:val="28"/>
          <w:szCs w:val="28"/>
          <w:rtl/>
        </w:rPr>
        <w:t xml:space="preserve">ولتر، فرانسوا ماری آروئه دو ۱۶۹۴-۱۷۷۸ میلادی</w:t>
      </w:r>
    </w:p>
    <w:p>
      <w:pPr>
        <w:pStyle w:val="BookText"/>
      </w:pPr>
      <w:r>
        <w:rPr>
          <w:rFonts w:ascii="Times New Roman" w:hAnsi="Times New Roman" w:eastAsia="Times New Roman" w:cs="Times New Roman"/>
          <w:lang w:val="en-US" w:bidi="en-US"/>
          <w:color w:val="111111"/>
          <w:sz w:val="28"/>
          <w:szCs w:val="28"/>
          <w:rtl/>
        </w:rPr>
        <w:t xml:space="preserve">volter, ferānswā mārī āro’e do (1694-1778)</w:t>
      </w:r>
    </w:p>
    <w:p>
      <w:pPr>
        <w:pStyle w:val="BookText"/>
      </w:pPr>
      <w:r>
        <w:rPr>
          <w:rFonts w:ascii="IRNazanin" w:hAnsi="IRNazanin" w:eastAsia="IRNazanin" w:cs="IRNazanin"/>
          <w:lang w:bidi="fa-IR"/>
          <w:color w:val="111111"/>
          <w:sz w:val="28"/>
          <w:szCs w:val="28"/>
          <w:rtl/>
        </w:rPr>
        <w:t xml:space="preserve">شرح احوالی است که والتر از شارل دوازدهم پادشاه سوئد نوشته و در فصول هشت گانه آن، تاریخ زندگانی شخصی شارل و تاریخ عمومی سوئد را گزارش می دهد.</w:t>
      </w:r>
    </w:p>
    <w:p>
      <w:pPr>
        <w:pStyle w:val="BookText"/>
      </w:pPr>
      <w:r>
        <w:rPr>
          <w:rFonts w:ascii="IRNazanin" w:hAnsi="IRNazanin" w:eastAsia="IRNazanin" w:cs="IRNazanin"/>
          <w:lang w:bidi="fa-IR"/>
          <w:color w:val="111111"/>
          <w:sz w:val="28"/>
          <w:szCs w:val="28"/>
          <w:rtl/>
        </w:rPr>
        <w:t xml:space="preserve">قم، گلپایگانی؛ شماره نسخه:۳۶۷۹/۲</w:t>
      </w:r>
    </w:p>
    <w:p>
      <w:pPr>
        <w:pStyle w:val="BookText"/>
      </w:pPr>
      <w:r>
        <w:rPr>
          <w:rFonts w:ascii="IRNazanin" w:hAnsi="IRNazanin" w:eastAsia="IRNazanin" w:cs="IRNazanin"/>
          <w:lang w:bidi="fa-IR"/>
          <w:color w:val="111111"/>
          <w:sz w:val="28"/>
          <w:szCs w:val="28"/>
          <w:rtl/>
        </w:rPr>
        <w:t xml:space="preserve">-۱۹/۹ آغاز: ممالک سوید و فینلند بقدر دویست ليو عرض و سیصد ليو طول دارد که هر فرسخ ایرانی یک لیو و نیم و دو فرسخ سه لیو می باشد؛ انجام: خواهر شرل پادشاه سوید کشته با جميع دشمنان خویش قانون مصالحه پیش گرفت خط: نستعلیق، بی کا، بی تا، مجدول مشکی؛ جلد: تیماج مشکی، ۴۴گ، ۲۵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۲-۶۹۵]</w:t>
      </w:r>
    </w:p>
    <w:p>
      <w:pPr>
        <w:pStyle w:val="Heading3"/>
      </w:pPr>
      <w:bookmarkStart w:id="2391" w:name="_Toc1651"/>
      <w:r>
        <w:t>•تاریخ شارل و خرابی دولت روم / تاریخ / فارسی</w:t>
      </w:r>
      <w:bookmarkEnd w:id="2391"/>
    </w:p>
    <w:p>
      <w:pPr>
        <w:pStyle w:val="BookText"/>
      </w:pPr>
      <w:r>
        <w:rPr>
          <w:rFonts w:ascii="Times New Roman" w:hAnsi="Times New Roman" w:eastAsia="Times New Roman" w:cs="Times New Roman"/>
          <w:lang w:val="en-US" w:bidi="en-US"/>
          <w:color w:val="111111"/>
          <w:sz w:val="28"/>
          <w:szCs w:val="28"/>
          <w:rtl/>
        </w:rPr>
        <w:t xml:space="preserve">tārīx-e šārl va xarābī-ye dowlat-e rūm</w:t>
      </w:r>
    </w:p>
    <w:p>
      <w:pPr>
        <w:pStyle w:val="BookText"/>
      </w:pPr>
      <w:r>
        <w:rPr>
          <w:rFonts w:ascii="IRNazanin" w:hAnsi="IRNazanin" w:eastAsia="IRNazanin" w:cs="IRNazanin"/>
          <w:lang w:bidi="fa-IR"/>
          <w:color w:val="111111"/>
          <w:sz w:val="28"/>
          <w:szCs w:val="28"/>
          <w:rtl/>
        </w:rPr>
        <w:t xml:space="preserve">ولتر، فرانسوا ماری آروئه دو ۱۶۹۴-۱۷۷۸ میلادی</w:t>
      </w:r>
    </w:p>
    <w:p>
      <w:pPr>
        <w:pStyle w:val="BookText"/>
      </w:pPr>
      <w:r>
        <w:rPr>
          <w:rFonts w:ascii="Times New Roman" w:hAnsi="Times New Roman" w:eastAsia="Times New Roman" w:cs="Times New Roman"/>
          <w:lang w:val="en-US" w:bidi="en-US"/>
          <w:color w:val="111111"/>
          <w:sz w:val="28"/>
          <w:szCs w:val="28"/>
          <w:rtl/>
        </w:rPr>
        <w:t xml:space="preserve">volter, ferānswā mārī āro’e do (1694-1778)</w:t>
      </w:r>
    </w:p>
    <w:p>
      <w:pPr>
        <w:pStyle w:val="BookText"/>
      </w:pPr>
      <w:r>
        <w:rPr>
          <w:rFonts w:ascii="IRNazanin" w:hAnsi="IRNazanin" w:eastAsia="IRNazanin" w:cs="IRNazanin"/>
          <w:lang w:bidi="fa-IR"/>
          <w:color w:val="111111"/>
          <w:sz w:val="28"/>
          <w:szCs w:val="28"/>
          <w:rtl/>
        </w:rPr>
        <w:t xml:space="preserve">اثر ولتر که از فرانسه به نام محمد شاه قاجار توسط موسی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497" w:name="pg20363_209809"/>
    <w:bookmarkEnd w:id="497"/>
    <w:p>
      <w:pPr>
        <w:pStyle w:val="BookText"/>
      </w:pPr>
      <w:r>
        <w:rPr>
          <w:rFonts w:ascii="IRNazanin" w:hAnsi="IRNazanin" w:eastAsia="IRNazanin" w:cs="IRNazanin"/>
          <w:lang w:bidi="fa-IR"/>
          <w:color w:val="111111"/>
          <w:sz w:val="28"/>
          <w:szCs w:val="28"/>
          <w:rtl/>
        </w:rPr>
        <w:t xml:space="preserve">جبرئیل ترجمه شده است.</w:t>
      </w:r>
    </w:p>
    <w:p>
      <w:pPr>
        <w:pStyle w:val="BookText"/>
      </w:pPr>
      <w:r>
        <w:rPr>
          <w:rFonts w:ascii="IRNazanin" w:hAnsi="IRNazanin" w:eastAsia="IRNazanin" w:cs="IRNazanin"/>
          <w:lang w:bidi="fa-IR"/>
          <w:color w:val="111111"/>
          <w:sz w:val="28"/>
          <w:szCs w:val="28"/>
          <w:rtl/>
        </w:rPr>
        <w:t xml:space="preserve">۱. تهران؛ ملک؛ شماره نسخه: ۳۸۶۱</w:t>
      </w:r>
    </w:p>
    <w:p>
      <w:pPr>
        <w:pStyle w:val="BookText"/>
      </w:pPr>
      <w:r>
        <w:rPr>
          <w:rFonts w:ascii="IRNazanin" w:hAnsi="IRNazanin" w:eastAsia="IRNazanin" w:cs="IRNazanin"/>
          <w:lang w:bidi="fa-IR"/>
          <w:color w:val="111111"/>
          <w:sz w:val="28"/>
          <w:szCs w:val="28"/>
          <w:rtl/>
        </w:rPr>
        <w:t xml:space="preserve">جلد دوم کتاب که از سلطنت کلادیس شروع می شود و از آخر در ذکر جنگ ادرنه افتاده است؛ خط: شکسته نستعلیق، بی کا، تا: قرن ۱۳؛ افتادگی: انجام؛ کاغذ: فستقی آبی، جلد: میشن زرد، ۱۲۸گ، ۱۱ سطر، اندازه: ۲۱/۶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۱۷/۲ سم [ف: ۲-۸۳]</w:t>
      </w:r>
    </w:p>
    <w:p>
      <w:pPr>
        <w:pStyle w:val="BookText"/>
      </w:pPr>
      <w:r>
        <w:rPr>
          <w:rFonts w:ascii="IRNazanin" w:hAnsi="IRNazanin" w:eastAsia="IRNazanin" w:cs="IRNazanin"/>
          <w:lang w:bidi="fa-IR"/>
          <w:color w:val="111111"/>
          <w:sz w:val="28"/>
          <w:szCs w:val="28"/>
          <w:rtl/>
        </w:rPr>
        <w:t xml:space="preserve">۲. تهران؛ ملک؛ شماره نسخه:۳۷۵۴</w:t>
      </w:r>
    </w:p>
    <w:p>
      <w:pPr>
        <w:pStyle w:val="BookText"/>
      </w:pPr>
      <w:r>
        <w:rPr>
          <w:rFonts w:ascii="IRNazanin" w:hAnsi="IRNazanin" w:eastAsia="IRNazanin" w:cs="IRNazanin"/>
          <w:lang w:bidi="fa-IR"/>
          <w:color w:val="111111"/>
          <w:sz w:val="28"/>
          <w:szCs w:val="28"/>
          <w:rtl/>
        </w:rPr>
        <w:t xml:space="preserve">آغاز: حکیم والتر شرح احوال شرل دوازدهم را در چند فصل ایراد کرده؛ انجام: مصالحه پیش گرفت. خط: نستعلیق، كا: رضا قلی بن مهدی قلی سروری، تا: ۱۴ ذیحجه ۱۲۶۱ق، مجدول به اکلیل؛ کاغذ: کاغذ ترمه، جلد: میشن قهوه ای، ۹۸ گ، ۱۸ سطر، اندازه:</w:t>
      </w:r>
    </w:p>
    <w:p>
      <w:pPr>
        <w:pStyle w:val="BookText"/>
      </w:pPr>
      <w:r>
        <w:rPr>
          <w:rFonts w:ascii="IRNazanin" w:hAnsi="IRNazanin" w:eastAsia="IRNazanin" w:cs="IRNazanin"/>
          <w:lang w:bidi="fa-IR"/>
          <w:color w:val="111111"/>
          <w:sz w:val="28"/>
          <w:szCs w:val="28"/>
          <w:rtl/>
        </w:rPr>
        <w:t xml:space="preserve">۲۱/۸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۱۲/۸ سم [ف: ۲-۸۳]</w:t>
      </w:r>
    </w:p>
    <w:p>
      <w:pPr>
        <w:pStyle w:val="BookText"/>
      </w:pPr>
      <w:r>
        <w:rPr>
          <w:rFonts w:ascii="IRNazanin" w:hAnsi="IRNazanin" w:eastAsia="IRNazanin" w:cs="IRNazanin"/>
          <w:lang w:bidi="fa-IR"/>
          <w:color w:val="111111"/>
          <w:sz w:val="28"/>
          <w:szCs w:val="28"/>
          <w:rtl/>
        </w:rPr>
        <w:t xml:space="preserve">← تاریخ شاه اسماعیل← عالم آرای شاه اسماعیل صفوی</w:t>
      </w:r>
    </w:p>
    <w:p>
      <w:pPr>
        <w:pStyle w:val="Heading3"/>
      </w:pPr>
      <w:bookmarkStart w:id="2392" w:name="_Toc1652"/>
      <w:r>
        <w:t>•تاریخ شاه اسماعیل صفوی / تاریخ ایران / فارسی</w:t>
      </w:r>
      <w:bookmarkEnd w:id="2392"/>
    </w:p>
    <w:p>
      <w:pPr>
        <w:pStyle w:val="BookText"/>
      </w:pPr>
      <w:r>
        <w:rPr>
          <w:rFonts w:ascii="Times New Roman" w:hAnsi="Times New Roman" w:eastAsia="Times New Roman" w:cs="Times New Roman"/>
          <w:lang w:val="en-US" w:bidi="en-US"/>
          <w:color w:val="111111"/>
          <w:sz w:val="28"/>
          <w:szCs w:val="28"/>
          <w:rtl/>
        </w:rPr>
        <w:t xml:space="preserve">tārīx-e šāh esmāʻīl-e safavī</w:t>
      </w:r>
    </w:p>
    <w:p>
      <w:pPr>
        <w:pStyle w:val="BookText"/>
      </w:pPr>
      <w:r>
        <w:rPr>
          <w:rFonts w:ascii="IRNazanin" w:hAnsi="IRNazanin" w:eastAsia="IRNazanin" w:cs="IRNazanin"/>
          <w:lang w:bidi="fa-IR"/>
          <w:color w:val="111111"/>
          <w:sz w:val="28"/>
          <w:szCs w:val="28"/>
          <w:rtl/>
        </w:rPr>
        <w:t xml:space="preserve">امامقلی میرزا قاجار، ق۱۳ قمری</w:t>
      </w:r>
    </w:p>
    <w:p>
      <w:pPr>
        <w:pStyle w:val="BookText"/>
      </w:pPr>
      <w:r>
        <w:rPr>
          <w:rFonts w:ascii="Times New Roman" w:hAnsi="Times New Roman" w:eastAsia="Times New Roman" w:cs="Times New Roman"/>
          <w:lang w:val="en-US" w:bidi="en-US"/>
          <w:color w:val="111111"/>
          <w:sz w:val="28"/>
          <w:szCs w:val="28"/>
          <w:rtl/>
        </w:rPr>
        <w:t xml:space="preserve">emāmqolī mīrzā qājār (-190)</w:t>
      </w:r>
    </w:p>
    <w:p>
      <w:pPr>
        <w:pStyle w:val="BookText"/>
      </w:pPr>
      <w:r>
        <w:rPr>
          <w:rFonts w:ascii="IRNazanin" w:hAnsi="IRNazanin" w:eastAsia="IRNazanin" w:cs="IRNazanin"/>
          <w:lang w:bidi="fa-IR"/>
          <w:color w:val="111111"/>
          <w:sz w:val="28"/>
          <w:szCs w:val="28"/>
          <w:rtl/>
        </w:rPr>
        <w:t xml:space="preserve">مؤلف از طرف برادر خود نادر میرزا قاجار مأمور شد در تكمله لیور دور (اسرار الوجود) – که تاریخچه چند تن از پادشاهان در آخر داشت - کتابی در تاریخ چند تن از پادشاهان ایران مانند امیر تیمور، شاه اسماعیل و نادر شاه، بپردازد، امامقلی میرزا این تاریخ را نوشته و نخست به تاریخ پادشاهی شاه اسماعیل اول آغاز کرده است. این که گفتیم همان است که در دیباچه کتاب آمده اما نسخه حاضر در پایان تاریخ زندگی و سلطنت شاه اسماعیل پایان یافته است. امامقلی میرزا در دیباچه، از ناصر الدین شاه و از علی بخش قاجار و ترجمه های او از فرانسه بخوبی یاد می کند.</w:t>
      </w:r>
    </w:p>
    <w:p>
      <w:pPr>
        <w:pStyle w:val="BookText"/>
      </w:pPr>
      <w:r>
        <w:rPr>
          <w:rFonts w:ascii="IRNazanin" w:hAnsi="IRNazanin" w:eastAsia="IRNazanin" w:cs="IRNazanin"/>
          <w:lang w:bidi="fa-IR"/>
          <w:color w:val="111111"/>
          <w:sz w:val="28"/>
          <w:szCs w:val="28"/>
          <w:rtl/>
        </w:rPr>
        <w:t xml:space="preserve">آغاز: الحمدلله رب العالمين ... و بعد چون نوبت دارایی ولایات محروسه ایران صانها الله عن الحدثان -به وارث ملک کیان و سلیمان زمان السلطان بن السلطان ناصرالدین شاه قاجار . انجام: خوردن جز بغض اهل بیت رسول خدا جهتی دیگر ندارد امر بر قتل او فرمودند قوم حیان در همان لحظه او را پاره پاره کردند. چاپ: با تصحیح سید سعید میر محمد صادق، در میراث بهارستان، دفتر دوم، ص ۳۲۳ تا ۳۹۷</w:t>
      </w:r>
    </w:p>
    <w:p>
      <w:pPr>
        <w:pStyle w:val="BookText"/>
      </w:pPr>
      <w:r>
        <w:rPr>
          <w:rFonts w:ascii="IRNazanin" w:hAnsi="IRNazanin" w:eastAsia="IRNazanin" w:cs="IRNazanin"/>
          <w:lang w:bidi="fa-IR"/>
          <w:color w:val="111111"/>
          <w:sz w:val="28"/>
          <w:szCs w:val="28"/>
          <w:rtl/>
        </w:rPr>
        <w:t xml:space="preserve">[فهرستواره منزوی ۸۷۵/۲ ]</w:t>
      </w:r>
    </w:p>
    <w:p>
      <w:pPr>
        <w:pStyle w:val="BookText"/>
      </w:pPr>
      <w:r>
        <w:rPr>
          <w:rFonts w:ascii="IRNazanin" w:hAnsi="IRNazanin" w:eastAsia="IRNazanin" w:cs="IRNazanin"/>
          <w:lang w:bidi="fa-IR"/>
          <w:color w:val="111111"/>
          <w:sz w:val="28"/>
          <w:szCs w:val="28"/>
          <w:rtl/>
        </w:rPr>
        <w:t xml:space="preserve">تهران؛ مجلس؛ شماره نسخه:۶۳۱۴/۳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علی اکبر، تا: ۱۲۹۸ق؛ کاغذ: فرنگی سفید و آبی، جلد: تیماج قرمز، ۶۵ص (۶۲۱-۶۸۵)،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سم [ف: ۳۰۲-۱۹ ]</w:t>
      </w:r>
    </w:p>
    <w:p>
      <w:pPr>
        <w:pStyle w:val="Heading3"/>
      </w:pPr>
      <w:bookmarkStart w:id="2393" w:name="_Toc1653"/>
      <w:r>
        <w:t>•تاریخ شاه اسماعیل صفوی / تاریخ ایران / فارسی</w:t>
      </w:r>
      <w:bookmarkEnd w:id="2393"/>
    </w:p>
    <w:p>
      <w:pPr>
        <w:pStyle w:val="BookText"/>
      </w:pPr>
      <w:r>
        <w:rPr>
          <w:rFonts w:ascii="Times New Roman" w:hAnsi="Times New Roman" w:eastAsia="Times New Roman" w:cs="Times New Roman"/>
          <w:lang w:val="en-US" w:bidi="en-US"/>
          <w:color w:val="111111"/>
          <w:sz w:val="28"/>
          <w:szCs w:val="28"/>
          <w:rtl/>
        </w:rPr>
        <w:t xml:space="preserve">tārīx-e šāh esmāʻīl-e safavī</w:t>
      </w:r>
    </w:p>
    <w:p>
      <w:pPr>
        <w:pStyle w:val="BookText"/>
      </w:pPr>
      <w:r>
        <w:rPr>
          <w:rFonts w:ascii="IRNazanin" w:hAnsi="IRNazanin" w:eastAsia="IRNazanin" w:cs="IRNazanin"/>
          <w:lang w:bidi="fa-IR"/>
          <w:color w:val="111111"/>
          <w:sz w:val="28"/>
          <w:szCs w:val="28"/>
          <w:rtl/>
        </w:rPr>
        <w:t xml:space="preserve">کتابی است در تاریخ شاه اسماعیل اول صفوی با انشایی ادبی آمیخته به شعر مشتمل بر سه «حدیقه»:</w:t>
      </w:r>
    </w:p>
    <w:p>
      <w:pPr>
        <w:pStyle w:val="BookText"/>
      </w:pPr>
      <w:r>
        <w:rPr>
          <w:rFonts w:ascii="IRNazanin" w:hAnsi="IRNazanin" w:eastAsia="IRNazanin" w:cs="IRNazanin"/>
          <w:lang w:bidi="fa-IR"/>
          <w:color w:val="111111"/>
          <w:sz w:val="28"/>
          <w:szCs w:val="28"/>
          <w:rtl/>
        </w:rPr>
        <w:t xml:space="preserve">۱. بیان شمه از فضایل امیر المومنین علی بن ابی طالب؛ ۲. بیان فضایل ائمه طاهرین؛ ۳. بیان مجملی از حال شیخ صفی الدین اسحق که حديقه سوم شامل چندین روضه می باشد. قسمت دوم این کتاب مربوط به یورش بر مشعشیان خوزستان، حمله بر اوزبک ها، فتح هرات و ... و در خاتمه احوال فضلای آن عصر را بیان کرده است. آغاز: بسمله، گوشه نشینان خلو تخانه انس که راز دار آن خلوتخانه انس اند تا در دل نقش صورت</w:t>
      </w:r>
    </w:p>
    <w:p>
      <w:pPr>
        <w:pStyle w:val="BookText"/>
      </w:pPr>
      <w:r>
        <w:rPr>
          <w:rFonts w:ascii="IRNazanin" w:hAnsi="IRNazanin" w:eastAsia="IRNazanin" w:cs="IRNazanin"/>
          <w:lang w:bidi="fa-IR"/>
          <w:color w:val="111111"/>
          <w:sz w:val="28"/>
          <w:szCs w:val="28"/>
          <w:rtl/>
        </w:rPr>
        <w:t xml:space="preserve">تهران؛ ملی؛ شماره نسخه:۱۵۷۷۶</w:t>
      </w:r>
    </w:p>
    <w:p>
      <w:pPr>
        <w:pStyle w:val="BookText"/>
      </w:pPr>
      <w:r>
        <w:rPr>
          <w:rFonts w:ascii="IRNazanin" w:hAnsi="IRNazanin" w:eastAsia="IRNazanin" w:cs="IRNazanin"/>
          <w:lang w:bidi="fa-IR"/>
          <w:color w:val="111111"/>
          <w:sz w:val="28"/>
          <w:szCs w:val="28"/>
          <w:rtl/>
        </w:rPr>
        <w:t xml:space="preserve">آغاز: برابر؛ انجام: و دور طبعش بنظم اشعار ملایمت تمام دارد و احبانا ابیات خط: نستعلیق، كا: علیخان بن علی بیک، تا: ۱۰۳۹ق؛ افتادگی: انجام؛ مهر: «لا اله الا الله الملك الحق المبين عنایت الله الرضوی» (چهار گوش)، «عبده محمد بن عبدالغفار» (بیضی)، «عبده</w:t>
      </w:r>
    </w:p>
    <w:p>
      <w:pPr>
        <w:pStyle w:val="BookText"/>
      </w:pPr>
      <w:r>
        <w:rPr>
          <w:rFonts w:ascii="IRNazanin" w:hAnsi="IRNazanin" w:eastAsia="IRNazanin" w:cs="IRNazanin"/>
          <w:lang w:bidi="fa-IR"/>
          <w:color w:val="111111"/>
          <w:sz w:val="28"/>
          <w:szCs w:val="28"/>
          <w:rtl/>
        </w:rPr>
        <w:t xml:space="preserve">محمد قلی» (چهار گوش کوچک)، «دارد امید شفاعت محمد عسكر» (بیضی)، «عبده على الرضوی» عبدالله ۱۱۹۰» (بیضی)، دارد امید شفاعت ز محمد میرزا» (چهارگوش)؛ کاغذ: فرنگی نخودی، جلد: تیماج اناری، ۳۶۰ گ، ۱۵-۱۶ سطر ( ۱۷/۳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[رایانه]</w:t>
      </w:r>
    </w:p>
    <w:p>
      <w:pPr>
        <w:pStyle w:val="Heading3"/>
      </w:pPr>
      <w:bookmarkStart w:id="2394" w:name="_Toc1654"/>
      <w:r>
        <w:t>•تاریخ شاه اسماعیل صفوی / تاریخ ایران / فارسی</w:t>
      </w:r>
      <w:bookmarkEnd w:id="2394"/>
    </w:p>
    <w:p>
      <w:pPr>
        <w:pStyle w:val="BookText"/>
      </w:pPr>
      <w:r>
        <w:rPr>
          <w:rFonts w:ascii="Times New Roman" w:hAnsi="Times New Roman" w:eastAsia="Times New Roman" w:cs="Times New Roman"/>
          <w:lang w:val="en-US" w:bidi="en-US"/>
          <w:color w:val="111111"/>
          <w:sz w:val="28"/>
          <w:szCs w:val="28"/>
          <w:rtl/>
        </w:rPr>
        <w:t xml:space="preserve">tārīx-e šāh esmā‘ll-e safavī</w:t>
      </w:r>
    </w:p>
    <w:p>
      <w:pPr>
        <w:pStyle w:val="BookText"/>
      </w:pPr>
      <w:r>
        <w:rPr>
          <w:rFonts w:ascii="IRNazanin" w:hAnsi="IRNazanin" w:eastAsia="IRNazanin" w:cs="IRNazanin"/>
          <w:lang w:bidi="fa-IR"/>
          <w:color w:val="111111"/>
          <w:sz w:val="28"/>
          <w:szCs w:val="28"/>
          <w:rtl/>
        </w:rPr>
        <w:t xml:space="preserve">تا پاره از جنگ سلیم پاشا با رومیان است.</w:t>
      </w:r>
    </w:p>
    <w:p>
      <w:pPr>
        <w:pStyle w:val="BookText"/>
      </w:pPr>
      <w:r>
        <w:rPr>
          <w:rFonts w:ascii="IRNazanin" w:hAnsi="IRNazanin" w:eastAsia="IRNazanin" w:cs="IRNazanin"/>
          <w:lang w:bidi="fa-IR"/>
          <w:color w:val="111111"/>
          <w:sz w:val="28"/>
          <w:szCs w:val="28"/>
          <w:rtl/>
        </w:rPr>
        <w:t xml:space="preserve">تهران؛ مجلس؛ شماره نسخه:۱۴۵۴</w:t>
      </w:r>
    </w:p>
    <w:p>
      <w:pPr>
        <w:pStyle w:val="BookText"/>
      </w:pPr>
      <w:r>
        <w:rPr>
          <w:rFonts w:ascii="IRNazanin" w:hAnsi="IRNazanin" w:eastAsia="IRNazanin" w:cs="IRNazanin"/>
          <w:lang w:bidi="fa-IR"/>
          <w:color w:val="111111"/>
          <w:sz w:val="28"/>
          <w:szCs w:val="28"/>
          <w:rtl/>
        </w:rPr>
        <w:t xml:space="preserve">آغاز: بعد بسمله و حمد. آورده اند که امام مفترض الطاعة حضرت امام موسى الكاظم عليه السلام جد ماجد سلطان فیروز شاه ... دارالارشاد اردبیل وطن داشت و خداوند تعالی از نور علوم غیبی و فیوض لاریبی شهریار فیروزمند و ارجمند و سربلند گردانیده بود؛ انجام: شاه فرمودند عده صوفی گری اینست سخن مرا بشنوی او سر فرود آورد حکم را برداشت و به جانب شیراز روان شد و شاه فرمود خود را به زودی به شیراز رسان که مبادا او داخل شود دو روز بود که آمده .. .</w:t>
      </w:r>
    </w:p>
    <w:p>
      <w:pPr>
        <w:pStyle w:val="BookText"/>
      </w:pPr>
      <w:r>
        <w:rPr>
          <w:rFonts w:ascii="IRNazanin" w:hAnsi="IRNazanin" w:eastAsia="IRNazanin" w:cs="IRNazanin"/>
          <w:lang w:bidi="fa-IR"/>
          <w:color w:val="111111"/>
          <w:sz w:val="28"/>
          <w:szCs w:val="28"/>
          <w:rtl/>
        </w:rPr>
        <w:t xml:space="preserve">خط: نستعلیق، بی کا، تا: قرن ۱۳؛ مهر: ابراهیم موسوی؛ کاغذ: سفید، جلد: مقوایی عطف</w:t>
      </w:r>
    </w:p>
    <w:p>
      <w:pPr>
        <w:pStyle w:val="BookText"/>
      </w:pPr>
      <w:r>
        <w:rPr>
          <w:rFonts w:ascii="IRNazanin" w:hAnsi="IRNazanin" w:eastAsia="IRNazanin" w:cs="IRNazanin"/>
          <w:lang w:bidi="fa-IR"/>
          <w:color w:val="111111"/>
          <w:sz w:val="28"/>
          <w:szCs w:val="28"/>
          <w:rtl/>
        </w:rPr>
        <w:t xml:space="preserve">تیماج قهوه ای، ۱۲۲گ، ابعاد متن: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[سنا: ف: ۲-۲۶۴]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498" w:name="pg20363_209810"/>
    <w:bookmarkEnd w:id="498"/>
    <w:p>
      <w:pPr>
        <w:pStyle w:val="Heading3"/>
      </w:pPr>
      <w:bookmarkStart w:id="2395" w:name="_Toc1655"/>
      <w:r>
        <w:t>•تاریخ شاه اسماعیل صفوی / تاریخ پادشاهان / فارسی</w:t>
      </w:r>
      <w:bookmarkEnd w:id="2395"/>
    </w:p>
    <w:p>
      <w:pPr>
        <w:pStyle w:val="BookText"/>
      </w:pPr>
      <w:r>
        <w:rPr>
          <w:rFonts w:ascii="Times New Roman" w:hAnsi="Times New Roman" w:eastAsia="Times New Roman" w:cs="Times New Roman"/>
          <w:lang w:val="en-US" w:bidi="en-US"/>
          <w:color w:val="111111"/>
          <w:sz w:val="28"/>
          <w:szCs w:val="28"/>
          <w:rtl/>
        </w:rPr>
        <w:t xml:space="preserve">tārīx-e šāh esmāʻīl-e safavī</w:t>
      </w:r>
    </w:p>
    <w:p>
      <w:pPr>
        <w:pStyle w:val="BookText"/>
      </w:pPr>
      <w:r>
        <w:rPr>
          <w:rFonts w:ascii="IRNazanin" w:hAnsi="IRNazanin" w:eastAsia="IRNazanin" w:cs="IRNazanin"/>
          <w:lang w:bidi="fa-IR"/>
          <w:color w:val="111111"/>
          <w:sz w:val="28"/>
          <w:szCs w:val="28"/>
          <w:rtl/>
        </w:rPr>
        <w:t xml:space="preserve">تهران؛ دانشگاه؛ شماره نسخه: ۳۸۶۸-في</w:t>
      </w:r>
    </w:p>
    <w:p>
      <w:pPr>
        <w:pStyle w:val="BookText"/>
      </w:pPr>
      <w:r>
        <w:rPr>
          <w:rFonts w:ascii="IRNazanin" w:hAnsi="IRNazanin" w:eastAsia="IRNazanin" w:cs="IRNazanin"/>
          <w:lang w:bidi="fa-IR"/>
          <w:color w:val="111111"/>
          <w:sz w:val="28"/>
          <w:szCs w:val="28"/>
          <w:rtl/>
        </w:rPr>
        <w:t xml:space="preserve">دیوان هند ش ۱۸۷۷ (۵۳۶ اته)؛ بی کا، بی تا [فیلمها ف: ۲-۲۷۳]</w:t>
      </w:r>
    </w:p>
    <w:p>
      <w:pPr>
        <w:pStyle w:val="Heading3"/>
      </w:pPr>
      <w:bookmarkStart w:id="2396" w:name="_Toc1656"/>
      <w:r>
        <w:t>•تاریخ شاه اسماعیل و شاه تهماسب = ذیل حبیب السير / تاریخ ایران / فارسی</w:t>
      </w:r>
      <w:bookmarkEnd w:id="2396"/>
    </w:p>
    <w:p>
      <w:pPr>
        <w:pStyle w:val="BookText"/>
      </w:pPr>
      <w:r>
        <w:rPr>
          <w:rFonts w:ascii="Times New Roman" w:hAnsi="Times New Roman" w:eastAsia="Times New Roman" w:cs="Times New Roman"/>
          <w:lang w:val="en-US" w:bidi="en-US"/>
          <w:color w:val="111111"/>
          <w:sz w:val="28"/>
          <w:szCs w:val="28"/>
          <w:rtl/>
        </w:rPr>
        <w:t xml:space="preserve">tarix-e sah esma'il va sah tahmasb = zeyl-e habib-os seyr</w:t>
      </w:r>
    </w:p>
    <w:p>
      <w:pPr>
        <w:pStyle w:val="BookText"/>
      </w:pPr>
      <w:r>
        <w:rPr>
          <w:rFonts w:ascii="IRNazanin" w:hAnsi="IRNazanin" w:eastAsia="IRNazanin" w:cs="IRNazanin"/>
          <w:lang w:bidi="fa-IR"/>
          <w:color w:val="111111"/>
          <w:sz w:val="28"/>
          <w:szCs w:val="28"/>
          <w:rtl/>
        </w:rPr>
        <w:t xml:space="preserve">هروی، محمود بن خواندمیر، ق ۱۰ قمری</w:t>
      </w:r>
    </w:p>
    <w:p>
      <w:pPr>
        <w:pStyle w:val="BookText"/>
      </w:pPr>
      <w:r>
        <w:rPr>
          <w:rFonts w:ascii="Times New Roman" w:hAnsi="Times New Roman" w:eastAsia="Times New Roman" w:cs="Times New Roman"/>
          <w:lang w:val="en-US" w:bidi="en-US"/>
          <w:color w:val="111111"/>
          <w:sz w:val="28"/>
          <w:szCs w:val="28"/>
          <w:rtl/>
        </w:rPr>
        <w:t xml:space="preserve">heravī, mahmūd ebn-e xāndmīr (-160)</w:t>
      </w:r>
    </w:p>
    <w:p>
      <w:pPr>
        <w:pStyle w:val="BookText"/>
      </w:pPr>
      <w:r>
        <w:rPr>
          <w:rFonts w:ascii="IRNazanin" w:hAnsi="IRNazanin" w:eastAsia="IRNazanin" w:cs="IRNazanin"/>
          <w:lang w:bidi="fa-IR"/>
          <w:color w:val="111111"/>
          <w:sz w:val="28"/>
          <w:szCs w:val="28"/>
          <w:rtl/>
        </w:rPr>
        <w:t xml:space="preserve">وابسته به: حبیب السير في اخبار افراد البشر؛ خواند میر، غیاث الدين بن همام الدين (۸۸۰-۹۴۲) اهدا به: ركن السلطنه محمد خان بن شرف الدین فرمانروای هرات میان (۹۵۳-۹۵۷ق) تاريخ تأليف: ۹۵۵ق نخستین عنوان آن «ذكر بعضی از اوصاف پادشاه جمجاه ابوالمظفر نواب کامیاب سپهر رکاب شاه اسماعيل عليه رحمة الملك الجميل». باز پسین عنوان آن: «تبیین کلام در رفتن شاه محمد سلطان بعزم تاخت و تاراج ولايات خراسان و بیان اختلال احوال سكنه و متوطنان آن بلاد از اعمال طايفه اوزبکیه و شرح کشته شدن سلطان مذکور»..</w:t>
      </w:r>
    </w:p>
    <w:p>
      <w:pPr>
        <w:pStyle w:val="BookText"/>
      </w:pPr>
      <w:r>
        <w:rPr>
          <w:rFonts w:ascii="IRNazanin" w:hAnsi="IRNazanin" w:eastAsia="IRNazanin" w:cs="IRNazanin"/>
          <w:lang w:bidi="fa-IR"/>
          <w:color w:val="111111"/>
          <w:sz w:val="28"/>
          <w:szCs w:val="28"/>
          <w:rtl/>
        </w:rPr>
        <w:t xml:space="preserve">آغاز: بسمله. و به نستعین. زیور افسر اخبار شاهان عالم مدار و حليه تاج مآثر خسروان گردون اقتدار جواهر محامد مالک الملکی است که سرفرازی سلاطین ذی شوکت ... از تشریف الباس و تایید اجلاس او است. باستحقاق خلدالله ظله منتفع و بهره ور گردد من الله العون و المدد.</w:t>
      </w:r>
    </w:p>
    <w:p>
      <w:pPr>
        <w:pStyle w:val="BookText"/>
      </w:pPr>
      <w:r>
        <w:rPr>
          <w:rFonts w:ascii="IRNazanin" w:hAnsi="IRNazanin" w:eastAsia="IRNazanin" w:cs="IRNazanin"/>
          <w:lang w:bidi="fa-IR"/>
          <w:color w:val="111111"/>
          <w:sz w:val="28"/>
          <w:szCs w:val="28"/>
          <w:rtl/>
        </w:rPr>
        <w:t xml:space="preserve">چاپ: به کوشش علامرضا طباطبائی مجد، تهران، ضمن انتشارات موقوفات دکتر افشار، ۱۳۷۰ش، به نام ایران در روزگار شاه اسماعیل و شاه تهماسب</w:t>
      </w:r>
    </w:p>
    <w:p>
      <w:pPr>
        <w:pStyle w:val="BookText"/>
      </w:pPr>
      <w:r>
        <w:rPr>
          <w:rFonts w:ascii="IRNazanin" w:hAnsi="IRNazanin" w:eastAsia="IRNazanin" w:cs="IRNazanin"/>
          <w:lang w:bidi="fa-IR"/>
          <w:color w:val="111111"/>
          <w:sz w:val="28"/>
          <w:szCs w:val="28"/>
          <w:rtl/>
        </w:rPr>
        <w:t xml:space="preserve">[دنا ۷۱۷/۲ ؛ فهرستواره منزوی ۸۷۶/۲ ]</w:t>
      </w:r>
    </w:p>
    <w:p>
      <w:pPr>
        <w:pStyle w:val="BookText"/>
      </w:pPr>
      <w:r>
        <w:rPr>
          <w:rFonts w:ascii="IRNazanin" w:hAnsi="IRNazanin" w:eastAsia="IRNazanin" w:cs="IRNazanin"/>
          <w:lang w:bidi="fa-IR"/>
          <w:color w:val="111111"/>
          <w:sz w:val="28"/>
          <w:szCs w:val="28"/>
          <w:rtl/>
        </w:rPr>
        <w:t xml:space="preserve">۱. تهران؛ سپهسالار؛ شماره نسخه:۱۵۱۴</w:t>
      </w:r>
    </w:p>
    <w:p>
      <w:pPr>
        <w:pStyle w:val="BookText"/>
      </w:pPr>
      <w:r>
        <w:rPr>
          <w:rFonts w:ascii="IRNazanin" w:hAnsi="IRNazanin" w:eastAsia="IRNazanin" w:cs="IRNazanin"/>
          <w:lang w:bidi="fa-IR"/>
          <w:color w:val="111111"/>
          <w:sz w:val="28"/>
          <w:szCs w:val="28"/>
          <w:rtl/>
        </w:rPr>
        <w:t xml:space="preserve">آغاز: لا علاج خود را به قافله رسانید تا بگویم که کی به خدمت آن شهریار خواهد رسید. و پس از ذکر خروج شاه اسماعیل در گیلان و بیرون رفتن با هفت نفر صوفی که همراه او بودند گوید: الحال از حالات شهریار زمان انجام: شاه طهماسبی (كذا) را آوردند در دارالسلطنه تبریز بر تخت نشاندند. و السلام عليكم في ۱۲۹ (شاید ۱۰۲۹). خط: نستعلیق، بی کا، تا: قرن ۱۱؛ افتادگی: آغاز، کاغذ: فرنگی [ف: ۳-۲۹۸].</w:t>
      </w:r>
    </w:p>
    <w:p>
      <w:pPr>
        <w:pStyle w:val="BookText"/>
      </w:pPr>
      <w:r>
        <w:rPr>
          <w:rFonts w:ascii="IRNazanin" w:hAnsi="IRNazanin" w:eastAsia="IRNazanin" w:cs="IRNazanin"/>
          <w:lang w:bidi="fa-IR"/>
          <w:color w:val="111111"/>
          <w:sz w:val="28"/>
          <w:szCs w:val="28"/>
          <w:rtl/>
        </w:rPr>
        <w:t xml:space="preserve">۲. تهران؛ دائرة المعارف؛ شماره نسخه: ۲۲۲- عکسی</w:t>
      </w:r>
    </w:p>
    <w:p>
      <w:pPr>
        <w:pStyle w:val="BookText"/>
      </w:pPr>
      <w:r>
        <w:rPr>
          <w:rFonts w:ascii="IRNazanin" w:hAnsi="IRNazanin" w:eastAsia="IRNazanin" w:cs="IRNazanin"/>
          <w:lang w:bidi="fa-IR"/>
          <w:color w:val="111111"/>
          <w:sz w:val="28"/>
          <w:szCs w:val="28"/>
          <w:rtl/>
        </w:rPr>
        <w:t xml:space="preserve">آغاز: برابر؛ انجام: سنة خمسة عشر و الف موافق يوئت ئیل. نسخه اصل: گنج بخش، ش ۲۳۵۷ (گنج ۲۰۳۱/۴ )؛ خط: نستعلیق پخته، بی کا، تا: ۱۰۱۲-۱۰۱۵ق؛ ۱۰۶گ [عکسی ف: ۲-۵۵]</w:t>
      </w:r>
    </w:p>
    <w:p>
      <w:pPr>
        <w:pStyle w:val="BookText"/>
      </w:pPr>
      <w:r>
        <w:rPr>
          <w:rFonts w:ascii="IRNazanin" w:hAnsi="IRNazanin" w:eastAsia="IRNazanin" w:cs="IRNazanin"/>
          <w:lang w:bidi="fa-IR"/>
          <w:color w:val="111111"/>
          <w:sz w:val="28"/>
          <w:szCs w:val="28"/>
          <w:rtl/>
        </w:rPr>
        <w:t xml:space="preserve">٣. یزد؛ وزیری؛ شماره نسخه:۳۹۳</w:t>
      </w:r>
    </w:p>
    <w:p>
      <w:pPr>
        <w:pStyle w:val="BookText"/>
      </w:pPr>
      <w:r>
        <w:rPr>
          <w:rFonts w:ascii="IRNazanin" w:hAnsi="IRNazanin" w:eastAsia="IRNazanin" w:cs="IRNazanin"/>
          <w:lang w:bidi="fa-IR"/>
          <w:color w:val="111111"/>
          <w:sz w:val="28"/>
          <w:szCs w:val="28"/>
          <w:rtl/>
        </w:rPr>
        <w:t xml:space="preserve">آغاز و انجام: برابر خط: نستعلیق، بی کا، تا: چهارشنبه ۲ جمادی الاول ۱۰۵۰ق؛ مهر: خاک راه علی بود بسحر»؛ اهدایی: استادان صنف خباز يزد؛ کاغذ: سمرقندی، جلد: مقوایی تیماج آلبالویی، ۲۰۷گ، ۱۷ سطر (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۱-۳۵۷] و [نشریه: ۴-۳۷۵]</w:t>
      </w:r>
    </w:p>
    <w:p>
      <w:pPr>
        <w:pStyle w:val="BookText"/>
      </w:pPr>
      <w:r>
        <w:rPr>
          <w:rFonts w:ascii="IRNazanin" w:hAnsi="IRNazanin" w:eastAsia="IRNazanin" w:cs="IRNazanin"/>
          <w:lang w:bidi="fa-IR"/>
          <w:color w:val="111111"/>
          <w:sz w:val="28"/>
          <w:szCs w:val="28"/>
          <w:rtl/>
        </w:rPr>
        <w:t xml:space="preserve">۴. تبریز؛ ملی؛ شماره نسخه:۳۶۱۴</w:t>
      </w:r>
    </w:p>
    <w:p>
      <w:pPr>
        <w:pStyle w:val="BookText"/>
      </w:pPr>
      <w:r>
        <w:rPr>
          <w:rFonts w:ascii="IRNazanin" w:hAnsi="IRNazanin" w:eastAsia="IRNazanin" w:cs="IRNazanin"/>
          <w:lang w:bidi="fa-IR"/>
          <w:color w:val="111111"/>
          <w:sz w:val="28"/>
          <w:szCs w:val="28"/>
          <w:rtl/>
        </w:rPr>
        <w:t xml:space="preserve">آغاز: برابر؛ انجام: و بداغ خان دانست که استعداد حراست ارک ازو مسلوبست از آغاز حال شاه اسماعیل صفوی تا وقایع عهد همایون پادشاه؛ خط: نستعلیق، بی کا، بی تاب افتادگی: انجام، مجدول، مذهب، دارای سرلوحی با آب طلا و مینا؛ و در برگ ۹/۱ س۴ تاریخ تألیف و تحریر (۹۵۷ق) را ذکر میکند و در برگ ۹۱/۱ س ۱۲ از پدر خود و تأليف وی «حبیب السير» سخن میراند؛ جلد: چرمی، ۱۴سطر،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۲-۷۰۴)</w:t>
      </w:r>
    </w:p>
    <w:p>
      <w:pPr>
        <w:pStyle w:val="Heading3"/>
      </w:pPr>
      <w:bookmarkStart w:id="2397" w:name="_Toc1657"/>
      <w:r>
        <w:t>•تاریخ شاهان عجم / تاریخ پادشاهان / فارسی</w:t>
      </w:r>
      <w:bookmarkEnd w:id="2397"/>
    </w:p>
    <w:p>
      <w:pPr>
        <w:pStyle w:val="BookText"/>
      </w:pPr>
      <w:r>
        <w:rPr>
          <w:rFonts w:ascii="Times New Roman" w:hAnsi="Times New Roman" w:eastAsia="Times New Roman" w:cs="Times New Roman"/>
          <w:lang w:val="en-US" w:bidi="en-US"/>
          <w:color w:val="111111"/>
          <w:sz w:val="28"/>
          <w:szCs w:val="28"/>
          <w:rtl/>
        </w:rPr>
        <w:t xml:space="preserve">tārīx-e šāhān-e ‘ajam</w:t>
      </w:r>
    </w:p>
    <w:p>
      <w:pPr>
        <w:pStyle w:val="BookText"/>
      </w:pPr>
      <w:r>
        <w:rPr>
          <w:rFonts w:ascii="IRNazanin" w:hAnsi="IRNazanin" w:eastAsia="IRNazanin" w:cs="IRNazanin"/>
          <w:lang w:bidi="fa-IR"/>
          <w:color w:val="111111"/>
          <w:sz w:val="28"/>
          <w:szCs w:val="28"/>
          <w:rtl/>
        </w:rPr>
        <w:t xml:space="preserve">وابسته به: حبيب السير في اخبار افراد البشر؛ خواند میر، غیاث الدين بن همام الدين (۸۸۰-۹۴۲)</w:t>
      </w:r>
    </w:p>
    <w:p>
      <w:pPr>
        <w:pStyle w:val="BookText"/>
      </w:pPr>
      <w:r>
        <w:rPr>
          <w:rFonts w:ascii="IRNazanin" w:hAnsi="IRNazanin" w:eastAsia="IRNazanin" w:cs="IRNazanin"/>
          <w:lang w:bidi="fa-IR"/>
          <w:color w:val="111111"/>
          <w:sz w:val="28"/>
          <w:szCs w:val="28"/>
          <w:rtl/>
        </w:rPr>
        <w:t xml:space="preserve">تاریخ پادشان عجم است که مؤلف از حبیب السیر برای همت یارخان یکی از امرای هند تلخیص و تحرير نموده و در چهار طبقه قرار داده است.</w:t>
      </w:r>
    </w:p>
    <w:p>
      <w:pPr>
        <w:pStyle w:val="BookText"/>
      </w:pPr>
      <w:r>
        <w:rPr>
          <w:rFonts w:ascii="IRNazanin" w:hAnsi="IRNazanin" w:eastAsia="IRNazanin" w:cs="IRNazanin"/>
          <w:lang w:bidi="fa-IR"/>
          <w:color w:val="111111"/>
          <w:sz w:val="28"/>
          <w:szCs w:val="28"/>
          <w:rtl/>
        </w:rPr>
        <w:t xml:space="preserve">قم؛ گلپایگانی؛ شماره نسخه: ۲۰۵۱/۱ - ۱۱/۱۵۱</w:t>
      </w:r>
    </w:p>
    <w:p>
      <w:pPr>
        <w:pStyle w:val="BookText"/>
      </w:pPr>
      <w:r>
        <w:rPr>
          <w:rFonts w:ascii="IRNazanin" w:hAnsi="IRNazanin" w:eastAsia="IRNazanin" w:cs="IRNazanin"/>
          <w:lang w:bidi="fa-IR"/>
          <w:color w:val="111111"/>
          <w:sz w:val="28"/>
          <w:szCs w:val="28"/>
          <w:rtl/>
        </w:rPr>
        <w:t xml:space="preserve">آغاز: شه کلامی که سریر آرای فصاحت و ملاحت و دلاور مرامی که معرکه پیرای بلاغت و سلاست تواند بود ... حسب استعداد فهم خود از حبیب السیر به اخذ و ضبط؛ انجام: در سال ۳۱ از هجرت به وقوع انجامید و ایام دولت و اقبال ساسانیان به نهایت و اختتام رسید. خط: نستعلیق، بی کا، بی تا، جلد: مقوا، ۵۸گ، ۱۲-۱۳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۲-۶۹۵]</w:t>
      </w:r>
    </w:p>
    <w:p>
      <w:pPr>
        <w:pStyle w:val="BookText"/>
      </w:pPr>
      <w:r>
        <w:rPr>
          <w:rFonts w:ascii="IRNazanin" w:hAnsi="IRNazanin" w:eastAsia="IRNazanin" w:cs="IRNazanin"/>
          <w:lang w:bidi="fa-IR"/>
          <w:color w:val="111111"/>
          <w:sz w:val="28"/>
          <w:szCs w:val="28"/>
          <w:rtl/>
        </w:rPr>
        <w:t xml:space="preserve">←تاریخ شاهرخ ← مجمع التواريخ السلطانيه</w:t>
      </w:r>
    </w:p>
    <w:p>
      <w:pPr>
        <w:pStyle w:val="Heading3"/>
      </w:pPr>
      <w:bookmarkStart w:id="2398" w:name="_Toc1658"/>
      <w:r>
        <w:t>•تاریخ شاهرخ / تاریخ ایران / فارسی</w:t>
      </w:r>
      <w:bookmarkEnd w:id="2398"/>
    </w:p>
    <w:p>
      <w:pPr>
        <w:pStyle w:val="BookText"/>
      </w:pPr>
      <w:r>
        <w:rPr>
          <w:rFonts w:ascii="Times New Roman" w:hAnsi="Times New Roman" w:eastAsia="Times New Roman" w:cs="Times New Roman"/>
          <w:lang w:val="en-US" w:bidi="en-US"/>
          <w:color w:val="111111"/>
          <w:sz w:val="28"/>
          <w:szCs w:val="28"/>
          <w:rtl/>
        </w:rPr>
        <w:t xml:space="preserve">tārīx-e šāhrox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499" w:name="pg20363_209811"/>
    <w:bookmarkEnd w:id="499"/>
    <w:p>
      <w:pPr>
        <w:pStyle w:val="BookText"/>
      </w:pPr>
      <w:r>
        <w:rPr>
          <w:rFonts w:ascii="IRNazanin" w:hAnsi="IRNazanin" w:eastAsia="IRNazanin" w:cs="IRNazanin"/>
          <w:lang w:bidi="fa-IR"/>
          <w:color w:val="111111"/>
          <w:sz w:val="28"/>
          <w:szCs w:val="28"/>
          <w:rtl/>
        </w:rPr>
        <w:t xml:space="preserve">حافظ ابرو، عبد الله بن لطف الله، ۷۶۳؟ -۸۳۴؟ قمری</w:t>
      </w:r>
    </w:p>
    <w:p>
      <w:pPr>
        <w:pStyle w:val="BookText"/>
      </w:pPr>
      <w:r>
        <w:rPr>
          <w:rFonts w:ascii="Times New Roman" w:hAnsi="Times New Roman" w:eastAsia="Times New Roman" w:cs="Times New Roman"/>
          <w:lang w:val="en-US" w:bidi="en-US"/>
          <w:color w:val="111111"/>
          <w:sz w:val="28"/>
          <w:szCs w:val="28"/>
          <w:rtl/>
        </w:rPr>
        <w:t xml:space="preserve">hāfez abrū, ‘abd-ol-lāh ebn-e lotf-ol-lāh (1362-1431)</w:t>
      </w:r>
    </w:p>
    <w:p>
      <w:pPr>
        <w:pStyle w:val="BookText"/>
      </w:pPr>
      <w:r>
        <w:rPr>
          <w:rFonts w:ascii="IRNazanin" w:hAnsi="IRNazanin" w:eastAsia="IRNazanin" w:cs="IRNazanin"/>
          <w:lang w:bidi="fa-IR"/>
          <w:color w:val="111111"/>
          <w:sz w:val="28"/>
          <w:szCs w:val="28"/>
          <w:rtl/>
        </w:rPr>
        <w:t xml:space="preserve">قسمتی از مجموعه تاریخی حافظ ابرو است که به دوره پادشاهی شاهرخ تیموری اختصاص دارد. حافظ ابرو این تاریخ را به دستور شاهرخ نوشته و حوادث و وقایع دوره سلطنت وی را تا سال ۸۱۹ق آورده است. آغاز: حمد و سپاس مبدعی را که بیک اشارت كن ابداع موجودات و اختراع مصنوعات کرد. استوری،( ترجمه فارسی ادبیات فارسی) ۴/۲-۵۰۳؛ فهرستواره منزوی ۸۷۸/۲ ؛ بر گل، فارسی ۵۰۲/۲ «تاریخ شاهرخ» که می گوید تا سال ۸۱۶ق /۱۴۱۳م را دارد؛ دنا ۷۱۷/۲ )</w:t>
      </w:r>
    </w:p>
    <w:p>
      <w:pPr>
        <w:pStyle w:val="BookText"/>
      </w:pPr>
      <w:r>
        <w:rPr>
          <w:rFonts w:ascii="IRNazanin" w:hAnsi="IRNazanin" w:eastAsia="IRNazanin" w:cs="IRNazanin"/>
          <w:lang w:bidi="fa-IR"/>
          <w:color w:val="111111"/>
          <w:sz w:val="28"/>
          <w:szCs w:val="28"/>
          <w:rtl/>
        </w:rPr>
        <w:t xml:space="preserve">۱. قم؛ مرعشی؛ شماره نسخه: ۸۸۱عکسی</w:t>
      </w:r>
    </w:p>
    <w:p>
      <w:pPr>
        <w:pStyle w:val="BookText"/>
      </w:pPr>
      <w:r>
        <w:rPr>
          <w:rFonts w:ascii="IRNazanin" w:hAnsi="IRNazanin" w:eastAsia="IRNazanin" w:cs="IRNazanin"/>
          <w:lang w:bidi="fa-IR"/>
          <w:color w:val="111111"/>
          <w:sz w:val="28"/>
          <w:szCs w:val="28"/>
          <w:rtl/>
        </w:rPr>
        <w:t xml:space="preserve">آغاز: برابر؛ انجام: ذکر ... در آن ایام که رایات همایون حضرت سلطنت شعاری خلد الله تعالی ملکه و سلطانه به ممالک فارس در آمد ایلچی بجانب کرمان نسخه اصل: کتابخانه دانشکده ادبیات -تهران، بشماره (۲-ب)</w:t>
      </w:r>
    </w:p>
    <w:p>
      <w:pPr>
        <w:pStyle w:val="BookText"/>
      </w:pPr>
      <w:r>
        <w:rPr>
          <w:rFonts w:ascii="IRNazanin" w:hAnsi="IRNazanin" w:eastAsia="IRNazanin" w:cs="IRNazanin"/>
          <w:lang w:bidi="fa-IR"/>
          <w:color w:val="111111"/>
          <w:sz w:val="28"/>
          <w:szCs w:val="28"/>
          <w:rtl/>
        </w:rPr>
        <w:t xml:space="preserve">[در فهرست ادبیات مجمع التواریخ معرفی شده ؛ خط: نستعلیق، بی کا، تا: قرن ۱۱؛ افتادگی: انجام؛ مصحح؛ ۷۷گ (۲۰۱پ تا ۲۷۸پ)، ۳۱سطر [عکسی ف: ۲-۳۵۹]</w:t>
      </w:r>
    </w:p>
    <w:p>
      <w:pPr>
        <w:pStyle w:val="BookText"/>
      </w:pPr>
      <w:r>
        <w:rPr>
          <w:rFonts w:ascii="IRNazanin" w:hAnsi="IRNazanin" w:eastAsia="IRNazanin" w:cs="IRNazanin"/>
          <w:lang w:bidi="fa-IR"/>
          <w:color w:val="111111"/>
          <w:sz w:val="28"/>
          <w:szCs w:val="28"/>
          <w:rtl/>
        </w:rPr>
        <w:t xml:space="preserve">۲. تهران؛ دائرة المعارف؛ شماره نسخه: ۴۴۰/۶ -عکسی</w:t>
      </w:r>
    </w:p>
    <w:p>
      <w:pPr>
        <w:pStyle w:val="BookText"/>
      </w:pPr>
      <w:r>
        <w:rPr>
          <w:rFonts w:ascii="IRNazanin" w:hAnsi="IRNazanin" w:eastAsia="IRNazanin" w:cs="IRNazanin"/>
          <w:lang w:bidi="fa-IR"/>
          <w:color w:val="111111"/>
          <w:sz w:val="28"/>
          <w:szCs w:val="28"/>
          <w:rtl/>
        </w:rPr>
        <w:t xml:space="preserve">آغاز: برابر؛ انجام: در اوایل ربيع الآخر تسع عشر و ثمانماية بدان حوالی رسیدند و اهالی به نهب و غارت و انواع عقوبت مبتلا و بلاد کرمان مجمع فتنه و بلا و مسکن رنج و عنا شد، سلطان اویس ... و لوله اخبار استماع کردند روی به قلعه نهادند. نسخه اصل: ملک ۴۱۶۴ (ملکی ۲۲۲/۷ )؛ خط: نسخ پخته، كا: ابن محمد مهدی، آقا بابا شهمیرزادی، تا: ۱۲۷۱ ق [عکسی ف: ۲-۵۶]</w:t>
      </w:r>
    </w:p>
    <w:p>
      <w:pPr>
        <w:pStyle w:val="BookText"/>
      </w:pPr>
      <w:r>
        <w:rPr>
          <w:rFonts w:ascii="IRNazanin" w:hAnsi="IRNazanin" w:eastAsia="IRNazanin" w:cs="IRNazanin"/>
          <w:lang w:bidi="fa-IR"/>
          <w:color w:val="111111"/>
          <w:sz w:val="28"/>
          <w:szCs w:val="28"/>
          <w:rtl/>
        </w:rPr>
        <w:t xml:space="preserve">٣. تهران، دانشگاه؛ شماره نسخه:۳۹۲۳-ف</w:t>
      </w:r>
    </w:p>
    <w:p>
      <w:pPr>
        <w:pStyle w:val="BookText"/>
      </w:pPr>
      <w:r>
        <w:rPr>
          <w:rFonts w:ascii="IRNazanin" w:hAnsi="IRNazanin" w:eastAsia="IRNazanin" w:cs="IRNazanin"/>
          <w:lang w:bidi="fa-IR"/>
          <w:color w:val="111111"/>
          <w:sz w:val="28"/>
          <w:szCs w:val="28"/>
          <w:rtl/>
        </w:rPr>
        <w:t xml:space="preserve">آغاز: برابر؛ انجام: خاص و عام و شیخ و شاب چند روز متعاقب قدم بر بساط نشاط نهادند و به تجرع رحيق ارغوانی با ... (یک کلمه خوانده نشده است) کامرانی مداومت و مواظبت نموده و به استماع اغانی از لحن غوانی نصیبی وافر و حظی کامل داشت. بخشی است از زبدة التواریخ که ربع چهارم آن است و در «تاریخ شاه رخ و جغرافيا؛ بی کا، بی تا [فیلمها ف: ۲-۲۸۲]</w:t>
      </w:r>
    </w:p>
    <w:p>
      <w:pPr>
        <w:pStyle w:val="BookText"/>
      </w:pPr>
      <w:r>
        <w:rPr>
          <w:rFonts w:ascii="IRNazanin" w:hAnsi="IRNazanin" w:eastAsia="IRNazanin" w:cs="IRNazanin"/>
          <w:lang w:bidi="fa-IR"/>
          <w:color w:val="111111"/>
          <w:sz w:val="28"/>
          <w:szCs w:val="28"/>
          <w:rtl/>
        </w:rPr>
        <w:t xml:space="preserve">← تاریخ شاهرخ میرزا ← مطلع السعدین و مجمع البحرين</w:t>
      </w:r>
    </w:p>
    <w:p>
      <w:pPr>
        <w:pStyle w:val="Heading3"/>
      </w:pPr>
      <w:bookmarkStart w:id="2399" w:name="_Toc1659"/>
      <w:r>
        <w:t>•تاریخ شاهزاده خانم بابلی = رمان ولتر / داستان / فارسی</w:t>
      </w:r>
      <w:bookmarkEnd w:id="2399"/>
    </w:p>
    <w:p>
      <w:pPr>
        <w:pStyle w:val="BookText"/>
      </w:pPr>
      <w:r>
        <w:rPr>
          <w:rFonts w:ascii="Times New Roman" w:hAnsi="Times New Roman" w:eastAsia="Times New Roman" w:cs="Times New Roman"/>
          <w:lang w:val="en-US" w:bidi="en-US"/>
          <w:color w:val="111111"/>
          <w:sz w:val="28"/>
          <w:szCs w:val="28"/>
          <w:rtl/>
        </w:rPr>
        <w:t xml:space="preserve">tārīx-e šāhzāde xānom-e bābelī= romān-e volter</w:t>
      </w:r>
    </w:p>
    <w:p>
      <w:pPr>
        <w:pStyle w:val="BookText"/>
      </w:pPr>
      <w:r>
        <w:rPr>
          <w:rFonts w:ascii="IRNazanin" w:hAnsi="IRNazanin" w:eastAsia="IRNazanin" w:cs="IRNazanin"/>
          <w:lang w:bidi="fa-IR"/>
          <w:color w:val="111111"/>
          <w:sz w:val="28"/>
          <w:szCs w:val="28"/>
          <w:rtl/>
        </w:rPr>
        <w:t xml:space="preserve">ولتر، فرانسوا ماری آروئه دو، ۱۶۹۴-۱۷۷۸ میلادی</w:t>
      </w:r>
    </w:p>
    <w:p>
      <w:pPr>
        <w:pStyle w:val="BookText"/>
      </w:pPr>
      <w:r>
        <w:rPr>
          <w:rFonts w:ascii="Times New Roman" w:hAnsi="Times New Roman" w:eastAsia="Times New Roman" w:cs="Times New Roman"/>
          <w:lang w:val="en-US" w:bidi="en-US"/>
          <w:color w:val="111111"/>
          <w:sz w:val="28"/>
          <w:szCs w:val="28"/>
          <w:rtl/>
        </w:rPr>
        <w:t xml:space="preserve">volter, ferānsvā mārī āro’e do (1694-1778)</w:t>
      </w:r>
    </w:p>
    <w:p>
      <w:pPr>
        <w:pStyle w:val="BookText"/>
      </w:pPr>
      <w:r>
        <w:rPr>
          <w:rFonts w:ascii="IRNazanin" w:hAnsi="IRNazanin" w:eastAsia="IRNazanin" w:cs="IRNazanin"/>
          <w:lang w:bidi="fa-IR"/>
          <w:color w:val="111111"/>
          <w:sz w:val="28"/>
          <w:szCs w:val="28"/>
          <w:rtl/>
        </w:rPr>
        <w:t xml:space="preserve">شرح حال و وقایع ایام یکی از سلاطین بابل بنام «بلوس» است و</w:t>
      </w:r>
    </w:p>
    <w:p>
      <w:pPr>
        <w:pStyle w:val="BookText"/>
      </w:pPr>
      <w:r>
        <w:rPr>
          <w:rFonts w:ascii="IRNazanin" w:hAnsi="IRNazanin" w:eastAsia="IRNazanin" w:cs="IRNazanin"/>
          <w:lang w:bidi="fa-IR"/>
          <w:color w:val="111111"/>
          <w:sz w:val="28"/>
          <w:szCs w:val="28"/>
          <w:rtl/>
        </w:rPr>
        <w:t xml:space="preserve">در آن ولتر نشان میدهد که دربار این مرد، با اینکه خود را برترین مردان عالم می دانست، چگونه محل چاپلوسان شد و نابخردان و متملقین به آنجا نفوذ کردند و سرانجام به بدنامی شاه کشید ... در این کتاب از آثاثه و وسائل دربار نیز اسم برده شده است. این رمان یازده «فصل» دارد. آغاز: فصل اول، بسمله، یکی از سلاطین قدیم بابل که او را بلوس می نامیدند انجام: آنجشن چنان مفصل شد که هفتاد نفر از شعرای بزرگ مشغول قصیده سرائی و مداحی آن بزم بودند و تعريفات او را در کتاب های خود مینوشتند.</w:t>
      </w:r>
    </w:p>
    <w:p>
      <w:pPr>
        <w:pStyle w:val="BookText"/>
      </w:pPr>
      <w:r>
        <w:rPr>
          <w:rFonts w:ascii="IRNazanin" w:hAnsi="IRNazanin" w:eastAsia="IRNazanin" w:cs="IRNazanin"/>
          <w:lang w:bidi="fa-IR"/>
          <w:color w:val="111111"/>
          <w:sz w:val="28"/>
          <w:szCs w:val="28"/>
          <w:rtl/>
        </w:rPr>
        <w:t xml:space="preserve">[دنا ۷۱۸/۲ ؛ فهرستواره منزوی ۲۹۹/۱ و ۴۱۶؛ نسخه های منزوی ۳۷۱۹/۵ (1نسخه)]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اصفهان؛ صارم الدوله (کتابخانه فرهنگ اصفهان، شماره نسخه:۹۶۳</w:t>
      </w:r>
    </w:p>
    <w:p>
      <w:pPr>
        <w:pStyle w:val="BookText"/>
      </w:pPr>
      <w:r>
        <w:rPr>
          <w:rFonts w:ascii="IRNazanin" w:hAnsi="IRNazanin" w:eastAsia="IRNazanin" w:cs="IRNazanin"/>
          <w:lang w:bidi="fa-IR"/>
          <w:color w:val="111111"/>
          <w:sz w:val="28"/>
          <w:szCs w:val="28"/>
          <w:rtl/>
        </w:rPr>
        <w:t xml:space="preserve">آغاز و انجام: برابر در فهرست به عنوان «تاریخ بابل» و بدون نام مؤلف آمده است؛ خط: نستعلیق، بی کا، تا: قرن ۱۳؛ ۱۵۲ص، ۱۴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91]</w:t>
      </w:r>
    </w:p>
    <w:p>
      <w:pPr>
        <w:pStyle w:val="BookText"/>
      </w:pPr>
      <w:r>
        <w:rPr>
          <w:rFonts w:ascii="IRNazanin" w:hAnsi="IRNazanin" w:eastAsia="IRNazanin" w:cs="IRNazanin"/>
          <w:lang w:bidi="fa-IR"/>
          <w:color w:val="111111"/>
          <w:sz w:val="28"/>
          <w:szCs w:val="28"/>
          <w:rtl/>
        </w:rPr>
        <w:t xml:space="preserve">۲. تهران؛ ملی؛ شماره نسخه: ۲۴۱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بی کا، تا: قرن ۱۳، جا: تهران؛ به خط ناصر الدين شاه نوشته شده: «تماما در کلاردشت ملاحظه شد»؛ کاغذ: فلفل نمکی، جلد: تیماج مشکی، ۸۶گ، ۱۴ سطر (۱۰/۵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اندازه: ۲۷/۵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۱-۲۴۳]</w:t>
      </w:r>
    </w:p>
    <w:p>
      <w:pPr>
        <w:pStyle w:val="BookText"/>
      </w:pPr>
      <w:r>
        <w:rPr>
          <w:rFonts w:ascii="IRNazanin" w:hAnsi="IRNazanin" w:eastAsia="IRNazanin" w:cs="IRNazanin"/>
          <w:lang w:bidi="fa-IR"/>
          <w:color w:val="111111"/>
          <w:sz w:val="28"/>
          <w:szCs w:val="28"/>
          <w:rtl/>
        </w:rPr>
        <w:t xml:space="preserve">٣. تهران؛ ملی؛ شماره نسخه:۶۳۴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ابراهيم بن محمد شریف قزوینی، تا: ۱۳۱۳ق، کاغذ: فرنگی آبی، جلد: تیماج قرمز، ۱۲۲گ، ۱۱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سم [ف: ۲-۱۴۳]</w:t>
      </w:r>
    </w:p>
    <w:p>
      <w:pPr>
        <w:pStyle w:val="Heading3"/>
      </w:pPr>
      <w:bookmarkStart w:id="2400" w:name="_Toc1660"/>
      <w:r>
        <w:t>•تاریخ شاه صفی / تاریخ ایران / فارسی</w:t>
      </w:r>
      <w:bookmarkEnd w:id="2400"/>
    </w:p>
    <w:p>
      <w:pPr>
        <w:pStyle w:val="BookText"/>
      </w:pPr>
      <w:r>
        <w:rPr>
          <w:rFonts w:ascii="Times New Roman" w:hAnsi="Times New Roman" w:eastAsia="Times New Roman" w:cs="Times New Roman"/>
          <w:lang w:val="en-US" w:bidi="en-US"/>
          <w:color w:val="111111"/>
          <w:sz w:val="28"/>
          <w:szCs w:val="28"/>
          <w:rtl/>
        </w:rPr>
        <w:t xml:space="preserve">tārīx-e šāh safī</w:t>
      </w:r>
    </w:p>
    <w:p>
      <w:pPr>
        <w:pStyle w:val="BookText"/>
      </w:pPr>
      <w:r>
        <w:rPr>
          <w:rFonts w:ascii="IRNazanin" w:hAnsi="IRNazanin" w:eastAsia="IRNazanin" w:cs="IRNazanin"/>
          <w:lang w:bidi="fa-IR"/>
          <w:color w:val="111111"/>
          <w:sz w:val="28"/>
          <w:szCs w:val="28"/>
          <w:rtl/>
        </w:rPr>
        <w:t xml:space="preserve">حسینی تفریشی، ابوالمفاخر بن فضل الله، ق ۱۱ قمری</w:t>
      </w:r>
    </w:p>
    <w:p>
      <w:pPr>
        <w:pStyle w:val="BookText"/>
      </w:pPr>
      <w:r>
        <w:rPr>
          <w:rFonts w:ascii="Times New Roman" w:hAnsi="Times New Roman" w:eastAsia="Times New Roman" w:cs="Times New Roman"/>
          <w:lang w:val="en-US" w:bidi="en-US"/>
          <w:color w:val="111111"/>
          <w:sz w:val="28"/>
          <w:szCs w:val="28"/>
          <w:rtl/>
        </w:rPr>
        <w:t xml:space="preserve">hoseynī tafrīšī, ab-ol-mafāxer ebn-e fazl-ol-lāh (-17c)</w:t>
      </w:r>
    </w:p>
    <w:p>
      <w:pPr>
        <w:pStyle w:val="BookText"/>
      </w:pPr>
      <w:r>
        <w:rPr>
          <w:rFonts w:ascii="IRNazanin" w:hAnsi="IRNazanin" w:eastAsia="IRNazanin" w:cs="IRNazanin"/>
          <w:lang w:bidi="fa-IR"/>
          <w:color w:val="111111"/>
          <w:sz w:val="28"/>
          <w:szCs w:val="28"/>
          <w:rtl/>
        </w:rPr>
        <w:t xml:space="preserve">اهداء به: شاه سلطان صفی صفوی تاریخ عمومی ایران است در سال های ۹۹۵-۱۰۵۲ ق در تاریخ به سلطنت رسیدن و سوانحی که برای شاه سلطان صفی صفوی اتفاق افتاده است، مشتمل بر یک «مقدمه» و دو «باب»: مقدمه: در بیان چگونگی به سلطنت رسیدن شاه صفی؛ باب ۱. بیان سوانحی که بعد از جلوس وی رخ داده است؛ باب ۲. ذكر وقایعی که بعد از رجعت لشکر روم و قتل زینل خان به وقوع پیوسته است. آغاز: سبحان الله زهی رتبه بیضا ساطعه ارجمد ابد پیوند جلال پادشاه حقیقی و جهتی مزیت ازل لامعه بی مانند متعال ایزد تعالی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500" w:name="pg20363_209812"/>
    <w:bookmarkEnd w:id="500"/>
    <w:p>
      <w:pPr>
        <w:pStyle w:val="BookText"/>
      </w:pPr>
      <w:r>
        <w:rPr>
          <w:rFonts w:ascii="IRNazanin" w:hAnsi="IRNazanin" w:eastAsia="IRNazanin" w:cs="IRNazanin"/>
          <w:lang w:bidi="fa-IR"/>
          <w:color w:val="111111"/>
          <w:sz w:val="28"/>
          <w:szCs w:val="28"/>
          <w:rtl/>
        </w:rPr>
        <w:t xml:space="preserve">انجام: تا منقبت فکرت لالی صفات، صفات این خدیو دوران برشته ألفت انتظام داد.</w:t>
      </w:r>
    </w:p>
    <w:p>
      <w:pPr>
        <w:pStyle w:val="BookText"/>
      </w:pPr>
      <w:r>
        <w:rPr>
          <w:rFonts w:ascii="IRNazanin" w:hAnsi="IRNazanin" w:eastAsia="IRNazanin" w:cs="IRNazanin"/>
          <w:lang w:bidi="fa-IR"/>
          <w:color w:val="111111"/>
          <w:sz w:val="28"/>
          <w:szCs w:val="28"/>
          <w:rtl/>
        </w:rPr>
        <w:t xml:space="preserve">[دنا ۷۱۸/۲ ؛ فهرستواره منزوی ۸۷۷/۲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مرکز احیاء؛ شماره نسخه: ۲۵۹۰</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تا: ۹ محرم ۱۰۷۸ق؛ ۲۶۹ص [عکسی ف: ۷-۱۷۷]</w:t>
      </w:r>
    </w:p>
    <w:p>
      <w:pPr>
        <w:pStyle w:val="BookText"/>
      </w:pPr>
      <w:r>
        <w:rPr>
          <w:rFonts w:ascii="IRNazanin" w:hAnsi="IRNazanin" w:eastAsia="IRNazanin" w:cs="IRNazanin"/>
          <w:lang w:bidi="fa-IR"/>
          <w:color w:val="111111"/>
          <w:sz w:val="28"/>
          <w:szCs w:val="28"/>
          <w:rtl/>
        </w:rPr>
        <w:t xml:space="preserve">۲. قم: مرکز احیاء؛ شماره نسخه: ۲۵۸۵/۱</w:t>
      </w:r>
    </w:p>
    <w:p>
      <w:pPr>
        <w:pStyle w:val="BookText"/>
      </w:pPr>
      <w:r>
        <w:rPr>
          <w:rFonts w:ascii="IRNazanin" w:hAnsi="IRNazanin" w:eastAsia="IRNazanin" w:cs="IRNazanin"/>
          <w:lang w:bidi="fa-IR"/>
          <w:color w:val="111111"/>
          <w:sz w:val="28"/>
          <w:szCs w:val="28"/>
          <w:rtl/>
        </w:rPr>
        <w:t xml:space="preserve">آغاز: یا ازلى الظهور یا ابدی البقا *** نورک فوق النظر حسنک فوق الثنا / شاهد عرفان تست از همه کس بی نیاز *** گو همه دلها بسوز گو همه جانها برة نسخه اصل: کتابخانه ملی وین اتریش. تا ابتدای صدارت میرزا حبیب الله، ظاهرة ناتمام مانده است؛</w:t>
      </w:r>
    </w:p>
    <w:p>
      <w:pPr>
        <w:pStyle w:val="BookText"/>
      </w:pPr>
      <w:r>
        <w:rPr>
          <w:rFonts w:ascii="IRNazanin" w:hAnsi="IRNazanin" w:eastAsia="IRNazanin" w:cs="IRNazanin"/>
          <w:lang w:bidi="fa-IR"/>
          <w:color w:val="111111"/>
          <w:sz w:val="28"/>
          <w:szCs w:val="28"/>
          <w:rtl/>
        </w:rPr>
        <w:t xml:space="preserve">خط: نستعلیق، كان محمد نصیر بن محمد جعفر نصیری طوسی، تا: ذیقعده ۱۰۸۷ق؛ مصحح عکسی ف: ۷-۱۷۴]</w:t>
      </w:r>
    </w:p>
    <w:p>
      <w:pPr>
        <w:pStyle w:val="BookText"/>
      </w:pPr>
      <w:r>
        <w:rPr>
          <w:rFonts w:ascii="IRNazanin" w:hAnsi="IRNazanin" w:eastAsia="IRNazanin" w:cs="IRNazanin"/>
          <w:lang w:bidi="fa-IR"/>
          <w:color w:val="111111"/>
          <w:sz w:val="28"/>
          <w:szCs w:val="28"/>
          <w:rtl/>
        </w:rPr>
        <w:t xml:space="preserve">٣. قم؛ مرعشی؛ شماره نسخه: ۲۳۳۹</w:t>
      </w:r>
    </w:p>
    <w:p>
      <w:pPr>
        <w:pStyle w:val="BookText"/>
      </w:pPr>
      <w:r>
        <w:rPr>
          <w:rFonts w:ascii="IRNazanin" w:hAnsi="IRNazanin" w:eastAsia="IRNazanin" w:cs="IRNazanin"/>
          <w:lang w:bidi="fa-IR"/>
          <w:color w:val="111111"/>
          <w:sz w:val="28"/>
          <w:szCs w:val="28"/>
          <w:rtl/>
        </w:rPr>
        <w:t xml:space="preserve">آغاز: برابر، انجام: تا منقبت فکرت لالی صفات، صفات این خدیو دوران برشته ألفت انتظام داد. خط: نستعلیق، کا: محمد صالح بن مولوی محمد جعفر، تا: ۲۵ ذیقعده ۱۱۳۱ق؛ مجدول، دارای سرلوح رنگین؛ جلد: مقوایی عطف تیماج قهوه ای، ۱۰۵گ، ۱۷ سطر،اندازه:۲۴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w:t>
      </w:r>
    </w:p>
    <w:p>
      <w:pPr>
        <w:pStyle w:val="BookText"/>
      </w:pPr>
      <w:r>
        <w:rPr>
          <w:rFonts w:ascii="IRNazanin" w:hAnsi="IRNazanin" w:eastAsia="IRNazanin" w:cs="IRNazanin"/>
          <w:lang w:bidi="fa-IR"/>
          <w:color w:val="111111"/>
          <w:sz w:val="28"/>
          <w:szCs w:val="28"/>
          <w:rtl/>
        </w:rPr>
        <w:t xml:space="preserve">سم [ف: د لا ۳۱۶۶ ]</w:t>
      </w:r>
    </w:p>
    <w:p>
      <w:pPr>
        <w:pStyle w:val="BookText"/>
      </w:pPr>
      <w:r>
        <w:rPr>
          <w:rFonts w:ascii="IRNazanin" w:hAnsi="IRNazanin" w:eastAsia="IRNazanin" w:cs="IRNazanin"/>
          <w:lang w:bidi="fa-IR"/>
          <w:color w:val="111111"/>
          <w:sz w:val="28"/>
          <w:szCs w:val="28"/>
          <w:rtl/>
        </w:rPr>
        <w:t xml:space="preserve">←تاریخ شاه عباس ← عباس نامه</w:t>
      </w:r>
    </w:p>
    <w:p>
      <w:pPr>
        <w:pStyle w:val="Heading3"/>
      </w:pPr>
      <w:bookmarkStart w:id="2401" w:name="_Toc1661"/>
      <w:r>
        <w:t>•تاریخ شاه عباس دوم / تاریخ پادشاهان / فارسی</w:t>
      </w:r>
      <w:bookmarkEnd w:id="2401"/>
    </w:p>
    <w:p>
      <w:pPr>
        <w:pStyle w:val="BookText"/>
      </w:pPr>
      <w:r>
        <w:rPr>
          <w:rFonts w:ascii="Times New Roman" w:hAnsi="Times New Roman" w:eastAsia="Times New Roman" w:cs="Times New Roman"/>
          <w:lang w:val="en-US" w:bidi="en-US"/>
          <w:color w:val="111111"/>
          <w:sz w:val="28"/>
          <w:szCs w:val="28"/>
          <w:rtl/>
        </w:rPr>
        <w:t xml:space="preserve">tārīx-e šāh 'abbās-e dovvom</w:t>
      </w:r>
    </w:p>
    <w:p>
      <w:pPr>
        <w:pStyle w:val="BookText"/>
      </w:pPr>
      <w:r>
        <w:rPr>
          <w:rFonts w:ascii="IRNazanin" w:hAnsi="IRNazanin" w:eastAsia="IRNazanin" w:cs="IRNazanin"/>
          <w:lang w:bidi="fa-IR"/>
          <w:color w:val="111111"/>
          <w:sz w:val="28"/>
          <w:szCs w:val="28"/>
          <w:rtl/>
        </w:rPr>
        <w:t xml:space="preserve">تهران؛ دانشگاه؛ شماره نسخه: ۳۸۸۲-ف</w:t>
      </w:r>
    </w:p>
    <w:p>
      <w:pPr>
        <w:pStyle w:val="BookText"/>
      </w:pPr>
      <w:r>
        <w:rPr>
          <w:rFonts w:ascii="IRNazanin" w:hAnsi="IRNazanin" w:eastAsia="IRNazanin" w:cs="IRNazanin"/>
          <w:lang w:bidi="fa-IR"/>
          <w:color w:val="111111"/>
          <w:sz w:val="28"/>
          <w:szCs w:val="28"/>
          <w:rtl/>
        </w:rPr>
        <w:t xml:space="preserve">در آن آمده است که در ۱۰۵۶ عمارت جهان نمای اصفهان نمودند؛ بی کا، بی تا [فيلمها ف: ۲-۲۷۵]</w:t>
      </w:r>
    </w:p>
    <w:p>
      <w:pPr>
        <w:pStyle w:val="Heading3"/>
      </w:pPr>
      <w:bookmarkStart w:id="2402" w:name="_Toc1662"/>
      <w:r>
        <w:t>•تاریخ شاه عباس صفوی / تاریخ / فارسی</w:t>
      </w:r>
      <w:bookmarkEnd w:id="2402"/>
    </w:p>
    <w:p>
      <w:pPr>
        <w:pStyle w:val="BookText"/>
      </w:pPr>
      <w:r>
        <w:rPr>
          <w:rFonts w:ascii="Times New Roman" w:hAnsi="Times New Roman" w:eastAsia="Times New Roman" w:cs="Times New Roman"/>
          <w:lang w:val="en-US" w:bidi="en-US"/>
          <w:color w:val="111111"/>
          <w:sz w:val="28"/>
          <w:szCs w:val="28"/>
          <w:rtl/>
        </w:rPr>
        <w:t xml:space="preserve">tārīx-e šāh ‘abbās-e safavī</w:t>
      </w:r>
    </w:p>
    <w:p>
      <w:pPr>
        <w:pStyle w:val="BookText"/>
      </w:pPr>
      <w:r>
        <w:rPr>
          <w:rFonts w:ascii="IRNazanin" w:hAnsi="IRNazanin" w:eastAsia="IRNazanin" w:cs="IRNazanin"/>
          <w:lang w:bidi="fa-IR"/>
          <w:color w:val="111111"/>
          <w:sz w:val="28"/>
          <w:szCs w:val="28"/>
          <w:rtl/>
        </w:rPr>
        <w:t xml:space="preserve">محمود بن عبد الله، ق ۱۱ قمری</w:t>
      </w:r>
    </w:p>
    <w:p>
      <w:pPr>
        <w:pStyle w:val="BookText"/>
      </w:pPr>
      <w:r>
        <w:rPr>
          <w:rFonts w:ascii="Times New Roman" w:hAnsi="Times New Roman" w:eastAsia="Times New Roman" w:cs="Times New Roman"/>
          <w:lang w:val="en-US" w:bidi="en-US"/>
          <w:color w:val="111111"/>
          <w:sz w:val="28"/>
          <w:szCs w:val="28"/>
          <w:rtl/>
        </w:rPr>
        <w:t xml:space="preserve">mahmūd ebn-e ‘abd-ol-lāh (-17c)</w:t>
      </w:r>
    </w:p>
    <w:p>
      <w:pPr>
        <w:pStyle w:val="BookText"/>
      </w:pPr>
      <w:r>
        <w:rPr>
          <w:rFonts w:ascii="IRNazanin" w:hAnsi="IRNazanin" w:eastAsia="IRNazanin" w:cs="IRNazanin"/>
          <w:lang w:bidi="fa-IR"/>
          <w:color w:val="111111"/>
          <w:sz w:val="28"/>
          <w:szCs w:val="28"/>
          <w:rtl/>
        </w:rPr>
        <w:t xml:space="preserve">مؤلف، کار گزار دولت قطب شاهيان دكن در حیدر آباد بوده و در زمان سلطنت شاه عباس پس از سفر حج به اصفهان رفته است.</w:t>
      </w:r>
    </w:p>
    <w:p>
      <w:pPr>
        <w:pStyle w:val="BookText"/>
      </w:pPr>
      <w:r>
        <w:rPr>
          <w:rFonts w:ascii="IRNazanin" w:hAnsi="IRNazanin" w:eastAsia="IRNazanin" w:cs="IRNazanin"/>
          <w:lang w:bidi="fa-IR"/>
          <w:color w:val="111111"/>
          <w:sz w:val="28"/>
          <w:szCs w:val="28"/>
          <w:rtl/>
        </w:rPr>
        <w:t xml:space="preserve">تهران، مرکز فرهنگی خراسان شماره نسخه:۲۴عکسی بی کا، بی تا، افتادگی: انجام؛ افتادگی: انجام؛ محشی؛ ۱۷۳گ [جنگ: ۱-۴۴۷]</w:t>
      </w:r>
    </w:p>
    <w:p>
      <w:pPr>
        <w:pStyle w:val="Heading3"/>
      </w:pPr>
      <w:bookmarkStart w:id="2403" w:name="_Toc1663"/>
      <w:r>
        <w:t>•تاریخ شاه عباس یکم / شعر، تاریخ ایران / فارسی</w:t>
      </w:r>
      <w:bookmarkEnd w:id="2403"/>
    </w:p>
    <w:p>
      <w:pPr>
        <w:pStyle w:val="BookText"/>
      </w:pPr>
      <w:r>
        <w:rPr>
          <w:rFonts w:ascii="Times New Roman" w:hAnsi="Times New Roman" w:eastAsia="Times New Roman" w:cs="Times New Roman"/>
          <w:lang w:val="en-US" w:bidi="en-US"/>
          <w:color w:val="111111"/>
          <w:sz w:val="28"/>
          <w:szCs w:val="28"/>
          <w:rtl/>
        </w:rPr>
        <w:t xml:space="preserve">tārīx-e šāh 'abbās-e yekom</w:t>
      </w:r>
    </w:p>
    <w:p>
      <w:pPr>
        <w:pStyle w:val="BookText"/>
      </w:pPr>
      <w:r>
        <w:rPr>
          <w:rFonts w:ascii="IRNazanin" w:hAnsi="IRNazanin" w:eastAsia="IRNazanin" w:cs="IRNazanin"/>
          <w:lang w:bidi="fa-IR"/>
          <w:color w:val="111111"/>
          <w:sz w:val="28"/>
          <w:szCs w:val="28"/>
          <w:rtl/>
        </w:rPr>
        <w:t xml:space="preserve">منظومه تاریخی است در حوادث و اخبار عهد شاه اسماعیل ثانی که بیشتر ناظر به وقایع جنگ های مازندران است و در آن از سنوات ۹۷۸ و ۹۹۶ یاد شده است. بنابراین وقایع تاریخی را تا آغاز سلطنت شاه عباس اول در بردارد. آغاز: سزای سر حرف هر تاجدار *** بود آن سر .... / کز الماس انجم به فرق جهان *** مرصع نمود افسر آسمان انجام: ز چتر دل افروز سلطان حسین *** جهان باد تا قاف روشن چو عین</w:t>
      </w:r>
    </w:p>
    <w:p>
      <w:pPr>
        <w:pStyle w:val="BookText"/>
      </w:pPr>
      <w:r>
        <w:rPr>
          <w:rFonts w:ascii="IRNazanin" w:hAnsi="IRNazanin" w:eastAsia="IRNazanin" w:cs="IRNazanin"/>
          <w:lang w:bidi="fa-IR"/>
          <w:color w:val="111111"/>
          <w:sz w:val="28"/>
          <w:szCs w:val="28"/>
          <w:rtl/>
        </w:rPr>
        <w:t xml:space="preserve">[دنا ۷۱۸/۲ ؛ فهرستواره منزوی ۸۷۸/۲ ]</w:t>
      </w:r>
    </w:p>
    <w:p>
      <w:pPr>
        <w:pStyle w:val="BookText"/>
      </w:pPr>
      <w:r>
        <w:rPr>
          <w:rFonts w:ascii="IRNazanin" w:hAnsi="IRNazanin" w:eastAsia="IRNazanin" w:cs="IRNazanin"/>
          <w:lang w:bidi="fa-IR"/>
          <w:color w:val="111111"/>
          <w:sz w:val="28"/>
          <w:szCs w:val="28"/>
          <w:rtl/>
        </w:rPr>
        <w:t xml:space="preserve">تهران؛ ملک؛ شماره نسخه:۴۷۶۹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سید احمد حسینی خلیفه نواده صدر خاصه شریفه، تا: ۲۱ ربيع الأول ۱۱۳۲ق؛ کاغذ: کاغذ سمرقندی، جلد: میشن قهوه ای، ۳۹۷گ، ۲۰ سطر،اندازه:۲۸/۷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۲-۸۴]</w:t>
      </w:r>
    </w:p>
    <w:p>
      <w:pPr>
        <w:pStyle w:val="Heading3"/>
      </w:pPr>
      <w:bookmarkStart w:id="2404" w:name="_Toc1664"/>
      <w:r>
        <w:t>•تاریخ شاه محمود / تاریخ پادشاهان / فارسی</w:t>
      </w:r>
      <w:bookmarkEnd w:id="2404"/>
    </w:p>
    <w:p>
      <w:pPr>
        <w:pStyle w:val="BookText"/>
      </w:pPr>
      <w:r>
        <w:rPr>
          <w:rFonts w:ascii="Times New Roman" w:hAnsi="Times New Roman" w:eastAsia="Times New Roman" w:cs="Times New Roman"/>
          <w:lang w:val="en-US" w:bidi="en-US"/>
          <w:color w:val="111111"/>
          <w:sz w:val="28"/>
          <w:szCs w:val="28"/>
          <w:rtl/>
        </w:rPr>
        <w:t xml:space="preserve">tārīx-e šāh mahmūd</w:t>
      </w:r>
    </w:p>
    <w:p>
      <w:pPr>
        <w:pStyle w:val="BookText"/>
      </w:pPr>
      <w:r>
        <w:rPr>
          <w:rFonts w:ascii="IRNazanin" w:hAnsi="IRNazanin" w:eastAsia="IRNazanin" w:cs="IRNazanin"/>
          <w:lang w:bidi="fa-IR"/>
          <w:color w:val="111111"/>
          <w:sz w:val="28"/>
          <w:szCs w:val="28"/>
          <w:rtl/>
        </w:rPr>
        <w:t xml:space="preserve">تاریخ پادشاهی و سلطنت و جنگهای قطب الدین شاه محمود است با بیانی ادبی و با استفاده بسیار از اشعار فارسی و بعضا عربی که مناسب با مقام است. در فهرستواره کتابهای فارسی منزوی ۸۷۲/۲</w:t>
      </w:r>
    </w:p>
    <w:p>
      <w:pPr>
        <w:pStyle w:val="BookText"/>
      </w:pPr>
      <w:r>
        <w:rPr>
          <w:rFonts w:ascii="IRNazanin" w:hAnsi="IRNazanin" w:eastAsia="IRNazanin" w:cs="IRNazanin"/>
          <w:lang w:bidi="fa-IR"/>
          <w:color w:val="111111"/>
          <w:sz w:val="28"/>
          <w:szCs w:val="28"/>
          <w:rtl/>
        </w:rPr>
        <w:t xml:space="preserve">چند کتاب در این موضوع معرفی شده روی جلد نسخه نوشته شده: «پس از فوت امیر مبارز الدين محمد مظفر پسرش امیر قطب الدین شاه محمود پادشاه شد و تاریخ را و زیرش نوشته در سنه ۷۷۵).</w:t>
      </w:r>
    </w:p>
    <w:p>
      <w:pPr>
        <w:pStyle w:val="BookText"/>
      </w:pPr>
      <w:r>
        <w:rPr>
          <w:rFonts w:ascii="IRNazanin" w:hAnsi="IRNazanin" w:eastAsia="IRNazanin" w:cs="IRNazanin"/>
          <w:lang w:bidi="fa-IR"/>
          <w:color w:val="111111"/>
          <w:sz w:val="28"/>
          <w:szCs w:val="28"/>
          <w:rtl/>
        </w:rPr>
        <w:t xml:space="preserve">قم، گلپایگانی شماره نسخه:۳۷۵- ۲/۱۹۵</w:t>
      </w:r>
    </w:p>
    <w:p>
      <w:pPr>
        <w:pStyle w:val="BookText"/>
      </w:pPr>
      <w:r>
        <w:rPr>
          <w:rFonts w:ascii="IRNazanin" w:hAnsi="IRNazanin" w:eastAsia="IRNazanin" w:cs="IRNazanin"/>
          <w:lang w:bidi="fa-IR"/>
          <w:color w:val="111111"/>
          <w:sz w:val="28"/>
          <w:szCs w:val="28"/>
          <w:rtl/>
        </w:rPr>
        <w:t xml:space="preserve">آغاز: بنابراین هر که از این بحر غرفه کرامت گردد دلیل آن باشد که او مستحق نصیبی از مشرب انبیاست ولعمري انه شرب الصافی؛</w:t>
      </w:r>
    </w:p>
    <w:p>
      <w:pPr>
        <w:pStyle w:val="BookText"/>
      </w:pPr>
      <w:r>
        <w:rPr>
          <w:rFonts w:ascii="IRNazanin" w:hAnsi="IRNazanin" w:eastAsia="IRNazanin" w:cs="IRNazanin"/>
          <w:lang w:bidi="fa-IR"/>
          <w:color w:val="111111"/>
          <w:sz w:val="28"/>
          <w:szCs w:val="28"/>
          <w:rtl/>
        </w:rPr>
        <w:t xml:space="preserve">انجام: در این ایام زینت گوش و گردن روزگار ساخته وبوصف الحال انشاء آن فرمود اثبات ... شعر ... فما ربحت تجارتهم وليكن *** سینمحي العزيز بادخلوها خط: نستعلیق، بی کا، تا: قرن ۱۰؛ افتادگی: آغاز و انجام؛ مجدول مذهب ؛ فاقد جلد، ۴۹گ، ۱۷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سم [ف:۲-۶۹۶]</w:t>
      </w:r>
    </w:p>
    <w:p>
      <w:pPr>
        <w:pStyle w:val="Heading3"/>
      </w:pPr>
      <w:bookmarkStart w:id="2405" w:name="_Toc1665"/>
      <w:r>
        <w:t>•تاریخ شاهی = تاریخ کرمان / تاریخ ایران / فارسی</w:t>
      </w:r>
      <w:bookmarkEnd w:id="2405"/>
    </w:p>
    <w:p>
      <w:pPr>
        <w:pStyle w:val="BookText"/>
      </w:pPr>
      <w:r>
        <w:rPr>
          <w:rFonts w:ascii="Times New Roman" w:hAnsi="Times New Roman" w:eastAsia="Times New Roman" w:cs="Times New Roman"/>
          <w:lang w:val="en-US" w:bidi="en-US"/>
          <w:color w:val="111111"/>
          <w:sz w:val="28"/>
          <w:szCs w:val="28"/>
          <w:rtl/>
        </w:rPr>
        <w:t xml:space="preserve">tārīx-e šāhī= tārīx-e kermān</w:t>
      </w:r>
    </w:p>
    <w:p>
      <w:pPr>
        <w:pStyle w:val="BookText"/>
      </w:pPr>
      <w:r>
        <w:rPr>
          <w:rFonts w:ascii="IRNazanin" w:hAnsi="IRNazanin" w:eastAsia="IRNazanin" w:cs="IRNazanin"/>
          <w:lang w:bidi="fa-IR"/>
          <w:color w:val="111111"/>
          <w:sz w:val="28"/>
          <w:szCs w:val="28"/>
          <w:rtl/>
        </w:rPr>
        <w:t xml:space="preserve">خواجه ابوسعید کرمانی، ق۷ قمری</w:t>
      </w:r>
    </w:p>
    <w:p>
      <w:pPr>
        <w:pStyle w:val="BookText"/>
      </w:pPr>
      <w:r>
        <w:rPr>
          <w:rFonts w:ascii="Times New Roman" w:hAnsi="Times New Roman" w:eastAsia="Times New Roman" w:cs="Times New Roman"/>
          <w:lang w:val="en-US" w:bidi="en-US"/>
          <w:color w:val="111111"/>
          <w:sz w:val="28"/>
          <w:szCs w:val="28"/>
          <w:rtl/>
        </w:rPr>
        <w:t xml:space="preserve">xāje abūsa‘īd-e kermānī (-13c)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501" w:name="pg20363_209813"/>
    <w:bookmarkEnd w:id="501"/>
    <w:p>
      <w:pPr>
        <w:pStyle w:val="BookText"/>
      </w:pPr>
      <w:r>
        <w:rPr>
          <w:rFonts w:ascii="IRNazanin" w:hAnsi="IRNazanin" w:eastAsia="IRNazanin" w:cs="IRNazanin"/>
          <w:lang w:bidi="fa-IR"/>
          <w:color w:val="111111"/>
          <w:sz w:val="28"/>
          <w:szCs w:val="28"/>
          <w:rtl/>
        </w:rPr>
        <w:t xml:space="preserve">این تاریخ که قسمت اول آن افتاده پس از نعت پیغمبر اسلام، ابتدا امر سلطنت را به پیش می کشد و وجود سلطان را برای ملک لازم می داند و بعد به تفصیل از آداب ملک داری سخن می گوید و در ضمن آن آراء دیگران را در این زمینه بیان دارد. ادامه مطالب آن چنین است: فصلی با عنوان «آداب و خصال اتباع و حواشی ملوک» که در آن نشان داده می شود که حواشی سلطان بایست به چه آدابی متأدب باشند و چه کنند تا ملک روی سعادت ببیند؛ مسأله خصال وزراء و آداب وزیری و نیز مسأله «عدل» می رسد؛ رساله ای از خواجه نصیرالدین طوسی در مورد عدل و مؤلف می گوید که او چگونه عدل و آداب مملکت داری را به هلاكو آموخت در ذیل این مطلب مسأله خراج و حفظ اموال عمومی و خرج خاصه سلطنت و بیت المال را شرح می دهد؛ رقت و خداترسی پادشاهان که نویسنده آن را لازم خصلت ملوك و سلاطین میداند؛ «سیاست منزل و سیاست مدن» مربوط به شاه و قصه احوال جامع این تاریخ با این عنوان: قصه احوال جامع این تاریخ و ذکر توقفی و تأخیری که در مجلد سیم افتاد». متأسفانه در همه موارد نویسنده نامی از خود نمی برد و در آن خود را «بنده نویسنده» ذکر می کند و در ذیل این عنوان می گوید وقتی ترکان خاتون گفت باید ترتیبی برای حفظ اموال اوقاف شود و به وجهی از آنها نام برداری گردد من چون به سابق حجابت مرحوم مجدالملک داشتم و در این کار وارد بودم قبول کردم که این کار کنم؛ «قصه احوال مهد اعظم عصمة الدينا و الدين قنلغ تركان طيب الله ثراها و جعل الجنة مثواها»؛ واقعه بغداد به نقل از نسخه ای که به قلم خواجه نصیر الدین طوسی است و چگونگی حکومت قتلع ترکان بر کرمان؛ صفت عدل و شفقت این معصومه جهان را در حق فقرا؛ قصه وقایع قتل اتابکان فارس و داستان وقایع فارس و آمدن الشكر حنیانوین به کرمان و رفتن ایشان به ولایت شبانکاره و شهید شدن ملک مظفر الدین مبارز؛ «قصه آمدن بیگی خاتون دختر ارغون اغا بکرمان و ذکر مناکحت و مزاوجت او با سلطان مظفرالدین»؛ قصه احوال تاج الدين ستلمش و پسران او، «مسلم شدن سیرجان و مضافات آن ترکان را»؛ «دی ... حالات و حوادث که بعد از مراجعت خداوند ترکان سمت ظهور یافت در آخر سالها آخر سنه سبعین»؛ «قصه آمدن سوار ده هزار لشکر نکودر قهر هم الله بولایت فارس و کرمان و هرموز و شبانکاره و ذکر خرابی ولایات و غارت و تاراج و کشتن مردم»؛ «وفات ملک هرموز محمود احمد و دیگر منازعتی که میان فرزندان او رفت و آمدن بنتی بنت ابی النصر بدار الملك و کشته شدن تهمتن بردست سیف الدین و فتنه ها که در آن ولایت هرموز انگیخت»؛ «قصه روان شدن موکب خداوند صفوه الدنيا و الدين پادشاه خاتون باردو پادشاه جهان اباقاخان»؛ «قصه حالات و حوادث که بعد از آن که خداوند عالم صفوة الدنيا والدین پادشاه خاتون خلدالله ملكها متوجه اردو گشت سمت وقوع یافت»؛ «قصه حوادث وقایع سال ششصد هفتاد و چهار»؛ دیگر موقوفات ترکان خاتون آمده؛ «قصه وقائع سال سال ششصد و هفتاد و پنج و از آنجمله کشته شدن مبارکشاه است»؛ «قصه رفتن سلطان مظفر الدین باردو اباقاخان و عزل خواجه شرف الدين حسن بوقت مراجعت»؛ «قصه بی ادبی ها و بی رسمیها که خواص سلطان مظفر الدین اساس نهادند»؛ «قصه احوال سلطان مظفرالدین در غیبت خداوند ترکان»؛ «قصه رسیدن موكب خداوند تركان به سرحد ولایت کرمان و گریختن تاج ستلمش و پسران از خدمت سلطان و رفتن به سیستان»؛ «قصه وصلتی که میان ملک شمس الدین محمد بیک و بین ترکان رفت و رفتن او به یزد»؛</w:t>
      </w:r>
    </w:p>
    <w:p>
      <w:pPr>
        <w:pStyle w:val="BookText"/>
      </w:pPr>
      <w:r>
        <w:rPr>
          <w:rFonts w:ascii="IRNazanin" w:hAnsi="IRNazanin" w:eastAsia="IRNazanin" w:cs="IRNazanin"/>
          <w:lang w:bidi="fa-IR"/>
          <w:color w:val="111111"/>
          <w:sz w:val="28"/>
          <w:szCs w:val="28"/>
          <w:rtl/>
        </w:rPr>
        <w:t xml:space="preserve">قصه جنگ براق و اباق خان که در گاز رگاه براه افتاد و ذکر رفتن سلطان مظفر الدین بمدد از کرمان و زخم خوردن او در آن جنگ و کشتن سلیمانشاه». نسخه ناتمام پایان می یابد. شاید این تاریخ همان تاریخ شاهی باشد که برای سلاطین قراختائی کرمان نوشته شده است. چاپ: چاپ باستانی پاریزی در ۱۳۴۵ش فهرستواره منزوی ۸۷۹/۲ ؛ چاپ باستانی باریزی در ۱۳۴۵]</w:t>
      </w:r>
    </w:p>
    <w:p>
      <w:pPr>
        <w:pStyle w:val="BookText"/>
      </w:pPr>
      <w:r>
        <w:rPr>
          <w:rFonts w:ascii="IRNazanin" w:hAnsi="IRNazanin" w:eastAsia="IRNazanin" w:cs="IRNazanin"/>
          <w:lang w:bidi="fa-IR"/>
          <w:color w:val="111111"/>
          <w:sz w:val="28"/>
          <w:szCs w:val="28"/>
          <w:rtl/>
        </w:rPr>
        <w:t xml:space="preserve">تهران؛ ملی؛ شماره نسخه:۲۸۷۸</w:t>
      </w:r>
    </w:p>
    <w:p>
      <w:pPr>
        <w:pStyle w:val="BookText"/>
      </w:pPr>
      <w:r>
        <w:rPr>
          <w:rFonts w:ascii="IRNazanin" w:hAnsi="IRNazanin" w:eastAsia="IRNazanin" w:cs="IRNazanin"/>
          <w:lang w:bidi="fa-IR"/>
          <w:color w:val="111111"/>
          <w:sz w:val="28"/>
          <w:szCs w:val="28"/>
          <w:rtl/>
        </w:rPr>
        <w:t xml:space="preserve">آغاز: و آن شدند چون ایشان برفتند چشم باز کردم؛ انجام:چون کمر و سلاح از زر دید از خوف ...</w:t>
      </w:r>
    </w:p>
    <w:p>
      <w:pPr>
        <w:pStyle w:val="BookText"/>
      </w:pPr>
      <w:r>
        <w:rPr>
          <w:rFonts w:ascii="IRNazanin" w:hAnsi="IRNazanin" w:eastAsia="IRNazanin" w:cs="IRNazanin"/>
          <w:lang w:bidi="fa-IR"/>
          <w:color w:val="111111"/>
          <w:sz w:val="28"/>
          <w:szCs w:val="28"/>
          <w:rtl/>
        </w:rPr>
        <w:t xml:space="preserve">در فهرست بدون نام مؤلف است؛ خط: نسخ، بی کا، تا: محتملا قرن ۹، افتادگی: آغاز و انجام؛ کاغذ: اصفهانی، جلد: مقوایی رویه بلغار مشکی با ترنج و نیم ترنج، ۲۷۷ ، ۱۱سطر (۱۱</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۱۴/۵)، اندازه: ۱۹/۵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۲۳/۵ سم [ف: ۶-۵۵۵]</w:t>
      </w:r>
    </w:p>
    <w:p>
      <w:pPr>
        <w:pStyle w:val="BookText"/>
      </w:pPr>
      <w:r>
        <w:rPr>
          <w:rFonts w:ascii="IRNazanin" w:hAnsi="IRNazanin" w:eastAsia="IRNazanin" w:cs="IRNazanin"/>
          <w:lang w:bidi="fa-IR"/>
          <w:color w:val="111111"/>
          <w:sz w:val="28"/>
          <w:szCs w:val="28"/>
          <w:rtl/>
        </w:rPr>
        <w:t xml:space="preserve">تهران؛ دانشگاه؛ شماره نسخه: ۴۲۴۱-ف</w:t>
      </w:r>
    </w:p>
    <w:p>
      <w:pPr>
        <w:pStyle w:val="BookText"/>
      </w:pPr>
      <w:r>
        <w:rPr>
          <w:rFonts w:ascii="Amiri" w:hAnsi="Amiri" w:eastAsia="Amiri" w:cs="Amiri"/>
          <w:lang w:bidi="ar-SA"/>
          <w:color w:val="111111"/>
          <w:sz w:val="28"/>
          <w:szCs w:val="28"/>
          <w:rtl/>
        </w:rPr>
        <w:t xml:space="preserve">نسخه اصل: همان نسخه بالا [فيلمها ف: ۳-۳۵]</w:t>
      </w:r>
    </w:p>
    <w:p>
      <w:pPr>
        <w:pStyle w:val="Heading3"/>
      </w:pPr>
      <w:bookmarkStart w:id="2406" w:name="_Toc1666"/>
      <w:r>
        <w:t>•تاریخ شاهيه نیشابوریه / تاریخ / فارسی</w:t>
      </w:r>
      <w:bookmarkEnd w:id="2406"/>
    </w:p>
    <w:p>
      <w:pPr>
        <w:pStyle w:val="BookText"/>
      </w:pPr>
      <w:r>
        <w:rPr>
          <w:rFonts w:ascii="Times New Roman" w:hAnsi="Times New Roman" w:eastAsia="Times New Roman" w:cs="Times New Roman"/>
          <w:lang w:val="en-US" w:bidi="en-US"/>
          <w:color w:val="111111"/>
          <w:sz w:val="28"/>
          <w:szCs w:val="28"/>
          <w:rtl/>
        </w:rPr>
        <w:t xml:space="preserve">tārīx-e šāhīye-ye neyšābūrīye</w:t>
      </w:r>
    </w:p>
    <w:p>
      <w:pPr>
        <w:pStyle w:val="BookText"/>
      </w:pPr>
      <w:r>
        <w:rPr>
          <w:rFonts w:ascii="IRNazanin" w:hAnsi="IRNazanin" w:eastAsia="IRNazanin" w:cs="IRNazanin"/>
          <w:lang w:bidi="fa-IR"/>
          <w:color w:val="111111"/>
          <w:sz w:val="28"/>
          <w:szCs w:val="28"/>
          <w:rtl/>
        </w:rPr>
        <w:t xml:space="preserve">همدانی، قاسمعلی</w:t>
      </w:r>
    </w:p>
    <w:p>
      <w:pPr>
        <w:pStyle w:val="BookText"/>
      </w:pPr>
      <w:r>
        <w:rPr>
          <w:rFonts w:ascii="Times New Roman" w:hAnsi="Times New Roman" w:eastAsia="Times New Roman" w:cs="Times New Roman"/>
          <w:lang w:val="en-US" w:bidi="en-US"/>
          <w:color w:val="111111"/>
          <w:sz w:val="28"/>
          <w:szCs w:val="28"/>
          <w:rtl/>
        </w:rPr>
        <w:t xml:space="preserve">hamadani, qasem-all</w:t>
      </w:r>
    </w:p>
    <w:p>
      <w:pPr>
        <w:pStyle w:val="BookText"/>
      </w:pPr>
      <w:r>
        <w:rPr>
          <w:rFonts w:ascii="IRNazanin" w:hAnsi="IRNazanin" w:eastAsia="IRNazanin" w:cs="IRNazanin"/>
          <w:lang w:bidi="fa-IR"/>
          <w:color w:val="111111"/>
          <w:sz w:val="28"/>
          <w:szCs w:val="28"/>
          <w:rtl/>
        </w:rPr>
        <w:t xml:space="preserve">تاریخ پادشاهان نیشابوری (اود) که در شمال هند سلطنت می کردند و پایتخت آنان لكهنو بود از سال ۱۱۱۸ که جد این خاندان امیر محمد از نیشابور به هند رفت تا زمان شکست آنها به دست انگلستان.</w:t>
      </w:r>
    </w:p>
    <w:p>
      <w:pPr>
        <w:pStyle w:val="BookText"/>
      </w:pPr>
      <w:r>
        <w:rPr>
          <w:rFonts w:ascii="IRNazanin" w:hAnsi="IRNazanin" w:eastAsia="IRNazanin" w:cs="IRNazanin"/>
          <w:lang w:bidi="fa-IR"/>
          <w:color w:val="111111"/>
          <w:sz w:val="28"/>
          <w:szCs w:val="28"/>
          <w:rtl/>
        </w:rPr>
        <w:t xml:space="preserve">تهران؛ مرکز فرهنگی خراسان؛ شماره نسخه:۱۹ عکسی</w:t>
      </w:r>
    </w:p>
    <w:p>
      <w:pPr>
        <w:pStyle w:val="BookText"/>
      </w:pPr>
      <w:r>
        <w:rPr>
          <w:rFonts w:ascii="IRNazanin" w:hAnsi="IRNazanin" w:eastAsia="IRNazanin" w:cs="IRNazanin"/>
          <w:lang w:bidi="fa-IR"/>
          <w:color w:val="111111"/>
          <w:sz w:val="28"/>
          <w:szCs w:val="28"/>
          <w:rtl/>
        </w:rPr>
        <w:t xml:space="preserve">بی کا، بی تا؛ ۱۷۳ص [جنگ: ۱-۴۴۷]</w:t>
      </w:r>
    </w:p>
    <w:p>
      <w:pPr>
        <w:pStyle w:val="Heading3"/>
      </w:pPr>
      <w:bookmarkStart w:id="2407" w:name="_Toc1667"/>
      <w:r>
        <w:t>•تاریخ شرق / تاریخ / فارسی</w:t>
      </w:r>
      <w:bookmarkEnd w:id="2407"/>
    </w:p>
    <w:p>
      <w:pPr>
        <w:pStyle w:val="BookText"/>
      </w:pPr>
      <w:r>
        <w:rPr>
          <w:rFonts w:ascii="Times New Roman" w:hAnsi="Times New Roman" w:eastAsia="Times New Roman" w:cs="Times New Roman"/>
          <w:lang w:val="en-US" w:bidi="en-US"/>
          <w:color w:val="111111"/>
          <w:sz w:val="28"/>
          <w:szCs w:val="28"/>
          <w:rtl/>
        </w:rPr>
        <w:t xml:space="preserve">tārīx-e šarq</w:t>
      </w:r>
    </w:p>
    <w:p>
      <w:pPr>
        <w:pStyle w:val="BookText"/>
      </w:pPr>
      <w:r>
        <w:rPr>
          <w:rFonts w:ascii="IRNazanin" w:hAnsi="IRNazanin" w:eastAsia="IRNazanin" w:cs="IRNazanin"/>
          <w:lang w:bidi="fa-IR"/>
          <w:color w:val="111111"/>
          <w:sz w:val="28"/>
          <w:szCs w:val="28"/>
          <w:rtl/>
        </w:rPr>
        <w:t xml:space="preserve">اقوام باستانی مشرق زمین گاهواره تمدن و نشانه های تمدن آنان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502" w:name="pg20363_209814"/>
    <w:bookmarkEnd w:id="502"/>
    <w:p>
      <w:pPr>
        <w:pStyle w:val="BookText"/>
      </w:pPr>
      <w:r>
        <w:rPr>
          <w:rFonts w:ascii="IRNazanin" w:hAnsi="IRNazanin" w:eastAsia="IRNazanin" w:cs="IRNazanin"/>
          <w:lang w:bidi="fa-IR"/>
          <w:color w:val="111111"/>
          <w:sz w:val="28"/>
          <w:szCs w:val="28"/>
          <w:rtl/>
        </w:rPr>
        <w:t xml:space="preserve">از جمله خط مصری ها و سومری ها را در این جزوه درسی بیان کرده است.</w:t>
      </w:r>
    </w:p>
    <w:p>
      <w:pPr>
        <w:pStyle w:val="BookText"/>
      </w:pPr>
      <w:r>
        <w:rPr>
          <w:rFonts w:ascii="IRNazanin" w:hAnsi="IRNazanin" w:eastAsia="IRNazanin" w:cs="IRNazanin"/>
          <w:lang w:bidi="fa-IR"/>
          <w:color w:val="111111"/>
          <w:sz w:val="28"/>
          <w:szCs w:val="28"/>
          <w:rtl/>
        </w:rPr>
        <w:t xml:space="preserve">قم؛ مسجد اعظم، شماره نسخه:۳۷۹۳</w:t>
      </w:r>
    </w:p>
    <w:p>
      <w:pPr>
        <w:pStyle w:val="BookText"/>
      </w:pPr>
      <w:r>
        <w:rPr>
          <w:rFonts w:ascii="IRNazanin" w:hAnsi="IRNazanin" w:eastAsia="IRNazanin" w:cs="IRNazanin"/>
          <w:lang w:bidi="fa-IR"/>
          <w:color w:val="111111"/>
          <w:sz w:val="28"/>
          <w:szCs w:val="28"/>
          <w:rtl/>
        </w:rPr>
        <w:t xml:space="preserve">آغاز: کشورهایی که به اسم تاريخ شرق قدیم معروف بوده و مهد تمدن اولیه بشر می باشند به نواحی جنوب شرقی مدیترانه اطلاق می شود، انجام: این ناحیه از پروش دام تأمین می شده و از محلی به محل دیگر کوچ می کردند. در ارتفاعات این ناحیه رگهای معادن مانند معادن مس </w:t>
      </w:r>
      <w:r>
        <w:rPr>
          <w:rFonts w:ascii="Times New Roman" w:hAnsi="Times New Roman" w:eastAsia="Times New Roman" w:cs="Times New Roman"/>
          <w:lang w:val="en-US" w:bidi="en-US"/>
          <w:color w:val="111111"/>
          <w:sz w:val="28"/>
          <w:szCs w:val="28"/>
          <w:rtl/>
        </w:rPr>
        <w:t xml:space="preserve">KOPTOS </w:t>
      </w:r>
      <w:r>
        <w:rPr>
          <w:rFonts w:ascii="IRNazanin" w:hAnsi="IRNazanin" w:eastAsia="IRNazanin" w:cs="IRNazanin"/>
          <w:lang w:bidi="fa-IR"/>
          <w:color w:val="111111"/>
          <w:sz w:val="28"/>
          <w:szCs w:val="28"/>
          <w:rtl/>
        </w:rPr>
        <w:t xml:space="preserve">و سنگ های [لاق و خارا ]</w:t>
      </w:r>
    </w:p>
    <w:p>
      <w:pPr>
        <w:pStyle w:val="BookText"/>
      </w:pPr>
      <w:r>
        <w:rPr>
          <w:rFonts w:ascii="IRNazanin" w:hAnsi="IRNazanin" w:eastAsia="IRNazanin" w:cs="IRNazanin"/>
          <w:lang w:bidi="fa-IR"/>
          <w:color w:val="111111"/>
          <w:sz w:val="28"/>
          <w:szCs w:val="28"/>
          <w:rtl/>
        </w:rPr>
        <w:t xml:space="preserve">خط: نستعلیق، بی کا، بی تا، ۲۱، ۲۰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مخ: ۱-۳۱۱]</w:t>
      </w:r>
    </w:p>
    <w:p>
      <w:pPr>
        <w:pStyle w:val="Heading3"/>
      </w:pPr>
      <w:bookmarkStart w:id="2408" w:name="_Toc1668"/>
      <w:r>
        <w:t>•تاریخ شطرنج / متفرقه / عربی</w:t>
      </w:r>
      <w:bookmarkEnd w:id="2408"/>
    </w:p>
    <w:p>
      <w:pPr>
        <w:pStyle w:val="BookText"/>
      </w:pPr>
      <w:r>
        <w:rPr>
          <w:rFonts w:ascii="Times New Roman" w:hAnsi="Times New Roman" w:eastAsia="Times New Roman" w:cs="Times New Roman"/>
          <w:lang w:val="en-US" w:bidi="en-US"/>
          <w:color w:val="111111"/>
          <w:sz w:val="28"/>
          <w:szCs w:val="28"/>
          <w:rtl/>
        </w:rPr>
        <w:t xml:space="preserve">tārīx-e šatranj</w:t>
      </w:r>
    </w:p>
    <w:p>
      <w:pPr>
        <w:pStyle w:val="BookText"/>
      </w:pPr>
      <w:r>
        <w:rPr>
          <w:rFonts w:ascii="IRNazanin" w:hAnsi="IRNazanin" w:eastAsia="IRNazanin" w:cs="IRNazanin"/>
          <w:lang w:bidi="fa-IR"/>
          <w:color w:val="111111"/>
          <w:sz w:val="28"/>
          <w:szCs w:val="28"/>
          <w:rtl/>
        </w:rPr>
        <w:t xml:space="preserve">تهران؛ مجلس؛ شماره نسخه: ۸۸۲۵/۲۵</w:t>
      </w:r>
    </w:p>
    <w:p>
      <w:pPr>
        <w:pStyle w:val="BookText"/>
      </w:pPr>
      <w:r>
        <w:rPr>
          <w:rFonts w:ascii="IRNazanin" w:hAnsi="IRNazanin" w:eastAsia="IRNazanin" w:cs="IRNazanin"/>
          <w:lang w:bidi="fa-IR"/>
          <w:color w:val="111111"/>
          <w:sz w:val="28"/>
          <w:szCs w:val="28"/>
          <w:rtl/>
        </w:rPr>
        <w:t xml:space="preserve">خط: نستعلیق، کا: سید محمد طباطبائی طبیب یزدی، تا: با تاریخ ۱۲۸۶ق، جا: تهران؛ کاغذ: فرنگی نخودی آهار مهره، جلد: میشین قهوه ای، اگ (۱۰۳)، اندازه: ۳۵/۳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۲۹/۱-۶۰ ]</w:t>
      </w:r>
    </w:p>
    <w:p>
      <w:pPr>
        <w:pStyle w:val="Heading3"/>
      </w:pPr>
      <w:bookmarkStart w:id="2409" w:name="_Toc1669"/>
      <w:r>
        <w:t>•تاریخ شعرا / تراجم / فارسی</w:t>
      </w:r>
      <w:bookmarkEnd w:id="2409"/>
    </w:p>
    <w:p>
      <w:pPr>
        <w:pStyle w:val="BookText"/>
      </w:pPr>
      <w:r>
        <w:rPr>
          <w:rFonts w:ascii="Times New Roman" w:hAnsi="Times New Roman" w:eastAsia="Times New Roman" w:cs="Times New Roman"/>
          <w:lang w:val="en-US" w:bidi="en-US"/>
          <w:color w:val="111111"/>
          <w:sz w:val="28"/>
          <w:szCs w:val="28"/>
          <w:rtl/>
        </w:rPr>
        <w:t xml:space="preserve">tārīx-e šo‘arā</w:t>
      </w:r>
    </w:p>
    <w:p>
      <w:pPr>
        <w:pStyle w:val="BookText"/>
      </w:pPr>
      <w:r>
        <w:rPr>
          <w:rFonts w:ascii="IRNazanin" w:hAnsi="IRNazanin" w:eastAsia="IRNazanin" w:cs="IRNazanin"/>
          <w:lang w:bidi="fa-IR"/>
          <w:color w:val="111111"/>
          <w:sz w:val="28"/>
          <w:szCs w:val="28"/>
          <w:rtl/>
        </w:rPr>
        <w:t xml:space="preserve">۱. قم؛ مسجد اعظم؛ شماره نسخه: ۱۰۶۷/۲</w:t>
      </w:r>
    </w:p>
    <w:p>
      <w:pPr>
        <w:pStyle w:val="BookText"/>
      </w:pPr>
      <w:r>
        <w:rPr>
          <w:rFonts w:ascii="IRNazanin" w:hAnsi="IRNazanin" w:eastAsia="IRNazanin" w:cs="IRNazanin"/>
          <w:lang w:bidi="fa-IR"/>
          <w:color w:val="111111"/>
          <w:sz w:val="28"/>
          <w:szCs w:val="28"/>
          <w:rtl/>
        </w:rPr>
        <w:t xml:space="preserve">آغاز: شعر در لغت دانش و ادراک معانی است به حدث صائب و اصطلاحا سخنی است اندیشیده و مرتب معنوی موزون مکرر مقفا. اولا قيد (اندیشیده) برای اخراج؛ انجام: سلطان بخندید و از خونش در گذشت. پس از آنکه به سحر گرفتار غزان شد و اکثر قسمت خراسان سوى جيش نمود و خواجه مجددا منش پیوست چند بیت از قصیده که در مدح كفه ثبت می شود. رشید الدین وطواط خواجه محمد على شرح حال شاعران معروف ایرانی را به اختصار آورده است؛ خط: تحریری، بی کا، تا: ۱۳۳۰ق، جلد: مقوا، ۳۹گ،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مخ: ۱-۳۱۱]</w:t>
      </w:r>
    </w:p>
    <w:p>
      <w:pPr>
        <w:pStyle w:val="BookText"/>
      </w:pPr>
      <w:r>
        <w:rPr>
          <w:rFonts w:ascii="IRNazanin" w:hAnsi="IRNazanin" w:eastAsia="IRNazanin" w:cs="IRNazanin"/>
          <w:lang w:bidi="fa-IR"/>
          <w:color w:val="111111"/>
          <w:sz w:val="28"/>
          <w:szCs w:val="28"/>
          <w:rtl/>
        </w:rPr>
        <w:t xml:space="preserve">۲. تهران؛ حقوق؛ شماره نسخه: ۸۲-د</w:t>
      </w:r>
    </w:p>
    <w:p>
      <w:pPr>
        <w:pStyle w:val="BookText"/>
      </w:pPr>
      <w:r>
        <w:rPr>
          <w:rFonts w:ascii="IRNazanin" w:hAnsi="IRNazanin" w:eastAsia="IRNazanin" w:cs="IRNazanin"/>
          <w:lang w:bidi="fa-IR"/>
          <w:color w:val="111111"/>
          <w:sz w:val="28"/>
          <w:szCs w:val="28"/>
          <w:rtl/>
        </w:rPr>
        <w:t xml:space="preserve">آغاز: بسمله. و به نستعین. شعر بمعنی دانش و ادراک معانی است بحدس صائب؛ انجام: و نیز فصيح العراقين شیرازی از شعرای معاصر میباشد از شمس العلما است و در کلاس پنجم مدرسه سیاسی قدیم خوانده می شده است؛ خط: نستعلیق، کا: امرالله بن حسینعلی خان از ندریانی ملایری از خانهای ترکمان، تا: شنبه ۲۵ ربيع الأول ۱۳۳۲ق؛ کاغذ: فرنگی، جلد: تیماج سبز مقوا، ۸۸گ، ۱۵ سطر (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۲۵]</w:t>
      </w:r>
    </w:p>
    <w:p>
      <w:pPr>
        <w:pStyle w:val="BookText"/>
      </w:pPr>
      <w:r>
        <w:rPr>
          <w:rFonts w:ascii="IRNazanin" w:hAnsi="IRNazanin" w:eastAsia="IRNazanin" w:cs="IRNazanin"/>
          <w:lang w:bidi="fa-IR"/>
          <w:color w:val="111111"/>
          <w:sz w:val="28"/>
          <w:szCs w:val="28"/>
          <w:rtl/>
        </w:rPr>
        <w:t xml:space="preserve">٣. قم؛ مرعشی؛ شماره نسخه:بدون شماره</w:t>
      </w:r>
    </w:p>
    <w:p>
      <w:pPr>
        <w:pStyle w:val="BookText"/>
      </w:pPr>
      <w:r>
        <w:rPr>
          <w:rFonts w:ascii="IRNazanin" w:hAnsi="IRNazanin" w:eastAsia="IRNazanin" w:cs="IRNazanin"/>
          <w:lang w:bidi="fa-IR"/>
          <w:color w:val="111111"/>
          <w:sz w:val="28"/>
          <w:szCs w:val="28"/>
          <w:rtl/>
        </w:rPr>
        <w:t xml:space="preserve">در احوال شعرای پارسی گوی مشهور، از قرن دوم تا قرن چهاردهم ق، از شمس العلما که در روز دوشنبه ۴ ربیع الثانی سال ۱۳۳۲، آن را به پایان برده است؛ بی کا، بی تا [میراث شهاب: س ش ۱-۱۱۲]</w:t>
      </w:r>
    </w:p>
    <w:p>
      <w:pPr>
        <w:pStyle w:val="BookText"/>
      </w:pPr>
      <w:r>
        <w:rPr>
          <w:rFonts w:ascii="IRNazanin" w:hAnsi="IRNazanin" w:eastAsia="IRNazanin" w:cs="IRNazanin"/>
          <w:lang w:bidi="fa-IR"/>
          <w:color w:val="111111"/>
          <w:sz w:val="28"/>
          <w:szCs w:val="28"/>
          <w:rtl/>
        </w:rPr>
        <w:t xml:space="preserve">←تاریخ شعراء ←تاریخ ادبیات ایران</w:t>
      </w:r>
    </w:p>
    <w:p>
      <w:pPr>
        <w:pStyle w:val="BookText"/>
      </w:pPr>
      <w:r>
        <w:rPr>
          <w:rFonts w:ascii="IRNazanin" w:hAnsi="IRNazanin" w:eastAsia="IRNazanin" w:cs="IRNazanin"/>
          <w:lang w:bidi="fa-IR"/>
          <w:color w:val="111111"/>
          <w:sz w:val="28"/>
          <w:szCs w:val="28"/>
          <w:rtl/>
        </w:rPr>
        <w:t xml:space="preserve">←تاریخ شعرای فارسی← تذکره نفیسی</w:t>
      </w:r>
    </w:p>
    <w:p>
      <w:pPr>
        <w:pStyle w:val="Heading3"/>
      </w:pPr>
      <w:bookmarkStart w:id="2410" w:name="_Toc1670"/>
      <w:r>
        <w:t>•تاریخ شمس العماره / شعر / فارسی</w:t>
      </w:r>
      <w:bookmarkEnd w:id="2410"/>
    </w:p>
    <w:p>
      <w:pPr>
        <w:pStyle w:val="BookText"/>
      </w:pPr>
      <w:r>
        <w:rPr>
          <w:rFonts w:ascii="Times New Roman" w:hAnsi="Times New Roman" w:eastAsia="Times New Roman" w:cs="Times New Roman"/>
          <w:lang w:val="en-US" w:bidi="en-US"/>
          <w:color w:val="111111"/>
          <w:sz w:val="28"/>
          <w:szCs w:val="28"/>
          <w:rtl/>
        </w:rPr>
        <w:t xml:space="preserve">tārīx-e šams-ol-‘emāre</w:t>
      </w:r>
    </w:p>
    <w:p>
      <w:pPr>
        <w:pStyle w:val="BookText"/>
      </w:pPr>
      <w:r>
        <w:rPr>
          <w:rFonts w:ascii="IRNazanin" w:hAnsi="IRNazanin" w:eastAsia="IRNazanin" w:cs="IRNazanin"/>
          <w:lang w:bidi="fa-IR"/>
          <w:color w:val="111111"/>
          <w:sz w:val="28"/>
          <w:szCs w:val="28"/>
          <w:rtl/>
        </w:rPr>
        <w:t xml:space="preserve">فرهاد میرزا قاجار، ۱۲۳۳-۱۳۰۵ قمری</w:t>
      </w:r>
    </w:p>
    <w:p>
      <w:pPr>
        <w:pStyle w:val="BookText"/>
      </w:pPr>
      <w:r>
        <w:rPr>
          <w:rFonts w:ascii="Times New Roman" w:hAnsi="Times New Roman" w:eastAsia="Times New Roman" w:cs="Times New Roman"/>
          <w:lang w:val="en-US" w:bidi="en-US"/>
          <w:color w:val="111111"/>
          <w:sz w:val="28"/>
          <w:szCs w:val="28"/>
          <w:rtl/>
        </w:rPr>
        <w:t xml:space="preserve">farhād mīrzā qājār (1818-1888)</w:t>
      </w:r>
    </w:p>
    <w:p>
      <w:pPr>
        <w:pStyle w:val="BookText"/>
      </w:pPr>
      <w:r>
        <w:rPr>
          <w:rFonts w:ascii="IRNazanin" w:hAnsi="IRNazanin" w:eastAsia="IRNazanin" w:cs="IRNazanin"/>
          <w:lang w:bidi="fa-IR"/>
          <w:color w:val="111111"/>
          <w:sz w:val="28"/>
          <w:szCs w:val="28"/>
          <w:rtl/>
        </w:rPr>
        <w:t xml:space="preserve">با این مطلع: ناصر الدین شد آفتاب ملوک *** شهریار زمانه ظل</w:t>
      </w:r>
    </w:p>
    <w:p>
      <w:pPr>
        <w:pStyle w:val="BookText"/>
      </w:pPr>
      <w:r>
        <w:rPr>
          <w:rFonts w:ascii="IRNazanin" w:hAnsi="IRNazanin" w:eastAsia="IRNazanin" w:cs="IRNazanin"/>
          <w:lang w:bidi="fa-IR"/>
          <w:color w:val="111111"/>
          <w:sz w:val="28"/>
          <w:szCs w:val="28"/>
          <w:rtl/>
        </w:rPr>
        <w:t xml:space="preserve">تهران؛ مجلس؛ شماره نسخه:۷۹۱۰/۳</w:t>
      </w:r>
    </w:p>
    <w:p>
      <w:pPr>
        <w:pStyle w:val="BookText"/>
      </w:pPr>
      <w:r>
        <w:rPr>
          <w:rFonts w:ascii="IRNazanin" w:hAnsi="IRNazanin" w:eastAsia="IRNazanin" w:cs="IRNazanin"/>
          <w:lang w:bidi="fa-IR"/>
          <w:color w:val="111111"/>
          <w:sz w:val="28"/>
          <w:szCs w:val="28"/>
          <w:rtl/>
        </w:rPr>
        <w:t xml:space="preserve">خط: نستعلیق، كا: على رضا حسینی شیرازی، تا: یک شنبه ۶ جمادی الاول ۱۳۱۸ ق، برای میرزا عماد التولیه؛ مجدول مذهب محرر؛ جلد: پارچه قهوه ای، ۲گ (۱۰ر-۱۱ر)، ۱۰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۲۶-۳۹۱]</w:t>
      </w:r>
    </w:p>
    <w:p>
      <w:pPr>
        <w:pStyle w:val="Heading3"/>
      </w:pPr>
      <w:bookmarkStart w:id="2411" w:name="_Toc1671"/>
      <w:r>
        <w:t>•تاریخ شمشیر خانی = دلگشای شمشیر خانی شاهنامه منثور = خلاصه شاهنامه / تاریخ ایران / فارسی</w:t>
      </w:r>
      <w:bookmarkEnd w:id="2411"/>
    </w:p>
    <w:p>
      <w:pPr>
        <w:pStyle w:val="BookText"/>
      </w:pPr>
      <w:r>
        <w:rPr>
          <w:rFonts w:ascii="Times New Roman" w:hAnsi="Times New Roman" w:eastAsia="Times New Roman" w:cs="Times New Roman"/>
          <w:lang w:val="en-US" w:bidi="en-US"/>
          <w:color w:val="111111"/>
          <w:sz w:val="28"/>
          <w:szCs w:val="28"/>
          <w:rtl/>
        </w:rPr>
        <w:t xml:space="preserve">tārīx-e šamšīrxānī = delgošā-ye šamšīrxānī = šāhnāme ye mansur = xolase-ye sahname</w:t>
      </w:r>
    </w:p>
    <w:p>
      <w:pPr>
        <w:pStyle w:val="BookText"/>
      </w:pPr>
      <w:r>
        <w:rPr>
          <w:rFonts w:ascii="IRNazanin" w:hAnsi="IRNazanin" w:eastAsia="IRNazanin" w:cs="IRNazanin"/>
          <w:lang w:bidi="fa-IR"/>
          <w:color w:val="111111"/>
          <w:sz w:val="28"/>
          <w:szCs w:val="28"/>
          <w:rtl/>
        </w:rPr>
        <w:t xml:space="preserve">حسینی، توکل بیک بن تولک بیک، ق ۱۱ قمری</w:t>
      </w:r>
    </w:p>
    <w:p>
      <w:pPr>
        <w:pStyle w:val="BookText"/>
      </w:pPr>
      <w:r>
        <w:rPr>
          <w:rFonts w:ascii="Times New Roman" w:hAnsi="Times New Roman" w:eastAsia="Times New Roman" w:cs="Times New Roman"/>
          <w:lang w:val="en-US" w:bidi="en-US"/>
          <w:color w:val="111111"/>
          <w:sz w:val="28"/>
          <w:szCs w:val="28"/>
          <w:rtl/>
        </w:rPr>
        <w:t xml:space="preserve">hoseynī, tavakkol beyk ebn-e tūlak beyk (-170)</w:t>
      </w:r>
    </w:p>
    <w:p>
      <w:pPr>
        <w:pStyle w:val="BookText"/>
      </w:pPr>
      <w:r>
        <w:rPr>
          <w:rFonts w:ascii="IRNazanin" w:hAnsi="IRNazanin" w:eastAsia="IRNazanin" w:cs="IRNazanin"/>
          <w:lang w:bidi="fa-IR"/>
          <w:color w:val="111111"/>
          <w:sz w:val="28"/>
          <w:szCs w:val="28"/>
          <w:rtl/>
        </w:rPr>
        <w:t xml:space="preserve">وابسته به: شاهنامه فردوسی، ابوالقاسم (۳۲۹-۴۱۶) اهدا به: محمد حیات شمشیر خان حاکم غزنین (۱۰۶۳-۱۰۶۹ق) تاریخ تأليف: ۱۰۶۳ق گزیده ای است از شاهنامه فردوسی به نثر فارسی از تو کل بیک بن تولک بیک واقعه نویس و امین شهر غزنین که گویا همان تو کل بیک کولالی پسر قوشچی اعتقاد خان فرمانفرمای کشمیر باشد، ساخته در ۱۰۶۳ سال ۲۶ جلوس شاه جهان شاه غازی هنگامی که شهر کابل به شاهزاده محمد داراشکوه سپرده می شده است و به نام شمشیر خان فرمانروای غزنین. آغاز: ۱:بسمه گهر ریزی برگ ابر نسیان خامه به آرایش ستایش شاهنشاهی :حمد بی غایت و ثنای بی نهایت مر حضرت کبریا واجب الوجودی را که جناب قدس موهبت جلالش انجام: دلم سیر شد زین سرای سیم *** خدایا مرا زود برهان رریم. تمام شد شاهنامه نثر پنج شنبه به ساعت نیک، ،، ۱۲۱۳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503" w:name="pg20363_209815"/>
    <w:bookmarkEnd w:id="503"/>
    <w:p>
      <w:pPr>
        <w:pStyle w:val="BookText"/>
      </w:pPr>
      <w:r>
        <w:rPr>
          <w:rFonts w:ascii="IRNazanin" w:hAnsi="IRNazanin" w:eastAsia="IRNazanin" w:cs="IRNazanin"/>
          <w:lang w:bidi="fa-IR"/>
          <w:color w:val="111111"/>
          <w:sz w:val="28"/>
          <w:szCs w:val="28"/>
          <w:rtl/>
        </w:rPr>
        <w:t xml:space="preserve">هجری چاپ: اسلام آباد، مرکز تحقیقات فارسی ایران و پاکستان، به کوشش طاهره پروین اکرم ۱۳۸۲ ش فهرستواره منزوی ۸۷۹/۲ ؛ نسخه های منزوی ۳۷۲۶/۵ «شاهنامه منثور»</w:t>
      </w:r>
    </w:p>
    <w:p>
      <w:pPr>
        <w:pStyle w:val="BookText"/>
      </w:pPr>
      <w:r>
        <w:rPr>
          <w:rFonts w:ascii="IRNazanin" w:hAnsi="IRNazanin" w:eastAsia="IRNazanin" w:cs="IRNazanin"/>
          <w:lang w:bidi="fa-IR"/>
          <w:color w:val="111111"/>
          <w:sz w:val="28"/>
          <w:szCs w:val="28"/>
          <w:rtl/>
        </w:rPr>
        <w:t xml:space="preserve">[(نسخه)، همانجا ۴۲۵۱/۶ (۳۱ نسخه)؛ مشترک پاکستان ۱۴۷/۱۰ (۵۴نسخه)؛ صفا، حماسه سرایی ۳۱۶؛ استوری ۱۰۰۸/۱ ؛ الذریعه ۲۳۱/۱۴ «شمشیر خانی» با لغزش چاپی در نام کتاب؛ دنا ۷۱۹/۲ ]</w:t>
      </w:r>
    </w:p>
    <w:p>
      <w:pPr>
        <w:pStyle w:val="BookText"/>
      </w:pPr>
      <w:r>
        <w:rPr>
          <w:rFonts w:ascii="IRNazanin" w:hAnsi="IRNazanin" w:eastAsia="IRNazanin" w:cs="IRNazanin"/>
          <w:lang w:bidi="fa-IR"/>
          <w:color w:val="111111"/>
          <w:sz w:val="28"/>
          <w:szCs w:val="28"/>
          <w:rtl/>
        </w:rPr>
        <w:t xml:space="preserve">۱. تهران: دائرة المعارف؛ شماره نسخه:۲۳۲-عکسی</w:t>
      </w:r>
    </w:p>
    <w:p>
      <w:pPr>
        <w:pStyle w:val="BookText"/>
      </w:pPr>
      <w:r>
        <w:rPr>
          <w:rFonts w:ascii="IRNazanin" w:hAnsi="IRNazanin" w:eastAsia="IRNazanin" w:cs="IRNazanin"/>
          <w:lang w:bidi="fa-IR"/>
          <w:color w:val="111111"/>
          <w:sz w:val="28"/>
          <w:szCs w:val="28"/>
          <w:rtl/>
        </w:rPr>
        <w:t xml:space="preserve">آغاز: برابر ۲؛ انجام: فهرست پادشاهان عجم که فردوسی طوسی در شاهنامه گفته است تا همین جا، تمت تمام شد.</w:t>
      </w:r>
    </w:p>
    <w:p>
      <w:pPr>
        <w:pStyle w:val="BookText"/>
      </w:pPr>
      <w:r>
        <w:rPr>
          <w:rFonts w:ascii="IRNazanin" w:hAnsi="IRNazanin" w:eastAsia="IRNazanin" w:cs="IRNazanin"/>
          <w:lang w:bidi="fa-IR"/>
          <w:color w:val="111111"/>
          <w:sz w:val="28"/>
          <w:szCs w:val="28"/>
          <w:rtl/>
        </w:rPr>
        <w:t xml:space="preserve">نسخه اصل: گنج بخش ش ۴۲۱۷ (گنج ۲۰۵۰/۴ )؛ خط: نستعلیق تحریری، بی کا، تا: ۱۰ رمضان ۱۰۱۳ق؛ ۳۶۷ص (۱۶-۳۸۲) [عکسی ف: ۲-۵۶]</w:t>
      </w:r>
    </w:p>
    <w:p>
      <w:pPr>
        <w:pStyle w:val="BookText"/>
      </w:pPr>
      <w:r>
        <w:rPr>
          <w:rFonts w:ascii="IRNazanin" w:hAnsi="IRNazanin" w:eastAsia="IRNazanin" w:cs="IRNazanin"/>
          <w:lang w:bidi="fa-IR"/>
          <w:color w:val="111111"/>
          <w:sz w:val="28"/>
          <w:szCs w:val="28"/>
          <w:rtl/>
        </w:rPr>
        <w:t xml:space="preserve">۲. مشهد؛ رضوی؛ شماره نسخه:۱۹۰۷۶</w:t>
      </w:r>
    </w:p>
    <w:p>
      <w:pPr>
        <w:pStyle w:val="BookText"/>
      </w:pPr>
      <w:r>
        <w:rPr>
          <w:rFonts w:ascii="IRNazanin" w:hAnsi="IRNazanin" w:eastAsia="IRNazanin" w:cs="IRNazanin"/>
          <w:lang w:bidi="fa-IR"/>
          <w:color w:val="111111"/>
          <w:sz w:val="28"/>
          <w:szCs w:val="28"/>
          <w:rtl/>
        </w:rPr>
        <w:t xml:space="preserve">آغاز و عجم و سید ملک و آدم احمد مجتبی محمد مصطز في صلی الله عليه و آله و أصحابه و سلم اما بعد این رساله مختصر در هنگام هزار و شصت و سه هجری مطابق سنه بیست و شش جلوس همایون صاحب قران ثانی شاه جهان ... دارا شکوه؛ انجام فرخزاد بن انوشیروان یک ماه پادشاهی راند بعده يزد ابن خسرو بیست سال پادشاهی کرد.</w:t>
      </w:r>
    </w:p>
    <w:p>
      <w:pPr>
        <w:pStyle w:val="BookText"/>
      </w:pPr>
      <w:r>
        <w:rPr>
          <w:rFonts w:ascii="IRNazanin" w:hAnsi="IRNazanin" w:eastAsia="IRNazanin" w:cs="IRNazanin"/>
          <w:lang w:bidi="fa-IR"/>
          <w:color w:val="111111"/>
          <w:sz w:val="28"/>
          <w:szCs w:val="28"/>
          <w:rtl/>
        </w:rPr>
        <w:t xml:space="preserve">خط: نستعلیق درشت خط، بی کا، تا: قرن ۱۲؛ افتادگی: آغاز و انجام؛ مجدول مذهب، ابیات داخل جدول های مذهب؛ اهدایی: رهبری، آبان ۱۳۷۲؛ کاغذ: فرنگی شکری، جلد: مقوا، روکش مشمع قرمز، ۳۴۷گ، ۱۱ سطر، اندازه: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 اهدائی رهبر: ۳۷۶-۸ ]</w:t>
      </w:r>
    </w:p>
    <w:p>
      <w:pPr>
        <w:pStyle w:val="BookText"/>
      </w:pPr>
      <w:r>
        <w:rPr>
          <w:rFonts w:ascii="IRNazanin" w:hAnsi="IRNazanin" w:eastAsia="IRNazanin" w:cs="IRNazanin"/>
          <w:lang w:bidi="fa-IR"/>
          <w:color w:val="111111"/>
          <w:sz w:val="28"/>
          <w:szCs w:val="28"/>
          <w:rtl/>
        </w:rPr>
        <w:t xml:space="preserve">٣. قم؛ معصومیه؛ شماره نسخه:۳۱/۳ -۵۹۴۷</w:t>
      </w:r>
    </w:p>
    <w:p>
      <w:pPr>
        <w:pStyle w:val="BookText"/>
      </w:pPr>
      <w:r>
        <w:rPr>
          <w:rFonts w:ascii="IRNazanin" w:hAnsi="IRNazanin" w:eastAsia="IRNazanin" w:cs="IRNazanin"/>
          <w:lang w:bidi="fa-IR"/>
          <w:color w:val="111111"/>
          <w:sz w:val="28"/>
          <w:szCs w:val="28"/>
          <w:rtl/>
        </w:rPr>
        <w:t xml:space="preserve">خط: نستعلیق، بی کا، تا: قرن ۱۲؛ افتادگی: آغاز؛ با تصویرهای رنگین؛ کاغذ: سپاهانی، جلد: تیماج تریاکی، ۲۴۴گ، ۱۵ سطر، قطع: ربعی [ آستانه قم: ۱۷۶]</w:t>
      </w:r>
    </w:p>
    <w:p>
      <w:pPr>
        <w:pStyle w:val="BookText"/>
      </w:pPr>
      <w:r>
        <w:rPr>
          <w:rFonts w:ascii="IRNazanin" w:hAnsi="IRNazanin" w:eastAsia="IRNazanin" w:cs="IRNazanin"/>
          <w:lang w:bidi="fa-IR"/>
          <w:color w:val="111111"/>
          <w:sz w:val="28"/>
          <w:szCs w:val="28"/>
          <w:rtl/>
        </w:rPr>
        <w:t xml:space="preserve">۴. مشهد؛ رضوی؛ شماره نسخه:۳۴۷۸۳</w:t>
      </w:r>
    </w:p>
    <w:p>
      <w:pPr>
        <w:pStyle w:val="BookText"/>
      </w:pPr>
      <w:r>
        <w:rPr>
          <w:rFonts w:ascii="IRNazanin" w:hAnsi="IRNazanin" w:eastAsia="IRNazanin" w:cs="IRNazanin"/>
          <w:lang w:bidi="fa-IR"/>
          <w:color w:val="111111"/>
          <w:sz w:val="28"/>
          <w:szCs w:val="28"/>
          <w:rtl/>
        </w:rPr>
        <w:t xml:space="preserve">آغاز: برابر ۲؛ انجام: خدایا توئی داور و دستگیر *** ببخشای تقصیر این مرد پیر خط: نستعلیق، بی کا، تا: قرن ۱۳؛ صفحه پایانی نونویس در صفر ۱۲۳۳ق؛ اهدایی: رهبری، اردیبهشت ۱۳۸۶؛ کاغذ: کشمیری نخودی آهار مهره، جلد: تیماج فرنگی قهوه ای، ۱۸۰ گ، ۱۹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 اهدائی رهبر: ۸-۳۷۷]</w:t>
      </w:r>
    </w:p>
    <w:p>
      <w:pPr>
        <w:pStyle w:val="BookText"/>
      </w:pPr>
      <w:r>
        <w:rPr>
          <w:rFonts w:ascii="IRNazanin" w:hAnsi="IRNazanin" w:eastAsia="IRNazanin" w:cs="IRNazanin"/>
          <w:lang w:bidi="fa-IR"/>
          <w:color w:val="111111"/>
          <w:sz w:val="28"/>
          <w:szCs w:val="28"/>
          <w:rtl/>
        </w:rPr>
        <w:t xml:space="preserve">۵. تهران؛ مجلس؛ شماره نسخه:۵۶۷۶</w:t>
      </w:r>
    </w:p>
    <w:p>
      <w:pPr>
        <w:pStyle w:val="BookText"/>
      </w:pPr>
      <w:r>
        <w:rPr>
          <w:rFonts w:ascii="IRNazanin" w:hAnsi="IRNazanin" w:eastAsia="IRNazanin" w:cs="IRNazanin"/>
          <w:lang w:bidi="fa-IR"/>
          <w:color w:val="111111"/>
          <w:sz w:val="28"/>
          <w:szCs w:val="28"/>
          <w:rtl/>
        </w:rPr>
        <w:t xml:space="preserve">آغاز: برابر ۱؛ انجام: برابر</w:t>
      </w:r>
    </w:p>
    <w:p>
      <w:pPr>
        <w:pStyle w:val="BookText"/>
      </w:pPr>
      <w:r>
        <w:rPr>
          <w:rFonts w:ascii="IRNazanin" w:hAnsi="IRNazanin" w:eastAsia="IRNazanin" w:cs="IRNazanin"/>
          <w:lang w:bidi="fa-IR"/>
          <w:color w:val="111111"/>
          <w:sz w:val="28"/>
          <w:szCs w:val="28"/>
          <w:rtl/>
        </w:rPr>
        <w:t xml:space="preserve">خط: نستعلیق، بی کا، تا: ۱۲۱۳ق؛ کاغذ: فرنگی الوان ضخیم، جلد: تیماج عنابی، ۸۳۲ص، ۱۳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۱۲۷-۱۷]</w:t>
      </w:r>
    </w:p>
    <w:p>
      <w:pPr>
        <w:pStyle w:val="BookText"/>
      </w:pPr>
      <w:r>
        <w:rPr>
          <w:rFonts w:ascii="IRNazanin" w:hAnsi="IRNazanin" w:eastAsia="IRNazanin" w:cs="IRNazanin"/>
          <w:lang w:bidi="fa-IR"/>
          <w:color w:val="111111"/>
          <w:sz w:val="28"/>
          <w:szCs w:val="28"/>
          <w:rtl/>
        </w:rPr>
        <w:t xml:space="preserve">۶. قم؛ مرعشی؛ شماره نسخه: ۱۱۰۴۰</w:t>
      </w:r>
    </w:p>
    <w:p>
      <w:pPr>
        <w:pStyle w:val="BookText"/>
      </w:pPr>
      <w:r>
        <w:rPr>
          <w:rFonts w:ascii="IRNazanin" w:hAnsi="IRNazanin" w:eastAsia="IRNazanin" w:cs="IRNazanin"/>
          <w:lang w:bidi="fa-IR"/>
          <w:color w:val="111111"/>
          <w:sz w:val="28"/>
          <w:szCs w:val="28"/>
          <w:rtl/>
        </w:rPr>
        <w:t xml:space="preserve">خط: نستعلیق، كان محمد علی بن ملا نادعلی چشمه ای، تا: جمعه ۱۱ رمضان ۱۲۶۴ق؛ قطع: رحلی [ میراث شهاب: س ش ۲-۵]</w:t>
      </w:r>
    </w:p>
    <w:p>
      <w:pPr>
        <w:pStyle w:val="BookText"/>
      </w:pPr>
      <w:r>
        <w:rPr>
          <w:rFonts w:ascii="IRNazanin" w:hAnsi="IRNazanin" w:eastAsia="IRNazanin" w:cs="IRNazanin"/>
          <w:lang w:bidi="fa-IR"/>
          <w:color w:val="111111"/>
          <w:sz w:val="28"/>
          <w:szCs w:val="28"/>
          <w:rtl/>
        </w:rPr>
        <w:t xml:space="preserve">۷. یزد؛ وزیری؛ شماره نسخه:۳۷۱۴</w:t>
      </w:r>
    </w:p>
    <w:p>
      <w:pPr>
        <w:pStyle w:val="BookText"/>
      </w:pPr>
      <w:r>
        <w:rPr>
          <w:rFonts w:ascii="IRNazanin" w:hAnsi="IRNazanin" w:eastAsia="IRNazanin" w:cs="IRNazanin"/>
          <w:lang w:bidi="fa-IR"/>
          <w:color w:val="111111"/>
          <w:sz w:val="28"/>
          <w:szCs w:val="28"/>
          <w:rtl/>
        </w:rPr>
        <w:t xml:space="preserve">آغاز: برابر ۲؛ انجام: اردوان آمده با وردشیر روبرو شد</w:t>
      </w:r>
    </w:p>
    <w:p>
      <w:pPr>
        <w:pStyle w:val="BookText"/>
      </w:pPr>
      <w:r>
        <w:rPr>
          <w:rFonts w:ascii="IRNazanin" w:hAnsi="IRNazanin" w:eastAsia="IRNazanin" w:cs="IRNazanin"/>
          <w:lang w:bidi="fa-IR"/>
          <w:color w:val="111111"/>
          <w:sz w:val="28"/>
          <w:szCs w:val="28"/>
          <w:rtl/>
        </w:rPr>
        <w:t xml:space="preserve">خط: نستعلیق، بی کا، بی تا؛ افتادگی: انجام؛ کاغذ: دولت آبادی، جلد: مقوایی با گالنگور مشکی، ۲۱۰گ، ۱۳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۵-۱۷۶۰]</w:t>
      </w:r>
    </w:p>
    <w:p>
      <w:pPr>
        <w:pStyle w:val="BookText"/>
      </w:pPr>
      <w:r>
        <w:rPr>
          <w:rFonts w:ascii="IRNazanin" w:hAnsi="IRNazanin" w:eastAsia="IRNazanin" w:cs="IRNazanin"/>
          <w:lang w:bidi="fa-IR"/>
          <w:color w:val="111111"/>
          <w:sz w:val="28"/>
          <w:szCs w:val="28"/>
          <w:rtl/>
        </w:rPr>
        <w:t xml:space="preserve">۸. قم؛ مرعشی؛ شماره نسخه: ۶۷۶۸</w:t>
      </w:r>
    </w:p>
    <w:p>
      <w:pPr>
        <w:pStyle w:val="BookText"/>
      </w:pPr>
      <w:r>
        <w:rPr>
          <w:rFonts w:ascii="IRNazanin" w:hAnsi="IRNazanin" w:eastAsia="IRNazanin" w:cs="IRNazanin"/>
          <w:lang w:bidi="fa-IR"/>
          <w:color w:val="111111"/>
          <w:sz w:val="28"/>
          <w:szCs w:val="28"/>
          <w:rtl/>
        </w:rPr>
        <w:t xml:space="preserve">آغاز: برابر ۲</w:t>
      </w:r>
    </w:p>
    <w:p>
      <w:pPr>
        <w:pStyle w:val="BookText"/>
      </w:pPr>
      <w:r>
        <w:rPr>
          <w:rFonts w:ascii="IRNazanin" w:hAnsi="IRNazanin" w:eastAsia="IRNazanin" w:cs="IRNazanin"/>
          <w:lang w:bidi="fa-IR"/>
          <w:color w:val="111111"/>
          <w:sz w:val="28"/>
          <w:szCs w:val="28"/>
          <w:rtl/>
        </w:rPr>
        <w:t xml:space="preserve">خط: نستعلیق، بی کا، بی تا؛ بدستور حکیم قربانعلی؛ جلد: تیماج قهوه ای، ۲۲۸گ، ۱۵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۲۶/۵سم [ف: ۱۷-۳۱۵]</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دانشگاه؛ شماره نسخه: ۵۶۶۱</w:t>
      </w:r>
    </w:p>
    <w:p>
      <w:pPr>
        <w:pStyle w:val="BookText"/>
      </w:pPr>
      <w:r>
        <w:rPr>
          <w:rFonts w:ascii="IRNazanin" w:hAnsi="IRNazanin" w:eastAsia="IRNazanin" w:cs="IRNazanin"/>
          <w:lang w:bidi="fa-IR"/>
          <w:color w:val="111111"/>
          <w:sz w:val="28"/>
          <w:szCs w:val="28"/>
          <w:rtl/>
        </w:rPr>
        <w:t xml:space="preserve">خط: نستعلیق هندی، كا: علم الله پر کنه ای سر دهنه ای، تا: ۷ ربيع الثانی، سال تخت نشینی شاه عالم، کاغذ: هندی، جلد: تیماج مشکی، ۲۱۷، ۲۲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۱۶-۶۱]</w:t>
      </w:r>
    </w:p>
    <w:p>
      <w:pPr>
        <w:pStyle w:val="BookText"/>
      </w:pPr>
      <w:r>
        <w:rPr>
          <w:rFonts w:ascii="IRNazanin" w:hAnsi="IRNazanin" w:eastAsia="IRNazanin" w:cs="IRNazanin"/>
          <w:lang w:bidi="fa-IR"/>
          <w:color w:val="111111"/>
          <w:sz w:val="28"/>
          <w:szCs w:val="28"/>
          <w:rtl/>
        </w:rPr>
        <w:t xml:space="preserve">۱۰. تهران، دانشگاه؛ شماره نسخه:۵۲۹۷</w:t>
      </w:r>
    </w:p>
    <w:p>
      <w:pPr>
        <w:pStyle w:val="BookText"/>
      </w:pPr>
      <w:r>
        <w:rPr>
          <w:rFonts w:ascii="IRNazanin" w:hAnsi="IRNazanin" w:eastAsia="IRNazanin" w:cs="IRNazanin"/>
          <w:lang w:bidi="fa-IR"/>
          <w:color w:val="111111"/>
          <w:sz w:val="28"/>
          <w:szCs w:val="28"/>
          <w:rtl/>
        </w:rPr>
        <w:t xml:space="preserve">آغاز: برابر ۲؛ انجام: بود خاک در دیده انباشتن.</w:t>
      </w:r>
    </w:p>
    <w:p>
      <w:pPr>
        <w:pStyle w:val="BookText"/>
      </w:pPr>
      <w:r>
        <w:rPr>
          <w:rFonts w:ascii="IRNazanin" w:hAnsi="IRNazanin" w:eastAsia="IRNazanin" w:cs="IRNazanin"/>
          <w:lang w:bidi="fa-IR"/>
          <w:color w:val="111111"/>
          <w:sz w:val="28"/>
          <w:szCs w:val="28"/>
          <w:rtl/>
        </w:rPr>
        <w:t xml:space="preserve">خط: نستعلیق هندی، بی کا، بی تاب نوشته از روی چاپ ۱۱ رجب ۱۲۴۵، در مطبع قادری و گویا هم نسخه ای باشد که در همین تاریخ برای چاپ نوشته اند؛ کاغذ: هندی، جلد: تیماج قهوه ای، ۲۲۰، ۲۳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اندازه: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۳۰سم [ف: ۱۵-۴۱۹۶]</w:t>
      </w:r>
    </w:p>
    <w:p>
      <w:pPr>
        <w:pStyle w:val="BookText"/>
      </w:pPr>
      <w:r>
        <w:rPr>
          <w:rFonts w:ascii="IRNazanin" w:hAnsi="IRNazanin" w:eastAsia="IRNazanin" w:cs="IRNazanin"/>
          <w:lang w:bidi="fa-IR"/>
          <w:color w:val="111111"/>
          <w:sz w:val="28"/>
          <w:szCs w:val="28"/>
          <w:rtl/>
        </w:rPr>
        <w:t xml:space="preserve">۱۱. مشهد؛ مدرسه حاج حسن شماره نسخه:3</w:t>
      </w:r>
    </w:p>
    <w:p>
      <w:pPr>
        <w:pStyle w:val="BookText"/>
      </w:pPr>
      <w:r>
        <w:rPr>
          <w:rFonts w:ascii="IRNazanin" w:hAnsi="IRNazanin" w:eastAsia="IRNazanin" w:cs="IRNazanin"/>
          <w:lang w:bidi="fa-IR"/>
          <w:color w:val="111111"/>
          <w:sz w:val="28"/>
          <w:szCs w:val="28"/>
          <w:rtl/>
        </w:rPr>
        <w:t xml:space="preserve">آغاز: حاصل کلام بعد از دیر و انتظام بسیار مفهوم میشود ... اگر چه کسی ترجمه شاه نامه را به لباس نثر پوشانیده بعبارات از و مختصر رابطه داده بیان نمایند نیکو باشد. یاران مجلس خاموش ماندند این خاکسار محض برای رضامندی و خورسندی منزلت و مرتبت خان مشارالیه این معنی را قبول نمود و محرر این نسخه گردید ...</w:t>
      </w:r>
    </w:p>
    <w:p>
      <w:pPr>
        <w:pStyle w:val="BookText"/>
      </w:pPr>
      <w:r>
        <w:rPr>
          <w:rFonts w:ascii="IRNazanin" w:hAnsi="IRNazanin" w:eastAsia="IRNazanin" w:cs="IRNazanin"/>
          <w:lang w:bidi="fa-IR"/>
          <w:color w:val="111111"/>
          <w:sz w:val="28"/>
          <w:szCs w:val="28"/>
          <w:rtl/>
        </w:rPr>
        <w:t xml:space="preserve">و این رساله را تاریخ دلگشای شمشیر خان نام نهاد؛ انجام: بابک دختر خود را باو داد و گفت تو خاطر جمع دار از و فرزندی حاصل شد. خط: نستعلیق بد، بی کا، بی تا، افتادگی: آغاز و انجام کاغذ: فستقی، فاقد جلد، ۸۸گ، ۱۸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 نشریه: ۷-۷۶۳]</w:t>
      </w:r>
    </w:p>
    <w:p>
      <w:pPr>
        <w:pStyle w:val="BookText"/>
      </w:pPr>
      <w:r>
        <w:rPr>
          <w:rFonts w:ascii="IRNazanin" w:hAnsi="IRNazanin" w:eastAsia="IRNazanin" w:cs="IRNazanin"/>
          <w:lang w:bidi="fa-IR"/>
          <w:color w:val="111111"/>
          <w:sz w:val="28"/>
          <w:szCs w:val="28"/>
          <w:rtl/>
        </w:rPr>
        <w:t xml:space="preserve">۱۲. یزد؛ آصف پور؛ شماره نسخه:بدون شماره</w:t>
      </w:r>
    </w:p>
    <w:p>
      <w:pPr>
        <w:pStyle w:val="BookText"/>
      </w:pPr>
      <w:r>
        <w:rPr>
          <w:rFonts w:ascii="IRNazanin" w:hAnsi="IRNazanin" w:eastAsia="IRNazanin" w:cs="IRNazanin"/>
          <w:lang w:bidi="fa-IR"/>
          <w:color w:val="111111"/>
          <w:sz w:val="28"/>
          <w:szCs w:val="28"/>
          <w:rtl/>
        </w:rPr>
        <w:t xml:space="preserve">بی کا، بی تا؛ افتادگی: انجام. [نشریه: ۷-۷۱۰]</w:t>
      </w:r>
    </w:p>
    <w:p>
      <w:pPr>
        <w:pStyle w:val="BookText"/>
      </w:pPr>
      <w:r>
        <w:rPr>
          <w:rFonts w:ascii="IRNazanin" w:hAnsi="IRNazanin" w:eastAsia="IRNazanin" w:cs="IRNazanin"/>
          <w:lang w:bidi="fa-IR"/>
          <w:color w:val="111111"/>
          <w:sz w:val="28"/>
          <w:szCs w:val="28"/>
          <w:rtl/>
        </w:rPr>
        <w:t xml:space="preserve">۱۳. تهران؛ ملی؛ شماره نسخه:۱۷۵۵۸</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اندازه: ۲۹/۴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۱۷/۴ سم [رایانه]</w:t>
      </w:r>
    </w:p>
    <w:p>
      <w:pPr>
        <w:pStyle w:val="Heading3"/>
      </w:pPr>
      <w:bookmarkStart w:id="2412" w:name="_Toc1672"/>
      <w:r>
        <w:t>•تاریخ شوالیه دنکیشت (ترجمه) / تاریخ جهان / فارسی</w:t>
      </w:r>
      <w:bookmarkEnd w:id="2412"/>
    </w:p>
    <w:p>
      <w:pPr>
        <w:pStyle w:val="BookText"/>
      </w:pPr>
      <w:r>
        <w:rPr>
          <w:rFonts w:ascii="Times New Roman" w:hAnsi="Times New Roman" w:eastAsia="Times New Roman" w:cs="Times New Roman"/>
          <w:lang w:val="en-US" w:bidi="en-US"/>
          <w:color w:val="111111"/>
          <w:sz w:val="28"/>
          <w:szCs w:val="28"/>
          <w:rtl/>
        </w:rPr>
        <w:t xml:space="preserve">tārīx-e šovālīye donkīšot (t.)</w:t>
      </w:r>
    </w:p>
    <w:p>
      <w:pPr>
        <w:pStyle w:val="BookText"/>
      </w:pPr>
      <w:r>
        <w:rPr>
          <w:rFonts w:ascii="Amiri" w:hAnsi="Amiri" w:eastAsia="Amiri" w:cs="Amiri"/>
          <w:lang w:bidi="ar-SA"/>
          <w:color w:val="111111"/>
          <w:sz w:val="28"/>
          <w:szCs w:val="28"/>
          <w:rtl/>
        </w:rPr>
        <w:t xml:space="preserve">جلال الملك قاجار</w:t>
      </w:r>
    </w:p>
    <w:p>
      <w:pPr>
        <w:pStyle w:val="BookText"/>
      </w:pPr>
      <w:r>
        <w:rPr>
          <w:rFonts w:ascii="Times New Roman" w:hAnsi="Times New Roman" w:eastAsia="Times New Roman" w:cs="Times New Roman"/>
          <w:lang w:val="en-US" w:bidi="en-US"/>
          <w:color w:val="111111"/>
          <w:sz w:val="28"/>
          <w:szCs w:val="28"/>
          <w:rtl/>
        </w:rPr>
        <w:t xml:space="preserve">jalāl-ol-molk-e qājār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504" w:name="pg20363_209816"/>
    <w:bookmarkEnd w:id="504"/>
    <w:p>
      <w:pPr>
        <w:pStyle w:val="BookText"/>
      </w:pPr>
      <w:r>
        <w:rPr>
          <w:rFonts w:ascii="IRNazanin" w:hAnsi="IRNazanin" w:eastAsia="IRNazanin" w:cs="IRNazanin"/>
          <w:lang w:bidi="fa-IR"/>
          <w:color w:val="111111"/>
          <w:sz w:val="28"/>
          <w:szCs w:val="28"/>
          <w:rtl/>
        </w:rPr>
        <w:t xml:space="preserve">اصفهان؛ صارم الدوله (كتابخانه فرهنگ اصفهان، شماره نسخه:۹۷۵</w:t>
      </w:r>
    </w:p>
    <w:p>
      <w:pPr>
        <w:pStyle w:val="BookText"/>
      </w:pPr>
      <w:r>
        <w:rPr>
          <w:rFonts w:ascii="IRNazanin" w:hAnsi="IRNazanin" w:eastAsia="IRNazanin" w:cs="IRNazanin"/>
          <w:lang w:bidi="fa-IR"/>
          <w:color w:val="111111"/>
          <w:sz w:val="28"/>
          <w:szCs w:val="28"/>
          <w:rtl/>
        </w:rPr>
        <w:t xml:space="preserve">آغاز: این قصر در یکی از نواحی اسپانیول که مانش نامند واقع است در قلیل زمانی قبل از این عصر نجیب زاده که در فن شکار قابل و ماهر بود سکنا داشت؛ انجام: رشپور برای توبه کردن و ریاضت کشیدن و چله نشینی بوده ... برای بجا آوردن اینگونه اعمال است نمیخواهم. مقداری از جلد اول؛ خط: نستعلیق، بی کا، تا: اواخر قرن ۱۳؛ ۱۲۴ص، ۱۴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۹۹]</w:t>
      </w:r>
    </w:p>
    <w:p>
      <w:pPr>
        <w:pStyle w:val="BookText"/>
      </w:pPr>
      <w:r>
        <w:rPr>
          <w:rFonts w:ascii="IRNazanin" w:hAnsi="IRNazanin" w:eastAsia="IRNazanin" w:cs="IRNazanin"/>
          <w:lang w:bidi="fa-IR"/>
          <w:color w:val="111111"/>
          <w:sz w:val="28"/>
          <w:szCs w:val="28"/>
          <w:rtl/>
        </w:rPr>
        <w:t xml:space="preserve">←تاریخ شوشتر← تذکره شوشتر</w:t>
      </w:r>
    </w:p>
    <w:p>
      <w:pPr>
        <w:pStyle w:val="BookText"/>
      </w:pPr>
      <w:r>
        <w:rPr>
          <w:rFonts w:ascii="IRNazanin" w:hAnsi="IRNazanin" w:eastAsia="IRNazanin" w:cs="IRNazanin"/>
          <w:lang w:bidi="fa-IR"/>
          <w:color w:val="111111"/>
          <w:sz w:val="28"/>
          <w:szCs w:val="28"/>
          <w:rtl/>
        </w:rPr>
        <w:t xml:space="preserve">←تاریخ شوشتر← مجموعه</w:t>
      </w:r>
    </w:p>
    <w:p>
      <w:pPr>
        <w:pStyle w:val="Heading3"/>
      </w:pPr>
      <w:bookmarkStart w:id="2413" w:name="_Toc1673"/>
      <w:r>
        <w:t>• التاريخ الشهابی و القمر المنير / تاریخ / عربی</w:t>
      </w:r>
      <w:bookmarkEnd w:id="2413"/>
    </w:p>
    <w:p>
      <w:pPr>
        <w:pStyle w:val="BookText"/>
      </w:pPr>
      <w:r>
        <w:rPr>
          <w:rFonts w:ascii="Times New Roman" w:hAnsi="Times New Roman" w:eastAsia="Times New Roman" w:cs="Times New Roman"/>
          <w:lang w:val="en-US" w:bidi="en-US"/>
          <w:color w:val="111111"/>
          <w:sz w:val="28"/>
          <w:szCs w:val="28"/>
          <w:rtl/>
        </w:rPr>
        <w:t xml:space="preserve">at-tārīx-uš šahābī wa-l qamar-ul munīr</w:t>
      </w:r>
    </w:p>
    <w:p>
      <w:pPr>
        <w:pStyle w:val="BookText"/>
      </w:pPr>
      <w:r>
        <w:rPr>
          <w:rFonts w:ascii="IRNazanin" w:hAnsi="IRNazanin" w:eastAsia="IRNazanin" w:cs="IRNazanin"/>
          <w:lang w:bidi="fa-IR"/>
          <w:color w:val="111111"/>
          <w:sz w:val="28"/>
          <w:szCs w:val="28"/>
          <w:rtl/>
        </w:rPr>
        <w:t xml:space="preserve">عینتابی، احمد بن ابی العباس، ق۹</w:t>
      </w:r>
    </w:p>
    <w:p>
      <w:pPr>
        <w:pStyle w:val="BookText"/>
      </w:pPr>
      <w:r>
        <w:rPr>
          <w:rFonts w:ascii="Times New Roman" w:hAnsi="Times New Roman" w:eastAsia="Times New Roman" w:cs="Times New Roman"/>
          <w:lang w:val="en-US" w:bidi="en-US"/>
          <w:color w:val="111111"/>
          <w:sz w:val="28"/>
          <w:szCs w:val="28"/>
          <w:rtl/>
        </w:rPr>
        <w:t xml:space="preserve">‘ayntābī, ahmad ebn-e ab-el-“abbās (-90)</w:t>
      </w:r>
    </w:p>
    <w:p>
      <w:pPr>
        <w:pStyle w:val="BookText"/>
      </w:pPr>
      <w:r>
        <w:rPr>
          <w:rFonts w:ascii="IRNazanin" w:hAnsi="IRNazanin" w:eastAsia="IRNazanin" w:cs="IRNazanin"/>
          <w:lang w:bidi="fa-IR"/>
          <w:color w:val="111111"/>
          <w:sz w:val="28"/>
          <w:szCs w:val="28"/>
          <w:rtl/>
        </w:rPr>
        <w:t xml:space="preserve">کتاب مفصلی است در تاریخ در هفت «جزء» با عناوین «فصل فصل» به ترتیب سنوات.</w:t>
      </w:r>
    </w:p>
    <w:p>
      <w:pPr>
        <w:pStyle w:val="BookText"/>
      </w:pPr>
      <w:r>
        <w:rPr>
          <w:rFonts w:ascii="IRNazanin" w:hAnsi="IRNazanin" w:eastAsia="IRNazanin" w:cs="IRNazanin"/>
          <w:lang w:bidi="fa-IR"/>
          <w:color w:val="111111"/>
          <w:sz w:val="28"/>
          <w:szCs w:val="28"/>
          <w:rtl/>
        </w:rPr>
        <w:t xml:space="preserve">قم؛ مرعشی؛ شماره نسخه: ۶۴۰عکسی</w:t>
      </w:r>
    </w:p>
    <w:p>
      <w:pPr>
        <w:pStyle w:val="BookText"/>
      </w:pPr>
      <w:r>
        <w:rPr>
          <w:rFonts w:ascii="Amiri" w:hAnsi="Amiri" w:eastAsia="Amiri" w:cs="Amiri"/>
          <w:lang w:bidi="ar-SA"/>
          <w:color w:val="111111"/>
          <w:sz w:val="28"/>
          <w:szCs w:val="28"/>
          <w:rtl/>
        </w:rPr>
        <w:t xml:space="preserve">آغاز: فصل فيما وقع من الحوادث في السنة السابعة و العشرين بعد الاربعمائه؛ انجام: و بطل القتال ذلك اليوم، ثم صمم السلطان صلاح الدين على البلد ففتحه. نسخه اصل: از نسخه سلطان احمد ثالث، ش ۶/۲۹۵۲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فهرست عربی طوپ قاپی ۳۸۶/۳ ). جزء ششم، و از حوادث سال ۴۲۷، الى اثناء ۵۷۱ق؛ خط: نسخ، كاتب = مؤلف، بی تا، افتادگی: انجام؛ مصحح، قبل از کتاب وقفنامه آن و شرحی راجع به نحوه استفاده از کتاب به خط مؤلف به تاریخ نیمه ربيع الاول ۸۳۴ق نوشته شده است؛ ۱۴۰ گ، ۲۵سطر [عکسی ف: ۲-۱۲۱]</w:t>
      </w:r>
    </w:p>
    <w:p>
      <w:pPr>
        <w:pStyle w:val="Heading3"/>
      </w:pPr>
      <w:bookmarkStart w:id="2414" w:name="_Toc1674"/>
      <w:r>
        <w:t>•تاریخ شهداء اسلام / تاریخ / فارسی</w:t>
      </w:r>
      <w:bookmarkEnd w:id="2414"/>
    </w:p>
    <w:p>
      <w:pPr>
        <w:pStyle w:val="BookText"/>
      </w:pPr>
      <w:r>
        <w:rPr>
          <w:rFonts w:ascii="Times New Roman" w:hAnsi="Times New Roman" w:eastAsia="Times New Roman" w:cs="Times New Roman"/>
          <w:lang w:val="en-US" w:bidi="en-US"/>
          <w:color w:val="111111"/>
          <w:sz w:val="28"/>
          <w:szCs w:val="28"/>
          <w:rtl/>
        </w:rPr>
        <w:t xml:space="preserve">tarix-e Sohada'-e eslam</w:t>
      </w:r>
    </w:p>
    <w:p>
      <w:pPr>
        <w:pStyle w:val="BookText"/>
      </w:pPr>
      <w:r>
        <w:rPr>
          <w:rFonts w:ascii="IRNazanin" w:hAnsi="IRNazanin" w:eastAsia="IRNazanin" w:cs="IRNazanin"/>
          <w:lang w:bidi="fa-IR"/>
          <w:color w:val="111111"/>
          <w:sz w:val="28"/>
          <w:szCs w:val="28"/>
          <w:rtl/>
        </w:rPr>
        <w:t xml:space="preserve">تهران؛ دانشگاه؛ شماره نسخه:۲۵۱۲</w:t>
      </w:r>
    </w:p>
    <w:p>
      <w:pPr>
        <w:pStyle w:val="BookText"/>
      </w:pPr>
      <w:r>
        <w:rPr>
          <w:rFonts w:ascii="IRNazanin" w:hAnsi="IRNazanin" w:eastAsia="IRNazanin" w:cs="IRNazanin"/>
          <w:lang w:bidi="fa-IR"/>
          <w:color w:val="111111"/>
          <w:sz w:val="28"/>
          <w:szCs w:val="28"/>
          <w:rtl/>
        </w:rPr>
        <w:t xml:space="preserve">آغاز: حمدی که از رشحات فيض مزارع اعمال اهل ایمان بالیدن گیرد؛ انجام: فصل چهارم در عقب امام موسی کاظم ... ابو جعفر صورانی از اولاد او است در ده «باب» و یک</w:t>
      </w:r>
    </w:p>
    <w:p>
      <w:pPr>
        <w:pStyle w:val="BookText"/>
      </w:pPr>
      <w:r>
        <w:rPr>
          <w:rFonts w:ascii="IRNazanin" w:hAnsi="IRNazanin" w:eastAsia="IRNazanin" w:cs="IRNazanin"/>
          <w:lang w:bidi="fa-IR"/>
          <w:color w:val="111111"/>
          <w:sz w:val="28"/>
          <w:szCs w:val="28"/>
          <w:rtl/>
        </w:rPr>
        <w:t xml:space="preserve">«خاتمه» باید باشد. در نسخه ما که افتادگی دارد کسی از روضة الصفا داستان کشته شدن هابیل به دست قابیل را گرفته و در آغاز آن تا ص ۱۱ گذارده است؛ خط: نستعلیق، بی کا، تا: قرن ۱۲؛ افتادگی: انجام؛ مجدول؛ جلد: تیماج حنایی، ۲۳۱ گ، ۱۸ سطر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w:t>
      </w:r>
    </w:p>
    <w:p>
      <w:pPr>
        <w:pStyle w:val="BookText"/>
      </w:pPr>
      <w:r>
        <w:rPr>
          <w:rFonts w:ascii="IRNazanin" w:hAnsi="IRNazanin" w:eastAsia="IRNazanin" w:cs="IRNazanin"/>
          <w:lang w:bidi="fa-IR"/>
          <w:color w:val="111111"/>
          <w:sz w:val="28"/>
          <w:szCs w:val="28"/>
          <w:rtl/>
        </w:rPr>
        <w:t xml:space="preserve">)،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۹-۱۲۹۲]</w:t>
      </w:r>
    </w:p>
    <w:p>
      <w:pPr>
        <w:pStyle w:val="Heading3"/>
      </w:pPr>
      <w:bookmarkStart w:id="2415" w:name="_Toc1675"/>
      <w:r>
        <w:t>•تاریخ شهداء يزد / تاریخ / فارسی</w:t>
      </w:r>
      <w:bookmarkEnd w:id="2415"/>
    </w:p>
    <w:p>
      <w:pPr>
        <w:pStyle w:val="BookText"/>
      </w:pPr>
      <w:r>
        <w:rPr>
          <w:rFonts w:ascii="Times New Roman" w:hAnsi="Times New Roman" w:eastAsia="Times New Roman" w:cs="Times New Roman"/>
          <w:lang w:val="en-US" w:bidi="en-US"/>
          <w:color w:val="111111"/>
          <w:sz w:val="28"/>
          <w:szCs w:val="28"/>
          <w:rtl/>
        </w:rPr>
        <w:t xml:space="preserve">tārīx-e šohadā’-e yazd</w:t>
      </w:r>
    </w:p>
    <w:p>
      <w:pPr>
        <w:pStyle w:val="BookText"/>
      </w:pPr>
      <w:r>
        <w:rPr>
          <w:rFonts w:ascii="IRNazanin" w:hAnsi="IRNazanin" w:eastAsia="IRNazanin" w:cs="IRNazanin"/>
          <w:lang w:bidi="fa-IR"/>
          <w:color w:val="111111"/>
          <w:sz w:val="28"/>
          <w:szCs w:val="28"/>
          <w:rtl/>
        </w:rPr>
        <w:t xml:space="preserve">مالمیری، محمد طاهر</w:t>
      </w:r>
    </w:p>
    <w:p>
      <w:pPr>
        <w:pStyle w:val="BookText"/>
      </w:pPr>
      <w:r>
        <w:rPr>
          <w:rFonts w:ascii="Times New Roman" w:hAnsi="Times New Roman" w:eastAsia="Times New Roman" w:cs="Times New Roman"/>
          <w:lang w:val="en-US" w:bidi="en-US"/>
          <w:color w:val="111111"/>
          <w:sz w:val="28"/>
          <w:szCs w:val="28"/>
          <w:rtl/>
        </w:rPr>
        <w:t xml:space="preserve">mālmīrī, mohammad tāher</w:t>
      </w:r>
    </w:p>
    <w:p>
      <w:pPr>
        <w:pStyle w:val="BookText"/>
      </w:pPr>
      <w:r>
        <w:rPr>
          <w:rFonts w:ascii="IRNazanin" w:hAnsi="IRNazanin" w:eastAsia="IRNazanin" w:cs="IRNazanin"/>
          <w:lang w:bidi="fa-IR"/>
          <w:color w:val="111111"/>
          <w:sz w:val="28"/>
          <w:szCs w:val="28"/>
          <w:rtl/>
        </w:rPr>
        <w:t xml:space="preserve">به دستور محفل روحانی یزد و اجازه محفل روحانی مصر. چاپ: چاپ نخستین فرج الله ذکی کردی در محرم ۱۳۴۷ در ۶۲۳ ص در قاهره.</w:t>
      </w:r>
    </w:p>
    <w:p>
      <w:pPr>
        <w:pStyle w:val="BookText"/>
      </w:pPr>
      <w:r>
        <w:rPr>
          <w:rFonts w:ascii="IRNazanin" w:hAnsi="IRNazanin" w:eastAsia="IRNazanin" w:cs="IRNazanin"/>
          <w:lang w:bidi="fa-IR"/>
          <w:color w:val="111111"/>
          <w:sz w:val="28"/>
          <w:szCs w:val="28"/>
          <w:rtl/>
        </w:rPr>
        <w:t xml:space="preserve">١. مشهد؛ رضوی؛ شماره نسخه:۱۸۲۹۰</w:t>
      </w:r>
    </w:p>
    <w:p>
      <w:pPr>
        <w:pStyle w:val="BookText"/>
      </w:pPr>
      <w:r>
        <w:rPr>
          <w:rFonts w:ascii="IRNazanin" w:hAnsi="IRNazanin" w:eastAsia="IRNazanin" w:cs="IRNazanin"/>
          <w:lang w:bidi="fa-IR"/>
          <w:color w:val="111111"/>
          <w:sz w:val="28"/>
          <w:szCs w:val="28"/>
          <w:rtl/>
        </w:rPr>
        <w:t xml:space="preserve">آغاز: ۱۳۰۹ مطابق نوروز مطابق ۱۵ خرداد ماه فارسی؛ انجام: گرفتاری جمعی از احباب در سنه ۱۳۰۰ بدسیسه ... على اكبر شهمیرزادی خط: نستعلیق تحریری، بی کا، تا: ۱۳۱۸ق؛ کاغذ: مشقی، ۱۹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[رایانه ]</w:t>
      </w:r>
    </w:p>
    <w:p>
      <w:pPr>
        <w:pStyle w:val="BookText"/>
      </w:pPr>
      <w:r>
        <w:rPr>
          <w:rFonts w:ascii="IRNazanin" w:hAnsi="IRNazanin" w:eastAsia="IRNazanin" w:cs="IRNazanin"/>
          <w:lang w:bidi="fa-IR"/>
          <w:color w:val="111111"/>
          <w:sz w:val="28"/>
          <w:szCs w:val="28"/>
          <w:rtl/>
        </w:rPr>
        <w:t xml:space="preserve">۲. تهران: دانشگاه؛ شماره نسخه:۴۶۶۳ف</w:t>
      </w:r>
    </w:p>
    <w:p>
      <w:pPr>
        <w:pStyle w:val="BookText"/>
      </w:pPr>
      <w:r>
        <w:rPr>
          <w:rFonts w:ascii="IRNazanin" w:hAnsi="IRNazanin" w:eastAsia="IRNazanin" w:cs="IRNazanin"/>
          <w:lang w:bidi="fa-IR"/>
          <w:color w:val="111111"/>
          <w:sz w:val="28"/>
          <w:szCs w:val="28"/>
          <w:rtl/>
        </w:rPr>
        <w:t xml:space="preserve">بی کا، بی تا [فيلمها ف: ۳-۸۵]</w:t>
      </w:r>
    </w:p>
    <w:p>
      <w:pPr>
        <w:pStyle w:val="Heading3"/>
      </w:pPr>
      <w:bookmarkStart w:id="2416" w:name="_Toc1676"/>
      <w:r>
        <w:t>•تاریخ شهر بسطام / تاریخ ایران / فارسی</w:t>
      </w:r>
      <w:bookmarkEnd w:id="2416"/>
    </w:p>
    <w:p>
      <w:pPr>
        <w:pStyle w:val="BookText"/>
      </w:pPr>
      <w:r>
        <w:rPr>
          <w:rFonts w:ascii="Times New Roman" w:hAnsi="Times New Roman" w:eastAsia="Times New Roman" w:cs="Times New Roman"/>
          <w:lang w:val="en-US" w:bidi="en-US"/>
          <w:color w:val="111111"/>
          <w:sz w:val="28"/>
          <w:szCs w:val="28"/>
          <w:rtl/>
        </w:rPr>
        <w:t xml:space="preserve">tārīx-e šahr-e bastām</w:t>
      </w:r>
    </w:p>
    <w:p>
      <w:pPr>
        <w:pStyle w:val="BookText"/>
      </w:pPr>
      <w:r>
        <w:rPr>
          <w:rFonts w:ascii="IRNazanin" w:hAnsi="IRNazanin" w:eastAsia="IRNazanin" w:cs="IRNazanin"/>
          <w:lang w:bidi="fa-IR"/>
          <w:color w:val="111111"/>
          <w:sz w:val="28"/>
          <w:szCs w:val="28"/>
          <w:rtl/>
        </w:rPr>
        <w:t xml:space="preserve">ده ملائی، اسماعیل بن حسین، ق۱۳ قمری</w:t>
      </w:r>
    </w:p>
    <w:p>
      <w:pPr>
        <w:pStyle w:val="BookText"/>
      </w:pPr>
      <w:r>
        <w:rPr>
          <w:rFonts w:ascii="Times New Roman" w:hAnsi="Times New Roman" w:eastAsia="Times New Roman" w:cs="Times New Roman"/>
          <w:lang w:val="en-US" w:bidi="en-US"/>
          <w:color w:val="111111"/>
          <w:sz w:val="28"/>
          <w:szCs w:val="28"/>
          <w:rtl/>
        </w:rPr>
        <w:t xml:space="preserve">deh-mollā'ī, esmāʻīl ebn-e hoseyn (-19c)</w:t>
      </w:r>
    </w:p>
    <w:p>
      <w:pPr>
        <w:pStyle w:val="BookText"/>
      </w:pPr>
      <w:r>
        <w:rPr>
          <w:rFonts w:ascii="IRNazanin" w:hAnsi="IRNazanin" w:eastAsia="IRNazanin" w:cs="IRNazanin"/>
          <w:lang w:bidi="fa-IR"/>
          <w:color w:val="111111"/>
          <w:sz w:val="28"/>
          <w:szCs w:val="28"/>
          <w:rtl/>
        </w:rPr>
        <w:t xml:space="preserve">تهران؛ ملک؛ شماره نسخه: ۴۳۳۰/۵</w:t>
      </w:r>
    </w:p>
    <w:p>
      <w:pPr>
        <w:pStyle w:val="BookText"/>
      </w:pPr>
      <w:r>
        <w:rPr>
          <w:rFonts w:ascii="IRNazanin" w:hAnsi="IRNazanin" w:eastAsia="IRNazanin" w:cs="IRNazanin"/>
          <w:lang w:bidi="fa-IR"/>
          <w:color w:val="111111"/>
          <w:sz w:val="28"/>
          <w:szCs w:val="28"/>
          <w:rtl/>
        </w:rPr>
        <w:t xml:space="preserve">خط: شکسته نستعلیق، بی کا، تا: قرن ۱۳ [ف: ۷-۳۵۵]</w:t>
      </w:r>
    </w:p>
    <w:p>
      <w:pPr>
        <w:pStyle w:val="Heading3"/>
      </w:pPr>
      <w:bookmarkStart w:id="2417" w:name="_Toc1677"/>
      <w:r>
        <w:t>•تاریخ شهر قسطنطنیه و قياصرة (ترجمه) / تاریخ / فارسی</w:t>
      </w:r>
      <w:bookmarkEnd w:id="2417"/>
    </w:p>
    <w:p>
      <w:pPr>
        <w:pStyle w:val="BookText"/>
      </w:pPr>
      <w:r>
        <w:rPr>
          <w:rFonts w:ascii="Times New Roman" w:hAnsi="Times New Roman" w:eastAsia="Times New Roman" w:cs="Times New Roman"/>
          <w:lang w:val="en-US" w:bidi="en-US"/>
          <w:color w:val="111111"/>
          <w:sz w:val="28"/>
          <w:szCs w:val="28"/>
          <w:rtl/>
        </w:rPr>
        <w:t xml:space="preserve">tārīx-e šahr-e qostantanīye va qayāsere</w:t>
      </w:r>
    </w:p>
    <w:p>
      <w:pPr>
        <w:pStyle w:val="BookText"/>
      </w:pPr>
      <w:r>
        <w:rPr>
          <w:rFonts w:ascii="IRNazanin" w:hAnsi="IRNazanin" w:eastAsia="IRNazanin" w:cs="IRNazanin"/>
          <w:lang w:bidi="fa-IR"/>
          <w:color w:val="111111"/>
          <w:sz w:val="28"/>
          <w:szCs w:val="28"/>
          <w:rtl/>
        </w:rPr>
        <w:t xml:space="preserve">قاجار، محمد حسین بن رضا قلی، ق۱۳ قمری</w:t>
      </w:r>
    </w:p>
    <w:p>
      <w:pPr>
        <w:pStyle w:val="BookText"/>
      </w:pPr>
      <w:r>
        <w:rPr>
          <w:rFonts w:ascii="Times New Roman" w:hAnsi="Times New Roman" w:eastAsia="Times New Roman" w:cs="Times New Roman"/>
          <w:lang w:val="en-US" w:bidi="en-US"/>
          <w:color w:val="111111"/>
          <w:sz w:val="28"/>
          <w:szCs w:val="28"/>
          <w:rtl/>
        </w:rPr>
        <w:t xml:space="preserve">qājār, mohammad hoseyn ebn-e rezā qolī (-19c)</w:t>
      </w:r>
    </w:p>
    <w:p>
      <w:pPr>
        <w:pStyle w:val="BookText"/>
      </w:pPr>
      <w:r>
        <w:rPr>
          <w:rFonts w:ascii="IRNazanin" w:hAnsi="IRNazanin" w:eastAsia="IRNazanin" w:cs="IRNazanin"/>
          <w:lang w:bidi="fa-IR"/>
          <w:color w:val="111111"/>
          <w:sz w:val="28"/>
          <w:szCs w:val="28"/>
          <w:rtl/>
        </w:rPr>
        <w:t xml:space="preserve">سال ترجمه: ۱۲۶۱ق نویسنده می گوید: پس از آنکه مدتی در روم (=ترکیه فعلی) به سر بردم روزی به خاطرم رسید که جزوه ای فراهم آورم در شرح حال قیاصره و تاریخ شهر قسطنطنیه، لذا دست به ترجمه این رساله زدم. این رساله شامل چهار داستان است بدین شرح: . ذکر روملوس و چند نفر از اولاد او که به تخت حکومت و سلطنت تمکن داشتند؛ ۲. ذکر دولت جمهوری؛ ۳. ذکر قیاصره؛ ۴. ذکر قسطنطين و اولاد قیاصره یونانی و تعریف قسطنطنيه.</w:t>
      </w:r>
    </w:p>
    <w:p>
      <w:pPr>
        <w:pStyle w:val="BookText"/>
      </w:pPr>
      <w:r>
        <w:rPr>
          <w:rFonts w:ascii="IRNazanin" w:hAnsi="IRNazanin" w:eastAsia="IRNazanin" w:cs="IRNazanin"/>
          <w:lang w:bidi="fa-IR"/>
          <w:color w:val="111111"/>
          <w:sz w:val="28"/>
          <w:szCs w:val="28"/>
          <w:rtl/>
        </w:rPr>
        <w:t xml:space="preserve">تهران؛ ملی؛ شماره نسخه:۸۷۷</w:t>
      </w:r>
    </w:p>
    <w:p>
      <w:pPr>
        <w:pStyle w:val="BookText"/>
      </w:pPr>
      <w:r>
        <w:rPr>
          <w:rFonts w:ascii="IRNazanin" w:hAnsi="IRNazanin" w:eastAsia="IRNazanin" w:cs="IRNazanin"/>
          <w:lang w:bidi="fa-IR"/>
          <w:color w:val="111111"/>
          <w:sz w:val="28"/>
          <w:szCs w:val="28"/>
          <w:rtl/>
        </w:rPr>
        <w:t xml:space="preserve">آغاز: بسمله، حمد و ستایش کریمی راست که از وجود بيغایت مخلوقات عالم علوی و سفلی را خلعت وجود پوشایند.؛ انجام: با وجود کثرت مخارج آنچنان بنیان عالی ارکان و مروجات آن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505" w:name="pg20363_209817"/>
    <w:bookmarkEnd w:id="505"/>
    <w:p>
      <w:pPr>
        <w:pStyle w:val="BookText"/>
      </w:pPr>
      <w:r>
        <w:rPr>
          <w:rFonts w:ascii="IRNazanin" w:hAnsi="IRNazanin" w:eastAsia="IRNazanin" w:cs="IRNazanin"/>
          <w:lang w:bidi="fa-IR"/>
          <w:color w:val="111111"/>
          <w:sz w:val="28"/>
          <w:szCs w:val="28"/>
          <w:rtl/>
        </w:rPr>
        <w:t xml:space="preserve">مبالغی هر رساله از زواید خرج مخزون میگردانیدند. خط: نستعلیق، کاتب = مؤلف، تا: ۱۲۶۱ق، جا: طهران؛ مجدول؛ کاغذ: فرنگی، جلد: تیماج قرمز، ۶۶گ، ۱۲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w:t>
      </w:r>
    </w:p>
    <w:p>
      <w:pPr>
        <w:pStyle w:val="BookText"/>
      </w:pPr>
      <w:r>
        <w:rPr>
          <w:rFonts w:ascii="IRNazanin" w:hAnsi="IRNazanin" w:eastAsia="IRNazanin" w:cs="IRNazanin"/>
          <w:lang w:bidi="fa-IR"/>
          <w:color w:val="111111"/>
          <w:sz w:val="28"/>
          <w:szCs w:val="28"/>
          <w:rtl/>
        </w:rPr>
        <w:t xml:space="preserve">)،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۲-۴۱۱]</w:t>
      </w:r>
    </w:p>
    <w:p>
      <w:pPr>
        <w:pStyle w:val="Heading3"/>
      </w:pPr>
      <w:bookmarkStart w:id="2418" w:name="_Toc1678"/>
      <w:r>
        <w:t>• تاریخ شهر مشهد / تاریخ ایران / فارسی</w:t>
      </w:r>
      <w:bookmarkEnd w:id="2418"/>
    </w:p>
    <w:p>
      <w:pPr>
        <w:pStyle w:val="BookText"/>
      </w:pPr>
      <w:r>
        <w:rPr>
          <w:rFonts w:ascii="Times New Roman" w:hAnsi="Times New Roman" w:eastAsia="Times New Roman" w:cs="Times New Roman"/>
          <w:lang w:val="en-US" w:bidi="en-US"/>
          <w:color w:val="111111"/>
          <w:sz w:val="28"/>
          <w:szCs w:val="28"/>
          <w:rtl/>
        </w:rPr>
        <w:t xml:space="preserve">tārīx-e šahr-e mašhad</w:t>
      </w:r>
    </w:p>
    <w:p>
      <w:pPr>
        <w:pStyle w:val="BookText"/>
      </w:pPr>
      <w:r>
        <w:rPr>
          <w:rFonts w:ascii="IRNazanin" w:hAnsi="IRNazanin" w:eastAsia="IRNazanin" w:cs="IRNazanin"/>
          <w:lang w:bidi="fa-IR"/>
          <w:color w:val="111111"/>
          <w:sz w:val="28"/>
          <w:szCs w:val="28"/>
          <w:rtl/>
        </w:rPr>
        <w:t xml:space="preserve">قطعه ای از تاریخ شهر مشهد و افرادی که در این شهر حکمرانی کرده و یا تسلط یافته با ذکر تاریخ آن و تغییراتی که طی این تحولات در حرم امام رضا داده شده است.</w:t>
      </w:r>
    </w:p>
    <w:p>
      <w:pPr>
        <w:pStyle w:val="BookText"/>
      </w:pPr>
      <w:r>
        <w:rPr>
          <w:rFonts w:ascii="IRNazanin" w:hAnsi="IRNazanin" w:eastAsia="IRNazanin" w:cs="IRNazanin"/>
          <w:lang w:bidi="fa-IR"/>
          <w:color w:val="111111"/>
          <w:sz w:val="28"/>
          <w:szCs w:val="28"/>
          <w:rtl/>
        </w:rPr>
        <w:t xml:space="preserve">تهران؛ مدارک فرهنگی؛ شماره نسخه:۱۰۹</w:t>
      </w:r>
    </w:p>
    <w:p>
      <w:pPr>
        <w:pStyle w:val="BookText"/>
      </w:pPr>
      <w:r>
        <w:rPr>
          <w:rFonts w:ascii="IRNazanin" w:hAnsi="IRNazanin" w:eastAsia="IRNazanin" w:cs="IRNazanin"/>
          <w:lang w:bidi="fa-IR"/>
          <w:color w:val="111111"/>
          <w:sz w:val="28"/>
          <w:szCs w:val="28"/>
          <w:rtl/>
        </w:rPr>
        <w:t xml:space="preserve">آغاز: بواسطه آن زلزله در کله مطهر پیدا شد؛ انجام: ظاهرة تاریخش مقدم باشد بتاریخ در ششماد دارالسیاده خط: نسخ متوسط، بی کا، بی تا، افتادگی: آغاز و انجام کاغذ: فرنگی مایل به حنایی، جلد: الحاقی گالینگور آبی، ۱۳گ، ۲۰ و ۲۱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 اندازه: ۱۶/۵</w:t>
      </w:r>
    </w:p>
    <w:p>
      <w:pPr>
        <w:pStyle w:val="BookText"/>
      </w:pP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۱۰۳]</w:t>
      </w:r>
    </w:p>
    <w:p>
      <w:pPr>
        <w:pStyle w:val="Heading3"/>
      </w:pPr>
      <w:bookmarkStart w:id="2419" w:name="_Toc1679"/>
      <w:r>
        <w:t>• تاريخ الشيخ الرئیس ابی علی بن سینا (مختصر) / تاریخ / عربی</w:t>
      </w:r>
      <w:bookmarkEnd w:id="2419"/>
    </w:p>
    <w:p>
      <w:pPr>
        <w:pStyle w:val="BookText"/>
      </w:pPr>
      <w:r>
        <w:rPr>
          <w:rFonts w:ascii="Times New Roman" w:hAnsi="Times New Roman" w:eastAsia="Times New Roman" w:cs="Times New Roman"/>
          <w:lang w:val="en-US" w:bidi="en-US"/>
          <w:color w:val="111111"/>
          <w:sz w:val="28"/>
          <w:szCs w:val="28"/>
          <w:rtl/>
        </w:rPr>
        <w:t xml:space="preserve">tārīx-uš šayx-ur ra’īs abī ‘alī ibn-i sīnā (mx.)</w:t>
      </w:r>
    </w:p>
    <w:p>
      <w:pPr>
        <w:pStyle w:val="BookText"/>
      </w:pPr>
      <w:r>
        <w:rPr>
          <w:rFonts w:ascii="IRNazanin" w:hAnsi="IRNazanin" w:eastAsia="IRNazanin" w:cs="IRNazanin"/>
          <w:lang w:bidi="fa-IR"/>
          <w:color w:val="111111"/>
          <w:sz w:val="28"/>
          <w:szCs w:val="28"/>
          <w:rtl/>
        </w:rPr>
        <w:t xml:space="preserve">تهران؛ دانشگاه شماره نسخه: ۲۲۶۸/۲ -ف</w:t>
      </w:r>
    </w:p>
    <w:p>
      <w:pPr>
        <w:pStyle w:val="BookText"/>
      </w:pPr>
      <w:r>
        <w:rPr>
          <w:rFonts w:ascii="IRNazanin" w:hAnsi="IRNazanin" w:eastAsia="IRNazanin" w:cs="IRNazanin"/>
          <w:lang w:bidi="fa-IR"/>
          <w:color w:val="111111"/>
          <w:sz w:val="28"/>
          <w:szCs w:val="28"/>
          <w:rtl/>
        </w:rPr>
        <w:t xml:space="preserve">نسخه اصل: ایاصوفيا ش ۳۷۲۲؛ بی کا، بی تا [فيلمها ف: ۱-۶۶۵]</w:t>
      </w:r>
    </w:p>
    <w:p>
      <w:pPr>
        <w:pStyle w:val="Heading3"/>
      </w:pPr>
      <w:bookmarkStart w:id="2420" w:name="_Toc1680"/>
      <w:r>
        <w:t>• تاریخ شیراز / تاریخ ایران / فارسی</w:t>
      </w:r>
      <w:bookmarkEnd w:id="2420"/>
    </w:p>
    <w:p>
      <w:pPr>
        <w:pStyle w:val="BookText"/>
      </w:pPr>
      <w:r>
        <w:rPr>
          <w:rFonts w:ascii="Times New Roman" w:hAnsi="Times New Roman" w:eastAsia="Times New Roman" w:cs="Times New Roman"/>
          <w:lang w:val="en-US" w:bidi="en-US"/>
          <w:color w:val="111111"/>
          <w:sz w:val="28"/>
          <w:szCs w:val="28"/>
          <w:rtl/>
        </w:rPr>
        <w:t xml:space="preserve">tārīx-e šīrāz</w:t>
      </w:r>
    </w:p>
    <w:p>
      <w:pPr>
        <w:pStyle w:val="BookText"/>
      </w:pPr>
      <w:r>
        <w:rPr>
          <w:rFonts w:ascii="IRNazanin" w:hAnsi="IRNazanin" w:eastAsia="IRNazanin" w:cs="IRNazanin"/>
          <w:lang w:bidi="fa-IR"/>
          <w:color w:val="111111"/>
          <w:sz w:val="28"/>
          <w:szCs w:val="28"/>
          <w:rtl/>
        </w:rPr>
        <w:t xml:space="preserve">تهران؛ ملی؛ شماره نسخه: ۲۰۹۹۰</w:t>
      </w:r>
    </w:p>
    <w:p>
      <w:pPr>
        <w:pStyle w:val="BookText"/>
      </w:pPr>
      <w:r>
        <w:rPr>
          <w:rFonts w:ascii="IRNazanin" w:hAnsi="IRNazanin" w:eastAsia="IRNazanin" w:cs="IRNazanin"/>
          <w:lang w:bidi="fa-IR"/>
          <w:color w:val="111111"/>
          <w:sz w:val="28"/>
          <w:szCs w:val="28"/>
          <w:rtl/>
        </w:rPr>
        <w:t xml:space="preserve">بی کا، بی تا؛ خریداری از مصطفی حسینی [رایانه]</w:t>
      </w:r>
    </w:p>
    <w:p>
      <w:pPr>
        <w:pStyle w:val="Heading3"/>
      </w:pPr>
      <w:bookmarkStart w:id="2421" w:name="_Toc1681"/>
      <w:r>
        <w:t>• تاریخ صاحبقرانی / تاریخ ایران / فارسی</w:t>
      </w:r>
      <w:bookmarkEnd w:id="2421"/>
    </w:p>
    <w:p>
      <w:pPr>
        <w:pStyle w:val="BookText"/>
      </w:pPr>
      <w:r>
        <w:rPr>
          <w:rFonts w:ascii="Times New Roman" w:hAnsi="Times New Roman" w:eastAsia="Times New Roman" w:cs="Times New Roman"/>
          <w:lang w:val="en-US" w:bidi="en-US"/>
          <w:color w:val="111111"/>
          <w:sz w:val="28"/>
          <w:szCs w:val="28"/>
          <w:rtl/>
        </w:rPr>
        <w:t xml:space="preserve">tārīx-e sāhebqerānī</w:t>
      </w:r>
    </w:p>
    <w:p>
      <w:pPr>
        <w:pStyle w:val="BookText"/>
      </w:pPr>
      <w:r>
        <w:rPr>
          <w:rFonts w:ascii="IRNazanin" w:hAnsi="IRNazanin" w:eastAsia="IRNazanin" w:cs="IRNazanin"/>
          <w:lang w:bidi="fa-IR"/>
          <w:color w:val="111111"/>
          <w:sz w:val="28"/>
          <w:szCs w:val="28"/>
          <w:rtl/>
        </w:rPr>
        <w:t xml:space="preserve">محمود میرزا قاجار، ۱۲۱۴-۱۲۷۱ قمری</w:t>
      </w:r>
    </w:p>
    <w:p>
      <w:pPr>
        <w:pStyle w:val="BookText"/>
      </w:pPr>
      <w:r>
        <w:rPr>
          <w:rFonts w:ascii="Times New Roman" w:hAnsi="Times New Roman" w:eastAsia="Times New Roman" w:cs="Times New Roman"/>
          <w:lang w:val="en-US" w:bidi="en-US"/>
          <w:color w:val="111111"/>
          <w:sz w:val="28"/>
          <w:szCs w:val="28"/>
          <w:rtl/>
        </w:rPr>
        <w:t xml:space="preserve">mahmūd mīrzā cājār (1800-1855)</w:t>
      </w:r>
    </w:p>
    <w:p>
      <w:pPr>
        <w:pStyle w:val="BookText"/>
      </w:pPr>
      <w:r>
        <w:rPr>
          <w:rFonts w:ascii="IRNazanin" w:hAnsi="IRNazanin" w:eastAsia="IRNazanin" w:cs="IRNazanin"/>
          <w:lang w:bidi="fa-IR"/>
          <w:color w:val="111111"/>
          <w:sz w:val="28"/>
          <w:szCs w:val="28"/>
          <w:rtl/>
        </w:rPr>
        <w:t xml:space="preserve">تاريخ تأليف: آغاز ربيع الثانی ۱۲۴۸ و انجام ۱۲۴۹ق تاریخ خاندان قاجار است. در دیباچه می گوید: فتحعلی شاه تاریخ رویدادهای ۳۸ ساله پادشاهی خود را خواست، مترسلان درباری با الفاظ پیچیده پرداخته بودند. شاه از من خواست این</w:t>
      </w:r>
    </w:p>
    <w:p>
      <w:pPr>
        <w:pStyle w:val="BookText"/>
      </w:pPr>
      <w:r>
        <w:rPr>
          <w:rFonts w:ascii="IRNazanin" w:hAnsi="IRNazanin" w:eastAsia="IRNazanin" w:cs="IRNazanin"/>
          <w:lang w:bidi="fa-IR"/>
          <w:color w:val="111111"/>
          <w:sz w:val="28"/>
          <w:szCs w:val="28"/>
          <w:rtl/>
        </w:rPr>
        <w:t xml:space="preserve">کار را به شیوه درست انجام دهم. آنگاه از تبار این دودمان آغاز می کند و نام سران ایل قاجار تا آغا محمد خان را یاد می کند، سپس به سرگذشت آغا محمد خان می پردازد، آنگاه رویدادهای ۱۱۹۰ تا ۱۲۴۹ ق را سال به سال می آورد. (احمد منزوی)</w:t>
      </w:r>
    </w:p>
    <w:p>
      <w:pPr>
        <w:pStyle w:val="BookText"/>
      </w:pPr>
      <w:r>
        <w:rPr>
          <w:rFonts w:ascii="IRNazanin" w:hAnsi="IRNazanin" w:eastAsia="IRNazanin" w:cs="IRNazanin"/>
          <w:lang w:bidi="fa-IR"/>
          <w:color w:val="111111"/>
          <w:sz w:val="28"/>
          <w:szCs w:val="28"/>
          <w:rtl/>
        </w:rPr>
        <w:t xml:space="preserve">آغاز: حمد پروردگاری را که بما بندگان قدرت حمد ذات و قوت ادراک آثار صفات عطا فرموده شكر آفریدگاری را که بما شکستگان توانائی شکر نعم فراوان روا دید. اگر با صد هزار زبان درود و ثنای واردات هر نفسی از عطای شایان و سخای بی پایان او گوییم هنوز سر عجز و قصور ... اما بعد چنین گوید محمود قاجار که کم ترین از چاکران پادشاهی انجام: تورا صاحب سلامت گفتم و خود را دعا کردم. ثناجویی بر کافه انام و بر جمله اهل اسلام ... مادامی که ماه را نور است و مهر را ضياء برقرار بدار اصل اورا مبارک کن نسل اورا. چاپ: تصحيح نادره جلالی، تهران، کتابخانه مجلس شورای اسلامی، ۱۳۸۹ش، ۳۵۲ص</w:t>
      </w:r>
    </w:p>
    <w:p>
      <w:pPr>
        <w:pStyle w:val="BookText"/>
      </w:pPr>
      <w:r>
        <w:rPr>
          <w:rFonts w:ascii="IRNazanin" w:hAnsi="IRNazanin" w:eastAsia="IRNazanin" w:cs="IRNazanin"/>
          <w:lang w:bidi="fa-IR"/>
          <w:color w:val="111111"/>
          <w:sz w:val="28"/>
          <w:szCs w:val="28"/>
          <w:rtl/>
        </w:rPr>
        <w:t xml:space="preserve">[دنا ۷۱۹/۲ ؛ فهرستواره منزوی ۸۸۱/۲ ]</w:t>
      </w:r>
    </w:p>
    <w:p>
      <w:pPr>
        <w:pStyle w:val="BookText"/>
      </w:pPr>
      <w:r>
        <w:rPr>
          <w:rFonts w:ascii="IRNazanin" w:hAnsi="IRNazanin" w:eastAsia="IRNazanin" w:cs="IRNazanin"/>
          <w:lang w:bidi="fa-IR"/>
          <w:color w:val="111111"/>
          <w:sz w:val="28"/>
          <w:szCs w:val="28"/>
          <w:rtl/>
        </w:rPr>
        <w:t xml:space="preserve">تهران؛ ملی؛ شماره نسخه:۶۳</w:t>
      </w:r>
    </w:p>
    <w:p>
      <w:pPr>
        <w:pStyle w:val="BookText"/>
      </w:pPr>
      <w:r>
        <w:rPr>
          <w:rFonts w:ascii="IRNazanin" w:hAnsi="IRNazanin" w:eastAsia="IRNazanin" w:cs="IRNazanin"/>
          <w:lang w:bidi="fa-IR"/>
          <w:color w:val="111111"/>
          <w:sz w:val="28"/>
          <w:szCs w:val="28"/>
          <w:rtl/>
        </w:rPr>
        <w:t xml:space="preserve">آغاز: برابر؛ انجام: هماره دوست نواز و صید انداز باشند محمودش غلام باشد و ایامش بکام خط: نستعلیق، کاتب = مؤلف، تا: احتمالا ۱۲۴۸ق، جا: تهران؛ با سرلوح تاج زر، مجدول؛ کاغذ: فرنگی فستقی، جلد: تیماج قرمز، ۱۶۲گ، ۱۵ سطر (۱۱/۵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۱۸/۵)،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۲۹/۵ سم [ف: ۱-۵۴]</w:t>
      </w:r>
    </w:p>
    <w:p>
      <w:pPr>
        <w:pStyle w:val="BookText"/>
      </w:pPr>
      <w:r>
        <w:rPr>
          <w:rFonts w:ascii="IRNazanin" w:hAnsi="IRNazanin" w:eastAsia="IRNazanin" w:cs="IRNazanin"/>
          <w:lang w:bidi="fa-IR"/>
          <w:color w:val="111111"/>
          <w:sz w:val="28"/>
          <w:szCs w:val="28"/>
          <w:rtl/>
        </w:rPr>
        <w:t xml:space="preserve">تهران؛ دانشگاه؛ شماره نسخه:۱۸۹۲-ف</w:t>
      </w:r>
    </w:p>
    <w:p>
      <w:pPr>
        <w:pStyle w:val="BookText"/>
      </w:pPr>
      <w:r>
        <w:rPr>
          <w:rFonts w:ascii="Amiri" w:hAnsi="Amiri" w:eastAsia="Amiri" w:cs="Amiri"/>
          <w:lang w:bidi="ar-SA"/>
          <w:color w:val="111111"/>
          <w:sz w:val="28"/>
          <w:szCs w:val="28"/>
          <w:rtl/>
        </w:rPr>
        <w:t xml:space="preserve">نسخه اصل: همان نسخه بالا [فيلمها ف: ۱-۳۴]</w:t>
      </w:r>
    </w:p>
    <w:p>
      <w:pPr>
        <w:pStyle w:val="Heading3"/>
      </w:pPr>
      <w:bookmarkStart w:id="2422" w:name="_Toc1682"/>
      <w:r>
        <w:t>• تاریخ صدر اسلام / تاریخ اسلام / فارسی</w:t>
      </w:r>
      <w:bookmarkEnd w:id="2422"/>
    </w:p>
    <w:p>
      <w:pPr>
        <w:pStyle w:val="BookText"/>
      </w:pPr>
      <w:r>
        <w:rPr>
          <w:rFonts w:ascii="Times New Roman" w:hAnsi="Times New Roman" w:eastAsia="Times New Roman" w:cs="Times New Roman"/>
          <w:lang w:val="en-US" w:bidi="en-US"/>
          <w:color w:val="111111"/>
          <w:sz w:val="28"/>
          <w:szCs w:val="28"/>
          <w:rtl/>
        </w:rPr>
        <w:t xml:space="preserve">tārīx-e sadr-e eslām</w:t>
      </w:r>
    </w:p>
    <w:p>
      <w:pPr>
        <w:pStyle w:val="BookText"/>
      </w:pPr>
      <w:r>
        <w:rPr>
          <w:rFonts w:ascii="IRNazanin" w:hAnsi="IRNazanin" w:eastAsia="IRNazanin" w:cs="IRNazanin"/>
          <w:lang w:bidi="fa-IR"/>
          <w:color w:val="111111"/>
          <w:sz w:val="28"/>
          <w:szCs w:val="28"/>
          <w:rtl/>
        </w:rPr>
        <w:t xml:space="preserve">غیر همانند: .. قم؛ گلپایگانی؛ شماره نسخه: ۴۴۷۶- ۲۲/۱۹۶</w:t>
      </w:r>
    </w:p>
    <w:p>
      <w:pPr>
        <w:pStyle w:val="BookText"/>
      </w:pPr>
      <w:r>
        <w:rPr>
          <w:rFonts w:ascii="IRNazanin" w:hAnsi="IRNazanin" w:eastAsia="IRNazanin" w:cs="IRNazanin"/>
          <w:lang w:bidi="fa-IR"/>
          <w:color w:val="111111"/>
          <w:sz w:val="28"/>
          <w:szCs w:val="28"/>
          <w:rtl/>
        </w:rPr>
        <w:t xml:space="preserve">آغاز: غروب کرد گفت غروب کننده را دوست ندارم و قابل را خدائی نباشد من به خدائی متوجه شوم که خالق زمین و آسمان است؛ انجام: از اجله ملائکند شیطان اول در زمره ملک بود از پای سجده رساله ای است که از روی کتاب های دیگر با خط بد و ناخوانا تحریر شده و در آن وقایع اوایل پیامبری حضرت پیامبر و غزوات بدر و خندق و دیگر حوادث صدر اسلام بیان شده است؛ خط: تحریری بدخط و ناخوانا، بی کا، تا: قرن ۱۴؛ افتادگی: آغاز و انجام؛ جلد: کاغذی، ۱۳۵ گ، ۱۱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۶۹۷-۲ ]</w:t>
      </w:r>
    </w:p>
    <w:p>
      <w:pPr>
        <w:pStyle w:val="BookText"/>
      </w:pPr>
      <w:r>
        <w:rPr>
          <w:rFonts w:ascii="IRNazanin" w:hAnsi="IRNazanin" w:eastAsia="IRNazanin" w:cs="IRNazanin"/>
          <w:lang w:bidi="fa-IR"/>
          <w:color w:val="111111"/>
          <w:sz w:val="28"/>
          <w:szCs w:val="28"/>
          <w:rtl/>
        </w:rPr>
        <w:t xml:space="preserve">۲. قم؛ گلپایگانی؛ شماره نسخه: ۸۳۵۲- ۵۷/۲۲</w:t>
      </w:r>
    </w:p>
    <w:p>
      <w:pPr>
        <w:pStyle w:val="BookText"/>
      </w:pPr>
      <w:r>
        <w:rPr>
          <w:rFonts w:ascii="IRNazanin" w:hAnsi="IRNazanin" w:eastAsia="IRNazanin" w:cs="IRNazanin"/>
          <w:lang w:bidi="fa-IR"/>
          <w:color w:val="111111"/>
          <w:sz w:val="28"/>
          <w:szCs w:val="28"/>
          <w:rtl/>
        </w:rPr>
        <w:t xml:space="preserve">آغاز: اندوه و کینه. بیت: سبب آن غزوه را گویند آن بود *** که چون از بدر ابوسفیان مردود / گریزان رفت سوی ملک بطحا *** به دل محنت، به جانش کرده غم جا تاریخ مفصلی است شامل حالات و وقایع زمان حضرت پیامبر از بدو تولد تا رحلت و همچنین وقایع زمان حکومت حضرت علی و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506" w:name="pg20363_209818"/>
    <w:bookmarkEnd w:id="506"/>
    <w:p>
      <w:pPr>
        <w:pStyle w:val="BookText"/>
      </w:pPr>
      <w:r>
        <w:rPr>
          <w:rFonts w:ascii="IRNazanin" w:hAnsi="IRNazanin" w:eastAsia="IRNazanin" w:cs="IRNazanin"/>
          <w:lang w:bidi="fa-IR"/>
          <w:color w:val="111111"/>
          <w:sz w:val="28"/>
          <w:szCs w:val="28"/>
          <w:rtl/>
        </w:rPr>
        <w:t xml:space="preserve">شرح حال کوتاهی از امامان. بخش موجود، اندکی از مجموع کتاب است و از آغاز و اثنا و آخر آن مقدار معتنابهی افتادگی دارد و باقی اوراق نیز در صحافی جابجا شده اند. مؤلف شیعه محب اهل بیت بوده و وقایع مربوط به خاندان اهل بیت را با بسط و تفصیل بیشتری گزارش داده است. خصوصا شرح حضرت على و مبارزات آن حضرت را در جنگها او در اثنای مطالب به مناسبتی اشعار و ابیاتی به پارسی می آورد و معلوم نمی کند که اشعار از خودش است یا از دیگری نقل می کند. عنوان اصلی بخش های کتاب «گفتار-گفتار» است و هر گفتار شامل بخشهای کوچکی است که با عبارت «ذکر ..» شروع می شوند. این کتاب غير از روضة الصفا و حبیب السیر است و به احتمال زیاد بعد از آنها تالیف شده است؛ خط: نسخ، بی کا، بی تا؛ افتادگی: آغاز و وسط؛ ۹۴گ، ۲۱ سطر،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۲-۶۹۶]</w:t>
      </w:r>
    </w:p>
    <w:p>
      <w:pPr>
        <w:pStyle w:val="BookText"/>
      </w:pPr>
      <w:r>
        <w:rPr>
          <w:rFonts w:ascii="IRNazanin" w:hAnsi="IRNazanin" w:eastAsia="IRNazanin" w:cs="IRNazanin"/>
          <w:lang w:bidi="fa-IR"/>
          <w:color w:val="111111"/>
          <w:sz w:val="28"/>
          <w:szCs w:val="28"/>
          <w:rtl/>
        </w:rPr>
        <w:t xml:space="preserve">٣. تهران؛ مدارک فرهنگی؛ شماره نسخه:۹۵/۳</w:t>
      </w:r>
    </w:p>
    <w:p>
      <w:pPr>
        <w:pStyle w:val="BookText"/>
      </w:pPr>
      <w:r>
        <w:rPr>
          <w:rFonts w:ascii="IRNazanin" w:hAnsi="IRNazanin" w:eastAsia="IRNazanin" w:cs="IRNazanin"/>
          <w:lang w:bidi="fa-IR"/>
          <w:color w:val="111111"/>
          <w:sz w:val="28"/>
          <w:szCs w:val="28"/>
          <w:rtl/>
        </w:rPr>
        <w:t xml:space="preserve">آغاز: الحمدلله رب العالمين ... در خبرست از جابر بن عبدالله انصار که روایت کرده است از ابن عباس؛ انجام: بعد از آن به اتفاق شاه ولایت با لشکر اسلام روی به مدینه نهادند و الله اعلم بالصواب روایت از جابر بن عبدالله انصار در مورد دعوت اهل (یهودیان) خیبر به اسلام توسط حضرت رسول(صلی الله علیه وآله وسلم)؛ خط: شکسته نستعلیق متوسط، كا: گل محمد کیامرای الاصل، بی تا، کاغذ: فرنگی الوان، جلد: مقوایی رو کش تیماج مشکی، ۳۰گ (۱۵۶پ - ۱۸۵پ)،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۸۸]</w:t>
      </w:r>
    </w:p>
    <w:p>
      <w:pPr>
        <w:pStyle w:val="BookText"/>
      </w:pPr>
      <w:r>
        <w:rPr>
          <w:rFonts w:ascii="IRNazanin" w:hAnsi="IRNazanin" w:eastAsia="IRNazanin" w:cs="IRNazanin"/>
          <w:lang w:bidi="fa-IR"/>
          <w:color w:val="111111"/>
          <w:sz w:val="28"/>
          <w:szCs w:val="28"/>
          <w:rtl/>
        </w:rPr>
        <w:t xml:space="preserve">۴. تهران؛ ملی؛ شماره نسخه:۱۷۳۷۳</w:t>
      </w:r>
    </w:p>
    <w:p>
      <w:pPr>
        <w:pStyle w:val="BookText"/>
      </w:pPr>
      <w:r>
        <w:rPr>
          <w:rFonts w:ascii="IRNazanin" w:hAnsi="IRNazanin" w:eastAsia="IRNazanin" w:cs="IRNazanin"/>
          <w:lang w:bidi="fa-IR"/>
          <w:color w:val="111111"/>
          <w:sz w:val="28"/>
          <w:szCs w:val="28"/>
          <w:rtl/>
        </w:rPr>
        <w:t xml:space="preserve">بی کا، بی تا، خریداری از مصطفی حسینی؛ ۱۱۳گ، اندازه: ۲۰/۸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 [رایانه]</w:t>
      </w:r>
    </w:p>
    <w:p>
      <w:pPr>
        <w:pStyle w:val="BookText"/>
      </w:pPr>
      <w:r>
        <w:rPr>
          <w:rFonts w:ascii="IRNazanin" w:hAnsi="IRNazanin" w:eastAsia="IRNazanin" w:cs="IRNazanin"/>
          <w:lang w:bidi="fa-IR"/>
          <w:color w:val="111111"/>
          <w:sz w:val="28"/>
          <w:szCs w:val="28"/>
          <w:rtl/>
        </w:rPr>
        <w:t xml:space="preserve">۵. خوی؛ نمازی؛ شماره نسخه:۵۵</w:t>
      </w:r>
    </w:p>
    <w:p>
      <w:pPr>
        <w:pStyle w:val="BookText"/>
      </w:pPr>
      <w:r>
        <w:rPr>
          <w:rFonts w:ascii="IRNazanin" w:hAnsi="IRNazanin" w:eastAsia="IRNazanin" w:cs="IRNazanin"/>
          <w:lang w:bidi="fa-IR"/>
          <w:color w:val="111111"/>
          <w:sz w:val="28"/>
          <w:szCs w:val="28"/>
          <w:rtl/>
        </w:rPr>
        <w:t xml:space="preserve">آغاز: و لحظه مناجات ورفع حاجات اشتغال نمود و از شراشر آن. انجام: برادرش حمزه آهنگ. وقایع صدر اسلام را از اصحاب فیل شروع و تا جنگ صفین به تفصيل بازگو می کند، شامل وقایع بعث، غزوات آن حضرت و خلافت خلفاء ...، مؤلف از عامه می باشد و گاه گاهی به مناسبتی ابیاتی به فارسی از خودش می آورد؛ خط: نسخ، بی کا، بی تا؛ افتادگی: آغاز و انجام؛ مجدول مرصع؛ واقف: ساجدی، جلد: تیماج قهوه ای با ترنج با سر، ۲۵ سطر،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۴۲ ]</w:t>
      </w:r>
    </w:p>
    <w:p>
      <w:pPr>
        <w:pStyle w:val="Heading3"/>
      </w:pPr>
      <w:bookmarkStart w:id="2423" w:name="_Toc1683"/>
      <w:r>
        <w:t>• تاریخ صد ساله ممالک فرنگستان / تاریخ / فارسی</w:t>
      </w:r>
      <w:bookmarkEnd w:id="2423"/>
    </w:p>
    <w:p>
      <w:pPr>
        <w:pStyle w:val="BookText"/>
      </w:pPr>
      <w:r>
        <w:rPr>
          <w:rFonts w:ascii="Times New Roman" w:hAnsi="Times New Roman" w:eastAsia="Times New Roman" w:cs="Times New Roman"/>
          <w:lang w:val="en-US" w:bidi="en-US"/>
          <w:color w:val="111111"/>
          <w:sz w:val="28"/>
          <w:szCs w:val="28"/>
          <w:rtl/>
        </w:rPr>
        <w:t xml:space="preserve">tārīx-e sad-sāle-ye mamālek-e farangestān</w:t>
      </w:r>
    </w:p>
    <w:p>
      <w:pPr>
        <w:pStyle w:val="BookText"/>
      </w:pPr>
      <w:r>
        <w:rPr>
          <w:rFonts w:ascii="IRNazanin" w:hAnsi="IRNazanin" w:eastAsia="IRNazanin" w:cs="IRNazanin"/>
          <w:lang w:bidi="fa-IR"/>
          <w:color w:val="111111"/>
          <w:sz w:val="28"/>
          <w:szCs w:val="28"/>
          <w:rtl/>
        </w:rPr>
        <w:t xml:space="preserve">میرزا هارطون، ق۱۳ قمری</w:t>
      </w:r>
    </w:p>
    <w:p>
      <w:pPr>
        <w:pStyle w:val="BookText"/>
      </w:pPr>
      <w:r>
        <w:rPr>
          <w:rFonts w:ascii="Times New Roman" w:hAnsi="Times New Roman" w:eastAsia="Times New Roman" w:cs="Times New Roman"/>
          <w:lang w:val="en-US" w:bidi="en-US"/>
          <w:color w:val="111111"/>
          <w:sz w:val="28"/>
          <w:szCs w:val="28"/>
          <w:rtl/>
        </w:rPr>
        <w:t xml:space="preserve">mīrzā hārton (-19c)</w:t>
      </w:r>
    </w:p>
    <w:p>
      <w:pPr>
        <w:pStyle w:val="BookText"/>
      </w:pPr>
      <w:r>
        <w:rPr>
          <w:rFonts w:ascii="IRNazanin" w:hAnsi="IRNazanin" w:eastAsia="IRNazanin" w:cs="IRNazanin"/>
          <w:lang w:bidi="fa-IR"/>
          <w:color w:val="111111"/>
          <w:sz w:val="28"/>
          <w:szCs w:val="28"/>
          <w:rtl/>
        </w:rPr>
        <w:t xml:space="preserve">یک دوره تاریخ صد ساله کشورهای اروپایی است که به امر ناصرالدین شاه ترجمه کرده است. شامل تاریخ صنایع و فنون و ترقیات علوم و تعلیم و تربیت جدید در کشورهای اروپائی از ۱۷۵۰ میلادی تا ۱۸۵۰ میلادی، که در چند جلد تدوین شده است.</w:t>
      </w:r>
    </w:p>
    <w:p>
      <w:pPr>
        <w:pStyle w:val="BookText"/>
      </w:pPr>
      <w:r>
        <w:rPr>
          <w:rFonts w:ascii="IRNazanin" w:hAnsi="IRNazanin" w:eastAsia="IRNazanin" w:cs="IRNazanin"/>
          <w:lang w:bidi="fa-IR"/>
          <w:color w:val="111111"/>
          <w:sz w:val="28"/>
          <w:szCs w:val="28"/>
          <w:rtl/>
        </w:rPr>
        <w:t xml:space="preserve">۱. تهران؛ ملی؛ شماره نسخه:۱۶۹۶</w:t>
      </w:r>
    </w:p>
    <w:p>
      <w:pPr>
        <w:pStyle w:val="BookText"/>
      </w:pPr>
      <w:r>
        <w:rPr>
          <w:rFonts w:ascii="IRNazanin" w:hAnsi="IRNazanin" w:eastAsia="IRNazanin" w:cs="IRNazanin"/>
          <w:lang w:bidi="fa-IR"/>
          <w:color w:val="111111"/>
          <w:sz w:val="28"/>
          <w:szCs w:val="28"/>
          <w:rtl/>
        </w:rPr>
        <w:t xml:space="preserve">آغاز: حالات دول اروپا در قرن هیجدهم بسمله، در سال ۱۷۱۳ عیسوی مطابق ۱۱۲۹ هجری؛ انجام: از عسرت و پریشانی مرفه الحال و آسوده احوال شده باشد جلد اول؛ خط: نستعلیق، بی کا، تا: ۱۲۸۱ق، جا: طهران؛ با سرلوح زر؛ مجدول؛ کاغذ: فرنگی، جلد: مقوایی عطف تیماج، ۲۳۲ گ، ۲۱ سطر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۳۷/۵سم [ف: ۴-۱۶۸]</w:t>
      </w:r>
    </w:p>
    <w:p>
      <w:pPr>
        <w:pStyle w:val="BookText"/>
      </w:pPr>
      <w:r>
        <w:rPr>
          <w:rFonts w:ascii="IRNazanin" w:hAnsi="IRNazanin" w:eastAsia="IRNazanin" w:cs="IRNazanin"/>
          <w:lang w:bidi="fa-IR"/>
          <w:color w:val="111111"/>
          <w:sz w:val="28"/>
          <w:szCs w:val="28"/>
          <w:rtl/>
        </w:rPr>
        <w:t xml:space="preserve">۲. تهران؛ ملی؛ شماره نسخه:۱۵۸۲</w:t>
      </w:r>
    </w:p>
    <w:p>
      <w:pPr>
        <w:pStyle w:val="BookText"/>
      </w:pPr>
      <w:r>
        <w:rPr>
          <w:rFonts w:ascii="IRNazanin" w:hAnsi="IRNazanin" w:eastAsia="IRNazanin" w:cs="IRNazanin"/>
          <w:lang w:bidi="fa-IR"/>
          <w:color w:val="111111"/>
          <w:sz w:val="28"/>
          <w:szCs w:val="28"/>
          <w:rtl/>
        </w:rPr>
        <w:t xml:space="preserve">آغاز: ذكر احوالات مملکت ايطاليا در قرن هیجدهم. مملکت ايطاليا در آن زمان از حرص و هوای خودسری؛ انجام: در حقیقت ناپلیان بی اختیار و بیجا اسباب تعدی و ظلم و آسیب دنیا گشته پادشاهی او را هرگز مستقر و معتبر نباید شمرد جلد دوم؛ خط: نستعلیق، بی کا، تا: ۱۲۸۲ق؛ مجدول؛ به خط ناصرالدین شاه آمده: «تماما ملاحظه شد»؛ کاغذ: فرنگی، جلد: تیماج قرمز، ۱۵۶گ، ۱۹ سطر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۲۲/۵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۳۶/۵سم [ف: ۴-۷۲]</w:t>
      </w:r>
    </w:p>
    <w:p>
      <w:pPr>
        <w:pStyle w:val="BookText"/>
      </w:pPr>
      <w:r>
        <w:rPr>
          <w:rFonts w:ascii="IRNazanin" w:hAnsi="IRNazanin" w:eastAsia="IRNazanin" w:cs="IRNazanin"/>
          <w:lang w:bidi="fa-IR"/>
          <w:color w:val="111111"/>
          <w:sz w:val="28"/>
          <w:szCs w:val="28"/>
          <w:rtl/>
        </w:rPr>
        <w:t xml:space="preserve">٣. تهران؛ ملی؛ شماره نسخه:۱۵۹۲</w:t>
      </w:r>
    </w:p>
    <w:p>
      <w:pPr>
        <w:pStyle w:val="BookText"/>
      </w:pPr>
      <w:r>
        <w:rPr>
          <w:rFonts w:ascii="IRNazanin" w:hAnsi="IRNazanin" w:eastAsia="IRNazanin" w:cs="IRNazanin"/>
          <w:lang w:bidi="fa-IR"/>
          <w:color w:val="111111"/>
          <w:sz w:val="28"/>
          <w:szCs w:val="28"/>
          <w:rtl/>
        </w:rPr>
        <w:t xml:space="preserve">آغاز: ذكر احوالات لشکر کشی بزرگ ناپلیان نو به تسخیر مملکت روس و گرفتن دار الملك مسقو؛ انجام: خاصه جزایر متعدد ممالک پولینزی و مالزی ولایات معمور و ... کیفیت تغییر راه زیاد مستغنی و منتفع خواهند گشت جلد سوم؛ خط: نستعلیق، بی کا، تا: ۱۲۸۳ق، جان تهران؛ مجدول؛ کاغذ: فرنگی، جلد: تیماج سبز با گل و بوته زر، ۱۹۰گ، ۱۹سطر</w:t>
      </w:r>
    </w:p>
    <w:p>
      <w:pPr>
        <w:pStyle w:val="BookText"/>
      </w:pPr>
      <w:r>
        <w:rPr>
          <w:rFonts w:ascii="IRNazanin" w:hAnsi="IRNazanin" w:eastAsia="IRNazanin" w:cs="IRNazanin"/>
          <w:lang w:bidi="fa-IR"/>
          <w:color w:val="111111"/>
          <w:sz w:val="28"/>
          <w:szCs w:val="28"/>
          <w:rtl/>
        </w:rPr>
        <w:t xml:space="preserve">(۲۴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۳۶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۴-۸۰)</w:t>
      </w:r>
    </w:p>
    <w:p>
      <w:pPr>
        <w:pStyle w:val="BookText"/>
      </w:pPr>
      <w:r>
        <w:rPr>
          <w:rFonts w:ascii="IRNazanin" w:hAnsi="IRNazanin" w:eastAsia="IRNazanin" w:cs="IRNazanin"/>
          <w:lang w:bidi="fa-IR"/>
          <w:color w:val="111111"/>
          <w:sz w:val="28"/>
          <w:szCs w:val="28"/>
          <w:rtl/>
        </w:rPr>
        <w:t xml:space="preserve">←تاریخ صدور قاجار← صدور التواريخ</w:t>
      </w:r>
    </w:p>
    <w:p>
      <w:pPr>
        <w:pStyle w:val="Heading3"/>
      </w:pPr>
      <w:bookmarkStart w:id="2424" w:name="_Toc1684"/>
      <w:r>
        <w:t>• تاریخ صفوی / تاریخ ایران / فارسی</w:t>
      </w:r>
      <w:bookmarkEnd w:id="2424"/>
    </w:p>
    <w:p>
      <w:pPr>
        <w:pStyle w:val="BookText"/>
      </w:pPr>
      <w:r>
        <w:rPr>
          <w:rFonts w:ascii="Times New Roman" w:hAnsi="Times New Roman" w:eastAsia="Times New Roman" w:cs="Times New Roman"/>
          <w:lang w:val="en-US" w:bidi="en-US"/>
          <w:color w:val="111111"/>
          <w:sz w:val="28"/>
          <w:szCs w:val="28"/>
          <w:rtl/>
        </w:rPr>
        <w:t xml:space="preserve">tārīx-e safavī</w:t>
      </w:r>
    </w:p>
    <w:p>
      <w:pPr>
        <w:pStyle w:val="BookText"/>
      </w:pPr>
      <w:r>
        <w:rPr>
          <w:rFonts w:ascii="IRNazanin" w:hAnsi="IRNazanin" w:eastAsia="IRNazanin" w:cs="IRNazanin"/>
          <w:lang w:bidi="fa-IR"/>
          <w:color w:val="111111"/>
          <w:sz w:val="28"/>
          <w:szCs w:val="28"/>
          <w:rtl/>
        </w:rPr>
        <w:t xml:space="preserve">تاریخ مفصلی است از دوران صفویه، از حدود سال هزار تا هزار و سی با رویدادهای آن دوران، و انشائی ادبی زیبا</w:t>
      </w:r>
    </w:p>
    <w:p>
      <w:pPr>
        <w:pStyle w:val="BookText"/>
      </w:pPr>
      <w:r>
        <w:rPr>
          <w:rFonts w:ascii="IRNazanin" w:hAnsi="IRNazanin" w:eastAsia="IRNazanin" w:cs="IRNazanin"/>
          <w:lang w:bidi="fa-IR"/>
          <w:color w:val="111111"/>
          <w:sz w:val="28"/>
          <w:szCs w:val="28"/>
          <w:rtl/>
        </w:rPr>
        <w:t xml:space="preserve">قم؛ مرعشی؛ شماره نسخه: ۸۰۸۹</w:t>
      </w:r>
    </w:p>
    <w:p>
      <w:pPr>
        <w:pStyle w:val="BookText"/>
      </w:pPr>
      <w:r>
        <w:rPr>
          <w:rFonts w:ascii="IRNazanin" w:hAnsi="IRNazanin" w:eastAsia="IRNazanin" w:cs="IRNazanin"/>
          <w:lang w:bidi="fa-IR"/>
          <w:color w:val="111111"/>
          <w:sz w:val="28"/>
          <w:szCs w:val="28"/>
          <w:rtl/>
        </w:rPr>
        <w:t xml:space="preserve">آغاز: برگها: باب ششم در ذکر احوال شهر قزوین که مقام و مولد و منشأ مؤلف است و آن هشت فصل است خط: نسخ، بی کا، تا: قرن ۱۹ جلد: مقوایی عطف تیماج قهوهای، ۴۱گ، مختلف السطر،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۲۰سم [ف: ۲۱-۹۱]</w:t>
      </w:r>
    </w:p>
    <w:p>
      <w:pPr>
        <w:pStyle w:val="BookText"/>
      </w:pPr>
      <w:r>
        <w:rPr>
          <w:rFonts w:ascii="IRNazanin" w:hAnsi="IRNazanin" w:eastAsia="IRNazanin" w:cs="IRNazanin"/>
          <w:lang w:bidi="fa-IR"/>
          <w:color w:val="111111"/>
          <w:sz w:val="28"/>
          <w:szCs w:val="28"/>
          <w:rtl/>
        </w:rPr>
        <w:t xml:space="preserve">← تاریخ صفویه ← عالم آرای شاه تهماسب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507" w:name="pg20363_209819"/>
    <w:bookmarkEnd w:id="507"/>
    <w:p>
      <w:pPr>
        <w:pStyle w:val="Heading3"/>
      </w:pPr>
      <w:bookmarkStart w:id="2425" w:name="_Toc1685"/>
      <w:r>
        <w:t>•  تاریخ صفویه / تاریخ / فارسی</w:t>
      </w:r>
      <w:bookmarkEnd w:id="2425"/>
    </w:p>
    <w:p>
      <w:pPr>
        <w:pStyle w:val="BookText"/>
      </w:pPr>
      <w:r>
        <w:rPr>
          <w:rFonts w:ascii="Times New Roman" w:hAnsi="Times New Roman" w:eastAsia="Times New Roman" w:cs="Times New Roman"/>
          <w:lang w:val="en-US" w:bidi="en-US"/>
          <w:color w:val="111111"/>
          <w:sz w:val="28"/>
          <w:szCs w:val="28"/>
          <w:rtl/>
        </w:rPr>
        <w:t xml:space="preserve">tārīx-e safavīye</w:t>
      </w:r>
    </w:p>
    <w:p>
      <w:pPr>
        <w:pStyle w:val="BookText"/>
      </w:pPr>
      <w:r>
        <w:rPr>
          <w:rFonts w:ascii="IRNazanin" w:hAnsi="IRNazanin" w:eastAsia="IRNazanin" w:cs="IRNazanin"/>
          <w:lang w:bidi="fa-IR"/>
          <w:color w:val="111111"/>
          <w:sz w:val="28"/>
          <w:szCs w:val="28"/>
          <w:rtl/>
        </w:rPr>
        <w:t xml:space="preserve">هروی، محمود بن خواندمیر، ق ۱۰ قمری</w:t>
      </w:r>
    </w:p>
    <w:p>
      <w:pPr>
        <w:pStyle w:val="BookText"/>
      </w:pPr>
      <w:r>
        <w:rPr>
          <w:rFonts w:ascii="Times New Roman" w:hAnsi="Times New Roman" w:eastAsia="Times New Roman" w:cs="Times New Roman"/>
          <w:lang w:val="en-US" w:bidi="en-US"/>
          <w:color w:val="111111"/>
          <w:sz w:val="28"/>
          <w:szCs w:val="28"/>
          <w:rtl/>
        </w:rPr>
        <w:t xml:space="preserve">heravī, mahmūd ebn-e xāndmīr (-160)</w:t>
      </w:r>
    </w:p>
    <w:p>
      <w:pPr>
        <w:pStyle w:val="BookText"/>
      </w:pPr>
      <w:r>
        <w:rPr>
          <w:rFonts w:ascii="IRNazanin" w:hAnsi="IRNazanin" w:eastAsia="IRNazanin" w:cs="IRNazanin"/>
          <w:lang w:bidi="fa-IR"/>
          <w:color w:val="111111"/>
          <w:sz w:val="28"/>
          <w:szCs w:val="28"/>
          <w:rtl/>
        </w:rPr>
        <w:t xml:space="preserve">از محمود پسر خواند میر که در ص ع جهان آرای خوانده شده است. به نام شاه تهماسب و محمد خان.</w:t>
      </w:r>
    </w:p>
    <w:p>
      <w:pPr>
        <w:pStyle w:val="BookText"/>
      </w:pPr>
      <w:r>
        <w:rPr>
          <w:rFonts w:ascii="IRNazanin" w:hAnsi="IRNazanin" w:eastAsia="IRNazanin" w:cs="IRNazanin"/>
          <w:lang w:bidi="fa-IR"/>
          <w:color w:val="111111"/>
          <w:sz w:val="28"/>
          <w:szCs w:val="28"/>
          <w:rtl/>
        </w:rPr>
        <w:t xml:space="preserve">تهران؛ دانشگاه؛ شماره نسخه: ۵۴۹۷/۱ -ف</w:t>
      </w:r>
    </w:p>
    <w:p>
      <w:pPr>
        <w:pStyle w:val="BookText"/>
      </w:pPr>
      <w:r>
        <w:rPr>
          <w:rFonts w:ascii="IRNazanin" w:hAnsi="IRNazanin" w:eastAsia="IRNazanin" w:cs="IRNazanin"/>
          <w:lang w:bidi="fa-IR"/>
          <w:color w:val="111111"/>
          <w:sz w:val="28"/>
          <w:szCs w:val="28"/>
          <w:rtl/>
        </w:rPr>
        <w:t xml:space="preserve">نسخه اصل: کتابخانه توبینگن </w:t>
      </w:r>
      <w:r>
        <w:rPr>
          <w:rFonts w:ascii="Times New Roman" w:hAnsi="Times New Roman" w:eastAsia="Times New Roman" w:cs="Times New Roman"/>
          <w:lang w:val="en-US" w:bidi="en-US"/>
          <w:color w:val="111111"/>
          <w:sz w:val="28"/>
          <w:szCs w:val="28"/>
          <w:rtl/>
        </w:rPr>
        <w:t xml:space="preserve">MalII43</w:t>
      </w:r>
      <w:r>
        <w:rPr>
          <w:rFonts w:ascii="IRNazanin" w:hAnsi="IRNazanin" w:eastAsia="IRNazanin" w:cs="IRNazanin"/>
          <w:lang w:bidi="fa-IR"/>
          <w:color w:val="111111"/>
          <w:sz w:val="28"/>
          <w:szCs w:val="28"/>
          <w:rtl/>
        </w:rPr>
        <w:t xml:space="preserve">؛ خط: نستعلیق، بی کا، تا: 19 رمضان ۱۰۴۲ق [فيلمها ف: ۳-۱۶۱]</w:t>
      </w:r>
    </w:p>
    <w:p>
      <w:pPr>
        <w:pStyle w:val="Heading3"/>
      </w:pPr>
      <w:bookmarkStart w:id="2426" w:name="_Toc1686"/>
      <w:r>
        <w:t>• تاریخ صفویه / داستان / فارسی</w:t>
      </w:r>
      <w:bookmarkEnd w:id="2426"/>
    </w:p>
    <w:p>
      <w:pPr>
        <w:pStyle w:val="BookText"/>
      </w:pPr>
      <w:r>
        <w:rPr>
          <w:rFonts w:ascii="Times New Roman" w:hAnsi="Times New Roman" w:eastAsia="Times New Roman" w:cs="Times New Roman"/>
          <w:lang w:val="en-US" w:bidi="en-US"/>
          <w:color w:val="111111"/>
          <w:sz w:val="28"/>
          <w:szCs w:val="28"/>
          <w:rtl/>
        </w:rPr>
        <w:t xml:space="preserve">tārīx-e safavīye</w:t>
      </w:r>
    </w:p>
    <w:p>
      <w:pPr>
        <w:pStyle w:val="BookText"/>
      </w:pPr>
      <w:r>
        <w:rPr>
          <w:rFonts w:ascii="IRNazanin" w:hAnsi="IRNazanin" w:eastAsia="IRNazanin" w:cs="IRNazanin"/>
          <w:lang w:bidi="fa-IR"/>
          <w:color w:val="111111"/>
          <w:sz w:val="28"/>
          <w:szCs w:val="28"/>
          <w:rtl/>
        </w:rPr>
        <w:t xml:space="preserve">داستان سرایی و سخنوری نقالان روزگار صفوی است با عنوان های: «بشنو از اختر خان، بشنو از چاپارشاه، بشنو از بابا کلیم، بشنو از شاه عباس، بشنو از اصفهان، بشنو از درویش حسین، بشنو از اجاق زاده، بشنو از اردو، بشنو از کشمیر، بشنو از هند، بشنو از زاغ پیاده، بشنو از لالا، بشنو از هوشیار، بشنو از خان، بشنو از نسیم خان، بشنو از بنگاله، بشنو از غولان بهادر قلعه دار، بشنو از طوطولان بن پیران، بشنو از شاپور، بشنو از هیار، بشنو از کهزاد، بشنو از مشعل چی، بشنو از قمررخ، بشنو از الفاباد» تا می رسد به «بشنو از قافلان، بشنو از نایب». درویش در این کتاب گویا به نام درویش حسین باشد و گویا این کتاب را هم در هند ساخته اند. گذشته از این تاریخ افسانه ای که یاد شده است کتابی دیگر در دست هست به نام تاریخ عالم آرای شاه اسماعیل که در ۱۰۸۶ ساخته اند.</w:t>
      </w:r>
    </w:p>
    <w:p>
      <w:pPr>
        <w:pStyle w:val="BookText"/>
      </w:pPr>
      <w:r>
        <w:rPr>
          <w:rFonts w:ascii="IRNazanin" w:hAnsi="IRNazanin" w:eastAsia="IRNazanin" w:cs="IRNazanin"/>
          <w:lang w:bidi="fa-IR"/>
          <w:color w:val="111111"/>
          <w:sz w:val="28"/>
          <w:szCs w:val="28"/>
          <w:rtl/>
        </w:rPr>
        <w:t xml:space="preserve">همدان؛ برنا، قاسم؛ شماره نسخه:7</w:t>
      </w:r>
    </w:p>
    <w:p>
      <w:pPr>
        <w:pStyle w:val="BookText"/>
      </w:pPr>
      <w:r>
        <w:rPr>
          <w:rFonts w:ascii="IRNazanin" w:hAnsi="IRNazanin" w:eastAsia="IRNazanin" w:cs="IRNazanin"/>
          <w:lang w:bidi="fa-IR"/>
          <w:color w:val="111111"/>
          <w:sz w:val="28"/>
          <w:szCs w:val="28"/>
          <w:rtl/>
        </w:rPr>
        <w:t xml:space="preserve">آغاز: آغاز نسخه مفتاح: جنت مکان فردوس آستان شاه عباس ماضی غازی ماضی اعلی حضرت شاه عباس بن شاه سلطان محمد ... پشت بر پشت که نوشته شد نصب (نسب نامه اعلی حضرت ... شاه سلیمان الصفوی موسوی الحسینی ... (ص 1)؛ (ص ۲) تاریخ عالم آرای جلد اول شاه اسماعیل و ابتداء کار او تا انتها. بسمله پشت هشتم حضرت شیخ المحققین شیخ صفی الدین اسحاق است و از شیخ پنج پشت می گذرد شت ششم شاه اسماعيل بهادرخان است که از شاه اسماعیل تا سلطان فیروز شاه چهارده پشت است که اعلی حضرت مریخ صولت ... سلطان شاه اسماعیل صفوی الموسوی الحسینی بهادر خان عليه الرحمة و الغفران آورده اند که چون مفترض الطاعة.. حضرت امام موسی کاظم ... که جد ما جد سلطان فیروز شاه است و سلطان سید فیروز شاه در دارالارشاد اردبیل وطن داشت. خروج نمودن سلطان خواجه على سیاه پوش ... رفتن تیمور به خراسان ... نامه میرزا جهان شاه به سلطان جنید ... خبردار شدن بجل پادشاه شیروان از سلطان جنید</w:t>
      </w:r>
    </w:p>
    <w:p>
      <w:pPr>
        <w:pStyle w:val="BookText"/>
      </w:pPr>
      <w:r>
        <w:rPr>
          <w:rFonts w:ascii="IRNazanin" w:hAnsi="IRNazanin" w:eastAsia="IRNazanin" w:cs="IRNazanin"/>
          <w:lang w:bidi="fa-IR"/>
          <w:color w:val="111111"/>
          <w:sz w:val="28"/>
          <w:szCs w:val="28"/>
          <w:rtl/>
        </w:rPr>
        <w:t xml:space="preserve">... ذكر خروج شاه اسمعيل ... رفتن شاه اسماعیل به اصفهان و مولود شاه طهماسب ... رسیدن شاه اسماعیل بهادرخان وفرار نمودن سلطان سلیم قیصر از شاه.. جنگ کردن دیو سلطان باجانی بیک سلطان و عبدالله خان؛ انجام: رفتن مهتر شاه قلی شیروان و شیخ شاه او را گرفتن در زنجیر نمودن و به خدمت شاه فرستادن و شاه او را به دست ملازمان میرزا شاه حسین اعتماد الدوله دادن و او را پاره پاره کردن. و تعزیه کامل آن مرشد کامل آن سرور را گرفتند و آن شهریار نامدار را آوردند در جوار مرقد منور جد بزرگوارش مدفون نمودند و غریق رحمت حق سبحانه و تعالی کردند</w:t>
      </w:r>
    </w:p>
    <w:p>
      <w:pPr>
        <w:pStyle w:val="BookText"/>
      </w:pPr>
      <w:r>
        <w:rPr>
          <w:rFonts w:ascii="IRNazanin" w:hAnsi="IRNazanin" w:eastAsia="IRNazanin" w:cs="IRNazanin"/>
          <w:lang w:bidi="fa-IR"/>
          <w:color w:val="111111"/>
          <w:sz w:val="28"/>
          <w:szCs w:val="28"/>
          <w:rtl/>
        </w:rPr>
        <w:t xml:space="preserve">خط: نستعلیق، بی کا، تا: قرن ۱۲ و ۱۳، به فرموده اديب السالكين مرشد آداب طریقت درویش محمد حسین بحرآبادی؛ افتادگی: آغاز؛ ۲۲۱گ، ۱۷ سطر، قطع: ربعی [نشریه: ۵-۳۷۲]</w:t>
      </w:r>
    </w:p>
    <w:p>
      <w:pPr>
        <w:pStyle w:val="Heading3"/>
      </w:pPr>
      <w:bookmarkStart w:id="2427" w:name="_Toc1687"/>
      <w:r>
        <w:t>• تاریخ صفویه / تاریخ / فارسی</w:t>
      </w:r>
      <w:bookmarkEnd w:id="2427"/>
    </w:p>
    <w:p>
      <w:pPr>
        <w:pStyle w:val="BookText"/>
      </w:pPr>
      <w:r>
        <w:rPr>
          <w:rFonts w:ascii="Times New Roman" w:hAnsi="Times New Roman" w:eastAsia="Times New Roman" w:cs="Times New Roman"/>
          <w:lang w:val="en-US" w:bidi="en-US"/>
          <w:color w:val="111111"/>
          <w:sz w:val="28"/>
          <w:szCs w:val="28"/>
          <w:rtl/>
        </w:rPr>
        <w:t xml:space="preserve">tārīx-e safavīye</w:t>
      </w:r>
    </w:p>
    <w:p>
      <w:pPr>
        <w:pStyle w:val="BookText"/>
      </w:pPr>
      <w:r>
        <w:rPr>
          <w:rFonts w:ascii="IRNazanin" w:hAnsi="IRNazanin" w:eastAsia="IRNazanin" w:cs="IRNazanin"/>
          <w:lang w:bidi="fa-IR"/>
          <w:color w:val="111111"/>
          <w:sz w:val="28"/>
          <w:szCs w:val="28"/>
          <w:rtl/>
        </w:rPr>
        <w:t xml:space="preserve">تهران؛ مجلس؛ شماره نسخه:۹۹۵۷/۳</w:t>
      </w:r>
    </w:p>
    <w:p>
      <w:pPr>
        <w:pStyle w:val="BookText"/>
      </w:pPr>
      <w:r>
        <w:rPr>
          <w:rFonts w:ascii="IRNazanin" w:hAnsi="IRNazanin" w:eastAsia="IRNazanin" w:cs="IRNazanin"/>
          <w:lang w:bidi="fa-IR"/>
          <w:color w:val="111111"/>
          <w:sz w:val="28"/>
          <w:szCs w:val="28"/>
          <w:rtl/>
        </w:rPr>
        <w:t xml:space="preserve">مختصری است در تاریخ صفویه از شاه صفی ابن سام میرزا ابن شاه عباس تا سال ۱۱۳۴؛ بی کا، تا: دوشنبه ۳ رجب ۱۲۵۹ق؛ جلد: تیماج سرخ، ۱۵گ (۷۱ر -۸۵پ)، ۱۸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۳۱-۱۵۰]</w:t>
      </w:r>
    </w:p>
    <w:p>
      <w:pPr>
        <w:pStyle w:val="BookText"/>
      </w:pPr>
      <w:r>
        <w:rPr>
          <w:rFonts w:ascii="IRNazanin" w:hAnsi="IRNazanin" w:eastAsia="IRNazanin" w:cs="IRNazanin"/>
          <w:lang w:bidi="fa-IR"/>
          <w:color w:val="111111"/>
          <w:sz w:val="28"/>
          <w:szCs w:val="28"/>
          <w:rtl/>
        </w:rPr>
        <w:t xml:space="preserve">←تاریخ صفین← الصفين</w:t>
      </w:r>
    </w:p>
    <w:p>
      <w:pPr>
        <w:pStyle w:val="Heading3"/>
      </w:pPr>
      <w:bookmarkStart w:id="2428" w:name="_Toc1688"/>
      <w:r>
        <w:t>• تاریخ صفین = صفین / تاریخ اسلام / عربی</w:t>
      </w:r>
      <w:bookmarkEnd w:id="2428"/>
    </w:p>
    <w:p>
      <w:pPr>
        <w:pStyle w:val="BookText"/>
      </w:pPr>
      <w:r>
        <w:rPr>
          <w:rFonts w:ascii="Times New Roman" w:hAnsi="Times New Roman" w:eastAsia="Times New Roman" w:cs="Times New Roman"/>
          <w:lang w:val="en-US" w:bidi="en-US"/>
          <w:color w:val="111111"/>
          <w:sz w:val="28"/>
          <w:szCs w:val="28"/>
          <w:rtl/>
        </w:rPr>
        <w:t xml:space="preserve">tarix-e seffin = seffin</w:t>
      </w:r>
    </w:p>
    <w:p>
      <w:pPr>
        <w:pStyle w:val="BookText"/>
      </w:pPr>
      <w:r>
        <w:rPr>
          <w:rFonts w:ascii="IRNazanin" w:hAnsi="IRNazanin" w:eastAsia="IRNazanin" w:cs="IRNazanin"/>
          <w:lang w:bidi="fa-IR"/>
          <w:color w:val="111111"/>
          <w:sz w:val="28"/>
          <w:szCs w:val="28"/>
          <w:rtl/>
        </w:rPr>
        <w:t xml:space="preserve">به نثر آمیخته به نظم، نامه هایی است میان حضرت علی به جریر بن عبدالله بجلي (: سلام علیک ... اما بعد، فان معاوية بن ابی سفيان كتب إلى كتابة و ارادان لا يكون لي في عنقه بيعة) و نیز نامه هایی از ایشان به معاویه، و معاویه به ایشان و به عمروعاص، و</w:t>
      </w:r>
    </w:p>
    <w:p>
      <w:pPr>
        <w:pStyle w:val="BookText"/>
      </w:pPr>
      <w:r>
        <w:rPr>
          <w:rFonts w:ascii="IRNazanin" w:hAnsi="IRNazanin" w:eastAsia="IRNazanin" w:cs="IRNazanin"/>
          <w:lang w:bidi="fa-IR"/>
          <w:color w:val="111111"/>
          <w:sz w:val="28"/>
          <w:szCs w:val="28"/>
          <w:rtl/>
        </w:rPr>
        <w:t xml:space="preserve">حضرت به عمر عاص. نامه ها به نثر و آمیخته به نظم.</w:t>
      </w:r>
    </w:p>
    <w:p>
      <w:pPr>
        <w:pStyle w:val="BookText"/>
      </w:pPr>
      <w:r>
        <w:rPr>
          <w:rFonts w:ascii="IRNazanin" w:hAnsi="IRNazanin" w:eastAsia="IRNazanin" w:cs="IRNazanin"/>
          <w:lang w:bidi="fa-IR"/>
          <w:color w:val="111111"/>
          <w:sz w:val="28"/>
          <w:szCs w:val="28"/>
          <w:rtl/>
        </w:rPr>
        <w:t xml:space="preserve">تهران؛ دائرة المعارف، شماره نسخه: ۱۶۸۰-عکسی</w:t>
      </w:r>
    </w:p>
    <w:p>
      <w:pPr>
        <w:pStyle w:val="BookText"/>
      </w:pPr>
      <w:r>
        <w:rPr>
          <w:rFonts w:ascii="IRNazanin" w:hAnsi="IRNazanin" w:eastAsia="IRNazanin" w:cs="IRNazanin"/>
          <w:lang w:bidi="fa-IR"/>
          <w:color w:val="111111"/>
          <w:sz w:val="28"/>
          <w:szCs w:val="28"/>
          <w:rtl/>
        </w:rPr>
        <w:t xml:space="preserve">آغاز: فقال الحمدلله الذي اختاره لنفسه فمولاه دون خلقه، الاشریک له في الحمد و لانظير له في المجد ولا اله الا هو.. ثم</w:t>
      </w:r>
    </w:p>
    <w:p>
      <w:pPr>
        <w:pStyle w:val="BookText"/>
      </w:pPr>
      <w:r>
        <w:rPr>
          <w:rFonts w:ascii="IRNazanin" w:hAnsi="IRNazanin" w:eastAsia="IRNazanin" w:cs="IRNazanin"/>
          <w:lang w:bidi="fa-IR"/>
          <w:color w:val="111111"/>
          <w:sz w:val="28"/>
          <w:szCs w:val="28"/>
          <w:rtl/>
        </w:rPr>
        <w:t xml:space="preserve">قال: أيها الناس أن الناس بایعوا عليا(عليه السلام)بالمدينة من غير محاباة بيعتهم اياه لعلمه بكتاب الله عزوجل و سبق الحق و ان طلحة و الزبير نقضا بيعته على غير حدث؛ انجام: ان تبعثوا غير ابی موسی الاشعرى حكما فابيتم خط: نسخ و ثلث، بی کا، بی تا، افتادگی: آغاز و انجام؛ تملك: على (على نقی) بن الشيخ احمد بن زين الدين البحري (الهجری) با تاریخ 1 ربيع الثانی ۱۲۳۶ق؛ ۵۱۲ص، ۱۹ سطر (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508" w:name="pg20363_209820"/>
    <w:bookmarkEnd w:id="508"/>
    <w:p>
      <w:pPr>
        <w:pStyle w:val="BookText"/>
      </w:pPr>
      <w:r>
        <w:rPr>
          <w:rFonts w:ascii="IRNazanin" w:hAnsi="IRNazanin" w:eastAsia="IRNazanin" w:cs="IRNazanin"/>
          <w:lang w:bidi="fa-IR"/>
          <w:color w:val="111111"/>
          <w:sz w:val="28"/>
          <w:szCs w:val="28"/>
          <w:rtl/>
        </w:rPr>
        <w:t xml:space="preserve">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 عکسی ف: ۱-۵۸]</w:t>
      </w:r>
    </w:p>
    <w:p>
      <w:pPr>
        <w:pStyle w:val="Heading3"/>
      </w:pPr>
      <w:bookmarkStart w:id="2429" w:name="_Toc1689"/>
      <w:r>
        <w:t>• تاریخ صنعاء (تاریخ الرازی) / تاریخ عربی</w:t>
      </w:r>
      <w:bookmarkEnd w:id="2429"/>
    </w:p>
    <w:p>
      <w:pPr>
        <w:pStyle w:val="BookText"/>
      </w:pPr>
      <w:r>
        <w:rPr>
          <w:rFonts w:ascii="Times New Roman" w:hAnsi="Times New Roman" w:eastAsia="Times New Roman" w:cs="Times New Roman"/>
          <w:lang w:val="en-US" w:bidi="en-US"/>
          <w:color w:val="111111"/>
          <w:sz w:val="28"/>
          <w:szCs w:val="28"/>
          <w:rtl/>
        </w:rPr>
        <w:t xml:space="preserve">tārīx-e san‘ā’ (tārīx-ur rāzī)</w:t>
      </w:r>
    </w:p>
    <w:p>
      <w:pPr>
        <w:pStyle w:val="BookText"/>
      </w:pPr>
      <w:r>
        <w:rPr>
          <w:rFonts w:ascii="IRNazanin" w:hAnsi="IRNazanin" w:eastAsia="IRNazanin" w:cs="IRNazanin"/>
          <w:lang w:bidi="fa-IR"/>
          <w:color w:val="111111"/>
          <w:sz w:val="28"/>
          <w:szCs w:val="28"/>
          <w:rtl/>
        </w:rPr>
        <w:t xml:space="preserve">رازی صنعانی، احمد بن عبد الله، ق ۱۰ قمری</w:t>
      </w:r>
    </w:p>
    <w:p>
      <w:pPr>
        <w:pStyle w:val="BookText"/>
      </w:pPr>
      <w:r>
        <w:rPr>
          <w:rFonts w:ascii="Times New Roman" w:hAnsi="Times New Roman" w:eastAsia="Times New Roman" w:cs="Times New Roman"/>
          <w:lang w:val="en-US" w:bidi="en-US"/>
          <w:color w:val="111111"/>
          <w:sz w:val="28"/>
          <w:szCs w:val="28"/>
          <w:rtl/>
        </w:rPr>
        <w:t xml:space="preserve">rāzī san‘ānī, ahmad ebn-e ‘abd-ol-lāh (-160)</w:t>
      </w:r>
    </w:p>
    <w:p>
      <w:pPr>
        <w:pStyle w:val="BookText"/>
      </w:pPr>
      <w:r>
        <w:rPr>
          <w:rFonts w:ascii="IRNazanin" w:hAnsi="IRNazanin" w:eastAsia="IRNazanin" w:cs="IRNazanin"/>
          <w:lang w:bidi="fa-IR"/>
          <w:color w:val="111111"/>
          <w:sz w:val="28"/>
          <w:szCs w:val="28"/>
          <w:rtl/>
        </w:rPr>
        <w:t xml:space="preserve">تاریخ مختصر صنعاء یمن است در چند «فصل»؛ ابتدا به تاریخ مختصر حضرت آدم(عليه السلام)تا پیامبر اکرم(صلی الله علیه وآله وسلم) پرداخته است.</w:t>
      </w:r>
    </w:p>
    <w:p>
      <w:pPr>
        <w:pStyle w:val="BookText"/>
      </w:pPr>
      <w:r>
        <w:rPr>
          <w:rFonts w:ascii="IRNazanin" w:hAnsi="IRNazanin" w:eastAsia="IRNazanin" w:cs="IRNazanin"/>
          <w:lang w:bidi="fa-IR"/>
          <w:color w:val="111111"/>
          <w:sz w:val="28"/>
          <w:szCs w:val="28"/>
          <w:rtl/>
        </w:rPr>
        <w:t xml:space="preserve">قم: مرکز احیاء؛ شماره نسخه:۳۲۱/۴</w:t>
      </w:r>
    </w:p>
    <w:p>
      <w:pPr>
        <w:pStyle w:val="BookText"/>
      </w:pPr>
      <w:r>
        <w:rPr>
          <w:rFonts w:ascii="IRNazanin" w:hAnsi="IRNazanin" w:eastAsia="IRNazanin" w:cs="IRNazanin"/>
          <w:lang w:bidi="fa-IR"/>
          <w:color w:val="111111"/>
          <w:sz w:val="28"/>
          <w:szCs w:val="28"/>
          <w:rtl/>
        </w:rPr>
        <w:t xml:space="preserve">آغاز: الحمدلله رب العالمين ... قال وهب بن منبه: كان بين آدم و نوح عشرة آباء.؛ نسخه اصل: کتابخانه لینچی رم ۴۱ ۳۴۲</w:t>
      </w:r>
      <w:r>
        <w:rPr>
          <w:rFonts w:ascii="Times New Roman" w:hAnsi="Times New Roman" w:eastAsia="Times New Roman" w:cs="Times New Roman"/>
          <w:lang w:val="en-US" w:bidi="en-US"/>
          <w:color w:val="111111"/>
          <w:sz w:val="28"/>
          <w:szCs w:val="28"/>
          <w:rtl/>
        </w:rPr>
        <w:t xml:space="preserve">roosi</w:t>
      </w:r>
      <w:r>
        <w:rPr>
          <w:rFonts w:ascii="IRNazanin" w:hAnsi="IRNazanin" w:eastAsia="IRNazanin" w:cs="IRNazanin"/>
          <w:lang w:bidi="fa-IR"/>
          <w:color w:val="111111"/>
          <w:sz w:val="28"/>
          <w:szCs w:val="28"/>
          <w:rtl/>
        </w:rPr>
        <w:t xml:space="preserve">؛ خط: نسخ کم نقطه، بی کا، تا: سه شنبه ۱۰ ذیحجه ۱۰۷۰ق؛ ۷۲ص (۹۸-۱۶۹) [عکسی ف: ۱-۳۸۰]</w:t>
      </w:r>
    </w:p>
    <w:p>
      <w:pPr>
        <w:pStyle w:val="BookText"/>
      </w:pPr>
      <w:r>
        <w:rPr>
          <w:rFonts w:ascii="IRNazanin" w:hAnsi="IRNazanin" w:eastAsia="IRNazanin" w:cs="IRNazanin"/>
          <w:lang w:bidi="fa-IR"/>
          <w:color w:val="111111"/>
          <w:sz w:val="28"/>
          <w:szCs w:val="28"/>
          <w:rtl/>
        </w:rPr>
        <w:t xml:space="preserve">←تاریخ طاهری ← روضة الطاهرين</w:t>
      </w:r>
    </w:p>
    <w:p>
      <w:pPr>
        <w:pStyle w:val="Heading3"/>
      </w:pPr>
      <w:bookmarkStart w:id="2430" w:name="_Toc1690"/>
      <w:r>
        <w:t>• تاریخ طب ایرانی / طب / انگلیسی</w:t>
      </w:r>
      <w:bookmarkEnd w:id="2430"/>
    </w:p>
    <w:p>
      <w:pPr>
        <w:pStyle w:val="BookText"/>
      </w:pPr>
      <w:r>
        <w:rPr>
          <w:rFonts w:ascii="Times New Roman" w:hAnsi="Times New Roman" w:eastAsia="Times New Roman" w:cs="Times New Roman"/>
          <w:lang w:val="en-US" w:bidi="en-US"/>
          <w:color w:val="111111"/>
          <w:sz w:val="28"/>
          <w:szCs w:val="28"/>
          <w:rtl/>
        </w:rPr>
        <w:t xml:space="preserve">tārīx-e tebb-e īrānī</w:t>
      </w:r>
    </w:p>
    <w:p>
      <w:pPr>
        <w:pStyle w:val="BookText"/>
      </w:pPr>
      <w:r>
        <w:rPr>
          <w:rFonts w:ascii="IRNazanin" w:hAnsi="IRNazanin" w:eastAsia="IRNazanin" w:cs="IRNazanin"/>
          <w:lang w:bidi="fa-IR"/>
          <w:color w:val="111111"/>
          <w:sz w:val="28"/>
          <w:szCs w:val="28"/>
          <w:rtl/>
        </w:rPr>
        <w:t xml:space="preserve">الگود</w:t>
      </w:r>
    </w:p>
    <w:p>
      <w:pPr>
        <w:pStyle w:val="BookText"/>
      </w:pPr>
      <w:r>
        <w:rPr>
          <w:rFonts w:ascii="Times New Roman" w:hAnsi="Times New Roman" w:eastAsia="Times New Roman" w:cs="Times New Roman"/>
          <w:lang w:val="en-US" w:bidi="en-US"/>
          <w:color w:val="111111"/>
          <w:sz w:val="28"/>
          <w:szCs w:val="28"/>
          <w:rtl/>
        </w:rPr>
        <w:t xml:space="preserve">A medical history of Persia and the Eastern Caliphals from the earliest times until the year A. D. </w:t>
      </w:r>
      <w:r>
        <w:rPr>
          <w:rFonts w:ascii="IRNazanin" w:hAnsi="IRNazanin" w:eastAsia="IRNazanin" w:cs="IRNazanin"/>
          <w:lang w:bidi="fa-IR"/>
          <w:color w:val="111111"/>
          <w:sz w:val="28"/>
          <w:szCs w:val="28"/>
          <w:rtl/>
        </w:rPr>
        <w:t xml:space="preserve">۱۹۳۲, ۱۹۵۱</w:t>
      </w:r>
    </w:p>
    <w:p>
      <w:pPr>
        <w:pStyle w:val="BookText"/>
      </w:pPr>
      <w:r>
        <w:rPr>
          <w:rFonts w:ascii="IRNazanin" w:hAnsi="IRNazanin" w:eastAsia="IRNazanin" w:cs="IRNazanin"/>
          <w:lang w:bidi="fa-IR"/>
          <w:color w:val="111111"/>
          <w:sz w:val="28"/>
          <w:szCs w:val="28"/>
          <w:rtl/>
        </w:rPr>
        <w:t xml:space="preserve">[فهرست کتابهای انگلیسی درباره ایران از محسن صبا ص ۳۳]</w:t>
      </w:r>
    </w:p>
    <w:p>
      <w:pPr>
        <w:pStyle w:val="BookText"/>
      </w:pPr>
      <w:r>
        <w:rPr>
          <w:rFonts w:ascii="IRNazanin" w:hAnsi="IRNazanin" w:eastAsia="IRNazanin" w:cs="IRNazanin"/>
          <w:lang w:bidi="fa-IR"/>
          <w:color w:val="111111"/>
          <w:sz w:val="28"/>
          <w:szCs w:val="28"/>
          <w:rtl/>
        </w:rPr>
        <w:t xml:space="preserve">تهران؛ دانشگاه؛ شماره نسخه:۳۴۷۶- ف</w:t>
      </w:r>
    </w:p>
    <w:p>
      <w:pPr>
        <w:pStyle w:val="BookText"/>
      </w:pPr>
      <w:r>
        <w:rPr>
          <w:rFonts w:ascii="IRNazanin" w:hAnsi="IRNazanin" w:eastAsia="IRNazanin" w:cs="IRNazanin"/>
          <w:lang w:bidi="fa-IR"/>
          <w:color w:val="111111"/>
          <w:sz w:val="28"/>
          <w:szCs w:val="28"/>
          <w:rtl/>
        </w:rPr>
        <w:t xml:space="preserve">از روی چاپی؛ بی کا، بی تا [فيلمها ف: ۲-۱۴۹]</w:t>
      </w:r>
    </w:p>
    <w:p>
      <w:pPr>
        <w:pStyle w:val="Heading3"/>
      </w:pPr>
      <w:bookmarkStart w:id="2431" w:name="_Toc1691"/>
      <w:r>
        <w:t>• تاریخ طبرستان = تاریخ ابن اسفندیار = تاریخ رویان / تاریخ ایران / فارسی</w:t>
      </w:r>
      <w:bookmarkEnd w:id="2431"/>
    </w:p>
    <w:p>
      <w:pPr>
        <w:pStyle w:val="BookText"/>
      </w:pPr>
      <w:r>
        <w:rPr>
          <w:rFonts w:ascii="Times New Roman" w:hAnsi="Times New Roman" w:eastAsia="Times New Roman" w:cs="Times New Roman"/>
          <w:lang w:val="en-US" w:bidi="en-US"/>
          <w:color w:val="111111"/>
          <w:sz w:val="28"/>
          <w:szCs w:val="28"/>
          <w:rtl/>
        </w:rPr>
        <w:t xml:space="preserve">tārīx-e tabarestān = tārīx-e ebn-e esfandīyār = tārīx-e rūyān</w:t>
      </w:r>
    </w:p>
    <w:p>
      <w:pPr>
        <w:pStyle w:val="BookText"/>
      </w:pPr>
      <w:r>
        <w:rPr>
          <w:rFonts w:ascii="IRNazanin" w:hAnsi="IRNazanin" w:eastAsia="IRNazanin" w:cs="IRNazanin"/>
          <w:lang w:bidi="fa-IR"/>
          <w:color w:val="111111"/>
          <w:sz w:val="28"/>
          <w:szCs w:val="28"/>
          <w:rtl/>
        </w:rPr>
        <w:t xml:space="preserve">ابن اسفندیار ، محمد بن حسن، -۶۱۳؟ قمری</w:t>
      </w:r>
    </w:p>
    <w:p>
      <w:pPr>
        <w:pStyle w:val="BookText"/>
      </w:pPr>
      <w:r>
        <w:rPr>
          <w:rFonts w:ascii="Times New Roman" w:hAnsi="Times New Roman" w:eastAsia="Times New Roman" w:cs="Times New Roman"/>
          <w:lang w:val="en-US" w:bidi="en-US"/>
          <w:color w:val="111111"/>
          <w:sz w:val="28"/>
          <w:szCs w:val="28"/>
          <w:rtl/>
        </w:rPr>
        <w:t xml:space="preserve">ebn-e esfandīyār , mohammad-e bn-e hasan (-1217)</w:t>
      </w:r>
    </w:p>
    <w:p>
      <w:pPr>
        <w:pStyle w:val="BookText"/>
      </w:pPr>
      <w:r>
        <w:rPr>
          <w:rFonts w:ascii="IRNazanin" w:hAnsi="IRNazanin" w:eastAsia="IRNazanin" w:cs="IRNazanin"/>
          <w:lang w:bidi="fa-IR"/>
          <w:color w:val="111111"/>
          <w:sz w:val="28"/>
          <w:szCs w:val="28"/>
          <w:rtl/>
        </w:rPr>
        <w:t xml:space="preserve">تاریخ تأليف: ۶۰۲ - ۶۱۳ق؛ تاریخ رویدادهای طبرستان از بنیاد آن تا روزگار خود او به مدت سی و هشت سال که معاصر رستم بن اردشیر از ملوک طبرستان بوده است و از ۶۰۲ تا ۶۱۳ ق بدان پرداخته است و در برخی از نسخه های خطی ذیلی از روی تاریخ رویان تأليف اولياء الله آملی بر آن افزوده اند و تا وقایع سال ۷۵۰ را بر آن الحاق کرده اند. در سبب تدوین کتاب چنین نگاشته است: «روزی در دار الكتب مدرسه شهنشاه غازی رستم بن شهریار در میان کتب جزوی چند یافتم در ذکر گاو باره به خاطرم افتاد که ملک سعید</w:t>
      </w:r>
    </w:p>
    <w:p>
      <w:pPr>
        <w:pStyle w:val="BookText"/>
      </w:pPr>
      <w:r>
        <w:rPr>
          <w:rFonts w:ascii="IRNazanin" w:hAnsi="IRNazanin" w:eastAsia="IRNazanin" w:cs="IRNazanin"/>
          <w:lang w:bidi="fa-IR"/>
          <w:color w:val="111111"/>
          <w:sz w:val="28"/>
          <w:szCs w:val="28"/>
          <w:rtl/>
        </w:rPr>
        <w:t xml:space="preserve">تاریخ صفویه - تاریخ طبرستان ۶۹۳ حسام الدوله اردشیر ... به کرات اوقات از من پرسیده بود که می گویند وقتی به طبرستان گاوبان لقب پادشاهی بوده، در کتب تازی پارسی هیچ جا بر تو گذشت که از کدام رهطو قبیله بود من از آنکه دلی داشتم بولای او معمور ... گفتم جز از لفظ ... شهریار ... این لقب نشنیدم و تاریخ طبرستان جز باو نام ... از تكاذيب اهل قرى و افواه عوام الناس به نظم کرده اند دیگری نیافتند از این اندیشه این اجزا بر گرفتم ... همگی همت ... بر آن مقصور گردانیدم که ترجمه آن سخن کنم.» آغاز: بسمله، حمد و ثنا و مدح بی منتهی آفریدگاريرا سزاست انجام: آخر ایشان ملک فخر الدوله حسن بود که واقعه او در سنه خمسين و سبعماة بود الملک الله تعالى الواحد القهار و الباقی و هو الله و الحكم عند الله. چاپ: با اضافات، به کوشش عباس اقبال، ۱۳۲۰ش، در دو جلد.</w:t>
      </w:r>
    </w:p>
    <w:p>
      <w:pPr>
        <w:pStyle w:val="BookText"/>
      </w:pPr>
      <w:r>
        <w:rPr>
          <w:rFonts w:ascii="IRNazanin" w:hAnsi="IRNazanin" w:eastAsia="IRNazanin" w:cs="IRNazanin"/>
          <w:lang w:bidi="fa-IR"/>
          <w:color w:val="111111"/>
          <w:sz w:val="28"/>
          <w:szCs w:val="28"/>
          <w:rtl/>
        </w:rPr>
        <w:t xml:space="preserve">[الذريعة ۲۶۲/۳ و ۴۸/۱۰ ؛ فهرستواره فارسی ۸۸۴/۲ نسخه های منزوی ۴۲۵۵/۶ ؛ فهرست مشار ص ۳۲۲؛ دنا ۷۲۰/۲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ادبیات، شماره نسخه: ۲۴/۲ - ب</w:t>
      </w:r>
    </w:p>
    <w:p>
      <w:pPr>
        <w:pStyle w:val="BookText"/>
      </w:pPr>
      <w:r>
        <w:rPr>
          <w:rFonts w:ascii="IRNazanin" w:hAnsi="IRNazanin" w:eastAsia="IRNazanin" w:cs="IRNazanin"/>
          <w:lang w:bidi="fa-IR"/>
          <w:color w:val="111111"/>
          <w:sz w:val="28"/>
          <w:szCs w:val="28"/>
          <w:rtl/>
        </w:rPr>
        <w:t xml:space="preserve">خط: نسخ، كا: عماد الدین محمودبن حافظ مسعودی سمنانی، تا: جمعه ۲۰ جمادی الثانی ۱۰۰۳ق؛ آقای سعید نفیسی بخش آخر را از روی نسخه اقبال به خط نستعلیق نوشته و شرحی نیز درباره نسخه نوشته؛ ۱۵۸گ (۱۲۷-۲۸۴) [ف: ۱-۷۰]</w:t>
      </w:r>
    </w:p>
    <w:p>
      <w:pPr>
        <w:pStyle w:val="BookText"/>
      </w:pPr>
      <w:r>
        <w:rPr>
          <w:rFonts w:ascii="IRNazanin" w:hAnsi="IRNazanin" w:eastAsia="IRNazanin" w:cs="IRNazanin"/>
          <w:lang w:bidi="fa-IR"/>
          <w:color w:val="111111"/>
          <w:sz w:val="28"/>
          <w:szCs w:val="28"/>
          <w:rtl/>
        </w:rPr>
        <w:t xml:space="preserve">۲. تهران؛ ملک؛ شماره نسخه: ۴۰۷۱</w:t>
      </w:r>
    </w:p>
    <w:p>
      <w:pPr>
        <w:pStyle w:val="BookText"/>
      </w:pPr>
      <w:r>
        <w:rPr>
          <w:rFonts w:ascii="IRNazanin" w:hAnsi="IRNazanin" w:eastAsia="IRNazanin" w:cs="IRNazanin"/>
          <w:lang w:bidi="fa-IR"/>
          <w:color w:val="111111"/>
          <w:sz w:val="28"/>
          <w:szCs w:val="28"/>
          <w:rtl/>
        </w:rPr>
        <w:t xml:space="preserve">خط: نستعلیق، کا: همت مازندرانی، تا: اواخر محرم ۱۰۲۸ق، جان فرح آباد؛ دارای فهرست مورخ جمادی الاول ۱۳۰۳؛ کاغذ: کاغذ فستقی، جلد: میشن لیمویی، ۲۵۸گ، ۱۴ سطر، اندازه: ۲۵/۹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۱۷/۶ سم [ف: ۲-۸۵ ]</w:t>
      </w:r>
    </w:p>
    <w:p>
      <w:pPr>
        <w:pStyle w:val="BookText"/>
      </w:pPr>
      <w:r>
        <w:rPr>
          <w:rFonts w:ascii="IRNazanin" w:hAnsi="IRNazanin" w:eastAsia="IRNazanin" w:cs="IRNazanin"/>
          <w:lang w:bidi="fa-IR"/>
          <w:color w:val="111111"/>
          <w:sz w:val="28"/>
          <w:szCs w:val="28"/>
          <w:rtl/>
        </w:rPr>
        <w:t xml:space="preserve">٣. تهران، مجلس؛ شماره نسخه: ۴۶۱۰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کا: همت بن رستم تاق مازندرانی، تا: ۶ شوال ۱۰۳۴ق؛ با سرلوح زر، مجدول؛ کاغذ: اصفهانی، جلد: تیماج مقوایی قهوه ای، ۴۵۸گ، ۲۱-۲۲ سطر، اندازه: ۲۶/۴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۱۳-۲]</w:t>
      </w:r>
    </w:p>
    <w:p>
      <w:pPr>
        <w:pStyle w:val="BookText"/>
      </w:pPr>
      <w:r>
        <w:rPr>
          <w:rFonts w:ascii="IRNazanin" w:hAnsi="IRNazanin" w:eastAsia="IRNazanin" w:cs="IRNazanin"/>
          <w:lang w:bidi="fa-IR"/>
          <w:color w:val="111111"/>
          <w:sz w:val="28"/>
          <w:szCs w:val="28"/>
          <w:rtl/>
        </w:rPr>
        <w:t xml:space="preserve">۴. تهران؛ ملی؛ شماره نسخه:۱۲۰۹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عباس بن محروم مرتضی همدانی، تا: قرن ۱۳؛ کاغذ: فرنگی، جلد: تیماج قرمز، ۲۶۵گ، ۱۹ سطر (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۱۶</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 سم [ف: ۳-۲۴۴]</w:t>
      </w:r>
    </w:p>
    <w:p>
      <w:pPr>
        <w:pStyle w:val="BookText"/>
      </w:pPr>
      <w:r>
        <w:rPr>
          <w:rFonts w:ascii="IRNazanin" w:hAnsi="IRNazanin" w:eastAsia="IRNazanin" w:cs="IRNazanin"/>
          <w:lang w:bidi="fa-IR"/>
          <w:color w:val="111111"/>
          <w:sz w:val="28"/>
          <w:szCs w:val="28"/>
          <w:rtl/>
        </w:rPr>
        <w:t xml:space="preserve">۵. تهران؛ سپهسالار؛ شماره نسخه: ۱۴۶۸</w:t>
      </w:r>
    </w:p>
    <w:p>
      <w:pPr>
        <w:pStyle w:val="BookText"/>
      </w:pPr>
      <w:r>
        <w:rPr>
          <w:rFonts w:ascii="IRNazanin" w:hAnsi="IRNazanin" w:eastAsia="IRNazanin" w:cs="IRNazanin"/>
          <w:lang w:bidi="fa-IR"/>
          <w:color w:val="111111"/>
          <w:sz w:val="28"/>
          <w:szCs w:val="28"/>
          <w:rtl/>
        </w:rPr>
        <w:t xml:space="preserve">انجام: برابر؛ پس در این نسخه افزوده هایی است که پس از مؤلف بدان افزوده شده و شاید نسخه پیکه صاحب «التدوین» از آن نقل کند همین نسخه باشد خط: نسخ، كا: آق بابا پسر ملا مهدی شهمیرزادی، تا: ۲۳ ربیع الثانی ۱۲۷۰ق؛ تملك: اعتضاد السلطنه در ۱۲۸۶ق؛ واقف: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509" w:name="pg20363_209821"/>
    <w:bookmarkEnd w:id="509"/>
    <w:p>
      <w:pPr>
        <w:pStyle w:val="BookText"/>
      </w:pPr>
      <w:r>
        <w:rPr>
          <w:rFonts w:ascii="IRNazanin" w:hAnsi="IRNazanin" w:eastAsia="IRNazanin" w:cs="IRNazanin"/>
          <w:lang w:bidi="fa-IR"/>
          <w:color w:val="111111"/>
          <w:sz w:val="28"/>
          <w:szCs w:val="28"/>
          <w:rtl/>
        </w:rPr>
        <w:t xml:space="preserve">سپهسالار، ۱۲۹۷ق، کاغذ: فرنگی نخودی، جلد: تیماج حنایی، ۲۰۴گ، ۱۹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سم [ف: ۳-۲۹۹]</w:t>
      </w:r>
    </w:p>
    <w:p>
      <w:pPr>
        <w:pStyle w:val="BookText"/>
      </w:pPr>
      <w:r>
        <w:rPr>
          <w:rFonts w:ascii="IRNazanin" w:hAnsi="IRNazanin" w:eastAsia="IRNazanin" w:cs="IRNazanin"/>
          <w:lang w:bidi="fa-IR"/>
          <w:color w:val="111111"/>
          <w:sz w:val="28"/>
          <w:szCs w:val="28"/>
          <w:rtl/>
        </w:rPr>
        <w:t xml:space="preserve">. تهران؛ مجلس؛ شماره نسخه:۲۲۸۶</w:t>
      </w:r>
    </w:p>
    <w:p>
      <w:pPr>
        <w:pStyle w:val="BookText"/>
      </w:pPr>
      <w:r>
        <w:rPr>
          <w:rFonts w:ascii="IRNazanin" w:hAnsi="IRNazanin" w:eastAsia="IRNazanin" w:cs="IRNazanin"/>
          <w:lang w:bidi="fa-IR"/>
          <w:color w:val="111111"/>
          <w:sz w:val="28"/>
          <w:szCs w:val="28"/>
          <w:rtl/>
        </w:rPr>
        <w:t xml:space="preserve">آغاز و انجام: برابر شامل متن کتاب است و آن ذیل؛ خط: نسخ تعلیق، بی کا، تا ۱۲۷۲ق؛ کاغذ: فرنگی زرد رنگ آهار مهره، جلد: تیماج حنایی، ۴۴۱، ۱۵ سطر، اندازه: ۱۵/۵</w:t>
      </w:r>
    </w:p>
    <w:p>
      <w:pPr>
        <w:pStyle w:val="BookText"/>
      </w:pP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۶- ۲۴۰]</w:t>
      </w:r>
    </w:p>
    <w:p>
      <w:pPr>
        <w:pStyle w:val="BookText"/>
      </w:pPr>
      <w:r>
        <w:rPr>
          <w:rFonts w:ascii="IRNazanin" w:hAnsi="IRNazanin" w:eastAsia="IRNazanin" w:cs="IRNazanin"/>
          <w:lang w:bidi="fa-IR"/>
          <w:color w:val="111111"/>
          <w:sz w:val="28"/>
          <w:szCs w:val="28"/>
          <w:rtl/>
        </w:rPr>
        <w:t xml:space="preserve">۷. تهران؛ ادبیات؛ شماره نسخه:1 - ج</w:t>
      </w:r>
    </w:p>
    <w:p>
      <w:pPr>
        <w:pStyle w:val="BookText"/>
      </w:pPr>
      <w:r>
        <w:rPr>
          <w:rFonts w:ascii="IRNazanin" w:hAnsi="IRNazanin" w:eastAsia="IRNazanin" w:cs="IRNazanin"/>
          <w:lang w:bidi="fa-IR"/>
          <w:color w:val="111111"/>
          <w:sz w:val="28"/>
          <w:szCs w:val="28"/>
          <w:rtl/>
        </w:rPr>
        <w:t xml:space="preserve">خط: نستعلیق، بی کا، تا: جمادی الاول ۱۲۷۵ق؛ تملك: اسماعيل خان افشار استر آبادی در ۱۰ ذیقعده ۱۳۲۴ و عباس اقبال در پاریس در ۱۲۲۸/۱۰/۲۷ ؛ کاغذ: فرنگی، جلد: تیماج عنابی مقوایی، ۱۲۷گ، ۲۱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۱-۷۱]</w:t>
      </w:r>
    </w:p>
    <w:p>
      <w:pPr>
        <w:pStyle w:val="BookText"/>
      </w:pPr>
      <w:r>
        <w:rPr>
          <w:rFonts w:ascii="IRNazanin" w:hAnsi="IRNazanin" w:eastAsia="IRNazanin" w:cs="IRNazanin"/>
          <w:lang w:bidi="fa-IR"/>
          <w:color w:val="111111"/>
          <w:sz w:val="28"/>
          <w:szCs w:val="28"/>
          <w:rtl/>
        </w:rPr>
        <w:t xml:space="preserve">۸. تهران؛ ملی؛ شماره نسخه:۲۲۴۸</w:t>
      </w:r>
    </w:p>
    <w:p>
      <w:pPr>
        <w:pStyle w:val="BookText"/>
      </w:pPr>
      <w:r>
        <w:rPr>
          <w:rFonts w:ascii="IRNazanin" w:hAnsi="IRNazanin" w:eastAsia="IRNazanin" w:cs="IRNazanin"/>
          <w:lang w:bidi="fa-IR"/>
          <w:color w:val="111111"/>
          <w:sz w:val="28"/>
          <w:szCs w:val="28"/>
          <w:rtl/>
        </w:rPr>
        <w:t xml:space="preserve">آغاز و انجام: برابر خط: نستعلیق، بی کا، تا: ۱۲۷۷ق؛ کاغذ: فرنگی، جلد: تیماج قرمز،</w:t>
      </w:r>
    </w:p>
    <w:p>
      <w:pPr>
        <w:pStyle w:val="BookText"/>
      </w:pPr>
      <w:r>
        <w:rPr>
          <w:rFonts w:ascii="IRNazanin" w:hAnsi="IRNazanin" w:eastAsia="IRNazanin" w:cs="IRNazanin"/>
          <w:lang w:bidi="fa-IR"/>
          <w:color w:val="111111"/>
          <w:sz w:val="28"/>
          <w:szCs w:val="28"/>
          <w:rtl/>
        </w:rPr>
        <w:t xml:space="preserve">۱۱۷گ، ۱۹ سطر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۵-۳۶۹]</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سلطنتی؛ شماره نسخه:۹۲۳</w:t>
      </w:r>
    </w:p>
    <w:p>
      <w:pPr>
        <w:pStyle w:val="BookText"/>
      </w:pPr>
      <w:r>
        <w:rPr>
          <w:rFonts w:ascii="IRNazanin" w:hAnsi="IRNazanin" w:eastAsia="IRNazanin" w:cs="IRNazanin"/>
          <w:lang w:bidi="fa-IR"/>
          <w:color w:val="111111"/>
          <w:sz w:val="28"/>
          <w:szCs w:val="28"/>
          <w:rtl/>
        </w:rPr>
        <w:t xml:space="preserve">آغاز و انجام: برابر در فهرست نسخه حاضر شامل دو اثر از تاریخ طبرستان است یکی تاریخ طبرستان ابن اسفندیار و دیگری تاریخ طبرستان ظهير الدين مرعشی که فهرست نگار هر کدام را مجلدی برای دیگری فرض کرده و در یک مجموعه آورده است؛ خط: نسخ و نستعلیق، کا: عمادالدین محمود بن حافظ مسعود سمنانی، تا: ۱۲۸۰ق؛ تملك: مرحومه مهد علیا؛ سجع مهر مشيرالسلطنه، کاغذ: فستقی، جلد: مقوای روکش چرم لاکی رنگ، ۱۱۵۳ص این تعداد شامل هر</w:t>
      </w:r>
    </w:p>
    <w:p>
      <w:pPr>
        <w:pStyle w:val="BookText"/>
      </w:pPr>
      <w:r>
        <w:rPr>
          <w:rFonts w:ascii="IRNazanin" w:hAnsi="IRNazanin" w:eastAsia="IRNazanin" w:cs="IRNazanin"/>
          <w:lang w:bidi="fa-IR"/>
          <w:color w:val="111111"/>
          <w:sz w:val="28"/>
          <w:szCs w:val="28"/>
          <w:rtl/>
        </w:rPr>
        <w:t xml:space="preserve">دو اثر است، ۱۴ سطر،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۵-۲۵۶]</w:t>
      </w:r>
    </w:p>
    <w:p>
      <w:pPr>
        <w:pStyle w:val="BookText"/>
      </w:pPr>
      <w:r>
        <w:rPr>
          <w:rFonts w:ascii="IRNazanin" w:hAnsi="IRNazanin" w:eastAsia="IRNazanin" w:cs="IRNazanin"/>
          <w:lang w:bidi="fa-IR"/>
          <w:color w:val="111111"/>
          <w:sz w:val="28"/>
          <w:szCs w:val="28"/>
          <w:rtl/>
        </w:rPr>
        <w:t xml:space="preserve">۱۰. تهران؛ ملی؛ شماره نسخه:۱۵۳۵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تقی ساوجی بن حاجی عبدالرزاق، تا: ۱۲۸۲ق؛ کاغذ: فرنگی، جلد: تیماج مشکی با گل و بوته، ۱۵۴گ، ۲۱سطر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۴-۲۷]</w:t>
      </w:r>
    </w:p>
    <w:p>
      <w:pPr>
        <w:pStyle w:val="BookText"/>
      </w:pPr>
      <w:r>
        <w:rPr>
          <w:rFonts w:ascii="IRNazanin" w:hAnsi="IRNazanin" w:eastAsia="IRNazanin" w:cs="IRNazanin"/>
          <w:lang w:bidi="fa-IR"/>
          <w:color w:val="111111"/>
          <w:sz w:val="28"/>
          <w:szCs w:val="28"/>
          <w:rtl/>
        </w:rPr>
        <w:t xml:space="preserve">۱۱. تهران؛ مجلس؛ شماره نسخه: ۸۸۰ 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محرم ۱۲۹۴ق؛ جلد: تیماج قرمز زرشکی، ۲۰۴گ، ۱۵ سطر، اندازه: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۲۴/۲-۵۶]</w:t>
      </w:r>
    </w:p>
    <w:p>
      <w:pPr>
        <w:pStyle w:val="BookText"/>
      </w:pPr>
      <w:r>
        <w:rPr>
          <w:rFonts w:ascii="IRNazanin" w:hAnsi="IRNazanin" w:eastAsia="IRNazanin" w:cs="IRNazanin"/>
          <w:lang w:bidi="fa-IR"/>
          <w:color w:val="111111"/>
          <w:sz w:val="28"/>
          <w:szCs w:val="28"/>
          <w:rtl/>
        </w:rPr>
        <w:t xml:space="preserve">تهران؛ دانشگاه؛ شماره نسخه:۲۶۶۵-ف</w:t>
      </w:r>
    </w:p>
    <w:p>
      <w:pPr>
        <w:pStyle w:val="BookText"/>
      </w:pPr>
      <w:r>
        <w:rPr>
          <w:rFonts w:ascii="Amiri" w:hAnsi="Amiri" w:eastAsia="Amiri" w:cs="Amiri"/>
          <w:lang w:bidi="ar-SA"/>
          <w:color w:val="111111"/>
          <w:sz w:val="28"/>
          <w:szCs w:val="28"/>
          <w:rtl/>
        </w:rPr>
        <w:t xml:space="preserve">نسخه اصل: همان نسخه بالا [فيلمها ف: ۱-۳۴]</w:t>
      </w:r>
    </w:p>
    <w:p>
      <w:pPr>
        <w:pStyle w:val="BookText"/>
      </w:pPr>
      <w:r>
        <w:rPr>
          <w:rFonts w:ascii="IRNazanin" w:hAnsi="IRNazanin" w:eastAsia="IRNazanin" w:cs="IRNazanin"/>
          <w:lang w:bidi="fa-IR"/>
          <w:color w:val="111111"/>
          <w:sz w:val="28"/>
          <w:szCs w:val="28"/>
          <w:rtl/>
        </w:rPr>
        <w:t xml:space="preserve">۱۲. تهران؛ ادبیات، شماره نسخه:۲۳ - ب</w:t>
      </w:r>
    </w:p>
    <w:p>
      <w:pPr>
        <w:pStyle w:val="BookText"/>
      </w:pPr>
      <w:r>
        <w:rPr>
          <w:rFonts w:ascii="IRNazanin" w:hAnsi="IRNazanin" w:eastAsia="IRNazanin" w:cs="IRNazanin"/>
          <w:lang w:bidi="fa-IR"/>
          <w:color w:val="111111"/>
          <w:sz w:val="28"/>
          <w:szCs w:val="28"/>
          <w:rtl/>
        </w:rPr>
        <w:t xml:space="preserve">گذشته از اینکه از اصل کتاب بخشی از میان رفته و در آنها دیده نمی شود بخش هایی بر آن افزوده اند و دنباله وقایع را تا به سال ۷۵۰ کشانده اند، نسخه ما از سر گذشت حسام الدوله است تا پایان کتاب؛ خط: نستعلیق، بی کا، تا: قرن ۱۴؛ از روی نسخه مدرسه سپهسالار (شماره ۱۴۶۸) نوشته آقابابا پسر ملا محمد مهدی شیرازی در ۲۳ ربیع الثانی و نسخه مجلس مورخ جمادى الأول ۱۲۷۲ و نسخه کتابخانه ملی مورخ پایان محرم ۱۰۲۸ در فرح آباد نوشته همت مازندرانی نوشته شده؛ کاغذ: فرنگی، جلد: مقوا عطف پارچه، ۱۲۶گی، ۳۵ سطر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۶۸-۱ ]</w:t>
      </w:r>
    </w:p>
    <w:p>
      <w:pPr>
        <w:pStyle w:val="BookText"/>
      </w:pPr>
      <w:r>
        <w:rPr>
          <w:rFonts w:ascii="IRNazanin" w:hAnsi="IRNazanin" w:eastAsia="IRNazanin" w:cs="IRNazanin"/>
          <w:lang w:bidi="fa-IR"/>
          <w:color w:val="111111"/>
          <w:sz w:val="28"/>
          <w:szCs w:val="28"/>
          <w:rtl/>
        </w:rPr>
        <w:t xml:space="preserve">۱۳. تهران؛ دانشسرای عالی - کتابخانه میرزا عبدالعظیم خان قریب گرکانی؛ شماره نسخه:۱۵۳</w:t>
      </w:r>
    </w:p>
    <w:p>
      <w:pPr>
        <w:pStyle w:val="BookText"/>
      </w:pPr>
      <w:r>
        <w:rPr>
          <w:rFonts w:ascii="IRNazanin" w:hAnsi="IRNazanin" w:eastAsia="IRNazanin" w:cs="IRNazanin"/>
          <w:lang w:bidi="fa-IR"/>
          <w:color w:val="111111"/>
          <w:sz w:val="28"/>
          <w:szCs w:val="28"/>
          <w:rtl/>
        </w:rPr>
        <w:t xml:space="preserve">نسخه می رسد به ملک فخرالدوله حسن در گذشته ۷۵۰؛ خط: نستعلیق، کا: غلام رضا بن محمد گرگانی، تا: ذیحجه ۱۳۳۸ق؛ قطع: ربعی [نشریه: ۵-۶۲۰]</w:t>
      </w:r>
    </w:p>
    <w:p>
      <w:pPr>
        <w:pStyle w:val="BookText"/>
      </w:pPr>
      <w:r>
        <w:rPr>
          <w:rFonts w:ascii="IRNazanin" w:hAnsi="IRNazanin" w:eastAsia="IRNazanin" w:cs="IRNazanin"/>
          <w:lang w:bidi="fa-IR"/>
          <w:color w:val="111111"/>
          <w:sz w:val="28"/>
          <w:szCs w:val="28"/>
          <w:rtl/>
        </w:rPr>
        <w:t xml:space="preserve">۱۴. قم؛ مسجد اعظم؛ شماره نسخه: ۴۰۵۷/۲</w:t>
      </w:r>
    </w:p>
    <w:p>
      <w:pPr>
        <w:pStyle w:val="BookText"/>
      </w:pPr>
      <w:r>
        <w:rPr>
          <w:rFonts w:ascii="IRNazanin" w:hAnsi="IRNazanin" w:eastAsia="IRNazanin" w:cs="IRNazanin"/>
          <w:lang w:bidi="fa-IR"/>
          <w:color w:val="111111"/>
          <w:sz w:val="28"/>
          <w:szCs w:val="28"/>
          <w:rtl/>
        </w:rPr>
        <w:t xml:space="preserve">آغاز: برابر؛ انجام: الاصفهبد المعظم علاء الدوله حسن بن رستم بن علی باقرب عهد مستور نمانده باشد که سخاوت و سیاست او از منزل كمال فرسنگ تا بحر وكان در جنب آن. خط: نستعلیق، بی کا، بی تا، افتادگی: انجام؛ جلد: گالینگور سبز، عطف تیماج زرشکی، ۳۶گ (۴۸پ -۸۳پ)،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مخ: ۱-۳۱۲]</w:t>
      </w:r>
    </w:p>
    <w:p>
      <w:pPr>
        <w:pStyle w:val="Heading3"/>
      </w:pPr>
      <w:bookmarkStart w:id="2432" w:name="_Toc1692"/>
      <w:r>
        <w:t>•تاریخ طبرستان = تاریخ مازندران / تاریخ ایران / فارسی</w:t>
      </w:r>
      <w:bookmarkEnd w:id="2432"/>
    </w:p>
    <w:p>
      <w:pPr>
        <w:pStyle w:val="BookText"/>
      </w:pPr>
      <w:r>
        <w:rPr>
          <w:rFonts w:ascii="Times New Roman" w:hAnsi="Times New Roman" w:eastAsia="Times New Roman" w:cs="Times New Roman"/>
          <w:lang w:val="en-US" w:bidi="en-US"/>
          <w:color w:val="111111"/>
          <w:sz w:val="28"/>
          <w:szCs w:val="28"/>
          <w:rtl/>
        </w:rPr>
        <w:t xml:space="preserve">tārīx-e tabarestān= tārīx-e māzandarān</w:t>
      </w:r>
    </w:p>
    <w:p>
      <w:pPr>
        <w:pStyle w:val="BookText"/>
      </w:pPr>
      <w:r>
        <w:rPr>
          <w:rFonts w:ascii="Times New Roman" w:hAnsi="Times New Roman" w:eastAsia="Times New Roman" w:cs="Times New Roman"/>
          <w:lang w:val="en-US" w:bidi="en-US"/>
          <w:color w:val="111111"/>
          <w:sz w:val="28"/>
          <w:szCs w:val="28"/>
          <w:rtl/>
        </w:rPr>
        <w:t xml:space="preserve">šayx ‘alī gīlānī (- 17c)</w:t>
      </w:r>
    </w:p>
    <w:p>
      <w:pPr>
        <w:pStyle w:val="BookText"/>
      </w:pPr>
      <w:r>
        <w:rPr>
          <w:rFonts w:ascii="IRNazanin" w:hAnsi="IRNazanin" w:eastAsia="IRNazanin" w:cs="IRNazanin"/>
          <w:lang w:bidi="fa-IR"/>
          <w:color w:val="111111"/>
          <w:sz w:val="28"/>
          <w:szCs w:val="28"/>
          <w:rtl/>
        </w:rPr>
        <w:t xml:space="preserve">شیخ علی گیلانی، ق ۱۱ قمری اهدا به: خواجه محمد علی اشرفی مازندرانی تاریخ تأليف: ۱۰۴۶ق برای خواجه محمد على (يا خلف محمد على اشرفی مازندرانی، هنگامی که پنج شش سال از هفتاد سالگی او گذشته بود، به سال ۱۰۴۶ق. در تاریخ طبرستان از آغاز آفرینش تا روزگار نگارنده، به ویژه روزگار پادشاهان مرعشیه. پادشاهان و ساختمان ها. ( احمد منزوی) آغاز: ۱: بسمله. دیباچه های کتب تواریخ و نباء و منشاء صحايف دعا و ثناء برای حصول رضای پروردگاری تواند بود انجام: شمس الدين ديو بدان حدود رفته منصور بهرام را کشت. والسلام علی من اتبع الهدی. چاپ بنیاد فرهنگ در ۱۳۵۲؛ نسخه های منزوی ۴۲۵۴؛ فهرستواره منزوی ۸۸۴/۲ و ۸۹۹]</w:t>
      </w:r>
    </w:p>
    <w:p>
      <w:pPr>
        <w:pStyle w:val="BookText"/>
      </w:pPr>
      <w:r>
        <w:rPr>
          <w:rFonts w:ascii="IRNazanin" w:hAnsi="IRNazanin" w:eastAsia="IRNazanin" w:cs="IRNazanin"/>
          <w:lang w:bidi="fa-IR"/>
          <w:color w:val="111111"/>
          <w:sz w:val="28"/>
          <w:szCs w:val="28"/>
          <w:rtl/>
        </w:rPr>
        <w:t xml:space="preserve">تهران؛ ملک؛ شماره نسخه: ۶۲۸۱/۱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یک شنبه ۱۲ ذیحجه ۱۱۱۴ق؛ کاغذ: سپاهانی، جلد: میشن زرد، ۴۱گ (۱پ -۴۱پ) [ف: ۹-۳۰۶]</w:t>
      </w:r>
    </w:p>
    <w:p>
      <w:pPr>
        <w:pStyle w:val="BookText"/>
      </w:pPr>
      <w:r>
        <w:rPr>
          <w:rFonts w:ascii="IRNazanin" w:hAnsi="IRNazanin" w:eastAsia="IRNazanin" w:cs="IRNazanin"/>
          <w:lang w:bidi="fa-IR"/>
          <w:color w:val="111111"/>
          <w:sz w:val="28"/>
          <w:szCs w:val="28"/>
          <w:rtl/>
        </w:rPr>
        <w:t xml:space="preserve">تهران، دانشگاه؛ شماره نسخه:۴۱۵۵-ف</w:t>
      </w:r>
    </w:p>
    <w:p>
      <w:pPr>
        <w:pStyle w:val="BookText"/>
      </w:pPr>
      <w:r>
        <w:rPr>
          <w:rFonts w:ascii="Amiri" w:hAnsi="Amiri" w:eastAsia="Amiri" w:cs="Amiri"/>
          <w:lang w:bidi="ar-SA"/>
          <w:color w:val="111111"/>
          <w:sz w:val="28"/>
          <w:szCs w:val="28"/>
          <w:rtl/>
        </w:rPr>
        <w:t xml:space="preserve">نسخه اصل: همان نسخه بالا [فيلمها ف: ۳-۲۳]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510" w:name="pg20363_209822"/>
    <w:bookmarkEnd w:id="510"/>
    <w:p>
      <w:pPr>
        <w:pStyle w:val="Heading3"/>
      </w:pPr>
      <w:bookmarkStart w:id="2433" w:name="_Toc1693"/>
      <w:r>
        <w:t>•تاریخ طبرستان / تاریخ ایران / فارسی</w:t>
      </w:r>
      <w:bookmarkEnd w:id="2433"/>
    </w:p>
    <w:p>
      <w:pPr>
        <w:pStyle w:val="BookText"/>
      </w:pPr>
      <w:r>
        <w:rPr>
          <w:rFonts w:ascii="Times New Roman" w:hAnsi="Times New Roman" w:eastAsia="Times New Roman" w:cs="Times New Roman"/>
          <w:lang w:val="en-US" w:bidi="en-US"/>
          <w:color w:val="111111"/>
          <w:sz w:val="28"/>
          <w:szCs w:val="28"/>
          <w:rtl/>
        </w:rPr>
        <w:t xml:space="preserve">tārīx-e tabarestān</w:t>
      </w:r>
    </w:p>
    <w:p>
      <w:pPr>
        <w:pStyle w:val="BookText"/>
      </w:pPr>
      <w:r>
        <w:rPr>
          <w:rFonts w:ascii="IRNazanin" w:hAnsi="IRNazanin" w:eastAsia="IRNazanin" w:cs="IRNazanin"/>
          <w:lang w:bidi="fa-IR"/>
          <w:color w:val="111111"/>
          <w:sz w:val="28"/>
          <w:szCs w:val="28"/>
          <w:rtl/>
        </w:rPr>
        <w:t xml:space="preserve">تهران؛ ملی؛ شماره نسخه:۲۵۷۸۷</w:t>
      </w:r>
    </w:p>
    <w:p>
      <w:pPr>
        <w:pStyle w:val="BookText"/>
      </w:pPr>
      <w:r>
        <w:rPr>
          <w:rFonts w:ascii="IRNazanin" w:hAnsi="IRNazanin" w:eastAsia="IRNazanin" w:cs="IRNazanin"/>
          <w:lang w:bidi="fa-IR"/>
          <w:color w:val="111111"/>
          <w:sz w:val="28"/>
          <w:szCs w:val="28"/>
          <w:rtl/>
        </w:rPr>
        <w:t xml:space="preserve">بی کا، بی تا؛ خریداری از امرالله صفری[رایانه]</w:t>
      </w:r>
    </w:p>
    <w:p>
      <w:pPr>
        <w:pStyle w:val="Heading3"/>
      </w:pPr>
      <w:bookmarkStart w:id="2434" w:name="_Toc1694"/>
      <w:r>
        <w:t>•تاریخ طبرستان و رویان و مازندران / تاریخ ایران / فارسی</w:t>
      </w:r>
      <w:bookmarkEnd w:id="2434"/>
    </w:p>
    <w:p>
      <w:pPr>
        <w:pStyle w:val="BookText"/>
      </w:pPr>
      <w:r>
        <w:rPr>
          <w:rFonts w:ascii="Times New Roman" w:hAnsi="Times New Roman" w:eastAsia="Times New Roman" w:cs="Times New Roman"/>
          <w:lang w:val="en-US" w:bidi="en-US"/>
          <w:color w:val="111111"/>
          <w:sz w:val="28"/>
          <w:szCs w:val="28"/>
          <w:rtl/>
        </w:rPr>
        <w:t xml:space="preserve">tārīx-e tabarestān va rūyān va māzandaran</w:t>
      </w:r>
    </w:p>
    <w:p>
      <w:pPr>
        <w:pStyle w:val="BookText"/>
      </w:pPr>
      <w:r>
        <w:rPr>
          <w:rFonts w:ascii="IRNazanin" w:hAnsi="IRNazanin" w:eastAsia="IRNazanin" w:cs="IRNazanin"/>
          <w:lang w:bidi="fa-IR"/>
          <w:color w:val="111111"/>
          <w:sz w:val="28"/>
          <w:szCs w:val="28"/>
          <w:rtl/>
        </w:rPr>
        <w:t xml:space="preserve">مرعشی، ظهير الدين بن نصير الدین، ۸۱۵؟ -۸۹۳ قمری</w:t>
      </w:r>
    </w:p>
    <w:p>
      <w:pPr>
        <w:pStyle w:val="BookText"/>
      </w:pPr>
      <w:r>
        <w:rPr>
          <w:rFonts w:ascii="Times New Roman" w:hAnsi="Times New Roman" w:eastAsia="Times New Roman" w:cs="Times New Roman"/>
          <w:lang w:val="en-US" w:bidi="en-US"/>
          <w:color w:val="111111"/>
          <w:sz w:val="28"/>
          <w:szCs w:val="28"/>
          <w:rtl/>
        </w:rPr>
        <w:t xml:space="preserve">mar‘ašī, zahīr-od-dīn ebn-e nasīr-od-dīn (1413-1488)</w:t>
      </w:r>
    </w:p>
    <w:p>
      <w:pPr>
        <w:pStyle w:val="BookText"/>
      </w:pPr>
      <w:r>
        <w:rPr>
          <w:rFonts w:ascii="IRNazanin" w:hAnsi="IRNazanin" w:eastAsia="IRNazanin" w:cs="IRNazanin"/>
          <w:lang w:bidi="fa-IR"/>
          <w:color w:val="111111"/>
          <w:sz w:val="28"/>
          <w:szCs w:val="28"/>
          <w:rtl/>
        </w:rPr>
        <w:t xml:space="preserve">تاریخ تأليف: ۸۸۱ق تاریخ عمومی طبرستان و مازندران و رویان در ذکر بنیاد طبرستان و ذکر ملوک و علما و زهاد و اکابر آن است، بخش ابتدایی این کتاب از احادیث و اشعار عربی و فارسی بسیار استفاده کرده است. در نیمه دوم کتاب به جزئیات بیشتری در مورد اسپهبدان و ملوک پرداخته است. او این کتاب را از روی تاریخ رویان اولياء الله آملی و تاریخ علی بن جمال الدين بن على بن محمود نجیبی رویانی که برای کار کیا میرزاعلی پسر کار کیا سلطان محمد (۸۸۳-۹۱۱) نوشته و تاریخ ابن اسفندیار ساخته است اگر چه در دیباچه نامی از تاریخ این اسفندیار نمی برد. مشتمل بر یک «مقدمه» و چند «فصل» می باشد. آغاز: حمد بیحد و قیاس مالک الملکی را که ذات پاکش بصفت دوام و قدم موسوم و موصوف است انجام: از کرده و حشر خود که موجب رضای تو در آن نبود پشیمانم، ربنا ظلمنا انفسنا و ان لم تغفر لنا و ترحمنا ...</w:t>
      </w:r>
    </w:p>
    <w:p>
      <w:pPr>
        <w:pStyle w:val="BookText"/>
      </w:pPr>
      <w:r>
        <w:rPr>
          <w:rFonts w:ascii="IRNazanin" w:hAnsi="IRNazanin" w:eastAsia="IRNazanin" w:cs="IRNazanin"/>
          <w:lang w:bidi="fa-IR"/>
          <w:color w:val="111111"/>
          <w:sz w:val="28"/>
          <w:szCs w:val="28"/>
          <w:rtl/>
        </w:rPr>
        <w:t xml:space="preserve">چاپ: بكوشش برنهاد دارن، پترزبورگ، ۱۲۶۶ (۱۸۵۰م)؛ با پیشگفتار جواد مشکور و به کوشش عباس شایان، تهران، ۱۳۳۳ش دنا ۷۲۱/۲ (۱۷ نسخه)؛</w:t>
      </w:r>
    </w:p>
    <w:p>
      <w:pPr>
        <w:pStyle w:val="BookText"/>
      </w:pPr>
      <w:r>
        <w:rPr>
          <w:rFonts w:ascii="IRNazanin" w:hAnsi="IRNazanin" w:eastAsia="IRNazanin" w:cs="IRNazanin"/>
          <w:lang w:bidi="fa-IR"/>
          <w:color w:val="111111"/>
          <w:sz w:val="28"/>
          <w:szCs w:val="28"/>
          <w:rtl/>
        </w:rPr>
        <w:t xml:space="preserve">[الذريعة ۲۶۱/۳ ؛ ریحانة الادب: ۲۹۱/۵ ؛ کشف الظنون: ۲۹۷/۱ ؛ نسخه های منزوی ۴۲۵۶؛ فهرستواره منزوی ۸۸۵/۲ ]</w:t>
      </w:r>
    </w:p>
    <w:p>
      <w:pPr>
        <w:pStyle w:val="BookText"/>
      </w:pPr>
      <w:r>
        <w:rPr>
          <w:rFonts w:ascii="IRNazanin" w:hAnsi="IRNazanin" w:eastAsia="IRNazanin" w:cs="IRNazanin"/>
          <w:lang w:bidi="fa-IR"/>
          <w:color w:val="111111"/>
          <w:sz w:val="28"/>
          <w:szCs w:val="28"/>
          <w:rtl/>
        </w:rPr>
        <w:t xml:space="preserve">۱. تهران، ادبیات، شماره نسخه: ۲۴/۱ - ب</w:t>
      </w:r>
    </w:p>
    <w:p>
      <w:pPr>
        <w:pStyle w:val="BookText"/>
      </w:pPr>
      <w:r>
        <w:rPr>
          <w:rFonts w:ascii="IRNazanin" w:hAnsi="IRNazanin" w:eastAsia="IRNazanin" w:cs="IRNazanin"/>
          <w:lang w:bidi="fa-IR"/>
          <w:color w:val="111111"/>
          <w:sz w:val="28"/>
          <w:szCs w:val="28"/>
          <w:rtl/>
        </w:rPr>
        <w:t xml:space="preserve">خط: نستعلیق، كا: عمادالدین محمود سمنانی، تا: قرن ۱۱۰ کاغذ: سپاهانی فرنگی، جلد: تیماج قهوه ای، ۲۸۴گ، ۱۹ سطر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۱- ۷۱]</w:t>
      </w:r>
    </w:p>
    <w:p>
      <w:pPr>
        <w:pStyle w:val="BookText"/>
      </w:pPr>
      <w:r>
        <w:rPr>
          <w:rFonts w:ascii="IRNazanin" w:hAnsi="IRNazanin" w:eastAsia="IRNazanin" w:cs="IRNazanin"/>
          <w:lang w:bidi="fa-IR"/>
          <w:color w:val="111111"/>
          <w:sz w:val="28"/>
          <w:szCs w:val="28"/>
          <w:rtl/>
        </w:rPr>
        <w:t xml:space="preserve">۲. قم؛ مرعشی؛ شماره نسخه: ۳۷۸۱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۱۱؛ مجدول؛ جلد: تیماج مشکی، ۲۱۹گ، ۱۷ سطر، اندازه: ۲۴/۵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 [ف: ۱۰-۱۶۶]</w:t>
      </w:r>
    </w:p>
    <w:p>
      <w:pPr>
        <w:pStyle w:val="BookText"/>
      </w:pPr>
      <w:r>
        <w:rPr>
          <w:rFonts w:ascii="IRNazanin" w:hAnsi="IRNazanin" w:eastAsia="IRNazanin" w:cs="IRNazanin"/>
          <w:lang w:bidi="fa-IR"/>
          <w:color w:val="111111"/>
          <w:sz w:val="28"/>
          <w:szCs w:val="28"/>
          <w:rtl/>
        </w:rPr>
        <w:t xml:space="preserve">٣. قم؛ مرعشی؛ شماره نسخه:۶۵۵۳</w:t>
      </w:r>
    </w:p>
    <w:p>
      <w:pPr>
        <w:pStyle w:val="BookText"/>
      </w:pPr>
      <w:r>
        <w:rPr>
          <w:rFonts w:ascii="IRNazanin" w:hAnsi="IRNazanin" w:eastAsia="IRNazanin" w:cs="IRNazanin"/>
          <w:lang w:bidi="fa-IR"/>
          <w:color w:val="111111"/>
          <w:sz w:val="28"/>
          <w:szCs w:val="28"/>
          <w:rtl/>
        </w:rPr>
        <w:t xml:space="preserve">خط: نستعلیق، بی کا، تا: قرن ۱۱؛ برگ آخر در شب چهارم جمادی الاول ۱۲۷۳ نوشته شده؛ جلد: تیماج قهوه ای، ۱۲۶گ، ۲۳ سطر،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سم [ف: ۱۷-۱۳۷]</w:t>
      </w:r>
    </w:p>
    <w:p>
      <w:pPr>
        <w:pStyle w:val="BookText"/>
      </w:pPr>
      <w:r>
        <w:rPr>
          <w:rFonts w:ascii="IRNazanin" w:hAnsi="IRNazanin" w:eastAsia="IRNazanin" w:cs="IRNazanin"/>
          <w:lang w:bidi="fa-IR"/>
          <w:color w:val="111111"/>
          <w:sz w:val="28"/>
          <w:szCs w:val="28"/>
          <w:rtl/>
        </w:rPr>
        <w:t xml:space="preserve">۴. تهران؛ دانشگاه؛ شماره نسخه:۵۶۷۹</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تا: دوشنبه ۲۴ صفر ۱۰۳۳ق؛ میان ص ۱ و۲ افتاده؛ کاغذ: سپاهانی، جلد: تیماج تریاکی، ۱۰۳گ، ۱۸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۱۶-۶۵]</w:t>
      </w:r>
    </w:p>
    <w:p>
      <w:pPr>
        <w:pStyle w:val="BookText"/>
      </w:pPr>
      <w:r>
        <w:rPr>
          <w:rFonts w:ascii="IRNazanin" w:hAnsi="IRNazanin" w:eastAsia="IRNazanin" w:cs="IRNazanin"/>
          <w:lang w:bidi="fa-IR"/>
          <w:color w:val="111111"/>
          <w:sz w:val="28"/>
          <w:szCs w:val="28"/>
          <w:rtl/>
        </w:rPr>
        <w:t xml:space="preserve">۵. تهران؛ ملک؛ شماره نسخه: ۳۹۵۱</w:t>
      </w:r>
    </w:p>
    <w:p>
      <w:pPr>
        <w:pStyle w:val="BookText"/>
      </w:pPr>
      <w:r>
        <w:rPr>
          <w:rFonts w:ascii="IRNazanin" w:hAnsi="IRNazanin" w:eastAsia="IRNazanin" w:cs="IRNazanin"/>
          <w:lang w:bidi="fa-IR"/>
          <w:color w:val="111111"/>
          <w:sz w:val="28"/>
          <w:szCs w:val="28"/>
          <w:rtl/>
        </w:rPr>
        <w:t xml:space="preserve">خط: نستعلیق، كا: ابراهیم بن اسماعیل بارفروش، تا: چهارشنبه ۸ محرم ۱۰۹۷ ق، مجدول؛ کاغذ: کاغذ ترمه، جلد: میشن قرمز، ۱۶۴گ، ۲۴ سطر، اندازه: ۲۷/۸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۱۷/۳ سم [ف: ۲-۸۵]</w:t>
      </w:r>
    </w:p>
    <w:p>
      <w:pPr>
        <w:pStyle w:val="BookText"/>
      </w:pPr>
      <w:r>
        <w:rPr>
          <w:rFonts w:ascii="IRNazanin" w:hAnsi="IRNazanin" w:eastAsia="IRNazanin" w:cs="IRNazanin"/>
          <w:lang w:bidi="fa-IR"/>
          <w:color w:val="111111"/>
          <w:sz w:val="28"/>
          <w:szCs w:val="28"/>
          <w:rtl/>
        </w:rPr>
        <w:t xml:space="preserve">۶. یزد؛ وزیری؛ شماره نسخه: ۶۴۲/۲</w:t>
      </w:r>
    </w:p>
    <w:p>
      <w:pPr>
        <w:pStyle w:val="BookText"/>
      </w:pPr>
      <w:r>
        <w:rPr>
          <w:rFonts w:ascii="IRNazanin" w:hAnsi="IRNazanin" w:eastAsia="IRNazanin" w:cs="IRNazanin"/>
          <w:lang w:bidi="fa-IR"/>
          <w:color w:val="111111"/>
          <w:sz w:val="28"/>
          <w:szCs w:val="28"/>
          <w:rtl/>
        </w:rPr>
        <w:t xml:space="preserve">آغاز: فصل در ابتدای عمارت ساری روایتی است از طوس نوذر که سپهسالار کیخسرو بود در پنجاه هزار مه اکنون کوسان می نامند شهری بنیاد کرد و طوسان نام نهاده انجام: گفتار در محاربه سید زین العابدین با سادات پازواری و لشکر گیلان (امیر شبلی ترکمان و منهزم ساختن ایشان) چون مدتی از آن بگذشت ... و صباح را سید هیبت الله با جمعی بقلعه رفت و لشکر گیلان را، تالان کرد ... تاریخی که حضرت مرحمت و غفران پناهی ... از کرده و گفته خود که رضای تو در آن نبود پشیمانم ... ولا تخزنا يوم القيمة انك لا تخلف الميعاد. تمت الكتاب ..... الملک الوهاب ... دوشنبه ... ابوتراب بن تيمور ابن ... خط: نستعلیق، كا: ابو تراب بن تيمور ابن ...، تا: دوشنبه قرن ۱۲؛ افتادگی: آغاز و انجام؛ اهدایی: وزیری؛ کاغذ: ترمه، جلد: تیماج تریاکی، ۱۳۶گ (۱۸۳-۳۱۸)، ۱۸ سطر (۱۱/۵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۱۹/۵)، اندازه:</w:t>
      </w:r>
    </w:p>
    <w:p>
      <w:pPr>
        <w:pStyle w:val="BookText"/>
      </w:pPr>
      <w:r>
        <w:rPr>
          <w:rFonts w:ascii="IRNazanin" w:hAnsi="IRNazanin" w:eastAsia="IRNazanin" w:cs="IRNazanin"/>
          <w:lang w:bidi="fa-IR"/>
          <w:color w:val="111111"/>
          <w:sz w:val="28"/>
          <w:szCs w:val="28"/>
          <w:rtl/>
        </w:rPr>
        <w:t xml:space="preserve">۲۷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۲-۵۴۸]</w:t>
      </w:r>
    </w:p>
    <w:p>
      <w:pPr>
        <w:pStyle w:val="BookText"/>
      </w:pPr>
      <w:r>
        <w:rPr>
          <w:rFonts w:ascii="IRNazanin" w:hAnsi="IRNazanin" w:eastAsia="IRNazanin" w:cs="IRNazanin"/>
          <w:lang w:bidi="fa-IR"/>
          <w:color w:val="111111"/>
          <w:sz w:val="28"/>
          <w:szCs w:val="28"/>
          <w:rtl/>
        </w:rPr>
        <w:t xml:space="preserve">۷. قم؛ مرعشی؛ شماره نسخه:۱۲۷۶۶</w:t>
      </w:r>
    </w:p>
    <w:p>
      <w:pPr>
        <w:pStyle w:val="BookText"/>
      </w:pPr>
      <w:r>
        <w:rPr>
          <w:rFonts w:ascii="IRNazanin" w:hAnsi="IRNazanin" w:eastAsia="IRNazanin" w:cs="IRNazanin"/>
          <w:lang w:bidi="fa-IR"/>
          <w:color w:val="111111"/>
          <w:sz w:val="28"/>
          <w:szCs w:val="28"/>
          <w:rtl/>
        </w:rPr>
        <w:t xml:space="preserve">آغاز: که یکی از علماء شهر آمل حرسها الله تعالی بود تصنیف کرده است و دیگر آنکه مغفرت پناه علی بن جمال الدين محمود الحسنی رویانی غفر الله ذنبه و ستر عيوبه به اسم خزینه سیارک و کتب خانه تبارک حضرت سلطنت پناه اسلام ملاذي جمجاه خدایگانی؛ انجام: به طاعت کرا روز عصیان بتاب *** مكن سوى آزار خلقان شتاب. خط: نسخ و نستعلیق، بی کا، تا: قرن ۱۳؛ افتادگی: آغاز و انجام؛ محشي از آية الله مرعشی نجفی؛ کاغذ: فرنگی، جلد: مقوای آبی عطف تیماج قهوه ای، ۱۱۹، ۱۷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۳۲-۴۴۲]</w:t>
      </w:r>
    </w:p>
    <w:p>
      <w:pPr>
        <w:pStyle w:val="BookText"/>
      </w:pPr>
      <w:r>
        <w:rPr>
          <w:rFonts w:ascii="IRNazanin" w:hAnsi="IRNazanin" w:eastAsia="IRNazanin" w:cs="IRNazanin"/>
          <w:lang w:bidi="fa-IR"/>
          <w:color w:val="111111"/>
          <w:sz w:val="28"/>
          <w:szCs w:val="28"/>
          <w:rtl/>
        </w:rPr>
        <w:t xml:space="preserve">۸. قم؛ مرعشی؛ شماره نسخه:۷۲۲۹</w:t>
      </w:r>
    </w:p>
    <w:p>
      <w:pPr>
        <w:pStyle w:val="BookText"/>
      </w:pPr>
      <w:r>
        <w:rPr>
          <w:rFonts w:ascii="IRNazanin" w:hAnsi="IRNazanin" w:eastAsia="IRNazanin" w:cs="IRNazanin"/>
          <w:lang w:bidi="fa-IR"/>
          <w:color w:val="111111"/>
          <w:sz w:val="28"/>
          <w:szCs w:val="28"/>
          <w:rtl/>
        </w:rPr>
        <w:t xml:space="preserve">خط: نستعلیق، کا: عبدالباقی، تا: ۲۵ رمضان ۱۲۶۷ق، به دستور حاجی محمد اسماعيل طهرانی؛ جلد: تیماج سبز، ۵۵ گ، ۲۰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۱۹-۳۳]</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شیراز؛ بغایری، عبدالرزاق؛ شماره نسخه:بدون شماره</w:t>
      </w:r>
    </w:p>
    <w:p>
      <w:pPr>
        <w:pStyle w:val="BookText"/>
      </w:pPr>
      <w:r>
        <w:rPr>
          <w:rFonts w:ascii="IRNazanin" w:hAnsi="IRNazanin" w:eastAsia="IRNazanin" w:cs="IRNazanin"/>
          <w:lang w:bidi="fa-IR"/>
          <w:color w:val="111111"/>
          <w:sz w:val="28"/>
          <w:szCs w:val="28"/>
          <w:rtl/>
        </w:rPr>
        <w:t xml:space="preserve">بی کا، تا: ۱۲۷۳ ق [میراث اسلامی: ۵-۵۶۷]</w:t>
      </w:r>
    </w:p>
    <w:p>
      <w:pPr>
        <w:pStyle w:val="BookText"/>
      </w:pPr>
      <w:r>
        <w:rPr>
          <w:rFonts w:ascii="IRNazanin" w:hAnsi="IRNazanin" w:eastAsia="IRNazanin" w:cs="IRNazanin"/>
          <w:lang w:bidi="fa-IR"/>
          <w:color w:val="111111"/>
          <w:sz w:val="28"/>
          <w:szCs w:val="28"/>
          <w:rtl/>
        </w:rPr>
        <w:t xml:space="preserve">۱۰. تهران؛ انجمن آثار و مفاخر فرهنگی؛ شماره نسخه: ۱۳۵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511" w:name="pg20363_209823"/>
    <w:bookmarkEnd w:id="511"/>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شکسته، بی کا، تا: ۲۴ جمادی الاول ۱۲۷۵ق؛ تملک: رضاقلی خان هدایت؛ کاغذ: فرنگی، آهار مهره، جلد: تیماج مقوایی عنابی، ۲۶۳ص، ۲۳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 )، اندازه: ۳۴/۵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سم [ف: ۱۶۹]</w:t>
      </w:r>
    </w:p>
    <w:p>
      <w:pPr>
        <w:pStyle w:val="BookText"/>
      </w:pPr>
      <w:r>
        <w:rPr>
          <w:rFonts w:ascii="IRNazanin" w:hAnsi="IRNazanin" w:eastAsia="IRNazanin" w:cs="IRNazanin"/>
          <w:lang w:bidi="fa-IR"/>
          <w:color w:val="111111"/>
          <w:sz w:val="28"/>
          <w:szCs w:val="28"/>
          <w:rtl/>
        </w:rPr>
        <w:t xml:space="preserve">۱۱. تهران؛ سلطنتی؛ شماره نسخه:۹۲۳</w:t>
      </w:r>
    </w:p>
    <w:p>
      <w:pPr>
        <w:pStyle w:val="BookText"/>
      </w:pPr>
      <w:r>
        <w:rPr>
          <w:rFonts w:ascii="IRNazanin" w:hAnsi="IRNazanin" w:eastAsia="IRNazanin" w:cs="IRNazanin"/>
          <w:lang w:bidi="fa-IR"/>
          <w:color w:val="111111"/>
          <w:sz w:val="28"/>
          <w:szCs w:val="28"/>
          <w:rtl/>
        </w:rPr>
        <w:t xml:space="preserve">آغاز: برابر؛ انجام: گفتار در ذکر سنوات حکومت سادات آمل و چگونگی ... چون در حین تألیف این نسخه سن این فقیر به شصت و شش رسیده است و قوای جسمانی و روحانی فتور و قصور یافته ... توقع عفو و اغماض است ... قد فرغت من تسوید هذا الكتاب على حسب الحكم الاشرف الأرفع المستطاب سرکار رکن الدوله ... اردشیر میرزا دام اجلاله ... اقل خلق الله میرزا اسمعیل سمنانی خلف الصدق مرحوم مغفور میرزا علی اکبر السمنانی المشهور بالياهو ... من شهور سنه ۱۲۸۰.</w:t>
      </w:r>
    </w:p>
    <w:p>
      <w:pPr>
        <w:pStyle w:val="BookText"/>
      </w:pPr>
      <w:r>
        <w:rPr>
          <w:rFonts w:ascii="IRNazanin" w:hAnsi="IRNazanin" w:eastAsia="IRNazanin" w:cs="IRNazanin"/>
          <w:lang w:bidi="fa-IR"/>
          <w:color w:val="111111"/>
          <w:sz w:val="28"/>
          <w:szCs w:val="28"/>
          <w:rtl/>
        </w:rPr>
        <w:t xml:space="preserve">خط: نسخ و نستعلیق خوش، كا: میرزا اسمعیل بن میرزا علی اکبر سمنانی مشهور به یاهو، تا: ۱۲۸۰ق،۱۴سطر،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۵-۲۵۶]</w:t>
      </w:r>
    </w:p>
    <w:p>
      <w:pPr>
        <w:pStyle w:val="BookText"/>
      </w:pPr>
      <w:r>
        <w:rPr>
          <w:rFonts w:ascii="IRNazanin" w:hAnsi="IRNazanin" w:eastAsia="IRNazanin" w:cs="IRNazanin"/>
          <w:lang w:bidi="fa-IR"/>
          <w:color w:val="111111"/>
          <w:sz w:val="28"/>
          <w:szCs w:val="28"/>
          <w:rtl/>
        </w:rPr>
        <w:t xml:space="preserve">۱۲. تهران؛ سلطنتی؛ شماره نسخه:۷۲۹</w:t>
      </w:r>
    </w:p>
    <w:p>
      <w:pPr>
        <w:pStyle w:val="BookText"/>
      </w:pPr>
      <w:r>
        <w:rPr>
          <w:rFonts w:ascii="IRNazanin" w:hAnsi="IRNazanin" w:eastAsia="IRNazanin" w:cs="IRNazanin"/>
          <w:lang w:bidi="fa-IR"/>
          <w:color w:val="111111"/>
          <w:sz w:val="28"/>
          <w:szCs w:val="28"/>
          <w:rtl/>
        </w:rPr>
        <w:t xml:space="preserve">آغاز: برابر؛ انجام: و چون در حین تألیف این نسخه سن فقیر بشصت و شش رسیده و قوای جسمانی فتور و قصور یافته ... اگر در انشای سهو و رکالتی بینند توقع عفو و اغماض است ... موجب تحریر کتاب. در سال گذشته امر قدر قدر همایون ... ناصر الدينشاه قاجار بعهده مقرب الخاقان موتمن السلطان صنيع الدوله محمد حسنخان مترجم مخصوص ... باستنساخ این کتاب مستطاب شرف صدور یافت و معزى اليه انجام این خدمت را ... باین چاکر جان نثار منشی روزنامجات رجوع نمودند ... سعی در تصحیح و تحریر و اتمام کتاب شد ... كتبه العبد المذنب الحقير الفقير على النائيني غفر ذنوبه ... يوم شنبه یازدهم شهر شوال المعظم سنه ۱۲۹۰ تخاتوی ئیل فرخنده دلیل.</w:t>
      </w:r>
    </w:p>
    <w:p>
      <w:pPr>
        <w:pStyle w:val="BookText"/>
      </w:pPr>
      <w:r>
        <w:rPr>
          <w:rFonts w:ascii="IRNazanin" w:hAnsi="IRNazanin" w:eastAsia="IRNazanin" w:cs="IRNazanin"/>
          <w:lang w:bidi="fa-IR"/>
          <w:color w:val="111111"/>
          <w:sz w:val="28"/>
          <w:szCs w:val="28"/>
          <w:rtl/>
        </w:rPr>
        <w:t xml:space="preserve">خط: نستعلیق، كا: على نائینی، تا: ۱۲۹۰ق؛ مجدول، کمند کشی زرین، دو سرلوح مذهب مرصع کاغذ: فستقی بخور رنگ، جلد: مقوای روغنی بوم مرغشی منقش به گل و بته، ۳۲۴ص، ۱۷ سطر، اندازه: ۳۵/۹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 سم [ف: ۵-۲۶۰]</w:t>
      </w:r>
    </w:p>
    <w:p>
      <w:pPr>
        <w:pStyle w:val="BookText"/>
      </w:pPr>
      <w:r>
        <w:rPr>
          <w:rFonts w:ascii="IRNazanin" w:hAnsi="IRNazanin" w:eastAsia="IRNazanin" w:cs="IRNazanin"/>
          <w:lang w:bidi="fa-IR"/>
          <w:color w:val="111111"/>
          <w:sz w:val="28"/>
          <w:szCs w:val="28"/>
          <w:rtl/>
        </w:rPr>
        <w:t xml:space="preserve">۱۳. تهران؛ سپهسالار؛ شماره نسخه:۱۴۹۳</w:t>
      </w:r>
    </w:p>
    <w:p>
      <w:pPr>
        <w:pStyle w:val="BookText"/>
      </w:pPr>
      <w:r>
        <w:rPr>
          <w:rFonts w:ascii="IRNazanin" w:hAnsi="IRNazanin" w:eastAsia="IRNazanin" w:cs="IRNazanin"/>
          <w:lang w:bidi="fa-IR"/>
          <w:color w:val="111111"/>
          <w:sz w:val="28"/>
          <w:szCs w:val="28"/>
          <w:rtl/>
        </w:rPr>
        <w:t xml:space="preserve">خط: نستعلیق، کا: رضا قلی خان هدایت، تا: چهارشنبه شعبان ۱۲۹۵ق؛ تملك: اعتضاد السلطنه در ۱۲۹۵ق؛ واقف: سپهسالار، ۱۲۹۷ق؛ کاغذ: سفید فرنگی، جلد: تیماج سرخ مقوایی، ۱۳۳گ، ۲۷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۳-۳۰۰]</w:t>
      </w:r>
    </w:p>
    <w:p>
      <w:pPr>
        <w:pStyle w:val="BookText"/>
      </w:pPr>
      <w:r>
        <w:rPr>
          <w:rFonts w:ascii="IRNazanin" w:hAnsi="IRNazanin" w:eastAsia="IRNazanin" w:cs="IRNazanin"/>
          <w:lang w:bidi="fa-IR"/>
          <w:color w:val="111111"/>
          <w:sz w:val="28"/>
          <w:szCs w:val="28"/>
          <w:rtl/>
        </w:rPr>
        <w:t xml:space="preserve">۱۴. تهران؛ مجلس؛ شماره نسخه:۵۸۶</w:t>
      </w:r>
    </w:p>
    <w:p>
      <w:pPr>
        <w:pStyle w:val="BookText"/>
      </w:pPr>
      <w:r>
        <w:rPr>
          <w:rFonts w:ascii="IRNazanin" w:hAnsi="IRNazanin" w:eastAsia="IRNazanin" w:cs="IRNazanin"/>
          <w:lang w:bidi="fa-IR"/>
          <w:color w:val="111111"/>
          <w:sz w:val="28"/>
          <w:szCs w:val="28"/>
          <w:rtl/>
        </w:rPr>
        <w:t xml:space="preserve">خط: نسخ، كا: عباس بن مرتضی همدانی، تا: چهارشنبه جمادی الاول ۱۲۹۷ق؛ با یادداشت رضاقلی؛ کاغذ: سفید، جلد: تیماج سبز ضربی، ۱۷۳گ، ۲۷ سطر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۳۴سم [سنا: ف: ۱-۳۷۸]</w:t>
      </w:r>
    </w:p>
    <w:p>
      <w:pPr>
        <w:pStyle w:val="BookText"/>
      </w:pPr>
      <w:r>
        <w:rPr>
          <w:rFonts w:ascii="IRNazanin" w:hAnsi="IRNazanin" w:eastAsia="IRNazanin" w:cs="IRNazanin"/>
          <w:lang w:bidi="fa-IR"/>
          <w:color w:val="111111"/>
          <w:sz w:val="28"/>
          <w:szCs w:val="28"/>
          <w:rtl/>
        </w:rPr>
        <w:t xml:space="preserve">۱۵. مشهد؛ رضوی؛ شماره نسخه: ۶۳۱۰</w:t>
      </w:r>
    </w:p>
    <w:p>
      <w:pPr>
        <w:pStyle w:val="BookText"/>
      </w:pPr>
      <w:r>
        <w:rPr>
          <w:rFonts w:ascii="IRNazanin" w:hAnsi="IRNazanin" w:eastAsia="IRNazanin" w:cs="IRNazanin"/>
          <w:lang w:bidi="fa-IR"/>
          <w:color w:val="111111"/>
          <w:sz w:val="28"/>
          <w:szCs w:val="28"/>
          <w:rtl/>
        </w:rPr>
        <w:t xml:space="preserve">آغاز: برابر؛ انجام: هوا داری و دولت خواهی انهای ضمیر انور اعتکاف کیوان. خط: نستعلیق تحریری، بی کا، تا: قرن ۱۴؛ در آغاز نسخه خلاصه کتاب در پنج صفحه نوشته شده؛ واقف: محمد رضا بدخشان، اردیبهشت ۱۳۱۹، کاغذ: سفید فرنگی، جلد: تیماج بنفش، ۲۱۰گ، مختلف السطر ( ۱۵/۸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۱۷/۳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۲۲/۵سم [ف: ۷-۳۱]</w:t>
      </w:r>
    </w:p>
    <w:p>
      <w:pPr>
        <w:pStyle w:val="BookText"/>
      </w:pPr>
      <w:r>
        <w:rPr>
          <w:rFonts w:ascii="IRNazanin" w:hAnsi="IRNazanin" w:eastAsia="IRNazanin" w:cs="IRNazanin"/>
          <w:lang w:bidi="fa-IR"/>
          <w:color w:val="111111"/>
          <w:sz w:val="28"/>
          <w:szCs w:val="28"/>
          <w:rtl/>
        </w:rPr>
        <w:t xml:space="preserve">تهران؛ دانشگاه؛ شماره نسخه: ۱۸۳۸-ف</w:t>
      </w:r>
    </w:p>
    <w:p>
      <w:pPr>
        <w:pStyle w:val="BookText"/>
      </w:pPr>
      <w:r>
        <w:rPr>
          <w:rFonts w:ascii="Amiri" w:hAnsi="Amiri" w:eastAsia="Amiri" w:cs="Amiri"/>
          <w:lang w:bidi="ar-SA"/>
          <w:color w:val="111111"/>
          <w:sz w:val="28"/>
          <w:szCs w:val="28"/>
          <w:rtl/>
        </w:rPr>
        <w:t xml:space="preserve">نسخه اصل: همان نسخه بالا [فيلمها ف: ۱-۳۴]</w:t>
      </w:r>
    </w:p>
    <w:p>
      <w:pPr>
        <w:pStyle w:val="BookText"/>
      </w:pPr>
      <w:r>
        <w:rPr>
          <w:rFonts w:ascii="IRNazanin" w:hAnsi="IRNazanin" w:eastAsia="IRNazanin" w:cs="IRNazanin"/>
          <w:lang w:bidi="fa-IR"/>
          <w:color w:val="111111"/>
          <w:sz w:val="28"/>
          <w:szCs w:val="28"/>
          <w:rtl/>
        </w:rPr>
        <w:t xml:space="preserve">۱۶. قم، مسجد اعظم؛ شماره نسخه: ۳۵۷۰</w:t>
      </w:r>
    </w:p>
    <w:p>
      <w:pPr>
        <w:pStyle w:val="BookText"/>
      </w:pPr>
      <w:r>
        <w:rPr>
          <w:rFonts w:ascii="IRNazanin" w:hAnsi="IRNazanin" w:eastAsia="IRNazanin" w:cs="IRNazanin"/>
          <w:lang w:bidi="fa-IR"/>
          <w:color w:val="111111"/>
          <w:sz w:val="28"/>
          <w:szCs w:val="28"/>
          <w:rtl/>
        </w:rPr>
        <w:t xml:space="preserve">آغاز: السفلة إلى مواضع العليه فانصرف عن هذا الزامی معنی آن است که بدرستی که در عالم امم هر اقلیمی مخصوصند به فضیلتی وهنری وشرفی که اهل دیگر اقالیم از آن بی بهره اند؛ انجام: ای مرگی تو آب روی عالم برده *** خود را و مرا به خاک وغم بسپرده / کی بود یقینم که ببینم روزی *** تو مرده و من نه مرده ونه زنده. جلد اول و دوم است؛ خط: نستعلیق، بی کا، بی تا؛ افتادگی: آغاز؛ جلد: تیماج زرشکی، ۱۵۱گ، ۲۵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مخ: ۵-۱۹۳۷]</w:t>
      </w:r>
    </w:p>
    <w:p>
      <w:pPr>
        <w:pStyle w:val="BookText"/>
      </w:pPr>
      <w:r>
        <w:rPr>
          <w:rFonts w:ascii="IRNazanin" w:hAnsi="IRNazanin" w:eastAsia="IRNazanin" w:cs="IRNazanin"/>
          <w:lang w:bidi="fa-IR"/>
          <w:color w:val="111111"/>
          <w:sz w:val="28"/>
          <w:szCs w:val="28"/>
          <w:rtl/>
        </w:rPr>
        <w:t xml:space="preserve">۱۷. تهران، دانشگاه؛ شماره نسخه: ۴۶۰۱/۲ -ف</w:t>
      </w:r>
    </w:p>
    <w:p>
      <w:pPr>
        <w:pStyle w:val="BookText"/>
      </w:pPr>
      <w:r>
        <w:rPr>
          <w:rFonts w:ascii="IRNazanin" w:hAnsi="IRNazanin" w:eastAsia="IRNazanin" w:cs="IRNazanin"/>
          <w:lang w:bidi="fa-IR"/>
          <w:color w:val="111111"/>
          <w:sz w:val="28"/>
          <w:szCs w:val="28"/>
          <w:rtl/>
        </w:rPr>
        <w:t xml:space="preserve">بی کا، بی تا؛ افتادگی: آغاز و انجام؛ ۱۲۶گ (۱۹۳-۳۱۸) [فيلمها ف: ۳-۷۷]</w:t>
      </w:r>
    </w:p>
    <w:p>
      <w:pPr>
        <w:pStyle w:val="BookText"/>
      </w:pPr>
      <w:r>
        <w:rPr>
          <w:rFonts w:ascii="IRNazanin" w:hAnsi="IRNazanin" w:eastAsia="IRNazanin" w:cs="IRNazanin"/>
          <w:lang w:bidi="fa-IR"/>
          <w:color w:val="111111"/>
          <w:sz w:val="28"/>
          <w:szCs w:val="28"/>
          <w:rtl/>
        </w:rPr>
        <w:t xml:space="preserve">←تاریخ طبری←تاریخ بلعمی</w:t>
      </w:r>
    </w:p>
    <w:p>
      <w:pPr>
        <w:pStyle w:val="Heading3"/>
      </w:pPr>
      <w:bookmarkStart w:id="2435" w:name="_Toc1695"/>
      <w:r>
        <w:t>•تاریخ طبری / تاریخ / عربی</w:t>
      </w:r>
      <w:bookmarkEnd w:id="2435"/>
    </w:p>
    <w:p>
      <w:pPr>
        <w:pStyle w:val="BookText"/>
      </w:pPr>
      <w:r>
        <w:rPr>
          <w:rFonts w:ascii="Times New Roman" w:hAnsi="Times New Roman" w:eastAsia="Times New Roman" w:cs="Times New Roman"/>
          <w:lang w:val="en-US" w:bidi="en-US"/>
          <w:color w:val="111111"/>
          <w:sz w:val="28"/>
          <w:szCs w:val="28"/>
          <w:rtl/>
        </w:rPr>
        <w:t xml:space="preserve">tārīx-e tabarī</w:t>
      </w:r>
    </w:p>
    <w:p>
      <w:pPr>
        <w:pStyle w:val="BookText"/>
      </w:pPr>
      <w:r>
        <w:rPr>
          <w:rFonts w:ascii="IRNazanin" w:hAnsi="IRNazanin" w:eastAsia="IRNazanin" w:cs="IRNazanin"/>
          <w:lang w:bidi="fa-IR"/>
          <w:color w:val="111111"/>
          <w:sz w:val="28"/>
          <w:szCs w:val="28"/>
          <w:rtl/>
        </w:rPr>
        <w:t xml:space="preserve">طبری، محمد بن جریر، ۲۲۴؟ -۳۱۰ قمری</w:t>
      </w:r>
    </w:p>
    <w:p>
      <w:pPr>
        <w:pStyle w:val="BookText"/>
      </w:pPr>
      <w:r>
        <w:rPr>
          <w:rFonts w:ascii="Times New Roman" w:hAnsi="Times New Roman" w:eastAsia="Times New Roman" w:cs="Times New Roman"/>
          <w:lang w:val="en-US" w:bidi="en-US"/>
          <w:color w:val="111111"/>
          <w:sz w:val="28"/>
          <w:szCs w:val="28"/>
          <w:rtl/>
        </w:rPr>
        <w:t xml:space="preserve">tabarī, mohammad ebn-e jarīr (840-923)</w:t>
      </w:r>
    </w:p>
    <w:p>
      <w:pPr>
        <w:pStyle w:val="BookText"/>
      </w:pPr>
      <w:r>
        <w:rPr>
          <w:rFonts w:ascii="IRNazanin" w:hAnsi="IRNazanin" w:eastAsia="IRNazanin" w:cs="IRNazanin"/>
          <w:lang w:bidi="fa-IR"/>
          <w:color w:val="111111"/>
          <w:sz w:val="28"/>
          <w:szCs w:val="28"/>
          <w:rtl/>
        </w:rPr>
        <w:t xml:space="preserve">تاریخ طبری که یکی از کتب تاریخی معروف است. چاپ: لیدن، ۱۸۷۶ الی ۱۹۰۱م؛ مطبوعات الحسینیه، ۱۳۳۶ ق. شرح و حواشی: 1- تاریخ بلعمی = ترجمه تاریخ طبری = تاریخ نامه؛ بلعمی، محمد بن محمد (-۳۶۳) ٢- تاریخ نامه = ترجمه تاریخ طبری ۳- تاریخ طبری (ترجمه)</w:t>
      </w:r>
    </w:p>
    <w:p>
      <w:pPr>
        <w:pStyle w:val="BookText"/>
      </w:pPr>
      <w:r>
        <w:rPr>
          <w:rFonts w:ascii="IRNazanin" w:hAnsi="IRNazanin" w:eastAsia="IRNazanin" w:cs="IRNazanin"/>
          <w:lang w:bidi="fa-IR"/>
          <w:color w:val="111111"/>
          <w:sz w:val="28"/>
          <w:szCs w:val="28"/>
          <w:rtl/>
        </w:rPr>
        <w:t xml:space="preserve">تهران؛ مطالعات فرهنگی؛ شماره نسخه: ف ۱۰۰</w:t>
      </w:r>
    </w:p>
    <w:p>
      <w:pPr>
        <w:pStyle w:val="BookText"/>
      </w:pPr>
      <w:r>
        <w:rPr>
          <w:rFonts w:ascii="IRNazanin" w:hAnsi="IRNazanin" w:eastAsia="IRNazanin" w:cs="IRNazanin"/>
          <w:lang w:bidi="fa-IR"/>
          <w:color w:val="111111"/>
          <w:sz w:val="28"/>
          <w:szCs w:val="28"/>
          <w:rtl/>
        </w:rPr>
        <w:t xml:space="preserve">از خبر فتح خناصره و قنسرین رم تا خبر مقتل مروان (دو دوره)؛ کا: اسحق بن محمد بن عمر بن محمد شیروانی، تا: نیمه محرم ۵۸۶ق، جا: ارزنجان، خزانه شاه غازی ابوطالب بهرام شاه بن داود یادگار اسماعیل بن ابی القاسم مستوفی [ف:۱۶۳] و [نشریه: ۱۱-۹۹۱]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512" w:name="pg20363_209824"/>
    <w:bookmarkEnd w:id="512"/>
    <w:p>
      <w:pPr>
        <w:pStyle w:val="Heading3"/>
      </w:pPr>
      <w:bookmarkStart w:id="2436" w:name="_Toc1696"/>
      <w:r>
        <w:t>•تاریخ طبری (ترجمه) / تاریخ / ترکی</w:t>
      </w:r>
      <w:bookmarkEnd w:id="2436"/>
    </w:p>
    <w:p>
      <w:pPr>
        <w:pStyle w:val="BookText"/>
      </w:pPr>
      <w:r>
        <w:rPr>
          <w:rFonts w:ascii="Times New Roman" w:hAnsi="Times New Roman" w:eastAsia="Times New Roman" w:cs="Times New Roman"/>
          <w:lang w:val="en-US" w:bidi="en-US"/>
          <w:color w:val="111111"/>
          <w:sz w:val="28"/>
          <w:szCs w:val="28"/>
          <w:rtl/>
        </w:rPr>
        <w:t xml:space="preserve">tārīx-e tabarī (t.)</w:t>
      </w:r>
    </w:p>
    <w:p>
      <w:pPr>
        <w:pStyle w:val="BookText"/>
      </w:pPr>
      <w:r>
        <w:rPr>
          <w:rFonts w:ascii="IRNazanin" w:hAnsi="IRNazanin" w:eastAsia="IRNazanin" w:cs="IRNazanin"/>
          <w:lang w:bidi="fa-IR"/>
          <w:color w:val="111111"/>
          <w:sz w:val="28"/>
          <w:szCs w:val="28"/>
          <w:rtl/>
        </w:rPr>
        <w:t xml:space="preserve">وابسته به: تاریخ طبری؛ طبری، محمد بن جریر (۲۲۴-۳۱۰)</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مرکز احیاء؛ شماره نسخه:۲۴۶۲</w:t>
      </w:r>
    </w:p>
    <w:p>
      <w:pPr>
        <w:pStyle w:val="BookText"/>
      </w:pPr>
      <w:r>
        <w:rPr>
          <w:rFonts w:ascii="IRNazanin" w:hAnsi="IRNazanin" w:eastAsia="IRNazanin" w:cs="IRNazanin"/>
          <w:lang w:bidi="fa-IR"/>
          <w:color w:val="111111"/>
          <w:sz w:val="28"/>
          <w:szCs w:val="28"/>
          <w:rtl/>
        </w:rPr>
        <w:t xml:space="preserve">آغاز: اما قیامت نه کون قوپا جغین حق تعالی کیمنسیه بیلدر مدی زیرابش درلونسنه واردر کیم؛ انجام: بواراده حبش سلطانی و ابوطالب داخی اولدی ایکسنک داخی اولومی برایلده اولدى. ترجمه ای است از تاریخ ابوجعفر طبری (۳۱۰) به زبان ترکی که از آغاز تا پایان حدیث نخستین هجرت و مسلمان شدن حمزه را داراست؛ خط: نسخ، كان محمد صالح بن ملوانا درویش این میرزا شیخ طبقي، تا: ۱۰۲۹ق؛ افتادگی: آغاز؛ مصحح، در برگ آخر تاریخ زلزله تبریز به سال ۱۱۳۳ و رفتن عثمانلو به تبریز به سال ۱۱۴۳ آمده؛ جلد: تیماج قهوه ای، ۳۴۸گ، ۲۱ سطر، اندازه: ۱۸/۵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۲۷/۵ سم [ محدث ارموی مخ: ۱-۳۵۹]</w:t>
      </w:r>
    </w:p>
    <w:p>
      <w:pPr>
        <w:pStyle w:val="BookText"/>
      </w:pPr>
      <w:r>
        <w:rPr>
          <w:rFonts w:ascii="IRNazanin" w:hAnsi="IRNazanin" w:eastAsia="IRNazanin" w:cs="IRNazanin"/>
          <w:lang w:bidi="fa-IR"/>
          <w:color w:val="111111"/>
          <w:sz w:val="28"/>
          <w:szCs w:val="28"/>
          <w:rtl/>
        </w:rPr>
        <w:t xml:space="preserve">۲. تهران، دانشگاه؛ شماره نسخه: ۳۴۸۵- ف</w:t>
      </w:r>
    </w:p>
    <w:p>
      <w:pPr>
        <w:pStyle w:val="BookText"/>
      </w:pPr>
      <w:r>
        <w:rPr>
          <w:rFonts w:ascii="Amiri" w:hAnsi="Amiri" w:eastAsia="Amiri" w:cs="Amiri"/>
          <w:lang w:bidi="ar-SA"/>
          <w:color w:val="111111"/>
          <w:sz w:val="28"/>
          <w:szCs w:val="28"/>
          <w:rtl/>
        </w:rPr>
        <w:t xml:space="preserve">نسخه اصل: باكو ش 657/90282 -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 ص ۱۳ فهرست؛ بی کا، بی تا [ فیلمها ف: ۲-۱۵۱]</w:t>
      </w:r>
    </w:p>
    <w:p>
      <w:pPr>
        <w:pStyle w:val="Heading3"/>
      </w:pPr>
      <w:bookmarkStart w:id="2437" w:name="_Toc1697"/>
      <w:r>
        <w:t>• تاریخ طبری (ترجمه) / تاریخ / فارسی</w:t>
      </w:r>
      <w:bookmarkEnd w:id="2437"/>
    </w:p>
    <w:p>
      <w:pPr>
        <w:pStyle w:val="BookText"/>
      </w:pPr>
      <w:r>
        <w:rPr>
          <w:rFonts w:ascii="Times New Roman" w:hAnsi="Times New Roman" w:eastAsia="Times New Roman" w:cs="Times New Roman"/>
          <w:lang w:val="en-US" w:bidi="en-US"/>
          <w:color w:val="111111"/>
          <w:sz w:val="28"/>
          <w:szCs w:val="28"/>
          <w:rtl/>
        </w:rPr>
        <w:t xml:space="preserve">tārīx-e tabarī (t.)</w:t>
      </w:r>
    </w:p>
    <w:p>
      <w:pPr>
        <w:pStyle w:val="BookText"/>
      </w:pPr>
      <w:r>
        <w:rPr>
          <w:rFonts w:ascii="IRNazanin" w:hAnsi="IRNazanin" w:eastAsia="IRNazanin" w:cs="IRNazanin"/>
          <w:lang w:bidi="fa-IR"/>
          <w:color w:val="111111"/>
          <w:sz w:val="28"/>
          <w:szCs w:val="28"/>
          <w:rtl/>
        </w:rPr>
        <w:t xml:space="preserve">وابسته به تاریخ طبری؛ طبری، محمد بن جریر (۲۲۴-۳۱۰)</w:t>
      </w:r>
    </w:p>
    <w:p>
      <w:pPr>
        <w:pStyle w:val="BookText"/>
      </w:pPr>
      <w:r>
        <w:rPr>
          <w:rFonts w:ascii="IRNazanin" w:hAnsi="IRNazanin" w:eastAsia="IRNazanin" w:cs="IRNazanin"/>
          <w:lang w:bidi="fa-IR"/>
          <w:color w:val="111111"/>
          <w:sz w:val="28"/>
          <w:szCs w:val="28"/>
          <w:rtl/>
        </w:rPr>
        <w:t xml:space="preserve">تهران؛ دانشگاه؛ شماره نسخه: ۳۴۸۶ف</w:t>
      </w:r>
    </w:p>
    <w:p>
      <w:pPr>
        <w:pStyle w:val="BookText"/>
      </w:pPr>
      <w:r>
        <w:rPr>
          <w:rFonts w:ascii="Amiri" w:hAnsi="Amiri" w:eastAsia="Amiri" w:cs="Amiri"/>
          <w:lang w:bidi="ar-SA"/>
          <w:color w:val="111111"/>
          <w:sz w:val="28"/>
          <w:szCs w:val="28"/>
          <w:rtl/>
        </w:rPr>
        <w:t xml:space="preserve">[نسخه اصل: باكو ش 282/65121 -</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 ص ۱۳ فهرست؛ بی کا،  بی تا [فيلمها ف: ۲-۱۵۱]</w:t>
      </w:r>
    </w:p>
    <w:p>
      <w:pPr>
        <w:pStyle w:val="Heading3"/>
      </w:pPr>
      <w:bookmarkStart w:id="2438" w:name="_Toc1698"/>
      <w:r>
        <w:t>• تاریخ طبری (ترجمه) / تاریخ / فارسی</w:t>
      </w:r>
      <w:bookmarkEnd w:id="2438"/>
    </w:p>
    <w:p>
      <w:pPr>
        <w:pStyle w:val="BookText"/>
      </w:pPr>
      <w:r>
        <w:rPr>
          <w:rFonts w:ascii="Times New Roman" w:hAnsi="Times New Roman" w:eastAsia="Times New Roman" w:cs="Times New Roman"/>
          <w:lang w:val="en-US" w:bidi="en-US"/>
          <w:color w:val="111111"/>
          <w:sz w:val="28"/>
          <w:szCs w:val="28"/>
          <w:rtl/>
        </w:rPr>
        <w:t xml:space="preserve">tārīx-e tabarī (t.)</w:t>
      </w:r>
    </w:p>
    <w:p>
      <w:pPr>
        <w:pStyle w:val="BookText"/>
      </w:pPr>
      <w:r>
        <w:rPr>
          <w:rFonts w:ascii="IRNazanin" w:hAnsi="IRNazanin" w:eastAsia="IRNazanin" w:cs="IRNazanin"/>
          <w:lang w:bidi="fa-IR"/>
          <w:color w:val="111111"/>
          <w:sz w:val="28"/>
          <w:szCs w:val="28"/>
          <w:rtl/>
        </w:rPr>
        <w:t xml:space="preserve">وابسته به: تاریخ طبری طبری، محمد بن جریر (۲۲۴-۳۱۰)|</w:t>
      </w:r>
    </w:p>
    <w:p>
      <w:pPr>
        <w:pStyle w:val="BookText"/>
      </w:pPr>
      <w:r>
        <w:rPr>
          <w:rFonts w:ascii="IRNazanin" w:hAnsi="IRNazanin" w:eastAsia="IRNazanin" w:cs="IRNazanin"/>
          <w:lang w:bidi="fa-IR"/>
          <w:color w:val="111111"/>
          <w:sz w:val="28"/>
          <w:szCs w:val="28"/>
          <w:rtl/>
        </w:rPr>
        <w:t xml:space="preserve">غیر همانند: ۱. تهران؛ دائرة المعارف؛ شماره نسخه: ۵۶۸-عکسی</w:t>
      </w:r>
    </w:p>
    <w:p>
      <w:pPr>
        <w:pStyle w:val="BookText"/>
      </w:pPr>
      <w:r>
        <w:rPr>
          <w:rFonts w:ascii="IRNazanin" w:hAnsi="IRNazanin" w:eastAsia="IRNazanin" w:cs="IRNazanin"/>
          <w:lang w:bidi="fa-IR"/>
          <w:color w:val="111111"/>
          <w:sz w:val="28"/>
          <w:szCs w:val="28"/>
          <w:rtl/>
        </w:rPr>
        <w:t xml:space="preserve">آغاز: 1 صفحه نونویس: سپاس و آفرین مر خدای کامکار و کامران و آفریننده زمین و آسمان؛ انجام: فصل در ذکر خبر پرویز با بهرام شونين (چنين) ... ش صفحه بعد: فرود آمد بخانه زنی پیر، با غلامان خاصه خویش و آن زن ... نسخه اصل: میرداد خان افغان که در پیشاور پاکستان به خرید و فروش کتاب می پردازد. در ۲ مجلد؛ خط: نسخ کهن، بی کا، تا: قرن ۷ و ۸ افتادگی: انجام و وسط؛ ۵۶۸ص، ۱۷ سطر [عکسی ف: ۵۶-۲ ]</w:t>
      </w:r>
    </w:p>
    <w:p>
      <w:pPr>
        <w:pStyle w:val="BookText"/>
      </w:pPr>
      <w:r>
        <w:rPr>
          <w:rFonts w:ascii="IRNazanin" w:hAnsi="IRNazanin" w:eastAsia="IRNazanin" w:cs="IRNazanin"/>
          <w:lang w:bidi="fa-IR"/>
          <w:color w:val="111111"/>
          <w:sz w:val="28"/>
          <w:szCs w:val="28"/>
          <w:rtl/>
        </w:rPr>
        <w:t xml:space="preserve">۲. تهران، دانشگاه شماره نسخه:۷۰۰۷-عکس</w:t>
      </w:r>
    </w:p>
    <w:p>
      <w:pPr>
        <w:pStyle w:val="BookText"/>
      </w:pPr>
      <w:r>
        <w:rPr>
          <w:rFonts w:ascii="IRNazanin" w:hAnsi="IRNazanin" w:eastAsia="IRNazanin" w:cs="IRNazanin"/>
          <w:lang w:bidi="fa-IR"/>
          <w:color w:val="111111"/>
          <w:sz w:val="28"/>
          <w:szCs w:val="28"/>
          <w:rtl/>
        </w:rPr>
        <w:t xml:space="preserve">نسخه اصل: گوتا؛ كا: علی بن محمد بن علی سمنانی، تا: ۷۱۳ق،</w:t>
      </w:r>
    </w:p>
    <w:p>
      <w:pPr>
        <w:pStyle w:val="BookText"/>
      </w:pPr>
      <w:r>
        <w:rPr>
          <w:rFonts w:ascii="IRNazanin" w:hAnsi="IRNazanin" w:eastAsia="IRNazanin" w:cs="IRNazanin"/>
          <w:lang w:bidi="fa-IR"/>
          <w:color w:val="111111"/>
          <w:sz w:val="28"/>
          <w:szCs w:val="28"/>
          <w:rtl/>
        </w:rPr>
        <w:t xml:space="preserve">جان اصفهان؛ ابراهیم بن حسن بسنوی بروسوی در مدرسه اینه بک در ۱۱۹۳ در روزگار عبدالحمید خان آن را خریده است با یادداشت او در پایان مجلد چهارم در ۱۹۹۴، در ص</w:t>
      </w:r>
    </w:p>
    <w:p>
      <w:pPr>
        <w:pStyle w:val="BookText"/>
      </w:pPr>
      <w:r>
        <w:rPr>
          <w:rFonts w:ascii="IRNazanin" w:hAnsi="IRNazanin" w:eastAsia="IRNazanin" w:cs="IRNazanin"/>
          <w:lang w:bidi="fa-IR"/>
          <w:color w:val="111111"/>
          <w:sz w:val="28"/>
          <w:szCs w:val="28"/>
          <w:rtl/>
        </w:rPr>
        <w:t xml:space="preserve">ع آمده که نام همین سمنانی در میانه در جلد سوم نیز هست؛ ۲۶۷گ [فیلمها ف: ۳-۲۷۱]</w:t>
      </w:r>
    </w:p>
    <w:p>
      <w:pPr>
        <w:pStyle w:val="BookText"/>
      </w:pPr>
      <w:r>
        <w:rPr>
          <w:rFonts w:ascii="IRNazanin" w:hAnsi="IRNazanin" w:eastAsia="IRNazanin" w:cs="IRNazanin"/>
          <w:lang w:bidi="fa-IR"/>
          <w:color w:val="111111"/>
          <w:sz w:val="28"/>
          <w:szCs w:val="28"/>
          <w:rtl/>
        </w:rPr>
        <w:t xml:space="preserve">٣. تهران؛ خان ملک ساسانی؛ شماره نسخه: ۲۸</w:t>
      </w:r>
    </w:p>
    <w:p>
      <w:pPr>
        <w:pStyle w:val="BookText"/>
      </w:pPr>
      <w:r>
        <w:rPr>
          <w:rFonts w:ascii="IRNazanin" w:hAnsi="IRNazanin" w:eastAsia="IRNazanin" w:cs="IRNazanin"/>
          <w:lang w:bidi="fa-IR"/>
          <w:color w:val="111111"/>
          <w:sz w:val="28"/>
          <w:szCs w:val="28"/>
          <w:rtl/>
        </w:rPr>
        <w:t xml:space="preserve">خط: نستعلیق خوش، کا: حاجی حسن بن مظفر بن حاجی حسن</w:t>
      </w:r>
    </w:p>
    <w:p>
      <w:pPr>
        <w:pStyle w:val="BookText"/>
      </w:pPr>
      <w:r>
        <w:rPr>
          <w:rFonts w:ascii="IRNazanin" w:hAnsi="IRNazanin" w:eastAsia="IRNazanin" w:cs="IRNazanin"/>
          <w:lang w:bidi="fa-IR"/>
          <w:color w:val="111111"/>
          <w:sz w:val="28"/>
          <w:szCs w:val="28"/>
          <w:rtl/>
        </w:rPr>
        <w:t xml:space="preserve">کاتب، تا: ۱۵ ذیحجه ۸۸۱ق، جا: يزد آنشریه: ۵-۱۱۴]</w:t>
      </w:r>
    </w:p>
    <w:p>
      <w:pPr>
        <w:pStyle w:val="BookText"/>
      </w:pPr>
      <w:r>
        <w:rPr>
          <w:rFonts w:ascii="IRNazanin" w:hAnsi="IRNazanin" w:eastAsia="IRNazanin" w:cs="IRNazanin"/>
          <w:lang w:bidi="fa-IR"/>
          <w:color w:val="111111"/>
          <w:sz w:val="28"/>
          <w:szCs w:val="28"/>
          <w:rtl/>
        </w:rPr>
        <w:t xml:space="preserve">۴. تبریز؛ نخجوانی، حسین؛ شماره نسخه:۱۴</w:t>
      </w:r>
    </w:p>
    <w:p>
      <w:pPr>
        <w:pStyle w:val="BookText"/>
      </w:pPr>
      <w:r>
        <w:rPr>
          <w:rFonts w:ascii="IRNazanin" w:hAnsi="IRNazanin" w:eastAsia="IRNazanin" w:cs="IRNazanin"/>
          <w:lang w:bidi="fa-IR"/>
          <w:color w:val="111111"/>
          <w:sz w:val="28"/>
          <w:szCs w:val="28"/>
          <w:rtl/>
        </w:rPr>
        <w:t xml:space="preserve">بی کا، تا: ۱۰۸۷ق [نشريه: ۴-۳۳۸]</w:t>
      </w:r>
    </w:p>
    <w:p>
      <w:pPr>
        <w:pStyle w:val="BookText"/>
      </w:pPr>
      <w:r>
        <w:rPr>
          <w:rFonts w:ascii="IRNazanin" w:hAnsi="IRNazanin" w:eastAsia="IRNazanin" w:cs="IRNazanin"/>
          <w:lang w:bidi="fa-IR"/>
          <w:color w:val="111111"/>
          <w:sz w:val="28"/>
          <w:szCs w:val="28"/>
          <w:rtl/>
        </w:rPr>
        <w:t xml:space="preserve">۵. تهران: مجلس؛ شماره نسخه:۱۷۳۶۳</w:t>
      </w:r>
    </w:p>
    <w:p>
      <w:pPr>
        <w:pStyle w:val="BookText"/>
      </w:pPr>
      <w:r>
        <w:rPr>
          <w:rFonts w:ascii="IRNazanin" w:hAnsi="IRNazanin" w:eastAsia="IRNazanin" w:cs="IRNazanin"/>
          <w:lang w:bidi="fa-IR"/>
          <w:color w:val="111111"/>
          <w:sz w:val="28"/>
          <w:szCs w:val="28"/>
          <w:rtl/>
        </w:rPr>
        <w:t xml:space="preserve">با نثری متفاوت؛ بی کا، بی تا [د.ث. مجلس]</w:t>
      </w:r>
    </w:p>
    <w:p>
      <w:pPr>
        <w:pStyle w:val="BookText"/>
      </w:pPr>
      <w:r>
        <w:rPr>
          <w:rFonts w:ascii="IRNazanin" w:hAnsi="IRNazanin" w:eastAsia="IRNazanin" w:cs="IRNazanin"/>
          <w:lang w:bidi="fa-IR"/>
          <w:color w:val="111111"/>
          <w:sz w:val="28"/>
          <w:szCs w:val="28"/>
          <w:rtl/>
        </w:rPr>
        <w:t xml:space="preserve">۶. مشهد؛ رضوی؛ شماره نسخه:۲۲۲۴۶</w:t>
      </w:r>
    </w:p>
    <w:p>
      <w:pPr>
        <w:pStyle w:val="BookText"/>
      </w:pPr>
      <w:r>
        <w:rPr>
          <w:rFonts w:ascii="IRNazanin" w:hAnsi="IRNazanin" w:eastAsia="IRNazanin" w:cs="IRNazanin"/>
          <w:lang w:bidi="fa-IR"/>
          <w:color w:val="111111"/>
          <w:sz w:val="28"/>
          <w:szCs w:val="28"/>
          <w:rtl/>
        </w:rPr>
        <w:t xml:space="preserve">آغاز: هر جائی طلب کسی همی کردند این جز؛ انجام: خلقه محمد و آله و أصحابه و ازواجه اجمعين برحمتك يا ارحم الراحمين.</w:t>
      </w:r>
    </w:p>
    <w:p>
      <w:pPr>
        <w:pStyle w:val="BookText"/>
      </w:pPr>
      <w:r>
        <w:rPr>
          <w:rFonts w:ascii="IRNazanin" w:hAnsi="IRNazanin" w:eastAsia="IRNazanin" w:cs="IRNazanin"/>
          <w:lang w:bidi="fa-IR"/>
          <w:color w:val="111111"/>
          <w:sz w:val="28"/>
          <w:szCs w:val="28"/>
          <w:rtl/>
        </w:rPr>
        <w:t xml:space="preserve">خط: نستعلیق، بی کا، بی تا، افتادگی: آغاز؛ کاغذ: شکری، جلد: مقوا، ۲۵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[رایانه]</w:t>
      </w:r>
    </w:p>
    <w:p>
      <w:pPr>
        <w:pStyle w:val="Heading3"/>
      </w:pPr>
      <w:bookmarkStart w:id="2439" w:name="_Toc1699"/>
      <w:r>
        <w:t>•تاریخ طبیعی / طبیعیات / فارسی</w:t>
      </w:r>
      <w:bookmarkEnd w:id="2439"/>
    </w:p>
    <w:p>
      <w:pPr>
        <w:pStyle w:val="BookText"/>
      </w:pPr>
      <w:r>
        <w:rPr>
          <w:rFonts w:ascii="Times New Roman" w:hAnsi="Times New Roman" w:eastAsia="Times New Roman" w:cs="Times New Roman"/>
          <w:lang w:val="en-US" w:bidi="en-US"/>
          <w:color w:val="111111"/>
          <w:sz w:val="28"/>
          <w:szCs w:val="28"/>
          <w:rtl/>
        </w:rPr>
        <w:t xml:space="preserve">tārīx-e tabīʻī</w:t>
      </w:r>
    </w:p>
    <w:p>
      <w:pPr>
        <w:pStyle w:val="BookText"/>
      </w:pPr>
      <w:r>
        <w:rPr>
          <w:rFonts w:ascii="IRNazanin" w:hAnsi="IRNazanin" w:eastAsia="IRNazanin" w:cs="IRNazanin"/>
          <w:lang w:bidi="fa-IR"/>
          <w:color w:val="111111"/>
          <w:sz w:val="28"/>
          <w:szCs w:val="28"/>
          <w:rtl/>
        </w:rPr>
        <w:t xml:space="preserve">اشرفی، علیمحمد</w:t>
      </w:r>
    </w:p>
    <w:p>
      <w:pPr>
        <w:pStyle w:val="BookText"/>
      </w:pPr>
      <w:r>
        <w:rPr>
          <w:rFonts w:ascii="Times New Roman" w:hAnsi="Times New Roman" w:eastAsia="Times New Roman" w:cs="Times New Roman"/>
          <w:lang w:val="en-US" w:bidi="en-US"/>
          <w:color w:val="111111"/>
          <w:sz w:val="28"/>
          <w:szCs w:val="28"/>
          <w:rtl/>
        </w:rPr>
        <w:t xml:space="preserve">ašrafī, ‘alī-mohammad</w:t>
      </w:r>
    </w:p>
    <w:p>
      <w:pPr>
        <w:pStyle w:val="BookText"/>
      </w:pPr>
      <w:r>
        <w:rPr>
          <w:rFonts w:ascii="IRNazanin" w:hAnsi="IRNazanin" w:eastAsia="IRNazanin" w:cs="IRNazanin"/>
          <w:lang w:bidi="fa-IR"/>
          <w:color w:val="111111"/>
          <w:sz w:val="28"/>
          <w:szCs w:val="28"/>
          <w:rtl/>
        </w:rPr>
        <w:t xml:space="preserve">مختصری است گویا از درسهای دار الفنون ناصری در تهران، این بخش مربوط به مشخصات حیاتی جانداران می باشد، با اشکال و نقاشی های بیانی در بعضی مسائل.</w:t>
      </w:r>
    </w:p>
    <w:p>
      <w:pPr>
        <w:pStyle w:val="BookText"/>
      </w:pPr>
      <w:r>
        <w:rPr>
          <w:rFonts w:ascii="IRNazanin" w:hAnsi="IRNazanin" w:eastAsia="IRNazanin" w:cs="IRNazanin"/>
          <w:lang w:bidi="fa-IR"/>
          <w:color w:val="111111"/>
          <w:sz w:val="28"/>
          <w:szCs w:val="28"/>
          <w:rtl/>
        </w:rPr>
        <w:t xml:space="preserve">قم: مرکز احیاء؛ شماره نسخه:۱۲۵۳</w:t>
      </w:r>
    </w:p>
    <w:p>
      <w:pPr>
        <w:pStyle w:val="BookText"/>
      </w:pPr>
      <w:r>
        <w:rPr>
          <w:rFonts w:ascii="IRNazanin" w:hAnsi="IRNazanin" w:eastAsia="IRNazanin" w:cs="IRNazanin"/>
          <w:lang w:bidi="fa-IR"/>
          <w:color w:val="111111"/>
          <w:sz w:val="28"/>
          <w:szCs w:val="28"/>
          <w:rtl/>
        </w:rPr>
        <w:t xml:space="preserve">آغاز: تاریخ طبیعی، حیوان شناسی، تعریف: تاریخ طبیعی علمی است در آن بحث می شود از موجودات طبیعت خط: نستعلیق، کا: حسین بن على طهرانی، شیخ حسین بافقی، تا: دوشنبه ۱۶ شعبان ۱۳۴۵ق؛ جلد: مقوایی عطف تیماج مشکی، ۵۴گ، ۲۱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۴-۶۴]</w:t>
      </w:r>
    </w:p>
    <w:p>
      <w:pPr>
        <w:pStyle w:val="Heading3"/>
      </w:pPr>
      <w:bookmarkStart w:id="2440" w:name="_Toc1700"/>
      <w:r>
        <w:t>•تاریخ طبیعی حیوان شناسی / حيوان شناسی / فارسی</w:t>
      </w:r>
      <w:bookmarkEnd w:id="2440"/>
    </w:p>
    <w:p>
      <w:pPr>
        <w:pStyle w:val="BookText"/>
      </w:pPr>
      <w:r>
        <w:rPr>
          <w:rFonts w:ascii="Times New Roman" w:hAnsi="Times New Roman" w:eastAsia="Times New Roman" w:cs="Times New Roman"/>
          <w:lang w:val="en-US" w:bidi="en-US"/>
          <w:color w:val="111111"/>
          <w:sz w:val="28"/>
          <w:szCs w:val="28"/>
          <w:rtl/>
        </w:rPr>
        <w:t xml:space="preserve">tārīx-e tabīī-ye heyvān-šenāsī</w:t>
      </w:r>
    </w:p>
    <w:p>
      <w:pPr>
        <w:pStyle w:val="BookText"/>
      </w:pPr>
      <w:r>
        <w:rPr>
          <w:rFonts w:ascii="IRNazanin" w:hAnsi="IRNazanin" w:eastAsia="IRNazanin" w:cs="IRNazanin"/>
          <w:lang w:bidi="fa-IR"/>
          <w:color w:val="111111"/>
          <w:sz w:val="28"/>
          <w:szCs w:val="28"/>
          <w:rtl/>
        </w:rPr>
        <w:t xml:space="preserve">از محمد خان مشهور به دکتر محمد ( محتم؟ )؛ شامل دو «فصل» است: فصل اول: حاوی تاریخ طبیعی حیوانات که از ترکیبات عمومی اجساد حیوانات و اعمالی که از اعضای مختلفه آنها ناشی شود در دو مبحث»: مبحث اول: در اعمال تغذیه شامل یازده «فصل» و یک «فرع»: ۱) صورت و تشکیل کل اجسام دیروح، ۲) اعمال تغذیه، ۳) عمل هضم که خود نیز شامل هشت فقره جداگانه است، ۴) عمل جذب، ۵) عمل عروق جذابه، ۶)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513" w:name="pg20363_209825"/>
    <w:bookmarkEnd w:id="513"/>
    <w:p>
      <w:pPr>
        <w:pStyle w:val="BookText"/>
      </w:pPr>
      <w:r>
        <w:rPr>
          <w:rFonts w:ascii="IRNazanin" w:hAnsi="IRNazanin" w:eastAsia="IRNazanin" w:cs="IRNazanin"/>
          <w:lang w:bidi="fa-IR"/>
          <w:color w:val="111111"/>
          <w:sz w:val="28"/>
          <w:szCs w:val="28"/>
          <w:rtl/>
        </w:rPr>
        <w:t xml:space="preserve">خون، ۷) دوران خون در داخل بدن، ۸) عمل تفنس، ۹) حرارت حیوانی، ۱۰) بدل ما يتحلل، ۱۱) دفع نشر بدن، فرع آن «تفریع در مختصراتی بیانات»؛ مبحث دوم: در قوای ربطی دارای یک «مقدمه» و چهارده «فصل»: مقدمه: «در اعمال و افعال حيوانات زنده»، ۱) بیان آلات حساس، ۲) حس، 3) قوه لامسه، ۴) قوه ذائقه»، ۵) قوه شامه، ۶) قوه سامعه، ۷) بيان قوه باصره (عنوان فصل ذکر نشد است)، ۸) حرکت، ۹) اسکلت، ۱۰) عضلات، ۱۱) وضع، ۱۲) انتقال، ۱۳) آواز، ۱۴) عقل و شعور.</w:t>
      </w:r>
    </w:p>
    <w:p>
      <w:pPr>
        <w:pStyle w:val="BookText"/>
      </w:pPr>
      <w:r>
        <w:rPr>
          <w:rFonts w:ascii="IRNazanin" w:hAnsi="IRNazanin" w:eastAsia="IRNazanin" w:cs="IRNazanin"/>
          <w:lang w:bidi="fa-IR"/>
          <w:color w:val="111111"/>
          <w:sz w:val="28"/>
          <w:szCs w:val="28"/>
          <w:rtl/>
        </w:rPr>
        <w:t xml:space="preserve">تهران، انجمن آثار و مفاخر فرهنگی؛ شماره نسخه:۱۸</w:t>
      </w:r>
    </w:p>
    <w:p>
      <w:pPr>
        <w:pStyle w:val="BookText"/>
      </w:pPr>
      <w:r>
        <w:rPr>
          <w:rFonts w:ascii="IRNazanin" w:hAnsi="IRNazanin" w:eastAsia="IRNazanin" w:cs="IRNazanin"/>
          <w:lang w:bidi="fa-IR"/>
          <w:color w:val="111111"/>
          <w:sz w:val="28"/>
          <w:szCs w:val="28"/>
          <w:rtl/>
        </w:rPr>
        <w:t xml:space="preserve">آغاز: مقدمه در تاریخ طبیعی، حیوانشناسی مشتمل بر دو فصل: فصل اول -اگر چه از تاریخ طبیعی بمعنی؛ انجام: این رساله بیاناتی که متعلق به طبیعت و صفات عمومی و عمده آنها ست و في الحقيقه تذکره مانندی بجهة رؤوس مسائل. ۱۵ شوال المکرم ۱۲۹۳ هق. خط: نسخ خوش، بی کا، تا: ۱۲۹۳ق؛ کاغذ: فرنگی، جلد: تیماج تریاکی روغنی، ۵۴۳ص، ۱۴</w:t>
      </w:r>
    </w:p>
    <w:p>
      <w:pPr>
        <w:pStyle w:val="BookText"/>
      </w:pPr>
      <w:r>
        <w:rPr>
          <w:rFonts w:ascii="IRNazanin" w:hAnsi="IRNazanin" w:eastAsia="IRNazanin" w:cs="IRNazanin"/>
          <w:lang w:bidi="fa-IR"/>
          <w:color w:val="111111"/>
          <w:sz w:val="28"/>
          <w:szCs w:val="28"/>
          <w:rtl/>
        </w:rPr>
        <w:t xml:space="preserve">← تاریخ طغیان اکراد ← وقایع فتنه شیخ عبدالله</w:t>
      </w:r>
    </w:p>
    <w:p>
      <w:pPr>
        <w:pStyle w:val="Heading3"/>
      </w:pPr>
      <w:bookmarkStart w:id="2441" w:name="_Toc1701"/>
      <w:r>
        <w:t>•تاریخ طغیان اکراد / تاریخ ایران / فارسی</w:t>
      </w:r>
      <w:bookmarkEnd w:id="2441"/>
    </w:p>
    <w:p>
      <w:pPr>
        <w:pStyle w:val="BookText"/>
      </w:pPr>
      <w:r>
        <w:rPr>
          <w:rFonts w:ascii="Times New Roman" w:hAnsi="Times New Roman" w:eastAsia="Times New Roman" w:cs="Times New Roman"/>
          <w:lang w:val="en-US" w:bidi="en-US"/>
          <w:color w:val="111111"/>
          <w:sz w:val="28"/>
          <w:szCs w:val="28"/>
          <w:rtl/>
        </w:rPr>
        <w:t xml:space="preserve">tārīx-e toqyān-e akrād</w:t>
      </w:r>
    </w:p>
    <w:p>
      <w:pPr>
        <w:pStyle w:val="BookText"/>
      </w:pPr>
      <w:r>
        <w:rPr>
          <w:rFonts w:ascii="IRNazanin" w:hAnsi="IRNazanin" w:eastAsia="IRNazanin" w:cs="IRNazanin"/>
          <w:lang w:bidi="fa-IR"/>
          <w:color w:val="111111"/>
          <w:sz w:val="28"/>
          <w:szCs w:val="28"/>
          <w:rtl/>
        </w:rPr>
        <w:t xml:space="preserve">قوریانس، اسکندر، ق۱۳ قمری</w:t>
      </w:r>
    </w:p>
    <w:p>
      <w:pPr>
        <w:pStyle w:val="BookText"/>
      </w:pPr>
      <w:r>
        <w:rPr>
          <w:rFonts w:ascii="Times New Roman" w:hAnsi="Times New Roman" w:eastAsia="Times New Roman" w:cs="Times New Roman"/>
          <w:lang w:val="en-US" w:bidi="en-US"/>
          <w:color w:val="111111"/>
          <w:sz w:val="28"/>
          <w:szCs w:val="28"/>
          <w:rtl/>
        </w:rPr>
        <w:t xml:space="preserve">qūrīyāns, eskandar (-19c)</w:t>
      </w:r>
    </w:p>
    <w:p>
      <w:pPr>
        <w:pStyle w:val="BookText"/>
      </w:pPr>
      <w:r>
        <w:rPr>
          <w:rFonts w:ascii="IRNazanin" w:hAnsi="IRNazanin" w:eastAsia="IRNazanin" w:cs="IRNazanin"/>
          <w:lang w:bidi="fa-IR"/>
          <w:color w:val="111111"/>
          <w:sz w:val="28"/>
          <w:szCs w:val="28"/>
          <w:rtl/>
        </w:rPr>
        <w:t xml:space="preserve">گزارش دقیق طغیان و فتنه شیخ عبدالله کرد است در سال ۱۲۹۷ که اسکندر قوریانس مترجم و منشی کمیسیون دولت ایران در اکسپوزسیون پاریس از سال ۱۸۷۸ (۱۲۹۵) در بازگشت از مأموریت دعبور از مناطق آذربایجان و کردستان خود شاهد و ناظر آن بوده و این گزارش را برای استحضار ناصرالدین شاه نوشته و مأمورین دولت را باعث این فتنه و فساد دانسته است. آغاز: قربان خاکپای جواهر آسایت شوم. اگر فدوی جان نثار بعرض این مختصر وقایع اسف آمیز ... آغاز وقایع: حمزه آقای منکور پس از آنکه فرارا از خاک عثمانی مراجعت نموده و به ایل خود که از تبعه دولت علیه ایران است ملحق شد در اثنای دو سال چنان بنظر میآید که صدمه ای محبوسیت و ناملایمهای غربت او را بمعقولیت و انسانی دلالت کرده و او هم از خیالات وحشیانه خود برگشت کرده پس از این خیالش در این است که روزگار خود را صرف خدمت دولت کرده اسباب آسایش خویش را حاصل کند انجام: ولی از عدم استطاعت چون ذره بیمقدار در زیر کرد خانها مانده اند قدم بعرصه ظهور گذاشته مظهر هزار گونه خدمات لايقه و مصدر اصدارات فایقه خواهند شد.</w:t>
      </w:r>
    </w:p>
    <w:p>
      <w:pPr>
        <w:pStyle w:val="BookText"/>
      </w:pPr>
      <w:r>
        <w:rPr>
          <w:rFonts w:ascii="IRNazanin" w:hAnsi="IRNazanin" w:eastAsia="IRNazanin" w:cs="IRNazanin"/>
          <w:lang w:bidi="fa-IR"/>
          <w:color w:val="111111"/>
          <w:sz w:val="28"/>
          <w:szCs w:val="28"/>
          <w:rtl/>
        </w:rPr>
        <w:t xml:space="preserve">[دنا ۷۲۲/۲ ؛ فهرستواره منزوی ۸۸۵/۲ ]</w:t>
      </w:r>
    </w:p>
    <w:p>
      <w:pPr>
        <w:pStyle w:val="BookText"/>
      </w:pPr>
      <w:r>
        <w:rPr>
          <w:rFonts w:ascii="IRNazanin" w:hAnsi="IRNazanin" w:eastAsia="IRNazanin" w:cs="IRNazanin"/>
          <w:lang w:bidi="fa-IR"/>
          <w:color w:val="111111"/>
          <w:sz w:val="28"/>
          <w:szCs w:val="28"/>
          <w:rtl/>
        </w:rPr>
        <w:t xml:space="preserve">۱. تهران، ملک، شماره نسخه:۳۷۵۹</w:t>
      </w:r>
    </w:p>
    <w:p>
      <w:pPr>
        <w:pStyle w:val="BookText"/>
      </w:pPr>
      <w:r>
        <w:rPr>
          <w:rFonts w:ascii="IRNazanin" w:hAnsi="IRNazanin" w:eastAsia="IRNazanin" w:cs="IRNazanin"/>
          <w:lang w:bidi="fa-IR"/>
          <w:color w:val="111111"/>
          <w:sz w:val="28"/>
          <w:szCs w:val="28"/>
          <w:rtl/>
        </w:rPr>
        <w:t xml:space="preserve">آغاز و انجام: برابر خط: نستعلیق، کا: باقر، تا: ۲۸ رمضان ۱۲۹۸ق؛ کاغذ: کاغذ فرنگی، جلد: میشن قهوه ای، ۶۱گ، ۱۳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۲-۸۵]</w:t>
      </w:r>
    </w:p>
    <w:p>
      <w:pPr>
        <w:pStyle w:val="BookText"/>
      </w:pPr>
      <w:r>
        <w:rPr>
          <w:rFonts w:ascii="IRNazanin" w:hAnsi="IRNazanin" w:eastAsia="IRNazanin" w:cs="IRNazanin"/>
          <w:lang w:bidi="fa-IR"/>
          <w:color w:val="111111"/>
          <w:sz w:val="28"/>
          <w:szCs w:val="28"/>
          <w:rtl/>
        </w:rPr>
        <w:t xml:space="preserve">تهران؛ دانشگاه؛ شماره نسخه: ۵۰۶۴ف</w:t>
      </w:r>
    </w:p>
    <w:p>
      <w:pPr>
        <w:pStyle w:val="BookText"/>
      </w:pPr>
      <w:r>
        <w:rPr>
          <w:rFonts w:ascii="Amiri" w:hAnsi="Amiri" w:eastAsia="Amiri" w:cs="Amiri"/>
          <w:lang w:bidi="ar-SA"/>
          <w:color w:val="111111"/>
          <w:sz w:val="28"/>
          <w:szCs w:val="28"/>
          <w:rtl/>
        </w:rPr>
        <w:t xml:space="preserve">نسخه اصل: همان نسخه بالا [فيلمها ف: ۳-۱۳۰]</w:t>
      </w:r>
    </w:p>
    <w:p>
      <w:pPr>
        <w:pStyle w:val="BookText"/>
      </w:pPr>
      <w:r>
        <w:rPr>
          <w:rFonts w:ascii="IRNazanin" w:hAnsi="IRNazanin" w:eastAsia="IRNazanin" w:cs="IRNazanin"/>
          <w:lang w:bidi="fa-IR"/>
          <w:color w:val="111111"/>
          <w:sz w:val="28"/>
          <w:szCs w:val="28"/>
          <w:rtl/>
        </w:rPr>
        <w:t xml:space="preserve">۲. مشهد؛ رضوی؛ شماره نسخه: ۴۱۸۰</w:t>
      </w:r>
    </w:p>
    <w:p>
      <w:pPr>
        <w:pStyle w:val="BookText"/>
      </w:pPr>
      <w:r>
        <w:rPr>
          <w:rFonts w:ascii="IRNazanin" w:hAnsi="IRNazanin" w:eastAsia="IRNazanin" w:cs="IRNazanin"/>
          <w:lang w:bidi="fa-IR"/>
          <w:color w:val="111111"/>
          <w:sz w:val="28"/>
          <w:szCs w:val="28"/>
          <w:rtl/>
        </w:rPr>
        <w:t xml:space="preserve">آغاز و انجام: برابر خط: نستعلیق، بی کا، تا: قرن ۱۴، واقف: نایینی؛ کاغذ: سفید فرنگی، جلد: پارچه ای، ۸۷گ، ۱۵ سطر ( ۱۴/۷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اندازه: ۱۳/۷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۷-۳۳]</w:t>
      </w:r>
    </w:p>
    <w:p>
      <w:pPr>
        <w:pStyle w:val="BookText"/>
      </w:pPr>
      <w:r>
        <w:rPr>
          <w:rFonts w:ascii="IRNazanin" w:hAnsi="IRNazanin" w:eastAsia="IRNazanin" w:cs="IRNazanin"/>
          <w:lang w:bidi="fa-IR"/>
          <w:color w:val="111111"/>
          <w:sz w:val="28"/>
          <w:szCs w:val="28"/>
          <w:rtl/>
        </w:rPr>
        <w:t xml:space="preserve">٣. تهران؛ مجلس؛ شماره نسخه:۲۸۷۳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میر عبادالله صمغ آبادی قزوینی، تا: ۲۸ جمادی الاول ۱۳۰۴ق، حسب الفرمایش</w:t>
      </w:r>
    </w:p>
    <w:p>
      <w:pPr>
        <w:pStyle w:val="BookText"/>
      </w:pPr>
      <w:r>
        <w:rPr>
          <w:rFonts w:ascii="IRNazanin" w:hAnsi="IRNazanin" w:eastAsia="IRNazanin" w:cs="IRNazanin"/>
          <w:lang w:bidi="fa-IR"/>
          <w:color w:val="111111"/>
          <w:sz w:val="28"/>
          <w:szCs w:val="28"/>
          <w:rtl/>
        </w:rPr>
        <w:t xml:space="preserve">عباسقلی خان سپهر؛ کاغذ: فرنگی اصفهانی، جلد: پارچه سبز مقوایی، ۱۵۰ص، ۱۲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۱۰-۲۲۸]</w:t>
      </w:r>
    </w:p>
    <w:p>
      <w:pPr>
        <w:pStyle w:val="Heading3"/>
      </w:pPr>
      <w:bookmarkStart w:id="2442" w:name="_Toc1702"/>
      <w:r>
        <w:t>•تاریخ طلوع باب / تاریخ ایران / فارسی</w:t>
      </w:r>
      <w:bookmarkEnd w:id="2442"/>
    </w:p>
    <w:p>
      <w:pPr>
        <w:pStyle w:val="BookText"/>
      </w:pPr>
      <w:r>
        <w:rPr>
          <w:rFonts w:ascii="Times New Roman" w:hAnsi="Times New Roman" w:eastAsia="Times New Roman" w:cs="Times New Roman"/>
          <w:lang w:val="en-US" w:bidi="en-US"/>
          <w:color w:val="111111"/>
          <w:sz w:val="28"/>
          <w:szCs w:val="28"/>
          <w:rtl/>
        </w:rPr>
        <w:t xml:space="preserve">tārīx-e tolū‘-e bāb</w:t>
      </w:r>
    </w:p>
    <w:p>
      <w:pPr>
        <w:pStyle w:val="BookText"/>
      </w:pPr>
      <w:r>
        <w:rPr>
          <w:rFonts w:ascii="IRNazanin" w:hAnsi="IRNazanin" w:eastAsia="IRNazanin" w:cs="IRNazanin"/>
          <w:lang w:bidi="fa-IR"/>
          <w:color w:val="111111"/>
          <w:sz w:val="28"/>
          <w:szCs w:val="28"/>
          <w:rtl/>
        </w:rPr>
        <w:t xml:space="preserve">تاریخ تأليف: ۱۲۶۶ق از آغاز کار سید علی محمد باب است تا کشته شدن او در ۱۲۶۶ ق و مرگ حسین علی در ۱۳۰۹ق. تا اینجا به روش بهائیان و از این پس به روش ناقضین یعنی پیروان میرزا محمد على فرزند کوچک حسین علی بهاء الله.</w:t>
      </w:r>
    </w:p>
    <w:p>
      <w:pPr>
        <w:pStyle w:val="BookText"/>
      </w:pPr>
      <w:r>
        <w:rPr>
          <w:rFonts w:ascii="IRNazanin" w:hAnsi="IRNazanin" w:eastAsia="IRNazanin" w:cs="IRNazanin"/>
          <w:lang w:bidi="fa-IR"/>
          <w:color w:val="111111"/>
          <w:sz w:val="28"/>
          <w:szCs w:val="28"/>
          <w:rtl/>
        </w:rPr>
        <w:t xml:space="preserve">آغاز: بسمله، الحمدلله الذي ليس له شبيه ولا نظير و لا شریک و الا وزیر و لا تدركه الأبصار وهو اللطيف الخبير انجام: و معلوم است که اصدق الصادقین و اصدق القاتلین بوده ... لاحول ولا قوة الا بالله العلى العال العادل المقتدر العظيم</w:t>
      </w:r>
    </w:p>
    <w:p>
      <w:pPr>
        <w:pStyle w:val="BookText"/>
      </w:pPr>
      <w:r>
        <w:rPr>
          <w:rFonts w:ascii="IRNazanin" w:hAnsi="IRNazanin" w:eastAsia="IRNazanin" w:cs="IRNazanin"/>
          <w:lang w:bidi="fa-IR"/>
          <w:color w:val="111111"/>
          <w:sz w:val="28"/>
          <w:szCs w:val="28"/>
          <w:rtl/>
        </w:rPr>
        <w:t xml:space="preserve">[دنا ۷۲۲/۲ ؛ فهرستواره منزوی ۸۸۶/۲ ]</w:t>
      </w:r>
    </w:p>
    <w:p>
      <w:pPr>
        <w:pStyle w:val="BookText"/>
      </w:pPr>
      <w:r>
        <w:rPr>
          <w:rFonts w:ascii="IRNazanin" w:hAnsi="IRNazanin" w:eastAsia="IRNazanin" w:cs="IRNazanin"/>
          <w:lang w:bidi="fa-IR"/>
          <w:color w:val="111111"/>
          <w:sz w:val="28"/>
          <w:szCs w:val="28"/>
          <w:rtl/>
        </w:rPr>
        <w:t xml:space="preserve">تهران؛ ملک؛ شماره نسخه: ۶۱۰۳/۱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جلد: قهوه ای ساغری، ۸۰گ (آپ ۸۰پ)، ۱۱ سطر، اندازه:</w:t>
      </w:r>
    </w:p>
    <w:p>
      <w:pPr>
        <w:pStyle w:val="BookText"/>
      </w:pPr>
      <w:r>
        <w:rPr>
          <w:rFonts w:ascii="IRNazanin" w:hAnsi="IRNazanin" w:eastAsia="IRNazanin" w:cs="IRNazanin"/>
          <w:lang w:bidi="fa-IR"/>
          <w:color w:val="111111"/>
          <w:sz w:val="28"/>
          <w:szCs w:val="28"/>
          <w:rtl/>
        </w:rPr>
        <w:t xml:space="preserve">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سم [ف: ۹-۱۶۱]</w:t>
      </w:r>
    </w:p>
    <w:p>
      <w:pPr>
        <w:pStyle w:val="Heading3"/>
      </w:pPr>
      <w:bookmarkStart w:id="2443" w:name="_Toc1703"/>
      <w:r>
        <w:t>•تاریخ طم وری / داستان / عربی</w:t>
      </w:r>
      <w:bookmarkEnd w:id="2443"/>
    </w:p>
    <w:p>
      <w:pPr>
        <w:pStyle w:val="BookText"/>
      </w:pPr>
      <w:r>
        <w:rPr>
          <w:rFonts w:ascii="Times New Roman" w:hAnsi="Times New Roman" w:eastAsia="Times New Roman" w:cs="Times New Roman"/>
          <w:lang w:val="en-US" w:bidi="en-US"/>
          <w:color w:val="111111"/>
          <w:sz w:val="28"/>
          <w:szCs w:val="28"/>
          <w:rtl/>
        </w:rPr>
        <w:t xml:space="preserve">tārīx-e tem-varī</w:t>
      </w:r>
    </w:p>
    <w:p>
      <w:pPr>
        <w:pStyle w:val="BookText"/>
      </w:pPr>
      <w:r>
        <w:rPr>
          <w:rFonts w:ascii="IRNazanin" w:hAnsi="IRNazanin" w:eastAsia="IRNazanin" w:cs="IRNazanin"/>
          <w:lang w:bidi="fa-IR"/>
          <w:color w:val="111111"/>
          <w:sz w:val="28"/>
          <w:szCs w:val="28"/>
          <w:rtl/>
        </w:rPr>
        <w:t xml:space="preserve">از تواریخ افسانه ای پیش از اسلام.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514" w:name="pg20363_209826"/>
    <w:bookmarkEnd w:id="514"/>
    <w:p>
      <w:pPr>
        <w:pStyle w:val="BookText"/>
      </w:pPr>
      <w:r>
        <w:rPr>
          <w:rFonts w:ascii="IRNazanin" w:hAnsi="IRNazanin" w:eastAsia="IRNazanin" w:cs="IRNazanin"/>
          <w:lang w:bidi="fa-IR"/>
          <w:color w:val="111111"/>
          <w:sz w:val="28"/>
          <w:szCs w:val="28"/>
          <w:rtl/>
        </w:rPr>
        <w:t xml:space="preserve">تهران؛ مجلس؛ شماره نسخه: ۳۴۵۵/۲۷۳</w:t>
      </w:r>
    </w:p>
    <w:p>
      <w:pPr>
        <w:pStyle w:val="BookText"/>
      </w:pPr>
      <w:r>
        <w:rPr>
          <w:rFonts w:ascii="IRNazanin" w:hAnsi="IRNazanin" w:eastAsia="IRNazanin" w:cs="IRNazanin"/>
          <w:lang w:bidi="fa-IR"/>
          <w:color w:val="111111"/>
          <w:sz w:val="28"/>
          <w:szCs w:val="28"/>
          <w:rtl/>
        </w:rPr>
        <w:t xml:space="preserve">آغاز: فصل في السلكان في الأرض قبل بنی آدم ... روی مجاهد عن أبي عباس رضي الله عنهما قال كان في الارض امم قبل الجن و البن فانقرضواء انجام: و بعد هذا خلق الله آدم عليه السلام قال الله تعالی انی جاعل في الأرض خليفة آدم عليه السلام.</w:t>
      </w:r>
    </w:p>
    <w:p>
      <w:pPr>
        <w:pStyle w:val="BookText"/>
      </w:pPr>
      <w:r>
        <w:rPr>
          <w:rFonts w:ascii="IRNazanin" w:hAnsi="IRNazanin" w:eastAsia="IRNazanin" w:cs="IRNazanin"/>
          <w:lang w:bidi="fa-IR"/>
          <w:color w:val="111111"/>
          <w:sz w:val="28"/>
          <w:szCs w:val="28"/>
          <w:rtl/>
        </w:rPr>
        <w:t xml:space="preserve">كاتب سپس افزوده: «كتبه احمد غلام خزانه عامره هنگام وحشت طرفین ایرانی و روی حق بخیر بگذارند ۲۵ صفر ۱۱۴۰» كا: احمد غلام خزانه عامره، تا: ۲۵ صفر ۱۱۴۰ق؛ جلد: تیماج قرمز، ۲ ص (۴۰۱-۴۰۲)،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۱۰-۱۳۷۵]</w:t>
      </w:r>
    </w:p>
    <w:p>
      <w:pPr>
        <w:pStyle w:val="BookText"/>
      </w:pPr>
      <w:r>
        <w:rPr>
          <w:rFonts w:ascii="IRNazanin" w:hAnsi="IRNazanin" w:eastAsia="IRNazanin" w:cs="IRNazanin"/>
          <w:lang w:bidi="fa-IR"/>
          <w:color w:val="111111"/>
          <w:sz w:val="28"/>
          <w:szCs w:val="28"/>
          <w:rtl/>
        </w:rPr>
        <w:t xml:space="preserve">←تاریخ طوایف ← کتاب اسکات</w:t>
      </w:r>
    </w:p>
    <w:p>
      <w:pPr>
        <w:pStyle w:val="Heading3"/>
      </w:pPr>
      <w:bookmarkStart w:id="2444" w:name="_Toc1704"/>
      <w:r>
        <w:t>•تاریخ طوایف بنی اردلان / تاریخ ایران / فارسی</w:t>
      </w:r>
      <w:bookmarkEnd w:id="2444"/>
    </w:p>
    <w:p>
      <w:pPr>
        <w:pStyle w:val="BookText"/>
      </w:pPr>
      <w:r>
        <w:rPr>
          <w:rFonts w:ascii="Times New Roman" w:hAnsi="Times New Roman" w:eastAsia="Times New Roman" w:cs="Times New Roman"/>
          <w:lang w:val="en-US" w:bidi="en-US"/>
          <w:color w:val="111111"/>
          <w:sz w:val="28"/>
          <w:szCs w:val="28"/>
          <w:rtl/>
        </w:rPr>
        <w:t xml:space="preserve">tārīx-e tavāyef-e banī ardalān</w:t>
      </w:r>
    </w:p>
    <w:p>
      <w:pPr>
        <w:pStyle w:val="BookText"/>
      </w:pPr>
      <w:r>
        <w:rPr>
          <w:rFonts w:ascii="IRNazanin" w:hAnsi="IRNazanin" w:eastAsia="IRNazanin" w:cs="IRNazanin"/>
          <w:lang w:bidi="fa-IR"/>
          <w:color w:val="111111"/>
          <w:sz w:val="28"/>
          <w:szCs w:val="28"/>
          <w:rtl/>
        </w:rPr>
        <w:t xml:space="preserve">وقایع نگار کردستانی، علی اکبر بن عبدالله، ق ۱۴ قمری</w:t>
      </w:r>
    </w:p>
    <w:p>
      <w:pPr>
        <w:pStyle w:val="BookText"/>
      </w:pPr>
      <w:r>
        <w:rPr>
          <w:rFonts w:ascii="Times New Roman" w:hAnsi="Times New Roman" w:eastAsia="Times New Roman" w:cs="Times New Roman"/>
          <w:lang w:val="en-US" w:bidi="en-US"/>
          <w:color w:val="111111"/>
          <w:sz w:val="28"/>
          <w:szCs w:val="28"/>
          <w:rtl/>
        </w:rPr>
        <w:t xml:space="preserve">vaqāye’-negār-e kordestānī, ‘alī akbar ebn-e ‘abd-ol lah (-20c)</w:t>
      </w:r>
    </w:p>
    <w:p>
      <w:pPr>
        <w:pStyle w:val="BookText"/>
      </w:pPr>
      <w:r>
        <w:rPr>
          <w:rFonts w:ascii="IRNazanin" w:hAnsi="IRNazanin" w:eastAsia="IRNazanin" w:cs="IRNazanin"/>
          <w:lang w:bidi="fa-IR"/>
          <w:color w:val="111111"/>
          <w:sz w:val="28"/>
          <w:szCs w:val="28"/>
          <w:rtl/>
        </w:rPr>
        <w:t xml:space="preserve">مؤلف در آغاز گوید: بر مرآت خواطر دوربینان پرتوافکن می شود که طوایف بنی اردلان و حکام ذى شأن ایشان از ایام قديم الى الان در ولایت موصل و دیار بکر کردستان و بابان متمکن مسند حکمرانی و معاصر چنگیزی و امیر تیمور کورکانی بوده ... کتابی مشتمل بر کیفیت احوال ایشان برشته تحریر برنیامده.</w:t>
      </w:r>
    </w:p>
    <w:p>
      <w:pPr>
        <w:pStyle w:val="BookText"/>
      </w:pPr>
      <w:r>
        <w:rPr>
          <w:rFonts w:ascii="IRNazanin" w:hAnsi="IRNazanin" w:eastAsia="IRNazanin" w:cs="IRNazanin"/>
          <w:lang w:bidi="fa-IR"/>
          <w:color w:val="111111"/>
          <w:sz w:val="28"/>
          <w:szCs w:val="28"/>
          <w:rtl/>
        </w:rPr>
        <w:t xml:space="preserve">بنابراین گزارش آن طایفه در پرده خفاست ... آنچه در شرف نامه به نظر رسیده و از دانشمندان شنیده یا در سایر کتب معتبر دیده به رشته تحریر و سلك تسطیر کشیده است.</w:t>
      </w:r>
    </w:p>
    <w:p>
      <w:pPr>
        <w:pStyle w:val="BookText"/>
      </w:pPr>
      <w:r>
        <w:rPr>
          <w:rFonts w:ascii="IRNazanin" w:hAnsi="IRNazanin" w:eastAsia="IRNazanin" w:cs="IRNazanin"/>
          <w:lang w:bidi="fa-IR"/>
          <w:color w:val="111111"/>
          <w:sz w:val="28"/>
          <w:szCs w:val="28"/>
          <w:rtl/>
        </w:rPr>
        <w:t xml:space="preserve">آغاز: بسمله بهترین حمدی که آغاز کلام را شاید شکر خالقی است ... و بعد بر مرآت خواطر دوربینان و ... که طوایف بنی اردلان و ولات و حکام ذى شأن ایشان از ایام قدیم الى الان در ولایت موصل و دیار بکر و سایر کردستانات متمکن مسند حکمرانی ... ولی کتابی مشتمل بر کیفیت احوال ایشان برشته تحریر و سلك تسطير برنیامده آنچه در شرفنامه بنظر رسیده و از دانشمندان شنیده یا در سایر کتب معتبر دیده برشته تحریر و سلک تسطیر کشیده. در بیان اکراد بنی اردلان ... [دنا ۷۲۲/۲ ؛ فهرستواره منزوی ۸۸۶/۲ ]</w:t>
      </w:r>
    </w:p>
    <w:p>
      <w:pPr>
        <w:pStyle w:val="BookText"/>
      </w:pPr>
      <w:r>
        <w:rPr>
          <w:rFonts w:ascii="IRNazanin" w:hAnsi="IRNazanin" w:eastAsia="IRNazanin" w:cs="IRNazanin"/>
          <w:lang w:bidi="fa-IR"/>
          <w:color w:val="111111"/>
          <w:sz w:val="28"/>
          <w:szCs w:val="28"/>
          <w:rtl/>
        </w:rPr>
        <w:t xml:space="preserve">۱. قم؛ گلپایگانی؛ شماره نسخه:۸۳۷- ۵/۱۲۷</w:t>
      </w:r>
    </w:p>
    <w:p>
      <w:pPr>
        <w:pStyle w:val="BookText"/>
      </w:pPr>
      <w:r>
        <w:rPr>
          <w:rFonts w:ascii="IRNazanin" w:hAnsi="IRNazanin" w:eastAsia="IRNazanin" w:cs="IRNazanin"/>
          <w:lang w:bidi="fa-IR"/>
          <w:color w:val="111111"/>
          <w:sz w:val="28"/>
          <w:szCs w:val="28"/>
          <w:rtl/>
        </w:rPr>
        <w:t xml:space="preserve">آغاز: برابر؛ انجام: اگر قنبر علیخان را ندیدستی برو بشنو *** که قنبر چون ز جان و دل غلام شاه مردان شد / پی کوچ ارسنندج تا به اصلان بکاری ۹۷ گران شد آنچنان کز بهر یک خر شد در فهرست ناشناس؛ خط: نستعلیق، بی کا، تا: قرن ۱۴؛ افتادگی: وسط و انجام؛ قسمتی از نسخه به لاجورد تحریر شد، برگها از هم جدا شده؛ جلد: مقوا بنفش عطف پارچه سرخ، ۲۵گ، ۲۱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۲-۶۸۱]</w:t>
      </w:r>
    </w:p>
    <w:p>
      <w:pPr>
        <w:pStyle w:val="BookText"/>
      </w:pPr>
      <w:r>
        <w:rPr>
          <w:rFonts w:ascii="IRNazanin" w:hAnsi="IRNazanin" w:eastAsia="IRNazanin" w:cs="IRNazanin"/>
          <w:lang w:bidi="fa-IR"/>
          <w:color w:val="111111"/>
          <w:sz w:val="28"/>
          <w:szCs w:val="28"/>
          <w:rtl/>
        </w:rPr>
        <w:t xml:space="preserve">٢. مشهد؛ الهیات؛ شماره نسخه: ۱/۱۴۸۱۰</w:t>
      </w:r>
    </w:p>
    <w:p>
      <w:pPr>
        <w:pStyle w:val="BookText"/>
      </w:pPr>
      <w:r>
        <w:rPr>
          <w:rFonts w:ascii="IRNazanin" w:hAnsi="IRNazanin" w:eastAsia="IRNazanin" w:cs="IRNazanin"/>
          <w:lang w:bidi="fa-IR"/>
          <w:color w:val="111111"/>
          <w:sz w:val="28"/>
          <w:szCs w:val="28"/>
          <w:rtl/>
        </w:rPr>
        <w:t xml:space="preserve">آغاز: برابر؛ انجام: ذکر حکمرانی میرزا محمد ابراهیم خان نظام الدوله امير تومان و واقعات ایام او مورخ گوید اکنون که بیست و دويم شهر ربيع الثانی ۱۳۰۶ هـ است ...</w:t>
      </w:r>
    </w:p>
    <w:p>
      <w:pPr>
        <w:pStyle w:val="BookText"/>
      </w:pPr>
      <w:r>
        <w:rPr>
          <w:rFonts w:ascii="IRNazanin" w:hAnsi="IRNazanin" w:eastAsia="IRNazanin" w:cs="IRNazanin"/>
          <w:lang w:bidi="fa-IR"/>
          <w:color w:val="111111"/>
          <w:sz w:val="28"/>
          <w:szCs w:val="28"/>
          <w:rtl/>
        </w:rPr>
        <w:t xml:space="preserve">خط: نستعلیق، بی کا، بی تا، افتادگی: انجام؛ کاغذ: فرنگی، جلد: تیماج خرمایی، ۱۵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۲-۱۰۷]</w:t>
      </w:r>
    </w:p>
    <w:p>
      <w:pPr>
        <w:pStyle w:val="Heading3"/>
      </w:pPr>
      <w:bookmarkStart w:id="2445" w:name="_Toc1705"/>
      <w:r>
        <w:t>•تاریخ طوس / تاریخ / عربی</w:t>
      </w:r>
      <w:bookmarkEnd w:id="2445"/>
    </w:p>
    <w:p>
      <w:pPr>
        <w:pStyle w:val="BookText"/>
      </w:pPr>
      <w:r>
        <w:rPr>
          <w:rFonts w:ascii="Times New Roman" w:hAnsi="Times New Roman" w:eastAsia="Times New Roman" w:cs="Times New Roman"/>
          <w:lang w:val="en-US" w:bidi="en-US"/>
          <w:color w:val="111111"/>
          <w:sz w:val="28"/>
          <w:szCs w:val="28"/>
          <w:rtl/>
        </w:rPr>
        <w:t xml:space="preserve">tārīx-e tūs</w:t>
      </w:r>
    </w:p>
    <w:p>
      <w:pPr>
        <w:pStyle w:val="BookText"/>
      </w:pPr>
      <w:r>
        <w:rPr>
          <w:rFonts w:ascii="IRNazanin" w:hAnsi="IRNazanin" w:eastAsia="IRNazanin" w:cs="IRNazanin"/>
          <w:lang w:bidi="fa-IR"/>
          <w:color w:val="111111"/>
          <w:sz w:val="28"/>
          <w:szCs w:val="28"/>
          <w:rtl/>
        </w:rPr>
        <w:t xml:space="preserve">علوی سبزواری، محمد مهدی بن ابراهیم، ۱۳۲۶-۱۳۵۰ قمری</w:t>
      </w:r>
    </w:p>
    <w:p>
      <w:pPr>
        <w:pStyle w:val="BookText"/>
      </w:pPr>
      <w:r>
        <w:rPr>
          <w:rFonts w:ascii="Times New Roman" w:hAnsi="Times New Roman" w:eastAsia="Times New Roman" w:cs="Times New Roman"/>
          <w:lang w:val="en-US" w:bidi="en-US"/>
          <w:color w:val="111111"/>
          <w:sz w:val="28"/>
          <w:szCs w:val="28"/>
          <w:rtl/>
        </w:rPr>
        <w:t xml:space="preserve">aʻlavī sabzevārī, mohammad mahdī ebn-e ebrāhīm (1908-1932)</w:t>
      </w:r>
    </w:p>
    <w:p>
      <w:pPr>
        <w:pStyle w:val="BookText"/>
      </w:pPr>
      <w:r>
        <w:rPr>
          <w:rFonts w:ascii="IRNazanin" w:hAnsi="IRNazanin" w:eastAsia="IRNazanin" w:cs="IRNazanin"/>
          <w:lang w:bidi="fa-IR"/>
          <w:color w:val="111111"/>
          <w:sz w:val="28"/>
          <w:szCs w:val="28"/>
          <w:rtl/>
        </w:rPr>
        <w:t xml:space="preserve">تاريخ تأليف: ۱۹ جمادی الثانی ۱۳۴۵ق؛ محل تألیف: سبزوار رساله کوتاهی در تاریخ و جغرافیای طوس و زندگانی کوتاه امام رضا (عليه السلام)است. آغاز: بسمله. بعد الحمد و الصلاة هذه رسالة و جيزة كتبتها للمؤلفين بقرائة المباحث التاريخيية ... طوس هي حاضرة ايالة خراسان و من امهات بلاد ایران. چاپ: بغداد، مجله الرشد، ۱۳۴۶ق</w:t>
      </w:r>
    </w:p>
    <w:p>
      <w:pPr>
        <w:pStyle w:val="BookText"/>
      </w:pPr>
      <w:r>
        <w:rPr>
          <w:rFonts w:ascii="IRNazanin" w:hAnsi="IRNazanin" w:eastAsia="IRNazanin" w:cs="IRNazanin"/>
          <w:lang w:bidi="fa-IR"/>
          <w:color w:val="111111"/>
          <w:sz w:val="28"/>
          <w:szCs w:val="28"/>
          <w:rtl/>
        </w:rPr>
        <w:t xml:space="preserve">مشهد؛ رضوی؛ شماره نسخه:۱۹۹۲۳</w:t>
      </w:r>
    </w:p>
    <w:p>
      <w:pPr>
        <w:pStyle w:val="BookText"/>
      </w:pPr>
      <w:r>
        <w:rPr>
          <w:rFonts w:ascii="IRNazanin" w:hAnsi="IRNazanin" w:eastAsia="IRNazanin" w:cs="IRNazanin"/>
          <w:lang w:bidi="fa-IR"/>
          <w:color w:val="111111"/>
          <w:sz w:val="28"/>
          <w:szCs w:val="28"/>
          <w:rtl/>
        </w:rPr>
        <w:t xml:space="preserve">آغاز: برابر، انجام: فلم يجد احق بالخلافة من على الرضا(عليه السلام)انتهى. هذا ما أردت ایراده في هذه الرسالة الموجزة من الحقائق الناصعة ... و تخليتها عن الخرافات و الأوهام التي لا تقبلها العقول السليمة و من الله التوفيق ... سبزوار في 19 جمادی الاخره ۱۳۴۵ هجرية محمد مهدي العلوی. خط: نسخ، كا: احمد صفایی خوانساری، تا: قرن ۱۴؛ محشی با نشانی «العلوی»، در دو صفحه پایانی شرح حال مختصری از مؤلف به قلم سید صالح شهرستانی مدیر مجله المرشد آمده است (۱۹۵ر۱۹۵پ)؛ اهدایی: رهبری، خرداد ۱۳۷۳؛ کاغذ: صنعتی جدید، جلد: مقوا روکش کاغذی بنفش، ۱۰گ (۱۸۶ر۱۹۵پ)، ۱۵ سطر، اندازه: ۱۰/۵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 اهدائی رهبر: ۸-۳۷۷]</w:t>
      </w:r>
    </w:p>
    <w:p>
      <w:pPr>
        <w:pStyle w:val="Heading3"/>
      </w:pPr>
      <w:bookmarkStart w:id="2446" w:name="_Toc1706"/>
      <w:r>
        <w:t>•تاریخ طهماسب قلی خان / تاریخ ایران / فارسی</w:t>
      </w:r>
      <w:bookmarkEnd w:id="2446"/>
    </w:p>
    <w:p>
      <w:pPr>
        <w:pStyle w:val="BookText"/>
      </w:pPr>
      <w:r>
        <w:rPr>
          <w:rFonts w:ascii="Times New Roman" w:hAnsi="Times New Roman" w:eastAsia="Times New Roman" w:cs="Times New Roman"/>
          <w:lang w:val="en-US" w:bidi="en-US"/>
          <w:color w:val="111111"/>
          <w:sz w:val="28"/>
          <w:szCs w:val="28"/>
          <w:rtl/>
        </w:rPr>
        <w:t xml:space="preserve">tārīx-e tahmāsb qolī xān</w:t>
      </w:r>
    </w:p>
    <w:p>
      <w:pPr>
        <w:pStyle w:val="BookText"/>
      </w:pPr>
      <w:r>
        <w:rPr>
          <w:rFonts w:ascii="IRNazanin" w:hAnsi="IRNazanin" w:eastAsia="IRNazanin" w:cs="IRNazanin"/>
          <w:lang w:bidi="fa-IR"/>
          <w:color w:val="111111"/>
          <w:sz w:val="28"/>
          <w:szCs w:val="28"/>
          <w:rtl/>
        </w:rPr>
        <w:t xml:space="preserve">تهران؛ مجلس؛ شماره نسخه:۱۱۲۲۷</w:t>
      </w:r>
    </w:p>
    <w:p>
      <w:pPr>
        <w:pStyle w:val="BookText"/>
      </w:pPr>
      <w:r>
        <w:rPr>
          <w:rFonts w:ascii="IRNazanin" w:hAnsi="IRNazanin" w:eastAsia="IRNazanin" w:cs="IRNazanin"/>
          <w:lang w:bidi="fa-IR"/>
          <w:color w:val="111111"/>
          <w:sz w:val="28"/>
          <w:szCs w:val="28"/>
          <w:rtl/>
        </w:rPr>
        <w:t xml:space="preserve">خط: تحریری، بی کا، تا: قرن ۱۴ [مختصر ف: ۱۲۷]</w:t>
      </w:r>
    </w:p>
    <w:p>
      <w:pPr>
        <w:pStyle w:val="Heading3"/>
      </w:pPr>
      <w:bookmarkStart w:id="2447" w:name="_Toc1707"/>
      <w:r>
        <w:t>•تاریخ ظهور المنطق / منطق / عربی</w:t>
      </w:r>
      <w:bookmarkEnd w:id="2447"/>
    </w:p>
    <w:p>
      <w:pPr>
        <w:pStyle w:val="BookText"/>
      </w:pPr>
      <w:r>
        <w:rPr>
          <w:rFonts w:ascii="Times New Roman" w:hAnsi="Times New Roman" w:eastAsia="Times New Roman" w:cs="Times New Roman"/>
          <w:lang w:val="en-US" w:bidi="en-US"/>
          <w:color w:val="111111"/>
          <w:sz w:val="28"/>
          <w:szCs w:val="28"/>
          <w:rtl/>
        </w:rPr>
        <w:t xml:space="preserve">tārīx-u Zuhūr-il manțiq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515" w:name="pg20363_209827"/>
    <w:bookmarkEnd w:id="515"/>
    <w:p>
      <w:pPr>
        <w:pStyle w:val="BookText"/>
      </w:pPr>
      <w:r>
        <w:rPr>
          <w:rFonts w:ascii="IRNazanin" w:hAnsi="IRNazanin" w:eastAsia="IRNazanin" w:cs="IRNazanin"/>
          <w:lang w:bidi="fa-IR"/>
          <w:color w:val="111111"/>
          <w:sz w:val="28"/>
          <w:szCs w:val="28"/>
          <w:rtl/>
        </w:rPr>
        <w:t xml:space="preserve">علامه حائری مازندرانی، محمد صالح بن فضل الله، ۱۳۹۱-۱۲۹۷ قمری</w:t>
      </w:r>
    </w:p>
    <w:p>
      <w:pPr>
        <w:pStyle w:val="BookText"/>
      </w:pPr>
      <w:r>
        <w:rPr>
          <w:rFonts w:ascii="Times New Roman" w:hAnsi="Times New Roman" w:eastAsia="Times New Roman" w:cs="Times New Roman"/>
          <w:lang w:val="en-US" w:bidi="en-US"/>
          <w:color w:val="111111"/>
          <w:sz w:val="28"/>
          <w:szCs w:val="28"/>
          <w:rtl/>
        </w:rPr>
        <w:t xml:space="preserve">‘allāme hā’erī māzandarānī, mohammad sāleh ebn-e fazl-ol-lah (1880-1971)</w:t>
      </w:r>
    </w:p>
    <w:p>
      <w:pPr>
        <w:pStyle w:val="BookText"/>
      </w:pPr>
      <w:r>
        <w:rPr>
          <w:rFonts w:ascii="IRNazanin" w:hAnsi="IRNazanin" w:eastAsia="IRNazanin" w:cs="IRNazanin"/>
          <w:lang w:bidi="fa-IR"/>
          <w:color w:val="111111"/>
          <w:sz w:val="28"/>
          <w:szCs w:val="28"/>
          <w:rtl/>
        </w:rPr>
        <w:t xml:space="preserve">تاریخ تألیف: دهه دوم ربیع الاول ۱۳۵۵ق رساله ای است تحقیقی درباره منطق. قبل از دیباچه چنین آورده است: «هذه رسالة في تاريخ فن المنطق و تشخیص مؤسسه المحقق تتضمن تاریخ افلاطون و ارسطو و زینون الیائی والرواقی و غیر هم و غير ذلك من الفوائد المهمة الفناها في العشر الثاني من ربيع الأول ۱۳۵۵ ه آغاز: نحمدک یا من وهب المنطق لا رسطو و وقاه ممن يبطش به او يسطو و نشكرك على تعليمك لنا الميزان و فضلك بالقول الفصل بين نوعى المغالطة و البرهان و الصلاة و السلام على من تكاملت الانواع لوجوده</w:t>
      </w:r>
    </w:p>
    <w:p>
      <w:pPr>
        <w:pStyle w:val="BookText"/>
      </w:pPr>
      <w:r>
        <w:rPr>
          <w:rFonts w:ascii="IRNazanin" w:hAnsi="IRNazanin" w:eastAsia="IRNazanin" w:cs="IRNazanin"/>
          <w:lang w:bidi="fa-IR"/>
          <w:color w:val="111111"/>
          <w:sz w:val="28"/>
          <w:szCs w:val="28"/>
          <w:rtl/>
        </w:rPr>
        <w:t xml:space="preserve">مشهد؛ رضوی؛ شماره نسخه:ض ۲۷۰۲۱</w:t>
      </w:r>
    </w:p>
    <w:p>
      <w:pPr>
        <w:pStyle w:val="BookText"/>
      </w:pPr>
      <w:r>
        <w:rPr>
          <w:rFonts w:ascii="IRNazanin" w:hAnsi="IRNazanin" w:eastAsia="IRNazanin" w:cs="IRNazanin"/>
          <w:lang w:bidi="fa-IR"/>
          <w:color w:val="111111"/>
          <w:sz w:val="28"/>
          <w:szCs w:val="28"/>
          <w:rtl/>
        </w:rPr>
        <w:t xml:space="preserve">آغاز: برابر؛ انجام: قلنا عموم مستوعية و هموم مخصوصة فالحمدلله علهذا القدر من التوفيق او اللعب الدقيق او التفريح الأنيق ... و انا مؤلفها خط: نسخ و نستعلیق، کاتب = مؤلف، بی تا؛ اهدایی: کتابخانه آية الله شیخ محمد صالح علامه حائری در تیر ۱۳۵۱؛ کاغذ: خط دار فرنگی، جلد: مقوا، ۲۳گ،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۲۴-۲۶]</w:t>
      </w:r>
    </w:p>
    <w:p>
      <w:pPr>
        <w:pStyle w:val="Heading3"/>
      </w:pPr>
      <w:bookmarkStart w:id="2448" w:name="_Toc1708"/>
      <w:r>
        <w:t>•تاریخ عالم / تاریخ عمومی / فارسی</w:t>
      </w:r>
      <w:bookmarkEnd w:id="2448"/>
    </w:p>
    <w:p>
      <w:pPr>
        <w:pStyle w:val="BookText"/>
      </w:pPr>
      <w:r>
        <w:rPr>
          <w:rFonts w:ascii="Times New Roman" w:hAnsi="Times New Roman" w:eastAsia="Times New Roman" w:cs="Times New Roman"/>
          <w:lang w:val="en-US" w:bidi="en-US"/>
          <w:color w:val="111111"/>
          <w:sz w:val="28"/>
          <w:szCs w:val="28"/>
          <w:rtl/>
        </w:rPr>
        <w:t xml:space="preserve">tārīx-e 'ālam</w:t>
      </w:r>
    </w:p>
    <w:p>
      <w:pPr>
        <w:pStyle w:val="BookText"/>
      </w:pPr>
      <w:r>
        <w:rPr>
          <w:rFonts w:ascii="IRNazanin" w:hAnsi="IRNazanin" w:eastAsia="IRNazanin" w:cs="IRNazanin"/>
          <w:lang w:bidi="fa-IR"/>
          <w:color w:val="111111"/>
          <w:sz w:val="28"/>
          <w:szCs w:val="28"/>
          <w:rtl/>
        </w:rPr>
        <w:t xml:space="preserve">فروغی، ابوالحسن، ۱۲۶۳-۱۳۳۸ شمسی</w:t>
      </w:r>
    </w:p>
    <w:p>
      <w:pPr>
        <w:pStyle w:val="BookText"/>
      </w:pPr>
      <w:r>
        <w:rPr>
          <w:rFonts w:ascii="Times New Roman" w:hAnsi="Times New Roman" w:eastAsia="Times New Roman" w:cs="Times New Roman"/>
          <w:lang w:val="en-US" w:bidi="en-US"/>
          <w:color w:val="111111"/>
          <w:sz w:val="28"/>
          <w:szCs w:val="28"/>
          <w:rtl/>
        </w:rPr>
        <w:t xml:space="preserve">foruqi, ab-ol-hasan (1884-1959)</w:t>
      </w:r>
    </w:p>
    <w:p>
      <w:pPr>
        <w:pStyle w:val="BookText"/>
      </w:pPr>
      <w:r>
        <w:rPr>
          <w:rFonts w:ascii="IRNazanin" w:hAnsi="IRNazanin" w:eastAsia="IRNazanin" w:cs="IRNazanin"/>
          <w:lang w:bidi="fa-IR"/>
          <w:color w:val="111111"/>
          <w:sz w:val="28"/>
          <w:szCs w:val="28"/>
          <w:rtl/>
        </w:rPr>
        <w:t xml:space="preserve">مؤلف هنگامی که معلم دارالفنون و علوم سیاسی بوده خلاصه تاریخ اروپا و آمریکا و خاور دور را (در قرن۱۹م) در ۱۵</w:t>
      </w:r>
    </w:p>
    <w:p>
      <w:pPr>
        <w:pStyle w:val="BookText"/>
      </w:pPr>
      <w:r>
        <w:rPr>
          <w:rFonts w:ascii="IRNazanin" w:hAnsi="IRNazanin" w:eastAsia="IRNazanin" w:cs="IRNazanin"/>
          <w:lang w:bidi="fa-IR"/>
          <w:color w:val="111111"/>
          <w:sz w:val="28"/>
          <w:szCs w:val="28"/>
          <w:rtl/>
        </w:rPr>
        <w:t xml:space="preserve">« فصل» و یک «خاتمه» نوشته است. خاتمه کتاب در اوضاع حاليه عالم است و گویا برای دانشجویان و دانش آموزان نگاشته باشد.</w:t>
      </w:r>
    </w:p>
    <w:p>
      <w:pPr>
        <w:pStyle w:val="BookText"/>
      </w:pPr>
      <w:r>
        <w:rPr>
          <w:rFonts w:ascii="IRNazanin" w:hAnsi="IRNazanin" w:eastAsia="IRNazanin" w:cs="IRNazanin"/>
          <w:lang w:bidi="fa-IR"/>
          <w:color w:val="111111"/>
          <w:sz w:val="28"/>
          <w:szCs w:val="28"/>
          <w:rtl/>
        </w:rPr>
        <w:t xml:space="preserve">آغاز: بسمه تعالی مقدمه، مقدمات و علل انقلاب کبیر فرانسه شورش است که واقع شده است در آن واحد بر چند چیز یکی آثاری که از اوضاع شوالیه باقی بود دیگر استبداد سلطنت که در قرون جدید تولید شده بود انجام: و امروز فلسفه تکامل و ارتقاء مبنای تاریخ طبیعی و علوم راجعه باحوال انسان است حاصل آنکه نتیجه تحقیقات علمی جديد اعتقاد بیک ترقی قهری طبیعی در دنیا گردیده است باقی کیفیات از تمدن معاصر مشهورتر از آن است که قابل تذکار باشد. [فهرستواره منزوی ۵۸۲/۱ ]</w:t>
      </w:r>
    </w:p>
    <w:p>
      <w:pPr>
        <w:pStyle w:val="BookText"/>
      </w:pPr>
      <w:r>
        <w:rPr>
          <w:rFonts w:ascii="IRNazanin" w:hAnsi="IRNazanin" w:eastAsia="IRNazanin" w:cs="IRNazanin"/>
          <w:lang w:bidi="fa-IR"/>
          <w:color w:val="111111"/>
          <w:sz w:val="28"/>
          <w:szCs w:val="28"/>
          <w:rtl/>
        </w:rPr>
        <w:t xml:space="preserve">۱. تهران: مجلس؛ شماره نسخه:۳۳۲۶</w:t>
      </w:r>
    </w:p>
    <w:p>
      <w:pPr>
        <w:pStyle w:val="BookText"/>
      </w:pPr>
      <w:r>
        <w:rPr>
          <w:rFonts w:ascii="IRNazanin" w:hAnsi="IRNazanin" w:eastAsia="IRNazanin" w:cs="IRNazanin"/>
          <w:lang w:bidi="fa-IR"/>
          <w:color w:val="111111"/>
          <w:sz w:val="28"/>
          <w:szCs w:val="28"/>
          <w:rtl/>
        </w:rPr>
        <w:t xml:space="preserve">آغاز و انجام: برابر خط: شکسته تحریری، كا: عبدالحسین هژیر، تا: شوال ۱۳۳۷ق؛ دو صفحه قبل از آغاز را مرحوم هژیر در مورد تاریخ نویسی و درباره وطن پرستی و نیز توصیف شخصیت علمی و سیاسی مؤلف کتاب (فروغی) اختصاص داده و در یک صفخه فهرست مندرجات نسخه را نگاشته است و مطالب نسخه به فضولی چند منقسم گردیده است اسماء اعلام خارجی را نیز به لاتین نوشته؛ کاغذ: سفید خط دار پستی، جلد: تیماج مشکی، ۲۳۹</w:t>
      </w:r>
    </w:p>
    <w:p>
      <w:pPr>
        <w:pStyle w:val="BookText"/>
      </w:pPr>
      <w:r>
        <w:rPr>
          <w:rFonts w:ascii="IRNazanin" w:hAnsi="IRNazanin" w:eastAsia="IRNazanin" w:cs="IRNazanin"/>
          <w:lang w:bidi="fa-IR"/>
          <w:color w:val="111111"/>
          <w:sz w:val="28"/>
          <w:szCs w:val="28"/>
          <w:rtl/>
        </w:rPr>
        <w:t xml:space="preserve">، ۲۰ سطر، اندازه: ۱۳/۵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۲۱سم [ف: ۱۰-۱۰۹۸]</w:t>
      </w:r>
    </w:p>
    <w:p>
      <w:pPr>
        <w:pStyle w:val="BookText"/>
      </w:pPr>
      <w:r>
        <w:rPr>
          <w:rFonts w:ascii="IRNazanin" w:hAnsi="IRNazanin" w:eastAsia="IRNazanin" w:cs="IRNazanin"/>
          <w:lang w:bidi="fa-IR"/>
          <w:color w:val="111111"/>
          <w:sz w:val="28"/>
          <w:szCs w:val="28"/>
          <w:rtl/>
        </w:rPr>
        <w:t xml:space="preserve">۲. قم؛ گلپایگانی؛ شماره نسخه:۴۸۴۴- ۲۴/۱۴۴</w:t>
      </w:r>
    </w:p>
    <w:p>
      <w:pPr>
        <w:pStyle w:val="BookText"/>
      </w:pPr>
      <w:r>
        <w:rPr>
          <w:rFonts w:ascii="IRNazanin" w:hAnsi="IRNazanin" w:eastAsia="IRNazanin" w:cs="IRNazanin"/>
          <w:lang w:bidi="fa-IR"/>
          <w:color w:val="111111"/>
          <w:sz w:val="28"/>
          <w:szCs w:val="28"/>
          <w:rtl/>
        </w:rPr>
        <w:t xml:space="preserve">آغاز: بسمله (نژادهای انسان برادر عزیز من - مردم روی زمین همه بیک ... و صورت نیستند و از جهت رنگ پوست بدن و حالت چشم و بینی؛ انجام: اورشلیم از دست مسلمین ... از فرانسه از راه قسطنتنيه عازم بیت المقدس شدند سنه ۱۰۹۶میلادی. کتاب کوچکی است که برای تدریس تاریخ در مدارس ابتدایی کلاس های پنجم و ششم توسط ذکاء الملک تالیف شده است؛ خط: تحریری، کا:احمد صدرزاده مازندرانی، تا:۱۴ رمضان ۱۳۴۰ق؛ از روی چاپ سنگی استنساخ شده؛ جلد: تیماج قهوه ای با ترنج و سرترنج، ۲۸۰گ، ۲۰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۲-۶۹۷]</w:t>
      </w:r>
    </w:p>
    <w:p>
      <w:pPr>
        <w:pStyle w:val="Heading3"/>
      </w:pPr>
      <w:bookmarkStart w:id="2449" w:name="_Toc1709"/>
      <w:r>
        <w:t>•تاریخ عالم / شعر، تاریخ / فارسی</w:t>
      </w:r>
      <w:bookmarkEnd w:id="2449"/>
    </w:p>
    <w:p>
      <w:pPr>
        <w:pStyle w:val="BookText"/>
      </w:pPr>
      <w:r>
        <w:rPr>
          <w:rFonts w:ascii="Times New Roman" w:hAnsi="Times New Roman" w:eastAsia="Times New Roman" w:cs="Times New Roman"/>
          <w:lang w:val="en-US" w:bidi="en-US"/>
          <w:color w:val="111111"/>
          <w:sz w:val="28"/>
          <w:szCs w:val="28"/>
          <w:rtl/>
        </w:rPr>
        <w:t xml:space="preserve">tārīx-e 'ālam</w:t>
      </w:r>
    </w:p>
    <w:p>
      <w:pPr>
        <w:pStyle w:val="BookText"/>
      </w:pPr>
      <w:r>
        <w:rPr>
          <w:rFonts w:ascii="IRNazanin" w:hAnsi="IRNazanin" w:eastAsia="IRNazanin" w:cs="IRNazanin"/>
          <w:lang w:bidi="fa-IR"/>
          <w:color w:val="111111"/>
          <w:sz w:val="28"/>
          <w:szCs w:val="28"/>
          <w:rtl/>
        </w:rPr>
        <w:t xml:space="preserve">عنوان نگار، تقی بن محمد، ق۱۴ قمری</w:t>
      </w:r>
    </w:p>
    <w:p>
      <w:pPr>
        <w:pStyle w:val="BookText"/>
      </w:pPr>
      <w:r>
        <w:rPr>
          <w:rFonts w:ascii="Times New Roman" w:hAnsi="Times New Roman" w:eastAsia="Times New Roman" w:cs="Times New Roman"/>
          <w:lang w:val="en-US" w:bidi="en-US"/>
          <w:color w:val="111111"/>
          <w:sz w:val="28"/>
          <w:szCs w:val="28"/>
          <w:rtl/>
        </w:rPr>
        <w:t xml:space="preserve">‘onvān-negār, taqī ebn-e mohammad (-20c)</w:t>
      </w:r>
    </w:p>
    <w:p>
      <w:pPr>
        <w:pStyle w:val="BookText"/>
      </w:pPr>
      <w:r>
        <w:rPr>
          <w:rFonts w:ascii="IRNazanin" w:hAnsi="IRNazanin" w:eastAsia="IRNazanin" w:cs="IRNazanin"/>
          <w:lang w:bidi="fa-IR"/>
          <w:color w:val="111111"/>
          <w:sz w:val="28"/>
          <w:szCs w:val="28"/>
          <w:rtl/>
        </w:rPr>
        <w:t xml:space="preserve">مثنوی بسیار مفصلی است از ابتدای خلقت حضرت آدم(عليه السلام)تا عصر سراینده با سرآغازی دارای ده «فایده و شرایط تاریخ نویسی و نیاز حکام و زمامداران ممالک به خواندن تواريخ امتها. تخلص ناظم در پایان هر مقطع از این منظومه «دبیر اعلم» می باشد.</w:t>
      </w:r>
    </w:p>
    <w:p>
      <w:pPr>
        <w:pStyle w:val="BookText"/>
      </w:pPr>
      <w:r>
        <w:rPr>
          <w:rFonts w:ascii="IRNazanin" w:hAnsi="IRNazanin" w:eastAsia="IRNazanin" w:cs="IRNazanin"/>
          <w:lang w:bidi="fa-IR"/>
          <w:color w:val="111111"/>
          <w:sz w:val="28"/>
          <w:szCs w:val="28"/>
          <w:rtl/>
        </w:rPr>
        <w:t xml:space="preserve">قم، مرکز احیاء؛ شماره نسخه: ۵۰۰</w:t>
      </w:r>
    </w:p>
    <w:p>
      <w:pPr>
        <w:pStyle w:val="BookText"/>
      </w:pPr>
      <w:r>
        <w:rPr>
          <w:rFonts w:ascii="IRNazanin" w:hAnsi="IRNazanin" w:eastAsia="IRNazanin" w:cs="IRNazanin"/>
          <w:lang w:bidi="fa-IR"/>
          <w:color w:val="111111"/>
          <w:sz w:val="28"/>
          <w:szCs w:val="28"/>
          <w:rtl/>
        </w:rPr>
        <w:t xml:space="preserve">آغاز: بشکر منعمی دیباچه آغاز *** که نطق از حمد او گردیده ممتاز / بفهرست مفاخر انبیا را *** بود حمد و ثنایش زینت افزا؛ انجام: خدا داند ز بدو و از نهایت *** دبیر اعلم آرد بس حکایت از حق خواهد صلات و افره خوش *** که دارینش کند خلاق دلکش این نسخه که دارای حدود هجده هزار بیت است تا سلطنت یزدجرد گزارش شده و گویا نیمی از منظومه باشد؛ خط: نستعلیق، کاتب = مؤلف، بی تا؛ محشی؛ جلد: مقوایی عطف پارچه، ۲۸۸گ، ۲۵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۲-۱۲۱]</w:t>
      </w:r>
    </w:p>
    <w:p>
      <w:pPr>
        <w:pStyle w:val="BookText"/>
      </w:pPr>
      <w:r>
        <w:rPr>
          <w:rFonts w:ascii="IRNazanin" w:hAnsi="IRNazanin" w:eastAsia="IRNazanin" w:cs="IRNazanin"/>
          <w:lang w:bidi="fa-IR"/>
          <w:color w:val="111111"/>
          <w:sz w:val="28"/>
          <w:szCs w:val="28"/>
          <w:rtl/>
        </w:rPr>
        <w:t xml:space="preserve">← تاریخ عالم آرای عباسی← عالم آرای عباسی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516" w:name="pg20363_209828"/>
    <w:bookmarkEnd w:id="516"/>
    <w:p>
      <w:pPr>
        <w:pStyle w:val="BookText"/>
      </w:pPr>
      <w:r>
        <w:rPr>
          <w:rFonts w:ascii="IRNazanin" w:hAnsi="IRNazanin" w:eastAsia="IRNazanin" w:cs="IRNazanin"/>
          <w:lang w:bidi="fa-IR"/>
          <w:color w:val="111111"/>
          <w:sz w:val="28"/>
          <w:szCs w:val="28"/>
          <w:rtl/>
        </w:rPr>
        <w:t xml:space="preserve">←تاریخ عالی ← کنه الاخبار</w:t>
      </w:r>
    </w:p>
    <w:p>
      <w:pPr>
        <w:pStyle w:val="Heading3"/>
      </w:pPr>
      <w:bookmarkStart w:id="2450" w:name="_Toc1710"/>
      <w:r>
        <w:t>•تاریخ عباسی = روزنامه ملاجلال / تاریخ ایران / فارسی</w:t>
      </w:r>
      <w:bookmarkEnd w:id="2450"/>
    </w:p>
    <w:p>
      <w:pPr>
        <w:pStyle w:val="BookText"/>
      </w:pPr>
      <w:r>
        <w:rPr>
          <w:rFonts w:ascii="Times New Roman" w:hAnsi="Times New Roman" w:eastAsia="Times New Roman" w:cs="Times New Roman"/>
          <w:lang w:val="en-US" w:bidi="en-US"/>
          <w:color w:val="111111"/>
          <w:sz w:val="28"/>
          <w:szCs w:val="28"/>
          <w:rtl/>
        </w:rPr>
        <w:t xml:space="preserve">tārīx-e ‘abbāsī= rūznāme-ye mollā-jalāl</w:t>
      </w:r>
    </w:p>
    <w:p>
      <w:pPr>
        <w:pStyle w:val="BookText"/>
      </w:pPr>
      <w:r>
        <w:rPr>
          <w:rFonts w:ascii="IRNazanin" w:hAnsi="IRNazanin" w:eastAsia="IRNazanin" w:cs="IRNazanin"/>
          <w:lang w:bidi="fa-IR"/>
          <w:color w:val="111111"/>
          <w:sz w:val="28"/>
          <w:szCs w:val="28"/>
          <w:rtl/>
        </w:rPr>
        <w:t xml:space="preserve">منجم یزدی، جلال الدين محمد، ق ۱۱ قمری</w:t>
      </w:r>
    </w:p>
    <w:p>
      <w:pPr>
        <w:pStyle w:val="BookText"/>
      </w:pPr>
      <w:r>
        <w:rPr>
          <w:rFonts w:ascii="Times New Roman" w:hAnsi="Times New Roman" w:eastAsia="Times New Roman" w:cs="Times New Roman"/>
          <w:lang w:val="en-US" w:bidi="en-US"/>
          <w:color w:val="111111"/>
          <w:sz w:val="28"/>
          <w:szCs w:val="28"/>
          <w:rtl/>
        </w:rPr>
        <w:t xml:space="preserve">monajjem-e yazdī, jalāl-od-dīn mohammad (-170)</w:t>
      </w:r>
    </w:p>
    <w:p>
      <w:pPr>
        <w:pStyle w:val="BookText"/>
      </w:pPr>
      <w:r>
        <w:rPr>
          <w:rFonts w:ascii="IRNazanin" w:hAnsi="IRNazanin" w:eastAsia="IRNazanin" w:cs="IRNazanin"/>
          <w:lang w:bidi="fa-IR"/>
          <w:color w:val="111111"/>
          <w:sz w:val="28"/>
          <w:szCs w:val="28"/>
          <w:rtl/>
        </w:rPr>
        <w:t xml:space="preserve">در اخبار سلطنت شاه عباس (۱۰۵۲-۱۰۷۷ق) دارای ده «فصل»: ١. کراماتی که بزبان الهام بیان نواب گیت ستان جنت مکان جاری گشته؛ ۲. کلمات مستحسنه که به لفظ درربار به آن تكلم فرموده؛ ۳. رویای صادقه که آن حضرت را مشاهده شده؛ ۴. سؤال از مسائل شرعیه؛ ۵. بیان تدبیر و فراست و حدس آن حضرت؛ ۶. کمانداری ها که از آن جناب برای العين مشاهده شده؛ ۷. لطایف و ظرایف؛ ۸ ذكر بعضی از اشعار و تصانیف ترکی و فارسی؛ ۹. استخاره ها که بکلام مجید فرموده اند و آیات مناسب وارده شده؛ ۱۰. نقل احکام که از علم نحوم و رمل ملا جلال جد فقیره معروض داشته و مطابق آمده. همه کتاب درباره شاه عباس است. در آن از شیخ بهائی و صدرین و حکیم کاشف یزدی و از درویش یوسف ملحد و صاحب تصانیف بسیار در الحاد که در یکشنبه ۱۰ ذی قعده ۱۰۰۱ کشته شده و از میر</w:t>
      </w:r>
    </w:p>
    <w:p>
      <w:pPr>
        <w:pStyle w:val="BookText"/>
      </w:pPr>
      <w:r>
        <w:rPr>
          <w:rFonts w:ascii="IRNazanin" w:hAnsi="IRNazanin" w:eastAsia="IRNazanin" w:cs="IRNazanin"/>
          <w:lang w:bidi="fa-IR"/>
          <w:color w:val="111111"/>
          <w:sz w:val="28"/>
          <w:szCs w:val="28"/>
          <w:rtl/>
        </w:rPr>
        <w:t xml:space="preserve">جلال الدین حسین صدر خاصه و میر صدر الدين محمد محتسب الممالک یاد شده است. نسخه ها متفاوت است.</w:t>
      </w:r>
    </w:p>
    <w:p>
      <w:pPr>
        <w:pStyle w:val="BookText"/>
      </w:pPr>
      <w:r>
        <w:rPr>
          <w:rFonts w:ascii="IRNazanin" w:hAnsi="IRNazanin" w:eastAsia="IRNazanin" w:cs="IRNazanin"/>
          <w:lang w:bidi="fa-IR"/>
          <w:color w:val="111111"/>
          <w:sz w:val="28"/>
          <w:szCs w:val="28"/>
          <w:rtl/>
        </w:rPr>
        <w:t xml:space="preserve">آغاز: بعد البسمله و به ثقتی، معلوم باشد که چون آفتاب وجود با جود او از مطلع ولادت فرخنده آثار مطالع گشت ماه غره عالم افروزش در شب غره ماه نهم از سال و غره هشتم از ماه دهم از برج حوت پایدار لامع گشت چاپ: با مقدمه سيف الله وحیدنیا، وحید، ۱۳ (۱۳۵۴): ۶۲۹-۶۶۳۵ خاطرات، ش۱ (پاییز ۱۳۵۸): ۱۶ و ش ۲ (زمستان ۱۳۵۸): ۱۷ - ۳۲ و ش3(بهار ۱۳۵۹): ۳۳-۴۸. استوری ۳۰۸/۱ ؛ نسخه های منزوی ۴۳۳۱ و ۴۲۵۷؛ [فهرستواره منزوی ۸۸۶/۲ و ۹۷۶/۲ با عنوان «روزنامه ملا جلال = تاریخ ملا جلال»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ملک؛ شماره نسخه: ۳۷۶۲</w:t>
      </w:r>
    </w:p>
    <w:p>
      <w:pPr>
        <w:pStyle w:val="BookText"/>
      </w:pPr>
      <w:r>
        <w:rPr>
          <w:rFonts w:ascii="IRNazanin" w:hAnsi="IRNazanin" w:eastAsia="IRNazanin" w:cs="IRNazanin"/>
          <w:lang w:bidi="fa-IR"/>
          <w:color w:val="111111"/>
          <w:sz w:val="28"/>
          <w:szCs w:val="28"/>
          <w:rtl/>
        </w:rPr>
        <w:t xml:space="preserve">آغاز: فرخنده رعایات گردیده، چون زیاده از این گفتن موجب اطناب و عدم رضای صاحب است به این قدر اختصار رفت؛ انجام: روز پنج شنبه هفتم رجب المرجب سنه ۱۰۲۰ ولی محمد خان را دستگیر کردند و به فنا آوردند. خط: نستعلیق، بی کا، تا: قرن ۱۱؛ افتادگی: آغاز؛ مجدول به طلا؛ کاغذ: ترمه، جلد: رویه کاغذ، ۲۵۲گ، ۱۷ سطر، اندازه: ۲۱/۸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۱۱/۸ سم [ف: ۲-۸۶]</w:t>
      </w:r>
    </w:p>
    <w:p>
      <w:pPr>
        <w:pStyle w:val="BookText"/>
      </w:pPr>
      <w:r>
        <w:rPr>
          <w:rFonts w:ascii="IRNazanin" w:hAnsi="IRNazanin" w:eastAsia="IRNazanin" w:cs="IRNazanin"/>
          <w:lang w:bidi="fa-IR"/>
          <w:color w:val="111111"/>
          <w:sz w:val="28"/>
          <w:szCs w:val="28"/>
          <w:rtl/>
        </w:rPr>
        <w:t xml:space="preserve">تهران، دانشگاه؛ شماره نسخه:۶۱۸۳-ف</w:t>
      </w:r>
    </w:p>
    <w:p>
      <w:pPr>
        <w:pStyle w:val="BookText"/>
      </w:pPr>
      <w:r>
        <w:rPr>
          <w:rFonts w:ascii="Amiri" w:hAnsi="Amiri" w:eastAsia="Amiri" w:cs="Amiri"/>
          <w:lang w:bidi="ar-SA"/>
          <w:color w:val="111111"/>
          <w:sz w:val="28"/>
          <w:szCs w:val="28"/>
          <w:rtl/>
        </w:rPr>
        <w:t xml:space="preserve">همان نسخه بالا [فيلمها ف: ۳-۲۰۶]</w:t>
      </w:r>
    </w:p>
    <w:p>
      <w:pPr>
        <w:pStyle w:val="BookText"/>
      </w:pPr>
      <w:r>
        <w:rPr>
          <w:rFonts w:ascii="IRNazanin" w:hAnsi="IRNazanin" w:eastAsia="IRNazanin" w:cs="IRNazanin"/>
          <w:lang w:bidi="fa-IR"/>
          <w:color w:val="111111"/>
          <w:sz w:val="28"/>
          <w:szCs w:val="28"/>
          <w:rtl/>
        </w:rPr>
        <w:t xml:space="preserve">۲. تهران؛ ملی؛ شماره نسخه: ۳۱۰</w:t>
      </w:r>
    </w:p>
    <w:p>
      <w:pPr>
        <w:pStyle w:val="BookText"/>
      </w:pPr>
      <w:r>
        <w:rPr>
          <w:rFonts w:ascii="IRNazanin" w:hAnsi="IRNazanin" w:eastAsia="IRNazanin" w:cs="IRNazanin"/>
          <w:lang w:bidi="fa-IR"/>
          <w:color w:val="111111"/>
          <w:sz w:val="28"/>
          <w:szCs w:val="28"/>
          <w:rtl/>
        </w:rPr>
        <w:t xml:space="preserve">آغاز: برابر؛ انجام: بجرأت تمام پیش آمده طرح جنگی انداخت</w:t>
      </w:r>
    </w:p>
    <w:p>
      <w:pPr>
        <w:pStyle w:val="BookText"/>
      </w:pPr>
      <w:r>
        <w:rPr>
          <w:rFonts w:ascii="IRNazanin" w:hAnsi="IRNazanin" w:eastAsia="IRNazanin" w:cs="IRNazanin"/>
          <w:lang w:bidi="fa-IR"/>
          <w:color w:val="111111"/>
          <w:sz w:val="28"/>
          <w:szCs w:val="28"/>
          <w:rtl/>
        </w:rPr>
        <w:t xml:space="preserve">روز پنج شنبه هفتم رجب المرجب سنه هزار و بیست وليمحمد خان را دستگیر کرده به قتل آوردند انا اليه راجعون خط: نسخ خوش، كا: ملا محمد مهدی آقا بابا شاهمیرزائی، تا: ۱۲۷۳ق، جان تهران؛ مجدول؛ کاغذ: فرنگی شکری، جلد: تیماج قرمز، ۲۴۲گ، ۲۰سطر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۱-۳۰۲]</w:t>
      </w:r>
    </w:p>
    <w:p>
      <w:pPr>
        <w:pStyle w:val="Heading3"/>
      </w:pPr>
      <w:bookmarkStart w:id="2451" w:name="_Toc1711"/>
      <w:r>
        <w:t>•تاریخ عباسیان / تاریخ / فارسی</w:t>
      </w:r>
      <w:bookmarkEnd w:id="2451"/>
    </w:p>
    <w:p>
      <w:pPr>
        <w:pStyle w:val="BookText"/>
      </w:pPr>
      <w:r>
        <w:rPr>
          <w:rFonts w:ascii="Times New Roman" w:hAnsi="Times New Roman" w:eastAsia="Times New Roman" w:cs="Times New Roman"/>
          <w:lang w:val="en-US" w:bidi="en-US"/>
          <w:color w:val="111111"/>
          <w:sz w:val="28"/>
          <w:szCs w:val="28"/>
          <w:rtl/>
        </w:rPr>
        <w:t xml:space="preserve">tārīx-e 'abbāsīyān</w:t>
      </w:r>
    </w:p>
    <w:p>
      <w:pPr>
        <w:pStyle w:val="BookText"/>
      </w:pPr>
      <w:r>
        <w:rPr>
          <w:rFonts w:ascii="IRNazanin" w:hAnsi="IRNazanin" w:eastAsia="IRNazanin" w:cs="IRNazanin"/>
          <w:lang w:bidi="fa-IR"/>
          <w:color w:val="111111"/>
          <w:sz w:val="28"/>
          <w:szCs w:val="28"/>
          <w:rtl/>
        </w:rPr>
        <w:t xml:space="preserve">گفتاری است کوتاه در تاریخ پادشاهان بنی عباس، با عنوان: «و من البدایع، فرع». .</w:t>
      </w:r>
    </w:p>
    <w:p>
      <w:pPr>
        <w:pStyle w:val="BookText"/>
      </w:pPr>
      <w:r>
        <w:rPr>
          <w:rFonts w:ascii="IRNazanin" w:hAnsi="IRNazanin" w:eastAsia="IRNazanin" w:cs="IRNazanin"/>
          <w:lang w:bidi="fa-IR"/>
          <w:color w:val="111111"/>
          <w:sz w:val="28"/>
          <w:szCs w:val="28"/>
          <w:rtl/>
        </w:rPr>
        <w:t xml:space="preserve">تهران؛ ملک؛ شماره نسخه: ۴۷۱۹/۶۰</w:t>
      </w:r>
    </w:p>
    <w:p>
      <w:pPr>
        <w:pStyle w:val="BookText"/>
      </w:pPr>
      <w:r>
        <w:rPr>
          <w:rFonts w:ascii="IRNazanin" w:hAnsi="IRNazanin" w:eastAsia="IRNazanin" w:cs="IRNazanin"/>
          <w:lang w:bidi="fa-IR"/>
          <w:color w:val="111111"/>
          <w:sz w:val="28"/>
          <w:szCs w:val="28"/>
          <w:rtl/>
        </w:rPr>
        <w:t xml:space="preserve">آغاز: و من البدایع. آورده اند که دولت بنی امیه بریختن؛ انجام: سی و هفتم مستعصم بن مستظهر یازده سال و هفت ماه. تمة الاسامي العباسية في يوم الخميس من شهور ربيع الثاني في دارالخلافة طهران سنة ۱۲۳۴.</w:t>
      </w:r>
    </w:p>
    <w:p>
      <w:pPr>
        <w:pStyle w:val="BookText"/>
      </w:pPr>
      <w:r>
        <w:rPr>
          <w:rFonts w:ascii="IRNazanin" w:hAnsi="IRNazanin" w:eastAsia="IRNazanin" w:cs="IRNazanin"/>
          <w:lang w:bidi="fa-IR"/>
          <w:color w:val="111111"/>
          <w:sz w:val="28"/>
          <w:szCs w:val="28"/>
          <w:rtl/>
        </w:rPr>
        <w:t xml:space="preserve">خط: شکسته نستعلیق، بی کا، تا: ۱۲۳۴ق، جا: تهران؛ در متن و هامش؛ کاغذ: نوعی ترمه، جلد: رویه میشن سیاه ضربی، اگ (۱۵۷ر -۱۵۷ پ)، اندازه: ۲۸/۲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۱۷/۲ سم [ف: ۸-۷۵ ]</w:t>
      </w:r>
    </w:p>
    <w:p>
      <w:pPr>
        <w:pStyle w:val="Heading3"/>
      </w:pPr>
      <w:bookmarkStart w:id="2452" w:name="_Toc1712"/>
      <w:r>
        <w:t>•تاریخ عباسیان / تاریخ / فارسی</w:t>
      </w:r>
      <w:bookmarkEnd w:id="2452"/>
    </w:p>
    <w:p>
      <w:pPr>
        <w:pStyle w:val="BookText"/>
      </w:pPr>
      <w:r>
        <w:rPr>
          <w:rFonts w:ascii="Times New Roman" w:hAnsi="Times New Roman" w:eastAsia="Times New Roman" w:cs="Times New Roman"/>
          <w:lang w:val="en-US" w:bidi="en-US"/>
          <w:color w:val="111111"/>
          <w:sz w:val="28"/>
          <w:szCs w:val="28"/>
          <w:rtl/>
        </w:rPr>
        <w:t xml:space="preserve">tārīx-e ‘abbāsīyān</w:t>
      </w:r>
    </w:p>
    <w:p>
      <w:pPr>
        <w:pStyle w:val="BookText"/>
      </w:pPr>
      <w:r>
        <w:rPr>
          <w:rFonts w:ascii="IRNazanin" w:hAnsi="IRNazanin" w:eastAsia="IRNazanin" w:cs="IRNazanin"/>
          <w:lang w:bidi="fa-IR"/>
          <w:color w:val="111111"/>
          <w:sz w:val="28"/>
          <w:szCs w:val="28"/>
          <w:rtl/>
        </w:rPr>
        <w:t xml:space="preserve">تهران؛ دانشگاه؛ شماره نسخه: ۱۰۹۶۷/۶</w:t>
      </w:r>
    </w:p>
    <w:p>
      <w:pPr>
        <w:pStyle w:val="BookText"/>
      </w:pPr>
      <w:r>
        <w:rPr>
          <w:rFonts w:ascii="IRNazanin" w:hAnsi="IRNazanin" w:eastAsia="IRNazanin" w:cs="IRNazanin"/>
          <w:lang w:bidi="fa-IR"/>
          <w:color w:val="111111"/>
          <w:sz w:val="28"/>
          <w:szCs w:val="28"/>
          <w:rtl/>
        </w:rPr>
        <w:t xml:space="preserve">آغاز: يحيی به مرتبه ای رسید که وزارت در چشم او حقیر نمودی. هارون مذهب مالك داشت بر نماز و روزه نافله مداومت نمودی و هر روزه هزار درم از مال خود زاد و راحله دادی ... الأمين محمد بن هارون بعد از پدر در بغداد خلافت بر وی مقرر شد. از بنی عباس هیچ کس را به غیر از مادر و پدر عباسی نبود. بر زنان میلی داشت.</w:t>
      </w:r>
    </w:p>
    <w:p>
      <w:pPr>
        <w:pStyle w:val="BookText"/>
      </w:pPr>
      <w:r>
        <w:rPr>
          <w:rFonts w:ascii="IRNazanin" w:hAnsi="IRNazanin" w:eastAsia="IRNazanin" w:cs="IRNazanin"/>
          <w:lang w:bidi="fa-IR"/>
          <w:color w:val="111111"/>
          <w:sz w:val="28"/>
          <w:szCs w:val="28"/>
          <w:rtl/>
        </w:rPr>
        <w:t xml:space="preserve">آستین فراخ اختراع اوست یک برگ از کتاب تاریخی مختصری است که زندگی سه خلیفه عباسی - امین و مأمون و معتصم - از آن به جای مانده، مؤلف شیعی است؛ خط: نسخ معرب، بی کا، بی تا، ۱ گ، ۱۰ سطر (۱۷/۱۰)، اندازه: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۱۱/۵سم [ف: ۲۰-۵۶۰]</w:t>
      </w:r>
    </w:p>
    <w:p>
      <w:pPr>
        <w:pStyle w:val="Heading3"/>
      </w:pPr>
      <w:bookmarkStart w:id="2453" w:name="_Toc1713"/>
      <w:r>
        <w:t>•التاريخ العبرانی = تاریخ الخليقة / هيأت / عربی</w:t>
      </w:r>
      <w:bookmarkEnd w:id="2453"/>
    </w:p>
    <w:p>
      <w:pPr>
        <w:pStyle w:val="BookText"/>
      </w:pPr>
      <w:r>
        <w:rPr>
          <w:rFonts w:ascii="Times New Roman" w:hAnsi="Times New Roman" w:eastAsia="Times New Roman" w:cs="Times New Roman"/>
          <w:lang w:val="en-US" w:bidi="en-US"/>
          <w:color w:val="111111"/>
          <w:sz w:val="28"/>
          <w:szCs w:val="28"/>
          <w:rtl/>
        </w:rPr>
        <w:t xml:space="preserve">at-tārīx-ul ‘ibrānī = tārīx-ul xalīqa</w:t>
      </w:r>
    </w:p>
    <w:p>
      <w:pPr>
        <w:pStyle w:val="BookText"/>
      </w:pPr>
      <w:r>
        <w:rPr>
          <w:rFonts w:ascii="IRNazanin" w:hAnsi="IRNazanin" w:eastAsia="IRNazanin" w:cs="IRNazanin"/>
          <w:lang w:bidi="fa-IR"/>
          <w:color w:val="111111"/>
          <w:sz w:val="28"/>
          <w:szCs w:val="28"/>
          <w:rtl/>
        </w:rPr>
        <w:t xml:space="preserve">صوفی، محمد بن احمد، - ۹۵۰ ؟ قمری</w:t>
      </w:r>
    </w:p>
    <w:p>
      <w:pPr>
        <w:pStyle w:val="BookText"/>
      </w:pPr>
      <w:r>
        <w:rPr>
          <w:rFonts w:ascii="Times New Roman" w:hAnsi="Times New Roman" w:eastAsia="Times New Roman" w:cs="Times New Roman"/>
          <w:lang w:val="en-US" w:bidi="en-US"/>
          <w:color w:val="111111"/>
          <w:sz w:val="28"/>
          <w:szCs w:val="28"/>
          <w:rtl/>
        </w:rPr>
        <w:t xml:space="preserve">sūfī, mohammad ebn-e ahmad (-1544)</w:t>
      </w:r>
    </w:p>
    <w:p>
      <w:pPr>
        <w:pStyle w:val="BookText"/>
      </w:pPr>
      <w:r>
        <w:rPr>
          <w:rFonts w:ascii="IRNazanin" w:hAnsi="IRNazanin" w:eastAsia="IRNazanin" w:cs="IRNazanin"/>
          <w:lang w:bidi="fa-IR"/>
          <w:color w:val="111111"/>
          <w:sz w:val="28"/>
          <w:szCs w:val="28"/>
          <w:rtl/>
        </w:rPr>
        <w:t xml:space="preserve">رساله مختصری است در استخراج تاریخ یهود که از «تورات» استخراج شده با شناخت اوایل سال و ماه و اوقات روزه و اعیاد ایشان بنا بر اصول احبار يهود که به نام «حساب قبيعوت» نامیده می شود. شاید رساله حاضر بخشی از کتاب «مختصر زیج الغ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517" w:name="pg20363_209829"/>
    <w:bookmarkEnd w:id="517"/>
    <w:p>
      <w:pPr>
        <w:pStyle w:val="BookText"/>
      </w:pPr>
      <w:r>
        <w:rPr>
          <w:rFonts w:ascii="IRNazanin" w:hAnsi="IRNazanin" w:eastAsia="IRNazanin" w:cs="IRNazanin"/>
          <w:lang w:bidi="fa-IR"/>
          <w:color w:val="111111"/>
          <w:sz w:val="28"/>
          <w:szCs w:val="28"/>
          <w:rtl/>
        </w:rPr>
        <w:t xml:space="preserve">بیگ» وی باشد که در «کشف الظنون» (۹۶۶/۲ ) معرفی شده است.</w:t>
      </w:r>
    </w:p>
    <w:p>
      <w:pPr>
        <w:pStyle w:val="BookText"/>
      </w:pPr>
      <w:r>
        <w:rPr>
          <w:rFonts w:ascii="IRNazanin" w:hAnsi="IRNazanin" w:eastAsia="IRNazanin" w:cs="IRNazanin"/>
          <w:lang w:bidi="fa-IR"/>
          <w:color w:val="111111"/>
          <w:sz w:val="28"/>
          <w:szCs w:val="28"/>
          <w:rtl/>
        </w:rPr>
        <w:t xml:space="preserve">تهران؛ مجلس؛ شماره نسخه: ۶۴۶۱/۱</w:t>
      </w:r>
    </w:p>
    <w:p>
      <w:pPr>
        <w:pStyle w:val="BookText"/>
      </w:pPr>
      <w:r>
        <w:rPr>
          <w:rFonts w:ascii="IRNazanin" w:hAnsi="IRNazanin" w:eastAsia="IRNazanin" w:cs="IRNazanin"/>
          <w:lang w:bidi="fa-IR"/>
          <w:color w:val="111111"/>
          <w:sz w:val="28"/>
          <w:szCs w:val="28"/>
          <w:rtl/>
        </w:rPr>
        <w:t xml:space="preserve">آغاز: الحمدلله رب العالمين .... و بعد فهذه نبذة وجيزة و الفاظ غريزة في الكلام على التاريخ العبراني المشهور بتاريخ الخليقة و زعم احبار اليهود انه تاریخ آدم المستخرج من التورات؛ انجام: و رأس السنة دائما تشرى شفط صوم يوم اثنين يكون فيما بين عاشره الى خامس عشرة و في ثالث عشرينه صوم يوم الرجفه بطرقه و الله اعلم بالصواب خط: نسخ، كا: محمد باقر بن محمد حسین (حسن) منجم حسینی اصفهانی، تا: قرن ۱۳؛ مجدول، دارای اشکال هندسی، محشی؛ کاغذ: الوان، جلد: تیماج مشکی، ۱۳گ (۲پ -۱۴ر)،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۲۰-۴۰)</w:t>
      </w:r>
    </w:p>
    <w:p>
      <w:pPr>
        <w:pStyle w:val="Heading3"/>
      </w:pPr>
      <w:bookmarkStart w:id="2454" w:name="_Toc1714"/>
      <w:r>
        <w:t>•تاریخ عبرة لمن اعتبر / تاریخ ایران / فارسی</w:t>
      </w:r>
      <w:bookmarkEnd w:id="2454"/>
    </w:p>
    <w:p>
      <w:pPr>
        <w:pStyle w:val="BookText"/>
      </w:pPr>
      <w:r>
        <w:rPr>
          <w:rFonts w:ascii="Times New Roman" w:hAnsi="Times New Roman" w:eastAsia="Times New Roman" w:cs="Times New Roman"/>
          <w:lang w:val="en-US" w:bidi="en-US"/>
          <w:color w:val="111111"/>
          <w:sz w:val="28"/>
          <w:szCs w:val="28"/>
          <w:rtl/>
        </w:rPr>
        <w:t xml:space="preserve">tārīx-u ‘ibra li-man i'tabar</w:t>
      </w:r>
    </w:p>
    <w:p>
      <w:pPr>
        <w:pStyle w:val="BookText"/>
      </w:pPr>
      <w:r>
        <w:rPr>
          <w:rFonts w:ascii="IRNazanin" w:hAnsi="IRNazanin" w:eastAsia="IRNazanin" w:cs="IRNazanin"/>
          <w:lang w:bidi="fa-IR"/>
          <w:color w:val="111111"/>
          <w:sz w:val="28"/>
          <w:szCs w:val="28"/>
          <w:rtl/>
        </w:rPr>
        <w:t xml:space="preserve">انار کی کرمانی، میرزا کریم، ق۱۴ قمری</w:t>
      </w:r>
    </w:p>
    <w:p>
      <w:pPr>
        <w:pStyle w:val="BookText"/>
      </w:pPr>
      <w:r>
        <w:rPr>
          <w:rFonts w:ascii="Times New Roman" w:hAnsi="Times New Roman" w:eastAsia="Times New Roman" w:cs="Times New Roman"/>
          <w:lang w:val="en-US" w:bidi="en-US"/>
          <w:color w:val="111111"/>
          <w:sz w:val="28"/>
          <w:szCs w:val="28"/>
          <w:rtl/>
        </w:rPr>
        <w:t xml:space="preserve">anārakī kermānī, mīrzā karīm (-20c)</w:t>
      </w:r>
    </w:p>
    <w:p>
      <w:pPr>
        <w:pStyle w:val="BookText"/>
      </w:pPr>
      <w:r>
        <w:rPr>
          <w:rFonts w:ascii="IRNazanin" w:hAnsi="IRNazanin" w:eastAsia="IRNazanin" w:cs="IRNazanin"/>
          <w:lang w:bidi="fa-IR"/>
          <w:color w:val="111111"/>
          <w:sz w:val="28"/>
          <w:szCs w:val="28"/>
          <w:rtl/>
        </w:rPr>
        <w:t xml:space="preserve">در وقایع درگیری دو طائفه شیخیه و بالاسریه در سال ۱۳۱۵ق در همدان، مؤلف در آن سال در آن جا بوده و مشاهدات خود را گزارش کرده است: «و سبب این فتنه و فساد و جمیع واقعات را بدون کم یا زیاد من اوله الى اخره به طرز روزنامه و تاریخ به قدری که از روی بصیرت و یقین چه خود دیده و چه از بی غرضان هر طایفه أهم از حضرات شیخیه و بالا سريه تا رجال دولت و رؤسای ملت و اهل جماعت و سنت و محققان يهود و ارامنه و دیگر عاكفان بلکه مدتی مدید تجسس و تحقیق نموده). مشتمل بر چهار «مقدمه» و شش «واقعه» و یک «خاتمه» و برخی از حکایات مناسب بعضی از حالات و اتفاقات، بدین ترتیب: مقدمه 1. بيان سبب و اشخاصی که اسباب وقوع این فتنه و فساد گشتند؛ مقدمه ۲. شرح حالات و خیالات و گفتار و کردار ملا عبدالله بروجردی و اتباعش؛ مقدمه ۳. شرح حال بعضی اشخاص که از خود سلسله شیخیه خورده سبب این فتنه و هنگامه عظيمه گشتند؛ مقدمه ۴. شرح حال و گفتار شررانگیز و فتنه خیز سید محمد عباسی و سید فاضل و اراذل در همدان و اشرار؛ واقعات 1. روز سه شنبه غره شهر شوال و عيد فطر سنه ۱۳۱۵ در همدان میان شیخیه و بالاسريه؛ واقعات ۲. در واردات روز چهارشنبه دویم شهر شوال سنه ۱۳۱۵ بعد از حرکت حاجی میرزا محمد باقر از همدان؛ واقعات 3. قتل و شهادت جمعی از حضرات شیخیه بر دست اراذل و اشرار همدان به فتوی سید محمد عباسی و بعضی مفتیان بی ایمان؛ واقعات ۴. واردات روز پنج شنبه سیم شهر شوال سنه ۱۳۱۵ و گرفتاری جمعی از شیخیه به دست اشرار پلید برای تجدید مسلمانی و شرح حال بعضی که در فرار گرفتار بوده اند؛ واقعات ۵. شرح مأموریت زین العابدین خان حسام الملک به اخذ اشرار و استرداد اموال حضرات شیخیه و اخراج ساداة بني عباس و حاجی میرزا مهدی و جمعی خدانشناس دیگر و طغیان گروه ستمگر به دولت و توپ بستن به همدان و گرفتاری اشرار بر دست مأمورین دولت قدر توامان و بیان واردات چندی که در آن اوقات برای جماعة حضرات شیخیه مظلومه از بعضی جهات روی داد؛ واقعات ۶. شرح دادخواهی شیخیه در دار الخلافه به دولت علیه و مقرر نمودن اسامی دولت جمعی را به حکومت و استعفای همگی ازین خدمت و تحكم حتمی اعلی حضرت شاهنشاهی حکمرانی جناب مظفر الملک را به همدان و في الجمله شرحی از رفتار آن جناب در آن سامان و سرگذشت حضرات شیخیه اخر الامر در مجلس دیوانخانه عدلیه و ثبوت مظلومیت ایشان در حضور جمعی از امنای دولت جلالت توامان دولت ایران؛ خاتمه: در شرح بعضی از حالات حاجی میرزا محمدباقر بعد از حرکتش از همدان تا ورودش به طهران و مراسلاتش برای امنای دولت و رؤسای ملت اسلام و ایمان و عزیمتش به قریه جندق و ملحق گشتنش به دوستان آن سامان و في الجمله شرحی از مولد و موطن و نسب و حسب و روزگار پررنج و تعب آن جناب از زمان ولادتش تا هنگام رحلتش اعلى الله مقامه و فهرست برخی از کتب و رسائلش که به دست آمده بعد از غارت همدان. نویسنده کتاب پیش از تأليف مدتی به «سیر و سفر» در «اغلب بلدان ایران» پی سپرد و طی چند سال به عتبات عالیات و مشهد و دارالخلافه و پس از آن در ۱۳۱۵ ق به همدان سفر کرد. در پایان هر بخش عبارت: «ذلک عبرة لمن اعتبر» تکرار شده است. (حكيم) آغاز: حمد و ستایش یزدان پاکی را سزاست که احد واحد است در ذات و صفات و افعال و عبادات ...</w:t>
      </w:r>
    </w:p>
    <w:p>
      <w:pPr>
        <w:pStyle w:val="BookText"/>
      </w:pPr>
      <w:r>
        <w:rPr>
          <w:rFonts w:ascii="IRNazanin" w:hAnsi="IRNazanin" w:eastAsia="IRNazanin" w:cs="IRNazanin"/>
          <w:lang w:bidi="fa-IR"/>
          <w:color w:val="111111"/>
          <w:sz w:val="28"/>
          <w:szCs w:val="28"/>
          <w:rtl/>
        </w:rPr>
        <w:t xml:space="preserve">چاپ: اخیرا توسط شیخیه در مشهد و تهران چاپ شده است</w:t>
      </w:r>
    </w:p>
    <w:p>
      <w:pPr>
        <w:pStyle w:val="BookText"/>
      </w:pPr>
      <w:r>
        <w:rPr>
          <w:rFonts w:ascii="IRNazanin" w:hAnsi="IRNazanin" w:eastAsia="IRNazanin" w:cs="IRNazanin"/>
          <w:lang w:bidi="fa-IR"/>
          <w:color w:val="111111"/>
          <w:sz w:val="28"/>
          <w:szCs w:val="28"/>
          <w:rtl/>
        </w:rPr>
        <w:t xml:space="preserve">[دنا ۷۲۳/۲ ؛ فهرستواره منزوی ۱۰۲۸/۲ از محمد کریم خان کرمانی (۱۲۲۵ -۱۲۸۸ ق) دانسته که خطاست بلکه از انار کی کرمانی شاگرد اوست؛ مشار فارسی ۱۱۰۱/۱ (در این دو متبع نام مؤلف به اشتباه محمد کریم بن ابراهیم کرمانی (۱۲۲۵-۱۲۸۸ ق) ثبت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نسخه:۱۴۸۳۵</w:t>
      </w:r>
    </w:p>
    <w:p>
      <w:pPr>
        <w:pStyle w:val="BookText"/>
      </w:pPr>
      <w:r>
        <w:rPr>
          <w:rFonts w:ascii="IRNazanin" w:hAnsi="IRNazanin" w:eastAsia="IRNazanin" w:cs="IRNazanin"/>
          <w:lang w:bidi="fa-IR"/>
          <w:color w:val="111111"/>
          <w:sz w:val="28"/>
          <w:szCs w:val="28"/>
          <w:rtl/>
        </w:rPr>
        <w:t xml:space="preserve">آغاز: برابر؛ انجام: ... رساله در جواب سؤالات متفرقه ملازمین العابدین کرمانی از پاره تهمتها که از معاندین شنیده. جلد خط شکسته نستعلیق عالی، کاتب =مؤلف، تا: قرن ۱۴؛ جلد: تیماج زرشکی، ۱۴۹گ، ۱۴ سطر، اندازه: ۲۱/۸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۲۳۶۴۱]</w:t>
      </w:r>
    </w:p>
    <w:p>
      <w:pPr>
        <w:pStyle w:val="BookText"/>
      </w:pPr>
      <w:r>
        <w:rPr>
          <w:rFonts w:ascii="IRNazanin" w:hAnsi="IRNazanin" w:eastAsia="IRNazanin" w:cs="IRNazanin"/>
          <w:lang w:bidi="fa-IR"/>
          <w:color w:val="111111"/>
          <w:sz w:val="28"/>
          <w:szCs w:val="28"/>
          <w:rtl/>
        </w:rPr>
        <w:t xml:space="preserve">۲. تهران؛ مجلس؛ شماره نسخه:۸۸۸۶</w:t>
      </w:r>
    </w:p>
    <w:p>
      <w:pPr>
        <w:pStyle w:val="BookText"/>
      </w:pPr>
      <w:r>
        <w:rPr>
          <w:rFonts w:ascii="IRNazanin" w:hAnsi="IRNazanin" w:eastAsia="IRNazanin" w:cs="IRNazanin"/>
          <w:lang w:bidi="fa-IR"/>
          <w:color w:val="111111"/>
          <w:sz w:val="28"/>
          <w:szCs w:val="28"/>
          <w:rtl/>
        </w:rPr>
        <w:t xml:space="preserve">آغاز: برابر؛ آغاز بخش افزوده: «چون بعضی از اکابر ذوالمجد و المفاخر بنده قاصر را امر فرمود که في الجمله شرحی از مولد و موطن و نسب و حسب جناب حاجی میرزا محمدباقر و بعضی حالات آن جناب را»؛ انجام: و ختم این سخن است و سلام من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518" w:name="pg20363_209830"/>
    <w:bookmarkEnd w:id="518"/>
    <w:p>
      <w:pPr>
        <w:pStyle w:val="BookText"/>
      </w:pPr>
      <w:r>
        <w:rPr>
          <w:rFonts w:ascii="IRNazanin" w:hAnsi="IRNazanin" w:eastAsia="IRNazanin" w:cs="IRNazanin"/>
          <w:lang w:bidi="fa-IR"/>
          <w:color w:val="111111"/>
          <w:sz w:val="28"/>
          <w:szCs w:val="28"/>
          <w:rtl/>
        </w:rPr>
        <w:t xml:space="preserve">بر عبرت گیرندگان هر زمن و هر انجمن است. تمام شد تأليف تاریخ عبرة لمن اعتبر ... الطيبين الطاهرين از شهور سال فرخنده فال یکهزار سیصد و هجده هجرى على هاجرها الاف السلام و الصلواة والتحیات سنه ۱۳۱۸. انجام بخش افزوده: «رساله در جواب بعضی اخوان در ثمره خلقت نجبا و نقبای اخیار و تطبيق بعضی مستناقضات. جلد. رساله در جواب سوالات ملا زین العابدین کرمانی از پاره ای تمتها که از معاندین شنیده. جلد». . کامل؛ خط: نستعلیق، كا: سید محمد بن میرزا محمد على طباطبائی نائینی، تا: ربيع الأول ۱۳۲۱ق، برای آقا میرزا محمد حسین خان منشی باشی، پس از آن شرح زندگانی و تألیفات میرزا محمد باقر بن محمد جعفر همدانی (۱۲۳۹-۱۳۱۹ق) افزوده شده. بخش اصلی کتاب پایان یافته در یکشنبه ۱۷ ربیع الاول ۱۳۱۸ ق. بخش الحاقی شرح حال افزوده شده در رمضان ۱۳۱۹ق، مصحح، رکابه دار، خریداری از باقر رقت؛ کاغذ: فرنگی نخودی و حنایی آهار مهره، جلد: میشن عنابی با ترنج و سرترنج، ۱۴۳ گ، ۱۵ سطر (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w:t>
      </w:r>
    </w:p>
    <w:p>
      <w:pPr>
        <w:pStyle w:val="BookText"/>
      </w:pPr>
      <w:r>
        <w:rPr>
          <w:rFonts w:ascii="IRNazanin" w:hAnsi="IRNazanin" w:eastAsia="IRNazanin" w:cs="IRNazanin"/>
          <w:lang w:bidi="fa-IR"/>
          <w:color w:val="111111"/>
          <w:sz w:val="28"/>
          <w:szCs w:val="28"/>
          <w:rtl/>
        </w:rPr>
        <w:t xml:space="preserve">۲۲/۲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۱۴/۷ سم [ف: ۲۹/۱-۲۳۸]</w:t>
      </w:r>
    </w:p>
    <w:p>
      <w:pPr>
        <w:pStyle w:val="BookText"/>
      </w:pPr>
      <w:r>
        <w:rPr>
          <w:rFonts w:ascii="IRNazanin" w:hAnsi="IRNazanin" w:eastAsia="IRNazanin" w:cs="IRNazanin"/>
          <w:lang w:bidi="fa-IR"/>
          <w:color w:val="111111"/>
          <w:sz w:val="28"/>
          <w:szCs w:val="28"/>
          <w:rtl/>
        </w:rPr>
        <w:t xml:space="preserve">٣. قم؛ مسجد اعظم؛ شماره نسخه: ۳۸۴۲/۱</w:t>
      </w:r>
    </w:p>
    <w:p>
      <w:pPr>
        <w:pStyle w:val="BookText"/>
      </w:pPr>
      <w:r>
        <w:rPr>
          <w:rFonts w:ascii="IRNazanin" w:hAnsi="IRNazanin" w:eastAsia="IRNazanin" w:cs="IRNazanin"/>
          <w:lang w:bidi="fa-IR"/>
          <w:color w:val="111111"/>
          <w:sz w:val="28"/>
          <w:szCs w:val="28"/>
          <w:rtl/>
        </w:rPr>
        <w:t xml:space="preserve">آغاز: پس این ارازل از جوان جنگی گرفته سالخورده و خورد سال از زیرو ... و جوانی دیگر از حرص و نترسی که از آن تنگنای مخوف با پای شکسته خود را بیرون انداخته و در برف کوچه به رو درافتاده؛ انجام: و حاجی عبدالرحیم چند سفر به همدان ... صبيه خطيب همدانی را عیال گرفته ... و گاهی به خانه و مقر خویش می رفت روضه را مؤثر و محزون می خواند و اذان را به صوت حس فصیح و بلیغ می گفت و ظهر عید فطر در مسجد حضرات شیخیه و اقامه جماعت اوان ظهر و عصر را ادا نموده در فهرست بدون نام مؤلف است؛ خط: نستعلیق، بی کا، بی تا؛ افتادگی: آغاز و انجام؛ جلد: مقوا، ۳۳گ،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مخ: ۳-۱۳۶۸]</w:t>
      </w:r>
    </w:p>
    <w:p>
      <w:pPr>
        <w:pStyle w:val="Heading3"/>
      </w:pPr>
      <w:bookmarkStart w:id="2455" w:name="_Toc1715"/>
      <w:r>
        <w:t>•تاریخ عبيد الله غيد / تاریخ / فارسی</w:t>
      </w:r>
      <w:bookmarkEnd w:id="2455"/>
    </w:p>
    <w:p>
      <w:pPr>
        <w:pStyle w:val="BookText"/>
      </w:pPr>
      <w:r>
        <w:rPr>
          <w:rFonts w:ascii="Times New Roman" w:hAnsi="Times New Roman" w:eastAsia="Times New Roman" w:cs="Times New Roman"/>
          <w:lang w:val="en-US" w:bidi="en-US"/>
          <w:color w:val="111111"/>
          <w:sz w:val="28"/>
          <w:szCs w:val="28"/>
          <w:rtl/>
        </w:rPr>
        <w:t xml:space="preserve">tārīx-e ‘obeyd-ol-lāh-e qīd</w:t>
      </w:r>
    </w:p>
    <w:p>
      <w:pPr>
        <w:pStyle w:val="BookText"/>
      </w:pPr>
      <w:r>
        <w:rPr>
          <w:rFonts w:ascii="IRNazanin" w:hAnsi="IRNazanin" w:eastAsia="IRNazanin" w:cs="IRNazanin"/>
          <w:lang w:bidi="fa-IR"/>
          <w:color w:val="111111"/>
          <w:sz w:val="28"/>
          <w:szCs w:val="28"/>
          <w:rtl/>
        </w:rPr>
        <w:t xml:space="preserve">شیخ طه که از خاک عثمانی به ایران مهاجرت کرده و محمد شاه قاجار هفت قریه در «مرکور» از محال ارومیه بدو واگذار کرده بود، ادعای قطبیت داشت و پس از مرگش فرزندش شیخ عبيد الله غيد به جای وی بر پوست تخت درویشی بنشست و پس از ورود ارتش</w:t>
      </w:r>
    </w:p>
    <w:p>
      <w:pPr>
        <w:pStyle w:val="BookText"/>
      </w:pPr>
      <w:r>
        <w:rPr>
          <w:rFonts w:ascii="IRNazanin" w:hAnsi="IRNazanin" w:eastAsia="IRNazanin" w:cs="IRNazanin"/>
          <w:lang w:bidi="fa-IR"/>
          <w:color w:val="111111"/>
          <w:sz w:val="28"/>
          <w:szCs w:val="28"/>
          <w:rtl/>
        </w:rPr>
        <w:t xml:space="preserve">روس به خاک عثمانی در سال ۱۲۹۵ شیخ به کمک عثمانیان برخاست و با ارتشی از اکراد ایرانی به آن سرزمین رفت و در چند برخورد جنگی بر روسیان پیروز شد و به مقر خود با اسلحه فراوان و غنایم جنگی باز گشت. شیخ در سال بعد (۱۲۹۶) به جهت مطالبه دولت عثمانی اسلحه و پرچم دولتی را، با عثمانیان به اختلاف برخاست و سلطان عثمانی و پادشاه ایرانی را تهدید نمود، عثمانیان صلاح را در صلح با وی دانستند و از درخواست خود صرف نظر نمودند. عبيدالله در سال ۱۲۹۹ به فکر خروج بر دولت ایران افتاد و گروهی از یاران و مریدان خود را گرد آورد و پس از جنگی در محال کردستان شکست خورد. این کتاب که با انشایی مغلوط نگارش یافته و مؤلف آن با گروه شیخ سخت دشمن بوده است، برای شناخت گوشه هایی از تواریخ کردها سودمند می باشد.</w:t>
      </w:r>
    </w:p>
    <w:p>
      <w:pPr>
        <w:pStyle w:val="BookText"/>
      </w:pPr>
      <w:r>
        <w:rPr>
          <w:rFonts w:ascii="IRNazanin" w:hAnsi="IRNazanin" w:eastAsia="IRNazanin" w:cs="IRNazanin"/>
          <w:lang w:bidi="fa-IR"/>
          <w:color w:val="111111"/>
          <w:sz w:val="28"/>
          <w:szCs w:val="28"/>
          <w:rtl/>
        </w:rPr>
        <w:t xml:space="preserve">قم؛ مرعشی؛ شماره نسخه:۱۰۴۴۶</w:t>
      </w:r>
    </w:p>
    <w:p>
      <w:pPr>
        <w:pStyle w:val="BookText"/>
      </w:pPr>
      <w:r>
        <w:rPr>
          <w:rFonts w:ascii="IRNazanin" w:hAnsi="IRNazanin" w:eastAsia="IRNazanin" w:cs="IRNazanin"/>
          <w:lang w:bidi="fa-IR"/>
          <w:color w:val="111111"/>
          <w:sz w:val="28"/>
          <w:szCs w:val="28"/>
          <w:rtl/>
        </w:rPr>
        <w:t xml:space="preserve">آغاز: اول دفتر بنام خدا و نعت نبی صلوات الله و سلامه عليه و هدایت ائمه اطهار سلام الله عليهم؛ انجام: کدخدایان را اظهار مرحمت نمود یكان يکان را احوال پرسی نمودند و به آن نهج وارد دیوانخانه شدند خط: نستعلیق، بی کا، تا: ۱۸ ربیع الاول ۱۲۹۹ق؛ جلد: تیماج</w:t>
      </w:r>
    </w:p>
    <w:p>
      <w:pPr>
        <w:pStyle w:val="BookText"/>
      </w:pPr>
      <w:r>
        <w:rPr>
          <w:rFonts w:ascii="IRNazanin" w:hAnsi="IRNazanin" w:eastAsia="IRNazanin" w:cs="IRNazanin"/>
          <w:lang w:bidi="fa-IR"/>
          <w:color w:val="111111"/>
          <w:sz w:val="28"/>
          <w:szCs w:val="28"/>
          <w:rtl/>
        </w:rPr>
        <w:t xml:space="preserve">قهوه ای، ۲۴۳گ، ۱۰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۲۶-۳۶۴)</w:t>
      </w:r>
    </w:p>
    <w:p>
      <w:pPr>
        <w:pStyle w:val="BookText"/>
      </w:pPr>
      <w:r>
        <w:rPr>
          <w:rFonts w:ascii="IRNazanin" w:hAnsi="IRNazanin" w:eastAsia="IRNazanin" w:cs="IRNazanin"/>
          <w:lang w:bidi="fa-IR"/>
          <w:color w:val="111111"/>
          <w:sz w:val="28"/>
          <w:szCs w:val="28"/>
          <w:rtl/>
        </w:rPr>
        <w:t xml:space="preserve">قم، مرکز احیاء؛ شماره نسخه:۵۱۱</w:t>
      </w:r>
    </w:p>
    <w:p>
      <w:pPr>
        <w:pStyle w:val="BookText"/>
      </w:pPr>
      <w:r>
        <w:rPr>
          <w:rFonts w:ascii="IRNazanin" w:hAnsi="IRNazanin" w:eastAsia="IRNazanin" w:cs="IRNazanin"/>
          <w:lang w:bidi="fa-IR"/>
          <w:color w:val="111111"/>
          <w:sz w:val="28"/>
          <w:szCs w:val="28"/>
          <w:rtl/>
        </w:rPr>
        <w:t xml:space="preserve">نسخه اصل: همان نسخه بالا [عکسی ف: ۲-۱۰۳]</w:t>
      </w:r>
    </w:p>
    <w:p>
      <w:pPr>
        <w:pStyle w:val="BookText"/>
      </w:pPr>
      <w:r>
        <w:rPr>
          <w:rFonts w:ascii="IRNazanin" w:hAnsi="IRNazanin" w:eastAsia="IRNazanin" w:cs="IRNazanin"/>
          <w:lang w:bidi="fa-IR"/>
          <w:color w:val="111111"/>
          <w:sz w:val="28"/>
          <w:szCs w:val="28"/>
          <w:rtl/>
        </w:rPr>
        <w:t xml:space="preserve">← تاریخ عتبی ← تاريخ اليميني</w:t>
      </w:r>
    </w:p>
    <w:p>
      <w:pPr>
        <w:pStyle w:val="Heading3"/>
      </w:pPr>
      <w:bookmarkStart w:id="2456" w:name="_Toc1716"/>
      <w:r>
        <w:t>•تاریخ عترت = سیرت معصومین / تاریخ معصومین / فارسی</w:t>
      </w:r>
      <w:bookmarkEnd w:id="2456"/>
    </w:p>
    <w:p>
      <w:pPr>
        <w:pStyle w:val="BookText"/>
      </w:pPr>
      <w:r>
        <w:rPr>
          <w:rFonts w:ascii="Times New Roman" w:hAnsi="Times New Roman" w:eastAsia="Times New Roman" w:cs="Times New Roman"/>
          <w:lang w:val="en-US" w:bidi="en-US"/>
          <w:color w:val="111111"/>
          <w:sz w:val="28"/>
          <w:szCs w:val="28"/>
          <w:rtl/>
        </w:rPr>
        <w:t xml:space="preserve">tārīx-e ‘etrat = sīrat-e ma‘sūmīn</w:t>
      </w:r>
    </w:p>
    <w:p>
      <w:pPr>
        <w:pStyle w:val="BookText"/>
      </w:pPr>
      <w:r>
        <w:rPr>
          <w:rFonts w:ascii="IRNazanin" w:hAnsi="IRNazanin" w:eastAsia="IRNazanin" w:cs="IRNazanin"/>
          <w:lang w:bidi="fa-IR"/>
          <w:color w:val="111111"/>
          <w:sz w:val="28"/>
          <w:szCs w:val="28"/>
          <w:rtl/>
        </w:rPr>
        <w:t xml:space="preserve">واعظ شامی، علی بن محمد نظام، ق ۹ قمری</w:t>
      </w:r>
    </w:p>
    <w:p>
      <w:pPr>
        <w:pStyle w:val="BookText"/>
      </w:pPr>
      <w:r>
        <w:rPr>
          <w:rFonts w:ascii="Times New Roman" w:hAnsi="Times New Roman" w:eastAsia="Times New Roman" w:cs="Times New Roman"/>
          <w:lang w:val="en-US" w:bidi="en-US"/>
          <w:color w:val="111111"/>
          <w:sz w:val="28"/>
          <w:szCs w:val="28"/>
          <w:rtl/>
        </w:rPr>
        <w:t xml:space="preserve">vā“ez-e šāmī, ‘alī ebn-e mohammad nezām (-15c)</w:t>
      </w:r>
    </w:p>
    <w:p>
      <w:pPr>
        <w:pStyle w:val="BookText"/>
      </w:pPr>
      <w:r>
        <w:rPr>
          <w:rFonts w:ascii="IRNazanin" w:hAnsi="IRNazanin" w:eastAsia="IRNazanin" w:cs="IRNazanin"/>
          <w:lang w:bidi="fa-IR"/>
          <w:color w:val="111111"/>
          <w:sz w:val="28"/>
          <w:szCs w:val="28"/>
          <w:rtl/>
        </w:rPr>
        <w:t xml:space="preserve">تاريخ تأليف: ۸۰۳ق؛ محل تأليف: حلب رساله مختصری است در سیره عترت (ص) در دیباچه می نویسد جلدی (است) در ذکر عترت مصطفی و جزوی (است) در محمدت و منقبت و کیفیت وضع و مولد و مسکن و مسقط و مدفن و حسن سیرت و فضل سريرت هر یک». در آن دارد که لفظ بر طبق معنی پی در پی می رسید و شرطی که رفته در سطور مرعی است مگر در نقش نگین هر یک چون محل تغییر و تصرف نبود بر وضع خود مروی است». سرگذشت پیامبر و دوازده پیشوا در آن یاد شده است.</w:t>
      </w:r>
    </w:p>
    <w:p>
      <w:pPr>
        <w:pStyle w:val="BookText"/>
      </w:pPr>
      <w:r>
        <w:rPr>
          <w:rFonts w:ascii="IRNazanin" w:hAnsi="IRNazanin" w:eastAsia="IRNazanin" w:cs="IRNazanin"/>
          <w:lang w:bidi="fa-IR"/>
          <w:color w:val="111111"/>
          <w:sz w:val="28"/>
          <w:szCs w:val="28"/>
          <w:rtl/>
        </w:rPr>
        <w:t xml:space="preserve">آغاز: بسمله. صنوف حمد بی حد و فنون شکر بیعد در نعت حضرت معبودیست که بیرنگ هستی بر لوح وجود کشیده بنده تصویر ویست؛ و ضروب مدحت بی مر و شعوب منت بی کیفر وسیله قربت مقصودی که جبین هر موجود در محل سجود بر عتبه تقدیر وی ... و بعد سبب تحریر سطری چند که مرقوم میگردد و موجب تسطير حرفی دو که مزبور میشود تقریر کرده تحریر میپذیرد که هر شغلی بسببی منوطست و هر عملی بموجبی مربوط در شهور رجب مورخ هشتصد و سه هجری. انجام: وجودش در مکه طلوع کند و سیصد و سیزدهم کس بر عدد لشکر بدر بدو پیوندد و جنود ملکی و وفود فلکی معونتش کنند و عرصه کیتی در عهد وی بموجب فرموده رسول پر عدل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519" w:name="pg20363_209831"/>
    <w:bookmarkEnd w:id="519"/>
    <w:p>
      <w:pPr>
        <w:pStyle w:val="BookText"/>
      </w:pPr>
      <w:r>
        <w:rPr>
          <w:rFonts w:ascii="IRNazanin" w:hAnsi="IRNazanin" w:eastAsia="IRNazanin" w:cs="IRNazanin"/>
          <w:lang w:bidi="fa-IR"/>
          <w:color w:val="111111"/>
          <w:sz w:val="28"/>
          <w:szCs w:val="28"/>
          <w:rtl/>
        </w:rPr>
        <w:t xml:space="preserve">و خصب گردد. و الله اعلم تمت الرسالة.</w:t>
      </w:r>
    </w:p>
    <w:p>
      <w:pPr>
        <w:pStyle w:val="BookText"/>
      </w:pPr>
      <w:r>
        <w:rPr>
          <w:rFonts w:ascii="IRNazanin" w:hAnsi="IRNazanin" w:eastAsia="IRNazanin" w:cs="IRNazanin"/>
          <w:lang w:bidi="fa-IR"/>
          <w:color w:val="111111"/>
          <w:sz w:val="28"/>
          <w:szCs w:val="28"/>
          <w:rtl/>
        </w:rPr>
        <w:t xml:space="preserve">[دنا ۷۲۳/۲ ؛ فهرستواره منزوی ۱۵۷۳/۳ نامعلوم ]</w:t>
      </w:r>
    </w:p>
    <w:p>
      <w:pPr>
        <w:pStyle w:val="BookText"/>
      </w:pPr>
      <w:r>
        <w:rPr>
          <w:rFonts w:ascii="IRNazanin" w:hAnsi="IRNazanin" w:eastAsia="IRNazanin" w:cs="IRNazanin"/>
          <w:lang w:bidi="fa-IR"/>
          <w:color w:val="111111"/>
          <w:sz w:val="28"/>
          <w:szCs w:val="28"/>
          <w:rtl/>
        </w:rPr>
        <w:t xml:space="preserve">۱. قم؛ مرعشی؛ شماره نسخه: ۱۲۸۴۴/۴</w:t>
      </w:r>
    </w:p>
    <w:p>
      <w:pPr>
        <w:pStyle w:val="BookText"/>
      </w:pPr>
      <w:r>
        <w:rPr>
          <w:rFonts w:ascii="IRNazanin" w:hAnsi="IRNazanin" w:eastAsia="IRNazanin" w:cs="IRNazanin"/>
          <w:lang w:bidi="fa-IR"/>
          <w:color w:val="111111"/>
          <w:sz w:val="28"/>
          <w:szCs w:val="28"/>
          <w:rtl/>
        </w:rPr>
        <w:t xml:space="preserve">آغاز: دم فروکش که وقت دم زد نیست *** خمشی هم بوقت خود بد نیست؛ انجام: برابر خط: نستعلیق، بی کا، تا: قرن ۹، افتادگی: آغاز؛ در حاشیه مورب نگارش یافته، مرصع، مجدول با طلا، کاغذ: فرنگی، ۱۵گی* (1 -۱۵ر)، ۱۷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۳سم [ف: ۳۲-۶۰۴]</w:t>
      </w:r>
    </w:p>
    <w:p>
      <w:pPr>
        <w:pStyle w:val="BookText"/>
      </w:pPr>
      <w:r>
        <w:rPr>
          <w:rFonts w:ascii="IRNazanin" w:hAnsi="IRNazanin" w:eastAsia="IRNazanin" w:cs="IRNazanin"/>
          <w:lang w:bidi="fa-IR"/>
          <w:color w:val="111111"/>
          <w:sz w:val="28"/>
          <w:szCs w:val="28"/>
          <w:rtl/>
        </w:rPr>
        <w:t xml:space="preserve">۲. تهران؛ مجلس؛ شماره نسخه: ۲۸۶/۱</w:t>
      </w:r>
    </w:p>
    <w:p>
      <w:pPr>
        <w:pStyle w:val="BookText"/>
      </w:pPr>
      <w:r>
        <w:rPr>
          <w:rFonts w:ascii="IRNazanin" w:hAnsi="IRNazanin" w:eastAsia="IRNazanin" w:cs="IRNazanin"/>
          <w:lang w:bidi="fa-IR"/>
          <w:color w:val="111111"/>
          <w:sz w:val="28"/>
          <w:szCs w:val="28"/>
          <w:rtl/>
        </w:rPr>
        <w:t xml:space="preserve">نام کتاب از فهرست مرعشی ۶۰۴/۳۲ تصحیح گردید؛ کا: محمد همام طبیب، تا اواخر محرم ۱۱۲ق، جا: شنب غازانی؛ کاغذ: سفید سمرقندی، جلد: تیماج سرخ، ۴ ص (۱-۴)، ۲۴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سم [سنا: ف: ۱-۱۴۵]</w:t>
      </w:r>
    </w:p>
    <w:p>
      <w:pPr>
        <w:pStyle w:val="BookText"/>
      </w:pPr>
      <w:r>
        <w:rPr>
          <w:rFonts w:ascii="IRNazanin" w:hAnsi="IRNazanin" w:eastAsia="IRNazanin" w:cs="IRNazanin"/>
          <w:lang w:bidi="fa-IR"/>
          <w:color w:val="111111"/>
          <w:sz w:val="28"/>
          <w:szCs w:val="28"/>
          <w:rtl/>
        </w:rPr>
        <w:t xml:space="preserve">٣. تهران، دانشگاه؛ شماره نسخه: ۱۱۶۴/۲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فهرست نام مؤلف نیامده است و به استناد فهرستواره ۱۷۰۰/۳ تعیین شد؛ خط: شکسته نستعلیق، بی کا، بی تا؛ ۱۱گ (۳۸پ - ۴۸پ) [ف: ۶-۲۱۵۳]</w:t>
      </w:r>
    </w:p>
    <w:p>
      <w:pPr>
        <w:pStyle w:val="Heading3"/>
      </w:pPr>
      <w:bookmarkStart w:id="2457" w:name="_Toc1717"/>
      <w:r>
        <w:t>•تاریخ عترت / تاریخ معصومین / فارسی</w:t>
      </w:r>
      <w:bookmarkEnd w:id="2457"/>
    </w:p>
    <w:p>
      <w:pPr>
        <w:pStyle w:val="BookText"/>
      </w:pPr>
      <w:r>
        <w:rPr>
          <w:rFonts w:ascii="Times New Roman" w:hAnsi="Times New Roman" w:eastAsia="Times New Roman" w:cs="Times New Roman"/>
          <w:lang w:val="en-US" w:bidi="en-US"/>
          <w:color w:val="111111"/>
          <w:sz w:val="28"/>
          <w:szCs w:val="28"/>
          <w:rtl/>
        </w:rPr>
        <w:t xml:space="preserve">tārīx-e 'etrat</w:t>
      </w:r>
    </w:p>
    <w:p>
      <w:pPr>
        <w:pStyle w:val="BookText"/>
      </w:pPr>
      <w:r>
        <w:rPr>
          <w:rFonts w:ascii="IRNazanin" w:hAnsi="IRNazanin" w:eastAsia="IRNazanin" w:cs="IRNazanin"/>
          <w:lang w:bidi="fa-IR"/>
          <w:color w:val="111111"/>
          <w:sz w:val="28"/>
          <w:szCs w:val="28"/>
          <w:rtl/>
        </w:rPr>
        <w:t xml:space="preserve">حسینی حسنی، عبدالغفار</w:t>
      </w:r>
    </w:p>
    <w:p>
      <w:pPr>
        <w:pStyle w:val="BookText"/>
      </w:pPr>
      <w:r>
        <w:rPr>
          <w:rFonts w:ascii="Times New Roman" w:hAnsi="Times New Roman" w:eastAsia="Times New Roman" w:cs="Times New Roman"/>
          <w:lang w:val="en-US" w:bidi="en-US"/>
          <w:color w:val="111111"/>
          <w:sz w:val="28"/>
          <w:szCs w:val="28"/>
          <w:rtl/>
        </w:rPr>
        <w:t xml:space="preserve">hoseynī hasanī, ‘abd-ol-qaffăr</w:t>
      </w:r>
    </w:p>
    <w:p>
      <w:pPr>
        <w:pStyle w:val="BookText"/>
      </w:pPr>
      <w:r>
        <w:rPr>
          <w:rFonts w:ascii="IRNazanin" w:hAnsi="IRNazanin" w:eastAsia="IRNazanin" w:cs="IRNazanin"/>
          <w:lang w:bidi="fa-IR"/>
          <w:color w:val="111111"/>
          <w:sz w:val="28"/>
          <w:szCs w:val="28"/>
          <w:rtl/>
        </w:rPr>
        <w:t xml:space="preserve">به روش عرفانی نگاشته شده و جز «تاریخ عترت» است که در فهرست دانشگاه ص ۲۱۵۳) یاد شده است و در فضائل عترت است. آغاز: بسمله الحمدلله الذي انزل على عبده الكتاب و لم يجعل ... اما بعد این چند کلمه ای است که ... عبد الغفار صدیقی حسینی حسنی خراسانی ... از منازل مطالعه و استفهام ... برچیده</w:t>
      </w:r>
    </w:p>
    <w:p>
      <w:pPr>
        <w:pStyle w:val="BookText"/>
      </w:pPr>
      <w:r>
        <w:rPr>
          <w:rFonts w:ascii="IRNazanin" w:hAnsi="IRNazanin" w:eastAsia="IRNazanin" w:cs="IRNazanin"/>
          <w:lang w:bidi="fa-IR"/>
          <w:color w:val="111111"/>
          <w:sz w:val="28"/>
          <w:szCs w:val="28"/>
          <w:rtl/>
        </w:rPr>
        <w:t xml:space="preserve">[دنا ۷۲۳/۲ ؛ فهرستواره منزوی ۱۵۷۳/۳ ]</w:t>
      </w:r>
    </w:p>
    <w:p>
      <w:pPr>
        <w:pStyle w:val="BookText"/>
      </w:pPr>
      <w:r>
        <w:rPr>
          <w:rFonts w:ascii="IRNazanin" w:hAnsi="IRNazanin" w:eastAsia="IRNazanin" w:cs="IRNazanin"/>
          <w:lang w:bidi="fa-IR"/>
          <w:color w:val="111111"/>
          <w:sz w:val="28"/>
          <w:szCs w:val="28"/>
          <w:rtl/>
        </w:rPr>
        <w:t xml:space="preserve">تهران؛ سپهسالار؛ شماره نسخه:۲۸۴۴/۳</w:t>
      </w:r>
    </w:p>
    <w:p>
      <w:pPr>
        <w:pStyle w:val="BookText"/>
      </w:pPr>
      <w:r>
        <w:rPr>
          <w:rFonts w:ascii="IRNazanin" w:hAnsi="IRNazanin" w:eastAsia="IRNazanin" w:cs="IRNazanin"/>
          <w:lang w:bidi="fa-IR"/>
          <w:color w:val="111111"/>
          <w:sz w:val="28"/>
          <w:szCs w:val="28"/>
          <w:rtl/>
        </w:rPr>
        <w:t xml:space="preserve">آغاز: برابر؛ انجام: و هيئي لنا من امرنا رشدا. خط: نستعلیق، بی کا، بی تا؛ محشی با نشانه «منه غفر له»؛ کاغذ: سپاهانی نخودی، جلد: تیماج سبز مقوایی، ۳۶گ (۱۵۲پ - ۱۸۷)، ۱۹ و ۲۰ سطر، اندازه: ۲۲۶۱۳سم [ف: ۳-۳۰۰ ]</w:t>
      </w:r>
    </w:p>
    <w:p>
      <w:pPr>
        <w:pStyle w:val="Heading3"/>
      </w:pPr>
      <w:bookmarkStart w:id="2458" w:name="_Toc1718"/>
      <w:r>
        <w:t>•تاریخ عثمان / تاریخ عربی</w:t>
      </w:r>
      <w:bookmarkEnd w:id="2458"/>
    </w:p>
    <w:p>
      <w:pPr>
        <w:pStyle w:val="BookText"/>
      </w:pPr>
      <w:r>
        <w:rPr>
          <w:rFonts w:ascii="Times New Roman" w:hAnsi="Times New Roman" w:eastAsia="Times New Roman" w:cs="Times New Roman"/>
          <w:lang w:val="en-US" w:bidi="en-US"/>
          <w:color w:val="111111"/>
          <w:sz w:val="28"/>
          <w:szCs w:val="28"/>
          <w:rtl/>
        </w:rPr>
        <w:t xml:space="preserve">tārīx-e ‘osmān</w:t>
      </w:r>
    </w:p>
    <w:p>
      <w:pPr>
        <w:pStyle w:val="BookText"/>
      </w:pPr>
      <w:r>
        <w:rPr>
          <w:rFonts w:ascii="IRNazanin" w:hAnsi="IRNazanin" w:eastAsia="IRNazanin" w:cs="IRNazanin"/>
          <w:lang w:bidi="fa-IR"/>
          <w:color w:val="111111"/>
          <w:sz w:val="28"/>
          <w:szCs w:val="28"/>
          <w:rtl/>
        </w:rPr>
        <w:t xml:space="preserve">در خرده گیری از کردارهای او .</w:t>
      </w:r>
    </w:p>
    <w:p>
      <w:pPr>
        <w:pStyle w:val="BookText"/>
      </w:pPr>
      <w:r>
        <w:rPr>
          <w:rFonts w:ascii="IRNazanin" w:hAnsi="IRNazanin" w:eastAsia="IRNazanin" w:cs="IRNazanin"/>
          <w:lang w:bidi="fa-IR"/>
          <w:color w:val="111111"/>
          <w:sz w:val="28"/>
          <w:szCs w:val="28"/>
          <w:rtl/>
        </w:rPr>
        <w:t xml:space="preserve">مشهد؛ گوهرشاد؛ شماره نسخه:۵۸۶/۴</w:t>
      </w:r>
    </w:p>
    <w:p>
      <w:pPr>
        <w:pStyle w:val="BookText"/>
      </w:pPr>
      <w:r>
        <w:rPr>
          <w:rFonts w:ascii="IRNazanin" w:hAnsi="IRNazanin" w:eastAsia="IRNazanin" w:cs="IRNazanin"/>
          <w:lang w:bidi="fa-IR"/>
          <w:color w:val="111111"/>
          <w:sz w:val="28"/>
          <w:szCs w:val="28"/>
          <w:rtl/>
        </w:rPr>
        <w:t xml:space="preserve">آغاز: بسمله. لما استخلف عثمان بن عفان آوى اليه عمه الحكم بن العاص خط: نسخ، بی کا، تا: قرن ۱۳؛ افتادگی: انجام؛ قطع: ربعی [چهار کتابخانه مشهدف: ۲۳۱]</w:t>
      </w:r>
    </w:p>
    <w:p>
      <w:pPr>
        <w:pStyle w:val="BookText"/>
      </w:pPr>
      <w:r>
        <w:rPr>
          <w:rFonts w:ascii="IRNazanin" w:hAnsi="IRNazanin" w:eastAsia="IRNazanin" w:cs="IRNazanin"/>
          <w:lang w:bidi="fa-IR"/>
          <w:color w:val="111111"/>
          <w:sz w:val="28"/>
          <w:szCs w:val="28"/>
          <w:rtl/>
        </w:rPr>
        <w:t xml:space="preserve">← تاریخ عثمانی← تاج التواريخ</w:t>
      </w:r>
    </w:p>
    <w:p>
      <w:pPr>
        <w:pStyle w:val="BookText"/>
      </w:pPr>
      <w:r>
        <w:rPr>
          <w:rFonts w:ascii="IRNazanin" w:hAnsi="IRNazanin" w:eastAsia="IRNazanin" w:cs="IRNazanin"/>
          <w:lang w:bidi="fa-IR"/>
          <w:color w:val="111111"/>
          <w:sz w:val="28"/>
          <w:szCs w:val="28"/>
          <w:rtl/>
        </w:rPr>
        <w:t xml:space="preserve">←تاریخ عثمانی ← تاریخ جودت</w:t>
      </w:r>
    </w:p>
    <w:p>
      <w:pPr>
        <w:pStyle w:val="Heading3"/>
      </w:pPr>
      <w:bookmarkStart w:id="2459" w:name="_Toc1719"/>
      <w:r>
        <w:t>•تاریخ عثمانی (ترجمه) = تاریخ دولت علیه عثمانی / تاریخ / فارسی</w:t>
      </w:r>
      <w:bookmarkEnd w:id="2459"/>
    </w:p>
    <w:p>
      <w:pPr>
        <w:pStyle w:val="BookText"/>
      </w:pPr>
      <w:r>
        <w:rPr>
          <w:rFonts w:ascii="Times New Roman" w:hAnsi="Times New Roman" w:eastAsia="Times New Roman" w:cs="Times New Roman"/>
          <w:lang w:val="en-US" w:bidi="en-US"/>
          <w:color w:val="111111"/>
          <w:sz w:val="28"/>
          <w:szCs w:val="28"/>
          <w:rtl/>
        </w:rPr>
        <w:t xml:space="preserve">elliye-ye</w:t>
      </w:r>
    </w:p>
    <w:p>
      <w:pPr>
        <w:pStyle w:val="BookText"/>
      </w:pPr>
      <w:r>
        <w:rPr>
          <w:rFonts w:ascii="Times New Roman" w:hAnsi="Times New Roman" w:eastAsia="Times New Roman" w:cs="Times New Roman"/>
          <w:lang w:val="en-US" w:bidi="en-US"/>
          <w:color w:val="111111"/>
          <w:sz w:val="28"/>
          <w:szCs w:val="28"/>
          <w:rtl/>
        </w:rPr>
        <w:t xml:space="preserve">osmani (t.) = tarix-e dowlat-e tarix-e ‘osmānī</w:t>
      </w:r>
    </w:p>
    <w:p>
      <w:pPr>
        <w:pStyle w:val="BookText"/>
      </w:pPr>
      <w:r>
        <w:rPr>
          <w:rFonts w:ascii="IRNazanin" w:hAnsi="IRNazanin" w:eastAsia="IRNazanin" w:cs="IRNazanin"/>
          <w:lang w:bidi="fa-IR"/>
          <w:color w:val="111111"/>
          <w:sz w:val="28"/>
          <w:szCs w:val="28"/>
          <w:rtl/>
        </w:rPr>
        <w:t xml:space="preserve">افشار، محمود خان، ق۱۴ قمری</w:t>
      </w:r>
    </w:p>
    <w:p>
      <w:pPr>
        <w:pStyle w:val="BookText"/>
      </w:pPr>
      <w:r>
        <w:rPr>
          <w:rFonts w:ascii="Times New Roman" w:hAnsi="Times New Roman" w:eastAsia="Times New Roman" w:cs="Times New Roman"/>
          <w:lang w:val="en-US" w:bidi="en-US"/>
          <w:color w:val="111111"/>
          <w:sz w:val="28"/>
          <w:szCs w:val="28"/>
          <w:rtl/>
        </w:rPr>
        <w:t xml:space="preserve">afšār, mahmūd xān (-20c)</w:t>
      </w:r>
    </w:p>
    <w:p>
      <w:pPr>
        <w:pStyle w:val="BookText"/>
      </w:pPr>
      <w:r>
        <w:rPr>
          <w:rFonts w:ascii="IRNazanin" w:hAnsi="IRNazanin" w:eastAsia="IRNazanin" w:cs="IRNazanin"/>
          <w:lang w:bidi="fa-IR"/>
          <w:color w:val="111111"/>
          <w:sz w:val="28"/>
          <w:szCs w:val="28"/>
          <w:rtl/>
        </w:rPr>
        <w:t xml:space="preserve">تاریخ سلاطین عثمانی ترجمه از ترکی. اصل ترکی این کتاب که «تاریخ دولت علیه عثمانی» نام دارد تأليف خیرالله افندی دانشمند و( سیاستمدار ترک ) و در ده [یا ۸] مجلد است. دو ترجمه به فارسی دارد یکی از محمد حسین خوئی که با عنوان تاریخ جودت = تاریخ سلاطین عثمانی» معرفی شده و دیگری از محمود خان افشار که به نظر می رسد بعد از ترجمه خوئی بوده است. تفاوت میان این دو ترجمه در خصوصیات صدر و ذیل و در اجمال و تفصیل و در کیفیت و کمیت عبارات است و روی بر هم این ترجمه مفصل تر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مجلس؛ شماره نسخه:۲۹۷۸</w:t>
      </w:r>
    </w:p>
    <w:p>
      <w:pPr>
        <w:pStyle w:val="BookText"/>
      </w:pPr>
      <w:r>
        <w:rPr>
          <w:rFonts w:ascii="IRNazanin" w:hAnsi="IRNazanin" w:eastAsia="IRNazanin" w:cs="IRNazanin"/>
          <w:lang w:bidi="fa-IR"/>
          <w:color w:val="111111"/>
          <w:sz w:val="28"/>
          <w:szCs w:val="28"/>
          <w:rtl/>
        </w:rPr>
        <w:t xml:space="preserve">آغاز: ج ۷: بعد از حمد و ثنای الهی و درود نامحدود حضرت رسالت پناهی مخفی نماناد که دفر ششم تاریخ دولت علیه عثمانیه ... آغاز ج ۸: حمد و ثنای لايعد و لايحصي قادر قیومی او شایسته و سزاست که در سایه سلاطین عدل آئین ... آغاز ج 9: حمد نا معدود حضرت معبودیرا سزاست که مالک ملک ملوک و محیط بر كل وجود است ... آغاز ج ۱۰: حمد و سپاس بشماره انفس ناس مر خالق عقول و حواس و مدبر انواع ... ؛ آغاز ج ۱۱: حمد فراوان و سپاس بی پایان صانع کون و مکان را سزاست .... انجام: ج ۷: اسلحه ... در جنگها بسیار کار دیده است در اینجا در سایه حضرت پادشاهی این دفتر هفتم بانجام رسیده شروع بدفتر هشتم می شود؛ انجام ج ۸: نام راهب یا پاپ آنوقت که ليون دهم نام داشت تقویت یافت که تفصيل آن در دفتر نهم مرقوم و مسطور است در زیر سایه هماوایه حضرت خلافت پناهی ... شروع بتسطير دفتر نهم شد في سنه احدی و سبعین و ماتين و الف في اواسط ربیع الاول؛ انجام ج 9: که باید زمام سلطنت بدست سلطان سلیم سپرده شود که تفصیل آن در دفتر یازدهم که عهد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سلطنت او را بیان میکند مذکور است در سایه همایون حضرت پادشاهی دفتر نهم تاریخ دولت علیه عثمانیه بانجام رسیده شروع به ترتیب دفتر دهم شد في ۲۳ رجب سنه ۱۲۷۳؛ انجام ج ۱۰: و مجاهد و مرتاض بودنشان نیز از فتوحات جليله که موفق گشته اند ثابت میگردد بعد از این شروع بتجریر دفتر یازدهم میشود که شامل و قوعات عصر حضرت سلطان سلیمان است؛ انجام ج ۱۱: باز رفع رنجش شده همیشه اتفاق سلطنت عظمی با دولت مشارالها هم قدیم و با اساس و مستحکم بود تم بتاريخ 19 شوال سنة .۱۳۰۲</w:t>
      </w:r>
    </w:p>
    <w:p>
      <w:pPr>
        <w:pStyle w:val="BookText"/>
      </w:pPr>
      <w:r>
        <w:rPr>
          <w:rFonts w:ascii="IRNazanin" w:hAnsi="IRNazanin" w:eastAsia="IRNazanin" w:cs="IRNazanin"/>
          <w:lang w:bidi="fa-IR"/>
          <w:color w:val="111111"/>
          <w:sz w:val="28"/>
          <w:szCs w:val="28"/>
          <w:rtl/>
        </w:rPr>
        <w:t xml:space="preserve">بخش های هفتم و هشتم و نهم و دهم و یازدهم تاریخ سلاطین عثمانی است؛ خط: نستعلیق، کاتب = مؤلف، تا: ۱۳۰۲ق؛ مترجم در آغاز آن نوشته که ترجمه را در ۱۵ جمادی الاول ۱۳۰۲ شروع کرده و در ۲۹ شوال ۱۳۰۲ به پایان رسانیده، در پشت برگ نخستین کتاب نوشته: این جلد ۶۵ جزء ۱۰۲۵ صحیفه است؛ کاغذ: فرنگی، جلد: تیماج نارنجی، ۱۰۲۵ص، ۱۴سطر،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۱۰-۴۲۷]</w:t>
      </w:r>
    </w:p>
    <w:p>
      <w:pPr>
        <w:pStyle w:val="BookText"/>
      </w:pPr>
      <w:r>
        <w:rPr>
          <w:rFonts w:ascii="IRNazanin" w:hAnsi="IRNazanin" w:eastAsia="IRNazanin" w:cs="IRNazanin"/>
          <w:lang w:bidi="fa-IR"/>
          <w:color w:val="111111"/>
          <w:sz w:val="28"/>
          <w:szCs w:val="28"/>
          <w:rtl/>
        </w:rPr>
        <w:t xml:space="preserve">٢. اصفهان؛ صارم الدوله (کتابخانه فرهنگ اصفهان)؛ شماره نسخه:۹۳۷</w:t>
      </w:r>
    </w:p>
    <w:p>
      <w:pPr>
        <w:pStyle w:val="BookText"/>
      </w:pPr>
      <w:r>
        <w:rPr>
          <w:rFonts w:ascii="IRNazanin" w:hAnsi="IRNazanin" w:eastAsia="IRNazanin" w:cs="IRNazanin"/>
          <w:lang w:bidi="fa-IR"/>
          <w:color w:val="111111"/>
          <w:sz w:val="28"/>
          <w:szCs w:val="28"/>
          <w:rtl/>
        </w:rPr>
        <w:t xml:space="preserve">آغاز: پس از حمد و ثنای خالق و دود و درود نامحدود بر پیغمبر محمود صلی الله عليه و آله و سلم؛ انجام: تفصیل احوالش در دفترهای هفتم و هشتم مندرج است مراجعت شود. کتاب ثانی؛ خط: شکسته نستعلیق، کاتب = مؤلف، تا: ۱۸ ربیع الاول ۱۳۰۲ق؛ در ۲۱ ربیع الاول ۱۳۰۲ تصحیح آن خاتمه یافته؛ ۵۴۹ص، ۱۵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۶۷]</w:t>
      </w:r>
    </w:p>
    <w:p>
      <w:pPr>
        <w:pStyle w:val="BookText"/>
      </w:pPr>
      <w:r>
        <w:rPr>
          <w:rFonts w:ascii="IRNazanin" w:hAnsi="IRNazanin" w:eastAsia="IRNazanin" w:cs="IRNazanin"/>
          <w:lang w:bidi="fa-IR"/>
          <w:color w:val="111111"/>
          <w:sz w:val="28"/>
          <w:szCs w:val="28"/>
          <w:rtl/>
        </w:rPr>
        <w:t xml:space="preserve">٣. اصفهان؛ صارم الدوله (كتابخانه فرهنگ اصفهان)؛ شماره نسخه: ۹۴۰</w:t>
      </w:r>
    </w:p>
    <w:p>
      <w:pPr>
        <w:pStyle w:val="BookText"/>
      </w:pPr>
      <w:r>
        <w:rPr>
          <w:rFonts w:ascii="IRNazanin" w:hAnsi="IRNazanin" w:eastAsia="IRNazanin" w:cs="IRNazanin"/>
          <w:lang w:bidi="fa-IR"/>
          <w:color w:val="111111"/>
          <w:sz w:val="28"/>
          <w:szCs w:val="28"/>
          <w:rtl/>
        </w:rPr>
        <w:t xml:space="preserve">آغاز: آغاز دیباچه: فراید منظومه محامده سعوره ولائی منضوده اثنیه محمودہ نثار بارگاه حضرت کبریائی باد، انجام: و هیبت و محبت در قلوب عامه تجدد کرده بهارستان علم و هنر و صنایع رونق و طراوات تازه کسب نمود مشتمل بر وقایع سلطان سلیم دوم تا سلطان محمد چهارم از دفتر دوازدهم الى هيجدهم بشرح ذیل، دفتر دوازدهم از ۹۷۴ق تا ۹۸۲ق، دفتر سیزدهم از ۹۸۲ق تا ۱۰۰۳ق، دفتر چهارم از ۱۰۰۳ق تا ۱۰۱۲ق، دفتر پانزدهم از ۱۰۱۲ ق تا ۱۰۲۶ق، دفتر شانزدهم از ۱۰۲۶ق تا ۱۰۳۲ق، دفتر هفدهم از ۱۰۳۲ ق تا ۱۰۴۹ق، دفتر هیجدهم از ۱۰۴۹ ق تا ۱۰۵۸ق؛ خط: شکسته، کاتب = مؤلف، تان ۱۰ جمادی الاول ۱۳۰۳ق؛ ۸۰۱ص، ۱۳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۶۹]</w:t>
      </w:r>
    </w:p>
    <w:p>
      <w:pPr>
        <w:pStyle w:val="BookText"/>
      </w:pPr>
      <w:r>
        <w:rPr>
          <w:rFonts w:ascii="IRNazanin" w:hAnsi="IRNazanin" w:eastAsia="IRNazanin" w:cs="IRNazanin"/>
          <w:lang w:bidi="fa-IR"/>
          <w:color w:val="111111"/>
          <w:sz w:val="28"/>
          <w:szCs w:val="28"/>
          <w:rtl/>
        </w:rPr>
        <w:t xml:space="preserve">۴. اصفهان؛ صارم الدوله (كتابخانه فرهنگ اصفهان)؛ شماره نسخه: ۹۳۹</w:t>
      </w:r>
    </w:p>
    <w:p>
      <w:pPr>
        <w:pStyle w:val="BookText"/>
      </w:pPr>
      <w:r>
        <w:rPr>
          <w:rFonts w:ascii="IRNazanin" w:hAnsi="IRNazanin" w:eastAsia="IRNazanin" w:cs="IRNazanin"/>
          <w:lang w:bidi="fa-IR"/>
          <w:color w:val="111111"/>
          <w:sz w:val="28"/>
          <w:szCs w:val="28"/>
          <w:rtl/>
        </w:rPr>
        <w:t xml:space="preserve">کتاب ثانی: از دفتر اول تا آخر دفتر سوم؛ خط: نستعلیق عالی، كا: میر برغانی، تا: محرم ۱۳۰۴ق؛ در آخر صورت اسامی ۳۵ تن از سلاطین عثمانی به ترتیب آمده؛ ۲۲۳ ص، ۱۵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۶۸]</w:t>
      </w:r>
    </w:p>
    <w:p>
      <w:pPr>
        <w:pStyle w:val="BookText"/>
      </w:pPr>
      <w:r>
        <w:rPr>
          <w:rFonts w:ascii="IRNazanin" w:hAnsi="IRNazanin" w:eastAsia="IRNazanin" w:cs="IRNazanin"/>
          <w:lang w:bidi="fa-IR"/>
          <w:color w:val="111111"/>
          <w:sz w:val="28"/>
          <w:szCs w:val="28"/>
          <w:rtl/>
        </w:rPr>
        <w:t xml:space="preserve">۵. اصفهان؛ صارم الدوله (كتابخانه فرهنگ اصفهان، شماره نسخه: ۹۳۸</w:t>
      </w:r>
    </w:p>
    <w:p>
      <w:pPr>
        <w:pStyle w:val="BookText"/>
      </w:pPr>
      <w:r>
        <w:rPr>
          <w:rFonts w:ascii="IRNazanin" w:hAnsi="IRNazanin" w:eastAsia="IRNazanin" w:cs="IRNazanin"/>
          <w:lang w:bidi="fa-IR"/>
          <w:color w:val="111111"/>
          <w:sz w:val="28"/>
          <w:szCs w:val="28"/>
          <w:rtl/>
        </w:rPr>
        <w:t xml:space="preserve">آغاز: درود بی شمار نثار سرادق عظمت و جلال پادشاه بی زوال باد؛ انجام: و مفهوم وقایع مفصله که در این باب نوشته اند اخذ و استنباط نموده ایم کتاب ثانی: دفتر چهارم؛ خط: نستعلیق بسیار خوب، كا: میر برغانی مرتضی حسینی، تا: ۱۳۰۴ق؛ ۱۲۴ص، ۱۵ سطر (۱۸۸۱۰)،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اف: ۶۷]</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دانشگاه؛ شماره نسخه:۵۵۶۵</w:t>
      </w:r>
    </w:p>
    <w:p>
      <w:pPr>
        <w:pStyle w:val="BookText"/>
      </w:pPr>
      <w:r>
        <w:rPr>
          <w:rFonts w:ascii="IRNazanin" w:hAnsi="IRNazanin" w:eastAsia="IRNazanin" w:cs="IRNazanin"/>
          <w:lang w:bidi="fa-IR"/>
          <w:color w:val="111111"/>
          <w:sz w:val="28"/>
          <w:szCs w:val="28"/>
          <w:rtl/>
        </w:rPr>
        <w:t xml:space="preserve">جلد ۳ و ۴ خط: نستعلیق، بی کا، تا: قرن ۱۳ و ۱۴، ۱۸۳گ، ۱۱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۱۶-۳۶]</w:t>
      </w:r>
    </w:p>
    <w:p>
      <w:pPr>
        <w:pStyle w:val="BookText"/>
      </w:pPr>
      <w:r>
        <w:rPr>
          <w:rFonts w:ascii="IRNazanin" w:hAnsi="IRNazanin" w:eastAsia="IRNazanin" w:cs="IRNazanin"/>
          <w:lang w:bidi="fa-IR"/>
          <w:color w:val="111111"/>
          <w:sz w:val="28"/>
          <w:szCs w:val="28"/>
          <w:rtl/>
        </w:rPr>
        <w:t xml:space="preserve">۷. تهران: مجلس؛ شماره نسخه:۱۴۹-فیروز</w:t>
      </w:r>
    </w:p>
    <w:p>
      <w:pPr>
        <w:pStyle w:val="BookText"/>
      </w:pPr>
      <w:r>
        <w:rPr>
          <w:rFonts w:ascii="IRNazanin" w:hAnsi="IRNazanin" w:eastAsia="IRNazanin" w:cs="IRNazanin"/>
          <w:lang w:bidi="fa-IR"/>
          <w:color w:val="111111"/>
          <w:sz w:val="28"/>
          <w:szCs w:val="28"/>
          <w:rtl/>
        </w:rPr>
        <w:t xml:space="preserve">آغاز: آغاز دفتر دوم: بسمله. پس از حمد و ثنای خالق و درود نا محدود بر پیغمبر محمود صلی الله عليه و آله و سلم. مخفی نماناد که دفتر اول که قبل ازین سمت نگارش یافت. شامل مقدمه اعتلاء کو کب کو کبه دولت علیه عثمانیه بود ...از خول طغرل غازی ... تا وفات او ... آغاز دفتر 3: بسمله. پس از حمد خدا و درود خواجه هر دو سرا .... مخفی نماناد چون دفتر ثانی که قبل از این نگارش یافت در زیر سایه هما آیه پادشاهی و اصل حد ختام</w:t>
      </w:r>
    </w:p>
    <w:p>
      <w:pPr>
        <w:pStyle w:val="BookText"/>
      </w:pPr>
      <w:r>
        <w:rPr>
          <w:rFonts w:ascii="IRNazanin" w:hAnsi="IRNazanin" w:eastAsia="IRNazanin" w:cs="IRNazanin"/>
          <w:lang w:bidi="fa-IR"/>
          <w:color w:val="111111"/>
          <w:sz w:val="28"/>
          <w:szCs w:val="28"/>
          <w:rtl/>
        </w:rPr>
        <w:t xml:space="preserve">گردید. این دفتر ثالث نیز تفصیلات سی و شش ساله فتوحات ...</w:t>
      </w:r>
    </w:p>
    <w:p>
      <w:pPr>
        <w:pStyle w:val="BookText"/>
      </w:pPr>
      <w:r>
        <w:rPr>
          <w:rFonts w:ascii="IRNazanin" w:hAnsi="IRNazanin" w:eastAsia="IRNazanin" w:cs="IRNazanin"/>
          <w:lang w:bidi="fa-IR"/>
          <w:color w:val="111111"/>
          <w:sz w:val="28"/>
          <w:szCs w:val="28"/>
          <w:rtl/>
        </w:rPr>
        <w:t xml:space="preserve">و امورات داخله را از جلوس اورخان غازی بر تخت عثمانی مطابق ۸۶۶ الی وفات ایشان ... در ضمن آن احوال جميع ملوک اسلاميه ... فصل اول در بیان احوالات مختلفه ملوک اسلاميه ... آغاز دفتر ۴: دفتر چهارم از وقایع دولت علیه عثمانیه از ۷۶۱ تا ۷۹۱ درود بی شمار نثار سرادق عظمت و اجلال پادشاه بی زوال باد ... اما بعد منت خدای را که دفتر ثالث در زیر سایه حمایت ملوکانه ... السلطان الغازی عبدالمجید خان به سر حد ختام رسید ... و دفتر چهارم ... در سه فصل شرح و بیان می گردد ... آغاز دفتر ۵: سپاس مر خداوندری را که از نیستی هستی پدید آورد. در زیر سایه ... السلطان عبد المجيد غازی دفتر چهارم ... در اثناء شرح و قعه قصوه قرین ختام گشته این دفتر پنجم از جلوس يلدرم بایزید</w:t>
      </w:r>
    </w:p>
    <w:p>
      <w:pPr>
        <w:pStyle w:val="BookText"/>
      </w:pPr>
      <w:r>
        <w:rPr>
          <w:rFonts w:ascii="IRNazanin" w:hAnsi="IRNazanin" w:eastAsia="IRNazanin" w:cs="IRNazanin"/>
          <w:lang w:bidi="fa-IR"/>
          <w:color w:val="111111"/>
          <w:sz w:val="28"/>
          <w:szCs w:val="28"/>
          <w:rtl/>
        </w:rPr>
        <w:t xml:space="preserve">خان ... آغاز دفتر ۶: حمد بی غایت و درود بی نهایت نثار بارگاه ... .اما بعد دفتر پنجم این تاریخ ... که از کتب مختلف جمع و ترتیب می نمایم تا وقایع ۸۰۵ هجری ... قرین ختام گردید و دفتر سادس از ما بعد وقعه مشهوره ... شروع نمود.؛ انجام پایان دفتر دوم: با وقایع عثمان خان غازی که بانی این دولت است داخل نموده این جلد دویم را ترتیب دادیم فنعم الخاتمه در روز چهارشنبه بیست و یکم شهر صفر المظفر سنه ۱۷۲ اختتام یافت ... پایان دفتر 3:ان وقت کسانی که به دیده عبرت به این احوال نظر می کردند این را استدلال می نمودند که عن قریب عربها در آندلس محو و منقرض خواهند شد انتها. این دفتر ثالث و قوعات ۳۵ ساله ... سلطان مراد اول را شامل است و همه اش در جلد رابع نگاشته شده است. تمام شد دفتر ثالث. في ۲۶ محرم ۱۳۰۲. پایان دفتر چهارم: و این حقيقتها را از مال و مفهوم وقایع منفصله که در این باب نوشته اند اخذ و استنباط نموده ام. این دفتر چهارم که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520" w:name="pg20363_209833"/>
    <w:bookmarkEnd w:id="520"/>
    <w:p>
      <w:pPr>
        <w:pStyle w:val="BookText"/>
      </w:pPr>
      <w:r>
        <w:rPr>
          <w:rFonts w:ascii="IRNazanin" w:hAnsi="IRNazanin" w:eastAsia="IRNazanin" w:cs="IRNazanin"/>
          <w:lang w:bidi="fa-IR"/>
          <w:color w:val="111111"/>
          <w:sz w:val="28"/>
          <w:szCs w:val="28"/>
          <w:rtl/>
        </w:rPr>
        <w:t xml:space="preserve">وقایع عمومیه ... را جامع بود که قصه آن در دفتر خامس است ۱۲ صفر ۱۳۰۲. پایان دفتر ۵: برق که یلدرم باشد محو شد و آهی که کنایه از تیمور است باقی ماند. خاتمه دفتر پنجم ... در اینجا در زیر سایه شاهانه به حسن ختام پیوسته است به دفتر سادس که چگونگی احوال چلبی سلطان محمد خان و سایر شهزادگان را شامل است شروع می شود. پایان دفتر ۶: در این تاریخها بود که ناخدای مشهور کریستف کلمب در یکی از قریه های ژنوه متولد گشت تحصیل علوم و فنون نمود و بجای این که در عوض خدمتهای شایسته ... مظهر مکافات گردد ... مورد چندین زحمتا و فلاکتها گردید که تفصیل احوالش در دفتر هفتم و هشتم مندرج است مراجعت شود. تمام جلد اول کتاب تاریخ عثمانی خط: نسخ، بی کا، تا: ۱۳۰۲ق؛ دفتر دوم كاتب است؛ کاغذ: فرنگی شکری رنگ و آهار مهره، جلد: تیماج سرمه ای با ترنج و نیم ترنج، ۲۴۶ص، ۱۰ سطر،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۲۱-۳۳]</w:t>
      </w:r>
    </w:p>
    <w:p>
      <w:pPr>
        <w:pStyle w:val="BookText"/>
      </w:pPr>
      <w:r>
        <w:rPr>
          <w:rFonts w:ascii="IRNazanin" w:hAnsi="IRNazanin" w:eastAsia="IRNazanin" w:cs="IRNazanin"/>
          <w:lang w:bidi="fa-IR"/>
          <w:color w:val="111111"/>
          <w:sz w:val="28"/>
          <w:szCs w:val="28"/>
          <w:rtl/>
        </w:rPr>
        <w:t xml:space="preserve">۸. تهران؛ مجلس؛ شماره نسخه: ۱۵۰-فیروز</w:t>
      </w:r>
    </w:p>
    <w:p>
      <w:pPr>
        <w:pStyle w:val="BookText"/>
      </w:pPr>
      <w:r>
        <w:rPr>
          <w:rFonts w:ascii="IRNazanin" w:hAnsi="IRNazanin" w:eastAsia="IRNazanin" w:cs="IRNazanin"/>
          <w:lang w:bidi="fa-IR"/>
          <w:color w:val="111111"/>
          <w:sz w:val="28"/>
          <w:szCs w:val="28"/>
          <w:rtl/>
        </w:rPr>
        <w:t xml:space="preserve">فهرست مندرجات: دفتر دوم مشتمل است بر وقایع سال های ۷۲۵-۷۸۰ هجری و زمان حکومت عثمان غازی و چگونگی تأسیس دولت عثمانی و آغاز سلطنت غازی و احوال معاصرین وی از ملوک اسلامی و عیسوی (دفتر نخست شامل مقدمه ای درباره تاریخچه و سابقه دولت عثمانی و وقایع سالهای ۶۲۰ ۶۸۰ هجری = زمان سلطنت طغرل غازی است که در نسخه حاضر نیست)، دفتر سوم از سال ۷۲۶ تا ۷۶۱؛ دفتر چهارم از سال ۷۶۱ تا ۷۹۱، دفتر پنجم از سال ۷۹۱ تا ۸۰۵ دفتر ششم-از سال ۸۰۵ تا ۸۲۴؛ خط: شکسته نستعلیق، بی کا، بی تا، در پایان چنین نوشته شده در حضور مرحمت ظهور منور حضرت مستطاب اشرف اقدس شاهنشاه زاده اعظم ظل السلطان ... این غلام آستان مبارک فتح الله از بدو الى ختم قرائت نمود في شهر جمادی الاول ۱۳۰۲» و شاید نسخه خط همین فتح الله است؛ کاغذ: فرنگی شکری رنگ آهار مهره، جلد: تیماج قرمز با ترنج و نیم ترنج، ۶۳۲، ۱۱ سطر،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۲۱-۳۷]</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ملی؛ شماره نسخه: ۱۹۲۱</w:t>
      </w:r>
    </w:p>
    <w:p>
      <w:pPr>
        <w:pStyle w:val="BookText"/>
      </w:pPr>
      <w:r>
        <w:rPr>
          <w:rFonts w:ascii="IRNazanin" w:hAnsi="IRNazanin" w:eastAsia="IRNazanin" w:cs="IRNazanin"/>
          <w:lang w:bidi="fa-IR"/>
          <w:color w:val="111111"/>
          <w:sz w:val="28"/>
          <w:szCs w:val="28"/>
          <w:rtl/>
        </w:rPr>
        <w:t xml:space="preserve">آغاز: بسمله، حمد بيغایت و سپاس بی نهایت سزاوار شهنشاه قلمرو؛ انجام: بزحمت و فلاکت گرفتار گردید چنانکه تفصیلش در جلد هفتم و هشتم مسطور می گردد جلد ششم، مؤلف درین جلد حوادث دولت عثمانی را بزمان شهزادگان ایلدرم بایزید خان و حکمروایی امیر تیمور بر آن کشور می آورد و درین بیان تنها وضع کشورهای اسلامی مذکور نمی افتد بلکه از وقایع بزرگ ملل اروپا و بقول نویسنده کتاب حکمرانان عیسویه» و همچنین از کریستف کلمب و کشف قاره آمریکا سخنی چند مذکور می افتد؛ خط: شکسته نستعلیق، بی کا، تا: قرن ۱۴؛ کاغذ: فرنگی، جلد: ابره کاغذی مشکی، ۹۲گ، ۱۱سطر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۴-۳۷۹]</w:t>
      </w:r>
    </w:p>
    <w:p>
      <w:pPr>
        <w:pStyle w:val="Heading3"/>
      </w:pPr>
      <w:bookmarkStart w:id="2460" w:name="_Toc1720"/>
      <w:r>
        <w:t>•تاریخ عثمانی و صفوی و معاصران / تاریخ جهان / فارسی</w:t>
      </w:r>
      <w:bookmarkEnd w:id="2460"/>
    </w:p>
    <w:p>
      <w:pPr>
        <w:pStyle w:val="BookText"/>
      </w:pPr>
      <w:r>
        <w:rPr>
          <w:rFonts w:ascii="Times New Roman" w:hAnsi="Times New Roman" w:eastAsia="Times New Roman" w:cs="Times New Roman"/>
          <w:lang w:val="en-US" w:bidi="en-US"/>
          <w:color w:val="111111"/>
          <w:sz w:val="28"/>
          <w:szCs w:val="28"/>
          <w:rtl/>
        </w:rPr>
        <w:t xml:space="preserve">tārīx-e 'osmānī va safavī va moʻāserān</w:t>
      </w:r>
    </w:p>
    <w:p>
      <w:pPr>
        <w:pStyle w:val="BookText"/>
      </w:pPr>
      <w:r>
        <w:rPr>
          <w:rFonts w:ascii="IRNazanin" w:hAnsi="IRNazanin" w:eastAsia="IRNazanin" w:cs="IRNazanin"/>
          <w:lang w:bidi="fa-IR"/>
          <w:color w:val="111111"/>
          <w:sz w:val="28"/>
          <w:szCs w:val="28"/>
          <w:rtl/>
        </w:rPr>
        <w:t xml:space="preserve">تاریخ تأليف: ۹۷۸ق تاریخ عمومی است تا ۹۷۸ که سال نگارش است. با سربندهای</w:t>
      </w:r>
    </w:p>
    <w:p>
      <w:pPr>
        <w:pStyle w:val="BookText"/>
      </w:pPr>
      <w:r>
        <w:rPr>
          <w:rFonts w:ascii="IRNazanin" w:hAnsi="IRNazanin" w:eastAsia="IRNazanin" w:cs="IRNazanin"/>
          <w:lang w:bidi="fa-IR"/>
          <w:color w:val="111111"/>
          <w:sz w:val="28"/>
          <w:szCs w:val="28"/>
          <w:rtl/>
        </w:rPr>
        <w:t xml:space="preserve">صحیفه). صحیفه سوم در باره پادشاهان صفوی امامی و ذیل آن پادشاهان همروز گار صفوی در رم، مصر، شام، حجاز، عراق عرب و ديار بكر و موصل.</w:t>
      </w:r>
    </w:p>
    <w:p>
      <w:pPr>
        <w:pStyle w:val="BookText"/>
      </w:pPr>
      <w:r>
        <w:rPr>
          <w:rFonts w:ascii="IRNazanin" w:hAnsi="IRNazanin" w:eastAsia="IRNazanin" w:cs="IRNazanin"/>
          <w:lang w:bidi="fa-IR"/>
          <w:color w:val="111111"/>
          <w:sz w:val="28"/>
          <w:szCs w:val="28"/>
          <w:rtl/>
        </w:rPr>
        <w:t xml:space="preserve">[فهرستواره منزوی ۵۸۲/۱ ]</w:t>
      </w:r>
    </w:p>
    <w:p>
      <w:pPr>
        <w:pStyle w:val="BookText"/>
      </w:pPr>
      <w:r>
        <w:rPr>
          <w:rFonts w:ascii="IRNazanin" w:hAnsi="IRNazanin" w:eastAsia="IRNazanin" w:cs="IRNazanin"/>
          <w:lang w:bidi="fa-IR"/>
          <w:color w:val="111111"/>
          <w:sz w:val="28"/>
          <w:szCs w:val="28"/>
          <w:rtl/>
        </w:rPr>
        <w:t xml:space="preserve">تهران؛ دانشگاه؛ شماره نسخه:۲۶۵۷ف</w:t>
      </w:r>
    </w:p>
    <w:p>
      <w:pPr>
        <w:pStyle w:val="BookText"/>
      </w:pPr>
      <w:r>
        <w:rPr>
          <w:rFonts w:ascii="IRNazanin" w:hAnsi="IRNazanin" w:eastAsia="IRNazanin" w:cs="IRNazanin"/>
          <w:lang w:bidi="fa-IR"/>
          <w:color w:val="111111"/>
          <w:sz w:val="28"/>
          <w:szCs w:val="28"/>
          <w:rtl/>
        </w:rPr>
        <w:t xml:space="preserve">خط: نستعلیق، بی کا، بی تا [فيلمها ف: ۱-۳۵</w:t>
      </w:r>
    </w:p>
    <w:p>
      <w:pPr>
        <w:pStyle w:val="Heading3"/>
      </w:pPr>
      <w:bookmarkStart w:id="2461" w:name="_Toc1721"/>
      <w:r>
        <w:t>•تاریخ عجم / تاریخ / فارسی</w:t>
      </w:r>
      <w:bookmarkEnd w:id="2461"/>
    </w:p>
    <w:p>
      <w:pPr>
        <w:pStyle w:val="BookText"/>
      </w:pPr>
      <w:r>
        <w:rPr>
          <w:rFonts w:ascii="Times New Roman" w:hAnsi="Times New Roman" w:eastAsia="Times New Roman" w:cs="Times New Roman"/>
          <w:lang w:val="en-US" w:bidi="en-US"/>
          <w:color w:val="111111"/>
          <w:sz w:val="28"/>
          <w:szCs w:val="28"/>
          <w:rtl/>
        </w:rPr>
        <w:t xml:space="preserve">tārīx-e ‘ajam</w:t>
      </w:r>
    </w:p>
    <w:p>
      <w:pPr>
        <w:pStyle w:val="BookText"/>
      </w:pPr>
      <w:r>
        <w:rPr>
          <w:rFonts w:ascii="IRNazanin" w:hAnsi="IRNazanin" w:eastAsia="IRNazanin" w:cs="IRNazanin"/>
          <w:lang w:bidi="fa-IR"/>
          <w:color w:val="111111"/>
          <w:sz w:val="28"/>
          <w:szCs w:val="28"/>
          <w:rtl/>
        </w:rPr>
        <w:t xml:space="preserve">تهران؛ ملی؛ شماره نسخه:۲۵۲۹۷</w:t>
      </w:r>
    </w:p>
    <w:p>
      <w:pPr>
        <w:pStyle w:val="BookText"/>
      </w:pPr>
      <w:r>
        <w:rPr>
          <w:rFonts w:ascii="IRNazanin" w:hAnsi="IRNazanin" w:eastAsia="IRNazanin" w:cs="IRNazanin"/>
          <w:lang w:bidi="fa-IR"/>
          <w:color w:val="111111"/>
          <w:sz w:val="28"/>
          <w:szCs w:val="28"/>
          <w:rtl/>
        </w:rPr>
        <w:t xml:space="preserve">بی کا، بی تا؛ خریداری از حسن صدیقی [رایانه ]</w:t>
      </w:r>
    </w:p>
    <w:p>
      <w:pPr>
        <w:pStyle w:val="Heading3"/>
      </w:pPr>
      <w:bookmarkStart w:id="2462" w:name="_Toc1722"/>
      <w:r>
        <w:t>•تاریخ عرب / تاریخ / فارسی</w:t>
      </w:r>
      <w:bookmarkEnd w:id="2462"/>
    </w:p>
    <w:p>
      <w:pPr>
        <w:pStyle w:val="BookText"/>
      </w:pPr>
      <w:r>
        <w:rPr>
          <w:rFonts w:ascii="Times New Roman" w:hAnsi="Times New Roman" w:eastAsia="Times New Roman" w:cs="Times New Roman"/>
          <w:lang w:val="en-US" w:bidi="en-US"/>
          <w:color w:val="111111"/>
          <w:sz w:val="28"/>
          <w:szCs w:val="28"/>
          <w:rtl/>
        </w:rPr>
        <w:t xml:space="preserve">tarix-e arab</w:t>
      </w:r>
    </w:p>
    <w:p>
      <w:pPr>
        <w:pStyle w:val="BookText"/>
      </w:pPr>
      <w:r>
        <w:rPr>
          <w:rFonts w:ascii="IRNazanin" w:hAnsi="IRNazanin" w:eastAsia="IRNazanin" w:cs="IRNazanin"/>
          <w:lang w:bidi="fa-IR"/>
          <w:color w:val="111111"/>
          <w:sz w:val="28"/>
          <w:szCs w:val="28"/>
          <w:rtl/>
        </w:rPr>
        <w:t xml:space="preserve">ضیا بخش، ق۱۳ قمری</w:t>
      </w:r>
    </w:p>
    <w:p>
      <w:pPr>
        <w:pStyle w:val="BookText"/>
      </w:pPr>
      <w:r>
        <w:rPr>
          <w:rFonts w:ascii="Times New Roman" w:hAnsi="Times New Roman" w:eastAsia="Times New Roman" w:cs="Times New Roman"/>
          <w:lang w:val="en-US" w:bidi="en-US"/>
          <w:color w:val="111111"/>
          <w:sz w:val="28"/>
          <w:szCs w:val="28"/>
          <w:rtl/>
        </w:rPr>
        <w:t xml:space="preserve">zīyā baxš (-19c)</w:t>
      </w:r>
    </w:p>
    <w:p>
      <w:pPr>
        <w:pStyle w:val="BookText"/>
      </w:pPr>
      <w:r>
        <w:rPr>
          <w:rFonts w:ascii="IRNazanin" w:hAnsi="IRNazanin" w:eastAsia="IRNazanin" w:cs="IRNazanin"/>
          <w:lang w:bidi="fa-IR"/>
          <w:color w:val="111111"/>
          <w:sz w:val="28"/>
          <w:szCs w:val="28"/>
          <w:rtl/>
        </w:rPr>
        <w:t xml:space="preserve">تاریخ تأليف: ۱۲ رجب ۱۲۴۶ق تاریخ مختصری است دارای چهار «مقاله» و یک «تتمة»: مقاله 1. اصل و منشا عرب؛ مقاله ۲. ادیان عرب قبل از اسلام؛ مقاله ۳. زبان عربی و بعضی از آراء در آن؛ مقاله ۴. علم ادب در میان عرب؛ تتمه: در تصانیف معتبره که مؤلف از آنها استفاده کرده است.</w:t>
      </w:r>
    </w:p>
    <w:p>
      <w:pPr>
        <w:pStyle w:val="BookText"/>
      </w:pPr>
      <w:r>
        <w:rPr>
          <w:rFonts w:ascii="IRNazanin" w:hAnsi="IRNazanin" w:eastAsia="IRNazanin" w:cs="IRNazanin"/>
          <w:lang w:bidi="fa-IR"/>
          <w:color w:val="111111"/>
          <w:sz w:val="28"/>
          <w:szCs w:val="28"/>
          <w:rtl/>
        </w:rPr>
        <w:t xml:space="preserve">قم؛ مرعشی؛ شماره نسخه:۱۷۶۴</w:t>
      </w:r>
    </w:p>
    <w:p>
      <w:pPr>
        <w:pStyle w:val="BookText"/>
      </w:pPr>
      <w:r>
        <w:rPr>
          <w:rFonts w:ascii="IRNazanin" w:hAnsi="IRNazanin" w:eastAsia="IRNazanin" w:cs="IRNazanin"/>
          <w:lang w:bidi="fa-IR"/>
          <w:color w:val="111111"/>
          <w:sz w:val="28"/>
          <w:szCs w:val="28"/>
          <w:rtl/>
        </w:rPr>
        <w:t xml:space="preserve">آغاز: حمد بی حد و ثنای بی عدد خداوندی را سزد که بنی نوع انسان را از سایر مخلوقات ممتاز فرموده؛ انجام: التماس صمیمی می رود که بقلم عفو هفوات آن را تصحیح و بمداد خطا پوشی سهوات آنرا تنقیح فرمایند خط: نستعليق نازیبا، بی کا، بی تا، دارای تعالیقی است از خود مؤلف بر کتاب؛ جلد: مقوایی عطف تیماج مشکی، ۷۲گ، ۱۲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۵-۱۴۶]</w:t>
      </w:r>
    </w:p>
    <w:p>
      <w:pPr>
        <w:pStyle w:val="Heading3"/>
      </w:pPr>
      <w:bookmarkStart w:id="2463" w:name="_Toc1723"/>
      <w:r>
        <w:t>•تاریخ عربستان / تاریخ / فارسی</w:t>
      </w:r>
      <w:bookmarkEnd w:id="2463"/>
    </w:p>
    <w:p>
      <w:pPr>
        <w:pStyle w:val="BookText"/>
      </w:pPr>
      <w:r>
        <w:rPr>
          <w:rFonts w:ascii="Times New Roman" w:hAnsi="Times New Roman" w:eastAsia="Times New Roman" w:cs="Times New Roman"/>
          <w:lang w:val="en-US" w:bidi="en-US"/>
          <w:color w:val="111111"/>
          <w:sz w:val="28"/>
          <w:szCs w:val="28"/>
          <w:rtl/>
        </w:rPr>
        <w:t xml:space="preserve">tārīx-e 'arabestān</w:t>
      </w:r>
    </w:p>
    <w:p>
      <w:pPr>
        <w:pStyle w:val="BookText"/>
      </w:pPr>
      <w:r>
        <w:rPr>
          <w:rFonts w:ascii="IRNazanin" w:hAnsi="IRNazanin" w:eastAsia="IRNazanin" w:cs="IRNazanin"/>
          <w:lang w:bidi="fa-IR"/>
          <w:color w:val="111111"/>
          <w:sz w:val="28"/>
          <w:szCs w:val="28"/>
          <w:rtl/>
        </w:rPr>
        <w:t xml:space="preserve">فروغی، محمد علی، ۱۲۵۴-۱۳۲۱ شمسی</w:t>
      </w:r>
    </w:p>
    <w:p>
      <w:pPr>
        <w:pStyle w:val="BookText"/>
      </w:pPr>
      <w:r>
        <w:rPr>
          <w:rFonts w:ascii="Times New Roman" w:hAnsi="Times New Roman" w:eastAsia="Times New Roman" w:cs="Times New Roman"/>
          <w:lang w:val="en-US" w:bidi="en-US"/>
          <w:color w:val="111111"/>
          <w:sz w:val="28"/>
          <w:szCs w:val="28"/>
          <w:rtl/>
        </w:rPr>
        <w:t xml:space="preserve">forūgī, mohammad ‘ali (1875-1942)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521" w:name="pg20363_209834"/>
    <w:bookmarkEnd w:id="521"/>
    <w:p>
      <w:pPr>
        <w:pStyle w:val="BookText"/>
      </w:pPr>
      <w:r>
        <w:rPr>
          <w:rFonts w:ascii="IRNazanin" w:hAnsi="IRNazanin" w:eastAsia="IRNazanin" w:cs="IRNazanin"/>
          <w:lang w:bidi="fa-IR"/>
          <w:color w:val="111111"/>
          <w:sz w:val="28"/>
          <w:szCs w:val="28"/>
          <w:rtl/>
        </w:rPr>
        <w:t xml:space="preserve">تهران؛ مجلس؛ شماره نسخه: ۱۶۴۰۲</w:t>
      </w:r>
    </w:p>
    <w:p>
      <w:pPr>
        <w:pStyle w:val="BookText"/>
      </w:pPr>
      <w:r>
        <w:rPr>
          <w:rFonts w:ascii="IRNazanin" w:hAnsi="IRNazanin" w:eastAsia="IRNazanin" w:cs="IRNazanin"/>
          <w:lang w:bidi="fa-IR"/>
          <w:color w:val="111111"/>
          <w:sz w:val="28"/>
          <w:szCs w:val="28"/>
          <w:rtl/>
        </w:rPr>
        <w:t xml:space="preserve">بی کا، بی تا [د.ث. مجلس]</w:t>
      </w:r>
    </w:p>
    <w:p>
      <w:pPr>
        <w:pStyle w:val="Heading3"/>
      </w:pPr>
      <w:bookmarkStart w:id="2464" w:name="_Toc1724"/>
      <w:r>
        <w:t>•تاریخ عرب و عجم (منظوم) / شعر / فارسی</w:t>
      </w:r>
      <w:bookmarkEnd w:id="2464"/>
    </w:p>
    <w:p>
      <w:pPr>
        <w:pStyle w:val="BookText"/>
      </w:pPr>
      <w:r>
        <w:rPr>
          <w:rFonts w:ascii="Times New Roman" w:hAnsi="Times New Roman" w:eastAsia="Times New Roman" w:cs="Times New Roman"/>
          <w:lang w:val="en-US" w:bidi="en-US"/>
          <w:color w:val="111111"/>
          <w:sz w:val="28"/>
          <w:szCs w:val="28"/>
          <w:rtl/>
        </w:rPr>
        <w:t xml:space="preserve">tārīx-e “arab va ‘ajam (manzūm)</w:t>
      </w:r>
    </w:p>
    <w:p>
      <w:pPr>
        <w:pStyle w:val="BookText"/>
      </w:pPr>
      <w:r>
        <w:rPr>
          <w:rFonts w:ascii="IRNazanin" w:hAnsi="IRNazanin" w:eastAsia="IRNazanin" w:cs="IRNazanin"/>
          <w:lang w:bidi="fa-IR"/>
          <w:color w:val="111111"/>
          <w:sz w:val="28"/>
          <w:szCs w:val="28"/>
          <w:rtl/>
        </w:rPr>
        <w:t xml:space="preserve">هجری تفرشی، محمد صادق بن فضل الله، - ۱۱۶۰؟ قمری</w:t>
      </w:r>
    </w:p>
    <w:p>
      <w:pPr>
        <w:pStyle w:val="BookText"/>
      </w:pPr>
      <w:r>
        <w:rPr>
          <w:rFonts w:ascii="Times New Roman" w:hAnsi="Times New Roman" w:eastAsia="Times New Roman" w:cs="Times New Roman"/>
          <w:lang w:val="en-US" w:bidi="en-US"/>
          <w:color w:val="111111"/>
          <w:sz w:val="28"/>
          <w:szCs w:val="28"/>
          <w:rtl/>
        </w:rPr>
        <w:t xml:space="preserve">hejrī tafrešī, mohammad sādeq ebn-e fazl-ol-lāh ( 1747)</w:t>
      </w:r>
    </w:p>
    <w:p>
      <w:pPr>
        <w:pStyle w:val="BookText"/>
      </w:pPr>
      <w:r>
        <w:rPr>
          <w:rFonts w:ascii="IRNazanin" w:hAnsi="IRNazanin" w:eastAsia="IRNazanin" w:cs="IRNazanin"/>
          <w:lang w:bidi="fa-IR"/>
          <w:color w:val="111111"/>
          <w:sz w:val="28"/>
          <w:szCs w:val="28"/>
          <w:rtl/>
        </w:rPr>
        <w:t xml:space="preserve">تهران؛ ملک؛ شماره نسخه:۴۵۹۳</w:t>
      </w:r>
    </w:p>
    <w:p>
      <w:pPr>
        <w:pStyle w:val="BookText"/>
      </w:pPr>
      <w:r>
        <w:rPr>
          <w:rFonts w:ascii="IRNazanin" w:hAnsi="IRNazanin" w:eastAsia="IRNazanin" w:cs="IRNazanin"/>
          <w:lang w:bidi="fa-IR"/>
          <w:color w:val="111111"/>
          <w:sz w:val="28"/>
          <w:szCs w:val="28"/>
          <w:rtl/>
        </w:rPr>
        <w:t xml:space="preserve">آغاز: چرخ لوایی که نخستین گشود *** بر سر اکلیل کیومرث بود؛ انجام: هر سخنی صورت راز دل است به هر دلی آیینه آب و گل است / ..... چه ز گفتی بدل *** دایره طی کرد که طی السجل خط: نستعلیق، کا: محمد رحيم بن محمد حسن تفرشی، تا: جمادی الثانی ۱۳۲۱ق؛ کاغذ: فرنگی، جلد: عطف میشن سبز رویه کاغذ فرنگی، ۵۶گ، ۱۱ سطر، اندازه:</w:t>
      </w:r>
    </w:p>
    <w:p>
      <w:pPr>
        <w:pStyle w:val="BookText"/>
      </w:pPr>
      <w:r>
        <w:rPr>
          <w:rFonts w:ascii="IRNazanin" w:hAnsi="IRNazanin" w:eastAsia="IRNazanin" w:cs="IRNazanin"/>
          <w:lang w:bidi="fa-IR"/>
          <w:color w:val="111111"/>
          <w:sz w:val="28"/>
          <w:szCs w:val="28"/>
          <w:rtl/>
        </w:rPr>
        <w:t xml:space="preserve">۱۵/۱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۲-۸۶]</w:t>
      </w:r>
    </w:p>
    <w:p>
      <w:pPr>
        <w:pStyle w:val="Heading3"/>
      </w:pPr>
      <w:bookmarkStart w:id="2465" w:name="_Toc1725"/>
      <w:r>
        <w:t>•تاریخ عرفا و حکما / تراجم / فارسی</w:t>
      </w:r>
      <w:bookmarkEnd w:id="2465"/>
    </w:p>
    <w:p>
      <w:pPr>
        <w:pStyle w:val="BookText"/>
      </w:pPr>
      <w:r>
        <w:rPr>
          <w:rFonts w:ascii="Times New Roman" w:hAnsi="Times New Roman" w:eastAsia="Times New Roman" w:cs="Times New Roman"/>
          <w:lang w:val="en-US" w:bidi="en-US"/>
          <w:color w:val="111111"/>
          <w:sz w:val="28"/>
          <w:szCs w:val="28"/>
          <w:rtl/>
        </w:rPr>
        <w:t xml:space="preserve">tārīx-e ‘orafă va hokamā</w:t>
      </w:r>
    </w:p>
    <w:p>
      <w:pPr>
        <w:pStyle w:val="BookText"/>
      </w:pPr>
      <w:r>
        <w:rPr>
          <w:rFonts w:ascii="IRNazanin" w:hAnsi="IRNazanin" w:eastAsia="IRNazanin" w:cs="IRNazanin"/>
          <w:lang w:bidi="fa-IR"/>
          <w:color w:val="111111"/>
          <w:sz w:val="28"/>
          <w:szCs w:val="28"/>
          <w:rtl/>
        </w:rPr>
        <w:t xml:space="preserve">در سرگذشت کمیل، بشر حافی، بهلول، معروف کرخی سقطی، شبلی، قونوی، عبدالرزاق کاشانی، سهروردی، نجم کبری، سعد حموئی، سنائی، حلاج، زین الدین تایبادی، صفی اردبیلی، صدرالدین موسی، قاسم انوار، قطب الدین حیدر تونی،</w:t>
      </w:r>
    </w:p>
    <w:p>
      <w:pPr>
        <w:pStyle w:val="BookText"/>
      </w:pPr>
      <w:r>
        <w:rPr>
          <w:rFonts w:ascii="IRNazanin" w:hAnsi="IRNazanin" w:eastAsia="IRNazanin" w:cs="IRNazanin"/>
          <w:lang w:bidi="fa-IR"/>
          <w:color w:val="111111"/>
          <w:sz w:val="28"/>
          <w:szCs w:val="28"/>
          <w:rtl/>
        </w:rPr>
        <w:t xml:space="preserve">حیدر علی بن سعید حسینی آملی، عطار، مولوی رومی، سعدی، محمد نوربخش، شمس الدين محمد لاهیجی نوربخشی، طاهر رضی الدین اسماعیلی اثنا عشردکنی، حافظ شیرازی، خواجه طوسی، فارابی، ابن سینا، سقراط، افلاطون، ارسطو، انكاغورس</w:t>
      </w:r>
    </w:p>
    <w:p>
      <w:pPr>
        <w:pStyle w:val="BookText"/>
      </w:pPr>
      <w:r>
        <w:rPr>
          <w:rFonts w:ascii="IRNazanin" w:hAnsi="IRNazanin" w:eastAsia="IRNazanin" w:cs="IRNazanin"/>
          <w:lang w:bidi="fa-IR"/>
          <w:color w:val="111111"/>
          <w:sz w:val="28"/>
          <w:szCs w:val="28"/>
          <w:rtl/>
        </w:rPr>
        <w:t xml:space="preserve">تهران؛ ملک؛ شماره نسخه: ۷۷۷/۲</w:t>
      </w:r>
    </w:p>
    <w:p>
      <w:pPr>
        <w:pStyle w:val="BookText"/>
      </w:pPr>
      <w:r>
        <w:rPr>
          <w:rFonts w:ascii="IRNazanin" w:hAnsi="IRNazanin" w:eastAsia="IRNazanin" w:cs="IRNazanin"/>
          <w:lang w:bidi="fa-IR"/>
          <w:color w:val="111111"/>
          <w:sz w:val="28"/>
          <w:szCs w:val="28"/>
          <w:rtl/>
        </w:rPr>
        <w:t xml:space="preserve">آغاز: بسمله. حمدله ... جميع فرقه صوفيه صافي اعتقاد؛ انجام: نفس آدمی به دروازه اجل داخل نمی شود مرگ او رد میکند.</w:t>
      </w:r>
    </w:p>
    <w:p>
      <w:pPr>
        <w:pStyle w:val="BookText"/>
      </w:pPr>
      <w:r>
        <w:rPr>
          <w:rFonts w:ascii="IRNazanin" w:hAnsi="IRNazanin" w:eastAsia="IRNazanin" w:cs="IRNazanin"/>
          <w:lang w:bidi="fa-IR"/>
          <w:color w:val="111111"/>
          <w:sz w:val="28"/>
          <w:szCs w:val="28"/>
          <w:rtl/>
        </w:rPr>
        <w:t xml:space="preserve">والسلام خط: نستعلیق، بی کا، بی تا؛ مجدول، با دو سرلوح؛ کاغذ: پسته ای، جلد: میشن قرمز ضربی، ۶۷گ (۹ر - ۷۲ و ۱۷۷ر۱۷۹پ)، ۱۶ سطر [ف: ۵-۱۷۳]</w:t>
      </w:r>
    </w:p>
    <w:p>
      <w:pPr>
        <w:pStyle w:val="Heading3"/>
      </w:pPr>
      <w:bookmarkStart w:id="2466" w:name="_Toc1726"/>
      <w:r>
        <w:t>•تاریخ عسگری عثمانی (ترجمه) / تاریخ جهان / فارسی</w:t>
      </w:r>
      <w:bookmarkEnd w:id="2466"/>
    </w:p>
    <w:p>
      <w:pPr>
        <w:pStyle w:val="BookText"/>
      </w:pPr>
      <w:r>
        <w:rPr>
          <w:rFonts w:ascii="Times New Roman" w:hAnsi="Times New Roman" w:eastAsia="Times New Roman" w:cs="Times New Roman"/>
          <w:lang w:val="en-US" w:bidi="en-US"/>
          <w:color w:val="111111"/>
          <w:sz w:val="28"/>
          <w:szCs w:val="28"/>
          <w:rtl/>
        </w:rPr>
        <w:t xml:space="preserve">tārīx-e ‘asgarī-ye ‘osmānī (t.)</w:t>
      </w:r>
    </w:p>
    <w:p>
      <w:pPr>
        <w:pStyle w:val="BookText"/>
      </w:pPr>
      <w:r>
        <w:rPr>
          <w:rFonts w:ascii="IRNazanin" w:hAnsi="IRNazanin" w:eastAsia="IRNazanin" w:cs="IRNazanin"/>
          <w:lang w:bidi="fa-IR"/>
          <w:color w:val="111111"/>
          <w:sz w:val="28"/>
          <w:szCs w:val="28"/>
          <w:rtl/>
        </w:rPr>
        <w:t xml:space="preserve">حسن خان، ق۱۴ قمری</w:t>
      </w:r>
    </w:p>
    <w:p>
      <w:pPr>
        <w:pStyle w:val="BookText"/>
      </w:pPr>
      <w:r>
        <w:rPr>
          <w:rFonts w:ascii="Times New Roman" w:hAnsi="Times New Roman" w:eastAsia="Times New Roman" w:cs="Times New Roman"/>
          <w:lang w:val="en-US" w:bidi="en-US"/>
          <w:color w:val="111111"/>
          <w:sz w:val="28"/>
          <w:szCs w:val="28"/>
          <w:rtl/>
        </w:rPr>
        <w:t xml:space="preserve">hasan xān (-20c)</w:t>
      </w:r>
    </w:p>
    <w:p>
      <w:pPr>
        <w:pStyle w:val="BookText"/>
      </w:pPr>
      <w:r>
        <w:rPr>
          <w:rFonts w:ascii="IRNazanin" w:hAnsi="IRNazanin" w:eastAsia="IRNazanin" w:cs="IRNazanin"/>
          <w:lang w:bidi="fa-IR"/>
          <w:color w:val="111111"/>
          <w:sz w:val="28"/>
          <w:szCs w:val="28"/>
          <w:rtl/>
        </w:rPr>
        <w:t xml:space="preserve">به امر: ظل السلطان مترجم که معلم سواره و محرر روزنامه روسی است آن را از ترکی به فارسی ترجمه نموده است. اصل کتاب تأليف احمد جواد بیک می باشد. مشتمل بر «مقدمه) و بیست و دو «فصل» است.</w:t>
      </w:r>
    </w:p>
    <w:p>
      <w:pPr>
        <w:pStyle w:val="BookText"/>
      </w:pPr>
      <w:r>
        <w:rPr>
          <w:rFonts w:ascii="IRNazanin" w:hAnsi="IRNazanin" w:eastAsia="IRNazanin" w:cs="IRNazanin"/>
          <w:lang w:bidi="fa-IR"/>
          <w:color w:val="111111"/>
          <w:sz w:val="28"/>
          <w:szCs w:val="28"/>
          <w:rtl/>
        </w:rPr>
        <w:t xml:space="preserve">اصفهان؛ صارم الدوله (کتابخانه فرهنگ اصفهان)؛ شماره نسخه:۹۳۶</w:t>
      </w:r>
    </w:p>
    <w:p>
      <w:pPr>
        <w:pStyle w:val="BookText"/>
      </w:pPr>
      <w:r>
        <w:rPr>
          <w:rFonts w:ascii="IRNazanin" w:hAnsi="IRNazanin" w:eastAsia="IRNazanin" w:cs="IRNazanin"/>
          <w:lang w:bidi="fa-IR"/>
          <w:color w:val="111111"/>
          <w:sz w:val="28"/>
          <w:szCs w:val="28"/>
          <w:rtl/>
        </w:rPr>
        <w:t xml:space="preserve">آغاز: پس سپاس و محمد بیقياس حضرت خداوندی و درود حضرت؛ انجام: بعضی کوته بینان مسئله القای يکچریها را ندانسته محاکمه مینمایند این نسخه ترجمه کتاب اول تاريخ مزبور می باشد؛ خط: شکسته نستعلیق، بی کا، تا: ۱۵ رمضان ۱۳۱۵ق؛ ۲۹۵ص، ۱۸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۶۶]</w:t>
      </w:r>
    </w:p>
    <w:p>
      <w:pPr>
        <w:pStyle w:val="Heading3"/>
      </w:pPr>
      <w:bookmarkStart w:id="2467" w:name="_Toc1727"/>
      <w:r>
        <w:t>•تاریخ عصار / تراجم / عربی و فارسی</w:t>
      </w:r>
      <w:bookmarkEnd w:id="2467"/>
    </w:p>
    <w:p>
      <w:pPr>
        <w:pStyle w:val="BookText"/>
      </w:pPr>
      <w:r>
        <w:rPr>
          <w:rFonts w:ascii="Times New Roman" w:hAnsi="Times New Roman" w:eastAsia="Times New Roman" w:cs="Times New Roman"/>
          <w:lang w:val="en-US" w:bidi="en-US"/>
          <w:color w:val="111111"/>
          <w:sz w:val="28"/>
          <w:szCs w:val="28"/>
          <w:rtl/>
        </w:rPr>
        <w:t xml:space="preserve">tārīx-e 'assār</w:t>
      </w:r>
    </w:p>
    <w:p>
      <w:pPr>
        <w:pStyle w:val="BookText"/>
      </w:pPr>
      <w:r>
        <w:rPr>
          <w:rFonts w:ascii="IRNazanin" w:hAnsi="IRNazanin" w:eastAsia="IRNazanin" w:cs="IRNazanin"/>
          <w:lang w:bidi="fa-IR"/>
          <w:color w:val="111111"/>
          <w:sz w:val="28"/>
          <w:szCs w:val="28"/>
          <w:rtl/>
        </w:rPr>
        <w:t xml:space="preserve">عصار، محمد بن محمود، ۱۲۶۴؟ - ۱۳۵۶ ؟ قمری</w:t>
      </w:r>
    </w:p>
    <w:p>
      <w:pPr>
        <w:pStyle w:val="BookText"/>
      </w:pPr>
      <w:r>
        <w:rPr>
          <w:rFonts w:ascii="Times New Roman" w:hAnsi="Times New Roman" w:eastAsia="Times New Roman" w:cs="Times New Roman"/>
          <w:lang w:val="en-US" w:bidi="en-US"/>
          <w:color w:val="111111"/>
          <w:sz w:val="28"/>
          <w:szCs w:val="28"/>
          <w:rtl/>
        </w:rPr>
        <w:t xml:space="preserve">‘assār, mohammad ebn-e mahmūd (1848-1937)</w:t>
      </w:r>
    </w:p>
    <w:p>
      <w:pPr>
        <w:pStyle w:val="BookText"/>
      </w:pPr>
      <w:r>
        <w:rPr>
          <w:rFonts w:ascii="IRNazanin" w:hAnsi="IRNazanin" w:eastAsia="IRNazanin" w:cs="IRNazanin"/>
          <w:lang w:bidi="fa-IR"/>
          <w:color w:val="111111"/>
          <w:sz w:val="28"/>
          <w:szCs w:val="28"/>
          <w:rtl/>
        </w:rPr>
        <w:t xml:space="preserve">تاریخ تأليف: جمادی الاول ۱۳۴۹ق تاریخ زندگانی مرحوم سید محمد عصار تهرانی است به قلم خودش که هفت سال پیش از فوتش نگاشته است.</w:t>
      </w:r>
    </w:p>
    <w:p>
      <w:pPr>
        <w:pStyle w:val="BookText"/>
      </w:pPr>
      <w:r>
        <w:rPr>
          <w:rFonts w:ascii="IRNazanin" w:hAnsi="IRNazanin" w:eastAsia="IRNazanin" w:cs="IRNazanin"/>
          <w:lang w:bidi="fa-IR"/>
          <w:color w:val="111111"/>
          <w:sz w:val="28"/>
          <w:szCs w:val="28"/>
          <w:rtl/>
        </w:rPr>
        <w:t xml:space="preserve">مشهد؛ رضوی؛ شماره نسخه: ۴۱۸۱</w:t>
      </w:r>
    </w:p>
    <w:p>
      <w:pPr>
        <w:pStyle w:val="BookText"/>
      </w:pPr>
      <w:r>
        <w:rPr>
          <w:rFonts w:ascii="IRNazanin" w:hAnsi="IRNazanin" w:eastAsia="IRNazanin" w:cs="IRNazanin"/>
          <w:lang w:bidi="fa-IR"/>
          <w:color w:val="111111"/>
          <w:sz w:val="28"/>
          <w:szCs w:val="28"/>
          <w:rtl/>
        </w:rPr>
        <w:t xml:space="preserve">آغاز: بعد الحمد و التحية يقول العبد الجاني الفانی ... آغاز مطلب: ولدت في طهران سنة جلوس السلطان ناصرالدین شاه، انجام: كتبه باقتضاء واحد الاعلام في جمادى الأولى سنه ۱۳۴۹ من الهجرة. خط: نسخ، كاتب = مؤلف، تا: ۱۳۴۹ق؛ واقف: محمد عصار؛ کاغذ: مشقی، جلد: پارچه ای، ۲۱گ، ۲۱ سطر (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۲۲/۵سم [ف: ۷-۳۵]</w:t>
      </w:r>
    </w:p>
    <w:p>
      <w:pPr>
        <w:pStyle w:val="BookText"/>
      </w:pPr>
      <w:r>
        <w:rPr>
          <w:rFonts w:ascii="Amiri" w:hAnsi="Amiri" w:eastAsia="Amiri" w:cs="Amiri"/>
          <w:lang w:bidi="ar-SA"/>
          <w:color w:val="111111"/>
          <w:sz w:val="28"/>
          <w:szCs w:val="28"/>
          <w:rtl/>
        </w:rPr>
        <w:t xml:space="preserve">←تاريخ العصامي← سمط النجوم العوالي في انباء الاوائل و التوالي</w:t>
      </w:r>
    </w:p>
    <w:p>
      <w:pPr>
        <w:pStyle w:val="Heading3"/>
      </w:pPr>
      <w:bookmarkStart w:id="2468" w:name="_Toc1728"/>
      <w:r>
        <w:t>•تاریخ عضدی = خاقان نامه / تاریخ ایران / فارسی</w:t>
      </w:r>
      <w:bookmarkEnd w:id="2468"/>
    </w:p>
    <w:p>
      <w:pPr>
        <w:pStyle w:val="BookText"/>
      </w:pPr>
      <w:r>
        <w:rPr>
          <w:rFonts w:ascii="Times New Roman" w:hAnsi="Times New Roman" w:eastAsia="Times New Roman" w:cs="Times New Roman"/>
          <w:lang w:val="en-US" w:bidi="en-US"/>
          <w:color w:val="111111"/>
          <w:sz w:val="28"/>
          <w:szCs w:val="28"/>
          <w:rtl/>
        </w:rPr>
        <w:t xml:space="preserve">tārīx-e 'azodī = xāqān-nāme</w:t>
      </w:r>
    </w:p>
    <w:p>
      <w:pPr>
        <w:pStyle w:val="BookText"/>
      </w:pPr>
      <w:r>
        <w:rPr>
          <w:rFonts w:ascii="IRNazanin" w:hAnsi="IRNazanin" w:eastAsia="IRNazanin" w:cs="IRNazanin"/>
          <w:lang w:bidi="fa-IR"/>
          <w:color w:val="111111"/>
          <w:sz w:val="28"/>
          <w:szCs w:val="28"/>
          <w:rtl/>
        </w:rPr>
        <w:t xml:space="preserve">احمد میرزا قاجار، ۱۲۳۴-۱۳۱۹ قمری</w:t>
      </w:r>
    </w:p>
    <w:p>
      <w:pPr>
        <w:pStyle w:val="BookText"/>
      </w:pPr>
      <w:r>
        <w:rPr>
          <w:rFonts w:ascii="Times New Roman" w:hAnsi="Times New Roman" w:eastAsia="Times New Roman" w:cs="Times New Roman"/>
          <w:lang w:val="en-US" w:bidi="en-US"/>
          <w:color w:val="111111"/>
          <w:sz w:val="28"/>
          <w:szCs w:val="28"/>
          <w:rtl/>
        </w:rPr>
        <w:t xml:space="preserve">ahmad mirza qajar (1819-1902)</w:t>
      </w:r>
    </w:p>
    <w:p>
      <w:pPr>
        <w:pStyle w:val="BookText"/>
      </w:pPr>
      <w:r>
        <w:rPr>
          <w:rFonts w:ascii="IRNazanin" w:hAnsi="IRNazanin" w:eastAsia="IRNazanin" w:cs="IRNazanin"/>
          <w:lang w:bidi="fa-IR"/>
          <w:color w:val="111111"/>
          <w:sz w:val="28"/>
          <w:szCs w:val="28"/>
          <w:rtl/>
        </w:rPr>
        <w:t xml:space="preserve">اهدا به: ناصرالدین شاه تاریخ تأليف: جمادی الاول ۱۳۰۴ق؛ محل تأليف: همدان تاریخی است در احوال همسران فتحعلیشاه قاجار و خواجہ سراها و مراسم معمول با شرح اولاد و احفاد وی است که بنا به دستور ناصرالدین شاه و ابلاغ آن از طرف اعتماد السلطنه مأمور تدوین آن می شود. او این شرح را به هنگام فرمانداری خود در همدان می پردازد. در این کتاب شرح حال فتحعلی شاه و زوجات و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فرزندان و نزدیکان او می آید. گرچه نویسنده به وقت مرگ فتحعلی شاه بیش از ده سال نداشته ولی در تدوین کتاب تا آنجا که توانسته مطالبی از دیگران پرسیده و با این مسموعات آن را پرداخته است. آغاز: زوجات خاقان خلد مکان چند نمره بودند از خانواده سلطنت و سایر شعب قاجاریه و بزرگ زادگان معتبر ایران بودند که عدد آنها قريب چهل بلکه زیاده بوده سبک خاقان مبرور با این طبقه حفظ احترام کامل بود حتی در حضور آنها با سایر طبقات ابدأ التفات نمی شد روزی یکساعت حق حضور داشتند مثل سلامهای رسمی بزرگ حاضر می شدند قاجاریه یک سمت می ایستادند مابقی در صف دیگر به ترتیب شئونات پدران خود می ایستادند ایجاد این سلام از زمان خاقان شهید آقا محمدشاه و یاسای آن حضرت بود در موقع سلام یک نفر يساول زنانه درب اطاقهای آنها به آواز بلند این عبارت ترکی را می گفت (خانم الارکلیر) خانمها منتظر وقت و گوش بر آواز يساول بودند و به سلام می آمدند و دیگران در آن ساعت حق حضور و تشریف نداشتند و بر هر یک اظهار مرحمت می فرمودند از بعضی تفقد احوال کسان آنها می شد اگر مطلبی داشتند عرض می کردند سر صف قاجاریه آسیه خانم مادر نایب السلطنه مرحوم خواهر امیر خان سردار بود که زن معقوده دائمه حضرت خاقان بود دیگر انجام: حتی الامکان در انجام فرمایش اقدام شده باشد، بتاريخ شهر جمادی الاولی در زمان حکومت همدان نگارش یافت، مطابق اواخر ایت ایل سنه ۱۳۰۴ يکهزار و سیصد و چهار. چاپ: بمبئی، ۱۳۰۶ق، ۱۵۸ص؛ تهران، به کوشش کوهی کرمانی، ۱۳۲۸ش</w:t>
      </w:r>
    </w:p>
    <w:p>
      <w:pPr>
        <w:pStyle w:val="BookText"/>
      </w:pPr>
      <w:r>
        <w:rPr>
          <w:rFonts w:ascii="IRNazanin" w:hAnsi="IRNazanin" w:eastAsia="IRNazanin" w:cs="IRNazanin"/>
          <w:lang w:bidi="fa-IR"/>
          <w:color w:val="111111"/>
          <w:sz w:val="28"/>
          <w:szCs w:val="28"/>
          <w:rtl/>
        </w:rPr>
        <w:t xml:space="preserve">[الذریعه ۲۶۵/۳ ؛ فهرستواره منزوی ۲/ ۸۶۰ با عنوان «تاریخچه زوجات خاقان» و ۸۸۷ با عنوان «تاریخ عضدی»؛ دنا ۷۲۴/۲ (۷ نسخه)]</w:t>
      </w:r>
    </w:p>
    <w:p>
      <w:pPr>
        <w:pStyle w:val="BookText"/>
      </w:pPr>
      <w:r>
        <w:rPr>
          <w:rFonts w:ascii="IRNazanin" w:hAnsi="IRNazanin" w:eastAsia="IRNazanin" w:cs="IRNazanin"/>
          <w:lang w:bidi="fa-IR"/>
          <w:color w:val="111111"/>
          <w:sz w:val="28"/>
          <w:szCs w:val="28"/>
          <w:rtl/>
        </w:rPr>
        <w:t xml:space="preserve">١. مشهد؛ رضوی؛ شماره نسخه: ۴۱۸۲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كاتب = مؤلف، تا: ۱۳۰۴ق، جا: همدان؛ نسخه ما فاقد خطبه است و «سبب تأليف كتاب» که جزو مقدمه است در آخر آن نوشته شده است؛ واقف: نائینی؛ کاغذ: شکری فرنگی، جلد: تیماج عنابی، ۱۶۳گی، ۱۴ سطر (۷/۵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۱۳/۵)،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۷-۳۵]</w:t>
      </w:r>
    </w:p>
    <w:p>
      <w:pPr>
        <w:pStyle w:val="BookText"/>
      </w:pPr>
      <w:r>
        <w:rPr>
          <w:rFonts w:ascii="IRNazanin" w:hAnsi="IRNazanin" w:eastAsia="IRNazanin" w:cs="IRNazanin"/>
          <w:lang w:bidi="fa-IR"/>
          <w:color w:val="111111"/>
          <w:sz w:val="28"/>
          <w:szCs w:val="28"/>
          <w:rtl/>
        </w:rPr>
        <w:t xml:space="preserve">۲. تهران؛ ملی؛ شماره نسخه:۴۶۶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كا: ابوطالب الحسینی همدانی، تا: قرن ۱۳، جان همدان؛ آخر نسخه: «بتاریخ شهر جمادی الاولی در زمان حکومت همدان نگارش یافت اواخر ایت ئیل و اتمه ابوطالب الحسینی الهمدانی»؛ کاغذ: فرنگی آبی، جلد: تیماج قرمز ترنج و نیم ترنج، ۱۰۷گ، ۱۴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۱-۴۵۱]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سلطنتی؛ شماره نسخه:۷۰۶</w:t>
      </w:r>
    </w:p>
    <w:p>
      <w:pPr>
        <w:pStyle w:val="BookText"/>
      </w:pPr>
      <w:r>
        <w:rPr>
          <w:rFonts w:ascii="IRNazanin" w:hAnsi="IRNazanin" w:eastAsia="IRNazanin" w:cs="IRNazanin"/>
          <w:lang w:bidi="fa-IR"/>
          <w:color w:val="111111"/>
          <w:sz w:val="28"/>
          <w:szCs w:val="28"/>
          <w:rtl/>
        </w:rPr>
        <w:t xml:space="preserve">آغاز: برابر؛ انجام: سبب تألیف کتاب -چون جناب فخامت نصاب ... اعتماد السلطنة ... و از تربیت و تشویق ... ناصرالدین شاه غازی خسرو صاحبقران ... از عنفوان شباب تا این زمان اوقات خود را مصروف نشر علوم و معارف نموده ... بر حسب امر قدر قدر همایون ... باین فدوی در گاه آسمان پناه ابلاغ فرمود که از واقعات زمان سلطنت خاقان ... آنچه شنیده و دیده بعرض برساند اگر چه هنگام سلطنت پدر تاجدار خود بیش از ده سال نداشتم ليكن هر چه در آن قليل زمان دیده و در نظر بود یا در مدت عمر خود از بزرگان اناث و ذكورا شنیده بودم در این مختصر تحریر نموده ارسال خدمت داشتم خط: نستعلیق خوب، كا: غلامحسین همدانی، تا: ۱۲۴۰ق؛ کاغذ: فرنگی کبود رنگ.، جلد:مقوای روغنی نقاشی آب و رنگ شمایل نور علی شاه، ۲۱۱، ۱۷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۵-۳۳۳]</w:t>
      </w:r>
    </w:p>
    <w:p>
      <w:pPr>
        <w:pStyle w:val="BookText"/>
      </w:pPr>
      <w:r>
        <w:rPr>
          <w:rFonts w:ascii="IRNazanin" w:hAnsi="IRNazanin" w:eastAsia="IRNazanin" w:cs="IRNazanin"/>
          <w:lang w:bidi="fa-IR"/>
          <w:color w:val="111111"/>
          <w:sz w:val="28"/>
          <w:szCs w:val="28"/>
          <w:rtl/>
        </w:rPr>
        <w:t xml:space="preserve">۴. تبریز؛ ملی؛ شماره نسخه:۳۲۹۴</w:t>
      </w:r>
    </w:p>
    <w:p>
      <w:pPr>
        <w:pStyle w:val="BookText"/>
      </w:pPr>
      <w:r>
        <w:rPr>
          <w:rFonts w:ascii="IRNazanin" w:hAnsi="IRNazanin" w:eastAsia="IRNazanin" w:cs="IRNazanin"/>
          <w:lang w:bidi="fa-IR"/>
          <w:color w:val="111111"/>
          <w:sz w:val="28"/>
          <w:szCs w:val="28"/>
          <w:rtl/>
        </w:rPr>
        <w:t xml:space="preserve">آغاز: برابر؛ انجام: اولاد مرحوم ولیعهد که در حیات ایشان عروس و داماد نشده بودند همه را شاهنشاه مانند عموها و عمه ها چنانچه شرح داده شد باز على قدر مراتبهم آنچه از سیم و زر و گوهر مرحمت فرمودند. بتاریخ نوزدهم شهر رمضان او دئیل خیریت تحویل هزار و سیصد و شش در شیراز حسب الفرمایش سرکار مقرب الخاقان آقای میرزا ابوالقاسمخان یاور تلگرافخانه مبارکه دام مجده سمت تحریر پذیرفت كاتب الحقير الفقير محمد رضا ابن محمد علی خان کرجی و السلام خط: نسخ تعليق، كا: محمد رضا بن محمد علی خان کرجی، تا: ۱۳۰۶ق؛ تملك: «حاج محمد صادق ولد حاج محمد رحیم» ؛ کاغذ: فرنگی، نیلی، جلد: چرمی سرخ، ۱۴۲گ، ۸- ۱۱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۱-۱۷۰]</w:t>
      </w:r>
    </w:p>
    <w:p>
      <w:pPr>
        <w:pStyle w:val="BookText"/>
      </w:pPr>
      <w:r>
        <w:rPr>
          <w:rFonts w:ascii="IRNazanin" w:hAnsi="IRNazanin" w:eastAsia="IRNazanin" w:cs="IRNazanin"/>
          <w:lang w:bidi="fa-IR"/>
          <w:color w:val="111111"/>
          <w:sz w:val="28"/>
          <w:szCs w:val="28"/>
          <w:rtl/>
        </w:rPr>
        <w:t xml:space="preserve">۵. تهران، دانشگاه؛ شماره نسخه:۷۴۸۷</w:t>
      </w:r>
    </w:p>
    <w:p>
      <w:pPr>
        <w:pStyle w:val="BookText"/>
      </w:pPr>
      <w:r>
        <w:rPr>
          <w:rFonts w:ascii="IRNazanin" w:hAnsi="IRNazanin" w:eastAsia="IRNazanin" w:cs="IRNazanin"/>
          <w:lang w:bidi="fa-IR"/>
          <w:color w:val="111111"/>
          <w:sz w:val="28"/>
          <w:szCs w:val="28"/>
          <w:rtl/>
        </w:rPr>
        <w:t xml:space="preserve">خط: نسخ، كا: محمد حسن بن حسين على فرنقی کمره ای، تا: جمعه ۲۵ ربیع الاول ۱۳۱۹ ق، برای امتحان الممالك؛ محمد وثوق معتمد السلطنه سبرادر قوام السلطنه از حراج نسخه های سپهدار اعظم رشتی در ۱۵/۲/۵ خریداری کرده؛ کاغذ: فرنگی، جلد: مقوا، ۲۵۱ص، ۱۵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۲۰سم [ف: ۱۶-۵۹۰]</w:t>
      </w:r>
    </w:p>
    <w:p>
      <w:pPr>
        <w:pStyle w:val="BookText"/>
      </w:pPr>
      <w:r>
        <w:rPr>
          <w:rFonts w:ascii="IRNazanin" w:hAnsi="IRNazanin" w:eastAsia="IRNazanin" w:cs="IRNazanin"/>
          <w:lang w:bidi="fa-IR"/>
          <w:color w:val="111111"/>
          <w:sz w:val="28"/>
          <w:szCs w:val="28"/>
          <w:rtl/>
        </w:rPr>
        <w:t xml:space="preserve">۶. تهران؛ حقوق؛ شماره نسخه: ۳۶۰-ج</w:t>
      </w:r>
    </w:p>
    <w:p>
      <w:pPr>
        <w:pStyle w:val="BookText"/>
      </w:pPr>
      <w:r>
        <w:rPr>
          <w:rFonts w:ascii="IRNazanin" w:hAnsi="IRNazanin" w:eastAsia="IRNazanin" w:cs="IRNazanin"/>
          <w:lang w:bidi="fa-IR"/>
          <w:color w:val="111111"/>
          <w:sz w:val="28"/>
          <w:szCs w:val="28"/>
          <w:rtl/>
        </w:rPr>
        <w:t xml:space="preserve">آغاز: برابر؛ انجام: و در و گوهر مرحمت فرمودند. شكرا على السلامة بر حسب امر ... معتمد الحرم آقا میرزا دائی ... این نسخه از روی نسخه خطی تأليف مرحوم سلطان احمد میرزای عضد الدوله ابن الخاقان المغفور استنساخ و در روز یکشنبه دوم شهر رمضان المبارک يونت ئیل سال ۱۳۲۴ ... بقلم ... محمد رضاء الشريف ابن المرحوم حسینعلی الشیرازی ... اختتام پذیرفت خط: شکسته نستعلیق، کا: محمد رضا شریف بن حسنعلی شیرازی، تا: سه شنبه ۱۳ شعبان ۱۳۲۴ق، به دستور معتمد الحرم آقا میرزا دائی؛ از روی نسخه خطی سلطان احمد میرزای عضد الدوله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522" w:name="pg20363_209836"/>
    <w:bookmarkEnd w:id="522"/>
    <w:p>
      <w:pPr>
        <w:pStyle w:val="BookText"/>
      </w:pPr>
      <w:r>
        <w:rPr>
          <w:rFonts w:ascii="IRNazanin" w:hAnsi="IRNazanin" w:eastAsia="IRNazanin" w:cs="IRNazanin"/>
          <w:lang w:bidi="fa-IR"/>
          <w:color w:val="111111"/>
          <w:sz w:val="28"/>
          <w:szCs w:val="28"/>
          <w:rtl/>
        </w:rPr>
        <w:t xml:space="preserve">ابن خاقان مغفور؛ کاغذ: فرنگی کبود، جلد: تیماج سرخ، ۱۳۰گ، ۱۱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w:t>
      </w:r>
    </w:p>
    <w:p>
      <w:pPr>
        <w:pStyle w:val="BookText"/>
      </w:pPr>
      <w:r>
        <w:rPr>
          <w:rFonts w:ascii="IRNazanin" w:hAnsi="IRNazanin" w:eastAsia="IRNazanin" w:cs="IRNazanin"/>
          <w:lang w:bidi="fa-IR"/>
          <w:color w:val="111111"/>
          <w:sz w:val="28"/>
          <w:szCs w:val="28"/>
          <w:rtl/>
        </w:rPr>
        <w:t xml:space="preserve">)،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۲۶]</w:t>
      </w:r>
    </w:p>
    <w:p>
      <w:pPr>
        <w:pStyle w:val="BookText"/>
      </w:pPr>
      <w:r>
        <w:rPr>
          <w:rFonts w:ascii="IRNazanin" w:hAnsi="IRNazanin" w:eastAsia="IRNazanin" w:cs="IRNazanin"/>
          <w:lang w:bidi="fa-IR"/>
          <w:color w:val="111111"/>
          <w:sz w:val="28"/>
          <w:szCs w:val="28"/>
          <w:rtl/>
        </w:rPr>
        <w:t xml:space="preserve">۷. قم: مرکز احیاء؛ شماره نسخه:۱۴۰۹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در عصر مؤلف؛ جلد: مقوایی عطف تیماج قهوه ای، ۸۰گ، ۱۴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۴-۲۴۲]</w:t>
      </w:r>
    </w:p>
    <w:p>
      <w:pPr>
        <w:pStyle w:val="Heading3"/>
      </w:pPr>
      <w:bookmarkStart w:id="2469" w:name="_Toc1729"/>
      <w:r>
        <w:t>•تاریخ علمای خراسان / تراجم / فارسی</w:t>
      </w:r>
      <w:bookmarkEnd w:id="2469"/>
    </w:p>
    <w:p>
      <w:pPr>
        <w:pStyle w:val="BookText"/>
      </w:pPr>
      <w:r>
        <w:rPr>
          <w:rFonts w:ascii="Times New Roman" w:hAnsi="Times New Roman" w:eastAsia="Times New Roman" w:cs="Times New Roman"/>
          <w:lang w:val="en-US" w:bidi="en-US"/>
          <w:color w:val="111111"/>
          <w:sz w:val="28"/>
          <w:szCs w:val="28"/>
          <w:rtl/>
        </w:rPr>
        <w:t xml:space="preserve">tārīx-e ‘olamā-ye xorāsān</w:t>
      </w:r>
    </w:p>
    <w:p>
      <w:pPr>
        <w:pStyle w:val="BookText"/>
      </w:pPr>
      <w:r>
        <w:rPr>
          <w:rFonts w:ascii="IRNazanin" w:hAnsi="IRNazanin" w:eastAsia="IRNazanin" w:cs="IRNazanin"/>
          <w:lang w:bidi="fa-IR"/>
          <w:color w:val="111111"/>
          <w:sz w:val="28"/>
          <w:szCs w:val="28"/>
          <w:rtl/>
        </w:rPr>
        <w:t xml:space="preserve">مدرس، عبدالرحمن بن نصر الله، ۱۲۶۸-۱۳۳۸ قمری</w:t>
      </w:r>
    </w:p>
    <w:p>
      <w:pPr>
        <w:pStyle w:val="BookText"/>
      </w:pPr>
      <w:r>
        <w:rPr>
          <w:rFonts w:ascii="Times New Roman" w:hAnsi="Times New Roman" w:eastAsia="Times New Roman" w:cs="Times New Roman"/>
          <w:lang w:val="en-US" w:bidi="en-US"/>
          <w:color w:val="111111"/>
          <w:sz w:val="28"/>
          <w:szCs w:val="28"/>
          <w:rtl/>
        </w:rPr>
        <w:t xml:space="preserve">modarres, “abd-or-rahmān ebn-e nasr-ol-lāh (1852 1920)</w:t>
      </w:r>
    </w:p>
    <w:p>
      <w:pPr>
        <w:pStyle w:val="BookText"/>
      </w:pPr>
      <w:r>
        <w:rPr>
          <w:rFonts w:ascii="IRNazanin" w:hAnsi="IRNazanin" w:eastAsia="IRNazanin" w:cs="IRNazanin"/>
          <w:lang w:bidi="fa-IR"/>
          <w:color w:val="111111"/>
          <w:sz w:val="28"/>
          <w:szCs w:val="28"/>
          <w:rtl/>
        </w:rPr>
        <w:t xml:space="preserve">اهدا به: علیقلی میرزا اعتضاد السلطنه وزیر علم وقت محل تالیف: مشهد رضوی کتابی است در شرح حال ۱۰۳ تن از مشاهیر علمای متأخر خراسان ( از ۱۱۳۶ تا عصر مؤلف) آغاز: بسمله، سپاس و ستایش و نیاز و نیایشی که فاتحه اظهارش رائحه بخش مشک تتار انجام: این بنده حقیر را سنين عمر به بیست و شش سال و اند ماه رسیده خداوندم تعالي جده هفوات گذشته را بکرم خویش بیامرزاد و در آینده تأیید و تسدید کناد و توفيق خير دهاد انه ولي التوفيق چاپ: توسط محمد باقر ساعدی در مشهد (۱۳۴۱) چاپ شده</w:t>
      </w:r>
    </w:p>
    <w:p>
      <w:pPr>
        <w:pStyle w:val="BookText"/>
      </w:pPr>
      <w:r>
        <w:rPr>
          <w:rFonts w:ascii="IRNazanin" w:hAnsi="IRNazanin" w:eastAsia="IRNazanin" w:cs="IRNazanin"/>
          <w:lang w:bidi="fa-IR"/>
          <w:color w:val="111111"/>
          <w:sz w:val="28"/>
          <w:szCs w:val="28"/>
          <w:rtl/>
        </w:rPr>
        <w:t xml:space="preserve">[ دنا ۷۲۴/۲ ؛ فهرستواره منزوی ۲۰۴۰/۳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ادبیات؛ شماره نسخه:۹۳ فرخ</w:t>
      </w:r>
    </w:p>
    <w:p>
      <w:pPr>
        <w:pStyle w:val="BookText"/>
      </w:pPr>
      <w:r>
        <w:rPr>
          <w:rFonts w:ascii="IRNazanin" w:hAnsi="IRNazanin" w:eastAsia="IRNazanin" w:cs="IRNazanin"/>
          <w:lang w:bidi="fa-IR"/>
          <w:color w:val="111111"/>
          <w:sz w:val="28"/>
          <w:szCs w:val="28"/>
          <w:rtl/>
        </w:rPr>
        <w:t xml:space="preserve">آغاز و انجام: برابر خط: نستعلیق خوش، كا: میرزا عبدالرحمن شیرازی مدرس متوفی ۱۳۳۷، تا: یک شنبه ۴ ذیقعده ۱۲۹۴ق؛ دارای یک سرلوح مرصع، مجدول، مذهب، کمند با طلا و مشکی و لاجورد و شنگرف؛ مهر: اعتضاد السلطنه؛ جلد: تیماج عنابی، ۷۷، ۱۵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سم [ف: ۵۲]</w:t>
      </w:r>
    </w:p>
    <w:p>
      <w:pPr>
        <w:pStyle w:val="BookText"/>
      </w:pPr>
      <w:r>
        <w:rPr>
          <w:rFonts w:ascii="IRNazanin" w:hAnsi="IRNazanin" w:eastAsia="IRNazanin" w:cs="IRNazanin"/>
          <w:lang w:bidi="fa-IR"/>
          <w:color w:val="111111"/>
          <w:sz w:val="28"/>
          <w:szCs w:val="28"/>
          <w:rtl/>
        </w:rPr>
        <w:t xml:space="preserve">۲. تبریز؛ ملی؛ شماره نسخه:۳۲۹۰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کا: سید مهدی حسینی، تا: ۲۴ ذیقعده ۱۲۹۴ق؛ یادداشتهایی از شهاب الدين الحسینی نجفی مرعشی به تاریخ ۱۳۶۸ ق در شهر قم؛ کاغذ: فرنگی، جلد: چرمی نرم سبز، ۱۱۹گ، ۱۵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۱- ۲۴۰]</w:t>
      </w:r>
    </w:p>
    <w:p>
      <w:pPr>
        <w:pStyle w:val="BookText"/>
      </w:pPr>
      <w:r>
        <w:rPr>
          <w:rFonts w:ascii="IRNazanin" w:hAnsi="IRNazanin" w:eastAsia="IRNazanin" w:cs="IRNazanin"/>
          <w:lang w:bidi="fa-IR"/>
          <w:color w:val="111111"/>
          <w:sz w:val="28"/>
          <w:szCs w:val="28"/>
          <w:rtl/>
        </w:rPr>
        <w:t xml:space="preserve">٣. تهران: ملک؛ شماره نسخه: ۳۵۶۹</w:t>
      </w:r>
    </w:p>
    <w:p>
      <w:pPr>
        <w:pStyle w:val="BookText"/>
      </w:pPr>
      <w:r>
        <w:rPr>
          <w:rFonts w:ascii="IRNazanin" w:hAnsi="IRNazanin" w:eastAsia="IRNazanin" w:cs="IRNazanin"/>
          <w:lang w:bidi="fa-IR"/>
          <w:color w:val="111111"/>
          <w:sz w:val="28"/>
          <w:szCs w:val="28"/>
          <w:rtl/>
        </w:rPr>
        <w:t xml:space="preserve">خط: نستعلیق، کا: فیض</w:t>
      </w:r>
    </w:p>
    <w:p>
      <w:pPr>
        <w:pStyle w:val="BookText"/>
      </w:pPr>
      <w:r>
        <w:rPr>
          <w:rFonts w:ascii="IRNazanin" w:hAnsi="IRNazanin" w:eastAsia="IRNazanin" w:cs="IRNazanin"/>
          <w:lang w:bidi="fa-IR"/>
          <w:color w:val="111111"/>
          <w:sz w:val="28"/>
          <w:szCs w:val="28"/>
          <w:rtl/>
        </w:rPr>
        <w:t xml:space="preserve">الله حسینی شیرازی، تا: ۱۳۰۰ق؛ دارای سرلوح مذهب و مجدول به طلا؛ کاغذ: ترمه، جلد: میشن قرمز ضربی، ۹۱گ، ۱۳ سطر، اندازه: ۲۳/۹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سم [ف: ۲-۸۷]</w:t>
      </w:r>
    </w:p>
    <w:p>
      <w:pPr>
        <w:pStyle w:val="Heading3"/>
      </w:pPr>
      <w:bookmarkStart w:id="2470" w:name="_Toc1730"/>
      <w:r>
        <w:t>•تاریخ علم حقوق / حقوق / فارسی</w:t>
      </w:r>
      <w:bookmarkEnd w:id="2470"/>
    </w:p>
    <w:p>
      <w:pPr>
        <w:pStyle w:val="BookText"/>
      </w:pPr>
      <w:r>
        <w:rPr>
          <w:rFonts w:ascii="Times New Roman" w:hAnsi="Times New Roman" w:eastAsia="Times New Roman" w:cs="Times New Roman"/>
          <w:lang w:val="en-US" w:bidi="en-US"/>
          <w:color w:val="111111"/>
          <w:sz w:val="28"/>
          <w:szCs w:val="28"/>
          <w:rtl/>
        </w:rPr>
        <w:t xml:space="preserve">tārīx-e ‘elm-e hoqūq</w:t>
      </w:r>
    </w:p>
    <w:p>
      <w:pPr>
        <w:pStyle w:val="BookText"/>
      </w:pPr>
      <w:r>
        <w:rPr>
          <w:rFonts w:ascii="IRNazanin" w:hAnsi="IRNazanin" w:eastAsia="IRNazanin" w:cs="IRNazanin"/>
          <w:lang w:bidi="fa-IR"/>
          <w:color w:val="111111"/>
          <w:sz w:val="28"/>
          <w:szCs w:val="28"/>
          <w:rtl/>
        </w:rPr>
        <w:t xml:space="preserve">تاریخ مختصر علم حقوق را نوشته و بعضی اصطلاحات انگلیسی آن را ذکر کرده است.</w:t>
      </w:r>
    </w:p>
    <w:p>
      <w:pPr>
        <w:pStyle w:val="BookText"/>
      </w:pPr>
      <w:r>
        <w:rPr>
          <w:rFonts w:ascii="IRNazanin" w:hAnsi="IRNazanin" w:eastAsia="IRNazanin" w:cs="IRNazanin"/>
          <w:lang w:bidi="fa-IR"/>
          <w:color w:val="111111"/>
          <w:sz w:val="28"/>
          <w:szCs w:val="28"/>
          <w:rtl/>
        </w:rPr>
        <w:t xml:space="preserve">قم، مسجد اعظم، شماره نسخه: ۱۶۹۰</w:t>
      </w:r>
    </w:p>
    <w:p>
      <w:pPr>
        <w:pStyle w:val="BookText"/>
      </w:pPr>
      <w:r>
        <w:rPr>
          <w:rFonts w:ascii="IRNazanin" w:hAnsi="IRNazanin" w:eastAsia="IRNazanin" w:cs="IRNazanin"/>
          <w:lang w:bidi="fa-IR"/>
          <w:color w:val="111111"/>
          <w:sz w:val="28"/>
          <w:szCs w:val="28"/>
          <w:rtl/>
        </w:rPr>
        <w:t xml:space="preserve">آغاز: هرگاه نظامات حقوقی را تحت مطالعه قرار داده و بخواهیم مقررات آن را به خوبی درک و مورد استفاده قرار دهیم ملاحظه خواهیم نمود که فقط .. کردن قوانین ومرکوز ذهن ساختن؛ انجام خود را تا اندازه مالک کمک نر رو نمی ... محسوب می کرد و این مالکیت در تقابل مالكيت اجتماعی قبیله عرض اندام نمود و از آن تا اندازه ای متمایز. خط: نستعلیق، بی کا، بی تا؛ افتادگی: انجام؛ جلد: گالینگور عطف پارچه، ۲۰گ، ۲۷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[ف مخ: ۱-۳۱۲]</w:t>
      </w:r>
    </w:p>
    <w:p>
      <w:pPr>
        <w:pStyle w:val="Heading3"/>
      </w:pPr>
      <w:bookmarkStart w:id="2471" w:name="_Toc1731"/>
      <w:r>
        <w:t>•تاریخ علوم محاربات / فنون نظامی / فارسی</w:t>
      </w:r>
      <w:bookmarkEnd w:id="2471"/>
    </w:p>
    <w:p>
      <w:pPr>
        <w:pStyle w:val="BookText"/>
      </w:pPr>
      <w:r>
        <w:rPr>
          <w:rFonts w:ascii="Times New Roman" w:hAnsi="Times New Roman" w:eastAsia="Times New Roman" w:cs="Times New Roman"/>
          <w:lang w:val="en-US" w:bidi="en-US"/>
          <w:color w:val="111111"/>
          <w:sz w:val="28"/>
          <w:szCs w:val="28"/>
          <w:rtl/>
        </w:rPr>
        <w:t xml:space="preserve">tārīx-e 'olūm-e mohārebāt</w:t>
      </w:r>
    </w:p>
    <w:p>
      <w:pPr>
        <w:pStyle w:val="BookText"/>
      </w:pPr>
      <w:r>
        <w:rPr>
          <w:rFonts w:ascii="IRNazanin" w:hAnsi="IRNazanin" w:eastAsia="IRNazanin" w:cs="IRNazanin"/>
          <w:lang w:bidi="fa-IR"/>
          <w:color w:val="111111"/>
          <w:sz w:val="28"/>
          <w:szCs w:val="28"/>
          <w:rtl/>
        </w:rPr>
        <w:t xml:space="preserve">در این کتاب مؤلف بحث مفصلی از تاکتیک قوای نظامی در میدان محاربه می کند و نیز از آرایش هایی که قشونهای فاتح یونانی و رومی در میدان های جنگ به خود گرفته اند مطالبی می آورد و به آخر آن نقشه های جنگی آمده است. مؤلف آن شخصی فرانسوی و نایب معلم مکتب خانه حربیه است. به قرار معلوم این کتاب جلد اول تاريخ او و مشتمل بر اصول و قوانین فنون معمول در قوای یونانی و رومی است.</w:t>
      </w:r>
    </w:p>
    <w:p>
      <w:pPr>
        <w:pStyle w:val="BookText"/>
      </w:pPr>
      <w:r>
        <w:rPr>
          <w:rFonts w:ascii="IRNazanin" w:hAnsi="IRNazanin" w:eastAsia="IRNazanin" w:cs="IRNazanin"/>
          <w:lang w:bidi="fa-IR"/>
          <w:color w:val="111111"/>
          <w:sz w:val="28"/>
          <w:szCs w:val="28"/>
          <w:rtl/>
        </w:rPr>
        <w:t xml:space="preserve">تهران؛ ملی؛ شماره نسخه:۲۷۷</w:t>
      </w:r>
    </w:p>
    <w:p>
      <w:pPr>
        <w:pStyle w:val="BookText"/>
      </w:pPr>
      <w:r>
        <w:rPr>
          <w:rFonts w:ascii="IRNazanin" w:hAnsi="IRNazanin" w:eastAsia="IRNazanin" w:cs="IRNazanin"/>
          <w:lang w:bidi="fa-IR"/>
          <w:color w:val="111111"/>
          <w:sz w:val="28"/>
          <w:szCs w:val="28"/>
          <w:rtl/>
        </w:rPr>
        <w:t xml:space="preserve">آغاز: ترجمه تاریخ علوم محاربات و اصول فنون نظمیه معموله لشکریان از لسان فرانسیزی از مصنفات رو کانکور نایب معلم مکتب خانه مخصوصه حربيه. بعز عرض حضور خداوندگاری می رساند که جلد اول کتب علوم حربیه مشتمله بر اصول و قوانین فنون نظمیه معموله؛ انجام: و هر قدر در مطالعه دستور العملهای او تأمل و تفکر نمایند و بتدقیق و بتحقيق رسانند باعث زیادتی بصیرت و تجربت خواهد شد خط: شکسته نستعلیق، بی کا، تا: قرن ۱۳، جا: تهران، دارای چهار نقشه کاغذ: فرنگی لب طلائی، جلد: تیماج قرمز، گل و بته زر، ۱۷۱گ، ۱۶ سطر (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۲۶/۵سم [ف: ۱- ۲۷۱]</w:t>
      </w:r>
    </w:p>
    <w:p>
      <w:pPr>
        <w:pStyle w:val="Heading3"/>
      </w:pPr>
      <w:bookmarkStart w:id="2472" w:name="_Toc1732"/>
      <w:r>
        <w:t>•تاریخ عماد الدین ابوالفداء / تاریخ عربی</w:t>
      </w:r>
      <w:bookmarkEnd w:id="2472"/>
    </w:p>
    <w:p>
      <w:pPr>
        <w:pStyle w:val="BookText"/>
      </w:pPr>
      <w:r>
        <w:rPr>
          <w:rFonts w:ascii="Times New Roman" w:hAnsi="Times New Roman" w:eastAsia="Times New Roman" w:cs="Times New Roman"/>
          <w:lang w:val="en-US" w:bidi="en-US"/>
          <w:color w:val="111111"/>
          <w:sz w:val="28"/>
          <w:szCs w:val="28"/>
          <w:rtl/>
        </w:rPr>
        <w:t xml:space="preserve">tārīx-e 'emād-od-dīn ab-ol-fedā</w:t>
      </w:r>
    </w:p>
    <w:p>
      <w:pPr>
        <w:pStyle w:val="BookText"/>
      </w:pPr>
      <w:r>
        <w:rPr>
          <w:rFonts w:ascii="IRNazanin" w:hAnsi="IRNazanin" w:eastAsia="IRNazanin" w:cs="IRNazanin"/>
          <w:lang w:bidi="fa-IR"/>
          <w:color w:val="111111"/>
          <w:sz w:val="28"/>
          <w:szCs w:val="28"/>
          <w:rtl/>
        </w:rPr>
        <w:t xml:space="preserve">قم؛ مرعشی؛ شماره نسخه:بدون شماره /۲</w:t>
      </w:r>
    </w:p>
    <w:p>
      <w:pPr>
        <w:pStyle w:val="BookText"/>
      </w:pPr>
      <w:r>
        <w:rPr>
          <w:rFonts w:ascii="IRNazanin" w:hAnsi="IRNazanin" w:eastAsia="IRNazanin" w:cs="IRNazanin"/>
          <w:lang w:bidi="fa-IR"/>
          <w:color w:val="111111"/>
          <w:sz w:val="28"/>
          <w:szCs w:val="28"/>
          <w:rtl/>
        </w:rPr>
        <w:t xml:space="preserve">چند برگی از تاریخ عماد الدين ابو الفداء؛ بی کا، بی تا [میراث شهاب: س ۷ش۱-۲-۴۰]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523" w:name="pg20363_209837"/>
    <w:bookmarkEnd w:id="523"/>
    <w:p>
      <w:pPr>
        <w:pStyle w:val="BookText"/>
      </w:pPr>
      <w:r>
        <w:rPr>
          <w:rFonts w:ascii="IRNazanin" w:hAnsi="IRNazanin" w:eastAsia="IRNazanin" w:cs="IRNazanin"/>
          <w:lang w:bidi="fa-IR"/>
          <w:color w:val="111111"/>
          <w:sz w:val="28"/>
          <w:szCs w:val="28"/>
          <w:rtl/>
        </w:rPr>
        <w:t xml:space="preserve">← تاریخ عمومی← تاریخچه</w:t>
      </w:r>
    </w:p>
    <w:p>
      <w:pPr>
        <w:pStyle w:val="Heading3"/>
      </w:pPr>
      <w:bookmarkStart w:id="2473" w:name="_Toc1733"/>
      <w:r>
        <w:t>•تاریخ عمومی / تاریخ عمومی - فارسی</w:t>
      </w:r>
      <w:bookmarkEnd w:id="2473"/>
    </w:p>
    <w:p>
      <w:pPr>
        <w:pStyle w:val="BookText"/>
      </w:pPr>
      <w:r>
        <w:rPr>
          <w:rFonts w:ascii="IRNazanin" w:hAnsi="IRNazanin" w:eastAsia="IRNazanin" w:cs="IRNazanin"/>
          <w:lang w:bidi="fa-IR"/>
          <w:color w:val="111111"/>
          <w:sz w:val="28"/>
          <w:szCs w:val="28"/>
          <w:rtl/>
        </w:rPr>
        <w:t xml:space="preserve">محمد حسن، ق۱۴ قمری</w:t>
      </w:r>
    </w:p>
    <w:p>
      <w:pPr>
        <w:pStyle w:val="BookText"/>
      </w:pPr>
      <w:r>
        <w:rPr>
          <w:rFonts w:ascii="Times New Roman" w:hAnsi="Times New Roman" w:eastAsia="Times New Roman" w:cs="Times New Roman"/>
          <w:lang w:val="en-US" w:bidi="en-US"/>
          <w:color w:val="111111"/>
          <w:sz w:val="28"/>
          <w:szCs w:val="28"/>
          <w:rtl/>
        </w:rPr>
        <w:t xml:space="preserve">tārīx-e ‘omūmī</w:t>
      </w:r>
    </w:p>
    <w:p>
      <w:pPr>
        <w:pStyle w:val="BookText"/>
      </w:pPr>
      <w:r>
        <w:rPr>
          <w:rFonts w:ascii="Times New Roman" w:hAnsi="Times New Roman" w:eastAsia="Times New Roman" w:cs="Times New Roman"/>
          <w:lang w:val="en-US" w:bidi="en-US"/>
          <w:color w:val="111111"/>
          <w:sz w:val="28"/>
          <w:szCs w:val="28"/>
          <w:rtl/>
        </w:rPr>
        <w:t xml:space="preserve">mohammad hasan (-20c)</w:t>
      </w:r>
    </w:p>
    <w:p>
      <w:pPr>
        <w:pStyle w:val="BookText"/>
      </w:pPr>
      <w:r>
        <w:rPr>
          <w:rFonts w:ascii="IRNazanin" w:hAnsi="IRNazanin" w:eastAsia="IRNazanin" w:cs="IRNazanin"/>
          <w:lang w:bidi="fa-IR"/>
          <w:color w:val="111111"/>
          <w:sz w:val="28"/>
          <w:szCs w:val="28"/>
          <w:rtl/>
        </w:rPr>
        <w:t xml:space="preserve">اهداء به: سراج لشگری تاریخ تأليف: ۱۳۲۵ق تاریخ مختصری است از عصر قديم، عصر وسط و عصر جدید در سه کتاب و هر کتاب شامل چند «فصل» می باشد.</w:t>
      </w:r>
    </w:p>
    <w:p>
      <w:pPr>
        <w:pStyle w:val="BookText"/>
      </w:pPr>
      <w:r>
        <w:rPr>
          <w:rFonts w:ascii="IRNazanin" w:hAnsi="IRNazanin" w:eastAsia="IRNazanin" w:cs="IRNazanin"/>
          <w:lang w:bidi="fa-IR"/>
          <w:color w:val="111111"/>
          <w:sz w:val="28"/>
          <w:szCs w:val="28"/>
          <w:rtl/>
        </w:rPr>
        <w:t xml:space="preserve">تهران؛ ملی؛ شماره نسخه: ۱۵۵۷۰</w:t>
      </w:r>
    </w:p>
    <w:p>
      <w:pPr>
        <w:pStyle w:val="BookText"/>
      </w:pPr>
      <w:r>
        <w:rPr>
          <w:rFonts w:ascii="IRNazanin" w:hAnsi="IRNazanin" w:eastAsia="IRNazanin" w:cs="IRNazanin"/>
          <w:lang w:bidi="fa-IR"/>
          <w:color w:val="111111"/>
          <w:sz w:val="28"/>
          <w:szCs w:val="28"/>
          <w:rtl/>
        </w:rPr>
        <w:t xml:space="preserve">آغاز: (1) معریان - پنجهزار سال پیش ازین اروپا مسكون بود ولی سكنه انجا بهیچگونه نیست و؛ انجام: دولت مزبور تسالی را در ۱۸۷۸ متصرف شد ۲۶ یهود رجوع شود به نمره ۱۲ تمام شد نام مترجم در مهر طباطبائی است ولی در جایی که خود نامش را نوشته ناخوانا است؛ خط: شکسته نستعلیق، بی کا، بی تا؛ مهر: «عبده حسن طباطبائی» (بیضی)؛ کاغذ: فرنگی، جلد: مخمل سبز ترنج و سرترنج، ۱۵۵گ، ۱۸ سطر ( ۱۷/۵</w:t>
      </w:r>
      <w:r>
        <w:rPr>
          <w:rFonts w:ascii="Times New Roman" w:hAnsi="Times New Roman" w:eastAsia="Times New Roman" w:cs="Times New Roman"/>
          <w:lang w:val="en-US" w:bidi="en-US"/>
          <w:color w:val="111111"/>
          <w:sz w:val="28"/>
          <w:szCs w:val="28"/>
          <w:rtl/>
        </w:rPr>
        <w:t xml:space="preserve">×6 )</w:t>
      </w:r>
      <w:r>
        <w:rPr>
          <w:rFonts w:ascii="IRNazanin" w:hAnsi="IRNazanin" w:eastAsia="IRNazanin" w:cs="IRNazanin"/>
          <w:lang w:bidi="fa-IR"/>
          <w:color w:val="111111"/>
          <w:sz w:val="28"/>
          <w:szCs w:val="28"/>
          <w:rtl/>
        </w:rPr>
        <w:t xml:space="preserve">،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[رایانه]</w:t>
      </w:r>
    </w:p>
    <w:p>
      <w:pPr>
        <w:pStyle w:val="Heading3"/>
      </w:pPr>
      <w:bookmarkStart w:id="2474" w:name="_Toc1734"/>
      <w:r>
        <w:t>•تاریخ عمومی / تاریخ عمومی / ترکی</w:t>
      </w:r>
      <w:bookmarkEnd w:id="2474"/>
    </w:p>
    <w:p>
      <w:pPr>
        <w:pStyle w:val="BookText"/>
      </w:pPr>
      <w:r>
        <w:rPr>
          <w:rFonts w:ascii="Times New Roman" w:hAnsi="Times New Roman" w:eastAsia="Times New Roman" w:cs="Times New Roman"/>
          <w:lang w:val="en-US" w:bidi="en-US"/>
          <w:color w:val="111111"/>
          <w:sz w:val="28"/>
          <w:szCs w:val="28"/>
          <w:rtl/>
        </w:rPr>
        <w:t xml:space="preserve">tārīx-e 'omūmī</w:t>
      </w:r>
    </w:p>
    <w:p>
      <w:pPr>
        <w:pStyle w:val="BookText"/>
      </w:pPr>
      <w:r>
        <w:rPr>
          <w:rFonts w:ascii="IRNazanin" w:hAnsi="IRNazanin" w:eastAsia="IRNazanin" w:cs="IRNazanin"/>
          <w:lang w:bidi="fa-IR"/>
          <w:color w:val="111111"/>
          <w:sz w:val="28"/>
          <w:szCs w:val="28"/>
          <w:rtl/>
        </w:rPr>
        <w:t xml:space="preserve">غیر همانند: .. قم؛ مرعشی؛ شماره نسخه: ۵۰۷۱</w:t>
      </w:r>
    </w:p>
    <w:p>
      <w:pPr>
        <w:pStyle w:val="BookText"/>
      </w:pPr>
      <w:r>
        <w:rPr>
          <w:rFonts w:ascii="IRNazanin" w:hAnsi="IRNazanin" w:eastAsia="IRNazanin" w:cs="IRNazanin"/>
          <w:lang w:bidi="fa-IR"/>
          <w:color w:val="111111"/>
          <w:sz w:val="28"/>
          <w:szCs w:val="28"/>
          <w:rtl/>
        </w:rPr>
        <w:t xml:space="preserve">آغاز: کتاب ثاني ابتدای خلقتدن بوانه دک قبائل عربک شعوب و اجناسی و معاصر لری؛ انجام: مرو نام يلده ده عرب النده مقتول اوله رق ساسانیان دولتی هجرت سنيه نك او توزنجي سنه سنده منقرض اولدي تاریخ مفصلی است برای امم و سلاطین و فرمانروایان عالم و رویدادهای جهان از آغاز خلقت آدم تا عصر سلاطین عثمانی در ترکیه. در اثنای کتاب، برای هر خاندانی از خاندانهای سلاطین و انساب امتها مشجری ساخته و ریشه و نسب آنها را بدینوسیله توضیح می دهد.</w:t>
      </w:r>
    </w:p>
    <w:p>
      <w:pPr>
        <w:pStyle w:val="BookText"/>
      </w:pPr>
      <w:r>
        <w:rPr>
          <w:rFonts w:ascii="IRNazanin" w:hAnsi="IRNazanin" w:eastAsia="IRNazanin" w:cs="IRNazanin"/>
          <w:lang w:bidi="fa-IR"/>
          <w:color w:val="111111"/>
          <w:sz w:val="28"/>
          <w:szCs w:val="28"/>
          <w:rtl/>
        </w:rPr>
        <w:t xml:space="preserve">نسخه حاضر کتاب دوم از این تاریخ می باشد؛ خط: نسخ زیبا، كا: يوسف مخلص، تا: یک شنبه ۴ صفر ۷۵۱ق؛ مصحح، محشی با نشانی «مترجم»؛ جلد: گالینگور نیلی، ۱۳۸گ،</w:t>
      </w:r>
    </w:p>
    <w:p>
      <w:pPr>
        <w:pStyle w:val="BookText"/>
      </w:pPr>
      <w:r>
        <w:rPr>
          <w:rFonts w:ascii="IRNazanin" w:hAnsi="IRNazanin" w:eastAsia="IRNazanin" w:cs="IRNazanin"/>
          <w:lang w:bidi="fa-IR"/>
          <w:color w:val="111111"/>
          <w:sz w:val="28"/>
          <w:szCs w:val="28"/>
          <w:rtl/>
        </w:rPr>
        <w:t xml:space="preserve">۲۵ سطر،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۱۳-۲۶۳]</w:t>
      </w:r>
    </w:p>
    <w:p>
      <w:pPr>
        <w:pStyle w:val="BookText"/>
      </w:pPr>
      <w:r>
        <w:rPr>
          <w:rFonts w:ascii="IRNazanin" w:hAnsi="IRNazanin" w:eastAsia="IRNazanin" w:cs="IRNazanin"/>
          <w:lang w:bidi="fa-IR"/>
          <w:color w:val="111111"/>
          <w:sz w:val="28"/>
          <w:szCs w:val="28"/>
          <w:rtl/>
        </w:rPr>
        <w:t xml:space="preserve">۲. قم؛ مسجد اعظم؛ شماره نسخه:۳۷۹۲</w:t>
      </w:r>
    </w:p>
    <w:p>
      <w:pPr>
        <w:pStyle w:val="BookText"/>
      </w:pPr>
      <w:r>
        <w:rPr>
          <w:rFonts w:ascii="IRNazanin" w:hAnsi="IRNazanin" w:eastAsia="IRNazanin" w:cs="IRNazanin"/>
          <w:lang w:bidi="fa-IR"/>
          <w:color w:val="111111"/>
          <w:sz w:val="28"/>
          <w:szCs w:val="28"/>
          <w:rtl/>
        </w:rPr>
        <w:t xml:space="preserve">آغاز: بعد از اسکندر ممالک او به دست سردارانش افتاده و مدت بیست سال با هم دیگر کشمکش ونزاع داشته اند و عاقبت آن ممالک را به سه قسمت کرده که عبارت باشد از مصر وشام؛ انجام: امپراطوری که مشر کین را شکنجه و آزار نمود ... کبیر نام داشت که شرح حال او را خواندیم پس وقتی که دولت روم غربی بدست طوایف ... منقرض شد تمام رومیان عیسوی بودند تاریخ مختصر ایران از دوره اشکانیان، تاریخ اسلام در صدر و سپس خلفا، تاریخ اروپا است؛ خط: نستعلیق، بی کا، تا: ۱۳۰۳ق؛ جلد:مقوا، ۵۰گ، مختلف السطر،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مخ: ۱-۳۱۲]</w:t>
      </w:r>
    </w:p>
    <w:p>
      <w:pPr>
        <w:pStyle w:val="BookText"/>
      </w:pPr>
      <w:r>
        <w:rPr>
          <w:rFonts w:ascii="IRNazanin" w:hAnsi="IRNazanin" w:eastAsia="IRNazanin" w:cs="IRNazanin"/>
          <w:lang w:bidi="fa-IR"/>
          <w:color w:val="111111"/>
          <w:sz w:val="28"/>
          <w:szCs w:val="28"/>
          <w:rtl/>
        </w:rPr>
        <w:t xml:space="preserve">٣. یزد؛ وزیری؛ شماره نسخه:۲۴۹۶</w:t>
      </w:r>
    </w:p>
    <w:p>
      <w:pPr>
        <w:pStyle w:val="BookText"/>
      </w:pPr>
      <w:r>
        <w:rPr>
          <w:rFonts w:ascii="IRNazanin" w:hAnsi="IRNazanin" w:eastAsia="IRNazanin" w:cs="IRNazanin"/>
          <w:lang w:bidi="fa-IR"/>
          <w:color w:val="111111"/>
          <w:sz w:val="28"/>
          <w:szCs w:val="28"/>
          <w:rtl/>
        </w:rPr>
        <w:t xml:space="preserve">آغاز: بسمله، و از بعض ثقات به یک دو واسطه مسموع شد که در ایام حکومت و اخشتبو خان پهلوانی بازیگر ... وارد شوشتر گردید؛ انجام: فرزند که متولد شود پس چهار سال که رسید او را از مادر گیرند.</w:t>
      </w:r>
    </w:p>
    <w:p>
      <w:pPr>
        <w:pStyle w:val="BookText"/>
      </w:pPr>
      <w:r>
        <w:rPr>
          <w:rFonts w:ascii="IRNazanin" w:hAnsi="IRNazanin" w:eastAsia="IRNazanin" w:cs="IRNazanin"/>
          <w:lang w:bidi="fa-IR"/>
          <w:color w:val="111111"/>
          <w:sz w:val="28"/>
          <w:szCs w:val="28"/>
          <w:rtl/>
        </w:rPr>
        <w:t xml:space="preserve">تاریخ هند و فرنگ؛ خط: نسخ و نستعلیق، بی کا، بی تا، افتادگی: انجام؛ ۶ برگ در آغاز و ۱۸ برگ در پایان در هیئت و نجوم متفرقه ضمیمه است؛ اهدایی: وزیری موسس؛ کاغذ: نوعی ترمه، جلد: مقوایی روکش تیماج تریاکی، ۸۷گ، ۱۷ سطر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۴-۱۳۱۸]</w:t>
      </w:r>
    </w:p>
    <w:p>
      <w:pPr>
        <w:pStyle w:val="BookText"/>
      </w:pPr>
      <w:r>
        <w:rPr>
          <w:rFonts w:ascii="IRNazanin" w:hAnsi="IRNazanin" w:eastAsia="IRNazanin" w:cs="IRNazanin"/>
          <w:lang w:bidi="fa-IR"/>
          <w:color w:val="111111"/>
          <w:sz w:val="28"/>
          <w:szCs w:val="28"/>
          <w:rtl/>
        </w:rPr>
        <w:t xml:space="preserve">۴. تهران، مرکز فرهنگی خراسان؛ شماره نسخه: ۵۷عکسی</w:t>
      </w:r>
    </w:p>
    <w:p>
      <w:pPr>
        <w:pStyle w:val="BookText"/>
      </w:pPr>
      <w:r>
        <w:rPr>
          <w:rFonts w:ascii="IRNazanin" w:hAnsi="IRNazanin" w:eastAsia="IRNazanin" w:cs="IRNazanin"/>
          <w:lang w:bidi="fa-IR"/>
          <w:color w:val="111111"/>
          <w:sz w:val="28"/>
          <w:szCs w:val="28"/>
          <w:rtl/>
        </w:rPr>
        <w:t xml:space="preserve">مجهول المؤلف (ق 9).</w:t>
      </w:r>
    </w:p>
    <w:p>
      <w:pPr>
        <w:pStyle w:val="BookText"/>
      </w:pPr>
      <w:r>
        <w:rPr>
          <w:rFonts w:ascii="IRNazanin" w:hAnsi="IRNazanin" w:eastAsia="IRNazanin" w:cs="IRNazanin"/>
          <w:lang w:bidi="fa-IR"/>
          <w:color w:val="111111"/>
          <w:sz w:val="28"/>
          <w:szCs w:val="28"/>
          <w:rtl/>
        </w:rPr>
        <w:t xml:space="preserve">کتاب، یک دوره تاریخ عمومی است. این دفتر (دفتر دوم) از خلافت امیر المومنین (عليه السلام)تا خلافت عباسیان را در بر دارد. نویسنده کتابش را در دربار امیر علی شیر نوایی نوشته است؛ بی کا، بی تا [جنگ: ۱-۴۴۷]</w:t>
      </w:r>
    </w:p>
    <w:p>
      <w:pPr>
        <w:pStyle w:val="Heading3"/>
      </w:pPr>
      <w:bookmarkStart w:id="2475" w:name="_Toc1735"/>
      <w:r>
        <w:t>•تاریخ عمومی ایران و دنیا در قرن بیستم / تاریخ / فارسی</w:t>
      </w:r>
      <w:bookmarkEnd w:id="2475"/>
    </w:p>
    <w:p>
      <w:pPr>
        <w:pStyle w:val="BookText"/>
      </w:pPr>
      <w:r>
        <w:rPr>
          <w:rFonts w:ascii="Times New Roman" w:hAnsi="Times New Roman" w:eastAsia="Times New Roman" w:cs="Times New Roman"/>
          <w:lang w:val="en-US" w:bidi="en-US"/>
          <w:color w:val="111111"/>
          <w:sz w:val="28"/>
          <w:szCs w:val="28"/>
          <w:rtl/>
        </w:rPr>
        <w:t xml:space="preserve">tārīx-e 'omūmī-ye īrān va donyā dar qarn-e bīstom</w:t>
      </w:r>
    </w:p>
    <w:p>
      <w:pPr>
        <w:pStyle w:val="BookText"/>
      </w:pPr>
      <w:r>
        <w:rPr>
          <w:rFonts w:ascii="IRNazanin" w:hAnsi="IRNazanin" w:eastAsia="IRNazanin" w:cs="IRNazanin"/>
          <w:lang w:bidi="fa-IR"/>
          <w:color w:val="111111"/>
          <w:sz w:val="28"/>
          <w:szCs w:val="28"/>
          <w:rtl/>
        </w:rPr>
        <w:t xml:space="preserve">فرزاد عباس زاده، حسین، ق ۱۴ قمری</w:t>
      </w:r>
    </w:p>
    <w:p>
      <w:pPr>
        <w:pStyle w:val="BookText"/>
      </w:pPr>
      <w:r>
        <w:rPr>
          <w:rFonts w:ascii="Times New Roman" w:hAnsi="Times New Roman" w:eastAsia="Times New Roman" w:cs="Times New Roman"/>
          <w:lang w:val="en-US" w:bidi="en-US"/>
          <w:color w:val="111111"/>
          <w:sz w:val="28"/>
          <w:szCs w:val="28"/>
          <w:rtl/>
        </w:rPr>
        <w:t xml:space="preserve">farzād-e 'abbās-zāde, hoseyn (-20c)</w:t>
      </w:r>
    </w:p>
    <w:p>
      <w:pPr>
        <w:pStyle w:val="BookText"/>
      </w:pPr>
      <w:r>
        <w:rPr>
          <w:rFonts w:ascii="IRNazanin" w:hAnsi="IRNazanin" w:eastAsia="IRNazanin" w:cs="IRNazanin"/>
          <w:lang w:bidi="fa-IR"/>
          <w:color w:val="111111"/>
          <w:sz w:val="28"/>
          <w:szCs w:val="28"/>
          <w:rtl/>
        </w:rPr>
        <w:t xml:space="preserve">مؤلف اطلاعات تاریخی، جغرافیایی، سیاسی و اقتصادی را با مدارک و اسناد تاریخی از جرائد مختلف، مانند: طوفان (از شماره ۱۰۰ در سال ۱۳۰۵ ق)، سهند، ایران و ... گرد آورده است.</w:t>
      </w:r>
    </w:p>
    <w:p>
      <w:pPr>
        <w:pStyle w:val="BookText"/>
      </w:pPr>
      <w:r>
        <w:rPr>
          <w:rFonts w:ascii="IRNazanin" w:hAnsi="IRNazanin" w:eastAsia="IRNazanin" w:cs="IRNazanin"/>
          <w:lang w:bidi="fa-IR"/>
          <w:color w:val="111111"/>
          <w:sz w:val="28"/>
          <w:szCs w:val="28"/>
          <w:rtl/>
        </w:rPr>
        <w:t xml:space="preserve">قم؛ مرعشی؛ شماره نسخه:۱۱۶۱۱</w:t>
      </w:r>
    </w:p>
    <w:p>
      <w:pPr>
        <w:pStyle w:val="BookText"/>
      </w:pPr>
      <w:r>
        <w:rPr>
          <w:rFonts w:ascii="IRNazanin" w:hAnsi="IRNazanin" w:eastAsia="IRNazanin" w:cs="IRNazanin"/>
          <w:lang w:bidi="fa-IR"/>
          <w:color w:val="111111"/>
          <w:sz w:val="28"/>
          <w:szCs w:val="28"/>
          <w:rtl/>
        </w:rPr>
        <w:t xml:space="preserve">آغاز: مناسبات و روابط پنج ساله ایران و روس نظری بگذشته، آینده روسیه در آسیاست پرنس کارچاکوف وزیر خارجه عصر حکمرانی و سلطنت امپراتور الکساندر دوم؛ انجام: در این صورت مجلس و پارلمانیکه از روی همین قانون باشد مورد اعتراض و فدیون خواهد بود. خط: نستعلیق تحریری، کاتب = مؤلف، تا: اوایل قرن ۱۴؛ محشی؛ کاغذ: فرنگی، جلد: کاغذی مشکی عطف پارچه سبز، ۷۳گ، ۲۲ سطر (۱۲/۵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w:t>
      </w:r>
    </w:p>
    <w:p>
      <w:pPr>
        <w:pStyle w:val="BookText"/>
      </w:pPr>
      <w:r>
        <w:rPr>
          <w:rFonts w:ascii="IRNazanin" w:hAnsi="IRNazanin" w:eastAsia="IRNazanin" w:cs="IRNazanin"/>
          <w:lang w:bidi="fa-IR"/>
          <w:color w:val="111111"/>
          <w:sz w:val="28"/>
          <w:szCs w:val="28"/>
          <w:rtl/>
        </w:rPr>
        <w:t xml:space="preserve">سم [ف: ۲۹-۳۴۸]</w:t>
      </w:r>
    </w:p>
    <w:p>
      <w:pPr>
        <w:pStyle w:val="Heading3"/>
      </w:pPr>
      <w:bookmarkStart w:id="2476" w:name="_Toc1736"/>
      <w:r>
        <w:t>•تاریخ عمومی معاصر / تاریخ / فارسی</w:t>
      </w:r>
      <w:bookmarkEnd w:id="2476"/>
    </w:p>
    <w:p>
      <w:pPr>
        <w:pStyle w:val="BookText"/>
      </w:pPr>
      <w:r>
        <w:rPr>
          <w:rFonts w:ascii="Times New Roman" w:hAnsi="Times New Roman" w:eastAsia="Times New Roman" w:cs="Times New Roman"/>
          <w:lang w:val="en-US" w:bidi="en-US"/>
          <w:color w:val="111111"/>
          <w:sz w:val="28"/>
          <w:szCs w:val="28"/>
          <w:rtl/>
        </w:rPr>
        <w:t xml:space="preserve">tārīx-e 'omūmī-ye moʻāser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524" w:name="pg20363_209838"/>
    <w:bookmarkEnd w:id="524"/>
    <w:p>
      <w:pPr>
        <w:pStyle w:val="BookText"/>
      </w:pPr>
      <w:r>
        <w:rPr>
          <w:rFonts w:ascii="IRNazanin" w:hAnsi="IRNazanin" w:eastAsia="IRNazanin" w:cs="IRNazanin"/>
          <w:lang w:bidi="fa-IR"/>
          <w:color w:val="111111"/>
          <w:sz w:val="28"/>
          <w:szCs w:val="28"/>
          <w:rtl/>
        </w:rPr>
        <w:t xml:space="preserve">غیر همانند: ١. مشهد؛ رضوی؛ شماره نسخه:۱۵۱۱۶</w:t>
      </w:r>
    </w:p>
    <w:p>
      <w:pPr>
        <w:pStyle w:val="BookText"/>
      </w:pPr>
      <w:r>
        <w:rPr>
          <w:rFonts w:ascii="IRNazanin" w:hAnsi="IRNazanin" w:eastAsia="IRNazanin" w:cs="IRNazanin"/>
          <w:lang w:bidi="fa-IR"/>
          <w:color w:val="111111"/>
          <w:sz w:val="28"/>
          <w:szCs w:val="28"/>
          <w:rtl/>
        </w:rPr>
        <w:t xml:space="preserve">آغاز: بسمله، تاریخ معاصر مقدمات شورش بزرگ فرانسه شورش کبیر فرانسه شورشی است؛ انجام: هر بدی که خوب نشد ناچار معدوم شود. خط: نستعلیق شکسته، كا: علی بن حسینقلی تبریزی، تا: ۱۳۳۲ق؛ کاغذ کاهی، جلد: مقوا، ۱۸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الفبائی: ۶۲۷]</w:t>
      </w:r>
    </w:p>
    <w:p>
      <w:pPr>
        <w:pStyle w:val="BookText"/>
      </w:pPr>
      <w:r>
        <w:rPr>
          <w:rFonts w:ascii="IRNazanin" w:hAnsi="IRNazanin" w:eastAsia="IRNazanin" w:cs="IRNazanin"/>
          <w:lang w:bidi="fa-IR"/>
          <w:color w:val="111111"/>
          <w:sz w:val="28"/>
          <w:szCs w:val="28"/>
          <w:rtl/>
        </w:rPr>
        <w:t xml:space="preserve">۲. مشهد؛ رضوی؛ شماره نسخه: ۱۵۱۲۰</w:t>
      </w:r>
    </w:p>
    <w:p>
      <w:pPr>
        <w:pStyle w:val="BookText"/>
      </w:pPr>
      <w:r>
        <w:rPr>
          <w:rFonts w:ascii="IRNazanin" w:hAnsi="IRNazanin" w:eastAsia="IRNazanin" w:cs="IRNazanin"/>
          <w:lang w:bidi="fa-IR"/>
          <w:color w:val="111111"/>
          <w:sz w:val="28"/>
          <w:szCs w:val="28"/>
          <w:rtl/>
        </w:rPr>
        <w:t xml:space="preserve">آغاز: بموجب عهدنامه سالهای ۱۳۸۱ نام می برد، انجام: و عهدنامه ۱۸ ماده انجام خمسه ضمانت می نمایند. خط: نستعلیق شکسته، بی کا، بی تا؛ کاغذ: کاهی، جلد: مقوا،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[الفبائی: ۶۲۷]</w:t>
      </w:r>
    </w:p>
    <w:p>
      <w:pPr>
        <w:pStyle w:val="Heading3"/>
      </w:pPr>
      <w:bookmarkStart w:id="2477" w:name="_Toc1737"/>
      <w:r>
        <w:t>•تاریخ عهد باستان / تاریخ / فارسی</w:t>
      </w:r>
      <w:bookmarkEnd w:id="2477"/>
    </w:p>
    <w:p>
      <w:pPr>
        <w:pStyle w:val="BookText"/>
      </w:pPr>
      <w:r>
        <w:rPr>
          <w:rFonts w:ascii="Times New Roman" w:hAnsi="Times New Roman" w:eastAsia="Times New Roman" w:cs="Times New Roman"/>
          <w:lang w:val="en-US" w:bidi="en-US"/>
          <w:color w:val="111111"/>
          <w:sz w:val="28"/>
          <w:szCs w:val="28"/>
          <w:rtl/>
        </w:rPr>
        <w:t xml:space="preserve">tārīx-e 'ahd-e bāstān</w:t>
      </w:r>
    </w:p>
    <w:p>
      <w:pPr>
        <w:pStyle w:val="BookText"/>
      </w:pPr>
      <w:r>
        <w:rPr>
          <w:rFonts w:ascii="IRNazanin" w:hAnsi="IRNazanin" w:eastAsia="IRNazanin" w:cs="IRNazanin"/>
          <w:lang w:bidi="fa-IR"/>
          <w:color w:val="111111"/>
          <w:sz w:val="28"/>
          <w:szCs w:val="28"/>
          <w:rtl/>
        </w:rPr>
        <w:t xml:space="preserve">طباطبائی، ابوالمحسن</w:t>
      </w:r>
    </w:p>
    <w:p>
      <w:pPr>
        <w:pStyle w:val="BookText"/>
      </w:pPr>
      <w:r>
        <w:rPr>
          <w:rFonts w:ascii="Times New Roman" w:hAnsi="Times New Roman" w:eastAsia="Times New Roman" w:cs="Times New Roman"/>
          <w:lang w:val="en-US" w:bidi="en-US"/>
          <w:color w:val="111111"/>
          <w:sz w:val="28"/>
          <w:szCs w:val="28"/>
          <w:rtl/>
        </w:rPr>
        <w:t xml:space="preserve">tabātabā’īl, ab-ol-mohsen</w:t>
      </w:r>
    </w:p>
    <w:p>
      <w:pPr>
        <w:pStyle w:val="BookText"/>
      </w:pPr>
      <w:r>
        <w:rPr>
          <w:rFonts w:ascii="IRNazanin" w:hAnsi="IRNazanin" w:eastAsia="IRNazanin" w:cs="IRNazanin"/>
          <w:lang w:bidi="fa-IR"/>
          <w:color w:val="111111"/>
          <w:sz w:val="28"/>
          <w:szCs w:val="28"/>
          <w:rtl/>
        </w:rPr>
        <w:t xml:space="preserve">تهران؛ مجلس؛ شماره نسخه: ۱۳۰/۱</w:t>
      </w:r>
    </w:p>
    <w:p>
      <w:pPr>
        <w:pStyle w:val="BookText"/>
      </w:pPr>
      <w:r>
        <w:rPr>
          <w:rFonts w:ascii="IRNazanin" w:hAnsi="IRNazanin" w:eastAsia="IRNazanin" w:cs="IRNazanin"/>
          <w:lang w:bidi="fa-IR"/>
          <w:color w:val="111111"/>
          <w:sz w:val="28"/>
          <w:szCs w:val="28"/>
          <w:rtl/>
        </w:rPr>
        <w:t xml:space="preserve">سرود ذکر شمه ای از ... خط: تایپی، بی کا، تا: ۱۳۱۴ق؛ قطع: خشتی [نشریه: ۱۳-۴۴۱]</w:t>
      </w:r>
    </w:p>
    <w:p>
      <w:pPr>
        <w:pStyle w:val="BookText"/>
      </w:pPr>
      <w:r>
        <w:rPr>
          <w:rFonts w:ascii="IRNazanin" w:hAnsi="IRNazanin" w:eastAsia="IRNazanin" w:cs="IRNazanin"/>
          <w:lang w:bidi="fa-IR"/>
          <w:color w:val="111111"/>
          <w:sz w:val="28"/>
          <w:szCs w:val="28"/>
          <w:rtl/>
        </w:rPr>
        <w:t xml:space="preserve">نام تاریخ عهد پهلوی به تاریخ مستور</w:t>
      </w:r>
    </w:p>
    <w:p>
      <w:pPr>
        <w:pStyle w:val="Heading3"/>
      </w:pPr>
      <w:bookmarkStart w:id="2478" w:name="_Toc1738"/>
      <w:r>
        <w:t>•تاریخ عهد قاجار / تاریخ / فارسی</w:t>
      </w:r>
      <w:bookmarkEnd w:id="2478"/>
    </w:p>
    <w:p>
      <w:pPr>
        <w:pStyle w:val="BookText"/>
      </w:pPr>
      <w:r>
        <w:rPr>
          <w:rFonts w:ascii="Times New Roman" w:hAnsi="Times New Roman" w:eastAsia="Times New Roman" w:cs="Times New Roman"/>
          <w:lang w:val="en-US" w:bidi="en-US"/>
          <w:color w:val="111111"/>
          <w:sz w:val="28"/>
          <w:szCs w:val="28"/>
          <w:rtl/>
        </w:rPr>
        <w:t xml:space="preserve">tārīx-e ‘ahd-e qājār</w:t>
      </w:r>
    </w:p>
    <w:p>
      <w:pPr>
        <w:pStyle w:val="BookText"/>
      </w:pPr>
      <w:r>
        <w:rPr>
          <w:rFonts w:ascii="IRNazanin" w:hAnsi="IRNazanin" w:eastAsia="IRNazanin" w:cs="IRNazanin"/>
          <w:lang w:bidi="fa-IR"/>
          <w:color w:val="111111"/>
          <w:sz w:val="28"/>
          <w:szCs w:val="28"/>
          <w:rtl/>
        </w:rPr>
        <w:t xml:space="preserve">تاریخ مفصلی است از حوادث، تاج گذاری ها، جنگها و اتفاقات عهد سلسله قاجاریه که از چندی قبل از آن شروع شده و تا اواسط تاریخ جنگ های ایران و روسیه ادامه یافته است.</w:t>
      </w:r>
    </w:p>
    <w:p>
      <w:pPr>
        <w:pStyle w:val="BookText"/>
      </w:pPr>
      <w:r>
        <w:rPr>
          <w:rFonts w:ascii="IRNazanin" w:hAnsi="IRNazanin" w:eastAsia="IRNazanin" w:cs="IRNazanin"/>
          <w:lang w:bidi="fa-IR"/>
          <w:color w:val="111111"/>
          <w:sz w:val="28"/>
          <w:szCs w:val="28"/>
          <w:rtl/>
        </w:rPr>
        <w:t xml:space="preserve">تهران؛ مجلس؛ شماره نسخه: ۱۱۲۹۰</w:t>
      </w:r>
    </w:p>
    <w:p>
      <w:pPr>
        <w:pStyle w:val="BookText"/>
      </w:pPr>
      <w:r>
        <w:rPr>
          <w:rFonts w:ascii="IRNazanin" w:hAnsi="IRNazanin" w:eastAsia="IRNazanin" w:cs="IRNazanin"/>
          <w:lang w:bidi="fa-IR"/>
          <w:color w:val="111111"/>
          <w:sz w:val="28"/>
          <w:szCs w:val="28"/>
          <w:rtl/>
        </w:rPr>
        <w:t xml:space="preserve">آغاز: بسمله، فصل در ذکر سلطنت امیر تیمور، ایشان بیست نفرند که در ایران سلطنت کرده اند و اول ایشان امیر تیمور گورکان است؛ انجام: و از تفلیس الی ایران با آذوقه و جبه خانه فراوان در کنار رودخانه ارس بسمت سردار آباد ترول نموده بودند خط: نسخ، بی کا، تا: قرن ۱۳؛ جلد: تیماج سياه مجدول، ۱۲۰گ، 19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۳۳/۲-۶۳]</w:t>
      </w:r>
    </w:p>
    <w:p>
      <w:pPr>
        <w:pStyle w:val="BookText"/>
      </w:pPr>
      <w:r>
        <w:rPr>
          <w:rFonts w:ascii="IRNazanin" w:hAnsi="IRNazanin" w:eastAsia="IRNazanin" w:cs="IRNazanin"/>
          <w:lang w:bidi="fa-IR"/>
          <w:color w:val="111111"/>
          <w:sz w:val="28"/>
          <w:szCs w:val="28"/>
          <w:rtl/>
        </w:rPr>
        <w:t xml:space="preserve">←تاریخ عینی ← عقد الجمان في تاريخ اهل الزمان</w:t>
      </w:r>
    </w:p>
    <w:p>
      <w:pPr>
        <w:pStyle w:val="Heading3"/>
      </w:pPr>
      <w:bookmarkStart w:id="2479" w:name="_Toc1739"/>
      <w:r>
        <w:t>•تاریخ غفاری = اندرز نامه / تاریخ ایران / فارسی</w:t>
      </w:r>
      <w:bookmarkEnd w:id="2479"/>
    </w:p>
    <w:p>
      <w:pPr>
        <w:pStyle w:val="BookText"/>
      </w:pPr>
      <w:r>
        <w:rPr>
          <w:rFonts w:ascii="Times New Roman" w:hAnsi="Times New Roman" w:eastAsia="Times New Roman" w:cs="Times New Roman"/>
          <w:lang w:val="en-US" w:bidi="en-US"/>
          <w:color w:val="111111"/>
          <w:sz w:val="28"/>
          <w:szCs w:val="28"/>
          <w:rtl/>
        </w:rPr>
        <w:t xml:space="preserve">tārīx-e qaffārī = andarz-nāme</w:t>
      </w:r>
    </w:p>
    <w:p>
      <w:pPr>
        <w:pStyle w:val="BookText"/>
      </w:pPr>
      <w:r>
        <w:rPr>
          <w:rFonts w:ascii="IRNazanin" w:hAnsi="IRNazanin" w:eastAsia="IRNazanin" w:cs="IRNazanin"/>
          <w:lang w:bidi="fa-IR"/>
          <w:color w:val="111111"/>
          <w:sz w:val="28"/>
          <w:szCs w:val="28"/>
          <w:rtl/>
        </w:rPr>
        <w:t xml:space="preserve">غفاری کاشانی، محمد علی، ق۱۴ قمری</w:t>
      </w:r>
    </w:p>
    <w:p>
      <w:pPr>
        <w:pStyle w:val="BookText"/>
      </w:pPr>
      <w:r>
        <w:rPr>
          <w:rFonts w:ascii="Times New Roman" w:hAnsi="Times New Roman" w:eastAsia="Times New Roman" w:cs="Times New Roman"/>
          <w:lang w:val="en-US" w:bidi="en-US"/>
          <w:color w:val="111111"/>
          <w:sz w:val="28"/>
          <w:szCs w:val="28"/>
          <w:rtl/>
        </w:rPr>
        <w:t xml:space="preserve">qaffārī kāšānī, mohammad ‘alī (-20c)</w:t>
      </w:r>
    </w:p>
    <w:p>
      <w:pPr>
        <w:pStyle w:val="BookText"/>
      </w:pPr>
      <w:r>
        <w:rPr>
          <w:rFonts w:ascii="IRNazanin" w:hAnsi="IRNazanin" w:eastAsia="IRNazanin" w:cs="IRNazanin"/>
          <w:lang w:bidi="fa-IR"/>
          <w:color w:val="111111"/>
          <w:sz w:val="28"/>
          <w:szCs w:val="28"/>
          <w:rtl/>
        </w:rPr>
        <w:t xml:space="preserve">تاريخ تأليف: ۱۳۰۱ ق (۱۸۸۴) سرگذشت میرزا محمد علی خان نایب اول پیشخدمت باشی ولی عهد مظفر الدین میرزا است از خود او با یادداشت های او و تاریخ سالانه است. چاپ: تهران، ۱۳۶۱ شمسی، در ۴۲۶ ص [فهرستواره منزوی ۸۸۸/۲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 ۱۱۶۱ف</w:t>
      </w:r>
    </w:p>
    <w:p>
      <w:pPr>
        <w:pStyle w:val="BookText"/>
      </w:pPr>
      <w:r>
        <w:rPr>
          <w:rFonts w:ascii="IRNazanin" w:hAnsi="IRNazanin" w:eastAsia="IRNazanin" w:cs="IRNazanin"/>
          <w:lang w:bidi="fa-IR"/>
          <w:color w:val="111111"/>
          <w:sz w:val="28"/>
          <w:szCs w:val="28"/>
          <w:rtl/>
        </w:rPr>
        <w:t xml:space="preserve">نسخه اصل: نسخه آقای ابراهیم غفاری، ش ۱۲۸۸/۴ ؛ در دو جلد با عکس ولی عهد از عکاسی به نام منوچهر؛ خط: شکسته نستعلیق، كا: میرزا محمد منشی تبریزی، تا: جمادی الثانی ۱۳۰۹ق؛ افتادگی: آغاز و انجام؛ ۴۲۶گ، ۱۷ سطر [فیلمها ف: ۱-۳۵]</w:t>
      </w:r>
    </w:p>
    <w:p>
      <w:pPr>
        <w:pStyle w:val="BookText"/>
      </w:pPr>
      <w:r>
        <w:rPr>
          <w:rFonts w:ascii="IRNazanin" w:hAnsi="IRNazanin" w:eastAsia="IRNazanin" w:cs="IRNazanin"/>
          <w:lang w:bidi="fa-IR"/>
          <w:color w:val="111111"/>
          <w:sz w:val="28"/>
          <w:szCs w:val="28"/>
          <w:rtl/>
        </w:rPr>
        <w:t xml:space="preserve">۲. قم؛ گلپایگانی؛ شماره نسخه: ۸۶۲۱- ۵۸/۷۱</w:t>
      </w:r>
    </w:p>
    <w:p>
      <w:pPr>
        <w:pStyle w:val="BookText"/>
      </w:pPr>
      <w:r>
        <w:rPr>
          <w:rFonts w:ascii="IRNazanin" w:hAnsi="IRNazanin" w:eastAsia="IRNazanin" w:cs="IRNazanin"/>
          <w:lang w:bidi="fa-IR"/>
          <w:color w:val="111111"/>
          <w:sz w:val="28"/>
          <w:szCs w:val="28"/>
          <w:rtl/>
        </w:rPr>
        <w:t xml:space="preserve">آغاز: علیخان حضور داشته و مراتب درستکاری و بی طمعی دولت خواه را عرضه داشت ... از قرار تفصيل ذل دستخط صادر نموده، مقرب الخاقان میرزا محمد علیخان نایب اول پیش خدمت باشی ... منظور نظر مبارک والا از ماموریت آن مقرب الخاقان عمده گرفتن سربازان فوج مخبران شقاقی بود بخشی از کتاب تاریخ غفاری مؤلف است. در این بخش سوانح سال های ۱۳۰۰ و ۱۳۰۱ و ۱۳۰۲ مندرج است. مطالب موجود در نسخه حاضر بدین قرار است: نامه به مقرب الخاقان میرزا محمد علی خان نایب اول پیش خدمت باشی، و چند نامه دیگر که باز به مؤلف نوشته شده؛ کتابچه برای تغییر حکومت شقاقی (نامه مفصلی است که مؤلف برای تغییر حکومت شقاقی در یازده فصل کوتاه و پنج بند نگاشته است)، نامه ای که اعتضادالسلطنه به مؤلف نوشته؛ ختم جلد اول با شعری از بونصر شیبانی؛ جلد دوم از وقایع سال ۱۳۰۱ شروع می شود و مؤلف در ۳۲ سالگی خود نوشته است او در آغاز این جلد از ناتوانی ولیعهد در اداره امور خبر داده ولی به جهت رعایت «غیرت نوکری» از درج آنها خودداری نموده است، فرمان برقراری مواجب مؤلف، فرمان نصب میرزا هدایت الله خان به نایب الحکومتی میاندوآب، وکالت نامه مؤلف از طرف اهالی میاندوآب، شرح درگیری اهالی میاندوآب و کردها؛ نامه صديق الدوله به مؤلف در باب حوادث میاندوآب، مؤلف در این بخش جزئیاتی از حوادث درون دربار ولیعهد و خیانت خدمتگزاران وی از جمله صديق الدوله مینگارد که جالب توجه است؛ خط: شکسته، نستعلیق، بی کا، بی تا؛ افتادگی: آغاز و انجام؛</w:t>
      </w:r>
    </w:p>
    <w:p>
      <w:pPr>
        <w:pStyle w:val="BookText"/>
      </w:pPr>
      <w:r>
        <w:rPr>
          <w:rFonts w:ascii="IRNazanin" w:hAnsi="IRNazanin" w:eastAsia="IRNazanin" w:cs="IRNazanin"/>
          <w:lang w:bidi="fa-IR"/>
          <w:color w:val="111111"/>
          <w:sz w:val="28"/>
          <w:szCs w:val="28"/>
          <w:rtl/>
        </w:rPr>
        <w:t xml:space="preserve">۴۷گ، ۱۴ سطر، اندازه: ۲۲۷۱۷سم [ف: ۲-۶۹۸]</w:t>
      </w:r>
    </w:p>
    <w:p>
      <w:pPr>
        <w:pStyle w:val="BookText"/>
      </w:pPr>
      <w:r>
        <w:rPr>
          <w:rFonts w:ascii="IRNazanin" w:hAnsi="IRNazanin" w:eastAsia="IRNazanin" w:cs="IRNazanin"/>
          <w:lang w:bidi="fa-IR"/>
          <w:color w:val="111111"/>
          <w:sz w:val="28"/>
          <w:szCs w:val="28"/>
          <w:rtl/>
        </w:rPr>
        <w:t xml:space="preserve">٣. تهران، دانشگاه؛ شماره نسخه:۴۳-عکس و ۴۴-عکس</w:t>
      </w:r>
    </w:p>
    <w:p>
      <w:pPr>
        <w:pStyle w:val="BookText"/>
      </w:pPr>
      <w:r>
        <w:rPr>
          <w:rFonts w:ascii="IRNazanin" w:hAnsi="IRNazanin" w:eastAsia="IRNazanin" w:cs="IRNazanin"/>
          <w:lang w:bidi="fa-IR"/>
          <w:color w:val="111111"/>
          <w:sz w:val="28"/>
          <w:szCs w:val="28"/>
          <w:rtl/>
        </w:rPr>
        <w:t xml:space="preserve">محتملا از همان محمد علی غفاری کاشانی باشد، نسخه ۲۳۹۷ بایزید (۲۶۶/۱ -ف ۴۴۴)؛ بی کا، بی تا [فيلمها ف: ۳-۲۲۰]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525" w:name="pg20363_209839"/>
    <w:bookmarkEnd w:id="525"/>
    <w:p>
      <w:pPr>
        <w:pStyle w:val="Heading3"/>
      </w:pPr>
      <w:bookmarkStart w:id="2480" w:name="_Toc1740"/>
      <w:r>
        <w:t>•تاریخ غوریان / تاریخ / فارسی</w:t>
      </w:r>
      <w:bookmarkEnd w:id="2480"/>
    </w:p>
    <w:p>
      <w:pPr>
        <w:pStyle w:val="BookText"/>
      </w:pPr>
      <w:r>
        <w:rPr>
          <w:rFonts w:ascii="Times New Roman" w:hAnsi="Times New Roman" w:eastAsia="Times New Roman" w:cs="Times New Roman"/>
          <w:lang w:val="en-US" w:bidi="en-US"/>
          <w:color w:val="111111"/>
          <w:sz w:val="28"/>
          <w:szCs w:val="28"/>
          <w:rtl/>
        </w:rPr>
        <w:t xml:space="preserve">tārīx-e qūrīyān</w:t>
      </w:r>
    </w:p>
    <w:p>
      <w:pPr>
        <w:pStyle w:val="BookText"/>
      </w:pPr>
      <w:r>
        <w:rPr>
          <w:rFonts w:ascii="IRNazanin" w:hAnsi="IRNazanin" w:eastAsia="IRNazanin" w:cs="IRNazanin"/>
          <w:lang w:bidi="fa-IR"/>
          <w:color w:val="111111"/>
          <w:sz w:val="28"/>
          <w:szCs w:val="28"/>
          <w:rtl/>
        </w:rPr>
        <w:t xml:space="preserve">قطعه ای است از کتاب تاریخی که در آن وقایع از سال ۵۸۹ تا ۶۱۳ تحریر شده است. در این کتاب تاریخ شاهان غوری از سال ۵۸۹ تا ۶۱۳ با انشایی مسجع و مصنوع و با عبارات پردازی های متکلفانه درج شده و بخش اعظم آن اشعار عربی و فارسی است. مؤلف ابتدا بندهایی در پند و اندرز و نصیحت به سلطان می آورد و پس از آن به ذکر تاریخ می پردازد و در اثنا نیز عبارت هایی در تعریف اسب و مرکب و شمشیر و ... آورده است. فهرست بخش های موجود چنین است: فتح اجمیر کرت دوم در ۵۸۹، فتح تهنگر، ذكر تفویض ایالت تهنگر به امیر معظم بهاء الدوله طغرل، فتح کادیور هند در ۵۹۲، تعریف مسجد جامع دهلی، نهضت مبارک بر سمت قلعه کول و خطه بنارس در ۵۹۰، استخلامی قلعه کول که در ذیل آن آورده: «و چون رایات عاليه - لازلت محفوفة بالنصر و الظفر از حضرت خوارزم اجلها الله در شهور سنه ست مائه مراجعه کردند. لشکر خطا-خذلهم الله و اياديهم جمعیتی کردند و خدایگان اعظم را -اعظم الله قدره و نظم امره از آن طایفه که چون ستارگان آسمان بی نهایت بودند ... روی به ملتان آورد و به وقت رسیدن به امیر داد حسن میر علم بلعجبی آغاز نهاد ...)، بهاء الدين محمد، ابن سنكوان که در حدود ملتان اقطاع داشتند، و رایات دولت از دارالملک غزنه روان شد و امیر حاجب سراج الدين ابوبکر، ذکر تفویض ایالت قلعه کالنجر به هویز الدین حسن ... و عنوان شهنشاهی و صدر تاریخ جهانداری به ذکر آن بهجت و بها یافت هفت خوان و قصه مازندران در طی نسیان آمد ... به پیروزی به دار الملك غزنه روان گشت، نهضت مبارک به طرف قلعه کول و تفویض ایالت ابن موضع به ملک حسام الدين فتح كالنجر، ذکر شکسته شدن چشم عزنی و گرفتار شدن ملک تاج الدین در سنه ۶۱۲ ذکر وفات سلطان السلاطين قطب الدین، ذکر مرتب شدن امراء اطراف در سلک خدمت و مسلم شدن ممالک هند و سند محمد كوفي و شيخ محمد سرزی. نمونه ای از نثر و نظم این رساله چنین است (ص ۸]: «فتح احمیر کرت دوم، و در شهور سنه تسع و ثمانین و خمسمائة بدرگاه همایون که قبله امانی و مقصد آمال است انها کردند که هراج والی احمير رایت ضلال و لواء غوایت بر افراخت و نائره شر که در دل و چشم او روشن بود برافروخت و راه فتنه و فساد که پیوسته بسته داشت بگشاد و اثر عصیان و امارت طغیان پیدا کرد و از غایت خذلان عنان هوا پرستی بدست شیطان داد و سوداء ارتقاء مدارج سروری و معارج بهتری در دماغ گرفت و با مل مكذوب که حجاب تاریکی عقل او بود مغرور گشت، شعر: ويل لمغرور عصاک فانه *** متعرض لمخالب الضرغام. نظم: چنان غرور دهد دشمن ترا گردون ***که ماه تاب بگیرد بنرخ پیرهنی / کسی که پیرهن کین تو فروپوشد *** جهان چه گوید بدو زهی کفنی. وجیهی که روی لشکر وی است سپاه او بود شتابان بحدود دهلی آمد.»</w:t>
      </w:r>
    </w:p>
    <w:p>
      <w:pPr>
        <w:pStyle w:val="BookText"/>
      </w:pPr>
      <w:r>
        <w:rPr>
          <w:rFonts w:ascii="IRNazanin" w:hAnsi="IRNazanin" w:eastAsia="IRNazanin" w:cs="IRNazanin"/>
          <w:lang w:bidi="fa-IR"/>
          <w:color w:val="111111"/>
          <w:sz w:val="28"/>
          <w:szCs w:val="28"/>
          <w:rtl/>
        </w:rPr>
        <w:t xml:space="preserve">قم، گلپایگانی؛ شماره نسخه:۷۶۹۸- ۵۲/۳۸</w:t>
      </w:r>
    </w:p>
    <w:p>
      <w:pPr>
        <w:pStyle w:val="BookText"/>
      </w:pPr>
      <w:r>
        <w:rPr>
          <w:rFonts w:ascii="IRNazanin" w:hAnsi="IRNazanin" w:eastAsia="IRNazanin" w:cs="IRNazanin"/>
          <w:lang w:bidi="fa-IR"/>
          <w:color w:val="111111"/>
          <w:sz w:val="28"/>
          <w:szCs w:val="28"/>
          <w:rtl/>
        </w:rPr>
        <w:t xml:space="preserve">آغاز: ملازمت این خصال مرضى اصلی معتبر شناسد و لطايف تنوق و دقایق تامل بر وجه استقصاء بجای آرد خط: نسخ، بی کا، بی تا؛ افتادگی: آغاز و انجام؛ ۹۸گ، ۲۳ سطر،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۲-۶۹۹]</w:t>
      </w:r>
    </w:p>
    <w:p>
      <w:pPr>
        <w:pStyle w:val="Heading3"/>
      </w:pPr>
      <w:bookmarkStart w:id="2481" w:name="_Toc1741"/>
      <w:r>
        <w:t>• التاریخ الغیاثی / تاریخ / عربی</w:t>
      </w:r>
      <w:bookmarkEnd w:id="2481"/>
    </w:p>
    <w:p>
      <w:pPr>
        <w:pStyle w:val="BookText"/>
      </w:pPr>
      <w:r>
        <w:rPr>
          <w:rFonts w:ascii="Times New Roman" w:hAnsi="Times New Roman" w:eastAsia="Times New Roman" w:cs="Times New Roman"/>
          <w:lang w:val="en-US" w:bidi="en-US"/>
          <w:color w:val="111111"/>
          <w:sz w:val="28"/>
          <w:szCs w:val="28"/>
          <w:rtl/>
        </w:rPr>
        <w:t xml:space="preserve">tārīx-ul ġīyātī</w:t>
      </w:r>
    </w:p>
    <w:p>
      <w:pPr>
        <w:pStyle w:val="BookText"/>
      </w:pPr>
      <w:r>
        <w:rPr>
          <w:rFonts w:ascii="IRNazanin" w:hAnsi="IRNazanin" w:eastAsia="IRNazanin" w:cs="IRNazanin"/>
          <w:lang w:bidi="fa-IR"/>
          <w:color w:val="111111"/>
          <w:sz w:val="28"/>
          <w:szCs w:val="28"/>
          <w:rtl/>
        </w:rPr>
        <w:t xml:space="preserve">کاتب بغدادی، عبدالله بن فتح الله، ق۹ قمری</w:t>
      </w:r>
    </w:p>
    <w:p>
      <w:pPr>
        <w:pStyle w:val="BookText"/>
      </w:pPr>
      <w:r>
        <w:rPr>
          <w:rFonts w:ascii="Times New Roman" w:hAnsi="Times New Roman" w:eastAsia="Times New Roman" w:cs="Times New Roman"/>
          <w:lang w:val="en-US" w:bidi="en-US"/>
          <w:color w:val="111111"/>
          <w:sz w:val="28"/>
          <w:szCs w:val="28"/>
          <w:rtl/>
        </w:rPr>
        <w:t xml:space="preserve">kāteb-e baqdādī, 'abd-ol-lāh ebn-e fath-ol-lāh (-15c)</w:t>
      </w:r>
    </w:p>
    <w:p>
      <w:pPr>
        <w:pStyle w:val="BookText"/>
      </w:pPr>
      <w:r>
        <w:rPr>
          <w:rFonts w:ascii="IRNazanin" w:hAnsi="IRNazanin" w:eastAsia="IRNazanin" w:cs="IRNazanin"/>
          <w:lang w:bidi="fa-IR"/>
          <w:color w:val="111111"/>
          <w:sz w:val="28"/>
          <w:szCs w:val="28"/>
          <w:rtl/>
        </w:rPr>
        <w:t xml:space="preserve">تاريخ تأليف: پنج شنبه ۱۵ ذیحجه ۸۸۳ق</w:t>
      </w:r>
    </w:p>
    <w:p>
      <w:pPr>
        <w:pStyle w:val="BookText"/>
      </w:pPr>
      <w:r>
        <w:rPr>
          <w:rFonts w:ascii="IRNazanin" w:hAnsi="IRNazanin" w:eastAsia="IRNazanin" w:cs="IRNazanin"/>
          <w:lang w:bidi="fa-IR"/>
          <w:color w:val="111111"/>
          <w:sz w:val="28"/>
          <w:szCs w:val="28"/>
          <w:rtl/>
        </w:rPr>
        <w:t xml:space="preserve">او در این کتاب از تاریخ عراق از زمان سقوطش توسط مغولان تا زمان مؤلف سخن گفته و بیشتر از هر کتاب دیگر از خاندان قرافوينلو سخن داشته است او چنانکه خود می گوید از نظام التواریخ بیضاوی وتاریخ ابی الفدا بهره برد وبیشتر مدرک های  او برای زمان های بعدی روایت ها و اوراق و حواشی بوده که به او رسیده است. این کتاب در دست قاضی نورالله بوده و در مجالس المؤمین در سرگذشت سید محمد مشعشی (جند ۱۶ مجلسی ۸) و جاهای دیگر از آن یاد کرده است. این کتاب در یک «مقدمه» و شش «فصل» است. کتاب با ذکر انبیاء و اولیاء آغاز می شود و پس از آن از ملوک فارس سخن می گوید. فصل سوم آن به ذکر خلفاء اختصاص دارد که در چهار طبقه» مرتب شده است و پس از آن از خلفاء بنی عباس در ایران و اخبار ترک سخن گفته می شود. آغاز: البسملة ... الحمدلله الباقي بعد فناء خلقه الدائم فلا فناء ولا زوال لملكه، و الصلاة على سيدنا محمد خير خلقه و آله و عترته أجمعين. و بعد: يقول كاتب هذه الأوراق أحوج الخلق إلى الخلاق عبدالله بن فتح الله البغدادي الملقب بالغياث، عفا الله عنهما: أن من كثرة الفتن و تواتر المحن التي جرت بأرض العراق، لم يضبط أحد تواريخها من دور الشيخ حسن الى يومنا هذا، أولا: من عدم أهل هذا العلم و و من ينظر فيه. و ثانيا: أن أكثرها تواریخ ظلم و عدوان ترکها خير من ذكرها، لأن هذا الدور الذي نحن فيه يسمى دور الإدبار، و قد ابتدأ من حدود سنة ۶۱۶ قریب تاریخ انقراض دولة العرب و ابتداء دولة الترك. و مقدار مدته ۶۴۰ سنة، و يجي شرحه في موضع آخر ... فخطر لی أن أكتب هذه الأوراق ببعض ما جرى في زماننا بأرض العراق، و أضم إليه بعض أخبار الزمان الماضي على سبيل الإختصار. فما كان من زمان آدم عليه السلام إلى أيام السلطان أبی سعید، ملتقط من كتاب نظام التواريخ للقاضي ناصر الدين عمر البيضاوی، و غيره. و ما كان من زمان الشيخ حسن الى يومنا هذا، و لم أنقله من کتاب، بل أنقله من أوراق و حواشی، و أكثره من ألسن الراوین،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526" w:name="pg20363_209840"/>
    <w:bookmarkEnd w:id="526"/>
    <w:p>
      <w:pPr>
        <w:pStyle w:val="BookText"/>
      </w:pPr>
      <w:r>
        <w:rPr>
          <w:rFonts w:ascii="IRNazanin" w:hAnsi="IRNazanin" w:eastAsia="IRNazanin" w:cs="IRNazanin"/>
          <w:lang w:bidi="fa-IR"/>
          <w:color w:val="111111"/>
          <w:sz w:val="28"/>
          <w:szCs w:val="28"/>
          <w:rtl/>
        </w:rPr>
        <w:t xml:space="preserve">و بعض ما جرى في زماننا و کتابه عالمون. فكتبت ذلک و حويته في هذه الأوراق ... و جعلته على مقدمة وست فصول، و سميته بالتاریخ الغیاثی</w:t>
      </w:r>
    </w:p>
    <w:p>
      <w:pPr>
        <w:pStyle w:val="BookText"/>
      </w:pPr>
      <w:r>
        <w:rPr>
          <w:rFonts w:ascii="IRNazanin" w:hAnsi="IRNazanin" w:eastAsia="IRNazanin" w:cs="IRNazanin"/>
          <w:lang w:bidi="fa-IR"/>
          <w:color w:val="111111"/>
          <w:sz w:val="28"/>
          <w:szCs w:val="28"/>
          <w:rtl/>
        </w:rPr>
        <w:t xml:space="preserve">[دنا ۷۲۵/۲ ؛ الذريعه ۲۷۱/۳ ؛ تاریخی علم الفلك في العراق از عباس غزاوي چاپ ۱۳۷۸ بغداد صفحه ۱۱۸؛ از التعريف بالمورخین ۲۴۹/۱ -۲۵۱؛ ف فهرست گور گیس عواد ۴۹؛ مجله سومر ۲۲۰/۶ ؛ مجمع علمی عراقی ۲۴۵/۱ ]</w:t>
      </w:r>
    </w:p>
    <w:p>
      <w:pPr>
        <w:pStyle w:val="BookText"/>
      </w:pPr>
      <w:r>
        <w:rPr>
          <w:rFonts w:ascii="IRNazanin" w:hAnsi="IRNazanin" w:eastAsia="IRNazanin" w:cs="IRNazanin"/>
          <w:lang w:bidi="fa-IR"/>
          <w:color w:val="111111"/>
          <w:sz w:val="28"/>
          <w:szCs w:val="28"/>
          <w:rtl/>
        </w:rPr>
        <w:t xml:space="preserve">۱. تهران؛ ادبیات؛ شماره نسخه:۱۳۴ -ج</w:t>
      </w:r>
    </w:p>
    <w:p>
      <w:pPr>
        <w:pStyle w:val="BookText"/>
      </w:pPr>
      <w:r>
        <w:rPr>
          <w:rFonts w:ascii="IRNazanin" w:hAnsi="IRNazanin" w:eastAsia="IRNazanin" w:cs="IRNazanin"/>
          <w:lang w:bidi="fa-IR"/>
          <w:color w:val="111111"/>
          <w:sz w:val="28"/>
          <w:szCs w:val="28"/>
          <w:rtl/>
        </w:rPr>
        <w:t xml:space="preserve">آغاز: بسمله و به نستعين الحمدلله الباقي بعد فناء خلقه ... و بعد يقول .. عبدالله بن فتح الله البغدادي الملقب بالغياث ... و سمية بالتاريخ الغياثی؛ انجام: عزل کلابی و خرج خط: نسخ، بی کا، تا: قرن ۱۴؛ از روی نسخه کتابخانه عمومی بغداد که به دستور عباس عزاوی برای عباس اقبال نوشته شده؛ تملک: عباس اقبال: ۱۴ شهریور ۱۳۲۵؛ کاغذ: فرنگی، جلد: مقوا، ۲۲۶، ۱۹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۱-۷۳]</w:t>
      </w:r>
    </w:p>
    <w:p>
      <w:pPr>
        <w:pStyle w:val="BookText"/>
      </w:pPr>
      <w:r>
        <w:rPr>
          <w:rFonts w:ascii="IRNazanin" w:hAnsi="IRNazanin" w:eastAsia="IRNazanin" w:cs="IRNazanin"/>
          <w:lang w:bidi="fa-IR"/>
          <w:color w:val="111111"/>
          <w:sz w:val="28"/>
          <w:szCs w:val="28"/>
          <w:rtl/>
        </w:rPr>
        <w:t xml:space="preserve">۲. تهران؛ دانشگاه؛ شماره نسخه: ۲۶۶۲ف</w:t>
      </w:r>
    </w:p>
    <w:p>
      <w:pPr>
        <w:pStyle w:val="BookText"/>
      </w:pPr>
      <w:r>
        <w:rPr>
          <w:rFonts w:ascii="IRNazanin" w:hAnsi="IRNazanin" w:eastAsia="IRNazanin" w:cs="IRNazanin"/>
          <w:lang w:bidi="fa-IR"/>
          <w:color w:val="111111"/>
          <w:sz w:val="28"/>
          <w:szCs w:val="28"/>
          <w:rtl/>
        </w:rPr>
        <w:t xml:space="preserve">نسخه اصل: متحف عراقی بغداد؛ بی کا، بی تا؛ ۸۸گ [فيلمها ف: ۲۹۴-۱ ]</w:t>
      </w:r>
    </w:p>
    <w:p>
      <w:pPr>
        <w:pStyle w:val="Heading3"/>
      </w:pPr>
      <w:bookmarkStart w:id="2482" w:name="_Toc1742"/>
      <w:r>
        <w:t>•تاریخ غیبت حضرت حجة(عجل الله تعالی علیه)/ تاریخ معصومین / فارسی</w:t>
      </w:r>
      <w:bookmarkEnd w:id="2482"/>
    </w:p>
    <w:p>
      <w:pPr>
        <w:pStyle w:val="BookText"/>
      </w:pPr>
      <w:r>
        <w:rPr>
          <w:rFonts w:ascii="Times New Roman" w:hAnsi="Times New Roman" w:eastAsia="Times New Roman" w:cs="Times New Roman"/>
          <w:lang w:val="en-US" w:bidi="en-US"/>
          <w:color w:val="111111"/>
          <w:sz w:val="28"/>
          <w:szCs w:val="28"/>
          <w:rtl/>
        </w:rPr>
        <w:t xml:space="preserve">tārīx-e qeybat-e hazrat-e hojjat</w:t>
      </w:r>
    </w:p>
    <w:p>
      <w:pPr>
        <w:pStyle w:val="BookText"/>
      </w:pPr>
      <w:r>
        <w:rPr>
          <w:rFonts w:ascii="IRNazanin" w:hAnsi="IRNazanin" w:eastAsia="IRNazanin" w:cs="IRNazanin"/>
          <w:lang w:bidi="fa-IR"/>
          <w:color w:val="111111"/>
          <w:sz w:val="28"/>
          <w:szCs w:val="28"/>
          <w:rtl/>
        </w:rPr>
        <w:t xml:space="preserve">سپهر، عبدالحسین، ۱۲۵۰-۱۳۱۲ شمسی</w:t>
      </w:r>
    </w:p>
    <w:p>
      <w:pPr>
        <w:pStyle w:val="BookText"/>
      </w:pPr>
      <w:r>
        <w:rPr>
          <w:rFonts w:ascii="Times New Roman" w:hAnsi="Times New Roman" w:eastAsia="Times New Roman" w:cs="Times New Roman"/>
          <w:lang w:val="en-US" w:bidi="en-US"/>
          <w:color w:val="111111"/>
          <w:sz w:val="28"/>
          <w:szCs w:val="28"/>
          <w:rtl/>
        </w:rPr>
        <w:t xml:space="preserve">sepehr, abd-ol-hoseyn (1871-1933)</w:t>
      </w:r>
    </w:p>
    <w:p>
      <w:pPr>
        <w:pStyle w:val="BookText"/>
      </w:pPr>
      <w:r>
        <w:rPr>
          <w:rFonts w:ascii="IRNazanin" w:hAnsi="IRNazanin" w:eastAsia="IRNazanin" w:cs="IRNazanin"/>
          <w:lang w:bidi="fa-IR"/>
          <w:color w:val="111111"/>
          <w:sz w:val="28"/>
          <w:szCs w:val="28"/>
          <w:rtl/>
        </w:rPr>
        <w:t xml:space="preserve">اهداء به: مظفرالدین شاه قاجار تاریخ تألیف: ۱۳۲۰ق تاریخ احوالات و ذکر کنیه و القاب و فهرستی جامع از نام نیاکان حضرت حجة(عجل الله تعالی علیه)است که عبدالحسین لسان السلطنة پیشخدمت همایونی و نایب اول وزارت خارجه از کتاب تاریخ ناسخ التواریخ استفاده و جمع آوری و تصنیف نموده است.</w:t>
      </w:r>
    </w:p>
    <w:p>
      <w:pPr>
        <w:pStyle w:val="BookText"/>
      </w:pPr>
      <w:r>
        <w:rPr>
          <w:rFonts w:ascii="IRNazanin" w:hAnsi="IRNazanin" w:eastAsia="IRNazanin" w:cs="IRNazanin"/>
          <w:lang w:bidi="fa-IR"/>
          <w:color w:val="111111"/>
          <w:sz w:val="28"/>
          <w:szCs w:val="28"/>
          <w:rtl/>
        </w:rPr>
        <w:t xml:space="preserve">۱. تهران؛ سلطنتی؛ شماره نسخه:۹۲۶</w:t>
      </w:r>
    </w:p>
    <w:p>
      <w:pPr>
        <w:pStyle w:val="BookText"/>
      </w:pPr>
      <w:r>
        <w:rPr>
          <w:rFonts w:ascii="IRNazanin" w:hAnsi="IRNazanin" w:eastAsia="IRNazanin" w:cs="IRNazanin"/>
          <w:lang w:bidi="fa-IR"/>
          <w:color w:val="111111"/>
          <w:sz w:val="28"/>
          <w:szCs w:val="28"/>
          <w:rtl/>
        </w:rPr>
        <w:t xml:space="preserve">آغاز: دیباچه آخرین کتاب از مجلدات ناسخ التواریخ در احوال امام عصر عجل الله تعالی فرجه. بسمله الحمدلله الذي تفرد في وحدانيته و توحد في صمدانيته لا تناله ظنون الفضلاء و لا تدرکه عيون العلماء ... چون فرمانش مرا وی آسمانی و امر و نهی یزدانیست خیل خوابم برمید ... نام مبارک و نام پدران بزرگوار امام دوازدهم عليهم السلام؛ انجام: شرح حال صفی بن ریاح از قبیله بنی اسد است دویست و هفتاد سال در این سرای زوال بماند ... قد تم هذا الجلد الأول من مجلدات ناسخ التواريخ في يوم الحادي و العشرون من شهر رجب المرجب بیدالاحقر شیخ محمد نجفی ۱۳۲۰. خط: نسخ، كا: شیخ محمد نجفی، تا: ۲۱ رجب ۱۳۲۰ق؛ کاغذ: فرنگی فلفل نمکی، جلد: مقوای روکش مخمل نیلی رنگ، ۳۸۱ص، ۱۵ 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۵-۳۰۶]</w:t>
      </w:r>
    </w:p>
    <w:p>
      <w:pPr>
        <w:pStyle w:val="BookText"/>
      </w:pPr>
      <w:r>
        <w:rPr>
          <w:rFonts w:ascii="IRNazanin" w:hAnsi="IRNazanin" w:eastAsia="IRNazanin" w:cs="IRNazanin"/>
          <w:lang w:bidi="fa-IR"/>
          <w:color w:val="111111"/>
          <w:sz w:val="28"/>
          <w:szCs w:val="28"/>
          <w:rtl/>
        </w:rPr>
        <w:t xml:space="preserve">۲. تهران؛ سلطنتی؛ شماره نسخه:۹۲۵</w:t>
      </w:r>
    </w:p>
    <w:p>
      <w:pPr>
        <w:pStyle w:val="BookText"/>
      </w:pPr>
      <w:r>
        <w:rPr>
          <w:rFonts w:ascii="IRNazanin" w:hAnsi="IRNazanin" w:eastAsia="IRNazanin" w:cs="IRNazanin"/>
          <w:lang w:bidi="fa-IR"/>
          <w:color w:val="111111"/>
          <w:sz w:val="28"/>
          <w:szCs w:val="28"/>
          <w:rtl/>
        </w:rPr>
        <w:t xml:space="preserve">آغاز: فهرست جلد اول و دوم کتاب غیبت نام مبارک و نام پدران كنية و القاب آنحضرت از روی اختصار عنوانات آنحضرت سال ولادت نام مادر آنحضرت کیفیت خریداری نرجس خواتون؛ انجام: ناگاه عیسی با زبانی گویا فرمود منم بنده ای از بندگان یزدانی که کتاب آسمانی بر من نازل شد و رتبت رسالتم بخشید و در هرجا که باشم مبارکه و سعادتم خواست. تمام شد کتاب غیبت از کتب آخر ناسخ التواريخ بيد احقر العباد محمد حسن الگلپایگانی سنه ۱۳۲۱ جلد دوم، از تاریخ غیبت حضرت حجة (عجل الله تعالی علیه) است به شرح نسخه شماره دفتر ۹۲۶؛ خط: نسخ، كا: محمد حسن گلپایگانی، تا: ۱۳۲۱ق، کاغذ: فلفل نمکی فرنگی، جلد: مقوای روکش مخمل منقش گل، ۳۷۹، ۱۵ 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۵-۳۰۸]</w:t>
      </w:r>
    </w:p>
    <w:p>
      <w:pPr>
        <w:pStyle w:val="Heading3"/>
      </w:pPr>
      <w:bookmarkStart w:id="2483" w:name="_Toc1743"/>
      <w:r>
        <w:t>•تاریخ فارسی / تاریخ ایران / فارسی</w:t>
      </w:r>
      <w:bookmarkEnd w:id="2483"/>
    </w:p>
    <w:p>
      <w:pPr>
        <w:pStyle w:val="BookText"/>
      </w:pPr>
      <w:r>
        <w:rPr>
          <w:rFonts w:ascii="Times New Roman" w:hAnsi="Times New Roman" w:eastAsia="Times New Roman" w:cs="Times New Roman"/>
          <w:lang w:val="en-US" w:bidi="en-US"/>
          <w:color w:val="111111"/>
          <w:sz w:val="28"/>
          <w:szCs w:val="28"/>
          <w:rtl/>
        </w:rPr>
        <w:t xml:space="preserve">tārīx-e fārsī</w:t>
      </w:r>
    </w:p>
    <w:p>
      <w:pPr>
        <w:pStyle w:val="BookText"/>
      </w:pPr>
      <w:r>
        <w:rPr>
          <w:rFonts w:ascii="IRNazanin" w:hAnsi="IRNazanin" w:eastAsia="IRNazanin" w:cs="IRNazanin"/>
          <w:lang w:bidi="fa-IR"/>
          <w:color w:val="111111"/>
          <w:sz w:val="28"/>
          <w:szCs w:val="28"/>
          <w:rtl/>
        </w:rPr>
        <w:t xml:space="preserve">برگ های پراکنده است از کتابی در تاریخ عمومی قبل و بعد از اسلام، بسیار مختصر و مفید و گویا از تألیفات قرن هشتم و قطعه ای از آن مربوط به قزوین می باشد، ترجمه از کتابی است که مؤلف آن قزوینی است.</w:t>
      </w:r>
    </w:p>
    <w:p>
      <w:pPr>
        <w:pStyle w:val="BookText"/>
      </w:pPr>
      <w:r>
        <w:rPr>
          <w:rFonts w:ascii="IRNazanin" w:hAnsi="IRNazanin" w:eastAsia="IRNazanin" w:cs="IRNazanin"/>
          <w:lang w:bidi="fa-IR"/>
          <w:color w:val="111111"/>
          <w:sz w:val="28"/>
          <w:szCs w:val="28"/>
          <w:rtl/>
        </w:rPr>
        <w:t xml:space="preserve">قم؛ مرعشی؛ شماره نسخه:۵۵۴۵</w:t>
      </w:r>
    </w:p>
    <w:p>
      <w:pPr>
        <w:pStyle w:val="BookText"/>
      </w:pPr>
      <w:r>
        <w:rPr>
          <w:rFonts w:ascii="IRNazanin" w:hAnsi="IRNazanin" w:eastAsia="IRNazanin" w:cs="IRNazanin"/>
          <w:lang w:bidi="fa-IR"/>
          <w:color w:val="111111"/>
          <w:sz w:val="28"/>
          <w:szCs w:val="28"/>
          <w:rtl/>
        </w:rPr>
        <w:t xml:space="preserve">آغاز: اقبال که در آن اوقات بمنصه ظهور رسید آن بود که چون احمد بیک کرابینا؛ انجام: در فلان روز جنگ سلطانی انداخته از رخنهائی که بضرب توب در چند برج پدید آمده یورش ... خط: نستعلیق، بی کا، تا: قرن ۱۲؛ افتادگی: آغاز و انجام؛ مجدول؛ جلد: مقوایی عطف تیماج قهوه ای، ۲۵۰گ، ۲۳ سطر، اندازه: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۱۴-۳۰۸]</w:t>
      </w:r>
    </w:p>
    <w:p>
      <w:pPr>
        <w:pStyle w:val="Heading3"/>
      </w:pPr>
      <w:bookmarkStart w:id="2484" w:name="_Toc1744"/>
      <w:r>
        <w:t>•تاریخ فارسیان و نوروز و مهرگان / تاریخ ایران / فارسی</w:t>
      </w:r>
      <w:bookmarkEnd w:id="2484"/>
    </w:p>
    <w:p>
      <w:pPr>
        <w:pStyle w:val="BookText"/>
      </w:pPr>
      <w:r>
        <w:rPr>
          <w:rFonts w:ascii="Times New Roman" w:hAnsi="Times New Roman" w:eastAsia="Times New Roman" w:cs="Times New Roman"/>
          <w:lang w:val="en-US" w:bidi="en-US"/>
          <w:color w:val="111111"/>
          <w:sz w:val="28"/>
          <w:szCs w:val="28"/>
          <w:rtl/>
        </w:rPr>
        <w:t xml:space="preserve">tārīx-e fārsīyān va nowrūz va mehrgān</w:t>
      </w:r>
    </w:p>
    <w:p>
      <w:pPr>
        <w:pStyle w:val="BookText"/>
      </w:pPr>
      <w:r>
        <w:rPr>
          <w:rFonts w:ascii="IRNazanin" w:hAnsi="IRNazanin" w:eastAsia="IRNazanin" w:cs="IRNazanin"/>
          <w:lang w:bidi="fa-IR"/>
          <w:color w:val="111111"/>
          <w:sz w:val="28"/>
          <w:szCs w:val="28"/>
          <w:rtl/>
        </w:rPr>
        <w:t xml:space="preserve">بیدل بن داراب پسر رستم</w:t>
      </w:r>
    </w:p>
    <w:p>
      <w:pPr>
        <w:pStyle w:val="BookText"/>
      </w:pPr>
      <w:r>
        <w:rPr>
          <w:rFonts w:ascii="Times New Roman" w:hAnsi="Times New Roman" w:eastAsia="Times New Roman" w:cs="Times New Roman"/>
          <w:lang w:val="en-US" w:bidi="en-US"/>
          <w:color w:val="111111"/>
          <w:sz w:val="28"/>
          <w:szCs w:val="28"/>
          <w:rtl/>
        </w:rPr>
        <w:t xml:space="preserve">bīdel ebn-e dārāb pesar-e rostam</w:t>
      </w:r>
    </w:p>
    <w:p>
      <w:pPr>
        <w:pStyle w:val="BookText"/>
      </w:pPr>
      <w:r>
        <w:rPr>
          <w:rFonts w:ascii="IRNazanin" w:hAnsi="IRNazanin" w:eastAsia="IRNazanin" w:cs="IRNazanin"/>
          <w:lang w:bidi="fa-IR"/>
          <w:color w:val="111111"/>
          <w:sz w:val="28"/>
          <w:szCs w:val="28"/>
          <w:rtl/>
        </w:rPr>
        <w:t xml:space="preserve">از پهلوی و فارسی</w:t>
      </w:r>
    </w:p>
    <w:p>
      <w:pPr>
        <w:pStyle w:val="BookText"/>
      </w:pPr>
      <w:r>
        <w:rPr>
          <w:rFonts w:ascii="IRNazanin" w:hAnsi="IRNazanin" w:eastAsia="IRNazanin" w:cs="IRNazanin"/>
          <w:lang w:bidi="fa-IR"/>
          <w:color w:val="111111"/>
          <w:sz w:val="28"/>
          <w:szCs w:val="28"/>
          <w:rtl/>
        </w:rPr>
        <w:t xml:space="preserve">تهران؛ دانشگاه؛ شماره نسخه: ۱۲۹۱/۸ -ف</w:t>
      </w:r>
    </w:p>
    <w:p>
      <w:pPr>
        <w:pStyle w:val="BookText"/>
      </w:pPr>
      <w:r>
        <w:rPr>
          <w:rFonts w:ascii="IRNazanin" w:hAnsi="IRNazanin" w:eastAsia="IRNazanin" w:cs="IRNazanin"/>
          <w:lang w:bidi="fa-IR"/>
          <w:color w:val="111111"/>
          <w:sz w:val="28"/>
          <w:szCs w:val="28"/>
          <w:rtl/>
        </w:rPr>
        <w:t xml:space="preserve">نسخه اصل: موزه بریتانیا ش</w:t>
      </w:r>
    </w:p>
    <w:p>
      <w:pPr>
        <w:pStyle w:val="BookText"/>
      </w:pPr>
      <w:r>
        <w:rPr>
          <w:rFonts w:ascii="Times New Roman" w:hAnsi="Times New Roman" w:eastAsia="Times New Roman" w:cs="Times New Roman"/>
          <w:lang w:val="en-US" w:bidi="en-US"/>
          <w:color w:val="111111"/>
          <w:sz w:val="28"/>
          <w:szCs w:val="28"/>
          <w:rtl/>
        </w:rPr>
        <w:t xml:space="preserve">24413 .Add</w:t>
      </w:r>
      <w:r>
        <w:rPr>
          <w:rFonts w:ascii="IRNazanin" w:hAnsi="IRNazanin" w:eastAsia="IRNazanin" w:cs="IRNazanin"/>
          <w:lang w:bidi="fa-IR"/>
          <w:color w:val="111111"/>
          <w:sz w:val="28"/>
          <w:szCs w:val="28"/>
          <w:rtl/>
        </w:rPr>
        <w:t xml:space="preserve">؛ خط: نستعلیق و شکسته، بی کا، بی تا [فيلمها ف: ۱-۵۹۰]</w:t>
      </w:r>
    </w:p>
    <w:p>
      <w:pPr>
        <w:pStyle w:val="Heading3"/>
      </w:pPr>
      <w:bookmarkStart w:id="2485" w:name="_Toc1745"/>
      <w:r>
        <w:t>•تاریخ فال انبیاء / متفرقه / فارسی</w:t>
      </w:r>
      <w:bookmarkEnd w:id="2485"/>
    </w:p>
    <w:p>
      <w:pPr>
        <w:pStyle w:val="BookText"/>
      </w:pPr>
      <w:r>
        <w:rPr>
          <w:rFonts w:ascii="Times New Roman" w:hAnsi="Times New Roman" w:eastAsia="Times New Roman" w:cs="Times New Roman"/>
          <w:lang w:val="en-US" w:bidi="en-US"/>
          <w:color w:val="111111"/>
          <w:sz w:val="28"/>
          <w:szCs w:val="28"/>
          <w:rtl/>
        </w:rPr>
        <w:t xml:space="preserve">tārīx-e fāl-e anbīyā'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527" w:name="pg20363_209841"/>
    <w:bookmarkEnd w:id="527"/>
    <w:p>
      <w:pPr>
        <w:pStyle w:val="BookText"/>
      </w:pPr>
      <w:r>
        <w:rPr>
          <w:rFonts w:ascii="IRNazanin" w:hAnsi="IRNazanin" w:eastAsia="IRNazanin" w:cs="IRNazanin"/>
          <w:lang w:bidi="fa-IR"/>
          <w:color w:val="111111"/>
          <w:sz w:val="28"/>
          <w:szCs w:val="28"/>
          <w:rtl/>
        </w:rPr>
        <w:t xml:space="preserve">تهران؛ دانشگاه؛ شماره نسخه: ۱۱۵۰/۴ ف</w:t>
      </w:r>
    </w:p>
    <w:p>
      <w:pPr>
        <w:pStyle w:val="BookText"/>
      </w:pPr>
      <w:r>
        <w:rPr>
          <w:rFonts w:ascii="IRNazanin" w:hAnsi="IRNazanin" w:eastAsia="IRNazanin" w:cs="IRNazanin"/>
          <w:lang w:bidi="fa-IR"/>
          <w:color w:val="111111"/>
          <w:sz w:val="28"/>
          <w:szCs w:val="28"/>
          <w:rtl/>
        </w:rPr>
        <w:t xml:space="preserve">نسخه اصل: بادلیان ۲۸۲۷ وینفیلد ۸؛ خط: نستعلیق، بی کا، تا: ۱۰۱۲ق، جا: لاهور [فيلمها ف: ۱- ۵۷۱]</w:t>
      </w:r>
    </w:p>
    <w:p>
      <w:pPr>
        <w:pStyle w:val="Heading3"/>
      </w:pPr>
      <w:bookmarkStart w:id="2486" w:name="_Toc1746"/>
      <w:r>
        <w:t>•تاریخ فتح انگروس / تاریخ / ترکی</w:t>
      </w:r>
      <w:bookmarkEnd w:id="2486"/>
    </w:p>
    <w:p>
      <w:pPr>
        <w:pStyle w:val="BookText"/>
      </w:pPr>
      <w:r>
        <w:rPr>
          <w:rFonts w:ascii="Times New Roman" w:hAnsi="Times New Roman" w:eastAsia="Times New Roman" w:cs="Times New Roman"/>
          <w:lang w:val="en-US" w:bidi="en-US"/>
          <w:color w:val="111111"/>
          <w:sz w:val="28"/>
          <w:szCs w:val="28"/>
          <w:rtl/>
        </w:rPr>
        <w:t xml:space="preserve">tārīx-e fath-e angerūs</w:t>
      </w:r>
    </w:p>
    <w:p>
      <w:pPr>
        <w:pStyle w:val="BookText"/>
      </w:pPr>
      <w:r>
        <w:rPr>
          <w:rFonts w:ascii="IRNazanin" w:hAnsi="IRNazanin" w:eastAsia="IRNazanin" w:cs="IRNazanin"/>
          <w:lang w:bidi="fa-IR"/>
          <w:color w:val="111111"/>
          <w:sz w:val="28"/>
          <w:szCs w:val="28"/>
          <w:rtl/>
        </w:rPr>
        <w:t xml:space="preserve">تاریخ تأليف: گویا ۱۰۰۵ق از عندلیب؟ در بیان فتوحات سلطان محمد ثالث بن سلطان مراد سلطان (۱۰۱۲-۱۰۰۳ ق) است و شرح جریان فتح انگروس مجارستان فعلی به دست سلطان محمد ثالث مشهور به فاتح اگری در این کتاب آمده است. مؤلف در یکی از ابیات، تخلص خود را عندلیبی ذکر کرده است. شرح حال مؤلف به دست نیامد. این کتاب فاقد ابواب و عناوین است و تنها در برگی ۲ عنوان «مجلس ثانی» دیده می شود. نسخه اصلی این کتاب در کتابخانه حالت افندی بوده و اکنون در کتابخانه سلیمانیه نگهداری می شود. در ترجمه فهرست کتابخانه ملی وین (ج 1 ردیف ۹۵۵) کتابی به عنوان «نامه فتوحات ممالک آنگروس» از مؤلفی ناشناخته، تأليف اوایل ربيع الاول ۹۳۶ معرفی شده و در توصیف کتاب ذکر شده است: «این کتاب گزارشاتی مبنی بر فتح مجارستان می باشد که در دو قسمت جدا از هم، یعنی فتح بلگراد و فتح ممالک مجارستان و توابع آن نگاشته شده که نویسنده و زمان تأليف هر قسمت جدا بوده، به طوری که قسمت اول در تاریخ اول ربیع الاول ۹۳۶ و قسمت دوم در اواخر ذی قعده ۹۳۲ نوشته شده است». (حافظیان) فهرست نسخه های خطی تاریخ و جغرافی در کتابخانه های استانبول ۱۳۰ - ۱۳۱؛ لغات تاریخی و جغرافیه، احمد رفعت افندی ۲۸۲/۱ ؛[ میراث شهاب س ۱۲ش ۳و ۱۲۷۴]</w:t>
      </w:r>
    </w:p>
    <w:p>
      <w:pPr>
        <w:pStyle w:val="BookText"/>
      </w:pPr>
      <w:r>
        <w:rPr>
          <w:rFonts w:ascii="IRNazanin" w:hAnsi="IRNazanin" w:eastAsia="IRNazanin" w:cs="IRNazanin"/>
          <w:lang w:bidi="fa-IR"/>
          <w:color w:val="111111"/>
          <w:sz w:val="28"/>
          <w:szCs w:val="28"/>
          <w:rtl/>
        </w:rPr>
        <w:t xml:space="preserve">قم؛ مرعشی؛ شماره نسخه:۱۳۴۸ عکسی</w:t>
      </w:r>
    </w:p>
    <w:p>
      <w:pPr>
        <w:pStyle w:val="BookText"/>
      </w:pPr>
      <w:r>
        <w:rPr>
          <w:rFonts w:ascii="IRNazanin" w:hAnsi="IRNazanin" w:eastAsia="IRNazanin" w:cs="IRNazanin"/>
          <w:lang w:bidi="fa-IR"/>
          <w:color w:val="111111"/>
          <w:sz w:val="28"/>
          <w:szCs w:val="28"/>
          <w:rtl/>
        </w:rPr>
        <w:t xml:space="preserve">آغاز: بسمله. ان الله اشتري من المؤمنين أنفسهم آیات بیناتندن مراد و جاهدوا في سبيل الله حق جهاده ایتنی مجاهدین غزا پیشه و خديوان هدایت اندیشه یه اعلان و اعلام؛ انجام: عالم بربرینه کیروب ذخیره دن جمله عسکر زحیر زحمتنه کرفتار اولوب، تمت. نسخه اصل: کتابخانه حالت افندی، نسخه شماره ۲۶۳ منتقل شده به کتابخانه سلیمانیه در استانبول ترکیه؛ خط: نسخ زیبا، بی کا، بی تا، در صفحه عنوان نام کتاب: «فتح بلاد انكروس» آمده، مجدول، دارای کتیبه مذهب؛ مهر: کتابخانه حالت افندی (بیضی)؛ ۱۱۲ص، ۱۳ سطر [عکسی ف: ۴-۹۶]</w:t>
      </w:r>
    </w:p>
    <w:p>
      <w:pPr>
        <w:pStyle w:val="Heading3"/>
      </w:pPr>
      <w:bookmarkStart w:id="2487" w:name="_Toc1747"/>
      <w:r>
        <w:t>•تاریخ فتحعلی شاه = تاریخ قاجاریه / تاریخ ایران / فارسی</w:t>
      </w:r>
      <w:bookmarkEnd w:id="2487"/>
    </w:p>
    <w:p>
      <w:pPr>
        <w:pStyle w:val="BookText"/>
      </w:pPr>
      <w:r>
        <w:rPr>
          <w:rFonts w:ascii="Times New Roman" w:hAnsi="Times New Roman" w:eastAsia="Times New Roman" w:cs="Times New Roman"/>
          <w:lang w:val="en-US" w:bidi="en-US"/>
          <w:color w:val="111111"/>
          <w:sz w:val="28"/>
          <w:szCs w:val="28"/>
          <w:rtl/>
        </w:rPr>
        <w:t xml:space="preserve">tārīx-e fath-alī-šāh = tārīx-e qājārīye</w:t>
      </w:r>
    </w:p>
    <w:p>
      <w:pPr>
        <w:pStyle w:val="BookText"/>
      </w:pPr>
      <w:r>
        <w:rPr>
          <w:rFonts w:ascii="IRNazanin" w:hAnsi="IRNazanin" w:eastAsia="IRNazanin" w:cs="IRNazanin"/>
          <w:lang w:bidi="fa-IR"/>
          <w:color w:val="111111"/>
          <w:sz w:val="28"/>
          <w:szCs w:val="28"/>
          <w:rtl/>
        </w:rPr>
        <w:t xml:space="preserve">بدايع نگار، محمد حسین بن ملک احمد، ق۱۳ قمری</w:t>
      </w:r>
    </w:p>
    <w:p>
      <w:pPr>
        <w:pStyle w:val="BookText"/>
      </w:pPr>
      <w:r>
        <w:rPr>
          <w:rFonts w:ascii="Times New Roman" w:hAnsi="Times New Roman" w:eastAsia="Times New Roman" w:cs="Times New Roman"/>
          <w:lang w:val="en-US" w:bidi="en-US"/>
          <w:color w:val="111111"/>
          <w:sz w:val="28"/>
          <w:szCs w:val="28"/>
          <w:rtl/>
        </w:rPr>
        <w:t xml:space="preserve">badāye' negār, mohammad hoseyn ebn-e malek ahmad (-19c)</w:t>
      </w:r>
    </w:p>
    <w:p>
      <w:pPr>
        <w:pStyle w:val="BookText"/>
      </w:pPr>
      <w:r>
        <w:rPr>
          <w:rFonts w:ascii="IRNazanin" w:hAnsi="IRNazanin" w:eastAsia="IRNazanin" w:cs="IRNazanin"/>
          <w:lang w:bidi="fa-IR"/>
          <w:color w:val="111111"/>
          <w:sz w:val="28"/>
          <w:szCs w:val="28"/>
          <w:rtl/>
        </w:rPr>
        <w:t xml:space="preserve">به امر: فتحعلی شاه قاجار تاريخ تأليف: از جمادی الثانی تا شعبان ۱۲۴۸ق تاریخ قاجاریه از شرح نسب طایفه قاجار تا وقایع سال ۱۲۳۹ق است.</w:t>
      </w:r>
    </w:p>
    <w:p>
      <w:pPr>
        <w:pStyle w:val="BookText"/>
      </w:pPr>
      <w:r>
        <w:rPr>
          <w:rFonts w:ascii="IRNazanin" w:hAnsi="IRNazanin" w:eastAsia="IRNazanin" w:cs="IRNazanin"/>
          <w:lang w:bidi="fa-IR"/>
          <w:color w:val="111111"/>
          <w:sz w:val="28"/>
          <w:szCs w:val="28"/>
          <w:rtl/>
        </w:rPr>
        <w:t xml:space="preserve">[فهرستواره منزوی ۸۸۸/۲ ]</w:t>
      </w:r>
    </w:p>
    <w:p>
      <w:pPr>
        <w:pStyle w:val="BookText"/>
      </w:pPr>
      <w:r>
        <w:rPr>
          <w:rFonts w:ascii="IRNazanin" w:hAnsi="IRNazanin" w:eastAsia="IRNazanin" w:cs="IRNazanin"/>
          <w:lang w:bidi="fa-IR"/>
          <w:color w:val="111111"/>
          <w:sz w:val="28"/>
          <w:szCs w:val="28"/>
          <w:rtl/>
        </w:rPr>
        <w:t xml:space="preserve">تبریز؛ ملی؛ شماره نسخه:۳۵۹۹</w:t>
      </w:r>
    </w:p>
    <w:p>
      <w:pPr>
        <w:pStyle w:val="BookText"/>
      </w:pPr>
      <w:r>
        <w:rPr>
          <w:rFonts w:ascii="IRNazanin" w:hAnsi="IRNazanin" w:eastAsia="IRNazanin" w:cs="IRNazanin"/>
          <w:lang w:bidi="fa-IR"/>
          <w:color w:val="111111"/>
          <w:sz w:val="28"/>
          <w:szCs w:val="28"/>
          <w:rtl/>
        </w:rPr>
        <w:t xml:space="preserve">آغاز: بسمله. اختر آفتاب سنای سپاس و مهر ستاره فروغ ستایش که منجوق انور آن؛ انجام: بسکاویچ کار خود را آشفته تر از طره تر کان چین یافت ناچار دست از معادات و مضادات کشیده بسمت قراباغ بشتافت، چو صرصر که دنبال او کس نیافت. الحمدلله الكريم الوهاب قد وفقنی با تمام هذالكتاب لايخفی انی قد أمرت في غرة شهر ذیحجة الحرام من شهور سنه سبع و اربعین و مأتین بعد الالف بتلفيق هذا الكتاب و فارغت في غرة شهر شعبان من شهور سنة ثمان و اربعین و مأتین بعد الألف عن تسویده و ما هذا الاذکر عجاب خط: نسخ تعليق، كاتب = مؤلف، تا: ۱۲۴۸؛ مجدول، مذهب، دارای سرلوح نفیس؛ جلد: روغنی با گل و بوته، زر افشان اصفهان، ۳۳۳گ، ۱۵ سطر، اندازه: ۲۹/۵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 ۱۷۱]</w:t>
      </w:r>
    </w:p>
    <w:p>
      <w:pPr>
        <w:pStyle w:val="Heading3"/>
      </w:pPr>
      <w:bookmarkStart w:id="2488" w:name="_Toc1748"/>
      <w:r>
        <w:t>•تاریخ فتوح ابن اعثم کوفی (ترجمه) = ترجمه الفتوح = تاریخ احمد کوفی / تاریخ اسلام / فارسی</w:t>
      </w:r>
      <w:bookmarkEnd w:id="2488"/>
    </w:p>
    <w:p>
      <w:pPr>
        <w:pStyle w:val="BookText"/>
      </w:pPr>
      <w:r>
        <w:rPr>
          <w:rFonts w:ascii="Times New Roman" w:hAnsi="Times New Roman" w:eastAsia="Times New Roman" w:cs="Times New Roman"/>
          <w:lang w:val="en-US" w:bidi="en-US"/>
          <w:color w:val="111111"/>
          <w:sz w:val="28"/>
          <w:szCs w:val="28"/>
          <w:rtl/>
        </w:rPr>
        <w:t xml:space="preserve">tārīx-e fotūh-e ebn-e a-sam-e kūfī (t.) = t.-ye al-fotūh = tārīx-e ahmad-e kūfi</w:t>
      </w:r>
    </w:p>
    <w:p>
      <w:pPr>
        <w:pStyle w:val="BookText"/>
      </w:pPr>
      <w:r>
        <w:rPr>
          <w:rFonts w:ascii="IRNazanin" w:hAnsi="IRNazanin" w:eastAsia="IRNazanin" w:cs="IRNazanin"/>
          <w:lang w:bidi="fa-IR"/>
          <w:color w:val="111111"/>
          <w:sz w:val="28"/>
          <w:szCs w:val="28"/>
          <w:rtl/>
        </w:rPr>
        <w:t xml:space="preserve">مستوفی هروی، محمد بن احمد، ق۶ قمری</w:t>
      </w:r>
    </w:p>
    <w:p>
      <w:pPr>
        <w:pStyle w:val="BookText"/>
      </w:pPr>
      <w:r>
        <w:rPr>
          <w:rFonts w:ascii="Times New Roman" w:hAnsi="Times New Roman" w:eastAsia="Times New Roman" w:cs="Times New Roman"/>
          <w:lang w:val="en-US" w:bidi="en-US"/>
          <w:color w:val="111111"/>
          <w:sz w:val="28"/>
          <w:szCs w:val="28"/>
          <w:rtl/>
        </w:rPr>
        <w:t xml:space="preserve">mostawfi-ye heravī, mohammad ebn-e ahmad (-12c)</w:t>
      </w:r>
    </w:p>
    <w:p>
      <w:pPr>
        <w:pStyle w:val="BookText"/>
      </w:pPr>
      <w:r>
        <w:rPr>
          <w:rFonts w:ascii="IRNazanin" w:hAnsi="IRNazanin" w:eastAsia="IRNazanin" w:cs="IRNazanin"/>
          <w:lang w:bidi="fa-IR"/>
          <w:color w:val="111111"/>
          <w:sz w:val="28"/>
          <w:szCs w:val="28"/>
          <w:rtl/>
        </w:rPr>
        <w:t xml:space="preserve">وابسته به: الفتوح؛ ابن اعثم کوفی، احمد بن اعثم (-۳۱۴) اهدا به: وزیر مؤيد الملک قوام الدوله تاریخ تأليف: ۵۹۶ق؛ محل تأليف: مدرسه تایباد نزدیک پوشنک ترجمه تحت اللفظی مشهوری است از «الفتوح» ابو محمد احمد بن اعثم کوفی. برخی احتمال داده اند که کتاب حاضر دو مترجم دارد و پس از درگذشت محمد مستوفی، محمد بن احمد بن ابی بکر مابیژنا بادی کار نیمه تمام او را ادامه داده است. مترجم پس از حمد خدا و مدح پیغمبر می گوید: «شبی در مدرسه تایباد» از طریق دوستی حکایتی از کتاب فتوح خواجه احمد بن اعثم کوفی گفته آمده. چون کتاب مناسب دیده شد از من خواستند که آن را به فارسی برگردانم تا همگان را به کار آید من نیز با مشکلاتی که در پیش داشتم به تحریر و ترجمه آن دست زدم.» آغاز: مقدمه مترجم: الحمد لله الملك الكريم و لا حول و لا قوة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 بالله العلى العظيم. سزاوار شکر و ثنا خداوندی است که شکر به توفیق او متعلق است و ثنا به تلقين او منوط ... متن: چنین گوید خواجه احمد بن اعثم الكوفي (رضی الله عنه) چون اشرف کاینات و سرور موجودات و محرم قاب قوسين، مصطفی مجتبی ابوالقاسم محمد مصطفی (صلی الله علیه وآله وسلم)...</w:t>
      </w:r>
    </w:p>
    <w:p>
      <w:pPr>
        <w:pStyle w:val="BookText"/>
      </w:pPr>
      <w:r>
        <w:rPr>
          <w:rFonts w:ascii="IRNazanin" w:hAnsi="IRNazanin" w:eastAsia="IRNazanin" w:cs="IRNazanin"/>
          <w:lang w:bidi="fa-IR"/>
          <w:color w:val="111111"/>
          <w:sz w:val="28"/>
          <w:szCs w:val="28"/>
          <w:rtl/>
        </w:rPr>
        <w:t xml:space="preserve">انجام: پس گفت بار خدایا تو اورا یار و معین باش که تو بر همه چیز توانا و قادری و صلی الله على خير خلقه محمد و آله الاجمعین برحمتك يا ارحم الراحمين. چاپ: با تصحیح غلامرضا طباطبائی مجد، تهران، ۱۳۷۲ش، انتشارات و آموزش انقلاب اسلامی، ۱۰۸۶ ص.</w:t>
      </w:r>
    </w:p>
    <w:p>
      <w:pPr>
        <w:pStyle w:val="BookText"/>
      </w:pPr>
      <w:r>
        <w:rPr>
          <w:rFonts w:ascii="IRNazanin" w:hAnsi="IRNazanin" w:eastAsia="IRNazanin" w:cs="IRNazanin"/>
          <w:lang w:bidi="fa-IR"/>
          <w:color w:val="111111"/>
          <w:sz w:val="28"/>
          <w:szCs w:val="28"/>
          <w:rtl/>
        </w:rPr>
        <w:t xml:space="preserve">[دنا ۷۲۶/۲ (۲۲ نسخه)؛ مشار ۴۰۹/۱ و ۲۰۰۹/۲ ، استوری ۲۰۷/۱ ، ۱۲۶۰؛ فهرستواره منزوی ۱۵۸۵/۳ ]</w:t>
      </w:r>
    </w:p>
    <w:p>
      <w:pPr>
        <w:pStyle w:val="BookText"/>
      </w:pPr>
      <w:r>
        <w:rPr>
          <w:rFonts w:ascii="IRNazanin" w:hAnsi="IRNazanin" w:eastAsia="IRNazanin" w:cs="IRNazanin"/>
          <w:lang w:bidi="fa-IR"/>
          <w:color w:val="111111"/>
          <w:sz w:val="28"/>
          <w:szCs w:val="28"/>
          <w:rtl/>
        </w:rPr>
        <w:t xml:space="preserve">۱. تبریز؛ ملی؛ شماره نسخه:۳۲۷۹</w:t>
      </w:r>
    </w:p>
    <w:p>
      <w:pPr>
        <w:pStyle w:val="BookText"/>
      </w:pPr>
      <w:r>
        <w:rPr>
          <w:rFonts w:ascii="IRNazanin" w:hAnsi="IRNazanin" w:eastAsia="IRNazanin" w:cs="IRNazanin"/>
          <w:lang w:bidi="fa-IR"/>
          <w:color w:val="111111"/>
          <w:sz w:val="28"/>
          <w:szCs w:val="28"/>
          <w:rtl/>
        </w:rPr>
        <w:t xml:space="preserve">آغاز: بسم الله الرحمن الرحيم، الحمدلله الملک القديم المنان الكريم الرؤوف الرحيم هو الأول و الاخر و الظاهر و الباطن و هو بكل شیئی عليم و الصلوة على خير خلقه محمدن الموصوف باوصاف انک لعلی خلق عظیم و على آله و أصحابه المتحلين بحلل الرضا و التسليم بعد هذا میگوید فقیر حقیر اضعف عبادالله القوى؛ انجام: رسول عليه السلام گفت ای امت من امروز بر این سخن میگرئيد و فردا که روز واقعه او باشد او را مدد ندهید و یاری نکنید ای بار خدای تو او را یار و معین باش که تو بر همه چیزها توانا و قادری و صلی الله على خير خلقه محمد و آله اجمعین برحمتک یا ارحم الراحمين خط: نستعلیق، كا: لطف الله، تا: ۱۸۱ق، جان شیراز؛ مجدول، مذهب، دارای سرلوح زیبا، یادداشت واقف جنت مکان مرحوم نخجوانی؛ تملک: «محمد تقی مورخ ذیقعده ۱۲۳۵»، «محسن آقا»، «حاج حسنعلی» که کتاب را به پنجاه روپیه خریده؛ جلد: چرمی، ۳۳۴گ، ۲۱ سطر، اندازه: ۱۶/۵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۲۸/۵سم [ف: ۱-۲۴۶]</w:t>
      </w:r>
    </w:p>
    <w:p>
      <w:pPr>
        <w:pStyle w:val="BookText"/>
      </w:pPr>
      <w:r>
        <w:rPr>
          <w:rFonts w:ascii="IRNazanin" w:hAnsi="IRNazanin" w:eastAsia="IRNazanin" w:cs="IRNazanin"/>
          <w:lang w:bidi="fa-IR"/>
          <w:color w:val="111111"/>
          <w:sz w:val="28"/>
          <w:szCs w:val="28"/>
          <w:rtl/>
        </w:rPr>
        <w:t xml:space="preserve">تهران؛ دانشگاه؛ شماره نسخه:۳۰۹۲-ف</w:t>
      </w:r>
    </w:p>
    <w:p>
      <w:pPr>
        <w:pStyle w:val="BookText"/>
      </w:pPr>
      <w:r>
        <w:rPr>
          <w:rFonts w:ascii="Amiri" w:hAnsi="Amiri" w:eastAsia="Amiri" w:cs="Amiri"/>
          <w:lang w:bidi="ar-SA"/>
          <w:color w:val="111111"/>
          <w:sz w:val="28"/>
          <w:szCs w:val="28"/>
          <w:rtl/>
        </w:rPr>
        <w:t xml:space="preserve">نسخه اصل: همان نسخه بالا [فيلمها ف: ۲-۷۴]</w:t>
      </w:r>
    </w:p>
    <w:p>
      <w:pPr>
        <w:pStyle w:val="BookText"/>
      </w:pPr>
      <w:r>
        <w:rPr>
          <w:rFonts w:ascii="IRNazanin" w:hAnsi="IRNazanin" w:eastAsia="IRNazanin" w:cs="IRNazanin"/>
          <w:lang w:bidi="fa-IR"/>
          <w:color w:val="111111"/>
          <w:sz w:val="28"/>
          <w:szCs w:val="28"/>
          <w:rtl/>
        </w:rPr>
        <w:t xml:space="preserve">۲. شیراز؛ علامه طباطبائی؛ شماره نسخه:۸۵۵</w:t>
      </w:r>
    </w:p>
    <w:p>
      <w:pPr>
        <w:pStyle w:val="BookText"/>
      </w:pPr>
      <w:r>
        <w:rPr>
          <w:rFonts w:ascii="IRNazanin" w:hAnsi="IRNazanin" w:eastAsia="IRNazanin" w:cs="IRNazanin"/>
          <w:lang w:bidi="fa-IR"/>
          <w:color w:val="111111"/>
          <w:sz w:val="28"/>
          <w:szCs w:val="28"/>
          <w:rtl/>
        </w:rPr>
        <w:t xml:space="preserve">خط: نستعلیق، بی کا، تا: قرن ۱۱؛ افتادگی: آغاز و انجام؛ مجدول؛ جلد: روغنی گل و مرغ،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 نسخه پژوهی: ۲-۱۲۷]</w:t>
      </w:r>
    </w:p>
    <w:p>
      <w:pPr>
        <w:pStyle w:val="BookText"/>
      </w:pPr>
      <w:r>
        <w:rPr>
          <w:rFonts w:ascii="IRNazanin" w:hAnsi="IRNazanin" w:eastAsia="IRNazanin" w:cs="IRNazanin"/>
          <w:lang w:bidi="fa-IR"/>
          <w:color w:val="111111"/>
          <w:sz w:val="28"/>
          <w:szCs w:val="28"/>
          <w:rtl/>
        </w:rPr>
        <w:t xml:space="preserve">٣. قم؛ مرعشی؛ شماره نسخه:۹۴۱۴</w:t>
      </w:r>
    </w:p>
    <w:p>
      <w:pPr>
        <w:pStyle w:val="BookText"/>
      </w:pPr>
      <w:r>
        <w:rPr>
          <w:rFonts w:ascii="IRNazanin" w:hAnsi="IRNazanin" w:eastAsia="IRNazanin" w:cs="IRNazanin"/>
          <w:lang w:bidi="fa-IR"/>
          <w:color w:val="111111"/>
          <w:sz w:val="28"/>
          <w:szCs w:val="28"/>
          <w:rtl/>
        </w:rPr>
        <w:t xml:space="preserve">آغاز: که محمد رابحق خلق فرستاده که اکثر آنروز با دو برادر شما بیعت کردند و من چهل مزد یافتمی؛ انجام: در عراق سه سال طعام کم بود و مردم برنج باشند و پر بادیه سه سال آب زیاده.</w:t>
      </w:r>
    </w:p>
    <w:p>
      <w:pPr>
        <w:pStyle w:val="BookText"/>
      </w:pPr>
      <w:r>
        <w:rPr>
          <w:rFonts w:ascii="IRNazanin" w:hAnsi="IRNazanin" w:eastAsia="IRNazanin" w:cs="IRNazanin"/>
          <w:lang w:bidi="fa-IR"/>
          <w:color w:val="111111"/>
          <w:sz w:val="28"/>
          <w:szCs w:val="28"/>
          <w:rtl/>
        </w:rPr>
        <w:t xml:space="preserve">خط: نستعلیق، بی کا، تا: قرن ۱۱؛ افتادگی: آغاز و انجام؛ مجدول به شنگرف و سبز؛ جلد: تیماج مشکی ضربی، ۱۹۲گ، ۲۲ سطر، اندازه: ۲۴/۵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۲۴-۱۸۶]</w:t>
      </w:r>
    </w:p>
    <w:p>
      <w:pPr>
        <w:pStyle w:val="BookText"/>
      </w:pPr>
      <w:r>
        <w:rPr>
          <w:rFonts w:ascii="IRNazanin" w:hAnsi="IRNazanin" w:eastAsia="IRNazanin" w:cs="IRNazanin"/>
          <w:lang w:bidi="fa-IR"/>
          <w:color w:val="111111"/>
          <w:sz w:val="28"/>
          <w:szCs w:val="28"/>
          <w:rtl/>
        </w:rPr>
        <w:t xml:space="preserve">۴. تهران؛ ملی؛ شماره نسخه:۹۵۵</w:t>
      </w:r>
    </w:p>
    <w:p>
      <w:pPr>
        <w:pStyle w:val="BookText"/>
      </w:pPr>
      <w:r>
        <w:rPr>
          <w:rFonts w:ascii="IRNazanin" w:hAnsi="IRNazanin" w:eastAsia="IRNazanin" w:cs="IRNazanin"/>
          <w:lang w:bidi="fa-IR"/>
          <w:color w:val="111111"/>
          <w:sz w:val="28"/>
          <w:szCs w:val="28"/>
          <w:rtl/>
        </w:rPr>
        <w:t xml:space="preserve">آغاز: بسمله، چون عثمان را بکشند مردمان پیاپی به خدمت امیر المؤمنين آمدند و او را گفتند ابوالحسن این امرد بکشتند؛ انجام و ایشانرا در مرافقت جماعتی از معتمدان خویش بجانب مدینه گسیل کرد تمام شد. پایان نسخه: ..... و تاریخ ترجمه ست و تسعين و خمسمائه است في التاريخ يوم الخمیس بیست و دویم شهر ربيع الاخر سنه اثنین و سبعین و الف ... جلد دوم، شامل حوادث خلافت علی(عليه السلام)است تا قتل امام حسین و اسارت خاندان او بشام و سپس بازگشت آنها بمدينه بامر یزید؛ خط: نستعلیق، كان محمد زمان ابن حاجی خانمیرزای مراغی، تا: پنج شنبه ۲۲ ربیع الثانی ۱۰۷۲ق؛ با سرلوح مذهب، مجدول مذهب؛ کاغذ: فرنگی، جلد: تیماج قرمز با ترنج، ۳۱۱گ، ۱۹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۲۸/۵سم [ف: ۲-۴۹۳]</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مشهد؛ رضوی؛ شماره نسخه:۳۷۵۷۷</w:t>
      </w:r>
    </w:p>
    <w:p>
      <w:pPr>
        <w:pStyle w:val="BookText"/>
      </w:pPr>
      <w:r>
        <w:rPr>
          <w:rFonts w:ascii="IRNazanin" w:hAnsi="IRNazanin" w:eastAsia="IRNazanin" w:cs="IRNazanin"/>
          <w:lang w:bidi="fa-IR"/>
          <w:color w:val="111111"/>
          <w:sz w:val="28"/>
          <w:szCs w:val="28"/>
          <w:rtl/>
        </w:rPr>
        <w:t xml:space="preserve">آغاز: الحمد لله الملك القديم و المنان الكريم و الرؤوف الرحيم ... بعد هذا می گوید فقیر و حقیر اضعف عبادالله القوى محمد بن احمد المستوفي الهروی که چون در ایام جوانی؛ انجام: مظفر و منصور و مؤید و مسرور به جانب کوفه روان شد. الحمد لله رب العالمین و صلی الله على محمد و آله اجمعين. حرب جمل به آخر رسید و مجلد دوم از ترجمه فتوح احمد کوفی تمام شد. خط: نستعلیق، بی کا، تا: قرن ۱۲؛ نوشته ای به خط محمد علی در ۱۲۶۷ ق و نوشته دیگری به خط مازندرانی؛ تملك: ابوالقاسم در ۱۲۷۹ق با مهر: «ابوالقاسم ۱۲۴۴» (بیضوی) و «العبد ابو القاسم» (مربع)؛ اهدایی: رهبری، مهر ۱۳۸۶؛ کاغذ: کشمیری حنایی آهار مهره، جلد: تیماج زیتونی با ترنج و سرترنج، ۲۰۳گ، ۱۸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w:t>
      </w:r>
    </w:p>
    <w:p>
      <w:pPr>
        <w:pStyle w:val="BookText"/>
      </w:pPr>
      <w:r>
        <w:rPr>
          <w:rFonts w:ascii="IRNazanin" w:hAnsi="IRNazanin" w:eastAsia="IRNazanin" w:cs="IRNazanin"/>
          <w:lang w:bidi="fa-IR"/>
          <w:color w:val="111111"/>
          <w:sz w:val="28"/>
          <w:szCs w:val="28"/>
          <w:rtl/>
        </w:rPr>
        <w:t xml:space="preserve">سم [ اهدائی رهبر: ۸-۳۹۴]</w:t>
      </w:r>
    </w:p>
    <w:p>
      <w:pPr>
        <w:pStyle w:val="BookText"/>
      </w:pPr>
      <w:r>
        <w:rPr>
          <w:rFonts w:ascii="IRNazanin" w:hAnsi="IRNazanin" w:eastAsia="IRNazanin" w:cs="IRNazanin"/>
          <w:lang w:bidi="fa-IR"/>
          <w:color w:val="111111"/>
          <w:sz w:val="28"/>
          <w:szCs w:val="28"/>
          <w:rtl/>
        </w:rPr>
        <w:t xml:space="preserve">۶. اراک؛ بیات، عبدالحسین شماره نسخه:۴۴</w:t>
      </w:r>
    </w:p>
    <w:p>
      <w:pPr>
        <w:pStyle w:val="BookText"/>
      </w:pPr>
      <w:r>
        <w:rPr>
          <w:rFonts w:ascii="IRNazanin" w:hAnsi="IRNazanin" w:eastAsia="IRNazanin" w:cs="IRNazanin"/>
          <w:lang w:bidi="fa-IR"/>
          <w:color w:val="111111"/>
          <w:sz w:val="28"/>
          <w:szCs w:val="28"/>
          <w:rtl/>
        </w:rPr>
        <w:t xml:space="preserve">آغاز: الحمدلله الملک القديم و المنان الكريم؛ انجام: شيبة بن حريم الاسدی می گوید سخن زینب استماع کردم و گوش به مطالع و مقاصد او داشتم هیچ زن. خط: نستعلیق متوسط، بی کا، تا: اوایل قرن ۱۳، دارای دو سرلوح زیبا، قسمتی از آخر نانویس؛ کاغذ: ترمه سمرقندی، جلد: چرمی ترنج دار عنابی، ۲۰ سطر، اندازه: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 نشریه: ۶-۸۸]</w:t>
      </w:r>
    </w:p>
    <w:p>
      <w:pPr>
        <w:pStyle w:val="BookText"/>
      </w:pPr>
      <w:r>
        <w:rPr>
          <w:rFonts w:ascii="IRNazanin" w:hAnsi="IRNazanin" w:eastAsia="IRNazanin" w:cs="IRNazanin"/>
          <w:lang w:bidi="fa-IR"/>
          <w:color w:val="111111"/>
          <w:sz w:val="28"/>
          <w:szCs w:val="28"/>
          <w:rtl/>
        </w:rPr>
        <w:t xml:space="preserve">٧. تهران؛ ملی؛ شماره نسخه: ۱۸۶۱</w:t>
      </w:r>
    </w:p>
    <w:p>
      <w:pPr>
        <w:pStyle w:val="BookText"/>
      </w:pPr>
      <w:r>
        <w:rPr>
          <w:rFonts w:ascii="IRNazanin" w:hAnsi="IRNazanin" w:eastAsia="IRNazanin" w:cs="IRNazanin"/>
          <w:lang w:bidi="fa-IR"/>
          <w:color w:val="111111"/>
          <w:sz w:val="28"/>
          <w:szCs w:val="28"/>
          <w:rtl/>
        </w:rPr>
        <w:t xml:space="preserve">آغاز: بسمله و به نستعين، الحمدلله الملك القديم و المنان الكريم - الرؤوف الرحيم؛ انجام: رو بساقی خویشتن کرده و گفت اسقني شرب عظام بل اسق مثلها ابن زیاد خط: نستعلیق، بی کا، تا: قرن ۱۳؛ کاغذ: ترمه، جلد: تیماج ماشی، ۲۳۴، ۲۲ سطر ( ۲۲/۵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۱۸/۵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۳۳/۵سم [ف:۴-۳۲۳]</w:t>
      </w:r>
    </w:p>
    <w:p>
      <w:pPr>
        <w:pStyle w:val="BookText"/>
      </w:pPr>
      <w:r>
        <w:rPr>
          <w:rFonts w:ascii="IRNazanin" w:hAnsi="IRNazanin" w:eastAsia="IRNazanin" w:cs="IRNazanin"/>
          <w:lang w:bidi="fa-IR"/>
          <w:color w:val="111111"/>
          <w:sz w:val="28"/>
          <w:szCs w:val="28"/>
          <w:rtl/>
        </w:rPr>
        <w:t xml:space="preserve">۸. مشهد؛ شیخ علی حیدر؛ شماره نسخه:۱۰۲۸</w:t>
      </w:r>
    </w:p>
    <w:p>
      <w:pPr>
        <w:pStyle w:val="BookText"/>
      </w:pPr>
      <w:r>
        <w:rPr>
          <w:rFonts w:ascii="IRNazanin" w:hAnsi="IRNazanin" w:eastAsia="IRNazanin" w:cs="IRNazanin"/>
          <w:lang w:bidi="fa-IR"/>
          <w:color w:val="111111"/>
          <w:sz w:val="28"/>
          <w:szCs w:val="28"/>
          <w:rtl/>
        </w:rPr>
        <w:t xml:space="preserve">آغاز: الحمدلله الملک القديم و المنان الكريم الرؤوف الرحيم هو الاول و الآخر؛ انجام: مظفر و منصور و مؤید و مسرور بجانب کوفه روان شد، الحمدلله رب العالمين جلد دوم از تاریخ پیامبر تا پایان جنگ جمل؛ خط: نستعلیق، بی کا، بی تا؛ نوشته ای است با خط محمد علی در ۱۲۶۷ نوشته ای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528" w:name="pg20363_209843"/>
    <w:bookmarkEnd w:id="528"/>
    <w:p>
      <w:pPr>
        <w:pStyle w:val="BookText"/>
      </w:pPr>
      <w:r>
        <w:rPr>
          <w:rFonts w:ascii="IRNazanin" w:hAnsi="IRNazanin" w:eastAsia="IRNazanin" w:cs="IRNazanin"/>
          <w:lang w:bidi="fa-IR"/>
          <w:color w:val="111111"/>
          <w:sz w:val="28"/>
          <w:szCs w:val="28"/>
          <w:rtl/>
        </w:rPr>
        <w:t xml:space="preserve">دیگری در همین تاریخ به خط مازندرانی؛ تملک: به تاریخ ۱۲۷۹ با مهر «ابوالقاسم ۱۲۴۶» (بیضوی) و «العبد الآثم ابوالقاسم» (مربع)؛ جلد: تیماج زیتونی، ۲۰۶گ، ۱۸ سطر، اندازه: ۲۲</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۱۱سم [ مؤيد: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مجلس؛ شماره نسخه:۴۴۳۴</w:t>
      </w:r>
    </w:p>
    <w:p>
      <w:pPr>
        <w:pStyle w:val="BookText"/>
      </w:pPr>
      <w:r>
        <w:rPr>
          <w:rFonts w:ascii="IRNazanin" w:hAnsi="IRNazanin" w:eastAsia="IRNazanin" w:cs="IRNazanin"/>
          <w:lang w:bidi="fa-IR"/>
          <w:color w:val="111111"/>
          <w:sz w:val="28"/>
          <w:szCs w:val="28"/>
          <w:rtl/>
        </w:rPr>
        <w:t xml:space="preserve">خط: نستعلیق، کا: محمد حسن بن مرحوم ملا نجف قزوینی، تا: ۱۲ رجب ۱۲۶۶ق؛ مجدول، با سرلوح زر؛ کاغذ: اصفهانی، ۲۸۸ ، ۱۹ سطر [ف: ۱۲-۱۲۰]</w:t>
      </w:r>
    </w:p>
    <w:p>
      <w:pPr>
        <w:pStyle w:val="BookText"/>
      </w:pPr>
      <w:r>
        <w:rPr>
          <w:rFonts w:ascii="IRNazanin" w:hAnsi="IRNazanin" w:eastAsia="IRNazanin" w:cs="IRNazanin"/>
          <w:lang w:bidi="fa-IR"/>
          <w:color w:val="111111"/>
          <w:sz w:val="28"/>
          <w:szCs w:val="28"/>
          <w:rtl/>
        </w:rPr>
        <w:t xml:space="preserve">۱۰. تهران؛ ملک؛ شماره نسخه:۴۲۹۸</w:t>
      </w:r>
    </w:p>
    <w:p>
      <w:pPr>
        <w:pStyle w:val="BookText"/>
      </w:pPr>
      <w:r>
        <w:rPr>
          <w:rFonts w:ascii="IRNazanin" w:hAnsi="IRNazanin" w:eastAsia="IRNazanin" w:cs="IRNazanin"/>
          <w:lang w:bidi="fa-IR"/>
          <w:color w:val="111111"/>
          <w:sz w:val="28"/>
          <w:szCs w:val="28"/>
          <w:rtl/>
        </w:rPr>
        <w:t xml:space="preserve">خط: نستعلیق، کا: محمد حسین بن ملا نجف قزوینی، تا: ۱۲۷۳ق، به دستور حاجی مفید شیخ الاسلام؛ مجدول؛ کاغذ: آهار مهره فرنگی، جلد: میشن پشمی ضربی، ۳۰۰گ، ۱۹ سطر، اندازه: ۱۷/۳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۲۸/۷سم [ف: ۲-۱۲۸]</w:t>
      </w:r>
    </w:p>
    <w:p>
      <w:pPr>
        <w:pStyle w:val="BookText"/>
      </w:pPr>
      <w:r>
        <w:rPr>
          <w:rFonts w:ascii="IRNazanin" w:hAnsi="IRNazanin" w:eastAsia="IRNazanin" w:cs="IRNazanin"/>
          <w:lang w:bidi="fa-IR"/>
          <w:color w:val="111111"/>
          <w:sz w:val="28"/>
          <w:szCs w:val="28"/>
          <w:rtl/>
        </w:rPr>
        <w:t xml:space="preserve">۱۱. تهران؛ ملی؛ شماره نسخه:۱۷۱۱۵</w:t>
      </w:r>
    </w:p>
    <w:p>
      <w:pPr>
        <w:pStyle w:val="BookText"/>
      </w:pPr>
      <w:r>
        <w:rPr>
          <w:rFonts w:ascii="IRNazanin" w:hAnsi="IRNazanin" w:eastAsia="IRNazanin" w:cs="IRNazanin"/>
          <w:lang w:bidi="fa-IR"/>
          <w:color w:val="111111"/>
          <w:sz w:val="28"/>
          <w:szCs w:val="28"/>
          <w:rtl/>
        </w:rPr>
        <w:t xml:space="preserve">كا: محمد حسن بن مرحوم، تا: ۱۲۷۳ق؛ خریداری از امرالله صفری؛ اندازه: ۲۸/۴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۱۸/۲ سم [رایانه]</w:t>
      </w:r>
    </w:p>
    <w:p>
      <w:pPr>
        <w:pStyle w:val="BookText"/>
      </w:pPr>
      <w:r>
        <w:rPr>
          <w:rFonts w:ascii="IRNazanin" w:hAnsi="IRNazanin" w:eastAsia="IRNazanin" w:cs="IRNazanin"/>
          <w:lang w:bidi="fa-IR"/>
          <w:color w:val="111111"/>
          <w:sz w:val="28"/>
          <w:szCs w:val="28"/>
          <w:rtl/>
        </w:rPr>
        <w:t xml:space="preserve">۱۲. تهران؛ مجلس؛ شماره نسخه: ۱۵۲۹۱</w:t>
      </w:r>
    </w:p>
    <w:p>
      <w:pPr>
        <w:pStyle w:val="BookText"/>
      </w:pPr>
      <w:r>
        <w:rPr>
          <w:rFonts w:ascii="IRNazanin" w:hAnsi="IRNazanin" w:eastAsia="IRNazanin" w:cs="IRNazanin"/>
          <w:lang w:bidi="fa-IR"/>
          <w:color w:val="111111"/>
          <w:sz w:val="28"/>
          <w:szCs w:val="28"/>
          <w:rtl/>
        </w:rPr>
        <w:t xml:space="preserve">خط: نستعلیق، بی کا، تا: ۲۷ محرم ۱۲۷۴ ق [مختصر ف: ۱۵۷]</w:t>
      </w:r>
    </w:p>
    <w:p>
      <w:pPr>
        <w:pStyle w:val="BookText"/>
      </w:pPr>
      <w:r>
        <w:rPr>
          <w:rFonts w:ascii="IRNazanin" w:hAnsi="IRNazanin" w:eastAsia="IRNazanin" w:cs="IRNazanin"/>
          <w:lang w:bidi="fa-IR"/>
          <w:color w:val="111111"/>
          <w:sz w:val="28"/>
          <w:szCs w:val="28"/>
          <w:rtl/>
        </w:rPr>
        <w:t xml:space="preserve">۱۳. تهران: ملی؛ شماره نسخه:۱۱۷۵</w:t>
      </w:r>
    </w:p>
    <w:p>
      <w:pPr>
        <w:pStyle w:val="BookText"/>
      </w:pPr>
      <w:r>
        <w:rPr>
          <w:rFonts w:ascii="IRNazanin" w:hAnsi="IRNazanin" w:eastAsia="IRNazanin" w:cs="IRNazanin"/>
          <w:lang w:bidi="fa-IR"/>
          <w:color w:val="111111"/>
          <w:sz w:val="28"/>
          <w:szCs w:val="28"/>
          <w:rtl/>
        </w:rPr>
        <w:t xml:space="preserve">آغاز: بسمله و به نستعين، الحمدلله الملک القيم ... الرؤرف الرحیم هوالاول؛ انجام: که تو بر همه چیزها توانا و قادری و صلی الله علیخير لقه محد و آله اجمعين. خط: نسخ خوش، بی کا، تا: ۱۲۷۸ق، کاغذ: فرنگی، جلد: تیماج سبز، ۲۴۰گ، ۲۳ سطر (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۳-۲۰۷]</w:t>
      </w:r>
    </w:p>
    <w:p>
      <w:pPr>
        <w:pStyle w:val="BookText"/>
      </w:pPr>
      <w:r>
        <w:rPr>
          <w:rFonts w:ascii="IRNazanin" w:hAnsi="IRNazanin" w:eastAsia="IRNazanin" w:cs="IRNazanin"/>
          <w:lang w:bidi="fa-IR"/>
          <w:color w:val="111111"/>
          <w:sz w:val="28"/>
          <w:szCs w:val="28"/>
          <w:rtl/>
        </w:rPr>
        <w:t xml:space="preserve">۱۴. تهران؛ ملک؛ شماره نسخه: ۴۳۳۲</w:t>
      </w:r>
    </w:p>
    <w:p>
      <w:pPr>
        <w:pStyle w:val="BookText"/>
      </w:pPr>
      <w:r>
        <w:rPr>
          <w:rFonts w:ascii="IRNazanin" w:hAnsi="IRNazanin" w:eastAsia="IRNazanin" w:cs="IRNazanin"/>
          <w:lang w:bidi="fa-IR"/>
          <w:color w:val="111111"/>
          <w:sz w:val="28"/>
          <w:szCs w:val="28"/>
          <w:rtl/>
        </w:rPr>
        <w:t xml:space="preserve">خط: شکسته نستعلیق، بی کا، تا: ۲ رمضان ۱۲۸۰ق، به دستور حسین خان حاکم سمنان؛ کاغذ فرنگی آهار مهره، جلد: میشن قرمز ضربی، ۲۷۰ گ، ۲۰ سطر، اندازه: ۳۴/۳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۲-۱۲۹]</w:t>
      </w:r>
    </w:p>
    <w:p>
      <w:pPr>
        <w:pStyle w:val="BookText"/>
      </w:pPr>
      <w:r>
        <w:rPr>
          <w:rFonts w:ascii="IRNazanin" w:hAnsi="IRNazanin" w:eastAsia="IRNazanin" w:cs="IRNazanin"/>
          <w:lang w:bidi="fa-IR"/>
          <w:color w:val="111111"/>
          <w:sz w:val="28"/>
          <w:szCs w:val="28"/>
          <w:rtl/>
        </w:rPr>
        <w:t xml:space="preserve">۱۵. مشهد؛ رضوی؛ شماره نسخه:۴۰۸۳</w:t>
      </w:r>
    </w:p>
    <w:p>
      <w:pPr>
        <w:pStyle w:val="BookText"/>
      </w:pPr>
      <w:r>
        <w:rPr>
          <w:rFonts w:ascii="IRNazanin" w:hAnsi="IRNazanin" w:eastAsia="IRNazanin" w:cs="IRNazanin"/>
          <w:lang w:bidi="fa-IR"/>
          <w:color w:val="111111"/>
          <w:sz w:val="28"/>
          <w:szCs w:val="28"/>
          <w:rtl/>
        </w:rPr>
        <w:t xml:space="preserve">آغاز: بسمله الحمدلله الملک القديم المنان الكريم؛ انجام: بل اسق مثلها ابن زیاد ... شهر شوال المکرم من شهور سنه ۱۲۹۶ خط: نستعلیق، بی کا، تا: ۱۲۹۶ق؛ کاغذ: حنایی، جلد: تیماج، ۲۵ سطر (۲۰۱۱)، اندازه: ۳۴۸۲۱سم [الفبائی: ۹۹]</w:t>
      </w:r>
    </w:p>
    <w:p>
      <w:pPr>
        <w:pStyle w:val="BookText"/>
      </w:pPr>
      <w:r>
        <w:rPr>
          <w:rFonts w:ascii="IRNazanin" w:hAnsi="IRNazanin" w:eastAsia="IRNazanin" w:cs="IRNazanin"/>
          <w:lang w:bidi="fa-IR"/>
          <w:color w:val="111111"/>
          <w:sz w:val="28"/>
          <w:szCs w:val="28"/>
          <w:rtl/>
        </w:rPr>
        <w:t xml:space="preserve">۱۶. تهران؛ ادبیات؛ شماره نسخه:۲۷۵ حکمت</w:t>
      </w:r>
    </w:p>
    <w:p>
      <w:pPr>
        <w:pStyle w:val="BookText"/>
      </w:pPr>
      <w:r>
        <w:rPr>
          <w:rFonts w:ascii="IRNazanin" w:hAnsi="IRNazanin" w:eastAsia="IRNazanin" w:cs="IRNazanin"/>
          <w:lang w:bidi="fa-IR"/>
          <w:color w:val="111111"/>
          <w:sz w:val="28"/>
          <w:szCs w:val="28"/>
          <w:rtl/>
        </w:rPr>
        <w:t xml:space="preserve">تا بخشی از تاریخ ابوبکر؛ خط: نستعلیق، كا: فتح الله شیرازی، تا: ۱۳۲۱ق؛ جلد: مقوا عطف تیماج، قطع: رحلي [ف: ۲-۷]</w:t>
      </w:r>
    </w:p>
    <w:p>
      <w:pPr>
        <w:pStyle w:val="BookText"/>
      </w:pPr>
      <w:r>
        <w:rPr>
          <w:rFonts w:ascii="IRNazanin" w:hAnsi="IRNazanin" w:eastAsia="IRNazanin" w:cs="IRNazanin"/>
          <w:lang w:bidi="fa-IR"/>
          <w:color w:val="111111"/>
          <w:sz w:val="28"/>
          <w:szCs w:val="28"/>
          <w:rtl/>
        </w:rPr>
        <w:t xml:space="preserve">۱۷. همدان؛ مدرسه غرب؛ شماره نسخه:۲۱۷۵</w:t>
      </w:r>
    </w:p>
    <w:p>
      <w:pPr>
        <w:pStyle w:val="BookText"/>
      </w:pPr>
      <w:r>
        <w:rPr>
          <w:rFonts w:ascii="IRNazanin" w:hAnsi="IRNazanin" w:eastAsia="IRNazanin" w:cs="IRNazanin"/>
          <w:lang w:bidi="fa-IR"/>
          <w:color w:val="111111"/>
          <w:sz w:val="28"/>
          <w:szCs w:val="28"/>
          <w:rtl/>
        </w:rPr>
        <w:t xml:space="preserve">خط: نستعلیق، بی کا، بی تا؛ افتادگی: انجام؛ قطع: وزیری (رشت و همدان: ف: ۱۲۴۵]</w:t>
      </w:r>
    </w:p>
    <w:p>
      <w:pPr>
        <w:pStyle w:val="BookText"/>
      </w:pPr>
      <w:r>
        <w:rPr>
          <w:rFonts w:ascii="IRNazanin" w:hAnsi="IRNazanin" w:eastAsia="IRNazanin" w:cs="IRNazanin"/>
          <w:lang w:bidi="fa-IR"/>
          <w:color w:val="111111"/>
          <w:sz w:val="28"/>
          <w:szCs w:val="28"/>
          <w:rtl/>
        </w:rPr>
        <w:t xml:space="preserve">۱۸. تهران، دانشگاه؛ شماره نسخه:۶۸۵-ف</w:t>
      </w:r>
    </w:p>
    <w:p>
      <w:pPr>
        <w:pStyle w:val="BookText"/>
      </w:pPr>
      <w:r>
        <w:rPr>
          <w:rFonts w:ascii="IRNazanin" w:hAnsi="IRNazanin" w:eastAsia="IRNazanin" w:cs="IRNazanin"/>
          <w:lang w:bidi="fa-IR"/>
          <w:color w:val="111111"/>
          <w:sz w:val="28"/>
          <w:szCs w:val="28"/>
          <w:rtl/>
        </w:rPr>
        <w:t xml:space="preserve">نسخه اصل: موزه بریتانیا .</w:t>
      </w:r>
      <w:r>
        <w:rPr>
          <w:rFonts w:ascii="Times New Roman" w:hAnsi="Times New Roman" w:eastAsia="Times New Roman" w:cs="Times New Roman"/>
          <w:lang w:val="en-US" w:bidi="en-US"/>
          <w:color w:val="111111"/>
          <w:sz w:val="28"/>
          <w:szCs w:val="28"/>
          <w:rtl/>
        </w:rPr>
        <w:t xml:space="preserve">Add </w:t>
      </w:r>
      <w:r>
        <w:rPr>
          <w:rFonts w:ascii="IRNazanin" w:hAnsi="IRNazanin" w:eastAsia="IRNazanin" w:cs="IRNazanin"/>
          <w:lang w:bidi="fa-IR"/>
          <w:color w:val="111111"/>
          <w:sz w:val="28"/>
          <w:szCs w:val="28"/>
          <w:rtl/>
        </w:rPr>
        <w:t xml:space="preserve">۲۳۴۹؛ خط: نستعلیق، بی کا، بی تا؛ ۴۳۱گ، ۱۷ سطر [فيلمها ف: ۱-۱۴۴]</w:t>
      </w:r>
    </w:p>
    <w:p>
      <w:pPr>
        <w:pStyle w:val="BookText"/>
      </w:pPr>
      <w:r>
        <w:rPr>
          <w:rFonts w:ascii="IRNazanin" w:hAnsi="IRNazanin" w:eastAsia="IRNazanin" w:cs="IRNazanin"/>
          <w:lang w:bidi="fa-IR"/>
          <w:color w:val="111111"/>
          <w:sz w:val="28"/>
          <w:szCs w:val="28"/>
          <w:rtl/>
        </w:rPr>
        <w:t xml:space="preserve">۱۹. تهران، دانشگاه؛ شماره نسخه: ۱۲۱۹ف</w:t>
      </w:r>
    </w:p>
    <w:p>
      <w:pPr>
        <w:pStyle w:val="BookText"/>
      </w:pPr>
      <w:r>
        <w:rPr>
          <w:rFonts w:ascii="IRNazanin" w:hAnsi="IRNazanin" w:eastAsia="IRNazanin" w:cs="IRNazanin"/>
          <w:lang w:bidi="fa-IR"/>
          <w:color w:val="111111"/>
          <w:sz w:val="28"/>
          <w:szCs w:val="28"/>
          <w:rtl/>
        </w:rPr>
        <w:t xml:space="preserve">نسخه اصل: بادلیان ش ۵-۲۸۴ اوزلی؛ خط: نستعلیق، بی کا، بی تا؛ ۴۸۴ ، ۲۴ سطر [فيلمها ف: ۱-۱۴۴]</w:t>
      </w:r>
    </w:p>
    <w:p>
      <w:pPr>
        <w:pStyle w:val="BookText"/>
      </w:pPr>
      <w:r>
        <w:rPr>
          <w:rFonts w:ascii="IRNazanin" w:hAnsi="IRNazanin" w:eastAsia="IRNazanin" w:cs="IRNazanin"/>
          <w:lang w:bidi="fa-IR"/>
          <w:color w:val="111111"/>
          <w:sz w:val="28"/>
          <w:szCs w:val="28"/>
          <w:rtl/>
        </w:rPr>
        <w:t xml:space="preserve">۲۰. شیراز؛ ملی؛ شماره نسخه:۸ت /۴۴</w:t>
      </w:r>
    </w:p>
    <w:p>
      <w:pPr>
        <w:pStyle w:val="BookText"/>
      </w:pPr>
      <w:r>
        <w:rPr>
          <w:rFonts w:ascii="IRNazanin" w:hAnsi="IRNazanin" w:eastAsia="IRNazanin" w:cs="IRNazanin"/>
          <w:lang w:bidi="fa-IR"/>
          <w:color w:val="111111"/>
          <w:sz w:val="28"/>
          <w:szCs w:val="28"/>
          <w:rtl/>
        </w:rPr>
        <w:t xml:space="preserve">آغاز: الحمدلله الملک القديم و المنان الكريم الرؤوف الرحيم؛ انجام: ای بار خدای تو او را یار و معین باش که تو بر همه چیزها توانا و قادری و صلى الله على خلقه محمد و آله اجمعين خط: نستعلیق، بی کا، بیتا با سرلوح، مذهب، محشی؛ کاغذ: نازک فرنگی، جلد: مقوا با تیماج قهوه ای سیر، ۳۰۸گ، ۲۱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۱-۴۳]</w:t>
      </w:r>
    </w:p>
    <w:p>
      <w:pPr>
        <w:pStyle w:val="BookText"/>
      </w:pPr>
      <w:r>
        <w:rPr>
          <w:rFonts w:ascii="IRNazanin" w:hAnsi="IRNazanin" w:eastAsia="IRNazanin" w:cs="IRNazanin"/>
          <w:lang w:bidi="fa-IR"/>
          <w:color w:val="111111"/>
          <w:sz w:val="28"/>
          <w:szCs w:val="28"/>
          <w:rtl/>
        </w:rPr>
        <w:t xml:space="preserve">۲۱. تهران؛ سلطنتی؛ شماره نسخه:۷۸۶</w:t>
      </w:r>
    </w:p>
    <w:p>
      <w:pPr>
        <w:pStyle w:val="BookText"/>
      </w:pPr>
      <w:r>
        <w:rPr>
          <w:rFonts w:ascii="IRNazanin" w:hAnsi="IRNazanin" w:eastAsia="IRNazanin" w:cs="IRNazanin"/>
          <w:lang w:bidi="fa-IR"/>
          <w:color w:val="111111"/>
          <w:sz w:val="28"/>
          <w:szCs w:val="28"/>
          <w:rtl/>
        </w:rPr>
        <w:t xml:space="preserve">آغاز: برابر؛ انجام: بر فوت امام حسین(عليه السلام)و دیگر عزیزان نوحها میکردند علی ابن حسین روزی بازار دمشق میگذشت المنهال بن عمر و الصبانی او را پیش آمد پرسید خط: نستعلیق، بی کا، بی تا، افتادگی: انجام؛ مجدول، یک سرلوح کتیبه ای؛ کاغذ: بغدادی، جلد: مقوای روکش چرم تریاکی وسط ترنج و سرترنج، ۸۸۹ص، ۲۱ سطر،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سم [ف: ۵-۱۸]</w:t>
      </w:r>
    </w:p>
    <w:p>
      <w:pPr>
        <w:pStyle w:val="BookText"/>
      </w:pPr>
      <w:r>
        <w:rPr>
          <w:rFonts w:ascii="IRNazanin" w:hAnsi="IRNazanin" w:eastAsia="IRNazanin" w:cs="IRNazanin"/>
          <w:lang w:bidi="fa-IR"/>
          <w:color w:val="111111"/>
          <w:sz w:val="28"/>
          <w:szCs w:val="28"/>
          <w:rtl/>
        </w:rPr>
        <w:t xml:space="preserve">۲۲. تهران؛ سلطنتی؛ شماره نسخه: ۹۲۰</w:t>
      </w:r>
    </w:p>
    <w:p>
      <w:pPr>
        <w:pStyle w:val="BookText"/>
      </w:pPr>
      <w:r>
        <w:rPr>
          <w:rFonts w:ascii="IRNazanin" w:hAnsi="IRNazanin" w:eastAsia="IRNazanin" w:cs="IRNazanin"/>
          <w:lang w:bidi="fa-IR"/>
          <w:color w:val="111111"/>
          <w:sz w:val="28"/>
          <w:szCs w:val="28"/>
          <w:rtl/>
        </w:rPr>
        <w:t xml:space="preserve">آغاز: بسم الله الرحمن الرحيم وبه نستعين الحمدالله الملک القديم و المنان الكريم الروف الرحیم هو الاول و الاخر و الباطن و الظاهر و هو بكل شيئ علیم ... بعد هذا میگوید فقیر و حقیر اضعف عبادالله القوى محمد بن احمد المستوفي الهروی که چون ایام جوانی و کهولت در خدمت اکابر وقت و اعاظم روزگار گذرانیده آمد و سرد و گرم و شیرین و تلخ ایام دیده و شنیده و چشیده شد و آفتاب عمر روی بافق مغرب و پیری نهاد و اندیشه يوم معاد سایه افکنده عزیمت انزوا و عزلت مصمم کرده آمد و دست از تنبع اشغال کشیده؛ انجام: ذکر سخن گفتن زینب دختر علی بن ابیطالب علیه السلام شيبة بن حریم الاسدی میگوید سخن زینب استماع کردم و گوش بمطالع و مقاصد کلمات او داشتم هیچ زن ... نام کتاب و مؤلف به قرینه آغاز آن تعیین گردید؛ خط: نستعلیق، بی کا، بی تا؛ مجدول، کمنددار، یک سرلوح مذهب؛ کاغذ: ختائی، جلد: مقوای روکش چرم لاکی، ۵۵۹ص، ۱۹ سطر، اندازه: ۱۷/۸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۵-۲۰)</w:t>
      </w:r>
    </w:p>
    <w:p>
      <w:pPr>
        <w:pStyle w:val="Heading3"/>
      </w:pPr>
      <w:bookmarkStart w:id="2489" w:name="_Toc1749"/>
      <w:r>
        <w:t>•تاریخ فتوح ابن اعثم کوفی (ترجمه) / تاریخ اسلام / فارسی</w:t>
      </w:r>
      <w:bookmarkEnd w:id="2489"/>
    </w:p>
    <w:p>
      <w:pPr>
        <w:pStyle w:val="BookText"/>
      </w:pPr>
      <w:r>
        <w:rPr>
          <w:rFonts w:ascii="Times New Roman" w:hAnsi="Times New Roman" w:eastAsia="Times New Roman" w:cs="Times New Roman"/>
          <w:lang w:val="en-US" w:bidi="en-US"/>
          <w:color w:val="111111"/>
          <w:sz w:val="28"/>
          <w:szCs w:val="28"/>
          <w:rtl/>
        </w:rPr>
        <w:t xml:space="preserve">tārīx-e fotūh-e ebn-e a-sam-e kūfī (t.)</w:t>
      </w:r>
    </w:p>
    <w:p>
      <w:pPr>
        <w:pStyle w:val="BookText"/>
      </w:pPr>
      <w:r>
        <w:rPr>
          <w:rFonts w:ascii="IRNazanin" w:hAnsi="IRNazanin" w:eastAsia="IRNazanin" w:cs="IRNazanin"/>
          <w:lang w:bidi="fa-IR"/>
          <w:color w:val="111111"/>
          <w:sz w:val="28"/>
          <w:szCs w:val="28"/>
          <w:rtl/>
        </w:rPr>
        <w:t xml:space="preserve">وابسته به: الفتوح؛ ابن اعثم کوفی، احمد بن اعثم (-۳۱۴)</w:t>
      </w:r>
    </w:p>
    <w:p>
      <w:pPr>
        <w:pStyle w:val="BookText"/>
      </w:pPr>
      <w:r>
        <w:rPr>
          <w:rFonts w:ascii="IRNazanin" w:hAnsi="IRNazanin" w:eastAsia="IRNazanin" w:cs="IRNazanin"/>
          <w:lang w:bidi="fa-IR"/>
          <w:color w:val="111111"/>
          <w:sz w:val="28"/>
          <w:szCs w:val="28"/>
          <w:rtl/>
        </w:rPr>
        <w:t xml:space="preserve">تهران؛ ملی؛ شماره نسخه:۱۷۲۴</w:t>
      </w:r>
    </w:p>
    <w:p>
      <w:pPr>
        <w:pStyle w:val="BookText"/>
      </w:pPr>
      <w:r>
        <w:rPr>
          <w:rFonts w:ascii="IRNazanin" w:hAnsi="IRNazanin" w:eastAsia="IRNazanin" w:cs="IRNazanin"/>
          <w:lang w:bidi="fa-IR"/>
          <w:color w:val="111111"/>
          <w:sz w:val="28"/>
          <w:szCs w:val="28"/>
          <w:rtl/>
        </w:rPr>
        <w:t xml:space="preserve">آغاز: باطریق اطاعت و موافقت از بدو ترا این معنی معلوم شد؛ انجام: رو بساقی خویشتن او را گفت ... ثم مل مثلها ابن زیاد این نسخه حاوی نصف آخر تاریخ اعثم کوفی است و از اول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529" w:name="pg20363_209844"/>
    <w:bookmarkEnd w:id="529"/>
    <w:p>
      <w:pPr>
        <w:pStyle w:val="BookText"/>
      </w:pPr>
      <w:r>
        <w:rPr>
          <w:rFonts w:ascii="IRNazanin" w:hAnsi="IRNazanin" w:eastAsia="IRNazanin" w:cs="IRNazanin"/>
          <w:lang w:bidi="fa-IR"/>
          <w:color w:val="111111"/>
          <w:sz w:val="28"/>
          <w:szCs w:val="28"/>
          <w:rtl/>
        </w:rPr>
        <w:t xml:space="preserve">خلافت حضرت امیر شروع می شود تا بردن اهل بیت سید الشهداء به شام خط: نستعلیق، کا: محمد مومن مشهدی، تا: ۱۰۲۴ق؛ کاغذ: اصفهانی، جلد: تیماج و بنفش، ۲۴۵گ، ۲۳سطر ( ۲۵/۵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سم [ف: ۴-۱۹۰]</w:t>
      </w:r>
    </w:p>
    <w:p>
      <w:pPr>
        <w:pStyle w:val="Heading3"/>
      </w:pPr>
      <w:bookmarkStart w:id="2490" w:name="_Toc1750"/>
      <w:r>
        <w:t>•تاریخ فتوح ابن اعثم کوفی (ترجمه) / تاریخ اسلام / فارسی</w:t>
      </w:r>
      <w:bookmarkEnd w:id="2490"/>
    </w:p>
    <w:p>
      <w:pPr>
        <w:pStyle w:val="BookText"/>
      </w:pPr>
      <w:r>
        <w:rPr>
          <w:rFonts w:ascii="Times New Roman" w:hAnsi="Times New Roman" w:eastAsia="Times New Roman" w:cs="Times New Roman"/>
          <w:lang w:val="en-US" w:bidi="en-US"/>
          <w:color w:val="111111"/>
          <w:sz w:val="28"/>
          <w:szCs w:val="28"/>
          <w:rtl/>
        </w:rPr>
        <w:t xml:space="preserve">tārīx-e fotūh-e ebn-e a-sam-e kūfī (t.)</w:t>
      </w:r>
    </w:p>
    <w:p>
      <w:pPr>
        <w:pStyle w:val="BookText"/>
      </w:pPr>
      <w:r>
        <w:rPr>
          <w:rFonts w:ascii="IRNazanin" w:hAnsi="IRNazanin" w:eastAsia="IRNazanin" w:cs="IRNazanin"/>
          <w:lang w:bidi="fa-IR"/>
          <w:color w:val="111111"/>
          <w:sz w:val="28"/>
          <w:szCs w:val="28"/>
          <w:rtl/>
        </w:rPr>
        <w:t xml:space="preserve">وابسته به: الفتوح؛ ابن اعثم کوفی، احمد بن اعثم (-۳۱۴) مترجم ناشناخته ولی شیعه بوده است. از آغاز خلافت امیر المؤمنین علی بن ابیطالب(عليه السلام)تا ذكر آوردن اهل البيت امیر المومنین حسین (عليه السلام)را به نزدیک عبیدالله زیاد عليه اللعنة. کاتب نسخه را به آخر نرسانده و شاید هم مترجم.</w:t>
      </w:r>
    </w:p>
    <w:p>
      <w:pPr>
        <w:pStyle w:val="BookText"/>
      </w:pPr>
      <w:r>
        <w:rPr>
          <w:rFonts w:ascii="IRNazanin" w:hAnsi="IRNazanin" w:eastAsia="IRNazanin" w:cs="IRNazanin"/>
          <w:lang w:bidi="fa-IR"/>
          <w:color w:val="111111"/>
          <w:sz w:val="28"/>
          <w:szCs w:val="28"/>
          <w:rtl/>
        </w:rPr>
        <w:t xml:space="preserve">مشهد؛ ادبیات، شماره نسخه: ۵۲ فرخ</w:t>
      </w:r>
    </w:p>
    <w:p>
      <w:pPr>
        <w:pStyle w:val="BookText"/>
      </w:pPr>
      <w:r>
        <w:rPr>
          <w:rFonts w:ascii="IRNazanin" w:hAnsi="IRNazanin" w:eastAsia="IRNazanin" w:cs="IRNazanin"/>
          <w:lang w:bidi="fa-IR"/>
          <w:color w:val="111111"/>
          <w:sz w:val="28"/>
          <w:szCs w:val="28"/>
          <w:rtl/>
        </w:rPr>
        <w:t xml:space="preserve">آغاز: بسمله چون عثمانرا بکشتند مردمان پیامی بخدمت امیر المومنین علی علیه السلام؛ انجام: گفتند یا امیر دستوری فرمای تا کلمه چند بگوید باشد که از او چیزی خط: نستعلیق، بی کا، بی تا؛ نوشته شده: «این کتاب از مال خالص ... حاج محمد عظیم ولد ... حاج يعقوب تاجر مروى در شعبان ۱۱۲۸»؛ کاغذ: شکری رنگ، جلد: تیماج تریاکی، ۲۱۶گ، ۲۲ سطر (۱۱/۵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۲۲/۵)،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۲۹/۵سم [ف: ۲۷]</w:t>
      </w:r>
    </w:p>
    <w:p>
      <w:pPr>
        <w:pStyle w:val="BookText"/>
      </w:pPr>
      <w:r>
        <w:rPr>
          <w:rFonts w:ascii="IRNazanin" w:hAnsi="IRNazanin" w:eastAsia="IRNazanin" w:cs="IRNazanin"/>
          <w:lang w:bidi="fa-IR"/>
          <w:color w:val="111111"/>
          <w:sz w:val="28"/>
          <w:szCs w:val="28"/>
          <w:rtl/>
        </w:rPr>
        <w:t xml:space="preserve">←تاریخ فتوحات ← حوادث نامه</w:t>
      </w:r>
    </w:p>
    <w:p>
      <w:pPr>
        <w:pStyle w:val="Heading3"/>
      </w:pPr>
      <w:bookmarkStart w:id="2491" w:name="_Toc1751"/>
      <w:r>
        <w:t>•تاریخ فتوح الشام / تاریخ / عربی</w:t>
      </w:r>
      <w:bookmarkEnd w:id="2491"/>
    </w:p>
    <w:p>
      <w:pPr>
        <w:pStyle w:val="BookText"/>
      </w:pPr>
      <w:r>
        <w:rPr>
          <w:rFonts w:ascii="Times New Roman" w:hAnsi="Times New Roman" w:eastAsia="Times New Roman" w:cs="Times New Roman"/>
          <w:lang w:val="en-US" w:bidi="en-US"/>
          <w:color w:val="111111"/>
          <w:sz w:val="28"/>
          <w:szCs w:val="28"/>
          <w:rtl/>
        </w:rPr>
        <w:t xml:space="preserve">tārīx-u futūḥ-iš šām</w:t>
      </w:r>
    </w:p>
    <w:p>
      <w:pPr>
        <w:pStyle w:val="BookText"/>
      </w:pPr>
      <w:r>
        <w:rPr>
          <w:rFonts w:ascii="IRNazanin" w:hAnsi="IRNazanin" w:eastAsia="IRNazanin" w:cs="IRNazanin"/>
          <w:lang w:bidi="fa-IR"/>
          <w:color w:val="111111"/>
          <w:sz w:val="28"/>
          <w:szCs w:val="28"/>
          <w:rtl/>
        </w:rPr>
        <w:t xml:space="preserve">تهران؛ ملی؛ شماره نسخه: ۲۵۷۸۸</w:t>
      </w:r>
    </w:p>
    <w:p>
      <w:pPr>
        <w:pStyle w:val="BookText"/>
      </w:pPr>
      <w:r>
        <w:rPr>
          <w:rFonts w:ascii="IRNazanin" w:hAnsi="IRNazanin" w:eastAsia="IRNazanin" w:cs="IRNazanin"/>
          <w:lang w:bidi="fa-IR"/>
          <w:color w:val="111111"/>
          <w:sz w:val="28"/>
          <w:szCs w:val="28"/>
          <w:rtl/>
        </w:rPr>
        <w:t xml:space="preserve">بی کا، تا: ۱۲۸۱ق؛ خریداری از امرالله صفری [رایانه]</w:t>
      </w:r>
    </w:p>
    <w:p>
      <w:pPr>
        <w:pStyle w:val="Heading3"/>
      </w:pPr>
      <w:bookmarkStart w:id="2492" w:name="_Toc1752"/>
      <w:r>
        <w:t>•تاریخ فتوح شام / تاریخ / فارسی</w:t>
      </w:r>
      <w:bookmarkEnd w:id="2492"/>
    </w:p>
    <w:p>
      <w:pPr>
        <w:pStyle w:val="BookText"/>
      </w:pPr>
      <w:r>
        <w:rPr>
          <w:rFonts w:ascii="Times New Roman" w:hAnsi="Times New Roman" w:eastAsia="Times New Roman" w:cs="Times New Roman"/>
          <w:lang w:val="en-US" w:bidi="en-US"/>
          <w:color w:val="111111"/>
          <w:sz w:val="28"/>
          <w:szCs w:val="28"/>
          <w:rtl/>
        </w:rPr>
        <w:t xml:space="preserve">tārīx-e fotūh-e šām</w:t>
      </w:r>
    </w:p>
    <w:p>
      <w:pPr>
        <w:pStyle w:val="BookText"/>
      </w:pPr>
      <w:r>
        <w:rPr>
          <w:rFonts w:ascii="IRNazanin" w:hAnsi="IRNazanin" w:eastAsia="IRNazanin" w:cs="IRNazanin"/>
          <w:lang w:bidi="fa-IR"/>
          <w:color w:val="111111"/>
          <w:sz w:val="28"/>
          <w:szCs w:val="28"/>
          <w:rtl/>
        </w:rPr>
        <w:t xml:space="preserve">تهران، دانشگاه: شماره نسخه:۱۸۸۳-ف</w:t>
      </w:r>
    </w:p>
    <w:p>
      <w:pPr>
        <w:pStyle w:val="BookText"/>
      </w:pPr>
      <w:r>
        <w:rPr>
          <w:rFonts w:ascii="IRNazanin" w:hAnsi="IRNazanin" w:eastAsia="IRNazanin" w:cs="IRNazanin"/>
          <w:lang w:bidi="fa-IR"/>
          <w:color w:val="111111"/>
          <w:sz w:val="28"/>
          <w:szCs w:val="28"/>
          <w:rtl/>
        </w:rPr>
        <w:t xml:space="preserve">نسخه اصل: دیوان هند ۲۴۸ اته ۱۳۴؛ بی کا، بی تا، ۳۴۶گ [فيلمها ف: ۱-۳۵]</w:t>
      </w:r>
    </w:p>
    <w:p>
      <w:pPr>
        <w:pStyle w:val="Heading3"/>
      </w:pPr>
      <w:bookmarkStart w:id="2493" w:name="_Toc1753"/>
      <w:r>
        <w:t>•تاریخ فرانسه / تاریخ / فارسی</w:t>
      </w:r>
      <w:bookmarkEnd w:id="2493"/>
    </w:p>
    <w:p>
      <w:pPr>
        <w:pStyle w:val="BookText"/>
      </w:pPr>
      <w:r>
        <w:rPr>
          <w:rFonts w:ascii="Times New Roman" w:hAnsi="Times New Roman" w:eastAsia="Times New Roman" w:cs="Times New Roman"/>
          <w:lang w:val="en-US" w:bidi="en-US"/>
          <w:color w:val="111111"/>
          <w:sz w:val="28"/>
          <w:szCs w:val="28"/>
          <w:rtl/>
        </w:rPr>
        <w:t xml:space="preserve">tārīx-e farānse</w:t>
      </w:r>
    </w:p>
    <w:p>
      <w:pPr>
        <w:pStyle w:val="BookText"/>
      </w:pPr>
      <w:r>
        <w:rPr>
          <w:rFonts w:ascii="IRNazanin" w:hAnsi="IRNazanin" w:eastAsia="IRNazanin" w:cs="IRNazanin"/>
          <w:lang w:bidi="fa-IR"/>
          <w:color w:val="111111"/>
          <w:sz w:val="28"/>
          <w:szCs w:val="28"/>
          <w:rtl/>
        </w:rPr>
        <w:t xml:space="preserve">میرزا آقا بن میرزا بابا بیک، ق ۱۴ قمری</w:t>
      </w:r>
    </w:p>
    <w:p>
      <w:pPr>
        <w:pStyle w:val="BookText"/>
      </w:pPr>
      <w:r>
        <w:rPr>
          <w:rFonts w:ascii="Times New Roman" w:hAnsi="Times New Roman" w:eastAsia="Times New Roman" w:cs="Times New Roman"/>
          <w:lang w:val="en-US" w:bidi="en-US"/>
          <w:color w:val="111111"/>
          <w:sz w:val="28"/>
          <w:szCs w:val="28"/>
          <w:rtl/>
        </w:rPr>
        <w:t xml:space="preserve">mīrzā ācā ebn-e mīrzā bābā beyk (-20c)</w:t>
      </w:r>
    </w:p>
    <w:p>
      <w:pPr>
        <w:pStyle w:val="BookText"/>
      </w:pPr>
      <w:r>
        <w:rPr>
          <w:rFonts w:ascii="IRNazanin" w:hAnsi="IRNazanin" w:eastAsia="IRNazanin" w:cs="IRNazanin"/>
          <w:lang w:bidi="fa-IR"/>
          <w:color w:val="111111"/>
          <w:sz w:val="28"/>
          <w:szCs w:val="28"/>
          <w:rtl/>
        </w:rPr>
        <w:t xml:space="preserve">اهداء به: ناصر الدین شاه</w:t>
      </w:r>
    </w:p>
    <w:p>
      <w:pPr>
        <w:pStyle w:val="BookText"/>
      </w:pPr>
      <w:r>
        <w:rPr>
          <w:rFonts w:ascii="IRNazanin" w:hAnsi="IRNazanin" w:eastAsia="IRNazanin" w:cs="IRNazanin"/>
          <w:lang w:bidi="fa-IR"/>
          <w:color w:val="111111"/>
          <w:sz w:val="28"/>
          <w:szCs w:val="28"/>
          <w:rtl/>
        </w:rPr>
        <w:t xml:space="preserve">تاریخ تأليف: ۱۳۰۲ ق مؤلف، که سمت کارگزاری کربلای معلی را داشته است، این کتاب را درباره تاریخ فرانسه از منابع مختلف جمع آوری کرده و ترجمه نموده است. این کتاب از ورود قوم «سلت» به «گل» آغاز سخن می کند و سپس شرح حال یک یک شاهان فرانسه را می آورد تا به لوى فيليپ اول از طائفه اورلئان می رسد و در این جا کتاب را به پایان می برد.</w:t>
      </w:r>
    </w:p>
    <w:p>
      <w:pPr>
        <w:pStyle w:val="BookText"/>
      </w:pPr>
      <w:r>
        <w:rPr>
          <w:rFonts w:ascii="IRNazanin" w:hAnsi="IRNazanin" w:eastAsia="IRNazanin" w:cs="IRNazanin"/>
          <w:lang w:bidi="fa-IR"/>
          <w:color w:val="111111"/>
          <w:sz w:val="28"/>
          <w:szCs w:val="28"/>
          <w:rtl/>
        </w:rPr>
        <w:t xml:space="preserve">تهران؛ ملی؛ شماره نسخه:۱۶۵</w:t>
      </w:r>
    </w:p>
    <w:p>
      <w:pPr>
        <w:pStyle w:val="BookText"/>
      </w:pPr>
      <w:r>
        <w:rPr>
          <w:rFonts w:ascii="IRNazanin" w:hAnsi="IRNazanin" w:eastAsia="IRNazanin" w:cs="IRNazanin"/>
          <w:lang w:bidi="fa-IR"/>
          <w:color w:val="111111"/>
          <w:sz w:val="28"/>
          <w:szCs w:val="28"/>
          <w:rtl/>
        </w:rPr>
        <w:t xml:space="preserve">آغاز: بسمله، از قراریکه مورخین می نویسند در سال هزار و پانصد و هشتاد قبل از حضرت مسیح قومی از طوائف آسیا موسوم به سلت آمده در طرف مشرق اروپا سکنا نمودند؛ انجام: در ماه (او) سلطنت فرانسه از طرف وکلای ملت به شاهزاده اورلئان واگذار شد که در تحت نام لوی فیلیپ بتخت سلطنت برقرار و زمام حکمرانی را بدست خویش گرفت خط: نستعلیق خوش، کاتب = مؤلف (محتملا)، تا: ۱۳۰۲ق، جا تهران؛ آخر نسخه: «برفته بود ز هجرت هزار و سیصد و دو***که اختتام پذیرفت این کتاب ز نو»، با سرلوح مذهب، مجدول؛ کاغذ: فرنگی، جلد: مخمل سبز، ۸۱گ، ۱۳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۱-۱۷۰]</w:t>
      </w:r>
    </w:p>
    <w:p>
      <w:pPr>
        <w:pStyle w:val="Heading3"/>
      </w:pPr>
      <w:bookmarkStart w:id="2494" w:name="_Toc1754"/>
      <w:r>
        <w:t>•تاریخ فرانسه (ترجمه) / تاریخ / فارسی</w:t>
      </w:r>
      <w:bookmarkEnd w:id="2494"/>
    </w:p>
    <w:p>
      <w:pPr>
        <w:pStyle w:val="BookText"/>
      </w:pPr>
      <w:r>
        <w:rPr>
          <w:rFonts w:ascii="Times New Roman" w:hAnsi="Times New Roman" w:eastAsia="Times New Roman" w:cs="Times New Roman"/>
          <w:lang w:val="en-US" w:bidi="en-US"/>
          <w:color w:val="111111"/>
          <w:sz w:val="28"/>
          <w:szCs w:val="28"/>
          <w:rtl/>
        </w:rPr>
        <w:t xml:space="preserve">tārīx-e farānse</w:t>
      </w:r>
    </w:p>
    <w:p>
      <w:pPr>
        <w:pStyle w:val="BookText"/>
      </w:pPr>
      <w:r>
        <w:rPr>
          <w:rFonts w:ascii="IRNazanin" w:hAnsi="IRNazanin" w:eastAsia="IRNazanin" w:cs="IRNazanin"/>
          <w:lang w:bidi="fa-IR"/>
          <w:color w:val="111111"/>
          <w:sz w:val="28"/>
          <w:szCs w:val="28"/>
          <w:rtl/>
        </w:rPr>
        <w:t xml:space="preserve">ثمر انصاری، حسین بن محمد علی، ۱۲۸۴-۱۳۴۴ قمری</w:t>
      </w:r>
    </w:p>
    <w:p>
      <w:pPr>
        <w:pStyle w:val="BookText"/>
      </w:pPr>
      <w:r>
        <w:rPr>
          <w:rFonts w:ascii="Times New Roman" w:hAnsi="Times New Roman" w:eastAsia="Times New Roman" w:cs="Times New Roman"/>
          <w:lang w:val="en-US" w:bidi="en-US"/>
          <w:color w:val="111111"/>
          <w:sz w:val="28"/>
          <w:szCs w:val="28"/>
          <w:rtl/>
        </w:rPr>
        <w:t xml:space="preserve">samar-e ansārī, hoseyn ebn-e mohammad ‘alā (1868 1926)</w:t>
      </w:r>
    </w:p>
    <w:p>
      <w:pPr>
        <w:pStyle w:val="BookText"/>
      </w:pPr>
      <w:r>
        <w:rPr>
          <w:rFonts w:ascii="IRNazanin" w:hAnsi="IRNazanin" w:eastAsia="IRNazanin" w:cs="IRNazanin"/>
          <w:lang w:bidi="fa-IR"/>
          <w:color w:val="111111"/>
          <w:sz w:val="28"/>
          <w:szCs w:val="28"/>
          <w:rtl/>
        </w:rPr>
        <w:t xml:space="preserve">تاریخ تأليف: رجب ۱۳۰۸ق؛ محل تالیف: تهران ترجمه ای است از تاریخ فرانسه به وسیله میر آقا خان حسین ثمر انصاری فرزند میرزا بابا خان صورت گرفته و در تهران به چاپ رسیده است. [مشار فارسی ۱۱۱۲/۱ ]</w:t>
      </w:r>
    </w:p>
    <w:p>
      <w:pPr>
        <w:pStyle w:val="BookText"/>
      </w:pPr>
      <w:r>
        <w:rPr>
          <w:rFonts w:ascii="IRNazanin" w:hAnsi="IRNazanin" w:eastAsia="IRNazanin" w:cs="IRNazanin"/>
          <w:lang w:bidi="fa-IR"/>
          <w:color w:val="111111"/>
          <w:sz w:val="28"/>
          <w:szCs w:val="28"/>
          <w:rtl/>
        </w:rPr>
        <w:t xml:space="preserve">تهران؛ مجلس؛ شماره نسخه:۷۶۷۶</w:t>
      </w:r>
    </w:p>
    <w:p>
      <w:pPr>
        <w:pStyle w:val="BookText"/>
      </w:pPr>
      <w:r>
        <w:rPr>
          <w:rFonts w:ascii="IRNazanin" w:hAnsi="IRNazanin" w:eastAsia="IRNazanin" w:cs="IRNazanin"/>
          <w:lang w:bidi="fa-IR"/>
          <w:color w:val="111111"/>
          <w:sz w:val="28"/>
          <w:szCs w:val="28"/>
          <w:rtl/>
        </w:rPr>
        <w:t xml:space="preserve">آغاز: یکهزار و پانصد و هشتاد سال قبل از حضرت عیسی علی نبینا و آله و عليه السلام طایفه ای از طوایف آسیا موسوم به ثلت به اروپ گذر نموده هوا را مساعد دیده در طرف مغرب سکنی کردند پس از چندی معروف به انجام: تمام شد تاریخ سلاطین فرانسه از ابتدای توطن و تمدن ایشان در خاک اروپ تا زمان لوی فلیپ، ترجمه شده اقل چاکران و خانه زادان دولت ابد آیت قاهره میرزا آقا بن میرزا بابا خان در دارالخلافه الباهره در شهر رجب المرجب.</w:t>
      </w:r>
    </w:p>
    <w:p>
      <w:pPr>
        <w:pStyle w:val="BookText"/>
      </w:pPr>
      <w:r>
        <w:rPr>
          <w:rFonts w:ascii="IRNazanin" w:hAnsi="IRNazanin" w:eastAsia="IRNazanin" w:cs="IRNazanin"/>
          <w:lang w:bidi="fa-IR"/>
          <w:color w:val="111111"/>
          <w:sz w:val="28"/>
          <w:szCs w:val="28"/>
          <w:rtl/>
        </w:rPr>
        <w:t xml:space="preserve">خط: نستعلیق، بی کا، بی تا، مجدول محرر، مذهب، با سرلوح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530" w:name="pg20363_209845"/>
    <w:bookmarkEnd w:id="530"/>
    <w:p>
      <w:pPr>
        <w:pStyle w:val="BookText"/>
      </w:pPr>
      <w:r>
        <w:rPr>
          <w:rFonts w:ascii="IRNazanin" w:hAnsi="IRNazanin" w:eastAsia="IRNazanin" w:cs="IRNazanin"/>
          <w:lang w:bidi="fa-IR"/>
          <w:color w:val="111111"/>
          <w:sz w:val="28"/>
          <w:szCs w:val="28"/>
          <w:rtl/>
        </w:rPr>
        <w:t xml:space="preserve">مزدوج مذهب مرصع؛ جلد: تیماج قرمز مجدول، ۹۷گ، ۱۰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۲۶-۱۷۳]</w:t>
      </w:r>
    </w:p>
    <w:p>
      <w:pPr>
        <w:pStyle w:val="Heading3"/>
      </w:pPr>
      <w:bookmarkStart w:id="2495" w:name="_Toc1755"/>
      <w:r>
        <w:t>•تاریخ فرانسه / تاریخ / فارسی</w:t>
      </w:r>
      <w:bookmarkEnd w:id="2495"/>
    </w:p>
    <w:p>
      <w:pPr>
        <w:pStyle w:val="BookText"/>
      </w:pPr>
      <w:r>
        <w:rPr>
          <w:rFonts w:ascii="Times New Roman" w:hAnsi="Times New Roman" w:eastAsia="Times New Roman" w:cs="Times New Roman"/>
          <w:lang w:val="en-US" w:bidi="en-US"/>
          <w:color w:val="111111"/>
          <w:sz w:val="28"/>
          <w:szCs w:val="28"/>
          <w:rtl/>
        </w:rPr>
        <w:t xml:space="preserve">tārīx-e farānse</w:t>
      </w:r>
    </w:p>
    <w:p>
      <w:pPr>
        <w:pStyle w:val="BookText"/>
      </w:pPr>
      <w:r>
        <w:rPr>
          <w:rFonts w:ascii="IRNazanin" w:hAnsi="IRNazanin" w:eastAsia="IRNazanin" w:cs="IRNazanin"/>
          <w:lang w:bidi="fa-IR"/>
          <w:color w:val="111111"/>
          <w:sz w:val="28"/>
          <w:szCs w:val="28"/>
          <w:rtl/>
        </w:rPr>
        <w:t xml:space="preserve">تاریخ فرانسه در دوران سلطنت لویی چهاردهم و پیش از انقلاب فرانسه است.</w:t>
      </w:r>
    </w:p>
    <w:p>
      <w:pPr>
        <w:pStyle w:val="BookText"/>
      </w:pPr>
      <w:r>
        <w:rPr>
          <w:rFonts w:ascii="IRNazanin" w:hAnsi="IRNazanin" w:eastAsia="IRNazanin" w:cs="IRNazanin"/>
          <w:lang w:bidi="fa-IR"/>
          <w:color w:val="111111"/>
          <w:sz w:val="28"/>
          <w:szCs w:val="28"/>
          <w:rtl/>
        </w:rPr>
        <w:t xml:space="preserve">قم؛ مسجد اعظم، شماره نسخه:۴۱۶۹</w:t>
      </w:r>
    </w:p>
    <w:p>
      <w:pPr>
        <w:pStyle w:val="BookText"/>
      </w:pPr>
      <w:r>
        <w:rPr>
          <w:rFonts w:ascii="IRNazanin" w:hAnsi="IRNazanin" w:eastAsia="IRNazanin" w:cs="IRNazanin"/>
          <w:lang w:bidi="fa-IR"/>
          <w:color w:val="111111"/>
          <w:sz w:val="28"/>
          <w:szCs w:val="28"/>
          <w:rtl/>
        </w:rPr>
        <w:t xml:space="preserve">آغاز: در فصول سابقه دیدیم که عظمت داشته ... در عهد لوی ۱۴ به کمال رسید و حکومت استبدادی با همه صفات لازمه اش در فرانسه عرض وجود نمودند؛ انجام: ملکه فورا مازارن را که ظاهرة با نظریات سیاسی اش مخالف بود ... تعیین نموده و مخالفين خود را به دین ترتیب ساکت می کند. خط: نستعلیق، بی کا، بی تا؛ جلد: گالینگور سبز، عطف تیماج زرشکی، ۳۹۳گ، مختلف السطر،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مخ: ۱-۳۱۳]</w:t>
      </w:r>
    </w:p>
    <w:p>
      <w:pPr>
        <w:pStyle w:val="Heading3"/>
      </w:pPr>
      <w:bookmarkStart w:id="2496" w:name="_Toc1756"/>
      <w:r>
        <w:t>•تاریخ فرانسه و ممالک دیگر / تاریخ / فارسی</w:t>
      </w:r>
      <w:bookmarkEnd w:id="2496"/>
    </w:p>
    <w:p>
      <w:pPr>
        <w:pStyle w:val="BookText"/>
      </w:pPr>
      <w:r>
        <w:rPr>
          <w:rFonts w:ascii="Times New Roman" w:hAnsi="Times New Roman" w:eastAsia="Times New Roman" w:cs="Times New Roman"/>
          <w:lang w:val="en-US" w:bidi="en-US"/>
          <w:color w:val="111111"/>
          <w:sz w:val="28"/>
          <w:szCs w:val="28"/>
          <w:rtl/>
        </w:rPr>
        <w:t xml:space="preserve">tārīx-e farānse va mamālek-e dīgar</w:t>
      </w:r>
    </w:p>
    <w:p>
      <w:pPr>
        <w:pStyle w:val="BookText"/>
      </w:pPr>
      <w:r>
        <w:rPr>
          <w:rFonts w:ascii="IRNazanin" w:hAnsi="IRNazanin" w:eastAsia="IRNazanin" w:cs="IRNazanin"/>
          <w:lang w:bidi="fa-IR"/>
          <w:color w:val="111111"/>
          <w:sz w:val="28"/>
          <w:szCs w:val="28"/>
          <w:rtl/>
        </w:rPr>
        <w:t xml:space="preserve">مختصری است در تاریخ ممالک اروپایی که به قلم یکی از معاصرین نوشته شده است.</w:t>
      </w:r>
    </w:p>
    <w:p>
      <w:pPr>
        <w:pStyle w:val="BookText"/>
      </w:pPr>
      <w:r>
        <w:rPr>
          <w:rFonts w:ascii="IRNazanin" w:hAnsi="IRNazanin" w:eastAsia="IRNazanin" w:cs="IRNazanin"/>
          <w:lang w:bidi="fa-IR"/>
          <w:color w:val="111111"/>
          <w:sz w:val="28"/>
          <w:szCs w:val="28"/>
          <w:rtl/>
        </w:rPr>
        <w:t xml:space="preserve">قم؛ مسجد اعظم؛ شماره نسخه: ۱۲۹۱</w:t>
      </w:r>
    </w:p>
    <w:p>
      <w:pPr>
        <w:pStyle w:val="BookText"/>
      </w:pPr>
      <w:r>
        <w:rPr>
          <w:rFonts w:ascii="IRNazanin" w:hAnsi="IRNazanin" w:eastAsia="IRNazanin" w:cs="IRNazanin"/>
          <w:lang w:bidi="fa-IR"/>
          <w:color w:val="111111"/>
          <w:sz w:val="28"/>
          <w:szCs w:val="28"/>
          <w:rtl/>
        </w:rPr>
        <w:t xml:space="preserve">آغاز: با ثروت ترین ممالک اروپا در شانزدهم مملکت ایتالیا بود که از حیث آبادی و تمدن و ثروت طبیعی و علم و هنر؛ انجام: هنرمندان را تشویق کرده اند به طوری که عمارت ایشان مجموع هنرمندان وم حل تربیت جوانان با استعداد بوده است. خط: نستعلیق، بی کا، بی تاب افتادگی: آغاز؛ جلد: مقوا، ۳۱گ، مختلف السطر،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۱۹سم[ف مخ: ۱-۳۱۳]</w:t>
      </w:r>
    </w:p>
    <w:p>
      <w:pPr>
        <w:pStyle w:val="Heading3"/>
      </w:pPr>
      <w:bookmarkStart w:id="2497" w:name="_Toc1757"/>
      <w:r>
        <w:t>•تاریخ فرخ آباد / تاریخ / فارسی</w:t>
      </w:r>
      <w:bookmarkEnd w:id="2497"/>
    </w:p>
    <w:p>
      <w:pPr>
        <w:pStyle w:val="BookText"/>
      </w:pPr>
      <w:r>
        <w:rPr>
          <w:rFonts w:ascii="Times New Roman" w:hAnsi="Times New Roman" w:eastAsia="Times New Roman" w:cs="Times New Roman"/>
          <w:lang w:val="en-US" w:bidi="en-US"/>
          <w:color w:val="111111"/>
          <w:sz w:val="28"/>
          <w:szCs w:val="28"/>
          <w:rtl/>
        </w:rPr>
        <w:t xml:space="preserve">tārīx-e farrox-ābād</w:t>
      </w:r>
    </w:p>
    <w:p>
      <w:pPr>
        <w:pStyle w:val="BookText"/>
      </w:pPr>
      <w:r>
        <w:rPr>
          <w:rFonts w:ascii="IRNazanin" w:hAnsi="IRNazanin" w:eastAsia="IRNazanin" w:cs="IRNazanin"/>
          <w:lang w:bidi="fa-IR"/>
          <w:color w:val="111111"/>
          <w:sz w:val="28"/>
          <w:szCs w:val="28"/>
          <w:rtl/>
        </w:rPr>
        <w:t xml:space="preserve">مولوی، محمد ولی، قرن ۱۳ قمری</w:t>
      </w:r>
    </w:p>
    <w:p>
      <w:pPr>
        <w:pStyle w:val="BookText"/>
      </w:pPr>
      <w:r>
        <w:rPr>
          <w:rFonts w:ascii="Times New Roman" w:hAnsi="Times New Roman" w:eastAsia="Times New Roman" w:cs="Times New Roman"/>
          <w:lang w:val="en-US" w:bidi="en-US"/>
          <w:color w:val="111111"/>
          <w:sz w:val="28"/>
          <w:szCs w:val="28"/>
          <w:rtl/>
        </w:rPr>
        <w:t xml:space="preserve">mowlavī, mohammad valī</w:t>
      </w:r>
    </w:p>
    <w:p>
      <w:pPr>
        <w:pStyle w:val="BookText"/>
      </w:pPr>
      <w:r>
        <w:rPr>
          <w:rFonts w:ascii="IRNazanin" w:hAnsi="IRNazanin" w:eastAsia="IRNazanin" w:cs="IRNazanin"/>
          <w:lang w:bidi="fa-IR"/>
          <w:color w:val="111111"/>
          <w:sz w:val="28"/>
          <w:szCs w:val="28"/>
          <w:rtl/>
        </w:rPr>
        <w:t xml:space="preserve">تاریخ تأليف: ۱۲۴۳-۱۲۴۵ق تاریخ فرخ آباد و حکمرانان بنکش است از ۱۱۲۶ تا ۱۲۴۳ ق در دو قسمت، یکم در شش و دوم پنج «مقاله». مقالات قسم یکم: أ. محمد خان بهادر غضنفر جنگ بنگش (۱۱۵۶ق)؛ ۲.</w:t>
      </w:r>
    </w:p>
    <w:p>
      <w:pPr>
        <w:pStyle w:val="BookText"/>
      </w:pPr>
      <w:r>
        <w:rPr>
          <w:rFonts w:ascii="IRNazanin" w:hAnsi="IRNazanin" w:eastAsia="IRNazanin" w:cs="IRNazanin"/>
          <w:lang w:bidi="fa-IR"/>
          <w:color w:val="111111"/>
          <w:sz w:val="28"/>
          <w:szCs w:val="28"/>
          <w:rtl/>
        </w:rPr>
        <w:t xml:space="preserve">محمد خان قدیم جنگ (۱۱۶۱ق)؛ ۳. محمد احمد خان غالب جنگ (۱۱۸۵ ق)؛ ۴. دلیر همت خان مظفر جنگ (۱۲۰۱ ق)؛ ۵. عماد حسین خان نصیر جنگ (۱۲۲۸ق)؛ ۶. خادم حسین خان شوکت جنگ (۱۲۳۸ ق) و پسرش تجمل حسین خان. قسم دوم، کسانی که به فرخ آباد آمده اند، شامل: 1. پادشاهان و امیران؛ ۲.پیران و فقیران؛ ۳. دانشمندان و پزشکان؛ ۴. سرایندگان و خوشنویسان؛ ۵. زندگی نامه نگارنده. (حافظیان)</w:t>
      </w:r>
    </w:p>
    <w:p>
      <w:pPr>
        <w:pStyle w:val="BookText"/>
      </w:pPr>
      <w:r>
        <w:rPr>
          <w:rFonts w:ascii="IRNazanin" w:hAnsi="IRNazanin" w:eastAsia="IRNazanin" w:cs="IRNazanin"/>
          <w:lang w:bidi="fa-IR"/>
          <w:color w:val="111111"/>
          <w:sz w:val="28"/>
          <w:szCs w:val="28"/>
          <w:rtl/>
        </w:rPr>
        <w:t xml:space="preserve">[ فهرستواره منزوی ۱۱۹۴/۲ -۱۱۹۵؛ فهرست مشترک ۵۶۱/۱۰ ؛ فهرست نسخه های خطی کتابخانه رضا رامپور ۶۳۸/۱ ؛ فهرست نسخه های خطی فارسی کتابخانه ندوة العلماء لکهنو ۶۵۷]</w:t>
      </w:r>
    </w:p>
    <w:p>
      <w:pPr>
        <w:pStyle w:val="BookText"/>
      </w:pPr>
      <w:r>
        <w:rPr>
          <w:rFonts w:ascii="IRNazanin" w:hAnsi="IRNazanin" w:eastAsia="IRNazanin" w:cs="IRNazanin"/>
          <w:lang w:bidi="fa-IR"/>
          <w:color w:val="111111"/>
          <w:sz w:val="28"/>
          <w:szCs w:val="28"/>
          <w:rtl/>
        </w:rPr>
        <w:t xml:space="preserve">۱. تهران، مرکز فرهنگی خراسان؛ شماره نسخه:۱۱۳ عکسی</w:t>
      </w:r>
    </w:p>
    <w:p>
      <w:pPr>
        <w:pStyle w:val="BookText"/>
      </w:pPr>
      <w:r>
        <w:rPr>
          <w:rFonts w:ascii="IRNazanin" w:hAnsi="IRNazanin" w:eastAsia="IRNazanin" w:cs="IRNazanin"/>
          <w:lang w:bidi="fa-IR"/>
          <w:color w:val="111111"/>
          <w:sz w:val="28"/>
          <w:szCs w:val="28"/>
          <w:rtl/>
        </w:rPr>
        <w:t xml:space="preserve">بی کا، تا: ۱۲۷۷ق؛ ۲۹۷گ [جنگ: ۱-۴۴۷]</w:t>
      </w:r>
    </w:p>
    <w:p>
      <w:pPr>
        <w:pStyle w:val="BookText"/>
      </w:pPr>
      <w:r>
        <w:rPr>
          <w:rFonts w:ascii="IRNazanin" w:hAnsi="IRNazanin" w:eastAsia="IRNazanin" w:cs="IRNazanin"/>
          <w:lang w:bidi="fa-IR"/>
          <w:color w:val="111111"/>
          <w:sz w:val="28"/>
          <w:szCs w:val="28"/>
          <w:rtl/>
        </w:rPr>
        <w:t xml:space="preserve">۲. قم؛ مرعشی؛ شماره نسخه:۱۶۸۴</w:t>
      </w:r>
    </w:p>
    <w:p>
      <w:pPr>
        <w:pStyle w:val="BookText"/>
      </w:pPr>
      <w:r>
        <w:rPr>
          <w:rFonts w:ascii="IRNazanin" w:hAnsi="IRNazanin" w:eastAsia="IRNazanin" w:cs="IRNazanin"/>
          <w:lang w:bidi="fa-IR"/>
          <w:color w:val="111111"/>
          <w:sz w:val="28"/>
          <w:szCs w:val="28"/>
          <w:rtl/>
        </w:rPr>
        <w:t xml:space="preserve">آغاز: ای نام تو تاج فرق آغاز *** وز نام تو نامها سرافراز / عام است یکی زرحمت تو *** خاص است وگر بخاص همراز. ستایش و نیایش بجانب مستطاب خداوندی سزد که افراد نوع انسان را بتشريف کریمه و لقد کرمنا بني آدم امتیاز بخشید؛ انجام: اگر پرسند تاریخ وصالش *** بگو با رحمت الله پیوست. رحمه الله واسعة و ختم الله لنا بالخير. تمام شد تواریخ فرخ آباد نسخه اصل: کتابخانه ندوة العلماء لکهنو، شماره ۱۶ (ردیف ۱۰۵)؛ خط: نستعلیق، كا: باقر حسین عرف پیاری (؟)، تا: ۱۹ جنوری آژانویه ۱۹۱۳ میلادی؛ از روی نسخه ای که به خط منور عليخان بنکش در چهاردهم جمادی الاول ۱۲۵۳ برای لعل صاحب کتابت شده بود؛ ۳۴۷ص، ۱۷ سطر [عکسی ف: ۵-۱۰۶]</w:t>
      </w:r>
    </w:p>
    <w:p>
      <w:pPr>
        <w:pStyle w:val="Heading3"/>
      </w:pPr>
      <w:bookmarkStart w:id="2498" w:name="_Toc1758"/>
      <w:r>
        <w:t>•تاریخ فردریک (ترجمه) / تاریخ / فارسی</w:t>
      </w:r>
      <w:bookmarkEnd w:id="2498"/>
    </w:p>
    <w:p>
      <w:pPr>
        <w:pStyle w:val="BookText"/>
      </w:pPr>
      <w:r>
        <w:rPr>
          <w:rFonts w:ascii="Times New Roman" w:hAnsi="Times New Roman" w:eastAsia="Times New Roman" w:cs="Times New Roman"/>
          <w:lang w:val="en-US" w:bidi="en-US"/>
          <w:color w:val="111111"/>
          <w:sz w:val="28"/>
          <w:szCs w:val="28"/>
          <w:rtl/>
        </w:rPr>
        <w:t xml:space="preserve">tārīx-e fredrīk (t.)</w:t>
      </w:r>
    </w:p>
    <w:p>
      <w:pPr>
        <w:pStyle w:val="BookText"/>
      </w:pPr>
      <w:r>
        <w:rPr>
          <w:rFonts w:ascii="IRNazanin" w:hAnsi="IRNazanin" w:eastAsia="IRNazanin" w:cs="IRNazanin"/>
          <w:lang w:bidi="fa-IR"/>
          <w:color w:val="111111"/>
          <w:sz w:val="28"/>
          <w:szCs w:val="28"/>
          <w:rtl/>
        </w:rPr>
        <w:t xml:space="preserve">شامل یک دوره تاریخ فردریک است که به زبان فارسی ترجمه شده و مطالب آن در پنجاه و یک «فصل» آمده است.</w:t>
      </w:r>
    </w:p>
    <w:p>
      <w:pPr>
        <w:pStyle w:val="BookText"/>
      </w:pPr>
      <w:r>
        <w:rPr>
          <w:rFonts w:ascii="IRNazanin" w:hAnsi="IRNazanin" w:eastAsia="IRNazanin" w:cs="IRNazanin"/>
          <w:lang w:bidi="fa-IR"/>
          <w:color w:val="111111"/>
          <w:sz w:val="28"/>
          <w:szCs w:val="28"/>
          <w:rtl/>
        </w:rPr>
        <w:t xml:space="preserve">تهران؛ ملی؛ شماره نسخه:۶۴۳</w:t>
      </w:r>
    </w:p>
    <w:p>
      <w:pPr>
        <w:pStyle w:val="BookText"/>
      </w:pPr>
      <w:r>
        <w:rPr>
          <w:rFonts w:ascii="IRNazanin" w:hAnsi="IRNazanin" w:eastAsia="IRNazanin" w:cs="IRNazanin"/>
          <w:lang w:bidi="fa-IR"/>
          <w:color w:val="111111"/>
          <w:sz w:val="28"/>
          <w:szCs w:val="28"/>
          <w:rtl/>
        </w:rPr>
        <w:t xml:space="preserve">آغاز: فصل اول در رفتن صوفی در ته بیک مجلسی که بحكم فردریک گیوم اول ترتیب داده شده بود؛ انجام: و ما بکلی منصب او را از میان برداشتیم تا اینکه بعد از بارون مسطور کسی در منصب او نباشد. خط: نستعلیق، بی کا، تا: قرن ۱۳، جا: تهران؛ با سرلوح مذهب، مجدول؛ کاغذ: فرنگی شکری، جلد: گالینگور سبز، ۳۴۰گ، ۱۱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۲-۱۵۰]</w:t>
      </w:r>
    </w:p>
    <w:p>
      <w:pPr>
        <w:pStyle w:val="Heading3"/>
      </w:pPr>
      <w:bookmarkStart w:id="2499" w:name="_Toc1759"/>
      <w:r>
        <w:t>•تاریخ فردریک کبیر پادشاه پروس / تراجم / فارسی</w:t>
      </w:r>
      <w:bookmarkEnd w:id="2499"/>
    </w:p>
    <w:p>
      <w:pPr>
        <w:pStyle w:val="BookText"/>
      </w:pPr>
      <w:r>
        <w:rPr>
          <w:rFonts w:ascii="Times New Roman" w:hAnsi="Times New Roman" w:eastAsia="Times New Roman" w:cs="Times New Roman"/>
          <w:lang w:val="en-US" w:bidi="en-US"/>
          <w:color w:val="111111"/>
          <w:sz w:val="28"/>
          <w:szCs w:val="28"/>
          <w:rtl/>
        </w:rPr>
        <w:t xml:space="preserve">tārīx-e fredrīk-e kabīr pādešāh-e perūs</w:t>
      </w:r>
    </w:p>
    <w:p>
      <w:pPr>
        <w:pStyle w:val="BookText"/>
      </w:pPr>
      <w:r>
        <w:rPr>
          <w:rFonts w:ascii="IRNazanin" w:hAnsi="IRNazanin" w:eastAsia="IRNazanin" w:cs="IRNazanin"/>
          <w:lang w:bidi="fa-IR"/>
          <w:color w:val="111111"/>
          <w:sz w:val="28"/>
          <w:szCs w:val="28"/>
          <w:rtl/>
        </w:rPr>
        <w:t xml:space="preserve">گروسی، عیسی، ق۱۳ قمری</w:t>
      </w:r>
    </w:p>
    <w:p>
      <w:pPr>
        <w:pStyle w:val="BookText"/>
      </w:pPr>
      <w:r>
        <w:rPr>
          <w:rFonts w:ascii="Times New Roman" w:hAnsi="Times New Roman" w:eastAsia="Times New Roman" w:cs="Times New Roman"/>
          <w:lang w:val="en-US" w:bidi="en-US"/>
          <w:color w:val="111111"/>
          <w:sz w:val="28"/>
          <w:szCs w:val="28"/>
          <w:rtl/>
        </w:rPr>
        <w:t xml:space="preserve">garrūsī, ‘īsā (-19c)</w:t>
      </w:r>
    </w:p>
    <w:p>
      <w:pPr>
        <w:pStyle w:val="BookText"/>
      </w:pPr>
      <w:r>
        <w:rPr>
          <w:rFonts w:ascii="IRNazanin" w:hAnsi="IRNazanin" w:eastAsia="IRNazanin" w:cs="IRNazanin"/>
          <w:lang w:bidi="fa-IR"/>
          <w:color w:val="111111"/>
          <w:sz w:val="28"/>
          <w:szCs w:val="28"/>
          <w:rtl/>
        </w:rPr>
        <w:t xml:space="preserve">تاريخ تأليف: ۳ صفر ۱۲۹۶ ق مشتمل است بر شرح حال فردریک کبیر از عهد کودکی و نیز متضمن حکایات و داستان هایی است نغز و دلنشین و بنا بر قول مترجم جلد اول این کتاب، شرح حال فردریک کبیر است.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531" w:name="pg20363_209846"/>
    <w:bookmarkEnd w:id="531"/>
    <w:p>
      <w:pPr>
        <w:pStyle w:val="BookText"/>
      </w:pPr>
      <w:r>
        <w:rPr>
          <w:rFonts w:ascii="IRNazanin" w:hAnsi="IRNazanin" w:eastAsia="IRNazanin" w:cs="IRNazanin"/>
          <w:lang w:bidi="fa-IR"/>
          <w:color w:val="111111"/>
          <w:sz w:val="28"/>
          <w:szCs w:val="28"/>
          <w:rtl/>
        </w:rPr>
        <w:t xml:space="preserve">تهران؛ ملی؛ شماره نسخه:۱۱۷</w:t>
      </w:r>
    </w:p>
    <w:p>
      <w:pPr>
        <w:pStyle w:val="BookText"/>
      </w:pPr>
      <w:r>
        <w:rPr>
          <w:rFonts w:ascii="IRNazanin" w:hAnsi="IRNazanin" w:eastAsia="IRNazanin" w:cs="IRNazanin"/>
          <w:lang w:bidi="fa-IR"/>
          <w:color w:val="111111"/>
          <w:sz w:val="28"/>
          <w:szCs w:val="28"/>
          <w:rtl/>
        </w:rPr>
        <w:t xml:space="preserve">آغاز: بسمله، تاریخ فردریک کبیر پادشاه پروس که منشیانه تصنيف شده است في الواقع نخبه حکایات نغز آن را جمع کرده و برسم وعظ و نصیحت و ایهام وقایع مندرجه را نموده است بوضع خوش و طرز خاصی نوشته است، فصل اول یک شبی از شبها اطاقها بواسطه شمعهای بر افروخته؛ انجام: و ملکه را در این تفرج تنها نگذاریم شال و کلاهش را برداشت و پائین آمد</w:t>
      </w:r>
    </w:p>
    <w:p>
      <w:pPr>
        <w:pStyle w:val="BookText"/>
      </w:pPr>
      <w:r>
        <w:rPr>
          <w:rFonts w:ascii="IRNazanin" w:hAnsi="IRNazanin" w:eastAsia="IRNazanin" w:cs="IRNazanin"/>
          <w:lang w:bidi="fa-IR"/>
          <w:color w:val="111111"/>
          <w:sz w:val="28"/>
          <w:szCs w:val="28"/>
          <w:rtl/>
        </w:rPr>
        <w:t xml:space="preserve">خط: نستعلیق شکسته خوش، کاتب = مؤلف، تا: ۱۲۹۶ق، جان تهران؛ در صفحه اول عکس فردریک پادشاه پروس، مجدول؛ کاغذ: فرنگی آبی، جلد: تیماج مقوایی، ۱۲۴، ۱۶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۳۴سم [ف: ۱-۱۱۱]</w:t>
      </w:r>
    </w:p>
    <w:p>
      <w:pPr>
        <w:pStyle w:val="Heading3"/>
      </w:pPr>
      <w:bookmarkStart w:id="2500" w:name="_Toc1760"/>
      <w:r>
        <w:t>•تاریخ فرس قدیم و تاریخ یزدگردی / ستاره شناسی، تاریخ ایران / فارسی</w:t>
      </w:r>
      <w:bookmarkEnd w:id="2500"/>
    </w:p>
    <w:p>
      <w:pPr>
        <w:pStyle w:val="BookText"/>
      </w:pPr>
      <w:r>
        <w:rPr>
          <w:rFonts w:ascii="Times New Roman" w:hAnsi="Times New Roman" w:eastAsia="Times New Roman" w:cs="Times New Roman"/>
          <w:lang w:val="en-US" w:bidi="en-US"/>
          <w:color w:val="111111"/>
          <w:sz w:val="28"/>
          <w:szCs w:val="28"/>
          <w:rtl/>
        </w:rPr>
        <w:t xml:space="preserve">tārīx-e fors-e qadīm va tārīx-e yazdgerdī</w:t>
      </w:r>
    </w:p>
    <w:p>
      <w:pPr>
        <w:pStyle w:val="BookText"/>
      </w:pPr>
      <w:r>
        <w:rPr>
          <w:rFonts w:ascii="IRNazanin" w:hAnsi="IRNazanin" w:eastAsia="IRNazanin" w:cs="IRNazanin"/>
          <w:lang w:bidi="fa-IR"/>
          <w:color w:val="111111"/>
          <w:sz w:val="28"/>
          <w:szCs w:val="28"/>
          <w:rtl/>
        </w:rPr>
        <w:t xml:space="preserve">منجم اصفهانی، اسدالله</w:t>
      </w:r>
    </w:p>
    <w:p>
      <w:pPr>
        <w:pStyle w:val="BookText"/>
      </w:pPr>
      <w:r>
        <w:rPr>
          <w:rFonts w:ascii="Times New Roman" w:hAnsi="Times New Roman" w:eastAsia="Times New Roman" w:cs="Times New Roman"/>
          <w:lang w:val="en-US" w:bidi="en-US"/>
          <w:color w:val="111111"/>
          <w:sz w:val="28"/>
          <w:szCs w:val="28"/>
          <w:rtl/>
        </w:rPr>
        <w:t xml:space="preserve">monajjem-e esfahānī, asad-ol-lāh</w:t>
      </w:r>
    </w:p>
    <w:p>
      <w:pPr>
        <w:pStyle w:val="BookText"/>
      </w:pPr>
      <w:r>
        <w:rPr>
          <w:rFonts w:ascii="IRNazanin" w:hAnsi="IRNazanin" w:eastAsia="IRNazanin" w:cs="IRNazanin"/>
          <w:lang w:bidi="fa-IR"/>
          <w:color w:val="111111"/>
          <w:sz w:val="28"/>
          <w:szCs w:val="28"/>
          <w:rtl/>
        </w:rPr>
        <w:t xml:space="preserve">در ستاره شناسی است به دستور چند زردشتی پارسی هند، همراه چند فتوا در این زمینه.</w:t>
      </w:r>
    </w:p>
    <w:p>
      <w:pPr>
        <w:pStyle w:val="BookText"/>
      </w:pPr>
      <w:r>
        <w:rPr>
          <w:rFonts w:ascii="IRNazanin" w:hAnsi="IRNazanin" w:eastAsia="IRNazanin" w:cs="IRNazanin"/>
          <w:lang w:bidi="fa-IR"/>
          <w:color w:val="111111"/>
          <w:sz w:val="28"/>
          <w:szCs w:val="28"/>
          <w:rtl/>
        </w:rPr>
        <w:t xml:space="preserve">[فهرستواره منزوی ۸۸۹/۲ ]</w:t>
      </w:r>
    </w:p>
    <w:p>
      <w:pPr>
        <w:pStyle w:val="BookText"/>
      </w:pPr>
      <w:r>
        <w:rPr>
          <w:rFonts w:ascii="IRNazanin" w:hAnsi="IRNazanin" w:eastAsia="IRNazanin" w:cs="IRNazanin"/>
          <w:lang w:bidi="fa-IR"/>
          <w:color w:val="111111"/>
          <w:sz w:val="28"/>
          <w:szCs w:val="28"/>
          <w:rtl/>
        </w:rPr>
        <w:t xml:space="preserve">تهران؛ دانشگاه؛ شماره نسخه: ۹۹۹/۲ ف</w:t>
      </w:r>
    </w:p>
    <w:p>
      <w:pPr>
        <w:pStyle w:val="BookText"/>
      </w:pPr>
      <w:r>
        <w:rPr>
          <w:rFonts w:ascii="Amiri" w:hAnsi="Amiri" w:eastAsia="Amiri" w:cs="Amiri"/>
          <w:lang w:bidi="ar-SA"/>
          <w:color w:val="111111"/>
          <w:sz w:val="28"/>
          <w:szCs w:val="28"/>
          <w:rtl/>
        </w:rPr>
        <w:t xml:space="preserve">نسخه اصل: بادليان 78 .</w:t>
      </w:r>
      <w:r>
        <w:rPr>
          <w:rFonts w:ascii="Times New Roman" w:hAnsi="Times New Roman" w:eastAsia="Times New Roman" w:cs="Times New Roman"/>
          <w:lang w:val="en-US" w:bidi="en-US"/>
          <w:color w:val="111111"/>
          <w:sz w:val="28"/>
          <w:szCs w:val="28"/>
          <w:rtl/>
        </w:rPr>
        <w:t xml:space="preserve">ind ist, pers (</w:t>
      </w:r>
      <w:r>
        <w:rPr>
          <w:rFonts w:ascii="IRNazanin" w:hAnsi="IRNazanin" w:eastAsia="IRNazanin" w:cs="IRNazanin"/>
          <w:lang w:bidi="fa-IR"/>
          <w:color w:val="111111"/>
          <w:sz w:val="28"/>
          <w:szCs w:val="28"/>
          <w:rtl/>
        </w:rPr>
        <w:t xml:space="preserve">۲۸۱۱ ج ۳ ص ۷۹)؛ بی کا، تا: ۱۲۴۴ق، جا: دربند بمبئی [فیلمها ف: ۱-۵۵۲]</w:t>
      </w:r>
    </w:p>
    <w:p>
      <w:pPr>
        <w:pStyle w:val="Heading3"/>
      </w:pPr>
      <w:bookmarkStart w:id="2501" w:name="_Toc1761"/>
      <w:r>
        <w:t>• تاریخ فرسیه / تاریخ ایران / فارسی</w:t>
      </w:r>
      <w:bookmarkEnd w:id="2501"/>
    </w:p>
    <w:p>
      <w:pPr>
        <w:pStyle w:val="BookText"/>
      </w:pPr>
      <w:r>
        <w:rPr>
          <w:rFonts w:ascii="Times New Roman" w:hAnsi="Times New Roman" w:eastAsia="Times New Roman" w:cs="Times New Roman"/>
          <w:lang w:val="en-US" w:bidi="en-US"/>
          <w:color w:val="111111"/>
          <w:sz w:val="28"/>
          <w:szCs w:val="28"/>
          <w:rtl/>
        </w:rPr>
        <w:t xml:space="preserve">tārīx-e forsīye</w:t>
      </w:r>
    </w:p>
    <w:p>
      <w:pPr>
        <w:pStyle w:val="BookText"/>
      </w:pPr>
      <w:r>
        <w:rPr>
          <w:rFonts w:ascii="IRNazanin" w:hAnsi="IRNazanin" w:eastAsia="IRNazanin" w:cs="IRNazanin"/>
          <w:lang w:bidi="fa-IR"/>
          <w:color w:val="111111"/>
          <w:sz w:val="28"/>
          <w:szCs w:val="28"/>
          <w:rtl/>
        </w:rPr>
        <w:t xml:space="preserve">مستوفی هروی، عبد الله</w:t>
      </w:r>
    </w:p>
    <w:p>
      <w:pPr>
        <w:pStyle w:val="BookText"/>
      </w:pPr>
      <w:r>
        <w:rPr>
          <w:rFonts w:ascii="Times New Roman" w:hAnsi="Times New Roman" w:eastAsia="Times New Roman" w:cs="Times New Roman"/>
          <w:lang w:val="en-US" w:bidi="en-US"/>
          <w:color w:val="111111"/>
          <w:sz w:val="28"/>
          <w:szCs w:val="28"/>
          <w:rtl/>
        </w:rPr>
        <w:t xml:space="preserve">mostaofi-ye heravī, 'abd-ol-lāh</w:t>
      </w:r>
    </w:p>
    <w:p>
      <w:pPr>
        <w:pStyle w:val="BookText"/>
      </w:pPr>
      <w:r>
        <w:rPr>
          <w:rFonts w:ascii="IRNazanin" w:hAnsi="IRNazanin" w:eastAsia="IRNazanin" w:cs="IRNazanin"/>
          <w:lang w:bidi="fa-IR"/>
          <w:color w:val="111111"/>
          <w:sz w:val="28"/>
          <w:szCs w:val="28"/>
          <w:rtl/>
        </w:rPr>
        <w:t xml:space="preserve">کلمات چند از تاریخ اهل فرس جمع نموده و نام آن را «تاریخ</w:t>
      </w:r>
    </w:p>
    <w:p>
      <w:pPr>
        <w:pStyle w:val="BookText"/>
      </w:pPr>
      <w:r>
        <w:rPr>
          <w:rFonts w:ascii="IRNazanin" w:hAnsi="IRNazanin" w:eastAsia="IRNazanin" w:cs="IRNazanin"/>
          <w:lang w:bidi="fa-IR"/>
          <w:color w:val="111111"/>
          <w:sz w:val="28"/>
          <w:szCs w:val="28"/>
          <w:rtl/>
        </w:rPr>
        <w:t xml:space="preserve">فرسیه» نهاده است. (احمد منزوی) آغاز: بسمله، سپاس و ستایش مر احدی را سزد که عالم گوناگون با چندین شؤون. انجام: کشمکش هر چه دروزند گیست *** پیش خداوندی او بندگیست / کشمکش هر چه دروزند گیست *** پیش خداوندی او بندگیست</w:t>
      </w:r>
    </w:p>
    <w:p>
      <w:pPr>
        <w:pStyle w:val="BookText"/>
      </w:pPr>
      <w:r>
        <w:rPr>
          <w:rFonts w:ascii="IRNazanin" w:hAnsi="IRNazanin" w:eastAsia="IRNazanin" w:cs="IRNazanin"/>
          <w:lang w:bidi="fa-IR"/>
          <w:color w:val="111111"/>
          <w:sz w:val="28"/>
          <w:szCs w:val="28"/>
          <w:rtl/>
        </w:rPr>
        <w:t xml:space="preserve">[دنا ۷۲۷/۲ ؛ فهرستواره منزوی ۸۸۹/۲ ]</w:t>
      </w:r>
    </w:p>
    <w:p>
      <w:pPr>
        <w:pStyle w:val="BookText"/>
      </w:pPr>
      <w:r>
        <w:rPr>
          <w:rFonts w:ascii="IRNazanin" w:hAnsi="IRNazanin" w:eastAsia="IRNazanin" w:cs="IRNazanin"/>
          <w:lang w:bidi="fa-IR"/>
          <w:color w:val="111111"/>
          <w:sz w:val="28"/>
          <w:szCs w:val="28"/>
          <w:rtl/>
        </w:rPr>
        <w:t xml:space="preserve">مشهد؛ رضوی؛ شماره نسخه: ۷۱۳۴/۱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خط: نسخ، بی کا، تا: قرن ۱۱؛ کاغذ: سرکه ای، جلد: پارچه ای، ۳۰گ، ۱۵ سطر (</w:t>
      </w:r>
    </w:p>
    <w:p>
      <w:pPr>
        <w:pStyle w:val="BookText"/>
      </w:pPr>
      <w:r>
        <w:rPr>
          <w:rFonts w:ascii="IRNazanin" w:hAnsi="IRNazanin" w:eastAsia="IRNazanin" w:cs="IRNazanin"/>
          <w:lang w:bidi="fa-IR"/>
          <w:color w:val="111111"/>
          <w:sz w:val="28"/>
          <w:szCs w:val="28"/>
          <w:rtl/>
        </w:rPr>
        <w:t xml:space="preserve">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اندازه: ۱۸/۶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۷-۱۶۳]</w:t>
      </w:r>
    </w:p>
    <w:p>
      <w:pPr>
        <w:pStyle w:val="BookText"/>
      </w:pPr>
      <w:r>
        <w:rPr>
          <w:rFonts w:ascii="IRNazanin" w:hAnsi="IRNazanin" w:eastAsia="IRNazanin" w:cs="IRNazanin"/>
          <w:lang w:bidi="fa-IR"/>
          <w:color w:val="111111"/>
          <w:sz w:val="28"/>
          <w:szCs w:val="28"/>
          <w:rtl/>
        </w:rPr>
        <w:t xml:space="preserve">←تاریخ فرشته← گلشن ابراهیمی</w:t>
      </w:r>
    </w:p>
    <w:p>
      <w:pPr>
        <w:pStyle w:val="Heading3"/>
      </w:pPr>
      <w:bookmarkStart w:id="2502" w:name="_Toc1762"/>
      <w:r>
        <w:t>•تاریخ فرقه بابیه / تاریخ / فارسی</w:t>
      </w:r>
      <w:bookmarkEnd w:id="2502"/>
    </w:p>
    <w:p>
      <w:pPr>
        <w:pStyle w:val="BookText"/>
      </w:pPr>
      <w:r>
        <w:rPr>
          <w:rFonts w:ascii="Times New Roman" w:hAnsi="Times New Roman" w:eastAsia="Times New Roman" w:cs="Times New Roman"/>
          <w:lang w:val="en-US" w:bidi="en-US"/>
          <w:color w:val="111111"/>
          <w:sz w:val="28"/>
          <w:szCs w:val="28"/>
          <w:rtl/>
        </w:rPr>
        <w:t xml:space="preserve">tārīx-e ferqe-ye bābīye</w:t>
      </w:r>
    </w:p>
    <w:p>
      <w:pPr>
        <w:pStyle w:val="BookText"/>
      </w:pPr>
      <w:r>
        <w:rPr>
          <w:rFonts w:ascii="IRNazanin" w:hAnsi="IRNazanin" w:eastAsia="IRNazanin" w:cs="IRNazanin"/>
          <w:lang w:bidi="fa-IR"/>
          <w:color w:val="111111"/>
          <w:sz w:val="28"/>
          <w:szCs w:val="28"/>
          <w:rtl/>
        </w:rPr>
        <w:t xml:space="preserve">رساله مختصری است در تاریخ باب و بابیان و چگونگی شکل گیری این فرقه.</w:t>
      </w:r>
    </w:p>
    <w:p>
      <w:pPr>
        <w:pStyle w:val="BookText"/>
      </w:pPr>
      <w:r>
        <w:rPr>
          <w:rFonts w:ascii="IRNazanin" w:hAnsi="IRNazanin" w:eastAsia="IRNazanin" w:cs="IRNazanin"/>
          <w:lang w:bidi="fa-IR"/>
          <w:color w:val="111111"/>
          <w:sz w:val="28"/>
          <w:szCs w:val="28"/>
          <w:rtl/>
        </w:rPr>
        <w:t xml:space="preserve">قم؛ مسجد اعظم؛ شماره نسخه: ۱۳۶۲</w:t>
      </w:r>
    </w:p>
    <w:p>
      <w:pPr>
        <w:pStyle w:val="BookText"/>
      </w:pPr>
      <w:r>
        <w:rPr>
          <w:rFonts w:ascii="IRNazanin" w:hAnsi="IRNazanin" w:eastAsia="IRNazanin" w:cs="IRNazanin"/>
          <w:lang w:bidi="fa-IR"/>
          <w:color w:val="111111"/>
          <w:sz w:val="28"/>
          <w:szCs w:val="28"/>
          <w:rtl/>
        </w:rPr>
        <w:t xml:space="preserve">آغاز: بسمله. صلى الله عليك يا ولى العصر ادر کنی. خلاصه فهرست مطالب این بود در سنه ۱۲۳۵ متولد شد در شیراز و بعد در ایام شیر خوارگی پدرش مرد در تحت نظر دایی خودش؛ انجام: رفتند به طرف اردو، یکی از لشکریان آقا رسول را کشت و باقی مانده را هم در قلعه کشتند</w:t>
      </w:r>
    </w:p>
    <w:p>
      <w:pPr>
        <w:pStyle w:val="BookText"/>
      </w:pPr>
      <w:r>
        <w:rPr>
          <w:rFonts w:ascii="IRNazanin" w:hAnsi="IRNazanin" w:eastAsia="IRNazanin" w:cs="IRNazanin"/>
          <w:lang w:bidi="fa-IR"/>
          <w:color w:val="111111"/>
          <w:sz w:val="28"/>
          <w:szCs w:val="28"/>
          <w:rtl/>
        </w:rPr>
        <w:t xml:space="preserve">خط: نستعلیق، بی کا، بی تا؛ جلد: مقوا، ۱۶گ، مختلف السطر،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مخ: ۱-۳۱۳]</w:t>
      </w:r>
    </w:p>
    <w:p>
      <w:pPr>
        <w:pStyle w:val="Heading3"/>
      </w:pPr>
      <w:bookmarkStart w:id="2503" w:name="_Toc1763"/>
      <w:r>
        <w:t>• تاریخ فرهنگ معاصر / تاریخ / فارسی</w:t>
      </w:r>
      <w:bookmarkEnd w:id="2503"/>
    </w:p>
    <w:p>
      <w:pPr>
        <w:pStyle w:val="BookText"/>
      </w:pPr>
      <w:r>
        <w:rPr>
          <w:rFonts w:ascii="Times New Roman" w:hAnsi="Times New Roman" w:eastAsia="Times New Roman" w:cs="Times New Roman"/>
          <w:lang w:val="en-US" w:bidi="en-US"/>
          <w:color w:val="111111"/>
          <w:sz w:val="28"/>
          <w:szCs w:val="28"/>
          <w:rtl/>
        </w:rPr>
        <w:t xml:space="preserve">tārīx-e farhang-e mo‘āser</w:t>
      </w:r>
    </w:p>
    <w:p>
      <w:pPr>
        <w:pStyle w:val="BookText"/>
      </w:pPr>
      <w:r>
        <w:rPr>
          <w:rFonts w:ascii="IRNazanin" w:hAnsi="IRNazanin" w:eastAsia="IRNazanin" w:cs="IRNazanin"/>
          <w:lang w:bidi="fa-IR"/>
          <w:color w:val="111111"/>
          <w:sz w:val="28"/>
          <w:szCs w:val="28"/>
          <w:rtl/>
        </w:rPr>
        <w:t xml:space="preserve">در ۱۲ «فصل» که بیشتر آن مربوط به تاریخ و انقلاب فرانسه می باشد با در نظر گرفتن اثر گذاری آن در فرهنگ عمومی اروپا و تمدن جهانی پس از آن.</w:t>
      </w:r>
    </w:p>
    <w:p>
      <w:pPr>
        <w:pStyle w:val="BookText"/>
      </w:pPr>
      <w:r>
        <w:rPr>
          <w:rFonts w:ascii="IRNazanin" w:hAnsi="IRNazanin" w:eastAsia="IRNazanin" w:cs="IRNazanin"/>
          <w:lang w:bidi="fa-IR"/>
          <w:color w:val="111111"/>
          <w:sz w:val="28"/>
          <w:szCs w:val="28"/>
          <w:rtl/>
        </w:rPr>
        <w:t xml:space="preserve">مشهد؛ میبدی؛ شماره نسخه:۴۶۰/۴</w:t>
      </w:r>
    </w:p>
    <w:p>
      <w:pPr>
        <w:pStyle w:val="BookText"/>
      </w:pPr>
      <w:r>
        <w:rPr>
          <w:rFonts w:ascii="IRNazanin" w:hAnsi="IRNazanin" w:eastAsia="IRNazanin" w:cs="IRNazanin"/>
          <w:lang w:bidi="fa-IR"/>
          <w:color w:val="111111"/>
          <w:sz w:val="28"/>
          <w:szCs w:val="28"/>
          <w:rtl/>
        </w:rPr>
        <w:t xml:space="preserve">آغاز: ما این قسمت از تاریخ را در ضمن یک مقدمه و دوازده فصل شرح خواهیم داد خط: نستعلیق، کا: محمود خان دانشجوی کلاس چهارم مدرسه سیاسی، بی تا، جلد: گالینگور سبز، ۱۶۴گ (۴۲۲-۵۸۵پ)،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۲-۱۴۱]</w:t>
      </w:r>
    </w:p>
    <w:p>
      <w:pPr>
        <w:pStyle w:val="Heading3"/>
      </w:pPr>
      <w:bookmarkStart w:id="2504" w:name="_Toc1764"/>
      <w:r>
        <w:t>•تاریخ فریدریک ثانی / تاریخ / فارسی</w:t>
      </w:r>
      <w:bookmarkEnd w:id="2504"/>
    </w:p>
    <w:p>
      <w:pPr>
        <w:pStyle w:val="BookText"/>
      </w:pPr>
      <w:r>
        <w:rPr>
          <w:rFonts w:ascii="Times New Roman" w:hAnsi="Times New Roman" w:eastAsia="Times New Roman" w:cs="Times New Roman"/>
          <w:lang w:val="en-US" w:bidi="en-US"/>
          <w:color w:val="111111"/>
          <w:sz w:val="28"/>
          <w:szCs w:val="28"/>
          <w:rtl/>
        </w:rPr>
        <w:t xml:space="preserve">tārīx-e ferīdrīk-e sānī</w:t>
      </w:r>
    </w:p>
    <w:p>
      <w:pPr>
        <w:pStyle w:val="BookText"/>
      </w:pPr>
      <w:r>
        <w:rPr>
          <w:rFonts w:ascii="IRNazanin" w:hAnsi="IRNazanin" w:eastAsia="IRNazanin" w:cs="IRNazanin"/>
          <w:lang w:bidi="fa-IR"/>
          <w:color w:val="111111"/>
          <w:sz w:val="28"/>
          <w:szCs w:val="28"/>
          <w:rtl/>
        </w:rPr>
        <w:t xml:space="preserve">قاجار، محمد حسین بن رضا قلی، ق۱۳ قمری</w:t>
      </w:r>
    </w:p>
    <w:p>
      <w:pPr>
        <w:pStyle w:val="BookText"/>
      </w:pPr>
      <w:r>
        <w:rPr>
          <w:rFonts w:ascii="Times New Roman" w:hAnsi="Times New Roman" w:eastAsia="Times New Roman" w:cs="Times New Roman"/>
          <w:lang w:val="en-US" w:bidi="en-US"/>
          <w:color w:val="111111"/>
          <w:sz w:val="28"/>
          <w:szCs w:val="28"/>
          <w:rtl/>
        </w:rPr>
        <w:t xml:space="preserve">qājār, mohammad hoseyn ebn-e rezā qolī (-19c)</w:t>
      </w:r>
    </w:p>
    <w:p>
      <w:pPr>
        <w:pStyle w:val="BookText"/>
      </w:pPr>
      <w:r>
        <w:rPr>
          <w:rFonts w:ascii="IRNazanin" w:hAnsi="IRNazanin" w:eastAsia="IRNazanin" w:cs="IRNazanin"/>
          <w:lang w:bidi="fa-IR"/>
          <w:color w:val="111111"/>
          <w:sz w:val="28"/>
          <w:szCs w:val="28"/>
          <w:rtl/>
        </w:rPr>
        <w:t xml:space="preserve">ترجمه فارسی از زبان فرانسه (این نسخه از زبان اصلی به توسط بارون ژومینی به زبان فرانسه ترجمه شده است). ترجمه و تصنیف این نسخه در زمان ناصرالدین شاه قاجار به سرپرستی یحیی خان مؤتمن السلطان آجودان مخصوص انجام شده است. مطالب این تاریخ در بیان احوال فریدریک ثانی پادشاه پروس است. از بدو سال ۱۷۴۰ میلادی تا ختم سال ۱۷۴۵ میلادی مطابق سنه ۱۱۵۳ -۱۱۵۸ هجری قمری و شرح و توصیف بعضی از جنگ های او با امیر اطریس ماری ترز پادشاه اطریش در یک مقدمه» و سه «باب».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532" w:name="pg20363_209847"/>
    <w:bookmarkEnd w:id="532"/>
    <w:p>
      <w:pPr>
        <w:pStyle w:val="BookText"/>
      </w:pPr>
      <w:r>
        <w:rPr>
          <w:rFonts w:ascii="IRNazanin" w:hAnsi="IRNazanin" w:eastAsia="IRNazanin" w:cs="IRNazanin"/>
          <w:lang w:bidi="fa-IR"/>
          <w:color w:val="111111"/>
          <w:sz w:val="28"/>
          <w:szCs w:val="28"/>
          <w:rtl/>
        </w:rPr>
        <w:t xml:space="preserve">تهران؛ سلطنتی؛ شماره نسخه:۸۷۳</w:t>
      </w:r>
    </w:p>
    <w:p>
      <w:pPr>
        <w:pStyle w:val="BookText"/>
      </w:pPr>
      <w:r>
        <w:rPr>
          <w:rFonts w:ascii="IRNazanin" w:hAnsi="IRNazanin" w:eastAsia="IRNazanin" w:cs="IRNazanin"/>
          <w:lang w:bidi="fa-IR"/>
          <w:color w:val="111111"/>
          <w:sz w:val="28"/>
          <w:szCs w:val="28"/>
          <w:rtl/>
        </w:rPr>
        <w:t xml:space="preserve">آغاز: بسمله. ترجمه کلامیکه مترجمان فصاحت قرین و متکلمان بلاغت آیین زبان از بیان آن به بی زبان گشوده ... گویند که چون فریدریک غليوم پادشاه پروس جهان فانی را وداع گفته رخت بسرای باقی کشید فریدریک ثانی تاج سلطنت بسر بر نهاد و بجای پدر بنشست و آنزمان دول فرنگستان را از هر جهت کمال امنیت حاصل و هیچیک را مخاصمت و کینه دیگری در دل نبود جز دولت انگلیس و اسپانیول؛ انجام: و نیز باید از ترقیات صنعت حربیه و علم و آداب آن و از کار پوليطيکه چشم در پوشیده نا امید بود و بر اینکه ما را از کار آنها يكنوع مردیتی حاصل شده کمالیتی دست دهد امید نباید داشت و شاید که ما از مشاهده واقعات از منه ( هون ) و ( واندال ) و تاتار بی نصیب نمانیم. قد تم في شهر رمضان المبارک ... در شهر ذی قعدة الحرام ۱۲۸۰ صورت اختتام یافت امید که این خدمت ناشایسته در معرض قبول پادشاهی در آید. خط: نستعلیق، كا: على محمد جرفاد قانی منشی، تا: ۱۲۸۰ق؛ مجدول، مذهب، کمند کشی زرین، یک سرلوح مذهب مرصع ممتاز؛ کاغذ: فرنگی آبی رنگ، جلد: مقوای روکش چرم ساغری مشکی، ۵۷۸ص، ۲۱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۳۵/۵سم [ف: ۵-۳۱۲]</w:t>
      </w:r>
    </w:p>
    <w:p>
      <w:pPr>
        <w:pStyle w:val="Heading3"/>
      </w:pPr>
      <w:bookmarkStart w:id="2505" w:name="_Toc1765"/>
      <w:r>
        <w:t>•تاریخ فوت محمد شاه / تاریخ پادشاهان / فارسی</w:t>
      </w:r>
      <w:bookmarkEnd w:id="2505"/>
    </w:p>
    <w:p>
      <w:pPr>
        <w:pStyle w:val="BookText"/>
      </w:pPr>
      <w:r>
        <w:rPr>
          <w:rFonts w:ascii="Times New Roman" w:hAnsi="Times New Roman" w:eastAsia="Times New Roman" w:cs="Times New Roman"/>
          <w:lang w:val="en-US" w:bidi="en-US"/>
          <w:color w:val="111111"/>
          <w:sz w:val="28"/>
          <w:szCs w:val="28"/>
          <w:rtl/>
        </w:rPr>
        <w:t xml:space="preserve">tārīx-e fowt-e mohammad šāh</w:t>
      </w:r>
    </w:p>
    <w:p>
      <w:pPr>
        <w:pStyle w:val="BookText"/>
      </w:pPr>
      <w:r>
        <w:rPr>
          <w:rFonts w:ascii="IRNazanin" w:hAnsi="IRNazanin" w:eastAsia="IRNazanin" w:cs="IRNazanin"/>
          <w:lang w:bidi="fa-IR"/>
          <w:color w:val="111111"/>
          <w:sz w:val="28"/>
          <w:szCs w:val="28"/>
          <w:rtl/>
        </w:rPr>
        <w:t xml:space="preserve">بن فتحعلی، ۲۱۲۳۴-۱۲۹۸</w:t>
      </w:r>
    </w:p>
    <w:p>
      <w:pPr>
        <w:pStyle w:val="BookText"/>
      </w:pPr>
      <w:r>
        <w:rPr>
          <w:rFonts w:ascii="IRNazanin" w:hAnsi="IRNazanin" w:eastAsia="IRNazanin" w:cs="IRNazanin"/>
          <w:lang w:bidi="fa-IR"/>
          <w:color w:val="111111"/>
          <w:sz w:val="28"/>
          <w:szCs w:val="28"/>
          <w:rtl/>
        </w:rPr>
        <w:t xml:space="preserve">اعتضادالسلطنه، علیقلی قمری</w:t>
      </w:r>
    </w:p>
    <w:p>
      <w:pPr>
        <w:pStyle w:val="BookText"/>
      </w:pPr>
      <w:r>
        <w:rPr>
          <w:rFonts w:ascii="Times New Roman" w:hAnsi="Times New Roman" w:eastAsia="Times New Roman" w:cs="Times New Roman"/>
          <w:lang w:val="en-US" w:bidi="en-US"/>
          <w:color w:val="111111"/>
          <w:sz w:val="28"/>
          <w:szCs w:val="28"/>
          <w:rtl/>
        </w:rPr>
        <w:t xml:space="preserve">e'tezād-os-saltane, ‘alī-qolī ebn-e fath-‘alī (1819-1881)</w:t>
      </w:r>
    </w:p>
    <w:p>
      <w:pPr>
        <w:pStyle w:val="BookText"/>
      </w:pPr>
      <w:r>
        <w:rPr>
          <w:rFonts w:ascii="IRNazanin" w:hAnsi="IRNazanin" w:eastAsia="IRNazanin" w:cs="IRNazanin"/>
          <w:lang w:bidi="fa-IR"/>
          <w:color w:val="111111"/>
          <w:sz w:val="28"/>
          <w:szCs w:val="28"/>
          <w:rtl/>
        </w:rPr>
        <w:t xml:space="preserve">تهران؛ ملک؛ شماره نسخه: ۶۱۵۱/۲۶</w:t>
      </w:r>
    </w:p>
    <w:p>
      <w:pPr>
        <w:pStyle w:val="BookText"/>
      </w:pPr>
      <w:r>
        <w:rPr>
          <w:rFonts w:ascii="IRNazanin" w:hAnsi="IRNazanin" w:eastAsia="IRNazanin" w:cs="IRNazanin"/>
          <w:lang w:bidi="fa-IR"/>
          <w:color w:val="111111"/>
          <w:sz w:val="28"/>
          <w:szCs w:val="28"/>
          <w:rtl/>
        </w:rPr>
        <w:t xml:space="preserve">خط: نسخ، بی کا، تا: قرن ۱۳ [ف: ۱۹۶۹]</w:t>
      </w:r>
    </w:p>
    <w:p>
      <w:pPr>
        <w:pStyle w:val="Heading3"/>
      </w:pPr>
      <w:bookmarkStart w:id="2506" w:name="_Toc1766"/>
      <w:r>
        <w:t>•تاریخ فیروزشاهی / تاریخ هند / فارسی</w:t>
      </w:r>
      <w:bookmarkEnd w:id="2506"/>
    </w:p>
    <w:p>
      <w:pPr>
        <w:pStyle w:val="BookText"/>
      </w:pPr>
      <w:r>
        <w:rPr>
          <w:rFonts w:ascii="Times New Roman" w:hAnsi="Times New Roman" w:eastAsia="Times New Roman" w:cs="Times New Roman"/>
          <w:lang w:val="en-US" w:bidi="en-US"/>
          <w:color w:val="111111"/>
          <w:sz w:val="28"/>
          <w:szCs w:val="28"/>
          <w:rtl/>
        </w:rPr>
        <w:t xml:space="preserve">tārīx-e fīrūz-šāhī</w:t>
      </w:r>
    </w:p>
    <w:p>
      <w:pPr>
        <w:pStyle w:val="BookText"/>
      </w:pPr>
      <w:r>
        <w:rPr>
          <w:rFonts w:ascii="IRNazanin" w:hAnsi="IRNazanin" w:eastAsia="IRNazanin" w:cs="IRNazanin"/>
          <w:lang w:bidi="fa-IR"/>
          <w:color w:val="111111"/>
          <w:sz w:val="28"/>
          <w:szCs w:val="28"/>
          <w:rtl/>
        </w:rPr>
        <w:t xml:space="preserve">برنی، ضیاء الدین، ۶۸۴- ۷۶۰ ؟ قمری</w:t>
      </w:r>
    </w:p>
    <w:p>
      <w:pPr>
        <w:pStyle w:val="BookText"/>
      </w:pPr>
      <w:r>
        <w:rPr>
          <w:rFonts w:ascii="IRNazanin" w:hAnsi="IRNazanin" w:eastAsia="IRNazanin" w:cs="IRNazanin"/>
          <w:lang w:bidi="fa-IR"/>
          <w:color w:val="111111"/>
          <w:sz w:val="28"/>
          <w:szCs w:val="28"/>
          <w:rtl/>
        </w:rPr>
        <w:t xml:space="preserve">ا (1359-1286)</w:t>
      </w:r>
    </w:p>
    <w:p>
      <w:pPr>
        <w:pStyle w:val="BookText"/>
      </w:pPr>
      <w:r>
        <w:rPr>
          <w:rFonts w:ascii="Times New Roman" w:hAnsi="Times New Roman" w:eastAsia="Times New Roman" w:cs="Times New Roman"/>
          <w:lang w:val="en-US" w:bidi="en-US"/>
          <w:color w:val="111111"/>
          <w:sz w:val="28"/>
          <w:szCs w:val="28"/>
          <w:rtl/>
        </w:rPr>
        <w:t xml:space="preserve">barani, ziya-od-din </w:t>
      </w:r>
      <w:r>
        <w:rPr>
          <w:rFonts w:ascii="IRNazanin" w:hAnsi="IRNazanin" w:eastAsia="IRNazanin" w:cs="IRNazanin"/>
          <w:lang w:bidi="fa-IR"/>
          <w:color w:val="111111"/>
          <w:sz w:val="28"/>
          <w:szCs w:val="28"/>
          <w:rtl/>
        </w:rPr>
        <w:t xml:space="preserve">تاریخ روز گار هشت پادشاه از پادشاهان دهلی است که طول ۹۵ سال بر دهلی حکمرانی کرده اند از تاریخ زندگانی سلطان غیات الدين بلبن (۶۶۲) آغاز و به شش سال از سلطنت سلطان فیروز شاه ختم می گردد. آغاز: حمد و ثنا مرخدائی را که اخبار و آثار انبیا و مرسلین وحی سماوی بندگان.</w:t>
      </w:r>
    </w:p>
    <w:p>
      <w:pPr>
        <w:pStyle w:val="BookText"/>
      </w:pPr>
      <w:r>
        <w:rPr>
          <w:rFonts w:ascii="IRNazanin" w:hAnsi="IRNazanin" w:eastAsia="IRNazanin" w:cs="IRNazanin"/>
          <w:lang w:bidi="fa-IR"/>
          <w:color w:val="111111"/>
          <w:sz w:val="28"/>
          <w:szCs w:val="28"/>
          <w:rtl/>
        </w:rPr>
        <w:t xml:space="preserve">[دنا ۷۲۸/۲ ]</w:t>
      </w:r>
    </w:p>
    <w:p>
      <w:pPr>
        <w:pStyle w:val="BookText"/>
      </w:pPr>
      <w:r>
        <w:rPr>
          <w:rFonts w:ascii="IRNazanin" w:hAnsi="IRNazanin" w:eastAsia="IRNazanin" w:cs="IRNazanin"/>
          <w:lang w:bidi="fa-IR"/>
          <w:color w:val="111111"/>
          <w:sz w:val="28"/>
          <w:szCs w:val="28"/>
          <w:rtl/>
        </w:rPr>
        <w:t xml:space="preserve">۱. قم؛ مرعشی؛ شماره نسخه:۱۰۲۵</w:t>
      </w:r>
    </w:p>
    <w:p>
      <w:pPr>
        <w:pStyle w:val="BookText"/>
      </w:pPr>
      <w:r>
        <w:rPr>
          <w:rFonts w:ascii="IRNazanin" w:hAnsi="IRNazanin" w:eastAsia="IRNazanin" w:cs="IRNazanin"/>
          <w:lang w:bidi="fa-IR"/>
          <w:color w:val="111111"/>
          <w:sz w:val="28"/>
          <w:szCs w:val="28"/>
          <w:rtl/>
        </w:rPr>
        <w:t xml:space="preserve">آغاز: حمد و ثنا مر خدائی را که اخبار و آثار انبیا و مرسلین وحی</w:t>
      </w:r>
    </w:p>
    <w:p>
      <w:pPr>
        <w:pStyle w:val="BookText"/>
      </w:pPr>
      <w:r>
        <w:rPr>
          <w:rFonts w:ascii="IRNazanin" w:hAnsi="IRNazanin" w:eastAsia="IRNazanin" w:cs="IRNazanin"/>
          <w:lang w:bidi="fa-IR"/>
          <w:color w:val="111111"/>
          <w:sz w:val="28"/>
          <w:szCs w:val="28"/>
          <w:rtl/>
        </w:rPr>
        <w:t xml:space="preserve">سماوی بندگان؛ انجام: باری تعالی این تألیف را در دلها شیرین گردانادا خط: نستعلیق، بی کا، تا: ذیقعده ۹۸۳ق؛ مجدول، قبل از کتاب گفتاری است در پنج برگ در معرفی کتاب که ابوالمحامد عرشی حیدر آبادی به تاریخ ۲۱ محرم ۱۳۹۳ نوشته؛ جلد: گالینگور زرد، ۲۱۱گ، ۲۱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۳-۲۱۹]</w:t>
      </w:r>
    </w:p>
    <w:p>
      <w:pPr>
        <w:pStyle w:val="BookText"/>
      </w:pPr>
      <w:r>
        <w:rPr>
          <w:rFonts w:ascii="IRNazanin" w:hAnsi="IRNazanin" w:eastAsia="IRNazanin" w:cs="IRNazanin"/>
          <w:lang w:bidi="fa-IR"/>
          <w:color w:val="111111"/>
          <w:sz w:val="28"/>
          <w:szCs w:val="28"/>
          <w:rtl/>
        </w:rPr>
        <w:t xml:space="preserve">۲. تهران؛ مجلس؛ شماره نسخه: ۱۷۶۰۰</w:t>
      </w:r>
    </w:p>
    <w:p>
      <w:pPr>
        <w:pStyle w:val="BookText"/>
      </w:pPr>
      <w:r>
        <w:rPr>
          <w:rFonts w:ascii="IRNazanin" w:hAnsi="IRNazanin" w:eastAsia="IRNazanin" w:cs="IRNazanin"/>
          <w:lang w:bidi="fa-IR"/>
          <w:color w:val="111111"/>
          <w:sz w:val="28"/>
          <w:szCs w:val="28"/>
          <w:rtl/>
        </w:rPr>
        <w:t xml:space="preserve">بی کا، بی تا [د.ث. مجلس]</w:t>
      </w:r>
    </w:p>
    <w:p>
      <w:pPr>
        <w:pStyle w:val="Heading3"/>
      </w:pPr>
      <w:bookmarkStart w:id="2507" w:name="_Toc1767"/>
      <w:r>
        <w:t>•تاریخ فیض بخش / تاریخ / فارسی</w:t>
      </w:r>
      <w:bookmarkEnd w:id="2507"/>
    </w:p>
    <w:p>
      <w:pPr>
        <w:pStyle w:val="BookText"/>
      </w:pPr>
      <w:r>
        <w:rPr>
          <w:rFonts w:ascii="Times New Roman" w:hAnsi="Times New Roman" w:eastAsia="Times New Roman" w:cs="Times New Roman"/>
          <w:lang w:val="en-US" w:bidi="en-US"/>
          <w:color w:val="111111"/>
          <w:sz w:val="28"/>
          <w:szCs w:val="28"/>
          <w:rtl/>
        </w:rPr>
        <w:t xml:space="preserve">tārīx-e feyz-baxs</w:t>
      </w:r>
    </w:p>
    <w:p>
      <w:pPr>
        <w:pStyle w:val="BookText"/>
      </w:pPr>
      <w:r>
        <w:rPr>
          <w:rFonts w:ascii="IRNazanin" w:hAnsi="IRNazanin" w:eastAsia="IRNazanin" w:cs="IRNazanin"/>
          <w:lang w:bidi="fa-IR"/>
          <w:color w:val="111111"/>
          <w:sz w:val="28"/>
          <w:szCs w:val="28"/>
          <w:rtl/>
        </w:rPr>
        <w:t xml:space="preserve">شیو پرشاد، ق۱۲ قمری</w:t>
      </w:r>
    </w:p>
    <w:p>
      <w:pPr>
        <w:pStyle w:val="BookText"/>
      </w:pPr>
      <w:r>
        <w:rPr>
          <w:rFonts w:ascii="Times New Roman" w:hAnsi="Times New Roman" w:eastAsia="Times New Roman" w:cs="Times New Roman"/>
          <w:lang w:val="en-US" w:bidi="en-US"/>
          <w:color w:val="111111"/>
          <w:sz w:val="28"/>
          <w:szCs w:val="28"/>
          <w:rtl/>
        </w:rPr>
        <w:t xml:space="preserve">šīū paršād (-18c)</w:t>
      </w:r>
    </w:p>
    <w:p>
      <w:pPr>
        <w:pStyle w:val="BookText"/>
      </w:pPr>
      <w:r>
        <w:rPr>
          <w:rFonts w:ascii="IRNazanin" w:hAnsi="IRNazanin" w:eastAsia="IRNazanin" w:cs="IRNazanin"/>
          <w:lang w:bidi="fa-IR"/>
          <w:color w:val="111111"/>
          <w:sz w:val="28"/>
          <w:szCs w:val="28"/>
          <w:rtl/>
        </w:rPr>
        <w:t xml:space="preserve">اهدا به: فیض الله خان تاریخ تأليف: ۱۱۹۰ق در تاریخ فرمانروایان رامپور یا </w:t>
      </w:r>
      <w:r>
        <w:rPr>
          <w:rFonts w:ascii="Times New Roman" w:hAnsi="Times New Roman" w:eastAsia="Times New Roman" w:cs="Times New Roman"/>
          <w:lang w:val="en-US" w:bidi="en-US"/>
          <w:color w:val="111111"/>
          <w:sz w:val="28"/>
          <w:szCs w:val="28"/>
          <w:rtl/>
        </w:rPr>
        <w:t xml:space="preserve">Rohilla </w:t>
      </w:r>
      <w:r>
        <w:rPr>
          <w:rFonts w:ascii="IRNazanin" w:hAnsi="IRNazanin" w:eastAsia="IRNazanin" w:cs="IRNazanin"/>
          <w:lang w:bidi="fa-IR"/>
          <w:color w:val="111111"/>
          <w:sz w:val="28"/>
          <w:szCs w:val="28"/>
          <w:rtl/>
        </w:rPr>
        <w:t xml:space="preserve">افغان. [آربری ۲۹۴؛ استوری ۶۹۵/1 -۱۳۲۷؛ دنا ۷۲۸/۲ ]</w:t>
      </w:r>
    </w:p>
    <w:p>
      <w:pPr>
        <w:pStyle w:val="BookText"/>
      </w:pPr>
      <w:r>
        <w:rPr>
          <w:rFonts w:ascii="IRNazanin" w:hAnsi="IRNazanin" w:eastAsia="IRNazanin" w:cs="IRNazanin"/>
          <w:lang w:bidi="fa-IR"/>
          <w:color w:val="111111"/>
          <w:sz w:val="28"/>
          <w:szCs w:val="28"/>
          <w:rtl/>
        </w:rPr>
        <w:t xml:space="preserve">تهران؛ دانشگاه؛ شماره نسخه:۵۳۰۵</w:t>
      </w:r>
    </w:p>
    <w:p>
      <w:pPr>
        <w:pStyle w:val="BookText"/>
      </w:pPr>
      <w:r>
        <w:rPr>
          <w:rFonts w:ascii="IRNazanin" w:hAnsi="IRNazanin" w:eastAsia="IRNazanin" w:cs="IRNazanin"/>
          <w:lang w:bidi="fa-IR"/>
          <w:color w:val="111111"/>
          <w:sz w:val="28"/>
          <w:szCs w:val="28"/>
          <w:rtl/>
        </w:rPr>
        <w:t xml:space="preserve">خط: نستعلیق هندی، بی کا، تا: قرن ۱۲؛ با تبدیل کلمات هندی متن به حروف لاتین در هامش، نسخه میانه کتاب است؛ کاغذ: هندی، جلد: تیماج تریاکی مقوایی، ۵۸گ، ۱۹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۱۵-۴۱۹۸]</w:t>
      </w:r>
    </w:p>
    <w:p>
      <w:pPr>
        <w:pStyle w:val="Heading3"/>
      </w:pPr>
      <w:bookmarkStart w:id="2508" w:name="_Toc1768"/>
      <w:r>
        <w:t>•تاریخ فیل / تاریخ</w:t>
      </w:r>
      <w:bookmarkEnd w:id="2508"/>
    </w:p>
    <w:p>
      <w:pPr>
        <w:pStyle w:val="BookText"/>
      </w:pPr>
      <w:r>
        <w:rPr>
          <w:rFonts w:ascii="Times New Roman" w:hAnsi="Times New Roman" w:eastAsia="Times New Roman" w:cs="Times New Roman"/>
          <w:lang w:val="en-US" w:bidi="en-US"/>
          <w:color w:val="111111"/>
          <w:sz w:val="28"/>
          <w:szCs w:val="28"/>
          <w:rtl/>
        </w:rPr>
        <w:t xml:space="preserve">tārīx-e fīl</w:t>
      </w:r>
    </w:p>
    <w:p>
      <w:pPr>
        <w:pStyle w:val="BookText"/>
      </w:pPr>
      <w:r>
        <w:rPr>
          <w:rFonts w:ascii="IRNazanin" w:hAnsi="IRNazanin" w:eastAsia="IRNazanin" w:cs="IRNazanin"/>
          <w:lang w:bidi="fa-IR"/>
          <w:color w:val="111111"/>
          <w:sz w:val="28"/>
          <w:szCs w:val="28"/>
          <w:rtl/>
        </w:rPr>
        <w:t xml:space="preserve">یزد؛ فرهمند، محمد على؛ شماره نسخه:3</w:t>
      </w:r>
    </w:p>
    <w:p>
      <w:pPr>
        <w:pStyle w:val="BookText"/>
      </w:pPr>
      <w:r>
        <w:rPr>
          <w:rFonts w:ascii="IRNazanin" w:hAnsi="IRNazanin" w:eastAsia="IRNazanin" w:cs="IRNazanin"/>
          <w:lang w:bidi="fa-IR"/>
          <w:color w:val="111111"/>
          <w:sz w:val="28"/>
          <w:szCs w:val="28"/>
          <w:rtl/>
        </w:rPr>
        <w:t xml:space="preserve">سالک الدین محمد حموی یزدی هیکل فیل دارد (جامع مفیدی ۳:۴۰۷ ) آیا این تاریخ همان بوده است؛ بی کا، بی تا؛ نسخه آقای حاجی رئیس یزدی، ملک پدر آقای محمدعلی فرهمند که به گفته ایشان آن را پدر ایشان به آقای نخجوانی داده بودند و اکنون باید در کتابخانه مرحوم حاجی محمد آقای نخجوانی باشد. ولی نگارنده از آقای حاج حسین آقای نخجوانی در تبریز پرسیدم می گفتند که از آن آگاهی ندارم. [نشريه: ۴-۴۶۳]</w:t>
      </w:r>
    </w:p>
    <w:p>
      <w:pPr>
        <w:pStyle w:val="BookText"/>
      </w:pPr>
      <w:r>
        <w:rPr>
          <w:rFonts w:ascii="IRNazanin" w:hAnsi="IRNazanin" w:eastAsia="IRNazanin" w:cs="IRNazanin"/>
          <w:lang w:bidi="fa-IR"/>
          <w:color w:val="111111"/>
          <w:sz w:val="28"/>
          <w:szCs w:val="28"/>
          <w:rtl/>
        </w:rPr>
        <w:t xml:space="preserve">← تاریخ قاجار ← عقد اللآلي في نقد المعالی</w:t>
      </w:r>
    </w:p>
    <w:p>
      <w:pPr>
        <w:pStyle w:val="Heading3"/>
      </w:pPr>
      <w:bookmarkStart w:id="2509" w:name="_Toc1769"/>
      <w:r>
        <w:t>•تاریخ قاجار / تاریخ ایران / فارسی</w:t>
      </w:r>
      <w:bookmarkEnd w:id="2509"/>
    </w:p>
    <w:p>
      <w:pPr>
        <w:pStyle w:val="BookText"/>
      </w:pPr>
      <w:r>
        <w:rPr>
          <w:rFonts w:ascii="Times New Roman" w:hAnsi="Times New Roman" w:eastAsia="Times New Roman" w:cs="Times New Roman"/>
          <w:lang w:val="en-US" w:bidi="en-US"/>
          <w:color w:val="111111"/>
          <w:sz w:val="28"/>
          <w:szCs w:val="28"/>
          <w:rtl/>
        </w:rPr>
        <w:t xml:space="preserve">tārīx-e qājār</w:t>
      </w:r>
    </w:p>
    <w:p>
      <w:pPr>
        <w:pStyle w:val="BookText"/>
      </w:pPr>
      <w:r>
        <w:rPr>
          <w:rFonts w:ascii="IRNazanin" w:hAnsi="IRNazanin" w:eastAsia="IRNazanin" w:cs="IRNazanin"/>
          <w:lang w:bidi="fa-IR"/>
          <w:color w:val="111111"/>
          <w:sz w:val="28"/>
          <w:szCs w:val="28"/>
          <w:rtl/>
        </w:rPr>
        <w:t xml:space="preserve">امامقلی میرزا قاجار، ق۱۳ قمری</w:t>
      </w:r>
    </w:p>
    <w:p>
      <w:pPr>
        <w:pStyle w:val="BookText"/>
      </w:pPr>
      <w:r>
        <w:rPr>
          <w:rFonts w:ascii="Times New Roman" w:hAnsi="Times New Roman" w:eastAsia="Times New Roman" w:cs="Times New Roman"/>
          <w:lang w:val="en-US" w:bidi="en-US"/>
          <w:color w:val="111111"/>
          <w:sz w:val="28"/>
          <w:szCs w:val="28"/>
          <w:rtl/>
        </w:rPr>
        <w:t xml:space="preserve">emamqoli mirza qajar (-19c)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533" w:name="pg20363_209848"/>
    <w:bookmarkEnd w:id="533"/>
    <w:p>
      <w:pPr>
        <w:pStyle w:val="BookText"/>
      </w:pPr>
      <w:r>
        <w:rPr>
          <w:rFonts w:ascii="IRNazanin" w:hAnsi="IRNazanin" w:eastAsia="IRNazanin" w:cs="IRNazanin"/>
          <w:lang w:bidi="fa-IR"/>
          <w:color w:val="111111"/>
          <w:sz w:val="28"/>
          <w:szCs w:val="28"/>
          <w:rtl/>
        </w:rPr>
        <w:t xml:space="preserve">تاریخ تأليف: ۱۲۹۸ق تاریخ قاجار است از طلوع ایل قاجار به نقل از کتاب «مأثر عبدالرزاق (دنبلی)» تا روزگار محمد شاه قاجار و کشتن میرزا آقاسی که بیشتر مطالب راجع به روزگار نویسنده به قلم اوست و کاتب نیز علت تحریر و مرگ نویسنده را در پایان نسخه ذکر می کند.</w:t>
      </w:r>
    </w:p>
    <w:p>
      <w:pPr>
        <w:pStyle w:val="BookText"/>
      </w:pPr>
      <w:r>
        <w:rPr>
          <w:rFonts w:ascii="IRNazanin" w:hAnsi="IRNazanin" w:eastAsia="IRNazanin" w:cs="IRNazanin"/>
          <w:lang w:bidi="fa-IR"/>
          <w:color w:val="111111"/>
          <w:sz w:val="28"/>
          <w:szCs w:val="28"/>
          <w:rtl/>
        </w:rPr>
        <w:t xml:space="preserve">[ دنا ۷۲۸/۲ ؛ فهرستواره منزوی ۸۹۱/۲ ]</w:t>
      </w:r>
    </w:p>
    <w:p>
      <w:pPr>
        <w:pStyle w:val="BookText"/>
      </w:pPr>
      <w:r>
        <w:rPr>
          <w:rFonts w:ascii="IRNazanin" w:hAnsi="IRNazanin" w:eastAsia="IRNazanin" w:cs="IRNazanin"/>
          <w:lang w:bidi="fa-IR"/>
          <w:color w:val="111111"/>
          <w:sz w:val="28"/>
          <w:szCs w:val="28"/>
          <w:rtl/>
        </w:rPr>
        <w:t xml:space="preserve">تهران؛ ملی؛ شماره نسخه:۹۱۴</w:t>
      </w:r>
    </w:p>
    <w:p>
      <w:pPr>
        <w:pStyle w:val="BookText"/>
      </w:pPr>
      <w:r>
        <w:rPr>
          <w:rFonts w:ascii="IRNazanin" w:hAnsi="IRNazanin" w:eastAsia="IRNazanin" w:cs="IRNazanin"/>
          <w:lang w:bidi="fa-IR"/>
          <w:color w:val="111111"/>
          <w:sz w:val="28"/>
          <w:szCs w:val="28"/>
          <w:rtl/>
        </w:rPr>
        <w:t xml:space="preserve">آغاز: بسمله، حمدا كثيرا مباركا فيه تؤتي الملك من تشاء و تنزع الملك من تشاء؛ انجام: همین منزل است این جهان خراب *** که دیده است ایوان افراسیاب؛ خط: شکسته نستعلیق، کا: مرتضی قاجار، تا: یک شنبه ۳ جمادی الاول ۱۲۹۸ق، جا: دار السطنه تبریز؛ کاغذ: فرنگی آبی، جلد: تیماج قرمز مقوایی، ۱۹۳ ، ۱۴ سطر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۲-۴۴۹]</w:t>
      </w:r>
    </w:p>
    <w:p>
      <w:pPr>
        <w:pStyle w:val="Heading3"/>
      </w:pPr>
      <w:bookmarkStart w:id="2510" w:name="_Toc1770"/>
      <w:r>
        <w:t>•تاریخ قاجار / تاریخ ایران / فارسی</w:t>
      </w:r>
      <w:bookmarkEnd w:id="2510"/>
    </w:p>
    <w:p>
      <w:pPr>
        <w:pStyle w:val="BookText"/>
      </w:pPr>
      <w:r>
        <w:rPr>
          <w:rFonts w:ascii="Times New Roman" w:hAnsi="Times New Roman" w:eastAsia="Times New Roman" w:cs="Times New Roman"/>
          <w:lang w:val="en-US" w:bidi="en-US"/>
          <w:color w:val="111111"/>
          <w:sz w:val="28"/>
          <w:szCs w:val="28"/>
          <w:rtl/>
        </w:rPr>
        <w:t xml:space="preserve">tārīx-e qājār</w:t>
      </w:r>
    </w:p>
    <w:p>
      <w:pPr>
        <w:pStyle w:val="BookText"/>
      </w:pPr>
      <w:r>
        <w:rPr>
          <w:rFonts w:ascii="IRNazanin" w:hAnsi="IRNazanin" w:eastAsia="IRNazanin" w:cs="IRNazanin"/>
          <w:lang w:bidi="fa-IR"/>
          <w:color w:val="111111"/>
          <w:sz w:val="28"/>
          <w:szCs w:val="28"/>
          <w:rtl/>
        </w:rPr>
        <w:t xml:space="preserve">همای مروزی، محمد صادق، ق۱۳ قمری</w:t>
      </w:r>
    </w:p>
    <w:p>
      <w:pPr>
        <w:pStyle w:val="BookText"/>
      </w:pPr>
      <w:r>
        <w:rPr>
          <w:rFonts w:ascii="Times New Roman" w:hAnsi="Times New Roman" w:eastAsia="Times New Roman" w:cs="Times New Roman"/>
          <w:lang w:val="en-US" w:bidi="en-US"/>
          <w:color w:val="111111"/>
          <w:sz w:val="28"/>
          <w:szCs w:val="28"/>
          <w:rtl/>
        </w:rPr>
        <w:t xml:space="preserve">homā-ye marvazī, mohammad sādeq (-19c)</w:t>
      </w:r>
    </w:p>
    <w:p>
      <w:pPr>
        <w:pStyle w:val="BookText"/>
      </w:pPr>
      <w:r>
        <w:rPr>
          <w:rFonts w:ascii="IRNazanin" w:hAnsi="IRNazanin" w:eastAsia="IRNazanin" w:cs="IRNazanin"/>
          <w:lang w:bidi="fa-IR"/>
          <w:color w:val="111111"/>
          <w:sz w:val="28"/>
          <w:szCs w:val="28"/>
          <w:rtl/>
        </w:rPr>
        <w:t xml:space="preserve">باید یکی از کارهای او در این زمینه باشد: ترجمة الجنان في خصائص السلطان فتحعلی شاه)، رطب اللسان (دهساله شاهی فتحعلی شاه)، قواعد الملوک (در احوال عباس میرزا)، مآثر فتحعلی شاه و مجمع المآثر. (احمد منزوی) [فهرستواره منزوی ۸۹۲/۲ ]</w:t>
      </w:r>
    </w:p>
    <w:p>
      <w:pPr>
        <w:pStyle w:val="BookText"/>
      </w:pPr>
      <w:r>
        <w:rPr>
          <w:rFonts w:ascii="IRNazanin" w:hAnsi="IRNazanin" w:eastAsia="IRNazanin" w:cs="IRNazanin"/>
          <w:lang w:bidi="fa-IR"/>
          <w:color w:val="111111"/>
          <w:sz w:val="28"/>
          <w:szCs w:val="28"/>
          <w:rtl/>
        </w:rPr>
        <w:t xml:space="preserve">تبریز؛ نخجوانی، حسین؛ شماره نسخه:۸</w:t>
      </w:r>
    </w:p>
    <w:p>
      <w:pPr>
        <w:pStyle w:val="BookText"/>
      </w:pPr>
      <w:r>
        <w:rPr>
          <w:rFonts w:ascii="IRNazanin" w:hAnsi="IRNazanin" w:eastAsia="IRNazanin" w:cs="IRNazanin"/>
          <w:lang w:bidi="fa-IR"/>
          <w:color w:val="111111"/>
          <w:sz w:val="28"/>
          <w:szCs w:val="28"/>
          <w:rtl/>
        </w:rPr>
        <w:t xml:space="preserve">بی کا، بی تا [نشریه: ۴-۳۳۸]</w:t>
      </w:r>
    </w:p>
    <w:p>
      <w:pPr>
        <w:pStyle w:val="Heading3"/>
      </w:pPr>
      <w:bookmarkStart w:id="2511" w:name="_Toc1771"/>
      <w:r>
        <w:t>•تاریخ قاجار / تاریخ / فارسی</w:t>
      </w:r>
      <w:bookmarkEnd w:id="2511"/>
    </w:p>
    <w:p>
      <w:pPr>
        <w:pStyle w:val="BookText"/>
      </w:pPr>
      <w:r>
        <w:rPr>
          <w:rFonts w:ascii="Times New Roman" w:hAnsi="Times New Roman" w:eastAsia="Times New Roman" w:cs="Times New Roman"/>
          <w:lang w:val="en-US" w:bidi="en-US"/>
          <w:color w:val="111111"/>
          <w:sz w:val="28"/>
          <w:szCs w:val="28"/>
          <w:rtl/>
        </w:rPr>
        <w:t xml:space="preserve">tārīx-e qājār</w:t>
      </w:r>
    </w:p>
    <w:p>
      <w:pPr>
        <w:pStyle w:val="BookText"/>
      </w:pPr>
      <w:r>
        <w:rPr>
          <w:rFonts w:ascii="IRNazanin" w:hAnsi="IRNazanin" w:eastAsia="IRNazanin" w:cs="IRNazanin"/>
          <w:lang w:bidi="fa-IR"/>
          <w:color w:val="111111"/>
          <w:sz w:val="28"/>
          <w:szCs w:val="28"/>
          <w:rtl/>
        </w:rPr>
        <w:t xml:space="preserve">شیرازی، محمد حسین بن فخر الدين، ق۱۴ قمری</w:t>
      </w:r>
    </w:p>
    <w:p>
      <w:pPr>
        <w:pStyle w:val="BookText"/>
      </w:pPr>
      <w:r>
        <w:rPr>
          <w:rFonts w:ascii="Times New Roman" w:hAnsi="Times New Roman" w:eastAsia="Times New Roman" w:cs="Times New Roman"/>
          <w:lang w:val="en-US" w:bidi="en-US"/>
          <w:color w:val="111111"/>
          <w:sz w:val="28"/>
          <w:szCs w:val="28"/>
          <w:rtl/>
        </w:rPr>
        <w:t xml:space="preserve">šīrāzī, mohammad hoseyn ebn-e faxr-od-dīn (-20c)</w:t>
      </w:r>
    </w:p>
    <w:p>
      <w:pPr>
        <w:pStyle w:val="BookText"/>
      </w:pPr>
      <w:r>
        <w:rPr>
          <w:rFonts w:ascii="IRNazanin" w:hAnsi="IRNazanin" w:eastAsia="IRNazanin" w:cs="IRNazanin"/>
          <w:lang w:bidi="fa-IR"/>
          <w:color w:val="111111"/>
          <w:sz w:val="28"/>
          <w:szCs w:val="28"/>
          <w:rtl/>
        </w:rPr>
        <w:t xml:space="preserve">تاریخ مختصری است در سلسله پادشاهان قاجار و تقسیمات طوائف آن و گزیده ای از شرح حال آنان تا آغاز سلطنت فتحعلی شاه.</w:t>
      </w:r>
    </w:p>
    <w:p>
      <w:pPr>
        <w:pStyle w:val="BookText"/>
      </w:pPr>
      <w:r>
        <w:rPr>
          <w:rFonts w:ascii="IRNazanin" w:hAnsi="IRNazanin" w:eastAsia="IRNazanin" w:cs="IRNazanin"/>
          <w:lang w:bidi="fa-IR"/>
          <w:color w:val="111111"/>
          <w:sz w:val="28"/>
          <w:szCs w:val="28"/>
          <w:rtl/>
        </w:rPr>
        <w:t xml:space="preserve">اصفهان، دانشگاه؛ شماره نسخه:۱۰۴</w:t>
      </w:r>
    </w:p>
    <w:p>
      <w:pPr>
        <w:pStyle w:val="BookText"/>
      </w:pPr>
      <w:r>
        <w:rPr>
          <w:rFonts w:ascii="IRNazanin" w:hAnsi="IRNazanin" w:eastAsia="IRNazanin" w:cs="IRNazanin"/>
          <w:lang w:bidi="fa-IR"/>
          <w:color w:val="111111"/>
          <w:sz w:val="28"/>
          <w:szCs w:val="28"/>
          <w:rtl/>
        </w:rPr>
        <w:t xml:space="preserve">آغاز: ایل قاجار طایفه ای از طوایف تر کند گفته اند که چون از اولاد قاجار یونان بن سرتاق نویان بن سابا یونان بن جلایر بن نیرون بوده اند بنام جد اعلى شهرت یافته اند خط: نستعلیق، کاتب = مؤلف، بی تا، رباعیات باباطاهر افزوده شده؛ تملک: عبدالحسین سپنتا؛ جلد: گالینگور کرمی، ۷۲گ، مختلف السطر،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۱-۸۲]</w:t>
      </w:r>
    </w:p>
    <w:p>
      <w:pPr>
        <w:pStyle w:val="Heading3"/>
      </w:pPr>
      <w:bookmarkStart w:id="2512" w:name="_Toc1772"/>
      <w:r>
        <w:t>•تاریخ قاجار / تاریخ ایران / فارسی</w:t>
      </w:r>
      <w:bookmarkEnd w:id="2512"/>
    </w:p>
    <w:p>
      <w:pPr>
        <w:pStyle w:val="BookText"/>
      </w:pPr>
      <w:r>
        <w:rPr>
          <w:rFonts w:ascii="Times New Roman" w:hAnsi="Times New Roman" w:eastAsia="Times New Roman" w:cs="Times New Roman"/>
          <w:lang w:val="en-US" w:bidi="en-US"/>
          <w:color w:val="111111"/>
          <w:sz w:val="28"/>
          <w:szCs w:val="28"/>
          <w:rtl/>
        </w:rPr>
        <w:t xml:space="preserve">tārīx-e qājār</w:t>
      </w:r>
    </w:p>
    <w:p>
      <w:pPr>
        <w:pStyle w:val="BookText"/>
      </w:pPr>
      <w:r>
        <w:rPr>
          <w:rFonts w:ascii="IRNazanin" w:hAnsi="IRNazanin" w:eastAsia="IRNazanin" w:cs="IRNazanin"/>
          <w:lang w:bidi="fa-IR"/>
          <w:color w:val="111111"/>
          <w:sz w:val="28"/>
          <w:szCs w:val="28"/>
          <w:rtl/>
        </w:rPr>
        <w:t xml:space="preserve">منشی رازی، احمد، ق ۱۴ قمری</w:t>
      </w:r>
    </w:p>
    <w:p>
      <w:pPr>
        <w:pStyle w:val="BookText"/>
      </w:pPr>
      <w:r>
        <w:rPr>
          <w:rFonts w:ascii="Times New Roman" w:hAnsi="Times New Roman" w:eastAsia="Times New Roman" w:cs="Times New Roman"/>
          <w:lang w:val="en-US" w:bidi="en-US"/>
          <w:color w:val="111111"/>
          <w:sz w:val="28"/>
          <w:szCs w:val="28"/>
          <w:rtl/>
        </w:rPr>
        <w:t xml:space="preserve">monšī rāzī, ahmad (-20c)</w:t>
      </w:r>
    </w:p>
    <w:p>
      <w:pPr>
        <w:pStyle w:val="BookText"/>
      </w:pPr>
      <w:r>
        <w:rPr>
          <w:rFonts w:ascii="IRNazanin" w:hAnsi="IRNazanin" w:eastAsia="IRNazanin" w:cs="IRNazanin"/>
          <w:lang w:bidi="fa-IR"/>
          <w:color w:val="111111"/>
          <w:sz w:val="28"/>
          <w:szCs w:val="28"/>
          <w:rtl/>
        </w:rPr>
        <w:t xml:space="preserve">اهدا به: ناصر الدین شاه (۱۲۶۴-۱۳۱۳ق) در تاریخ این دودمان از آغاز تا ۱۲۷۱ ق و از ۱۲۷۳ و ۱۲۷۵ ق نیز در آن یاد شده است. در نسخه حقوق که دست نویس خود اوست دگرگونی هایی در آن داده و این دستبردگی او در ۱۳۰۴ ق برابر ۴۰ سالگی شاهی ناصرالدین شاه انجام گرفته است. از دیباچه بر می آید که می خواهد به کتاب نام «بدیع التواریخ» یا «تاریخ بدیع» بدهد. (احمد منزوی)</w:t>
      </w:r>
    </w:p>
    <w:p>
      <w:pPr>
        <w:pStyle w:val="BookText"/>
      </w:pPr>
      <w:r>
        <w:rPr>
          <w:rFonts w:ascii="IRNazanin" w:hAnsi="IRNazanin" w:eastAsia="IRNazanin" w:cs="IRNazanin"/>
          <w:lang w:bidi="fa-IR"/>
          <w:color w:val="111111"/>
          <w:sz w:val="28"/>
          <w:szCs w:val="28"/>
          <w:rtl/>
        </w:rPr>
        <w:t xml:space="preserve">آغاز: 1: بسمله. الحمدلله الواهب المنان فايض الجود قدیم الاحسان ... فرخ نامه ای که کلک بدایع طراز عقول زیب دفتر اقبال و قبول سازد ۲:بسملة. الحمد لوليه و الصلوة على نبيه محمد و آله چون سال هجرت رسول ص بر یکهزار و دویست و هفتاد و پنج رسید و ده سال تمام از روزگار سلطنت پادشاه جهان خداوند منصور ابو النصر قاجار انجام: و سه دیگر شاهنشاه جوان ناصر الدینشاه خلد الله ملکه که خاطر همایونش با ستاره همراز باد و روزگار همیونش با سیاره در تک و تاز (تم الكتاب)</w:t>
      </w:r>
    </w:p>
    <w:p>
      <w:pPr>
        <w:pStyle w:val="BookText"/>
      </w:pPr>
      <w:r>
        <w:rPr>
          <w:rFonts w:ascii="IRNazanin" w:hAnsi="IRNazanin" w:eastAsia="IRNazanin" w:cs="IRNazanin"/>
          <w:lang w:bidi="fa-IR"/>
          <w:color w:val="111111"/>
          <w:sz w:val="28"/>
          <w:szCs w:val="28"/>
          <w:rtl/>
        </w:rPr>
        <w:t xml:space="preserve">[دنا ۷۲۸/۲ ؛ نسخه های منزوی ۴۲۶۱ و ۴۳۶۵؛ فهرستواره منزوی ۸۹۰/۲ ]</w:t>
      </w:r>
    </w:p>
    <w:p>
      <w:pPr>
        <w:pStyle w:val="BookText"/>
      </w:pPr>
      <w:r>
        <w:rPr>
          <w:rFonts w:ascii="IRNazanin" w:hAnsi="IRNazanin" w:eastAsia="IRNazanin" w:cs="IRNazanin"/>
          <w:lang w:bidi="fa-IR"/>
          <w:color w:val="111111"/>
          <w:sz w:val="28"/>
          <w:szCs w:val="28"/>
          <w:rtl/>
        </w:rPr>
        <w:t xml:space="preserve">۱. تهران؛ حقوق؛ شماره نسخه: ۱۲۲/۱</w:t>
      </w:r>
    </w:p>
    <w:p>
      <w:pPr>
        <w:pStyle w:val="BookText"/>
      </w:pPr>
      <w:r>
        <w:rPr>
          <w:rFonts w:ascii="IRNazanin" w:hAnsi="IRNazanin" w:eastAsia="IRNazanin" w:cs="IRNazanin"/>
          <w:lang w:bidi="fa-IR"/>
          <w:color w:val="111111"/>
          <w:sz w:val="28"/>
          <w:szCs w:val="28"/>
          <w:rtl/>
        </w:rPr>
        <w:t xml:space="preserve">ب آغاز: برابر ۱؛ انجام: و ما الطول الا ان يطيل له العمرا خط: نستعلیق، کاتب = مؤلف، تا: قرن ۱۴؛ مهر: «یا احمد ۱۳۰۷»؛ کاغذ: فرنگی، جلد: تیماج مشکی، ۶۴ گ، ۱۸ سطر</w:t>
      </w:r>
    </w:p>
    <w:p>
      <w:pPr>
        <w:pStyle w:val="BookText"/>
      </w:pPr>
      <w:r>
        <w:rPr>
          <w:rFonts w:ascii="IRNazanin" w:hAnsi="IRNazanin" w:eastAsia="IRNazanin" w:cs="IRNazanin"/>
          <w:lang w:bidi="fa-IR"/>
          <w:color w:val="111111"/>
          <w:sz w:val="28"/>
          <w:szCs w:val="28"/>
          <w:rtl/>
        </w:rPr>
        <w:t xml:space="preserve">(۱۲/۵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۳۴/۵سم [ف: ۲۸]</w:t>
      </w:r>
    </w:p>
    <w:p>
      <w:pPr>
        <w:pStyle w:val="BookText"/>
      </w:pPr>
      <w:r>
        <w:rPr>
          <w:rFonts w:ascii="IRNazanin" w:hAnsi="IRNazanin" w:eastAsia="IRNazanin" w:cs="IRNazanin"/>
          <w:lang w:bidi="fa-IR"/>
          <w:color w:val="111111"/>
          <w:sz w:val="28"/>
          <w:szCs w:val="28"/>
          <w:rtl/>
        </w:rPr>
        <w:t xml:space="preserve">۲. تهران؛ حقوق؛ شماره نسخه: ۱۲۲/۲ ب</w:t>
      </w:r>
    </w:p>
    <w:p>
      <w:pPr>
        <w:pStyle w:val="BookText"/>
      </w:pPr>
      <w:r>
        <w:rPr>
          <w:rFonts w:ascii="IRNazanin" w:hAnsi="IRNazanin" w:eastAsia="IRNazanin" w:cs="IRNazanin"/>
          <w:lang w:bidi="fa-IR"/>
          <w:color w:val="111111"/>
          <w:sz w:val="28"/>
          <w:szCs w:val="28"/>
          <w:rtl/>
        </w:rPr>
        <w:t xml:space="preserve">آغاز: برابر ۲؛ انجام: برابر</w:t>
      </w:r>
    </w:p>
    <w:p>
      <w:pPr>
        <w:pStyle w:val="BookText"/>
      </w:pPr>
      <w:r>
        <w:rPr>
          <w:rFonts w:ascii="IRNazanin" w:hAnsi="IRNazanin" w:eastAsia="IRNazanin" w:cs="IRNazanin"/>
          <w:lang w:bidi="fa-IR"/>
          <w:color w:val="111111"/>
          <w:sz w:val="28"/>
          <w:szCs w:val="28"/>
          <w:rtl/>
        </w:rPr>
        <w:t xml:space="preserve">خط: نستعلیق، کاتب = مؤلف، تا: قرن ۱۴؛ مهر: «یا احمد ۱۳۰۷»؛ کاغذ: فرنگی نخودی، جلد: تیماج مشکی ضربی مقوایی، ۵۵ گ، ۲۱ سطر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۲۹)</w:t>
      </w:r>
    </w:p>
    <w:p>
      <w:pPr>
        <w:pStyle w:val="BookText"/>
      </w:pPr>
      <w:r>
        <w:rPr>
          <w:rFonts w:ascii="IRNazanin" w:hAnsi="IRNazanin" w:eastAsia="IRNazanin" w:cs="IRNazanin"/>
          <w:lang w:bidi="fa-IR"/>
          <w:color w:val="111111"/>
          <w:sz w:val="28"/>
          <w:szCs w:val="28"/>
          <w:rtl/>
        </w:rPr>
        <w:t xml:space="preserve">تهران؛ دانشگاه؛ شماره نسخه:۴۲۴۳-ف</w:t>
      </w:r>
    </w:p>
    <w:p>
      <w:pPr>
        <w:pStyle w:val="BookText"/>
      </w:pPr>
      <w:r>
        <w:rPr>
          <w:rFonts w:ascii="IRNazanin" w:hAnsi="IRNazanin" w:eastAsia="IRNazanin" w:cs="IRNazanin"/>
          <w:lang w:bidi="fa-IR"/>
          <w:color w:val="111111"/>
          <w:sz w:val="28"/>
          <w:szCs w:val="28"/>
          <w:rtl/>
        </w:rPr>
        <w:t xml:space="preserve">همان نسخه بالا [ فیلمها ف: ۳-۳۶]</w:t>
      </w:r>
    </w:p>
    <w:p>
      <w:pPr>
        <w:pStyle w:val="BookText"/>
      </w:pPr>
      <w:r>
        <w:rPr>
          <w:rFonts w:ascii="IRNazanin" w:hAnsi="IRNazanin" w:eastAsia="IRNazanin" w:cs="IRNazanin"/>
          <w:lang w:bidi="fa-IR"/>
          <w:color w:val="111111"/>
          <w:sz w:val="28"/>
          <w:szCs w:val="28"/>
          <w:rtl/>
        </w:rPr>
        <w:t xml:space="preserve">←تاریخ قاجاریان← کلام الملوک ملوک الكلام</w:t>
      </w:r>
    </w:p>
    <w:p>
      <w:pPr>
        <w:pStyle w:val="BookText"/>
      </w:pPr>
      <w:r>
        <w:rPr>
          <w:rFonts w:ascii="IRNazanin" w:hAnsi="IRNazanin" w:eastAsia="IRNazanin" w:cs="IRNazanin"/>
          <w:lang w:bidi="fa-IR"/>
          <w:color w:val="111111"/>
          <w:sz w:val="28"/>
          <w:szCs w:val="28"/>
          <w:rtl/>
        </w:rPr>
        <w:t xml:space="preserve">←تاریخ قاجاریان← تاریخ سلطانی</w:t>
      </w:r>
    </w:p>
    <w:p>
      <w:pPr>
        <w:pStyle w:val="Heading3"/>
      </w:pPr>
      <w:bookmarkStart w:id="2513" w:name="_Toc1773"/>
      <w:r>
        <w:t>•تاریخ قاجاریان / تاریخ ایران / فارسی</w:t>
      </w:r>
      <w:bookmarkEnd w:id="2513"/>
    </w:p>
    <w:p>
      <w:pPr>
        <w:pStyle w:val="BookText"/>
      </w:pPr>
      <w:r>
        <w:rPr>
          <w:rFonts w:ascii="Times New Roman" w:hAnsi="Times New Roman" w:eastAsia="Times New Roman" w:cs="Times New Roman"/>
          <w:lang w:val="en-US" w:bidi="en-US"/>
          <w:color w:val="111111"/>
          <w:sz w:val="28"/>
          <w:szCs w:val="28"/>
          <w:rtl/>
        </w:rPr>
        <w:t xml:space="preserve">tārīx-e qājārīyān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534" w:name="pg20363_209849"/>
    <w:bookmarkEnd w:id="534"/>
    <w:p>
      <w:pPr>
        <w:pStyle w:val="BookText"/>
      </w:pPr>
      <w:r>
        <w:rPr>
          <w:rFonts w:ascii="IRNazanin" w:hAnsi="IRNazanin" w:eastAsia="IRNazanin" w:cs="IRNazanin"/>
          <w:lang w:bidi="fa-IR"/>
          <w:color w:val="111111"/>
          <w:sz w:val="28"/>
          <w:szCs w:val="28"/>
          <w:rtl/>
        </w:rPr>
        <w:t xml:space="preserve">محمود میرزا قاجار، ۱۲۱۴- ۱۲۷۱ قمری</w:t>
      </w:r>
    </w:p>
    <w:p>
      <w:pPr>
        <w:pStyle w:val="BookText"/>
      </w:pPr>
      <w:r>
        <w:rPr>
          <w:rFonts w:ascii="Times New Roman" w:hAnsi="Times New Roman" w:eastAsia="Times New Roman" w:cs="Times New Roman"/>
          <w:lang w:val="en-US" w:bidi="en-US"/>
          <w:color w:val="111111"/>
          <w:sz w:val="28"/>
          <w:szCs w:val="28"/>
          <w:rtl/>
        </w:rPr>
        <w:t xml:space="preserve">mahmūd mīrzā cājār (1800-1855)</w:t>
      </w:r>
    </w:p>
    <w:p>
      <w:pPr>
        <w:pStyle w:val="BookText"/>
      </w:pPr>
      <w:r>
        <w:rPr>
          <w:rFonts w:ascii="IRNazanin" w:hAnsi="IRNazanin" w:eastAsia="IRNazanin" w:cs="IRNazanin"/>
          <w:lang w:bidi="fa-IR"/>
          <w:color w:val="111111"/>
          <w:sz w:val="28"/>
          <w:szCs w:val="28"/>
          <w:rtl/>
        </w:rPr>
        <w:t xml:space="preserve">تاریخ تأليف: محرم ۱۲۵۶ق پس از پرداختن از «تاریخ صاحبقرانی» که آن نیز در تاریخ این دودمان است، بدین یکی پرداخته است. آغاز: محمود بن فتحعلی شاه قاجار در آغاز سال ۱۲۵۶ که نخست روز ماه محرم الحرام في يوم جمعه است چنان می نگارد. انجام: سال تاریخ دگر شاهد حال بنده با بخت محمد محمود [فهرستواره منزوی ۸۹۱/۲ ]</w:t>
      </w:r>
    </w:p>
    <w:p>
      <w:pPr>
        <w:pStyle w:val="BookText"/>
      </w:pPr>
      <w:r>
        <w:rPr>
          <w:rFonts w:ascii="IRNazanin" w:hAnsi="IRNazanin" w:eastAsia="IRNazanin" w:cs="IRNazanin"/>
          <w:lang w:bidi="fa-IR"/>
          <w:color w:val="111111"/>
          <w:sz w:val="28"/>
          <w:szCs w:val="28"/>
          <w:rtl/>
        </w:rPr>
        <w:t xml:space="preserve">تهران؛ ملک؛ شماره نسخه:۳۷۴۲</w:t>
      </w:r>
    </w:p>
    <w:p>
      <w:pPr>
        <w:pStyle w:val="BookText"/>
      </w:pPr>
      <w:r>
        <w:rPr>
          <w:rFonts w:ascii="IRNazanin" w:hAnsi="IRNazanin" w:eastAsia="IRNazanin" w:cs="IRNazanin"/>
          <w:lang w:bidi="fa-IR"/>
          <w:color w:val="111111"/>
          <w:sz w:val="28"/>
          <w:szCs w:val="28"/>
          <w:rtl/>
        </w:rPr>
        <w:t xml:space="preserve">آغاز: محمود بن فتحعلی شاه قاجار در آغاز سال ۱۲۵۶ که نخست روز ماه محرم الحرام في يوم جمعه است چنان مینگارد؛ انجام: سال تاریخ دگر شاهد حال *** بنده با بخت محمد محمود</w:t>
      </w:r>
    </w:p>
    <w:p>
      <w:pPr>
        <w:pStyle w:val="BookText"/>
      </w:pPr>
      <w:r>
        <w:rPr>
          <w:rFonts w:ascii="IRNazanin" w:hAnsi="IRNazanin" w:eastAsia="IRNazanin" w:cs="IRNazanin"/>
          <w:lang w:bidi="fa-IR"/>
          <w:color w:val="111111"/>
          <w:sz w:val="28"/>
          <w:szCs w:val="28"/>
          <w:rtl/>
        </w:rPr>
        <w:t xml:space="preserve">خط: شکسته، نستعلیق، بی کا، تا: ۱۶ ذیقعده ۱۲۶۰ق، جا: تبریز، به دستور محمود میرزا؛ دارای یادداشت مربوط به فوت عزیز خان سردار کل در چهارشنبه ۲۰ شوال ۱۲۸۷؛ کاغذ: کاغذ فرنگی آهار مهره، جلد: میشن قهوه ای روشن، ۲۶۴گ، ۱۴ سطر، اندازه: ۲۱/۶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۱۴/۶</w:t>
      </w:r>
    </w:p>
    <w:p>
      <w:pPr>
        <w:pStyle w:val="BookText"/>
      </w:pPr>
      <w:r>
        <w:rPr>
          <w:rFonts w:ascii="IRNazanin" w:hAnsi="IRNazanin" w:eastAsia="IRNazanin" w:cs="IRNazanin"/>
          <w:lang w:bidi="fa-IR"/>
          <w:color w:val="111111"/>
          <w:sz w:val="28"/>
          <w:szCs w:val="28"/>
          <w:rtl/>
        </w:rPr>
        <w:t xml:space="preserve">سم [ف: ۲-۸۷]</w:t>
      </w:r>
    </w:p>
    <w:p>
      <w:pPr>
        <w:pStyle w:val="BookText"/>
      </w:pPr>
      <w:r>
        <w:rPr>
          <w:rFonts w:ascii="IRNazanin" w:hAnsi="IRNazanin" w:eastAsia="IRNazanin" w:cs="IRNazanin"/>
          <w:lang w:bidi="fa-IR"/>
          <w:color w:val="111111"/>
          <w:sz w:val="28"/>
          <w:szCs w:val="28"/>
          <w:rtl/>
        </w:rPr>
        <w:t xml:space="preserve">←تاریخ قاجاریه ← تاریخ ملک آرا</w:t>
      </w:r>
    </w:p>
    <w:p>
      <w:pPr>
        <w:pStyle w:val="BookText"/>
      </w:pPr>
      <w:r>
        <w:rPr>
          <w:rFonts w:ascii="IRNazanin" w:hAnsi="IRNazanin" w:eastAsia="IRNazanin" w:cs="IRNazanin"/>
          <w:lang w:bidi="fa-IR"/>
          <w:color w:val="111111"/>
          <w:sz w:val="28"/>
          <w:szCs w:val="28"/>
          <w:rtl/>
        </w:rPr>
        <w:t xml:space="preserve">←تاریخ قاجاریه ← تاریخ فتحعلی شاه</w:t>
      </w:r>
    </w:p>
    <w:p>
      <w:pPr>
        <w:pStyle w:val="Heading3"/>
      </w:pPr>
      <w:bookmarkStart w:id="2514" w:name="_Toc1774"/>
      <w:r>
        <w:t>•تاریخ قاجاریه / تاریخ ایران / فارسی</w:t>
      </w:r>
      <w:bookmarkEnd w:id="2514"/>
    </w:p>
    <w:p>
      <w:pPr>
        <w:pStyle w:val="BookText"/>
      </w:pPr>
      <w:r>
        <w:rPr>
          <w:rFonts w:ascii="Times New Roman" w:hAnsi="Times New Roman" w:eastAsia="Times New Roman" w:cs="Times New Roman"/>
          <w:lang w:val="en-US" w:bidi="en-US"/>
          <w:color w:val="111111"/>
          <w:sz w:val="28"/>
          <w:szCs w:val="28"/>
          <w:rtl/>
        </w:rPr>
        <w:t xml:space="preserve">tārīx-e qājārīye</w:t>
      </w:r>
    </w:p>
    <w:p>
      <w:pPr>
        <w:pStyle w:val="BookText"/>
      </w:pPr>
      <w:r>
        <w:rPr>
          <w:rFonts w:ascii="IRNazanin" w:hAnsi="IRNazanin" w:eastAsia="IRNazanin" w:cs="IRNazanin"/>
          <w:lang w:bidi="fa-IR"/>
          <w:color w:val="111111"/>
          <w:sz w:val="28"/>
          <w:szCs w:val="28"/>
          <w:rtl/>
        </w:rPr>
        <w:t xml:space="preserve">میرزا فضل الله، ق۱۳ قمری</w:t>
      </w:r>
    </w:p>
    <w:p>
      <w:pPr>
        <w:pStyle w:val="BookText"/>
      </w:pPr>
      <w:r>
        <w:rPr>
          <w:rFonts w:ascii="Times New Roman" w:hAnsi="Times New Roman" w:eastAsia="Times New Roman" w:cs="Times New Roman"/>
          <w:lang w:val="en-US" w:bidi="en-US"/>
          <w:color w:val="111111"/>
          <w:sz w:val="28"/>
          <w:szCs w:val="28"/>
          <w:rtl/>
        </w:rPr>
        <w:t xml:space="preserve">mīrzā fazl-ol-lāh (-19c)</w:t>
      </w:r>
    </w:p>
    <w:p>
      <w:pPr>
        <w:pStyle w:val="BookText"/>
      </w:pPr>
      <w:r>
        <w:rPr>
          <w:rFonts w:ascii="IRNazanin" w:hAnsi="IRNazanin" w:eastAsia="IRNazanin" w:cs="IRNazanin"/>
          <w:lang w:bidi="fa-IR"/>
          <w:color w:val="111111"/>
          <w:sz w:val="28"/>
          <w:szCs w:val="28"/>
          <w:rtl/>
        </w:rPr>
        <w:t xml:space="preserve">تهران؛ مجلس؛ شماره نسخه:۱۴۷۲۲/۵</w:t>
      </w:r>
    </w:p>
    <w:p>
      <w:pPr>
        <w:pStyle w:val="BookText"/>
      </w:pPr>
      <w:r>
        <w:rPr>
          <w:rFonts w:ascii="IRNazanin" w:hAnsi="IRNazanin" w:eastAsia="IRNazanin" w:cs="IRNazanin"/>
          <w:lang w:bidi="fa-IR"/>
          <w:color w:val="111111"/>
          <w:sz w:val="28"/>
          <w:szCs w:val="28"/>
          <w:rtl/>
        </w:rPr>
        <w:t xml:space="preserve">خط: نستعلیق تحریری، بی کا، تا: قرن ۱۳؛ ۱۸گ (۷۵۵۸پ) مختصر[ ف: ۹۰۲]</w:t>
      </w:r>
    </w:p>
    <w:p>
      <w:pPr>
        <w:pStyle w:val="Heading3"/>
      </w:pPr>
      <w:bookmarkStart w:id="2515" w:name="_Toc1775"/>
      <w:r>
        <w:t>•تاریخ قاجاریه / تاریخ / فارسی</w:t>
      </w:r>
      <w:bookmarkEnd w:id="2515"/>
    </w:p>
    <w:p>
      <w:pPr>
        <w:pStyle w:val="BookText"/>
      </w:pPr>
      <w:r>
        <w:rPr>
          <w:rFonts w:ascii="Times New Roman" w:hAnsi="Times New Roman" w:eastAsia="Times New Roman" w:cs="Times New Roman"/>
          <w:lang w:val="en-US" w:bidi="en-US"/>
          <w:color w:val="111111"/>
          <w:sz w:val="28"/>
          <w:szCs w:val="28"/>
          <w:rtl/>
        </w:rPr>
        <w:t xml:space="preserve">tārīx-e qājārīye</w:t>
      </w:r>
    </w:p>
    <w:p>
      <w:pPr>
        <w:pStyle w:val="BookText"/>
      </w:pPr>
      <w:r>
        <w:rPr>
          <w:rFonts w:ascii="IRNazanin" w:hAnsi="IRNazanin" w:eastAsia="IRNazanin" w:cs="IRNazanin"/>
          <w:lang w:bidi="fa-IR"/>
          <w:color w:val="111111"/>
          <w:sz w:val="28"/>
          <w:szCs w:val="28"/>
          <w:rtl/>
        </w:rPr>
        <w:t xml:space="preserve">امیرخیزی، اسماعيل بن محمد تقی، ۱۲۵۵-۱۳۴۴ شمسی</w:t>
      </w:r>
    </w:p>
    <w:p>
      <w:pPr>
        <w:pStyle w:val="BookText"/>
      </w:pPr>
      <w:r>
        <w:rPr>
          <w:rFonts w:ascii="Times New Roman" w:hAnsi="Times New Roman" w:eastAsia="Times New Roman" w:cs="Times New Roman"/>
          <w:lang w:val="en-US" w:bidi="en-US"/>
          <w:color w:val="111111"/>
          <w:sz w:val="28"/>
          <w:szCs w:val="28"/>
          <w:rtl/>
        </w:rPr>
        <w:t xml:space="preserve">amīr-xīzī, esmāʻīl ebn-e mohammad taqī (1876-1965)</w:t>
      </w:r>
    </w:p>
    <w:p>
      <w:pPr>
        <w:pStyle w:val="BookText"/>
      </w:pPr>
      <w:r>
        <w:rPr>
          <w:rFonts w:ascii="IRNazanin" w:hAnsi="IRNazanin" w:eastAsia="IRNazanin" w:cs="IRNazanin"/>
          <w:lang w:bidi="fa-IR"/>
          <w:color w:val="111111"/>
          <w:sz w:val="28"/>
          <w:szCs w:val="28"/>
          <w:rtl/>
        </w:rPr>
        <w:t xml:space="preserve">تهران؛ مجلس؛ شماره نسخه:۹۸۷۳</w:t>
      </w:r>
    </w:p>
    <w:p>
      <w:pPr>
        <w:pStyle w:val="BookText"/>
      </w:pPr>
      <w:r>
        <w:rPr>
          <w:rFonts w:ascii="IRNazanin" w:hAnsi="IRNazanin" w:eastAsia="IRNazanin" w:cs="IRNazanin"/>
          <w:lang w:bidi="fa-IR"/>
          <w:color w:val="111111"/>
          <w:sz w:val="28"/>
          <w:szCs w:val="28"/>
          <w:rtl/>
        </w:rPr>
        <w:t xml:space="preserve">آغاز: در روز یکشنبه بیست و دوم محرم ۱۲۶۸ ناصرالدین شاه میرزا آقا خان اعتمادالدوله را بصدرات برگزید؛ انجام: افسوس که خوش درخشید ولی دولت مستعجل بود. خط: نستعلیق، کا: اسماعیل امیر خیزی، تا: قرن ۱۴؛ متن خط خوردگی دارد؛ ۶۷ گ، ۲۱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۳۱-۱۱۸]</w:t>
      </w:r>
    </w:p>
    <w:p>
      <w:pPr>
        <w:pStyle w:val="Heading3"/>
      </w:pPr>
      <w:bookmarkStart w:id="2516" w:name="_Toc1776"/>
      <w:r>
        <w:t>•تاریخ قاجاریه = تاریخ سلطنت سلسله قاجاریه / تاریخ ایران / فارسی</w:t>
      </w:r>
      <w:bookmarkEnd w:id="2516"/>
    </w:p>
    <w:p>
      <w:pPr>
        <w:pStyle w:val="BookText"/>
      </w:pPr>
      <w:r>
        <w:rPr>
          <w:rFonts w:ascii="Times New Roman" w:hAnsi="Times New Roman" w:eastAsia="Times New Roman" w:cs="Times New Roman"/>
          <w:lang w:val="en-US" w:bidi="en-US"/>
          <w:color w:val="111111"/>
          <w:sz w:val="28"/>
          <w:szCs w:val="28"/>
          <w:rtl/>
        </w:rPr>
        <w:t xml:space="preserve">tārīx-e qājārīye = tārīx-e saltanat-e selsele-ye qājārīye</w:t>
      </w:r>
    </w:p>
    <w:p>
      <w:pPr>
        <w:pStyle w:val="BookText"/>
      </w:pPr>
      <w:r>
        <w:rPr>
          <w:rFonts w:ascii="IRNazanin" w:hAnsi="IRNazanin" w:eastAsia="IRNazanin" w:cs="IRNazanin"/>
          <w:lang w:bidi="fa-IR"/>
          <w:color w:val="111111"/>
          <w:sz w:val="28"/>
          <w:szCs w:val="28"/>
          <w:rtl/>
        </w:rPr>
        <w:t xml:space="preserve">ظاهرة غير همانند: .. قم؛ مرعشی؛ شماره نسخه:۱۱۳۹۰</w:t>
      </w:r>
    </w:p>
    <w:p>
      <w:pPr>
        <w:pStyle w:val="BookText"/>
      </w:pPr>
      <w:r>
        <w:rPr>
          <w:rFonts w:ascii="IRNazanin" w:hAnsi="IRNazanin" w:eastAsia="IRNazanin" w:cs="IRNazanin"/>
          <w:lang w:bidi="fa-IR"/>
          <w:color w:val="111111"/>
          <w:sz w:val="28"/>
          <w:szCs w:val="28"/>
          <w:rtl/>
        </w:rPr>
        <w:t xml:space="preserve">آغاز: بعد از حمد و الصلاة در صحايف تاريخ مملک ایران را بجزر و مد عدیده در اعصار كثيره در قطعه آسیا (آسیای وسطی)؛ انجام: ولی بعد از آن با اولادش سازش نکرده آب جعفر خان زند مخالف شد و جهت جلد ۱، تاریخ سلسله قاجاریه می باشد ولی مؤلف</w:t>
      </w:r>
    </w:p>
    <w:p>
      <w:pPr>
        <w:pStyle w:val="BookText"/>
      </w:pPr>
      <w:r>
        <w:rPr>
          <w:rFonts w:ascii="IRNazanin" w:hAnsi="IRNazanin" w:eastAsia="IRNazanin" w:cs="IRNazanin"/>
          <w:lang w:bidi="fa-IR"/>
          <w:color w:val="111111"/>
          <w:sz w:val="28"/>
          <w:szCs w:val="28"/>
          <w:rtl/>
        </w:rPr>
        <w:t xml:space="preserve">آن را از پادشاهان صفوی آغاز نموده و تا عصر خود ادامه داده است. مؤلف از نمایندگان دوره دوم مجلس شورای ملی در زمان جنگ جهانی اول بوده است.</w:t>
      </w:r>
    </w:p>
    <w:p>
      <w:pPr>
        <w:pStyle w:val="BookText"/>
      </w:pPr>
      <w:r>
        <w:rPr>
          <w:rFonts w:ascii="IRNazanin" w:hAnsi="IRNazanin" w:eastAsia="IRNazanin" w:cs="IRNazanin"/>
          <w:lang w:bidi="fa-IR"/>
          <w:color w:val="111111"/>
          <w:sz w:val="28"/>
          <w:szCs w:val="28"/>
          <w:rtl/>
        </w:rPr>
        <w:t xml:space="preserve">بنا به نوشته روی جلد تالیف این کتاب در عراق انجام شده است؛ خط: نستعلیق، کاتب = مؤلف، تا: ۱۳۳۴ق؛ افتادگی: انجام؛ مصحح، محشی، دارای قلم خوردگی؛ کاغذ: فرنگی آهار مهره، جلد: کاغذی با مقوا، عطف پارچه ای، ۷۳گ، ۱۹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۲۸-۶۵۵]</w:t>
      </w:r>
    </w:p>
    <w:p>
      <w:pPr>
        <w:pStyle w:val="BookText"/>
      </w:pPr>
      <w:r>
        <w:rPr>
          <w:rFonts w:ascii="IRNazanin" w:hAnsi="IRNazanin" w:eastAsia="IRNazanin" w:cs="IRNazanin"/>
          <w:lang w:bidi="fa-IR"/>
          <w:color w:val="111111"/>
          <w:sz w:val="28"/>
          <w:szCs w:val="28"/>
          <w:rtl/>
        </w:rPr>
        <w:t xml:space="preserve">۲. تهران؛ ملک؛ شماره نسخه: ۴۳۱۸/۱</w:t>
      </w:r>
    </w:p>
    <w:p>
      <w:pPr>
        <w:pStyle w:val="BookText"/>
      </w:pPr>
      <w:r>
        <w:rPr>
          <w:rFonts w:ascii="IRNazanin" w:hAnsi="IRNazanin" w:eastAsia="IRNazanin" w:cs="IRNazanin"/>
          <w:lang w:bidi="fa-IR"/>
          <w:color w:val="111111"/>
          <w:sz w:val="28"/>
          <w:szCs w:val="28"/>
          <w:rtl/>
        </w:rPr>
        <w:t xml:space="preserve">آغاز: هوا السلطان العظم و الخاقان الاكرم الافخم ... ناظران به رأى العين شاهد و مستمعان را کمال قدرت پروردگار شاهد است که از صباحی که هاتف مشیت کامل از مكمن حکمت (در متن) با دیباچه ای در ستایش و سرگذشت فتحعلیشاه و خاندان قاجار. سپس عهدنامه های منعقده میان روس و ایران، و ایران با عثمانی آورده شده است؛ خط: شکسته نستعلیق، بی کا، تا: نیمه اول قرن ۱۳؛ کاغذ: فرنگی، جلد: رویه میشن زرد سیر ضربی، ۲۲ سطر، اندازه: ۳۴/۶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۲۰/۷ سم [ف: ۷-۳۴۰]</w:t>
      </w:r>
    </w:p>
    <w:p>
      <w:pPr>
        <w:pStyle w:val="BookText"/>
      </w:pPr>
      <w:r>
        <w:rPr>
          <w:rFonts w:ascii="IRNazanin" w:hAnsi="IRNazanin" w:eastAsia="IRNazanin" w:cs="IRNazanin"/>
          <w:lang w:bidi="fa-IR"/>
          <w:color w:val="111111"/>
          <w:sz w:val="28"/>
          <w:szCs w:val="28"/>
          <w:rtl/>
        </w:rPr>
        <w:t xml:space="preserve">٣. تهران؛ مجلس؛ شماره نسخه: ۱۰۳۹/۲ -طباطبائی</w:t>
      </w:r>
    </w:p>
    <w:p>
      <w:pPr>
        <w:pStyle w:val="BookText"/>
      </w:pPr>
      <w:r>
        <w:rPr>
          <w:rFonts w:ascii="IRNazanin" w:hAnsi="IRNazanin" w:eastAsia="IRNazanin" w:cs="IRNazanin"/>
          <w:lang w:bidi="fa-IR"/>
          <w:color w:val="111111"/>
          <w:sz w:val="28"/>
          <w:szCs w:val="28"/>
          <w:rtl/>
        </w:rPr>
        <w:t xml:space="preserve">آغاز: آغاز تاریخ قاجاریه: بسمله قاعده کلیه و قانون عمومیه چنین است سخن صدق و حق در روی احدی نتوان گفت ... بنابراین اعتماد کلی بر قول تاریخ نگاران نتوان داشت ... و قیاس در عصری که در او زندگی میکنیم باید کرد ... پس بنا بر تحقیق ... احوالات دنیا کان قاجاریه را که از تاریخ نویسان این عهد نوشته اند ... اغراق و تملق است؛ انجام: بزرگ کاری کرد این بزرگ شاه ولی *** چنین کنند بزرگان چو کرد باید کار تاریخ مختصری است از سلسله قاجاریه با اشارت به کیفیت سلطنت سلاطین صفویه» به عنوان مقدمه و درج مختصری از تاریخ عضدی درباره زنان درباره فتحعلی شاه قاجار. مؤلف از نام خویش یاد نمی کند اما از اشارات او چنین پیداست که از نزدیکان ناصرالدین شاه بوده و در مراسم و سلامهای خاص شرکت میکرده است در ص ۱۸۹ آمده: این بنده نگارنده در موارد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سلامهای خاص که بعد از سلام عام منعقد میگردد حالتی ... دیده ام که گفتنی نیست. از سپهر با عنوان «سپهر کجرفتار» و از ناسخ التواریخ و روضة الصفای ناصری یاد می کند و مؤلفان آنها را گزافه گو و اغراق نویس می خواند (در ص ۱۰۲ میگوید: چون غالب مردم منتهای میل را به دانستن تاریخ صحيح قاجاریه دارند و اطلاعات ایشان منحصر است به خواندن روضة الصفای ناصری و ناسخ التواریخ که آن دو مورخ یا از عدم علم از اصل مسئلهيا از راه تملق و اضطرار ... نوشته اند از صحت دور و به اغراق نزدیک است. هر چند اطلاع این احقر هم سطحی است و آنچه میدانم از مأخذ نگارش مورخین ... همین عصر است ولی از تتبع ... مرا از این تتبع ... و حصول اطلاعات خارجی می توان چیزی نوشت که صحیح تر از نگارش دیگران باشد ... مرا از این تحریر جلب منفعتی در نظر نیست ... به تصديق و تکذیب هیچ کس کاری ندارم و نگارش خود را قابل ملاحظه اهل فضل و ادب نمیشمارم ...» در آغاز این قسمت چنین آرد: «اگر چه مقصود این گمنام از نگارش این منتخب بعضی دقائق و نکات بود که شاهزاده عضدالدوله در تاریخ نسوان خاقان ... نوشته بود ... لكن اختیار قلم با من نیست ..» در جای دیگر که به رفتار غیر انسانی آغا محمد خان با لطفعلی زند اشارت می کند، می گوید: «من مدعی درست نویسی هستم والا روضة الصفا و ناسخ ... مسجع و مقفاتر از این رساله است». مؤلف در اول این تاریخ مختصر درباره سپهر آرد: سپهر کج رفتار میرزا تقی خان لسان الملک به اعتقاد عموم ... مورخ آگاه این دوره است و به قول خودش سطری به کذب رانده ... منصفان دانند ... و عاقل از اوراق تألیفات وی چه خواند ... این بی دیانت ... منتهای خیانت ورزیده و زحمت خود را به هدر داده». و خود ادعاء درست نویسی دارد و نویسنده مدعی است کوشش می کند از مآخذ معتبرتر نقل کند؛ بی کا، تا: قرن ۱۳؛ کاغذ: فرنگی، جلد: تیماج قرمز، ۶۲گ (۱۰-۱۹ و ۴۴پ - ۹۵ر)، اندازه: ۱۳/۵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۲۳-۳۳۹]</w:t>
      </w:r>
    </w:p>
    <w:p>
      <w:pPr>
        <w:pStyle w:val="BookText"/>
      </w:pPr>
      <w:r>
        <w:rPr>
          <w:rFonts w:ascii="IRNazanin" w:hAnsi="IRNazanin" w:eastAsia="IRNazanin" w:cs="IRNazanin"/>
          <w:lang w:bidi="fa-IR"/>
          <w:color w:val="111111"/>
          <w:sz w:val="28"/>
          <w:szCs w:val="28"/>
          <w:rtl/>
        </w:rPr>
        <w:t xml:space="preserve">۴. تهران؛ مجلس؛ شماره نسخه: ۸۸۶۸/۲۰</w:t>
      </w:r>
    </w:p>
    <w:p>
      <w:pPr>
        <w:pStyle w:val="BookText"/>
      </w:pPr>
      <w:r>
        <w:rPr>
          <w:rFonts w:ascii="IRNazanin" w:hAnsi="IRNazanin" w:eastAsia="IRNazanin" w:cs="IRNazanin"/>
          <w:lang w:bidi="fa-IR"/>
          <w:color w:val="111111"/>
          <w:sz w:val="28"/>
          <w:szCs w:val="28"/>
          <w:rtl/>
        </w:rPr>
        <w:t xml:space="preserve">آغاز: در کجلد اول ازین کتاب جملی از محامد مأثور و مواقف مشهور امیر تاج بخش فتحعلی خان و پادشاه جهان جهانگشا محمد حسین خان تولاهما الله برضوانه یاد رفت و ترجمه مآثر و تذکره مفاخر شاه شهید سعید آقا محمد شاه و خاقان مغفور میرور فتحعلی خان تغمدهما الله بغفرانه موشح و مذيل گشت درین مجلد بندی از لباب حکایات و نقاوه روايات عهد ماضی و روزگار سلطنت ... ناصرالدین شاه قاجار خلد الله ملکه نگاشته می آید؛ انجام: و غيث المحتاجين نمودار فره ایزدی ستوده عهد در مردی و تجردی در. مقدمه کتابی است که جلد اول آن در شرح زندگی فتحعلی شاه ( ۱۲۵۰-۱۲۱۲ ق) نوشته شده بود و مؤلف قصد داشته در جلد دوم حکایات عصر ناصری (۱۲۶۴-۱۳۱۳ق) را تحریر کند؛ خط: نستعلیق و شکسته، بی کا، تا: قرن ۱۳؛ کاغذ: صنعتی نخودی و نیلی آهار مهره، جلد: مقوای سفید عطف میشن زیتونی، اگ (۷۶ر)، اندازه: ۲۱/۴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۲۹/۱ -۱۸۱]</w:t>
      </w:r>
    </w:p>
    <w:p>
      <w:pPr>
        <w:pStyle w:val="BookText"/>
      </w:pPr>
      <w:r>
        <w:rPr>
          <w:rFonts w:ascii="IRNazanin" w:hAnsi="IRNazanin" w:eastAsia="IRNazanin" w:cs="IRNazanin"/>
          <w:lang w:bidi="fa-IR"/>
          <w:color w:val="111111"/>
          <w:sz w:val="28"/>
          <w:szCs w:val="28"/>
          <w:rtl/>
        </w:rPr>
        <w:t xml:space="preserve">۵. تهران؛ مجلس؛ شماره نسخه: ۸۹۶۸/۱۳</w:t>
      </w:r>
    </w:p>
    <w:p>
      <w:pPr>
        <w:pStyle w:val="BookText"/>
      </w:pPr>
      <w:r>
        <w:rPr>
          <w:rFonts w:ascii="IRNazanin" w:hAnsi="IRNazanin" w:eastAsia="IRNazanin" w:cs="IRNazanin"/>
          <w:lang w:bidi="fa-IR"/>
          <w:color w:val="111111"/>
          <w:sz w:val="28"/>
          <w:szCs w:val="28"/>
          <w:rtl/>
        </w:rPr>
        <w:t xml:space="preserve">آغاز: یادگار دودمان فریدون و جم فرزند ملک الملوک عجم شاهزاده معین الدین میرزا در سال ۱۲۶۸ چهار ساعت پیش از آن که آفتاب در جهت مغرب افول کند در طهران متولد گشت مقدمه یکی از تواریخ قاجاریه است که در نسخه به نامش اشاره ای نشده. بخش موجود در نسخه ما ناقص است. آن چه از همین چند صفحه به دست می آید این است که کتاب شرح حال ناصرالدین شاه قاجار (۱۲۶۴-۱۳۱۳ ق) است و مجلد اولش</w:t>
      </w:r>
    </w:p>
    <w:p>
      <w:pPr>
        <w:pStyle w:val="BookText"/>
      </w:pPr>
      <w:r>
        <w:rPr>
          <w:rFonts w:ascii="IRNazanin" w:hAnsi="IRNazanin" w:eastAsia="IRNazanin" w:cs="IRNazanin"/>
          <w:lang w:bidi="fa-IR"/>
          <w:color w:val="111111"/>
          <w:sz w:val="28"/>
          <w:szCs w:val="28"/>
          <w:rtl/>
        </w:rPr>
        <w:t xml:space="preserve">تا وقایع جشن نصب ولیعهد همزمان با روز میلاد خاتم انبیاء، را در بر خواهد گرفت؛ خط: نستعلیق و شکسته، بی کا، تا: اوایل قرن ۱۴؛ کاغذ: فرنگی نخودی و فستقی، جلد: چرم قهوه ای ضربی با ترنج، ۴ ص (۷۶-۷۹)، اندازه: ۲۱/۸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۱۲/۶ سم [ف: ۲۹/۱ -۴۹۴]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اصفهان، دانشگاه؛ شماره نسخه: ۴۹۲</w:t>
      </w:r>
    </w:p>
    <w:p>
      <w:pPr>
        <w:pStyle w:val="BookText"/>
      </w:pPr>
      <w:r>
        <w:rPr>
          <w:rFonts w:ascii="IRNazanin" w:hAnsi="IRNazanin" w:eastAsia="IRNazanin" w:cs="IRNazanin"/>
          <w:lang w:bidi="fa-IR"/>
          <w:color w:val="111111"/>
          <w:sz w:val="28"/>
          <w:szCs w:val="28"/>
          <w:rtl/>
        </w:rPr>
        <w:t xml:space="preserve">تاریخ سالانه است تا فتح علی شاه؛ خط: نستعلیق، بی کا، تا: قرن ۱۳؛ کاغذ: فرنگی [نشریه: ۱۱-۸۸۶]</w:t>
      </w:r>
    </w:p>
    <w:p>
      <w:pPr>
        <w:pStyle w:val="BookText"/>
      </w:pPr>
      <w:r>
        <w:rPr>
          <w:rFonts w:ascii="IRNazanin" w:hAnsi="IRNazanin" w:eastAsia="IRNazanin" w:cs="IRNazanin"/>
          <w:lang w:bidi="fa-IR"/>
          <w:color w:val="111111"/>
          <w:sz w:val="28"/>
          <w:szCs w:val="28"/>
          <w:rtl/>
        </w:rPr>
        <w:t xml:space="preserve">۷. تهران، دانشگاه؛ شماره نسخه:۲۰۱۸/۴</w:t>
      </w:r>
    </w:p>
    <w:p>
      <w:pPr>
        <w:pStyle w:val="BookText"/>
      </w:pPr>
      <w:r>
        <w:rPr>
          <w:rFonts w:ascii="IRNazanin" w:hAnsi="IRNazanin" w:eastAsia="IRNazanin" w:cs="IRNazanin"/>
          <w:lang w:bidi="fa-IR"/>
          <w:color w:val="111111"/>
          <w:sz w:val="28"/>
          <w:szCs w:val="28"/>
          <w:rtl/>
        </w:rPr>
        <w:t xml:space="preserve">آغاز: بذکر نسب این طایفه قاجار عمویی ما و حسب نسب جليله جلادت شعار خدیو کامکار خصوصا حکایت گذار و وقایع نگار است آنچه از تتبع سير و اخبار معلوم و مستفاد است و دانشوران ترکمانیه دشت قپچان را نیز خلفا عن سلف در یاد این است که در نواحی ترکستان قصبه ای بود مسمی بترکستان این طایفه جلیله با اتباع خود در آنجای سکنا داشته اند و ایشان پنج برادر بوده اند و بمقتضای شهامت پیوسته زبان بمنظوم این مضمون میکشاد که: ما پنج برادری که از یک پشتیم *** در پنجه روزگار پنج انگشتیم / چون فرد شویم در نظرها علميم*** چون جمع شویم در دهن ما مشتیم؛ انجام: یکی از از بار یافتگان دربار معدلت مدار به تبلیغ پر لیغ بلیغ و اتمام فحوای فرمان قضا تبلیغ در رکاب شاهزاده والا تبار پی سپار آمد و تتمیم این حکایت در موضع خود خواهد رفت اکنون مصراع: همانا فرض ترزین کار دارم *** ذكر عزیمت جعفر قلی خان. خط: نستعلیق، بی کا، تا: قرن ۱۳، کاغذ: هندی، جلد: تیماج مشکی ضربی مقوایی، ۲۸گ (۴۹۸ر -۵۲۵ر)، ۱۹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۸-۶۳۶]</w:t>
      </w:r>
    </w:p>
    <w:p>
      <w:pPr>
        <w:pStyle w:val="BookText"/>
      </w:pPr>
      <w:r>
        <w:rPr>
          <w:rFonts w:ascii="IRNazanin" w:hAnsi="IRNazanin" w:eastAsia="IRNazanin" w:cs="IRNazanin"/>
          <w:lang w:bidi="fa-IR"/>
          <w:color w:val="111111"/>
          <w:sz w:val="28"/>
          <w:szCs w:val="28"/>
          <w:rtl/>
        </w:rPr>
        <w:t xml:space="preserve">۸. قم؛ گلپایگانی؛ شماره نسخه: ۱/ ۵۳۶۰- ۲۷/۳۰</w:t>
      </w:r>
    </w:p>
    <w:p>
      <w:pPr>
        <w:pStyle w:val="BookText"/>
      </w:pPr>
      <w:r>
        <w:rPr>
          <w:rFonts w:ascii="IRNazanin" w:hAnsi="IRNazanin" w:eastAsia="IRNazanin" w:cs="IRNazanin"/>
          <w:lang w:bidi="fa-IR"/>
          <w:color w:val="111111"/>
          <w:sz w:val="28"/>
          <w:szCs w:val="28"/>
          <w:rtl/>
        </w:rPr>
        <w:t xml:space="preserve">آغاز: ظهور گشت شانا بشان و حالا بحال تکمیل تربیت پذیرفت تفصیل این اجمال آنکه ایل جلیل قاجار از ارو میمون؛ انجام: ببخشائیم نعمت جاودان اللهم فتمم احسان الى فيما بقي من عمري كما احسنت على فيما مضى منه به نام فتحعلی شاه (۱۲۱۲-۱۲۵۰) ساخته، و در تاریخ خاندان قاجاریه است؛ خط: نسخ، بی کا، تا: رجب ۱۲۸۱ق؛ جلد: تیماج قهوه ای، ۸گ، ۱۴ سطر،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۲-۷۰۰]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535" w:name="pg20363_209851"/>
    <w:bookmarkEnd w:id="535"/>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ملک؛ شماره نسخه:۳۴۷۱/۴</w:t>
      </w:r>
    </w:p>
    <w:p>
      <w:pPr>
        <w:pStyle w:val="BookText"/>
      </w:pPr>
      <w:r>
        <w:rPr>
          <w:rFonts w:ascii="IRNazanin" w:hAnsi="IRNazanin" w:eastAsia="IRNazanin" w:cs="IRNazanin"/>
          <w:lang w:bidi="fa-IR"/>
          <w:color w:val="111111"/>
          <w:sz w:val="28"/>
          <w:szCs w:val="28"/>
          <w:rtl/>
        </w:rPr>
        <w:t xml:space="preserve">آغاز: در بیان اجمال نسب سلسله قاجاریه. چون ششصد و پنجاه و سه سال قمری از هجرت نبوی گذشت، هلاکو خان بفرمان منگوقاآن؛ انجام: بعد از اطلاع آن ضعیفه را بخانه برادرش برد نسبنامه خاندان قاجاریه است و تاریخ آنان؛ خط: نستعلیق، بی کا، تا: ۱۲۸۸ق؛ کاغذ: آبی فرنگی، جلد: رویه میشن قهوه ای مجدول، کگی (۲۶پ -۲۷پ)، اندازه: ۱۳/۴</w:t>
      </w:r>
    </w:p>
    <w:p>
      <w:pPr>
        <w:pStyle w:val="BookText"/>
      </w:pP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۲۰/۸ سم [ف: ۶-۴۵۴]</w:t>
      </w:r>
    </w:p>
    <w:p>
      <w:pPr>
        <w:pStyle w:val="BookText"/>
      </w:pPr>
      <w:r>
        <w:rPr>
          <w:rFonts w:ascii="IRNazanin" w:hAnsi="IRNazanin" w:eastAsia="IRNazanin" w:cs="IRNazanin"/>
          <w:lang w:bidi="fa-IR"/>
          <w:color w:val="111111"/>
          <w:sz w:val="28"/>
          <w:szCs w:val="28"/>
          <w:rtl/>
        </w:rPr>
        <w:t xml:space="preserve">۱۰. تبریز؛ ملی؛ شماره نسخه:۳۲۷۳</w:t>
      </w:r>
    </w:p>
    <w:p>
      <w:pPr>
        <w:pStyle w:val="BookText"/>
      </w:pPr>
      <w:r>
        <w:rPr>
          <w:rFonts w:ascii="IRNazanin" w:hAnsi="IRNazanin" w:eastAsia="IRNazanin" w:cs="IRNazanin"/>
          <w:lang w:bidi="fa-IR"/>
          <w:color w:val="111111"/>
          <w:sz w:val="28"/>
          <w:szCs w:val="28"/>
          <w:rtl/>
        </w:rPr>
        <w:t xml:space="preserve">تاریخ قاجار است از آغاز سلطنت این سلسله تا فتح قلعه شوش و ظاهرة تحریر دیگری است از «مأثر سلطانی»؛ خط: نستعلیق، بی کا، بیتا؛ افتادگی: آغاز و انجام؛ مجدول؛ ۲۹ گ، ۱۸-۱۹ سطر [ف: ۱۷۳-۱ ]</w:t>
      </w:r>
    </w:p>
    <w:p>
      <w:pPr>
        <w:pStyle w:val="BookText"/>
      </w:pPr>
      <w:r>
        <w:rPr>
          <w:rFonts w:ascii="IRNazanin" w:hAnsi="IRNazanin" w:eastAsia="IRNazanin" w:cs="IRNazanin"/>
          <w:lang w:bidi="fa-IR"/>
          <w:color w:val="111111"/>
          <w:sz w:val="28"/>
          <w:szCs w:val="28"/>
          <w:rtl/>
        </w:rPr>
        <w:t xml:space="preserve">۱۱. تبریز؛ نخجوانی، حسین؛ شماره نسخه:۷</w:t>
      </w:r>
    </w:p>
    <w:p>
      <w:pPr>
        <w:pStyle w:val="BookText"/>
      </w:pPr>
      <w:r>
        <w:rPr>
          <w:rFonts w:ascii="IRNazanin" w:hAnsi="IRNazanin" w:eastAsia="IRNazanin" w:cs="IRNazanin"/>
          <w:lang w:bidi="fa-IR"/>
          <w:color w:val="111111"/>
          <w:sz w:val="28"/>
          <w:szCs w:val="28"/>
          <w:rtl/>
        </w:rPr>
        <w:t xml:space="preserve">در یک «مقدمه» و هشت فصل». در آن از قاآنی و مرآت البلدان یاد شده است؛ بی کا، بی تا، ش ۴۸۸۳. [نشریه: ۴-۳۳۸]</w:t>
      </w:r>
    </w:p>
    <w:p>
      <w:pPr>
        <w:pStyle w:val="BookText"/>
      </w:pPr>
      <w:r>
        <w:rPr>
          <w:rFonts w:ascii="IRNazanin" w:hAnsi="IRNazanin" w:eastAsia="IRNazanin" w:cs="IRNazanin"/>
          <w:lang w:bidi="fa-IR"/>
          <w:color w:val="111111"/>
          <w:sz w:val="28"/>
          <w:szCs w:val="28"/>
          <w:rtl/>
        </w:rPr>
        <w:t xml:space="preserve">۱۲. تهران؛ ادبیات، شماره نسخه:۳۶ - ب</w:t>
      </w:r>
    </w:p>
    <w:p>
      <w:pPr>
        <w:pStyle w:val="BookText"/>
      </w:pPr>
      <w:r>
        <w:rPr>
          <w:rFonts w:ascii="IRNazanin" w:hAnsi="IRNazanin" w:eastAsia="IRNazanin" w:cs="IRNazanin"/>
          <w:lang w:bidi="fa-IR"/>
          <w:color w:val="111111"/>
          <w:sz w:val="28"/>
          <w:szCs w:val="28"/>
          <w:rtl/>
        </w:rPr>
        <w:t xml:space="preserve">آغاز: ذکر سلطنت علی قلی خان و ابراهیم خان افشار و انطفاء مصباح دولت هر یک ... و نبذی از احوال شاهرخشاه بعد از اینکه چراغ سلطنت نادری درمحفل ایران بتند باد حوادث زمان خاموش میگردید؛ انجام: هر فخریه ایست که ایشان راست پس از فرمانروایی علی قلی خان و ابراهیم خان افشار است تا فتحعلیشاه (نسخه ما)، و از آن بر می آید که مؤلف در ۱۲۲۳ یازده سال داشت (یک سال پیش از فرمانروایی فتحعلیشاه) سپاهانی و آخوند ملا ولی الله هزار جرینی مازندرانی و آقا محمد کاظم واله سپاهانی و از مادر پدر نواده مجلسی دوم و از پدر مادر از سیدهای گلستانه سپاهان و میرزا محمد باقر گلستانه ناظر سرکار اقدس همایون م مادر و میرزا محمد منشی دیوان عم خودش و پدر پدر او از نایین است ... و هنگام تالیف از دربان محمد ولی میرزا شده بود. کتابی به سبک بدیع و صاف نوشته و در ۱۲۳۵ به عرض رساند؛ بی کا، بی تا؛ کاغذ: فرنگی، جلد: عطف میش زرد، ۴۰گ، ۲۱ سطر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۱-۷۴]</w:t>
      </w:r>
    </w:p>
    <w:p>
      <w:pPr>
        <w:pStyle w:val="Heading3"/>
      </w:pPr>
      <w:bookmarkStart w:id="2517" w:name="_Toc1777"/>
      <w:r>
        <w:t>•تاریخ قائمه بانک / تاریخ / فارسی</w:t>
      </w:r>
      <w:bookmarkEnd w:id="2517"/>
    </w:p>
    <w:p>
      <w:pPr>
        <w:pStyle w:val="BookText"/>
      </w:pPr>
      <w:r>
        <w:rPr>
          <w:rFonts w:ascii="Times New Roman" w:hAnsi="Times New Roman" w:eastAsia="Times New Roman" w:cs="Times New Roman"/>
          <w:lang w:val="en-US" w:bidi="en-US"/>
          <w:color w:val="111111"/>
          <w:sz w:val="28"/>
          <w:szCs w:val="28"/>
          <w:rtl/>
        </w:rPr>
        <w:t xml:space="preserve">tārīx-e qā'eme bānk</w:t>
      </w:r>
    </w:p>
    <w:p>
      <w:pPr>
        <w:pStyle w:val="BookText"/>
      </w:pPr>
      <w:r>
        <w:rPr>
          <w:rFonts w:ascii="IRNazanin" w:hAnsi="IRNazanin" w:eastAsia="IRNazanin" w:cs="IRNazanin"/>
          <w:lang w:bidi="fa-IR"/>
          <w:color w:val="111111"/>
          <w:sz w:val="28"/>
          <w:szCs w:val="28"/>
          <w:rtl/>
        </w:rPr>
        <w:t xml:space="preserve">عارف منشی، محمد، ق۱۴ قمری</w:t>
      </w:r>
    </w:p>
    <w:p>
      <w:pPr>
        <w:pStyle w:val="BookText"/>
      </w:pPr>
      <w:r>
        <w:rPr>
          <w:rFonts w:ascii="Times New Roman" w:hAnsi="Times New Roman" w:eastAsia="Times New Roman" w:cs="Times New Roman"/>
          <w:lang w:val="en-US" w:bidi="en-US"/>
          <w:color w:val="111111"/>
          <w:sz w:val="28"/>
          <w:szCs w:val="28"/>
          <w:rtl/>
        </w:rPr>
        <w:t xml:space="preserve">āref-e monšī, mohammad (-20c)</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اصفهان؛ صارم الدوله (كتابخانه فرهنگ اصفهان)؛ شماره نسخه: ۹۵۱/۱۲</w:t>
      </w:r>
    </w:p>
    <w:p>
      <w:pPr>
        <w:pStyle w:val="BookText"/>
      </w:pPr>
      <w:r>
        <w:rPr>
          <w:rFonts w:ascii="IRNazanin" w:hAnsi="IRNazanin" w:eastAsia="IRNazanin" w:cs="IRNazanin"/>
          <w:lang w:bidi="fa-IR"/>
          <w:color w:val="111111"/>
          <w:sz w:val="28"/>
          <w:szCs w:val="28"/>
          <w:rtl/>
        </w:rPr>
        <w:t xml:space="preserve">خط: نستعلیق، کا: محمد قلی نوری، تا: ۱۸ محرم ۱۳۰۲ق، ۱۳ سطر [ف: ۸۱]</w:t>
      </w:r>
    </w:p>
    <w:p>
      <w:pPr>
        <w:pStyle w:val="BookText"/>
      </w:pPr>
      <w:r>
        <w:rPr>
          <w:rFonts w:ascii="IRNazanin" w:hAnsi="IRNazanin" w:eastAsia="IRNazanin" w:cs="IRNazanin"/>
          <w:lang w:bidi="fa-IR"/>
          <w:color w:val="111111"/>
          <w:sz w:val="28"/>
          <w:szCs w:val="28"/>
          <w:rtl/>
        </w:rPr>
        <w:t xml:space="preserve">۲. اصفهان؛ صارم الدوله (كتابخانه فرهنگ اصفهان، شماره نسخه: ۹۵۰/۱۲ )</w:t>
      </w:r>
    </w:p>
    <w:p>
      <w:pPr>
        <w:pStyle w:val="BookText"/>
      </w:pPr>
      <w:r>
        <w:rPr>
          <w:rFonts w:ascii="IRNazanin" w:hAnsi="IRNazanin" w:eastAsia="IRNazanin" w:cs="IRNazanin"/>
          <w:lang w:bidi="fa-IR"/>
          <w:color w:val="111111"/>
          <w:sz w:val="28"/>
          <w:szCs w:val="28"/>
          <w:rtl/>
        </w:rPr>
        <w:t xml:space="preserve">آغاز: قائمه های بانکی که کاغذی است مطبوع با رنگهای مختلف و دارای قیمت متفاوته؛ انجام: که در این باب تقلب کنند و قلابی آنرا درست نمایند و رو نوشته شده و از جانب مأمورین خزانه ببانگ.</w:t>
      </w:r>
    </w:p>
    <w:p>
      <w:pPr>
        <w:pStyle w:val="BookText"/>
      </w:pPr>
      <w:r>
        <w:rPr>
          <w:rFonts w:ascii="IRNazanin" w:hAnsi="IRNazanin" w:eastAsia="IRNazanin" w:cs="IRNazanin"/>
          <w:lang w:bidi="fa-IR"/>
          <w:color w:val="111111"/>
          <w:sz w:val="28"/>
          <w:szCs w:val="28"/>
          <w:rtl/>
        </w:rPr>
        <w:t xml:space="preserve">خط: نستعلیق، بی کا، تا: ۱۳۰۹ق؛ ۲ ص (۳۷-۳۸)، ۱سطر(۱۰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۸۰]</w:t>
      </w:r>
    </w:p>
    <w:p>
      <w:pPr>
        <w:pStyle w:val="Heading3"/>
      </w:pPr>
      <w:bookmarkStart w:id="2518" w:name="_Toc1778"/>
      <w:r>
        <w:t>•تاریخ قپچاق خانی / تاریخ جهان / فارسی</w:t>
      </w:r>
      <w:bookmarkEnd w:id="2518"/>
    </w:p>
    <w:p>
      <w:pPr>
        <w:pStyle w:val="BookText"/>
      </w:pPr>
      <w:r>
        <w:rPr>
          <w:rFonts w:ascii="Times New Roman" w:hAnsi="Times New Roman" w:eastAsia="Times New Roman" w:cs="Times New Roman"/>
          <w:lang w:val="en-US" w:bidi="en-US"/>
          <w:color w:val="111111"/>
          <w:sz w:val="28"/>
          <w:szCs w:val="28"/>
          <w:rtl/>
        </w:rPr>
        <w:t xml:space="preserve">tārīx-e qepčāq-xānī</w:t>
      </w:r>
    </w:p>
    <w:p>
      <w:pPr>
        <w:pStyle w:val="BookText"/>
      </w:pPr>
      <w:r>
        <w:rPr>
          <w:rFonts w:ascii="IRNazanin" w:hAnsi="IRNazanin" w:eastAsia="IRNazanin" w:cs="IRNazanin"/>
          <w:lang w:bidi="fa-IR"/>
          <w:color w:val="111111"/>
          <w:sz w:val="28"/>
          <w:szCs w:val="28"/>
          <w:rtl/>
        </w:rPr>
        <w:t xml:space="preserve">قبچاق خان بلخی، قلی بیک بن امام قلی بیک، ق ۱۲ قمری</w:t>
      </w:r>
    </w:p>
    <w:p>
      <w:pPr>
        <w:pStyle w:val="BookText"/>
      </w:pPr>
      <w:r>
        <w:rPr>
          <w:rFonts w:ascii="Times New Roman" w:hAnsi="Times New Roman" w:eastAsia="Times New Roman" w:cs="Times New Roman"/>
          <w:lang w:val="en-US" w:bidi="en-US"/>
          <w:color w:val="111111"/>
          <w:sz w:val="28"/>
          <w:szCs w:val="28"/>
          <w:rtl/>
        </w:rPr>
        <w:t xml:space="preserve">qebčāq-xān-e balxī, qolī beyk ebn-e emām qolī beyk (</w:t>
      </w:r>
    </w:p>
    <w:p>
      <w:pPr>
        <w:pStyle w:val="BookText"/>
      </w:pPr>
      <w:r>
        <w:rPr>
          <w:rFonts w:ascii="Times New Roman" w:hAnsi="Times New Roman" w:eastAsia="Times New Roman" w:cs="Times New Roman"/>
          <w:lang w:val="en-US" w:bidi="en-US"/>
          <w:color w:val="111111"/>
          <w:sz w:val="28"/>
          <w:szCs w:val="28"/>
          <w:rtl/>
        </w:rPr>
        <w:t xml:space="preserve">18c)</w:t>
      </w:r>
    </w:p>
    <w:p>
      <w:pPr>
        <w:pStyle w:val="BookText"/>
      </w:pPr>
      <w:r>
        <w:rPr>
          <w:rFonts w:ascii="IRNazanin" w:hAnsi="IRNazanin" w:eastAsia="IRNazanin" w:cs="IRNazanin"/>
          <w:lang w:bidi="fa-IR"/>
          <w:color w:val="111111"/>
          <w:sz w:val="28"/>
          <w:szCs w:val="28"/>
          <w:rtl/>
        </w:rPr>
        <w:t xml:space="preserve">تاریخ تأليف: ۱۱۳۸ق خواجه قلی بیک قبچاق خان بلخی پسر قبچاق خان امام قلی بیک قوش بیکی سبحان قلی خان فرمانروای توران که در ۱۱۳۴ آن را به نگارش در آورده و در ۱ ربیع الاول ۱۱۳۷ دوباره بدان نگریسته و چیزهایی بر آن افزوده و در ۲۷ شوال ۱۱۳۸ به انجام رسانده است.</w:t>
      </w:r>
    </w:p>
    <w:p>
      <w:pPr>
        <w:pStyle w:val="BookText"/>
      </w:pPr>
      <w:r>
        <w:rPr>
          <w:rFonts w:ascii="IRNazanin" w:hAnsi="IRNazanin" w:eastAsia="IRNazanin" w:cs="IRNazanin"/>
          <w:lang w:bidi="fa-IR"/>
          <w:color w:val="111111"/>
          <w:sz w:val="28"/>
          <w:szCs w:val="28"/>
          <w:rtl/>
        </w:rPr>
        <w:t xml:space="preserve">۱. تهران: دانشگاه؛ شماره نسخه: ۱۲۳۹ف</w:t>
      </w:r>
    </w:p>
    <w:p>
      <w:pPr>
        <w:pStyle w:val="BookText"/>
      </w:pPr>
      <w:r>
        <w:rPr>
          <w:rFonts w:ascii="IRNazanin" w:hAnsi="IRNazanin" w:eastAsia="IRNazanin" w:cs="IRNazanin"/>
          <w:lang w:bidi="fa-IR"/>
          <w:color w:val="111111"/>
          <w:sz w:val="28"/>
          <w:szCs w:val="28"/>
          <w:rtl/>
        </w:rPr>
        <w:t xml:space="preserve">نسخه اصل: بادلیان ۱۸۴ اوزلی اته ۱۱۷؛ بی کا، بی تا؛ ۳۰۱گ، ۱۵ سطر [فيلمها ف: ۱-۳۶]</w:t>
      </w:r>
    </w:p>
    <w:p>
      <w:pPr>
        <w:pStyle w:val="BookText"/>
      </w:pPr>
      <w:r>
        <w:rPr>
          <w:rFonts w:ascii="IRNazanin" w:hAnsi="IRNazanin" w:eastAsia="IRNazanin" w:cs="IRNazanin"/>
          <w:lang w:bidi="fa-IR"/>
          <w:color w:val="111111"/>
          <w:sz w:val="28"/>
          <w:szCs w:val="28"/>
          <w:rtl/>
        </w:rPr>
        <w:t xml:space="preserve">۲. تهران: دانشگاه؛ شماره نسخه: ۱۲۴۰-ف</w:t>
      </w:r>
    </w:p>
    <w:p>
      <w:pPr>
        <w:pStyle w:val="BookText"/>
      </w:pPr>
      <w:r>
        <w:rPr>
          <w:rFonts w:ascii="IRNazanin" w:hAnsi="IRNazanin" w:eastAsia="IRNazanin" w:cs="IRNazanin"/>
          <w:lang w:bidi="fa-IR"/>
          <w:color w:val="111111"/>
          <w:sz w:val="28"/>
          <w:szCs w:val="28"/>
          <w:rtl/>
        </w:rPr>
        <w:t xml:space="preserve">نسخه اصل: بادلیان ۱۸۵ اوزلی؛ خط: نستعلیق، كا: سید حافظ معصوم ساقی، تا: چهارشنبه ۵ ربیع الاول سال: «تاریخ اتمام خاتمه کلام» [فیلمها ف: ۱-۳۶]</w:t>
      </w:r>
    </w:p>
    <w:p>
      <w:pPr>
        <w:pStyle w:val="Heading3"/>
      </w:pPr>
      <w:bookmarkStart w:id="2519" w:name="_Toc1779"/>
      <w:r>
        <w:t>•تاریخ قترينه = تاریخ روسیه (کاترین دوم) = شرح حال کاترین دوم / تاریخ جهان / ترکی</w:t>
      </w:r>
      <w:bookmarkEnd w:id="2519"/>
    </w:p>
    <w:p>
      <w:pPr>
        <w:pStyle w:val="BookText"/>
      </w:pPr>
      <w:r>
        <w:rPr>
          <w:rFonts w:ascii="Times New Roman" w:hAnsi="Times New Roman" w:eastAsia="Times New Roman" w:cs="Times New Roman"/>
          <w:lang w:val="en-US" w:bidi="en-US"/>
          <w:color w:val="111111"/>
          <w:sz w:val="28"/>
          <w:szCs w:val="28"/>
          <w:rtl/>
        </w:rPr>
        <w:t xml:space="preserve">tārīx-e qatrīyneh = tārīx-e rūsīye (kātrīn dovvom) = š. e hāl-e kātrīn dovvom</w:t>
      </w:r>
    </w:p>
    <w:p>
      <w:pPr>
        <w:pStyle w:val="BookText"/>
      </w:pPr>
      <w:r>
        <w:rPr>
          <w:rFonts w:ascii="IRNazanin" w:hAnsi="IRNazanin" w:eastAsia="IRNazanin" w:cs="IRNazanin"/>
          <w:lang w:bidi="fa-IR"/>
          <w:color w:val="111111"/>
          <w:sz w:val="28"/>
          <w:szCs w:val="28"/>
          <w:rtl/>
        </w:rPr>
        <w:t xml:space="preserve">کاسترا، ژان</w:t>
      </w:r>
    </w:p>
    <w:p>
      <w:pPr>
        <w:pStyle w:val="BookText"/>
      </w:pPr>
      <w:r>
        <w:rPr>
          <w:rFonts w:ascii="Times New Roman" w:hAnsi="Times New Roman" w:eastAsia="Times New Roman" w:cs="Times New Roman"/>
          <w:lang w:val="en-US" w:bidi="en-US"/>
          <w:color w:val="111111"/>
          <w:sz w:val="28"/>
          <w:szCs w:val="28"/>
          <w:rtl/>
        </w:rPr>
        <w:t xml:space="preserve">kāsterā, žān</w:t>
      </w:r>
    </w:p>
    <w:p>
      <w:pPr>
        <w:pStyle w:val="BookText"/>
      </w:pPr>
      <w:r>
        <w:rPr>
          <w:rFonts w:ascii="IRNazanin" w:hAnsi="IRNazanin" w:eastAsia="IRNazanin" w:cs="IRNazanin"/>
          <w:lang w:bidi="fa-IR"/>
          <w:color w:val="111111"/>
          <w:sz w:val="28"/>
          <w:szCs w:val="28"/>
          <w:rtl/>
        </w:rPr>
        <w:t xml:space="preserve">مترجم: یاکوواکی ترجمه تاریخ کاترین است از اصل فرانسوی. مؤلف کتاب سفير فرانسه در دربار تزار روسیه بوده است. در مقدمه کتاب تاریخچه گذشته کشور روسیه را (تا عهد کاترین دوم) دارد. مترجم دیباچه مفصلی دارد با اشاره به موضوعات کتاب شرح و حواشی: 1- شرح حال کاترین دوم = تاریخ روسیه و احوال کاترین دوم؛ کاسترا، ژان، مترجم: دنبلی، سلیمان بن حسینقلی خان (قرن ۱۳)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536" w:name="pg20363_209852"/>
    <w:bookmarkEnd w:id="536"/>
    <w:p>
      <w:pPr>
        <w:pStyle w:val="BookText"/>
      </w:pPr>
      <w:r>
        <w:rPr>
          <w:rFonts w:ascii="Amiri" w:hAnsi="Amiri" w:eastAsia="Amiri" w:cs="Amiri"/>
          <w:lang w:bidi="ar-SA"/>
          <w:color w:val="111111"/>
          <w:sz w:val="28"/>
          <w:szCs w:val="28"/>
          <w:rtl/>
        </w:rPr>
        <w:t xml:space="preserve">تهران؛ مجلس؛ شماره نسخه:۳۵- فيروز</w:t>
      </w:r>
    </w:p>
    <w:p>
      <w:pPr>
        <w:pStyle w:val="BookText"/>
      </w:pPr>
      <w:r>
        <w:rPr>
          <w:rFonts w:ascii="IRNazanin" w:hAnsi="IRNazanin" w:eastAsia="IRNazanin" w:cs="IRNazanin"/>
          <w:lang w:bidi="fa-IR"/>
          <w:color w:val="111111"/>
          <w:sz w:val="28"/>
          <w:szCs w:val="28"/>
          <w:rtl/>
        </w:rPr>
        <w:t xml:space="preserve">نام مؤلف و مترجم به استناد فهرست ملک (۷: ۷۷۳) تعیین شد؛ خط: نسخ ترکی، بی کا، تا: ۱۲۳۴ق؛ تملک: محمد حسن طباطبائی مورخ ۱۲۸۲؛ کاغذ: فرنگی نازک، جلد: تیماج يشمی عطف و گوشه مشکی، ۲۴۸ ص، ۲۶ سطر، قطع: رحلی،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۲۱-۳۳]</w:t>
      </w:r>
    </w:p>
    <w:p>
      <w:pPr>
        <w:pStyle w:val="BookText"/>
      </w:pPr>
      <w:r>
        <w:rPr>
          <w:rFonts w:ascii="IRNazanin" w:hAnsi="IRNazanin" w:eastAsia="IRNazanin" w:cs="IRNazanin"/>
          <w:lang w:bidi="fa-IR"/>
          <w:color w:val="111111"/>
          <w:sz w:val="28"/>
          <w:szCs w:val="28"/>
          <w:rtl/>
        </w:rPr>
        <w:t xml:space="preserve">← تاریخ قدیم ← نقطة الكاف</w:t>
      </w:r>
    </w:p>
    <w:p>
      <w:pPr>
        <w:pStyle w:val="Heading3"/>
      </w:pPr>
      <w:bookmarkStart w:id="2520" w:name="_Toc1780"/>
      <w:r>
        <w:t>•تاریخ قرآن کریم / علوم قرآن / عربی</w:t>
      </w:r>
      <w:bookmarkEnd w:id="2520"/>
    </w:p>
    <w:p>
      <w:pPr>
        <w:pStyle w:val="BookText"/>
      </w:pPr>
      <w:r>
        <w:rPr>
          <w:rFonts w:ascii="Times New Roman" w:hAnsi="Times New Roman" w:eastAsia="Times New Roman" w:cs="Times New Roman"/>
          <w:lang w:val="en-US" w:bidi="en-US"/>
          <w:color w:val="111111"/>
          <w:sz w:val="28"/>
          <w:szCs w:val="28"/>
          <w:rtl/>
        </w:rPr>
        <w:t xml:space="preserve">tarix-e qor'an-e karim</w:t>
      </w:r>
    </w:p>
    <w:p>
      <w:pPr>
        <w:pStyle w:val="BookText"/>
      </w:pPr>
      <w:r>
        <w:rPr>
          <w:rFonts w:ascii="IRNazanin" w:hAnsi="IRNazanin" w:eastAsia="IRNazanin" w:cs="IRNazanin"/>
          <w:lang w:bidi="fa-IR"/>
          <w:color w:val="111111"/>
          <w:sz w:val="28"/>
          <w:szCs w:val="28"/>
          <w:rtl/>
        </w:rPr>
        <w:t xml:space="preserve">تاریخ جمع قرآن کریم و اعداد حروف و آیات و کلمات و اسماء انبیاء و غير ذلك در قرآن کریم و مقدمه یکی از تفاسیر است و در آن، چند «فصل» آمده: فصل في ذكر من جمع القرآن اولا؛ فصل في عدد سور القرآن و آیه و کلامه و جميع حروفه؛ فصل في ذكر الانصاف؛ فصل في ذكر كلمات القرآن و ذکر جميع حروفه؛ فصل في عدد الألفات؛ فصل في ذكر الأنبياء عليه السلام؛ فصل في ذكر امالة ابی عمرو بصری؛ فصل في المد..</w:t>
      </w:r>
    </w:p>
    <w:p>
      <w:pPr>
        <w:pStyle w:val="BookText"/>
      </w:pPr>
      <w:r>
        <w:rPr>
          <w:rFonts w:ascii="IRNazanin" w:hAnsi="IRNazanin" w:eastAsia="IRNazanin" w:cs="IRNazanin"/>
          <w:lang w:bidi="fa-IR"/>
          <w:color w:val="111111"/>
          <w:sz w:val="28"/>
          <w:szCs w:val="28"/>
          <w:rtl/>
        </w:rPr>
        <w:t xml:space="preserve">تهران؛ مجلس؛ شماره نسخه: ۱۲۱۶۳/۱۳</w:t>
      </w:r>
    </w:p>
    <w:p>
      <w:pPr>
        <w:pStyle w:val="BookText"/>
      </w:pPr>
      <w:r>
        <w:rPr>
          <w:rFonts w:ascii="IRNazanin" w:hAnsi="IRNazanin" w:eastAsia="IRNazanin" w:cs="IRNazanin"/>
          <w:lang w:bidi="fa-IR"/>
          <w:color w:val="111111"/>
          <w:sz w:val="28"/>
          <w:szCs w:val="28"/>
          <w:rtl/>
        </w:rPr>
        <w:t xml:space="preserve">آغاز: بسمله فصل في ذكر من جمع القرآن اولا و من كتبه و ادخله بين اللوحين. ذكر ابو عبدالله المقری ... قال اول من جمع القرآن ابوبکر</w:t>
      </w:r>
    </w:p>
    <w:p>
      <w:pPr>
        <w:pStyle w:val="BookText"/>
      </w:pPr>
      <w:r>
        <w:rPr>
          <w:rFonts w:ascii="IRNazanin" w:hAnsi="IRNazanin" w:eastAsia="IRNazanin" w:cs="IRNazanin"/>
          <w:lang w:bidi="fa-IR"/>
          <w:color w:val="111111"/>
          <w:sz w:val="28"/>
          <w:szCs w:val="28"/>
          <w:rtl/>
        </w:rPr>
        <w:t xml:space="preserve">خط: نسخ، كا: محمد بن سالم بن محمد بن سالم بن سعید بن عمر عذری عوسجی بلدة و شافعی مذهبا، بی تا؛ جلد: تیماج قهوه ای،  ۵ص (۱۳۰-۱۳۴)، ۳۱سطر،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w:t>
      </w:r>
    </w:p>
    <w:p>
      <w:pPr>
        <w:pStyle w:val="BookText"/>
      </w:pPr>
      <w:r>
        <w:rPr>
          <w:rFonts w:ascii="IRNazanin" w:hAnsi="IRNazanin" w:eastAsia="IRNazanin" w:cs="IRNazanin"/>
          <w:lang w:bidi="fa-IR"/>
          <w:color w:val="111111"/>
          <w:sz w:val="28"/>
          <w:szCs w:val="28"/>
          <w:rtl/>
        </w:rPr>
        <w:t xml:space="preserve">سم [ف: ۳۵-۱۷۳]</w:t>
      </w:r>
    </w:p>
    <w:p>
      <w:pPr>
        <w:pStyle w:val="Heading3"/>
      </w:pPr>
      <w:bookmarkStart w:id="2521" w:name="_Toc1781"/>
      <w:r>
        <w:t>•تاریخ قراباغ / تاریخ / ترکی</w:t>
      </w:r>
      <w:bookmarkEnd w:id="2521"/>
    </w:p>
    <w:p>
      <w:pPr>
        <w:pStyle w:val="BookText"/>
      </w:pPr>
      <w:r>
        <w:rPr>
          <w:rFonts w:ascii="Times New Roman" w:hAnsi="Times New Roman" w:eastAsia="Times New Roman" w:cs="Times New Roman"/>
          <w:lang w:val="en-US" w:bidi="en-US"/>
          <w:color w:val="111111"/>
          <w:sz w:val="28"/>
          <w:szCs w:val="28"/>
          <w:rtl/>
        </w:rPr>
        <w:t xml:space="preserve">tārīx-e qarābāq</w:t>
      </w:r>
    </w:p>
    <w:p>
      <w:pPr>
        <w:pStyle w:val="BookText"/>
      </w:pPr>
      <w:r>
        <w:rPr>
          <w:rFonts w:ascii="IRNazanin" w:hAnsi="IRNazanin" w:eastAsia="IRNazanin" w:cs="IRNazanin"/>
          <w:lang w:bidi="fa-IR"/>
          <w:color w:val="111111"/>
          <w:sz w:val="28"/>
          <w:szCs w:val="28"/>
          <w:rtl/>
        </w:rPr>
        <w:t xml:space="preserve">خزانی، محمد مهدی بن هاشم بیک، ق۱۳ قمری</w:t>
      </w:r>
    </w:p>
    <w:p>
      <w:pPr>
        <w:pStyle w:val="BookText"/>
      </w:pPr>
      <w:r>
        <w:rPr>
          <w:rFonts w:ascii="Times New Roman" w:hAnsi="Times New Roman" w:eastAsia="Times New Roman" w:cs="Times New Roman"/>
          <w:lang w:val="en-US" w:bidi="en-US"/>
          <w:color w:val="111111"/>
          <w:sz w:val="28"/>
          <w:szCs w:val="28"/>
          <w:rtl/>
        </w:rPr>
        <w:t xml:space="preserve">xazānī, mohammad mahdī ebn-e hāšem beyk (-19c)</w:t>
      </w:r>
    </w:p>
    <w:p>
      <w:pPr>
        <w:pStyle w:val="BookText"/>
      </w:pPr>
      <w:r>
        <w:rPr>
          <w:rFonts w:ascii="IRNazanin" w:hAnsi="IRNazanin" w:eastAsia="IRNazanin" w:cs="IRNazanin"/>
          <w:lang w:bidi="fa-IR"/>
          <w:color w:val="111111"/>
          <w:sz w:val="28"/>
          <w:szCs w:val="28"/>
          <w:rtl/>
        </w:rPr>
        <w:t xml:space="preserve">کتابی است در تاریخ شهر قره باغ آذربایجان، شامل یک «مقدمه» و ۲۴ «فصل» و یک «خاتمه» که به امر بزرگی نگاشته است. مؤلف، خود را در مقدمه چنین معرفی کرده: «الراجي الى الله آخوند السيد میر مهدی بن مرحوم میر هاشم بیک بن میرزا محمد باقر الموسوي الرضوی وزیر ولايات الثلثة مشهد المقدسی الاصل و قراباغی المسكن المتخلص به خزانی» و گفته که بزرگی از او درخواست نموده که مجموعه ای مختصر به زبان ترکی در تاریخ قدیم و جدید قراباغ و انساب و احوال خوانین سابقين مرحومین پناه خان و ابراهیم خان و مهدیقلی خان و حکایات جنگهای ایران و روس بنویسد. مؤلف در ذکر وقایع مختلف از تاریخ هجری قمری و میلادی استفاده می کند و آخرین تاریخ ذکر شده در کتاب، ۱۸۳۸ میلادی است.</w:t>
      </w:r>
    </w:p>
    <w:p>
      <w:pPr>
        <w:pStyle w:val="BookText"/>
      </w:pPr>
      <w:r>
        <w:rPr>
          <w:rFonts w:ascii="IRNazanin" w:hAnsi="IRNazanin" w:eastAsia="IRNazanin" w:cs="IRNazanin"/>
          <w:lang w:bidi="fa-IR"/>
          <w:color w:val="111111"/>
          <w:sz w:val="28"/>
          <w:szCs w:val="28"/>
          <w:rtl/>
        </w:rPr>
        <w:t xml:space="preserve">قم؛ مرعشی؛ شماره نسخه: ۱۱۹۰ عکسی</w:t>
      </w:r>
    </w:p>
    <w:p>
      <w:pPr>
        <w:pStyle w:val="BookText"/>
      </w:pPr>
      <w:r>
        <w:rPr>
          <w:rFonts w:ascii="IRNazanin" w:hAnsi="IRNazanin" w:eastAsia="IRNazanin" w:cs="IRNazanin"/>
          <w:lang w:bidi="fa-IR"/>
          <w:color w:val="111111"/>
          <w:sz w:val="28"/>
          <w:szCs w:val="28"/>
          <w:rtl/>
        </w:rPr>
        <w:t xml:space="preserve">آغاز: حمد و ثنای بیحد و عدد اول مالك كل ممالک و خالق كل خلایق خداوند شایسته و لايقدور که تاج دولت و شرافتی.؛</w:t>
      </w:r>
    </w:p>
    <w:p>
      <w:pPr>
        <w:pStyle w:val="BookText"/>
      </w:pPr>
      <w:r>
        <w:rPr>
          <w:rFonts w:ascii="IRNazanin" w:hAnsi="IRNazanin" w:eastAsia="IRNazanin" w:cs="IRNazanin"/>
          <w:lang w:bidi="fa-IR"/>
          <w:color w:val="111111"/>
          <w:sz w:val="28"/>
          <w:szCs w:val="28"/>
          <w:rtl/>
        </w:rPr>
        <w:t xml:space="preserve">انجام: مهدیقلی خان ایمپراطور ... و حرمت فرمانی ۱۸۳۸ ئیلنک او کتبر آیی ننکی او توز مجی گونی صادر اولوب يتشمشدی. نسخه اصل: کتابخانه آکادمی علوم آذربایجان در باکو، شماره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۵۱۸ (فهرست کتابهای شرقی در آکادمی علوم آذربایجان: ۵۴-۵۳/۱</w:t>
      </w:r>
    </w:p>
    <w:p>
      <w:pPr>
        <w:pStyle w:val="BookText"/>
      </w:pPr>
      <w:r>
        <w:rPr>
          <w:rFonts w:ascii="IRNazanin" w:hAnsi="IRNazanin" w:eastAsia="IRNazanin" w:cs="IRNazanin"/>
          <w:lang w:bidi="fa-IR"/>
          <w:color w:val="111111"/>
          <w:sz w:val="28"/>
          <w:szCs w:val="28"/>
          <w:rtl/>
        </w:rPr>
        <w:t xml:space="preserve">)؛ خط: نستعلیق، بی کا، تا: قرن ۱۳؛ مصحح، محشی به امضای «منه»، در اول نسخه جدول تطبيق تاريخ هجری قمری با تاریخ میلادی دیده می شود که در آن تاریخ های: ۱۱۶۰ق سال وفات نادرشاه، ۱۱۶۱ جلوس پناه خان به حکومت قراباغ ، ۱۱۷۰ بنای قلعه شوشی، ۱۱۷۴ وفات پناه خان و حکومت ابراهیم خان، ۱۲۱۰ وفات آقا محمد شاه و جلوس فتحعلی شاه، ۱۲۲۲ وفات ابراهیم خان و جلوس مهدیقلی خان، ۱۲۴۲ شاهزاده کلن و مصالحه دولتين و تطبیق این سالها با تاریخ میلادی ثبت شده؛ ۲۱۳ص، ۱۴ سطر [عکسی ف: ۳-۴۵۱]</w:t>
      </w:r>
    </w:p>
    <w:p>
      <w:pPr>
        <w:pStyle w:val="BookText"/>
      </w:pPr>
      <w:r>
        <w:rPr>
          <w:rFonts w:ascii="IRNazanin" w:hAnsi="IRNazanin" w:eastAsia="IRNazanin" w:cs="IRNazanin"/>
          <w:lang w:bidi="fa-IR"/>
          <w:color w:val="111111"/>
          <w:sz w:val="28"/>
          <w:szCs w:val="28"/>
          <w:rtl/>
        </w:rPr>
        <w:t xml:space="preserve">قم؛ مرعشی؛ شماره نسخه:۱۶۵۷</w:t>
      </w:r>
    </w:p>
    <w:p>
      <w:pPr>
        <w:pStyle w:val="BookText"/>
      </w:pPr>
      <w:r>
        <w:rPr>
          <w:rFonts w:ascii="Amiri" w:hAnsi="Amiri" w:eastAsia="Amiri" w:cs="Amiri"/>
          <w:lang w:bidi="ar-SA"/>
          <w:color w:val="111111"/>
          <w:sz w:val="28"/>
          <w:szCs w:val="28"/>
          <w:rtl/>
        </w:rPr>
        <w:t xml:space="preserve">نسخه اصل: همان نسخه بالا [عكسي ف: ۵-۷۷]</w:t>
      </w:r>
    </w:p>
    <w:p>
      <w:pPr>
        <w:pStyle w:val="Heading3"/>
      </w:pPr>
      <w:bookmarkStart w:id="2522" w:name="_Toc1782"/>
      <w:r>
        <w:t>•تاریخ قراباغ / تاریخ / فارسی</w:t>
      </w:r>
      <w:bookmarkEnd w:id="2522"/>
    </w:p>
    <w:p>
      <w:pPr>
        <w:pStyle w:val="BookText"/>
      </w:pPr>
      <w:r>
        <w:rPr>
          <w:rFonts w:ascii="Times New Roman" w:hAnsi="Times New Roman" w:eastAsia="Times New Roman" w:cs="Times New Roman"/>
          <w:lang w:val="en-US" w:bidi="en-US"/>
          <w:color w:val="111111"/>
          <w:sz w:val="28"/>
          <w:szCs w:val="28"/>
          <w:rtl/>
        </w:rPr>
        <w:t xml:space="preserve">tārīx-e qarābāq</w:t>
      </w:r>
    </w:p>
    <w:p>
      <w:pPr>
        <w:pStyle w:val="BookText"/>
      </w:pPr>
      <w:r>
        <w:rPr>
          <w:rFonts w:ascii="IRNazanin" w:hAnsi="IRNazanin" w:eastAsia="IRNazanin" w:cs="IRNazanin"/>
          <w:lang w:bidi="fa-IR"/>
          <w:color w:val="111111"/>
          <w:sz w:val="28"/>
          <w:szCs w:val="28"/>
          <w:rtl/>
        </w:rPr>
        <w:t xml:space="preserve">جوانشير قراباغی، جمال</w:t>
      </w:r>
    </w:p>
    <w:p>
      <w:pPr>
        <w:pStyle w:val="BookText"/>
      </w:pPr>
      <w:r>
        <w:rPr>
          <w:rFonts w:ascii="Times New Roman" w:hAnsi="Times New Roman" w:eastAsia="Times New Roman" w:cs="Times New Roman"/>
          <w:lang w:val="en-US" w:bidi="en-US"/>
          <w:color w:val="111111"/>
          <w:sz w:val="28"/>
          <w:szCs w:val="28"/>
          <w:rtl/>
        </w:rPr>
        <w:t xml:space="preserve">javānšīr-e qarābādī, jamāl</w:t>
      </w:r>
    </w:p>
    <w:p>
      <w:pPr>
        <w:pStyle w:val="BookText"/>
      </w:pPr>
      <w:r>
        <w:rPr>
          <w:rFonts w:ascii="IRNazanin" w:hAnsi="IRNazanin" w:eastAsia="IRNazanin" w:cs="IRNazanin"/>
          <w:lang w:bidi="fa-IR"/>
          <w:color w:val="111111"/>
          <w:sz w:val="28"/>
          <w:szCs w:val="28"/>
          <w:rtl/>
        </w:rPr>
        <w:t xml:space="preserve">تهران، دانشگاه؛ شماره نسخه:۳۴۸۸-ف</w:t>
      </w:r>
    </w:p>
    <w:p>
      <w:pPr>
        <w:pStyle w:val="BookText"/>
      </w:pPr>
      <w:r>
        <w:rPr>
          <w:rFonts w:ascii="Amiri" w:hAnsi="Amiri" w:eastAsia="Amiri" w:cs="Amiri"/>
          <w:lang w:bidi="ar-SA"/>
          <w:color w:val="111111"/>
          <w:sz w:val="28"/>
          <w:szCs w:val="28"/>
          <w:rtl/>
        </w:rPr>
        <w:t xml:space="preserve">نسخه اصل: باكو ش 116 1150/11603 -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 ص ۵۲ فهرست؛ بی کا، بی تا [فیلمها ف: ۲-۱۵۲]</w:t>
      </w:r>
    </w:p>
    <w:p>
      <w:pPr>
        <w:pStyle w:val="Heading3"/>
      </w:pPr>
      <w:bookmarkStart w:id="2523" w:name="_Toc1783"/>
      <w:r>
        <w:t>•تاریخ قرون جدید / تاریخ جهان / فارسی</w:t>
      </w:r>
      <w:bookmarkEnd w:id="2523"/>
    </w:p>
    <w:p>
      <w:pPr>
        <w:pStyle w:val="BookText"/>
      </w:pPr>
      <w:r>
        <w:rPr>
          <w:rFonts w:ascii="Times New Roman" w:hAnsi="Times New Roman" w:eastAsia="Times New Roman" w:cs="Times New Roman"/>
          <w:lang w:val="en-US" w:bidi="en-US"/>
          <w:color w:val="111111"/>
          <w:sz w:val="28"/>
          <w:szCs w:val="28"/>
          <w:rtl/>
        </w:rPr>
        <w:t xml:space="preserve">tārīx-e qorūn-e jadīd</w:t>
      </w:r>
    </w:p>
    <w:p>
      <w:pPr>
        <w:pStyle w:val="BookText"/>
      </w:pPr>
      <w:r>
        <w:rPr>
          <w:rFonts w:ascii="IRNazanin" w:hAnsi="IRNazanin" w:eastAsia="IRNazanin" w:cs="IRNazanin"/>
          <w:lang w:bidi="fa-IR"/>
          <w:color w:val="111111"/>
          <w:sz w:val="28"/>
          <w:szCs w:val="28"/>
          <w:rtl/>
        </w:rPr>
        <w:t xml:space="preserve">شاملو صدرزاده، علی، ق۱۴ قمری</w:t>
      </w:r>
    </w:p>
    <w:p>
      <w:pPr>
        <w:pStyle w:val="BookText"/>
      </w:pPr>
      <w:r>
        <w:rPr>
          <w:rFonts w:ascii="Times New Roman" w:hAnsi="Times New Roman" w:eastAsia="Times New Roman" w:cs="Times New Roman"/>
          <w:lang w:val="en-US" w:bidi="en-US"/>
          <w:color w:val="111111"/>
          <w:sz w:val="28"/>
          <w:szCs w:val="28"/>
          <w:rtl/>
        </w:rPr>
        <w:t xml:space="preserve">šāmlū sadr-zāde, 'alī (-20c)</w:t>
      </w:r>
    </w:p>
    <w:p>
      <w:pPr>
        <w:pStyle w:val="BookText"/>
      </w:pPr>
      <w:r>
        <w:rPr>
          <w:rFonts w:ascii="IRNazanin" w:hAnsi="IRNazanin" w:eastAsia="IRNazanin" w:cs="IRNazanin"/>
          <w:lang w:bidi="fa-IR"/>
          <w:color w:val="111111"/>
          <w:sz w:val="28"/>
          <w:szCs w:val="28"/>
          <w:rtl/>
        </w:rPr>
        <w:t xml:space="preserve">تاریخ تأليف: دو شنبه ۱۴ ربیع الاول ۱۳۳۸ق تاریخ قرون جدید را که بعد از فتح اسلامبول شروع می شود به طور مختصر در پانزده «فصل» نگاشته است. نام های لاتین در این کتاب به فرانسوی در مقابل نام فارسی آنها آورده شده است.</w:t>
      </w:r>
    </w:p>
    <w:p>
      <w:pPr>
        <w:pStyle w:val="BookText"/>
      </w:pPr>
      <w:r>
        <w:rPr>
          <w:rFonts w:ascii="IRNazanin" w:hAnsi="IRNazanin" w:eastAsia="IRNazanin" w:cs="IRNazanin"/>
          <w:lang w:bidi="fa-IR"/>
          <w:color w:val="111111"/>
          <w:sz w:val="28"/>
          <w:szCs w:val="28"/>
          <w:rtl/>
        </w:rPr>
        <w:t xml:space="preserve">خوانسار؛ فاضل؛ شماره نسخه:۳۹۹</w:t>
      </w:r>
    </w:p>
    <w:p>
      <w:pPr>
        <w:pStyle w:val="BookText"/>
      </w:pPr>
      <w:r>
        <w:rPr>
          <w:rFonts w:ascii="IRNazanin" w:hAnsi="IRNazanin" w:eastAsia="IRNazanin" w:cs="IRNazanin"/>
          <w:lang w:bidi="fa-IR"/>
          <w:color w:val="111111"/>
          <w:sz w:val="28"/>
          <w:szCs w:val="28"/>
          <w:rtl/>
        </w:rPr>
        <w:t xml:space="preserve">آغاز: بالاخره دیدیم که در قرون وسطی دولت روم شرقی باقی ماند و مسلمين هم نتوانستند قسطنطنیه را بگیرند؛ انجام: دوران دم که از مقدمه تكميل طب و تاریخ طبیعی یعنی حیوان شناسی است ظاهر شده. خط: نستعلیق به رنگ لاجورد، كا: على شاملو صدرزاده، تا: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537" w:name="pg20363_209853"/>
    <w:bookmarkEnd w:id="537"/>
    <w:p>
      <w:pPr>
        <w:pStyle w:val="BookText"/>
      </w:pPr>
      <w:r>
        <w:rPr>
          <w:rFonts w:ascii="IRNazanin" w:hAnsi="IRNazanin" w:eastAsia="IRNazanin" w:cs="IRNazanin"/>
          <w:lang w:bidi="fa-IR"/>
          <w:color w:val="111111"/>
          <w:sz w:val="28"/>
          <w:szCs w:val="28"/>
          <w:rtl/>
        </w:rPr>
        <w:t xml:space="preserve">دوشنبه ۱۴ ربیع الاول ۱۳۳۸ق؛ مصحح، کاغذ کاهی، جلد: تیماج زرد مجدول، ۲۱۰گ، ۱۵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سم [ف: ۸۱-۲ ]</w:t>
      </w:r>
    </w:p>
    <w:p>
      <w:pPr>
        <w:pStyle w:val="BookText"/>
      </w:pPr>
      <w:r>
        <w:rPr>
          <w:rFonts w:ascii="IRNazanin" w:hAnsi="IRNazanin" w:eastAsia="IRNazanin" w:cs="IRNazanin"/>
          <w:lang w:bidi="fa-IR"/>
          <w:color w:val="111111"/>
          <w:sz w:val="28"/>
          <w:szCs w:val="28"/>
          <w:rtl/>
        </w:rPr>
        <w:t xml:space="preserve">قم: مرکز احیاء؛ شماره نسخه:۳۸۵</w:t>
      </w:r>
    </w:p>
    <w:p>
      <w:pPr>
        <w:pStyle w:val="BookText"/>
      </w:pPr>
      <w:r>
        <w:rPr>
          <w:rFonts w:ascii="IRNazanin" w:hAnsi="IRNazanin" w:eastAsia="IRNazanin" w:cs="IRNazanin"/>
          <w:lang w:bidi="fa-IR"/>
          <w:color w:val="111111"/>
          <w:sz w:val="28"/>
          <w:szCs w:val="28"/>
          <w:rtl/>
        </w:rPr>
        <w:t xml:space="preserve">نسخه اصل: همان نسخه بالا [عکسی ف: ۱-۴۴۲]</w:t>
      </w:r>
    </w:p>
    <w:p>
      <w:pPr>
        <w:pStyle w:val="Heading3"/>
      </w:pPr>
      <w:bookmarkStart w:id="2524" w:name="_Toc1784"/>
      <w:r>
        <w:t>•تاریخ قرون جدید / تاریخ جهان / فارسی</w:t>
      </w:r>
      <w:bookmarkEnd w:id="2524"/>
    </w:p>
    <w:p>
      <w:pPr>
        <w:pStyle w:val="BookText"/>
      </w:pPr>
      <w:r>
        <w:rPr>
          <w:rFonts w:ascii="Times New Roman" w:hAnsi="Times New Roman" w:eastAsia="Times New Roman" w:cs="Times New Roman"/>
          <w:lang w:val="en-US" w:bidi="en-US"/>
          <w:color w:val="111111"/>
          <w:sz w:val="28"/>
          <w:szCs w:val="28"/>
          <w:rtl/>
        </w:rPr>
        <w:t xml:space="preserve">tārīx-e qorūn-e jadīd</w:t>
      </w:r>
    </w:p>
    <w:p>
      <w:pPr>
        <w:pStyle w:val="BookText"/>
      </w:pPr>
      <w:r>
        <w:rPr>
          <w:rFonts w:ascii="IRNazanin" w:hAnsi="IRNazanin" w:eastAsia="IRNazanin" w:cs="IRNazanin"/>
          <w:lang w:bidi="fa-IR"/>
          <w:color w:val="111111"/>
          <w:sz w:val="28"/>
          <w:szCs w:val="28"/>
          <w:rtl/>
        </w:rPr>
        <w:t xml:space="preserve">ماله، آلبر، ۱۸۶۴-۱۹۱۵ میلادی</w:t>
      </w:r>
    </w:p>
    <w:p>
      <w:pPr>
        <w:pStyle w:val="BookText"/>
      </w:pPr>
      <w:r>
        <w:rPr>
          <w:rFonts w:ascii="Times New Roman" w:hAnsi="Times New Roman" w:eastAsia="Times New Roman" w:cs="Times New Roman"/>
          <w:lang w:val="en-US" w:bidi="en-US"/>
          <w:color w:val="111111"/>
          <w:sz w:val="28"/>
          <w:szCs w:val="28"/>
          <w:rtl/>
        </w:rPr>
        <w:t xml:space="preserve">male, alber (1864-1915)</w:t>
      </w:r>
    </w:p>
    <w:p>
      <w:pPr>
        <w:pStyle w:val="BookText"/>
      </w:pPr>
      <w:r>
        <w:rPr>
          <w:rFonts w:ascii="IRNazanin" w:hAnsi="IRNazanin" w:eastAsia="IRNazanin" w:cs="IRNazanin"/>
          <w:lang w:bidi="fa-IR"/>
          <w:color w:val="111111"/>
          <w:sz w:val="28"/>
          <w:szCs w:val="28"/>
          <w:rtl/>
        </w:rPr>
        <w:t xml:space="preserve">آلبر ماله و ژول ایزاک</w:t>
      </w:r>
    </w:p>
    <w:p>
      <w:pPr>
        <w:pStyle w:val="BookText"/>
      </w:pPr>
      <w:r>
        <w:rPr>
          <w:rFonts w:ascii="IRNazanin" w:hAnsi="IRNazanin" w:eastAsia="IRNazanin" w:cs="IRNazanin"/>
          <w:lang w:bidi="fa-IR"/>
          <w:color w:val="111111"/>
          <w:sz w:val="28"/>
          <w:szCs w:val="28"/>
          <w:rtl/>
        </w:rPr>
        <w:t xml:space="preserve">تهران؛ مجلس؛ شماره نسخه:۱۱۲۲۶</w:t>
      </w:r>
    </w:p>
    <w:p>
      <w:pPr>
        <w:pStyle w:val="BookText"/>
      </w:pPr>
      <w:r>
        <w:rPr>
          <w:rFonts w:ascii="IRNazanin" w:hAnsi="IRNazanin" w:eastAsia="IRNazanin" w:cs="IRNazanin"/>
          <w:lang w:bidi="fa-IR"/>
          <w:color w:val="111111"/>
          <w:sz w:val="28"/>
          <w:szCs w:val="28"/>
          <w:rtl/>
        </w:rPr>
        <w:t xml:space="preserve">خط: نستعلیق، کاتب = مؤلف، تا: قرن ۱۴ [مختصر ف: ۱۲۸]</w:t>
      </w:r>
    </w:p>
    <w:p>
      <w:pPr>
        <w:pStyle w:val="Heading3"/>
      </w:pPr>
      <w:bookmarkStart w:id="2525" w:name="_Toc1785"/>
      <w:r>
        <w:t>• تاریخ قرون وسطی / تاریخ جهان / فارسی</w:t>
      </w:r>
      <w:bookmarkEnd w:id="2525"/>
    </w:p>
    <w:p>
      <w:pPr>
        <w:pStyle w:val="BookText"/>
      </w:pPr>
      <w:r>
        <w:rPr>
          <w:rFonts w:ascii="Times New Roman" w:hAnsi="Times New Roman" w:eastAsia="Times New Roman" w:cs="Times New Roman"/>
          <w:lang w:val="en-US" w:bidi="en-US"/>
          <w:color w:val="111111"/>
          <w:sz w:val="28"/>
          <w:szCs w:val="28"/>
          <w:rtl/>
        </w:rPr>
        <w:t xml:space="preserve">tārīx-e qorūn-e vostā</w:t>
      </w:r>
    </w:p>
    <w:p>
      <w:pPr>
        <w:pStyle w:val="BookText"/>
      </w:pPr>
      <w:r>
        <w:rPr>
          <w:rFonts w:ascii="IRNazanin" w:hAnsi="IRNazanin" w:eastAsia="IRNazanin" w:cs="IRNazanin"/>
          <w:lang w:bidi="fa-IR"/>
          <w:color w:val="111111"/>
          <w:sz w:val="28"/>
          <w:szCs w:val="28"/>
          <w:rtl/>
        </w:rPr>
        <w:t xml:space="preserve">رجبعلی خان، ق ۱۴ قمری</w:t>
      </w:r>
    </w:p>
    <w:p>
      <w:pPr>
        <w:pStyle w:val="BookText"/>
      </w:pPr>
      <w:r>
        <w:rPr>
          <w:rFonts w:ascii="Times New Roman" w:hAnsi="Times New Roman" w:eastAsia="Times New Roman" w:cs="Times New Roman"/>
          <w:lang w:val="en-US" w:bidi="en-US"/>
          <w:color w:val="111111"/>
          <w:sz w:val="28"/>
          <w:szCs w:val="28"/>
          <w:rtl/>
        </w:rPr>
        <w:t xml:space="preserve">rajab-“alī xān (-20c)</w:t>
      </w:r>
    </w:p>
    <w:p>
      <w:pPr>
        <w:pStyle w:val="BookText"/>
      </w:pPr>
      <w:r>
        <w:rPr>
          <w:rFonts w:ascii="IRNazanin" w:hAnsi="IRNazanin" w:eastAsia="IRNazanin" w:cs="IRNazanin"/>
          <w:lang w:bidi="fa-IR"/>
          <w:color w:val="111111"/>
          <w:sz w:val="28"/>
          <w:szCs w:val="28"/>
          <w:rtl/>
        </w:rPr>
        <w:t xml:space="preserve">تاریخ تأليف: ۲۹ رجب ۱۳۳۳ق = ۱۹۱۵م (شروع) مؤلف که معلم مدرسه علوم سیاسی بوده این رساله را در تاریخ ملل غربیه در قرون وسطی نگاشته است.</w:t>
      </w:r>
    </w:p>
    <w:p>
      <w:pPr>
        <w:pStyle w:val="BookText"/>
      </w:pPr>
      <w:r>
        <w:rPr>
          <w:rFonts w:ascii="IRNazanin" w:hAnsi="IRNazanin" w:eastAsia="IRNazanin" w:cs="IRNazanin"/>
          <w:lang w:bidi="fa-IR"/>
          <w:color w:val="111111"/>
          <w:sz w:val="28"/>
          <w:szCs w:val="28"/>
          <w:rtl/>
        </w:rPr>
        <w:t xml:space="preserve">قم؛ مسجد اعظم، شماره نسخه: ۳۳۵۹</w:t>
      </w:r>
    </w:p>
    <w:p>
      <w:pPr>
        <w:pStyle w:val="BookText"/>
      </w:pPr>
      <w:r>
        <w:rPr>
          <w:rFonts w:ascii="IRNazanin" w:hAnsi="IRNazanin" w:eastAsia="IRNazanin" w:cs="IRNazanin"/>
          <w:lang w:bidi="fa-IR"/>
          <w:color w:val="111111"/>
          <w:sz w:val="28"/>
          <w:szCs w:val="28"/>
          <w:rtl/>
        </w:rPr>
        <w:t xml:space="preserve">آغاز: قبل از شروع بمقصود اصلی یعنی بیان تاریخ قرون وسطی برای جلب توجه از آن و تبیین مطالب مندرجه در فصل آتیه پاره توضیحات را لازم میدانیم لذا درقسمت اول این رساله بطور؛ انجام: ژوتی نین در جمع آوری قوانین و تدوین کتب مزبوره</w:t>
      </w:r>
    </w:p>
    <w:p>
      <w:pPr>
        <w:pStyle w:val="BookText"/>
      </w:pPr>
      <w:r>
        <w:rPr>
          <w:rFonts w:ascii="IRNazanin" w:hAnsi="IRNazanin" w:eastAsia="IRNazanin" w:cs="IRNazanin"/>
          <w:lang w:bidi="fa-IR"/>
          <w:color w:val="111111"/>
          <w:sz w:val="28"/>
          <w:szCs w:val="28"/>
          <w:rtl/>
        </w:rPr>
        <w:t xml:space="preserve">خدمت بزرگی به بقای اصول حقوقی روم قدیم نمود چنانکه امروز هم برای مطالعه تاریخ علم حقوق به همان کتب رجوع میکنند ولی خط: نستعلیق، بی کا، تا: قرن ۱۴؛ افتادگی: انجام؛ مجدول شنگرف؛ جلد: تیماج قهوه ای مجدول، ۵۴گ، ۱۸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مخ: ۱-۳۱۴]</w:t>
      </w:r>
    </w:p>
    <w:p>
      <w:pPr>
        <w:pStyle w:val="Heading3"/>
      </w:pPr>
      <w:bookmarkStart w:id="2526" w:name="_Toc1786"/>
      <w:r>
        <w:t>•تاریخ قرون وسطی / تاریخ جهان / فارسی</w:t>
      </w:r>
      <w:bookmarkEnd w:id="2526"/>
    </w:p>
    <w:p>
      <w:pPr>
        <w:pStyle w:val="BookText"/>
      </w:pPr>
      <w:r>
        <w:rPr>
          <w:rFonts w:ascii="Times New Roman" w:hAnsi="Times New Roman" w:eastAsia="Times New Roman" w:cs="Times New Roman"/>
          <w:lang w:val="en-US" w:bidi="en-US"/>
          <w:color w:val="111111"/>
          <w:sz w:val="28"/>
          <w:szCs w:val="28"/>
          <w:rtl/>
        </w:rPr>
        <w:t xml:space="preserve">tārīx-e qorūn-e vostā</w:t>
      </w:r>
    </w:p>
    <w:p>
      <w:pPr>
        <w:pStyle w:val="BookText"/>
      </w:pPr>
      <w:r>
        <w:rPr>
          <w:rFonts w:ascii="IRNazanin" w:hAnsi="IRNazanin" w:eastAsia="IRNazanin" w:cs="IRNazanin"/>
          <w:lang w:bidi="fa-IR"/>
          <w:color w:val="111111"/>
          <w:sz w:val="28"/>
          <w:szCs w:val="28"/>
          <w:rtl/>
        </w:rPr>
        <w:t xml:space="preserve">غیر همانند: ۱. تهران؛ حقوق؛ شماره نسخه:۸۵-د</w:t>
      </w:r>
    </w:p>
    <w:p>
      <w:pPr>
        <w:pStyle w:val="BookText"/>
      </w:pPr>
      <w:r>
        <w:rPr>
          <w:rFonts w:ascii="IRNazanin" w:hAnsi="IRNazanin" w:eastAsia="IRNazanin" w:cs="IRNazanin"/>
          <w:lang w:bidi="fa-IR"/>
          <w:color w:val="111111"/>
          <w:sz w:val="28"/>
          <w:szCs w:val="28"/>
          <w:rtl/>
        </w:rPr>
        <w:t xml:space="preserve">آغاز: تاریخ قرون وسطی. بسمله و به نستعين. قبل از شروع بمقصود اصلی؛ انجام: و فتح ازیشان باشد در مدرسه سیاسی قدیم خوانده می شده است؛ خط: نستعلیق، کا:</w:t>
      </w:r>
    </w:p>
    <w:p>
      <w:pPr>
        <w:pStyle w:val="BookText"/>
      </w:pPr>
      <w:r>
        <w:rPr>
          <w:rFonts w:ascii="IRNazanin" w:hAnsi="IRNazanin" w:eastAsia="IRNazanin" w:cs="IRNazanin"/>
          <w:lang w:bidi="fa-IR"/>
          <w:color w:val="111111"/>
          <w:sz w:val="28"/>
          <w:szCs w:val="28"/>
          <w:rtl/>
        </w:rPr>
        <w:t xml:space="preserve">امر الله خان دفتر دار مدرسه سیاسی که میرزا حسین خان بن على بن عبدالجليل آن را کامل نمود، تا: 1 ربيع الأول (۱۳ قوس) ۱۳۳۷/۱۲۹۷ ، کاغذ: فرنگی، جلد: تیماج قهوه ای، ۲۵۲گ، ۱۵ سطر (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۲۹]</w:t>
      </w:r>
    </w:p>
    <w:p>
      <w:pPr>
        <w:pStyle w:val="BookText"/>
      </w:pPr>
      <w:r>
        <w:rPr>
          <w:rFonts w:ascii="IRNazanin" w:hAnsi="IRNazanin" w:eastAsia="IRNazanin" w:cs="IRNazanin"/>
          <w:lang w:bidi="fa-IR"/>
          <w:color w:val="111111"/>
          <w:sz w:val="28"/>
          <w:szCs w:val="28"/>
          <w:rtl/>
        </w:rPr>
        <w:t xml:space="preserve">۲. مشهد؛ میبدی؛ شماره نسخه: ۴۶۰/۲</w:t>
      </w:r>
    </w:p>
    <w:p>
      <w:pPr>
        <w:pStyle w:val="BookText"/>
      </w:pPr>
      <w:r>
        <w:rPr>
          <w:rFonts w:ascii="IRNazanin" w:hAnsi="IRNazanin" w:eastAsia="IRNazanin" w:cs="IRNazanin"/>
          <w:lang w:bidi="fa-IR"/>
          <w:color w:val="111111"/>
          <w:sz w:val="28"/>
          <w:szCs w:val="28"/>
          <w:rtl/>
        </w:rPr>
        <w:t xml:space="preserve">آغاز: مقدمه، قبل از شروع به مقصد اصلی یعنی بیان تاریخ قرون وسطی برای جلب توجه از آن تاریخ مختصر ممالک اروپایی است ضمن هجده فصل؛ با توضیحات در آغاز کتاب برای روشن شدن مطالبی که در آن مندرج است؛ خط: نستعلیق، کا: محمود خان (دانشجوی کلاس چهارم مدرسه سیاسی)، بی تا، جلد: گالینگور سبز، ۱۳۳گ ( ۱۹۲-۶۰ پ)،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۲-۱۳۹]</w:t>
      </w:r>
    </w:p>
    <w:p>
      <w:pPr>
        <w:pStyle w:val="BookText"/>
      </w:pPr>
      <w:r>
        <w:rPr>
          <w:rFonts w:ascii="IRNazanin" w:hAnsi="IRNazanin" w:eastAsia="IRNazanin" w:cs="IRNazanin"/>
          <w:lang w:bidi="fa-IR"/>
          <w:color w:val="111111"/>
          <w:sz w:val="28"/>
          <w:szCs w:val="28"/>
          <w:rtl/>
        </w:rPr>
        <w:t xml:space="preserve">٣. مشهد؛ رضوی؛ شماره نسخه: ۱۲۴۲۸</w:t>
      </w:r>
    </w:p>
    <w:p>
      <w:pPr>
        <w:pStyle w:val="BookText"/>
      </w:pPr>
      <w:r>
        <w:rPr>
          <w:rFonts w:ascii="IRNazanin" w:hAnsi="IRNazanin" w:eastAsia="IRNazanin" w:cs="IRNazanin"/>
          <w:lang w:bidi="fa-IR"/>
          <w:color w:val="111111"/>
          <w:sz w:val="28"/>
          <w:szCs w:val="28"/>
          <w:rtl/>
        </w:rPr>
        <w:t xml:space="preserve">آغاز: مورخین اروپا تاریخ عمومی عالم را به پنج دوره تقسیم کرده اند؛ انجام: با چشم اشکبار ترک می گفتند. جزوه درسی؛ خط: شکسته نستعلیق، كا: مریم میر هادی، بی تاب کاغذ: فرنگی، جلد: میشن، ابعاد متن: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الفبائی: ۹۹]</w:t>
      </w:r>
    </w:p>
    <w:p>
      <w:pPr>
        <w:pStyle w:val="Heading3"/>
      </w:pPr>
      <w:bookmarkStart w:id="2527" w:name="_Toc1787"/>
      <w:r>
        <w:t>•تاریخ قرون وسطی و ابتداء اعصار جديده / تاریخ جهان / فارسی</w:t>
      </w:r>
      <w:bookmarkEnd w:id="2527"/>
    </w:p>
    <w:p>
      <w:pPr>
        <w:pStyle w:val="BookText"/>
      </w:pPr>
      <w:r>
        <w:rPr>
          <w:rFonts w:ascii="Times New Roman" w:hAnsi="Times New Roman" w:eastAsia="Times New Roman" w:cs="Times New Roman"/>
          <w:lang w:val="en-US" w:bidi="en-US"/>
          <w:color w:val="111111"/>
          <w:sz w:val="28"/>
          <w:szCs w:val="28"/>
          <w:rtl/>
        </w:rPr>
        <w:t xml:space="preserve">tārīx-e qorūn-e vostā va ebtedā’-e a‘sār-e jadīde</w:t>
      </w:r>
    </w:p>
    <w:p>
      <w:pPr>
        <w:pStyle w:val="BookText"/>
      </w:pPr>
      <w:r>
        <w:rPr>
          <w:rFonts w:ascii="IRNazanin" w:hAnsi="IRNazanin" w:eastAsia="IRNazanin" w:cs="IRNazanin"/>
          <w:lang w:bidi="fa-IR"/>
          <w:color w:val="111111"/>
          <w:sz w:val="28"/>
          <w:szCs w:val="28"/>
          <w:rtl/>
        </w:rPr>
        <w:t xml:space="preserve">عماد الملک، احمد خان، ق ۱۴ قمری</w:t>
      </w:r>
    </w:p>
    <w:p>
      <w:pPr>
        <w:pStyle w:val="BookText"/>
      </w:pPr>
      <w:r>
        <w:rPr>
          <w:rFonts w:ascii="Times New Roman" w:hAnsi="Times New Roman" w:eastAsia="Times New Roman" w:cs="Times New Roman"/>
          <w:lang w:val="en-US" w:bidi="en-US"/>
          <w:color w:val="111111"/>
          <w:sz w:val="28"/>
          <w:szCs w:val="28"/>
          <w:rtl/>
        </w:rPr>
        <w:t xml:space="preserve">‘emād-ol molk, ahmad-e xān (-20c)</w:t>
      </w:r>
    </w:p>
    <w:p>
      <w:pPr>
        <w:pStyle w:val="BookText"/>
      </w:pPr>
      <w:r>
        <w:rPr>
          <w:rFonts w:ascii="IRNazanin" w:hAnsi="IRNazanin" w:eastAsia="IRNazanin" w:cs="IRNazanin"/>
          <w:lang w:bidi="fa-IR"/>
          <w:color w:val="111111"/>
          <w:sz w:val="28"/>
          <w:szCs w:val="28"/>
          <w:rtl/>
        </w:rPr>
        <w:t xml:space="preserve">یک دوره تاریخ ممالک اروپا در قرون وسطی و ابتدای اعصار جدید بیان شده و اوضاع سیاسی و اقتصادی و مذهبی آن ممالک و اهمیت پاپ ها و به وجود آمدن دولت عثمانی و حمله آن دولت به کشورهای مجاور و نفوذ ترکها در مردم اروپا شرح داده شده است.</w:t>
      </w:r>
    </w:p>
    <w:p>
      <w:pPr>
        <w:pStyle w:val="BookText"/>
      </w:pPr>
      <w:r>
        <w:rPr>
          <w:rFonts w:ascii="IRNazanin" w:hAnsi="IRNazanin" w:eastAsia="IRNazanin" w:cs="IRNazanin"/>
          <w:lang w:bidi="fa-IR"/>
          <w:color w:val="111111"/>
          <w:sz w:val="28"/>
          <w:szCs w:val="28"/>
          <w:rtl/>
        </w:rPr>
        <w:t xml:space="preserve">تهران؛ ملی؛ شماره نسخه:۱۰۳۴</w:t>
      </w:r>
    </w:p>
    <w:p>
      <w:pPr>
        <w:pStyle w:val="BookText"/>
      </w:pPr>
      <w:r>
        <w:rPr>
          <w:rFonts w:ascii="IRNazanin" w:hAnsi="IRNazanin" w:eastAsia="IRNazanin" w:cs="IRNazanin"/>
          <w:lang w:bidi="fa-IR"/>
          <w:color w:val="111111"/>
          <w:sz w:val="28"/>
          <w:szCs w:val="28"/>
          <w:rtl/>
        </w:rPr>
        <w:t xml:space="preserve">آغاز: قرون وسطی و ابتداء اعصار جديده فصل اول گول قدیم و مردمان آن با مذهب و اخلاق آنها؛ انجام: شورشهای اهالی آنجا و خوف دائمی اروپا هم از جنگلها جهتش همین است.</w:t>
      </w:r>
    </w:p>
    <w:p>
      <w:pPr>
        <w:pStyle w:val="BookText"/>
      </w:pPr>
      <w:r>
        <w:rPr>
          <w:rFonts w:ascii="IRNazanin" w:hAnsi="IRNazanin" w:eastAsia="IRNazanin" w:cs="IRNazanin"/>
          <w:lang w:bidi="fa-IR"/>
          <w:color w:val="111111"/>
          <w:sz w:val="28"/>
          <w:szCs w:val="28"/>
          <w:rtl/>
        </w:rPr>
        <w:t xml:space="preserve">خط: نستعلیق، بی کا، تا: ۲۹ جمادی الثانی ۱۳۳۶ق، جا: تهران؛ کاغذ: فرنگی، جلد: مقوایی، ۱۰۴گ، ۱۶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۳-۴۰]</w:t>
      </w:r>
    </w:p>
    <w:p>
      <w:pPr>
        <w:pStyle w:val="Heading3"/>
      </w:pPr>
      <w:bookmarkStart w:id="2528" w:name="_Toc1788"/>
      <w:r>
        <w:t>•تاریخ قرون وسطی یا جنگ صد ساله / تاریخ جهان / فارسی</w:t>
      </w:r>
      <w:bookmarkEnd w:id="2528"/>
    </w:p>
    <w:p>
      <w:pPr>
        <w:pStyle w:val="BookText"/>
      </w:pPr>
      <w:r>
        <w:rPr>
          <w:rFonts w:ascii="Times New Roman" w:hAnsi="Times New Roman" w:eastAsia="Times New Roman" w:cs="Times New Roman"/>
          <w:lang w:val="en-US" w:bidi="en-US"/>
          <w:color w:val="111111"/>
          <w:sz w:val="28"/>
          <w:szCs w:val="28"/>
          <w:rtl/>
        </w:rPr>
        <w:t xml:space="preserve">tārīx-e qorūn-e vostā yā jang-e sad-sāle</w:t>
      </w:r>
    </w:p>
    <w:p>
      <w:pPr>
        <w:pStyle w:val="BookText"/>
      </w:pPr>
      <w:r>
        <w:rPr>
          <w:rFonts w:ascii="IRNazanin" w:hAnsi="IRNazanin" w:eastAsia="IRNazanin" w:cs="IRNazanin"/>
          <w:lang w:bidi="fa-IR"/>
          <w:color w:val="111111"/>
          <w:sz w:val="28"/>
          <w:szCs w:val="28"/>
          <w:rtl/>
        </w:rPr>
        <w:t xml:space="preserve">ماله، آلبر، ۱۸۶۴-۱۹۱۵ میلادی</w:t>
      </w:r>
    </w:p>
    <w:p>
      <w:pPr>
        <w:pStyle w:val="BookText"/>
      </w:pPr>
      <w:r>
        <w:rPr>
          <w:rFonts w:ascii="Times New Roman" w:hAnsi="Times New Roman" w:eastAsia="Times New Roman" w:cs="Times New Roman"/>
          <w:lang w:val="en-US" w:bidi="en-US"/>
          <w:color w:val="111111"/>
          <w:sz w:val="28"/>
          <w:szCs w:val="28"/>
          <w:rtl/>
        </w:rPr>
        <w:t xml:space="preserve">male, alber (1864-1915)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538" w:name="pg20363_209854"/>
    <w:bookmarkEnd w:id="538"/>
    <w:p>
      <w:pPr>
        <w:pStyle w:val="BookText"/>
      </w:pPr>
      <w:r>
        <w:rPr>
          <w:rFonts w:ascii="IRNazanin" w:hAnsi="IRNazanin" w:eastAsia="IRNazanin" w:cs="IRNazanin"/>
          <w:lang w:bidi="fa-IR"/>
          <w:color w:val="111111"/>
          <w:sz w:val="28"/>
          <w:szCs w:val="28"/>
          <w:rtl/>
        </w:rPr>
        <w:t xml:space="preserve">آلبر ماله و ژول ایزاک</w:t>
      </w:r>
    </w:p>
    <w:p>
      <w:pPr>
        <w:pStyle w:val="BookText"/>
      </w:pPr>
      <w:r>
        <w:rPr>
          <w:rFonts w:ascii="IRNazanin" w:hAnsi="IRNazanin" w:eastAsia="IRNazanin" w:cs="IRNazanin"/>
          <w:lang w:bidi="fa-IR"/>
          <w:color w:val="111111"/>
          <w:sz w:val="28"/>
          <w:szCs w:val="28"/>
          <w:rtl/>
        </w:rPr>
        <w:t xml:space="preserve">تهران؛ مجلس؛ شماره نسخه: ۱۱۲۲۲</w:t>
      </w:r>
    </w:p>
    <w:p>
      <w:pPr>
        <w:pStyle w:val="BookText"/>
      </w:pPr>
      <w:r>
        <w:rPr>
          <w:rFonts w:ascii="IRNazanin" w:hAnsi="IRNazanin" w:eastAsia="IRNazanin" w:cs="IRNazanin"/>
          <w:lang w:bidi="fa-IR"/>
          <w:color w:val="111111"/>
          <w:sz w:val="28"/>
          <w:szCs w:val="28"/>
          <w:rtl/>
        </w:rPr>
        <w:t xml:space="preserve">خط: تحریری، كا: عبدالحسین هژیر، تا: قرن ۱۴ [مختصر ف: ۱۲۸]</w:t>
      </w:r>
    </w:p>
    <w:p>
      <w:pPr>
        <w:pStyle w:val="Heading3"/>
      </w:pPr>
      <w:bookmarkStart w:id="2529" w:name="_Toc1789"/>
      <w:r>
        <w:t>•تاریخ قره چیان (ترجمه) / حدیث، تاریخ جهان / فارسی</w:t>
      </w:r>
      <w:bookmarkEnd w:id="2529"/>
    </w:p>
    <w:p>
      <w:pPr>
        <w:pStyle w:val="BookText"/>
      </w:pPr>
      <w:r>
        <w:rPr>
          <w:rFonts w:ascii="Times New Roman" w:hAnsi="Times New Roman" w:eastAsia="Times New Roman" w:cs="Times New Roman"/>
          <w:lang w:val="en-US" w:bidi="en-US"/>
          <w:color w:val="111111"/>
          <w:sz w:val="28"/>
          <w:szCs w:val="28"/>
          <w:rtl/>
        </w:rPr>
        <w:t xml:space="preserve">tārīx-e qara-cīyān (t.)</w:t>
      </w:r>
    </w:p>
    <w:p>
      <w:pPr>
        <w:pStyle w:val="BookText"/>
      </w:pPr>
      <w:r>
        <w:rPr>
          <w:rFonts w:ascii="IRNazanin" w:hAnsi="IRNazanin" w:eastAsia="IRNazanin" w:cs="IRNazanin"/>
          <w:lang w:bidi="fa-IR"/>
          <w:color w:val="111111"/>
          <w:sz w:val="28"/>
          <w:szCs w:val="28"/>
          <w:rtl/>
        </w:rPr>
        <w:t xml:space="preserve">عارف منشی، محمد، ق۱۴ قمری</w:t>
      </w:r>
    </w:p>
    <w:p>
      <w:pPr>
        <w:pStyle w:val="BookText"/>
      </w:pPr>
      <w:r>
        <w:rPr>
          <w:rFonts w:ascii="Times New Roman" w:hAnsi="Times New Roman" w:eastAsia="Times New Roman" w:cs="Times New Roman"/>
          <w:lang w:val="en-US" w:bidi="en-US"/>
          <w:color w:val="111111"/>
          <w:sz w:val="28"/>
          <w:szCs w:val="28"/>
          <w:rtl/>
        </w:rPr>
        <w:t xml:space="preserve">‘āref-e monšī, mohammad (-20c)</w:t>
      </w:r>
    </w:p>
    <w:p>
      <w:pPr>
        <w:pStyle w:val="BookText"/>
      </w:pPr>
      <w:r>
        <w:rPr>
          <w:rFonts w:ascii="IRNazanin" w:hAnsi="IRNazanin" w:eastAsia="IRNazanin" w:cs="IRNazanin"/>
          <w:lang w:bidi="fa-IR"/>
          <w:color w:val="111111"/>
          <w:sz w:val="28"/>
          <w:szCs w:val="28"/>
          <w:rtl/>
        </w:rPr>
        <w:t xml:space="preserve">متن از احمد مدحت افندی ترک. ترجمه گویا از محمد عارف منشی، در احوال کولیان خانه به دوش در ۷ «مبحث» و۱ «تكمله» از مترجم. (احمد منزوی) آغاز: قره چی ها که کولبارچه به دوش گدائی کرده کوه و صحرا و گرما و سرما نگفته در یک وضع عسرت و پریشانی اغلب جاهای کره زمین را زیارت کرده [فهرستواره منزوی ۵۸۵/۱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اصفهان؛ صارم الدوله (كتابخانه فرهنگ اصفهان)؛ شماره نسخه:۹۵۱/۷</w:t>
      </w:r>
    </w:p>
    <w:p>
      <w:pPr>
        <w:pStyle w:val="BookText"/>
      </w:pPr>
      <w:r>
        <w:rPr>
          <w:rFonts w:ascii="IRNazanin" w:hAnsi="IRNazanin" w:eastAsia="IRNazanin" w:cs="IRNazanin"/>
          <w:lang w:bidi="fa-IR"/>
          <w:color w:val="111111"/>
          <w:sz w:val="28"/>
          <w:szCs w:val="28"/>
          <w:rtl/>
        </w:rPr>
        <w:t xml:space="preserve">خط: نستعلیق، کا: محمد قلی نوری، تا: ۱۸ محرم ۱۳۰۲ق؛ ۱۳ سطر [ف: ۸۱]</w:t>
      </w:r>
    </w:p>
    <w:p>
      <w:pPr>
        <w:pStyle w:val="BookText"/>
      </w:pPr>
      <w:r>
        <w:rPr>
          <w:rFonts w:ascii="IRNazanin" w:hAnsi="IRNazanin" w:eastAsia="IRNazanin" w:cs="IRNazanin"/>
          <w:lang w:bidi="fa-IR"/>
          <w:color w:val="111111"/>
          <w:sz w:val="28"/>
          <w:szCs w:val="28"/>
          <w:rtl/>
        </w:rPr>
        <w:t xml:space="preserve">٢. اصفهان؛ صارم الدوله (كتابخانه فرهنگ اصفهان، شماره نسخه:۹۵۰/۷</w:t>
      </w:r>
    </w:p>
    <w:p>
      <w:pPr>
        <w:pStyle w:val="BookText"/>
      </w:pPr>
      <w:r>
        <w:rPr>
          <w:rFonts w:ascii="IRNazanin" w:hAnsi="IRNazanin" w:eastAsia="IRNazanin" w:cs="IRNazanin"/>
          <w:lang w:bidi="fa-IR"/>
          <w:color w:val="111111"/>
          <w:sz w:val="28"/>
          <w:szCs w:val="28"/>
          <w:rtl/>
        </w:rPr>
        <w:t xml:space="preserve">آغاز: برابر؛ انجام: روزی دیده نشد که این قوم در اوبه های خود بیکدیگر نچسبیده و فحش نداده و کتک کاری نکرد خط: نستعلیق، بی کا، تا: ۱۳۰۹ق؛ ۶۲ص (۱-۶۲)، ۱۳ سطر</w:t>
      </w:r>
    </w:p>
    <w:p>
      <w:pPr>
        <w:pStyle w:val="BookText"/>
      </w:pPr>
      <w:r>
        <w:rPr>
          <w:rFonts w:ascii="IRNazanin" w:hAnsi="IRNazanin" w:eastAsia="IRNazanin" w:cs="IRNazanin"/>
          <w:lang w:bidi="fa-IR"/>
          <w:color w:val="111111"/>
          <w:sz w:val="28"/>
          <w:szCs w:val="28"/>
          <w:rtl/>
        </w:rPr>
        <w:t xml:space="preserve">(۱۰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۷۸]</w:t>
      </w:r>
    </w:p>
    <w:p>
      <w:pPr>
        <w:pStyle w:val="Heading3"/>
      </w:pPr>
      <w:bookmarkStart w:id="2530" w:name="_Toc1790"/>
      <w:r>
        <w:t>•خلفای عباسی / تاریخ عربی</w:t>
      </w:r>
      <w:bookmarkEnd w:id="2530"/>
    </w:p>
    <w:p>
      <w:pPr>
        <w:pStyle w:val="BookText"/>
      </w:pPr>
      <w:r>
        <w:rPr>
          <w:rFonts w:ascii="Times New Roman" w:hAnsi="Times New Roman" w:eastAsia="Times New Roman" w:cs="Times New Roman"/>
          <w:lang w:val="en-US" w:bidi="en-US"/>
          <w:color w:val="111111"/>
          <w:sz w:val="28"/>
          <w:szCs w:val="28"/>
          <w:rtl/>
        </w:rPr>
        <w:t xml:space="preserve">tārīx-e qorayš va xolafā-ye ‘abbāsī</w:t>
      </w:r>
    </w:p>
    <w:p>
      <w:pPr>
        <w:pStyle w:val="BookText"/>
      </w:pPr>
      <w:r>
        <w:rPr>
          <w:rFonts w:ascii="IRNazanin" w:hAnsi="IRNazanin" w:eastAsia="IRNazanin" w:cs="IRNazanin"/>
          <w:lang w:bidi="fa-IR"/>
          <w:color w:val="111111"/>
          <w:sz w:val="28"/>
          <w:szCs w:val="28"/>
          <w:rtl/>
        </w:rPr>
        <w:t xml:space="preserve">تاریخ نسب قریش و احوالات خانواده بنی هاشم و بنی امیه و شرح وقایع و حوادث دوران خلافت ۳۷ خلیفه عباسی است.</w:t>
      </w:r>
    </w:p>
    <w:p>
      <w:pPr>
        <w:pStyle w:val="BookText"/>
      </w:pPr>
      <w:r>
        <w:rPr>
          <w:rFonts w:ascii="IRNazanin" w:hAnsi="IRNazanin" w:eastAsia="IRNazanin" w:cs="IRNazanin"/>
          <w:lang w:bidi="fa-IR"/>
          <w:color w:val="111111"/>
          <w:sz w:val="28"/>
          <w:szCs w:val="28"/>
          <w:rtl/>
        </w:rPr>
        <w:t xml:space="preserve">تهران؛ سلطنتی؛ شماره نسخه:۱۷۳۳</w:t>
      </w:r>
    </w:p>
    <w:p>
      <w:pPr>
        <w:pStyle w:val="BookText"/>
      </w:pPr>
      <w:r>
        <w:rPr>
          <w:rFonts w:ascii="IRNazanin" w:hAnsi="IRNazanin" w:eastAsia="IRNazanin" w:cs="IRNazanin"/>
          <w:lang w:bidi="fa-IR"/>
          <w:color w:val="111111"/>
          <w:sz w:val="28"/>
          <w:szCs w:val="28"/>
          <w:rtl/>
        </w:rPr>
        <w:t xml:space="preserve">آغاز: بسم الله الرحمن الرحيم و هو ثقتی و کفی. اللهم صلى على سیدنا محمد و على آله و صحبه و سلم. كان لبنى عبد مناف في قریش محل من العدد و الشرق لا يناهضهم فيه احد من ساير يطون قریش دکان فخذ اهم بنی امیه و بنواهاشم؛ انجام: و الله يحفظ سياج الدوله الاسلام و الامه و يمد القائمين بامور هم بمواد التائید و الاعانة من الله و فضله و صلی الله على سيدنا محمد و على اله و صحبه و سلم. خط: نسخ تحریری، بی کا، بی تا، مجدول؛ کاغذ: بغدادی، جلد: مقوای روکش چرم گل ماشی رنگ، ۴۱۱ص، ۳۶ سطر، اندازه: 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۵-۳۰۱]</w:t>
      </w:r>
    </w:p>
    <w:p>
      <w:pPr>
        <w:pStyle w:val="Heading3"/>
      </w:pPr>
      <w:bookmarkStart w:id="2531" w:name="_Toc1791"/>
      <w:r>
        <w:t>•تاریخ قزلباشیان / تاریخ ایران / فارسی</w:t>
      </w:r>
      <w:bookmarkEnd w:id="2531"/>
    </w:p>
    <w:p>
      <w:pPr>
        <w:pStyle w:val="BookText"/>
      </w:pPr>
      <w:r>
        <w:rPr>
          <w:rFonts w:ascii="Times New Roman" w:hAnsi="Times New Roman" w:eastAsia="Times New Roman" w:cs="Times New Roman"/>
          <w:lang w:val="en-US" w:bidi="en-US"/>
          <w:color w:val="111111"/>
          <w:sz w:val="28"/>
          <w:szCs w:val="28"/>
          <w:rtl/>
        </w:rPr>
        <w:t xml:space="preserve">tārīx-e qezelbāšīyān</w:t>
      </w:r>
    </w:p>
    <w:p>
      <w:pPr>
        <w:pStyle w:val="BookText"/>
      </w:pPr>
      <w:r>
        <w:rPr>
          <w:rFonts w:ascii="IRNazanin" w:hAnsi="IRNazanin" w:eastAsia="IRNazanin" w:cs="IRNazanin"/>
          <w:lang w:bidi="fa-IR"/>
          <w:color w:val="111111"/>
          <w:sz w:val="28"/>
          <w:szCs w:val="28"/>
          <w:rtl/>
        </w:rPr>
        <w:t xml:space="preserve">در دو بخش: قسم یکم در ذکر جماعتی که در دست راست می باشند، قوم شاملو؛ قسم دوم در ذکر اقوام آق قوینلو [فهرستواره منزوی ۸۹۳/۲ ]</w:t>
      </w:r>
    </w:p>
    <w:p>
      <w:pPr>
        <w:pStyle w:val="BookText"/>
      </w:pPr>
      <w:r>
        <w:rPr>
          <w:rFonts w:ascii="IRNazanin" w:hAnsi="IRNazanin" w:eastAsia="IRNazanin" w:cs="IRNazanin"/>
          <w:lang w:bidi="fa-IR"/>
          <w:color w:val="111111"/>
          <w:sz w:val="28"/>
          <w:szCs w:val="28"/>
          <w:rtl/>
        </w:rPr>
        <w:t xml:space="preserve">تهران؛ ملک؛ شماره نسخه:۶۲۸۴</w:t>
      </w:r>
    </w:p>
    <w:p>
      <w:pPr>
        <w:pStyle w:val="BookText"/>
      </w:pPr>
      <w:r>
        <w:rPr>
          <w:rFonts w:ascii="IRNazanin" w:hAnsi="IRNazanin" w:eastAsia="IRNazanin" w:cs="IRNazanin"/>
          <w:lang w:bidi="fa-IR"/>
          <w:color w:val="111111"/>
          <w:sz w:val="28"/>
          <w:szCs w:val="28"/>
          <w:rtl/>
        </w:rPr>
        <w:t xml:space="preserve">آغاز: ستایش و سپاس بی اندازه و قیاس و حمد و ثنای قوس اساس خداوندی را سزاست که جوهر جان پاک ... اما بعد این کتابیست در ذکر طوایف قزلباش که بتاج و هاج شاهی مفتخر و مباهی اند و کمر خدمت خاندان عظيم الشأن صفوی بر میان بسته؛ انجام: و سلیمان بیک که در دارالسلطنه قزوین بوده، حرره محمد رشید ۱۳ (رقم مشکوک) خط: نستعلیق خوش، كا: محمد رشید، تا: ۱۰۱۳ق؛ نام کتاب به خط دیگر در صفحه عنوان چنین آمده: «تاریخ قزلباشیه»، با یادداشت تاریخ قزلباشیه به خط رشید؛ کاغذ: کاغذ ترمه ختائی، جلد: میشن مشکی، ۷۸گ، ۹ سطر، اندازه: ۱۳/۵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۲۰/۵سم [ف: ۸۸-۲ ]</w:t>
      </w:r>
    </w:p>
    <w:p>
      <w:pPr>
        <w:pStyle w:val="BookText"/>
      </w:pPr>
      <w:r>
        <w:rPr>
          <w:rFonts w:ascii="IRNazanin" w:hAnsi="IRNazanin" w:eastAsia="IRNazanin" w:cs="IRNazanin"/>
          <w:lang w:bidi="fa-IR"/>
          <w:color w:val="111111"/>
          <w:sz w:val="28"/>
          <w:szCs w:val="28"/>
          <w:rtl/>
        </w:rPr>
        <w:t xml:space="preserve">تهران؛ دانشگاه؛ شماره نسخه:۴۰۲۶ف</w:t>
      </w:r>
    </w:p>
    <w:p>
      <w:pPr>
        <w:pStyle w:val="BookText"/>
      </w:pPr>
      <w:r>
        <w:rPr>
          <w:rFonts w:ascii="Amiri" w:hAnsi="Amiri" w:eastAsia="Amiri" w:cs="Amiri"/>
          <w:lang w:bidi="ar-SA"/>
          <w:color w:val="111111"/>
          <w:sz w:val="28"/>
          <w:szCs w:val="28"/>
          <w:rtl/>
        </w:rPr>
        <w:t xml:space="preserve">نسخه اصل: همان نسخه بالا [فيلمها ف: ۳-۴]</w:t>
      </w:r>
    </w:p>
    <w:p>
      <w:pPr>
        <w:pStyle w:val="BookText"/>
      </w:pPr>
      <w:r>
        <w:rPr>
          <w:rFonts w:ascii="IRNazanin" w:hAnsi="IRNazanin" w:eastAsia="IRNazanin" w:cs="IRNazanin"/>
          <w:lang w:bidi="fa-IR"/>
          <w:color w:val="111111"/>
          <w:sz w:val="28"/>
          <w:szCs w:val="28"/>
          <w:rtl/>
        </w:rPr>
        <w:t xml:space="preserve">←تاریخ قطبشاهی ← تاریخ سلطان محمد قطب شاه</w:t>
      </w:r>
    </w:p>
    <w:p>
      <w:pPr>
        <w:pStyle w:val="BookText"/>
      </w:pPr>
      <w:r>
        <w:rPr>
          <w:rFonts w:ascii="IRNazanin" w:hAnsi="IRNazanin" w:eastAsia="IRNazanin" w:cs="IRNazanin"/>
          <w:lang w:bidi="fa-IR"/>
          <w:color w:val="111111"/>
          <w:sz w:val="28"/>
          <w:szCs w:val="28"/>
          <w:rtl/>
        </w:rPr>
        <w:t xml:space="preserve">←تاریخ قطب شاهیان ← حديقة العالم</w:t>
      </w:r>
    </w:p>
    <w:p>
      <w:pPr>
        <w:pStyle w:val="BookText"/>
      </w:pPr>
      <w:r>
        <w:rPr>
          <w:rFonts w:ascii="IRNazanin" w:hAnsi="IRNazanin" w:eastAsia="IRNazanin" w:cs="IRNazanin"/>
          <w:lang w:bidi="fa-IR"/>
          <w:color w:val="111111"/>
          <w:sz w:val="28"/>
          <w:szCs w:val="28"/>
          <w:rtl/>
        </w:rPr>
        <w:t xml:space="preserve">←تاریخ قطب شاهيه ←خلاصة التواریخ</w:t>
      </w:r>
    </w:p>
    <w:p>
      <w:pPr>
        <w:pStyle w:val="Heading3"/>
      </w:pPr>
      <w:bookmarkStart w:id="2532" w:name="_Toc1792"/>
      <w:r>
        <w:t>•تاریخ قم (ترجمه) / تاریخ ایران / فارسی</w:t>
      </w:r>
      <w:bookmarkEnd w:id="2532"/>
    </w:p>
    <w:p>
      <w:pPr>
        <w:pStyle w:val="BookText"/>
      </w:pPr>
      <w:r>
        <w:rPr>
          <w:rFonts w:ascii="Times New Roman" w:hAnsi="Times New Roman" w:eastAsia="Times New Roman" w:cs="Times New Roman"/>
          <w:lang w:val="en-US" w:bidi="en-US"/>
          <w:color w:val="111111"/>
          <w:sz w:val="28"/>
          <w:szCs w:val="28"/>
          <w:rtl/>
        </w:rPr>
        <w:t xml:space="preserve">tarix-e qom (t.)</w:t>
      </w:r>
    </w:p>
    <w:p>
      <w:pPr>
        <w:pStyle w:val="BookText"/>
      </w:pPr>
      <w:r>
        <w:rPr>
          <w:rFonts w:ascii="IRNazanin" w:hAnsi="IRNazanin" w:eastAsia="IRNazanin" w:cs="IRNazanin"/>
          <w:lang w:bidi="fa-IR"/>
          <w:color w:val="111111"/>
          <w:sz w:val="28"/>
          <w:szCs w:val="28"/>
          <w:rtl/>
        </w:rPr>
        <w:t xml:space="preserve">قمی، حسن بن على، ق۹ قمری</w:t>
      </w:r>
    </w:p>
    <w:p>
      <w:pPr>
        <w:pStyle w:val="BookText"/>
      </w:pPr>
      <w:r>
        <w:rPr>
          <w:rFonts w:ascii="Times New Roman" w:hAnsi="Times New Roman" w:eastAsia="Times New Roman" w:cs="Times New Roman"/>
          <w:lang w:val="en-US" w:bidi="en-US"/>
          <w:color w:val="111111"/>
          <w:sz w:val="28"/>
          <w:szCs w:val="28"/>
          <w:rtl/>
        </w:rPr>
        <w:t xml:space="preserve">qomī, hasan ebn-e ‘alī (-15c)</w:t>
      </w:r>
    </w:p>
    <w:p>
      <w:pPr>
        <w:pStyle w:val="BookText"/>
      </w:pPr>
      <w:r>
        <w:rPr>
          <w:rFonts w:ascii="IRNazanin" w:hAnsi="IRNazanin" w:eastAsia="IRNazanin" w:cs="IRNazanin"/>
          <w:lang w:bidi="fa-IR"/>
          <w:color w:val="111111"/>
          <w:sz w:val="28"/>
          <w:szCs w:val="28"/>
          <w:rtl/>
        </w:rPr>
        <w:t xml:space="preserve">اهدا به: برای خواجه فخرالدین وزیر تاریخ تأليف: ۸۰۶ق متن از حسن بن محمد شیبانی قمی، به سال ۳۷۸ق، برای صاحب بن عباد. ترجمه حسن بن علی قمی در ۸۶۵ یا ۸۰۵ و ۸۰۶ق. از متن عربی آن جز چند بند در دست نیست و فارسی آن بایستی در ۲۰ «باب» و ۵۰ «فصل» باشد. ولی اکنون بیش از ۵ باب آن در دست نیست، ولی نوری در «مستدرک» از نسخه ۸ بابی آن یاد کرده است. عناوین «باب» های موجود آن چنین است: ۱. ذکر قم و حدود شهری آن؛ ۲. خراج و توابع شهر قم؛ ۳. اشخاصی که در قم توطن کردند؛ ۴. آوردن اشعریها به آوه و قم؛ ۵. تاریخ اشعری ها و عشایر ایشان. آغاز: الحمدلله جاعل العلماء انجما للاهتداء زاهرة و اعلام للاقتداء ظاهرة چاپ: توسط سید جلال الدین تهرانی، در ۱۳۱۳ش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[الذریعه ۲۷۶/۳ ؛ فهرستواره منزوی ۸۹۳/۲ ؛ دنا ۷۳۰/۲ (۲۴ نسخه)]</w:t>
      </w:r>
    </w:p>
    <w:p>
      <w:pPr>
        <w:pStyle w:val="BookText"/>
      </w:pPr>
      <w:r>
        <w:rPr>
          <w:rFonts w:ascii="IRNazanin" w:hAnsi="IRNazanin" w:eastAsia="IRNazanin" w:cs="IRNazanin"/>
          <w:lang w:bidi="fa-IR"/>
          <w:color w:val="111111"/>
          <w:sz w:val="28"/>
          <w:szCs w:val="28"/>
          <w:rtl/>
        </w:rPr>
        <w:t xml:space="preserve">۱. تهران؛ ملی؛ شماره نسخه: ۲۴۷۲</w:t>
      </w:r>
    </w:p>
    <w:p>
      <w:pPr>
        <w:pStyle w:val="BookText"/>
      </w:pPr>
      <w:r>
        <w:rPr>
          <w:rFonts w:ascii="IRNazanin" w:hAnsi="IRNazanin" w:eastAsia="IRNazanin" w:cs="IRNazanin"/>
          <w:lang w:bidi="fa-IR"/>
          <w:color w:val="111111"/>
          <w:sz w:val="28"/>
          <w:szCs w:val="28"/>
          <w:rtl/>
        </w:rPr>
        <w:t xml:space="preserve">آغاز: برابر؛ انجام: و مرا از آن هیچ عذر نمی باید خواست جلد اول؛ خط: نستعلیق، کا: بهاء الدین حسن بن بهاء الدين بن حسن بن عبد الملک حافظ، تا: دوشنبه ۲۷، ۱۳۷ق، جا: قم؛ با سرلوح مذهب؛ کاغذ: دولت آبادی، جلد: تیماج قرمز با ترنج و نیم ترنج، ۲۷گ، ۱۷ سطر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اندازه: 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۵-۶۴۷]</w:t>
      </w:r>
    </w:p>
    <w:p>
      <w:pPr>
        <w:pStyle w:val="BookText"/>
      </w:pPr>
      <w:r>
        <w:rPr>
          <w:rFonts w:ascii="IRNazanin" w:hAnsi="IRNazanin" w:eastAsia="IRNazanin" w:cs="IRNazanin"/>
          <w:lang w:bidi="fa-IR"/>
          <w:color w:val="111111"/>
          <w:sz w:val="28"/>
          <w:szCs w:val="28"/>
          <w:rtl/>
        </w:rPr>
        <w:t xml:space="preserve">تهران؛ دانشگاه؛ شماره نسخه:۳۸۰۲ف</w:t>
      </w:r>
    </w:p>
    <w:p>
      <w:pPr>
        <w:pStyle w:val="BookText"/>
      </w:pPr>
      <w:r>
        <w:rPr>
          <w:rFonts w:ascii="Amiri" w:hAnsi="Amiri" w:eastAsia="Amiri" w:cs="Amiri"/>
          <w:lang w:bidi="ar-SA"/>
          <w:color w:val="111111"/>
          <w:sz w:val="28"/>
          <w:szCs w:val="28"/>
          <w:rtl/>
        </w:rPr>
        <w:t xml:space="preserve">نسخه اصل: همان نسخه بالا [فيلمها ف: ۲-۲۵۱]</w:t>
      </w:r>
    </w:p>
    <w:p>
      <w:pPr>
        <w:pStyle w:val="BookText"/>
      </w:pPr>
      <w:r>
        <w:rPr>
          <w:rFonts w:ascii="IRNazanin" w:hAnsi="IRNazanin" w:eastAsia="IRNazanin" w:cs="IRNazanin"/>
          <w:lang w:bidi="fa-IR"/>
          <w:color w:val="111111"/>
          <w:sz w:val="28"/>
          <w:szCs w:val="28"/>
          <w:rtl/>
        </w:rPr>
        <w:t xml:space="preserve">قم؛ مرعشی؛ شماره نسخه: ۴۵۱عکسی و ۴۵۲عکسی</w:t>
      </w:r>
    </w:p>
    <w:p>
      <w:pPr>
        <w:pStyle w:val="BookText"/>
      </w:pPr>
      <w:r>
        <w:rPr>
          <w:rFonts w:ascii="IRNazanin" w:hAnsi="IRNazanin" w:eastAsia="IRNazanin" w:cs="IRNazanin"/>
          <w:lang w:bidi="fa-IR"/>
          <w:color w:val="111111"/>
          <w:sz w:val="28"/>
          <w:szCs w:val="28"/>
          <w:rtl/>
        </w:rPr>
        <w:t xml:space="preserve">نسخه اصل: همان نسخه بالا، در دو قسمت [عکسی ف: ۱-۴۰۰]</w:t>
      </w:r>
    </w:p>
    <w:p>
      <w:pPr>
        <w:pStyle w:val="BookText"/>
      </w:pPr>
      <w:r>
        <w:rPr>
          <w:rFonts w:ascii="IRNazanin" w:hAnsi="IRNazanin" w:eastAsia="IRNazanin" w:cs="IRNazanin"/>
          <w:lang w:bidi="fa-IR"/>
          <w:color w:val="111111"/>
          <w:sz w:val="28"/>
          <w:szCs w:val="28"/>
          <w:rtl/>
        </w:rPr>
        <w:t xml:space="preserve">۲. تهران؛ دانشگاه؛ شماره نسخه:۳۸۴۶-ف</w:t>
      </w:r>
    </w:p>
    <w:p>
      <w:pPr>
        <w:pStyle w:val="BookText"/>
      </w:pPr>
      <w:r>
        <w:rPr>
          <w:rFonts w:ascii="IRNazanin" w:hAnsi="IRNazanin" w:eastAsia="IRNazanin" w:cs="IRNazanin"/>
          <w:lang w:bidi="fa-IR"/>
          <w:color w:val="111111"/>
          <w:sz w:val="28"/>
          <w:szCs w:val="28"/>
          <w:rtl/>
        </w:rPr>
        <w:t xml:space="preserve">انجام: و آن مسجد به ابوموسی اشعری منسوب است نسخه اصل: موزه بریتانیا 3391 .0</w:t>
      </w:r>
      <w:r>
        <w:rPr>
          <w:rFonts w:ascii="Times New Roman" w:hAnsi="Times New Roman" w:eastAsia="Times New Roman" w:cs="Times New Roman"/>
          <w:lang w:val="en-US" w:bidi="en-US"/>
          <w:color w:val="111111"/>
          <w:sz w:val="28"/>
          <w:szCs w:val="28"/>
          <w:rtl/>
        </w:rPr>
        <w:t xml:space="preserve">r</w:t>
      </w:r>
      <w:r>
        <w:rPr>
          <w:rFonts w:ascii="IRNazanin" w:hAnsi="IRNazanin" w:eastAsia="IRNazanin" w:cs="IRNazanin"/>
          <w:lang w:bidi="fa-IR"/>
          <w:color w:val="111111"/>
          <w:sz w:val="28"/>
          <w:szCs w:val="28"/>
          <w:rtl/>
        </w:rPr>
        <w:t xml:space="preserve">؛ خط: نستعلیق، کا: شاه حسین کاتب، تا: ۳ ربیع الثانی ۱۱۰۵ق؛ با تاریخ «خمس و ست و</w:t>
      </w:r>
    </w:p>
    <w:p>
      <w:pPr>
        <w:pStyle w:val="BookText"/>
      </w:pPr>
      <w:r>
        <w:rPr>
          <w:rFonts w:ascii="IRNazanin" w:hAnsi="IRNazanin" w:eastAsia="IRNazanin" w:cs="IRNazanin"/>
          <w:lang w:bidi="fa-IR"/>
          <w:color w:val="111111"/>
          <w:sz w:val="28"/>
          <w:szCs w:val="28"/>
          <w:rtl/>
        </w:rPr>
        <w:t xml:space="preserve">ثمانمائة»، مجدول، در ص ع آمده: «سنة ۱۱۵ (گویا ۱۱۵۰ یا ۱۱۰۵ یا ۱۰۱۵، قیمت سیصد دینار»، نیز در آن آمده است: «سنه ۱۱۶۰ داخل عرض شد»؛ کاغذ: سمر قندی مجدول مذهب، جلد: تیماج ترنج دار مشبک طلاپوش [فیلمها ف: ۲-۲۵۷]</w:t>
      </w:r>
    </w:p>
    <w:p>
      <w:pPr>
        <w:pStyle w:val="BookText"/>
      </w:pPr>
      <w:r>
        <w:rPr>
          <w:rFonts w:ascii="IRNazanin" w:hAnsi="IRNazanin" w:eastAsia="IRNazanin" w:cs="IRNazanin"/>
          <w:lang w:bidi="fa-IR"/>
          <w:color w:val="111111"/>
          <w:sz w:val="28"/>
          <w:szCs w:val="28"/>
          <w:rtl/>
        </w:rPr>
        <w:t xml:space="preserve">٣. قم؛ مرعشی؛ شماره نسخه:۷۲۱۶</w:t>
      </w:r>
    </w:p>
    <w:p>
      <w:pPr>
        <w:pStyle w:val="BookText"/>
      </w:pPr>
      <w:r>
        <w:rPr>
          <w:rFonts w:ascii="IRNazanin" w:hAnsi="IRNazanin" w:eastAsia="IRNazanin" w:cs="IRNazanin"/>
          <w:lang w:bidi="fa-IR"/>
          <w:color w:val="111111"/>
          <w:sz w:val="28"/>
          <w:szCs w:val="28"/>
          <w:rtl/>
        </w:rPr>
        <w:t xml:space="preserve">آغاز: برابر؛ انجام: و جمعی از اینها که در کشتی نشسته اند و نام ایشان نبرده اند.</w:t>
      </w:r>
    </w:p>
    <w:p>
      <w:pPr>
        <w:pStyle w:val="BookText"/>
      </w:pPr>
      <w:r>
        <w:rPr>
          <w:rFonts w:ascii="IRNazanin" w:hAnsi="IRNazanin" w:eastAsia="IRNazanin" w:cs="IRNazanin"/>
          <w:lang w:bidi="fa-IR"/>
          <w:color w:val="111111"/>
          <w:sz w:val="28"/>
          <w:szCs w:val="28"/>
          <w:rtl/>
        </w:rPr>
        <w:t xml:space="preserve">خط: نسخ، بی کا، تا: قرن ۱۳؛ تملک: میرزا عبدالوهاب خان بیان الملک که عباسقلی مشیر افخم کاشانی به تاریخ ۲۲ جمادی الاول ۱۳۲۶ نوشته؛ جلد: تیماج قهوه ای، ۱۷۰ ، ۱۸ سطر،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۱۹-۲۵]</w:t>
      </w:r>
    </w:p>
    <w:p>
      <w:pPr>
        <w:pStyle w:val="BookText"/>
      </w:pPr>
      <w:r>
        <w:rPr>
          <w:rFonts w:ascii="IRNazanin" w:hAnsi="IRNazanin" w:eastAsia="IRNazanin" w:cs="IRNazanin"/>
          <w:lang w:bidi="fa-IR"/>
          <w:color w:val="111111"/>
          <w:sz w:val="28"/>
          <w:szCs w:val="28"/>
          <w:rtl/>
        </w:rPr>
        <w:t xml:space="preserve">۴. تهران؛ ملک؛ شماره نسخه:۱۳ ۳۹</w:t>
      </w:r>
    </w:p>
    <w:p>
      <w:pPr>
        <w:pStyle w:val="BookText"/>
      </w:pPr>
      <w:r>
        <w:rPr>
          <w:rFonts w:ascii="IRNazanin" w:hAnsi="IRNazanin" w:eastAsia="IRNazanin" w:cs="IRNazanin"/>
          <w:lang w:bidi="fa-IR"/>
          <w:color w:val="111111"/>
          <w:sz w:val="28"/>
          <w:szCs w:val="28"/>
          <w:rtl/>
        </w:rPr>
        <w:t xml:space="preserve">خط: شکسته، نستعلیق، بی کا، تا: قرن ۱۳؛ تملك: کتابخانه اعتماد السلطنه؛ کاغذ: کاغذ آهار مهره فرنگی، جلد: میشن سبز، ۱۳۹، ۱۹ سطر، اندازه: ۱۹/۳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۲۹/۵سم [ف: ۲-۸۸ ]</w:t>
      </w:r>
    </w:p>
    <w:p>
      <w:pPr>
        <w:pStyle w:val="BookText"/>
      </w:pPr>
      <w:r>
        <w:rPr>
          <w:rFonts w:ascii="IRNazanin" w:hAnsi="IRNazanin" w:eastAsia="IRNazanin" w:cs="IRNazanin"/>
          <w:lang w:bidi="fa-IR"/>
          <w:color w:val="111111"/>
          <w:sz w:val="28"/>
          <w:szCs w:val="28"/>
          <w:rtl/>
        </w:rPr>
        <w:t xml:space="preserve">۵. تهران؛ مجلس؛ شماره نسخه: ۷۶۷۰</w:t>
      </w:r>
    </w:p>
    <w:p>
      <w:pPr>
        <w:pStyle w:val="BookText"/>
      </w:pPr>
      <w:r>
        <w:rPr>
          <w:rFonts w:ascii="IRNazanin" w:hAnsi="IRNazanin" w:eastAsia="IRNazanin" w:cs="IRNazanin"/>
          <w:lang w:bidi="fa-IR"/>
          <w:color w:val="111111"/>
          <w:sz w:val="28"/>
          <w:szCs w:val="28"/>
          <w:rtl/>
        </w:rPr>
        <w:t xml:space="preserve">آغاز: برابر؛ انجام: و مرا از صحبت داشتن با او هیچ عاری نیست و مرا از آن هیچ عذر نمی باشد. خط: نسخ جلی، بی کا، تا: قرن ۱۳؛ مجدول محرر مذهب، با سرلوح مزدوج مرصع مذهب؛ جلد: پارچه زرد، ۱۵۱گ، ۲۴  سطر،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۲۶-۱۶۸]</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مجلس؛ شماره نسخه:۷۱۸</w:t>
      </w:r>
    </w:p>
    <w:p>
      <w:pPr>
        <w:pStyle w:val="BookText"/>
      </w:pPr>
      <w:r>
        <w:rPr>
          <w:rFonts w:ascii="IRNazanin" w:hAnsi="IRNazanin" w:eastAsia="IRNazanin" w:cs="IRNazanin"/>
          <w:lang w:bidi="fa-IR"/>
          <w:color w:val="111111"/>
          <w:sz w:val="28"/>
          <w:szCs w:val="28"/>
          <w:rtl/>
        </w:rPr>
        <w:t xml:space="preserve">خط: نستعلیق، كا: علی حسینی، تا: ۱۲۰۲ یا ۱۲۵۲؛ کاغذ: سفید، جلد: تیماج مشکی، ۱۳۵ گ، ۱۷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[سنا: ف: ۲-۴۳]</w:t>
      </w:r>
    </w:p>
    <w:p>
      <w:pPr>
        <w:pStyle w:val="BookText"/>
      </w:pPr>
      <w:r>
        <w:rPr>
          <w:rFonts w:ascii="IRNazanin" w:hAnsi="IRNazanin" w:eastAsia="IRNazanin" w:cs="IRNazanin"/>
          <w:lang w:bidi="fa-IR"/>
          <w:color w:val="111111"/>
          <w:sz w:val="28"/>
          <w:szCs w:val="28"/>
          <w:rtl/>
        </w:rPr>
        <w:t xml:space="preserve">تهران؛ مفتاح، شماره نسخه:۴۸۴</w:t>
      </w:r>
    </w:p>
    <w:p>
      <w:pPr>
        <w:pStyle w:val="BookText"/>
      </w:pPr>
      <w:r>
        <w:rPr>
          <w:rFonts w:ascii="IRNazanin" w:hAnsi="IRNazanin" w:eastAsia="IRNazanin" w:cs="IRNazanin"/>
          <w:lang w:bidi="fa-IR"/>
          <w:color w:val="111111"/>
          <w:sz w:val="28"/>
          <w:szCs w:val="28"/>
          <w:rtl/>
        </w:rPr>
        <w:t xml:space="preserve">همان نسخه بالا [ نشریه: ۷-۱۱۰]</w:t>
      </w:r>
    </w:p>
    <w:p>
      <w:pPr>
        <w:pStyle w:val="BookText"/>
      </w:pPr>
      <w:r>
        <w:rPr>
          <w:rFonts w:ascii="IRNazanin" w:hAnsi="IRNazanin" w:eastAsia="IRNazanin" w:cs="IRNazanin"/>
          <w:lang w:bidi="fa-IR"/>
          <w:color w:val="111111"/>
          <w:sz w:val="28"/>
          <w:szCs w:val="28"/>
          <w:rtl/>
        </w:rPr>
        <w:t xml:space="preserve">۷. تهران؛ مهدوی؛ شماره نسخه:۱۸۷</w:t>
      </w:r>
    </w:p>
    <w:p>
      <w:pPr>
        <w:pStyle w:val="BookText"/>
      </w:pPr>
      <w:r>
        <w:rPr>
          <w:rFonts w:ascii="IRNazanin" w:hAnsi="IRNazanin" w:eastAsia="IRNazanin" w:cs="IRNazanin"/>
          <w:lang w:bidi="fa-IR"/>
          <w:color w:val="111111"/>
          <w:sz w:val="28"/>
          <w:szCs w:val="28"/>
          <w:rtl/>
        </w:rPr>
        <w:t xml:space="preserve">تاريخ تأليف در این نسخه ۸۶۵ است؛ خط: نسخ، بی کا، تا: دوشنبه ۱۰ ذیقعده ۱۲۲۹ق [نشریه: ۲-۶۵]</w:t>
      </w:r>
    </w:p>
    <w:p>
      <w:pPr>
        <w:pStyle w:val="BookText"/>
      </w:pPr>
      <w:r>
        <w:rPr>
          <w:rFonts w:ascii="IRNazanin" w:hAnsi="IRNazanin" w:eastAsia="IRNazanin" w:cs="IRNazanin"/>
          <w:lang w:bidi="fa-IR"/>
          <w:color w:val="111111"/>
          <w:sz w:val="28"/>
          <w:szCs w:val="28"/>
          <w:rtl/>
        </w:rPr>
        <w:t xml:space="preserve">تهران؛ دانشگاه؛ شماره نسخه:۳۸۰۵-ف</w:t>
      </w:r>
    </w:p>
    <w:p>
      <w:pPr>
        <w:pStyle w:val="BookText"/>
      </w:pPr>
      <w:r>
        <w:rPr>
          <w:rFonts w:ascii="Amiri" w:hAnsi="Amiri" w:eastAsia="Amiri" w:cs="Amiri"/>
          <w:lang w:bidi="ar-SA"/>
          <w:color w:val="111111"/>
          <w:sz w:val="28"/>
          <w:szCs w:val="28"/>
          <w:rtl/>
        </w:rPr>
        <w:t xml:space="preserve">نسخه اصل: همان نسخه بالا [فيلمها ف: ۲-۲۵۱]</w:t>
      </w:r>
    </w:p>
    <w:p>
      <w:pPr>
        <w:pStyle w:val="BookText"/>
      </w:pPr>
      <w:r>
        <w:rPr>
          <w:rFonts w:ascii="IRNazanin" w:hAnsi="IRNazanin" w:eastAsia="IRNazanin" w:cs="IRNazanin"/>
          <w:lang w:bidi="fa-IR"/>
          <w:color w:val="111111"/>
          <w:sz w:val="28"/>
          <w:szCs w:val="28"/>
          <w:rtl/>
        </w:rPr>
        <w:t xml:space="preserve">۸. مشهد؛ رضوی؛ شماره نسخه: ۳۸۵۲۸</w:t>
      </w:r>
    </w:p>
    <w:p>
      <w:pPr>
        <w:pStyle w:val="BookText"/>
      </w:pPr>
      <w:r>
        <w:rPr>
          <w:rFonts w:ascii="IRNazanin" w:hAnsi="IRNazanin" w:eastAsia="IRNazanin" w:cs="IRNazanin"/>
          <w:lang w:bidi="fa-IR"/>
          <w:color w:val="111111"/>
          <w:sz w:val="28"/>
          <w:szCs w:val="28"/>
          <w:rtl/>
        </w:rPr>
        <w:t xml:space="preserve">آغاز: برابر؛ انجام: و مرا از صحبت داشتن با او هیچ عاری نیست و مرا از آن هیچ عذر نمی باشد و الله اعلم بالصواب خط: نسخ، كا: محمد کاظم مشهور به آقا جان بن ملا زین العابدین خادم سر کار فیض آثار، تا: پنج شنبه ربيع الأول ۱۲۳۷ق، حسب الفرموده میرزا اسد الله متولی؛ اهدایی: رهبری، مهر ۱۳۸۶</w:t>
      </w:r>
    </w:p>
    <w:p>
      <w:pPr>
        <w:pStyle w:val="BookText"/>
      </w:pPr>
      <w:r>
        <w:rPr>
          <w:rFonts w:ascii="IRNazanin" w:hAnsi="IRNazanin" w:eastAsia="IRNazanin" w:cs="IRNazanin"/>
          <w:lang w:bidi="fa-IR"/>
          <w:color w:val="111111"/>
          <w:sz w:val="28"/>
          <w:szCs w:val="28"/>
          <w:rtl/>
        </w:rPr>
        <w:t xml:space="preserve">کاغذ: فرنگی شکری آهار مهره، جلد: تیماج عنابی، ۲۰۶گ، ۱۶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 اهدائی رهبر: ۸-۳۹۰]</w:t>
      </w:r>
    </w:p>
    <w:p>
      <w:pPr>
        <w:pStyle w:val="BookText"/>
      </w:pPr>
      <w:r>
        <w:rPr>
          <w:rFonts w:ascii="IRNazanin" w:hAnsi="IRNazanin" w:eastAsia="IRNazanin" w:cs="IRNazanin"/>
          <w:lang w:bidi="fa-IR"/>
          <w:color w:val="111111"/>
          <w:sz w:val="28"/>
          <w:szCs w:val="28"/>
          <w:rtl/>
        </w:rPr>
        <w:t xml:space="preserve">مشهد؛ شیخ علی حیدر، شماره نسخه:۱۲۵۵</w:t>
      </w:r>
    </w:p>
    <w:p>
      <w:pPr>
        <w:pStyle w:val="BookText"/>
      </w:pPr>
      <w:r>
        <w:rPr>
          <w:rFonts w:ascii="IRNazanin" w:hAnsi="IRNazanin" w:eastAsia="IRNazanin" w:cs="IRNazanin"/>
          <w:lang w:bidi="fa-IR"/>
          <w:color w:val="111111"/>
          <w:sz w:val="28"/>
          <w:szCs w:val="28"/>
          <w:rtl/>
        </w:rPr>
        <w:t xml:space="preserve">همان نسخه بالا [ مؤید: ۳-۲۱۴]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مجلس؛ شماره نسخه: ۵۶۵۱</w:t>
      </w:r>
    </w:p>
    <w:p>
      <w:pPr>
        <w:pStyle w:val="BookText"/>
      </w:pPr>
      <w:r>
        <w:rPr>
          <w:rFonts w:ascii="IRNazanin" w:hAnsi="IRNazanin" w:eastAsia="IRNazanin" w:cs="IRNazanin"/>
          <w:lang w:bidi="fa-IR"/>
          <w:color w:val="111111"/>
          <w:sz w:val="28"/>
          <w:szCs w:val="28"/>
          <w:rtl/>
        </w:rPr>
        <w:t xml:space="preserve">خط: شکسته نستعلیق، کا: ابوالقاسم گلپایگانی، تا: ۱۲۷۵ق؛ مهر: محمد رضا؛ کاغذ: فرنگی سفید، جلد: تیماج عنابی با ترنج، ۲۷۶ص، ۲۰ سطر، اندازه: ۱۷/۵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۳۷سم [ف: ۱۷-۱۰۶]</w:t>
      </w:r>
    </w:p>
    <w:p>
      <w:pPr>
        <w:pStyle w:val="BookText"/>
      </w:pPr>
      <w:r>
        <w:rPr>
          <w:rFonts w:ascii="IRNazanin" w:hAnsi="IRNazanin" w:eastAsia="IRNazanin" w:cs="IRNazanin"/>
          <w:lang w:bidi="fa-IR"/>
          <w:color w:val="111111"/>
          <w:sz w:val="28"/>
          <w:szCs w:val="28"/>
          <w:rtl/>
        </w:rPr>
        <w:t xml:space="preserve">۱۰. قم؛ مرعشی؛ شماره نسخه: ۱۲۴۰۵/۱</w:t>
      </w:r>
    </w:p>
    <w:p>
      <w:pPr>
        <w:pStyle w:val="BookText"/>
      </w:pPr>
      <w:r>
        <w:rPr>
          <w:rFonts w:ascii="IRNazanin" w:hAnsi="IRNazanin" w:eastAsia="IRNazanin" w:cs="IRNazanin"/>
          <w:lang w:bidi="fa-IR"/>
          <w:color w:val="111111"/>
          <w:sz w:val="28"/>
          <w:szCs w:val="28"/>
          <w:rtl/>
        </w:rPr>
        <w:t xml:space="preserve">آغاز: برابر، انجام: و أما کنیزک عقلیه نام آن کنیز کی است ملک بن و در حباله من مرا از صحبت داشتن با او هیچ عاری نیست و مرا از و هیچ عذری خط: نسخ و شکسته نستعلیق خوش، بی کا، تا: ۱۲۸۱ق؛ مصحح، محشی، بیع نامه ای به تاریخ ۱۳۲۳ که احمد بن محمود ضرابی نسخه را به مبلغ سی تومان به عمو اقلی حبیب الله خان فروخته، در پایان چنین آمده است: «در سنه تنگوزئيل ترکی مطابق یکهزار و دویست و هشتاد و یک که مرا شرف ... آستانه حضرت معصومه عليها السلام اتفاق افتاد، با دوستان آن بلد ذکری از تاریخ قم به میان آمد که آیا کسی چیزی نوشته یا نه، جناب مرتضوی انتساب حاج میرزا سید حسین متولی باشی که شخصی مستغنی از توصیف و جامع کمالات صوری و معنوی هستند، نسخه تازه نویسی که خود داشتند دادند، سلاله دودمان رسالت میرزا على نقی هم نسخه کهنه قدیمی فرستادند هر دو را به اتفاق خود ببلده کاشان که موطن اصلی من است آورده با بذل جهدی در تصحیح بقدر امکان استنساخ شد، چون هر دو نسخه ناتمام بود و موافق فهرست مؤلف تا ابواب بیست گانه؛ پانزده باب باقی مانده اوراق سفید ر اضمیمه کتاب کردم تا اگر انشاء الله نسخه تمامی بدست آید، استكتاب و آن را تمام کنند، في شهر شوال ۱۲۸۱ تحریر شد»، کاتب ظاهرة محمد کاظم خان فرزند محمد حسین خان کاشانی</w:t>
      </w:r>
    </w:p>
    <w:p>
      <w:pPr>
        <w:pStyle w:val="BookText"/>
      </w:pPr>
      <w:r>
        <w:rPr>
          <w:rFonts w:ascii="IRNazanin" w:hAnsi="IRNazanin" w:eastAsia="IRNazanin" w:cs="IRNazanin"/>
          <w:lang w:bidi="fa-IR"/>
          <w:color w:val="111111"/>
          <w:sz w:val="28"/>
          <w:szCs w:val="28"/>
          <w:rtl/>
        </w:rPr>
        <w:t xml:space="preserve">است؛ کاغذ: فرنگی، ۱۴۳ گ، ۲۱ سطر،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۳۱-۳۶۰]</w:t>
      </w:r>
    </w:p>
    <w:p>
      <w:pPr>
        <w:pStyle w:val="BookText"/>
      </w:pPr>
      <w:r>
        <w:rPr>
          <w:rFonts w:ascii="IRNazanin" w:hAnsi="IRNazanin" w:eastAsia="IRNazanin" w:cs="IRNazanin"/>
          <w:lang w:bidi="fa-IR"/>
          <w:color w:val="111111"/>
          <w:sz w:val="28"/>
          <w:szCs w:val="28"/>
          <w:rtl/>
        </w:rPr>
        <w:t xml:space="preserve">۱۱. قم؛ لاجوردی، سید مهدی؛ شماره نسخه:۱۲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539" w:name="pg20363_209856"/>
    <w:bookmarkEnd w:id="539"/>
    <w:p>
      <w:pPr>
        <w:pStyle w:val="BookText"/>
      </w:pPr>
      <w:r>
        <w:rPr>
          <w:rFonts w:ascii="IRNazanin" w:hAnsi="IRNazanin" w:eastAsia="IRNazanin" w:cs="IRNazanin"/>
          <w:lang w:bidi="fa-IR"/>
          <w:color w:val="111111"/>
          <w:sz w:val="28"/>
          <w:szCs w:val="28"/>
          <w:rtl/>
        </w:rPr>
        <w:t xml:space="preserve">خط: شکسته نستعلیق، بی کا، تا: شوال ۱۲۸۱ق؛ با رساله على آبادنامه» سرکار محمد کاظم خان کاشانی در پایان [چند نسخه -ف: ۱۰۶]</w:t>
      </w:r>
    </w:p>
    <w:p>
      <w:pPr>
        <w:pStyle w:val="BookText"/>
      </w:pPr>
      <w:r>
        <w:rPr>
          <w:rFonts w:ascii="IRNazanin" w:hAnsi="IRNazanin" w:eastAsia="IRNazanin" w:cs="IRNazanin"/>
          <w:lang w:bidi="fa-IR"/>
          <w:color w:val="111111"/>
          <w:sz w:val="28"/>
          <w:szCs w:val="28"/>
          <w:rtl/>
        </w:rPr>
        <w:t xml:space="preserve">۱۲. تهران؛ سپهسالار؛ شماره نسخه:۱۴۶۷</w:t>
      </w:r>
    </w:p>
    <w:p>
      <w:pPr>
        <w:pStyle w:val="BookText"/>
      </w:pPr>
      <w:r>
        <w:rPr>
          <w:rFonts w:ascii="IRNazanin" w:hAnsi="IRNazanin" w:eastAsia="IRNazanin" w:cs="IRNazanin"/>
          <w:lang w:bidi="fa-IR"/>
          <w:color w:val="111111"/>
          <w:sz w:val="28"/>
          <w:szCs w:val="28"/>
          <w:rtl/>
        </w:rPr>
        <w:t xml:space="preserve">خط: نستعلیق شکسته، كا: مهدی بن شیخ حسن قمی، تا: ۶ شوال ۱۲۹۵ ق، به دستور على اكبر فیض و به فرمان اعتضاد السلطنه؛ برابر چاپ سید جلال الدین تهرانی ۱۳۱۳ش است؛ کاغذ: فرنگی سفید آهار مهره، جلد: تیماج سرخ ضربی مقوایی، ۲۱۲ گ، ۱۴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۳-۳۰۱]</w:t>
      </w:r>
    </w:p>
    <w:p>
      <w:pPr>
        <w:pStyle w:val="BookText"/>
      </w:pPr>
      <w:r>
        <w:rPr>
          <w:rFonts w:ascii="IRNazanin" w:hAnsi="IRNazanin" w:eastAsia="IRNazanin" w:cs="IRNazanin"/>
          <w:lang w:bidi="fa-IR"/>
          <w:color w:val="111111"/>
          <w:sz w:val="28"/>
          <w:szCs w:val="28"/>
          <w:rtl/>
        </w:rPr>
        <w:t xml:space="preserve">۱۳. قم؛ معصومیه؛ شماره نسخه:۷۳/۴ -۶۰۱۰</w:t>
      </w:r>
    </w:p>
    <w:p>
      <w:pPr>
        <w:pStyle w:val="BookText"/>
      </w:pPr>
      <w:r>
        <w:rPr>
          <w:rFonts w:ascii="IRNazanin" w:hAnsi="IRNazanin" w:eastAsia="IRNazanin" w:cs="IRNazanin"/>
          <w:lang w:bidi="fa-IR"/>
          <w:color w:val="111111"/>
          <w:sz w:val="28"/>
          <w:szCs w:val="28"/>
          <w:rtl/>
        </w:rPr>
        <w:t xml:space="preserve">تا باب پنجم است؛ خط: شکسته نستعلیق، بی کا، تا: ۱۰ شوال ۱۳۰۰ ق، به دستور فرزند سپهسالار اعظم آقای اعتضاد الدوله محمد مهدی خان که در ۱۲۹۹ تا ۱۳۰۴ حاکم قم بوده؛ تملک: محمد باقر حسینی متولی باشی در ۱۳۴۰؛ کاغذ: فرنگی، جلد: تیماج تریاکی، ۱۷۰ گ، ۱۳ سطر، قطع: خشتی [ آستانه قم: ۸۵]</w:t>
      </w:r>
    </w:p>
    <w:p>
      <w:pPr>
        <w:pStyle w:val="BookText"/>
      </w:pPr>
      <w:r>
        <w:rPr>
          <w:rFonts w:ascii="IRNazanin" w:hAnsi="IRNazanin" w:eastAsia="IRNazanin" w:cs="IRNazanin"/>
          <w:lang w:bidi="fa-IR"/>
          <w:color w:val="111111"/>
          <w:sz w:val="28"/>
          <w:szCs w:val="28"/>
          <w:rtl/>
        </w:rPr>
        <w:t xml:space="preserve">۱۴. تهران: ادبیات شماره نسخه:۱۲۲ -ج</w:t>
      </w:r>
    </w:p>
    <w:p>
      <w:pPr>
        <w:pStyle w:val="BookText"/>
      </w:pPr>
      <w:r>
        <w:rPr>
          <w:rFonts w:ascii="IRNazanin" w:hAnsi="IRNazanin" w:eastAsia="IRNazanin" w:cs="IRNazanin"/>
          <w:lang w:bidi="fa-IR"/>
          <w:color w:val="111111"/>
          <w:sz w:val="28"/>
          <w:szCs w:val="28"/>
          <w:rtl/>
        </w:rPr>
        <w:t xml:space="preserve">خط: نستعلیق، بی کا، تا: دوشنبه ۲۳ شوال ۱۳۰۰ق؛ تملک: حاجی میرزا حسن نوری بوده، به دست قزوینی رسیده و او آن را خوانده و حاشیه بر آن نوشته؛ کاغذ: فرنگی، جلد: تیماج سرخ، ۱۰۳گ، ۱۸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۱-۷۵]</w:t>
      </w:r>
    </w:p>
    <w:p>
      <w:pPr>
        <w:pStyle w:val="BookText"/>
      </w:pPr>
      <w:r>
        <w:rPr>
          <w:rFonts w:ascii="IRNazanin" w:hAnsi="IRNazanin" w:eastAsia="IRNazanin" w:cs="IRNazanin"/>
          <w:lang w:bidi="fa-IR"/>
          <w:color w:val="111111"/>
          <w:sz w:val="28"/>
          <w:szCs w:val="28"/>
          <w:rtl/>
        </w:rPr>
        <w:t xml:space="preserve">۱۵. تهران؛ ادبیات، شماره نسخه: ۱۴۲/۱ - ب</w:t>
      </w:r>
    </w:p>
    <w:p>
      <w:pPr>
        <w:pStyle w:val="BookText"/>
      </w:pPr>
      <w:r>
        <w:rPr>
          <w:rFonts w:ascii="IRNazanin" w:hAnsi="IRNazanin" w:eastAsia="IRNazanin" w:cs="IRNazanin"/>
          <w:lang w:bidi="fa-IR"/>
          <w:color w:val="111111"/>
          <w:sz w:val="28"/>
          <w:szCs w:val="28"/>
          <w:rtl/>
        </w:rPr>
        <w:t xml:space="preserve">نیمه نخستین کتاب؛ خط: نستعلیق، بی کا، تا: ۱۳۰۸ق، جا: لندن؛ کاغذ: فرنگی، جلد: مقوایی، ۳۹۲ص، ۱۲سطر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۱-۷۶]</w:t>
      </w:r>
    </w:p>
    <w:p>
      <w:pPr>
        <w:pStyle w:val="BookText"/>
      </w:pPr>
      <w:r>
        <w:rPr>
          <w:rFonts w:ascii="IRNazanin" w:hAnsi="IRNazanin" w:eastAsia="IRNazanin" w:cs="IRNazanin"/>
          <w:lang w:bidi="fa-IR"/>
          <w:color w:val="111111"/>
          <w:sz w:val="28"/>
          <w:szCs w:val="28"/>
          <w:rtl/>
        </w:rPr>
        <w:t xml:space="preserve">۱۶. تهران: ادبیات، شماره نسخه: ۱۴۲/۲ - ب</w:t>
      </w:r>
    </w:p>
    <w:p>
      <w:pPr>
        <w:pStyle w:val="BookText"/>
      </w:pPr>
      <w:r>
        <w:rPr>
          <w:rFonts w:ascii="IRNazanin" w:hAnsi="IRNazanin" w:eastAsia="IRNazanin" w:cs="IRNazanin"/>
          <w:lang w:bidi="fa-IR"/>
          <w:color w:val="111111"/>
          <w:sz w:val="28"/>
          <w:szCs w:val="28"/>
          <w:rtl/>
        </w:rPr>
        <w:t xml:space="preserve">نیمه دوم کتاب؛ خط: نستعلیق، بی کا، تا: ۸-۱۳۰۷ق، جا: لندن؛ نوشته از روی نسخه خلخالی نوشته بهاء الدين بن حسن بن بهاء الدين بن حسن بن عبدالملک حافظ در روز دوشنبه ۲۷ ذیحجه ۸۴۷ مقابله شده، نسخه را آقای مینوی بقزوینی بخشیده؛ این نسخه هم مانند چاپی است و نسخه اصل هم بیش از آن نبوده است. ۲۹ص (۳۹۴-۴۲۲) [ف: ۱-۷۶]</w:t>
      </w:r>
    </w:p>
    <w:p>
      <w:pPr>
        <w:pStyle w:val="BookText"/>
      </w:pPr>
      <w:r>
        <w:rPr>
          <w:rFonts w:ascii="IRNazanin" w:hAnsi="IRNazanin" w:eastAsia="IRNazanin" w:cs="IRNazanin"/>
          <w:lang w:bidi="fa-IR"/>
          <w:color w:val="111111"/>
          <w:sz w:val="28"/>
          <w:szCs w:val="28"/>
          <w:rtl/>
        </w:rPr>
        <w:t xml:space="preserve">۱۷. تهران؛ ملی؛ شماره نسخه:۲۰۲۵</w:t>
      </w:r>
    </w:p>
    <w:p>
      <w:pPr>
        <w:pStyle w:val="BookText"/>
      </w:pPr>
      <w:r>
        <w:rPr>
          <w:rFonts w:ascii="IRNazanin" w:hAnsi="IRNazanin" w:eastAsia="IRNazanin" w:cs="IRNazanin"/>
          <w:lang w:bidi="fa-IR"/>
          <w:color w:val="111111"/>
          <w:sz w:val="28"/>
          <w:szCs w:val="28"/>
          <w:rtl/>
        </w:rPr>
        <w:t xml:space="preserve">آغاز: هذا كتاب تاریخ قم حسب الامر اقای (یک کلمه ساقط) در سه هزار و سیصد و سیزده هجری نسخه شد، بسمله، الحمدلله ؛ انجام: و عذر غلط و اشتباه را متر جم این نسخه خواسته است ملتمس دعائی هستم.</w:t>
      </w:r>
    </w:p>
    <w:p>
      <w:pPr>
        <w:pStyle w:val="BookText"/>
      </w:pPr>
      <w:r>
        <w:rPr>
          <w:rFonts w:ascii="IRNazanin" w:hAnsi="IRNazanin" w:eastAsia="IRNazanin" w:cs="IRNazanin"/>
          <w:lang w:bidi="fa-IR"/>
          <w:color w:val="111111"/>
          <w:sz w:val="28"/>
          <w:szCs w:val="28"/>
          <w:rtl/>
        </w:rPr>
        <w:t xml:space="preserve">خط: نسخ، بی کا، تا: ۱۳۱۳ق، کاغذ: فرنگی، جلد: تیماج سبز با گل و بوته زر، ۲۱۸گ، ۱۵سطر (۱۱/۵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۱۹/۵)،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۲۸سم [ف: ۵-۲۳]</w:t>
      </w:r>
    </w:p>
    <w:p>
      <w:pPr>
        <w:pStyle w:val="BookText"/>
      </w:pPr>
      <w:r>
        <w:rPr>
          <w:rFonts w:ascii="IRNazanin" w:hAnsi="IRNazanin" w:eastAsia="IRNazanin" w:cs="IRNazanin"/>
          <w:lang w:bidi="fa-IR"/>
          <w:color w:val="111111"/>
          <w:sz w:val="28"/>
          <w:szCs w:val="28"/>
          <w:rtl/>
        </w:rPr>
        <w:t xml:space="preserve">۱۸. مشهد؛ رضوی؛ شماره نسخه:۱۲۰۷۳</w:t>
      </w:r>
    </w:p>
    <w:p>
      <w:pPr>
        <w:pStyle w:val="BookText"/>
      </w:pPr>
      <w:r>
        <w:rPr>
          <w:rFonts w:ascii="IRNazanin" w:hAnsi="IRNazanin" w:eastAsia="IRNazanin" w:cs="IRNazanin"/>
          <w:lang w:bidi="fa-IR"/>
          <w:color w:val="111111"/>
          <w:sz w:val="28"/>
          <w:szCs w:val="28"/>
          <w:rtl/>
        </w:rPr>
        <w:t xml:space="preserve">آغاز: برابر؛ انجام: هیچ عذری نمی باید خواست ... و الحمدلله رب العالمين. خط: نسخ، بی کا، تا: جمادی الاول کاغذ: نخودی، جلد: تیماج الفبائی: ۴۴۹]</w:t>
      </w:r>
    </w:p>
    <w:p>
      <w:pPr>
        <w:pStyle w:val="BookText"/>
      </w:pPr>
      <w:r>
        <w:rPr>
          <w:rFonts w:ascii="IRNazanin" w:hAnsi="IRNazanin" w:eastAsia="IRNazanin" w:cs="IRNazanin"/>
          <w:lang w:bidi="fa-IR"/>
          <w:color w:val="111111"/>
          <w:sz w:val="28"/>
          <w:szCs w:val="28"/>
          <w:rtl/>
        </w:rPr>
        <w:t xml:space="preserve">۱۹. تهران، دانشگاه، شماره نسخه: ۳۸۴۳/۱ -ف</w:t>
      </w:r>
    </w:p>
    <w:p>
      <w:pPr>
        <w:pStyle w:val="BookText"/>
      </w:pPr>
      <w:r>
        <w:rPr>
          <w:rFonts w:ascii="IRNazanin" w:hAnsi="IRNazanin" w:eastAsia="IRNazanin" w:cs="IRNazanin"/>
          <w:lang w:bidi="fa-IR"/>
          <w:color w:val="111111"/>
          <w:sz w:val="28"/>
          <w:szCs w:val="28"/>
          <w:rtl/>
        </w:rPr>
        <w:t xml:space="preserve">با تاریخ تالیف «در شهور سنه ... و ست و ثمانمائه»؛ خط: نسخ، بی کا، بی تا؛ از روی نسخه اصل نوشته در روز دوشنبه ۲۷ ذیحجه ۸۳۷ فیلمها ف: ۲-۲۵۶]</w:t>
      </w:r>
    </w:p>
    <w:p>
      <w:pPr>
        <w:pStyle w:val="Heading3"/>
      </w:pPr>
      <w:bookmarkStart w:id="2533" w:name="_Toc1793"/>
      <w:r>
        <w:t>•تاریخ قم / تاریخ ایران / فارسی</w:t>
      </w:r>
      <w:bookmarkEnd w:id="2533"/>
    </w:p>
    <w:p>
      <w:pPr>
        <w:pStyle w:val="BookText"/>
      </w:pPr>
      <w:r>
        <w:rPr>
          <w:rFonts w:ascii="Times New Roman" w:hAnsi="Times New Roman" w:eastAsia="Times New Roman" w:cs="Times New Roman"/>
          <w:lang w:val="en-US" w:bidi="en-US"/>
          <w:color w:val="111111"/>
          <w:sz w:val="28"/>
          <w:szCs w:val="28"/>
          <w:rtl/>
        </w:rPr>
        <w:t xml:space="preserve">tārīx-e qom</w:t>
      </w:r>
    </w:p>
    <w:p>
      <w:pPr>
        <w:pStyle w:val="BookText"/>
      </w:pPr>
      <w:r>
        <w:rPr>
          <w:rFonts w:ascii="IRNazanin" w:hAnsi="IRNazanin" w:eastAsia="IRNazanin" w:cs="IRNazanin"/>
          <w:lang w:bidi="fa-IR"/>
          <w:color w:val="111111"/>
          <w:sz w:val="28"/>
          <w:szCs w:val="28"/>
          <w:rtl/>
        </w:rPr>
        <w:t xml:space="preserve">قراچه داغی، محمد علی بن احمد، - ۱۳۱۰ قمری</w:t>
      </w:r>
    </w:p>
    <w:p>
      <w:pPr>
        <w:pStyle w:val="BookText"/>
      </w:pPr>
      <w:r>
        <w:rPr>
          <w:rFonts w:ascii="Times New Roman" w:hAnsi="Times New Roman" w:eastAsia="Times New Roman" w:cs="Times New Roman"/>
          <w:lang w:val="en-US" w:bidi="en-US"/>
          <w:color w:val="111111"/>
          <w:sz w:val="28"/>
          <w:szCs w:val="28"/>
          <w:rtl/>
        </w:rPr>
        <w:t xml:space="preserve">qarāče-dāqī, mohammad ‘alī ebn-e ahmad (-1893)</w:t>
      </w:r>
    </w:p>
    <w:p>
      <w:pPr>
        <w:pStyle w:val="BookText"/>
      </w:pPr>
      <w:r>
        <w:rPr>
          <w:rFonts w:ascii="IRNazanin" w:hAnsi="IRNazanin" w:eastAsia="IRNazanin" w:cs="IRNazanin"/>
          <w:lang w:bidi="fa-IR"/>
          <w:color w:val="111111"/>
          <w:sz w:val="28"/>
          <w:szCs w:val="28"/>
          <w:rtl/>
        </w:rPr>
        <w:t xml:space="preserve">تاریخ تأليف: شعبان ۱۲۸۴ق تاریخ مختصر قم و روایت هایی که در فضیلت این شهر آمده، در دو «مقام»: مقام ۱. بیان مجملی از کیفیت بنای قم؛ مقام ۲. بعضی اخبار وارده در فضیلت قم آغاز: الحمدلله رب العالمين ... و بعد محتاج لطف باری محمد على بن احمد القراجه داغي الانصاری ... بر الواح قلوب صافيه و صحايف خواطر زاكيه اخوان صفا و خلان وفا مینگارد که چون حکمت بالغه خالق عالم از تكوين آدم و بنی آدم مقتضی این شده که از جهت مصالح كثيره انجام: بعد از مراجعت از تبریز در همان سال که درخواست شده بود مشرف زیارت مکه معظمه و مدینه منوره شده و برگشتیم و الحمدلله أولا وآخرة چاپ: به کوشش محمد باقر بدوی، میراث اسلامی ایران، دفتر دهم، صص ۴۹۹- ۵۲۰، ۱۳۷۸ش،</w:t>
      </w:r>
    </w:p>
    <w:p>
      <w:pPr>
        <w:pStyle w:val="BookText"/>
      </w:pPr>
      <w:r>
        <w:rPr>
          <w:rFonts w:ascii="IRNazanin" w:hAnsi="IRNazanin" w:eastAsia="IRNazanin" w:cs="IRNazanin"/>
          <w:lang w:bidi="fa-IR"/>
          <w:color w:val="111111"/>
          <w:sz w:val="28"/>
          <w:szCs w:val="28"/>
          <w:rtl/>
        </w:rPr>
        <w:t xml:space="preserve">[دنا ۷۳۰/۲ ]</w:t>
      </w:r>
    </w:p>
    <w:p>
      <w:pPr>
        <w:pStyle w:val="BookText"/>
      </w:pPr>
      <w:r>
        <w:rPr>
          <w:rFonts w:ascii="IRNazanin" w:hAnsi="IRNazanin" w:eastAsia="IRNazanin" w:cs="IRNazanin"/>
          <w:lang w:bidi="fa-IR"/>
          <w:color w:val="111111"/>
          <w:sz w:val="28"/>
          <w:szCs w:val="28"/>
          <w:rtl/>
        </w:rPr>
        <w:t xml:space="preserve">۱. قم؛ مرعشی؛ شماره نسخه:۴۸۹۸/۳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کاتب = مؤلف، تا: قرن ۱۲؛ جلد: تیماج قهوه ای، ۱۷گ (۷۳پ-۸۹پ)،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۱۳-۷۳]</w:t>
      </w:r>
    </w:p>
    <w:p>
      <w:pPr>
        <w:pStyle w:val="BookText"/>
      </w:pPr>
      <w:r>
        <w:rPr>
          <w:rFonts w:ascii="IRNazanin" w:hAnsi="IRNazanin" w:eastAsia="IRNazanin" w:cs="IRNazanin"/>
          <w:lang w:bidi="fa-IR"/>
          <w:color w:val="111111"/>
          <w:sz w:val="28"/>
          <w:szCs w:val="28"/>
          <w:rtl/>
        </w:rPr>
        <w:t xml:space="preserve">۲. قم: مرکز احیاء؛ شماره نسخه: ۳۵۷/۴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ذیحجه ۱۲۸۹ق، جلد: تیماج قهوه ای، ۱۹گ (۳۹پ -۵۷ر)،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سم [ف: ۱-۴۶۷]</w:t>
      </w:r>
    </w:p>
    <w:p>
      <w:pPr>
        <w:pStyle w:val="BookText"/>
      </w:pPr>
      <w:r>
        <w:rPr>
          <w:rFonts w:ascii="IRNazanin" w:hAnsi="IRNazanin" w:eastAsia="IRNazanin" w:cs="IRNazanin"/>
          <w:lang w:bidi="fa-IR"/>
          <w:color w:val="111111"/>
          <w:sz w:val="28"/>
          <w:szCs w:val="28"/>
          <w:rtl/>
        </w:rPr>
        <w:t xml:space="preserve">←تاریخ قندهار← لطایف الاخبار</w:t>
      </w:r>
    </w:p>
    <w:p>
      <w:pPr>
        <w:pStyle w:val="Heading3"/>
      </w:pPr>
      <w:bookmarkStart w:id="2534" w:name="_Toc1794"/>
      <w:r>
        <w:t>•تاریخ قوامی / تاریخ ایران / فارسی</w:t>
      </w:r>
      <w:bookmarkEnd w:id="2534"/>
    </w:p>
    <w:p>
      <w:pPr>
        <w:pStyle w:val="BookText"/>
      </w:pPr>
      <w:r>
        <w:rPr>
          <w:rFonts w:ascii="Times New Roman" w:hAnsi="Times New Roman" w:eastAsia="Times New Roman" w:cs="Times New Roman"/>
          <w:lang w:val="en-US" w:bidi="en-US"/>
          <w:color w:val="111111"/>
          <w:sz w:val="28"/>
          <w:szCs w:val="28"/>
          <w:rtl/>
        </w:rPr>
        <w:t xml:space="preserve">tārīx-e qavāmī</w:t>
      </w:r>
    </w:p>
    <w:p>
      <w:pPr>
        <w:pStyle w:val="BookText"/>
      </w:pPr>
      <w:r>
        <w:rPr>
          <w:rFonts w:ascii="IRNazanin" w:hAnsi="IRNazanin" w:eastAsia="IRNazanin" w:cs="IRNazanin"/>
          <w:lang w:bidi="fa-IR"/>
          <w:color w:val="111111"/>
          <w:sz w:val="28"/>
          <w:szCs w:val="28"/>
          <w:rtl/>
        </w:rPr>
        <w:t xml:space="preserve">قوام شیرازی، اسدالله بن ابراهیم، ۱۱۹۷-۱۲۸۰ ؟ قمری</w:t>
      </w:r>
    </w:p>
    <w:p>
      <w:pPr>
        <w:pStyle w:val="BookText"/>
      </w:pPr>
      <w:r>
        <w:rPr>
          <w:rFonts w:ascii="Times New Roman" w:hAnsi="Times New Roman" w:eastAsia="Times New Roman" w:cs="Times New Roman"/>
          <w:lang w:val="en-US" w:bidi="en-US"/>
          <w:color w:val="111111"/>
          <w:sz w:val="28"/>
          <w:szCs w:val="28"/>
          <w:rtl/>
        </w:rPr>
        <w:t xml:space="preserve">qavām-e šīrāzī, asad-ol-lāh ebn-e ebrāhīm (1783-1864)</w:t>
      </w:r>
    </w:p>
    <w:p>
      <w:pPr>
        <w:pStyle w:val="BookText"/>
      </w:pPr>
      <w:r>
        <w:rPr>
          <w:rFonts w:ascii="IRNazanin" w:hAnsi="IRNazanin" w:eastAsia="IRNazanin" w:cs="IRNazanin"/>
          <w:lang w:bidi="fa-IR"/>
          <w:color w:val="111111"/>
          <w:sz w:val="28"/>
          <w:szCs w:val="28"/>
          <w:rtl/>
        </w:rPr>
        <w:t xml:space="preserve">اهدا به: فتحعلی شاه قاجار (۱۲۱۲-۱۲۵۰ق) تاریخ تأليف: ذیحجه ۱۲۳۹ تا ۱۲۶۳ق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540" w:name="pg20363_209857"/>
    <w:bookmarkEnd w:id="540"/>
    <w:p>
      <w:pPr>
        <w:pStyle w:val="BookText"/>
      </w:pPr>
      <w:r>
        <w:rPr>
          <w:rFonts w:ascii="IRNazanin" w:hAnsi="IRNazanin" w:eastAsia="IRNazanin" w:cs="IRNazanin"/>
          <w:lang w:bidi="fa-IR"/>
          <w:color w:val="111111"/>
          <w:sz w:val="28"/>
          <w:szCs w:val="28"/>
          <w:rtl/>
        </w:rPr>
        <w:t xml:space="preserve">مؤلف به دستور شاه در ۱۲۱۵ ق کور شده و این کتاب را در زمان نابینایی تألیف کرده است. سرگذشت خانواده قوام شیرازی است و در آن از «بزم غریب» که سفرنامه مکه اوست و در ۱۲۲۱ق نگاشته یاد کرده است. در ۴ «باب»: ۱. کیفیت نسب؛ ۲. از ولادت تا اوان مغضوب شدن؛ ۳. در انحراف مزاج مبارک سلطانی؛ ۴. تفصيل احوال بعد از سیاست. یک دوره تاریخ ایران از پیشدادیان تا یزدگرد پسر شهریار واپسین ساسانی نیز هست.</w:t>
      </w:r>
    </w:p>
    <w:p>
      <w:pPr>
        <w:pStyle w:val="BookText"/>
      </w:pPr>
      <w:r>
        <w:rPr>
          <w:rFonts w:ascii="IRNazanin" w:hAnsi="IRNazanin" w:eastAsia="IRNazanin" w:cs="IRNazanin"/>
          <w:lang w:bidi="fa-IR"/>
          <w:color w:val="111111"/>
          <w:sz w:val="28"/>
          <w:szCs w:val="28"/>
          <w:rtl/>
        </w:rPr>
        <w:t xml:space="preserve">احمد منزوی) آغاز: بسمله. حمدله ... اما بعد چون چندی بود که بخاطر فاتر ... این بنده ... چنین می آمد که مجملی از ... کیفیت احوال خود ... مرقوم قلم شکسته رقم ... دارد. انجام: و چشم از بهانه گویی و عیب جویی پوشند. مصرع: قلم اینجا رسید سر بشکست والسلام على اشرف الانبياء و سایر ائمة الهدی و رحمة الله و بركاته. (در پایان قصیده ایست از داوری در رثای مؤلف). چاپ: به کوشش احمد شعبانی، مرز پر گهر، شیراز، ۱۳۷۲: ص ۳۶۹-۴۴۴.</w:t>
      </w:r>
    </w:p>
    <w:p>
      <w:pPr>
        <w:pStyle w:val="BookText"/>
      </w:pPr>
      <w:r>
        <w:rPr>
          <w:rFonts w:ascii="IRNazanin" w:hAnsi="IRNazanin" w:eastAsia="IRNazanin" w:cs="IRNazanin"/>
          <w:lang w:bidi="fa-IR"/>
          <w:color w:val="111111"/>
          <w:sz w:val="28"/>
          <w:szCs w:val="28"/>
          <w:rtl/>
        </w:rPr>
        <w:t xml:space="preserve">[دنا ۷۳۰/۲ ؛ فهرستواره منزوی ۸۹۴/۲ ]</w:t>
      </w:r>
    </w:p>
    <w:p>
      <w:pPr>
        <w:pStyle w:val="BookText"/>
      </w:pPr>
      <w:r>
        <w:rPr>
          <w:rFonts w:ascii="IRNazanin" w:hAnsi="IRNazanin" w:eastAsia="IRNazanin" w:cs="IRNazanin"/>
          <w:lang w:bidi="fa-IR"/>
          <w:color w:val="111111"/>
          <w:sz w:val="28"/>
          <w:szCs w:val="28"/>
          <w:rtl/>
        </w:rPr>
        <w:t xml:space="preserve">۱. تهران؛ مجلس؛ شماره نسخه:۸۹۹۹</w:t>
      </w:r>
    </w:p>
    <w:p>
      <w:pPr>
        <w:pStyle w:val="BookText"/>
      </w:pPr>
      <w:r>
        <w:rPr>
          <w:rFonts w:ascii="IRNazanin" w:hAnsi="IRNazanin" w:eastAsia="IRNazanin" w:cs="IRNazanin"/>
          <w:lang w:bidi="fa-IR"/>
          <w:color w:val="111111"/>
          <w:sz w:val="28"/>
          <w:szCs w:val="28"/>
          <w:rtl/>
        </w:rPr>
        <w:t xml:space="preserve">آغاز: شدن از سلطان جهانیان و قبله عالم و عالمیان باب سیم در انحراف مزاج مبارک سلطانی و اثبات حقیقت؛ انجام: قائده از مطالبه این ابواب و ثمره از بوستان این کتاب اقتطاب (كذا) نماید لاجل العذر هذا ... موعظة للناظرين و ما توفیقی الا بالله الملك المبين و الصلواة و السلام على اشرف الانبياء و المرسلين و على آله الهادين المهدين. نسخه مقدار زیادی افتادگی دارد: مقدمه کتاب (اولین برگی که در نسخه دیده می شود نیم صفحه آخر مقدمه و یک صفحه و نیم از آغاز باب اول را دارد) پس از برگ اول هم اوراق زیادی افتاده است و ادامه باب اول در نسخه نیست. آغاز باب دوم و بخش هایی از آن هم افتاده است. از برگ ۱۵ر به بعد باب سیم آغاز می شود.</w:t>
      </w:r>
    </w:p>
    <w:p>
      <w:pPr>
        <w:pStyle w:val="BookText"/>
      </w:pPr>
      <w:r>
        <w:rPr>
          <w:rFonts w:ascii="IRNazanin" w:hAnsi="IRNazanin" w:eastAsia="IRNazanin" w:cs="IRNazanin"/>
          <w:lang w:bidi="fa-IR"/>
          <w:color w:val="111111"/>
          <w:sz w:val="28"/>
          <w:szCs w:val="28"/>
          <w:rtl/>
        </w:rPr>
        <w:t xml:space="preserve">از برگ ۲۴پ باب چهارم که از آن جا تا پایان کتاب نسخه نقص ندارد؛ خط: نستعلیق، بی کا، تا: قرن ۱۳؛ افتادگی: آغاز؛ محشی، رکابه دار؛ خریداری از صادق عالم شناس؛ کاغذ: فرنگی نخودی و فستقی و شکری آهار مهره، جلد: مخمل صورتی، ۱۰۵گ، ۱۱ سطر (</w:t>
      </w:r>
    </w:p>
    <w:p>
      <w:pPr>
        <w:pStyle w:val="BookText"/>
      </w:pPr>
      <w:r>
        <w:rPr>
          <w:rFonts w:ascii="IRNazanin" w:hAnsi="IRNazanin" w:eastAsia="IRNazanin" w:cs="IRNazanin"/>
          <w:lang w:bidi="fa-IR"/>
          <w:color w:val="111111"/>
          <w:sz w:val="28"/>
          <w:szCs w:val="28"/>
          <w:rtl/>
        </w:rPr>
        <w:t xml:space="preserve">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[ف: ۲۹/۱ -۵۸۴]</w:t>
      </w:r>
    </w:p>
    <w:p>
      <w:pPr>
        <w:pStyle w:val="BookText"/>
      </w:pPr>
      <w:r>
        <w:rPr>
          <w:rFonts w:ascii="IRNazanin" w:hAnsi="IRNazanin" w:eastAsia="IRNazanin" w:cs="IRNazanin"/>
          <w:lang w:bidi="fa-IR"/>
          <w:color w:val="111111"/>
          <w:sz w:val="28"/>
          <w:szCs w:val="28"/>
          <w:rtl/>
        </w:rPr>
        <w:t xml:space="preserve">۲. تهران؛ دانشگاه؛ شماره نسخه:۳۰۱۳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مجدول، با سرلوح زرین؛ کاغذ: فرنگی، جلد: تیماج مشکی</w:t>
      </w:r>
    </w:p>
    <w:p>
      <w:pPr>
        <w:pStyle w:val="BookText"/>
      </w:pPr>
      <w:r>
        <w:rPr>
          <w:rFonts w:ascii="IRNazanin" w:hAnsi="IRNazanin" w:eastAsia="IRNazanin" w:cs="IRNazanin"/>
          <w:lang w:bidi="fa-IR"/>
          <w:color w:val="111111"/>
          <w:sz w:val="28"/>
          <w:szCs w:val="28"/>
          <w:rtl/>
        </w:rPr>
        <w:t xml:space="preserve">مقوایی، ۷۸گ، ۱۴ سطر (۷/۵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۱۳/۵)، اندازه: ۱۳لاسم [ف: ۱۰-۱۹۵۲]</w:t>
      </w:r>
    </w:p>
    <w:p>
      <w:pPr>
        <w:pStyle w:val="BookText"/>
      </w:pPr>
      <w:r>
        <w:rPr>
          <w:rFonts w:ascii="IRNazanin" w:hAnsi="IRNazanin" w:eastAsia="IRNazanin" w:cs="IRNazanin"/>
          <w:lang w:bidi="fa-IR"/>
          <w:color w:val="111111"/>
          <w:sz w:val="28"/>
          <w:szCs w:val="28"/>
          <w:rtl/>
        </w:rPr>
        <w:t xml:space="preserve">تهران؛ دانشگاه؛ شماره نسخه:۳۷۹۴-ف</w:t>
      </w:r>
    </w:p>
    <w:p>
      <w:pPr>
        <w:pStyle w:val="BookText"/>
      </w:pPr>
      <w:r>
        <w:rPr>
          <w:rFonts w:ascii="Amiri" w:hAnsi="Amiri" w:eastAsia="Amiri" w:cs="Amiri"/>
          <w:lang w:bidi="ar-SA"/>
          <w:color w:val="111111"/>
          <w:sz w:val="28"/>
          <w:szCs w:val="28"/>
          <w:rtl/>
        </w:rPr>
        <w:t xml:space="preserve">نسخه اصل: همان نسخه بالا [فيلمها ف: ۲-۲۴۹]</w:t>
      </w:r>
    </w:p>
    <w:p>
      <w:pPr>
        <w:pStyle w:val="BookText"/>
      </w:pPr>
      <w:r>
        <w:rPr>
          <w:rFonts w:ascii="IRNazanin" w:hAnsi="IRNazanin" w:eastAsia="IRNazanin" w:cs="IRNazanin"/>
          <w:lang w:bidi="fa-IR"/>
          <w:color w:val="111111"/>
          <w:sz w:val="28"/>
          <w:szCs w:val="28"/>
          <w:rtl/>
        </w:rPr>
        <w:t xml:space="preserve">←تاریخ قیاصره ← تاریخ دولت روم</w:t>
      </w:r>
    </w:p>
    <w:p>
      <w:pPr>
        <w:pStyle w:val="Heading3"/>
      </w:pPr>
      <w:bookmarkStart w:id="2535" w:name="_Toc1795"/>
      <w:r>
        <w:t>• تاریخ قیاصره = کتاب قیاصره ناصره همایونی  /تاریخ جهان / فارسی</w:t>
      </w:r>
      <w:bookmarkEnd w:id="2535"/>
    </w:p>
    <w:p>
      <w:pPr>
        <w:pStyle w:val="BookText"/>
      </w:pPr>
      <w:r>
        <w:rPr>
          <w:rFonts w:ascii="Times New Roman" w:hAnsi="Times New Roman" w:eastAsia="Times New Roman" w:cs="Times New Roman"/>
          <w:lang w:val="en-US" w:bidi="en-US"/>
          <w:color w:val="111111"/>
          <w:sz w:val="28"/>
          <w:szCs w:val="28"/>
          <w:rtl/>
        </w:rPr>
        <w:t xml:space="preserve">qayāsere-ye nāsere-ye = k.-e tārīx-e qayāsere homāyānī</w:t>
      </w:r>
    </w:p>
    <w:p>
      <w:pPr>
        <w:pStyle w:val="BookText"/>
      </w:pPr>
      <w:r>
        <w:rPr>
          <w:rFonts w:ascii="IRNazanin" w:hAnsi="IRNazanin" w:eastAsia="IRNazanin" w:cs="IRNazanin"/>
          <w:lang w:bidi="fa-IR"/>
          <w:color w:val="111111"/>
          <w:sz w:val="28"/>
          <w:szCs w:val="28"/>
          <w:rtl/>
        </w:rPr>
        <w:t xml:space="preserve">نائینی منشی، علیخان بن محمد، ق۱۳ قمری</w:t>
      </w:r>
    </w:p>
    <w:p>
      <w:pPr>
        <w:pStyle w:val="BookText"/>
      </w:pPr>
      <w:r>
        <w:rPr>
          <w:rFonts w:ascii="Times New Roman" w:hAnsi="Times New Roman" w:eastAsia="Times New Roman" w:cs="Times New Roman"/>
          <w:lang w:val="en-US" w:bidi="en-US"/>
          <w:color w:val="111111"/>
          <w:sz w:val="28"/>
          <w:szCs w:val="28"/>
          <w:rtl/>
        </w:rPr>
        <w:t xml:space="preserve">nāʻīnī monšī, ‘alīxān ebn-e mohammad (-190)</w:t>
      </w:r>
    </w:p>
    <w:p>
      <w:pPr>
        <w:pStyle w:val="BookText"/>
      </w:pPr>
      <w:r>
        <w:rPr>
          <w:rFonts w:ascii="IRNazanin" w:hAnsi="IRNazanin" w:eastAsia="IRNazanin" w:cs="IRNazanin"/>
          <w:lang w:bidi="fa-IR"/>
          <w:color w:val="111111"/>
          <w:sz w:val="28"/>
          <w:szCs w:val="28"/>
          <w:rtl/>
        </w:rPr>
        <w:t xml:space="preserve">تاریخ تالیف: 1296ق تأليف مسيو سوء تن، ترجمه على منشی نائینی ابن حاج میرزا محمد مجتهد. تاریخ قیاصره دوازده گانه رومة الكبرى از مصنفات مسيو سوء تن مورخ لاتینی بوده و مسیو دلاهازب فرانسوی آن را به زبان فرانسه ترجمه نموده و سپس در دارالترجمه همایونی ترجمه تحت اللفظی به فارسی شده و چون ترجمه مزبور عاری از بلاغت بوده لذا محمد حسن خان صنیع الدوله در ذیحجه ۱۲۹۵ به امر ناصرالدین شاه قاجار تألیف و تحریر تاریخ مزبور را به عهده مترجم مذکور محول می نماید و على منشی پس از هفت ماه آن نسخه آشفته را با عباراتی سلیس و مضامینی بلیغ تلفيق داده و جلدین را به خط خود به اتمام رسانده و نام آن را «کتاب قیاصر ناصره همایونی» که به حساب ابجد مساوی با سال ۱۲۹۶ قمری است قرار داده است. (محمد على هدایت) نسخه های منزوی ۳۱۷/۵ ؛[ دنا ۷۳۰/۲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سلطنتی؛ شماره نسخه: ۸۷۲</w:t>
      </w:r>
    </w:p>
    <w:p>
      <w:pPr>
        <w:pStyle w:val="BookText"/>
      </w:pPr>
      <w:r>
        <w:rPr>
          <w:rFonts w:ascii="IRNazanin" w:hAnsi="IRNazanin" w:eastAsia="IRNazanin" w:cs="IRNazanin"/>
          <w:lang w:bidi="fa-IR"/>
          <w:color w:val="111111"/>
          <w:sz w:val="28"/>
          <w:szCs w:val="28"/>
          <w:rtl/>
        </w:rPr>
        <w:t xml:space="preserve">آغاز: بسم الله تعالی شانه -مبارک خطبه ایست در تهنیت قرن ثانی اعلیحضرت قدر قدرت ... ناصرالدین شاه قاجار که جناب حاج میرزا محمد مجتهد نائینی والد کاتب و مؤلف کتاب کمترین چاکر آستان شاهنشاه مالک رقاب على منشی پیرانه سر نگاشته ایفاد داشته اند تيمنا در صدر کتاب نگار می یابد تا بخاکپاشی اقدس ....</w:t>
      </w:r>
    </w:p>
    <w:p>
      <w:pPr>
        <w:pStyle w:val="BookText"/>
      </w:pPr>
      <w:r>
        <w:rPr>
          <w:rFonts w:ascii="IRNazanin" w:hAnsi="IRNazanin" w:eastAsia="IRNazanin" w:cs="IRNazanin"/>
          <w:lang w:bidi="fa-IR"/>
          <w:color w:val="111111"/>
          <w:sz w:val="28"/>
          <w:szCs w:val="28"/>
          <w:rtl/>
        </w:rPr>
        <w:t xml:space="preserve">بحليه قبول متجلی و موصول آید و بر ترقب آن پیر دعاگو فزاید؛ انجام: سلطنت قیصر و سپازین و دو پسرش تیتوس و دمیسین معادل سلطنت قیصر کلد و قیصر نرن سی و دو سال بحساب آمده (و الله العالم). تاریخ کتاب بنام مبارک اعليحضرت شاهنشاه مالك رقاب روح العالمين فداه ...... اسم کتاب مبارک ماده تاریخ بحساب آمد (کتاب قیاصره ناصره همیونی ) ۱۲۹۶ ... كتبه العبد الحقير المذنب ابن الحاج میرزا محمد مجتهد و ابن بنت المرحوم المغفور میرزا محمد المنشي على النائيني غفر ذنوبه و ستر عيوبه فيمحروسه دارالخلافة الناصره ۱۲۹۶. جلد دوم از تاریخ قیاصره روم است که مشتمل بر نه باب در شرح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541" w:name="pg20363_209858"/>
    <w:bookmarkEnd w:id="541"/>
    <w:p>
      <w:pPr>
        <w:pStyle w:val="BookText"/>
      </w:pPr>
      <w:r>
        <w:rPr>
          <w:rFonts w:ascii="IRNazanin" w:hAnsi="IRNazanin" w:eastAsia="IRNazanin" w:cs="IRNazanin"/>
          <w:lang w:bidi="fa-IR"/>
          <w:color w:val="111111"/>
          <w:sz w:val="28"/>
          <w:szCs w:val="28"/>
          <w:rtl/>
        </w:rPr>
        <w:t xml:space="preserve">احوال قیصر کایوس گالیگولا، قیصر کلد، قیصر نرن، گالبا، اتن، و تیلیوس، وسپارين، طیتوس، و باب نهم ذکر حالات قیصر دمیسین است؛ خط: نستعلیق، کاتب = مؤلف، تا: ۱۲۹۶ق؛ مجدول، کمند کشی زرین؛ مهر: «علی اکبر بن حسين الحسینی - اعتماد حضور»؛ کاغذ: فرنگی کبود رنگ لبه طلائی، جلد: مقوای روغنی بوم سبز چمنی با تزیینات بسیار، ۳۰۸ص، ۱۵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۵-۳۶۷]</w:t>
      </w:r>
    </w:p>
    <w:p>
      <w:pPr>
        <w:pStyle w:val="BookText"/>
      </w:pPr>
      <w:r>
        <w:rPr>
          <w:rFonts w:ascii="IRNazanin" w:hAnsi="IRNazanin" w:eastAsia="IRNazanin" w:cs="IRNazanin"/>
          <w:lang w:bidi="fa-IR"/>
          <w:color w:val="111111"/>
          <w:sz w:val="28"/>
          <w:szCs w:val="28"/>
          <w:rtl/>
        </w:rPr>
        <w:t xml:space="preserve">۲. اصفهان؛ صارم الدوله (كتابخانه فرهنگ اصفهان)؛ شماره نسخه:۸۸۶</w:t>
      </w:r>
    </w:p>
    <w:p>
      <w:pPr>
        <w:pStyle w:val="BookText"/>
      </w:pPr>
      <w:r>
        <w:rPr>
          <w:rFonts w:ascii="IRNazanin" w:hAnsi="IRNazanin" w:eastAsia="IRNazanin" w:cs="IRNazanin"/>
          <w:lang w:bidi="fa-IR"/>
          <w:color w:val="111111"/>
          <w:sz w:val="28"/>
          <w:szCs w:val="28"/>
          <w:rtl/>
        </w:rPr>
        <w:t xml:space="preserve">آغاز: آغاز دیباچه: الحمدلله رب العالمين و الصلوة و السلام على خیر خلقه محمد و آله المعصومین سیما ابن عمه ... اما بعد چنین گوید احقر ... آغاز جلد اول که مشتمل بر چهار باب میباشد: باب اول در شرح احوال قیصر ژول ... فصل اول در ذکر مبادی حالات و تفصیل اختلالات امور و پریشانی اوضاع قیصر ژو، قیصر ژول شانزده ساله بود که پدرش ... آغاز جلد دوم که مشتمل بر نه باب است: باب اول در بقيه شرح احوال قیصر کایوس کالیگولاکه چهار فصل آن در جزو جلد اول مرقوم گردیده بود؛ انجام: انجام جلد اول: کمینه چاکر حضرت علی نائینی*** که کس چه او نبود سر شکسته در امثال ...</w:t>
      </w:r>
    </w:p>
    <w:p>
      <w:pPr>
        <w:pStyle w:val="BookText"/>
      </w:pPr>
      <w:r>
        <w:rPr>
          <w:rFonts w:ascii="IRNazanin" w:hAnsi="IRNazanin" w:eastAsia="IRNazanin" w:cs="IRNazanin"/>
          <w:lang w:bidi="fa-IR"/>
          <w:color w:val="111111"/>
          <w:sz w:val="28"/>
          <w:szCs w:val="28"/>
          <w:rtl/>
        </w:rPr>
        <w:t xml:space="preserve">انجام جلد دوم: بلکه ترجمه را در هر باب با اصل نسخه که بخط فرانسه نوشته شده مقابله کرده معلوم شد که مکتوبات مترجم در این باب با مرقومات مورخ مطابق اس</w:t>
      </w:r>
    </w:p>
    <w:p>
      <w:pPr>
        <w:pStyle w:val="BookText"/>
      </w:pPr>
      <w:r>
        <w:rPr>
          <w:rFonts w:ascii="IRNazanin" w:hAnsi="IRNazanin" w:eastAsia="IRNazanin" w:cs="IRNazanin"/>
          <w:lang w:bidi="fa-IR"/>
          <w:color w:val="111111"/>
          <w:sz w:val="28"/>
          <w:szCs w:val="28"/>
          <w:rtl/>
        </w:rPr>
        <w:t xml:space="preserve">خط: نستعلیق خوش، کاتب = مؤلف، تا: ۱۴ صفر ۱۲۹۷ق، جلد دوم در ليلة الرغائب ۱۲۹۷، ۱۴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[ف: ۲۷]</w:t>
      </w:r>
    </w:p>
    <w:p>
      <w:pPr>
        <w:pStyle w:val="BookText"/>
      </w:pPr>
      <w:r>
        <w:rPr>
          <w:rFonts w:ascii="IRNazanin" w:hAnsi="IRNazanin" w:eastAsia="IRNazanin" w:cs="IRNazanin"/>
          <w:lang w:bidi="fa-IR"/>
          <w:color w:val="111111"/>
          <w:sz w:val="28"/>
          <w:szCs w:val="28"/>
          <w:rtl/>
        </w:rPr>
        <w:t xml:space="preserve">٣. اصفهان؛ صارم الدوله (كتابخانه فرهنگ اصفهان)؛ شماره نسخه:۹۵۵</w:t>
      </w:r>
    </w:p>
    <w:p>
      <w:pPr>
        <w:pStyle w:val="BookText"/>
      </w:pPr>
      <w:r>
        <w:rPr>
          <w:rFonts w:ascii="IRNazanin" w:hAnsi="IRNazanin" w:eastAsia="IRNazanin" w:cs="IRNazanin"/>
          <w:lang w:bidi="fa-IR"/>
          <w:color w:val="111111"/>
          <w:sz w:val="28"/>
          <w:szCs w:val="28"/>
          <w:rtl/>
        </w:rPr>
        <w:t xml:space="preserve">آغاز: آغاز جلد اول: باب اول در شرح احوال قیصر ژول ... آغاز جلد دوم: باب اول در بقیه شرح احوال قیصر کالیگولا، انجام: انجام جلد اول: کمینه چاک حضرت علینائینی، که کسی چه او نبرد سرشکسته در امثال. انجام جلد دوم: معلوم شد که مکتوبات مترجم در این باب با مرقومات مورخ مطابق است والا مبادرت در اینگونه عبارات نمی نمود، والله العالم جلد ۱ و ۲. در خاتمه مترجم قصیده ای را در وصف ممدوح خویش سروده است؛ خط: نستعلیق خوش، بی کا، تا: ۱۲۹۷ق، ج اول در ماه صفر وج دوم در ليلة الرغائب؛ دارای دو سرلوح زیبا همراه با تذهیب، مجداول متداخل به نیلی و شنگرف و سبز و زر؛ ۶۶۴، ۱۵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۸۴]</w:t>
      </w:r>
    </w:p>
    <w:p>
      <w:pPr>
        <w:pStyle w:val="BookText"/>
      </w:pPr>
      <w:r>
        <w:rPr>
          <w:rFonts w:ascii="IRNazanin" w:hAnsi="IRNazanin" w:eastAsia="IRNazanin" w:cs="IRNazanin"/>
          <w:lang w:bidi="fa-IR"/>
          <w:color w:val="111111"/>
          <w:sz w:val="28"/>
          <w:szCs w:val="28"/>
          <w:rtl/>
        </w:rPr>
        <w:t xml:space="preserve">۴. تهران؛ ملک؛ شماره نسخه:۳۷۶۶</w:t>
      </w:r>
    </w:p>
    <w:p>
      <w:pPr>
        <w:pStyle w:val="BookText"/>
      </w:pPr>
      <w:r>
        <w:rPr>
          <w:rFonts w:ascii="IRNazanin" w:hAnsi="IRNazanin" w:eastAsia="IRNazanin" w:cs="IRNazanin"/>
          <w:lang w:bidi="fa-IR"/>
          <w:color w:val="111111"/>
          <w:sz w:val="28"/>
          <w:szCs w:val="28"/>
          <w:rtl/>
        </w:rPr>
        <w:t xml:space="preserve">جلد دوم تاریخ قیاصره در نه باب و ترجمه سال ۱۲۹۶ است؛ خط: نستعلیق، كا: عباس بن مترجم، تا: ۴ صفر ۱۳۰۲ق؛ کاغذ: کاغذ فرنگی آهار مهره، جلد: میشن زرد سیر، ۲۳۸ گ، ۱۱ سطر، اندازه: ۲۱/۸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۱۷/۲ سم [ف: ۲-۸۸]</w:t>
      </w:r>
    </w:p>
    <w:p>
      <w:pPr>
        <w:pStyle w:val="Heading3"/>
      </w:pPr>
      <w:bookmarkStart w:id="2536" w:name="_Toc1796"/>
      <w:r>
        <w:t>• تاریخ قیاصره / تاریخ جهان / فارسی</w:t>
      </w:r>
      <w:bookmarkEnd w:id="2536"/>
    </w:p>
    <w:p>
      <w:pPr>
        <w:pStyle w:val="BookText"/>
      </w:pPr>
      <w:r>
        <w:rPr>
          <w:rFonts w:ascii="Times New Roman" w:hAnsi="Times New Roman" w:eastAsia="Times New Roman" w:cs="Times New Roman"/>
          <w:lang w:val="en-US" w:bidi="en-US"/>
          <w:color w:val="111111"/>
          <w:sz w:val="28"/>
          <w:szCs w:val="28"/>
          <w:rtl/>
        </w:rPr>
        <w:t xml:space="preserve">tārīx-e qayāsere</w:t>
      </w:r>
    </w:p>
    <w:p>
      <w:pPr>
        <w:pStyle w:val="BookText"/>
      </w:pPr>
      <w:r>
        <w:rPr>
          <w:rFonts w:ascii="IRNazanin" w:hAnsi="IRNazanin" w:eastAsia="IRNazanin" w:cs="IRNazanin"/>
          <w:lang w:bidi="fa-IR"/>
          <w:color w:val="111111"/>
          <w:sz w:val="28"/>
          <w:szCs w:val="28"/>
          <w:rtl/>
        </w:rPr>
        <w:t xml:space="preserve">اعتماد السلطنه، محمد حسن بن علی، ۱۲۵۹-۱۳۱۳ قمری</w:t>
      </w:r>
    </w:p>
    <w:p>
      <w:pPr>
        <w:pStyle w:val="BookText"/>
      </w:pPr>
      <w:r>
        <w:rPr>
          <w:rFonts w:ascii="Times New Roman" w:hAnsi="Times New Roman" w:eastAsia="Times New Roman" w:cs="Times New Roman"/>
          <w:lang w:val="en-US" w:bidi="en-US"/>
          <w:color w:val="111111"/>
          <w:sz w:val="28"/>
          <w:szCs w:val="28"/>
          <w:rtl/>
        </w:rPr>
        <w:t xml:space="preserve">e'temād-os-saltane, mohammad hasan ebn-e “alī (1843-1896)</w:t>
      </w:r>
    </w:p>
    <w:p>
      <w:pPr>
        <w:pStyle w:val="BookText"/>
      </w:pPr>
      <w:r>
        <w:rPr>
          <w:rFonts w:ascii="IRNazanin" w:hAnsi="IRNazanin" w:eastAsia="IRNazanin" w:cs="IRNazanin"/>
          <w:lang w:bidi="fa-IR"/>
          <w:color w:val="111111"/>
          <w:sz w:val="28"/>
          <w:szCs w:val="28"/>
          <w:rtl/>
        </w:rPr>
        <w:t xml:space="preserve">ترجمه تاریخ قیاصره کشور روم ( ایتالیا ) است که در اصل به زبان لاتین بوده و سپس مسیو دلاهارپ به زبان فرانسه ترجمه کرد و محمد حسن خان صنیع الدوله رئیس دارالترجمه دستگاه ناصری به فارسی ترجمه نموده است که جلد اول آن مشتمل بر چهار «باب» و یک «مقدمه» در شرح احوال «ژول» قیصر روم و اکتاویوس و گالیکولا می باشد و در خاتمه قصیده ای است در مديح ناصرالدین شاه قاجار و ماده تاریخ قرن مبارک همایونی که به وسیله کاتب این نسخه سروده شده است.</w:t>
      </w:r>
    </w:p>
    <w:p>
      <w:pPr>
        <w:pStyle w:val="BookText"/>
      </w:pPr>
      <w:r>
        <w:rPr>
          <w:rFonts w:ascii="IRNazanin" w:hAnsi="IRNazanin" w:eastAsia="IRNazanin" w:cs="IRNazanin"/>
          <w:lang w:bidi="fa-IR"/>
          <w:color w:val="111111"/>
          <w:sz w:val="28"/>
          <w:szCs w:val="28"/>
          <w:rtl/>
        </w:rPr>
        <w:t xml:space="preserve">تهران؛ سلطنتی؛ شماره نسخه: ۸۷۱</w:t>
      </w:r>
    </w:p>
    <w:p>
      <w:pPr>
        <w:pStyle w:val="BookText"/>
      </w:pPr>
      <w:r>
        <w:rPr>
          <w:rFonts w:ascii="Amiri" w:hAnsi="Amiri" w:eastAsia="Amiri" w:cs="Amiri"/>
          <w:lang w:bidi="ar-SA"/>
          <w:color w:val="111111"/>
          <w:sz w:val="28"/>
          <w:szCs w:val="28"/>
          <w:rtl/>
        </w:rPr>
        <w:t xml:space="preserve">آغاز: بسمله الحمدلله رب العالمين و الصلوة على محمد و آله الطاهرين ......</w:t>
      </w:r>
    </w:p>
    <w:p>
      <w:pPr>
        <w:pStyle w:val="BookText"/>
      </w:pPr>
      <w:r>
        <w:rPr>
          <w:rFonts w:ascii="IRNazanin" w:hAnsi="IRNazanin" w:eastAsia="IRNazanin" w:cs="IRNazanin"/>
          <w:lang w:bidi="fa-IR"/>
          <w:color w:val="111111"/>
          <w:sz w:val="28"/>
          <w:szCs w:val="28"/>
          <w:rtl/>
        </w:rPr>
        <w:t xml:space="preserve">مقدمه ابتدای سلطنت رومه در شبه جریره ایطالیای حالیه بوده و این شبه جزیره را منقسم بسه قسمت نموده بودند قسمت شمالی که از رود (پ) و شعب آن مشروب و موسوم به (گالیای سیز آلپین) و مسکن طایفه گال بوده؛ انجام: فصل چهارم در خصوص مراتب قنسلی کایوس و بیان چگونگی حالات او در آن خصوص ... لمؤلفه الحقير و کاتبه الفقير اقل چاکران دولت عليه ... ابن الحاج میرزا محمد مجتهد و ابن بنت المرحوم المغفور میرزا محمد منشی نائيني الراحي على المنشی غفر الله .... بتاريخ يوم شنبه بیست و یکم شهر ربيع المولود روز اول هفته آخر سال خجسته مال پارس نیل سنه ۱۲۹۶ هجری. خط: نستعلیق، كا: على نائینی، تا: ۱۲۹۶ق؛ مجدول، کمند کشی زرین، یک سرلوح مذهب منقش ممتاز؛ کاغذ: فرنگی کبود رنگ لبه طلائی، جلد: مقوای روغنی بوم سبز با تزیینات، در میان ترنج وسط نوشته شده «جلد اول از کتاب قیاصره»، ۲۶۳، ۱۵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۵-۳۶۲]</w:t>
      </w:r>
    </w:p>
    <w:p>
      <w:pPr>
        <w:pStyle w:val="BookText"/>
      </w:pPr>
      <w:r>
        <w:rPr>
          <w:rFonts w:ascii="IRNazanin" w:hAnsi="IRNazanin" w:eastAsia="IRNazanin" w:cs="IRNazanin"/>
          <w:lang w:bidi="fa-IR"/>
          <w:color w:val="111111"/>
          <w:sz w:val="28"/>
          <w:szCs w:val="28"/>
          <w:rtl/>
        </w:rPr>
        <w:t xml:space="preserve">←تاریخ قیصر ← تاریخ دولت روم</w:t>
      </w:r>
    </w:p>
    <w:p>
      <w:pPr>
        <w:pStyle w:val="BookText"/>
      </w:pPr>
      <w:r>
        <w:rPr>
          <w:rFonts w:ascii="IRNazanin" w:hAnsi="IRNazanin" w:eastAsia="IRNazanin" w:cs="IRNazanin"/>
          <w:lang w:bidi="fa-IR"/>
          <w:color w:val="111111"/>
          <w:sz w:val="28"/>
          <w:szCs w:val="28"/>
          <w:rtl/>
        </w:rPr>
        <w:t xml:space="preserve">← تاریخ قیصر روم← قیصر نامه</w:t>
      </w:r>
    </w:p>
    <w:p>
      <w:pPr>
        <w:pStyle w:val="BookText"/>
      </w:pPr>
      <w:r>
        <w:rPr>
          <w:rFonts w:ascii="IRNazanin" w:hAnsi="IRNazanin" w:eastAsia="IRNazanin" w:cs="IRNazanin"/>
          <w:lang w:bidi="fa-IR"/>
          <w:color w:val="111111"/>
          <w:sz w:val="28"/>
          <w:szCs w:val="28"/>
          <w:rtl/>
        </w:rPr>
        <w:t xml:space="preserve">←تاریخ کاشان ← مرآة كاشان</w:t>
      </w:r>
    </w:p>
    <w:p>
      <w:pPr>
        <w:pStyle w:val="BookText"/>
      </w:pPr>
      <w:r>
        <w:rPr>
          <w:rFonts w:ascii="IRNazanin" w:hAnsi="IRNazanin" w:eastAsia="IRNazanin" w:cs="IRNazanin"/>
          <w:lang w:bidi="fa-IR"/>
          <w:color w:val="111111"/>
          <w:sz w:val="28"/>
          <w:szCs w:val="28"/>
          <w:rtl/>
        </w:rPr>
        <w:t xml:space="preserve">←تاریخ کاشان ← کاشانه دانش</w:t>
      </w:r>
    </w:p>
    <w:p>
      <w:pPr>
        <w:pStyle w:val="Heading3"/>
      </w:pPr>
      <w:bookmarkStart w:id="2537" w:name="_Toc1797"/>
      <w:r>
        <w:t>•تاریخ کاشغر (ترجمه) / تاریخ / فارسی</w:t>
      </w:r>
      <w:bookmarkEnd w:id="2537"/>
    </w:p>
    <w:p>
      <w:pPr>
        <w:pStyle w:val="BookText"/>
      </w:pPr>
      <w:r>
        <w:rPr>
          <w:rFonts w:ascii="Times New Roman" w:hAnsi="Times New Roman" w:eastAsia="Times New Roman" w:cs="Times New Roman"/>
          <w:lang w:val="en-US" w:bidi="en-US"/>
          <w:color w:val="111111"/>
          <w:sz w:val="28"/>
          <w:szCs w:val="28"/>
          <w:rtl/>
        </w:rPr>
        <w:t xml:space="preserve">tārīx-e kāšqar (t.)</w:t>
      </w:r>
    </w:p>
    <w:p>
      <w:pPr>
        <w:pStyle w:val="BookText"/>
      </w:pPr>
      <w:r>
        <w:rPr>
          <w:rFonts w:ascii="IRNazanin" w:hAnsi="IRNazanin" w:eastAsia="IRNazanin" w:cs="IRNazanin"/>
          <w:lang w:bidi="fa-IR"/>
          <w:color w:val="111111"/>
          <w:sz w:val="28"/>
          <w:szCs w:val="28"/>
          <w:rtl/>
        </w:rPr>
        <w:t xml:space="preserve">اسپناقچی پاشازاده، محمد بن محمد شریف، ق۱۴ قمری</w:t>
      </w:r>
    </w:p>
    <w:p>
      <w:pPr>
        <w:pStyle w:val="BookText"/>
      </w:pPr>
      <w:r>
        <w:rPr>
          <w:rFonts w:ascii="Times New Roman" w:hAnsi="Times New Roman" w:eastAsia="Times New Roman" w:cs="Times New Roman"/>
          <w:lang w:val="en-US" w:bidi="en-US"/>
          <w:color w:val="111111"/>
          <w:sz w:val="28"/>
          <w:szCs w:val="28"/>
          <w:rtl/>
        </w:rPr>
        <w:t xml:space="preserve">espenāqčī pāšāzāde, mohammad ebn-e mohammad šarīf (-20c)</w:t>
      </w:r>
    </w:p>
    <w:p>
      <w:pPr>
        <w:pStyle w:val="BookText"/>
      </w:pPr>
      <w:r>
        <w:rPr>
          <w:rFonts w:ascii="IRNazanin" w:hAnsi="IRNazanin" w:eastAsia="IRNazanin" w:cs="IRNazanin"/>
          <w:lang w:bidi="fa-IR"/>
          <w:color w:val="111111"/>
          <w:sz w:val="28"/>
          <w:szCs w:val="28"/>
          <w:rtl/>
        </w:rPr>
        <w:t xml:space="preserve">اهدا به: ناصر الدین شاه قاجار تاریخ تأليف: شعبان ۱۳۰۵ق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542" w:name="pg20363_209859"/>
    <w:bookmarkEnd w:id="542"/>
    <w:p>
      <w:pPr>
        <w:pStyle w:val="BookText"/>
      </w:pPr>
      <w:r>
        <w:rPr>
          <w:rFonts w:ascii="IRNazanin" w:hAnsi="IRNazanin" w:eastAsia="IRNazanin" w:cs="IRNazanin"/>
          <w:lang w:bidi="fa-IR"/>
          <w:color w:val="111111"/>
          <w:sz w:val="28"/>
          <w:szCs w:val="28"/>
          <w:rtl/>
        </w:rPr>
        <w:t xml:space="preserve">اصل از: محمد عاطف بیک؛ مترجم: محمد عارف معروف به « سپناقچی» ارضرومی منشی و مترجم لسان ترکی عثمانی در دارالترجمه مخصوصه شاهی به تصحیح میرزا محمد حسین اصفهانی متخلص به فروغی. این تاریخ مشتمل است بر احوال ولايات سبعه کاشغر از دوران قبل از اسلام تا زمان خود مؤلف که در کتابخانه ملت عثمانی کتابدار بوده است. این کتاب که بنا به نوشته مؤلف در سه جلد نگاشته شده است به زبان ترکی بوده و در زمان سلطنت ناصرالدین شاه قاجار در دارالتأليف و دارالترجمه وزارت مطبوعات دارالخلافه تهران به وسیله محمد عارف به زبان فارسی ترجمه گردیده است و مترجم خود اعتراف نموده که چون یک ترک زاده بوده است لذا ترجمه این تاریخ را از نظر تدقیق و تصحیح محمد حسین الاصفهانی متخلص به «فروغی» گذرانیده است. آغاز: فهرست جلد اول تاریخ کاشغر .. حمد بیحد و شکر بیعد سزاوار است بأن احد و صمد و لم يلد ولم يولد (جل جلاله و عم نواله و لا اله غيره) از کفو و همتا مبرا و از سهو و خطا معر است ... باید دانست که مورخین چین خطه کاشغر را چهار مملکت تقسیم کرده باین قسم که مملکت ختن را (يلتين) و مملکت یار کند را (چائوچو) و مملکت کاشغر را (سوله) و مملکت آقصورا (تیانشان) مینامند</w:t>
      </w:r>
    </w:p>
    <w:p>
      <w:pPr>
        <w:pStyle w:val="BookText"/>
      </w:pPr>
      <w:r>
        <w:rPr>
          <w:rFonts w:ascii="IRNazanin" w:hAnsi="IRNazanin" w:eastAsia="IRNazanin" w:cs="IRNazanin"/>
          <w:lang w:bidi="fa-IR"/>
          <w:color w:val="111111"/>
          <w:sz w:val="28"/>
          <w:szCs w:val="28"/>
          <w:rtl/>
        </w:rPr>
        <w:t xml:space="preserve">[فهرستواره منزوی ۸۹۵/۲ ؛ دنا ۷۳۱/۲ ]</w:t>
      </w:r>
    </w:p>
    <w:p>
      <w:pPr>
        <w:pStyle w:val="BookText"/>
      </w:pPr>
      <w:r>
        <w:rPr>
          <w:rFonts w:ascii="IRNazanin" w:hAnsi="IRNazanin" w:eastAsia="IRNazanin" w:cs="IRNazanin"/>
          <w:lang w:bidi="fa-IR"/>
          <w:color w:val="111111"/>
          <w:sz w:val="28"/>
          <w:szCs w:val="28"/>
          <w:rtl/>
        </w:rPr>
        <w:t xml:space="preserve">۱. تهران؛ سلطنتی؛ شماره نسخه:۲۲۹۳</w:t>
      </w:r>
    </w:p>
    <w:p>
      <w:pPr>
        <w:pStyle w:val="BookText"/>
      </w:pPr>
      <w:r>
        <w:rPr>
          <w:rFonts w:ascii="IRNazanin" w:hAnsi="IRNazanin" w:eastAsia="IRNazanin" w:cs="IRNazanin"/>
          <w:lang w:bidi="fa-IR"/>
          <w:color w:val="111111"/>
          <w:sz w:val="28"/>
          <w:szCs w:val="28"/>
          <w:rtl/>
        </w:rPr>
        <w:t xml:space="preserve">آغاز: برابر؛ انجام: علمای علم تاریخ هر قوم این کتاب را که موسوم به عنوان العبر) است بزبانهای مختلف ترجمه کرده و بانظار مدفقین راسانیده اند. انتهى خاتمه جلد اول. ترجمه جزو اول جلد اول تاریخ کاشغر بیاری خدای بی همتا بانتهی رسید ... العبد عارف.</w:t>
      </w:r>
    </w:p>
    <w:p>
      <w:pPr>
        <w:pStyle w:val="BookText"/>
      </w:pPr>
      <w:r>
        <w:rPr>
          <w:rFonts w:ascii="IRNazanin" w:hAnsi="IRNazanin" w:eastAsia="IRNazanin" w:cs="IRNazanin"/>
          <w:lang w:bidi="fa-IR"/>
          <w:color w:val="111111"/>
          <w:sz w:val="28"/>
          <w:szCs w:val="28"/>
          <w:rtl/>
        </w:rPr>
        <w:t xml:space="preserve">كتبه الحقير ..... میرزا رضا بن على المعروف بجراح ساوجی غفر الله له ولدالديه في دار الخلافة الناصري في اليوم الخامس و العشرين لسنه ست و ثلثمائه و الف من هجرة نبي الاشرف ۱۳۰۶. خط: نستعلیق، کا: میرزا رضا بن على معروف به جراح ساوجی تا: ۱۳۰۶ق؛ مجدول، مذهب، دارای چند سرلوح؛ مهر: اعتماد حضور، علی اکبر بن حسين الحسینی؛ کاغذ: فرنگی فلفل نمکی، جلد: مقوای روکش مخمل زنگاری رنگ، ۴۹۷ص، ۱۴ سطر،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سم [ف: ۵- ۳۷۰]</w:t>
      </w:r>
    </w:p>
    <w:p>
      <w:pPr>
        <w:pStyle w:val="BookText"/>
      </w:pPr>
      <w:r>
        <w:rPr>
          <w:rFonts w:ascii="IRNazanin" w:hAnsi="IRNazanin" w:eastAsia="IRNazanin" w:cs="IRNazanin"/>
          <w:lang w:bidi="fa-IR"/>
          <w:color w:val="111111"/>
          <w:sz w:val="28"/>
          <w:szCs w:val="28"/>
          <w:rtl/>
        </w:rPr>
        <w:t xml:space="preserve">٢. اصفهان؛ صارم الدوله (كتابخانه فرهنگ اصفهان، شماره نسخه: ۹۳۲</w:t>
      </w:r>
    </w:p>
    <w:p>
      <w:pPr>
        <w:pStyle w:val="BookText"/>
      </w:pPr>
      <w:r>
        <w:rPr>
          <w:rFonts w:ascii="IRNazanin" w:hAnsi="IRNazanin" w:eastAsia="IRNazanin" w:cs="IRNazanin"/>
          <w:lang w:bidi="fa-IR"/>
          <w:color w:val="111111"/>
          <w:sz w:val="28"/>
          <w:szCs w:val="28"/>
          <w:rtl/>
        </w:rPr>
        <w:t xml:space="preserve">آغاز: برابر؛ انجام: و علمای علم تاریخ هر قوم این کتابرا که موسوم به «عنوان العبر» است بزبانهای مختلف ترجمه کرده و بانظار مدققين رسانیده اند جزء اول از مجلد اول؛ خط: نستعلیق خوش، کا: محمد على آشتیانی (پیشخدمت منشی ظل السلطان)، تا: ذیقعده ۱۳۰۶ق، جان اصفهان، به امر ظل السلطان؛ ۵۱۸ص، ۱۲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w:t>
      </w:r>
    </w:p>
    <w:p>
      <w:pPr>
        <w:pStyle w:val="BookText"/>
      </w:pPr>
      <w:r>
        <w:rPr>
          <w:rFonts w:ascii="IRNazanin" w:hAnsi="IRNazanin" w:eastAsia="IRNazanin" w:cs="IRNazanin"/>
          <w:lang w:bidi="fa-IR"/>
          <w:color w:val="111111"/>
          <w:sz w:val="28"/>
          <w:szCs w:val="28"/>
          <w:rtl/>
        </w:rPr>
        <w:t xml:space="preserve">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۶۳]</w:t>
      </w:r>
    </w:p>
    <w:p>
      <w:pPr>
        <w:pStyle w:val="BookText"/>
      </w:pPr>
      <w:r>
        <w:rPr>
          <w:rFonts w:ascii="IRNazanin" w:hAnsi="IRNazanin" w:eastAsia="IRNazanin" w:cs="IRNazanin"/>
          <w:lang w:bidi="fa-IR"/>
          <w:color w:val="111111"/>
          <w:sz w:val="28"/>
          <w:szCs w:val="28"/>
          <w:rtl/>
        </w:rPr>
        <w:t xml:space="preserve">٣. اصفهان؛ صارم الدوله (كتابخانه فرهنگ اصفهان، شماره نسخه: ۹۳۱</w:t>
      </w:r>
    </w:p>
    <w:p>
      <w:pPr>
        <w:pStyle w:val="BookText"/>
      </w:pPr>
      <w:r>
        <w:rPr>
          <w:rFonts w:ascii="IRNazanin" w:hAnsi="IRNazanin" w:eastAsia="IRNazanin" w:cs="IRNazanin"/>
          <w:lang w:bidi="fa-IR"/>
          <w:color w:val="111111"/>
          <w:sz w:val="28"/>
          <w:szCs w:val="28"/>
          <w:rtl/>
        </w:rPr>
        <w:t xml:space="preserve">آغاز: (بعد ادای ما وجب علينا) چون ترجمه و تدوین (تاریخ کاشغر) من مؤلفات (محمد عاطف بیک)؛ انجام: چون مجلد ثانی جلد اول این کتابرا مؤلف در آخر این فصل بختام رسانیده بود فقیر نیز خط خاتمه بترجمه این مجلد کشید جزء دوم از مجلد اول؛ خط: نستعلیق، كا: محمد علی آشتیانی، تا: شوال ۱۳۰۷ ق، به امر ظل السلطان؛ ۲۰۴ص، ۱۲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سم [ف: ۶۲]</w:t>
      </w:r>
    </w:p>
    <w:p>
      <w:pPr>
        <w:pStyle w:val="BookText"/>
      </w:pPr>
      <w:r>
        <w:rPr>
          <w:rFonts w:ascii="IRNazanin" w:hAnsi="IRNazanin" w:eastAsia="IRNazanin" w:cs="IRNazanin"/>
          <w:lang w:bidi="fa-IR"/>
          <w:color w:val="111111"/>
          <w:sz w:val="28"/>
          <w:szCs w:val="28"/>
          <w:rtl/>
        </w:rPr>
        <w:t xml:space="preserve">۴. تهران؛ ملی؛ شماره نسخه: ۱۶۹۰</w:t>
      </w:r>
    </w:p>
    <w:p>
      <w:pPr>
        <w:pStyle w:val="BookText"/>
      </w:pPr>
      <w:r>
        <w:rPr>
          <w:rFonts w:ascii="IRNazanin" w:hAnsi="IRNazanin" w:eastAsia="IRNazanin" w:cs="IRNazanin"/>
          <w:lang w:bidi="fa-IR"/>
          <w:color w:val="111111"/>
          <w:sz w:val="28"/>
          <w:szCs w:val="28"/>
          <w:rtl/>
        </w:rPr>
        <w:t xml:space="preserve">آغاز: بعد ادای ما وجب علينا. چون ترجمه و تدوین (تاریخ کاشغر) من مؤلفات (محمد عاطف بیک)؛ انجام: ترجمه: چون مجلد ثانی جلد اول این کتاب را مؤلف در آخر بن فصل بختام رسانده بود فقیر نیز خط فاتحه ترجمه این کشید خط: نستعلیق، كا: میرزا رضا بن على الساوجی معروف به جراح، تا: ۱۳۰۷ق، جا؛ تهران؛ با سرلوح مذهب، مجدول؛ کاغذ: فرنگی، فلفل نمکی، جلد: مخمل بنفش با گل و بوته، ۱۹۷، ۱۴سطر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w:t>
      </w:r>
    </w:p>
    <w:p>
      <w:pPr>
        <w:pStyle w:val="BookText"/>
      </w:pPr>
      <w:r>
        <w:rPr>
          <w:rFonts w:ascii="IRNazanin" w:hAnsi="IRNazanin" w:eastAsia="IRNazanin" w:cs="IRNazanin"/>
          <w:lang w:bidi="fa-IR"/>
          <w:color w:val="111111"/>
          <w:sz w:val="28"/>
          <w:szCs w:val="28"/>
          <w:rtl/>
        </w:rPr>
        <w:t xml:space="preserve">سم [ف: ۴-۱۶۳]</w:t>
      </w:r>
    </w:p>
    <w:p>
      <w:pPr>
        <w:pStyle w:val="BookText"/>
      </w:pPr>
      <w:r>
        <w:rPr>
          <w:rFonts w:ascii="IRNazanin" w:hAnsi="IRNazanin" w:eastAsia="IRNazanin" w:cs="IRNazanin"/>
          <w:lang w:bidi="fa-IR"/>
          <w:color w:val="111111"/>
          <w:sz w:val="28"/>
          <w:szCs w:val="28"/>
          <w:rtl/>
        </w:rPr>
        <w:t xml:space="preserve">۵. تهران؛ مجلس؛ شماره نسخه: ۲۳۲</w:t>
      </w:r>
    </w:p>
    <w:p>
      <w:pPr>
        <w:pStyle w:val="BookText"/>
      </w:pPr>
      <w:r>
        <w:rPr>
          <w:rFonts w:ascii="IRNazanin" w:hAnsi="IRNazanin" w:eastAsia="IRNazanin" w:cs="IRNazanin"/>
          <w:lang w:bidi="fa-IR"/>
          <w:color w:val="111111"/>
          <w:sz w:val="28"/>
          <w:szCs w:val="28"/>
          <w:rtl/>
        </w:rPr>
        <w:t xml:space="preserve">آغاز: پس از مقدمه مختصر چنین شروع می شود: «انگاه که عطف نظر بمملکت بخارا مینمائیم میبینیم که هر چند این مملکت نزدیکتر بکاشغر بوده»</w:t>
      </w:r>
    </w:p>
    <w:p>
      <w:pPr>
        <w:pStyle w:val="BookText"/>
      </w:pPr>
      <w:r>
        <w:rPr>
          <w:rFonts w:ascii="IRNazanin" w:hAnsi="IRNazanin" w:eastAsia="IRNazanin" w:cs="IRNazanin"/>
          <w:lang w:bidi="fa-IR"/>
          <w:color w:val="111111"/>
          <w:sz w:val="28"/>
          <w:szCs w:val="28"/>
          <w:rtl/>
        </w:rPr>
        <w:t xml:space="preserve">جلد سوم؛ خط: نستعلیق، بی کا، تا: ۱۳۱۴ق؛ بیست صفحه از ثلث اخیر کتاب نانوشته؛ ۱۳۸، ۱۴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۳۰/۵سم [ف: ۱۳۰-۲]</w:t>
      </w:r>
    </w:p>
    <w:p>
      <w:pPr>
        <w:pStyle w:val="Heading3"/>
      </w:pPr>
      <w:bookmarkStart w:id="2538" w:name="_Toc1798"/>
      <w:r>
        <w:t>•تاریخ کامبج / تاریخ جهان / فارسی</w:t>
      </w:r>
      <w:bookmarkEnd w:id="2538"/>
    </w:p>
    <w:p>
      <w:pPr>
        <w:pStyle w:val="BookText"/>
      </w:pPr>
      <w:r>
        <w:rPr>
          <w:rFonts w:ascii="Times New Roman" w:hAnsi="Times New Roman" w:eastAsia="Times New Roman" w:cs="Times New Roman"/>
          <w:lang w:val="en-US" w:bidi="en-US"/>
          <w:color w:val="111111"/>
          <w:sz w:val="28"/>
          <w:szCs w:val="28"/>
          <w:rtl/>
        </w:rPr>
        <w:t xml:space="preserve">tārīx-e kāmboj</w:t>
      </w:r>
    </w:p>
    <w:p>
      <w:pPr>
        <w:pStyle w:val="BookText"/>
      </w:pPr>
      <w:r>
        <w:rPr>
          <w:rFonts w:ascii="IRNazanin" w:hAnsi="IRNazanin" w:eastAsia="IRNazanin" w:cs="IRNazanin"/>
          <w:lang w:bidi="fa-IR"/>
          <w:color w:val="111111"/>
          <w:sz w:val="28"/>
          <w:szCs w:val="28"/>
          <w:rtl/>
        </w:rPr>
        <w:t xml:space="preserve">تفرشی، زین العابدین، ق۱۳ قمری</w:t>
      </w:r>
    </w:p>
    <w:p>
      <w:pPr>
        <w:pStyle w:val="BookText"/>
      </w:pPr>
      <w:r>
        <w:rPr>
          <w:rFonts w:ascii="Times New Roman" w:hAnsi="Times New Roman" w:eastAsia="Times New Roman" w:cs="Times New Roman"/>
          <w:lang w:val="en-US" w:bidi="en-US"/>
          <w:color w:val="111111"/>
          <w:sz w:val="28"/>
          <w:szCs w:val="28"/>
          <w:rtl/>
        </w:rPr>
        <w:t xml:space="preserve">tafrešī, zayn-ol-‘ābedīn (-19c)</w:t>
      </w:r>
    </w:p>
    <w:p>
      <w:pPr>
        <w:pStyle w:val="BookText"/>
      </w:pPr>
      <w:r>
        <w:rPr>
          <w:rFonts w:ascii="IRNazanin" w:hAnsi="IRNazanin" w:eastAsia="IRNazanin" w:cs="IRNazanin"/>
          <w:lang w:bidi="fa-IR"/>
          <w:color w:val="111111"/>
          <w:sz w:val="28"/>
          <w:szCs w:val="28"/>
          <w:rtl/>
        </w:rPr>
        <w:t xml:space="preserve">در آن کامبج، از بلاد هند و چین، را وصف می کند و وصف آن به روزگاری است که کامبج یکی از مستعمرات فرانسه بوده است. مطالب آن در شش « فصل» است: 1. وضع جغرافیایی =جغرافیای (طبیعی)؛ ۲. معدنیات و فلزات؛ ۳. مذاهب و اعتقادات باطله؛ ۴. حکومت پادشاه و طرز اداره کشور؛ ۵. زبان و ادبیات و هیئت و نجوم؛ ۶. وحشیان سامر ویرها و اقوام دیگر.</w:t>
      </w:r>
    </w:p>
    <w:p>
      <w:pPr>
        <w:pStyle w:val="BookText"/>
      </w:pPr>
      <w:r>
        <w:rPr>
          <w:rFonts w:ascii="IRNazanin" w:hAnsi="IRNazanin" w:eastAsia="IRNazanin" w:cs="IRNazanin"/>
          <w:lang w:bidi="fa-IR"/>
          <w:color w:val="111111"/>
          <w:sz w:val="28"/>
          <w:szCs w:val="28"/>
          <w:rtl/>
        </w:rPr>
        <w:t xml:space="preserve">تهران؛ ملی؛ شماره نسخه:۱۵۹۸</w:t>
      </w:r>
    </w:p>
    <w:p>
      <w:pPr>
        <w:pStyle w:val="BookText"/>
      </w:pPr>
      <w:r>
        <w:rPr>
          <w:rFonts w:ascii="IRNazanin" w:hAnsi="IRNazanin" w:eastAsia="IRNazanin" w:cs="IRNazanin"/>
          <w:lang w:bidi="fa-IR"/>
          <w:color w:val="111111"/>
          <w:sz w:val="28"/>
          <w:szCs w:val="28"/>
          <w:rtl/>
        </w:rPr>
        <w:t xml:space="preserve">آغاز: بنظر ما می آید که باید در آنجا یک ... از اعتقادات براهمائی دید؛ انجام: بسمله، شرح احوالات مملکت کامیج که یکی از ممالک، چین خط: نستعلیق، بی کا، تا: قرن ۱۳ کاغذ: فرنگی (فلفل نمکی)، جلد: مخمل آبی با گل و بوته، ۳۶۰گ، ۱۶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543" w:name="pg20363_209860"/>
    <w:bookmarkEnd w:id="543"/>
    <w:p>
      <w:pPr>
        <w:pStyle w:val="BookText"/>
      </w:pPr>
      <w:r>
        <w:rPr>
          <w:rFonts w:ascii="IRNazanin" w:hAnsi="IRNazanin" w:eastAsia="IRNazanin" w:cs="IRNazanin"/>
          <w:lang w:bidi="fa-IR"/>
          <w:color w:val="111111"/>
          <w:sz w:val="28"/>
          <w:szCs w:val="28"/>
          <w:rtl/>
        </w:rPr>
        <w:t xml:space="preserve">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۳۵/۵سم [ف: ۴-۸۵]</w:t>
      </w:r>
    </w:p>
    <w:p>
      <w:pPr>
        <w:pStyle w:val="BookText"/>
      </w:pPr>
      <w:r>
        <w:rPr>
          <w:rFonts w:ascii="Amiri" w:hAnsi="Amiri" w:eastAsia="Amiri" w:cs="Amiri"/>
          <w:lang w:bidi="ar-SA"/>
          <w:color w:val="111111"/>
          <w:sz w:val="28"/>
          <w:szCs w:val="28"/>
          <w:rtl/>
        </w:rPr>
        <w:t xml:space="preserve">←تاريخ الكامل ← الكامل في التاريخ</w:t>
      </w:r>
    </w:p>
    <w:p>
      <w:pPr>
        <w:pStyle w:val="BookText"/>
      </w:pPr>
      <w:r>
        <w:rPr>
          <w:rFonts w:ascii="Amiri" w:hAnsi="Amiri" w:eastAsia="Amiri" w:cs="Amiri"/>
          <w:lang w:bidi="ar-SA"/>
          <w:color w:val="111111"/>
          <w:sz w:val="28"/>
          <w:szCs w:val="28"/>
          <w:rtl/>
        </w:rPr>
        <w:t xml:space="preserve">←التاريخ الكبير←الاعلام بتاريخ الاسلام</w:t>
      </w:r>
    </w:p>
    <w:p>
      <w:pPr>
        <w:pStyle w:val="Heading3"/>
      </w:pPr>
      <w:bookmarkStart w:id="2539" w:name="_Toc1799"/>
      <w:r>
        <w:t>•تاریخ کبیر جعفری / تاریخ / فارسی</w:t>
      </w:r>
      <w:bookmarkEnd w:id="2539"/>
    </w:p>
    <w:p>
      <w:pPr>
        <w:pStyle w:val="BookText"/>
      </w:pPr>
      <w:r>
        <w:rPr>
          <w:rFonts w:ascii="Times New Roman" w:hAnsi="Times New Roman" w:eastAsia="Times New Roman" w:cs="Times New Roman"/>
          <w:lang w:val="en-US" w:bidi="en-US"/>
          <w:color w:val="111111"/>
          <w:sz w:val="28"/>
          <w:szCs w:val="28"/>
          <w:rtl/>
        </w:rPr>
        <w:t xml:space="preserve">tārīx-e kabīr-e ja‘farī</w:t>
      </w:r>
    </w:p>
    <w:p>
      <w:pPr>
        <w:pStyle w:val="BookText"/>
      </w:pPr>
      <w:r>
        <w:rPr>
          <w:rFonts w:ascii="IRNazanin" w:hAnsi="IRNazanin" w:eastAsia="IRNazanin" w:cs="IRNazanin"/>
          <w:lang w:bidi="fa-IR"/>
          <w:color w:val="111111"/>
          <w:sz w:val="28"/>
          <w:szCs w:val="28"/>
          <w:rtl/>
        </w:rPr>
        <w:t xml:space="preserve">جعفری، جعفر بن محمد، ق ۹ قمری</w:t>
      </w:r>
    </w:p>
    <w:p>
      <w:pPr>
        <w:pStyle w:val="BookText"/>
      </w:pPr>
      <w:r>
        <w:rPr>
          <w:rFonts w:ascii="Times New Roman" w:hAnsi="Times New Roman" w:eastAsia="Times New Roman" w:cs="Times New Roman"/>
          <w:lang w:val="en-US" w:bidi="en-US"/>
          <w:color w:val="111111"/>
          <w:sz w:val="28"/>
          <w:szCs w:val="28"/>
          <w:rtl/>
        </w:rPr>
        <w:t xml:space="preserve">ja farī, ja‘far ebn-e mohammad (-15c)</w:t>
      </w:r>
    </w:p>
    <w:p>
      <w:pPr>
        <w:pStyle w:val="BookText"/>
      </w:pPr>
      <w:r>
        <w:rPr>
          <w:rFonts w:ascii="IRNazanin" w:hAnsi="IRNazanin" w:eastAsia="IRNazanin" w:cs="IRNazanin"/>
          <w:lang w:bidi="fa-IR"/>
          <w:color w:val="111111"/>
          <w:sz w:val="28"/>
          <w:szCs w:val="28"/>
          <w:rtl/>
        </w:rPr>
        <w:t xml:space="preserve">تاریخ تأليف: قرن ۹ تاریخ عمومی است از آغاز آفرینش تا روزگار امیر تیمور و کشور گشایی ها و فرزندان او تا سال ۸۴۵ق و سرگذشت مشایخ و فقیهان و قاریان و مفسران و فرزانگان و سرایندگان در شش «قسم»: ۱. شيوح و پیامبران از آدم تا نوح، ... ۶. تیمور و جانشینان او تا روز گار نگارش. (احمد منزوی)</w:t>
      </w:r>
    </w:p>
    <w:p>
      <w:pPr>
        <w:pStyle w:val="BookText"/>
      </w:pPr>
      <w:r>
        <w:rPr>
          <w:rFonts w:ascii="IRNazanin" w:hAnsi="IRNazanin" w:eastAsia="IRNazanin" w:cs="IRNazanin"/>
          <w:lang w:bidi="fa-IR"/>
          <w:color w:val="111111"/>
          <w:sz w:val="28"/>
          <w:szCs w:val="28"/>
          <w:rtl/>
        </w:rPr>
        <w:t xml:space="preserve">[دنا ۷۳۱/۲ ؛ استوری ۸۶/۱؛ بریگل ۳۵۱؛ نسخه های منزوی ۴۱۱۴؛ فرهنگی ایران زمین ۲/۶ و ۳؛ يغما ۷/۱۵؛ تاریخ یزد ۱۸۶؛ فهرستواره منزوی ۵۸۶/۱ ]</w:t>
      </w:r>
    </w:p>
    <w:p>
      <w:pPr>
        <w:pStyle w:val="BookText"/>
      </w:pPr>
      <w:r>
        <w:rPr>
          <w:rFonts w:ascii="IRNazanin" w:hAnsi="IRNazanin" w:eastAsia="IRNazanin" w:cs="IRNazanin"/>
          <w:lang w:bidi="fa-IR"/>
          <w:color w:val="111111"/>
          <w:sz w:val="28"/>
          <w:szCs w:val="28"/>
          <w:rtl/>
        </w:rPr>
        <w:t xml:space="preserve">تهران، دانشگاه؛ شماره نسخه:۴۷۷۵-ف</w:t>
      </w:r>
    </w:p>
    <w:p>
      <w:pPr>
        <w:pStyle w:val="BookText"/>
      </w:pPr>
      <w:r>
        <w:rPr>
          <w:rFonts w:ascii="IRNazanin" w:hAnsi="IRNazanin" w:eastAsia="IRNazanin" w:cs="IRNazanin"/>
          <w:lang w:bidi="fa-IR"/>
          <w:color w:val="111111"/>
          <w:sz w:val="28"/>
          <w:szCs w:val="28"/>
          <w:rtl/>
        </w:rPr>
        <w:t xml:space="preserve">کتابخانه عمومی لنینگراد ۲۰۱ تازه (فهرست کاستیگوا ص ۸۹) 20. </w:t>
      </w:r>
      <w:r>
        <w:rPr>
          <w:rFonts w:ascii="Times New Roman" w:hAnsi="Times New Roman" w:eastAsia="Times New Roman" w:cs="Times New Roman"/>
          <w:lang w:val="en-US" w:bidi="en-US"/>
          <w:color w:val="111111"/>
          <w:sz w:val="28"/>
          <w:szCs w:val="28"/>
          <w:rtl/>
        </w:rPr>
        <w:t xml:space="preserve">P.N.S </w:t>
      </w:r>
      <w:r>
        <w:rPr>
          <w:rFonts w:ascii="IRNazanin" w:hAnsi="IRNazanin" w:eastAsia="IRNazanin" w:cs="IRNazanin"/>
          <w:lang w:bidi="fa-IR"/>
          <w:color w:val="111111"/>
          <w:sz w:val="28"/>
          <w:szCs w:val="28"/>
          <w:rtl/>
        </w:rPr>
        <w:t xml:space="preserve">؛ بی کا، بی تا [فيلمها ف: ۳-۱۰۵] ۲۹ ش</w:t>
      </w:r>
    </w:p>
    <w:p>
      <w:pPr>
        <w:pStyle w:val="Heading3"/>
      </w:pPr>
      <w:bookmarkStart w:id="2540" w:name="_Toc1800"/>
      <w:r>
        <w:t>•تاریخ کتاب «سیر العارفین» / متفرقه / عربی</w:t>
      </w:r>
      <w:bookmarkEnd w:id="2540"/>
    </w:p>
    <w:p>
      <w:pPr>
        <w:pStyle w:val="BookText"/>
      </w:pPr>
      <w:r>
        <w:rPr>
          <w:rFonts w:ascii="Times New Roman" w:hAnsi="Times New Roman" w:eastAsia="Times New Roman" w:cs="Times New Roman"/>
          <w:lang w:val="en-US" w:bidi="en-US"/>
          <w:color w:val="111111"/>
          <w:sz w:val="28"/>
          <w:szCs w:val="28"/>
          <w:rtl/>
        </w:rPr>
        <w:t xml:space="preserve">tārīx-u k.-i «sayr-ul 'ārifīn»</w:t>
      </w:r>
    </w:p>
    <w:p>
      <w:pPr>
        <w:pStyle w:val="BookText"/>
      </w:pPr>
      <w:r>
        <w:rPr>
          <w:rFonts w:ascii="IRNazanin" w:hAnsi="IRNazanin" w:eastAsia="IRNazanin" w:cs="IRNazanin"/>
          <w:lang w:bidi="fa-IR"/>
          <w:color w:val="111111"/>
          <w:sz w:val="28"/>
          <w:szCs w:val="28"/>
          <w:rtl/>
        </w:rPr>
        <w:t xml:space="preserve">توضیح تاریخ پایان تأليف كتاب سير العارفین است که با الفاظ سدس اول و ثانی و عشر الاول و ثانی و مانند آن بیان شده و شبیه به معما است.</w:t>
      </w:r>
    </w:p>
    <w:p>
      <w:pPr>
        <w:pStyle w:val="BookText"/>
      </w:pPr>
      <w:r>
        <w:rPr>
          <w:rFonts w:ascii="IRNazanin" w:hAnsi="IRNazanin" w:eastAsia="IRNazanin" w:cs="IRNazanin"/>
          <w:lang w:bidi="fa-IR"/>
          <w:color w:val="111111"/>
          <w:sz w:val="28"/>
          <w:szCs w:val="28"/>
          <w:rtl/>
        </w:rPr>
        <w:t xml:space="preserve">تهران؛ مجلس؛ شماره نسخه: ۱۳۸۸۶/۳۶</w:t>
      </w:r>
    </w:p>
    <w:p>
      <w:pPr>
        <w:pStyle w:val="BookText"/>
      </w:pPr>
      <w:r>
        <w:rPr>
          <w:rFonts w:ascii="IRNazanin" w:hAnsi="IRNazanin" w:eastAsia="IRNazanin" w:cs="IRNazanin"/>
          <w:lang w:bidi="fa-IR"/>
          <w:color w:val="111111"/>
          <w:sz w:val="28"/>
          <w:szCs w:val="28"/>
          <w:rtl/>
        </w:rPr>
        <w:t xml:space="preserve">آغاز: قد وقع التاريخ من فراغ تحرير هذا الكتاب في النصف الأول من السدس السادس من العشر الثاني ... هذا كلامه و انی كنت فارغ البال من هذه التأويلات بی کا، تا: قرن ۱۱؛ جلد: مقوا عطف تیماج، ۱گ (۹۵) [ف: ۳۷-۴۷۴]</w:t>
      </w:r>
    </w:p>
    <w:p>
      <w:pPr>
        <w:pStyle w:val="BookText"/>
      </w:pPr>
      <w:r>
        <w:rPr>
          <w:rFonts w:ascii="IRNazanin" w:hAnsi="IRNazanin" w:eastAsia="IRNazanin" w:cs="IRNazanin"/>
          <w:lang w:bidi="fa-IR"/>
          <w:color w:val="111111"/>
          <w:sz w:val="28"/>
          <w:szCs w:val="28"/>
          <w:rtl/>
        </w:rPr>
        <w:t xml:space="preserve">← تاریخ کترینه← شرح حال کاترین دوم</w:t>
      </w:r>
    </w:p>
    <w:p>
      <w:pPr>
        <w:pStyle w:val="BookText"/>
      </w:pPr>
      <w:r>
        <w:rPr>
          <w:rFonts w:ascii="IRNazanin" w:hAnsi="IRNazanin" w:eastAsia="IRNazanin" w:cs="IRNazanin"/>
          <w:lang w:bidi="fa-IR"/>
          <w:color w:val="111111"/>
          <w:sz w:val="28"/>
          <w:szCs w:val="28"/>
          <w:rtl/>
        </w:rPr>
        <w:t xml:space="preserve">← تاریخ كثيره ← تاریخ راقم</w:t>
      </w:r>
    </w:p>
    <w:p>
      <w:pPr>
        <w:pStyle w:val="Heading3"/>
      </w:pPr>
      <w:bookmarkStart w:id="2541" w:name="_Toc1801"/>
      <w:r>
        <w:t>•تاریخ کربلا / تاریخ / فارسی</w:t>
      </w:r>
      <w:bookmarkEnd w:id="2541"/>
    </w:p>
    <w:p>
      <w:pPr>
        <w:pStyle w:val="BookText"/>
      </w:pPr>
      <w:r>
        <w:rPr>
          <w:rFonts w:ascii="Times New Roman" w:hAnsi="Times New Roman" w:eastAsia="Times New Roman" w:cs="Times New Roman"/>
          <w:lang w:val="en-US" w:bidi="en-US"/>
          <w:color w:val="111111"/>
          <w:sz w:val="28"/>
          <w:szCs w:val="28"/>
          <w:rtl/>
        </w:rPr>
        <w:t xml:space="preserve">tārīx-e karbalā</w:t>
      </w:r>
    </w:p>
    <w:p>
      <w:pPr>
        <w:pStyle w:val="BookText"/>
      </w:pPr>
      <w:r>
        <w:rPr>
          <w:rFonts w:ascii="IRNazanin" w:hAnsi="IRNazanin" w:eastAsia="IRNazanin" w:cs="IRNazanin"/>
          <w:lang w:bidi="fa-IR"/>
          <w:color w:val="111111"/>
          <w:sz w:val="28"/>
          <w:szCs w:val="28"/>
          <w:rtl/>
        </w:rPr>
        <w:t xml:space="preserve">در تاریخ امام حسين عليه السلام و حرکت وی از مدینه تا شهادت وی و یاران و قیام مختار، و از مسیب خزاعی بسیار نقل می کند و در هر بخش به اشعاری استشهاد نموده است. دامغان؛ صادقیه؛ شماره نسخه:۲۴۳ آغاز: عالم روشن در چشم من سیاه و تاریک می شود اگر خدایتعالی توفیق دهد من کاری با قاتلان امام حسین علیه السلام بکنم که تا روز قیامت باز گویند؛ انجام: سپهدار ایشان خاقان است صد و سی هزار پیادهء کماندار دارد و دیگر سپهدار زنگی صد و شصت هزار زنگی بجنگ آورده خط: نستعلیق، بی کا، تا: قرن ۱۳؛ افتادگی: آغاز و انجام؛ از موقوفات شیخ محمد رضا خدایی، کاغذ الوان؛ جلد: تیماج مشکی، ۱۶۹گ، ۱۷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سم [ف مخ: ۲۸]</w:t>
      </w:r>
    </w:p>
    <w:p>
      <w:pPr>
        <w:pStyle w:val="Heading3"/>
      </w:pPr>
      <w:bookmarkStart w:id="2542" w:name="_Toc1802"/>
      <w:r>
        <w:t>•تاریخ کربلا / شعر / فارسی</w:t>
      </w:r>
      <w:bookmarkEnd w:id="2542"/>
    </w:p>
    <w:p>
      <w:pPr>
        <w:pStyle w:val="BookText"/>
      </w:pPr>
      <w:r>
        <w:rPr>
          <w:rFonts w:ascii="Times New Roman" w:hAnsi="Times New Roman" w:eastAsia="Times New Roman" w:cs="Times New Roman"/>
          <w:lang w:val="en-US" w:bidi="en-US"/>
          <w:color w:val="111111"/>
          <w:sz w:val="28"/>
          <w:szCs w:val="28"/>
          <w:rtl/>
        </w:rPr>
        <w:t xml:space="preserve">tārīx-e karbalā</w:t>
      </w:r>
    </w:p>
    <w:p>
      <w:pPr>
        <w:pStyle w:val="BookText"/>
      </w:pPr>
      <w:r>
        <w:rPr>
          <w:rFonts w:ascii="IRNazanin" w:hAnsi="IRNazanin" w:eastAsia="IRNazanin" w:cs="IRNazanin"/>
          <w:lang w:bidi="fa-IR"/>
          <w:color w:val="111111"/>
          <w:sz w:val="28"/>
          <w:szCs w:val="28"/>
          <w:rtl/>
        </w:rPr>
        <w:t xml:space="preserve">واقعه کربلا و شهادت امام حسین (عليه السلام)را به صورت قصاید با وزنهای مختلف به نظم کشیده است: از به تخت سلطنت نشستن یزید شروع کرده و به اسارت اهل بیت به شام پایان می دهد.</w:t>
      </w:r>
    </w:p>
    <w:p>
      <w:pPr>
        <w:pStyle w:val="BookText"/>
      </w:pPr>
      <w:r>
        <w:rPr>
          <w:rFonts w:ascii="IRNazanin" w:hAnsi="IRNazanin" w:eastAsia="IRNazanin" w:cs="IRNazanin"/>
          <w:lang w:bidi="fa-IR"/>
          <w:color w:val="111111"/>
          <w:sz w:val="28"/>
          <w:szCs w:val="28"/>
          <w:rtl/>
        </w:rPr>
        <w:t xml:space="preserve">قم؛ گلپایگانی؛ شماره نسخه:۳۷۶۴- ۱۹/۹۴</w:t>
      </w:r>
    </w:p>
    <w:p>
      <w:pPr>
        <w:pStyle w:val="BookText"/>
      </w:pPr>
      <w:r>
        <w:rPr>
          <w:rFonts w:ascii="IRNazanin" w:hAnsi="IRNazanin" w:eastAsia="IRNazanin" w:cs="IRNazanin"/>
          <w:lang w:bidi="fa-IR"/>
          <w:color w:val="111111"/>
          <w:sz w:val="28"/>
          <w:szCs w:val="28"/>
          <w:rtl/>
        </w:rPr>
        <w:t xml:space="preserve">آغاز: در شام جانشین پدر گشت چون یزید *** شد والی مدینه بفرمان او ولید / فجار را به بیعت دست یزید خواند *** اهل فجور دست سپردند بر یزید؛ انجام: شبانه برده بکنج خرابه جا دادند *** نه آب ونه نان و نه فرش ونه بوریا دادند. خط نستعلیق، بی کا، بی تا، تملکی به تاریخ ۲۸ ذیحجه ۱۳۳۶؛ جلد: تیماج مشکی، ۲۱۹گ، ۱۵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۴-۱۷۸۵]</w:t>
      </w:r>
    </w:p>
    <w:p>
      <w:pPr>
        <w:pStyle w:val="Heading3"/>
      </w:pPr>
      <w:bookmarkStart w:id="2543" w:name="_Toc1803"/>
      <w:r>
        <w:t>•تاریخ کربلا / تاریخ / فارسی</w:t>
      </w:r>
      <w:bookmarkEnd w:id="2543"/>
    </w:p>
    <w:p>
      <w:pPr>
        <w:pStyle w:val="BookText"/>
      </w:pPr>
      <w:r>
        <w:rPr>
          <w:rFonts w:ascii="Times New Roman" w:hAnsi="Times New Roman" w:eastAsia="Times New Roman" w:cs="Times New Roman"/>
          <w:lang w:val="en-US" w:bidi="en-US"/>
          <w:color w:val="111111"/>
          <w:sz w:val="28"/>
          <w:szCs w:val="28"/>
          <w:rtl/>
        </w:rPr>
        <w:t xml:space="preserve">tārīx-e karbalā</w:t>
      </w:r>
    </w:p>
    <w:p>
      <w:pPr>
        <w:pStyle w:val="BookText"/>
      </w:pPr>
      <w:r>
        <w:rPr>
          <w:rFonts w:ascii="IRNazanin" w:hAnsi="IRNazanin" w:eastAsia="IRNazanin" w:cs="IRNazanin"/>
          <w:lang w:bidi="fa-IR"/>
          <w:color w:val="111111"/>
          <w:sz w:val="28"/>
          <w:szCs w:val="28"/>
          <w:rtl/>
        </w:rPr>
        <w:t xml:space="preserve">مشهد؛ مدرسه آية الله خوئی؛ شماره نسخه: ۳۲۷/۱</w:t>
      </w:r>
    </w:p>
    <w:p>
      <w:pPr>
        <w:pStyle w:val="BookText"/>
      </w:pPr>
      <w:r>
        <w:rPr>
          <w:rFonts w:ascii="IRNazanin" w:hAnsi="IRNazanin" w:eastAsia="IRNazanin" w:cs="IRNazanin"/>
          <w:lang w:bidi="fa-IR"/>
          <w:color w:val="111111"/>
          <w:sz w:val="28"/>
          <w:szCs w:val="28"/>
          <w:rtl/>
        </w:rPr>
        <w:t xml:space="preserve">کتاب ناشناخته. وقایع کربلا، شاید مقتل آقا بن عابد شیروانی دربندی (۱۲۸۶ ق) موسوم به إكسير العبادات في أسرار الشهادات باشد؛ بی کا، بی تا [اوراق عتيق: ۱-۲۵۵]</w:t>
      </w:r>
    </w:p>
    <w:p>
      <w:pPr>
        <w:pStyle w:val="Heading3"/>
      </w:pPr>
      <w:bookmarkStart w:id="2544" w:name="_Toc1804"/>
      <w:r>
        <w:t>•تاریخ کرد / تاریخ ایران / فارسی</w:t>
      </w:r>
      <w:bookmarkEnd w:id="2544"/>
    </w:p>
    <w:p>
      <w:pPr>
        <w:pStyle w:val="BookText"/>
      </w:pPr>
      <w:r>
        <w:rPr>
          <w:rFonts w:ascii="Times New Roman" w:hAnsi="Times New Roman" w:eastAsia="Times New Roman" w:cs="Times New Roman"/>
          <w:lang w:val="en-US" w:bidi="en-US"/>
          <w:color w:val="111111"/>
          <w:sz w:val="28"/>
          <w:szCs w:val="28"/>
          <w:rtl/>
        </w:rPr>
        <w:t xml:space="preserve">tārīx-e kord</w:t>
      </w:r>
    </w:p>
    <w:p>
      <w:pPr>
        <w:pStyle w:val="BookText"/>
      </w:pPr>
      <w:r>
        <w:rPr>
          <w:rFonts w:ascii="IRNazanin" w:hAnsi="IRNazanin" w:eastAsia="IRNazanin" w:cs="IRNazanin"/>
          <w:lang w:bidi="fa-IR"/>
          <w:color w:val="111111"/>
          <w:sz w:val="28"/>
          <w:szCs w:val="28"/>
          <w:rtl/>
        </w:rPr>
        <w:t xml:space="preserve">در آن ابتداء از طوایف مختلف کرد و اصل آنها و خصوصیات این طوایف بحث می شود سپس از حوادث تاریخی که بر این قوم از ابتدای زمان شاه اسماعیل اول صفوی تا زمان عباس میرزای نایب السلطنة رفته صحبت می گردد. [فهرستواره منزوی ۸۹۵/۲ ]</w:t>
      </w:r>
    </w:p>
    <w:p>
      <w:pPr>
        <w:pStyle w:val="BookText"/>
      </w:pPr>
      <w:r>
        <w:rPr>
          <w:rFonts w:ascii="IRNazanin" w:hAnsi="IRNazanin" w:eastAsia="IRNazanin" w:cs="IRNazanin"/>
          <w:lang w:bidi="fa-IR"/>
          <w:color w:val="111111"/>
          <w:sz w:val="28"/>
          <w:szCs w:val="28"/>
          <w:rtl/>
        </w:rPr>
        <w:t xml:space="preserve">تهران؛ ملی؛ شماره نسخه:۲۲۱۳</w:t>
      </w:r>
    </w:p>
    <w:p>
      <w:pPr>
        <w:pStyle w:val="BookText"/>
      </w:pPr>
      <w:r>
        <w:rPr>
          <w:rFonts w:ascii="IRNazanin" w:hAnsi="IRNazanin" w:eastAsia="IRNazanin" w:cs="IRNazanin"/>
          <w:lang w:bidi="fa-IR"/>
          <w:color w:val="111111"/>
          <w:sz w:val="28"/>
          <w:szCs w:val="28"/>
          <w:rtl/>
        </w:rPr>
        <w:t xml:space="preserve">آغاز: بسمله، اصل اکراد بعضی از مورخان و ناقلان آنها را از نسل چند نفر؛ انجام: و پردگی تتق جاه و جلال اعنی شاهزاده بیهمال روانه عتبه بوسی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544" w:name="pg20363_209861"/>
    <w:bookmarkEnd w:id="544"/>
    <w:p>
      <w:pPr>
        <w:pStyle w:val="BookText"/>
      </w:pPr>
      <w:r>
        <w:rPr>
          <w:rFonts w:ascii="IRNazanin" w:hAnsi="IRNazanin" w:eastAsia="IRNazanin" w:cs="IRNazanin"/>
          <w:lang w:bidi="fa-IR"/>
          <w:color w:val="111111"/>
          <w:sz w:val="28"/>
          <w:szCs w:val="28"/>
          <w:rtl/>
        </w:rPr>
        <w:t xml:space="preserve">خط: نستعلیق، بی کا، تا: قرن ۱۳؛ کاغذ: فرنگی، جلد: تیماج قرمز، ۶۲، ۱۵ سطر(۱۶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۵-۳۰۶]</w:t>
      </w:r>
    </w:p>
    <w:p>
      <w:pPr>
        <w:pStyle w:val="Heading3"/>
      </w:pPr>
      <w:bookmarkStart w:id="2545" w:name="_Toc1805"/>
      <w:r>
        <w:t>•تاریخ کرد / تاریخ / فارسی</w:t>
      </w:r>
      <w:bookmarkEnd w:id="2545"/>
    </w:p>
    <w:p>
      <w:pPr>
        <w:pStyle w:val="BookText"/>
      </w:pPr>
      <w:r>
        <w:rPr>
          <w:rFonts w:ascii="Times New Roman" w:hAnsi="Times New Roman" w:eastAsia="Times New Roman" w:cs="Times New Roman"/>
          <w:lang w:val="en-US" w:bidi="en-US"/>
          <w:color w:val="111111"/>
          <w:sz w:val="28"/>
          <w:szCs w:val="28"/>
          <w:rtl/>
        </w:rPr>
        <w:t xml:space="preserve">tārīx-e kord</w:t>
      </w:r>
    </w:p>
    <w:p>
      <w:pPr>
        <w:pStyle w:val="BookText"/>
      </w:pPr>
      <w:r>
        <w:rPr>
          <w:rFonts w:ascii="IRNazanin" w:hAnsi="IRNazanin" w:eastAsia="IRNazanin" w:cs="IRNazanin"/>
          <w:lang w:bidi="fa-IR"/>
          <w:color w:val="111111"/>
          <w:sz w:val="28"/>
          <w:szCs w:val="28"/>
          <w:rtl/>
        </w:rPr>
        <w:t xml:space="preserve">تاریخ تأليف: احتمالا ۱۲۰۰ق در آن سلسله های کرد از برمکیان و اخشیدیان و دنبلیان و پرویان و امیران و پیربدان آمده تا می رسد به غیاث بک زنده در ۱۰۶۲ و ارقام در دنبال سرگذشت هر امیری به سیاق است در آن از شهنشه نامه صبا یاد شده است.</w:t>
      </w:r>
    </w:p>
    <w:p>
      <w:pPr>
        <w:pStyle w:val="BookText"/>
      </w:pPr>
      <w:r>
        <w:rPr>
          <w:rFonts w:ascii="IRNazanin" w:hAnsi="IRNazanin" w:eastAsia="IRNazanin" w:cs="IRNazanin"/>
          <w:lang w:bidi="fa-IR"/>
          <w:color w:val="111111"/>
          <w:sz w:val="28"/>
          <w:szCs w:val="28"/>
          <w:rtl/>
        </w:rPr>
        <w:t xml:space="preserve">[دنا ۷۳۱/۲ ؛ فهرستواره منزوی ۸۹۵/۲ ]</w:t>
      </w:r>
    </w:p>
    <w:p>
      <w:pPr>
        <w:pStyle w:val="BookText"/>
      </w:pPr>
      <w:r>
        <w:rPr>
          <w:rFonts w:ascii="IRNazanin" w:hAnsi="IRNazanin" w:eastAsia="IRNazanin" w:cs="IRNazanin"/>
          <w:lang w:bidi="fa-IR"/>
          <w:color w:val="111111"/>
          <w:sz w:val="28"/>
          <w:szCs w:val="28"/>
          <w:rtl/>
        </w:rPr>
        <w:t xml:space="preserve">تهران؛ دانشگاه؛ شماره نسخه: ۳۰۶۱</w:t>
      </w:r>
    </w:p>
    <w:p>
      <w:pPr>
        <w:pStyle w:val="BookText"/>
      </w:pPr>
      <w:r>
        <w:rPr>
          <w:rFonts w:ascii="IRNazanin" w:hAnsi="IRNazanin" w:eastAsia="IRNazanin" w:cs="IRNazanin"/>
          <w:lang w:bidi="fa-IR"/>
          <w:color w:val="111111"/>
          <w:sz w:val="28"/>
          <w:szCs w:val="28"/>
          <w:rtl/>
        </w:rPr>
        <w:t xml:space="preserve">آغاز: خلاصه تاریخ پادشاهان عجم و ذکر پادشاهانی که بعد از ظهور اسلام سلطنت کرده اند از ابتداء خلفا الى دولت قاجاریه. طبقه برامکه. وقایع برامکه و دولت اخشید؛ انجام: حال سرکار محمود خان ملک میباشند سلسله عظیمی شده اند والسلام از هجرت عام ۱۲۰۰ (بسیاق). خط: نسخ، بی کا، تا: قرن ۱۳؛ گویا نسخه اصل است؛ کاغذ: فرنگی نخودی، جلد: تیماج عنابی مقوایی زرکوب، ۳۲گ، ۱۹سطر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۱۰-۱۹۹۹]</w:t>
      </w:r>
    </w:p>
    <w:p>
      <w:pPr>
        <w:pStyle w:val="BookText"/>
      </w:pPr>
      <w:r>
        <w:rPr>
          <w:rFonts w:ascii="IRNazanin" w:hAnsi="IRNazanin" w:eastAsia="IRNazanin" w:cs="IRNazanin"/>
          <w:lang w:bidi="fa-IR"/>
          <w:color w:val="111111"/>
          <w:sz w:val="28"/>
          <w:szCs w:val="28"/>
          <w:rtl/>
        </w:rPr>
        <w:t xml:space="preserve">← تاریخ کردستان ← شرفنامه</w:t>
      </w:r>
    </w:p>
    <w:p>
      <w:pPr>
        <w:pStyle w:val="BookText"/>
      </w:pPr>
      <w:r>
        <w:rPr>
          <w:rFonts w:ascii="IRNazanin" w:hAnsi="IRNazanin" w:eastAsia="IRNazanin" w:cs="IRNazanin"/>
          <w:lang w:bidi="fa-IR"/>
          <w:color w:val="111111"/>
          <w:sz w:val="28"/>
          <w:szCs w:val="28"/>
          <w:rtl/>
        </w:rPr>
        <w:t xml:space="preserve">← تاریخ کردستان ← تحفه ناصری</w:t>
      </w:r>
    </w:p>
    <w:p>
      <w:pPr>
        <w:pStyle w:val="Heading3"/>
      </w:pPr>
      <w:bookmarkStart w:id="2546" w:name="_Toc1806"/>
      <w:r>
        <w:t>•تاریخ کردستان / تاریخ ایران / فارسی</w:t>
      </w:r>
      <w:bookmarkEnd w:id="2546"/>
    </w:p>
    <w:p>
      <w:pPr>
        <w:pStyle w:val="BookText"/>
      </w:pPr>
      <w:r>
        <w:rPr>
          <w:rFonts w:ascii="Times New Roman" w:hAnsi="Times New Roman" w:eastAsia="Times New Roman" w:cs="Times New Roman"/>
          <w:lang w:val="en-US" w:bidi="en-US"/>
          <w:color w:val="111111"/>
          <w:sz w:val="28"/>
          <w:szCs w:val="28"/>
          <w:rtl/>
        </w:rPr>
        <w:t xml:space="preserve">tārīx-e kordestān</w:t>
      </w:r>
    </w:p>
    <w:p>
      <w:pPr>
        <w:pStyle w:val="BookText"/>
      </w:pPr>
      <w:r>
        <w:rPr>
          <w:rFonts w:ascii="IRNazanin" w:hAnsi="IRNazanin" w:eastAsia="IRNazanin" w:cs="IRNazanin"/>
          <w:lang w:bidi="fa-IR"/>
          <w:color w:val="111111"/>
          <w:sz w:val="28"/>
          <w:szCs w:val="28"/>
          <w:rtl/>
        </w:rPr>
        <w:t xml:space="preserve">قاضی، محمد شریف، ق ۱۳ قمری</w:t>
      </w:r>
    </w:p>
    <w:p>
      <w:pPr>
        <w:pStyle w:val="BookText"/>
      </w:pPr>
      <w:r>
        <w:rPr>
          <w:rFonts w:ascii="Times New Roman" w:hAnsi="Times New Roman" w:eastAsia="Times New Roman" w:cs="Times New Roman"/>
          <w:lang w:val="en-US" w:bidi="en-US"/>
          <w:color w:val="111111"/>
          <w:sz w:val="28"/>
          <w:szCs w:val="28"/>
          <w:rtl/>
        </w:rPr>
        <w:t xml:space="preserve">qazi, mohammad sarif (-19c)</w:t>
      </w:r>
    </w:p>
    <w:p>
      <w:pPr>
        <w:pStyle w:val="BookText"/>
      </w:pPr>
      <w:r>
        <w:rPr>
          <w:rFonts w:ascii="IRNazanin" w:hAnsi="IRNazanin" w:eastAsia="IRNazanin" w:cs="IRNazanin"/>
          <w:lang w:bidi="fa-IR"/>
          <w:color w:val="111111"/>
          <w:sz w:val="28"/>
          <w:szCs w:val="28"/>
          <w:rtl/>
        </w:rPr>
        <w:t xml:space="preserve">تاریخ تأليف: نزدیک ۱۱۷۵ تا ۱۲۲۴ ماه شرف خانم مستوره کردستانی در تاریخ کردستان از آن آورده است. [فهرستواره منزوی ۸۹۶/۲ ]</w:t>
      </w:r>
    </w:p>
    <w:p>
      <w:pPr>
        <w:pStyle w:val="BookText"/>
      </w:pPr>
      <w:r>
        <w:rPr>
          <w:rFonts w:ascii="IRNazanin" w:hAnsi="IRNazanin" w:eastAsia="IRNazanin" w:cs="IRNazanin"/>
          <w:lang w:bidi="fa-IR"/>
          <w:color w:val="111111"/>
          <w:sz w:val="28"/>
          <w:szCs w:val="28"/>
          <w:rtl/>
        </w:rPr>
        <w:t xml:space="preserve">تهران؛ دانشگاه؛ شماره نسخه:۶۵۷۸</w:t>
      </w:r>
    </w:p>
    <w:p>
      <w:pPr>
        <w:pStyle w:val="BookText"/>
      </w:pPr>
      <w:r>
        <w:rPr>
          <w:rFonts w:ascii="IRNazanin" w:hAnsi="IRNazanin" w:eastAsia="IRNazanin" w:cs="IRNazanin"/>
          <w:lang w:bidi="fa-IR"/>
          <w:color w:val="111111"/>
          <w:sz w:val="28"/>
          <w:szCs w:val="28"/>
          <w:rtl/>
        </w:rPr>
        <w:t xml:space="preserve">این نسخه از فصل ۴۰ در ذکر نسب اکراد و نسب ولات و حکام اردلان و ایام ایالت و حکومت ایشان است؛ خط: نستعلیق، کا: ایوب حبیب دوستدار، بی تا، برای نفیسی؛ از روی نسخه اصل آقای حمدی در سنندج؛ کاغذ: فرنگی، جلد: تیماج تریاکی، ۲۸گ، ۳۷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 اندازه: 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۱۶-۳۰۱]</w:t>
      </w:r>
    </w:p>
    <w:p>
      <w:pPr>
        <w:pStyle w:val="Heading3"/>
      </w:pPr>
      <w:bookmarkStart w:id="2547" w:name="_Toc1807"/>
      <w:r>
        <w:t>•تاریخ کردستان / تاریخ ایران / فارسی</w:t>
      </w:r>
      <w:bookmarkEnd w:id="2547"/>
    </w:p>
    <w:p>
      <w:pPr>
        <w:pStyle w:val="BookText"/>
      </w:pPr>
      <w:r>
        <w:rPr>
          <w:rFonts w:ascii="Times New Roman" w:hAnsi="Times New Roman" w:eastAsia="Times New Roman" w:cs="Times New Roman"/>
          <w:lang w:val="en-US" w:bidi="en-US"/>
          <w:color w:val="111111"/>
          <w:sz w:val="28"/>
          <w:szCs w:val="28"/>
          <w:rtl/>
        </w:rPr>
        <w:t xml:space="preserve">tārīx-e kordestān</w:t>
      </w:r>
    </w:p>
    <w:p>
      <w:pPr>
        <w:pStyle w:val="BookText"/>
      </w:pPr>
      <w:r>
        <w:rPr>
          <w:rFonts w:ascii="IRNazanin" w:hAnsi="IRNazanin" w:eastAsia="IRNazanin" w:cs="IRNazanin"/>
          <w:lang w:bidi="fa-IR"/>
          <w:color w:val="111111"/>
          <w:sz w:val="28"/>
          <w:szCs w:val="28"/>
          <w:rtl/>
        </w:rPr>
        <w:t xml:space="preserve">بیابانی، عبدالقادر</w:t>
      </w:r>
    </w:p>
    <w:p>
      <w:pPr>
        <w:pStyle w:val="BookText"/>
      </w:pPr>
      <w:r>
        <w:rPr>
          <w:rFonts w:ascii="Times New Roman" w:hAnsi="Times New Roman" w:eastAsia="Times New Roman" w:cs="Times New Roman"/>
          <w:lang w:val="en-US" w:bidi="en-US"/>
          <w:color w:val="111111"/>
          <w:sz w:val="28"/>
          <w:szCs w:val="28"/>
          <w:rtl/>
        </w:rPr>
        <w:t xml:space="preserve">bīyābānī, 'abd-ol-qāder</w:t>
      </w:r>
    </w:p>
    <w:p>
      <w:pPr>
        <w:pStyle w:val="BookText"/>
      </w:pPr>
      <w:r>
        <w:rPr>
          <w:rFonts w:ascii="IRNazanin" w:hAnsi="IRNazanin" w:eastAsia="IRNazanin" w:cs="IRNazanin"/>
          <w:lang w:bidi="fa-IR"/>
          <w:color w:val="111111"/>
          <w:sz w:val="28"/>
          <w:szCs w:val="28"/>
          <w:rtl/>
        </w:rPr>
        <w:t xml:space="preserve">کتابی جامع در مورد اکراد و رجال و مشاهیر آنها.</w:t>
      </w:r>
    </w:p>
    <w:p>
      <w:pPr>
        <w:pStyle w:val="BookText"/>
      </w:pPr>
      <w:r>
        <w:rPr>
          <w:rFonts w:ascii="IRNazanin" w:hAnsi="IRNazanin" w:eastAsia="IRNazanin" w:cs="IRNazanin"/>
          <w:lang w:bidi="fa-IR"/>
          <w:color w:val="111111"/>
          <w:sz w:val="28"/>
          <w:szCs w:val="28"/>
          <w:rtl/>
        </w:rPr>
        <w:t xml:space="preserve">تهران، مرکز فرهنگی خراسان؛ شماره نسخه:۹۷عکسی</w:t>
      </w:r>
    </w:p>
    <w:p>
      <w:pPr>
        <w:pStyle w:val="BookText"/>
      </w:pPr>
      <w:r>
        <w:rPr>
          <w:rFonts w:ascii="IRNazanin" w:hAnsi="IRNazanin" w:eastAsia="IRNazanin" w:cs="IRNazanin"/>
          <w:lang w:bidi="fa-IR"/>
          <w:color w:val="111111"/>
          <w:sz w:val="28"/>
          <w:szCs w:val="28"/>
          <w:rtl/>
        </w:rPr>
        <w:t xml:space="preserve">خط: نستعلیق، بی کا، بی تا [جنگی: ۱-۴۴۷]</w:t>
      </w:r>
    </w:p>
    <w:p>
      <w:pPr>
        <w:pStyle w:val="Heading3"/>
      </w:pPr>
      <w:bookmarkStart w:id="2548" w:name="_Toc1808"/>
      <w:r>
        <w:t>•تاریخ کردستان ایران / تاریخ ایران / فارسی</w:t>
      </w:r>
      <w:bookmarkEnd w:id="2548"/>
    </w:p>
    <w:p>
      <w:pPr>
        <w:pStyle w:val="BookText"/>
      </w:pPr>
      <w:r>
        <w:rPr>
          <w:rFonts w:ascii="Times New Roman" w:hAnsi="Times New Roman" w:eastAsia="Times New Roman" w:cs="Times New Roman"/>
          <w:lang w:val="en-US" w:bidi="en-US"/>
          <w:color w:val="111111"/>
          <w:sz w:val="28"/>
          <w:szCs w:val="28"/>
          <w:rtl/>
        </w:rPr>
        <w:t xml:space="preserve">tārīx-e kordestān-e īrān</w:t>
      </w:r>
    </w:p>
    <w:p>
      <w:pPr>
        <w:pStyle w:val="BookText"/>
      </w:pPr>
      <w:r>
        <w:rPr>
          <w:rFonts w:ascii="IRNazanin" w:hAnsi="IRNazanin" w:eastAsia="IRNazanin" w:cs="IRNazanin"/>
          <w:lang w:bidi="fa-IR"/>
          <w:color w:val="111111"/>
          <w:sz w:val="28"/>
          <w:szCs w:val="28"/>
          <w:rtl/>
        </w:rPr>
        <w:t xml:space="preserve">به امر: ناصر الدین شاه قاجار کتاب تاریخ کردستان است که برای ثبت اسامی عشایر، ایلات و طوایف نگاشته شده است، شامل یک «مقدمه» در سه «مقصد» و نه «مطلب» بدین شرح: مقصد اول: در بیان مساکن و مواطن بزرگ اکراد و سایر طوایف؛ مطلب 1. طوایفی که حرف اول آنها الف است؛ مطلب ۲. احشامی که حرف اول نام آنها ب است؛ مطلب 3. طوایفی که اول اسم آنها حرف تاء است؛ مطلب ۴. بیان طوایفی که اول اسم آنها حرف دال است؛ مطلب ۵. بیان طوایفی که اول اسم آنها زاء است؛ مطلب ۶. بیان طوایفی که اول اسم آنها حرف سین است؛ مطلب ۷. طوایفی که اول اسم آنها حرف شین است؛ مطلب ۸ بیان طوایفی که اول اسم آنها قاف است؛ مطلب ۹. طوایفی که اول اسم آنها کاف است.</w:t>
      </w:r>
    </w:p>
    <w:p>
      <w:pPr>
        <w:pStyle w:val="BookText"/>
      </w:pPr>
      <w:r>
        <w:rPr>
          <w:rFonts w:ascii="IRNazanin" w:hAnsi="IRNazanin" w:eastAsia="IRNazanin" w:cs="IRNazanin"/>
          <w:lang w:bidi="fa-IR"/>
          <w:color w:val="111111"/>
          <w:sz w:val="28"/>
          <w:szCs w:val="28"/>
          <w:rtl/>
        </w:rPr>
        <w:t xml:space="preserve">قم؛ مرعشی؛ شماره نسخه: ۱۳۲۱۳/۲</w:t>
      </w:r>
    </w:p>
    <w:p>
      <w:pPr>
        <w:pStyle w:val="BookText"/>
      </w:pPr>
      <w:r>
        <w:rPr>
          <w:rFonts w:ascii="IRNazanin" w:hAnsi="IRNazanin" w:eastAsia="IRNazanin" w:cs="IRNazanin"/>
          <w:lang w:bidi="fa-IR"/>
          <w:color w:val="111111"/>
          <w:sz w:val="28"/>
          <w:szCs w:val="28"/>
          <w:rtl/>
        </w:rPr>
        <w:t xml:space="preserve">آغاز: حمد بی منتها خالقی را سزاست که از امتزاج آب و خاک فطرت پاک آدم را ... و بعد درین اوان میمنت تو أمان تویع رفيع همایون شاهنشاه عالم پناه ... شرف صدور و نفاذ یافت که اسامی عشایر و ایلات و طوایفی که در حدود خاک کردستان؛ انجام: هشتم کوهان این طایفه در محل کره زمن محل کردستان ایران هستند. افتاده. خط: شکسته نستعلیق، بی کا، تا: قرن ۱۴؛ کاغذ: فرنگی، جلد: تیماج مشکی با ترنج گل و بوته، ۳۲گ (۱۷۱-۲۰۲پ)، ۱۲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سم [ف: ۳۳-۳۹۹]</w:t>
      </w:r>
    </w:p>
    <w:p>
      <w:pPr>
        <w:pStyle w:val="BookText"/>
      </w:pPr>
      <w:r>
        <w:rPr>
          <w:rFonts w:ascii="IRNazanin" w:hAnsi="IRNazanin" w:eastAsia="IRNazanin" w:cs="IRNazanin"/>
          <w:lang w:bidi="fa-IR"/>
          <w:color w:val="111111"/>
          <w:sz w:val="28"/>
          <w:szCs w:val="28"/>
          <w:rtl/>
        </w:rPr>
        <w:t xml:space="preserve">←تاریخ کرمان ← تاریخ و جغرافیای کرمان (ترجمه)</w:t>
      </w:r>
    </w:p>
    <w:p>
      <w:pPr>
        <w:pStyle w:val="BookText"/>
      </w:pPr>
      <w:r>
        <w:rPr>
          <w:rFonts w:ascii="IRNazanin" w:hAnsi="IRNazanin" w:eastAsia="IRNazanin" w:cs="IRNazanin"/>
          <w:lang w:bidi="fa-IR"/>
          <w:color w:val="111111"/>
          <w:sz w:val="28"/>
          <w:szCs w:val="28"/>
          <w:rtl/>
        </w:rPr>
        <w:t xml:space="preserve">←تاریخ کرمان ← تاریخ و جغرافیای کرمان</w:t>
      </w:r>
    </w:p>
    <w:p>
      <w:pPr>
        <w:pStyle w:val="BookText"/>
      </w:pPr>
      <w:r>
        <w:rPr>
          <w:rFonts w:ascii="IRNazanin" w:hAnsi="IRNazanin" w:eastAsia="IRNazanin" w:cs="IRNazanin"/>
          <w:lang w:bidi="fa-IR"/>
          <w:color w:val="111111"/>
          <w:sz w:val="28"/>
          <w:szCs w:val="28"/>
          <w:rtl/>
        </w:rPr>
        <w:t xml:space="preserve">← تاریخ کرمان← تاریخ سلجوقیان کرمان</w:t>
      </w:r>
    </w:p>
    <w:p>
      <w:pPr>
        <w:pStyle w:val="BookText"/>
      </w:pPr>
      <w:r>
        <w:rPr>
          <w:rFonts w:ascii="IRNazanin" w:hAnsi="IRNazanin" w:eastAsia="IRNazanin" w:cs="IRNazanin"/>
          <w:lang w:bidi="fa-IR"/>
          <w:color w:val="111111"/>
          <w:sz w:val="28"/>
          <w:szCs w:val="28"/>
          <w:rtl/>
        </w:rPr>
        <w:t xml:space="preserve">← تاریخ کرمان ←تاریخ شاهی</w:t>
      </w:r>
    </w:p>
    <w:p>
      <w:pPr>
        <w:pStyle w:val="Heading3"/>
      </w:pPr>
      <w:bookmarkStart w:id="2549" w:name="_Toc1809"/>
      <w:r>
        <w:t>•تاریخ کرمان / تاریخ ایران / فارسی</w:t>
      </w:r>
      <w:bookmarkEnd w:id="2549"/>
    </w:p>
    <w:p>
      <w:pPr>
        <w:pStyle w:val="BookText"/>
      </w:pPr>
      <w:r>
        <w:rPr>
          <w:rFonts w:ascii="Times New Roman" w:hAnsi="Times New Roman" w:eastAsia="Times New Roman" w:cs="Times New Roman"/>
          <w:lang w:val="en-US" w:bidi="en-US"/>
          <w:color w:val="111111"/>
          <w:sz w:val="28"/>
          <w:szCs w:val="28"/>
          <w:rtl/>
        </w:rPr>
        <w:t xml:space="preserve">tārīx-e kermān</w:t>
      </w:r>
    </w:p>
    <w:p>
      <w:pPr>
        <w:pStyle w:val="BookText"/>
      </w:pPr>
      <w:r>
        <w:rPr>
          <w:rFonts w:ascii="IRNazanin" w:hAnsi="IRNazanin" w:eastAsia="IRNazanin" w:cs="IRNazanin"/>
          <w:lang w:bidi="fa-IR"/>
          <w:color w:val="111111"/>
          <w:sz w:val="28"/>
          <w:szCs w:val="28"/>
          <w:rtl/>
        </w:rPr>
        <w:t xml:space="preserve">شریف قمری</w:t>
      </w:r>
    </w:p>
    <w:p>
      <w:pPr>
        <w:pStyle w:val="BookText"/>
      </w:pPr>
      <w:r>
        <w:rPr>
          <w:rFonts w:ascii="IRNazanin" w:hAnsi="IRNazanin" w:eastAsia="IRNazanin" w:cs="IRNazanin"/>
          <w:lang w:bidi="fa-IR"/>
          <w:color w:val="111111"/>
          <w:sz w:val="28"/>
          <w:szCs w:val="28"/>
          <w:rtl/>
        </w:rPr>
        <w:t xml:space="preserve">کرمانی، محمد حسین بن محمد على، ق۱۳</w:t>
      </w:r>
    </w:p>
    <w:p>
      <w:pPr>
        <w:pStyle w:val="BookText"/>
      </w:pPr>
      <w:r>
        <w:rPr>
          <w:rFonts w:ascii="Times New Roman" w:hAnsi="Times New Roman" w:eastAsia="Times New Roman" w:cs="Times New Roman"/>
          <w:lang w:val="en-US" w:bidi="en-US"/>
          <w:color w:val="111111"/>
          <w:sz w:val="28"/>
          <w:szCs w:val="28"/>
          <w:rtl/>
        </w:rPr>
        <w:t xml:space="preserve">šarīf-e kermānī, mohammad hoseyn ebn-e mohammad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545" w:name="pg20363_209862"/>
    <w:bookmarkEnd w:id="545"/>
    <w:p>
      <w:pPr>
        <w:pStyle w:val="BookText"/>
      </w:pPr>
      <w:r>
        <w:rPr>
          <w:rFonts w:ascii="Times New Roman" w:hAnsi="Times New Roman" w:eastAsia="Times New Roman" w:cs="Times New Roman"/>
          <w:lang w:val="en-US" w:bidi="en-US"/>
          <w:color w:val="111111"/>
          <w:sz w:val="28"/>
          <w:szCs w:val="28"/>
          <w:rtl/>
        </w:rPr>
        <w:t xml:space="preserve">ali (-19c)</w:t>
      </w:r>
    </w:p>
    <w:p>
      <w:pPr>
        <w:pStyle w:val="BookText"/>
      </w:pPr>
      <w:r>
        <w:rPr>
          <w:rFonts w:ascii="IRNazanin" w:hAnsi="IRNazanin" w:eastAsia="IRNazanin" w:cs="IRNazanin"/>
          <w:lang w:bidi="fa-IR"/>
          <w:color w:val="111111"/>
          <w:sz w:val="28"/>
          <w:szCs w:val="28"/>
          <w:rtl/>
        </w:rPr>
        <w:t xml:space="preserve">تاريخ تأليف: ۱۲۳۱ق؛ در فرهنگ ایران زمین جلد ۱۲ دفتر ۱-۴ ص ۳۰۲ سال ۱۳۴۲ این نسخه وصف شده است. (از آن آقای منتظر صاحب کتابدار خانقاه است) از هموست «روضه حسینیه» در سوگواری. [فهرستواره منزوی ۸۹۶/۲ )</w:t>
      </w:r>
    </w:p>
    <w:p>
      <w:pPr>
        <w:pStyle w:val="BookText"/>
      </w:pPr>
      <w:r>
        <w:rPr>
          <w:rFonts w:ascii="IRNazanin" w:hAnsi="IRNazanin" w:eastAsia="IRNazanin" w:cs="IRNazanin"/>
          <w:lang w:bidi="fa-IR"/>
          <w:color w:val="111111"/>
          <w:sz w:val="28"/>
          <w:szCs w:val="28"/>
          <w:rtl/>
        </w:rPr>
        <w:t xml:space="preserve">شیراز؛ منتظر (آقاي)؛ شماره نسخه:۱</w:t>
      </w:r>
    </w:p>
    <w:p>
      <w:pPr>
        <w:pStyle w:val="BookText"/>
      </w:pPr>
      <w:r>
        <w:rPr>
          <w:rFonts w:ascii="IRNazanin" w:hAnsi="IRNazanin" w:eastAsia="IRNazanin" w:cs="IRNazanin"/>
          <w:lang w:bidi="fa-IR"/>
          <w:color w:val="111111"/>
          <w:sz w:val="28"/>
          <w:szCs w:val="28"/>
          <w:rtl/>
        </w:rPr>
        <w:t xml:space="preserve">بی کا، بی تا [نشریه: ۵-۲۹۵]</w:t>
      </w:r>
    </w:p>
    <w:p>
      <w:pPr>
        <w:pStyle w:val="Heading3"/>
      </w:pPr>
      <w:bookmarkStart w:id="2550" w:name="_Toc1810"/>
      <w:r>
        <w:t>•تاریخ کرمان / جغرافيا / فارسی</w:t>
      </w:r>
      <w:bookmarkEnd w:id="2550"/>
    </w:p>
    <w:p>
      <w:pPr>
        <w:pStyle w:val="BookText"/>
      </w:pPr>
      <w:r>
        <w:rPr>
          <w:rFonts w:ascii="Times New Roman" w:hAnsi="Times New Roman" w:eastAsia="Times New Roman" w:cs="Times New Roman"/>
          <w:lang w:val="en-US" w:bidi="en-US"/>
          <w:color w:val="111111"/>
          <w:sz w:val="28"/>
          <w:szCs w:val="28"/>
          <w:rtl/>
        </w:rPr>
        <w:t xml:space="preserve">tārīx-e kermān</w:t>
      </w:r>
    </w:p>
    <w:p>
      <w:pPr>
        <w:pStyle w:val="BookText"/>
      </w:pPr>
      <w:r>
        <w:rPr>
          <w:rFonts w:ascii="IRNazanin" w:hAnsi="IRNazanin" w:eastAsia="IRNazanin" w:cs="IRNazanin"/>
          <w:lang w:bidi="fa-IR"/>
          <w:color w:val="111111"/>
          <w:sz w:val="28"/>
          <w:szCs w:val="28"/>
          <w:rtl/>
        </w:rPr>
        <w:t xml:space="preserve">عراقی، محمد خان</w:t>
      </w:r>
    </w:p>
    <w:p>
      <w:pPr>
        <w:pStyle w:val="BookText"/>
      </w:pPr>
      <w:r>
        <w:rPr>
          <w:rFonts w:ascii="Times New Roman" w:hAnsi="Times New Roman" w:eastAsia="Times New Roman" w:cs="Times New Roman"/>
          <w:lang w:val="en-US" w:bidi="en-US"/>
          <w:color w:val="111111"/>
          <w:sz w:val="28"/>
          <w:szCs w:val="28"/>
          <w:rtl/>
        </w:rPr>
        <w:t xml:space="preserve">‘erāqī, mohammad xān</w:t>
      </w:r>
    </w:p>
    <w:p>
      <w:pPr>
        <w:pStyle w:val="BookText"/>
      </w:pPr>
      <w:r>
        <w:rPr>
          <w:rFonts w:ascii="IRNazanin" w:hAnsi="IRNazanin" w:eastAsia="IRNazanin" w:cs="IRNazanin"/>
          <w:lang w:bidi="fa-IR"/>
          <w:color w:val="111111"/>
          <w:sz w:val="28"/>
          <w:szCs w:val="28"/>
          <w:rtl/>
        </w:rPr>
        <w:t xml:space="preserve">گزیده ای است از روی سالاریه احمد علی خان وزیری کرمانی در دو بخش: جغرافیای کرمان است و تاریخ کرمان. چاپ: به کوشش باستانی پاریزی، ۱۳۴۰ش</w:t>
      </w:r>
    </w:p>
    <w:p>
      <w:pPr>
        <w:pStyle w:val="BookText"/>
      </w:pPr>
      <w:r>
        <w:rPr>
          <w:rFonts w:ascii="IRNazanin" w:hAnsi="IRNazanin" w:eastAsia="IRNazanin" w:cs="IRNazanin"/>
          <w:lang w:bidi="fa-IR"/>
          <w:color w:val="111111"/>
          <w:sz w:val="28"/>
          <w:szCs w:val="28"/>
          <w:rtl/>
        </w:rPr>
        <w:t xml:space="preserve">تهران؛ مجلس؛ شماره نسخه:۳۸۷</w:t>
      </w:r>
    </w:p>
    <w:p>
      <w:pPr>
        <w:pStyle w:val="BookText"/>
      </w:pPr>
      <w:r>
        <w:rPr>
          <w:rFonts w:ascii="IRNazanin" w:hAnsi="IRNazanin" w:eastAsia="IRNazanin" w:cs="IRNazanin"/>
          <w:lang w:bidi="fa-IR"/>
          <w:color w:val="111111"/>
          <w:sz w:val="28"/>
          <w:szCs w:val="28"/>
          <w:rtl/>
        </w:rPr>
        <w:t xml:space="preserve">خط شکسته نستعلیق، کا: سید محمد هاشمی کرمانی، تا: قرن ۱۴؛ در پایان به خط دیگر آمده است «تاریخ احمد علی خان وزیری را که میرزا محمد خان عراقی مختصر کرده تا همین جا است که از روی خط عراقی نوشته شده ۱۳۱۸ هش هاشمی اصل تاریخ وزیری تا ۱۲۹۲ هق بوده است» نسخه می رسد به نام علاءالملک که حکم ران کرمان و بلوچستان شده بود و از جغرافیای مملکت کرمان آغاز می شود؛ کاغذ: سفید خط دار، جلد: گالینگور، ۲۷۲گ، ۱۰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[سنا: ف: ۱-۲۲۱]</w:t>
      </w:r>
    </w:p>
    <w:p>
      <w:pPr>
        <w:pStyle w:val="Heading3"/>
      </w:pPr>
      <w:bookmarkStart w:id="2551" w:name="_Toc1811"/>
      <w:r>
        <w:t>•تاریخ کرمان / تاریخ ایران / فارسی</w:t>
      </w:r>
      <w:bookmarkEnd w:id="2551"/>
    </w:p>
    <w:p>
      <w:pPr>
        <w:pStyle w:val="BookText"/>
      </w:pPr>
      <w:r>
        <w:rPr>
          <w:rFonts w:ascii="Times New Roman" w:hAnsi="Times New Roman" w:eastAsia="Times New Roman" w:cs="Times New Roman"/>
          <w:lang w:val="en-US" w:bidi="en-US"/>
          <w:color w:val="111111"/>
          <w:sz w:val="28"/>
          <w:szCs w:val="28"/>
          <w:rtl/>
        </w:rPr>
        <w:t xml:space="preserve">tārīx-e kermān</w:t>
      </w:r>
    </w:p>
    <w:p>
      <w:pPr>
        <w:pStyle w:val="BookText"/>
      </w:pPr>
      <w:r>
        <w:rPr>
          <w:rFonts w:ascii="IRNazanin" w:hAnsi="IRNazanin" w:eastAsia="IRNazanin" w:cs="IRNazanin"/>
          <w:lang w:bidi="fa-IR"/>
          <w:color w:val="111111"/>
          <w:sz w:val="28"/>
          <w:szCs w:val="28"/>
          <w:rtl/>
        </w:rPr>
        <w:t xml:space="preserve">گزارش بسیار مختصری است از رویدادهای شهر کرمان و نواحی آن و احوال حکام آن سامان، از عصر تسلط افاغنه در روزگار شاه سلطان حسین صفوی تا سال ۱۲۶۹.</w:t>
      </w:r>
    </w:p>
    <w:p>
      <w:pPr>
        <w:pStyle w:val="BookText"/>
      </w:pPr>
      <w:r>
        <w:rPr>
          <w:rFonts w:ascii="IRNazanin" w:hAnsi="IRNazanin" w:eastAsia="IRNazanin" w:cs="IRNazanin"/>
          <w:lang w:bidi="fa-IR"/>
          <w:color w:val="111111"/>
          <w:sz w:val="28"/>
          <w:szCs w:val="28"/>
          <w:rtl/>
        </w:rPr>
        <w:t xml:space="preserve">قم؛ مرعشی؛ شماره نسخه:۹۹۱۷</w:t>
      </w:r>
    </w:p>
    <w:p>
      <w:pPr>
        <w:pStyle w:val="BookText"/>
      </w:pPr>
      <w:r>
        <w:rPr>
          <w:rFonts w:ascii="IRNazanin" w:hAnsi="IRNazanin" w:eastAsia="IRNazanin" w:cs="IRNazanin"/>
          <w:lang w:bidi="fa-IR"/>
          <w:color w:val="111111"/>
          <w:sz w:val="28"/>
          <w:szCs w:val="28"/>
          <w:rtl/>
        </w:rPr>
        <w:t xml:space="preserve">آغاز: در زمان سلطنت شاه سلطان حسین صفوی در سال ۱۱۲۳ محمود افغان علیجانی از راه سیستان بتسخیر کرمان و اصفهان کمر بست؛ انجام: بریدی سبک سیر به امامعلی خان سرتیب که در بم بود فرستاد خط: نستعلیق، کا: زین العابدین مهرجی، تا:</w:t>
      </w:r>
    </w:p>
    <w:p>
      <w:pPr>
        <w:pStyle w:val="BookText"/>
      </w:pPr>
      <w:r>
        <w:rPr>
          <w:rFonts w:ascii="IRNazanin" w:hAnsi="IRNazanin" w:eastAsia="IRNazanin" w:cs="IRNazanin"/>
          <w:lang w:bidi="fa-IR"/>
          <w:color w:val="111111"/>
          <w:sz w:val="28"/>
          <w:szCs w:val="28"/>
          <w:rtl/>
        </w:rPr>
        <w:t xml:space="preserve">۱۳۱۵/۳/۲۵ ش؛ جلد: مقوایی عطف پارچه قرمز، ۷۵گ، ۱۰ سطر، اندازه: ۱۱/۵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۲۵-۲۰۴]</w:t>
      </w:r>
    </w:p>
    <w:p>
      <w:pPr>
        <w:pStyle w:val="Heading3"/>
      </w:pPr>
      <w:bookmarkStart w:id="2552" w:name="_Toc1812"/>
      <w:r>
        <w:t>•تاریخ کرمان / تاریخ ایران / فارسی</w:t>
      </w:r>
      <w:bookmarkEnd w:id="2552"/>
    </w:p>
    <w:p>
      <w:pPr>
        <w:pStyle w:val="BookText"/>
      </w:pPr>
      <w:r>
        <w:rPr>
          <w:rFonts w:ascii="Times New Roman" w:hAnsi="Times New Roman" w:eastAsia="Times New Roman" w:cs="Times New Roman"/>
          <w:lang w:val="en-US" w:bidi="en-US"/>
          <w:color w:val="111111"/>
          <w:sz w:val="28"/>
          <w:szCs w:val="28"/>
          <w:rtl/>
        </w:rPr>
        <w:t xml:space="preserve">tārīx-e kerman</w:t>
      </w:r>
    </w:p>
    <w:p>
      <w:pPr>
        <w:pStyle w:val="BookText"/>
      </w:pPr>
      <w:r>
        <w:rPr>
          <w:rFonts w:ascii="IRNazanin" w:hAnsi="IRNazanin" w:eastAsia="IRNazanin" w:cs="IRNazanin"/>
          <w:lang w:bidi="fa-IR"/>
          <w:color w:val="111111"/>
          <w:sz w:val="28"/>
          <w:szCs w:val="28"/>
          <w:rtl/>
        </w:rPr>
        <w:t xml:space="preserve">همانندی غیر معلوم: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اصفهان؛ عمومی اصفهان (فرهنگ سابق)؛ شماره نسخه:۱۱۴۵۴</w:t>
      </w:r>
    </w:p>
    <w:p>
      <w:pPr>
        <w:pStyle w:val="BookText"/>
      </w:pPr>
      <w:r>
        <w:rPr>
          <w:rFonts w:ascii="IRNazanin" w:hAnsi="IRNazanin" w:eastAsia="IRNazanin" w:cs="IRNazanin"/>
          <w:lang w:bidi="fa-IR"/>
          <w:color w:val="111111"/>
          <w:sz w:val="28"/>
          <w:szCs w:val="28"/>
          <w:rtl/>
        </w:rPr>
        <w:t xml:space="preserve">بی کا، تا: شعبان ۱۳۲۲ق (نشریه: ۵-۳۱۶]</w:t>
      </w:r>
    </w:p>
    <w:p>
      <w:pPr>
        <w:pStyle w:val="BookText"/>
      </w:pPr>
      <w:r>
        <w:rPr>
          <w:rFonts w:ascii="IRNazanin" w:hAnsi="IRNazanin" w:eastAsia="IRNazanin" w:cs="IRNazanin"/>
          <w:lang w:bidi="fa-IR"/>
          <w:color w:val="111111"/>
          <w:sz w:val="28"/>
          <w:szCs w:val="28"/>
          <w:rtl/>
        </w:rPr>
        <w:t xml:space="preserve">۲. تهران؛ ملی؛ شماره نسخه:۲۵۷۶۳</w:t>
      </w:r>
    </w:p>
    <w:p>
      <w:pPr>
        <w:pStyle w:val="BookText"/>
      </w:pPr>
      <w:r>
        <w:rPr>
          <w:rFonts w:ascii="IRNazanin" w:hAnsi="IRNazanin" w:eastAsia="IRNazanin" w:cs="IRNazanin"/>
          <w:lang w:bidi="fa-IR"/>
          <w:color w:val="111111"/>
          <w:sz w:val="28"/>
          <w:szCs w:val="28"/>
          <w:rtl/>
        </w:rPr>
        <w:t xml:space="preserve">بی کا، بی تا؛ خریداری از امرالله صفری [رایانه]</w:t>
      </w:r>
    </w:p>
    <w:p>
      <w:pPr>
        <w:pStyle w:val="Heading3"/>
      </w:pPr>
      <w:bookmarkStart w:id="2553" w:name="_Toc1813"/>
      <w:r>
        <w:t>•تاریخ کرید = جزیره کرت / جغرافیا، تاریخ جهان / فارسی</w:t>
      </w:r>
      <w:bookmarkEnd w:id="2553"/>
    </w:p>
    <w:p>
      <w:pPr>
        <w:pStyle w:val="BookText"/>
      </w:pPr>
      <w:r>
        <w:rPr>
          <w:rFonts w:ascii="Times New Roman" w:hAnsi="Times New Roman" w:eastAsia="Times New Roman" w:cs="Times New Roman"/>
          <w:lang w:val="en-US" w:bidi="en-US"/>
          <w:color w:val="111111"/>
          <w:sz w:val="28"/>
          <w:szCs w:val="28"/>
          <w:rtl/>
        </w:rPr>
        <w:t xml:space="preserve">tārīx-e kerīd = jazīre-ye keret</w:t>
      </w:r>
    </w:p>
    <w:p>
      <w:pPr>
        <w:pStyle w:val="BookText"/>
      </w:pPr>
      <w:r>
        <w:rPr>
          <w:rFonts w:ascii="IRNazanin" w:hAnsi="IRNazanin" w:eastAsia="IRNazanin" w:cs="IRNazanin"/>
          <w:lang w:bidi="fa-IR"/>
          <w:color w:val="111111"/>
          <w:sz w:val="28"/>
          <w:szCs w:val="28"/>
          <w:rtl/>
        </w:rPr>
        <w:t xml:space="preserve">قراچه داغی، محمد جعفر بن محمد باقر، -۱۳۱۰ قمری</w:t>
      </w:r>
    </w:p>
    <w:p>
      <w:pPr>
        <w:pStyle w:val="BookText"/>
      </w:pPr>
      <w:r>
        <w:rPr>
          <w:rFonts w:ascii="Times New Roman" w:hAnsi="Times New Roman" w:eastAsia="Times New Roman" w:cs="Times New Roman"/>
          <w:lang w:val="en-US" w:bidi="en-US"/>
          <w:color w:val="111111"/>
          <w:sz w:val="28"/>
          <w:szCs w:val="28"/>
          <w:rtl/>
        </w:rPr>
        <w:t xml:space="preserve">qarāče dāqī, mohammad ja'far ebn-e mohammad bāqer (-1893)</w:t>
      </w:r>
    </w:p>
    <w:p>
      <w:pPr>
        <w:pStyle w:val="BookText"/>
      </w:pPr>
      <w:r>
        <w:rPr>
          <w:rFonts w:ascii="IRNazanin" w:hAnsi="IRNazanin" w:eastAsia="IRNazanin" w:cs="IRNazanin"/>
          <w:lang w:bidi="fa-IR"/>
          <w:color w:val="111111"/>
          <w:sz w:val="28"/>
          <w:szCs w:val="28"/>
          <w:rtl/>
        </w:rPr>
        <w:t xml:space="preserve">به آمر: اعتضاد السلطنه تاریخ تأليف: جمادی الاول ۱۲۹۴ق در تاریخ و جغرافیای این جزیره دریای سفید است. اصل ترکی آن از حسین کامی خانیه وی، که به فارسی ترجمه شده است. وی این جزیره را کر تیس و «اقریطش» نامیده است و اصل ترکی آن به نام «کرید تاریخی» در استانبول به سال ۱۲۸۸ ق چاپ شده است. یک نسخه از چاپی را منیف افندی به اعتضاد السلطنه اهداء کرده، و او دستور ترجمه آن را صادر کرده است. گویا</w:t>
      </w:r>
    </w:p>
    <w:p>
      <w:pPr>
        <w:pStyle w:val="BookText"/>
      </w:pPr>
      <w:r>
        <w:rPr>
          <w:rFonts w:ascii="IRNazanin" w:hAnsi="IRNazanin" w:eastAsia="IRNazanin" w:cs="IRNazanin"/>
          <w:lang w:bidi="fa-IR"/>
          <w:color w:val="111111"/>
          <w:sz w:val="28"/>
          <w:szCs w:val="28"/>
          <w:rtl/>
        </w:rPr>
        <w:t xml:space="preserve">فقط جلد نخستین آن به تهران رسیده و ترجمه شده است. [دنا ۷۳۲/۲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سپهسالار؛ شماره نسخه:۱۵۳۰</w:t>
      </w:r>
    </w:p>
    <w:p>
      <w:pPr>
        <w:pStyle w:val="BookText"/>
      </w:pPr>
      <w:r>
        <w:rPr>
          <w:rFonts w:ascii="IRNazanin" w:hAnsi="IRNazanin" w:eastAsia="IRNazanin" w:cs="IRNazanin"/>
          <w:lang w:bidi="fa-IR"/>
          <w:color w:val="111111"/>
          <w:sz w:val="28"/>
          <w:szCs w:val="28"/>
          <w:rtl/>
        </w:rPr>
        <w:t xml:space="preserve">آغاز: بسمله. الحمدلله الذي هدانا للايمان ... اما بعد چنین گوید گوشه نشین بادیه گمنامی خانیوی حسین کامی: که جزیره کرید بزرگترین جزایر بحر سفید؛ انجام: یک کسی قره مرسل اسلام را گرفته آورده اند تمت الترجمة في يوم الأربعاء تاسع شهر جمادی الأولى سنه ۱۲۹۴ و قد تم التحرير في سابع عشر شهر رجب المرجب سنه ۱۲۹۴ ... قد بلغ قباط في السبت اثنا و عشرون شهر رجب المرجب ۱۲۹۴.</w:t>
      </w:r>
    </w:p>
    <w:p>
      <w:pPr>
        <w:pStyle w:val="BookText"/>
      </w:pPr>
      <w:r>
        <w:rPr>
          <w:rFonts w:ascii="IRNazanin" w:hAnsi="IRNazanin" w:eastAsia="IRNazanin" w:cs="IRNazanin"/>
          <w:lang w:bidi="fa-IR"/>
          <w:color w:val="111111"/>
          <w:sz w:val="28"/>
          <w:szCs w:val="28"/>
          <w:rtl/>
        </w:rPr>
        <w:t xml:space="preserve">خط: نسخ، بی کا، تا: قرن ۱۳؛ تملك: اعتضاد السلطنه در ۱۹۹۴ ق؛ واقف: سپهسالار، ۱۲۹۷ ق؛ کاغذ: فرنگی، جلد: تیماج سرخ</w:t>
      </w:r>
    </w:p>
    <w:p>
      <w:pPr>
        <w:pStyle w:val="BookText"/>
      </w:pPr>
      <w:r>
        <w:rPr>
          <w:rFonts w:ascii="IRNazanin" w:hAnsi="IRNazanin" w:eastAsia="IRNazanin" w:cs="IRNazanin"/>
          <w:lang w:bidi="fa-IR"/>
          <w:color w:val="111111"/>
          <w:sz w:val="28"/>
          <w:szCs w:val="28"/>
          <w:rtl/>
        </w:rPr>
        <w:t xml:space="preserve">مقوایی، ۱۱۵گ، ۱۸ سطر،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۳-۳۰۱]</w:t>
      </w:r>
    </w:p>
    <w:p>
      <w:pPr>
        <w:pStyle w:val="BookText"/>
      </w:pPr>
      <w:r>
        <w:rPr>
          <w:rFonts w:ascii="IRNazanin" w:hAnsi="IRNazanin" w:eastAsia="IRNazanin" w:cs="IRNazanin"/>
          <w:lang w:bidi="fa-IR"/>
          <w:color w:val="111111"/>
          <w:sz w:val="28"/>
          <w:szCs w:val="28"/>
          <w:rtl/>
        </w:rPr>
        <w:t xml:space="preserve">۲. تهران؛ ملی؛ شماره نسخه:۲۸۴</w:t>
      </w:r>
    </w:p>
    <w:p>
      <w:pPr>
        <w:pStyle w:val="BookText"/>
      </w:pPr>
      <w:r>
        <w:rPr>
          <w:rFonts w:ascii="IRNazanin" w:hAnsi="IRNazanin" w:eastAsia="IRNazanin" w:cs="IRNazanin"/>
          <w:lang w:bidi="fa-IR"/>
          <w:color w:val="111111"/>
          <w:sz w:val="28"/>
          <w:szCs w:val="28"/>
          <w:rtl/>
        </w:rPr>
        <w:t xml:space="preserve">آغاز: ترجمه: هو الله تعالى شأنه العزيز. در اوائل شهر محرم الحرام که بدایت سنه ۱۲۹۴ هزار و دویست و نود و چهار هجری و نهایت سال خیریت مال سیچقان ئیل ترکی؛ انجام: در آنروز شش پاره کشتی وند یکی در پیشگاه حاینه از جای توپ نرسی می گذشته یک کشتی قره مرسل اسلام را گرفته آوردند خط: نسخ خوش، بی کا، تا: ۱۳ ربیع الاول ۱۲۹۵ق، جا: تهران؛ با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546" w:name="pg20363_209863"/>
    <w:bookmarkEnd w:id="546"/>
    <w:p>
      <w:pPr>
        <w:pStyle w:val="BookText"/>
      </w:pPr>
      <w:r>
        <w:rPr>
          <w:rFonts w:ascii="IRNazanin" w:hAnsi="IRNazanin" w:eastAsia="IRNazanin" w:cs="IRNazanin"/>
          <w:lang w:bidi="fa-IR"/>
          <w:color w:val="111111"/>
          <w:sz w:val="28"/>
          <w:szCs w:val="28"/>
          <w:rtl/>
        </w:rPr>
        <w:t xml:space="preserve">سرلوح زر، مجدول؛ کاغذ: فرنگی شکری، جلد: تیماج آبی، ۱۱۸، ۱۷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۱-۲۷۶]</w:t>
      </w:r>
    </w:p>
    <w:p>
      <w:pPr>
        <w:pStyle w:val="Heading3"/>
      </w:pPr>
      <w:bookmarkStart w:id="2554" w:name="_Toc1814"/>
      <w:r>
        <w:t>•تاریخ کریمه / تاریخ جهان / فارسی</w:t>
      </w:r>
      <w:bookmarkEnd w:id="2554"/>
    </w:p>
    <w:p>
      <w:pPr>
        <w:pStyle w:val="BookText"/>
      </w:pPr>
      <w:r>
        <w:rPr>
          <w:rFonts w:ascii="Times New Roman" w:hAnsi="Times New Roman" w:eastAsia="Times New Roman" w:cs="Times New Roman"/>
          <w:lang w:val="en-US" w:bidi="en-US"/>
          <w:color w:val="111111"/>
          <w:sz w:val="28"/>
          <w:szCs w:val="28"/>
          <w:rtl/>
        </w:rPr>
        <w:t xml:space="preserve">tārīx-e kerīme</w:t>
      </w:r>
    </w:p>
    <w:p>
      <w:pPr>
        <w:pStyle w:val="BookText"/>
      </w:pPr>
      <w:r>
        <w:rPr>
          <w:rFonts w:ascii="IRNazanin" w:hAnsi="IRNazanin" w:eastAsia="IRNazanin" w:cs="IRNazanin"/>
          <w:lang w:bidi="fa-IR"/>
          <w:color w:val="111111"/>
          <w:sz w:val="28"/>
          <w:szCs w:val="28"/>
          <w:rtl/>
        </w:rPr>
        <w:t xml:space="preserve">تهران؛ ملک؛ شماره نسخه:۳۸۷۹</w:t>
      </w:r>
    </w:p>
    <w:p>
      <w:pPr>
        <w:pStyle w:val="BookText"/>
      </w:pPr>
      <w:r>
        <w:rPr>
          <w:rFonts w:ascii="IRNazanin" w:hAnsi="IRNazanin" w:eastAsia="IRNazanin" w:cs="IRNazanin"/>
          <w:lang w:bidi="fa-IR"/>
          <w:color w:val="111111"/>
          <w:sz w:val="28"/>
          <w:szCs w:val="28"/>
          <w:rtl/>
        </w:rPr>
        <w:t xml:space="preserve">آغاز: شاهینگرای خان قریم به جهت کمال ساده لوحی و غفلت از مکر و حیله روسها؛ انجام: که به خلاف حسن مواسات و مصافات بين الدولتين باشد اصلا تجویز نخواهد شد. خط: نستعلیق، کا: اسدالله شیرازی، تا: شوال ۱۲۸۶ق، برای ناصرالدین شاه به نام «معاهدة القرم»؛ کاغذ: فرنگی آبی، جلد: میشن سیاه، ۷۹گ، ۱۵ سطر، اندازه: ۲۴/۱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۱۷/۱ سم [ف: ۲-۹۰]</w:t>
      </w:r>
    </w:p>
    <w:p>
      <w:pPr>
        <w:pStyle w:val="Heading3"/>
      </w:pPr>
      <w:bookmarkStart w:id="2555" w:name="_Toc1815"/>
      <w:r>
        <w:t>•تاریخ کشته شدن عمر خطاب / تاریخ / فارسی</w:t>
      </w:r>
      <w:bookmarkEnd w:id="2555"/>
    </w:p>
    <w:p>
      <w:pPr>
        <w:pStyle w:val="BookText"/>
      </w:pPr>
      <w:r>
        <w:rPr>
          <w:rFonts w:ascii="Times New Roman" w:hAnsi="Times New Roman" w:eastAsia="Times New Roman" w:cs="Times New Roman"/>
          <w:lang w:val="en-US" w:bidi="en-US"/>
          <w:color w:val="111111"/>
          <w:sz w:val="28"/>
          <w:szCs w:val="28"/>
          <w:rtl/>
        </w:rPr>
        <w:t xml:space="preserve">tārīx-e kešte šodan-e ‘omar-e xattāb</w:t>
      </w:r>
    </w:p>
    <w:p>
      <w:pPr>
        <w:pStyle w:val="BookText"/>
      </w:pPr>
      <w:r>
        <w:rPr>
          <w:rFonts w:ascii="IRNazanin" w:hAnsi="IRNazanin" w:eastAsia="IRNazanin" w:cs="IRNazanin"/>
          <w:lang w:bidi="fa-IR"/>
          <w:color w:val="111111"/>
          <w:sz w:val="28"/>
          <w:szCs w:val="28"/>
          <w:rtl/>
        </w:rPr>
        <w:t xml:space="preserve">مجلسی، محمد باقر بن محمد تقی، ۱۰۳۷-۱۱۱۰ قمری</w:t>
      </w:r>
    </w:p>
    <w:p>
      <w:pPr>
        <w:pStyle w:val="BookText"/>
      </w:pPr>
      <w:r>
        <w:rPr>
          <w:rFonts w:ascii="Times New Roman" w:hAnsi="Times New Roman" w:eastAsia="Times New Roman" w:cs="Times New Roman"/>
          <w:lang w:val="en-US" w:bidi="en-US"/>
          <w:color w:val="111111"/>
          <w:sz w:val="28"/>
          <w:szCs w:val="28"/>
          <w:rtl/>
        </w:rPr>
        <w:t xml:space="preserve">majlesī, mohammad bāqer ebn-e mohammad taqī (1628-1699)</w:t>
      </w:r>
    </w:p>
    <w:p>
      <w:pPr>
        <w:pStyle w:val="BookText"/>
      </w:pPr>
      <w:r>
        <w:rPr>
          <w:rFonts w:ascii="IRNazanin" w:hAnsi="IRNazanin" w:eastAsia="IRNazanin" w:cs="IRNazanin"/>
          <w:lang w:bidi="fa-IR"/>
          <w:color w:val="111111"/>
          <w:sz w:val="28"/>
          <w:szCs w:val="28"/>
          <w:rtl/>
        </w:rPr>
        <w:t xml:space="preserve">در تعیین روز وفات خليفه دوم و برخی از روایت های مربوط به این موضوع. آغاز: الحمدلله الذي أنار قلوب المؤمنين ببوار الكافرين و المنافقين و حمد نفسه على قطع دابر الظالمين ... اما بعد چنین گوید تراب اقدام طالبان حق ويقين محمد باقر انجام: و بعضی می گویند که عمر سعد عليه اللعنة دراین روز به جهنم واصل شده است اگر چنین باشد این شرافت نیز برای آن کافی است تمت الرسالة و الحمدلله ... و لعنة الله على اعدائهم اجمعین الى يوم الدين. [دنا ۷۳۲/۲ ؛ کتابشناسی علامه مجلسی ص ۱۶۵]</w:t>
      </w:r>
    </w:p>
    <w:p>
      <w:pPr>
        <w:pStyle w:val="BookText"/>
      </w:pPr>
      <w:r>
        <w:rPr>
          <w:rFonts w:ascii="IRNazanin" w:hAnsi="IRNazanin" w:eastAsia="IRNazanin" w:cs="IRNazanin"/>
          <w:lang w:bidi="fa-IR"/>
          <w:color w:val="111111"/>
          <w:sz w:val="28"/>
          <w:szCs w:val="28"/>
          <w:rtl/>
        </w:rPr>
        <w:t xml:space="preserve">۱. تهران؛ الهیات؛ شماره نسخه: ۷۸/۶</w:t>
      </w:r>
    </w:p>
    <w:p>
      <w:pPr>
        <w:pStyle w:val="BookText"/>
      </w:pPr>
      <w:r>
        <w:rPr>
          <w:rFonts w:ascii="IRNazanin" w:hAnsi="IRNazanin" w:eastAsia="IRNazanin" w:cs="IRNazanin"/>
          <w:lang w:bidi="fa-IR"/>
          <w:color w:val="111111"/>
          <w:sz w:val="28"/>
          <w:szCs w:val="28"/>
          <w:rtl/>
        </w:rPr>
        <w:t xml:space="preserve">خط: نسخ، بی کا، تا: قرن ۱۲؛ کاغذ: اصفهانی، جلد: تیماج مشکی ضربی، ۵گ (۱۰۰پ -۱۰۴ر)،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۷۱۲]</w:t>
      </w:r>
    </w:p>
    <w:p>
      <w:pPr>
        <w:pStyle w:val="BookText"/>
      </w:pPr>
      <w:r>
        <w:rPr>
          <w:rFonts w:ascii="IRNazanin" w:hAnsi="IRNazanin" w:eastAsia="IRNazanin" w:cs="IRNazanin"/>
          <w:lang w:bidi="fa-IR"/>
          <w:color w:val="111111"/>
          <w:sz w:val="28"/>
          <w:szCs w:val="28"/>
          <w:rtl/>
        </w:rPr>
        <w:t xml:space="preserve">۲. قم؛ گلپایگانی؛ شماره نسخه: ۴۴۴۵/۳ - ۲۲/۱۶۵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۱۲، جلد: تیماج مشکی، ۶گ، ۱۷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[ف: ۲-۹۶۴]</w:t>
      </w:r>
    </w:p>
    <w:p>
      <w:pPr>
        <w:pStyle w:val="BookText"/>
      </w:pPr>
      <w:r>
        <w:rPr>
          <w:rFonts w:ascii="IRNazanin" w:hAnsi="IRNazanin" w:eastAsia="IRNazanin" w:cs="IRNazanin"/>
          <w:lang w:bidi="fa-IR"/>
          <w:color w:val="111111"/>
          <w:sz w:val="28"/>
          <w:szCs w:val="28"/>
          <w:rtl/>
        </w:rPr>
        <w:t xml:space="preserve">٣. قم؛ مرعشی؛ شماره نسخه:۸۸۳۹/۱۳ و عکسی ۱۱۸۶/۲۶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۱۲؛ جلد: تیماج قهوه ای، ۴گ (۱۷۹پ - ۱۸۲ر)،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۲۳-۲۸] و [عکسی ف: ۳-۴۴۳]</w:t>
      </w:r>
    </w:p>
    <w:p>
      <w:pPr>
        <w:pStyle w:val="BookText"/>
      </w:pPr>
      <w:r>
        <w:rPr>
          <w:rFonts w:ascii="IRNazanin" w:hAnsi="IRNazanin" w:eastAsia="IRNazanin" w:cs="IRNazanin"/>
          <w:lang w:bidi="fa-IR"/>
          <w:color w:val="111111"/>
          <w:sz w:val="28"/>
          <w:szCs w:val="28"/>
          <w:rtl/>
        </w:rPr>
        <w:t xml:space="preserve">۴. قم؛ مرکز احیاء؛ شماره نسخه:۴۳۶۰/۷</w:t>
      </w:r>
    </w:p>
    <w:p>
      <w:pPr>
        <w:pStyle w:val="BookText"/>
      </w:pPr>
      <w:r>
        <w:rPr>
          <w:rFonts w:ascii="IRNazanin" w:hAnsi="IRNazanin" w:eastAsia="IRNazanin" w:cs="IRNazanin"/>
          <w:lang w:bidi="fa-IR"/>
          <w:color w:val="111111"/>
          <w:sz w:val="28"/>
          <w:szCs w:val="28"/>
          <w:rtl/>
        </w:rPr>
        <w:t xml:space="preserve">آغاز: برابر؛ انجام: و صاحب کتاب زوائد الفوائد گفته است که این حدیث را از خط علی بن محمد بن طی رحمة الله عليه نوشتم و در ... خط: نسخ، بی کا، تا: قرن ۱۲؛ افتادگی: انجام؛ جلد: تیماج قهوه ای ضربی، ۵گ (۲۱۹پ -۲۲۳)، ۱۸ سطر، اندازه: ۱۳/۵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۲۰/۵سم [محدث ارموی مخ: ۳-۱۶۸۴]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مرکز احیاء؛ شماره نسخه: ۸۳۸/۲</w:t>
      </w:r>
    </w:p>
    <w:p>
      <w:pPr>
        <w:pStyle w:val="BookText"/>
      </w:pPr>
      <w:r>
        <w:rPr>
          <w:rFonts w:ascii="IRNazanin" w:hAnsi="IRNazanin" w:eastAsia="IRNazanin" w:cs="IRNazanin"/>
          <w:lang w:bidi="fa-IR"/>
          <w:color w:val="111111"/>
          <w:sz w:val="28"/>
          <w:szCs w:val="28"/>
          <w:rtl/>
        </w:rPr>
        <w:t xml:space="preserve">آغاز و انجام: برابر خط: نسخ و نستعلیق، بی کا، تا: قرن ۱۳؛ جلد: تیماج قهوه ای، ۸گی</w:t>
      </w:r>
    </w:p>
    <w:p>
      <w:pPr>
        <w:pStyle w:val="BookText"/>
      </w:pPr>
      <w:r>
        <w:rPr>
          <w:rFonts w:ascii="IRNazanin" w:hAnsi="IRNazanin" w:eastAsia="IRNazanin" w:cs="IRNazanin"/>
          <w:lang w:bidi="fa-IR"/>
          <w:color w:val="111111"/>
          <w:sz w:val="28"/>
          <w:szCs w:val="28"/>
          <w:rtl/>
        </w:rPr>
        <w:t xml:space="preserve">(۱۱ر-۱۸پ)، ۱۳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۳-۵۰]</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قم؛ مرکز احیاء؛ شماره نسخه:۱۹۲۱/۳</w:t>
      </w:r>
    </w:p>
    <w:p>
      <w:pPr>
        <w:pStyle w:val="BookText"/>
      </w:pPr>
      <w:r>
        <w:rPr>
          <w:rFonts w:ascii="IRNazanin" w:hAnsi="IRNazanin" w:eastAsia="IRNazanin" w:cs="IRNazanin"/>
          <w:lang w:bidi="fa-IR"/>
          <w:color w:val="111111"/>
          <w:sz w:val="28"/>
          <w:szCs w:val="28"/>
          <w:rtl/>
        </w:rPr>
        <w:t xml:space="preserve">خط: نسخ، كان محمد صادق بن محمد على، تا: اواخر قرن ۱۳؛ جلد: مقوایی عطف تیماج قهوه ای، وگ (۵۵پ -۶۳پ)، ۱۵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سم [ف: ۵-۳۵۱]</w:t>
      </w:r>
    </w:p>
    <w:p>
      <w:pPr>
        <w:pStyle w:val="BookText"/>
      </w:pPr>
      <w:r>
        <w:rPr>
          <w:rFonts w:ascii="IRNazanin" w:hAnsi="IRNazanin" w:eastAsia="IRNazanin" w:cs="IRNazanin"/>
          <w:lang w:bidi="fa-IR"/>
          <w:color w:val="111111"/>
          <w:sz w:val="28"/>
          <w:szCs w:val="28"/>
          <w:rtl/>
        </w:rPr>
        <w:t xml:space="preserve">۷. مشهد؛ رضوی؛ شماره نسخه:ض۱۰۸۹۹</w:t>
      </w:r>
    </w:p>
    <w:p>
      <w:pPr>
        <w:pStyle w:val="BookText"/>
      </w:pPr>
      <w:r>
        <w:rPr>
          <w:rFonts w:ascii="IRNazanin" w:hAnsi="IRNazanin" w:eastAsia="IRNazanin" w:cs="IRNazanin"/>
          <w:lang w:bidi="fa-IR"/>
          <w:color w:val="111111"/>
          <w:sz w:val="28"/>
          <w:szCs w:val="28"/>
          <w:rtl/>
        </w:rPr>
        <w:t xml:space="preserve">خط: نستعلیق، بی کا، تا: ۱۲۴۱ ق [الفبائی: ۴۴۲]</w:t>
      </w:r>
    </w:p>
    <w:p>
      <w:pPr>
        <w:pStyle w:val="Heading3"/>
      </w:pPr>
      <w:bookmarkStart w:id="2556" w:name="_Toc1816"/>
      <w:r>
        <w:t>•تاریخ کشف آمریکا (ترجمه) / تاریخ جهان / فارسی</w:t>
      </w:r>
      <w:bookmarkEnd w:id="2556"/>
    </w:p>
    <w:p>
      <w:pPr>
        <w:pStyle w:val="BookText"/>
      </w:pPr>
      <w:r>
        <w:rPr>
          <w:rFonts w:ascii="Times New Roman" w:hAnsi="Times New Roman" w:eastAsia="Times New Roman" w:cs="Times New Roman"/>
          <w:lang w:val="en-US" w:bidi="en-US"/>
          <w:color w:val="111111"/>
          <w:sz w:val="28"/>
          <w:szCs w:val="28"/>
          <w:rtl/>
        </w:rPr>
        <w:t xml:space="preserve">tārīx-e kašf -e āmrīkā</w:t>
      </w:r>
    </w:p>
    <w:p>
      <w:pPr>
        <w:pStyle w:val="BookText"/>
      </w:pPr>
      <w:r>
        <w:rPr>
          <w:rFonts w:ascii="IRNazanin" w:hAnsi="IRNazanin" w:eastAsia="IRNazanin" w:cs="IRNazanin"/>
          <w:lang w:bidi="fa-IR"/>
          <w:color w:val="111111"/>
          <w:sz w:val="28"/>
          <w:szCs w:val="28"/>
          <w:rtl/>
        </w:rPr>
        <w:t xml:space="preserve">محبعلی خان</w:t>
      </w:r>
    </w:p>
    <w:p>
      <w:pPr>
        <w:pStyle w:val="BookText"/>
      </w:pPr>
      <w:r>
        <w:rPr>
          <w:rFonts w:ascii="Times New Roman" w:hAnsi="Times New Roman" w:eastAsia="Times New Roman" w:cs="Times New Roman"/>
          <w:lang w:val="en-US" w:bidi="en-US"/>
          <w:color w:val="111111"/>
          <w:sz w:val="28"/>
          <w:szCs w:val="28"/>
          <w:rtl/>
        </w:rPr>
        <w:t xml:space="preserve">moheb-alī xān</w:t>
      </w:r>
    </w:p>
    <w:p>
      <w:pPr>
        <w:pStyle w:val="BookText"/>
      </w:pPr>
      <w:r>
        <w:rPr>
          <w:rFonts w:ascii="IRNazanin" w:hAnsi="IRNazanin" w:eastAsia="IRNazanin" w:cs="IRNazanin"/>
          <w:lang w:bidi="fa-IR"/>
          <w:color w:val="111111"/>
          <w:sz w:val="28"/>
          <w:szCs w:val="28"/>
          <w:rtl/>
        </w:rPr>
        <w:t xml:space="preserve">تاریخ ترجمه: ۱۳۱۵ق این کتاب را محبعلی خان آجودان وزارت جنگ در زمان سلطنت مظفرالدین شاه قاجار بر حسب اشارت نیر المک وزیر علوم از ترکی عثمانی به فارسی ترجمه کرده ولی ذکر نکرده است که ترکی آن ترجمه از چه زبانی بوده و مؤلف چه نام داشته است. این کتاب غیر از «تاریخ کشف آمریکا» تأليف صنيع الدوله محمد حسنخان اعتماد السلطنه مراغی است که به سال ۱۲۸۸ ق در طهران به چاپ سنگی رسیده است. تاریخ مزبور شامل دو جلد در یک مجلدست: جلد ۱. مشتمل بر مقدمه» و شانزده «فصل» و «خاتمه»؛ جلد ۲. مشتمل بر «مقدمه» و بیست و سه فصل».</w:t>
      </w:r>
    </w:p>
    <w:p>
      <w:pPr>
        <w:pStyle w:val="BookText"/>
      </w:pPr>
      <w:r>
        <w:rPr>
          <w:rFonts w:ascii="IRNazanin" w:hAnsi="IRNazanin" w:eastAsia="IRNazanin" w:cs="IRNazanin"/>
          <w:lang w:bidi="fa-IR"/>
          <w:color w:val="111111"/>
          <w:sz w:val="28"/>
          <w:szCs w:val="28"/>
          <w:rtl/>
        </w:rPr>
        <w:t xml:space="preserve">(گلچین معانی) آغاز: جلد اول: سپاس بی قیاس مالک الملکی را سزاست که در جهان هستی و عالم امر ... جلد دوم: ثنای حضرت عزت نیمتوانم گفت *** که ره نمی برد آنجا قیاس و وهم و خیال انجام: پس از آن بواسطه سیاح مذکور مجدد کشف گردید. پس از چندی جنازه اش را نقل نموده در جزیره کوبا در شهر اونادا دفن نمودند.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ملی؛ شماره نسخه:۵۶۸ آغاز و انجام: برابر</w:t>
      </w:r>
    </w:p>
    <w:p>
      <w:pPr>
        <w:pStyle w:val="BookText"/>
      </w:pPr>
      <w:r>
        <w:rPr>
          <w:rFonts w:ascii="IRNazanin" w:hAnsi="IRNazanin" w:eastAsia="IRNazanin" w:cs="IRNazanin"/>
          <w:lang w:bidi="fa-IR"/>
          <w:color w:val="111111"/>
          <w:sz w:val="28"/>
          <w:szCs w:val="28"/>
          <w:rtl/>
        </w:rPr>
        <w:t xml:space="preserve">خط: نسخ، بی کا، تا: ۱۳۱۵ق، جا؛ تهران؛ با سرلوح مذهب، مجدول؛ کاغذ: فرنگی، جلد: تیماج مقوایی قرمز، ۶۵گ، ۱۴ سطر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۱۳/۵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۲-۶۴]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547" w:name="pg20363_209864"/>
    <w:bookmarkEnd w:id="547"/>
    <w:p>
      <w:pPr>
        <w:pStyle w:val="BookText"/>
      </w:pPr>
      <w:r>
        <w:rPr>
          <w:rFonts w:ascii="IRNazanin" w:hAnsi="IRNazanin" w:eastAsia="IRNazanin" w:cs="IRNazanin"/>
          <w:lang w:bidi="fa-IR"/>
          <w:color w:val="111111"/>
          <w:sz w:val="28"/>
          <w:szCs w:val="28"/>
          <w:rtl/>
        </w:rPr>
        <w:t xml:space="preserve">۲. مشهد؛ رضوی؛ شماره نسخه:۴۱۸۳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۱۳۱۵ق؛ واقف: نایینی؛ کاغذ: شکری فرنگی آهار مهره، جلد: تیماج عنابی، ۹۷گ، ۱۶ سطر (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۷-۳۶]</w:t>
      </w:r>
    </w:p>
    <w:p>
      <w:pPr>
        <w:pStyle w:val="Heading3"/>
      </w:pPr>
      <w:bookmarkStart w:id="2557" w:name="_Toc1817"/>
      <w:r>
        <w:t>•تاریخ کشمیر / تاریخ هند / هندی</w:t>
      </w:r>
      <w:bookmarkEnd w:id="2557"/>
    </w:p>
    <w:p>
      <w:pPr>
        <w:pStyle w:val="BookText"/>
      </w:pPr>
      <w:r>
        <w:rPr>
          <w:rFonts w:ascii="Times New Roman" w:hAnsi="Times New Roman" w:eastAsia="Times New Roman" w:cs="Times New Roman"/>
          <w:lang w:val="en-US" w:bidi="en-US"/>
          <w:color w:val="111111"/>
          <w:sz w:val="28"/>
          <w:szCs w:val="28"/>
          <w:rtl/>
        </w:rPr>
        <w:t xml:space="preserve">tārīx-e kešmīr</w:t>
      </w:r>
    </w:p>
    <w:p>
      <w:pPr>
        <w:pStyle w:val="BookText"/>
      </w:pPr>
      <w:r>
        <w:rPr>
          <w:rFonts w:ascii="IRNazanin" w:hAnsi="IRNazanin" w:eastAsia="IRNazanin" w:cs="IRNazanin"/>
          <w:lang w:bidi="fa-IR"/>
          <w:color w:val="111111"/>
          <w:sz w:val="28"/>
          <w:szCs w:val="28"/>
          <w:rtl/>
        </w:rPr>
        <w:t xml:space="preserve">تراين کاول</w:t>
      </w:r>
    </w:p>
    <w:p>
      <w:pPr>
        <w:pStyle w:val="BookText"/>
      </w:pPr>
      <w:r>
        <w:rPr>
          <w:rFonts w:ascii="Times New Roman" w:hAnsi="Times New Roman" w:eastAsia="Times New Roman" w:cs="Times New Roman"/>
          <w:lang w:val="en-US" w:bidi="en-US"/>
          <w:color w:val="111111"/>
          <w:sz w:val="28"/>
          <w:szCs w:val="28"/>
          <w:rtl/>
        </w:rPr>
        <w:t xml:space="preserve">narāyen kāwl</w:t>
      </w:r>
    </w:p>
    <w:p>
      <w:pPr>
        <w:pStyle w:val="BookText"/>
      </w:pPr>
      <w:r>
        <w:rPr>
          <w:rFonts w:ascii="IRNazanin" w:hAnsi="IRNazanin" w:eastAsia="IRNazanin" w:cs="IRNazanin"/>
          <w:lang w:bidi="fa-IR"/>
          <w:color w:val="111111"/>
          <w:sz w:val="28"/>
          <w:szCs w:val="28"/>
          <w:rtl/>
        </w:rPr>
        <w:t xml:space="preserve">پندیت بیربال از نراین کاول (</w:t>
      </w:r>
      <w:r>
        <w:rPr>
          <w:rFonts w:ascii="Times New Roman" w:hAnsi="Times New Roman" w:eastAsia="Times New Roman" w:cs="Times New Roman"/>
          <w:lang w:val="en-US" w:bidi="en-US"/>
          <w:color w:val="111111"/>
          <w:sz w:val="28"/>
          <w:szCs w:val="28"/>
          <w:rtl/>
        </w:rPr>
        <w:t xml:space="preserve">Narayan Kaul) </w:t>
      </w:r>
      <w:r>
        <w:rPr>
          <w:rFonts w:ascii="IRNazanin" w:hAnsi="IRNazanin" w:eastAsia="IRNazanin" w:cs="IRNazanin"/>
          <w:lang w:bidi="fa-IR"/>
          <w:color w:val="111111"/>
          <w:sz w:val="28"/>
          <w:szCs w:val="28"/>
          <w:rtl/>
        </w:rPr>
        <w:t xml:space="preserve">عاجز زنده در ۱۱۲۲ از آغاز تا سال ۱۱۲۲ با ذیل پندیت بیربال (</w:t>
      </w:r>
      <w:r>
        <w:rPr>
          <w:rFonts w:ascii="Times New Roman" w:hAnsi="Times New Roman" w:eastAsia="Times New Roman" w:cs="Times New Roman"/>
          <w:lang w:val="en-US" w:bidi="en-US"/>
          <w:color w:val="111111"/>
          <w:sz w:val="28"/>
          <w:szCs w:val="28"/>
          <w:rtl/>
        </w:rPr>
        <w:t xml:space="preserve">Pandit Birbal) </w:t>
      </w:r>
      <w:r>
        <w:rPr>
          <w:rFonts w:ascii="IRNazanin" w:hAnsi="IRNazanin" w:eastAsia="IRNazanin" w:cs="IRNazanin"/>
          <w:lang w:bidi="fa-IR"/>
          <w:color w:val="111111"/>
          <w:sz w:val="28"/>
          <w:szCs w:val="28"/>
          <w:rtl/>
        </w:rPr>
        <w:t xml:space="preserve">تا سال ۱۲۶۷.</w:t>
      </w:r>
    </w:p>
    <w:p>
      <w:pPr>
        <w:pStyle w:val="BookText"/>
      </w:pPr>
      <w:r>
        <w:rPr>
          <w:rFonts w:ascii="IRNazanin" w:hAnsi="IRNazanin" w:eastAsia="IRNazanin" w:cs="IRNazanin"/>
          <w:lang w:bidi="fa-IR"/>
          <w:color w:val="111111"/>
          <w:sz w:val="28"/>
          <w:szCs w:val="28"/>
          <w:rtl/>
        </w:rPr>
        <w:t xml:space="preserve">[آربری ۲۹۸؛ استوری ۶۸۱/۱ و ۱۳۲۵]</w:t>
      </w:r>
    </w:p>
    <w:p>
      <w:pPr>
        <w:pStyle w:val="BookText"/>
      </w:pPr>
      <w:r>
        <w:rPr>
          <w:rFonts w:ascii="IRNazanin" w:hAnsi="IRNazanin" w:eastAsia="IRNazanin" w:cs="IRNazanin"/>
          <w:lang w:bidi="fa-IR"/>
          <w:color w:val="111111"/>
          <w:sz w:val="28"/>
          <w:szCs w:val="28"/>
          <w:rtl/>
        </w:rPr>
        <w:t xml:space="preserve">تهران؛ دانشگاه؛ شماره نسخه:۵۳۲۷</w:t>
      </w:r>
    </w:p>
    <w:p>
      <w:pPr>
        <w:pStyle w:val="BookText"/>
      </w:pPr>
      <w:r>
        <w:rPr>
          <w:rFonts w:ascii="IRNazanin" w:hAnsi="IRNazanin" w:eastAsia="IRNazanin" w:cs="IRNazanin"/>
          <w:lang w:bidi="fa-IR"/>
          <w:color w:val="111111"/>
          <w:sz w:val="28"/>
          <w:szCs w:val="28"/>
          <w:rtl/>
        </w:rPr>
        <w:t xml:space="preserve">خط: نستعلیق هندی، بی کا، تا: ۱۲۶۷ ق (۱۸۵۱م =۱۹۰۸ سموات </w:t>
      </w:r>
      <w:r>
        <w:rPr>
          <w:rFonts w:ascii="Times New Roman" w:hAnsi="Times New Roman" w:eastAsia="Times New Roman" w:cs="Times New Roman"/>
          <w:lang w:val="en-US" w:bidi="en-US"/>
          <w:color w:val="111111"/>
          <w:sz w:val="28"/>
          <w:szCs w:val="28"/>
          <w:rtl/>
        </w:rPr>
        <w:t xml:space="preserve">Samwat)</w:t>
      </w:r>
      <w:r>
        <w:rPr>
          <w:rFonts w:ascii="IRNazanin" w:hAnsi="IRNazanin" w:eastAsia="IRNazanin" w:cs="IRNazanin"/>
          <w:lang w:bidi="fa-IR"/>
          <w:color w:val="111111"/>
          <w:sz w:val="28"/>
          <w:szCs w:val="28"/>
          <w:rtl/>
        </w:rPr>
        <w:t xml:space="preserve">؛ مجدول؛ کاغذ: فرنگی آهار مهره، جلد: تیماج مشکی، ۲۵۷گ، ۱۴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۱۵-۴۲۰۵]</w:t>
      </w:r>
    </w:p>
    <w:p>
      <w:pPr>
        <w:pStyle w:val="Heading3"/>
      </w:pPr>
      <w:bookmarkStart w:id="2558" w:name="_Toc1818"/>
      <w:r>
        <w:t>•تاریخ کشمیر / تاریخ / فارسی</w:t>
      </w:r>
      <w:bookmarkEnd w:id="2558"/>
    </w:p>
    <w:p>
      <w:pPr>
        <w:pStyle w:val="BookText"/>
      </w:pPr>
      <w:r>
        <w:rPr>
          <w:rFonts w:ascii="Times New Roman" w:hAnsi="Times New Roman" w:eastAsia="Times New Roman" w:cs="Times New Roman"/>
          <w:lang w:val="en-US" w:bidi="en-US"/>
          <w:color w:val="111111"/>
          <w:sz w:val="28"/>
          <w:szCs w:val="28"/>
          <w:rtl/>
        </w:rPr>
        <w:t xml:space="preserve">tārīx-e kešmīr</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IRNazanin" w:hAnsi="IRNazanin" w:eastAsia="IRNazanin" w:cs="IRNazanin"/>
          <w:lang w:bidi="fa-IR"/>
          <w:color w:val="111111"/>
          <w:sz w:val="28"/>
          <w:szCs w:val="28"/>
          <w:rtl/>
        </w:rPr>
        <w:t xml:space="preserve">۱. تهران، دائرة المعارف؛ شماره نسخه:۳۹۸-عکسی</w:t>
      </w:r>
    </w:p>
    <w:p>
      <w:pPr>
        <w:pStyle w:val="BookText"/>
      </w:pPr>
      <w:r>
        <w:rPr>
          <w:rFonts w:ascii="IRNazanin" w:hAnsi="IRNazanin" w:eastAsia="IRNazanin" w:cs="IRNazanin"/>
          <w:lang w:bidi="fa-IR"/>
          <w:color w:val="111111"/>
          <w:sz w:val="28"/>
          <w:szCs w:val="28"/>
          <w:rtl/>
        </w:rPr>
        <w:t xml:space="preserve">انجام: تاريخ رشيدی تالیف ازوست. به موجب فرمایش وليم مور گرافت صاحب بهادر میر آخور باشی دولت انگلیسیه به اهتمام رسید. عزت الله خان صورت یافت. تاریخ یازدهم جمادی الثانی ۱۲۳۸ق. نسخه اصل: گنج بخش ش ۳۶۴۳؛ دیباچه را ندارد. بیشتر آداب و رسوم و زندگی مردم را در بر دارد. هزینه بدست آوردن فراورده ها، بسیار ارزشمند است و تاریخ ۱۱۵۸ق را دارد، چند سربند: حقیقت ملک، اسکردو، حقیقت شکر، کرناخشو، طلتی. برای نشانی: حقیقت ملک اسکردو، حقیقت طول و عرض اسکردو که آن را مع جميع جوانب تبت خورد (خرد) می نامند. اصل اسکردو از مشرق تا مغرب راه یک روزه، از شمال تا جنوب راه دو روزه، شهر در میان کوهها واقع است و پیش از این در عمل راجهها سه هزار خانه بود. و حال از روی ظلم تهانه دار مهاراج کلاب سنکه چیزی کم شده باشد. و قبل بر این راجه علیشیر خان راجه آنجا بوده است؛ خط: نستعلیق پخته، بی کا، تا: ۱۱ جمادی الثانی ۱۲۳۸ق؛ ۱۳۳، ۱۳ سطر [عکسی ف: ۲-۵۶]</w:t>
      </w:r>
    </w:p>
    <w:p>
      <w:pPr>
        <w:pStyle w:val="BookText"/>
      </w:pPr>
      <w:r>
        <w:rPr>
          <w:rFonts w:ascii="IRNazanin" w:hAnsi="IRNazanin" w:eastAsia="IRNazanin" w:cs="IRNazanin"/>
          <w:lang w:bidi="fa-IR"/>
          <w:color w:val="111111"/>
          <w:sz w:val="28"/>
          <w:szCs w:val="28"/>
          <w:rtl/>
        </w:rPr>
        <w:t xml:space="preserve">۲. تهران؛ ملی؛ شماره نسخه:۱۷۵۱۷</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۱۴۷ گ،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۱۷/۲ سم [رایانه]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ملی؛ شماره نسخه:۲۷۱۵۷</w:t>
      </w:r>
    </w:p>
    <w:p>
      <w:pPr>
        <w:pStyle w:val="BookText"/>
      </w:pPr>
      <w:r>
        <w:rPr>
          <w:rFonts w:ascii="IRNazanin" w:hAnsi="IRNazanin" w:eastAsia="IRNazanin" w:cs="IRNazanin"/>
          <w:lang w:bidi="fa-IR"/>
          <w:color w:val="111111"/>
          <w:sz w:val="28"/>
          <w:szCs w:val="28"/>
          <w:rtl/>
        </w:rPr>
        <w:t xml:space="preserve">بی کا، بی تا، خریداری از رضا میدانی [رایانه]</w:t>
      </w:r>
    </w:p>
    <w:p>
      <w:pPr>
        <w:pStyle w:val="BookText"/>
      </w:pPr>
      <w:r>
        <w:rPr>
          <w:rFonts w:ascii="IRNazanin" w:hAnsi="IRNazanin" w:eastAsia="IRNazanin" w:cs="IRNazanin"/>
          <w:lang w:bidi="fa-IR"/>
          <w:color w:val="111111"/>
          <w:sz w:val="28"/>
          <w:szCs w:val="28"/>
          <w:rtl/>
        </w:rPr>
        <w:t xml:space="preserve">۴. تهران، مرکز فرهنگی خراسان شماره نسخه:۱۱۷ عکسی</w:t>
      </w:r>
    </w:p>
    <w:p>
      <w:pPr>
        <w:pStyle w:val="BookText"/>
      </w:pPr>
      <w:r>
        <w:rPr>
          <w:rFonts w:ascii="IRNazanin" w:hAnsi="IRNazanin" w:eastAsia="IRNazanin" w:cs="IRNazanin"/>
          <w:lang w:bidi="fa-IR"/>
          <w:color w:val="111111"/>
          <w:sz w:val="28"/>
          <w:szCs w:val="28"/>
          <w:rtl/>
        </w:rPr>
        <w:t xml:space="preserve">تاریخ کشمیر و شرق ایران در دو جلد مفصل؛ بی کا، بی تا؛ ۳۱۱گ [جنگ: ۱-۴۴۸]</w:t>
      </w:r>
    </w:p>
    <w:p>
      <w:pPr>
        <w:pStyle w:val="Heading3"/>
      </w:pPr>
      <w:bookmarkStart w:id="2559" w:name="_Toc1819"/>
      <w:r>
        <w:t>•تاریخ کشمیر (ترجمه) / تاریخ / فارسی</w:t>
      </w:r>
      <w:bookmarkEnd w:id="2559"/>
    </w:p>
    <w:p>
      <w:pPr>
        <w:pStyle w:val="BookText"/>
      </w:pPr>
      <w:r>
        <w:rPr>
          <w:rFonts w:ascii="Times New Roman" w:hAnsi="Times New Roman" w:eastAsia="Times New Roman" w:cs="Times New Roman"/>
          <w:lang w:val="en-US" w:bidi="en-US"/>
          <w:color w:val="111111"/>
          <w:sz w:val="28"/>
          <w:szCs w:val="28"/>
          <w:rtl/>
        </w:rPr>
        <w:t xml:space="preserve">tārīx-e kešmīr</w:t>
      </w:r>
    </w:p>
    <w:p>
      <w:pPr>
        <w:pStyle w:val="BookText"/>
      </w:pPr>
      <w:r>
        <w:rPr>
          <w:rFonts w:ascii="IRNazanin" w:hAnsi="IRNazanin" w:eastAsia="IRNazanin" w:cs="IRNazanin"/>
          <w:lang w:bidi="fa-IR"/>
          <w:color w:val="111111"/>
          <w:sz w:val="28"/>
          <w:szCs w:val="28"/>
          <w:rtl/>
        </w:rPr>
        <w:t xml:space="preserve">شاه آبادی، ملاشاه محمد، ق ۱۰ قمری</w:t>
      </w:r>
    </w:p>
    <w:p>
      <w:pPr>
        <w:pStyle w:val="BookText"/>
      </w:pPr>
      <w:r>
        <w:rPr>
          <w:rFonts w:ascii="Times New Roman" w:hAnsi="Times New Roman" w:eastAsia="Times New Roman" w:cs="Times New Roman"/>
          <w:lang w:val="en-US" w:bidi="en-US"/>
          <w:color w:val="111111"/>
          <w:sz w:val="28"/>
          <w:szCs w:val="28"/>
          <w:rtl/>
        </w:rPr>
        <w:t xml:space="preserve">šāh ābādī, mollā-šāh mohammad (-16c)</w:t>
      </w:r>
    </w:p>
    <w:p>
      <w:pPr>
        <w:pStyle w:val="BookText"/>
      </w:pPr>
      <w:r>
        <w:rPr>
          <w:rFonts w:ascii="IRNazanin" w:hAnsi="IRNazanin" w:eastAsia="IRNazanin" w:cs="IRNazanin"/>
          <w:lang w:bidi="fa-IR"/>
          <w:color w:val="111111"/>
          <w:sz w:val="28"/>
          <w:szCs w:val="28"/>
          <w:rtl/>
        </w:rPr>
        <w:t xml:space="preserve">تاریخ ترجمه: ۹۹۸ق</w:t>
      </w:r>
    </w:p>
    <w:p>
      <w:pPr>
        <w:pStyle w:val="BookText"/>
      </w:pPr>
      <w:r>
        <w:rPr>
          <w:rFonts w:ascii="IRNazanin" w:hAnsi="IRNazanin" w:eastAsia="IRNazanin" w:cs="IRNazanin"/>
          <w:lang w:bidi="fa-IR"/>
          <w:color w:val="111111"/>
          <w:sz w:val="28"/>
          <w:szCs w:val="28"/>
          <w:rtl/>
        </w:rPr>
        <w:t xml:space="preserve">به نام راج ترنگینی (</w:t>
      </w:r>
      <w:r>
        <w:rPr>
          <w:rFonts w:ascii="Times New Roman" w:hAnsi="Times New Roman" w:eastAsia="Times New Roman" w:cs="Times New Roman"/>
          <w:lang w:val="en-US" w:bidi="en-US"/>
          <w:color w:val="111111"/>
          <w:sz w:val="28"/>
          <w:szCs w:val="28"/>
          <w:rtl/>
        </w:rPr>
        <w:t xml:space="preserve">Raja Trangini) </w:t>
      </w:r>
      <w:r>
        <w:rPr>
          <w:rFonts w:ascii="IRNazanin" w:hAnsi="IRNazanin" w:eastAsia="IRNazanin" w:cs="IRNazanin"/>
          <w:lang w:bidi="fa-IR"/>
          <w:color w:val="111111"/>
          <w:sz w:val="28"/>
          <w:szCs w:val="28"/>
          <w:rtl/>
        </w:rPr>
        <w:t xml:space="preserve">ترجمه از هندی به فارسی، اصل به نظم است، ترجمه از ملاشاه محمد شاه آبادی در ۹۹۸ و تحریر از عبدالقادر بدائونی در ۹۹۹ برای اکبرشاه.</w:t>
      </w:r>
    </w:p>
    <w:p>
      <w:pPr>
        <w:pStyle w:val="BookText"/>
      </w:pPr>
      <w:r>
        <w:rPr>
          <w:rFonts w:ascii="IRNazanin" w:hAnsi="IRNazanin" w:eastAsia="IRNazanin" w:cs="IRNazanin"/>
          <w:lang w:bidi="fa-IR"/>
          <w:color w:val="111111"/>
          <w:sz w:val="28"/>
          <w:szCs w:val="28"/>
          <w:rtl/>
        </w:rPr>
        <w:t xml:space="preserve">تهران؛ دانشگاه؛ شماره نسخه:۳۶۲۲-ف</w:t>
      </w:r>
    </w:p>
    <w:p>
      <w:pPr>
        <w:pStyle w:val="BookText"/>
      </w:pPr>
      <w:r>
        <w:rPr>
          <w:rFonts w:ascii="IRNazanin" w:hAnsi="IRNazanin" w:eastAsia="IRNazanin" w:cs="IRNazanin"/>
          <w:lang w:bidi="fa-IR"/>
          <w:color w:val="111111"/>
          <w:sz w:val="28"/>
          <w:szCs w:val="28"/>
          <w:rtl/>
        </w:rPr>
        <w:t xml:space="preserve">نسخه اصل:بی کا، بی تا ؛ موزه بریتانیا 24032 .</w:t>
      </w:r>
      <w:r>
        <w:rPr>
          <w:rFonts w:ascii="Times New Roman" w:hAnsi="Times New Roman" w:eastAsia="Times New Roman" w:cs="Times New Roman"/>
          <w:lang w:val="en-US" w:bidi="en-US"/>
          <w:color w:val="111111"/>
          <w:sz w:val="28"/>
          <w:szCs w:val="28"/>
          <w:rtl/>
        </w:rPr>
        <w:t xml:space="preserve">Add(</w:t>
      </w:r>
      <w:r>
        <w:rPr>
          <w:rFonts w:ascii="IRNazanin" w:hAnsi="IRNazanin" w:eastAsia="IRNazanin" w:cs="IRNazanin"/>
          <w:lang w:bidi="fa-IR"/>
          <w:color w:val="111111"/>
          <w:sz w:val="28"/>
          <w:szCs w:val="28"/>
          <w:rtl/>
        </w:rPr>
        <w:t xml:space="preserve">ریو ۲۹۶) [فيلمها ف: ۲-۲۰۱]</w:t>
      </w:r>
    </w:p>
    <w:p>
      <w:pPr>
        <w:pStyle w:val="Heading3"/>
      </w:pPr>
      <w:bookmarkStart w:id="2560" w:name="_Toc1820"/>
      <w:r>
        <w:t>•تاریخ کشمیر (ترجمه) / تاریخ هند / فارسی</w:t>
      </w:r>
      <w:bookmarkEnd w:id="2560"/>
    </w:p>
    <w:p>
      <w:pPr>
        <w:pStyle w:val="BookText"/>
      </w:pPr>
      <w:r>
        <w:rPr>
          <w:rFonts w:ascii="Times New Roman" w:hAnsi="Times New Roman" w:eastAsia="Times New Roman" w:cs="Times New Roman"/>
          <w:lang w:val="en-US" w:bidi="en-US"/>
          <w:color w:val="111111"/>
          <w:sz w:val="28"/>
          <w:szCs w:val="28"/>
          <w:rtl/>
        </w:rPr>
        <w:t xml:space="preserve">tārīx-e kešmīr (t.)</w:t>
      </w:r>
    </w:p>
    <w:p>
      <w:pPr>
        <w:pStyle w:val="BookText"/>
      </w:pPr>
      <w:r>
        <w:rPr>
          <w:rFonts w:ascii="IRNazanin" w:hAnsi="IRNazanin" w:eastAsia="IRNazanin" w:cs="IRNazanin"/>
          <w:lang w:bidi="fa-IR"/>
          <w:color w:val="111111"/>
          <w:sz w:val="28"/>
          <w:szCs w:val="28"/>
          <w:rtl/>
        </w:rPr>
        <w:t xml:space="preserve">حیدر ملکشاه بن ملک حسن</w:t>
      </w:r>
    </w:p>
    <w:p>
      <w:pPr>
        <w:pStyle w:val="BookText"/>
      </w:pPr>
      <w:r>
        <w:rPr>
          <w:rFonts w:ascii="Times New Roman" w:hAnsi="Times New Roman" w:eastAsia="Times New Roman" w:cs="Times New Roman"/>
          <w:lang w:val="en-US" w:bidi="en-US"/>
          <w:color w:val="111111"/>
          <w:sz w:val="28"/>
          <w:szCs w:val="28"/>
          <w:rtl/>
        </w:rPr>
        <w:t xml:space="preserve">heydar malekšāh ebn-e malek hasan</w:t>
      </w:r>
    </w:p>
    <w:p>
      <w:pPr>
        <w:pStyle w:val="BookText"/>
      </w:pPr>
      <w:r>
        <w:rPr>
          <w:rFonts w:ascii="IRNazanin" w:hAnsi="IRNazanin" w:eastAsia="IRNazanin" w:cs="IRNazanin"/>
          <w:lang w:bidi="fa-IR"/>
          <w:color w:val="111111"/>
          <w:sz w:val="28"/>
          <w:szCs w:val="28"/>
          <w:rtl/>
        </w:rPr>
        <w:t xml:space="preserve">تاریخ تأليف: ۱۰۲۷ق این تاریخ به ترتیب از اوایل قرن پنجم هجری آغاز می گردد و کسانی را که بر کشمیر حکومت رانده اند تا قرن دهم نام برده است و مدت امارت</w:t>
      </w:r>
    </w:p>
    <w:p>
      <w:pPr>
        <w:pStyle w:val="BookText"/>
      </w:pPr>
      <w:r>
        <w:rPr>
          <w:rFonts w:ascii="IRNazanin" w:hAnsi="IRNazanin" w:eastAsia="IRNazanin" w:cs="IRNazanin"/>
          <w:lang w:bidi="fa-IR"/>
          <w:color w:val="111111"/>
          <w:sz w:val="28"/>
          <w:szCs w:val="28"/>
          <w:rtl/>
        </w:rPr>
        <w:t xml:space="preserve">[دنا ۷۳۲/۲ ]</w:t>
      </w:r>
    </w:p>
    <w:p>
      <w:pPr>
        <w:pStyle w:val="BookText"/>
      </w:pPr>
      <w:r>
        <w:rPr>
          <w:rFonts w:ascii="IRNazanin" w:hAnsi="IRNazanin" w:eastAsia="IRNazanin" w:cs="IRNazanin"/>
          <w:lang w:bidi="fa-IR"/>
          <w:color w:val="111111"/>
          <w:sz w:val="28"/>
          <w:szCs w:val="28"/>
          <w:rtl/>
        </w:rPr>
        <w:t xml:space="preserve">۱. تهران؛ مجلس؛ شماره نسخه: ۵۱۳۰</w:t>
      </w:r>
    </w:p>
    <w:p>
      <w:pPr>
        <w:pStyle w:val="BookText"/>
      </w:pPr>
      <w:r>
        <w:rPr>
          <w:rFonts w:ascii="IRNazanin" w:hAnsi="IRNazanin" w:eastAsia="IRNazanin" w:cs="IRNazanin"/>
          <w:lang w:bidi="fa-IR"/>
          <w:color w:val="111111"/>
          <w:sz w:val="28"/>
          <w:szCs w:val="28"/>
          <w:rtl/>
        </w:rPr>
        <w:t xml:space="preserve">آغاز: بسمله، چنین گوید کمترین بندگان حیدر ملک و لد سعادت نصاب حسن بن عالی انتساب؛ انجام: بسی راندم زشاهان کافی سخن *** که نو کردم این داستان کهن / ... نکهدار ز آسیب چشم بدش *** تو پاینده داری بلطف خودش. حسب الامر الاعلى بتاریخ ۲۶ ذی الحجه ۱۱۸۸ با تمام رسید خط نستعلیق، کا:علی بن لطف الله هروی، تا: ۲۶ ذیحجه ۱۱۸۸ق؛ با یادداشتی مبنی بر این تصنیف کتاب در زمان حکومت ابوالمظفر نورالدین جهانگیر به تاریخ ۱۰۲۷؛ کاغذ: سپاهانی، جلد: تیماج مقوایی قرمز، ۱۵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۱۵-۱۲۰]</w:t>
      </w:r>
    </w:p>
    <w:p>
      <w:pPr>
        <w:pStyle w:val="BookText"/>
      </w:pPr>
      <w:r>
        <w:rPr>
          <w:rFonts w:ascii="IRNazanin" w:hAnsi="IRNazanin" w:eastAsia="IRNazanin" w:cs="IRNazanin"/>
          <w:lang w:bidi="fa-IR"/>
          <w:color w:val="111111"/>
          <w:sz w:val="28"/>
          <w:szCs w:val="28"/>
          <w:rtl/>
        </w:rPr>
        <w:t xml:space="preserve">۲. تهران، دانشگاه؛ شماره نسخه: ۳۸۶۶/۱ -ف</w:t>
      </w:r>
    </w:p>
    <w:p>
      <w:pPr>
        <w:pStyle w:val="BookText"/>
      </w:pPr>
      <w:r>
        <w:rPr>
          <w:rFonts w:ascii="IRNazanin" w:hAnsi="IRNazanin" w:eastAsia="IRNazanin" w:cs="IRNazanin"/>
          <w:lang w:bidi="fa-IR"/>
          <w:color w:val="111111"/>
          <w:sz w:val="28"/>
          <w:szCs w:val="28"/>
          <w:rtl/>
        </w:rPr>
        <w:t xml:space="preserve">نسخه اصل: دیوان هند ش ۳۵۱۷ (۲۸۴۶ اته)؛ بی کا، بی تا [فيلمها ف: ۲-۲۷۲]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548" w:name="pg20363_209865"/>
    <w:bookmarkEnd w:id="548"/>
    <w:p>
      <w:pPr>
        <w:pStyle w:val="Heading3"/>
      </w:pPr>
      <w:bookmarkStart w:id="2561" w:name="_Toc1821"/>
      <w:r>
        <w:t>•تاریخ کشیک خانه همایونی / تاریخ / فارسی</w:t>
      </w:r>
      <w:bookmarkEnd w:id="2561"/>
    </w:p>
    <w:p>
      <w:pPr>
        <w:pStyle w:val="BookText"/>
      </w:pPr>
      <w:r>
        <w:rPr>
          <w:rFonts w:ascii="Times New Roman" w:hAnsi="Times New Roman" w:eastAsia="Times New Roman" w:cs="Times New Roman"/>
          <w:lang w:val="en-US" w:bidi="en-US"/>
          <w:color w:val="111111"/>
          <w:sz w:val="28"/>
          <w:szCs w:val="28"/>
          <w:rtl/>
        </w:rPr>
        <w:t xml:space="preserve">tārīx-e kešīk-xāne-ye homāyānī</w:t>
      </w:r>
    </w:p>
    <w:p>
      <w:pPr>
        <w:pStyle w:val="BookText"/>
      </w:pPr>
      <w:r>
        <w:rPr>
          <w:rFonts w:ascii="IRNazanin" w:hAnsi="IRNazanin" w:eastAsia="IRNazanin" w:cs="IRNazanin"/>
          <w:lang w:bidi="fa-IR"/>
          <w:color w:val="111111"/>
          <w:sz w:val="28"/>
          <w:szCs w:val="28"/>
          <w:rtl/>
        </w:rPr>
        <w:t xml:space="preserve">نجیب کاشانی، نورا بن محمد حسین، ق ۱۱ قمری</w:t>
      </w:r>
    </w:p>
    <w:p>
      <w:pPr>
        <w:pStyle w:val="BookText"/>
      </w:pPr>
      <w:r>
        <w:rPr>
          <w:rFonts w:ascii="Times New Roman" w:hAnsi="Times New Roman" w:eastAsia="Times New Roman" w:cs="Times New Roman"/>
          <w:lang w:val="en-US" w:bidi="en-US"/>
          <w:color w:val="111111"/>
          <w:sz w:val="28"/>
          <w:szCs w:val="28"/>
          <w:rtl/>
        </w:rPr>
        <w:t xml:space="preserve">najīb-e kāšānī, nūrā ebn-e mohammad hoseyn (-17c)</w:t>
      </w:r>
    </w:p>
    <w:p>
      <w:pPr>
        <w:pStyle w:val="BookText"/>
      </w:pPr>
      <w:r>
        <w:rPr>
          <w:rFonts w:ascii="IRNazanin" w:hAnsi="IRNazanin" w:eastAsia="IRNazanin" w:cs="IRNazanin"/>
          <w:lang w:bidi="fa-IR"/>
          <w:color w:val="111111"/>
          <w:sz w:val="28"/>
          <w:szCs w:val="28"/>
          <w:rtl/>
        </w:rPr>
        <w:t xml:space="preserve">تاريخ تألیف: ۱۱۰۹ق مجموعه ای است در شرح احوال و بیان حوادث دوران سلطنت سلسله کورگانی هندوستان خاصه در ذکر احوال جلال الدین اكبر شاه هندی با شرح مبسوطی در تراجم احوال شعرا، علما و بزرگان و وزرای معاصر که به دستور وزیر اعظم شاه سلطان حسین صفوی محمد طاهر وحيد (وحید الزمانی) مؤلف آن را به رشته تحریر کشید. در این تاریخ نورالدین محمد شریف کاشانی به فحوای مطالب و روایات مندرجه اشعار و ابیاتی به زبان عربی و فارسی و نیز چند بیتی به لهجه کاشی در مدح و توصیف بزرگان و امرای آن عصر سروده و ضمیمه نموده است. برخی عناوین آن: گزارش قطعه و تاریخ به پادشاه زاده هندوستان در مجلس اول؛ مختصری از احوال فيثاغورس و ابتدای به هم رسیدن علم موسیقی و ساز؛ تدبیر جهانگیر پادشاه جهت وصال نور جهان بیگم و شرح احوال او و غیره ... است و به نظر می رسد که کاتب نسخه حاضر خود مؤلف باشد. مؤلف علت اسم تاریخ کشیک خانه را چنین ذکر نموده است چون حسب الفرمان همیون کمترین را در دربار ایشان کشیک به کشیک بار بود و تمامی وقایع مسطوره در کشیک صحبت آن همیون جناب روی داده لهذا این کتاب را به کشیکخانه همیون موسوم نمود».</w:t>
      </w:r>
    </w:p>
    <w:p>
      <w:pPr>
        <w:pStyle w:val="BookText"/>
      </w:pPr>
      <w:r>
        <w:rPr>
          <w:rFonts w:ascii="IRNazanin" w:hAnsi="IRNazanin" w:eastAsia="IRNazanin" w:cs="IRNazanin"/>
          <w:lang w:bidi="fa-IR"/>
          <w:color w:val="111111"/>
          <w:sz w:val="28"/>
          <w:szCs w:val="28"/>
          <w:rtl/>
        </w:rPr>
        <w:t xml:space="preserve">تهران؛ سلطنتی؛ شماره نسخه:۷۲۳</w:t>
      </w:r>
    </w:p>
    <w:p>
      <w:pPr>
        <w:pStyle w:val="BookText"/>
      </w:pPr>
      <w:r>
        <w:rPr>
          <w:rFonts w:ascii="IRNazanin" w:hAnsi="IRNazanin" w:eastAsia="IRNazanin" w:cs="IRNazanin"/>
          <w:lang w:bidi="fa-IR"/>
          <w:color w:val="111111"/>
          <w:sz w:val="28"/>
          <w:szCs w:val="28"/>
          <w:rtl/>
        </w:rPr>
        <w:t xml:space="preserve">آغاز: بسمله-گوش بر آوازان لألی ستایش را بشارت که غواص روزگار گوهر شاهواری از دریای نیایش برآورده که سنجیده گوهران كامل عیار و حلقه بگوشان سلسله افتخار در کوشش میدانند ... اما بعد حسب الفرمان ... شاه سلطان حسین الحسینی الموسوی الصفوی ... بتاريخ شوال ۱۱۰۹ و الدستور الاعظم ... وحید الزمانی ... مقرر شد که انبساط آرائی سخنان رنگین و خاطر فریبی عبارات دلنشین ... با خلف دودمان کورکانی ... شاهزاده و الاگهر سلطان جلال الدین اکبر از طرفین گذارش یافته باضافه آنچه از آنجناب در هر باب دیده و شنیده ... در سلک تحریر منسلک .... و این کتاب را بکشیکخانه همیون موسوم نمود؛ انجام: چون حسب الأمر شه تمامش کردم *** خود را فارغ از اهتمامش کردم / آغاز کشیکها بانجام رسید *** تاریخ کشیکخانه نامش کردم / هشتاد و چهار روز از ایام فلک ***بی آنکه معاونت بخواهد ز کمک / تأليف نجیب کرد و تاریخ نوشت *** هشتاد و چهار روز اما بی حک. تمت الكتاب بعون الملک الوهاب غره شهر محرم الحرام سنه ۱۱۱۰. خط: نستعلیق، بی کا، تا: ۱۱۱۰ق؛ دارای یادداشت های متعددی است به سنوات ۱۱۶۲-۱۱۵۱ که از عرض کتابخانه دولت صفوی گذشته، به سال ۱۳۸۲ از عرض</w:t>
      </w:r>
    </w:p>
    <w:p>
      <w:pPr>
        <w:pStyle w:val="BookText"/>
      </w:pPr>
      <w:r>
        <w:rPr>
          <w:rFonts w:ascii="IRNazanin" w:hAnsi="IRNazanin" w:eastAsia="IRNazanin" w:cs="IRNazanin"/>
          <w:lang w:bidi="fa-IR"/>
          <w:color w:val="111111"/>
          <w:sz w:val="28"/>
          <w:szCs w:val="28"/>
          <w:rtl/>
        </w:rPr>
        <w:t xml:space="preserve">کتابخانه قاجار گذشته، مجدول کمند کشی زرین؛ مهر: ناصرالدین شاه قاجار؛ کاغذ: اصفهانی، جلد: مقوای روکش چرم مشکی، ۷۲۴ص، ۱۵ سطر، اندازه: ۲۹/۲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۵-۳۷۷]</w:t>
      </w:r>
    </w:p>
    <w:p>
      <w:pPr>
        <w:pStyle w:val="BookText"/>
      </w:pPr>
      <w:r>
        <w:rPr>
          <w:rFonts w:ascii="IRNazanin" w:hAnsi="IRNazanin" w:eastAsia="IRNazanin" w:cs="IRNazanin"/>
          <w:lang w:bidi="fa-IR"/>
          <w:color w:val="111111"/>
          <w:sz w:val="28"/>
          <w:szCs w:val="28"/>
          <w:rtl/>
        </w:rPr>
        <w:t xml:space="preserve">← تاریخ کعبه ← مفرحة الأنام في تاسیس بیت الله الحرام</w:t>
      </w:r>
    </w:p>
    <w:p>
      <w:pPr>
        <w:pStyle w:val="BookText"/>
      </w:pPr>
      <w:r>
        <w:rPr>
          <w:rFonts w:ascii="IRNazanin" w:hAnsi="IRNazanin" w:eastAsia="IRNazanin" w:cs="IRNazanin"/>
          <w:lang w:bidi="fa-IR"/>
          <w:color w:val="111111"/>
          <w:sz w:val="28"/>
          <w:szCs w:val="28"/>
          <w:rtl/>
        </w:rPr>
        <w:t xml:space="preserve">←تاریخ کلام الملوک ← شرح دعاء السحر</w:t>
      </w:r>
    </w:p>
    <w:p>
      <w:pPr>
        <w:pStyle w:val="BookText"/>
      </w:pPr>
      <w:r>
        <w:rPr>
          <w:rFonts w:ascii="IRNazanin" w:hAnsi="IRNazanin" w:eastAsia="IRNazanin" w:cs="IRNazanin"/>
          <w:lang w:bidi="fa-IR"/>
          <w:color w:val="111111"/>
          <w:sz w:val="28"/>
          <w:szCs w:val="28"/>
          <w:rtl/>
        </w:rPr>
        <w:t xml:space="preserve">← تاريخ کلام الملوک ← کلام الملوک</w:t>
      </w:r>
    </w:p>
    <w:p>
      <w:pPr>
        <w:pStyle w:val="Heading3"/>
      </w:pPr>
      <w:bookmarkStart w:id="2562" w:name="_Toc1822"/>
      <w:r>
        <w:t>•تاریخ کلده و آشور / تاریخ / فارسی</w:t>
      </w:r>
      <w:bookmarkEnd w:id="2562"/>
    </w:p>
    <w:p>
      <w:pPr>
        <w:pStyle w:val="BookText"/>
      </w:pPr>
      <w:r>
        <w:rPr>
          <w:rFonts w:ascii="Times New Roman" w:hAnsi="Times New Roman" w:eastAsia="Times New Roman" w:cs="Times New Roman"/>
          <w:lang w:val="en-US" w:bidi="en-US"/>
          <w:color w:val="111111"/>
          <w:sz w:val="28"/>
          <w:szCs w:val="28"/>
          <w:rtl/>
        </w:rPr>
        <w:t xml:space="preserve">tārīx-e kalde va āšūr</w:t>
      </w:r>
    </w:p>
    <w:p>
      <w:pPr>
        <w:pStyle w:val="BookText"/>
      </w:pPr>
      <w:r>
        <w:rPr>
          <w:rFonts w:ascii="IRNazanin" w:hAnsi="IRNazanin" w:eastAsia="IRNazanin" w:cs="IRNazanin"/>
          <w:lang w:bidi="fa-IR"/>
          <w:color w:val="111111"/>
          <w:sz w:val="28"/>
          <w:szCs w:val="28"/>
          <w:rtl/>
        </w:rPr>
        <w:t xml:space="preserve">سپهر، عبدالحسین، ۱۲۵۰-۱۳۱۲ شمسی</w:t>
      </w:r>
    </w:p>
    <w:p>
      <w:pPr>
        <w:pStyle w:val="BookText"/>
      </w:pPr>
      <w:r>
        <w:rPr>
          <w:rFonts w:ascii="Times New Roman" w:hAnsi="Times New Roman" w:eastAsia="Times New Roman" w:cs="Times New Roman"/>
          <w:lang w:val="en-US" w:bidi="en-US"/>
          <w:color w:val="111111"/>
          <w:sz w:val="28"/>
          <w:szCs w:val="28"/>
          <w:rtl/>
        </w:rPr>
        <w:t xml:space="preserve">sepehr, abd-ol-hoseyn (1871-1933)</w:t>
      </w:r>
    </w:p>
    <w:p>
      <w:pPr>
        <w:pStyle w:val="BookText"/>
      </w:pPr>
      <w:r>
        <w:rPr>
          <w:rFonts w:ascii="IRNazanin" w:hAnsi="IRNazanin" w:eastAsia="IRNazanin" w:cs="IRNazanin"/>
          <w:lang w:bidi="fa-IR"/>
          <w:color w:val="111111"/>
          <w:sz w:val="28"/>
          <w:szCs w:val="28"/>
          <w:rtl/>
        </w:rPr>
        <w:t xml:space="preserve">اهداء به: مظفرالدین شاه و میرزا نصرالله مشیرالدوله</w:t>
      </w:r>
    </w:p>
    <w:p>
      <w:pPr>
        <w:pStyle w:val="BookText"/>
      </w:pPr>
      <w:r>
        <w:rPr>
          <w:rFonts w:ascii="Amiri" w:hAnsi="Amiri" w:eastAsia="Amiri" w:cs="Amiri"/>
          <w:lang w:bidi="ar-SA"/>
          <w:color w:val="111111"/>
          <w:sz w:val="28"/>
          <w:szCs w:val="28"/>
          <w:rtl/>
        </w:rPr>
        <w:t xml:space="preserve">تاريخ تأليف: ۱۳۲۳ ق</w:t>
      </w:r>
    </w:p>
    <w:p>
      <w:pPr>
        <w:pStyle w:val="BookText"/>
      </w:pPr>
      <w:r>
        <w:rPr>
          <w:rFonts w:ascii="IRNazanin" w:hAnsi="IRNazanin" w:eastAsia="IRNazanin" w:cs="IRNazanin"/>
          <w:lang w:bidi="fa-IR"/>
          <w:color w:val="111111"/>
          <w:sz w:val="28"/>
          <w:szCs w:val="28"/>
          <w:rtl/>
        </w:rPr>
        <w:t xml:space="preserve">مؤلف که به نقل خود از پیش خدمت های همایونی و نایب اول وزارت خارجه ایران بوده است، دست به تأليف تاریخ کلده و آشور می زند ابتداء از وضع جغرافیایی کلده و آشور شروع می کند و پس از نشان دادن مختصات اقلیمی این دو ناحیه به تاریخ این دو کشور از ادوار اولیه تا انقراض بابل می پردازد و در آخر نیز از اختراعات مردم بابل و معابد و ارباب انواع و علم نجوم و پیشگویی در این دو کشور سخن می راند. (انوار) آغاز: بهترین کلام و برترین مرام سزاوار بارگاه خدائی است یگانه</w:t>
      </w:r>
    </w:p>
    <w:p>
      <w:pPr>
        <w:pStyle w:val="BookText"/>
      </w:pPr>
      <w:r>
        <w:rPr>
          <w:rFonts w:ascii="IRNazanin" w:hAnsi="IRNazanin" w:eastAsia="IRNazanin" w:cs="IRNazanin"/>
          <w:lang w:bidi="fa-IR"/>
          <w:color w:val="111111"/>
          <w:sz w:val="28"/>
          <w:szCs w:val="28"/>
          <w:rtl/>
        </w:rPr>
        <w:t xml:space="preserve">[دنا ۷۳۳/۲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ملی؛ شماره نسخه: ۳۱۱</w:t>
      </w:r>
    </w:p>
    <w:p>
      <w:pPr>
        <w:pStyle w:val="BookText"/>
      </w:pPr>
      <w:r>
        <w:rPr>
          <w:rFonts w:ascii="IRNazanin" w:hAnsi="IRNazanin" w:eastAsia="IRNazanin" w:cs="IRNazanin"/>
          <w:lang w:bidi="fa-IR"/>
          <w:color w:val="111111"/>
          <w:sz w:val="28"/>
          <w:szCs w:val="28"/>
          <w:rtl/>
        </w:rPr>
        <w:t xml:space="preserve">آغاز: برابر؛ انجام: پس از آنکه زايجه طالع او معلوم میشد از حالات او خبر میدادند و می گفتند هر آدمی ستاره دارد که مادام العمر خط: نستعلیق، کاتب =مؤلف، تا: اوایل قرن ۱۴، جا: تهران؛ افتادگی: انجام؛ کاغذ: فلفل نمکی فرنگی، جلد: مخمل بنفش با گل و بته،</w:t>
      </w:r>
    </w:p>
    <w:p>
      <w:pPr>
        <w:pStyle w:val="BookText"/>
      </w:pPr>
      <w:r>
        <w:rPr>
          <w:rFonts w:ascii="IRNazanin" w:hAnsi="IRNazanin" w:eastAsia="IRNazanin" w:cs="IRNazanin"/>
          <w:lang w:bidi="fa-IR"/>
          <w:color w:val="111111"/>
          <w:sz w:val="28"/>
          <w:szCs w:val="28"/>
          <w:rtl/>
        </w:rPr>
        <w:t xml:space="preserve">۱۵۴گ، ۱۲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۱-۳۰۳]</w:t>
      </w:r>
    </w:p>
    <w:p>
      <w:pPr>
        <w:pStyle w:val="BookText"/>
      </w:pPr>
      <w:r>
        <w:rPr>
          <w:rFonts w:ascii="IRNazanin" w:hAnsi="IRNazanin" w:eastAsia="IRNazanin" w:cs="IRNazanin"/>
          <w:lang w:bidi="fa-IR"/>
          <w:color w:val="111111"/>
          <w:sz w:val="28"/>
          <w:szCs w:val="28"/>
          <w:rtl/>
        </w:rPr>
        <w:t xml:space="preserve">۲. تهران؛ ملی؛ شماره نسخه:۳۳</w:t>
      </w:r>
    </w:p>
    <w:p>
      <w:pPr>
        <w:pStyle w:val="BookText"/>
      </w:pPr>
      <w:r>
        <w:rPr>
          <w:rFonts w:ascii="IRNazanin" w:hAnsi="IRNazanin" w:eastAsia="IRNazanin" w:cs="IRNazanin"/>
          <w:lang w:bidi="fa-IR"/>
          <w:color w:val="111111"/>
          <w:sz w:val="28"/>
          <w:szCs w:val="28"/>
          <w:rtl/>
        </w:rPr>
        <w:t xml:space="preserve">آغاز: برابر؛ انجام: بضيافت خواسته بود فرمان پادشاه اجابت نکرد و خواجگان خبر با ملک بابل خط: نستعلیق، بی کا، تا: اوایل قرن ۱۴، جا: تهران؛ افتادگی: انجام؛ کاغذ: ترمه، جلد: مخمل سبز، ۱۷۴ گ، ۱۱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۱-۲۴]</w:t>
      </w:r>
    </w:p>
    <w:p>
      <w:pPr>
        <w:pStyle w:val="BookText"/>
      </w:pPr>
      <w:r>
        <w:rPr>
          <w:rFonts w:ascii="IRNazanin" w:hAnsi="IRNazanin" w:eastAsia="IRNazanin" w:cs="IRNazanin"/>
          <w:lang w:bidi="fa-IR"/>
          <w:color w:val="111111"/>
          <w:sz w:val="28"/>
          <w:szCs w:val="28"/>
          <w:rtl/>
        </w:rPr>
        <w:t xml:space="preserve">تهران؛ دانشگاه؛ شماره نسخه:۱۸۱۸-ف</w:t>
      </w:r>
    </w:p>
    <w:p>
      <w:pPr>
        <w:pStyle w:val="BookText"/>
      </w:pPr>
      <w:r>
        <w:rPr>
          <w:rFonts w:ascii="IRNazanin" w:hAnsi="IRNazanin" w:eastAsia="IRNazanin" w:cs="IRNazanin"/>
          <w:lang w:bidi="fa-IR"/>
          <w:color w:val="111111"/>
          <w:sz w:val="28"/>
          <w:szCs w:val="28"/>
          <w:rtl/>
        </w:rPr>
        <w:t xml:space="preserve">همان نسخه بالا [فیلمها ف: ۱-۳۶]</w:t>
      </w:r>
    </w:p>
    <w:p>
      <w:pPr>
        <w:pStyle w:val="Heading3"/>
      </w:pPr>
      <w:bookmarkStart w:id="2563" w:name="_Toc1823"/>
      <w:r>
        <w:t>•تاریخ کلکته / تاریخ هند / فارسی</w:t>
      </w:r>
      <w:bookmarkEnd w:id="2563"/>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549" w:name="pg20363_209866"/>
    <w:bookmarkEnd w:id="549"/>
    <w:p>
      <w:pPr>
        <w:pStyle w:val="BookText"/>
      </w:pPr>
      <w:r>
        <w:rPr>
          <w:rFonts w:ascii="Times New Roman" w:hAnsi="Times New Roman" w:eastAsia="Times New Roman" w:cs="Times New Roman"/>
          <w:lang w:val="en-US" w:bidi="en-US"/>
          <w:color w:val="111111"/>
          <w:sz w:val="28"/>
          <w:szCs w:val="28"/>
          <w:rtl/>
        </w:rPr>
        <w:t xml:space="preserve">tārīx-e kalkate</w:t>
      </w:r>
    </w:p>
    <w:p>
      <w:pPr>
        <w:pStyle w:val="BookText"/>
      </w:pPr>
      <w:r>
        <w:rPr>
          <w:rFonts w:ascii="IRNazanin" w:hAnsi="IRNazanin" w:eastAsia="IRNazanin" w:cs="IRNazanin"/>
          <w:lang w:bidi="fa-IR"/>
          <w:color w:val="111111"/>
          <w:sz w:val="28"/>
          <w:szCs w:val="28"/>
          <w:rtl/>
        </w:rPr>
        <w:t xml:space="preserve">زیدی جونپوری، غلامحسن</w:t>
      </w:r>
    </w:p>
    <w:p>
      <w:pPr>
        <w:pStyle w:val="BookText"/>
      </w:pPr>
      <w:r>
        <w:rPr>
          <w:rFonts w:ascii="Times New Roman" w:hAnsi="Times New Roman" w:eastAsia="Times New Roman" w:cs="Times New Roman"/>
          <w:lang w:val="en-US" w:bidi="en-US"/>
          <w:color w:val="111111"/>
          <w:sz w:val="28"/>
          <w:szCs w:val="28"/>
          <w:rtl/>
        </w:rPr>
        <w:t xml:space="preserve">zeydī jonpūrī, qolām-hoseyn</w:t>
      </w:r>
    </w:p>
    <w:p>
      <w:pPr>
        <w:pStyle w:val="BookText"/>
      </w:pPr>
      <w:r>
        <w:rPr>
          <w:rFonts w:ascii="IRNazanin" w:hAnsi="IRNazanin" w:eastAsia="IRNazanin" w:cs="IRNazanin"/>
          <w:lang w:bidi="fa-IR"/>
          <w:color w:val="111111"/>
          <w:sz w:val="28"/>
          <w:szCs w:val="28"/>
          <w:rtl/>
        </w:rPr>
        <w:t xml:space="preserve">[فهرستواره منزوی ۱۲۰۳/۲ ]</w:t>
      </w:r>
    </w:p>
    <w:p>
      <w:pPr>
        <w:pStyle w:val="BookText"/>
      </w:pPr>
      <w:r>
        <w:rPr>
          <w:rFonts w:ascii="IRNazanin" w:hAnsi="IRNazanin" w:eastAsia="IRNazanin" w:cs="IRNazanin"/>
          <w:lang w:bidi="fa-IR"/>
          <w:color w:val="111111"/>
          <w:sz w:val="28"/>
          <w:szCs w:val="28"/>
          <w:rtl/>
        </w:rPr>
        <w:t xml:space="preserve">قم؛ مرعشی؛ شماره نسخه: ۱۱۴۵/۲</w:t>
      </w:r>
    </w:p>
    <w:p>
      <w:pPr>
        <w:pStyle w:val="BookText"/>
      </w:pPr>
      <w:r>
        <w:rPr>
          <w:rFonts w:ascii="IRNazanin" w:hAnsi="IRNazanin" w:eastAsia="IRNazanin" w:cs="IRNazanin"/>
          <w:lang w:bidi="fa-IR"/>
          <w:color w:val="111111"/>
          <w:sz w:val="28"/>
          <w:szCs w:val="28"/>
          <w:rtl/>
        </w:rPr>
        <w:t xml:space="preserve">آغاز: بسمله. بر متيقظ صاحب بصیرت و خبرت پوشیده که این ذره بی مقدار امیدوار شفاعت مصطفی و حیدر کرار ... وجه تسمیه کلکته به چند وجه می شود، اول آنکه کلکته در اصل کهال کته بوده است؛ انجام: این ماهی به تجربه دریافت شد که بسیار صفر اخیز و شهوت انگیز است. خط: نستعلیق، بی کا، بی تا؛ ۱۸ص (۲۱-۳۸) [عکسی ف: ۳-۳۰۴]</w:t>
      </w:r>
    </w:p>
    <w:p>
      <w:pPr>
        <w:pStyle w:val="Heading3"/>
      </w:pPr>
      <w:bookmarkStart w:id="2564" w:name="_Toc1824"/>
      <w:r>
        <w:t>•التاريخ الكنایسی / تاریخ / عربی</w:t>
      </w:r>
      <w:bookmarkEnd w:id="2564"/>
    </w:p>
    <w:p>
      <w:pPr>
        <w:pStyle w:val="BookText"/>
      </w:pPr>
      <w:r>
        <w:rPr>
          <w:rFonts w:ascii="Times New Roman" w:hAnsi="Times New Roman" w:eastAsia="Times New Roman" w:cs="Times New Roman"/>
          <w:lang w:val="en-US" w:bidi="en-US"/>
          <w:color w:val="111111"/>
          <w:sz w:val="28"/>
          <w:szCs w:val="28"/>
          <w:rtl/>
        </w:rPr>
        <w:t xml:space="preserve">tārīx-ul kanāyisī</w:t>
      </w:r>
    </w:p>
    <w:p>
      <w:pPr>
        <w:pStyle w:val="BookText"/>
      </w:pPr>
      <w:r>
        <w:rPr>
          <w:rFonts w:ascii="IRNazanin" w:hAnsi="IRNazanin" w:eastAsia="IRNazanin" w:cs="IRNazanin"/>
          <w:lang w:bidi="fa-IR"/>
          <w:color w:val="111111"/>
          <w:sz w:val="28"/>
          <w:szCs w:val="28"/>
          <w:rtl/>
        </w:rPr>
        <w:t xml:space="preserve">اورسی، کردینال</w:t>
      </w:r>
    </w:p>
    <w:p>
      <w:pPr>
        <w:pStyle w:val="BookText"/>
      </w:pPr>
      <w:r>
        <w:rPr>
          <w:rFonts w:ascii="Times New Roman" w:hAnsi="Times New Roman" w:eastAsia="Times New Roman" w:cs="Times New Roman"/>
          <w:lang w:val="en-US" w:bidi="en-US"/>
          <w:color w:val="111111"/>
          <w:sz w:val="28"/>
          <w:szCs w:val="28"/>
          <w:rtl/>
        </w:rPr>
        <w:t xml:space="preserve">orsī, kordīnāl</w:t>
      </w:r>
    </w:p>
    <w:p>
      <w:pPr>
        <w:pStyle w:val="BookText"/>
      </w:pPr>
      <w:r>
        <w:rPr>
          <w:rFonts w:ascii="IRNazanin" w:hAnsi="IRNazanin" w:eastAsia="IRNazanin" w:cs="IRNazanin"/>
          <w:lang w:bidi="fa-IR"/>
          <w:color w:val="111111"/>
          <w:sz w:val="28"/>
          <w:szCs w:val="28"/>
          <w:rtl/>
        </w:rPr>
        <w:t xml:space="preserve">تاریخ بسیار مفصلی است به ترتیب سنین برای دین مسیحی از عصر حضرت عیسی بن مریم(عليه السلام)تا عصر مؤلف در چندین جلد و هر کدام دارای چند کتاب. ضمن تشریح وقایع تاریخی سعی شده است که از دید تبلیغاتی نیز استفاده شود و لذا از جنبه مذهبی گفتگوهایی دارد.</w:t>
      </w:r>
    </w:p>
    <w:p>
      <w:pPr>
        <w:pStyle w:val="BookText"/>
      </w:pPr>
      <w:r>
        <w:rPr>
          <w:rFonts w:ascii="IRNazanin" w:hAnsi="IRNazanin" w:eastAsia="IRNazanin" w:cs="IRNazanin"/>
          <w:lang w:bidi="fa-IR"/>
          <w:color w:val="111111"/>
          <w:sz w:val="28"/>
          <w:szCs w:val="28"/>
          <w:rtl/>
        </w:rPr>
        <w:t xml:space="preserve">قم؛ مرعشی؛ شماره نسخه:۳۹۵۶</w:t>
      </w:r>
    </w:p>
    <w:p>
      <w:pPr>
        <w:pStyle w:val="BookText"/>
      </w:pPr>
      <w:r>
        <w:rPr>
          <w:rFonts w:ascii="IRNazanin" w:hAnsi="IRNazanin" w:eastAsia="IRNazanin" w:cs="IRNazanin"/>
          <w:lang w:bidi="fa-IR"/>
          <w:color w:val="111111"/>
          <w:sz w:val="28"/>
          <w:szCs w:val="28"/>
          <w:rtl/>
        </w:rPr>
        <w:t xml:space="preserve">آغاز: الكتاب الثالث من التاريخ الكنايسی ... فنقول أن ترایانوس تخلف لنير فالذي ملک سنة و أربعة أشهر جلد دوم و مشتمل بر کتاب سوم و چهارم و پنجم از سال ۹۸ تا ۲۱۱ میلادی؛ خط: نسخ، كا: يوسف ابراهیم خوری، تا: ۱۲۷۷ق؛ مصحح؛ جلد: تیماج مشکی، ۲۴۶گ، ۲۱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۱۰-۳۳۹]</w:t>
      </w:r>
    </w:p>
    <w:p>
      <w:pPr>
        <w:pStyle w:val="Heading3"/>
      </w:pPr>
      <w:bookmarkStart w:id="2565" w:name="_Toc1825"/>
      <w:r>
        <w:t>•تاریخ کوبند سنهکی / تاریخ / فارسی</w:t>
      </w:r>
      <w:bookmarkEnd w:id="2565"/>
    </w:p>
    <w:p>
      <w:pPr>
        <w:pStyle w:val="BookText"/>
      </w:pPr>
      <w:r>
        <w:rPr>
          <w:rFonts w:ascii="Times New Roman" w:hAnsi="Times New Roman" w:eastAsia="Times New Roman" w:cs="Times New Roman"/>
          <w:lang w:val="en-US" w:bidi="en-US"/>
          <w:color w:val="111111"/>
          <w:sz w:val="28"/>
          <w:szCs w:val="28"/>
          <w:rtl/>
        </w:rPr>
        <w:t xml:space="preserve">tārīx-e kūband-e sanhakī</w:t>
      </w:r>
    </w:p>
    <w:p>
      <w:pPr>
        <w:pStyle w:val="BookText"/>
      </w:pPr>
      <w:r>
        <w:rPr>
          <w:rFonts w:ascii="IRNazanin" w:hAnsi="IRNazanin" w:eastAsia="IRNazanin" w:cs="IRNazanin"/>
          <w:lang w:bidi="fa-IR"/>
          <w:color w:val="111111"/>
          <w:sz w:val="28"/>
          <w:szCs w:val="28"/>
          <w:rtl/>
        </w:rPr>
        <w:t xml:space="preserve">وزیری مل کهتری، ق۱۳ قمری</w:t>
      </w:r>
    </w:p>
    <w:p>
      <w:pPr>
        <w:pStyle w:val="BookText"/>
      </w:pPr>
      <w:r>
        <w:rPr>
          <w:rFonts w:ascii="Times New Roman" w:hAnsi="Times New Roman" w:eastAsia="Times New Roman" w:cs="Times New Roman"/>
          <w:lang w:val="en-US" w:bidi="en-US"/>
          <w:color w:val="111111"/>
          <w:sz w:val="28"/>
          <w:szCs w:val="28"/>
          <w:rtl/>
        </w:rPr>
        <w:t xml:space="preserve">vazīrī mel kehtarī (-19c)</w:t>
      </w:r>
    </w:p>
    <w:p>
      <w:pPr>
        <w:pStyle w:val="BookText"/>
      </w:pPr>
      <w:r>
        <w:rPr>
          <w:rFonts w:ascii="IRNazanin" w:hAnsi="IRNazanin" w:eastAsia="IRNazanin" w:cs="IRNazanin"/>
          <w:lang w:bidi="fa-IR"/>
          <w:color w:val="111111"/>
          <w:sz w:val="28"/>
          <w:szCs w:val="28"/>
          <w:rtl/>
        </w:rPr>
        <w:t xml:space="preserve">تاریخ تأليف: حدود ۱۲۲۳؛ محل تأليف: قصبه بنلا صوبه لاهور تاریخ سیک هاست که مؤلف آن را در ۱۸۶۵ بکرمی (حدود ۱۲۲۳ق/۱۸۰۸م) نگاشته است (دیباچه. بخش بندی نشده. جنگ میان زمین داران با ذکر تاریخ دقیق روز و ماه و سال و ابزارهای جنگی آنان. در دیباچه از راجه رنجیت سنگها (۱۱۹۵-۱۲۲۵ق) به «ایدالله اقباله» یاد کرده است.</w:t>
      </w:r>
    </w:p>
    <w:p>
      <w:pPr>
        <w:pStyle w:val="BookText"/>
      </w:pPr>
      <w:r>
        <w:rPr>
          <w:rFonts w:ascii="IRNazanin" w:hAnsi="IRNazanin" w:eastAsia="IRNazanin" w:cs="IRNazanin"/>
          <w:lang w:bidi="fa-IR"/>
          <w:color w:val="111111"/>
          <w:sz w:val="28"/>
          <w:szCs w:val="28"/>
          <w:rtl/>
        </w:rPr>
        <w:t xml:space="preserve">[مشترک پاکستان ۵۴۷/۱۰ ؛ فهرستواره ۱۲۰۵/۲ ]</w:t>
      </w:r>
    </w:p>
    <w:p>
      <w:pPr>
        <w:pStyle w:val="BookText"/>
      </w:pPr>
      <w:r>
        <w:rPr>
          <w:rFonts w:ascii="IRNazanin" w:hAnsi="IRNazanin" w:eastAsia="IRNazanin" w:cs="IRNazanin"/>
          <w:lang w:bidi="fa-IR"/>
          <w:color w:val="111111"/>
          <w:sz w:val="28"/>
          <w:szCs w:val="28"/>
          <w:rtl/>
        </w:rPr>
        <w:t xml:space="preserve">تهران؛ دائرة المعارف؛ شماره نسخه:۲۷۵-عکسی</w:t>
      </w:r>
    </w:p>
    <w:p>
      <w:pPr>
        <w:pStyle w:val="BookText"/>
      </w:pPr>
      <w:r>
        <w:rPr>
          <w:rFonts w:ascii="IRNazanin" w:hAnsi="IRNazanin" w:eastAsia="IRNazanin" w:cs="IRNazanin"/>
          <w:lang w:bidi="fa-IR"/>
          <w:color w:val="111111"/>
          <w:sz w:val="28"/>
          <w:szCs w:val="28"/>
          <w:rtl/>
        </w:rPr>
        <w:t xml:space="preserve">آغاز: تاریخ خالصه. کنیش جی سهای سری کشن جیوسای. بعد حمد خالق که کشور وجود آدمی شعشعه نور آباد ساخته، و تمام مخلوقات برای خلق از کتم عدم به عرصه مشهود و ظهور؛ انجام: محتاج کردند آری که لشکر منعم حقیقی که ... ای زاغ در این باغ تماشا چه می کنی*** دنیا سرای فانی، غوغا چه می کنی نسخه اصل: گنج بخش ش ۱۱۳۴ (مشترک ۵۴۷/۱۰ )؛ خط: نستعلیق تحریری، بی کا، تا: ۱۲۶۶ق، جا: راولپندی (پاکستان)؛</w:t>
      </w:r>
    </w:p>
    <w:p>
      <w:pPr>
        <w:pStyle w:val="BookText"/>
      </w:pPr>
      <w:r>
        <w:rPr>
          <w:rFonts w:ascii="IRNazanin" w:hAnsi="IRNazanin" w:eastAsia="IRNazanin" w:cs="IRNazanin"/>
          <w:lang w:bidi="fa-IR"/>
          <w:color w:val="111111"/>
          <w:sz w:val="28"/>
          <w:szCs w:val="28"/>
          <w:rtl/>
        </w:rPr>
        <w:t xml:space="preserve">۵۹گ [عکسی ف: ۲-۵۷]</w:t>
      </w:r>
    </w:p>
    <w:p>
      <w:pPr>
        <w:pStyle w:val="BookText"/>
      </w:pPr>
      <w:r>
        <w:rPr>
          <w:rFonts w:ascii="IRNazanin" w:hAnsi="IRNazanin" w:eastAsia="IRNazanin" w:cs="IRNazanin"/>
          <w:lang w:bidi="fa-IR"/>
          <w:color w:val="111111"/>
          <w:sz w:val="28"/>
          <w:szCs w:val="28"/>
          <w:rtl/>
        </w:rPr>
        <w:t xml:space="preserve">قم؛ مرکز احیاء؛ شماره نسخه: ۲۰۷۸</w:t>
      </w:r>
    </w:p>
    <w:p>
      <w:pPr>
        <w:pStyle w:val="BookText"/>
      </w:pPr>
      <w:r>
        <w:rPr>
          <w:rFonts w:ascii="IRNazanin" w:hAnsi="IRNazanin" w:eastAsia="IRNazanin" w:cs="IRNazanin"/>
          <w:lang w:bidi="fa-IR"/>
          <w:color w:val="111111"/>
          <w:sz w:val="28"/>
          <w:szCs w:val="28"/>
          <w:rtl/>
        </w:rPr>
        <w:t xml:space="preserve">نسخه اصل: همان نسخه بالا [عکسی ف: ۶-۱۰۶]</w:t>
      </w:r>
    </w:p>
    <w:p>
      <w:pPr>
        <w:pStyle w:val="BookText"/>
      </w:pPr>
      <w:r>
        <w:rPr>
          <w:rFonts w:ascii="IRNazanin" w:hAnsi="IRNazanin" w:eastAsia="IRNazanin" w:cs="IRNazanin"/>
          <w:lang w:bidi="fa-IR"/>
          <w:color w:val="111111"/>
          <w:sz w:val="28"/>
          <w:szCs w:val="28"/>
          <w:rtl/>
        </w:rPr>
        <w:t xml:space="preserve">←تاریخ گردیزی← تاریخچه مالیه ایران</w:t>
      </w:r>
    </w:p>
    <w:p>
      <w:pPr>
        <w:pStyle w:val="BookText"/>
      </w:pPr>
      <w:r>
        <w:rPr>
          <w:rFonts w:ascii="IRNazanin" w:hAnsi="IRNazanin" w:eastAsia="IRNazanin" w:cs="IRNazanin"/>
          <w:lang w:bidi="fa-IR"/>
          <w:color w:val="111111"/>
          <w:sz w:val="28"/>
          <w:szCs w:val="28"/>
          <w:rtl/>
        </w:rPr>
        <w:t xml:space="preserve">←تاریخ گردیزی← زين الاخبار</w:t>
      </w:r>
    </w:p>
    <w:p>
      <w:pPr>
        <w:pStyle w:val="Heading3"/>
      </w:pPr>
      <w:bookmarkStart w:id="2566" w:name="_Toc1826"/>
      <w:r>
        <w:t>•تاریخ گزیده = شرفنامه / تاریخ جهان / فارسی</w:t>
      </w:r>
      <w:bookmarkEnd w:id="2566"/>
    </w:p>
    <w:p>
      <w:pPr>
        <w:pStyle w:val="BookText"/>
      </w:pPr>
      <w:r>
        <w:rPr>
          <w:rFonts w:ascii="Times New Roman" w:hAnsi="Times New Roman" w:eastAsia="Times New Roman" w:cs="Times New Roman"/>
          <w:lang w:val="en-US" w:bidi="en-US"/>
          <w:color w:val="111111"/>
          <w:sz w:val="28"/>
          <w:szCs w:val="28"/>
          <w:rtl/>
        </w:rPr>
        <w:t xml:space="preserve">tārīx-e gz. = šaraf-nāme</w:t>
      </w:r>
    </w:p>
    <w:p>
      <w:pPr>
        <w:pStyle w:val="BookText"/>
      </w:pPr>
      <w:r>
        <w:rPr>
          <w:rFonts w:ascii="IRNazanin" w:hAnsi="IRNazanin" w:eastAsia="IRNazanin" w:cs="IRNazanin"/>
          <w:lang w:bidi="fa-IR"/>
          <w:color w:val="111111"/>
          <w:sz w:val="28"/>
          <w:szCs w:val="28"/>
          <w:rtl/>
        </w:rPr>
        <w:t xml:space="preserve">حمدالله مستوفی، حمد الله بن ابی بکر، - ۷۵۰ قمری</w:t>
      </w:r>
    </w:p>
    <w:p>
      <w:pPr>
        <w:pStyle w:val="BookText"/>
      </w:pPr>
      <w:r>
        <w:rPr>
          <w:rFonts w:ascii="Times New Roman" w:hAnsi="Times New Roman" w:eastAsia="Times New Roman" w:cs="Times New Roman"/>
          <w:lang w:val="en-US" w:bidi="en-US"/>
          <w:color w:val="111111"/>
          <w:sz w:val="28"/>
          <w:szCs w:val="28"/>
          <w:rtl/>
        </w:rPr>
        <w:t xml:space="preserve">hamd-ol-lah-e mostawfi, hamd-ol-lah ebn-e abi-bakr ( - 1350)</w:t>
      </w:r>
    </w:p>
    <w:p>
      <w:pPr>
        <w:pStyle w:val="BookText"/>
      </w:pPr>
      <w:r>
        <w:rPr>
          <w:rFonts w:ascii="IRNazanin" w:hAnsi="IRNazanin" w:eastAsia="IRNazanin" w:cs="IRNazanin"/>
          <w:lang w:bidi="fa-IR"/>
          <w:color w:val="111111"/>
          <w:sz w:val="28"/>
          <w:szCs w:val="28"/>
          <w:rtl/>
        </w:rPr>
        <w:t xml:space="preserve">اهدا به: خواجه غياث الدين محمد بن رشيد الدین فضل الله همدانی تاریخ تأليف: ۷۳۰ق گزیده ای از تاریخ جهان است از آغاز تا سال «۷۳۰» که سال تأليف است، مشتمل بر یک «فاتحه» و شش «باب» و چندین فصل: فاتحه: در آفرینش جهان؛ باب ۱. پیامبران و دانایان، مشتمل بر دو فصل؛ ۲. شاهان ایران باستان تا اسلام، در چهار فصل؛ ۳. پیامبر اسلام (صلی الله علیه وآله وسلم)تا عباسیان، در شش فصل؛ ۴. دودمان های اسلامی، در دوازده فصل؛ ۵. زندگینامه دانشمندان، در شش فصل؛ ۶. ویژه قزوین، در هشت فصل؛ خاتمه: در انساب. مؤلف، خاندان و نسب خویش را به حر فرزند یزید ریاحی می رسانند. برادر او خواجه فخرالدین احمد نیز از شاعران و نویسندگان قزوین به شمار است از حمدالله سه کتاب در دست است: ۱. «تاریخ گزیده»، ۲. «ظفرنامه»، ۳. «نزهة القلوب». آغاز: بسمله، سپاس و ستایش پادشاهی را که ملک او بی زوال است و مملکت او بی انتقال انجام: یاد کرده، و تصحیح این ایشان از کتب معتمد عليه کرده شد و العلم عند الله چاپ: بكوشش</w:t>
      </w:r>
    </w:p>
    <w:p>
      <w:pPr>
        <w:pStyle w:val="BookText"/>
      </w:pPr>
      <w:r>
        <w:rPr>
          <w:rFonts w:ascii="IRNazanin" w:hAnsi="IRNazanin" w:eastAsia="IRNazanin" w:cs="IRNazanin"/>
          <w:lang w:bidi="fa-IR"/>
          <w:color w:val="111111"/>
          <w:sz w:val="28"/>
          <w:szCs w:val="28"/>
          <w:rtl/>
        </w:rPr>
        <w:t xml:space="preserve">عبدالحسین نوائی، تهران، ۱۳۳۹ش، با پیشگفتار ایشان</w:t>
      </w:r>
    </w:p>
    <w:p>
      <w:pPr>
        <w:pStyle w:val="BookText"/>
      </w:pPr>
      <w:r>
        <w:rPr>
          <w:rFonts w:ascii="IRNazanin" w:hAnsi="IRNazanin" w:eastAsia="IRNazanin" w:cs="IRNazanin"/>
          <w:lang w:bidi="fa-IR"/>
          <w:color w:val="111111"/>
          <w:sz w:val="28"/>
          <w:szCs w:val="28"/>
          <w:rtl/>
        </w:rPr>
        <w:t xml:space="preserve">[فهرست مشترک ۹۳/۱۰ و ۹۴؛ نسخه های منزوی ۴۱۱۴/۶ ، الذريعة ۲۷۱/۳ و ۲۸۱/۳ ؛ تاریخ مفصل ایران ص ۵۲۳-۵۲۴؛ مشار ص ۳۳۴؛ استوری ۸۲/۱ فهرستواره منزوی</w:t>
      </w:r>
    </w:p>
    <w:p>
      <w:pPr>
        <w:pStyle w:val="BookText"/>
      </w:pPr>
      <w:r>
        <w:rPr>
          <w:rFonts w:ascii="IRNazanin" w:hAnsi="IRNazanin" w:eastAsia="IRNazanin" w:cs="IRNazanin"/>
          <w:lang w:bidi="fa-IR"/>
          <w:color w:val="111111"/>
          <w:sz w:val="28"/>
          <w:szCs w:val="28"/>
          <w:rtl/>
        </w:rPr>
        <w:t xml:space="preserve">۵۸۶/۱ -۵۸۷؛ دنا ۷۳۳/۲ -۷۳۴]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ذیل تاریخ گزیده؛ مستوفی، زین الدین بن حمد الله (-۸) ۲- تاریخ بناکتی و تاریخ گزیده مستوفی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الهیات؛ شماره نسخه ۴۸۰</w:t>
      </w:r>
    </w:p>
    <w:p>
      <w:pPr>
        <w:pStyle w:val="BookText"/>
      </w:pPr>
      <w:r>
        <w:rPr>
          <w:rFonts w:ascii="IRNazanin" w:hAnsi="IRNazanin" w:eastAsia="IRNazanin" w:cs="IRNazanin"/>
          <w:lang w:bidi="fa-IR"/>
          <w:color w:val="111111"/>
          <w:sz w:val="28"/>
          <w:szCs w:val="28"/>
          <w:rtl/>
        </w:rPr>
        <w:t xml:space="preserve">خط: نسخ، بی کا، بی تا، گمان می رود پیش نویس اصلی به خط مؤلف باشد؛ افتادگی: آغاز و انجام؛ جلد: تیماج مشکی، ۱۵۹گ، ۲۳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۱-۲۵]</w:t>
      </w:r>
    </w:p>
    <w:p>
      <w:pPr>
        <w:pStyle w:val="BookText"/>
      </w:pPr>
      <w:r>
        <w:rPr>
          <w:rFonts w:ascii="IRNazanin" w:hAnsi="IRNazanin" w:eastAsia="IRNazanin" w:cs="IRNazanin"/>
          <w:lang w:bidi="fa-IR"/>
          <w:color w:val="111111"/>
          <w:sz w:val="28"/>
          <w:szCs w:val="28"/>
          <w:rtl/>
        </w:rPr>
        <w:t xml:space="preserve">مشهد؛ مولوی؛ شماره نسخه: ۴۸</w:t>
      </w:r>
    </w:p>
    <w:p>
      <w:pPr>
        <w:pStyle w:val="BookText"/>
      </w:pPr>
      <w:r>
        <w:rPr>
          <w:rFonts w:ascii="IRNazanin" w:hAnsi="IRNazanin" w:eastAsia="IRNazanin" w:cs="IRNazanin"/>
          <w:lang w:bidi="fa-IR"/>
          <w:color w:val="111111"/>
          <w:sz w:val="28"/>
          <w:szCs w:val="28"/>
          <w:rtl/>
        </w:rPr>
        <w:t xml:space="preserve">همان نسخه بالا [نشریه: ۵-۱۳]</w:t>
      </w:r>
    </w:p>
    <w:p>
      <w:pPr>
        <w:pStyle w:val="BookText"/>
      </w:pPr>
      <w:r>
        <w:rPr>
          <w:rFonts w:ascii="IRNazanin" w:hAnsi="IRNazanin" w:eastAsia="IRNazanin" w:cs="IRNazanin"/>
          <w:lang w:bidi="fa-IR"/>
          <w:color w:val="111111"/>
          <w:sz w:val="28"/>
          <w:szCs w:val="28"/>
          <w:rtl/>
        </w:rPr>
        <w:t xml:space="preserve">۲. تهران؛ مجلس؛ شماره نسخه: ۱۳۶۶۸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۶۸ در آخر نسخه شجره نامه ای در ذکر انساب انبیاء، اولیا، ائمه، پادشاهان وزرا و امرا در ۱۴ برگ ترسیم شده که مؤلف اظهار داشته این شجره اختراع خواجه رشیدالدین است و وی آن را از روی کتاب های معتبر اصلاح نموده است. این شجره نامه در نسخه چاپی وجود ندارد؛ جلد: گالینگور قهوه ای، ۳۶۲گ، ۱۹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[ف: ۳۷-۱۹۳]</w:t>
      </w:r>
    </w:p>
    <w:p>
      <w:pPr>
        <w:pStyle w:val="BookText"/>
      </w:pPr>
      <w:r>
        <w:rPr>
          <w:rFonts w:ascii="IRNazanin" w:hAnsi="IRNazanin" w:eastAsia="IRNazanin" w:cs="IRNazanin"/>
          <w:lang w:bidi="fa-IR"/>
          <w:color w:val="111111"/>
          <w:sz w:val="28"/>
          <w:szCs w:val="28"/>
          <w:rtl/>
        </w:rPr>
        <w:t xml:space="preserve">٣. قم؛ مرعشی؛ شماره نسخه:۱۱۴۰۷</w:t>
      </w:r>
    </w:p>
    <w:p>
      <w:pPr>
        <w:pStyle w:val="BookText"/>
      </w:pPr>
      <w:r>
        <w:rPr>
          <w:rFonts w:ascii="IRNazanin" w:hAnsi="IRNazanin" w:eastAsia="IRNazanin" w:cs="IRNazanin"/>
          <w:lang w:bidi="fa-IR"/>
          <w:color w:val="111111"/>
          <w:sz w:val="28"/>
          <w:szCs w:val="28"/>
          <w:rtl/>
        </w:rPr>
        <w:t xml:space="preserve">آغاز: با یمن شد حق تعالی بدین سبب برو خشم گرفت و دولت؛ انجام: صاحب دیانت بود تمیز میان حق و باطل بغایت کردی تحقیق در تزویرات و گواهی از باب ۲ تا اواخر ۶، باب ۱ و خاتمه آن ساقط شده است؛ خط: نسخ و نستعلیق، بی کا، تا: قرن ۹، افتادگی: آغاز و انجام؛ به نظر می رسد نسخه حاضر، از مجموعه چندین نسخه ناقص عصر مؤلف تشکیل یافته و نواقص میان بخش ها، با خط جدیدتر، تکمیل شده؛ تملک: عباس اقبال آشتیانی؛ کاغذ: شرقی، جلد: تیماج آجری تیره، ۲۰۲گ، ۲۱ و ۲۲ سطر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۱۵-۲۹]</w:t>
      </w:r>
    </w:p>
    <w:p>
      <w:pPr>
        <w:pStyle w:val="BookText"/>
      </w:pPr>
      <w:r>
        <w:rPr>
          <w:rFonts w:ascii="IRNazanin" w:hAnsi="IRNazanin" w:eastAsia="IRNazanin" w:cs="IRNazanin"/>
          <w:lang w:bidi="fa-IR"/>
          <w:color w:val="111111"/>
          <w:sz w:val="28"/>
          <w:szCs w:val="28"/>
          <w:rtl/>
        </w:rPr>
        <w:t xml:space="preserve">۴. قم؛ معصومیه؛ شماره نسخه:۹۶/۳</w:t>
      </w:r>
    </w:p>
    <w:p>
      <w:pPr>
        <w:pStyle w:val="BookText"/>
      </w:pPr>
      <w:r>
        <w:rPr>
          <w:rFonts w:ascii="IRNazanin" w:hAnsi="IRNazanin" w:eastAsia="IRNazanin" w:cs="IRNazanin"/>
          <w:lang w:bidi="fa-IR"/>
          <w:color w:val="111111"/>
          <w:sz w:val="28"/>
          <w:szCs w:val="28"/>
          <w:rtl/>
        </w:rPr>
        <w:t xml:space="preserve">-۶۰۳۳ خط: نسخ، بی کا، تا: قرن ۸ و ۹؛ افتادگی: آغاز و انجام؛ آغاز در دیباچه و انجام در «قتل شاه حسن و وزارت خواجه توران شاه و ذكر عصيان پهلوان اسد به طغانشاه در کرمان»؛ کاغذ: سمرقندی، جلد: تیماج مشکی، عطف سرخ، ۲۲۵، ۲۲ سطر، قطع: ربعی</w:t>
      </w:r>
    </w:p>
    <w:p>
      <w:pPr>
        <w:pStyle w:val="BookText"/>
      </w:pPr>
      <w:r>
        <w:rPr>
          <w:rFonts w:ascii="IRNazanin" w:hAnsi="IRNazanin" w:eastAsia="IRNazanin" w:cs="IRNazanin"/>
          <w:lang w:bidi="fa-IR"/>
          <w:color w:val="111111"/>
          <w:sz w:val="28"/>
          <w:szCs w:val="28"/>
          <w:rtl/>
        </w:rPr>
        <w:t xml:space="preserve">[ آستانه قم:-۱۵۸]</w:t>
      </w:r>
    </w:p>
    <w:p>
      <w:pPr>
        <w:pStyle w:val="BookText"/>
      </w:pPr>
      <w:r>
        <w:rPr>
          <w:rFonts w:ascii="IRNazanin" w:hAnsi="IRNazanin" w:eastAsia="IRNazanin" w:cs="IRNazanin"/>
          <w:lang w:bidi="fa-IR"/>
          <w:color w:val="111111"/>
          <w:sz w:val="28"/>
          <w:szCs w:val="28"/>
          <w:rtl/>
        </w:rPr>
        <w:t xml:space="preserve">۵. تهران؛ سپهسالار؛ شماره نسخه:۱۶۱۳</w:t>
      </w:r>
    </w:p>
    <w:p>
      <w:pPr>
        <w:pStyle w:val="BookText"/>
      </w:pPr>
      <w:r>
        <w:rPr>
          <w:rFonts w:ascii="IRNazanin" w:hAnsi="IRNazanin" w:eastAsia="IRNazanin" w:cs="IRNazanin"/>
          <w:lang w:bidi="fa-IR"/>
          <w:color w:val="111111"/>
          <w:sz w:val="28"/>
          <w:szCs w:val="28"/>
          <w:rtl/>
        </w:rPr>
        <w:t xml:space="preserve">خط: نسخ، بی کا، تا: قرن ۹؛ هفت صفحه پایان نسخه در تاریخ جمادی الاول ۱۲۹۷ ق. نوشته شده، مجدول، یک سرلوح؛ کاغذ: سمرقندی نخودی و فرنگی، جلد: تیماج سرخ، ۲۴۷گ، ۲۱ سطر، اندازه: ۱۵/۵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۲۵/۵ سم [ف: ۳-۳۰۲]</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دانشگاه؛ شماره نسخه: ۵۱۲۲ف</w:t>
      </w:r>
    </w:p>
    <w:p>
      <w:pPr>
        <w:pStyle w:val="BookText"/>
      </w:pPr>
      <w:r>
        <w:rPr>
          <w:rFonts w:ascii="IRNazanin" w:hAnsi="IRNazanin" w:eastAsia="IRNazanin" w:cs="IRNazanin"/>
          <w:lang w:bidi="fa-IR"/>
          <w:color w:val="111111"/>
          <w:sz w:val="28"/>
          <w:szCs w:val="28"/>
          <w:rtl/>
        </w:rPr>
        <w:t xml:space="preserve">نسخه اصل: مونیخ ۲۰۵؛ خط: نسخ، كان: محمد بن سعيد بن عبدالله قادری، تا: ربیع الثانی</w:t>
      </w:r>
    </w:p>
    <w:p>
      <w:pPr>
        <w:pStyle w:val="BookText"/>
      </w:pPr>
      <w:r>
        <w:rPr>
          <w:rFonts w:ascii="IRNazanin" w:hAnsi="IRNazanin" w:eastAsia="IRNazanin" w:cs="IRNazanin"/>
          <w:lang w:bidi="fa-IR"/>
          <w:color w:val="111111"/>
          <w:sz w:val="28"/>
          <w:szCs w:val="28"/>
          <w:rtl/>
        </w:rPr>
        <w:t xml:space="preserve">۸۲۳ق، برای خزانه مغیث الدین ابراهیم سلطان؛ تملك: احمد احمد جاوید در ۱۲۰۰. [فیلمها ف: ۳-۱۳۴]</w:t>
      </w:r>
    </w:p>
    <w:p>
      <w:pPr>
        <w:pStyle w:val="BookText"/>
      </w:pPr>
      <w:r>
        <w:rPr>
          <w:rFonts w:ascii="IRNazanin" w:hAnsi="IRNazanin" w:eastAsia="IRNazanin" w:cs="IRNazanin"/>
          <w:lang w:bidi="fa-IR"/>
          <w:color w:val="111111"/>
          <w:sz w:val="28"/>
          <w:szCs w:val="28"/>
          <w:rtl/>
        </w:rPr>
        <w:t xml:space="preserve">۷. تهران؛ مجلس؛ شماره نسخه: ۹۳۶۸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معرب و نستعلیق، بی کا، تا: ۵ شعبان ۸۵۱ق؛ دو صفحه نخست مجدول، دارای کتیبه مذهب، رکابه دار، یادداشت امانت گرفتن آن از کتابخانه اعتضاد الممالك در شوال ۱۳۳۸ به خط احمد بن محمد على قراچه داغی؛ تملک: حسین عارفی به خلیل بن محمد بن خضر در ۱۱۳۸؛ جلد: تیماج عنابی، ۲۴۰ گ، ۲۱ 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۳۰-۹۵]</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سلطنتی؛ شماره نسخه:۴۸۶</w:t>
      </w:r>
    </w:p>
    <w:p>
      <w:pPr>
        <w:pStyle w:val="BookText"/>
      </w:pPr>
      <w:r>
        <w:rPr>
          <w:rFonts w:ascii="IRNazanin" w:hAnsi="IRNazanin" w:eastAsia="IRNazanin" w:cs="IRNazanin"/>
          <w:lang w:bidi="fa-IR"/>
          <w:color w:val="111111"/>
          <w:sz w:val="28"/>
          <w:szCs w:val="28"/>
          <w:rtl/>
        </w:rPr>
        <w:t xml:space="preserve">آغاز و انجام: برابر؛ و قد فرغت من كتابته و اتمامة في سلخ شهر ربیع الاول سنه ثلث خمسین و ثمانمائه الهجريه و الحمدالله رب العالمين. ( و قد تمت المقابله و التصحيح الثانی ). خط: نستعلیق، بی کا، تا: سلخ ربيع الأول ۸۵۳ق؛ مجدول زرین، یک سرلوح نیم ترنج مذهب، مصحح، مقابله شده؛ مهر: «بنام بنده آل محمد بهرام ۱۱۷۰»، «ان ربک سعیکم مقام محمودا»؛ مهر: ناصرالدین شاه قاجار؛ کاغذ: کشمیری، جلد: مقوای روکش چرم</w:t>
      </w:r>
    </w:p>
    <w:p>
      <w:pPr>
        <w:pStyle w:val="BookText"/>
      </w:pPr>
      <w:r>
        <w:rPr>
          <w:rFonts w:ascii="IRNazanin" w:hAnsi="IRNazanin" w:eastAsia="IRNazanin" w:cs="IRNazanin"/>
          <w:lang w:bidi="fa-IR"/>
          <w:color w:val="111111"/>
          <w:sz w:val="28"/>
          <w:szCs w:val="28"/>
          <w:rtl/>
        </w:rPr>
        <w:t xml:space="preserve">لاکی، ۹۲۱ص، ۱۷ سطر، قطع: ربعی [ف: ۵-۳۸۰]</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مشهد؛ رضوی؛ شماره نسخه: ۱۶۵۴۲</w:t>
      </w:r>
    </w:p>
    <w:p>
      <w:pPr>
        <w:pStyle w:val="BookText"/>
      </w:pPr>
      <w:r>
        <w:rPr>
          <w:rFonts w:ascii="IRNazanin" w:hAnsi="IRNazanin" w:eastAsia="IRNazanin" w:cs="IRNazanin"/>
          <w:lang w:bidi="fa-IR"/>
          <w:color w:val="111111"/>
          <w:sz w:val="28"/>
          <w:szCs w:val="28"/>
          <w:rtl/>
        </w:rPr>
        <w:t xml:space="preserve">آغاز: بن جعفر بیک را بفارس فرستاد؛ انجام: سید حسن غزنوی معاصر سلطان بهرامشاه خط: نستعلیق، بی کا، تا: قرن ۱۰؛ افتادگی: آغاز و انجام؛ کاغذ: حنایی، ۱۷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[رایانه ]</w:t>
      </w:r>
    </w:p>
    <w:p>
      <w:pPr>
        <w:pStyle w:val="BookText"/>
      </w:pPr>
      <w:r>
        <w:rPr>
          <w:rFonts w:ascii="Amiri" w:hAnsi="Amiri" w:eastAsia="Amiri" w:cs="Amiri"/>
          <w:lang w:bidi="ar-SA"/>
          <w:color w:val="111111"/>
          <w:sz w:val="28"/>
          <w:szCs w:val="28"/>
          <w:rtl/>
        </w:rPr>
        <w:t xml:space="preserve">۱۰. تهران: دائرة المعارف؛ شماره نسخه: ۱۰۲</w:t>
      </w:r>
    </w:p>
    <w:p>
      <w:pPr>
        <w:pStyle w:val="BookText"/>
      </w:pPr>
      <w:r>
        <w:rPr>
          <w:rFonts w:ascii="IRNazanin" w:hAnsi="IRNazanin" w:eastAsia="IRNazanin" w:cs="IRNazanin"/>
          <w:lang w:bidi="fa-IR"/>
          <w:color w:val="111111"/>
          <w:sz w:val="28"/>
          <w:szCs w:val="28"/>
          <w:rtl/>
        </w:rPr>
        <w:t xml:space="preserve">آغاز: برابر؛ انجام: (نونویس): ... ترتیب رفته انبیاء مرسل را</w:t>
      </w:r>
    </w:p>
    <w:p>
      <w:pPr>
        <w:pStyle w:val="BookText"/>
      </w:pPr>
      <w:r>
        <w:rPr>
          <w:rFonts w:ascii="IRNazanin" w:hAnsi="IRNazanin" w:eastAsia="IRNazanin" w:cs="IRNazanin"/>
          <w:lang w:bidi="fa-IR"/>
          <w:color w:val="111111"/>
          <w:sz w:val="28"/>
          <w:szCs w:val="28"/>
          <w:rtl/>
        </w:rPr>
        <w:t xml:space="preserve">خط: نستعلیق خوش، بی کا، تا: قرن ۹ و ۱۰ق؛ ۱۷ برگ انجام نونویس قرن ۱۲ق؛ مجدول؛ کاغذ: سمرقندی نخودی، جلد: تیماج مشکی، ۲۳۱، ۲۱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۱۵/۵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۲۳/۵سم [ف: ۱-۴۲]</w:t>
      </w:r>
    </w:p>
    <w:p>
      <w:pPr>
        <w:pStyle w:val="BookText"/>
      </w:pPr>
      <w:r>
        <w:rPr>
          <w:rFonts w:ascii="IRNazanin" w:hAnsi="IRNazanin" w:eastAsia="IRNazanin" w:cs="IRNazanin"/>
          <w:lang w:bidi="fa-IR"/>
          <w:color w:val="111111"/>
          <w:sz w:val="28"/>
          <w:szCs w:val="28"/>
          <w:rtl/>
        </w:rPr>
        <w:t xml:space="preserve">۱۱. قم؛ مرعشی؛ شماره نسخه: ۸۶۶۲</w:t>
      </w:r>
    </w:p>
    <w:p>
      <w:pPr>
        <w:pStyle w:val="BookText"/>
      </w:pPr>
      <w:r>
        <w:rPr>
          <w:rFonts w:ascii="IRNazanin" w:hAnsi="IRNazanin" w:eastAsia="IRNazanin" w:cs="IRNazanin"/>
          <w:lang w:bidi="fa-IR"/>
          <w:color w:val="111111"/>
          <w:sz w:val="28"/>
          <w:szCs w:val="28"/>
          <w:rtl/>
        </w:rPr>
        <w:t xml:space="preserve">آغاز: برابر تا پایان باب چهارم؛ خط: نستعلیق، بی کا، تا: قرن ۱۰؛ جلد: تیماج مشکی، ۲۵۲گ، ۱۷ سطر،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۲۲-۲۱۵]</w:t>
      </w:r>
    </w:p>
    <w:p>
      <w:pPr>
        <w:pStyle w:val="BookText"/>
      </w:pPr>
      <w:r>
        <w:rPr>
          <w:rFonts w:ascii="IRNazanin" w:hAnsi="IRNazanin" w:eastAsia="IRNazanin" w:cs="IRNazanin"/>
          <w:lang w:bidi="fa-IR"/>
          <w:color w:val="111111"/>
          <w:sz w:val="28"/>
          <w:szCs w:val="28"/>
          <w:rtl/>
        </w:rPr>
        <w:t xml:space="preserve">۱۲. مشهد؛ رضوی؛ شماره نسخه: ۵۸۵۸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اواخر قرن ۱۰؛ مجدول؛ واقف: محمد رضا بدخشان، خرداد ۱۳۸۸؛ کاغذ: نخودی، جلد: مقوایی، ۲۵۷گ، ۱۹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۷-۳۷]</w:t>
      </w:r>
    </w:p>
    <w:p>
      <w:pPr>
        <w:pStyle w:val="BookText"/>
      </w:pPr>
      <w:r>
        <w:rPr>
          <w:rFonts w:ascii="IRNazanin" w:hAnsi="IRNazanin" w:eastAsia="IRNazanin" w:cs="IRNazanin"/>
          <w:lang w:bidi="fa-IR"/>
          <w:color w:val="111111"/>
          <w:sz w:val="28"/>
          <w:szCs w:val="28"/>
          <w:rtl/>
        </w:rPr>
        <w:t xml:space="preserve">۱۳. تهران؛ سلطنتی؛ شماره نسخه: ۵۰۲</w:t>
      </w:r>
    </w:p>
    <w:p>
      <w:pPr>
        <w:pStyle w:val="BookText"/>
      </w:pPr>
      <w:r>
        <w:rPr>
          <w:rFonts w:ascii="IRNazanin" w:hAnsi="IRNazanin" w:eastAsia="IRNazanin" w:cs="IRNazanin"/>
          <w:lang w:bidi="fa-IR"/>
          <w:color w:val="111111"/>
          <w:sz w:val="28"/>
          <w:szCs w:val="28"/>
          <w:rtl/>
        </w:rPr>
        <w:t xml:space="preserve">آغاز: برابر؛ انجام: من رابطه قدر فواق ناقة بقزوين فله الجنة ترجمه ظاهر ست الثاني و الاربعون قال النبي( صلى الله عليه وآله و سلم) شهداء قزوین سادة الشهدا ترجمه ظاهر ست. تمت الكتاب بعون الملک الوهاب تحریرة في شهر شوال ختم بالخير و الاقبال سنه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۹۳۸ .</w:t>
      </w:r>
    </w:p>
    <w:p>
      <w:pPr>
        <w:pStyle w:val="BookText"/>
      </w:pPr>
      <w:r>
        <w:rPr>
          <w:rFonts w:ascii="IRNazanin" w:hAnsi="IRNazanin" w:eastAsia="IRNazanin" w:cs="IRNazanin"/>
          <w:lang w:bidi="fa-IR"/>
          <w:color w:val="111111"/>
          <w:sz w:val="28"/>
          <w:szCs w:val="28"/>
          <w:rtl/>
        </w:rPr>
        <w:t xml:space="preserve">خط: نستعلیق، بی کا، تا: شوال ۹۳۸ق؛ مجدول، مذهب، یک سرلوح مذهب، چند مهر از کتابخانه پادشاهان تیموری هندوستان به سنوات ۱۱۲۷-۱۱۶۰-۱۱۵۱ق، به سال ۱۳۲۲ از عرض کتابخانه سرکاری گذشته؛ تملک: فرهاد بن ولیعهد در ۱۳۰۴؛ کاغذ: اصفهانی، جلد: مقوای روکش چرم ساغری مشکی، ۷۲۴ص، ۱۶ سطر، اندازه: ۲۲/۵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۳۵/۵سم [ف: ۵-۳۸۲]</w:t>
      </w:r>
    </w:p>
    <w:p>
      <w:pPr>
        <w:pStyle w:val="BookText"/>
      </w:pPr>
      <w:r>
        <w:rPr>
          <w:rFonts w:ascii="IRNazanin" w:hAnsi="IRNazanin" w:eastAsia="IRNazanin" w:cs="IRNazanin"/>
          <w:lang w:bidi="fa-IR"/>
          <w:color w:val="111111"/>
          <w:sz w:val="28"/>
          <w:szCs w:val="28"/>
          <w:rtl/>
        </w:rPr>
        <w:t xml:space="preserve">۱۴. تهران؛ مجلس؛ شماره نسخه: ۱۴۰۹۱/۱</w:t>
      </w:r>
    </w:p>
    <w:p>
      <w:pPr>
        <w:pStyle w:val="BookText"/>
      </w:pPr>
      <w:r>
        <w:rPr>
          <w:rFonts w:ascii="IRNazanin" w:hAnsi="IRNazanin" w:eastAsia="IRNazanin" w:cs="IRNazanin"/>
          <w:lang w:bidi="fa-IR"/>
          <w:color w:val="111111"/>
          <w:sz w:val="28"/>
          <w:szCs w:val="28"/>
          <w:rtl/>
        </w:rPr>
        <w:t xml:space="preserve">خط: نستعلیق، کا: جمال الدين محمد بن ابواسحاق نیریزی، تا: ۱۰</w:t>
      </w:r>
    </w:p>
    <w:p>
      <w:pPr>
        <w:pStyle w:val="BookText"/>
      </w:pPr>
      <w:r>
        <w:rPr>
          <w:rFonts w:ascii="IRNazanin" w:hAnsi="IRNazanin" w:eastAsia="IRNazanin" w:cs="IRNazanin"/>
          <w:lang w:bidi="fa-IR"/>
          <w:color w:val="111111"/>
          <w:sz w:val="28"/>
          <w:szCs w:val="28"/>
          <w:rtl/>
        </w:rPr>
        <w:t xml:space="preserve">صفر ۹۴۶ق ؛ جلد: تیماج قهوه ای با ترنج، ۲۷۹گ (۱ر۲۷۹پ)، ۱۵ سطر، اندازه: ۱۵/۵</w:t>
      </w:r>
    </w:p>
    <w:p>
      <w:pPr>
        <w:pStyle w:val="BookText"/>
      </w:pP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۲۲/۵سم [ف: ۳۸-۱۱۷]</w:t>
      </w:r>
    </w:p>
    <w:p>
      <w:pPr>
        <w:pStyle w:val="BookText"/>
      </w:pPr>
      <w:r>
        <w:rPr>
          <w:rFonts w:ascii="IRNazanin" w:hAnsi="IRNazanin" w:eastAsia="IRNazanin" w:cs="IRNazanin"/>
          <w:lang w:bidi="fa-IR"/>
          <w:color w:val="111111"/>
          <w:sz w:val="28"/>
          <w:szCs w:val="28"/>
          <w:rtl/>
        </w:rPr>
        <w:t xml:space="preserve">۱۵. تهران: دانشگاه؛ شماره نسخه:۵۱۳۳ف</w:t>
      </w:r>
    </w:p>
    <w:p>
      <w:pPr>
        <w:pStyle w:val="BookText"/>
      </w:pPr>
      <w:r>
        <w:rPr>
          <w:rFonts w:ascii="IRNazanin" w:hAnsi="IRNazanin" w:eastAsia="IRNazanin" w:cs="IRNazanin"/>
          <w:lang w:bidi="fa-IR"/>
          <w:color w:val="111111"/>
          <w:sz w:val="28"/>
          <w:szCs w:val="28"/>
          <w:rtl/>
        </w:rPr>
        <w:t xml:space="preserve">نسخه اصل: مونیخ ۲۰۶؛ خط: نستعلیق، کا: محمد بن على رومی،</w:t>
      </w:r>
    </w:p>
    <w:p>
      <w:pPr>
        <w:pStyle w:val="BookText"/>
      </w:pPr>
      <w:r>
        <w:rPr>
          <w:rFonts w:ascii="IRNazanin" w:hAnsi="IRNazanin" w:eastAsia="IRNazanin" w:cs="IRNazanin"/>
          <w:lang w:bidi="fa-IR"/>
          <w:color w:val="111111"/>
          <w:sz w:val="28"/>
          <w:szCs w:val="28"/>
          <w:rtl/>
        </w:rPr>
        <w:t xml:space="preserve">تا: ۹۴۸ق [فیلمها ف: ۳-۱۳۶] ۱۶. تهران؛ ملی؛ شماره نسخه:۱۳۴۷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عبدالرحمن بن محمود بن عبدالرحمن بن قاسم سعیدی، تا: ۹۶۰ق؛ مجدول؛ کاغذ: دولت آبادی، جلد: تیماج سیاه، ۲۷۵گ، ۲۵ سطر (</w:t>
      </w:r>
    </w:p>
    <w:p>
      <w:pPr>
        <w:pStyle w:val="BookText"/>
      </w:pPr>
      <w:r>
        <w:rPr>
          <w:rFonts w:ascii="IRNazanin" w:hAnsi="IRNazanin" w:eastAsia="IRNazanin" w:cs="IRNazanin"/>
          <w:lang w:bidi="fa-IR"/>
          <w:color w:val="111111"/>
          <w:sz w:val="28"/>
          <w:szCs w:val="28"/>
          <w:rtl/>
        </w:rPr>
        <w:t xml:space="preserve">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۱۲/۵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سم [ف: ۳-۴۰۸]</w:t>
      </w:r>
    </w:p>
    <w:p>
      <w:pPr>
        <w:pStyle w:val="BookText"/>
      </w:pPr>
      <w:r>
        <w:rPr>
          <w:rFonts w:ascii="IRNazanin" w:hAnsi="IRNazanin" w:eastAsia="IRNazanin" w:cs="IRNazanin"/>
          <w:lang w:bidi="fa-IR"/>
          <w:color w:val="111111"/>
          <w:sz w:val="28"/>
          <w:szCs w:val="28"/>
          <w:rtl/>
        </w:rPr>
        <w:t xml:space="preserve">۱۷. تهران؛ سپهسالار؛ شماره نسخه:۷۲۱۸</w:t>
      </w:r>
    </w:p>
    <w:p>
      <w:pPr>
        <w:pStyle w:val="BookText"/>
      </w:pPr>
      <w:r>
        <w:rPr>
          <w:rFonts w:ascii="IRNazanin" w:hAnsi="IRNazanin" w:eastAsia="IRNazanin" w:cs="IRNazanin"/>
          <w:lang w:bidi="fa-IR"/>
          <w:color w:val="111111"/>
          <w:sz w:val="28"/>
          <w:szCs w:val="28"/>
          <w:rtl/>
        </w:rPr>
        <w:t xml:space="preserve">آغاز: و خلیفه و وزیر موسی بود، انجام: یعنی همچنان که مردن برادر خط: نستعلیق، بی کا، تا: قرن ۱۱؛ افتادگی: آغاز و انجام کاغذ: سمرقندی سفید، جلد: تیماج مشکی، ۲۷۴گ، ۱۵ سطر، اندازه: ۲۳۷۱۷سم [ف: ۳-۳۰) ۱۸. تهران؛ ادبیات، شماره نسخه:۴۵ - ج</w:t>
      </w:r>
    </w:p>
    <w:p>
      <w:pPr>
        <w:pStyle w:val="BookText"/>
      </w:pPr>
      <w:r>
        <w:rPr>
          <w:rFonts w:ascii="IRNazanin" w:hAnsi="IRNazanin" w:eastAsia="IRNazanin" w:cs="IRNazanin"/>
          <w:lang w:bidi="fa-IR"/>
          <w:color w:val="111111"/>
          <w:sz w:val="28"/>
          <w:szCs w:val="28"/>
          <w:rtl/>
        </w:rPr>
        <w:t xml:space="preserve">آغاز: انداز آدم ... تا زمان مبارک خاتم ... و آن دو فصل است. فصل اول در ذکر پیغمبران ... اکابر مورخان آورده اند؛ انجام: برابر خط: نستعلیق، کا: حسین قلی زنگنه، تا: قرن ۱۱؛ افتادگی: آغاز دیباچه و فهرست افتاده)؛ نسخه را کسی به دقت خوانده و عنوانها را در کنار صفحه ها یاددشت کرده و یادداشت مورخ ۱۲۹۷ او در نسخه دیده می شود، یادداشت تملک ۱۱۶۴؛ کاغذ: سپاهانی، جلد: تیماج مشکی مقوایی، ۳۴۵گ، ۱۵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۱-۷۸]</w:t>
      </w:r>
    </w:p>
    <w:p>
      <w:pPr>
        <w:pStyle w:val="BookText"/>
      </w:pPr>
      <w:r>
        <w:rPr>
          <w:rFonts w:ascii="IRNazanin" w:hAnsi="IRNazanin" w:eastAsia="IRNazanin" w:cs="IRNazanin"/>
          <w:lang w:bidi="fa-IR"/>
          <w:color w:val="111111"/>
          <w:sz w:val="28"/>
          <w:szCs w:val="28"/>
          <w:rtl/>
        </w:rPr>
        <w:t xml:space="preserve">۱۹. قم: مرکز احیاء؛ شماره نسخه:۴۳۳۳</w:t>
      </w:r>
    </w:p>
    <w:p>
      <w:pPr>
        <w:pStyle w:val="BookText"/>
      </w:pPr>
      <w:r>
        <w:rPr>
          <w:rFonts w:ascii="IRNazanin" w:hAnsi="IRNazanin" w:eastAsia="IRNazanin" w:cs="IRNazanin"/>
          <w:lang w:bidi="fa-IR"/>
          <w:color w:val="111111"/>
          <w:sz w:val="28"/>
          <w:szCs w:val="28"/>
          <w:rtl/>
        </w:rPr>
        <w:t xml:space="preserve">آغاز: مذکور و چون در ایراد آن چندان فائده نبود خامه تیز کام راه بیان آن نپیمود.؛ انجام: در بیست و چهارم خلافت مقتضی سلطان عبد المؤمن مهدیه را از تصرف فرنگی بیرون آورد ... از حضرت شیث تا سال ۲۳ خلافت المقتضی بالله؛ خط: نستعلیق، بی کا، تا: قرن ۱۱؛ افتادگی: انجام؛ مصحح، جلد: تیماج سبز، ۱۷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w:t>
      </w:r>
    </w:p>
    <w:p>
      <w:pPr>
        <w:pStyle w:val="BookText"/>
      </w:pPr>
      <w:r>
        <w:rPr>
          <w:rFonts w:ascii="IRNazanin" w:hAnsi="IRNazanin" w:eastAsia="IRNazanin" w:cs="IRNazanin"/>
          <w:lang w:bidi="fa-IR"/>
          <w:color w:val="111111"/>
          <w:sz w:val="28"/>
          <w:szCs w:val="28"/>
          <w:rtl/>
        </w:rPr>
        <w:t xml:space="preserve">[ محدث ارموی مخ: ۱- ۲۷۱]</w:t>
      </w:r>
    </w:p>
    <w:p>
      <w:pPr>
        <w:pStyle w:val="BookText"/>
      </w:pPr>
      <w:r>
        <w:rPr>
          <w:rFonts w:ascii="IRNazanin" w:hAnsi="IRNazanin" w:eastAsia="IRNazanin" w:cs="IRNazanin"/>
          <w:lang w:bidi="fa-IR"/>
          <w:color w:val="111111"/>
          <w:sz w:val="28"/>
          <w:szCs w:val="28"/>
          <w:rtl/>
        </w:rPr>
        <w:t xml:space="preserve">۲۰. تهران؛ ملی؛ شماره نسخه:۲۱۵۴</w:t>
      </w:r>
    </w:p>
    <w:p>
      <w:pPr>
        <w:pStyle w:val="BookText"/>
      </w:pPr>
      <w:r>
        <w:rPr>
          <w:rFonts w:ascii="IRNazanin" w:hAnsi="IRNazanin" w:eastAsia="IRNazanin" w:cs="IRNazanin"/>
          <w:lang w:bidi="fa-IR"/>
          <w:color w:val="111111"/>
          <w:sz w:val="28"/>
          <w:szCs w:val="28"/>
          <w:rtl/>
        </w:rPr>
        <w:t xml:space="preserve">تاریخ گزیده ۷۴۱</w:t>
      </w:r>
    </w:p>
    <w:p>
      <w:pPr>
        <w:pStyle w:val="BookText"/>
      </w:pPr>
      <w:r>
        <w:rPr>
          <w:rFonts w:ascii="IRNazanin" w:hAnsi="IRNazanin" w:eastAsia="IRNazanin" w:cs="IRNazanin"/>
          <w:lang w:bidi="fa-IR"/>
          <w:color w:val="111111"/>
          <w:sz w:val="28"/>
          <w:szCs w:val="28"/>
          <w:rtl/>
        </w:rPr>
        <w:t xml:space="preserve">آغاز: برابر؛ انجام: و صورت شجره اینست که بر صفحه ... ثبت میشود خط: نستعلیق، بی کا، تا: ۱۰۰۹ق؛ کاغذ: اصفهانی، جلد: روغنی بوم سیاه، ۲۲۰گ، ۱۹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۲۰۶-۵]</w:t>
      </w:r>
    </w:p>
    <w:p>
      <w:pPr>
        <w:pStyle w:val="BookText"/>
      </w:pPr>
      <w:r>
        <w:rPr>
          <w:rFonts w:ascii="IRNazanin" w:hAnsi="IRNazanin" w:eastAsia="IRNazanin" w:cs="IRNazanin"/>
          <w:lang w:bidi="fa-IR"/>
          <w:color w:val="111111"/>
          <w:sz w:val="28"/>
          <w:szCs w:val="28"/>
          <w:rtl/>
        </w:rPr>
        <w:t xml:space="preserve">۲۱. اصفهان؛ صارم الدوله (كتابخانه فرهنگ اصفهان)؛ شماره نسخه: ۹۳۵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مصطفى بن گورشاه على روملو، تا: سه شنبه ۲۶ رجب ۱۰۲۸ق، جان قریه فرزاد شمیران؛ ۳۸۰ص، ۲۵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۶۵]</w:t>
      </w:r>
    </w:p>
    <w:p>
      <w:pPr>
        <w:pStyle w:val="BookText"/>
      </w:pPr>
      <w:r>
        <w:rPr>
          <w:rFonts w:ascii="IRNazanin" w:hAnsi="IRNazanin" w:eastAsia="IRNazanin" w:cs="IRNazanin"/>
          <w:lang w:bidi="fa-IR"/>
          <w:color w:val="111111"/>
          <w:sz w:val="28"/>
          <w:szCs w:val="28"/>
          <w:rtl/>
        </w:rPr>
        <w:t xml:space="preserve">اصفهان؛ عمومی اصفهان (فرهنگ سابق)؛ شماره نسخه: ۱۱۴۱۰</w:t>
      </w:r>
    </w:p>
    <w:p>
      <w:pPr>
        <w:pStyle w:val="BookText"/>
      </w:pPr>
      <w:r>
        <w:rPr>
          <w:rFonts w:ascii="IRNazanin" w:hAnsi="IRNazanin" w:eastAsia="IRNazanin" w:cs="IRNazanin"/>
          <w:lang w:bidi="fa-IR"/>
          <w:color w:val="111111"/>
          <w:sz w:val="28"/>
          <w:szCs w:val="28"/>
          <w:rtl/>
        </w:rPr>
        <w:t xml:space="preserve">همان نسخه بالا [نشریه: ۵-۳۱۶]</w:t>
      </w:r>
    </w:p>
    <w:p>
      <w:pPr>
        <w:pStyle w:val="BookText"/>
      </w:pPr>
      <w:r>
        <w:rPr>
          <w:rFonts w:ascii="IRNazanin" w:hAnsi="IRNazanin" w:eastAsia="IRNazanin" w:cs="IRNazanin"/>
          <w:lang w:bidi="fa-IR"/>
          <w:color w:val="111111"/>
          <w:sz w:val="28"/>
          <w:szCs w:val="28"/>
          <w:rtl/>
        </w:rPr>
        <w:t xml:space="preserve">۲۲. تهران؛ مجلس؛ شماره نسخه:۳۰۱۸</w:t>
      </w:r>
    </w:p>
    <w:p>
      <w:pPr>
        <w:pStyle w:val="BookText"/>
      </w:pPr>
      <w:r>
        <w:rPr>
          <w:rFonts w:ascii="IRNazanin" w:hAnsi="IRNazanin" w:eastAsia="IRNazanin" w:cs="IRNazanin"/>
          <w:lang w:bidi="fa-IR"/>
          <w:color w:val="111111"/>
          <w:sz w:val="28"/>
          <w:szCs w:val="28"/>
          <w:rtl/>
        </w:rPr>
        <w:t xml:space="preserve">آغاز: در اکثر ایران چهارده تن مدت ملکشان ار سنه تسع و عشرین و اربعمأيه تا ربیع الاول سنه تسعين و خمسأيه صد و شصت و یکسال. شعبه دوم بکرمان بازده تن مدت ملکشان از سنه ثلاث و ثلاثين و اربعمأيه؛ انجام: برابر</w:t>
      </w:r>
    </w:p>
    <w:p>
      <w:pPr>
        <w:pStyle w:val="BookText"/>
      </w:pPr>
      <w:r>
        <w:rPr>
          <w:rFonts w:ascii="IRNazanin" w:hAnsi="IRNazanin" w:eastAsia="IRNazanin" w:cs="IRNazanin"/>
          <w:lang w:bidi="fa-IR"/>
          <w:color w:val="111111"/>
          <w:sz w:val="28"/>
          <w:szCs w:val="28"/>
          <w:rtl/>
        </w:rPr>
        <w:t xml:space="preserve">خط: نستعلیق، کا: نوروز علی پسر دوستعلی شیخ حيواتی معلم، تا: سه شنبه 7 ربيع الأول ۱۰۵۳ق؛ افتادگی: آغاز؛ در کنار برخی از برگ ها حاشیه هایی از اسکندر میرزا پسر ركن الدوله نوشته شده و او در پاره ای از آنها به مؤلف كتاب (مستوفی) ناسزا گفته است؛</w:t>
      </w:r>
    </w:p>
    <w:p>
      <w:pPr>
        <w:pStyle w:val="BookText"/>
      </w:pPr>
      <w:r>
        <w:rPr>
          <w:rFonts w:ascii="IRNazanin" w:hAnsi="IRNazanin" w:eastAsia="IRNazanin" w:cs="IRNazanin"/>
          <w:lang w:bidi="fa-IR"/>
          <w:color w:val="111111"/>
          <w:sz w:val="28"/>
          <w:szCs w:val="28"/>
          <w:rtl/>
        </w:rPr>
        <w:t xml:space="preserve">کاغذ: اصفهانی، جلد: تیماج يشمی، ۵۸۵ص، ۱۷ سطر، اندازه: ۴۵۶۱۸سم [ف: ۱۰-۴۶۶]</w:t>
      </w:r>
    </w:p>
    <w:p>
      <w:pPr>
        <w:pStyle w:val="BookText"/>
      </w:pPr>
      <w:r>
        <w:rPr>
          <w:rFonts w:ascii="IRNazanin" w:hAnsi="IRNazanin" w:eastAsia="IRNazanin" w:cs="IRNazanin"/>
          <w:lang w:bidi="fa-IR"/>
          <w:color w:val="111111"/>
          <w:sz w:val="28"/>
          <w:szCs w:val="28"/>
          <w:rtl/>
        </w:rPr>
        <w:t xml:space="preserve">۲۳. قم؛ گلپایگانی؛ شماره نسخه:۷۵۷۶- ۵۱/۳۶</w:t>
      </w:r>
    </w:p>
    <w:p>
      <w:pPr>
        <w:pStyle w:val="BookText"/>
      </w:pPr>
      <w:r>
        <w:rPr>
          <w:rFonts w:ascii="IRNazanin" w:hAnsi="IRNazanin" w:eastAsia="IRNazanin" w:cs="IRNazanin"/>
          <w:lang w:bidi="fa-IR"/>
          <w:color w:val="111111"/>
          <w:sz w:val="28"/>
          <w:szCs w:val="28"/>
          <w:rtl/>
        </w:rPr>
        <w:t xml:space="preserve">آغاز: گفته اند و اهل نجوم از زمان طوفان تاریخی دارند و درین زمان که سنة ثمان و تسعین و ستمائه؛ خط: نستعلیق، كا: نقدعلی بن فضل علی عبدالملکی، تا: ۱۱۰۴ق؛</w:t>
      </w:r>
    </w:p>
    <w:p>
      <w:pPr>
        <w:pStyle w:val="BookText"/>
      </w:pPr>
      <w:r>
        <w:rPr>
          <w:rFonts w:ascii="IRNazanin" w:hAnsi="IRNazanin" w:eastAsia="IRNazanin" w:cs="IRNazanin"/>
          <w:lang w:bidi="fa-IR"/>
          <w:color w:val="111111"/>
          <w:sz w:val="28"/>
          <w:szCs w:val="28"/>
          <w:rtl/>
        </w:rPr>
        <w:t xml:space="preserve">افتادگی: آغاز؛ ۱۶۸گ، ۱۵ سطر،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۲-۷۰۱]</w:t>
      </w:r>
    </w:p>
    <w:p>
      <w:pPr>
        <w:pStyle w:val="BookText"/>
      </w:pPr>
      <w:r>
        <w:rPr>
          <w:rFonts w:ascii="IRNazanin" w:hAnsi="IRNazanin" w:eastAsia="IRNazanin" w:cs="IRNazanin"/>
          <w:lang w:bidi="fa-IR"/>
          <w:color w:val="111111"/>
          <w:sz w:val="28"/>
          <w:szCs w:val="28"/>
          <w:rtl/>
        </w:rPr>
        <w:t xml:space="preserve">۲۴. یزد؛ وزیری؛ شماره نسخه:۳۱۹/۲</w:t>
      </w:r>
    </w:p>
    <w:p>
      <w:pPr>
        <w:pStyle w:val="BookText"/>
      </w:pPr>
      <w:r>
        <w:rPr>
          <w:rFonts w:ascii="IRNazanin" w:hAnsi="IRNazanin" w:eastAsia="IRNazanin" w:cs="IRNazanin"/>
          <w:lang w:bidi="fa-IR"/>
          <w:color w:val="111111"/>
          <w:sz w:val="28"/>
          <w:szCs w:val="28"/>
          <w:rtl/>
        </w:rPr>
        <w:t xml:space="preserve">آغاز: برابر؛ انجام: و چون بهزار رسد اجازت طلبد مستضی را سریتی بنفشه نام بود که معدن سخا و منبع خيرات ... خط: نسخ و نستعلیق، كان محمد ابراهیم خزری، تا: از جمادی الثانی ۱۱۰۸ق، کاغذ: اصفهانی، جلد: مقوایی عطف تیماج عنابی، ۹۳گ،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۱-۳۰۲]</w:t>
      </w:r>
    </w:p>
    <w:p>
      <w:pPr>
        <w:pStyle w:val="BookText"/>
      </w:pPr>
      <w:r>
        <w:rPr>
          <w:rFonts w:ascii="IRNazanin" w:hAnsi="IRNazanin" w:eastAsia="IRNazanin" w:cs="IRNazanin"/>
          <w:lang w:bidi="fa-IR"/>
          <w:color w:val="111111"/>
          <w:sz w:val="28"/>
          <w:szCs w:val="28"/>
          <w:rtl/>
        </w:rPr>
        <w:t xml:space="preserve">۲۵. تهران؛ مجلس؛ شماره نسخه: ۸۸۴۱/۲</w:t>
      </w:r>
    </w:p>
    <w:p>
      <w:pPr>
        <w:pStyle w:val="BookText"/>
      </w:pPr>
      <w:r>
        <w:rPr>
          <w:rFonts w:ascii="IRNazanin" w:hAnsi="IRNazanin" w:eastAsia="IRNazanin" w:cs="IRNazanin"/>
          <w:lang w:bidi="fa-IR"/>
          <w:color w:val="111111"/>
          <w:sz w:val="28"/>
          <w:szCs w:val="28"/>
          <w:rtl/>
        </w:rPr>
        <w:t xml:space="preserve">آغاز: برابر، انجام: فصل چهارم از باب پنجم. در ذکر مشایخ از مسلمانان هر که صحبت رسول دریافته بود ... التثاثی قيقبه پسر سعد که مقدم است ذکر او ... ابی داود السجستانی صاحب الصحاح ابن ماجه الدارائی متن تاریخ گزیده در دو بخش آمده و قسمت کمی از آن در نسخه ما نیست. ظاهرا کاتب برای آن که بعدا آن بخش را تکمیل کند دو صفحه و نیم سفید گذاشته بود اما بعدا متن دیگری در آن کتابت شد. تنها فصل پنجم از باب پنجم کتاب ناقص است؛ خط: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نسخ و نستعلیق، کا: جمال الدين محمد حسنی، تا: با تاریخ ۱۱۱۰ق؛ افتادگی: انجام؛ کاغذ: شرقی نخودی آهار مهره نازک، جلد: میشن مشکی عطف چرم قهوه ای، ۹۷ص (۲-۹۸)، اندازه: ۳۴/۹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۲۲/۳ سم [ف: ۲۹/۱ -۸۶]</w:t>
      </w:r>
    </w:p>
    <w:p>
      <w:pPr>
        <w:pStyle w:val="BookText"/>
      </w:pPr>
      <w:r>
        <w:rPr>
          <w:rFonts w:ascii="IRNazanin" w:hAnsi="IRNazanin" w:eastAsia="IRNazanin" w:cs="IRNazanin"/>
          <w:lang w:bidi="fa-IR"/>
          <w:color w:val="111111"/>
          <w:sz w:val="28"/>
          <w:szCs w:val="28"/>
          <w:rtl/>
        </w:rPr>
        <w:t xml:space="preserve">۲۶. تهران؛ مجلس؛ شماره نسخه:۸۸۴۱/۶</w:t>
      </w:r>
    </w:p>
    <w:p>
      <w:pPr>
        <w:pStyle w:val="BookText"/>
      </w:pPr>
      <w:r>
        <w:rPr>
          <w:rFonts w:ascii="IRNazanin" w:hAnsi="IRNazanin" w:eastAsia="IRNazanin" w:cs="IRNazanin"/>
          <w:lang w:bidi="fa-IR"/>
          <w:color w:val="111111"/>
          <w:sz w:val="28"/>
          <w:szCs w:val="28"/>
          <w:rtl/>
        </w:rPr>
        <w:t xml:space="preserve">آغاز: جامع الأصول بود و معاصر ناصر خليفه. علی بن محمد بن نصر الحسين الواقدي المفسر المشهور ... فصل ششم از باب در ذکر شعرا و ایشان دو کروه اند عرب و عجم؛ انجام: و از ایشان اهل بیت را نام به سبزی نوشت. پادشاهان را بر موجب قیل یاد کرد و آن چه مسلمان شدند نام برد».</w:t>
      </w:r>
    </w:p>
    <w:p>
      <w:pPr>
        <w:pStyle w:val="BookText"/>
      </w:pPr>
      <w:r>
        <w:rPr>
          <w:rFonts w:ascii="IRNazanin" w:hAnsi="IRNazanin" w:eastAsia="IRNazanin" w:cs="IRNazanin"/>
          <w:lang w:bidi="fa-IR"/>
          <w:color w:val="111111"/>
          <w:sz w:val="28"/>
          <w:szCs w:val="28"/>
          <w:rtl/>
        </w:rPr>
        <w:t xml:space="preserve">انجامه: «و الحمدلله كثيرا دائما ابدا ابدا که تمام شد کتاب گزیدة التواریخ از تصانیف محمد بن احمد بن حسن بن نصر مستوفی بتاریخ دهم رمضان المبارک سنه ۱۱۱۰ هزار و صد و ده از هجرت افضل البشر شفيع يوم المحشر عليه افضل الصلوة و التحيات و التسلیمات به خط بنده کمترین تراب اقدام العارفین جمال الدین محمد در فراء در ایامی که حضرت قبلہ عالم پادشاهزاده محمد اکبر خلق ابو الظفر محیی الدین محمد اورنگ زیب بهادر عالم گیر بادشاہ غازی تشریف داشتند و بنده در رکاب نصرت اعتصام پادشاه عالمیان بود که از کابل آمدم که نشانها و توره و خلعت از عنایات بادشاه زاده به زوجه و پسر امیر خان ولد خلیل الله خان میر میرانی برده بودم آمده کتاب گزیده تمام کردم. نوشته سالها ماند زکاتب *** نشان در خاک جوئی هم نیابی / شد ز فضل آن خدائی لا بنام *** این کتابت روز آدینه تمام.</w:t>
      </w:r>
    </w:p>
    <w:p>
      <w:pPr>
        <w:pStyle w:val="BookText"/>
      </w:pPr>
      <w:r>
        <w:rPr>
          <w:rFonts w:ascii="IRNazanin" w:hAnsi="IRNazanin" w:eastAsia="IRNazanin" w:cs="IRNazanin"/>
          <w:lang w:bidi="fa-IR"/>
          <w:color w:val="111111"/>
          <w:sz w:val="28"/>
          <w:szCs w:val="28"/>
          <w:rtl/>
        </w:rPr>
        <w:t xml:space="preserve">ادامه تاریخ گزیده است. در این بخش چند سطری از کتاب نوشته مانده و جایش سفید است؛ خط: نسخ و نستعلیق، کا: جمال الدین محمد حسنی، تا: با تاریخ ۱۱۱۰ق؛ افتادگی: آغاز، کاغذ: شرقی نخودی آهار مهره، جلد: میشین مشکی ساده عطف چرم قهوه ای، ۱۵ص (۱۰۱-۱۱۵)، اندازه: ۳۴/۹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۲۲/۳ سم [ف: ۳-۸۷]</w:t>
      </w:r>
    </w:p>
    <w:p>
      <w:pPr>
        <w:pStyle w:val="BookText"/>
      </w:pPr>
      <w:r>
        <w:rPr>
          <w:rFonts w:ascii="IRNazanin" w:hAnsi="IRNazanin" w:eastAsia="IRNazanin" w:cs="IRNazanin"/>
          <w:lang w:bidi="fa-IR"/>
          <w:color w:val="111111"/>
          <w:sz w:val="28"/>
          <w:szCs w:val="28"/>
          <w:rtl/>
        </w:rPr>
        <w:t xml:space="preserve">۲۷. تهران: مجلس؛ شماره نسخه: ۱۴۶۴۱</w:t>
      </w:r>
    </w:p>
    <w:p>
      <w:pPr>
        <w:pStyle w:val="BookText"/>
      </w:pPr>
      <w:r>
        <w:rPr>
          <w:rFonts w:ascii="IRNazanin" w:hAnsi="IRNazanin" w:eastAsia="IRNazanin" w:cs="IRNazanin"/>
          <w:lang w:bidi="fa-IR"/>
          <w:color w:val="111111"/>
          <w:sz w:val="28"/>
          <w:szCs w:val="28"/>
          <w:rtl/>
        </w:rPr>
        <w:t xml:space="preserve">آغاز: درود فراوان و تحیات بی پایان برو و بر اهل بیت و یاران و اتباع و اشیاع او باد، انجام: ایشان را نوشتم اختصار کردیم. خاتمه در ذکر خط: نستعلیق، بی کا، تا: احتمالا قرن ۱۳؛ افتادگی: آغاز (برگ اول) و انجام؛ یادداشتی درباره اهمیت کتاب از محمدباقر نواب متخلص به فدایی در سلخ ماه صفر ۱۲۹۵ با تصریح به اینکه کتاب را به مبلغ دو تومان و یکهزار خریده و در تاریخ ۲ ربيع الأول همان سال وارد کتابخانه اش گردیده با مهر «نواب» (بیضوی)؛ جلد: تیماج سبز یشمی، ۲۰۳گ، ۲۱ سطر، اندازه: ۱۷/۲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۲۳/۵سم [ف: ۴۱-۱۳۹]</w:t>
      </w:r>
    </w:p>
    <w:p>
      <w:pPr>
        <w:pStyle w:val="BookText"/>
      </w:pPr>
      <w:r>
        <w:rPr>
          <w:rFonts w:ascii="IRNazanin" w:hAnsi="IRNazanin" w:eastAsia="IRNazanin" w:cs="IRNazanin"/>
          <w:lang w:bidi="fa-IR"/>
          <w:color w:val="111111"/>
          <w:sz w:val="28"/>
          <w:szCs w:val="28"/>
          <w:rtl/>
        </w:rPr>
        <w:t xml:space="preserve">۲۸. تهران؛ ملی؛ شماره نسخه:۲۲۲۴</w:t>
      </w:r>
    </w:p>
    <w:p>
      <w:pPr>
        <w:pStyle w:val="BookText"/>
      </w:pPr>
      <w:r>
        <w:rPr>
          <w:rFonts w:ascii="IRNazanin" w:hAnsi="IRNazanin" w:eastAsia="IRNazanin" w:cs="IRNazanin"/>
          <w:lang w:bidi="fa-IR"/>
          <w:color w:val="111111"/>
          <w:sz w:val="28"/>
          <w:szCs w:val="28"/>
          <w:rtl/>
        </w:rPr>
        <w:t xml:space="preserve">آغاز: حکایت بر قیصر ظاهر خواهد شد گشتاسب؛ انجام: فصل دوازدهم از باب چهارم در ذکر احوال ترک و مغول درین نسخه بر اثر صحافی بد پریشانی چند وجود آمده: صفحه</w:t>
      </w:r>
    </w:p>
    <w:p>
      <w:pPr>
        <w:pStyle w:val="BookText"/>
      </w:pPr>
      <w:r>
        <w:rPr>
          <w:rFonts w:ascii="IRNazanin" w:hAnsi="IRNazanin" w:eastAsia="IRNazanin" w:cs="IRNazanin"/>
          <w:lang w:bidi="fa-IR"/>
          <w:color w:val="111111"/>
          <w:sz w:val="28"/>
          <w:szCs w:val="28"/>
          <w:rtl/>
        </w:rPr>
        <w:t xml:space="preserve">اول و دوم این نسخه در ذكر لهراسب و گشتاسب متعلق به صفحات وسط کتاب می باشد و صفحه ۳ ابتدای نسخه است و آن نیز در ازاء اواسط صفحه ۴ نسخه چاپی (چاپ اروپا) است و مطالب تا صفحه ۴۱۶ ادامه دارد یعنی تا بغداد رفتن سلطان محمد بن ملکشاه بن الب ارسلان این مقدار ازین نسخه نسبتا قدیمی و ظاهرا متعلق به قرن یازدهم می باشد از ۴۱۷ تا ۵۱۰ نسخه نونویس و متعلق به قرن سیزدهم و حاوی اغلاط املائی بسیار است؛ خط: نستعلیق، بی کا، تا: قرن ۱۱ و ۱۳؛ افتادگی: آغاز و انجام؛ کاغذ: بخارائی، جلد: تیماج قرمز، ۲۵۵گ، ۱۸سطر (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۵-۳۳۱]</w:t>
      </w:r>
    </w:p>
    <w:p>
      <w:pPr>
        <w:pStyle w:val="BookText"/>
      </w:pPr>
      <w:r>
        <w:rPr>
          <w:rFonts w:ascii="IRNazanin" w:hAnsi="IRNazanin" w:eastAsia="IRNazanin" w:cs="IRNazanin"/>
          <w:lang w:bidi="fa-IR"/>
          <w:color w:val="111111"/>
          <w:sz w:val="28"/>
          <w:szCs w:val="28"/>
          <w:rtl/>
        </w:rPr>
        <w:t xml:space="preserve">۲۹. تهران: مفتاح؛ شماره نسخه: ۵۱۲/۴</w:t>
      </w:r>
    </w:p>
    <w:p>
      <w:pPr>
        <w:pStyle w:val="BookText"/>
      </w:pPr>
      <w:r>
        <w:rPr>
          <w:rFonts w:ascii="IRNazanin" w:hAnsi="IRNazanin" w:eastAsia="IRNazanin" w:cs="IRNazanin"/>
          <w:lang w:bidi="fa-IR"/>
          <w:color w:val="111111"/>
          <w:sz w:val="28"/>
          <w:szCs w:val="28"/>
          <w:rtl/>
        </w:rPr>
        <w:t xml:space="preserve">بندی از تاریخ گزیده ؛ خط نستعلیق، بی کا، تا: قرن ۱۳ [نشریه: ۷-۲۴۵]</w:t>
      </w:r>
    </w:p>
    <w:p>
      <w:pPr>
        <w:pStyle w:val="BookText"/>
      </w:pPr>
      <w:r>
        <w:rPr>
          <w:rFonts w:ascii="IRNazanin" w:hAnsi="IRNazanin" w:eastAsia="IRNazanin" w:cs="IRNazanin"/>
          <w:lang w:bidi="fa-IR"/>
          <w:color w:val="111111"/>
          <w:sz w:val="28"/>
          <w:szCs w:val="28"/>
          <w:rtl/>
        </w:rPr>
        <w:t xml:space="preserve">۳۰. مشهد؛ رضوی؛ شماره نسخه: ۹۸۵۱</w:t>
      </w:r>
    </w:p>
    <w:p>
      <w:pPr>
        <w:pStyle w:val="BookText"/>
      </w:pPr>
      <w:r>
        <w:rPr>
          <w:rFonts w:ascii="IRNazanin" w:hAnsi="IRNazanin" w:eastAsia="IRNazanin" w:cs="IRNazanin"/>
          <w:lang w:bidi="fa-IR"/>
          <w:color w:val="111111"/>
          <w:sz w:val="28"/>
          <w:szCs w:val="28"/>
          <w:rtl/>
        </w:rPr>
        <w:t xml:space="preserve">آغاز: برابر؛ انجام: و اصفهان و قم و کاشان و نطنز و جربادغان به مؤيد الدوله ابونصر بویه داد خط: نستعلیق، بی کا، تا: ۱۲۰۶ق؛ واقف: خان بابا مشار؛ کاغذ: نباتی آهار مهره، جلد: تیماج قهوه ای، ۲۱۴ گ، ۱۷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 [ف: ۹-۲۰]</w:t>
      </w:r>
    </w:p>
    <w:p>
      <w:pPr>
        <w:pStyle w:val="BookText"/>
      </w:pPr>
      <w:r>
        <w:rPr>
          <w:rFonts w:ascii="IRNazanin" w:hAnsi="IRNazanin" w:eastAsia="IRNazanin" w:cs="IRNazanin"/>
          <w:lang w:bidi="fa-IR"/>
          <w:color w:val="111111"/>
          <w:sz w:val="28"/>
          <w:szCs w:val="28"/>
          <w:rtl/>
        </w:rPr>
        <w:t xml:space="preserve">۳۱. مشهد؛ شیخ علی حیدر؛ شماره نسخه: ۴۸/۲</w:t>
      </w:r>
    </w:p>
    <w:p>
      <w:pPr>
        <w:pStyle w:val="BookText"/>
      </w:pPr>
      <w:r>
        <w:rPr>
          <w:rFonts w:ascii="IRNazanin" w:hAnsi="IRNazanin" w:eastAsia="IRNazanin" w:cs="IRNazanin"/>
          <w:lang w:bidi="fa-IR"/>
          <w:color w:val="111111"/>
          <w:sz w:val="28"/>
          <w:szCs w:val="28"/>
          <w:rtl/>
        </w:rPr>
        <w:t xml:space="preserve">فصلی از آن در آنچه به بلده قزوین تعلق دارد؛ كا: حسن حسینی، تان ربيع الأول ۱۲۶۵ق، جلد: چرم زرد، ۱۵گ (۲۷۸ر-۲۹۲پ)، ۲۲ سطر، اندازه: ۲۷</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۱۶/۵ سم [ مؤيد: ۳-۵۹۴]</w:t>
      </w:r>
    </w:p>
    <w:p>
      <w:pPr>
        <w:pStyle w:val="BookText"/>
      </w:pPr>
      <w:r>
        <w:rPr>
          <w:rFonts w:ascii="IRNazanin" w:hAnsi="IRNazanin" w:eastAsia="IRNazanin" w:cs="IRNazanin"/>
          <w:lang w:bidi="fa-IR"/>
          <w:color w:val="111111"/>
          <w:sz w:val="28"/>
          <w:szCs w:val="28"/>
          <w:rtl/>
        </w:rPr>
        <w:t xml:space="preserve">۳۲. تهران؛ نوربخش: شماره نسخه:۴۰۷</w:t>
      </w:r>
    </w:p>
    <w:p>
      <w:pPr>
        <w:pStyle w:val="BookText"/>
      </w:pPr>
      <w:r>
        <w:rPr>
          <w:rFonts w:ascii="IRNazanin" w:hAnsi="IRNazanin" w:eastAsia="IRNazanin" w:cs="IRNazanin"/>
          <w:lang w:bidi="fa-IR"/>
          <w:color w:val="111111"/>
          <w:sz w:val="28"/>
          <w:szCs w:val="28"/>
          <w:rtl/>
        </w:rPr>
        <w:t xml:space="preserve">آغاز و انجام: برابر خط: نستعلیق زیبا، بی کا، تا: جمادی الاول ۱۲۶۷ق؛ با سرلوح، مذهب، مجدول، با کمند زر؛ کاغذ: ترمه، جلد: تیماج سوختهای با ترنج، ۷۹۸ص، ۱۴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[ف: ۲-۱۱۶]</w:t>
      </w:r>
    </w:p>
    <w:p>
      <w:pPr>
        <w:pStyle w:val="BookText"/>
      </w:pPr>
      <w:r>
        <w:rPr>
          <w:rFonts w:ascii="IRNazanin" w:hAnsi="IRNazanin" w:eastAsia="IRNazanin" w:cs="IRNazanin"/>
          <w:lang w:bidi="fa-IR"/>
          <w:color w:val="111111"/>
          <w:sz w:val="28"/>
          <w:szCs w:val="28"/>
          <w:rtl/>
        </w:rPr>
        <w:t xml:space="preserve">۳۳. تهران؛ سپهسالار؛ شماره نسخه:۱۶۱۴</w:t>
      </w:r>
    </w:p>
    <w:p>
      <w:pPr>
        <w:pStyle w:val="BookText"/>
      </w:pPr>
      <w:r>
        <w:rPr>
          <w:rFonts w:ascii="IRNazanin" w:hAnsi="IRNazanin" w:eastAsia="IRNazanin" w:cs="IRNazanin"/>
          <w:lang w:bidi="fa-IR"/>
          <w:color w:val="111111"/>
          <w:sz w:val="28"/>
          <w:szCs w:val="28"/>
          <w:rtl/>
        </w:rPr>
        <w:t xml:space="preserve">خط: نسخ، كا: محمود طباطبائی اردستانی سپاهانی، تا: جمادی الثانی ۱۲۹۶ق؛ تملك: اعتضاد السلطنه در ۱۲۹۶ ق؛ واقف: سپهسالار، ۱۲۹۷ق؛ کاغذ: فرنگی، جلد: تیماج سرخ ضربی مقوایی، ۱۹۴گ، ۲۷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۳-۳۰۳]</w:t>
      </w:r>
    </w:p>
    <w:p>
      <w:pPr>
        <w:pStyle w:val="BookText"/>
      </w:pPr>
      <w:r>
        <w:rPr>
          <w:rFonts w:ascii="IRNazanin" w:hAnsi="IRNazanin" w:eastAsia="IRNazanin" w:cs="IRNazanin"/>
          <w:lang w:bidi="fa-IR"/>
          <w:color w:val="111111"/>
          <w:sz w:val="28"/>
          <w:szCs w:val="28"/>
          <w:rtl/>
        </w:rPr>
        <w:t xml:space="preserve">۳۴. تهران؛ مجلس؛ شماره نسخه:۵۱۵۳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اسد الله محلاتی، تا: ۲۰ صفر ۱۲۹۷ق؛ یادداشت عاريه بنام عباس قلی کاشانی؛ تملک: حاجی مخبر السلطنه؛ مهر: مشیر افخم عباس قلی» (بیضی)، «عضد الدولة الشريف بن محمد تقی لسان الملک بن محمد بن رفيع الدوله بن محمد على بن محمد رضا»؛ کاغذ: فرنگی، جلد: تیماج مقوایی قرمز، ۱۹۴گ، ۲۶ سطر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۱۵-۲۲۲]</w:t>
      </w:r>
    </w:p>
    <w:p>
      <w:pPr>
        <w:pStyle w:val="BookText"/>
      </w:pPr>
      <w:r>
        <w:rPr>
          <w:rFonts w:ascii="IRNazanin" w:hAnsi="IRNazanin" w:eastAsia="IRNazanin" w:cs="IRNazanin"/>
          <w:lang w:bidi="fa-IR"/>
          <w:color w:val="111111"/>
          <w:sz w:val="28"/>
          <w:szCs w:val="28"/>
          <w:rtl/>
        </w:rPr>
        <w:t xml:space="preserve">۳۵. قم: مرکز احیاء؛ شماره نسخه: ۳۶۹۵</w:t>
      </w:r>
    </w:p>
    <w:p>
      <w:pPr>
        <w:pStyle w:val="BookText"/>
      </w:pPr>
      <w:r>
        <w:rPr>
          <w:rFonts w:ascii="IRNazanin" w:hAnsi="IRNazanin" w:eastAsia="IRNazanin" w:cs="IRNazanin"/>
          <w:lang w:bidi="fa-IR"/>
          <w:color w:val="111111"/>
          <w:sz w:val="28"/>
          <w:szCs w:val="28"/>
          <w:rtl/>
        </w:rPr>
        <w:t xml:space="preserve">آغاز: برابر؛ انجام: سلطان عزیمت عراق کرد و لقب مؤيد الملکی بشجاع الدین داد و قائم مقام خود کرد و روی به عراق ...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550" w:name="pg20363_209870"/>
    <w:bookmarkEnd w:id="550"/>
    <w:p>
      <w:pPr>
        <w:pStyle w:val="BookText"/>
      </w:pPr>
      <w:r>
        <w:rPr>
          <w:rFonts w:ascii="IRNazanin" w:hAnsi="IRNazanin" w:eastAsia="IRNazanin" w:cs="IRNazanin"/>
          <w:lang w:bidi="fa-IR"/>
          <w:color w:val="111111"/>
          <w:sz w:val="28"/>
          <w:szCs w:val="28"/>
          <w:rtl/>
        </w:rPr>
        <w:t xml:space="preserve">خط: نستعلیق، بی کا، تا: قرن ۱۴؛ افتادگی: انجام؛ مصحح، محشی بعضا با عنوان «صدر العلماء»؛ مهر: «عبده الراجی آقابزرگ» بیضوی)؛ جلد: تیماج قهوه ای، ۳۱۵گ، ۱۷ سطر،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 محدث ارموی مخ: ۱-۲۷۱]</w:t>
      </w:r>
    </w:p>
    <w:p>
      <w:pPr>
        <w:pStyle w:val="BookText"/>
      </w:pPr>
      <w:r>
        <w:rPr>
          <w:rFonts w:ascii="IRNazanin" w:hAnsi="IRNazanin" w:eastAsia="IRNazanin" w:cs="IRNazanin"/>
          <w:lang w:bidi="fa-IR"/>
          <w:color w:val="111111"/>
          <w:sz w:val="28"/>
          <w:szCs w:val="28"/>
          <w:rtl/>
        </w:rPr>
        <w:t xml:space="preserve">۳۶. مشهد؛ ادبیات؛ شماره نسخه: ۵۰ فرخ</w:t>
      </w:r>
    </w:p>
    <w:p>
      <w:pPr>
        <w:pStyle w:val="BookText"/>
      </w:pPr>
      <w:r>
        <w:rPr>
          <w:rFonts w:ascii="IRNazanin" w:hAnsi="IRNazanin" w:eastAsia="IRNazanin" w:cs="IRNazanin"/>
          <w:lang w:bidi="fa-IR"/>
          <w:color w:val="111111"/>
          <w:sz w:val="28"/>
          <w:szCs w:val="28"/>
          <w:rtl/>
        </w:rPr>
        <w:t xml:space="preserve">خط: نستعلیق خوش، بی کا، بیتا؛ مجدول مذهب؛ کاغذ: ترمه جلد: تیماج مشکی، ۲۲۰گ، ۲۵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۲۰]</w:t>
      </w:r>
    </w:p>
    <w:p>
      <w:pPr>
        <w:pStyle w:val="BookText"/>
      </w:pPr>
      <w:r>
        <w:rPr>
          <w:rFonts w:ascii="IRNazanin" w:hAnsi="IRNazanin" w:eastAsia="IRNazanin" w:cs="IRNazanin"/>
          <w:lang w:bidi="fa-IR"/>
          <w:color w:val="111111"/>
          <w:sz w:val="28"/>
          <w:szCs w:val="28"/>
          <w:rtl/>
        </w:rPr>
        <w:t xml:space="preserve">۳۷. مشهد؛ ادبیات؛ شماره نسخه:۱۲۳ فرخ</w:t>
      </w:r>
    </w:p>
    <w:p>
      <w:pPr>
        <w:pStyle w:val="BookText"/>
      </w:pPr>
      <w:r>
        <w:rPr>
          <w:rFonts w:ascii="IRNazanin" w:hAnsi="IRNazanin" w:eastAsia="IRNazanin" w:cs="IRNazanin"/>
          <w:lang w:bidi="fa-IR"/>
          <w:color w:val="111111"/>
          <w:sz w:val="28"/>
          <w:szCs w:val="28"/>
          <w:rtl/>
        </w:rPr>
        <w:t xml:space="preserve">خط: نستعلیق، بی کا، بی تا؛ افتادگی: انجام؛ مجدول؛ کاغذ: فرنگی، جلد: تیماج مشکی عطف میشن قهوه ای، ۳۰۷گ، ۱۹ سطر (۱۰/۲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۲۰/۵ )،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۲۱]</w:t>
      </w:r>
    </w:p>
    <w:p>
      <w:pPr>
        <w:pStyle w:val="BookText"/>
      </w:pPr>
      <w:r>
        <w:rPr>
          <w:rFonts w:ascii="IRNazanin" w:hAnsi="IRNazanin" w:eastAsia="IRNazanin" w:cs="IRNazanin"/>
          <w:lang w:bidi="fa-IR"/>
          <w:color w:val="111111"/>
          <w:sz w:val="28"/>
          <w:szCs w:val="28"/>
          <w:rtl/>
        </w:rPr>
        <w:t xml:space="preserve">۳۸. تهران؛ مجلس؛ شماره نسخه:۲۳۳</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بی تا، دارای یک سرلوح کوچک، مجدول؛ ۲۳۵ گ، ۲۱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سم [ف: ۲-۱۳۰]</w:t>
      </w:r>
    </w:p>
    <w:p>
      <w:pPr>
        <w:pStyle w:val="BookText"/>
      </w:pPr>
      <w:r>
        <w:rPr>
          <w:rFonts w:ascii="IRNazanin" w:hAnsi="IRNazanin" w:eastAsia="IRNazanin" w:cs="IRNazanin"/>
          <w:lang w:bidi="fa-IR"/>
          <w:color w:val="111111"/>
          <w:sz w:val="28"/>
          <w:szCs w:val="28"/>
          <w:rtl/>
        </w:rPr>
        <w:t xml:space="preserve">۳۹. تهران؛ ملک؛ شماره نسخه: ۵۶۸۵/۲۸</w:t>
      </w:r>
    </w:p>
    <w:p>
      <w:pPr>
        <w:pStyle w:val="BookText"/>
      </w:pPr>
      <w:r>
        <w:rPr>
          <w:rFonts w:ascii="IRNazanin" w:hAnsi="IRNazanin" w:eastAsia="IRNazanin" w:cs="IRNazanin"/>
          <w:lang w:bidi="fa-IR"/>
          <w:color w:val="111111"/>
          <w:sz w:val="28"/>
          <w:szCs w:val="28"/>
          <w:rtl/>
        </w:rPr>
        <w:t xml:space="preserve">گزیده ای از آن؛ خط: نستعلیق، بی کا، بی تا، کاغذ: متن ترمه زرد، حاشیه ترمه سفید، ۱۱گ (۱۳۰ر-۱۴۰ر)، ۴۱ سطر، اندازه: ۹/۸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سم [ف: ۸-۴۶۲]</w:t>
      </w:r>
    </w:p>
    <w:p>
      <w:pPr>
        <w:pStyle w:val="BookText"/>
      </w:pPr>
      <w:r>
        <w:rPr>
          <w:rFonts w:ascii="IRNazanin" w:hAnsi="IRNazanin" w:eastAsia="IRNazanin" w:cs="IRNazanin"/>
          <w:lang w:bidi="fa-IR"/>
          <w:color w:val="111111"/>
          <w:sz w:val="28"/>
          <w:szCs w:val="28"/>
          <w:rtl/>
        </w:rPr>
        <w:t xml:space="preserve">۴۰. تهران؛ ملی؛ شماره نسخه:۱۸۴۰۶</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اندازه: ۳۱/۷۸۲۰/۳ سم [رایانه]</w:t>
      </w:r>
    </w:p>
    <w:p>
      <w:pPr>
        <w:pStyle w:val="BookText"/>
      </w:pPr>
      <w:r>
        <w:rPr>
          <w:rFonts w:ascii="IRNazanin" w:hAnsi="IRNazanin" w:eastAsia="IRNazanin" w:cs="IRNazanin"/>
          <w:lang w:bidi="fa-IR"/>
          <w:color w:val="111111"/>
          <w:sz w:val="28"/>
          <w:szCs w:val="28"/>
          <w:rtl/>
        </w:rPr>
        <w:t xml:space="preserve">۴۱. تهران؛ ملی؛ شماره نسخه: ۶۰۸۹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شرح احوال ناتمام مؤلف در ابتدای کتاب و شرح احوال مؤلف از طاهر هاشمی در گی ۲ نوشته شده، توضیحات و تصحیحاتی از طاهر سید زاده هاشمی با تاریخ ۱۳۲۱ تا ۱۳۲۴؛ مهر: سید حسن سید زاده هاشمی؛ تملك: طاهر سیدزاده هاشمی مورخ ۱۳۲۱ = ۱۳۶۲ق در کرمانشاه مبنی بر اهداء این کتاب از طرف پدرش به وی؛ کاغذ: فرنگی، جلد: تیماج تریاکی، ۲۴۳گ، ۲۱سطر ( ۱۷/۲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۹/۳ )، اندازه: ۲۱/۳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[رایانه]</w:t>
      </w:r>
    </w:p>
    <w:p>
      <w:pPr>
        <w:pStyle w:val="Heading3"/>
      </w:pPr>
      <w:bookmarkStart w:id="2567" w:name="_Toc1827"/>
      <w:r>
        <w:t>•تاریخ گزیده در «اهل التفسير و الحديث و الفقه و الحكمة و النجوم» (منتخب) / تاریخ</w:t>
      </w:r>
      <w:bookmarkEnd w:id="2567"/>
    </w:p>
    <w:p>
      <w:pPr>
        <w:pStyle w:val="BookText"/>
      </w:pPr>
      <w:r>
        <w:rPr>
          <w:rFonts w:ascii="Times New Roman" w:hAnsi="Times New Roman" w:eastAsia="Times New Roman" w:cs="Times New Roman"/>
          <w:lang w:val="en-US" w:bidi="en-US"/>
          <w:color w:val="111111"/>
          <w:sz w:val="28"/>
          <w:szCs w:val="28"/>
          <w:rtl/>
        </w:rPr>
        <w:t xml:space="preserve">tārīx-e gz. dar «ahl-ot tafsīr va-l hadīs va-l feqh va-1 hekma va-n nojūm» (mn.)</w:t>
      </w:r>
    </w:p>
    <w:p>
      <w:pPr>
        <w:pStyle w:val="BookText"/>
      </w:pPr>
      <w:r>
        <w:rPr>
          <w:rFonts w:ascii="IRNazanin" w:hAnsi="IRNazanin" w:eastAsia="IRNazanin" w:cs="IRNazanin"/>
          <w:lang w:bidi="fa-IR"/>
          <w:color w:val="111111"/>
          <w:sz w:val="28"/>
          <w:szCs w:val="28"/>
          <w:rtl/>
        </w:rPr>
        <w:t xml:space="preserve">تهران؛ دانشگاه؛ شماره نسخه: ۵۷۱۱/۲</w:t>
      </w:r>
    </w:p>
    <w:p>
      <w:pPr>
        <w:pStyle w:val="BookText"/>
      </w:pPr>
      <w:r>
        <w:rPr>
          <w:rFonts w:ascii="IRNazanin" w:hAnsi="IRNazanin" w:eastAsia="IRNazanin" w:cs="IRNazanin"/>
          <w:lang w:bidi="fa-IR"/>
          <w:color w:val="111111"/>
          <w:sz w:val="28"/>
          <w:szCs w:val="28"/>
          <w:rtl/>
        </w:rPr>
        <w:t xml:space="preserve">خط: نسخ، كا: محمد حسن بن حاجی محمد علی، تا: پنج شنبه ۲ شعبان ۱۲۲۴ق، جا: مشهد، مدرسه خیرات خان؛ در «شعرای عجم» نسخ همو در همین شهر در روز جمعه شعبان ۱۲۲۴؛ کاغذ: فرنگی، جلد: مقوا عطف میشن قهوه ای، ۷گ (۳۵-۴۱ر)، ۲۲</w:t>
      </w:r>
    </w:p>
    <w:p>
      <w:pPr>
        <w:pStyle w:val="BookText"/>
      </w:pPr>
      <w:r>
        <w:rPr>
          <w:rFonts w:ascii="IRNazanin" w:hAnsi="IRNazanin" w:eastAsia="IRNazanin" w:cs="IRNazanin"/>
          <w:lang w:bidi="fa-IR"/>
          <w:color w:val="111111"/>
          <w:sz w:val="28"/>
          <w:szCs w:val="28"/>
          <w:rtl/>
        </w:rPr>
        <w:t xml:space="preserve">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۱۶-۷۳]</w:t>
      </w:r>
    </w:p>
    <w:p>
      <w:pPr>
        <w:pStyle w:val="Heading3"/>
      </w:pPr>
      <w:bookmarkStart w:id="2568" w:name="_Toc1828"/>
      <w:r>
        <w:t>•تاريخ گل / تاریخ / فارسی</w:t>
      </w:r>
      <w:bookmarkEnd w:id="2568"/>
    </w:p>
    <w:p>
      <w:pPr>
        <w:pStyle w:val="BookText"/>
      </w:pPr>
      <w:r>
        <w:rPr>
          <w:rFonts w:ascii="Times New Roman" w:hAnsi="Times New Roman" w:eastAsia="Times New Roman" w:cs="Times New Roman"/>
          <w:lang w:val="en-US" w:bidi="en-US"/>
          <w:color w:val="111111"/>
          <w:sz w:val="28"/>
          <w:szCs w:val="28"/>
          <w:rtl/>
        </w:rPr>
        <w:t xml:space="preserve">tārīx-e gol</w:t>
      </w:r>
    </w:p>
    <w:p>
      <w:pPr>
        <w:pStyle w:val="BookText"/>
      </w:pPr>
      <w:r>
        <w:rPr>
          <w:rFonts w:ascii="IRNazanin" w:hAnsi="IRNazanin" w:eastAsia="IRNazanin" w:cs="IRNazanin"/>
          <w:lang w:bidi="fa-IR"/>
          <w:color w:val="111111"/>
          <w:sz w:val="28"/>
          <w:szCs w:val="28"/>
          <w:rtl/>
        </w:rPr>
        <w:t xml:space="preserve">علی آبادی مازندرانی، زکی بن مقيم، ق۱۴ قمری</w:t>
      </w:r>
    </w:p>
    <w:p>
      <w:pPr>
        <w:pStyle w:val="BookText"/>
      </w:pPr>
      <w:r>
        <w:rPr>
          <w:rFonts w:ascii="Times New Roman" w:hAnsi="Times New Roman" w:eastAsia="Times New Roman" w:cs="Times New Roman"/>
          <w:lang w:val="en-US" w:bidi="en-US"/>
          <w:color w:val="111111"/>
          <w:sz w:val="28"/>
          <w:szCs w:val="28"/>
          <w:rtl/>
        </w:rPr>
        <w:t xml:space="preserve">‘alī-ābādī māzandarānī, zakī ebn-e moqīm (-20c)</w:t>
      </w:r>
    </w:p>
    <w:p>
      <w:pPr>
        <w:pStyle w:val="BookText"/>
      </w:pPr>
      <w:r>
        <w:rPr>
          <w:rFonts w:ascii="IRNazanin" w:hAnsi="IRNazanin" w:eastAsia="IRNazanin" w:cs="IRNazanin"/>
          <w:lang w:bidi="fa-IR"/>
          <w:color w:val="111111"/>
          <w:sz w:val="28"/>
          <w:szCs w:val="28"/>
          <w:rtl/>
        </w:rPr>
        <w:t xml:space="preserve">این کتاب را میرزا زکی خان سرهنگ قورخانه، از فرانسه به فارسی ترجمه کرده و به هشت «کتاب» تقسیم نموده است. اول تاریخ گل.</w:t>
      </w:r>
    </w:p>
    <w:p>
      <w:pPr>
        <w:pStyle w:val="BookText"/>
      </w:pPr>
      <w:r>
        <w:rPr>
          <w:rFonts w:ascii="IRNazanin" w:hAnsi="IRNazanin" w:eastAsia="IRNazanin" w:cs="IRNazanin"/>
          <w:lang w:bidi="fa-IR"/>
          <w:color w:val="111111"/>
          <w:sz w:val="28"/>
          <w:szCs w:val="28"/>
          <w:rtl/>
        </w:rPr>
        <w:t xml:space="preserve">تهران؛ سپهسالار؛ شماره نسخه: ۱۴۹۷/۱</w:t>
      </w:r>
    </w:p>
    <w:p>
      <w:pPr>
        <w:pStyle w:val="BookText"/>
      </w:pPr>
      <w:r>
        <w:rPr>
          <w:rFonts w:ascii="IRNazanin" w:hAnsi="IRNazanin" w:eastAsia="IRNazanin" w:cs="IRNazanin"/>
          <w:lang w:bidi="fa-IR"/>
          <w:color w:val="111111"/>
          <w:sz w:val="28"/>
          <w:szCs w:val="28"/>
          <w:rtl/>
        </w:rPr>
        <w:t xml:space="preserve">آغاز: در تعریف گل و محاربه با هلوثی که سویس باشد و محاربه با آریوویست؛ انجام و در آنجا بیست روز به دعای جمهوری و شادمانی حکم داد. خط: نستعلیق، بی کا، تا: پایان قرن ۱۳؛ تملك: اعتضاد السلطنة؛ واقف: سپهسالار، ۱۲۹۷ ق ؛ کاغذ: فرنگی نخودی، جلد: تیماج سبز تیره، ۵۵گ (۵پ -۵۹ر)، ۲۷ سطر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۲0سم [ف: ۳-۳۰۴]</w:t>
      </w:r>
    </w:p>
    <w:p>
      <w:pPr>
        <w:pStyle w:val="BookText"/>
      </w:pPr>
      <w:r>
        <w:rPr>
          <w:rFonts w:ascii="IRNazanin" w:hAnsi="IRNazanin" w:eastAsia="IRNazanin" w:cs="IRNazanin"/>
          <w:lang w:bidi="fa-IR"/>
          <w:color w:val="111111"/>
          <w:sz w:val="28"/>
          <w:szCs w:val="28"/>
          <w:rtl/>
        </w:rPr>
        <w:t xml:space="preserve">← تاریخ گمنام ← تاریخ مستور</w:t>
      </w:r>
    </w:p>
    <w:p>
      <w:pPr>
        <w:pStyle w:val="Heading3"/>
      </w:pPr>
      <w:bookmarkStart w:id="2569" w:name="_Toc1829"/>
      <w:r>
        <w:t>•تاریخ گیتی گشا / تاریخ ایران / فارسی</w:t>
      </w:r>
      <w:bookmarkEnd w:id="2569"/>
    </w:p>
    <w:p>
      <w:pPr>
        <w:pStyle w:val="BookText"/>
      </w:pPr>
      <w:r>
        <w:rPr>
          <w:rFonts w:ascii="Times New Roman" w:hAnsi="Times New Roman" w:eastAsia="Times New Roman" w:cs="Times New Roman"/>
          <w:lang w:val="en-US" w:bidi="en-US"/>
          <w:color w:val="111111"/>
          <w:sz w:val="28"/>
          <w:szCs w:val="28"/>
          <w:rtl/>
        </w:rPr>
        <w:t xml:space="preserve">tārīx-e gītī-gošā</w:t>
      </w:r>
    </w:p>
    <w:p>
      <w:pPr>
        <w:pStyle w:val="BookText"/>
      </w:pPr>
      <w:r>
        <w:rPr>
          <w:rFonts w:ascii="IRNazanin" w:hAnsi="IRNazanin" w:eastAsia="IRNazanin" w:cs="IRNazanin"/>
          <w:lang w:bidi="fa-IR"/>
          <w:color w:val="111111"/>
          <w:sz w:val="28"/>
          <w:szCs w:val="28"/>
          <w:rtl/>
        </w:rPr>
        <w:t xml:space="preserve">نامی اصفهانی، محمد صادق،-۱۲۰۴ قمری</w:t>
      </w:r>
    </w:p>
    <w:p>
      <w:pPr>
        <w:pStyle w:val="BookText"/>
      </w:pPr>
      <w:r>
        <w:rPr>
          <w:rFonts w:ascii="Times New Roman" w:hAnsi="Times New Roman" w:eastAsia="Times New Roman" w:cs="Times New Roman"/>
          <w:lang w:val="en-US" w:bidi="en-US"/>
          <w:color w:val="111111"/>
          <w:sz w:val="28"/>
          <w:szCs w:val="28"/>
          <w:rtl/>
        </w:rPr>
        <w:t xml:space="preserve">nāmī esfahānī, mohammad sādeq (-1790)</w:t>
      </w:r>
    </w:p>
    <w:p>
      <w:pPr>
        <w:pStyle w:val="BookText"/>
      </w:pPr>
      <w:r>
        <w:rPr>
          <w:rFonts w:ascii="IRNazanin" w:hAnsi="IRNazanin" w:eastAsia="IRNazanin" w:cs="IRNazanin"/>
          <w:lang w:bidi="fa-IR"/>
          <w:color w:val="111111"/>
          <w:sz w:val="28"/>
          <w:szCs w:val="28"/>
          <w:rtl/>
        </w:rPr>
        <w:t xml:space="preserve">اهدا به: محمد جعفر خان زند در تاریخ زندیه از کریمخان زند تا پایان کار لطفعلی خان زند. نامی به امر محمد جعفر خان زند تاریخ دولت زندیه را تا افتتاح قلعه طبر کی اصفهان نوشته و در ۱۲۰۴ وفات یافته پس از وی به حکم میرزا محمد حسین وزیر فراهانی علیرضای شریف به اتمام تاریخ پرداخته، تتمه احوال لطفعلی خان زند تالیف آقا محمد رضای شیرازی است که ذیل دومی بر آن است و آن نیز در آخر کتاب است و با هر دو ذیل توسط سعید نفیسی چاپ شده است. آغاز: ۱: تاریخ ایام سلطنت کریمخان زند و آن قوم سعادتمند ظفر پیوند و آن سلطان خصم گیر عدو بند ... ۲: طراز کلام مورخان سخن پرور و زیور اقلام نگارندگان قصص و سیر حمد و ثنائی که پادشاهان تاجدار. انجام: مقرر شد مسکن و سواران ایشان در سلک ملتزمان مرکب منصور منظم گشتند چاپ: تهران، با دو ذیل آن به کوشش سعید نفیسی، ۱۳۱۷ش.</w:t>
      </w:r>
    </w:p>
    <w:p>
      <w:pPr>
        <w:pStyle w:val="BookText"/>
      </w:pPr>
      <w:r>
        <w:rPr>
          <w:rFonts w:ascii="IRNazanin" w:hAnsi="IRNazanin" w:eastAsia="IRNazanin" w:cs="IRNazanin"/>
          <w:lang w:bidi="fa-IR"/>
          <w:color w:val="111111"/>
          <w:sz w:val="28"/>
          <w:szCs w:val="28"/>
          <w:rtl/>
        </w:rPr>
        <w:t xml:space="preserve">[ نسخه های منزوی ۴۲۶۷/۶ ؛[ الذريعة ۲۸۴/۳ ؛ فهرستواره منزوی ۸۹۷/۲ استوری ۳۳۱/۱ ؛ مشار فارسی ۱۱۲۶/۱ ؛ دنا ۷۳۴/۲ (۲۰ نسخه)]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 تهران؛ دانشگاه؛ شماره نسخه:۵۵۶۲</w:t>
      </w:r>
    </w:p>
    <w:p>
      <w:pPr>
        <w:pStyle w:val="BookText"/>
      </w:pPr>
      <w:r>
        <w:rPr>
          <w:rFonts w:ascii="IRNazanin" w:hAnsi="IRNazanin" w:eastAsia="IRNazanin" w:cs="IRNazanin"/>
          <w:lang w:bidi="fa-IR"/>
          <w:color w:val="111111"/>
          <w:sz w:val="28"/>
          <w:szCs w:val="28"/>
          <w:rtl/>
        </w:rPr>
        <w:t xml:space="preserve">خط: نستعلیق، بی کا، تا: قرن ۱۳، کاغذ: فرنگی، جلد: مقوا، ۱۲۷گ، ۲۱ سطر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۱۶-۳۵]</w:t>
      </w:r>
    </w:p>
    <w:p>
      <w:pPr>
        <w:pStyle w:val="BookText"/>
      </w:pPr>
      <w:r>
        <w:rPr>
          <w:rFonts w:ascii="IRNazanin" w:hAnsi="IRNazanin" w:eastAsia="IRNazanin" w:cs="IRNazanin"/>
          <w:lang w:bidi="fa-IR"/>
          <w:color w:val="111111"/>
          <w:sz w:val="28"/>
          <w:szCs w:val="28"/>
          <w:rtl/>
        </w:rPr>
        <w:t xml:space="preserve">۲. تهران؛ ملی؛ شماره نسخه:۲۲۴۹</w:t>
      </w:r>
    </w:p>
    <w:p>
      <w:pPr>
        <w:pStyle w:val="BookText"/>
      </w:pPr>
      <w:r>
        <w:rPr>
          <w:rFonts w:ascii="IRNazanin" w:hAnsi="IRNazanin" w:eastAsia="IRNazanin" w:cs="IRNazanin"/>
          <w:lang w:bidi="fa-IR"/>
          <w:color w:val="111111"/>
          <w:sz w:val="28"/>
          <w:szCs w:val="28"/>
          <w:rtl/>
        </w:rPr>
        <w:t xml:space="preserve">آغاز: بسمله، تاریخ جلوس خدیو بی عدیل کریمخان وکیل؛ انجام: برابر خط: شکسته نستعلیق، بی کا، تا: قرن ۱۳؛ کاغذ: فرنگی، جلد: تیماج قرمز، ۱۳۲گ، ۱۶سطر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 سم [ف: ۳۶۹-۵ ]</w:t>
      </w:r>
    </w:p>
    <w:p>
      <w:pPr>
        <w:pStyle w:val="BookText"/>
      </w:pPr>
      <w:r>
        <w:rPr>
          <w:rFonts w:ascii="IRNazanin" w:hAnsi="IRNazanin" w:eastAsia="IRNazanin" w:cs="IRNazanin"/>
          <w:lang w:bidi="fa-IR"/>
          <w:color w:val="111111"/>
          <w:sz w:val="28"/>
          <w:szCs w:val="28"/>
          <w:rtl/>
        </w:rPr>
        <w:t xml:space="preserve">٣. تهران؛ ملی؛ شماره نسخه:۱۲۱۹</w:t>
      </w:r>
    </w:p>
    <w:p>
      <w:pPr>
        <w:pStyle w:val="BookText"/>
      </w:pPr>
      <w:r>
        <w:rPr>
          <w:rFonts w:ascii="IRNazanin" w:hAnsi="IRNazanin" w:eastAsia="IRNazanin" w:cs="IRNazanin"/>
          <w:lang w:bidi="fa-IR"/>
          <w:color w:val="111111"/>
          <w:sz w:val="28"/>
          <w:szCs w:val="28"/>
          <w:rtl/>
        </w:rPr>
        <w:t xml:space="preserve">آغاز: تاریخ خاقان معدلت بنیان محمد کریم خان زند، انجام: از صاحبان ولايات بنزدیک و دور استمداد خواست از اول تاریخ گیتی گشای تا «بیان توجه موکب آغا محمد بجانب عراق و مجادله با خسرو خان و اسماعیل خان ..»؛ خط: نستعلیق، بی کا، تا: قرن ۱۳؛ افتادگی: انجام کاغذ: فرنگی، جلد: تیماج، سیاه، مقوایی، ۱۸۱ گ، ۱۶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۳-۲۵۴]</w:t>
      </w:r>
    </w:p>
    <w:p>
      <w:pPr>
        <w:pStyle w:val="BookText"/>
      </w:pPr>
      <w:r>
        <w:rPr>
          <w:rFonts w:ascii="IRNazanin" w:hAnsi="IRNazanin" w:eastAsia="IRNazanin" w:cs="IRNazanin"/>
          <w:lang w:bidi="fa-IR"/>
          <w:color w:val="111111"/>
          <w:sz w:val="28"/>
          <w:szCs w:val="28"/>
          <w:rtl/>
        </w:rPr>
        <w:t xml:space="preserve">۴. تهران؛ ملی؛ شماره نسخه:۲۵۳۷</w:t>
      </w:r>
    </w:p>
    <w:p>
      <w:pPr>
        <w:pStyle w:val="BookText"/>
      </w:pPr>
      <w:r>
        <w:rPr>
          <w:rFonts w:ascii="IRNazanin" w:hAnsi="IRNazanin" w:eastAsia="IRNazanin" w:cs="IRNazanin"/>
          <w:lang w:bidi="fa-IR"/>
          <w:color w:val="111111"/>
          <w:sz w:val="28"/>
          <w:szCs w:val="28"/>
          <w:rtl/>
        </w:rPr>
        <w:t xml:space="preserve">آغاز: برابر ۱؛ انجام: بهنج دلخواه در جلد دیگر بر شته تحریر خواهد کشید و موسم بجلوس ثانیش خواهد ساخت. خط: نستعلیق، کا: پیر مراد، تا: ۱۲۳۵ق؛ کاغذ: فرنگی، جلد: تیماج قرمز، ۱۹۰گ، ۱۹سطر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سم [ف: ۴۴-۶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مؤسسة آية الله بروجردی: شماره نسخه: ۱۵۱</w:t>
      </w:r>
    </w:p>
    <w:p>
      <w:pPr>
        <w:pStyle w:val="BookText"/>
      </w:pPr>
      <w:r>
        <w:rPr>
          <w:rFonts w:ascii="IRNazanin" w:hAnsi="IRNazanin" w:eastAsia="IRNazanin" w:cs="IRNazanin"/>
          <w:lang w:bidi="fa-IR"/>
          <w:color w:val="111111"/>
          <w:sz w:val="28"/>
          <w:szCs w:val="28"/>
          <w:rtl/>
        </w:rPr>
        <w:t xml:space="preserve">آغاز: برابر ۲؛ انجام: فاتحه فکرت و ختم سخن نام خدائی است بر آن ختم کن. خط: نستعلیق، کا: مهدی قلی نفر، تا: ۱ رمضان ۱۲۳۵ق؛ جلد: تیماج مشکی، ۱۸۷گ، ۲۰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۱-۱۰۲]</w:t>
      </w:r>
    </w:p>
    <w:p>
      <w:pPr>
        <w:pStyle w:val="BookText"/>
      </w:pPr>
      <w:r>
        <w:rPr>
          <w:rFonts w:ascii="IRNazanin" w:hAnsi="IRNazanin" w:eastAsia="IRNazanin" w:cs="IRNazanin"/>
          <w:lang w:bidi="fa-IR"/>
          <w:color w:val="111111"/>
          <w:sz w:val="28"/>
          <w:szCs w:val="28"/>
          <w:rtl/>
        </w:rPr>
        <w:t xml:space="preserve">۶. قم، گلپایگانی؛ شماره نسخه:۷۰۳۷- ۳۶/۳۷</w:t>
      </w:r>
    </w:p>
    <w:p>
      <w:pPr>
        <w:pStyle w:val="BookText"/>
      </w:pPr>
      <w:r>
        <w:rPr>
          <w:rFonts w:ascii="IRNazanin" w:hAnsi="IRNazanin" w:eastAsia="IRNazanin" w:cs="IRNazanin"/>
          <w:lang w:bidi="fa-IR"/>
          <w:color w:val="111111"/>
          <w:sz w:val="28"/>
          <w:szCs w:val="28"/>
          <w:rtl/>
        </w:rPr>
        <w:t xml:space="preserve">آغاز: و تذکار انعام وافضال سرمایه بخش کنوز دفاتر ... اما بعد بر ضمایر ارباب بصاير و خواطر اصحاب ماثر ... زره بیمقدار محمد صادق موسوی متخلص به نامی که دلال متاع قلب؛ انجام: برابر خط: نستعلیق، كا: غلامعلی، تا: ربيع الأول ۱۲۴۳ق، حسب الفرموده محمد حسن خان قاجار؛ افتادگی: آغاز (برگ اول)؛ جلد: تیماج قهوه ای، ۱۰۴گ، ۱۹ سطر،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۲-۷۰۲]</w:t>
      </w:r>
    </w:p>
    <w:p>
      <w:pPr>
        <w:pStyle w:val="BookText"/>
      </w:pPr>
      <w:r>
        <w:rPr>
          <w:rFonts w:ascii="IRNazanin" w:hAnsi="IRNazanin" w:eastAsia="IRNazanin" w:cs="IRNazanin"/>
          <w:lang w:bidi="fa-IR"/>
          <w:color w:val="111111"/>
          <w:sz w:val="28"/>
          <w:szCs w:val="28"/>
          <w:rtl/>
        </w:rPr>
        <w:t xml:space="preserve">۷. تهران؛ ملک؛ شماره نسخه:۳۸۰۳</w:t>
      </w:r>
    </w:p>
    <w:p>
      <w:pPr>
        <w:pStyle w:val="BookText"/>
      </w:pPr>
      <w:r>
        <w:rPr>
          <w:rFonts w:ascii="IRNazanin" w:hAnsi="IRNazanin" w:eastAsia="IRNazanin" w:cs="IRNazanin"/>
          <w:lang w:bidi="fa-IR"/>
          <w:color w:val="111111"/>
          <w:sz w:val="28"/>
          <w:szCs w:val="28"/>
          <w:rtl/>
        </w:rPr>
        <w:t xml:space="preserve">خط: نستعلیق، کا: محمد حسن اصفهانی، تا: ۱۲۴۳ق؛ مجدول به طلا؛ کاغذ: فرنگی الوان، جلد: روغنی زمینه یشمی با قولق میشن سیاه، ۱۷۸، ۱۸ سطر، اندازه: ۲۰/۶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۱۳/۱ سم [ف: ۲-۹۱]</w:t>
      </w:r>
    </w:p>
    <w:p>
      <w:pPr>
        <w:pStyle w:val="BookText"/>
      </w:pPr>
      <w:r>
        <w:rPr>
          <w:rFonts w:ascii="IRNazanin" w:hAnsi="IRNazanin" w:eastAsia="IRNazanin" w:cs="IRNazanin"/>
          <w:lang w:bidi="fa-IR"/>
          <w:color w:val="111111"/>
          <w:sz w:val="28"/>
          <w:szCs w:val="28"/>
          <w:rtl/>
        </w:rPr>
        <w:t xml:space="preserve">۸. تهران؛ ملک؛ شماره نسخه: ۳۹۲۸</w:t>
      </w:r>
    </w:p>
    <w:p>
      <w:pPr>
        <w:pStyle w:val="BookText"/>
      </w:pPr>
      <w:r>
        <w:rPr>
          <w:rFonts w:ascii="IRNazanin" w:hAnsi="IRNazanin" w:eastAsia="IRNazanin" w:cs="IRNazanin"/>
          <w:lang w:bidi="fa-IR"/>
          <w:color w:val="111111"/>
          <w:sz w:val="28"/>
          <w:szCs w:val="28"/>
          <w:rtl/>
        </w:rPr>
        <w:t xml:space="preserve">خط: شکسته نستعلیق، کا: میرزا رحیم، تا: ۱۰ رمضان ۱۲۵۶ق، جان اصفهان، برای میرزا ابوالحسن؛ کاغذ: فستقی، جلد: میشن و پشمی، ۱۵۶گ، ۱۷ سطر، اندازه: ۳۰/۱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۱۸/۲</w:t>
      </w:r>
    </w:p>
    <w:p>
      <w:pPr>
        <w:pStyle w:val="BookText"/>
      </w:pPr>
      <w:r>
        <w:rPr>
          <w:rFonts w:ascii="IRNazanin" w:hAnsi="IRNazanin" w:eastAsia="IRNazanin" w:cs="IRNazanin"/>
          <w:lang w:bidi="fa-IR"/>
          <w:color w:val="111111"/>
          <w:sz w:val="28"/>
          <w:szCs w:val="28"/>
          <w:rtl/>
        </w:rPr>
        <w:t xml:space="preserve">سم [ف: ۴-۷۰۳]</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ملک؛ شماره نسخه:۴۱۷۴</w:t>
      </w:r>
    </w:p>
    <w:p>
      <w:pPr>
        <w:pStyle w:val="BookText"/>
      </w:pPr>
      <w:r>
        <w:rPr>
          <w:rFonts w:ascii="IRNazanin" w:hAnsi="IRNazanin" w:eastAsia="IRNazanin" w:cs="IRNazanin"/>
          <w:lang w:bidi="fa-IR"/>
          <w:color w:val="111111"/>
          <w:sz w:val="28"/>
          <w:szCs w:val="28"/>
          <w:rtl/>
        </w:rPr>
        <w:t xml:space="preserve">خط: شکسته، بی کا، تا: ۱۲۵۷ق؛ با سرلوح، مجدول زرین ؛ کاغذ: فستقی، جلد: روغنی</w:t>
      </w:r>
    </w:p>
    <w:p>
      <w:pPr>
        <w:pStyle w:val="BookText"/>
      </w:pPr>
      <w:r>
        <w:rPr>
          <w:rFonts w:ascii="IRNazanin" w:hAnsi="IRNazanin" w:eastAsia="IRNazanin" w:cs="IRNazanin"/>
          <w:lang w:bidi="fa-IR"/>
          <w:color w:val="111111"/>
          <w:sz w:val="28"/>
          <w:szCs w:val="28"/>
          <w:rtl/>
        </w:rPr>
        <w:t xml:space="preserve">ضربی، ۱۶۴گ، ۱۶ سطر، اندازه: ۲۰/۵</w:t>
      </w: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۳۰سم [ف: ۴-۷۰۳]</w:t>
      </w:r>
    </w:p>
    <w:p>
      <w:pPr>
        <w:pStyle w:val="BookText"/>
      </w:pPr>
      <w:r>
        <w:rPr>
          <w:rFonts w:ascii="IRNazanin" w:hAnsi="IRNazanin" w:eastAsia="IRNazanin" w:cs="IRNazanin"/>
          <w:lang w:bidi="fa-IR"/>
          <w:color w:val="111111"/>
          <w:sz w:val="28"/>
          <w:szCs w:val="28"/>
          <w:rtl/>
        </w:rPr>
        <w:t xml:space="preserve">۱۰. تهران؛ ادبیات؛ شماره نسخه: ۱۶۲ - ج</w:t>
      </w:r>
    </w:p>
    <w:p>
      <w:pPr>
        <w:pStyle w:val="BookText"/>
      </w:pPr>
      <w:r>
        <w:rPr>
          <w:rFonts w:ascii="IRNazanin" w:hAnsi="IRNazanin" w:eastAsia="IRNazanin" w:cs="IRNazanin"/>
          <w:lang w:bidi="fa-IR"/>
          <w:color w:val="111111"/>
          <w:sz w:val="28"/>
          <w:szCs w:val="28"/>
          <w:rtl/>
        </w:rPr>
        <w:t xml:space="preserve">آغاز: برابر ۲؛ انجام: برابر</w:t>
      </w:r>
    </w:p>
    <w:p>
      <w:pPr>
        <w:pStyle w:val="BookText"/>
      </w:pPr>
      <w:r>
        <w:rPr>
          <w:rFonts w:ascii="IRNazanin" w:hAnsi="IRNazanin" w:eastAsia="IRNazanin" w:cs="IRNazanin"/>
          <w:lang w:bidi="fa-IR"/>
          <w:color w:val="111111"/>
          <w:sz w:val="28"/>
          <w:szCs w:val="28"/>
          <w:rtl/>
        </w:rPr>
        <w:t xml:space="preserve">خط: شکسته نستعلیق، بی کا، تا: ۱۲۵۷ق؛ کاغذ: فرنگی، جلد: عنابی ضربی، ۱۶۱گ، ۱۵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۱-۷۹]</w:t>
      </w:r>
    </w:p>
    <w:p>
      <w:pPr>
        <w:pStyle w:val="BookText"/>
      </w:pPr>
      <w:r>
        <w:rPr>
          <w:rFonts w:ascii="IRNazanin" w:hAnsi="IRNazanin" w:eastAsia="IRNazanin" w:cs="IRNazanin"/>
          <w:lang w:bidi="fa-IR"/>
          <w:color w:val="111111"/>
          <w:sz w:val="28"/>
          <w:szCs w:val="28"/>
          <w:rtl/>
        </w:rPr>
        <w:t xml:space="preserve">۱۱. تهران؛ ملی؛ شماره نسخه:۱۸۹۷</w:t>
      </w:r>
    </w:p>
    <w:p>
      <w:pPr>
        <w:pStyle w:val="BookText"/>
      </w:pPr>
      <w:r>
        <w:rPr>
          <w:rFonts w:ascii="IRNazanin" w:hAnsi="IRNazanin" w:eastAsia="IRNazanin" w:cs="IRNazanin"/>
          <w:lang w:bidi="fa-IR"/>
          <w:color w:val="111111"/>
          <w:sz w:val="28"/>
          <w:szCs w:val="28"/>
          <w:rtl/>
        </w:rPr>
        <w:t xml:space="preserve">آغاز: بسمله و به نستعين، تاريخ جلوس خدیو بی عدیل کریم خان وکیل؛ انجام: ذیل: که از ایشان نیز در صفحه روزگار اسم و رسمی باقی نیست فاعتبر و ایا اولو لا الابصار (اولی الابصار) تاریخ گیتی گشای نامی با ذیلی که آقا محمد رضای شیرازی در تتمه احوال لطفعلی خان زند نوشته از صفحه ۳۱۴ به بعد)؛ خط: نستعلیق، بی کا، تا: ۱۲۵۹ق؛ کاغذ: فرنگی، جلد: تیماج قرمز، ۱۶۴گ، ۱۶سطر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۴-۳۵۲)</w:t>
      </w:r>
    </w:p>
    <w:p>
      <w:pPr>
        <w:pStyle w:val="BookText"/>
      </w:pPr>
      <w:r>
        <w:rPr>
          <w:rFonts w:ascii="IRNazanin" w:hAnsi="IRNazanin" w:eastAsia="IRNazanin" w:cs="IRNazanin"/>
          <w:lang w:bidi="fa-IR"/>
          <w:color w:val="111111"/>
          <w:sz w:val="28"/>
          <w:szCs w:val="28"/>
          <w:rtl/>
        </w:rPr>
        <w:t xml:space="preserve">۱۲. تهران: فرهاد معتمد؛ شماره نسخه:۱۱۴</w:t>
      </w:r>
    </w:p>
    <w:p>
      <w:pPr>
        <w:pStyle w:val="BookText"/>
      </w:pPr>
      <w:r>
        <w:rPr>
          <w:rFonts w:ascii="IRNazanin" w:hAnsi="IRNazanin" w:eastAsia="IRNazanin" w:cs="IRNazanin"/>
          <w:lang w:bidi="fa-IR"/>
          <w:color w:val="111111"/>
          <w:sz w:val="28"/>
          <w:szCs w:val="28"/>
          <w:rtl/>
        </w:rPr>
        <w:t xml:space="preserve">آغاز: برابر ۲</w:t>
      </w:r>
    </w:p>
    <w:p>
      <w:pPr>
        <w:pStyle w:val="BookText"/>
      </w:pPr>
      <w:r>
        <w:rPr>
          <w:rFonts w:ascii="IRNazanin" w:hAnsi="IRNazanin" w:eastAsia="IRNazanin" w:cs="IRNazanin"/>
          <w:lang w:bidi="fa-IR"/>
          <w:color w:val="111111"/>
          <w:sz w:val="28"/>
          <w:szCs w:val="28"/>
          <w:rtl/>
        </w:rPr>
        <w:t xml:space="preserve">؛ انجام: که از ایشان نیز در صفحه روزگار اسم و رسمی باقی نیست. تمت سنه ۱۲۶۱ با دو ذیل آن از میرزا عبدالکریم بن علی رضای شهاوردی شریف منشی و آقا میرزا محمد رضا شیرازی؛ خط: نستعلیق، بی کا، تا: ۱۲۶۱ق؛ مجدول؛ تملک: فرهاد میرزا در محرم ۱۲۶۲؛ جلد: تیماج حنایی، ۲۰ سطر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سم [نشریه: ۳-۱۵۸]</w:t>
      </w:r>
    </w:p>
    <w:p>
      <w:pPr>
        <w:pStyle w:val="BookText"/>
      </w:pPr>
      <w:r>
        <w:rPr>
          <w:rFonts w:ascii="IRNazanin" w:hAnsi="IRNazanin" w:eastAsia="IRNazanin" w:cs="IRNazanin"/>
          <w:lang w:bidi="fa-IR"/>
          <w:color w:val="111111"/>
          <w:sz w:val="28"/>
          <w:szCs w:val="28"/>
          <w:rtl/>
        </w:rPr>
        <w:t xml:space="preserve">۱۳. تهران؛ ملی؛ شماره نسخه:۱۷۳۰</w:t>
      </w:r>
    </w:p>
    <w:p>
      <w:pPr>
        <w:pStyle w:val="BookText"/>
      </w:pPr>
      <w:r>
        <w:rPr>
          <w:rFonts w:ascii="IRNazanin" w:hAnsi="IRNazanin" w:eastAsia="IRNazanin" w:cs="IRNazanin"/>
          <w:lang w:bidi="fa-IR"/>
          <w:color w:val="111111"/>
          <w:sz w:val="28"/>
          <w:szCs w:val="28"/>
          <w:rtl/>
        </w:rPr>
        <w:t xml:space="preserve">آغاز: برابر ۱؛ انجام: برابر</w:t>
      </w:r>
    </w:p>
    <w:p>
      <w:pPr>
        <w:pStyle w:val="BookText"/>
      </w:pPr>
      <w:r>
        <w:rPr>
          <w:rFonts w:ascii="IRNazanin" w:hAnsi="IRNazanin" w:eastAsia="IRNazanin" w:cs="IRNazanin"/>
          <w:lang w:bidi="fa-IR"/>
          <w:color w:val="111111"/>
          <w:sz w:val="28"/>
          <w:szCs w:val="28"/>
          <w:rtl/>
        </w:rPr>
        <w:t xml:space="preserve">خط: نستعلیق، كا: على محمد بن میرزا محمد ابراهیم، تا: ۱۲۷۲ق؛ کاغذ: فرنگی، جلد: تیماج قرمز مقوایی، ۱۴۹گ، ۱۶سطر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[ف: ۴-۱۹۴]</w:t>
      </w:r>
    </w:p>
    <w:p>
      <w:pPr>
        <w:pStyle w:val="BookText"/>
      </w:pPr>
      <w:r>
        <w:rPr>
          <w:rFonts w:ascii="IRNazanin" w:hAnsi="IRNazanin" w:eastAsia="IRNazanin" w:cs="IRNazanin"/>
          <w:lang w:bidi="fa-IR"/>
          <w:color w:val="111111"/>
          <w:sz w:val="28"/>
          <w:szCs w:val="28"/>
          <w:rtl/>
        </w:rPr>
        <w:t xml:space="preserve">۱۴. قم؛ گلپایگانی؛ شماره نسخه: ۶۸۷۴/۱ - ۳۵/۵۴</w:t>
      </w:r>
    </w:p>
    <w:p>
      <w:pPr>
        <w:pStyle w:val="BookText"/>
      </w:pPr>
      <w:r>
        <w:rPr>
          <w:rFonts w:ascii="IRNazanin" w:hAnsi="IRNazanin" w:eastAsia="IRNazanin" w:cs="IRNazanin"/>
          <w:lang w:bidi="fa-IR"/>
          <w:color w:val="111111"/>
          <w:sz w:val="28"/>
          <w:szCs w:val="28"/>
          <w:rtl/>
        </w:rPr>
        <w:t xml:space="preserve">آغاز: رعایا و مرلا و امنیت ... بيان مختصری از وقایع قبل از این دولت علیه که از ایراد آن ناگزیر و ناچار؛ انجام: برابر خط: نستعلیق شکسته زیبا، كا: اوایل نسخه به خط معتمدالدوله نشاط و چند برگ از آن به خط محمد تقی بن محمد اسماعیل، تا: نونویس در اواخر رجب ۱۲۷۷ق؛ افتادگی: آغاز؛ مجدول مذهب؛ جلد: تیماج قهوه ای، ۱۰۳گ (۱۱-۱۰۳)، ۱۹ سطر،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۲-۷۰۱]</w:t>
      </w:r>
    </w:p>
    <w:p>
      <w:pPr>
        <w:pStyle w:val="BookText"/>
      </w:pPr>
      <w:r>
        <w:rPr>
          <w:rFonts w:ascii="IRNazanin" w:hAnsi="IRNazanin" w:eastAsia="IRNazanin" w:cs="IRNazanin"/>
          <w:lang w:bidi="fa-IR"/>
          <w:color w:val="111111"/>
          <w:sz w:val="28"/>
          <w:szCs w:val="28"/>
          <w:rtl/>
        </w:rPr>
        <w:t xml:space="preserve">۱۵. اصفهان، دانشگاه؛ شماره نسخه:۲۵۶</w:t>
      </w:r>
    </w:p>
    <w:p>
      <w:pPr>
        <w:pStyle w:val="BookText"/>
      </w:pPr>
      <w:r>
        <w:rPr>
          <w:rFonts w:ascii="IRNazanin" w:hAnsi="IRNazanin" w:eastAsia="IRNazanin" w:cs="IRNazanin"/>
          <w:lang w:bidi="fa-IR"/>
          <w:color w:val="111111"/>
          <w:sz w:val="28"/>
          <w:szCs w:val="28"/>
          <w:rtl/>
        </w:rPr>
        <w:t xml:space="preserve">خط: نستعلیق، کا: محمد اسماعيل بن محمد على، تا: نیمه رجب ۱۲۸۴ق، به فرمایش میرزا محمد حسن خان؛ یک بیت شعر فارسی به خط خسرو خان به سال ۱۳۰۹ و یادداشتی از شخصی که نگاشته نگارنده این بیت شعر همان خسرو خان سردار ظفر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551" w:name="pg20363_209872"/>
    <w:bookmarkEnd w:id="551"/>
    <w:p>
      <w:pPr>
        <w:pStyle w:val="BookText"/>
      </w:pPr>
      <w:r>
        <w:rPr>
          <w:rFonts w:ascii="IRNazanin" w:hAnsi="IRNazanin" w:eastAsia="IRNazanin" w:cs="IRNazanin"/>
          <w:lang w:bidi="fa-IR"/>
          <w:color w:val="111111"/>
          <w:sz w:val="28"/>
          <w:szCs w:val="28"/>
          <w:rtl/>
        </w:rPr>
        <w:t xml:space="preserve">بختیاری است، یادداشتی از تیمور اسفندیاری بختیاری در مطالعه کتاب به سال ۱۳۳۲ در اصفهان و نوشتن حواشی در معنای برخی از لغات توسط او؛ جلد: تیماج قرمز عمل صادق بن محمد باقر، ۱۸۳، ۱۷ سطر،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سم [ف: ۱-۱۹۴]</w:t>
      </w:r>
    </w:p>
    <w:p>
      <w:pPr>
        <w:pStyle w:val="BookText"/>
      </w:pPr>
      <w:r>
        <w:rPr>
          <w:rFonts w:ascii="IRNazanin" w:hAnsi="IRNazanin" w:eastAsia="IRNazanin" w:cs="IRNazanin"/>
          <w:lang w:bidi="fa-IR"/>
          <w:color w:val="111111"/>
          <w:sz w:val="28"/>
          <w:szCs w:val="28"/>
          <w:rtl/>
        </w:rPr>
        <w:t xml:space="preserve">۱۶. تهران؛ مجلس؛ شماره نسخه:۲۳۴</w:t>
      </w:r>
    </w:p>
    <w:p>
      <w:pPr>
        <w:pStyle w:val="BookText"/>
      </w:pPr>
      <w:r>
        <w:rPr>
          <w:rFonts w:ascii="IRNazanin" w:hAnsi="IRNazanin" w:eastAsia="IRNazanin" w:cs="IRNazanin"/>
          <w:lang w:bidi="fa-IR"/>
          <w:color w:val="111111"/>
          <w:sz w:val="28"/>
          <w:szCs w:val="28"/>
          <w:rtl/>
        </w:rPr>
        <w:t xml:space="preserve">آغاز: برابر ۲ بی کا، تا:۱۲۸۴ق؛ ۱۸۵ ، ۱۹سطر، اندازه:۱۳</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۲۲/۵ سم [ف: ۲-۱۳۱]</w:t>
      </w:r>
    </w:p>
    <w:p>
      <w:pPr>
        <w:pStyle w:val="BookText"/>
      </w:pPr>
      <w:r>
        <w:rPr>
          <w:rFonts w:ascii="IRNazanin" w:hAnsi="IRNazanin" w:eastAsia="IRNazanin" w:cs="IRNazanin"/>
          <w:lang w:bidi="fa-IR"/>
          <w:color w:val="111111"/>
          <w:sz w:val="28"/>
          <w:szCs w:val="28"/>
          <w:rtl/>
        </w:rPr>
        <w:t xml:space="preserve">۱۷. اصفهان، دانشگاه؛ شماره نسخه: ۴۵۱</w:t>
      </w:r>
    </w:p>
    <w:p>
      <w:pPr>
        <w:pStyle w:val="BookText"/>
      </w:pPr>
      <w:r>
        <w:rPr>
          <w:rFonts w:ascii="IRNazanin" w:hAnsi="IRNazanin" w:eastAsia="IRNazanin" w:cs="IRNazanin"/>
          <w:lang w:bidi="fa-IR"/>
          <w:color w:val="111111"/>
          <w:sz w:val="28"/>
          <w:szCs w:val="28"/>
          <w:rtl/>
        </w:rPr>
        <w:t xml:space="preserve">خط: نستعلیق، کا: محمد اسماعيل بن محمد علی، تا: نیمه رجب ۱۲۸۶ق؛ کاغذ: آبی[نشریه: ۱۱-۸۸۶]</w:t>
      </w:r>
    </w:p>
    <w:p>
      <w:pPr>
        <w:pStyle w:val="BookText"/>
      </w:pPr>
      <w:r>
        <w:rPr>
          <w:rFonts w:ascii="IRNazanin" w:hAnsi="IRNazanin" w:eastAsia="IRNazanin" w:cs="IRNazanin"/>
          <w:lang w:bidi="fa-IR"/>
          <w:color w:val="111111"/>
          <w:sz w:val="28"/>
          <w:szCs w:val="28"/>
          <w:rtl/>
        </w:rPr>
        <w:t xml:space="preserve">۱۸. تهران، دانشگاه؛ شماره نسخه:۷۴۳۶</w:t>
      </w:r>
    </w:p>
    <w:p>
      <w:pPr>
        <w:pStyle w:val="BookText"/>
      </w:pPr>
      <w:r>
        <w:rPr>
          <w:rFonts w:ascii="IRNazanin" w:hAnsi="IRNazanin" w:eastAsia="IRNazanin" w:cs="IRNazanin"/>
          <w:lang w:bidi="fa-IR"/>
          <w:color w:val="111111"/>
          <w:sz w:val="28"/>
          <w:szCs w:val="28"/>
          <w:rtl/>
        </w:rPr>
        <w:t xml:space="preserve">خط: نستعلیق، كان محمد اسماعیل بن سلطان بن محمد حسین خان سرتیپ فوج خلج، تا: جمعه ۴ ذیحجه ۱۳۱۴ق، جان شیراز، به فرموده آقا میرزا فرج الله خان زند و نصير الممالک؛ کاغذ: فرنگی، جلد: تیماج عنابی، ۹۵گ، ۱۹ سطر (۱۴/۵)،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w:t>
      </w:r>
    </w:p>
    <w:p>
      <w:pPr>
        <w:pStyle w:val="BookText"/>
      </w:pPr>
      <w:r>
        <w:rPr>
          <w:rFonts w:ascii="IRNazanin" w:hAnsi="IRNazanin" w:eastAsia="IRNazanin" w:cs="IRNazanin"/>
          <w:lang w:bidi="fa-IR"/>
          <w:color w:val="111111"/>
          <w:sz w:val="28"/>
          <w:szCs w:val="28"/>
          <w:rtl/>
        </w:rPr>
        <w:t xml:space="preserve">[ف: ۱۶- ۵۷۰]</w:t>
      </w:r>
    </w:p>
    <w:p>
      <w:pPr>
        <w:pStyle w:val="BookText"/>
      </w:pPr>
      <w:r>
        <w:rPr>
          <w:rFonts w:ascii="IRNazanin" w:hAnsi="IRNazanin" w:eastAsia="IRNazanin" w:cs="IRNazanin"/>
          <w:lang w:bidi="fa-IR"/>
          <w:color w:val="111111"/>
          <w:sz w:val="28"/>
          <w:szCs w:val="28"/>
          <w:rtl/>
        </w:rPr>
        <w:t xml:space="preserve">۱۹. تهران؛ نوربخش؛ شماره نسخه: ۴۸۳/۱</w:t>
      </w:r>
    </w:p>
    <w:p>
      <w:pPr>
        <w:pStyle w:val="BookText"/>
      </w:pPr>
      <w:r>
        <w:rPr>
          <w:rFonts w:ascii="IRNazanin" w:hAnsi="IRNazanin" w:eastAsia="IRNazanin" w:cs="IRNazanin"/>
          <w:lang w:bidi="fa-IR"/>
          <w:color w:val="111111"/>
          <w:sz w:val="28"/>
          <w:szCs w:val="28"/>
          <w:rtl/>
        </w:rPr>
        <w:t xml:space="preserve">آغاز: برابر ۲؛ انجام: برابر</w:t>
      </w:r>
    </w:p>
    <w:p>
      <w:pPr>
        <w:pStyle w:val="BookText"/>
      </w:pPr>
      <w:r>
        <w:rPr>
          <w:rFonts w:ascii="IRNazanin" w:hAnsi="IRNazanin" w:eastAsia="IRNazanin" w:cs="IRNazanin"/>
          <w:lang w:bidi="fa-IR"/>
          <w:color w:val="111111"/>
          <w:sz w:val="28"/>
          <w:szCs w:val="28"/>
          <w:rtl/>
        </w:rPr>
        <w:t xml:space="preserve">از آغاز تا رفتن آقا محمد خان از اصفهان به طهران؛ خط: نستعلیق، کا: محمد حسن متخلص به «دبیر» فرزند ابوالحسن شیرازی، تا: جمعه ۶ جمادی الاول ۱۳۲۹ق؛ کاغذ: فرنگی، جلد: مقوایی، ۱۹سطر،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۲-۱۶۱]</w:t>
      </w:r>
    </w:p>
    <w:p>
      <w:pPr>
        <w:pStyle w:val="BookText"/>
      </w:pPr>
      <w:r>
        <w:rPr>
          <w:rFonts w:ascii="IRNazanin" w:hAnsi="IRNazanin" w:eastAsia="IRNazanin" w:cs="IRNazanin"/>
          <w:lang w:bidi="fa-IR"/>
          <w:color w:val="111111"/>
          <w:sz w:val="28"/>
          <w:szCs w:val="28"/>
          <w:rtl/>
        </w:rPr>
        <w:t xml:space="preserve">۲۰. تهران؛ دانشگاه؛ شماره نسخه:۱۴۶۷ف</w:t>
      </w:r>
    </w:p>
    <w:p>
      <w:pPr>
        <w:pStyle w:val="BookText"/>
      </w:pPr>
      <w:r>
        <w:rPr>
          <w:rFonts w:ascii="IRNazanin" w:hAnsi="IRNazanin" w:eastAsia="IRNazanin" w:cs="IRNazanin"/>
          <w:lang w:bidi="fa-IR"/>
          <w:color w:val="111111"/>
          <w:sz w:val="28"/>
          <w:szCs w:val="28"/>
          <w:rtl/>
        </w:rPr>
        <w:t xml:space="preserve">نسخه اصل: موزه بریتانیا 23524 .</w:t>
      </w:r>
      <w:r>
        <w:rPr>
          <w:rFonts w:ascii="Times New Roman" w:hAnsi="Times New Roman" w:eastAsia="Times New Roman" w:cs="Times New Roman"/>
          <w:lang w:val="en-US" w:bidi="en-US"/>
          <w:color w:val="111111"/>
          <w:sz w:val="28"/>
          <w:szCs w:val="28"/>
          <w:rtl/>
        </w:rPr>
        <w:t xml:space="preserve">Add</w:t>
      </w:r>
      <w:r>
        <w:rPr>
          <w:rFonts w:ascii="IRNazanin" w:hAnsi="IRNazanin" w:eastAsia="IRNazanin" w:cs="IRNazanin"/>
          <w:lang w:bidi="fa-IR"/>
          <w:color w:val="111111"/>
          <w:sz w:val="28"/>
          <w:szCs w:val="28"/>
          <w:rtl/>
        </w:rPr>
        <w:t xml:space="preserve">؛ بی کا، بی تا؛ ۱۵۵گ [فیلمها ف: ۱-۳۶]</w:t>
      </w:r>
    </w:p>
    <w:p>
      <w:pPr>
        <w:pStyle w:val="Heading3"/>
      </w:pPr>
      <w:bookmarkStart w:id="2570" w:name="_Toc1830"/>
      <w:r>
        <w:t>• تاریخ گیلان / تاریخ ایران / فارسی</w:t>
      </w:r>
      <w:bookmarkEnd w:id="2570"/>
    </w:p>
    <w:p>
      <w:pPr>
        <w:pStyle w:val="BookText"/>
      </w:pPr>
      <w:r>
        <w:rPr>
          <w:rFonts w:ascii="Times New Roman" w:hAnsi="Times New Roman" w:eastAsia="Times New Roman" w:cs="Times New Roman"/>
          <w:lang w:val="en-US" w:bidi="en-US"/>
          <w:color w:val="111111"/>
          <w:sz w:val="28"/>
          <w:szCs w:val="28"/>
          <w:rtl/>
        </w:rPr>
        <w:t xml:space="preserve">tārīx-e gīlān</w:t>
      </w:r>
    </w:p>
    <w:p>
      <w:pPr>
        <w:pStyle w:val="BookText"/>
      </w:pPr>
      <w:r>
        <w:rPr>
          <w:rFonts w:ascii="IRNazanin" w:hAnsi="IRNazanin" w:eastAsia="IRNazanin" w:cs="IRNazanin"/>
          <w:lang w:bidi="fa-IR"/>
          <w:color w:val="111111"/>
          <w:sz w:val="28"/>
          <w:szCs w:val="28"/>
          <w:rtl/>
        </w:rPr>
        <w:t xml:space="preserve">مرعشی، ظهير الدين بن نصیر الدین، ۸۱۵؟ -۸۹۳ قمری</w:t>
      </w:r>
    </w:p>
    <w:p>
      <w:pPr>
        <w:pStyle w:val="BookText"/>
      </w:pPr>
      <w:r>
        <w:rPr>
          <w:rFonts w:ascii="Times New Roman" w:hAnsi="Times New Roman" w:eastAsia="Times New Roman" w:cs="Times New Roman"/>
          <w:lang w:val="en-US" w:bidi="en-US"/>
          <w:color w:val="111111"/>
          <w:sz w:val="28"/>
          <w:szCs w:val="28"/>
          <w:rtl/>
        </w:rPr>
        <w:t xml:space="preserve">mar‘ašī, zahīr-od-dīn ebn-e nasīr-od-dīn (1413-1488)</w:t>
      </w:r>
    </w:p>
    <w:p>
      <w:pPr>
        <w:pStyle w:val="BookText"/>
      </w:pPr>
      <w:r>
        <w:rPr>
          <w:rFonts w:ascii="IRNazanin" w:hAnsi="IRNazanin" w:eastAsia="IRNazanin" w:cs="IRNazanin"/>
          <w:lang w:bidi="fa-IR"/>
          <w:color w:val="111111"/>
          <w:sz w:val="28"/>
          <w:szCs w:val="28"/>
          <w:rtl/>
        </w:rPr>
        <w:t xml:space="preserve">اهدا به: کار کیا سلطان علی و پدرش سلطان محمد تاریخ تأليف: ۸۸۰-۸۹۴ق در ۷ «باب» و هر باب در چند فصل» نگاشته است. آداب و رسوم مردم آن سرزمین را نیز دارد.</w:t>
      </w:r>
    </w:p>
    <w:p>
      <w:pPr>
        <w:pStyle w:val="BookText"/>
      </w:pPr>
      <w:r>
        <w:rPr>
          <w:rFonts w:ascii="IRNazanin" w:hAnsi="IRNazanin" w:eastAsia="IRNazanin" w:cs="IRNazanin"/>
          <w:lang w:bidi="fa-IR"/>
          <w:color w:val="111111"/>
          <w:sz w:val="28"/>
          <w:szCs w:val="28"/>
          <w:rtl/>
        </w:rPr>
        <w:t xml:space="preserve">آغاز: شکر و سپاس بیحد پادشاهی را ...</w:t>
      </w:r>
    </w:p>
    <w:p>
      <w:pPr>
        <w:pStyle w:val="BookText"/>
      </w:pPr>
      <w:r>
        <w:rPr>
          <w:rFonts w:ascii="IRNazanin" w:hAnsi="IRNazanin" w:eastAsia="IRNazanin" w:cs="IRNazanin"/>
          <w:lang w:bidi="fa-IR"/>
          <w:color w:val="111111"/>
          <w:sz w:val="28"/>
          <w:szCs w:val="28"/>
          <w:rtl/>
        </w:rPr>
        <w:t xml:space="preserve">چاپ: رشت، ۱۳۳۰ش، از روی نسخه بادلیان؛ به کوشش دکتر منوچهر ستوده، تهران، ۱۳۴۷ش. [فهرستواره منزوی ۸۹۸/۲ ]</w:t>
      </w:r>
    </w:p>
    <w:p>
      <w:pPr>
        <w:pStyle w:val="BookText"/>
      </w:pPr>
      <w:r>
        <w:rPr>
          <w:rFonts w:ascii="IRNazanin" w:hAnsi="IRNazanin" w:eastAsia="IRNazanin" w:cs="IRNazanin"/>
          <w:lang w:bidi="fa-IR"/>
          <w:color w:val="111111"/>
          <w:sz w:val="28"/>
          <w:szCs w:val="28"/>
          <w:rtl/>
        </w:rPr>
        <w:t xml:space="preserve">تهران، دانشگاه: شماره نسخه:۳۱۸۷-ف</w:t>
      </w:r>
    </w:p>
    <w:p>
      <w:pPr>
        <w:pStyle w:val="BookText"/>
      </w:pPr>
      <w:r>
        <w:rPr>
          <w:rFonts w:ascii="IRNazanin" w:hAnsi="IRNazanin" w:eastAsia="IRNazanin" w:cs="IRNazanin"/>
          <w:lang w:bidi="fa-IR"/>
          <w:color w:val="111111"/>
          <w:sz w:val="28"/>
          <w:szCs w:val="28"/>
          <w:rtl/>
        </w:rPr>
        <w:t xml:space="preserve">نسخه اصل: بادلیان 156 .</w:t>
      </w:r>
      <w:r>
        <w:rPr>
          <w:rFonts w:ascii="Times New Roman" w:hAnsi="Times New Roman" w:eastAsia="Times New Roman" w:cs="Times New Roman"/>
          <w:lang w:val="en-US" w:bidi="en-US"/>
          <w:color w:val="111111"/>
          <w:sz w:val="28"/>
          <w:szCs w:val="28"/>
          <w:rtl/>
        </w:rPr>
        <w:t xml:space="preserve">Or. </w:t>
      </w:r>
      <w:r>
        <w:rPr>
          <w:rFonts w:ascii="IRNazanin" w:hAnsi="IRNazanin" w:eastAsia="IRNazanin" w:cs="IRNazanin"/>
          <w:lang w:bidi="fa-IR"/>
          <w:color w:val="111111"/>
          <w:sz w:val="28"/>
          <w:szCs w:val="28"/>
          <w:rtl/>
        </w:rPr>
        <w:t xml:space="preserve">با یادداشت مورخ ۹۰۵؛ خط: نستعلیق، بی کا، تا: ۱ ربیع الاول (۲ خرداد) ۹۳۰ق [فیلمها ف: ۲-۹۳]</w:t>
      </w:r>
    </w:p>
    <w:p>
      <w:pPr>
        <w:pStyle w:val="Heading3"/>
      </w:pPr>
      <w:bookmarkStart w:id="2571" w:name="_Toc1831"/>
      <w:r>
        <w:t>• تاریخ گیلان / تاریخ ایران / فارسی</w:t>
      </w:r>
      <w:bookmarkEnd w:id="2571"/>
    </w:p>
    <w:p>
      <w:pPr>
        <w:pStyle w:val="BookText"/>
      </w:pPr>
      <w:r>
        <w:rPr>
          <w:rFonts w:ascii="Times New Roman" w:hAnsi="Times New Roman" w:eastAsia="Times New Roman" w:cs="Times New Roman"/>
          <w:lang w:val="en-US" w:bidi="en-US"/>
          <w:color w:val="111111"/>
          <w:sz w:val="28"/>
          <w:szCs w:val="28"/>
          <w:rtl/>
        </w:rPr>
        <w:t xml:space="preserve">tārīx-e gīlān</w:t>
      </w:r>
    </w:p>
    <w:p>
      <w:pPr>
        <w:pStyle w:val="BookText"/>
      </w:pPr>
      <w:r>
        <w:rPr>
          <w:rFonts w:ascii="IRNazanin" w:hAnsi="IRNazanin" w:eastAsia="IRNazanin" w:cs="IRNazanin"/>
          <w:lang w:bidi="fa-IR"/>
          <w:color w:val="111111"/>
          <w:sz w:val="28"/>
          <w:szCs w:val="28"/>
          <w:rtl/>
        </w:rPr>
        <w:t xml:space="preserve">فومنی، عبد الفتاح، ق ۱۱ قمری</w:t>
      </w:r>
    </w:p>
    <w:p>
      <w:pPr>
        <w:pStyle w:val="BookText"/>
      </w:pPr>
      <w:r>
        <w:rPr>
          <w:rFonts w:ascii="Times New Roman" w:hAnsi="Times New Roman" w:eastAsia="Times New Roman" w:cs="Times New Roman"/>
          <w:lang w:val="en-US" w:bidi="en-US"/>
          <w:color w:val="111111"/>
          <w:sz w:val="28"/>
          <w:szCs w:val="28"/>
          <w:rtl/>
        </w:rPr>
        <w:t xml:space="preserve">fūmanī, 'abd-ol-fattāh (-170)</w:t>
      </w:r>
    </w:p>
    <w:p>
      <w:pPr>
        <w:pStyle w:val="BookText"/>
      </w:pPr>
      <w:r>
        <w:rPr>
          <w:rFonts w:ascii="IRNazanin" w:hAnsi="IRNazanin" w:eastAsia="IRNazanin" w:cs="IRNazanin"/>
          <w:lang w:bidi="fa-IR"/>
          <w:color w:val="111111"/>
          <w:sz w:val="28"/>
          <w:szCs w:val="28"/>
          <w:rtl/>
        </w:rPr>
        <w:t xml:space="preserve">تاریخ تأليف: حدود سال های ۹۲۳ تا ۱۰۳۸ق کتابی است در تاریخ گیلان در زمان صفویه که در ۲ «فصل» و ۴ «مقاله» تألیف شده است: فصل 1. در حالات ادبار و انکسار دولت مظفر سلطان مرحوم والی گیلان بیه پس رشت و انقراض دولت سلاطين اسحاقیه عليهم الرحمة که از آن زمان الى الآن مدت ممتد یکصد و چهل و دو سال مصروف شده؛ فصل ۲. در احوال جلای مغفوری خان احمد خان حاکم و والی ولایت بیه پیش لاهیجان و ابتلای پسران شاه جمشید خان عليه الرحمة و الرضوان و به قتل رسیدن امیر سیاوش خان حاکم گسکر و عصیان امیر حمزه خان طالش حاکم آستارا و به قتل رسیدن امیر سیاوش خان حاکم گسکر و عصیان امیر حمزه خان طالش حاکم آستارا و به قتل آمدن او در ولایت شیروان و استیصال ملوک مازندران به مدلول آیه کریمه: ذلک فضل الله يؤتيه من يشاء و الله ذو الفضل العظيم؛ مقاله 1، در بیان حال و شرح مآل امیر حمزه، خان طالش و فرزندان مشارالیه؛ مقاله ۲. در بیان یاغی شدن ملک جهان گیر ولد ملک سلطان محمد رستمداری و مال حال او بتقدير حضرت باری؛ مقاله ۳. در بیان ابتلای بو سعید میر فومنی و فرج بعد شدت او به موجب تقدير قادر غنی؛ مقاله ۴. در بیان یاغی شدن میر حاتم سپهسالار شفت از علیخان و مال حال او بطریق استحسان. مؤلف می نویسد: «پوشیده نماند که درین پنجاه سال که مملکت معموره دارالمرز به تصرف سلاطین اسحاقیه در آمده فترات و انقلابات و هجوم و ازدحام عوام کالانعام بل هم اضل سبيلا مثل فتور غریب شاه مشاهده نشده بود این فقیر بی بضاعت عبد الفتاح فومنی را به گوشه )دهقان- دهقانی) به عزلت و انقطاع بسر میبرد به خاطر فاتر خطور نمود که قضیه مذکوره را به نوعی که سانح شده بود تأليف نماید چون واقعات مذکوره حسب الواقع بتحرير واقع نشده بود به فکر آن افتاد که شمه ای از حالات ملوک و سلاطین مازندران و گسکر و آستارا و لنگر کنان که در عصر و زمان تسلط و استیلای سلاطین صفویه به وقوع رسیده بیان سازد ..». فتوحات دارالمرز نیز تحریر دیگری است از تاریخ گیلان عبد الفتاح فومنی، وی پس از رسیدن به مقام حکومتی در پی آن شد که تغییراتی در کتابش ایجاد نماید؛ اختلافات بین این دو تحریر در نسخه چاپ سال ۱۳۴۹ش بیان شده است. (سید محمود مرعشی) این کتاب فتوحات هم نامیده می شود ولی در خود متن بدان نام «تاریخ گیلان» داده شده است. آغاز: ای نام تو مطلع کلام همه کس *** در نظم کلام تو نظام همه کس ابر صفحه هستی قلم تقدیر ست *** تحریر کند نشان و نام همه کس. حمد و بی ثنای بی عدد مالک الملک پادشاهی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552" w:name="pg20363_209873"/>
    <w:bookmarkEnd w:id="552"/>
    <w:p>
      <w:pPr>
        <w:pStyle w:val="BookText"/>
      </w:pPr>
      <w:r>
        <w:rPr>
          <w:rFonts w:ascii="IRNazanin" w:hAnsi="IRNazanin" w:eastAsia="IRNazanin" w:cs="IRNazanin"/>
          <w:lang w:bidi="fa-IR"/>
          <w:color w:val="111111"/>
          <w:sz w:val="28"/>
          <w:szCs w:val="28"/>
          <w:rtl/>
        </w:rPr>
        <w:t xml:space="preserve">را ... اما بعد، بر ضمیر اکسیر تأثیر ارباب خبرت انجام: با چندین قافله دعای مردم گیلان عازم مقر سلطنت خویش گردید بعون الملک الوهاب. چاپ: پطرزبورگ، به کوشش برنهاردان، ۱۲۷۴ق؛ رشت، ۱۳۱۴ش؛ تهران، به کوشش منوچهر ستوده، ۱۳۴۹ش؛ تهران، ۱۳۵۳ شمسی، با تحقیق عطاء الله تدین دنا ۷۳۵/۲ (۴ نسخه)؛ مشار فارسی ۳۳۵/۱ ؛ نسخه های منزوی ۴۲۶۸/۶ (۴ نسخه)؛ مشترک پاکستان ۱۴۸۹/۱۱ ؛ تاریخ گیلان، چاپ تهران: ۱۳۴۹ و ۱۳۵۳ ش؛ استوری ۳۶۳ و ۱۲۹۸؛ بریگل ۱۰۷۷؛ فهرستواره منزوی</w:t>
      </w:r>
    </w:p>
    <w:p>
      <w:pPr>
        <w:pStyle w:val="BookText"/>
      </w:pPr>
      <w:r>
        <w:rPr>
          <w:rFonts w:ascii="IRNazanin" w:hAnsi="IRNazanin" w:eastAsia="IRNazanin" w:cs="IRNazanin"/>
          <w:lang w:bidi="fa-IR"/>
          <w:color w:val="111111"/>
          <w:sz w:val="28"/>
          <w:szCs w:val="28"/>
          <w:rtl/>
        </w:rPr>
        <w:t xml:space="preserve">۸۹۷/۲ ]</w:t>
      </w:r>
    </w:p>
    <w:p>
      <w:pPr>
        <w:pStyle w:val="BookText"/>
      </w:pPr>
      <w:r>
        <w:rPr>
          <w:rFonts w:ascii="IRNazanin" w:hAnsi="IRNazanin" w:eastAsia="IRNazanin" w:cs="IRNazanin"/>
          <w:lang w:bidi="fa-IR"/>
          <w:color w:val="111111"/>
          <w:sz w:val="28"/>
          <w:szCs w:val="28"/>
          <w:rtl/>
        </w:rPr>
        <w:t xml:space="preserve">۱. تهران؛ ملک؛ شماره نسخه: ۳۷۷۷</w:t>
      </w:r>
    </w:p>
    <w:p>
      <w:pPr>
        <w:pStyle w:val="BookText"/>
      </w:pPr>
      <w:r>
        <w:rPr>
          <w:rFonts w:ascii="IRNazanin" w:hAnsi="IRNazanin" w:eastAsia="IRNazanin" w:cs="IRNazanin"/>
          <w:lang w:bidi="fa-IR"/>
          <w:color w:val="111111"/>
          <w:sz w:val="28"/>
          <w:szCs w:val="28"/>
          <w:rtl/>
        </w:rPr>
        <w:t xml:space="preserve">خط: شکسته نستعلیق، بی کا، تا: قرن ۱۲؛ افتادگی: آغاز (کمی در خطبه)، کاغذ: کاغذ فستقی آبی، جلد: ساغری پارچه، ۱۲۹گ، ۱۴ سطر، اندازه: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۱۳/۳ سم [ف: ۲-۹۱]</w:t>
      </w:r>
    </w:p>
    <w:p>
      <w:pPr>
        <w:pStyle w:val="BookText"/>
      </w:pPr>
      <w:r>
        <w:rPr>
          <w:rFonts w:ascii="IRNazanin" w:hAnsi="IRNazanin" w:eastAsia="IRNazanin" w:cs="IRNazanin"/>
          <w:lang w:bidi="fa-IR"/>
          <w:color w:val="111111"/>
          <w:sz w:val="28"/>
          <w:szCs w:val="28"/>
          <w:rtl/>
        </w:rPr>
        <w:t xml:space="preserve">۲. تهران؛ دانشگاه؛ شماره نسخه: ۴۰۶۱</w:t>
      </w:r>
    </w:p>
    <w:p>
      <w:pPr>
        <w:pStyle w:val="BookText"/>
      </w:pPr>
      <w:r>
        <w:rPr>
          <w:rFonts w:ascii="IRNazanin" w:hAnsi="IRNazanin" w:eastAsia="IRNazanin" w:cs="IRNazanin"/>
          <w:lang w:bidi="fa-IR"/>
          <w:color w:val="111111"/>
          <w:sz w:val="28"/>
          <w:szCs w:val="28"/>
          <w:rtl/>
        </w:rPr>
        <w:t xml:space="preserve">خط: نستعلیق، کا: میرزا رضی تفرشی گیلانی، تا: جمعه ۱۹ رمضان ليلان ئیل ۱۳۱۰ق؛ مجدول سرخ و مشکی؛ جلد: تیماج مشکی ضربی مقوایی، ۸۲گ، ۱۱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۱۳-۳۰۴۴]</w:t>
      </w:r>
    </w:p>
    <w:p>
      <w:pPr>
        <w:pStyle w:val="BookText"/>
      </w:pPr>
      <w:r>
        <w:rPr>
          <w:rFonts w:ascii="Amiri" w:hAnsi="Amiri" w:eastAsia="Amiri" w:cs="Amiri"/>
          <w:lang w:bidi="ar-SA"/>
          <w:color w:val="111111"/>
          <w:sz w:val="28"/>
          <w:szCs w:val="28"/>
          <w:rtl/>
        </w:rPr>
        <w:t xml:space="preserve">٣. تهران؛ دائرة المعارف؛ شماره نسخه: ۹۹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پخته، کا: میرزا رضی تفرشي الاصل گیلانی مسکن، تا: پنج شنبه ۲۶ محرم ۱۳۱۶ق، جان رشت؛ کاغذ: نباتی فرنگی، جلد: مقوا ته پارچه مشکی، ۱۳۴گ، ۲۵ سطر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۲۴/۵)، اندازه: ۲۲/۵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۳۵/۵سم [ف: ۱-۴۳]</w:t>
      </w:r>
    </w:p>
    <w:p>
      <w:pPr>
        <w:pStyle w:val="BookText"/>
      </w:pPr>
      <w:r>
        <w:rPr>
          <w:rFonts w:ascii="IRNazanin" w:hAnsi="IRNazanin" w:eastAsia="IRNazanin" w:cs="IRNazanin"/>
          <w:lang w:bidi="fa-IR"/>
          <w:color w:val="111111"/>
          <w:sz w:val="28"/>
          <w:szCs w:val="28"/>
          <w:rtl/>
        </w:rPr>
        <w:t xml:space="preserve">۴. قم؛ مرعشی؛ شماره نسخه: ۱۳۷۲۰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خوش، کا: محمود فراهانی، تا: سه شنبه غره ربيع الثانی ۱۳۲۵ق، جا: تهران، حسب فرمایش ادیب الممالك؛ از سوی معتمد السلطان آقا میرزا غلامرضا خان به همراهی آقا میرزا غلامحسین خان برادرش در سال ۱۳۲۵ق مقابله شده؛ مهر: ادیب الممالک به تاریخ ۱۹۰۷ میلادی؛ کاغذ: فرنگی، جلد: مقوایی با روکش کاغذ زرشکی، ۱۱۴گ، ۱۴سطر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۲۱/۵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۳۴-۶۶۵]</w:t>
      </w:r>
    </w:p>
    <w:p>
      <w:pPr>
        <w:pStyle w:val="BookText"/>
      </w:pPr>
      <w:r>
        <w:rPr>
          <w:rFonts w:ascii="IRNazanin" w:hAnsi="IRNazanin" w:eastAsia="IRNazanin" w:cs="IRNazanin"/>
          <w:lang w:bidi="fa-IR"/>
          <w:color w:val="111111"/>
          <w:sz w:val="28"/>
          <w:szCs w:val="28"/>
          <w:rtl/>
        </w:rPr>
        <w:t xml:space="preserve">۵. تهران؛ ملی؛ شماره نسخه:۲۷۱۴۷</w:t>
      </w:r>
    </w:p>
    <w:p>
      <w:pPr>
        <w:pStyle w:val="BookText"/>
      </w:pPr>
      <w:r>
        <w:rPr>
          <w:rFonts w:ascii="IRNazanin" w:hAnsi="IRNazanin" w:eastAsia="IRNazanin" w:cs="IRNazanin"/>
          <w:lang w:bidi="fa-IR"/>
          <w:color w:val="111111"/>
          <w:sz w:val="28"/>
          <w:szCs w:val="28"/>
          <w:rtl/>
        </w:rPr>
        <w:t xml:space="preserve">بی کا، بی تا، خریداری از عبدالمجید پژویان [رایانه ]</w:t>
      </w:r>
    </w:p>
    <w:p>
      <w:pPr>
        <w:pStyle w:val="Heading3"/>
      </w:pPr>
      <w:bookmarkStart w:id="2572" w:name="_Toc1832"/>
      <w:r>
        <w:t>• تاریخ گیوم امپراطور آلمان / تاریخ پادشاهان / فارسی</w:t>
      </w:r>
      <w:bookmarkEnd w:id="2572"/>
    </w:p>
    <w:p>
      <w:pPr>
        <w:pStyle w:val="BookText"/>
      </w:pPr>
      <w:r>
        <w:rPr>
          <w:rFonts w:ascii="Times New Roman" w:hAnsi="Times New Roman" w:eastAsia="Times New Roman" w:cs="Times New Roman"/>
          <w:lang w:val="en-US" w:bidi="en-US"/>
          <w:color w:val="111111"/>
          <w:sz w:val="28"/>
          <w:szCs w:val="28"/>
          <w:rtl/>
        </w:rPr>
        <w:t xml:space="preserve">tārīx-e gīūm emperātūr-e ālmān</w:t>
      </w:r>
    </w:p>
    <w:p>
      <w:pPr>
        <w:pStyle w:val="BookText"/>
      </w:pPr>
      <w:r>
        <w:rPr>
          <w:rFonts w:ascii="IRNazanin" w:hAnsi="IRNazanin" w:eastAsia="IRNazanin" w:cs="IRNazanin"/>
          <w:lang w:bidi="fa-IR"/>
          <w:color w:val="111111"/>
          <w:sz w:val="28"/>
          <w:szCs w:val="28"/>
          <w:rtl/>
        </w:rPr>
        <w:t xml:space="preserve">سیمون، ادوارد</w:t>
      </w:r>
    </w:p>
    <w:p>
      <w:pPr>
        <w:pStyle w:val="BookText"/>
      </w:pPr>
      <w:r>
        <w:rPr>
          <w:rFonts w:ascii="Times New Roman" w:hAnsi="Times New Roman" w:eastAsia="Times New Roman" w:cs="Times New Roman"/>
          <w:lang w:val="en-US" w:bidi="en-US"/>
          <w:color w:val="111111"/>
          <w:sz w:val="28"/>
          <w:szCs w:val="28"/>
          <w:rtl/>
        </w:rPr>
        <w:t xml:space="preserve">seymūn, edvārd</w:t>
      </w:r>
    </w:p>
    <w:p>
      <w:pPr>
        <w:pStyle w:val="BookText"/>
      </w:pPr>
      <w:r>
        <w:rPr>
          <w:rFonts w:ascii="IRNazanin" w:hAnsi="IRNazanin" w:eastAsia="IRNazanin" w:cs="IRNazanin"/>
          <w:lang w:bidi="fa-IR"/>
          <w:color w:val="111111"/>
          <w:sz w:val="28"/>
          <w:szCs w:val="28"/>
          <w:rtl/>
        </w:rPr>
        <w:t xml:space="preserve">مترجم: محمد طاهر ق۱۳ قمری تاریخ تأليف: غره محرم ۱۳۱۲ق؛ محل تأليف: تهران</w:t>
      </w:r>
    </w:p>
    <w:p>
      <w:pPr>
        <w:pStyle w:val="BookText"/>
      </w:pPr>
      <w:r>
        <w:rPr>
          <w:rFonts w:ascii="IRNazanin" w:hAnsi="IRNazanin" w:eastAsia="IRNazanin" w:cs="IRNazanin"/>
          <w:lang w:bidi="fa-IR"/>
          <w:color w:val="111111"/>
          <w:sz w:val="28"/>
          <w:szCs w:val="28"/>
          <w:rtl/>
        </w:rPr>
        <w:t xml:space="preserve">شرح زندگانی و سلطنت گیوم امپراطور آلمان از سال ۱۷۹۴ - ۱۸۴۷ میلادی است.</w:t>
      </w:r>
    </w:p>
    <w:p>
      <w:pPr>
        <w:pStyle w:val="BookText"/>
      </w:pPr>
      <w:r>
        <w:rPr>
          <w:rFonts w:ascii="IRNazanin" w:hAnsi="IRNazanin" w:eastAsia="IRNazanin" w:cs="IRNazanin"/>
          <w:lang w:bidi="fa-IR"/>
          <w:color w:val="111111"/>
          <w:sz w:val="28"/>
          <w:szCs w:val="28"/>
          <w:rtl/>
        </w:rPr>
        <w:t xml:space="preserve">تهران؛ سلطنتی؛ شماره نسخه: ۲۲۷۱</w:t>
      </w:r>
    </w:p>
    <w:p>
      <w:pPr>
        <w:pStyle w:val="BookText"/>
      </w:pPr>
      <w:r>
        <w:rPr>
          <w:rFonts w:ascii="IRNazanin" w:hAnsi="IRNazanin" w:eastAsia="IRNazanin" w:cs="IRNazanin"/>
          <w:lang w:bidi="fa-IR"/>
          <w:color w:val="111111"/>
          <w:sz w:val="28"/>
          <w:szCs w:val="28"/>
          <w:rtl/>
        </w:rPr>
        <w:t xml:space="preserve">آغاز: بسم الله الرحمن الرحیم ترجمه کتاب کيلوم امپراطور آلمانی و شرح احوال زمان سلطنتش تأليف ادوارد سیمون ترجمه چاکر جان نثار محمد طاهر شروع بترجمه شده غره شهر محرم الحرام من شهور سنه اثنی عشر و ثلثمائه بعد الألف من هجره نبینا صلی الله عليه و آله في دارالخلافه الباهره طهران صان الله عن الحدثان سنه ۱۳۱۲؛ انجام: اگر آخر عمر و دوره سلطنتش قدری بواسطه سوسیالیستها مکدر گردید بیم ندارد که اعقاب و اخلاقش توفیق بر حشم ماده خلاف نیافته و بقطع جهة اختلاف موفق نکردند در اساطیر الاولین میگوید که نیطون رب النوع دریاها و حکم فرمان داد بر عنصر سرکش. انتهى بحمد الله تعالی و یمن توفيقه که عمر بر اتمام این ترجمه نیز وفا کرد و با هزار گونه عوائق و ناسازگاری مزاج خاصه این نامه بپایان رسید و تقديم خاکپای مقدس همایونی روحنا فداه گرديد في السابع من شهر الله المبارک من شهور سنه اثنی عشر و ثلاثمائه بعد الألف من هجره ... و انا العبد محمد طاهر كتبه الحقیر محمد تقي الطهرانی.</w:t>
      </w:r>
    </w:p>
    <w:p>
      <w:pPr>
        <w:pStyle w:val="BookText"/>
      </w:pPr>
      <w:r>
        <w:rPr>
          <w:rFonts w:ascii="IRNazanin" w:hAnsi="IRNazanin" w:eastAsia="IRNazanin" w:cs="IRNazanin"/>
          <w:lang w:bidi="fa-IR"/>
          <w:color w:val="111111"/>
          <w:sz w:val="28"/>
          <w:szCs w:val="28"/>
          <w:rtl/>
        </w:rPr>
        <w:t xml:space="preserve">خط: نستعلیق، كان محمد تقی طهرانی، تا: ۱۳۱۲ق؛ مجدول کمند کشی زرین، به خط ناصر الدینشاه قاجار آمده: «این تاریخ گیوم را بواسطه اینکه چشممان درد میکرد خودمان نخواندیم ادیب الممالك و بعضی پیشخدمتها خواندند بعد انشاء الله در کالسکه شاید خودمان بخانیم شروع در صاحبقرانیه شد و حالا که از دریا برگشته ایم در دهنه نهر رودبار در سر نهار ادیب الممالک تمام کرد و تمام بعرض رسید ۱۳ شهر صفر سنه ۱۳۱۳»؛ مهر: اعتماد حضور، علی اکبر بن حسين الحسینی؛ کاغذ: فرنگی فلفل نمکی، جلد: مقوای روکش چرم مشکی با تزیینات، ۶۳۳ص، ۱۵ سطر، اندازه: ۳۳/۳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۲۱/۷ سم [ف: ۵-۳۸۴]</w:t>
      </w:r>
    </w:p>
    <w:p>
      <w:pPr>
        <w:pStyle w:val="Heading3"/>
      </w:pPr>
      <w:bookmarkStart w:id="2573" w:name="_Toc1833"/>
      <w:r>
        <w:t>• تاریخ لامه فلوریه / تاریخ پادشاهان / فارسی</w:t>
      </w:r>
      <w:bookmarkEnd w:id="2573"/>
    </w:p>
    <w:p>
      <w:pPr>
        <w:pStyle w:val="BookText"/>
      </w:pPr>
      <w:r>
        <w:rPr>
          <w:rFonts w:ascii="Times New Roman" w:hAnsi="Times New Roman" w:eastAsia="Times New Roman" w:cs="Times New Roman"/>
          <w:lang w:val="en-US" w:bidi="en-US"/>
          <w:color w:val="111111"/>
          <w:sz w:val="28"/>
          <w:szCs w:val="28"/>
          <w:rtl/>
        </w:rPr>
        <w:t xml:space="preserve">tārīx-e lāme flowrīye</w:t>
      </w:r>
    </w:p>
    <w:p>
      <w:pPr>
        <w:pStyle w:val="BookText"/>
      </w:pPr>
      <w:r>
        <w:rPr>
          <w:rFonts w:ascii="IRNazanin" w:hAnsi="IRNazanin" w:eastAsia="IRNazanin" w:cs="IRNazanin"/>
          <w:lang w:bidi="fa-IR"/>
          <w:color w:val="111111"/>
          <w:sz w:val="28"/>
          <w:szCs w:val="28"/>
          <w:rtl/>
        </w:rPr>
        <w:t xml:space="preserve">ماردروس، ق ۱۹ میلادی</w:t>
      </w:r>
    </w:p>
    <w:p>
      <w:pPr>
        <w:pStyle w:val="BookText"/>
      </w:pPr>
      <w:r>
        <w:rPr>
          <w:rFonts w:ascii="Times New Roman" w:hAnsi="Times New Roman" w:eastAsia="Times New Roman" w:cs="Times New Roman"/>
          <w:lang w:val="en-US" w:bidi="en-US"/>
          <w:color w:val="111111"/>
          <w:sz w:val="28"/>
          <w:szCs w:val="28"/>
          <w:rtl/>
        </w:rPr>
        <w:t xml:space="preserve">mārdrūs (-19c)</w:t>
      </w:r>
    </w:p>
    <w:p>
      <w:pPr>
        <w:pStyle w:val="BookText"/>
      </w:pPr>
      <w:r>
        <w:rPr>
          <w:rFonts w:ascii="IRNazanin" w:hAnsi="IRNazanin" w:eastAsia="IRNazanin" w:cs="IRNazanin"/>
          <w:lang w:bidi="fa-IR"/>
          <w:color w:val="111111"/>
          <w:sz w:val="28"/>
          <w:szCs w:val="28"/>
          <w:rtl/>
        </w:rPr>
        <w:t xml:space="preserve">به امر: ناصرالدین شاه تاریخ تأليف: ۱۵ محرم ۱۲۸۷ق مؤلف ماردروس داود خانف است. تاریخ جدید از تألیفات «لامه فلوریه» از شرح حال پادشاهان فرانسه و اسپانی به سال های ۱۴۳۴ الی ۱۵۹۸ میلادی است در بیان سلطنت سلسله شارل هفتم تفصيل فوت حکمران دولت انگلیس در پاریس؛ مقرر داشتن کومپانی های رسمی؛ فتح طایفه فرانسه بر طایفه فرماندی؛ اخراج نمودن اهل انگلیس را از فرانسه ملجاء شدن لوئی یازدهم دوفین در نزد حکمران پور گن؛ فوت شارل هفتم و استقلال پسر اولوئی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bookmarkStart w:id="553" w:name="pg20363_209874"/>
    <w:bookmarkEnd w:id="553"/>
    <w:p>
      <w:pPr>
        <w:pStyle w:val="BookText"/>
      </w:pPr>
      <w:r>
        <w:rPr>
          <w:rFonts w:ascii="IRNazanin" w:hAnsi="IRNazanin" w:eastAsia="IRNazanin" w:cs="IRNazanin"/>
          <w:lang w:bidi="fa-IR"/>
          <w:color w:val="111111"/>
          <w:sz w:val="28"/>
          <w:szCs w:val="28"/>
          <w:rtl/>
        </w:rPr>
        <w:t xml:space="preserve">یازدهم بر تخت سلطنت؛ محاصره شهر پاریس؛ ورود هنری چهارم بپاریس؛ حکم نانت ۱۵۹۸ میلادی.</w:t>
      </w:r>
    </w:p>
    <w:p>
      <w:pPr>
        <w:pStyle w:val="BookText"/>
      </w:pPr>
      <w:r>
        <w:rPr>
          <w:rFonts w:ascii="IRNazanin" w:hAnsi="IRNazanin" w:eastAsia="IRNazanin" w:cs="IRNazanin"/>
          <w:lang w:bidi="fa-IR"/>
          <w:color w:val="111111"/>
          <w:sz w:val="28"/>
          <w:szCs w:val="28"/>
          <w:rtl/>
        </w:rPr>
        <w:t xml:space="preserve">تهران؛ سلطنتی؛ شماره نسخه: ۱۸۴۰</w:t>
      </w:r>
    </w:p>
    <w:p>
      <w:pPr>
        <w:pStyle w:val="BookText"/>
      </w:pPr>
      <w:r>
        <w:rPr>
          <w:rFonts w:ascii="IRNazanin" w:hAnsi="IRNazanin" w:eastAsia="IRNazanin" w:cs="IRNazanin"/>
          <w:lang w:bidi="fa-IR"/>
          <w:color w:val="111111"/>
          <w:sz w:val="28"/>
          <w:szCs w:val="28"/>
          <w:rtl/>
        </w:rPr>
        <w:t xml:space="preserve">آغاز: تاریخ جدیدی که مختصرة مفيدة ذکر میشود. ای محبین و مطابعين بجهت آنکه کنه مطالب این تاریخ بر شما بوجه احسن معلوم شود باید در حین مطالعه این کتاب وقایع و کیفیاتی را که ابتدا از آخر تاریخ (رومن) که در مؤلفات مختلفه ما بسمت تحریر در آمده بر صفحه خواطر خود متصور دارید و یا آنکه همان گزارشات عمده قرون متوسطه را بخاطر آورید؛ انجام: آخرین واقعه که در قرن شانزدهم اتفاق افتاد فوت فليب ثانی بود و سلاطین آن قرن در مدت صد سال تمام کره ارض آنچه صنایع و هنر بود تکمیل نموده و بیشتر پیدا شدن پنکی دنیا باعث ازدیاد میل ایشان در تکمیل صنایع و ترویج علوم شده ... بواسطه ادراک و عقل و اعمال عجیبه خود جمیع کرده را مملو از علم و هنر نموده و آزادی را در کل اروپا منتشر کرده ... ورود هنری چهارم بپاریس حکم نانت ۱۵۹۸ میلادی. خط: نستعلیق، كا: معتمد الملک، تا: ۱۲۸۷ق؛ مجدول، کمند کشی زرین، یک سرلوح مذهب؛ کاغذ: فرنگی نباتی رنگ لبه طلائی، جلد: مقوای روکش تیماج مشکی، ۲۹۴ص، ۱۲ سطر، اندازه: ۲۷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۵-۳۸۶]</w:t>
      </w:r>
    </w:p>
    <w:p>
      <w:pPr>
        <w:pStyle w:val="BookText"/>
      </w:pPr>
      <w:r>
        <w:rPr>
          <w:rFonts w:ascii="IRNazanin" w:hAnsi="IRNazanin" w:eastAsia="IRNazanin" w:cs="IRNazanin"/>
          <w:lang w:bidi="fa-IR"/>
          <w:color w:val="111111"/>
          <w:sz w:val="28"/>
          <w:szCs w:val="28"/>
          <w:rtl/>
        </w:rPr>
        <w:t xml:space="preserve">← تاریخ لب اللباب هند ← لب التواريخ هند</w:t>
      </w:r>
    </w:p>
    <w:p>
      <w:pPr>
        <w:pStyle w:val="Heading3"/>
      </w:pPr>
      <w:bookmarkStart w:id="2574" w:name="_Toc1834"/>
      <w:r>
        <w:t>•تاریخ لطفعلی خان زند = تاریخ زندیه / تاریخ ایران / فارسی</w:t>
      </w:r>
      <w:bookmarkEnd w:id="2574"/>
    </w:p>
    <w:p>
      <w:pPr>
        <w:pStyle w:val="BookText"/>
      </w:pPr>
      <w:r>
        <w:rPr>
          <w:rFonts w:ascii="Times New Roman" w:hAnsi="Times New Roman" w:eastAsia="Times New Roman" w:cs="Times New Roman"/>
          <w:lang w:val="en-US" w:bidi="en-US"/>
          <w:color w:val="111111"/>
          <w:sz w:val="28"/>
          <w:szCs w:val="28"/>
          <w:rtl/>
        </w:rPr>
        <w:t xml:space="preserve">tārīx-e lotf--alī-xān-e zand = tārīx-e zandīye</w:t>
      </w:r>
    </w:p>
    <w:p>
      <w:pPr>
        <w:pStyle w:val="BookText"/>
      </w:pPr>
      <w:r>
        <w:rPr>
          <w:rFonts w:ascii="IRNazanin" w:hAnsi="IRNazanin" w:eastAsia="IRNazanin" w:cs="IRNazanin"/>
          <w:lang w:bidi="fa-IR"/>
          <w:color w:val="111111"/>
          <w:sz w:val="28"/>
          <w:szCs w:val="28"/>
          <w:rtl/>
        </w:rPr>
        <w:t xml:space="preserve">شیرازی، علیرضا بن عبدالكریم، ق۱۳ قمری</w:t>
      </w:r>
    </w:p>
    <w:p>
      <w:pPr>
        <w:pStyle w:val="BookText"/>
      </w:pPr>
      <w:r>
        <w:rPr>
          <w:rFonts w:ascii="Times New Roman" w:hAnsi="Times New Roman" w:eastAsia="Times New Roman" w:cs="Times New Roman"/>
          <w:lang w:val="en-US" w:bidi="en-US"/>
          <w:color w:val="111111"/>
          <w:sz w:val="28"/>
          <w:szCs w:val="28"/>
          <w:rtl/>
        </w:rPr>
        <w:t xml:space="preserve">šīrāzī, ‘alī-rezā ebn-e ‘abd-ol-karīm (-190)</w:t>
      </w:r>
    </w:p>
    <w:p>
      <w:pPr>
        <w:pStyle w:val="BookText"/>
      </w:pPr>
      <w:r>
        <w:rPr>
          <w:rFonts w:ascii="IRNazanin" w:hAnsi="IRNazanin" w:eastAsia="IRNazanin" w:cs="IRNazanin"/>
          <w:lang w:bidi="fa-IR"/>
          <w:color w:val="111111"/>
          <w:sz w:val="28"/>
          <w:szCs w:val="28"/>
          <w:rtl/>
        </w:rPr>
        <w:t xml:space="preserve">تاریخ سلاطین زندیه است از اواخر سلطنت کریم خان زند و پس از آن تاریخ حاکمان این سلسله به ترتیب: زکی خان زند، ابوالفتح خان، صادق خان، علی مراد خان، جعفر خان و لطفعلی خان زند. این رساله غیر از رساله تاریخ زندیه یا ذیل گیتی گشای عبدالکریم بن علیرضا است. آغاز: 1:بسمله -ستایش بی آلایش کریمی را سزد که زند قدرتش از قلم صنع رقم هستی بر لوح امكان زد و از کتاب مرصع تکوین و وجود نسخه ملمع انسان را انتخاب تعیین فرمود ... در بیان سلسله زندیه این سلسله از اعاظم ایلات عراق و بمردی و مردانگی شهره آفاق اند در اواخر دولت شاه شهید صفوی الشاه سلطان حسین ... بحكم قضا و قدر طایفه افاغنه دست عدوان بر کشور ایران گشودند ... سلسله عليه زند را با آنکه مدتی ملایر مسکن بود و از دو طرف محصور این دو دشمن بودند بقوت دل و نیروی بازو راه عبور آن دیار بر ایشان بستند ۲: بسمله، بر ارباب خرد و دانش و اصحاب ذکا و بینش مخفی و مستور نخواهد بود که بمفاد أن الله رؤوف بالعباد ... ذکر وقایع انقراض دولت زندیه را احدى متعرض نشده بود. یکی از دوستان صمیم در جاده صداقت مستقیم خواهش نمود که این غبار قدوم راه روان طريق حکایت ... ابن عبدالكریم شیرازی به ذکر مجمل از وقایع اموری که بعد از فوت کریم خان تا انقراض دولت زندیه به مقتضای حکمت ازلی و قدرت لم یزلی به ظهور رسیده است، مبادرت نماید ... انجام: و در انقراض لطفعلی خان دولت سلسله زنديه منقرض گردید. زیاده بر این اطناب ننمود، سایر وقایع امور دولت روز افزون سلسله جليله قاجاریه، به نحوی است که مورخان سر کار پادشاهی به ضبط آن متوجه شده، به نظر طالبان و ناظران خواهد رسید. چاپ: به تحقیق ارنست بیر آلمانی در لیدن سال ۱۸۸۸م</w:t>
      </w:r>
    </w:p>
    <w:p>
      <w:pPr>
        <w:pStyle w:val="BookText"/>
      </w:pPr>
      <w:r>
        <w:rPr>
          <w:rFonts w:ascii="IRNazanin" w:hAnsi="IRNazanin" w:eastAsia="IRNazanin" w:cs="IRNazanin"/>
          <w:lang w:bidi="fa-IR"/>
          <w:color w:val="111111"/>
          <w:sz w:val="28"/>
          <w:szCs w:val="28"/>
          <w:rtl/>
        </w:rPr>
        <w:t xml:space="preserve">[دنا ۷۳۵/۲ ؛ استوری ۳۳۲/۱ ؛ ریو ۱۹۸؛ نسخه های منزوی ۴۲۶۶/۶ ؛ الذريعة ۵۳/۴ ؛ فهرستواره منزوی ۸۶۸/۲ ]</w:t>
      </w:r>
    </w:p>
    <w:p>
      <w:pPr>
        <w:pStyle w:val="BookText"/>
      </w:pPr>
      <w:r>
        <w:rPr>
          <w:rFonts w:ascii="IRNazanin" w:hAnsi="IRNazanin" w:eastAsia="IRNazanin" w:cs="IRNazanin"/>
          <w:lang w:bidi="fa-IR"/>
          <w:color w:val="111111"/>
          <w:sz w:val="28"/>
          <w:szCs w:val="28"/>
          <w:rtl/>
        </w:rPr>
        <w:t xml:space="preserve">۱. تهران، دانشگاه؛ شماره نسخه: ۱۹۰/۱</w:t>
      </w:r>
    </w:p>
    <w:p>
      <w:pPr>
        <w:pStyle w:val="BookText"/>
      </w:pPr>
      <w:r>
        <w:rPr>
          <w:rFonts w:ascii="IRNazanin" w:hAnsi="IRNazanin" w:eastAsia="IRNazanin" w:cs="IRNazanin"/>
          <w:lang w:bidi="fa-IR"/>
          <w:color w:val="111111"/>
          <w:sz w:val="28"/>
          <w:szCs w:val="28"/>
          <w:rtl/>
        </w:rPr>
        <w:t xml:space="preserve">آغاز: برابر ۲؛ انجام: برابر</w:t>
      </w:r>
    </w:p>
    <w:p>
      <w:pPr>
        <w:pStyle w:val="BookText"/>
      </w:pPr>
      <w:r>
        <w:rPr>
          <w:rFonts w:ascii="IRNazanin" w:hAnsi="IRNazanin" w:eastAsia="IRNazanin" w:cs="IRNazanin"/>
          <w:lang w:bidi="fa-IR"/>
          <w:color w:val="111111"/>
          <w:sz w:val="28"/>
          <w:szCs w:val="28"/>
          <w:rtl/>
        </w:rPr>
        <w:t xml:space="preserve">خط: نستعلیق، بی کا، تا: پنج شنبه ۵ شوال ۱۲۳۲ق؛ از برگ ۱۱۶ تا ۱۲۷ فتح نامه هرات است که در ۱۳۱۴ق نوشته شده؛ کاغذ: فرنگی سفید آهار مهره، ۱۰۸گ، ۱۱ سطر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اندازه: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۲۰سم [ف: ۲-۵۲۲]</w:t>
      </w:r>
    </w:p>
    <w:p>
      <w:pPr>
        <w:pStyle w:val="BookText"/>
      </w:pPr>
      <w:r>
        <w:rPr>
          <w:rFonts w:ascii="IRNazanin" w:hAnsi="IRNazanin" w:eastAsia="IRNazanin" w:cs="IRNazanin"/>
          <w:lang w:bidi="fa-IR"/>
          <w:color w:val="111111"/>
          <w:sz w:val="28"/>
          <w:szCs w:val="28"/>
          <w:rtl/>
        </w:rPr>
        <w:t xml:space="preserve">۲. تهران؛ مجلس؛ شماره نسخه:۲۲۷۹</w:t>
      </w:r>
    </w:p>
    <w:p>
      <w:pPr>
        <w:pStyle w:val="BookText"/>
      </w:pPr>
      <w:r>
        <w:rPr>
          <w:rFonts w:ascii="IRNazanin" w:hAnsi="IRNazanin" w:eastAsia="IRNazanin" w:cs="IRNazanin"/>
          <w:lang w:bidi="fa-IR"/>
          <w:color w:val="111111"/>
          <w:sz w:val="28"/>
          <w:szCs w:val="28"/>
          <w:rtl/>
        </w:rPr>
        <w:t xml:space="preserve">آغاز: برابر ۲؛ انجام: برابر</w:t>
      </w:r>
    </w:p>
    <w:p>
      <w:pPr>
        <w:pStyle w:val="BookText"/>
      </w:pPr>
      <w:r>
        <w:rPr>
          <w:rFonts w:ascii="IRNazanin" w:hAnsi="IRNazanin" w:eastAsia="IRNazanin" w:cs="IRNazanin"/>
          <w:lang w:bidi="fa-IR"/>
          <w:color w:val="111111"/>
          <w:sz w:val="28"/>
          <w:szCs w:val="28"/>
          <w:rtl/>
        </w:rPr>
        <w:t xml:space="preserve">خط: نسخ تعلیق، بی کا، تا: ۱۲۳۸ق، کاغذ: فرنگی سفید آهار مهره، جلد: میشن، ۵۸ص، ۱۹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[ف:۶-۲۳۳]</w:t>
      </w:r>
    </w:p>
    <w:p>
      <w:pPr>
        <w:pStyle w:val="BookText"/>
      </w:pPr>
      <w:r>
        <w:rPr>
          <w:rFonts w:ascii="IRNazanin" w:hAnsi="IRNazanin" w:eastAsia="IRNazanin" w:cs="IRNazanin"/>
          <w:lang w:bidi="fa-IR"/>
          <w:color w:val="111111"/>
          <w:sz w:val="28"/>
          <w:szCs w:val="28"/>
          <w:rtl/>
        </w:rPr>
        <w:t xml:space="preserve">٣. تهران: نوربخش، شماره نسخه: ۸۴۸/۲</w:t>
      </w:r>
    </w:p>
    <w:p>
      <w:pPr>
        <w:pStyle w:val="BookText"/>
      </w:pPr>
      <w:r>
        <w:rPr>
          <w:rFonts w:ascii="IRNazanin" w:hAnsi="IRNazanin" w:eastAsia="IRNazanin" w:cs="IRNazanin"/>
          <w:lang w:bidi="fa-IR"/>
          <w:color w:val="111111"/>
          <w:sz w:val="28"/>
          <w:szCs w:val="28"/>
          <w:rtl/>
        </w:rPr>
        <w:t xml:space="preserve">آغاز: برابر ۲؛ انجام: برابر خط: نسخ، كا: حاج میرزا احمد شیرازی، تا: ۱۲۶۹ق؛ کاغذ: فرنگی آبی و زرد و سفید، جلد: تیماج قرمز روشن، ۴۰گ (۶۰ ۹۹)،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[نشریه: ۱۳-۲۱۵]</w:t>
      </w:r>
    </w:p>
    <w:p>
      <w:pPr>
        <w:pStyle w:val="BookText"/>
      </w:pPr>
      <w:r>
        <w:rPr>
          <w:rFonts w:ascii="IRNazanin" w:hAnsi="IRNazanin" w:eastAsia="IRNazanin" w:cs="IRNazanin"/>
          <w:lang w:bidi="fa-IR"/>
          <w:color w:val="111111"/>
          <w:sz w:val="28"/>
          <w:szCs w:val="28"/>
          <w:rtl/>
        </w:rPr>
        <w:t xml:space="preserve">۴. تهران؛ سلطنتی؛ شماره نسخه: ۷۰۱</w:t>
      </w:r>
    </w:p>
    <w:p>
      <w:pPr>
        <w:pStyle w:val="BookText"/>
      </w:pPr>
      <w:r>
        <w:rPr>
          <w:rFonts w:ascii="IRNazanin" w:hAnsi="IRNazanin" w:eastAsia="IRNazanin" w:cs="IRNazanin"/>
          <w:lang w:bidi="fa-IR"/>
          <w:color w:val="111111"/>
          <w:sz w:val="28"/>
          <w:szCs w:val="28"/>
          <w:rtl/>
        </w:rPr>
        <w:t xml:space="preserve">آغاز: برابر ۱؛ انجام: در خاتمه بیان وقایع و احوال آنان که با وجود دیدن احسان از این خاندان طريق خیانت گرفته و باند ک زمان سزای اعمال بر ایشان مشهود گردید ... و انا العبد مؤلفه و ملتقطه و منتخبه و متصرفه على محمد اللوالساني النظامي قد فرغت من تسویده و اتمامه و کتابته يوم الاثنين من شهر شوال المکرم رحمة الله في دار الخلافة الناصريه سنه ۱۲۸۷. خط: نستعلیق، کا: محمد لواسانی نظامی، تا: دوشنبه شوال ۱۲۸۷ق؛ مجدول، کمند کشی زرین، یک سرلوح مذهب مرصع نسبتا خوب، بین صفحه اول و صفحات بعد صفحاتی ساقط دارد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bookmarkStart w:id="554" w:name="pg20363_209875"/>
    <w:bookmarkEnd w:id="554"/>
    <w:p>
      <w:pPr>
        <w:pStyle w:val="BookText"/>
      </w:pPr>
      <w:r>
        <w:rPr>
          <w:rFonts w:ascii="IRNazanin" w:hAnsi="IRNazanin" w:eastAsia="IRNazanin" w:cs="IRNazanin"/>
          <w:lang w:bidi="fa-IR"/>
          <w:color w:val="111111"/>
          <w:sz w:val="28"/>
          <w:szCs w:val="28"/>
          <w:rtl/>
        </w:rPr>
        <w:t xml:space="preserve">به دلیل آنکه مطالب ناقص است؛ یاد آوری: بنظر نگارنده کمترین مؤلف و کاتب نسخه حاضر (محمد اللواساني النظامی) احتمالا این نسخه را از تاریخ زندیه تأليف على رضا بن عبدالکریم الشيرازي بتاریخ ۱۱۶۳ هجری قمری انتخاب و تصرفاتی در آن کرده است؛ کاغذ: دولت آبادی، جلد: مقوای روکش چرم ساغری مشکی، ۲۱۸ص، ۱۴ سطر، قطع: ربعی،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۵-۲۱۹]</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مرعشی؛ شماره نسخه:۱۵۸۳ عکسی</w:t>
      </w:r>
    </w:p>
    <w:p>
      <w:pPr>
        <w:pStyle w:val="BookText"/>
      </w:pPr>
      <w:r>
        <w:rPr>
          <w:rFonts w:ascii="IRNazanin" w:hAnsi="IRNazanin" w:eastAsia="IRNazanin" w:cs="IRNazanin"/>
          <w:lang w:bidi="fa-IR"/>
          <w:color w:val="111111"/>
          <w:sz w:val="28"/>
          <w:szCs w:val="28"/>
          <w:rtl/>
        </w:rPr>
        <w:t xml:space="preserve">آغاز: برابر ۱؛ انجام: برابر</w:t>
      </w:r>
    </w:p>
    <w:p>
      <w:pPr>
        <w:pStyle w:val="BookText"/>
      </w:pPr>
      <w:r>
        <w:rPr>
          <w:rFonts w:ascii="IRNazanin" w:hAnsi="IRNazanin" w:eastAsia="IRNazanin" w:cs="IRNazanin"/>
          <w:lang w:bidi="fa-IR"/>
          <w:color w:val="111111"/>
          <w:sz w:val="28"/>
          <w:szCs w:val="28"/>
          <w:rtl/>
        </w:rPr>
        <w:t xml:space="preserve">نسخه اصل: آکادمی علوم آذربایجان در باکو، شماره ۲۸۵۰-</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 خط: نستعلیق، کا: مشهدی علی اکبر خلف مرحوم مشهدی حسینعلی تفلیسی توپچی باشوف، تا: یک شنبه ربيع الثانی ۱۳۳۲ق؛ مجدول، با سرلوح، در صفحه ای از آن، تصویر چند نفر به چشم می آید؛ ۷۵ص، ۲۰-۲۷ سطر [عکسی ف: ۴-۵۳۵]</w:t>
      </w:r>
    </w:p>
    <w:p>
      <w:pPr>
        <w:pStyle w:val="BookText"/>
      </w:pPr>
      <w:r>
        <w:rPr>
          <w:rFonts w:ascii="IRNazanin" w:hAnsi="IRNazanin" w:eastAsia="IRNazanin" w:cs="IRNazanin"/>
          <w:lang w:bidi="fa-IR"/>
          <w:color w:val="111111"/>
          <w:sz w:val="28"/>
          <w:szCs w:val="28"/>
          <w:rtl/>
        </w:rPr>
        <w:t xml:space="preserve">۶. تهران؛ مجلس؛ شماره نسخه:۱۴۱۸۲</w:t>
      </w:r>
    </w:p>
    <w:p>
      <w:pPr>
        <w:pStyle w:val="BookText"/>
      </w:pPr>
      <w:r>
        <w:rPr>
          <w:rFonts w:ascii="IRNazanin" w:hAnsi="IRNazanin" w:eastAsia="IRNazanin" w:cs="IRNazanin"/>
          <w:lang w:bidi="fa-IR"/>
          <w:color w:val="111111"/>
          <w:sz w:val="28"/>
          <w:szCs w:val="28"/>
          <w:rtl/>
        </w:rPr>
        <w:t xml:space="preserve">آغاز: دار المرز ایلغار و تا مازندران و استر آباد عنان باز نکشیده ... در بيان صادريات امور زکیخان زند و کیفیت قتل آن -چون در سال قبل فیمابین؛ انجام: انقراض دولت زندیه بود و در ... سلسله مذکور منقرض گردید زیاده. از نیمه تاریخ زکی خان زند تا آخر تاریخ لطفعلی خان زند را شامل است؛ خط: نستعلیق، بی کا، بی تا؛ افتادگی: آغاز و انجام؛ بی کا، بی تا، جلد: تیماج مشکی، ۱۳۷گ، ۹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۳۸-۲۳۹]</w:t>
      </w:r>
    </w:p>
    <w:p>
      <w:pPr>
        <w:pStyle w:val="Heading3"/>
      </w:pPr>
      <w:bookmarkStart w:id="2575" w:name="_Toc1835"/>
      <w:r>
        <w:t>•تاریخ لوئی چهاردهم / تاریخ / فارسی</w:t>
      </w:r>
      <w:bookmarkEnd w:id="2575"/>
    </w:p>
    <w:p>
      <w:pPr>
        <w:pStyle w:val="BookText"/>
      </w:pPr>
      <w:r>
        <w:rPr>
          <w:rFonts w:ascii="Times New Roman" w:hAnsi="Times New Roman" w:eastAsia="Times New Roman" w:cs="Times New Roman"/>
          <w:lang w:val="en-US" w:bidi="en-US"/>
          <w:color w:val="111111"/>
          <w:sz w:val="28"/>
          <w:szCs w:val="28"/>
          <w:rtl/>
        </w:rPr>
        <w:t xml:space="preserve">tārīx-e lū’7-ye čāhārdahom</w:t>
      </w:r>
    </w:p>
    <w:p>
      <w:pPr>
        <w:pStyle w:val="BookText"/>
      </w:pPr>
      <w:r>
        <w:rPr>
          <w:rFonts w:ascii="IRNazanin" w:hAnsi="IRNazanin" w:eastAsia="IRNazanin" w:cs="IRNazanin"/>
          <w:lang w:bidi="fa-IR"/>
          <w:color w:val="111111"/>
          <w:sz w:val="28"/>
          <w:szCs w:val="28"/>
          <w:rtl/>
        </w:rPr>
        <w:t xml:space="preserve">ولتر، فرانسوا ماری آروئه دو ۱۶۹۴-۱۷۷۸ میلادی</w:t>
      </w:r>
    </w:p>
    <w:p>
      <w:pPr>
        <w:pStyle w:val="BookText"/>
      </w:pPr>
      <w:r>
        <w:rPr>
          <w:rFonts w:ascii="Times New Roman" w:hAnsi="Times New Roman" w:eastAsia="Times New Roman" w:cs="Times New Roman"/>
          <w:lang w:val="en-US" w:bidi="en-US"/>
          <w:color w:val="111111"/>
          <w:sz w:val="28"/>
          <w:szCs w:val="28"/>
          <w:rtl/>
        </w:rPr>
        <w:t xml:space="preserve">volter, ferānswā mārī āro'e do (1694-1778)</w:t>
      </w:r>
    </w:p>
    <w:p>
      <w:pPr>
        <w:pStyle w:val="BookText"/>
      </w:pPr>
      <w:r>
        <w:rPr>
          <w:rFonts w:ascii="IRNazanin" w:hAnsi="IRNazanin" w:eastAsia="IRNazanin" w:cs="IRNazanin"/>
          <w:lang w:bidi="fa-IR"/>
          <w:color w:val="111111"/>
          <w:sz w:val="28"/>
          <w:szCs w:val="28"/>
          <w:rtl/>
        </w:rPr>
        <w:t xml:space="preserve">کاشانی، علیقلی بن محمد باقر، ق۱۳ قمری</w:t>
      </w:r>
    </w:p>
    <w:p>
      <w:pPr>
        <w:pStyle w:val="BookText"/>
      </w:pPr>
      <w:r>
        <w:rPr>
          <w:rFonts w:ascii="Times New Roman" w:hAnsi="Times New Roman" w:eastAsia="Times New Roman" w:cs="Times New Roman"/>
          <w:lang w:val="en-US" w:bidi="en-US"/>
          <w:color w:val="111111"/>
          <w:sz w:val="28"/>
          <w:szCs w:val="28"/>
          <w:rtl/>
        </w:rPr>
        <w:t xml:space="preserve">kāšānī, ‘alī-qolī ebn-e mohammad bāqer (-19c)</w:t>
      </w:r>
    </w:p>
    <w:p>
      <w:pPr>
        <w:pStyle w:val="BookText"/>
      </w:pPr>
      <w:r>
        <w:rPr>
          <w:rFonts w:ascii="IRNazanin" w:hAnsi="IRNazanin" w:eastAsia="IRNazanin" w:cs="IRNazanin"/>
          <w:lang w:bidi="fa-IR"/>
          <w:color w:val="111111"/>
          <w:sz w:val="28"/>
          <w:szCs w:val="28"/>
          <w:rtl/>
        </w:rPr>
        <w:t xml:space="preserve">تاریخ ترجمه: ۱۲۸۹ق اهداء به: ناصرالدین شاه این کتاب سرگذشت لوئی چهاردهم پادشاه معروف فرانسه است که به قلم ولتر نویسنده معروف فرانسوی تحریر یافته است. ولتر که از بانیان شرح حال نویسی مستند است. در این کتاب سعی می کند که لوئی چهاردهم را از خلال مدارک تاریخی آن طور که بوده معرفی کند. نثر کتاب از شاهکارهای نثر فرانسه می باشد و انصافا هم علیقلی خان مترجم با آنکه در روزگار نخستین عهد ترجمه بوده به خوبی از عهده ترجمه این نثر سنگین بر آمده است.</w:t>
      </w:r>
    </w:p>
    <w:p>
      <w:pPr>
        <w:pStyle w:val="BookText"/>
      </w:pPr>
      <w:r>
        <w:rPr>
          <w:rFonts w:ascii="IRNazanin" w:hAnsi="IRNazanin" w:eastAsia="IRNazanin" w:cs="IRNazanin"/>
          <w:lang w:bidi="fa-IR"/>
          <w:color w:val="111111"/>
          <w:sz w:val="28"/>
          <w:szCs w:val="28"/>
          <w:rtl/>
        </w:rPr>
        <w:t xml:space="preserve">تهران؛ ملی؛ شماره نسخه:۱۸۵۷</w:t>
      </w:r>
    </w:p>
    <w:p>
      <w:pPr>
        <w:pStyle w:val="BookText"/>
      </w:pPr>
      <w:r>
        <w:rPr>
          <w:rFonts w:ascii="IRNazanin" w:hAnsi="IRNazanin" w:eastAsia="IRNazanin" w:cs="IRNazanin"/>
          <w:lang w:bidi="fa-IR"/>
          <w:color w:val="111111"/>
          <w:sz w:val="28"/>
          <w:szCs w:val="28"/>
          <w:rtl/>
        </w:rPr>
        <w:t xml:space="preserve">آغاز: کتاب لوئی چهاردهم پادشاه فرانسه من تأليفات حکیم ولتر فرانسوی بسمله؛ انجام: بالجمله لوئی چهاردهم يوم غره ماه سپتامبر سنه ۱۷۱۵ جهانرا وداع گفت خط: نستعلیق، بی کا، تا: ۱۲۸۹ق، جان تهران با سرلوح زر، مجدول؛ کاغذ: فرنگی، آبی، جلد: تیماج ماشی با گل و بوته، ۲۰۳گ، ۱۳ سطر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 اندازه: ۲۱/۵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۳۳/۵سم [ف: ۴-۳۲۰]</w:t>
      </w:r>
    </w:p>
    <w:p>
      <w:pPr>
        <w:pStyle w:val="Heading3"/>
      </w:pPr>
      <w:bookmarkStart w:id="2576" w:name="_Toc1836"/>
      <w:r>
        <w:t>• تاریخ لوئی چهاردهم / تاریخ / فارسی</w:t>
      </w:r>
      <w:bookmarkEnd w:id="2576"/>
    </w:p>
    <w:p>
      <w:pPr>
        <w:pStyle w:val="BookText"/>
      </w:pPr>
      <w:r>
        <w:rPr>
          <w:rFonts w:ascii="Times New Roman" w:hAnsi="Times New Roman" w:eastAsia="Times New Roman" w:cs="Times New Roman"/>
          <w:lang w:val="en-US" w:bidi="en-US"/>
          <w:color w:val="111111"/>
          <w:sz w:val="28"/>
          <w:szCs w:val="28"/>
          <w:rtl/>
        </w:rPr>
        <w:t xml:space="preserve">tārīx-e lū’7-ye čāhārdahom</w:t>
      </w:r>
    </w:p>
    <w:p>
      <w:pPr>
        <w:pStyle w:val="BookText"/>
      </w:pPr>
      <w:r>
        <w:rPr>
          <w:rFonts w:ascii="IRNazanin" w:hAnsi="IRNazanin" w:eastAsia="IRNazanin" w:cs="IRNazanin"/>
          <w:lang w:bidi="fa-IR"/>
          <w:color w:val="111111"/>
          <w:sz w:val="28"/>
          <w:szCs w:val="28"/>
          <w:rtl/>
        </w:rPr>
        <w:t xml:space="preserve">اعتماد السلطنه، محمد حسن بن علی، ۱۲۵۹-۱۳۱۳ قمری</w:t>
      </w:r>
    </w:p>
    <w:p>
      <w:pPr>
        <w:pStyle w:val="BookText"/>
      </w:pPr>
      <w:r>
        <w:rPr>
          <w:rFonts w:ascii="Times New Roman" w:hAnsi="Times New Roman" w:eastAsia="Times New Roman" w:cs="Times New Roman"/>
          <w:lang w:val="en-US" w:bidi="en-US"/>
          <w:color w:val="111111"/>
          <w:sz w:val="28"/>
          <w:szCs w:val="28"/>
          <w:rtl/>
        </w:rPr>
        <w:t xml:space="preserve">“alī ebn-e</w:t>
      </w:r>
    </w:p>
    <w:p>
      <w:pPr>
        <w:pStyle w:val="BookText"/>
      </w:pPr>
      <w:r>
        <w:rPr>
          <w:rFonts w:ascii="Times New Roman" w:hAnsi="Times New Roman" w:eastAsia="Times New Roman" w:cs="Times New Roman"/>
          <w:lang w:val="en-US" w:bidi="en-US"/>
          <w:color w:val="111111"/>
          <w:sz w:val="28"/>
          <w:szCs w:val="28"/>
          <w:rtl/>
        </w:rPr>
        <w:t xml:space="preserve">eʻtemād-os-saltane, mohammad hasan (1843-1896)</w:t>
      </w:r>
    </w:p>
    <w:p>
      <w:pPr>
        <w:pStyle w:val="BookText"/>
      </w:pPr>
      <w:r>
        <w:rPr>
          <w:rFonts w:ascii="IRNazanin" w:hAnsi="IRNazanin" w:eastAsia="IRNazanin" w:cs="IRNazanin"/>
          <w:lang w:bidi="fa-IR"/>
          <w:color w:val="111111"/>
          <w:sz w:val="28"/>
          <w:szCs w:val="28"/>
          <w:rtl/>
        </w:rPr>
        <w:t xml:space="preserve">تاریخ تأليف: ۱۳۰۳ق ترجمه محمد حسن خان اعتماد السلطنه و ناتمام است.</w:t>
      </w:r>
    </w:p>
    <w:p>
      <w:pPr>
        <w:pStyle w:val="BookText"/>
      </w:pPr>
      <w:r>
        <w:rPr>
          <w:rFonts w:ascii="IRNazanin" w:hAnsi="IRNazanin" w:eastAsia="IRNazanin" w:cs="IRNazanin"/>
          <w:lang w:bidi="fa-IR"/>
          <w:color w:val="111111"/>
          <w:sz w:val="28"/>
          <w:szCs w:val="28"/>
          <w:rtl/>
        </w:rPr>
        <w:t xml:space="preserve">مشهد؛ رضوی؛ شماره نسخه:۴۱۸۴</w:t>
      </w:r>
    </w:p>
    <w:p>
      <w:pPr>
        <w:pStyle w:val="BookText"/>
      </w:pPr>
      <w:r>
        <w:rPr>
          <w:rFonts w:ascii="IRNazanin" w:hAnsi="IRNazanin" w:eastAsia="IRNazanin" w:cs="IRNazanin"/>
          <w:lang w:bidi="fa-IR"/>
          <w:color w:val="111111"/>
          <w:sz w:val="28"/>
          <w:szCs w:val="28"/>
          <w:rtl/>
        </w:rPr>
        <w:t xml:space="preserve">آغاز: شروع میکنم بتألیف و ترجمه جلد هشتم تاریخ لوي ۱۴ و برای تحریر این تاریخ اسباب زیادی حاضر نموده ام. متجاوز از چهل کتاب و کتابچه و نقشه و غيرها. در میان این چهل و اند نسخه دو نسخه را اصل و اساس قرار داده ام. یکی روزنامه روز اروزی است که مار کی دان ژو از خواص و نزدیکان و محارم لوي ۱۴ در ظرف سی و چهار سال از سلطنت این پادشاه منظمة برشته تحریر در آورده است، و دیگر تاریخ صحیح است که دوک سن سیمون که او نیز از رجال دولت و علمای عصر این پادشاه بزرگ بوده تصنیف و تالیف کرده است. و اینکه این مجلد را جلد هشتم نامیدم برای اینست که ذیل و دنباله تاریخی شخصی و رسمی لوى ۱۴ است که مادموازل منت پانسير بطور روزنامه در ضمن شرح حال خود نوشته بوده است. روزنامه شرح حال منت پانسیر تا سنه ۱۶۸۶ ختم می شود. پس این بنده ذيل حسب الامر قدر قدرت اعليحضرت صاحبقرانی ولی نعمت بی منت، روحی و ارواح العالمين فداه جلد هشتم و ما بعد را انشاء الله تعالی متدرجة ترجمه و تأليف نموده بنظر کیمیا اثر ملوکانه خواهم رسانید. و از امروز که يوم شنبه ۲۸ شهر جمادى الأول قوی ئیل سنه ۳۰۳ است بمیمنت و مبار کی جلد هشتم را شروع نمودم؛ انجام: و از تو خواهشی دارم من بعد اسم شوهر. جلد هشتم؛ خط: شکسته نستعلیق، تحریری، کاتب = مؤلف، تا:</w:t>
      </w:r>
    </w:p>
    <w:p>
      <w:pPr>
        <w:pStyle w:val="BookText"/>
      </w:pPr>
      <w:r>
        <w:rPr>
          <w:rFonts w:ascii="IRNazanin" w:hAnsi="IRNazanin" w:eastAsia="IRNazanin" w:cs="IRNazanin"/>
          <w:lang w:bidi="fa-IR"/>
          <w:color w:val="111111"/>
          <w:sz w:val="28"/>
          <w:szCs w:val="28"/>
          <w:rtl/>
        </w:rPr>
        <w:t xml:space="preserve">قرن ۱۳؛ قلم خورده خود مترجم، محشی به قلم مترجم و احمد يمن الدوله و مهر منیر و مرتضی فرهنگی؛ واقف: مهر منیر خانم، دیماه ۱۳۱۳؛ کاغذ: سفید فرنگی، جلد: پارچه ای، ۱۳، ۲۱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۲۹/۵)، اندازه: ۳۵/۵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۷-۳۷]</w:t>
      </w:r>
    </w:p>
    <w:p>
      <w:pPr>
        <w:pStyle w:val="BookText"/>
      </w:pPr>
      <w:r>
        <w:rPr>
          <w:rFonts w:ascii="IRNazanin" w:hAnsi="IRNazanin" w:eastAsia="IRNazanin" w:cs="IRNazanin"/>
          <w:lang w:bidi="fa-IR"/>
          <w:color w:val="111111"/>
          <w:sz w:val="28"/>
          <w:szCs w:val="28"/>
          <w:rtl/>
        </w:rPr>
        <w:t xml:space="preserve">← تاریخ مازندران← تاریخ طبرستان</w:t>
      </w:r>
    </w:p>
    <w:p>
      <w:pPr>
        <w:pStyle w:val="BookText"/>
      </w:pPr>
      <w:r>
        <w:rPr>
          <w:rFonts w:ascii="IRNazanin" w:hAnsi="IRNazanin" w:eastAsia="IRNazanin" w:cs="IRNazanin"/>
          <w:lang w:bidi="fa-IR"/>
          <w:color w:val="111111"/>
          <w:sz w:val="28"/>
          <w:szCs w:val="28"/>
          <w:rtl/>
        </w:rPr>
        <w:t xml:space="preserve">← تاریخ مبارک غازانی←جامع التواریخ رشیدی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555" w:name="pg20363_209876"/>
    <w:bookmarkEnd w:id="555"/>
    <w:p>
      <w:pPr>
        <w:pStyle w:val="BookText"/>
      </w:pPr>
      <w:r>
        <w:rPr>
          <w:rFonts w:ascii="IRNazanin" w:hAnsi="IRNazanin" w:eastAsia="IRNazanin" w:cs="IRNazanin"/>
          <w:lang w:bidi="fa-IR"/>
          <w:color w:val="111111"/>
          <w:sz w:val="28"/>
          <w:szCs w:val="28"/>
          <w:rtl/>
        </w:rPr>
        <w:t xml:space="preserve">←تاریخ متنبیئین ← المتنبئين</w:t>
      </w:r>
    </w:p>
    <w:p>
      <w:pPr>
        <w:pStyle w:val="BookText"/>
      </w:pPr>
      <w:r>
        <w:rPr>
          <w:rFonts w:ascii="IRNazanin" w:hAnsi="IRNazanin" w:eastAsia="IRNazanin" w:cs="IRNazanin"/>
          <w:lang w:bidi="fa-IR"/>
          <w:color w:val="111111"/>
          <w:sz w:val="28"/>
          <w:szCs w:val="28"/>
          <w:rtl/>
        </w:rPr>
        <w:t xml:space="preserve">← تاریخ مجدول ← تاریخ سیاقی</w:t>
      </w:r>
    </w:p>
    <w:p>
      <w:pPr>
        <w:pStyle w:val="BookText"/>
      </w:pPr>
      <w:r>
        <w:rPr>
          <w:rFonts w:ascii="IRNazanin" w:hAnsi="IRNazanin" w:eastAsia="IRNazanin" w:cs="IRNazanin"/>
          <w:lang w:bidi="fa-IR"/>
          <w:color w:val="111111"/>
          <w:sz w:val="28"/>
          <w:szCs w:val="28"/>
          <w:rtl/>
        </w:rPr>
        <w:t xml:space="preserve">←تاریخ مجدول ← مجمل التواریخ</w:t>
      </w:r>
    </w:p>
    <w:p>
      <w:pPr>
        <w:pStyle w:val="Heading3"/>
      </w:pPr>
      <w:bookmarkStart w:id="2577" w:name="_Toc1837"/>
      <w:r>
        <w:t>•تاریخ مجدول / تاریخ پادشاهان / عربی</w:t>
      </w:r>
      <w:bookmarkEnd w:id="2577"/>
    </w:p>
    <w:p>
      <w:pPr>
        <w:pStyle w:val="BookText"/>
      </w:pPr>
      <w:r>
        <w:rPr>
          <w:rFonts w:ascii="Times New Roman" w:hAnsi="Times New Roman" w:eastAsia="Times New Roman" w:cs="Times New Roman"/>
          <w:lang w:val="en-US" w:bidi="en-US"/>
          <w:color w:val="111111"/>
          <w:sz w:val="28"/>
          <w:szCs w:val="28"/>
          <w:rtl/>
        </w:rPr>
        <w:t xml:space="preserve">tārīx-e mojadval</w:t>
      </w:r>
    </w:p>
    <w:p>
      <w:pPr>
        <w:pStyle w:val="BookText"/>
      </w:pPr>
      <w:r>
        <w:rPr>
          <w:rFonts w:ascii="IRNazanin" w:hAnsi="IRNazanin" w:eastAsia="IRNazanin" w:cs="IRNazanin"/>
          <w:lang w:bidi="fa-IR"/>
          <w:color w:val="111111"/>
          <w:sz w:val="28"/>
          <w:szCs w:val="28"/>
          <w:rtl/>
        </w:rPr>
        <w:t xml:space="preserve">تاریخ ترجمه: ربيع الثانی ۱۰۷۵ق نام مؤلف و مترجم آن معلوم نیست ولی اصل تألیف در اواخر عهد صفویه در ترکیه و به دست یکی از فضلای استانبول انجام یافته و در ربیع الثانی ۱۰۷۵ از زبان ترکی عثمانی به لغت عرب برگردانده شده است. این نسخه در دو قسمت است: قسمت اول مختصر و شامل ذکر سلسله ها با تعداد سلاطین و سال ظهور و انقراض و مدت ملک آنان در نه برگ دارای هفت جدول: ۱. جدول سلاطين العالم بنی آدم، جدول ملوك الأمم قبل ظهور ملوك الاسلام، ۲. جدول خلفاء الراشدين، 3. جدول الخلفاء و ملوك الاسلام، ۴. جدول سلاطين آل عثمان، ۵. جدول وزراء العظام، ۶. جدول مشایخ الاسلام، ۷. جدول نقباء الاشراف، و یک «خاتمه»؛ قسمت دوم پس از شش صفحه مقدمه دارای همان مطالب و جداول با تفصيل و ذکر افراد سلاطین و جلوس و مرگ آنان با شرح مختصری درباره هر یک پس از ذکر رؤوس تواریخ در ده فقره جدول به جداول وقایع از هبوط آدم تا سال ۱۰۷۷ سلطنت شاه صفی پرداخته و سه تاریخ دیگر ۱۰۷۸ و ۱۰۷۹ و ۱۰۸۰ ضبط ولی واقعه ای برای آنها ذکر نکرده است.</w:t>
      </w:r>
    </w:p>
    <w:p>
      <w:pPr>
        <w:pStyle w:val="BookText"/>
      </w:pPr>
      <w:r>
        <w:rPr>
          <w:rFonts w:ascii="IRNazanin" w:hAnsi="IRNazanin" w:eastAsia="IRNazanin" w:cs="IRNazanin"/>
          <w:lang w:bidi="fa-IR"/>
          <w:color w:val="111111"/>
          <w:sz w:val="28"/>
          <w:szCs w:val="28"/>
          <w:rtl/>
        </w:rPr>
        <w:t xml:space="preserve">تبریز؛ ملی؛ شماره نسخه:۳۳۲۳</w:t>
      </w:r>
    </w:p>
    <w:p>
      <w:pPr>
        <w:pStyle w:val="BookText"/>
      </w:pPr>
      <w:r>
        <w:rPr>
          <w:rFonts w:ascii="IRNazanin" w:hAnsi="IRNazanin" w:eastAsia="IRNazanin" w:cs="IRNazanin"/>
          <w:lang w:bidi="fa-IR"/>
          <w:color w:val="111111"/>
          <w:sz w:val="28"/>
          <w:szCs w:val="28"/>
          <w:rtl/>
        </w:rPr>
        <w:t xml:space="preserve">آغاز: قسمت اول: جدول سلاطين العالم و ملوک بنی آدم، جدول ملوك الأمم قبل ظهور ملوک الاسلام ... الخ. (قسمت دوم:) بسمله الحمد و الثناء و الشكر الذي ليس له انتهاء للمبدی الاول جل و علا الذي احسن صنع الفلك الدوار؛ انجام: قسمت اول - پس از جدول نقباء الاشراف خاتمه ناقص با عبارات: «... و في الانسان علامة الشيب بیاض عارضيه، كذالك الدول اذا شرعت في الانحطاط علامة مشيبها اذا مال اصحابها إلى الزينة في الملبس انجام می یابد. قسمت دوم: سنه ۱۰۷۷- شاه صفي الثاني بعد موت ابيه في ربيع الثانی و توجه سلطان محمد الى ادرنه و ارسال الوزير احمد پاشا الى حرب الكفار في جزيرة چرید و موت الشريف رند و شرافت ولده الشريف سعد خط: نسخ، كاتب = مؤلف، تا: ۱۰۷۵ق؛ مهر: «هو الكريم و انی عبدالکریم»؛ جلد: پارچه سیاه، ۷۵گ،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۱-۱۷۵]</w:t>
      </w:r>
    </w:p>
    <w:p>
      <w:pPr>
        <w:pStyle w:val="Heading3"/>
      </w:pPr>
      <w:bookmarkStart w:id="2578" w:name="_Toc1838"/>
      <w:r>
        <w:t>•تاریخ مجدول / تاریخ جهان / فارسی</w:t>
      </w:r>
      <w:bookmarkEnd w:id="2578"/>
    </w:p>
    <w:p>
      <w:pPr>
        <w:pStyle w:val="BookText"/>
      </w:pPr>
      <w:r>
        <w:rPr>
          <w:rFonts w:ascii="Times New Roman" w:hAnsi="Times New Roman" w:eastAsia="Times New Roman" w:cs="Times New Roman"/>
          <w:lang w:val="en-US" w:bidi="en-US"/>
          <w:color w:val="111111"/>
          <w:sz w:val="28"/>
          <w:szCs w:val="28"/>
          <w:rtl/>
        </w:rPr>
        <w:t xml:space="preserve">tārīx-e mojadval</w:t>
      </w:r>
    </w:p>
    <w:p>
      <w:pPr>
        <w:pStyle w:val="BookText"/>
      </w:pPr>
      <w:r>
        <w:rPr>
          <w:rFonts w:ascii="IRNazanin" w:hAnsi="IRNazanin" w:eastAsia="IRNazanin" w:cs="IRNazanin"/>
          <w:lang w:bidi="fa-IR"/>
          <w:color w:val="111111"/>
          <w:sz w:val="28"/>
          <w:szCs w:val="28"/>
          <w:rtl/>
        </w:rPr>
        <w:t xml:space="preserve">تاریخ بسیار مختصر عالم از حضرت آدم تا خاتم(عليه السلام)و بعض از خاندان های سلاطین، در چند جدول. این کتاب در اصل ترکی بود و مترجم آن را اول به عربی کتاب قبل نسخه کتابخانه ملی تبریز پس از آن به فارسی برگردانده با تصحیح اشتباهات مؤلف و اضافه معلوماتی درباره صفویه.</w:t>
      </w:r>
    </w:p>
    <w:p>
      <w:pPr>
        <w:pStyle w:val="BookText"/>
      </w:pPr>
      <w:r>
        <w:rPr>
          <w:rFonts w:ascii="IRNazanin" w:hAnsi="IRNazanin" w:eastAsia="IRNazanin" w:cs="IRNazanin"/>
          <w:lang w:bidi="fa-IR"/>
          <w:color w:val="111111"/>
          <w:sz w:val="28"/>
          <w:szCs w:val="28"/>
          <w:rtl/>
        </w:rPr>
        <w:t xml:space="preserve">۱. قم؛ مرعشی؛ شماره نسخه:۱۰۲۲۸</w:t>
      </w:r>
    </w:p>
    <w:p>
      <w:pPr>
        <w:pStyle w:val="BookText"/>
      </w:pPr>
      <w:r>
        <w:rPr>
          <w:rFonts w:ascii="IRNazanin" w:hAnsi="IRNazanin" w:eastAsia="IRNazanin" w:cs="IRNazanin"/>
          <w:lang w:bidi="fa-IR"/>
          <w:color w:val="111111"/>
          <w:sz w:val="28"/>
          <w:szCs w:val="28"/>
          <w:rtl/>
        </w:rPr>
        <w:t xml:space="preserve">آغاز: بعد الألف منضبط ساخته که هر واقعه از وقایع مذکوره در کدام سنه واقع شده و نسبت ما بين الوقایع؛ انجام: حرب مسلم بن سعید با کفار اتراک در فرغانه و قتل خاقان ترکی و موت سالم ...</w:t>
      </w:r>
    </w:p>
    <w:p>
      <w:pPr>
        <w:pStyle w:val="BookText"/>
      </w:pPr>
      <w:r>
        <w:rPr>
          <w:rFonts w:ascii="IRNazanin" w:hAnsi="IRNazanin" w:eastAsia="IRNazanin" w:cs="IRNazanin"/>
          <w:lang w:bidi="fa-IR"/>
          <w:color w:val="111111"/>
          <w:sz w:val="28"/>
          <w:szCs w:val="28"/>
          <w:rtl/>
        </w:rPr>
        <w:t xml:space="preserve">خط: نستعلیق خوش، كا: سعید منشی شیرازی، تا: صفر ۱۲۶۱ق، جان قریه سیجان از قرای اصفهان؛ افتادگی: آغاز و انجام؛ تملك: میرزا ابراهیم شیرازی به تاریخ ذیحجه ۱۲۶۱ با مهر «افوض امرى الى الله عبده محمد ابراهیم» (مربع)، رضا قلی قزوینی به تاریخ ۱۵ شعبان ۱۲۹۰ با مهر «رضا قلی» (بیضوی) و «عبده الراجي رضا قلی»؛ جلد: تیماج مشکی، ۶۹گ، ۱۵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۲۶-۱۹۴]</w:t>
      </w:r>
    </w:p>
    <w:p>
      <w:pPr>
        <w:pStyle w:val="BookText"/>
      </w:pPr>
      <w:r>
        <w:rPr>
          <w:rFonts w:ascii="IRNazanin" w:hAnsi="IRNazanin" w:eastAsia="IRNazanin" w:cs="IRNazanin"/>
          <w:lang w:bidi="fa-IR"/>
          <w:color w:val="111111"/>
          <w:sz w:val="28"/>
          <w:szCs w:val="28"/>
          <w:rtl/>
        </w:rPr>
        <w:t xml:space="preserve">۲. قم؛ مرعشی؛ شماره نسخه: ۳۱۶۱</w:t>
      </w:r>
    </w:p>
    <w:p>
      <w:pPr>
        <w:pStyle w:val="BookText"/>
      </w:pPr>
      <w:r>
        <w:rPr>
          <w:rFonts w:ascii="IRNazanin" w:hAnsi="IRNazanin" w:eastAsia="IRNazanin" w:cs="IRNazanin"/>
          <w:lang w:bidi="fa-IR"/>
          <w:color w:val="111111"/>
          <w:sz w:val="28"/>
          <w:szCs w:val="28"/>
          <w:rtl/>
        </w:rPr>
        <w:t xml:space="preserve">آغاز: بعد الألف منضبط ساخته که هر واقعه از وقایع مذکوره در کدام سنه واقع شده و نسبت ما بين الوقایع؛ انجام: حرب مسلم بن سعید با کفار اتراک در فرغانه و قتل خاقان ترکی و موت سالم خط: نستعلیق، بی کا، بی تا، افتادگی: آغاز و انجام؛ مجدول؛ جلد: مقوایی عطف</w:t>
      </w:r>
    </w:p>
    <w:p>
      <w:pPr>
        <w:pStyle w:val="BookText"/>
      </w:pPr>
      <w:r>
        <w:rPr>
          <w:rFonts w:ascii="IRNazanin" w:hAnsi="IRNazanin" w:eastAsia="IRNazanin" w:cs="IRNazanin"/>
          <w:lang w:bidi="fa-IR"/>
          <w:color w:val="111111"/>
          <w:sz w:val="28"/>
          <w:szCs w:val="28"/>
          <w:rtl/>
        </w:rPr>
        <w:t xml:space="preserve">تیماج قهوه ای، ۳۰گ، 19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[ف: ۸-۳۹۲]</w:t>
      </w:r>
    </w:p>
    <w:p>
      <w:pPr>
        <w:pStyle w:val="BookText"/>
      </w:pPr>
      <w:r>
        <w:rPr>
          <w:rFonts w:ascii="IRNazanin" w:hAnsi="IRNazanin" w:eastAsia="IRNazanin" w:cs="IRNazanin"/>
          <w:lang w:bidi="fa-IR"/>
          <w:color w:val="111111"/>
          <w:sz w:val="28"/>
          <w:szCs w:val="28"/>
          <w:rtl/>
        </w:rPr>
        <w:t xml:space="preserve">٣. قم؛ مرعشی؛ شماره نسخه:۶۴۵۷</w:t>
      </w:r>
    </w:p>
    <w:p>
      <w:pPr>
        <w:pStyle w:val="BookText"/>
      </w:pPr>
      <w:r>
        <w:rPr>
          <w:rFonts w:ascii="IRNazanin" w:hAnsi="IRNazanin" w:eastAsia="IRNazanin" w:cs="IRNazanin"/>
          <w:lang w:bidi="fa-IR"/>
          <w:color w:val="111111"/>
          <w:sz w:val="28"/>
          <w:szCs w:val="28"/>
          <w:rtl/>
        </w:rPr>
        <w:t xml:space="preserve">آغاز: بعد الألف منضبط ساخته که هر واقعه از وقایع مذکوره در کدام سنه واقع شده و نسبت ما بين الوقایع؛ انجام: حرب مسلم بن سعید با کفار اتراک در فرغانه و قتل خاقان ترک و موت سالم خط: نسخ زیبا، بی کا، بی تا؛ افتادگی: آغاز و انجام، مجدول؛ جلد: تیماج قهوه ای، ۸۹گ، مختلف السطر، اندازه:۲۴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۱۷-۵۸]</w:t>
      </w:r>
    </w:p>
    <w:p>
      <w:pPr>
        <w:pStyle w:val="Heading3"/>
      </w:pPr>
      <w:bookmarkStart w:id="2579" w:name="_Toc1839"/>
      <w:r>
        <w:t>•تاریخ محاربات حضرت محمد / تاریخ پیامبر اکرم(صلی الله علیه وآله وسلم)/ فارسی</w:t>
      </w:r>
      <w:bookmarkEnd w:id="2579"/>
    </w:p>
    <w:p>
      <w:pPr>
        <w:pStyle w:val="BookText"/>
      </w:pPr>
      <w:r>
        <w:rPr>
          <w:rFonts w:ascii="Times New Roman" w:hAnsi="Times New Roman" w:eastAsia="Times New Roman" w:cs="Times New Roman"/>
          <w:lang w:val="en-US" w:bidi="en-US"/>
          <w:color w:val="111111"/>
          <w:sz w:val="28"/>
          <w:szCs w:val="28"/>
          <w:rtl/>
        </w:rPr>
        <w:t xml:space="preserve">tārīx-e mohārebāt-e hazrat-e mohammad</w:t>
      </w:r>
    </w:p>
    <w:p>
      <w:pPr>
        <w:pStyle w:val="BookText"/>
      </w:pPr>
      <w:r>
        <w:rPr>
          <w:rFonts w:ascii="IRNazanin" w:hAnsi="IRNazanin" w:eastAsia="IRNazanin" w:cs="IRNazanin"/>
          <w:lang w:bidi="fa-IR"/>
          <w:color w:val="111111"/>
          <w:sz w:val="28"/>
          <w:szCs w:val="28"/>
          <w:rtl/>
        </w:rPr>
        <w:t xml:space="preserve">تهران؛ ملی؛ شماره نسخه:۲۶۹۲۰</w:t>
      </w:r>
    </w:p>
    <w:p>
      <w:pPr>
        <w:pStyle w:val="BookText"/>
      </w:pPr>
      <w:r>
        <w:rPr>
          <w:rFonts w:ascii="IRNazanin" w:hAnsi="IRNazanin" w:eastAsia="IRNazanin" w:cs="IRNazanin"/>
          <w:lang w:bidi="fa-IR"/>
          <w:color w:val="111111"/>
          <w:sz w:val="28"/>
          <w:szCs w:val="28"/>
          <w:rtl/>
        </w:rPr>
        <w:t xml:space="preserve">بی کا، بی تا؛ خریداری از عباس محسنی[رایانه]</w:t>
      </w:r>
    </w:p>
    <w:p>
      <w:pPr>
        <w:pStyle w:val="Heading3"/>
      </w:pPr>
      <w:bookmarkStart w:id="2580" w:name="_Toc1840"/>
      <w:r>
        <w:t>•تاریخ محاربات فرانسه / تاریخ جهان / فارسی</w:t>
      </w:r>
      <w:bookmarkEnd w:id="2580"/>
    </w:p>
    <w:p>
      <w:pPr>
        <w:pStyle w:val="BookText"/>
      </w:pPr>
      <w:r>
        <w:rPr>
          <w:rFonts w:ascii="Times New Roman" w:hAnsi="Times New Roman" w:eastAsia="Times New Roman" w:cs="Times New Roman"/>
          <w:lang w:val="en-US" w:bidi="en-US"/>
          <w:color w:val="111111"/>
          <w:sz w:val="28"/>
          <w:szCs w:val="28"/>
          <w:rtl/>
        </w:rPr>
        <w:t xml:space="preserve">tārīx-e mohārebāt-e farānse</w:t>
      </w:r>
    </w:p>
    <w:p>
      <w:pPr>
        <w:pStyle w:val="BookText"/>
      </w:pPr>
      <w:r>
        <w:rPr>
          <w:rFonts w:ascii="IRNazanin" w:hAnsi="IRNazanin" w:eastAsia="IRNazanin" w:cs="IRNazanin"/>
          <w:lang w:bidi="fa-IR"/>
          <w:color w:val="111111"/>
          <w:sz w:val="28"/>
          <w:szCs w:val="28"/>
          <w:rtl/>
        </w:rPr>
        <w:t xml:space="preserve">مهندس تبریزی، محمد رضا، ۱۲۹۹ قمری</w:t>
      </w:r>
    </w:p>
    <w:p>
      <w:pPr>
        <w:pStyle w:val="BookText"/>
      </w:pPr>
      <w:r>
        <w:rPr>
          <w:rFonts w:ascii="Times New Roman" w:hAnsi="Times New Roman" w:eastAsia="Times New Roman" w:cs="Times New Roman"/>
          <w:lang w:val="en-US" w:bidi="en-US"/>
          <w:color w:val="111111"/>
          <w:sz w:val="28"/>
          <w:szCs w:val="28"/>
          <w:rtl/>
        </w:rPr>
        <w:t xml:space="preserve">mohandes-e tabrīzī, mohammad rezā (-1882)</w:t>
      </w:r>
    </w:p>
    <w:p>
      <w:pPr>
        <w:pStyle w:val="BookText"/>
      </w:pPr>
      <w:r>
        <w:rPr>
          <w:rFonts w:ascii="IRNazanin" w:hAnsi="IRNazanin" w:eastAsia="IRNazanin" w:cs="IRNazanin"/>
          <w:lang w:bidi="fa-IR"/>
          <w:color w:val="111111"/>
          <w:sz w:val="28"/>
          <w:szCs w:val="28"/>
          <w:rtl/>
        </w:rPr>
        <w:t xml:space="preserve">اهداء به: فتحعلی شاه و عباس میرزا تاریخ تأليف: ۱۲۲۲ق با پادشاهان قرال نمچه و روس الموسوم به «حوادث نامه» ترجمه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bookmarkStart w:id="556" w:name="pg20363_209877"/>
    <w:bookmarkEnd w:id="556"/>
    <w:p>
      <w:pPr>
        <w:pStyle w:val="BookText"/>
      </w:pPr>
      <w:r>
        <w:rPr>
          <w:rFonts w:ascii="IRNazanin" w:hAnsi="IRNazanin" w:eastAsia="IRNazanin" w:cs="IRNazanin"/>
          <w:lang w:bidi="fa-IR"/>
          <w:color w:val="111111"/>
          <w:sz w:val="28"/>
          <w:szCs w:val="28"/>
          <w:rtl/>
        </w:rPr>
        <w:t xml:space="preserve">محمد رضی تبریزی از ترکی.</w:t>
      </w:r>
    </w:p>
    <w:p>
      <w:pPr>
        <w:pStyle w:val="BookText"/>
      </w:pPr>
      <w:r>
        <w:rPr>
          <w:rFonts w:ascii="IRNazanin" w:hAnsi="IRNazanin" w:eastAsia="IRNazanin" w:cs="IRNazanin"/>
          <w:lang w:bidi="fa-IR"/>
          <w:color w:val="111111"/>
          <w:sz w:val="28"/>
          <w:szCs w:val="28"/>
          <w:rtl/>
        </w:rPr>
        <w:t xml:space="preserve">تهران؛ دانشگاه؛ شماره نسخه: ۱۹۳۰ف بی کا، بی تا، کتابخانه ملی ش ۱۱۵۰؛ ۱۱۳گ [فیلمها ف: ۱-۳۶]</w:t>
      </w:r>
    </w:p>
    <w:p>
      <w:pPr>
        <w:pStyle w:val="BookText"/>
      </w:pPr>
      <w:r>
        <w:rPr>
          <w:rFonts w:ascii="IRNazanin" w:hAnsi="IRNazanin" w:eastAsia="IRNazanin" w:cs="IRNazanin"/>
          <w:lang w:bidi="fa-IR"/>
          <w:color w:val="111111"/>
          <w:sz w:val="28"/>
          <w:szCs w:val="28"/>
          <w:rtl/>
        </w:rPr>
        <w:t xml:space="preserve">←تاریخ محمد شاه ← تاریخ هند</w:t>
      </w:r>
    </w:p>
    <w:p>
      <w:pPr>
        <w:pStyle w:val="BookText"/>
      </w:pPr>
      <w:r>
        <w:rPr>
          <w:rFonts w:ascii="IRNazanin" w:hAnsi="IRNazanin" w:eastAsia="IRNazanin" w:cs="IRNazanin"/>
          <w:lang w:bidi="fa-IR"/>
          <w:color w:val="111111"/>
          <w:sz w:val="28"/>
          <w:szCs w:val="28"/>
          <w:rtl/>
        </w:rPr>
        <w:t xml:space="preserve">← تاریخ محمدی ← احسن التواريخ</w:t>
      </w:r>
    </w:p>
    <w:p>
      <w:pPr>
        <w:pStyle w:val="Heading3"/>
      </w:pPr>
      <w:bookmarkStart w:id="2581" w:name="_Toc1841"/>
      <w:r>
        <w:t>•تاریخ محمدی = تاریخ دوازده امام = تاریخ رشیدی = فهرست ائمه = تاريخ الاولاد الحضرة المصطفوی = معرفت نامه / تاریخ معصومین، شعر / فارسی</w:t>
      </w:r>
      <w:bookmarkEnd w:id="2581"/>
    </w:p>
    <w:p>
      <w:pPr>
        <w:pStyle w:val="BookText"/>
      </w:pPr>
      <w:r>
        <w:rPr>
          <w:rFonts w:ascii="Times New Roman" w:hAnsi="Times New Roman" w:eastAsia="Times New Roman" w:cs="Times New Roman"/>
          <w:lang w:val="en-US" w:bidi="en-US"/>
          <w:color w:val="111111"/>
          <w:sz w:val="28"/>
          <w:szCs w:val="28"/>
          <w:rtl/>
        </w:rPr>
        <w:t xml:space="preserve">tārīx-e mohammadī = tārīx-e davāzdah emām = tārīx-e rashidi</w:t>
      </w:r>
    </w:p>
    <w:p>
      <w:pPr>
        <w:pStyle w:val="BookText"/>
      </w:pPr>
      <w:r>
        <w:rPr>
          <w:rFonts w:ascii="IRNazanin" w:hAnsi="IRNazanin" w:eastAsia="IRNazanin" w:cs="IRNazanin"/>
          <w:lang w:bidi="fa-IR"/>
          <w:color w:val="111111"/>
          <w:sz w:val="28"/>
          <w:szCs w:val="28"/>
          <w:rtl/>
        </w:rPr>
        <w:t xml:space="preserve">؟ کاشی، حسن بن محمود، ق۸ قمری</w:t>
      </w:r>
    </w:p>
    <w:p>
      <w:pPr>
        <w:pStyle w:val="BookText"/>
      </w:pPr>
      <w:r>
        <w:rPr>
          <w:rFonts w:ascii="Times New Roman" w:hAnsi="Times New Roman" w:eastAsia="Times New Roman" w:cs="Times New Roman"/>
          <w:lang w:val="en-US" w:bidi="en-US"/>
          <w:color w:val="111111"/>
          <w:sz w:val="28"/>
          <w:szCs w:val="28"/>
          <w:rtl/>
        </w:rPr>
        <w:t xml:space="preserve">kāšī, hasan ebn-e mahmūd (-14c)</w:t>
      </w:r>
    </w:p>
    <w:p>
      <w:pPr>
        <w:pStyle w:val="BookText"/>
      </w:pPr>
      <w:r>
        <w:rPr>
          <w:rFonts w:ascii="IRNazanin" w:hAnsi="IRNazanin" w:eastAsia="IRNazanin" w:cs="IRNazanin"/>
          <w:lang w:bidi="fa-IR"/>
          <w:color w:val="111111"/>
          <w:sz w:val="28"/>
          <w:szCs w:val="28"/>
          <w:rtl/>
        </w:rPr>
        <w:t xml:space="preserve">اهدا به: جهان محمد اولجایتو محل تأليف: بغداد منظومه ای است کوتاه در ۳۲۴ بیت؛ ناظم ابتداءا اشعاری در ستایش پروردگار و سپس مدح پیامبر و امیر مؤمنان على و ائمه(عليه السلام)آورده و سپس موعظه و نصیحت نموده آنان را که به خواندن کتب قصص وامق و عذرا و رستم و زال و غیره وقت را بیهوده هدر می دهند، و چون مردم شعر را بیشتر از نثر می پسندند لذا کتابش را به نظم کشیده و آن را «معرفت نامه» نامیدند و چون آن را به نام «وزیر رشید» نظم کرده به «تاریخ رشیدی» نیز موسوم گردانده است. در آن آمده است: «این نامه که بنده می کند درج *** نظمی است که بنده می کند خرج / تخریج کتاب تست یکسر *** پاک آمده همچون درو گوهر / تاریخ رشیدی است نامش *** از نام دوازده امامش»؛ و در آن آمده است: «نام او هست معرفت نامه *** بلکه او هست فایدت نامه». او فهرست اسامی ائمه دوازده گانه (عليهم السلام) را ابتدا مختصرة و بعد مفصل هر یک از آنان را در بخش هایی مشتمل بر: نام، کنیه، تاریخ ولادت و مکان آن، نام پدر و مادر، نقش نگین انگشتری، مدت عمر، سبب وفات و زمان و مکان آن، محل دفن، تعداد و نام اولاد آنان، غزوات و دیگر مطالب را به شعر آورده است. ناظم در حالیکه دو سه ماه سخت مریض بوده و در بستر بیماری افتاده شروع به نظم آن نموده و در «واسطه» و «حله» به فکر سرودن آن افتاده و در شهر «بغداد» بدان پرداخته است. وی در میان اشعارش از اشخاصی چون: میر علی، ابراهیم، عبد اللطيف، تاج الوزرا، شهاب الدین، میر احمد، حسن، عز الوزرا نامبرده و اشعاری در مدح سلطان وقت «اولجایتو» آورده و بعد اشعاری در اصول و فروع دین. عناوین آن عبارت است: ۱. و لذكر الله اعلى و اجل؛ ۲. گفتار اندر ستایش رسول؛ ۳. گفتار اندر ستایش امیر المومنین على بن ابی طالب؛ ۴. گفتار اندر موعظت و نصیحت؛ ۵. آغاز کتاب؛ ۶. گفتار کتاب از نظر؛ ۷. گفتار اندر نبوت حضرت رسالت؛ ۸ گفتار اندر اعواض؛ ۹. گفتار اندر اجل؛ ۱۰. گفتار اندر ارزاق؛ ۱۱. گفتار اندر وعد و وعيد؛ ۱۲. گفتار اندر مرگ و قیامت. در انتساب این اشعار به حسن بن محمود کاشی تردید بسیار است و جناب آقای حسن عاطفی در مقدمه خود بر چاپ دیوان حسن کاشی با قطعیت این انتساب را نفی می کند و معتقد است شاعر این اثر معلوم نیست.</w:t>
      </w:r>
    </w:p>
    <w:p>
      <w:pPr>
        <w:pStyle w:val="BookText"/>
      </w:pPr>
      <w:r>
        <w:rPr>
          <w:rFonts w:ascii="IRNazanin" w:hAnsi="IRNazanin" w:eastAsia="IRNazanin" w:cs="IRNazanin"/>
          <w:lang w:bidi="fa-IR"/>
          <w:color w:val="111111"/>
          <w:sz w:val="28"/>
          <w:szCs w:val="28"/>
          <w:rtl/>
        </w:rPr>
        <w:t xml:space="preserve">چاپ: همراه با هفت بند مولانا حسن کاشی با عنوان «تاریخ محمدی» و با انتساب به حسن کاشی، به کوشش رسول جعفریان چاپ شده</w:t>
      </w:r>
    </w:p>
    <w:p>
      <w:pPr>
        <w:pStyle w:val="BookText"/>
      </w:pPr>
      <w:r>
        <w:rPr>
          <w:rFonts w:ascii="IRNazanin" w:hAnsi="IRNazanin" w:eastAsia="IRNazanin" w:cs="IRNazanin"/>
          <w:lang w:bidi="fa-IR"/>
          <w:color w:val="111111"/>
          <w:sz w:val="28"/>
          <w:szCs w:val="28"/>
          <w:rtl/>
        </w:rPr>
        <w:t xml:space="preserve">[دنا ۷۳۶/۲ ، الذریعه ۸۹۹/۹ ؛ روضات الجنات ۲۸۶/۲ -۲۸۹؛ فهرستواره منزوی ۱۵۷۴/۳ ]</w:t>
      </w:r>
    </w:p>
    <w:p>
      <w:pPr>
        <w:pStyle w:val="BookText"/>
      </w:pPr>
      <w:r>
        <w:rPr>
          <w:rFonts w:ascii="IRNazanin" w:hAnsi="IRNazanin" w:eastAsia="IRNazanin" w:cs="IRNazanin"/>
          <w:lang w:bidi="fa-IR"/>
          <w:color w:val="111111"/>
          <w:sz w:val="28"/>
          <w:szCs w:val="28"/>
          <w:rtl/>
        </w:rPr>
        <w:t xml:space="preserve">۱. تبریز؛ ملی؛ شماره نسخه:۳۶۲۶</w:t>
      </w:r>
    </w:p>
    <w:p>
      <w:pPr>
        <w:pStyle w:val="BookText"/>
      </w:pPr>
      <w:r>
        <w:rPr>
          <w:rFonts w:ascii="IRNazanin" w:hAnsi="IRNazanin" w:eastAsia="IRNazanin" w:cs="IRNazanin"/>
          <w:lang w:bidi="fa-IR"/>
          <w:color w:val="111111"/>
          <w:sz w:val="28"/>
          <w:szCs w:val="28"/>
          <w:rtl/>
        </w:rPr>
        <w:t xml:space="preserve">آغاز: مردان و محققان دیندار *** یعنی که مهاجران و انصار /</w:t>
      </w:r>
    </w:p>
    <w:p>
      <w:pPr>
        <w:pStyle w:val="BookText"/>
      </w:pPr>
      <w:r>
        <w:rPr>
          <w:rFonts w:ascii="IRNazanin" w:hAnsi="IRNazanin" w:eastAsia="IRNazanin" w:cs="IRNazanin"/>
          <w:lang w:bidi="fa-IR"/>
          <w:color w:val="111111"/>
          <w:sz w:val="28"/>
          <w:szCs w:val="28"/>
          <w:rtl/>
        </w:rPr>
        <w:t xml:space="preserve">سردار که حمزه بود و عباس ***با دانش و عقل اكمل الناس /</w:t>
      </w:r>
    </w:p>
    <w:p>
      <w:pPr>
        <w:pStyle w:val="BookText"/>
      </w:pPr>
      <w:r>
        <w:rPr>
          <w:rFonts w:ascii="IRNazanin" w:hAnsi="IRNazanin" w:eastAsia="IRNazanin" w:cs="IRNazanin"/>
          <w:lang w:bidi="fa-IR"/>
          <w:color w:val="111111"/>
          <w:sz w:val="28"/>
          <w:szCs w:val="28"/>
          <w:rtl/>
        </w:rPr>
        <w:t xml:space="preserve">بمانده بزمانه نام ایشان *** بوده دو جهان بكام ایشان ا</w:t>
      </w:r>
    </w:p>
    <w:p>
      <w:pPr>
        <w:pStyle w:val="BookText"/>
      </w:pPr>
      <w:r>
        <w:rPr>
          <w:rFonts w:ascii="IRNazanin" w:hAnsi="IRNazanin" w:eastAsia="IRNazanin" w:cs="IRNazanin"/>
          <w:lang w:bidi="fa-IR"/>
          <w:color w:val="111111"/>
          <w:sz w:val="28"/>
          <w:szCs w:val="28"/>
          <w:rtl/>
        </w:rPr>
        <w:t xml:space="preserve">نجام اینست بديعه ای که گفتم *** این بود در سخن که سفتم</w:t>
      </w:r>
    </w:p>
    <w:p>
      <w:pPr>
        <w:pStyle w:val="BookText"/>
      </w:pPr>
      <w:r>
        <w:rPr>
          <w:rFonts w:ascii="IRNazanin" w:hAnsi="IRNazanin" w:eastAsia="IRNazanin" w:cs="IRNazanin"/>
          <w:lang w:bidi="fa-IR"/>
          <w:color w:val="111111"/>
          <w:sz w:val="28"/>
          <w:szCs w:val="28"/>
          <w:rtl/>
        </w:rPr>
        <w:t xml:space="preserve">خط: نسخ تعليق، كا: تورانشاه بن احمد بن تورانشاه، تا: ۲۰ ذیقعده ۸۱۹ق، جا: دار السلطنه هرات؛ به نام جلال الدین سلطان با یزید کتابت شده؛ افتادگی: آغاز، اوراق نسخه آشفته و درهم تجليد گردیده و به این جهت آغاز در برگی ۹۶ قرار گرفته است و بعد شش بیت مناجات دارد در بحر هزج مسدس محذوف بوزن خسرو و شیرین نظامی که بیت آخرش: «مرا این نکته گفتن فرض عین است*** که دوزخ جای اعدای حسین است» می باشد، مجدول، مذهب؛ کاغذ: سمرقندی، جلد: چرمی، ۹۶گ، ۱۵ 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[ف: ۱-۱۷۷]</w:t>
      </w:r>
    </w:p>
    <w:p>
      <w:pPr>
        <w:pStyle w:val="BookText"/>
      </w:pPr>
      <w:r>
        <w:rPr>
          <w:rFonts w:ascii="IRNazanin" w:hAnsi="IRNazanin" w:eastAsia="IRNazanin" w:cs="IRNazanin"/>
          <w:lang w:bidi="fa-IR"/>
          <w:color w:val="111111"/>
          <w:sz w:val="28"/>
          <w:szCs w:val="28"/>
          <w:rtl/>
        </w:rPr>
        <w:t xml:space="preserve">قم: مرکز احیاء؛ شماره نسخه: ۱۰۰۵/۱</w:t>
      </w:r>
    </w:p>
    <w:p>
      <w:pPr>
        <w:pStyle w:val="BookText"/>
      </w:pPr>
      <w:r>
        <w:rPr>
          <w:rFonts w:ascii="IRNazanin" w:hAnsi="IRNazanin" w:eastAsia="IRNazanin" w:cs="IRNazanin"/>
          <w:lang w:bidi="fa-IR"/>
          <w:color w:val="111111"/>
          <w:sz w:val="28"/>
          <w:szCs w:val="28"/>
          <w:rtl/>
        </w:rPr>
        <w:t xml:space="preserve">و ۱۰۰۵/۳ نسخه اصل: همان نسخه بالا [عکسی ف: ۳-۲۵۵]</w:t>
      </w:r>
    </w:p>
    <w:p>
      <w:pPr>
        <w:pStyle w:val="BookText"/>
      </w:pPr>
      <w:r>
        <w:rPr>
          <w:rFonts w:ascii="IRNazanin" w:hAnsi="IRNazanin" w:eastAsia="IRNazanin" w:cs="IRNazanin"/>
          <w:lang w:bidi="fa-IR"/>
          <w:color w:val="111111"/>
          <w:sz w:val="28"/>
          <w:szCs w:val="28"/>
          <w:rtl/>
        </w:rPr>
        <w:t xml:space="preserve">تهران، دانشگاه؛ شماره نسخه: ۳۰۸۶/۴ -ف و ۳۰۸۶/۱ -ف</w:t>
      </w:r>
    </w:p>
    <w:p>
      <w:pPr>
        <w:pStyle w:val="BookText"/>
      </w:pPr>
      <w:r>
        <w:rPr>
          <w:rFonts w:ascii="Amiri" w:hAnsi="Amiri" w:eastAsia="Amiri" w:cs="Amiri"/>
          <w:lang w:bidi="ar-SA"/>
          <w:color w:val="111111"/>
          <w:sz w:val="28"/>
          <w:szCs w:val="28"/>
          <w:rtl/>
        </w:rPr>
        <w:t xml:space="preserve">نسخه اصل: همان نسخه بالا [فيلمها ف: ۲-۷۲ و ۶۳]</w:t>
      </w:r>
    </w:p>
    <w:p>
      <w:pPr>
        <w:pStyle w:val="BookText"/>
      </w:pPr>
      <w:r>
        <w:rPr>
          <w:rFonts w:ascii="IRNazanin" w:hAnsi="IRNazanin" w:eastAsia="IRNazanin" w:cs="IRNazanin"/>
          <w:lang w:bidi="fa-IR"/>
          <w:color w:val="111111"/>
          <w:sz w:val="28"/>
          <w:szCs w:val="28"/>
          <w:rtl/>
        </w:rPr>
        <w:t xml:space="preserve">۲. تهران: دانشگاه، شماره نسخه: ۱۰۱۵/۳۷</w:t>
      </w:r>
    </w:p>
    <w:p>
      <w:pPr>
        <w:pStyle w:val="BookText"/>
      </w:pPr>
      <w:r>
        <w:rPr>
          <w:rFonts w:ascii="IRNazanin" w:hAnsi="IRNazanin" w:eastAsia="IRNazanin" w:cs="IRNazanin"/>
          <w:lang w:bidi="fa-IR"/>
          <w:color w:val="111111"/>
          <w:sz w:val="28"/>
          <w:szCs w:val="28"/>
          <w:rtl/>
        </w:rPr>
        <w:t xml:space="preserve">آغاز: آغاز سخن بنام یزدان *** روزی ده انس و خالق جان. تا آنجا که: چون ساختی آنزمان تمامش *** «تاریخ محمدی» بنامش / منقوش بدان صفت که نامش *** خواند «دوازده امام»، ش. تا آنجا که:فهرست ایمه نام اینست *** کز بعد رسول مرسلین است / تاریخ محمدی بگویم *** زان پس بسوی ایمه یویم/ اسمه عليه الصلاة و السلام / نام است رسول را محمد *** یک جای دگر خضابش احمد؛ انجام: غایب شدنش بعشر شوال *** هشتاد و دو صد گذشته از سال / نابودن و بودنش عیانست *** گویند بگشت در جهانست / اینجا است حدیث و قصه کوتاه *** المقدرة و القضاء الله. و قد تم في 19 ذي القعدة الحرام سنة 913. خط: نسخ، بی کا، تا: ۱۹ ذیقعده ۱۱۳ق؛ کاغذ: نخودی، جلد: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557" w:name="pg20363_209878"/>
    <w:bookmarkEnd w:id="557"/>
    <w:p>
      <w:pPr>
        <w:pStyle w:val="BookText"/>
      </w:pPr>
      <w:r>
        <w:rPr>
          <w:rFonts w:ascii="IRNazanin" w:hAnsi="IRNazanin" w:eastAsia="IRNazanin" w:cs="IRNazanin"/>
          <w:lang w:bidi="fa-IR"/>
          <w:color w:val="111111"/>
          <w:sz w:val="28"/>
          <w:szCs w:val="28"/>
          <w:rtl/>
        </w:rPr>
        <w:t xml:space="preserve">تیماج حنایی، ۱۶گ( ۱۳۰-۱۴۵)،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۲-۵۲۴]</w:t>
      </w:r>
    </w:p>
    <w:p>
      <w:pPr>
        <w:pStyle w:val="Heading3"/>
      </w:pPr>
      <w:bookmarkStart w:id="2582" w:name="_Toc1842"/>
      <w:r>
        <w:t>•تاریخ محمدی (منظوم) / تاریخ پیامبران، شعر / فارسی</w:t>
      </w:r>
      <w:bookmarkEnd w:id="2582"/>
    </w:p>
    <w:p>
      <w:pPr>
        <w:pStyle w:val="BookText"/>
      </w:pPr>
      <w:r>
        <w:rPr>
          <w:rFonts w:ascii="Times New Roman" w:hAnsi="Times New Roman" w:eastAsia="Times New Roman" w:cs="Times New Roman"/>
          <w:lang w:val="en-US" w:bidi="en-US"/>
          <w:color w:val="111111"/>
          <w:sz w:val="28"/>
          <w:szCs w:val="28"/>
          <w:rtl/>
        </w:rPr>
        <w:t xml:space="preserve">tārīx-e mohammadī (manzūm)</w:t>
      </w:r>
    </w:p>
    <w:p>
      <w:pPr>
        <w:pStyle w:val="BookText"/>
      </w:pPr>
      <w:r>
        <w:rPr>
          <w:rFonts w:ascii="IRNazanin" w:hAnsi="IRNazanin" w:eastAsia="IRNazanin" w:cs="IRNazanin"/>
          <w:lang w:bidi="fa-IR"/>
          <w:color w:val="111111"/>
          <w:sz w:val="28"/>
          <w:szCs w:val="28"/>
          <w:rtl/>
        </w:rPr>
        <w:t xml:space="preserve">منظومه ای مبسوط و تاریخی که با استفاده از اشعار نغز و آبدار سیر خلقت آدم و حوا و اخراج آنها از بهشت تا جریانات بعثت پیامبر اکرم و جنگ های آن بزرگوار به نظم کشیده شده است. برخی عناوین کتاب عبارتست از: داخل نمودن جناب احدیت آدم و حوا را به بهشت و شفارش شدن به آنها که از میوه درخت</w:t>
      </w:r>
    </w:p>
    <w:p>
      <w:pPr>
        <w:pStyle w:val="BookText"/>
      </w:pPr>
      <w:r>
        <w:rPr>
          <w:rFonts w:ascii="IRNazanin" w:hAnsi="IRNazanin" w:eastAsia="IRNazanin" w:cs="IRNazanin"/>
          <w:lang w:bidi="fa-IR"/>
          <w:color w:val="111111"/>
          <w:sz w:val="28"/>
          <w:szCs w:val="28"/>
          <w:rtl/>
        </w:rPr>
        <w:t xml:space="preserve">نخورند ... رفتن شیطان بدستياری مار و طاووس به بهشت ...</w:t>
      </w:r>
    </w:p>
    <w:p>
      <w:pPr>
        <w:pStyle w:val="BookText"/>
      </w:pPr>
      <w:r>
        <w:rPr>
          <w:rFonts w:ascii="IRNazanin" w:hAnsi="IRNazanin" w:eastAsia="IRNazanin" w:cs="IRNazanin"/>
          <w:lang w:bidi="fa-IR"/>
          <w:color w:val="111111"/>
          <w:sz w:val="28"/>
          <w:szCs w:val="28"/>
          <w:rtl/>
        </w:rPr>
        <w:t xml:space="preserve">آران کاشان؛ محمد هلال؛ شماره نسخه:۹۳</w:t>
      </w:r>
    </w:p>
    <w:p>
      <w:pPr>
        <w:pStyle w:val="BookText"/>
      </w:pPr>
      <w:r>
        <w:rPr>
          <w:rFonts w:ascii="IRNazanin" w:hAnsi="IRNazanin" w:eastAsia="IRNazanin" w:cs="IRNazanin"/>
          <w:lang w:bidi="fa-IR"/>
          <w:color w:val="111111"/>
          <w:sz w:val="28"/>
          <w:szCs w:val="28"/>
          <w:rtl/>
        </w:rPr>
        <w:t xml:space="preserve">آغاز: داخل فرمودن جناب احدیت آدم و حوا را به بهشت و سفارش شدن بآنها که از میوه یکدرخت نخورند ولاتقربي هذا الشجرة .. بده ساقی آن جام یاقوت نام *** که قوت دل و دیده گردد مدام / بده ساقی آن باده سلسبيل *** که افشرده آن باده را جبرئیل / بده ساقی آن ساغر لعل رنگ *** که شوید زدلهای شوریده زنگ؛ انجام: ... روشن شدن چشم معیوب مادر ابو ایوب از معجزه رسول علام الغيوب ... که مادر صاحب خانه بود *** ازو دیده ها هر دو ویرانه بود / برآورد فریاد و احسرتاه *** که ای کاش مقدور بودم نگاه.</w:t>
      </w:r>
    </w:p>
    <w:p>
      <w:pPr>
        <w:pStyle w:val="BookText"/>
      </w:pPr>
      <w:r>
        <w:rPr>
          <w:rFonts w:ascii="IRNazanin" w:hAnsi="IRNazanin" w:eastAsia="IRNazanin" w:cs="IRNazanin"/>
          <w:lang w:bidi="fa-IR"/>
          <w:color w:val="111111"/>
          <w:sz w:val="28"/>
          <w:szCs w:val="28"/>
          <w:rtl/>
        </w:rPr>
        <w:t xml:space="preserve">خط: نستعلیق، بی کا، بی تا، افتادگی: آغاز و انجام؛ اشعار به صورت چهار ستونی؛ جلد: گالینگور آبی با عطف پارچه، ۱۶۱گ، ۱۹ سطر،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مخ:-۱۶۸]</w:t>
      </w:r>
    </w:p>
    <w:p>
      <w:pPr>
        <w:pStyle w:val="Heading3"/>
      </w:pPr>
      <w:bookmarkStart w:id="2583" w:name="_Toc1843"/>
      <w:r>
        <w:t>• تاریخ محمود شاهی / تاریخ عمومی / فارسی</w:t>
      </w:r>
      <w:bookmarkEnd w:id="2583"/>
    </w:p>
    <w:p>
      <w:pPr>
        <w:pStyle w:val="BookText"/>
      </w:pPr>
      <w:r>
        <w:rPr>
          <w:rFonts w:ascii="Times New Roman" w:hAnsi="Times New Roman" w:eastAsia="Times New Roman" w:cs="Times New Roman"/>
          <w:lang w:val="en-US" w:bidi="en-US"/>
          <w:color w:val="111111"/>
          <w:sz w:val="28"/>
          <w:szCs w:val="28"/>
          <w:rtl/>
        </w:rPr>
        <w:t xml:space="preserve">tārīx-e mahmūd-šāhī</w:t>
      </w:r>
    </w:p>
    <w:p>
      <w:pPr>
        <w:pStyle w:val="BookText"/>
      </w:pPr>
      <w:r>
        <w:rPr>
          <w:rFonts w:ascii="IRNazanin" w:hAnsi="IRNazanin" w:eastAsia="IRNazanin" w:cs="IRNazanin"/>
          <w:lang w:bidi="fa-IR"/>
          <w:color w:val="111111"/>
          <w:sz w:val="28"/>
          <w:szCs w:val="28"/>
          <w:rtl/>
        </w:rPr>
        <w:t xml:space="preserve">فيض الدين بن زین العابدین</w:t>
      </w:r>
    </w:p>
    <w:p>
      <w:pPr>
        <w:pStyle w:val="BookText"/>
      </w:pPr>
      <w:r>
        <w:rPr>
          <w:rFonts w:ascii="Times New Roman" w:hAnsi="Times New Roman" w:eastAsia="Times New Roman" w:cs="Times New Roman"/>
          <w:lang w:val="en-US" w:bidi="en-US"/>
          <w:color w:val="111111"/>
          <w:sz w:val="28"/>
          <w:szCs w:val="28"/>
          <w:rtl/>
        </w:rPr>
        <w:t xml:space="preserve">feyz-od-dīn ebn-e zayn-ol-'ābedīn</w:t>
      </w:r>
    </w:p>
    <w:p>
      <w:pPr>
        <w:pStyle w:val="BookText"/>
      </w:pPr>
      <w:r>
        <w:rPr>
          <w:rFonts w:ascii="IRNazanin" w:hAnsi="IRNazanin" w:eastAsia="IRNazanin" w:cs="IRNazanin"/>
          <w:lang w:bidi="fa-IR"/>
          <w:color w:val="111111"/>
          <w:sz w:val="28"/>
          <w:szCs w:val="28"/>
          <w:rtl/>
        </w:rPr>
        <w:t xml:space="preserve">اهداء به: سلطان محمود شاه بن محمد شاه تاریخ عمومی از زمان حضرت آدم (ع) به بعد شامل پیامبران، اصحاب، امويان، عباسیان، سلاطین و عالمان.</w:t>
      </w:r>
    </w:p>
    <w:p>
      <w:pPr>
        <w:pStyle w:val="BookText"/>
      </w:pPr>
      <w:r>
        <w:rPr>
          <w:rFonts w:ascii="IRNazanin" w:hAnsi="IRNazanin" w:eastAsia="IRNazanin" w:cs="IRNazanin"/>
          <w:lang w:bidi="fa-IR"/>
          <w:color w:val="111111"/>
          <w:sz w:val="28"/>
          <w:szCs w:val="28"/>
          <w:rtl/>
        </w:rPr>
        <w:t xml:space="preserve">تهران؛ مرکز فرهنگی خراسان؛ شماره نسخه: ۸۶عکسی</w:t>
      </w:r>
    </w:p>
    <w:p>
      <w:pPr>
        <w:pStyle w:val="BookText"/>
      </w:pPr>
      <w:r>
        <w:rPr>
          <w:rFonts w:ascii="IRNazanin" w:hAnsi="IRNazanin" w:eastAsia="IRNazanin" w:cs="IRNazanin"/>
          <w:lang w:bidi="fa-IR"/>
          <w:color w:val="111111"/>
          <w:sz w:val="28"/>
          <w:szCs w:val="28"/>
          <w:rtl/>
        </w:rPr>
        <w:t xml:space="preserve">خط: نستعلیق، بی کا، بی تا؛ ۶۴۴ گ [جنگ: ۱-۴۴۸]</w:t>
      </w:r>
    </w:p>
    <w:p>
      <w:pPr>
        <w:pStyle w:val="Heading3"/>
      </w:pPr>
      <w:bookmarkStart w:id="2584" w:name="_Toc1844"/>
      <w:r>
        <w:t>• تاریخ مختار (منظوم) / شعر، داستان / فارسی</w:t>
      </w:r>
      <w:bookmarkEnd w:id="2584"/>
    </w:p>
    <w:p>
      <w:pPr>
        <w:pStyle w:val="BookText"/>
      </w:pPr>
      <w:r>
        <w:rPr>
          <w:rFonts w:ascii="Times New Roman" w:hAnsi="Times New Roman" w:eastAsia="Times New Roman" w:cs="Times New Roman"/>
          <w:lang w:val="en-US" w:bidi="en-US"/>
          <w:color w:val="111111"/>
          <w:sz w:val="28"/>
          <w:szCs w:val="28"/>
          <w:rtl/>
        </w:rPr>
        <w:t xml:space="preserve">tārīx-e moxtār (manzūm)</w:t>
      </w:r>
    </w:p>
    <w:p>
      <w:pPr>
        <w:pStyle w:val="BookText"/>
      </w:pPr>
      <w:r>
        <w:rPr>
          <w:rFonts w:ascii="IRNazanin" w:hAnsi="IRNazanin" w:eastAsia="IRNazanin" w:cs="IRNazanin"/>
          <w:lang w:bidi="fa-IR"/>
          <w:color w:val="111111"/>
          <w:sz w:val="28"/>
          <w:szCs w:val="28"/>
          <w:rtl/>
        </w:rPr>
        <w:t xml:space="preserve">تهران؛ ملی؛ شماره نسخه: ۲۱۲۰۲</w:t>
      </w:r>
    </w:p>
    <w:p>
      <w:pPr>
        <w:pStyle w:val="BookText"/>
      </w:pPr>
      <w:r>
        <w:rPr>
          <w:rFonts w:ascii="IRNazanin" w:hAnsi="IRNazanin" w:eastAsia="IRNazanin" w:cs="IRNazanin"/>
          <w:lang w:bidi="fa-IR"/>
          <w:color w:val="111111"/>
          <w:sz w:val="28"/>
          <w:szCs w:val="28"/>
          <w:rtl/>
        </w:rPr>
        <w:t xml:space="preserve">بی کا، بی تا، خریداری از مصطفی حسینی (رایانه)</w:t>
      </w:r>
    </w:p>
    <w:p>
      <w:pPr>
        <w:pStyle w:val="BookText"/>
      </w:pPr>
      <w:r>
        <w:rPr>
          <w:rFonts w:ascii="IRNazanin" w:hAnsi="IRNazanin" w:eastAsia="IRNazanin" w:cs="IRNazanin"/>
          <w:lang w:bidi="fa-IR"/>
          <w:color w:val="111111"/>
          <w:sz w:val="28"/>
          <w:szCs w:val="28"/>
          <w:rtl/>
        </w:rPr>
        <w:t xml:space="preserve">← تاریخ مختصر← لب السير و جهان نما</w:t>
      </w:r>
    </w:p>
    <w:p>
      <w:pPr>
        <w:pStyle w:val="Heading3"/>
      </w:pPr>
      <w:bookmarkStart w:id="2585" w:name="_Toc1845"/>
      <w:r>
        <w:t>•تاریخ مختصر / تاریخ / فارسی</w:t>
      </w:r>
      <w:bookmarkEnd w:id="2585"/>
    </w:p>
    <w:p>
      <w:pPr>
        <w:pStyle w:val="BookText"/>
      </w:pPr>
      <w:r>
        <w:rPr>
          <w:rFonts w:ascii="Times New Roman" w:hAnsi="Times New Roman" w:eastAsia="Times New Roman" w:cs="Times New Roman"/>
          <w:lang w:val="en-US" w:bidi="en-US"/>
          <w:color w:val="111111"/>
          <w:sz w:val="28"/>
          <w:szCs w:val="28"/>
          <w:rtl/>
        </w:rPr>
        <w:t xml:space="preserve">tārīx-e moxtasar</w:t>
      </w:r>
    </w:p>
    <w:p>
      <w:pPr>
        <w:pStyle w:val="BookText"/>
      </w:pPr>
      <w:r>
        <w:rPr>
          <w:rFonts w:ascii="IRNazanin" w:hAnsi="IRNazanin" w:eastAsia="IRNazanin" w:cs="IRNazanin"/>
          <w:lang w:bidi="fa-IR"/>
          <w:color w:val="111111"/>
          <w:sz w:val="28"/>
          <w:szCs w:val="28"/>
          <w:rtl/>
        </w:rPr>
        <w:t xml:space="preserve">شیرازی، محمد حسین بن فخرالدین، ق۱۴ قمری</w:t>
      </w:r>
    </w:p>
    <w:p>
      <w:pPr>
        <w:pStyle w:val="BookText"/>
      </w:pPr>
      <w:r>
        <w:rPr>
          <w:rFonts w:ascii="Times New Roman" w:hAnsi="Times New Roman" w:eastAsia="Times New Roman" w:cs="Times New Roman"/>
          <w:lang w:val="en-US" w:bidi="en-US"/>
          <w:color w:val="111111"/>
          <w:sz w:val="28"/>
          <w:szCs w:val="28"/>
          <w:rtl/>
        </w:rPr>
        <w:t xml:space="preserve">šīrāzī, mohammad hoseyn ebn-e faxr-od-dīn (-20c)</w:t>
      </w:r>
    </w:p>
    <w:p>
      <w:pPr>
        <w:pStyle w:val="BookText"/>
      </w:pPr>
      <w:r>
        <w:rPr>
          <w:rFonts w:ascii="IRNazanin" w:hAnsi="IRNazanin" w:eastAsia="IRNazanin" w:cs="IRNazanin"/>
          <w:lang w:bidi="fa-IR"/>
          <w:color w:val="111111"/>
          <w:sz w:val="28"/>
          <w:szCs w:val="28"/>
          <w:rtl/>
        </w:rPr>
        <w:t xml:space="preserve">تاریخ تأليف:شوال ۱۳۱۷ق؛ محل تأليف: تهران</w:t>
      </w:r>
    </w:p>
    <w:p>
      <w:pPr>
        <w:pStyle w:val="BookText"/>
      </w:pPr>
      <w:r>
        <w:rPr>
          <w:rFonts w:ascii="IRNazanin" w:hAnsi="IRNazanin" w:eastAsia="IRNazanin" w:cs="IRNazanin"/>
          <w:lang w:bidi="fa-IR"/>
          <w:color w:val="111111"/>
          <w:sz w:val="28"/>
          <w:szCs w:val="28"/>
          <w:rtl/>
        </w:rPr>
        <w:t xml:space="preserve">مؤلف پس از تقسیم دولت ها به سه دولت اصلی: ۱. خلفای خمسه: ابوبکر، عمر، عثمان، علی، حسن، ۲. بنی امیه، ۳- بنی عباس؛ و سه دولت فرعی: ۱. علویان مصر، ۲. آل بویه ایران، ۳. سلجوقیان، به بیان تاریخ مختصر آنها جهت مراجعه خویش پرداخته است.</w:t>
      </w:r>
    </w:p>
    <w:p>
      <w:pPr>
        <w:pStyle w:val="BookText"/>
      </w:pPr>
      <w:r>
        <w:rPr>
          <w:rFonts w:ascii="IRNazanin" w:hAnsi="IRNazanin" w:eastAsia="IRNazanin" w:cs="IRNazanin"/>
          <w:lang w:bidi="fa-IR"/>
          <w:color w:val="111111"/>
          <w:sz w:val="28"/>
          <w:szCs w:val="28"/>
          <w:rtl/>
        </w:rPr>
        <w:t xml:space="preserve">اصفهان، دانشگاه؛ شماره نسخه: ۵۲</w:t>
      </w:r>
    </w:p>
    <w:p>
      <w:pPr>
        <w:pStyle w:val="BookText"/>
      </w:pPr>
      <w:r>
        <w:rPr>
          <w:rFonts w:ascii="IRNazanin" w:hAnsi="IRNazanin" w:eastAsia="IRNazanin" w:cs="IRNazanin"/>
          <w:lang w:bidi="fa-IR"/>
          <w:color w:val="111111"/>
          <w:sz w:val="28"/>
          <w:szCs w:val="28"/>
          <w:rtl/>
        </w:rPr>
        <w:t xml:space="preserve">آغاز: بدانکه دولت ها بر دو گونه است اصلی و فرعی و مراد از دولت فرعی دولتی است که بر اصلی طاری شود خط: نستعلیق، کاتب = مؤلف، بی تا؛ مصحح؛ تملك: عبدالحسین سپنتا؛ جلد: مقوایی عطف تیماج مشکی، ۱۸۸گ، مختلف السطر،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آف: ۱-۵۱]</w:t>
      </w:r>
    </w:p>
    <w:p>
      <w:pPr>
        <w:pStyle w:val="Heading3"/>
      </w:pPr>
      <w:bookmarkStart w:id="2586" w:name="_Toc1846"/>
      <w:r>
        <w:t>•تاریخ مختصر احزاب سیاسی، انقراض  قاجاریه / تاریخ ایران / فارسی</w:t>
      </w:r>
      <w:bookmarkEnd w:id="2586"/>
    </w:p>
    <w:p>
      <w:pPr>
        <w:pStyle w:val="BookText"/>
      </w:pPr>
      <w:r>
        <w:rPr>
          <w:rFonts w:ascii="Times New Roman" w:hAnsi="Times New Roman" w:eastAsia="Times New Roman" w:cs="Times New Roman"/>
          <w:lang w:val="en-US" w:bidi="en-US"/>
          <w:color w:val="111111"/>
          <w:sz w:val="28"/>
          <w:szCs w:val="28"/>
          <w:rtl/>
        </w:rPr>
        <w:t xml:space="preserve">tārīx-e moxtasar-e ahzāb-e sīyāsī, enqerāz-e qājārīye</w:t>
      </w:r>
    </w:p>
    <w:p>
      <w:pPr>
        <w:pStyle w:val="BookText"/>
      </w:pPr>
      <w:r>
        <w:rPr>
          <w:rFonts w:ascii="IRNazanin" w:hAnsi="IRNazanin" w:eastAsia="IRNazanin" w:cs="IRNazanin"/>
          <w:lang w:bidi="fa-IR"/>
          <w:color w:val="111111"/>
          <w:sz w:val="28"/>
          <w:szCs w:val="28"/>
          <w:rtl/>
        </w:rPr>
        <w:t xml:space="preserve">بهار، محمد تقی، ۱۲۶۵-۱۳۳۰ شمسی</w:t>
      </w:r>
    </w:p>
    <w:p>
      <w:pPr>
        <w:pStyle w:val="BookText"/>
      </w:pPr>
      <w:r>
        <w:rPr>
          <w:rFonts w:ascii="Times New Roman" w:hAnsi="Times New Roman" w:eastAsia="Times New Roman" w:cs="Times New Roman"/>
          <w:lang w:val="en-US" w:bidi="en-US"/>
          <w:color w:val="111111"/>
          <w:sz w:val="28"/>
          <w:szCs w:val="28"/>
          <w:rtl/>
        </w:rPr>
        <w:t xml:space="preserve">bahar, mohammad taqi (1886-1951)</w:t>
      </w:r>
    </w:p>
    <w:p>
      <w:pPr>
        <w:pStyle w:val="BookText"/>
      </w:pPr>
      <w:r>
        <w:rPr>
          <w:rFonts w:ascii="IRNazanin" w:hAnsi="IRNazanin" w:eastAsia="IRNazanin" w:cs="IRNazanin"/>
          <w:lang w:bidi="fa-IR"/>
          <w:color w:val="111111"/>
          <w:sz w:val="28"/>
          <w:szCs w:val="28"/>
          <w:rtl/>
        </w:rPr>
        <w:t xml:space="preserve">جلد یکم در بر افتادن قاجاریان.</w:t>
      </w:r>
    </w:p>
    <w:p>
      <w:pPr>
        <w:pStyle w:val="BookText"/>
      </w:pPr>
      <w:r>
        <w:rPr>
          <w:rFonts w:ascii="IRNazanin" w:hAnsi="IRNazanin" w:eastAsia="IRNazanin" w:cs="IRNazanin"/>
          <w:lang w:bidi="fa-IR"/>
          <w:color w:val="111111"/>
          <w:sz w:val="28"/>
          <w:szCs w:val="28"/>
          <w:rtl/>
        </w:rPr>
        <w:t xml:space="preserve">چاپ: مشار ۱۱۲۹/۱ (۳ چاپ، یکم: تهران، ۱۳۲۳ش)؛</w:t>
      </w:r>
    </w:p>
    <w:p>
      <w:pPr>
        <w:pStyle w:val="BookText"/>
      </w:pPr>
      <w:r>
        <w:rPr>
          <w:rFonts w:ascii="IRNazanin" w:hAnsi="IRNazanin" w:eastAsia="IRNazanin" w:cs="IRNazanin"/>
          <w:lang w:bidi="fa-IR"/>
          <w:color w:val="111111"/>
          <w:sz w:val="28"/>
          <w:szCs w:val="28"/>
          <w:rtl/>
        </w:rPr>
        <w:t xml:space="preserve">[فهرستواره منزوی ۹۰۰/۲ ]</w:t>
      </w:r>
    </w:p>
    <w:p>
      <w:pPr>
        <w:pStyle w:val="BookText"/>
      </w:pPr>
      <w:r>
        <w:rPr>
          <w:rFonts w:ascii="IRNazanin" w:hAnsi="IRNazanin" w:eastAsia="IRNazanin" w:cs="IRNazanin"/>
          <w:lang w:bidi="fa-IR"/>
          <w:color w:val="111111"/>
          <w:sz w:val="28"/>
          <w:szCs w:val="28"/>
          <w:rtl/>
        </w:rPr>
        <w:t xml:space="preserve">تهران؛ دانشگاه؛ شماره نسخه:۴۷۱۸-ف</w:t>
      </w:r>
    </w:p>
    <w:p>
      <w:pPr>
        <w:pStyle w:val="BookText"/>
      </w:pPr>
      <w:r>
        <w:rPr>
          <w:rFonts w:ascii="IRNazanin" w:hAnsi="IRNazanin" w:eastAsia="IRNazanin" w:cs="IRNazanin"/>
          <w:lang w:bidi="fa-IR"/>
          <w:color w:val="111111"/>
          <w:sz w:val="28"/>
          <w:szCs w:val="28"/>
          <w:rtl/>
        </w:rPr>
        <w:t xml:space="preserve">ج ۱؛ بی کا، بی تا؛ ۳۸۱ص [فیلمها ف: ۳-۹۵)</w:t>
      </w:r>
    </w:p>
    <w:p>
      <w:pPr>
        <w:pStyle w:val="Heading3"/>
      </w:pPr>
      <w:bookmarkStart w:id="2587" w:name="_Toc1847"/>
      <w:r>
        <w:t>•تاریخ مختصر ادبیات ایران / ادبیات / فارسی</w:t>
      </w:r>
      <w:bookmarkEnd w:id="2587"/>
    </w:p>
    <w:p>
      <w:pPr>
        <w:pStyle w:val="BookText"/>
      </w:pPr>
      <w:r>
        <w:rPr>
          <w:rFonts w:ascii="Times New Roman" w:hAnsi="Times New Roman" w:eastAsia="Times New Roman" w:cs="Times New Roman"/>
          <w:lang w:val="en-US" w:bidi="en-US"/>
          <w:color w:val="111111"/>
          <w:sz w:val="28"/>
          <w:szCs w:val="28"/>
          <w:rtl/>
        </w:rPr>
        <w:t xml:space="preserve">tārīx-e moxtasar-e adabīyāt-e īrān</w:t>
      </w:r>
    </w:p>
    <w:p>
      <w:pPr>
        <w:pStyle w:val="BookText"/>
      </w:pPr>
      <w:r>
        <w:rPr>
          <w:rFonts w:ascii="IRNazanin" w:hAnsi="IRNazanin" w:eastAsia="IRNazanin" w:cs="IRNazanin"/>
          <w:lang w:bidi="fa-IR"/>
          <w:color w:val="111111"/>
          <w:sz w:val="28"/>
          <w:szCs w:val="28"/>
          <w:rtl/>
        </w:rPr>
        <w:t xml:space="preserve">اقبال آشتیانی، عباس، ۱۲۷۶-۱۳۳۴ شمسی</w:t>
      </w:r>
    </w:p>
    <w:p>
      <w:pPr>
        <w:pStyle w:val="BookText"/>
      </w:pPr>
      <w:r>
        <w:rPr>
          <w:rFonts w:ascii="Times New Roman" w:hAnsi="Times New Roman" w:eastAsia="Times New Roman" w:cs="Times New Roman"/>
          <w:lang w:val="en-US" w:bidi="en-US"/>
          <w:color w:val="111111"/>
          <w:sz w:val="28"/>
          <w:szCs w:val="28"/>
          <w:rtl/>
        </w:rPr>
        <w:t xml:space="preserve">eqbāl-e āštīyānī, “abbās (1894-1955)</w:t>
      </w:r>
    </w:p>
    <w:p>
      <w:pPr>
        <w:pStyle w:val="BookText"/>
      </w:pPr>
      <w:r>
        <w:rPr>
          <w:rFonts w:ascii="IRNazanin" w:hAnsi="IRNazanin" w:eastAsia="IRNazanin" w:cs="IRNazanin"/>
          <w:lang w:bidi="fa-IR"/>
          <w:color w:val="111111"/>
          <w:sz w:val="28"/>
          <w:szCs w:val="28"/>
          <w:rtl/>
        </w:rPr>
        <w:t xml:space="preserve">برای دوره دوم مدارس متوسطه از قدیم ترین دوره های تاریخی تأليف میرزا عباسخان اقبال آشتیانی» که «در سه جلد منتشر » بایستی میشد: «جلد اول از ابتدای تاریخ ایران تا تشکیل سلسله سلجوقی، دوم از تشکیل سلسله سلجوقی تا ظهور امیر تیمور، سوم از ظهور امیر تیمور تايومنا هذا».</w:t>
      </w:r>
    </w:p>
    <w:p>
      <w:pPr>
        <w:pStyle w:val="BookText"/>
      </w:pPr>
      <w:r>
        <w:rPr>
          <w:rFonts w:ascii="IRNazanin" w:hAnsi="IRNazanin" w:eastAsia="IRNazanin" w:cs="IRNazanin"/>
          <w:lang w:bidi="fa-IR"/>
          <w:color w:val="111111"/>
          <w:sz w:val="28"/>
          <w:szCs w:val="28"/>
          <w:rtl/>
        </w:rPr>
        <w:t xml:space="preserve">تهران؛ دانشگاه؛ شماره نسخه:۴۹۰۵</w:t>
      </w:r>
    </w:p>
    <w:p>
      <w:pPr>
        <w:pStyle w:val="BookText"/>
      </w:pPr>
      <w:r>
        <w:rPr>
          <w:rFonts w:ascii="IRNazanin" w:hAnsi="IRNazanin" w:eastAsia="IRNazanin" w:cs="IRNazanin"/>
          <w:lang w:bidi="fa-IR"/>
          <w:color w:val="111111"/>
          <w:sz w:val="28"/>
          <w:szCs w:val="28"/>
          <w:rtl/>
        </w:rPr>
        <w:t xml:space="preserve">نسخه تا عصر سامانی است، در ۲۵۶ ص؛ خط: شکسته نستعلیق، كاتب =مؤلف، بی تا؛ کاغذ: فرنگی، جلد: تیماج سبز مقوایی تازه،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bookmarkStart w:id="558" w:name="pg20363_209879"/>
    <w:bookmarkEnd w:id="558"/>
    <w:p>
      <w:pPr>
        <w:pStyle w:val="BookText"/>
      </w:pPr>
      <w:r>
        <w:rPr>
          <w:rFonts w:ascii="IRNazanin" w:hAnsi="IRNazanin" w:eastAsia="IRNazanin" w:cs="IRNazanin"/>
          <w:lang w:bidi="fa-IR"/>
          <w:color w:val="111111"/>
          <w:sz w:val="28"/>
          <w:szCs w:val="28"/>
          <w:rtl/>
        </w:rPr>
        <w:t xml:space="preserve">۱۳۰، ۱۹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۲۳/۵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۱۴-۳۹۸۶]</w:t>
      </w:r>
    </w:p>
    <w:p>
      <w:pPr>
        <w:pStyle w:val="BookText"/>
      </w:pPr>
      <w:r>
        <w:rPr>
          <w:rFonts w:ascii="IRNazanin" w:hAnsi="IRNazanin" w:eastAsia="IRNazanin" w:cs="IRNazanin"/>
          <w:lang w:bidi="fa-IR"/>
          <w:color w:val="111111"/>
          <w:sz w:val="28"/>
          <w:szCs w:val="28"/>
          <w:rtl/>
        </w:rPr>
        <w:t xml:space="preserve">← تاریخ مختصر اروپا ← جغرافیای اروپا</w:t>
      </w:r>
    </w:p>
    <w:p>
      <w:pPr>
        <w:pStyle w:val="Heading3"/>
      </w:pPr>
      <w:bookmarkStart w:id="2588" w:name="_Toc1848"/>
      <w:r>
        <w:t>• تاریخ مختصر اسلام / تاریخ اسلام / فارسی</w:t>
      </w:r>
      <w:bookmarkEnd w:id="2588"/>
    </w:p>
    <w:p>
      <w:pPr>
        <w:pStyle w:val="BookText"/>
      </w:pPr>
      <w:r>
        <w:rPr>
          <w:rFonts w:ascii="Times New Roman" w:hAnsi="Times New Roman" w:eastAsia="Times New Roman" w:cs="Times New Roman"/>
          <w:lang w:val="en-US" w:bidi="en-US"/>
          <w:color w:val="111111"/>
          <w:sz w:val="28"/>
          <w:szCs w:val="28"/>
          <w:rtl/>
        </w:rPr>
        <w:t xml:space="preserve">tārīx-e moxtasar-e eslām</w:t>
      </w:r>
    </w:p>
    <w:p>
      <w:pPr>
        <w:pStyle w:val="BookText"/>
      </w:pPr>
      <w:r>
        <w:rPr>
          <w:rFonts w:ascii="IRNazanin" w:hAnsi="IRNazanin" w:eastAsia="IRNazanin" w:cs="IRNazanin"/>
          <w:lang w:bidi="fa-IR"/>
          <w:color w:val="111111"/>
          <w:sz w:val="28"/>
          <w:szCs w:val="28"/>
          <w:rtl/>
        </w:rPr>
        <w:t xml:space="preserve">شیرازی، محمد حسين بن فخر الدین، ق۱۴ قمری</w:t>
      </w:r>
    </w:p>
    <w:p>
      <w:pPr>
        <w:pStyle w:val="BookText"/>
      </w:pPr>
      <w:r>
        <w:rPr>
          <w:rFonts w:ascii="Times New Roman" w:hAnsi="Times New Roman" w:eastAsia="Times New Roman" w:cs="Times New Roman"/>
          <w:lang w:val="en-US" w:bidi="en-US"/>
          <w:color w:val="111111"/>
          <w:sz w:val="28"/>
          <w:szCs w:val="28"/>
          <w:rtl/>
        </w:rPr>
        <w:t xml:space="preserve">šīrāzī, mohammad hoseyn ebn-e faxr-od-dīn (-20c)</w:t>
      </w:r>
    </w:p>
    <w:p>
      <w:pPr>
        <w:pStyle w:val="BookText"/>
      </w:pPr>
      <w:r>
        <w:rPr>
          <w:rFonts w:ascii="IRNazanin" w:hAnsi="IRNazanin" w:eastAsia="IRNazanin" w:cs="IRNazanin"/>
          <w:lang w:bidi="fa-IR"/>
          <w:color w:val="111111"/>
          <w:sz w:val="28"/>
          <w:szCs w:val="28"/>
          <w:rtl/>
        </w:rPr>
        <w:t xml:space="preserve">تاریخ مختصری است از آغاز خلافت امیر مؤمنان علی (ع) تا حضرت حجت (عج) و سپس وقایع تاریخی برخی از حکمای بني العباس برخی از امامزادگان و محل دفن آنها.</w:t>
      </w:r>
    </w:p>
    <w:p>
      <w:pPr>
        <w:pStyle w:val="BookText"/>
      </w:pPr>
      <w:r>
        <w:rPr>
          <w:rFonts w:ascii="IRNazanin" w:hAnsi="IRNazanin" w:eastAsia="IRNazanin" w:cs="IRNazanin"/>
          <w:lang w:bidi="fa-IR"/>
          <w:color w:val="111111"/>
          <w:sz w:val="28"/>
          <w:szCs w:val="28"/>
          <w:rtl/>
        </w:rPr>
        <w:t xml:space="preserve">اصفهان، دانشگاه؛ شماره نسخه:۵۷</w:t>
      </w:r>
    </w:p>
    <w:p>
      <w:pPr>
        <w:pStyle w:val="BookText"/>
      </w:pPr>
      <w:r>
        <w:rPr>
          <w:rFonts w:ascii="IRNazanin" w:hAnsi="IRNazanin" w:eastAsia="IRNazanin" w:cs="IRNazanin"/>
          <w:lang w:bidi="fa-IR"/>
          <w:color w:val="111111"/>
          <w:sz w:val="28"/>
          <w:szCs w:val="28"/>
          <w:rtl/>
        </w:rPr>
        <w:t xml:space="preserve">آغاز: خلافت على عليه السلام ۳۵ هجری سنه ۶۵۵ مسیحی روز جمعه بیست و پنجم ذی حجه سال سی و پنجم هجری در بعضی اخبار است که بیعت با علی علیه السلام روز جمعه دهم ذی حجه مطابق روز دوم نوروز عجمان بوده و این درست نیاید خط: نستعلیق، کاتب = مؤلف، بی تا؛ مصحح؛ از کتابهای عبدالحسین سپنتا؛ جلد: تیماج مشکی، ۲۱۹گ، مختلف السطر،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۱-۵۴]</w:t>
      </w:r>
    </w:p>
    <w:p>
      <w:pPr>
        <w:pStyle w:val="Heading3"/>
      </w:pPr>
      <w:bookmarkStart w:id="2589" w:name="_Toc1849"/>
      <w:r>
        <w:t>•تاریخ مختصر اسلام / تاریخ اسلام / فارسی</w:t>
      </w:r>
      <w:bookmarkEnd w:id="2589"/>
    </w:p>
    <w:p>
      <w:pPr>
        <w:pStyle w:val="BookText"/>
      </w:pPr>
      <w:r>
        <w:rPr>
          <w:rFonts w:ascii="Times New Roman" w:hAnsi="Times New Roman" w:eastAsia="Times New Roman" w:cs="Times New Roman"/>
          <w:lang w:val="en-US" w:bidi="en-US"/>
          <w:color w:val="111111"/>
          <w:sz w:val="28"/>
          <w:szCs w:val="28"/>
          <w:rtl/>
        </w:rPr>
        <w:t xml:space="preserve">tārīx-e moxtasar-e eslām</w:t>
      </w:r>
    </w:p>
    <w:p>
      <w:pPr>
        <w:pStyle w:val="BookText"/>
      </w:pPr>
      <w:r>
        <w:rPr>
          <w:rFonts w:ascii="IRNazanin" w:hAnsi="IRNazanin" w:eastAsia="IRNazanin" w:cs="IRNazanin"/>
          <w:lang w:bidi="fa-IR"/>
          <w:color w:val="111111"/>
          <w:sz w:val="28"/>
          <w:szCs w:val="28"/>
          <w:rtl/>
        </w:rPr>
        <w:t xml:space="preserve">تهران؛ ملی؛ شماره نسخه: ۲۱۰۷۹</w:t>
      </w:r>
    </w:p>
    <w:p>
      <w:pPr>
        <w:pStyle w:val="BookText"/>
      </w:pPr>
      <w:r>
        <w:rPr>
          <w:rFonts w:ascii="IRNazanin" w:hAnsi="IRNazanin" w:eastAsia="IRNazanin" w:cs="IRNazanin"/>
          <w:lang w:bidi="fa-IR"/>
          <w:color w:val="111111"/>
          <w:sz w:val="28"/>
          <w:szCs w:val="28"/>
          <w:rtl/>
        </w:rPr>
        <w:t xml:space="preserve">بی کا، تا: ۱۳۰۱ ق، خریداری از رضا شیخان [رایانه ]</w:t>
      </w:r>
    </w:p>
    <w:p>
      <w:pPr>
        <w:pStyle w:val="Heading3"/>
      </w:pPr>
      <w:bookmarkStart w:id="2590" w:name="_Toc1850"/>
      <w:r>
        <w:t>•تاریخ مختصر بغداد / تاریخ / عربی</w:t>
      </w:r>
      <w:bookmarkEnd w:id="2590"/>
    </w:p>
    <w:p>
      <w:pPr>
        <w:pStyle w:val="BookText"/>
      </w:pPr>
      <w:r>
        <w:rPr>
          <w:rFonts w:ascii="Times New Roman" w:hAnsi="Times New Roman" w:eastAsia="Times New Roman" w:cs="Times New Roman"/>
          <w:lang w:val="en-US" w:bidi="en-US"/>
          <w:color w:val="111111"/>
          <w:sz w:val="28"/>
          <w:szCs w:val="28"/>
          <w:rtl/>
        </w:rPr>
        <w:t xml:space="preserve">tārīx-e moxtasar-e baqdād</w:t>
      </w:r>
    </w:p>
    <w:p>
      <w:pPr>
        <w:pStyle w:val="BookText"/>
      </w:pPr>
      <w:r>
        <w:rPr>
          <w:rFonts w:ascii="IRNazanin" w:hAnsi="IRNazanin" w:eastAsia="IRNazanin" w:cs="IRNazanin"/>
          <w:lang w:bidi="fa-IR"/>
          <w:color w:val="111111"/>
          <w:sz w:val="28"/>
          <w:szCs w:val="28"/>
          <w:rtl/>
        </w:rPr>
        <w:t xml:space="preserve">ابن عمید، جرجس بن ابی یاسر، ۶۰۲-۶۷۲ قمری</w:t>
      </w:r>
    </w:p>
    <w:p>
      <w:pPr>
        <w:pStyle w:val="BookText"/>
      </w:pPr>
      <w:r>
        <w:rPr>
          <w:rFonts w:ascii="Times New Roman" w:hAnsi="Times New Roman" w:eastAsia="Times New Roman" w:cs="Times New Roman"/>
          <w:lang w:val="en-US" w:bidi="en-US"/>
          <w:color w:val="111111"/>
          <w:sz w:val="28"/>
          <w:szCs w:val="28"/>
          <w:rtl/>
        </w:rPr>
        <w:t xml:space="preserve">ebn-e ‘amīd, jerjes ebn-e abī yāser (1206-1274)</w:t>
      </w:r>
    </w:p>
    <w:p>
      <w:pPr>
        <w:pStyle w:val="BookText"/>
      </w:pPr>
      <w:r>
        <w:rPr>
          <w:rFonts w:ascii="Amiri" w:hAnsi="Amiri" w:eastAsia="Amiri" w:cs="Amiri"/>
          <w:lang w:bidi="ar-SA"/>
          <w:color w:val="111111"/>
          <w:sz w:val="28"/>
          <w:szCs w:val="28"/>
          <w:rtl/>
        </w:rPr>
        <w:t xml:space="preserve">فهرس المخطوطات المصورة التاريخ ۹۴۶]</w:t>
      </w:r>
    </w:p>
    <w:p>
      <w:pPr>
        <w:pStyle w:val="BookText"/>
      </w:pPr>
      <w:r>
        <w:rPr>
          <w:rFonts w:ascii="IRNazanin" w:hAnsi="IRNazanin" w:eastAsia="IRNazanin" w:cs="IRNazanin"/>
          <w:lang w:bidi="fa-IR"/>
          <w:color w:val="111111"/>
          <w:sz w:val="28"/>
          <w:szCs w:val="28"/>
          <w:rtl/>
        </w:rPr>
        <w:t xml:space="preserve">تهران؛ دانشگاه؛ شماره نسخه:۱۴۱۸ف</w:t>
      </w:r>
    </w:p>
    <w:p>
      <w:pPr>
        <w:pStyle w:val="BookText"/>
      </w:pPr>
      <w:r>
        <w:rPr>
          <w:rFonts w:ascii="IRNazanin" w:hAnsi="IRNazanin" w:eastAsia="IRNazanin" w:cs="IRNazanin"/>
          <w:lang w:bidi="fa-IR"/>
          <w:color w:val="111111"/>
          <w:sz w:val="28"/>
          <w:szCs w:val="28"/>
          <w:rtl/>
        </w:rPr>
        <w:t xml:space="preserve">نسخه اصل: موزه بریتانیا 7564 .</w:t>
      </w:r>
      <w:r>
        <w:rPr>
          <w:rFonts w:ascii="Times New Roman" w:hAnsi="Times New Roman" w:eastAsia="Times New Roman" w:cs="Times New Roman"/>
          <w:lang w:val="en-US" w:bidi="en-US"/>
          <w:color w:val="111111"/>
          <w:sz w:val="28"/>
          <w:szCs w:val="28"/>
          <w:rtl/>
        </w:rPr>
        <w:t xml:space="preserve">Or. </w:t>
      </w:r>
      <w:r>
        <w:rPr>
          <w:rFonts w:ascii="IRNazanin" w:hAnsi="IRNazanin" w:eastAsia="IRNazanin" w:cs="IRNazanin"/>
          <w:lang w:bidi="fa-IR"/>
          <w:color w:val="111111"/>
          <w:sz w:val="28"/>
          <w:szCs w:val="28"/>
          <w:rtl/>
        </w:rPr>
        <w:t xml:space="preserve">الجزو الثانی؛ خط: نسخ، بی کا، بی تا، ۲۲۰گ، ۱۴ سطر [فیلمها ف: ۱-۲۹۴]</w:t>
      </w:r>
    </w:p>
    <w:p>
      <w:pPr>
        <w:pStyle w:val="Heading3"/>
      </w:pPr>
      <w:bookmarkStart w:id="2591" w:name="_Toc1851"/>
      <w:r>
        <w:t>•تاریخ مختصر پطر و روسیه / تاریخ جهان / فارسی</w:t>
      </w:r>
      <w:bookmarkEnd w:id="2591"/>
    </w:p>
    <w:p>
      <w:pPr>
        <w:pStyle w:val="BookText"/>
      </w:pPr>
      <w:r>
        <w:rPr>
          <w:rFonts w:ascii="Times New Roman" w:hAnsi="Times New Roman" w:eastAsia="Times New Roman" w:cs="Times New Roman"/>
          <w:lang w:val="en-US" w:bidi="en-US"/>
          <w:color w:val="111111"/>
          <w:sz w:val="28"/>
          <w:szCs w:val="28"/>
          <w:rtl/>
        </w:rPr>
        <w:t xml:space="preserve">tārīx-e moxtasar-e peter va rūsīye</w:t>
      </w:r>
    </w:p>
    <w:p>
      <w:pPr>
        <w:pStyle w:val="BookText"/>
      </w:pPr>
      <w:r>
        <w:rPr>
          <w:rFonts w:ascii="IRNazanin" w:hAnsi="IRNazanin" w:eastAsia="IRNazanin" w:cs="IRNazanin"/>
          <w:lang w:bidi="fa-IR"/>
          <w:color w:val="111111"/>
          <w:sz w:val="28"/>
          <w:szCs w:val="28"/>
          <w:rtl/>
        </w:rPr>
        <w:t xml:space="preserve">میرزا اکبر، ق۱۳ قمری</w:t>
      </w:r>
    </w:p>
    <w:p>
      <w:pPr>
        <w:pStyle w:val="BookText"/>
      </w:pPr>
      <w:r>
        <w:rPr>
          <w:rFonts w:ascii="Times New Roman" w:hAnsi="Times New Roman" w:eastAsia="Times New Roman" w:cs="Times New Roman"/>
          <w:lang w:val="en-US" w:bidi="en-US"/>
          <w:color w:val="111111"/>
          <w:sz w:val="28"/>
          <w:szCs w:val="28"/>
          <w:rtl/>
        </w:rPr>
        <w:t xml:space="preserve">mīrzā akbar (-19c)</w:t>
      </w:r>
    </w:p>
    <w:p>
      <w:pPr>
        <w:pStyle w:val="BookText"/>
      </w:pPr>
      <w:r>
        <w:rPr>
          <w:rFonts w:ascii="IRNazanin" w:hAnsi="IRNazanin" w:eastAsia="IRNazanin" w:cs="IRNazanin"/>
          <w:lang w:bidi="fa-IR"/>
          <w:color w:val="111111"/>
          <w:sz w:val="28"/>
          <w:szCs w:val="28"/>
          <w:rtl/>
        </w:rPr>
        <w:t xml:space="preserve">اهداء به: ناصرالدین شاه تاریخ ترجمه: ۱۲۸۳ق</w:t>
      </w:r>
    </w:p>
    <w:p>
      <w:pPr>
        <w:pStyle w:val="BookText"/>
      </w:pPr>
      <w:r>
        <w:rPr>
          <w:rFonts w:ascii="IRNazanin" w:hAnsi="IRNazanin" w:eastAsia="IRNazanin" w:cs="IRNazanin"/>
          <w:lang w:bidi="fa-IR"/>
          <w:color w:val="111111"/>
          <w:sz w:val="28"/>
          <w:szCs w:val="28"/>
          <w:rtl/>
        </w:rPr>
        <w:t xml:space="preserve">در این تاریخ از زندگی پطر و دوران فرمانروایی و جنگهای او با ممالک همسایگان سخن رفته و نیز از شیوه مملکت داری او مطالب مشروحی آمده است.</w:t>
      </w:r>
    </w:p>
    <w:p>
      <w:pPr>
        <w:pStyle w:val="BookText"/>
      </w:pPr>
      <w:r>
        <w:rPr>
          <w:rFonts w:ascii="IRNazanin" w:hAnsi="IRNazanin" w:eastAsia="IRNazanin" w:cs="IRNazanin"/>
          <w:lang w:bidi="fa-IR"/>
          <w:color w:val="111111"/>
          <w:sz w:val="28"/>
          <w:szCs w:val="28"/>
          <w:rtl/>
        </w:rPr>
        <w:t xml:space="preserve">تهران؛ ملی؛ شماره نسخه:۶۱۴</w:t>
      </w:r>
    </w:p>
    <w:p>
      <w:pPr>
        <w:pStyle w:val="BookText"/>
      </w:pPr>
      <w:r>
        <w:rPr>
          <w:rFonts w:ascii="IRNazanin" w:hAnsi="IRNazanin" w:eastAsia="IRNazanin" w:cs="IRNazanin"/>
          <w:lang w:bidi="fa-IR"/>
          <w:color w:val="111111"/>
          <w:sz w:val="28"/>
          <w:szCs w:val="28"/>
          <w:rtl/>
        </w:rPr>
        <w:t xml:space="preserve">آغاز: تاریخ جدید در بیان حکایات و احوالات پطر کبیر و سرحدات روسیه میباشد؛ انجام: و مهما امكن در خدمت پطر اقدام داشته روزگار خود را بخوبی گذرانید. خط: نستعلیق، کاتب = مؤلف، تا: ۱۰ ذیقعده ۱۲۸۳ق، جا: تهران؛ کاغذ: فرنگی، لب طلائی، جلد: تیماج سبز گل و بوته زر، ۱۱۶گ، ۱۱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۲-۱۲۴]</w:t>
      </w:r>
    </w:p>
    <w:p>
      <w:pPr>
        <w:pStyle w:val="Heading3"/>
      </w:pPr>
      <w:bookmarkStart w:id="2592" w:name="_Toc1852"/>
      <w:r>
        <w:t>• تاریخ مختصر جهان / تاریخ جهان / فارسی</w:t>
      </w:r>
      <w:bookmarkEnd w:id="2592"/>
    </w:p>
    <w:p>
      <w:pPr>
        <w:pStyle w:val="BookText"/>
      </w:pPr>
      <w:r>
        <w:rPr>
          <w:rFonts w:ascii="Times New Roman" w:hAnsi="Times New Roman" w:eastAsia="Times New Roman" w:cs="Times New Roman"/>
          <w:lang w:val="en-US" w:bidi="en-US"/>
          <w:color w:val="111111"/>
          <w:sz w:val="28"/>
          <w:szCs w:val="28"/>
          <w:rtl/>
        </w:rPr>
        <w:t xml:space="preserve">tārīx-e moxtasar-e jahān</w:t>
      </w:r>
    </w:p>
    <w:p>
      <w:pPr>
        <w:pStyle w:val="BookText"/>
      </w:pPr>
      <w:r>
        <w:rPr>
          <w:rFonts w:ascii="IRNazanin" w:hAnsi="IRNazanin" w:eastAsia="IRNazanin" w:cs="IRNazanin"/>
          <w:lang w:bidi="fa-IR"/>
          <w:color w:val="111111"/>
          <w:sz w:val="28"/>
          <w:szCs w:val="28"/>
          <w:rtl/>
        </w:rPr>
        <w:t xml:space="preserve">حکمت، علی اصغر، ۱۲۷۱-۱۳۵۹ شمسی</w:t>
      </w:r>
    </w:p>
    <w:p>
      <w:pPr>
        <w:pStyle w:val="BookText"/>
      </w:pPr>
      <w:r>
        <w:rPr>
          <w:rFonts w:ascii="Times New Roman" w:hAnsi="Times New Roman" w:eastAsia="Times New Roman" w:cs="Times New Roman"/>
          <w:lang w:val="en-US" w:bidi="en-US"/>
          <w:color w:val="111111"/>
          <w:sz w:val="28"/>
          <w:szCs w:val="28"/>
          <w:rtl/>
        </w:rPr>
        <w:t xml:space="preserve">hekmat, ‘alī asqar (1892-1980)</w:t>
      </w:r>
    </w:p>
    <w:p>
      <w:pPr>
        <w:pStyle w:val="BookText"/>
      </w:pPr>
      <w:r>
        <w:rPr>
          <w:rFonts w:ascii="IRNazanin" w:hAnsi="IRNazanin" w:eastAsia="IRNazanin" w:cs="IRNazanin"/>
          <w:lang w:bidi="fa-IR"/>
          <w:color w:val="111111"/>
          <w:sz w:val="28"/>
          <w:szCs w:val="28"/>
          <w:rtl/>
        </w:rPr>
        <w:t xml:space="preserve">مشهد؛ رضوی؛ شماره نسخه:۸۹۲۶</w:t>
      </w:r>
    </w:p>
    <w:p>
      <w:pPr>
        <w:pStyle w:val="BookText"/>
      </w:pPr>
      <w:r>
        <w:rPr>
          <w:rFonts w:ascii="IRNazanin" w:hAnsi="IRNazanin" w:eastAsia="IRNazanin" w:cs="IRNazanin"/>
          <w:lang w:bidi="fa-IR"/>
          <w:color w:val="111111"/>
          <w:sz w:val="28"/>
          <w:szCs w:val="28"/>
          <w:rtl/>
        </w:rPr>
        <w:t xml:space="preserve">آغاز: ما با یکدیگر می گوییم الوار کوهستانی؛ انجام: چین قبای قیصر و طرف کلاه کی خط: نستعلیق، کاتب = مؤلف، تا: ۱۳۳۱ق؛ کاغذ: آبی، جلد: مقوا، ۱۳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[الفبائی: ۹۹]</w:t>
      </w:r>
    </w:p>
    <w:p>
      <w:pPr>
        <w:pStyle w:val="Heading3"/>
      </w:pPr>
      <w:bookmarkStart w:id="2593" w:name="_Toc1853"/>
      <w:r>
        <w:t>•تاریخ مختصر دزفول / تاریخ / فارسی</w:t>
      </w:r>
      <w:bookmarkEnd w:id="2593"/>
    </w:p>
    <w:p>
      <w:pPr>
        <w:pStyle w:val="BookText"/>
      </w:pPr>
      <w:r>
        <w:rPr>
          <w:rFonts w:ascii="Times New Roman" w:hAnsi="Times New Roman" w:eastAsia="Times New Roman" w:cs="Times New Roman"/>
          <w:lang w:val="en-US" w:bidi="en-US"/>
          <w:color w:val="111111"/>
          <w:sz w:val="28"/>
          <w:szCs w:val="28"/>
          <w:rtl/>
        </w:rPr>
        <w:t xml:space="preserve">tārīx-e moxtasar-e dezfül</w:t>
      </w:r>
    </w:p>
    <w:p>
      <w:pPr>
        <w:pStyle w:val="BookText"/>
      </w:pPr>
      <w:r>
        <w:rPr>
          <w:rFonts w:ascii="IRNazanin" w:hAnsi="IRNazanin" w:eastAsia="IRNazanin" w:cs="IRNazanin"/>
          <w:lang w:bidi="fa-IR"/>
          <w:color w:val="111111"/>
          <w:sz w:val="28"/>
          <w:szCs w:val="28"/>
          <w:rtl/>
        </w:rPr>
        <w:t xml:space="preserve">ذهبی دزفولی، عین الدین حسین، ق ۱۴ قمری</w:t>
      </w:r>
    </w:p>
    <w:p>
      <w:pPr>
        <w:pStyle w:val="BookText"/>
      </w:pPr>
      <w:r>
        <w:rPr>
          <w:rFonts w:ascii="Times New Roman" w:hAnsi="Times New Roman" w:eastAsia="Times New Roman" w:cs="Times New Roman"/>
          <w:lang w:val="en-US" w:bidi="en-US"/>
          <w:color w:val="111111"/>
          <w:sz w:val="28"/>
          <w:szCs w:val="28"/>
          <w:rtl/>
        </w:rPr>
        <w:t xml:space="preserve">zahabī dezfūlī, ‘ayn-od-dīn hoseyn (-20c)</w:t>
      </w:r>
    </w:p>
    <w:p>
      <w:pPr>
        <w:pStyle w:val="BookText"/>
      </w:pPr>
      <w:r>
        <w:rPr>
          <w:rFonts w:ascii="IRNazanin" w:hAnsi="IRNazanin" w:eastAsia="IRNazanin" w:cs="IRNazanin"/>
          <w:lang w:bidi="fa-IR"/>
          <w:color w:val="111111"/>
          <w:sz w:val="28"/>
          <w:szCs w:val="28"/>
          <w:rtl/>
        </w:rPr>
        <w:t xml:space="preserve">رساله مختصری است در موقعیت جغرافیایی و تاریخی دزفول از اواخر صفویه تا روزگار مؤلف.</w:t>
      </w:r>
    </w:p>
    <w:p>
      <w:pPr>
        <w:pStyle w:val="BookText"/>
      </w:pPr>
      <w:r>
        <w:rPr>
          <w:rFonts w:ascii="IRNazanin" w:hAnsi="IRNazanin" w:eastAsia="IRNazanin" w:cs="IRNazanin"/>
          <w:lang w:bidi="fa-IR"/>
          <w:color w:val="111111"/>
          <w:sz w:val="28"/>
          <w:szCs w:val="28"/>
          <w:rtl/>
        </w:rPr>
        <w:t xml:space="preserve">تهران، دانشگاه؛ شماره نسخه:بدون شماره/۲</w:t>
      </w:r>
    </w:p>
    <w:p>
      <w:pPr>
        <w:pStyle w:val="BookText"/>
      </w:pPr>
      <w:r>
        <w:rPr>
          <w:rFonts w:ascii="IRNazanin" w:hAnsi="IRNazanin" w:eastAsia="IRNazanin" w:cs="IRNazanin"/>
          <w:lang w:bidi="fa-IR"/>
          <w:color w:val="111111"/>
          <w:sz w:val="28"/>
          <w:szCs w:val="28"/>
          <w:rtl/>
        </w:rPr>
        <w:t xml:space="preserve">آغاز: بسمله. یا قوت حموی در مراصد الاطلاع می گوید؛ انجام: وحشت بالمرة رفع شده. بی کا، بی تا [نشریه: ۵-۷۳۶]</w:t>
      </w:r>
    </w:p>
    <w:p>
      <w:pPr>
        <w:pStyle w:val="BookText"/>
      </w:pPr>
      <w:r>
        <w:rPr>
          <w:rFonts w:ascii="IRNazanin" w:hAnsi="IRNazanin" w:eastAsia="IRNazanin" w:cs="IRNazanin"/>
          <w:lang w:bidi="fa-IR"/>
          <w:color w:val="111111"/>
          <w:sz w:val="28"/>
          <w:szCs w:val="28"/>
          <w:rtl/>
        </w:rPr>
        <w:t xml:space="preserve">← تاریخ مختصر سلاطین ایران ← تاریخ پادشاهان ایران</w:t>
      </w:r>
    </w:p>
    <w:p>
      <w:pPr>
        <w:pStyle w:val="Heading3"/>
      </w:pPr>
      <w:bookmarkStart w:id="2594" w:name="_Toc1854"/>
      <w:r>
        <w:t>•تاریخ مختصر سلاطین قریم / تاریخ / فارسی</w:t>
      </w:r>
      <w:bookmarkEnd w:id="2594"/>
    </w:p>
    <w:p>
      <w:pPr>
        <w:pStyle w:val="BookText"/>
      </w:pPr>
      <w:r>
        <w:rPr>
          <w:rFonts w:ascii="Times New Roman" w:hAnsi="Times New Roman" w:eastAsia="Times New Roman" w:cs="Times New Roman"/>
          <w:lang w:val="en-US" w:bidi="en-US"/>
          <w:color w:val="111111"/>
          <w:sz w:val="28"/>
          <w:szCs w:val="28"/>
          <w:rtl/>
        </w:rPr>
        <w:t xml:space="preserve">tārīx-e moxtasar-e salātīn-e qoraym</w:t>
      </w:r>
    </w:p>
    <w:p>
      <w:pPr>
        <w:pStyle w:val="BookText"/>
      </w:pPr>
      <w:r>
        <w:rPr>
          <w:rFonts w:ascii="IRNazanin" w:hAnsi="IRNazanin" w:eastAsia="IRNazanin" w:cs="IRNazanin"/>
          <w:lang w:bidi="fa-IR"/>
          <w:color w:val="111111"/>
          <w:sz w:val="28"/>
          <w:szCs w:val="28"/>
          <w:rtl/>
        </w:rPr>
        <w:t xml:space="preserve">تاریخ تأليف: ۱۲۷۳ق مختصری از سلسله چنگیزیه قریم و انقراض آنها در ۱۱۹۷.</w:t>
      </w:r>
    </w:p>
    <w:p>
      <w:pPr>
        <w:pStyle w:val="BookText"/>
      </w:pPr>
      <w:r>
        <w:rPr>
          <w:rFonts w:ascii="IRNazanin" w:hAnsi="IRNazanin" w:eastAsia="IRNazanin" w:cs="IRNazanin"/>
          <w:lang w:bidi="fa-IR"/>
          <w:color w:val="111111"/>
          <w:sz w:val="28"/>
          <w:szCs w:val="28"/>
          <w:rtl/>
        </w:rPr>
        <w:t xml:space="preserve">تهران؛ ملک؛ شماره نسخه:۳۹۶۱/۵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559" w:name="pg20363_209880"/>
    <w:bookmarkEnd w:id="559"/>
    <w:p>
      <w:pPr>
        <w:pStyle w:val="BookText"/>
      </w:pPr>
      <w:r>
        <w:rPr>
          <w:rFonts w:ascii="IRNazanin" w:hAnsi="IRNazanin" w:eastAsia="IRNazanin" w:cs="IRNazanin"/>
          <w:lang w:bidi="fa-IR"/>
          <w:color w:val="111111"/>
          <w:sz w:val="28"/>
          <w:szCs w:val="28"/>
          <w:rtl/>
        </w:rPr>
        <w:t xml:space="preserve">انجام: تمت تاریخ مختصر سلاطین قریم سنه ربيع الثانی ۱۲۷۳</w:t>
      </w:r>
    </w:p>
    <w:p>
      <w:pPr>
        <w:pStyle w:val="BookText"/>
      </w:pPr>
      <w:r>
        <w:rPr>
          <w:rFonts w:ascii="IRNazanin" w:hAnsi="IRNazanin" w:eastAsia="IRNazanin" w:cs="IRNazanin"/>
          <w:lang w:bidi="fa-IR"/>
          <w:color w:val="111111"/>
          <w:sz w:val="28"/>
          <w:szCs w:val="28"/>
          <w:rtl/>
        </w:rPr>
        <w:t xml:space="preserve">خط: نستعلیق، بی کا، تا: با تاریخ ۱۳۰۶ق؛ نگارش دیگری از مجموعه ۱۲۲۷ کتابخانه ملی که رساله حاضر در آن مجموعه به صورت تفکیک نشده ضمن ش ۱۲۲۷/۳ آمده است؛ کاغذ: فرنگی خط دار، جلد: میشن زرد،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۷-۱۱۲]</w:t>
      </w:r>
    </w:p>
    <w:p>
      <w:pPr>
        <w:pStyle w:val="Heading3"/>
      </w:pPr>
      <w:bookmarkStart w:id="2595" w:name="_Toc1855"/>
      <w:r>
        <w:t>•تاريخ المختصر المصنف / تاریخ عربی</w:t>
      </w:r>
      <w:bookmarkEnd w:id="2595"/>
    </w:p>
    <w:p>
      <w:pPr>
        <w:pStyle w:val="BookText"/>
      </w:pPr>
      <w:r>
        <w:rPr>
          <w:rFonts w:ascii="Times New Roman" w:hAnsi="Times New Roman" w:eastAsia="Times New Roman" w:cs="Times New Roman"/>
          <w:lang w:val="en-US" w:bidi="en-US"/>
          <w:color w:val="111111"/>
          <w:sz w:val="28"/>
          <w:szCs w:val="28"/>
          <w:rtl/>
        </w:rPr>
        <w:t xml:space="preserve">tarix-ul muxtasar-il muSannif</w:t>
      </w:r>
    </w:p>
    <w:p>
      <w:pPr>
        <w:pStyle w:val="BookText"/>
      </w:pPr>
      <w:r>
        <w:rPr>
          <w:rFonts w:ascii="IRNazanin" w:hAnsi="IRNazanin" w:eastAsia="IRNazanin" w:cs="IRNazanin"/>
          <w:lang w:bidi="fa-IR"/>
          <w:color w:val="111111"/>
          <w:sz w:val="28"/>
          <w:szCs w:val="28"/>
          <w:rtl/>
        </w:rPr>
        <w:t xml:space="preserve">تهران؛ مجلس؛ شماره نسخه: ۹۴۶۶/۲۹</w:t>
      </w:r>
    </w:p>
    <w:p>
      <w:pPr>
        <w:pStyle w:val="BookText"/>
      </w:pPr>
      <w:r>
        <w:rPr>
          <w:rFonts w:ascii="IRNazanin" w:hAnsi="IRNazanin" w:eastAsia="IRNazanin" w:cs="IRNazanin"/>
          <w:lang w:bidi="fa-IR"/>
          <w:color w:val="111111"/>
          <w:sz w:val="28"/>
          <w:szCs w:val="28"/>
          <w:rtl/>
        </w:rPr>
        <w:t xml:space="preserve">منتخب؛ خط: نستعلیق، بی کا، تا: قرن ۱۱؛ ۳ص (۵۶-۵۸) [مختصر ف: ۸۰۹]</w:t>
      </w:r>
    </w:p>
    <w:p>
      <w:pPr>
        <w:pStyle w:val="Heading3"/>
      </w:pPr>
      <w:bookmarkStart w:id="2596" w:name="_Toc1856"/>
      <w:r>
        <w:t>•تاریخ مختصر ناپلئون بناپارت / تاریخ پادشاهان / فارسی</w:t>
      </w:r>
      <w:bookmarkEnd w:id="2596"/>
    </w:p>
    <w:p>
      <w:pPr>
        <w:pStyle w:val="BookText"/>
      </w:pPr>
      <w:r>
        <w:rPr>
          <w:rFonts w:ascii="Times New Roman" w:hAnsi="Times New Roman" w:eastAsia="Times New Roman" w:cs="Times New Roman"/>
          <w:lang w:val="en-US" w:bidi="en-US"/>
          <w:color w:val="111111"/>
          <w:sz w:val="28"/>
          <w:szCs w:val="28"/>
          <w:rtl/>
        </w:rPr>
        <w:t xml:space="preserve">tārīx-e moxtasar-e nāpel'on bonāpārt</w:t>
      </w:r>
    </w:p>
    <w:p>
      <w:pPr>
        <w:pStyle w:val="BookText"/>
      </w:pPr>
      <w:r>
        <w:rPr>
          <w:rFonts w:ascii="IRNazanin" w:hAnsi="IRNazanin" w:eastAsia="IRNazanin" w:cs="IRNazanin"/>
          <w:lang w:bidi="fa-IR"/>
          <w:color w:val="111111"/>
          <w:sz w:val="28"/>
          <w:szCs w:val="28"/>
          <w:rtl/>
        </w:rPr>
        <w:t xml:space="preserve">ريشار خان، رضا، ق ۱۴ قمری</w:t>
      </w:r>
    </w:p>
    <w:p>
      <w:pPr>
        <w:pStyle w:val="BookText"/>
      </w:pPr>
      <w:r>
        <w:rPr>
          <w:rFonts w:ascii="Times New Roman" w:hAnsi="Times New Roman" w:eastAsia="Times New Roman" w:cs="Times New Roman"/>
          <w:lang w:val="en-US" w:bidi="en-US"/>
          <w:color w:val="111111"/>
          <w:sz w:val="28"/>
          <w:szCs w:val="28"/>
          <w:rtl/>
        </w:rPr>
        <w:t xml:space="preserve">rīšār-xān, rezā (-20c)</w:t>
      </w:r>
    </w:p>
    <w:p>
      <w:pPr>
        <w:pStyle w:val="BookText"/>
      </w:pPr>
      <w:r>
        <w:rPr>
          <w:rFonts w:ascii="IRNazanin" w:hAnsi="IRNazanin" w:eastAsia="IRNazanin" w:cs="IRNazanin"/>
          <w:lang w:bidi="fa-IR"/>
          <w:color w:val="111111"/>
          <w:sz w:val="28"/>
          <w:szCs w:val="28"/>
          <w:rtl/>
        </w:rPr>
        <w:t xml:space="preserve">اهداء به: ناصرالدین شاه تاریخ تأليف: ذیحجه ۱۲۷۹ق این کتاب از نخستین روزهای ناپلئون بناپارت و مختصری از زمان لوئی شانزدهم و انقلاب کبیر فرانسه سخن آغاز می کند و بعد از امپراطوری و فتوحات خیره کننده ناپلئون مطلب سخن می راند تا آنگاه که به روزگار سختی و اسارت ناپلئون می رسد و کتاب را به پایان می برد.</w:t>
      </w:r>
    </w:p>
    <w:p>
      <w:pPr>
        <w:pStyle w:val="BookText"/>
      </w:pPr>
      <w:r>
        <w:rPr>
          <w:rFonts w:ascii="IRNazanin" w:hAnsi="IRNazanin" w:eastAsia="IRNazanin" w:cs="IRNazanin"/>
          <w:lang w:bidi="fa-IR"/>
          <w:color w:val="111111"/>
          <w:sz w:val="28"/>
          <w:szCs w:val="28"/>
          <w:rtl/>
        </w:rPr>
        <w:t xml:space="preserve">تهران؛ ملی؛ شماره نسخه:۳۵۶</w:t>
      </w:r>
    </w:p>
    <w:p>
      <w:pPr>
        <w:pStyle w:val="BookText"/>
      </w:pPr>
      <w:r>
        <w:rPr>
          <w:rFonts w:ascii="IRNazanin" w:hAnsi="IRNazanin" w:eastAsia="IRNazanin" w:cs="IRNazanin"/>
          <w:lang w:bidi="fa-IR"/>
          <w:color w:val="111111"/>
          <w:sz w:val="28"/>
          <w:szCs w:val="28"/>
          <w:rtl/>
        </w:rPr>
        <w:t xml:space="preserve">آغاز: بسمله. الحمدلله رب العالمين و الصلوة و السلام على اشرف العباد محمد صلی الله عليه و آله الى يوم الميعاد و بعد چنین مینگارد مسود این اوراق رضا ریشار؛ انجام: این است مختصری که در احوال اعليحضرت ناپلئون وعده بترقيم و تحریر دادیم. تمت (تم) الكتاب بعون ملک الوهاب في شهر ذي حجة الحرام ۱۲۷۹</w:t>
      </w:r>
    </w:p>
    <w:p>
      <w:pPr>
        <w:pStyle w:val="BookText"/>
      </w:pPr>
      <w:r>
        <w:rPr>
          <w:rFonts w:ascii="IRNazanin" w:hAnsi="IRNazanin" w:eastAsia="IRNazanin" w:cs="IRNazanin"/>
          <w:lang w:bidi="fa-IR"/>
          <w:color w:val="111111"/>
          <w:sz w:val="28"/>
          <w:szCs w:val="28"/>
          <w:rtl/>
        </w:rPr>
        <w:t xml:space="preserve">خط: شکسته نستعلیق خوش، بی کا، تا: ذیحجه ۱۲۷۹ق، جان تهران؛ مجدول؛ کاغذ: فرنگی آبی، جلد: تیماج قرمز، ۸۹گ، ۱۱ سطر (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۱-۳۴۵]</w:t>
      </w:r>
    </w:p>
    <w:p>
      <w:pPr>
        <w:pStyle w:val="Heading3"/>
      </w:pPr>
      <w:bookmarkStart w:id="2597" w:name="_Toc1857"/>
      <w:r>
        <w:t>•تاریخ مختصر یونان / تاریخ جهان / فارسی</w:t>
      </w:r>
      <w:bookmarkEnd w:id="2597"/>
    </w:p>
    <w:p>
      <w:pPr>
        <w:pStyle w:val="BookText"/>
      </w:pPr>
      <w:r>
        <w:rPr>
          <w:rFonts w:ascii="Times New Roman" w:hAnsi="Times New Roman" w:eastAsia="Times New Roman" w:cs="Times New Roman"/>
          <w:lang w:val="en-US" w:bidi="en-US"/>
          <w:color w:val="111111"/>
          <w:sz w:val="28"/>
          <w:szCs w:val="28"/>
          <w:rtl/>
        </w:rPr>
        <w:t xml:space="preserve">tārīx-e moxtasar-e yūnān</w:t>
      </w:r>
    </w:p>
    <w:p>
      <w:pPr>
        <w:pStyle w:val="BookText"/>
      </w:pPr>
      <w:r>
        <w:rPr>
          <w:rFonts w:ascii="IRNazanin" w:hAnsi="IRNazanin" w:eastAsia="IRNazanin" w:cs="IRNazanin"/>
          <w:lang w:bidi="fa-IR"/>
          <w:color w:val="111111"/>
          <w:sz w:val="28"/>
          <w:szCs w:val="28"/>
          <w:rtl/>
        </w:rPr>
        <w:t xml:space="preserve">دوروی، ویکتور</w:t>
      </w:r>
    </w:p>
    <w:p>
      <w:pPr>
        <w:pStyle w:val="BookText"/>
      </w:pPr>
      <w:r>
        <w:rPr>
          <w:rFonts w:ascii="Times New Roman" w:hAnsi="Times New Roman" w:eastAsia="Times New Roman" w:cs="Times New Roman"/>
          <w:lang w:val="en-US" w:bidi="en-US"/>
          <w:color w:val="111111"/>
          <w:sz w:val="28"/>
          <w:szCs w:val="28"/>
          <w:rtl/>
        </w:rPr>
        <w:t xml:space="preserve">dorūy, vīktor</w:t>
      </w:r>
    </w:p>
    <w:p>
      <w:pPr>
        <w:pStyle w:val="BookText"/>
      </w:pPr>
      <w:r>
        <w:rPr>
          <w:rFonts w:ascii="IRNazanin" w:hAnsi="IRNazanin" w:eastAsia="IRNazanin" w:cs="IRNazanin"/>
          <w:lang w:bidi="fa-IR"/>
          <w:color w:val="111111"/>
          <w:sz w:val="28"/>
          <w:szCs w:val="28"/>
          <w:rtl/>
        </w:rPr>
        <w:t xml:space="preserve">ترجمه از اصل فرانسوی است در تاریخ یونان. چاپ: تهران، ۱۳۱۹</w:t>
      </w:r>
    </w:p>
    <w:p>
      <w:pPr>
        <w:pStyle w:val="BookText"/>
      </w:pPr>
      <w:r>
        <w:rPr>
          <w:rFonts w:ascii="IRNazanin" w:hAnsi="IRNazanin" w:eastAsia="IRNazanin" w:cs="IRNazanin"/>
          <w:lang w:bidi="fa-IR"/>
          <w:color w:val="111111"/>
          <w:sz w:val="28"/>
          <w:szCs w:val="28"/>
          <w:rtl/>
        </w:rPr>
        <w:t xml:space="preserve">قم، گلپایگانی؛ شماره نسخه: ۷۴۴۲-۳۸۱۶۲</w:t>
      </w:r>
    </w:p>
    <w:p>
      <w:pPr>
        <w:pStyle w:val="BookText"/>
      </w:pPr>
      <w:r>
        <w:rPr>
          <w:rFonts w:ascii="IRNazanin" w:hAnsi="IRNazanin" w:eastAsia="IRNazanin" w:cs="IRNazanin"/>
          <w:lang w:bidi="fa-IR"/>
          <w:color w:val="111111"/>
          <w:sz w:val="28"/>
          <w:szCs w:val="28"/>
          <w:rtl/>
        </w:rPr>
        <w:t xml:space="preserve">آغاز: بسمله سپاس نامعود وستایش غير محدود پروردگار یگانه معبودی را سزاست که خلقت انسانی را به خلعت علم ودانش ... وبعد درخجسته اوان جهانیان ... مظفر الدین شاه قاجار .. وزیر بی نظیر ... میرزا نصر الله خان مشیرالدوله ... تاریخ مختصر یونان (کوس) فصل اول درذکر مجملی از جغرافيا؛ انجام: وارث عقل و هوش و تمدن وعلم هلتی های قدیم واقع شده اند دوباره حاصل نماید باید بسی ترقیات تازه بکند. فصل اول تا فصل ۳۶؛ خط: نستعلیق، کا: ابوالقاسم بن میرزا حبیب الله، تا: سه شنبه ۲ صفر ۱۳۲۷ق؛ جلد: گالینگور زرشکی، ۳۲۵گ، ۱۰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۲-۷۰۲]</w:t>
      </w:r>
    </w:p>
    <w:p>
      <w:pPr>
        <w:pStyle w:val="Heading3"/>
      </w:pPr>
      <w:bookmarkStart w:id="2598" w:name="_Toc1858"/>
      <w:r>
        <w:t>•تاریخ مدرسه جدید / شعر / فارسی</w:t>
      </w:r>
      <w:bookmarkEnd w:id="2598"/>
    </w:p>
    <w:p>
      <w:pPr>
        <w:pStyle w:val="BookText"/>
      </w:pPr>
      <w:r>
        <w:rPr>
          <w:rFonts w:ascii="Times New Roman" w:hAnsi="Times New Roman" w:eastAsia="Times New Roman" w:cs="Times New Roman"/>
          <w:lang w:val="en-US" w:bidi="en-US"/>
          <w:color w:val="111111"/>
          <w:sz w:val="28"/>
          <w:szCs w:val="28"/>
          <w:rtl/>
        </w:rPr>
        <w:t xml:space="preserve">tārīx-e madrese-ye jadīd</w:t>
      </w:r>
    </w:p>
    <w:p>
      <w:pPr>
        <w:pStyle w:val="BookText"/>
      </w:pPr>
      <w:r>
        <w:rPr>
          <w:rFonts w:ascii="IRNazanin" w:hAnsi="IRNazanin" w:eastAsia="IRNazanin" w:cs="IRNazanin"/>
          <w:lang w:bidi="fa-IR"/>
          <w:color w:val="111111"/>
          <w:sz w:val="28"/>
          <w:szCs w:val="28"/>
          <w:rtl/>
        </w:rPr>
        <w:t xml:space="preserve">تهران؛ مجلس؛ شماره نسخه: ۱۵۹۵۱/۱۵</w:t>
      </w:r>
    </w:p>
    <w:p>
      <w:pPr>
        <w:pStyle w:val="BookText"/>
      </w:pPr>
      <w:r>
        <w:rPr>
          <w:rFonts w:ascii="IRNazanin" w:hAnsi="IRNazanin" w:eastAsia="IRNazanin" w:cs="IRNazanin"/>
          <w:lang w:bidi="fa-IR"/>
          <w:color w:val="111111"/>
          <w:sz w:val="28"/>
          <w:szCs w:val="28"/>
          <w:rtl/>
        </w:rPr>
        <w:t xml:space="preserve">آغاز: در زمان شهنشه عادل *** که بود از همه شهان ممتاز؛ انجام: از هری گفت سال تاریخش *** در جنت شده بعالم باز</w:t>
      </w:r>
    </w:p>
    <w:p>
      <w:pPr>
        <w:pStyle w:val="BookText"/>
      </w:pPr>
      <w:r>
        <w:rPr>
          <w:rFonts w:ascii="IRNazanin" w:hAnsi="IRNazanin" w:eastAsia="IRNazanin" w:cs="IRNazanin"/>
          <w:lang w:bidi="fa-IR"/>
          <w:color w:val="111111"/>
          <w:sz w:val="28"/>
          <w:szCs w:val="28"/>
          <w:rtl/>
        </w:rPr>
        <w:t xml:space="preserve">خط: نستعلیق، بی کا، بی تا؛ مجدول محرر، کمند کشی شده، رکابه دار؛ جلد: تیماج مشکی، اص (۴۵۴)، ۲۱ سطر، اندازه: ۲۳/۵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[ف: ۴۴-۱۵۳]</w:t>
      </w:r>
    </w:p>
    <w:p>
      <w:pPr>
        <w:pStyle w:val="Heading3"/>
      </w:pPr>
      <w:bookmarkStart w:id="2599" w:name="_Toc1859"/>
      <w:r>
        <w:t>•تاریخ مدفونین بلخ و حالات سمرقند / تاریخ / فارسی</w:t>
      </w:r>
      <w:bookmarkEnd w:id="2599"/>
    </w:p>
    <w:p>
      <w:pPr>
        <w:pStyle w:val="BookText"/>
      </w:pPr>
      <w:r>
        <w:rPr>
          <w:rFonts w:ascii="Times New Roman" w:hAnsi="Times New Roman" w:eastAsia="Times New Roman" w:cs="Times New Roman"/>
          <w:lang w:val="en-US" w:bidi="en-US"/>
          <w:color w:val="111111"/>
          <w:sz w:val="28"/>
          <w:szCs w:val="28"/>
          <w:rtl/>
        </w:rPr>
        <w:t xml:space="preserve">tārīx-e madfūnīn-e balx va hālāt-e samarqand</w:t>
      </w:r>
    </w:p>
    <w:p>
      <w:pPr>
        <w:pStyle w:val="BookText"/>
      </w:pPr>
      <w:r>
        <w:rPr>
          <w:rFonts w:ascii="IRNazanin" w:hAnsi="IRNazanin" w:eastAsia="IRNazanin" w:cs="IRNazanin"/>
          <w:lang w:bidi="fa-IR"/>
          <w:color w:val="111111"/>
          <w:sz w:val="28"/>
          <w:szCs w:val="28"/>
          <w:rtl/>
        </w:rPr>
        <w:t xml:space="preserve">مجهول المؤلف. نویسنده ادعا می کند که پیکر مبارک امیر المومنین(عليه السلام) از کوفه به مزار شریف بلخ منتقل و در آنجا دفن شده است. وی درباره مزارات بلخ و سمرقند به تفصیل سخن گفته و شرح حال شخصیت های آنجا را بیان کرده است.</w:t>
      </w:r>
    </w:p>
    <w:p>
      <w:pPr>
        <w:pStyle w:val="BookText"/>
      </w:pPr>
      <w:r>
        <w:rPr>
          <w:rFonts w:ascii="IRNazanin" w:hAnsi="IRNazanin" w:eastAsia="IRNazanin" w:cs="IRNazanin"/>
          <w:lang w:bidi="fa-IR"/>
          <w:color w:val="111111"/>
          <w:sz w:val="28"/>
          <w:szCs w:val="28"/>
          <w:rtl/>
        </w:rPr>
        <w:t xml:space="preserve">تهران، مرکز فرهنگی خراسان شماره نسخه:۳۱عکسی</w:t>
      </w:r>
    </w:p>
    <w:p>
      <w:pPr>
        <w:pStyle w:val="BookText"/>
      </w:pPr>
      <w:r>
        <w:rPr>
          <w:rFonts w:ascii="IRNazanin" w:hAnsi="IRNazanin" w:eastAsia="IRNazanin" w:cs="IRNazanin"/>
          <w:lang w:bidi="fa-IR"/>
          <w:color w:val="111111"/>
          <w:sz w:val="28"/>
          <w:szCs w:val="28"/>
          <w:rtl/>
        </w:rPr>
        <w:t xml:space="preserve">نسخه اصل: اصل کتابخانه آصفیه، حیدر آباد هند؛ بی کا، بی تا جنگی: ۱-۶۸</w:t>
      </w:r>
    </w:p>
    <w:p>
      <w:pPr>
        <w:pStyle w:val="Heading3"/>
      </w:pPr>
      <w:bookmarkStart w:id="2600" w:name="_Toc1860"/>
      <w:r>
        <w:t>•تاريخ مدينة الإسلام في الذيل على تاريخ الخطيب = ذیل تاریخ بغداد / تراجم / عربی</w:t>
      </w:r>
      <w:bookmarkEnd w:id="2600"/>
    </w:p>
    <w:p>
      <w:pPr>
        <w:pStyle w:val="BookText"/>
      </w:pPr>
      <w:r>
        <w:rPr>
          <w:rFonts w:ascii="Times New Roman" w:hAnsi="Times New Roman" w:eastAsia="Times New Roman" w:cs="Times New Roman"/>
          <w:lang w:val="en-US" w:bidi="en-US"/>
          <w:color w:val="111111"/>
          <w:sz w:val="28"/>
          <w:szCs w:val="28"/>
          <w:rtl/>
        </w:rPr>
        <w:t xml:space="preserve">tārīx-u madīnat-il islām fi-d dayl ‘alā tārīx-il xațīb = dayl-e tārīx-e bağdād</w:t>
      </w:r>
    </w:p>
    <w:p>
      <w:pPr>
        <w:pStyle w:val="BookText"/>
      </w:pPr>
      <w:r>
        <w:rPr>
          <w:rFonts w:ascii="IRNazanin" w:hAnsi="IRNazanin" w:eastAsia="IRNazanin" w:cs="IRNazanin"/>
          <w:lang w:bidi="fa-IR"/>
          <w:color w:val="111111"/>
          <w:sz w:val="28"/>
          <w:szCs w:val="28"/>
          <w:rtl/>
        </w:rPr>
        <w:t xml:space="preserve">ابن نجار، محمد بن محمود، ۵۷۸-۶۴۳ قمری</w:t>
      </w:r>
    </w:p>
    <w:p>
      <w:pPr>
        <w:pStyle w:val="BookText"/>
      </w:pPr>
      <w:r>
        <w:rPr>
          <w:rFonts w:ascii="Times New Roman" w:hAnsi="Times New Roman" w:eastAsia="Times New Roman" w:cs="Times New Roman"/>
          <w:lang w:val="en-US" w:bidi="en-US"/>
          <w:color w:val="111111"/>
          <w:sz w:val="28"/>
          <w:szCs w:val="28"/>
          <w:rtl/>
        </w:rPr>
        <w:t xml:space="preserve">ebn-o najjār, mohammad ebn-e mahmūd (1183-1246)</w:t>
      </w:r>
    </w:p>
    <w:p>
      <w:pPr>
        <w:pStyle w:val="BookText"/>
      </w:pPr>
      <w:r>
        <w:rPr>
          <w:rFonts w:ascii="IRNazanin" w:hAnsi="IRNazanin" w:eastAsia="IRNazanin" w:cs="IRNazanin"/>
          <w:lang w:bidi="fa-IR"/>
          <w:color w:val="111111"/>
          <w:sz w:val="28"/>
          <w:szCs w:val="28"/>
          <w:rtl/>
        </w:rPr>
        <w:t xml:space="preserve">از ابن نجار، مورخ و محدث و قاری که از مشاهیر علما و محدثین بوده است و تألیفات زیادی داشته از جمله کتاب حاضر که ذیلی است مفصل بر تاریخ بغداد خطیب بغدادی، احمد بن علی (۳۹۲-۴۶۳ق). ابن شاكر (۶۸۱-۷۶۴ق) در «فوات الوفيات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560" w:name="pg20363_209881"/>
    <w:bookmarkEnd w:id="560"/>
    <w:p>
      <w:pPr>
        <w:pStyle w:val="BookText"/>
      </w:pPr>
      <w:r>
        <w:rPr>
          <w:rFonts w:ascii="IRNazanin" w:hAnsi="IRNazanin" w:eastAsia="IRNazanin" w:cs="IRNazanin"/>
          <w:lang w:bidi="fa-IR"/>
          <w:color w:val="111111"/>
          <w:sz w:val="28"/>
          <w:szCs w:val="28"/>
          <w:rtl/>
        </w:rPr>
        <w:t xml:space="preserve">(۲: ۲۶۴) می گوید «صنف التاريخ الذي ذيل به على تاريخ الخطيب، و استدرك فيه على الخطيب، فجاء في ثلاثين مجلدا دل على تبحره في هذا الشأن وسعة حفظه»؛ ابن کثیر (۷۰۰ ۷۷۴ق) در «البداية و النهاية» (۱۳: ۱۶۹) می گوید: «انه أكمله في ستة عشر مجلد»؛ و حاج خلیفه در «کشف الظنون» (۱: ۲۸۸): انه يتم في ثلاثين مجلد، و انه رأى المجلد السادس عشر منه في حرف العين، يذكر تراجم الرجال كالطبقات) چاپ: دکن، حیدر آباد، دائرة المعارف العثمانية، مطبعة مجلس دائرة المعارف العثمانية، ۴۵۵ص، ف ۲۰</w:t>
      </w:r>
    </w:p>
    <w:p>
      <w:pPr>
        <w:pStyle w:val="BookText"/>
      </w:pPr>
      <w:r>
        <w:rPr>
          <w:rFonts w:ascii="IRNazanin" w:hAnsi="IRNazanin" w:eastAsia="IRNazanin" w:cs="IRNazanin"/>
          <w:lang w:bidi="fa-IR"/>
          <w:color w:val="111111"/>
          <w:sz w:val="28"/>
          <w:szCs w:val="28"/>
          <w:rtl/>
        </w:rPr>
        <w:t xml:space="preserve">، ۱۳۹۸ق.</w:t>
      </w:r>
    </w:p>
    <w:p>
      <w:pPr>
        <w:pStyle w:val="BookText"/>
      </w:pPr>
      <w:r>
        <w:rPr>
          <w:rFonts w:ascii="IRNazanin" w:hAnsi="IRNazanin" w:eastAsia="IRNazanin" w:cs="IRNazanin"/>
          <w:lang w:bidi="fa-IR"/>
          <w:color w:val="111111"/>
          <w:sz w:val="28"/>
          <w:szCs w:val="28"/>
          <w:rtl/>
        </w:rPr>
        <w:t xml:space="preserve">[دنا ۷۳۷/۲ ؛ فهرست المخطوطات المصورة ش ۶۷۰ تاریخ؛ مجمع علمی عراقی ۲۵۷/۱</w:t>
      </w:r>
    </w:p>
    <w:p>
      <w:pPr>
        <w:pStyle w:val="BookText"/>
      </w:pPr>
      <w:r>
        <w:rPr>
          <w:rFonts w:ascii="IRNazanin" w:hAnsi="IRNazanin" w:eastAsia="IRNazanin" w:cs="IRNazanin"/>
          <w:lang w:bidi="fa-IR"/>
          <w:color w:val="111111"/>
          <w:sz w:val="28"/>
          <w:szCs w:val="28"/>
          <w:rtl/>
        </w:rPr>
        <w:t xml:space="preserve">و ۲۵۹/۱ و ۲۶۰/۱ ]</w:t>
      </w:r>
    </w:p>
    <w:p>
      <w:pPr>
        <w:pStyle w:val="BookText"/>
      </w:pPr>
      <w:r>
        <w:rPr>
          <w:rFonts w:ascii="IRNazanin" w:hAnsi="IRNazanin" w:eastAsia="IRNazanin" w:cs="IRNazanin"/>
          <w:lang w:bidi="fa-IR"/>
          <w:color w:val="111111"/>
          <w:sz w:val="28"/>
          <w:szCs w:val="28"/>
          <w:rtl/>
        </w:rPr>
        <w:t xml:space="preserve">۱. تهران؛ دانشگاه؛ شماره نسخه:۳۶۵۸-ف</w:t>
      </w:r>
    </w:p>
    <w:p>
      <w:pPr>
        <w:pStyle w:val="BookText"/>
      </w:pPr>
      <w:r>
        <w:rPr>
          <w:rFonts w:ascii="IRNazanin" w:hAnsi="IRNazanin" w:eastAsia="IRNazanin" w:cs="IRNazanin"/>
          <w:lang w:bidi="fa-IR"/>
          <w:color w:val="111111"/>
          <w:sz w:val="28"/>
          <w:szCs w:val="28"/>
          <w:rtl/>
        </w:rPr>
        <w:t xml:space="preserve">آغاز: بسمله و ما توفیقی الا بالله عليه توكلت. قال. عبد المغيث بن زهير بن زهير بن علوی؛ انجام: فارجع فاتر ک لهم ... فانی سمعت رسول الله صلى الله عليه و سلم يقول كفى بالمرء اثمان يضيع ... آخر المجلد العاشر من هذه النسخه و هو آخر المجلد العشرين من الاصل و نتلوه في الذي يليه ان شاالله تعالی علی بن الحسين بن ابی الحمراء و الحمد لله وحده و صلی الله على محمد و آله و صحبه و سلم و لله الحمد والمنة و حسبنا الله و نعم الوکیل نعم المولی و نعم النصیر. نسخه اصل: ظاهریه دمشق ۴۲ تاريخ في ۲. از «عبد المغيث بن زهير» است تا پایان مجلد عاشر ( آخر مجلد ۲۰ اصل) مجلد بعدی از «على بن الحسين بن ابی الحمراء» باید آغاز شود؛ خط: نسخ، بی کا، تا: قرن 49 كاتب دوبار آن را در مکتبه عمومیه دمشق در ۱۳۲۸ و ۱۷ شعبان ۱۳۳۰ خوانده است؛ تملك: ابوبکر بن رستم بن احمد بن محمود شریفی، سید اسماعيل المعزی، علمر عرب، محمد در ۱۲۰۹، حسین افندی اخی زاده مقتول، صادق در ۱۲۳۰ و ۱۲۸۷، محمد صادق بن سعد امین صالح؛ جلد: گالینگور سبز عطف میشن، ۲۲۱گ، ۲۷ سطر، اندازه: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[فیلمها ف: ۲-۲۱۵]</w:t>
      </w:r>
    </w:p>
    <w:p>
      <w:pPr>
        <w:pStyle w:val="BookText"/>
      </w:pPr>
      <w:r>
        <w:rPr>
          <w:rFonts w:ascii="IRNazanin" w:hAnsi="IRNazanin" w:eastAsia="IRNazanin" w:cs="IRNazanin"/>
          <w:lang w:bidi="fa-IR"/>
          <w:color w:val="111111"/>
          <w:sz w:val="28"/>
          <w:szCs w:val="28"/>
          <w:rtl/>
        </w:rPr>
        <w:t xml:space="preserve">مشهد؛ الهيات، شماره نسخه:۱۳۶۰۵ عکسی</w:t>
      </w:r>
    </w:p>
    <w:p>
      <w:pPr>
        <w:pStyle w:val="BookText"/>
      </w:pPr>
      <w:r>
        <w:rPr>
          <w:rFonts w:ascii="IRNazanin" w:hAnsi="IRNazanin" w:eastAsia="IRNazanin" w:cs="IRNazanin"/>
          <w:lang w:bidi="fa-IR"/>
          <w:color w:val="111111"/>
          <w:sz w:val="28"/>
          <w:szCs w:val="28"/>
          <w:rtl/>
        </w:rPr>
        <w:t xml:space="preserve">همان نسخه بالا [ف: ۳-۱۲۸۵]</w:t>
      </w:r>
    </w:p>
    <w:p>
      <w:pPr>
        <w:pStyle w:val="BookText"/>
      </w:pPr>
      <w:r>
        <w:rPr>
          <w:rFonts w:ascii="IRNazanin" w:hAnsi="IRNazanin" w:eastAsia="IRNazanin" w:cs="IRNazanin"/>
          <w:lang w:bidi="fa-IR"/>
          <w:color w:val="111111"/>
          <w:sz w:val="28"/>
          <w:szCs w:val="28"/>
          <w:rtl/>
        </w:rPr>
        <w:t xml:space="preserve">۲. مشهد؛ رضوی؛ شماره نسخه:۲۹۷۶۳</w:t>
      </w:r>
    </w:p>
    <w:p>
      <w:pPr>
        <w:pStyle w:val="BookText"/>
      </w:pPr>
      <w:r>
        <w:rPr>
          <w:rFonts w:ascii="IRNazanin" w:hAnsi="IRNazanin" w:eastAsia="IRNazanin" w:cs="IRNazanin"/>
          <w:lang w:bidi="fa-IR"/>
          <w:color w:val="111111"/>
          <w:sz w:val="28"/>
          <w:szCs w:val="28"/>
          <w:rtl/>
        </w:rPr>
        <w:t xml:space="preserve">آغاز: بسمله. اخبرنا الامام الفاضل العلامه محب الدين ابوعبدالله محمد بن محمود بن الحسن بن النجار البغدادی؛ انجام: لولا قتل عبید الله وفي رواية أخرى قتل يوم صفين و ليس شئی قد تم هذه الرساله. بی کا، تا: قرن ۱۰؛ ضميمه نسخه ش ۱۷۱۸۱؛ کاغذ: حنایی، جلد: تیماج ضربی، ۲۱ سطر ( ۱۳/۳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۷/۳ )، اندازه: ۱۸/۲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۱۱/۷ سم [رایانه]</w:t>
      </w:r>
    </w:p>
    <w:p>
      <w:pPr>
        <w:pStyle w:val="Heading3"/>
      </w:pPr>
      <w:bookmarkStart w:id="2601" w:name="_Toc1861"/>
      <w:r>
        <w:t>•تاريخ مدينة دمشق / تاریخ عربی</w:t>
      </w:r>
      <w:bookmarkEnd w:id="2601"/>
    </w:p>
    <w:p>
      <w:pPr>
        <w:pStyle w:val="BookText"/>
      </w:pPr>
      <w:r>
        <w:rPr>
          <w:rFonts w:ascii="Times New Roman" w:hAnsi="Times New Roman" w:eastAsia="Times New Roman" w:cs="Times New Roman"/>
          <w:lang w:val="en-US" w:bidi="en-US"/>
          <w:color w:val="111111"/>
          <w:sz w:val="28"/>
          <w:szCs w:val="28"/>
          <w:rtl/>
        </w:rPr>
        <w:t xml:space="preserve">tārīx-u madīnat-i dimišq</w:t>
      </w:r>
    </w:p>
    <w:p>
      <w:pPr>
        <w:pStyle w:val="BookText"/>
      </w:pPr>
      <w:r>
        <w:rPr>
          <w:rFonts w:ascii="IRNazanin" w:hAnsi="IRNazanin" w:eastAsia="IRNazanin" w:cs="IRNazanin"/>
          <w:lang w:bidi="fa-IR"/>
          <w:color w:val="111111"/>
          <w:sz w:val="28"/>
          <w:szCs w:val="28"/>
          <w:rtl/>
        </w:rPr>
        <w:t xml:space="preserve">ابن عساکر، علی بن حسن، ۴۹۹-۵۷۱ قمری</w:t>
      </w:r>
    </w:p>
    <w:p>
      <w:pPr>
        <w:pStyle w:val="BookText"/>
      </w:pPr>
      <w:r>
        <w:rPr>
          <w:rFonts w:ascii="Times New Roman" w:hAnsi="Times New Roman" w:eastAsia="Times New Roman" w:cs="Times New Roman"/>
          <w:lang w:val="en-US" w:bidi="en-US"/>
          <w:color w:val="111111"/>
          <w:sz w:val="28"/>
          <w:szCs w:val="28"/>
          <w:rtl/>
        </w:rPr>
        <w:t xml:space="preserve">ebn-e ‘asāker, ‘alī ebn-e hasan (1106-1176)</w:t>
      </w:r>
    </w:p>
    <w:p>
      <w:pPr>
        <w:pStyle w:val="BookText"/>
      </w:pPr>
      <w:r>
        <w:rPr>
          <w:rFonts w:ascii="IRNazanin" w:hAnsi="IRNazanin" w:eastAsia="IRNazanin" w:cs="IRNazanin"/>
          <w:lang w:bidi="fa-IR"/>
          <w:color w:val="111111"/>
          <w:sz w:val="28"/>
          <w:szCs w:val="28"/>
          <w:rtl/>
        </w:rPr>
        <w:t xml:space="preserve">تاریخ تأليف: ۵۶۵ق جامع ترین و بزرگ ترین کتابی است که در تاریخ دمشق نوشته شده است؛ مشتمل است بر ذکر احوال اشخاصی که به این منطقه وارد شده اند، از: اولیاء و هداة و خلفاء و ولاة و فقهاء و قضاة و علماء و بزرگان از قراء و رواة و ادباء و شعراء، و جرح و تعدیل آنان. مؤلف، کتاب را به ترتیب حروف معجم مرتب نموده است، الا اینکه تیمنا نام نامی و اسم گرامی پیامبر اکرم(صلی الله علیه وآله وسلم)(احمد) و اشخاصی که به این نام بوده اند بر دیگران مقدم داشته است. همچنین در آغاز کتاب، ابوابی چند مشتمل بر اخبار در فضیلت شام، و مناقب اهل آن آورده است. حاجی خلیفه، و حاله این کتاب را در هشتاد مجلد نوشته اند. چاپ: دمشق، مطبوعات المجمع العلمي العربي؛ نشره: صلاح الدين المنجد ، بيروت.</w:t>
      </w:r>
    </w:p>
    <w:p>
      <w:pPr>
        <w:pStyle w:val="BookText"/>
      </w:pPr>
      <w:r>
        <w:rPr>
          <w:rFonts w:ascii="IRNazanin" w:hAnsi="IRNazanin" w:eastAsia="IRNazanin" w:cs="IRNazanin"/>
          <w:lang w:bidi="fa-IR"/>
          <w:color w:val="111111"/>
          <w:sz w:val="28"/>
          <w:szCs w:val="28"/>
          <w:rtl/>
        </w:rPr>
        <w:t xml:space="preserve">[دنا ۷۳۷/۲ ؛ کشف الظنون ۲۹۴/۱ ؛ معجم المؤلفين ۶۹/۷ بروکلمان ۱/( ۴۰۳۳۳۱؛ المخطوطات المصورة التاريخ ۱۲۵ و ۶۰۲ و ۹۶۴؛ سرکیس، معجم ۱۸۲/۱ «التاريخ الكبير» و «تهذیب تاریخ ابن عساکر»]</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تاریخ دمشق (مختصر)؛ ابن منظور، محمد بن مکرم (۶۳۰-۷۱۱)</w:t>
      </w:r>
    </w:p>
    <w:p>
      <w:pPr>
        <w:pStyle w:val="BookText"/>
      </w:pPr>
      <w:r>
        <w:rPr>
          <w:rFonts w:ascii="IRNazanin" w:hAnsi="IRNazanin" w:eastAsia="IRNazanin" w:cs="IRNazanin"/>
          <w:lang w:bidi="fa-IR"/>
          <w:color w:val="111111"/>
          <w:sz w:val="28"/>
          <w:szCs w:val="28"/>
          <w:rtl/>
        </w:rPr>
        <w:t xml:space="preserve">۱. قم: مرعشی؛ شماره نسخه: ۱۱۳۹</w:t>
      </w:r>
    </w:p>
    <w:p>
      <w:pPr>
        <w:pStyle w:val="BookText"/>
      </w:pPr>
      <w:r>
        <w:rPr>
          <w:rFonts w:ascii="IRNazanin" w:hAnsi="IRNazanin" w:eastAsia="IRNazanin" w:cs="IRNazanin"/>
          <w:lang w:bidi="fa-IR"/>
          <w:color w:val="111111"/>
          <w:sz w:val="28"/>
          <w:szCs w:val="28"/>
          <w:rtl/>
        </w:rPr>
        <w:t xml:space="preserve">نسخه اصل: کتابخانه سعیدیه حیدر آباد دکن در هند. جزءهای ۱۴۲ تا ۱۴۹ ؛ خط: نسخ، بی کا، تا: قرن ۶، از عصر مؤلف؛ این نسخه را فرزند مؤلف (قاسم بن علی) بر مؤلف خوانده و در اجزاء مختلف آن سماع او بر مؤلف در تاریخ ۵۷۰ق ثبت شده، در ابتدا و انتهای اجزای مختلف نسخه گواهی سماع از افراد متعدد و در تاریخ های مختلف از جمله در سال ۶۱۶ و ۶۲۶ق ثبت شده، صفحات نسخه در این تصویر جابجا شده و کیفیت تصویر چندان</w:t>
      </w:r>
    </w:p>
    <w:p>
      <w:pPr>
        <w:pStyle w:val="BookText"/>
      </w:pPr>
      <w:r>
        <w:rPr>
          <w:rFonts w:ascii="IRNazanin" w:hAnsi="IRNazanin" w:eastAsia="IRNazanin" w:cs="IRNazanin"/>
          <w:lang w:bidi="fa-IR"/>
          <w:color w:val="111111"/>
          <w:sz w:val="28"/>
          <w:szCs w:val="28"/>
          <w:rtl/>
        </w:rPr>
        <w:t xml:space="preserve">مطلوب نیست؛ ۳۶۶ص، ۲۲سطر [عکسی ف: ۳-۲۸۸]</w:t>
      </w:r>
    </w:p>
    <w:p>
      <w:pPr>
        <w:pStyle w:val="BookText"/>
      </w:pPr>
      <w:r>
        <w:rPr>
          <w:rFonts w:ascii="IRNazanin" w:hAnsi="IRNazanin" w:eastAsia="IRNazanin" w:cs="IRNazanin"/>
          <w:lang w:bidi="fa-IR"/>
          <w:color w:val="111111"/>
          <w:sz w:val="28"/>
          <w:szCs w:val="28"/>
          <w:rtl/>
        </w:rPr>
        <w:t xml:space="preserve">۲. قم؛ مرعشی؛ شماره نسخه: ۷۵۰عکسی</w:t>
      </w:r>
    </w:p>
    <w:p>
      <w:pPr>
        <w:pStyle w:val="BookText"/>
      </w:pPr>
      <w:r>
        <w:rPr>
          <w:rFonts w:ascii="IRNazanin" w:hAnsi="IRNazanin" w:eastAsia="IRNazanin" w:cs="IRNazanin"/>
          <w:lang w:bidi="fa-IR"/>
          <w:color w:val="111111"/>
          <w:sz w:val="28"/>
          <w:szCs w:val="28"/>
          <w:rtl/>
        </w:rPr>
        <w:t xml:space="preserve">آغاز: و ابوالحسن محمد بن احمد بن محمد ... عن أبي عبيدة بن حذيفه قال: كنت اسأل عن حديث عدي بن حاتم، انجام: فقال ابو ذهيل لعبد الله بن صفوان في وعيده لعمه ابی ریحانه و اسم ابی ریحانه على ... كلا و بیل. نسخه اصل: چستربیتی، ش ۴۱۰۵ (اربری، فهرست خطی عربی ۳۳/۵ ).</w:t>
      </w:r>
    </w:p>
    <w:p>
      <w:pPr>
        <w:pStyle w:val="BookText"/>
      </w:pPr>
      <w:r>
        <w:rPr>
          <w:rFonts w:ascii="IRNazanin" w:hAnsi="IRNazanin" w:eastAsia="IRNazanin" w:cs="IRNazanin"/>
          <w:lang w:bidi="fa-IR"/>
          <w:color w:val="111111"/>
          <w:sz w:val="28"/>
          <w:szCs w:val="28"/>
          <w:rtl/>
        </w:rPr>
        <w:t xml:space="preserve">از اوایل ترجمه «عدی بن حاتم» تا اواسط ترجمه «علی بن أسيد بن أحيحة بن خلف بن ذهب ابن حذافة أبو ريحانظ القرشی الجمحی»؛ خط: نسخ، بی کا، تا: قرن ۱۹ افتادگی: آغاز و انجام؛ مصحح؛ ۳۱۵، ۲۵سطر [عکسی ف: ۲-۲۳۷]</w:t>
      </w:r>
    </w:p>
    <w:p>
      <w:pPr>
        <w:pStyle w:val="BookText"/>
      </w:pPr>
      <w:r>
        <w:rPr>
          <w:rFonts w:ascii="IRNazanin" w:hAnsi="IRNazanin" w:eastAsia="IRNazanin" w:cs="IRNazanin"/>
          <w:lang w:bidi="fa-IR"/>
          <w:color w:val="111111"/>
          <w:sz w:val="28"/>
          <w:szCs w:val="28"/>
          <w:rtl/>
        </w:rPr>
        <w:t xml:space="preserve">٣. قم؛ مرعشی؛ شماره نسخه: ۵۹۷عکسی و ۸۱۴ عکسی</w:t>
      </w:r>
    </w:p>
    <w:p>
      <w:pPr>
        <w:pStyle w:val="BookText"/>
      </w:pPr>
      <w:r>
        <w:rPr>
          <w:rFonts w:ascii="IRNazanin" w:hAnsi="IRNazanin" w:eastAsia="IRNazanin" w:cs="IRNazanin"/>
          <w:lang w:bidi="fa-IR"/>
          <w:color w:val="111111"/>
          <w:sz w:val="28"/>
          <w:szCs w:val="28"/>
          <w:rtl/>
        </w:rPr>
        <w:t xml:space="preserve">آغاز: اخبرنا والدي الحافظ ابوالقاسم علی بن الحسن رحمه الله بقرأتی عليه قال: الحمدلله خالق الارواح و بارى الاجسام انجام: قال: كان اسحق يميل الى قول مالك ... و الله سبحانه و تعالی اعلم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بالصواب و اليه المرجع و الماب، نجز الجزء الأول ...</w:t>
      </w:r>
    </w:p>
    <w:p>
      <w:pPr>
        <w:pStyle w:val="BookText"/>
      </w:pPr>
      <w:r>
        <w:rPr>
          <w:rFonts w:ascii="IRNazanin" w:hAnsi="IRNazanin" w:eastAsia="IRNazanin" w:cs="IRNazanin"/>
          <w:lang w:bidi="fa-IR"/>
          <w:color w:val="111111"/>
          <w:sz w:val="28"/>
          <w:szCs w:val="28"/>
          <w:rtl/>
        </w:rPr>
        <w:t xml:space="preserve">نسخه اصل: سلطان احمد ثالث استانبول، ش ۲۸۸۷/۱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فهرست عربی طوپ قاپی</w:t>
      </w:r>
    </w:p>
    <w:p>
      <w:pPr>
        <w:pStyle w:val="BookText"/>
      </w:pPr>
      <w:r>
        <w:rPr>
          <w:rFonts w:ascii="IRNazanin" w:hAnsi="IRNazanin" w:eastAsia="IRNazanin" w:cs="IRNazanin"/>
          <w:lang w:bidi="fa-IR"/>
          <w:color w:val="111111"/>
          <w:sz w:val="28"/>
          <w:szCs w:val="28"/>
          <w:rtl/>
        </w:rPr>
        <w:t xml:space="preserve">۴۴۸/۳ ). از اول تا اواخر ترجمه إسحاق بن إبراهيم بن مخلد؛ خط: نسخ، بی کا، تا: قرن ۱۰؛ مصحح؛ تملک: فيض اليه المفتي في السلطنة العثمانية به تاریخ ۱۱۱۰؛ ۵۷۶گ،</w:t>
      </w:r>
    </w:p>
    <w:p>
      <w:pPr>
        <w:pStyle w:val="BookText"/>
      </w:pPr>
      <w:r>
        <w:rPr>
          <w:rFonts w:ascii="IRNazanin" w:hAnsi="IRNazanin" w:eastAsia="IRNazanin" w:cs="IRNazanin"/>
          <w:lang w:bidi="fa-IR"/>
          <w:color w:val="111111"/>
          <w:sz w:val="28"/>
          <w:szCs w:val="28"/>
          <w:rtl/>
        </w:rPr>
        <w:t xml:space="preserve">۳۹سطر [عکسی ف: ۲-۸۶ و ۲۹۰]</w:t>
      </w:r>
    </w:p>
    <w:p>
      <w:pPr>
        <w:pStyle w:val="BookText"/>
      </w:pPr>
      <w:r>
        <w:rPr>
          <w:rFonts w:ascii="IRNazanin" w:hAnsi="IRNazanin" w:eastAsia="IRNazanin" w:cs="IRNazanin"/>
          <w:lang w:bidi="fa-IR"/>
          <w:color w:val="111111"/>
          <w:sz w:val="28"/>
          <w:szCs w:val="28"/>
          <w:rtl/>
        </w:rPr>
        <w:t xml:space="preserve">۴. قم؛ مرعشی؛ شماره نسخه:۵۹۸عکسی و ۸۱۵ عکسی</w:t>
      </w:r>
    </w:p>
    <w:p>
      <w:pPr>
        <w:pStyle w:val="BookText"/>
      </w:pPr>
      <w:r>
        <w:rPr>
          <w:rFonts w:ascii="Amiri" w:hAnsi="Amiri" w:eastAsia="Amiri" w:cs="Amiri"/>
          <w:lang w:bidi="ar-SA"/>
          <w:color w:val="111111"/>
          <w:sz w:val="28"/>
          <w:szCs w:val="28"/>
          <w:rtl/>
        </w:rPr>
        <w:t xml:space="preserve">آغاز: اخبرنا ابو سعد المطرز و ابو على الحداد و ابوالقسم غانم بن محمد بن عبدالله اجازة؛ انجام: اخبرنا ابوالقاسم ... انا ابو احمد قال: ابن ضميره منكر الحديث و صعفه ... اخر الجزء السبعين بعد المائة نسخه اصل: سلطان احمد ثالث - استانبول، ش ۲۸۸۷/۲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فهرست</w:t>
      </w:r>
    </w:p>
    <w:p>
      <w:pPr>
        <w:pStyle w:val="BookText"/>
      </w:pPr>
      <w:r>
        <w:rPr>
          <w:rFonts w:ascii="IRNazanin" w:hAnsi="IRNazanin" w:eastAsia="IRNazanin" w:cs="IRNazanin"/>
          <w:lang w:bidi="fa-IR"/>
          <w:color w:val="111111"/>
          <w:sz w:val="28"/>
          <w:szCs w:val="28"/>
          <w:rtl/>
        </w:rPr>
        <w:t xml:space="preserve">عربی طوپ قاپی ۴۴۹/۳ ). از اواخر ترجمه إسحاق بن ابراهیم تا آخر ترجمه حسین بن عبدالله بن ضميره؛ خط: نسخ، بی کا، تا: قرن ۱۰؛ روی صفحه عنوان «الجزء الثانی» ثبت شده، مصحح؛ تملک فیض الله مفتي السلطنة العثمانية به تاریخ ۱۱۱۰ق؛ ۵۲۶گ، ۳۹سطر</w:t>
      </w:r>
    </w:p>
    <w:p>
      <w:pPr>
        <w:pStyle w:val="BookText"/>
      </w:pPr>
      <w:r>
        <w:rPr>
          <w:rFonts w:ascii="IRNazanin" w:hAnsi="IRNazanin" w:eastAsia="IRNazanin" w:cs="IRNazanin"/>
          <w:lang w:bidi="fa-IR"/>
          <w:color w:val="111111"/>
          <w:sz w:val="28"/>
          <w:szCs w:val="28"/>
          <w:rtl/>
        </w:rPr>
        <w:t xml:space="preserve">عکسی ف: ۲-۸۷ و ۲۹۱]</w:t>
      </w:r>
    </w:p>
    <w:p>
      <w:pPr>
        <w:pStyle w:val="BookText"/>
      </w:pPr>
      <w:r>
        <w:rPr>
          <w:rFonts w:ascii="IRNazanin" w:hAnsi="IRNazanin" w:eastAsia="IRNazanin" w:cs="IRNazanin"/>
          <w:lang w:bidi="fa-IR"/>
          <w:color w:val="111111"/>
          <w:sz w:val="28"/>
          <w:szCs w:val="28"/>
          <w:rtl/>
        </w:rPr>
        <w:t xml:space="preserve">تهران؛ دائرة المعارف، شماره نسخه:۴۰۵-عکسی</w:t>
      </w:r>
    </w:p>
    <w:p>
      <w:pPr>
        <w:pStyle w:val="BookText"/>
      </w:pPr>
      <w:r>
        <w:rPr>
          <w:rFonts w:ascii="IRNazanin" w:hAnsi="IRNazanin" w:eastAsia="IRNazanin" w:cs="IRNazanin"/>
          <w:lang w:bidi="fa-IR"/>
          <w:color w:val="111111"/>
          <w:sz w:val="28"/>
          <w:szCs w:val="28"/>
          <w:rtl/>
        </w:rPr>
        <w:t xml:space="preserve">نسخه اصل: همان نسخه اصل بالا [عکسی ف: ۲-۵۴]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مرعشی؛ شماره نسخه: ۵۹۹ عکسی و ۸۱۶ عکسی</w:t>
      </w:r>
    </w:p>
    <w:p>
      <w:pPr>
        <w:pStyle w:val="BookText"/>
      </w:pPr>
      <w:r>
        <w:rPr>
          <w:rFonts w:ascii="IRNazanin" w:hAnsi="IRNazanin" w:eastAsia="IRNazanin" w:cs="IRNazanin"/>
          <w:lang w:bidi="fa-IR"/>
          <w:color w:val="111111"/>
          <w:sz w:val="28"/>
          <w:szCs w:val="28"/>
          <w:rtl/>
        </w:rPr>
        <w:t xml:space="preserve">آغاز: الحسين بن عبدالله بن محمد بن اسحاق بن ابراهيم بن زهير المعروف بابن ابو کامل؛ انجام: قال يحيى الوديعة الحر الشديد، و الله سبحانه و تعالی اعلم بالصواب و اليه المرجع و المآب، نجز الجزء الثالث ... نسخه اصل: سلطان احمد ثالث استانبول، ش ۲۸۸۷/3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فهرست عربی طوپ قاپی</w:t>
      </w:r>
    </w:p>
    <w:p>
      <w:pPr>
        <w:pStyle w:val="BookText"/>
      </w:pPr>
      <w:r>
        <w:rPr>
          <w:rFonts w:ascii="IRNazanin" w:hAnsi="IRNazanin" w:eastAsia="IRNazanin" w:cs="IRNazanin"/>
          <w:lang w:bidi="fa-IR"/>
          <w:color w:val="111111"/>
          <w:sz w:val="28"/>
          <w:szCs w:val="28"/>
          <w:rtl/>
        </w:rPr>
        <w:t xml:space="preserve">۴۴۹/</w:t>
      </w:r>
    </w:p>
    <w:p>
      <w:pPr>
        <w:pStyle w:val="BookText"/>
      </w:pPr>
      <w:r>
        <w:rPr>
          <w:rFonts w:ascii="IRNazanin" w:hAnsi="IRNazanin" w:eastAsia="IRNazanin" w:cs="IRNazanin"/>
          <w:lang w:bidi="fa-IR"/>
          <w:color w:val="111111"/>
          <w:sz w:val="28"/>
          <w:szCs w:val="28"/>
          <w:rtl/>
        </w:rPr>
        <w:t xml:space="preserve">). از حسین بن عبد الله بن محمد تا اواسط ترجمه زیاد بن عبيد؛ خط: نسخ، بی کا، تا: قرن ۱۰؛ مصحح؛ تملک: فیض</w:t>
      </w:r>
    </w:p>
    <w:p>
      <w:pPr>
        <w:pStyle w:val="BookText"/>
      </w:pPr>
      <w:r>
        <w:rPr>
          <w:rFonts w:ascii="IRNazanin" w:hAnsi="IRNazanin" w:eastAsia="IRNazanin" w:cs="IRNazanin"/>
          <w:lang w:bidi="fa-IR"/>
          <w:color w:val="111111"/>
          <w:sz w:val="28"/>
          <w:szCs w:val="28"/>
          <w:rtl/>
        </w:rPr>
        <w:t xml:space="preserve">الله مفتی سلطنة عثمانية؛ ۴۳۴گ، ۳۹ سطر [عکسی</w:t>
      </w:r>
    </w:p>
    <w:p>
      <w:pPr>
        <w:pStyle w:val="BookText"/>
      </w:pPr>
      <w:r>
        <w:rPr>
          <w:rFonts w:ascii="IRNazanin" w:hAnsi="IRNazanin" w:eastAsia="IRNazanin" w:cs="IRNazanin"/>
          <w:lang w:bidi="fa-IR"/>
          <w:color w:val="111111"/>
          <w:sz w:val="28"/>
          <w:szCs w:val="28"/>
          <w:rtl/>
        </w:rPr>
        <w:t xml:space="preserve">ف: ۲-۸۸ و ۲۹۱] تهران؛ دائرة المعارف؛ شماره نسخه:۴۱۷-عکسی</w:t>
      </w:r>
    </w:p>
    <w:p>
      <w:pPr>
        <w:pStyle w:val="BookText"/>
      </w:pPr>
      <w:r>
        <w:rPr>
          <w:rFonts w:ascii="IRNazanin" w:hAnsi="IRNazanin" w:eastAsia="IRNazanin" w:cs="IRNazanin"/>
          <w:lang w:bidi="fa-IR"/>
          <w:color w:val="111111"/>
          <w:sz w:val="28"/>
          <w:szCs w:val="28"/>
          <w:rtl/>
        </w:rPr>
        <w:t xml:space="preserve">نسخه اصل: همان نسخه اصل بالا [عکسی ف: ۲-۵۳]</w:t>
      </w:r>
    </w:p>
    <w:p>
      <w:pPr>
        <w:pStyle w:val="BookText"/>
      </w:pPr>
      <w:r>
        <w:rPr>
          <w:rFonts w:ascii="IRNazanin" w:hAnsi="IRNazanin" w:eastAsia="IRNazanin" w:cs="IRNazanin"/>
          <w:lang w:bidi="fa-IR"/>
          <w:color w:val="111111"/>
          <w:sz w:val="28"/>
          <w:szCs w:val="28"/>
          <w:rtl/>
        </w:rPr>
        <w:t xml:space="preserve">۶. قم؛ مرعشی؛ شماره نسخه: ۶۰۰عکسی و ۸۱۷ عکسی</w:t>
      </w:r>
    </w:p>
    <w:p>
      <w:pPr>
        <w:pStyle w:val="BookText"/>
      </w:pPr>
      <w:r>
        <w:rPr>
          <w:rFonts w:ascii="IRNazanin" w:hAnsi="IRNazanin" w:eastAsia="IRNazanin" w:cs="IRNazanin"/>
          <w:lang w:bidi="fa-IR"/>
          <w:color w:val="111111"/>
          <w:sz w:val="28"/>
          <w:szCs w:val="28"/>
          <w:rtl/>
        </w:rPr>
        <w:t xml:space="preserve">آغاز: أخبرنا أبو القاسم بن السمرقند اخبرنا ابوبکر بن اللالکانی؛ انجام: ناخوانا. نسخه اصل: سلطان احمد ثالث استانبول، ش ۲۸۸۷/۴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فهرست عربی طوپ قاپی ۴۴۹/۳ ). از اواسط ترجمه زیاد بن عبيد تا اواخر ترجمه شهر بن حوشب؛ خط: نسخ، بی کا، تا: قرن ۱۰؛ روی صفحه عنوان «الجزء الرابع» ثبت شده، مصحح؛ ۴۴۲گ، ۳۹سطر</w:t>
      </w:r>
    </w:p>
    <w:p>
      <w:pPr>
        <w:pStyle w:val="BookText"/>
      </w:pPr>
      <w:r>
        <w:rPr>
          <w:rFonts w:ascii="IRNazanin" w:hAnsi="IRNazanin" w:eastAsia="IRNazanin" w:cs="IRNazanin"/>
          <w:lang w:bidi="fa-IR"/>
          <w:color w:val="111111"/>
          <w:sz w:val="28"/>
          <w:szCs w:val="28"/>
          <w:rtl/>
        </w:rPr>
        <w:t xml:space="preserve">عکسی ف: ۲-۸۹ و ۲۹۱]</w:t>
      </w:r>
    </w:p>
    <w:p>
      <w:pPr>
        <w:pStyle w:val="BookText"/>
      </w:pPr>
      <w:r>
        <w:rPr>
          <w:rFonts w:ascii="IRNazanin" w:hAnsi="IRNazanin" w:eastAsia="IRNazanin" w:cs="IRNazanin"/>
          <w:lang w:bidi="fa-IR"/>
          <w:color w:val="111111"/>
          <w:sz w:val="28"/>
          <w:szCs w:val="28"/>
          <w:rtl/>
        </w:rPr>
        <w:t xml:space="preserve">تهران؛ دائرة المعارف؛ شماره نسخه: ۴۲۰-عکسی</w:t>
      </w:r>
    </w:p>
    <w:p>
      <w:pPr>
        <w:pStyle w:val="BookText"/>
      </w:pPr>
      <w:r>
        <w:rPr>
          <w:rFonts w:ascii="IRNazanin" w:hAnsi="IRNazanin" w:eastAsia="IRNazanin" w:cs="IRNazanin"/>
          <w:lang w:bidi="fa-IR"/>
          <w:color w:val="111111"/>
          <w:sz w:val="28"/>
          <w:szCs w:val="28"/>
          <w:rtl/>
        </w:rPr>
        <w:t xml:space="preserve">نسخه اصل: همان نسخه اصل بالا [عکسی ف: ۲-۵۳]</w:t>
      </w:r>
    </w:p>
    <w:p>
      <w:pPr>
        <w:pStyle w:val="BookText"/>
      </w:pPr>
      <w:r>
        <w:rPr>
          <w:rFonts w:ascii="IRNazanin" w:hAnsi="IRNazanin" w:eastAsia="IRNazanin" w:cs="IRNazanin"/>
          <w:lang w:bidi="fa-IR"/>
          <w:color w:val="111111"/>
          <w:sz w:val="28"/>
          <w:szCs w:val="28"/>
          <w:rtl/>
        </w:rPr>
        <w:t xml:space="preserve">۷. قم؛ مرعشی؛ شماره نسخه: ۶۰۱عکسی و ۸۱۸ عکسی</w:t>
      </w:r>
    </w:p>
    <w:p>
      <w:pPr>
        <w:pStyle w:val="BookText"/>
      </w:pPr>
      <w:r>
        <w:rPr>
          <w:rFonts w:ascii="IRNazanin" w:hAnsi="IRNazanin" w:eastAsia="IRNazanin" w:cs="IRNazanin"/>
          <w:lang w:bidi="fa-IR"/>
          <w:color w:val="111111"/>
          <w:sz w:val="28"/>
          <w:szCs w:val="28"/>
          <w:rtl/>
        </w:rPr>
        <w:t xml:space="preserve">آغاز: أخبرنا أبو بكر محمد بن شجاع اخبرنا أبو صادق محمد بن احمدانا احمد بن محمد بن رنجویه؛ انجام: في السنة التي قدم فيها رسولالله (صلی الله علیه وآله وسلم)و فيها ولد ابن عباس رضی الله تعالی عنهما، تم هذا الجزء ... نسخه اصل: سلطان احمد ثالث استانبول، ش ۲۸۸۷/۵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فهرست عربی طوپ قاپی ۴۴۹/۳ ). از اواخر ترجمه شهر بن حوشب تا آخر ترجمه عبيد الله بن عباس؛ خط: نسخ، بی کا، تا: قرن ۱۰؛ روی صفحه عنوان «الجزء الخامس» ثبت شده؛ ۴۸۵گ، ۳۹سطر [عکسی ف: ۲-۸۹ و ۲۹۲]</w:t>
      </w:r>
    </w:p>
    <w:p>
      <w:pPr>
        <w:pStyle w:val="BookText"/>
      </w:pPr>
      <w:r>
        <w:rPr>
          <w:rFonts w:ascii="IRNazanin" w:hAnsi="IRNazanin" w:eastAsia="IRNazanin" w:cs="IRNazanin"/>
          <w:lang w:bidi="fa-IR"/>
          <w:color w:val="111111"/>
          <w:sz w:val="28"/>
          <w:szCs w:val="28"/>
          <w:rtl/>
        </w:rPr>
        <w:t xml:space="preserve">تهران؛ دائرة المعارف؛ شماره نسخه:۴۰۴-عکسی</w:t>
      </w:r>
    </w:p>
    <w:p>
      <w:pPr>
        <w:pStyle w:val="BookText"/>
      </w:pPr>
      <w:r>
        <w:rPr>
          <w:rFonts w:ascii="IRNazanin" w:hAnsi="IRNazanin" w:eastAsia="IRNazanin" w:cs="IRNazanin"/>
          <w:lang w:bidi="fa-IR"/>
          <w:color w:val="111111"/>
          <w:sz w:val="28"/>
          <w:szCs w:val="28"/>
          <w:rtl/>
        </w:rPr>
        <w:t xml:space="preserve">نسخه اصل: همان نسخه اصل بالا [عکسی ف: ۲-۵۴]</w:t>
      </w:r>
    </w:p>
    <w:p>
      <w:pPr>
        <w:pStyle w:val="BookText"/>
      </w:pPr>
      <w:r>
        <w:rPr>
          <w:rFonts w:ascii="IRNazanin" w:hAnsi="IRNazanin" w:eastAsia="IRNazanin" w:cs="IRNazanin"/>
          <w:lang w:bidi="fa-IR"/>
          <w:color w:val="111111"/>
          <w:sz w:val="28"/>
          <w:szCs w:val="28"/>
          <w:rtl/>
        </w:rPr>
        <w:t xml:space="preserve">۸. قم؛ مرعشی؛ شماره نسخه: ۶۰۲عکسی و ۸۱۹ عکسی</w:t>
      </w:r>
    </w:p>
    <w:p>
      <w:pPr>
        <w:pStyle w:val="BookText"/>
      </w:pPr>
      <w:r>
        <w:rPr>
          <w:rFonts w:ascii="IRNazanin" w:hAnsi="IRNazanin" w:eastAsia="IRNazanin" w:cs="IRNazanin"/>
          <w:lang w:bidi="fa-IR"/>
          <w:color w:val="111111"/>
          <w:sz w:val="28"/>
          <w:szCs w:val="28"/>
          <w:rtl/>
        </w:rPr>
        <w:t xml:space="preserve">آغاز: أخبرنا ابوبکر محمد بن شجاع انا ابو عمر و عبدالوهاب بن محمد؛ انجام: فقال حين نظر الى الصنابحی: من سره این ينظر الى رجل كانما صعد الى السماء فهو يعمل بما يرى فلينظر إلى هذا، و الله اعلم بالصواب و اليه المرجع و المآب، نجز الجزء المبارک نسخه اصل: سلطان احمد ثالث استانبول، ش ۲۸۸۷/۶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فهرست عربی طوپ قاپی ۴۵۰/۳ ). از عبدالله بن عبدالرحمن تا آخر ترجمه عبدالرحمن بن عسیله ؛ خط: نسخ، بی کا، تا: قرن ۱۰؛ روی صفحه عنوان «الجزء السادس» ثبت شده؛ تملک: فیض الله المفتي في السلطنة العثمانيه به تاریخ ۱۱۱۰ق؛ ۴۴۱گ، ۳۹ سطر [عکسی ف: ۹۰-۲ و ۲۹۲]</w:t>
      </w:r>
    </w:p>
    <w:p>
      <w:pPr>
        <w:pStyle w:val="BookText"/>
      </w:pPr>
      <w:r>
        <w:rPr>
          <w:rFonts w:ascii="IRNazanin" w:hAnsi="IRNazanin" w:eastAsia="IRNazanin" w:cs="IRNazanin"/>
          <w:lang w:bidi="fa-IR"/>
          <w:color w:val="111111"/>
          <w:sz w:val="28"/>
          <w:szCs w:val="28"/>
          <w:rtl/>
        </w:rPr>
        <w:t xml:space="preserve">تهران؛ دائرة المعارف؛ شماره نسخه:۴۱۸-عکسی</w:t>
      </w:r>
    </w:p>
    <w:p>
      <w:pPr>
        <w:pStyle w:val="BookText"/>
      </w:pPr>
      <w:r>
        <w:rPr>
          <w:rFonts w:ascii="IRNazanin" w:hAnsi="IRNazanin" w:eastAsia="IRNazanin" w:cs="IRNazanin"/>
          <w:lang w:bidi="fa-IR"/>
          <w:color w:val="111111"/>
          <w:sz w:val="28"/>
          <w:szCs w:val="28"/>
          <w:rtl/>
        </w:rPr>
        <w:t xml:space="preserve">نسخه اصل: همان نسخه اصل بالا [عکسی ف: ۲-۵۳]</w:t>
      </w:r>
    </w:p>
    <w:p>
      <w:pPr>
        <w:pStyle w:val="BookText"/>
      </w:pPr>
      <w:r>
        <w:rPr>
          <w:rFonts w:ascii="IRNazanin" w:hAnsi="IRNazanin" w:eastAsia="IRNazanin" w:cs="IRNazanin"/>
          <w:lang w:bidi="fa-IR"/>
          <w:color w:val="111111"/>
          <w:sz w:val="28"/>
          <w:szCs w:val="28"/>
          <w:rtl/>
        </w:rPr>
        <w:t xml:space="preserve">. قم؛ مرعشی؛ شماره نسخه:۶۰۳عکسی</w:t>
      </w:r>
    </w:p>
    <w:p>
      <w:pPr>
        <w:pStyle w:val="BookText"/>
      </w:pPr>
      <w:r>
        <w:rPr>
          <w:rFonts w:ascii="IRNazanin" w:hAnsi="IRNazanin" w:eastAsia="IRNazanin" w:cs="IRNazanin"/>
          <w:lang w:bidi="fa-IR"/>
          <w:color w:val="111111"/>
          <w:sz w:val="28"/>
          <w:szCs w:val="28"/>
          <w:rtl/>
        </w:rPr>
        <w:t xml:space="preserve">آغاز: أخبرنا أبو العز احمد بن عبيد الله، انجام: قال سمعت محمد بن احمد المقدسي يقول: عدی بن حاتم الطای یکنی ابا طريف ... و الله سبحانه و تعالی اعلم بالصواب و اليه المرجع و المآب ... نسخه اصل: سلطان احمد ثالث استانبول، ش ۲۸۸۷/۷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فهرست عربی طوپ قاپی ۴۵۰/3 ). از عبدالرحمن أعشی همدان تا ترجمه عدی بن حاتم؛ خط: نسخ، بی کا، تا: قرن ۱۰؛ روی صفحه عنوان «الجزء السابع» ثبت شده؛ ۴۷۶گ، ۳۹سطر [عکسی ف: ۲-۹۱]</w:t>
      </w:r>
    </w:p>
    <w:p>
      <w:pPr>
        <w:pStyle w:val="BookText"/>
      </w:pPr>
      <w:r>
        <w:rPr>
          <w:rFonts w:ascii="IRNazanin" w:hAnsi="IRNazanin" w:eastAsia="IRNazanin" w:cs="IRNazanin"/>
          <w:lang w:bidi="fa-IR"/>
          <w:color w:val="111111"/>
          <w:sz w:val="28"/>
          <w:szCs w:val="28"/>
          <w:rtl/>
        </w:rPr>
        <w:t xml:space="preserve">۱۰. قم؛ مرعشی؛ شماره نسخه:۶۰۴عکسی</w:t>
      </w:r>
    </w:p>
    <w:p>
      <w:pPr>
        <w:pStyle w:val="BookText"/>
      </w:pPr>
      <w:r>
        <w:rPr>
          <w:rFonts w:ascii="IRNazanin" w:hAnsi="IRNazanin" w:eastAsia="IRNazanin" w:cs="IRNazanin"/>
          <w:lang w:bidi="fa-IR"/>
          <w:color w:val="111111"/>
          <w:sz w:val="28"/>
          <w:szCs w:val="28"/>
          <w:rtl/>
        </w:rPr>
        <w:t xml:space="preserve">آغاز: أخبرنا أبو الحسن بن قبیس و ابو منصور محمد بن عبد الملک قالا قال لنا ابوبکر الخطيب؛ انجام: قال، قال رسول الله (صلی الله علیه وآله وسلم)ان يطع الناس ... و الله تعالی اعلم بالصواب و اليه المرجع و المآب نسخه اصل: از نسخه سلطان احمد ثالث استانبول، ش</w:t>
      </w:r>
    </w:p>
    <w:p>
      <w:pPr>
        <w:pStyle w:val="BookText"/>
      </w:pPr>
      <w:r>
        <w:rPr>
          <w:rFonts w:ascii="IRNazanin" w:hAnsi="IRNazanin" w:eastAsia="IRNazanin" w:cs="IRNazanin"/>
          <w:lang w:bidi="fa-IR"/>
          <w:color w:val="111111"/>
          <w:sz w:val="28"/>
          <w:szCs w:val="28"/>
          <w:rtl/>
        </w:rPr>
        <w:t xml:space="preserve">۲۸۸۷/۸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فهرست عربی طوپ قاپی ۴۵۰/3 ). از اواسط ترجمه عدی بن حاتم تا ترجمه عمر بن خطاب؛ خط: نسخ، بی کا، تا: قرن ۱۰؛ روی صفحه عنوان «الجزء الثامن» ثبت شده، مصحح؛ تملك: فیض الله المفتي في السلطنة العثمانيه به تاریخ ۱۱۱۰ق؛ ۴۴۸گ، ۳۹ سطر [عکسی ف: ۲-۹۲]</w:t>
      </w:r>
    </w:p>
    <w:p>
      <w:pPr>
        <w:pStyle w:val="BookText"/>
      </w:pPr>
      <w:r>
        <w:rPr>
          <w:rFonts w:ascii="IRNazanin" w:hAnsi="IRNazanin" w:eastAsia="IRNazanin" w:cs="IRNazanin"/>
          <w:lang w:bidi="fa-IR"/>
          <w:color w:val="111111"/>
          <w:sz w:val="28"/>
          <w:szCs w:val="28"/>
          <w:rtl/>
        </w:rPr>
        <w:t xml:space="preserve">تهران؛ دائرة المعارف؛ شماره نسخه: ۳۹۳-عکسی</w:t>
      </w:r>
    </w:p>
    <w:p>
      <w:pPr>
        <w:pStyle w:val="BookText"/>
      </w:pPr>
      <w:r>
        <w:rPr>
          <w:rFonts w:ascii="IRNazanin" w:hAnsi="IRNazanin" w:eastAsia="IRNazanin" w:cs="IRNazanin"/>
          <w:lang w:bidi="fa-IR"/>
          <w:color w:val="111111"/>
          <w:sz w:val="28"/>
          <w:szCs w:val="28"/>
          <w:rtl/>
        </w:rPr>
        <w:t xml:space="preserve">نسخه اصل: همان نسخه اصل بالا [عکسی ف: ۲-۵۳]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561" w:name="pg20363_209883"/>
    <w:bookmarkEnd w:id="561"/>
    <w:p>
      <w:pPr>
        <w:pStyle w:val="BookText"/>
      </w:pPr>
      <w:r>
        <w:rPr>
          <w:rFonts w:ascii="IRNazanin" w:hAnsi="IRNazanin" w:eastAsia="IRNazanin" w:cs="IRNazanin"/>
          <w:lang w:bidi="fa-IR"/>
          <w:color w:val="111111"/>
          <w:sz w:val="28"/>
          <w:szCs w:val="28"/>
          <w:rtl/>
        </w:rPr>
        <w:t xml:space="preserve">تهران؛ دائرة المعارف؛ شماره نسخه:۴۱۹-عکسی</w:t>
      </w:r>
    </w:p>
    <w:p>
      <w:pPr>
        <w:pStyle w:val="BookText"/>
      </w:pPr>
      <w:r>
        <w:rPr>
          <w:rFonts w:ascii="IRNazanin" w:hAnsi="IRNazanin" w:eastAsia="IRNazanin" w:cs="IRNazanin"/>
          <w:lang w:bidi="fa-IR"/>
          <w:color w:val="111111"/>
          <w:sz w:val="28"/>
          <w:szCs w:val="28"/>
          <w:rtl/>
        </w:rPr>
        <w:t xml:space="preserve">نسخه اصل: همان نسخه اصل بالا [عکسی ف: ۲-۵۳]</w:t>
      </w:r>
    </w:p>
    <w:p>
      <w:pPr>
        <w:pStyle w:val="BookText"/>
      </w:pPr>
      <w:r>
        <w:rPr>
          <w:rFonts w:ascii="IRNazanin" w:hAnsi="IRNazanin" w:eastAsia="IRNazanin" w:cs="IRNazanin"/>
          <w:lang w:bidi="fa-IR"/>
          <w:color w:val="111111"/>
          <w:sz w:val="28"/>
          <w:szCs w:val="28"/>
          <w:rtl/>
        </w:rPr>
        <w:t xml:space="preserve">۱۱. قم؛ مرعشی؛ شماره نسخه:۶۰۵عکسی</w:t>
      </w:r>
    </w:p>
    <w:p>
      <w:pPr>
        <w:pStyle w:val="BookText"/>
      </w:pPr>
      <w:r>
        <w:rPr>
          <w:rFonts w:ascii="IRNazanin" w:hAnsi="IRNazanin" w:eastAsia="IRNazanin" w:cs="IRNazanin"/>
          <w:lang w:bidi="fa-IR"/>
          <w:color w:val="111111"/>
          <w:sz w:val="28"/>
          <w:szCs w:val="28"/>
          <w:rtl/>
        </w:rPr>
        <w:t xml:space="preserve">آغاز: اخبرنا ابو عبد الله الخلال انا سعید بن احمد بن محمد العيار؛ انجام: اخبرنا ابو البرکات الأنماطی ... قال سمعت أبا نعيم يقول: اول من ولي القضا بالكوفة عروة بن الجعد .. و القاسم بن عبدالرحمن بن عبد الله ... و الله سبحانه و تعالی اعلم بالصواب و اليه المرجع والمآب نسخه اصل: از نسخه سلطان احمد ثالث استانبول، ش ۲۸۸۷/۹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فهرست عربی طوپ قاپی ۴۵۰/۳ ). از اواسط ترجمه عمر بن خطاب تا اواخر ترجمه قاسم بن عبدالرحمن بن عبدالله؛ خط: نسخ، بی کا، تا: قرن ۱۰؛ روی صفحه عنوان «الجزء التاسع» ثبت شده؛ تملک فیض الله المفتي في السلطنة العثمانيه به تاریخ ۱۱۱۰ق؛ ۴۳۶گ، ۳۹ سطر [عکسی ف: ۲-۹۳]</w:t>
      </w:r>
    </w:p>
    <w:p>
      <w:pPr>
        <w:pStyle w:val="BookText"/>
      </w:pPr>
      <w:r>
        <w:rPr>
          <w:rFonts w:ascii="IRNazanin" w:hAnsi="IRNazanin" w:eastAsia="IRNazanin" w:cs="IRNazanin"/>
          <w:lang w:bidi="fa-IR"/>
          <w:color w:val="111111"/>
          <w:sz w:val="28"/>
          <w:szCs w:val="28"/>
          <w:rtl/>
        </w:rPr>
        <w:t xml:space="preserve">۱۲. قم؛ مرعشی؛ شماره نسخه:۶۰۶عکسی</w:t>
      </w:r>
    </w:p>
    <w:p>
      <w:pPr>
        <w:pStyle w:val="BookText"/>
      </w:pPr>
      <w:r>
        <w:rPr>
          <w:rFonts w:ascii="IRNazanin" w:hAnsi="IRNazanin" w:eastAsia="IRNazanin" w:cs="IRNazanin"/>
          <w:lang w:bidi="fa-IR"/>
          <w:color w:val="111111"/>
          <w:sz w:val="28"/>
          <w:szCs w:val="28"/>
          <w:rtl/>
        </w:rPr>
        <w:t xml:space="preserve">آغاز: أخبرنا أبو الحسن علی بن محمد الخطيب اخبرنا ابو منصور النهاوندی اخبرنا ابو العباس النهاوندی؛ انجام: أخبرنا أبو القاسم على بن ابراهیم و ابو الحسن بن قبیس، قالا حدثنا و ابو منصور المقرى اخبرنا ... من رجب سنة خمس و خمسين و ثلثماية و دفن من غد ... نسخه اصل: از نسخه سلطان احمد ثالث استانبول، ش ۲۸۸۷/۱۰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فهرست عربی طوپ قاپی</w:t>
      </w:r>
    </w:p>
    <w:p>
      <w:pPr>
        <w:pStyle w:val="BookText"/>
      </w:pPr>
      <w:r>
        <w:rPr>
          <w:rFonts w:ascii="IRNazanin" w:hAnsi="IRNazanin" w:eastAsia="IRNazanin" w:cs="IRNazanin"/>
          <w:lang w:bidi="fa-IR"/>
          <w:color w:val="111111"/>
          <w:sz w:val="28"/>
          <w:szCs w:val="28"/>
          <w:rtl/>
        </w:rPr>
        <w:t xml:space="preserve">۴۵۰/۳ ). از قاسم بن عبد الرحمن تا آخر ترجمه محمد بن عمر بن محمد سلم؛ خط: نسخ، بی کا، تا: قرن ۱۰؛ روی صفحه عنوان «الجزء العاشر» ثبت شده، مصحح؛ تملك: فیض الله المفتي في السلطنة العثمانيه به تاریخ ۱۱۱۰ق؛ ۴۴۵گ، ۳۹ سطر [عکسی ف: ۲-۹۳]</w:t>
      </w:r>
    </w:p>
    <w:p>
      <w:pPr>
        <w:pStyle w:val="BookText"/>
      </w:pPr>
      <w:r>
        <w:rPr>
          <w:rFonts w:ascii="IRNazanin" w:hAnsi="IRNazanin" w:eastAsia="IRNazanin" w:cs="IRNazanin"/>
          <w:lang w:bidi="fa-IR"/>
          <w:color w:val="111111"/>
          <w:sz w:val="28"/>
          <w:szCs w:val="28"/>
          <w:rtl/>
        </w:rPr>
        <w:t xml:space="preserve">۱۳. قم؛ مرعشی؛ شماره نسخه:۶۰۷عکسی</w:t>
      </w:r>
    </w:p>
    <w:p>
      <w:pPr>
        <w:pStyle w:val="BookText"/>
      </w:pPr>
      <w:r>
        <w:rPr>
          <w:rFonts w:ascii="IRNazanin" w:hAnsi="IRNazanin" w:eastAsia="IRNazanin" w:cs="IRNazanin"/>
          <w:lang w:bidi="fa-IR"/>
          <w:color w:val="111111"/>
          <w:sz w:val="28"/>
          <w:szCs w:val="28"/>
          <w:rtl/>
        </w:rPr>
        <w:t xml:space="preserve">آغاز: محمد بن عمر بن محمد بن ابی عقیل ابوبکر الكرحی الواعظ، سمع أبا بكر بن زید باصبهان؛ انجام: و قال ابو موسی و الهيثم: مات نافع مولى ابن عمر سنة سبع عشرة، و ذكر أن أباه أخبره عن أبيه عن أبي موسى أن أباه أخبره عن احمد بن عبيد عن الهيثم، بذلك و الله سبحانه و تعالی اعلم بالصواب و اليه المرجع و المآب نسخه اصل: از نسخه سلطان احمد ثالث استانبول، ش ۲۸۸۷/۱۱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فهرست عربی طوپ قاپی ۴۵۱٫۳ ). از محمد بن عمر بن محمد بن ابی عقیل تا نافع؛ خط: نسخ، بی کا، تا: قرن ۱۰؛ روی صفحه عنوان «الجزء الحادي عشر» ثبت شده؛ مصحح؛ تملک: فیض الله المفتي في السلطنة العثمانيه به تاریخ ۱۱۱۰ق؛ ۵۱۳گ، ۳۹سطر [عکسی ف: ۲-۹۴]</w:t>
      </w:r>
    </w:p>
    <w:p>
      <w:pPr>
        <w:pStyle w:val="BookText"/>
      </w:pPr>
      <w:r>
        <w:rPr>
          <w:rFonts w:ascii="IRNazanin" w:hAnsi="IRNazanin" w:eastAsia="IRNazanin" w:cs="IRNazanin"/>
          <w:lang w:bidi="fa-IR"/>
          <w:color w:val="111111"/>
          <w:sz w:val="28"/>
          <w:szCs w:val="28"/>
          <w:rtl/>
        </w:rPr>
        <w:t xml:space="preserve">۱۴. قم؛ مرعشی؛ شماره نسخه:۶۰۸عکسی</w:t>
      </w:r>
    </w:p>
    <w:p>
      <w:pPr>
        <w:pStyle w:val="BookText"/>
      </w:pPr>
      <w:r>
        <w:rPr>
          <w:rFonts w:ascii="IRNazanin" w:hAnsi="IRNazanin" w:eastAsia="IRNazanin" w:cs="IRNazanin"/>
          <w:lang w:bidi="fa-IR"/>
          <w:color w:val="111111"/>
          <w:sz w:val="28"/>
          <w:szCs w:val="28"/>
          <w:rtl/>
        </w:rPr>
        <w:t xml:space="preserve">آغاز: أخبرنا أبو البركات بن المبارک انا ابو الفضل بن خیرون انا ابو العلاء محمد بن على ... قال: و نافع سنة سبع عشرة و ماية یعنی مات؛ انجام: و هذا آخر ما يسر الله جمعه من هذا الكتاب ... ولا حول ولا قوة الا بالله العلى العظيم عليه توكلت وهو رب العرش الكريم.</w:t>
      </w:r>
    </w:p>
    <w:p>
      <w:pPr>
        <w:pStyle w:val="BookText"/>
      </w:pPr>
      <w:r>
        <w:rPr>
          <w:rFonts w:ascii="IRNazanin" w:hAnsi="IRNazanin" w:eastAsia="IRNazanin" w:cs="IRNazanin"/>
          <w:lang w:bidi="fa-IR"/>
          <w:color w:val="111111"/>
          <w:sz w:val="28"/>
          <w:szCs w:val="28"/>
          <w:rtl/>
        </w:rPr>
        <w:t xml:space="preserve">نسخه اصل: سلطان احمد ثالث استانبول، ش ۲۸۸۷/۱۲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فهرست عربی طوپ قاپی</w:t>
      </w:r>
    </w:p>
    <w:p>
      <w:pPr>
        <w:pStyle w:val="BookText"/>
      </w:pPr>
      <w:r>
        <w:rPr>
          <w:rFonts w:ascii="IRNazanin" w:hAnsi="IRNazanin" w:eastAsia="IRNazanin" w:cs="IRNazanin"/>
          <w:lang w:bidi="fa-IR"/>
          <w:color w:val="111111"/>
          <w:sz w:val="28"/>
          <w:szCs w:val="28"/>
          <w:rtl/>
        </w:rPr>
        <w:t xml:space="preserve">۴۵۱/۳ ). از نافع تا آخر کتاب؛ خط: نسخ، بی کا، تا: قرن ۱۰؛ روی صفحه عنوان «الجزء الثاني عشر » ثبت شده، مصحح، تملک: فیض الله المفتي في السلطنة العثمانيه؛ ۵۱۵ گ، ۳۹سطر [عکسی ف: ۲-۹۵]</w:t>
      </w:r>
    </w:p>
    <w:p>
      <w:pPr>
        <w:pStyle w:val="BookText"/>
      </w:pPr>
      <w:r>
        <w:rPr>
          <w:rFonts w:ascii="IRNazanin" w:hAnsi="IRNazanin" w:eastAsia="IRNazanin" w:cs="IRNazanin"/>
          <w:lang w:bidi="fa-IR"/>
          <w:color w:val="111111"/>
          <w:sz w:val="28"/>
          <w:szCs w:val="28"/>
          <w:rtl/>
        </w:rPr>
        <w:t xml:space="preserve">تهران؛ دائرة المعارف؛ شماره نسخه: ۴۲۱- عکسی</w:t>
      </w:r>
    </w:p>
    <w:p>
      <w:pPr>
        <w:pStyle w:val="BookText"/>
      </w:pPr>
      <w:r>
        <w:rPr>
          <w:rFonts w:ascii="IRNazanin" w:hAnsi="IRNazanin" w:eastAsia="IRNazanin" w:cs="IRNazanin"/>
          <w:lang w:bidi="fa-IR"/>
          <w:color w:val="111111"/>
          <w:sz w:val="28"/>
          <w:szCs w:val="28"/>
          <w:rtl/>
        </w:rPr>
        <w:t xml:space="preserve">نسخه اصل: همان نسخه اصل بالا [عکسی ف: ۲-۵۴]</w:t>
      </w:r>
    </w:p>
    <w:p>
      <w:pPr>
        <w:pStyle w:val="BookText"/>
      </w:pPr>
      <w:r>
        <w:rPr>
          <w:rFonts w:ascii="IRNazanin" w:hAnsi="IRNazanin" w:eastAsia="IRNazanin" w:cs="IRNazanin"/>
          <w:lang w:bidi="fa-IR"/>
          <w:color w:val="111111"/>
          <w:sz w:val="28"/>
          <w:szCs w:val="28"/>
          <w:rtl/>
        </w:rPr>
        <w:t xml:space="preserve">۱۵. تهران؛ دانشگاه؛ شماره نسخه: ۶۴۳۸-عکس</w:t>
      </w:r>
    </w:p>
    <w:p>
      <w:pPr>
        <w:pStyle w:val="BookText"/>
      </w:pPr>
      <w:r>
        <w:rPr>
          <w:rFonts w:ascii="IRNazanin" w:hAnsi="IRNazanin" w:eastAsia="IRNazanin" w:cs="IRNazanin"/>
          <w:lang w:bidi="fa-IR"/>
          <w:color w:val="111111"/>
          <w:sz w:val="28"/>
          <w:szCs w:val="28"/>
          <w:rtl/>
        </w:rPr>
        <w:t xml:space="preserve">نسخه اصل: از کتابخانه ای به شماره ۲۲۷۶. جلد ۲۵؛ كا: احمد بن شیخ سليمان اجهوری، تا: شنبه ۲۴ جمادی الثانی ۱۲۱۸ق [فيلمها ف: ۳-۲۵۳]</w:t>
      </w:r>
    </w:p>
    <w:p>
      <w:pPr>
        <w:pStyle w:val="BookText"/>
      </w:pPr>
      <w:r>
        <w:rPr>
          <w:rFonts w:ascii="IRNazanin" w:hAnsi="IRNazanin" w:eastAsia="IRNazanin" w:cs="IRNazanin"/>
          <w:lang w:bidi="fa-IR"/>
          <w:color w:val="111111"/>
          <w:sz w:val="28"/>
          <w:szCs w:val="28"/>
          <w:rtl/>
        </w:rPr>
        <w:t xml:space="preserve">۱۶. قم؛ مرعشی؛ شماره نسخه:۱۲۳۳ عکسی</w:t>
      </w:r>
    </w:p>
    <w:p>
      <w:pPr>
        <w:pStyle w:val="BookText"/>
      </w:pPr>
      <w:r>
        <w:rPr>
          <w:rFonts w:ascii="IRNazanin" w:hAnsi="IRNazanin" w:eastAsia="IRNazanin" w:cs="IRNazanin"/>
          <w:lang w:bidi="fa-IR"/>
          <w:color w:val="111111"/>
          <w:sz w:val="28"/>
          <w:szCs w:val="28"/>
          <w:rtl/>
        </w:rPr>
        <w:t xml:space="preserve">بی کا، بی تا [عکسی ف: ۳-۵۲۸]</w:t>
      </w:r>
    </w:p>
    <w:p>
      <w:pPr>
        <w:pStyle w:val="BookText"/>
      </w:pPr>
      <w:r>
        <w:rPr>
          <w:rFonts w:ascii="IRNazanin" w:hAnsi="IRNazanin" w:eastAsia="IRNazanin" w:cs="IRNazanin"/>
          <w:lang w:bidi="fa-IR"/>
          <w:color w:val="111111"/>
          <w:sz w:val="28"/>
          <w:szCs w:val="28"/>
          <w:rtl/>
        </w:rPr>
        <w:t xml:space="preserve">۱۷. قم؛ مرعشی؛ شماره نسخه:۱۲۳۶</w:t>
      </w:r>
    </w:p>
    <w:p>
      <w:pPr>
        <w:pStyle w:val="BookText"/>
      </w:pPr>
      <w:r>
        <w:rPr>
          <w:rFonts w:ascii="IRNazanin" w:hAnsi="IRNazanin" w:eastAsia="IRNazanin" w:cs="IRNazanin"/>
          <w:lang w:bidi="fa-IR"/>
          <w:color w:val="111111"/>
          <w:sz w:val="28"/>
          <w:szCs w:val="28"/>
          <w:rtl/>
        </w:rPr>
        <w:t xml:space="preserve">بی کا، بی تا [عکسی ف: ۳-۵۳۱]</w:t>
      </w:r>
    </w:p>
    <w:p>
      <w:pPr>
        <w:pStyle w:val="BookText"/>
      </w:pPr>
      <w:r>
        <w:rPr>
          <w:rFonts w:ascii="IRNazanin" w:hAnsi="IRNazanin" w:eastAsia="IRNazanin" w:cs="IRNazanin"/>
          <w:lang w:bidi="fa-IR"/>
          <w:color w:val="111111"/>
          <w:sz w:val="28"/>
          <w:szCs w:val="28"/>
          <w:rtl/>
        </w:rPr>
        <w:t xml:space="preserve">۱۸. تهران؛ دائرة المعارف؛ شماره نسخه: ۴۳۲-عکسی</w:t>
      </w:r>
    </w:p>
    <w:p>
      <w:pPr>
        <w:pStyle w:val="BookText"/>
      </w:pPr>
      <w:r>
        <w:rPr>
          <w:rFonts w:ascii="IRNazanin" w:hAnsi="IRNazanin" w:eastAsia="IRNazanin" w:cs="IRNazanin"/>
          <w:lang w:bidi="fa-IR"/>
          <w:color w:val="111111"/>
          <w:sz w:val="28"/>
          <w:szCs w:val="28"/>
          <w:rtl/>
        </w:rPr>
        <w:t xml:space="preserve">خط: نستعلیق کهن، بی کا، بی تا؛ هر برگ ۲ صفحه. عکس از استاد فروزانفر (عکس)؛ ۴۶۱گ، قطع: رحلی (عکسی ف: ۲-۵۴]</w:t>
      </w:r>
    </w:p>
    <w:p>
      <w:pPr>
        <w:pStyle w:val="Heading3"/>
      </w:pPr>
      <w:bookmarkStart w:id="2602" w:name="_Toc1862"/>
      <w:r>
        <w:t>• تاریخ مراکش / تاریخ جهان / فارسی</w:t>
      </w:r>
      <w:bookmarkEnd w:id="2602"/>
    </w:p>
    <w:p>
      <w:pPr>
        <w:pStyle w:val="BookText"/>
      </w:pPr>
      <w:r>
        <w:rPr>
          <w:rFonts w:ascii="Times New Roman" w:hAnsi="Times New Roman" w:eastAsia="Times New Roman" w:cs="Times New Roman"/>
          <w:lang w:val="en-US" w:bidi="en-US"/>
          <w:color w:val="111111"/>
          <w:sz w:val="28"/>
          <w:szCs w:val="28"/>
          <w:rtl/>
        </w:rPr>
        <w:t xml:space="preserve">tārīx-e marākeš</w:t>
      </w:r>
    </w:p>
    <w:p>
      <w:pPr>
        <w:pStyle w:val="BookText"/>
      </w:pPr>
      <w:r>
        <w:rPr>
          <w:rFonts w:ascii="IRNazanin" w:hAnsi="IRNazanin" w:eastAsia="IRNazanin" w:cs="IRNazanin"/>
          <w:lang w:bidi="fa-IR"/>
          <w:color w:val="111111"/>
          <w:sz w:val="28"/>
          <w:szCs w:val="28"/>
          <w:rtl/>
        </w:rPr>
        <w:t xml:space="preserve">لئون کودار شانوان</w:t>
      </w:r>
    </w:p>
    <w:p>
      <w:pPr>
        <w:pStyle w:val="BookText"/>
      </w:pPr>
      <w:r>
        <w:rPr>
          <w:rFonts w:ascii="Times New Roman" w:hAnsi="Times New Roman" w:eastAsia="Times New Roman" w:cs="Times New Roman"/>
          <w:lang w:val="en-US" w:bidi="en-US"/>
          <w:color w:val="111111"/>
          <w:sz w:val="28"/>
          <w:szCs w:val="28"/>
          <w:rtl/>
        </w:rPr>
        <w:t xml:space="preserve">le’on kodār šānovān</w:t>
      </w:r>
    </w:p>
    <w:p>
      <w:pPr>
        <w:pStyle w:val="BookText"/>
      </w:pPr>
      <w:r>
        <w:rPr>
          <w:rFonts w:ascii="IRNazanin" w:hAnsi="IRNazanin" w:eastAsia="IRNazanin" w:cs="IRNazanin"/>
          <w:lang w:bidi="fa-IR"/>
          <w:color w:val="111111"/>
          <w:sz w:val="28"/>
          <w:szCs w:val="28"/>
          <w:rtl/>
        </w:rPr>
        <w:t xml:space="preserve">مترجم: معتمد السلطان ، حسن ق ۱۴ قمری اهداء به: مظفرالدین شاه تاریخ ترجمه: ۱۳۱۶ق تاریخ مراکش است که با اشاره نیرالملک وزیر علوم از زبان فرانسه به پارسی ترجمه گردیده است. مؤلف کتاب می نویسد که از اکثر کتب تاریخی که حاوی احوال مراکش بوده و به خصوص از تاریخ ابن خلدون استفاده نموده و در شرح احوال تقسیمات طبيعيه، مناطق اقلیمیه، تقسیمات دولتی، نقوس، نژاد( بربرها، اعراب، مورها) سخن گفته است.</w:t>
      </w:r>
    </w:p>
    <w:p>
      <w:pPr>
        <w:pStyle w:val="BookText"/>
      </w:pPr>
      <w:r>
        <w:rPr>
          <w:rFonts w:ascii="IRNazanin" w:hAnsi="IRNazanin" w:eastAsia="IRNazanin" w:cs="IRNazanin"/>
          <w:lang w:bidi="fa-IR"/>
          <w:color w:val="111111"/>
          <w:sz w:val="28"/>
          <w:szCs w:val="28"/>
          <w:rtl/>
        </w:rPr>
        <w:t xml:space="preserve">[دنا ۷۳۸/۲ ]</w:t>
      </w:r>
    </w:p>
    <w:p>
      <w:pPr>
        <w:pStyle w:val="BookText"/>
      </w:pPr>
      <w:r>
        <w:rPr>
          <w:rFonts w:ascii="IRNazanin" w:hAnsi="IRNazanin" w:eastAsia="IRNazanin" w:cs="IRNazanin"/>
          <w:lang w:bidi="fa-IR"/>
          <w:color w:val="111111"/>
          <w:sz w:val="28"/>
          <w:szCs w:val="28"/>
          <w:rtl/>
        </w:rPr>
        <w:t xml:space="preserve">۱. تهران؛ سلطنتی؛ شماره نسخه:۱۸۶۳</w:t>
      </w:r>
    </w:p>
    <w:p>
      <w:pPr>
        <w:pStyle w:val="BookText"/>
      </w:pPr>
      <w:r>
        <w:rPr>
          <w:rFonts w:ascii="IRNazanin" w:hAnsi="IRNazanin" w:eastAsia="IRNazanin" w:cs="IRNazanin"/>
          <w:lang w:bidi="fa-IR"/>
          <w:color w:val="111111"/>
          <w:sz w:val="28"/>
          <w:szCs w:val="28"/>
          <w:rtl/>
        </w:rPr>
        <w:t xml:space="preserve">آغاز: بسمله، شکر و سپاس فزون از اندازه و مقیاس کردگاریرا زیبنده و پروردگایرا برازنده است که مساح اندیشه و فکر مساحت بپایان معرفتش را نتواند و سیاح عقل و ادراک از سیاحت بوادی ذات اقدسش فرو ماند ... قسمت اول در بیان شرح مراکش و جمعیت و وسعت و زراعت؛ در بیان شرح مراکش و جمعیت و وسعت و زراعت و صنعت و غیره؛ انجام: رهبانان مرسی (مرسی نام طبقه ایست مخصوص علاوه بر تحمل فقر و اطاعت و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562" w:name="pg20363_209884"/>
    <w:bookmarkEnd w:id="562"/>
    <w:p>
      <w:pPr>
        <w:pStyle w:val="BookText"/>
      </w:pPr>
      <w:r>
        <w:rPr>
          <w:rFonts w:ascii="IRNazanin" w:hAnsi="IRNazanin" w:eastAsia="IRNazanin" w:cs="IRNazanin"/>
          <w:lang w:bidi="fa-IR"/>
          <w:color w:val="111111"/>
          <w:sz w:val="28"/>
          <w:szCs w:val="28"/>
          <w:rtl/>
        </w:rPr>
        <w:t xml:space="preserve">عصمت که از تکالیف آنهاست قوت قلب را چهارمین تکلیف خود قرار داده بمنتها درجه آنرا دارا بودند و اغلب اوقات خود را بقید اسیری مبتلا کرده اسرار و بیچارگان را خلاص میکردند تم الكتاب سنه ۱۳۱۶ ... خانه زاده دولت شاهنشاهی ابن حکیم الهی علینقی الملقب بمؤتمن دیوان منشی وزارت جليله امور خارجه. ۱۳۱۶</w:t>
      </w:r>
    </w:p>
    <w:p>
      <w:pPr>
        <w:pStyle w:val="BookText"/>
      </w:pPr>
      <w:r>
        <w:rPr>
          <w:rFonts w:ascii="IRNazanin" w:hAnsi="IRNazanin" w:eastAsia="IRNazanin" w:cs="IRNazanin"/>
          <w:lang w:bidi="fa-IR"/>
          <w:color w:val="111111"/>
          <w:sz w:val="28"/>
          <w:szCs w:val="28"/>
          <w:rtl/>
        </w:rPr>
        <w:t xml:space="preserve">خط: نستعلیق، كا: على نقى مؤتمن دیوان منشی وزارت خارجه، تا:۱۳۱۶ق؛ مجدول، کمند کشی، دو سرلوح منقش مذهب؛ کاغذ: فرنگی بخور رنگ، جلد: مقوای روکش کاغذ نقش جودانه گلی رنگ، ۴۵۹ص، ۱۵ سطر، اندازه: ۳۴۶۲۶سم [ف: ۵-۳۹۸]</w:t>
      </w:r>
    </w:p>
    <w:p>
      <w:pPr>
        <w:pStyle w:val="BookText"/>
      </w:pPr>
      <w:r>
        <w:rPr>
          <w:rFonts w:ascii="IRNazanin" w:hAnsi="IRNazanin" w:eastAsia="IRNazanin" w:cs="IRNazanin"/>
          <w:lang w:bidi="fa-IR"/>
          <w:color w:val="111111"/>
          <w:sz w:val="28"/>
          <w:szCs w:val="28"/>
          <w:rtl/>
        </w:rPr>
        <w:t xml:space="preserve">۲. تهران؛ ملی؛ شماره نسخه:۱۷۴۴</w:t>
      </w:r>
    </w:p>
    <w:p>
      <w:pPr>
        <w:pStyle w:val="BookText"/>
      </w:pPr>
      <w:r>
        <w:rPr>
          <w:rFonts w:ascii="IRNazanin" w:hAnsi="IRNazanin" w:eastAsia="IRNazanin" w:cs="IRNazanin"/>
          <w:lang w:bidi="fa-IR"/>
          <w:color w:val="111111"/>
          <w:sz w:val="28"/>
          <w:szCs w:val="28"/>
          <w:rtl/>
        </w:rPr>
        <w:t xml:space="preserve">آغاز: جلد دوم از تاریخ مراکش، بسمله، فصل اول، دودمان مرندی تا زمان جلوس؛ انجام: که بر متصرفات پرتقال با في الجمله وسیله افزوده گردیده و آثارش از زبان مملکت هنوز بیرون نرفته است</w:t>
      </w:r>
    </w:p>
    <w:p>
      <w:pPr>
        <w:pStyle w:val="BookText"/>
      </w:pPr>
      <w:r>
        <w:rPr>
          <w:rFonts w:ascii="IRNazanin" w:hAnsi="IRNazanin" w:eastAsia="IRNazanin" w:cs="IRNazanin"/>
          <w:lang w:bidi="fa-IR"/>
          <w:color w:val="111111"/>
          <w:sz w:val="28"/>
          <w:szCs w:val="28"/>
          <w:rtl/>
        </w:rPr>
        <w:t xml:space="preserve">جلد دوم؛ خط: نستعلیق، بی کا، تا: ۱۳۱۶ق، جا: تهران؛ با سرلوح مذهب، مجدول؛ کاغذ: فرنگی، آبی، جلد: گالینگور آبی عطف تیماج آبی، ۲۲۷گ، ۱۵ سطر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۲۰۵-۴ ]</w:t>
      </w:r>
    </w:p>
    <w:p>
      <w:pPr>
        <w:pStyle w:val="Heading3"/>
      </w:pPr>
      <w:bookmarkStart w:id="2603" w:name="_Toc1863"/>
      <w:r>
        <w:t>•تاریخ مرشدان صفوی / تراجم / فارسی</w:t>
      </w:r>
      <w:bookmarkEnd w:id="2603"/>
    </w:p>
    <w:p>
      <w:pPr>
        <w:pStyle w:val="BookText"/>
      </w:pPr>
      <w:r>
        <w:rPr>
          <w:rFonts w:ascii="Times New Roman" w:hAnsi="Times New Roman" w:eastAsia="Times New Roman" w:cs="Times New Roman"/>
          <w:lang w:val="en-US" w:bidi="en-US"/>
          <w:color w:val="111111"/>
          <w:sz w:val="28"/>
          <w:szCs w:val="28"/>
          <w:rtl/>
        </w:rPr>
        <w:t xml:space="preserve">tārīx-e moršedān-e safavī</w:t>
      </w:r>
    </w:p>
    <w:p>
      <w:pPr>
        <w:pStyle w:val="BookText"/>
      </w:pPr>
      <w:r>
        <w:rPr>
          <w:rFonts w:ascii="IRNazanin" w:hAnsi="IRNazanin" w:eastAsia="IRNazanin" w:cs="IRNazanin"/>
          <w:lang w:bidi="fa-IR"/>
          <w:color w:val="111111"/>
          <w:sz w:val="28"/>
          <w:szCs w:val="28"/>
          <w:rtl/>
        </w:rPr>
        <w:t xml:space="preserve">اهداء به: شاه تهماسب درباره آغاز کار صفویان. این نسخه در بخش دوم آن از خواجه حبیب الله وکیل هرات با عبارت «حضرت ممالک پناهی حبیب اللهی» یاد شده است و این بخش همان حبیب السير است چنانکه خواهیم گفت. در دیباچه بخش نخستین آن که به نام و به دستور شاه تهماسب ساخته شده است آمده است: «این تأليف در موسمی اتفاق افتاده که جهان از آرایش گلزار نمونه باغ فردوس شده بود و اطراف بساط غبراء از ریاحین درخشنده چون قبه خضراء پر کواکب شده در آن آمده: «فرمان ...... به نفاد اقتران یافت که بنده مستهام سهام لیام حیاتی تاریخی بر آن وقایع تالیفی نماید در افصاح مهمات و ایضاح معضلات آن به قدر کوشد ... [الهی جامع ذات و صفاتی، حیاتی راز تو باشد نجاتی، به اولاد علی کن حشر او را، که یاد بد در ابد از تو حیاتی ...</w:t>
      </w:r>
    </w:p>
    <w:p>
      <w:pPr>
        <w:pStyle w:val="BookText"/>
      </w:pPr>
      <w:r>
        <w:rPr>
          <w:rFonts w:ascii="IRNazanin" w:hAnsi="IRNazanin" w:eastAsia="IRNazanin" w:cs="IRNazanin"/>
          <w:lang w:bidi="fa-IR"/>
          <w:color w:val="111111"/>
          <w:sz w:val="28"/>
          <w:szCs w:val="28"/>
          <w:rtl/>
        </w:rPr>
        <w:t xml:space="preserve">حیاتی پیرو آل رسول است، و به درگاه تو میخواهد نجاتی، ... نمود از سخن احيا مماتی، که خوش بنوشته تاریخ شهان، بیاید در ابد از نو حیاتی ] (در هامش گویا به خط دیگر)». این کتاب مشتمل بر سه «حدیقه» است: ۱. بیان شمه ای از فضایل سلطان تخت اصطفاء پادشاه کشور «انما» شهسوار میدان «لافتی» مصدوقه «هل اتی» امیر المومنین علی بن ابی طالب؛ ۲. بيان بندی از فضائل ائمه طاهرین؛ ۳. بیان مجملی از حال شیخ صفی الدین اسحق، و این حديقه مشتمل بر هشت «روضه» است: 1) خصوصیات حال آن حضرت، در نه «چمن»، ۲) بیان نسب عالی آن حضرت نسلا بعد نسل، 3) بیان سلسله ارشاد واحدا بعد واحد، ۴) بیان مجمل از حال عارف ربانی ابوالفتح شیخ ابراهیم زاهد گیلانی، ۵) بیان مجمل از حال سلطان الاصفياء و برهان الأولياء سلطان صدر الدین موسی، ۶) بیان اولاد امجاد مرشد آن جنت مقام و اسماء و القاب و کنیات شریفه ایشان و محل ورد و فیض</w:t>
      </w:r>
    </w:p>
    <w:p>
      <w:pPr>
        <w:pStyle w:val="BookText"/>
      </w:pPr>
      <w:r>
        <w:rPr>
          <w:rFonts w:ascii="IRNazanin" w:hAnsi="IRNazanin" w:eastAsia="IRNazanin" w:cs="IRNazanin"/>
          <w:lang w:bidi="fa-IR"/>
          <w:color w:val="111111"/>
          <w:sz w:val="28"/>
          <w:szCs w:val="28"/>
          <w:rtl/>
        </w:rPr>
        <w:t xml:space="preserve">ارشاد و دیگر خصوصات، ۷) بیان بنای حظیره مقدسه و سایر بنیه عاليه آن روضه فلک رتبه، ۸) بیان مریدان این سلسله عليه و خلفاء ایشان. این بخش بندی در فتوحات شاهی و تاریخ شاه اسماعیل و تاریخ شاه تهماسب هروی نیست. در روضه پنجم که در تاریخ مرشدان است در دنبال آن از صفی الدین اسحاق و رضی الدین موسی و خواجه سلطان على و شيخ شاه ابراهیم و شاه جنید و شاه حیدر و سلطان على به اختصار یاد شده تا می رسد به شاه اسماعیل و ابوالفتح میرزا و شاه تهماسب و امام قلی میرزا، سپس داستان توجه شاه جنید صفوی است به دیار بکر تا می رسد به توجه رادیات گویا شاه اسماعیل به خوزستان باز از گشودن بغداد یاد می شود و از رفتن به سوی شیراز تا در پایان می رسد به سرگذشت امیر غیاث منصور دوانی و سعدالدین اسعد و شرف الدین شیفکی و مرشد الدين عبدالله تا می رسد به نورالدین محمد و حسامی واعظ و نظام الدین مشنی و میر علی و اینجا نسخه افتاده است. در این بخش نسخه ما برابر است با حبیب السیر (۴: ۵۳۰ تا ۶۰۳ تا ۶۱۸ چاپ تهران).</w:t>
      </w:r>
    </w:p>
    <w:p>
      <w:pPr>
        <w:pStyle w:val="BookText"/>
      </w:pPr>
      <w:r>
        <w:rPr>
          <w:rFonts w:ascii="IRNazanin" w:hAnsi="IRNazanin" w:eastAsia="IRNazanin" w:cs="IRNazanin"/>
          <w:lang w:bidi="fa-IR"/>
          <w:color w:val="111111"/>
          <w:sz w:val="28"/>
          <w:szCs w:val="28"/>
          <w:rtl/>
        </w:rPr>
        <w:t xml:space="preserve">تهران؛ مفتاح؛ شماره نسخه:۴۹۳</w:t>
      </w:r>
    </w:p>
    <w:p>
      <w:pPr>
        <w:pStyle w:val="BookText"/>
      </w:pPr>
      <w:r>
        <w:rPr>
          <w:rFonts w:ascii="IRNazanin" w:hAnsi="IRNazanin" w:eastAsia="IRNazanin" w:cs="IRNazanin"/>
          <w:lang w:bidi="fa-IR"/>
          <w:color w:val="111111"/>
          <w:sz w:val="28"/>
          <w:szCs w:val="28"/>
          <w:rtl/>
        </w:rPr>
        <w:t xml:space="preserve">خط: نستعلیق، كان علی خان بن علی بیگ، تا: ۱۰۳۹ق؛ یادداشتی مورخ ۲۳ رجب ۱۲۸۵؛ این نسخه کتاب تاریخ شاه اسماعیل خوانده شده [نشریه: ۷-۱۱۰]</w:t>
      </w:r>
    </w:p>
    <w:p>
      <w:pPr>
        <w:pStyle w:val="Heading3"/>
      </w:pPr>
      <w:bookmarkStart w:id="2604" w:name="_Toc1864"/>
      <w:r>
        <w:t>• تاریخ مزداپرستی / تاریخ / فارسی</w:t>
      </w:r>
      <w:bookmarkEnd w:id="2604"/>
    </w:p>
    <w:p>
      <w:pPr>
        <w:pStyle w:val="BookText"/>
      </w:pPr>
      <w:r>
        <w:rPr>
          <w:rFonts w:ascii="Times New Roman" w:hAnsi="Times New Roman" w:eastAsia="Times New Roman" w:cs="Times New Roman"/>
          <w:lang w:val="en-US" w:bidi="en-US"/>
          <w:color w:val="111111"/>
          <w:sz w:val="28"/>
          <w:szCs w:val="28"/>
          <w:rtl/>
        </w:rPr>
        <w:t xml:space="preserve">tārīx-e mazdā-parasti</w:t>
      </w:r>
    </w:p>
    <w:p>
      <w:pPr>
        <w:pStyle w:val="BookText"/>
      </w:pPr>
      <w:r>
        <w:rPr>
          <w:rFonts w:ascii="IRNazanin" w:hAnsi="IRNazanin" w:eastAsia="IRNazanin" w:cs="IRNazanin"/>
          <w:lang w:bidi="fa-IR"/>
          <w:color w:val="111111"/>
          <w:sz w:val="28"/>
          <w:szCs w:val="28"/>
          <w:rtl/>
        </w:rPr>
        <w:t xml:space="preserve">تهران، دانشگاه؛ شماره نسخه:۹۱۴/۶ -ف</w:t>
      </w:r>
    </w:p>
    <w:p>
      <w:pPr>
        <w:pStyle w:val="BookText"/>
      </w:pPr>
      <w:r>
        <w:rPr>
          <w:rFonts w:ascii="IRNazanin" w:hAnsi="IRNazanin" w:eastAsia="IRNazanin" w:cs="IRNazanin"/>
          <w:lang w:bidi="fa-IR"/>
          <w:color w:val="111111"/>
          <w:sz w:val="28"/>
          <w:szCs w:val="28"/>
          <w:rtl/>
        </w:rPr>
        <w:t xml:space="preserve">نسخه اصل: پاریس 1022 . </w:t>
      </w:r>
      <w:r>
        <w:rPr>
          <w:rFonts w:ascii="Times New Roman" w:hAnsi="Times New Roman" w:eastAsia="Times New Roman" w:cs="Times New Roman"/>
          <w:lang w:val="en-US" w:bidi="en-US"/>
          <w:color w:val="111111"/>
          <w:sz w:val="28"/>
          <w:szCs w:val="28"/>
          <w:rtl/>
        </w:rPr>
        <w:t xml:space="preserve">S. P (</w:t>
      </w:r>
      <w:r>
        <w:rPr>
          <w:rFonts w:ascii="IRNazanin" w:hAnsi="IRNazanin" w:eastAsia="IRNazanin" w:cs="IRNazanin"/>
          <w:lang w:bidi="fa-IR"/>
          <w:color w:val="111111"/>
          <w:sz w:val="28"/>
          <w:szCs w:val="28"/>
          <w:rtl/>
        </w:rPr>
        <w:t xml:space="preserve">بلوشه ش ۲۰۹)؛ خط: نستعلیق، بی کا، بی تا؛ ۱۵ سطر [فیلمها ف: ۱-۵۴۷]</w:t>
      </w:r>
    </w:p>
    <w:p>
      <w:pPr>
        <w:pStyle w:val="Heading3"/>
      </w:pPr>
      <w:bookmarkStart w:id="2605" w:name="_Toc1865"/>
      <w:r>
        <w:t>•تاریخ مزدک / کلام و اعتقادات فارسی</w:t>
      </w:r>
      <w:bookmarkEnd w:id="2605"/>
    </w:p>
    <w:p>
      <w:pPr>
        <w:pStyle w:val="BookText"/>
      </w:pPr>
      <w:r>
        <w:rPr>
          <w:rFonts w:ascii="Times New Roman" w:hAnsi="Times New Roman" w:eastAsia="Times New Roman" w:cs="Times New Roman"/>
          <w:lang w:val="en-US" w:bidi="en-US"/>
          <w:color w:val="111111"/>
          <w:sz w:val="28"/>
          <w:szCs w:val="28"/>
          <w:rtl/>
        </w:rPr>
        <w:t xml:space="preserve">tārīx-e mazdak</w:t>
      </w:r>
    </w:p>
    <w:p>
      <w:pPr>
        <w:pStyle w:val="BookText"/>
      </w:pPr>
      <w:r>
        <w:rPr>
          <w:rFonts w:ascii="IRNazanin" w:hAnsi="IRNazanin" w:eastAsia="IRNazanin" w:cs="IRNazanin"/>
          <w:lang w:bidi="fa-IR"/>
          <w:color w:val="111111"/>
          <w:sz w:val="28"/>
          <w:szCs w:val="28"/>
          <w:rtl/>
        </w:rPr>
        <w:t xml:space="preserve">بخشی از یک کتاب زرتشتی است درباره تاریخ مزدک و چگونگی ظهور وخروج وی.</w:t>
      </w:r>
    </w:p>
    <w:p>
      <w:pPr>
        <w:pStyle w:val="BookText"/>
      </w:pPr>
      <w:r>
        <w:rPr>
          <w:rFonts w:ascii="IRNazanin" w:hAnsi="IRNazanin" w:eastAsia="IRNazanin" w:cs="IRNazanin"/>
          <w:lang w:bidi="fa-IR"/>
          <w:color w:val="111111"/>
          <w:sz w:val="28"/>
          <w:szCs w:val="28"/>
          <w:rtl/>
        </w:rPr>
        <w:t xml:space="preserve">تهران؛ مجلس؛ شماره نسخه: ۱۳۵۸۹/۲</w:t>
      </w:r>
    </w:p>
    <w:p>
      <w:pPr>
        <w:pStyle w:val="BookText"/>
      </w:pPr>
      <w:r>
        <w:rPr>
          <w:rFonts w:ascii="IRNazanin" w:hAnsi="IRNazanin" w:eastAsia="IRNazanin" w:cs="IRNazanin"/>
          <w:lang w:bidi="fa-IR"/>
          <w:color w:val="111111"/>
          <w:sz w:val="28"/>
          <w:szCs w:val="28"/>
          <w:rtl/>
        </w:rPr>
        <w:t xml:space="preserve">آغاز: اندرین جا پیداست و چگونگی مذهب او و چگونه کشف و او را و اقوام او نوشیروان عادل؛ انجام: و این حکایت از وی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563" w:name="pg20363_209885"/>
    <w:bookmarkEnd w:id="563"/>
    <w:p>
      <w:pPr>
        <w:pStyle w:val="BookText"/>
      </w:pPr>
      <w:r>
        <w:rPr>
          <w:rFonts w:ascii="IRNazanin" w:hAnsi="IRNazanin" w:eastAsia="IRNazanin" w:cs="IRNazanin"/>
          <w:lang w:bidi="fa-IR"/>
          <w:color w:val="111111"/>
          <w:sz w:val="28"/>
          <w:szCs w:val="28"/>
          <w:rtl/>
        </w:rPr>
        <w:t xml:space="preserve">بیادگار بماند حکایت مزدک ... چنین بوده است خط: نستعلیق، بی کا، بی تا، مجدول؛ جلد: گالینگور سبز، ۱۰گ (۱۸ر-۲۷پ)، ۱۷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[ف: ۳۷-۱۰۳]</w:t>
      </w:r>
    </w:p>
    <w:p>
      <w:pPr>
        <w:pStyle w:val="Heading3"/>
      </w:pPr>
      <w:bookmarkStart w:id="2606" w:name="_Toc1866"/>
      <w:r>
        <w:t>• تاریخ مستور = تاریخ عهد پهلوی = تاریخ گمنام / تاریخ ایران / فارسی</w:t>
      </w:r>
      <w:bookmarkEnd w:id="2606"/>
    </w:p>
    <w:p>
      <w:pPr>
        <w:pStyle w:val="BookText"/>
      </w:pPr>
      <w:r>
        <w:rPr>
          <w:rFonts w:ascii="Times New Roman" w:hAnsi="Times New Roman" w:eastAsia="Times New Roman" w:cs="Times New Roman"/>
          <w:lang w:val="en-US" w:bidi="en-US"/>
          <w:color w:val="111111"/>
          <w:sz w:val="28"/>
          <w:szCs w:val="28"/>
          <w:rtl/>
        </w:rPr>
        <w:t xml:space="preserve">tārīx-e mastūr = tārīx-e 'ahd-e pahlavī = tārīx-e gomnām</w:t>
      </w:r>
    </w:p>
    <w:p>
      <w:pPr>
        <w:pStyle w:val="BookText"/>
      </w:pPr>
      <w:r>
        <w:rPr>
          <w:rFonts w:ascii="IRNazanin" w:hAnsi="IRNazanin" w:eastAsia="IRNazanin" w:cs="IRNazanin"/>
          <w:lang w:bidi="fa-IR"/>
          <w:color w:val="111111"/>
          <w:sz w:val="28"/>
          <w:szCs w:val="28"/>
          <w:rtl/>
        </w:rPr>
        <w:t xml:space="preserve">امام جمعه خوئی، محمد امین بن یحیی،-۱۳۶۷ ؟ قمری</w:t>
      </w:r>
    </w:p>
    <w:p>
      <w:pPr>
        <w:pStyle w:val="BookText"/>
      </w:pPr>
      <w:r>
        <w:rPr>
          <w:rFonts w:ascii="Times New Roman" w:hAnsi="Times New Roman" w:eastAsia="Times New Roman" w:cs="Times New Roman"/>
          <w:lang w:val="en-US" w:bidi="en-US"/>
          <w:color w:val="111111"/>
          <w:sz w:val="28"/>
          <w:szCs w:val="28"/>
          <w:rtl/>
        </w:rPr>
        <w:t xml:space="preserve">emām jom'e xūli, mohammad amīn ebn-e yahyā ( 1948)</w:t>
      </w:r>
    </w:p>
    <w:p>
      <w:pPr>
        <w:pStyle w:val="BookText"/>
      </w:pPr>
      <w:r>
        <w:rPr>
          <w:rFonts w:ascii="IRNazanin" w:hAnsi="IRNazanin" w:eastAsia="IRNazanin" w:cs="IRNazanin"/>
          <w:lang w:bidi="fa-IR"/>
          <w:color w:val="111111"/>
          <w:sz w:val="28"/>
          <w:szCs w:val="28"/>
          <w:rtl/>
        </w:rPr>
        <w:t xml:space="preserve">حوادث سلطنت عصر رضا خان پهلوی از سال ۱۲۹۹ شمسی تا ۱۳۱۵ شمسی مطابق سال ۱۳۳۹ تا ۱۳۵۶ ق، به صورت مختصر و فهرست وار گزارش شده است. این کتاب از جهت تاریخ اجتماعی ایران در عصر رضاخان پهلوی حائز اهمیت فراوانی است. مؤلف در دیباچه نسخه دیگری از همین کتاب که در شماره ۱۲۲۷۳ مرعشی است، می گوید: «این تاریخ را به طور یادداشت برای آیندگان به یادگار می گذارم و در این اثر دارم که این یادداشت ها را بدون هیچگونه علامت و نشانه به طور گمنام و مستور بنویسم و تا خودم زنده ام به کسی ارائه ندهم و به این مناسبت آن را «تاریخ مستور» می نامم. تاریخ عهد پهلوی ممکن است که به وسیله اشخاص بسیاری از معاصرین، به رشته تحریر و تأليف در آمده باشد؛ ولی بسیار کم اتفاق می افتد که در بیان حقایق، از نیک و بد، راه حقیقت پیموده و از افراط و تفريط، بالمره مصون بوده باشد بنای قطعی دارم بر اینکه قلم روی کاغذ نگذارم مگر چیزی را که تا امروز کسی آن را ننوشته باشد، به قدری که این جانب واقف بوده و مستحضر شده ام ... نگاشته ام». ناگفته نماند که اساس این کتاب مشتمل بر دو بخش خواهد بود:</w:t>
      </w:r>
    </w:p>
    <w:p>
      <w:pPr>
        <w:pStyle w:val="BookText"/>
      </w:pPr>
      <w:r>
        <w:rPr>
          <w:rFonts w:ascii="IRNazanin" w:hAnsi="IRNazanin" w:eastAsia="IRNazanin" w:cs="IRNazanin"/>
          <w:lang w:bidi="fa-IR"/>
          <w:color w:val="111111"/>
          <w:sz w:val="28"/>
          <w:szCs w:val="28"/>
          <w:rtl/>
        </w:rPr>
        <w:t xml:space="preserve">۱. ذکر قضایا و حوادث جاریه و ترتیب جریان آنها، ۲. قضاوت و اظهار عقیده در قضايا و ذکر علل و عوامل مؤثره موجبه. معجم المؤلفين ۸۱/۹؛ نقباء[البشر ۱۸۳-۱۸۲]</w:t>
      </w:r>
    </w:p>
    <w:p>
      <w:pPr>
        <w:pStyle w:val="BookText"/>
      </w:pPr>
      <w:r>
        <w:rPr>
          <w:rFonts w:ascii="IRNazanin" w:hAnsi="IRNazanin" w:eastAsia="IRNazanin" w:cs="IRNazanin"/>
          <w:lang w:bidi="fa-IR"/>
          <w:color w:val="111111"/>
          <w:sz w:val="28"/>
          <w:szCs w:val="28"/>
          <w:rtl/>
        </w:rPr>
        <w:t xml:space="preserve">۱. قم؛ مرعشی؛ شماره نسخه:۱۲۲۵۳</w:t>
      </w:r>
    </w:p>
    <w:p>
      <w:pPr>
        <w:pStyle w:val="BookText"/>
      </w:pPr>
      <w:r>
        <w:rPr>
          <w:rFonts w:ascii="IRNazanin" w:hAnsi="IRNazanin" w:eastAsia="IRNazanin" w:cs="IRNazanin"/>
          <w:lang w:bidi="fa-IR"/>
          <w:color w:val="111111"/>
          <w:sz w:val="28"/>
          <w:szCs w:val="28"/>
          <w:rtl/>
        </w:rPr>
        <w:t xml:space="preserve">آغاز: بسم الله تعالى شأنه العزيز ... و بعد نظر به اینکه پس از طلوع کو کب درخشان پهلوی یک صفحه تازه؛ انجام: الا اینکه بواسطه محدود بودن روضه خو آنها نوعا آقایان ذاکرین نمی توانستند بمجالسی برسند و مجالسی قهر می افتاد خط: شکسته نستعلیق، کاتب = مؤلف، تا: قرن ۱۴؛ یادداشت درباره خدمت آقا نورالله (اصفهانی و ناصر الملک در تهران به سال ۱۳۰۶ شمسی از مؤلف؛ کاغذ: فرنگی خط دار، جلد: تیماج مشکی با ترنج گل و بوته، ۸۰ گ، ۱۹-۲۰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۳۱-۹۲]</w:t>
      </w:r>
    </w:p>
    <w:p>
      <w:pPr>
        <w:pStyle w:val="BookText"/>
      </w:pPr>
      <w:r>
        <w:rPr>
          <w:rFonts w:ascii="IRNazanin" w:hAnsi="IRNazanin" w:eastAsia="IRNazanin" w:cs="IRNazanin"/>
          <w:lang w:bidi="fa-IR"/>
          <w:color w:val="111111"/>
          <w:sz w:val="28"/>
          <w:szCs w:val="28"/>
          <w:rtl/>
        </w:rPr>
        <w:t xml:space="preserve">۲. قم؛ مرعشی؛ شماره نسخه: ۱۲۲۷۳/۱</w:t>
      </w:r>
    </w:p>
    <w:p>
      <w:pPr>
        <w:pStyle w:val="BookText"/>
      </w:pPr>
      <w:r>
        <w:rPr>
          <w:rFonts w:ascii="IRNazanin" w:hAnsi="IRNazanin" w:eastAsia="IRNazanin" w:cs="IRNazanin"/>
          <w:lang w:bidi="fa-IR"/>
          <w:color w:val="111111"/>
          <w:sz w:val="28"/>
          <w:szCs w:val="28"/>
          <w:rtl/>
        </w:rPr>
        <w:t xml:space="preserve">آغاز: چون پس از طلوع کو کب و کبکبه پهلوی از افق ایران یک طرز نوین و صفحه تازه در تاریخ ایران باز شد؛ انجام: ناتمام:گفتند که در معابر و بازارها روضه خانی قدغن است، بروند در مساجد و منازل و تکایا مجالس را ترتیب بدهند خط شکسته نستعلیق، کاتب = مؤلف، تا: قرن ۱۴؛ افتادگی: انجام؛ مصحح، محشی؛ کاغذ: فرنگی خط دار، ۸۰گ (۱-۸۰)، ۱۹ سطر،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[ف: ۳۱-۱۱۷]</w:t>
      </w:r>
    </w:p>
    <w:p>
      <w:pPr>
        <w:pStyle w:val="BookText"/>
      </w:pPr>
      <w:r>
        <w:rPr>
          <w:rFonts w:ascii="IRNazanin" w:hAnsi="IRNazanin" w:eastAsia="IRNazanin" w:cs="IRNazanin"/>
          <w:lang w:bidi="fa-IR"/>
          <w:color w:val="111111"/>
          <w:sz w:val="28"/>
          <w:szCs w:val="28"/>
          <w:rtl/>
        </w:rPr>
        <w:t xml:space="preserve">٣. قم؛ مرعشی؛ شماره نسخه: ۱۲۲۷۳/۲</w:t>
      </w:r>
    </w:p>
    <w:p>
      <w:pPr>
        <w:pStyle w:val="BookText"/>
      </w:pPr>
      <w:r>
        <w:rPr>
          <w:rFonts w:ascii="IRNazanin" w:hAnsi="IRNazanin" w:eastAsia="IRNazanin" w:cs="IRNazanin"/>
          <w:lang w:bidi="fa-IR"/>
          <w:color w:val="111111"/>
          <w:sz w:val="28"/>
          <w:szCs w:val="28"/>
          <w:rtl/>
        </w:rPr>
        <w:t xml:space="preserve">آغاز: مخفی و مستور نماناد که این نگارنده گمنام از اول عمر ضبط قضايا و آثار تاریخی مخصوصا ضبط قسمت روحیات؛ انجام: ناتمام و مدتی هم بر طبق آن عمل می شود پس از آن صورت قانونی پیدا می کند خط شکسته نستعلیق، کاتب = مؤلف، تا: قرن ۱۴؛ افتادگی: انجام؛ مصحح، محشی، قلم خوردگی های فراوان؛ گویا پیش نویس و مسوده مؤلف بوده و نسبت به سایر نسخه های موجود آن، در این کتابخانه که همگی نیز به خط مؤلف و برخی ناقص است، این نسخه افزودگی هایی دارد و هر نسخه مزیت خاص خود را دارد و دقیقا متن ها یکسان نیست، احتمالا بر اساس محفوظات و خاطرات خود نگاشته است؛ کاغذ: فرنگی خط دار، ۲۹گ (۸۱- ۱۰۹)، ۲۰ سطر، اندازه: ۱۲/۵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۳۱-۱۱۸]</w:t>
      </w:r>
    </w:p>
    <w:p>
      <w:pPr>
        <w:pStyle w:val="BookText"/>
      </w:pPr>
      <w:r>
        <w:rPr>
          <w:rFonts w:ascii="IRNazanin" w:hAnsi="IRNazanin" w:eastAsia="IRNazanin" w:cs="IRNazanin"/>
          <w:lang w:bidi="fa-IR"/>
          <w:color w:val="111111"/>
          <w:sz w:val="28"/>
          <w:szCs w:val="28"/>
          <w:rtl/>
        </w:rPr>
        <w:t xml:space="preserve">۴. قم؛ مرعشی؛ شماره نسخه:۱۲۲۷۳/۳</w:t>
      </w:r>
    </w:p>
    <w:p>
      <w:pPr>
        <w:pStyle w:val="BookText"/>
      </w:pPr>
      <w:r>
        <w:rPr>
          <w:rFonts w:ascii="IRNazanin" w:hAnsi="IRNazanin" w:eastAsia="IRNazanin" w:cs="IRNazanin"/>
          <w:lang w:bidi="fa-IR"/>
          <w:color w:val="111111"/>
          <w:sz w:val="28"/>
          <w:szCs w:val="28"/>
          <w:rtl/>
        </w:rPr>
        <w:t xml:space="preserve">آغاز: نظر به اینکه پس از طلوع کو کب درخشان پهلوی یک صفحه تازه بر صفحات تاریخ ایران افزوده؛ انجام: ناتمام:بهر حال مردم مثل سابق در مضیقه و اضطراب نیستند خط شکسته نستعلیق، کاتب = مؤلف، تا: قرن ۱۴؛ افتادگی: انجام؛ مصحح، محشی از سوی مؤلف؛ از برگ ۱۵۰ تا ۱۵۷ یادداشت های خصوصی مرحوم صدر الاسلام خوئی مربوط به سال های ۱۳۱۴ و ۱۳۱۵ شمسی نگاشته شده با کاغذ: فرنگی خط دار، جلد: تیماج عسلی با ترنج گل و بوته، ۴۰گ (۱۱۰-۱۴۹)، ۲۱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۳۱-۱۱۸]</w:t>
      </w:r>
    </w:p>
    <w:p>
      <w:pPr>
        <w:pStyle w:val="BookText"/>
      </w:pPr>
      <w:r>
        <w:rPr>
          <w:rFonts w:ascii="IRNazanin" w:hAnsi="IRNazanin" w:eastAsia="IRNazanin" w:cs="IRNazanin"/>
          <w:lang w:bidi="fa-IR"/>
          <w:color w:val="111111"/>
          <w:sz w:val="28"/>
          <w:szCs w:val="28"/>
          <w:rtl/>
        </w:rPr>
        <w:t xml:space="preserve">← تاریخ مسعودی ← تاریخ بیهقی</w:t>
      </w:r>
    </w:p>
    <w:p>
      <w:pPr>
        <w:pStyle w:val="BookText"/>
      </w:pPr>
      <w:r>
        <w:rPr>
          <w:rFonts w:ascii="IRNazanin" w:hAnsi="IRNazanin" w:eastAsia="IRNazanin" w:cs="IRNazanin"/>
          <w:lang w:bidi="fa-IR"/>
          <w:color w:val="111111"/>
          <w:sz w:val="28"/>
          <w:szCs w:val="28"/>
          <w:rtl/>
        </w:rPr>
        <w:t xml:space="preserve">← تاریخ مسعودی ← تاریخ سر گذشت مسعودی</w:t>
      </w:r>
    </w:p>
    <w:p>
      <w:pPr>
        <w:pStyle w:val="Heading3"/>
      </w:pPr>
      <w:bookmarkStart w:id="2607" w:name="_Toc1867"/>
      <w:r>
        <w:t>• تاریخ مسعودی = عبرة الناظرين / تاریخ ایران / فارسی</w:t>
      </w:r>
      <w:bookmarkEnd w:id="2607"/>
    </w:p>
    <w:p>
      <w:pPr>
        <w:pStyle w:val="BookText"/>
      </w:pPr>
      <w:r>
        <w:rPr>
          <w:rFonts w:ascii="Times New Roman" w:hAnsi="Times New Roman" w:eastAsia="Times New Roman" w:cs="Times New Roman"/>
          <w:lang w:val="en-US" w:bidi="en-US"/>
          <w:color w:val="111111"/>
          <w:sz w:val="28"/>
          <w:szCs w:val="28"/>
          <w:rtl/>
        </w:rPr>
        <w:t xml:space="preserve">tārīx-e mas‘ūdī= ‘ebrat-on nāzerīn</w:t>
      </w:r>
    </w:p>
    <w:p>
      <w:pPr>
        <w:pStyle w:val="BookText"/>
      </w:pPr>
      <w:r>
        <w:rPr>
          <w:rFonts w:ascii="IRNazanin" w:hAnsi="IRNazanin" w:eastAsia="IRNazanin" w:cs="IRNazanin"/>
          <w:lang w:bidi="fa-IR"/>
          <w:color w:val="111111"/>
          <w:sz w:val="28"/>
          <w:szCs w:val="28"/>
          <w:rtl/>
        </w:rPr>
        <w:t xml:space="preserve">مسعود الملک، محمد علی، ق۱۳ قمری</w:t>
      </w:r>
    </w:p>
    <w:p>
      <w:pPr>
        <w:pStyle w:val="BookText"/>
      </w:pPr>
      <w:r>
        <w:rPr>
          <w:rFonts w:ascii="Times New Roman" w:hAnsi="Times New Roman" w:eastAsia="Times New Roman" w:cs="Times New Roman"/>
          <w:lang w:val="en-US" w:bidi="en-US"/>
          <w:color w:val="111111"/>
          <w:sz w:val="28"/>
          <w:szCs w:val="28"/>
          <w:rtl/>
        </w:rPr>
        <w:t xml:space="preserve">mas‘ūd-ol-molk, mohammad ‘alī (-19c)</w:t>
      </w:r>
    </w:p>
    <w:p>
      <w:pPr>
        <w:pStyle w:val="BookText"/>
      </w:pPr>
      <w:r>
        <w:rPr>
          <w:rFonts w:ascii="IRNazanin" w:hAnsi="IRNazanin" w:eastAsia="IRNazanin" w:cs="IRNazanin"/>
          <w:lang w:bidi="fa-IR"/>
          <w:color w:val="111111"/>
          <w:sz w:val="28"/>
          <w:szCs w:val="28"/>
          <w:rtl/>
        </w:rPr>
        <w:t xml:space="preserve">در تاریخ فارس و سرگذشت سیاسی حاجی میرزا علی اکبر خان قوام الملک کلانتر و بیگلر بیگی فارس پسر حاجی ابراهیم خان اعتماد الدوله صدر اعظم محمد شاه و فتح علی شاه، پسر حاجی هاشم کلانتر شیراز پسر حاجی محمود پسر محمد علی پسر على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564" w:name="pg20363_209886"/>
    <w:bookmarkEnd w:id="564"/>
    <w:p>
      <w:pPr>
        <w:pStyle w:val="BookText"/>
      </w:pPr>
      <w:r>
        <w:rPr>
          <w:rFonts w:ascii="IRNazanin" w:hAnsi="IRNazanin" w:eastAsia="IRNazanin" w:cs="IRNazanin"/>
          <w:lang w:bidi="fa-IR"/>
          <w:color w:val="111111"/>
          <w:sz w:val="28"/>
          <w:szCs w:val="28"/>
          <w:rtl/>
        </w:rPr>
        <w:t xml:space="preserve">محمد تا برسد به حاجی قوام الدین که حافظ شیرازی اورا</w:t>
      </w:r>
    </w:p>
    <w:p>
      <w:pPr>
        <w:pStyle w:val="BookText"/>
      </w:pPr>
      <w:r>
        <w:rPr>
          <w:rFonts w:ascii="IRNazanin" w:hAnsi="IRNazanin" w:eastAsia="IRNazanin" w:cs="IRNazanin"/>
          <w:lang w:bidi="fa-IR"/>
          <w:color w:val="111111"/>
          <w:sz w:val="28"/>
          <w:szCs w:val="28"/>
          <w:rtl/>
        </w:rPr>
        <w:t xml:space="preserve">ستوده است، با آوردن سرگذشت پسرش صاحب دیوان. این کتاب برای تاریخ مشروطیت سودمند است. (دانش پژوه)</w:t>
      </w:r>
    </w:p>
    <w:p>
      <w:pPr>
        <w:pStyle w:val="BookText"/>
      </w:pPr>
      <w:r>
        <w:rPr>
          <w:rFonts w:ascii="IRNazanin" w:hAnsi="IRNazanin" w:eastAsia="IRNazanin" w:cs="IRNazanin"/>
          <w:lang w:bidi="fa-IR"/>
          <w:color w:val="111111"/>
          <w:sz w:val="28"/>
          <w:szCs w:val="28"/>
          <w:rtl/>
        </w:rPr>
        <w:t xml:space="preserve">[دنا ۷۳۸/۲ ؛ فهرستواره منزوی ۹۰۱/۲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 ۹۹۶۱</w:t>
      </w:r>
    </w:p>
    <w:p>
      <w:pPr>
        <w:pStyle w:val="BookText"/>
      </w:pPr>
      <w:r>
        <w:rPr>
          <w:rFonts w:ascii="IRNazanin" w:hAnsi="IRNazanin" w:eastAsia="IRNazanin" w:cs="IRNazanin"/>
          <w:lang w:bidi="fa-IR"/>
          <w:color w:val="111111"/>
          <w:sz w:val="28"/>
          <w:szCs w:val="28"/>
          <w:rtl/>
        </w:rPr>
        <w:t xml:space="preserve">جلد دوم است از این کتاب یا «شرح حال مسعودی و رمان مسمی به عبرة الناظرين» و در آغازش آمده که کتاب اول در ۱۳۱۶ - ۱۳۲۰ نوشته شده است. در این جلد دومی که عبرة الناظرين مسعودی خوانده شده است از حوادثی که رخ داده یاد شده است و در آن آمده که این سال ۱۳۱۹ است؛ خط: نستعلیق، کاتب = مؤلف، تا: ۱۳۲۲ق؛ با بندی در ص ۵۱۹-۵۲۳ که پس از ۲۸ سال نوشته گشت، با نقشه دورنمای بندر دیلم مورخ ۱۸ شعبان ۱۳۲۱ به امضای «... شیرازی» چسبیده به صفحه ۴۴۸. [ف: ۱۷-۵۱۴]</w:t>
      </w:r>
    </w:p>
    <w:p>
      <w:pPr>
        <w:pStyle w:val="BookText"/>
      </w:pPr>
      <w:r>
        <w:rPr>
          <w:rFonts w:ascii="IRNazanin" w:hAnsi="IRNazanin" w:eastAsia="IRNazanin" w:cs="IRNazanin"/>
          <w:lang w:bidi="fa-IR"/>
          <w:color w:val="111111"/>
          <w:sz w:val="28"/>
          <w:szCs w:val="28"/>
          <w:rtl/>
        </w:rPr>
        <w:t xml:space="preserve">۲. تهران؛ دانشگاه؛ شماره نسخه: ۹۹۶۲</w:t>
      </w:r>
    </w:p>
    <w:p>
      <w:pPr>
        <w:pStyle w:val="BookText"/>
      </w:pPr>
      <w:r>
        <w:rPr>
          <w:rFonts w:ascii="IRNazanin" w:hAnsi="IRNazanin" w:eastAsia="IRNazanin" w:cs="IRNazanin"/>
          <w:lang w:bidi="fa-IR"/>
          <w:color w:val="111111"/>
          <w:sz w:val="28"/>
          <w:szCs w:val="28"/>
          <w:rtl/>
        </w:rPr>
        <w:t xml:space="preserve">چهارم و پنجم است، در آغاز آمده که کتاب سوم را تمام کردم و امروز ۲۲ رمضان ۱۳۳۰ سیچقان ئیل این کتاب را آغاز کردم. کتاب چهارم در پایان یک شنبه ۱۲ ربیع الاول ۱۳۲۸ قوی ئیل در ص ۱-۲۴۲ و کتاب پنجم ساخته ۱۳۳۴-۱۳۳۶ و نوشته جمعه ۲۱ جمادی الثانی ۱۲۲۸ د ص ۱-۳۳۴، در پایان آمده کتاب ششم واقعات ۱۳۳۶ است و در ۱۰ محرم ۱۳۳۶ واقعه حاج مسعودالدوله رخ داده است. در آن از حبیب الله قوام الملک یاد می شود، نیز ان شاء الله این کتب به طبع برسد» همچنین یاد می شود از نظام السلطنه وصولة الدوله و قوام الملک حاکم مستقل فارس در هنگام ساختن همین دفتر، در پایان یازده طغرا سند سیاسی جداگانه چاپی و خطی با نام رضاشاه و با تاریخ ۱۸ قوس ۱۳۳۸ و ۴ قوس ۱۳۳۴ و ۲۱ حمل ۱۳۳۴ و ۲۷ صفر ۱۳۳۴ و ۱۴ ثور ۱۳۳۴ و ۲۸ جمادی الثانی ۱۳۳۴ و یادداشت درباره «ایالت رضاقلی خان نظام السلطنه ما في» در ۱۶ برگ، یادداشت های «ایالت عزیز الله میرزا ظفرالسلطنه» در برگ ۳ و ۴؛ خط: نستعلیق، کاتب = مؤلف، بی تاب در پایان امضای «محمد علی مسعود الملک»؛ کاغذ: فرنگی، ۲۰ص، ابعاد متن: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۱۷-۵۱۵]</w:t>
      </w:r>
    </w:p>
    <w:p>
      <w:pPr>
        <w:pStyle w:val="BookText"/>
      </w:pPr>
      <w:r>
        <w:rPr>
          <w:rFonts w:ascii="IRNazanin" w:hAnsi="IRNazanin" w:eastAsia="IRNazanin" w:cs="IRNazanin"/>
          <w:lang w:bidi="fa-IR"/>
          <w:color w:val="111111"/>
          <w:sz w:val="28"/>
          <w:szCs w:val="28"/>
          <w:rtl/>
        </w:rPr>
        <w:t xml:space="preserve">٣. تهران؛ دانشگاه؛ شماره نسخه:۹۹۶۳</w:t>
      </w:r>
    </w:p>
    <w:p>
      <w:pPr>
        <w:pStyle w:val="BookText"/>
      </w:pPr>
      <w:r>
        <w:rPr>
          <w:rFonts w:ascii="IRNazanin" w:hAnsi="IRNazanin" w:eastAsia="IRNazanin" w:cs="IRNazanin"/>
          <w:lang w:bidi="fa-IR"/>
          <w:color w:val="111111"/>
          <w:sz w:val="28"/>
          <w:szCs w:val="28"/>
          <w:rtl/>
        </w:rPr>
        <w:t xml:space="preserve">در آن آمده که کتاب پنجم به واقعه تیر زدن به حاج مسعود الدوله رئیس نظمیه خاتمه یافت. در کتاب ششم پس از این واقعه تاریخ سه ساله از آغاز ۱۳۳۶ تا ۱۳۳۸ درج می شود، این دفتراز «حركات قوام الملک به گرم سیراب در ۶ محرم ۱۲۲۶» آغاز و می رسد به اسباب چینی علم الهدی برای امیرالامراء در باب تلگراف و پسر میرزا علی خان نوری تلگرافچی» و آن در پایان سال ۱۳۴۰ و آغاز ۱۳۴۱ ساخته شده؛ خط نستعلیق، کاتب = مؤلف، بی تا [ف: ۱۷-۵۱۵]</w:t>
      </w:r>
    </w:p>
    <w:p>
      <w:pPr>
        <w:pStyle w:val="Heading3"/>
      </w:pPr>
      <w:bookmarkStart w:id="2608" w:name="_Toc1868"/>
      <w:r>
        <w:t>• تاریخ مشایخ بنی کعب / تراجم</w:t>
      </w:r>
      <w:bookmarkEnd w:id="2608"/>
    </w:p>
    <w:p>
      <w:pPr>
        <w:pStyle w:val="BookText"/>
      </w:pPr>
      <w:r>
        <w:rPr>
          <w:rFonts w:ascii="Times New Roman" w:hAnsi="Times New Roman" w:eastAsia="Times New Roman" w:cs="Times New Roman"/>
          <w:lang w:val="en-US" w:bidi="en-US"/>
          <w:color w:val="111111"/>
          <w:sz w:val="28"/>
          <w:szCs w:val="28"/>
          <w:rtl/>
        </w:rPr>
        <w:t xml:space="preserve">tārīx-e mašāyex-e banī-kab</w:t>
      </w:r>
    </w:p>
    <w:p>
      <w:pPr>
        <w:pStyle w:val="BookText"/>
      </w:pPr>
      <w:r>
        <w:rPr>
          <w:rFonts w:ascii="IRNazanin" w:hAnsi="IRNazanin" w:eastAsia="IRNazanin" w:cs="IRNazanin"/>
          <w:lang w:bidi="fa-IR"/>
          <w:color w:val="111111"/>
          <w:sz w:val="28"/>
          <w:szCs w:val="28"/>
          <w:rtl/>
        </w:rPr>
        <w:t xml:space="preserve">اهواز؛ دانشگاه اهواز؛ شماره نسخه:بدون شماره</w:t>
      </w:r>
    </w:p>
    <w:p>
      <w:pPr>
        <w:pStyle w:val="BookText"/>
      </w:pPr>
      <w:r>
        <w:rPr>
          <w:rFonts w:ascii="IRNazanin" w:hAnsi="IRNazanin" w:eastAsia="IRNazanin" w:cs="IRNazanin"/>
          <w:lang w:bidi="fa-IR"/>
          <w:color w:val="111111"/>
          <w:sz w:val="28"/>
          <w:szCs w:val="28"/>
          <w:rtl/>
        </w:rPr>
        <w:t xml:space="preserve">بی کا، بی تا (میراث اسلامی: ۵-۵۸۸]</w:t>
      </w:r>
    </w:p>
    <w:p>
      <w:pPr>
        <w:pStyle w:val="BookText"/>
      </w:pPr>
      <w:r>
        <w:rPr>
          <w:rFonts w:ascii="IRNazanin" w:hAnsi="IRNazanin" w:eastAsia="IRNazanin" w:cs="IRNazanin"/>
          <w:lang w:bidi="fa-IR"/>
          <w:color w:val="111111"/>
          <w:sz w:val="28"/>
          <w:szCs w:val="28"/>
          <w:rtl/>
        </w:rPr>
        <w:t xml:space="preserve">← تاریخ مشجر ← تحفه سلیمانی</w:t>
      </w:r>
    </w:p>
    <w:p>
      <w:pPr>
        <w:pStyle w:val="Heading3"/>
      </w:pPr>
      <w:bookmarkStart w:id="2609" w:name="_Toc1869"/>
      <w:r>
        <w:t>•تاریخ مشجر / تاریخ / عربی</w:t>
      </w:r>
      <w:bookmarkEnd w:id="2609"/>
    </w:p>
    <w:p>
      <w:pPr>
        <w:pStyle w:val="BookText"/>
      </w:pPr>
      <w:r>
        <w:rPr>
          <w:rFonts w:ascii="Times New Roman" w:hAnsi="Times New Roman" w:eastAsia="Times New Roman" w:cs="Times New Roman"/>
          <w:lang w:val="en-US" w:bidi="en-US"/>
          <w:color w:val="111111"/>
          <w:sz w:val="28"/>
          <w:szCs w:val="28"/>
          <w:rtl/>
        </w:rPr>
        <w:t xml:space="preserve">tarix-e mosajjar</w:t>
      </w:r>
    </w:p>
    <w:p>
      <w:pPr>
        <w:pStyle w:val="BookText"/>
      </w:pPr>
      <w:r>
        <w:rPr>
          <w:rFonts w:ascii="IRNazanin" w:hAnsi="IRNazanin" w:eastAsia="IRNazanin" w:cs="IRNazanin"/>
          <w:lang w:bidi="fa-IR"/>
          <w:color w:val="111111"/>
          <w:sz w:val="28"/>
          <w:szCs w:val="28"/>
          <w:rtl/>
        </w:rPr>
        <w:t xml:space="preserve">حنبلی، یوسف بن حسن،-۸۸۰؟ قمری</w:t>
      </w:r>
    </w:p>
    <w:p>
      <w:pPr>
        <w:pStyle w:val="BookText"/>
      </w:pPr>
      <w:r>
        <w:rPr>
          <w:rFonts w:ascii="Times New Roman" w:hAnsi="Times New Roman" w:eastAsia="Times New Roman" w:cs="Times New Roman"/>
          <w:lang w:val="en-US" w:bidi="en-US"/>
          <w:color w:val="111111"/>
          <w:sz w:val="28"/>
          <w:szCs w:val="28"/>
          <w:rtl/>
        </w:rPr>
        <w:t xml:space="preserve">hanbalī, yūsof ebn-e hasan (-1476)</w:t>
      </w:r>
    </w:p>
    <w:p>
      <w:pPr>
        <w:pStyle w:val="BookText"/>
      </w:pPr>
      <w:r>
        <w:rPr>
          <w:rFonts w:ascii="IRNazanin" w:hAnsi="IRNazanin" w:eastAsia="IRNazanin" w:cs="IRNazanin"/>
          <w:lang w:bidi="fa-IR"/>
          <w:color w:val="111111"/>
          <w:sz w:val="28"/>
          <w:szCs w:val="28"/>
          <w:rtl/>
        </w:rPr>
        <w:t xml:space="preserve">شجره نسب حضرت پیامبر و اسماء منسوبین به آن حضرت از قبیل: اولاد، ازواج، عمات، غلامان و ... به صورت مشجر رسم شده است. چاپ: این کتاب همراه کتاب تحفة الخاقان به صورت افست از روی نسخه خطی در قم در سال ۱۴۰۴ توسط انتشارات ارومیه ای منتشر شده است</w:t>
      </w:r>
    </w:p>
    <w:p>
      <w:pPr>
        <w:pStyle w:val="BookText"/>
      </w:pPr>
      <w:r>
        <w:rPr>
          <w:rFonts w:ascii="IRNazanin" w:hAnsi="IRNazanin" w:eastAsia="IRNazanin" w:cs="IRNazanin"/>
          <w:lang w:bidi="fa-IR"/>
          <w:color w:val="111111"/>
          <w:sz w:val="28"/>
          <w:szCs w:val="28"/>
          <w:rtl/>
        </w:rPr>
        <w:t xml:space="preserve">[هدية العارفین ۵۶۰/۱ ]</w:t>
      </w:r>
    </w:p>
    <w:p>
      <w:pPr>
        <w:pStyle w:val="BookText"/>
      </w:pPr>
      <w:r>
        <w:rPr>
          <w:rFonts w:ascii="IRNazanin" w:hAnsi="IRNazanin" w:eastAsia="IRNazanin" w:cs="IRNazanin"/>
          <w:lang w:bidi="fa-IR"/>
          <w:color w:val="111111"/>
          <w:sz w:val="28"/>
          <w:szCs w:val="28"/>
          <w:rtl/>
        </w:rPr>
        <w:t xml:space="preserve">۱. تهران؛ مجلس؛ شماره نسخه: ۷۰۶۷/۲</w:t>
      </w:r>
    </w:p>
    <w:p>
      <w:pPr>
        <w:pStyle w:val="BookText"/>
      </w:pPr>
      <w:r>
        <w:rPr>
          <w:rFonts w:ascii="IRNazanin" w:hAnsi="IRNazanin" w:eastAsia="IRNazanin" w:cs="IRNazanin"/>
          <w:lang w:bidi="fa-IR"/>
          <w:color w:val="111111"/>
          <w:sz w:val="28"/>
          <w:szCs w:val="28"/>
          <w:rtl/>
        </w:rPr>
        <w:t xml:space="preserve">خط: نسخ، بی کا، تا: ۱۰۸۱ق، جلد: تیماج قهوه ای مجدول، ۲۱</w:t>
      </w:r>
    </w:p>
    <w:p>
      <w:pPr>
        <w:pStyle w:val="BookText"/>
      </w:pPr>
      <w:r>
        <w:rPr>
          <w:rFonts w:ascii="IRNazanin" w:hAnsi="IRNazanin" w:eastAsia="IRNazanin" w:cs="IRNazanin"/>
          <w:lang w:bidi="fa-IR"/>
          <w:color w:val="111111"/>
          <w:sz w:val="28"/>
          <w:szCs w:val="28"/>
          <w:rtl/>
        </w:rPr>
        <w:t xml:space="preserve">سطر، اندازه: ۲۲/۵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۳۷سم [ف: ۲۵-۷۸]</w:t>
      </w:r>
    </w:p>
    <w:p>
      <w:pPr>
        <w:pStyle w:val="BookText"/>
      </w:pPr>
      <w:r>
        <w:rPr>
          <w:rFonts w:ascii="IRNazanin" w:hAnsi="IRNazanin" w:eastAsia="IRNazanin" w:cs="IRNazanin"/>
          <w:lang w:bidi="fa-IR"/>
          <w:color w:val="111111"/>
          <w:sz w:val="28"/>
          <w:szCs w:val="28"/>
          <w:rtl/>
        </w:rPr>
        <w:t xml:space="preserve">۲. تهران؛ مجلس؛ شماره نسخه:۷۵۹۳</w:t>
      </w:r>
    </w:p>
    <w:p>
      <w:pPr>
        <w:pStyle w:val="BookText"/>
      </w:pPr>
      <w:r>
        <w:rPr>
          <w:rFonts w:ascii="IRNazanin" w:hAnsi="IRNazanin" w:eastAsia="IRNazanin" w:cs="IRNazanin"/>
          <w:lang w:bidi="fa-IR"/>
          <w:color w:val="111111"/>
          <w:sz w:val="28"/>
          <w:szCs w:val="28"/>
          <w:rtl/>
        </w:rPr>
        <w:t xml:space="preserve">خط: نسخ، بی کا، بی تا؛ با جداولی در هر صفحه؛ جلد: تیماج قهوه ای با ترنج، وگ،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۲۶-۹۲]</w:t>
      </w:r>
    </w:p>
    <w:p>
      <w:pPr>
        <w:pStyle w:val="Heading3"/>
      </w:pPr>
      <w:bookmarkStart w:id="2610" w:name="_Toc1870"/>
      <w:r>
        <w:t>•تاریخ مشروطه / تاریخ / فارسی</w:t>
      </w:r>
      <w:bookmarkEnd w:id="2610"/>
    </w:p>
    <w:p>
      <w:pPr>
        <w:pStyle w:val="BookText"/>
      </w:pPr>
      <w:r>
        <w:rPr>
          <w:rFonts w:ascii="Times New Roman" w:hAnsi="Times New Roman" w:eastAsia="Times New Roman" w:cs="Times New Roman"/>
          <w:lang w:val="en-US" w:bidi="en-US"/>
          <w:color w:val="111111"/>
          <w:sz w:val="28"/>
          <w:szCs w:val="28"/>
          <w:rtl/>
        </w:rPr>
        <w:t xml:space="preserve">tārīx-e mašrūte</w:t>
      </w:r>
    </w:p>
    <w:p>
      <w:pPr>
        <w:pStyle w:val="BookText"/>
      </w:pPr>
      <w:r>
        <w:rPr>
          <w:rFonts w:ascii="IRNazanin" w:hAnsi="IRNazanin" w:eastAsia="IRNazanin" w:cs="IRNazanin"/>
          <w:lang w:bidi="fa-IR"/>
          <w:color w:val="111111"/>
          <w:sz w:val="28"/>
          <w:szCs w:val="28"/>
          <w:rtl/>
        </w:rPr>
        <w:t xml:space="preserve">امیر خیزی، اسماعيل بن محمد تقی، ۱۲۵۵-۱۳۴۴ شمسی</w:t>
      </w:r>
    </w:p>
    <w:p>
      <w:pPr>
        <w:pStyle w:val="BookText"/>
      </w:pPr>
      <w:r>
        <w:rPr>
          <w:rFonts w:ascii="Times New Roman" w:hAnsi="Times New Roman" w:eastAsia="Times New Roman" w:cs="Times New Roman"/>
          <w:lang w:val="en-US" w:bidi="en-US"/>
          <w:color w:val="111111"/>
          <w:sz w:val="28"/>
          <w:szCs w:val="28"/>
          <w:rtl/>
        </w:rPr>
        <w:t xml:space="preserve">amīr-xĪZī, esmāʻīl ebn-e mohammad taqī (1876-1965) -e</w:t>
      </w:r>
    </w:p>
    <w:p>
      <w:pPr>
        <w:pStyle w:val="BookText"/>
      </w:pPr>
      <w:r>
        <w:rPr>
          <w:rFonts w:ascii="IRNazanin" w:hAnsi="IRNazanin" w:eastAsia="IRNazanin" w:cs="IRNazanin"/>
          <w:lang w:bidi="fa-IR"/>
          <w:color w:val="111111"/>
          <w:sz w:val="28"/>
          <w:szCs w:val="28"/>
          <w:rtl/>
        </w:rPr>
        <w:t xml:space="preserve">یادداشت های امیر خیزی است درباره تاریخ مشروطه و نیز اشاره ای به شرح حال خود و همراهی اش با ستارخان سردار ملی.</w:t>
      </w:r>
    </w:p>
    <w:p>
      <w:pPr>
        <w:pStyle w:val="BookText"/>
      </w:pPr>
      <w:r>
        <w:rPr>
          <w:rFonts w:ascii="IRNazanin" w:hAnsi="IRNazanin" w:eastAsia="IRNazanin" w:cs="IRNazanin"/>
          <w:lang w:bidi="fa-IR"/>
          <w:color w:val="111111"/>
          <w:sz w:val="28"/>
          <w:szCs w:val="28"/>
          <w:rtl/>
        </w:rPr>
        <w:t xml:space="preserve">۱. تهران؛ مجلس؛ شماره نسخه:۹۸۷۵</w:t>
      </w:r>
    </w:p>
    <w:p>
      <w:pPr>
        <w:pStyle w:val="BookText"/>
      </w:pPr>
      <w:r>
        <w:rPr>
          <w:rFonts w:ascii="IRNazanin" w:hAnsi="IRNazanin" w:eastAsia="IRNazanin" w:cs="IRNazanin"/>
          <w:lang w:bidi="fa-IR"/>
          <w:color w:val="111111"/>
          <w:sz w:val="28"/>
          <w:szCs w:val="28"/>
          <w:rtl/>
        </w:rPr>
        <w:t xml:space="preserve">آغاز: حقوق سردار و سالار پس از قضیه پارک در اثر اقدامات بنده و مساعدت حکیم الملک روز سه شنبه ۲۳ ذیقعده ۱۳۲۸ در مجلس شورای ملی با حضور ۶۸ وکیل خط: نستعلیق، کاتب = مؤلف، تا: قرن ۱۴؛ جلد: تیماج فرنگی مشکی، ۵۴گ، ۳۰ سطر، اندازه: ۲۲/۵</w:t>
      </w:r>
    </w:p>
    <w:p>
      <w:pPr>
        <w:pStyle w:val="BookText"/>
      </w:pP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۳۵/۵سم [ف: ۳۱-۱۱۸]</w:t>
      </w:r>
    </w:p>
    <w:p>
      <w:pPr>
        <w:pStyle w:val="BookText"/>
      </w:pPr>
      <w:r>
        <w:rPr>
          <w:rFonts w:ascii="IRNazanin" w:hAnsi="IRNazanin" w:eastAsia="IRNazanin" w:cs="IRNazanin"/>
          <w:lang w:bidi="fa-IR"/>
          <w:color w:val="111111"/>
          <w:sz w:val="28"/>
          <w:szCs w:val="28"/>
          <w:rtl/>
        </w:rPr>
        <w:t xml:space="preserve">۲. تهران؛ مجلس؛ شماره نسخه:۹۸۹۷</w:t>
      </w:r>
    </w:p>
    <w:p>
      <w:pPr>
        <w:pStyle w:val="BookText"/>
      </w:pPr>
      <w:r>
        <w:rPr>
          <w:rFonts w:ascii="IRNazanin" w:hAnsi="IRNazanin" w:eastAsia="IRNazanin" w:cs="IRNazanin"/>
          <w:lang w:bidi="fa-IR"/>
          <w:color w:val="111111"/>
          <w:sz w:val="28"/>
          <w:szCs w:val="28"/>
          <w:rtl/>
        </w:rPr>
        <w:t xml:space="preserve">خط: نستعلیق شکسته، كاتب = مؤلف، تا: قرن ۱۴؛ به صورت برگهای پراکنده است که داخل پوشه ای گذاشته اند؛ مختلف السطر [ف: ۳۱-۱۲۴]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565" w:name="pg20363_209887"/>
    <w:bookmarkEnd w:id="565"/>
    <w:p>
      <w:pPr>
        <w:pStyle w:val="BookText"/>
      </w:pPr>
      <w:r>
        <w:rPr>
          <w:rFonts w:ascii="IRNazanin" w:hAnsi="IRNazanin" w:eastAsia="IRNazanin" w:cs="IRNazanin"/>
          <w:lang w:bidi="fa-IR"/>
          <w:color w:val="111111"/>
          <w:sz w:val="28"/>
          <w:szCs w:val="28"/>
          <w:rtl/>
        </w:rPr>
        <w:t xml:space="preserve">← تاریخ مشروطیت ← تاریخ انقلاب مشروطیت ایران</w:t>
      </w:r>
    </w:p>
    <w:p>
      <w:pPr>
        <w:pStyle w:val="BookText"/>
      </w:pPr>
      <w:r>
        <w:rPr>
          <w:rFonts w:ascii="IRNazanin" w:hAnsi="IRNazanin" w:eastAsia="IRNazanin" w:cs="IRNazanin"/>
          <w:lang w:bidi="fa-IR"/>
          <w:color w:val="111111"/>
          <w:sz w:val="28"/>
          <w:szCs w:val="28"/>
          <w:rtl/>
        </w:rPr>
        <w:t xml:space="preserve">← تاریخ مشروطیت ← تلگرافهای مشروطیت</w:t>
      </w:r>
    </w:p>
    <w:p>
      <w:pPr>
        <w:pStyle w:val="BookText"/>
      </w:pPr>
      <w:r>
        <w:rPr>
          <w:rFonts w:ascii="IRNazanin" w:hAnsi="IRNazanin" w:eastAsia="IRNazanin" w:cs="IRNazanin"/>
          <w:lang w:bidi="fa-IR"/>
          <w:color w:val="111111"/>
          <w:sz w:val="28"/>
          <w:szCs w:val="28"/>
          <w:rtl/>
        </w:rPr>
        <w:t xml:space="preserve">← تاریخ مشروطیت ← شرح حال رجال مشروطیت</w:t>
      </w:r>
    </w:p>
    <w:p>
      <w:pPr>
        <w:pStyle w:val="BookText"/>
      </w:pPr>
      <w:r>
        <w:rPr>
          <w:rFonts w:ascii="IRNazanin" w:hAnsi="IRNazanin" w:eastAsia="IRNazanin" w:cs="IRNazanin"/>
          <w:lang w:bidi="fa-IR"/>
          <w:color w:val="111111"/>
          <w:sz w:val="28"/>
          <w:szCs w:val="28"/>
          <w:rtl/>
        </w:rPr>
        <w:t xml:space="preserve">← تاریخ مشروطیت ← تاریخ پیدایش مشروطیت ایران</w:t>
      </w:r>
    </w:p>
    <w:p>
      <w:pPr>
        <w:pStyle w:val="BookText"/>
      </w:pPr>
      <w:r>
        <w:rPr>
          <w:rFonts w:ascii="IRNazanin" w:hAnsi="IRNazanin" w:eastAsia="IRNazanin" w:cs="IRNazanin"/>
          <w:lang w:bidi="fa-IR"/>
          <w:color w:val="111111"/>
          <w:sz w:val="28"/>
          <w:szCs w:val="28"/>
          <w:rtl/>
        </w:rPr>
        <w:t xml:space="preserve">← تاریخ مشروطیت ← سرگذشت کسانی که برای مشروطیت ایران کار کرده اند</w:t>
      </w:r>
    </w:p>
    <w:p>
      <w:pPr>
        <w:pStyle w:val="BookText"/>
      </w:pPr>
      <w:r>
        <w:rPr>
          <w:rFonts w:ascii="IRNazanin" w:hAnsi="IRNazanin" w:eastAsia="IRNazanin" w:cs="IRNazanin"/>
          <w:lang w:bidi="fa-IR"/>
          <w:color w:val="111111"/>
          <w:sz w:val="28"/>
          <w:szCs w:val="28"/>
          <w:rtl/>
        </w:rPr>
        <w:t xml:space="preserve">← تاریخ مشروطیت ← نامه ها و تلگرافهای علما و دربار درباره مشروطیت و تشکیل مجلس</w:t>
      </w:r>
    </w:p>
    <w:p>
      <w:pPr>
        <w:pStyle w:val="BookText"/>
      </w:pPr>
      <w:r>
        <w:rPr>
          <w:rFonts w:ascii="IRNazanin" w:hAnsi="IRNazanin" w:eastAsia="IRNazanin" w:cs="IRNazanin"/>
          <w:lang w:bidi="fa-IR"/>
          <w:color w:val="111111"/>
          <w:sz w:val="28"/>
          <w:szCs w:val="28"/>
          <w:rtl/>
        </w:rPr>
        <w:t xml:space="preserve">← تاریخ مشروطیت ← تاریخچه مشروطیت</w:t>
      </w:r>
    </w:p>
    <w:p>
      <w:pPr>
        <w:pStyle w:val="BookText"/>
      </w:pPr>
      <w:r>
        <w:rPr>
          <w:rFonts w:ascii="IRNazanin" w:hAnsi="IRNazanin" w:eastAsia="IRNazanin" w:cs="IRNazanin"/>
          <w:lang w:bidi="fa-IR"/>
          <w:color w:val="111111"/>
          <w:sz w:val="28"/>
          <w:szCs w:val="28"/>
          <w:rtl/>
        </w:rPr>
        <w:t xml:space="preserve">← تاریخ مشروطیت← تنبيه الامة و تنزيه الملة في لزوم مشروطية الدولة</w:t>
      </w:r>
    </w:p>
    <w:p>
      <w:pPr>
        <w:pStyle w:val="BookText"/>
      </w:pPr>
      <w:r>
        <w:rPr>
          <w:rFonts w:ascii="IRNazanin" w:hAnsi="IRNazanin" w:eastAsia="IRNazanin" w:cs="IRNazanin"/>
          <w:lang w:bidi="fa-IR"/>
          <w:color w:val="111111"/>
          <w:sz w:val="28"/>
          <w:szCs w:val="28"/>
          <w:rtl/>
        </w:rPr>
        <w:t xml:space="preserve">← تاریخ مشروطیت ← روزنامه اخبار مشروطیت و انقلاب ایران</w:t>
      </w:r>
    </w:p>
    <w:p>
      <w:pPr>
        <w:pStyle w:val="BookText"/>
      </w:pPr>
      <w:r>
        <w:rPr>
          <w:rFonts w:ascii="IRNazanin" w:hAnsi="IRNazanin" w:eastAsia="IRNazanin" w:cs="IRNazanin"/>
          <w:lang w:bidi="fa-IR"/>
          <w:color w:val="111111"/>
          <w:sz w:val="28"/>
          <w:szCs w:val="28"/>
          <w:rtl/>
        </w:rPr>
        <w:t xml:space="preserve">← تاریخ مشروطیت ← آشوب آخر الزمان</w:t>
      </w:r>
    </w:p>
    <w:p>
      <w:pPr>
        <w:pStyle w:val="BookText"/>
      </w:pPr>
      <w:r>
        <w:rPr>
          <w:rFonts w:ascii="IRNazanin" w:hAnsi="IRNazanin" w:eastAsia="IRNazanin" w:cs="IRNazanin"/>
          <w:lang w:bidi="fa-IR"/>
          <w:color w:val="111111"/>
          <w:sz w:val="28"/>
          <w:szCs w:val="28"/>
          <w:rtl/>
        </w:rPr>
        <w:t xml:space="preserve">← تاریخ مشروطیت ← فهرست روزنامه های فارسی زمان مشروطیت در ایران</w:t>
      </w:r>
    </w:p>
    <w:p>
      <w:pPr>
        <w:pStyle w:val="BookText"/>
      </w:pPr>
      <w:r>
        <w:rPr>
          <w:rFonts w:ascii="IRNazanin" w:hAnsi="IRNazanin" w:eastAsia="IRNazanin" w:cs="IRNazanin"/>
          <w:lang w:bidi="fa-IR"/>
          <w:color w:val="111111"/>
          <w:sz w:val="28"/>
          <w:szCs w:val="28"/>
          <w:rtl/>
        </w:rPr>
        <w:t xml:space="preserve">← تاریخ مشروطیت ← کابینه های مشروطیت</w:t>
      </w:r>
    </w:p>
    <w:p>
      <w:pPr>
        <w:pStyle w:val="BookText"/>
      </w:pPr>
      <w:r>
        <w:rPr>
          <w:rFonts w:ascii="IRNazanin" w:hAnsi="IRNazanin" w:eastAsia="IRNazanin" w:cs="IRNazanin"/>
          <w:lang w:bidi="fa-IR"/>
          <w:color w:val="111111"/>
          <w:sz w:val="28"/>
          <w:szCs w:val="28"/>
          <w:rtl/>
        </w:rPr>
        <w:t xml:space="preserve">← تاریخ مشروطیت ←یادداشتهای آغاز مشروطیت</w:t>
      </w:r>
    </w:p>
    <w:p>
      <w:pPr>
        <w:pStyle w:val="BookText"/>
      </w:pPr>
      <w:r>
        <w:rPr>
          <w:rFonts w:ascii="IRNazanin" w:hAnsi="IRNazanin" w:eastAsia="IRNazanin" w:cs="IRNazanin"/>
          <w:lang w:bidi="fa-IR"/>
          <w:color w:val="111111"/>
          <w:sz w:val="28"/>
          <w:szCs w:val="28"/>
          <w:rtl/>
        </w:rPr>
        <w:t xml:space="preserve">← تاریخ مشروطیت←مشروطیت ایران</w:t>
      </w:r>
    </w:p>
    <w:p>
      <w:pPr>
        <w:pStyle w:val="BookText"/>
      </w:pPr>
      <w:r>
        <w:rPr>
          <w:rFonts w:ascii="IRNazanin" w:hAnsi="IRNazanin" w:eastAsia="IRNazanin" w:cs="IRNazanin"/>
          <w:lang w:bidi="fa-IR"/>
          <w:color w:val="111111"/>
          <w:sz w:val="28"/>
          <w:szCs w:val="28"/>
          <w:rtl/>
        </w:rPr>
        <w:t xml:space="preserve">← تاریخ مشروطیت ← قانون اساسی مشروطیت و متمم آن</w:t>
      </w:r>
    </w:p>
    <w:p>
      <w:pPr>
        <w:pStyle w:val="BookText"/>
      </w:pPr>
      <w:r>
        <w:rPr>
          <w:rFonts w:ascii="IRNazanin" w:hAnsi="IRNazanin" w:eastAsia="IRNazanin" w:cs="IRNazanin"/>
          <w:lang w:bidi="fa-IR"/>
          <w:color w:val="111111"/>
          <w:sz w:val="28"/>
          <w:szCs w:val="28"/>
          <w:rtl/>
        </w:rPr>
        <w:t xml:space="preserve">← تاریخ مشروطیت ←اخبار مشروطیت</w:t>
      </w:r>
    </w:p>
    <w:p>
      <w:pPr>
        <w:pStyle w:val="BookText"/>
      </w:pPr>
      <w:r>
        <w:rPr>
          <w:rFonts w:ascii="IRNazanin" w:hAnsi="IRNazanin" w:eastAsia="IRNazanin" w:cs="IRNazanin"/>
          <w:lang w:bidi="fa-IR"/>
          <w:color w:val="111111"/>
          <w:sz w:val="28"/>
          <w:szCs w:val="28"/>
          <w:rtl/>
        </w:rPr>
        <w:t xml:space="preserve">← تاریخ مشروطیت← تاریخ ادوار مشروطیت در ایران (مختصر)</w:t>
      </w:r>
    </w:p>
    <w:p>
      <w:pPr>
        <w:pStyle w:val="BookText"/>
      </w:pPr>
      <w:r>
        <w:rPr>
          <w:rFonts w:ascii="IRNazanin" w:hAnsi="IRNazanin" w:eastAsia="IRNazanin" w:cs="IRNazanin"/>
          <w:lang w:bidi="fa-IR"/>
          <w:color w:val="111111"/>
          <w:sz w:val="28"/>
          <w:szCs w:val="28"/>
          <w:rtl/>
        </w:rPr>
        <w:t xml:space="preserve">← تاریخ مشروطیت ←بیانات شیخ فضل الله درباره مشروطیت</w:t>
      </w:r>
    </w:p>
    <w:p>
      <w:pPr>
        <w:pStyle w:val="BookText"/>
      </w:pPr>
      <w:r>
        <w:rPr>
          <w:rFonts w:ascii="IRNazanin" w:hAnsi="IRNazanin" w:eastAsia="IRNazanin" w:cs="IRNazanin"/>
          <w:lang w:bidi="fa-IR"/>
          <w:color w:val="111111"/>
          <w:sz w:val="28"/>
          <w:szCs w:val="28"/>
          <w:rtl/>
        </w:rPr>
        <w:t xml:space="preserve">← تاریخ مشروطیت ← وقایع بیست ساله مشروطیت ایران</w:t>
      </w:r>
    </w:p>
    <w:p>
      <w:pPr>
        <w:pStyle w:val="BookText"/>
      </w:pPr>
      <w:r>
        <w:rPr>
          <w:rFonts w:ascii="IRNazanin" w:hAnsi="IRNazanin" w:eastAsia="IRNazanin" w:cs="IRNazanin"/>
          <w:lang w:bidi="fa-IR"/>
          <w:color w:val="111111"/>
          <w:sz w:val="28"/>
          <w:szCs w:val="28"/>
          <w:rtl/>
        </w:rPr>
        <w:t xml:space="preserve">← تاریخ مشروطیت ← فوائد مشروطیت</w:t>
      </w:r>
    </w:p>
    <w:p>
      <w:pPr>
        <w:pStyle w:val="BookText"/>
      </w:pPr>
      <w:r>
        <w:rPr>
          <w:rFonts w:ascii="IRNazanin" w:hAnsi="IRNazanin" w:eastAsia="IRNazanin" w:cs="IRNazanin"/>
          <w:lang w:bidi="fa-IR"/>
          <w:color w:val="111111"/>
          <w:sz w:val="28"/>
          <w:szCs w:val="28"/>
          <w:rtl/>
        </w:rPr>
        <w:t xml:space="preserve">← تاریخ مشروطیت ← تاریخ مفصل مشروطیت ایران</w:t>
      </w:r>
    </w:p>
    <w:p>
      <w:pPr>
        <w:pStyle w:val="Heading3"/>
      </w:pPr>
      <w:bookmarkStart w:id="2611" w:name="_Toc1871"/>
      <w:r>
        <w:t>•تاریخ مشروطیت / شعر، تاریخ ایران / فارسی</w:t>
      </w:r>
      <w:bookmarkEnd w:id="2611"/>
    </w:p>
    <w:p>
      <w:pPr>
        <w:pStyle w:val="BookText"/>
      </w:pPr>
      <w:r>
        <w:rPr>
          <w:rFonts w:ascii="Times New Roman" w:hAnsi="Times New Roman" w:eastAsia="Times New Roman" w:cs="Times New Roman"/>
          <w:lang w:val="en-US" w:bidi="en-US"/>
          <w:color w:val="111111"/>
          <w:sz w:val="28"/>
          <w:szCs w:val="28"/>
          <w:rtl/>
        </w:rPr>
        <w:t xml:space="preserve">tārīx-e mašrūtīyat</w:t>
      </w:r>
    </w:p>
    <w:p>
      <w:pPr>
        <w:pStyle w:val="BookText"/>
      </w:pPr>
      <w:r>
        <w:rPr>
          <w:rFonts w:ascii="IRNazanin" w:hAnsi="IRNazanin" w:eastAsia="IRNazanin" w:cs="IRNazanin"/>
          <w:lang w:bidi="fa-IR"/>
          <w:color w:val="111111"/>
          <w:sz w:val="28"/>
          <w:szCs w:val="28"/>
          <w:rtl/>
        </w:rPr>
        <w:t xml:space="preserve">وفا، حسینقلی بن علی اصغر، - ۱۳۲۲ قمری</w:t>
      </w:r>
    </w:p>
    <w:p>
      <w:pPr>
        <w:pStyle w:val="BookText"/>
      </w:pPr>
      <w:r>
        <w:rPr>
          <w:rFonts w:ascii="Times New Roman" w:hAnsi="Times New Roman" w:eastAsia="Times New Roman" w:cs="Times New Roman"/>
          <w:lang w:val="en-US" w:bidi="en-US"/>
          <w:color w:val="111111"/>
          <w:sz w:val="28"/>
          <w:szCs w:val="28"/>
          <w:rtl/>
        </w:rPr>
        <w:t xml:space="preserve">vafā, hoseyn-qolī ebn-e ‘alī asqar (-1904)</w:t>
      </w:r>
    </w:p>
    <w:p>
      <w:pPr>
        <w:pStyle w:val="BookText"/>
      </w:pPr>
      <w:r>
        <w:rPr>
          <w:rFonts w:ascii="IRNazanin" w:hAnsi="IRNazanin" w:eastAsia="IRNazanin" w:cs="IRNazanin"/>
          <w:lang w:bidi="fa-IR"/>
          <w:color w:val="111111"/>
          <w:sz w:val="28"/>
          <w:szCs w:val="28"/>
          <w:rtl/>
        </w:rPr>
        <w:t xml:space="preserve">دو ساله اول مشروطیت ایران. [فهرستواره منزوی ۹۰۲/۲ ]</w:t>
      </w:r>
    </w:p>
    <w:p>
      <w:pPr>
        <w:pStyle w:val="BookText"/>
      </w:pPr>
      <w:r>
        <w:rPr>
          <w:rFonts w:ascii="IRNazanin" w:hAnsi="IRNazanin" w:eastAsia="IRNazanin" w:cs="IRNazanin"/>
          <w:lang w:bidi="fa-IR"/>
          <w:color w:val="111111"/>
          <w:sz w:val="28"/>
          <w:szCs w:val="28"/>
          <w:rtl/>
        </w:rPr>
        <w:t xml:space="preserve">مشهد؛ رضوی؛ شماره نسخه: ۹۳۴۵/۱۱</w:t>
      </w:r>
    </w:p>
    <w:p>
      <w:pPr>
        <w:pStyle w:val="BookText"/>
      </w:pPr>
      <w:r>
        <w:rPr>
          <w:rFonts w:ascii="IRNazanin" w:hAnsi="IRNazanin" w:eastAsia="IRNazanin" w:cs="IRNazanin"/>
          <w:lang w:bidi="fa-IR"/>
          <w:color w:val="111111"/>
          <w:sz w:val="28"/>
          <w:szCs w:val="28"/>
          <w:rtl/>
        </w:rPr>
        <w:t xml:space="preserve">آغاز: عدالت خواستند ایرانی از شاه *** که عدلش از زمین گیرد الى ماه؛ انجام: شروعش بود اندر بیست با چار *** به بیست و شش بشد او ختم ناچار با عنوان «تاریخچه منظوم»؛ خط: نستعلیق و نسخ و شکسته نستعلیق، بی کا، بی تا؛ جلد: مقوایی عطف پارچه ای، ۱۰ص (۷۰ ۷۹)،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۱۵/۳ سم [ف: ۷-۸۲۲]</w:t>
      </w:r>
    </w:p>
    <w:p>
      <w:pPr>
        <w:pStyle w:val="Heading3"/>
      </w:pPr>
      <w:bookmarkStart w:id="2612" w:name="_Toc1872"/>
      <w:r>
        <w:t>•تاریخ مشروطیت ایران / تاریخ ایران / فارسی</w:t>
      </w:r>
      <w:bookmarkEnd w:id="2612"/>
    </w:p>
    <w:p>
      <w:pPr>
        <w:pStyle w:val="BookText"/>
      </w:pPr>
      <w:r>
        <w:rPr>
          <w:rFonts w:ascii="Times New Roman" w:hAnsi="Times New Roman" w:eastAsia="Times New Roman" w:cs="Times New Roman"/>
          <w:lang w:val="en-US" w:bidi="en-US"/>
          <w:color w:val="111111"/>
          <w:sz w:val="28"/>
          <w:szCs w:val="28"/>
          <w:rtl/>
        </w:rPr>
        <w:t xml:space="preserve">tārīx-e mašrūtīyat-e īrān</w:t>
      </w:r>
    </w:p>
    <w:p>
      <w:pPr>
        <w:pStyle w:val="BookText"/>
      </w:pPr>
      <w:r>
        <w:rPr>
          <w:rFonts w:ascii="IRNazanin" w:hAnsi="IRNazanin" w:eastAsia="IRNazanin" w:cs="IRNazanin"/>
          <w:lang w:bidi="fa-IR"/>
          <w:color w:val="111111"/>
          <w:sz w:val="28"/>
          <w:szCs w:val="28"/>
          <w:rtl/>
        </w:rPr>
        <w:t xml:space="preserve">شریف کاشانی، محمد مهدی، ق ۱۴ قمری</w:t>
      </w:r>
    </w:p>
    <w:p>
      <w:pPr>
        <w:pStyle w:val="BookText"/>
      </w:pPr>
      <w:r>
        <w:rPr>
          <w:rFonts w:ascii="Times New Roman" w:hAnsi="Times New Roman" w:eastAsia="Times New Roman" w:cs="Times New Roman"/>
          <w:lang w:val="en-US" w:bidi="en-US"/>
          <w:color w:val="111111"/>
          <w:sz w:val="28"/>
          <w:szCs w:val="28"/>
          <w:rtl/>
        </w:rPr>
        <w:t xml:space="preserve">šarīf-e kāšānī, mohammad mahdī (-20c)</w:t>
      </w:r>
    </w:p>
    <w:p>
      <w:pPr>
        <w:pStyle w:val="BookText"/>
      </w:pPr>
      <w:r>
        <w:rPr>
          <w:rFonts w:ascii="IRNazanin" w:hAnsi="IRNazanin" w:eastAsia="IRNazanin" w:cs="IRNazanin"/>
          <w:lang w:bidi="fa-IR"/>
          <w:color w:val="111111"/>
          <w:sz w:val="28"/>
          <w:szCs w:val="28"/>
          <w:rtl/>
        </w:rPr>
        <w:t xml:space="preserve">تاريخ تأليف: 1 ربيع الأول ۱۳۳۳ق در یک «مقدمه» و چهار «تذکره» و هر تذکره در پنج «فصل» و در پایان یک «خاتمه»: مقدمه در سرگذشت خود و رویدادهای روزگار ناصرالدین شاه و آغاز مظفرالدین شاه، در مقدمه می گوید: پس از ختم جلد اول کتاب تاریخ شریف که وقایع ناگوار یک محاكمه تاریخی جهان را در بر داشت و به ملاحظاتی تعطیل شد، این روزها وقایع ناگواری پیش آمده و مردم و علما در مقام جلوگیری از تعدیات دولن بر آمده، آنچه دیده بدون کم و بیش ثبت شد تا عبرت گیرند. در اکثر صفحات کتاب رقعه هایی شامل یک یا دو یا بیشتر از عکس های علماء و رجال و صاحب منصبان آن زمان می باشد. بعضی از این عکس ها در صفحات کتاب مکرر است. عکس نگارنده در صفحه آغاز و انجام نسخه چسبانده شده. این نسخه از حیث دارا بودن تصاویر علما و رجال و سران مشروطه ارزنده است. در خاتمه کتاب یادداشت مؤلف در موضوع جمع آوری عکس های مورد نظر توسط غلامرضا خان عکاس و چسباندن عکس مشار اليه بدین مناسبت در پایان کتاب آمده است. آغاز: بسمله، حمد و سپاس مر ذات پاک یزدانی را لایق و سزاست که پیکر انسان را بحليه عقل و دانش بیاراست ... و بعد چنین گوید عبد فانی جانی محمد مهدی شریف کاشانی ... در این ایام که بعضی وقایع ناگوار پیش آمده ... لذا خدا را حاضر و شاهد گرفته که آنچه دیده و شنیده و نوشته اند بدون کم و بیش نگاشته ... انجام: الحمدلله و له الشكر که موفق گردیده آنچه در این چند ساله دیده و شنیده بدون کم و زیاد و تغییر و تبدیل ثبت و ضبط گردیده ... هر کس این سبک و طریقه را پسندید، پسندید و هر کس را بد آمد، بد آمد ... چون فاتحه تاریخ بتاج گذاری اعلیحضرت اقدس ملوکانه رسید شایسته دیدم که تاریخ را هم در این مقام ختم نمایم، لذا در این یوم که غره ربيع المولود ختم نمود في غره ربیع الاول ۱۳۳۳، الاحقر مهدی شریف.</w:t>
      </w:r>
    </w:p>
    <w:p>
      <w:pPr>
        <w:pStyle w:val="BookText"/>
      </w:pPr>
      <w:r>
        <w:rPr>
          <w:rFonts w:ascii="IRNazanin" w:hAnsi="IRNazanin" w:eastAsia="IRNazanin" w:cs="IRNazanin"/>
          <w:lang w:bidi="fa-IR"/>
          <w:color w:val="111111"/>
          <w:sz w:val="28"/>
          <w:szCs w:val="28"/>
          <w:rtl/>
        </w:rPr>
        <w:t xml:space="preserve">[نسخه های منزوی ۴۲۷۱؛ فهرستواره منزوی ۹۰۲/۲ ]</w:t>
      </w:r>
    </w:p>
    <w:p>
      <w:pPr>
        <w:pStyle w:val="BookText"/>
      </w:pPr>
      <w:r>
        <w:rPr>
          <w:rFonts w:ascii="IRNazanin" w:hAnsi="IRNazanin" w:eastAsia="IRNazanin" w:cs="IRNazanin"/>
          <w:lang w:bidi="fa-IR"/>
          <w:color w:val="111111"/>
          <w:sz w:val="28"/>
          <w:szCs w:val="28"/>
          <w:rtl/>
        </w:rPr>
        <w:t xml:space="preserve">تهران؛ ملک؛ شماره نسخه:۶۰۶۸</w:t>
      </w:r>
    </w:p>
    <w:p>
      <w:pPr>
        <w:pStyle w:val="BookText"/>
      </w:pPr>
      <w:r>
        <w:rPr>
          <w:rFonts w:ascii="IRNazanin" w:hAnsi="IRNazanin" w:eastAsia="IRNazanin" w:cs="IRNazanin"/>
          <w:lang w:bidi="fa-IR"/>
          <w:color w:val="111111"/>
          <w:sz w:val="28"/>
          <w:szCs w:val="28"/>
          <w:rtl/>
        </w:rPr>
        <w:t xml:space="preserve">آغاز و انجام: برابر خط: شکسته نستعلیق، کاتب = مؤلف، بی تا، ۶۱۸ عکس و باسمه؛ کاغذ: فرنگی، جلد: میشن قهوه ای تازه، ۳۵۹گ، مختلف السطر،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۳۶/۵ سم [ف: ۲-۹۳]</w:t>
      </w:r>
    </w:p>
    <w:p>
      <w:pPr>
        <w:pStyle w:val="BookText"/>
      </w:pPr>
      <w:r>
        <w:rPr>
          <w:rFonts w:ascii="IRNazanin" w:hAnsi="IRNazanin" w:eastAsia="IRNazanin" w:cs="IRNazanin"/>
          <w:lang w:bidi="fa-IR"/>
          <w:color w:val="111111"/>
          <w:sz w:val="28"/>
          <w:szCs w:val="28"/>
          <w:rtl/>
        </w:rPr>
        <w:t xml:space="preserve">تهران؛ دانشگاه؛ شماره نسخه:۵۱۸۳ف</w:t>
      </w:r>
    </w:p>
    <w:p>
      <w:pPr>
        <w:pStyle w:val="BookText"/>
      </w:pPr>
      <w:r>
        <w:rPr>
          <w:rFonts w:ascii="Amiri" w:hAnsi="Amiri" w:eastAsia="Amiri" w:cs="Amiri"/>
          <w:lang w:bidi="ar-SA"/>
          <w:color w:val="111111"/>
          <w:sz w:val="28"/>
          <w:szCs w:val="28"/>
          <w:rtl/>
        </w:rPr>
        <w:t xml:space="preserve">نسخه اصل: همان نسخه بالا [فيلمها ف: ۳-۱۴۱]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566" w:name="pg20363_209888"/>
    <w:bookmarkEnd w:id="566"/>
    <w:p>
      <w:pPr>
        <w:pStyle w:val="Heading3"/>
      </w:pPr>
      <w:bookmarkStart w:id="2613" w:name="_Toc1873"/>
      <w:r>
        <w:t>•تاریخ مشروطیت ایران / تاریخ ایران / فارسی</w:t>
      </w:r>
      <w:bookmarkEnd w:id="2613"/>
    </w:p>
    <w:p>
      <w:pPr>
        <w:pStyle w:val="BookText"/>
      </w:pPr>
      <w:r>
        <w:rPr>
          <w:rFonts w:ascii="Times New Roman" w:hAnsi="Times New Roman" w:eastAsia="Times New Roman" w:cs="Times New Roman"/>
          <w:lang w:val="en-US" w:bidi="en-US"/>
          <w:color w:val="111111"/>
          <w:sz w:val="28"/>
          <w:szCs w:val="28"/>
          <w:rtl/>
        </w:rPr>
        <w:t xml:space="preserve">tārīx-e mašrūtīyat-e īrān</w:t>
      </w:r>
    </w:p>
    <w:p>
      <w:pPr>
        <w:pStyle w:val="BookText"/>
      </w:pPr>
      <w:r>
        <w:rPr>
          <w:rFonts w:ascii="IRNazanin" w:hAnsi="IRNazanin" w:eastAsia="IRNazanin" w:cs="IRNazanin"/>
          <w:lang w:bidi="fa-IR"/>
          <w:color w:val="111111"/>
          <w:sz w:val="28"/>
          <w:szCs w:val="28"/>
          <w:rtl/>
        </w:rPr>
        <w:t xml:space="preserve">مستوفی، نصرالله، ق۱۴ قمری</w:t>
      </w:r>
    </w:p>
    <w:p>
      <w:pPr>
        <w:pStyle w:val="BookText"/>
      </w:pPr>
      <w:r>
        <w:rPr>
          <w:rFonts w:ascii="Times New Roman" w:hAnsi="Times New Roman" w:eastAsia="Times New Roman" w:cs="Times New Roman"/>
          <w:lang w:val="en-US" w:bidi="en-US"/>
          <w:color w:val="111111"/>
          <w:sz w:val="28"/>
          <w:szCs w:val="28"/>
          <w:rtl/>
        </w:rPr>
        <w:t xml:space="preserve">mostawfī, nasr-ol-lāh (-20c)</w:t>
      </w:r>
    </w:p>
    <w:p>
      <w:pPr>
        <w:pStyle w:val="BookText"/>
      </w:pPr>
      <w:r>
        <w:rPr>
          <w:rFonts w:ascii="IRNazanin" w:hAnsi="IRNazanin" w:eastAsia="IRNazanin" w:cs="IRNazanin"/>
          <w:lang w:bidi="fa-IR"/>
          <w:color w:val="111111"/>
          <w:sz w:val="28"/>
          <w:szCs w:val="28"/>
          <w:rtl/>
        </w:rPr>
        <w:t xml:space="preserve">تاریخ تأليف: جمادی الثانی ۱۳۲۴ تا ۱۳۲۵ق تاریخ مشروطیت ایران است، که میان ۱۳۲۴ ق تا ۱۳۲۵ق نگاشته شده است. با یادداشت حاج آقا حسین ملک که نگارنده از گماشته های فرمانفرما فیروز میرزا قاجار و عبدالحسین میرزا قاجار بوده است، که با پدرم دشمنی داشته اند. آغاز: بسمله، اما بعد این مختصر رساله در اوضاع داخله ایران و پیش آمد امورات و حركات مردمان تهران و تولید کلمه مشروطیت و تغییر وضع انجام: سمت اتمام و اختتام پذیرفت، و السلام خير ختام.</w:t>
      </w:r>
    </w:p>
    <w:p>
      <w:pPr>
        <w:pStyle w:val="BookText"/>
      </w:pPr>
      <w:r>
        <w:rPr>
          <w:rFonts w:ascii="IRNazanin" w:hAnsi="IRNazanin" w:eastAsia="IRNazanin" w:cs="IRNazanin"/>
          <w:lang w:bidi="fa-IR"/>
          <w:color w:val="111111"/>
          <w:sz w:val="28"/>
          <w:szCs w:val="28"/>
          <w:rtl/>
        </w:rPr>
        <w:t xml:space="preserve">[دنا ۷۳۹/۲ ؛ فهرستواره منزوی ۹۰۲/۲ ؛ نسخه های منزوی ۴۲۷۱/۶ ؛ مشترک پاکستان ۱۴۹۲/۱۱ ]</w:t>
      </w:r>
    </w:p>
    <w:p>
      <w:pPr>
        <w:pStyle w:val="BookText"/>
      </w:pPr>
      <w:r>
        <w:rPr>
          <w:rFonts w:ascii="IRNazanin" w:hAnsi="IRNazanin" w:eastAsia="IRNazanin" w:cs="IRNazanin"/>
          <w:lang w:bidi="fa-IR"/>
          <w:color w:val="111111"/>
          <w:sz w:val="28"/>
          <w:szCs w:val="28"/>
          <w:rtl/>
        </w:rPr>
        <w:t xml:space="preserve">تهران؛ ملک؛ شماره نسخه:۳۸۱۹</w:t>
      </w:r>
    </w:p>
    <w:p>
      <w:pPr>
        <w:pStyle w:val="BookText"/>
      </w:pPr>
      <w:r>
        <w:rPr>
          <w:rFonts w:ascii="IRNazanin" w:hAnsi="IRNazanin" w:eastAsia="IRNazanin" w:cs="IRNazanin"/>
          <w:lang w:bidi="fa-IR"/>
          <w:color w:val="111111"/>
          <w:sz w:val="28"/>
          <w:szCs w:val="28"/>
          <w:rtl/>
        </w:rPr>
        <w:t xml:space="preserve">آغاز و انجام: برابر در ۲ مجلد؛ خط: شکسته نستعلیق، كا: ابن نصر الله مستوفی تفرشی (گویا)، تا: ۱۲ شعبان ۱۳۲۵ق؛ کاغذ: کاغذ فرنگی، جلد: رویه ابری فرنگی، ۳۹۷گ، ۱۹ سطر، اندازه: ۲۱/۳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۱۳/۸ سم [ف: ۹۲-۲]</w:t>
      </w:r>
    </w:p>
    <w:p>
      <w:pPr>
        <w:pStyle w:val="BookText"/>
      </w:pPr>
      <w:r>
        <w:rPr>
          <w:rFonts w:ascii="IRNazanin" w:hAnsi="IRNazanin" w:eastAsia="IRNazanin" w:cs="IRNazanin"/>
          <w:lang w:bidi="fa-IR"/>
          <w:color w:val="111111"/>
          <w:sz w:val="28"/>
          <w:szCs w:val="28"/>
          <w:rtl/>
        </w:rPr>
        <w:t xml:space="preserve">تهران؛ دائرة المعارف، شماره نسخه:۳۰۲-عکسی</w:t>
      </w:r>
    </w:p>
    <w:p>
      <w:pPr>
        <w:pStyle w:val="BookText"/>
      </w:pPr>
      <w:r>
        <w:rPr>
          <w:rFonts w:ascii="IRNazanin" w:hAnsi="IRNazanin" w:eastAsia="IRNazanin" w:cs="IRNazanin"/>
          <w:lang w:bidi="fa-IR"/>
          <w:color w:val="111111"/>
          <w:sz w:val="28"/>
          <w:szCs w:val="28"/>
          <w:rtl/>
        </w:rPr>
        <w:t xml:space="preserve">نسخه اصل: همان نسخه بالا [عکسی ف: ۲-۵۷]</w:t>
      </w:r>
    </w:p>
    <w:p>
      <w:pPr>
        <w:pStyle w:val="Heading3"/>
      </w:pPr>
      <w:bookmarkStart w:id="2614" w:name="_Toc1874"/>
      <w:r>
        <w:t>•تاریخ مشروطیت ایران / تاریخ ایران / فارسی</w:t>
      </w:r>
      <w:bookmarkEnd w:id="2614"/>
    </w:p>
    <w:p>
      <w:pPr>
        <w:pStyle w:val="BookText"/>
      </w:pPr>
      <w:r>
        <w:rPr>
          <w:rFonts w:ascii="Times New Roman" w:hAnsi="Times New Roman" w:eastAsia="Times New Roman" w:cs="Times New Roman"/>
          <w:lang w:val="en-US" w:bidi="en-US"/>
          <w:color w:val="111111"/>
          <w:sz w:val="28"/>
          <w:szCs w:val="28"/>
          <w:rtl/>
        </w:rPr>
        <w:t xml:space="preserve">tārīx-e mašrūtīyat-e īrān</w:t>
      </w:r>
    </w:p>
    <w:p>
      <w:pPr>
        <w:pStyle w:val="BookText"/>
      </w:pPr>
      <w:r>
        <w:rPr>
          <w:rFonts w:ascii="IRNazanin" w:hAnsi="IRNazanin" w:eastAsia="IRNazanin" w:cs="IRNazanin"/>
          <w:lang w:bidi="fa-IR"/>
          <w:color w:val="111111"/>
          <w:sz w:val="28"/>
          <w:szCs w:val="28"/>
          <w:rtl/>
        </w:rPr>
        <w:t xml:space="preserve">گفتگویی است بین شماژفر دیوانه ای اروپایی و جمجائیل دیوانه ای ایرانی درباره مشروطیت و رویدادهایی که در ایران برای تحقق آن پیش آمده، به روش سؤال و جواب طنز آمیز که بین این دو شخص دیوانه بوده است.</w:t>
      </w:r>
    </w:p>
    <w:p>
      <w:pPr>
        <w:pStyle w:val="BookText"/>
      </w:pPr>
      <w:r>
        <w:rPr>
          <w:rFonts w:ascii="IRNazanin" w:hAnsi="IRNazanin" w:eastAsia="IRNazanin" w:cs="IRNazanin"/>
          <w:lang w:bidi="fa-IR"/>
          <w:color w:val="111111"/>
          <w:sz w:val="28"/>
          <w:szCs w:val="28"/>
          <w:rtl/>
        </w:rPr>
        <w:t xml:space="preserve">قم؛ مرعشی؛ شماره نسخه:۹۳۲۶</w:t>
      </w:r>
    </w:p>
    <w:p>
      <w:pPr>
        <w:pStyle w:val="BookText"/>
      </w:pPr>
      <w:r>
        <w:rPr>
          <w:rFonts w:ascii="IRNazanin" w:hAnsi="IRNazanin" w:eastAsia="IRNazanin" w:cs="IRNazanin"/>
          <w:lang w:bidi="fa-IR"/>
          <w:color w:val="111111"/>
          <w:sz w:val="28"/>
          <w:szCs w:val="28"/>
          <w:rtl/>
        </w:rPr>
        <w:t xml:space="preserve">آغاز: الحمد لله رب العالمين ... و بعد چنین گوید شخص دانشمند که در جلد اول حکایات اقوال جمجائیل جلد دوم و شب ۲۸ جمادی الثانی ۱۳۲۷ به پایان رسیده؛ خط: نستعلیق، کاتب = مؤلف، بی تا؛ مهر: شريف الواعظین به تاریخ ۱۶ ذیقعده ۱۳۳۳؛ جلد: تیماج زرد، ۹۴گ، مختلف السطر،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۲۴-۱۲۰ ]</w:t>
      </w:r>
    </w:p>
    <w:p>
      <w:pPr>
        <w:pStyle w:val="Heading3"/>
      </w:pPr>
      <w:bookmarkStart w:id="2615" w:name="_Toc1875"/>
      <w:r>
        <w:t>•تاریخ مشروطیت ایران / تاریخ ایران / فارسی</w:t>
      </w:r>
      <w:bookmarkEnd w:id="2615"/>
    </w:p>
    <w:p>
      <w:pPr>
        <w:pStyle w:val="BookText"/>
      </w:pPr>
      <w:r>
        <w:rPr>
          <w:rFonts w:ascii="Times New Roman" w:hAnsi="Times New Roman" w:eastAsia="Times New Roman" w:cs="Times New Roman"/>
          <w:lang w:val="en-US" w:bidi="en-US"/>
          <w:color w:val="111111"/>
          <w:sz w:val="28"/>
          <w:szCs w:val="28"/>
          <w:rtl/>
        </w:rPr>
        <w:t xml:space="preserve">tārīx-e mašrūtīyat-e īrān</w:t>
      </w:r>
    </w:p>
    <w:p>
      <w:pPr>
        <w:pStyle w:val="BookText"/>
      </w:pPr>
      <w:r>
        <w:rPr>
          <w:rFonts w:ascii="IRNazanin" w:hAnsi="IRNazanin" w:eastAsia="IRNazanin" w:cs="IRNazanin"/>
          <w:lang w:bidi="fa-IR"/>
          <w:color w:val="111111"/>
          <w:sz w:val="28"/>
          <w:szCs w:val="28"/>
          <w:rtl/>
        </w:rPr>
        <w:t xml:space="preserve">تاریخ تأليف: رجب ۱۳۲۷ق؛ محل تأليف: تهران</w:t>
      </w:r>
    </w:p>
    <w:p>
      <w:pPr>
        <w:pStyle w:val="BookText"/>
      </w:pPr>
      <w:r>
        <w:rPr>
          <w:rFonts w:ascii="IRNazanin" w:hAnsi="IRNazanin" w:eastAsia="IRNazanin" w:cs="IRNazanin"/>
          <w:lang w:bidi="fa-IR"/>
          <w:color w:val="111111"/>
          <w:sz w:val="28"/>
          <w:szCs w:val="28"/>
          <w:rtl/>
        </w:rPr>
        <w:t xml:space="preserve">تاریخ مشروطیت - تاریخ مشعشعیان ۷۶۱ جلد پنجم از مجموعه یادداشت هایی است که به نام «شرایط انسانیت و مراسم مدنیت و حفظ و حقوق آدمیت» تألیف شده و محتوی بر یادداشت هایی است در وقایع مشروطه و تشکیل پارلمان و وضع قانون اساسی و مجلس شورای ملی لغایت رجب ۱۳۲۷.</w:t>
      </w:r>
    </w:p>
    <w:p>
      <w:pPr>
        <w:pStyle w:val="BookText"/>
      </w:pPr>
      <w:r>
        <w:rPr>
          <w:rFonts w:ascii="IRNazanin" w:hAnsi="IRNazanin" w:eastAsia="IRNazanin" w:cs="IRNazanin"/>
          <w:lang w:bidi="fa-IR"/>
          <w:color w:val="111111"/>
          <w:sz w:val="28"/>
          <w:szCs w:val="28"/>
          <w:rtl/>
        </w:rPr>
        <w:t xml:space="preserve">[فهرستواره منزوی ۹۰۲/۲ ]</w:t>
      </w:r>
    </w:p>
    <w:p>
      <w:pPr>
        <w:pStyle w:val="BookText"/>
      </w:pPr>
      <w:r>
        <w:rPr>
          <w:rFonts w:ascii="IRNazanin" w:hAnsi="IRNazanin" w:eastAsia="IRNazanin" w:cs="IRNazanin"/>
          <w:lang w:bidi="fa-IR"/>
          <w:color w:val="111111"/>
          <w:sz w:val="28"/>
          <w:szCs w:val="28"/>
          <w:rtl/>
        </w:rPr>
        <w:t xml:space="preserve">تهران؛ ملک؛ شماره نسخه:۳۶۷۷</w:t>
      </w:r>
    </w:p>
    <w:p>
      <w:pPr>
        <w:pStyle w:val="BookText"/>
      </w:pPr>
      <w:r>
        <w:rPr>
          <w:rFonts w:ascii="IRNazanin" w:hAnsi="IRNazanin" w:eastAsia="IRNazanin" w:cs="IRNazanin"/>
          <w:lang w:bidi="fa-IR"/>
          <w:color w:val="111111"/>
          <w:sz w:val="28"/>
          <w:szCs w:val="28"/>
          <w:rtl/>
        </w:rPr>
        <w:t xml:space="preserve">خط: شکسته، نستعلیق، بی کا، تا: جمادی الاول ۱۳۲۸ق؛ کاغذ: کاغذ فرنگی، جلد: عطف و گوشه میشن رویه ساغری پارچه ای، ۱۳۷، ۱۱ سطر، اندازه: ۲۰/۶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۱۲/۸ سم [ف: ۲-۹۲]</w:t>
      </w:r>
    </w:p>
    <w:p>
      <w:pPr>
        <w:pStyle w:val="Heading3"/>
      </w:pPr>
      <w:bookmarkStart w:id="2616" w:name="_Toc1876"/>
      <w:r>
        <w:t>•تاریخ مشعشعیان = الرحلة المكية / تاریخ ایران / عربی و فارسی</w:t>
      </w:r>
      <w:bookmarkEnd w:id="2616"/>
    </w:p>
    <w:p>
      <w:pPr>
        <w:pStyle w:val="BookText"/>
      </w:pPr>
      <w:r>
        <w:rPr>
          <w:rFonts w:ascii="Times New Roman" w:hAnsi="Times New Roman" w:eastAsia="Times New Roman" w:cs="Times New Roman"/>
          <w:lang w:val="en-US" w:bidi="en-US"/>
          <w:color w:val="111111"/>
          <w:sz w:val="28"/>
          <w:szCs w:val="28"/>
          <w:rtl/>
        </w:rPr>
        <w:t xml:space="preserve">tarix-e mosasa'iyan = ar-rihlat-ul makkiya</w:t>
      </w:r>
    </w:p>
    <w:p>
      <w:pPr>
        <w:pStyle w:val="BookText"/>
      </w:pPr>
      <w:r>
        <w:rPr>
          <w:rFonts w:ascii="IRNazanin" w:hAnsi="IRNazanin" w:eastAsia="IRNazanin" w:cs="IRNazanin"/>
          <w:lang w:bidi="fa-IR"/>
          <w:color w:val="111111"/>
          <w:sz w:val="28"/>
          <w:szCs w:val="28"/>
          <w:rtl/>
        </w:rPr>
        <w:t xml:space="preserve">موسوی، علی بن عبدالله، ق ۱۲ قمری</w:t>
      </w:r>
    </w:p>
    <w:p>
      <w:pPr>
        <w:pStyle w:val="BookText"/>
      </w:pPr>
      <w:r>
        <w:rPr>
          <w:rFonts w:ascii="Times New Roman" w:hAnsi="Times New Roman" w:eastAsia="Times New Roman" w:cs="Times New Roman"/>
          <w:lang w:val="en-US" w:bidi="en-US"/>
          <w:color w:val="111111"/>
          <w:sz w:val="28"/>
          <w:szCs w:val="28"/>
          <w:rtl/>
        </w:rPr>
        <w:t xml:space="preserve">mūsavī, ‘alī ebn-e ‘abd-ol-lāh (-18c)</w:t>
      </w:r>
    </w:p>
    <w:p>
      <w:pPr>
        <w:pStyle w:val="BookText"/>
      </w:pPr>
      <w:r>
        <w:rPr>
          <w:rFonts w:ascii="IRNazanin" w:hAnsi="IRNazanin" w:eastAsia="IRNazanin" w:cs="IRNazanin"/>
          <w:lang w:bidi="fa-IR"/>
          <w:color w:val="111111"/>
          <w:sz w:val="28"/>
          <w:szCs w:val="28"/>
          <w:rtl/>
        </w:rPr>
        <w:t xml:space="preserve">علی خان بن سید عبدالله خان بن سید علی خان موسوی والی عربستان در شرح سفر خود به مکه و عتبات با آوردن سرگذشت خود و نیاکانش و سادات مشعشعی. این کتاب همچنین مشتمل است بر احکام و فرمان هایی که به فارسی از دربار صفوی نوشته شده و مؤلف صورت آنها را به فارسی درج نموده است. در آن نامه ها و فرمان هایی به تاریخ ۱۱۲۸ق دیده می شود. آغاز: بسمله. الحمدلله الذي جعل لكل شيء سببا و میز بین خلقه منزلة نسبة نسخه های منزوی ۴۲۷۲؛[ دنا ۷۳۹/۲ ]</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١- تاریخ مشعشعیان (ترجمه)؛ جزائری، نورالدين محمد بن نعمت الله (۱۳)</w:t>
      </w:r>
    </w:p>
    <w:p>
      <w:pPr>
        <w:pStyle w:val="BookText"/>
      </w:pPr>
      <w:r>
        <w:rPr>
          <w:rFonts w:ascii="IRNazanin" w:hAnsi="IRNazanin" w:eastAsia="IRNazanin" w:cs="IRNazanin"/>
          <w:lang w:bidi="fa-IR"/>
          <w:color w:val="111111"/>
          <w:sz w:val="28"/>
          <w:szCs w:val="28"/>
          <w:rtl/>
        </w:rPr>
        <w:t xml:space="preserve">تهران؛ سپهسالار؛ شماره نسخه:۱۵۱۳</w:t>
      </w:r>
    </w:p>
    <w:p>
      <w:pPr>
        <w:pStyle w:val="BookText"/>
      </w:pPr>
      <w:r>
        <w:rPr>
          <w:rFonts w:ascii="IRNazanin" w:hAnsi="IRNazanin" w:eastAsia="IRNazanin" w:cs="IRNazanin"/>
          <w:lang w:bidi="fa-IR"/>
          <w:color w:val="111111"/>
          <w:sz w:val="28"/>
          <w:szCs w:val="28"/>
          <w:rtl/>
        </w:rPr>
        <w:t xml:space="preserve">آغاز: برابر؛ انجام: ثم نرجع إلى ما كنا فيه .. و اخذ و هن و اما العيال ( پس از آوردن نامه مورخ «قد =۱۱۲۸» ) افتاده است. کاتب = مؤلف، تا: قرن ۱۲؛ افتادگی: انجام؛ مصحح، محشی؛ تملک: ابن المرحوم المبرور المولی فرج الله الموسوی که احتمالا از فامیل مؤلف باشد؛ کاغذ: سپاهانی، جلد: تیماج سرخ ضربی مقوایی، ۲۲۶گ، ۲۴ سطر،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۳-۳۰۴]</w:t>
      </w:r>
    </w:p>
    <w:p>
      <w:pPr>
        <w:pStyle w:val="BookText"/>
      </w:pPr>
      <w:r>
        <w:rPr>
          <w:rFonts w:ascii="IRNazanin" w:hAnsi="IRNazanin" w:eastAsia="IRNazanin" w:cs="IRNazanin"/>
          <w:lang w:bidi="fa-IR"/>
          <w:color w:val="111111"/>
          <w:sz w:val="28"/>
          <w:szCs w:val="28"/>
          <w:rtl/>
        </w:rPr>
        <w:t xml:space="preserve">قم؛ مرعشی؛ شماره نسخه:۸۲۲عکسی</w:t>
      </w:r>
    </w:p>
    <w:p>
      <w:pPr>
        <w:pStyle w:val="BookText"/>
      </w:pPr>
      <w:r>
        <w:rPr>
          <w:rFonts w:ascii="IRNazanin" w:hAnsi="IRNazanin" w:eastAsia="IRNazanin" w:cs="IRNazanin"/>
          <w:lang w:bidi="fa-IR"/>
          <w:color w:val="111111"/>
          <w:sz w:val="28"/>
          <w:szCs w:val="28"/>
          <w:rtl/>
        </w:rPr>
        <w:t xml:space="preserve">نسخه اصل: همان نسخه بالا [عکسی ف: ۲-۲۹۵]</w:t>
      </w:r>
    </w:p>
    <w:p>
      <w:pPr>
        <w:pStyle w:val="BookText"/>
      </w:pPr>
      <w:r>
        <w:rPr>
          <w:rFonts w:ascii="IRNazanin" w:hAnsi="IRNazanin" w:eastAsia="IRNazanin" w:cs="IRNazanin"/>
          <w:lang w:bidi="fa-IR"/>
          <w:color w:val="111111"/>
          <w:sz w:val="28"/>
          <w:szCs w:val="28"/>
          <w:rtl/>
        </w:rPr>
        <w:t xml:space="preserve">تهران، دانشگاه؛ شماره نسخه:۵۷۵۵ و ۴۹۶۴-ف</w:t>
      </w:r>
    </w:p>
    <w:p>
      <w:pPr>
        <w:pStyle w:val="BookText"/>
      </w:pPr>
      <w:r>
        <w:rPr>
          <w:rFonts w:ascii="Amiri" w:hAnsi="Amiri" w:eastAsia="Amiri" w:cs="Amiri"/>
          <w:lang w:bidi="ar-SA"/>
          <w:color w:val="111111"/>
          <w:sz w:val="28"/>
          <w:szCs w:val="28"/>
          <w:rtl/>
        </w:rPr>
        <w:t xml:space="preserve">نسخه اصل: همان نسخه بالا [فيلمها ف: ۳-۱۸۰ و ۱۱۸]</w:t>
      </w:r>
    </w:p>
    <w:p>
      <w:pPr>
        <w:pStyle w:val="Heading3"/>
      </w:pPr>
      <w:bookmarkStart w:id="2617" w:name="_Toc1877"/>
      <w:r>
        <w:t>• تاریخ مشعشعیان (ترجمه) / تاریخ ایران / فارسی</w:t>
      </w:r>
      <w:bookmarkEnd w:id="2617"/>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567" w:name="pg20363_209889"/>
    <w:bookmarkEnd w:id="567"/>
    <w:p>
      <w:pPr>
        <w:pStyle w:val="BookText"/>
      </w:pPr>
      <w:r>
        <w:rPr>
          <w:rFonts w:ascii="Times New Roman" w:hAnsi="Times New Roman" w:eastAsia="Times New Roman" w:cs="Times New Roman"/>
          <w:lang w:val="en-US" w:bidi="en-US"/>
          <w:color w:val="111111"/>
          <w:sz w:val="28"/>
          <w:szCs w:val="28"/>
          <w:rtl/>
        </w:rPr>
        <w:t xml:space="preserve">tārīx-e moša ša'īyān (t.)</w:t>
      </w:r>
    </w:p>
    <w:p>
      <w:pPr>
        <w:pStyle w:val="BookText"/>
      </w:pPr>
      <w:r>
        <w:rPr>
          <w:rFonts w:ascii="IRNazanin" w:hAnsi="IRNazanin" w:eastAsia="IRNazanin" w:cs="IRNazanin"/>
          <w:lang w:bidi="fa-IR"/>
          <w:color w:val="111111"/>
          <w:sz w:val="28"/>
          <w:szCs w:val="28"/>
          <w:rtl/>
        </w:rPr>
        <w:t xml:space="preserve">جزائري، نورالدین محمد بن نعمة الله، قرن ۱۳ قمری</w:t>
      </w:r>
    </w:p>
    <w:p>
      <w:pPr>
        <w:pStyle w:val="BookText"/>
      </w:pPr>
      <w:r>
        <w:rPr>
          <w:rFonts w:ascii="Times New Roman" w:hAnsi="Times New Roman" w:eastAsia="Times New Roman" w:cs="Times New Roman"/>
          <w:lang w:val="en-US" w:bidi="en-US"/>
          <w:color w:val="111111"/>
          <w:sz w:val="28"/>
          <w:szCs w:val="28"/>
          <w:rtl/>
        </w:rPr>
        <w:t xml:space="preserve">jazā’erī, nūr-od-dīn mohammad ebn-e ne'mat-ol-lāh (19c)</w:t>
      </w:r>
    </w:p>
    <w:p>
      <w:pPr>
        <w:pStyle w:val="BookText"/>
      </w:pPr>
      <w:r>
        <w:rPr>
          <w:rFonts w:ascii="IRNazanin" w:hAnsi="IRNazanin" w:eastAsia="IRNazanin" w:cs="IRNazanin"/>
          <w:lang w:bidi="fa-IR"/>
          <w:color w:val="111111"/>
          <w:sz w:val="28"/>
          <w:szCs w:val="28"/>
          <w:rtl/>
        </w:rPr>
        <w:t xml:space="preserve">وابسته به تاریخ مشعشعیان = الرحلة المكية؛ موسوی، علی بن عبدالله (قرن ۱۲) به دستور: محمد علی میرزا پسر فتحعلی شاه قاجار (۱۲۰۳ ۱۲۳۷ ق) حاکم وقت خوزستان تاریخ تأليف: سه شنبه ۲۷ ربيع الثانی ۱۲۳۴ق ترجمه و ویرایش کتاب تاریخ مشعشیان اثر سید علی بن عبدالله بن علی خان مشعشعی حویزی (قرن ۱۲ ق) است. در سفر محمد علی میرزا به خوزستان، ملاقات هایی بین وی و نعمة الله شوشتری (پدر مؤلف و نویسنده فريدة الأصقاع) صورت می پذیرد و در ضمن گفتگوهای این دو در خصوص تاریخ خوزستان، سادات مشعشع و حكام حویزه، متوجه می شوند که در این باره کتابی در دست نیست. مولی عبدعلی خان فرمانروای حویزه از مؤلفات یکی از نیاکان خویش نسختی نزد وی پیشکش آورده بود که همان نسخه اصل این کتاب است، اما آن کتاب به زبان عربی بود و نویسنده آن هم به این زبان تسلط نداشت، لذا کتاب شیوا و رسا در نیامده بود.</w:t>
      </w:r>
    </w:p>
    <w:p>
      <w:pPr>
        <w:pStyle w:val="BookText"/>
      </w:pPr>
      <w:r>
        <w:rPr>
          <w:rFonts w:ascii="IRNazanin" w:hAnsi="IRNazanin" w:eastAsia="IRNazanin" w:cs="IRNazanin"/>
          <w:lang w:bidi="fa-IR"/>
          <w:color w:val="111111"/>
          <w:sz w:val="28"/>
          <w:szCs w:val="28"/>
          <w:rtl/>
        </w:rPr>
        <w:t xml:space="preserve">لذا شاهزاده به پدر مترجم دستور داد که از آن کتاب برگزیند و سرگذشت مؤلف عربی و شرح سفرهای او و برخی از منشورها و ارقام پادشاهان که به پدران او نوشته بودند و پاره ای از قصاید و شعرهای فارسی و عربی را بیندازد و آن را به فارسی برگرداند. اما پس از آن که نعمت الله شوشتری چند ورقی از آن نوشت و موکب محمد علی میرزا به سمت دارالدوله کرمانشاهان حرکت کرد ناخوشی رمد به چشم او رسید و از خواندن و نوشتن عاجز شد لاجرم پسرش کتاب را به همان ترتیب به زبان فارسی ترجمه کرد. وی هر چه ترجمه می کرد به پدر نشان می داد و برخی از مطالب که در کتاب های دیگر می دید بر آن می افزود. در جاهایی که مترجم مطالبی از خود به کتاب افزوده، آنها را با عنوان «مترجم گوید» از اصل متمایز کرده است. آغاز: بسمله. و به نستعين الحمدلله على نعمة الفاضلة وله الشكر على آلائه المتوافرة ... و بعد ... نورالدین محمد بن نعمة الله الموسوي الشوشتری برلوحه ضمير منیر ارباب فطنت و اصحاب عرفان و خبرت انجام: مترجم کتاب گوید این خلاصه چیزی است که این حقیر در احوال متأخرين از عهد مصنف کتاب از موالی حویزه اطلاع به هم رسانده، بعضی از آن از تذکره شوشتری نقل و برخی از معمرین موثقين استماع نموده، در ترجمه ملحق ساخت. امید که مقبول طبع ارجمند مشکل پسند اقدس ارفع اشرف اعلی گردد</w:t>
      </w:r>
    </w:p>
    <w:p>
      <w:pPr>
        <w:pStyle w:val="BookText"/>
      </w:pPr>
      <w:r>
        <w:rPr>
          <w:rFonts w:ascii="IRNazanin" w:hAnsi="IRNazanin" w:eastAsia="IRNazanin" w:cs="IRNazanin"/>
          <w:lang w:bidi="fa-IR"/>
          <w:color w:val="111111"/>
          <w:sz w:val="28"/>
          <w:szCs w:val="28"/>
          <w:rtl/>
        </w:rPr>
        <w:t xml:space="preserve">[دنا ۷۳۹/۲ ؛ نسخه های منزوی ۴۲۷۲/۶ «تاریخ مشعشعیان» ۲ عنوان یکی متن عربی آن و دیگری ترجمه فارسی آن؛ فهرستواره منزوی ۹۰۳/۲ «تاریخ مشعشعیان» ]</w:t>
      </w:r>
    </w:p>
    <w:p>
      <w:pPr>
        <w:pStyle w:val="BookText"/>
      </w:pPr>
      <w:r>
        <w:rPr>
          <w:rFonts w:ascii="IRNazanin" w:hAnsi="IRNazanin" w:eastAsia="IRNazanin" w:cs="IRNazanin"/>
          <w:lang w:bidi="fa-IR"/>
          <w:color w:val="111111"/>
          <w:sz w:val="28"/>
          <w:szCs w:val="28"/>
          <w:rtl/>
        </w:rPr>
        <w:t xml:space="preserve">۱. تهران: مجلس؛ شماره نسخه:۸۹۳۴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خط: نستعلیق، کاتب = مؤلف، تا: قرن ۱۳؛ مصحح، یادداشتی از محمد صادق بن محمد علی مازندرانی ملقب به ادیب حضور در جمعه ۸ روز باقیمانده از جمادی الاولی ۱۳۴۳ ق برابر ۲۷ برج قوس سیچقان ئیل ۱۳۰۳ ش کتاب را به میرزا ابو عبدالله شريف زنجانی هدیه کرده است، در کنار این یادداشت دستخط ابی عبدالله زنجانی در تایید این هدیه نوشته شده؛ مهر: «الراجی مرتضی قلی» (بیضوی)؛ خریداری از محمد صادق ضیائی؛ کاغذ: فرنگی نخودی آهار مهره، جلد: تیماج عنابی با ترنج و سرترنج، ۹۸ گ، ۲۰سطر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w:t>
      </w:r>
    </w:p>
    <w:p>
      <w:pPr>
        <w:pStyle w:val="BookText"/>
      </w:pPr>
      <w:r>
        <w:rPr>
          <w:rFonts w:ascii="IRNazanin" w:hAnsi="IRNazanin" w:eastAsia="IRNazanin" w:cs="IRNazanin"/>
          <w:lang w:bidi="fa-IR"/>
          <w:color w:val="111111"/>
          <w:sz w:val="28"/>
          <w:szCs w:val="28"/>
          <w:rtl/>
        </w:rPr>
        <w:t xml:space="preserve">)، اندازه: ۲۶/۴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۱۵/۳ سم [ف: ۲۹/۱ -۳۹۱]</w:t>
      </w:r>
    </w:p>
    <w:p>
      <w:pPr>
        <w:pStyle w:val="BookText"/>
      </w:pPr>
      <w:r>
        <w:rPr>
          <w:rFonts w:ascii="IRNazanin" w:hAnsi="IRNazanin" w:eastAsia="IRNazanin" w:cs="IRNazanin"/>
          <w:lang w:bidi="fa-IR"/>
          <w:color w:val="111111"/>
          <w:sz w:val="28"/>
          <w:szCs w:val="28"/>
          <w:rtl/>
        </w:rPr>
        <w:t xml:space="preserve">تهران؛ دانشگاه؛ شماره نسخه:۳۰۳۴-ف</w:t>
      </w:r>
    </w:p>
    <w:p>
      <w:pPr>
        <w:pStyle w:val="BookText"/>
      </w:pPr>
      <w:r>
        <w:rPr>
          <w:rFonts w:ascii="Amiri" w:hAnsi="Amiri" w:eastAsia="Amiri" w:cs="Amiri"/>
          <w:lang w:bidi="ar-SA"/>
          <w:color w:val="111111"/>
          <w:sz w:val="28"/>
          <w:szCs w:val="28"/>
          <w:rtl/>
        </w:rPr>
        <w:t xml:space="preserve">نسخه اصل: همان نسخه بالا [فيلمها ف: ۲-۳۶]</w:t>
      </w:r>
    </w:p>
    <w:p>
      <w:pPr>
        <w:pStyle w:val="BookText"/>
      </w:pPr>
      <w:r>
        <w:rPr>
          <w:rFonts w:ascii="IRNazanin" w:hAnsi="IRNazanin" w:eastAsia="IRNazanin" w:cs="IRNazanin"/>
          <w:lang w:bidi="fa-IR"/>
          <w:color w:val="111111"/>
          <w:sz w:val="28"/>
          <w:szCs w:val="28"/>
          <w:rtl/>
        </w:rPr>
        <w:t xml:space="preserve">۲. تهران: مفتاح، شماره نسخه: ۲/ ۵۰۰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۱۲۴۹ ق (نشریه: ۷-۲۴۴]</w:t>
      </w:r>
    </w:p>
    <w:p>
      <w:pPr>
        <w:pStyle w:val="BookText"/>
      </w:pPr>
      <w:r>
        <w:rPr>
          <w:rFonts w:ascii="IRNazanin" w:hAnsi="IRNazanin" w:eastAsia="IRNazanin" w:cs="IRNazanin"/>
          <w:lang w:bidi="fa-IR"/>
          <w:color w:val="111111"/>
          <w:sz w:val="28"/>
          <w:szCs w:val="28"/>
          <w:rtl/>
        </w:rPr>
        <w:t xml:space="preserve">٣. تهران؛ دائرة المعارف؛ شماره نسخه:۴۳۹-عکسی</w:t>
      </w:r>
    </w:p>
    <w:p>
      <w:pPr>
        <w:pStyle w:val="BookText"/>
      </w:pPr>
      <w:r>
        <w:rPr>
          <w:rFonts w:ascii="IRNazanin" w:hAnsi="IRNazanin" w:eastAsia="IRNazanin" w:cs="IRNazanin"/>
          <w:lang w:bidi="fa-IR"/>
          <w:color w:val="111111"/>
          <w:sz w:val="28"/>
          <w:szCs w:val="28"/>
          <w:rtl/>
        </w:rPr>
        <w:t xml:space="preserve">آغاز و انجام: برابر نسخه اصل: گویا از دکتر مفتاح. در ۲ مجلد؛ خط: نستعلیق شکسته، بی کا، تا: سه شنبه ۲۷ ربیع الثانی ۱۲۳۴ق؛ ۱۰۳گ [عکسی ف: ۲-۵۸]</w:t>
      </w:r>
    </w:p>
    <w:p>
      <w:pPr>
        <w:pStyle w:val="Heading3"/>
      </w:pPr>
      <w:bookmarkStart w:id="2618" w:name="_Toc1878"/>
      <w:r>
        <w:t>•تاريخ مصر / تاریخ جهان / عربی</w:t>
      </w:r>
      <w:bookmarkEnd w:id="2618"/>
    </w:p>
    <w:p>
      <w:pPr>
        <w:pStyle w:val="BookText"/>
      </w:pPr>
      <w:r>
        <w:rPr>
          <w:rFonts w:ascii="Times New Roman" w:hAnsi="Times New Roman" w:eastAsia="Times New Roman" w:cs="Times New Roman"/>
          <w:lang w:val="en-US" w:bidi="en-US"/>
          <w:color w:val="111111"/>
          <w:sz w:val="28"/>
          <w:szCs w:val="28"/>
          <w:rtl/>
        </w:rPr>
        <w:t xml:space="preserve">tarix-e mesr</w:t>
      </w:r>
    </w:p>
    <w:p>
      <w:pPr>
        <w:pStyle w:val="BookText"/>
      </w:pPr>
      <w:r>
        <w:rPr>
          <w:rFonts w:ascii="IRNazanin" w:hAnsi="IRNazanin" w:eastAsia="IRNazanin" w:cs="IRNazanin"/>
          <w:lang w:bidi="fa-IR"/>
          <w:color w:val="111111"/>
          <w:sz w:val="28"/>
          <w:szCs w:val="28"/>
          <w:rtl/>
        </w:rPr>
        <w:t xml:space="preserve">زین الدین معروف افندی، ق ۱۰ قمری</w:t>
      </w:r>
    </w:p>
    <w:p>
      <w:pPr>
        <w:pStyle w:val="BookText"/>
      </w:pPr>
      <w:r>
        <w:rPr>
          <w:rFonts w:ascii="Times New Roman" w:hAnsi="Times New Roman" w:eastAsia="Times New Roman" w:cs="Times New Roman"/>
          <w:lang w:val="en-US" w:bidi="en-US"/>
          <w:color w:val="111111"/>
          <w:sz w:val="28"/>
          <w:szCs w:val="28"/>
          <w:rtl/>
        </w:rPr>
        <w:t xml:space="preserve">zayn-od-dīn ma‘rūf afandī (-16c)</w:t>
      </w:r>
    </w:p>
    <w:p>
      <w:pPr>
        <w:pStyle w:val="BookText"/>
      </w:pPr>
      <w:r>
        <w:rPr>
          <w:rFonts w:ascii="IRNazanin" w:hAnsi="IRNazanin" w:eastAsia="IRNazanin" w:cs="IRNazanin"/>
          <w:lang w:bidi="fa-IR"/>
          <w:color w:val="111111"/>
          <w:sz w:val="28"/>
          <w:szCs w:val="28"/>
          <w:rtl/>
        </w:rPr>
        <w:t xml:space="preserve">کتابی است در تاريخ مصر و پادشاهی که بر مصر حکومت کردند و ذكر ابنیه و مساجد و بیمارستان ها و مدارس و قصرها و پل ها و عجایب بحر نیل و جز آن، در ابواب و فصول متعدد. شباهت دارد با آنچه احمد مقریزی (۸۴۵ق) درباره مصر در المواعظ و الاعتبار في ذكر الخطط و الآثار» آورده است. افندی در این کتاب، تاریخ ملوک و سلاطین مصر را تا سال ۹۰۱ق آورده است. از این رو، فهرست نگاران او را از مردم قرن دهم هجری دانسته اند. دو نسخه از این کتاب شناسایی شده است: ۱ نسخه شماره ۲۲/۱</w:t>
      </w:r>
    </w:p>
    <w:p>
      <w:pPr>
        <w:pStyle w:val="BookText"/>
      </w:pPr>
      <w:r>
        <w:rPr>
          <w:rFonts w:ascii="IRNazanin" w:hAnsi="IRNazanin" w:eastAsia="IRNazanin" w:cs="IRNazanin"/>
          <w:lang w:bidi="fa-IR"/>
          <w:color w:val="111111"/>
          <w:sz w:val="28"/>
          <w:szCs w:val="28"/>
          <w:rtl/>
        </w:rPr>
        <w:t xml:space="preserve">کتابخانه اوقاف موصل، کتابت شده در ۱۲۲۰ق. سالم عبدالرزاق احمد در فهرست کتابخانه مذکور، کتاب حاضر را با نام احوال مصر معرفی کرده و آن را تلخيص کتاب خطط مقریزی دانسته است؛ ۲. نسخه کتابخانه چستربیتی که به خط مؤلف است و از انجام ناتمام مانده و تصویری از آن در دانشگاه کویت موجود است. تصویر مورد بحث ما نیز از نسخه چستربیتی اخذ شده است. آغاز و انجام این نسخه با نسخه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bookmarkStart w:id="568" w:name="pg20363_209890"/>
    <w:bookmarkEnd w:id="568"/>
    <w:p>
      <w:pPr>
        <w:pStyle w:val="BookText"/>
      </w:pPr>
      <w:r>
        <w:rPr>
          <w:rFonts w:ascii="IRNazanin" w:hAnsi="IRNazanin" w:eastAsia="IRNazanin" w:cs="IRNazanin"/>
          <w:lang w:bidi="fa-IR"/>
          <w:color w:val="111111"/>
          <w:sz w:val="28"/>
          <w:szCs w:val="28"/>
          <w:rtl/>
        </w:rPr>
        <w:t xml:space="preserve">قبلی متفاوت است. بروکلمان در ذیل تاريخ الأدب العربی، این کتاب را با نام «عجائب الاخبار عن مصر الامصار» معرفی کرده است. افندی در ابتدا فرق و مذاهب موجود در مصر را معرفی کرده است. پس از آن حدود مصر را تعیین نموده و در ادامه، بابی به ذکر جوامع مصر اختصاص داده و مساجد جامع تاریخی و بزرگ مصر را برشمرده است. وی در باب های دیگر مدارس، بیمارستان ها و خانقاههای مصر را به تفصیل ذکر کرده و سپس باب هفتم را به آنچه در فضايل مصر گفته شده و باب هشتم را به آنچه در مذمت آن گفته اند، اختصاص داده است. در باب نهم، اخبار اهرام مصر را آورده، و در فصلی مستقل به ذکر برخی از خليجها و قناطر و برکه های مصر پرداخته است. پس از آن، بابی شامل فصول، وقایع مصر در ابتدای ظهور اسلام و پس از آن را آورده و در باب بعدی شداید و محن و خرابی های رخ داده در آن کشور را برشمرده است. باب ها و فصل های پایانی به ذکر ملوك و سلاطین مصر، از ابتدای بنای آن تا عصر مؤلف اختصاص دارد؛ از جمله: باب فی ذکر ملوک مصر من ابتداء عمارتها قبل الطوفان و بعده، فصل في ملوك القبط، فصل في ملوك العمالقة ذكر من ملك مصر من بعد الاسكندر المقدونی، ذكر ملوک رومية الذين ملكوا مصر، ذكر من ملک مصر من قسطنطنية، ذكر ما ينسب الى بعض الملوك المتقدم، باب يتضمن ذكر من استقل بسلطنة مصر. مؤلف در به کار بستن الفاظی همچون «خلیفه»، «ملک» و «سلطان» دقت داشته و برای هر کدام، معنای خاصی در نظر گرفته است.</w:t>
      </w:r>
    </w:p>
    <w:p>
      <w:pPr>
        <w:pStyle w:val="BookText"/>
      </w:pPr>
      <w:r>
        <w:rPr>
          <w:rFonts w:ascii="IRNazanin" w:hAnsi="IRNazanin" w:eastAsia="IRNazanin" w:cs="IRNazanin"/>
          <w:lang w:bidi="fa-IR"/>
          <w:color w:val="111111"/>
          <w:sz w:val="28"/>
          <w:szCs w:val="28"/>
          <w:rtl/>
        </w:rPr>
        <w:t xml:space="preserve">[فهرست آربری ۳۹/۴ ]</w:t>
      </w:r>
    </w:p>
    <w:p>
      <w:pPr>
        <w:pStyle w:val="BookText"/>
      </w:pPr>
      <w:r>
        <w:rPr>
          <w:rFonts w:ascii="IRNazanin" w:hAnsi="IRNazanin" w:eastAsia="IRNazanin" w:cs="IRNazanin"/>
          <w:lang w:bidi="fa-IR"/>
          <w:color w:val="111111"/>
          <w:sz w:val="28"/>
          <w:szCs w:val="28"/>
          <w:rtl/>
        </w:rPr>
        <w:t xml:space="preserve">قم؛ مرعشی؛ شماره نسخه: ۱۰۶۴ عکسی</w:t>
      </w:r>
    </w:p>
    <w:p>
      <w:pPr>
        <w:pStyle w:val="BookText"/>
      </w:pPr>
      <w:r>
        <w:rPr>
          <w:rFonts w:ascii="IRNazanin" w:hAnsi="IRNazanin" w:eastAsia="IRNazanin" w:cs="IRNazanin"/>
          <w:lang w:bidi="fa-IR"/>
          <w:color w:val="111111"/>
          <w:sz w:val="28"/>
          <w:szCs w:val="28"/>
          <w:rtl/>
        </w:rPr>
        <w:t xml:space="preserve">آغاز: احمدک اللهم يا ذا العز الشامخ المتأزر بالعظمة و الجلال و يا ذا السلطان القاهر الباذخ ... أما بعد فهذه رسالة محكمة النظام واضحة السبيل رابحة المتجر، انجام: فأقام في الملک ثلاثين سنة تنقص سبع شهور و توفي في ثانی عشرین ذی قعدة سنة أحد و تسعمائة فقام بالأمر بعد ابنه السلطان الملك الناصر. نسخه اصل: کتابخانه چستربیتی، ایرلند: ش</w:t>
      </w:r>
    </w:p>
    <w:p>
      <w:pPr>
        <w:pStyle w:val="BookText"/>
      </w:pPr>
      <w:r>
        <w:rPr>
          <w:rFonts w:ascii="IRNazanin" w:hAnsi="IRNazanin" w:eastAsia="IRNazanin" w:cs="IRNazanin"/>
          <w:lang w:bidi="fa-IR"/>
          <w:color w:val="111111"/>
          <w:sz w:val="28"/>
          <w:szCs w:val="28"/>
          <w:rtl/>
        </w:rPr>
        <w:t xml:space="preserve">۳۸۵۸.</w:t>
      </w:r>
    </w:p>
    <w:p>
      <w:pPr>
        <w:pStyle w:val="BookText"/>
      </w:pPr>
      <w:r>
        <w:rPr>
          <w:rFonts w:ascii="IRNazanin" w:hAnsi="IRNazanin" w:eastAsia="IRNazanin" w:cs="IRNazanin"/>
          <w:lang w:bidi="fa-IR"/>
          <w:color w:val="111111"/>
          <w:sz w:val="28"/>
          <w:szCs w:val="28"/>
          <w:rtl/>
        </w:rPr>
        <w:t xml:space="preserve">نسخه حاضر مسوده مؤلف است که ناتمام مانده و تنظیم نهایی ابواب و فصول آن انجام نگرفته و برگهای نسخه نیز جابه جا شده است؛ خط: نسخ، كاتب = مؤلف ، تا: قرن ۱۰؛ مصحح، خط خوردگی دارد، چون این نسخه پیش نویس مؤلف بوده، اضافات در حاشیه دیده می شود و ابواب و فصول کتاب تنظیم نهایی نشده است، یادداشت های مختلفی درج شده، از جمله «... خط المرحوم شیخ الاسلام زین الملة و الدین معروف افندى قاضي القضاة قدس الله روحه»؛ ۲۶۸، ۲۵سطر [عکسی ف: ۳-۱۳۳]</w:t>
      </w:r>
    </w:p>
    <w:p>
      <w:pPr>
        <w:pStyle w:val="Heading3"/>
      </w:pPr>
      <w:bookmarkStart w:id="2619" w:name="_Toc1879"/>
      <w:r>
        <w:t>• تاريخ مصر / تاریخ جهان / عربی</w:t>
      </w:r>
      <w:bookmarkEnd w:id="2619"/>
    </w:p>
    <w:p>
      <w:pPr>
        <w:pStyle w:val="BookText"/>
      </w:pPr>
      <w:r>
        <w:rPr>
          <w:rFonts w:ascii="Times New Roman" w:hAnsi="Times New Roman" w:eastAsia="Times New Roman" w:cs="Times New Roman"/>
          <w:lang w:val="en-US" w:bidi="en-US"/>
          <w:color w:val="111111"/>
          <w:sz w:val="28"/>
          <w:szCs w:val="28"/>
          <w:rtl/>
        </w:rPr>
        <w:t xml:space="preserve">tārīx-e mesr</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IRNazanin" w:hAnsi="IRNazanin" w:eastAsia="IRNazanin" w:cs="IRNazanin"/>
          <w:lang w:bidi="fa-IR"/>
          <w:color w:val="111111"/>
          <w:sz w:val="28"/>
          <w:szCs w:val="28"/>
          <w:rtl/>
        </w:rPr>
        <w:t xml:space="preserve">۱. تهران؛ مجلس؛ شماره نسخه:۳۳۱۳</w:t>
      </w:r>
    </w:p>
    <w:p>
      <w:pPr>
        <w:pStyle w:val="BookText"/>
      </w:pPr>
      <w:r>
        <w:rPr>
          <w:rFonts w:ascii="IRNazanin" w:hAnsi="IRNazanin" w:eastAsia="IRNazanin" w:cs="IRNazanin"/>
          <w:lang w:bidi="fa-IR"/>
          <w:color w:val="111111"/>
          <w:sz w:val="28"/>
          <w:szCs w:val="28"/>
          <w:rtl/>
        </w:rPr>
        <w:t xml:space="preserve">آغاز: ذکر فسطاطا مصر اعلم ان فسطاط مصر احتفظ في الاسلام بعد ما فتحت ارض مصر وصارت دار اسلام و قد كانت بيد الروم و القبط و هم نصارى ملكيه و يعقوبيه و منابيه و حين اختط المسلمون الفسطاط انتقل کرسي المملكة من مدينة الاسكندرية بعد ما كانت منزل الملک؛ انجام: و اما منازل الغز فاشتراها الملک المظفر تقی الدین عمر بن شاهنشاه نجم الدین ایوب بن شادي في شعبان سنة ست و ستین و خمسأيه و جعلها مدرسة للفقهاء الشافعية و اشترى و يتلوه الجزء الثالث دکر حارات القاهرة و ظواهرها. بخش دوم کتابی در تاریخ مصر است؛ خط: نسخ، بی کا، تا: قرن ۱۳؛ تملک: عباسقلی سپهر ثانی در ۱۳۱۶ با مهر او «عباسقلی» بیضی)؛ کاغذ: فرنگی شکری، جلد: تیماج نیلی، ۳۰۶ ص، ۲۷</w:t>
      </w:r>
    </w:p>
    <w:p>
      <w:pPr>
        <w:pStyle w:val="BookText"/>
      </w:pPr>
      <w:r>
        <w:rPr>
          <w:rFonts w:ascii="IRNazanin" w:hAnsi="IRNazanin" w:eastAsia="IRNazanin" w:cs="IRNazanin"/>
          <w:lang w:bidi="fa-IR"/>
          <w:color w:val="111111"/>
          <w:sz w:val="28"/>
          <w:szCs w:val="28"/>
          <w:rtl/>
        </w:rPr>
        <w:t xml:space="preserve">سطر،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۱۰-۹۶۳]</w:t>
      </w:r>
    </w:p>
    <w:p>
      <w:pPr>
        <w:pStyle w:val="BookText"/>
      </w:pPr>
      <w:r>
        <w:rPr>
          <w:rFonts w:ascii="IRNazanin" w:hAnsi="IRNazanin" w:eastAsia="IRNazanin" w:cs="IRNazanin"/>
          <w:lang w:bidi="fa-IR"/>
          <w:color w:val="111111"/>
          <w:sz w:val="28"/>
          <w:szCs w:val="28"/>
          <w:rtl/>
        </w:rPr>
        <w:t xml:space="preserve">۲. تهران؛ مجلس؛ شماره نسخه:۲۷۲۸/۴</w:t>
      </w:r>
    </w:p>
    <w:p>
      <w:pPr>
        <w:pStyle w:val="BookText"/>
      </w:pPr>
      <w:r>
        <w:rPr>
          <w:rFonts w:ascii="IRNazanin" w:hAnsi="IRNazanin" w:eastAsia="IRNazanin" w:cs="IRNazanin"/>
          <w:lang w:bidi="fa-IR"/>
          <w:color w:val="111111"/>
          <w:sz w:val="28"/>
          <w:szCs w:val="28"/>
          <w:rtl/>
        </w:rPr>
        <w:t xml:space="preserve">آغاز: (بسمله ) و بعد فان مصر شانها و شرها غریب خلقها اكثر من رزقها معيشتها اعزز من خلقها من لم يخرج اليها لم يشبع و من لم يدخل لم ينجع؛ انجام: فان فيه الخمیس یا اصحاب الفرار ... و هذه صورة صدر ملوك ديار المصرية و الشامية در تعریف مصر و آب و هوا و مردم و نعمت های آن؛ خط: نستعلیق، بی کا، بی تا؛ کاغذ: سفید و زرد، جلد: تیماج سرخ، ۱۷ص (۵۴-۷۰)، ۱۷ سطر، اندازه: ۲۰/۸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۹-۶۳]</w:t>
      </w:r>
    </w:p>
    <w:p>
      <w:pPr>
        <w:pStyle w:val="Heading3"/>
      </w:pPr>
      <w:bookmarkStart w:id="2620" w:name="_Toc1880"/>
      <w:r>
        <w:t>•تاريخ مصر پس از بازگشت ناپلئون / تاریخ جهان /فارسی</w:t>
      </w:r>
      <w:bookmarkEnd w:id="2620"/>
    </w:p>
    <w:p>
      <w:pPr>
        <w:pStyle w:val="BookText"/>
      </w:pPr>
      <w:r>
        <w:rPr>
          <w:rFonts w:ascii="Times New Roman" w:hAnsi="Times New Roman" w:eastAsia="Times New Roman" w:cs="Times New Roman"/>
          <w:lang w:val="en-US" w:bidi="en-US"/>
          <w:color w:val="111111"/>
          <w:sz w:val="28"/>
          <w:szCs w:val="28"/>
          <w:rtl/>
        </w:rPr>
        <w:t xml:space="preserve">tārīx-e mesr pas az bāzgašt-e nāpel’on</w:t>
      </w:r>
    </w:p>
    <w:p>
      <w:pPr>
        <w:pStyle w:val="BookText"/>
      </w:pPr>
      <w:r>
        <w:rPr>
          <w:rFonts w:ascii="IRNazanin" w:hAnsi="IRNazanin" w:eastAsia="IRNazanin" w:cs="IRNazanin"/>
          <w:lang w:bidi="fa-IR"/>
          <w:color w:val="111111"/>
          <w:sz w:val="28"/>
          <w:szCs w:val="28"/>
          <w:rtl/>
        </w:rPr>
        <w:t xml:space="preserve">تاریخ نویس، رضاقلی بن مهدیقلی، ۱۲۰۷-۱۲۸۳ قمری</w:t>
      </w:r>
    </w:p>
    <w:p>
      <w:pPr>
        <w:pStyle w:val="BookText"/>
      </w:pPr>
      <w:r>
        <w:rPr>
          <w:rFonts w:ascii="Times New Roman" w:hAnsi="Times New Roman" w:eastAsia="Times New Roman" w:cs="Times New Roman"/>
          <w:lang w:val="en-US" w:bidi="en-US"/>
          <w:color w:val="111111"/>
          <w:sz w:val="28"/>
          <w:szCs w:val="28"/>
          <w:rtl/>
        </w:rPr>
        <w:t xml:space="preserve">tārīx-nevīs, rezā-qolī ebn-e mahdī-qolī (1793-1867)</w:t>
      </w:r>
    </w:p>
    <w:p>
      <w:pPr>
        <w:pStyle w:val="BookText"/>
      </w:pPr>
      <w:r>
        <w:rPr>
          <w:rFonts w:ascii="IRNazanin" w:hAnsi="IRNazanin" w:eastAsia="IRNazanin" w:cs="IRNazanin"/>
          <w:lang w:bidi="fa-IR"/>
          <w:color w:val="111111"/>
          <w:sz w:val="28"/>
          <w:szCs w:val="28"/>
          <w:rtl/>
        </w:rPr>
        <w:t xml:space="preserve">اهداء به: ناصرالدین شاه در وقایع مصر بعد از خروج ناپلئون از آنجا و وقایعی که بر سرکردگان آن دیار در غیبت ناپلئون گذشته است.</w:t>
      </w:r>
    </w:p>
    <w:p>
      <w:pPr>
        <w:pStyle w:val="BookText"/>
      </w:pPr>
      <w:r>
        <w:rPr>
          <w:rFonts w:ascii="IRNazanin" w:hAnsi="IRNazanin" w:eastAsia="IRNazanin" w:cs="IRNazanin"/>
          <w:lang w:bidi="fa-IR"/>
          <w:color w:val="111111"/>
          <w:sz w:val="28"/>
          <w:szCs w:val="28"/>
          <w:rtl/>
        </w:rPr>
        <w:t xml:space="preserve">تهران؛ ملی؛ شماره نسخه: ۵۶۳</w:t>
      </w:r>
    </w:p>
    <w:p>
      <w:pPr>
        <w:pStyle w:val="BookText"/>
      </w:pPr>
      <w:r>
        <w:rPr>
          <w:rFonts w:ascii="IRNazanin" w:hAnsi="IRNazanin" w:eastAsia="IRNazanin" w:cs="IRNazanin"/>
          <w:lang w:bidi="fa-IR"/>
          <w:color w:val="111111"/>
          <w:sz w:val="28"/>
          <w:szCs w:val="28"/>
          <w:rtl/>
        </w:rPr>
        <w:t xml:space="preserve">آغاز: بسمله، در تاریخ ناپلئون چنانچه بتفصيل سمت تحریر یافته است همان جهت مأموریت ناپلئون بمصر و کیفیت او مذکور است؛ انجام: باز اهل فرنس مصر و اسکندریه را متصرف شده آنجاها را مسدود نمایند. اینهمه بجهت مراعات مصالح خودشان بود و السلام. خط: نستعلیق خوش، کاتب = مؤلف، تا: قرن ۱۳، جا؛ تهران؛ مجدول؛ کاغذ: ترمه، جلد: ابره، کاغذ پشت گلی مقوایی، ۸گ، ۱۷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۱۳/۵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۲۳/۵سم [ف: ۲-۵۱]</w:t>
      </w:r>
    </w:p>
    <w:p>
      <w:pPr>
        <w:pStyle w:val="Heading3"/>
      </w:pPr>
      <w:bookmarkStart w:id="2621" w:name="_Toc1881"/>
      <w:r>
        <w:t>•تاريخ مصر (ترجمه) / تاریخ جهان / فارسی</w:t>
      </w:r>
      <w:bookmarkEnd w:id="2621"/>
    </w:p>
    <w:p>
      <w:pPr>
        <w:pStyle w:val="BookText"/>
      </w:pPr>
      <w:r>
        <w:rPr>
          <w:rFonts w:ascii="Times New Roman" w:hAnsi="Times New Roman" w:eastAsia="Times New Roman" w:cs="Times New Roman"/>
          <w:lang w:val="en-US" w:bidi="en-US"/>
          <w:color w:val="111111"/>
          <w:sz w:val="28"/>
          <w:szCs w:val="28"/>
          <w:rtl/>
        </w:rPr>
        <w:t xml:space="preserve">tārīx-e mesr (t.)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569" w:name="pg20363_209891"/>
    <w:bookmarkEnd w:id="569"/>
    <w:p>
      <w:pPr>
        <w:pStyle w:val="BookText"/>
      </w:pPr>
      <w:r>
        <w:rPr>
          <w:rFonts w:ascii="IRNazanin" w:hAnsi="IRNazanin" w:eastAsia="IRNazanin" w:cs="IRNazanin"/>
          <w:lang w:bidi="fa-IR"/>
          <w:color w:val="111111"/>
          <w:sz w:val="28"/>
          <w:szCs w:val="28"/>
          <w:rtl/>
        </w:rPr>
        <w:t xml:space="preserve">مهندس، آقاخان، ۱۲۷۴-۱۳۵۶ قمری</w:t>
      </w:r>
    </w:p>
    <w:p>
      <w:pPr>
        <w:pStyle w:val="BookText"/>
      </w:pPr>
      <w:r>
        <w:rPr>
          <w:rFonts w:ascii="Times New Roman" w:hAnsi="Times New Roman" w:eastAsia="Times New Roman" w:cs="Times New Roman"/>
          <w:lang w:val="en-US" w:bidi="en-US"/>
          <w:color w:val="111111"/>
          <w:sz w:val="28"/>
          <w:szCs w:val="28"/>
          <w:rtl/>
        </w:rPr>
        <w:t xml:space="preserve">mohandes, aqa-xan (1858-1937)</w:t>
      </w:r>
    </w:p>
    <w:p>
      <w:pPr>
        <w:pStyle w:val="BookText"/>
      </w:pPr>
      <w:r>
        <w:rPr>
          <w:rFonts w:ascii="IRNazanin" w:hAnsi="IRNazanin" w:eastAsia="IRNazanin" w:cs="IRNazanin"/>
          <w:lang w:bidi="fa-IR"/>
          <w:color w:val="111111"/>
          <w:sz w:val="28"/>
          <w:szCs w:val="28"/>
          <w:rtl/>
        </w:rPr>
        <w:t xml:space="preserve">از بارون دومالرتی. در این کتاب وضع مصر، از زمان محمد على پاشا تا حدود سال ۱۸۸۳م.، به تفصیل آمده و ضمنا پرده از دخالت بیگانگان در آن کشور بر گرفته شده است. نویسنده</w:t>
      </w:r>
    </w:p>
    <w:p>
      <w:pPr>
        <w:pStyle w:val="BookText"/>
      </w:pPr>
      <w:r>
        <w:rPr>
          <w:rFonts w:ascii="IRNazanin" w:hAnsi="IRNazanin" w:eastAsia="IRNazanin" w:cs="IRNazanin"/>
          <w:lang w:bidi="fa-IR"/>
          <w:color w:val="111111"/>
          <w:sz w:val="28"/>
          <w:szCs w:val="28"/>
          <w:rtl/>
        </w:rPr>
        <w:t xml:space="preserve">کارهای عمرانی که در آن دیار انجام شده برشمرده و با جدولی اوضاع اقتصادی و اجتماعی آن کشور را نمایش داده است، علاوه بر این شجره نامه اعقاب محمد علی پاشا نیز در کتاب ترسیم شده است.</w:t>
      </w:r>
    </w:p>
    <w:p>
      <w:pPr>
        <w:pStyle w:val="BookText"/>
      </w:pPr>
      <w:r>
        <w:rPr>
          <w:rFonts w:ascii="IRNazanin" w:hAnsi="IRNazanin" w:eastAsia="IRNazanin" w:cs="IRNazanin"/>
          <w:lang w:bidi="fa-IR"/>
          <w:color w:val="111111"/>
          <w:sz w:val="28"/>
          <w:szCs w:val="28"/>
          <w:rtl/>
        </w:rPr>
        <w:t xml:space="preserve">تهران؛ ملی؛ شماره نسخه:۵۱۲</w:t>
      </w:r>
    </w:p>
    <w:p>
      <w:pPr>
        <w:pStyle w:val="BookText"/>
      </w:pPr>
      <w:r>
        <w:rPr>
          <w:rFonts w:ascii="IRNazanin" w:hAnsi="IRNazanin" w:eastAsia="IRNazanin" w:cs="IRNazanin"/>
          <w:lang w:bidi="fa-IR"/>
          <w:color w:val="111111"/>
          <w:sz w:val="28"/>
          <w:szCs w:val="28"/>
          <w:rtl/>
        </w:rPr>
        <w:t xml:space="preserve">آغاز: بسمله، در احوال محمد علی پاشا، ذكر اسم محمد علی در همه مقامات اسباب تعجب و حیرت است.؛ انجام: و عقیده آنست که دوستان ریائی و متقلب ملت خرابی مصر را بر ضرر خود ترجیح خواهند داد. خط: نستعلیق، بی کا، تا: چهارشنبه ربیع الاول ۱۲۶۶ق این تاریخ نه با تاریخ تأليف كتاب سازگار است و نه با تاریخ تولد مترجم لذا قطعة نادرست است، جا: تهران؛ کاغذ: فرنگی فستقی، جلد: بوم سبز گل و بوته، ۱۹۳، ۱۹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۲-۱۰ ]</w:t>
      </w:r>
    </w:p>
    <w:p>
      <w:pPr>
        <w:pStyle w:val="Heading3"/>
      </w:pPr>
      <w:bookmarkStart w:id="2622" w:name="_Toc1882"/>
      <w:r>
        <w:t>•تاریخ مصور / تاریخ / فارسی</w:t>
      </w:r>
      <w:bookmarkEnd w:id="2622"/>
    </w:p>
    <w:p>
      <w:pPr>
        <w:pStyle w:val="BookText"/>
      </w:pPr>
      <w:r>
        <w:rPr>
          <w:rFonts w:ascii="Times New Roman" w:hAnsi="Times New Roman" w:eastAsia="Times New Roman" w:cs="Times New Roman"/>
          <w:lang w:val="en-US" w:bidi="en-US"/>
          <w:color w:val="111111"/>
          <w:sz w:val="28"/>
          <w:szCs w:val="28"/>
          <w:rtl/>
        </w:rPr>
        <w:t xml:space="preserve">tārīx-e mosavvar</w:t>
      </w:r>
    </w:p>
    <w:p>
      <w:pPr>
        <w:pStyle w:val="BookText"/>
      </w:pPr>
      <w:r>
        <w:rPr>
          <w:rFonts w:ascii="IRNazanin" w:hAnsi="IRNazanin" w:eastAsia="IRNazanin" w:cs="IRNazanin"/>
          <w:lang w:bidi="fa-IR"/>
          <w:color w:val="111111"/>
          <w:sz w:val="28"/>
          <w:szCs w:val="28"/>
          <w:rtl/>
        </w:rPr>
        <w:t xml:space="preserve">از مه آبادیان است تا پادشاهی محمد علی شاه در سه نامه. گویا کتاب درسی دبستان هاست.</w:t>
      </w:r>
    </w:p>
    <w:p>
      <w:pPr>
        <w:pStyle w:val="BookText"/>
      </w:pPr>
      <w:r>
        <w:rPr>
          <w:rFonts w:ascii="IRNazanin" w:hAnsi="IRNazanin" w:eastAsia="IRNazanin" w:cs="IRNazanin"/>
          <w:lang w:bidi="fa-IR"/>
          <w:color w:val="111111"/>
          <w:sz w:val="28"/>
          <w:szCs w:val="28"/>
          <w:rtl/>
        </w:rPr>
        <w:t xml:space="preserve">[دنا ۷۳۹/۲ ؛ فهرستواره منزوی ۵۹۰/۱ ]</w:t>
      </w:r>
    </w:p>
    <w:p>
      <w:pPr>
        <w:pStyle w:val="BookText"/>
      </w:pPr>
      <w:r>
        <w:rPr>
          <w:rFonts w:ascii="IRNazanin" w:hAnsi="IRNazanin" w:eastAsia="IRNazanin" w:cs="IRNazanin"/>
          <w:lang w:bidi="fa-IR"/>
          <w:color w:val="111111"/>
          <w:sz w:val="28"/>
          <w:szCs w:val="28"/>
          <w:rtl/>
        </w:rPr>
        <w:t xml:space="preserve">تهران؛ دانشگاه؛ شماره نسخه:۵۱۱۶</w:t>
      </w:r>
    </w:p>
    <w:p>
      <w:pPr>
        <w:pStyle w:val="BookText"/>
      </w:pPr>
      <w:r>
        <w:rPr>
          <w:rFonts w:ascii="IRNazanin" w:hAnsi="IRNazanin" w:eastAsia="IRNazanin" w:cs="IRNazanin"/>
          <w:lang w:bidi="fa-IR"/>
          <w:color w:val="111111"/>
          <w:sz w:val="28"/>
          <w:szCs w:val="28"/>
          <w:rtl/>
        </w:rPr>
        <w:t xml:space="preserve">آغاز: تاریخ مصوره بنام ایزد بخشاینده مهربان ستایش شایان مر یزدان پاک را؛ انجام: در نامه های آیندگان بخوبی سمر گردد.</w:t>
      </w:r>
    </w:p>
    <w:p>
      <w:pPr>
        <w:pStyle w:val="BookText"/>
      </w:pPr>
      <w:r>
        <w:rPr>
          <w:rFonts w:ascii="IRNazanin" w:hAnsi="IRNazanin" w:eastAsia="IRNazanin" w:cs="IRNazanin"/>
          <w:lang w:bidi="fa-IR"/>
          <w:color w:val="111111"/>
          <w:sz w:val="28"/>
          <w:szCs w:val="28"/>
          <w:rtl/>
        </w:rPr>
        <w:t xml:space="preserve">خط: نستعلیق، كان محمد بن احمد سبحانی، تا: سه شنبه ۱ ربیع الثاني ۱۳۳۳ق؛ تصاویر شاهان مشکی، نسخه گویا برای چاپ سنگی برای مدارس ابتدائی نوشته شده؛ ۱۰۳ص، ۱۱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۱۸/۵ سم [ف: ۱۵-۴۱۱۷]</w:t>
      </w:r>
    </w:p>
    <w:p>
      <w:pPr>
        <w:pStyle w:val="BookText"/>
      </w:pPr>
      <w:r>
        <w:rPr>
          <w:rFonts w:ascii="IRNazanin" w:hAnsi="IRNazanin" w:eastAsia="IRNazanin" w:cs="IRNazanin"/>
          <w:lang w:bidi="fa-IR"/>
          <w:color w:val="111111"/>
          <w:sz w:val="28"/>
          <w:szCs w:val="28"/>
          <w:rtl/>
        </w:rPr>
        <w:t xml:space="preserve">← تاریخ مظفری ← مواهب الهی</w:t>
      </w:r>
    </w:p>
    <w:p>
      <w:pPr>
        <w:pStyle w:val="Heading3"/>
      </w:pPr>
      <w:bookmarkStart w:id="2623" w:name="_Toc1883"/>
      <w:r>
        <w:t>• تاریخ مظفری / تاریخ / فارسی</w:t>
      </w:r>
      <w:bookmarkEnd w:id="2623"/>
    </w:p>
    <w:p>
      <w:pPr>
        <w:pStyle w:val="BookText"/>
      </w:pPr>
      <w:r>
        <w:rPr>
          <w:rFonts w:ascii="Times New Roman" w:hAnsi="Times New Roman" w:eastAsia="Times New Roman" w:cs="Times New Roman"/>
          <w:lang w:val="en-US" w:bidi="en-US"/>
          <w:color w:val="111111"/>
          <w:sz w:val="28"/>
          <w:szCs w:val="28"/>
          <w:rtl/>
        </w:rPr>
        <w:t xml:space="preserve">tārīx-e mozaffarī</w:t>
      </w:r>
    </w:p>
    <w:p>
      <w:pPr>
        <w:pStyle w:val="BookText"/>
      </w:pPr>
      <w:r>
        <w:rPr>
          <w:rFonts w:ascii="IRNazanin" w:hAnsi="IRNazanin" w:eastAsia="IRNazanin" w:cs="IRNazanin"/>
          <w:lang w:bidi="fa-IR"/>
          <w:color w:val="111111"/>
          <w:sz w:val="28"/>
          <w:szCs w:val="28"/>
          <w:rtl/>
        </w:rPr>
        <w:t xml:space="preserve">انصاری پانی پتی، محمد علی بن هدایت الله، ۱۲۰۹ ؟ قمری</w:t>
      </w:r>
    </w:p>
    <w:p>
      <w:pPr>
        <w:pStyle w:val="BookText"/>
      </w:pPr>
      <w:r>
        <w:rPr>
          <w:rFonts w:ascii="Times New Roman" w:hAnsi="Times New Roman" w:eastAsia="Times New Roman" w:cs="Times New Roman"/>
          <w:lang w:val="en-US" w:bidi="en-US"/>
          <w:color w:val="111111"/>
          <w:sz w:val="28"/>
          <w:szCs w:val="28"/>
          <w:rtl/>
        </w:rPr>
        <w:t xml:space="preserve">ansārī pānī patī, mohammad ‘alī ebn-e hedāyat-ol-lāh (-1795)</w:t>
      </w:r>
    </w:p>
    <w:p>
      <w:pPr>
        <w:pStyle w:val="BookText"/>
      </w:pPr>
      <w:r>
        <w:rPr>
          <w:rFonts w:ascii="IRNazanin" w:hAnsi="IRNazanin" w:eastAsia="IRNazanin" w:cs="IRNazanin"/>
          <w:lang w:bidi="fa-IR"/>
          <w:color w:val="111111"/>
          <w:sz w:val="28"/>
          <w:szCs w:val="28"/>
          <w:rtl/>
        </w:rPr>
        <w:t xml:space="preserve">اهداء به: مظفر جنگ خان خانان معین الدوله محمد رضا خان</w:t>
      </w:r>
    </w:p>
    <w:p>
      <w:pPr>
        <w:pStyle w:val="BookText"/>
      </w:pPr>
      <w:r>
        <w:rPr>
          <w:rFonts w:ascii="IRNazanin" w:hAnsi="IRNazanin" w:eastAsia="IRNazanin" w:cs="IRNazanin"/>
          <w:lang w:bidi="fa-IR"/>
          <w:color w:val="111111"/>
          <w:sz w:val="28"/>
          <w:szCs w:val="28"/>
          <w:rtl/>
        </w:rPr>
        <w:t xml:space="preserve">تاریخ تأليف: ۱۲۰۲ (برابر تاریخ مظفری) تاریخ تیموریان هند، از تیمور گورکان (۷۷۱-۸۰۷ق)</w:t>
      </w:r>
    </w:p>
    <w:p>
      <w:pPr>
        <w:pStyle w:val="BookText"/>
      </w:pPr>
      <w:r>
        <w:rPr>
          <w:rFonts w:ascii="IRNazanin" w:hAnsi="IRNazanin" w:eastAsia="IRNazanin" w:cs="IRNazanin"/>
          <w:lang w:bidi="fa-IR"/>
          <w:color w:val="111111"/>
          <w:sz w:val="28"/>
          <w:szCs w:val="28"/>
          <w:rtl/>
        </w:rPr>
        <w:t xml:space="preserve">تا روزگار نگارش. خود مؤلف در آغازین جملات کتاب محتویات آن را این گونه به قلم می آورد: «راقم نیز بر طبق همان مثال استعداد ناقص مواد خود را صرف نظیر مجملی از احوال بانوی عصمت مآب النقوا و امیر تیمور صاحبقران و اولاد امجاد آن حضرت اعني فخر الدين جهانگیر بادشاه و شاهجهان بادشاه و عالم گیر اورنگ زیب بادشاه و شاه عالم بهادر شاه بادشاه و محمد معز الدين جهاندار شاه بادشاه و شهید مرحوم محمد فرح سیر بادشاہ و شمس الدين رفيع الدرجات بادشاه و شاهجهان ثانی رفيع الدوله بادشاه و نیکو سی پسر اکبر ابتر و بعد از آن مشروحا به نگارش وقایع سلطنت فردوس آرامگاه محمد شاه بادشاه و احمد شاه بادشاه بن فردوس آرامگاه محمد شاه و عالم گیر ثانی بادشاہ و شاه جهان ثالث بادشاه انار الله برهانم و ذکر سلطنت حضرت جهانبانی و ظل سبحانی شاه عالم عالی گوهر بادشاه غازی که علت غایی تألیف این کتاب است نموده در سنه یک هزار و دو صد و دو هجری ۱۲۰۲ نبوی به سلک عبارت خالی از استعارات در آورده و به جهت مناسبت خطاب معلی القاب آن جناب به تاریخ مظفری مسما کرده». نسخه ما [نسخه آستان قدس در وقایع سال ۱۲۰۲ ق تمام می شود اما احمد منزوی نوشته که بعضی از نسخه ها افزودگی هایی تا سال ۱۲۲۵ ق دارند که کسی جزء مؤلف آنها را تنظیم کرده است. (حافظیان و حکیم) آغاز: حمدی از حد اعتداد افزون نثار بارگاه شاهنشاهی است که تاجداران عرصه غبرا غاشیه اطاعت او بر دوش همت گذارند.</w:t>
      </w:r>
    </w:p>
    <w:p>
      <w:pPr>
        <w:pStyle w:val="BookText"/>
      </w:pPr>
      <w:r>
        <w:rPr>
          <w:rFonts w:ascii="IRNazanin" w:hAnsi="IRNazanin" w:eastAsia="IRNazanin" w:cs="IRNazanin"/>
          <w:lang w:bidi="fa-IR"/>
          <w:color w:val="111111"/>
          <w:sz w:val="28"/>
          <w:szCs w:val="28"/>
          <w:rtl/>
        </w:rPr>
        <w:t xml:space="preserve">[ریو ۲۹۲ و ۹۲۵؛ نسخه های منزوی ۴۶۲۰؛ استوری ۵۲۲/۱ ؛ دنا ۷۴۰/۲ ؛ فهرستواره منزوی ۱۲۰۹/۲ -۱۲۱۰]</w:t>
      </w:r>
    </w:p>
    <w:p>
      <w:pPr>
        <w:pStyle w:val="BookText"/>
      </w:pPr>
      <w:r>
        <w:rPr>
          <w:rFonts w:ascii="IRNazanin" w:hAnsi="IRNazanin" w:eastAsia="IRNazanin" w:cs="IRNazanin"/>
          <w:lang w:bidi="fa-IR"/>
          <w:color w:val="111111"/>
          <w:sz w:val="28"/>
          <w:szCs w:val="28"/>
          <w:rtl/>
        </w:rPr>
        <w:t xml:space="preserve">١. مشهد؛ رضوی، شماره نسخه:۲۷۸۲۶</w:t>
      </w:r>
    </w:p>
    <w:p>
      <w:pPr>
        <w:pStyle w:val="BookText"/>
      </w:pPr>
      <w:r>
        <w:rPr>
          <w:rFonts w:ascii="IRNazanin" w:hAnsi="IRNazanin" w:eastAsia="IRNazanin" w:cs="IRNazanin"/>
          <w:lang w:bidi="fa-IR"/>
          <w:color w:val="111111"/>
          <w:sz w:val="28"/>
          <w:szCs w:val="28"/>
          <w:rtl/>
        </w:rPr>
        <w:t xml:space="preserve">آغاز: برابر، انجام و در سخاوت نام حاتم طایی طی کرد و این</w:t>
      </w:r>
    </w:p>
    <w:p>
      <w:pPr>
        <w:pStyle w:val="BookText"/>
      </w:pPr>
      <w:r>
        <w:rPr>
          <w:rFonts w:ascii="IRNazanin" w:hAnsi="IRNazanin" w:eastAsia="IRNazanin" w:cs="IRNazanin"/>
          <w:lang w:bidi="fa-IR"/>
          <w:color w:val="111111"/>
          <w:sz w:val="28"/>
          <w:szCs w:val="28"/>
          <w:rtl/>
        </w:rPr>
        <w:t xml:space="preserve">چنین ثروت کیخسرو که کرد خدایش بیامرزد. خط: نستعلیق، کا: راجه بکر ماجیت، تا: شنبه ۲۸ رمضان ۱۲۴۹ق، تاریخ تحریر برابر سنه ۲۹ جلوس اكبر شاه برابر ۲۷ فروری فوریه سنه ۱۸۳۴ عیسوی موافق ۱۸۹۰ هندی، در ایام بی شغلی برای سید دوستان از کتاب منشی نهاکردانس نقل برداشته شد؛ مجدول، اهدایی: رهبری، دی ۱۳۸۰؛ کاغذ: کشمیری نخودی، جلد: تیماج فرنگی قهوه ای، ۳۵۹ گ، ۱۳ سطر، اندازه: ۲۰۱۴/۵ سم [ اهدائی رهبر: ۸-۳۷۸]</w:t>
      </w:r>
    </w:p>
    <w:p>
      <w:pPr>
        <w:pStyle w:val="BookText"/>
      </w:pPr>
      <w:r>
        <w:rPr>
          <w:rFonts w:ascii="IRNazanin" w:hAnsi="IRNazanin" w:eastAsia="IRNazanin" w:cs="IRNazanin"/>
          <w:lang w:bidi="fa-IR"/>
          <w:color w:val="111111"/>
          <w:sz w:val="28"/>
          <w:szCs w:val="28"/>
          <w:rtl/>
        </w:rPr>
        <w:t xml:space="preserve">۲. تهران: دانشگاه؛ شماره نسخه: ۶۰۰۳/۲</w:t>
      </w:r>
    </w:p>
    <w:p>
      <w:pPr>
        <w:pStyle w:val="BookText"/>
      </w:pPr>
      <w:r>
        <w:rPr>
          <w:rFonts w:ascii="IRNazanin" w:hAnsi="IRNazanin" w:eastAsia="IRNazanin" w:cs="IRNazanin"/>
          <w:lang w:bidi="fa-IR"/>
          <w:color w:val="111111"/>
          <w:sz w:val="28"/>
          <w:szCs w:val="28"/>
          <w:rtl/>
        </w:rPr>
        <w:t xml:space="preserve">ف نسخه اصل: موزه بریتانیا 1764 .</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 بی کا، بی تا [فيلمها ف: ۳-۱۸۹]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دانشگاه؛ شماره نسخه:۶۰۶۷-ف</w:t>
      </w:r>
    </w:p>
    <w:p>
      <w:pPr>
        <w:pStyle w:val="BookText"/>
      </w:pPr>
      <w:r>
        <w:rPr>
          <w:rFonts w:ascii="IRNazanin" w:hAnsi="IRNazanin" w:eastAsia="IRNazanin" w:cs="IRNazanin"/>
          <w:lang w:bidi="fa-IR"/>
          <w:color w:val="111111"/>
          <w:sz w:val="28"/>
          <w:szCs w:val="28"/>
          <w:rtl/>
        </w:rPr>
        <w:t xml:space="preserve">نسخه اصل: لاهور دانشگاه پنجاب، نسخه شیرانی ۳۷۱/۳۳۷۵ (۳۳/۱ )؛ بی کا، بی تا</w:t>
      </w:r>
    </w:p>
    <w:p>
      <w:pPr>
        <w:pStyle w:val="BookText"/>
      </w:pPr>
      <w:r>
        <w:rPr>
          <w:rFonts w:ascii="Amiri" w:hAnsi="Amiri" w:eastAsia="Amiri" w:cs="Amiri"/>
          <w:lang w:bidi="ar-SA"/>
          <w:color w:val="111111"/>
          <w:sz w:val="28"/>
          <w:szCs w:val="28"/>
          <w:rtl/>
        </w:rPr>
        <w:t xml:space="preserve">[فيلمها ف: ۳-۱۹۶]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570" w:name="pg20363_209892"/>
    <w:bookmarkEnd w:id="570"/>
    <w:p>
      <w:pPr>
        <w:pStyle w:val="Heading3"/>
      </w:pPr>
      <w:bookmarkStart w:id="2624" w:name="_Toc1884"/>
      <w:r>
        <w:t>•تاریخ مظفری / تاریخ / فارسی</w:t>
      </w:r>
      <w:bookmarkEnd w:id="2624"/>
    </w:p>
    <w:p>
      <w:pPr>
        <w:pStyle w:val="BookText"/>
      </w:pPr>
      <w:r>
        <w:rPr>
          <w:rFonts w:ascii="Times New Roman" w:hAnsi="Times New Roman" w:eastAsia="Times New Roman" w:cs="Times New Roman"/>
          <w:lang w:val="en-US" w:bidi="en-US"/>
          <w:color w:val="111111"/>
          <w:sz w:val="28"/>
          <w:szCs w:val="28"/>
          <w:rtl/>
        </w:rPr>
        <w:t xml:space="preserve">tārīx-e mozaffarī = tohfe-ye mozaffarī</w:t>
      </w:r>
    </w:p>
    <w:p>
      <w:pPr>
        <w:pStyle w:val="BookText"/>
      </w:pPr>
      <w:r>
        <w:rPr>
          <w:rFonts w:ascii="IRNazanin" w:hAnsi="IRNazanin" w:eastAsia="IRNazanin" w:cs="IRNazanin"/>
          <w:lang w:bidi="fa-IR"/>
          <w:color w:val="111111"/>
          <w:sz w:val="28"/>
          <w:szCs w:val="28"/>
          <w:rtl/>
        </w:rPr>
        <w:t xml:space="preserve">سپهر کاشانی، عباسقلی بن محمد تقی، ۱۲۶۸-۱۳۴۲ قمری</w:t>
      </w:r>
    </w:p>
    <w:p>
      <w:pPr>
        <w:pStyle w:val="BookText"/>
      </w:pPr>
      <w:r>
        <w:rPr>
          <w:rFonts w:ascii="Times New Roman" w:hAnsi="Times New Roman" w:eastAsia="Times New Roman" w:cs="Times New Roman"/>
          <w:lang w:val="en-US" w:bidi="en-US"/>
          <w:color w:val="111111"/>
          <w:sz w:val="28"/>
          <w:szCs w:val="28"/>
          <w:rtl/>
        </w:rPr>
        <w:t xml:space="preserve">sepehr-e kāšānī, “abbās-qolī ebn-e mohammad taqī (1852-1924)</w:t>
      </w:r>
    </w:p>
    <w:p>
      <w:pPr>
        <w:pStyle w:val="BookText"/>
      </w:pPr>
      <w:r>
        <w:rPr>
          <w:rFonts w:ascii="IRNazanin" w:hAnsi="IRNazanin" w:eastAsia="IRNazanin" w:cs="IRNazanin"/>
          <w:lang w:bidi="fa-IR"/>
          <w:color w:val="111111"/>
          <w:sz w:val="28"/>
          <w:szCs w:val="28"/>
          <w:rtl/>
        </w:rPr>
        <w:t xml:space="preserve">به فرمان: مظفرالدین شاه</w:t>
      </w:r>
    </w:p>
    <w:p>
      <w:pPr>
        <w:pStyle w:val="BookText"/>
      </w:pPr>
      <w:r>
        <w:rPr>
          <w:rFonts w:ascii="IRNazanin" w:hAnsi="IRNazanin" w:eastAsia="IRNazanin" w:cs="IRNazanin"/>
          <w:lang w:bidi="fa-IR"/>
          <w:color w:val="111111"/>
          <w:sz w:val="28"/>
          <w:szCs w:val="28"/>
          <w:rtl/>
        </w:rPr>
        <w:t xml:space="preserve">در بیان شرح حال و اسامی و عناوین اجداد ابوالمظفر جلال الدین اکبرشاه گورکانی هندوستان و نیز شمه ای از احوالات زندگی ظهير الدين محمد بابر شاه مؤسس سلسله بابری یا گورکانی تا وقایع سال بیست و چهارم از سلطنت جلال الدين اکبر شاه است که حاوی ایراد و ذکر فتوحات و حوادث و اتفاقات رزمی و بزمی دوران مذکور می باشد. این تاریخ به فرمان مظفرالدین شاه قاجار به وسیله مورخ مشهور عباسقلی سپهر در مدت پنجاه و دو روز از اصل نسخه [ تاریخ تاج المآثر) که چهل هزار بیت کتابت داشته استنساخ و به ده هزار بیت مختصر گشته و به نام تاریخ مظفری نامیده شده است. آغاز: هو الله تعالی بسمله الحمدلله رب العالمين ... بعد از ستایش یزدان پاک ... معروض میدارد که چون ... مظفرالدین شاه قاجار شاهنشاه ... فرموده اند که تکمیل نفوس بشريه ... و کتب تواریخ و اخبار ... از همه چیز مفیدتر ... لهذا باین کهتر چاکر ... عباسقلی سپهر مستوفی اول دیوان اعلى و وزیر مجلس شورای کبری دولت عليه ... چنین کتاب را ... در چنین مدت قليل .. باختصار و بعلاوه باستنساخ ... در آورد</w:t>
      </w:r>
    </w:p>
    <w:p>
      <w:pPr>
        <w:pStyle w:val="BookText"/>
      </w:pPr>
      <w:r>
        <w:rPr>
          <w:rFonts w:ascii="IRNazanin" w:hAnsi="IRNazanin" w:eastAsia="IRNazanin" w:cs="IRNazanin"/>
          <w:lang w:bidi="fa-IR"/>
          <w:color w:val="111111"/>
          <w:sz w:val="28"/>
          <w:szCs w:val="28"/>
          <w:rtl/>
        </w:rPr>
        <w:t xml:space="preserve">[دنا ۷۴۰/۲ ؛ فهرستواره منزوی ۱۲۱۰/۲ و ۵۷۵/۱۰ ]</w:t>
      </w:r>
    </w:p>
    <w:p>
      <w:pPr>
        <w:pStyle w:val="BookText"/>
      </w:pPr>
      <w:r>
        <w:rPr>
          <w:rFonts w:ascii="IRNazanin" w:hAnsi="IRNazanin" w:eastAsia="IRNazanin" w:cs="IRNazanin"/>
          <w:lang w:bidi="fa-IR"/>
          <w:color w:val="111111"/>
          <w:sz w:val="28"/>
          <w:szCs w:val="28"/>
          <w:rtl/>
        </w:rPr>
        <w:t xml:space="preserve">تهران؛ سلطنتی؛ شماره نسخه:۲۲۹۶</w:t>
      </w:r>
    </w:p>
    <w:p>
      <w:pPr>
        <w:pStyle w:val="BookText"/>
      </w:pPr>
      <w:r>
        <w:rPr>
          <w:rFonts w:ascii="IRNazanin" w:hAnsi="IRNazanin" w:eastAsia="IRNazanin" w:cs="IRNazanin"/>
          <w:lang w:bidi="fa-IR"/>
          <w:color w:val="111111"/>
          <w:sz w:val="28"/>
          <w:szCs w:val="28"/>
          <w:rtl/>
        </w:rPr>
        <w:t xml:space="preserve">آغاز: برابر؛ انجام: آغاز سال بیست و چهارم الهی از جلوس اكبر شاهی یعنی سال اسفندار مذ از دور دوم ... آیات جود و افضال شاهنشاهی از ماه تا ماهی پدیدار گشت خسرو و فیروز جشن نوروز در سپرد و جهانیانی را باعطای دینار و درهم شاد خوار و خرم فرمود.</w:t>
      </w:r>
    </w:p>
    <w:p>
      <w:pPr>
        <w:pStyle w:val="BookText"/>
      </w:pPr>
      <w:r>
        <w:rPr>
          <w:rFonts w:ascii="IRNazanin" w:hAnsi="IRNazanin" w:eastAsia="IRNazanin" w:cs="IRNazanin"/>
          <w:lang w:bidi="fa-IR"/>
          <w:color w:val="111111"/>
          <w:sz w:val="28"/>
          <w:szCs w:val="28"/>
          <w:rtl/>
        </w:rPr>
        <w:t xml:space="preserve">خط: نستعلیق، كا: محمود نوری جلودار اصطبل خاصه همایونی، تا: ۱۳۱۴ق؛ کاغذ: فرنگی نخودی، جلد: مقوای روکش کاغذ ابری آبی گلدار، ۴۳۸ص، ۲۶ سطر، اندازه: ۳۵/۳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w:t>
      </w:r>
    </w:p>
    <w:p>
      <w:pPr>
        <w:pStyle w:val="BookText"/>
      </w:pPr>
      <w:r>
        <w:rPr>
          <w:rFonts w:ascii="IRNazanin" w:hAnsi="IRNazanin" w:eastAsia="IRNazanin" w:cs="IRNazanin"/>
          <w:lang w:bidi="fa-IR"/>
          <w:color w:val="111111"/>
          <w:sz w:val="28"/>
          <w:szCs w:val="28"/>
          <w:rtl/>
        </w:rPr>
        <w:t xml:space="preserve">سم [ف: ۴۰۰-۵ ]</w:t>
      </w:r>
    </w:p>
    <w:p>
      <w:pPr>
        <w:pStyle w:val="Heading3"/>
      </w:pPr>
      <w:bookmarkStart w:id="2625" w:name="_Toc1885"/>
      <w:r>
        <w:t>•تاریخ مظهر الدوله / تاریخ ایران / فارسی</w:t>
      </w:r>
      <w:bookmarkEnd w:id="2625"/>
    </w:p>
    <w:p>
      <w:pPr>
        <w:pStyle w:val="BookText"/>
      </w:pPr>
      <w:r>
        <w:rPr>
          <w:rFonts w:ascii="Times New Roman" w:hAnsi="Times New Roman" w:eastAsia="Times New Roman" w:cs="Times New Roman"/>
          <w:lang w:val="en-US" w:bidi="en-US"/>
          <w:color w:val="111111"/>
          <w:sz w:val="28"/>
          <w:szCs w:val="28"/>
          <w:rtl/>
        </w:rPr>
        <w:t xml:space="preserve">tārīx-e mozher-od-dowle</w:t>
      </w:r>
    </w:p>
    <w:p>
      <w:pPr>
        <w:pStyle w:val="BookText"/>
      </w:pPr>
      <w:r>
        <w:rPr>
          <w:rFonts w:ascii="IRNazanin" w:hAnsi="IRNazanin" w:eastAsia="IRNazanin" w:cs="IRNazanin"/>
          <w:lang w:bidi="fa-IR"/>
          <w:color w:val="111111"/>
          <w:sz w:val="28"/>
          <w:szCs w:val="28"/>
          <w:rtl/>
        </w:rPr>
        <w:t xml:space="preserve">داعی دزفولی، عبدالله بن محمد باقر، ۱۱۵۸-۱۲۵۶ ؟ قمری</w:t>
      </w:r>
    </w:p>
    <w:p>
      <w:pPr>
        <w:pStyle w:val="BookText"/>
      </w:pPr>
      <w:r>
        <w:rPr>
          <w:rFonts w:ascii="Times New Roman" w:hAnsi="Times New Roman" w:eastAsia="Times New Roman" w:cs="Times New Roman"/>
          <w:lang w:val="en-US" w:bidi="en-US"/>
          <w:color w:val="111111"/>
          <w:sz w:val="28"/>
          <w:szCs w:val="28"/>
          <w:rtl/>
        </w:rPr>
        <w:t xml:space="preserve">dāʻī dezfūlī, "abd-ol-lāh ebn-e mohammad bāqer (1745-1840)</w:t>
      </w:r>
    </w:p>
    <w:p>
      <w:pPr>
        <w:pStyle w:val="BookText"/>
      </w:pPr>
      <w:r>
        <w:rPr>
          <w:rFonts w:ascii="IRNazanin" w:hAnsi="IRNazanin" w:eastAsia="IRNazanin" w:cs="IRNazanin"/>
          <w:lang w:bidi="fa-IR"/>
          <w:color w:val="111111"/>
          <w:sz w:val="28"/>
          <w:szCs w:val="28"/>
          <w:rtl/>
        </w:rPr>
        <w:t xml:space="preserve">اهدا به: فتح علی شاه و محمد علی میرزا</w:t>
      </w:r>
    </w:p>
    <w:p>
      <w:pPr>
        <w:pStyle w:val="BookText"/>
      </w:pPr>
      <w:r>
        <w:rPr>
          <w:rFonts w:ascii="IRNazanin" w:hAnsi="IRNazanin" w:eastAsia="IRNazanin" w:cs="IRNazanin"/>
          <w:lang w:bidi="fa-IR"/>
          <w:color w:val="111111"/>
          <w:sz w:val="28"/>
          <w:szCs w:val="28"/>
          <w:rtl/>
        </w:rPr>
        <w:t xml:space="preserve">تاريخ تأليف: ۱۲۲۶ق در وقایع و اوضاع خوزستان و احوالات آن سامان و بقاع دزفول در ۳ «فصل» و ۱ «خاتمه». نام نگارنده و تاریخ نگارش در دیباچه آمده است. آغاز: بسمله. نیر اعظم سپهر سلطنت و تاجداری و کامکاری دو جهانی و درخشنده اختر نیر جهانگیر صبح صادق ... انجام: و گر دزدی کند قصد شکستش *** شکست دست بادا مزد دستش</w:t>
      </w:r>
    </w:p>
    <w:p>
      <w:pPr>
        <w:pStyle w:val="BookText"/>
      </w:pPr>
      <w:r>
        <w:rPr>
          <w:rFonts w:ascii="IRNazanin" w:hAnsi="IRNazanin" w:eastAsia="IRNazanin" w:cs="IRNazanin"/>
          <w:lang w:bidi="fa-IR"/>
          <w:color w:val="111111"/>
          <w:sz w:val="28"/>
          <w:szCs w:val="28"/>
          <w:rtl/>
        </w:rPr>
        <w:t xml:space="preserve">[دنا ۷۴۰/۲ ]</w:t>
      </w:r>
    </w:p>
    <w:p>
      <w:pPr>
        <w:pStyle w:val="BookText"/>
      </w:pPr>
      <w:r>
        <w:rPr>
          <w:rFonts w:ascii="IRNazanin" w:hAnsi="IRNazanin" w:eastAsia="IRNazanin" w:cs="IRNazanin"/>
          <w:lang w:bidi="fa-IR"/>
          <w:color w:val="111111"/>
          <w:sz w:val="28"/>
          <w:szCs w:val="28"/>
          <w:rtl/>
        </w:rPr>
        <w:t xml:space="preserve">تهران؛ ملک، شماره نسخه:۶۲۰۸/۴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ربيع الثانی، تا: ۱۳۰۶ق؛ جلد: میشن لایی تریاکی، ۱۹گ (۵۸پ -۷۶ر)، ۱۴ سطر،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۹-۲۶۸]</w:t>
      </w:r>
    </w:p>
    <w:p>
      <w:pPr>
        <w:pStyle w:val="BookText"/>
      </w:pPr>
      <w:r>
        <w:rPr>
          <w:rFonts w:ascii="IRNazanin" w:hAnsi="IRNazanin" w:eastAsia="IRNazanin" w:cs="IRNazanin"/>
          <w:lang w:bidi="fa-IR"/>
          <w:color w:val="111111"/>
          <w:sz w:val="28"/>
          <w:szCs w:val="28"/>
          <w:rtl/>
        </w:rPr>
        <w:t xml:space="preserve">←تاریخ معارف الامامية ← ظلامة العترة الطاهرة في معارف الأمامية</w:t>
      </w:r>
    </w:p>
    <w:p>
      <w:pPr>
        <w:pStyle w:val="Heading3"/>
      </w:pPr>
      <w:bookmarkStart w:id="2626" w:name="_Toc1886"/>
      <w:r>
        <w:t>• تاریخ معارف اماميه / كلام و اعتقادات / فارسی</w:t>
      </w:r>
      <w:bookmarkEnd w:id="2626"/>
    </w:p>
    <w:p>
      <w:pPr>
        <w:pStyle w:val="BookText"/>
      </w:pPr>
      <w:r>
        <w:rPr>
          <w:rFonts w:ascii="Times New Roman" w:hAnsi="Times New Roman" w:eastAsia="Times New Roman" w:cs="Times New Roman"/>
          <w:lang w:val="en-US" w:bidi="en-US"/>
          <w:color w:val="111111"/>
          <w:sz w:val="28"/>
          <w:szCs w:val="28"/>
          <w:rtl/>
        </w:rPr>
        <w:t xml:space="preserve">tārīx-e ma‘āref-e emāmīye</w:t>
      </w:r>
    </w:p>
    <w:p>
      <w:pPr>
        <w:pStyle w:val="BookText"/>
      </w:pPr>
      <w:r>
        <w:rPr>
          <w:rFonts w:ascii="IRNazanin" w:hAnsi="IRNazanin" w:eastAsia="IRNazanin" w:cs="IRNazanin"/>
          <w:lang w:bidi="fa-IR"/>
          <w:color w:val="111111"/>
          <w:sz w:val="28"/>
          <w:szCs w:val="28"/>
          <w:rtl/>
        </w:rPr>
        <w:t xml:space="preserve">علامه حائری مازندرانی، محمد صالح بن فضل الله، ۱۳۹۱-۱۲۹۷ قمری</w:t>
      </w:r>
    </w:p>
    <w:p>
      <w:pPr>
        <w:pStyle w:val="BookText"/>
      </w:pPr>
      <w:r>
        <w:rPr>
          <w:rFonts w:ascii="Times New Roman" w:hAnsi="Times New Roman" w:eastAsia="Times New Roman" w:cs="Times New Roman"/>
          <w:lang w:val="en-US" w:bidi="en-US"/>
          <w:color w:val="111111"/>
          <w:sz w:val="28"/>
          <w:szCs w:val="28"/>
          <w:rtl/>
        </w:rPr>
        <w:t xml:space="preserve">‘allāme hā'erī māzandarānī, mohammad sāleh ebn-e fazl-ol-lah (1880-1971)</w:t>
      </w:r>
    </w:p>
    <w:p>
      <w:pPr>
        <w:pStyle w:val="BookText"/>
      </w:pPr>
      <w:r>
        <w:rPr>
          <w:rFonts w:ascii="IRNazanin" w:hAnsi="IRNazanin" w:eastAsia="IRNazanin" w:cs="IRNazanin"/>
          <w:lang w:bidi="fa-IR"/>
          <w:color w:val="111111"/>
          <w:sz w:val="28"/>
          <w:szCs w:val="28"/>
          <w:rtl/>
        </w:rPr>
        <w:t xml:space="preserve">وابسته به: ظلامة العترة الطاهرة في معارف الامامية؛ علامه حائری مازندرانی، محمد صالح بن فضل الله، ۱۲۹۷-۱۳۹۱ قمری تاريخ تأليف: ذیقعده ۱۳۵۸ق؛ محل تالیف: سمنان ترجمه کتاب «ظلامة العترة الطاهرة الى حضرة قادة الاسلام الباهرة» خود علامه سمنانی است که در دو بخش مفصل اصول عقاید شیعه و مشاهد خاندان نبوت و شعائر اجتماعی و عمرانی شیعیان را بررسی کرده و ضمنا از گفته های دشمنان آنها پاسخ می گوید. هدف مؤلف رفع شبهات و احیای معارف عترت پیامبر اکرم(صلی الله علیه وآله وسلم)می باشد. نسخه حاضر ترجمه مقدمه بسیار مفصل کتاب می باشد.</w:t>
      </w:r>
    </w:p>
    <w:p>
      <w:pPr>
        <w:pStyle w:val="BookText"/>
      </w:pPr>
      <w:r>
        <w:rPr>
          <w:rFonts w:ascii="IRNazanin" w:hAnsi="IRNazanin" w:eastAsia="IRNazanin" w:cs="IRNazanin"/>
          <w:lang w:bidi="fa-IR"/>
          <w:color w:val="111111"/>
          <w:sz w:val="28"/>
          <w:szCs w:val="28"/>
          <w:rtl/>
        </w:rPr>
        <w:t xml:space="preserve">قم؛ مرعشی؛ شماره نسخه:۱۰۱۰۸</w:t>
      </w:r>
    </w:p>
    <w:p>
      <w:pPr>
        <w:pStyle w:val="BookText"/>
      </w:pPr>
      <w:r>
        <w:rPr>
          <w:rFonts w:ascii="IRNazanin" w:hAnsi="IRNazanin" w:eastAsia="IRNazanin" w:cs="IRNazanin"/>
          <w:lang w:bidi="fa-IR"/>
          <w:color w:val="111111"/>
          <w:sz w:val="28"/>
          <w:szCs w:val="28"/>
          <w:rtl/>
        </w:rPr>
        <w:t xml:space="preserve">آغاز: تاریخ معارف اماميه ... کتاب ظلامة العترة يا تاريخ معارف امامیه کتابی است دینی مذهبی فلسفی اجتماعی خط: نسخ، كاتب = مؤلف، بی تا؛ مصحح؛ جلد: مقوایی عطف تیماج قهوه ای، ۶۴گ، مختلف السطر، اندازه: ۲۲/۵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۷۴-۲۶ ]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571" w:name="pg20363_209893"/>
    <w:bookmarkEnd w:id="571"/>
    <w:p>
      <w:pPr>
        <w:pStyle w:val="Heading3"/>
      </w:pPr>
      <w:bookmarkStart w:id="2627" w:name="_Toc1887"/>
      <w:r>
        <w:t>•تاریخ معارف جدید در ایران / تراجم / فارسی</w:t>
      </w:r>
      <w:bookmarkEnd w:id="2627"/>
    </w:p>
    <w:p>
      <w:pPr>
        <w:pStyle w:val="BookText"/>
      </w:pPr>
      <w:r>
        <w:rPr>
          <w:rFonts w:ascii="Times New Roman" w:hAnsi="Times New Roman" w:eastAsia="Times New Roman" w:cs="Times New Roman"/>
          <w:lang w:val="en-US" w:bidi="en-US"/>
          <w:color w:val="111111"/>
          <w:sz w:val="28"/>
          <w:szCs w:val="28"/>
          <w:rtl/>
        </w:rPr>
        <w:t xml:space="preserve">tārīx-e ma‘āref-e jadīd dar īrān</w:t>
      </w:r>
    </w:p>
    <w:p>
      <w:pPr>
        <w:pStyle w:val="BookText"/>
      </w:pPr>
      <w:r>
        <w:rPr>
          <w:rFonts w:ascii="IRNazanin" w:hAnsi="IRNazanin" w:eastAsia="IRNazanin" w:cs="IRNazanin"/>
          <w:lang w:bidi="fa-IR"/>
          <w:color w:val="111111"/>
          <w:sz w:val="28"/>
          <w:szCs w:val="28"/>
          <w:rtl/>
        </w:rPr>
        <w:t xml:space="preserve">نفیسی، سعید، ۱۲۷۴-۱۳۴۵ شمسی</w:t>
      </w:r>
    </w:p>
    <w:p>
      <w:pPr>
        <w:pStyle w:val="BookText"/>
      </w:pPr>
      <w:r>
        <w:rPr>
          <w:rFonts w:ascii="Times New Roman" w:hAnsi="Times New Roman" w:eastAsia="Times New Roman" w:cs="Times New Roman"/>
          <w:lang w:val="en-US" w:bidi="en-US"/>
          <w:color w:val="111111"/>
          <w:sz w:val="28"/>
          <w:szCs w:val="28"/>
          <w:rtl/>
        </w:rPr>
        <w:t xml:space="preserve">nafisi, said (1895-1966)</w:t>
      </w:r>
    </w:p>
    <w:p>
      <w:pPr>
        <w:pStyle w:val="BookText"/>
      </w:pPr>
      <w:r>
        <w:rPr>
          <w:rFonts w:ascii="IRNazanin" w:hAnsi="IRNazanin" w:eastAsia="IRNazanin" w:cs="IRNazanin"/>
          <w:lang w:bidi="fa-IR"/>
          <w:color w:val="111111"/>
          <w:sz w:val="28"/>
          <w:szCs w:val="28"/>
          <w:rtl/>
        </w:rPr>
        <w:t xml:space="preserve">تهران؛ دانشگاه؛ شماره نسخه:۸۹۷۹/۲</w:t>
      </w:r>
    </w:p>
    <w:p>
      <w:pPr>
        <w:pStyle w:val="BookText"/>
      </w:pPr>
      <w:r>
        <w:rPr>
          <w:rFonts w:ascii="IRNazanin" w:hAnsi="IRNazanin" w:eastAsia="IRNazanin" w:cs="IRNazanin"/>
          <w:lang w:bidi="fa-IR"/>
          <w:color w:val="111111"/>
          <w:sz w:val="28"/>
          <w:szCs w:val="28"/>
          <w:rtl/>
        </w:rPr>
        <w:t xml:space="preserve">بی کا، بی تا؛ ۳۶ص [ف: ۱۷-۲۶۸]</w:t>
      </w:r>
    </w:p>
    <w:p>
      <w:pPr>
        <w:pStyle w:val="Heading3"/>
      </w:pPr>
      <w:bookmarkStart w:id="2628" w:name="_Toc1888"/>
      <w:r>
        <w:t>•تاریخ معارف و فرهنگی اردستان / تاریخ / فارسی</w:t>
      </w:r>
      <w:bookmarkEnd w:id="2628"/>
    </w:p>
    <w:p>
      <w:pPr>
        <w:pStyle w:val="BookText"/>
      </w:pPr>
      <w:r>
        <w:rPr>
          <w:rFonts w:ascii="Times New Roman" w:hAnsi="Times New Roman" w:eastAsia="Times New Roman" w:cs="Times New Roman"/>
          <w:lang w:val="en-US" w:bidi="en-US"/>
          <w:color w:val="111111"/>
          <w:sz w:val="28"/>
          <w:szCs w:val="28"/>
          <w:rtl/>
        </w:rPr>
        <w:t xml:space="preserve">tārīx-e ma‘āref va farhang-e ardestān</w:t>
      </w:r>
    </w:p>
    <w:p>
      <w:pPr>
        <w:pStyle w:val="BookText"/>
      </w:pPr>
      <w:r>
        <w:rPr>
          <w:rFonts w:ascii="IRNazanin" w:hAnsi="IRNazanin" w:eastAsia="IRNazanin" w:cs="IRNazanin"/>
          <w:lang w:bidi="fa-IR"/>
          <w:color w:val="111111"/>
          <w:sz w:val="28"/>
          <w:szCs w:val="28"/>
          <w:rtl/>
        </w:rPr>
        <w:t xml:space="preserve">شفیعی اردستانی، مرتضی بن احمد، ق۱۴ شمسی</w:t>
      </w:r>
    </w:p>
    <w:p>
      <w:pPr>
        <w:pStyle w:val="BookText"/>
      </w:pPr>
      <w:r>
        <w:rPr>
          <w:rFonts w:ascii="Times New Roman" w:hAnsi="Times New Roman" w:eastAsia="Times New Roman" w:cs="Times New Roman"/>
          <w:lang w:val="en-US" w:bidi="en-US"/>
          <w:color w:val="111111"/>
          <w:sz w:val="28"/>
          <w:szCs w:val="28"/>
          <w:rtl/>
        </w:rPr>
        <w:t xml:space="preserve">šafīʻī ardestānī, morteza ebn-e ahmad (-20c)</w:t>
      </w:r>
    </w:p>
    <w:p>
      <w:pPr>
        <w:pStyle w:val="BookText"/>
      </w:pPr>
      <w:r>
        <w:rPr>
          <w:rFonts w:ascii="IRNazanin" w:hAnsi="IRNazanin" w:eastAsia="IRNazanin" w:cs="IRNazanin"/>
          <w:lang w:bidi="fa-IR"/>
          <w:color w:val="111111"/>
          <w:sz w:val="28"/>
          <w:szCs w:val="28"/>
          <w:rtl/>
        </w:rPr>
        <w:t xml:space="preserve">قم؛ مرعشی؛ شماره نسخه:۱۲۱۲۹</w:t>
      </w:r>
    </w:p>
    <w:p>
      <w:pPr>
        <w:pStyle w:val="BookText"/>
      </w:pPr>
      <w:r>
        <w:rPr>
          <w:rFonts w:ascii="IRNazanin" w:hAnsi="IRNazanin" w:eastAsia="IRNazanin" w:cs="IRNazanin"/>
          <w:lang w:bidi="fa-IR"/>
          <w:color w:val="111111"/>
          <w:sz w:val="28"/>
          <w:szCs w:val="28"/>
          <w:rtl/>
        </w:rPr>
        <w:t xml:space="preserve">آغاز: اردستان، از روزگار کهن جایگاه فرهنگ و علم بوده؛ علماء، فضلاء، ادباء، حکماء، عرفاء، اطباء ... بسیاری از آنجا برخاسته اند؛ انجام: مرتضی شفیعی اردستانی بن شیخ احمد بن آخوند ملا غلامعلی اردستانی بخط این جانب مؤلف در تهران ... به پایان رسید. خط: نستعلیق تحریری، کاتب = مؤلف، تا: دوشنبه ۲۹ ربیع الاول ۱۴۱۸ق، جا؛ تهران؛ مصحح، مجدول؛ جلد: مشمعی سرمه ای، ۴۰گ، ۱۴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اندازه: ۲۱۶۱۷سم [ف: ۳۰-۵۷۷]</w:t>
      </w:r>
    </w:p>
    <w:p>
      <w:pPr>
        <w:pStyle w:val="Heading3"/>
      </w:pPr>
      <w:bookmarkStart w:id="2629" w:name="_Toc1889"/>
      <w:r>
        <w:t>•تاریخ معاصر / تاریخ / فارسی</w:t>
      </w:r>
      <w:bookmarkEnd w:id="2629"/>
    </w:p>
    <w:p>
      <w:pPr>
        <w:pStyle w:val="BookText"/>
      </w:pPr>
      <w:r>
        <w:rPr>
          <w:rFonts w:ascii="Times New Roman" w:hAnsi="Times New Roman" w:eastAsia="Times New Roman" w:cs="Times New Roman"/>
          <w:lang w:val="en-US" w:bidi="en-US"/>
          <w:color w:val="111111"/>
          <w:sz w:val="28"/>
          <w:szCs w:val="28"/>
          <w:rtl/>
        </w:rPr>
        <w:t xml:space="preserve">tārīx-e mo‘āser</w:t>
      </w:r>
    </w:p>
    <w:p>
      <w:pPr>
        <w:pStyle w:val="BookText"/>
      </w:pPr>
      <w:r>
        <w:rPr>
          <w:rFonts w:ascii="IRNazanin" w:hAnsi="IRNazanin" w:eastAsia="IRNazanin" w:cs="IRNazanin"/>
          <w:lang w:bidi="fa-IR"/>
          <w:color w:val="111111"/>
          <w:sz w:val="28"/>
          <w:szCs w:val="28"/>
          <w:rtl/>
        </w:rPr>
        <w:t xml:space="preserve">تاریخ معاصری است که در مدرسه سیاسی قدیم خوانده اند.</w:t>
      </w:r>
    </w:p>
    <w:p>
      <w:pPr>
        <w:pStyle w:val="BookText"/>
      </w:pPr>
      <w:r>
        <w:rPr>
          <w:rFonts w:ascii="IRNazanin" w:hAnsi="IRNazanin" w:eastAsia="IRNazanin" w:cs="IRNazanin"/>
          <w:lang w:bidi="fa-IR"/>
          <w:color w:val="111111"/>
          <w:sz w:val="28"/>
          <w:szCs w:val="28"/>
          <w:rtl/>
        </w:rPr>
        <w:t xml:space="preserve">تهران؛ حقوق؛ شماره نسخه:۸۳د</w:t>
      </w:r>
    </w:p>
    <w:p>
      <w:pPr>
        <w:pStyle w:val="BookText"/>
      </w:pPr>
      <w:r>
        <w:rPr>
          <w:rFonts w:ascii="IRNazanin" w:hAnsi="IRNazanin" w:eastAsia="IRNazanin" w:cs="IRNazanin"/>
          <w:lang w:bidi="fa-IR"/>
          <w:color w:val="111111"/>
          <w:sz w:val="28"/>
          <w:szCs w:val="28"/>
          <w:rtl/>
        </w:rPr>
        <w:t xml:space="preserve">آغاز: بسمله. و به نستعین. تاريخ معاصر بطور نت. مسئله آزادی طلبی یکی از خصائص عمده اروپا است؛ انجام: که قابل تدریس باشد خط: نستعلیق، كا: میرزا حسین خان محاسب و دفتر دار مدرسه علوم سیاسی، تا: دوشنبه ۶ رجب ۱۷ حمل ۱۲۹۸/۱۳۳۷ ؛ کاغذ:</w:t>
      </w:r>
    </w:p>
    <w:p>
      <w:pPr>
        <w:pStyle w:val="BookText"/>
      </w:pPr>
      <w:r>
        <w:rPr>
          <w:rFonts w:ascii="IRNazanin" w:hAnsi="IRNazanin" w:eastAsia="IRNazanin" w:cs="IRNazanin"/>
          <w:lang w:bidi="fa-IR"/>
          <w:color w:val="111111"/>
          <w:sz w:val="28"/>
          <w:szCs w:val="28"/>
          <w:rtl/>
        </w:rPr>
        <w:t xml:space="preserve">فرنگی، جلد: تیماج مشکی، ۳۰۳، ۱۵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۳۲]</w:t>
      </w:r>
    </w:p>
    <w:p>
      <w:pPr>
        <w:pStyle w:val="Heading3"/>
      </w:pPr>
      <w:bookmarkStart w:id="2630" w:name="_Toc1890"/>
      <w:r>
        <w:t>•تاریخ معاصر اروپا / تاریخ جهان / فارسی</w:t>
      </w:r>
      <w:bookmarkEnd w:id="2630"/>
    </w:p>
    <w:p>
      <w:pPr>
        <w:pStyle w:val="BookText"/>
      </w:pPr>
      <w:r>
        <w:rPr>
          <w:rFonts w:ascii="Times New Roman" w:hAnsi="Times New Roman" w:eastAsia="Times New Roman" w:cs="Times New Roman"/>
          <w:lang w:val="en-US" w:bidi="en-US"/>
          <w:color w:val="111111"/>
          <w:sz w:val="28"/>
          <w:szCs w:val="28"/>
          <w:rtl/>
        </w:rPr>
        <w:t xml:space="preserve">tārīx-e mo‘āser-e orūpā</w:t>
      </w:r>
    </w:p>
    <w:p>
      <w:pPr>
        <w:pStyle w:val="BookText"/>
      </w:pPr>
      <w:r>
        <w:rPr>
          <w:rFonts w:ascii="IRNazanin" w:hAnsi="IRNazanin" w:eastAsia="IRNazanin" w:cs="IRNazanin"/>
          <w:lang w:bidi="fa-IR"/>
          <w:color w:val="111111"/>
          <w:sz w:val="28"/>
          <w:szCs w:val="28"/>
          <w:rtl/>
        </w:rPr>
        <w:t xml:space="preserve">تاریخ معاصر فرانسه و انگلستان و چگونگی شکل گیری مشروطه در آنجا</w:t>
      </w:r>
    </w:p>
    <w:p>
      <w:pPr>
        <w:pStyle w:val="BookText"/>
      </w:pPr>
      <w:r>
        <w:rPr>
          <w:rFonts w:ascii="IRNazanin" w:hAnsi="IRNazanin" w:eastAsia="IRNazanin" w:cs="IRNazanin"/>
          <w:lang w:bidi="fa-IR"/>
          <w:color w:val="111111"/>
          <w:sz w:val="28"/>
          <w:szCs w:val="28"/>
          <w:rtl/>
        </w:rPr>
        <w:t xml:space="preserve">قم؛ مسجد اعظم، شماره نسخه: ۱۰۶۷/۱</w:t>
      </w:r>
    </w:p>
    <w:p>
      <w:pPr>
        <w:pStyle w:val="BookText"/>
      </w:pPr>
      <w:r>
        <w:rPr>
          <w:rFonts w:ascii="IRNazanin" w:hAnsi="IRNazanin" w:eastAsia="IRNazanin" w:cs="IRNazanin"/>
          <w:lang w:bidi="fa-IR"/>
          <w:color w:val="111111"/>
          <w:sz w:val="28"/>
          <w:szCs w:val="28"/>
          <w:rtl/>
        </w:rPr>
        <w:t xml:space="preserve">آغاز: ابتدای قرون معاصر روز انتضاد آناژ ترو در ۱۷۸۷ است و فرق حدود مملکت فرانسه در حالیه بین بورد و تمام اتراس مورن جزء فرانسه محسوب می شد؛ انجام: تاریخ طبیعی انگلیس بیان کرده است وحکیم ... که پیش ... تبریک ... انگلیسی است و باید دانست</w:t>
      </w:r>
    </w:p>
    <w:p>
      <w:pPr>
        <w:pStyle w:val="BookText"/>
      </w:pPr>
      <w:r>
        <w:rPr>
          <w:rFonts w:ascii="IRNazanin" w:hAnsi="IRNazanin" w:eastAsia="IRNazanin" w:cs="IRNazanin"/>
          <w:lang w:bidi="fa-IR"/>
          <w:color w:val="111111"/>
          <w:sz w:val="28"/>
          <w:szCs w:val="28"/>
          <w:rtl/>
        </w:rPr>
        <w:t xml:space="preserve">که صنعت کلی و و اعیار اسکناس و تمام ترتیبات ثروتی در سه دوره برقرار شده است.</w:t>
      </w:r>
    </w:p>
    <w:p>
      <w:pPr>
        <w:pStyle w:val="BookText"/>
      </w:pPr>
      <w:r>
        <w:rPr>
          <w:rFonts w:ascii="IRNazanin" w:hAnsi="IRNazanin" w:eastAsia="IRNazanin" w:cs="IRNazanin"/>
          <w:lang w:bidi="fa-IR"/>
          <w:color w:val="111111"/>
          <w:sz w:val="28"/>
          <w:szCs w:val="28"/>
          <w:rtl/>
        </w:rPr>
        <w:t xml:space="preserve">خط: تحریری، بی کا، تا: ۱۳۳۰ق، جلد: مقوا، ۸۸گ، ۲۴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مخ: ۱-۳۱۵]</w:t>
      </w:r>
    </w:p>
    <w:p>
      <w:pPr>
        <w:pStyle w:val="Heading3"/>
      </w:pPr>
      <w:bookmarkStart w:id="2631" w:name="_Toc1891"/>
      <w:r>
        <w:t>•تاریخ معاصر ایران / تاریخ عربی</w:t>
      </w:r>
      <w:bookmarkEnd w:id="2631"/>
    </w:p>
    <w:p>
      <w:pPr>
        <w:pStyle w:val="BookText"/>
      </w:pPr>
      <w:r>
        <w:rPr>
          <w:rFonts w:ascii="Times New Roman" w:hAnsi="Times New Roman" w:eastAsia="Times New Roman" w:cs="Times New Roman"/>
          <w:lang w:val="en-US" w:bidi="en-US"/>
          <w:color w:val="111111"/>
          <w:sz w:val="28"/>
          <w:szCs w:val="28"/>
          <w:rtl/>
        </w:rPr>
        <w:t xml:space="preserve">tārīx-e mo‘āser-e īrān</w:t>
      </w:r>
    </w:p>
    <w:p>
      <w:pPr>
        <w:pStyle w:val="BookText"/>
      </w:pPr>
      <w:r>
        <w:rPr>
          <w:rFonts w:ascii="IRNazanin" w:hAnsi="IRNazanin" w:eastAsia="IRNazanin" w:cs="IRNazanin"/>
          <w:lang w:bidi="fa-IR"/>
          <w:color w:val="111111"/>
          <w:sz w:val="28"/>
          <w:szCs w:val="28"/>
          <w:rtl/>
        </w:rPr>
        <w:t xml:space="preserve">امام جمعه خوئی، محمد امین بن یحیی،-۱۳۶۷ ؟ قمری</w:t>
      </w:r>
    </w:p>
    <w:p>
      <w:pPr>
        <w:pStyle w:val="BookText"/>
      </w:pPr>
      <w:r>
        <w:rPr>
          <w:rFonts w:ascii="Times New Roman" w:hAnsi="Times New Roman" w:eastAsia="Times New Roman" w:cs="Times New Roman"/>
          <w:lang w:val="en-US" w:bidi="en-US"/>
          <w:color w:val="111111"/>
          <w:sz w:val="28"/>
          <w:szCs w:val="28"/>
          <w:rtl/>
        </w:rPr>
        <w:t xml:space="preserve">emām jom“e xū’ī, mohammad amīn ebn-e yahyā ( 1948)</w:t>
      </w:r>
    </w:p>
    <w:p>
      <w:pPr>
        <w:pStyle w:val="BookText"/>
      </w:pPr>
      <w:r>
        <w:rPr>
          <w:rFonts w:ascii="IRNazanin" w:hAnsi="IRNazanin" w:eastAsia="IRNazanin" w:cs="IRNazanin"/>
          <w:lang w:bidi="fa-IR"/>
          <w:color w:val="111111"/>
          <w:sz w:val="28"/>
          <w:szCs w:val="28"/>
          <w:rtl/>
        </w:rPr>
        <w:t xml:space="preserve">کتابی است تاریخی که مجموعه رخدادهای اواخر دوره قاجاریه تا اواخر دوره سلطنت رضاخان سالهای ۱۲۸۵-۱۳۲۰ شمسی را بازگو می کند. مؤلف، بیشتر مطالب را پیرامون حکومت ۱۶ ساله سلطنت رضاخان پهلوی آورده و در آن از تغيير تحولات و</w:t>
      </w:r>
    </w:p>
    <w:p>
      <w:pPr>
        <w:pStyle w:val="BookText"/>
      </w:pPr>
      <w:r>
        <w:rPr>
          <w:rFonts w:ascii="IRNazanin" w:hAnsi="IRNazanin" w:eastAsia="IRNazanin" w:cs="IRNazanin"/>
          <w:lang w:bidi="fa-IR"/>
          <w:color w:val="111111"/>
          <w:sz w:val="28"/>
          <w:szCs w:val="28"/>
          <w:rtl/>
        </w:rPr>
        <w:t xml:space="preserve">حوادث این دوره مانند نهضت میرزا کوچک خان جنگلی نیز سخن به میان می آورد. مؤلف پیش از این کتابی به نام «تاریخ عصر رضاخان» به فارسی نگاشته است. این کتاب شامل نکات بسیار با ارزش تاریخی دوره پهلوی اول می باشد و نقطه روشن این کتاب در این است که مؤلف خود در متن این حوادث قرار داشته و مطالبی را که خود مشاهده نموده و یا مستقیما شنیده، نقل نموده است. این اثر احتمالا حدود سال های پایانی دوره سلطنت رضاخان نگاشته شده باشد.</w:t>
      </w:r>
    </w:p>
    <w:p>
      <w:pPr>
        <w:pStyle w:val="BookText"/>
      </w:pPr>
      <w:r>
        <w:rPr>
          <w:rFonts w:ascii="IRNazanin" w:hAnsi="IRNazanin" w:eastAsia="IRNazanin" w:cs="IRNazanin"/>
          <w:lang w:bidi="fa-IR"/>
          <w:color w:val="111111"/>
          <w:sz w:val="28"/>
          <w:szCs w:val="28"/>
          <w:rtl/>
        </w:rPr>
        <w:t xml:space="preserve">[دنا ۷۴۰/۲ ]</w:t>
      </w:r>
    </w:p>
    <w:p>
      <w:pPr>
        <w:pStyle w:val="BookText"/>
      </w:pPr>
      <w:r>
        <w:rPr>
          <w:rFonts w:ascii="IRNazanin" w:hAnsi="IRNazanin" w:eastAsia="IRNazanin" w:cs="IRNazanin"/>
          <w:lang w:bidi="fa-IR"/>
          <w:color w:val="111111"/>
          <w:sz w:val="28"/>
          <w:szCs w:val="28"/>
          <w:rtl/>
        </w:rPr>
        <w:t xml:space="preserve">قم؛ مرعشی؛ شماره نسخه:۱۲۲۶۷</w:t>
      </w:r>
    </w:p>
    <w:p>
      <w:pPr>
        <w:pStyle w:val="BookText"/>
      </w:pPr>
      <w:r>
        <w:rPr>
          <w:rFonts w:ascii="IRNazanin" w:hAnsi="IRNazanin" w:eastAsia="IRNazanin" w:cs="IRNazanin"/>
          <w:lang w:bidi="fa-IR"/>
          <w:color w:val="111111"/>
          <w:sz w:val="28"/>
          <w:szCs w:val="28"/>
          <w:rtl/>
        </w:rPr>
        <w:t xml:space="preserve">آغاز: جلالة الملك الأعظم ... و ليعلم أنه لابد لنا في المقام من تقديم قطعة من تاريخ العهد و أوضاعها الاجتماعی؛ انجام: و الااقول ما اقول شططا و غلطة فلا تسمع إلا حاق حقيقة إن شاء الله تعالی</w:t>
      </w:r>
    </w:p>
    <w:p>
      <w:pPr>
        <w:pStyle w:val="BookText"/>
      </w:pPr>
      <w:r>
        <w:rPr>
          <w:rFonts w:ascii="IRNazanin" w:hAnsi="IRNazanin" w:eastAsia="IRNazanin" w:cs="IRNazanin"/>
          <w:lang w:bidi="fa-IR"/>
          <w:color w:val="111111"/>
          <w:sz w:val="28"/>
          <w:szCs w:val="28"/>
          <w:rtl/>
        </w:rPr>
        <w:t xml:space="preserve">خط: شکسته نستعلیق، کاتب = مؤلف، تا: قرن ۱۴؛ مصحح، دارای استدراکات فراوان از مؤلف در حواشی و برخی با نشان «منه»، یک برگ الصاقی متضمن اشعار محمد قاسم بن غلامحسین حرمی خوئی حائری» که در تاریخ ۱۳۶۴ ق در مدح «حاج میرزا یحیی امام جمعه خوئی» پدر مؤلف سروده و مطلع آن چینن است: چون آية الله خوئی شد زین جهان سوى جنان *** گفتی شکست ارکان دین فقدان آن قدس آشیان»، کاغذ: فرنگی خط دار، جلد: تیماج عسلی با ترنج گل و بوته، ۳۹ گ، ۲۰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۳۱-۱۰۹]</w:t>
      </w:r>
    </w:p>
    <w:p>
      <w:pPr>
        <w:pStyle w:val="BookText"/>
      </w:pPr>
      <w:r>
        <w:rPr>
          <w:rFonts w:ascii="IRNazanin" w:hAnsi="IRNazanin" w:eastAsia="IRNazanin" w:cs="IRNazanin"/>
          <w:lang w:bidi="fa-IR"/>
          <w:color w:val="111111"/>
          <w:sz w:val="28"/>
          <w:szCs w:val="28"/>
          <w:rtl/>
        </w:rPr>
        <w:t xml:space="preserve">← تاریخ معاصر ایران ← تاریخ مملکت ایران و سلطنت سلسله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572" w:name="pg20363_209894"/>
    <w:bookmarkEnd w:id="572"/>
    <w:p>
      <w:pPr>
        <w:pStyle w:val="BookText"/>
      </w:pPr>
      <w:r>
        <w:rPr>
          <w:rFonts w:ascii="IRNazanin" w:hAnsi="IRNazanin" w:eastAsia="IRNazanin" w:cs="IRNazanin"/>
          <w:lang w:bidi="fa-IR"/>
          <w:color w:val="111111"/>
          <w:sz w:val="28"/>
          <w:szCs w:val="28"/>
          <w:rtl/>
        </w:rPr>
        <w:t xml:space="preserve">جليله قاجاریه</w:t>
      </w:r>
    </w:p>
    <w:p>
      <w:pPr>
        <w:pStyle w:val="Heading3"/>
      </w:pPr>
      <w:bookmarkStart w:id="2632" w:name="_Toc1892"/>
      <w:r>
        <w:t>•تاریخ معاهدات قدیم / اسناد</w:t>
      </w:r>
      <w:bookmarkEnd w:id="2632"/>
    </w:p>
    <w:p>
      <w:pPr>
        <w:pStyle w:val="BookText"/>
      </w:pPr>
      <w:r>
        <w:rPr>
          <w:rFonts w:ascii="Times New Roman" w:hAnsi="Times New Roman" w:eastAsia="Times New Roman" w:cs="Times New Roman"/>
          <w:lang w:val="en-US" w:bidi="en-US"/>
          <w:color w:val="111111"/>
          <w:sz w:val="28"/>
          <w:szCs w:val="28"/>
          <w:rtl/>
        </w:rPr>
        <w:t xml:space="preserve">tārīx-e moʻāhedāt-e qadīm</w:t>
      </w:r>
    </w:p>
    <w:p>
      <w:pPr>
        <w:pStyle w:val="BookText"/>
      </w:pPr>
      <w:r>
        <w:rPr>
          <w:rFonts w:ascii="Times New Roman" w:hAnsi="Times New Roman" w:eastAsia="Times New Roman" w:cs="Times New Roman"/>
          <w:lang w:val="en-US" w:bidi="en-US"/>
          <w:color w:val="111111"/>
          <w:sz w:val="28"/>
          <w:szCs w:val="28"/>
          <w:rtl/>
        </w:rPr>
        <w:t xml:space="preserve">et On Recueil Traitez ancients</w:t>
      </w:r>
    </w:p>
    <w:p>
      <w:pPr>
        <w:pStyle w:val="BookText"/>
      </w:pPr>
      <w:r>
        <w:rPr>
          <w:rFonts w:ascii="Times New Roman" w:hAnsi="Times New Roman" w:eastAsia="Times New Roman" w:cs="Times New Roman"/>
          <w:lang w:val="en-US" w:bidi="en-US"/>
          <w:color w:val="111111"/>
          <w:sz w:val="28"/>
          <w:szCs w:val="28"/>
          <w:rtl/>
        </w:rPr>
        <w:t xml:space="preserve">des Historie chronologique par Barleirag, 2 Vols Amsterdam 1739.</w:t>
      </w:r>
    </w:p>
    <w:p>
      <w:pPr>
        <w:pStyle w:val="BookText"/>
      </w:pPr>
      <w:r>
        <w:rPr>
          <w:rFonts w:ascii="IRNazanin" w:hAnsi="IRNazanin" w:eastAsia="IRNazanin" w:cs="IRNazanin"/>
          <w:lang w:bidi="fa-IR"/>
          <w:color w:val="111111"/>
          <w:sz w:val="28"/>
          <w:szCs w:val="28"/>
          <w:rtl/>
        </w:rPr>
        <w:t xml:space="preserve">تهران؛ دانشگاه؛ شماره نسخه:۳۵۳۷ تا ۳۵۴۵-عکس</w:t>
      </w:r>
    </w:p>
    <w:p>
      <w:pPr>
        <w:pStyle w:val="BookText"/>
      </w:pPr>
      <w:r>
        <w:rPr>
          <w:rFonts w:ascii="IRNazanin" w:hAnsi="IRNazanin" w:eastAsia="IRNazanin" w:cs="IRNazanin"/>
          <w:lang w:bidi="fa-IR"/>
          <w:color w:val="111111"/>
          <w:sz w:val="28"/>
          <w:szCs w:val="28"/>
          <w:rtl/>
        </w:rPr>
        <w:t xml:space="preserve">نسخه اصل: از فیلم کتابخانه ملی از کتابخانه ملی پاریس .</w:t>
      </w:r>
      <w:r>
        <w:rPr>
          <w:rFonts w:ascii="Times New Roman" w:hAnsi="Times New Roman" w:eastAsia="Times New Roman" w:cs="Times New Roman"/>
          <w:lang w:val="en-US" w:bidi="en-US"/>
          <w:color w:val="111111"/>
          <w:sz w:val="28"/>
          <w:szCs w:val="28"/>
          <w:rtl/>
        </w:rPr>
        <w:t xml:space="preserve">F 1797-8 (</w:t>
      </w:r>
      <w:r>
        <w:rPr>
          <w:rFonts w:ascii="IRNazanin" w:hAnsi="IRNazanin" w:eastAsia="IRNazanin" w:cs="IRNazanin"/>
          <w:lang w:bidi="fa-IR"/>
          <w:color w:val="111111"/>
          <w:sz w:val="28"/>
          <w:szCs w:val="28"/>
          <w:rtl/>
        </w:rPr>
        <w:t xml:space="preserve">نشریه ۳/۱۰۴) از فیلم آن به شماره ۳۶۵۶ در فهرست ( ۲/۲۱۴) یاد شده است؛ بی کا، بی تا [فیلمها ف: ۳-۲۲۶]</w:t>
      </w:r>
    </w:p>
    <w:p>
      <w:pPr>
        <w:pStyle w:val="BookText"/>
      </w:pPr>
      <w:r>
        <w:rPr>
          <w:rFonts w:ascii="IRNazanin" w:hAnsi="IRNazanin" w:eastAsia="IRNazanin" w:cs="IRNazanin"/>
          <w:lang w:bidi="fa-IR"/>
          <w:color w:val="111111"/>
          <w:sz w:val="28"/>
          <w:szCs w:val="28"/>
          <w:rtl/>
        </w:rPr>
        <w:t xml:space="preserve">← تاریخ معجم← المعجم في تاريخ ملوك العجم</w:t>
      </w:r>
    </w:p>
    <w:p>
      <w:pPr>
        <w:pStyle w:val="BookText"/>
      </w:pPr>
      <w:r>
        <w:rPr>
          <w:rFonts w:ascii="IRNazanin" w:hAnsi="IRNazanin" w:eastAsia="IRNazanin" w:cs="IRNazanin"/>
          <w:lang w:bidi="fa-IR"/>
          <w:color w:val="111111"/>
          <w:sz w:val="28"/>
          <w:szCs w:val="28"/>
          <w:rtl/>
        </w:rPr>
        <w:t xml:space="preserve">← تاریخ معجم ← شرح احوال شیخ نجم الدین رازی</w:t>
      </w:r>
    </w:p>
    <w:p>
      <w:pPr>
        <w:pStyle w:val="BookText"/>
      </w:pPr>
      <w:r>
        <w:rPr>
          <w:rFonts w:ascii="IRNazanin" w:hAnsi="IRNazanin" w:eastAsia="IRNazanin" w:cs="IRNazanin"/>
          <w:lang w:bidi="fa-IR"/>
          <w:color w:val="111111"/>
          <w:sz w:val="28"/>
          <w:szCs w:val="28"/>
          <w:rtl/>
        </w:rPr>
        <w:t xml:space="preserve">← تاریخ معجم ← کیمیاء</w:t>
      </w:r>
    </w:p>
    <w:p>
      <w:pPr>
        <w:pStyle w:val="Heading3"/>
      </w:pPr>
      <w:bookmarkStart w:id="2633" w:name="_Toc1893"/>
      <w:r>
        <w:t>•تاریخ معجم / تاریخ</w:t>
      </w:r>
      <w:bookmarkEnd w:id="2633"/>
    </w:p>
    <w:p>
      <w:pPr>
        <w:pStyle w:val="BookText"/>
      </w:pPr>
      <w:r>
        <w:rPr>
          <w:rFonts w:ascii="Times New Roman" w:hAnsi="Times New Roman" w:eastAsia="Times New Roman" w:cs="Times New Roman"/>
          <w:lang w:val="en-US" w:bidi="en-US"/>
          <w:color w:val="111111"/>
          <w:sz w:val="28"/>
          <w:szCs w:val="28"/>
          <w:rtl/>
        </w:rPr>
        <w:t xml:space="preserve">tārīx-e moʻjam</w:t>
      </w:r>
    </w:p>
    <w:p>
      <w:pPr>
        <w:pStyle w:val="BookText"/>
      </w:pPr>
      <w:r>
        <w:rPr>
          <w:rFonts w:ascii="IRNazanin" w:hAnsi="IRNazanin" w:eastAsia="IRNazanin" w:cs="IRNazanin"/>
          <w:lang w:bidi="fa-IR"/>
          <w:color w:val="111111"/>
          <w:sz w:val="28"/>
          <w:szCs w:val="28"/>
          <w:rtl/>
        </w:rPr>
        <w:t xml:space="preserve">تهران؛ ملی؛ شماره نسخه:۱۸۱۲۸</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اندازه: ۱۳/۵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۲۰/۲</w:t>
      </w:r>
    </w:p>
    <w:p>
      <w:pPr>
        <w:pStyle w:val="BookText"/>
      </w:pPr>
      <w:r>
        <w:rPr>
          <w:rFonts w:ascii="IRNazanin" w:hAnsi="IRNazanin" w:eastAsia="IRNazanin" w:cs="IRNazanin"/>
          <w:lang w:bidi="fa-IR"/>
          <w:color w:val="111111"/>
          <w:sz w:val="28"/>
          <w:szCs w:val="28"/>
          <w:rtl/>
        </w:rPr>
        <w:t xml:space="preserve">سم [رایانه]</w:t>
      </w:r>
    </w:p>
    <w:p>
      <w:pPr>
        <w:pStyle w:val="Heading3"/>
      </w:pPr>
      <w:bookmarkStart w:id="2634" w:name="_Toc1894"/>
      <w:r>
        <w:t>•تاریخ معجم / تاریخ</w:t>
      </w:r>
      <w:bookmarkEnd w:id="2634"/>
    </w:p>
    <w:p>
      <w:pPr>
        <w:pStyle w:val="BookText"/>
      </w:pPr>
      <w:r>
        <w:rPr>
          <w:rFonts w:ascii="Times New Roman" w:hAnsi="Times New Roman" w:eastAsia="Times New Roman" w:cs="Times New Roman"/>
          <w:lang w:val="en-US" w:bidi="en-US"/>
          <w:color w:val="111111"/>
          <w:sz w:val="28"/>
          <w:szCs w:val="28"/>
          <w:rtl/>
        </w:rPr>
        <w:t xml:space="preserve">tārīx-e mo‘jam</w:t>
      </w:r>
    </w:p>
    <w:p>
      <w:pPr>
        <w:pStyle w:val="BookText"/>
      </w:pPr>
      <w:r>
        <w:rPr>
          <w:rFonts w:ascii="IRNazanin" w:hAnsi="IRNazanin" w:eastAsia="IRNazanin" w:cs="IRNazanin"/>
          <w:lang w:bidi="fa-IR"/>
          <w:color w:val="111111"/>
          <w:sz w:val="28"/>
          <w:szCs w:val="28"/>
          <w:rtl/>
        </w:rPr>
        <w:t xml:space="preserve">تهران؛ شهشهانی ، حسین؛ شماره نسخه:بدون شماره بی کا، بی تا [میراث اسلامی: ۵-۶۰۵]</w:t>
      </w:r>
    </w:p>
    <w:p>
      <w:pPr>
        <w:pStyle w:val="BookText"/>
      </w:pPr>
      <w:r>
        <w:rPr>
          <w:rFonts w:ascii="IRNazanin" w:hAnsi="IRNazanin" w:eastAsia="IRNazanin" w:cs="IRNazanin"/>
          <w:lang w:bidi="fa-IR"/>
          <w:color w:val="111111"/>
          <w:sz w:val="28"/>
          <w:szCs w:val="28"/>
          <w:rtl/>
        </w:rPr>
        <w:t xml:space="preserve">←تاریخ معصومی ← تاریخ سند</w:t>
      </w:r>
    </w:p>
    <w:p>
      <w:pPr>
        <w:pStyle w:val="BookText"/>
      </w:pPr>
      <w:r>
        <w:rPr>
          <w:rFonts w:ascii="IRNazanin" w:hAnsi="IRNazanin" w:eastAsia="IRNazanin" w:cs="IRNazanin"/>
          <w:lang w:bidi="fa-IR"/>
          <w:color w:val="111111"/>
          <w:sz w:val="28"/>
          <w:szCs w:val="28"/>
          <w:rtl/>
        </w:rPr>
        <w:t xml:space="preserve">← تاریخ معصومین ← تواريخ المعصومین</w:t>
      </w:r>
    </w:p>
    <w:p>
      <w:pPr>
        <w:pStyle w:val="Heading3"/>
      </w:pPr>
      <w:bookmarkStart w:id="2635" w:name="_Toc1895"/>
      <w:r>
        <w:t>•تاريخ المعصومين = ارجوزة في مواليد الأئمة و وفياتهم و مناقبهم / شعر، تاریخ معصومین / عربی</w:t>
      </w:r>
      <w:bookmarkEnd w:id="2635"/>
    </w:p>
    <w:p>
      <w:pPr>
        <w:pStyle w:val="BookText"/>
      </w:pPr>
      <w:r>
        <w:rPr>
          <w:rFonts w:ascii="Times New Roman" w:hAnsi="Times New Roman" w:eastAsia="Times New Roman" w:cs="Times New Roman"/>
          <w:lang w:val="en-US" w:bidi="en-US"/>
          <w:color w:val="111111"/>
          <w:sz w:val="28"/>
          <w:szCs w:val="28"/>
          <w:rtl/>
        </w:rPr>
        <w:t xml:space="preserve">tarix-ul masumin = urjuza fi mawalid-il a'imma Wa wafayāt-i-him wa manāqib-i-him</w:t>
      </w:r>
    </w:p>
    <w:p>
      <w:pPr>
        <w:pStyle w:val="BookText"/>
      </w:pPr>
      <w:r>
        <w:rPr>
          <w:rFonts w:ascii="IRNazanin" w:hAnsi="IRNazanin" w:eastAsia="IRNazanin" w:cs="IRNazanin"/>
          <w:lang w:bidi="fa-IR"/>
          <w:color w:val="111111"/>
          <w:sz w:val="28"/>
          <w:szCs w:val="28"/>
          <w:rtl/>
        </w:rPr>
        <w:t xml:space="preserve">حر عاملی، محمد بن حسن، ۱۰۳۳-۱۱۰۴ قمری</w:t>
      </w:r>
    </w:p>
    <w:p>
      <w:pPr>
        <w:pStyle w:val="BookText"/>
      </w:pPr>
      <w:r>
        <w:rPr>
          <w:rFonts w:ascii="Times New Roman" w:hAnsi="Times New Roman" w:eastAsia="Times New Roman" w:cs="Times New Roman"/>
          <w:lang w:val="en-US" w:bidi="en-US"/>
          <w:color w:val="111111"/>
          <w:sz w:val="28"/>
          <w:szCs w:val="28"/>
          <w:rtl/>
        </w:rPr>
        <w:t xml:space="preserve">horr-e ‘āmelī, mohammad ebn-e hasan (1624-1693)</w:t>
      </w:r>
    </w:p>
    <w:p>
      <w:pPr>
        <w:pStyle w:val="BookText"/>
      </w:pPr>
      <w:r>
        <w:rPr>
          <w:rFonts w:ascii="IRNazanin" w:hAnsi="IRNazanin" w:eastAsia="IRNazanin" w:cs="IRNazanin"/>
          <w:lang w:bidi="fa-IR"/>
          <w:color w:val="111111"/>
          <w:sz w:val="28"/>
          <w:szCs w:val="28"/>
          <w:rtl/>
        </w:rPr>
        <w:t xml:space="preserve">منظومه ای است در حدود ۱۳۶۶ بیت با استفاده از کتب معتبر تاریخی و حدیثی که در آغاز به نام برخی از آنها اشاره کرده است: همچون ارشاد مفید، اعلام الوری، کشف الغمه، مطالب السؤل و ... را ذکر می کند و به مأخذ آنها همچون مسار الشيعه، توضیح المقاصد، التتمه و غیر آن؛ در ۱۴ «باب» در تاریخ ائمه(عليهم السلام)، باب اول در شرح حال پیغمبر است و باب چهاردهم با شرح حال امام قائم. آن را ملا محمد اسماعیل در دوره فتح علی شاه شرح کرده است. آغاز: الحمدلله على الهداية *** الی سبیل الحق و الولاية / ابان اعلام الهدی للامة *** و اوضح النص على الائمة. انجام: و الحمدلله على الاتمام *** فهو ختام أشرف الختام.</w:t>
      </w:r>
    </w:p>
    <w:p>
      <w:pPr>
        <w:pStyle w:val="BookText"/>
      </w:pPr>
      <w:r>
        <w:rPr>
          <w:rFonts w:ascii="Amiri" w:hAnsi="Amiri" w:eastAsia="Amiri" w:cs="Amiri"/>
          <w:lang w:bidi="ar-SA"/>
          <w:color w:val="111111"/>
          <w:sz w:val="28"/>
          <w:szCs w:val="28"/>
          <w:rtl/>
        </w:rPr>
        <w:t xml:space="preserve">[الذريعة ۴۶۶/۱ ؛ دنا ۷۴۰/۲ ، الذريعة: ۴۶۵/۱ -۴۶۶]</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۱۱/۱ خوئی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۱۱؛ کاغذ: اصفهانی، جلد: تیماج قرمز روشن بدون مقوا، ۱۰۴ص (۲-۱۰۵)، ۱۲ و ۱۵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۷-۷]</w:t>
      </w:r>
    </w:p>
    <w:p>
      <w:pPr>
        <w:pStyle w:val="BookText"/>
      </w:pPr>
      <w:r>
        <w:rPr>
          <w:rFonts w:ascii="IRNazanin" w:hAnsi="IRNazanin" w:eastAsia="IRNazanin" w:cs="IRNazanin"/>
          <w:lang w:bidi="fa-IR"/>
          <w:color w:val="111111"/>
          <w:sz w:val="28"/>
          <w:szCs w:val="28"/>
          <w:rtl/>
        </w:rPr>
        <w:t xml:space="preserve">۲. خوانسار؛ فاضل؛ شماره نسخه: ۲۴۰/۸</w:t>
      </w:r>
    </w:p>
    <w:p>
      <w:pPr>
        <w:pStyle w:val="BookText"/>
      </w:pPr>
      <w:r>
        <w:rPr>
          <w:rFonts w:ascii="IRNazanin" w:hAnsi="IRNazanin" w:eastAsia="IRNazanin" w:cs="IRNazanin"/>
          <w:lang w:bidi="fa-IR"/>
          <w:color w:val="111111"/>
          <w:sz w:val="28"/>
          <w:szCs w:val="28"/>
          <w:rtl/>
        </w:rPr>
        <w:t xml:space="preserve">خط: نسخ، كا: ابراهيم بن محمد على عاملی، تا: ۱۱۲۱ق؛ جلد: تیماج شتری مجدول، ۲۰ سطر، اندازه: ۱۸۷۱۲/۵ سم [ف: ۱-۲۰۴]</w:t>
      </w:r>
    </w:p>
    <w:p>
      <w:pPr>
        <w:pStyle w:val="BookText"/>
      </w:pPr>
      <w:r>
        <w:rPr>
          <w:rFonts w:ascii="IRNazanin" w:hAnsi="IRNazanin" w:eastAsia="IRNazanin" w:cs="IRNazanin"/>
          <w:lang w:bidi="fa-IR"/>
          <w:color w:val="111111"/>
          <w:sz w:val="28"/>
          <w:szCs w:val="28"/>
          <w:rtl/>
        </w:rPr>
        <w:t xml:space="preserve">٣. قم: مرکز احیاء؛ شماره نسخه:۴۲۶۸/۷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۱۳، جلد: تیماج قرمز ضربی، ۴۳گ (۱۰۳پ -۱۴۵پ)، ۱۵ سطر، اندازه: ۱۵/۵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[محدث ارموی ]</w:t>
      </w:r>
    </w:p>
    <w:p>
      <w:pPr>
        <w:pStyle w:val="BookText"/>
      </w:pPr>
      <w:r>
        <w:rPr>
          <w:rFonts w:ascii="IRNazanin" w:hAnsi="IRNazanin" w:eastAsia="IRNazanin" w:cs="IRNazanin"/>
          <w:lang w:bidi="fa-IR"/>
          <w:color w:val="111111"/>
          <w:sz w:val="28"/>
          <w:szCs w:val="28"/>
          <w:rtl/>
        </w:rPr>
        <w:t xml:space="preserve">۴. تهران؛ سپهسالار؛ شماره نسخه: ۲۹۱۸/۶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بی کا، تا: ۱۲۳۰ق؛ کاغذ: فرنگی، ۷گ (۱۰۶ر-۱۱۲ر)،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سم [ف: ۳-۱۰۱]</w:t>
      </w:r>
    </w:p>
    <w:p>
      <w:pPr>
        <w:pStyle w:val="BookText"/>
      </w:pPr>
      <w:r>
        <w:rPr>
          <w:rFonts w:ascii="IRNazanin" w:hAnsi="IRNazanin" w:eastAsia="IRNazanin" w:cs="IRNazanin"/>
          <w:lang w:bidi="fa-IR"/>
          <w:color w:val="111111"/>
          <w:sz w:val="28"/>
          <w:szCs w:val="28"/>
          <w:rtl/>
        </w:rPr>
        <w:t xml:space="preserve">۵. تهران، دانشگاه؛ شماره نسخه: ۵۲۴۳/۱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میرزا همت زاده (نواده وصال)، تا: عید غدیر ۱۲۹۴ق، برای فرهاد میرزا فرمانفرمای فارس؛ کاغذ: فرنگی، جلد: تیماج سرخ ضربی مقوایی، ۴۶گ (۲پ -۴۷پ)، ۱۴ سطر (۱۵</w:t>
      </w:r>
      <w:r>
        <w:rPr>
          <w:rFonts w:ascii="Times New Roman" w:hAnsi="Times New Roman" w:eastAsia="Times New Roman" w:cs="Times New Roman"/>
          <w:lang w:val="en-US" w:bidi="en-US"/>
          <w:color w:val="111111"/>
          <w:sz w:val="28"/>
          <w:szCs w:val="28"/>
          <w:rtl/>
        </w:rPr>
        <w:t xml:space="preserve">x</w:t>
      </w:r>
      <w:r>
        <w:rPr>
          <w:rFonts w:ascii="IRNazanin" w:hAnsi="IRNazanin" w:eastAsia="IRNazanin" w:cs="IRNazanin"/>
          <w:lang w:bidi="fa-IR"/>
          <w:color w:val="111111"/>
          <w:sz w:val="28"/>
          <w:szCs w:val="28"/>
          <w:rtl/>
        </w:rPr>
        <w:t xml:space="preserve">۷)، اندازه: ۲۱۶۱۴سم [ف: ۱۵-۴۱۷۵]</w:t>
      </w:r>
    </w:p>
    <w:p>
      <w:pPr>
        <w:pStyle w:val="BookText"/>
      </w:pPr>
      <w:r>
        <w:rPr>
          <w:rFonts w:ascii="IRNazanin" w:hAnsi="IRNazanin" w:eastAsia="IRNazanin" w:cs="IRNazanin"/>
          <w:lang w:bidi="fa-IR"/>
          <w:color w:val="111111"/>
          <w:sz w:val="28"/>
          <w:szCs w:val="28"/>
          <w:rtl/>
        </w:rPr>
        <w:t xml:space="preserve">۶. مشهد؛ رضوی؛ شماره نسخه: ۱۲۶۵۱</w:t>
      </w:r>
    </w:p>
    <w:p>
      <w:pPr>
        <w:pStyle w:val="BookText"/>
      </w:pPr>
      <w:r>
        <w:rPr>
          <w:rFonts w:ascii="Amiri" w:hAnsi="Amiri" w:eastAsia="Amiri" w:cs="Amiri"/>
          <w:lang w:bidi="ar-SA"/>
          <w:color w:val="111111"/>
          <w:sz w:val="28"/>
          <w:szCs w:val="28"/>
          <w:rtl/>
        </w:rPr>
        <w:t xml:space="preserve">آغاز: برابر؛ انجام: وضوه حيدره الاسلع ربيع المولودسنه</w:t>
      </w:r>
    </w:p>
    <w:p>
      <w:pPr>
        <w:pStyle w:val="BookText"/>
      </w:pPr>
      <w:r>
        <w:rPr>
          <w:rFonts w:ascii="IRNazanin" w:hAnsi="IRNazanin" w:eastAsia="IRNazanin" w:cs="IRNazanin"/>
          <w:lang w:bidi="fa-IR"/>
          <w:color w:val="111111"/>
          <w:sz w:val="28"/>
          <w:szCs w:val="28"/>
          <w:rtl/>
        </w:rPr>
        <w:t xml:space="preserve">خط: نسخ، كا: علی شیرازی، تا: ۱۲۹۵ق؛ کاغذ: نخودی، جلد: مقوا، ۱۵ سطر (۱۳۶۷)،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[الفبائی: ۹۷]</w:t>
      </w:r>
    </w:p>
    <w:p>
      <w:pPr>
        <w:pStyle w:val="BookText"/>
      </w:pPr>
      <w:r>
        <w:rPr>
          <w:rFonts w:ascii="IRNazanin" w:hAnsi="IRNazanin" w:eastAsia="IRNazanin" w:cs="IRNazanin"/>
          <w:lang w:bidi="fa-IR"/>
          <w:color w:val="111111"/>
          <w:sz w:val="28"/>
          <w:szCs w:val="28"/>
          <w:rtl/>
        </w:rPr>
        <w:t xml:space="preserve">۷. تهران، دانشگاه؛ شماره نسخه:۲۰۱۰/۴</w:t>
      </w:r>
    </w:p>
    <w:p>
      <w:pPr>
        <w:pStyle w:val="BookText"/>
      </w:pPr>
      <w:r>
        <w:rPr>
          <w:rFonts w:ascii="IRNazanin" w:hAnsi="IRNazanin" w:eastAsia="IRNazanin" w:cs="IRNazanin"/>
          <w:lang w:bidi="fa-IR"/>
          <w:color w:val="111111"/>
          <w:sz w:val="28"/>
          <w:szCs w:val="28"/>
          <w:rtl/>
        </w:rPr>
        <w:t xml:space="preserve">آغاز و انجام: برابر خط: نستعلیق، کا: محمد جواد بن آقا رضای گلپایگانی، تا: 3 ربيع الاول ۱۲۹۷ق؛ کاغذ: فرنگی، جلد: تیماج زرد عطف مشکی، ۱۹گ (۱۴۳ر -۱۶۱ر)، ۱۹ سطر (۱۵۷۱۰/۵ )،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[ف: ۸-۶۳۱]</w:t>
      </w:r>
    </w:p>
    <w:p>
      <w:pPr>
        <w:pStyle w:val="BookText"/>
      </w:pPr>
      <w:r>
        <w:rPr>
          <w:rFonts w:ascii="IRNazanin" w:hAnsi="IRNazanin" w:eastAsia="IRNazanin" w:cs="IRNazanin"/>
          <w:lang w:bidi="fa-IR"/>
          <w:color w:val="111111"/>
          <w:sz w:val="28"/>
          <w:szCs w:val="28"/>
          <w:rtl/>
        </w:rPr>
        <w:t xml:space="preserve">۸. تهران؛ مجلس؛ شماره نسخه: ۸۲۶۲/۱۸</w:t>
      </w:r>
    </w:p>
    <w:p>
      <w:pPr>
        <w:pStyle w:val="BookText"/>
      </w:pPr>
      <w:r>
        <w:rPr>
          <w:rFonts w:ascii="IRNazanin" w:hAnsi="IRNazanin" w:eastAsia="IRNazanin" w:cs="IRNazanin"/>
          <w:lang w:bidi="fa-IR"/>
          <w:color w:val="111111"/>
          <w:sz w:val="28"/>
          <w:szCs w:val="28"/>
          <w:rtl/>
        </w:rPr>
        <w:t xml:space="preserve">آغاز و انجام: برابر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bookmarkStart w:id="573" w:name="pg20363_209895"/>
    <w:bookmarkEnd w:id="573"/>
    <w:p>
      <w:pPr>
        <w:pStyle w:val="BookText"/>
      </w:pPr>
      <w:r>
        <w:rPr>
          <w:rFonts w:ascii="IRNazanin" w:hAnsi="IRNazanin" w:eastAsia="IRNazanin" w:cs="IRNazanin"/>
          <w:lang w:bidi="fa-IR"/>
          <w:color w:val="111111"/>
          <w:sz w:val="28"/>
          <w:szCs w:val="28"/>
          <w:rtl/>
        </w:rPr>
        <w:t xml:space="preserve">خط: نسخ، كا: احمد وقار شیرازی، تا: ۱۲۹۷ق، جلد: تیماج قرمز، ۱۳ (۱۵۸ر- ۱۷۰ ر)، ۲۶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۲۷/۲-۴۰]</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قم؛ مرعشی؛ شماره نسخه: ۱۱۳۲/۱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۲۰ ذیحجه ۱۳۰۲ق؛ مصحح؛ جلد: تیماج قهوه ای، ۳۷گ (۱پ -۳۷پ)،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۳-۳۰۶]</w:t>
      </w:r>
    </w:p>
    <w:p>
      <w:pPr>
        <w:pStyle w:val="BookText"/>
      </w:pPr>
      <w:r>
        <w:rPr>
          <w:rFonts w:ascii="IRNazanin" w:hAnsi="IRNazanin" w:eastAsia="IRNazanin" w:cs="IRNazanin"/>
          <w:lang w:bidi="fa-IR"/>
          <w:color w:val="111111"/>
          <w:sz w:val="28"/>
          <w:szCs w:val="28"/>
          <w:rtl/>
        </w:rPr>
        <w:t xml:space="preserve">۱۰. تهران؛ مجلس؛ شماره نسخه:۱۴۰۹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سعید بن علی حسینی، تا: ۲۶ محرم ۱۳۰۶ق؛ یادداشت و خریداری امیر الشعراء محمد صادق حسینی فراهانی قائم مقامی که در کربلا شب جمعه ۱۳ ماه ... ۱۳۰۹ با مهر او؛ کاغذ: سفید، جلد: تیماج قرمز، ۵۴گ، ۱۲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[سنا: ف: ۲-۲۴۸]</w:t>
      </w:r>
    </w:p>
    <w:p>
      <w:pPr>
        <w:pStyle w:val="BookText"/>
      </w:pPr>
      <w:r>
        <w:rPr>
          <w:rFonts w:ascii="IRNazanin" w:hAnsi="IRNazanin" w:eastAsia="IRNazanin" w:cs="IRNazanin"/>
          <w:lang w:bidi="fa-IR"/>
          <w:color w:val="111111"/>
          <w:sz w:val="28"/>
          <w:szCs w:val="28"/>
          <w:rtl/>
        </w:rPr>
        <w:t xml:space="preserve">۱۱. قم، مؤسسه آية الله بروجردی؛ شماره نسخه:۴۸۸</w:t>
      </w:r>
    </w:p>
    <w:p>
      <w:pPr>
        <w:pStyle w:val="BookText"/>
      </w:pPr>
      <w:r>
        <w:rPr>
          <w:rFonts w:ascii="IRNazanin" w:hAnsi="IRNazanin" w:eastAsia="IRNazanin" w:cs="IRNazanin"/>
          <w:lang w:bidi="fa-IR"/>
          <w:color w:val="111111"/>
          <w:sz w:val="28"/>
          <w:szCs w:val="28"/>
          <w:rtl/>
        </w:rPr>
        <w:t xml:space="preserve">خط: نسخ، كا: محمد حسن طباطبائی بروجردی (فرزند آية الله بروجردی، تا: سه شنبه ۲۰ ربیع الاول ۱۳۸۵ق؛ مجدول؛ ۴۳گ، ۱۵ سطر،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۲-۳۰۸]</w:t>
      </w:r>
    </w:p>
    <w:p>
      <w:pPr>
        <w:pStyle w:val="BookText"/>
      </w:pPr>
      <w:r>
        <w:rPr>
          <w:rFonts w:ascii="IRNazanin" w:hAnsi="IRNazanin" w:eastAsia="IRNazanin" w:cs="IRNazanin"/>
          <w:lang w:bidi="fa-IR"/>
          <w:color w:val="111111"/>
          <w:sz w:val="28"/>
          <w:szCs w:val="28"/>
          <w:rtl/>
        </w:rPr>
        <w:t xml:space="preserve">۱۲. تهران؛ ملی؛ شماره نسخه:۴۸۱۸</w:t>
      </w:r>
    </w:p>
    <w:p>
      <w:pPr>
        <w:pStyle w:val="BookText"/>
      </w:pPr>
      <w:r>
        <w:rPr>
          <w:rFonts w:ascii="IRNazanin" w:hAnsi="IRNazanin" w:eastAsia="IRNazanin" w:cs="IRNazanin"/>
          <w:lang w:bidi="fa-IR"/>
          <w:color w:val="111111"/>
          <w:sz w:val="28"/>
          <w:szCs w:val="28"/>
          <w:rtl/>
        </w:rPr>
        <w:t xml:space="preserve">آغاز: اعنى النبي و عليا و الحسن و فاطمه ثم الحسين الممتحن؛ انجام: برابر خط: نسخ متوسط، بی کا، بی تا، افتادگی: آغاز (بین برگ ۱ و ۲ و بین برگ های ۲ و ۳، ۸ و ۹)؛ کاغذ: اصفهانی نخودی، جلد: تیماج زرشکی، ۲۲گ (۱-۲۲)، ۱۷ و ۱۸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w:t>
      </w:r>
    </w:p>
    <w:p>
      <w:pPr>
        <w:pStyle w:val="BookText"/>
      </w:pPr>
      <w:r>
        <w:rPr>
          <w:rFonts w:ascii="IRNazanin" w:hAnsi="IRNazanin" w:eastAsia="IRNazanin" w:cs="IRNazanin"/>
          <w:lang w:bidi="fa-IR"/>
          <w:color w:val="111111"/>
          <w:sz w:val="28"/>
          <w:szCs w:val="28"/>
          <w:rtl/>
        </w:rPr>
        <w:t xml:space="preserve">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۱۸/۵ سم [رایانه]</w:t>
      </w:r>
    </w:p>
    <w:p>
      <w:pPr>
        <w:pStyle w:val="BookText"/>
      </w:pPr>
      <w:r>
        <w:rPr>
          <w:rFonts w:ascii="IRNazanin" w:hAnsi="IRNazanin" w:eastAsia="IRNazanin" w:cs="IRNazanin"/>
          <w:lang w:bidi="fa-IR"/>
          <w:color w:val="111111"/>
          <w:sz w:val="28"/>
          <w:szCs w:val="28"/>
          <w:rtl/>
        </w:rPr>
        <w:t xml:space="preserve">۱۳. خوانسار؛ فاضل؛ شماره نسخه: ۲۵۹/۳</w:t>
      </w:r>
    </w:p>
    <w:p>
      <w:pPr>
        <w:pStyle w:val="BookText"/>
      </w:pPr>
      <w:r>
        <w:rPr>
          <w:rFonts w:ascii="IRNazanin" w:hAnsi="IRNazanin" w:eastAsia="IRNazanin" w:cs="IRNazanin"/>
          <w:lang w:bidi="fa-IR"/>
          <w:color w:val="111111"/>
          <w:sz w:val="28"/>
          <w:szCs w:val="28"/>
          <w:rtl/>
        </w:rPr>
        <w:t xml:space="preserve">خط: نسخ، بی کا، بی تا، جلد: تیماج مشکی،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۱-۲۳۴]</w:t>
      </w:r>
    </w:p>
    <w:p>
      <w:pPr>
        <w:pStyle w:val="BookText"/>
      </w:pPr>
      <w:r>
        <w:rPr>
          <w:rFonts w:ascii="IRNazanin" w:hAnsi="IRNazanin" w:eastAsia="IRNazanin" w:cs="IRNazanin"/>
          <w:lang w:bidi="fa-IR"/>
          <w:color w:val="111111"/>
          <w:sz w:val="28"/>
          <w:szCs w:val="28"/>
          <w:rtl/>
        </w:rPr>
        <w:t xml:space="preserve">۱۴. قم؛ گلپایگانی؛ شماره نسخه:۳۷۸۰/۴ - ۱۹/۱۱۰</w:t>
      </w:r>
    </w:p>
    <w:p>
      <w:pPr>
        <w:pStyle w:val="BookText"/>
      </w:pPr>
      <w:r>
        <w:rPr>
          <w:rFonts w:ascii="IRNazanin" w:hAnsi="IRNazanin" w:eastAsia="IRNazanin" w:cs="IRNazanin"/>
          <w:lang w:bidi="fa-IR"/>
          <w:color w:val="111111"/>
          <w:sz w:val="28"/>
          <w:szCs w:val="28"/>
          <w:rtl/>
        </w:rPr>
        <w:t xml:space="preserve">آغاز: برابر؛ انجام: في جده افضل ساع حافدة *** لسر من ينمي اليه صدقا / لسطر تاریخ ائمة الهدى*** في رجب الاصب. خط: نسخ، بی کا، بی تا؛ جلد: مقوایی، عطف تیماج قهوه ای، ۱۰گ، ۲۳ سطر چلیپایی، اندازه: ۲۱۶۱۳/۵ سم [ف: ۱-۲۹۷]</w:t>
      </w:r>
    </w:p>
    <w:p>
      <w:pPr>
        <w:pStyle w:val="BookText"/>
      </w:pPr>
      <w:r>
        <w:rPr>
          <w:rFonts w:ascii="IRNazanin" w:hAnsi="IRNazanin" w:eastAsia="IRNazanin" w:cs="IRNazanin"/>
          <w:lang w:bidi="fa-IR"/>
          <w:color w:val="111111"/>
          <w:sz w:val="28"/>
          <w:szCs w:val="28"/>
          <w:rtl/>
        </w:rPr>
        <w:t xml:space="preserve">۱۵. تهران؛ مجلس؛ شماره نسخه: ۵۰۸۶/۲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در صفحات چهار ستونی؛ مهر: محمد الموسوی» (بیضی)؛ ۲۲گ (اپ - ۲۲ر)، ۲۱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۷سم [ف: ۱۵-۵۲]</w:t>
      </w:r>
    </w:p>
    <w:p>
      <w:pPr>
        <w:pStyle w:val="Heading3"/>
      </w:pPr>
      <w:bookmarkStart w:id="2636" w:name="_Toc1896"/>
      <w:r>
        <w:t>•تاريخ المعصومين / تاریخ معصومین / عربی</w:t>
      </w:r>
      <w:bookmarkEnd w:id="2636"/>
    </w:p>
    <w:p>
      <w:pPr>
        <w:pStyle w:val="BookText"/>
      </w:pPr>
      <w:r>
        <w:rPr>
          <w:rFonts w:ascii="Times New Roman" w:hAnsi="Times New Roman" w:eastAsia="Times New Roman" w:cs="Times New Roman"/>
          <w:lang w:val="en-US" w:bidi="en-US"/>
          <w:color w:val="111111"/>
          <w:sz w:val="28"/>
          <w:szCs w:val="28"/>
          <w:rtl/>
        </w:rPr>
        <w:t xml:space="preserve">tarix-ul masumin</w:t>
      </w:r>
    </w:p>
    <w:p>
      <w:pPr>
        <w:pStyle w:val="BookText"/>
      </w:pPr>
      <w:r>
        <w:rPr>
          <w:rFonts w:ascii="IRNazanin" w:hAnsi="IRNazanin" w:eastAsia="IRNazanin" w:cs="IRNazanin"/>
          <w:lang w:bidi="fa-IR"/>
          <w:color w:val="111111"/>
          <w:sz w:val="28"/>
          <w:szCs w:val="28"/>
          <w:rtl/>
        </w:rPr>
        <w:t xml:space="preserve">بهبهانی، محمد جعفر بن محمد علی، ۱۱۷۸-۱۲۵۹ قمری</w:t>
      </w:r>
    </w:p>
    <w:p>
      <w:pPr>
        <w:pStyle w:val="BookText"/>
      </w:pPr>
      <w:r>
        <w:rPr>
          <w:rFonts w:ascii="Times New Roman" w:hAnsi="Times New Roman" w:eastAsia="Times New Roman" w:cs="Times New Roman"/>
          <w:lang w:val="en-US" w:bidi="en-US"/>
          <w:color w:val="111111"/>
          <w:sz w:val="28"/>
          <w:szCs w:val="28"/>
          <w:rtl/>
        </w:rPr>
        <w:t xml:space="preserve">behbahānī, mohammad ja'far ebn-e mohammad ‘alī</w:t>
      </w:r>
    </w:p>
    <w:p>
      <w:pPr>
        <w:pStyle w:val="BookText"/>
      </w:pPr>
      <w:r>
        <w:rPr>
          <w:rFonts w:ascii="Times New Roman" w:hAnsi="Times New Roman" w:eastAsia="Times New Roman" w:cs="Times New Roman"/>
          <w:lang w:val="en-US" w:bidi="en-US"/>
          <w:color w:val="111111"/>
          <w:sz w:val="28"/>
          <w:szCs w:val="28"/>
          <w:rtl/>
        </w:rPr>
        <w:t xml:space="preserve">(1765-1843)</w:t>
      </w:r>
    </w:p>
    <w:p>
      <w:pPr>
        <w:pStyle w:val="BookText"/>
      </w:pPr>
      <w:r>
        <w:rPr>
          <w:rFonts w:ascii="Amiri" w:hAnsi="Amiri" w:eastAsia="Amiri" w:cs="Amiri"/>
          <w:lang w:bidi="ar-SA"/>
          <w:color w:val="111111"/>
          <w:sz w:val="28"/>
          <w:szCs w:val="28"/>
          <w:rtl/>
        </w:rPr>
        <w:t xml:space="preserve">تاريخ تأليف: ۱۲۵۹ق</w:t>
      </w:r>
    </w:p>
    <w:p>
      <w:pPr>
        <w:pStyle w:val="BookText"/>
      </w:pPr>
      <w:r>
        <w:rPr>
          <w:rFonts w:ascii="IRNazanin" w:hAnsi="IRNazanin" w:eastAsia="IRNazanin" w:cs="IRNazanin"/>
          <w:lang w:bidi="fa-IR"/>
          <w:color w:val="111111"/>
          <w:sz w:val="28"/>
          <w:szCs w:val="28"/>
          <w:rtl/>
        </w:rPr>
        <w:t xml:space="preserve">همدان؛ مدرسه غرب؛ شماره نسخه: ۴۷۰۰</w:t>
      </w:r>
    </w:p>
    <w:p>
      <w:pPr>
        <w:pStyle w:val="BookText"/>
      </w:pPr>
      <w:r>
        <w:rPr>
          <w:rFonts w:ascii="IRNazanin" w:hAnsi="IRNazanin" w:eastAsia="IRNazanin" w:cs="IRNazanin"/>
          <w:lang w:bidi="fa-IR"/>
          <w:color w:val="111111"/>
          <w:sz w:val="28"/>
          <w:szCs w:val="28"/>
          <w:rtl/>
        </w:rPr>
        <w:t xml:space="preserve">خط: نسخ، کا:سید عبد الستار کاظمی، بی تا رشت و همدان:ف: ۱۲۹۲]</w:t>
      </w:r>
    </w:p>
    <w:p>
      <w:pPr>
        <w:pStyle w:val="Heading3"/>
      </w:pPr>
      <w:bookmarkStart w:id="2637" w:name="_Toc1897"/>
      <w:r>
        <w:t>•تاریخ معصومین (عليهم السلام)/ تاریخ معصومین / فارسی</w:t>
      </w:r>
      <w:bookmarkEnd w:id="2637"/>
    </w:p>
    <w:p>
      <w:pPr>
        <w:pStyle w:val="BookText"/>
      </w:pPr>
      <w:r>
        <w:rPr>
          <w:rFonts w:ascii="Times New Roman" w:hAnsi="Times New Roman" w:eastAsia="Times New Roman" w:cs="Times New Roman"/>
          <w:lang w:val="en-US" w:bidi="en-US"/>
          <w:color w:val="111111"/>
          <w:sz w:val="28"/>
          <w:szCs w:val="28"/>
          <w:rtl/>
        </w:rPr>
        <w:t xml:space="preserve">tārīx-e ma‘sūmīn</w:t>
      </w:r>
    </w:p>
    <w:p>
      <w:pPr>
        <w:pStyle w:val="BookText"/>
      </w:pPr>
      <w:r>
        <w:rPr>
          <w:rFonts w:ascii="IRNazanin" w:hAnsi="IRNazanin" w:eastAsia="IRNazanin" w:cs="IRNazanin"/>
          <w:lang w:bidi="fa-IR"/>
          <w:color w:val="111111"/>
          <w:sz w:val="28"/>
          <w:szCs w:val="28"/>
          <w:rtl/>
        </w:rPr>
        <w:t xml:space="preserve">رساله ای در شناخت پیامبر(صلی الله علیه وآله وسلم)و ائمه اطهار(عليهم السلام) در دوازده فصل»: ۱. نسب پیغمبر؛ ۲. اخلاق پیغمبر؛ ۳. خواص پیغمبر؛ ۴. فضایل امیر المؤمنين(عليه السلام)؛ ۵. مطاعن ابابکر و عمر و عثمان و دلیل بر بطلان امامت ایشان؛ ۶. امامت امیرالمؤمنین(عليه السلام)؛ 7. امامت باقی ائمه (عليه السلام)؛ ۸ مسائل چند که میان عدلی و جبری واقع شده؛ 9. مسائل شیعه؛ ۱۰. مسائل چند که امیر المؤمنین(عليه السلام) آن را حل کرده؛ ۱۱. احادیث چند که حضرت رسالت(صلی الله علیه وآله وسلم)در حق امیر المؤمنین علی(عليه السلام) فرموده؛ ۱۲. مولود قائم آل محمد(عليه السلام)و علامات قبل از ظهور وی. آغاز: شکر و سپاس مر آن خدای را جلت عظمته که خلق بیافرید و حق مبین ساخت و به جهت ارشاد خلق تعیین پیامبران نمود هر پیغمبری را به وصی مخصوص گردانید و همه را بر انجام: و قل لمن افتخر بالملك لمن الملك اليوم الله الواحد القهار صدق رسول الله و صلى الله عليه و على آله الطيبين الطاهرين اجمعین برحمتك يا ارحم الراحمين.</w:t>
      </w:r>
    </w:p>
    <w:p>
      <w:pPr>
        <w:pStyle w:val="BookText"/>
      </w:pPr>
      <w:r>
        <w:rPr>
          <w:rFonts w:ascii="IRNazanin" w:hAnsi="IRNazanin" w:eastAsia="IRNazanin" w:cs="IRNazanin"/>
          <w:lang w:bidi="fa-IR"/>
          <w:color w:val="111111"/>
          <w:sz w:val="28"/>
          <w:szCs w:val="28"/>
          <w:rtl/>
        </w:rPr>
        <w:t xml:space="preserve">همانند: ۱. تهران؛ مجلس؛ شماره نسخه:۷۹۷۲/۳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شرف الدین، تا: ۱۰۴۰ق؛ جلد: تیماج قهوه ای، ۳۷گ (۵۴ر-۹۰ر)، ۱۵ سطر، اندازه: ۱۱/۵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۱۹/۵ سم [ف:۲۶-۴۵۲]</w:t>
      </w:r>
    </w:p>
    <w:p>
      <w:pPr>
        <w:pStyle w:val="BookText"/>
      </w:pPr>
      <w:r>
        <w:rPr>
          <w:rFonts w:ascii="IRNazanin" w:hAnsi="IRNazanin" w:eastAsia="IRNazanin" w:cs="IRNazanin"/>
          <w:lang w:bidi="fa-IR"/>
          <w:color w:val="111111"/>
          <w:sz w:val="28"/>
          <w:szCs w:val="28"/>
          <w:rtl/>
        </w:rPr>
        <w:t xml:space="preserve">۲. تهران، ملک؛ شماره نسخه: ۶۰۷۷/۱</w:t>
      </w:r>
    </w:p>
    <w:p>
      <w:pPr>
        <w:pStyle w:val="BookText"/>
      </w:pPr>
      <w:r>
        <w:rPr>
          <w:rFonts w:ascii="IRNazanin" w:hAnsi="IRNazanin" w:eastAsia="IRNazanin" w:cs="IRNazanin"/>
          <w:lang w:bidi="fa-IR"/>
          <w:color w:val="111111"/>
          <w:sz w:val="28"/>
          <w:szCs w:val="28"/>
          <w:rtl/>
        </w:rPr>
        <w:t xml:space="preserve">آغاز و انجام: برابر كان محمد اسماعيل بن محمد صادق اصفهانی، تا: چهارشنبه ۱۲ رمضان ۱۲۳۱ق، جلد: میشن قهوه ای، ۴۵گ (۱پ -۴۵ر)، ۱۲ و ۱۴ سطر، اندازه: ۲۱/۷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۱۵/۹</w:t>
      </w:r>
    </w:p>
    <w:p>
      <w:pPr>
        <w:pStyle w:val="BookText"/>
      </w:pPr>
      <w:r>
        <w:rPr>
          <w:rFonts w:ascii="IRNazanin" w:hAnsi="IRNazanin" w:eastAsia="IRNazanin" w:cs="IRNazanin"/>
          <w:lang w:bidi="fa-IR"/>
          <w:color w:val="111111"/>
          <w:sz w:val="28"/>
          <w:szCs w:val="28"/>
          <w:rtl/>
        </w:rPr>
        <w:t xml:space="preserve">سم [ف: ۹-۱۳۸]</w:t>
      </w:r>
    </w:p>
    <w:p>
      <w:pPr>
        <w:pStyle w:val="BookText"/>
      </w:pPr>
      <w:r>
        <w:rPr>
          <w:rFonts w:ascii="IRNazanin" w:hAnsi="IRNazanin" w:eastAsia="IRNazanin" w:cs="IRNazanin"/>
          <w:lang w:bidi="fa-IR"/>
          <w:color w:val="111111"/>
          <w:sz w:val="28"/>
          <w:szCs w:val="28"/>
          <w:rtl/>
        </w:rPr>
        <w:t xml:space="preserve">٣. مشهد؛ شیخ علی حیدر، شماره نسخه: ۱۲۰۸/۱</w:t>
      </w:r>
    </w:p>
    <w:p>
      <w:pPr>
        <w:pStyle w:val="BookText"/>
      </w:pPr>
      <w:r>
        <w:rPr>
          <w:rFonts w:ascii="IRNazanin" w:hAnsi="IRNazanin" w:eastAsia="IRNazanin" w:cs="IRNazanin"/>
          <w:lang w:bidi="fa-IR"/>
          <w:color w:val="111111"/>
          <w:sz w:val="28"/>
          <w:szCs w:val="28"/>
          <w:rtl/>
        </w:rPr>
        <w:t xml:space="preserve">آغاز: برابر؛ انجام: و کنیت امام محمد باقر و امام محمد تقی عليهما السلام ابو جعفر بود و کنیت صاحب الامر صلوات الله عليه ابوالقاسم بود خط: نستعلیق، بی کا، بی تا، جلد: تیماج قهوه ای، ۷۹گ (آپ۔ ۷۹پ)، ۹ سطر، اندازه: ۲۱</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۱۶/۵ سم [ مؤيد: ۳-۱۷۹]</w:t>
      </w:r>
    </w:p>
    <w:p>
      <w:pPr>
        <w:pStyle w:val="Heading3"/>
      </w:pPr>
      <w:bookmarkStart w:id="2638" w:name="_Toc1898"/>
      <w:r>
        <w:t>•تاریخ معصومین(عليهم السلام) / تاریخ معصومین / عربی</w:t>
      </w:r>
      <w:bookmarkEnd w:id="2638"/>
    </w:p>
    <w:p>
      <w:pPr>
        <w:pStyle w:val="BookText"/>
      </w:pPr>
      <w:r>
        <w:rPr>
          <w:rFonts w:ascii="Times New Roman" w:hAnsi="Times New Roman" w:eastAsia="Times New Roman" w:cs="Times New Roman"/>
          <w:lang w:val="en-US" w:bidi="en-US"/>
          <w:color w:val="111111"/>
          <w:sz w:val="28"/>
          <w:szCs w:val="28"/>
          <w:rtl/>
        </w:rPr>
        <w:t xml:space="preserve">tārīx-e ma‘sūmīn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IRNazanin" w:hAnsi="IRNazanin" w:eastAsia="IRNazanin" w:cs="IRNazanin"/>
          <w:lang w:bidi="fa-IR"/>
          <w:color w:val="111111"/>
          <w:sz w:val="28"/>
          <w:szCs w:val="28"/>
          <w:rtl/>
        </w:rPr>
        <w:t xml:space="preserve">۱. قم؛ طبسی؛ شماره نسخه: ۲۳۲</w:t>
      </w:r>
    </w:p>
    <w:p>
      <w:pPr>
        <w:pStyle w:val="BookText"/>
      </w:pPr>
      <w:r>
        <w:rPr>
          <w:rFonts w:ascii="IRNazanin" w:hAnsi="IRNazanin" w:eastAsia="IRNazanin" w:cs="IRNazanin"/>
          <w:lang w:bidi="fa-IR"/>
          <w:color w:val="111111"/>
          <w:sz w:val="28"/>
          <w:szCs w:val="28"/>
          <w:rtl/>
        </w:rPr>
        <w:t xml:space="preserve">آغاز: و هو يدعوهم إلى الله وقاتل حمزة ابن عبدالمطلب فمر به سباع ابن عبد العزى فقال له حمزة هلم اتی یابن مقطعة ... قال وثن العباس رجله عن فرسه ودفعه إلى غلام له؛ انجام: قال ثم مضى حتى جزنا دور بني عوف فاذا نحن عن ايماننا بقبور سبعة أو ثمانية فقال أمير المؤمنین (عليه السلام)ما هذه القبور کتابی است شامل تاریخ پیامبر و امیر المؤمنین(عليه السلام)و داستان جنگهای صدر اسلام و جنگهای زمان امام علی(عليه السلام)و شرح حال ائمه اطهار و خصوصا جریان نهضت کربلا را به تفصیل بیان می کند به نقل از کتب شیعی و سنی و با آوردن اشعار عربی بسیار از شیخ کاظم ازری و هاشم کعبی و دمستانی و سید مهدی سید داود، شیخ حسن بن ملا محمد مقیم، شیخ صالح الكواز، شیخ هاشم بحرانی، سید حیدر؛ خط: نسخ، بی کا، تا: قرن ۱۳ و ۱۴؛ افتادگی: آغاز؛ جلد: تیماج قهوه ای، ۴۰۰گ، ۱۵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مخ: ۱-۱۹]</w:t>
      </w:r>
    </w:p>
    <w:p>
      <w:pPr>
        <w:pStyle w:val="BookText"/>
      </w:pPr>
      <w:r>
        <w:rPr>
          <w:rFonts w:ascii="IRNazanin" w:hAnsi="IRNazanin" w:eastAsia="IRNazanin" w:cs="IRNazanin"/>
          <w:lang w:bidi="fa-IR"/>
          <w:color w:val="111111"/>
          <w:sz w:val="28"/>
          <w:szCs w:val="28"/>
          <w:rtl/>
        </w:rPr>
        <w:t xml:space="preserve">٢. کاشان؛ مدرسه سلطانی؛ شماره نسخه:۳۱۹</w:t>
      </w:r>
    </w:p>
    <w:p>
      <w:pPr>
        <w:pStyle w:val="BookText"/>
      </w:pPr>
      <w:r>
        <w:rPr>
          <w:rFonts w:ascii="IRNazanin" w:hAnsi="IRNazanin" w:eastAsia="IRNazanin" w:cs="IRNazanin"/>
          <w:lang w:bidi="fa-IR"/>
          <w:color w:val="111111"/>
          <w:sz w:val="28"/>
          <w:szCs w:val="28"/>
          <w:rtl/>
        </w:rPr>
        <w:t xml:space="preserve">آغاز: بود که بدون شهادت به آن مرتبه نمی رسد و کوشش فرمود تا خود را به آن مرتبه عظمی رسانید و در اخبار است که آن ملاعين که در کربلا حاضر شده نبود مگر بلایی گرفتار نشود؛ انجام: و عمر در وقت مردن از روی حسد می گفت که نبوت و امامت در یک خانه نمی توانم دید هر چند که على مستحق امر امامت است و همچنین کتابی متوسط در ذکر تاریخ و زندگی معصومین چهارده گانه شاید هم امامان دوازده گانه) که بدون فصل بندی خاصی تنظیم شده و در میان زندگی امام صادق(عليه السلام)به تفصیل به رد صوفيه پرداخته است؛ خط: نستعلیق، کاتب = مؤلف، تا: 11 محرم ۱۲۶۴ق؛ افتادگی: آغاز و انجام؛ محشی؛ جلد: مقوای سفید، ۷۵گ، ۲۸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سم [ف مخ]</w:t>
      </w:r>
    </w:p>
    <w:p>
      <w:pPr>
        <w:pStyle w:val="BookText"/>
      </w:pPr>
      <w:r>
        <w:rPr>
          <w:rFonts w:ascii="IRNazanin" w:hAnsi="IRNazanin" w:eastAsia="IRNazanin" w:cs="IRNazanin"/>
          <w:lang w:bidi="fa-IR"/>
          <w:color w:val="111111"/>
          <w:sz w:val="28"/>
          <w:szCs w:val="28"/>
          <w:rtl/>
        </w:rPr>
        <w:t xml:space="preserve">٣. دامغان؛ قمر بنی هاشم؛ شماره نسخه: ۲۱۱</w:t>
      </w:r>
    </w:p>
    <w:p>
      <w:pPr>
        <w:pStyle w:val="BookText"/>
      </w:pPr>
      <w:r>
        <w:rPr>
          <w:rFonts w:ascii="IRNazanin" w:hAnsi="IRNazanin" w:eastAsia="IRNazanin" w:cs="IRNazanin"/>
          <w:lang w:bidi="fa-IR"/>
          <w:color w:val="111111"/>
          <w:sz w:val="28"/>
          <w:szCs w:val="28"/>
          <w:rtl/>
        </w:rPr>
        <w:t xml:space="preserve">آغاز: مدینه رسیده و اهل مدینه عزم کرده اند که از مدينه بیرون روند شاه مردان گفت؛ انجام: کسی گوید این جادویی است قائم عليه السلام گوید که ای آب این ملعون را. چند «فصل» در بیان فضائل و مناقب و معجزات و مواليد و وفيات ائمه(عليهم السلام)با استشهاد به آیات و روایات و کتب اخبار؛ خط: نستعلیق، بی کا، تا: قرن ۱۳؛ افتادگی: آغاز و انجام؛ جلد: تیماج</w:t>
      </w:r>
    </w:p>
    <w:p>
      <w:pPr>
        <w:pStyle w:val="BookText"/>
      </w:pPr>
      <w:r>
        <w:rPr>
          <w:rFonts w:ascii="IRNazanin" w:hAnsi="IRNazanin" w:eastAsia="IRNazanin" w:cs="IRNazanin"/>
          <w:lang w:bidi="fa-IR"/>
          <w:color w:val="111111"/>
          <w:sz w:val="28"/>
          <w:szCs w:val="28"/>
          <w:rtl/>
        </w:rPr>
        <w:t xml:space="preserve">قهوه ای، ۲۶۲گ، ۱۶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مخ: ۲۸]</w:t>
      </w:r>
    </w:p>
    <w:p>
      <w:pPr>
        <w:pStyle w:val="BookText"/>
      </w:pPr>
      <w:r>
        <w:rPr>
          <w:rFonts w:ascii="IRNazanin" w:hAnsi="IRNazanin" w:eastAsia="IRNazanin" w:cs="IRNazanin"/>
          <w:lang w:bidi="fa-IR"/>
          <w:color w:val="111111"/>
          <w:sz w:val="28"/>
          <w:szCs w:val="28"/>
          <w:rtl/>
        </w:rPr>
        <w:t xml:space="preserve">۴. شیراز؛ شاهچراغ؛ شماره نسخه:۲۴۹۷</w:t>
      </w:r>
    </w:p>
    <w:p>
      <w:pPr>
        <w:pStyle w:val="BookText"/>
      </w:pPr>
      <w:r>
        <w:rPr>
          <w:rFonts w:ascii="IRNazanin" w:hAnsi="IRNazanin" w:eastAsia="IRNazanin" w:cs="IRNazanin"/>
          <w:lang w:bidi="fa-IR"/>
          <w:color w:val="111111"/>
          <w:sz w:val="28"/>
          <w:szCs w:val="28"/>
          <w:rtl/>
        </w:rPr>
        <w:t xml:space="preserve">شامل: مجلس ۴. ذكر شهادت امام حسن(عليه السلام)، مجلس ۵. ذکر شهادت مسلم بن عقیل، مجلس ۶. ذكر شهادت فرزندان مسلم بن عقیل، مجلس ۷. ذکر رسیدن امام حسین (عليه السلام)به کربلا و محاربه نمودن با اعدا، مجلس ۸ ذکر شهادت و محاربه نمودن اصحاب امام حسین (عليه السلام)، مجلس ۹. ذكر شهادت قاسم بن حسن و تتمه اولاد امام حسین(عليه السلام)، مجلس ۱۰. بردن سر مبارک امام حسین(عليه السلام) و سرهای باقی شهدا(عليه السلام) به شام؛ خط: نسخ، بی کا، تا: قرن ۱۳؛ افتادگی: آغاز و انجام؛ ۱۱۷گ،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۳-۱۵]</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مرعشی؛ شماره نسخه:۱۸۶۵</w:t>
      </w:r>
    </w:p>
    <w:p>
      <w:pPr>
        <w:pStyle w:val="BookText"/>
      </w:pPr>
      <w:r>
        <w:rPr>
          <w:rFonts w:ascii="IRNazanin" w:hAnsi="IRNazanin" w:eastAsia="IRNazanin" w:cs="IRNazanin"/>
          <w:lang w:bidi="fa-IR"/>
          <w:color w:val="111111"/>
          <w:sz w:val="28"/>
          <w:szCs w:val="28"/>
          <w:rtl/>
        </w:rPr>
        <w:t xml:space="preserve">آغاز: باب پنجم در بیان تاریخ ولادت و شهادت حضرت سید شهدا و خامس آل عبا و پیشوای اهل صبر و ابتلا، انجام: و باطل را سرنگون سازیم و دین حق برای من خالص باشد، به این جا ختم کردم این عجاله كثير الفائده را ... قطعه ای از کتاب تاریخی است مشتمل بر چند «باب» از احوالات خاندان حضرت پیامبر (صلی الله علیه وآله وسلم)و گویا ترجمه یکی از کتاب های عربی است و گاهی با عبارت «مترجم گوید» مطالبی بر اصل افزوده است. این ابواب موجود است: ۱. تاریخ امام حسین(عليه السلام)، ۶. تاریخ حضرت سجاد (عليه السلام)، ۷. تاریخ حضرت امام باقر (عليه السلام)، ۸ تاریخ حضرت صادق(عليه السلام)، ۹. تاريخ حضرت کاظم (عليه السلام)، ۱۰. تاریخ حضرت رضا (عليه السلام)، ۱۱. تاریخ حضرت جواد(عليه السلام)، ۱۲. تاریخ حضرت هادی(عليه السلام)، ۱۳. تاریخ حضرت عسکری (عليه السلام)، ۱۴. تاریخ حضرت حجت(عليه السلام)؛ خط: نسخ زیبا، بی کا، بی تا؛ مجدول، دارای سرلوح رنگین بسیار زیبا؛ کاغذ: ترمه، جلد: تیماج مشکی ضربی زرین، ۲۸۲گ، ۱۹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۲۸/۵ سم [ف: ۵-۲۴۷]</w:t>
      </w:r>
    </w:p>
    <w:p>
      <w:pPr>
        <w:pStyle w:val="BookText"/>
      </w:pPr>
      <w:r>
        <w:rPr>
          <w:rFonts w:ascii="IRNazanin" w:hAnsi="IRNazanin" w:eastAsia="IRNazanin" w:cs="IRNazanin"/>
          <w:lang w:bidi="fa-IR"/>
          <w:color w:val="111111"/>
          <w:sz w:val="28"/>
          <w:szCs w:val="28"/>
          <w:rtl/>
        </w:rPr>
        <w:t xml:space="preserve">۶. قم؛ معصومیه؛ شماره نسخه:۲</w:t>
      </w:r>
    </w:p>
    <w:p>
      <w:pPr>
        <w:pStyle w:val="BookText"/>
      </w:pPr>
      <w:r>
        <w:rPr>
          <w:rFonts w:ascii="IRNazanin" w:hAnsi="IRNazanin" w:eastAsia="IRNazanin" w:cs="IRNazanin"/>
          <w:lang w:bidi="fa-IR"/>
          <w:color w:val="111111"/>
          <w:sz w:val="28"/>
          <w:szCs w:val="28"/>
          <w:rtl/>
        </w:rPr>
        <w:t xml:space="preserve">در اوایل کتاب درباره زند، زنادقه، قوم موسی، معنای نصاری و سایر ادیان و مذاهب بحث کرده است و سپس در زندگانی پیامبر اکرم، برخی از عناوین بدین قرار است: فصل ۲۸. بیان عدد اولاد و ازواج آن حضرت است، آن حضرت را هشت اولاد: چهار پسر قاسم و ابراهیم و طیب و طاهر و ایشان در حال حیات آن حضرت وفات کردند ...، فصل ۲۹. بیان اختلاف امت بعد از آن حضرت، امت هفتاد و دو فرقه شدند. اوراق کتاب کلا به هم ریخته و به طور اجمال در تاریخ معصومین است، در قرن اخیر نگارش یافته است، از خصوصیات کتاب: قاصر گوید، قاصر گوید باشد. پس از کتاب چند برگ افسانه است که احتمالا از داستان امیر حمزه صاحبقران باشد؛ خط: نسخ، بی کا، بی تا، جلد: تیماج مشکی، ۲۱۱گ، ۲۲ سطر، اندازه: ۳۷/۵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 سم [ف: ۱-۱۶]</w:t>
      </w:r>
    </w:p>
    <w:p>
      <w:pPr>
        <w:pStyle w:val="BookText"/>
      </w:pPr>
      <w:r>
        <w:rPr>
          <w:rFonts w:ascii="IRNazanin" w:hAnsi="IRNazanin" w:eastAsia="IRNazanin" w:cs="IRNazanin"/>
          <w:lang w:bidi="fa-IR"/>
          <w:color w:val="111111"/>
          <w:sz w:val="28"/>
          <w:szCs w:val="28"/>
          <w:rtl/>
        </w:rPr>
        <w:t xml:space="preserve">۷. شیراز؛ بنیاد فارس شناسی؛ شماره نسخه:۵۵</w:t>
      </w:r>
    </w:p>
    <w:p>
      <w:pPr>
        <w:pStyle w:val="BookText"/>
      </w:pPr>
      <w:r>
        <w:rPr>
          <w:rFonts w:ascii="IRNazanin" w:hAnsi="IRNazanin" w:eastAsia="IRNazanin" w:cs="IRNazanin"/>
          <w:lang w:bidi="fa-IR"/>
          <w:color w:val="111111"/>
          <w:sz w:val="28"/>
          <w:szCs w:val="28"/>
          <w:rtl/>
        </w:rPr>
        <w:t xml:space="preserve">عنوان اصلی کتاب «مجلس» است و هر مجلس دارای چند مجمع» می باشد: مجلس</w:t>
      </w:r>
    </w:p>
    <w:p>
      <w:pPr>
        <w:pStyle w:val="BookText"/>
      </w:pPr>
      <w:r>
        <w:rPr>
          <w:rFonts w:ascii="IRNazanin" w:hAnsi="IRNazanin" w:eastAsia="IRNazanin" w:cs="IRNazanin"/>
          <w:lang w:bidi="fa-IR"/>
          <w:color w:val="111111"/>
          <w:sz w:val="28"/>
          <w:szCs w:val="28"/>
          <w:rtl/>
        </w:rPr>
        <w:t xml:space="preserve">۳. بیان شمه ای از احوال على بن ابی طالب(عليه السلام)، مجلس ۴. بيان مختصری از اخبار ولادت و احادیث شهادت تلخ کام ... امام حسن مجتبی(عليه السلام)، مجلس ۵. ولادت سید الشهداء(عليه السلام)؛ خط: نسخ، بی کا، بی تاب افتادگی: آغاز و انجام؛ روی برگ دوم: «للمرحوم سید مهدی النجفی طاب ثراه: هذا مصاب الذى جبرئيل خادمه *** ناغاه في المهد اذ ينطت تمائمه / هذا مصاب الشهيد المستظام و من *** فوق السموات قد قامت ماتمه / سبط النبي ابو الاطهار والده *** الكرار مولی اقام الدین صارمه / صفوا الزکی حفى قلب البتول له *** اقسومة ليس فيها من يقاسمه /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bookmarkStart w:id="574" w:name="pg20363_209897"/>
    <w:bookmarkEnd w:id="574"/>
    <w:p>
      <w:pPr>
        <w:pStyle w:val="BookText"/>
      </w:pPr>
      <w:r>
        <w:rPr>
          <w:rFonts w:ascii="IRNazanin" w:hAnsi="IRNazanin" w:eastAsia="IRNazanin" w:cs="IRNazanin"/>
          <w:lang w:bidi="fa-IR"/>
          <w:color w:val="111111"/>
          <w:sz w:val="28"/>
          <w:szCs w:val="28"/>
          <w:rtl/>
        </w:rPr>
        <w:t xml:space="preserve">لهفي على الآل صرعى في الطفوف و ما *** غير العليل بهذا اليوم سالمه / حزن طويل أبی أن ينقضي ابدا *** حتى يقوم بامر الله قائمه. یادگار محمد تقی نهاوندی در دارالسلطنه اصفهان قلمی شد بتاريخ سنه ۱۲۴۵»، پشت برگ آخر: «زاهد نکند گنه که قهاری تو *** ما غرق گناهیم که غفاری تو/ زاهد قهارت خواند ما غفارت *** ایا به کدام نام خوش داری تو / یک چشم برای فرقت یار گریست *** چشم دگرم کرد حسودی نگریست / چون روز وصال شد قرارش دادم *** گفتم نگریستی نباید نگریست / زینب زار کجا کوچه و بازار کجا *** سینه زار کجا خرف دل آزار کجا / عابد زار کجا دیده خونبار کجا *** ال اطهار کجا مجلس اغیار کجا / روی گلنار کجا سیلی کفار کجا *** دل افکار کجا جور ستمکار کجا»؛ جلد: تیماج قهوه ای با ترنج و سر ترنج، ۱۷۴ گ، ۱۷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۷۳]</w:t>
      </w:r>
    </w:p>
    <w:p>
      <w:pPr>
        <w:pStyle w:val="BookText"/>
      </w:pPr>
      <w:r>
        <w:rPr>
          <w:rFonts w:ascii="IRNazanin" w:hAnsi="IRNazanin" w:eastAsia="IRNazanin" w:cs="IRNazanin"/>
          <w:lang w:bidi="fa-IR"/>
          <w:color w:val="111111"/>
          <w:sz w:val="28"/>
          <w:szCs w:val="28"/>
          <w:rtl/>
        </w:rPr>
        <w:t xml:space="preserve">۸. قزوین؛ امام صادق؛ شماره نسخه:۲۲۶</w:t>
      </w:r>
    </w:p>
    <w:p>
      <w:pPr>
        <w:pStyle w:val="BookText"/>
      </w:pPr>
      <w:r>
        <w:rPr>
          <w:rFonts w:ascii="IRNazanin" w:hAnsi="IRNazanin" w:eastAsia="IRNazanin" w:cs="IRNazanin"/>
          <w:lang w:bidi="fa-IR"/>
          <w:color w:val="111111"/>
          <w:sz w:val="28"/>
          <w:szCs w:val="28"/>
          <w:rtl/>
        </w:rPr>
        <w:t xml:space="preserve">آغاز: باب پنجم در بیان تاریخ ولادت و شهادت حضرت سیدالشهداء وخامس آل عبا و امام سعداء کتابی در شرح تاریخ معصومین(عليهم السلام)که ظاهرا در ۱۴ باب تنظیم شده است؛ خط: نستعلیق، بی کا، بی تا؛ افتادگی: آغاز (چهار باب) و انجام؛ جلد: تیماج قهوه ای، ۱۵۰گ، ۱۷ سطر [ف: ۱-۴۸]</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یزد؛ وزیری؛ شماره نسخه: ۳۰۹۱</w:t>
      </w:r>
    </w:p>
    <w:p>
      <w:pPr>
        <w:pStyle w:val="BookText"/>
      </w:pPr>
      <w:r>
        <w:rPr>
          <w:rFonts w:ascii="IRNazanin" w:hAnsi="IRNazanin" w:eastAsia="IRNazanin" w:cs="IRNazanin"/>
          <w:lang w:bidi="fa-IR"/>
          <w:color w:val="111111"/>
          <w:sz w:val="28"/>
          <w:szCs w:val="28"/>
          <w:rtl/>
        </w:rPr>
        <w:t xml:space="preserve">آغاز: این چه نوراست حق تعالی وحی کرد؛ انجام: ای مهدی آل رسول ما پیش از کتابی است نظیر جلاء العيون مجلسی و بیشتر از جلاء العيون نقل کرده؛ خط: نسخ، بی کا، بی تاب افتادگی: آغاز و انجام؛ اهدایی: مؤذن؛ کاغذ: اصفهانی، جلد: مقوایی با تیماج قرمز، ۳۱۸ گ، ۲۱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۵-۱۵۲۹]</w:t>
      </w:r>
    </w:p>
    <w:p>
      <w:pPr>
        <w:pStyle w:val="BookText"/>
      </w:pPr>
      <w:r>
        <w:rPr>
          <w:rFonts w:ascii="IRNazanin" w:hAnsi="IRNazanin" w:eastAsia="IRNazanin" w:cs="IRNazanin"/>
          <w:lang w:bidi="fa-IR"/>
          <w:color w:val="111111"/>
          <w:sz w:val="28"/>
          <w:szCs w:val="28"/>
          <w:rtl/>
        </w:rPr>
        <w:t xml:space="preserve">۱۰. مراغه؛ عمومی؛ شماره نسخه:۱۰۲</w:t>
      </w:r>
    </w:p>
    <w:p>
      <w:pPr>
        <w:pStyle w:val="BookText"/>
      </w:pPr>
      <w:r>
        <w:rPr>
          <w:rFonts w:ascii="IRNazanin" w:hAnsi="IRNazanin" w:eastAsia="IRNazanin" w:cs="IRNazanin"/>
          <w:lang w:bidi="fa-IR"/>
          <w:color w:val="111111"/>
          <w:sz w:val="28"/>
          <w:szCs w:val="28"/>
          <w:rtl/>
        </w:rPr>
        <w:t xml:space="preserve">آغاز: قلبی و نفسي بحب المرتضی بريئا *** من المعائب و الامراض و العلل. یعنی دل و جانم به محبت مرتضی بری شده اند از عیبها و مرضها و علتها یعنی به برکت محبت حضرت مرتضی که باب مدينة العلم است؛ انجام: ولادت و وفات و مدت عمر و بعضی از معجزات حضرت مهدی و غایب شدن و علامات ظهور و بعضی از وقایع زمان رسالهای متوسط در تاریخ و سرگذشت ائمه معصومین که در آن به مناقب و فضائل امامان شیعه پرداخته شده؛ خط: نستعلیق، بی کا، بی تاب افتادگی: آغاز و انجام؛ محشی؛ جلد: تیماج قهوه ای، ۱۲۸گ، ۱۷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۱۹]</w:t>
      </w:r>
    </w:p>
    <w:p>
      <w:pPr>
        <w:pStyle w:val="Heading3"/>
      </w:pPr>
      <w:bookmarkStart w:id="2639" w:name="_Toc1899"/>
      <w:r>
        <w:t>•تاریخ معصومین(عليهم السلام) (جدول) / تاریخ معصومین / عربی</w:t>
      </w:r>
      <w:bookmarkEnd w:id="2639"/>
    </w:p>
    <w:p>
      <w:pPr>
        <w:pStyle w:val="BookText"/>
      </w:pPr>
      <w:r>
        <w:rPr>
          <w:rFonts w:ascii="Times New Roman" w:hAnsi="Times New Roman" w:eastAsia="Times New Roman" w:cs="Times New Roman"/>
          <w:lang w:val="en-US" w:bidi="en-US"/>
          <w:color w:val="111111"/>
          <w:sz w:val="28"/>
          <w:szCs w:val="28"/>
          <w:rtl/>
        </w:rPr>
        <w:t xml:space="preserve">tārīx-e ma‘sūmīn (jadval)</w:t>
      </w:r>
    </w:p>
    <w:p>
      <w:pPr>
        <w:pStyle w:val="BookText"/>
      </w:pPr>
      <w:r>
        <w:rPr>
          <w:rFonts w:ascii="IRNazanin" w:hAnsi="IRNazanin" w:eastAsia="IRNazanin" w:cs="IRNazanin"/>
          <w:lang w:bidi="fa-IR"/>
          <w:color w:val="111111"/>
          <w:sz w:val="28"/>
          <w:szCs w:val="28"/>
          <w:rtl/>
        </w:rPr>
        <w:t xml:space="preserve">تهران؛ مجلس؛ شماره نسخه: ۱۱۵۵۲/۳</w:t>
      </w:r>
    </w:p>
    <w:p>
      <w:pPr>
        <w:pStyle w:val="BookText"/>
      </w:pPr>
      <w:r>
        <w:rPr>
          <w:rFonts w:ascii="IRNazanin" w:hAnsi="IRNazanin" w:eastAsia="IRNazanin" w:cs="IRNazanin"/>
          <w:lang w:bidi="fa-IR"/>
          <w:color w:val="111111"/>
          <w:sz w:val="28"/>
          <w:szCs w:val="28"/>
          <w:rtl/>
        </w:rPr>
        <w:t xml:space="preserve">خط: نستعلیق، بی کا، تا: قرن ۱۳ [مختصر ف: ۲۲۴]</w:t>
      </w:r>
    </w:p>
    <w:p>
      <w:pPr>
        <w:pStyle w:val="BookText"/>
      </w:pPr>
      <w:r>
        <w:rPr>
          <w:rFonts w:ascii="IRNazanin" w:hAnsi="IRNazanin" w:eastAsia="IRNazanin" w:cs="IRNazanin"/>
          <w:lang w:bidi="fa-IR"/>
          <w:color w:val="111111"/>
          <w:sz w:val="28"/>
          <w:szCs w:val="28"/>
          <w:rtl/>
        </w:rPr>
        <w:t xml:space="preserve">و تاریخ معمول و غیر معمول ایران / تقویم / فارسی</w:t>
      </w:r>
    </w:p>
    <w:p>
      <w:pPr>
        <w:pStyle w:val="BookText"/>
      </w:pPr>
      <w:r>
        <w:rPr>
          <w:rFonts w:ascii="IRNazanin" w:hAnsi="IRNazanin" w:eastAsia="IRNazanin" w:cs="IRNazanin"/>
          <w:lang w:bidi="fa-IR"/>
          <w:color w:val="111111"/>
          <w:sz w:val="28"/>
          <w:szCs w:val="28"/>
          <w:rtl/>
        </w:rPr>
        <w:t xml:space="preserve">منظور تواریخی است که در ایران بدان عمل می کنند که شش تاریخ است.</w:t>
      </w:r>
    </w:p>
    <w:p>
      <w:pPr>
        <w:pStyle w:val="BookText"/>
      </w:pPr>
      <w:r>
        <w:rPr>
          <w:rFonts w:ascii="IRNazanin" w:hAnsi="IRNazanin" w:eastAsia="IRNazanin" w:cs="IRNazanin"/>
          <w:lang w:bidi="fa-IR"/>
          <w:color w:val="111111"/>
          <w:sz w:val="28"/>
          <w:szCs w:val="28"/>
          <w:rtl/>
        </w:rPr>
        <w:t xml:space="preserve">تهران؛ مجلس؛ شماره نسخه: ۱۳۷۳/۱۴ ط</w:t>
      </w:r>
    </w:p>
    <w:p>
      <w:pPr>
        <w:pStyle w:val="BookText"/>
      </w:pPr>
      <w:r>
        <w:rPr>
          <w:rFonts w:ascii="IRNazanin" w:hAnsi="IRNazanin" w:eastAsia="IRNazanin" w:cs="IRNazanin"/>
          <w:lang w:bidi="fa-IR"/>
          <w:color w:val="111111"/>
          <w:sz w:val="28"/>
          <w:szCs w:val="28"/>
          <w:rtl/>
        </w:rPr>
        <w:t xml:space="preserve">خط: نستعلیق، بی کا، تا: با تاریخ ۱۱۷۰ق؛ ۲۰ص [ف: ۲۴/۳ -۹۷] (۱۲۵-۱۴۴)</w:t>
      </w:r>
    </w:p>
    <w:p>
      <w:pPr>
        <w:pStyle w:val="BookText"/>
      </w:pPr>
      <w:r>
        <w:rPr>
          <w:rFonts w:ascii="IRNazanin" w:hAnsi="IRNazanin" w:eastAsia="IRNazanin" w:cs="IRNazanin"/>
          <w:lang w:bidi="fa-IR"/>
          <w:color w:val="111111"/>
          <w:sz w:val="28"/>
          <w:szCs w:val="28"/>
          <w:rtl/>
        </w:rPr>
        <w:t xml:space="preserve">← تاریخ معینی ← مواهب الهی</w:t>
      </w:r>
    </w:p>
    <w:p>
      <w:pPr>
        <w:pStyle w:val="BookText"/>
      </w:pPr>
      <w:r>
        <w:rPr>
          <w:rFonts w:ascii="IRNazanin" w:hAnsi="IRNazanin" w:eastAsia="IRNazanin" w:cs="IRNazanin"/>
          <w:lang w:bidi="fa-IR"/>
          <w:color w:val="111111"/>
          <w:sz w:val="28"/>
          <w:szCs w:val="28"/>
          <w:rtl/>
        </w:rPr>
        <w:t xml:space="preserve">←تاریخ مغول ← شجره ترک</w:t>
      </w:r>
    </w:p>
    <w:p>
      <w:pPr>
        <w:pStyle w:val="BookText"/>
      </w:pPr>
      <w:r>
        <w:rPr>
          <w:rFonts w:ascii="IRNazanin" w:hAnsi="IRNazanin" w:eastAsia="IRNazanin" w:cs="IRNazanin"/>
          <w:lang w:bidi="fa-IR"/>
          <w:color w:val="111111"/>
          <w:sz w:val="28"/>
          <w:szCs w:val="28"/>
          <w:rtl/>
        </w:rPr>
        <w:t xml:space="preserve">← تاریخ مغول ← شاه نامه چنگیزی</w:t>
      </w:r>
    </w:p>
    <w:p>
      <w:pPr>
        <w:pStyle w:val="Heading3"/>
      </w:pPr>
      <w:bookmarkStart w:id="2640" w:name="_Toc1900"/>
      <w:r>
        <w:t>•تاریخ مغول = ابتداء تاریخ مغول / تاریخ ایران / فارسی</w:t>
      </w:r>
      <w:bookmarkEnd w:id="2640"/>
    </w:p>
    <w:p>
      <w:pPr>
        <w:pStyle w:val="BookText"/>
      </w:pPr>
      <w:r>
        <w:rPr>
          <w:rFonts w:ascii="Times New Roman" w:hAnsi="Times New Roman" w:eastAsia="Times New Roman" w:cs="Times New Roman"/>
          <w:lang w:val="en-US" w:bidi="en-US"/>
          <w:color w:val="111111"/>
          <w:sz w:val="28"/>
          <w:szCs w:val="28"/>
          <w:rtl/>
        </w:rPr>
        <w:t xml:space="preserve">tārīx-e moqol = ebtedā’-e tārīx-e moqol</w:t>
      </w:r>
    </w:p>
    <w:p>
      <w:pPr>
        <w:pStyle w:val="BookText"/>
      </w:pPr>
      <w:r>
        <w:rPr>
          <w:rFonts w:ascii="IRNazanin" w:hAnsi="IRNazanin" w:eastAsia="IRNazanin" w:cs="IRNazanin"/>
          <w:lang w:bidi="fa-IR"/>
          <w:color w:val="111111"/>
          <w:sz w:val="28"/>
          <w:szCs w:val="28"/>
          <w:rtl/>
        </w:rPr>
        <w:t xml:space="preserve">قطب الدین شیرازی، محمود بن مسعود، ۶۳۴-۷۱۰ قمری</w:t>
      </w:r>
    </w:p>
    <w:p>
      <w:pPr>
        <w:pStyle w:val="BookText"/>
      </w:pPr>
      <w:r>
        <w:rPr>
          <w:rFonts w:ascii="Times New Roman" w:hAnsi="Times New Roman" w:eastAsia="Times New Roman" w:cs="Times New Roman"/>
          <w:lang w:val="en-US" w:bidi="en-US"/>
          <w:color w:val="111111"/>
          <w:sz w:val="28"/>
          <w:szCs w:val="28"/>
          <w:rtl/>
        </w:rPr>
        <w:t xml:space="preserve">qotb-od-dīn šīrāzī, mahmūd ebn-e mas‘ūd (1237-1311)</w:t>
      </w:r>
    </w:p>
    <w:p>
      <w:pPr>
        <w:pStyle w:val="BookText"/>
      </w:pPr>
      <w:r>
        <w:rPr>
          <w:rFonts w:ascii="IRNazanin" w:hAnsi="IRNazanin" w:eastAsia="IRNazanin" w:cs="IRNazanin"/>
          <w:lang w:bidi="fa-IR"/>
          <w:color w:val="111111"/>
          <w:sz w:val="28"/>
          <w:szCs w:val="28"/>
          <w:rtl/>
        </w:rPr>
        <w:t xml:space="preserve">تاریخ مختصری است از فرمانروایی مغولان، از چنگیز خان تا جلوس ارغون شاه. نام این کتاب، در شمار تأليفات قطب شیرازی» یاد نشده و نشان آشکاری نیز در برگ های پراکنده این مجموعه بیاضی، به دست نیامد؛ ليكن چون این نسخه به خط آن دانشمند کتابت شده او را لااقل به عنوان «راوی» به جای مؤلف، پیشنهاد می کنیم؛ اگر چه شواهد و دلايل خارجی فراوان، انتساب این کتاب را به ایشان تأیید می کند. (سید محمود مرعشی)</w:t>
      </w:r>
    </w:p>
    <w:p>
      <w:pPr>
        <w:pStyle w:val="BookText"/>
      </w:pPr>
      <w:r>
        <w:rPr>
          <w:rFonts w:ascii="IRNazanin" w:hAnsi="IRNazanin" w:eastAsia="IRNazanin" w:cs="IRNazanin"/>
          <w:lang w:bidi="fa-IR"/>
          <w:color w:val="111111"/>
          <w:sz w:val="28"/>
          <w:szCs w:val="28"/>
          <w:rtl/>
        </w:rPr>
        <w:t xml:space="preserve">آغاز: ابتدا دولت مغول و خروج چنگیز خان بن پیسوكان بن قبلا بن سنقو بهادر در شهور سنة تسع و تسعين و خمسمائة هجری. انجام: روز آدینه بیست و هفتم جمادی الاولی پادشاه جهان ارغون بمبار کی به تخت نشست بطالع قوس که بر جهانیان مبارک و میمون باد و دولت او در تزاید و عظمت و پادشاهی در تضاعف و ... عترته الطاهرین.</w:t>
      </w:r>
    </w:p>
    <w:p>
      <w:pPr>
        <w:pStyle w:val="BookText"/>
      </w:pPr>
      <w:r>
        <w:rPr>
          <w:rFonts w:ascii="IRNazanin" w:hAnsi="IRNazanin" w:eastAsia="IRNazanin" w:cs="IRNazanin"/>
          <w:lang w:bidi="fa-IR"/>
          <w:color w:val="111111"/>
          <w:sz w:val="28"/>
          <w:szCs w:val="28"/>
          <w:rtl/>
        </w:rPr>
        <w:t xml:space="preserve">[دنا ۷۴۱/۲ ]</w:t>
      </w:r>
    </w:p>
    <w:p>
      <w:pPr>
        <w:pStyle w:val="BookText"/>
      </w:pPr>
      <w:r>
        <w:rPr>
          <w:rFonts w:ascii="IRNazanin" w:hAnsi="IRNazanin" w:eastAsia="IRNazanin" w:cs="IRNazanin"/>
          <w:lang w:bidi="fa-IR"/>
          <w:color w:val="111111"/>
          <w:sz w:val="28"/>
          <w:szCs w:val="28"/>
          <w:rtl/>
        </w:rPr>
        <w:t xml:space="preserve">۱. قم؛ مرعشی؛ شماره نسخه: ۱۲۸۶۸/۲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کاتب = مؤلف، تا: ۶۸۵ق؛ مصحح، مجدول؛ کاغذ: شرقی، ۱۸گ (۲۲-۳۹پ)، ۲۶ سطر، اندازه: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سم [ف: ۳۲-۶۳۸]</w:t>
      </w:r>
    </w:p>
    <w:p>
      <w:pPr>
        <w:pStyle w:val="BookText"/>
      </w:pPr>
      <w:r>
        <w:rPr>
          <w:rFonts w:ascii="IRNazanin" w:hAnsi="IRNazanin" w:eastAsia="IRNazanin" w:cs="IRNazanin"/>
          <w:lang w:bidi="fa-IR"/>
          <w:color w:val="111111"/>
          <w:sz w:val="28"/>
          <w:szCs w:val="28"/>
          <w:rtl/>
        </w:rPr>
        <w:t xml:space="preserve">۲. تهران؛ مجلس؛ شماره نسخه: ۱۰۱۱۷/۲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فهرست بدون نام مؤلف؛ خط: نستعلیق، بی کا، بی تا، ۳۴ص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bookmarkStart w:id="575" w:name="pg20363_209898"/>
    <w:bookmarkEnd w:id="575"/>
    <w:p>
      <w:pPr>
        <w:pStyle w:val="BookText"/>
      </w:pPr>
      <w:r>
        <w:rPr>
          <w:rFonts w:ascii="IRNazanin" w:hAnsi="IRNazanin" w:eastAsia="IRNazanin" w:cs="IRNazanin"/>
          <w:lang w:bidi="fa-IR"/>
          <w:color w:val="111111"/>
          <w:sz w:val="28"/>
          <w:szCs w:val="28"/>
          <w:rtl/>
        </w:rPr>
        <w:t xml:space="preserve">( ۶۸-۳۵ )، ۱۶ سطر، اندازه: ۱۲/۵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سم [ف: ۳۲-۱۴۳]</w:t>
      </w:r>
    </w:p>
    <w:p>
      <w:pPr>
        <w:pStyle w:val="Heading3"/>
      </w:pPr>
      <w:bookmarkStart w:id="2641" w:name="_Toc1901"/>
      <w:r>
        <w:t>• تاریخ مغول / تاریخ ایران / فارسی</w:t>
      </w:r>
      <w:bookmarkEnd w:id="2641"/>
    </w:p>
    <w:p>
      <w:pPr>
        <w:pStyle w:val="BookText"/>
      </w:pPr>
      <w:r>
        <w:rPr>
          <w:rFonts w:ascii="Times New Roman" w:hAnsi="Times New Roman" w:eastAsia="Times New Roman" w:cs="Times New Roman"/>
          <w:lang w:val="en-US" w:bidi="en-US"/>
          <w:color w:val="111111"/>
          <w:sz w:val="28"/>
          <w:szCs w:val="28"/>
          <w:rtl/>
        </w:rPr>
        <w:t xml:space="preserve">tārīx-e moqol</w:t>
      </w:r>
    </w:p>
    <w:p>
      <w:pPr>
        <w:pStyle w:val="BookText"/>
      </w:pPr>
      <w:r>
        <w:rPr>
          <w:rFonts w:ascii="IRNazanin" w:hAnsi="IRNazanin" w:eastAsia="IRNazanin" w:cs="IRNazanin"/>
          <w:lang w:bidi="fa-IR"/>
          <w:color w:val="111111"/>
          <w:sz w:val="28"/>
          <w:szCs w:val="28"/>
          <w:rtl/>
        </w:rPr>
        <w:t xml:space="preserve">شیرازی، محمد حسین بن فخر الدین، ق ۱۴ قمری</w:t>
      </w:r>
    </w:p>
    <w:p>
      <w:pPr>
        <w:pStyle w:val="BookText"/>
      </w:pPr>
      <w:r>
        <w:rPr>
          <w:rFonts w:ascii="Times New Roman" w:hAnsi="Times New Roman" w:eastAsia="Times New Roman" w:cs="Times New Roman"/>
          <w:lang w:val="en-US" w:bidi="en-US"/>
          <w:color w:val="111111"/>
          <w:sz w:val="28"/>
          <w:szCs w:val="28"/>
          <w:rtl/>
        </w:rPr>
        <w:t xml:space="preserve">šīrāzī, mohammad hoseyn ebn-e faxr-od-dīn (-20c)</w:t>
      </w:r>
    </w:p>
    <w:p>
      <w:pPr>
        <w:pStyle w:val="BookText"/>
      </w:pPr>
      <w:r>
        <w:rPr>
          <w:rFonts w:ascii="IRNazanin" w:hAnsi="IRNazanin" w:eastAsia="IRNazanin" w:cs="IRNazanin"/>
          <w:lang w:bidi="fa-IR"/>
          <w:color w:val="111111"/>
          <w:sz w:val="28"/>
          <w:szCs w:val="28"/>
          <w:rtl/>
        </w:rPr>
        <w:t xml:space="preserve">تاریخ تأليف: ۱۹ ذیقعده ۱۳۱۷؛ محل تالیف: تهران</w:t>
      </w:r>
    </w:p>
    <w:p>
      <w:pPr>
        <w:pStyle w:val="BookText"/>
      </w:pPr>
      <w:r>
        <w:rPr>
          <w:rFonts w:ascii="IRNazanin" w:hAnsi="IRNazanin" w:eastAsia="IRNazanin" w:cs="IRNazanin"/>
          <w:lang w:bidi="fa-IR"/>
          <w:color w:val="111111"/>
          <w:sz w:val="28"/>
          <w:szCs w:val="28"/>
          <w:rtl/>
        </w:rPr>
        <w:t xml:space="preserve">رساله مختصری است در تاریخ مغول از آغاز پیدایش تا پایان سلطنت میرزا ابابکر بن میرانشاه و بیان طبقه تراکمه قراقوینلو در پایان کتاب.</w:t>
      </w:r>
    </w:p>
    <w:p>
      <w:pPr>
        <w:pStyle w:val="BookText"/>
      </w:pPr>
      <w:r>
        <w:rPr>
          <w:rFonts w:ascii="IRNazanin" w:hAnsi="IRNazanin" w:eastAsia="IRNazanin" w:cs="IRNazanin"/>
          <w:lang w:bidi="fa-IR"/>
          <w:color w:val="111111"/>
          <w:sz w:val="28"/>
          <w:szCs w:val="28"/>
          <w:rtl/>
        </w:rPr>
        <w:t xml:space="preserve">اصفهان، دانشگاه؛ شماره نسخه:۱۰۷</w:t>
      </w:r>
    </w:p>
    <w:p>
      <w:pPr>
        <w:pStyle w:val="BookText"/>
      </w:pPr>
      <w:r>
        <w:rPr>
          <w:rFonts w:ascii="IRNazanin" w:hAnsi="IRNazanin" w:eastAsia="IRNazanin" w:cs="IRNazanin"/>
          <w:lang w:bidi="fa-IR"/>
          <w:color w:val="111111"/>
          <w:sz w:val="28"/>
          <w:szCs w:val="28"/>
          <w:rtl/>
        </w:rPr>
        <w:t xml:space="preserve">آغاز: ترک بن یافث بن نوح ابتدای ملوک ترک و جلوس او دو هزار و سیصد و چهل است بعد از هبوط</w:t>
      </w:r>
    </w:p>
    <w:p>
      <w:pPr>
        <w:pStyle w:val="BookText"/>
      </w:pPr>
      <w:r>
        <w:rPr>
          <w:rFonts w:ascii="IRNazanin" w:hAnsi="IRNazanin" w:eastAsia="IRNazanin" w:cs="IRNazanin"/>
          <w:lang w:bidi="fa-IR"/>
          <w:color w:val="111111"/>
          <w:sz w:val="28"/>
          <w:szCs w:val="28"/>
          <w:rtl/>
        </w:rPr>
        <w:t xml:space="preserve">خط: نستعلیق، کاتب = مؤلف، بی تا؛ مصحح؛ تملك: عبدالحسین سپنتا؛ جلد: مقوایی قرمز عطف تیماج قرمز، ۱۷۴ گ، مختلف السطر،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۱-۸۳]</w:t>
      </w:r>
    </w:p>
    <w:p>
      <w:pPr>
        <w:pStyle w:val="Heading3"/>
      </w:pPr>
      <w:bookmarkStart w:id="2642" w:name="_Toc1902"/>
      <w:r>
        <w:t>•تاریخ مغول / تاریخ ایران / فارسی</w:t>
      </w:r>
      <w:bookmarkEnd w:id="2642"/>
    </w:p>
    <w:p>
      <w:pPr>
        <w:pStyle w:val="BookText"/>
      </w:pPr>
      <w:r>
        <w:rPr>
          <w:rFonts w:ascii="Times New Roman" w:hAnsi="Times New Roman" w:eastAsia="Times New Roman" w:cs="Times New Roman"/>
          <w:lang w:val="en-US" w:bidi="en-US"/>
          <w:color w:val="111111"/>
          <w:sz w:val="28"/>
          <w:szCs w:val="28"/>
          <w:rtl/>
        </w:rPr>
        <w:t xml:space="preserve">tārīx-e moqol</w:t>
      </w:r>
    </w:p>
    <w:p>
      <w:pPr>
        <w:pStyle w:val="BookText"/>
      </w:pPr>
      <w:r>
        <w:rPr>
          <w:rFonts w:ascii="IRNazanin" w:hAnsi="IRNazanin" w:eastAsia="IRNazanin" w:cs="IRNazanin"/>
          <w:lang w:bidi="fa-IR"/>
          <w:color w:val="111111"/>
          <w:sz w:val="28"/>
          <w:szCs w:val="28"/>
          <w:rtl/>
        </w:rPr>
        <w:t xml:space="preserve">با این عنوانها: ذکر توجه چنگیز خان به جانب ترمذ، ذکر توجه تولی خان به جانب خراسان، بیان خرابی بعضی دیگر از ولايات ایران، ذکر واقعه هرات، مراجعت چنگیز خان به جانب توران زمین، انتقال چنگیز خان از جهان گذران، ذکر او ندای قاآن.</w:t>
      </w:r>
    </w:p>
    <w:p>
      <w:pPr>
        <w:pStyle w:val="BookText"/>
      </w:pPr>
      <w:r>
        <w:rPr>
          <w:rFonts w:ascii="IRNazanin" w:hAnsi="IRNazanin" w:eastAsia="IRNazanin" w:cs="IRNazanin"/>
          <w:lang w:bidi="fa-IR"/>
          <w:color w:val="111111"/>
          <w:sz w:val="28"/>
          <w:szCs w:val="28"/>
          <w:rtl/>
        </w:rPr>
        <w:t xml:space="preserve">[دنا ۷۴۲/۲ ؛ فهرستواره منزوی ۹۰۵/۲ ]</w:t>
      </w:r>
    </w:p>
    <w:p>
      <w:pPr>
        <w:pStyle w:val="BookText"/>
      </w:pPr>
      <w:r>
        <w:rPr>
          <w:rFonts w:ascii="IRNazanin" w:hAnsi="IRNazanin" w:eastAsia="IRNazanin" w:cs="IRNazanin"/>
          <w:lang w:bidi="fa-IR"/>
          <w:color w:val="111111"/>
          <w:sz w:val="28"/>
          <w:szCs w:val="28"/>
          <w:rtl/>
        </w:rPr>
        <w:t xml:space="preserve">تهران؛ ملک، شماره نسخه: ۵۶۸۵/۲۰</w:t>
      </w:r>
    </w:p>
    <w:p>
      <w:pPr>
        <w:pStyle w:val="BookText"/>
      </w:pPr>
      <w:r>
        <w:rPr>
          <w:rFonts w:ascii="IRNazanin" w:hAnsi="IRNazanin" w:eastAsia="IRNazanin" w:cs="IRNazanin"/>
          <w:lang w:bidi="fa-IR"/>
          <w:color w:val="111111"/>
          <w:sz w:val="28"/>
          <w:szCs w:val="28"/>
          <w:rtl/>
        </w:rPr>
        <w:t xml:space="preserve">خط: نستعلیق، بی کا، بی تا، کاغذ: ترمه زرد و سفید، ۱۰گ ( ۴۰-۳۱ پ)، ۴۱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۹/۸ سم [ف: ۸-۴۶۰]</w:t>
      </w:r>
    </w:p>
    <w:p>
      <w:pPr>
        <w:pStyle w:val="Heading3"/>
      </w:pPr>
      <w:bookmarkStart w:id="2643" w:name="_Toc1903"/>
      <w:r>
        <w:t>•تاریخ مغولها (مغولستان و ترکستان) / تاریخ ایران / فارسی</w:t>
      </w:r>
      <w:bookmarkEnd w:id="2643"/>
    </w:p>
    <w:p>
      <w:pPr>
        <w:pStyle w:val="BookText"/>
      </w:pPr>
      <w:r>
        <w:rPr>
          <w:rFonts w:ascii="Times New Roman" w:hAnsi="Times New Roman" w:eastAsia="Times New Roman" w:cs="Times New Roman"/>
          <w:lang w:val="en-US" w:bidi="en-US"/>
          <w:color w:val="111111"/>
          <w:sz w:val="28"/>
          <w:szCs w:val="28"/>
          <w:rtl/>
        </w:rPr>
        <w:t xml:space="preserve">tārīx-e moqol-hā (moqolestān va torkestān)</w:t>
      </w:r>
    </w:p>
    <w:p>
      <w:pPr>
        <w:pStyle w:val="BookText"/>
      </w:pPr>
      <w:r>
        <w:rPr>
          <w:rFonts w:ascii="IRNazanin" w:hAnsi="IRNazanin" w:eastAsia="IRNazanin" w:cs="IRNazanin"/>
          <w:lang w:bidi="fa-IR"/>
          <w:color w:val="111111"/>
          <w:sz w:val="28"/>
          <w:szCs w:val="28"/>
          <w:rtl/>
        </w:rPr>
        <w:t xml:space="preserve">قاجار، فریدون بن مسعود، ق۱۴ قمری</w:t>
      </w:r>
    </w:p>
    <w:p>
      <w:pPr>
        <w:pStyle w:val="BookText"/>
      </w:pPr>
      <w:r>
        <w:rPr>
          <w:rFonts w:ascii="Times New Roman" w:hAnsi="Times New Roman" w:eastAsia="Times New Roman" w:cs="Times New Roman"/>
          <w:lang w:val="en-US" w:bidi="en-US"/>
          <w:color w:val="111111"/>
          <w:sz w:val="28"/>
          <w:szCs w:val="28"/>
          <w:rtl/>
        </w:rPr>
        <w:t xml:space="preserve">qājār, fereydūn ebn-e mas‘ūd (-20c)</w:t>
      </w:r>
    </w:p>
    <w:p>
      <w:pPr>
        <w:pStyle w:val="BookText"/>
      </w:pPr>
      <w:r>
        <w:rPr>
          <w:rFonts w:ascii="IRNazanin" w:hAnsi="IRNazanin" w:eastAsia="IRNazanin" w:cs="IRNazanin"/>
          <w:lang w:bidi="fa-IR"/>
          <w:color w:val="111111"/>
          <w:sz w:val="28"/>
          <w:szCs w:val="28"/>
          <w:rtl/>
        </w:rPr>
        <w:t xml:space="preserve">تأليف هانری هورف انگلیسی، ترجمه فریدون میرزا پسر ظل السلطان که به فرمان پدر از انگلیسی به فارسی ترجمه نموده است. [دنا ۷۴۲/۲ ؛ فهرستواره منزوی ۹۰۵/۲ ]</w:t>
      </w:r>
    </w:p>
    <w:p>
      <w:pPr>
        <w:pStyle w:val="BookText"/>
      </w:pPr>
      <w:r>
        <w:rPr>
          <w:rFonts w:ascii="IRNazanin" w:hAnsi="IRNazanin" w:eastAsia="IRNazanin" w:cs="IRNazanin"/>
          <w:lang w:bidi="fa-IR"/>
          <w:color w:val="111111"/>
          <w:sz w:val="28"/>
          <w:szCs w:val="28"/>
          <w:rtl/>
        </w:rPr>
        <w:t xml:space="preserve">اصفهان، صارم الدوله (كتابخانه فرهنگ اصفهان)، شماره نسخه: ۹۶۰</w:t>
      </w:r>
    </w:p>
    <w:p>
      <w:pPr>
        <w:pStyle w:val="BookText"/>
      </w:pPr>
      <w:r>
        <w:rPr>
          <w:rFonts w:ascii="IRNazanin" w:hAnsi="IRNazanin" w:eastAsia="IRNazanin" w:cs="IRNazanin"/>
          <w:lang w:bidi="fa-IR"/>
          <w:color w:val="111111"/>
          <w:sz w:val="28"/>
          <w:szCs w:val="28"/>
          <w:rtl/>
        </w:rPr>
        <w:t xml:space="preserve">آغاز: بسمله، کتاب تاریخ مغولها از قرن نهم الى قرن نوزدهم که هانری هورف انگلیسی به زبان انگزیز بحليله طبع رسانیده، فصل هشتم تفصيل وقايع حالات (وای برد) و کوثيز قزاق و براک خان شرح و درج نموده؛ انجام: و تا زمانیکه محمد علی خان حیات داشت دویست جین مبلغ معاهد را بوی میداد و پس فوت او بسایر حکمرانان خوقند نداده کتاب مزبور تا ص ۲۷۵ پایان می یابد و از ص ۲۷۶ قسمتی از تاریخ خراسان به قلم مترجم نوشته شده و صفحه آخر را مترجم به خط خود امضاء نموده؛ خط: نسخ، كا: حسن خان یاور، تا: رجب ۱۳۲۳ق؛ کاغذ: فرنگی آبی، جلد: مقوایی با روکش مخمل بنفش، ۲۷۵، ۱۱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۸۸]</w:t>
      </w:r>
    </w:p>
    <w:p>
      <w:pPr>
        <w:pStyle w:val="Heading3"/>
      </w:pPr>
      <w:bookmarkStart w:id="2644" w:name="_Toc1904"/>
      <w:r>
        <w:t>•تاریخ مفصل مشروطیت ایران / تاریخ ایران / فارسی</w:t>
      </w:r>
      <w:bookmarkEnd w:id="2644"/>
    </w:p>
    <w:p>
      <w:pPr>
        <w:pStyle w:val="BookText"/>
      </w:pPr>
      <w:r>
        <w:rPr>
          <w:rFonts w:ascii="Times New Roman" w:hAnsi="Times New Roman" w:eastAsia="Times New Roman" w:cs="Times New Roman"/>
          <w:lang w:val="en-US" w:bidi="en-US"/>
          <w:color w:val="111111"/>
          <w:sz w:val="28"/>
          <w:szCs w:val="28"/>
          <w:rtl/>
        </w:rPr>
        <w:t xml:space="preserve">tārīx-e mofassal-e mašrūtīyat-e īrān</w:t>
      </w:r>
    </w:p>
    <w:p>
      <w:pPr>
        <w:pStyle w:val="BookText"/>
      </w:pPr>
      <w:r>
        <w:rPr>
          <w:rFonts w:ascii="IRNazanin" w:hAnsi="IRNazanin" w:eastAsia="IRNazanin" w:cs="IRNazanin"/>
          <w:lang w:bidi="fa-IR"/>
          <w:color w:val="111111"/>
          <w:sz w:val="28"/>
          <w:szCs w:val="28"/>
          <w:rtl/>
        </w:rPr>
        <w:t xml:space="preserve">فرزاد عباس زاده، حسین، ق ۱۴ قمری</w:t>
      </w:r>
    </w:p>
    <w:p>
      <w:pPr>
        <w:pStyle w:val="BookText"/>
      </w:pPr>
      <w:r>
        <w:rPr>
          <w:rFonts w:ascii="Times New Roman" w:hAnsi="Times New Roman" w:eastAsia="Times New Roman" w:cs="Times New Roman"/>
          <w:lang w:val="en-US" w:bidi="en-US"/>
          <w:color w:val="111111"/>
          <w:sz w:val="28"/>
          <w:szCs w:val="28"/>
          <w:rtl/>
        </w:rPr>
        <w:t xml:space="preserve">farzād-e ‘abbās-zāde, hoseyn (-20c)</w:t>
      </w:r>
    </w:p>
    <w:p>
      <w:pPr>
        <w:pStyle w:val="BookText"/>
      </w:pPr>
      <w:r>
        <w:rPr>
          <w:rFonts w:ascii="IRNazanin" w:hAnsi="IRNazanin" w:eastAsia="IRNazanin" w:cs="IRNazanin"/>
          <w:lang w:bidi="fa-IR"/>
          <w:color w:val="111111"/>
          <w:sz w:val="28"/>
          <w:szCs w:val="28"/>
          <w:rtl/>
        </w:rPr>
        <w:t xml:space="preserve">تاریخ تأليف: ۱۳۱۰ شمسی</w:t>
      </w:r>
    </w:p>
    <w:p>
      <w:pPr>
        <w:pStyle w:val="BookText"/>
      </w:pPr>
      <w:r>
        <w:rPr>
          <w:rFonts w:ascii="IRNazanin" w:hAnsi="IRNazanin" w:eastAsia="IRNazanin" w:cs="IRNazanin"/>
          <w:lang w:bidi="fa-IR"/>
          <w:color w:val="111111"/>
          <w:sz w:val="28"/>
          <w:szCs w:val="28"/>
          <w:rtl/>
        </w:rPr>
        <w:t xml:space="preserve">کتابی است در تاریخ مشروطیت ایران که اوضاع سیاسی و اقتصادی آن دوره، از آغاز سلطنت مظفر الدین شاه قاجار تا خلع محمد علی شاه و اخراج او از ایران را بررسی نموده و در پایان مطالبی در خصوص افتتاح مجلس دوم و اوضاع ایران را در سال ۱۳۲۸ق نیز مورد بحث قرار داده است. این اثر در یک «مقدمه) و چهار «باب» و هر باب دارای چند «فصل» تنظیم گردیده است. این کتاب در سه جلد بوده. (سید محمود مرعشی)</w:t>
      </w:r>
    </w:p>
    <w:p>
      <w:pPr>
        <w:pStyle w:val="BookText"/>
      </w:pPr>
      <w:r>
        <w:rPr>
          <w:rFonts w:ascii="IRNazanin" w:hAnsi="IRNazanin" w:eastAsia="IRNazanin" w:cs="IRNazanin"/>
          <w:lang w:bidi="fa-IR"/>
          <w:color w:val="111111"/>
          <w:sz w:val="28"/>
          <w:szCs w:val="28"/>
          <w:rtl/>
        </w:rPr>
        <w:t xml:space="preserve">قم؛ مرعشی؛ شماره نسخه: ۱۱۶۱۲</w:t>
      </w:r>
    </w:p>
    <w:p>
      <w:pPr>
        <w:pStyle w:val="BookText"/>
      </w:pPr>
      <w:r>
        <w:rPr>
          <w:rFonts w:ascii="IRNazanin" w:hAnsi="IRNazanin" w:eastAsia="IRNazanin" w:cs="IRNazanin"/>
          <w:lang w:bidi="fa-IR"/>
          <w:color w:val="111111"/>
          <w:sz w:val="28"/>
          <w:szCs w:val="28"/>
          <w:rtl/>
        </w:rPr>
        <w:t xml:space="preserve">آغاز: بر ارباب علم و معرفت پوشیده نیست تا کنون در مملکت ما کتاب تاریخی؛ انجام: سردار اسعد (وزیر جنگ) وثوق الدوله (مالیه) صنيع الدوله (فوائد عالیه)، مشير الدوله (تجارت)، سردار منصور (وزیر عدلیه) معتمد خاقان (وزیر پست و تلگراف) بخش نخست از جلد اول، خط: شکسته نستعلیق تحریری و نسخ، کاتب = مؤلف، تا: ۱۳۱۰ق؛ کاغذ: معمولی خط دار، جلد: کاغذی، ۳۲گ، ۲۰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۳۴۹-۲۹ ]</w:t>
      </w:r>
    </w:p>
    <w:p>
      <w:pPr>
        <w:pStyle w:val="Heading3"/>
      </w:pPr>
      <w:bookmarkStart w:id="2645" w:name="_Toc1905"/>
      <w:r>
        <w:t>•تاریخ مقدس = ترجمه احوال حضرت ختمی مرتبت = سرگذشت پیامبر / تاریخ پیامبر اکرم(صلی الله علیه وآله وسلم)/ فارسی</w:t>
      </w:r>
      <w:bookmarkEnd w:id="2645"/>
    </w:p>
    <w:p>
      <w:pPr>
        <w:pStyle w:val="BookText"/>
      </w:pPr>
      <w:r>
        <w:rPr>
          <w:rFonts w:ascii="Times New Roman" w:hAnsi="Times New Roman" w:eastAsia="Times New Roman" w:cs="Times New Roman"/>
          <w:lang w:val="en-US" w:bidi="en-US"/>
          <w:color w:val="111111"/>
          <w:sz w:val="28"/>
          <w:szCs w:val="28"/>
          <w:rtl/>
        </w:rPr>
        <w:t xml:space="preserve">tārīx-e moqaddas = t.-ye ahvāl-e hazrat-e xatmī martabat = sargozašt-e payāmbar</w:t>
      </w:r>
    </w:p>
    <w:p>
      <w:pPr>
        <w:pStyle w:val="BookText"/>
      </w:pPr>
      <w:r>
        <w:rPr>
          <w:rFonts w:ascii="IRNazanin" w:hAnsi="IRNazanin" w:eastAsia="IRNazanin" w:cs="IRNazanin"/>
          <w:lang w:bidi="fa-IR"/>
          <w:color w:val="111111"/>
          <w:sz w:val="28"/>
          <w:szCs w:val="28"/>
          <w:rtl/>
        </w:rPr>
        <w:t xml:space="preserve">شیرازی، محمد ابراهیم، ق۱۳ قمری</w:t>
      </w:r>
    </w:p>
    <w:p>
      <w:pPr>
        <w:pStyle w:val="BookText"/>
      </w:pPr>
      <w:r>
        <w:rPr>
          <w:rFonts w:ascii="Times New Roman" w:hAnsi="Times New Roman" w:eastAsia="Times New Roman" w:cs="Times New Roman"/>
          <w:lang w:val="en-US" w:bidi="en-US"/>
          <w:color w:val="111111"/>
          <w:sz w:val="28"/>
          <w:szCs w:val="28"/>
          <w:rtl/>
        </w:rPr>
        <w:t xml:space="preserve">šīrāzī, mohammad ebrāhīm (-19c) DL</w:t>
      </w:r>
    </w:p>
    <w:p>
      <w:pPr>
        <w:pStyle w:val="BookText"/>
      </w:pPr>
      <w:r>
        <w:rPr>
          <w:rFonts w:ascii="IRNazanin" w:hAnsi="IRNazanin" w:eastAsia="IRNazanin" w:cs="IRNazanin"/>
          <w:lang w:bidi="fa-IR"/>
          <w:color w:val="111111"/>
          <w:sz w:val="28"/>
          <w:szCs w:val="28"/>
          <w:rtl/>
        </w:rPr>
        <w:t xml:space="preserve">تاریخ ترجمه: ۱۲۷۱ق = ۱۸۵۴م کتابی است در احوال و اطوار و اخلاق پیغمبر اسلام(صلی الله علیه وآله وسلم) و احوال خلفا، و ترجمه ای است از کتاب انگلیسی </w:t>
      </w:r>
      <w:r>
        <w:rPr>
          <w:rFonts w:ascii="Times New Roman" w:hAnsi="Times New Roman" w:eastAsia="Times New Roman" w:cs="Times New Roman"/>
          <w:lang w:val="en-US" w:bidi="en-US"/>
          <w:color w:val="111111"/>
          <w:sz w:val="28"/>
          <w:szCs w:val="28"/>
          <w:rtl/>
        </w:rPr>
        <w:t xml:space="preserve">Life of Mohamet (</w:t>
      </w:r>
      <w:r>
        <w:rPr>
          <w:rFonts w:ascii="IRNazanin" w:hAnsi="IRNazanin" w:eastAsia="IRNazanin" w:cs="IRNazanin"/>
          <w:lang w:bidi="fa-IR"/>
          <w:color w:val="111111"/>
          <w:sz w:val="28"/>
          <w:szCs w:val="28"/>
          <w:rtl/>
        </w:rPr>
        <w:t xml:space="preserve">زندگی محمد) از واشنگتون ایروینک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bookmarkStart w:id="576" w:name="pg20363_209899"/>
    <w:bookmarkEnd w:id="576"/>
    <w:p>
      <w:pPr>
        <w:pStyle w:val="BookText"/>
      </w:pPr>
      <w:r>
        <w:rPr>
          <w:rFonts w:ascii="Times New Roman" w:hAnsi="Times New Roman" w:eastAsia="Times New Roman" w:cs="Times New Roman"/>
          <w:lang w:val="en-US" w:bidi="en-US"/>
          <w:color w:val="111111"/>
          <w:sz w:val="28"/>
          <w:szCs w:val="28"/>
          <w:rtl/>
        </w:rPr>
        <w:t xml:space="preserve">(Washington Iruing) </w:t>
      </w:r>
      <w:r>
        <w:rPr>
          <w:rFonts w:ascii="IRNazanin" w:hAnsi="IRNazanin" w:eastAsia="IRNazanin" w:cs="IRNazanin"/>
          <w:lang w:bidi="fa-IR"/>
          <w:color w:val="111111"/>
          <w:sz w:val="28"/>
          <w:szCs w:val="28"/>
          <w:rtl/>
        </w:rPr>
        <w:t xml:space="preserve">آمریکایی (۱۷۸۳-۱۸۵۹م.) که میرزا محمد ابراهیم شیرازی به فارسی ترجمه کرده است. در چند «فصل»: ۱. تعریف عربستان؛ ۲. تولد و نسب محمد؛ ۳. مکه؛ ۴. سفر اول محمد به شام؛ ۵. ایام تجارت محمد؛ ... ۳۹. شمائل محمد(صلی الله علیه وآله وسلم). خاتمه در شرایط اسلام .....</w:t>
      </w:r>
    </w:p>
    <w:p>
      <w:pPr>
        <w:pStyle w:val="BookText"/>
      </w:pPr>
      <w:r>
        <w:rPr>
          <w:rFonts w:ascii="IRNazanin" w:hAnsi="IRNazanin" w:eastAsia="IRNazanin" w:cs="IRNazanin"/>
          <w:lang w:bidi="fa-IR"/>
          <w:color w:val="111111"/>
          <w:sz w:val="28"/>
          <w:szCs w:val="28"/>
          <w:rtl/>
        </w:rPr>
        <w:t xml:space="preserve">آغاز: بسمله. شکر می کنم خدای قادر یگانه را که عهد دولت ناصر الدین شاه غازی ... این بنده ضعیف خود را بترجمه برخی از احوال و صفات حمیده و اخلاق و عادات پسندیده حبیب و پیغمبر برگزیده خود محمد مصطفی ... و بتذکره اسامی و اوصاف بعضی از صحابه كبار و ائمه اطهار ... این بنده محمد ابراهیم شیرازی می گوید که یکی از مشاهیر فضلای ینگی دنیا انجام: یعنی محمد پیغمبر، ایام حیات و شریعت او. چاپ: تهران، ۱۳۴۴ق</w:t>
      </w:r>
    </w:p>
    <w:p>
      <w:pPr>
        <w:pStyle w:val="BookText"/>
      </w:pPr>
      <w:r>
        <w:rPr>
          <w:rFonts w:ascii="IRNazanin" w:hAnsi="IRNazanin" w:eastAsia="IRNazanin" w:cs="IRNazanin"/>
          <w:lang w:bidi="fa-IR"/>
          <w:color w:val="111111"/>
          <w:sz w:val="28"/>
          <w:szCs w:val="28"/>
          <w:rtl/>
        </w:rPr>
        <w:t xml:space="preserve">[دنا ۷۴۲/۲ ؛ فهرستواره منزوی ۱۵۷۵/۳ ]</w:t>
      </w:r>
    </w:p>
    <w:p>
      <w:pPr>
        <w:pStyle w:val="BookText"/>
      </w:pPr>
      <w:r>
        <w:rPr>
          <w:rFonts w:ascii="IRNazanin" w:hAnsi="IRNazanin" w:eastAsia="IRNazanin" w:cs="IRNazanin"/>
          <w:lang w:bidi="fa-IR"/>
          <w:color w:val="111111"/>
          <w:sz w:val="28"/>
          <w:szCs w:val="28"/>
          <w:rtl/>
        </w:rPr>
        <w:t xml:space="preserve">١. مشهد؛ رضوی؛ شماره نسخه:۴۲۰۵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جلد اول، عبارت «ترجمه احوال حضرت ختمی مرتبت» عنوانی است که در کتابخانه به آن داده؛ خط: شکسته نستعلیق، کاتب = مؤلف، تا: ۲۴ ربیع الثانی ۱۲۷۵ق؛ واقف: نایینی؛ کاغذ: سفید فرنگی، جلد: چرمی زرد، ۱۹۴گ، ۱۳ سطر ( ۱۴/۲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 اندازه: ۲۳/۳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سم [ف: ۷-۵۴]</w:t>
      </w:r>
    </w:p>
    <w:p>
      <w:pPr>
        <w:pStyle w:val="BookText"/>
      </w:pPr>
      <w:r>
        <w:rPr>
          <w:rFonts w:ascii="IRNazanin" w:hAnsi="IRNazanin" w:eastAsia="IRNazanin" w:cs="IRNazanin"/>
          <w:lang w:bidi="fa-IR"/>
          <w:color w:val="111111"/>
          <w:sz w:val="28"/>
          <w:szCs w:val="28"/>
          <w:rtl/>
        </w:rPr>
        <w:t xml:space="preserve">۲. تهران؛ سپهسالار؛ شماره نسخه:۲۸۴۵</w:t>
      </w:r>
    </w:p>
    <w:p>
      <w:pPr>
        <w:pStyle w:val="BookText"/>
      </w:pPr>
      <w:r>
        <w:rPr>
          <w:rFonts w:ascii="IRNazanin" w:hAnsi="IRNazanin" w:eastAsia="IRNazanin" w:cs="IRNazanin"/>
          <w:lang w:bidi="fa-IR"/>
          <w:color w:val="111111"/>
          <w:sz w:val="28"/>
          <w:szCs w:val="28"/>
          <w:rtl/>
        </w:rPr>
        <w:t xml:space="preserve">خط: نستعلیق، بی کا، تا: قرن ۱۳؛ تملك: اعتضاد السلطنه در ۱۲۸۴ق؛ واقف: سپهسالار، ۱۲۹۷ق؛ کاغذ: فرنگی، جلد: تیماج آبی، ۱۷۲گ، ۱۷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۳-۳۰۵]</w:t>
      </w:r>
    </w:p>
    <w:p>
      <w:pPr>
        <w:pStyle w:val="BookText"/>
      </w:pPr>
      <w:r>
        <w:rPr>
          <w:rFonts w:ascii="IRNazanin" w:hAnsi="IRNazanin" w:eastAsia="IRNazanin" w:cs="IRNazanin"/>
          <w:lang w:bidi="fa-IR"/>
          <w:color w:val="111111"/>
          <w:sz w:val="28"/>
          <w:szCs w:val="28"/>
          <w:rtl/>
        </w:rPr>
        <w:t xml:space="preserve">٣. تهران؛ مجلس؛ شماره نسخه:۴۵۸۹</w:t>
      </w:r>
    </w:p>
    <w:p>
      <w:pPr>
        <w:pStyle w:val="BookText"/>
      </w:pPr>
      <w:r>
        <w:rPr>
          <w:rFonts w:ascii="IRNazanin" w:hAnsi="IRNazanin" w:eastAsia="IRNazanin" w:cs="IRNazanin"/>
          <w:lang w:bidi="fa-IR"/>
          <w:color w:val="111111"/>
          <w:sz w:val="28"/>
          <w:szCs w:val="28"/>
          <w:rtl/>
        </w:rPr>
        <w:t xml:space="preserve">آغاز: برابر؛ انجام: کسانی که بخواهند بیش از این از کیفیت و تفاصيل سر گذشت پیغمبر آگاه شوند ... تمام شد کتاب ایرونیگ واشینگتون که در بیان احوالات جناب پیغمبر ... که از روی پنجاه و دو نسخه کتاب جمع کرده و غالبا از کتاب ابوالفداء مورخ نقل کرده در یوم چهارشنبه اول ديسمبر ۱۸۵۸ ... بیست و چهارم ربيع الثانی ۱۲۷۵ ... حسب الاشاره ... سید نصر الله الاخرى التقوى خط: نسخ، کا: محمد علی بن عبدالخالق مصاحبی نائینی متخلص به عبرت، تا: جمعه ۲۶ ذیحجه ۱۳۳۸ق؛ سه صفحه آخر درباره نسخه فرهاد میرزا است که این نسخه از روی آن اسنتساخ شده، محشي از مؤلف، مترجم و نقیب زاده؛ کاغذ: فرنگی آبی، جلد: تیماج مشکی، ۱۵۰گ، ۱۹ سطر (۶۵-۶۸)،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۲۸۷-۱۲]</w:t>
      </w:r>
    </w:p>
    <w:p>
      <w:pPr>
        <w:pStyle w:val="Heading3"/>
      </w:pPr>
      <w:bookmarkStart w:id="2646" w:name="_Toc1906"/>
      <w:r>
        <w:t>•تاریخ مقدماتی ایران / تاریخ / فارسی</w:t>
      </w:r>
      <w:bookmarkEnd w:id="2646"/>
    </w:p>
    <w:p>
      <w:pPr>
        <w:pStyle w:val="BookText"/>
      </w:pPr>
      <w:r>
        <w:rPr>
          <w:rFonts w:ascii="Times New Roman" w:hAnsi="Times New Roman" w:eastAsia="Times New Roman" w:cs="Times New Roman"/>
          <w:lang w:val="en-US" w:bidi="en-US"/>
          <w:color w:val="111111"/>
          <w:sz w:val="28"/>
          <w:szCs w:val="28"/>
          <w:rtl/>
        </w:rPr>
        <w:t xml:space="preserve">tārīx-e moqaddamātī-ye īrān</w:t>
      </w:r>
    </w:p>
    <w:p>
      <w:pPr>
        <w:pStyle w:val="BookText"/>
      </w:pPr>
      <w:r>
        <w:rPr>
          <w:rFonts w:ascii="IRNazanin" w:hAnsi="IRNazanin" w:eastAsia="IRNazanin" w:cs="IRNazanin"/>
          <w:lang w:bidi="fa-IR"/>
          <w:color w:val="111111"/>
          <w:sz w:val="28"/>
          <w:szCs w:val="28"/>
          <w:rtl/>
        </w:rPr>
        <w:t xml:space="preserve">روئین فر، اسدالله، ق ۱۴ قمری</w:t>
      </w:r>
    </w:p>
    <w:p>
      <w:pPr>
        <w:pStyle w:val="BookText"/>
      </w:pPr>
      <w:r>
        <w:rPr>
          <w:rFonts w:ascii="Times New Roman" w:hAnsi="Times New Roman" w:eastAsia="Times New Roman" w:cs="Times New Roman"/>
          <w:lang w:val="en-US" w:bidi="en-US"/>
          <w:color w:val="111111"/>
          <w:sz w:val="28"/>
          <w:szCs w:val="28"/>
          <w:rtl/>
        </w:rPr>
        <w:t xml:space="preserve">rū’īn-far, asad-ol-lāh (-*•c)</w:t>
      </w:r>
    </w:p>
    <w:p>
      <w:pPr>
        <w:pStyle w:val="BookText"/>
      </w:pPr>
      <w:r>
        <w:rPr>
          <w:rFonts w:ascii="IRNazanin" w:hAnsi="IRNazanin" w:eastAsia="IRNazanin" w:cs="IRNazanin"/>
          <w:lang w:bidi="fa-IR"/>
          <w:color w:val="111111"/>
          <w:sz w:val="28"/>
          <w:szCs w:val="28"/>
          <w:rtl/>
        </w:rPr>
        <w:t xml:space="preserve">رساله ای است مختصر مشتمل بر چهار «کتاب» و هر یک در</w:t>
      </w:r>
    </w:p>
    <w:p>
      <w:pPr>
        <w:pStyle w:val="BookText"/>
      </w:pPr>
      <w:r>
        <w:rPr>
          <w:rFonts w:ascii="IRNazanin" w:hAnsi="IRNazanin" w:eastAsia="IRNazanin" w:cs="IRNazanin"/>
          <w:lang w:bidi="fa-IR"/>
          <w:color w:val="111111"/>
          <w:sz w:val="28"/>
          <w:szCs w:val="28"/>
          <w:rtl/>
        </w:rPr>
        <w:t xml:space="preserve">چندین «فصل» و به صورت ۲۳۵ سؤال و جواب و از تاریخ پیشدادیان تا محمد علی میرزای قاجار را داراست.</w:t>
      </w:r>
    </w:p>
    <w:p>
      <w:pPr>
        <w:pStyle w:val="BookText"/>
      </w:pPr>
      <w:r>
        <w:rPr>
          <w:rFonts w:ascii="IRNazanin" w:hAnsi="IRNazanin" w:eastAsia="IRNazanin" w:cs="IRNazanin"/>
          <w:lang w:bidi="fa-IR"/>
          <w:color w:val="111111"/>
          <w:sz w:val="28"/>
          <w:szCs w:val="28"/>
          <w:rtl/>
        </w:rPr>
        <w:t xml:space="preserve">یزد؛ کاظمینی؛ شماره نسخه:۲۹۷</w:t>
      </w:r>
    </w:p>
    <w:p>
      <w:pPr>
        <w:pStyle w:val="BookText"/>
      </w:pPr>
      <w:r>
        <w:rPr>
          <w:rFonts w:ascii="IRNazanin" w:hAnsi="IRNazanin" w:eastAsia="IRNazanin" w:cs="IRNazanin"/>
          <w:lang w:bidi="fa-IR"/>
          <w:color w:val="111111"/>
          <w:sz w:val="28"/>
          <w:szCs w:val="28"/>
          <w:rtl/>
        </w:rPr>
        <w:t xml:space="preserve">آغاز: تاریخ مقدماتی ایران کتاب اول تاریخ قدیم ایران فصل اول پیشدادیان سؤال یک: فائده علم تاریخ چیست</w:t>
      </w:r>
    </w:p>
    <w:p>
      <w:pPr>
        <w:pStyle w:val="BookText"/>
      </w:pPr>
      <w:r>
        <w:rPr>
          <w:rFonts w:ascii="IRNazanin" w:hAnsi="IRNazanin" w:eastAsia="IRNazanin" w:cs="IRNazanin"/>
          <w:lang w:bidi="fa-IR"/>
          <w:color w:val="111111"/>
          <w:sz w:val="28"/>
          <w:szCs w:val="28"/>
          <w:rtl/>
        </w:rPr>
        <w:t xml:space="preserve">خط: نستعلیق، بی کا، تا: قرن ۱۴؛ مصحح، ۳۵گ، ۱۲ 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۲-۲۳]</w:t>
      </w:r>
    </w:p>
    <w:p>
      <w:pPr>
        <w:pStyle w:val="BookText"/>
      </w:pPr>
      <w:r>
        <w:rPr>
          <w:rFonts w:ascii="IRNazanin" w:hAnsi="IRNazanin" w:eastAsia="IRNazanin" w:cs="IRNazanin"/>
          <w:lang w:bidi="fa-IR"/>
          <w:color w:val="111111"/>
          <w:sz w:val="28"/>
          <w:szCs w:val="28"/>
          <w:rtl/>
        </w:rPr>
        <w:t xml:space="preserve">← تاریخ مقيم خانی← تذکره مقیم خانی</w:t>
      </w:r>
    </w:p>
    <w:p>
      <w:pPr>
        <w:pStyle w:val="Heading3"/>
      </w:pPr>
      <w:bookmarkStart w:id="2647" w:name="_Toc1907"/>
      <w:r>
        <w:t>•تاریخ مکاتبات علامي / نامه نگاری / فارسی</w:t>
      </w:r>
      <w:bookmarkEnd w:id="2647"/>
    </w:p>
    <w:p>
      <w:pPr>
        <w:pStyle w:val="BookText"/>
      </w:pPr>
      <w:r>
        <w:rPr>
          <w:rFonts w:ascii="Times New Roman" w:hAnsi="Times New Roman" w:eastAsia="Times New Roman" w:cs="Times New Roman"/>
          <w:lang w:val="en-US" w:bidi="en-US"/>
          <w:color w:val="111111"/>
          <w:sz w:val="28"/>
          <w:szCs w:val="28"/>
          <w:rtl/>
        </w:rPr>
        <w:t xml:space="preserve">tārīx-e mokātebāt-e “allāmī</w:t>
      </w:r>
    </w:p>
    <w:p>
      <w:pPr>
        <w:pStyle w:val="BookText"/>
      </w:pPr>
      <w:r>
        <w:rPr>
          <w:rFonts w:ascii="IRNazanin" w:hAnsi="IRNazanin" w:eastAsia="IRNazanin" w:cs="IRNazanin"/>
          <w:lang w:bidi="fa-IR"/>
          <w:color w:val="111111"/>
          <w:sz w:val="28"/>
          <w:szCs w:val="28"/>
          <w:rtl/>
        </w:rPr>
        <w:t xml:space="preserve">همشیره زاده فیضی ناگوری دکنی منشأت او را در این کتاب گرد آورده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دانشسرای عالی - کتابخانه میرزا عبدالعظیم خان قریب</w:t>
      </w:r>
    </w:p>
    <w:p>
      <w:pPr>
        <w:pStyle w:val="BookText"/>
      </w:pPr>
      <w:r>
        <w:rPr>
          <w:rFonts w:ascii="IRNazanin" w:hAnsi="IRNazanin" w:eastAsia="IRNazanin" w:cs="IRNazanin"/>
          <w:lang w:bidi="fa-IR"/>
          <w:color w:val="111111"/>
          <w:sz w:val="28"/>
          <w:szCs w:val="28"/>
          <w:rtl/>
        </w:rPr>
        <w:t xml:space="preserve">اگر کانی؛ شماره نسخه:۶۷ انجام: منثور حضرت شاهنشاهی به قوام الدين شقدار ... که ترا اهل نوشته ام</w:t>
      </w:r>
    </w:p>
    <w:p>
      <w:pPr>
        <w:pStyle w:val="BookText"/>
      </w:pPr>
      <w:r>
        <w:rPr>
          <w:rFonts w:ascii="IRNazanin" w:hAnsi="IRNazanin" w:eastAsia="IRNazanin" w:cs="IRNazanin"/>
          <w:lang w:bidi="fa-IR"/>
          <w:color w:val="111111"/>
          <w:sz w:val="28"/>
          <w:szCs w:val="28"/>
          <w:rtl/>
        </w:rPr>
        <w:t xml:space="preserve">خط: نستعلیق، بی کا، تا: قرن ۱۱؛ افتادگی: انجام؛ جدول زر و لاجورد؛ قطع: ربعی [نشریه: ۵-۶۲۰]</w:t>
      </w:r>
    </w:p>
    <w:p>
      <w:pPr>
        <w:pStyle w:val="BookText"/>
      </w:pPr>
      <w:r>
        <w:rPr>
          <w:rFonts w:ascii="IRNazanin" w:hAnsi="IRNazanin" w:eastAsia="IRNazanin" w:cs="IRNazanin"/>
          <w:lang w:bidi="fa-IR"/>
          <w:color w:val="111111"/>
          <w:sz w:val="28"/>
          <w:szCs w:val="28"/>
          <w:rtl/>
        </w:rPr>
        <w:t xml:space="preserve">۲. تهران؛ فرهاد معتمد؛ شماره نسخه: ۱۳۰</w:t>
      </w:r>
    </w:p>
    <w:p>
      <w:pPr>
        <w:pStyle w:val="BookText"/>
      </w:pPr>
      <w:r>
        <w:rPr>
          <w:rFonts w:ascii="IRNazanin" w:hAnsi="IRNazanin" w:eastAsia="IRNazanin" w:cs="IRNazanin"/>
          <w:lang w:bidi="fa-IR"/>
          <w:color w:val="111111"/>
          <w:sz w:val="28"/>
          <w:szCs w:val="28"/>
          <w:rtl/>
        </w:rPr>
        <w:t xml:space="preserve">خط: نستعلیق، بی کا، تا: قرن ۱۱ و ۱۲؛ افتادگی: آغاز (یک برگ)؛ تملک: فرهاد میرزا در ۴ جمادی الاول ۱۲۸۷؛ کاغذ: هندی، جلد: تیماج قهوه ای، ۱۷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سم [ نشریه: ۳-۱۵۸]</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دانشگاه؛ شماره نسخه: ۳۸۹۵/۲ -ف</w:t>
      </w:r>
    </w:p>
    <w:p>
      <w:pPr>
        <w:pStyle w:val="BookText"/>
      </w:pPr>
      <w:r>
        <w:rPr>
          <w:rFonts w:ascii="IRNazanin" w:hAnsi="IRNazanin" w:eastAsia="IRNazanin" w:cs="IRNazanin"/>
          <w:lang w:bidi="fa-IR"/>
          <w:color w:val="111111"/>
          <w:sz w:val="28"/>
          <w:szCs w:val="28"/>
          <w:rtl/>
        </w:rPr>
        <w:t xml:space="preserve">نسخه اصل: دیوان هند ش ۲۹۸۵ (اته ۲۷۱)؛ بی کا، بی تا [فيلمها ف: ۲۷۶-۲]</w:t>
      </w:r>
    </w:p>
    <w:p>
      <w:pPr>
        <w:pStyle w:val="Heading3"/>
      </w:pPr>
      <w:bookmarkStart w:id="2648" w:name="_Toc1908"/>
      <w:r>
        <w:t>•تاریخ مکه / تاریخ / عربی</w:t>
      </w:r>
      <w:bookmarkEnd w:id="2648"/>
    </w:p>
    <w:p>
      <w:pPr>
        <w:pStyle w:val="BookText"/>
      </w:pPr>
      <w:r>
        <w:rPr>
          <w:rFonts w:ascii="Times New Roman" w:hAnsi="Times New Roman" w:eastAsia="Times New Roman" w:cs="Times New Roman"/>
          <w:lang w:val="en-US" w:bidi="en-US"/>
          <w:color w:val="111111"/>
          <w:sz w:val="28"/>
          <w:szCs w:val="28"/>
          <w:rtl/>
        </w:rPr>
        <w:t xml:space="preserve">tārīx-e makke</w:t>
      </w:r>
    </w:p>
    <w:p>
      <w:pPr>
        <w:pStyle w:val="BookText"/>
      </w:pPr>
      <w:r>
        <w:rPr>
          <w:rFonts w:ascii="IRNazanin" w:hAnsi="IRNazanin" w:eastAsia="IRNazanin" w:cs="IRNazanin"/>
          <w:lang w:bidi="fa-IR"/>
          <w:color w:val="111111"/>
          <w:sz w:val="28"/>
          <w:szCs w:val="28"/>
          <w:rtl/>
        </w:rPr>
        <w:t xml:space="preserve">ازرقی، محمد بن عبد الله، - ۲۵۰ ؟ قمری</w:t>
      </w:r>
    </w:p>
    <w:p>
      <w:pPr>
        <w:pStyle w:val="BookText"/>
      </w:pPr>
      <w:r>
        <w:rPr>
          <w:rFonts w:ascii="Times New Roman" w:hAnsi="Times New Roman" w:eastAsia="Times New Roman" w:cs="Times New Roman"/>
          <w:lang w:val="en-US" w:bidi="en-US"/>
          <w:color w:val="111111"/>
          <w:sz w:val="28"/>
          <w:szCs w:val="28"/>
          <w:rtl/>
        </w:rPr>
        <w:t xml:space="preserve">azraqī, mohammad ebn-e 'abd-ol-lāh (-865)</w:t>
      </w:r>
    </w:p>
    <w:p>
      <w:pPr>
        <w:pStyle w:val="BookText"/>
      </w:pPr>
      <w:r>
        <w:rPr>
          <w:rFonts w:ascii="IRNazanin" w:hAnsi="IRNazanin" w:eastAsia="IRNazanin" w:cs="IRNazanin"/>
          <w:lang w:bidi="fa-IR"/>
          <w:color w:val="111111"/>
          <w:sz w:val="28"/>
          <w:szCs w:val="28"/>
          <w:rtl/>
        </w:rPr>
        <w:t xml:space="preserve">تهران؛ دانشگاه؛ شماره نسخه: ۵۴۷۰/۱ -ف</w:t>
      </w:r>
    </w:p>
    <w:p>
      <w:pPr>
        <w:pStyle w:val="BookText"/>
      </w:pPr>
      <w:r>
        <w:rPr>
          <w:rFonts w:ascii="IRNazanin" w:hAnsi="IRNazanin" w:eastAsia="IRNazanin" w:cs="IRNazanin"/>
          <w:lang w:bidi="fa-IR"/>
          <w:color w:val="111111"/>
          <w:sz w:val="28"/>
          <w:szCs w:val="28"/>
          <w:rtl/>
        </w:rPr>
        <w:t xml:space="preserve">نسخه اصل: از دانشگاه توبینگن 24 </w:t>
      </w:r>
      <w:r>
        <w:rPr>
          <w:rFonts w:ascii="Times New Roman" w:hAnsi="Times New Roman" w:eastAsia="Times New Roman" w:cs="Times New Roman"/>
          <w:lang w:val="en-US" w:bidi="en-US"/>
          <w:color w:val="111111"/>
          <w:sz w:val="28"/>
          <w:szCs w:val="28"/>
          <w:rtl/>
        </w:rPr>
        <w:t xml:space="preserve">Ma VI</w:t>
      </w:r>
      <w:r>
        <w:rPr>
          <w:rFonts w:ascii="IRNazanin" w:hAnsi="IRNazanin" w:eastAsia="IRNazanin" w:cs="IRNazanin"/>
          <w:lang w:bidi="fa-IR"/>
          <w:color w:val="111111"/>
          <w:sz w:val="28"/>
          <w:szCs w:val="28"/>
          <w:rtl/>
        </w:rPr>
        <w:t xml:space="preserve">؛ بی کا، بی تا؛ تملک: محمد بن احمد بن على بن قاسم ابو غنیم جعفری شافعی قادری در پایان محرم ۱۲۵۰ [فيلمها ف: ۳-۱۵۵]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577" w:name="pg20363_209900"/>
    <w:bookmarkEnd w:id="577"/>
    <w:p>
      <w:pPr>
        <w:pStyle w:val="Heading3"/>
      </w:pPr>
      <w:bookmarkStart w:id="2649" w:name="_Toc1909"/>
      <w:r>
        <w:t>•تاریخ مکه / تراجم / عربی</w:t>
      </w:r>
      <w:bookmarkEnd w:id="2649"/>
    </w:p>
    <w:p>
      <w:pPr>
        <w:pStyle w:val="BookText"/>
      </w:pPr>
      <w:r>
        <w:rPr>
          <w:rFonts w:ascii="Times New Roman" w:hAnsi="Times New Roman" w:eastAsia="Times New Roman" w:cs="Times New Roman"/>
          <w:lang w:val="en-US" w:bidi="en-US"/>
          <w:color w:val="111111"/>
          <w:sz w:val="28"/>
          <w:szCs w:val="28"/>
          <w:rtl/>
        </w:rPr>
        <w:t xml:space="preserve">tārīx-e makke</w:t>
      </w:r>
    </w:p>
    <w:p>
      <w:pPr>
        <w:pStyle w:val="BookText"/>
      </w:pPr>
      <w:r>
        <w:rPr>
          <w:rFonts w:ascii="IRNazanin" w:hAnsi="IRNazanin" w:eastAsia="IRNazanin" w:cs="IRNazanin"/>
          <w:lang w:bidi="fa-IR"/>
          <w:color w:val="111111"/>
          <w:sz w:val="28"/>
          <w:szCs w:val="28"/>
          <w:rtl/>
        </w:rPr>
        <w:t xml:space="preserve">عبدالله بن محمد عبد الشکور، ق۱۳ قمری</w:t>
      </w:r>
    </w:p>
    <w:p>
      <w:pPr>
        <w:pStyle w:val="BookText"/>
      </w:pPr>
      <w:r>
        <w:rPr>
          <w:rFonts w:ascii="Times New Roman" w:hAnsi="Times New Roman" w:eastAsia="Times New Roman" w:cs="Times New Roman"/>
          <w:lang w:val="en-US" w:bidi="en-US"/>
          <w:color w:val="111111"/>
          <w:sz w:val="28"/>
          <w:szCs w:val="28"/>
          <w:rtl/>
        </w:rPr>
        <w:t xml:space="preserve">“abd-ol-lāh ebn-e mohammad ‘abd-oš-šakūr (-190)</w:t>
      </w:r>
    </w:p>
    <w:p>
      <w:pPr>
        <w:pStyle w:val="BookText"/>
      </w:pPr>
      <w:r>
        <w:rPr>
          <w:rFonts w:ascii="IRNazanin" w:hAnsi="IRNazanin" w:eastAsia="IRNazanin" w:cs="IRNazanin"/>
          <w:lang w:bidi="fa-IR"/>
          <w:color w:val="111111"/>
          <w:sz w:val="28"/>
          <w:szCs w:val="28"/>
          <w:rtl/>
        </w:rPr>
        <w:t xml:space="preserve">کتابی است در شرح حال شرفاء مکه معظمه به ترتیب سنوات. مؤلف، كتاب را از وقایع و حوادث سال ۱۱۴۳ق آغاز و به وقایع سال ۱۲۲۰ ق به پایان آورده است.</w:t>
      </w:r>
    </w:p>
    <w:p>
      <w:pPr>
        <w:pStyle w:val="BookText"/>
      </w:pPr>
      <w:r>
        <w:rPr>
          <w:rFonts w:ascii="IRNazanin" w:hAnsi="IRNazanin" w:eastAsia="IRNazanin" w:cs="IRNazanin"/>
          <w:lang w:bidi="fa-IR"/>
          <w:color w:val="111111"/>
          <w:sz w:val="28"/>
          <w:szCs w:val="28"/>
          <w:rtl/>
        </w:rPr>
        <w:t xml:space="preserve">قم؛ مرعشی؛ شماره نسخه:۵۹۲عکسی</w:t>
      </w:r>
    </w:p>
    <w:p>
      <w:pPr>
        <w:pStyle w:val="BookText"/>
      </w:pPr>
      <w:r>
        <w:rPr>
          <w:rFonts w:ascii="IRNazanin" w:hAnsi="IRNazanin" w:eastAsia="IRNazanin" w:cs="IRNazanin"/>
          <w:lang w:bidi="fa-IR"/>
          <w:color w:val="111111"/>
          <w:sz w:val="28"/>
          <w:szCs w:val="28"/>
          <w:rtl/>
        </w:rPr>
        <w:t xml:space="preserve">آغاز و به الاعانه و نساله التوفيق ... یا موجد هذا الوجود من العدم، و مكون الكائنات و مخترع العالم؛ انجام: ثم هذا الجاير الجانی رفع يده و اطلق رقاب الناس من الاسر ... بعون الملک الغفار نسخه اصل: مدینه خزانه سی (طوپ قاپی) استانبول، ش ۵۱۱.</w:t>
      </w:r>
      <w:r>
        <w:rPr>
          <w:rFonts w:ascii="Times New Roman" w:hAnsi="Times New Roman" w:eastAsia="Times New Roman" w:cs="Times New Roman"/>
          <w:lang w:val="en-US" w:bidi="en-US"/>
          <w:color w:val="111111"/>
          <w:sz w:val="28"/>
          <w:szCs w:val="28"/>
          <w:rtl/>
        </w:rPr>
        <w:t xml:space="preserve">M </w:t>
      </w:r>
      <w:r>
        <w:rPr>
          <w:rFonts w:ascii="IRNazanin" w:hAnsi="IRNazanin" w:eastAsia="IRNazanin" w:cs="IRNazanin"/>
          <w:lang w:bidi="fa-IR"/>
          <w:color w:val="111111"/>
          <w:sz w:val="28"/>
          <w:szCs w:val="28"/>
          <w:rtl/>
        </w:rPr>
        <w:t xml:space="preserve">فهرست عربی طوپ قاپی ۴۴۶/۳ )؛ خط: نسخ، كان محمد سعید حسینی مفتی زاده، تا: یک شنبه ۱۳ جمادی الاول ۱۲۶۹ق، جان آستانه؛ ۳۰۱گ، ۱۷ سطر [عکسی ف: ۲-۸۱]</w:t>
      </w:r>
    </w:p>
    <w:p>
      <w:pPr>
        <w:pStyle w:val="Heading3"/>
      </w:pPr>
      <w:bookmarkStart w:id="2650" w:name="_Toc1910"/>
      <w:r>
        <w:t>•تاریخ مكة / تاریخ عربی</w:t>
      </w:r>
      <w:bookmarkEnd w:id="2650"/>
    </w:p>
    <w:p>
      <w:pPr>
        <w:pStyle w:val="BookText"/>
      </w:pPr>
      <w:r>
        <w:rPr>
          <w:rFonts w:ascii="Times New Roman" w:hAnsi="Times New Roman" w:eastAsia="Times New Roman" w:cs="Times New Roman"/>
          <w:lang w:val="en-US" w:bidi="en-US"/>
          <w:color w:val="111111"/>
          <w:sz w:val="28"/>
          <w:szCs w:val="28"/>
          <w:rtl/>
        </w:rPr>
        <w:t xml:space="preserve">tārīx-e makke</w:t>
      </w:r>
    </w:p>
    <w:p>
      <w:pPr>
        <w:pStyle w:val="BookText"/>
      </w:pPr>
      <w:r>
        <w:rPr>
          <w:rFonts w:ascii="IRNazanin" w:hAnsi="IRNazanin" w:eastAsia="IRNazanin" w:cs="IRNazanin"/>
          <w:lang w:bidi="fa-IR"/>
          <w:color w:val="111111"/>
          <w:sz w:val="28"/>
          <w:szCs w:val="28"/>
          <w:rtl/>
        </w:rPr>
        <w:t xml:space="preserve">تهران؛ لغت نامه دهخدا؛ شماره نسخه: ۲۵۰</w:t>
      </w:r>
    </w:p>
    <w:p>
      <w:pPr>
        <w:pStyle w:val="BookText"/>
      </w:pPr>
      <w:r>
        <w:rPr>
          <w:rFonts w:ascii="IRNazanin" w:hAnsi="IRNazanin" w:eastAsia="IRNazanin" w:cs="IRNazanin"/>
          <w:lang w:bidi="fa-IR"/>
          <w:color w:val="111111"/>
          <w:sz w:val="28"/>
          <w:szCs w:val="28"/>
          <w:rtl/>
        </w:rPr>
        <w:t xml:space="preserve">عنوان «الباب الثالث في ذكر اول من ولي مكة إلى يومنا هذا» را دارد و می رسد به تاریخ ۱۱۳۶؛ خط: نسخ، بی کا، تا: قرن ۱۲ و ۱۳؛ تملک: فرهاد بن ولیعهد در ۷ ذیقعده ۱۲۸۸؛ جلد: تیماج مشکی ضربی، قطع: ربعی [نشریه: ۳-۴۱۷]</w:t>
      </w:r>
    </w:p>
    <w:p>
      <w:pPr>
        <w:pStyle w:val="Heading3"/>
      </w:pPr>
      <w:bookmarkStart w:id="2651" w:name="_Toc1911"/>
      <w:r>
        <w:t>•تاریخ مکه / تاریخ / فارسی</w:t>
      </w:r>
      <w:bookmarkEnd w:id="2651"/>
    </w:p>
    <w:p>
      <w:pPr>
        <w:pStyle w:val="BookText"/>
      </w:pPr>
      <w:r>
        <w:rPr>
          <w:rFonts w:ascii="Times New Roman" w:hAnsi="Times New Roman" w:eastAsia="Times New Roman" w:cs="Times New Roman"/>
          <w:lang w:val="en-US" w:bidi="en-US"/>
          <w:color w:val="111111"/>
          <w:sz w:val="28"/>
          <w:szCs w:val="28"/>
          <w:rtl/>
        </w:rPr>
        <w:t xml:space="preserve">tārīx-e makke</w:t>
      </w:r>
    </w:p>
    <w:p>
      <w:pPr>
        <w:pStyle w:val="BookText"/>
      </w:pPr>
      <w:r>
        <w:rPr>
          <w:rFonts w:ascii="IRNazanin" w:hAnsi="IRNazanin" w:eastAsia="IRNazanin" w:cs="IRNazanin"/>
          <w:lang w:bidi="fa-IR"/>
          <w:color w:val="111111"/>
          <w:sz w:val="28"/>
          <w:szCs w:val="28"/>
          <w:rtl/>
        </w:rPr>
        <w:t xml:space="preserve">به صورت جغرافیای تاریخی است.</w:t>
      </w:r>
    </w:p>
    <w:p>
      <w:pPr>
        <w:pStyle w:val="BookText"/>
      </w:pPr>
      <w:r>
        <w:rPr>
          <w:rFonts w:ascii="IRNazanin" w:hAnsi="IRNazanin" w:eastAsia="IRNazanin" w:cs="IRNazanin"/>
          <w:lang w:bidi="fa-IR"/>
          <w:color w:val="111111"/>
          <w:sz w:val="28"/>
          <w:szCs w:val="28"/>
          <w:rtl/>
        </w:rPr>
        <w:t xml:space="preserve">تهران؛ ملک؛ شماره نسخه: ۳۷۴۶/۲</w:t>
      </w:r>
    </w:p>
    <w:p>
      <w:pPr>
        <w:pStyle w:val="BookText"/>
      </w:pPr>
      <w:r>
        <w:rPr>
          <w:rFonts w:ascii="IRNazanin" w:hAnsi="IRNazanin" w:eastAsia="IRNazanin" w:cs="IRNazanin"/>
          <w:lang w:bidi="fa-IR"/>
          <w:color w:val="111111"/>
          <w:sz w:val="28"/>
          <w:szCs w:val="28"/>
          <w:rtl/>
        </w:rPr>
        <w:t xml:space="preserve">آغاز: آدم عليه السلام سنگها آورد برای وی در پنج جبل؛ انجام: ... میان این دو حد را بطن عرنه گویند. خط: نستعلیق، بی کا، تا: ۱۶ جمادی الثانی ۱۲۵۴ق، جان مکه؛ افتادگی: آغاز؛ کاغذ: پسته ای، جلد: میشن سیاه، ۱۵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۱۵/۲ سم [ف: ۷-۳۴]</w:t>
      </w:r>
    </w:p>
    <w:p>
      <w:pPr>
        <w:pStyle w:val="BookText"/>
      </w:pPr>
      <w:r>
        <w:rPr>
          <w:rFonts w:ascii="IRNazanin" w:hAnsi="IRNazanin" w:eastAsia="IRNazanin" w:cs="IRNazanin"/>
          <w:lang w:bidi="fa-IR"/>
          <w:color w:val="111111"/>
          <w:sz w:val="28"/>
          <w:szCs w:val="28"/>
          <w:rtl/>
        </w:rPr>
        <w:t xml:space="preserve">← تاریخ ملاجلال ← تاریخ عباسی</w:t>
      </w:r>
    </w:p>
    <w:p>
      <w:pPr>
        <w:pStyle w:val="BookText"/>
      </w:pPr>
      <w:r>
        <w:rPr>
          <w:rFonts w:ascii="IRNazanin" w:hAnsi="IRNazanin" w:eastAsia="IRNazanin" w:cs="IRNazanin"/>
          <w:lang w:bidi="fa-IR"/>
          <w:color w:val="111111"/>
          <w:sz w:val="28"/>
          <w:szCs w:val="28"/>
          <w:rtl/>
        </w:rPr>
        <w:t xml:space="preserve">← تاریخ ملا زاده ← تاریخ بخارا</w:t>
      </w:r>
    </w:p>
    <w:p>
      <w:pPr>
        <w:pStyle w:val="Heading3"/>
      </w:pPr>
      <w:bookmarkStart w:id="2652" w:name="_Toc1912"/>
      <w:r>
        <w:t>•تاریخ ملا کمال / تاریخ / فارسی</w:t>
      </w:r>
      <w:bookmarkEnd w:id="2652"/>
    </w:p>
    <w:p>
      <w:pPr>
        <w:pStyle w:val="BookText"/>
      </w:pPr>
      <w:r>
        <w:rPr>
          <w:rFonts w:ascii="Times New Roman" w:hAnsi="Times New Roman" w:eastAsia="Times New Roman" w:cs="Times New Roman"/>
          <w:lang w:val="en-US" w:bidi="en-US"/>
          <w:color w:val="111111"/>
          <w:sz w:val="28"/>
          <w:szCs w:val="28"/>
          <w:rtl/>
        </w:rPr>
        <w:t xml:space="preserve">tārīx-e mollā kamāl</w:t>
      </w:r>
    </w:p>
    <w:p>
      <w:pPr>
        <w:pStyle w:val="BookText"/>
      </w:pPr>
      <w:r>
        <w:rPr>
          <w:rFonts w:ascii="IRNazanin" w:hAnsi="IRNazanin" w:eastAsia="IRNazanin" w:cs="IRNazanin"/>
          <w:lang w:bidi="fa-IR"/>
          <w:color w:val="111111"/>
          <w:sz w:val="28"/>
          <w:szCs w:val="28"/>
          <w:rtl/>
        </w:rPr>
        <w:t xml:space="preserve">تاریخ مقدماتی - تاریخ ملک آرا ۷۷۳</w:t>
      </w:r>
    </w:p>
    <w:p>
      <w:pPr>
        <w:pStyle w:val="BookText"/>
      </w:pPr>
      <w:r>
        <w:rPr>
          <w:rFonts w:ascii="IRNazanin" w:hAnsi="IRNazanin" w:eastAsia="IRNazanin" w:cs="IRNazanin"/>
          <w:lang w:bidi="fa-IR"/>
          <w:color w:val="111111"/>
          <w:sz w:val="28"/>
          <w:szCs w:val="28"/>
          <w:rtl/>
        </w:rPr>
        <w:t xml:space="preserve">تاریخ تأليف: ۱۰۵۹ق کتابی است در تاریخ، از صدر اسلام تا شاه عباس دوم با مختصری از احوال حاکمان و پادشاهان روم و ازبک، در صفحه اول نسخه چنین نگاشته اند: «به شرحی که عباس میرزا به شاهزاده فریدون میرزا می نویسد، قصص الخاقان است» و در موضعی دیگر تاریخ تأليف كتاب طبق گفته مؤلف، ۱۰۵۹ یاد شده است.</w:t>
      </w:r>
    </w:p>
    <w:p>
      <w:pPr>
        <w:pStyle w:val="BookText"/>
      </w:pPr>
      <w:r>
        <w:rPr>
          <w:rFonts w:ascii="IRNazanin" w:hAnsi="IRNazanin" w:eastAsia="IRNazanin" w:cs="IRNazanin"/>
          <w:lang w:bidi="fa-IR"/>
          <w:color w:val="111111"/>
          <w:sz w:val="28"/>
          <w:szCs w:val="28"/>
          <w:rtl/>
        </w:rPr>
        <w:t xml:space="preserve">اراک؛ دهگان؛ شماره نسخه: ۹۰/۱</w:t>
      </w:r>
    </w:p>
    <w:p>
      <w:pPr>
        <w:pStyle w:val="BookText"/>
      </w:pPr>
      <w:r>
        <w:rPr>
          <w:rFonts w:ascii="IRNazanin" w:hAnsi="IRNazanin" w:eastAsia="IRNazanin" w:cs="IRNazanin"/>
          <w:lang w:bidi="fa-IR"/>
          <w:color w:val="111111"/>
          <w:sz w:val="28"/>
          <w:szCs w:val="28"/>
          <w:rtl/>
        </w:rPr>
        <w:t xml:space="preserve">آغاز: حضرت محمد مصطفی(صلی الله علیه وآله وسلم) بن عبدالله بن عبدالمطلب بن هاشم بن عبدالمناف که جمهور مورخان برآنند؛ انجام: بانعام و زیادتی موسوم سرافراز گردیدند، تمة التاريخ بتاريخ سلخ شهر محرم الحرام سنة ۱۱۲۱ خط: نستعلیق، بی کا، بی تا؛ افتادگی: آغاز؛ ۱۷۸گ (۱۱-۱۷۸پ)، اندازه: ۱۷</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۳۰سم [ف: ۱-۱۰۳]</w:t>
      </w:r>
    </w:p>
    <w:p>
      <w:pPr>
        <w:pStyle w:val="Heading3"/>
      </w:pPr>
      <w:bookmarkStart w:id="2653" w:name="_Toc1913"/>
      <w:r>
        <w:t>•تاریخ ملک آرا = تاریخ قاجاریه / تاریخ ایران / فارسی</w:t>
      </w:r>
      <w:bookmarkEnd w:id="2653"/>
    </w:p>
    <w:p>
      <w:pPr>
        <w:pStyle w:val="BookText"/>
      </w:pPr>
      <w:r>
        <w:rPr>
          <w:rFonts w:ascii="Times New Roman" w:hAnsi="Times New Roman" w:eastAsia="Times New Roman" w:cs="Times New Roman"/>
          <w:lang w:val="en-US" w:bidi="en-US"/>
          <w:color w:val="111111"/>
          <w:sz w:val="28"/>
          <w:szCs w:val="28"/>
          <w:rtl/>
        </w:rPr>
        <w:t xml:space="preserve">tārīx-e molk-ārā= tārīx-e qājārīye</w:t>
      </w:r>
    </w:p>
    <w:p>
      <w:pPr>
        <w:pStyle w:val="BookText"/>
      </w:pPr>
      <w:r>
        <w:rPr>
          <w:rFonts w:ascii="IRNazanin" w:hAnsi="IRNazanin" w:eastAsia="IRNazanin" w:cs="IRNazanin"/>
          <w:lang w:bidi="fa-IR"/>
          <w:color w:val="111111"/>
          <w:sz w:val="28"/>
          <w:szCs w:val="28"/>
          <w:rtl/>
        </w:rPr>
        <w:t xml:space="preserve">چلاوی، علیقلی بن محمد، ق۱۳ قمری</w:t>
      </w:r>
    </w:p>
    <w:p>
      <w:pPr>
        <w:pStyle w:val="BookText"/>
      </w:pPr>
      <w:r>
        <w:rPr>
          <w:rFonts w:ascii="Times New Roman" w:hAnsi="Times New Roman" w:eastAsia="Times New Roman" w:cs="Times New Roman"/>
          <w:lang w:val="en-US" w:bidi="en-US"/>
          <w:color w:val="111111"/>
          <w:sz w:val="28"/>
          <w:szCs w:val="28"/>
          <w:rtl/>
        </w:rPr>
        <w:t xml:space="preserve">čalāvī, ‘alī-qolī ebn-e mohammad (-19c)</w:t>
      </w:r>
    </w:p>
    <w:p>
      <w:pPr>
        <w:pStyle w:val="BookText"/>
      </w:pPr>
      <w:r>
        <w:rPr>
          <w:rFonts w:ascii="IRNazanin" w:hAnsi="IRNazanin" w:eastAsia="IRNazanin" w:cs="IRNazanin"/>
          <w:lang w:bidi="fa-IR"/>
          <w:color w:val="111111"/>
          <w:sz w:val="28"/>
          <w:szCs w:val="28"/>
          <w:rtl/>
        </w:rPr>
        <w:t xml:space="preserve">اهدا به: محمد قلی میرزا شاهزاده ملک آراء حاكم مازندران تاریخ تأليف: ۱۲۴۵ق؛ محل تأليف: اصفهان مؤلف که منشی محمد قلی ملک آرا حاکم مازندران بوده این کتاب را در دو جلد» و یک «خاتمه» نگاشته است: جلد ۱. انساب اتراک و طایفه قاجار؛ جلد ۲. پادشاهی فتح علی شاه قاجار ( ۱۲۵۰-۱۲۱۲ ق)؛ خاتمه در سرگذشت شاهزادگان وی. آغاز: بسمله الحمدلله خالق العباد و ساطح المهاد و مسيل الوهاد و مخضب النجاد ... مبدعی که خامه ابداعش صور آفرینش را جواهر معقوله ... به حیز وجود آورده انجام: از دروازه خارج گشته در ظاهر قلعه مسافع مسافعت و مواقع مواقعت آراست. قد جف القلم المؤلف الى هنا.</w:t>
      </w:r>
    </w:p>
    <w:p>
      <w:pPr>
        <w:pStyle w:val="BookText"/>
      </w:pPr>
      <w:r>
        <w:rPr>
          <w:rFonts w:ascii="IRNazanin" w:hAnsi="IRNazanin" w:eastAsia="IRNazanin" w:cs="IRNazanin"/>
          <w:lang w:bidi="fa-IR"/>
          <w:color w:val="111111"/>
          <w:sz w:val="28"/>
          <w:szCs w:val="28"/>
          <w:rtl/>
        </w:rPr>
        <w:t xml:space="preserve">[الذريعة ۲۱۸/۲۲ ؛ فهرستواره منزوی ۹۰۶/۲ ؛ دنا ۷۴۲/۲ ]</w:t>
      </w:r>
    </w:p>
    <w:p>
      <w:pPr>
        <w:pStyle w:val="BookText"/>
      </w:pPr>
      <w:r>
        <w:rPr>
          <w:rFonts w:ascii="IRNazanin" w:hAnsi="IRNazanin" w:eastAsia="IRNazanin" w:cs="IRNazanin"/>
          <w:lang w:bidi="fa-IR"/>
          <w:color w:val="111111"/>
          <w:sz w:val="28"/>
          <w:szCs w:val="28"/>
          <w:rtl/>
        </w:rPr>
        <w:t xml:space="preserve">۱. تهران؛ ملی؛ شماره نسخه: ۱۶۰۰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کاتب = مؤلف، تا: قرن ۱۳، جا: تهران؛ کاغذ: دولت آبادی، جلد: تیماج قرمز با ترنج و نیم ترنج، ۱۷۰گ، ۲۳سطر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 اندازه: ۲۱/۵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۳۵/۵سم [ف: ۴-۸۷]</w:t>
      </w:r>
    </w:p>
    <w:p>
      <w:pPr>
        <w:pStyle w:val="BookText"/>
      </w:pPr>
      <w:r>
        <w:rPr>
          <w:rFonts w:ascii="IRNazanin" w:hAnsi="IRNazanin" w:eastAsia="IRNazanin" w:cs="IRNazanin"/>
          <w:lang w:bidi="fa-IR"/>
          <w:color w:val="111111"/>
          <w:sz w:val="28"/>
          <w:szCs w:val="28"/>
          <w:rtl/>
        </w:rPr>
        <w:t xml:space="preserve">۲. تهران؛ ملی؛ شماره نسخه:۲۲۳۸</w:t>
      </w:r>
    </w:p>
    <w:p>
      <w:pPr>
        <w:pStyle w:val="BookText"/>
      </w:pPr>
      <w:r>
        <w:rPr>
          <w:rFonts w:ascii="IRNazanin" w:hAnsi="IRNazanin" w:eastAsia="IRNazanin" w:cs="IRNazanin"/>
          <w:lang w:bidi="fa-IR"/>
          <w:color w:val="111111"/>
          <w:sz w:val="28"/>
          <w:szCs w:val="28"/>
          <w:rtl/>
        </w:rPr>
        <w:t xml:space="preserve">آغاز: برابر؛ انجام: تا زمان محاصره پنج ماه کشید ... کرمانیان را زمان بحران رسید</w:t>
      </w:r>
    </w:p>
    <w:p>
      <w:pPr>
        <w:pStyle w:val="BookText"/>
      </w:pPr>
      <w:r>
        <w:rPr>
          <w:rFonts w:ascii="IRNazanin" w:hAnsi="IRNazanin" w:eastAsia="IRNazanin" w:cs="IRNazanin"/>
          <w:lang w:bidi="fa-IR"/>
          <w:color w:val="111111"/>
          <w:sz w:val="28"/>
          <w:szCs w:val="28"/>
          <w:rtl/>
        </w:rPr>
        <w:t xml:space="preserve">خط: شکسته نستعلیق، بی کا، تا: قرن ۱۳؛ کاغذ: فرنگی، جلد: تیماج قرمز، ۱۹۷گ، ۵۱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۳۴/۵ سم [ف: ۵-۳۶۱]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578" w:name="pg20363_209901"/>
    <w:bookmarkEnd w:id="578"/>
    <w:p>
      <w:pPr>
        <w:pStyle w:val="BookText"/>
      </w:pPr>
      <w:r>
        <w:rPr>
          <w:rFonts w:ascii="IRNazanin" w:hAnsi="IRNazanin" w:eastAsia="IRNazanin" w:cs="IRNazanin"/>
          <w:lang w:bidi="fa-IR"/>
          <w:color w:val="111111"/>
          <w:sz w:val="28"/>
          <w:szCs w:val="28"/>
          <w:rtl/>
        </w:rPr>
        <w:t xml:space="preserve">٣. تهران، ملک، شماره نسخه: ۴۱۶۱</w:t>
      </w:r>
    </w:p>
    <w:p>
      <w:pPr>
        <w:pStyle w:val="BookText"/>
      </w:pPr>
      <w:r>
        <w:rPr>
          <w:rFonts w:ascii="IRNazanin" w:hAnsi="IRNazanin" w:eastAsia="IRNazanin" w:cs="IRNazanin"/>
          <w:lang w:bidi="fa-IR"/>
          <w:color w:val="111111"/>
          <w:sz w:val="28"/>
          <w:szCs w:val="28"/>
          <w:rtl/>
        </w:rPr>
        <w:t xml:space="preserve">آغاز و انجام: برابر خط: نستعلیق خوش، بی کا، تا: قرن ۱۳؛ مجدول؛ تملک: بهاء الدوله در صفر ۱۲۷۲؛ کاغذ: کاغذ فرنگی آهار مهره، جلد: میشن یشمی، ۱۷۲گ، ۱۷ سطر، اندازه:</w:t>
      </w:r>
    </w:p>
    <w:p>
      <w:pPr>
        <w:pStyle w:val="BookText"/>
      </w:pPr>
      <w:r>
        <w:rPr>
          <w:rFonts w:ascii="IRNazanin" w:hAnsi="IRNazanin" w:eastAsia="IRNazanin" w:cs="IRNazanin"/>
          <w:lang w:bidi="fa-IR"/>
          <w:color w:val="111111"/>
          <w:sz w:val="28"/>
          <w:szCs w:val="28"/>
          <w:rtl/>
        </w:rPr>
        <w:t xml:space="preserve">۳۳/۳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۲۰/۶ سم [ف: ۲-۸۷]</w:t>
      </w:r>
    </w:p>
    <w:p>
      <w:pPr>
        <w:pStyle w:val="BookText"/>
      </w:pPr>
      <w:r>
        <w:rPr>
          <w:rFonts w:ascii="IRNazanin" w:hAnsi="IRNazanin" w:eastAsia="IRNazanin" w:cs="IRNazanin"/>
          <w:lang w:bidi="fa-IR"/>
          <w:color w:val="111111"/>
          <w:sz w:val="28"/>
          <w:szCs w:val="28"/>
          <w:rtl/>
        </w:rPr>
        <w:t xml:space="preserve">۴. قم؛ مسجد اعظم؛ شماره نسخه: ۳۵۸۹</w:t>
      </w:r>
    </w:p>
    <w:p>
      <w:pPr>
        <w:pStyle w:val="BookText"/>
      </w:pPr>
      <w:r>
        <w:rPr>
          <w:rFonts w:ascii="IRNazanin" w:hAnsi="IRNazanin" w:eastAsia="IRNazanin" w:cs="IRNazanin"/>
          <w:lang w:bidi="fa-IR"/>
          <w:color w:val="111111"/>
          <w:sz w:val="28"/>
          <w:szCs w:val="28"/>
          <w:rtl/>
        </w:rPr>
        <w:t xml:space="preserve">آغاز: برابر؛ انجام: ابراهيم خليلخان بعد از آن که چند بار لشکر به بیرون باره فرستاد و شکستهای فاحش یافت در روز دوازدهم شهر محرم الحرام خود بالشکری بنام و ساز و برگی تمام از دروازه خارج گشته در ظاهر قلعه مسافع مسافعت و مواقع مواقعت آراست جلد اول ؛ خط: نستعلیق، بی کا، بی تا؛ جلد: تیماج قهوه ای با ترنج، ۲۱۲گ، ۱۸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مخ: ۱-۳۱۵]</w:t>
      </w:r>
    </w:p>
    <w:p>
      <w:pPr>
        <w:pStyle w:val="BookText"/>
      </w:pPr>
      <w:r>
        <w:rPr>
          <w:rFonts w:ascii="IRNazanin" w:hAnsi="IRNazanin" w:eastAsia="IRNazanin" w:cs="IRNazanin"/>
          <w:lang w:bidi="fa-IR"/>
          <w:color w:val="111111"/>
          <w:sz w:val="28"/>
          <w:szCs w:val="28"/>
          <w:rtl/>
        </w:rPr>
        <w:t xml:space="preserve">۵. تهران؛ مجلس؛ شماره نسخه:۲۳۵</w:t>
      </w:r>
    </w:p>
    <w:p>
      <w:pPr>
        <w:pStyle w:val="BookText"/>
      </w:pPr>
      <w:r>
        <w:rPr>
          <w:rFonts w:ascii="IRNazanin" w:hAnsi="IRNazanin" w:eastAsia="IRNazanin" w:cs="IRNazanin"/>
          <w:lang w:bidi="fa-IR"/>
          <w:color w:val="111111"/>
          <w:sz w:val="28"/>
          <w:szCs w:val="28"/>
          <w:rtl/>
        </w:rPr>
        <w:t xml:space="preserve">آغاز: برابر این نسخه ناتمام و در حوادث سال ۱۲۰۹ هجری به خاتمه رسیده؛ خط: نستعلیق، بی کا، بی تا؛ ۱۸۴، ۱۷ سطر، اندازه: ۲۸/۵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۲-۱۳۲]</w:t>
      </w:r>
    </w:p>
    <w:p>
      <w:pPr>
        <w:pStyle w:val="Heading3"/>
      </w:pPr>
      <w:bookmarkStart w:id="2654" w:name="_Toc1914"/>
      <w:r>
        <w:t>•تاریخ ملكزادگان تخمه خاقان مغفور = شجره نامه قاجار / تاریخ ایران / فارسی</w:t>
      </w:r>
      <w:bookmarkEnd w:id="2654"/>
    </w:p>
    <w:p>
      <w:pPr>
        <w:pStyle w:val="BookText"/>
      </w:pPr>
      <w:r>
        <w:rPr>
          <w:rFonts w:ascii="Times New Roman" w:hAnsi="Times New Roman" w:eastAsia="Times New Roman" w:cs="Times New Roman"/>
          <w:lang w:val="en-US" w:bidi="en-US"/>
          <w:color w:val="111111"/>
          <w:sz w:val="28"/>
          <w:szCs w:val="28"/>
          <w:rtl/>
        </w:rPr>
        <w:t xml:space="preserve">tārīx-e malek-zādegān-e toxme-ye xaqān-e maqfür = šajare-nāme-ye qājār</w:t>
      </w:r>
    </w:p>
    <w:p>
      <w:pPr>
        <w:pStyle w:val="BookText"/>
      </w:pPr>
      <w:r>
        <w:rPr>
          <w:rFonts w:ascii="IRNazanin" w:hAnsi="IRNazanin" w:eastAsia="IRNazanin" w:cs="IRNazanin"/>
          <w:lang w:bidi="fa-IR"/>
          <w:color w:val="111111"/>
          <w:sz w:val="28"/>
          <w:szCs w:val="28"/>
          <w:rtl/>
        </w:rPr>
        <w:t xml:space="preserve">انصاف، ایرج میرزا بن فتحعلی شاه، ۱۲۲۲-۱۲۹۵ قمری</w:t>
      </w:r>
    </w:p>
    <w:p>
      <w:pPr>
        <w:pStyle w:val="BookText"/>
      </w:pPr>
      <w:r>
        <w:rPr>
          <w:rFonts w:ascii="Times New Roman" w:hAnsi="Times New Roman" w:eastAsia="Times New Roman" w:cs="Times New Roman"/>
          <w:lang w:val="en-US" w:bidi="en-US"/>
          <w:color w:val="111111"/>
          <w:sz w:val="28"/>
          <w:szCs w:val="28"/>
          <w:rtl/>
        </w:rPr>
        <w:t xml:space="preserve">ensāf, īraj mīrzā ebn-e fath-‘alī-šāh (1807-1878)</w:t>
      </w:r>
    </w:p>
    <w:p>
      <w:pPr>
        <w:pStyle w:val="BookText"/>
      </w:pPr>
      <w:r>
        <w:rPr>
          <w:rFonts w:ascii="IRNazanin" w:hAnsi="IRNazanin" w:eastAsia="IRNazanin" w:cs="IRNazanin"/>
          <w:lang w:bidi="fa-IR"/>
          <w:color w:val="111111"/>
          <w:sz w:val="28"/>
          <w:szCs w:val="28"/>
          <w:rtl/>
        </w:rPr>
        <w:t xml:space="preserve">اهدا به: ناصرالدین شاه</w:t>
      </w:r>
    </w:p>
    <w:p>
      <w:pPr>
        <w:pStyle w:val="BookText"/>
      </w:pPr>
      <w:r>
        <w:rPr>
          <w:rFonts w:ascii="IRNazanin" w:hAnsi="IRNazanin" w:eastAsia="IRNazanin" w:cs="IRNazanin"/>
          <w:lang w:bidi="fa-IR"/>
          <w:color w:val="111111"/>
          <w:sz w:val="28"/>
          <w:szCs w:val="28"/>
          <w:rtl/>
        </w:rPr>
        <w:t xml:space="preserve">تاریخ تأليف: پس از ۱۲۸۹ق</w:t>
      </w:r>
    </w:p>
    <w:p>
      <w:pPr>
        <w:pStyle w:val="BookText"/>
      </w:pPr>
      <w:r>
        <w:rPr>
          <w:rFonts w:ascii="IRNazanin" w:hAnsi="IRNazanin" w:eastAsia="IRNazanin" w:cs="IRNazanin"/>
          <w:lang w:bidi="fa-IR"/>
          <w:color w:val="111111"/>
          <w:sz w:val="28"/>
          <w:szCs w:val="28"/>
          <w:rtl/>
        </w:rPr>
        <w:t xml:space="preserve">از ملک ایرج قاجار رئيس الاطباء پسر خاقان خلد آشیان که در سه «نمره» و چهار طبقه» نگاشته است: نمره ۱. متولدان پیش از سلطنت؛ نمره ۲. متولدان آغاز سلطنت از ۱۳۱۲ تا ۱۲۲۳؛ نمره ۳. متولدان سالهای ۱۲۲۴ تا ۱۲۵۰؛ طبقه ۱. فرزندان خود خاقان؛ طبقه ۲. نواده او؛ طبقه ۳ و ۴. هر چه یافت شود. ترتیب شرح حالها الفبایی است و در حسنعلی میرزا که شانزدهمین نفر است پایان می پذیرد. این رساله پس از سال ۱۲۸۹ ق تالیف شده چون در شرح حال داراب میرزا پسر سوم بهمن میرزا نوشته: «سنه ۱۲۸۹ در طهران مرحوم شد». آغاز: بسمله، حمد و ستایشی که از اظهارش گلهای معارف از بوستان آمل بصد آب و رنگی از خاک خیزد و استغاثه و استغفاریکه از گفتارش انواع ذنوب و معاصی از شاخسار وجود چون برگ رزان از باد خزان ریزد و ستارالعیوبی را جلت عظمته سزاست ... اما بعد چنین گوید فدوی آستان سلطان ... ملک ایرج ابن خاقان خلد آشیان ... که حسب الأمر .. مأمور نوشتن تاریخ ملكزادگان تخمه خاقان مغفور ... شوم ... این بنده کتاب را به سه نمره و چهار طبقه نهادم ... و شرح احوال اولاد و نواده خاقان در این کتاب مستطاب عرض شده انجام: پسر ششم: قهرمان میرزا سالهاست که در مشهد متوطن می باشد. خط نستعلیق را خوب می نویسد. سه پسر و چهار دختر و سه نواده دارد. پسر هفتم: ابوسعید میرزا وفات کرده چاپ: با تصحیح میر هاشم محدث، گنجينه بهارستان، تاریخ ۲(قاجار)، مسلسل ۱۲، تهران، کتابخانه مجلس شورای اسلامی، ۱۳۸۴ش</w:t>
      </w:r>
    </w:p>
    <w:p>
      <w:pPr>
        <w:pStyle w:val="BookText"/>
      </w:pPr>
      <w:r>
        <w:rPr>
          <w:rFonts w:ascii="IRNazanin" w:hAnsi="IRNazanin" w:eastAsia="IRNazanin" w:cs="IRNazanin"/>
          <w:lang w:bidi="fa-IR"/>
          <w:color w:val="111111"/>
          <w:sz w:val="28"/>
          <w:szCs w:val="28"/>
          <w:rtl/>
        </w:rPr>
        <w:t xml:space="preserve">[فهرستواره منزوی ۸۶۰/۲ با عنوان «تاریخچه احوالات پسرهای خاقان» و ۹۰۶/۲ با عنوان «تاريخ ملكزادگان تخمه خاقان»؛ دنا ۷۴۳٫۲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سلطنتی؛ شماره نسخه:۷۱۷</w:t>
      </w:r>
    </w:p>
    <w:p>
      <w:pPr>
        <w:pStyle w:val="BookText"/>
      </w:pPr>
      <w:r>
        <w:rPr>
          <w:rFonts w:ascii="IRNazanin" w:hAnsi="IRNazanin" w:eastAsia="IRNazanin" w:cs="IRNazanin"/>
          <w:lang w:bidi="fa-IR"/>
          <w:color w:val="111111"/>
          <w:sz w:val="28"/>
          <w:szCs w:val="28"/>
          <w:rtl/>
        </w:rPr>
        <w:t xml:space="preserve">آغاز: برابر؛ انجام: حرره خانه زاد حضرت ظل اللهی سنجر بن ملک ایرج شهر ربيع الاول سنه ۱۲۹۲.</w:t>
      </w:r>
    </w:p>
    <w:p>
      <w:pPr>
        <w:pStyle w:val="BookText"/>
      </w:pPr>
      <w:r>
        <w:rPr>
          <w:rFonts w:ascii="IRNazanin" w:hAnsi="IRNazanin" w:eastAsia="IRNazanin" w:cs="IRNazanin"/>
          <w:lang w:bidi="fa-IR"/>
          <w:color w:val="111111"/>
          <w:sz w:val="28"/>
          <w:szCs w:val="28"/>
          <w:rtl/>
        </w:rPr>
        <w:t xml:space="preserve">خط: شکسته نستعلیق، كا: سنجر بن ملک ایرج، تا: ۱۲۹۲ق؛ مجدول، کمند کشی زرین، یک سرلوح و دو کتیبه، کاغذ: فرنگی، جلد: مقوای روکش چرم لاکی وسط گل ترنج، ۲۵۰ص، ۱۵ سطر، اندازه: ۲۷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۵-۳۱۵]</w:t>
      </w:r>
    </w:p>
    <w:p>
      <w:pPr>
        <w:pStyle w:val="BookText"/>
      </w:pPr>
      <w:r>
        <w:rPr>
          <w:rFonts w:ascii="IRNazanin" w:hAnsi="IRNazanin" w:eastAsia="IRNazanin" w:cs="IRNazanin"/>
          <w:lang w:bidi="fa-IR"/>
          <w:color w:val="111111"/>
          <w:sz w:val="28"/>
          <w:szCs w:val="28"/>
          <w:rtl/>
        </w:rPr>
        <w:t xml:space="preserve">۲. تهران؛ مجلس؛ شماره نسخه:۵۹۳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۱۴؛ افتادگی: انجام؛ مجدول، با کمند زر و لاجورد، با سرلوحه کاغذ: سفید، جلد: گالینگور، ۲۴گ، ۱۲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آسنا: ف: ۱-۳۸۳]</w:t>
      </w:r>
    </w:p>
    <w:p>
      <w:pPr>
        <w:pStyle w:val="Heading3"/>
      </w:pPr>
      <w:bookmarkStart w:id="2655" w:name="_Toc1915"/>
      <w:r>
        <w:t>•تاریخ الملك الظاهر / تاریخ / عربی</w:t>
      </w:r>
      <w:bookmarkEnd w:id="2655"/>
    </w:p>
    <w:p>
      <w:pPr>
        <w:pStyle w:val="BookText"/>
      </w:pPr>
      <w:r>
        <w:rPr>
          <w:rFonts w:ascii="Times New Roman" w:hAnsi="Times New Roman" w:eastAsia="Times New Roman" w:cs="Times New Roman"/>
          <w:lang w:val="en-US" w:bidi="en-US"/>
          <w:color w:val="111111"/>
          <w:sz w:val="28"/>
          <w:szCs w:val="28"/>
          <w:rtl/>
        </w:rPr>
        <w:t xml:space="preserve">tarix-ul malik az-zahir</w:t>
      </w:r>
    </w:p>
    <w:p>
      <w:pPr>
        <w:pStyle w:val="BookText"/>
      </w:pPr>
      <w:r>
        <w:rPr>
          <w:rFonts w:ascii="IRNazanin" w:hAnsi="IRNazanin" w:eastAsia="IRNazanin" w:cs="IRNazanin"/>
          <w:lang w:bidi="fa-IR"/>
          <w:color w:val="111111"/>
          <w:sz w:val="28"/>
          <w:szCs w:val="28"/>
          <w:rtl/>
        </w:rPr>
        <w:t xml:space="preserve">تهران؛ دانشگاه؛ شماره نسخه:۹۴۷-ف</w:t>
      </w:r>
    </w:p>
    <w:p>
      <w:pPr>
        <w:pStyle w:val="BookText"/>
      </w:pPr>
      <w:r>
        <w:rPr>
          <w:rFonts w:ascii="IRNazanin" w:hAnsi="IRNazanin" w:eastAsia="IRNazanin" w:cs="IRNazanin"/>
          <w:lang w:bidi="fa-IR"/>
          <w:color w:val="111111"/>
          <w:sz w:val="28"/>
          <w:szCs w:val="28"/>
          <w:rtl/>
        </w:rPr>
        <w:t xml:space="preserve">نسخه اصل: از ترکیه ش ۲۳۰۶. جزو دوم. در پایان این نسخه آمده که محمد شرف الدين مدرس جامعه استانبول در ۲۶ نیسان ۱۳ صفر ۱۳۵۶ آن را به ترکی در آورده است؛ خط: نسخ، بی کا، بی تا [فیلمها ف: ۱-۲۹۴]</w:t>
      </w:r>
    </w:p>
    <w:p>
      <w:pPr>
        <w:pStyle w:val="BookText"/>
      </w:pPr>
      <w:r>
        <w:rPr>
          <w:rFonts w:ascii="IRNazanin" w:hAnsi="IRNazanin" w:eastAsia="IRNazanin" w:cs="IRNazanin"/>
          <w:lang w:bidi="fa-IR"/>
          <w:color w:val="111111"/>
          <w:sz w:val="28"/>
          <w:szCs w:val="28"/>
          <w:rtl/>
        </w:rPr>
        <w:t xml:space="preserve">←تاریخ الملوک و الأنبياء ← تاریخ ملوک عجم</w:t>
      </w:r>
    </w:p>
    <w:p>
      <w:pPr>
        <w:pStyle w:val="BookText"/>
      </w:pPr>
      <w:r>
        <w:rPr>
          <w:rFonts w:ascii="IRNazanin" w:hAnsi="IRNazanin" w:eastAsia="IRNazanin" w:cs="IRNazanin"/>
          <w:lang w:bidi="fa-IR"/>
          <w:color w:val="111111"/>
          <w:sz w:val="28"/>
          <w:szCs w:val="28"/>
          <w:rtl/>
        </w:rPr>
        <w:t xml:space="preserve">← تاریخ ملکوک کرت ← تاریخ نامه هرات</w:t>
      </w:r>
    </w:p>
    <w:p>
      <w:pPr>
        <w:pStyle w:val="Heading3"/>
      </w:pPr>
      <w:bookmarkStart w:id="2656" w:name="_Toc1916"/>
      <w:r>
        <w:t>•تاریخ ملل قديمه مشرق / تاریخ / فارسی</w:t>
      </w:r>
      <w:bookmarkEnd w:id="2656"/>
    </w:p>
    <w:p>
      <w:pPr>
        <w:pStyle w:val="BookText"/>
      </w:pPr>
      <w:r>
        <w:rPr>
          <w:rFonts w:ascii="Times New Roman" w:hAnsi="Times New Roman" w:eastAsia="Times New Roman" w:cs="Times New Roman"/>
          <w:lang w:val="en-US" w:bidi="en-US"/>
          <w:color w:val="111111"/>
          <w:sz w:val="28"/>
          <w:szCs w:val="28"/>
          <w:rtl/>
        </w:rPr>
        <w:t xml:space="preserve">tārīx-e melal-e qadīme-ye mašreq</w:t>
      </w:r>
    </w:p>
    <w:p>
      <w:pPr>
        <w:pStyle w:val="BookText"/>
      </w:pPr>
      <w:r>
        <w:rPr>
          <w:rFonts w:ascii="IRNazanin" w:hAnsi="IRNazanin" w:eastAsia="IRNazanin" w:cs="IRNazanin"/>
          <w:lang w:bidi="fa-IR"/>
          <w:color w:val="111111"/>
          <w:sz w:val="28"/>
          <w:szCs w:val="28"/>
          <w:rtl/>
        </w:rPr>
        <w:t xml:space="preserve">فروغی، محمد علی، ۱۲۵۴-۱۳۲۱ شمسی</w:t>
      </w:r>
    </w:p>
    <w:p>
      <w:pPr>
        <w:pStyle w:val="BookText"/>
      </w:pPr>
      <w:r>
        <w:rPr>
          <w:rFonts w:ascii="Times New Roman" w:hAnsi="Times New Roman" w:eastAsia="Times New Roman" w:cs="Times New Roman"/>
          <w:lang w:val="en-US" w:bidi="en-US"/>
          <w:color w:val="111111"/>
          <w:sz w:val="28"/>
          <w:szCs w:val="28"/>
          <w:rtl/>
        </w:rPr>
        <w:t xml:space="preserve">forūgī, mohammad ‘alī (1875-1942)</w:t>
      </w:r>
    </w:p>
    <w:p>
      <w:pPr>
        <w:pStyle w:val="BookText"/>
      </w:pPr>
      <w:r>
        <w:rPr>
          <w:rFonts w:ascii="IRNazanin" w:hAnsi="IRNazanin" w:eastAsia="IRNazanin" w:cs="IRNazanin"/>
          <w:lang w:bidi="fa-IR"/>
          <w:color w:val="111111"/>
          <w:sz w:val="28"/>
          <w:szCs w:val="28"/>
          <w:rtl/>
        </w:rPr>
        <w:t xml:space="preserve">تاريخ تأليف: ۱۳۱۷ق ترجمه میرزا محمد علی خان فروغی اصفهانی (۱۲۹۴- ۱۳۶۱ق) از کتاب مسیو سن يوبس فرانسوی و انشاء پدرش میرزا محمد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bookmarkStart w:id="579" w:name="pg20363_209902"/>
    <w:bookmarkEnd w:id="579"/>
    <w:p>
      <w:pPr>
        <w:pStyle w:val="BookText"/>
      </w:pPr>
      <w:r>
        <w:rPr>
          <w:rFonts w:ascii="IRNazanin" w:hAnsi="IRNazanin" w:eastAsia="IRNazanin" w:cs="IRNazanin"/>
          <w:lang w:bidi="fa-IR"/>
          <w:color w:val="111111"/>
          <w:sz w:val="28"/>
          <w:szCs w:val="28"/>
          <w:rtl/>
        </w:rPr>
        <w:t xml:space="preserve">حسین خان ادیب ذكاء الملک فروغی (۱۲۵۵-۱۳۲۵ق) در زمان وزارت خارجه میرزا نصرالله خان مشیرالدوله نایینی در ۱۳۱۷ برای مدرسه سیاسی. چاپ: تهران، سنگی، ۱۳۱۸ق، رقعی، ۴۸۲ص؛ طهران، سنگی، ۱۳۲۸، رقعی، ۳۲۹+۱صص</w:t>
      </w:r>
    </w:p>
    <w:p>
      <w:pPr>
        <w:pStyle w:val="BookText"/>
      </w:pPr>
      <w:r>
        <w:rPr>
          <w:rFonts w:ascii="IRNazanin" w:hAnsi="IRNazanin" w:eastAsia="IRNazanin" w:cs="IRNazanin"/>
          <w:lang w:bidi="fa-IR"/>
          <w:color w:val="111111"/>
          <w:sz w:val="28"/>
          <w:szCs w:val="28"/>
          <w:rtl/>
        </w:rPr>
        <w:t xml:space="preserve">[ بامداد ۳۸۴/۳ و ۴۵۰؛ دنا ۷۴۳/۲ ؛ مشار فارسی ج ۱، ص ۱۱۴۲]</w:t>
      </w:r>
    </w:p>
    <w:p>
      <w:pPr>
        <w:pStyle w:val="BookText"/>
      </w:pPr>
      <w:r>
        <w:rPr>
          <w:rFonts w:ascii="IRNazanin" w:hAnsi="IRNazanin" w:eastAsia="IRNazanin" w:cs="IRNazanin"/>
          <w:lang w:bidi="fa-IR"/>
          <w:color w:val="111111"/>
          <w:sz w:val="28"/>
          <w:szCs w:val="28"/>
          <w:rtl/>
        </w:rPr>
        <w:t xml:space="preserve">تهران؛ دانشگاه؛ شماره نسخه:۹۹۵۶</w:t>
      </w:r>
    </w:p>
    <w:p>
      <w:pPr>
        <w:pStyle w:val="BookText"/>
      </w:pPr>
      <w:r>
        <w:rPr>
          <w:rFonts w:ascii="IRNazanin" w:hAnsi="IRNazanin" w:eastAsia="IRNazanin" w:cs="IRNazanin"/>
          <w:lang w:bidi="fa-IR"/>
          <w:color w:val="111111"/>
          <w:sz w:val="28"/>
          <w:szCs w:val="28"/>
          <w:rtl/>
        </w:rPr>
        <w:t xml:space="preserve">خط: نستعلیق، کا: حاج میرزا سید احمد تفرشی قمی، تا: ۳ صفر ئیلان ئیل ۱۳۲۳ق؛ با فهرست کتابهایی که خود او نوشته است در ص ع؛ کاغذ: فرنگی، جلد: مقوا، ۱۵۷ گ، ۱۸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۱۷-۵۱۳]</w:t>
      </w:r>
    </w:p>
    <w:p>
      <w:pPr>
        <w:pStyle w:val="Heading3"/>
      </w:pPr>
      <w:bookmarkStart w:id="2657" w:name="_Toc1917"/>
      <w:r>
        <w:t>•تاریخ ملل قديمه مشرق / تاریخ / فارسی</w:t>
      </w:r>
      <w:bookmarkEnd w:id="2657"/>
    </w:p>
    <w:p>
      <w:pPr>
        <w:pStyle w:val="BookText"/>
      </w:pPr>
      <w:r>
        <w:rPr>
          <w:rFonts w:ascii="Times New Roman" w:hAnsi="Times New Roman" w:eastAsia="Times New Roman" w:cs="Times New Roman"/>
          <w:lang w:val="en-US" w:bidi="en-US"/>
          <w:color w:val="111111"/>
          <w:sz w:val="28"/>
          <w:szCs w:val="28"/>
          <w:rtl/>
        </w:rPr>
        <w:t xml:space="preserve">tārīx-e melal-e qadīme-ye mašreq</w:t>
      </w:r>
    </w:p>
    <w:p>
      <w:pPr>
        <w:pStyle w:val="BookText"/>
      </w:pPr>
      <w:r>
        <w:rPr>
          <w:rFonts w:ascii="IRNazanin" w:hAnsi="IRNazanin" w:eastAsia="IRNazanin" w:cs="IRNazanin"/>
          <w:lang w:bidi="fa-IR"/>
          <w:color w:val="111111"/>
          <w:sz w:val="28"/>
          <w:szCs w:val="28"/>
          <w:rtl/>
        </w:rPr>
        <w:t xml:space="preserve">فروغی، ابوالحسن، ۱۲۶۳-۱۳۳۸ شمسی</w:t>
      </w:r>
    </w:p>
    <w:p>
      <w:pPr>
        <w:pStyle w:val="BookText"/>
      </w:pPr>
      <w:r>
        <w:rPr>
          <w:rFonts w:ascii="Times New Roman" w:hAnsi="Times New Roman" w:eastAsia="Times New Roman" w:cs="Times New Roman"/>
          <w:lang w:val="en-US" w:bidi="en-US"/>
          <w:color w:val="111111"/>
          <w:sz w:val="28"/>
          <w:szCs w:val="28"/>
          <w:rtl/>
        </w:rPr>
        <w:t xml:space="preserve">foruqi, ab-ol-hasan (1884-1959)</w:t>
      </w:r>
    </w:p>
    <w:p>
      <w:pPr>
        <w:pStyle w:val="BookText"/>
      </w:pPr>
      <w:r>
        <w:rPr>
          <w:rFonts w:ascii="IRNazanin" w:hAnsi="IRNazanin" w:eastAsia="IRNazanin" w:cs="IRNazanin"/>
          <w:lang w:bidi="fa-IR"/>
          <w:color w:val="111111"/>
          <w:sz w:val="28"/>
          <w:szCs w:val="28"/>
          <w:rtl/>
        </w:rPr>
        <w:t xml:space="preserve">با مقدماتی درباره تاریخ و پس از آن تاریخ کوتاه تمدن های کهن مشرق زمین.</w:t>
      </w:r>
    </w:p>
    <w:p>
      <w:pPr>
        <w:pStyle w:val="BookText"/>
      </w:pPr>
      <w:r>
        <w:rPr>
          <w:rFonts w:ascii="IRNazanin" w:hAnsi="IRNazanin" w:eastAsia="IRNazanin" w:cs="IRNazanin"/>
          <w:lang w:bidi="fa-IR"/>
          <w:color w:val="111111"/>
          <w:sz w:val="28"/>
          <w:szCs w:val="28"/>
          <w:rtl/>
        </w:rPr>
        <w:t xml:space="preserve">۱. تهران، دانشگاه؛ شماره نسخه: ۱۰۸۶۸/۱</w:t>
      </w:r>
    </w:p>
    <w:p>
      <w:pPr>
        <w:pStyle w:val="BookText"/>
      </w:pPr>
      <w:r>
        <w:rPr>
          <w:rFonts w:ascii="IRNazanin" w:hAnsi="IRNazanin" w:eastAsia="IRNazanin" w:cs="IRNazanin"/>
          <w:lang w:bidi="fa-IR"/>
          <w:color w:val="111111"/>
          <w:sz w:val="28"/>
          <w:szCs w:val="28"/>
          <w:rtl/>
        </w:rPr>
        <w:t xml:space="preserve">آغاز: مقدمه. تعریف تاریخ تاریخ عبارت است از شرح تغییرات راجعه به انسان که در اوضاع عالم حادث شده است؛ انجام: تاریخ فراعنه تقریبا در حدود ۵۰۰۰ سال قبل از میلاد مسیح شروع شده و مؤسس سلسله خط: نستعلیق، کاتب = مؤلف، تا: قرن ۱۴؛ افتادگی: انجام؛ جلد: مقوا، ۲۰گ (۱ر-۲۰پ)،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۲۰-۴۴۴]</w:t>
      </w:r>
    </w:p>
    <w:p>
      <w:pPr>
        <w:pStyle w:val="BookText"/>
      </w:pPr>
      <w:r>
        <w:rPr>
          <w:rFonts w:ascii="IRNazanin" w:hAnsi="IRNazanin" w:eastAsia="IRNazanin" w:cs="IRNazanin"/>
          <w:lang w:bidi="fa-IR"/>
          <w:color w:val="111111"/>
          <w:sz w:val="28"/>
          <w:szCs w:val="28"/>
          <w:rtl/>
        </w:rPr>
        <w:t xml:space="preserve">۲. تهران: دانشگاه؛ شماره نسخه: ۱۰۸۷۱/۱</w:t>
      </w:r>
    </w:p>
    <w:p>
      <w:pPr>
        <w:pStyle w:val="BookText"/>
      </w:pPr>
      <w:r>
        <w:rPr>
          <w:rFonts w:ascii="IRNazanin" w:hAnsi="IRNazanin" w:eastAsia="IRNazanin" w:cs="IRNazanin"/>
          <w:lang w:bidi="fa-IR"/>
          <w:color w:val="111111"/>
          <w:sz w:val="28"/>
          <w:szCs w:val="28"/>
          <w:rtl/>
        </w:rPr>
        <w:t xml:space="preserve">آغاز: تعریف تاریخ. تاریخ شرح وقایع و تغییرات گذشته است که در احوال انسان خصوصا ملل متحده دارای خط و کتابت حاصل شده است؛ انجام: ولی در این مورد باید متذکر بود که حب پادشاه در میان ایرانیها منشأ دیگر داشته است یعنی به منزله حب وطن بوده است خط: نستعلیق، کا: سید مرتضی خلف سید محسن تقوی رضوی اخوی، تا: سه شنبه ۲۳ شوال ۱۳۳۷ق؛ جلد: مقوا، ۱۶-۱۸ سطر (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و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سم [ف: ۲۰-۴۵۱]</w:t>
      </w:r>
    </w:p>
    <w:p>
      <w:pPr>
        <w:pStyle w:val="Heading3"/>
      </w:pPr>
      <w:bookmarkStart w:id="2658" w:name="_Toc1918"/>
      <w:r>
        <w:t>• تاریخ ملوک اسلامی / تاریخ / ترکی</w:t>
      </w:r>
      <w:bookmarkEnd w:id="2658"/>
    </w:p>
    <w:p>
      <w:pPr>
        <w:pStyle w:val="BookText"/>
      </w:pPr>
      <w:r>
        <w:rPr>
          <w:rFonts w:ascii="Times New Roman" w:hAnsi="Times New Roman" w:eastAsia="Times New Roman" w:cs="Times New Roman"/>
          <w:lang w:val="en-US" w:bidi="en-US"/>
          <w:color w:val="111111"/>
          <w:sz w:val="28"/>
          <w:szCs w:val="28"/>
          <w:rtl/>
        </w:rPr>
        <w:t xml:space="preserve">tārīx-e molūk-e eslāmī</w:t>
      </w:r>
    </w:p>
    <w:p>
      <w:pPr>
        <w:pStyle w:val="BookText"/>
      </w:pPr>
      <w:r>
        <w:rPr>
          <w:rFonts w:ascii="IRNazanin" w:hAnsi="IRNazanin" w:eastAsia="IRNazanin" w:cs="IRNazanin"/>
          <w:lang w:bidi="fa-IR"/>
          <w:color w:val="111111"/>
          <w:sz w:val="28"/>
          <w:szCs w:val="28"/>
          <w:rtl/>
        </w:rPr>
        <w:t xml:space="preserve">تاريخ تأليف: ۱۰۸۰ق مشجراتی است در تاریخ ملوک اسلامی از صدر اسلام تا سال تالیف (۱۰۸۰). در متن شجره هایی است که سلسله های پادشاهان را نمایش می دهد و در حاشیه به نثر ترکی مطالب توضیحی می آید.</w:t>
      </w:r>
    </w:p>
    <w:p>
      <w:pPr>
        <w:pStyle w:val="BookText"/>
      </w:pPr>
      <w:r>
        <w:rPr>
          <w:rFonts w:ascii="IRNazanin" w:hAnsi="IRNazanin" w:eastAsia="IRNazanin" w:cs="IRNazanin"/>
          <w:lang w:bidi="fa-IR"/>
          <w:color w:val="111111"/>
          <w:sz w:val="28"/>
          <w:szCs w:val="28"/>
          <w:rtl/>
        </w:rPr>
        <w:t xml:space="preserve">تهران؛ مجلس؛ شماره نسخه:۹۶۶۹/۳</w:t>
      </w:r>
    </w:p>
    <w:p>
      <w:pPr>
        <w:pStyle w:val="BookText"/>
      </w:pPr>
      <w:r>
        <w:rPr>
          <w:rFonts w:ascii="IRNazanin" w:hAnsi="IRNazanin" w:eastAsia="IRNazanin" w:cs="IRNazanin"/>
          <w:lang w:bidi="fa-IR"/>
          <w:color w:val="111111"/>
          <w:sz w:val="28"/>
          <w:szCs w:val="28"/>
          <w:rtl/>
        </w:rPr>
        <w:t xml:space="preserve">آغاز: بسمله. الحمدلله الأول قبل الأوائل و الاخر بعد كل زائل و الصلوة على نبيه محمد ... اما بعد بو رساله که رسول اکرم صلی الله عليه و سلم دن با شليوب الى يومنا هذا يعنی تاریخ محر تدن نیک سکسان بر سنه سنه کلنجه ملوک اسلامیه نک سلسله نسباری شجره طریقی اورره تحریر اولنوب و حاشیه خط: نستعلیق، بی کا، بی تا؛ جلد: تیماج سرخ ترنج دار، ۱۶گ ( ۱۰۹-۹۴ پ)، ۱۹ سطر، اندازه: ۸۲۰ ۳۱سم [ف: ۳۱-۴۳]</w:t>
      </w:r>
    </w:p>
    <w:p>
      <w:pPr>
        <w:pStyle w:val="Heading3"/>
      </w:pPr>
      <w:bookmarkStart w:id="2659" w:name="_Toc1919"/>
      <w:r>
        <w:t>•تاریخ ملوک ایران / تاریخ ایران / فارسی</w:t>
      </w:r>
      <w:bookmarkEnd w:id="2659"/>
    </w:p>
    <w:p>
      <w:pPr>
        <w:pStyle w:val="BookText"/>
      </w:pPr>
      <w:r>
        <w:rPr>
          <w:rFonts w:ascii="Times New Roman" w:hAnsi="Times New Roman" w:eastAsia="Times New Roman" w:cs="Times New Roman"/>
          <w:lang w:val="en-US" w:bidi="en-US"/>
          <w:color w:val="111111"/>
          <w:sz w:val="28"/>
          <w:szCs w:val="28"/>
          <w:rtl/>
        </w:rPr>
        <w:t xml:space="preserve">tārīx-e molūk-e īrān</w:t>
      </w:r>
    </w:p>
    <w:p>
      <w:pPr>
        <w:pStyle w:val="BookText"/>
      </w:pPr>
      <w:r>
        <w:rPr>
          <w:rFonts w:ascii="IRNazanin" w:hAnsi="IRNazanin" w:eastAsia="IRNazanin" w:cs="IRNazanin"/>
          <w:lang w:bidi="fa-IR"/>
          <w:color w:val="111111"/>
          <w:sz w:val="28"/>
          <w:szCs w:val="28"/>
          <w:rtl/>
        </w:rPr>
        <w:t xml:space="preserve">غیر همانند: 1. تهران؛ مجلس؛ شماره نسخه: ۱۳۷۴۱/۴۵</w:t>
      </w:r>
    </w:p>
    <w:p>
      <w:pPr>
        <w:pStyle w:val="BookText"/>
      </w:pPr>
      <w:r>
        <w:rPr>
          <w:rFonts w:ascii="IRNazanin" w:hAnsi="IRNazanin" w:eastAsia="IRNazanin" w:cs="IRNazanin"/>
          <w:lang w:bidi="fa-IR"/>
          <w:color w:val="111111"/>
          <w:sz w:val="28"/>
          <w:szCs w:val="28"/>
          <w:rtl/>
        </w:rPr>
        <w:t xml:space="preserve">آغاز: الحمد لله رب العالمین و الصلوة و السلام على خير خلقه و مظهر حقه و آله و أصحابه بعد باید دانست که از روزگار آدم صفی که پدر نخستین آدمیان بود بدین عصر تاریخ مختصر پیش دادیان و کیانیان و اشکانیان و ساسانیان است با ذکر اسامی شاهان در جداول و ذکر سنت هر کدام و لقب و مدت پادشاهی هر یک؛ خط: نستعلیق، كا: فریدون بن مرزبان، تا: ۱۰۳۶ق (= ۱۱ بهمن ماه الهی ۹۹۶ یزدجرد بن شهریار)؛ جلد: پارچه مشکی عطف تیماج، ۴گ(۴۸۹پ -۴۹۲ر) [ف: ۳۷-۲۷۶]</w:t>
      </w:r>
    </w:p>
    <w:p>
      <w:pPr>
        <w:pStyle w:val="BookText"/>
      </w:pPr>
      <w:r>
        <w:rPr>
          <w:rFonts w:ascii="IRNazanin" w:hAnsi="IRNazanin" w:eastAsia="IRNazanin" w:cs="IRNazanin"/>
          <w:lang w:bidi="fa-IR"/>
          <w:color w:val="111111"/>
          <w:sz w:val="28"/>
          <w:szCs w:val="28"/>
          <w:rtl/>
        </w:rPr>
        <w:t xml:space="preserve">۲. تهران؛ مجلس؛ شماره نسخه: ۱۳۸۴۲/۳۸</w:t>
      </w:r>
    </w:p>
    <w:p>
      <w:pPr>
        <w:pStyle w:val="BookText"/>
      </w:pPr>
      <w:r>
        <w:rPr>
          <w:rFonts w:ascii="IRNazanin" w:hAnsi="IRNazanin" w:eastAsia="IRNazanin" w:cs="IRNazanin"/>
          <w:lang w:bidi="fa-IR"/>
          <w:color w:val="111111"/>
          <w:sz w:val="28"/>
          <w:szCs w:val="28"/>
          <w:rtl/>
        </w:rPr>
        <w:t xml:space="preserve">مختصری است در تاریخ پادشاهان ایران قبل از اسلام رسم شده در جداولی بدین ترتیب: طبقه اول پیش دادیان و طبقه دوم کیان و اسکندر رومی، طبقه سوم اشکانیان و طبقه چهارم ساسانیان؛ خط: نستعلیق، بی کا، تا: ۱۰۳۶ق؛ جلد: مقوایی آبی عطف پارچه، ۳گ (۲۵۴ر - ۲۵۶ر)، ۱۸ سطر [ف: ۳۷-۴۰۷]</w:t>
      </w:r>
    </w:p>
    <w:p>
      <w:pPr>
        <w:pStyle w:val="Heading3"/>
      </w:pPr>
      <w:bookmarkStart w:id="2660" w:name="_Toc1920"/>
      <w:r>
        <w:t>•تاریخ ملوک عجم = کتاب تاریخ / تاریخ ایران / ترکی</w:t>
      </w:r>
      <w:bookmarkEnd w:id="2660"/>
    </w:p>
    <w:p>
      <w:pPr>
        <w:pStyle w:val="BookText"/>
      </w:pPr>
      <w:r>
        <w:rPr>
          <w:rFonts w:ascii="Times New Roman" w:hAnsi="Times New Roman" w:eastAsia="Times New Roman" w:cs="Times New Roman"/>
          <w:lang w:val="en-US" w:bidi="en-US"/>
          <w:color w:val="111111"/>
          <w:sz w:val="28"/>
          <w:szCs w:val="28"/>
          <w:rtl/>
        </w:rPr>
        <w:t xml:space="preserve">tārīx-e molūk-e ‘ajam = k.-e tārīx</w:t>
      </w:r>
    </w:p>
    <w:p>
      <w:pPr>
        <w:pStyle w:val="BookText"/>
      </w:pPr>
      <w:r>
        <w:rPr>
          <w:rFonts w:ascii="IRNazanin" w:hAnsi="IRNazanin" w:eastAsia="IRNazanin" w:cs="IRNazanin"/>
          <w:lang w:bidi="fa-IR"/>
          <w:color w:val="111111"/>
          <w:sz w:val="28"/>
          <w:szCs w:val="28"/>
          <w:rtl/>
        </w:rPr>
        <w:t xml:space="preserve">امیر علیشیر نوائی، علیشیر بن کيچکنه، ۸۴۴-۹۰۶؟ قمری</w:t>
      </w:r>
    </w:p>
    <w:p>
      <w:pPr>
        <w:pStyle w:val="BookText"/>
      </w:pPr>
      <w:r>
        <w:rPr>
          <w:rFonts w:ascii="Times New Roman" w:hAnsi="Times New Roman" w:eastAsia="Times New Roman" w:cs="Times New Roman"/>
          <w:lang w:val="en-US" w:bidi="en-US"/>
          <w:color w:val="111111"/>
          <w:sz w:val="28"/>
          <w:szCs w:val="28"/>
          <w:rtl/>
        </w:rPr>
        <w:t xml:space="preserve">amīr 'alī-šīr-e navā'ī, ‘alī-šīrebn-e kīčakne (1441 1501)</w:t>
      </w:r>
    </w:p>
    <w:p>
      <w:pPr>
        <w:pStyle w:val="BookText"/>
      </w:pPr>
      <w:r>
        <w:rPr>
          <w:rFonts w:ascii="IRNazanin" w:hAnsi="IRNazanin" w:eastAsia="IRNazanin" w:cs="IRNazanin"/>
          <w:lang w:bidi="fa-IR"/>
          <w:color w:val="111111"/>
          <w:sz w:val="28"/>
          <w:szCs w:val="28"/>
          <w:rtl/>
        </w:rPr>
        <w:t xml:space="preserve">تاریخ پادشاهان ایران باستان است که پیش از ۸۹۰ ق نگاشته شده است. در ۴ طبقه»: ۱. پیشدادیان، ۲. کیانیان، ۳. اشکانیان، ۴. ساسانیان. نخست آن را در «خمسه» به زبان ترکی جغتائی نگاشته است، سپس به فارسی در آورده است. (احمد منزوی) آغاز: عجم تاریخی دافرس سلاطينی نی تورت طبقه دیب دولار انجام: قیامت قه چه حشمتینک مستدام سلامینک قیلیب شاه لار و السلم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bookmarkStart w:id="580" w:name="pg20363_209903"/>
    <w:bookmarkEnd w:id="580"/>
    <w:p>
      <w:pPr>
        <w:pStyle w:val="BookText"/>
      </w:pPr>
      <w:r>
        <w:rPr>
          <w:rFonts w:ascii="IRNazanin" w:hAnsi="IRNazanin" w:eastAsia="IRNazanin" w:cs="IRNazanin"/>
          <w:lang w:bidi="fa-IR"/>
          <w:color w:val="111111"/>
          <w:sz w:val="28"/>
          <w:szCs w:val="28"/>
          <w:rtl/>
        </w:rPr>
        <w:t xml:space="preserve">چاپ: پاریس، در سال ۱۸۴۱م /۱۲۵۷ ق به کوشش کاتر مر؛ تاشکند، به کوشش استاد خليل اف، ۱۹۶۸م</w:t>
      </w:r>
    </w:p>
    <w:p>
      <w:pPr>
        <w:pStyle w:val="BookText"/>
      </w:pPr>
      <w:r>
        <w:rPr>
          <w:rFonts w:ascii="IRNazanin" w:hAnsi="IRNazanin" w:eastAsia="IRNazanin" w:cs="IRNazanin"/>
          <w:lang w:bidi="fa-IR"/>
          <w:color w:val="111111"/>
          <w:sz w:val="28"/>
          <w:szCs w:val="28"/>
          <w:rtl/>
        </w:rPr>
        <w:t xml:space="preserve">[دنا ۷۴۳/۲ ؛ فهرستواره منزوی ۹۰۶/۲ ]</w:t>
      </w:r>
    </w:p>
    <w:p>
      <w:pPr>
        <w:pStyle w:val="BookText"/>
      </w:pPr>
      <w:r>
        <w:rPr>
          <w:rFonts w:ascii="IRNazanin" w:hAnsi="IRNazanin" w:eastAsia="IRNazanin" w:cs="IRNazanin"/>
          <w:lang w:bidi="fa-IR"/>
          <w:color w:val="111111"/>
          <w:sz w:val="28"/>
          <w:szCs w:val="28"/>
          <w:rtl/>
        </w:rPr>
        <w:t xml:space="preserve">۱. تبریز؛ ملی؛ شماره نسخه:۳۵۸۲/۱۸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کاغذ: ابریشمی و ترمه، جلد: چرمی سیاه و باسمه منقش، ۱۶گ،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 سم [ف: ۳-۱۱۱۱]</w:t>
      </w:r>
    </w:p>
    <w:p>
      <w:pPr>
        <w:pStyle w:val="BookText"/>
      </w:pPr>
      <w:r>
        <w:rPr>
          <w:rFonts w:ascii="IRNazanin" w:hAnsi="IRNazanin" w:eastAsia="IRNazanin" w:cs="IRNazanin"/>
          <w:lang w:bidi="fa-IR"/>
          <w:color w:val="111111"/>
          <w:sz w:val="28"/>
          <w:szCs w:val="28"/>
          <w:rtl/>
        </w:rPr>
        <w:t xml:space="preserve">۲. تهران؛ سلطنتی؛ شماره نسخه: ۱۷۷۰/۱۴</w:t>
      </w:r>
    </w:p>
    <w:p>
      <w:pPr>
        <w:pStyle w:val="BookText"/>
      </w:pPr>
      <w:r>
        <w:rPr>
          <w:rFonts w:ascii="IRNazanin" w:hAnsi="IRNazanin" w:eastAsia="IRNazanin" w:cs="IRNazanin"/>
          <w:lang w:bidi="fa-IR"/>
          <w:color w:val="111111"/>
          <w:sz w:val="28"/>
          <w:szCs w:val="28"/>
          <w:rtl/>
        </w:rPr>
        <w:t xml:space="preserve">خط: نستعلیق، بی کا، بی تا، مجدول زرین و فیروزه ای، یک شمسه مذهب مرصع ممتاز، دو صفحه اول تمامی متن مذهب مرصع ممتاز به سبک کار هرات، به سفیداب چنین رقم رفته «کتاب کلیات افصح المتكلمين علامة الزمان و املح المتاخرین نادرة الدوران حضرت امیر علیشیر نوائی عليه الرحمة و الغفران»؛ تملک: سليمان بن محمد خان قاجار بوده؛ کاغذ: عادلشاهی، جلد: مقوای روکش چرم مشکی ساغری با تزیینات، ۲۷ سطر، اندازه:</w:t>
      </w:r>
    </w:p>
    <w:p>
      <w:pPr>
        <w:pStyle w:val="BookText"/>
      </w:pPr>
      <w:r>
        <w:rPr>
          <w:rFonts w:ascii="IRNazanin" w:hAnsi="IRNazanin" w:eastAsia="IRNazanin" w:cs="IRNazanin"/>
          <w:lang w:bidi="fa-IR"/>
          <w:color w:val="111111"/>
          <w:sz w:val="28"/>
          <w:szCs w:val="28"/>
          <w:rtl/>
        </w:rPr>
        <w:t xml:space="preserve">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۳-۹۰]</w:t>
      </w:r>
    </w:p>
    <w:p>
      <w:pPr>
        <w:pStyle w:val="Heading3"/>
      </w:pPr>
      <w:bookmarkStart w:id="2661" w:name="_Toc1921"/>
      <w:r>
        <w:t>• تاریخ ملوک عجم / تاریخ / فارسی</w:t>
      </w:r>
      <w:bookmarkEnd w:id="2661"/>
    </w:p>
    <w:p>
      <w:pPr>
        <w:pStyle w:val="BookText"/>
      </w:pPr>
      <w:r>
        <w:rPr>
          <w:rFonts w:ascii="Times New Roman" w:hAnsi="Times New Roman" w:eastAsia="Times New Roman" w:cs="Times New Roman"/>
          <w:lang w:val="en-US" w:bidi="en-US"/>
          <w:color w:val="111111"/>
          <w:sz w:val="28"/>
          <w:szCs w:val="28"/>
          <w:rtl/>
        </w:rPr>
        <w:t xml:space="preserve">tārīx-e molūk-e ‘ajam</w:t>
      </w:r>
    </w:p>
    <w:p>
      <w:pPr>
        <w:pStyle w:val="BookText"/>
      </w:pPr>
      <w:r>
        <w:rPr>
          <w:rFonts w:ascii="IRNazanin" w:hAnsi="IRNazanin" w:eastAsia="IRNazanin" w:cs="IRNazanin"/>
          <w:lang w:bidi="fa-IR"/>
          <w:color w:val="111111"/>
          <w:sz w:val="28"/>
          <w:szCs w:val="28"/>
          <w:rtl/>
        </w:rPr>
        <w:t xml:space="preserve">مشهد؛ رضوی؛ شماره نسخه:۴۰۸۷</w:t>
      </w:r>
    </w:p>
    <w:p>
      <w:pPr>
        <w:pStyle w:val="BookText"/>
      </w:pPr>
      <w:r>
        <w:rPr>
          <w:rFonts w:ascii="IRNazanin" w:hAnsi="IRNazanin" w:eastAsia="IRNazanin" w:cs="IRNazanin"/>
          <w:lang w:bidi="fa-IR"/>
          <w:color w:val="111111"/>
          <w:sz w:val="28"/>
          <w:szCs w:val="28"/>
          <w:rtl/>
        </w:rPr>
        <w:t xml:space="preserve">آغاز: بعضی چنین گفته اند کیومرث از اسباط؛ انجام: جهانرا به انصاف بادکن خط: نسخ، بی کا، تا: قرن ۱۹ کاغذ: حنایی، جلد: پارچه ای، ۲۱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[الفبائی: ۱۰۰]</w:t>
      </w:r>
    </w:p>
    <w:p>
      <w:pPr>
        <w:pStyle w:val="Heading3"/>
      </w:pPr>
      <w:bookmarkStart w:id="2662" w:name="_Toc1922"/>
      <w:r>
        <w:t>•تاریخ ملوک عجم / تاریخ ایران / فارسی</w:t>
      </w:r>
      <w:bookmarkEnd w:id="2662"/>
    </w:p>
    <w:p>
      <w:pPr>
        <w:pStyle w:val="BookText"/>
      </w:pPr>
      <w:r>
        <w:rPr>
          <w:rFonts w:ascii="Times New Roman" w:hAnsi="Times New Roman" w:eastAsia="Times New Roman" w:cs="Times New Roman"/>
          <w:lang w:val="en-US" w:bidi="en-US"/>
          <w:color w:val="111111"/>
          <w:sz w:val="28"/>
          <w:szCs w:val="28"/>
          <w:rtl/>
        </w:rPr>
        <w:t xml:space="preserve">tārīx-e molūk-e ‘ajam</w:t>
      </w:r>
    </w:p>
    <w:p>
      <w:pPr>
        <w:pStyle w:val="BookText"/>
      </w:pPr>
      <w:r>
        <w:rPr>
          <w:rFonts w:ascii="IRNazanin" w:hAnsi="IRNazanin" w:eastAsia="IRNazanin" w:cs="IRNazanin"/>
          <w:lang w:bidi="fa-IR"/>
          <w:color w:val="111111"/>
          <w:sz w:val="28"/>
          <w:szCs w:val="28"/>
          <w:rtl/>
        </w:rPr>
        <w:t xml:space="preserve">بندی کوتاه در تاریخ پادشاهان ایران از کیومرث تا فرخ زاد و یزد گرد</w:t>
      </w:r>
    </w:p>
    <w:p>
      <w:pPr>
        <w:pStyle w:val="BookText"/>
      </w:pPr>
      <w:r>
        <w:rPr>
          <w:rFonts w:ascii="IRNazanin" w:hAnsi="IRNazanin" w:eastAsia="IRNazanin" w:cs="IRNazanin"/>
          <w:lang w:bidi="fa-IR"/>
          <w:color w:val="111111"/>
          <w:sz w:val="28"/>
          <w:szCs w:val="28"/>
          <w:rtl/>
        </w:rPr>
        <w:t xml:space="preserve">تهران؛ ملک؛ شماره نسخه: ۵۶۸۵/۸</w:t>
      </w:r>
    </w:p>
    <w:p>
      <w:pPr>
        <w:pStyle w:val="BookText"/>
      </w:pPr>
      <w:r>
        <w:rPr>
          <w:rFonts w:ascii="IRNazanin" w:hAnsi="IRNazanin" w:eastAsia="IRNazanin" w:cs="IRNazanin"/>
          <w:lang w:bidi="fa-IR"/>
          <w:color w:val="111111"/>
          <w:sz w:val="28"/>
          <w:szCs w:val="28"/>
          <w:rtl/>
        </w:rPr>
        <w:t xml:space="preserve">خط: نستعلیق، بی کا، بی تا، کاغذ: ترمه زرد و سفید، اگ (۱۷ر ۱۷پ)، ۴۱ سطر، قطع: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۹/۸ سم [ف: ۸-۴۵۹]</w:t>
      </w:r>
    </w:p>
    <w:p>
      <w:pPr>
        <w:pStyle w:val="Heading3"/>
      </w:pPr>
      <w:bookmarkStart w:id="2663" w:name="_Toc1923"/>
      <w:r>
        <w:t>•تاریخ ملوک عجم = تاریخ الملوک و الأنبياء / تاریخ / فارسی</w:t>
      </w:r>
      <w:bookmarkEnd w:id="2663"/>
    </w:p>
    <w:p>
      <w:pPr>
        <w:pStyle w:val="BookText"/>
      </w:pPr>
      <w:r>
        <w:rPr>
          <w:rFonts w:ascii="Times New Roman" w:hAnsi="Times New Roman" w:eastAsia="Times New Roman" w:cs="Times New Roman"/>
          <w:lang w:val="en-US" w:bidi="en-US"/>
          <w:color w:val="111111"/>
          <w:sz w:val="28"/>
          <w:szCs w:val="28"/>
          <w:rtl/>
        </w:rPr>
        <w:t xml:space="preserve">tārīx-e molūk-e ‘ajam = tārīx-e molūk va anbīyā'</w:t>
      </w:r>
    </w:p>
    <w:p>
      <w:pPr>
        <w:pStyle w:val="BookText"/>
      </w:pPr>
      <w:r>
        <w:rPr>
          <w:rFonts w:ascii="IRNazanin" w:hAnsi="IRNazanin" w:eastAsia="IRNazanin" w:cs="IRNazanin"/>
          <w:lang w:bidi="fa-IR"/>
          <w:color w:val="111111"/>
          <w:sz w:val="28"/>
          <w:szCs w:val="28"/>
          <w:rtl/>
        </w:rPr>
        <w:t xml:space="preserve">گویا گزیده از «حبیب السير» میر خواند و یا بخشی از «هفت اقلیم» رازی است. از روزگار شاه عباس (۹۹۶-۱۰۳۸ق).</w:t>
      </w:r>
    </w:p>
    <w:p>
      <w:pPr>
        <w:pStyle w:val="BookText"/>
      </w:pPr>
      <w:r>
        <w:rPr>
          <w:rFonts w:ascii="IRNazanin" w:hAnsi="IRNazanin" w:eastAsia="IRNazanin" w:cs="IRNazanin"/>
          <w:lang w:bidi="fa-IR"/>
          <w:color w:val="111111"/>
          <w:sz w:val="28"/>
          <w:szCs w:val="28"/>
          <w:rtl/>
        </w:rPr>
        <w:t xml:space="preserve">[فهرستواره منزوی ۹۰۶/۲ ]</w:t>
      </w:r>
    </w:p>
    <w:p>
      <w:pPr>
        <w:pStyle w:val="BookText"/>
      </w:pPr>
      <w:r>
        <w:rPr>
          <w:rFonts w:ascii="IRNazanin" w:hAnsi="IRNazanin" w:eastAsia="IRNazanin" w:cs="IRNazanin"/>
          <w:lang w:bidi="fa-IR"/>
          <w:color w:val="111111"/>
          <w:sz w:val="28"/>
          <w:szCs w:val="28"/>
          <w:rtl/>
        </w:rPr>
        <w:t xml:space="preserve">مشهد؛ رضوی؛ شماره نسخه:۴۰۸۵</w:t>
      </w:r>
    </w:p>
    <w:p>
      <w:pPr>
        <w:pStyle w:val="BookText"/>
      </w:pPr>
      <w:r>
        <w:rPr>
          <w:rFonts w:ascii="IRNazanin" w:hAnsi="IRNazanin" w:eastAsia="IRNazanin" w:cs="IRNazanin"/>
          <w:lang w:bidi="fa-IR"/>
          <w:color w:val="111111"/>
          <w:sz w:val="28"/>
          <w:szCs w:val="28"/>
          <w:rtl/>
        </w:rPr>
        <w:t xml:space="preserve">آغاز: باب دوم در ذکر ملوک عجم و سلطنت کیامرث پوشیده نماند که موبدان عجم را گمان آن است که انجام: و لو احق کرده به فراغت گذرانید (ناقص)</w:t>
      </w:r>
    </w:p>
    <w:p>
      <w:pPr>
        <w:pStyle w:val="BookText"/>
      </w:pPr>
      <w:r>
        <w:rPr>
          <w:rFonts w:ascii="IRNazanin" w:hAnsi="IRNazanin" w:eastAsia="IRNazanin" w:cs="IRNazanin"/>
          <w:lang w:bidi="fa-IR"/>
          <w:color w:val="111111"/>
          <w:sz w:val="28"/>
          <w:szCs w:val="28"/>
          <w:rtl/>
        </w:rPr>
        <w:t xml:space="preserve">خط: نستعلیق، بی کا، بی تا؛ کاغذ: نخودی، جلد: تیماج، ۳۱ سطر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(الفبائی: ۱۰۰]</w:t>
      </w:r>
    </w:p>
    <w:p>
      <w:pPr>
        <w:pStyle w:val="Heading3"/>
      </w:pPr>
      <w:bookmarkStart w:id="2664" w:name="_Toc1924"/>
      <w:r>
        <w:t>•تاریخ ملوک عجم و اولاد معصومین / تاریخ / فارسی</w:t>
      </w:r>
      <w:bookmarkEnd w:id="2664"/>
    </w:p>
    <w:p>
      <w:pPr>
        <w:pStyle w:val="BookText"/>
      </w:pPr>
      <w:r>
        <w:rPr>
          <w:rFonts w:ascii="Times New Roman" w:hAnsi="Times New Roman" w:eastAsia="Times New Roman" w:cs="Times New Roman"/>
          <w:lang w:val="en-US" w:bidi="en-US"/>
          <w:color w:val="111111"/>
          <w:sz w:val="28"/>
          <w:szCs w:val="28"/>
          <w:rtl/>
        </w:rPr>
        <w:t xml:space="preserve">tārīx-e molūk-e ‘ajam va owlād-e ma‘sūmīn</w:t>
      </w:r>
    </w:p>
    <w:p>
      <w:pPr>
        <w:pStyle w:val="BookText"/>
      </w:pPr>
      <w:r>
        <w:rPr>
          <w:rFonts w:ascii="IRNazanin" w:hAnsi="IRNazanin" w:eastAsia="IRNazanin" w:cs="IRNazanin"/>
          <w:lang w:bidi="fa-IR"/>
          <w:color w:val="111111"/>
          <w:sz w:val="28"/>
          <w:szCs w:val="28"/>
          <w:rtl/>
        </w:rPr>
        <w:t xml:space="preserve">چیزی مانند «بحرالانساب» و ساخته در طبرستان است. در آن یاد شده از: ابراهیم سپاه انگیز و پولاد کوشکی و طلاکوب بن محمد بن خوب کار و منشور نامه جلال مورخ ۶۷۰ بر دست امیر حسن بن منوچهر از عصر ملک سعد الدوله بن اردشیر بن قباد بن دیوبند بن فروزين .. آغاز: بسمه و الله المستعان. رب يسر ولا تعسر ان الله اصطفی آدم و نوحا.. ملكا عظيما در تفسیر اهل بیت در این معنی چنین است که بر گزیدم آدم را و نوح را ... اما بعد در این نامه از اخبار تاریخ چند از ملوک عجم و اولاد ائمه معصومین ذکر می رود تا هر گاه اولاد ائمه از تقیه بیرون آیند این سر رشته بر دست اولاد و اتباع اهل بیت باشد و بر طریق آباء و اجداد خود توانند بود</w:t>
      </w:r>
    </w:p>
    <w:p>
      <w:pPr>
        <w:pStyle w:val="BookText"/>
      </w:pPr>
      <w:r>
        <w:rPr>
          <w:rFonts w:ascii="IRNazanin" w:hAnsi="IRNazanin" w:eastAsia="IRNazanin" w:cs="IRNazanin"/>
          <w:lang w:bidi="fa-IR"/>
          <w:color w:val="111111"/>
          <w:sz w:val="28"/>
          <w:szCs w:val="28"/>
          <w:rtl/>
        </w:rPr>
        <w:t xml:space="preserve">[فهرستواره منزوی ۹۰۷/۲ ]</w:t>
      </w:r>
    </w:p>
    <w:p>
      <w:pPr>
        <w:pStyle w:val="BookText"/>
      </w:pPr>
      <w:r>
        <w:rPr>
          <w:rFonts w:ascii="IRNazanin" w:hAnsi="IRNazanin" w:eastAsia="IRNazanin" w:cs="IRNazanin"/>
          <w:lang w:bidi="fa-IR"/>
          <w:color w:val="111111"/>
          <w:sz w:val="28"/>
          <w:szCs w:val="28"/>
          <w:rtl/>
        </w:rPr>
        <w:t xml:space="preserve">تهران؛ دانشگاه؛ شماره نسخه:۲۸۱۷/۳ -ف</w:t>
      </w:r>
    </w:p>
    <w:p>
      <w:pPr>
        <w:pStyle w:val="BookText"/>
      </w:pPr>
      <w:r>
        <w:rPr>
          <w:rFonts w:ascii="IRNazanin" w:hAnsi="IRNazanin" w:eastAsia="IRNazanin" w:cs="IRNazanin"/>
          <w:lang w:bidi="fa-IR"/>
          <w:color w:val="111111"/>
          <w:sz w:val="28"/>
          <w:szCs w:val="28"/>
          <w:rtl/>
        </w:rPr>
        <w:t xml:space="preserve">نسخه اصل: کتابخانه سعید نفیسی، ش تا: قرن ۱۲ [فيلمها ف: ۱-۷۳۴]</w:t>
      </w:r>
    </w:p>
    <w:p>
      <w:pPr>
        <w:pStyle w:val="BookText"/>
      </w:pPr>
      <w:r>
        <w:rPr>
          <w:rFonts w:ascii="IRNazanin" w:hAnsi="IRNazanin" w:eastAsia="IRNazanin" w:cs="IRNazanin"/>
          <w:lang w:bidi="fa-IR"/>
          <w:color w:val="111111"/>
          <w:sz w:val="28"/>
          <w:szCs w:val="28"/>
          <w:rtl/>
        </w:rPr>
        <w:t xml:space="preserve">۲۳۹؛ خط: نستعلیق، بی کا،</w:t>
      </w:r>
    </w:p>
    <w:p>
      <w:pPr>
        <w:pStyle w:val="Heading3"/>
      </w:pPr>
      <w:bookmarkStart w:id="2665" w:name="_Toc1925"/>
      <w:r>
        <w:t>•تاریخ ملوک قاجار / تاریخ پادشاهان / فارسی</w:t>
      </w:r>
      <w:bookmarkEnd w:id="2665"/>
    </w:p>
    <w:p>
      <w:pPr>
        <w:pStyle w:val="BookText"/>
      </w:pPr>
      <w:r>
        <w:rPr>
          <w:rFonts w:ascii="Times New Roman" w:hAnsi="Times New Roman" w:eastAsia="Times New Roman" w:cs="Times New Roman"/>
          <w:lang w:val="en-US" w:bidi="en-US"/>
          <w:color w:val="111111"/>
          <w:sz w:val="28"/>
          <w:szCs w:val="28"/>
          <w:rtl/>
        </w:rPr>
        <w:t xml:space="preserve">tārīx-e molūk-e qājār</w:t>
      </w:r>
    </w:p>
    <w:p>
      <w:pPr>
        <w:pStyle w:val="BookText"/>
      </w:pPr>
      <w:r>
        <w:rPr>
          <w:rFonts w:ascii="IRNazanin" w:hAnsi="IRNazanin" w:eastAsia="IRNazanin" w:cs="IRNazanin"/>
          <w:lang w:bidi="fa-IR"/>
          <w:color w:val="111111"/>
          <w:sz w:val="28"/>
          <w:szCs w:val="28"/>
          <w:rtl/>
        </w:rPr>
        <w:t xml:space="preserve">بدايع نگار، محمد ابراهيم بن محمد مهدی، ۱۲۴۱ ۱۲۹۹ قمری</w:t>
      </w:r>
    </w:p>
    <w:p>
      <w:pPr>
        <w:pStyle w:val="BookText"/>
      </w:pPr>
      <w:r>
        <w:rPr>
          <w:rFonts w:ascii="Times New Roman" w:hAnsi="Times New Roman" w:eastAsia="Times New Roman" w:cs="Times New Roman"/>
          <w:lang w:val="en-US" w:bidi="en-US"/>
          <w:color w:val="111111"/>
          <w:sz w:val="28"/>
          <w:szCs w:val="28"/>
          <w:rtl/>
        </w:rPr>
        <w:t xml:space="preserve">badāye' negār, mohammad ebrāhīm ebn-e mohammad mahdi (1826-1882)</w:t>
      </w:r>
    </w:p>
    <w:p>
      <w:pPr>
        <w:pStyle w:val="BookText"/>
      </w:pPr>
      <w:r>
        <w:rPr>
          <w:rFonts w:ascii="IRNazanin" w:hAnsi="IRNazanin" w:eastAsia="IRNazanin" w:cs="IRNazanin"/>
          <w:lang w:bidi="fa-IR"/>
          <w:color w:val="111111"/>
          <w:sz w:val="28"/>
          <w:szCs w:val="28"/>
          <w:rtl/>
        </w:rPr>
        <w:t xml:space="preserve">مؤلف پیش از این رساله «هزار دستان» را در بدایع حکایات و روايع روایات نگاشت و نیز کتاب «بديع البدايع في محاسن الصنايع» را سامان داد و دو کتاب مذکور را تقدیم به پادشاه عصر خود نموده و مقرب خاقان شد، لذا تصمیم گرفت که رساله حاضر را در شرایف اطوار و لطایف اخبار ملوک نامدار که از ایل قاجارند بنگارد.</w:t>
      </w:r>
    </w:p>
    <w:p>
      <w:pPr>
        <w:pStyle w:val="BookText"/>
      </w:pPr>
      <w:r>
        <w:rPr>
          <w:rFonts w:ascii="IRNazanin" w:hAnsi="IRNazanin" w:eastAsia="IRNazanin" w:cs="IRNazanin"/>
          <w:lang w:bidi="fa-IR"/>
          <w:color w:val="111111"/>
          <w:sz w:val="28"/>
          <w:szCs w:val="28"/>
          <w:rtl/>
        </w:rPr>
        <w:t xml:space="preserve">قم: گلپایگانی شماره نسخه:۷۳۲۵- ۳۷/۱۱۵</w:t>
      </w:r>
    </w:p>
    <w:p>
      <w:pPr>
        <w:pStyle w:val="BookText"/>
      </w:pPr>
      <w:r>
        <w:rPr>
          <w:rFonts w:ascii="IRNazanin" w:hAnsi="IRNazanin" w:eastAsia="IRNazanin" w:cs="IRNazanin"/>
          <w:lang w:bidi="fa-IR"/>
          <w:color w:val="111111"/>
          <w:sz w:val="28"/>
          <w:szCs w:val="28"/>
          <w:rtl/>
        </w:rPr>
        <w:t xml:space="preserve">آغاز: بسمله زیباترین کلامی که قائد زبان عنان بيان بدان معطوف سازد و دبیر خامه روان نامه از آن معشوف حمد خداوند تبارک و تعالیست؛ انجام: وازتف سخط شاهنشاهی بر آسایند مگر هفت تن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bookmarkStart w:id="581" w:name="pg20363_209904"/>
    <w:bookmarkEnd w:id="581"/>
    <w:p>
      <w:pPr>
        <w:pStyle w:val="BookText"/>
      </w:pPr>
      <w:r>
        <w:rPr>
          <w:rFonts w:ascii="IRNazanin" w:hAnsi="IRNazanin" w:eastAsia="IRNazanin" w:cs="IRNazanin"/>
          <w:lang w:bidi="fa-IR"/>
          <w:color w:val="111111"/>
          <w:sz w:val="28"/>
          <w:szCs w:val="28"/>
          <w:rtl/>
        </w:rPr>
        <w:t xml:space="preserve">ازین معنی ابا کردند و بر فساد نیت و سوء خط: نستعلیق، بی کا، تا: قرن ۱۳؛ افتادگی: انجام؛ مجدول محرر مذهب، مصحح؛ جلد: تیماج قهوه ای مجدول، ۴۸گ، ۱۲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۲-۷۰۳]</w:t>
      </w:r>
    </w:p>
    <w:p>
      <w:pPr>
        <w:pStyle w:val="Heading3"/>
      </w:pPr>
      <w:bookmarkStart w:id="2666" w:name="_Toc1926"/>
      <w:r>
        <w:t>•تاریخ ملوک مصر / تاریخ پادشاهان / عربی</w:t>
      </w:r>
      <w:bookmarkEnd w:id="2666"/>
    </w:p>
    <w:p>
      <w:pPr>
        <w:pStyle w:val="BookText"/>
      </w:pPr>
      <w:r>
        <w:rPr>
          <w:rFonts w:ascii="Times New Roman" w:hAnsi="Times New Roman" w:eastAsia="Times New Roman" w:cs="Times New Roman"/>
          <w:lang w:val="en-US" w:bidi="en-US"/>
          <w:color w:val="111111"/>
          <w:sz w:val="28"/>
          <w:szCs w:val="28"/>
          <w:rtl/>
        </w:rPr>
        <w:t xml:space="preserve">tārīx-e molūk-e mesr</w:t>
      </w:r>
    </w:p>
    <w:p>
      <w:pPr>
        <w:pStyle w:val="BookText"/>
      </w:pPr>
      <w:r>
        <w:rPr>
          <w:rFonts w:ascii="IRNazanin" w:hAnsi="IRNazanin" w:eastAsia="IRNazanin" w:cs="IRNazanin"/>
          <w:lang w:bidi="fa-IR"/>
          <w:color w:val="111111"/>
          <w:sz w:val="28"/>
          <w:szCs w:val="28"/>
          <w:rtl/>
        </w:rPr>
        <w:t xml:space="preserve">تهران؛ ملک؛ شماره نسخه:۳۷۱۸</w:t>
      </w:r>
    </w:p>
    <w:p>
      <w:pPr>
        <w:pStyle w:val="BookText"/>
      </w:pPr>
      <w:r>
        <w:rPr>
          <w:rFonts w:ascii="IRNazanin" w:hAnsi="IRNazanin" w:eastAsia="IRNazanin" w:cs="IRNazanin"/>
          <w:lang w:bidi="fa-IR"/>
          <w:color w:val="111111"/>
          <w:sz w:val="28"/>
          <w:szCs w:val="28"/>
          <w:rtl/>
        </w:rPr>
        <w:t xml:space="preserve">آغاز: استعين ذكر مولد النبي صلى الله عليه و سلم على سبيل الاختصار قال ولد النبي ... عام الفيل؛ انجام: (افتاده در الوزير ابو علی) و يقال انه کفن وحنط بما مبلغه عشرة الاف دينار. عنوان های نسخه: فتح مکه، اولاده، الخلفاء تا القائم بامر الله، الخلفاء الفاطميين، ذكر دولة بنی ایوب تا السلطان السادس و الثلاثون من ملوك الترکی و الثاني عشر من الجراكسة هو ... سیف الدين ابی النصر (قلاون الفي منصور ۶۷۸-۶۸۹) ذكر نبذة من اخبار بعض الوزراء؛ خط: نسخ، بی کا، تا: قرن ۱۹ افتادگی: آغاز و انجام کاغذ: ترمه، جلد: میشن سرخ، ۷۶گ، ۱۷ سطر، اندازه: ۱۶/۷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۱۳/۲ سم [ف: ۱-۷۸]</w:t>
      </w:r>
    </w:p>
    <w:p>
      <w:pPr>
        <w:pStyle w:val="Heading3"/>
      </w:pPr>
      <w:bookmarkStart w:id="2667" w:name="_Toc1927"/>
      <w:r>
        <w:t>•تاریخ الملوک و البلدان / جغرافیا، تاریخ / عربی</w:t>
      </w:r>
      <w:bookmarkEnd w:id="2667"/>
    </w:p>
    <w:p>
      <w:pPr>
        <w:pStyle w:val="BookText"/>
      </w:pPr>
      <w:r>
        <w:rPr>
          <w:rFonts w:ascii="Times New Roman" w:hAnsi="Times New Roman" w:eastAsia="Times New Roman" w:cs="Times New Roman"/>
          <w:lang w:val="en-US" w:bidi="en-US"/>
          <w:color w:val="111111"/>
          <w:sz w:val="28"/>
          <w:szCs w:val="28"/>
          <w:rtl/>
        </w:rPr>
        <w:t xml:space="preserve">tārīx-ul mulūk wa-l buldān</w:t>
      </w:r>
    </w:p>
    <w:p>
      <w:pPr>
        <w:pStyle w:val="BookText"/>
      </w:pPr>
      <w:r>
        <w:rPr>
          <w:rFonts w:ascii="IRNazanin" w:hAnsi="IRNazanin" w:eastAsia="IRNazanin" w:cs="IRNazanin"/>
          <w:lang w:bidi="fa-IR"/>
          <w:color w:val="111111"/>
          <w:sz w:val="28"/>
          <w:szCs w:val="28"/>
          <w:rtl/>
        </w:rPr>
        <w:t xml:space="preserve">تاريخ تألیف: قرن ۱۱</w:t>
      </w:r>
    </w:p>
    <w:p>
      <w:pPr>
        <w:pStyle w:val="BookText"/>
      </w:pPr>
      <w:r>
        <w:rPr>
          <w:rFonts w:ascii="IRNazanin" w:hAnsi="IRNazanin" w:eastAsia="IRNazanin" w:cs="IRNazanin"/>
          <w:lang w:bidi="fa-IR"/>
          <w:color w:val="111111"/>
          <w:sz w:val="28"/>
          <w:szCs w:val="28"/>
          <w:rtl/>
        </w:rPr>
        <w:t xml:space="preserve">کتابی است شامل ابواب با فصول متعدد در ذکر تاریخ پادشاهان ممالک مختلف از قاره های آفریقا و آسیا از جمله مملکت عثمانی را به تفصیل می آورد و در شمارش شاهان عثمانی تا سال ۱۰۱۲ق پیش می رود تقسیم اولیه کتاب «باب-باب» است که تا باب الخامس و الخمسون (۵۵) في ذكر الأمم الماضية والقرون الخالية و الامور التالية و عجایب الغرایب» شامل پنج فصل، در نسخه موجود است، سپس در بیان مدن وبلدان به ترتیب حروف معجم از الف تا یاء است حرف الف از ارم ذات العماد شروع می شود و تا حرف یاء که در نسخه به «يونان» ختم می شود. از تحفة الألباب وتاريخ البلدان، الجليس والأنيس ابوالفرج، تاریخ ابن ابی الدنيا، تاريخ حافظ ابو عبدالله محمد بن هیتم، خريدة العايب و ... نقل می کند و مؤلف باید اهل ترکیه باشد و معاصر با سلطان احمد خان بن سلطان محمد خان که در ۱۰۱۲ ق به تخت نشست و جریان وفات سلیم خان و به تحت نشستن سلیمان خان در ۹۲۴ق را به نفصیل ذکر می کند و جنگ سلیمان خان در ۹۵۵ با بلاد عجم و طهماسب را شرح می دهد. پس از آن مرگ سلیمان خان و سلطنت پسرش سلیم خان در ۹۷۷ را می آورد و پس از او فرزندش سلطان مراد خان و سپس فرزندش سلطان محمد خان که در ۱۰۰۳ به تخت نشست و پس از او فرزندش سلطان احمد خان که در ۱۰۱۲ به سریر سلطنت رسید.</w:t>
      </w:r>
    </w:p>
    <w:p>
      <w:pPr>
        <w:pStyle w:val="BookText"/>
      </w:pPr>
      <w:r>
        <w:rPr>
          <w:rFonts w:ascii="IRNazanin" w:hAnsi="IRNazanin" w:eastAsia="IRNazanin" w:cs="IRNazanin"/>
          <w:lang w:bidi="fa-IR"/>
          <w:color w:val="111111"/>
          <w:sz w:val="28"/>
          <w:szCs w:val="28"/>
          <w:rtl/>
        </w:rPr>
        <w:t xml:space="preserve">قم؛ گلپایگانی؛ شماره نسخه:۵۹۴- ۴/۶۴</w:t>
      </w:r>
    </w:p>
    <w:p>
      <w:pPr>
        <w:pStyle w:val="BookText"/>
      </w:pPr>
      <w:r>
        <w:rPr>
          <w:rFonts w:ascii="IRNazanin" w:hAnsi="IRNazanin" w:eastAsia="IRNazanin" w:cs="IRNazanin"/>
          <w:lang w:bidi="fa-IR"/>
          <w:color w:val="111111"/>
          <w:sz w:val="28"/>
          <w:szCs w:val="28"/>
          <w:rtl/>
        </w:rPr>
        <w:t xml:space="preserve">آغاز: ... ابي تاسقين على الاندلس وهو الذي رثاه الشاعر بقصيدته المشهورة بالعيه وفيه. بنو المظفر والايام ما برحت *** مراحلا والورى منها على حذر؛ انجام: و اما الالهيون قسمان منهم متقدمون ... و منهم متأخرون كبقراط استاد افلاطون و ارسطا طاليس وهو الذي رتب المنطق وهذب .. از الباب الرابع و العشرون في ذكر ملوك الغرب عن الملتمين تا حرف الياء (یونان)؛ خط: نسخ، بی کا، بی تا، افتادگی: آغاز و انجام؛ جلد: گالینگور سرخ، ۱۹۳گ، ۲۳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۴-۲۰۴۹ ]</w:t>
      </w:r>
    </w:p>
    <w:p>
      <w:pPr>
        <w:pStyle w:val="Heading3"/>
      </w:pPr>
      <w:bookmarkStart w:id="2668" w:name="_Toc1928"/>
      <w:r>
        <w:t>•تاريخ مملکت ایران و سلطنت سلسله جليله قاجاریه = تاریخ معاصر ایران / تاریخ ایران / فارسی</w:t>
      </w:r>
      <w:bookmarkEnd w:id="2668"/>
    </w:p>
    <w:p>
      <w:pPr>
        <w:pStyle w:val="BookText"/>
      </w:pPr>
      <w:r>
        <w:rPr>
          <w:rFonts w:ascii="Times New Roman" w:hAnsi="Times New Roman" w:eastAsia="Times New Roman" w:cs="Times New Roman"/>
          <w:lang w:val="en-US" w:bidi="en-US"/>
          <w:color w:val="111111"/>
          <w:sz w:val="28"/>
          <w:szCs w:val="28"/>
          <w:rtl/>
        </w:rPr>
        <w:t xml:space="preserve">tārīx-e mamlekat-e īrān va saltanat-e selsele-ye jalīle ye qājārīye = tārīx-e mo‘āser-e īrān</w:t>
      </w:r>
    </w:p>
    <w:p>
      <w:pPr>
        <w:pStyle w:val="BookText"/>
      </w:pPr>
      <w:r>
        <w:rPr>
          <w:rFonts w:ascii="IRNazanin" w:hAnsi="IRNazanin" w:eastAsia="IRNazanin" w:cs="IRNazanin"/>
          <w:lang w:bidi="fa-IR"/>
          <w:color w:val="111111"/>
          <w:sz w:val="28"/>
          <w:szCs w:val="28"/>
          <w:rtl/>
        </w:rPr>
        <w:t xml:space="preserve">رحیم بن حكيم الممالک، ق ۱۴ قمری</w:t>
      </w:r>
    </w:p>
    <w:p>
      <w:pPr>
        <w:pStyle w:val="BookText"/>
      </w:pPr>
      <w:r>
        <w:rPr>
          <w:rFonts w:ascii="Times New Roman" w:hAnsi="Times New Roman" w:eastAsia="Times New Roman" w:cs="Times New Roman"/>
          <w:lang w:val="en-US" w:bidi="en-US"/>
          <w:color w:val="111111"/>
          <w:sz w:val="28"/>
          <w:szCs w:val="28"/>
          <w:rtl/>
        </w:rPr>
        <w:t xml:space="preserve">rahīm ebn-e hakīm-ol-mamālek (-20c)</w:t>
      </w:r>
    </w:p>
    <w:p>
      <w:pPr>
        <w:pStyle w:val="BookText"/>
      </w:pPr>
      <w:r>
        <w:rPr>
          <w:rFonts w:ascii="IRNazanin" w:hAnsi="IRNazanin" w:eastAsia="IRNazanin" w:cs="IRNazanin"/>
          <w:lang w:bidi="fa-IR"/>
          <w:color w:val="111111"/>
          <w:sz w:val="28"/>
          <w:szCs w:val="28"/>
          <w:rtl/>
        </w:rPr>
        <w:t xml:space="preserve">اهدا به: ناصر الدین شاه تاریخ ترجمه: ۱۶ جمادی الاول ۱۳۰۱ ق متن از ماراخام نایب وزارت امور خارجه انگلیس. در ۲ «فصل» و ۳ «مقالت»: مقاله ۱. از حکومت آغا محمد خان (۱۱۶۰ ۱۱۶۳ق) تا پایان فتحعلی شاه و وضع جغرافیایی قفقاز و برخی شیخ نشین های خلیج فارس؛ ۲. محمد شاه (۱۲۵۰-۱۲۶۴ق) تا ۲۵ سال شاهی ناصرالدین شاه (۱۲۹۰ ق) و وضع جغرافیایی آسیای میانه، مرو، خیوه، هرات و ایل های این بخش و فرمانروایان افغان، نیز کشته شدن امیر کبیر؛ ۳. گزیده ای از پیمان ها میان ایران و انگلیس و ایران و روس و ایران و فرانسه، از کهن تا کنون. در پایان نام سفیران انگلیس، روس و فرانسه از ۶۸۹ق /۱۲۹۰م تا ۱۲۹۰ ق /۱۸۷۳م در ایران را آورده است. احمد منزوی) متن انگلیسی کتاب در سال ۱۸۷۴ در لندن با این عنوان چاپ شده است:</w:t>
      </w:r>
    </w:p>
    <w:p>
      <w:pPr>
        <w:pStyle w:val="BookText"/>
      </w:pPr>
      <w:r>
        <w:rPr>
          <w:rFonts w:ascii="Times New Roman" w:hAnsi="Times New Roman" w:eastAsia="Times New Roman" w:cs="Times New Roman"/>
          <w:lang w:val="en-US" w:bidi="en-US"/>
          <w:color w:val="111111"/>
          <w:sz w:val="28"/>
          <w:szCs w:val="28"/>
          <w:rtl/>
        </w:rPr>
        <w:t xml:space="preserve">A General Sketch of the History of Persia by Clements R. Markham, London, </w:t>
      </w:r>
      <w:r>
        <w:rPr>
          <w:rFonts w:ascii="IRNazanin" w:hAnsi="IRNazanin" w:eastAsia="IRNazanin" w:cs="IRNazanin"/>
          <w:lang w:bidi="fa-IR"/>
          <w:color w:val="111111"/>
          <w:sz w:val="28"/>
          <w:szCs w:val="28"/>
          <w:rtl/>
        </w:rPr>
        <w:t xml:space="preserve">۱۸۷۴.</w:t>
      </w:r>
    </w:p>
    <w:p>
      <w:pPr>
        <w:pStyle w:val="BookText"/>
      </w:pPr>
      <w:r>
        <w:rPr>
          <w:rFonts w:ascii="IRNazanin" w:hAnsi="IRNazanin" w:eastAsia="IRNazanin" w:cs="IRNazanin"/>
          <w:lang w:bidi="fa-IR"/>
          <w:color w:val="111111"/>
          <w:sz w:val="28"/>
          <w:szCs w:val="28"/>
          <w:rtl/>
        </w:rPr>
        <w:t xml:space="preserve">مترجم فارسی تنها قسمت های ۱۲ تا ۲۰ کتاب که خاص دوره قاجاریه است ترجمه کرده است. آغاز: تاريخ مملکت ایران و سلطنت سلسله جليله قاجاریه. شرح سلطنت آقا محمد شاه غازی. بسمله، الحمدلله رب العالمين و الصلوة و السلام على اشرف الخلايق محمد و آله الطاهرين المعصومين ... مصنف این مختصر تاریخ ماراخام که از اهالی انگلستان و نایبان وزارت خارجه .. انجام: اسامی سفرا و وزرای مختار دولت فرانسه مأمور دربار دولت علیه ایران موسیو دوماسیناک در سنه ۱۲۸۳ هجری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bookmarkStart w:id="582" w:name="pg20363_209905"/>
    <w:bookmarkEnd w:id="582"/>
    <w:p>
      <w:pPr>
        <w:pStyle w:val="BookText"/>
      </w:pPr>
      <w:r>
        <w:rPr>
          <w:rFonts w:ascii="IRNazanin" w:hAnsi="IRNazanin" w:eastAsia="IRNazanin" w:cs="IRNazanin"/>
          <w:lang w:bidi="fa-IR"/>
          <w:color w:val="111111"/>
          <w:sz w:val="28"/>
          <w:szCs w:val="28"/>
          <w:rtl/>
        </w:rPr>
        <w:t xml:space="preserve">(مطابق سنه ۱۸۶۶ مسیحی) کنت دو مونتی شارژدافر در سنه ۱۲۸۷ هجری (مطابق سنه ۱۸۷۰ مسیحی) موسیو بل شارژدافر در سنه ۱۲۸۶ هجری (مطابق سنه ۱۸۷۱ مسیحی)</w:t>
      </w:r>
    </w:p>
    <w:p>
      <w:pPr>
        <w:pStyle w:val="BookText"/>
      </w:pPr>
      <w:r>
        <w:rPr>
          <w:rFonts w:ascii="IRNazanin" w:hAnsi="IRNazanin" w:eastAsia="IRNazanin" w:cs="IRNazanin"/>
          <w:lang w:bidi="fa-IR"/>
          <w:color w:val="111111"/>
          <w:sz w:val="28"/>
          <w:szCs w:val="28"/>
          <w:rtl/>
        </w:rPr>
        <w:t xml:space="preserve">[دنا ۷۴۳/۲ و ۷۴۰؛ فهرستواره منزوی ۹۰۷/۲ ]</w:t>
      </w:r>
    </w:p>
    <w:p>
      <w:pPr>
        <w:pStyle w:val="BookText"/>
      </w:pPr>
      <w:r>
        <w:rPr>
          <w:rFonts w:ascii="IRNazanin" w:hAnsi="IRNazanin" w:eastAsia="IRNazanin" w:cs="IRNazanin"/>
          <w:lang w:bidi="fa-IR"/>
          <w:color w:val="111111"/>
          <w:sz w:val="28"/>
          <w:szCs w:val="28"/>
          <w:rtl/>
        </w:rPr>
        <w:t xml:space="preserve">۱. تهران؛ حقوق؛ شماره نسخه:۳۲۷-ج</w:t>
      </w:r>
    </w:p>
    <w:p>
      <w:pPr>
        <w:pStyle w:val="BookText"/>
      </w:pPr>
      <w:r>
        <w:rPr>
          <w:rFonts w:ascii="IRNazanin" w:hAnsi="IRNazanin" w:eastAsia="IRNazanin" w:cs="IRNazanin"/>
          <w:lang w:bidi="fa-IR"/>
          <w:color w:val="111111"/>
          <w:sz w:val="28"/>
          <w:szCs w:val="28"/>
          <w:rtl/>
        </w:rPr>
        <w:t xml:space="preserve">آغاز: بسمله. الحمدلله رب العالمين ... مصنف این مختصر تاریخ نار خام که از اهالی انگلستان و نایبان وزارت امور خارجه دولت انگلیس است تاریخ دولت شاهنشاهی ایران را بطور اختصار از پیش دادیان تا سال بیست و پنجم سلطنت شاهنشاه ... ما ... بزبان انگلیسی نگاشته. این اقل خانه زادان و غلامزاد گان رحیم بن حکیم الممالک بر حسب امر قدر قدر شاهنشاهانه ... امروز فقط تاریخ سلطنت سلاطین نامدار ... سلسله جلیله قاجاریه میپردازد ... و شرح احوال مصنف و مترجم را ... در ابتدای جلد ثانی ... خواهد نگاشت؛ انجام: و باسلاف خویش تأسی نکرده باشد سپس ملحقات است) ... موسیو بل شارژدافر در سنه ۱۲۸۹ هجری (مطابق سنه ۱۸۷۱ مسیحی) (فهرست سفیران)</w:t>
      </w:r>
    </w:p>
    <w:p>
      <w:pPr>
        <w:pStyle w:val="BookText"/>
      </w:pPr>
      <w:r>
        <w:rPr>
          <w:rFonts w:ascii="IRNazanin" w:hAnsi="IRNazanin" w:eastAsia="IRNazanin" w:cs="IRNazanin"/>
          <w:lang w:bidi="fa-IR"/>
          <w:color w:val="111111"/>
          <w:sz w:val="28"/>
          <w:szCs w:val="28"/>
          <w:rtl/>
        </w:rPr>
        <w:t xml:space="preserve">خط: نستعلیق، کاتب = مؤلف، تا: قرن ۱۴؛ تملک: مخبر السلطنه؛ کاغذ: فرنگی، جلد: تیماج حنایی، ۱۰۶گ، ۲۰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اندازه: ۱۵/۵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سم [ف: ۳۲]</w:t>
      </w:r>
    </w:p>
    <w:p>
      <w:pPr>
        <w:pStyle w:val="BookText"/>
      </w:pPr>
      <w:r>
        <w:rPr>
          <w:rFonts w:ascii="IRNazanin" w:hAnsi="IRNazanin" w:eastAsia="IRNazanin" w:cs="IRNazanin"/>
          <w:lang w:bidi="fa-IR"/>
          <w:color w:val="111111"/>
          <w:sz w:val="28"/>
          <w:szCs w:val="28"/>
          <w:rtl/>
        </w:rPr>
        <w:t xml:space="preserve">۲. تهران؛ ملی؛ شماره نسخه: ۲۰۲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بی کا، تا: جمادی الاول ۱۳۰۱ق، جا: تهران؛ با سرلوح تاج و گل و بته زر، مجدول مذهب؛ کاغذ: فرنگی آبی، جلد: تیماج قرمز با گل و بته دار، ۲۴۱گ، ۱۲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۱-۲۰۰]</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تهران؛ مجلس؛ شماره نسخه:۳۳۸- فيروز</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تا: ۱۳۰۱ق؛ دارای سرلوح مذهب، مجدول؛ کاغذ: فرنگی ضخیم، جلد: تیماج مشکی دارای کمند و منطقه و ترنج زرین، ۴۸۴ص، ۱۲ سطر،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۲۱-۲۵]</w:t>
      </w:r>
    </w:p>
    <w:p>
      <w:pPr>
        <w:pStyle w:val="Heading3"/>
      </w:pPr>
      <w:bookmarkStart w:id="2669" w:name="_Toc1929"/>
      <w:r>
        <w:t>•تاریخ مملکت چین / تاریخ جهان / فارسی</w:t>
      </w:r>
      <w:bookmarkEnd w:id="2669"/>
    </w:p>
    <w:p>
      <w:pPr>
        <w:pStyle w:val="BookText"/>
      </w:pPr>
      <w:r>
        <w:rPr>
          <w:rFonts w:ascii="Times New Roman" w:hAnsi="Times New Roman" w:eastAsia="Times New Roman" w:cs="Times New Roman"/>
          <w:lang w:val="en-US" w:bidi="en-US"/>
          <w:color w:val="111111"/>
          <w:sz w:val="28"/>
          <w:szCs w:val="28"/>
          <w:rtl/>
        </w:rPr>
        <w:t xml:space="preserve">tārīx-e mamlekat-e čīn</w:t>
      </w:r>
    </w:p>
    <w:p>
      <w:pPr>
        <w:pStyle w:val="BookText"/>
      </w:pPr>
      <w:r>
        <w:rPr>
          <w:rFonts w:ascii="IRNazanin" w:hAnsi="IRNazanin" w:eastAsia="IRNazanin" w:cs="IRNazanin"/>
          <w:lang w:bidi="fa-IR"/>
          <w:color w:val="111111"/>
          <w:sz w:val="28"/>
          <w:szCs w:val="28"/>
          <w:rtl/>
        </w:rPr>
        <w:t xml:space="preserve">صحافباشی، اسماعیل بن ابراهیم، ق۱۳ قمری</w:t>
      </w:r>
    </w:p>
    <w:p>
      <w:pPr>
        <w:pStyle w:val="BookText"/>
      </w:pPr>
      <w:r>
        <w:rPr>
          <w:rFonts w:ascii="Times New Roman" w:hAnsi="Times New Roman" w:eastAsia="Times New Roman" w:cs="Times New Roman"/>
          <w:lang w:val="en-US" w:bidi="en-US"/>
          <w:color w:val="111111"/>
          <w:sz w:val="28"/>
          <w:szCs w:val="28"/>
          <w:rtl/>
        </w:rPr>
        <w:t xml:space="preserve">sahhāfbāšī, esmāʻīl ebn-e ebrāhīm (-19c)</w:t>
      </w:r>
    </w:p>
    <w:p>
      <w:pPr>
        <w:pStyle w:val="BookText"/>
      </w:pPr>
      <w:r>
        <w:rPr>
          <w:rFonts w:ascii="IRNazanin" w:hAnsi="IRNazanin" w:eastAsia="IRNazanin" w:cs="IRNazanin"/>
          <w:lang w:bidi="fa-IR"/>
          <w:color w:val="111111"/>
          <w:sz w:val="28"/>
          <w:szCs w:val="28"/>
          <w:rtl/>
        </w:rPr>
        <w:t xml:space="preserve">اهداء به: محمد علی میرزای قاجار</w:t>
      </w:r>
    </w:p>
    <w:p>
      <w:pPr>
        <w:pStyle w:val="BookText"/>
      </w:pPr>
      <w:r>
        <w:rPr>
          <w:rFonts w:ascii="IRNazanin" w:hAnsi="IRNazanin" w:eastAsia="IRNazanin" w:cs="IRNazanin"/>
          <w:lang w:bidi="fa-IR"/>
          <w:color w:val="111111"/>
          <w:sz w:val="28"/>
          <w:szCs w:val="28"/>
          <w:rtl/>
        </w:rPr>
        <w:t xml:space="preserve">تاریخ ترجمه: ۱۳۲۲ق</w:t>
      </w:r>
    </w:p>
    <w:p>
      <w:pPr>
        <w:pStyle w:val="BookText"/>
      </w:pPr>
      <w:r>
        <w:rPr>
          <w:rFonts w:ascii="IRNazanin" w:hAnsi="IRNazanin" w:eastAsia="IRNazanin" w:cs="IRNazanin"/>
          <w:lang w:bidi="fa-IR"/>
          <w:color w:val="111111"/>
          <w:sz w:val="28"/>
          <w:szCs w:val="28"/>
          <w:rtl/>
        </w:rPr>
        <w:t xml:space="preserve">تاریخ مختصری است از مملکت چین که از زبان انگلیسی به فارسی ترجمه شده و مشتمل است بر تاریخچه ای از کشور چین قدیم و شمه ای از احوالات و چگونگی جنگ و مخاصمه بین چین و ژاپن در سال ۱۹۰۰ میلادی که در پانزده «فصل» شرح گردیده است.</w:t>
      </w:r>
    </w:p>
    <w:p>
      <w:pPr>
        <w:pStyle w:val="BookText"/>
      </w:pPr>
      <w:r>
        <w:rPr>
          <w:rFonts w:ascii="IRNazanin" w:hAnsi="IRNazanin" w:eastAsia="IRNazanin" w:cs="IRNazanin"/>
          <w:lang w:bidi="fa-IR"/>
          <w:color w:val="111111"/>
          <w:sz w:val="28"/>
          <w:szCs w:val="28"/>
          <w:rtl/>
        </w:rPr>
        <w:t xml:space="preserve">انجام: در مدت چند روز اواخر ماه اپریل ۱۹۰۱ دستخط امپراطوری صادر شده اقدامات لازمه را که مخصوص ترقی امور است منطبع کنند و عموما را رأی بر اینست که مملکت چین از خرابی و انهدام متخلص میشود در صورتیکه آرای فرنگی را در انتظام امور دولت قبول 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ملی؛ شماره نسخه:۱۸۷۴</w:t>
      </w:r>
    </w:p>
    <w:p>
      <w:pPr>
        <w:pStyle w:val="BookText"/>
      </w:pPr>
      <w:r>
        <w:rPr>
          <w:rFonts w:ascii="IRNazanin" w:hAnsi="IRNazanin" w:eastAsia="IRNazanin" w:cs="IRNazanin"/>
          <w:lang w:bidi="fa-IR"/>
          <w:color w:val="111111"/>
          <w:sz w:val="28"/>
          <w:szCs w:val="28"/>
          <w:rtl/>
        </w:rPr>
        <w:t xml:space="preserve">آغاز: بسمله تبارک و تعالی، بنام نامی و اسم گرامی حضرت قوی شوکت اسعد اقدس؛ انجام: برابر</w:t>
      </w:r>
    </w:p>
    <w:p>
      <w:pPr>
        <w:pStyle w:val="BookText"/>
      </w:pPr>
      <w:r>
        <w:rPr>
          <w:rFonts w:ascii="IRNazanin" w:hAnsi="IRNazanin" w:eastAsia="IRNazanin" w:cs="IRNazanin"/>
          <w:lang w:bidi="fa-IR"/>
          <w:color w:val="111111"/>
          <w:sz w:val="28"/>
          <w:szCs w:val="28"/>
          <w:rtl/>
        </w:rPr>
        <w:t xml:space="preserve">خط: نستعلیق، کا: محمد بن مرحوم حاجی محمد قلی آشوری قزوینی، تا: ۱۳۲۳ق، جا: تهران؛ با سرلوح مذهب، مجدول؛ کاغذ: فرنگی، فلفل نمکی، جلد: مخمل آبی با گل و بوته، ۲۱۴گ، ۱۴سطر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اندازه: ۳۴/۴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سم [ف: ۴-۳۳۴ ]</w:t>
      </w:r>
    </w:p>
    <w:p>
      <w:pPr>
        <w:pStyle w:val="BookText"/>
      </w:pPr>
      <w:r>
        <w:rPr>
          <w:rFonts w:ascii="IRNazanin" w:hAnsi="IRNazanin" w:eastAsia="IRNazanin" w:cs="IRNazanin"/>
          <w:lang w:bidi="fa-IR"/>
          <w:color w:val="111111"/>
          <w:sz w:val="28"/>
          <w:szCs w:val="28"/>
          <w:rtl/>
        </w:rPr>
        <w:t xml:space="preserve">۲. تهران؛ سلطنتی؛ شماره نسخه:۱۷۸۷</w:t>
      </w:r>
    </w:p>
    <w:p>
      <w:pPr>
        <w:pStyle w:val="BookText"/>
      </w:pPr>
      <w:r>
        <w:rPr>
          <w:rFonts w:ascii="IRNazanin" w:hAnsi="IRNazanin" w:eastAsia="IRNazanin" w:cs="IRNazanin"/>
          <w:lang w:bidi="fa-IR"/>
          <w:color w:val="111111"/>
          <w:sz w:val="28"/>
          <w:szCs w:val="28"/>
          <w:rtl/>
        </w:rPr>
        <w:t xml:space="preserve">آغاز: هو الله تعالی شانه. بر حسب امر مقدس ... مظفرالدین شاه قاجار ... تاريخ مملکت چین از زبان انگلیسی بکسوت پارسی در آمد في شهر ذیحجه سنه ۱۳۲۲. تاريخ مملکت چین فصل اول. در تمام ممالک وسیعه قديمه عالم فقط مملکت چین خود را در مقابل اتفاقات زمان و حملات دشمنان حفظ و حراست کرده؛ انجام: برابر ... ترجمه غلام خانه زاد لسان السلطان اسمعیل پسر مرحوم صحافباشی شهر ذیقعدة الحرام سنه ۱۳۲۲. خط: نستعلیق، بی کا، بی تا؛ مجدول، کمند کشی اکلیلی و رنگین؛ کاغذ: فرنگی آبی رنگ لبه طلائی، جلد: مقوای روکش مخمل نیلی رنگ، ۳۳۱ص، ۱۷ سطر، اندازه: 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۵-۱۲۰]</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الهیات؛ شماره نسخه: ۷۱</w:t>
      </w:r>
    </w:p>
    <w:p>
      <w:pPr>
        <w:pStyle w:val="BookText"/>
      </w:pPr>
      <w:r>
        <w:rPr>
          <w:rFonts w:ascii="IRNazanin" w:hAnsi="IRNazanin" w:eastAsia="IRNazanin" w:cs="IRNazanin"/>
          <w:lang w:bidi="fa-IR"/>
          <w:color w:val="111111"/>
          <w:sz w:val="28"/>
          <w:szCs w:val="28"/>
          <w:rtl/>
        </w:rPr>
        <w:t xml:space="preserve">آغاز: تاريخ مملکت چین. بسمله. در تمام ممالک وسیعه قديمه عالم فقط مملکت چین خود را در مقابل اتفاقات زمان و حملات دشمنان حفظ و حراست کرده است؛ انجام: برابر ... تمام شد ترجمه تاریخ چین که از زبان انگلیسی فارسی نقل شد في ۱۳۲۴ در فهرست ناشناس؛ خط: نستعلیق، بی کا، تا: ۱۳۲۴ق، کاغذ: فرنگی آبی، جلد: مقوایی مخملی، ۲۸۰گ، ۱۶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۲۱]</w:t>
      </w:r>
    </w:p>
    <w:p>
      <w:pPr>
        <w:pStyle w:val="Heading3"/>
      </w:pPr>
      <w:bookmarkStart w:id="2670" w:name="_Toc1930"/>
      <w:r>
        <w:t>•تاریخ مملکت «ساووا» و «پی یمن» / تاریخ / فارسی</w:t>
      </w:r>
      <w:bookmarkEnd w:id="2670"/>
    </w:p>
    <w:p>
      <w:pPr>
        <w:pStyle w:val="BookText"/>
      </w:pPr>
      <w:r>
        <w:rPr>
          <w:rFonts w:ascii="Times New Roman" w:hAnsi="Times New Roman" w:eastAsia="Times New Roman" w:cs="Times New Roman"/>
          <w:lang w:val="en-US" w:bidi="en-US"/>
          <w:color w:val="111111"/>
          <w:sz w:val="28"/>
          <w:szCs w:val="28"/>
          <w:rtl/>
        </w:rPr>
        <w:t xml:space="preserve">tārīx-e mamlekat-e «sāvoā» va «pī yemn&gt;&gt;</w:t>
      </w:r>
    </w:p>
    <w:p>
      <w:pPr>
        <w:pStyle w:val="BookText"/>
      </w:pPr>
      <w:r>
        <w:rPr>
          <w:rFonts w:ascii="IRNazanin" w:hAnsi="IRNazanin" w:eastAsia="IRNazanin" w:cs="IRNazanin"/>
          <w:lang w:bidi="fa-IR"/>
          <w:color w:val="111111"/>
          <w:sz w:val="28"/>
          <w:szCs w:val="28"/>
          <w:rtl/>
        </w:rPr>
        <w:t xml:space="preserve">کاشانی، علیقلی بن محمد باقر، ق۱۳ قمری</w:t>
      </w:r>
    </w:p>
    <w:p>
      <w:pPr>
        <w:pStyle w:val="BookText"/>
      </w:pPr>
      <w:r>
        <w:rPr>
          <w:rFonts w:ascii="Times New Roman" w:hAnsi="Times New Roman" w:eastAsia="Times New Roman" w:cs="Times New Roman"/>
          <w:lang w:val="en-US" w:bidi="en-US"/>
          <w:color w:val="111111"/>
          <w:sz w:val="28"/>
          <w:szCs w:val="28"/>
          <w:rtl/>
        </w:rPr>
        <w:t xml:space="preserve">kāšānī, ‘alī-qolī ebn-e mohammad bāqer (-19c)</w:t>
      </w:r>
    </w:p>
    <w:p>
      <w:pPr>
        <w:pStyle w:val="BookText"/>
      </w:pPr>
      <w:r>
        <w:rPr>
          <w:rFonts w:ascii="IRNazanin" w:hAnsi="IRNazanin" w:eastAsia="IRNazanin" w:cs="IRNazanin"/>
          <w:lang w:bidi="fa-IR"/>
          <w:color w:val="111111"/>
          <w:sz w:val="28"/>
          <w:szCs w:val="28"/>
          <w:rtl/>
        </w:rPr>
        <w:t xml:space="preserve">تاریخ ترجمه: ۱۲۸۸ق. اهداء به: ناصر الدین شاه. این کتاب از متن فرانسه ترجمه شده و حاوی اطلاعات جغرافیایی و تاریخی دو کشور «ساووا» و «پی یمن» است، در شانزده «فصل» است که حوادث این دو کشور تا سال ۱۸۴۹م آمده است. وقایع این کتاب تا زمان پادشاهی ویکتور امانوئل ثانی می آید و در آن نشان داده می شود که چگونه امانوئل با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bookmarkStart w:id="583" w:name="pg20363_209906"/>
    <w:bookmarkEnd w:id="583"/>
    <w:p>
      <w:pPr>
        <w:pStyle w:val="BookText"/>
      </w:pPr>
      <w:r>
        <w:rPr>
          <w:rFonts w:ascii="IRNazanin" w:hAnsi="IRNazanin" w:eastAsia="IRNazanin" w:cs="IRNazanin"/>
          <w:lang w:bidi="fa-IR"/>
          <w:color w:val="111111"/>
          <w:sz w:val="28"/>
          <w:szCs w:val="28"/>
          <w:rtl/>
        </w:rPr>
        <w:t xml:space="preserve">کمک فرانسه و پروس تمام ايطاليا را تصرف  کرد و حاکم برآنجا گردید.</w:t>
      </w:r>
    </w:p>
    <w:p>
      <w:pPr>
        <w:pStyle w:val="BookText"/>
      </w:pPr>
      <w:r>
        <w:rPr>
          <w:rFonts w:ascii="IRNazanin" w:hAnsi="IRNazanin" w:eastAsia="IRNazanin" w:cs="IRNazanin"/>
          <w:lang w:bidi="fa-IR"/>
          <w:color w:val="111111"/>
          <w:sz w:val="28"/>
          <w:szCs w:val="28"/>
          <w:rtl/>
        </w:rPr>
        <w:t xml:space="preserve">تهران؛ ملی؛ شماره نسخه: ۵۳۲</w:t>
      </w:r>
    </w:p>
    <w:p>
      <w:pPr>
        <w:pStyle w:val="BookText"/>
      </w:pPr>
      <w:r>
        <w:rPr>
          <w:rFonts w:ascii="IRNazanin" w:hAnsi="IRNazanin" w:eastAsia="IRNazanin" w:cs="IRNazanin"/>
          <w:lang w:bidi="fa-IR"/>
          <w:color w:val="111111"/>
          <w:sz w:val="28"/>
          <w:szCs w:val="28"/>
          <w:rtl/>
        </w:rPr>
        <w:t xml:space="preserve">آغاز: توضيح القاب فرنگیه چون در میانه ملل اروپا بعضى القاب متداول است که در این کتاب مسطور خواهد شد؛ انجام: بتاریخ بیست و ششم مارس ماه سنه ۱۸۴۹ بر تخت نشسته با امداد دول فرانسه و پروس جميع ايطاليا را بيد تصرف در آورد.</w:t>
      </w:r>
    </w:p>
    <w:p>
      <w:pPr>
        <w:pStyle w:val="BookText"/>
      </w:pPr>
      <w:r>
        <w:rPr>
          <w:rFonts w:ascii="IRNazanin" w:hAnsi="IRNazanin" w:eastAsia="IRNazanin" w:cs="IRNazanin"/>
          <w:lang w:bidi="fa-IR"/>
          <w:color w:val="111111"/>
          <w:sz w:val="28"/>
          <w:szCs w:val="28"/>
          <w:rtl/>
        </w:rPr>
        <w:t xml:space="preserve">پایان: در عهد سلطنت شاهنشاه جمجاه اسلام پناه ناصرالدین شاه قاجار خلدالله ملکه و سلطانه کمترین درگاه علیقلی بن محمد باقر کاشانی از زبان فرانسه بفارسی ترجمه کرد سنه ۱۲۸۸. خط: نستعلیق خوش، بی کا، تا: ۱۲۸۸ق، جان محتملا تهران؛ کاغذ: فرنگی، لب طلائی، جلد: تیماج بنفش با گل و بوته زر، ۱۳۳گ، و سطر (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۲-۲۶]</w:t>
      </w:r>
    </w:p>
    <w:p>
      <w:pPr>
        <w:pStyle w:val="Heading3"/>
      </w:pPr>
      <w:bookmarkStart w:id="2671" w:name="_Toc1931"/>
      <w:r>
        <w:t>•تاريخ مملكت هندوستان / تاریخ هند / فارسی</w:t>
      </w:r>
      <w:bookmarkEnd w:id="2671"/>
    </w:p>
    <w:p>
      <w:pPr>
        <w:pStyle w:val="BookText"/>
      </w:pPr>
      <w:r>
        <w:rPr>
          <w:rFonts w:ascii="Times New Roman" w:hAnsi="Times New Roman" w:eastAsia="Times New Roman" w:cs="Times New Roman"/>
          <w:lang w:val="en-US" w:bidi="en-US"/>
          <w:color w:val="111111"/>
          <w:sz w:val="28"/>
          <w:szCs w:val="28"/>
          <w:rtl/>
        </w:rPr>
        <w:t xml:space="preserve">tārīx-e mamlekat-e hendūstān</w:t>
      </w:r>
    </w:p>
    <w:p>
      <w:pPr>
        <w:pStyle w:val="BookText"/>
      </w:pPr>
      <w:r>
        <w:rPr>
          <w:rFonts w:ascii="IRNazanin" w:hAnsi="IRNazanin" w:eastAsia="IRNazanin" w:cs="IRNazanin"/>
          <w:lang w:bidi="fa-IR"/>
          <w:color w:val="111111"/>
          <w:sz w:val="28"/>
          <w:szCs w:val="28"/>
          <w:rtl/>
        </w:rPr>
        <w:t xml:space="preserve">صحافباشی، اسماعیل بن ابراهيم، ق۱۳ قمری</w:t>
      </w:r>
    </w:p>
    <w:p>
      <w:pPr>
        <w:pStyle w:val="BookText"/>
      </w:pPr>
      <w:r>
        <w:rPr>
          <w:rFonts w:ascii="Times New Roman" w:hAnsi="Times New Roman" w:eastAsia="Times New Roman" w:cs="Times New Roman"/>
          <w:lang w:val="en-US" w:bidi="en-US"/>
          <w:color w:val="111111"/>
          <w:sz w:val="28"/>
          <w:szCs w:val="28"/>
          <w:rtl/>
        </w:rPr>
        <w:t xml:space="preserve">sahhāfbāšī, esmāʻīl ebn-e ebrāhīm (-19c)</w:t>
      </w:r>
    </w:p>
    <w:p>
      <w:pPr>
        <w:pStyle w:val="BookText"/>
      </w:pPr>
      <w:r>
        <w:rPr>
          <w:rFonts w:ascii="IRNazanin" w:hAnsi="IRNazanin" w:eastAsia="IRNazanin" w:cs="IRNazanin"/>
          <w:lang w:bidi="fa-IR"/>
          <w:color w:val="111111"/>
          <w:sz w:val="28"/>
          <w:szCs w:val="28"/>
          <w:rtl/>
        </w:rPr>
        <w:t xml:space="preserve">به امر: مظفر الدین شاه ترجمه ای است از فرنگی در ۶ جلد، که نام های کمی متفاوت به خود گرفته ولی به نظر یک مجموعه چند جلدی است که کمی پراکنده شده است. تاریخ هندوستان است و وضع فرقه های مختلف هند و روابط اجتماعی این فرقه با هم و ورود انگلیسی ها به آن سرزمین و تحت سیطره انگلیس ها در آمدن آن می باشد. این کتاب به امر مظفر الدین شاه بفارسی برگردانده شده تا مورد استفاده اهل فن و شاگردان مدارس جدید قرار گیرد. (عبدالله انوار) آغاز: جلد اول: بنام خداوند بخشنده مهربان، ترجمه تاريخ كل ممالک هندوستان مشتمل است بر جلد دوم: سهمی که بنا بود بكمپانی داده شود چون سایر حقوق تجارتی در تغییر و تبدیل بود</w:t>
      </w:r>
    </w:p>
    <w:p>
      <w:pPr>
        <w:pStyle w:val="BookText"/>
      </w:pPr>
      <w:r>
        <w:rPr>
          <w:rFonts w:ascii="IRNazanin" w:hAnsi="IRNazanin" w:eastAsia="IRNazanin" w:cs="IRNazanin"/>
          <w:lang w:bidi="fa-IR"/>
          <w:color w:val="111111"/>
          <w:sz w:val="28"/>
          <w:szCs w:val="28"/>
          <w:rtl/>
        </w:rPr>
        <w:t xml:space="preserve">[دنا ۷۴۴/۲ (۲ نسخه)؛ فهرستواره منزوی ۱۲۱۷/۲ ؛ ملی ۳۱/۴ با عنوان «تاریخ سلاطین مسلم هندوستان» ]</w:t>
      </w:r>
    </w:p>
    <w:p>
      <w:pPr>
        <w:pStyle w:val="BookText"/>
      </w:pPr>
      <w:r>
        <w:rPr>
          <w:rFonts w:ascii="IRNazanin" w:hAnsi="IRNazanin" w:eastAsia="IRNazanin" w:cs="IRNazanin"/>
          <w:lang w:bidi="fa-IR"/>
          <w:color w:val="111111"/>
          <w:sz w:val="28"/>
          <w:szCs w:val="28"/>
          <w:rtl/>
        </w:rPr>
        <w:t xml:space="preserve">۱. تهران؛ ملی؛ شماره نسخه:۱۷۱۲</w:t>
      </w:r>
    </w:p>
    <w:p>
      <w:pPr>
        <w:pStyle w:val="BookText"/>
      </w:pPr>
      <w:r>
        <w:rPr>
          <w:rFonts w:ascii="IRNazanin" w:hAnsi="IRNazanin" w:eastAsia="IRNazanin" w:cs="IRNazanin"/>
          <w:lang w:bidi="fa-IR"/>
          <w:color w:val="111111"/>
          <w:sz w:val="28"/>
          <w:szCs w:val="28"/>
          <w:rtl/>
        </w:rPr>
        <w:t xml:space="preserve">آغاز: ترجمه جلد سیم تاریخ كل ممالک هندوستان. فصل پانزدهم چون لرد تنموت؛ انجام: مترجم مینگارد: زنده است نام فرخ نوشیروان بعدل *** گرچه بسی گذشت که نوشیروان نماند جلد سوم از استعفاء لرد تنموت از حکمرانی مملکت بنگال شروع می شود و بعد از جانشین او کرنوالیس سخن به میان می آید و حوادث هند و قیام های متعدد آن ناحیه بر شمارده می شود تا به حکومت مار كويس ولزلی می رسد؛ خط: شکسته نستعلیق، کاتب</w:t>
      </w:r>
    </w:p>
    <w:p>
      <w:pPr>
        <w:pStyle w:val="BookText"/>
      </w:pPr>
      <w:r>
        <w:rPr>
          <w:rFonts w:ascii="IRNazanin" w:hAnsi="IRNazanin" w:eastAsia="IRNazanin" w:cs="IRNazanin"/>
          <w:lang w:bidi="fa-IR"/>
          <w:color w:val="111111"/>
          <w:sz w:val="28"/>
          <w:szCs w:val="28"/>
          <w:rtl/>
        </w:rPr>
        <w:t xml:space="preserve">= مؤلف، تا: شعبان ۱۳۱۸ق، جا: تهران؛ با سرلوح مذهب، مجدول؛ کاغذ: فرنگی، فلفل نمکی، جلد: مخمل سبز با گل و بوته، ۲۶۹ گ، ۱۶سطر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 اندازه: ۲۲/۵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۳۵/۵سم [ف: ۴-۱۸۰]</w:t>
      </w:r>
    </w:p>
    <w:p>
      <w:pPr>
        <w:pStyle w:val="BookText"/>
      </w:pPr>
      <w:r>
        <w:rPr>
          <w:rFonts w:ascii="IRNazanin" w:hAnsi="IRNazanin" w:eastAsia="IRNazanin" w:cs="IRNazanin"/>
          <w:lang w:bidi="fa-IR"/>
          <w:color w:val="111111"/>
          <w:sz w:val="28"/>
          <w:szCs w:val="28"/>
          <w:rtl/>
        </w:rPr>
        <w:t xml:space="preserve">۲. تهران؛ ملی؛ شماره نسخه: ۱۶۳۲</w:t>
      </w:r>
    </w:p>
    <w:p>
      <w:pPr>
        <w:pStyle w:val="BookText"/>
      </w:pPr>
      <w:r>
        <w:rPr>
          <w:rFonts w:ascii="IRNazanin" w:hAnsi="IRNazanin" w:eastAsia="IRNazanin" w:cs="IRNazanin"/>
          <w:lang w:bidi="fa-IR"/>
          <w:color w:val="111111"/>
          <w:sz w:val="28"/>
          <w:szCs w:val="28"/>
          <w:rtl/>
        </w:rPr>
        <w:t xml:space="preserve">آغاز: برابر جلد ۲؛ انجام: و در سال ۱۷۹۷ هندوستانرا وداع گفت جلد دوم تاریخ مملكت هندوستان است از فصل هشتم آن کتاب یعنی از وقایع سال ۱۷۶۶ میلادی که کمپانی هند شرقی دست خود را در گلوی کشور هند فرو می برد تا وقایع سال ۱۷۹۷ میلادی در بین حوادث این ایام وضع اجتماعی کشور هند و سلطان های نواحی متعدد آن کشور و نحوه استعمار انگلیس ها مفصل می آید؛ خط: شکسته نستعلیق، بی کا، تا: ۱۳۱۷ق، جان تهران؛ با سرلوح، مجدول؛ کاغذ: فرنگی فلفل نمکی، جلد: تیماج قرمز با گل و بوته، ۲۳۱گ، ۱۷سطر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اندازه: ۳۶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 سم [ف: ۴-۱۱۴]</w:t>
      </w:r>
    </w:p>
    <w:p>
      <w:pPr>
        <w:pStyle w:val="BookText"/>
      </w:pPr>
      <w:r>
        <w:rPr>
          <w:rFonts w:ascii="IRNazanin" w:hAnsi="IRNazanin" w:eastAsia="IRNazanin" w:cs="IRNazanin"/>
          <w:lang w:bidi="fa-IR"/>
          <w:color w:val="111111"/>
          <w:sz w:val="28"/>
          <w:szCs w:val="28"/>
          <w:rtl/>
        </w:rPr>
        <w:t xml:space="preserve">٣. تهران؛ ملی؛ شماره نسخه:۱۷۸۵</w:t>
      </w:r>
    </w:p>
    <w:p>
      <w:pPr>
        <w:pStyle w:val="BookText"/>
      </w:pPr>
      <w:r>
        <w:rPr>
          <w:rFonts w:ascii="IRNazanin" w:hAnsi="IRNazanin" w:eastAsia="IRNazanin" w:cs="IRNazanin"/>
          <w:lang w:bidi="fa-IR"/>
          <w:color w:val="111111"/>
          <w:sz w:val="28"/>
          <w:szCs w:val="28"/>
          <w:rtl/>
        </w:rPr>
        <w:t xml:space="preserve">آغاز: برابر جلد ۱؛ انجام اقدامات حکومت مزبور یا بواسطه طبیعت دشمنی آنها. تمام شد جلد اول تاريخ كل ممالک هندوستان جلد اول، خط: نستعلیق، كا: عبدالغفار، تا: ۱۳۱۸ق، جا؛ تهران؛ با سرلوح، مجدول؛ دارای دو صفحه مقدمه؛ کاغذ: فرنگی آبی، جلد: مخمل حاشیه گل و بوته، ۱۹۸، ۱۷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اندازه: ۲۰/۵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۳۲/۵سم [ف: ۴-۲۴۲]</w:t>
      </w:r>
    </w:p>
    <w:p>
      <w:pPr>
        <w:pStyle w:val="BookText"/>
      </w:pPr>
      <w:r>
        <w:rPr>
          <w:rFonts w:ascii="IRNazanin" w:hAnsi="IRNazanin" w:eastAsia="IRNazanin" w:cs="IRNazanin"/>
          <w:lang w:bidi="fa-IR"/>
          <w:color w:val="111111"/>
          <w:sz w:val="28"/>
          <w:szCs w:val="28"/>
          <w:rtl/>
        </w:rPr>
        <w:t xml:space="preserve">۴. تهران؛ ملی؛ شماره نسخه: ۱۷۷۸</w:t>
      </w:r>
    </w:p>
    <w:p>
      <w:pPr>
        <w:pStyle w:val="BookText"/>
      </w:pPr>
      <w:r>
        <w:rPr>
          <w:rFonts w:ascii="IRNazanin" w:hAnsi="IRNazanin" w:eastAsia="IRNazanin" w:cs="IRNazanin"/>
          <w:lang w:bidi="fa-IR"/>
          <w:color w:val="111111"/>
          <w:sz w:val="28"/>
          <w:szCs w:val="28"/>
          <w:rtl/>
        </w:rPr>
        <w:t xml:space="preserve">آغاز: جلد چهارم تاريخ كل ممالک هندوستان فصل بیست و یکم. مارکویس کورنواليس در ورود بهندوستان، انجام: بعضی از خطایای او ازین دو چشمه بود خدمات او را باید همیشه در کمال حق شناسی بخاطر آورد جلد چهارم؛ خط: نستعلیق، بی کا، تا: ۱۳۲۰ق؛ با سرلوح، مجدول؛ کاغذ: فرنگی فلفل نمکی، جلد: مخمل آبی با گل و بوته، ۱۷۳گ، ۱۷سطر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۳۵/۵سم [ف: ۴-۲۳۶]</w:t>
      </w:r>
    </w:p>
    <w:p>
      <w:pPr>
        <w:pStyle w:val="BookText"/>
      </w:pPr>
      <w:r>
        <w:rPr>
          <w:rFonts w:ascii="IRNazanin" w:hAnsi="IRNazanin" w:eastAsia="IRNazanin" w:cs="IRNazanin"/>
          <w:lang w:bidi="fa-IR"/>
          <w:color w:val="111111"/>
          <w:sz w:val="28"/>
          <w:szCs w:val="28"/>
          <w:rtl/>
        </w:rPr>
        <w:t xml:space="preserve">۵. تهران؛ ملی؛ شماره نسخه:۲۵۹</w:t>
      </w:r>
    </w:p>
    <w:p>
      <w:pPr>
        <w:pStyle w:val="BookText"/>
      </w:pPr>
      <w:r>
        <w:rPr>
          <w:rFonts w:ascii="IRNazanin" w:hAnsi="IRNazanin" w:eastAsia="IRNazanin" w:cs="IRNazanin"/>
          <w:lang w:bidi="fa-IR"/>
          <w:color w:val="111111"/>
          <w:sz w:val="28"/>
          <w:szCs w:val="28"/>
          <w:rtl/>
        </w:rPr>
        <w:t xml:space="preserve">آغاز: بسمه تعالی شأنه. جلد پنجم تاريخ كل ممالك هندوستان فصل بیست و یکم. مارکویس کرنواليس در ورود بهندوستان مستعد شد هر قدر بتواند تمام فوائدی را که بحسن تدبیر و مراقبت مار کویس و لزلی فرمانفرمای پیشین برای انگلستان حاصل شده بود متروک نماید؛ انجام: بعضی از خطایای بزرگ او از این دو چشمه بود، خدمات او را باید همیشه در کمال حق شناسی بخاطر آورد جلد پنجم. در این جلد از ورود مارکویس کرنواليس به هندوستان و تدابیر او در مملکت داری صحبت می شود تا وداع و بازگشت مارکویس ولزلی از هندوستان در ژانویه ۱۸۲۳م. در ضمن مباحث کتاب از اعمالی که فرمانروایان انگلیسی هند در دوره تصدی خود در هندوستان کرده اند نیز بحث می گردد که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bookmarkStart w:id="584" w:name="pg20363_209907"/>
    <w:bookmarkEnd w:id="584"/>
    <w:p>
      <w:pPr>
        <w:pStyle w:val="BookText"/>
      </w:pPr>
      <w:r>
        <w:rPr>
          <w:rFonts w:ascii="IRNazanin" w:hAnsi="IRNazanin" w:eastAsia="IRNazanin" w:cs="IRNazanin"/>
          <w:lang w:bidi="fa-IR"/>
          <w:color w:val="111111"/>
          <w:sz w:val="28"/>
          <w:szCs w:val="28"/>
          <w:rtl/>
        </w:rPr>
        <w:t xml:space="preserve">بعضی از آنها بسیار قابل توجه و دقت است؛ خط: نسخ خوش و شکسته نستعلیق، بی کا، تا: ۱۳۲۲ق؛ آخر نسخه: تمت ترجمة الكتاب بعون الملک الوهاب ترجمه غلام خانه زاد لسان السلطان اسمعیل پسر مرحوم صحاف باشی مترجم مخصوص اعلیحضرت اقدس همایونی روحنا فداه في شهر رجب المرجب ۱۳۲۲ و السلام؛ با سرلوح، مجدول؛ کاغذ: فرنگی آبی، جلد: مخمل آبی، گل و بته ضربی، مقوایی، ۲۱۸گ، ۱۶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۲۶/۵سم [ف: ۱-۲۵۶]</w:t>
      </w:r>
    </w:p>
    <w:p>
      <w:pPr>
        <w:pStyle w:val="BookText"/>
      </w:pPr>
      <w:r>
        <w:rPr>
          <w:rFonts w:ascii="IRNazanin" w:hAnsi="IRNazanin" w:eastAsia="IRNazanin" w:cs="IRNazanin"/>
          <w:lang w:bidi="fa-IR"/>
          <w:color w:val="111111"/>
          <w:sz w:val="28"/>
          <w:szCs w:val="28"/>
          <w:rtl/>
        </w:rPr>
        <w:t xml:space="preserve">۶. تهران؛ ملی؛ شماره نسخه: ۱۵۴۰</w:t>
      </w:r>
    </w:p>
    <w:p>
      <w:pPr>
        <w:pStyle w:val="BookText"/>
      </w:pPr>
      <w:r>
        <w:rPr>
          <w:rFonts w:ascii="IRNazanin" w:hAnsi="IRNazanin" w:eastAsia="IRNazanin" w:cs="IRNazanin"/>
          <w:lang w:bidi="fa-IR"/>
          <w:color w:val="111111"/>
          <w:sz w:val="28"/>
          <w:szCs w:val="28"/>
          <w:rtl/>
        </w:rPr>
        <w:t xml:space="preserve">آغاز: تاریخ سلاطین مسلم هندوستان. فصل اول: دخول اعراب در مملکت سند سال ۷۱۲ میلادی؛ انجام: این تسلط و اقتدار یکه انگلیسها در آنجا دارند باز تغییر مهمی در طباع آنها داده نشد که بکلی ریشه کن بشود احتمالا جلد ششم، در این جلد از ورود مسلمانان به هند و ابنیه ای که آنها در هند ایجاد کرده اند و پیشرفت هایی که اسلام در هند نموده تا زمان حکومت بابر پادشاه ترک نژاد هندی اطلاعات جامعی وجود دارد. ما در این کتاب درباره مساجد بزرگی که در هند ساخته شده و نیز از ورود نخستین قوم عربی به هند و حملات محمود و گرفتن آتشکده ها و از بین بردن بت ها، به مطالب جالب توجهی برخورد می کنیم؛ خط: نستعلیق، کا: محمد بن حاج محمد قلی قزوینی اشوری، تا: ۱۳۲۳ق، جا: تهران؛ با سرلوح، مجدول؛ کاغذ: فرنگی، آبی، جلد: تیماج سبز با گل و بوته، ۱۷۳گ، ۱۴سطر (۱۱/۵</w:t>
      </w:r>
    </w:p>
    <w:p>
      <w:pPr>
        <w:pStyle w:val="BookText"/>
      </w:pP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۴-۳۱]</w:t>
      </w:r>
    </w:p>
    <w:p>
      <w:pPr>
        <w:pStyle w:val="Heading3"/>
      </w:pPr>
      <w:bookmarkStart w:id="2672" w:name="_Toc1932"/>
      <w:r>
        <w:t>• تاریخ منتخب / تاریخ / ترکی</w:t>
      </w:r>
      <w:bookmarkEnd w:id="2672"/>
    </w:p>
    <w:p>
      <w:pPr>
        <w:pStyle w:val="BookText"/>
      </w:pPr>
      <w:r>
        <w:rPr>
          <w:rFonts w:ascii="Times New Roman" w:hAnsi="Times New Roman" w:eastAsia="Times New Roman" w:cs="Times New Roman"/>
          <w:lang w:val="en-US" w:bidi="en-US"/>
          <w:color w:val="111111"/>
          <w:sz w:val="28"/>
          <w:szCs w:val="28"/>
          <w:rtl/>
        </w:rPr>
        <w:t xml:space="preserve">tārīx-e montaxab</w:t>
      </w:r>
    </w:p>
    <w:p>
      <w:pPr>
        <w:pStyle w:val="BookText"/>
      </w:pPr>
      <w:r>
        <w:rPr>
          <w:rFonts w:ascii="IRNazanin" w:hAnsi="IRNazanin" w:eastAsia="IRNazanin" w:cs="IRNazanin"/>
          <w:lang w:bidi="fa-IR"/>
          <w:color w:val="111111"/>
          <w:sz w:val="28"/>
          <w:szCs w:val="28"/>
          <w:rtl/>
        </w:rPr>
        <w:t xml:space="preserve">تاریخ بسیار مختصری است مشتمل بر احوال انبياء و ملوک و مخصوصا آل عثمان و آنچه مربوط به ترکیه است، به نام سلطان سلیمان خان عثمانی، و برای کسانی که اجمالی از تاریخ و قضایای آن بخواهند.</w:t>
      </w:r>
    </w:p>
    <w:p>
      <w:pPr>
        <w:pStyle w:val="BookText"/>
      </w:pPr>
      <w:r>
        <w:rPr>
          <w:rFonts w:ascii="IRNazanin" w:hAnsi="IRNazanin" w:eastAsia="IRNazanin" w:cs="IRNazanin"/>
          <w:lang w:bidi="fa-IR"/>
          <w:color w:val="111111"/>
          <w:sz w:val="28"/>
          <w:szCs w:val="28"/>
          <w:rtl/>
        </w:rPr>
        <w:t xml:space="preserve">قم؛ مرعشی؛ شماره نسخه:۳۰۲۷</w:t>
      </w:r>
    </w:p>
    <w:p>
      <w:pPr>
        <w:pStyle w:val="BookText"/>
      </w:pPr>
      <w:r>
        <w:rPr>
          <w:rFonts w:ascii="IRNazanin" w:hAnsi="IRNazanin" w:eastAsia="IRNazanin" w:cs="IRNazanin"/>
          <w:lang w:bidi="fa-IR"/>
          <w:color w:val="111111"/>
          <w:sz w:val="28"/>
          <w:szCs w:val="28"/>
          <w:rtl/>
        </w:rPr>
        <w:t xml:space="preserve">آغاز: ابتدا بر نام حق شد فتح باب این کتاب *** ختم شد بر نام شه و الله اعلم بالصواب. ناظم جواهر اخبار راقم نوادر آثار اولان بنده خاکسار بو جریده خریده یی و بودزه فریده یی؛ انجام: شکر خدا که هرچه طلب کردی از خدا *** بر منتهای همت خود کامران شدی. خط: نسخ، كا: عبدالباقی بن علی قاضی قسطمونی، تا: غره شعبان ۹۹۵ق؛ جلد: مقوایی عطف تیماج مشکی، ۱۴۲گ، ۱۳ سطر، اندازه: ۱۲/۵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۸-۲۱۲]</w:t>
      </w:r>
    </w:p>
    <w:p>
      <w:pPr>
        <w:pStyle w:val="BookText"/>
      </w:pPr>
      <w:r>
        <w:rPr>
          <w:rFonts w:ascii="IRNazanin" w:hAnsi="IRNazanin" w:eastAsia="IRNazanin" w:cs="IRNazanin"/>
          <w:lang w:bidi="fa-IR"/>
          <w:color w:val="111111"/>
          <w:sz w:val="28"/>
          <w:szCs w:val="28"/>
          <w:rtl/>
        </w:rPr>
        <w:t xml:space="preserve">← تاریخ منظوم ← تاریخ سنواتی</w:t>
      </w:r>
    </w:p>
    <w:p>
      <w:pPr>
        <w:pStyle w:val="Heading3"/>
      </w:pPr>
      <w:bookmarkStart w:id="2673" w:name="_Toc1933"/>
      <w:r>
        <w:t>•تاریخ منظوم الهامی = مسعود نامه / تاریخ / فارسی</w:t>
      </w:r>
      <w:bookmarkEnd w:id="2673"/>
    </w:p>
    <w:p>
      <w:pPr>
        <w:pStyle w:val="BookText"/>
      </w:pPr>
      <w:r>
        <w:rPr>
          <w:rFonts w:ascii="Times New Roman" w:hAnsi="Times New Roman" w:eastAsia="Times New Roman" w:cs="Times New Roman"/>
          <w:lang w:val="en-US" w:bidi="en-US"/>
          <w:color w:val="111111"/>
          <w:sz w:val="28"/>
          <w:szCs w:val="28"/>
          <w:rtl/>
        </w:rPr>
        <w:t xml:space="preserve">tārīx-e manzūm-e elhāmī = mas‘ūd-nāme</w:t>
      </w:r>
    </w:p>
    <w:p>
      <w:pPr>
        <w:pStyle w:val="BookText"/>
      </w:pPr>
      <w:r>
        <w:rPr>
          <w:rFonts w:ascii="IRNazanin" w:hAnsi="IRNazanin" w:eastAsia="IRNazanin" w:cs="IRNazanin"/>
          <w:lang w:bidi="fa-IR"/>
          <w:color w:val="111111"/>
          <w:sz w:val="28"/>
          <w:szCs w:val="28"/>
          <w:rtl/>
        </w:rPr>
        <w:t xml:space="preserve">اهداء به: امیر حسین خان حسام الملک امیر تومان درباره شورش خاندان احمد و نه چلبی فهرست، عناوین مندرجات: ۱. دنباله دیباچه در مدح ناصرالدين شاه؛ ۲. تعریف محمد حسین خان حسام الملک والی کرمانشاه؛ ۳. اشاره به کارهای ناهنجار ایل حماوند و جوانمیر رئیس آنها؛ ۴. در شرح اعمال طايفه طاغيه احمد وند چلبی بنام مسعودنامه»؛ ۵. رزم طایفه احمدوند با عثمانیها و پناه آوردن بعضی از آنها با جوانمیر به خاک ایران؛ ۶. پناه دادن محمود خان ناصر الملک جوانمیر را و فرستادن او را به اصفهان نزد ظل السلطان؛ ۷. رفتن جوانمیر باصفهان و بخشیدن ظل السلطان جرایم او را و باز گشتن به سرحد کرمانشاهان با خلعت و لقب مواجب و منصب؛ ۸ مأمور شدن محمد حسین خان حسام الملک به حکومت کرمانشاه و ثابت شدن خیانت و نفاق جوانمیر و همدستانش به او؛ 9. آمدن فقيه قادر به خاک ایران و متفق شدن جوانمیر با او و طایفه احمدوند؛ ۱۰. نامه نوشتن سلطان عثمانی «روم» به پادشاه ایران و فرستادن پیام سفیر و درخواست یاری برای رفع شر آن طایفه؛ ۱۱. نامه ظل السلطان به حسام الملک در دفع ایل احمدوند چلبی؛ ۱۲. لشکر آرائی حسام الملک و فرستادن خان علی خان یاور فوج ششم را با فوج به مقدمه سپاه به طرف سرحد؛ ۱۳. رفتن حسام الملک با اردو به طرف سرحد و منزل کردن در باغ نشاط؛ ۱۴. برقرار نمودن حسام الملک میرزا حسین خان مستوفی دیوان را به جای خود به نیابت حکومت و عزیمت به سوی ماهیدشت؛ ۱۵. رفتن اردو از ماهیدشت به منزل هارون آباد؛ ۱۶. رفتن سپاه از هارون آباد به کرند؛ ۱۷. رفتن سپاه از کرند به سرخه دز؛ ۱۸. رفتن سپاه از سرخه دز به پاطان؛ ۱۹. رفتن حسام الملک به سرپل ذهاب و سان دیدن از اردو؛ ۲۰. مشورت کردن جوانمیر با خلیفه و یاران خود؛ ۲۱. پاسخ خليفه پیشوا و مرشد جوانمیر و راهنمایی مدبرانه؛ ۲۲. نامه جوانمیر به مهر علی خان پدرزن خود برای وساطت و تأمین؛ ۲۳. پاسخ مهر علی خان به جوانمیر و رفتنش به اردو؛ ۲۴. رفتن حسام الملک از پل ذهاب به قصر شیرین و استقبال اهالی از او؛ ۲۵. سان دیدن امیر از اردو و مأمور کردن جوانمیر برای طرد کردن فقيه قادر از خاک ایران به روم و اطاعت جوانمیر؛ ۲۶. انجمن کردن جوانمیر با یاران خود؛ ۲۷. مأمور کردن حسام الملک جوانمیر را به دستگیری حسن ابن رحیم و رفتن اسمعیل خان برادر جوانمیر با عزیز بیک شرف بائینی به گرفتن حسن؛ ۲۸. نامزد شدن شاه مراد خان احمدوند به جنگ حسن ابن رحیم و چگونگی این داستان؛ ۲۹. برگشتن شاه مراد خان به اردو و کشتن پلنگ در راه و آمدن به حضور حسام الملک؛ ۳۰. رفتن جوانمیر با برخی از فوج گوران به طرد کردن سواران احمدوند فقيه قادری و تار و مار کردن آنها؛ ۳۱. دعوت کردن محمد پاشا سرعسکر روم حسام الملک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bookmarkStart w:id="585" w:name="pg20363_209908"/>
    <w:bookmarkEnd w:id="585"/>
    <w:p>
      <w:pPr>
        <w:pStyle w:val="BookText"/>
      </w:pPr>
      <w:r>
        <w:rPr>
          <w:rFonts w:ascii="IRNazanin" w:hAnsi="IRNazanin" w:eastAsia="IRNazanin" w:cs="IRNazanin"/>
          <w:lang w:bidi="fa-IR"/>
          <w:color w:val="111111"/>
          <w:sz w:val="28"/>
          <w:szCs w:val="28"/>
          <w:rtl/>
        </w:rPr>
        <w:t xml:space="preserve">را و نپذیرفتن و خواستن او محمد پاشا را و پذیرفتن او؛ ۳۲. بخشش کردن حسام الملک به مهمانان رومی خود هدایایی را؛ ۳۳. مراجعت محمد پاشا سرعسکر روم و مشایعت حسام الملک او را تا حوالی سرحد؛ ۳۴. رأى زدن جوانمیر با یاران در کار خود و بنای حیله گری نهادن و آگاه کردن یکی از جاسوسان حسام الملک را از عذر جوانمیر که به همدستان خود گرفته بود؛ ۳۵. فرمان حسام الملک به لشکر جهت محاصره قلعه جوانمیر و شروع به جنگ سخت از دو سو و بقیه وقایع؛ ۳۶. رفتن حسام الملک برای تسخیر قلعه و گشودن آن و شکر گزاری حسام الملک به خداوند از فتح و غلبه خود؛ ۳۷. به خاک سپردن کشته شدگان سپاه ایران و استمالت حسام الملک از رشادت آنان و دادن پاداش به سپاهیان و فرستادن محمود خان سنجابی را به سرپل ذهاب جهت دستگیری برادر جوانمرد و موفق شدن او به انجام فرمان؛ ۳۸. مدح و تعریف شاعر و مؤلف از رفتار حسام الملك؛ ۳۹. فرستادن حسام الملک کلب علی خان کشیک چی باشی را برای دستگیر ساختن جافهای برادی که خونی محمد پاشای سرعسکر رومی بودند و گرفتن آنها و آوردن نزد امیر؛ ۴۰. تلگراف ناصر الدین شاه به حسام الملک و امر به سیاست جوانمیر و کشتن اشرار و ارسال سرهای آنان به طهران.</w:t>
      </w:r>
    </w:p>
    <w:p>
      <w:pPr>
        <w:pStyle w:val="BookText"/>
      </w:pPr>
      <w:r>
        <w:rPr>
          <w:rFonts w:ascii="IRNazanin" w:hAnsi="IRNazanin" w:eastAsia="IRNazanin" w:cs="IRNazanin"/>
          <w:lang w:bidi="fa-IR"/>
          <w:color w:val="111111"/>
          <w:sz w:val="28"/>
          <w:szCs w:val="28"/>
          <w:rtl/>
        </w:rPr>
        <w:t xml:space="preserve">تهران؛ مجلس؛ شماره نسخه:۱۱۴۸</w:t>
      </w:r>
    </w:p>
    <w:p>
      <w:pPr>
        <w:pStyle w:val="BookText"/>
      </w:pPr>
      <w:r>
        <w:rPr>
          <w:rFonts w:ascii="IRNazanin" w:hAnsi="IRNazanin" w:eastAsia="IRNazanin" w:cs="IRNazanin"/>
          <w:lang w:bidi="fa-IR"/>
          <w:color w:val="111111"/>
          <w:sz w:val="28"/>
          <w:szCs w:val="28"/>
          <w:rtl/>
        </w:rPr>
        <w:t xml:space="preserve">خط: نستعلیق، کا: گویا مؤلف، تا: قرن ۱۳؛ افتادگی: آغاز و انجام کاغذ: آبی، جلد: تیماج قهوه ای ضربی با ترنج و سرترنج، ۷۴گ، ۱۰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w:t>
      </w:r>
    </w:p>
    <w:p>
      <w:pPr>
        <w:pStyle w:val="BookText"/>
      </w:pPr>
      <w:r>
        <w:rPr>
          <w:rFonts w:ascii="IRNazanin" w:hAnsi="IRNazanin" w:eastAsia="IRNazanin" w:cs="IRNazanin"/>
          <w:lang w:bidi="fa-IR"/>
          <w:color w:val="111111"/>
          <w:sz w:val="28"/>
          <w:szCs w:val="28"/>
          <w:rtl/>
        </w:rPr>
        <w:t xml:space="preserve">[سنا: ف: ۱۳۸۲]</w:t>
      </w:r>
    </w:p>
    <w:p>
      <w:pPr>
        <w:pStyle w:val="Heading3"/>
      </w:pPr>
      <w:bookmarkStart w:id="2674" w:name="_Toc1934"/>
      <w:r>
        <w:t>•تاریخ منظوم ائمه / شعر / فارسی</w:t>
      </w:r>
      <w:bookmarkEnd w:id="2674"/>
    </w:p>
    <w:p>
      <w:pPr>
        <w:pStyle w:val="BookText"/>
      </w:pPr>
      <w:r>
        <w:rPr>
          <w:rFonts w:ascii="Times New Roman" w:hAnsi="Times New Roman" w:eastAsia="Times New Roman" w:cs="Times New Roman"/>
          <w:lang w:val="en-US" w:bidi="en-US"/>
          <w:color w:val="111111"/>
          <w:sz w:val="28"/>
          <w:szCs w:val="28"/>
          <w:rtl/>
        </w:rPr>
        <w:t xml:space="preserve">tarix-e manzum-ea'emme</w:t>
      </w:r>
    </w:p>
    <w:p>
      <w:pPr>
        <w:pStyle w:val="BookText"/>
      </w:pPr>
      <w:r>
        <w:rPr>
          <w:rFonts w:ascii="IRNazanin" w:hAnsi="IRNazanin" w:eastAsia="IRNazanin" w:cs="IRNazanin"/>
          <w:lang w:bidi="fa-IR"/>
          <w:color w:val="111111"/>
          <w:sz w:val="28"/>
          <w:szCs w:val="28"/>
          <w:rtl/>
        </w:rPr>
        <w:t xml:space="preserve">؟ نصیر الدین طوسی، محمد بن محمد، ۵۹۷-۶۷۲ قمری</w:t>
      </w:r>
    </w:p>
    <w:p>
      <w:pPr>
        <w:pStyle w:val="BookText"/>
      </w:pPr>
      <w:r>
        <w:rPr>
          <w:rFonts w:ascii="Times New Roman" w:hAnsi="Times New Roman" w:eastAsia="Times New Roman" w:cs="Times New Roman"/>
          <w:lang w:val="en-US" w:bidi="en-US"/>
          <w:color w:val="111111"/>
          <w:sz w:val="28"/>
          <w:szCs w:val="28"/>
          <w:rtl/>
        </w:rPr>
        <w:t xml:space="preserve">nasīr-od-dīn-e tūsī, mohammad ebn-e mohammad (120-1274)</w:t>
      </w:r>
    </w:p>
    <w:p>
      <w:pPr>
        <w:pStyle w:val="BookText"/>
      </w:pPr>
      <w:r>
        <w:rPr>
          <w:rFonts w:ascii="IRNazanin" w:hAnsi="IRNazanin" w:eastAsia="IRNazanin" w:cs="IRNazanin"/>
          <w:lang w:bidi="fa-IR"/>
          <w:color w:val="111111"/>
          <w:sz w:val="28"/>
          <w:szCs w:val="28"/>
          <w:rtl/>
        </w:rPr>
        <w:t xml:space="preserve">۲۵ بیت است در تاریخ منظوم تولد و وفات و مدت امامت ائمه(عليه السلام)است با حروف ابجد و با استفاده از نام علی (عليه السلام). در جایی ندیدیم که چنین اشعاری را به خواجه نسبت داده باشند در آثار و احوال خواجه نیست و در کتاب شعر و شاعری، معظمه اقبالی هم به آن اشاره نشده است باید گفت که ابتدا دانش پژوه در فهرست دانشگاه گفته آن هم با استناد به عبارت اول نسخه که در یکی از نسخه های دانشکده الهیات مشهد بوده و به خواجه تصریح شده ولی در نسخه مجلس شورا قرینه ای دال بر انتساب آن به خواجه دیده نشد لذا می توان گفت که از اشعاری است که به خواجه منسوب شده و هیچ قرینه ای بر آن نیست گرچه استفاده از حروف ابجد با کاربست نام علی (عليه السلام)برای تاریخ ولادت و مدت امامت و سال وفات ائمه، هنری بوده که در این اشعار به کار رفته است گرچه ابدا دقیق به نظر نمی رسد. آغاز: از علی گردد جلی تاریخ جمله اولیاء *** هم ولادت هم زمان عمر هم فوت ای فنا / مدت عمرش بود تضعیف عشر مرکزش *** بهر تاریخ وفاتش لام را بر یا فزا انجام: فتح کن بر رویم این فتاح ابواب فتوح***یا مفتح تب علينا ربنا فاغفر لنا</w:t>
      </w:r>
    </w:p>
    <w:p>
      <w:pPr>
        <w:pStyle w:val="BookText"/>
      </w:pPr>
      <w:r>
        <w:rPr>
          <w:rFonts w:ascii="IRNazanin" w:hAnsi="IRNazanin" w:eastAsia="IRNazanin" w:cs="IRNazanin"/>
          <w:lang w:bidi="fa-IR"/>
          <w:color w:val="111111"/>
          <w:sz w:val="28"/>
          <w:szCs w:val="28"/>
          <w:rtl/>
        </w:rPr>
        <w:t xml:space="preserve">[دنا ۷۴۴/۲ (۵ نسخه)؛ فهرستواره منزوی ۱۵۶۷/۳ ]</w:t>
      </w:r>
    </w:p>
    <w:p>
      <w:pPr>
        <w:pStyle w:val="BookText"/>
      </w:pPr>
      <w:r>
        <w:rPr>
          <w:rFonts w:ascii="IRNazanin" w:hAnsi="IRNazanin" w:eastAsia="IRNazanin" w:cs="IRNazanin"/>
          <w:lang w:bidi="fa-IR"/>
          <w:color w:val="111111"/>
          <w:sz w:val="28"/>
          <w:szCs w:val="28"/>
          <w:rtl/>
        </w:rPr>
        <w:t xml:space="preserve">۱. قم؛ مرعشی؛ شماره نسخه: ۱۱۸۲/۵۶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نسخه اصل: فرهنگستان علوم آذربایجان باکو، ش (۸۲۰۱)</w:t>
      </w:r>
    </w:p>
    <w:p>
      <w:pPr>
        <w:pStyle w:val="BookText"/>
      </w:pPr>
      <w:r>
        <w:rPr>
          <w:rFonts w:ascii="Times New Roman" w:hAnsi="Times New Roman" w:eastAsia="Times New Roman" w:cs="Times New Roman"/>
          <w:lang w:val="en-US" w:bidi="en-US"/>
          <w:color w:val="111111"/>
          <w:sz w:val="28"/>
          <w:szCs w:val="28"/>
          <w:rtl/>
        </w:rPr>
        <w:t xml:space="preserve">M </w:t>
      </w:r>
      <w:r>
        <w:rPr>
          <w:rFonts w:ascii="IRNazanin" w:hAnsi="IRNazanin" w:eastAsia="IRNazanin" w:cs="IRNazanin"/>
          <w:lang w:bidi="fa-IR"/>
          <w:color w:val="111111"/>
          <w:sz w:val="28"/>
          <w:szCs w:val="28"/>
          <w:rtl/>
        </w:rPr>
        <w:t xml:space="preserve">۱۴۰؛ خط: نستعلیق چلیپا، بی کا، تا: با تاریخ قرن ۱۱، ۱ص (۱۶۷)</w:t>
      </w:r>
    </w:p>
    <w:p>
      <w:pPr>
        <w:pStyle w:val="BookText"/>
      </w:pPr>
      <w:r>
        <w:rPr>
          <w:rFonts w:ascii="IRNazanin" w:hAnsi="IRNazanin" w:eastAsia="IRNazanin" w:cs="IRNazanin"/>
          <w:lang w:bidi="fa-IR"/>
          <w:color w:val="111111"/>
          <w:sz w:val="28"/>
          <w:szCs w:val="28"/>
          <w:rtl/>
        </w:rPr>
        <w:t xml:space="preserve">[عکسی ف: ۳-۴۲۶]</w:t>
      </w:r>
    </w:p>
    <w:p>
      <w:pPr>
        <w:pStyle w:val="BookText"/>
      </w:pPr>
      <w:r>
        <w:rPr>
          <w:rFonts w:ascii="IRNazanin" w:hAnsi="IRNazanin" w:eastAsia="IRNazanin" w:cs="IRNazanin"/>
          <w:lang w:bidi="fa-IR"/>
          <w:color w:val="111111"/>
          <w:sz w:val="28"/>
          <w:szCs w:val="28"/>
          <w:rtl/>
        </w:rPr>
        <w:t xml:space="preserve">۲. تهران؛ مجلس؛ شماره نسخه:۱۲۰۷/۶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فهرست با عنوان «منظومه تاریخ تولد و وفات ائمه» آمده و بدون نام مؤلف؛ خط: نستعلیق، بی کا، تا: ۱۲۳۴ق؛ کاغذ: فرنگی سفید آهار مهره، ۱۹ سطر [ف: ۱۷۴۱]</w:t>
      </w:r>
    </w:p>
    <w:p>
      <w:pPr>
        <w:pStyle w:val="BookText"/>
      </w:pPr>
      <w:r>
        <w:rPr>
          <w:rFonts w:ascii="IRNazanin" w:hAnsi="IRNazanin" w:eastAsia="IRNazanin" w:cs="IRNazanin"/>
          <w:lang w:bidi="fa-IR"/>
          <w:color w:val="111111"/>
          <w:sz w:val="28"/>
          <w:szCs w:val="28"/>
          <w:rtl/>
        </w:rPr>
        <w:t xml:space="preserve">٣. تهران؛ مجلس؛ شماره نسخه: ۱۳۷۲۷/۱۳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چلیپا، كا: محمد حسن هزار جریبی، تا: ۱۲۹۵ - ۱۲۹۸ق؛ جلد: تیماج سرخ مجدول گرهی، ۲گ (۱۲۰۶-۲۰۷ر) [ف: ۳۷-۲۵۴]</w:t>
      </w:r>
    </w:p>
    <w:p>
      <w:pPr>
        <w:pStyle w:val="BookText"/>
      </w:pPr>
      <w:r>
        <w:rPr>
          <w:rFonts w:ascii="IRNazanin" w:hAnsi="IRNazanin" w:eastAsia="IRNazanin" w:cs="IRNazanin"/>
          <w:lang w:bidi="fa-IR"/>
          <w:color w:val="111111"/>
          <w:sz w:val="28"/>
          <w:szCs w:val="28"/>
          <w:rtl/>
        </w:rPr>
        <w:t xml:space="preserve">۴. مشهد؛ الهیات؛ شماره نسخه:۵۶۱۱۶</w:t>
      </w:r>
    </w:p>
    <w:p>
      <w:pPr>
        <w:pStyle w:val="BookText"/>
      </w:pPr>
      <w:r>
        <w:rPr>
          <w:rFonts w:ascii="IRNazanin" w:hAnsi="IRNazanin" w:eastAsia="IRNazanin" w:cs="IRNazanin"/>
          <w:lang w:bidi="fa-IR"/>
          <w:color w:val="111111"/>
          <w:sz w:val="28"/>
          <w:szCs w:val="28"/>
          <w:rtl/>
        </w:rPr>
        <w:t xml:space="preserve">آغاز: عن خواجه نصیرالدین طوسی (رحمت الله علیه): از علی گردد جلی تاریخ فوت مرتضی در فهرست با عنوان «اشعاری در تاریخ» آمده است؛ بی کا، بی تا؛ کاغذ ترمه، جلد: تیماج سبز ترنج دار، مص،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۱-۴۷۲]</w:t>
      </w:r>
    </w:p>
    <w:p>
      <w:pPr>
        <w:pStyle w:val="BookText"/>
      </w:pPr>
      <w:r>
        <w:rPr>
          <w:rFonts w:ascii="IRNazanin" w:hAnsi="IRNazanin" w:eastAsia="IRNazanin" w:cs="IRNazanin"/>
          <w:lang w:bidi="fa-IR"/>
          <w:color w:val="111111"/>
          <w:sz w:val="28"/>
          <w:szCs w:val="28"/>
          <w:rtl/>
        </w:rPr>
        <w:t xml:space="preserve">۵. مشهد؛ الهیات؛ شماره نسخه: ۶۹۴/۶۷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فهرست با عنوان «قصیده» و بدن نام مؤلف آمده؛ خط: نسخ و نستعلیق، بی کا، بی تا، کاغذ: فرنگی و فستقی، جلد: تیماج عنابی، 1ص، اندازه: ۲۲/۵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۱-۵۴۷]</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دانشگاه؛ شماره نسخه: ۴۳۵۴/۹</w:t>
      </w:r>
    </w:p>
    <w:p>
      <w:pPr>
        <w:pStyle w:val="BookText"/>
      </w:pPr>
      <w:r>
        <w:rPr>
          <w:rFonts w:ascii="IRNazanin" w:hAnsi="IRNazanin" w:eastAsia="IRNazanin" w:cs="IRNazanin"/>
          <w:lang w:bidi="fa-IR"/>
          <w:color w:val="111111"/>
          <w:sz w:val="28"/>
          <w:szCs w:val="28"/>
          <w:rtl/>
        </w:rPr>
        <w:t xml:space="preserve">آغاز و انجام: برابر بی کا، بی تا، کاغذ: فرنگی، جلد: تیماج مشکی، ۲گ (۳۳۳ -۳۳۴)، ۲۲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۱۳-۳۳۱۰]</w:t>
      </w:r>
    </w:p>
    <w:p>
      <w:pPr>
        <w:pStyle w:val="Heading3"/>
      </w:pPr>
      <w:bookmarkStart w:id="2675" w:name="_Toc1935"/>
      <w:r>
        <w:t>• تاریخ منظوم شاهان / تاریخ / فارسی</w:t>
      </w:r>
      <w:bookmarkEnd w:id="2675"/>
    </w:p>
    <w:p>
      <w:pPr>
        <w:pStyle w:val="BookText"/>
      </w:pPr>
      <w:r>
        <w:rPr>
          <w:rFonts w:ascii="Times New Roman" w:hAnsi="Times New Roman" w:eastAsia="Times New Roman" w:cs="Times New Roman"/>
          <w:lang w:val="en-US" w:bidi="en-US"/>
          <w:color w:val="111111"/>
          <w:sz w:val="28"/>
          <w:szCs w:val="28"/>
          <w:rtl/>
        </w:rPr>
        <w:t xml:space="preserve">tārīx-e manzūm-e šāhān</w:t>
      </w:r>
    </w:p>
    <w:p>
      <w:pPr>
        <w:pStyle w:val="BookText"/>
      </w:pPr>
      <w:r>
        <w:rPr>
          <w:rFonts w:ascii="IRNazanin" w:hAnsi="IRNazanin" w:eastAsia="IRNazanin" w:cs="IRNazanin"/>
          <w:lang w:bidi="fa-IR"/>
          <w:color w:val="111111"/>
          <w:sz w:val="28"/>
          <w:szCs w:val="28"/>
          <w:rtl/>
        </w:rPr>
        <w:t xml:space="preserve">حکومت کیومرث تا تاریخ منظوم است با وزن مثنوی از ابتدای حجاج را به شعر کشیده است.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bookmarkStart w:id="586" w:name="pg20363_209909"/>
    <w:bookmarkEnd w:id="586"/>
    <w:p>
      <w:pPr>
        <w:pStyle w:val="BookText"/>
      </w:pPr>
      <w:r>
        <w:rPr>
          <w:rFonts w:ascii="IRNazanin" w:hAnsi="IRNazanin" w:eastAsia="IRNazanin" w:cs="IRNazanin"/>
          <w:lang w:bidi="fa-IR"/>
          <w:color w:val="111111"/>
          <w:sz w:val="28"/>
          <w:szCs w:val="28"/>
          <w:rtl/>
        </w:rPr>
        <w:t xml:space="preserve">قم؛ مسجد اعظم؛ شماره نسخه: ۱۱۹۲</w:t>
      </w:r>
    </w:p>
    <w:p>
      <w:pPr>
        <w:pStyle w:val="BookText"/>
      </w:pPr>
      <w:r>
        <w:rPr>
          <w:rFonts w:ascii="IRNazanin" w:hAnsi="IRNazanin" w:eastAsia="IRNazanin" w:cs="IRNazanin"/>
          <w:lang w:bidi="fa-IR"/>
          <w:color w:val="111111"/>
          <w:sz w:val="28"/>
          <w:szCs w:val="28"/>
          <w:rtl/>
        </w:rPr>
        <w:t xml:space="preserve">آغاز: چرخ لوائی که نخستین گشود ۶۸ بر سر اکلیل کیومرث بود؛ انجام: برد چه حجاج از این جنگ نام *** کو کب او یافت عروجی تمام.</w:t>
      </w:r>
    </w:p>
    <w:p>
      <w:pPr>
        <w:pStyle w:val="BookText"/>
      </w:pPr>
      <w:r>
        <w:rPr>
          <w:rFonts w:ascii="IRNazanin" w:hAnsi="IRNazanin" w:eastAsia="IRNazanin" w:cs="IRNazanin"/>
          <w:lang w:bidi="fa-IR"/>
          <w:color w:val="111111"/>
          <w:sz w:val="28"/>
          <w:szCs w:val="28"/>
          <w:rtl/>
        </w:rPr>
        <w:t xml:space="preserve">خط: نستعلیق شکسته، بی کا، تا: ۱۲۹۶ق، جان سنندج کردستان؛ افتادگی: وسط؛ دارای لوح و کتیبه، مجدول و کمند کشی؛ جلد: تیماج قهوه ای عطف تیماج، ۳۳گ، ۱۲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مخ: ۱-۳۱۶]</w:t>
      </w:r>
    </w:p>
    <w:p>
      <w:pPr>
        <w:pStyle w:val="BookText"/>
      </w:pPr>
      <w:r>
        <w:rPr>
          <w:rFonts w:ascii="IRNazanin" w:hAnsi="IRNazanin" w:eastAsia="IRNazanin" w:cs="IRNazanin"/>
          <w:lang w:bidi="fa-IR"/>
          <w:color w:val="111111"/>
          <w:sz w:val="28"/>
          <w:szCs w:val="28"/>
          <w:rtl/>
        </w:rPr>
        <w:t xml:space="preserve">← تاریخ المواليد ← تاريخ مواليد اهل البيت</w:t>
      </w:r>
    </w:p>
    <w:p>
      <w:pPr>
        <w:pStyle w:val="Heading3"/>
      </w:pPr>
      <w:bookmarkStart w:id="2676" w:name="_Toc1936"/>
      <w:r>
        <w:t>• تاریخ مواليد اهل البيت = مواليد الأئمة و انسابهم و وفياتهم / تاریخ معصومین / عربی</w:t>
      </w:r>
      <w:bookmarkEnd w:id="2676"/>
    </w:p>
    <w:p>
      <w:pPr>
        <w:pStyle w:val="BookText"/>
      </w:pPr>
      <w:r>
        <w:rPr>
          <w:rFonts w:ascii="Times New Roman" w:hAnsi="Times New Roman" w:eastAsia="Times New Roman" w:cs="Times New Roman"/>
          <w:lang w:val="en-US" w:bidi="en-US"/>
          <w:color w:val="111111"/>
          <w:sz w:val="28"/>
          <w:szCs w:val="28"/>
          <w:rtl/>
        </w:rPr>
        <w:t xml:space="preserve">tārīx-u mawālīd-i ahl-il bayt = mawālīd-ul a'imma wa ansāb-i-him wa wafayāt-i-him</w:t>
      </w:r>
    </w:p>
    <w:p>
      <w:pPr>
        <w:pStyle w:val="BookText"/>
      </w:pPr>
      <w:r>
        <w:rPr>
          <w:rFonts w:ascii="IRNazanin" w:hAnsi="IRNazanin" w:eastAsia="IRNazanin" w:cs="IRNazanin"/>
          <w:lang w:bidi="fa-IR"/>
          <w:color w:val="111111"/>
          <w:sz w:val="28"/>
          <w:szCs w:val="28"/>
          <w:rtl/>
        </w:rPr>
        <w:t xml:space="preserve">ابن خشاب يمنی، محمد بن احمد، - ۶۵۰؟ قمری</w:t>
      </w:r>
    </w:p>
    <w:p>
      <w:pPr>
        <w:pStyle w:val="BookText"/>
      </w:pPr>
      <w:r>
        <w:rPr>
          <w:rFonts w:ascii="Times New Roman" w:hAnsi="Times New Roman" w:eastAsia="Times New Roman" w:cs="Times New Roman"/>
          <w:lang w:val="en-US" w:bidi="en-US"/>
          <w:color w:val="111111"/>
          <w:sz w:val="28"/>
          <w:szCs w:val="28"/>
          <w:rtl/>
        </w:rPr>
        <w:t xml:space="preserve">ebn-e xaššāb-e yamanī, mohammad ebn-e ahmad ( 1253)</w:t>
      </w:r>
    </w:p>
    <w:p>
      <w:pPr>
        <w:pStyle w:val="BookText"/>
      </w:pPr>
      <w:r>
        <w:rPr>
          <w:rFonts w:ascii="IRNazanin" w:hAnsi="IRNazanin" w:eastAsia="IRNazanin" w:cs="IRNazanin"/>
          <w:lang w:bidi="fa-IR"/>
          <w:color w:val="111111"/>
          <w:sz w:val="28"/>
          <w:szCs w:val="28"/>
          <w:rtl/>
        </w:rPr>
        <w:t xml:space="preserve">تاریخ تأليف: ۶۱۶ق در تاریخ ولادت و وفات و کنی و القاب و مدت عمر و محل دفن هریک از چهارده معصوم(عليه السلام). به روایت شیخ محمد عبدالله بن احمد بن خشاب از شیوخ خود. این کتاب که از مصادر بحارالانوار مجلسی محسوب می شود. آغاز: بسمله. وصلى الله على محمد و آله المعصومين اخبرنا السيد العالم الفقيه صفي الدين ابو جعفر محمد بن سع الموسوي في العشر الأخير من صفر من سنة ست عشرة و ستماة قال أخبرنا الاجل العالم زین الدین ابو العز احمد بن ابی المظفر محمد بن عبدالله بن محمد بن جعفر قرائة عليه فاقر به و ذلك في آخر نهار يوم الخميس ثامن صفر من السنة المذكورة بمدينة السلام بدرب الدواب قال أخبرنا الشيخ الإمام العالم الاوحد حجة الاسلام ابو محمد عبدالله بن أحمد بن محمد الخشاپ قال قرأت على الشيخ ابی منصور محمد بن عبدالملک بن الحسن بن خیرون المقري يوم السبت الخامس و العشرين من المحرم سنة احدی و ثلاثين و خمسماة من اصله بخط عمه ابي الفضل احمد بن الحسن و سماعه عنه فيه بخط عمه في يوم الجمعة سادس عشر شعبان من سنة أربع و ثمانین و اربعماة قال أخبركم ابو الفضل احمد بن الحسن فاقربه قال أخبرنا أبو علي الحسن بن الحسين بن العباس بن الفضل بن دوما قرائة عليه و انا اسمع في رجب سنة ثمان و عشرین و اربعمائه قال أخبرنا ابوبکر احمد بن نصر بن عبدالله بن الفتح الذارع النهر و انی بها قرائة عليه و انا اسمع في سنة خمس و ستين و ثلاثمأة قال حديثا حرب بن محمد المؤدب قال حدثنا الحسن بن محمد القمي البصري قال حدثني أبي قال حدثنی محمد بن الحسين عن محمد بن سنان عن محمد بن مسكان عن</w:t>
      </w:r>
    </w:p>
    <w:p>
      <w:pPr>
        <w:pStyle w:val="BookText"/>
      </w:pPr>
      <w:r>
        <w:rPr>
          <w:rFonts w:ascii="IRNazanin" w:hAnsi="IRNazanin" w:eastAsia="IRNazanin" w:cs="IRNazanin"/>
          <w:lang w:bidi="fa-IR"/>
          <w:color w:val="111111"/>
          <w:sz w:val="28"/>
          <w:szCs w:val="28"/>
          <w:rtl/>
        </w:rPr>
        <w:t xml:space="preserve">ابی بصير عن ابی عبدالله الصادق جعفر بن محمد عليهما السلام. انجام: حدثني محمد بن موسی الطوسي حدثني عبيد الله بن محمد عن الهيثم عدي قال يقال كنيته الخلف الصالح ابوالقاسم و هو ذوالاسمین و صلی الله عليه و على آبائه الطاهرين.</w:t>
      </w:r>
    </w:p>
    <w:p>
      <w:pPr>
        <w:pStyle w:val="BookText"/>
      </w:pPr>
      <w:r>
        <w:rPr>
          <w:rFonts w:ascii="IRNazanin" w:hAnsi="IRNazanin" w:eastAsia="IRNazanin" w:cs="IRNazanin"/>
          <w:lang w:bidi="fa-IR"/>
          <w:color w:val="111111"/>
          <w:sz w:val="28"/>
          <w:szCs w:val="28"/>
          <w:rtl/>
        </w:rPr>
        <w:t xml:space="preserve">[دنا ۷۴۴/۲ (۵ نسخه)]</w:t>
      </w:r>
    </w:p>
    <w:p>
      <w:pPr>
        <w:pStyle w:val="BookText"/>
      </w:pPr>
      <w:r>
        <w:rPr>
          <w:rFonts w:ascii="IRNazanin" w:hAnsi="IRNazanin" w:eastAsia="IRNazanin" w:cs="IRNazanin"/>
          <w:lang w:bidi="fa-IR"/>
          <w:color w:val="111111"/>
          <w:sz w:val="28"/>
          <w:szCs w:val="28"/>
          <w:rtl/>
        </w:rPr>
        <w:t xml:space="preserve">١. مشهد؛ رضوی، شماره نسخه:۱۹۶۷۶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۱۱؛ اهدایی: رهبری، خرداد ۱۳۷۳؛ کاغذ: نخودی آهار مهره، جلد: تیماج عنابی با ترنج و سرترنج، ۵گ، ۲۳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 سم [ف: ۲۶-۶۱۳]</w:t>
      </w:r>
    </w:p>
    <w:p>
      <w:pPr>
        <w:pStyle w:val="BookText"/>
      </w:pPr>
      <w:r>
        <w:rPr>
          <w:rFonts w:ascii="IRNazanin" w:hAnsi="IRNazanin" w:eastAsia="IRNazanin" w:cs="IRNazanin"/>
          <w:lang w:bidi="fa-IR"/>
          <w:color w:val="111111"/>
          <w:sz w:val="28"/>
          <w:szCs w:val="28"/>
          <w:rtl/>
        </w:rPr>
        <w:t xml:space="preserve">۲. قم؛ مرکز احیاء؛ شماره نسخه: ۳۳۷۲/۴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۱۱؛ مصحح، در پایان علامت بلاغی از عبدالله بن محمود شوشتری، یادداشتی از محمد ابراهیم موسوی به نقل از عمویش صاحب روضات درباره مصحح کتاب ملاعبدالله شوشتری؛ ۴گ (۱۰۱پ -۱۰۴ر)، ۲۷ سطر، اندازه: ۱۸/۵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۲۴/۵ سم [ محدث ارموی مخ: ۱- ۲۷۱]</w:t>
      </w:r>
    </w:p>
    <w:p>
      <w:pPr>
        <w:pStyle w:val="BookText"/>
      </w:pPr>
      <w:r>
        <w:rPr>
          <w:rFonts w:ascii="IRNazanin" w:hAnsi="IRNazanin" w:eastAsia="IRNazanin" w:cs="IRNazanin"/>
          <w:lang w:bidi="fa-IR"/>
          <w:color w:val="111111"/>
          <w:sz w:val="28"/>
          <w:szCs w:val="28"/>
          <w:rtl/>
        </w:rPr>
        <w:t xml:space="preserve">٣. قم؛ مرعشی؛ شماره نسخه:۱۱۴۳/۳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علی بن عبدالله جزایری، تا: پنج شنبه ۱۷ صفر ۱۰۲۶ق، جا: قريه طيب آباد در زمان شاه عباس حسینی؛ ۶ص ( ۲۸-۲۳ )، ۲۷ سطر [عکسی ف: ۳-۲۹۹]</w:t>
      </w:r>
    </w:p>
    <w:p>
      <w:pPr>
        <w:pStyle w:val="BookText"/>
      </w:pPr>
      <w:r>
        <w:rPr>
          <w:rFonts w:ascii="IRNazanin" w:hAnsi="IRNazanin" w:eastAsia="IRNazanin" w:cs="IRNazanin"/>
          <w:lang w:bidi="fa-IR"/>
          <w:color w:val="111111"/>
          <w:sz w:val="28"/>
          <w:szCs w:val="28"/>
          <w:rtl/>
        </w:rPr>
        <w:t xml:space="preserve">۴. مشهد؛ رضوی؛ شماره نسخه:۲۴۸۶۷</w:t>
      </w:r>
    </w:p>
    <w:p>
      <w:pPr>
        <w:pStyle w:val="BookText"/>
      </w:pPr>
      <w:r>
        <w:rPr>
          <w:rFonts w:ascii="IRNazanin" w:hAnsi="IRNazanin" w:eastAsia="IRNazanin" w:cs="IRNazanin"/>
          <w:lang w:bidi="fa-IR"/>
          <w:color w:val="111111"/>
          <w:sz w:val="28"/>
          <w:szCs w:val="28"/>
          <w:rtl/>
        </w:rPr>
        <w:t xml:space="preserve">آغاز و انجام: برابر؛ من نسخة بن محمد قلی ملا باقر البهبهانی النجفی و الحمدلله على ذلك</w:t>
      </w:r>
    </w:p>
    <w:p>
      <w:pPr>
        <w:pStyle w:val="BookText"/>
      </w:pPr>
      <w:r>
        <w:rPr>
          <w:rFonts w:ascii="IRNazanin" w:hAnsi="IRNazanin" w:eastAsia="IRNazanin" w:cs="IRNazanin"/>
          <w:lang w:bidi="fa-IR"/>
          <w:color w:val="111111"/>
          <w:sz w:val="28"/>
          <w:szCs w:val="28"/>
          <w:rtl/>
        </w:rPr>
        <w:t xml:space="preserve">خط: نستعلیق تحریری، کان کنتوری، حامد حسین بن محمد قلی تا: شنبه ۱۳ جمادی الثانی ۱۲۸۳ق؛ اهدایی: رهبری، خرداد ۱۳۷۳؛ کاغذ: نخودی آهار مهره، جلد: تیماج عنابی با ترنج و سرترنج، ۵گ، ۲۳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 سم [اهدائی رهبر: ۲ اخبار ۱-۱۷۷]</w:t>
      </w:r>
    </w:p>
    <w:p>
      <w:pPr>
        <w:pStyle w:val="BookText"/>
      </w:pPr>
      <w:r>
        <w:rPr>
          <w:rFonts w:ascii="IRNazanin" w:hAnsi="IRNazanin" w:eastAsia="IRNazanin" w:cs="IRNazanin"/>
          <w:lang w:bidi="fa-IR"/>
          <w:color w:val="111111"/>
          <w:sz w:val="28"/>
          <w:szCs w:val="28"/>
          <w:rtl/>
        </w:rPr>
        <w:t xml:space="preserve">۵. تهران: دانشگاه؛ شماره نسخه: ۲۱۱۹/۱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حسن، تا: ۱۴ صفر ۱۳۲۵ق؛ از روی نسخه پدرش محمد مهدی بن على بن یوسف حسینی طباطبائی؛ کاغذ: فرنگی، جلد: تیماج حنایی عطف قهوه ای، ۵گ (۱پ-۵ر)، ۲۳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[ف: ۸-۷۵۷]</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مجلس؛ شماره نسخه:۱۵۷۱۶/۳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جلد: تیماج فرنگی قهوه ای، ۱۰گ ( ۱۳۹-۳۰ )، ۱۴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۴۴-۱۹]</w:t>
      </w:r>
    </w:p>
    <w:p>
      <w:pPr>
        <w:pStyle w:val="BookText"/>
      </w:pPr>
      <w:r>
        <w:rPr>
          <w:rFonts w:ascii="IRNazanin" w:hAnsi="IRNazanin" w:eastAsia="IRNazanin" w:cs="IRNazanin"/>
          <w:lang w:bidi="fa-IR"/>
          <w:color w:val="111111"/>
          <w:sz w:val="28"/>
          <w:szCs w:val="28"/>
          <w:rtl/>
        </w:rPr>
        <w:t xml:space="preserve">← تاریخ موسوی ← اعجاز موسوی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bookmarkStart w:id="587" w:name="pg20363_209910"/>
    <w:bookmarkEnd w:id="587"/>
    <w:p>
      <w:pPr>
        <w:pStyle w:val="Heading3"/>
      </w:pPr>
      <w:bookmarkStart w:id="2677" w:name="_Toc1937"/>
      <w:r>
        <w:t>•تاریخ موسیقی / موسیقی / فارسی</w:t>
      </w:r>
      <w:bookmarkEnd w:id="2677"/>
    </w:p>
    <w:p>
      <w:pPr>
        <w:pStyle w:val="BookText"/>
      </w:pPr>
      <w:r>
        <w:rPr>
          <w:rFonts w:ascii="Times New Roman" w:hAnsi="Times New Roman" w:eastAsia="Times New Roman" w:cs="Times New Roman"/>
          <w:lang w:val="en-US" w:bidi="en-US"/>
          <w:color w:val="111111"/>
          <w:sz w:val="28"/>
          <w:szCs w:val="28"/>
          <w:rtl/>
        </w:rPr>
        <w:t xml:space="preserve">tārīx-e mūsīqī</w:t>
      </w:r>
    </w:p>
    <w:p>
      <w:pPr>
        <w:pStyle w:val="BookText"/>
      </w:pPr>
      <w:r>
        <w:rPr>
          <w:rFonts w:ascii="IRNazanin" w:hAnsi="IRNazanin" w:eastAsia="IRNazanin" w:cs="IRNazanin"/>
          <w:lang w:bidi="fa-IR"/>
          <w:color w:val="111111"/>
          <w:sz w:val="28"/>
          <w:szCs w:val="28"/>
          <w:rtl/>
        </w:rPr>
        <w:t xml:space="preserve">تهران؛ ملی؛ شماره نسخه:۲۰۷۴۵</w:t>
      </w:r>
    </w:p>
    <w:p>
      <w:pPr>
        <w:pStyle w:val="BookText"/>
      </w:pPr>
      <w:r>
        <w:rPr>
          <w:rFonts w:ascii="IRNazanin" w:hAnsi="IRNazanin" w:eastAsia="IRNazanin" w:cs="IRNazanin"/>
          <w:lang w:bidi="fa-IR"/>
          <w:color w:val="111111"/>
          <w:sz w:val="28"/>
          <w:szCs w:val="28"/>
          <w:rtl/>
        </w:rPr>
        <w:t xml:space="preserve">بی کا، تا: ۱۳۳۹ق، خریداری از امرالله صفری[رایانه]</w:t>
      </w:r>
    </w:p>
    <w:p>
      <w:pPr>
        <w:pStyle w:val="Heading3"/>
      </w:pPr>
      <w:bookmarkStart w:id="2678" w:name="_Toc1938"/>
      <w:r>
        <w:t>•تاريخ الموصل / تاریخ /عربی /</w:t>
      </w:r>
      <w:bookmarkEnd w:id="2678"/>
    </w:p>
    <w:p>
      <w:pPr>
        <w:pStyle w:val="BookText"/>
      </w:pPr>
      <w:r>
        <w:rPr>
          <w:rFonts w:ascii="Times New Roman" w:hAnsi="Times New Roman" w:eastAsia="Times New Roman" w:cs="Times New Roman"/>
          <w:lang w:val="en-US" w:bidi="en-US"/>
          <w:color w:val="111111"/>
          <w:sz w:val="28"/>
          <w:szCs w:val="28"/>
          <w:rtl/>
        </w:rPr>
        <w:t xml:space="preserve">tarix-ul musil</w:t>
      </w:r>
    </w:p>
    <w:p>
      <w:pPr>
        <w:pStyle w:val="BookText"/>
      </w:pPr>
      <w:r>
        <w:rPr>
          <w:rFonts w:ascii="IRNazanin" w:hAnsi="IRNazanin" w:eastAsia="IRNazanin" w:cs="IRNazanin"/>
          <w:lang w:bidi="fa-IR"/>
          <w:color w:val="111111"/>
          <w:sz w:val="28"/>
          <w:szCs w:val="28"/>
          <w:rtl/>
        </w:rPr>
        <w:t xml:space="preserve">از دی، یزید بن محمد، -۳۳۴ قمری</w:t>
      </w:r>
    </w:p>
    <w:p>
      <w:pPr>
        <w:pStyle w:val="BookText"/>
      </w:pPr>
      <w:r>
        <w:rPr>
          <w:rFonts w:ascii="Times New Roman" w:hAnsi="Times New Roman" w:eastAsia="Times New Roman" w:cs="Times New Roman"/>
          <w:lang w:val="en-US" w:bidi="en-US"/>
          <w:color w:val="111111"/>
          <w:sz w:val="28"/>
          <w:szCs w:val="28"/>
          <w:rtl/>
        </w:rPr>
        <w:t xml:space="preserve">azdī, yazīd ebn-e mohammad (-946)</w:t>
      </w:r>
    </w:p>
    <w:p>
      <w:pPr>
        <w:pStyle w:val="BookText"/>
      </w:pPr>
      <w:r>
        <w:rPr>
          <w:rFonts w:ascii="IRNazanin" w:hAnsi="IRNazanin" w:eastAsia="IRNazanin" w:cs="IRNazanin"/>
          <w:lang w:bidi="fa-IR"/>
          <w:color w:val="111111"/>
          <w:sz w:val="28"/>
          <w:szCs w:val="28"/>
          <w:rtl/>
        </w:rPr>
        <w:t xml:space="preserve">در تاریخ موصل به ترتیب سنوات، مؤلف و قایع دیگری را که اتفاق افتاده در سال مربوط به آن واقعه ذکر می کند.</w:t>
      </w:r>
    </w:p>
    <w:p>
      <w:pPr>
        <w:pStyle w:val="BookText"/>
      </w:pPr>
      <w:r>
        <w:rPr>
          <w:rFonts w:ascii="IRNazanin" w:hAnsi="IRNazanin" w:eastAsia="IRNazanin" w:cs="IRNazanin"/>
          <w:lang w:bidi="fa-IR"/>
          <w:color w:val="111111"/>
          <w:sz w:val="28"/>
          <w:szCs w:val="28"/>
          <w:rtl/>
        </w:rPr>
        <w:t xml:space="preserve">چاپ: القاهرة، المجلس الاعلى للشؤون الاسلامية، تحقیق على حبیبه، الطبعة الأولی، ۱۹۶۷م، ۵۲۶ص</w:t>
      </w:r>
    </w:p>
    <w:p>
      <w:pPr>
        <w:pStyle w:val="BookText"/>
      </w:pPr>
      <w:r>
        <w:rPr>
          <w:rFonts w:ascii="IRNazanin" w:hAnsi="IRNazanin" w:eastAsia="IRNazanin" w:cs="IRNazanin"/>
          <w:lang w:bidi="fa-IR"/>
          <w:color w:val="111111"/>
          <w:sz w:val="28"/>
          <w:szCs w:val="28"/>
          <w:rtl/>
        </w:rPr>
        <w:t xml:space="preserve">[ کشف الظنون ۳۰۷/۱ ؛ معجم المؤلفين ۲۳۸/۱۳ ؛ دنا ۷۴۴/۲ ؛ مجمع علمی عراقی ۲۵۱/۱ و ۲۵۲/۱ ]</w:t>
      </w:r>
    </w:p>
    <w:p>
      <w:pPr>
        <w:pStyle w:val="BookText"/>
      </w:pPr>
      <w:r>
        <w:rPr>
          <w:rFonts w:ascii="IRNazanin" w:hAnsi="IRNazanin" w:eastAsia="IRNazanin" w:cs="IRNazanin"/>
          <w:lang w:bidi="fa-IR"/>
          <w:color w:val="111111"/>
          <w:sz w:val="28"/>
          <w:szCs w:val="28"/>
          <w:rtl/>
        </w:rPr>
        <w:t xml:space="preserve">قم؛ مرعشی؛ شماره نسخه:۴۴۶عکسی</w:t>
      </w:r>
    </w:p>
    <w:p>
      <w:pPr>
        <w:pStyle w:val="BookText"/>
      </w:pPr>
      <w:r>
        <w:rPr>
          <w:rFonts w:ascii="IRNazanin" w:hAnsi="IRNazanin" w:eastAsia="IRNazanin" w:cs="IRNazanin"/>
          <w:lang w:bidi="fa-IR"/>
          <w:color w:val="111111"/>
          <w:sz w:val="28"/>
          <w:szCs w:val="28"/>
          <w:rtl/>
        </w:rPr>
        <w:t xml:space="preserve">آغاز: ثم دخلت سنة احدی و مایه فيها خرج يزيد بن المهلب من سجن عمر بن عبد العزيز، انجام: تم الجزء الثاني من كتاب تاریخ الموصل رواية ابی زکریا یزیدبن محمد بن ایاس الازدی</w:t>
      </w:r>
    </w:p>
    <w:p>
      <w:pPr>
        <w:pStyle w:val="BookText"/>
      </w:pPr>
      <w:r>
        <w:rPr>
          <w:rFonts w:ascii="IRNazanin" w:hAnsi="IRNazanin" w:eastAsia="IRNazanin" w:cs="IRNazanin"/>
          <w:lang w:bidi="fa-IR"/>
          <w:color w:val="111111"/>
          <w:sz w:val="28"/>
          <w:szCs w:val="28"/>
          <w:rtl/>
        </w:rPr>
        <w:t xml:space="preserve">نسخه اصل: چستربیتی دبلین به شماره ۳۰۳۰. مجلد دوم و مشتمل است بر وقایع سال ۱۰۱ تا ۲۲۴ق (اربری فهرست خطی همانجا ۱۱/۱ )؛ خط: نسخ، كا: ابراهیم بن جماعة بن على، تا: ۱۶ ربیع الثانی ۶۵۴ق ؛ مصحح، محشی؛ ۱۸۳ گ، ۲۱ سطر [عکسی ف: ۱-۳۹۵]</w:t>
      </w:r>
    </w:p>
    <w:p>
      <w:pPr>
        <w:pStyle w:val="Heading3"/>
      </w:pPr>
      <w:bookmarkStart w:id="2679" w:name="_Toc1939"/>
      <w:r>
        <w:t>•تاریخ مهابهارت / تاریخ هند / فارسی</w:t>
      </w:r>
      <w:bookmarkEnd w:id="2679"/>
    </w:p>
    <w:p>
      <w:pPr>
        <w:pStyle w:val="BookText"/>
      </w:pPr>
      <w:r>
        <w:rPr>
          <w:rFonts w:ascii="Times New Roman" w:hAnsi="Times New Roman" w:eastAsia="Times New Roman" w:cs="Times New Roman"/>
          <w:lang w:val="en-US" w:bidi="en-US"/>
          <w:color w:val="111111"/>
          <w:sz w:val="28"/>
          <w:szCs w:val="28"/>
          <w:rtl/>
        </w:rPr>
        <w:t xml:space="preserve">tārīx-e mahābahārat</w:t>
      </w:r>
    </w:p>
    <w:p>
      <w:pPr>
        <w:pStyle w:val="BookText"/>
      </w:pPr>
      <w:r>
        <w:rPr>
          <w:rFonts w:ascii="IRNazanin" w:hAnsi="IRNazanin" w:eastAsia="IRNazanin" w:cs="IRNazanin"/>
          <w:lang w:bidi="fa-IR"/>
          <w:color w:val="111111"/>
          <w:sz w:val="28"/>
          <w:szCs w:val="28"/>
          <w:rtl/>
        </w:rPr>
        <w:t xml:space="preserve">تاریخ تأليف: ۹۹۵ق</w:t>
      </w:r>
    </w:p>
    <w:p>
      <w:pPr>
        <w:pStyle w:val="BookText"/>
      </w:pPr>
      <w:r>
        <w:rPr>
          <w:rFonts w:ascii="IRNazanin" w:hAnsi="IRNazanin" w:eastAsia="IRNazanin" w:cs="IRNazanin"/>
          <w:lang w:bidi="fa-IR"/>
          <w:color w:val="111111"/>
          <w:sz w:val="28"/>
          <w:szCs w:val="28"/>
          <w:rtl/>
        </w:rPr>
        <w:t xml:space="preserve">مجموعه ای است از افسانه های و اسطوره های تاریخی مذهبی و فرهنگی باستانی هندی. مطالب این تاریخ در بیان پیکار بین دو طایفه و راجه های هندی بنام های (کوروان - پندوان)، تاریخی دینی و مذهبی هندوان، شرح احوال راجه ها و سلاطین هندوستان، توصیف بزم و رزم گذشتگان، شمه ای در کیفیت راز آفرینش، در بیان حکایات و روایات، در نصایح و حکمت و ریاضت است که ضمن هیجده «باب» تنظیم و تدوین شده و در تاریخ ۹۹۵ق از زبان هندی به زبان فارسی ترجمه شده است.</w:t>
      </w:r>
    </w:p>
    <w:p>
      <w:pPr>
        <w:pStyle w:val="BookText"/>
      </w:pPr>
      <w:r>
        <w:rPr>
          <w:rFonts w:ascii="IRNazanin" w:hAnsi="IRNazanin" w:eastAsia="IRNazanin" w:cs="IRNazanin"/>
          <w:lang w:bidi="fa-IR"/>
          <w:color w:val="111111"/>
          <w:sz w:val="28"/>
          <w:szCs w:val="28"/>
          <w:rtl/>
        </w:rPr>
        <w:t xml:space="preserve">تهران؛ سلطنتی؛ شماره نسخه: ۱۵۱</w:t>
      </w:r>
    </w:p>
    <w:p>
      <w:pPr>
        <w:pStyle w:val="BookText"/>
      </w:pPr>
      <w:r>
        <w:rPr>
          <w:rFonts w:ascii="IRNazanin" w:hAnsi="IRNazanin" w:eastAsia="IRNazanin" w:cs="IRNazanin"/>
          <w:lang w:bidi="fa-IR"/>
          <w:color w:val="111111"/>
          <w:sz w:val="28"/>
          <w:szCs w:val="28"/>
          <w:rtl/>
        </w:rPr>
        <w:t xml:space="preserve">آغاز: آغاز خطبه: ای مژده هزار عالم از شوق تو مست *** سر در ره جست و جوی و جان بر کف دست .... بر نکته سنجان دقیقه رس و روشن ضمیران صبح نفس که راصدان دقایق عقول و نفوس و کاشفان عوامض معقول و محسوس اند پوشیده نماند ...کمترین مخلصان درگاه ابوالفضل ابن مبارک ... مأمور شد که خطبه ای برای این ترجمه بنویسد ... سخن را بر سعادت ختم کردم -ورق کاینجا رساندم در نوردمقدم الخطبه روز آخر سه شنبه ... آغاز نسخه: راویان اخبار هندوستان در کتب خود چنین نوشته اند که (؟ ...) بود (لوم هر گن) نام و او پسری داشت نام او (کرسواو اوراسوت) پورانک هم میگفتند چرا که پران را خوب میدانست و آن پسر علوم هندویرا که آنرا بزبان هندو (پران) گویند بغایت خوب میدانست؛ انجام: من بآنجا نمیروم مرد گنه کاری که بجهت خاطر او تمام عالم همدیگر را کشتند و او اصلا صله رحم نگاه نداشت.</w:t>
      </w:r>
    </w:p>
    <w:p>
      <w:pPr>
        <w:pStyle w:val="BookText"/>
      </w:pPr>
      <w:r>
        <w:rPr>
          <w:rFonts w:ascii="IRNazanin" w:hAnsi="IRNazanin" w:eastAsia="IRNazanin" w:cs="IRNazanin"/>
          <w:lang w:bidi="fa-IR"/>
          <w:color w:val="111111"/>
          <w:sz w:val="28"/>
          <w:szCs w:val="28"/>
          <w:rtl/>
        </w:rPr>
        <w:t xml:space="preserve">خط: نسخ، بی کا، بی تا، افتادگی: انجام؛ مجدول، یک سرلوح مذهب مرصع به شیوه هندی، باب هیجدهم در پایان کتاب افتادگی دارد؛ کاغذ: کشمیری ملون، جلد: مقوای روکش چرم قهوه ای، ۱۵۴۱ص، ۲۷ سطر،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۴۱۵۵]</w:t>
      </w:r>
    </w:p>
    <w:p>
      <w:pPr>
        <w:pStyle w:val="Heading3"/>
      </w:pPr>
      <w:bookmarkStart w:id="2680" w:name="_Toc1940"/>
      <w:r>
        <w:t>•تاریخ میافارقين / تاریخ عربی</w:t>
      </w:r>
      <w:bookmarkEnd w:id="2680"/>
    </w:p>
    <w:p>
      <w:pPr>
        <w:pStyle w:val="BookText"/>
      </w:pPr>
      <w:r>
        <w:rPr>
          <w:rFonts w:ascii="Times New Roman" w:hAnsi="Times New Roman" w:eastAsia="Times New Roman" w:cs="Times New Roman"/>
          <w:lang w:val="en-US" w:bidi="en-US"/>
          <w:color w:val="111111"/>
          <w:sz w:val="28"/>
          <w:szCs w:val="28"/>
          <w:rtl/>
        </w:rPr>
        <w:t xml:space="preserve">tārīx-e mayyāfāreqīn</w:t>
      </w:r>
    </w:p>
    <w:p>
      <w:pPr>
        <w:pStyle w:val="BookText"/>
      </w:pPr>
      <w:r>
        <w:rPr>
          <w:rFonts w:ascii="IRNazanin" w:hAnsi="IRNazanin" w:eastAsia="IRNazanin" w:cs="IRNazanin"/>
          <w:lang w:bidi="fa-IR"/>
          <w:color w:val="111111"/>
          <w:sz w:val="28"/>
          <w:szCs w:val="28"/>
          <w:rtl/>
        </w:rPr>
        <w:t xml:space="preserve">از جنگ صلیبی در آن یاد شده و سرگذشت صلاح الدین ایوبی است و می رسد به عنوان «ذکر ولاية الملک نجم الدين ابن ابی سعید» و «ذكر عمارة میافارقين».</w:t>
      </w:r>
    </w:p>
    <w:p>
      <w:pPr>
        <w:pStyle w:val="BookText"/>
      </w:pPr>
      <w:r>
        <w:rPr>
          <w:rFonts w:ascii="IRNazanin" w:hAnsi="IRNazanin" w:eastAsia="IRNazanin" w:cs="IRNazanin"/>
          <w:lang w:bidi="fa-IR"/>
          <w:color w:val="111111"/>
          <w:sz w:val="28"/>
          <w:szCs w:val="28"/>
          <w:rtl/>
        </w:rPr>
        <w:t xml:space="preserve">تهران؛ دانشگاه؛ شماره نسخه:۷۱۲-ف</w:t>
      </w:r>
    </w:p>
    <w:p>
      <w:pPr>
        <w:pStyle w:val="BookText"/>
      </w:pPr>
      <w:r>
        <w:rPr>
          <w:rFonts w:ascii="IRNazanin" w:hAnsi="IRNazanin" w:eastAsia="IRNazanin" w:cs="IRNazanin"/>
          <w:lang w:bidi="fa-IR"/>
          <w:color w:val="111111"/>
          <w:sz w:val="28"/>
          <w:szCs w:val="28"/>
          <w:rtl/>
        </w:rPr>
        <w:t xml:space="preserve">نسخه اصل: موزه بریتانیا 5803 .0</w:t>
      </w:r>
      <w:r>
        <w:rPr>
          <w:rFonts w:ascii="Times New Roman" w:hAnsi="Times New Roman" w:eastAsia="Times New Roman" w:cs="Times New Roman"/>
          <w:lang w:val="en-US" w:bidi="en-US"/>
          <w:color w:val="111111"/>
          <w:sz w:val="28"/>
          <w:szCs w:val="28"/>
          <w:rtl/>
        </w:rPr>
        <w:t xml:space="preserve">r</w:t>
      </w:r>
      <w:r>
        <w:rPr>
          <w:rFonts w:ascii="IRNazanin" w:hAnsi="IRNazanin" w:eastAsia="IRNazanin" w:cs="IRNazanin"/>
          <w:lang w:bidi="fa-IR"/>
          <w:color w:val="111111"/>
          <w:sz w:val="28"/>
          <w:szCs w:val="28"/>
          <w:rtl/>
        </w:rPr>
        <w:t xml:space="preserve">؛ خط: نسخ، بی کا، بی تا [فيلمها ف: ۱-۲۹۴]</w:t>
      </w:r>
    </w:p>
    <w:p>
      <w:pPr>
        <w:pStyle w:val="Heading3"/>
      </w:pPr>
      <w:bookmarkStart w:id="2681" w:name="_Toc1941"/>
      <w:r>
        <w:t>•تاریخ نائین = تذکره نایین / تاریخ / فارسی</w:t>
      </w:r>
      <w:bookmarkEnd w:id="2681"/>
    </w:p>
    <w:p>
      <w:pPr>
        <w:pStyle w:val="BookText"/>
      </w:pPr>
      <w:r>
        <w:rPr>
          <w:rFonts w:ascii="Times New Roman" w:hAnsi="Times New Roman" w:eastAsia="Times New Roman" w:cs="Times New Roman"/>
          <w:lang w:val="en-US" w:bidi="en-US"/>
          <w:color w:val="111111"/>
          <w:sz w:val="28"/>
          <w:szCs w:val="28"/>
          <w:rtl/>
        </w:rPr>
        <w:t xml:space="preserve">tārīx-e nā'īn= tazkere-ye nā'īn</w:t>
      </w:r>
    </w:p>
    <w:p>
      <w:pPr>
        <w:pStyle w:val="BookText"/>
      </w:pPr>
      <w:r>
        <w:rPr>
          <w:rFonts w:ascii="IRNazanin" w:hAnsi="IRNazanin" w:eastAsia="IRNazanin" w:cs="IRNazanin"/>
          <w:lang w:bidi="fa-IR"/>
          <w:color w:val="111111"/>
          <w:sz w:val="28"/>
          <w:szCs w:val="28"/>
          <w:rtl/>
        </w:rPr>
        <w:t xml:space="preserve">حسینی نائینی، حسنعلی بن محمد علی، ق ۱۴ قمری</w:t>
      </w:r>
    </w:p>
    <w:p>
      <w:pPr>
        <w:pStyle w:val="BookText"/>
      </w:pPr>
      <w:r>
        <w:rPr>
          <w:rFonts w:ascii="Times New Roman" w:hAnsi="Times New Roman" w:eastAsia="Times New Roman" w:cs="Times New Roman"/>
          <w:lang w:val="en-US" w:bidi="en-US"/>
          <w:color w:val="111111"/>
          <w:sz w:val="28"/>
          <w:szCs w:val="28"/>
          <w:rtl/>
        </w:rPr>
        <w:t xml:space="preserve">hoseynī nāʻīnī, hasan--alī ebn-e mohammad ‘alī (-20c)</w:t>
      </w:r>
    </w:p>
    <w:p>
      <w:pPr>
        <w:pStyle w:val="BookText"/>
      </w:pPr>
      <w:r>
        <w:rPr>
          <w:rFonts w:ascii="IRNazanin" w:hAnsi="IRNazanin" w:eastAsia="IRNazanin" w:cs="IRNazanin"/>
          <w:lang w:bidi="fa-IR"/>
          <w:color w:val="111111"/>
          <w:sz w:val="28"/>
          <w:szCs w:val="28"/>
          <w:rtl/>
        </w:rPr>
        <w:t xml:space="preserve">کتاب بسیار مختصری است در تاریخ و آثار باستانی و رویدادهای مهم و فضلا و شعرای نائین تا کمکی برای تکمیل تاریخ حاج میرزا احمد ایشک آقاسی حسام السلطنه باشد. در چهار «باب» است: ۱. بنای آنجا و محال جغرافیائی آن شهر؛ ۲. صنایع آن ولایت؛ ۳. بزرگان نائین؛ ۴. شعرای آنجا.</w:t>
      </w:r>
    </w:p>
    <w:p>
      <w:pPr>
        <w:pStyle w:val="BookText"/>
      </w:pPr>
      <w:r>
        <w:rPr>
          <w:rFonts w:ascii="IRNazanin" w:hAnsi="IRNazanin" w:eastAsia="IRNazanin" w:cs="IRNazanin"/>
          <w:lang w:bidi="fa-IR"/>
          <w:color w:val="111111"/>
          <w:sz w:val="28"/>
          <w:szCs w:val="28"/>
          <w:rtl/>
        </w:rPr>
        <w:t xml:space="preserve">آغاز: بعد از ستایش یزدان پاک و درود نا محدود بر سید لولاک و آل اطهارش که باعث هستی آب و خاک اند</w:t>
      </w:r>
    </w:p>
    <w:p>
      <w:pPr>
        <w:pStyle w:val="BookText"/>
      </w:pPr>
      <w:r>
        <w:rPr>
          <w:rFonts w:ascii="IRNazanin" w:hAnsi="IRNazanin" w:eastAsia="IRNazanin" w:cs="IRNazanin"/>
          <w:lang w:bidi="fa-IR"/>
          <w:color w:val="111111"/>
          <w:sz w:val="28"/>
          <w:szCs w:val="28"/>
          <w:rtl/>
        </w:rPr>
        <w:t xml:space="preserve">انجام: تا باز جوان گردم و از سر گیرم *** مدحتگری شاه جهان ای ساقی</w:t>
      </w:r>
    </w:p>
    <w:p>
      <w:pPr>
        <w:pStyle w:val="BookText"/>
      </w:pPr>
      <w:r>
        <w:rPr>
          <w:rFonts w:ascii="IRNazanin" w:hAnsi="IRNazanin" w:eastAsia="IRNazanin" w:cs="IRNazanin"/>
          <w:lang w:bidi="fa-IR"/>
          <w:color w:val="111111"/>
          <w:sz w:val="28"/>
          <w:szCs w:val="28"/>
          <w:rtl/>
        </w:rPr>
        <w:t xml:space="preserve">چاپ: به کوشش محمود طيار مراغی، میراث اسلامی ایران، ۳ .۴۹۲-۴۳۵ :(۱۳۷۵)</w:t>
      </w:r>
    </w:p>
    <w:p>
      <w:pPr>
        <w:pStyle w:val="BookText"/>
      </w:pPr>
      <w:r>
        <w:rPr>
          <w:rFonts w:ascii="IRNazanin" w:hAnsi="IRNazanin" w:eastAsia="IRNazanin" w:cs="IRNazanin"/>
          <w:lang w:bidi="fa-IR"/>
          <w:color w:val="111111"/>
          <w:sz w:val="28"/>
          <w:szCs w:val="28"/>
          <w:rtl/>
        </w:rPr>
        <w:t xml:space="preserve">[دنا ۷۴۵/۲ ؛ فهرستواره منزوی ۳/ ۱۸۶۰]</w:t>
      </w:r>
    </w:p>
    <w:p>
      <w:pPr>
        <w:pStyle w:val="BookText"/>
      </w:pPr>
      <w:r>
        <w:rPr>
          <w:rFonts w:ascii="IRNazanin" w:hAnsi="IRNazanin" w:eastAsia="IRNazanin" w:cs="IRNazanin"/>
          <w:lang w:bidi="fa-IR"/>
          <w:color w:val="111111"/>
          <w:sz w:val="28"/>
          <w:szCs w:val="28"/>
          <w:rtl/>
        </w:rPr>
        <w:t xml:space="preserve">قم؛ مرعشی؛ شماره نسخه:۶۵۶۳/۳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bookmarkStart w:id="588" w:name="pg20363_209911"/>
    <w:bookmarkEnd w:id="588"/>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۶ ربيع الاول ۱۲۹۰ق، جلد: تیماج نیلی، ۲۹گ (۳۴پ -۶۲پ)،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۱۷-۱۴۴]</w:t>
      </w:r>
    </w:p>
    <w:p>
      <w:pPr>
        <w:pStyle w:val="BookText"/>
      </w:pPr>
      <w:r>
        <w:rPr>
          <w:rFonts w:ascii="IRNazanin" w:hAnsi="IRNazanin" w:eastAsia="IRNazanin" w:cs="IRNazanin"/>
          <w:lang w:bidi="fa-IR"/>
          <w:color w:val="111111"/>
          <w:sz w:val="28"/>
          <w:szCs w:val="28"/>
          <w:rtl/>
        </w:rPr>
        <w:t xml:space="preserve">← تاریخ ناپلئون ← حوادث نامه</w:t>
      </w:r>
    </w:p>
    <w:p>
      <w:pPr>
        <w:pStyle w:val="Heading3"/>
      </w:pPr>
      <w:bookmarkStart w:id="2682" w:name="_Toc1942"/>
      <w:r>
        <w:t>•تاریخ ناپلئون / تاریخ جهان / فارسی</w:t>
      </w:r>
      <w:bookmarkEnd w:id="2682"/>
    </w:p>
    <w:p>
      <w:pPr>
        <w:pStyle w:val="BookText"/>
      </w:pPr>
      <w:r>
        <w:rPr>
          <w:rFonts w:ascii="Times New Roman" w:hAnsi="Times New Roman" w:eastAsia="Times New Roman" w:cs="Times New Roman"/>
          <w:lang w:val="en-US" w:bidi="en-US"/>
          <w:color w:val="111111"/>
          <w:sz w:val="28"/>
          <w:szCs w:val="28"/>
          <w:rtl/>
        </w:rPr>
        <w:t xml:space="preserve">tārīx-e nāpel'on</w:t>
      </w:r>
    </w:p>
    <w:p>
      <w:pPr>
        <w:pStyle w:val="BookText"/>
      </w:pPr>
      <w:r>
        <w:rPr>
          <w:rFonts w:ascii="IRNazanin" w:hAnsi="IRNazanin" w:eastAsia="IRNazanin" w:cs="IRNazanin"/>
          <w:lang w:bidi="fa-IR"/>
          <w:color w:val="111111"/>
          <w:sz w:val="28"/>
          <w:szCs w:val="28"/>
          <w:rtl/>
        </w:rPr>
        <w:t xml:space="preserve">مشاور الدوله، عباس</w:t>
      </w:r>
    </w:p>
    <w:p>
      <w:pPr>
        <w:pStyle w:val="BookText"/>
      </w:pPr>
      <w:r>
        <w:rPr>
          <w:rFonts w:ascii="Times New Roman" w:hAnsi="Times New Roman" w:eastAsia="Times New Roman" w:cs="Times New Roman"/>
          <w:lang w:val="en-US" w:bidi="en-US"/>
          <w:color w:val="111111"/>
          <w:sz w:val="28"/>
          <w:szCs w:val="28"/>
          <w:rtl/>
        </w:rPr>
        <w:t xml:space="preserve">mošāver-od-dowle, 'abbās</w:t>
      </w:r>
    </w:p>
    <w:p>
      <w:pPr>
        <w:pStyle w:val="BookText"/>
      </w:pPr>
      <w:r>
        <w:rPr>
          <w:rFonts w:ascii="IRNazanin" w:hAnsi="IRNazanin" w:eastAsia="IRNazanin" w:cs="IRNazanin"/>
          <w:lang w:bidi="fa-IR"/>
          <w:color w:val="111111"/>
          <w:sz w:val="28"/>
          <w:szCs w:val="28"/>
          <w:rtl/>
        </w:rPr>
        <w:t xml:space="preserve">مورخ ۱۵ اپرل ۱۸۲۱ ترجمه و نگارش عباس مشاور الدوله. در چهار جلد.</w:t>
      </w:r>
    </w:p>
    <w:p>
      <w:pPr>
        <w:pStyle w:val="BookText"/>
      </w:pPr>
      <w:r>
        <w:rPr>
          <w:rFonts w:ascii="IRNazanin" w:hAnsi="IRNazanin" w:eastAsia="IRNazanin" w:cs="IRNazanin"/>
          <w:lang w:bidi="fa-IR"/>
          <w:color w:val="111111"/>
          <w:sz w:val="28"/>
          <w:szCs w:val="28"/>
          <w:rtl/>
        </w:rPr>
        <w:t xml:space="preserve">تهران؛ دانشگاه؛ شماره نسخه:۵۶۰۳</w:t>
      </w:r>
    </w:p>
    <w:p>
      <w:pPr>
        <w:pStyle w:val="BookText"/>
      </w:pPr>
      <w:r>
        <w:rPr>
          <w:rFonts w:ascii="IRNazanin" w:hAnsi="IRNazanin" w:eastAsia="IRNazanin" w:cs="IRNazanin"/>
          <w:lang w:bidi="fa-IR"/>
          <w:color w:val="111111"/>
          <w:sz w:val="28"/>
          <w:szCs w:val="28"/>
          <w:rtl/>
        </w:rPr>
        <w:t xml:space="preserve">جلد ۴ آن با وصیت نامه او؛ خط: نستعلیق، كا: = مؤلف، بی تا؛ اصل مترجم با خط خوردگی، در چهار جلد هر یک در چند «فصل»؛ کاغذ: فرنگی، جلد: تیماج تریاکی، ۳۰۵گ، ۱۲ سطر</w:t>
      </w:r>
    </w:p>
    <w:p>
      <w:pPr>
        <w:pStyle w:val="BookText"/>
      </w:pPr>
      <w:r>
        <w:rPr>
          <w:rFonts w:ascii="IRNazanin" w:hAnsi="IRNazanin" w:eastAsia="IRNazanin" w:cs="IRNazanin"/>
          <w:lang w:bidi="fa-IR"/>
          <w:color w:val="111111"/>
          <w:sz w:val="28"/>
          <w:szCs w:val="28"/>
          <w:rtl/>
        </w:rPr>
        <w:t xml:space="preserve">(۱۳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۱۶-۴۴]</w:t>
      </w:r>
    </w:p>
    <w:p>
      <w:pPr>
        <w:pStyle w:val="Heading3"/>
      </w:pPr>
      <w:bookmarkStart w:id="2683" w:name="_Toc1943"/>
      <w:r>
        <w:t>•تاریخ ناپلئون / تاریخ / فارسی</w:t>
      </w:r>
      <w:bookmarkEnd w:id="2683"/>
    </w:p>
    <w:p>
      <w:pPr>
        <w:pStyle w:val="BookText"/>
      </w:pPr>
      <w:r>
        <w:rPr>
          <w:rFonts w:ascii="Times New Roman" w:hAnsi="Times New Roman" w:eastAsia="Times New Roman" w:cs="Times New Roman"/>
          <w:lang w:val="en-US" w:bidi="en-US"/>
          <w:color w:val="111111"/>
          <w:sz w:val="28"/>
          <w:szCs w:val="28"/>
          <w:rtl/>
        </w:rPr>
        <w:t xml:space="preserve">tārīx-e nāpel'on</w:t>
      </w:r>
    </w:p>
    <w:p>
      <w:pPr>
        <w:pStyle w:val="BookText"/>
      </w:pPr>
      <w:r>
        <w:rPr>
          <w:rFonts w:ascii="IRNazanin" w:hAnsi="IRNazanin" w:eastAsia="IRNazanin" w:cs="IRNazanin"/>
          <w:lang w:bidi="fa-IR"/>
          <w:color w:val="111111"/>
          <w:sz w:val="28"/>
          <w:szCs w:val="28"/>
          <w:rtl/>
        </w:rPr>
        <w:t xml:space="preserve">همانندی غير معلوم ١. مشهد؛ رضوی؛ شماره نسخه:ض ۹۵۴۱</w:t>
      </w:r>
    </w:p>
    <w:p>
      <w:pPr>
        <w:pStyle w:val="BookText"/>
      </w:pPr>
      <w:r>
        <w:rPr>
          <w:rFonts w:ascii="IRNazanin" w:hAnsi="IRNazanin" w:eastAsia="IRNazanin" w:cs="IRNazanin"/>
          <w:lang w:bidi="fa-IR"/>
          <w:color w:val="111111"/>
          <w:sz w:val="28"/>
          <w:szCs w:val="28"/>
          <w:rtl/>
        </w:rPr>
        <w:t xml:space="preserve">خط: مختلف، کا: محمد کاظم، تا: ۱۲۶۵ ق [الفبائی: ۱۰۰]</w:t>
      </w:r>
    </w:p>
    <w:p>
      <w:pPr>
        <w:pStyle w:val="BookText"/>
      </w:pPr>
      <w:r>
        <w:rPr>
          <w:rFonts w:ascii="IRNazanin" w:hAnsi="IRNazanin" w:eastAsia="IRNazanin" w:cs="IRNazanin"/>
          <w:lang w:bidi="fa-IR"/>
          <w:color w:val="111111"/>
          <w:sz w:val="28"/>
          <w:szCs w:val="28"/>
          <w:rtl/>
        </w:rPr>
        <w:t xml:space="preserve">۲. تهران؛ مجلس؛ شماره نسخه:۱۷۷۴۷</w:t>
      </w:r>
    </w:p>
    <w:p>
      <w:pPr>
        <w:pStyle w:val="BookText"/>
      </w:pPr>
      <w:r>
        <w:rPr>
          <w:rFonts w:ascii="IRNazanin" w:hAnsi="IRNazanin" w:eastAsia="IRNazanin" w:cs="IRNazanin"/>
          <w:lang w:bidi="fa-IR"/>
          <w:color w:val="111111"/>
          <w:sz w:val="28"/>
          <w:szCs w:val="28"/>
          <w:rtl/>
        </w:rPr>
        <w:t xml:space="preserve">بی کا، بی تا [د.ث. مجلس]</w:t>
      </w:r>
    </w:p>
    <w:p>
      <w:pPr>
        <w:pStyle w:val="Heading3"/>
      </w:pPr>
      <w:bookmarkStart w:id="2684" w:name="_Toc1944"/>
      <w:r>
        <w:t>•تاریخ ناپلئون بناپارت / تاریخ پادشاهان / فارسی</w:t>
      </w:r>
      <w:bookmarkEnd w:id="2684"/>
    </w:p>
    <w:p>
      <w:pPr>
        <w:pStyle w:val="BookText"/>
      </w:pPr>
      <w:r>
        <w:rPr>
          <w:rFonts w:ascii="Times New Roman" w:hAnsi="Times New Roman" w:eastAsia="Times New Roman" w:cs="Times New Roman"/>
          <w:lang w:val="en-US" w:bidi="en-US"/>
          <w:color w:val="111111"/>
          <w:sz w:val="28"/>
          <w:szCs w:val="28"/>
          <w:rtl/>
        </w:rPr>
        <w:t xml:space="preserve">tārīx-e nāpel’on bonāpārt</w:t>
      </w:r>
    </w:p>
    <w:p>
      <w:pPr>
        <w:pStyle w:val="BookText"/>
      </w:pPr>
      <w:r>
        <w:rPr>
          <w:rFonts w:ascii="IRNazanin" w:hAnsi="IRNazanin" w:eastAsia="IRNazanin" w:cs="IRNazanin"/>
          <w:lang w:bidi="fa-IR"/>
          <w:color w:val="111111"/>
          <w:sz w:val="28"/>
          <w:szCs w:val="28"/>
          <w:rtl/>
        </w:rPr>
        <w:t xml:space="preserve">مهندس تبریزی، محمد رضا، ۱۲۹۹ قمری</w:t>
      </w:r>
    </w:p>
    <w:p>
      <w:pPr>
        <w:pStyle w:val="BookText"/>
      </w:pPr>
      <w:r>
        <w:rPr>
          <w:rFonts w:ascii="Times New Roman" w:hAnsi="Times New Roman" w:eastAsia="Times New Roman" w:cs="Times New Roman"/>
          <w:lang w:val="en-US" w:bidi="en-US"/>
          <w:color w:val="111111"/>
          <w:sz w:val="28"/>
          <w:szCs w:val="28"/>
          <w:rtl/>
        </w:rPr>
        <w:t xml:space="preserve">mohandes-e tabrīzī, mohammad rezā (-1882)</w:t>
      </w:r>
    </w:p>
    <w:p>
      <w:pPr>
        <w:pStyle w:val="BookText"/>
      </w:pPr>
      <w:r>
        <w:rPr>
          <w:rFonts w:ascii="IRNazanin" w:hAnsi="IRNazanin" w:eastAsia="IRNazanin" w:cs="IRNazanin"/>
          <w:lang w:bidi="fa-IR"/>
          <w:color w:val="111111"/>
          <w:sz w:val="28"/>
          <w:szCs w:val="28"/>
          <w:rtl/>
        </w:rPr>
        <w:t xml:space="preserve">به دستور: محمد شاه قاجار (۱۲۵۰-۱۲۶۴) تاریخ تأليف: ۱۲۵۳ق؛ محل تأليف: تهران نوشته لوی د بوریین به نام </w:t>
      </w:r>
      <w:r>
        <w:rPr>
          <w:rFonts w:ascii="Times New Roman" w:hAnsi="Times New Roman" w:eastAsia="Times New Roman" w:cs="Times New Roman"/>
          <w:lang w:val="en-US" w:bidi="en-US"/>
          <w:color w:val="111111"/>
          <w:sz w:val="28"/>
          <w:szCs w:val="28"/>
          <w:rtl/>
        </w:rPr>
        <w:t xml:space="preserve">Memories </w:t>
      </w:r>
      <w:r>
        <w:rPr>
          <w:rFonts w:ascii="IRNazanin" w:hAnsi="IRNazanin" w:eastAsia="IRNazanin" w:cs="IRNazanin"/>
          <w:lang w:bidi="fa-IR"/>
          <w:color w:val="111111"/>
          <w:sz w:val="28"/>
          <w:szCs w:val="28"/>
          <w:rtl/>
        </w:rPr>
        <w:t xml:space="preserve">که در ۱۸۲۹م در پاریس منتشر شد. شرح حال ناپلئون به قلم منشی خصوصی اش بود و معروفیت بسیار پیدا کرد. این کتاب از فرانسه به انگلیسی در آمد و از آن زبان تحت عنوان «تاریخ ناپلئون» به فارسی ترجمه شد. ماجرای ترجمه از این قرار است که در اواسط جمادی الاول ۱۲۵۲ق محمد شاه قاجار که به عزم سفر به قصد جنگ با ترکمانان را داشته است مترجم را مأمور ترجمه این کتاب می کند. مترجم در این سفر شاه را همراه می کند و در ضمن سفر به ترجمه کتاب می پردازد. در سال بعد (۱۲۵۳) شاه بعد از فارغ شدن از کار ترکمانان عزم هرات و خوارزم می کند و از مترجم می خواهد که در تهران بماند و کار ترجمه را به اتمام برساند و مترجم نیز چنین می کند و ترجمه را در چهار جلد تدوین می کند. در خاتمه جلد دوم هم یادداشت مفصلی از محمد حسن عبدالكريم منشی درباره ویرایش دو جلد اول کتاب به دستور منوچهر خان ارمنی گرجی معتمدالدوله حاکم اصفهان (۱۲۶۳ ق) در سال ۱۲۶۲ق آمده است. خلاصه مطلب آن این است که میرزا محمد رضا تبریزی در سال ۱۲۶۲ق جهت بازدید آب گرند وارد اصفهان می شود و کتاب مزبور را به خدام والامقام در مجلس منوچهر خان هدیه می کند. اما هر از چند گاهی که حاضران اقدام به خواندن آن کتاب در مجلس می کنند، لغات ثقیل و عجیبی که در کتاب به کار رفته بود، موجب ملالت و نفرت مستمعان می شود. از این رو احمد خان اصفهانی کتابی مستقل در توضیح و تشریح لغات آن کتاب به ترتیب حروف ابجد و تهجی تألیف می کند. پیش از این جلد سوم و چهارم کتاب توسط منشیان دربار «به سطور ایجاز و اختصار که روایات خالی از کنایات و عبارات عاری از استعارات است زیب و زینت یافته» بود، از این رو محمد حسن عبدالكريم منشی جلد اول و دوم را به همان سبک و سیاق در سال ۱۲۶۳ق بازنویسی می کند. به جز این میرزا رضا قلی تاریخ نویس</w:t>
      </w:r>
    </w:p>
    <w:p>
      <w:pPr>
        <w:pStyle w:val="BookText"/>
      </w:pPr>
      <w:r>
        <w:rPr>
          <w:rFonts w:ascii="IRNazanin" w:hAnsi="IRNazanin" w:eastAsia="IRNazanin" w:cs="IRNazanin"/>
          <w:lang w:bidi="fa-IR"/>
          <w:color w:val="111111"/>
          <w:sz w:val="28"/>
          <w:szCs w:val="28"/>
          <w:rtl/>
        </w:rPr>
        <w:t xml:space="preserve">هم در سال ۱۲۶۶ ق بنا بر دستور ناصرالدین شاه عبارات دو جلد اول کتاب را اصلاح و آنها را تحریر کرده است. تاریخ ناپلئون کتاب شایعی بوده و نسخه های متعددی از آن باقیمانده است. اما متأسفانه در موارد متعددی فهرست نگاران در شناخت آن دچار سهو شده اند. این اشتباه بیشتر از آن جا ناشی شده که مجلدات دوم تا چهارم کتاب مقدمه مؤلف را نداشته اند یا حتی در بعضی از نسخه ها مقدمه آغازین مؤلف هم از ابتدای جلد اول کتاب افتاده است. کتاب در ۴ جلد تدوین شده است. با این توضیح که جلد اول دو بار ترجمه شده یک بار مختصر و پس از آن مفصل تر.</w:t>
      </w:r>
    </w:p>
    <w:p>
      <w:pPr>
        <w:pStyle w:val="BookText"/>
      </w:pPr>
      <w:r>
        <w:rPr>
          <w:rFonts w:ascii="IRNazanin" w:hAnsi="IRNazanin" w:eastAsia="IRNazanin" w:cs="IRNazanin"/>
          <w:lang w:bidi="fa-IR"/>
          <w:color w:val="111111"/>
          <w:sz w:val="28"/>
          <w:szCs w:val="28"/>
          <w:rtl/>
        </w:rPr>
        <w:t xml:space="preserve">آغاز: جلد ۱. سالكان مسالک هنروری و گوی ربایان حلیه فصاحت گستری را سررشته آن و سران افواج ارباب درایت و صاحبان مناصب فطانت و کیاست را چنان است که تشید مبانی نظام بر کلام و تشدید ارکان بر افتتاح و اختتام ... فصل اول در بیان اصل و نسب و هنگام تحصیل و بدایت احوال ناپلیون بناپارت. شارح این وقایع مذکور می نماید که در باب تولد و اصل و نسب و نجابت ناپلیون اختلاف و گفتگوی بسیار است اصح همه اقوال این است که او</w:t>
      </w:r>
    </w:p>
    <w:p>
      <w:pPr>
        <w:pStyle w:val="BookText"/>
      </w:pPr>
      <w:r>
        <w:rPr>
          <w:rFonts w:ascii="IRNazanin" w:hAnsi="IRNazanin" w:eastAsia="IRNazanin" w:cs="IRNazanin"/>
          <w:lang w:bidi="fa-IR"/>
          <w:color w:val="111111"/>
          <w:sz w:val="28"/>
          <w:szCs w:val="28"/>
          <w:rtl/>
        </w:rPr>
        <w:t xml:space="preserve">جلد ۲: جلد دوم تاریخ ناپلئون مشتمل است بر چند فصل و فصل اول در بیان تمهید مقدمه در فصول مصالحه که در مابین دولتين عليتين، نمسا و فرنس ... آغاز:چه بسیار اختلال و اختلاف که در کار اولی مملکت در زمان قلیل پدید آمد و زمان اندکی تغییر کلی را کفایت کنند</w:t>
      </w:r>
    </w:p>
    <w:p>
      <w:pPr>
        <w:pStyle w:val="BookText"/>
      </w:pPr>
      <w:r>
        <w:rPr>
          <w:rFonts w:ascii="IRNazanin" w:hAnsi="IRNazanin" w:eastAsia="IRNazanin" w:cs="IRNazanin"/>
          <w:lang w:bidi="fa-IR"/>
          <w:color w:val="111111"/>
          <w:sz w:val="28"/>
          <w:szCs w:val="28"/>
          <w:rtl/>
        </w:rPr>
        <w:t xml:space="preserve">جلد ۳: جلد سوم تاریخ ناپلیون مشتمل بر چند فصل. فصل اول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بیان آمدن پادشاه سوری به حوالی شهر حمبرق و تهدیدات پادشاه</w:t>
      </w:r>
    </w:p>
    <w:p>
      <w:pPr>
        <w:pStyle w:val="BookText"/>
      </w:pPr>
      <w:r>
        <w:rPr>
          <w:rFonts w:ascii="IRNazanin" w:hAnsi="IRNazanin" w:eastAsia="IRNazanin" w:cs="IRNazanin"/>
          <w:lang w:bidi="fa-IR"/>
          <w:color w:val="111111"/>
          <w:sz w:val="28"/>
          <w:szCs w:val="28"/>
          <w:rtl/>
        </w:rPr>
        <w:t xml:space="preserve">جلد ۴: در بیان تهیه و تدارک امپراطور ناپلیون جهت منبع هجوم خصم بر مملکت فرنس و شرح شروح مصالحه</w:t>
      </w:r>
    </w:p>
    <w:p>
      <w:pPr>
        <w:pStyle w:val="BookText"/>
      </w:pPr>
      <w:r>
        <w:rPr>
          <w:rFonts w:ascii="IRNazanin" w:hAnsi="IRNazanin" w:eastAsia="IRNazanin" w:cs="IRNazanin"/>
          <w:lang w:bidi="fa-IR"/>
          <w:color w:val="111111"/>
          <w:sz w:val="28"/>
          <w:szCs w:val="28"/>
          <w:rtl/>
        </w:rPr>
        <w:t xml:space="preserve">انجام: جلد ۱: که شهر را با ابرو تسلیم سپاه فرنس کرد و ملامت از جانب دولت برای او حاصل نگشت»</w:t>
      </w:r>
    </w:p>
    <w:p>
      <w:pPr>
        <w:pStyle w:val="BookText"/>
      </w:pPr>
      <w:r>
        <w:rPr>
          <w:rFonts w:ascii="IRNazanin" w:hAnsi="IRNazanin" w:eastAsia="IRNazanin" w:cs="IRNazanin"/>
          <w:lang w:bidi="fa-IR"/>
          <w:color w:val="111111"/>
          <w:sz w:val="28"/>
          <w:szCs w:val="28"/>
          <w:rtl/>
        </w:rPr>
        <w:t xml:space="preserve">جلد ۲: به اول مرحله توصیف و تعریف زبانی قاصر و بیانی عاجز دارند. کتاب فضل تو را آب بحر کافی نیست *** گر تر کنی سر انگشت صفحه بشماری. ان شاء الله الملك العزه در زیر سایه بلند پایه اعلی حضرت شهریاری ایدالله ملکه قرون بی شمار و اعصار بسیار رعیت پرور و عدالت گر باد.</w:t>
      </w:r>
    </w:p>
    <w:p>
      <w:pPr>
        <w:pStyle w:val="BookText"/>
      </w:pPr>
      <w:r>
        <w:rPr>
          <w:rFonts w:ascii="IRNazanin" w:hAnsi="IRNazanin" w:eastAsia="IRNazanin" w:cs="IRNazanin"/>
          <w:lang w:bidi="fa-IR"/>
          <w:color w:val="111111"/>
          <w:sz w:val="28"/>
          <w:szCs w:val="28"/>
          <w:rtl/>
        </w:rPr>
        <w:t xml:space="preserve">جلد ۳: که شاید مثمر ثمری برای امورات ناپلیون شود و احکام به احضار جنود به اطراف روان ساخت جلد ۴: بناء على هذا قرار چنان شد که قلب وی را در حقه نقره گذارند و جوهر شراب در آن ریزند</w:t>
      </w:r>
    </w:p>
    <w:p>
      <w:pPr>
        <w:pStyle w:val="BookText"/>
      </w:pPr>
      <w:r>
        <w:rPr>
          <w:rFonts w:ascii="IRNazanin" w:hAnsi="IRNazanin" w:eastAsia="IRNazanin" w:cs="IRNazanin"/>
          <w:lang w:bidi="fa-IR"/>
          <w:color w:val="111111"/>
          <w:sz w:val="28"/>
          <w:szCs w:val="28"/>
          <w:rtl/>
        </w:rPr>
        <w:t xml:space="preserve">۱. تهران؛ سلطنتی؛ شماره نسخه: ۷۳۲</w:t>
      </w:r>
    </w:p>
    <w:p>
      <w:pPr>
        <w:pStyle w:val="BookText"/>
      </w:pPr>
      <w:r>
        <w:rPr>
          <w:rFonts w:ascii="IRNazanin" w:hAnsi="IRNazanin" w:eastAsia="IRNazanin" w:cs="IRNazanin"/>
          <w:lang w:bidi="fa-IR"/>
          <w:color w:val="111111"/>
          <w:sz w:val="28"/>
          <w:szCs w:val="28"/>
          <w:rtl/>
        </w:rPr>
        <w:t xml:space="preserve">آغاز: برابر جلد اول؛ انجام پایان کتاب فتوحات اسکندر مشهور بذوالقرنین ... تمت الكتاب بعون الملک الوهاب في يد الحقير رضاقلی سرابی تاریخ نویس اعليحضرت شهریاری ... في اول شهر جمادی الاول سنه سادس و خمسين بعد الف و ماتين من الهجرة ...۱۲۵۶ .</w:t>
      </w:r>
    </w:p>
    <w:p>
      <w:pPr>
        <w:pStyle w:val="BookText"/>
      </w:pPr>
      <w:r>
        <w:rPr>
          <w:rFonts w:ascii="IRNazanin" w:hAnsi="IRNazanin" w:eastAsia="IRNazanin" w:cs="IRNazanin"/>
          <w:lang w:bidi="fa-IR"/>
          <w:color w:val="111111"/>
          <w:sz w:val="28"/>
          <w:szCs w:val="28"/>
          <w:rtl/>
        </w:rPr>
        <w:t xml:space="preserve">خط: نستعلیق، كا: رضاقلی سرابی، تا: ۱۲۵۶ق؛ چند تصویر سیاه قلم از ناپلئون سوار بر اسب و پیاده به قلم ناصرالدین شاه قاجار، در حواشی صفحه هفتم و هشتم اظهار نظر و یادداشت هایی راجع به تاریخ ناپلئون بخط ناصرالدین شاه قاجار است، در حاشیه صفحه ۱۲ شرحی است به قلم ناصرالدین شاه قاجار: «روز دوشنبه ۴ شهر ربيع الأول لوى ئیل ۱۲۷۳ چهار ساعت از دسته ساعت گذشته در بیرون بودم نهار تازه خورده بودم جناب صدراعظم هم در حضور نشسته بود يكدفعه يدالله خان پیشخدمت وارد شد و عرض کرد مژده فتح هرات آورده اند برخاستم غلام حسینخان يوزباشی شاهسون که در امورات وقایع نگار دولت بود نه (9) روزه آمده بود و عرض کرد شهر را تسلیم قشون ظفر نمون کرده اند از توجه مرتضی علی(عليه السلام)فتح شایانی شد و چشم دشمنان خاصه انگلیس کور شد صد و ده تیر توپ هم مبارک حضرت على انداخته شد نقاره خانه زدند هزار تومان به يدالله خان داده شد مژده از قضایای فلکی در همین ساعت ولیعهد که بسن شش سال بود بانو به غش جهان را بدرود گفت ما می دانستیم شادی کنیم یا گریه کنیم. انالله و انا اليه الراجعون»، مجدول، كمند کشی، با چهار سرلوح مذهب مرصع ؛ کاغذ: ترمه، جلد: مقوای روکش میشن لاکی رنگ با تزیینات، ۱۰۶۰ص، ۲۰ سطر،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۳۰سم [ف: ۵-۴۱۸]</w:t>
      </w:r>
    </w:p>
    <w:p>
      <w:pPr>
        <w:pStyle w:val="BookText"/>
      </w:pPr>
      <w:r>
        <w:rPr>
          <w:rFonts w:ascii="IRNazanin" w:hAnsi="IRNazanin" w:eastAsia="IRNazanin" w:cs="IRNazanin"/>
          <w:lang w:bidi="fa-IR"/>
          <w:color w:val="111111"/>
          <w:sz w:val="28"/>
          <w:szCs w:val="28"/>
          <w:rtl/>
        </w:rPr>
        <w:t xml:space="preserve">۲. تهران؛ ملی؛ شماره نسخه: ۱۰۵۷</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جلد اول؛ انجام: و این وصیت نامه من که ناپلیونم بالتمام بدست خط خود نوشته و بدستهای خود در حال شعور و اختیار دستخط گذاشته ام و جمهور داشته ام و السلام.</w:t>
      </w:r>
    </w:p>
    <w:p>
      <w:pPr>
        <w:pStyle w:val="BookText"/>
      </w:pPr>
      <w:r>
        <w:rPr>
          <w:rFonts w:ascii="IRNazanin" w:hAnsi="IRNazanin" w:eastAsia="IRNazanin" w:cs="IRNazanin"/>
          <w:lang w:bidi="fa-IR"/>
          <w:color w:val="111111"/>
          <w:sz w:val="28"/>
          <w:szCs w:val="28"/>
          <w:rtl/>
        </w:rPr>
        <w:t xml:space="preserve">خط: نسخ، بی کا، تا: ۱ صفر ۱۲۵۷ق، جان محتملا تهران؛ اهداء به بهمن میرزا ولد عباس میرزا؛ کاغذ: فرنگی، جلد: تیماج قرمز، ۲۵۲گ، ۲۲ سطر (۱۱/۵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اندازه: ۲۰/۵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۳۴/۵سم [ف: ۳-۷۵]</w:t>
      </w:r>
    </w:p>
    <w:p>
      <w:pPr>
        <w:pStyle w:val="BookText"/>
      </w:pPr>
      <w:r>
        <w:rPr>
          <w:rFonts w:ascii="IRNazanin" w:hAnsi="IRNazanin" w:eastAsia="IRNazanin" w:cs="IRNazanin"/>
          <w:lang w:bidi="fa-IR"/>
          <w:color w:val="111111"/>
          <w:sz w:val="28"/>
          <w:szCs w:val="28"/>
          <w:rtl/>
        </w:rPr>
        <w:t xml:space="preserve">تهران؛ دانشگاه؛ شماره نسخه:۱۸۵۳-ف</w:t>
      </w:r>
    </w:p>
    <w:p>
      <w:pPr>
        <w:pStyle w:val="BookText"/>
      </w:pPr>
      <w:r>
        <w:rPr>
          <w:rFonts w:ascii="Amiri" w:hAnsi="Amiri" w:eastAsia="Amiri" w:cs="Amiri"/>
          <w:lang w:bidi="ar-SA"/>
          <w:color w:val="111111"/>
          <w:sz w:val="28"/>
          <w:szCs w:val="28"/>
          <w:rtl/>
        </w:rPr>
        <w:t xml:space="preserve">همان نسخه بالا [فيلمها ف: ۱-۳۷]</w:t>
      </w:r>
    </w:p>
    <w:p>
      <w:pPr>
        <w:pStyle w:val="BookText"/>
      </w:pPr>
      <w:r>
        <w:rPr>
          <w:rFonts w:ascii="IRNazanin" w:hAnsi="IRNazanin" w:eastAsia="IRNazanin" w:cs="IRNazanin"/>
          <w:lang w:bidi="fa-IR"/>
          <w:color w:val="111111"/>
          <w:sz w:val="28"/>
          <w:szCs w:val="28"/>
          <w:rtl/>
        </w:rPr>
        <w:t xml:space="preserve">٣. مشهد؛ میبدی؛ شماره نسخه:۴۹۳</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جلد اول خط: نستعلیق خوب، كا: محمد اسماعيل بن محمد ابراهیم کاشانی، تا: عید نوروز ۱۲۶۰ق، به دستور دوستعلی خان؛ جلد: تیماج مشکی، ۲۵۳ گ، ۲۷ سطر،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۴۳/۵</w:t>
      </w:r>
    </w:p>
    <w:p>
      <w:pPr>
        <w:pStyle w:val="BookText"/>
      </w:pPr>
      <w:r>
        <w:rPr>
          <w:rFonts w:ascii="IRNazanin" w:hAnsi="IRNazanin" w:eastAsia="IRNazanin" w:cs="IRNazanin"/>
          <w:lang w:bidi="fa-IR"/>
          <w:color w:val="111111"/>
          <w:sz w:val="28"/>
          <w:szCs w:val="28"/>
          <w:rtl/>
        </w:rPr>
        <w:t xml:space="preserve">سم [ف: ۲-۱۶۲]</w:t>
      </w:r>
    </w:p>
    <w:p>
      <w:pPr>
        <w:pStyle w:val="BookText"/>
      </w:pPr>
      <w:r>
        <w:rPr>
          <w:rFonts w:ascii="IRNazanin" w:hAnsi="IRNazanin" w:eastAsia="IRNazanin" w:cs="IRNazanin"/>
          <w:lang w:bidi="fa-IR"/>
          <w:color w:val="111111"/>
          <w:sz w:val="28"/>
          <w:szCs w:val="28"/>
          <w:rtl/>
        </w:rPr>
        <w:t xml:space="preserve">۴. تهران: انجمن آثار و مفاخر فرهنگی؛ شماره نسخه:۱۲۴</w:t>
      </w:r>
    </w:p>
    <w:p>
      <w:pPr>
        <w:pStyle w:val="BookText"/>
      </w:pPr>
      <w:r>
        <w:rPr>
          <w:rFonts w:ascii="IRNazanin" w:hAnsi="IRNazanin" w:eastAsia="IRNazanin" w:cs="IRNazanin"/>
          <w:lang w:bidi="fa-IR"/>
          <w:color w:val="111111"/>
          <w:sz w:val="28"/>
          <w:szCs w:val="28"/>
          <w:rtl/>
        </w:rPr>
        <w:t xml:space="preserve">آغاز: برابر جلد اول؛ انجام: در آن مکان محقر جسد بزرگواری که صفحه ممالک فرنگستان بر وجود روی تنگ بود جای دادند. پایان وصیت نامه: با التمام بالتمام) بدست خود نوشته و بدستهای خود در حال شعور و اختیار دستخط گذارده و ممهور داشته ام.</w:t>
      </w:r>
    </w:p>
    <w:p>
      <w:pPr>
        <w:pStyle w:val="BookText"/>
      </w:pPr>
      <w:r>
        <w:rPr>
          <w:rFonts w:ascii="IRNazanin" w:hAnsi="IRNazanin" w:eastAsia="IRNazanin" w:cs="IRNazanin"/>
          <w:lang w:bidi="fa-IR"/>
          <w:color w:val="111111"/>
          <w:sz w:val="28"/>
          <w:szCs w:val="28"/>
          <w:rtl/>
        </w:rPr>
        <w:t xml:space="preserve">همراه با وصیت نامه ناپلئون؛ خط: نستعلیق خوش، کا: محمد ابراهيم حسن کوهنی تفرشی، تا: ۱۲۶۲ق، مجدول؛ کاغذ: فرنگی، آهار مهره، جلد: تیماج مقوایی تریاکی، ۷۷۸ص، ۲۱ سطر (۱۲/۵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۱۶۱]</w:t>
      </w:r>
    </w:p>
    <w:p>
      <w:pPr>
        <w:pStyle w:val="BookText"/>
      </w:pPr>
      <w:r>
        <w:rPr>
          <w:rFonts w:ascii="IRNazanin" w:hAnsi="IRNazanin" w:eastAsia="IRNazanin" w:cs="IRNazanin"/>
          <w:lang w:bidi="fa-IR"/>
          <w:color w:val="111111"/>
          <w:sz w:val="28"/>
          <w:szCs w:val="28"/>
          <w:rtl/>
        </w:rPr>
        <w:t xml:space="preserve">۵. تهران؛ ملی؛ شماره نسخه:۱۶۱۵</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جلد اول؛ انجام: در مقام ضرورت که پیشرفت امر دولت مقتضی میشد بی اختیار هر چه مصلحت میدید معمول میداشت</w:t>
      </w:r>
    </w:p>
    <w:p>
      <w:pPr>
        <w:pStyle w:val="BookText"/>
      </w:pPr>
      <w:r>
        <w:rPr>
          <w:rFonts w:ascii="IRNazanin" w:hAnsi="IRNazanin" w:eastAsia="IRNazanin" w:cs="IRNazanin"/>
          <w:lang w:bidi="fa-IR"/>
          <w:color w:val="111111"/>
          <w:sz w:val="28"/>
          <w:szCs w:val="28"/>
          <w:rtl/>
        </w:rPr>
        <w:t xml:space="preserve">خط: نستعلیق، بی کا، تا: ۱۲۶۲ق، جا: تهران؛ کاغذ: فرنگی، جلد: روغنی بوم قهوه ای با تزیینات، ۴۷۶گ، ۲۴ سطر (۳۰۸۱۵)، اندازه: ۲۵/۵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۴۰/۵ سم [ف: ۴-۹۹]</w:t>
      </w:r>
    </w:p>
    <w:p>
      <w:pPr>
        <w:pStyle w:val="BookText"/>
      </w:pPr>
      <w:r>
        <w:rPr>
          <w:rFonts w:ascii="IRNazanin" w:hAnsi="IRNazanin" w:eastAsia="IRNazanin" w:cs="IRNazanin"/>
          <w:lang w:bidi="fa-IR"/>
          <w:color w:val="111111"/>
          <w:sz w:val="28"/>
          <w:szCs w:val="28"/>
          <w:rtl/>
        </w:rPr>
        <w:t xml:space="preserve">. تهران؛ سپهسالار؛ شماره نسخه: ۱۵۳۲</w:t>
      </w:r>
    </w:p>
    <w:p>
      <w:pPr>
        <w:pStyle w:val="BookText"/>
      </w:pPr>
      <w:r>
        <w:rPr>
          <w:rFonts w:ascii="IRNazanin" w:hAnsi="IRNazanin" w:eastAsia="IRNazanin" w:cs="IRNazanin"/>
          <w:lang w:bidi="fa-IR"/>
          <w:color w:val="111111"/>
          <w:sz w:val="28"/>
          <w:szCs w:val="28"/>
          <w:rtl/>
        </w:rPr>
        <w:t xml:space="preserve">آغاز: بسمله، فصل مشتمل است بر وقایع نتایج مصالحه امپراتور ناپلئون با امپراطور السكندري انجام: جنگهای معتبر ناپلئون را در روی آن نوشته اند</w:t>
      </w:r>
    </w:p>
    <w:p>
      <w:pPr>
        <w:pStyle w:val="BookText"/>
      </w:pPr>
      <w:r>
        <w:rPr>
          <w:rFonts w:ascii="IRNazanin" w:hAnsi="IRNazanin" w:eastAsia="IRNazanin" w:cs="IRNazanin"/>
          <w:lang w:bidi="fa-IR"/>
          <w:color w:val="111111"/>
          <w:sz w:val="28"/>
          <w:szCs w:val="28"/>
          <w:rtl/>
        </w:rPr>
        <w:t xml:space="preserve">خط: نستعلیق، بی کا، تا: یک شنبه ۱۴ رجب ۱۲۶۴ق، جا: تبریز؛ تملك: اعتضاد ۱۲۷۹ق؛ واقف: سپهسالار، ۱۲۹۷ق، کاغذ: فرنگی سفید آهار مهره، جلد: تیماج مشکی مقوایی، ۱۷۵گ، ۱۷ سطر، اندازه: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۳-۳۰۶]</w:t>
      </w:r>
    </w:p>
    <w:p>
      <w:pPr>
        <w:pStyle w:val="BookText"/>
      </w:pPr>
      <w:r>
        <w:rPr>
          <w:rFonts w:ascii="IRNazanin" w:hAnsi="IRNazanin" w:eastAsia="IRNazanin" w:cs="IRNazanin"/>
          <w:lang w:bidi="fa-IR"/>
          <w:color w:val="111111"/>
          <w:sz w:val="28"/>
          <w:szCs w:val="28"/>
          <w:rtl/>
        </w:rPr>
        <w:t xml:space="preserve">۷. تهران؛ ملی؛ شماره نسخه:۱۲۸</w:t>
      </w:r>
    </w:p>
    <w:p>
      <w:pPr>
        <w:pStyle w:val="BookText"/>
      </w:pPr>
      <w:r>
        <w:rPr>
          <w:rFonts w:ascii="IRNazanin" w:hAnsi="IRNazanin" w:eastAsia="IRNazanin" w:cs="IRNazanin"/>
          <w:lang w:bidi="fa-IR"/>
          <w:color w:val="111111"/>
          <w:sz w:val="28"/>
          <w:szCs w:val="28"/>
          <w:rtl/>
        </w:rPr>
        <w:t xml:space="preserve">آغاز: برابر جلد ۱؛ انجام: برابر جلد ۱</w:t>
      </w:r>
    </w:p>
    <w:p>
      <w:pPr>
        <w:pStyle w:val="BookText"/>
      </w:pPr>
      <w:r>
        <w:rPr>
          <w:rFonts w:ascii="IRNazanin" w:hAnsi="IRNazanin" w:eastAsia="IRNazanin" w:cs="IRNazanin"/>
          <w:lang w:bidi="fa-IR"/>
          <w:color w:val="111111"/>
          <w:sz w:val="28"/>
          <w:szCs w:val="28"/>
          <w:rtl/>
        </w:rPr>
        <w:t xml:space="preserve">جلد اول؛ خط: نستعلیق خوش، كا: میرزا رضا قلی تاریخ نویس، تا: جمادی الثانی ۱۲۶۶ق؛ آخر نسخه: «این تاریخ بناپارت ناپلئون را علاوه بر دو جلد دیگر که سی هزار بیت می باشد و بتاریخ بزرگ علاوه و افزوده گشته میرزا رضای مهندس حسب الامر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شهنشاه خلداشیان و خسرو فردوس مکان نورالله مرقده برد الله مضجعه جعل الله مع محمد و آله الطاهرين محشره از زبان فرنسي بزبان فارسی ترجمه کرده و حسب الحكم جهان مطاع اعلى حضرت قدر قدرت سلیمان حشمت سکندر شوکت حامی بیضه اسلام و ما حی زنک ظلام از لوح خاطر انام اعلی حضرت ناصرالدین شاه غازی اطال الله ظلال شوكته و دولته الى يوم القيامه میرزا رضا قلی تاریخ نویس باصلاح عبارت و تحریر کتابت آن پرداخته تم في شهر جمادی الثانيه من شهور سنه ۱۲۶۶»؛ مجدول؛ کاغذ: ترمه، جلد: ساغری سپاه با ترنج و نیم ترنج، ۱۲۹گ، ۲۰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۱-۱۱۸]</w:t>
      </w:r>
    </w:p>
    <w:p>
      <w:pPr>
        <w:pStyle w:val="BookText"/>
      </w:pPr>
      <w:r>
        <w:rPr>
          <w:rFonts w:ascii="IRNazanin" w:hAnsi="IRNazanin" w:eastAsia="IRNazanin" w:cs="IRNazanin"/>
          <w:lang w:bidi="fa-IR"/>
          <w:color w:val="111111"/>
          <w:sz w:val="28"/>
          <w:szCs w:val="28"/>
          <w:rtl/>
        </w:rPr>
        <w:t xml:space="preserve">۸. تهران؛ ملی؛ شماره نسخه:۱۰</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جلد دوم، انجام: که بعد از ورود و استقرار شاهراده در تخت سلطنت خویش، مملکت سپانیول را تخلیه کرده داخل خاک فرنس شوند و منتظر احکام مجدد باشند خط: نستعلیق ریز، کا: رضا قلی تاریخ نویس، تا: ۱۲۶۶ق، جان تهران؛ مجدول؛ کاغذ: ترمه، جلد: تیماج مقوایی، ۲۱۰گ، ۲۰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۱-۷]</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دانشگاه؛ شماره نسخه: ۵۱۳۰</w:t>
      </w:r>
    </w:p>
    <w:p>
      <w:pPr>
        <w:pStyle w:val="BookText"/>
      </w:pPr>
      <w:r>
        <w:rPr>
          <w:rFonts w:ascii="IRNazanin" w:hAnsi="IRNazanin" w:eastAsia="IRNazanin" w:cs="IRNazanin"/>
          <w:lang w:bidi="fa-IR"/>
          <w:color w:val="111111"/>
          <w:sz w:val="28"/>
          <w:szCs w:val="28"/>
          <w:rtl/>
        </w:rPr>
        <w:t xml:space="preserve">خط: نستعلیق، بی کا، تا: ربيع الاول ۱۲۶۷ق، کاغذ: فرنگی، جلد: تیماج حنایی، ۲۸۶گ، ۲۲ سطر (۲۶۸۱۳)،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۳۴سم [ف: ۴۱۲۱-۱۵ ]</w:t>
      </w:r>
    </w:p>
    <w:p>
      <w:pPr>
        <w:pStyle w:val="BookText"/>
      </w:pPr>
      <w:r>
        <w:rPr>
          <w:rFonts w:ascii="IRNazanin" w:hAnsi="IRNazanin" w:eastAsia="IRNazanin" w:cs="IRNazanin"/>
          <w:lang w:bidi="fa-IR"/>
          <w:color w:val="111111"/>
          <w:sz w:val="28"/>
          <w:szCs w:val="28"/>
          <w:rtl/>
        </w:rPr>
        <w:t xml:space="preserve">۱۰. تهران؛ عبدالعظیم؛ شماره نسخه:۱۴۳</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جلد دوم، انجام: فصل بیستم در خاتمه جلد ثانی و سبب تألیف و ترتیب کتاب مزبور ... مستر بورین از محررين و مورخین خاص جناب ناپلئون ... عطوفت از معایب پوشیده و قلم عفو کشیده ...</w:t>
      </w:r>
    </w:p>
    <w:p>
      <w:pPr>
        <w:pStyle w:val="BookText"/>
      </w:pPr>
      <w:r>
        <w:rPr>
          <w:rFonts w:ascii="IRNazanin" w:hAnsi="IRNazanin" w:eastAsia="IRNazanin" w:cs="IRNazanin"/>
          <w:lang w:bidi="fa-IR"/>
          <w:color w:val="111111"/>
          <w:sz w:val="28"/>
          <w:szCs w:val="28"/>
          <w:rtl/>
        </w:rPr>
        <w:t xml:space="preserve">جلد دوم ۲۰ فصل. نام مؤلف به استناد جلد ۲۰ دانشگاه تهران ص ۵۲۳ ذکر شد؛ خط: نستعلیق، كا: رجبعلی بن عباسعلی قزوینی، تا: دوشنبه ۶ ربيع الاول ۱۲۶۸ق؛ مصحح، با تاریخ اتمام مقابله به سال ۱۲۶۸ق؛ واقف: حسنعلی شاهرخی، ۱۳۳۲؛ جلد: تیماج مصنوعی قهوه ای، ۱۸۵ ، ۱۵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۱-۹۲]</w:t>
      </w:r>
    </w:p>
    <w:p>
      <w:pPr>
        <w:pStyle w:val="BookText"/>
      </w:pPr>
      <w:r>
        <w:rPr>
          <w:rFonts w:ascii="IRNazanin" w:hAnsi="IRNazanin" w:eastAsia="IRNazanin" w:cs="IRNazanin"/>
          <w:lang w:bidi="fa-IR"/>
          <w:color w:val="111111"/>
          <w:sz w:val="28"/>
          <w:szCs w:val="28"/>
          <w:rtl/>
        </w:rPr>
        <w:t xml:space="preserve">۱۱. تهران؛ سپهسالار؛ شماره نسخه: ۱۵۳۶/۱</w:t>
      </w:r>
    </w:p>
    <w:p>
      <w:pPr>
        <w:pStyle w:val="BookText"/>
      </w:pPr>
      <w:r>
        <w:rPr>
          <w:rFonts w:ascii="IRNazanin" w:hAnsi="IRNazanin" w:eastAsia="IRNazanin" w:cs="IRNazanin"/>
          <w:lang w:bidi="fa-IR"/>
          <w:color w:val="111111"/>
          <w:sz w:val="28"/>
          <w:szCs w:val="28"/>
          <w:rtl/>
        </w:rPr>
        <w:t xml:space="preserve">آغاز: بسمله مؤرخین نوشته اند که ناپلئون از بدو تمیز و رشد در فهم علوم و درک رسوم مصر و مبرم بود؛ انجام: برابر جلد ۱ جزء اول تنها، از آغاز تا فتح شهر مونتئو از شهرهای ایتالیا در بردارد. در فهرست نام کاتب به اشتباه مؤلف ذکر شده که به استناد فهرست دانشگاه ۵۲۴/۲۰ تصحیح شد؛ خط: نستعلیق، كا: محمد مهدی بن عبدالله خان پوزباشی، تا: ۱۰ شعبان ۱۲۷۰ق، به امر علیقلی میرزا على؛ کاغذ: فرنگی، جلد: مقوا، ۹۳گ (آپ۔</w:t>
      </w:r>
    </w:p>
    <w:p>
      <w:pPr>
        <w:pStyle w:val="BookText"/>
      </w:pPr>
      <w:r>
        <w:rPr>
          <w:rFonts w:ascii="IRNazanin" w:hAnsi="IRNazanin" w:eastAsia="IRNazanin" w:cs="IRNazanin"/>
          <w:lang w:bidi="fa-IR"/>
          <w:color w:val="111111"/>
          <w:sz w:val="28"/>
          <w:szCs w:val="28"/>
          <w:rtl/>
        </w:rPr>
        <w:t xml:space="preserve">۹۳پ)، ۲۳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۳۳/۵سم [ف: ۳-۳۰۵]</w:t>
      </w:r>
    </w:p>
    <w:p>
      <w:pPr>
        <w:pStyle w:val="BookText"/>
      </w:pPr>
      <w:r>
        <w:rPr>
          <w:rFonts w:ascii="IRNazanin" w:hAnsi="IRNazanin" w:eastAsia="IRNazanin" w:cs="IRNazanin"/>
          <w:lang w:bidi="fa-IR"/>
          <w:color w:val="111111"/>
          <w:sz w:val="28"/>
          <w:szCs w:val="28"/>
          <w:rtl/>
        </w:rPr>
        <w:t xml:space="preserve">۱۲. تهران، دانشگاه؛ شماره نسخه: ۱۰۹۳۵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تمام مجلدات را دارد، جلد اول دوبار ترجمه شده است که هر دو تحریر در این نسخه هست؛ خط: نسخ، بی کا، تا: ۱۲۸۰ و ۱۲۷۰ق، انجامه ها: «تمت في ۱۲۸۰) (جلد اول، ۷۴ر) «تمت المجلد الأول بعون الله الآخر الأجل و يتلوه المجلد الثاني بنفایسه السبحانی ۱۲۷۰» (جلد اول اقبض ۱۵۶پ) «تم المجلد الثالث في شنبه سیم شهر جمادی الاخر من شهور سنة ۱۲۷۰» (جلد سوم ۴۰۳پ)؛ صفحه اول بر چسب کتابخانه محمد حسن خان صنیع الدوله با این عبارات: «داخل کتابخانه صنيع الدوله محمد حسن خان ۱۲۹۸. نمره چهارم کتب تاریخ، تاریخ ناپلیون»، یادداشت: «از کتب مرحوم دبیر الملک فراهانی است که به توسط حاجی رضا کتابفروش کرمانی به مبلغ چهل و شش تومان ابتیاع گردیده داخل کتابخانه جناب جلالت مآب افخم آقای صنيع الدوله دام اقباله العالی گردید اللهم بارک بمحمد و آله تحریرة شهر رجب ۱۲۹۹»؛ جلد: تیماج زیتونی با ترنج، ۴۵۷گ، ۲۷ سطر</w:t>
      </w:r>
    </w:p>
    <w:p>
      <w:pPr>
        <w:pStyle w:val="BookText"/>
      </w:pPr>
      <w:r>
        <w:rPr>
          <w:rFonts w:ascii="IRNazanin" w:hAnsi="IRNazanin" w:eastAsia="IRNazanin" w:cs="IRNazanin"/>
          <w:lang w:bidi="fa-IR"/>
          <w:color w:val="111111"/>
          <w:sz w:val="28"/>
          <w:szCs w:val="28"/>
          <w:rtl/>
        </w:rPr>
        <w:t xml:space="preserve">(۱۳/۵ ۲۶/۵۶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۲۰-۵۲۱]</w:t>
      </w:r>
    </w:p>
    <w:p>
      <w:pPr>
        <w:pStyle w:val="BookText"/>
      </w:pPr>
      <w:r>
        <w:rPr>
          <w:rFonts w:ascii="IRNazanin" w:hAnsi="IRNazanin" w:eastAsia="IRNazanin" w:cs="IRNazanin"/>
          <w:lang w:bidi="fa-IR"/>
          <w:color w:val="111111"/>
          <w:sz w:val="28"/>
          <w:szCs w:val="28"/>
          <w:rtl/>
        </w:rPr>
        <w:t xml:space="preserve">۱۳. قم: مرکز احیاء؛ شماره نسخه:۱۷۴۵</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جلد اول دارای همه چهار جزء کتاب؛ خط: نستعلیق، کا: محمد حسین کرمانشاهی، تا: ۲۹ ذیقعده ۱۲۷۰ ق، برای عماد الدوله امامقلی میرزا قاجار؛ در پایان جزء دوم تتمه ای است از محمد حسن بن عبدالكريم منشی اشتهاردی که به دستور معتمد الدوله منوچهر خان، از کنسولی اول ناپلئون تا نهایت امپراطوری و عاقبت و خاتمت روزگار وی، نوشته است؛ جلد: تیماج قهوه ای ضربی، ۴۷۴گ، ۲۱ سطر،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۵-۱۴۷]</w:t>
      </w:r>
    </w:p>
    <w:p>
      <w:pPr>
        <w:pStyle w:val="BookText"/>
      </w:pPr>
      <w:r>
        <w:rPr>
          <w:rFonts w:ascii="IRNazanin" w:hAnsi="IRNazanin" w:eastAsia="IRNazanin" w:cs="IRNazanin"/>
          <w:lang w:bidi="fa-IR"/>
          <w:color w:val="111111"/>
          <w:sz w:val="28"/>
          <w:szCs w:val="28"/>
          <w:rtl/>
        </w:rPr>
        <w:t xml:space="preserve">۱۴. تهران؛ ملی؛ شماره نسخه: ۲۸۰۱</w:t>
      </w:r>
    </w:p>
    <w:p>
      <w:pPr>
        <w:pStyle w:val="BookText"/>
      </w:pPr>
      <w:r>
        <w:rPr>
          <w:rFonts w:ascii="IRNazanin" w:hAnsi="IRNazanin" w:eastAsia="IRNazanin" w:cs="IRNazanin"/>
          <w:lang w:bidi="fa-IR"/>
          <w:color w:val="111111"/>
          <w:sz w:val="28"/>
          <w:szCs w:val="28"/>
          <w:rtl/>
        </w:rPr>
        <w:t xml:space="preserve">آغاز: برابر جلد اول؛ انجام: من که ناپلئونم و بالتمام را بدست خط خود نوشته خدژود در حال شعور و اختیار دستخط گذارده و مهر کرده ام معمول دارند. نام مؤلف به استناد فهرست دانشگاه تهران ج ۲۰ ص ۵۲۳ ذکر شد؛ خط: نسخ خوش، كا: محمد تقی کازرونی، تا: ۱۲۷۱ق؛ سرلوحه سبز و بنفش و زر و گل و بوته قرمز و آبی و سفید، جدول خارجی زر و جدول دور سطور زر و آبی، دو صفحه اول بين سطور طلااندازی؛ کاغذ: فرنگی، جلد: چرمی یشمی، ۱۶۹گ، ۲۹ سطر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۳۶/۵سم [ف: ۶-۴۱۸]</w:t>
      </w:r>
    </w:p>
    <w:p>
      <w:pPr>
        <w:pStyle w:val="BookText"/>
      </w:pPr>
      <w:r>
        <w:rPr>
          <w:rFonts w:ascii="IRNazanin" w:hAnsi="IRNazanin" w:eastAsia="IRNazanin" w:cs="IRNazanin"/>
          <w:lang w:bidi="fa-IR"/>
          <w:color w:val="111111"/>
          <w:sz w:val="28"/>
          <w:szCs w:val="28"/>
          <w:rtl/>
        </w:rPr>
        <w:t xml:space="preserve">۱۵. شیراز؛ امام عصر؛ شماره نسخه: ۱۱۱</w:t>
      </w:r>
    </w:p>
    <w:p>
      <w:pPr>
        <w:pStyle w:val="BookText"/>
      </w:pPr>
      <w:r>
        <w:rPr>
          <w:rFonts w:ascii="IRNazanin" w:hAnsi="IRNazanin" w:eastAsia="IRNazanin" w:cs="IRNazanin"/>
          <w:lang w:bidi="fa-IR"/>
          <w:color w:val="111111"/>
          <w:sz w:val="28"/>
          <w:szCs w:val="28"/>
          <w:rtl/>
        </w:rPr>
        <w:t xml:space="preserve">آغاز: برابر جلد اول</w:t>
      </w:r>
    </w:p>
    <w:p>
      <w:pPr>
        <w:pStyle w:val="BookText"/>
      </w:pPr>
      <w:r>
        <w:rPr>
          <w:rFonts w:ascii="IRNazanin" w:hAnsi="IRNazanin" w:eastAsia="IRNazanin" w:cs="IRNazanin"/>
          <w:lang w:bidi="fa-IR"/>
          <w:color w:val="111111"/>
          <w:sz w:val="28"/>
          <w:szCs w:val="28"/>
          <w:rtl/>
        </w:rPr>
        <w:t xml:space="preserve">خط: نستعلیق، كا: عبد الله متخلص به محجوب، جمعه غره رمضان ۱۲۷۱ (جزء اول)، جزء آخر را محمد کاظم بن محمد متخلص به ناظم در سه شنبه ۱۳ شوال سال ۱۲۷۲ نوشته؛ جلد: سبز و لاجورد، ۲۲۳گ،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۳۰/۵سم [ف: ۱-۱۸]</w:t>
      </w:r>
    </w:p>
    <w:p>
      <w:pPr>
        <w:pStyle w:val="BookText"/>
      </w:pPr>
      <w:r>
        <w:rPr>
          <w:rFonts w:ascii="IRNazanin" w:hAnsi="IRNazanin" w:eastAsia="IRNazanin" w:cs="IRNazanin"/>
          <w:lang w:bidi="fa-IR"/>
          <w:color w:val="111111"/>
          <w:sz w:val="28"/>
          <w:szCs w:val="28"/>
          <w:rtl/>
        </w:rPr>
        <w:t xml:space="preserve">۱۶. تهران؛ سپهسالار؛ شماره نسخه:۱۵۳۵</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جلد اول؛ انجام: بی اختیار هرچه مصلحت میدید معمول می داشت ... خط: نستعلیق، کا: سليمان بن سليمان جديد الاسلام ابا و اما، تا: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 ذيقعده قوی ایل ۱۲۷۵ق، جا: قصبه بناب، به اشاره عبد العلی خان سرتيپ توپخانه مبارکه؛ کاغذ: فرنگی سفید، جلد: تیماج مشکی ضربی، ۲۵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 سم [ف: ۳-۳۰۶]</w:t>
      </w:r>
    </w:p>
    <w:p>
      <w:pPr>
        <w:pStyle w:val="BookText"/>
      </w:pPr>
      <w:r>
        <w:rPr>
          <w:rFonts w:ascii="IRNazanin" w:hAnsi="IRNazanin" w:eastAsia="IRNazanin" w:cs="IRNazanin"/>
          <w:lang w:bidi="fa-IR"/>
          <w:color w:val="111111"/>
          <w:sz w:val="28"/>
          <w:szCs w:val="28"/>
          <w:rtl/>
        </w:rPr>
        <w:t xml:space="preserve">۱۷. تهران؛ مجلس؛ شماره نسخه:۸۱۸۵</w:t>
      </w:r>
    </w:p>
    <w:p>
      <w:pPr>
        <w:pStyle w:val="BookText"/>
      </w:pPr>
      <w:r>
        <w:rPr>
          <w:rFonts w:ascii="IRNazanin" w:hAnsi="IRNazanin" w:eastAsia="IRNazanin" w:cs="IRNazanin"/>
          <w:lang w:bidi="fa-IR"/>
          <w:color w:val="111111"/>
          <w:sz w:val="28"/>
          <w:szCs w:val="28"/>
          <w:rtl/>
        </w:rPr>
        <w:t xml:space="preserve">آغاز: برابر جلد اول؛ انجام: وصیت می کنم که بانضمام منافع آن با نیمی از اسباب و متروکات مرا بسر کردگان ..... و سپاه فرنس که از تاریخ سنه ۱۷۹۲ لغایت سنه ۱۸۱۵ عیسوی که بیست ... [ناقص رها شده، چند سطر به پایان مانده ]</w:t>
      </w:r>
    </w:p>
    <w:p>
      <w:pPr>
        <w:pStyle w:val="BookText"/>
      </w:pPr>
      <w:r>
        <w:rPr>
          <w:rFonts w:ascii="IRNazanin" w:hAnsi="IRNazanin" w:eastAsia="IRNazanin" w:cs="IRNazanin"/>
          <w:lang w:bidi="fa-IR"/>
          <w:color w:val="111111"/>
          <w:sz w:val="28"/>
          <w:szCs w:val="28"/>
          <w:rtl/>
        </w:rPr>
        <w:t xml:space="preserve">خط شکسته نستعلیق، بی کا، تا: ۱۲۸۴، جان شیراز؛ جلد: مقوایی با روکش تیماج سبز یشمی، ۲۲۱گ، ۱۹ سطر،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۲۱/۳ سم [ف: ۲۷/۱ -۴۴۴]</w:t>
      </w:r>
    </w:p>
    <w:p>
      <w:pPr>
        <w:pStyle w:val="BookText"/>
      </w:pPr>
      <w:r>
        <w:rPr>
          <w:rFonts w:ascii="IRNazanin" w:hAnsi="IRNazanin" w:eastAsia="IRNazanin" w:cs="IRNazanin"/>
          <w:lang w:bidi="fa-IR"/>
          <w:color w:val="111111"/>
          <w:sz w:val="28"/>
          <w:szCs w:val="28"/>
          <w:rtl/>
        </w:rPr>
        <w:t xml:space="preserve">۱۸. تهران؛ مجلس؛ شماره نسخه: ۲۸۲/۲ -فیروز</w:t>
      </w:r>
    </w:p>
    <w:p>
      <w:pPr>
        <w:pStyle w:val="BookText"/>
      </w:pPr>
      <w:r>
        <w:rPr>
          <w:rFonts w:ascii="IRNazanin" w:hAnsi="IRNazanin" w:eastAsia="IRNazanin" w:cs="IRNazanin"/>
          <w:lang w:bidi="fa-IR"/>
          <w:color w:val="111111"/>
          <w:sz w:val="28"/>
          <w:szCs w:val="28"/>
          <w:rtl/>
        </w:rPr>
        <w:t xml:space="preserve">خط: نسخ، بی کا، تا: ۱۲۹۹ق؛ کاغذ: اصفهانی، جلد: تیماج قرمز، ۵۰۴ص (۴۶-۵۴۹)، ۲۵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۳۴/۵سم [ف: ۲۱-۲۷۱]</w:t>
      </w:r>
    </w:p>
    <w:p>
      <w:pPr>
        <w:pStyle w:val="BookText"/>
      </w:pPr>
      <w:r>
        <w:rPr>
          <w:rFonts w:ascii="IRNazanin" w:hAnsi="IRNazanin" w:eastAsia="IRNazanin" w:cs="IRNazanin"/>
          <w:lang w:bidi="fa-IR"/>
          <w:color w:val="111111"/>
          <w:sz w:val="28"/>
          <w:szCs w:val="28"/>
          <w:rtl/>
        </w:rPr>
        <w:t xml:space="preserve">۱۹. تهران؛ ملک؛ شماره نسخه: ۵۷۹۲</w:t>
      </w:r>
    </w:p>
    <w:p>
      <w:pPr>
        <w:pStyle w:val="BookText"/>
      </w:pPr>
      <w:r>
        <w:rPr>
          <w:rFonts w:ascii="IRNazanin" w:hAnsi="IRNazanin" w:eastAsia="IRNazanin" w:cs="IRNazanin"/>
          <w:lang w:bidi="fa-IR"/>
          <w:color w:val="111111"/>
          <w:sz w:val="28"/>
          <w:szCs w:val="28"/>
          <w:rtl/>
        </w:rPr>
        <w:t xml:space="preserve">آغاز: تاریخ ناپلئون بر وجه مختصر که تصویر بعضی از حرکات و کارهای او را کشیده اند ... در باب تولد و اصل و نسب و نجابت ناپلئون اختلاف و گفتگویی بسیار داشت؛ انجام: صورت نودم نشان گاه دیگر است که در میلان مقبره ناپلئون ساخته اند و اسم جنگهای معتبر ناپلئون را در روی آن نوشته اند.</w:t>
      </w:r>
    </w:p>
    <w:p>
      <w:pPr>
        <w:pStyle w:val="BookText"/>
      </w:pPr>
      <w:r>
        <w:rPr>
          <w:rFonts w:ascii="IRNazanin" w:hAnsi="IRNazanin" w:eastAsia="IRNazanin" w:cs="IRNazanin"/>
          <w:lang w:bidi="fa-IR"/>
          <w:color w:val="111111"/>
          <w:sz w:val="28"/>
          <w:szCs w:val="28"/>
          <w:rtl/>
        </w:rPr>
        <w:t xml:space="preserve">نیمه دوم نسخه قواعد نظام ناپلئون است (چاپی)؛ خط: نستعلیق، بی کا، تا: قرن ۱۳، از دو نویسنده کاغذ: فرنگی، جلد: کاغذ سیاه، ۵۷گ، ۱۴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۱۴/۴ سم [ف: ۳-۴۵۵]</w:t>
      </w:r>
    </w:p>
    <w:p>
      <w:pPr>
        <w:pStyle w:val="BookText"/>
      </w:pPr>
      <w:r>
        <w:rPr>
          <w:rFonts w:ascii="IRNazanin" w:hAnsi="IRNazanin" w:eastAsia="IRNazanin" w:cs="IRNazanin"/>
          <w:lang w:bidi="fa-IR"/>
          <w:color w:val="111111"/>
          <w:sz w:val="28"/>
          <w:szCs w:val="28"/>
          <w:rtl/>
        </w:rPr>
        <w:t xml:space="preserve">۲۰. قم؛ مؤسسه آية الله بروجردی؛ شماره نسخه:۶۰۷</w:t>
      </w:r>
    </w:p>
    <w:p>
      <w:pPr>
        <w:pStyle w:val="BookText"/>
      </w:pPr>
      <w:r>
        <w:rPr>
          <w:rFonts w:ascii="IRNazanin" w:hAnsi="IRNazanin" w:eastAsia="IRNazanin" w:cs="IRNazanin"/>
          <w:lang w:bidi="fa-IR"/>
          <w:color w:val="111111"/>
          <w:sz w:val="28"/>
          <w:szCs w:val="28"/>
          <w:rtl/>
        </w:rPr>
        <w:t xml:space="preserve">آغاز: برابر جلد اول تذکر: نام مؤلف به استناد فهرست دانشگاه تهران ج ۲۰ ص ۵۲۳ ذکر شد؛ خط: نستعلیق خوب، بی کا، تا: قرن ۱۳؛ مجدول؛ جلد: روغنی معمولی، ۱۳۹گ، ۱۹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۲-۳۸۰]</w:t>
      </w:r>
    </w:p>
    <w:p>
      <w:pPr>
        <w:pStyle w:val="BookText"/>
      </w:pPr>
      <w:r>
        <w:rPr>
          <w:rFonts w:ascii="IRNazanin" w:hAnsi="IRNazanin" w:eastAsia="IRNazanin" w:cs="IRNazanin"/>
          <w:lang w:bidi="fa-IR"/>
          <w:color w:val="111111"/>
          <w:sz w:val="28"/>
          <w:szCs w:val="28"/>
          <w:rtl/>
        </w:rPr>
        <w:t xml:space="preserve">۲۱. تهران؛ مجلس؛ شماره نسخه: ۳۵۴۵/۱</w:t>
      </w:r>
    </w:p>
    <w:p>
      <w:pPr>
        <w:pStyle w:val="BookText"/>
      </w:pPr>
      <w:r>
        <w:rPr>
          <w:rFonts w:ascii="IRNazanin" w:hAnsi="IRNazanin" w:eastAsia="IRNazanin" w:cs="IRNazanin"/>
          <w:lang w:bidi="fa-IR"/>
          <w:color w:val="111111"/>
          <w:sz w:val="28"/>
          <w:szCs w:val="28"/>
          <w:rtl/>
        </w:rPr>
        <w:t xml:space="preserve">آغاز: برابر جلد اول؛ انجام: گرمی هنگامه طاقت و توان خصم بدسگال را از حدت سيف جرات و شدة تيغ غيرت.</w:t>
      </w:r>
    </w:p>
    <w:p>
      <w:pPr>
        <w:pStyle w:val="BookText"/>
      </w:pPr>
      <w:r>
        <w:rPr>
          <w:rFonts w:ascii="IRNazanin" w:hAnsi="IRNazanin" w:eastAsia="IRNazanin" w:cs="IRNazanin"/>
          <w:lang w:bidi="fa-IR"/>
          <w:color w:val="111111"/>
          <w:sz w:val="28"/>
          <w:szCs w:val="28"/>
          <w:rtl/>
        </w:rPr>
        <w:t xml:space="preserve">خط: نستعلیق زیبا، بی کا، تا: اواخر قرن ۱۳؛ کاغذ: فرنگی شکری، جلد: تیماج عنابی، ۱۰۱ص (۲-۱۰۲)، ۱۳ سطر، اندازه: 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۲سم [ف: ۱۰-۱۵۰۶]</w:t>
      </w:r>
    </w:p>
    <w:p>
      <w:pPr>
        <w:pStyle w:val="BookText"/>
      </w:pPr>
      <w:r>
        <w:rPr>
          <w:rFonts w:ascii="IRNazanin" w:hAnsi="IRNazanin" w:eastAsia="IRNazanin" w:cs="IRNazanin"/>
          <w:lang w:bidi="fa-IR"/>
          <w:color w:val="111111"/>
          <w:sz w:val="28"/>
          <w:szCs w:val="28"/>
          <w:rtl/>
        </w:rPr>
        <w:t xml:space="preserve">۲۲. تهران؛ مجلس؛ شماره نسخه: ۳۵۴۵/۲</w:t>
      </w:r>
    </w:p>
    <w:p>
      <w:pPr>
        <w:pStyle w:val="BookText"/>
      </w:pPr>
      <w:r>
        <w:rPr>
          <w:rFonts w:ascii="IRNazanin" w:hAnsi="IRNazanin" w:eastAsia="IRNazanin" w:cs="IRNazanin"/>
          <w:lang w:bidi="fa-IR"/>
          <w:color w:val="111111"/>
          <w:sz w:val="28"/>
          <w:szCs w:val="28"/>
          <w:rtl/>
        </w:rPr>
        <w:t xml:space="preserve">آغاز: مؤلف این اوراق و مرصف این اطباق بی زواید و اغراق بیان مینماید در اوقاتی که فيما بين دولت؛ انجام: مأمور با تمام مصالحه شده بودند و مشارالیه هنوز در شهر قزوین که سواد اعظم ولایت.</w:t>
      </w:r>
    </w:p>
    <w:p>
      <w:pPr>
        <w:pStyle w:val="BookText"/>
      </w:pPr>
      <w:r>
        <w:rPr>
          <w:rFonts w:ascii="IRNazanin" w:hAnsi="IRNazanin" w:eastAsia="IRNazanin" w:cs="IRNazanin"/>
          <w:lang w:bidi="fa-IR"/>
          <w:color w:val="111111"/>
          <w:sz w:val="28"/>
          <w:szCs w:val="28"/>
          <w:rtl/>
        </w:rPr>
        <w:t xml:space="preserve">جلد ۲؛ خط: نستعلیق زیبا، بی کا، تا: قرن ۱۳؛ کاغذ: فرنگی شکری، جلد: تیماج عنابی، ۹۱ص (۱۰۲-۱۹۲)، ۱۳ سطر، اندازه: 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۲سم [ف: ۱۰-۱۵۰۷]</w:t>
      </w:r>
    </w:p>
    <w:p>
      <w:pPr>
        <w:pStyle w:val="BookText"/>
      </w:pPr>
      <w:r>
        <w:rPr>
          <w:rFonts w:ascii="IRNazanin" w:hAnsi="IRNazanin" w:eastAsia="IRNazanin" w:cs="IRNazanin"/>
          <w:lang w:bidi="fa-IR"/>
          <w:color w:val="111111"/>
          <w:sz w:val="28"/>
          <w:szCs w:val="28"/>
          <w:rtl/>
        </w:rPr>
        <w:t xml:space="preserve">۲۳. مشهد؛ رضوی؛ شماره نسخه:۵۱۸۵</w:t>
      </w:r>
    </w:p>
    <w:p>
      <w:pPr>
        <w:pStyle w:val="BookText"/>
      </w:pPr>
      <w:r>
        <w:rPr>
          <w:rFonts w:ascii="IRNazanin" w:hAnsi="IRNazanin" w:eastAsia="IRNazanin" w:cs="IRNazanin"/>
          <w:lang w:bidi="fa-IR"/>
          <w:color w:val="111111"/>
          <w:sz w:val="28"/>
          <w:szCs w:val="28"/>
          <w:rtl/>
        </w:rPr>
        <w:t xml:space="preserve">آغاز: برابر جلد اول؛ انجام: و چون بیکی نوبت نمیخواست او را از مرجعیت و احترام باز دارد لذا بمرور این کار را انجام داد.</w:t>
      </w:r>
    </w:p>
    <w:p>
      <w:pPr>
        <w:pStyle w:val="BookText"/>
      </w:pPr>
      <w:r>
        <w:rPr>
          <w:rFonts w:ascii="IRNazanin" w:hAnsi="IRNazanin" w:eastAsia="IRNazanin" w:cs="IRNazanin"/>
          <w:lang w:bidi="fa-IR"/>
          <w:color w:val="111111"/>
          <w:sz w:val="28"/>
          <w:szCs w:val="28"/>
          <w:rtl/>
        </w:rPr>
        <w:t xml:space="preserve">جلد اول؛ خط: نسخ، بی کا، تا: اواخر قرن ۱۳؛ مجدول بشنگرف و لاجورد؛ واقف: نایینی؛ کاغذ: شکری فرنگی آهار مهره، جلد: پارچه ای، ۱۹۲گ، ۲۰ سطر ( ۱۵/۷۸۶/۲ )، اندازه:</w:t>
      </w:r>
    </w:p>
    <w:p>
      <w:pPr>
        <w:pStyle w:val="BookText"/>
      </w:pPr>
      <w:r>
        <w:rPr>
          <w:rFonts w:ascii="IRNazanin" w:hAnsi="IRNazanin" w:eastAsia="IRNazanin" w:cs="IRNazanin"/>
          <w:lang w:bidi="fa-IR"/>
          <w:color w:val="111111"/>
          <w:sz w:val="28"/>
          <w:szCs w:val="28"/>
          <w:rtl/>
        </w:rPr>
        <w:t xml:space="preserve">۱۴/۲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سم [ف: ۷-۳۹]</w:t>
      </w:r>
    </w:p>
    <w:p>
      <w:pPr>
        <w:pStyle w:val="BookText"/>
      </w:pPr>
      <w:r>
        <w:rPr>
          <w:rFonts w:ascii="IRNazanin" w:hAnsi="IRNazanin" w:eastAsia="IRNazanin" w:cs="IRNazanin"/>
          <w:lang w:bidi="fa-IR"/>
          <w:color w:val="111111"/>
          <w:sz w:val="28"/>
          <w:szCs w:val="28"/>
          <w:rtl/>
        </w:rPr>
        <w:t xml:space="preserve">۲۴. تهران؛ ملی؛ شماره نسخه:۱۷۱۴</w:t>
      </w:r>
    </w:p>
    <w:p>
      <w:pPr>
        <w:pStyle w:val="BookText"/>
      </w:pPr>
      <w:r>
        <w:rPr>
          <w:rFonts w:ascii="IRNazanin" w:hAnsi="IRNazanin" w:eastAsia="IRNazanin" w:cs="IRNazanin"/>
          <w:lang w:bidi="fa-IR"/>
          <w:color w:val="111111"/>
          <w:sz w:val="28"/>
          <w:szCs w:val="28"/>
          <w:rtl/>
        </w:rPr>
        <w:t xml:space="preserve">آغاز: ترجمه کتاب تاریخ ناپلئون که از فرانس با نگریزی و از انگریزی بفارسی ترجمه شده است؛ انجام: با وجود آنهمه خسارت. اهل خاندان داشته است</w:t>
      </w:r>
    </w:p>
    <w:p>
      <w:pPr>
        <w:pStyle w:val="BookText"/>
      </w:pPr>
      <w:r>
        <w:rPr>
          <w:rFonts w:ascii="IRNazanin" w:hAnsi="IRNazanin" w:eastAsia="IRNazanin" w:cs="IRNazanin"/>
          <w:lang w:bidi="fa-IR"/>
          <w:color w:val="111111"/>
          <w:sz w:val="28"/>
          <w:szCs w:val="28"/>
          <w:rtl/>
        </w:rPr>
        <w:t xml:space="preserve">خط: نستعلیق، بی کا، تا: قرن ۱۳، جان تهران؛ با سرلوح مذهب، مجدول؛ کاغذ: فرنگی، جلد: تیماج مشکی با ترنج و نیم ترنج، ۶۱۰گ، ۱۸سطر (۱۲/۵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 اندازه: ۲۱/۵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۳۶/۵سم [ف: ۴-۱۸۲]</w:t>
      </w:r>
    </w:p>
    <w:p>
      <w:pPr>
        <w:pStyle w:val="BookText"/>
      </w:pPr>
      <w:r>
        <w:rPr>
          <w:rFonts w:ascii="IRNazanin" w:hAnsi="IRNazanin" w:eastAsia="IRNazanin" w:cs="IRNazanin"/>
          <w:lang w:bidi="fa-IR"/>
          <w:color w:val="111111"/>
          <w:sz w:val="28"/>
          <w:szCs w:val="28"/>
          <w:rtl/>
        </w:rPr>
        <w:t xml:space="preserve">۲۵. مشهد؛ رضوی؛ شماره نسخه:۴۱۸۵</w:t>
      </w:r>
    </w:p>
    <w:p>
      <w:pPr>
        <w:pStyle w:val="BookText"/>
      </w:pPr>
      <w:r>
        <w:rPr>
          <w:rFonts w:ascii="IRNazanin" w:hAnsi="IRNazanin" w:eastAsia="IRNazanin" w:cs="IRNazanin"/>
          <w:lang w:bidi="fa-IR"/>
          <w:color w:val="111111"/>
          <w:sz w:val="28"/>
          <w:szCs w:val="28"/>
          <w:rtl/>
        </w:rPr>
        <w:t xml:space="preserve">آغاز: جلد اول وقایع احوال ناپلیون که فرنگستان؛ انجام: به مرور این کار را انجام داد خط: نسخ، بی کا، تا: قرن ۱۳؛ کاغذ: حنایی، جلد: پارچه ای، ۲۰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[الفبائی: ۱۰۰]</w:t>
      </w:r>
    </w:p>
    <w:p>
      <w:pPr>
        <w:pStyle w:val="BookText"/>
      </w:pPr>
      <w:r>
        <w:rPr>
          <w:rFonts w:ascii="IRNazanin" w:hAnsi="IRNazanin" w:eastAsia="IRNazanin" w:cs="IRNazanin"/>
          <w:lang w:bidi="fa-IR"/>
          <w:color w:val="111111"/>
          <w:sz w:val="28"/>
          <w:szCs w:val="28"/>
          <w:rtl/>
        </w:rPr>
        <w:t xml:space="preserve">۲۶. تهران؛ مجلس؛ شماره نسخه: ۸۵۹</w:t>
      </w:r>
    </w:p>
    <w:p>
      <w:pPr>
        <w:pStyle w:val="BookText"/>
      </w:pPr>
      <w:r>
        <w:rPr>
          <w:rFonts w:ascii="IRNazanin" w:hAnsi="IRNazanin" w:eastAsia="IRNazanin" w:cs="IRNazanin"/>
          <w:lang w:bidi="fa-IR"/>
          <w:color w:val="111111"/>
          <w:sz w:val="28"/>
          <w:szCs w:val="28"/>
          <w:rtl/>
        </w:rPr>
        <w:t xml:space="preserve">نام مؤلف به استناد فهرست دانشگاه تهران ج ۲۰ ص ۵۲۳ ذکر شد؛ خط: نستعلیق، بی کا، تا: قرن ۱۳؛ افتادگی: انجام کاغذ: سفید، جلد: تیماج تریاکی، ۳۷۹گ، ۱۸سطر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[سنا: ف: ۲-۷۸]</w:t>
      </w:r>
    </w:p>
    <w:p>
      <w:pPr>
        <w:pStyle w:val="BookText"/>
      </w:pPr>
      <w:r>
        <w:rPr>
          <w:rFonts w:ascii="IRNazanin" w:hAnsi="IRNazanin" w:eastAsia="IRNazanin" w:cs="IRNazanin"/>
          <w:lang w:bidi="fa-IR"/>
          <w:color w:val="111111"/>
          <w:sz w:val="28"/>
          <w:szCs w:val="28"/>
          <w:rtl/>
        </w:rPr>
        <w:t xml:space="preserve">۲۷. قم: مسجد اعظم؛ شماره نسخه:۳۵۶۵</w:t>
      </w:r>
    </w:p>
    <w:p>
      <w:pPr>
        <w:pStyle w:val="BookText"/>
      </w:pPr>
      <w:r>
        <w:rPr>
          <w:rFonts w:ascii="IRNazanin" w:hAnsi="IRNazanin" w:eastAsia="IRNazanin" w:cs="IRNazanin"/>
          <w:lang w:bidi="fa-IR"/>
          <w:color w:val="111111"/>
          <w:sz w:val="28"/>
          <w:szCs w:val="28"/>
          <w:rtl/>
        </w:rPr>
        <w:t xml:space="preserve">آغاز: برابر جلد اول؛ انجام: فقره سوم اولا که بدانید نقد و جنسی که مال طلق من است هیچ یک از اهل فرانس نمی توانند آن را غصب نمایند حساب آن با گنجور حساب آن با گنجور من است از وی محاسبه اموال خصوصی مرا مطالبه نمایید جلد اول تا جلد چهارم؛ خط: نستعلیق، بی کا، تا: صفر ۱۳۰۰ق (جلد دوم)؛ مجدول؛ جلد: تیماج زرشکی با ترنج، ۲۹۳گ، ۲۵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مخ: ۱-۴۳۸]</w:t>
      </w:r>
    </w:p>
    <w:p>
      <w:pPr>
        <w:pStyle w:val="BookText"/>
      </w:pPr>
      <w:r>
        <w:rPr>
          <w:rFonts w:ascii="IRNazanin" w:hAnsi="IRNazanin" w:eastAsia="IRNazanin" w:cs="IRNazanin"/>
          <w:lang w:bidi="fa-IR"/>
          <w:color w:val="111111"/>
          <w:sz w:val="28"/>
          <w:szCs w:val="28"/>
          <w:rtl/>
        </w:rPr>
        <w:t xml:space="preserve">۲۸. مشهد؛ گوهرشاد؛ شماره نسخه ۱۱۹۸۰</w:t>
      </w:r>
    </w:p>
    <w:p>
      <w:pPr>
        <w:pStyle w:val="BookText"/>
      </w:pPr>
      <w:r>
        <w:rPr>
          <w:rFonts w:ascii="IRNazanin" w:hAnsi="IRNazanin" w:eastAsia="IRNazanin" w:cs="IRNazanin"/>
          <w:lang w:bidi="fa-IR"/>
          <w:color w:val="111111"/>
          <w:sz w:val="28"/>
          <w:szCs w:val="28"/>
          <w:rtl/>
        </w:rPr>
        <w:t xml:space="preserve">آغاز: برابر جلد اول، انجام: در آن مکان محقر جسد بزرگواری که صفحه وسیع ممالک فرنگستان بر وجود وی تنگ بود جای دادند. پس از این در سه صفحه وصیت نامه امپراطور ناپلئون در پانزدهم ۱۸۳۱ میلادی).</w:t>
      </w:r>
    </w:p>
    <w:p>
      <w:pPr>
        <w:pStyle w:val="BookText"/>
      </w:pPr>
      <w:r>
        <w:rPr>
          <w:rFonts w:ascii="IRNazanin" w:hAnsi="IRNazanin" w:eastAsia="IRNazanin" w:cs="IRNazanin"/>
          <w:lang w:bidi="fa-IR"/>
          <w:color w:val="111111"/>
          <w:sz w:val="28"/>
          <w:szCs w:val="28"/>
          <w:rtl/>
        </w:rPr>
        <w:t xml:space="preserve">خط: نستعلیق زیبا، كان شاهزاده جلال الدين ابن شاهرخ ابن حسنعلی ابن فتحعلی شاه قاجار، تا: ۱۳۰۳ق؛ مجدول به نارنجی و آبی؛ کاغذ: فرنگی، جلد: تیماج سبز، ۲۳ سطر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۴/۵ )، اندازه: 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۳-۱۶۶۱]</w:t>
      </w:r>
    </w:p>
    <w:p>
      <w:pPr>
        <w:pStyle w:val="BookText"/>
      </w:pPr>
      <w:r>
        <w:rPr>
          <w:rFonts w:ascii="IRNazanin" w:hAnsi="IRNazanin" w:eastAsia="IRNazanin" w:cs="IRNazanin"/>
          <w:lang w:bidi="fa-IR"/>
          <w:color w:val="111111"/>
          <w:sz w:val="28"/>
          <w:szCs w:val="28"/>
          <w:rtl/>
        </w:rPr>
        <w:t xml:space="preserve">۲۹. تهران؛ مجلس؛ شماره نسخه:۱۱۶۵۴</w:t>
      </w:r>
    </w:p>
    <w:p>
      <w:pPr>
        <w:pStyle w:val="BookText"/>
      </w:pPr>
      <w:r>
        <w:rPr>
          <w:rFonts w:ascii="IRNazanin" w:hAnsi="IRNazanin" w:eastAsia="IRNazanin" w:cs="IRNazanin"/>
          <w:lang w:bidi="fa-IR"/>
          <w:color w:val="111111"/>
          <w:sz w:val="28"/>
          <w:szCs w:val="28"/>
          <w:rtl/>
        </w:rPr>
        <w:t xml:space="preserve">آغاز: برابر جلد اول؛ انجام: برابر جلد دوم خط: نستعلیق خوش، بی کا، تا: ۱۳۰۳ق، جا: شیراز؛ دارای یک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bookmarkStart w:id="589" w:name="pg20363_209915"/>
    <w:bookmarkEnd w:id="589"/>
    <w:p>
      <w:pPr>
        <w:pStyle w:val="BookText"/>
      </w:pPr>
      <w:r>
        <w:rPr>
          <w:rFonts w:ascii="IRNazanin" w:hAnsi="IRNazanin" w:eastAsia="IRNazanin" w:cs="IRNazanin"/>
          <w:lang w:bidi="fa-IR"/>
          <w:color w:val="111111"/>
          <w:sz w:val="28"/>
          <w:szCs w:val="28"/>
          <w:rtl/>
        </w:rPr>
        <w:t xml:space="preserve">سرلوح و برگ دوم تمام زر و لاجورد، رکابه دار؛ جلد: تیماج قرمز، ۱۲۱گ، ۲۴سطر(۲۶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۳۲/۵سم [ف: ۳۴-۳۲]</w:t>
      </w:r>
    </w:p>
    <w:p>
      <w:pPr>
        <w:pStyle w:val="BookText"/>
      </w:pPr>
      <w:r>
        <w:rPr>
          <w:rFonts w:ascii="IRNazanin" w:hAnsi="IRNazanin" w:eastAsia="IRNazanin" w:cs="IRNazanin"/>
          <w:lang w:bidi="fa-IR"/>
          <w:color w:val="111111"/>
          <w:sz w:val="28"/>
          <w:szCs w:val="28"/>
          <w:rtl/>
        </w:rPr>
        <w:t xml:space="preserve">۳۰. تهران؛ مجلس؛ شماره نسخه:۱۴۵۷۸</w:t>
      </w:r>
    </w:p>
    <w:p>
      <w:pPr>
        <w:pStyle w:val="BookText"/>
      </w:pPr>
      <w:r>
        <w:rPr>
          <w:rFonts w:ascii="IRNazanin" w:hAnsi="IRNazanin" w:eastAsia="IRNazanin" w:cs="IRNazanin"/>
          <w:lang w:bidi="fa-IR"/>
          <w:color w:val="111111"/>
          <w:sz w:val="28"/>
          <w:szCs w:val="28"/>
          <w:rtl/>
        </w:rPr>
        <w:t xml:space="preserve">خط: نستعلیق، کا: حسن بن مراد علی چهارمحالی، تا: شعبان ۱۳۱۴ق [مختصر ف: ۱۵۹]</w:t>
      </w:r>
    </w:p>
    <w:p>
      <w:pPr>
        <w:pStyle w:val="BookText"/>
      </w:pPr>
      <w:r>
        <w:rPr>
          <w:rFonts w:ascii="IRNazanin" w:hAnsi="IRNazanin" w:eastAsia="IRNazanin" w:cs="IRNazanin"/>
          <w:lang w:bidi="fa-IR"/>
          <w:color w:val="111111"/>
          <w:sz w:val="28"/>
          <w:szCs w:val="28"/>
          <w:rtl/>
        </w:rPr>
        <w:t xml:space="preserve">۳۱. تهران؛ مجلس؛ شماره نسخه:۱۵۴۷۸</w:t>
      </w:r>
    </w:p>
    <w:p>
      <w:pPr>
        <w:pStyle w:val="BookText"/>
      </w:pPr>
      <w:r>
        <w:rPr>
          <w:rFonts w:ascii="IRNazanin" w:hAnsi="IRNazanin" w:eastAsia="IRNazanin" w:cs="IRNazanin"/>
          <w:lang w:bidi="fa-IR"/>
          <w:color w:val="111111"/>
          <w:sz w:val="28"/>
          <w:szCs w:val="28"/>
          <w:rtl/>
        </w:rPr>
        <w:t xml:space="preserve">نفیس و کامل است. در چهار فصل و یک مقدمه؛ خط: نستعلیق زیبا، كان حسن بن مراد علی چالشتری چهار محالی از محال اصفهان، تا: ۱۳۱۴ق، حسب الامر آقا یوسفخان بختیاری؛ دارای سرلوح، مجدول مذهب؛ جلد: تیماج مشکی، ۳۵۳ گ، ۲۱ سطر،</w:t>
      </w:r>
    </w:p>
    <w:p>
      <w:pPr>
        <w:pStyle w:val="BookText"/>
      </w:pPr>
      <w:r>
        <w:rPr>
          <w:rFonts w:ascii="IRNazanin" w:hAnsi="IRNazanin" w:eastAsia="IRNazanin" w:cs="IRNazanin"/>
          <w:lang w:bidi="fa-IR"/>
          <w:color w:val="111111"/>
          <w:sz w:val="28"/>
          <w:szCs w:val="28"/>
          <w:rtl/>
        </w:rPr>
        <w:t xml:space="preserve">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۴۳-۱۱۶]</w:t>
      </w:r>
    </w:p>
    <w:p>
      <w:pPr>
        <w:pStyle w:val="BookText"/>
      </w:pPr>
      <w:r>
        <w:rPr>
          <w:rFonts w:ascii="IRNazanin" w:hAnsi="IRNazanin" w:eastAsia="IRNazanin" w:cs="IRNazanin"/>
          <w:lang w:bidi="fa-IR"/>
          <w:color w:val="111111"/>
          <w:sz w:val="28"/>
          <w:szCs w:val="28"/>
          <w:rtl/>
        </w:rPr>
        <w:t xml:space="preserve">۳۲. قم؛ مرعشی؛ شماره نسخه:۱۴۲۹۹</w:t>
      </w:r>
    </w:p>
    <w:p>
      <w:pPr>
        <w:pStyle w:val="BookText"/>
      </w:pPr>
      <w:r>
        <w:rPr>
          <w:rFonts w:ascii="IRNazanin" w:hAnsi="IRNazanin" w:eastAsia="IRNazanin" w:cs="IRNazanin"/>
          <w:lang w:bidi="fa-IR"/>
          <w:color w:val="111111"/>
          <w:sz w:val="28"/>
          <w:szCs w:val="28"/>
          <w:rtl/>
        </w:rPr>
        <w:t xml:space="preserve">آغاز: برابر جلد اول، انجام: در آن مکان محقر جد بزرگواری را که صفحه و سیع ممالک فرنگستان بر وجود وی تنگ بود، بخاک سپردند. تم مجلد الرابع في شهر ذي حجة الحرام سنة ۱۳۱۵</w:t>
      </w:r>
    </w:p>
    <w:p>
      <w:pPr>
        <w:pStyle w:val="BookText"/>
      </w:pPr>
      <w:r>
        <w:rPr>
          <w:rFonts w:ascii="IRNazanin" w:hAnsi="IRNazanin" w:eastAsia="IRNazanin" w:cs="IRNazanin"/>
          <w:lang w:bidi="fa-IR"/>
          <w:color w:val="111111"/>
          <w:sz w:val="28"/>
          <w:szCs w:val="28"/>
          <w:rtl/>
        </w:rPr>
        <w:t xml:space="preserve">خط: نستعلیق ممتاز، كا: حسن چالشتری چهار محالی، تا: ۱۳۱۵ق، برای غلامحسین خان شهاب السلطنه؛ ترجمه وصیت ناپلئون آمده؛ مجدول چهار خطی؛ کاغذ: فرنگی، جلد: چرم ساده لاکی، ۳۵۶گ، ۲۱ سطر ( ۲۶/۵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 اندازه: ۲۱/۵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۳۶-۱۳۲]</w:t>
      </w:r>
    </w:p>
    <w:p>
      <w:pPr>
        <w:pStyle w:val="BookText"/>
      </w:pPr>
      <w:r>
        <w:rPr>
          <w:rFonts w:ascii="IRNazanin" w:hAnsi="IRNazanin" w:eastAsia="IRNazanin" w:cs="IRNazanin"/>
          <w:lang w:bidi="fa-IR"/>
          <w:color w:val="111111"/>
          <w:sz w:val="28"/>
          <w:szCs w:val="28"/>
          <w:rtl/>
        </w:rPr>
        <w:t xml:space="preserve">۳۳. تهران؛ ملک؛ شماره نسخه:۴۳۵۰</w:t>
      </w:r>
    </w:p>
    <w:p>
      <w:pPr>
        <w:pStyle w:val="BookText"/>
      </w:pPr>
      <w:r>
        <w:rPr>
          <w:rFonts w:ascii="IRNazanin" w:hAnsi="IRNazanin" w:eastAsia="IRNazanin" w:cs="IRNazanin"/>
          <w:lang w:bidi="fa-IR"/>
          <w:color w:val="111111"/>
          <w:sz w:val="28"/>
          <w:szCs w:val="28"/>
          <w:rtl/>
        </w:rPr>
        <w:t xml:space="preserve">آغاز: برابر جلد اول؛ انجام: تزلزلی در عقیده هیچ یک از رعایا به ظهور نرسید. خط: شکسته، نستعلیق، کا: غلامرضا بن محمد حسین ادیب، تا: ۲۰ ربیع الاول ۱۳۱۶ق؛ تقدیمی محمد ناصر زعفرانلو به کتابخانه ركن الدوله فرمانروای خراسان؛ کاغذ: کاغذ فرنگی، ۴۹۲گ، ۱۷ سطر، اندازه: ۳۴/۴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۲۲/۸ سم [ف: ۲-۹۳]</w:t>
      </w:r>
    </w:p>
    <w:p>
      <w:pPr>
        <w:pStyle w:val="BookText"/>
      </w:pPr>
      <w:r>
        <w:rPr>
          <w:rFonts w:ascii="IRNazanin" w:hAnsi="IRNazanin" w:eastAsia="IRNazanin" w:cs="IRNazanin"/>
          <w:lang w:bidi="fa-IR"/>
          <w:color w:val="111111"/>
          <w:sz w:val="28"/>
          <w:szCs w:val="28"/>
          <w:rtl/>
        </w:rPr>
        <w:t xml:space="preserve">۳۴. تهران؛ دانشگاه؛ شماره نسخه:۵۱۵۷</w:t>
      </w:r>
    </w:p>
    <w:p>
      <w:pPr>
        <w:pStyle w:val="BookText"/>
      </w:pPr>
      <w:r>
        <w:rPr>
          <w:rFonts w:ascii="IRNazanin" w:hAnsi="IRNazanin" w:eastAsia="IRNazanin" w:cs="IRNazanin"/>
          <w:lang w:bidi="fa-IR"/>
          <w:color w:val="111111"/>
          <w:sz w:val="28"/>
          <w:szCs w:val="28"/>
          <w:rtl/>
        </w:rPr>
        <w:t xml:space="preserve">وصیت نامه ناپلئون مورخ ۱۵ ماه اپریل ۱۸۲۱ در جزیره سنت هلن (حلينه) در کاخ لانق ود در سه بند (نوشته ذق ۱۳۱۶ هـ ق ص ۶۹۶-۶۹۳ )؛ خط: نستعلیق، کا: حسن جاکشتری چهارمحالی، تا: ذیقعده ۱۳۱۶ق؛ مجدول، با شش سرلوح، گویا نسخه شاهانه باشد؛ کاغذ: فرنگی، جلد: تیماج سرخ، ۳۴۸گ، ۲۱ سطر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۱۵-۴۱۲۹]</w:t>
      </w:r>
    </w:p>
    <w:p>
      <w:pPr>
        <w:pStyle w:val="BookText"/>
      </w:pPr>
      <w:r>
        <w:rPr>
          <w:rFonts w:ascii="IRNazanin" w:hAnsi="IRNazanin" w:eastAsia="IRNazanin" w:cs="IRNazanin"/>
          <w:lang w:bidi="fa-IR"/>
          <w:color w:val="111111"/>
          <w:sz w:val="28"/>
          <w:szCs w:val="28"/>
          <w:rtl/>
        </w:rPr>
        <w:t xml:space="preserve">۳۵. تهران؛ ادبیات؛ شماره نسخه:۳۴۸ حکمت</w:t>
      </w:r>
    </w:p>
    <w:p>
      <w:pPr>
        <w:pStyle w:val="BookText"/>
      </w:pPr>
      <w:r>
        <w:rPr>
          <w:rFonts w:ascii="IRNazanin" w:hAnsi="IRNazanin" w:eastAsia="IRNazanin" w:cs="IRNazanin"/>
          <w:lang w:bidi="fa-IR"/>
          <w:color w:val="111111"/>
          <w:sz w:val="28"/>
          <w:szCs w:val="28"/>
          <w:rtl/>
        </w:rPr>
        <w:t xml:space="preserve">خط: نستعلیق، كان عبد العالی قاجار، تا: یک شنبه ۲۳ رجب ۱۳۲۰ق؛ جلد: تیماج مشکی مقوایی، قطع: رحلی اف: ۲-۶]</w:t>
      </w:r>
    </w:p>
    <w:p>
      <w:pPr>
        <w:pStyle w:val="BookText"/>
      </w:pPr>
      <w:r>
        <w:rPr>
          <w:rFonts w:ascii="IRNazanin" w:hAnsi="IRNazanin" w:eastAsia="IRNazanin" w:cs="IRNazanin"/>
          <w:lang w:bidi="fa-IR"/>
          <w:color w:val="111111"/>
          <w:sz w:val="28"/>
          <w:szCs w:val="28"/>
          <w:rtl/>
        </w:rPr>
        <w:t xml:space="preserve">۳۶. شیراز؛ شاهچراغ؛ شماره نسخه:۵۸۲</w:t>
      </w:r>
    </w:p>
    <w:p>
      <w:pPr>
        <w:pStyle w:val="BookText"/>
      </w:pPr>
      <w:r>
        <w:rPr>
          <w:rFonts w:ascii="IRNazanin" w:hAnsi="IRNazanin" w:eastAsia="IRNazanin" w:cs="IRNazanin"/>
          <w:lang w:bidi="fa-IR"/>
          <w:color w:val="111111"/>
          <w:sz w:val="28"/>
          <w:szCs w:val="28"/>
          <w:rtl/>
        </w:rPr>
        <w:t xml:space="preserve">آغاز: برابر جلد اول</w:t>
      </w:r>
    </w:p>
    <w:p>
      <w:pPr>
        <w:pStyle w:val="BookText"/>
      </w:pPr>
      <w:r>
        <w:rPr>
          <w:rFonts w:ascii="IRNazanin" w:hAnsi="IRNazanin" w:eastAsia="IRNazanin" w:cs="IRNazanin"/>
          <w:lang w:bidi="fa-IR"/>
          <w:color w:val="111111"/>
          <w:sz w:val="28"/>
          <w:szCs w:val="28"/>
          <w:rtl/>
        </w:rPr>
        <w:t xml:space="preserve">خط: نستعلیق شکسته، بی کا، تا: ۱۳۲۱ق؛ ۲۹۳گ،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۳-۱۹]</w:t>
      </w:r>
    </w:p>
    <w:p>
      <w:pPr>
        <w:pStyle w:val="BookText"/>
      </w:pPr>
      <w:r>
        <w:rPr>
          <w:rFonts w:ascii="IRNazanin" w:hAnsi="IRNazanin" w:eastAsia="IRNazanin" w:cs="IRNazanin"/>
          <w:lang w:bidi="fa-IR"/>
          <w:color w:val="111111"/>
          <w:sz w:val="28"/>
          <w:szCs w:val="28"/>
          <w:rtl/>
        </w:rPr>
        <w:t xml:space="preserve">۳۷. مشهد؛ رضوی؛ شماره نسخه:۳۶۲۷۳</w:t>
      </w:r>
    </w:p>
    <w:p>
      <w:pPr>
        <w:pStyle w:val="BookText"/>
      </w:pPr>
      <w:r>
        <w:rPr>
          <w:rFonts w:ascii="IRNazanin" w:hAnsi="IRNazanin" w:eastAsia="IRNazanin" w:cs="IRNazanin"/>
          <w:lang w:bidi="fa-IR"/>
          <w:color w:val="111111"/>
          <w:sz w:val="28"/>
          <w:szCs w:val="28"/>
          <w:rtl/>
        </w:rPr>
        <w:t xml:space="preserve">آغاز و انجام: برابر جلد سوم</w:t>
      </w:r>
    </w:p>
    <w:p>
      <w:pPr>
        <w:pStyle w:val="BookText"/>
      </w:pPr>
      <w:r>
        <w:rPr>
          <w:rFonts w:ascii="IRNazanin" w:hAnsi="IRNazanin" w:eastAsia="IRNazanin" w:cs="IRNazanin"/>
          <w:lang w:bidi="fa-IR"/>
          <w:color w:val="111111"/>
          <w:sz w:val="28"/>
          <w:szCs w:val="28"/>
          <w:rtl/>
        </w:rPr>
        <w:t xml:space="preserve">جلد سوم؛ خط: نسخ خوش، بی کا، تا: قرن ۱۴؛ مقابله و تصحیح شده در جمادی الاول ۱۳۰۳ق، یادداشت مطالعه در ۱۳۰۵ ق در طهران؛ اهدایی: رهبری، مهر ۱۳۸۶؛ کاغذ: فرنگی نخودی آهار مهره، جلد: تیماج زیتونی، ۲۵۰گ، ۱۷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w:t>
      </w:r>
    </w:p>
    <w:p>
      <w:pPr>
        <w:pStyle w:val="BookText"/>
      </w:pPr>
      <w:r>
        <w:rPr>
          <w:rFonts w:ascii="IRNazanin" w:hAnsi="IRNazanin" w:eastAsia="IRNazanin" w:cs="IRNazanin"/>
          <w:lang w:bidi="fa-IR"/>
          <w:color w:val="111111"/>
          <w:sz w:val="28"/>
          <w:szCs w:val="28"/>
          <w:rtl/>
        </w:rPr>
        <w:t xml:space="preserve">[ اهدائی رهبر: ۸-۳۷۹]</w:t>
      </w:r>
    </w:p>
    <w:p>
      <w:pPr>
        <w:pStyle w:val="BookText"/>
      </w:pPr>
      <w:r>
        <w:rPr>
          <w:rFonts w:ascii="IRNazanin" w:hAnsi="IRNazanin" w:eastAsia="IRNazanin" w:cs="IRNazanin"/>
          <w:lang w:bidi="fa-IR"/>
          <w:color w:val="111111"/>
          <w:sz w:val="28"/>
          <w:szCs w:val="28"/>
          <w:rtl/>
        </w:rPr>
        <w:t xml:space="preserve">۳۸. تهران؛ مجلس؛ شماره نسخه: ۳۵۶۲/۱</w:t>
      </w:r>
    </w:p>
    <w:p>
      <w:pPr>
        <w:pStyle w:val="BookText"/>
      </w:pPr>
      <w:r>
        <w:rPr>
          <w:rFonts w:ascii="IRNazanin" w:hAnsi="IRNazanin" w:eastAsia="IRNazanin" w:cs="IRNazanin"/>
          <w:lang w:bidi="fa-IR"/>
          <w:color w:val="111111"/>
          <w:sz w:val="28"/>
          <w:szCs w:val="28"/>
          <w:rtl/>
        </w:rPr>
        <w:t xml:space="preserve">آغاز: بسمله، بعد از جنگ آسطر ليتند که تفصیل آن در اواخر جلد دویم گذشت؛ انجام: ناپلئون میشود و احکام باحضار جنود باطراف روان ساخت.</w:t>
      </w:r>
    </w:p>
    <w:p>
      <w:pPr>
        <w:pStyle w:val="BookText"/>
      </w:pPr>
      <w:r>
        <w:rPr>
          <w:rFonts w:ascii="IRNazanin" w:hAnsi="IRNazanin" w:eastAsia="IRNazanin" w:cs="IRNazanin"/>
          <w:lang w:bidi="fa-IR"/>
          <w:color w:val="111111"/>
          <w:sz w:val="28"/>
          <w:szCs w:val="28"/>
          <w:rtl/>
        </w:rPr>
        <w:t xml:space="preserve">شامل بیست و هفت فصل است و بیشتر در ذکر وقایع جنگ و لشکر کشی های ناپلئون است. شامل جلد چهارم و سوم و ترجمه متن وصیت نامه ناپلئون؛ خط: نستعلیق، بی کا، تا: قرن ۱۴، کاغذ: فرنگی و ضخیم، جلد: تیماج سرخ، ۳۹۱ص (۲-۳۹۲)، ۱۸ سطر،</w:t>
      </w:r>
    </w:p>
    <w:p>
      <w:pPr>
        <w:pStyle w:val="BookText"/>
      </w:pPr>
      <w:r>
        <w:rPr>
          <w:rFonts w:ascii="IRNazanin" w:hAnsi="IRNazanin" w:eastAsia="IRNazanin" w:cs="IRNazanin"/>
          <w:lang w:bidi="fa-IR"/>
          <w:color w:val="111111"/>
          <w:sz w:val="28"/>
          <w:szCs w:val="28"/>
          <w:rtl/>
        </w:rPr>
        <w:t xml:space="preserve">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۱۰-۱۵۲۴]</w:t>
      </w:r>
    </w:p>
    <w:p>
      <w:pPr>
        <w:pStyle w:val="BookText"/>
      </w:pPr>
      <w:r>
        <w:rPr>
          <w:rFonts w:ascii="IRNazanin" w:hAnsi="IRNazanin" w:eastAsia="IRNazanin" w:cs="IRNazanin"/>
          <w:lang w:bidi="fa-IR"/>
          <w:color w:val="111111"/>
          <w:sz w:val="28"/>
          <w:szCs w:val="28"/>
          <w:rtl/>
        </w:rPr>
        <w:t xml:space="preserve">۳۹. تهران؛ مجلس؛ شماره نسخه: ۳۵۶۲/۲</w:t>
      </w:r>
    </w:p>
    <w:p>
      <w:pPr>
        <w:pStyle w:val="BookText"/>
      </w:pPr>
      <w:r>
        <w:rPr>
          <w:rFonts w:ascii="IRNazanin" w:hAnsi="IRNazanin" w:eastAsia="IRNazanin" w:cs="IRNazanin"/>
          <w:lang w:bidi="fa-IR"/>
          <w:color w:val="111111"/>
          <w:sz w:val="28"/>
          <w:szCs w:val="28"/>
          <w:rtl/>
        </w:rPr>
        <w:t xml:space="preserve">آغاز: در بیان تهیه و تدارک امپراطور ناپلئون جهت منع هجوم خصم؛ انجام: ممالک فرنگستان بر وجود وی ننگ بود جای دادند تمت الكتاب بعون الله.</w:t>
      </w:r>
    </w:p>
    <w:p>
      <w:pPr>
        <w:pStyle w:val="BookText"/>
      </w:pPr>
      <w:r>
        <w:rPr>
          <w:rFonts w:ascii="IRNazanin" w:hAnsi="IRNazanin" w:eastAsia="IRNazanin" w:cs="IRNazanin"/>
          <w:lang w:bidi="fa-IR"/>
          <w:color w:val="111111"/>
          <w:sz w:val="28"/>
          <w:szCs w:val="28"/>
          <w:rtl/>
        </w:rPr>
        <w:t xml:space="preserve">مشتمل بر ۱۶ فصل است شامل تاریخ زمان جنگ و مصالحه متفقین است تا پایان دوران زندگی و مرگ ناپلئون. جلد ۴؛ خط: نستعلیق، بی کا، تا: قرن ۱۴؛ کاغذ: فرنگی سفید و ضخیم، جلد: تیماج سرخ، ۲۰۲ص (۳۹۳-۵۹۴)، ۱۸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۱۰-۱۵۲۵]</w:t>
      </w:r>
    </w:p>
    <w:p>
      <w:pPr>
        <w:pStyle w:val="BookText"/>
      </w:pPr>
      <w:r>
        <w:rPr>
          <w:rFonts w:ascii="IRNazanin" w:hAnsi="IRNazanin" w:eastAsia="IRNazanin" w:cs="IRNazanin"/>
          <w:lang w:bidi="fa-IR"/>
          <w:color w:val="111111"/>
          <w:sz w:val="28"/>
          <w:szCs w:val="28"/>
          <w:rtl/>
        </w:rPr>
        <w:t xml:space="preserve">۴۰. تهران؛ ملی؛ شماره نسخه: ۱۶۸۰/۲</w:t>
      </w:r>
    </w:p>
    <w:p>
      <w:pPr>
        <w:pStyle w:val="BookText"/>
      </w:pPr>
      <w:r>
        <w:rPr>
          <w:rFonts w:ascii="IRNazanin" w:hAnsi="IRNazanin" w:eastAsia="IRNazanin" w:cs="IRNazanin"/>
          <w:lang w:bidi="fa-IR"/>
          <w:color w:val="111111"/>
          <w:sz w:val="28"/>
          <w:szCs w:val="28"/>
          <w:rtl/>
        </w:rPr>
        <w:t xml:space="preserve">انجام: بدستهای خود در حال شعور و اختیار دستخط گذارده و مهر کرده ام معمول دارند خط: نستعلیق، کا: خلیل الله قرگوزلو، بی تا؛ مجدول، با سرلوح مذهب؛ کاغذ: فرنگی فلفل نمکی، جلد: تیماج مشکی با گل و بوته، ۳۹۹ص (۳۶-۴۳۴)، ۲۵ سطر ( ۲۴/۵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سم [ف: ۴-۱۵۵]</w:t>
      </w:r>
    </w:p>
    <w:p>
      <w:pPr>
        <w:pStyle w:val="BookText"/>
      </w:pPr>
      <w:r>
        <w:rPr>
          <w:rFonts w:ascii="IRNazanin" w:hAnsi="IRNazanin" w:eastAsia="IRNazanin" w:cs="IRNazanin"/>
          <w:lang w:bidi="fa-IR"/>
          <w:color w:val="111111"/>
          <w:sz w:val="28"/>
          <w:szCs w:val="28"/>
          <w:rtl/>
        </w:rPr>
        <w:t xml:space="preserve">۴۱. تهران، دانشگاه؛ شماره نسخه:۱۹۵۴ف</w:t>
      </w:r>
    </w:p>
    <w:p>
      <w:pPr>
        <w:pStyle w:val="BookText"/>
      </w:pPr>
      <w:r>
        <w:rPr>
          <w:rFonts w:ascii="IRNazanin" w:hAnsi="IRNazanin" w:eastAsia="IRNazanin" w:cs="IRNazanin"/>
          <w:lang w:bidi="fa-IR"/>
          <w:color w:val="111111"/>
          <w:sz w:val="28"/>
          <w:szCs w:val="28"/>
          <w:rtl/>
        </w:rPr>
        <w:t xml:space="preserve">نسخه اصل: کتابخانه ملی ۱۱۲۱-۶۱۹. جلد 1، بی کا، بی تا؛ ۱۴۰گ [فيلمها ف: ۱-۳۷]</w:t>
      </w:r>
    </w:p>
    <w:p>
      <w:pPr>
        <w:pStyle w:val="BookText"/>
      </w:pPr>
      <w:r>
        <w:rPr>
          <w:rFonts w:ascii="IRNazanin" w:hAnsi="IRNazanin" w:eastAsia="IRNazanin" w:cs="IRNazanin"/>
          <w:lang w:bidi="fa-IR"/>
          <w:color w:val="111111"/>
          <w:sz w:val="28"/>
          <w:szCs w:val="28"/>
          <w:rtl/>
        </w:rPr>
        <w:t xml:space="preserve">۴۲. شیراز؛ بغایری، عبدالرزاق؛ شماره نسخه:بدون شماره</w:t>
      </w:r>
    </w:p>
    <w:p>
      <w:pPr>
        <w:pStyle w:val="BookText"/>
      </w:pPr>
      <w:r>
        <w:rPr>
          <w:rFonts w:ascii="IRNazanin" w:hAnsi="IRNazanin" w:eastAsia="IRNazanin" w:cs="IRNazanin"/>
          <w:lang w:bidi="fa-IR"/>
          <w:color w:val="111111"/>
          <w:sz w:val="28"/>
          <w:szCs w:val="28"/>
          <w:rtl/>
        </w:rPr>
        <w:t xml:space="preserve">بی کا، بی تا [میراث اسلامی: ۵-۵۶۷]</w:t>
      </w:r>
    </w:p>
    <w:p>
      <w:pPr>
        <w:pStyle w:val="BookText"/>
      </w:pPr>
      <w:r>
        <w:rPr>
          <w:rFonts w:ascii="IRNazanin" w:hAnsi="IRNazanin" w:eastAsia="IRNazanin" w:cs="IRNazanin"/>
          <w:lang w:bidi="fa-IR"/>
          <w:color w:val="111111"/>
          <w:sz w:val="28"/>
          <w:szCs w:val="28"/>
          <w:rtl/>
        </w:rPr>
        <w:t xml:space="preserve">۴۳. تهران: ملی؛ شماره نسخه:۲۵۴۵۶</w:t>
      </w:r>
    </w:p>
    <w:p>
      <w:pPr>
        <w:pStyle w:val="BookText"/>
      </w:pPr>
      <w:r>
        <w:rPr>
          <w:rFonts w:ascii="IRNazanin" w:hAnsi="IRNazanin" w:eastAsia="IRNazanin" w:cs="IRNazanin"/>
          <w:lang w:bidi="fa-IR"/>
          <w:color w:val="111111"/>
          <w:sz w:val="28"/>
          <w:szCs w:val="28"/>
          <w:rtl/>
        </w:rPr>
        <w:t xml:space="preserve">بی کا، بی تا، خریداری از سهیلا چاره دار [رایانه ]</w:t>
      </w:r>
    </w:p>
    <w:p>
      <w:pPr>
        <w:pStyle w:val="Heading3"/>
      </w:pPr>
      <w:bookmarkStart w:id="2685" w:name="_Toc1945"/>
      <w:r>
        <w:t>• تاریخ ناپلئون بناپارت / تاریخ پادشاهان / فارسی</w:t>
      </w:r>
      <w:bookmarkEnd w:id="2685"/>
    </w:p>
    <w:p>
      <w:pPr>
        <w:pStyle w:val="BookText"/>
      </w:pPr>
      <w:r>
        <w:rPr>
          <w:rFonts w:ascii="Times New Roman" w:hAnsi="Times New Roman" w:eastAsia="Times New Roman" w:cs="Times New Roman"/>
          <w:lang w:val="en-US" w:bidi="en-US"/>
          <w:color w:val="111111"/>
          <w:sz w:val="28"/>
          <w:szCs w:val="28"/>
          <w:rtl/>
        </w:rPr>
        <w:t xml:space="preserve">tārīx-e nāpel'on bonāpārt</w:t>
      </w:r>
    </w:p>
    <w:p>
      <w:pPr>
        <w:pStyle w:val="BookText"/>
      </w:pPr>
      <w:r>
        <w:rPr>
          <w:rFonts w:ascii="IRNazanin" w:hAnsi="IRNazanin" w:eastAsia="IRNazanin" w:cs="IRNazanin"/>
          <w:lang w:bidi="fa-IR"/>
          <w:color w:val="111111"/>
          <w:sz w:val="28"/>
          <w:szCs w:val="28"/>
          <w:rtl/>
        </w:rPr>
        <w:t xml:space="preserve">مترجم: آنتوان ق۱۹ میلادی</w:t>
      </w:r>
    </w:p>
    <w:p>
      <w:pPr>
        <w:pStyle w:val="BookText"/>
      </w:pPr>
      <w:r>
        <w:rPr>
          <w:rFonts w:ascii="Times New Roman" w:hAnsi="Times New Roman" w:eastAsia="Times New Roman" w:cs="Times New Roman"/>
          <w:lang w:val="en-US" w:bidi="en-US"/>
          <w:color w:val="111111"/>
          <w:sz w:val="28"/>
          <w:szCs w:val="28"/>
          <w:rtl/>
        </w:rPr>
        <w:t xml:space="preserve">antuwan (19c)</w:t>
      </w:r>
    </w:p>
    <w:p>
      <w:pPr>
        <w:pStyle w:val="BookText"/>
      </w:pPr>
      <w:r>
        <w:rPr>
          <w:rFonts w:ascii="IRNazanin" w:hAnsi="IRNazanin" w:eastAsia="IRNazanin" w:cs="IRNazanin"/>
          <w:lang w:bidi="fa-IR"/>
          <w:color w:val="111111"/>
          <w:sz w:val="28"/>
          <w:szCs w:val="28"/>
          <w:rtl/>
        </w:rPr>
        <w:t xml:space="preserve">متن از : روژر پیر ؛ مترجم: میرزا آنتوان خان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bookmarkStart w:id="590" w:name="pg20363_209916"/>
    <w:bookmarkEnd w:id="590"/>
    <w:p>
      <w:pPr>
        <w:pStyle w:val="BookText"/>
      </w:pPr>
      <w:r>
        <w:rPr>
          <w:rFonts w:ascii="IRNazanin" w:hAnsi="IRNazanin" w:eastAsia="IRNazanin" w:cs="IRNazanin"/>
          <w:lang w:bidi="fa-IR"/>
          <w:color w:val="111111"/>
          <w:sz w:val="28"/>
          <w:szCs w:val="28"/>
          <w:rtl/>
        </w:rPr>
        <w:t xml:space="preserve">اهداء به: محمد علی شاه قاجار تاریخ تأليف: ۱۳۲۲ق؛ محل تالیف: تبریز این نسخه جلد اول تاريخ ناپلئون بناپارت امپراطور معروف فرانسه است و در آن زندگی ناپلئون از زمان خردسالی تا ایام بزرگی شرح داده شده و از فتوحات او و جنگ های معروفش آنچه می بایست نویسنده در این نسخه آورد، آورده شده است. در ابتدای این جلد دودمان ناپلئون شرح داده می شود و نیز ورود او به مصر و فرود آمدن او در اسکندریه از مطالب دیگر این نسخه می باشد.</w:t>
      </w:r>
    </w:p>
    <w:p>
      <w:pPr>
        <w:pStyle w:val="BookText"/>
      </w:pPr>
      <w:r>
        <w:rPr>
          <w:rFonts w:ascii="IRNazanin" w:hAnsi="IRNazanin" w:eastAsia="IRNazanin" w:cs="IRNazanin"/>
          <w:lang w:bidi="fa-IR"/>
          <w:color w:val="111111"/>
          <w:sz w:val="28"/>
          <w:szCs w:val="28"/>
          <w:rtl/>
        </w:rPr>
        <w:t xml:space="preserve">تهران؛ ملی؛ شماره نسخه: ۱۷۸۴</w:t>
      </w:r>
    </w:p>
    <w:p>
      <w:pPr>
        <w:pStyle w:val="BookText"/>
      </w:pPr>
      <w:r>
        <w:rPr>
          <w:rFonts w:ascii="IRNazanin" w:hAnsi="IRNazanin" w:eastAsia="IRNazanin" w:cs="IRNazanin"/>
          <w:lang w:bidi="fa-IR"/>
          <w:color w:val="111111"/>
          <w:sz w:val="28"/>
          <w:szCs w:val="28"/>
          <w:rtl/>
        </w:rPr>
        <w:t xml:space="preserve">آغاز: بسمله، فصل اول: سالهای اول ناپوليون، دودمان بو ناپارت بچه کورس؛ انجام: که شمس و قمر در آسمان درخشان می باشند و این ...</w:t>
      </w:r>
    </w:p>
    <w:p>
      <w:pPr>
        <w:pStyle w:val="BookText"/>
      </w:pPr>
      <w:r>
        <w:rPr>
          <w:rFonts w:ascii="IRNazanin" w:hAnsi="IRNazanin" w:eastAsia="IRNazanin" w:cs="IRNazanin"/>
          <w:lang w:bidi="fa-IR"/>
          <w:color w:val="111111"/>
          <w:sz w:val="28"/>
          <w:szCs w:val="28"/>
          <w:rtl/>
        </w:rPr>
        <w:t xml:space="preserve">جلد اول؛ خط: نستعلیق، کاتب = مؤلف، تا: ۱۳۲۲ق، جا: تبریز؛ کاغذ: فرنگی، جلد: کاغذی، عطف تیماج قهوه ای، ۱۶۰گ، ۱۵ سطر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۳۵/۵سم [ف: ۴-۲۴۱]</w:t>
      </w:r>
    </w:p>
    <w:p>
      <w:pPr>
        <w:pStyle w:val="Heading3"/>
      </w:pPr>
      <w:bookmarkStart w:id="2686" w:name="_Toc1946"/>
      <w:r>
        <w:t>•تاریخ ناپلئون بناپارت / تاریخ پادشاهان / فارسی</w:t>
      </w:r>
      <w:bookmarkEnd w:id="2686"/>
    </w:p>
    <w:p>
      <w:pPr>
        <w:pStyle w:val="BookText"/>
      </w:pPr>
      <w:r>
        <w:rPr>
          <w:rFonts w:ascii="Times New Roman" w:hAnsi="Times New Roman" w:eastAsia="Times New Roman" w:cs="Times New Roman"/>
          <w:lang w:val="en-US" w:bidi="en-US"/>
          <w:color w:val="111111"/>
          <w:sz w:val="28"/>
          <w:szCs w:val="28"/>
          <w:rtl/>
        </w:rPr>
        <w:t xml:space="preserve">tārīx-e nāpel'on bonāpārt</w:t>
      </w:r>
    </w:p>
    <w:p>
      <w:pPr>
        <w:pStyle w:val="BookText"/>
      </w:pPr>
      <w:r>
        <w:rPr>
          <w:rFonts w:ascii="IRNazanin" w:hAnsi="IRNazanin" w:eastAsia="IRNazanin" w:cs="IRNazanin"/>
          <w:lang w:bidi="fa-IR"/>
          <w:color w:val="111111"/>
          <w:sz w:val="28"/>
          <w:szCs w:val="28"/>
          <w:rtl/>
        </w:rPr>
        <w:t xml:space="preserve">تهران؛ مهدوی؛ شماره نسخه: ۱۷۱</w:t>
      </w:r>
    </w:p>
    <w:p>
      <w:pPr>
        <w:pStyle w:val="BookText"/>
      </w:pPr>
      <w:r>
        <w:rPr>
          <w:rFonts w:ascii="IRNazanin" w:hAnsi="IRNazanin" w:eastAsia="IRNazanin" w:cs="IRNazanin"/>
          <w:lang w:bidi="fa-IR"/>
          <w:color w:val="111111"/>
          <w:sz w:val="28"/>
          <w:szCs w:val="28"/>
          <w:rtl/>
        </w:rPr>
        <w:t xml:space="preserve">خط: نستعلیق، بی کا، تا: قرن ۱۳ نشریه: ۲-۶۶]</w:t>
      </w:r>
    </w:p>
    <w:p>
      <w:pPr>
        <w:pStyle w:val="Heading3"/>
      </w:pPr>
      <w:bookmarkStart w:id="2687" w:name="_Toc1947"/>
      <w:r>
        <w:t>•تاریخ ناپلئون بناپارت / تاریخ پادشاهان / فارسی</w:t>
      </w:r>
      <w:bookmarkEnd w:id="2687"/>
    </w:p>
    <w:p>
      <w:pPr>
        <w:pStyle w:val="BookText"/>
      </w:pPr>
      <w:r>
        <w:rPr>
          <w:rFonts w:ascii="Times New Roman" w:hAnsi="Times New Roman" w:eastAsia="Times New Roman" w:cs="Times New Roman"/>
          <w:lang w:val="en-US" w:bidi="en-US"/>
          <w:color w:val="111111"/>
          <w:sz w:val="28"/>
          <w:szCs w:val="28"/>
          <w:rtl/>
        </w:rPr>
        <w:t xml:space="preserve">tārīx-e nāpel'on bonāpārt</w:t>
      </w:r>
    </w:p>
    <w:p>
      <w:pPr>
        <w:pStyle w:val="BookText"/>
      </w:pPr>
      <w:r>
        <w:rPr>
          <w:rFonts w:ascii="IRNazanin" w:hAnsi="IRNazanin" w:eastAsia="IRNazanin" w:cs="IRNazanin"/>
          <w:lang w:bidi="fa-IR"/>
          <w:color w:val="111111"/>
          <w:sz w:val="28"/>
          <w:szCs w:val="28"/>
          <w:rtl/>
        </w:rPr>
        <w:t xml:space="preserve">از ناشناس، بایستی از ترجمه های روزگار ناصری (۱۲۶۴ ۱۳۱۳ ق /۱۸۴۹-۱۸۹۵) باشد. در چند قسمت. یکم در ۲ «فصل»: فصل اول سال های اول ناپلئون، فصل دوم مقدمات تاریخی قسمت دوم بونا پارت جنرال آن شیف، چند «فصل»: فصل اول جنگ ایتالیا، فصل دوم قسمت دوم جنگ ایتالیا۔ مشترک پاکستان</w:t>
      </w:r>
    </w:p>
    <w:p>
      <w:pPr>
        <w:pStyle w:val="BookText"/>
      </w:pPr>
      <w:r>
        <w:rPr>
          <w:rFonts w:ascii="IRNazanin" w:hAnsi="IRNazanin" w:eastAsia="IRNazanin" w:cs="IRNazanin"/>
          <w:lang w:bidi="fa-IR"/>
          <w:color w:val="111111"/>
          <w:sz w:val="28"/>
          <w:szCs w:val="28"/>
          <w:rtl/>
        </w:rPr>
        <w:t xml:space="preserve">۲۰۳۱/۱۲ چند «تاریخ ناپلئون» ]</w:t>
      </w:r>
    </w:p>
    <w:p>
      <w:pPr>
        <w:pStyle w:val="BookText"/>
      </w:pPr>
      <w:r>
        <w:rPr>
          <w:rFonts w:ascii="Amiri" w:hAnsi="Amiri" w:eastAsia="Amiri" w:cs="Amiri"/>
          <w:lang w:bidi="ar-SA"/>
          <w:color w:val="111111"/>
          <w:sz w:val="28"/>
          <w:szCs w:val="28"/>
          <w:rtl/>
        </w:rPr>
        <w:t xml:space="preserve">تهران؛ دائرة المعارف، شماره نسخه: ۷۳۲</w:t>
      </w:r>
    </w:p>
    <w:p>
      <w:pPr>
        <w:pStyle w:val="BookText"/>
      </w:pPr>
      <w:r>
        <w:rPr>
          <w:rFonts w:ascii="IRNazanin" w:hAnsi="IRNazanin" w:eastAsia="IRNazanin" w:cs="IRNazanin"/>
          <w:lang w:bidi="fa-IR"/>
          <w:color w:val="111111"/>
          <w:sz w:val="28"/>
          <w:szCs w:val="28"/>
          <w:rtl/>
        </w:rPr>
        <w:t xml:space="preserve">آغاز: فصل اول، سالهای اول ناپليون، دودمان بونا پارت، بچه کورس، شاگرد مدرسه برین، صاحب منصب توپخانه، ایامی که ناپلئون در شهر اراکسیو در تاریخ پانزده ماه اوت ۱۷۶۹م ولادت یافت؛ انجام: و هم فریمر سال ششم ۳۰ ماه نوامبر سنه ۱۷۹۷م</w:t>
      </w:r>
    </w:p>
    <w:p>
      <w:pPr>
        <w:pStyle w:val="BookText"/>
      </w:pPr>
      <w:r>
        <w:rPr>
          <w:rFonts w:ascii="IRNazanin" w:hAnsi="IRNazanin" w:eastAsia="IRNazanin" w:cs="IRNazanin"/>
          <w:lang w:bidi="fa-IR"/>
          <w:color w:val="111111"/>
          <w:sz w:val="28"/>
          <w:szCs w:val="28"/>
          <w:rtl/>
        </w:rPr>
        <w:t xml:space="preserve">خط: نستعلیق تحریری خوش، بی کا، تا: قرن ۱۳؛ کاغذ: فرنگی، جلد: مقوا تیماج زرد تند پوشانده، ۷۶گ، ۱۵سطر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۱۲/۵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سم [ف: ۳۶-۲]</w:t>
      </w:r>
    </w:p>
    <w:p>
      <w:pPr>
        <w:pStyle w:val="Heading3"/>
      </w:pPr>
      <w:bookmarkStart w:id="2688" w:name="_Toc1948"/>
      <w:r>
        <w:t>• تاریخ ناپلئون بناپارت / تاریخ پاداشاهان / فارسی</w:t>
      </w:r>
      <w:bookmarkEnd w:id="2688"/>
    </w:p>
    <w:p>
      <w:pPr>
        <w:pStyle w:val="BookText"/>
      </w:pPr>
      <w:r>
        <w:rPr>
          <w:rFonts w:ascii="Times New Roman" w:hAnsi="Times New Roman" w:eastAsia="Times New Roman" w:cs="Times New Roman"/>
          <w:lang w:val="en-US" w:bidi="en-US"/>
          <w:color w:val="111111"/>
          <w:sz w:val="28"/>
          <w:szCs w:val="28"/>
          <w:rtl/>
        </w:rPr>
        <w:t xml:space="preserve">tārīx-e nāpel'on bonāpārt</w:t>
      </w:r>
    </w:p>
    <w:p>
      <w:pPr>
        <w:pStyle w:val="BookText"/>
      </w:pPr>
      <w:r>
        <w:rPr>
          <w:rFonts w:ascii="IRNazanin" w:hAnsi="IRNazanin" w:eastAsia="IRNazanin" w:cs="IRNazanin"/>
          <w:lang w:bidi="fa-IR"/>
          <w:color w:val="111111"/>
          <w:sz w:val="28"/>
          <w:szCs w:val="28"/>
          <w:rtl/>
        </w:rPr>
        <w:t xml:space="preserve">تاریخ تأليف: ۲۵ ربیع الثانی ۱۲۵۷ ق این کتاب از «گذشتن بو نپارت یعنی ناپلئون از کوه سنبر نار» تا آخرین روزهای او و شرح حال بعضی از سرداران او گفتگو می کند. در این کتاب جنگ معروف واتر لوو شکست ناپلئون و نیز حوادث بعد از او بویژه کنفرانسهای صلح اروپا و زحمات تالیران مفصل آمده است.</w:t>
      </w:r>
    </w:p>
    <w:p>
      <w:pPr>
        <w:pStyle w:val="BookText"/>
      </w:pPr>
      <w:r>
        <w:rPr>
          <w:rFonts w:ascii="IRNazanin" w:hAnsi="IRNazanin" w:eastAsia="IRNazanin" w:cs="IRNazanin"/>
          <w:lang w:bidi="fa-IR"/>
          <w:color w:val="111111"/>
          <w:sz w:val="28"/>
          <w:szCs w:val="28"/>
          <w:rtl/>
        </w:rPr>
        <w:t xml:space="preserve">تهران؛ ملی؛ شماره نسخه:۴۶</w:t>
      </w:r>
    </w:p>
    <w:p>
      <w:pPr>
        <w:pStyle w:val="BookText"/>
      </w:pPr>
      <w:r>
        <w:rPr>
          <w:rFonts w:ascii="IRNazanin" w:hAnsi="IRNazanin" w:eastAsia="IRNazanin" w:cs="IRNazanin"/>
          <w:lang w:bidi="fa-IR"/>
          <w:color w:val="111111"/>
          <w:sz w:val="28"/>
          <w:szCs w:val="28"/>
          <w:rtl/>
        </w:rPr>
        <w:t xml:space="preserve">آغاز: گذشتن بو نپارت یعنی ناپلئون از کوه سنبر نار اروپا خیال می کردند که قونسول اول یعنی ناپلئون مشغول اتمام امر دولت است؛ انجام: در محاصره شهر کلراک و شهر منتوبان و سین تان تونین و مانت پلیسه سردار لشکر پادشاه بود در سال هزار و ششصد و سی و دو بسن شصت و سه سالگی فوت شد. آخر نسخه: تمة [كذا الكتاب بعون الملک الوهاب بتاریخ بیست و پنجم شهر ربيع الثانی سال هزار و دویست و پنجاه و هفت هجرت جناب مصطفویه صلى الله عليه و آله و سلم مطابق او دئیل خط: نستعلیق خوش، بی کا، تا: ۲۵ ربيع الثانی ۱۲۵۷ق، جا: تهران؛ کاغذ: ترمه، جلد: تیماج قرمز، غیر مقوایی، ۵۳گ، ۱۶ سطر</w:t>
      </w:r>
    </w:p>
    <w:p>
      <w:pPr>
        <w:pStyle w:val="BookText"/>
      </w:pPr>
      <w:r>
        <w:rPr>
          <w:rFonts w:ascii="IRNazanin" w:hAnsi="IRNazanin" w:eastAsia="IRNazanin" w:cs="IRNazanin"/>
          <w:lang w:bidi="fa-IR"/>
          <w:color w:val="111111"/>
          <w:sz w:val="28"/>
          <w:szCs w:val="28"/>
          <w:rtl/>
        </w:rPr>
        <w:t xml:space="preserve">(۱۰/۵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۲۷/۵سم [ف: ۱-۳۴]</w:t>
      </w:r>
    </w:p>
    <w:p>
      <w:pPr>
        <w:pStyle w:val="Heading3"/>
      </w:pPr>
      <w:bookmarkStart w:id="2689" w:name="_Toc1949"/>
      <w:r>
        <w:t>•تاریخ ناپلئون بناپارت = تاریخ ناپلئون (ترجمه) / تاریخ پادشاهان / فارسی</w:t>
      </w:r>
      <w:bookmarkEnd w:id="2689"/>
    </w:p>
    <w:p>
      <w:pPr>
        <w:pStyle w:val="BookText"/>
      </w:pPr>
      <w:r>
        <w:rPr>
          <w:rFonts w:ascii="Times New Roman" w:hAnsi="Times New Roman" w:eastAsia="Times New Roman" w:cs="Times New Roman"/>
          <w:lang w:val="en-US" w:bidi="en-US"/>
          <w:color w:val="111111"/>
          <w:sz w:val="28"/>
          <w:szCs w:val="28"/>
          <w:rtl/>
        </w:rPr>
        <w:t xml:space="preserve">tārīx-e nāpel’on bonāpārt = tārīx-e nāpel'on (t.)</w:t>
      </w:r>
    </w:p>
    <w:p>
      <w:pPr>
        <w:pStyle w:val="BookText"/>
      </w:pPr>
      <w:r>
        <w:rPr>
          <w:rFonts w:ascii="IRNazanin" w:hAnsi="IRNazanin" w:eastAsia="IRNazanin" w:cs="IRNazanin"/>
          <w:lang w:bidi="fa-IR"/>
          <w:color w:val="111111"/>
          <w:sz w:val="28"/>
          <w:szCs w:val="28"/>
          <w:rtl/>
        </w:rPr>
        <w:t xml:space="preserve">ترجمه تاریخ زندگی و لشکر کشی و جهانگشایی ناپلئون امپراطور فرانسه است در نود صورت (فصل) و دارای نود قطعه عکس چاپی سیاه و سفید با زیرنویس فرانسه است که مربوط به حوادث و وقایع آن دوران است. نام مترجم در این نسخه نیامده است.</w:t>
      </w:r>
    </w:p>
    <w:p>
      <w:pPr>
        <w:pStyle w:val="BookText"/>
      </w:pPr>
      <w:r>
        <w:rPr>
          <w:rFonts w:ascii="IRNazanin" w:hAnsi="IRNazanin" w:eastAsia="IRNazanin" w:cs="IRNazanin"/>
          <w:lang w:bidi="fa-IR"/>
          <w:color w:val="111111"/>
          <w:sz w:val="28"/>
          <w:szCs w:val="28"/>
          <w:rtl/>
        </w:rPr>
        <w:t xml:space="preserve">تهران؛ سلطنتی؛ شماره نسخه:۱۹۷۶</w:t>
      </w:r>
    </w:p>
    <w:p>
      <w:pPr>
        <w:pStyle w:val="BookText"/>
      </w:pPr>
      <w:r>
        <w:rPr>
          <w:rFonts w:ascii="IRNazanin" w:hAnsi="IRNazanin" w:eastAsia="IRNazanin" w:cs="IRNazanin"/>
          <w:lang w:bidi="fa-IR"/>
          <w:color w:val="111111"/>
          <w:sz w:val="28"/>
          <w:szCs w:val="28"/>
          <w:rtl/>
        </w:rPr>
        <w:t xml:space="preserve">آغاز: بسمله. مورخین نوشته اند که ناپلئون از بدو تمیز و رشد در فهم علوم و درک رسوم مصر و مبرم بود في الحقيقه برای انسان بالاتر ازین صنعتی و مکنتی نخواهد بود که در دانستن مطلبی و فهمیدن مسئله جاهد و ساعی باشد تا همچو ناپلئون ممتاز گردد ... صورت اول جنگ پاریس است؛ انجام: صورت نودم نشانکاه دیگر است که در میان مقبره ناپلئون ساخته اند و اسم جنگهای معتبر ناپلئون را در روی آن نوشته اند. حسب الحكم همایون اعليحضرت شهریاری روحی و روح العالمين فداه در دست کمترین بنده درگاه عالمیان پناه رضاقلی کاتب شهریاری با تمام رسید تمام آنکه شود که در نظر همایون پسند افتد در نوزدهم شهر شوال ۱۲۶۰. خط: نیم شکسته هندی، کا: رضا قلی کاتب شهریاری، تا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bookmarkStart w:id="591" w:name="pg20363_209917"/>
    <w:bookmarkEnd w:id="591"/>
    <w:p>
      <w:pPr>
        <w:pStyle w:val="BookText"/>
      </w:pPr>
      <w:r>
        <w:rPr>
          <w:rFonts w:ascii="IRNazanin" w:hAnsi="IRNazanin" w:eastAsia="IRNazanin" w:cs="IRNazanin"/>
          <w:lang w:bidi="fa-IR"/>
          <w:color w:val="111111"/>
          <w:sz w:val="28"/>
          <w:szCs w:val="28"/>
          <w:rtl/>
        </w:rPr>
        <w:t xml:space="preserve">۱۲۶۰ق؛ مهر: ناصرالدین شاه قاجار؛ کاغذ: فستقی، جلد: مقوا روکش تیماج يشمی، ۱۰۰ص، ۳-۱۶ سطر، قطع: رقعی، اندازه: ۱۸/۹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سم [ف: ۵-۴۲۵]</w:t>
      </w:r>
    </w:p>
    <w:p>
      <w:pPr>
        <w:pStyle w:val="Heading3"/>
      </w:pPr>
      <w:bookmarkStart w:id="2690" w:name="_Toc1950"/>
      <w:r>
        <w:t>•تاریخ ناپلئون بناپارت / تاریخ پادشاهان / فارسی</w:t>
      </w:r>
      <w:bookmarkEnd w:id="2690"/>
    </w:p>
    <w:p>
      <w:pPr>
        <w:pStyle w:val="BookText"/>
      </w:pPr>
      <w:r>
        <w:rPr>
          <w:rFonts w:ascii="Times New Roman" w:hAnsi="Times New Roman" w:eastAsia="Times New Roman" w:cs="Times New Roman"/>
          <w:lang w:val="en-US" w:bidi="en-US"/>
          <w:color w:val="111111"/>
          <w:sz w:val="28"/>
          <w:szCs w:val="28"/>
          <w:rtl/>
        </w:rPr>
        <w:t xml:space="preserve">tārīx-e nāpel’on bonāpārt</w:t>
      </w:r>
    </w:p>
    <w:p>
      <w:pPr>
        <w:pStyle w:val="BookText"/>
      </w:pPr>
      <w:r>
        <w:rPr>
          <w:rFonts w:ascii="IRNazanin" w:hAnsi="IRNazanin" w:eastAsia="IRNazanin" w:cs="IRNazanin"/>
          <w:lang w:bidi="fa-IR"/>
          <w:color w:val="111111"/>
          <w:sz w:val="28"/>
          <w:szCs w:val="28"/>
          <w:rtl/>
        </w:rPr>
        <w:t xml:space="preserve">تاریخ ترجمه: ۱۲۵۸ق تاریخ مفصل و مبسوطی از زندگی، جنگها و سلطنت ناپلئون بناپارت امپراطور فرانسه است که از متن اصلی در دو جلد ترجمه شده است.</w:t>
      </w:r>
    </w:p>
    <w:p>
      <w:pPr>
        <w:pStyle w:val="BookText"/>
      </w:pPr>
      <w:r>
        <w:rPr>
          <w:rFonts w:ascii="IRNazanin" w:hAnsi="IRNazanin" w:eastAsia="IRNazanin" w:cs="IRNazanin"/>
          <w:lang w:bidi="fa-IR"/>
          <w:color w:val="111111"/>
          <w:sz w:val="28"/>
          <w:szCs w:val="28"/>
          <w:rtl/>
        </w:rPr>
        <w:t xml:space="preserve">قم؛ مسجد اعظم؛ شماره نسخه: ۲۱۸۲</w:t>
      </w:r>
    </w:p>
    <w:p>
      <w:pPr>
        <w:pStyle w:val="BookText"/>
      </w:pPr>
      <w:r>
        <w:rPr>
          <w:rFonts w:ascii="IRNazanin" w:hAnsi="IRNazanin" w:eastAsia="IRNazanin" w:cs="IRNazanin"/>
          <w:lang w:bidi="fa-IR"/>
          <w:color w:val="111111"/>
          <w:sz w:val="28"/>
          <w:szCs w:val="28"/>
          <w:rtl/>
        </w:rPr>
        <w:t xml:space="preserve">آغاز: فصل اول در بیان تولد و ... شارح این وقایع مذکور مینماید که در باب تولد واصل و نسب ونجابت ناپلئون بناپارت اختلاف و گفتگو بسیار است اصح اقوال این است که در پانزدهم ماه ....؛ انجام: با کمال احترام مرخص فرمود وجوسف بناپارات را با عساكر فرنس احضار کرد که بعد از ورود واستقرار شاهزاده مزبور در تخت سلطنت خویش مملکت اسپانیول را تخلیه کرده داخل خاک فرنس شوند و منتظر احکام مجدد باشند تم شامل دو جلد و کامل است؛ خط: نستعلیق شکسته، کا: محب على یکانلو، تا: جمادی الثانی ۱۲۶۲ق؛ جلد: تیماج سیاه سوخت، ۲۵۴گ، ۱۷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مخ: ۱-۳۱۶]</w:t>
      </w:r>
    </w:p>
    <w:p>
      <w:pPr>
        <w:pStyle w:val="Heading3"/>
      </w:pPr>
      <w:bookmarkStart w:id="2691" w:name="_Toc1951"/>
      <w:r>
        <w:t>•تاریخ ناپلئون بناپارت / تاریخ پادشاهان / فارسی</w:t>
      </w:r>
      <w:bookmarkEnd w:id="2691"/>
    </w:p>
    <w:p>
      <w:pPr>
        <w:pStyle w:val="BookText"/>
      </w:pPr>
      <w:r>
        <w:rPr>
          <w:rFonts w:ascii="Times New Roman" w:hAnsi="Times New Roman" w:eastAsia="Times New Roman" w:cs="Times New Roman"/>
          <w:lang w:val="en-US" w:bidi="en-US"/>
          <w:color w:val="111111"/>
          <w:sz w:val="28"/>
          <w:szCs w:val="28"/>
          <w:rtl/>
        </w:rPr>
        <w:t xml:space="preserve">tārīx-e nāpel’on bonāpārt</w:t>
      </w:r>
    </w:p>
    <w:p>
      <w:pPr>
        <w:pStyle w:val="BookText"/>
      </w:pPr>
      <w:r>
        <w:rPr>
          <w:rFonts w:ascii="IRNazanin" w:hAnsi="IRNazanin" w:eastAsia="IRNazanin" w:cs="IRNazanin"/>
          <w:lang w:bidi="fa-IR"/>
          <w:color w:val="111111"/>
          <w:sz w:val="28"/>
          <w:szCs w:val="28"/>
          <w:rtl/>
        </w:rPr>
        <w:t xml:space="preserve">قسمتی از تاریخ ناپلئون است در کیفیت تسخیر مملکت اسپانیول و پرتقال و وقایع آنزمان با عناوین مکرر: «مورخ گوید» و چون دیباچه ای ندارد مؤلف و مترجم شناخته نمی شود.</w:t>
      </w:r>
    </w:p>
    <w:p>
      <w:pPr>
        <w:pStyle w:val="BookText"/>
      </w:pPr>
      <w:r>
        <w:rPr>
          <w:rFonts w:ascii="IRNazanin" w:hAnsi="IRNazanin" w:eastAsia="IRNazanin" w:cs="IRNazanin"/>
          <w:lang w:bidi="fa-IR"/>
          <w:color w:val="111111"/>
          <w:sz w:val="28"/>
          <w:szCs w:val="28"/>
          <w:rtl/>
        </w:rPr>
        <w:t xml:space="preserve">مشهد؛ رضوی؛ شماره نسخه:۴۱۸۶</w:t>
      </w:r>
    </w:p>
    <w:p>
      <w:pPr>
        <w:pStyle w:val="BookText"/>
      </w:pPr>
      <w:r>
        <w:rPr>
          <w:rFonts w:ascii="IRNazanin" w:hAnsi="IRNazanin" w:eastAsia="IRNazanin" w:cs="IRNazanin"/>
          <w:lang w:bidi="fa-IR"/>
          <w:color w:val="111111"/>
          <w:sz w:val="28"/>
          <w:szCs w:val="28"/>
          <w:rtl/>
        </w:rPr>
        <w:t xml:space="preserve">آغاز: فصل مشتمل است بر وقايع چند، اولا نتایج مصالحه امپراطور؛ انجام: در میان مقبره ناپلیون ساخته اند و اسم جنگهای معتبر ناپلیون را در روی آن نوشته اند خط: نستعلیق تحریری، بی کا، تا: جمعه ۵ ربیع اول ۱۲۶۴ق، جا: طهران؛ واقف: نایینی؛ کاغذ: سفید فرنگی آهار مهره، جلد: تیماج قهوه ای، ۱۳۶، ۱۷ سطر ( ۱۵/۲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w:t>
      </w:r>
    </w:p>
    <w:p>
      <w:pPr>
        <w:pStyle w:val="BookText"/>
      </w:pPr>
      <w:r>
        <w:rPr>
          <w:rFonts w:ascii="IRNazanin" w:hAnsi="IRNazanin" w:eastAsia="IRNazanin" w:cs="IRNazanin"/>
          <w:lang w:bidi="fa-IR"/>
          <w:color w:val="111111"/>
          <w:sz w:val="28"/>
          <w:szCs w:val="28"/>
          <w:rtl/>
        </w:rPr>
        <w:t xml:space="preserve">سم [ف: ۷-۳۹]</w:t>
      </w:r>
    </w:p>
    <w:p>
      <w:pPr>
        <w:pStyle w:val="Heading3"/>
      </w:pPr>
      <w:bookmarkStart w:id="2692" w:name="_Toc1952"/>
      <w:r>
        <w:t>•تاریخ ناپلئون بناپارت / تاریخ پادشاهان / فارسی</w:t>
      </w:r>
      <w:bookmarkEnd w:id="2692"/>
    </w:p>
    <w:p>
      <w:pPr>
        <w:pStyle w:val="BookText"/>
      </w:pPr>
      <w:r>
        <w:rPr>
          <w:rFonts w:ascii="Times New Roman" w:hAnsi="Times New Roman" w:eastAsia="Times New Roman" w:cs="Times New Roman"/>
          <w:lang w:val="en-US" w:bidi="en-US"/>
          <w:color w:val="111111"/>
          <w:sz w:val="28"/>
          <w:szCs w:val="28"/>
          <w:rtl/>
        </w:rPr>
        <w:t xml:space="preserve">tārīx-e nāpel'on bonāpārt</w:t>
      </w:r>
    </w:p>
    <w:p>
      <w:pPr>
        <w:pStyle w:val="BookText"/>
      </w:pPr>
      <w:r>
        <w:rPr>
          <w:rFonts w:ascii="IRNazanin" w:hAnsi="IRNazanin" w:eastAsia="IRNazanin" w:cs="IRNazanin"/>
          <w:lang w:bidi="fa-IR"/>
          <w:color w:val="111111"/>
          <w:sz w:val="28"/>
          <w:szCs w:val="28"/>
          <w:rtl/>
        </w:rPr>
        <w:t xml:space="preserve">به دستور: ناصر الدین شاه قاجار تاریخ ترجمه: ۱۲۷۴ق این نسخه ترجمه تاریخ ناپلئون از زبان فرانسه به فارسی است، مشتمل بر چهل و هشت« فصل» و هر فصلی محتوی است بر چند بیان در ذکر حالات و چگونگی جزیره کرس و مولد و منشاء ناپلئون و خانواده وی و شرح جنگها و فتوحات و بالاخره ذکر وقایع سال ۱۲۳۷ هجری و اسارت در جزیره سنت هلن و شرح وصیت نامه آن امپراطور.</w:t>
      </w:r>
    </w:p>
    <w:p>
      <w:pPr>
        <w:pStyle w:val="BookText"/>
      </w:pPr>
      <w:r>
        <w:rPr>
          <w:rFonts w:ascii="IRNazanin" w:hAnsi="IRNazanin" w:eastAsia="IRNazanin" w:cs="IRNazanin"/>
          <w:lang w:bidi="fa-IR"/>
          <w:color w:val="111111"/>
          <w:sz w:val="28"/>
          <w:szCs w:val="28"/>
          <w:rtl/>
        </w:rPr>
        <w:t xml:space="preserve">تهران؛ سلطنتی؛ شماره نسخه:۹۳۴</w:t>
      </w:r>
    </w:p>
    <w:p>
      <w:pPr>
        <w:pStyle w:val="BookText"/>
      </w:pPr>
      <w:r>
        <w:rPr>
          <w:rFonts w:ascii="IRNazanin" w:hAnsi="IRNazanin" w:eastAsia="IRNazanin" w:cs="IRNazanin"/>
          <w:lang w:bidi="fa-IR"/>
          <w:color w:val="111111"/>
          <w:sz w:val="28"/>
          <w:szCs w:val="28"/>
          <w:rtl/>
        </w:rPr>
        <w:t xml:space="preserve">آغاز: تاريخ ناپلئون عظيم امپراطور فرانسه - بسمله سپاس و ستایش آنچنانکه باید و بندگی و پرستش بد انسان که شاید پادشاهی را سزاست که بهر کاری تواناست و بهر زبانی دانا ... فصل اول مشتمل است بر هفت بیان. بیان اول در ذکر حالات جزیره کرس؛ انجام: ختم ترجمه این همایون کتاب ... پاشاخان پیشخدمت خاصه ... چون حکم ترجمه این کتاب رفته بود ... پرداخت ... قد فرغ من تأليفه و تسويده في يوم الخميس سابع و العشرين من شهر رجب المرجب سنة خمس و سبعین و ماتين بعد الف من الهجرة ۱۲۷۵ قد حرره العبد الداعى الدوام الدولة القاهرة الباهره محمد باقر گلپایگانی خط: نستعلیق، کا: محمد باقر گلپایگانی، تا: ۱۲۷۵ق؛ افتادگی: انجام؛ مجدول، کمنددار، یک سرلوح مذهب، به خط ناصر الدين شاه قاجار آمده: «درختهای قصر قاجار ... درخت چنار و توت سوای درختهای دیگر روز چهارشنبه چهارم شهر ذیقعده شمرده شد از این قرار است. چنار (اک ماصه ک اصله ۱۱۸۵) درخت توت ماف اصله ۱۵۰)؛ مهر: ناصرالدین شاه قاجار؛ کاغذ: فرنگی زنگاری رنگ لبه طلائی، جلد: مقوای روکش چرم لاکی رنگ، ۹۲۶ص، ۱۵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۵-۴۲۲]</w:t>
      </w:r>
    </w:p>
    <w:p>
      <w:pPr>
        <w:pStyle w:val="BookText"/>
      </w:pPr>
      <w:r>
        <w:rPr>
          <w:rFonts w:ascii="IRNazanin" w:hAnsi="IRNazanin" w:eastAsia="IRNazanin" w:cs="IRNazanin"/>
          <w:lang w:bidi="fa-IR"/>
          <w:color w:val="111111"/>
          <w:sz w:val="28"/>
          <w:szCs w:val="28"/>
          <w:rtl/>
        </w:rPr>
        <w:t xml:space="preserve">←تاریخ ناپلئون (ترجمه) ← تاریخ ناپلئون بناپارت</w:t>
      </w:r>
    </w:p>
    <w:p>
      <w:pPr>
        <w:pStyle w:val="Heading3"/>
      </w:pPr>
      <w:bookmarkStart w:id="2693" w:name="_Toc1953"/>
      <w:r>
        <w:t>•تاریخ ناپلئون (ترجمه) / تاریخ پادشاهان / فارسی</w:t>
      </w:r>
      <w:bookmarkEnd w:id="2693"/>
    </w:p>
    <w:p>
      <w:pPr>
        <w:pStyle w:val="BookText"/>
      </w:pPr>
      <w:r>
        <w:rPr>
          <w:rFonts w:ascii="Times New Roman" w:hAnsi="Times New Roman" w:eastAsia="Times New Roman" w:cs="Times New Roman"/>
          <w:lang w:val="en-US" w:bidi="en-US"/>
          <w:color w:val="111111"/>
          <w:sz w:val="28"/>
          <w:szCs w:val="28"/>
          <w:rtl/>
        </w:rPr>
        <w:t xml:space="preserve">tarix-e napel'on</w:t>
      </w:r>
    </w:p>
    <w:p>
      <w:pPr>
        <w:pStyle w:val="BookText"/>
      </w:pPr>
      <w:r>
        <w:rPr>
          <w:rFonts w:ascii="IRNazanin" w:hAnsi="IRNazanin" w:eastAsia="IRNazanin" w:cs="IRNazanin"/>
          <w:lang w:bidi="fa-IR"/>
          <w:color w:val="111111"/>
          <w:sz w:val="28"/>
          <w:szCs w:val="28"/>
          <w:rtl/>
        </w:rPr>
        <w:t xml:space="preserve">یحیی بن محمد نبی، ق۱۳ قمری</w:t>
      </w:r>
    </w:p>
    <w:p>
      <w:pPr>
        <w:pStyle w:val="BookText"/>
      </w:pPr>
      <w:r>
        <w:rPr>
          <w:rFonts w:ascii="Times New Roman" w:hAnsi="Times New Roman" w:eastAsia="Times New Roman" w:cs="Times New Roman"/>
          <w:lang w:val="en-US" w:bidi="en-US"/>
          <w:color w:val="111111"/>
          <w:sz w:val="28"/>
          <w:szCs w:val="28"/>
          <w:rtl/>
        </w:rPr>
        <w:t xml:space="preserve">yahyā ben mohammad nabī (-190)</w:t>
      </w:r>
    </w:p>
    <w:p>
      <w:pPr>
        <w:pStyle w:val="BookText"/>
      </w:pPr>
      <w:r>
        <w:rPr>
          <w:rFonts w:ascii="IRNazanin" w:hAnsi="IRNazanin" w:eastAsia="IRNazanin" w:cs="IRNazanin"/>
          <w:lang w:bidi="fa-IR"/>
          <w:color w:val="111111"/>
          <w:sz w:val="28"/>
          <w:szCs w:val="28"/>
          <w:rtl/>
        </w:rPr>
        <w:t xml:space="preserve">اهداء به: ناصرالدین شاه قاجار به دستور)</w:t>
      </w:r>
    </w:p>
    <w:p>
      <w:pPr>
        <w:pStyle w:val="BookText"/>
      </w:pPr>
      <w:r>
        <w:rPr>
          <w:rFonts w:ascii="IRNazanin" w:hAnsi="IRNazanin" w:eastAsia="IRNazanin" w:cs="IRNazanin"/>
          <w:lang w:bidi="fa-IR"/>
          <w:color w:val="111111"/>
          <w:sz w:val="28"/>
          <w:szCs w:val="28"/>
          <w:rtl/>
        </w:rPr>
        <w:t xml:space="preserve">تاريخ تأليف: ۱۲۷۴ق ترجمه یحیی بن محمد نبی از فرانسه به فارسی ترجمه شده، مشمل بر ۴۸ فصل و هر فصلی محتوی چند بیان.</w:t>
      </w:r>
    </w:p>
    <w:p>
      <w:pPr>
        <w:pStyle w:val="BookText"/>
      </w:pPr>
      <w:r>
        <w:rPr>
          <w:rFonts w:ascii="IRNazanin" w:hAnsi="IRNazanin" w:eastAsia="IRNazanin" w:cs="IRNazanin"/>
          <w:lang w:bidi="fa-IR"/>
          <w:color w:val="111111"/>
          <w:sz w:val="28"/>
          <w:szCs w:val="28"/>
          <w:rtl/>
        </w:rPr>
        <w:t xml:space="preserve">اصفهان؛ صارم الدوله (كتابخانه فرهنگ اصفهان)؛ شماره نسخه: ۸۸۵</w:t>
      </w:r>
    </w:p>
    <w:p>
      <w:pPr>
        <w:pStyle w:val="BookText"/>
      </w:pPr>
      <w:r>
        <w:rPr>
          <w:rFonts w:ascii="IRNazanin" w:hAnsi="IRNazanin" w:eastAsia="IRNazanin" w:cs="IRNazanin"/>
          <w:lang w:bidi="fa-IR"/>
          <w:color w:val="111111"/>
          <w:sz w:val="28"/>
          <w:szCs w:val="28"/>
          <w:rtl/>
        </w:rPr>
        <w:t xml:space="preserve">آغاز: سپاس و ستایش آنچنان که باید و بندگی و پرستش بد انسان که شاید پادشاهی را سزاست که بهر کاری توانا است؛ انجام: و چون حکم بترجمه این کتاب رفته بود و مقصود آنکه بدون کم و زیاد همان عباراتیکه مورخ بزبان فرانسه نوشته بود تسوید یابد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bookmarkStart w:id="592" w:name="pg20363_209918"/>
    <w:bookmarkEnd w:id="592"/>
    <w:p>
      <w:pPr>
        <w:pStyle w:val="BookText"/>
      </w:pPr>
      <w:r>
        <w:rPr>
          <w:rFonts w:ascii="IRNazanin" w:hAnsi="IRNazanin" w:eastAsia="IRNazanin" w:cs="IRNazanin"/>
          <w:lang w:bidi="fa-IR"/>
          <w:color w:val="111111"/>
          <w:sz w:val="28"/>
          <w:szCs w:val="28"/>
          <w:rtl/>
        </w:rPr>
        <w:t xml:space="preserve">خط: نستعلیق عالی، بی کا، تا: قرن ۱۳؛ در صفحه آخر نوشته: «این کتابرا از بدو تا ختم برای ظل السلطان قرائت نمودم شهر صفر المظفر ۱۳۰۲ فتح الله»؛ مهر: «فرج الله طباطبایی» (بیضوی)؛ کاغذ: فرنگی نخودی، جلد: مقوایی، با روکش چرم ساغری، ۶۱۵ص، ۲۱ سطر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۲۷]</w:t>
      </w:r>
    </w:p>
    <w:p>
      <w:pPr>
        <w:pStyle w:val="Heading3"/>
      </w:pPr>
      <w:bookmarkStart w:id="2694" w:name="_Toc1954"/>
      <w:r>
        <w:t>•تاریخ ناپلئون (ترجمه) / تاریخ پادشاهان / فارسی</w:t>
      </w:r>
      <w:bookmarkEnd w:id="2694"/>
    </w:p>
    <w:p>
      <w:pPr>
        <w:pStyle w:val="BookText"/>
      </w:pPr>
      <w:r>
        <w:rPr>
          <w:rFonts w:ascii="Times New Roman" w:hAnsi="Times New Roman" w:eastAsia="Times New Roman" w:cs="Times New Roman"/>
          <w:lang w:val="en-US" w:bidi="en-US"/>
          <w:color w:val="111111"/>
          <w:sz w:val="28"/>
          <w:szCs w:val="28"/>
          <w:rtl/>
        </w:rPr>
        <w:t xml:space="preserve">tārīx-e nāpel'on</w:t>
      </w:r>
    </w:p>
    <w:p>
      <w:pPr>
        <w:pStyle w:val="BookText"/>
      </w:pPr>
      <w:r>
        <w:rPr>
          <w:rFonts w:ascii="IRNazanin" w:hAnsi="IRNazanin" w:eastAsia="IRNazanin" w:cs="IRNazanin"/>
          <w:lang w:bidi="fa-IR"/>
          <w:color w:val="111111"/>
          <w:sz w:val="28"/>
          <w:szCs w:val="28"/>
          <w:rtl/>
        </w:rPr>
        <w:t xml:space="preserve">علیخان بن محمد طاهر</w:t>
      </w:r>
    </w:p>
    <w:p>
      <w:pPr>
        <w:pStyle w:val="BookText"/>
      </w:pPr>
      <w:r>
        <w:rPr>
          <w:rFonts w:ascii="Times New Roman" w:hAnsi="Times New Roman" w:eastAsia="Times New Roman" w:cs="Times New Roman"/>
          <w:lang w:val="en-US" w:bidi="en-US"/>
          <w:color w:val="111111"/>
          <w:sz w:val="28"/>
          <w:szCs w:val="28"/>
          <w:rtl/>
        </w:rPr>
        <w:t xml:space="preserve">‘alī-xān mohammad ebn-e tāher</w:t>
      </w:r>
    </w:p>
    <w:p>
      <w:pPr>
        <w:pStyle w:val="BookText"/>
      </w:pPr>
      <w:r>
        <w:rPr>
          <w:rFonts w:ascii="IRNazanin" w:hAnsi="IRNazanin" w:eastAsia="IRNazanin" w:cs="IRNazanin"/>
          <w:lang w:bidi="fa-IR"/>
          <w:color w:val="111111"/>
          <w:sz w:val="28"/>
          <w:szCs w:val="28"/>
          <w:rtl/>
        </w:rPr>
        <w:t xml:space="preserve">تأليف: كنت ولدسكاز، ترجمه از علیخان فرزند حاج محمد طاهر. سرگذشت ناپلئون و از وقایع تاریخی زمان ناپلئون بناپارت</w:t>
      </w:r>
    </w:p>
    <w:p>
      <w:pPr>
        <w:pStyle w:val="BookText"/>
      </w:pPr>
      <w:r>
        <w:rPr>
          <w:rFonts w:ascii="IRNazanin" w:hAnsi="IRNazanin" w:eastAsia="IRNazanin" w:cs="IRNazanin"/>
          <w:lang w:bidi="fa-IR"/>
          <w:color w:val="111111"/>
          <w:sz w:val="28"/>
          <w:szCs w:val="28"/>
          <w:rtl/>
        </w:rPr>
        <w:t xml:space="preserve">تهران؛ مجلس؛ شماره نسخه:۳۱۸۸</w:t>
      </w:r>
    </w:p>
    <w:p>
      <w:pPr>
        <w:pStyle w:val="BookText"/>
      </w:pPr>
      <w:r>
        <w:rPr>
          <w:rFonts w:ascii="IRNazanin" w:hAnsi="IRNazanin" w:eastAsia="IRNazanin" w:cs="IRNazanin"/>
          <w:lang w:bidi="fa-IR"/>
          <w:color w:val="111111"/>
          <w:sz w:val="28"/>
          <w:szCs w:val="28"/>
          <w:rtl/>
        </w:rPr>
        <w:t xml:space="preserve">آغاز: مقدمه مقصود من در اینجا ثبت و ضبط جميع اقوال و افعال اعلیحضرت امپراطور ناپلئون است که در مدت توقف من در نزد وی روزبروز از ایشان بروز و ظهور نموده است ولی قبل از شروع در زمان رولوسیبون (شورش) فرانسه زیاده بر بیست و یک سال نداشتم و در همان اوان بمنصب نیابت کشتی که بر حسب درجه نظامی قرینه سر کرد کی دوم است مفتخر و سرافراز گردیدم؛ انجام: لاغر اندام و صاحب چهره سرخ و موی زرد مایل خرمایی با چشمی چون هنود غیر مستقیم ابروهای درشت خرمایی رنگ پر پشت و برجسته «امپراطور از حیث قیافه او را بسیار بد كل و بد شکل و از حيث مکارم اخلاق شخصی بسیار خوبی می یافت» دور نیست که مشارالیه با النسبة بآميرال مشخص خوبی باشد. خط: نستعلیق شکسته تحریری، بی کا، تا: ۱۳۱۵ق، جان تهران؛ شامل دو جلد است؛. مهر: «غلامحسین»؛ کاغذ: فرنگی سفید مارک دار، جلد: تیماج سرخ، ۴۷۵ص، ۲۰ سطر، اندازه: ۱۷/۵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۲۲/۵ سم [ف: ۱۰- ۷۷۱]</w:t>
      </w:r>
    </w:p>
    <w:p>
      <w:pPr>
        <w:pStyle w:val="Heading3"/>
      </w:pPr>
      <w:bookmarkStart w:id="2695" w:name="_Toc1955"/>
      <w:r>
        <w:t>•تاریخ ناپلئون چهارم = ناپلیان چهار / تاریخ / فارسی</w:t>
      </w:r>
      <w:bookmarkEnd w:id="2695"/>
    </w:p>
    <w:p>
      <w:pPr>
        <w:pStyle w:val="BookText"/>
      </w:pPr>
      <w:r>
        <w:rPr>
          <w:rFonts w:ascii="Times New Roman" w:hAnsi="Times New Roman" w:eastAsia="Times New Roman" w:cs="Times New Roman"/>
          <w:lang w:val="en-US" w:bidi="en-US"/>
          <w:color w:val="111111"/>
          <w:sz w:val="28"/>
          <w:szCs w:val="28"/>
          <w:rtl/>
        </w:rPr>
        <w:t xml:space="preserve">tārīx-e nāpel’on-e čahārom (=nāplīyān čāhār)</w:t>
      </w:r>
    </w:p>
    <w:p>
      <w:pPr>
        <w:pStyle w:val="BookText"/>
      </w:pPr>
      <w:r>
        <w:rPr>
          <w:rFonts w:ascii="IRNazanin" w:hAnsi="IRNazanin" w:eastAsia="IRNazanin" w:cs="IRNazanin"/>
          <w:lang w:bidi="fa-IR"/>
          <w:color w:val="111111"/>
          <w:sz w:val="28"/>
          <w:szCs w:val="28"/>
          <w:rtl/>
        </w:rPr>
        <w:t xml:space="preserve">مترجم: غفاری ، رضا ق۱۳ قمری متن از: لانس دو پن، مترجم: رضا غفاری در این رساله ابتداء از وضع فرانسه در دوران پیش از تولد ناپلئون چهارم بحث می شود و بعد از ناپلئون و طرز زندگانی و رشد و تربیت او سخن می رود که در قسمت تربیت آن ما بآداب خاص اشراف فرانسه بر می خوریم.</w:t>
      </w:r>
    </w:p>
    <w:p>
      <w:pPr>
        <w:pStyle w:val="BookText"/>
      </w:pPr>
      <w:r>
        <w:rPr>
          <w:rFonts w:ascii="IRNazanin" w:hAnsi="IRNazanin" w:eastAsia="IRNazanin" w:cs="IRNazanin"/>
          <w:lang w:bidi="fa-IR"/>
          <w:color w:val="111111"/>
          <w:sz w:val="28"/>
          <w:szCs w:val="28"/>
          <w:rtl/>
        </w:rPr>
        <w:t xml:space="preserve">تهران؛ ملی؛ شماره نسخه: ۸۵۱/۱</w:t>
      </w:r>
    </w:p>
    <w:p>
      <w:pPr>
        <w:pStyle w:val="BookText"/>
      </w:pPr>
      <w:r>
        <w:rPr>
          <w:rFonts w:ascii="IRNazanin" w:hAnsi="IRNazanin" w:eastAsia="IRNazanin" w:cs="IRNazanin"/>
          <w:lang w:bidi="fa-IR"/>
          <w:color w:val="111111"/>
          <w:sz w:val="28"/>
          <w:szCs w:val="28"/>
          <w:rtl/>
        </w:rPr>
        <w:t xml:space="preserve">آغاز: بسمله، کتابچه سن رشد و بلوغ چهارم من تأليف لانس دو پن و ترجمه بنده در گاه جهان پناه رضای غفاری مترجم؛ انجام</w:t>
      </w:r>
    </w:p>
    <w:p>
      <w:pPr>
        <w:pStyle w:val="BookText"/>
      </w:pPr>
      <w:r>
        <w:rPr>
          <w:rFonts w:ascii="IRNazanin" w:hAnsi="IRNazanin" w:eastAsia="IRNazanin" w:cs="IRNazanin"/>
          <w:lang w:bidi="fa-IR"/>
          <w:color w:val="111111"/>
          <w:sz w:val="28"/>
          <w:szCs w:val="28"/>
          <w:rtl/>
        </w:rPr>
        <w:t xml:space="preserve">تاریخ ناپلئون - تاریخ نادرشاه ۷۹۱ خدعها (=خدعه ها) و تذویراتی (=تزویراتی که وطن را از شأن و لياقتش بیرون کرده است ترجمه. خط: نستعلیق، کا: محتملا مترجم، تا: محتملا قرن ۱۳، جا: تهران؛ کاغذ: فرنگی آبی، جلد: تیماج آبی، ۶۵ص (۱-۶۵)، ۱۱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۲-۳۸۶]</w:t>
      </w:r>
    </w:p>
    <w:p>
      <w:pPr>
        <w:pStyle w:val="Heading3"/>
      </w:pPr>
      <w:bookmarkStart w:id="2696" w:name="_Toc1956"/>
      <w:r>
        <w:t>• تاریخ نادر شاه / تاریخ ایران / فارسی</w:t>
      </w:r>
      <w:bookmarkEnd w:id="2696"/>
    </w:p>
    <w:p>
      <w:pPr>
        <w:pStyle w:val="BookText"/>
      </w:pPr>
      <w:r>
        <w:rPr>
          <w:rFonts w:ascii="Times New Roman" w:hAnsi="Times New Roman" w:eastAsia="Times New Roman" w:cs="Times New Roman"/>
          <w:lang w:val="en-US" w:bidi="en-US"/>
          <w:color w:val="111111"/>
          <w:sz w:val="28"/>
          <w:szCs w:val="28"/>
          <w:rtl/>
        </w:rPr>
        <w:t xml:space="preserve">tārīx-e nāder šāh</w:t>
      </w:r>
    </w:p>
    <w:p>
      <w:pPr>
        <w:pStyle w:val="BookText"/>
      </w:pPr>
      <w:r>
        <w:rPr>
          <w:rFonts w:ascii="IRNazanin" w:hAnsi="IRNazanin" w:eastAsia="IRNazanin" w:cs="IRNazanin"/>
          <w:lang w:bidi="fa-IR"/>
          <w:color w:val="111111"/>
          <w:sz w:val="28"/>
          <w:szCs w:val="28"/>
          <w:rtl/>
        </w:rPr>
        <w:t xml:space="preserve">به زبان ساده است و در آن از این پادشاه به «نادر الهی» تعبیر شده است عنوان «فيروز تنگوزئیل سال ۱۲۴۴ در مشهد مقدس انقضاء یافت و روز بعد نوروز عازم هرات شدند» در آن آمده است.</w:t>
      </w:r>
    </w:p>
    <w:p>
      <w:pPr>
        <w:pStyle w:val="BookText"/>
      </w:pPr>
      <w:r>
        <w:rPr>
          <w:rFonts w:ascii="IRNazanin" w:hAnsi="IRNazanin" w:eastAsia="IRNazanin" w:cs="IRNazanin"/>
          <w:lang w:bidi="fa-IR"/>
          <w:color w:val="111111"/>
          <w:sz w:val="28"/>
          <w:szCs w:val="28"/>
          <w:rtl/>
        </w:rPr>
        <w:t xml:space="preserve">تهران؛ مجلس؛ شماره نسخه: ۸۲۱</w:t>
      </w:r>
    </w:p>
    <w:p>
      <w:pPr>
        <w:pStyle w:val="BookText"/>
      </w:pPr>
      <w:r>
        <w:rPr>
          <w:rFonts w:ascii="IRNazanin" w:hAnsi="IRNazanin" w:eastAsia="IRNazanin" w:cs="IRNazanin"/>
          <w:lang w:bidi="fa-IR"/>
          <w:color w:val="111111"/>
          <w:sz w:val="28"/>
          <w:szCs w:val="28"/>
          <w:rtl/>
        </w:rPr>
        <w:t xml:space="preserve">خط: نستعلیق درشت خط، بی کا، تا: قرن ۱۴؛ افتادگی: آغاز و انجام کاغذ: آبی، جلد: تیماج سرخ، ۷۹گ، ۱۲ سطر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۳۸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[سنا: ف: ۲-۶۹]</w:t>
      </w:r>
    </w:p>
    <w:p>
      <w:pPr>
        <w:pStyle w:val="BookText"/>
      </w:pPr>
      <w:r>
        <w:rPr>
          <w:rFonts w:ascii="IRNazanin" w:hAnsi="IRNazanin" w:eastAsia="IRNazanin" w:cs="IRNazanin"/>
          <w:lang w:bidi="fa-IR"/>
          <w:color w:val="111111"/>
          <w:sz w:val="28"/>
          <w:szCs w:val="28"/>
          <w:rtl/>
        </w:rPr>
        <w:t xml:space="preserve">تهران؛ مفتاح؛ شماره نسخه:۵۱۹</w:t>
      </w:r>
    </w:p>
    <w:p>
      <w:pPr>
        <w:pStyle w:val="BookText"/>
      </w:pPr>
      <w:r>
        <w:rPr>
          <w:rFonts w:ascii="IRNazanin" w:hAnsi="IRNazanin" w:eastAsia="IRNazanin" w:cs="IRNazanin"/>
          <w:lang w:bidi="fa-IR"/>
          <w:color w:val="111111"/>
          <w:sz w:val="28"/>
          <w:szCs w:val="28"/>
          <w:rtl/>
        </w:rPr>
        <w:t xml:space="preserve">همان نسخه بالا [نشریه: ۷-۱۱۲]</w:t>
      </w:r>
    </w:p>
    <w:p>
      <w:pPr>
        <w:pStyle w:val="Heading3"/>
      </w:pPr>
      <w:bookmarkStart w:id="2697" w:name="_Toc1957"/>
      <w:r>
        <w:t>•تاریخ نادرشاه / تاریخ پادشاهان / فارسی</w:t>
      </w:r>
      <w:bookmarkEnd w:id="2697"/>
    </w:p>
    <w:p>
      <w:pPr>
        <w:pStyle w:val="BookText"/>
      </w:pPr>
      <w:r>
        <w:rPr>
          <w:rFonts w:ascii="Times New Roman" w:hAnsi="Times New Roman" w:eastAsia="Times New Roman" w:cs="Times New Roman"/>
          <w:lang w:val="en-US" w:bidi="en-US"/>
          <w:color w:val="111111"/>
          <w:sz w:val="28"/>
          <w:szCs w:val="28"/>
          <w:rtl/>
        </w:rPr>
        <w:t xml:space="preserve">tārīx-e nāder šāh</w:t>
      </w:r>
    </w:p>
    <w:p>
      <w:pPr>
        <w:pStyle w:val="BookText"/>
      </w:pPr>
      <w:r>
        <w:rPr>
          <w:rFonts w:ascii="IRNazanin" w:hAnsi="IRNazanin" w:eastAsia="IRNazanin" w:cs="IRNazanin"/>
          <w:lang w:bidi="fa-IR"/>
          <w:color w:val="111111"/>
          <w:sz w:val="28"/>
          <w:szCs w:val="28"/>
          <w:rtl/>
        </w:rPr>
        <w:t xml:space="preserve">مشهد؛ رضوی؛ شماره نسخه: ۸۳۴۳</w:t>
      </w:r>
    </w:p>
    <w:p>
      <w:pPr>
        <w:pStyle w:val="BookText"/>
      </w:pPr>
      <w:r>
        <w:rPr>
          <w:rFonts w:ascii="IRNazanin" w:hAnsi="IRNazanin" w:eastAsia="IRNazanin" w:cs="IRNazanin"/>
          <w:lang w:bidi="fa-IR"/>
          <w:color w:val="111111"/>
          <w:sz w:val="28"/>
          <w:szCs w:val="28"/>
          <w:rtl/>
        </w:rPr>
        <w:t xml:space="preserve">آغاز: بسمله از آنجا که این قبیل تصنیفات همیشه مطبوع عامه است؛ انجام: عظمت اوج خواهد گرفت ... میرزا عبدالرحیم خان تفرشی خط: نستعلیق، بی کا، تا: ۱۳۱۲ق، جان تهران؛ کاغذ: آبی، جلد: میشن، ۱۷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[رایانه]</w:t>
      </w:r>
    </w:p>
    <w:p>
      <w:pPr>
        <w:pStyle w:val="Heading3"/>
      </w:pPr>
      <w:bookmarkStart w:id="2698" w:name="_Toc1958"/>
      <w:r>
        <w:t>•تاریخ نادر شاه / تاریخ پادشاهان / فارسی</w:t>
      </w:r>
      <w:bookmarkEnd w:id="2698"/>
    </w:p>
    <w:p>
      <w:pPr>
        <w:pStyle w:val="BookText"/>
      </w:pPr>
      <w:r>
        <w:rPr>
          <w:rFonts w:ascii="Times New Roman" w:hAnsi="Times New Roman" w:eastAsia="Times New Roman" w:cs="Times New Roman"/>
          <w:lang w:val="en-US" w:bidi="en-US"/>
          <w:color w:val="111111"/>
          <w:sz w:val="28"/>
          <w:szCs w:val="28"/>
          <w:rtl/>
        </w:rPr>
        <w:t xml:space="preserve">tārīx-e nāder šāh</w:t>
      </w:r>
    </w:p>
    <w:p>
      <w:pPr>
        <w:pStyle w:val="BookText"/>
      </w:pPr>
      <w:r>
        <w:rPr>
          <w:rFonts w:ascii="IRNazanin" w:hAnsi="IRNazanin" w:eastAsia="IRNazanin" w:cs="IRNazanin"/>
          <w:lang w:bidi="fa-IR"/>
          <w:color w:val="111111"/>
          <w:sz w:val="28"/>
          <w:szCs w:val="28"/>
          <w:rtl/>
        </w:rPr>
        <w:t xml:space="preserve">از صفا (؟)، که در پایان آن آمده: صفا نوشت به امرت بديع ملک ملک*** به یادگار برایت همین کتاب بدیع. آغاز: هو الله تعالی. تاريخ نادر شاه. نادر شاه که در اروپا معروف به قلی خان است در کلات واقعه در ایالت خراسان متولد شد. انجام: چنان شخص عالی همت و شجاع بچه اندازه در معارج بزرگی و عظمت اوج خواهد گرفت. الا که چهر تو باشد چو آفتاب بدیع *** گفت به وجود بود هر زمان سحاب بدیع. به یادگار برایت همین کتاب بدیع حره العبد سلطان الكتاب محلاتی شهر شعبان المعظم سنه ۱۳۱۹</w:t>
      </w:r>
    </w:p>
    <w:p>
      <w:pPr>
        <w:pStyle w:val="BookText"/>
      </w:pPr>
      <w:r>
        <w:rPr>
          <w:rFonts w:ascii="IRNazanin" w:hAnsi="IRNazanin" w:eastAsia="IRNazanin" w:cs="IRNazanin"/>
          <w:lang w:bidi="fa-IR"/>
          <w:color w:val="111111"/>
          <w:sz w:val="28"/>
          <w:szCs w:val="28"/>
          <w:rtl/>
        </w:rPr>
        <w:t xml:space="preserve">[فهرستواره منزوی ۹۰۹/۲ ]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593" w:name="pg20363_209919"/>
    <w:bookmarkEnd w:id="593"/>
    <w:p>
      <w:pPr>
        <w:pStyle w:val="BookText"/>
      </w:pPr>
      <w:r>
        <w:rPr>
          <w:rFonts w:ascii="IRNazanin" w:hAnsi="IRNazanin" w:eastAsia="IRNazanin" w:cs="IRNazanin"/>
          <w:lang w:bidi="fa-IR"/>
          <w:color w:val="111111"/>
          <w:sz w:val="28"/>
          <w:szCs w:val="28"/>
          <w:rtl/>
        </w:rPr>
        <w:t xml:space="preserve">تهران؛ دانشگاه؛ شماره نسخه:۵۵۳۳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سلطان الكتاب محلاتی، تا: شعبان ۱۳۱۹ق؛ کاغذ: فرنگی، جلد: تیماج سرخ، ۵۴گ، ۱۵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۱۶-۳۰]</w:t>
      </w:r>
    </w:p>
    <w:p>
      <w:pPr>
        <w:pStyle w:val="Heading3"/>
      </w:pPr>
      <w:bookmarkStart w:id="2699" w:name="_Toc1959"/>
      <w:r>
        <w:t>•تاریخ نادر شاه افشار و کریم خان زند / تاریخ پادشاهان / فارسی</w:t>
      </w:r>
      <w:bookmarkEnd w:id="2699"/>
    </w:p>
    <w:p>
      <w:pPr>
        <w:pStyle w:val="BookText"/>
      </w:pPr>
      <w:r>
        <w:rPr>
          <w:rFonts w:ascii="Times New Roman" w:hAnsi="Times New Roman" w:eastAsia="Times New Roman" w:cs="Times New Roman"/>
          <w:lang w:val="en-US" w:bidi="en-US"/>
          <w:color w:val="111111"/>
          <w:sz w:val="28"/>
          <w:szCs w:val="28"/>
          <w:rtl/>
        </w:rPr>
        <w:t xml:space="preserve">tārīx-e nāder-šāh-e afšār va karīm xān-e zand</w:t>
      </w:r>
    </w:p>
    <w:p>
      <w:pPr>
        <w:pStyle w:val="BookText"/>
      </w:pPr>
      <w:r>
        <w:rPr>
          <w:rFonts w:ascii="IRNazanin" w:hAnsi="IRNazanin" w:eastAsia="IRNazanin" w:cs="IRNazanin"/>
          <w:lang w:bidi="fa-IR"/>
          <w:color w:val="111111"/>
          <w:sz w:val="28"/>
          <w:szCs w:val="28"/>
          <w:rtl/>
        </w:rPr>
        <w:t xml:space="preserve">امیرخیزی، اسماعیل بن محمد تقی، ۱۲۵۵-۱۳۴۴ شمسی</w:t>
      </w:r>
    </w:p>
    <w:p>
      <w:pPr>
        <w:pStyle w:val="BookText"/>
      </w:pPr>
      <w:r>
        <w:rPr>
          <w:rFonts w:ascii="Times New Roman" w:hAnsi="Times New Roman" w:eastAsia="Times New Roman" w:cs="Times New Roman"/>
          <w:lang w:val="en-US" w:bidi="en-US"/>
          <w:color w:val="111111"/>
          <w:sz w:val="28"/>
          <w:szCs w:val="28"/>
          <w:rtl/>
        </w:rPr>
        <w:t xml:space="preserve">amīr-xīzī, esmāʻīl ebn-e mohammad taqī (1876-1965)</w:t>
      </w:r>
    </w:p>
    <w:p>
      <w:pPr>
        <w:pStyle w:val="BookText"/>
      </w:pPr>
      <w:r>
        <w:rPr>
          <w:rFonts w:ascii="IRNazanin" w:hAnsi="IRNazanin" w:eastAsia="IRNazanin" w:cs="IRNazanin"/>
          <w:lang w:bidi="fa-IR"/>
          <w:color w:val="111111"/>
          <w:sz w:val="28"/>
          <w:szCs w:val="28"/>
          <w:rtl/>
        </w:rPr>
        <w:t xml:space="preserve">بخشی از کتابی است در تاریخ پادشاهان ایران، که این بخش شامل تاریخ نادرشاه افشار و کریم خان زند تا ابتدای قاجاریه است.</w:t>
      </w:r>
    </w:p>
    <w:p>
      <w:pPr>
        <w:pStyle w:val="BookText"/>
      </w:pPr>
      <w:r>
        <w:rPr>
          <w:rFonts w:ascii="IRNazanin" w:hAnsi="IRNazanin" w:eastAsia="IRNazanin" w:cs="IRNazanin"/>
          <w:lang w:bidi="fa-IR"/>
          <w:color w:val="111111"/>
          <w:sz w:val="28"/>
          <w:szCs w:val="28"/>
          <w:rtl/>
        </w:rPr>
        <w:t xml:space="preserve">تهران؛ مجلس؛ شماره نسخه: ۹۹۰۰</w:t>
      </w:r>
    </w:p>
    <w:p>
      <w:pPr>
        <w:pStyle w:val="BookText"/>
      </w:pPr>
      <w:r>
        <w:rPr>
          <w:rFonts w:ascii="IRNazanin" w:hAnsi="IRNazanin" w:eastAsia="IRNazanin" w:cs="IRNazanin"/>
          <w:lang w:bidi="fa-IR"/>
          <w:color w:val="111111"/>
          <w:sz w:val="28"/>
          <w:szCs w:val="28"/>
          <w:rtl/>
        </w:rPr>
        <w:t xml:space="preserve">آغاز و در دشت کرنال بیست و پنج فرسخی شاه جهان آباد که یک طرف آن رودخانه انجام: که تا برای پختن آشی وقتشان ببطالت نگذرد خط: نستعلیق، کاتب = مؤلف، تا: قرن ۱۴؛ افتادگی: آغاز و انجام؛ ۳۵، ۲۱ سطر،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۳۱-۱۲۵]</w:t>
      </w:r>
    </w:p>
    <w:p>
      <w:pPr>
        <w:pStyle w:val="Heading3"/>
      </w:pPr>
      <w:bookmarkStart w:id="2700" w:name="_Toc1960"/>
      <w:r>
        <w:t>•تاریخ نادر شاه (ترجمه) / تاریخ ایران / فارسی</w:t>
      </w:r>
      <w:bookmarkEnd w:id="2700"/>
    </w:p>
    <w:p>
      <w:pPr>
        <w:pStyle w:val="BookText"/>
      </w:pPr>
      <w:r>
        <w:rPr>
          <w:rFonts w:ascii="Times New Roman" w:hAnsi="Times New Roman" w:eastAsia="Times New Roman" w:cs="Times New Roman"/>
          <w:lang w:val="en-US" w:bidi="en-US"/>
          <w:color w:val="111111"/>
          <w:sz w:val="28"/>
          <w:szCs w:val="28"/>
          <w:rtl/>
        </w:rPr>
        <w:t xml:space="preserve">tārīx-e nāder-šāh (t.)</w:t>
      </w:r>
    </w:p>
    <w:p>
      <w:pPr>
        <w:pStyle w:val="BookText"/>
      </w:pPr>
      <w:r>
        <w:rPr>
          <w:rFonts w:ascii="IRNazanin" w:hAnsi="IRNazanin" w:eastAsia="IRNazanin" w:cs="IRNazanin"/>
          <w:lang w:bidi="fa-IR"/>
          <w:color w:val="111111"/>
          <w:sz w:val="28"/>
          <w:szCs w:val="28"/>
          <w:rtl/>
        </w:rPr>
        <w:t xml:space="preserve">قراگوزلو، ابوالقاسم، ۱۲۴۴-۱۳۰۶ شمسی</w:t>
      </w:r>
    </w:p>
    <w:p>
      <w:pPr>
        <w:pStyle w:val="BookText"/>
      </w:pPr>
      <w:r>
        <w:rPr>
          <w:rFonts w:ascii="Times New Roman" w:hAnsi="Times New Roman" w:eastAsia="Times New Roman" w:cs="Times New Roman"/>
          <w:lang w:val="en-US" w:bidi="en-US"/>
          <w:color w:val="111111"/>
          <w:sz w:val="28"/>
          <w:szCs w:val="28"/>
          <w:rtl/>
        </w:rPr>
        <w:t xml:space="preserve">qarāgūzlū, ab-ol-qāsem (1865-1927)</w:t>
      </w:r>
    </w:p>
    <w:p>
      <w:pPr>
        <w:pStyle w:val="BookText"/>
      </w:pPr>
      <w:r>
        <w:rPr>
          <w:rFonts w:ascii="IRNazanin" w:hAnsi="IRNazanin" w:eastAsia="IRNazanin" w:cs="IRNazanin"/>
          <w:lang w:bidi="fa-IR"/>
          <w:color w:val="111111"/>
          <w:sz w:val="28"/>
          <w:szCs w:val="28"/>
          <w:rtl/>
        </w:rPr>
        <w:t xml:space="preserve">به دستور: صديق السلطنة تاریخ تأليف: ۱۳۰۵ق تأليف</w:t>
      </w:r>
    </w:p>
    <w:p>
      <w:pPr>
        <w:pStyle w:val="BookText"/>
      </w:pPr>
      <w:r>
        <w:rPr>
          <w:rFonts w:ascii="IRNazanin" w:hAnsi="IRNazanin" w:eastAsia="IRNazanin" w:cs="IRNazanin"/>
          <w:lang w:bidi="fa-IR"/>
          <w:color w:val="111111"/>
          <w:sz w:val="28"/>
          <w:szCs w:val="28"/>
          <w:rtl/>
        </w:rPr>
        <w:t xml:space="preserve">فریزر، جیمز بیلی (۱۷۸۳-۱۸۵۶م)؛ تاریخ کوتاهی از پادشاهان تیموری هند تا یورش نادر بدانجاست. در دو بخش: قسمت آغازین تاریخ سلاطين مغول و بخش دوم تاریخ نادرشاه شامل جنگ های او با محمد پادشاه تیموری و بازگشتش به ایران و دیگر وقایع عمرش پیش از مرگ. فریزر میان سال های ۱۷۳۰ تا ۱۷۴۰م در هندوستان بود و پس از بازگشت به انگلستان این کتاب را در لندن در سال ۱۷۴۲م به چاپ رساند که بخش اعظم احوال نادر در آن ترجمه نوشته میرزا زمان منشی سربلند خان در روزنامه معاملات نادرشاه هندوستان) است. ناصر الملک هم در آغاز کتاب این چنین گزارش کرده است: «خلاصه تاریخ سلاطين مغول از روی ... (نام یک کتاب سياه شده) وقعات بابری، سیر جهانگیری، پادشاهنامه و تاریخ عالم گیری و غیره نوشته شده است و صورت این کتاب در آخر کتاب مسطور است و با این کتب تواریخ مشرق زمین که برای نوشتن این تاریخ جمع کرده ام امیدوارم صحت آن محل تردید نباشد. فصل راجع به اوضاع سلطنت مغول در هندوستان قبل از ورود قشون ایران و اسبابی که باعث رفتن نادرشاه به هندوستان شد از روی یک نسخه ایرانی ترجمه شده است. نسخه مزبور را هوم فریز کول رئیس کارخانه انگلیس در پطنه برای دکتر مید فرستاده است. در این که وقایع مسطوره در این نسخه صحیح است شکی نیست زیرا که خود من بیش از ده سال در هندوستان مانده در اواخر مدت سه سال متصل با بعضی ایرانی و مغولها در آن جا مراوده و مکاتبه داشته ام و اغلب از قشون کشی نادر شاه مذاکره می کردیم. اما تفصیل اوایل حال نادرشاه از یک نفر شخص محترمی که حالا در انگلستان است به من رسیده است و خود او سال ها در ایران اقامت داشت. زبان فارسی می داند و مکرر با نادرشاه ملاقات کرده است. روزنامه وقایع و احوال بعد از ورود نادر شاه را به هندوستان را به نادرشاه منشی سربلند خان برای میرزا مغول پسر علی محمد خان به احمد آباد فرستاده بود. چون رابطه دوستی میان ما بود روزنامه مزبوره را به من داد. چون این بنده فقیر سراپا تقصیر این تاریخ را صحیح دانسته لهذا بر خود مخمر نموده که بر حسب امر مبارک جناب ... ناظم السلطان دام اقباله العالی یک نسخه از روی این تاریخ نوشته که یادگار بماند.» (حافظیان و حكيم) آغاز: از آنجا که این قبیل تصنیفات همیشه مطبوع عامه است در اقدام بنوشتن این کتاب انجام: در معارج بزرگی و عظمت اوج خواهد گرفت. چاپ: کرمانشاه، مطبعه شرافت، ذیحجه ۱۳۲۷ق، ۱۷۳ص؛ تهران، ۱۳۲۱ ق، سنگی؛ بی ناشر، ۱۳۲۱ ق.(چاپ دوم)، وزیری کوچک، ۱۱+۳۵۵+۱صص</w:t>
      </w:r>
    </w:p>
    <w:p>
      <w:pPr>
        <w:pStyle w:val="BookText"/>
      </w:pPr>
      <w:r>
        <w:rPr>
          <w:rFonts w:ascii="IRNazanin" w:hAnsi="IRNazanin" w:eastAsia="IRNazanin" w:cs="IRNazanin"/>
          <w:lang w:bidi="fa-IR"/>
          <w:color w:val="111111"/>
          <w:sz w:val="28"/>
          <w:szCs w:val="28"/>
          <w:rtl/>
        </w:rPr>
        <w:t xml:space="preserve">[ دنا ۷۴۶/۲ ؛ فهرستواره منزوی ۹۰۸/۲ ]</w:t>
      </w:r>
    </w:p>
    <w:p>
      <w:pPr>
        <w:pStyle w:val="BookText"/>
      </w:pPr>
      <w:r>
        <w:rPr>
          <w:rFonts w:ascii="IRNazanin" w:hAnsi="IRNazanin" w:eastAsia="IRNazanin" w:cs="IRNazanin"/>
          <w:lang w:bidi="fa-IR"/>
          <w:color w:val="111111"/>
          <w:sz w:val="28"/>
          <w:szCs w:val="28"/>
          <w:rtl/>
        </w:rPr>
        <w:t xml:space="preserve">شروح و حواشی:</w:t>
      </w:r>
    </w:p>
    <w:p>
      <w:pPr>
        <w:pStyle w:val="BookText"/>
      </w:pPr>
      <w:r>
        <w:rPr>
          <w:rFonts w:ascii="IRNazanin" w:hAnsi="IRNazanin" w:eastAsia="IRNazanin" w:cs="IRNazanin"/>
          <w:lang w:bidi="fa-IR"/>
          <w:color w:val="111111"/>
          <w:sz w:val="28"/>
          <w:szCs w:val="28"/>
          <w:rtl/>
        </w:rPr>
        <w:t xml:space="preserve">1- تتمه تاریخ نادر شاه ؛ قائم مقام فراهانی، عبدالوهاب بن علی(قرن ۱۴)</w:t>
      </w:r>
    </w:p>
    <w:p>
      <w:pPr>
        <w:pStyle w:val="BookText"/>
      </w:pPr>
      <w:r>
        <w:rPr>
          <w:rFonts w:ascii="IRNazanin" w:hAnsi="IRNazanin" w:eastAsia="IRNazanin" w:cs="IRNazanin"/>
          <w:lang w:bidi="fa-IR"/>
          <w:color w:val="111111"/>
          <w:sz w:val="28"/>
          <w:szCs w:val="28"/>
          <w:rtl/>
        </w:rPr>
        <w:t xml:space="preserve">۱. تهران؛ ملی؛ شماره نسخه: ۲۲۶۹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خوش، بی کا، تا: قرن ۱۳؛ با سرلوح مذهب، مجدول؛ کاغذ: فرنگی، جلد: تیماج قرمز، ۸۶گ، ۱۴ سطر (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۵-۳۸۷]</w:t>
      </w:r>
    </w:p>
    <w:p>
      <w:pPr>
        <w:pStyle w:val="BookText"/>
      </w:pPr>
      <w:r>
        <w:rPr>
          <w:rFonts w:ascii="IRNazanin" w:hAnsi="IRNazanin" w:eastAsia="IRNazanin" w:cs="IRNazanin"/>
          <w:lang w:bidi="fa-IR"/>
          <w:color w:val="111111"/>
          <w:sz w:val="28"/>
          <w:szCs w:val="28"/>
          <w:rtl/>
        </w:rPr>
        <w:t xml:space="preserve">۲. تهران؛ مجلس؛ شماره نسخه:۹۳۲۰</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شکسته، بی کا، تا: قرن ۱۴؛ مجدول به سرخی، رکابه دار؛ جلد: مقوا عطف</w:t>
      </w:r>
    </w:p>
    <w:p>
      <w:pPr>
        <w:pStyle w:val="BookText"/>
      </w:pPr>
      <w:r>
        <w:rPr>
          <w:rFonts w:ascii="IRNazanin" w:hAnsi="IRNazanin" w:eastAsia="IRNazanin" w:cs="IRNazanin"/>
          <w:lang w:bidi="fa-IR"/>
          <w:color w:val="111111"/>
          <w:sz w:val="28"/>
          <w:szCs w:val="28"/>
          <w:rtl/>
        </w:rPr>
        <w:t xml:space="preserve">پارچه، ۹۱گ، ۱۲ سطر، اندازه: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[ف: ۳۰-۷۱]</w:t>
      </w:r>
    </w:p>
    <w:p>
      <w:pPr>
        <w:pStyle w:val="BookText"/>
      </w:pPr>
      <w:r>
        <w:rPr>
          <w:rFonts w:ascii="IRNazanin" w:hAnsi="IRNazanin" w:eastAsia="IRNazanin" w:cs="IRNazanin"/>
          <w:lang w:bidi="fa-IR"/>
          <w:color w:val="111111"/>
          <w:sz w:val="28"/>
          <w:szCs w:val="28"/>
          <w:rtl/>
        </w:rPr>
        <w:t xml:space="preserve">٣. تهران؛ حقوق؛ شماره نسخه:۱۵۲-ج</w:t>
      </w:r>
    </w:p>
    <w:p>
      <w:pPr>
        <w:pStyle w:val="BookText"/>
      </w:pPr>
      <w:r>
        <w:rPr>
          <w:rFonts w:ascii="IRNazanin" w:hAnsi="IRNazanin" w:eastAsia="IRNazanin" w:cs="IRNazanin"/>
          <w:lang w:bidi="fa-IR"/>
          <w:color w:val="111111"/>
          <w:sz w:val="28"/>
          <w:szCs w:val="28"/>
          <w:rtl/>
        </w:rPr>
        <w:t xml:space="preserve">خط: نستعلیق، بی کا، تا: دوشنبه رمضان ۱۳۰۵ق؛ مجدول، از محل هدیه جناب آقای دکتر مصدق خریداری شده؛ کاغذ: فرنگی،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bookmarkStart w:id="594" w:name="pg20363_209920"/>
    <w:bookmarkEnd w:id="594"/>
    <w:p>
      <w:pPr>
        <w:pStyle w:val="BookText"/>
      </w:pPr>
      <w:r>
        <w:rPr>
          <w:rFonts w:ascii="IRNazanin" w:hAnsi="IRNazanin" w:eastAsia="IRNazanin" w:cs="IRNazanin"/>
          <w:lang w:bidi="fa-IR"/>
          <w:color w:val="111111"/>
          <w:sz w:val="28"/>
          <w:szCs w:val="28"/>
          <w:rtl/>
        </w:rPr>
        <w:t xml:space="preserve">جلد: مخمل مقوایی، ۱۲۲گ، ۱۱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۳۳]</w:t>
      </w:r>
    </w:p>
    <w:p>
      <w:pPr>
        <w:pStyle w:val="BookText"/>
      </w:pPr>
      <w:r>
        <w:rPr>
          <w:rFonts w:ascii="IRNazanin" w:hAnsi="IRNazanin" w:eastAsia="IRNazanin" w:cs="IRNazanin"/>
          <w:lang w:bidi="fa-IR"/>
          <w:color w:val="111111"/>
          <w:sz w:val="28"/>
          <w:szCs w:val="28"/>
          <w:rtl/>
        </w:rPr>
        <w:t xml:space="preserve">۴. قم: مرکز احیاء؛ شماره نسخه:۱۱۴۴</w:t>
      </w:r>
    </w:p>
    <w:p>
      <w:pPr>
        <w:pStyle w:val="BookText"/>
      </w:pPr>
      <w:r>
        <w:rPr>
          <w:rFonts w:ascii="IRNazanin" w:hAnsi="IRNazanin" w:eastAsia="IRNazanin" w:cs="IRNazanin"/>
          <w:lang w:bidi="fa-IR"/>
          <w:color w:val="111111"/>
          <w:sz w:val="28"/>
          <w:szCs w:val="28"/>
          <w:rtl/>
        </w:rPr>
        <w:t xml:space="preserve">آغاز و انجام: برابر خط: نستعلیق خوش، کا: سلمان شریف فراهانی، تا: صفر ۱۳۰۶ق؛ پس از کتاب سواد فرمان نادر شاه در باب فتح هرات و سواد فرمان معافی اهل ایران به خط کاتب نسخه افزوده شده؛ جلد: تیماج قهوه ای، ۹۹گ، ۱۲ سطر، اندازه: ۱۱</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۱۷/۵ سم [ف: ۳-۳۷۹]</w:t>
      </w:r>
    </w:p>
    <w:p>
      <w:pPr>
        <w:pStyle w:val="BookText"/>
      </w:pPr>
      <w:r>
        <w:rPr>
          <w:rFonts w:ascii="IRNazanin" w:hAnsi="IRNazanin" w:eastAsia="IRNazanin" w:cs="IRNazanin"/>
          <w:lang w:bidi="fa-IR"/>
          <w:color w:val="111111"/>
          <w:sz w:val="28"/>
          <w:szCs w:val="28"/>
          <w:rtl/>
        </w:rPr>
        <w:t xml:space="preserve">۵. تهران: مجلس؛ شماره نسخه:۲۳۶</w:t>
      </w:r>
    </w:p>
    <w:p>
      <w:pPr>
        <w:pStyle w:val="BookText"/>
      </w:pPr>
      <w:r>
        <w:rPr>
          <w:rFonts w:ascii="IRNazanin" w:hAnsi="IRNazanin" w:eastAsia="IRNazanin" w:cs="IRNazanin"/>
          <w:lang w:bidi="fa-IR"/>
          <w:color w:val="111111"/>
          <w:sz w:val="28"/>
          <w:szCs w:val="28"/>
          <w:rtl/>
        </w:rPr>
        <w:t xml:space="preserve">آغاز: برابر خط: شکسته نستعلیق ریز، بی کا، تا: ۱۳۰۸ق؛ ۱۱۲گ، ۱۱ سطر، قطع: ربعی، اندازه: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۲-۱۳۲]</w:t>
      </w:r>
    </w:p>
    <w:p>
      <w:pPr>
        <w:pStyle w:val="BookText"/>
      </w:pPr>
      <w:r>
        <w:rPr>
          <w:rFonts w:ascii="IRNazanin" w:hAnsi="IRNazanin" w:eastAsia="IRNazanin" w:cs="IRNazanin"/>
          <w:lang w:bidi="fa-IR"/>
          <w:color w:val="111111"/>
          <w:sz w:val="28"/>
          <w:szCs w:val="28"/>
          <w:rtl/>
        </w:rPr>
        <w:t xml:space="preserve">۶. تهران: ملک؛ شماره نسخه:۳۷۱۹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تقی قزوینی، تا: ۱۳۱۱ق؛ یادداشت خریداری میرزا رضی مذهب در ۱۳۱۲، کاغذ: کاغذ فرنگی، جلد: میشن قرمز، ۱۲۹گ، ۱۱ سطر، اندازه: ۲۱/۲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۱۳/۹</w:t>
      </w:r>
    </w:p>
    <w:p>
      <w:pPr>
        <w:pStyle w:val="BookText"/>
      </w:pPr>
      <w:r>
        <w:rPr>
          <w:rFonts w:ascii="IRNazanin" w:hAnsi="IRNazanin" w:eastAsia="IRNazanin" w:cs="IRNazanin"/>
          <w:lang w:bidi="fa-IR"/>
          <w:color w:val="111111"/>
          <w:sz w:val="28"/>
          <w:szCs w:val="28"/>
          <w:rtl/>
        </w:rPr>
        <w:t xml:space="preserve">سم [ف: ۲-۹۴]</w:t>
      </w:r>
    </w:p>
    <w:p>
      <w:pPr>
        <w:pStyle w:val="BookText"/>
      </w:pPr>
      <w:r>
        <w:rPr>
          <w:rFonts w:ascii="IRNazanin" w:hAnsi="IRNazanin" w:eastAsia="IRNazanin" w:cs="IRNazanin"/>
          <w:lang w:bidi="fa-IR"/>
          <w:color w:val="111111"/>
          <w:sz w:val="28"/>
          <w:szCs w:val="28"/>
          <w:rtl/>
        </w:rPr>
        <w:t xml:space="preserve">۷. تهران؛ ملی؛ شماره نسخه: ۱۲۲۲</w:t>
      </w:r>
    </w:p>
    <w:p>
      <w:pPr>
        <w:pStyle w:val="BookText"/>
      </w:pPr>
      <w:r>
        <w:rPr>
          <w:rFonts w:ascii="IRNazanin" w:hAnsi="IRNazanin" w:eastAsia="IRNazanin" w:cs="IRNazanin"/>
          <w:lang w:bidi="fa-IR"/>
          <w:color w:val="111111"/>
          <w:sz w:val="28"/>
          <w:szCs w:val="28"/>
          <w:rtl/>
        </w:rPr>
        <w:t xml:space="preserve">آغاز و انجام: برابر خط: نستعلیق، کا: نصرالله منشی همدانی، تا: ۱۳۱۱ق، جا: تهران؛ اهداء به میرزا احمد خان نصير الدوله؛ کاغذ: فرنگی، جلد: مخمل سبز، ۱۰۳گ، ۱۱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۳-۲۵۸]</w:t>
      </w:r>
    </w:p>
    <w:p>
      <w:pPr>
        <w:pStyle w:val="BookText"/>
      </w:pPr>
      <w:r>
        <w:rPr>
          <w:rFonts w:ascii="IRNazanin" w:hAnsi="IRNazanin" w:eastAsia="IRNazanin" w:cs="IRNazanin"/>
          <w:lang w:bidi="fa-IR"/>
          <w:color w:val="111111"/>
          <w:sz w:val="28"/>
          <w:szCs w:val="28"/>
          <w:rtl/>
        </w:rPr>
        <w:t xml:space="preserve">۸. مشهد؛ رضوی؛ شماره نسخه: ۸۳۴۲</w:t>
      </w:r>
    </w:p>
    <w:p>
      <w:pPr>
        <w:pStyle w:val="BookText"/>
      </w:pPr>
      <w:r>
        <w:rPr>
          <w:rFonts w:ascii="IRNazanin" w:hAnsi="IRNazanin" w:eastAsia="IRNazanin" w:cs="IRNazanin"/>
          <w:lang w:bidi="fa-IR"/>
          <w:color w:val="111111"/>
          <w:sz w:val="28"/>
          <w:szCs w:val="28"/>
          <w:rtl/>
        </w:rPr>
        <w:t xml:space="preserve">آغاز و انجام: برابر خط: نستعلیق، كا: عبدالرحیم</w:t>
      </w:r>
    </w:p>
    <w:p>
      <w:pPr>
        <w:pStyle w:val="BookText"/>
      </w:pPr>
      <w:r>
        <w:rPr>
          <w:rFonts w:ascii="IRNazanin" w:hAnsi="IRNazanin" w:eastAsia="IRNazanin" w:cs="IRNazanin"/>
          <w:lang w:bidi="fa-IR"/>
          <w:color w:val="111111"/>
          <w:sz w:val="28"/>
          <w:szCs w:val="28"/>
          <w:rtl/>
        </w:rPr>
        <w:t xml:space="preserve">تفرشی، تا:ذیحجه ۱۳۱۴ق؛ واقف: سردار کل یار محمد خان افشار؛ کاغذ: فرنگی فلفل نمکی، جلد: تیماج یشمی، ۷۳گ، ۱۷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۱۵/۴ سم [ف: ۴۰-۷]</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اصفهان؛ صارم الدوله (کتابخانه فرهنگ اصفهان، شماره نسخه:۹۷۷</w:t>
      </w:r>
    </w:p>
    <w:p>
      <w:pPr>
        <w:pStyle w:val="BookText"/>
      </w:pPr>
      <w:r>
        <w:rPr>
          <w:rFonts w:ascii="IRNazanin" w:hAnsi="IRNazanin" w:eastAsia="IRNazanin" w:cs="IRNazanin"/>
          <w:lang w:bidi="fa-IR"/>
          <w:color w:val="111111"/>
          <w:sz w:val="28"/>
          <w:szCs w:val="28"/>
          <w:rtl/>
        </w:rPr>
        <w:t xml:space="preserve">آغاز: نادرشاه که در اروپا معروف به قلیخان است در کلات واقعه در ایالت خراسان متولد شد؛ انجام: برابر خط: نستعلیق، كا: محمدرضا سلطان الكتاب، تا: شوال ۱۳۱۷ق؛ عباراتی به خط ظل السلطان در مقایسه اوضاع و احوال زمان نادر با دوره خود حاشیه نویسی شده؛ ۱۰۳ص، ۱۰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۱۰۱]</w:t>
      </w:r>
    </w:p>
    <w:p>
      <w:pPr>
        <w:pStyle w:val="BookText"/>
      </w:pPr>
      <w:r>
        <w:rPr>
          <w:rFonts w:ascii="IRNazanin" w:hAnsi="IRNazanin" w:eastAsia="IRNazanin" w:cs="IRNazanin"/>
          <w:lang w:bidi="fa-IR"/>
          <w:color w:val="111111"/>
          <w:sz w:val="28"/>
          <w:szCs w:val="28"/>
          <w:rtl/>
        </w:rPr>
        <w:t xml:space="preserve">۱۰. مشهد؛ رضوی؛ شماره نسخه:۶۷۷۵</w:t>
      </w:r>
    </w:p>
    <w:p>
      <w:pPr>
        <w:pStyle w:val="BookText"/>
      </w:pPr>
      <w:r>
        <w:rPr>
          <w:rFonts w:ascii="IRNazanin" w:hAnsi="IRNazanin" w:eastAsia="IRNazanin" w:cs="IRNazanin"/>
          <w:lang w:bidi="fa-IR"/>
          <w:color w:val="111111"/>
          <w:sz w:val="28"/>
          <w:szCs w:val="28"/>
          <w:rtl/>
        </w:rPr>
        <w:t xml:space="preserve">آغاز: نادر شاه که در اروپا معروف به قلیخان است در کلات واقعه.؛ انجام: برابر بیست ورق از آغاز که مشتمل است بر احوال تيمور و اولاد و احفادوی و اوضاع و احوال هندوستان نوشته نشده و از احوال نادر شاه شروع می شود؛ خط: نستعلیق، كا: حاجی محمد رضای سلطان الكتاب، تا: ذیقعده ۱۳۱۹ق، كاتب متخلص به صفا؛ افتادگی: آغاز؛ واقف: محمد علی شالچیان، ۱۸ تیر ۱۳۲۶؛ کاغذ: شکری فرنگی آهار مهره، جلد: پارچه ای، ۶۵گ، ۱۲ سطر ( ۱۴/۲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۷-۴۰]</w:t>
      </w:r>
    </w:p>
    <w:p>
      <w:pPr>
        <w:pStyle w:val="BookText"/>
      </w:pPr>
      <w:r>
        <w:rPr>
          <w:rFonts w:ascii="IRNazanin" w:hAnsi="IRNazanin" w:eastAsia="IRNazanin" w:cs="IRNazanin"/>
          <w:lang w:bidi="fa-IR"/>
          <w:color w:val="111111"/>
          <w:sz w:val="28"/>
          <w:szCs w:val="28"/>
          <w:rtl/>
        </w:rPr>
        <w:t xml:space="preserve">۱۱. مشهد؛ رضوی؛ شماره نسخه: ۳۷۰۱۰</w:t>
      </w:r>
    </w:p>
    <w:p>
      <w:pPr>
        <w:pStyle w:val="BookText"/>
      </w:pPr>
      <w:r>
        <w:rPr>
          <w:rFonts w:ascii="IRNazanin" w:hAnsi="IRNazanin" w:eastAsia="IRNazanin" w:cs="IRNazanin"/>
          <w:lang w:bidi="fa-IR"/>
          <w:color w:val="111111"/>
          <w:sz w:val="28"/>
          <w:szCs w:val="28"/>
          <w:rtl/>
        </w:rPr>
        <w:t xml:space="preserve">آغاز: برابر؛ انجام: که به قدر ذره ای با این اتفاقات که قلمی گردید پس و پیش ندارد تحریر شد که تاریخ صحیحی در دست باشد. خط: نستعلیق شکسته، كا: احمد تفرشی، تا: ذیقعده ۱۳۲۰ق، به دستور ناظم السلطان؛ مجدول؛ یادداشت خریداری محمد على ناصح به ۵ قران، یادداشت مطالعه نسخه از محمد بن حسن تبریزی در ۲۲ ذیقعده ۱۳۳۴ق؛ اهدایی: رهبری، مهر ۱۳۸۶، کاغذ: کشمیری الوان آهار مهره، جلد: تیماج سرخ، ۱۰۹گ، ۱۲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 اهدائی رهبر: ۸-۳۸۰]</w:t>
      </w:r>
    </w:p>
    <w:p>
      <w:pPr>
        <w:pStyle w:val="BookText"/>
      </w:pPr>
      <w:r>
        <w:rPr>
          <w:rFonts w:ascii="IRNazanin" w:hAnsi="IRNazanin" w:eastAsia="IRNazanin" w:cs="IRNazanin"/>
          <w:lang w:bidi="fa-IR"/>
          <w:color w:val="111111"/>
          <w:sz w:val="28"/>
          <w:szCs w:val="28"/>
          <w:rtl/>
        </w:rPr>
        <w:t xml:space="preserve">۱۲. تهران؛ مجلس؛ شماره نسخه:۲۲۸۸</w:t>
      </w:r>
    </w:p>
    <w:p>
      <w:pPr>
        <w:pStyle w:val="BookText"/>
      </w:pPr>
      <w:r>
        <w:rPr>
          <w:rFonts w:ascii="IRNazanin" w:hAnsi="IRNazanin" w:eastAsia="IRNazanin" w:cs="IRNazanin"/>
          <w:lang w:bidi="fa-IR"/>
          <w:color w:val="111111"/>
          <w:sz w:val="28"/>
          <w:szCs w:val="28"/>
          <w:rtl/>
        </w:rPr>
        <w:t xml:space="preserve">آغاز: تاريخ نادر شاه که موسوم به طهماسب قلی خان بوده؛ انجام: برابر خط: تحریری، بی کا، بی تا؛ کاغذ: تحریری فرنگی سفید، جلد: میشن تریاکی، ۲۳۵ ، ۱۳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۶-۲۴۱]</w:t>
      </w:r>
    </w:p>
    <w:p>
      <w:pPr>
        <w:pStyle w:val="Heading3"/>
      </w:pPr>
      <w:bookmarkStart w:id="2701" w:name="_Toc1961"/>
      <w:r>
        <w:t>•تاریخ نادرشاهی = تاریخ چغتایی / تاریخ / فارسی</w:t>
      </w:r>
      <w:bookmarkEnd w:id="2701"/>
    </w:p>
    <w:p>
      <w:pPr>
        <w:pStyle w:val="BookText"/>
      </w:pPr>
      <w:r>
        <w:rPr>
          <w:rFonts w:ascii="Times New Roman" w:hAnsi="Times New Roman" w:eastAsia="Times New Roman" w:cs="Times New Roman"/>
          <w:lang w:val="en-US" w:bidi="en-US"/>
          <w:color w:val="111111"/>
          <w:sz w:val="28"/>
          <w:szCs w:val="28"/>
          <w:rtl/>
        </w:rPr>
        <w:t xml:space="preserve">tārīx-e nāder-šāhī = tārīx-e čoqatāyī</w:t>
      </w:r>
    </w:p>
    <w:p>
      <w:pPr>
        <w:pStyle w:val="BookText"/>
      </w:pPr>
      <w:r>
        <w:rPr>
          <w:rFonts w:ascii="IRNazanin" w:hAnsi="IRNazanin" w:eastAsia="IRNazanin" w:cs="IRNazanin"/>
          <w:lang w:bidi="fa-IR"/>
          <w:color w:val="111111"/>
          <w:sz w:val="28"/>
          <w:szCs w:val="28"/>
          <w:rtl/>
        </w:rPr>
        <w:t xml:space="preserve">وارد، محمد شفیع بن محمد شریف، ق ۱۲ قمری</w:t>
      </w:r>
    </w:p>
    <w:p>
      <w:pPr>
        <w:pStyle w:val="BookText"/>
      </w:pPr>
      <w:r>
        <w:rPr>
          <w:rFonts w:ascii="Times New Roman" w:hAnsi="Times New Roman" w:eastAsia="Times New Roman" w:cs="Times New Roman"/>
          <w:lang w:val="en-US" w:bidi="en-US"/>
          <w:color w:val="111111"/>
          <w:sz w:val="28"/>
          <w:szCs w:val="28"/>
          <w:rtl/>
        </w:rPr>
        <w:t xml:space="preserve">vāred, mohammad šafi' ebn-e mohammad šarīf (-180)</w:t>
      </w:r>
    </w:p>
    <w:p>
      <w:pPr>
        <w:pStyle w:val="BookText"/>
      </w:pPr>
      <w:r>
        <w:rPr>
          <w:rFonts w:ascii="IRNazanin" w:hAnsi="IRNazanin" w:eastAsia="IRNazanin" w:cs="IRNazanin"/>
          <w:lang w:bidi="fa-IR"/>
          <w:color w:val="111111"/>
          <w:sz w:val="28"/>
          <w:szCs w:val="28"/>
          <w:rtl/>
        </w:rPr>
        <w:t xml:space="preserve">تاریخ تأليف: میان سال های ۱۱۵۰- ۱۱۵۲ق در سرگذشت نادرشاه افشار (۱۱۴۸-۱۱۶۰ ق) از جوانی تا در گیری او با پادشاهی تهماسب میرزای صفوی، جنگهایش با اشرف افغان، پادشاهی نادر، لشگر کشی وی هند. و از هموست: مرآت صادق، مرآت واردات، تاریخ جغتایی، تاریخ محمد شاه، دیوان، و چهار مثنوی: گلستان نیرنگ، مرآت فرخی، چمن دیدار و ساقينامه. میان سال های ۱۱۵۰-۱۱۵۲ق ساخته است که در دیباچه آن تاریخ ۱۱۳۹ آمده، دو تحریر دارد، تحریر دومش همان «تاریخ جغتایی» است. (احمد منزوی) آغاز: خداوندی که این نادر فسانه *** بود از حکمت خاصش نشانه چاپ: از روی تنها نسخه اش به کوشش دکتر علی اکبر شعبانی، در ۴۰۴ص چاپ شده است. استوری ۱۳۳/۱ و ۶۱۰ و ۱۳۱۹؛ ریو ۲۷۵ و ۹۷۵ و ۱۰۵۰ و ذیل ص ۲۵۷؛</w:t>
      </w:r>
    </w:p>
    <w:p>
      <w:pPr>
        <w:pStyle w:val="BookText"/>
      </w:pPr>
      <w:r>
        <w:rPr>
          <w:rFonts w:ascii="IRNazanin" w:hAnsi="IRNazanin" w:eastAsia="IRNazanin" w:cs="IRNazanin"/>
          <w:lang w:bidi="fa-IR"/>
          <w:color w:val="111111"/>
          <w:sz w:val="28"/>
          <w:szCs w:val="28"/>
          <w:rtl/>
        </w:rPr>
        <w:t xml:space="preserve">[الذريعة ۱۲۴۷/۹ ؛ فرهنگ سخنوران ۶۳۸؛ فهرستواره منزوی ۱۲۱۲/۲ ]</w:t>
      </w:r>
    </w:p>
    <w:p>
      <w:pPr>
        <w:pStyle w:val="BookText"/>
      </w:pPr>
      <w:r>
        <w:rPr>
          <w:rFonts w:ascii="IRNazanin" w:hAnsi="IRNazanin" w:eastAsia="IRNazanin" w:cs="IRNazanin"/>
          <w:lang w:bidi="fa-IR"/>
          <w:color w:val="111111"/>
          <w:sz w:val="28"/>
          <w:szCs w:val="28"/>
          <w:rtl/>
        </w:rPr>
        <w:t xml:space="preserve">تهران؛ دانشگاه؛ شماره نسخه: ۳۲۳۷-ف</w:t>
      </w:r>
    </w:p>
    <w:p>
      <w:pPr>
        <w:pStyle w:val="BookText"/>
      </w:pPr>
      <w:r>
        <w:rPr>
          <w:rFonts w:ascii="IRNazanin" w:hAnsi="IRNazanin" w:eastAsia="IRNazanin" w:cs="IRNazanin"/>
          <w:lang w:bidi="fa-IR"/>
          <w:color w:val="111111"/>
          <w:sz w:val="28"/>
          <w:szCs w:val="28"/>
          <w:rtl/>
        </w:rPr>
        <w:t xml:space="preserve">آغاز: برابر نسخه اصل: پاریس ش ۴۹۰ بلوشه 233 . </w:t>
      </w:r>
      <w:r>
        <w:rPr>
          <w:rFonts w:ascii="Times New Roman" w:hAnsi="Times New Roman" w:eastAsia="Times New Roman" w:cs="Times New Roman"/>
          <w:lang w:val="en-US" w:bidi="en-US"/>
          <w:color w:val="111111"/>
          <w:sz w:val="28"/>
          <w:szCs w:val="28"/>
          <w:rtl/>
        </w:rPr>
        <w:t xml:space="preserve">S. P </w:t>
      </w:r>
      <w:r>
        <w:rPr>
          <w:rFonts w:ascii="IRNazanin" w:hAnsi="IRNazanin" w:eastAsia="IRNazanin" w:cs="IRNazanin"/>
          <w:lang w:bidi="fa-IR"/>
          <w:color w:val="111111"/>
          <w:sz w:val="28"/>
          <w:szCs w:val="28"/>
          <w:rtl/>
        </w:rPr>
        <w:t xml:space="preserve">که گفته گویا از طاهر بیک است. (استوری ۳۲۸/۱ )؛ بی کا، بی تا [فيلمها ف: ۲-۱۰۵]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bookmarkStart w:id="595" w:name="pg20363_209921"/>
    <w:bookmarkEnd w:id="595"/>
    <w:p>
      <w:pPr>
        <w:pStyle w:val="BookText"/>
      </w:pPr>
      <w:r>
        <w:rPr>
          <w:rFonts w:ascii="IRNazanin" w:hAnsi="IRNazanin" w:eastAsia="IRNazanin" w:cs="IRNazanin"/>
          <w:lang w:bidi="fa-IR"/>
          <w:color w:val="111111"/>
          <w:sz w:val="28"/>
          <w:szCs w:val="28"/>
          <w:rtl/>
        </w:rPr>
        <w:t xml:space="preserve">←تاریخ نادری ← [علم کو ک]</w:t>
      </w:r>
    </w:p>
    <w:p>
      <w:pPr>
        <w:pStyle w:val="BookText"/>
      </w:pPr>
      <w:r>
        <w:rPr>
          <w:rFonts w:ascii="IRNazanin" w:hAnsi="IRNazanin" w:eastAsia="IRNazanin" w:cs="IRNazanin"/>
          <w:lang w:bidi="fa-IR"/>
          <w:color w:val="111111"/>
          <w:sz w:val="28"/>
          <w:szCs w:val="28"/>
          <w:rtl/>
        </w:rPr>
        <w:t xml:space="preserve">← تاریخ نادری ← جهانگشای نادری</w:t>
      </w:r>
    </w:p>
    <w:p>
      <w:pPr>
        <w:pStyle w:val="BookText"/>
      </w:pPr>
      <w:r>
        <w:rPr>
          <w:rFonts w:ascii="IRNazanin" w:hAnsi="IRNazanin" w:eastAsia="IRNazanin" w:cs="IRNazanin"/>
          <w:lang w:bidi="fa-IR"/>
          <w:color w:val="111111"/>
          <w:sz w:val="28"/>
          <w:szCs w:val="28"/>
          <w:rtl/>
        </w:rPr>
        <w:t xml:space="preserve">←تاریخ نادری ← وقایع الايام و ...</w:t>
      </w:r>
    </w:p>
    <w:p>
      <w:pPr>
        <w:pStyle w:val="BookText"/>
      </w:pPr>
      <w:r>
        <w:rPr>
          <w:rFonts w:ascii="IRNazanin" w:hAnsi="IRNazanin" w:eastAsia="IRNazanin" w:cs="IRNazanin"/>
          <w:lang w:bidi="fa-IR"/>
          <w:color w:val="111111"/>
          <w:sz w:val="28"/>
          <w:szCs w:val="28"/>
          <w:rtl/>
        </w:rPr>
        <w:t xml:space="preserve">← تاریخ نادری ← دیوان بیضا</w:t>
      </w:r>
    </w:p>
    <w:p>
      <w:pPr>
        <w:pStyle w:val="Heading3"/>
      </w:pPr>
      <w:bookmarkStart w:id="2702" w:name="_Toc1962"/>
      <w:r>
        <w:t>•تاریخ نادری / تاریخ ایران / فارسی</w:t>
      </w:r>
      <w:bookmarkEnd w:id="2702"/>
    </w:p>
    <w:p>
      <w:pPr>
        <w:pStyle w:val="BookText"/>
      </w:pPr>
      <w:r>
        <w:rPr>
          <w:rFonts w:ascii="Times New Roman" w:hAnsi="Times New Roman" w:eastAsia="Times New Roman" w:cs="Times New Roman"/>
          <w:lang w:val="en-US" w:bidi="en-US"/>
          <w:color w:val="111111"/>
          <w:sz w:val="28"/>
          <w:szCs w:val="28"/>
          <w:rtl/>
        </w:rPr>
        <w:t xml:space="preserve">tārīx-e nāderī</w:t>
      </w:r>
    </w:p>
    <w:p>
      <w:pPr>
        <w:pStyle w:val="BookText"/>
      </w:pPr>
      <w:r>
        <w:rPr>
          <w:rFonts w:ascii="IRNazanin" w:hAnsi="IRNazanin" w:eastAsia="IRNazanin" w:cs="IRNazanin"/>
          <w:lang w:bidi="fa-IR"/>
          <w:color w:val="111111"/>
          <w:sz w:val="28"/>
          <w:szCs w:val="28"/>
          <w:rtl/>
        </w:rPr>
        <w:t xml:space="preserve">از: شيخ يوسف. تاریخی است با انشائی ادبی و تضمین بسیاری از آیات و احادیث و امثال، از رویدادهای عصر نادرشاه افشار. نام کتاب و مؤلف روی برگی قبل از کتاب آمده. فهرست بعضی مطالب بدین تفصیل است: حال امیر ویس غليجان و اسدالله ابدالی؛ در بیان استیلای افاغنه در اصفهان؛ در بیان خاتمه کار محمود و جلوس اشرف و قتل خاقان شهید؛ در بیان تدریج حال و ترقی نادرشاه؛ در سطوت لشکر نادری؛ در بيان نهضت همایون به جانب هرات؛ در بیان استیصال اشرف افغان؛ در بیان فتح ارومیه و تبریز؛ در بیان جنگ افاغنه با ابراهیم خان؛ در بیان انصراف موكب نادری به خراسان در بیان عروسی رضا قلی میرزا؛ در بیان تسخیر هرات و قلع افاغنه؛ در بیان توجه طهماس به جانب ایروان؛ در بيان نهضت نادر به جانب بغداد؛ در بیان طغيان محمد خان بلوچ؛ توجه عبدالله پاشا با فوج رومی به جانب دیوان نادری؛ در بیان فتح و جلوس نادرشاه؛ در تسخیر قندهار؛ در بیان فتح بلخ و بخاری و کابل؛ در بیان تسخیر هندوستان؛ در تفویض سلطنت هندوستان به محمد شاه؛ در بیان تسخیر ممالک سند؛ در مجملی از وقایع شاه طهماس و رضا قلی میرزا؛ در بیان تسخیر خوارزم، در بیان تذهيب قبه نجف اشرف؛ در توجه نادر شاه به جانب داغستان؛ در طغيان و تمرد بزرگان لكزیه؛ در بیان فتح مسقط و تأدیب خوارج؛ در بیان سنوح رضا قلی میرزا و سقوط او؛ در بیان توجه به جانب روم؛ در تسخیر کرکوک و موصل و اردبیل؛ در بیان قتل نادرشاه با اولاد و اعقاب؛ در ذکر کلمات اساس به اقتباس؛ در بیان سلطنت على شاه؛ در بیان جلوس شاه رخ میرزا در خراسان؛ در ذکر جلوس ابراهیم خان در تبریز.</w:t>
      </w:r>
    </w:p>
    <w:p>
      <w:pPr>
        <w:pStyle w:val="BookText"/>
      </w:pPr>
      <w:r>
        <w:rPr>
          <w:rFonts w:ascii="IRNazanin" w:hAnsi="IRNazanin" w:eastAsia="IRNazanin" w:cs="IRNazanin"/>
          <w:lang w:bidi="fa-IR"/>
          <w:color w:val="111111"/>
          <w:sz w:val="28"/>
          <w:szCs w:val="28"/>
          <w:rtl/>
        </w:rPr>
        <w:t xml:space="preserve">[فهرستواره منزوی ۹۱۰/۲ ]</w:t>
      </w:r>
    </w:p>
    <w:p>
      <w:pPr>
        <w:pStyle w:val="BookText"/>
      </w:pPr>
      <w:r>
        <w:rPr>
          <w:rFonts w:ascii="IRNazanin" w:hAnsi="IRNazanin" w:eastAsia="IRNazanin" w:cs="IRNazanin"/>
          <w:lang w:bidi="fa-IR"/>
          <w:color w:val="111111"/>
          <w:sz w:val="28"/>
          <w:szCs w:val="28"/>
          <w:rtl/>
        </w:rPr>
        <w:t xml:space="preserve">قم؛ مرعشی؛ شماره نسخه: ۳۶۲۰</w:t>
      </w:r>
    </w:p>
    <w:p>
      <w:pPr>
        <w:pStyle w:val="BookText"/>
      </w:pPr>
      <w:r>
        <w:rPr>
          <w:rFonts w:ascii="IRNazanin" w:hAnsi="IRNazanin" w:eastAsia="IRNazanin" w:cs="IRNazanin"/>
          <w:lang w:bidi="fa-IR"/>
          <w:color w:val="111111"/>
          <w:sz w:val="28"/>
          <w:szCs w:val="28"/>
          <w:rtl/>
        </w:rPr>
        <w:t xml:space="preserve">آغاز: نقص عليك من انباء ما قد سبق ... مصدوقه این سخن حال امیر ویس غلیجانی و اسدالله ابدالی است؛ انجام: و اختتام مرام بنام آن خدائی که نام او مصباح زجاجه روح است و پیغام او مفتاح دریچه فتوح خط: نستعلیق، بی کا، تا: شوال ۱۲۹۶ق؛ جلد: تیماج قرمز،</w:t>
      </w:r>
    </w:p>
    <w:p>
      <w:pPr>
        <w:pStyle w:val="BookText"/>
      </w:pPr>
      <w:r>
        <w:rPr>
          <w:rFonts w:ascii="IRNazanin" w:hAnsi="IRNazanin" w:eastAsia="IRNazanin" w:cs="IRNazanin"/>
          <w:lang w:bidi="fa-IR"/>
          <w:color w:val="111111"/>
          <w:sz w:val="28"/>
          <w:szCs w:val="28"/>
          <w:rtl/>
        </w:rPr>
        <w:t xml:space="preserve">۱۷۲گ، ۱۳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۱۰-۱۷]</w:t>
      </w:r>
    </w:p>
    <w:p>
      <w:pPr>
        <w:pStyle w:val="Heading3"/>
      </w:pPr>
      <w:bookmarkStart w:id="2703" w:name="_Toc1963"/>
      <w:r>
        <w:t>•تاریخ ناصرالدین شاه / تاریخ پادشاهان / فارسی</w:t>
      </w:r>
      <w:bookmarkEnd w:id="2703"/>
    </w:p>
    <w:p>
      <w:pPr>
        <w:pStyle w:val="BookText"/>
      </w:pPr>
      <w:r>
        <w:rPr>
          <w:rFonts w:ascii="Times New Roman" w:hAnsi="Times New Roman" w:eastAsia="Times New Roman" w:cs="Times New Roman"/>
          <w:lang w:val="en-US" w:bidi="en-US"/>
          <w:color w:val="111111"/>
          <w:sz w:val="28"/>
          <w:szCs w:val="28"/>
          <w:rtl/>
        </w:rPr>
        <w:t xml:space="preserve">tārīx-e nāser-ed-dīn šāh</w:t>
      </w:r>
    </w:p>
    <w:p>
      <w:pPr>
        <w:pStyle w:val="BookText"/>
      </w:pPr>
      <w:r>
        <w:rPr>
          <w:rFonts w:ascii="IRNazanin" w:hAnsi="IRNazanin" w:eastAsia="IRNazanin" w:cs="IRNazanin"/>
          <w:lang w:bidi="fa-IR"/>
          <w:color w:val="111111"/>
          <w:sz w:val="28"/>
          <w:szCs w:val="28"/>
          <w:rtl/>
        </w:rPr>
        <w:t xml:space="preserve">منشی رازی، ابراهیم، ق۱۴ قمری</w:t>
      </w:r>
    </w:p>
    <w:p>
      <w:pPr>
        <w:pStyle w:val="BookText"/>
      </w:pPr>
      <w:r>
        <w:rPr>
          <w:rFonts w:ascii="Times New Roman" w:hAnsi="Times New Roman" w:eastAsia="Times New Roman" w:cs="Times New Roman"/>
          <w:lang w:val="en-US" w:bidi="en-US"/>
          <w:color w:val="111111"/>
          <w:sz w:val="28"/>
          <w:szCs w:val="28"/>
          <w:rtl/>
        </w:rPr>
        <w:t xml:space="preserve">monšī rāzī, ebrāhīm (-20c)</w:t>
      </w:r>
    </w:p>
    <w:p>
      <w:pPr>
        <w:pStyle w:val="BookText"/>
      </w:pPr>
      <w:r>
        <w:rPr>
          <w:rFonts w:ascii="IRNazanin" w:hAnsi="IRNazanin" w:eastAsia="IRNazanin" w:cs="IRNazanin"/>
          <w:lang w:bidi="fa-IR"/>
          <w:color w:val="111111"/>
          <w:sz w:val="28"/>
          <w:szCs w:val="28"/>
          <w:rtl/>
        </w:rPr>
        <w:t xml:space="preserve">اهداء به: ناصرالدین شاه قاجار به نام همین شاه ساخته شده ولی ناتمام مانده است.</w:t>
      </w:r>
    </w:p>
    <w:p>
      <w:pPr>
        <w:pStyle w:val="BookText"/>
      </w:pPr>
      <w:r>
        <w:rPr>
          <w:rFonts w:ascii="IRNazanin" w:hAnsi="IRNazanin" w:eastAsia="IRNazanin" w:cs="IRNazanin"/>
          <w:lang w:bidi="fa-IR"/>
          <w:color w:val="111111"/>
          <w:sz w:val="28"/>
          <w:szCs w:val="28"/>
          <w:rtl/>
        </w:rPr>
        <w:t xml:space="preserve">تهران؛ مهدوی؛ شماره نسخه:۱۷۹</w:t>
      </w:r>
    </w:p>
    <w:p>
      <w:pPr>
        <w:pStyle w:val="BookText"/>
      </w:pPr>
      <w:r>
        <w:rPr>
          <w:rFonts w:ascii="IRNazanin" w:hAnsi="IRNazanin" w:eastAsia="IRNazanin" w:cs="IRNazanin"/>
          <w:lang w:bidi="fa-IR"/>
          <w:color w:val="111111"/>
          <w:sz w:val="28"/>
          <w:szCs w:val="28"/>
          <w:rtl/>
        </w:rPr>
        <w:t xml:space="preserve">خط: نستعلیق، کاتب = مؤلف، بی تا؛ کاغذ: ترمه [نشریه: ۲-۶۶]</w:t>
      </w:r>
    </w:p>
    <w:p>
      <w:pPr>
        <w:pStyle w:val="BookText"/>
      </w:pPr>
      <w:r>
        <w:rPr>
          <w:rFonts w:ascii="IRNazanin" w:hAnsi="IRNazanin" w:eastAsia="IRNazanin" w:cs="IRNazanin"/>
          <w:lang w:bidi="fa-IR"/>
          <w:color w:val="111111"/>
          <w:sz w:val="28"/>
          <w:szCs w:val="28"/>
          <w:rtl/>
        </w:rPr>
        <w:t xml:space="preserve">← تاریخ ناصری ← تاریخ بیهقی</w:t>
      </w:r>
    </w:p>
    <w:p>
      <w:pPr>
        <w:pStyle w:val="Heading3"/>
      </w:pPr>
      <w:bookmarkStart w:id="2704" w:name="_Toc1964"/>
      <w:r>
        <w:t>•تاریخ ناصری / تاریخ / فارسی</w:t>
      </w:r>
      <w:bookmarkEnd w:id="2704"/>
    </w:p>
    <w:p>
      <w:pPr>
        <w:pStyle w:val="BookText"/>
      </w:pPr>
      <w:r>
        <w:rPr>
          <w:rFonts w:ascii="Times New Roman" w:hAnsi="Times New Roman" w:eastAsia="Times New Roman" w:cs="Times New Roman"/>
          <w:lang w:val="en-US" w:bidi="en-US"/>
          <w:color w:val="111111"/>
          <w:sz w:val="28"/>
          <w:szCs w:val="28"/>
          <w:rtl/>
        </w:rPr>
        <w:t xml:space="preserve">tārīx-e nāserī</w:t>
      </w:r>
    </w:p>
    <w:p>
      <w:pPr>
        <w:pStyle w:val="BookText"/>
      </w:pPr>
      <w:r>
        <w:rPr>
          <w:rFonts w:ascii="IRNazanin" w:hAnsi="IRNazanin" w:eastAsia="IRNazanin" w:cs="IRNazanin"/>
          <w:lang w:bidi="fa-IR"/>
          <w:color w:val="111111"/>
          <w:sz w:val="28"/>
          <w:szCs w:val="28"/>
          <w:rtl/>
        </w:rPr>
        <w:t xml:space="preserve">حسینی منجم، محمد حسن بن محمد حسین، ۱۲۶۵ قمری</w:t>
      </w:r>
    </w:p>
    <w:p>
      <w:pPr>
        <w:pStyle w:val="BookText"/>
      </w:pPr>
      <w:r>
        <w:rPr>
          <w:rFonts w:ascii="Times New Roman" w:hAnsi="Times New Roman" w:eastAsia="Times New Roman" w:cs="Times New Roman"/>
          <w:lang w:val="en-US" w:bidi="en-US"/>
          <w:color w:val="111111"/>
          <w:sz w:val="28"/>
          <w:szCs w:val="28"/>
          <w:rtl/>
        </w:rPr>
        <w:t xml:space="preserve">ebn-e</w:t>
      </w:r>
    </w:p>
    <w:p>
      <w:pPr>
        <w:pStyle w:val="BookText"/>
      </w:pPr>
      <w:r>
        <w:rPr>
          <w:rFonts w:ascii="Times New Roman" w:hAnsi="Times New Roman" w:eastAsia="Times New Roman" w:cs="Times New Roman"/>
          <w:lang w:val="en-US" w:bidi="en-US"/>
          <w:color w:val="111111"/>
          <w:sz w:val="28"/>
          <w:szCs w:val="28"/>
          <w:rtl/>
        </w:rPr>
        <w:t xml:space="preserve">hoseynī monajjem, mohammad hasan mohammad hoseyn (-1849)</w:t>
      </w:r>
    </w:p>
    <w:p>
      <w:pPr>
        <w:pStyle w:val="BookText"/>
      </w:pPr>
      <w:r>
        <w:rPr>
          <w:rFonts w:ascii="IRNazanin" w:hAnsi="IRNazanin" w:eastAsia="IRNazanin" w:cs="IRNazanin"/>
          <w:lang w:bidi="fa-IR"/>
          <w:color w:val="111111"/>
          <w:sz w:val="28"/>
          <w:szCs w:val="28"/>
          <w:rtl/>
        </w:rPr>
        <w:t xml:space="preserve">اهداء به: ناصرالدین شاه در استخراج تاریخ از سال ۱۲۶۴ قمری. آغاز: بسمله، الحمدلله ذي المحامد الزاخرة ... اما بعد چنین گوید ... محمد حسن بن محمد حسین الحسینی المنجم که چون بزرگ شد بر من نعمت شاهنشاه روی زمین ... ناصر الدين ...... و قریب یکصد سال گذشت که خود و آباء و اجداد و نیاکان این بنده عبودیت ارکان از خوان نعمت این دودمان که جاویدان باد پوشیده و نوشیده ...</w:t>
      </w:r>
    </w:p>
    <w:p>
      <w:pPr>
        <w:pStyle w:val="BookText"/>
      </w:pPr>
      <w:r>
        <w:rPr>
          <w:rFonts w:ascii="IRNazanin" w:hAnsi="IRNazanin" w:eastAsia="IRNazanin" w:cs="IRNazanin"/>
          <w:lang w:bidi="fa-IR"/>
          <w:color w:val="111111"/>
          <w:sz w:val="28"/>
          <w:szCs w:val="28"/>
          <w:rtl/>
        </w:rPr>
        <w:t xml:space="preserve">۱. تهران، ملک، شماره نسخه:۳۲۵۷</w:t>
      </w:r>
    </w:p>
    <w:p>
      <w:pPr>
        <w:pStyle w:val="BookText"/>
      </w:pPr>
      <w:r>
        <w:rPr>
          <w:rFonts w:ascii="IRNazanin" w:hAnsi="IRNazanin" w:eastAsia="IRNazanin" w:cs="IRNazanin"/>
          <w:lang w:bidi="fa-IR"/>
          <w:color w:val="111111"/>
          <w:sz w:val="28"/>
          <w:szCs w:val="28"/>
          <w:rtl/>
        </w:rPr>
        <w:t xml:space="preserve">آغاز: برابر؛ انجام: اجمعين الى يوم الدين. خط: نستعلیق، بی کا، تا: قرن ۱۳، با سرلوح، مجدول به طلا؛ کاغذ: کاغذ ترمه اصفهانی، جلد: میشن سیاه، ۹گ، ۹ سطر، اندازه: ۱۷/۲۶۱۰/۹ سم [ف: ۲-۹۴]</w:t>
      </w:r>
    </w:p>
    <w:p>
      <w:pPr>
        <w:pStyle w:val="BookText"/>
      </w:pPr>
      <w:r>
        <w:rPr>
          <w:rFonts w:ascii="IRNazanin" w:hAnsi="IRNazanin" w:eastAsia="IRNazanin" w:cs="IRNazanin"/>
          <w:lang w:bidi="fa-IR"/>
          <w:color w:val="111111"/>
          <w:sz w:val="28"/>
          <w:szCs w:val="28"/>
          <w:rtl/>
        </w:rPr>
        <w:t xml:space="preserve">۲. تهران، ملک؛ شماره نسخه:۳۷۴۵</w:t>
      </w:r>
    </w:p>
    <w:p>
      <w:pPr>
        <w:pStyle w:val="BookText"/>
      </w:pPr>
      <w:r>
        <w:rPr>
          <w:rFonts w:ascii="IRNazanin" w:hAnsi="IRNazanin" w:eastAsia="IRNazanin" w:cs="IRNazanin"/>
          <w:lang w:bidi="fa-IR"/>
          <w:color w:val="111111"/>
          <w:sz w:val="28"/>
          <w:szCs w:val="28"/>
          <w:rtl/>
        </w:rPr>
        <w:t xml:space="preserve">خط شکسته نستعلیق، بی کا، تا: ربيع الاول ۱۲۹۶ق؛ کاغذ: فرنگی آهار مهره، جلد: میشن سیاه، ۱۶گ، ۹ سطر، اندازه: ۲۰/۶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۱۴/۲ سم [ف: ۲-۹۴]</w:t>
      </w:r>
    </w:p>
    <w:p>
      <w:pPr>
        <w:pStyle w:val="BookText"/>
      </w:pPr>
      <w:r>
        <w:rPr>
          <w:rFonts w:ascii="IRNazanin" w:hAnsi="IRNazanin" w:eastAsia="IRNazanin" w:cs="IRNazanin"/>
          <w:lang w:bidi="fa-IR"/>
          <w:color w:val="111111"/>
          <w:sz w:val="28"/>
          <w:szCs w:val="28"/>
          <w:rtl/>
        </w:rPr>
        <w:t xml:space="preserve">← تاریخ نامه ← تاریخ بلعمی</w:t>
      </w:r>
    </w:p>
    <w:p>
      <w:pPr>
        <w:pStyle w:val="Heading3"/>
      </w:pPr>
      <w:bookmarkStart w:id="2705" w:name="_Toc1965"/>
      <w:r>
        <w:t>•تاریخ نامه = ترجمه تاریخ طبری / تاریخ / فارسی</w:t>
      </w:r>
      <w:bookmarkEnd w:id="2705"/>
    </w:p>
    <w:p>
      <w:pPr>
        <w:pStyle w:val="BookText"/>
      </w:pPr>
      <w:r>
        <w:rPr>
          <w:rFonts w:ascii="Times New Roman" w:hAnsi="Times New Roman" w:eastAsia="Times New Roman" w:cs="Times New Roman"/>
          <w:lang w:val="en-US" w:bidi="en-US"/>
          <w:color w:val="111111"/>
          <w:sz w:val="28"/>
          <w:szCs w:val="28"/>
          <w:rtl/>
        </w:rPr>
        <w:t xml:space="preserve">tārīx-nāme=t.-ye tārīx-e tabarī</w:t>
      </w:r>
    </w:p>
    <w:p>
      <w:pPr>
        <w:pStyle w:val="BookText"/>
      </w:pPr>
      <w:r>
        <w:rPr>
          <w:rFonts w:ascii="IRNazanin" w:hAnsi="IRNazanin" w:eastAsia="IRNazanin" w:cs="IRNazanin"/>
          <w:lang w:bidi="fa-IR"/>
          <w:color w:val="111111"/>
          <w:sz w:val="28"/>
          <w:szCs w:val="28"/>
          <w:rtl/>
        </w:rPr>
        <w:t xml:space="preserve">وابسته به: تاریخ طبری؛ طبری، محمد بن جریر (۲۲۴-۳۱۰)</w:t>
      </w:r>
    </w:p>
    <w:p>
      <w:pPr>
        <w:pStyle w:val="BookText"/>
      </w:pPr>
      <w:r>
        <w:rPr>
          <w:rFonts w:ascii="IRNazanin" w:hAnsi="IRNazanin" w:eastAsia="IRNazanin" w:cs="IRNazanin"/>
          <w:lang w:bidi="fa-IR"/>
          <w:color w:val="111111"/>
          <w:sz w:val="28"/>
          <w:szCs w:val="28"/>
          <w:rtl/>
        </w:rPr>
        <w:t xml:space="preserve">تهران؛ دانشگاه؛ شماره نسخه: ۸۶۸/۱ ف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bookmarkStart w:id="596" w:name="pg20363_209922"/>
    <w:bookmarkEnd w:id="596"/>
    <w:p>
      <w:pPr>
        <w:pStyle w:val="BookText"/>
      </w:pPr>
      <w:r>
        <w:rPr>
          <w:rFonts w:ascii="IRNazanin" w:hAnsi="IRNazanin" w:eastAsia="IRNazanin" w:cs="IRNazanin"/>
          <w:lang w:bidi="fa-IR"/>
          <w:color w:val="111111"/>
          <w:sz w:val="28"/>
          <w:szCs w:val="28"/>
          <w:rtl/>
        </w:rPr>
        <w:t xml:space="preserve">نسخه اصل: موزه انجمن آسمایی همایونی لندن </w:t>
      </w:r>
      <w:r>
        <w:rPr>
          <w:rFonts w:ascii="Times New Roman" w:hAnsi="Times New Roman" w:eastAsia="Times New Roman" w:cs="Times New Roman"/>
          <w:lang w:val="en-US" w:bidi="en-US"/>
          <w:color w:val="111111"/>
          <w:sz w:val="28"/>
          <w:szCs w:val="28"/>
          <w:rtl/>
        </w:rPr>
        <w:t xml:space="preserve">S.a.r </w:t>
      </w:r>
      <w:r>
        <w:rPr>
          <w:rFonts w:ascii="IRNazanin" w:hAnsi="IRNazanin" w:eastAsia="IRNazanin" w:cs="IRNazanin"/>
          <w:lang w:bidi="fa-IR"/>
          <w:color w:val="111111"/>
          <w:sz w:val="28"/>
          <w:szCs w:val="28"/>
          <w:rtl/>
        </w:rPr>
        <w:t xml:space="preserve">؛ خط: نسخ، كان محمد شاه بن على بن محمود شاد بخت حافظ اصفهانی، تا: شنبه ۱۸ شوال ۷۰۱ق؛ ۳۳ سطر [فیلمها ف: ۱-۵۴۴]</w:t>
      </w:r>
    </w:p>
    <w:p>
      <w:pPr>
        <w:pStyle w:val="BookText"/>
      </w:pPr>
      <w:r>
        <w:rPr>
          <w:rFonts w:ascii="IRNazanin" w:hAnsi="IRNazanin" w:eastAsia="IRNazanin" w:cs="IRNazanin"/>
          <w:lang w:bidi="fa-IR"/>
          <w:color w:val="111111"/>
          <w:sz w:val="28"/>
          <w:szCs w:val="28"/>
          <w:rtl/>
        </w:rPr>
        <w:t xml:space="preserve">←تاریخ نامه خاقان ← تاریخ ذوالقرنین</w:t>
      </w:r>
    </w:p>
    <w:p>
      <w:pPr>
        <w:pStyle w:val="BookText"/>
      </w:pPr>
      <w:r>
        <w:rPr>
          <w:rFonts w:ascii="IRNazanin" w:hAnsi="IRNazanin" w:eastAsia="IRNazanin" w:cs="IRNazanin"/>
          <w:lang w:bidi="fa-IR"/>
          <w:color w:val="111111"/>
          <w:sz w:val="28"/>
          <w:szCs w:val="28"/>
          <w:rtl/>
        </w:rPr>
        <w:t xml:space="preserve">← تاریخ نامه راقم ← تاریخ راقم</w:t>
      </w:r>
    </w:p>
    <w:p>
      <w:pPr>
        <w:pStyle w:val="Heading3"/>
      </w:pPr>
      <w:bookmarkStart w:id="2706" w:name="_Toc1966"/>
      <w:r>
        <w:t>•تاریخ نامه هرات = تاریخ ملوک  کرت = تاریخ سیفی / تاریخ ایران / فارسی</w:t>
      </w:r>
      <w:bookmarkEnd w:id="2706"/>
    </w:p>
    <w:p>
      <w:pPr>
        <w:pStyle w:val="BookText"/>
      </w:pPr>
      <w:r>
        <w:rPr>
          <w:rFonts w:ascii="Times New Roman" w:hAnsi="Times New Roman" w:eastAsia="Times New Roman" w:cs="Times New Roman"/>
          <w:lang w:val="en-US" w:bidi="en-US"/>
          <w:color w:val="111111"/>
          <w:sz w:val="28"/>
          <w:szCs w:val="28"/>
          <w:rtl/>
        </w:rPr>
        <w:t xml:space="preserve">tārīx-nāme-ye harāt = tārīx-e molūk-e kart = tārīx-e seyfī</w:t>
      </w:r>
    </w:p>
    <w:p>
      <w:pPr>
        <w:pStyle w:val="BookText"/>
      </w:pPr>
      <w:r>
        <w:rPr>
          <w:rFonts w:ascii="IRNazanin" w:hAnsi="IRNazanin" w:eastAsia="IRNazanin" w:cs="IRNazanin"/>
          <w:lang w:bidi="fa-IR"/>
          <w:color w:val="111111"/>
          <w:sz w:val="28"/>
          <w:szCs w:val="28"/>
          <w:rtl/>
        </w:rPr>
        <w:t xml:space="preserve">سیفی هروی، سیف بن محمد، ۶۸۱ق ۸ قمری</w:t>
      </w:r>
    </w:p>
    <w:p>
      <w:pPr>
        <w:pStyle w:val="BookText"/>
      </w:pPr>
      <w:r>
        <w:rPr>
          <w:rFonts w:ascii="Times New Roman" w:hAnsi="Times New Roman" w:eastAsia="Times New Roman" w:cs="Times New Roman"/>
          <w:lang w:val="en-US" w:bidi="en-US"/>
          <w:color w:val="111111"/>
          <w:sz w:val="28"/>
          <w:szCs w:val="28"/>
          <w:rtl/>
        </w:rPr>
        <w:t xml:space="preserve">seyfi heravī, sayf ebn-e mohammad (1283-14c)</w:t>
      </w:r>
    </w:p>
    <w:p>
      <w:pPr>
        <w:pStyle w:val="BookText"/>
      </w:pPr>
      <w:r>
        <w:rPr>
          <w:rFonts w:ascii="IRNazanin" w:hAnsi="IRNazanin" w:eastAsia="IRNazanin" w:cs="IRNazanin"/>
          <w:lang w:bidi="fa-IR"/>
          <w:color w:val="111111"/>
          <w:sz w:val="28"/>
          <w:szCs w:val="28"/>
          <w:rtl/>
        </w:rPr>
        <w:t xml:space="preserve">اهدا به: غیاث الدین محمد کرت (۷۰۸-۷۲۹ق</w:t>
      </w:r>
    </w:p>
    <w:p>
      <w:pPr>
        <w:pStyle w:val="BookText"/>
      </w:pPr>
      <w:r>
        <w:rPr>
          <w:rFonts w:ascii="IRNazanin" w:hAnsi="IRNazanin" w:eastAsia="IRNazanin" w:cs="IRNazanin"/>
          <w:lang w:bidi="fa-IR"/>
          <w:color w:val="111111"/>
          <w:sz w:val="28"/>
          <w:szCs w:val="28"/>
          <w:rtl/>
        </w:rPr>
        <w:t xml:space="preserve">تاریخ تأليف: ۷۲۰ق تاریخ هرات و پادشاهان کرت است از ۶۱۸ تا ۷۲۱ق و از دو دفتر آن تنها یک دفتر در دست هست، که در ۱۳۸ بند به نام «ذکر»..</w:t>
      </w:r>
    </w:p>
    <w:p>
      <w:pPr>
        <w:pStyle w:val="BookText"/>
      </w:pPr>
      <w:r>
        <w:rPr>
          <w:rFonts w:ascii="IRNazanin" w:hAnsi="IRNazanin" w:eastAsia="IRNazanin" w:cs="IRNazanin"/>
          <w:lang w:bidi="fa-IR"/>
          <w:color w:val="111111"/>
          <w:sz w:val="28"/>
          <w:szCs w:val="28"/>
          <w:rtl/>
        </w:rPr>
        <w:t xml:space="preserve">چاپ: کلکته، ۱۳۶۲ق، به کوشش محمد زبیر صدیقی.</w:t>
      </w:r>
    </w:p>
    <w:p>
      <w:pPr>
        <w:pStyle w:val="BookText"/>
      </w:pPr>
      <w:r>
        <w:rPr>
          <w:rFonts w:ascii="IRNazanin" w:hAnsi="IRNazanin" w:eastAsia="IRNazanin" w:cs="IRNazanin"/>
          <w:lang w:bidi="fa-IR"/>
          <w:color w:val="111111"/>
          <w:sz w:val="28"/>
          <w:szCs w:val="28"/>
          <w:rtl/>
        </w:rPr>
        <w:t xml:space="preserve">[دنا ۷۴۷/۲ ؛ نسخه های منزوی ۴۲۷۸؛ فهرستواره منزوی ۹۱۱/۲ ]</w:t>
      </w:r>
    </w:p>
    <w:p>
      <w:pPr>
        <w:pStyle w:val="BookText"/>
      </w:pPr>
      <w:r>
        <w:rPr>
          <w:rFonts w:ascii="IRNazanin" w:hAnsi="IRNazanin" w:eastAsia="IRNazanin" w:cs="IRNazanin"/>
          <w:lang w:bidi="fa-IR"/>
          <w:color w:val="111111"/>
          <w:sz w:val="28"/>
          <w:szCs w:val="28"/>
          <w:rtl/>
        </w:rPr>
        <w:t xml:space="preserve">تهران؛ مجلس؛ شماره نسخه: ۹۶۵۱</w:t>
      </w:r>
    </w:p>
    <w:p>
      <w:pPr>
        <w:pStyle w:val="BookText"/>
      </w:pPr>
      <w:r>
        <w:rPr>
          <w:rFonts w:ascii="IRNazanin" w:hAnsi="IRNazanin" w:eastAsia="IRNazanin" w:cs="IRNazanin"/>
          <w:lang w:bidi="fa-IR"/>
          <w:color w:val="111111"/>
          <w:sz w:val="28"/>
          <w:szCs w:val="28"/>
          <w:rtl/>
        </w:rPr>
        <w:t xml:space="preserve">آغاز: کلام من بچه ارزد در آن جناب شريف *** که دون صف نعالست موقف حسان ... بنابراین ابواب در تالیف این کتاب بر موجب المامور معذور شروع کردم ... و این تاریخ نامه را بر چهار صد ذکر ختم کردم؛ انجام: در باب ایشان مبذول داشت و هر یک را عليحده مثال عالم زال في الأقطار. نسخه حاضر یک برگ از آغاز افتادگی دارد و در انجام تا ذکر صد و سی و ششم را در بردارد؛ خط: نستعلیق، بی کا، تا: قرن ۱۰؛ مجدول؛ تملک: فضل الله زنجانی؛ جلد: تیماج قهوه ای رویه پارچه قرمز، ۳۱۱گ، ۱۷ سطر، اندازه: 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۳۱-۳۳)</w:t>
      </w:r>
    </w:p>
    <w:p>
      <w:pPr>
        <w:pStyle w:val="Heading3"/>
      </w:pPr>
      <w:bookmarkStart w:id="2707" w:name="_Toc1967"/>
      <w:r>
        <w:t>•تاریخ نبوی / تاریخ اسلام / فارسی</w:t>
      </w:r>
      <w:bookmarkEnd w:id="2707"/>
    </w:p>
    <w:p>
      <w:pPr>
        <w:pStyle w:val="BookText"/>
      </w:pPr>
      <w:r>
        <w:rPr>
          <w:rFonts w:ascii="Times New Roman" w:hAnsi="Times New Roman" w:eastAsia="Times New Roman" w:cs="Times New Roman"/>
          <w:lang w:val="en-US" w:bidi="en-US"/>
          <w:color w:val="111111"/>
          <w:sz w:val="28"/>
          <w:szCs w:val="28"/>
          <w:rtl/>
        </w:rPr>
        <w:t xml:space="preserve">tārīx-e nabavī</w:t>
      </w:r>
    </w:p>
    <w:p>
      <w:pPr>
        <w:pStyle w:val="BookText"/>
      </w:pPr>
      <w:r>
        <w:rPr>
          <w:rFonts w:ascii="IRNazanin" w:hAnsi="IRNazanin" w:eastAsia="IRNazanin" w:cs="IRNazanin"/>
          <w:lang w:bidi="fa-IR"/>
          <w:color w:val="111111"/>
          <w:sz w:val="28"/>
          <w:szCs w:val="28"/>
          <w:rtl/>
        </w:rPr>
        <w:t xml:space="preserve">تاریخ مفصل و مبسوطی از حوادث ولادت و سیر زندگی پیش از رسالت و جریانات بعثت پیامبر اکرم به نبوت، جنگها و غزوات آن حضرت، خلفا و جانشینان آن حضرت و فتوحات سرزمینهای اسلامی که بدون فصل بندی خاصی آورده شده و در لابه لای مطالب اشعاری نیز نوشته شده است.</w:t>
      </w:r>
    </w:p>
    <w:p>
      <w:pPr>
        <w:pStyle w:val="BookText"/>
      </w:pPr>
      <w:r>
        <w:rPr>
          <w:rFonts w:ascii="IRNazanin" w:hAnsi="IRNazanin" w:eastAsia="IRNazanin" w:cs="IRNazanin"/>
          <w:lang w:bidi="fa-IR"/>
          <w:color w:val="111111"/>
          <w:sz w:val="28"/>
          <w:szCs w:val="28"/>
          <w:rtl/>
        </w:rPr>
        <w:t xml:space="preserve">آران کاشان؛ محمد هلال؛ شماره نسخه:۲۳۷</w:t>
      </w:r>
    </w:p>
    <w:p>
      <w:pPr>
        <w:pStyle w:val="BookText"/>
      </w:pPr>
      <w:r>
        <w:rPr>
          <w:rFonts w:ascii="IRNazanin" w:hAnsi="IRNazanin" w:eastAsia="IRNazanin" w:cs="IRNazanin"/>
          <w:lang w:bidi="fa-IR"/>
          <w:color w:val="111111"/>
          <w:sz w:val="28"/>
          <w:szCs w:val="28"/>
          <w:rtl/>
        </w:rPr>
        <w:t xml:space="preserve">آغاز: ذکر رفتن عبدالله این پس و کشته شدن سفيان بن خالد، سفیان بن خالد مزیلی با آنکه بعضی از صحابه را شهید ساخت و به تبع مهم برخی از آن دولتمندان پرداخت چنانچه رقمزده کلک بیان گشت و خط: نستعلیق جلی، بی کا، تا: قرن ۱۳؛ افتادگی: آغاز و انجام؛ مجدول شنگرف و لاجوردی؛ جلد: گالینگور سیاه با عطف پارچه، ۲۵۵ گ، ۲۴ سطر، اندازه: ۳۶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مخ:-۲۳]</w:t>
      </w:r>
    </w:p>
    <w:p>
      <w:pPr>
        <w:pStyle w:val="Heading3"/>
      </w:pPr>
      <w:bookmarkStart w:id="2708" w:name="_Toc1968"/>
      <w:r>
        <w:t>•تاریخ النبی(صلی الله علیه وآله وسلم)/ تاریخ پیامبر اکرم(صلی الله علیه وآله وسلم)/ عربی</w:t>
      </w:r>
      <w:bookmarkEnd w:id="2708"/>
    </w:p>
    <w:p>
      <w:pPr>
        <w:pStyle w:val="BookText"/>
      </w:pPr>
      <w:r>
        <w:rPr>
          <w:rFonts w:ascii="Times New Roman" w:hAnsi="Times New Roman" w:eastAsia="Times New Roman" w:cs="Times New Roman"/>
          <w:lang w:val="en-US" w:bidi="en-US"/>
          <w:color w:val="111111"/>
          <w:sz w:val="28"/>
          <w:szCs w:val="28"/>
          <w:rtl/>
        </w:rPr>
        <w:t xml:space="preserve">tārīx-un nabī</w:t>
      </w:r>
    </w:p>
    <w:p>
      <w:pPr>
        <w:pStyle w:val="BookText"/>
      </w:pPr>
      <w:r>
        <w:rPr>
          <w:rFonts w:ascii="IRNazanin" w:hAnsi="IRNazanin" w:eastAsia="IRNazanin" w:cs="IRNazanin"/>
          <w:lang w:bidi="fa-IR"/>
          <w:color w:val="111111"/>
          <w:sz w:val="28"/>
          <w:szCs w:val="28"/>
          <w:rtl/>
        </w:rPr>
        <w:t xml:space="preserve">؟ رازی، احمد بن فارس، ۳۲۶؟ ۳۹۵؟ قمری</w:t>
      </w:r>
    </w:p>
    <w:p>
      <w:pPr>
        <w:pStyle w:val="BookText"/>
      </w:pPr>
      <w:r>
        <w:rPr>
          <w:rFonts w:ascii="Times New Roman" w:hAnsi="Times New Roman" w:eastAsia="Times New Roman" w:cs="Times New Roman"/>
          <w:lang w:val="en-US" w:bidi="en-US"/>
          <w:color w:val="111111"/>
          <w:sz w:val="28"/>
          <w:szCs w:val="28"/>
          <w:rtl/>
        </w:rPr>
        <w:t xml:space="preserve">rāzī, ahmad ebn-e fārs (939-1006)</w:t>
      </w:r>
    </w:p>
    <w:p>
      <w:pPr>
        <w:pStyle w:val="BookText"/>
      </w:pPr>
      <w:r>
        <w:rPr>
          <w:rFonts w:ascii="IRNazanin" w:hAnsi="IRNazanin" w:eastAsia="IRNazanin" w:cs="IRNazanin"/>
          <w:lang w:bidi="fa-IR"/>
          <w:color w:val="111111"/>
          <w:sz w:val="28"/>
          <w:szCs w:val="28"/>
          <w:rtl/>
        </w:rPr>
        <w:t xml:space="preserve">در ذکر چیزهایی که دانستنش بر هر مسلمان واجب است از نسب رسول الله و محل تولدش و احوال او در جنگ هایش و اسامی فرزندانش.</w:t>
      </w:r>
    </w:p>
    <w:p>
      <w:pPr>
        <w:pStyle w:val="BookText"/>
      </w:pPr>
      <w:r>
        <w:rPr>
          <w:rFonts w:ascii="IRNazanin" w:hAnsi="IRNazanin" w:eastAsia="IRNazanin" w:cs="IRNazanin"/>
          <w:lang w:bidi="fa-IR"/>
          <w:color w:val="111111"/>
          <w:sz w:val="28"/>
          <w:szCs w:val="28"/>
          <w:rtl/>
        </w:rPr>
        <w:t xml:space="preserve">تهران؛ ملک؛ شماره نسخه: ۱۶۲۶/۲۰</w:t>
      </w:r>
    </w:p>
    <w:p>
      <w:pPr>
        <w:pStyle w:val="BookText"/>
      </w:pPr>
      <w:r>
        <w:rPr>
          <w:rFonts w:ascii="IRNazanin" w:hAnsi="IRNazanin" w:eastAsia="IRNazanin" w:cs="IRNazanin"/>
          <w:lang w:bidi="fa-IR"/>
          <w:color w:val="111111"/>
          <w:sz w:val="28"/>
          <w:szCs w:val="28"/>
          <w:rtl/>
        </w:rPr>
        <w:t xml:space="preserve">خط: نسخ، بی کا، تا: ۸۵۴ق [ف: ۵-۳۱۳]</w:t>
      </w:r>
    </w:p>
    <w:p>
      <w:pPr>
        <w:pStyle w:val="Heading3"/>
      </w:pPr>
      <w:bookmarkStart w:id="2709" w:name="_Toc1969"/>
      <w:r>
        <w:t>•تاريخ النبي(صلی الله علیه وآله وسلم)/ تاریخ پیامبر اکرم / فارسی</w:t>
      </w:r>
      <w:bookmarkEnd w:id="2709"/>
    </w:p>
    <w:p>
      <w:pPr>
        <w:pStyle w:val="BookText"/>
      </w:pPr>
      <w:r>
        <w:rPr>
          <w:rFonts w:ascii="Times New Roman" w:hAnsi="Times New Roman" w:eastAsia="Times New Roman" w:cs="Times New Roman"/>
          <w:lang w:val="en-US" w:bidi="en-US"/>
          <w:color w:val="111111"/>
          <w:sz w:val="28"/>
          <w:szCs w:val="28"/>
          <w:rtl/>
        </w:rPr>
        <w:t xml:space="preserve">tārīx-un nabī</w:t>
      </w:r>
    </w:p>
    <w:p>
      <w:pPr>
        <w:pStyle w:val="BookText"/>
      </w:pPr>
      <w:r>
        <w:rPr>
          <w:rFonts w:ascii="IRNazanin" w:hAnsi="IRNazanin" w:eastAsia="IRNazanin" w:cs="IRNazanin"/>
          <w:lang w:bidi="fa-IR"/>
          <w:color w:val="111111"/>
          <w:sz w:val="28"/>
          <w:szCs w:val="28"/>
          <w:rtl/>
        </w:rPr>
        <w:t xml:space="preserve">تاریخ زندگانی پیامبر اکرم(صلی الله علیه وآله وسلم) است از نسب شریف آن حضرت و ولادت تا وفات ایشان و وقایعی که بعد از رحلت ایشان و در زمان امام علی (علیه) اتفاق افتاده است.</w:t>
      </w:r>
    </w:p>
    <w:p>
      <w:pPr>
        <w:pStyle w:val="BookText"/>
      </w:pPr>
      <w:r>
        <w:rPr>
          <w:rFonts w:ascii="IRNazanin" w:hAnsi="IRNazanin" w:eastAsia="IRNazanin" w:cs="IRNazanin"/>
          <w:lang w:bidi="fa-IR"/>
          <w:color w:val="111111"/>
          <w:sz w:val="28"/>
          <w:szCs w:val="28"/>
          <w:rtl/>
        </w:rPr>
        <w:t xml:space="preserve">قائن؛ مدرسه جعفریه؛ شماره نسخه:۱۰۸</w:t>
      </w:r>
    </w:p>
    <w:p>
      <w:pPr>
        <w:pStyle w:val="BookText"/>
      </w:pPr>
      <w:r>
        <w:rPr>
          <w:rFonts w:ascii="IRNazanin" w:hAnsi="IRNazanin" w:eastAsia="IRNazanin" w:cs="IRNazanin"/>
          <w:lang w:bidi="fa-IR"/>
          <w:color w:val="111111"/>
          <w:sz w:val="28"/>
          <w:szCs w:val="28"/>
          <w:rtl/>
        </w:rPr>
        <w:t xml:space="preserve">آغاز: محمد بن عبدالله بن عبدالمطلب بن هاشم بن عبد مناف خط: نستعلیق، بی کا، تا: قرن ۱۳؛ افتادگی: آغاز و وسط و انجام؛ جلد: تیماج قهوه ای، ۴۱۰گ، ۱۴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سم [ کتابخانه های قائن: ف: ۹۵]</w:t>
      </w:r>
    </w:p>
    <w:p>
      <w:pPr>
        <w:pStyle w:val="Heading3"/>
      </w:pPr>
      <w:bookmarkStart w:id="2710" w:name="_Toc1970"/>
      <w:r>
        <w:t>•تاریخ نبیل زرندی (مختصر) / بهائیت / فارسی</w:t>
      </w:r>
      <w:bookmarkEnd w:id="2710"/>
    </w:p>
    <w:p>
      <w:pPr>
        <w:pStyle w:val="BookText"/>
      </w:pPr>
      <w:r>
        <w:rPr>
          <w:rFonts w:ascii="Times New Roman" w:hAnsi="Times New Roman" w:eastAsia="Times New Roman" w:cs="Times New Roman"/>
          <w:lang w:val="en-US" w:bidi="en-US"/>
          <w:color w:val="111111"/>
          <w:sz w:val="28"/>
          <w:szCs w:val="28"/>
          <w:rtl/>
        </w:rPr>
        <w:t xml:space="preserve">tārīx-e nabīl-e zarandī (mx.)</w:t>
      </w:r>
    </w:p>
    <w:p>
      <w:pPr>
        <w:pStyle w:val="BookText"/>
      </w:pPr>
      <w:r>
        <w:rPr>
          <w:rFonts w:ascii="IRNazanin" w:hAnsi="IRNazanin" w:eastAsia="IRNazanin" w:cs="IRNazanin"/>
          <w:lang w:bidi="fa-IR"/>
          <w:color w:val="111111"/>
          <w:sz w:val="28"/>
          <w:szCs w:val="28"/>
          <w:rtl/>
        </w:rPr>
        <w:t xml:space="preserve">اشراق خاوری، عبدالحمید -۱۳۱۵ شمسی</w:t>
      </w:r>
    </w:p>
    <w:p>
      <w:pPr>
        <w:pStyle w:val="BookText"/>
      </w:pPr>
      <w:r>
        <w:rPr>
          <w:rFonts w:ascii="Times New Roman" w:hAnsi="Times New Roman" w:eastAsia="Times New Roman" w:cs="Times New Roman"/>
          <w:lang w:val="en-US" w:bidi="en-US"/>
          <w:color w:val="111111"/>
          <w:sz w:val="28"/>
          <w:szCs w:val="28"/>
          <w:rtl/>
        </w:rPr>
        <w:t xml:space="preserve">ešrāq-e xāvarī, ‘abd-ol-hamīd (-1999)</w:t>
      </w:r>
    </w:p>
    <w:p>
      <w:pPr>
        <w:pStyle w:val="BookText"/>
      </w:pPr>
      <w:r>
        <w:rPr>
          <w:rFonts w:ascii="IRNazanin" w:hAnsi="IRNazanin" w:eastAsia="IRNazanin" w:cs="IRNazanin"/>
          <w:lang w:bidi="fa-IR"/>
          <w:color w:val="111111"/>
          <w:sz w:val="28"/>
          <w:szCs w:val="28"/>
          <w:rtl/>
        </w:rPr>
        <w:t xml:space="preserve">یزد؛ وزیری؛ شماره نسخه:۴۲۳۸ بی کا، بی تا [نشریه: ۱۳- ۳۷۹]</w:t>
      </w:r>
    </w:p>
    <w:p>
      <w:pPr>
        <w:pStyle w:val="Heading3"/>
      </w:pPr>
      <w:bookmarkStart w:id="2711" w:name="_Toc1971"/>
      <w:r>
        <w:t>•تاریخ نجف یا دانشگاه اسلامی / تاریخ / فارسی</w:t>
      </w:r>
      <w:bookmarkEnd w:id="2711"/>
    </w:p>
    <w:p>
      <w:pPr>
        <w:pStyle w:val="BookText"/>
      </w:pPr>
      <w:r>
        <w:rPr>
          <w:rFonts w:ascii="Times New Roman" w:hAnsi="Times New Roman" w:eastAsia="Times New Roman" w:cs="Times New Roman"/>
          <w:lang w:val="en-US" w:bidi="en-US"/>
          <w:color w:val="111111"/>
          <w:sz w:val="28"/>
          <w:szCs w:val="28"/>
          <w:rtl/>
        </w:rPr>
        <w:t xml:space="preserve">tārīx-e najaf yā dānešgāh-e eslāmī</w:t>
      </w:r>
    </w:p>
    <w:p>
      <w:pPr>
        <w:pStyle w:val="BookText"/>
      </w:pPr>
      <w:r>
        <w:rPr>
          <w:rFonts w:ascii="IRNazanin" w:hAnsi="IRNazanin" w:eastAsia="IRNazanin" w:cs="IRNazanin"/>
          <w:lang w:bidi="fa-IR"/>
          <w:color w:val="111111"/>
          <w:sz w:val="28"/>
          <w:szCs w:val="28"/>
          <w:rtl/>
        </w:rPr>
        <w:t xml:space="preserve">مدرس گیلانی، مرتضی بن شعبان، ق۱۴ قمری</w:t>
      </w:r>
    </w:p>
    <w:p>
      <w:pPr>
        <w:pStyle w:val="BookText"/>
      </w:pPr>
      <w:r>
        <w:rPr>
          <w:rFonts w:ascii="Times New Roman" w:hAnsi="Times New Roman" w:eastAsia="Times New Roman" w:cs="Times New Roman"/>
          <w:lang w:val="en-US" w:bidi="en-US"/>
          <w:color w:val="111111"/>
          <w:sz w:val="28"/>
          <w:szCs w:val="28"/>
          <w:rtl/>
        </w:rPr>
        <w:t xml:space="preserve">modarres-e gīlānī, morteza ebn-e ša‘bān (-20c)</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۱۶۶۳۲</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bookmarkStart w:id="597" w:name="pg20363_209923"/>
    <w:bookmarkEnd w:id="597"/>
    <w:p>
      <w:pPr>
        <w:pStyle w:val="BookText"/>
      </w:pPr>
      <w:r>
        <w:rPr>
          <w:rFonts w:ascii="IRNazanin" w:hAnsi="IRNazanin" w:eastAsia="IRNazanin" w:cs="IRNazanin"/>
          <w:lang w:bidi="fa-IR"/>
          <w:color w:val="111111"/>
          <w:sz w:val="28"/>
          <w:szCs w:val="28"/>
          <w:rtl/>
        </w:rPr>
        <w:t xml:space="preserve">جلد ۱؛ بی کا، بی تا [د.ث. مجلس]</w:t>
      </w:r>
    </w:p>
    <w:p>
      <w:pPr>
        <w:pStyle w:val="BookText"/>
      </w:pPr>
      <w:r>
        <w:rPr>
          <w:rFonts w:ascii="IRNazanin" w:hAnsi="IRNazanin" w:eastAsia="IRNazanin" w:cs="IRNazanin"/>
          <w:lang w:bidi="fa-IR"/>
          <w:color w:val="111111"/>
          <w:sz w:val="28"/>
          <w:szCs w:val="28"/>
          <w:rtl/>
        </w:rPr>
        <w:t xml:space="preserve">۲. تهران؛ مجلس؛ شماره نسخه:۱۶۶۳۶</w:t>
      </w:r>
    </w:p>
    <w:p>
      <w:pPr>
        <w:pStyle w:val="BookText"/>
      </w:pPr>
      <w:r>
        <w:rPr>
          <w:rFonts w:ascii="IRNazanin" w:hAnsi="IRNazanin" w:eastAsia="IRNazanin" w:cs="IRNazanin"/>
          <w:lang w:bidi="fa-IR"/>
          <w:color w:val="111111"/>
          <w:sz w:val="28"/>
          <w:szCs w:val="28"/>
          <w:rtl/>
        </w:rPr>
        <w:t xml:space="preserve">جلد ۲؛ بی کا، بی تا [د.ث. مجلس]</w:t>
      </w:r>
    </w:p>
    <w:p>
      <w:pPr>
        <w:pStyle w:val="Heading3"/>
      </w:pPr>
      <w:bookmarkStart w:id="2712" w:name="_Toc1972"/>
      <w:r>
        <w:t>•تاریخ نخجير ناصری / تاریخ پادشاهان / فارسی</w:t>
      </w:r>
      <w:bookmarkEnd w:id="2712"/>
    </w:p>
    <w:p>
      <w:pPr>
        <w:pStyle w:val="BookText"/>
      </w:pPr>
      <w:r>
        <w:rPr>
          <w:rFonts w:ascii="Times New Roman" w:hAnsi="Times New Roman" w:eastAsia="Times New Roman" w:cs="Times New Roman"/>
          <w:lang w:val="en-US" w:bidi="en-US"/>
          <w:color w:val="111111"/>
          <w:sz w:val="28"/>
          <w:szCs w:val="28"/>
          <w:rtl/>
        </w:rPr>
        <w:t xml:space="preserve">tārīx-e naxjīr-e nāserī</w:t>
      </w:r>
    </w:p>
    <w:p>
      <w:pPr>
        <w:pStyle w:val="BookText"/>
      </w:pPr>
      <w:r>
        <w:rPr>
          <w:rFonts w:ascii="IRNazanin" w:hAnsi="IRNazanin" w:eastAsia="IRNazanin" w:cs="IRNazanin"/>
          <w:lang w:bidi="fa-IR"/>
          <w:color w:val="111111"/>
          <w:sz w:val="28"/>
          <w:szCs w:val="28"/>
          <w:rtl/>
        </w:rPr>
        <w:t xml:space="preserve">ناصر الدين قاجار، شاه ایران، ۱۲۴۷-۱۳۱۳ قمری</w:t>
      </w:r>
    </w:p>
    <w:p>
      <w:pPr>
        <w:pStyle w:val="BookText"/>
      </w:pPr>
      <w:r>
        <w:rPr>
          <w:rFonts w:ascii="Times New Roman" w:hAnsi="Times New Roman" w:eastAsia="Times New Roman" w:cs="Times New Roman"/>
          <w:lang w:val="en-US" w:bidi="en-US"/>
          <w:color w:val="111111"/>
          <w:sz w:val="28"/>
          <w:szCs w:val="28"/>
          <w:rtl/>
        </w:rPr>
        <w:t xml:space="preserve">nāser-od-dīn-e qājār, šāh-e īrān (1832-1896)</w:t>
      </w:r>
    </w:p>
    <w:p>
      <w:pPr>
        <w:pStyle w:val="BookText"/>
      </w:pPr>
      <w:r>
        <w:rPr>
          <w:rFonts w:ascii="IRNazanin" w:hAnsi="IRNazanin" w:eastAsia="IRNazanin" w:cs="IRNazanin"/>
          <w:lang w:bidi="fa-IR"/>
          <w:color w:val="111111"/>
          <w:sz w:val="28"/>
          <w:szCs w:val="28"/>
          <w:rtl/>
        </w:rPr>
        <w:t xml:space="preserve">شرح و توصیف شکارهای ناصرالدین شاه قاجار است در نواحی شهرستانک و شکارگاه های سلطنتی که روزانه به قلم خودش به انضمام وقایع روزمره و اتفاقات قاجاریه یادداشت می شده و سپس به امر وی محمد حسن خان محقق الملک آنها را جمع آوری و تنظیم کرده و با تذهیب و تزئینات تفننی آراسته است. آغاز: بسمله، شکارهائیکه از ماه محرم ۱۲۷۹ ایت ئیل و ما بعدها میشود در این کتابچه ثبت و ضبط میشود بطور روزنامچه. روز شنبه چهاردهم شهر محرم الحرام از سلطنت آباد بعزم پیلاق شهرستانک حرکت شد از راه کوه البرز رفتیم راه را در کمال خوبی ساخته بودند که هیچ جا از اسب پیاده نشدیم. عین الملک در شمران ماند برای امر سواره کرد و ترک چهار شب بعد آمد شهرستانک .... امروز که این روزنامه را می نویسم روز شنبه بیست و یکم شهر محرمست تا اینجا مقدمات بود حالا باید تفصیل شکارهائیکه شده نوشته شود انشاء الله. انجام: روز دوشنبه صبح رفتم حمام ... بعد سوار شده رفتم طرف رودخانه سرا پائین قرقی انداختم ساری اصلان امروز از شهر آمده بود کنار رود جائی از برای نهار پیدا نشد رودخانه ناران را گرفته رفتم زیر کلاک چمن و بیدی بود آفتاب گردان زده نهار خوردیم طربوزان روزنامه خواند بعد با امین الملک نشسته جواب عرایض سپهسالار را نوشتیم بعد از آن کتابچه مطالب مفصلی داشت کشیک چی باشی آورده خوانده جواب دادیم بعد قدری خوابیدیم محقق روضة الصفا خواند علیرضا خان محمد علیخان بودند ادیب الملك آقاعلی حاجی میرزا على عکاس باشی موچولخان همه بودند ... روز یک شنبه بیست و هفتم مراجعت شد بسلطنت آباد ... امر و مقرر ... محمد حسن خان محقق الملک ... بسعی و اهتمام در انجام ترقیم و تصحیح و تذهیب آن مأمور فرمودند ... انا العبد كاتب الحضرة السلطان محمد حسین شیرازی في شهر ذیقعده سنه ۱۲۸۲.</w:t>
      </w:r>
    </w:p>
    <w:p>
      <w:pPr>
        <w:pStyle w:val="BookText"/>
      </w:pPr>
      <w:r>
        <w:rPr>
          <w:rFonts w:ascii="IRNazanin" w:hAnsi="IRNazanin" w:eastAsia="IRNazanin" w:cs="IRNazanin"/>
          <w:lang w:bidi="fa-IR"/>
          <w:color w:val="111111"/>
          <w:sz w:val="28"/>
          <w:szCs w:val="28"/>
          <w:rtl/>
        </w:rPr>
        <w:t xml:space="preserve">[دنا ۷۴۸/۲ ؛ فهرستواره منزوی ۹۱۲/۲ ]</w:t>
      </w:r>
    </w:p>
    <w:p>
      <w:pPr>
        <w:pStyle w:val="BookText"/>
      </w:pPr>
      <w:r>
        <w:rPr>
          <w:rFonts w:ascii="IRNazanin" w:hAnsi="IRNazanin" w:eastAsia="IRNazanin" w:cs="IRNazanin"/>
          <w:lang w:bidi="fa-IR"/>
          <w:color w:val="111111"/>
          <w:sz w:val="28"/>
          <w:szCs w:val="28"/>
          <w:rtl/>
        </w:rPr>
        <w:t xml:space="preserve">تهران؛ سلطنتی؛ شماره نسخه: ۸۴۲</w:t>
      </w:r>
    </w:p>
    <w:p>
      <w:pPr>
        <w:pStyle w:val="BookText"/>
      </w:pPr>
      <w:r>
        <w:rPr>
          <w:rFonts w:ascii="IRNazanin" w:hAnsi="IRNazanin" w:eastAsia="IRNazanin" w:cs="IRNazanin"/>
          <w:lang w:bidi="fa-IR"/>
          <w:color w:val="111111"/>
          <w:sz w:val="28"/>
          <w:szCs w:val="28"/>
          <w:rtl/>
        </w:rPr>
        <w:t xml:space="preserve">آغاز و انجام: برابر خط: نستعلیق بسیار خوب، كا: محمد حسین شیرازی (کاتب حضرت السلطان)، تا: ۱۲۸۲ق؛ یادداشت هایی به خط ناصر الدین شاه قاجار که نمایانگر خواندن و تصحیح نمودن این کتاب می باشد، مجدول، مذهب، کمند کشی زرین، چهار سرلوح مذهب؛ کاغذ: فرنگی آهار مهره، جلد: مقوای روغنی عکس چاپی ناصرالدین شاه، عمل آقا رضای عکاسباشی، ۵۰۳ص، ۱۱ سطر، اندازه: ۱۷/۵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۲۵/۵سم [ف: ۵-۳۵۴]</w:t>
      </w:r>
    </w:p>
    <w:p>
      <w:pPr>
        <w:pStyle w:val="Heading3"/>
      </w:pPr>
      <w:bookmarkStart w:id="2713" w:name="_Toc1973"/>
      <w:r>
        <w:t>•تاریخ نژاد و صفات و کیلیه / داستان / فارسی</w:t>
      </w:r>
      <w:bookmarkEnd w:id="2713"/>
    </w:p>
    <w:p>
      <w:pPr>
        <w:pStyle w:val="BookText"/>
      </w:pPr>
      <w:r>
        <w:rPr>
          <w:rFonts w:ascii="Times New Roman" w:hAnsi="Times New Roman" w:eastAsia="Times New Roman" w:cs="Times New Roman"/>
          <w:lang w:val="en-US" w:bidi="en-US"/>
          <w:color w:val="111111"/>
          <w:sz w:val="28"/>
          <w:szCs w:val="28"/>
          <w:rtl/>
        </w:rPr>
        <w:t xml:space="preserve">tārīx-e nežād va sefāt-e vakīlīye</w:t>
      </w:r>
    </w:p>
    <w:p>
      <w:pPr>
        <w:pStyle w:val="BookText"/>
      </w:pPr>
      <w:r>
        <w:rPr>
          <w:rFonts w:ascii="IRNazanin" w:hAnsi="IRNazanin" w:eastAsia="IRNazanin" w:cs="IRNazanin"/>
          <w:lang w:bidi="fa-IR"/>
          <w:color w:val="111111"/>
          <w:sz w:val="28"/>
          <w:szCs w:val="28"/>
          <w:rtl/>
        </w:rPr>
        <w:t xml:space="preserve">گفتگوی دونفره درباره میرزا مصطفی وکیل لشکر و طائفه وکیلیه و هجو ایشان است که به شیوه نمایش نامه (تئاتر) نوشته شده. مؤلف از خود یاد نکرده ولی درباره برگزیدن این روش نوشته است: «حکمای فرنگستان چون خواهند حکایتی را بیان کنند که طبایع را از آن انزجاری حاصل نشود و آن مطلب هم چنانجه هست به درستی منکشف گردد فقره ای طرح و به قاعده سؤال و جواب رسمی آن را نوشته علم تیاترش گویند. چون فيما بین جناب شیخ محمد تقی ملقب به شیخ شریعت و میرزا خلیل طلبه در مدرسه صحبتی واقع شده بود به قانون تیاتر نوشته می شود).</w:t>
      </w:r>
    </w:p>
    <w:p>
      <w:pPr>
        <w:pStyle w:val="BookText"/>
      </w:pPr>
      <w:r>
        <w:rPr>
          <w:rFonts w:ascii="IRNazanin" w:hAnsi="IRNazanin" w:eastAsia="IRNazanin" w:cs="IRNazanin"/>
          <w:lang w:bidi="fa-IR"/>
          <w:color w:val="111111"/>
          <w:sz w:val="28"/>
          <w:szCs w:val="28"/>
          <w:rtl/>
        </w:rPr>
        <w:t xml:space="preserve">مشهد؛ رضوی؛ شماره نسخه: ۳۷۱۱۱</w:t>
      </w:r>
    </w:p>
    <w:p>
      <w:pPr>
        <w:pStyle w:val="BookText"/>
      </w:pPr>
      <w:r>
        <w:rPr>
          <w:rFonts w:ascii="IRNazanin" w:hAnsi="IRNazanin" w:eastAsia="IRNazanin" w:cs="IRNazanin"/>
          <w:lang w:bidi="fa-IR"/>
          <w:color w:val="111111"/>
          <w:sz w:val="28"/>
          <w:szCs w:val="28"/>
          <w:rtl/>
        </w:rPr>
        <w:t xml:space="preserve">آغاز: اعوذ بالله من غضب الله. حکمای فرنگستان چون خواهند حکایتی را بیان کنند که طبایع را از آن انزجاری حاصل نشود ... ملا محمد تقی شیخ شریعت در مدرسه کنار حوض نشسته میرزا خلیل طلبه وارد شده می گوید شیخنا سلام علیکم؛ انجام: را به رسیدگی تقلبات این عليه ما عليه انداخته وجود ذي جود مسعود قبله عالم را در کمال شادکامی و سلامتی بدارد خط: نستعلیق شکسته، بی کا، تا: قرن ۱۴؛ ابتدای نسخه نام آن را چنین نوشته اند: «تاريخ نژاد و صفات و کلیه عليه الهاویه»، ابتدای نسخه دو نامه اداری به ریاست شعبه نظام آمده است؛ اهدایی: رهبری، مهر ۱۳۸۶؛ کاغذ: فرنگی نخودی آهار مهره، جلد: مقوا رویه پارچه ای عطف تیماج قهوه ای، ۱۱۷گ، ۱۵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 اهدائی رهبر: ۸-۳۸۲]</w:t>
      </w:r>
    </w:p>
    <w:p>
      <w:pPr>
        <w:pStyle w:val="BookText"/>
      </w:pPr>
      <w:r>
        <w:rPr>
          <w:rFonts w:ascii="IRNazanin" w:hAnsi="IRNazanin" w:eastAsia="IRNazanin" w:cs="IRNazanin"/>
          <w:lang w:bidi="fa-IR"/>
          <w:color w:val="111111"/>
          <w:sz w:val="28"/>
          <w:szCs w:val="28"/>
          <w:rtl/>
        </w:rPr>
        <w:t xml:space="preserve">مشهد، شیخ علی حیدر؛ شماره نسخه: ۱۴۷۱</w:t>
      </w:r>
    </w:p>
    <w:p>
      <w:pPr>
        <w:pStyle w:val="BookText"/>
      </w:pPr>
      <w:r>
        <w:rPr>
          <w:rFonts w:ascii="Amiri" w:hAnsi="Amiri" w:eastAsia="Amiri" w:cs="Amiri"/>
          <w:lang w:bidi="ar-SA"/>
          <w:color w:val="111111"/>
          <w:sz w:val="28"/>
          <w:szCs w:val="28"/>
          <w:rtl/>
        </w:rPr>
        <w:t xml:space="preserve">همان نسخه بالا [ مؤيد: ۳-۳۸۲]</w:t>
      </w:r>
    </w:p>
    <w:p>
      <w:pPr>
        <w:pStyle w:val="Heading3"/>
      </w:pPr>
      <w:bookmarkStart w:id="2714" w:name="_Toc1974"/>
      <w:r>
        <w:t>•تاريخ النصرانی (فصل من كتاب) / ادیان و مذاهب عربی</w:t>
      </w:r>
      <w:bookmarkEnd w:id="2714"/>
    </w:p>
    <w:p>
      <w:pPr>
        <w:pStyle w:val="BookText"/>
      </w:pPr>
      <w:r>
        <w:rPr>
          <w:rFonts w:ascii="Times New Roman" w:hAnsi="Times New Roman" w:eastAsia="Times New Roman" w:cs="Times New Roman"/>
          <w:lang w:val="en-US" w:bidi="en-US"/>
          <w:color w:val="111111"/>
          <w:sz w:val="28"/>
          <w:szCs w:val="28"/>
          <w:rtl/>
        </w:rPr>
        <w:t xml:space="preserve">tārīx-un naþrānī (faşl-un min k.)</w:t>
      </w:r>
    </w:p>
    <w:p>
      <w:pPr>
        <w:pStyle w:val="BookText"/>
      </w:pPr>
      <w:r>
        <w:rPr>
          <w:rFonts w:ascii="IRNazanin" w:hAnsi="IRNazanin" w:eastAsia="IRNazanin" w:cs="IRNazanin"/>
          <w:lang w:bidi="fa-IR"/>
          <w:color w:val="111111"/>
          <w:sz w:val="28"/>
          <w:szCs w:val="28"/>
          <w:rtl/>
        </w:rPr>
        <w:t xml:space="preserve">خوی؛ نمازی؛ شماره نسخه: ۶۶۰/۱۳</w:t>
      </w:r>
    </w:p>
    <w:p>
      <w:pPr>
        <w:pStyle w:val="BookText"/>
      </w:pPr>
      <w:r>
        <w:rPr>
          <w:rFonts w:ascii="IRNazanin" w:hAnsi="IRNazanin" w:eastAsia="IRNazanin" w:cs="IRNazanin"/>
          <w:lang w:bidi="fa-IR"/>
          <w:color w:val="111111"/>
          <w:sz w:val="28"/>
          <w:szCs w:val="28"/>
          <w:rtl/>
        </w:rPr>
        <w:t xml:space="preserve">خط: نسخ، کا: اسدالله بن ظهير الدين على دوانی، تا قرن ۱۱ [ف: ۳۵۸]</w:t>
      </w:r>
    </w:p>
    <w:p>
      <w:pPr>
        <w:pStyle w:val="Heading3"/>
      </w:pPr>
      <w:bookmarkStart w:id="2715" w:name="_Toc1975"/>
      <w:r>
        <w:t>•تاریخ نظام شاهی = وقایع دکن / تاریخ هند / فارسی</w:t>
      </w:r>
      <w:bookmarkEnd w:id="2715"/>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bookmarkStart w:id="598" w:name="pg20363_209924"/>
    <w:bookmarkEnd w:id="598"/>
    <w:p>
      <w:pPr>
        <w:pStyle w:val="BookText"/>
      </w:pPr>
      <w:r>
        <w:rPr>
          <w:rFonts w:ascii="Times New Roman" w:hAnsi="Times New Roman" w:eastAsia="Times New Roman" w:cs="Times New Roman"/>
          <w:lang w:val="en-US" w:bidi="en-US"/>
          <w:color w:val="111111"/>
          <w:sz w:val="28"/>
          <w:szCs w:val="28"/>
          <w:rtl/>
        </w:rPr>
        <w:t xml:space="preserve">tārīx-e nezām-šāhī= vaqāye'-e dakan</w:t>
      </w:r>
    </w:p>
    <w:p>
      <w:pPr>
        <w:pStyle w:val="BookText"/>
      </w:pPr>
      <w:r>
        <w:rPr>
          <w:rFonts w:ascii="IRNazanin" w:hAnsi="IRNazanin" w:eastAsia="IRNazanin" w:cs="IRNazanin"/>
          <w:lang w:bidi="fa-IR"/>
          <w:color w:val="111111"/>
          <w:sz w:val="28"/>
          <w:szCs w:val="28"/>
          <w:rtl/>
        </w:rPr>
        <w:t xml:space="preserve">تجلی علیشاه حیدر آبادی، ۱۲۱۵ قمری</w:t>
      </w:r>
    </w:p>
    <w:p>
      <w:pPr>
        <w:pStyle w:val="BookText"/>
      </w:pPr>
      <w:r>
        <w:rPr>
          <w:rFonts w:ascii="Times New Roman" w:hAnsi="Times New Roman" w:eastAsia="Times New Roman" w:cs="Times New Roman"/>
          <w:lang w:val="en-US" w:bidi="en-US"/>
          <w:color w:val="111111"/>
          <w:sz w:val="28"/>
          <w:szCs w:val="28"/>
          <w:rtl/>
        </w:rPr>
        <w:t xml:space="preserve">tajallī ‘alī-šāh-e heydar-ābādī (-1801)</w:t>
      </w:r>
    </w:p>
    <w:p>
      <w:pPr>
        <w:pStyle w:val="BookText"/>
      </w:pPr>
      <w:r>
        <w:rPr>
          <w:rFonts w:ascii="IRNazanin" w:hAnsi="IRNazanin" w:eastAsia="IRNazanin" w:cs="IRNazanin"/>
          <w:lang w:bidi="fa-IR"/>
          <w:color w:val="111111"/>
          <w:sz w:val="28"/>
          <w:szCs w:val="28"/>
          <w:rtl/>
        </w:rPr>
        <w:t xml:space="preserve">تاریخی است مشتمل بر شرح وقایع سلاطین سلسله نظام شاهیان حیدر آباد دکن هند، از وقایع عصر میر قمر الدین نظام الملک آصف جاه اول (۱۱۱۳-۱۱۶۱ق) مؤسس سلسله نظام شاهیان حیدر آباد دکن و پسر وی میر احمد نظام الدوله ناصر جنگ ( ۱۱۶۴-۱۱۶۱</w:t>
      </w:r>
    </w:p>
    <w:p>
      <w:pPr>
        <w:pStyle w:val="BookText"/>
      </w:pPr>
      <w:r>
        <w:rPr>
          <w:rFonts w:ascii="IRNazanin" w:hAnsi="IRNazanin" w:eastAsia="IRNazanin" w:cs="IRNazanin"/>
          <w:lang w:bidi="fa-IR"/>
          <w:color w:val="111111"/>
          <w:sz w:val="28"/>
          <w:szCs w:val="28"/>
          <w:rtl/>
        </w:rPr>
        <w:t xml:space="preserve">ق) و فرزند وی میر نظام علیخان نظام الدوله آصف جاه ثانی (۱۱۷۵-۱۲۱۸ق).</w:t>
      </w:r>
    </w:p>
    <w:p>
      <w:pPr>
        <w:pStyle w:val="BookText"/>
      </w:pPr>
      <w:r>
        <w:rPr>
          <w:rFonts w:ascii="IRNazanin" w:hAnsi="IRNazanin" w:eastAsia="IRNazanin" w:cs="IRNazanin"/>
          <w:lang w:bidi="fa-IR"/>
          <w:color w:val="111111"/>
          <w:sz w:val="28"/>
          <w:szCs w:val="28"/>
          <w:rtl/>
        </w:rPr>
        <w:t xml:space="preserve">[دنا ۷۴۸/۲ ؛ فهرستواره منزوی ۱۳۶۸/۲ ]</w:t>
      </w:r>
    </w:p>
    <w:p>
      <w:pPr>
        <w:pStyle w:val="BookText"/>
      </w:pPr>
      <w:r>
        <w:rPr>
          <w:rFonts w:ascii="IRNazanin" w:hAnsi="IRNazanin" w:eastAsia="IRNazanin" w:cs="IRNazanin"/>
          <w:lang w:bidi="fa-IR"/>
          <w:color w:val="111111"/>
          <w:sz w:val="28"/>
          <w:szCs w:val="28"/>
          <w:rtl/>
        </w:rPr>
        <w:t xml:space="preserve">تهران؛ مجلس؛ شماره نسخه:۱۳۷۴۶</w:t>
      </w:r>
    </w:p>
    <w:p>
      <w:pPr>
        <w:pStyle w:val="BookText"/>
      </w:pPr>
      <w:r>
        <w:rPr>
          <w:rFonts w:ascii="IRNazanin" w:hAnsi="IRNazanin" w:eastAsia="IRNazanin" w:cs="IRNazanin"/>
          <w:lang w:bidi="fa-IR"/>
          <w:color w:val="111111"/>
          <w:sz w:val="28"/>
          <w:szCs w:val="28"/>
          <w:rtl/>
        </w:rPr>
        <w:t xml:space="preserve">آغاز: اشعه ستایش بی آلایش مراحدی را سزد که از خلوت خانه غیب هویت خود را به هویت غیب جلوه گر ساخت و به مضراب صورت سرمدی قانون ساز؛ انجام: انجام نسخه:نواب مدار المهام بمظفر الملک وملك عيسی تأكید بلیغ فرستادند که از آن گردیده بطرف</w:t>
      </w:r>
    </w:p>
    <w:p>
      <w:pPr>
        <w:pStyle w:val="BookText"/>
      </w:pPr>
      <w:r>
        <w:rPr>
          <w:rFonts w:ascii="IRNazanin" w:hAnsi="IRNazanin" w:eastAsia="IRNazanin" w:cs="IRNazanin"/>
          <w:lang w:bidi="fa-IR"/>
          <w:color w:val="111111"/>
          <w:sz w:val="28"/>
          <w:szCs w:val="28"/>
          <w:rtl/>
        </w:rPr>
        <w:t xml:space="preserve">خط: نستعلیق، بی کا، بی تا، افتادگی: انجام؛ با سرلوح مزدوج مرصع، مجدول؛ جلد: تیماج يشمی، ۲۵۹گ، ۱۳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۳۷-۲۸۱]</w:t>
      </w:r>
    </w:p>
    <w:p>
      <w:pPr>
        <w:pStyle w:val="Heading3"/>
      </w:pPr>
      <w:bookmarkStart w:id="2716" w:name="_Toc1976"/>
      <w:r>
        <w:t>•تاریخ نظام و قشون = کیفیت لشکر نظام / فنون نظامی / فارسی</w:t>
      </w:r>
      <w:bookmarkEnd w:id="2716"/>
    </w:p>
    <w:p>
      <w:pPr>
        <w:pStyle w:val="BookText"/>
      </w:pPr>
      <w:r>
        <w:rPr>
          <w:rFonts w:ascii="Times New Roman" w:hAnsi="Times New Roman" w:eastAsia="Times New Roman" w:cs="Times New Roman"/>
          <w:lang w:val="en-US" w:bidi="en-US"/>
          <w:color w:val="111111"/>
          <w:sz w:val="28"/>
          <w:szCs w:val="28"/>
          <w:rtl/>
        </w:rPr>
        <w:t xml:space="preserve">tārīx-e nezām va qošūn</w:t>
      </w:r>
    </w:p>
    <w:p>
      <w:pPr>
        <w:pStyle w:val="BookText"/>
      </w:pPr>
      <w:r>
        <w:rPr>
          <w:rFonts w:ascii="IRNazanin" w:hAnsi="IRNazanin" w:eastAsia="IRNazanin" w:cs="IRNazanin"/>
          <w:lang w:bidi="fa-IR"/>
          <w:color w:val="111111"/>
          <w:sz w:val="28"/>
          <w:szCs w:val="28"/>
          <w:rtl/>
        </w:rPr>
        <w:t xml:space="preserve">در ابتداء از ظهور نظام و لشکر آرائی جدید که مطابق با روش های علمی است بحث می شود و ضمن این بحث از لشکر کشی ها سرداران بزرگ تاریخ سخن به میان می آید و به تاریخ پیدا شدن و کشف اسلحه های آتشین پرداخته شده.</w:t>
      </w:r>
    </w:p>
    <w:p>
      <w:pPr>
        <w:pStyle w:val="BookText"/>
      </w:pPr>
      <w:r>
        <w:rPr>
          <w:rFonts w:ascii="IRNazanin" w:hAnsi="IRNazanin" w:eastAsia="IRNazanin" w:cs="IRNazanin"/>
          <w:lang w:bidi="fa-IR"/>
          <w:color w:val="111111"/>
          <w:sz w:val="28"/>
          <w:szCs w:val="28"/>
          <w:rtl/>
        </w:rPr>
        <w:t xml:space="preserve">۱. تهران؛ ملی؛ شماره نسخه:۱۲۲۷/۶</w:t>
      </w:r>
    </w:p>
    <w:p>
      <w:pPr>
        <w:pStyle w:val="BookText"/>
      </w:pPr>
      <w:r>
        <w:rPr>
          <w:rFonts w:ascii="IRNazanin" w:hAnsi="IRNazanin" w:eastAsia="IRNazanin" w:cs="IRNazanin"/>
          <w:lang w:bidi="fa-IR"/>
          <w:color w:val="111111"/>
          <w:sz w:val="28"/>
          <w:szCs w:val="28"/>
          <w:rtl/>
        </w:rPr>
        <w:t xml:space="preserve">آغاز: در بیان کیفیت ابتدای لشکر نظام بامروز زمان ترقی و بنظم آن؛ انجام: واز کثرت تجربه روز بروز در ترقی و کمالست. خط: شکسته نستعلیق، كا: عبدالستار گرگانی، تا: ۱۳۰۰ق، جان تهران؛ کاغذ: فرنگی، جلد: تیماج سبز مقوایی، وص (۶۵۱-۶۵۹)، ۱۶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۳-۲۷۵]</w:t>
      </w:r>
    </w:p>
    <w:p>
      <w:pPr>
        <w:pStyle w:val="BookText"/>
      </w:pPr>
      <w:r>
        <w:rPr>
          <w:rFonts w:ascii="IRNazanin" w:hAnsi="IRNazanin" w:eastAsia="IRNazanin" w:cs="IRNazanin"/>
          <w:lang w:bidi="fa-IR"/>
          <w:color w:val="111111"/>
          <w:sz w:val="28"/>
          <w:szCs w:val="28"/>
          <w:rtl/>
        </w:rPr>
        <w:t xml:space="preserve">۲. تهران؛ ملک؛ شماره نسخه: ۳۹۶۱/۱۰</w:t>
      </w:r>
    </w:p>
    <w:p>
      <w:pPr>
        <w:pStyle w:val="BookText"/>
      </w:pPr>
      <w:r>
        <w:rPr>
          <w:rFonts w:ascii="IRNazanin" w:hAnsi="IRNazanin" w:eastAsia="IRNazanin" w:cs="IRNazanin"/>
          <w:lang w:bidi="fa-IR"/>
          <w:color w:val="111111"/>
          <w:sz w:val="28"/>
          <w:szCs w:val="28"/>
          <w:rtl/>
        </w:rPr>
        <w:t xml:space="preserve">خط: نستعلیق، بی کا، تا: با تاریخ ۱۳۰۶ق؛ نگارش دیگری از مجموعه ۱۲۲۷ کتابخانه ملی؛ کاغذ: فرنگه خط دار، جلد: میشن زرد، ۱۷ و ۱۸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۷-۱۱۳]</w:t>
      </w:r>
    </w:p>
    <w:p>
      <w:pPr>
        <w:pStyle w:val="BookText"/>
      </w:pPr>
      <w:r>
        <w:rPr>
          <w:rFonts w:ascii="IRNazanin" w:hAnsi="IRNazanin" w:eastAsia="IRNazanin" w:cs="IRNazanin"/>
          <w:lang w:bidi="fa-IR"/>
          <w:color w:val="111111"/>
          <w:sz w:val="28"/>
          <w:szCs w:val="28"/>
          <w:rtl/>
        </w:rPr>
        <w:t xml:space="preserve">← تاریخ نعیما ← روضة الحسين في خلاصة اخبار الخافقين</w:t>
      </w:r>
    </w:p>
    <w:p>
      <w:pPr>
        <w:pStyle w:val="BookText"/>
      </w:pPr>
      <w:r>
        <w:rPr>
          <w:rFonts w:ascii="IRNazanin" w:hAnsi="IRNazanin" w:eastAsia="IRNazanin" w:cs="IRNazanin"/>
          <w:lang w:bidi="fa-IR"/>
          <w:color w:val="111111"/>
          <w:sz w:val="28"/>
          <w:szCs w:val="28"/>
          <w:rtl/>
        </w:rPr>
        <w:t xml:space="preserve">← تاریخ نگارستان ← نگارستان قزوینی</w:t>
      </w:r>
    </w:p>
    <w:p>
      <w:pPr>
        <w:pStyle w:val="Heading3"/>
      </w:pPr>
      <w:bookmarkStart w:id="2717" w:name="_Toc1977"/>
      <w:r>
        <w:t>•تاریخ (نگارستان منتخب) / تاریخ / فارسی</w:t>
      </w:r>
      <w:bookmarkEnd w:id="2717"/>
    </w:p>
    <w:p>
      <w:pPr>
        <w:pStyle w:val="BookText"/>
      </w:pPr>
      <w:r>
        <w:rPr>
          <w:rFonts w:ascii="Times New Roman" w:hAnsi="Times New Roman" w:eastAsia="Times New Roman" w:cs="Times New Roman"/>
          <w:lang w:val="en-US" w:bidi="en-US"/>
          <w:color w:val="111111"/>
          <w:sz w:val="28"/>
          <w:szCs w:val="28"/>
          <w:rtl/>
        </w:rPr>
        <w:t xml:space="preserve">tārīx-e negārestān (mn.)</w:t>
      </w:r>
    </w:p>
    <w:p>
      <w:pPr>
        <w:pStyle w:val="BookText"/>
      </w:pPr>
      <w:r>
        <w:rPr>
          <w:rFonts w:ascii="IRNazanin" w:hAnsi="IRNazanin" w:eastAsia="IRNazanin" w:cs="IRNazanin"/>
          <w:lang w:bidi="fa-IR"/>
          <w:color w:val="111111"/>
          <w:sz w:val="28"/>
          <w:szCs w:val="28"/>
          <w:rtl/>
        </w:rPr>
        <w:t xml:space="preserve">١. مشهد: الهیات؛ شماره نسخه: ۶۹۴/۳۱</w:t>
      </w:r>
    </w:p>
    <w:p>
      <w:pPr>
        <w:pStyle w:val="BookText"/>
      </w:pPr>
      <w:r>
        <w:rPr>
          <w:rFonts w:ascii="IRNazanin" w:hAnsi="IRNazanin" w:eastAsia="IRNazanin" w:cs="IRNazanin"/>
          <w:lang w:bidi="fa-IR"/>
          <w:color w:val="111111"/>
          <w:sz w:val="28"/>
          <w:szCs w:val="28"/>
          <w:rtl/>
        </w:rPr>
        <w:t xml:space="preserve">خط: نسخ و نستعلیق، بی کا، بی تا، کاغذ فرنگی و فستقی؛ جلد: تیماج عنابی، آگ، اندازه: ۱۳/۵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۲۲/۵سم [ف: ۱-۵۴۰]</w:t>
      </w:r>
    </w:p>
    <w:p>
      <w:pPr>
        <w:pStyle w:val="BookText"/>
      </w:pPr>
      <w:r>
        <w:rPr>
          <w:rFonts w:ascii="IRNazanin" w:hAnsi="IRNazanin" w:eastAsia="IRNazanin" w:cs="IRNazanin"/>
          <w:lang w:bidi="fa-IR"/>
          <w:color w:val="111111"/>
          <w:sz w:val="28"/>
          <w:szCs w:val="28"/>
          <w:rtl/>
        </w:rPr>
        <w:t xml:space="preserve">۲. مشهد؛ الهیات؛ شماره نسخه: ۶۹۴/۲۹</w:t>
      </w:r>
    </w:p>
    <w:p>
      <w:pPr>
        <w:pStyle w:val="BookText"/>
      </w:pPr>
      <w:r>
        <w:rPr>
          <w:rFonts w:ascii="IRNazanin" w:hAnsi="IRNazanin" w:eastAsia="IRNazanin" w:cs="IRNazanin"/>
          <w:lang w:bidi="fa-IR"/>
          <w:color w:val="111111"/>
          <w:sz w:val="28"/>
          <w:szCs w:val="28"/>
          <w:rtl/>
        </w:rPr>
        <w:t xml:space="preserve">خط: نسخ و نستعلیق، بی کا، بی تا؛ کاغذ فرنگی و فستقی؛ جلد: تیماج عنابی، ۱۱ص، مختلف السطر، اندازه: ۱۳/۵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۲۲/۵سم[ف: ۵۴۰-۱ ]</w:t>
      </w:r>
    </w:p>
    <w:p>
      <w:pPr>
        <w:pStyle w:val="Heading3"/>
      </w:pPr>
      <w:bookmarkStart w:id="2718" w:name="_Toc1978"/>
      <w:r>
        <w:t>•تاریخ نو / تاریخ ایران / فارسی</w:t>
      </w:r>
      <w:bookmarkEnd w:id="2718"/>
    </w:p>
    <w:p>
      <w:pPr>
        <w:pStyle w:val="BookText"/>
      </w:pPr>
      <w:r>
        <w:rPr>
          <w:rFonts w:ascii="Times New Roman" w:hAnsi="Times New Roman" w:eastAsia="Times New Roman" w:cs="Times New Roman"/>
          <w:lang w:val="en-US" w:bidi="en-US"/>
          <w:color w:val="111111"/>
          <w:sz w:val="28"/>
          <w:szCs w:val="28"/>
          <w:rtl/>
        </w:rPr>
        <w:t xml:space="preserve">tārīx-e no</w:t>
      </w:r>
    </w:p>
    <w:p>
      <w:pPr>
        <w:pStyle w:val="BookText"/>
      </w:pPr>
      <w:r>
        <w:rPr>
          <w:rFonts w:ascii="IRNazanin" w:hAnsi="IRNazanin" w:eastAsia="IRNazanin" w:cs="IRNazanin"/>
          <w:lang w:bidi="fa-IR"/>
          <w:color w:val="111111"/>
          <w:sz w:val="28"/>
          <w:szCs w:val="28"/>
          <w:rtl/>
        </w:rPr>
        <w:t xml:space="preserve">جهانگیر میرزا، ۲۱۲۲۲-۱۲۶۹ قمری</w:t>
      </w:r>
    </w:p>
    <w:p>
      <w:pPr>
        <w:pStyle w:val="BookText"/>
      </w:pPr>
      <w:r>
        <w:rPr>
          <w:rFonts w:ascii="Times New Roman" w:hAnsi="Times New Roman" w:eastAsia="Times New Roman" w:cs="Times New Roman"/>
          <w:lang w:val="en-US" w:bidi="en-US"/>
          <w:color w:val="111111"/>
          <w:sz w:val="28"/>
          <w:szCs w:val="28"/>
          <w:rtl/>
        </w:rPr>
        <w:t xml:space="preserve">jahangir mirza (1807-1853)</w:t>
      </w:r>
    </w:p>
    <w:p>
      <w:pPr>
        <w:pStyle w:val="BookText"/>
      </w:pPr>
      <w:r>
        <w:rPr>
          <w:rFonts w:ascii="IRNazanin" w:hAnsi="IRNazanin" w:eastAsia="IRNazanin" w:cs="IRNazanin"/>
          <w:lang w:bidi="fa-IR"/>
          <w:color w:val="111111"/>
          <w:sz w:val="28"/>
          <w:szCs w:val="28"/>
          <w:rtl/>
        </w:rPr>
        <w:t xml:space="preserve">تاریخ تأليف: ۱۲۶۷ق؛ محل تأليف: تویسرکان در ذکر وقایع ده سال اخیر سلطنت فتحعلی شاه و چهارده سال پادشاهی محمد شاه و اوایل زمان ناصر الدین شاه از ۱۲۴۰ تا ۱۲۶۵ هجری. دارای نثر ساده و روشن و فاقد استعارات ادبی و گاه حتى عامیانه است و بمنزله ذیل مآثر سلطانیه می باشد. آغاز: بسمله. اما بعد چون اثبات حوادث روزگار در دفاتر آثار و اخبار امریست مرغوب برای آنکه عبرتی از گذشته در آینده حاصل آید و بصیرتی برای مطالعه نمایندگان فزاید لهذا این بنده درگاه الهی و دعاگوی دوام دولت پادشاهی امیرزاده جهانگیر میرزا خلف مرحوم نایب السلطنة عباس میرزا طاب ثراه را در این تاریخ که اول سنه ۱۲۶۷ هجری است در قصبه تویسرکانی من محال قلمرو همدان که بحکم پادشاه مرحوم محمدشاه طاب ثراه از سنه ۱۲۵۱ هجری متوقف است بخاطر فاتر رسید که وقایعی را که از سنه ۱۲۴۰ هجرى الى حال تحریر از وقایعات کلیه در مملکت ایران صانها الله عن الحدثان روی داده برشته تحریر در آورد که برای خوانندگان و مطالعه نمایندگان تجربه حاصل آید ... چون عدد لفظ تاریخ نو مصادف با سال اختتام این کتاب آمد مسمی بتاریخ نو گردید انجام: ذكر فتح مشهد مقدس پادشاه جهان ... قد فرغ من تحرير هذا التاريخ في يوم الأربع من شهور ربيع الأولى سنه سبع و ستون ماتين بعد الألف الهجرة النبویه صلوات الله و السلام ۱۲۶۷. چاپ: به کوشش عباس اقبال آشتیانی، تهران، ۱۳۲۷ش، ۳۴۷ص.</w:t>
      </w:r>
    </w:p>
    <w:p>
      <w:pPr>
        <w:pStyle w:val="BookText"/>
      </w:pPr>
      <w:r>
        <w:rPr>
          <w:rFonts w:ascii="IRNazanin" w:hAnsi="IRNazanin" w:eastAsia="IRNazanin" w:cs="IRNazanin"/>
          <w:lang w:bidi="fa-IR"/>
          <w:color w:val="111111"/>
          <w:sz w:val="28"/>
          <w:szCs w:val="28"/>
          <w:rtl/>
        </w:rPr>
        <w:t xml:space="preserve">[ دنا ۷۴۸/۲ ؛ رجال ایران ۲۸۴/۱ ؛ فهرستواره منزوی ۹۱۳/۲ ]</w:t>
      </w:r>
    </w:p>
    <w:p>
      <w:pPr>
        <w:pStyle w:val="BookText"/>
      </w:pPr>
      <w:r>
        <w:rPr>
          <w:rFonts w:ascii="IRNazanin" w:hAnsi="IRNazanin" w:eastAsia="IRNazanin" w:cs="IRNazanin"/>
          <w:lang w:bidi="fa-IR"/>
          <w:color w:val="111111"/>
          <w:sz w:val="28"/>
          <w:szCs w:val="28"/>
          <w:rtl/>
        </w:rPr>
        <w:t xml:space="preserve">۱. تهران؛ سلطنتی؛ شماره نسخه:۷۰۵</w:t>
      </w:r>
    </w:p>
    <w:p>
      <w:pPr>
        <w:pStyle w:val="BookText"/>
      </w:pPr>
      <w:r>
        <w:rPr>
          <w:rFonts w:ascii="IRNazanin" w:hAnsi="IRNazanin" w:eastAsia="IRNazanin" w:cs="IRNazanin"/>
          <w:lang w:bidi="fa-IR"/>
          <w:color w:val="111111"/>
          <w:sz w:val="28"/>
          <w:szCs w:val="28"/>
          <w:rtl/>
        </w:rPr>
        <w:t xml:space="preserve">آغاز و انجام: برابر خط: نسخ، كاتب = مؤلف، تا: ۱۲۶۷ق؛ مجدول، کمند کشی، یک سرلوح منقش؛ مهر: ناصر الدین شاه قاجار؛ کاغذ: فرنگی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bookmarkStart w:id="599" w:name="pg20363_209925"/>
    <w:bookmarkEnd w:id="599"/>
    <w:p>
      <w:pPr>
        <w:pStyle w:val="BookText"/>
      </w:pPr>
      <w:r>
        <w:rPr>
          <w:rFonts w:ascii="IRNazanin" w:hAnsi="IRNazanin" w:eastAsia="IRNazanin" w:cs="IRNazanin"/>
          <w:lang w:bidi="fa-IR"/>
          <w:color w:val="111111"/>
          <w:sz w:val="28"/>
          <w:szCs w:val="28"/>
          <w:rtl/>
        </w:rPr>
        <w:t xml:space="preserve">آهار مهره، جلد: مقوای روکش ۵۵۹ص، ۱۵ سطر،</w:t>
      </w:r>
    </w:p>
    <w:p>
      <w:pPr>
        <w:pStyle w:val="BookText"/>
      </w:pPr>
      <w:r>
        <w:rPr>
          <w:rFonts w:ascii="IRNazanin" w:hAnsi="IRNazanin" w:eastAsia="IRNazanin" w:cs="IRNazanin"/>
          <w:lang w:bidi="fa-IR"/>
          <w:color w:val="111111"/>
          <w:sz w:val="28"/>
          <w:szCs w:val="28"/>
          <w:rtl/>
        </w:rPr>
        <w:t xml:space="preserve">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۵-۳۵۹]</w:t>
      </w:r>
    </w:p>
    <w:p>
      <w:pPr>
        <w:pStyle w:val="BookText"/>
      </w:pPr>
      <w:r>
        <w:rPr>
          <w:rFonts w:ascii="IRNazanin" w:hAnsi="IRNazanin" w:eastAsia="IRNazanin" w:cs="IRNazanin"/>
          <w:lang w:bidi="fa-IR"/>
          <w:color w:val="111111"/>
          <w:sz w:val="28"/>
          <w:szCs w:val="28"/>
          <w:rtl/>
        </w:rPr>
        <w:t xml:space="preserve">۲. تهران؛ مجلس؛ شماره نسخه:۹۳۵۸</w:t>
      </w:r>
    </w:p>
    <w:p>
      <w:pPr>
        <w:pStyle w:val="BookText"/>
      </w:pPr>
      <w:r>
        <w:rPr>
          <w:rFonts w:ascii="IRNazanin" w:hAnsi="IRNazanin" w:eastAsia="IRNazanin" w:cs="IRNazanin"/>
          <w:lang w:bidi="fa-IR"/>
          <w:color w:val="111111"/>
          <w:sz w:val="28"/>
          <w:szCs w:val="28"/>
          <w:rtl/>
        </w:rPr>
        <w:t xml:space="preserve">آغاز: برابر؛ انجام: بضاعت نیاوردم الا امید *** خدایا زعفوم مکن نا امید خط: نستعلیق، بی کا، تا: قرن ۱۳؛ مصحح؛ یادداشتی به تاریخ غره رجب ۱۲۹۷ ق در تبریز، یادداشتی از حبیب الله به تاریخ ۱۲۹۱ق، اظهار نظری از نادر میرزا، مطالبی درباره سید علی محمد باب؛ جلد: تیماج مشکی، ۱۹۰گ، ۱۷ سطر، اندازه: ۲۱/۵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۸۸-۳۰]</w:t>
      </w:r>
    </w:p>
    <w:p>
      <w:pPr>
        <w:pStyle w:val="BookText"/>
      </w:pPr>
      <w:r>
        <w:rPr>
          <w:rFonts w:ascii="IRNazanin" w:hAnsi="IRNazanin" w:eastAsia="IRNazanin" w:cs="IRNazanin"/>
          <w:lang w:bidi="fa-IR"/>
          <w:color w:val="111111"/>
          <w:sz w:val="28"/>
          <w:szCs w:val="28"/>
          <w:rtl/>
        </w:rPr>
        <w:t xml:space="preserve">٣. تهران؛ ملک؛ شماره نسخه: ۳۷۴۱</w:t>
      </w:r>
    </w:p>
    <w:p>
      <w:pPr>
        <w:pStyle w:val="BookText"/>
      </w:pPr>
      <w:r>
        <w:rPr>
          <w:rFonts w:ascii="IRNazanin" w:hAnsi="IRNazanin" w:eastAsia="IRNazanin" w:cs="IRNazanin"/>
          <w:lang w:bidi="fa-IR"/>
          <w:color w:val="111111"/>
          <w:sz w:val="28"/>
          <w:szCs w:val="28"/>
          <w:rtl/>
        </w:rPr>
        <w:t xml:space="preserve">خط: شکسته نستعلیق، کا: میرزا علی اکبر، تا: ۱۲۹۶ق؛ تملك: فرهاد میرزا؛ کاغذ: فرنگی، جلد: میشن سیاه، ۳۲۳گ، ۱۲ سطر، اندازه: ۲۱/۹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۲-۹۴]</w:t>
      </w:r>
    </w:p>
    <w:p>
      <w:pPr>
        <w:pStyle w:val="BookText"/>
      </w:pPr>
      <w:r>
        <w:rPr>
          <w:rFonts w:ascii="IRNazanin" w:hAnsi="IRNazanin" w:eastAsia="IRNazanin" w:cs="IRNazanin"/>
          <w:lang w:bidi="fa-IR"/>
          <w:color w:val="111111"/>
          <w:sz w:val="28"/>
          <w:szCs w:val="28"/>
          <w:rtl/>
        </w:rPr>
        <w:t xml:space="preserve">۴. مشهد؛ الهیات؛ شماره نسخه: ۶۷۸</w:t>
      </w:r>
    </w:p>
    <w:p>
      <w:pPr>
        <w:pStyle w:val="BookText"/>
      </w:pPr>
      <w:r>
        <w:rPr>
          <w:rFonts w:ascii="IRNazanin" w:hAnsi="IRNazanin" w:eastAsia="IRNazanin" w:cs="IRNazanin"/>
          <w:lang w:bidi="fa-IR"/>
          <w:color w:val="111111"/>
          <w:sz w:val="28"/>
          <w:szCs w:val="28"/>
          <w:rtl/>
        </w:rPr>
        <w:t xml:space="preserve">آغاز: برابر؛ انجام: بضاعت نیاوردم الاقبول *** الهی زعفوم مکن نا امید خط: نسخ، بی کا، تا: دوشنبه رجب ۱۲۹۹ق؛ کاغذ نخودی؛ جلد: تیماج سبز، ۲۰۹گ، ۱۹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۲۶-۱ ]</w:t>
      </w:r>
    </w:p>
    <w:p>
      <w:pPr>
        <w:pStyle w:val="BookText"/>
      </w:pPr>
      <w:r>
        <w:rPr>
          <w:rFonts w:ascii="IRNazanin" w:hAnsi="IRNazanin" w:eastAsia="IRNazanin" w:cs="IRNazanin"/>
          <w:lang w:bidi="fa-IR"/>
          <w:color w:val="111111"/>
          <w:sz w:val="28"/>
          <w:szCs w:val="28"/>
          <w:rtl/>
        </w:rPr>
        <w:t xml:space="preserve">۵. تهران؛ مجلس؛ شماره نسخه: ۷۷۰</w:t>
      </w:r>
    </w:p>
    <w:p>
      <w:pPr>
        <w:pStyle w:val="BookText"/>
      </w:pPr>
      <w:r>
        <w:rPr>
          <w:rFonts w:ascii="IRNazanin" w:hAnsi="IRNazanin" w:eastAsia="IRNazanin" w:cs="IRNazanin"/>
          <w:lang w:bidi="fa-IR"/>
          <w:color w:val="111111"/>
          <w:sz w:val="28"/>
          <w:szCs w:val="28"/>
          <w:rtl/>
        </w:rPr>
        <w:t xml:space="preserve">خط: نستعلیق، کا: موسی علی آبادی، تا: ۲۱ شعبان ۱۳۰۵ ق، به دستور معتمد الدوله فرهاد میرزا؛ مجدول لاجورد و شنگرف، با دو سرلوح مذهب؛ کاغذ: سفید، جلد: تیماج سرخ و مقوایی، ۱۸۲ گ، ۱۹سطر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[سنا: ف: ۲-۵۶]</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مفتاح؛ شماره نسخه:۵۱۴</w:t>
      </w:r>
    </w:p>
    <w:p>
      <w:pPr>
        <w:pStyle w:val="BookText"/>
      </w:pPr>
      <w:r>
        <w:rPr>
          <w:rFonts w:ascii="IRNazanin" w:hAnsi="IRNazanin" w:eastAsia="IRNazanin" w:cs="IRNazanin"/>
          <w:lang w:bidi="fa-IR"/>
          <w:color w:val="111111"/>
          <w:sz w:val="28"/>
          <w:szCs w:val="28"/>
          <w:rtl/>
        </w:rPr>
        <w:t xml:space="preserve">خط: نستعلیق، کا: موسی علی آبادی، تا: ۲۱ شعبان ۱۳۰۵ ق، به</w:t>
      </w:r>
    </w:p>
    <w:p>
      <w:pPr>
        <w:pStyle w:val="BookText"/>
      </w:pPr>
      <w:r>
        <w:rPr>
          <w:rFonts w:ascii="IRNazanin" w:hAnsi="IRNazanin" w:eastAsia="IRNazanin" w:cs="IRNazanin"/>
          <w:lang w:bidi="fa-IR"/>
          <w:color w:val="111111"/>
          <w:sz w:val="28"/>
          <w:szCs w:val="28"/>
          <w:rtl/>
        </w:rPr>
        <w:t xml:space="preserve">دستور حاجی فرهاد میرزا؛ با دو سرلوح، مجدول. [ نشریه: ۷-۱۱۲]</w:t>
      </w:r>
    </w:p>
    <w:p>
      <w:pPr>
        <w:pStyle w:val="BookText"/>
      </w:pPr>
      <w:r>
        <w:rPr>
          <w:rFonts w:ascii="IRNazanin" w:hAnsi="IRNazanin" w:eastAsia="IRNazanin" w:cs="IRNazanin"/>
          <w:lang w:bidi="fa-IR"/>
          <w:color w:val="111111"/>
          <w:sz w:val="28"/>
          <w:szCs w:val="28"/>
          <w:rtl/>
        </w:rPr>
        <w:t xml:space="preserve">۷. تهران؛ مینوی؛ شماره نسخه:۸۸</w:t>
      </w:r>
    </w:p>
    <w:p>
      <w:pPr>
        <w:pStyle w:val="BookText"/>
      </w:pPr>
      <w:r>
        <w:rPr>
          <w:rFonts w:ascii="IRNazanin" w:hAnsi="IRNazanin" w:eastAsia="IRNazanin" w:cs="IRNazanin"/>
          <w:lang w:bidi="fa-IR"/>
          <w:color w:val="111111"/>
          <w:sz w:val="28"/>
          <w:szCs w:val="28"/>
          <w:rtl/>
        </w:rPr>
        <w:t xml:space="preserve">خط شکسته نستعلیق، کا: حبیب الله پسر علی اکبر خان افشار خرقانی، تا: پنج شنبه ۱۴ ربیع الثانی ۱۳۰۸ ق، برای غلام حسین خان صدیق السلطنه پیش خدمت خاصه اول حضور پسر آقا خان امين الصحة؛ ۳۳۲ص، قطع: خشتی [نشریه: ۶-۶۴۰]</w:t>
      </w:r>
    </w:p>
    <w:p>
      <w:pPr>
        <w:pStyle w:val="BookText"/>
      </w:pPr>
      <w:r>
        <w:rPr>
          <w:rFonts w:ascii="IRNazanin" w:hAnsi="IRNazanin" w:eastAsia="IRNazanin" w:cs="IRNazanin"/>
          <w:lang w:bidi="fa-IR"/>
          <w:color w:val="111111"/>
          <w:sz w:val="28"/>
          <w:szCs w:val="28"/>
          <w:rtl/>
        </w:rPr>
        <w:t xml:space="preserve">۸. تهران: مجلس؛ شماره نسخه:۲۳۸</w:t>
      </w:r>
    </w:p>
    <w:p>
      <w:pPr>
        <w:pStyle w:val="BookText"/>
      </w:pPr>
      <w:r>
        <w:rPr>
          <w:rFonts w:ascii="IRNazanin" w:hAnsi="IRNazanin" w:eastAsia="IRNazanin" w:cs="IRNazanin"/>
          <w:lang w:bidi="fa-IR"/>
          <w:color w:val="111111"/>
          <w:sz w:val="28"/>
          <w:szCs w:val="28"/>
          <w:rtl/>
        </w:rPr>
        <w:t xml:space="preserve">آغاز: برابر خط: نستعلیق شکسته، بی کا، تا: ۱۳۱۰ق؛ ۲۷۴ گ، ۱۲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۲-۱۳۳]</w:t>
      </w:r>
    </w:p>
    <w:p>
      <w:pPr>
        <w:pStyle w:val="Heading3"/>
      </w:pPr>
      <w:bookmarkStart w:id="2719" w:name="_Toc1979"/>
      <w:r>
        <w:t>•تاریخ نو / تاریخ / فارسی</w:t>
      </w:r>
      <w:bookmarkEnd w:id="2719"/>
    </w:p>
    <w:p>
      <w:pPr>
        <w:pStyle w:val="BookText"/>
      </w:pPr>
      <w:r>
        <w:rPr>
          <w:rFonts w:ascii="Times New Roman" w:hAnsi="Times New Roman" w:eastAsia="Times New Roman" w:cs="Times New Roman"/>
          <w:lang w:val="en-US" w:bidi="en-US"/>
          <w:color w:val="111111"/>
          <w:sz w:val="28"/>
          <w:szCs w:val="28"/>
          <w:rtl/>
        </w:rPr>
        <w:t xml:space="preserve">tārīx-e no</w:t>
      </w:r>
    </w:p>
    <w:p>
      <w:pPr>
        <w:pStyle w:val="BookText"/>
      </w:pPr>
      <w:r>
        <w:rPr>
          <w:rFonts w:ascii="IRNazanin" w:hAnsi="IRNazanin" w:eastAsia="IRNazanin" w:cs="IRNazanin"/>
          <w:lang w:bidi="fa-IR"/>
          <w:color w:val="111111"/>
          <w:sz w:val="28"/>
          <w:szCs w:val="28"/>
          <w:rtl/>
        </w:rPr>
        <w:t xml:space="preserve">انجدانی، یعقوب بن محمد ابراهیم، ق۱۳ قمری</w:t>
      </w:r>
    </w:p>
    <w:p>
      <w:pPr>
        <w:pStyle w:val="BookText"/>
      </w:pPr>
      <w:r>
        <w:rPr>
          <w:rFonts w:ascii="Times New Roman" w:hAnsi="Times New Roman" w:eastAsia="Times New Roman" w:cs="Times New Roman"/>
          <w:lang w:val="en-US" w:bidi="en-US"/>
          <w:color w:val="111111"/>
          <w:sz w:val="28"/>
          <w:szCs w:val="28"/>
          <w:rtl/>
        </w:rPr>
        <w:t xml:space="preserve">anjodānī, ya qūb ebn-e mohammad ebrāhīm (-19c)</w:t>
      </w:r>
    </w:p>
    <w:p>
      <w:pPr>
        <w:pStyle w:val="BookText"/>
      </w:pPr>
      <w:r>
        <w:rPr>
          <w:rFonts w:ascii="IRNazanin" w:hAnsi="IRNazanin" w:eastAsia="IRNazanin" w:cs="IRNazanin"/>
          <w:lang w:bidi="fa-IR"/>
          <w:color w:val="111111"/>
          <w:sz w:val="28"/>
          <w:szCs w:val="28"/>
          <w:rtl/>
        </w:rPr>
        <w:t xml:space="preserve">مؤلف چون در اکثر بلاد و امصار و اردوها و اسفار و میادین مجادله و گیر و دار سیر و سلوک، شاهد فراز و نشیب روزگار بوده، مشاهدات و ملحوظات خود را با قلمی روان و ساده به رشته تحریر کشیده و مشتل است بر مقدمه در: ۶۶ فصل. چاپ: در سال ۱۳۳۲ توسط ابراهیم دهگان با تلخیص، تصحیح و به نام «مخلص تاریخ نو» در اراک به چاپ رسیده است.</w:t>
      </w:r>
    </w:p>
    <w:p>
      <w:pPr>
        <w:pStyle w:val="BookText"/>
      </w:pPr>
      <w:r>
        <w:rPr>
          <w:rFonts w:ascii="IRNazanin" w:hAnsi="IRNazanin" w:eastAsia="IRNazanin" w:cs="IRNazanin"/>
          <w:lang w:bidi="fa-IR"/>
          <w:color w:val="111111"/>
          <w:sz w:val="28"/>
          <w:szCs w:val="28"/>
          <w:rtl/>
        </w:rPr>
        <w:t xml:space="preserve">اراک؛ دهگان؛ شماره نسخه: ۹۶</w:t>
      </w:r>
    </w:p>
    <w:p>
      <w:pPr>
        <w:pStyle w:val="BookText"/>
      </w:pPr>
      <w:r>
        <w:rPr>
          <w:rFonts w:ascii="IRNazanin" w:hAnsi="IRNazanin" w:eastAsia="IRNazanin" w:cs="IRNazanin"/>
          <w:lang w:bidi="fa-IR"/>
          <w:color w:val="111111"/>
          <w:sz w:val="28"/>
          <w:szCs w:val="28"/>
          <w:rtl/>
        </w:rPr>
        <w:t xml:space="preserve">آغاز: ستایش بی آلایش ... را سزاست جلت عظمته که از قدرت كامله اش سرادقات سماوات بر فراز عناصر اربعه بی عمود و ستون است.؛ انجام: او را در قبرستان ارامنه دفن کردیم، دگر لله الحمد کسی نمرده. گر نگهدار من آن است که من می دانم *** شیشه را در بغل سنگ نگه می دارد. خط: تحریری، كا: حسین فرزند حاجی آقا خليل، تا: پنج شنبه ۲۶ شوال ۱۳۱۹ق؛ ۱۳۵ گ،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۱-۱۰۸]</w:t>
      </w:r>
    </w:p>
    <w:p>
      <w:pPr>
        <w:pStyle w:val="BookText"/>
      </w:pPr>
      <w:r>
        <w:rPr>
          <w:rFonts w:ascii="IRNazanin" w:hAnsi="IRNazanin" w:eastAsia="IRNazanin" w:cs="IRNazanin"/>
          <w:lang w:bidi="fa-IR"/>
          <w:color w:val="111111"/>
          <w:sz w:val="28"/>
          <w:szCs w:val="28"/>
          <w:rtl/>
        </w:rPr>
        <w:t xml:space="preserve">← تاریخ نیشابور ← کتاب السياق التاريخ نیشابور (منتخب)</w:t>
      </w:r>
    </w:p>
    <w:p>
      <w:pPr>
        <w:pStyle w:val="Heading3"/>
      </w:pPr>
      <w:bookmarkStart w:id="2720" w:name="_Toc1980"/>
      <w:r>
        <w:t>•تاریخ نیشابور / تاریخ ایران / فارسی</w:t>
      </w:r>
      <w:bookmarkEnd w:id="2720"/>
    </w:p>
    <w:p>
      <w:pPr>
        <w:pStyle w:val="BookText"/>
      </w:pPr>
      <w:r>
        <w:rPr>
          <w:rFonts w:ascii="Times New Roman" w:hAnsi="Times New Roman" w:eastAsia="Times New Roman" w:cs="Times New Roman"/>
          <w:lang w:val="en-US" w:bidi="en-US"/>
          <w:color w:val="111111"/>
          <w:sz w:val="28"/>
          <w:szCs w:val="28"/>
          <w:rtl/>
        </w:rPr>
        <w:t xml:space="preserve">tārīx-e neyšābūr</w:t>
      </w:r>
    </w:p>
    <w:p>
      <w:pPr>
        <w:pStyle w:val="BookText"/>
      </w:pPr>
      <w:r>
        <w:rPr>
          <w:rFonts w:ascii="IRNazanin" w:hAnsi="IRNazanin" w:eastAsia="IRNazanin" w:cs="IRNazanin"/>
          <w:lang w:bidi="fa-IR"/>
          <w:color w:val="111111"/>
          <w:sz w:val="28"/>
          <w:szCs w:val="28"/>
          <w:rtl/>
        </w:rPr>
        <w:t xml:space="preserve">خليفه نیشابوری، احمد بن محمد، ق ۹ قمری</w:t>
      </w:r>
    </w:p>
    <w:p>
      <w:pPr>
        <w:pStyle w:val="BookText"/>
      </w:pPr>
      <w:r>
        <w:rPr>
          <w:rFonts w:ascii="Times New Roman" w:hAnsi="Times New Roman" w:eastAsia="Times New Roman" w:cs="Times New Roman"/>
          <w:lang w:val="en-US" w:bidi="en-US"/>
          <w:color w:val="111111"/>
          <w:sz w:val="28"/>
          <w:szCs w:val="28"/>
          <w:rtl/>
        </w:rPr>
        <w:t xml:space="preserve">xalīfe-ye neyšābūrī, ahmad ebn-e mohammad (-15c)</w:t>
      </w:r>
    </w:p>
    <w:p>
      <w:pPr>
        <w:pStyle w:val="BookText"/>
      </w:pPr>
      <w:r>
        <w:rPr>
          <w:rFonts w:ascii="IRNazanin" w:hAnsi="IRNazanin" w:eastAsia="IRNazanin" w:cs="IRNazanin"/>
          <w:lang w:bidi="fa-IR"/>
          <w:color w:val="111111"/>
          <w:sz w:val="28"/>
          <w:szCs w:val="28"/>
          <w:rtl/>
        </w:rPr>
        <w:t xml:space="preserve">متن از ابن البيع شیخ ابو عبدالله محمد فرزند عبدالله حاکم نیشابوری (۴۰۵ق)، در ۱۲ «جلد». ترجمه گزیده آن است. در آن از ۸۰۸ ق و ۷۳۲ یاد شده است. آغاز: حمد و سپاس و پاس لايق بعدد انفس و انفاس خلایق مر خالق را که جواهر روحانی و عناصر جسمانی از مكامن عدم چاپ: تهران، فرهنگ ایران زمین، به کوشش بهمن کریمی، ۱۳۳۹ش، [دنا ۷۴۸/۲ ؛ فهرست المخطوطات المصورة ش ۶۰۷؛ فهرستواره منزوی ۹۱۳/۲ ]</w:t>
      </w:r>
    </w:p>
    <w:p>
      <w:pPr>
        <w:pStyle w:val="BookText"/>
      </w:pPr>
      <w:r>
        <w:rPr>
          <w:rFonts w:ascii="IRNazanin" w:hAnsi="IRNazanin" w:eastAsia="IRNazanin" w:cs="IRNazanin"/>
          <w:lang w:bidi="fa-IR"/>
          <w:color w:val="111111"/>
          <w:sz w:val="28"/>
          <w:szCs w:val="28"/>
          <w:rtl/>
        </w:rPr>
        <w:t xml:space="preserve">تهران، دانشگاه؛ شماره نسخه:۱۴۵-ف</w:t>
      </w:r>
    </w:p>
    <w:p>
      <w:pPr>
        <w:pStyle w:val="BookText"/>
      </w:pPr>
      <w:r>
        <w:rPr>
          <w:rFonts w:ascii="IRNazanin" w:hAnsi="IRNazanin" w:eastAsia="IRNazanin" w:cs="IRNazanin"/>
          <w:lang w:bidi="fa-IR"/>
          <w:color w:val="111111"/>
          <w:sz w:val="28"/>
          <w:szCs w:val="28"/>
          <w:rtl/>
        </w:rPr>
        <w:t xml:space="preserve">آغاز: برابر نسخه اصل: حسین چلبی ۱۸؛ خط: نسخ، بی کا، تا: ۷۷۸ق؛ ۷۴گ</w:t>
      </w:r>
    </w:p>
    <w:p>
      <w:pPr>
        <w:pStyle w:val="BookText"/>
      </w:pPr>
      <w:r>
        <w:rPr>
          <w:rFonts w:ascii="IRNazanin" w:hAnsi="IRNazanin" w:eastAsia="IRNazanin" w:cs="IRNazanin"/>
          <w:lang w:bidi="fa-IR"/>
          <w:color w:val="111111"/>
          <w:sz w:val="28"/>
          <w:szCs w:val="28"/>
          <w:rtl/>
        </w:rPr>
        <w:t xml:space="preserve">[فیلمها ف: ۱-۳۹ ]</w:t>
      </w:r>
    </w:p>
    <w:p>
      <w:pPr>
        <w:pStyle w:val="Heading3"/>
      </w:pPr>
      <w:bookmarkStart w:id="2721" w:name="_Toc1981"/>
      <w:r>
        <w:t>•تاریخ نیک پی / تاریخ / فارسی</w:t>
      </w:r>
      <w:bookmarkEnd w:id="2721"/>
    </w:p>
    <w:p>
      <w:pPr>
        <w:pStyle w:val="BookText"/>
      </w:pPr>
      <w:r>
        <w:rPr>
          <w:rFonts w:ascii="IRNazanin" w:hAnsi="IRNazanin" w:eastAsia="IRNazanin" w:cs="IRNazanin"/>
          <w:lang w:bidi="fa-IR"/>
          <w:color w:val="111111"/>
          <w:sz w:val="28"/>
          <w:szCs w:val="28"/>
          <w:rtl/>
        </w:rPr>
        <w:t xml:space="preserve">نیک پی، بن مسعود، ق۸ قمری</w:t>
      </w:r>
    </w:p>
    <w:p>
      <w:pPr>
        <w:pStyle w:val="BookText"/>
      </w:pPr>
      <w:r>
        <w:rPr>
          <w:rFonts w:ascii="Times New Roman" w:hAnsi="Times New Roman" w:eastAsia="Times New Roman" w:cs="Times New Roman"/>
          <w:lang w:val="en-US" w:bidi="en-US"/>
          <w:color w:val="111111"/>
          <w:sz w:val="28"/>
          <w:szCs w:val="28"/>
          <w:rtl/>
        </w:rPr>
        <w:t xml:space="preserve">tārīx-e nīk-pey</w:t>
      </w:r>
    </w:p>
    <w:p>
      <w:pPr>
        <w:pStyle w:val="BookText"/>
      </w:pPr>
      <w:r>
        <w:rPr>
          <w:rFonts w:ascii="Times New Roman" w:hAnsi="Times New Roman" w:eastAsia="Times New Roman" w:cs="Times New Roman"/>
          <w:lang w:val="en-US" w:bidi="en-US"/>
          <w:color w:val="111111"/>
          <w:sz w:val="28"/>
          <w:szCs w:val="28"/>
          <w:rtl/>
        </w:rPr>
        <w:t xml:space="preserve">nīk-pey, ben mas‘ūd (-14c)</w:t>
      </w:r>
    </w:p>
    <w:p>
      <w:pPr>
        <w:pStyle w:val="BookText"/>
      </w:pPr>
      <w:r>
        <w:rPr>
          <w:rFonts w:ascii="IRNazanin" w:hAnsi="IRNazanin" w:eastAsia="IRNazanin" w:cs="IRNazanin"/>
          <w:lang w:bidi="fa-IR"/>
          <w:color w:val="111111"/>
          <w:sz w:val="28"/>
          <w:szCs w:val="28"/>
          <w:rtl/>
        </w:rPr>
        <w:t xml:space="preserve">وابسته به: تاریخ جهانگشا = جهانگشای جوینی؛ جوینی، عطا ملک بن محمد (۶۲۳-۶۸۱) تاریخ بزرگی است. دنباله تاریخ «جهانگشای جوینی» در ۴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bookmarkStart w:id="600" w:name="pg20363_209926"/>
    <w:bookmarkEnd w:id="600"/>
    <w:p>
      <w:pPr>
        <w:pStyle w:val="BookText"/>
      </w:pPr>
      <w:r>
        <w:rPr>
          <w:rFonts w:ascii="IRNazanin" w:hAnsi="IRNazanin" w:eastAsia="IRNazanin" w:cs="IRNazanin"/>
          <w:lang w:bidi="fa-IR"/>
          <w:color w:val="111111"/>
          <w:sz w:val="28"/>
          <w:szCs w:val="28"/>
          <w:rtl/>
        </w:rPr>
        <w:t xml:space="preserve">«قسمت »۱ و ۲ در باره پادشاهان ایران پیش از اسلام؛ ۳- درباره عربستان پیش. پس از اسلام تا گشودن بغداد ۶۵۶ق؛ ۴- در باره دیگر پادشاهان اسلامی که به روز گار عباسیان بوده اند. بخش هائی از آن به فرانسوی چاپ شده است. «منزوی، احمد»</w:t>
      </w:r>
    </w:p>
    <w:p>
      <w:pPr>
        <w:pStyle w:val="BookText"/>
      </w:pPr>
      <w:r>
        <w:rPr>
          <w:rFonts w:ascii="IRNazanin" w:hAnsi="IRNazanin" w:eastAsia="IRNazanin" w:cs="IRNazanin"/>
          <w:lang w:bidi="fa-IR"/>
          <w:color w:val="111111"/>
          <w:sz w:val="28"/>
          <w:szCs w:val="28"/>
          <w:rtl/>
        </w:rPr>
        <w:t xml:space="preserve">[دنا ۷۴۸/۲ ؛ فهرستواره منزوی ۵۹۲/۱ ]</w:t>
      </w:r>
    </w:p>
    <w:p>
      <w:pPr>
        <w:pStyle w:val="BookText"/>
      </w:pPr>
      <w:r>
        <w:rPr>
          <w:rFonts w:ascii="IRNazanin" w:hAnsi="IRNazanin" w:eastAsia="IRNazanin" w:cs="IRNazanin"/>
          <w:lang w:bidi="fa-IR"/>
          <w:color w:val="111111"/>
          <w:sz w:val="28"/>
          <w:szCs w:val="28"/>
          <w:rtl/>
        </w:rPr>
        <w:t xml:space="preserve">تهران؛ دانشگاه؛ شماره نسخه: ۲۸۷۷-في</w:t>
      </w:r>
    </w:p>
    <w:p>
      <w:pPr>
        <w:pStyle w:val="BookText"/>
      </w:pPr>
      <w:r>
        <w:rPr>
          <w:rFonts w:ascii="IRNazanin" w:hAnsi="IRNazanin" w:eastAsia="IRNazanin" w:cs="IRNazanin"/>
          <w:lang w:bidi="fa-IR"/>
          <w:color w:val="111111"/>
          <w:sz w:val="28"/>
          <w:szCs w:val="28"/>
          <w:rtl/>
        </w:rPr>
        <w:t xml:space="preserve">پاریس ش ۶۱ بلوشه ج ش ۲۵۳؛ بی کا، بی تا (فيلمها ف: ۱- ۳۹]</w:t>
      </w:r>
    </w:p>
    <w:p>
      <w:pPr>
        <w:pStyle w:val="Heading3"/>
      </w:pPr>
      <w:bookmarkStart w:id="2722" w:name="_Toc1982"/>
      <w:r>
        <w:t>•تاریخ نیکلای اول / تاریخ پادشاهان / فارسی</w:t>
      </w:r>
      <w:bookmarkEnd w:id="2722"/>
    </w:p>
    <w:p>
      <w:pPr>
        <w:pStyle w:val="BookText"/>
      </w:pPr>
      <w:r>
        <w:rPr>
          <w:rFonts w:ascii="Times New Roman" w:hAnsi="Times New Roman" w:eastAsia="Times New Roman" w:cs="Times New Roman"/>
          <w:lang w:val="en-US" w:bidi="en-US"/>
          <w:color w:val="111111"/>
          <w:sz w:val="28"/>
          <w:szCs w:val="28"/>
          <w:rtl/>
        </w:rPr>
        <w:t xml:space="preserve">tārīx-e nīkolāy-e avval</w:t>
      </w:r>
    </w:p>
    <w:p>
      <w:pPr>
        <w:pStyle w:val="BookText"/>
      </w:pPr>
      <w:r>
        <w:rPr>
          <w:rFonts w:ascii="IRNazanin" w:hAnsi="IRNazanin" w:eastAsia="IRNazanin" w:cs="IRNazanin"/>
          <w:lang w:bidi="fa-IR"/>
          <w:color w:val="111111"/>
          <w:sz w:val="28"/>
          <w:szCs w:val="28"/>
          <w:rtl/>
        </w:rPr>
        <w:t xml:space="preserve">تاریخ تأليف: قرن ۱۳ شرح حال نیکلای اول فرزند امپراطور پل است، که بعد از فوت برادرش الكساندر اول به تخت نشست. در آن از فتوحاتی که به زمان او روس ها در آسیا کرده و از قراردادهایی که نیکلا با کشورهای دیگر بسته سخن رفته است. آغاز: بسمله، مقدمه تاریخی، نیکلای اول از سنه ۱۸۲۰ تا سنه ۱۸ عیسوی، باب اول: اجمال وقایع جلوس نیکلا</w:t>
      </w:r>
    </w:p>
    <w:p>
      <w:pPr>
        <w:pStyle w:val="BookText"/>
      </w:pPr>
      <w:r>
        <w:rPr>
          <w:rFonts w:ascii="IRNazanin" w:hAnsi="IRNazanin" w:eastAsia="IRNazanin" w:cs="IRNazanin"/>
          <w:lang w:bidi="fa-IR"/>
          <w:color w:val="111111"/>
          <w:sz w:val="28"/>
          <w:szCs w:val="28"/>
          <w:rtl/>
        </w:rPr>
        <w:t xml:space="preserve">۱. تهران؛ ملی؛ شماره نسخه:۶۰۱</w:t>
      </w:r>
    </w:p>
    <w:p>
      <w:pPr>
        <w:pStyle w:val="BookText"/>
      </w:pPr>
      <w:r>
        <w:rPr>
          <w:rFonts w:ascii="IRNazanin" w:hAnsi="IRNazanin" w:eastAsia="IRNazanin" w:cs="IRNazanin"/>
          <w:lang w:bidi="fa-IR"/>
          <w:color w:val="111111"/>
          <w:sz w:val="28"/>
          <w:szCs w:val="28"/>
          <w:rtl/>
        </w:rPr>
        <w:t xml:space="preserve">آغاز: برابر؛ انجام: در عهد این پادشاه دولت روس از چهار طرف اقدام بکار کرد یکی از طرف ایران و دیگری در سمت آسیای مرکزی و دیگری از طرف سیبریه و چین و دیگری از جانب قفقاز. خط: نستعلیق خوش، بی کا، تا: قرن ۱۳، جا؛ تهران؛ اهداء به شاید ناصرالدین شاه؛ کاغذ: فرنگی شکری، جلد: تیماج قرمز، مقوایی،</w:t>
      </w:r>
    </w:p>
    <w:p>
      <w:pPr>
        <w:pStyle w:val="BookText"/>
      </w:pPr>
      <w:r>
        <w:rPr>
          <w:rFonts w:ascii="IRNazanin" w:hAnsi="IRNazanin" w:eastAsia="IRNazanin" w:cs="IRNazanin"/>
          <w:lang w:bidi="fa-IR"/>
          <w:color w:val="111111"/>
          <w:sz w:val="28"/>
          <w:szCs w:val="28"/>
          <w:rtl/>
        </w:rPr>
        <w:t xml:space="preserve">٢. اصفهان؛ صارم الدوله (كتابخانه فرهنگ اصفهان، شماره نسخه:۹۴۵</w:t>
      </w:r>
    </w:p>
    <w:p>
      <w:pPr>
        <w:pStyle w:val="BookText"/>
      </w:pPr>
      <w:r>
        <w:rPr>
          <w:rFonts w:ascii="IRNazanin" w:hAnsi="IRNazanin" w:eastAsia="IRNazanin" w:cs="IRNazanin"/>
          <w:lang w:bidi="fa-IR"/>
          <w:color w:val="111111"/>
          <w:sz w:val="28"/>
          <w:szCs w:val="28"/>
          <w:rtl/>
        </w:rPr>
        <w:t xml:space="preserve">آغاز: برابر؛ انجام: بموجب قوانین جدیده دهاقین که تا کنون به آب و ملک خود پابست بوده اند می توانند بعد از مدتی معینی دارای جمیع امتیازات زراع آزاد باشند خط: نستعلیق، بی کا، تا: قرن ۱۴؛ ۲۷۹ ص، ۲۷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۷۳]</w:t>
      </w:r>
    </w:p>
    <w:p>
      <w:pPr>
        <w:pStyle w:val="Heading3"/>
      </w:pPr>
      <w:bookmarkStart w:id="2723" w:name="_Toc1983"/>
      <w:r>
        <w:t>•تاریخ واسط جعفری / تاریخ / فارسی</w:t>
      </w:r>
      <w:bookmarkEnd w:id="2723"/>
    </w:p>
    <w:p>
      <w:pPr>
        <w:pStyle w:val="BookText"/>
      </w:pPr>
      <w:r>
        <w:rPr>
          <w:rFonts w:ascii="Times New Roman" w:hAnsi="Times New Roman" w:eastAsia="Times New Roman" w:cs="Times New Roman"/>
          <w:lang w:val="en-US" w:bidi="en-US"/>
          <w:color w:val="111111"/>
          <w:sz w:val="28"/>
          <w:szCs w:val="28"/>
          <w:rtl/>
        </w:rPr>
        <w:t xml:space="preserve">tārīx-e vāset-e ja farī</w:t>
      </w:r>
    </w:p>
    <w:p>
      <w:pPr>
        <w:pStyle w:val="BookText"/>
      </w:pPr>
      <w:r>
        <w:rPr>
          <w:rFonts w:ascii="IRNazanin" w:hAnsi="IRNazanin" w:eastAsia="IRNazanin" w:cs="IRNazanin"/>
          <w:lang w:bidi="fa-IR"/>
          <w:color w:val="111111"/>
          <w:sz w:val="28"/>
          <w:szCs w:val="28"/>
          <w:rtl/>
        </w:rPr>
        <w:t xml:space="preserve">[ تاریخ یزد جعفری ص ۱۸۶]</w:t>
      </w:r>
    </w:p>
    <w:p>
      <w:pPr>
        <w:pStyle w:val="BookText"/>
      </w:pPr>
      <w:r>
        <w:rPr>
          <w:rFonts w:ascii="IRNazanin" w:hAnsi="IRNazanin" w:eastAsia="IRNazanin" w:cs="IRNazanin"/>
          <w:lang w:bidi="fa-IR"/>
          <w:color w:val="111111"/>
          <w:sz w:val="28"/>
          <w:szCs w:val="28"/>
          <w:rtl/>
        </w:rPr>
        <w:t xml:space="preserve">تهران؛ دانشگاه؛ شماره نسخه: ۵۳۱۱ف</w:t>
      </w:r>
    </w:p>
    <w:p>
      <w:pPr>
        <w:pStyle w:val="BookText"/>
      </w:pPr>
      <w:r>
        <w:rPr>
          <w:rFonts w:ascii="IRNazanin" w:hAnsi="IRNazanin" w:eastAsia="IRNazanin" w:cs="IRNazanin"/>
          <w:lang w:bidi="fa-IR"/>
          <w:color w:val="111111"/>
          <w:sz w:val="28"/>
          <w:szCs w:val="28"/>
          <w:rtl/>
        </w:rPr>
        <w:t xml:space="preserve">نسخه اصل: ملی تبریز مجموعه حسين نخجوانی؛ بی کا، بی تا</w:t>
      </w:r>
    </w:p>
    <w:p>
      <w:pPr>
        <w:pStyle w:val="BookText"/>
      </w:pPr>
      <w:r>
        <w:rPr>
          <w:rFonts w:ascii="Amiri" w:hAnsi="Amiri" w:eastAsia="Amiri" w:cs="Amiri"/>
          <w:lang w:bidi="ar-SA"/>
          <w:color w:val="111111"/>
          <w:sz w:val="28"/>
          <w:szCs w:val="28"/>
          <w:rtl/>
        </w:rPr>
        <w:t xml:space="preserve">[فيلمها ف: ۳-۱۴۷]</w:t>
      </w:r>
    </w:p>
    <w:p>
      <w:pPr>
        <w:pStyle w:val="BookText"/>
      </w:pPr>
      <w:r>
        <w:rPr>
          <w:rFonts w:ascii="IRNazanin" w:hAnsi="IRNazanin" w:eastAsia="IRNazanin" w:cs="IRNazanin"/>
          <w:lang w:bidi="fa-IR"/>
          <w:color w:val="111111"/>
          <w:sz w:val="28"/>
          <w:szCs w:val="28"/>
          <w:rtl/>
        </w:rPr>
        <w:t xml:space="preserve">←تاریخ واسطی ← تاریخ یزد</w:t>
      </w:r>
    </w:p>
    <w:p>
      <w:pPr>
        <w:pStyle w:val="Heading3"/>
      </w:pPr>
      <w:bookmarkStart w:id="2724" w:name="_Toc1984"/>
      <w:r>
        <w:t>•التاريخ و اسماء المحدثین و کناهم / رجال / عربی</w:t>
      </w:r>
      <w:bookmarkEnd w:id="2724"/>
    </w:p>
    <w:p>
      <w:pPr>
        <w:pStyle w:val="BookText"/>
      </w:pPr>
      <w:r>
        <w:rPr>
          <w:rFonts w:ascii="Times New Roman" w:hAnsi="Times New Roman" w:eastAsia="Times New Roman" w:cs="Times New Roman"/>
          <w:lang w:val="en-US" w:bidi="en-US"/>
          <w:color w:val="111111"/>
          <w:sz w:val="28"/>
          <w:szCs w:val="28"/>
          <w:rtl/>
        </w:rPr>
        <w:t xml:space="preserve">at-tarix wa asma-ul muhadditin wa kuna-him</w:t>
      </w:r>
    </w:p>
    <w:p>
      <w:pPr>
        <w:pStyle w:val="BookText"/>
      </w:pPr>
      <w:r>
        <w:rPr>
          <w:rFonts w:ascii="IRNazanin" w:hAnsi="IRNazanin" w:eastAsia="IRNazanin" w:cs="IRNazanin"/>
          <w:lang w:bidi="fa-IR"/>
          <w:color w:val="111111"/>
          <w:sz w:val="28"/>
          <w:szCs w:val="28"/>
          <w:rtl/>
        </w:rPr>
        <w:t xml:space="preserve">قاضی مقدمی، محمد بن احمد، -۳۰۱ قمری</w:t>
      </w:r>
    </w:p>
    <w:p>
      <w:pPr>
        <w:pStyle w:val="BookText"/>
      </w:pPr>
      <w:r>
        <w:rPr>
          <w:rFonts w:ascii="Times New Roman" w:hAnsi="Times New Roman" w:eastAsia="Times New Roman" w:cs="Times New Roman"/>
          <w:lang w:val="en-US" w:bidi="en-US"/>
          <w:color w:val="111111"/>
          <w:sz w:val="28"/>
          <w:szCs w:val="28"/>
          <w:rtl/>
        </w:rPr>
        <w:t xml:space="preserve">qāzī moqaddamī, mohammad ebn-e ahmad (-914)</w:t>
      </w:r>
    </w:p>
    <w:p>
      <w:pPr>
        <w:pStyle w:val="BookText"/>
      </w:pPr>
      <w:r>
        <w:rPr>
          <w:rFonts w:ascii="IRNazanin" w:hAnsi="IRNazanin" w:eastAsia="IRNazanin" w:cs="IRNazanin"/>
          <w:lang w:bidi="fa-IR"/>
          <w:color w:val="111111"/>
          <w:sz w:val="28"/>
          <w:szCs w:val="28"/>
          <w:rtl/>
        </w:rPr>
        <w:t xml:space="preserve">اسماء اصحاب رسول الله(صلی الله علیه وآله وسلم)را که به کنیه مشهورند و یا کنیه آنانی که به اسم مشهورند در این رساله گرد آورده است. در برخی از نام ها یا کنیه های مشترک عباراتی در جرح و تعدیل آنان با توضیحاتی در اسانید هر یک آمده تا از یکدیگر تمیز داده شوند.</w:t>
      </w:r>
    </w:p>
    <w:p>
      <w:pPr>
        <w:pStyle w:val="BookText"/>
      </w:pPr>
      <w:r>
        <w:rPr>
          <w:rFonts w:ascii="IRNazanin" w:hAnsi="IRNazanin" w:eastAsia="IRNazanin" w:cs="IRNazanin"/>
          <w:lang w:bidi="fa-IR"/>
          <w:color w:val="111111"/>
          <w:sz w:val="28"/>
          <w:szCs w:val="28"/>
          <w:rtl/>
        </w:rPr>
        <w:t xml:space="preserve">[ الاعلام زرکلی ۳۰۸/۵ با عنوان: اسماء المحدثين و كناهم، معجم المؤلفين ۳۱۹/۸</w:t>
      </w:r>
    </w:p>
    <w:p>
      <w:pPr>
        <w:pStyle w:val="BookText"/>
      </w:pPr>
      <w:r>
        <w:rPr>
          <w:rFonts w:ascii="IRNazanin" w:hAnsi="IRNazanin" w:eastAsia="IRNazanin" w:cs="IRNazanin"/>
          <w:lang w:bidi="fa-IR"/>
          <w:color w:val="111111"/>
          <w:sz w:val="28"/>
          <w:szCs w:val="28"/>
          <w:rtl/>
        </w:rPr>
        <w:t xml:space="preserve">با همان عنوان ]</w:t>
      </w:r>
    </w:p>
    <w:p>
      <w:pPr>
        <w:pStyle w:val="BookText"/>
      </w:pPr>
      <w:r>
        <w:rPr>
          <w:rFonts w:ascii="IRNazanin" w:hAnsi="IRNazanin" w:eastAsia="IRNazanin" w:cs="IRNazanin"/>
          <w:lang w:bidi="fa-IR"/>
          <w:color w:val="111111"/>
          <w:sz w:val="28"/>
          <w:szCs w:val="28"/>
          <w:rtl/>
        </w:rPr>
        <w:t xml:space="preserve">قم: مرکز احیاء؛ شماره نسخه:۲۶۴۴</w:t>
      </w:r>
    </w:p>
    <w:p>
      <w:pPr>
        <w:pStyle w:val="BookText"/>
      </w:pPr>
      <w:r>
        <w:rPr>
          <w:rFonts w:ascii="IRNazanin" w:hAnsi="IRNazanin" w:eastAsia="IRNazanin" w:cs="IRNazanin"/>
          <w:lang w:bidi="fa-IR"/>
          <w:color w:val="111111"/>
          <w:sz w:val="28"/>
          <w:szCs w:val="28"/>
          <w:rtl/>
        </w:rPr>
        <w:t xml:space="preserve">آغاز: أخبرنا الشيخ الفقيه أبوالقاسم سلیم بن أيوب الرازی رحمه الله و رضي عنه قال أخبرنا الشيخ ابو نصير طاهر بن محمد بن سليمان بن يوسف الموصلي بالموصل نسخه اصل: کتابخانه دار الكتب الظاهرية-دمشق؛ خط: نسخ، بی کا، تا: قرن ۵؛ مصحح، دارای چندین سماع و اجازه به سال های ۵۷۱ و ۵۷۷ و ۴۷۶ و ۵۲۱ و ۵۲۲، وقفنامه کتاب از ابوالحسن علی بن محمد بن السلم المسلمی و یادداشت قرائتی آمده؛ ۸۷ص [عکسی ف: ۷-۲۴۵]</w:t>
      </w:r>
    </w:p>
    <w:p>
      <w:pPr>
        <w:pStyle w:val="Heading3"/>
      </w:pPr>
      <w:bookmarkStart w:id="2725" w:name="_Toc1985"/>
      <w:r>
        <w:t>•تاریخ واقدی / تاریخ / عربی</w:t>
      </w:r>
      <w:bookmarkEnd w:id="2725"/>
    </w:p>
    <w:p>
      <w:pPr>
        <w:pStyle w:val="BookText"/>
      </w:pPr>
      <w:r>
        <w:rPr>
          <w:rFonts w:ascii="Times New Roman" w:hAnsi="Times New Roman" w:eastAsia="Times New Roman" w:cs="Times New Roman"/>
          <w:lang w:val="en-US" w:bidi="en-US"/>
          <w:color w:val="111111"/>
          <w:sz w:val="28"/>
          <w:szCs w:val="28"/>
          <w:rtl/>
        </w:rPr>
        <w:t xml:space="preserve">tārīx-e vāqedī 1x -</w:t>
      </w:r>
    </w:p>
    <w:p>
      <w:pPr>
        <w:pStyle w:val="BookText"/>
      </w:pPr>
      <w:r>
        <w:rPr>
          <w:rFonts w:ascii="IRNazanin" w:hAnsi="IRNazanin" w:eastAsia="IRNazanin" w:cs="IRNazanin"/>
          <w:lang w:bidi="fa-IR"/>
          <w:color w:val="111111"/>
          <w:sz w:val="28"/>
          <w:szCs w:val="28"/>
          <w:rtl/>
        </w:rPr>
        <w:t xml:space="preserve">واقدی، محمد بن عمر، ۱۳۰-۲۰۷ قمری</w:t>
      </w:r>
    </w:p>
    <w:p>
      <w:pPr>
        <w:pStyle w:val="BookText"/>
      </w:pPr>
      <w:r>
        <w:rPr>
          <w:rFonts w:ascii="Times New Roman" w:hAnsi="Times New Roman" w:eastAsia="Times New Roman" w:cs="Times New Roman"/>
          <w:lang w:val="en-US" w:bidi="en-US"/>
          <w:color w:val="111111"/>
          <w:sz w:val="28"/>
          <w:szCs w:val="28"/>
          <w:rtl/>
        </w:rPr>
        <w:t xml:space="preserve">vāqedī, mohammad ebn-e ‘omar (749-823)</w:t>
      </w:r>
    </w:p>
    <w:p>
      <w:pPr>
        <w:pStyle w:val="BookText"/>
      </w:pPr>
      <w:r>
        <w:rPr>
          <w:rFonts w:ascii="IRNazanin" w:hAnsi="IRNazanin" w:eastAsia="IRNazanin" w:cs="IRNazanin"/>
          <w:lang w:bidi="fa-IR"/>
          <w:color w:val="111111"/>
          <w:sz w:val="28"/>
          <w:szCs w:val="28"/>
          <w:rtl/>
        </w:rPr>
        <w:t xml:space="preserve">تهران؛ ملی؛ شماره نسخه:۱۵۲۰</w:t>
      </w:r>
    </w:p>
    <w:p>
      <w:pPr>
        <w:pStyle w:val="BookText"/>
      </w:pPr>
      <w:r>
        <w:rPr>
          <w:rFonts w:ascii="IRNazanin" w:hAnsi="IRNazanin" w:eastAsia="IRNazanin" w:cs="IRNazanin"/>
          <w:lang w:bidi="fa-IR"/>
          <w:color w:val="111111"/>
          <w:sz w:val="28"/>
          <w:szCs w:val="28"/>
          <w:rtl/>
        </w:rPr>
        <w:t xml:space="preserve">آغاز: بسمله وبه نستعين، قال الشيخ الإمام العلام العلامه ابو عبدالله بن عمر الواقدی؛ انجام: و حسبنا الله نعم الوكيل ولا حول و لا قوه الا بالله العلى العظيم و الله اعلم. خط: نسخ، بی کا، تا: قرن ۱۱؛ کاغذ: فرنگی، جلد: مقوایی، نو سازی، رویه گالینگور عطف میشن مشگی، ۳۶۹گ، ۲۳ سطر (۱۶۶۱۰)، اندازه: ۱۵/۵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۱۰-۱۶]</w:t>
      </w:r>
    </w:p>
    <w:p>
      <w:pPr>
        <w:pStyle w:val="BookText"/>
      </w:pPr>
      <w:r>
        <w:rPr>
          <w:rFonts w:ascii="IRNazanin" w:hAnsi="IRNazanin" w:eastAsia="IRNazanin" w:cs="IRNazanin"/>
          <w:lang w:bidi="fa-IR"/>
          <w:color w:val="111111"/>
          <w:sz w:val="28"/>
          <w:szCs w:val="28"/>
          <w:rtl/>
        </w:rPr>
        <w:t xml:space="preserve">←تاریخ واقعه بغداد ← ذیل تاریخ جهانگشای جوینی</w:t>
      </w:r>
    </w:p>
    <w:p>
      <w:pPr>
        <w:pStyle w:val="Heading3"/>
      </w:pPr>
      <w:bookmarkStart w:id="2726" w:name="_Toc1986"/>
      <w:r>
        <w:t>•تاریخ واقعه بغداد با کیفیت واقعه بغداد / تاریخ / فارسی</w:t>
      </w:r>
      <w:bookmarkEnd w:id="2726"/>
    </w:p>
    <w:p>
      <w:pPr>
        <w:pStyle w:val="BookText"/>
      </w:pPr>
      <w:r>
        <w:rPr>
          <w:rFonts w:ascii="Times New Roman" w:hAnsi="Times New Roman" w:eastAsia="Times New Roman" w:cs="Times New Roman"/>
          <w:lang w:val="en-US" w:bidi="en-US"/>
          <w:color w:val="111111"/>
          <w:sz w:val="28"/>
          <w:szCs w:val="28"/>
          <w:rtl/>
        </w:rPr>
        <w:t xml:space="preserve">tārīx-e vāqe'e-ye baqdād yā keyfīyat-e vaqe'e-ye baqdād</w:t>
      </w:r>
    </w:p>
    <w:p>
      <w:pPr>
        <w:pStyle w:val="BookText"/>
      </w:pPr>
      <w:r>
        <w:rPr>
          <w:rFonts w:ascii="IRNazanin" w:hAnsi="IRNazanin" w:eastAsia="IRNazanin" w:cs="IRNazanin"/>
          <w:lang w:bidi="fa-IR"/>
          <w:color w:val="111111"/>
          <w:sz w:val="28"/>
          <w:szCs w:val="28"/>
          <w:rtl/>
        </w:rPr>
        <w:t xml:space="preserve">تهران، دانشگاه شماره نسخه: ۴۰۲۵/۲ -ف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bookmarkStart w:id="601" w:name="pg20363_209927"/>
    <w:bookmarkEnd w:id="601"/>
    <w:p>
      <w:pPr>
        <w:pStyle w:val="BookText"/>
      </w:pPr>
      <w:r>
        <w:rPr>
          <w:rFonts w:ascii="IRNazanin" w:hAnsi="IRNazanin" w:eastAsia="IRNazanin" w:cs="IRNazanin"/>
          <w:lang w:bidi="fa-IR"/>
          <w:color w:val="111111"/>
          <w:sz w:val="28"/>
          <w:szCs w:val="28"/>
          <w:rtl/>
        </w:rPr>
        <w:t xml:space="preserve">نسخه اصل:کتابخانه مجتبی مینوی ۷۷؛ بی کا، تا: ۶۹۸ق [فيلمها في ۴-۳ ]</w:t>
      </w:r>
    </w:p>
    <w:p>
      <w:pPr>
        <w:pStyle w:val="Heading3"/>
      </w:pPr>
      <w:bookmarkStart w:id="2727" w:name="_Toc1987"/>
      <w:r>
        <w:t>•التاريخ و الاعتقادات / تاریخ عربی</w:t>
      </w:r>
      <w:bookmarkEnd w:id="2727"/>
    </w:p>
    <w:p>
      <w:pPr>
        <w:pStyle w:val="BookText"/>
      </w:pPr>
      <w:r>
        <w:rPr>
          <w:rFonts w:ascii="Times New Roman" w:hAnsi="Times New Roman" w:eastAsia="Times New Roman" w:cs="Times New Roman"/>
          <w:lang w:val="en-US" w:bidi="en-US"/>
          <w:color w:val="111111"/>
          <w:sz w:val="28"/>
          <w:szCs w:val="28"/>
          <w:rtl/>
        </w:rPr>
        <w:t xml:space="preserve">at-tārīx wa-l i'tiqādāt</w:t>
      </w:r>
    </w:p>
    <w:p>
      <w:pPr>
        <w:pStyle w:val="BookText"/>
      </w:pPr>
      <w:r>
        <w:rPr>
          <w:rFonts w:ascii="IRNazanin" w:hAnsi="IRNazanin" w:eastAsia="IRNazanin" w:cs="IRNazanin"/>
          <w:lang w:bidi="fa-IR"/>
          <w:color w:val="111111"/>
          <w:sz w:val="28"/>
          <w:szCs w:val="28"/>
          <w:rtl/>
        </w:rPr>
        <w:t xml:space="preserve">یزد؛ وزیری؛ شماره نسخه:۲۸۳۴</w:t>
      </w:r>
    </w:p>
    <w:p>
      <w:pPr>
        <w:pStyle w:val="BookText"/>
      </w:pPr>
      <w:r>
        <w:rPr>
          <w:rFonts w:ascii="IRNazanin" w:hAnsi="IRNazanin" w:eastAsia="IRNazanin" w:cs="IRNazanin"/>
          <w:lang w:bidi="fa-IR"/>
          <w:color w:val="111111"/>
          <w:sz w:val="28"/>
          <w:szCs w:val="28"/>
          <w:rtl/>
        </w:rPr>
        <w:t xml:space="preserve">آغاز: وجب على حقك واريد نصيحتك؛ انجام: و اولی الامر منكم ولم ينف ذلك. خط: نستعلیق، بی کا، بی تا، افتادگی: آغاز و انجام؛ اهدایی: وزیری؛ کاغذ: اصفهانی، جلد: مقوایی روکش کاغذ آبی عطف تیماج عنابی، ۵۷گ، ۳۴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۱۴۴۵-۴]</w:t>
      </w:r>
    </w:p>
    <w:p>
      <w:pPr>
        <w:pStyle w:val="Heading3"/>
      </w:pPr>
      <w:bookmarkStart w:id="2728" w:name="_Toc1988"/>
      <w:r>
        <w:t>•تاریخ و انساب مشجر / انساب / عربی</w:t>
      </w:r>
      <w:bookmarkEnd w:id="2728"/>
    </w:p>
    <w:p>
      <w:pPr>
        <w:pStyle w:val="BookText"/>
      </w:pPr>
      <w:r>
        <w:rPr>
          <w:rFonts w:ascii="Times New Roman" w:hAnsi="Times New Roman" w:eastAsia="Times New Roman" w:cs="Times New Roman"/>
          <w:lang w:val="en-US" w:bidi="en-US"/>
          <w:color w:val="111111"/>
          <w:sz w:val="28"/>
          <w:szCs w:val="28"/>
          <w:rtl/>
        </w:rPr>
        <w:t xml:space="preserve">tārīx va ansāb-e mošajjar</w:t>
      </w:r>
    </w:p>
    <w:p>
      <w:pPr>
        <w:pStyle w:val="BookText"/>
      </w:pPr>
      <w:r>
        <w:rPr>
          <w:rFonts w:ascii="IRNazanin" w:hAnsi="IRNazanin" w:eastAsia="IRNazanin" w:cs="IRNazanin"/>
          <w:lang w:bidi="fa-IR"/>
          <w:color w:val="111111"/>
          <w:sz w:val="28"/>
          <w:szCs w:val="28"/>
          <w:rtl/>
        </w:rPr>
        <w:t xml:space="preserve">شجره نسب و تاریخ و انساب ائمه اطهار (عليه السلام)است از حضرت حجة بن الحسن(عليه السلام)آغاز و به نیای پیغمبر(صلی الله علیه وآله وسلم) عدنان ختم گردیده است.</w:t>
      </w:r>
    </w:p>
    <w:p>
      <w:pPr>
        <w:pStyle w:val="BookText"/>
      </w:pPr>
      <w:r>
        <w:rPr>
          <w:rFonts w:ascii="IRNazanin" w:hAnsi="IRNazanin" w:eastAsia="IRNazanin" w:cs="IRNazanin"/>
          <w:lang w:bidi="fa-IR"/>
          <w:color w:val="111111"/>
          <w:sz w:val="28"/>
          <w:szCs w:val="28"/>
          <w:rtl/>
        </w:rPr>
        <w:t xml:space="preserve">تهران؛ مجلس؛ شماره نسخه: ۵۹۵۳/۲</w:t>
      </w:r>
    </w:p>
    <w:p>
      <w:pPr>
        <w:pStyle w:val="BookText"/>
      </w:pPr>
      <w:r>
        <w:rPr>
          <w:rFonts w:ascii="IRNazanin" w:hAnsi="IRNazanin" w:eastAsia="IRNazanin" w:cs="IRNazanin"/>
          <w:lang w:bidi="fa-IR"/>
          <w:color w:val="111111"/>
          <w:sz w:val="28"/>
          <w:szCs w:val="28"/>
          <w:rtl/>
        </w:rPr>
        <w:t xml:space="preserve">آغاز: الامام الحجة المنتظر محمد بن الحسن العسکری(عليه السلام)و على و آبائهما الطاهرين .. المهدی کنیته ابوالقسم يولد في آخر الزمان و يخرج حين باذن الله سبحانه في خروجه و ينزل عیسی(عليه السلام)؛ انجام: عدنان متفق على صحته روی النبی(صلی الله علیه وآله وسلم)قال اذا بلغ ... شيث هبة الله بن آدم صفوة الله عليه و على أبنائه الأنبياء افضل الصلوة و السلام قد تمت النميقه في مشهد سیدنا و مولانا الحسين</w:t>
      </w:r>
    </w:p>
    <w:p>
      <w:pPr>
        <w:pStyle w:val="BookText"/>
      </w:pPr>
      <w:r>
        <w:rPr>
          <w:rFonts w:ascii="IRNazanin" w:hAnsi="IRNazanin" w:eastAsia="IRNazanin" w:cs="IRNazanin"/>
          <w:lang w:bidi="fa-IR"/>
          <w:color w:val="111111"/>
          <w:sz w:val="28"/>
          <w:szCs w:val="28"/>
          <w:rtl/>
        </w:rPr>
        <w:t xml:space="preserve">خط: نسخ، بی کا، تا: قرن ۱۳، جان کربلا؛ کاغذ: فرنگی سفید</w:t>
      </w:r>
    </w:p>
    <w:p>
      <w:pPr>
        <w:pStyle w:val="BookText"/>
      </w:pPr>
      <w:r>
        <w:rPr>
          <w:rFonts w:ascii="IRNazanin" w:hAnsi="IRNazanin" w:eastAsia="IRNazanin" w:cs="IRNazanin"/>
          <w:lang w:bidi="fa-IR"/>
          <w:color w:val="111111"/>
          <w:sz w:val="28"/>
          <w:szCs w:val="28"/>
          <w:rtl/>
        </w:rPr>
        <w:t xml:space="preserve">ضخیم آهاردار، جلد: تیماج مشکی عطف تیماج قهوه ای، ۴۳ص ( ۲۴۴-۲۰۲ )، ۱۷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۱۷-۳۳۸]</w:t>
      </w:r>
    </w:p>
    <w:p>
      <w:pPr>
        <w:pStyle w:val="Heading3"/>
      </w:pPr>
      <w:bookmarkStart w:id="2729" w:name="_Toc1989"/>
      <w:r>
        <w:t>•تاریخ و ترجمه جغرافیای عراق / تاریخ و جغرافيا/ فارسی</w:t>
      </w:r>
      <w:bookmarkEnd w:id="2729"/>
    </w:p>
    <w:p>
      <w:pPr>
        <w:pStyle w:val="BookText"/>
      </w:pPr>
      <w:r>
        <w:rPr>
          <w:rFonts w:ascii="Times New Roman" w:hAnsi="Times New Roman" w:eastAsia="Times New Roman" w:cs="Times New Roman"/>
          <w:lang w:val="en-US" w:bidi="en-US"/>
          <w:color w:val="111111"/>
          <w:sz w:val="28"/>
          <w:szCs w:val="28"/>
          <w:rtl/>
        </w:rPr>
        <w:t xml:space="preserve">tārīx va t.-ye joqrāfiya-ye ‘arāq</w:t>
      </w:r>
    </w:p>
    <w:p>
      <w:pPr>
        <w:pStyle w:val="BookText"/>
      </w:pPr>
      <w:r>
        <w:rPr>
          <w:rFonts w:ascii="IRNazanin" w:hAnsi="IRNazanin" w:eastAsia="IRNazanin" w:cs="IRNazanin"/>
          <w:lang w:bidi="fa-IR"/>
          <w:color w:val="111111"/>
          <w:sz w:val="28"/>
          <w:szCs w:val="28"/>
          <w:rtl/>
        </w:rPr>
        <w:t xml:space="preserve">عارف منشی، محمد، ق۱۴ قمری</w:t>
      </w:r>
    </w:p>
    <w:p>
      <w:pPr>
        <w:pStyle w:val="BookText"/>
      </w:pPr>
      <w:r>
        <w:rPr>
          <w:rFonts w:ascii="Times New Roman" w:hAnsi="Times New Roman" w:eastAsia="Times New Roman" w:cs="Times New Roman"/>
          <w:lang w:val="en-US" w:bidi="en-US"/>
          <w:color w:val="111111"/>
          <w:sz w:val="28"/>
          <w:szCs w:val="28"/>
          <w:rtl/>
        </w:rPr>
        <w:t xml:space="preserve">‘āref-e monšī, mohammad (-20c)</w:t>
      </w:r>
    </w:p>
    <w:p>
      <w:pPr>
        <w:pStyle w:val="BookText"/>
      </w:pPr>
      <w:r>
        <w:rPr>
          <w:rFonts w:ascii="IRNazanin" w:hAnsi="IRNazanin" w:eastAsia="IRNazanin" w:cs="IRNazanin"/>
          <w:lang w:bidi="fa-IR"/>
          <w:color w:val="111111"/>
          <w:sz w:val="28"/>
          <w:szCs w:val="28"/>
          <w:rtl/>
        </w:rPr>
        <w:t xml:space="preserve">اهداء به: ناصرالدین شاه تاريخ تألیف: ۱۳۰۱ ق نگارنده منشی و مترجم زبان عثمانی در دارالترجمه خاصه همایونی دوره ناصری است می گوید در ماه مبارک رمضان ۱۳۰۱ق، که فراغتی از کار رسمی حاصل شده بود، کتابچه حاضر را که مبتنی بر شرح احوال جغرافیایی و تاریخی ولایت عراق به زبان عثمانی بوده، لایق ترجمه و نگارش دیده، و پس از</w:t>
      </w:r>
    </w:p>
    <w:p>
      <w:pPr>
        <w:pStyle w:val="BookText"/>
      </w:pPr>
      <w:r>
        <w:rPr>
          <w:rFonts w:ascii="IRNazanin" w:hAnsi="IRNazanin" w:eastAsia="IRNazanin" w:cs="IRNazanin"/>
          <w:lang w:bidi="fa-IR"/>
          <w:color w:val="111111"/>
          <w:sz w:val="28"/>
          <w:szCs w:val="28"/>
          <w:rtl/>
        </w:rPr>
        <w:t xml:space="preserve">ترجمه آن را توسط محمد حسن خان صنیع الدوله (اعتماد السلطنه ۱۲۵۹-۱۳۱۳ق) وزیر انطباعات و رئیس دارالترجمه خاصه همایونی به ناصرالدین شاه تقدیم نموده است. به گفته نگارنده، این کتابچه بنا بر اشاره دربار عثمانی که بعد از عهدنامه برلن عمارت و احیای ولایت مذکور را از مقتضیات امور سیاسی خود قرار داده بوده، توسط جمعی از صاحبان علوم و فنون که سالها در ولایت مذکور در جرگه مأمورین کشوری و لشکری بوده اند، از سال ۱۳۰۰ تا ۱۳۰۱ به دربار دولت مشارالیه تقدیم گردیده است و بعد محض توسيع دایره معلومات و اطلاعات، از ۱۸ جمادی الاول به این طرف آن را در روزنامه «طريق» منطبعه اسلامبول پی در پی نگاشته اند.</w:t>
      </w:r>
    </w:p>
    <w:p>
      <w:pPr>
        <w:pStyle w:val="BookText"/>
      </w:pPr>
      <w:r>
        <w:rPr>
          <w:rFonts w:ascii="IRNazanin" w:hAnsi="IRNazanin" w:eastAsia="IRNazanin" w:cs="IRNazanin"/>
          <w:lang w:bidi="fa-IR"/>
          <w:color w:val="111111"/>
          <w:sz w:val="28"/>
          <w:szCs w:val="28"/>
          <w:rtl/>
        </w:rPr>
        <w:t xml:space="preserve">تهران؛ ملی؛ شماره نسخه: ۶۹۶۲</w:t>
      </w:r>
    </w:p>
    <w:p>
      <w:pPr>
        <w:pStyle w:val="BookText"/>
      </w:pPr>
      <w:r>
        <w:rPr>
          <w:rFonts w:ascii="IRNazanin" w:hAnsi="IRNazanin" w:eastAsia="IRNazanin" w:cs="IRNazanin"/>
          <w:lang w:bidi="fa-IR"/>
          <w:color w:val="111111"/>
          <w:sz w:val="28"/>
          <w:szCs w:val="28"/>
          <w:rtl/>
        </w:rPr>
        <w:t xml:space="preserve">آغاز: بعد از ادای ما وجب علينا وارسته از عرض وايضاح است که تکلیف مترجمین فقط ترجمه بعض فقرات روزنامه های خارجه نیست؛ انجام: وهنا نام محل مستور با یک نوع ریگ نرم و قرمز رنگ است خط: نستعلیق خوش، بی کا، تا: ۱۳۰۱ق؛ مصحح، محشی با امضای مترجم؛ کاغذ: فرنگی نخودی، جلد: تیماج عنابی، ۵۸گ، ۱۳ سطر (۱۰/۵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۱۵/۵)،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[رایانه]</w:t>
      </w:r>
    </w:p>
    <w:p>
      <w:pPr>
        <w:pStyle w:val="Heading3"/>
      </w:pPr>
      <w:bookmarkStart w:id="2730" w:name="_Toc1990"/>
      <w:r>
        <w:t>•تاریخ و جغرافی / تاریخ و جغرافيا / عربی</w:t>
      </w:r>
      <w:bookmarkEnd w:id="2730"/>
    </w:p>
    <w:p>
      <w:pPr>
        <w:pStyle w:val="BookText"/>
      </w:pPr>
      <w:r>
        <w:rPr>
          <w:rFonts w:ascii="Times New Roman" w:hAnsi="Times New Roman" w:eastAsia="Times New Roman" w:cs="Times New Roman"/>
          <w:lang w:val="en-US" w:bidi="en-US"/>
          <w:color w:val="111111"/>
          <w:sz w:val="28"/>
          <w:szCs w:val="28"/>
          <w:rtl/>
        </w:rPr>
        <w:t xml:space="preserve">tārīx va joqrāfi</w:t>
      </w:r>
    </w:p>
    <w:p>
      <w:pPr>
        <w:pStyle w:val="BookText"/>
      </w:pPr>
      <w:r>
        <w:rPr>
          <w:rFonts w:ascii="IRNazanin" w:hAnsi="IRNazanin" w:eastAsia="IRNazanin" w:cs="IRNazanin"/>
          <w:lang w:bidi="fa-IR"/>
          <w:color w:val="111111"/>
          <w:sz w:val="28"/>
          <w:szCs w:val="28"/>
          <w:rtl/>
        </w:rPr>
        <w:t xml:space="preserve">حکایات تاریخی است از مهدی عباسی، ابوالغارات طلايع بن زریکی وزیر مصر (با قصیده ای که عماره فقیه در مرگ او سرود)، طاهر ذوالیمینین، از محقق شریف در شرح مواقف، احکام ذوات الذنب، محمد بن سليمان بن قطرش (از ادیبان زمان)، از فراستهای ایاس بن معاویه، داستان والی اهواز، اسماء مکه و مدینه، ابیاتی از شریف نوبند جانی، لطائفی به نظم و نثر با عنوان «لبعضهم». سپس اشعاری است لطیف از شاعرانی ناشناس که از جمله این اشعار لطیف و پر مغز، این ۳ بیت است: «ان التصوف في الزمان الاول *** كان التخلق بالجميل الافضل / ورع صحيح لا يشاب بريبه *** و زهادة مقرونه بتبتل / و الان مخرقة و لبس مرقع *** و الرقص من حب الغزال الاكحل»، و چند مطلب از لقمان، یحیی بن زکریا و درباره افضلیت موسی یا عیسی و چند لطيفه منثور.</w:t>
      </w:r>
    </w:p>
    <w:p>
      <w:pPr>
        <w:pStyle w:val="BookText"/>
      </w:pPr>
      <w:r>
        <w:rPr>
          <w:rFonts w:ascii="IRNazanin" w:hAnsi="IRNazanin" w:eastAsia="IRNazanin" w:cs="IRNazanin"/>
          <w:lang w:bidi="fa-IR"/>
          <w:color w:val="111111"/>
          <w:sz w:val="28"/>
          <w:szCs w:val="28"/>
          <w:rtl/>
        </w:rPr>
        <w:t xml:space="preserve">تهران؛ مجلس؛ شماره نسخه: ۸۷۹/۲۰ -طباطبائی</w:t>
      </w:r>
    </w:p>
    <w:p>
      <w:pPr>
        <w:pStyle w:val="BookText"/>
      </w:pPr>
      <w:r>
        <w:rPr>
          <w:rFonts w:ascii="IRNazanin" w:hAnsi="IRNazanin" w:eastAsia="IRNazanin" w:cs="IRNazanin"/>
          <w:lang w:bidi="fa-IR"/>
          <w:color w:val="111111"/>
          <w:sz w:val="28"/>
          <w:szCs w:val="28"/>
          <w:rtl/>
        </w:rPr>
        <w:t xml:space="preserve">کا: محمد بن میرزا محمد حسینی، تا: قرن ۱۱؛ کاغذ: اصفهانی رنگارنگ، جلد: تیماج عنابی دارای ترنج و نیم ترنج، ۸ص (۶۷ -۷۴)، اندازه: ۲۰/۲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۲۳-۱۷۱]</w:t>
      </w:r>
    </w:p>
    <w:p>
      <w:pPr>
        <w:pStyle w:val="Heading3"/>
      </w:pPr>
      <w:bookmarkStart w:id="2731" w:name="_Toc1991"/>
      <w:r>
        <w:t>•تاریخ و جغرافيا / تاریخ و جغرافيا / فارسی</w:t>
      </w:r>
      <w:bookmarkEnd w:id="2731"/>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bookmarkStart w:id="602" w:name="pg20363_209928"/>
    <w:bookmarkEnd w:id="602"/>
    <w:p>
      <w:pPr>
        <w:pStyle w:val="BookText"/>
      </w:pPr>
      <w:r>
        <w:rPr>
          <w:rFonts w:ascii="Times New Roman" w:hAnsi="Times New Roman" w:eastAsia="Times New Roman" w:cs="Times New Roman"/>
          <w:lang w:val="en-US" w:bidi="en-US"/>
          <w:color w:val="111111"/>
          <w:sz w:val="28"/>
          <w:szCs w:val="28"/>
          <w:rtl/>
        </w:rPr>
        <w:t xml:space="preserve">tārīx va joqrāfīyā</w:t>
      </w:r>
    </w:p>
    <w:p>
      <w:pPr>
        <w:pStyle w:val="BookText"/>
      </w:pPr>
      <w:r>
        <w:rPr>
          <w:rFonts w:ascii="IRNazanin" w:hAnsi="IRNazanin" w:eastAsia="IRNazanin" w:cs="IRNazanin"/>
          <w:lang w:bidi="fa-IR"/>
          <w:color w:val="111111"/>
          <w:sz w:val="28"/>
          <w:szCs w:val="28"/>
          <w:rtl/>
        </w:rPr>
        <w:t xml:space="preserve">مترجم، حسین، ق ۱۴ قمری</w:t>
      </w:r>
    </w:p>
    <w:p>
      <w:pPr>
        <w:pStyle w:val="BookText"/>
      </w:pPr>
      <w:r>
        <w:rPr>
          <w:rFonts w:ascii="Times New Roman" w:hAnsi="Times New Roman" w:eastAsia="Times New Roman" w:cs="Times New Roman"/>
          <w:lang w:val="en-US" w:bidi="en-US"/>
          <w:color w:val="111111"/>
          <w:sz w:val="28"/>
          <w:szCs w:val="28"/>
          <w:rtl/>
        </w:rPr>
        <w:t xml:space="preserve">motarjem, hoseyn (-20c)</w:t>
      </w:r>
    </w:p>
    <w:p>
      <w:pPr>
        <w:pStyle w:val="BookText"/>
      </w:pPr>
      <w:r>
        <w:rPr>
          <w:rFonts w:ascii="IRNazanin" w:hAnsi="IRNazanin" w:eastAsia="IRNazanin" w:cs="IRNazanin"/>
          <w:lang w:bidi="fa-IR"/>
          <w:color w:val="111111"/>
          <w:sz w:val="28"/>
          <w:szCs w:val="28"/>
          <w:rtl/>
        </w:rPr>
        <w:t xml:space="preserve">تاریخ ترجمه: ۱۳۱۳ق دارای مقدمه ای است از مترجم در وصف شهرهای بین طهران تا بروجرد و کتاب را در همین راه ترجمه کرده است. مطالب کتاب عبارت است از هفت فصل در تاریخ عالم، جغرافیای امریکا و فرنگی و آسیا و تاریخ طبیعی و فیزیک و نجوم و حساب. اصل فرانسه </w:t>
      </w:r>
      <w:r>
        <w:rPr>
          <w:rFonts w:ascii="Times New Roman" w:hAnsi="Times New Roman" w:eastAsia="Times New Roman" w:cs="Times New Roman"/>
          <w:lang w:val="en-US" w:bidi="en-US"/>
          <w:color w:val="111111"/>
          <w:sz w:val="28"/>
          <w:szCs w:val="28"/>
          <w:rtl/>
        </w:rPr>
        <w:t xml:space="preserve">Alphabet Rouge </w:t>
      </w:r>
      <w:r>
        <w:rPr>
          <w:rFonts w:ascii="IRNazanin" w:hAnsi="IRNazanin" w:eastAsia="IRNazanin" w:cs="IRNazanin"/>
          <w:lang w:bidi="fa-IR"/>
          <w:color w:val="111111"/>
          <w:sz w:val="28"/>
          <w:szCs w:val="28"/>
          <w:rtl/>
        </w:rPr>
        <w:t xml:space="preserve">نام داشته است. چاپ: تاریخ ایران: ایران، سنگی، رقعی، بدون تاریخ، ۱۱۴ص، ۳۸ص، ۲۲، ۱۶ص، ۳۶ص،</w:t>
      </w:r>
    </w:p>
    <w:p>
      <w:pPr>
        <w:pStyle w:val="BookText"/>
      </w:pPr>
      <w:r>
        <w:rPr>
          <w:rFonts w:ascii="IRNazanin" w:hAnsi="IRNazanin" w:eastAsia="IRNazanin" w:cs="IRNazanin"/>
          <w:lang w:bidi="fa-IR"/>
          <w:color w:val="111111"/>
          <w:sz w:val="28"/>
          <w:szCs w:val="28"/>
          <w:rtl/>
        </w:rPr>
        <w:t xml:space="preserve">[فهرستواره منزوی ۵۹۲/۱ ]</w:t>
      </w:r>
    </w:p>
    <w:p>
      <w:pPr>
        <w:pStyle w:val="BookText"/>
      </w:pPr>
      <w:r>
        <w:rPr>
          <w:rFonts w:ascii="IRNazanin" w:hAnsi="IRNazanin" w:eastAsia="IRNazanin" w:cs="IRNazanin"/>
          <w:lang w:bidi="fa-IR"/>
          <w:color w:val="111111"/>
          <w:sz w:val="28"/>
          <w:szCs w:val="28"/>
          <w:rtl/>
        </w:rPr>
        <w:t xml:space="preserve">تهران؛ ملک؛ شماره نسخه:۲۰۱۹</w:t>
      </w:r>
    </w:p>
    <w:p>
      <w:pPr>
        <w:pStyle w:val="BookText"/>
      </w:pPr>
      <w:r>
        <w:rPr>
          <w:rFonts w:ascii="IRNazanin" w:hAnsi="IRNazanin" w:eastAsia="IRNazanin" w:cs="IRNazanin"/>
          <w:lang w:bidi="fa-IR"/>
          <w:color w:val="111111"/>
          <w:sz w:val="28"/>
          <w:szCs w:val="28"/>
          <w:rtl/>
        </w:rPr>
        <w:t xml:space="preserve">خط: نستعلیق، بی کا، تا: جمعه ۲۱ محرم ۱۳۱۴ق؛ دارای دو سرلوح رنگی، مجدول با تزئینات طلایی؛ کاغذ: کاغذ آهار مهره فرنگی، جلد: میشن سبز، ۱۱۶گ، ۹ سطر، اندازه: ۱۱/۲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۱۷/۵ سم [ف: ۲-۹۵]</w:t>
      </w:r>
    </w:p>
    <w:p>
      <w:pPr>
        <w:pStyle w:val="Heading3"/>
      </w:pPr>
      <w:bookmarkStart w:id="2732" w:name="_Toc1992"/>
      <w:r>
        <w:t>•تاریخ و جغرافيا / جغرافیا، تاریخ / فارسی</w:t>
      </w:r>
      <w:bookmarkEnd w:id="2732"/>
    </w:p>
    <w:p>
      <w:pPr>
        <w:pStyle w:val="BookText"/>
      </w:pPr>
      <w:r>
        <w:rPr>
          <w:rFonts w:ascii="Times New Roman" w:hAnsi="Times New Roman" w:eastAsia="Times New Roman" w:cs="Times New Roman"/>
          <w:lang w:val="en-US" w:bidi="en-US"/>
          <w:color w:val="111111"/>
          <w:sz w:val="28"/>
          <w:szCs w:val="28"/>
          <w:rtl/>
        </w:rPr>
        <w:t xml:space="preserve">tārīx va joqrāfīyā</w:t>
      </w:r>
    </w:p>
    <w:p>
      <w:pPr>
        <w:pStyle w:val="BookText"/>
      </w:pPr>
      <w:r>
        <w:rPr>
          <w:rFonts w:ascii="IRNazanin" w:hAnsi="IRNazanin" w:eastAsia="IRNazanin" w:cs="IRNazanin"/>
          <w:lang w:bidi="fa-IR"/>
          <w:color w:val="111111"/>
          <w:sz w:val="28"/>
          <w:szCs w:val="28"/>
          <w:rtl/>
        </w:rPr>
        <w:t xml:space="preserve">کشاورز، اصغر</w:t>
      </w:r>
    </w:p>
    <w:p>
      <w:pPr>
        <w:pStyle w:val="BookText"/>
      </w:pPr>
      <w:r>
        <w:rPr>
          <w:rFonts w:ascii="Times New Roman" w:hAnsi="Times New Roman" w:eastAsia="Times New Roman" w:cs="Times New Roman"/>
          <w:lang w:val="en-US" w:bidi="en-US"/>
          <w:color w:val="111111"/>
          <w:sz w:val="28"/>
          <w:szCs w:val="28"/>
          <w:rtl/>
        </w:rPr>
        <w:t xml:space="preserve">kešāvarz, asqar</w:t>
      </w:r>
    </w:p>
    <w:p>
      <w:pPr>
        <w:pStyle w:val="BookText"/>
      </w:pPr>
      <w:r>
        <w:rPr>
          <w:rFonts w:ascii="IRNazanin" w:hAnsi="IRNazanin" w:eastAsia="IRNazanin" w:cs="IRNazanin"/>
          <w:lang w:bidi="fa-IR"/>
          <w:color w:val="111111"/>
          <w:sz w:val="28"/>
          <w:szCs w:val="28"/>
          <w:rtl/>
        </w:rPr>
        <w:t xml:space="preserve">دفتری است متشکل از دو بخش: ۱. تاریخ ترکستان یا توران زمین و نیز شرح حالی از چنگیز خان مغول؛ ۲. مختصری است از جغرافیای عمومی</w:t>
      </w:r>
    </w:p>
    <w:p>
      <w:pPr>
        <w:pStyle w:val="BookText"/>
      </w:pPr>
      <w:r>
        <w:rPr>
          <w:rFonts w:ascii="IRNazanin" w:hAnsi="IRNazanin" w:eastAsia="IRNazanin" w:cs="IRNazanin"/>
          <w:lang w:bidi="fa-IR"/>
          <w:color w:val="111111"/>
          <w:sz w:val="28"/>
          <w:szCs w:val="28"/>
          <w:rtl/>
        </w:rPr>
        <w:t xml:space="preserve">قم؛ مسجد اعظم، شماره نسخه:۱۰۲۸</w:t>
      </w:r>
    </w:p>
    <w:p>
      <w:pPr>
        <w:pStyle w:val="BookText"/>
      </w:pPr>
      <w:r>
        <w:rPr>
          <w:rFonts w:ascii="IRNazanin" w:hAnsi="IRNazanin" w:eastAsia="IRNazanin" w:cs="IRNazanin"/>
          <w:lang w:bidi="fa-IR"/>
          <w:color w:val="111111"/>
          <w:sz w:val="28"/>
          <w:szCs w:val="28"/>
          <w:rtl/>
        </w:rPr>
        <w:t xml:space="preserve">آغاز: سرزمینن ترکستان یا توران مابین فلات ایران و دریای خزر و سیبری و جبال میانشان واقع گردیده و در این جهت دریاچه های آرال و بالخاش و ایشیق قرار گرفته؛ انجام: و در جلگه حیوانات مخصوص به جلگه زیست می کنند و مثلا میمون و سمور از حیوانات جنگلی هستند ولی گوره خر و گوزن از حیوانات جلگه و بنابر این تغییر اوضاع نباتی باعث تغییر اوضاع است. خط: نستعلیق و تحریری، کا: اصغر کشاورز، بی تا؛ واقف: محمد رمضانی؛ جلد: مقوا، ۵۱گ، مختلف السطر،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مخ: ۱-۳۱۷]</w:t>
      </w:r>
    </w:p>
    <w:p>
      <w:pPr>
        <w:pStyle w:val="Heading3"/>
      </w:pPr>
      <w:bookmarkStart w:id="2733" w:name="_Toc1993"/>
      <w:r>
        <w:t>•تاریخ و جغرافیای آستان قدس رضوی / تاریخ و جغرافيا / فارسی</w:t>
      </w:r>
      <w:bookmarkEnd w:id="2733"/>
    </w:p>
    <w:p>
      <w:pPr>
        <w:pStyle w:val="BookText"/>
      </w:pPr>
      <w:r>
        <w:rPr>
          <w:rFonts w:ascii="Times New Roman" w:hAnsi="Times New Roman" w:eastAsia="Times New Roman" w:cs="Times New Roman"/>
          <w:lang w:val="en-US" w:bidi="en-US"/>
          <w:color w:val="111111"/>
          <w:sz w:val="28"/>
          <w:szCs w:val="28"/>
          <w:rtl/>
        </w:rPr>
        <w:t xml:space="preserve">tārīx va joqrāfīya-ye āstān-e qods-e razavī</w:t>
      </w:r>
    </w:p>
    <w:p>
      <w:pPr>
        <w:pStyle w:val="BookText"/>
      </w:pPr>
      <w:r>
        <w:rPr>
          <w:rFonts w:ascii="IRNazanin" w:hAnsi="IRNazanin" w:eastAsia="IRNazanin" w:cs="IRNazanin"/>
          <w:lang w:bidi="fa-IR"/>
          <w:color w:val="111111"/>
          <w:sz w:val="28"/>
          <w:szCs w:val="28"/>
          <w:rtl/>
        </w:rPr>
        <w:t xml:space="preserve">نوبر، علی، ق۱۴ قمری</w:t>
      </w:r>
    </w:p>
    <w:p>
      <w:pPr>
        <w:pStyle w:val="BookText"/>
      </w:pPr>
      <w:r>
        <w:rPr>
          <w:rFonts w:ascii="Times New Roman" w:hAnsi="Times New Roman" w:eastAsia="Times New Roman" w:cs="Times New Roman"/>
          <w:lang w:val="en-US" w:bidi="en-US"/>
          <w:color w:val="111111"/>
          <w:sz w:val="28"/>
          <w:szCs w:val="28"/>
          <w:rtl/>
        </w:rPr>
        <w:t xml:space="preserve">nowbar, ‘alī (-20c)</w:t>
      </w:r>
    </w:p>
    <w:p>
      <w:pPr>
        <w:pStyle w:val="BookText"/>
      </w:pPr>
      <w:r>
        <w:rPr>
          <w:rFonts w:ascii="IRNazanin" w:hAnsi="IRNazanin" w:eastAsia="IRNazanin" w:cs="IRNazanin"/>
          <w:lang w:bidi="fa-IR"/>
          <w:color w:val="111111"/>
          <w:sz w:val="28"/>
          <w:szCs w:val="28"/>
          <w:rtl/>
        </w:rPr>
        <w:t xml:space="preserve">التاريخ و الاعتقادات - تاریخ و جغرافیای ۸۰۱</w:t>
      </w:r>
    </w:p>
    <w:p>
      <w:pPr>
        <w:pStyle w:val="BookText"/>
      </w:pPr>
      <w:r>
        <w:rPr>
          <w:rFonts w:ascii="IRNazanin" w:hAnsi="IRNazanin" w:eastAsia="IRNazanin" w:cs="IRNazanin"/>
          <w:lang w:bidi="fa-IR"/>
          <w:color w:val="111111"/>
          <w:sz w:val="28"/>
          <w:szCs w:val="28"/>
          <w:rtl/>
        </w:rPr>
        <w:t xml:space="preserve">گزیده ای است در تاریخ و جغرافیای مشهد مقدس و گزارش اوضاع و احوال آستان قدس رضوی، همراه با شرح وقایع و مصائب وارده بر آن آستان مبارک، در طی قرون و اعصار</w:t>
      </w:r>
    </w:p>
    <w:p>
      <w:pPr>
        <w:pStyle w:val="BookText"/>
      </w:pPr>
      <w:r>
        <w:rPr>
          <w:rFonts w:ascii="IRNazanin" w:hAnsi="IRNazanin" w:eastAsia="IRNazanin" w:cs="IRNazanin"/>
          <w:lang w:bidi="fa-IR"/>
          <w:color w:val="111111"/>
          <w:sz w:val="28"/>
          <w:szCs w:val="28"/>
          <w:rtl/>
        </w:rPr>
        <w:t xml:space="preserve">گذشته.</w:t>
      </w:r>
    </w:p>
    <w:p>
      <w:pPr>
        <w:pStyle w:val="BookText"/>
      </w:pPr>
      <w:r>
        <w:rPr>
          <w:rFonts w:ascii="IRNazanin" w:hAnsi="IRNazanin" w:eastAsia="IRNazanin" w:cs="IRNazanin"/>
          <w:lang w:bidi="fa-IR"/>
          <w:color w:val="111111"/>
          <w:sz w:val="28"/>
          <w:szCs w:val="28"/>
          <w:rtl/>
        </w:rPr>
        <w:t xml:space="preserve">قم؛ مرعشی؛ شماره نسخه: ۱۴۳۵۱</w:t>
      </w:r>
    </w:p>
    <w:p>
      <w:pPr>
        <w:pStyle w:val="BookText"/>
      </w:pPr>
      <w:r>
        <w:rPr>
          <w:rFonts w:ascii="IRNazanin" w:hAnsi="IRNazanin" w:eastAsia="IRNazanin" w:cs="IRNazanin"/>
          <w:lang w:bidi="fa-IR"/>
          <w:color w:val="111111"/>
          <w:sz w:val="28"/>
          <w:szCs w:val="28"/>
          <w:rtl/>
        </w:rPr>
        <w:t xml:space="preserve">آغاز: کمترین على نوبر در سنه (۱۳۱۰) که با تعتکاف آستان بوسی امام همام ابوالحسن علی بن موسی الرضا عليه آلاف التحية و الثنا نایل آمد؛ انجام: تمام شد این نسخه شریفه جغرافیای ارض از تصنیفات پر عمه ام سر کار میرزا علی خان سرهنگ خط: نستعلیق، كا: ابراهيم بن محمد نوری، تا: ۱۳۱۱ق؛ کاغذ: فرنگی فلفل نمکی، جلد: مقوایی با روکش کاغذی چاپی، ۳۸گ، ۱۶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۳۶-۲۴۸]</w:t>
      </w:r>
    </w:p>
    <w:p>
      <w:pPr>
        <w:pStyle w:val="BookText"/>
      </w:pPr>
      <w:r>
        <w:rPr>
          <w:rFonts w:ascii="IRNazanin" w:hAnsi="IRNazanin" w:eastAsia="IRNazanin" w:cs="IRNazanin"/>
          <w:lang w:bidi="fa-IR"/>
          <w:color w:val="111111"/>
          <w:sz w:val="28"/>
          <w:szCs w:val="28"/>
          <w:rtl/>
        </w:rPr>
        <w:t xml:space="preserve">← تاریخ و جغرافیای پنجاب ← تاریخ هندوستان</w:t>
      </w:r>
    </w:p>
    <w:p>
      <w:pPr>
        <w:pStyle w:val="Heading3"/>
      </w:pPr>
      <w:bookmarkStart w:id="2734" w:name="_Toc1994"/>
      <w:r>
        <w:t>•تاریخ و جغرافیای حافظ ابرو / تاریخ و جغرافيا / فارسی</w:t>
      </w:r>
      <w:bookmarkEnd w:id="2734"/>
    </w:p>
    <w:p>
      <w:pPr>
        <w:pStyle w:val="BookText"/>
      </w:pPr>
      <w:r>
        <w:rPr>
          <w:rFonts w:ascii="Times New Roman" w:hAnsi="Times New Roman" w:eastAsia="Times New Roman" w:cs="Times New Roman"/>
          <w:lang w:val="en-US" w:bidi="en-US"/>
          <w:color w:val="111111"/>
          <w:sz w:val="28"/>
          <w:szCs w:val="28"/>
          <w:rtl/>
        </w:rPr>
        <w:t xml:space="preserve">tārīx va joqrāfīya-ye hāfez abrū</w:t>
      </w:r>
    </w:p>
    <w:p>
      <w:pPr>
        <w:pStyle w:val="BookText"/>
      </w:pPr>
      <w:r>
        <w:rPr>
          <w:rFonts w:ascii="IRNazanin" w:hAnsi="IRNazanin" w:eastAsia="IRNazanin" w:cs="IRNazanin"/>
          <w:lang w:bidi="fa-IR"/>
          <w:color w:val="111111"/>
          <w:sz w:val="28"/>
          <w:szCs w:val="28"/>
          <w:rtl/>
        </w:rPr>
        <w:t xml:space="preserve">حافظ ابرو، عبدالله بن لطف الله، ۷۶۳؟ -۸۳۴؟ قمری</w:t>
      </w:r>
    </w:p>
    <w:p>
      <w:pPr>
        <w:pStyle w:val="BookText"/>
      </w:pPr>
      <w:r>
        <w:rPr>
          <w:rFonts w:ascii="Times New Roman" w:hAnsi="Times New Roman" w:eastAsia="Times New Roman" w:cs="Times New Roman"/>
          <w:lang w:val="en-US" w:bidi="en-US"/>
          <w:color w:val="111111"/>
          <w:sz w:val="28"/>
          <w:szCs w:val="28"/>
          <w:rtl/>
        </w:rPr>
        <w:t xml:space="preserve">hāfez abrū, ‘abd-ol-lāh ebn-e lotf-ol-lāh (1362-1431)</w:t>
      </w:r>
    </w:p>
    <w:p>
      <w:pPr>
        <w:pStyle w:val="BookText"/>
      </w:pPr>
      <w:r>
        <w:rPr>
          <w:rFonts w:ascii="IRNazanin" w:hAnsi="IRNazanin" w:eastAsia="IRNazanin" w:cs="IRNazanin"/>
          <w:lang w:bidi="fa-IR"/>
          <w:color w:val="111111"/>
          <w:sz w:val="28"/>
          <w:szCs w:val="28"/>
          <w:rtl/>
        </w:rPr>
        <w:t xml:space="preserve">۱. تهران، مرکز فرهنگی خراسان؛ شماره نسخه:۱۹ عکسی</w:t>
      </w:r>
    </w:p>
    <w:p>
      <w:pPr>
        <w:pStyle w:val="BookText"/>
      </w:pPr>
      <w:r>
        <w:rPr>
          <w:rFonts w:ascii="IRNazanin" w:hAnsi="IRNazanin" w:eastAsia="IRNazanin" w:cs="IRNazanin"/>
          <w:lang w:bidi="fa-IR"/>
          <w:color w:val="111111"/>
          <w:sz w:val="28"/>
          <w:szCs w:val="28"/>
          <w:rtl/>
        </w:rPr>
        <w:t xml:space="preserve">اصل کتابخانه ملک، تهران؛ کا: ملک محمد بن حمد بن بروجنی، تا: ۵ جمادی الاول ۱۲۷۲ق؛ ۲۵۲گ [جنگ: ۱-۴۵۶]</w:t>
      </w:r>
    </w:p>
    <w:p>
      <w:pPr>
        <w:pStyle w:val="BookText"/>
      </w:pPr>
      <w:r>
        <w:rPr>
          <w:rFonts w:ascii="IRNazanin" w:hAnsi="IRNazanin" w:eastAsia="IRNazanin" w:cs="IRNazanin"/>
          <w:lang w:bidi="fa-IR"/>
          <w:color w:val="111111"/>
          <w:sz w:val="28"/>
          <w:szCs w:val="28"/>
          <w:rtl/>
        </w:rPr>
        <w:t xml:space="preserve">۲. تهران: مطالعات فرهنگی؛ شماره نسخه:ف ۱۹</w:t>
      </w:r>
    </w:p>
    <w:p>
      <w:pPr>
        <w:pStyle w:val="BookText"/>
      </w:pPr>
      <w:r>
        <w:rPr>
          <w:rFonts w:ascii="IRNazanin" w:hAnsi="IRNazanin" w:eastAsia="IRNazanin" w:cs="IRNazanin"/>
          <w:lang w:bidi="fa-IR"/>
          <w:color w:val="111111"/>
          <w:sz w:val="28"/>
          <w:szCs w:val="28"/>
          <w:rtl/>
        </w:rPr>
        <w:t xml:space="preserve">نسخه اصل: موزه بریتانیا 1987 .</w:t>
      </w:r>
      <w:r>
        <w:rPr>
          <w:rFonts w:ascii="Times New Roman" w:hAnsi="Times New Roman" w:eastAsia="Times New Roman" w:cs="Times New Roman"/>
          <w:lang w:val="en-US" w:bidi="en-US"/>
          <w:color w:val="111111"/>
          <w:sz w:val="28"/>
          <w:szCs w:val="28"/>
          <w:rtl/>
        </w:rPr>
        <w:t xml:space="preserve">Or (</w:t>
      </w:r>
      <w:r>
        <w:rPr>
          <w:rFonts w:ascii="IRNazanin" w:hAnsi="IRNazanin" w:eastAsia="IRNazanin" w:cs="IRNazanin"/>
          <w:lang w:bidi="fa-IR"/>
          <w:color w:val="111111"/>
          <w:sz w:val="28"/>
          <w:szCs w:val="28"/>
          <w:rtl/>
        </w:rPr>
        <w:t xml:space="preserve">ریو ۹۹۱- دیباچه ذیل جامع التواريخ حافظ ابرو از خانبابا بیانی ص ۵۹-۱۴۶)؛ بی کا، بی تا [ف: ۱۶۴]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مطالعات فرهنگی؛ شماره نسخه:ف ۲۰ نسخه اصل: موزه بریتانیا 9316 ,</w:t>
      </w:r>
      <w:r>
        <w:rPr>
          <w:rFonts w:ascii="Times New Roman" w:hAnsi="Times New Roman" w:eastAsia="Times New Roman" w:cs="Times New Roman"/>
          <w:lang w:val="en-US" w:bidi="en-US"/>
          <w:color w:val="111111"/>
          <w:sz w:val="28"/>
          <w:szCs w:val="28"/>
          <w:rtl/>
        </w:rPr>
        <w:t xml:space="preserve">Or (</w:t>
      </w:r>
      <w:r>
        <w:rPr>
          <w:rFonts w:ascii="IRNazanin" w:hAnsi="IRNazanin" w:eastAsia="IRNazanin" w:cs="IRNazanin"/>
          <w:lang w:bidi="fa-IR"/>
          <w:color w:val="111111"/>
          <w:sz w:val="28"/>
          <w:szCs w:val="28"/>
          <w:rtl/>
        </w:rPr>
        <w:t xml:space="preserve">مردیت اونس ۱۵۵-نشریه ۶۵۰/۴ ) (ع ۱۷ تا ۱۹)؛ بی کا، بی تا [ف: ۱۶۴]</w:t>
      </w:r>
    </w:p>
    <w:p>
      <w:pPr>
        <w:pStyle w:val="BookText"/>
      </w:pPr>
      <w:r>
        <w:rPr>
          <w:rFonts w:ascii="IRNazanin" w:hAnsi="IRNazanin" w:eastAsia="IRNazanin" w:cs="IRNazanin"/>
          <w:lang w:bidi="fa-IR"/>
          <w:color w:val="111111"/>
          <w:sz w:val="28"/>
          <w:szCs w:val="28"/>
          <w:rtl/>
        </w:rPr>
        <w:t xml:space="preserve">۴. تهران؛ مطالعات فرهنگی؛ شماره نسخه: ۱۲ و ع۱۳</w:t>
      </w:r>
    </w:p>
    <w:p>
      <w:pPr>
        <w:pStyle w:val="BookText"/>
      </w:pPr>
      <w:r>
        <w:rPr>
          <w:rFonts w:ascii="IRNazanin" w:hAnsi="IRNazanin" w:eastAsia="IRNazanin" w:cs="IRNazanin"/>
          <w:lang w:bidi="fa-IR"/>
          <w:color w:val="111111"/>
          <w:sz w:val="28"/>
          <w:szCs w:val="28"/>
          <w:rtl/>
        </w:rPr>
        <w:t xml:space="preserve">نسخه اصل: کتابخانه گلستان (ش ۲۵۷/۱۱۵۱ کتابخانه دولت) همان دیباچه بیانی ص</w:t>
      </w:r>
    </w:p>
    <w:p>
      <w:pPr>
        <w:pStyle w:val="BookText"/>
      </w:pPr>
      <w:r>
        <w:rPr>
          <w:rFonts w:ascii="IRNazanin" w:hAnsi="IRNazanin" w:eastAsia="IRNazanin" w:cs="IRNazanin"/>
          <w:lang w:bidi="fa-IR"/>
          <w:color w:val="111111"/>
          <w:sz w:val="28"/>
          <w:szCs w:val="28"/>
          <w:rtl/>
        </w:rPr>
        <w:t xml:space="preserve">۵۷-فیلمها ۶۶/۱ )؛ بی کا، تا: یکشنبه رجب جمادی الثانی [ف: ۱۶۴]</w:t>
      </w:r>
    </w:p>
    <w:p>
      <w:pPr>
        <w:pStyle w:val="BookText"/>
      </w:pPr>
      <w:r>
        <w:rPr>
          <w:rFonts w:ascii="IRNazanin" w:hAnsi="IRNazanin" w:eastAsia="IRNazanin" w:cs="IRNazanin"/>
          <w:lang w:bidi="fa-IR"/>
          <w:color w:val="111111"/>
          <w:sz w:val="28"/>
          <w:szCs w:val="28"/>
          <w:rtl/>
        </w:rPr>
        <w:t xml:space="preserve">۵. تهران: مطالعات فرهنگی؛ شماره نسخه:ع ۱۵ و ۱۶۶</w:t>
      </w:r>
    </w:p>
    <w:p>
      <w:pPr>
        <w:pStyle w:val="BookText"/>
      </w:pPr>
      <w:r>
        <w:rPr>
          <w:rFonts w:ascii="IRNazanin" w:hAnsi="IRNazanin" w:eastAsia="IRNazanin" w:cs="IRNazanin"/>
          <w:lang w:bidi="fa-IR"/>
          <w:color w:val="111111"/>
          <w:sz w:val="28"/>
          <w:szCs w:val="28"/>
          <w:rtl/>
        </w:rPr>
        <w:t xml:space="preserve">نسخه اصل: بادلیان ۱۳۵۷ اليوت (۳۳۲ اته). در آغاز آمده که در جمادی الاول ۱۰۴۴ به پایان رسیده است (فیلمها ۶۶/۱ )؛ بی کا، بی تا [ف: ۱۶۴]</w:t>
      </w:r>
    </w:p>
    <w:p>
      <w:pPr>
        <w:pStyle w:val="BookText"/>
      </w:pPr>
      <w:r>
        <w:rPr>
          <w:rFonts w:ascii="IRNazanin" w:hAnsi="IRNazanin" w:eastAsia="IRNazanin" w:cs="IRNazanin"/>
          <w:lang w:bidi="fa-IR"/>
          <w:color w:val="111111"/>
          <w:sz w:val="28"/>
          <w:szCs w:val="28"/>
          <w:rtl/>
        </w:rPr>
        <w:t xml:space="preserve">←تاریخ و جغرافیای دارالسلطنه تبریز ← تاریخ تبریز</w:t>
      </w:r>
    </w:p>
    <w:p>
      <w:pPr>
        <w:pStyle w:val="Heading3"/>
      </w:pPr>
      <w:bookmarkStart w:id="2735" w:name="_Toc1995"/>
      <w:r>
        <w:t>•تاریخ و جغرافیای سیلان / جغرافيا / فارسی</w:t>
      </w:r>
      <w:bookmarkEnd w:id="2735"/>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bookmarkStart w:id="603" w:name="pg20363_209929"/>
    <w:bookmarkEnd w:id="603"/>
    <w:p>
      <w:pPr>
        <w:pStyle w:val="BookText"/>
      </w:pPr>
      <w:r>
        <w:rPr>
          <w:rFonts w:ascii="Times New Roman" w:hAnsi="Times New Roman" w:eastAsia="Times New Roman" w:cs="Times New Roman"/>
          <w:lang w:val="en-US" w:bidi="en-US"/>
          <w:color w:val="111111"/>
          <w:sz w:val="28"/>
          <w:szCs w:val="28"/>
          <w:rtl/>
        </w:rPr>
        <w:t xml:space="preserve">tārīx va joqrāfīya-ye seylān</w:t>
      </w:r>
    </w:p>
    <w:p>
      <w:pPr>
        <w:pStyle w:val="BookText"/>
      </w:pPr>
      <w:r>
        <w:rPr>
          <w:rFonts w:ascii="IRNazanin" w:hAnsi="IRNazanin" w:eastAsia="IRNazanin" w:cs="IRNazanin"/>
          <w:lang w:bidi="fa-IR"/>
          <w:color w:val="111111"/>
          <w:sz w:val="28"/>
          <w:szCs w:val="28"/>
          <w:rtl/>
        </w:rPr>
        <w:t xml:space="preserve">حائری صدرالمعالی، حسین بن رضا، -۱۳۳۶ قمری</w:t>
      </w:r>
    </w:p>
    <w:p>
      <w:pPr>
        <w:pStyle w:val="BookText"/>
      </w:pPr>
      <w:r>
        <w:rPr>
          <w:rFonts w:ascii="Times New Roman" w:hAnsi="Times New Roman" w:eastAsia="Times New Roman" w:cs="Times New Roman"/>
          <w:lang w:val="en-US" w:bidi="en-US"/>
          <w:color w:val="111111"/>
          <w:sz w:val="28"/>
          <w:szCs w:val="28"/>
          <w:rtl/>
        </w:rPr>
        <w:t xml:space="preserve">hā’erī sadr-ol-maʻālī, hoseyn ebn-e rezā (-1918)</w:t>
      </w:r>
    </w:p>
    <w:p>
      <w:pPr>
        <w:pStyle w:val="BookText"/>
      </w:pPr>
      <w:r>
        <w:rPr>
          <w:rFonts w:ascii="IRNazanin" w:hAnsi="IRNazanin" w:eastAsia="IRNazanin" w:cs="IRNazanin"/>
          <w:lang w:bidi="fa-IR"/>
          <w:color w:val="111111"/>
          <w:sz w:val="28"/>
          <w:szCs w:val="28"/>
          <w:rtl/>
        </w:rPr>
        <w:t xml:space="preserve">اهدا به: ناصرالدین شاه تاریخ تأليف: ۲۳ جمادی الاول ۱۳۰۲ق کتاب حاضر شامل پنج بخش متمایز است: ۱. جغرافیا و تاریخ سیلان، ۲. جغرافیا و تاریخ هندوستان، ۳. احوال مملکت نپال، ۴. مختصر جغرافیای کره ارض (نسخه کتابخانه ملی فاقد این بخش است)، ۵. احوال ایالات مستقله واقعه در سرحدات هندوستان نسخه کتابخانه ملی فاقد این بخش است. دو اثر ترجمه ای در جغرافیا و تاریخ هند باقی است. یکی از آنها که در بر گیرنده کلیات جغرافیای تمام هندوستان است نسخه هایی در مجلس به شماره ۶۸۷، آستان قدس ۵۴۸۱ و کتابخانه عمومی اصفهان (رک: منزوی ۳۹۵۹/۶ ) دارد. اثر دیگر، همین نسخه پیش روی ماست که به دلیل نداشتن دیباچه و آغاز شدن با جغرافیای سیلان (سراندیب)، به اشتباه تک نگاری ای درباره سراندیب و سیلان دانسته شده است. حال آنکه حدود یک چهارم کتاب به سراندیب اختصاص دارد و از آن پس، این قسمت ها آمده است: تاريخ حالات لشکری و کشوری فرمانروایان بومی هندوستان؛ در احوال نواب و فرمانرواهای اسلامیه هندوستان؛ در بیان مجملی از تاریخ آباء و اجداد نظام دکن؛ سایر رؤسای اسلامیه؛ در باب رؤسای هنود مملکت هندوستان؛ رؤسا و فرمانرواهای هندوستان مرکزی؛ در احوال ایالات مستقله واقعه در سرحدات هندوستان؛ در بیان مختصر جغرافیای کره ارض؛ و در ذیل هر کدام از این قسمت ها، شرح ایالت هایی از هند آمده است. از این کتاب دو نسخه دیگر شناخته شده است که در فهرست ها به اشتباه جغرافیای سیلان معرفی شده. یکی از این نسخه ها در مدرسه علمیه کمالیه در خرم آباد نگهداری می شده است که منزوی به واسطه یادداشت اکبر ثبوت، آن را در فهرست نسخه های خطی فارسی معرفی کرده است. آغاز این نسخه و قسمت های برشمرده اش ما را به یقین می رساند که نسخه ای از همین کتاب ماست. نسخه دیگر نسخه کتابخانه ملی ایران است. این نسخه البته قسمت پایانی نسخه مجلس را که در جغرافیای کره ارض است ندارد. نسخه مجلس نام مترجم را ندارد ولی از طریق مقایسه آغاز آن با نسخه ملی، یقین شد که همان کتاب است. مترجم در پاره ای موارد توضیحاتی بر اصل کتاب افزوده و آن را با «مترجم گوید» متمایز کرده است. (جواد بشرى) آغاز: بسمله، این کتابچه عبارتست از جغرافیای جزیره سیلان و حالت حاليه سایر اقطاع هندوستان از اوضاع حکومتهای مستقله مملکت مزبوره و عده قشون آنها و استعداد و روابطی که با دولت انگلیس دارند و محارباتی که فیما بین ایشان و دولت انگلیس اتفاق افتاده و چون محتوی بر مطالب مفیده بود از روزنامجات هندی ترجمه و ترتیب نمود. جزیره سیلان: اگر چه در عالم جغرافیایی یک قسمتی از شبه جزیره هندوستان می باشد لیکن عموم اهالی هند از وضع و حالت طبیعی جزیره مزبور مستحضر نیستند انجام: باید دانست که در سرحدات شمالی و مشرقی هند بعضی ایالات واقع است که در عالم جغرافیائی داخل ... همین قدر ذکر نیپال و بهوتان را می نمائیم. چاپ: با تصحیح پروین استخری، گنجینه بهارستان، تاریخ 3 تاریخ و جغرافیای شبه قاره هند)، مسلسل ۱۷، تهران، کتابخانه</w:t>
      </w:r>
    </w:p>
    <w:p>
      <w:pPr>
        <w:pStyle w:val="BookText"/>
      </w:pPr>
      <w:r>
        <w:rPr>
          <w:rFonts w:ascii="IRNazanin" w:hAnsi="IRNazanin" w:eastAsia="IRNazanin" w:cs="IRNazanin"/>
          <w:lang w:bidi="fa-IR"/>
          <w:color w:val="111111"/>
          <w:sz w:val="28"/>
          <w:szCs w:val="28"/>
          <w:rtl/>
        </w:rPr>
        <w:t xml:space="preserve">مجلس شورای اسلامی، ۱۳۸۸ش [دنا ۷۴۹/۲ ]</w:t>
      </w:r>
    </w:p>
    <w:p>
      <w:pPr>
        <w:pStyle w:val="BookText"/>
      </w:pPr>
      <w:r>
        <w:rPr>
          <w:rFonts w:ascii="IRNazanin" w:hAnsi="IRNazanin" w:eastAsia="IRNazanin" w:cs="IRNazanin"/>
          <w:lang w:bidi="fa-IR"/>
          <w:color w:val="111111"/>
          <w:sz w:val="28"/>
          <w:szCs w:val="28"/>
          <w:rtl/>
        </w:rPr>
        <w:t xml:space="preserve">۱. تهران: مجلس؛ شماره نسخه: ۸۱۳۸</w:t>
      </w:r>
    </w:p>
    <w:p>
      <w:pPr>
        <w:pStyle w:val="BookText"/>
      </w:pPr>
      <w:r>
        <w:rPr>
          <w:rFonts w:ascii="IRNazanin" w:hAnsi="IRNazanin" w:eastAsia="IRNazanin" w:cs="IRNazanin"/>
          <w:lang w:bidi="fa-IR"/>
          <w:color w:val="111111"/>
          <w:sz w:val="28"/>
          <w:szCs w:val="28"/>
          <w:rtl/>
        </w:rPr>
        <w:t xml:space="preserve">آغاز: برابر؛ انجام: تعداد نفوس تمام اهالی روی زمین. موافق سرشماری سنه ۱۸۷۰ عیسوی تمام جمعیت کره ارض دوهزا و چهارصد و بیست و دو کرور بود و از روی سرشماری بعد بثبوت رسید که تقریبا دویست و بیست کرور دیگر جمعیت روی زمین ترقی کرده است. خط: نستعلیق خوش، بی کا، تا: قرن ۱۳ و ۱۴؛ دارای رکابه، نسخه بسیار هنری، دارای سرلوحی دقیق و مذهب؛ جلد: مقوایی باروکش تیماج قهوه ای روشن دارای تزیینات، ۱۱۳گ، ۱۰ سطر ، اندازه: ۲۰/۳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۱۲/۷ سم [ف: ۲۷/۱ -۲۶۰]</w:t>
      </w:r>
    </w:p>
    <w:p>
      <w:pPr>
        <w:pStyle w:val="BookText"/>
      </w:pPr>
      <w:r>
        <w:rPr>
          <w:rFonts w:ascii="IRNazanin" w:hAnsi="IRNazanin" w:eastAsia="IRNazanin" w:cs="IRNazanin"/>
          <w:lang w:bidi="fa-IR"/>
          <w:color w:val="111111"/>
          <w:sz w:val="28"/>
          <w:szCs w:val="28"/>
          <w:rtl/>
        </w:rPr>
        <w:t xml:space="preserve">۲. تهران: ملی؛ شماره نسخه:۳۸۷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خوش، كا: محمد صادق تویسرکانی، تا: ۲۳ جمادی الاول ۱۳۰۲ق، جا: تهران؛ آخر نسخه: «ترجمه چاکر دعا گوی دولت ابد مدت قاهره سید حسن شیرازی مترجم روزنامه جات هندوستان و تحریر جان نثار محمد صادق تویسرکانی بتاریخ بیست و سوم جمادی الاولی سنه ۱۳۰۲»، اهداء به ناصرالدین شاه ؛ با سرلوح مذهب، مجدول؛ کاغذ: فرنگی لب طلائی، جلد: مخمل بنفش با گل و بته، ۱۰ سطر (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۱-۳۷۳]</w:t>
      </w:r>
    </w:p>
    <w:p>
      <w:pPr>
        <w:pStyle w:val="Heading3"/>
      </w:pPr>
      <w:bookmarkStart w:id="2736" w:name="_Toc1996"/>
      <w:r>
        <w:t>•تاریخ و جغرافیای کرمان = سالاریه = تاریخ کرمان / جغرافیا، تاریخ ایران / فارسی</w:t>
      </w:r>
      <w:bookmarkEnd w:id="2736"/>
    </w:p>
    <w:p>
      <w:pPr>
        <w:pStyle w:val="BookText"/>
      </w:pPr>
      <w:r>
        <w:rPr>
          <w:rFonts w:ascii="Times New Roman" w:hAnsi="Times New Roman" w:eastAsia="Times New Roman" w:cs="Times New Roman"/>
          <w:lang w:val="en-US" w:bidi="en-US"/>
          <w:color w:val="111111"/>
          <w:sz w:val="28"/>
          <w:szCs w:val="28"/>
          <w:rtl/>
        </w:rPr>
        <w:t xml:space="preserve">tārīx va joqrāfīya-ye kermān = sālārīye = tārīx-e kerman</w:t>
      </w:r>
    </w:p>
    <w:p>
      <w:pPr>
        <w:pStyle w:val="BookText"/>
      </w:pPr>
      <w:r>
        <w:rPr>
          <w:rFonts w:ascii="IRNazanin" w:hAnsi="IRNazanin" w:eastAsia="IRNazanin" w:cs="IRNazanin"/>
          <w:lang w:bidi="fa-IR"/>
          <w:color w:val="111111"/>
          <w:sz w:val="28"/>
          <w:szCs w:val="28"/>
          <w:rtl/>
        </w:rPr>
        <w:t xml:space="preserve">وزیری کرمانی، احمد على بن على محمد، -۱۲۹۵ قمری</w:t>
      </w:r>
    </w:p>
    <w:p>
      <w:pPr>
        <w:pStyle w:val="BookText"/>
      </w:pPr>
      <w:r>
        <w:rPr>
          <w:rFonts w:ascii="Times New Roman" w:hAnsi="Times New Roman" w:eastAsia="Times New Roman" w:cs="Times New Roman"/>
          <w:lang w:val="en-US" w:bidi="en-US"/>
          <w:color w:val="111111"/>
          <w:sz w:val="28"/>
          <w:szCs w:val="28"/>
          <w:rtl/>
        </w:rPr>
        <w:t xml:space="preserve">vazīrī kermānī, ahmad ‘alī ebn-e ‘alī mohammad ( 1878)</w:t>
      </w:r>
    </w:p>
    <w:p>
      <w:pPr>
        <w:pStyle w:val="BookText"/>
      </w:pPr>
      <w:r>
        <w:rPr>
          <w:rFonts w:ascii="IRNazanin" w:hAnsi="IRNazanin" w:eastAsia="IRNazanin" w:cs="IRNazanin"/>
          <w:lang w:bidi="fa-IR"/>
          <w:color w:val="111111"/>
          <w:sz w:val="28"/>
          <w:szCs w:val="28"/>
          <w:rtl/>
        </w:rPr>
        <w:t xml:space="preserve">در یک «مقدمه» و چهار «تنبیه» و یک «خاتمة»: مقدمه در تسمیه و طول و عرض</w:t>
      </w:r>
    </w:p>
    <w:p>
      <w:pPr>
        <w:pStyle w:val="BookText"/>
      </w:pPr>
      <w:r>
        <w:rPr>
          <w:rFonts w:ascii="IRNazanin" w:hAnsi="IRNazanin" w:eastAsia="IRNazanin" w:cs="IRNazanin"/>
          <w:lang w:bidi="fa-IR"/>
          <w:color w:val="111111"/>
          <w:sz w:val="28"/>
          <w:szCs w:val="28"/>
          <w:rtl/>
        </w:rPr>
        <w:t xml:space="preserve">کرمان؛ تنبيه: ۱. تفصیل گواشیر و بلوکات شرقی آن؛ ۲. بلوکات شرقی جنوبی؛ ۳. صفحات غربی؛ ۴. ولابات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bookmarkStart w:id="604" w:name="pg20363_209930"/>
    <w:bookmarkEnd w:id="604"/>
    <w:p>
      <w:pPr>
        <w:pStyle w:val="BookText"/>
      </w:pPr>
      <w:r>
        <w:rPr>
          <w:rFonts w:ascii="IRNazanin" w:hAnsi="IRNazanin" w:eastAsia="IRNazanin" w:cs="IRNazanin"/>
          <w:lang w:bidi="fa-IR"/>
          <w:color w:val="111111"/>
          <w:sz w:val="28"/>
          <w:szCs w:val="28"/>
          <w:rtl/>
        </w:rPr>
        <w:t xml:space="preserve">شمالی. خاتمه در تاریخ آن محال. گویا نگارنده تا پیرامون رویدادهای ۱۲۰۹ را نگاشته و در گذشته و کار ناتمام مانده است. آن گاه پسرش اقاخان آن را تا رویدادهای ۱۳۱۹ می رساند و به نام سالار لشکر فرمانفرما عبدالحسین میرزا «سالاریه) می نامد. (احمد منزوی) آغاز: حمد له. صلاة. آنچه در تاریخ عرب و یهود و کلدانیان مسطور است کرمان منسوب به کرمان هيتال بن سلام ... و بعضی ار کتب تواریخ مثل معجم البلدان و قاموس و غیره بفتح</w:t>
      </w:r>
    </w:p>
    <w:p>
      <w:pPr>
        <w:pStyle w:val="BookText"/>
      </w:pPr>
      <w:r>
        <w:rPr>
          <w:rFonts w:ascii="IRNazanin" w:hAnsi="IRNazanin" w:eastAsia="IRNazanin" w:cs="IRNazanin"/>
          <w:lang w:bidi="fa-IR"/>
          <w:color w:val="111111"/>
          <w:sz w:val="28"/>
          <w:szCs w:val="28"/>
          <w:rtl/>
        </w:rPr>
        <w:t xml:space="preserve">کاف چاپ: توسط دکتر محمد ابراهیم باستانی پاریزی در دو جلد به نام های تاریخ کرمان (تهران ۱۳۴) و جغرافیای کرمان (تهران، ۱۳۴۶) چاپ شده است.</w:t>
      </w:r>
    </w:p>
    <w:p>
      <w:pPr>
        <w:pStyle w:val="BookText"/>
      </w:pPr>
      <w:r>
        <w:rPr>
          <w:rFonts w:ascii="IRNazanin" w:hAnsi="IRNazanin" w:eastAsia="IRNazanin" w:cs="IRNazanin"/>
          <w:lang w:bidi="fa-IR"/>
          <w:color w:val="111111"/>
          <w:sz w:val="28"/>
          <w:szCs w:val="28"/>
          <w:rtl/>
        </w:rPr>
        <w:t xml:space="preserve">[دنا ۷۴۹/۲ ؛ فهرستواره منزوی ۱۸۰/۱ ]</w:t>
      </w:r>
    </w:p>
    <w:p>
      <w:pPr>
        <w:pStyle w:val="BookText"/>
      </w:pPr>
      <w:r>
        <w:rPr>
          <w:rFonts w:ascii="IRNazanin" w:hAnsi="IRNazanin" w:eastAsia="IRNazanin" w:cs="IRNazanin"/>
          <w:lang w:bidi="fa-IR"/>
          <w:color w:val="111111"/>
          <w:sz w:val="28"/>
          <w:szCs w:val="28"/>
          <w:rtl/>
        </w:rPr>
        <w:t xml:space="preserve">۱. تهران؛ ملک؛ شماره نسخه: ۴۲۵۹</w:t>
      </w:r>
    </w:p>
    <w:p>
      <w:pPr>
        <w:pStyle w:val="BookText"/>
      </w:pPr>
      <w:r>
        <w:rPr>
          <w:rFonts w:ascii="IRNazanin" w:hAnsi="IRNazanin" w:eastAsia="IRNazanin" w:cs="IRNazanin"/>
          <w:lang w:bidi="fa-IR"/>
          <w:color w:val="111111"/>
          <w:sz w:val="28"/>
          <w:szCs w:val="28"/>
          <w:rtl/>
        </w:rPr>
        <w:t xml:space="preserve">خط: شکسته نستعلیق و نسخ، كا: سید علی بن محمد حسینی، تا: ۱۴ جمادی الثانی ۱۲۹۵ق؛ تملك: محمد حسن خان صنیع الدوله؛ کاغذ کاغذ فرنگی، جلد: میشن آلبالویی مغزی سیاه، ۳۰۰گ، ۱۱ سطر، اندازه: ۲۶/۷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۱۶/۷ سم [ف: ۲-۱۸۴]</w:t>
      </w:r>
    </w:p>
    <w:p>
      <w:pPr>
        <w:pStyle w:val="BookText"/>
      </w:pPr>
      <w:r>
        <w:rPr>
          <w:rFonts w:ascii="IRNazanin" w:hAnsi="IRNazanin" w:eastAsia="IRNazanin" w:cs="IRNazanin"/>
          <w:lang w:bidi="fa-IR"/>
          <w:color w:val="111111"/>
          <w:sz w:val="28"/>
          <w:szCs w:val="28"/>
          <w:rtl/>
        </w:rPr>
        <w:t xml:space="preserve">۲. تهران؛ دانشگاه؛ شماره نسخه:۵۷۹۳</w:t>
      </w:r>
    </w:p>
    <w:p>
      <w:pPr>
        <w:pStyle w:val="BookText"/>
      </w:pPr>
      <w:r>
        <w:rPr>
          <w:rFonts w:ascii="IRNazanin" w:hAnsi="IRNazanin" w:eastAsia="IRNazanin" w:cs="IRNazanin"/>
          <w:lang w:bidi="fa-IR"/>
          <w:color w:val="111111"/>
          <w:sz w:val="28"/>
          <w:szCs w:val="28"/>
          <w:rtl/>
        </w:rPr>
        <w:t xml:space="preserve">خط: نستعلیق، بی کا، تا: قرن ۱۴؛ کاغذ: فرنگی، جلد: مقوا، ۲۸۵ص، ۱۶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۱۶-۹۲]</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دانشگاه؛ شماره نسخه:۵۸۰۰</w:t>
      </w:r>
    </w:p>
    <w:p>
      <w:pPr>
        <w:pStyle w:val="BookText"/>
      </w:pPr>
      <w:r>
        <w:rPr>
          <w:rFonts w:ascii="IRNazanin" w:hAnsi="IRNazanin" w:eastAsia="IRNazanin" w:cs="IRNazanin"/>
          <w:lang w:bidi="fa-IR"/>
          <w:color w:val="111111"/>
          <w:sz w:val="28"/>
          <w:szCs w:val="28"/>
          <w:rtl/>
        </w:rPr>
        <w:t xml:space="preserve">خط: نستعلیق، بی کا، تا: قرن ۱۴ کاغذ: فرنگی، جلد: تیماج زرد، ۱۹۵، ۱۴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۱۶-۹۳)</w:t>
      </w:r>
    </w:p>
    <w:p>
      <w:pPr>
        <w:pStyle w:val="BookText"/>
      </w:pPr>
      <w:r>
        <w:rPr>
          <w:rFonts w:ascii="IRNazanin" w:hAnsi="IRNazanin" w:eastAsia="IRNazanin" w:cs="IRNazanin"/>
          <w:lang w:bidi="fa-IR"/>
          <w:color w:val="111111"/>
          <w:sz w:val="28"/>
          <w:szCs w:val="28"/>
          <w:rtl/>
        </w:rPr>
        <w:t xml:space="preserve">۴. تهران؛ حقوق شماره نسخه:۱۵۶-ج</w:t>
      </w:r>
    </w:p>
    <w:p>
      <w:pPr>
        <w:pStyle w:val="BookText"/>
      </w:pPr>
      <w:r>
        <w:rPr>
          <w:rFonts w:ascii="IRNazanin" w:hAnsi="IRNazanin" w:eastAsia="IRNazanin" w:cs="IRNazanin"/>
          <w:lang w:bidi="fa-IR"/>
          <w:color w:val="111111"/>
          <w:sz w:val="28"/>
          <w:szCs w:val="28"/>
          <w:rtl/>
        </w:rPr>
        <w:t xml:space="preserve">آغاز: برابر؛ انجام: که اکنون معتنا نیست اعتنا نکردیم خط: شکسته نستعلیق، کا: محمد محمد آبادی فرزند محمد حسین یزدی محمد آبادی، تا: ربيع الأول ۱۳۱۴ ق، به دستور بهجت الملک امیر تومان؛ کاغذ: فرنگی سیر، جلد: تیماج حنایی ضربی، ۳۸۴، ۱۱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۱۳۳]</w:t>
      </w:r>
    </w:p>
    <w:p>
      <w:pPr>
        <w:pStyle w:val="BookText"/>
      </w:pPr>
      <w:r>
        <w:rPr>
          <w:rFonts w:ascii="IRNazanin" w:hAnsi="IRNazanin" w:eastAsia="IRNazanin" w:cs="IRNazanin"/>
          <w:lang w:bidi="fa-IR"/>
          <w:color w:val="111111"/>
          <w:sz w:val="28"/>
          <w:szCs w:val="28"/>
          <w:rtl/>
        </w:rPr>
        <w:t xml:space="preserve">۵. تهران؛ ملک؛ شماره نسخه:۳۸۲۷</w:t>
      </w:r>
    </w:p>
    <w:p>
      <w:pPr>
        <w:pStyle w:val="BookText"/>
      </w:pPr>
      <w:r>
        <w:rPr>
          <w:rFonts w:ascii="IRNazanin" w:hAnsi="IRNazanin" w:eastAsia="IRNazanin" w:cs="IRNazanin"/>
          <w:lang w:bidi="fa-IR"/>
          <w:color w:val="111111"/>
          <w:sz w:val="28"/>
          <w:szCs w:val="28"/>
          <w:rtl/>
        </w:rPr>
        <w:t xml:space="preserve">فقط مقداری از آغاز نسخه است؛ خط: شکسته نستعلیق، کا: حسین توپچی، تا: 1 جمادی الاول ۱۳۱۶ق، جا: بم؛ کاغذ: کاغذ فرنگی، جلد: میشن قرمز، ۳۱، ۱۴ سطر، اندازه:</w:t>
      </w:r>
    </w:p>
    <w:p>
      <w:pPr>
        <w:pStyle w:val="BookText"/>
      </w:pPr>
      <w:r>
        <w:rPr>
          <w:rFonts w:ascii="IRNazanin" w:hAnsi="IRNazanin" w:eastAsia="IRNazanin" w:cs="IRNazanin"/>
          <w:lang w:bidi="fa-IR"/>
          <w:color w:val="111111"/>
          <w:sz w:val="28"/>
          <w:szCs w:val="28"/>
          <w:rtl/>
        </w:rPr>
        <w:t xml:space="preserve">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۱۷/۸ سم [ف: ۲-۸۹]</w:t>
      </w:r>
    </w:p>
    <w:p>
      <w:pPr>
        <w:pStyle w:val="BookText"/>
      </w:pPr>
      <w:r>
        <w:rPr>
          <w:rFonts w:ascii="IRNazanin" w:hAnsi="IRNazanin" w:eastAsia="IRNazanin" w:cs="IRNazanin"/>
          <w:lang w:bidi="fa-IR"/>
          <w:color w:val="111111"/>
          <w:sz w:val="28"/>
          <w:szCs w:val="28"/>
          <w:rtl/>
        </w:rPr>
        <w:t xml:space="preserve">۶. اصفهان؛ صارم الدوله (كتابخانه فرهنگ اصفهان)؛ شماره نسخه: ۸۸۲/۱</w:t>
      </w:r>
    </w:p>
    <w:p>
      <w:pPr>
        <w:pStyle w:val="BookText"/>
      </w:pPr>
      <w:r>
        <w:rPr>
          <w:rFonts w:ascii="IRNazanin" w:hAnsi="IRNazanin" w:eastAsia="IRNazanin" w:cs="IRNazanin"/>
          <w:lang w:bidi="fa-IR"/>
          <w:color w:val="111111"/>
          <w:sz w:val="28"/>
          <w:szCs w:val="28"/>
          <w:rtl/>
        </w:rPr>
        <w:t xml:space="preserve">آغاز: برابر؛ انجام: فورا حکمی و مأموری با و عنایت میکنند احکام مخالف یکدیگر بدست مدعی و مدعى اليه داده میشود تا که قبول افتد و چه در نظر آید. خط: نستعلیق، کا: محمد یزدی، تا:۱۸ جمادی الاول ۱۳۱۸ ق [ف: ۲۴]</w:t>
      </w:r>
    </w:p>
    <w:p>
      <w:pPr>
        <w:pStyle w:val="Heading3"/>
      </w:pPr>
      <w:bookmarkStart w:id="2737" w:name="_Toc1997"/>
      <w:r>
        <w:t>•تاریخ و جغرافیای کرمان / تاریخ ایران، جغرافيا / فارسی</w:t>
      </w:r>
      <w:bookmarkEnd w:id="2737"/>
    </w:p>
    <w:p>
      <w:pPr>
        <w:pStyle w:val="BookText"/>
      </w:pPr>
      <w:r>
        <w:rPr>
          <w:rFonts w:ascii="Times New Roman" w:hAnsi="Times New Roman" w:eastAsia="Times New Roman" w:cs="Times New Roman"/>
          <w:lang w:val="en-US" w:bidi="en-US"/>
          <w:color w:val="111111"/>
          <w:sz w:val="28"/>
          <w:szCs w:val="28"/>
          <w:rtl/>
        </w:rPr>
        <w:t xml:space="preserve">tārīx va joqrāfīya-ye kermān</w:t>
      </w:r>
    </w:p>
    <w:p>
      <w:pPr>
        <w:pStyle w:val="BookText"/>
      </w:pPr>
      <w:r>
        <w:rPr>
          <w:rFonts w:ascii="IRNazanin" w:hAnsi="IRNazanin" w:eastAsia="IRNazanin" w:cs="IRNazanin"/>
          <w:lang w:bidi="fa-IR"/>
          <w:color w:val="111111"/>
          <w:sz w:val="28"/>
          <w:szCs w:val="28"/>
          <w:rtl/>
        </w:rPr>
        <w:t xml:space="preserve">کرمانی، افضل الدوله، ق ۱۴ قمری</w:t>
      </w:r>
    </w:p>
    <w:p>
      <w:pPr>
        <w:pStyle w:val="BookText"/>
      </w:pPr>
      <w:r>
        <w:rPr>
          <w:rFonts w:ascii="Times New Roman" w:hAnsi="Times New Roman" w:eastAsia="Times New Roman" w:cs="Times New Roman"/>
          <w:lang w:val="en-US" w:bidi="en-US"/>
          <w:color w:val="111111"/>
          <w:sz w:val="28"/>
          <w:szCs w:val="28"/>
          <w:rtl/>
        </w:rPr>
        <w:t xml:space="preserve">kermānī, afzal-od-dowle (-20c)</w:t>
      </w:r>
    </w:p>
    <w:p>
      <w:pPr>
        <w:pStyle w:val="BookText"/>
      </w:pPr>
      <w:r>
        <w:rPr>
          <w:rFonts w:ascii="IRNazanin" w:hAnsi="IRNazanin" w:eastAsia="IRNazanin" w:cs="IRNazanin"/>
          <w:lang w:bidi="fa-IR"/>
          <w:color w:val="111111"/>
          <w:sz w:val="28"/>
          <w:szCs w:val="28"/>
          <w:rtl/>
        </w:rPr>
        <w:t xml:space="preserve">تاریخ تأليف: ۱۳۲۳ق در اوضاع آن روز کرمان و مرگ حسن علی خان امیر نظام گروسی و دفن او در ماهان و تأسیس کنسولگری های انگلیس در ۱۳۱۲ و روس در ۱۳۲۱ در کرمان یاد کرده است. میکیل خوما کلاری (پیام نوين س ۲ش ۲ص ۱۷) از این رساله نام برده است. در پایان تظلم مملکت کرمان بخاکپای شاهنشاه ایران» آمده است و بدبختی آن روزه مردم کرمان از آن پیدا است.</w:t>
      </w:r>
    </w:p>
    <w:p>
      <w:pPr>
        <w:pStyle w:val="BookText"/>
      </w:pPr>
      <w:r>
        <w:rPr>
          <w:rFonts w:ascii="IRNazanin" w:hAnsi="IRNazanin" w:eastAsia="IRNazanin" w:cs="IRNazanin"/>
          <w:lang w:bidi="fa-IR"/>
          <w:color w:val="111111"/>
          <w:sz w:val="28"/>
          <w:szCs w:val="28"/>
          <w:rtl/>
        </w:rPr>
        <w:t xml:space="preserve">تهران؛ دانشگاه؛ شماره نسخه:۲۸۵۶</w:t>
      </w:r>
    </w:p>
    <w:p>
      <w:pPr>
        <w:pStyle w:val="BookText"/>
      </w:pPr>
      <w:r>
        <w:rPr>
          <w:rFonts w:ascii="IRNazanin" w:hAnsi="IRNazanin" w:eastAsia="IRNazanin" w:cs="IRNazanin"/>
          <w:lang w:bidi="fa-IR"/>
          <w:color w:val="111111"/>
          <w:sz w:val="28"/>
          <w:szCs w:val="28"/>
          <w:rtl/>
        </w:rPr>
        <w:t xml:space="preserve">آغاز: تاریخ و جغرافیای قدیم کرمان است از تواریخ قدیم و آثار میم استنباط می شود که مملکت کرمان بزرگ و عظیم بوده؛ انجام: استدعا چنین است که مهندس قابلی برای بازدید و ساختن این دو سد از دارالخلافه فرستاده شود شهر صفر ۱۳۲۳ قدوی افضل الدوله کرمانی خط: نستعلیق خوش، بی کا، تا: قرن ۱۴؛ کاغذ: فرنگی، جلد: مخمل سبز، ۱۱گ، ۱۸ سطر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۱۶۹۸-۱۰]</w:t>
      </w:r>
    </w:p>
    <w:p>
      <w:pPr>
        <w:pStyle w:val="BookText"/>
      </w:pPr>
      <w:r>
        <w:rPr>
          <w:rFonts w:ascii="IRNazanin" w:hAnsi="IRNazanin" w:eastAsia="IRNazanin" w:cs="IRNazanin"/>
          <w:lang w:bidi="fa-IR"/>
          <w:color w:val="111111"/>
          <w:sz w:val="28"/>
          <w:szCs w:val="28"/>
          <w:rtl/>
        </w:rPr>
        <w:t xml:space="preserve">تهران؛ دانشگاه؛ شماره نسخه: ۵۸۵۱ف</w:t>
      </w:r>
    </w:p>
    <w:p>
      <w:pPr>
        <w:pStyle w:val="BookText"/>
      </w:pPr>
      <w:r>
        <w:rPr>
          <w:rFonts w:ascii="Amiri" w:hAnsi="Amiri" w:eastAsia="Amiri" w:cs="Amiri"/>
          <w:lang w:bidi="ar-SA"/>
          <w:color w:val="111111"/>
          <w:sz w:val="28"/>
          <w:szCs w:val="28"/>
          <w:rtl/>
        </w:rPr>
        <w:t xml:space="preserve">نسخه اصل: همان نسخه بالا [فيلمها ف: ۳-۱۸۷]</w:t>
      </w:r>
    </w:p>
    <w:p>
      <w:pPr>
        <w:pStyle w:val="Heading3"/>
      </w:pPr>
      <w:bookmarkStart w:id="2738" w:name="_Toc1998"/>
      <w:r>
        <w:t>• تاریخ و جغرافیای کرمان (ترجمه) / جغرافیا، تاریخ / فارسی</w:t>
      </w:r>
      <w:bookmarkEnd w:id="2738"/>
    </w:p>
    <w:p>
      <w:pPr>
        <w:pStyle w:val="BookText"/>
      </w:pPr>
      <w:r>
        <w:rPr>
          <w:rFonts w:ascii="Times New Roman" w:hAnsi="Times New Roman" w:eastAsia="Times New Roman" w:cs="Times New Roman"/>
          <w:lang w:val="en-US" w:bidi="en-US"/>
          <w:color w:val="111111"/>
          <w:sz w:val="28"/>
          <w:szCs w:val="28"/>
          <w:rtl/>
        </w:rPr>
        <w:t xml:space="preserve">tārīx va joqrāfīya-ye kermān (t.)</w:t>
      </w:r>
    </w:p>
    <w:p>
      <w:pPr>
        <w:pStyle w:val="BookText"/>
      </w:pPr>
      <w:r>
        <w:rPr>
          <w:rFonts w:ascii="IRNazanin" w:hAnsi="IRNazanin" w:eastAsia="IRNazanin" w:cs="IRNazanin"/>
          <w:lang w:bidi="fa-IR"/>
          <w:color w:val="111111"/>
          <w:sz w:val="28"/>
          <w:szCs w:val="28"/>
          <w:rtl/>
        </w:rPr>
        <w:t xml:space="preserve">نواب شیرازی، نصرالله، ق۱۴</w:t>
      </w:r>
    </w:p>
    <w:p>
      <w:pPr>
        <w:pStyle w:val="BookText"/>
      </w:pPr>
      <w:r>
        <w:rPr>
          <w:rFonts w:ascii="Times New Roman" w:hAnsi="Times New Roman" w:eastAsia="Times New Roman" w:cs="Times New Roman"/>
          <w:lang w:val="en-US" w:bidi="en-US"/>
          <w:color w:val="111111"/>
          <w:sz w:val="28"/>
          <w:szCs w:val="28"/>
          <w:rtl/>
        </w:rPr>
        <w:t xml:space="preserve">navvāb-e šīrāzī, nasr-ol-lāh (-14c)</w:t>
      </w:r>
    </w:p>
    <w:p>
      <w:pPr>
        <w:pStyle w:val="BookText"/>
      </w:pPr>
      <w:r>
        <w:rPr>
          <w:rFonts w:ascii="IRNazanin" w:hAnsi="IRNazanin" w:eastAsia="IRNazanin" w:cs="IRNazanin"/>
          <w:lang w:bidi="fa-IR"/>
          <w:color w:val="111111"/>
          <w:sz w:val="28"/>
          <w:szCs w:val="28"/>
          <w:rtl/>
        </w:rPr>
        <w:t xml:space="preserve">تاریخ تأليف: ۱۳۲۲ق؛ محل تالیف: کرمان متن از میجر سایکس امجی که در (۱۳۱۲ ق/ ۱۸۹۵م) سرکنسول انگلیس در کرمان و بلوچستان بوده، سیاحت نامه ای به نام «ده هزار میل در خاک ایران» به انگلیسی نگاشته که بخشی از آن تاریخ و جغرافیای کرمان بوده است. این بخش را میرزا نصر الله خان نواب شیرازی مترجم کونسولگری کرمان به فارسی ترجمه کرده به تصحيح افضل الملک کرمانی به سال ۱۳۲۲ در کرمان پایان رسانده است. (احمد منزوی) آغاز: ستایش خدایی را که کتاب آفرینش را تاریخ بینش ارباب دانش قرار داد انجام: رتق و فتق اغلب امور بجناب اجل شهاب الممالك نایب الا ياله سپرده است الحمدلله رعيت آسوده و مملکت منظم است.</w:t>
      </w:r>
    </w:p>
    <w:p>
      <w:pPr>
        <w:pStyle w:val="BookText"/>
      </w:pPr>
      <w:r>
        <w:rPr>
          <w:rFonts w:ascii="IRNazanin" w:hAnsi="IRNazanin" w:eastAsia="IRNazanin" w:cs="IRNazanin"/>
          <w:lang w:bidi="fa-IR"/>
          <w:color w:val="111111"/>
          <w:sz w:val="28"/>
          <w:szCs w:val="28"/>
          <w:rtl/>
        </w:rPr>
        <w:t xml:space="preserve">[دنا ۷۴۹/۲ ؛ مشار فارسی ج ۱ ص ۱۱۲۳ ترجمه از تاریخ کرمان مزبور به مستعان الملک ابو تراب قاجار کرمانی نسبت داده شده و از ترجمه مذکور ذکری نشده؛ فهرستواره منزوی ۸۹۶/۲ ]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bookmarkStart w:id="605" w:name="pg20363_209931"/>
    <w:bookmarkEnd w:id="605"/>
    <w:p>
      <w:pPr>
        <w:pStyle w:val="BookText"/>
      </w:pPr>
      <w:r>
        <w:rPr>
          <w:rFonts w:ascii="IRNazanin" w:hAnsi="IRNazanin" w:eastAsia="IRNazanin" w:cs="IRNazanin"/>
          <w:lang w:bidi="fa-IR"/>
          <w:color w:val="111111"/>
          <w:sz w:val="28"/>
          <w:szCs w:val="28"/>
          <w:rtl/>
        </w:rPr>
        <w:t xml:space="preserve">١. مشهد؛ رضوی؛ شماره نسخه:۴۱۰۸</w:t>
      </w:r>
    </w:p>
    <w:p>
      <w:pPr>
        <w:pStyle w:val="BookText"/>
      </w:pPr>
      <w:r>
        <w:rPr>
          <w:rFonts w:ascii="IRNazanin" w:hAnsi="IRNazanin" w:eastAsia="IRNazanin" w:cs="IRNazanin"/>
          <w:lang w:bidi="fa-IR"/>
          <w:color w:val="111111"/>
          <w:sz w:val="28"/>
          <w:szCs w:val="28"/>
          <w:rtl/>
        </w:rPr>
        <w:t xml:space="preserve">آغاز و انجام: برابر خط: نسخ، كا: محمد حسینی محرر، تا: غره رجب ۱۲۲۳ق؛ واقف: اشرف السلطنه، شعبان ۱۳۳۴، کاغذ: سفید فرنگی، جلد: روغنی گل و بوته دار، ۳۹، ۱۵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۷/۷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۱۳۷سم [ف: ۷-۵۶]</w:t>
      </w:r>
    </w:p>
    <w:p>
      <w:pPr>
        <w:pStyle w:val="BookText"/>
      </w:pPr>
      <w:r>
        <w:rPr>
          <w:rFonts w:ascii="IRNazanin" w:hAnsi="IRNazanin" w:eastAsia="IRNazanin" w:cs="IRNazanin"/>
          <w:lang w:bidi="fa-IR"/>
          <w:color w:val="111111"/>
          <w:sz w:val="28"/>
          <w:szCs w:val="28"/>
          <w:rtl/>
        </w:rPr>
        <w:t xml:space="preserve">۲. تهران؛ ملک؛ شماره نسخه: ۳۷۹۰</w:t>
      </w:r>
    </w:p>
    <w:p>
      <w:pPr>
        <w:pStyle w:val="BookText"/>
      </w:pPr>
      <w:r>
        <w:rPr>
          <w:rFonts w:ascii="IRNazanin" w:hAnsi="IRNazanin" w:eastAsia="IRNazanin" w:cs="IRNazanin"/>
          <w:lang w:bidi="fa-IR"/>
          <w:color w:val="111111"/>
          <w:sz w:val="28"/>
          <w:szCs w:val="28"/>
          <w:rtl/>
        </w:rPr>
        <w:t xml:space="preserve">خط: نسخ، بی کا، تا: قرن ۱۴؛ کاغذ: کاغذ فرنگی، جلد: رویه مخمل سبز مغزی میشن قرمز، ۳۸، ۱۵ سطر، اندازه: ۲۱/۱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۱۳/۸ سم [ف: ۲-۸۹]</w:t>
      </w:r>
    </w:p>
    <w:p>
      <w:pPr>
        <w:pStyle w:val="BookText"/>
      </w:pPr>
      <w:r>
        <w:rPr>
          <w:rFonts w:ascii="IRNazanin" w:hAnsi="IRNazanin" w:eastAsia="IRNazanin" w:cs="IRNazanin"/>
          <w:lang w:bidi="fa-IR"/>
          <w:color w:val="111111"/>
          <w:sz w:val="28"/>
          <w:szCs w:val="28"/>
          <w:rtl/>
        </w:rPr>
        <w:t xml:space="preserve">٣. تهران؛ ملک؛ شماره نسخه:۳۹۵۸</w:t>
      </w:r>
    </w:p>
    <w:p>
      <w:pPr>
        <w:pStyle w:val="BookText"/>
      </w:pPr>
      <w:r>
        <w:rPr>
          <w:rFonts w:ascii="IRNazanin" w:hAnsi="IRNazanin" w:eastAsia="IRNazanin" w:cs="IRNazanin"/>
          <w:lang w:bidi="fa-IR"/>
          <w:color w:val="111111"/>
          <w:sz w:val="28"/>
          <w:szCs w:val="28"/>
          <w:rtl/>
        </w:rPr>
        <w:t xml:space="preserve">خط: نسخ، بی کا، تا: شعبان ۱۳۲۲ق؛ کاغذ: کاغذ فرنگی، جلد: میشن قرمز، ۴۰گی، ۱۵ سطر، اندازه: ۱۴/۳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۲۱/۴سم [ف: ۲-۸۹]</w:t>
      </w:r>
    </w:p>
    <w:p>
      <w:pPr>
        <w:pStyle w:val="BookText"/>
      </w:pPr>
      <w:r>
        <w:rPr>
          <w:rFonts w:ascii="IRNazanin" w:hAnsi="IRNazanin" w:eastAsia="IRNazanin" w:cs="IRNazanin"/>
          <w:lang w:bidi="fa-IR"/>
          <w:color w:val="111111"/>
          <w:sz w:val="28"/>
          <w:szCs w:val="28"/>
          <w:rtl/>
        </w:rPr>
        <w:t xml:space="preserve">۴. قم؛ مرعشی؛ شماره نسخه: ۶۱۳۰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زیبا، کا: سلمان حسینی، تا: شعبان ۱۳۲۲ق؛ امضای افضل کرمانی (مصحح کتاب) در پایان نسخه؛ جلد: مخمل سبز، ۳۶گ، ۱۵ سطر، اندازه: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۲۰سم [ف: ۱۶-۱۳۱]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مسجد اعظم، شماره نسخه:۲۰۷۳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جلی، بی کا، تا: شعبان ۱۳۲۲ق؛ جلد: تیماج با روکش مخمل سرمه ای با حاشیه گرهی زر وعطف تیماج سرخ، ۳۹گ، ۱۵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مخ: ۱-۳۱۴]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مشهد؛ رضوی؛ شماره نسخه:۴۲۰۸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حسینی، تا: ۱۳۲۳ق؛ کاغذ: نخودی، جلد: روغنی، ۱۵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[الفبائی: ۱۰۰]</w:t>
      </w:r>
    </w:p>
    <w:p>
      <w:pPr>
        <w:pStyle w:val="BookText"/>
      </w:pPr>
      <w:r>
        <w:rPr>
          <w:rFonts w:ascii="IRNazanin" w:hAnsi="IRNazanin" w:eastAsia="IRNazanin" w:cs="IRNazanin"/>
          <w:lang w:bidi="fa-IR"/>
          <w:color w:val="111111"/>
          <w:sz w:val="28"/>
          <w:szCs w:val="28"/>
          <w:rtl/>
        </w:rPr>
        <w:t xml:space="preserve">۷. شیراز؛ علامه طباطبائی؛ شماره نسخه:۱۳۰۳</w:t>
      </w:r>
    </w:p>
    <w:p>
      <w:pPr>
        <w:pStyle w:val="BookText"/>
      </w:pPr>
      <w:r>
        <w:rPr>
          <w:rFonts w:ascii="IRNazanin" w:hAnsi="IRNazanin" w:eastAsia="IRNazanin" w:cs="IRNazanin"/>
          <w:lang w:bidi="fa-IR"/>
          <w:color w:val="111111"/>
          <w:sz w:val="28"/>
          <w:szCs w:val="28"/>
          <w:rtl/>
        </w:rPr>
        <w:t xml:space="preserve">خط: نستعلیق، بی کا، تا: غره ربیع الاول</w:t>
      </w:r>
    </w:p>
    <w:p>
      <w:pPr>
        <w:pStyle w:val="BookText"/>
      </w:pPr>
      <w:r>
        <w:rPr>
          <w:rFonts w:ascii="IRNazanin" w:hAnsi="IRNazanin" w:eastAsia="IRNazanin" w:cs="IRNazanin"/>
          <w:lang w:bidi="fa-IR"/>
          <w:color w:val="111111"/>
          <w:sz w:val="28"/>
          <w:szCs w:val="28"/>
          <w:rtl/>
        </w:rPr>
        <w:t xml:space="preserve">۱۳۲۸ق؛ اندازه: ۲۱۸۱۴سم [ نسخه پژوهی: ۲-۱۲۱]</w:t>
      </w:r>
    </w:p>
    <w:p>
      <w:pPr>
        <w:pStyle w:val="BookText"/>
      </w:pPr>
      <w:r>
        <w:rPr>
          <w:rFonts w:ascii="IRNazanin" w:hAnsi="IRNazanin" w:eastAsia="IRNazanin" w:cs="IRNazanin"/>
          <w:lang w:bidi="fa-IR"/>
          <w:color w:val="111111"/>
          <w:sz w:val="28"/>
          <w:szCs w:val="28"/>
          <w:rtl/>
        </w:rPr>
        <w:t xml:space="preserve">۸. مشهد؛ ادبیات؛ شماره نسخه: ۱۹۲ فرخ</w:t>
      </w:r>
    </w:p>
    <w:p>
      <w:pPr>
        <w:pStyle w:val="BookText"/>
      </w:pPr>
      <w:r>
        <w:rPr>
          <w:rFonts w:ascii="IRNazanin" w:hAnsi="IRNazanin" w:eastAsia="IRNazanin" w:cs="IRNazanin"/>
          <w:lang w:bidi="fa-IR"/>
          <w:color w:val="111111"/>
          <w:sz w:val="28"/>
          <w:szCs w:val="28"/>
          <w:rtl/>
        </w:rPr>
        <w:t xml:space="preserve">خط: نستعلیق، بی کا، تا: شعبان ۱۳۳۳ق؛ کاغذ سپاهانی؛ جلد: مقوا با روکش مخمل سبز، ۳۸گ، ۱۵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سم [ف: ۲۰]</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اصفهان؛ صارم الدوله (كتابخانه فرهنگ اصفهان)؛ شماره نسخه: ۹۷۹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عالی، بی کا، بی تا، در آخر کتاب عین عبارت و خط مؤلف به زبان انگلیسی و عربی بدین شرح نوشته شده «الجناب الافخم الممالك نایب الا ياله کرمان من حبيبه میجر سایکس قونسل انگلیس في كرمان»؛ ۷۳ص، ۱۵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۱۰۲)</w:t>
      </w:r>
    </w:p>
    <w:p>
      <w:pPr>
        <w:pStyle w:val="Heading3"/>
      </w:pPr>
      <w:bookmarkStart w:id="2739" w:name="_Toc1999"/>
      <w:r>
        <w:t>•تاریخ و جغرافیای هند / تاریخ هند / فارسی</w:t>
      </w:r>
      <w:bookmarkEnd w:id="2739"/>
    </w:p>
    <w:p>
      <w:pPr>
        <w:pStyle w:val="BookText"/>
      </w:pPr>
      <w:r>
        <w:rPr>
          <w:rFonts w:ascii="Times New Roman" w:hAnsi="Times New Roman" w:eastAsia="Times New Roman" w:cs="Times New Roman"/>
          <w:lang w:val="en-US" w:bidi="en-US"/>
          <w:color w:val="111111"/>
          <w:sz w:val="28"/>
          <w:szCs w:val="28"/>
          <w:rtl/>
        </w:rPr>
        <w:t xml:space="preserve">tārīx va joqrāfiya-ye hend</w:t>
      </w:r>
    </w:p>
    <w:p>
      <w:pPr>
        <w:pStyle w:val="BookText"/>
      </w:pPr>
      <w:r>
        <w:rPr>
          <w:rFonts w:ascii="IRNazanin" w:hAnsi="IRNazanin" w:eastAsia="IRNazanin" w:cs="IRNazanin"/>
          <w:lang w:bidi="fa-IR"/>
          <w:color w:val="111111"/>
          <w:sz w:val="28"/>
          <w:szCs w:val="28"/>
          <w:rtl/>
        </w:rPr>
        <w:t xml:space="preserve">بخشی است از آیین اکبری با عنوان های «صوبه دار الخلافه شاه جهان آباد» و صوبه زنده اوده» و «صوبه دارالملک کابل»..</w:t>
      </w:r>
    </w:p>
    <w:p>
      <w:pPr>
        <w:pStyle w:val="BookText"/>
      </w:pPr>
      <w:r>
        <w:rPr>
          <w:rFonts w:ascii="IRNazanin" w:hAnsi="IRNazanin" w:eastAsia="IRNazanin" w:cs="IRNazanin"/>
          <w:lang w:bidi="fa-IR"/>
          <w:color w:val="111111"/>
          <w:sz w:val="28"/>
          <w:szCs w:val="28"/>
          <w:rtl/>
        </w:rPr>
        <w:t xml:space="preserve">تهران؛ مجلس؛ شماره نسخه:۶۳۶۳/۳</w:t>
      </w:r>
    </w:p>
    <w:p>
      <w:pPr>
        <w:pStyle w:val="BookText"/>
      </w:pPr>
      <w:r>
        <w:rPr>
          <w:rFonts w:ascii="IRNazanin" w:hAnsi="IRNazanin" w:eastAsia="IRNazanin" w:cs="IRNazanin"/>
          <w:lang w:bidi="fa-IR"/>
          <w:color w:val="111111"/>
          <w:sz w:val="28"/>
          <w:szCs w:val="28"/>
          <w:rtl/>
        </w:rPr>
        <w:t xml:space="preserve">آغاز: از اکثر تواریخ هندی و فارسی جهان بمطالعه در آمده خط: نستعلیق، کا: محمد اسماعيل بن محمد اسماعيل بن محمد صادق شیرازی، تا: ۱۲۵۱ق، جا: بغداد؛ کاغذ: فرنگی، جلد: تیماج قهوه ای، ۱۲ص (۱۵۶-۱۶۷)، اندازه: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۱۹-۴۲۱]</w:t>
      </w:r>
    </w:p>
    <w:p>
      <w:pPr>
        <w:pStyle w:val="BookText"/>
      </w:pPr>
      <w:r>
        <w:rPr>
          <w:rFonts w:ascii="IRNazanin" w:hAnsi="IRNazanin" w:eastAsia="IRNazanin" w:cs="IRNazanin"/>
          <w:lang w:bidi="fa-IR"/>
          <w:color w:val="111111"/>
          <w:sz w:val="28"/>
          <w:szCs w:val="28"/>
          <w:rtl/>
        </w:rPr>
        <w:t xml:space="preserve">←تاریخ و جغرافیای هندوستان← تاریخ هندوستان</w:t>
      </w:r>
    </w:p>
    <w:p>
      <w:pPr>
        <w:pStyle w:val="Heading3"/>
      </w:pPr>
      <w:bookmarkStart w:id="2740" w:name="_Toc2000"/>
      <w:r>
        <w:t>•تاریخ و جغرافیای هندوستان = گزیده تعليمات خرد افروز / جغرافيا / فارسی</w:t>
      </w:r>
      <w:bookmarkEnd w:id="2740"/>
    </w:p>
    <w:p>
      <w:pPr>
        <w:pStyle w:val="BookText"/>
      </w:pPr>
      <w:r>
        <w:rPr>
          <w:rFonts w:ascii="Times New Roman" w:hAnsi="Times New Roman" w:eastAsia="Times New Roman" w:cs="Times New Roman"/>
          <w:lang w:val="en-US" w:bidi="en-US"/>
          <w:color w:val="111111"/>
          <w:sz w:val="28"/>
          <w:szCs w:val="28"/>
          <w:rtl/>
        </w:rPr>
        <w:t xml:space="preserve">tārīx va joqrāfīya-ye hendūstān = gz.-ye taʻlīmāt-e xerad-afrūz</w:t>
      </w:r>
    </w:p>
    <w:p>
      <w:pPr>
        <w:pStyle w:val="BookText"/>
      </w:pPr>
      <w:r>
        <w:rPr>
          <w:rFonts w:ascii="IRNazanin" w:hAnsi="IRNazanin" w:eastAsia="IRNazanin" w:cs="IRNazanin"/>
          <w:lang w:bidi="fa-IR"/>
          <w:color w:val="111111"/>
          <w:sz w:val="28"/>
          <w:szCs w:val="28"/>
          <w:rtl/>
        </w:rPr>
        <w:t xml:space="preserve">رساله متوسطی است در تاریخ و جغرافيا که برای کتاب درسی دانش آموزان هندوستان به دستور اجماع اشاعت علوم» کلکته از منابع انگلیسی و بنگالی به پارسی ترجمه شده و در سال ۱۸۲۷م در کلکته به چاپ رسیده و این نسخه گویا از روی همان نسخه چاپی تحریر شده است. شامل ده «خزینه» است: ۱. ذکر یافتن ارض جدید؛ ۲. ذکر حدود کشور هند، اساس خطط و معمورات که در میان این حدود واقع شده؛ ۳. ذکر تجارت هند، اجناس تجارتی هند؛ ۴. ذکر سیاحت هوایی خواجه سید لر؛ ۵. ذكر كوه آتش فشان؛ ۶. ذکر نخستین سفر از یورپ به هندوستان؛ ۷. ذکر حاصلات طبیعی که خاص کشور هندوستان است.؛ ۸ ذکر سفینه بخاری؛ 9. ذکر عنوان محمدت توامان پادشاه انگلستان؛ ۱۰. ذکر طیطس که یکی از قیاصره روم است</w:t>
      </w:r>
    </w:p>
    <w:p>
      <w:pPr>
        <w:pStyle w:val="BookText"/>
      </w:pPr>
      <w:r>
        <w:rPr>
          <w:rFonts w:ascii="IRNazanin" w:hAnsi="IRNazanin" w:eastAsia="IRNazanin" w:cs="IRNazanin"/>
          <w:lang w:bidi="fa-IR"/>
          <w:color w:val="111111"/>
          <w:sz w:val="28"/>
          <w:szCs w:val="28"/>
          <w:rtl/>
        </w:rPr>
        <w:t xml:space="preserve">قم، گلپایگانی؛ شماره نسخه: ۸۴۵۱- ۵۷/۱۲۱</w:t>
      </w:r>
    </w:p>
    <w:p>
      <w:pPr>
        <w:pStyle w:val="BookText"/>
      </w:pPr>
      <w:r>
        <w:rPr>
          <w:rFonts w:ascii="IRNazanin" w:hAnsi="IRNazanin" w:eastAsia="IRNazanin" w:cs="IRNazanin"/>
          <w:lang w:bidi="fa-IR"/>
          <w:color w:val="111111"/>
          <w:sz w:val="28"/>
          <w:szCs w:val="28"/>
          <w:rtl/>
        </w:rPr>
        <w:t xml:space="preserve">آغاز: بسمله، گزیده تعليمات خرد افروز و تلقینات دانش آموز محتوی بر تخطيطات بلاد. آغاز: بسمله، خزائن طفلان نو آموز پر از جواهر تجارب دل افروز خزینه نخست در ذکر یافتن ارض جدید یاکیهان نو این رساله بخشی از خزینه دهم همین کتاب است؛ خط: نستعلیق، بی کا، بی تا؛ ۱۵۴گ، ۱۲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۲-۷۰۴]</w:t>
      </w:r>
    </w:p>
    <w:p>
      <w:pPr>
        <w:pStyle w:val="Heading3"/>
      </w:pPr>
      <w:bookmarkStart w:id="2741" w:name="_Toc2001"/>
      <w:r>
        <w:t>•تاریخ و جغرافیای یونان / تاریخ جهان / فارسی</w:t>
      </w:r>
      <w:bookmarkEnd w:id="2741"/>
    </w:p>
    <w:p>
      <w:pPr>
        <w:pStyle w:val="BookText"/>
      </w:pPr>
      <w:r>
        <w:rPr>
          <w:rFonts w:ascii="Times New Roman" w:hAnsi="Times New Roman" w:eastAsia="Times New Roman" w:cs="Times New Roman"/>
          <w:lang w:val="en-US" w:bidi="en-US"/>
          <w:color w:val="111111"/>
          <w:sz w:val="28"/>
          <w:szCs w:val="28"/>
          <w:rtl/>
        </w:rPr>
        <w:t xml:space="preserve">tārīx va joqrāfīya-ye yūnān</w:t>
      </w:r>
    </w:p>
    <w:p>
      <w:pPr>
        <w:pStyle w:val="BookText"/>
      </w:pPr>
      <w:r>
        <w:rPr>
          <w:rFonts w:ascii="IRNazanin" w:hAnsi="IRNazanin" w:eastAsia="IRNazanin" w:cs="IRNazanin"/>
          <w:lang w:bidi="fa-IR"/>
          <w:color w:val="111111"/>
          <w:sz w:val="28"/>
          <w:szCs w:val="28"/>
          <w:rtl/>
        </w:rPr>
        <w:t xml:space="preserve">مختصری است در تاریخ و جغرافیای یونان که از کتاب های انگلیسی گویا در سر کلاس درس تحریر شده است.</w:t>
      </w:r>
    </w:p>
    <w:p>
      <w:pPr>
        <w:pStyle w:val="BookText"/>
      </w:pPr>
      <w:r>
        <w:rPr>
          <w:rFonts w:ascii="IRNazanin" w:hAnsi="IRNazanin" w:eastAsia="IRNazanin" w:cs="IRNazanin"/>
          <w:lang w:bidi="fa-IR"/>
          <w:color w:val="111111"/>
          <w:sz w:val="28"/>
          <w:szCs w:val="28"/>
          <w:rtl/>
        </w:rPr>
        <w:t xml:space="preserve">قم، گلپایگانی؛ شماره نسخه: ۸۹۹۱- ۵۹/۲۱۱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bookmarkStart w:id="606" w:name="pg20363_209932"/>
    <w:bookmarkEnd w:id="606"/>
    <w:p>
      <w:pPr>
        <w:pStyle w:val="BookText"/>
      </w:pPr>
      <w:r>
        <w:rPr>
          <w:rFonts w:ascii="IRNazanin" w:hAnsi="IRNazanin" w:eastAsia="IRNazanin" w:cs="IRNazanin"/>
          <w:lang w:bidi="fa-IR"/>
          <w:color w:val="111111"/>
          <w:sz w:val="28"/>
          <w:szCs w:val="28"/>
          <w:rtl/>
        </w:rPr>
        <w:t xml:space="preserve">آغاز: جغرافیای مختصر یونان: يونان مملکت کوچکی است و شبه جزیره است که وسعت آن تقریبا به قدر پرتغال است خط: نستعلیق، بی کا، تا: قرن ۱۴، ۱۴گ، ۱۶ و ۱۷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۲-۷۰۵]</w:t>
      </w:r>
    </w:p>
    <w:p>
      <w:pPr>
        <w:pStyle w:val="Heading3"/>
      </w:pPr>
      <w:bookmarkStart w:id="2742" w:name="_Toc2002"/>
      <w:r>
        <w:t>•تاریخ و الحكايات / تاریخ / فارسی</w:t>
      </w:r>
      <w:bookmarkEnd w:id="2742"/>
    </w:p>
    <w:p>
      <w:pPr>
        <w:pStyle w:val="BookText"/>
      </w:pPr>
      <w:r>
        <w:rPr>
          <w:rFonts w:ascii="Times New Roman" w:hAnsi="Times New Roman" w:eastAsia="Times New Roman" w:cs="Times New Roman"/>
          <w:lang w:val="en-US" w:bidi="en-US"/>
          <w:color w:val="111111"/>
          <w:sz w:val="28"/>
          <w:szCs w:val="28"/>
          <w:rtl/>
        </w:rPr>
        <w:t xml:space="preserve">tārīx va-1 hekāyāt</w:t>
      </w:r>
    </w:p>
    <w:p>
      <w:pPr>
        <w:pStyle w:val="BookText"/>
      </w:pPr>
      <w:r>
        <w:rPr>
          <w:rFonts w:ascii="IRNazanin" w:hAnsi="IRNazanin" w:eastAsia="IRNazanin" w:cs="IRNazanin"/>
          <w:lang w:bidi="fa-IR"/>
          <w:color w:val="111111"/>
          <w:sz w:val="28"/>
          <w:szCs w:val="28"/>
          <w:rtl/>
        </w:rPr>
        <w:t xml:space="preserve">منشی نائینی، محمد، ق۱۳ قمری</w:t>
      </w:r>
    </w:p>
    <w:p>
      <w:pPr>
        <w:pStyle w:val="BookText"/>
      </w:pPr>
      <w:r>
        <w:rPr>
          <w:rFonts w:ascii="Times New Roman" w:hAnsi="Times New Roman" w:eastAsia="Times New Roman" w:cs="Times New Roman"/>
          <w:lang w:val="en-US" w:bidi="en-US"/>
          <w:color w:val="111111"/>
          <w:sz w:val="28"/>
          <w:szCs w:val="28"/>
          <w:rtl/>
        </w:rPr>
        <w:t xml:space="preserve">monšī nāʻīnī, mohammad (-19c)</w:t>
      </w:r>
    </w:p>
    <w:p>
      <w:pPr>
        <w:pStyle w:val="BookText"/>
      </w:pPr>
      <w:r>
        <w:rPr>
          <w:rFonts w:ascii="IRNazanin" w:hAnsi="IRNazanin" w:eastAsia="IRNazanin" w:cs="IRNazanin"/>
          <w:lang w:bidi="fa-IR"/>
          <w:color w:val="111111"/>
          <w:sz w:val="28"/>
          <w:szCs w:val="28"/>
          <w:rtl/>
        </w:rPr>
        <w:t xml:space="preserve">نام مؤلف در این نسخه مشخص نیست و احتمالا همان میرزا محمد منشی نائینی است که از منشیان زمان فتحعلی شاه قاجار و از شاگردان معتمدالدوله نشاط منشی الممالک بوده است در اواسط قرن سیزدهم هجرت ۱۲۴۴. مجموعه ای است در پنج صحیفه»: در بیان سیرت و عادات و احکام با هرات و معجزات پیغمبر اکرم(صلی الله علیه وآله وسلم)و ائمه اطهار(عليهم السلام)در ذکر احوالات جمعی از صحابه كبار؛ قصص و حکایات و تمثیلات؛ تراجم احوال وزراء و خواصان دربار فتحعلیشاه قاجار؛ بیان طبقه دانشوران و کار آگهان؛ در ذکر پرهیزکاری اسمعیل سامانی با یک «مقدمه) در توحيد و نعت حضرت رسول خاتم النبيين (صلی الله علیه وآله وسلم)و چهار «باب» در ذکر احوال مشایخ، در صفات پسندیده تواضع، شجاعت، فضیلت عفو، فضیلت عفت و عدالت. مؤلف در این نسخه ضمن مدیح و توصيف فتحعلیشاه قاجار از حاجی محمد حسین خان اعتماد السلطنه، معتمد الدوله نشاط، فتحعلی خان ملک الشعرا، میرزا محمد صادق وقایع نگار هم به وسیله اشعاری که خود سروده تعریف و تمجید نموده است.</w:t>
      </w:r>
    </w:p>
    <w:p>
      <w:pPr>
        <w:pStyle w:val="BookText"/>
      </w:pPr>
      <w:r>
        <w:rPr>
          <w:rFonts w:ascii="IRNazanin" w:hAnsi="IRNazanin" w:eastAsia="IRNazanin" w:cs="IRNazanin"/>
          <w:lang w:bidi="fa-IR"/>
          <w:color w:val="111111"/>
          <w:sz w:val="28"/>
          <w:szCs w:val="28"/>
          <w:rtl/>
        </w:rPr>
        <w:t xml:space="preserve">آغاز: سپاس و ستایش آنرا که بستودن سزاست و بر بخشش و بخشودن توانا و پادشاه رحمتش بر غضب فایق و عفوش بر رحمت شایق دانش قدیم و فضلش عمیم کاینات جهان و ممکنات را در آن بی هیچ هیولا و صورتی و سابقه طاعت او طاعتی صرف جبلت جود بعرصه وجود آورد. انجام: لمؤلفه. روزی دو سه با کام دل خویش بسر برد *** تا چون دگران رخت از این ورطه بدر برد</w:t>
      </w:r>
    </w:p>
    <w:p>
      <w:pPr>
        <w:pStyle w:val="BookText"/>
      </w:pPr>
      <w:r>
        <w:rPr>
          <w:rFonts w:ascii="IRNazanin" w:hAnsi="IRNazanin" w:eastAsia="IRNazanin" w:cs="IRNazanin"/>
          <w:lang w:bidi="fa-IR"/>
          <w:color w:val="111111"/>
          <w:sz w:val="28"/>
          <w:szCs w:val="28"/>
          <w:rtl/>
        </w:rPr>
        <w:t xml:space="preserve">تهران؛ سلطنتی؛ شماره نسخه:۱۶۸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شکسته، بی کا، بی تا؛ افتادگی: انجام؛ در پشت برگ اول نوشته شده که کاتب این نسخه میرزا محمد منشی سرکار شاهنشاهی است، ولی به نظر می رسد که کتابت نسخه در زمان خود مؤلف بوده است، مجدول، کمند کشی زرین، یک سرلوح مذهب مرصع؛ مهر: ناصرالدین شاه قاجار؛ کاغذ: فستقی، جلد: مقوای روغنی بوم زرک، ۵۴۸ص، ۲۴ سطر، اندازه: ۲۶/۳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۳۸/۵سم [ف: ۵-۴۶۴]</w:t>
      </w:r>
    </w:p>
    <w:p>
      <w:pPr>
        <w:pStyle w:val="Heading3"/>
      </w:pPr>
      <w:bookmarkStart w:id="2743" w:name="_Toc2003"/>
      <w:r>
        <w:t>•تاریخ و حکایات مذهبی / تاریخ / فارسی</w:t>
      </w:r>
      <w:bookmarkEnd w:id="2743"/>
    </w:p>
    <w:p>
      <w:pPr>
        <w:pStyle w:val="BookText"/>
      </w:pPr>
      <w:r>
        <w:rPr>
          <w:rFonts w:ascii="Times New Roman" w:hAnsi="Times New Roman" w:eastAsia="Times New Roman" w:cs="Times New Roman"/>
          <w:lang w:val="en-US" w:bidi="en-US"/>
          <w:color w:val="111111"/>
          <w:sz w:val="28"/>
          <w:szCs w:val="28"/>
          <w:rtl/>
        </w:rPr>
        <w:t xml:space="preserve">tārīx va hekāyāt-e mazhabī</w:t>
      </w:r>
    </w:p>
    <w:p>
      <w:pPr>
        <w:pStyle w:val="BookText"/>
      </w:pPr>
      <w:r>
        <w:rPr>
          <w:rFonts w:ascii="IRNazanin" w:hAnsi="IRNazanin" w:eastAsia="IRNazanin" w:cs="IRNazanin"/>
          <w:lang w:bidi="fa-IR"/>
          <w:color w:val="111111"/>
          <w:sz w:val="28"/>
          <w:szCs w:val="28"/>
          <w:rtl/>
        </w:rPr>
        <w:t xml:space="preserve">یزد؛ وزیری؛ شماره نسخه: ۵۷۰</w:t>
      </w:r>
    </w:p>
    <w:p>
      <w:pPr>
        <w:pStyle w:val="BookText"/>
      </w:pPr>
      <w:r>
        <w:rPr>
          <w:rFonts w:ascii="IRNazanin" w:hAnsi="IRNazanin" w:eastAsia="IRNazanin" w:cs="IRNazanin"/>
          <w:lang w:bidi="fa-IR"/>
          <w:color w:val="111111"/>
          <w:sz w:val="28"/>
          <w:szCs w:val="28"/>
          <w:rtl/>
        </w:rPr>
        <w:t xml:space="preserve">آغاز نمود و گفت غایت نهایت تلهف شما بر فوات ادریس مرا معلوم شده است ... داستان چهارم: در کتاب ادیان العرب آمده است عمران بن الحصين مشرک بود رسول ع او را گفت اگر به بلایی مبتلا گردی رفع آن را از که داری؛ انجام: چون حرکت کردندی و در معرکه روان گشتندی گفتی که مگر قیامت آمده است. خط: نسخ، بی کا، تا: قرن ۱۱؛ افتادگی: آغاز و انجام؛ اهدایی: وزیری؛ کاغذ: سمرقندی، جلد: مقوایی ابری مشکی عطف تیماج، ۹۰ گی، ۲۵ سطر،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۲-۴۸۳]</w:t>
      </w:r>
    </w:p>
    <w:p>
      <w:pPr>
        <w:pStyle w:val="BookText"/>
      </w:pPr>
      <w:r>
        <w:rPr>
          <w:rFonts w:ascii="IRNazanin" w:hAnsi="IRNazanin" w:eastAsia="IRNazanin" w:cs="IRNazanin"/>
          <w:lang w:bidi="fa-IR"/>
          <w:color w:val="111111"/>
          <w:sz w:val="28"/>
          <w:szCs w:val="28"/>
          <w:rtl/>
        </w:rPr>
        <w:t xml:space="preserve">←تاریخ وحید← عباس نامه</w:t>
      </w:r>
    </w:p>
    <w:p>
      <w:pPr>
        <w:pStyle w:val="Heading3"/>
      </w:pPr>
      <w:bookmarkStart w:id="2744" w:name="_Toc2004"/>
      <w:r>
        <w:t>•تاریخ و روایت از بزرگان / داستان / فارسی</w:t>
      </w:r>
      <w:bookmarkEnd w:id="2744"/>
    </w:p>
    <w:p>
      <w:pPr>
        <w:pStyle w:val="BookText"/>
      </w:pPr>
      <w:r>
        <w:rPr>
          <w:rFonts w:ascii="Times New Roman" w:hAnsi="Times New Roman" w:eastAsia="Times New Roman" w:cs="Times New Roman"/>
          <w:lang w:val="en-US" w:bidi="en-US"/>
          <w:color w:val="111111"/>
          <w:sz w:val="28"/>
          <w:szCs w:val="28"/>
          <w:rtl/>
        </w:rPr>
        <w:t xml:space="preserve">tārīx va revāyat az bozorgān</w:t>
      </w:r>
    </w:p>
    <w:p>
      <w:pPr>
        <w:pStyle w:val="BookText"/>
      </w:pPr>
      <w:r>
        <w:rPr>
          <w:rFonts w:ascii="IRNazanin" w:hAnsi="IRNazanin" w:eastAsia="IRNazanin" w:cs="IRNazanin"/>
          <w:lang w:bidi="fa-IR"/>
          <w:color w:val="111111"/>
          <w:sz w:val="28"/>
          <w:szCs w:val="28"/>
          <w:rtl/>
        </w:rPr>
        <w:t xml:space="preserve">تهران؛ ملی؛ شماره نسخه:۱۸۶۲۳</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اندازه: ۱۵/۲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[رایانه]</w:t>
      </w:r>
    </w:p>
    <w:p>
      <w:pPr>
        <w:pStyle w:val="Heading3"/>
      </w:pPr>
      <w:bookmarkStart w:id="2745" w:name="_Toc2005"/>
      <w:r>
        <w:t>•تاریخ و روایت از بزرگان دین و غیره / گوناگون</w:t>
      </w:r>
      <w:bookmarkEnd w:id="2745"/>
    </w:p>
    <w:p>
      <w:pPr>
        <w:pStyle w:val="BookText"/>
      </w:pPr>
      <w:r>
        <w:rPr>
          <w:rFonts w:ascii="Times New Roman" w:hAnsi="Times New Roman" w:eastAsia="Times New Roman" w:cs="Times New Roman"/>
          <w:lang w:val="en-US" w:bidi="en-US"/>
          <w:color w:val="111111"/>
          <w:sz w:val="28"/>
          <w:szCs w:val="28"/>
          <w:rtl/>
        </w:rPr>
        <w:t xml:space="preserve">tārīx va revāyat az bozorgān-e dīn va qeyre</w:t>
      </w:r>
    </w:p>
    <w:p>
      <w:pPr>
        <w:pStyle w:val="BookText"/>
      </w:pPr>
      <w:r>
        <w:rPr>
          <w:rFonts w:ascii="IRNazanin" w:hAnsi="IRNazanin" w:eastAsia="IRNazanin" w:cs="IRNazanin"/>
          <w:lang w:bidi="fa-IR"/>
          <w:color w:val="111111"/>
          <w:sz w:val="28"/>
          <w:szCs w:val="28"/>
          <w:rtl/>
        </w:rPr>
        <w:t xml:space="preserve">شبیه به آثار مجلسی.</w:t>
      </w:r>
    </w:p>
    <w:p>
      <w:pPr>
        <w:pStyle w:val="BookText"/>
      </w:pPr>
      <w:r>
        <w:rPr>
          <w:rFonts w:ascii="IRNazanin" w:hAnsi="IRNazanin" w:eastAsia="IRNazanin" w:cs="IRNazanin"/>
          <w:lang w:bidi="fa-IR"/>
          <w:color w:val="111111"/>
          <w:sz w:val="28"/>
          <w:szCs w:val="28"/>
          <w:rtl/>
        </w:rPr>
        <w:t xml:space="preserve">کاشان، عاطفی، حسن؛ شماره نسخه:بدون شماره</w:t>
      </w:r>
    </w:p>
    <w:p>
      <w:pPr>
        <w:pStyle w:val="BookText"/>
      </w:pPr>
      <w:r>
        <w:rPr>
          <w:rFonts w:ascii="IRNazanin" w:hAnsi="IRNazanin" w:eastAsia="IRNazanin" w:cs="IRNazanin"/>
          <w:lang w:bidi="fa-IR"/>
          <w:color w:val="111111"/>
          <w:sz w:val="28"/>
          <w:szCs w:val="28"/>
          <w:rtl/>
        </w:rPr>
        <w:t xml:space="preserve">خط: نستعلیق و شکسته نستعلیق، بی کا، تا: قرن ۱۲ق (ظاهرا)؛ افتادگی: آغاز و انجام کاغذ: فرنگی، جلد: گالینگور و سرمه ای، ۲۵۰گ،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 نشریه: ۷-۷۲۵]</w:t>
      </w:r>
    </w:p>
    <w:p>
      <w:pPr>
        <w:pStyle w:val="Heading3"/>
      </w:pPr>
      <w:bookmarkStart w:id="2746" w:name="_Toc2006"/>
      <w:r>
        <w:t>•تاریخ ورود و خروج پست / تاریخ ایران / فارسی</w:t>
      </w:r>
      <w:bookmarkEnd w:id="2746"/>
    </w:p>
    <w:p>
      <w:pPr>
        <w:pStyle w:val="BookText"/>
      </w:pPr>
      <w:r>
        <w:rPr>
          <w:rFonts w:ascii="Times New Roman" w:hAnsi="Times New Roman" w:eastAsia="Times New Roman" w:cs="Times New Roman"/>
          <w:lang w:val="en-US" w:bidi="en-US"/>
          <w:color w:val="111111"/>
          <w:sz w:val="28"/>
          <w:szCs w:val="28"/>
          <w:rtl/>
        </w:rPr>
        <w:t xml:space="preserve">tārīx-e vorūd va xorūj-e post</w:t>
      </w:r>
    </w:p>
    <w:p>
      <w:pPr>
        <w:pStyle w:val="BookText"/>
      </w:pPr>
      <w:r>
        <w:rPr>
          <w:rFonts w:ascii="IRNazanin" w:hAnsi="IRNazanin" w:eastAsia="IRNazanin" w:cs="IRNazanin"/>
          <w:lang w:bidi="fa-IR"/>
          <w:color w:val="111111"/>
          <w:sz w:val="28"/>
          <w:szCs w:val="28"/>
          <w:rtl/>
        </w:rPr>
        <w:t xml:space="preserve">مربوط به خطوط شهرهای مختلفی مانند خراسان و کرمان و استر آباد و مازندران و هندوستان و فرنگستان و یزد و فارس و ...</w:t>
      </w:r>
    </w:p>
    <w:p>
      <w:pPr>
        <w:pStyle w:val="BookText"/>
      </w:pPr>
      <w:r>
        <w:rPr>
          <w:rFonts w:ascii="IRNazanin" w:hAnsi="IRNazanin" w:eastAsia="IRNazanin" w:cs="IRNazanin"/>
          <w:lang w:bidi="fa-IR"/>
          <w:color w:val="111111"/>
          <w:sz w:val="28"/>
          <w:szCs w:val="28"/>
          <w:rtl/>
        </w:rPr>
        <w:t xml:space="preserve">تهران؛ مجلس؛ شماره نسخه: ۸۹۶۸/۵۲</w:t>
      </w:r>
    </w:p>
    <w:p>
      <w:pPr>
        <w:pStyle w:val="BookText"/>
      </w:pPr>
      <w:r>
        <w:rPr>
          <w:rFonts w:ascii="IRNazanin" w:hAnsi="IRNazanin" w:eastAsia="IRNazanin" w:cs="IRNazanin"/>
          <w:lang w:bidi="fa-IR"/>
          <w:color w:val="111111"/>
          <w:sz w:val="28"/>
          <w:szCs w:val="28"/>
          <w:rtl/>
        </w:rPr>
        <w:t xml:space="preserve">خط: نستعلیق و شکسته، بی کا، تا: اوایل قرن ۱۴؛ کاغذ: فرنگی نخودی و فستقی، جلد: چرم قهوه ای ضربی با ترنج، اص (۴۰۰)، اندازه: ۲۱/۸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۱۲/۶ سم [ف: ۲۹/۱-۴۹۷]</w:t>
      </w:r>
    </w:p>
    <w:p>
      <w:pPr>
        <w:pStyle w:val="BookText"/>
      </w:pPr>
      <w:r>
        <w:rPr>
          <w:rFonts w:ascii="IRNazanin" w:hAnsi="IRNazanin" w:eastAsia="IRNazanin" w:cs="IRNazanin"/>
          <w:lang w:bidi="fa-IR"/>
          <w:color w:val="111111"/>
          <w:sz w:val="28"/>
          <w:szCs w:val="28"/>
          <w:rtl/>
        </w:rPr>
        <w:t xml:space="preserve">←تاریخ وزرا ← ذیل نفثة المصدور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bookmarkStart w:id="607" w:name="pg20363_209933"/>
    <w:bookmarkEnd w:id="607"/>
    <w:p>
      <w:pPr>
        <w:pStyle w:val="BookText"/>
      </w:pPr>
      <w:r>
        <w:rPr>
          <w:rFonts w:ascii="IRNazanin" w:hAnsi="IRNazanin" w:eastAsia="IRNazanin" w:cs="IRNazanin"/>
          <w:lang w:bidi="fa-IR"/>
          <w:color w:val="111111"/>
          <w:sz w:val="28"/>
          <w:szCs w:val="28"/>
          <w:rtl/>
        </w:rPr>
        <w:t xml:space="preserve">←تاریخ الوزرا ← ذیل نفثة المصدور</w:t>
      </w:r>
    </w:p>
    <w:p>
      <w:pPr>
        <w:pStyle w:val="Heading3"/>
      </w:pPr>
      <w:bookmarkStart w:id="2747" w:name="_Toc2007"/>
      <w:r>
        <w:t>•تاريخ الوزراء / تراجم / فارسی</w:t>
      </w:r>
      <w:bookmarkEnd w:id="2747"/>
    </w:p>
    <w:p>
      <w:pPr>
        <w:pStyle w:val="BookText"/>
      </w:pPr>
      <w:r>
        <w:rPr>
          <w:rFonts w:ascii="Times New Roman" w:hAnsi="Times New Roman" w:eastAsia="Times New Roman" w:cs="Times New Roman"/>
          <w:lang w:val="en-US" w:bidi="en-US"/>
          <w:color w:val="111111"/>
          <w:sz w:val="28"/>
          <w:szCs w:val="28"/>
          <w:rtl/>
        </w:rPr>
        <w:t xml:space="preserve">tārīx-ol vozarā'</w:t>
      </w:r>
    </w:p>
    <w:p>
      <w:pPr>
        <w:pStyle w:val="BookText"/>
      </w:pPr>
      <w:r>
        <w:rPr>
          <w:rFonts w:ascii="IRNazanin" w:hAnsi="IRNazanin" w:eastAsia="IRNazanin" w:cs="IRNazanin"/>
          <w:lang w:bidi="fa-IR"/>
          <w:color w:val="111111"/>
          <w:sz w:val="28"/>
          <w:szCs w:val="28"/>
          <w:rtl/>
        </w:rPr>
        <w:t xml:space="preserve">حسینی کاشانی، فرج الله بن هاشم، ق۱۴ قمری</w:t>
      </w:r>
    </w:p>
    <w:p>
      <w:pPr>
        <w:pStyle w:val="BookText"/>
      </w:pPr>
      <w:r>
        <w:rPr>
          <w:rFonts w:ascii="Times New Roman" w:hAnsi="Times New Roman" w:eastAsia="Times New Roman" w:cs="Times New Roman"/>
          <w:lang w:val="en-US" w:bidi="en-US"/>
          <w:color w:val="111111"/>
          <w:sz w:val="28"/>
          <w:szCs w:val="28"/>
          <w:rtl/>
        </w:rPr>
        <w:t xml:space="preserve">hoseynī kāšānī, faraj-ol-lāh ebn-e hāšem (-20c)</w:t>
      </w:r>
    </w:p>
    <w:p>
      <w:pPr>
        <w:pStyle w:val="BookText"/>
      </w:pPr>
      <w:r>
        <w:rPr>
          <w:rFonts w:ascii="IRNazanin" w:hAnsi="IRNazanin" w:eastAsia="IRNazanin" w:cs="IRNazanin"/>
          <w:lang w:bidi="fa-IR"/>
          <w:color w:val="111111"/>
          <w:sz w:val="28"/>
          <w:szCs w:val="28"/>
          <w:rtl/>
        </w:rPr>
        <w:t xml:space="preserve">قم؛ مرعشی؛ شماره نسخه:بدون شماره</w:t>
      </w:r>
    </w:p>
    <w:p>
      <w:pPr>
        <w:pStyle w:val="BookText"/>
      </w:pPr>
      <w:r>
        <w:rPr>
          <w:rFonts w:ascii="IRNazanin" w:hAnsi="IRNazanin" w:eastAsia="IRNazanin" w:cs="IRNazanin"/>
          <w:lang w:bidi="fa-IR"/>
          <w:color w:val="111111"/>
          <w:sz w:val="28"/>
          <w:szCs w:val="28"/>
          <w:rtl/>
        </w:rPr>
        <w:t xml:space="preserve">بی کا، تا: ۱۲۹۶ق؛ قطع: جيبي [میراث شهاب: س هش ۳و ۴-۱۵۱]</w:t>
      </w:r>
    </w:p>
    <w:p>
      <w:pPr>
        <w:pStyle w:val="Heading3"/>
      </w:pPr>
      <w:bookmarkStart w:id="2748" w:name="_Toc2008"/>
      <w:r>
        <w:t>•تاریخ وزرا / تراجم / فارسی</w:t>
      </w:r>
      <w:bookmarkEnd w:id="2748"/>
    </w:p>
    <w:p>
      <w:pPr>
        <w:pStyle w:val="BookText"/>
      </w:pPr>
      <w:r>
        <w:rPr>
          <w:rFonts w:ascii="Times New Roman" w:hAnsi="Times New Roman" w:eastAsia="Times New Roman" w:cs="Times New Roman"/>
          <w:lang w:val="en-US" w:bidi="en-US"/>
          <w:color w:val="111111"/>
          <w:sz w:val="28"/>
          <w:szCs w:val="28"/>
          <w:rtl/>
        </w:rPr>
        <w:t xml:space="preserve">tārīx-e vozarā</w:t>
      </w:r>
    </w:p>
    <w:p>
      <w:pPr>
        <w:pStyle w:val="BookText"/>
      </w:pPr>
      <w:r>
        <w:rPr>
          <w:rFonts w:ascii="IRNazanin" w:hAnsi="IRNazanin" w:eastAsia="IRNazanin" w:cs="IRNazanin"/>
          <w:lang w:bidi="fa-IR"/>
          <w:color w:val="111111"/>
          <w:sz w:val="28"/>
          <w:szCs w:val="28"/>
          <w:rtl/>
        </w:rPr>
        <w:t xml:space="preserve">افضل الملک، غلامحسین بن مهدی، ۱۲۷۹-۱۳۴۸ قمری</w:t>
      </w:r>
    </w:p>
    <w:p>
      <w:pPr>
        <w:pStyle w:val="BookText"/>
      </w:pPr>
      <w:r>
        <w:rPr>
          <w:rFonts w:ascii="Times New Roman" w:hAnsi="Times New Roman" w:eastAsia="Times New Roman" w:cs="Times New Roman"/>
          <w:lang w:val="en-US" w:bidi="en-US"/>
          <w:color w:val="111111"/>
          <w:sz w:val="28"/>
          <w:szCs w:val="28"/>
          <w:rtl/>
        </w:rPr>
        <w:t xml:space="preserve">afzal-ol-molk, qolām-hoseyn ebn-e mahdī (1863-1930)</w:t>
      </w:r>
    </w:p>
    <w:p>
      <w:pPr>
        <w:pStyle w:val="BookText"/>
      </w:pPr>
      <w:r>
        <w:rPr>
          <w:rFonts w:ascii="IRNazanin" w:hAnsi="IRNazanin" w:eastAsia="IRNazanin" w:cs="IRNazanin"/>
          <w:lang w:bidi="fa-IR"/>
          <w:color w:val="111111"/>
          <w:sz w:val="28"/>
          <w:szCs w:val="28"/>
          <w:rtl/>
        </w:rPr>
        <w:t xml:space="preserve">شرح حال گروهی از وزرای قدیم و متأخر، از آصف بن برخيا وزیر حضرت سلیمان تا حسين بن قاسم وزير المقتدر بالله عباسی، بیشتر آن گرفته شده از تجارب السلف و تاريخ الوزراء جهشیاری و تاریخ ابن خلکان با افزودگی هایی از مؤلف. در پایان فصولی در آداب وزارت و آنچه مربوط به این پست است.</w:t>
      </w:r>
    </w:p>
    <w:p>
      <w:pPr>
        <w:pStyle w:val="BookText"/>
      </w:pPr>
      <w:r>
        <w:rPr>
          <w:rFonts w:ascii="IRNazanin" w:hAnsi="IRNazanin" w:eastAsia="IRNazanin" w:cs="IRNazanin"/>
          <w:lang w:bidi="fa-IR"/>
          <w:color w:val="111111"/>
          <w:sz w:val="28"/>
          <w:szCs w:val="28"/>
          <w:rtl/>
        </w:rPr>
        <w:t xml:space="preserve">۱. قم؛ مرکز احیاء؛ شماره نسخه:۱۰۴۷</w:t>
      </w:r>
    </w:p>
    <w:p>
      <w:pPr>
        <w:pStyle w:val="BookText"/>
      </w:pPr>
      <w:r>
        <w:rPr>
          <w:rFonts w:ascii="IRNazanin" w:hAnsi="IRNazanin" w:eastAsia="IRNazanin" w:cs="IRNazanin"/>
          <w:lang w:bidi="fa-IR"/>
          <w:color w:val="111111"/>
          <w:sz w:val="28"/>
          <w:szCs w:val="28"/>
          <w:rtl/>
        </w:rPr>
        <w:t xml:space="preserve">آغاز: باید ادب ورزم و بخداوند خود اعتماد داشته باشم که این کتاب را که هم تأليف است و هم تصنیف به انتها برسانم خط: نستعلیق، کاتب = مؤلف، بی تا؛ تمام نسخه پیش نویس کتاب می باشد، در پایان چند برگ تفسير بعضی کلمات قرآن کریم از مؤلف</w:t>
      </w:r>
    </w:p>
    <w:p>
      <w:pPr>
        <w:pStyle w:val="BookText"/>
      </w:pPr>
      <w:r>
        <w:rPr>
          <w:rFonts w:ascii="IRNazanin" w:hAnsi="IRNazanin" w:eastAsia="IRNazanin" w:cs="IRNazanin"/>
          <w:lang w:bidi="fa-IR"/>
          <w:color w:val="111111"/>
          <w:sz w:val="28"/>
          <w:szCs w:val="28"/>
          <w:rtl/>
        </w:rPr>
        <w:t xml:space="preserve">می باشد، یادداشتی از سعید نفیسی به تاریخ شنبه ۲۱ فروردین ۱۳۹۶ ش و فرزند مؤلف غلام رضا زندی؛ جلد: مقوایی عطف تیماج قهوه ای، ۱۴۵گ، مختلف السطر، اندازه:</w:t>
      </w:r>
    </w:p>
    <w:p>
      <w:pPr>
        <w:pStyle w:val="BookText"/>
      </w:pPr>
      <w:r>
        <w:rPr>
          <w:rFonts w:ascii="IRNazanin" w:hAnsi="IRNazanin" w:eastAsia="IRNazanin" w:cs="IRNazanin"/>
          <w:lang w:bidi="fa-IR"/>
          <w:color w:val="111111"/>
          <w:sz w:val="28"/>
          <w:szCs w:val="28"/>
          <w:rtl/>
        </w:rPr>
        <w:t xml:space="preserve">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۳-۲۸۱]</w:t>
      </w:r>
    </w:p>
    <w:p>
      <w:pPr>
        <w:pStyle w:val="BookText"/>
      </w:pPr>
      <w:r>
        <w:rPr>
          <w:rFonts w:ascii="IRNazanin" w:hAnsi="IRNazanin" w:eastAsia="IRNazanin" w:cs="IRNazanin"/>
          <w:lang w:bidi="fa-IR"/>
          <w:color w:val="111111"/>
          <w:sz w:val="28"/>
          <w:szCs w:val="28"/>
          <w:rtl/>
        </w:rPr>
        <w:t xml:space="preserve">۲. تهران؛ سعید نفیسی؛ شماره نسخه:۶۳ بی کا، بی تا [نشریه: ۷-۶۸۹]</w:t>
      </w:r>
    </w:p>
    <w:p>
      <w:pPr>
        <w:pStyle w:val="Heading3"/>
      </w:pPr>
      <w:bookmarkStart w:id="2749" w:name="_Toc2009"/>
      <w:r>
        <w:t>•تاريخ الوزراء / تراجم، تاریخ ایران / فارسی</w:t>
      </w:r>
      <w:bookmarkEnd w:id="2749"/>
    </w:p>
    <w:p>
      <w:pPr>
        <w:pStyle w:val="BookText"/>
      </w:pPr>
      <w:r>
        <w:rPr>
          <w:rFonts w:ascii="Times New Roman" w:hAnsi="Times New Roman" w:eastAsia="Times New Roman" w:cs="Times New Roman"/>
          <w:lang w:val="en-US" w:bidi="en-US"/>
          <w:color w:val="111111"/>
          <w:sz w:val="28"/>
          <w:szCs w:val="28"/>
          <w:rtl/>
        </w:rPr>
        <w:t xml:space="preserve">tārīx-ol vozarā'</w:t>
      </w:r>
    </w:p>
    <w:p>
      <w:pPr>
        <w:pStyle w:val="BookText"/>
      </w:pPr>
      <w:r>
        <w:rPr>
          <w:rFonts w:ascii="IRNazanin" w:hAnsi="IRNazanin" w:eastAsia="IRNazanin" w:cs="IRNazanin"/>
          <w:lang w:bidi="fa-IR"/>
          <w:color w:val="111111"/>
          <w:sz w:val="28"/>
          <w:szCs w:val="28"/>
          <w:rtl/>
        </w:rPr>
        <w:t xml:space="preserve">رساله مفصلی است در شرح حالات وزیران دوران اسلامی از صدر اسلام تا صاحب دیوان محمد بن شمس الدين جوینی؛ این رساله غیر از تجارب السلف است. در شرح حال صاحب بن عباد نوشته: «ذكر وزرات الكفي الكفات الصاحب اسماعيل بن عباد و جنابش را صاحب از ال گفتند که در اوایل حال مصاحبت وزیر ابن العميد کردی و او را صاحب ابن العميد خواندند و مخايل درباره صاحب دیوان ایران قصیده ای که در قبر وی در چرنداب الصاق بوده آورده است.)</w:t>
      </w:r>
    </w:p>
    <w:p>
      <w:pPr>
        <w:pStyle w:val="BookText"/>
      </w:pPr>
      <w:r>
        <w:rPr>
          <w:rFonts w:ascii="IRNazanin" w:hAnsi="IRNazanin" w:eastAsia="IRNazanin" w:cs="IRNazanin"/>
          <w:lang w:bidi="fa-IR"/>
          <w:color w:val="111111"/>
          <w:sz w:val="28"/>
          <w:szCs w:val="28"/>
          <w:rtl/>
        </w:rPr>
        <w:t xml:space="preserve">قم؛ گلپایگانی؛ شماره نسخه:۳۲۹۷- ۱۷/۷۷</w:t>
      </w:r>
    </w:p>
    <w:p>
      <w:pPr>
        <w:pStyle w:val="BookText"/>
      </w:pPr>
      <w:r>
        <w:rPr>
          <w:rFonts w:ascii="IRNazanin" w:hAnsi="IRNazanin" w:eastAsia="IRNazanin" w:cs="IRNazanin"/>
          <w:lang w:bidi="fa-IR"/>
          <w:color w:val="111111"/>
          <w:sz w:val="28"/>
          <w:szCs w:val="28"/>
          <w:rtl/>
        </w:rPr>
        <w:t xml:space="preserve">آغاز: عهد نمودیم که بر آنچه فرمان دهند اطاعت کنیم و برای خود و رسول (صلی الله علیه وآله وسلم)به عهد خود وفا نمائیم پس یاران من تقدم جستند و من باز پس ماندم برای آنچه خدا؛ انجام: و چندانکه ضراعت نمود و بار یافتگان حضرت را به شفاعت انگیخت سود نداد و سرانجام به تیغ قهر مقتول گشت سبحان من يبقى و يفنی كل شيء خط شکسته، تحریری، بی کا، تا: قرن ۱۳؛ افتادگی: آغاز و انجام؛ جلد: تیماج قهوه ای، ۹۵گ، ۱۴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۲-۶۸۲]</w:t>
      </w:r>
    </w:p>
    <w:p>
      <w:pPr>
        <w:pStyle w:val="Heading3"/>
      </w:pPr>
      <w:bookmarkStart w:id="2750" w:name="_Toc2010"/>
      <w:r>
        <w:t>•تاريخ اليمن و أنسابه / شعر، تاریخ / عربی</w:t>
      </w:r>
      <w:bookmarkEnd w:id="2750"/>
    </w:p>
    <w:p>
      <w:pPr>
        <w:pStyle w:val="BookText"/>
      </w:pPr>
      <w:r>
        <w:rPr>
          <w:rFonts w:ascii="Times New Roman" w:hAnsi="Times New Roman" w:eastAsia="Times New Roman" w:cs="Times New Roman"/>
          <w:lang w:val="en-US" w:bidi="en-US"/>
          <w:color w:val="111111"/>
          <w:sz w:val="28"/>
          <w:szCs w:val="28"/>
          <w:rtl/>
        </w:rPr>
        <w:t xml:space="preserve">tārīx-ul yaman wa ansāb-i-h</w:t>
      </w:r>
    </w:p>
    <w:p>
      <w:pPr>
        <w:pStyle w:val="BookText"/>
      </w:pPr>
      <w:r>
        <w:rPr>
          <w:rFonts w:ascii="IRNazanin" w:hAnsi="IRNazanin" w:eastAsia="IRNazanin" w:cs="IRNazanin"/>
          <w:lang w:bidi="fa-IR"/>
          <w:color w:val="111111"/>
          <w:sz w:val="28"/>
          <w:szCs w:val="28"/>
          <w:rtl/>
        </w:rPr>
        <w:t xml:space="preserve">حمیری، نشوان بن سعيد، ۵۷۳ قمری</w:t>
      </w:r>
    </w:p>
    <w:p>
      <w:pPr>
        <w:pStyle w:val="BookText"/>
      </w:pPr>
      <w:r>
        <w:rPr>
          <w:rFonts w:ascii="Times New Roman" w:hAnsi="Times New Roman" w:eastAsia="Times New Roman" w:cs="Times New Roman"/>
          <w:lang w:val="en-US" w:bidi="en-US"/>
          <w:color w:val="111111"/>
          <w:sz w:val="28"/>
          <w:szCs w:val="28"/>
          <w:rtl/>
        </w:rPr>
        <w:t xml:space="preserve">hamyarī, našvān ebn-e sa'id (-1178)</w:t>
      </w:r>
    </w:p>
    <w:p>
      <w:pPr>
        <w:pStyle w:val="BookText"/>
      </w:pPr>
      <w:r>
        <w:rPr>
          <w:rFonts w:ascii="IRNazanin" w:hAnsi="IRNazanin" w:eastAsia="IRNazanin" w:cs="IRNazanin"/>
          <w:lang w:bidi="fa-IR"/>
          <w:color w:val="111111"/>
          <w:sz w:val="28"/>
          <w:szCs w:val="28"/>
          <w:rtl/>
        </w:rPr>
        <w:t xml:space="preserve">قصیده ای است یائیه در ۵۶ بیت در بیان مختصری از تاریخ یمن و قبایل و طوایف مختلف آن.</w:t>
      </w:r>
    </w:p>
    <w:p>
      <w:pPr>
        <w:pStyle w:val="BookText"/>
      </w:pPr>
      <w:r>
        <w:rPr>
          <w:rFonts w:ascii="Amiri" w:hAnsi="Amiri" w:eastAsia="Amiri" w:cs="Amiri"/>
          <w:lang w:bidi="ar-SA"/>
          <w:color w:val="111111"/>
          <w:sz w:val="28"/>
          <w:szCs w:val="28"/>
          <w:rtl/>
        </w:rPr>
        <w:t xml:space="preserve">[مؤلفات الزيدية ۲۳۹/۱ ]</w:t>
      </w:r>
    </w:p>
    <w:p>
      <w:pPr>
        <w:pStyle w:val="BookText"/>
      </w:pPr>
      <w:r>
        <w:rPr>
          <w:rFonts w:ascii="IRNazanin" w:hAnsi="IRNazanin" w:eastAsia="IRNazanin" w:cs="IRNazanin"/>
          <w:lang w:bidi="fa-IR"/>
          <w:color w:val="111111"/>
          <w:sz w:val="28"/>
          <w:szCs w:val="28"/>
          <w:rtl/>
        </w:rPr>
        <w:t xml:space="preserve">قم: مرکز احیاء؛ شماره نسخه: ۷۲۱/۱۲</w:t>
      </w:r>
    </w:p>
    <w:p>
      <w:pPr>
        <w:pStyle w:val="BookText"/>
      </w:pPr>
      <w:r>
        <w:rPr>
          <w:rFonts w:ascii="IRNazanin" w:hAnsi="IRNazanin" w:eastAsia="IRNazanin" w:cs="IRNazanin"/>
          <w:lang w:bidi="fa-IR"/>
          <w:color w:val="111111"/>
          <w:sz w:val="28"/>
          <w:szCs w:val="28"/>
          <w:rtl/>
        </w:rPr>
        <w:t xml:space="preserve">آغاز: ذكرت دیارا دارسات خواليا *** رسوما و أطلالا عفت و مغانيا نسخه اصل: کتابخانه واتیکان-رم ۱۱۳۱؛ كا: عبد المغيث بن عزالدين بن هادی مسوری حمیری ملقب به توهمی، بی تاب ۳گ ( ۱۷۵-۱۷۳ ) [عکسی ف: ۲-۳۸۷]</w:t>
      </w:r>
    </w:p>
    <w:p>
      <w:pPr>
        <w:pStyle w:val="Heading3"/>
      </w:pPr>
      <w:bookmarkStart w:id="2751" w:name="_Toc2011"/>
      <w:r>
        <w:t>•تاریخ و سالهای زاد و مرگ /تراجم / فارسی</w:t>
      </w:r>
      <w:bookmarkEnd w:id="2751"/>
    </w:p>
    <w:p>
      <w:pPr>
        <w:pStyle w:val="BookText"/>
      </w:pPr>
      <w:r>
        <w:rPr>
          <w:rFonts w:ascii="Times New Roman" w:hAnsi="Times New Roman" w:eastAsia="Times New Roman" w:cs="Times New Roman"/>
          <w:lang w:val="en-US" w:bidi="en-US"/>
          <w:color w:val="111111"/>
          <w:sz w:val="28"/>
          <w:szCs w:val="28"/>
          <w:rtl/>
        </w:rPr>
        <w:t xml:space="preserve">tārīt va sāl-hā-ye zād va marg</w:t>
      </w:r>
    </w:p>
    <w:p>
      <w:pPr>
        <w:pStyle w:val="BookText"/>
      </w:pPr>
      <w:r>
        <w:rPr>
          <w:rFonts w:ascii="IRNazanin" w:hAnsi="IRNazanin" w:eastAsia="IRNazanin" w:cs="IRNazanin"/>
          <w:lang w:bidi="fa-IR"/>
          <w:color w:val="111111"/>
          <w:sz w:val="28"/>
          <w:szCs w:val="28"/>
          <w:rtl/>
        </w:rPr>
        <w:t xml:space="preserve">پیران و مشایخ و دانشمندان و سرایندگان از محمد تا ارتضی علی خان خوشنود در ۱۲۷۰.</w:t>
      </w:r>
    </w:p>
    <w:p>
      <w:pPr>
        <w:pStyle w:val="BookText"/>
      </w:pPr>
      <w:r>
        <w:rPr>
          <w:rFonts w:ascii="IRNazanin" w:hAnsi="IRNazanin" w:eastAsia="IRNazanin" w:cs="IRNazanin"/>
          <w:lang w:bidi="fa-IR"/>
          <w:color w:val="111111"/>
          <w:sz w:val="28"/>
          <w:szCs w:val="28"/>
          <w:rtl/>
        </w:rPr>
        <w:t xml:space="preserve">تهران؛ دانشگاه؛ شماره نسخه:۸۰۰۵/۳</w:t>
      </w:r>
    </w:p>
    <w:p>
      <w:pPr>
        <w:pStyle w:val="BookText"/>
      </w:pPr>
      <w:r>
        <w:rPr>
          <w:rFonts w:ascii="IRNazanin" w:hAnsi="IRNazanin" w:eastAsia="IRNazanin" w:cs="IRNazanin"/>
          <w:lang w:bidi="fa-IR"/>
          <w:color w:val="111111"/>
          <w:sz w:val="28"/>
          <w:szCs w:val="28"/>
          <w:rtl/>
        </w:rPr>
        <w:t xml:space="preserve">خط: نستعلیق، بی کا، بی تا، کاغذ: فرنگی، جلد: پارچه عطف تریاکی، ۱۲ص (۱-۱۲)، ۱۱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۱۷-۵]</w:t>
      </w:r>
    </w:p>
    <w:p>
      <w:pPr>
        <w:pStyle w:val="Heading3"/>
      </w:pPr>
      <w:bookmarkStart w:id="2752" w:name="_Toc2012"/>
      <w:r>
        <w:t>•تاریخ و سیر / تاریخ معصومین / فارسی</w:t>
      </w:r>
      <w:bookmarkEnd w:id="2752"/>
    </w:p>
    <w:p>
      <w:pPr>
        <w:pStyle w:val="BookText"/>
      </w:pPr>
      <w:r>
        <w:rPr>
          <w:rFonts w:ascii="Times New Roman" w:hAnsi="Times New Roman" w:eastAsia="Times New Roman" w:cs="Times New Roman"/>
          <w:lang w:val="en-US" w:bidi="en-US"/>
          <w:color w:val="111111"/>
          <w:sz w:val="28"/>
          <w:szCs w:val="28"/>
          <w:rtl/>
        </w:rPr>
        <w:t xml:space="preserve">tārīx va seyar</w:t>
      </w:r>
    </w:p>
    <w:p>
      <w:pPr>
        <w:pStyle w:val="BookText"/>
      </w:pPr>
      <w:r>
        <w:rPr>
          <w:rFonts w:ascii="IRNazanin" w:hAnsi="IRNazanin" w:eastAsia="IRNazanin" w:cs="IRNazanin"/>
          <w:lang w:bidi="fa-IR"/>
          <w:color w:val="111111"/>
          <w:sz w:val="28"/>
          <w:szCs w:val="28"/>
          <w:rtl/>
        </w:rPr>
        <w:t xml:space="preserve">رسالهای ناقص در سرگذشت خاندان پیغمبر(صلی الله علیه وآله وسلم) و به روش شیعی نگارش یافته و در آن از «شواهد النبوة» یاد شده است. آنچه در نسخه ما موجود است. مطالب آن دسته بندی خاصی ندارد و بیشتر مطالب و موضوعات با کلمه «ذکر» شروع می شود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bookmarkStart w:id="608" w:name="pg20363_209934"/>
    <w:bookmarkEnd w:id="608"/>
    <w:p>
      <w:pPr>
        <w:pStyle w:val="BookText"/>
      </w:pPr>
      <w:r>
        <w:rPr>
          <w:rFonts w:ascii="IRNazanin" w:hAnsi="IRNazanin" w:eastAsia="IRNazanin" w:cs="IRNazanin"/>
          <w:lang w:bidi="fa-IR"/>
          <w:color w:val="111111"/>
          <w:sz w:val="28"/>
          <w:szCs w:val="28"/>
          <w:rtl/>
        </w:rPr>
        <w:t xml:space="preserve">و کلمات «راوی، قصه، حکایت، في القصه، سر رشته سخن» و مانند آنها دیده می شود.</w:t>
      </w:r>
    </w:p>
    <w:p>
      <w:pPr>
        <w:pStyle w:val="BookText"/>
      </w:pPr>
      <w:r>
        <w:rPr>
          <w:rFonts w:ascii="IRNazanin" w:hAnsi="IRNazanin" w:eastAsia="IRNazanin" w:cs="IRNazanin"/>
          <w:lang w:bidi="fa-IR"/>
          <w:color w:val="111111"/>
          <w:sz w:val="28"/>
          <w:szCs w:val="28"/>
          <w:rtl/>
        </w:rPr>
        <w:t xml:space="preserve">تهران؛ مجلس؛ شماره نسخه:۲۹۹۵</w:t>
      </w:r>
    </w:p>
    <w:p>
      <w:pPr>
        <w:pStyle w:val="BookText"/>
      </w:pPr>
      <w:r>
        <w:rPr>
          <w:rFonts w:ascii="IRNazanin" w:hAnsi="IRNazanin" w:eastAsia="IRNazanin" w:cs="IRNazanin"/>
          <w:lang w:bidi="fa-IR"/>
          <w:color w:val="111111"/>
          <w:sz w:val="28"/>
          <w:szCs w:val="28"/>
          <w:rtl/>
        </w:rPr>
        <w:t xml:space="preserve">آغاز: الا که نگو نسار شود و دریاچه ساوه آبش زمین فرو رفت و خشک شد و آتش</w:t>
      </w:r>
    </w:p>
    <w:p>
      <w:pPr>
        <w:pStyle w:val="BookText"/>
      </w:pPr>
      <w:r>
        <w:rPr>
          <w:rFonts w:ascii="IRNazanin" w:hAnsi="IRNazanin" w:eastAsia="IRNazanin" w:cs="IRNazanin"/>
          <w:lang w:bidi="fa-IR"/>
          <w:color w:val="111111"/>
          <w:sz w:val="28"/>
          <w:szCs w:val="28"/>
          <w:rtl/>
        </w:rPr>
        <w:t xml:space="preserve">کران فارس همه بمرد. هذا نبي الهدی *** هذا الشفيع الغدی؛ انجام: مثنوی: و احسرنا که سرو روان از چمن برفت *** یعنی که نور دیده زهرا حسن برفت / يعقوب وار دیده نرگس سفید شد *** کز مصر باز یوسف گل پیرهن برفت. بخشی از زندگی عبدالمطلب است تا بخشی از سر گذشت حسین بن على (عليه السلام)؛ خط: نسخ، بی کا، تا: قرن ۱۱؛ افتادگی: آغاز و انجام کاغذ: اصفهانی شکری، جلد: تیماج زرد ترنج و نیم ترنج، ۴۹۹ص، ۲۸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۱۰-۴۴۵]</w:t>
      </w:r>
    </w:p>
    <w:p>
      <w:pPr>
        <w:pStyle w:val="BookText"/>
      </w:pPr>
      <w:r>
        <w:rPr>
          <w:rFonts w:ascii="IRNazanin" w:hAnsi="IRNazanin" w:eastAsia="IRNazanin" w:cs="IRNazanin"/>
          <w:lang w:bidi="fa-IR"/>
          <w:color w:val="111111"/>
          <w:sz w:val="28"/>
          <w:szCs w:val="28"/>
          <w:rtl/>
        </w:rPr>
        <w:t xml:space="preserve">← تاریخ وصاف ←تجزية الأمصارو  تزجية الاعصار</w:t>
      </w:r>
    </w:p>
    <w:p>
      <w:pPr>
        <w:pStyle w:val="BookText"/>
      </w:pPr>
      <w:r>
        <w:rPr>
          <w:rFonts w:ascii="IRNazanin" w:hAnsi="IRNazanin" w:eastAsia="IRNazanin" w:cs="IRNazanin"/>
          <w:lang w:bidi="fa-IR"/>
          <w:color w:val="111111"/>
          <w:sz w:val="28"/>
          <w:szCs w:val="28"/>
          <w:rtl/>
        </w:rPr>
        <w:t xml:space="preserve">تاریخ وصاف ← تتمة اللغات</w:t>
      </w:r>
    </w:p>
    <w:p>
      <w:pPr>
        <w:pStyle w:val="Heading3"/>
      </w:pPr>
      <w:bookmarkStart w:id="2753" w:name="_Toc2013"/>
      <w:r>
        <w:t>•تاریخ و طبقات سلاطین ایران / تاریخ جهان / فارسی</w:t>
      </w:r>
      <w:bookmarkEnd w:id="2753"/>
    </w:p>
    <w:p>
      <w:pPr>
        <w:pStyle w:val="BookText"/>
      </w:pPr>
      <w:r>
        <w:rPr>
          <w:rFonts w:ascii="Times New Roman" w:hAnsi="Times New Roman" w:eastAsia="Times New Roman" w:cs="Times New Roman"/>
          <w:lang w:val="en-US" w:bidi="en-US"/>
          <w:color w:val="111111"/>
          <w:sz w:val="28"/>
          <w:szCs w:val="28"/>
          <w:rtl/>
        </w:rPr>
        <w:t xml:space="preserve">tārīx va tabaqāt-e salātīn-e īrān</w:t>
      </w:r>
    </w:p>
    <w:p>
      <w:pPr>
        <w:pStyle w:val="BookText"/>
      </w:pPr>
      <w:r>
        <w:rPr>
          <w:rFonts w:ascii="IRNazanin" w:hAnsi="IRNazanin" w:eastAsia="IRNazanin" w:cs="IRNazanin"/>
          <w:lang w:bidi="fa-IR"/>
          <w:color w:val="111111"/>
          <w:sz w:val="28"/>
          <w:szCs w:val="28"/>
          <w:rtl/>
        </w:rPr>
        <w:t xml:space="preserve">باب اول در تعریف تواریخ سال های ملوک فرس و طبقات چهارگانه آنها.</w:t>
      </w:r>
    </w:p>
    <w:p>
      <w:pPr>
        <w:pStyle w:val="BookText"/>
      </w:pPr>
      <w:r>
        <w:rPr>
          <w:rFonts w:ascii="IRNazanin" w:hAnsi="IRNazanin" w:eastAsia="IRNazanin" w:cs="IRNazanin"/>
          <w:lang w:bidi="fa-IR"/>
          <w:color w:val="111111"/>
          <w:sz w:val="28"/>
          <w:szCs w:val="28"/>
          <w:rtl/>
        </w:rPr>
        <w:t xml:space="preserve">تهران؛ ملک؛ شماره نسخه:۱۵۳۳/۳</w:t>
      </w:r>
    </w:p>
    <w:p>
      <w:pPr>
        <w:pStyle w:val="BookText"/>
      </w:pPr>
      <w:r>
        <w:rPr>
          <w:rFonts w:ascii="IRNazanin" w:hAnsi="IRNazanin" w:eastAsia="IRNazanin" w:cs="IRNazanin"/>
          <w:lang w:bidi="fa-IR"/>
          <w:color w:val="111111"/>
          <w:sz w:val="28"/>
          <w:szCs w:val="28"/>
          <w:rtl/>
        </w:rPr>
        <w:t xml:space="preserve">كان عبد الوهاب، تا: ۱۲۹۶ق؛ افتادگی: آغاز و انجام کاغذ: گوناگون، جلد: میشن قهوه ای [ف: ۲۸۵۵]</w:t>
      </w:r>
    </w:p>
    <w:p>
      <w:pPr>
        <w:pStyle w:val="Heading3"/>
      </w:pPr>
      <w:bookmarkStart w:id="2754" w:name="_Toc2014"/>
      <w:r>
        <w:t>•التاريخ و العلل / تاریخ / عربی</w:t>
      </w:r>
      <w:bookmarkEnd w:id="2754"/>
    </w:p>
    <w:p>
      <w:pPr>
        <w:pStyle w:val="BookText"/>
      </w:pPr>
      <w:r>
        <w:rPr>
          <w:rFonts w:ascii="Times New Roman" w:hAnsi="Times New Roman" w:eastAsia="Times New Roman" w:cs="Times New Roman"/>
          <w:lang w:val="en-US" w:bidi="en-US"/>
          <w:color w:val="111111"/>
          <w:sz w:val="28"/>
          <w:szCs w:val="28"/>
          <w:rtl/>
        </w:rPr>
        <w:t xml:space="preserve">at-tārīx wa-l ‘ilal</w:t>
      </w:r>
    </w:p>
    <w:p>
      <w:pPr>
        <w:pStyle w:val="BookText"/>
      </w:pPr>
      <w:r>
        <w:rPr>
          <w:rFonts w:ascii="IRNazanin" w:hAnsi="IRNazanin" w:eastAsia="IRNazanin" w:cs="IRNazanin"/>
          <w:lang w:bidi="fa-IR"/>
          <w:color w:val="111111"/>
          <w:sz w:val="28"/>
          <w:szCs w:val="28"/>
          <w:rtl/>
        </w:rPr>
        <w:t xml:space="preserve">بغدادی، یحیی بن معین، ۱۵۸-۲۳۳ قمری</w:t>
      </w:r>
    </w:p>
    <w:p>
      <w:pPr>
        <w:pStyle w:val="BookText"/>
      </w:pPr>
      <w:r>
        <w:rPr>
          <w:rFonts w:ascii="Times New Roman" w:hAnsi="Times New Roman" w:eastAsia="Times New Roman" w:cs="Times New Roman"/>
          <w:lang w:val="en-US" w:bidi="en-US"/>
          <w:color w:val="111111"/>
          <w:sz w:val="28"/>
          <w:szCs w:val="28"/>
          <w:rtl/>
        </w:rPr>
        <w:t xml:space="preserve">baqdādī, yahyā ebn-e moʻīn (776-848)</w:t>
      </w:r>
    </w:p>
    <w:p>
      <w:pPr>
        <w:pStyle w:val="BookText"/>
      </w:pPr>
      <w:r>
        <w:rPr>
          <w:rFonts w:ascii="IRNazanin" w:hAnsi="IRNazanin" w:eastAsia="IRNazanin" w:cs="IRNazanin"/>
          <w:lang w:bidi="fa-IR"/>
          <w:color w:val="111111"/>
          <w:sz w:val="28"/>
          <w:szCs w:val="28"/>
          <w:rtl/>
        </w:rPr>
        <w:t xml:space="preserve">کتاب رجالی است در ۱۱ جزء که ابوالفضل عباس بن محمد بن حاتم دوری بغدادی (۲۷۱ق) و ابو العباس بن يعقوب بن يوسف اصم آن را از یحیی بن معین روایت کرده اند. نسخه ای از این کتاب در دار الكتب ظاهریه موجود است. يوسف العش در فهرس مخطوطات الظاهرية (التاريخ و ملحقاته: ص ۲۳۲)، این کتاب را چنین معرفی کرده است: «التاريخ و العلل، عن أبي زکریا یحیی بن معین رواية أبي الفضل العباس بن محمد بن حاتم الدوري عنه، في أحد عشر جزء و هو أقوال عن یحیی غیر مرتبة ينقلها الدوري و قد يخالف أستاذه فيها و معظمها في الرجال و وفياتهم و نقدهم و من رووا عنه، و قد يختلط بذلك أخبار عن الخلفاء و أشعار قيلت أمامهم و فتاوى في مسائل فقهية». احمد محمد نور سیف در مقدمه تحقیق این کتاب، بحث مبسوطی راجع به مؤلف و کتاب ارائه کرده است، از جمله درباره نام</w:t>
      </w:r>
    </w:p>
    <w:p>
      <w:pPr>
        <w:pStyle w:val="BookText"/>
      </w:pPr>
      <w:r>
        <w:rPr>
          <w:rFonts w:ascii="IRNazanin" w:hAnsi="IRNazanin" w:eastAsia="IRNazanin" w:cs="IRNazanin"/>
          <w:lang w:bidi="fa-IR"/>
          <w:color w:val="111111"/>
          <w:sz w:val="28"/>
          <w:szCs w:val="28"/>
          <w:rtl/>
        </w:rPr>
        <w:t xml:space="preserve">تاريخ الوزرا - التاريخ و العلل ۸۰۷ کتاب می نویسد: در منابع کهن از آن به عنوان «التاريخ» یاد شده و نام «التاريخ و العلل» در اول نسخه درج شده است. همچنین در منابع و مصادر، گاهی تألیف کتاب به یحیی بن معین منسوب شده و گاهی از شاگردش عباس دوری که راوی، جامع و ترتیب دهنده کتاب است، دانسته شده است. (حافظیان) چاپ: مكة، محقق: احمد محمد نور سیف، مركز البحث العلمي واحياء التراث الاسلامی، ؛ قاهره، مطابع الهيئة المصرية العامة للكتاب، ج۱-۴، ۱۳۹۹ق. [معجم المؤلفين ۲۳۲/۱۳۲ ؛ فهرست المخطوطات المصورة ۲/ ۱۵۰؛ بروکلمان ذیل ۲۵۹/۱ ؛ سزگین ۱۰۷/۱ ؛ فهرست ظاهرية، التاریخ ۶۰۹۰۲ و ۶۲۷ و ۶۸۹]</w:t>
      </w:r>
    </w:p>
    <w:p>
      <w:pPr>
        <w:pStyle w:val="BookText"/>
      </w:pPr>
      <w:r>
        <w:rPr>
          <w:rFonts w:ascii="IRNazanin" w:hAnsi="IRNazanin" w:eastAsia="IRNazanin" w:cs="IRNazanin"/>
          <w:lang w:bidi="fa-IR"/>
          <w:color w:val="111111"/>
          <w:sz w:val="28"/>
          <w:szCs w:val="28"/>
          <w:rtl/>
        </w:rPr>
        <w:t xml:space="preserve">۱. قم؛ مرعشی؛ شماره نسخه:۱۴۲۵ عکسی</w:t>
      </w:r>
    </w:p>
    <w:p>
      <w:pPr>
        <w:pStyle w:val="BookText"/>
      </w:pPr>
      <w:r>
        <w:rPr>
          <w:rFonts w:ascii="IRNazanin" w:hAnsi="IRNazanin" w:eastAsia="IRNazanin" w:cs="IRNazanin"/>
          <w:lang w:bidi="fa-IR"/>
          <w:color w:val="111111"/>
          <w:sz w:val="28"/>
          <w:szCs w:val="28"/>
          <w:rtl/>
        </w:rPr>
        <w:t xml:space="preserve">آغاز: بسملة. و الحمد لله وحده و صلواته على محمد و آله و سلم ولا قوة الا بالله العلى العظيم، سمعت يحيى بن معين ، يقول في الرجل يصلي خلف الصف وحده قال يعيد، سمعت يحيى يقول في الرجل يصلي و هو على غير وضو و هو جنب، قال يعيد و لا يعيدون. قال يحيى في زكاة الفطر؛ انجام: سمعت يحيى بن معين عن القراءة عند القبر ... ، انه قيل لبنيه اذ أدخلوه في القبر ] . و قولوا بسم الله و على سنة رسول الله و سنوا التراب سنا و اقروا عند رأسي أول البقرة و خاتمتها، فانی رأيت ابن عمر يستحب ذاك، سمعت العباس قال: و سألت أحمد بن حنبل ما يقرأ عند القبر فقيل ما أحفظ فيه شيئا. اجزا التاريخ و الحمد لله وحده و صلى الله على محمد و آله. نسخه اصل: دار الكتب ظاهریه در دمشق، نسخه شماره: مجاميع ۱۱۲ ( فهرس مخطوطات دار الكتب الظاهرية، التاريخ و ملحقاته، يوسف العش ۲۳۲؛ فهرس مجاميع المدرسة العمرية في دار الكتب الظاهرية بدمشق ۶۰۳-۶۰۴). نیمه دوم کتاب و از جزء ششم تا یازدهم؛ خط: نسخ، كا: ضياء الدين ابو عبدالله محمد بن عبدالواحد مقدسی (متوفی ۶۴۳ ق) (گویا)، تا: با تاریخ ۶۱۰ق؛ در آخر هر یکی از اجزاء سماع همین مقدسی در مسجد جامع هرات در نزد قبر شیخ الاسلام انصاری به سال ۶۱۰ق بدین مضمون آمده: «سمع جميع هذا الجزء على الشيخ أبي روح عبد المعز بن محمد بن أبي الفضل الصوفي بسماعه، عن المضري، عن أبي سعد الاسفراینی، عن أبي الحسن الاسفراینی، عن الأصم، عن الدوری، هراة عبد الواحد المقدسی ... و ذلك في رجب سنة عشر و ستمئة، بجامع هراة عند قبر شیخ الاسلام الأنصاري و لله الحمد والمنة ..»، با بلاغ قرائت بدین مضمون: «بلغت قراءة من البلاغ بخطى في هذا الجزء الى آخره، على والدي أبي عبدالله محمد بن عبدالرحيم بن عبدالواحد بن أحمد المقدسی، باجازته من عبد المعز الهروی ... فسمع ابنتي امة الرحيم ...... و ابنا خالی أحمد و عبدالرحمن، ابنا محمد بن احمد ... و صح ذلك يوم الاثنين تاسع عشر جمادی الآخرة سنة خمس و ثمانین و تسعمئة، كتبه أحمد بن عبد الرحيم - عفی الله عنه -)، در ابتدای هر جزء شماره جزء و اسامی راویان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bookmarkStart w:id="609" w:name="pg20363_209935"/>
    <w:bookmarkEnd w:id="609"/>
    <w:p>
      <w:pPr>
        <w:pStyle w:val="BookText"/>
      </w:pPr>
      <w:r>
        <w:rPr>
          <w:rFonts w:ascii="IRNazanin" w:hAnsi="IRNazanin" w:eastAsia="IRNazanin" w:cs="IRNazanin"/>
          <w:lang w:bidi="fa-IR"/>
          <w:color w:val="111111"/>
          <w:sz w:val="28"/>
          <w:szCs w:val="28"/>
          <w:rtl/>
        </w:rPr>
        <w:t xml:space="preserve">بدین سبک: «الجزء ... من التاريخ عن أبی زکریا یحیی بن معین - رحمة الله عليه -رواية أبي الفضل العباس بن محمد بن حاتم الدوری عنه، رواية العباس محمد بن يعقوب بن يوسف الأصم عنه، رواية</w:t>
      </w:r>
    </w:p>
    <w:p>
      <w:pPr>
        <w:pStyle w:val="BookText"/>
      </w:pPr>
      <w:r>
        <w:rPr>
          <w:rFonts w:ascii="IRNazanin" w:hAnsi="IRNazanin" w:eastAsia="IRNazanin" w:cs="IRNazanin"/>
          <w:lang w:bidi="fa-IR"/>
          <w:color w:val="111111"/>
          <w:sz w:val="28"/>
          <w:szCs w:val="28"/>
          <w:rtl/>
        </w:rPr>
        <w:t xml:space="preserve">أبي الحسن علی بن محمد بن على بن الحسين بن شاذان عنه، رواية أبی سعید حکیم بن أحمد بن محمد بن اسماعيل السفراینی عنه، رواية أبي الفتح محمد بن على المضري عنه، رواية أبي روح عبد المعزبن محمد بن أبي الفضل الصوفي عنه)؛ مصحح: ۱۸۸ص، ۲۵</w:t>
      </w:r>
    </w:p>
    <w:p>
      <w:pPr>
        <w:pStyle w:val="BookText"/>
      </w:pPr>
      <w:r>
        <w:rPr>
          <w:rFonts w:ascii="IRNazanin" w:hAnsi="IRNazanin" w:eastAsia="IRNazanin" w:cs="IRNazanin"/>
          <w:lang w:bidi="fa-IR"/>
          <w:color w:val="111111"/>
          <w:sz w:val="28"/>
          <w:szCs w:val="28"/>
          <w:rtl/>
        </w:rPr>
        <w:t xml:space="preserve">سطر [عکسی ف: ۴-۲۴۳]</w:t>
      </w:r>
    </w:p>
    <w:p>
      <w:pPr>
        <w:pStyle w:val="BookText"/>
      </w:pPr>
      <w:r>
        <w:rPr>
          <w:rFonts w:ascii="IRNazanin" w:hAnsi="IRNazanin" w:eastAsia="IRNazanin" w:cs="IRNazanin"/>
          <w:lang w:bidi="fa-IR"/>
          <w:color w:val="111111"/>
          <w:sz w:val="28"/>
          <w:szCs w:val="28"/>
          <w:rtl/>
        </w:rPr>
        <w:t xml:space="preserve">۲. تهران: دانشگاه؛ شماره نسخه:۴۵۲۴-ف</w:t>
      </w:r>
    </w:p>
    <w:p>
      <w:pPr>
        <w:pStyle w:val="BookText"/>
      </w:pPr>
      <w:r>
        <w:rPr>
          <w:rFonts w:ascii="IRNazanin" w:hAnsi="IRNazanin" w:eastAsia="IRNazanin" w:cs="IRNazanin"/>
          <w:lang w:bidi="fa-IR"/>
          <w:color w:val="111111"/>
          <w:sz w:val="28"/>
          <w:szCs w:val="28"/>
          <w:rtl/>
        </w:rPr>
        <w:t xml:space="preserve">نسخه اصل:ظاهریه ش ۳۸۴۸ (۱-۱۶۶) و ش ۱۲۱۴؛ بی کا، بی تا؛ ۲۶۴گ [فيلمها ف: ۳-۶۸]</w:t>
      </w:r>
    </w:p>
    <w:p>
      <w:pPr>
        <w:pStyle w:val="Heading3"/>
      </w:pPr>
      <w:bookmarkStart w:id="2755" w:name="_Toc2015"/>
      <w:r>
        <w:t>•تاریخ وفات / تاریخ / عربی</w:t>
      </w:r>
      <w:bookmarkEnd w:id="2755"/>
    </w:p>
    <w:p>
      <w:pPr>
        <w:pStyle w:val="BookText"/>
      </w:pPr>
      <w:r>
        <w:rPr>
          <w:rFonts w:ascii="Times New Roman" w:hAnsi="Times New Roman" w:eastAsia="Times New Roman" w:cs="Times New Roman"/>
          <w:lang w:val="en-US" w:bidi="en-US"/>
          <w:color w:val="111111"/>
          <w:sz w:val="28"/>
          <w:szCs w:val="28"/>
          <w:rtl/>
        </w:rPr>
        <w:t xml:space="preserve">tārīx-e vafāt</w:t>
      </w:r>
    </w:p>
    <w:p>
      <w:pPr>
        <w:pStyle w:val="BookText"/>
      </w:pPr>
      <w:r>
        <w:rPr>
          <w:rFonts w:ascii="IRNazanin" w:hAnsi="IRNazanin" w:eastAsia="IRNazanin" w:cs="IRNazanin"/>
          <w:lang w:bidi="fa-IR"/>
          <w:color w:val="111111"/>
          <w:sz w:val="28"/>
          <w:szCs w:val="28"/>
          <w:rtl/>
        </w:rPr>
        <w:t xml:space="preserve">تاریخ وفات محمد بن على بن حسن بن محمد بن صالح لویزانی جباعی و پدر و مادر او و تاریخ عبد الصمد بن محمد بن علی بن حسن جباعی</w:t>
      </w:r>
    </w:p>
    <w:p>
      <w:pPr>
        <w:pStyle w:val="BookText"/>
      </w:pPr>
      <w:r>
        <w:rPr>
          <w:rFonts w:ascii="IRNazanin" w:hAnsi="IRNazanin" w:eastAsia="IRNazanin" w:cs="IRNazanin"/>
          <w:lang w:bidi="fa-IR"/>
          <w:color w:val="111111"/>
          <w:sz w:val="28"/>
          <w:szCs w:val="28"/>
          <w:rtl/>
        </w:rPr>
        <w:t xml:space="preserve">تهران؛ ملک؛ شماره نسخه: ۶۰۴/۱۲</w:t>
      </w:r>
    </w:p>
    <w:p>
      <w:pPr>
        <w:pStyle w:val="BookText"/>
      </w:pPr>
      <w:r>
        <w:rPr>
          <w:rFonts w:ascii="IRNazanin" w:hAnsi="IRNazanin" w:eastAsia="IRNazanin" w:cs="IRNazanin"/>
          <w:lang w:bidi="fa-IR"/>
          <w:color w:val="111111"/>
          <w:sz w:val="28"/>
          <w:szCs w:val="28"/>
          <w:rtl/>
        </w:rPr>
        <w:t xml:space="preserve">بی کا، تا: قرن ۱۹ اص (۳۶) [ف: ۵-۱۰۶]</w:t>
      </w:r>
    </w:p>
    <w:p>
      <w:pPr>
        <w:pStyle w:val="Heading3"/>
      </w:pPr>
      <w:bookmarkStart w:id="2756" w:name="_Toc2016"/>
      <w:r>
        <w:t>•تاریخ وفات / تاریخ / عربی و فارسی</w:t>
      </w:r>
      <w:bookmarkEnd w:id="2756"/>
    </w:p>
    <w:p>
      <w:pPr>
        <w:pStyle w:val="BookText"/>
      </w:pPr>
      <w:r>
        <w:rPr>
          <w:rFonts w:ascii="Times New Roman" w:hAnsi="Times New Roman" w:eastAsia="Times New Roman" w:cs="Times New Roman"/>
          <w:lang w:val="en-US" w:bidi="en-US"/>
          <w:color w:val="111111"/>
          <w:sz w:val="28"/>
          <w:szCs w:val="28"/>
          <w:rtl/>
        </w:rPr>
        <w:t xml:space="preserve">tārīx-e vafāt</w:t>
      </w:r>
    </w:p>
    <w:p>
      <w:pPr>
        <w:pStyle w:val="BookText"/>
      </w:pPr>
      <w:r>
        <w:rPr>
          <w:rFonts w:ascii="IRNazanin" w:hAnsi="IRNazanin" w:eastAsia="IRNazanin" w:cs="IRNazanin"/>
          <w:lang w:bidi="fa-IR"/>
          <w:color w:val="111111"/>
          <w:sz w:val="28"/>
          <w:szCs w:val="28"/>
          <w:rtl/>
        </w:rPr>
        <w:t xml:space="preserve">ظاهرا غیر همانند: ۱. تهران؛ ملک؛ شماره نسخه: ۶۰۴/۱۹</w:t>
      </w:r>
    </w:p>
    <w:p>
      <w:pPr>
        <w:pStyle w:val="BookText"/>
      </w:pPr>
      <w:r>
        <w:rPr>
          <w:rFonts w:ascii="IRNazanin" w:hAnsi="IRNazanin" w:eastAsia="IRNazanin" w:cs="IRNazanin"/>
          <w:lang w:bidi="fa-IR"/>
          <w:color w:val="111111"/>
          <w:sz w:val="28"/>
          <w:szCs w:val="28"/>
          <w:rtl/>
        </w:rPr>
        <w:t xml:space="preserve">منقول از خط شهيد اول. تاریخ وفات يعقوب بن اسحق بن سکیت، محمد بن سالم حجمی بصری مولاي قدامة بن مظعون، و ابی بکر محمد بن درید زدی، و ابوعاشم جبائی، و محمد بن ادریس شافعي، و ابونواس و ابو تمام و ابوالعلاء معری و محمد حسن مولی ابن سنان و ابن سراج نحوی و خلیل بن احمد و ابوالفتح على بن جنی و ابوالحسن ربعی بی کا، تا: قرن ۹[ف: ۵-۱۰۷]</w:t>
      </w:r>
    </w:p>
    <w:p>
      <w:pPr>
        <w:pStyle w:val="BookText"/>
      </w:pPr>
      <w:r>
        <w:rPr>
          <w:rFonts w:ascii="IRNazanin" w:hAnsi="IRNazanin" w:eastAsia="IRNazanin" w:cs="IRNazanin"/>
          <w:lang w:bidi="fa-IR"/>
          <w:color w:val="111111"/>
          <w:sz w:val="28"/>
          <w:szCs w:val="28"/>
          <w:rtl/>
        </w:rPr>
        <w:t xml:space="preserve">۲. تهران؛ ملک؛ شماره نسخه: ۶۰۴/۳۸</w:t>
      </w:r>
    </w:p>
    <w:p>
      <w:pPr>
        <w:pStyle w:val="BookText"/>
      </w:pPr>
      <w:r>
        <w:rPr>
          <w:rFonts w:ascii="IRNazanin" w:hAnsi="IRNazanin" w:eastAsia="IRNazanin" w:cs="IRNazanin"/>
          <w:lang w:bidi="fa-IR"/>
          <w:color w:val="111111"/>
          <w:sz w:val="28"/>
          <w:szCs w:val="28"/>
          <w:rtl/>
        </w:rPr>
        <w:t xml:space="preserve">تاریخ وفات رضی الدین عمید و مؤيد الدين علقمی؛ خط: نسخ، کا: شمس الدین محمد بن علی بن حسن جباعی، تا: قرن ۹؛ اص (۲۱۴) [ف: ۵-۱۰۸]</w:t>
      </w:r>
    </w:p>
    <w:p>
      <w:pPr>
        <w:pStyle w:val="BookText"/>
      </w:pPr>
      <w:r>
        <w:rPr>
          <w:rFonts w:ascii="IRNazanin" w:hAnsi="IRNazanin" w:eastAsia="IRNazanin" w:cs="IRNazanin"/>
          <w:lang w:bidi="fa-IR"/>
          <w:color w:val="111111"/>
          <w:sz w:val="28"/>
          <w:szCs w:val="28"/>
          <w:rtl/>
        </w:rPr>
        <w:t xml:space="preserve">٣. تهران؛ ملک؛ شماره نسخه: ۲۸۴۲/۸۳</w:t>
      </w:r>
    </w:p>
    <w:p>
      <w:pPr>
        <w:pStyle w:val="BookText"/>
      </w:pPr>
      <w:r>
        <w:rPr>
          <w:rFonts w:ascii="IRNazanin" w:hAnsi="IRNazanin" w:eastAsia="IRNazanin" w:cs="IRNazanin"/>
          <w:lang w:bidi="fa-IR"/>
          <w:color w:val="111111"/>
          <w:sz w:val="28"/>
          <w:szCs w:val="28"/>
          <w:rtl/>
        </w:rPr>
        <w:t xml:space="preserve">تاریخ وفات گروهی از علماء شیعه؛ خط: نسخ، كا: ابوالقاسم وفاء تا: قرن ۱۳؛ در هامش [ف: ۱۳۶۶]</w:t>
      </w:r>
    </w:p>
    <w:p>
      <w:pPr>
        <w:pStyle w:val="BookText"/>
      </w:pPr>
      <w:r>
        <w:rPr>
          <w:rFonts w:ascii="IRNazanin" w:hAnsi="IRNazanin" w:eastAsia="IRNazanin" w:cs="IRNazanin"/>
          <w:lang w:bidi="fa-IR"/>
          <w:color w:val="111111"/>
          <w:sz w:val="28"/>
          <w:szCs w:val="28"/>
          <w:rtl/>
        </w:rPr>
        <w:t xml:space="preserve">۴. تهران؛ ملک؛ شماره نسخه: ۲۸۸۱/۱۹</w:t>
      </w:r>
    </w:p>
    <w:p>
      <w:pPr>
        <w:pStyle w:val="BookText"/>
      </w:pPr>
      <w:r>
        <w:rPr>
          <w:rFonts w:ascii="IRNazanin" w:hAnsi="IRNazanin" w:eastAsia="IRNazanin" w:cs="IRNazanin"/>
          <w:lang w:bidi="fa-IR"/>
          <w:color w:val="111111"/>
          <w:sz w:val="28"/>
          <w:szCs w:val="28"/>
          <w:rtl/>
        </w:rPr>
        <w:t xml:space="preserve">تاریخ وفات گروهی از بزرگان و علماء؛ بی کا، تا: با تاریخ ۱۰۳۰ق [ف: ۶-۱۵۳]</w:t>
      </w:r>
    </w:p>
    <w:p>
      <w:pPr>
        <w:pStyle w:val="BookText"/>
      </w:pPr>
      <w:r>
        <w:rPr>
          <w:rFonts w:ascii="IRNazanin" w:hAnsi="IRNazanin" w:eastAsia="IRNazanin" w:cs="IRNazanin"/>
          <w:lang w:bidi="fa-IR"/>
          <w:color w:val="111111"/>
          <w:sz w:val="28"/>
          <w:szCs w:val="28"/>
          <w:rtl/>
        </w:rPr>
        <w:t xml:space="preserve">۵. تهران؛ مجلس؛ شماره نسخه: ۱۳۷۲۷/۱۴</w:t>
      </w:r>
    </w:p>
    <w:p>
      <w:pPr>
        <w:pStyle w:val="BookText"/>
      </w:pPr>
      <w:r>
        <w:rPr>
          <w:rFonts w:ascii="IRNazanin" w:hAnsi="IRNazanin" w:eastAsia="IRNazanin" w:cs="IRNazanin"/>
          <w:lang w:bidi="fa-IR"/>
          <w:color w:val="111111"/>
          <w:sz w:val="28"/>
          <w:szCs w:val="28"/>
          <w:rtl/>
        </w:rPr>
        <w:t xml:space="preserve">تاریخ وفات چند تن از قدمای شیعه (کلینی، شیخ صدوق، شیخ طوسی و ...)، سالهای عمر پیامبران، اقسام نفس انسانی (اماره، لوامه، مرضیه، مطمئنه، ملهمه)، حدیث فاصله مشرق با مغرب از حضرت علی(عليه السلام) اوصاف عوج بن عنق، راویت هایی از حضرت موسی وعیسی(عليه السلام)و چند حدیث از حضرت پیامبر(صلی الله علیه وآله وسلم)و امام حسن(عليه السلام)؛ خط: نستعلیق چلیپا، کا: محمد حسن هزار جریبی، تا: ۱۲۹۸-۱۲۹۵ ق؛ جلد: تیماج سرخ، ۵گ (۲۰۷ر -۲۱۱پ) [ف: ۲۵۴-۳۷]</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مجلس؛ شماره نسخه: ۹۴۶۶/۲۷۶</w:t>
      </w:r>
    </w:p>
    <w:p>
      <w:pPr>
        <w:pStyle w:val="BookText"/>
      </w:pPr>
      <w:r>
        <w:rPr>
          <w:rFonts w:ascii="IRNazanin" w:hAnsi="IRNazanin" w:eastAsia="IRNazanin" w:cs="IRNazanin"/>
          <w:lang w:bidi="fa-IR"/>
          <w:color w:val="111111"/>
          <w:sz w:val="28"/>
          <w:szCs w:val="28"/>
          <w:rtl/>
        </w:rPr>
        <w:t xml:space="preserve">تاریخ وفات میر سلطان مراد خان حسینی مازندرانی به نقل از آخوند مولانا قائمی؛ خط: نستعلیق، بی کا، تا: قرن ۱۱؛ اص (۵۵۳ - همان) [مختصر ف: ۱۲۹]</w:t>
      </w:r>
    </w:p>
    <w:p>
      <w:pPr>
        <w:pStyle w:val="BookText"/>
      </w:pPr>
      <w:r>
        <w:rPr>
          <w:rFonts w:ascii="IRNazanin" w:hAnsi="IRNazanin" w:eastAsia="IRNazanin" w:cs="IRNazanin"/>
          <w:lang w:bidi="fa-IR"/>
          <w:color w:val="111111"/>
          <w:sz w:val="28"/>
          <w:szCs w:val="28"/>
          <w:rtl/>
        </w:rPr>
        <w:t xml:space="preserve">۷. تهران؛ مجلس؛ شماره نسخه: ۹۰۰۴/۱۰ تاریخ وفات انوری و سلطان سنجر؛ خط: نستعلیق، بی کا، تا: قرن ۱۱؛ کاغذ: نخودی آهار مهر، جلد: میشن قهوه ای ضربی با ترنج و سر ترنج، اص (۱۳۴ر)، ابعاد متن: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۲۳/۱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۱۳/۲ سم [ف: ۲۹/۲ -۶۰۰]</w:t>
      </w:r>
    </w:p>
    <w:p>
      <w:pPr>
        <w:pStyle w:val="BookText"/>
      </w:pPr>
      <w:r>
        <w:rPr>
          <w:rFonts w:ascii="IRNazanin" w:hAnsi="IRNazanin" w:eastAsia="IRNazanin" w:cs="IRNazanin"/>
          <w:lang w:bidi="fa-IR"/>
          <w:color w:val="111111"/>
          <w:sz w:val="28"/>
          <w:szCs w:val="28"/>
          <w:rtl/>
        </w:rPr>
        <w:t xml:space="preserve">۸. تهران؛ مجلس؛ شماره نسخه: ۸۸۸۵/۲۹</w:t>
      </w:r>
    </w:p>
    <w:p>
      <w:pPr>
        <w:pStyle w:val="BookText"/>
      </w:pPr>
      <w:r>
        <w:rPr>
          <w:rFonts w:ascii="IRNazanin" w:hAnsi="IRNazanin" w:eastAsia="IRNazanin" w:cs="IRNazanin"/>
          <w:lang w:bidi="fa-IR"/>
          <w:color w:val="111111"/>
          <w:sz w:val="28"/>
          <w:szCs w:val="28"/>
          <w:rtl/>
        </w:rPr>
        <w:t xml:space="preserve">تاریخ وفات سلاطین؛ خط: نستعلیق و شکسته، بی کا، تا: قرن ۱۱ و ۱۳؛ کاغذ: حنایی آهار مهره، جلد: میشن زیتونی، اگ (۳۲)، اندازه: ۲۵/۸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۱۵/۶ سم [ف: ۲۹/۱ -۲۳۳]</w:t>
      </w:r>
    </w:p>
    <w:p>
      <w:pPr>
        <w:pStyle w:val="Heading3"/>
      </w:pPr>
      <w:bookmarkStart w:id="2757" w:name="_Toc2017"/>
      <w:r>
        <w:t>•تاریخ وفات جمعی از علما و فضلا / تاریخ / فارسی</w:t>
      </w:r>
      <w:bookmarkEnd w:id="2757"/>
    </w:p>
    <w:p>
      <w:pPr>
        <w:pStyle w:val="BookText"/>
      </w:pPr>
      <w:r>
        <w:rPr>
          <w:rFonts w:ascii="Times New Roman" w:hAnsi="Times New Roman" w:eastAsia="Times New Roman" w:cs="Times New Roman"/>
          <w:lang w:val="en-US" w:bidi="en-US"/>
          <w:color w:val="111111"/>
          <w:sz w:val="28"/>
          <w:szCs w:val="28"/>
          <w:rtl/>
        </w:rPr>
        <w:t xml:space="preserve">tārīx-e vafāt-e jamʻī az ‘olamā va fozalā</w:t>
      </w:r>
    </w:p>
    <w:p>
      <w:pPr>
        <w:pStyle w:val="BookText"/>
      </w:pPr>
      <w:r>
        <w:rPr>
          <w:rFonts w:ascii="IRNazanin" w:hAnsi="IRNazanin" w:eastAsia="IRNazanin" w:cs="IRNazanin"/>
          <w:lang w:bidi="fa-IR"/>
          <w:color w:val="111111"/>
          <w:sz w:val="28"/>
          <w:szCs w:val="28"/>
          <w:rtl/>
        </w:rPr>
        <w:t xml:space="preserve">ذوالقدر، خلیل، ق ۱۱ قمری</w:t>
      </w:r>
    </w:p>
    <w:p>
      <w:pPr>
        <w:pStyle w:val="BookText"/>
      </w:pPr>
      <w:r>
        <w:rPr>
          <w:rFonts w:ascii="Times New Roman" w:hAnsi="Times New Roman" w:eastAsia="Times New Roman" w:cs="Times New Roman"/>
          <w:lang w:val="en-US" w:bidi="en-US"/>
          <w:color w:val="111111"/>
          <w:sz w:val="28"/>
          <w:szCs w:val="28"/>
          <w:rtl/>
        </w:rPr>
        <w:t xml:space="preserve">Z0-1-qadr, xalil (-17c)</w:t>
      </w:r>
    </w:p>
    <w:p>
      <w:pPr>
        <w:pStyle w:val="BookText"/>
      </w:pPr>
      <w:r>
        <w:rPr>
          <w:rFonts w:ascii="IRNazanin" w:hAnsi="IRNazanin" w:eastAsia="IRNazanin" w:cs="IRNazanin"/>
          <w:lang w:bidi="fa-IR"/>
          <w:color w:val="111111"/>
          <w:sz w:val="28"/>
          <w:szCs w:val="28"/>
          <w:rtl/>
        </w:rPr>
        <w:t xml:space="preserve">تهران؛ مجلس؛ شماره نسخه: ۸۹۴۸/۲۱</w:t>
      </w:r>
    </w:p>
    <w:p>
      <w:pPr>
        <w:pStyle w:val="BookText"/>
      </w:pPr>
      <w:r>
        <w:rPr>
          <w:rFonts w:ascii="IRNazanin" w:hAnsi="IRNazanin" w:eastAsia="IRNazanin" w:cs="IRNazanin"/>
          <w:lang w:bidi="fa-IR"/>
          <w:color w:val="111111"/>
          <w:sz w:val="28"/>
          <w:szCs w:val="28"/>
          <w:rtl/>
        </w:rPr>
        <w:t xml:space="preserve">خط: نستعلیق شکسته، کاتب = مؤلف، تا: ۱۰۵۴ق، جا: احمد آباد گجرات؛ کاغذ: الوان آهار مهره، جلد: تیماج قهوه ای با ترنج و سرترنج، 1گ (۲۵۷ر)، ابعاد متن: 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۲۳/۵</w:t>
      </w:r>
    </w:p>
    <w:p>
      <w:pPr>
        <w:pStyle w:val="BookText"/>
      </w:pPr>
      <w:r>
        <w:rPr>
          <w:rFonts w:ascii="IRNazanin" w:hAnsi="IRNazanin" w:eastAsia="IRNazanin" w:cs="IRNazanin"/>
          <w:lang w:bidi="fa-IR"/>
          <w:color w:val="111111"/>
          <w:sz w:val="28"/>
          <w:szCs w:val="28"/>
          <w:rtl/>
        </w:rPr>
        <w:t xml:space="preserve">، اندازه: ۲۶/۴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۱۴/۴ سم [ف: ۲۹/۱-۴۴۱]</w:t>
      </w:r>
    </w:p>
    <w:p>
      <w:pPr>
        <w:pStyle w:val="Heading3"/>
      </w:pPr>
      <w:bookmarkStart w:id="2758" w:name="_Toc2018"/>
      <w:r>
        <w:t>•تاریخ وقایع بابری / تاریخ / ترکی، فارسی</w:t>
      </w:r>
      <w:bookmarkEnd w:id="2758"/>
    </w:p>
    <w:p>
      <w:pPr>
        <w:pStyle w:val="BookText"/>
      </w:pPr>
      <w:r>
        <w:rPr>
          <w:rFonts w:ascii="Times New Roman" w:hAnsi="Times New Roman" w:eastAsia="Times New Roman" w:cs="Times New Roman"/>
          <w:lang w:val="en-US" w:bidi="en-US"/>
          <w:color w:val="111111"/>
          <w:sz w:val="28"/>
          <w:szCs w:val="28"/>
          <w:rtl/>
        </w:rPr>
        <w:t xml:space="preserve">tarix-e vaqaye-e baberi</w:t>
      </w:r>
    </w:p>
    <w:p>
      <w:pPr>
        <w:pStyle w:val="BookText"/>
      </w:pPr>
      <w:r>
        <w:rPr>
          <w:rFonts w:ascii="IRNazanin" w:hAnsi="IRNazanin" w:eastAsia="IRNazanin" w:cs="IRNazanin"/>
          <w:lang w:bidi="fa-IR"/>
          <w:color w:val="111111"/>
          <w:sz w:val="28"/>
          <w:szCs w:val="28"/>
          <w:rtl/>
        </w:rPr>
        <w:t xml:space="preserve">ظهير الدین، محمد بن عمر، ۸۸۸-۹۳۷ قمری</w:t>
      </w:r>
    </w:p>
    <w:p>
      <w:pPr>
        <w:pStyle w:val="BookText"/>
      </w:pPr>
      <w:r>
        <w:rPr>
          <w:rFonts w:ascii="Times New Roman" w:hAnsi="Times New Roman" w:eastAsia="Times New Roman" w:cs="Times New Roman"/>
          <w:lang w:val="en-US" w:bidi="en-US"/>
          <w:color w:val="111111"/>
          <w:sz w:val="28"/>
          <w:szCs w:val="28"/>
          <w:rtl/>
        </w:rPr>
        <w:t xml:space="preserve">zahīr-od-dīn, mohammad ebn-e ‘omar (1484-1531)</w:t>
      </w:r>
    </w:p>
    <w:p>
      <w:pPr>
        <w:pStyle w:val="BookText"/>
      </w:pPr>
      <w:r>
        <w:rPr>
          <w:rFonts w:ascii="IRNazanin" w:hAnsi="IRNazanin" w:eastAsia="IRNazanin" w:cs="IRNazanin"/>
          <w:lang w:bidi="fa-IR"/>
          <w:color w:val="111111"/>
          <w:sz w:val="28"/>
          <w:szCs w:val="28"/>
          <w:rtl/>
        </w:rPr>
        <w:t xml:space="preserve">مجموعه ای است از تقریرات و یادداشت های بابر شاه که حاوی مطالب تاریخی، علمی و ادبی است با شرح و توصیف وقایع و حوادث دوران زندگی وی از ابتدای سلطنت تا هنگام مرگ به لغت ترکی جغتایی که سطر به سطر ترجمه فارسی تحت اللفظی دارد؛ شامل پنج «بخش»: ۱. دارای اشعاری به زبان ترکی در توحید پروردگار یکتا و در نعت و مناقب حضرت رسول اکرم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bookmarkStart w:id="610" w:name="pg20363_209936"/>
    <w:bookmarkEnd w:id="610"/>
    <w:p>
      <w:pPr>
        <w:pStyle w:val="BookText"/>
      </w:pPr>
      <w:r>
        <w:rPr>
          <w:rFonts w:ascii="IRNazanin" w:hAnsi="IRNazanin" w:eastAsia="IRNazanin" w:cs="IRNazanin"/>
          <w:lang w:bidi="fa-IR"/>
          <w:color w:val="111111"/>
          <w:sz w:val="28"/>
          <w:szCs w:val="28"/>
          <w:rtl/>
        </w:rPr>
        <w:t xml:space="preserve">(صلی الله علیه وآله وسلم)و ذکر واجبات و فروعات دین مبین اسلام با زیرنویس ترجمه تحت اللفظی زبان فارسی؛ ۲. دارای یک «مقدمه کوتاه منثور، اوزان و بحور شعری به نظم آمده؛ 3. شرح و توصیف اجزای مدار و اوزان شعری به نثر؛ ۴. شرح وقایع زندگی بابر شاه؛ ۵. چند قصیده در شکر و سپاس از خداوند متعال، در مناقب حضرت رسول اکرم(صلی الله علیه وآله وسلم)، و یک رساله از احکام واجبات شرعی. بابر شاه از اولاد تیمور بوده است که در سال ۸۸۸ هجری قمری در فرغانه ترکستان متولد شده و در سال ۹۱۰ هجری قمری به افغانستان رفته و تا سال ۹۳۱ در آنجا فرمانروایی داشته و سپس در سال ۹۳۲ هجری قسمتی از هندوستان را فتح کرده و مؤسس سلسله بابری گورکانی تیموری گشته و تا سال ۹۳۷ هجری که حیات داشت پادشاه هندوستان بوده است و بعد از او ۱۷ نفر از اولادان و نوادگان وی تا سال ۱۲۷۵ هجری قمری در هندوستان سلطنت می کردند. به طور کلی خاندان سلسله بابری تیموری در هر سرزمینی که حکمروائی داشتند به ادب و فرهنگ زبان فارسی علاقه داشته و در ترویج و توسعه زبان و هنر فارسی کوشا بوده اند و آثار بی شماری در زمینه های هنر و ادب اصیل فارسی از آنان بیادگار مانده است.</w:t>
      </w:r>
    </w:p>
    <w:p>
      <w:pPr>
        <w:pStyle w:val="BookText"/>
      </w:pPr>
      <w:r>
        <w:rPr>
          <w:rFonts w:ascii="IRNazanin" w:hAnsi="IRNazanin" w:eastAsia="IRNazanin" w:cs="IRNazanin"/>
          <w:lang w:bidi="fa-IR"/>
          <w:color w:val="111111"/>
          <w:sz w:val="28"/>
          <w:szCs w:val="28"/>
          <w:rtl/>
        </w:rPr>
        <w:t xml:space="preserve">[بدری آتابای دنا ۷۵۱/۲ ]</w:t>
      </w:r>
    </w:p>
    <w:p>
      <w:pPr>
        <w:pStyle w:val="BookText"/>
      </w:pPr>
      <w:r>
        <w:rPr>
          <w:rFonts w:ascii="IRNazanin" w:hAnsi="IRNazanin" w:eastAsia="IRNazanin" w:cs="IRNazanin"/>
          <w:lang w:bidi="fa-IR"/>
          <w:color w:val="111111"/>
          <w:sz w:val="28"/>
          <w:szCs w:val="28"/>
          <w:rtl/>
        </w:rPr>
        <w:t xml:space="preserve">تهران؛ سلطنتی؛ شماره نسخه:۲۲۴۹</w:t>
      </w:r>
    </w:p>
    <w:p>
      <w:pPr>
        <w:pStyle w:val="BookText"/>
      </w:pPr>
      <w:r>
        <w:rPr>
          <w:rFonts w:ascii="IRNazanin" w:hAnsi="IRNazanin" w:eastAsia="IRNazanin" w:cs="IRNazanin"/>
          <w:lang w:bidi="fa-IR"/>
          <w:color w:val="111111"/>
          <w:sz w:val="28"/>
          <w:szCs w:val="28"/>
          <w:rtl/>
        </w:rPr>
        <w:t xml:space="preserve">آغاز: بسمله</w:t>
      </w:r>
    </w:p>
    <w:p>
      <w:pPr>
        <w:pStyle w:val="BookText"/>
      </w:pPr>
      <w:r>
        <w:rPr>
          <w:rFonts w:ascii="IRNazanin" w:hAnsi="IRNazanin" w:eastAsia="IRNazanin" w:cs="IRNazanin"/>
          <w:lang w:bidi="fa-IR"/>
          <w:color w:val="111111"/>
          <w:sz w:val="28"/>
          <w:szCs w:val="28"/>
          <w:rtl/>
        </w:rPr>
        <w:t xml:space="preserve">حق قه حمد و ثنا ادا قیلدیم *** حق تعالی بیرله ابتدا قیلدیم / خدا را حمد و ثنا ادا کردم به نام خدا را همراه آوردم؛ انجام: اختتامی عه سیسی بو کلام *** عامل ایل کا اوزینی معمول ایت / باختتامش رسید این کلام *** بمردم عامل خودش را معمول کن. ئیل تو قوز یوز ایدی و او تورمش -سال نهصد و سی و پنج خط: نستعلیق، بی کا، تا: با تاریخ ۱۰۲۲ق؛ مجدول زرین، در حواشی بعضی از صفحات معانی لغات مشكله متن را به زبان ترکی نوشته اند، یادداشتی است به تاریخ ۲۷ شهر ربيع الاول سال ۱۰۲۲، نسخه در نهم شهر شوال سال ۱۲۴۸ در تبریز ابتیاع شده و داخل کتابخانه (دارائی) شده و سپس در سال ۱۲۷۷ هجری قمری به توسط محسن میرزا میرآخور پیشکش حضور ناصرالدین شاه قاجار گشته؛ مهر: «عالمگیر شاه» نشان کتابخانه سلاطین تیموری هند؛ کاغذ: سمرقندی، جلد: مقوای روکش چرم سرمه ای، ۱۰۳۶ص، ۱۸ سطر (۹- سطر کتابت ترکی و ۹ سطر ترجمه به فارسی دار)، اندازه: ۴۱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۵- ۴۶۰]</w:t>
      </w:r>
    </w:p>
    <w:p>
      <w:pPr>
        <w:pStyle w:val="BookText"/>
      </w:pPr>
      <w:r>
        <w:rPr>
          <w:rFonts w:ascii="IRNazanin" w:hAnsi="IRNazanin" w:eastAsia="IRNazanin" w:cs="IRNazanin"/>
          <w:lang w:bidi="fa-IR"/>
          <w:color w:val="111111"/>
          <w:sz w:val="28"/>
          <w:szCs w:val="28"/>
          <w:rtl/>
        </w:rPr>
        <w:t xml:space="preserve">تهران؛ دانشگاه؛ شماره نسخه:۶۰۱۳ تا ۶۰۱۷-عکس</w:t>
      </w:r>
    </w:p>
    <w:p>
      <w:pPr>
        <w:pStyle w:val="BookText"/>
      </w:pPr>
      <w:r>
        <w:rPr>
          <w:rFonts w:ascii="Amiri" w:hAnsi="Amiri" w:eastAsia="Amiri" w:cs="Amiri"/>
          <w:lang w:bidi="ar-SA"/>
          <w:color w:val="111111"/>
          <w:sz w:val="28"/>
          <w:szCs w:val="28"/>
          <w:rtl/>
        </w:rPr>
        <w:t xml:space="preserve">همان نسخه بالا [فيلمها ف: ۳-۲۳۷]</w:t>
      </w:r>
    </w:p>
    <w:p>
      <w:pPr>
        <w:pStyle w:val="BookText"/>
      </w:pPr>
      <w:r>
        <w:rPr>
          <w:rFonts w:ascii="IRNazanin" w:hAnsi="IRNazanin" w:eastAsia="IRNazanin" w:cs="IRNazanin"/>
          <w:lang w:bidi="fa-IR"/>
          <w:color w:val="111111"/>
          <w:sz w:val="28"/>
          <w:szCs w:val="28"/>
          <w:rtl/>
        </w:rPr>
        <w:t xml:space="preserve">به تاریخ وقایع و سوانح افغانستان به تاریخ افغانستان</w:t>
      </w:r>
    </w:p>
    <w:p>
      <w:pPr>
        <w:pStyle w:val="Heading3"/>
      </w:pPr>
      <w:bookmarkStart w:id="2759" w:name="_Toc2019"/>
      <w:r>
        <w:t>•تاریخ ولادت ابراهیم / تاریخ / عربی</w:t>
      </w:r>
      <w:bookmarkEnd w:id="2759"/>
    </w:p>
    <w:p>
      <w:pPr>
        <w:pStyle w:val="BookText"/>
      </w:pPr>
      <w:r>
        <w:rPr>
          <w:rFonts w:ascii="Times New Roman" w:hAnsi="Times New Roman" w:eastAsia="Times New Roman" w:cs="Times New Roman"/>
          <w:lang w:val="en-US" w:bidi="en-US"/>
          <w:color w:val="111111"/>
          <w:sz w:val="28"/>
          <w:szCs w:val="28"/>
          <w:rtl/>
        </w:rPr>
        <w:t xml:space="preserve">tārīx-e velādat-e ebrāhīm</w:t>
      </w:r>
    </w:p>
    <w:p>
      <w:pPr>
        <w:pStyle w:val="BookText"/>
      </w:pPr>
      <w:r>
        <w:rPr>
          <w:rFonts w:ascii="IRNazanin" w:hAnsi="IRNazanin" w:eastAsia="IRNazanin" w:cs="IRNazanin"/>
          <w:lang w:bidi="fa-IR"/>
          <w:color w:val="111111"/>
          <w:sz w:val="28"/>
          <w:szCs w:val="28"/>
          <w:rtl/>
        </w:rPr>
        <w:t xml:space="preserve">تهران؛ دانشگاه؛ شماره نسخه: ۱۹۵/۸۴ -ف</w:t>
      </w:r>
    </w:p>
    <w:p>
      <w:pPr>
        <w:pStyle w:val="BookText"/>
      </w:pPr>
      <w:r>
        <w:rPr>
          <w:rFonts w:ascii="IRNazanin" w:hAnsi="IRNazanin" w:eastAsia="IRNazanin" w:cs="IRNazanin"/>
          <w:lang w:bidi="fa-IR"/>
          <w:color w:val="111111"/>
          <w:sz w:val="28"/>
          <w:szCs w:val="28"/>
          <w:rtl/>
        </w:rPr>
        <w:t xml:space="preserve">نسخه اصل: حمديه ش ۱۴۴۷؛ بی کا، تا: با تاریخ ۷۵۰ق؛ درهامش</w:t>
      </w:r>
    </w:p>
    <w:p>
      <w:pPr>
        <w:pStyle w:val="BookText"/>
      </w:pPr>
      <w:r>
        <w:rPr>
          <w:rFonts w:ascii="Amiri" w:hAnsi="Amiri" w:eastAsia="Amiri" w:cs="Amiri"/>
          <w:lang w:bidi="ar-SA"/>
          <w:color w:val="111111"/>
          <w:sz w:val="28"/>
          <w:szCs w:val="28"/>
          <w:rtl/>
        </w:rPr>
        <w:t xml:space="preserve">[فيلمها ف: ۱-۴۲۷]</w:t>
      </w:r>
    </w:p>
    <w:p>
      <w:pPr>
        <w:pStyle w:val="Heading3"/>
      </w:pPr>
      <w:bookmarkStart w:id="2760" w:name="_Toc2020"/>
      <w:r>
        <w:t>•تاریخ ولادت اکبرشاه / تاریخ / فارسی</w:t>
      </w:r>
      <w:bookmarkEnd w:id="2760"/>
    </w:p>
    <w:p>
      <w:pPr>
        <w:pStyle w:val="BookText"/>
      </w:pPr>
      <w:r>
        <w:rPr>
          <w:rFonts w:ascii="Times New Roman" w:hAnsi="Times New Roman" w:eastAsia="Times New Roman" w:cs="Times New Roman"/>
          <w:lang w:val="en-US" w:bidi="en-US"/>
          <w:color w:val="111111"/>
          <w:sz w:val="28"/>
          <w:szCs w:val="28"/>
          <w:rtl/>
        </w:rPr>
        <w:t xml:space="preserve">tārīx-e velādat-e akbar-šāh</w:t>
      </w:r>
    </w:p>
    <w:p>
      <w:pPr>
        <w:pStyle w:val="BookText"/>
      </w:pPr>
      <w:r>
        <w:rPr>
          <w:rFonts w:ascii="IRNazanin" w:hAnsi="IRNazanin" w:eastAsia="IRNazanin" w:cs="IRNazanin"/>
          <w:lang w:bidi="fa-IR"/>
          <w:color w:val="111111"/>
          <w:sz w:val="28"/>
          <w:szCs w:val="28"/>
          <w:rtl/>
        </w:rPr>
        <w:t xml:space="preserve">تهران؛ مجلس؛ شماره نسخه: ۱۱۱۶/۱۲</w:t>
      </w:r>
    </w:p>
    <w:p>
      <w:pPr>
        <w:pStyle w:val="BookText"/>
      </w:pPr>
      <w:r>
        <w:rPr>
          <w:rFonts w:ascii="IRNazanin" w:hAnsi="IRNazanin" w:eastAsia="IRNazanin" w:cs="IRNazanin"/>
          <w:lang w:bidi="fa-IR"/>
          <w:color w:val="111111"/>
          <w:sz w:val="28"/>
          <w:szCs w:val="28"/>
          <w:rtl/>
        </w:rPr>
        <w:t xml:space="preserve">خط: نستعلیق، بی کا، تا: قرن ۱۰؛ مجدول؛ کاغذ: سفید، جلد: تیماج مشکی ضربی و مقوایی، ۵ص (۵۷۶-۵۸۰)، ابعاد متن: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[سنا: ف: ۲-۱۲۲]</w:t>
      </w:r>
    </w:p>
    <w:p>
      <w:pPr>
        <w:pStyle w:val="Heading3"/>
      </w:pPr>
      <w:bookmarkStart w:id="2761" w:name="_Toc2021"/>
      <w:r>
        <w:t>•تاریخ ولادت پیامبر و امامان / تاریخ معصومین / عربی</w:t>
      </w:r>
      <w:bookmarkEnd w:id="2761"/>
    </w:p>
    <w:p>
      <w:pPr>
        <w:pStyle w:val="BookText"/>
      </w:pPr>
      <w:r>
        <w:rPr>
          <w:rFonts w:ascii="Times New Roman" w:hAnsi="Times New Roman" w:eastAsia="Times New Roman" w:cs="Times New Roman"/>
          <w:lang w:val="en-US" w:bidi="en-US"/>
          <w:color w:val="111111"/>
          <w:sz w:val="28"/>
          <w:szCs w:val="28"/>
          <w:rtl/>
        </w:rPr>
        <w:t xml:space="preserve">tārīx-e velādat-e payāmbar va emāmān</w:t>
      </w:r>
    </w:p>
    <w:p>
      <w:pPr>
        <w:pStyle w:val="BookText"/>
      </w:pPr>
      <w:r>
        <w:rPr>
          <w:rFonts w:ascii="IRNazanin" w:hAnsi="IRNazanin" w:eastAsia="IRNazanin" w:cs="IRNazanin"/>
          <w:lang w:bidi="fa-IR"/>
          <w:color w:val="111111"/>
          <w:sz w:val="28"/>
          <w:szCs w:val="28"/>
          <w:rtl/>
        </w:rPr>
        <w:t xml:space="preserve">تهران؛ مجلس؛ شماره نسخه: ۴۹۰۰/۵۸</w:t>
      </w:r>
    </w:p>
    <w:p>
      <w:pPr>
        <w:pStyle w:val="BookText"/>
      </w:pPr>
      <w:r>
        <w:rPr>
          <w:rFonts w:ascii="IRNazanin" w:hAnsi="IRNazanin" w:eastAsia="IRNazanin" w:cs="IRNazanin"/>
          <w:lang w:bidi="fa-IR"/>
          <w:color w:val="111111"/>
          <w:sz w:val="28"/>
          <w:szCs w:val="28"/>
          <w:rtl/>
        </w:rPr>
        <w:t xml:space="preserve">آغاز: محمد بن عبدالله ولد بمكة يوم الجمعة السابع عشرين من شهر ربيع الأول؛ انجام: و مات رحمه الله سنة تسع وعشرين و ثمانماية فوقعت الغيبتا الكبرى خط: نسخ، بی کا، بی تا؛ کاغذ: سپاهانی، جلد: تیماج قهوه ای مغزی دار، ۳گ (۱۵۶-۱۵۸پ)، ۲۵ سطر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۱۴-۷۹]</w:t>
      </w:r>
    </w:p>
    <w:p>
      <w:pPr>
        <w:pStyle w:val="Heading3"/>
      </w:pPr>
      <w:bookmarkStart w:id="2762" w:name="_Toc2022"/>
      <w:r>
        <w:t>•تاریخ ولادت محمد میرزا / گوناگون / عربی</w:t>
      </w:r>
      <w:bookmarkEnd w:id="2762"/>
    </w:p>
    <w:p>
      <w:pPr>
        <w:pStyle w:val="BookText"/>
      </w:pPr>
      <w:r>
        <w:rPr>
          <w:rFonts w:ascii="Times New Roman" w:hAnsi="Times New Roman" w:eastAsia="Times New Roman" w:cs="Times New Roman"/>
          <w:lang w:val="en-US" w:bidi="en-US"/>
          <w:color w:val="111111"/>
          <w:sz w:val="28"/>
          <w:szCs w:val="28"/>
          <w:rtl/>
        </w:rPr>
        <w:t xml:space="preserve">tārīx-e velādat-e mohammad mīrzā</w:t>
      </w:r>
    </w:p>
    <w:p>
      <w:pPr>
        <w:pStyle w:val="BookText"/>
      </w:pPr>
      <w:r>
        <w:rPr>
          <w:rFonts w:ascii="IRNazanin" w:hAnsi="IRNazanin" w:eastAsia="IRNazanin" w:cs="IRNazanin"/>
          <w:lang w:bidi="fa-IR"/>
          <w:color w:val="111111"/>
          <w:sz w:val="28"/>
          <w:szCs w:val="28"/>
          <w:rtl/>
        </w:rPr>
        <w:t xml:space="preserve">تاریخ تأليف: ۱۰۹۱ق مؤلف سید محمد بن میرزا محمد حسینی، این تاریخچه را برای تولد فرزند خویش محمد میرزا نگاشت و از اوصافی که برای او می آورد استنباط می شود که فرزند وی در این وقت در سن کمال به سر می برده است. ماده تاریخ تولد او را (غانم مطابق ۱۰۹۱) یاد می کند و در پایان به کیفیت استخاره ای که برای ازدواج با مادر این فرزند با قرآن کرده است اشاره و آن آیات قرآن را نقل می کند.</w:t>
      </w:r>
    </w:p>
    <w:p>
      <w:pPr>
        <w:pStyle w:val="BookText"/>
      </w:pPr>
      <w:r>
        <w:rPr>
          <w:rFonts w:ascii="IRNazanin" w:hAnsi="IRNazanin" w:eastAsia="IRNazanin" w:cs="IRNazanin"/>
          <w:lang w:bidi="fa-IR"/>
          <w:color w:val="111111"/>
          <w:sz w:val="28"/>
          <w:szCs w:val="28"/>
          <w:rtl/>
        </w:rPr>
        <w:t xml:space="preserve">تهران؛ مجلس؛ شماره نسخه: ۸۷۹/۱۴ -طباطبائی</w:t>
      </w:r>
    </w:p>
    <w:p>
      <w:pPr>
        <w:pStyle w:val="BookText"/>
      </w:pPr>
      <w:r>
        <w:rPr>
          <w:rFonts w:ascii="IRNazanin" w:hAnsi="IRNazanin" w:eastAsia="IRNazanin" w:cs="IRNazanin"/>
          <w:lang w:bidi="fa-IR"/>
          <w:color w:val="111111"/>
          <w:sz w:val="28"/>
          <w:szCs w:val="28"/>
          <w:rtl/>
        </w:rPr>
        <w:t xml:space="preserve">آغاز: بسمله الحمدلله على آلائه المتتابعة المتواتره .. و الصلوة و السلام على اللطيف الحقيقي و المعروف التحقیقی محمد خاتم الأنبياء ... و بعد فان تاریخ ولادة الولد الميمون ... و الطفل المبارک المحمود العالم الفاضل و الدين التقى ... علم الهدی و ابو الشرف محمد میرزا وقاه خالقه اقسام الشرور ... و جعله خير خلف و احسن عقب تقربه العين من الثقلین و تنتظم بوجود ذاته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bookmarkStart w:id="611" w:name="pg20363_209937"/>
    <w:bookmarkEnd w:id="611"/>
    <w:p>
      <w:pPr>
        <w:pStyle w:val="BookText"/>
      </w:pPr>
      <w:r>
        <w:rPr>
          <w:rFonts w:ascii="IRNazanin" w:hAnsi="IRNazanin" w:eastAsia="IRNazanin" w:cs="IRNazanin"/>
          <w:lang w:bidi="fa-IR"/>
          <w:color w:val="111111"/>
          <w:sz w:val="28"/>
          <w:szCs w:val="28"/>
          <w:rtl/>
        </w:rPr>
        <w:t xml:space="preserve">الباقيه ما انتثر من عقد السنه النبويه و تفرق من سمط الشريعه الالهيه .. ليلة الأحد ۲۸ ربيع الآخر ... سنة تاريخ لفظها غانم ۱۰۹۱ کاتب = مؤلف، تا: ۲۸ ربیع الثانی ۱۰۹۱ق؛ کاغذ: اصفهانی رنگارنگ، جلد: تیماج عنابی دارای ترنج و نیم ترنج، اص (۳۲ر)، اندازه:</w:t>
      </w:r>
    </w:p>
    <w:p>
      <w:pPr>
        <w:pStyle w:val="BookText"/>
      </w:pPr>
      <w:r>
        <w:rPr>
          <w:rFonts w:ascii="IRNazanin" w:hAnsi="IRNazanin" w:eastAsia="IRNazanin" w:cs="IRNazanin"/>
          <w:lang w:bidi="fa-IR"/>
          <w:color w:val="111111"/>
          <w:sz w:val="28"/>
          <w:szCs w:val="28"/>
          <w:rtl/>
        </w:rPr>
        <w:t xml:space="preserve">۲۰/۲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۲۳-۱۶۹]</w:t>
      </w:r>
    </w:p>
    <w:p>
      <w:pPr>
        <w:pStyle w:val="Heading3"/>
      </w:pPr>
      <w:bookmarkStart w:id="2763" w:name="_Toc2023"/>
      <w:r>
        <w:t>•تاریخ ولادت و شهادت ائمه معصومین(عليه السلام)/ تاریخ معصومین / فارسی</w:t>
      </w:r>
      <w:bookmarkEnd w:id="2763"/>
    </w:p>
    <w:p>
      <w:pPr>
        <w:pStyle w:val="BookText"/>
      </w:pPr>
      <w:r>
        <w:rPr>
          <w:rFonts w:ascii="Times New Roman" w:hAnsi="Times New Roman" w:eastAsia="Times New Roman" w:cs="Times New Roman"/>
          <w:lang w:val="en-US" w:bidi="en-US"/>
          <w:color w:val="111111"/>
          <w:sz w:val="28"/>
          <w:szCs w:val="28"/>
          <w:rtl/>
        </w:rPr>
        <w:t xml:space="preserve">tārīx-e velādat va šahādat-e a’emme-ye mʻsūmīn</w:t>
      </w:r>
    </w:p>
    <w:p>
      <w:pPr>
        <w:pStyle w:val="BookText"/>
      </w:pPr>
      <w:r>
        <w:rPr>
          <w:rFonts w:ascii="IRNazanin" w:hAnsi="IRNazanin" w:eastAsia="IRNazanin" w:cs="IRNazanin"/>
          <w:lang w:bidi="fa-IR"/>
          <w:color w:val="111111"/>
          <w:sz w:val="28"/>
          <w:szCs w:val="28"/>
          <w:rtl/>
        </w:rPr>
        <w:t xml:space="preserve">از امیر المؤمنين(عليه السلام) تا امام صادق(عليه السلام)</w:t>
      </w:r>
    </w:p>
    <w:p>
      <w:pPr>
        <w:pStyle w:val="BookText"/>
      </w:pPr>
      <w:r>
        <w:rPr>
          <w:rFonts w:ascii="IRNazanin" w:hAnsi="IRNazanin" w:eastAsia="IRNazanin" w:cs="IRNazanin"/>
          <w:lang w:bidi="fa-IR"/>
          <w:color w:val="111111"/>
          <w:sz w:val="28"/>
          <w:szCs w:val="28"/>
          <w:rtl/>
        </w:rPr>
        <w:t xml:space="preserve">۱. تهران؛ مجلس؛ شماره نسخه: ۸۸۸۵/۲</w:t>
      </w:r>
    </w:p>
    <w:p>
      <w:pPr>
        <w:pStyle w:val="BookText"/>
      </w:pPr>
      <w:r>
        <w:rPr>
          <w:rFonts w:ascii="IRNazanin" w:hAnsi="IRNazanin" w:eastAsia="IRNazanin" w:cs="IRNazanin"/>
          <w:lang w:bidi="fa-IR"/>
          <w:color w:val="111111"/>
          <w:sz w:val="28"/>
          <w:szCs w:val="28"/>
          <w:rtl/>
        </w:rPr>
        <w:t xml:space="preserve">خط: نستعلیق شکسته، بی کا، تا: قرن ۱۱ و ۱۳؛ افتادگی: انجام؛ کاغذ: حنایی آهار مهره، جلد: میشن زیتونی، اگ (۲پ)، اندازه: ۲۵/۸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۱۵/۶ سم [ف: ۲۹/۱ -۲۳۰]</w:t>
      </w:r>
    </w:p>
    <w:p>
      <w:pPr>
        <w:pStyle w:val="BookText"/>
      </w:pPr>
      <w:r>
        <w:rPr>
          <w:rFonts w:ascii="IRNazanin" w:hAnsi="IRNazanin" w:eastAsia="IRNazanin" w:cs="IRNazanin"/>
          <w:lang w:bidi="fa-IR"/>
          <w:color w:val="111111"/>
          <w:sz w:val="28"/>
          <w:szCs w:val="28"/>
          <w:rtl/>
        </w:rPr>
        <w:t xml:space="preserve">۲. تهران؛ مجلس؛ شماره نسخه: ۸۸۸۵/۲۶</w:t>
      </w:r>
    </w:p>
    <w:p>
      <w:pPr>
        <w:pStyle w:val="BookText"/>
      </w:pPr>
      <w:r>
        <w:rPr>
          <w:rFonts w:ascii="IRNazanin" w:hAnsi="IRNazanin" w:eastAsia="IRNazanin" w:cs="IRNazanin"/>
          <w:lang w:bidi="fa-IR"/>
          <w:color w:val="111111"/>
          <w:sz w:val="28"/>
          <w:szCs w:val="28"/>
          <w:rtl/>
        </w:rPr>
        <w:t xml:space="preserve">خط: نستعلیق و شکسته، بی کا، تا: قرن ۱۱ و ۱۳؛ ادامه مطلب برگ ۲پ است؛ کاغذ: حنایی آهار مهره، جلد: میشن زیتونی، اگ (۲۳ر -۲۳پ)، اندازه: ۲۵/۸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۱۵/۶ سم [ف: ۲۹/۱-۲۳۲]</w:t>
      </w:r>
    </w:p>
    <w:p>
      <w:pPr>
        <w:pStyle w:val="Heading3"/>
      </w:pPr>
      <w:bookmarkStart w:id="2764" w:name="_Toc2024"/>
      <w:r>
        <w:t>•تاریخ ولادت و وفات شیخ الاسلام احمد جام / تاریخ / فارسی</w:t>
      </w:r>
      <w:bookmarkEnd w:id="2764"/>
    </w:p>
    <w:p>
      <w:pPr>
        <w:pStyle w:val="BookText"/>
      </w:pPr>
      <w:r>
        <w:rPr>
          <w:rFonts w:ascii="Times New Roman" w:hAnsi="Times New Roman" w:eastAsia="Times New Roman" w:cs="Times New Roman"/>
          <w:lang w:val="en-US" w:bidi="en-US"/>
          <w:color w:val="111111"/>
          <w:sz w:val="28"/>
          <w:szCs w:val="28"/>
          <w:rtl/>
        </w:rPr>
        <w:t xml:space="preserve">tārīx-e velādat va vafāt-e šeyx-ol-eslām ahmad-e jām</w:t>
      </w:r>
    </w:p>
    <w:p>
      <w:pPr>
        <w:pStyle w:val="BookText"/>
      </w:pPr>
      <w:r>
        <w:rPr>
          <w:rFonts w:ascii="IRNazanin" w:hAnsi="IRNazanin" w:eastAsia="IRNazanin" w:cs="IRNazanin"/>
          <w:lang w:bidi="fa-IR"/>
          <w:color w:val="111111"/>
          <w:sz w:val="28"/>
          <w:szCs w:val="28"/>
          <w:rtl/>
        </w:rPr>
        <w:t xml:space="preserve">تهران؛ دانشگاه؛ شماره نسخه:۳۷۵۲۱۶-عکس و ۳۷۵۳/۶ -عکس</w:t>
      </w:r>
    </w:p>
    <w:p>
      <w:pPr>
        <w:pStyle w:val="BookText"/>
      </w:pPr>
      <w:r>
        <w:rPr>
          <w:rFonts w:ascii="IRNazanin" w:hAnsi="IRNazanin" w:eastAsia="IRNazanin" w:cs="IRNazanin"/>
          <w:lang w:bidi="fa-IR"/>
          <w:color w:val="111111"/>
          <w:sz w:val="28"/>
          <w:szCs w:val="28"/>
          <w:rtl/>
        </w:rPr>
        <w:t xml:space="preserve">نسخه اصل: توبینگن 3784 </w:t>
      </w:r>
      <w:r>
        <w:rPr>
          <w:rFonts w:ascii="Times New Roman" w:hAnsi="Times New Roman" w:eastAsia="Times New Roman" w:cs="Times New Roman"/>
          <w:lang w:val="en-US" w:bidi="en-US"/>
          <w:color w:val="111111"/>
          <w:sz w:val="28"/>
          <w:szCs w:val="28"/>
          <w:rtl/>
        </w:rPr>
        <w:t xml:space="preserve">Or. Oct </w:t>
      </w:r>
      <w:r>
        <w:rPr>
          <w:rFonts w:ascii="IRNazanin" w:hAnsi="IRNazanin" w:eastAsia="IRNazanin" w:cs="IRNazanin"/>
          <w:lang w:bidi="fa-IR"/>
          <w:color w:val="111111"/>
          <w:sz w:val="28"/>
          <w:szCs w:val="28"/>
          <w:rtl/>
        </w:rPr>
        <w:t xml:space="preserve">؟ بی کا، بی تا؛ اگ (۱۶۴پ-) [فیلمها ف: ۳-۲۲۷]</w:t>
      </w:r>
    </w:p>
    <w:p>
      <w:pPr>
        <w:pStyle w:val="Heading3"/>
      </w:pPr>
      <w:bookmarkStart w:id="2765" w:name="_Toc2025"/>
      <w:r>
        <w:t>•تاریخ و مقتل / تاریخ معصومین / فارسی</w:t>
      </w:r>
      <w:bookmarkEnd w:id="2765"/>
    </w:p>
    <w:p>
      <w:pPr>
        <w:pStyle w:val="BookText"/>
      </w:pPr>
      <w:r>
        <w:rPr>
          <w:rFonts w:ascii="Times New Roman" w:hAnsi="Times New Roman" w:eastAsia="Times New Roman" w:cs="Times New Roman"/>
          <w:lang w:val="en-US" w:bidi="en-US"/>
          <w:color w:val="111111"/>
          <w:sz w:val="28"/>
          <w:szCs w:val="28"/>
          <w:rtl/>
        </w:rPr>
        <w:t xml:space="preserve">tārīx va maqtal</w:t>
      </w:r>
    </w:p>
    <w:p>
      <w:pPr>
        <w:pStyle w:val="BookText"/>
      </w:pPr>
      <w:r>
        <w:rPr>
          <w:rFonts w:ascii="IRNazanin" w:hAnsi="IRNazanin" w:eastAsia="IRNazanin" w:cs="IRNazanin"/>
          <w:lang w:bidi="fa-IR"/>
          <w:color w:val="111111"/>
          <w:sz w:val="28"/>
          <w:szCs w:val="28"/>
          <w:rtl/>
        </w:rPr>
        <w:t xml:space="preserve">تهران؛ ملی؛ شماره نسخه:۲۰۷۷۵</w:t>
      </w:r>
    </w:p>
    <w:p>
      <w:pPr>
        <w:pStyle w:val="BookText"/>
      </w:pPr>
      <w:r>
        <w:rPr>
          <w:rFonts w:ascii="IRNazanin" w:hAnsi="IRNazanin" w:eastAsia="IRNazanin" w:cs="IRNazanin"/>
          <w:lang w:bidi="fa-IR"/>
          <w:color w:val="111111"/>
          <w:sz w:val="28"/>
          <w:szCs w:val="28"/>
          <w:rtl/>
        </w:rPr>
        <w:t xml:space="preserve">بی کا، بی تا؛ خریداری از امرالله صفری [رایانه]</w:t>
      </w:r>
    </w:p>
    <w:p>
      <w:pPr>
        <w:pStyle w:val="Heading3"/>
      </w:pPr>
      <w:bookmarkStart w:id="2766" w:name="_Toc2026"/>
      <w:r>
        <w:t>•تاریخ و مناقب امیر المؤمنين / تاریخ / فارسی</w:t>
      </w:r>
      <w:bookmarkEnd w:id="2766"/>
    </w:p>
    <w:p>
      <w:pPr>
        <w:pStyle w:val="BookText"/>
      </w:pPr>
      <w:r>
        <w:rPr>
          <w:rFonts w:ascii="Times New Roman" w:hAnsi="Times New Roman" w:eastAsia="Times New Roman" w:cs="Times New Roman"/>
          <w:lang w:val="en-US" w:bidi="en-US"/>
          <w:color w:val="111111"/>
          <w:sz w:val="28"/>
          <w:szCs w:val="28"/>
          <w:rtl/>
        </w:rPr>
        <w:t xml:space="preserve">tārīx va manāqeb-e amīr-al-mo'menīn</w:t>
      </w:r>
    </w:p>
    <w:p>
      <w:pPr>
        <w:pStyle w:val="BookText"/>
      </w:pPr>
      <w:r>
        <w:rPr>
          <w:rFonts w:ascii="IRNazanin" w:hAnsi="IRNazanin" w:eastAsia="IRNazanin" w:cs="IRNazanin"/>
          <w:lang w:bidi="fa-IR"/>
          <w:color w:val="111111"/>
          <w:sz w:val="28"/>
          <w:szCs w:val="28"/>
          <w:rtl/>
        </w:rPr>
        <w:t xml:space="preserve">کتابی در تاریخ خلافت حضرت امیر المؤمنین علی و فضایل آن حضرت می باشد که در چند «مجلس» نگاشته شده است، مؤلف از کتاب های: نهايه ابن اثیر، شرح نهج البلاغة ابن أبي الحديد، عيون اخبار الرضا شیخ صدوق، مجالس المؤمنین قاضی نورالله مرعشی شوشتری و مثالب الصحابة و الزام النواصب نقل نموده و عنوان «فقیر گوید» را بسیار به کار برده، عناوين مجالس چنین است: ۲. حسب و نسب مخالفان حضرت امیر المؤمنين؛ ۴. بیان</w:t>
      </w:r>
    </w:p>
    <w:p>
      <w:pPr>
        <w:pStyle w:val="BookText"/>
      </w:pPr>
      <w:r>
        <w:rPr>
          <w:rFonts w:ascii="IRNazanin" w:hAnsi="IRNazanin" w:eastAsia="IRNazanin" w:cs="IRNazanin"/>
          <w:lang w:bidi="fa-IR"/>
          <w:color w:val="111111"/>
          <w:sz w:val="28"/>
          <w:szCs w:val="28"/>
          <w:rtl/>
        </w:rPr>
        <w:t xml:space="preserve">انساب برخی دشمنان اهل بیت؛ ۵. بیان مرگ ابوبکر؛ ۶. بیان مرگ عمر بن خطاب؛ 7. اخبار شوری و روایات وارده در آن؛ ۰۸ بیان کیفیت برگ عثمان؛ ۹. اخبار جنگ جمل</w:t>
      </w:r>
    </w:p>
    <w:p>
      <w:pPr>
        <w:pStyle w:val="BookText"/>
      </w:pPr>
      <w:r>
        <w:rPr>
          <w:rFonts w:ascii="IRNazanin" w:hAnsi="IRNazanin" w:eastAsia="IRNazanin" w:cs="IRNazanin"/>
          <w:lang w:bidi="fa-IR"/>
          <w:color w:val="111111"/>
          <w:sz w:val="28"/>
          <w:szCs w:val="28"/>
          <w:rtl/>
        </w:rPr>
        <w:t xml:space="preserve">قم؛ مرعشی؛ شماره نسخه:۱۳۳۸۷</w:t>
      </w:r>
    </w:p>
    <w:p>
      <w:pPr>
        <w:pStyle w:val="BookText"/>
      </w:pPr>
      <w:r>
        <w:rPr>
          <w:rFonts w:ascii="IRNazanin" w:hAnsi="IRNazanin" w:eastAsia="IRNazanin" w:cs="IRNazanin"/>
          <w:lang w:bidi="fa-IR"/>
          <w:color w:val="111111"/>
          <w:sz w:val="28"/>
          <w:szCs w:val="28"/>
          <w:rtl/>
        </w:rPr>
        <w:t xml:space="preserve">آغاز: ... با تو و صاف بودی با ایشان و ایشان ناصاف بودند با تو و ایشانرا راضی و خوشنود ساختی؛ انجام: در مروج الذهب مذکور است در خریبه که حوالی بصره است واقع شده در روز پنج شنبه خط: نسخ، بی کا، تا: قرن ۱۲؛ افتادگی: آغاز و انجام؛ مصحح، محشي با نشان «منه دام ظله العالی»؛ مجدول مذهب؛ کاغذ: شرقی، جلد: تیماج زرشکی، ۱۶۵گ، ۱۴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۳۳-۶۶۵]</w:t>
      </w:r>
    </w:p>
    <w:p>
      <w:pPr>
        <w:pStyle w:val="Heading3"/>
      </w:pPr>
      <w:bookmarkStart w:id="2767" w:name="_Toc2027"/>
      <w:r>
        <w:t>•تاریخ و موقوفات آستان قدس رضوی / تاریخ / فارسی</w:t>
      </w:r>
      <w:bookmarkEnd w:id="2767"/>
    </w:p>
    <w:p>
      <w:pPr>
        <w:pStyle w:val="BookText"/>
      </w:pPr>
      <w:r>
        <w:rPr>
          <w:rFonts w:ascii="Times New Roman" w:hAnsi="Times New Roman" w:eastAsia="Times New Roman" w:cs="Times New Roman"/>
          <w:lang w:val="en-US" w:bidi="en-US"/>
          <w:color w:val="111111"/>
          <w:sz w:val="28"/>
          <w:szCs w:val="28"/>
          <w:rtl/>
        </w:rPr>
        <w:t xml:space="preserve">tārīx va mowqūfāt-e āstān-e qods-e razavī</w:t>
      </w:r>
    </w:p>
    <w:p>
      <w:pPr>
        <w:pStyle w:val="BookText"/>
      </w:pPr>
      <w:r>
        <w:rPr>
          <w:rFonts w:ascii="IRNazanin" w:hAnsi="IRNazanin" w:eastAsia="IRNazanin" w:cs="IRNazanin"/>
          <w:lang w:bidi="fa-IR"/>
          <w:color w:val="111111"/>
          <w:sz w:val="28"/>
          <w:szCs w:val="28"/>
          <w:rtl/>
        </w:rPr>
        <w:t xml:space="preserve">ادیب هروی، محمد حسن بن محمد تقی، ۱۳۰۲-ق ۱۴ قمری</w:t>
      </w:r>
    </w:p>
    <w:p>
      <w:pPr>
        <w:pStyle w:val="BookText"/>
      </w:pPr>
      <w:r>
        <w:rPr>
          <w:rFonts w:ascii="Times New Roman" w:hAnsi="Times New Roman" w:eastAsia="Times New Roman" w:cs="Times New Roman"/>
          <w:lang w:val="en-US" w:bidi="en-US"/>
          <w:color w:val="111111"/>
          <w:sz w:val="28"/>
          <w:szCs w:val="28"/>
          <w:rtl/>
        </w:rPr>
        <w:t xml:space="preserve">adīb-e heravī, mohammad hasan ebn-e mohammad taqī (1885-20c)</w:t>
      </w:r>
    </w:p>
    <w:p>
      <w:pPr>
        <w:pStyle w:val="BookText"/>
      </w:pPr>
      <w:r>
        <w:rPr>
          <w:rFonts w:ascii="IRNazanin" w:hAnsi="IRNazanin" w:eastAsia="IRNazanin" w:cs="IRNazanin"/>
          <w:lang w:bidi="fa-IR"/>
          <w:color w:val="111111"/>
          <w:sz w:val="28"/>
          <w:szCs w:val="28"/>
          <w:rtl/>
        </w:rPr>
        <w:t xml:space="preserve">شرحی است از اقدامات میرزا فضل الله که از طرف حکومت به تولیت آستان قدس رضوی منسوب شده. مؤلف در این رساله از اقدامات انجام شده توسط وی در اصلاح امور آستانه و رسیدگی به موقوفات و همچنین تعمیرات مسجد گوهرشاد و جدا ساختن مردان و زنان در هنگام زیارت یاد می کند. همچنین در این رساله قسمتی از موقوفات بارگاه ملکوتی حضرت امام رضا(عليه السلام) ذکر شده است. مؤلف از اختلاط زن و مرد در هنگام زیارت را که موجب مفاسد است نقد کرده و گوید که حاکم وقت مقرر نموده که زنان قبل از ظهر در ساعات خاصی به زیارت بروند و در آن مدت مردان را حق رفتن به حرم نیست.</w:t>
      </w:r>
    </w:p>
    <w:p>
      <w:pPr>
        <w:pStyle w:val="BookText"/>
      </w:pPr>
      <w:r>
        <w:rPr>
          <w:rFonts w:ascii="IRNazanin" w:hAnsi="IRNazanin" w:eastAsia="IRNazanin" w:cs="IRNazanin"/>
          <w:lang w:bidi="fa-IR"/>
          <w:color w:val="111111"/>
          <w:sz w:val="28"/>
          <w:szCs w:val="28"/>
          <w:rtl/>
        </w:rPr>
        <w:t xml:space="preserve">تهران؛ مجلس؛ شماره نسخه:۱۲۴۸۲/۲</w:t>
      </w:r>
    </w:p>
    <w:p>
      <w:pPr>
        <w:pStyle w:val="BookText"/>
      </w:pPr>
      <w:r>
        <w:rPr>
          <w:rFonts w:ascii="IRNazanin" w:hAnsi="IRNazanin" w:eastAsia="IRNazanin" w:cs="IRNazanin"/>
          <w:lang w:bidi="fa-IR"/>
          <w:color w:val="111111"/>
          <w:sz w:val="28"/>
          <w:szCs w:val="28"/>
          <w:rtl/>
        </w:rPr>
        <w:t xml:space="preserve">آغاز: حمد بیحد مبدعی را رواست که بجهت شیرازہ بندی اوراق صحیفه عالم چه بسی کارکنان محقق گماشته؛ انجام: جزئی و کلی اموات را از وی دفاتر بجمعیت خواطر ملاحظه نموده و بميزان عقل سنجیده در صدد این بر آمدند خط: ثلث معرب، بی کا، بی تا؛ اوراق جابه جا شده، مجدول محرر مذهب مرصع ؛ جلد: مقوا، زرد، ۵ص (۲۹-۳۳)، ۱۶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۳۵-۴۳۷]</w:t>
      </w:r>
    </w:p>
    <w:p>
      <w:pPr>
        <w:pStyle w:val="Heading3"/>
      </w:pPr>
      <w:bookmarkStart w:id="2768" w:name="_Toc2028"/>
      <w:r>
        <w:t>•تاریخ و نامهای بروج / هيئت</w:t>
      </w:r>
      <w:bookmarkEnd w:id="2768"/>
    </w:p>
    <w:p>
      <w:pPr>
        <w:pStyle w:val="BookText"/>
      </w:pPr>
      <w:r>
        <w:rPr>
          <w:rFonts w:ascii="Times New Roman" w:hAnsi="Times New Roman" w:eastAsia="Times New Roman" w:cs="Times New Roman"/>
          <w:lang w:val="en-US" w:bidi="en-US"/>
          <w:color w:val="111111"/>
          <w:sz w:val="28"/>
          <w:szCs w:val="28"/>
          <w:rtl/>
        </w:rPr>
        <w:t xml:space="preserve">tārīx va nām-hā-ye borūj</w:t>
      </w:r>
    </w:p>
    <w:p>
      <w:pPr>
        <w:pStyle w:val="BookText"/>
      </w:pPr>
      <w:r>
        <w:rPr>
          <w:rFonts w:ascii="IRNazanin" w:hAnsi="IRNazanin" w:eastAsia="IRNazanin" w:cs="IRNazanin"/>
          <w:lang w:bidi="fa-IR"/>
          <w:color w:val="111111"/>
          <w:sz w:val="28"/>
          <w:szCs w:val="28"/>
          <w:rtl/>
        </w:rPr>
        <w:t xml:space="preserve">به هندی و تاریخ عربی و نام ماه ها و مباحثی نحومی.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bookmarkStart w:id="612" w:name="pg20363_209938"/>
    <w:bookmarkEnd w:id="612"/>
    <w:p>
      <w:pPr>
        <w:pStyle w:val="BookText"/>
      </w:pPr>
      <w:r>
        <w:rPr>
          <w:rFonts w:ascii="IRNazanin" w:hAnsi="IRNazanin" w:eastAsia="IRNazanin" w:cs="IRNazanin"/>
          <w:lang w:bidi="fa-IR"/>
          <w:color w:val="111111"/>
          <w:sz w:val="28"/>
          <w:szCs w:val="28"/>
          <w:rtl/>
        </w:rPr>
        <w:t xml:space="preserve">تهران؛ دانشگاه؛ شماره نسخه: ۷۷۹۶/۱۴</w:t>
      </w:r>
    </w:p>
    <w:p>
      <w:pPr>
        <w:pStyle w:val="BookText"/>
      </w:pPr>
      <w:r>
        <w:rPr>
          <w:rFonts w:ascii="IRNazanin" w:hAnsi="IRNazanin" w:eastAsia="IRNazanin" w:cs="IRNazanin"/>
          <w:lang w:bidi="fa-IR"/>
          <w:color w:val="111111"/>
          <w:sz w:val="28"/>
          <w:szCs w:val="28"/>
          <w:rtl/>
        </w:rPr>
        <w:t xml:space="preserve">خط: نستعلیق ریز، بی کا، بی تاب کاغذ: هندی، جلد: تیماج تریاکی، ۱۱گ (۳۱۵-۳۲۵پ)، ۱۴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۱۶-۷۰۵]</w:t>
      </w:r>
    </w:p>
    <w:p>
      <w:pPr>
        <w:pStyle w:val="Heading3"/>
      </w:pPr>
      <w:bookmarkStart w:id="2769" w:name="_Toc2029"/>
      <w:r>
        <w:t>•تاریخ ویليوم اول پادشاه پروس / تاریخ / فارسی</w:t>
      </w:r>
      <w:bookmarkEnd w:id="2769"/>
    </w:p>
    <w:p>
      <w:pPr>
        <w:pStyle w:val="BookText"/>
      </w:pPr>
      <w:r>
        <w:rPr>
          <w:rFonts w:ascii="Times New Roman" w:hAnsi="Times New Roman" w:eastAsia="Times New Roman" w:cs="Times New Roman"/>
          <w:lang w:val="en-US" w:bidi="en-US"/>
          <w:color w:val="111111"/>
          <w:sz w:val="28"/>
          <w:szCs w:val="28"/>
          <w:rtl/>
        </w:rPr>
        <w:t xml:space="preserve">tārīx-e vīlīyom-e avval pādešāh-e perūs</w:t>
      </w:r>
    </w:p>
    <w:p>
      <w:pPr>
        <w:pStyle w:val="BookText"/>
      </w:pPr>
      <w:r>
        <w:rPr>
          <w:rFonts w:ascii="IRNazanin" w:hAnsi="IRNazanin" w:eastAsia="IRNazanin" w:cs="IRNazanin"/>
          <w:lang w:bidi="fa-IR"/>
          <w:color w:val="111111"/>
          <w:sz w:val="28"/>
          <w:szCs w:val="28"/>
          <w:rtl/>
        </w:rPr>
        <w:t xml:space="preserve">افشار، محمود، ۱۲۷۲-۱۳۶۲ شمسی</w:t>
      </w:r>
    </w:p>
    <w:p>
      <w:pPr>
        <w:pStyle w:val="BookText"/>
      </w:pPr>
      <w:r>
        <w:rPr>
          <w:rFonts w:ascii="Times New Roman" w:hAnsi="Times New Roman" w:eastAsia="Times New Roman" w:cs="Times New Roman"/>
          <w:lang w:val="en-US" w:bidi="en-US"/>
          <w:color w:val="111111"/>
          <w:sz w:val="28"/>
          <w:szCs w:val="28"/>
          <w:rtl/>
        </w:rPr>
        <w:t xml:space="preserve">afšār, mahmūd (1893-1983)</w:t>
      </w:r>
    </w:p>
    <w:p>
      <w:pPr>
        <w:pStyle w:val="BookText"/>
      </w:pPr>
      <w:r>
        <w:rPr>
          <w:rFonts w:ascii="IRNazanin" w:hAnsi="IRNazanin" w:eastAsia="IRNazanin" w:cs="IRNazanin"/>
          <w:lang w:bidi="fa-IR"/>
          <w:color w:val="111111"/>
          <w:sz w:val="28"/>
          <w:szCs w:val="28"/>
          <w:rtl/>
        </w:rPr>
        <w:t xml:space="preserve">ترجمه از متنی انگلیسی است در تاریخ تولد ویلیام پروس و به شاهی رسیدن او و انتخاب بیسمارک به صدر اعظمی پروس و حمله او به فرانسه و شکست فرانسویان.</w:t>
      </w:r>
    </w:p>
    <w:p>
      <w:pPr>
        <w:pStyle w:val="BookText"/>
      </w:pPr>
      <w:r>
        <w:rPr>
          <w:rFonts w:ascii="IRNazanin" w:hAnsi="IRNazanin" w:eastAsia="IRNazanin" w:cs="IRNazanin"/>
          <w:lang w:bidi="fa-IR"/>
          <w:color w:val="111111"/>
          <w:sz w:val="28"/>
          <w:szCs w:val="28"/>
          <w:rtl/>
        </w:rPr>
        <w:t xml:space="preserve">تهران؛ ملی؛ شماره نسخه:۴۱۱</w:t>
      </w:r>
    </w:p>
    <w:p>
      <w:pPr>
        <w:pStyle w:val="BookText"/>
      </w:pPr>
      <w:r>
        <w:rPr>
          <w:rFonts w:ascii="IRNazanin" w:hAnsi="IRNazanin" w:eastAsia="IRNazanin" w:cs="IRNazanin"/>
          <w:lang w:bidi="fa-IR"/>
          <w:color w:val="111111"/>
          <w:sz w:val="28"/>
          <w:szCs w:val="28"/>
          <w:rtl/>
        </w:rPr>
        <w:t xml:space="preserve">آغاز: قیصر ویلیم ژرمنی. تفصيل عمر اعليحضرت معظم له؛ انجام: دایم الایام در ترقی و پیش رفته بود هر صنف از اصناف ملت از آن با بودن صلح دائمی بهره یاب گردند خط: نسخ خوش، بی کا، تا: ۱۳۰۴ق، جان تهران؛ اهداء به: ناصرالدین شاه؛ کاغذ: فرنگی، جلد: مخمل قرمز، ۵۷گ، ۱۷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۱۵/۵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۱-۳۹۶]</w:t>
      </w:r>
    </w:p>
    <w:p>
      <w:pPr>
        <w:pStyle w:val="Heading3"/>
      </w:pPr>
      <w:bookmarkStart w:id="2770" w:name="_Toc2030"/>
      <w:r>
        <w:t>•تاریخ هانری چهارم / داستان / فارسی</w:t>
      </w:r>
      <w:bookmarkEnd w:id="2770"/>
    </w:p>
    <w:p>
      <w:pPr>
        <w:pStyle w:val="BookText"/>
      </w:pPr>
      <w:r>
        <w:rPr>
          <w:rFonts w:ascii="Times New Roman" w:hAnsi="Times New Roman" w:eastAsia="Times New Roman" w:cs="Times New Roman"/>
          <w:lang w:val="en-US" w:bidi="en-US"/>
          <w:color w:val="111111"/>
          <w:sz w:val="28"/>
          <w:szCs w:val="28"/>
          <w:rtl/>
        </w:rPr>
        <w:t xml:space="preserve">tārīx-e hānrī čahārom</w:t>
      </w:r>
    </w:p>
    <w:p>
      <w:pPr>
        <w:pStyle w:val="BookText"/>
      </w:pPr>
      <w:r>
        <w:rPr>
          <w:rFonts w:ascii="IRNazanin" w:hAnsi="IRNazanin" w:eastAsia="IRNazanin" w:cs="IRNazanin"/>
          <w:lang w:bidi="fa-IR"/>
          <w:color w:val="111111"/>
          <w:sz w:val="28"/>
          <w:szCs w:val="28"/>
          <w:rtl/>
        </w:rPr>
        <w:t xml:space="preserve">امین دفتر، محمد بن عبد الله، ۱۳۲۸ قمری</w:t>
      </w:r>
    </w:p>
    <w:p>
      <w:pPr>
        <w:pStyle w:val="BookText"/>
      </w:pPr>
      <w:r>
        <w:rPr>
          <w:rFonts w:ascii="Times New Roman" w:hAnsi="Times New Roman" w:eastAsia="Times New Roman" w:cs="Times New Roman"/>
          <w:lang w:val="en-US" w:bidi="en-US"/>
          <w:color w:val="111111"/>
          <w:sz w:val="28"/>
          <w:szCs w:val="28"/>
          <w:rtl/>
        </w:rPr>
        <w:t xml:space="preserve">amīn daftar, mohammad ebn-e ‘abd-ol-lāh (-1910)</w:t>
      </w:r>
    </w:p>
    <w:p>
      <w:pPr>
        <w:pStyle w:val="BookText"/>
      </w:pPr>
      <w:r>
        <w:rPr>
          <w:rFonts w:ascii="IRNazanin" w:hAnsi="IRNazanin" w:eastAsia="IRNazanin" w:cs="IRNazanin"/>
          <w:lang w:bidi="fa-IR"/>
          <w:color w:val="111111"/>
          <w:sz w:val="28"/>
          <w:szCs w:val="28"/>
          <w:rtl/>
        </w:rPr>
        <w:t xml:space="preserve">متن از: الكساندر دوما. ترجمه داستان دلدادگی پادشاه فرانسه هانری چهارم (۱۵۵۳-۱۶۱۰م) و ملکه مارگریت دو والوا است. چاپ: جلد اول به صورت سنگی در تهران، شوال ۱۳۲۲ق، به خط مرتضی حسینی برغانی، در ۲۵۶ صفحه با مقدمه ای از تقی دانش ضیاء لشکر چاپ شده است.</w:t>
      </w:r>
    </w:p>
    <w:p>
      <w:pPr>
        <w:pStyle w:val="BookText"/>
      </w:pPr>
      <w:r>
        <w:rPr>
          <w:rFonts w:ascii="IRNazanin" w:hAnsi="IRNazanin" w:eastAsia="IRNazanin" w:cs="IRNazanin"/>
          <w:lang w:bidi="fa-IR"/>
          <w:color w:val="111111"/>
          <w:sz w:val="28"/>
          <w:szCs w:val="28"/>
          <w:rtl/>
        </w:rPr>
        <w:t xml:space="preserve">۱. تهران، دانشگاه؛ شماره نسخه:۱۰۹۲۷</w:t>
      </w:r>
    </w:p>
    <w:p>
      <w:pPr>
        <w:pStyle w:val="BookText"/>
      </w:pPr>
      <w:r>
        <w:rPr>
          <w:rFonts w:ascii="IRNazanin" w:hAnsi="IRNazanin" w:eastAsia="IRNazanin" w:cs="IRNazanin"/>
          <w:lang w:bidi="fa-IR"/>
          <w:color w:val="111111"/>
          <w:sz w:val="28"/>
          <w:szCs w:val="28"/>
          <w:rtl/>
        </w:rPr>
        <w:t xml:space="preserve">آغاز: خلاصی زنی فلورانسی اسباب اضطراب غریبی برای تمام ساکنین قصر لوور گردید بلکه همه خدام درباری از شاهزاده ها و شاهزاده خانمها متوحش و منقلب بودند؛ انجام: روزی چند در کمال مسرت به سر بردند که ناگاه شورشی سخت در میان کاتولیک و پروتستان در گرفت. شرح این شورش در جلد سیم ازین کتاب می آید</w:t>
      </w:r>
    </w:p>
    <w:p>
      <w:pPr>
        <w:pStyle w:val="BookText"/>
      </w:pPr>
      <w:r>
        <w:rPr>
          <w:rFonts w:ascii="IRNazanin" w:hAnsi="IRNazanin" w:eastAsia="IRNazanin" w:cs="IRNazanin"/>
          <w:lang w:bidi="fa-IR"/>
          <w:color w:val="111111"/>
          <w:sz w:val="28"/>
          <w:szCs w:val="28"/>
          <w:rtl/>
        </w:rPr>
        <w:t xml:space="preserve">جلد دوم؛ خط: شکسته نستعلیق، کاتب = مؤلف، تا: شنبه ۱۵ ذیقعده ۱۳۲۵ق؛ در متن برخی از کلمات و جملات را خط زده و به جای آن چیز دیگری نوشته اند، در حاشیه هم اضافات زیادی دارد؛ جلد: مقوا با کاغذ ابر و باد، عطف تیماج مشکی، ۱۱۰گ، ۱۵ سطر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۲۰-۵۰۵]</w:t>
      </w:r>
    </w:p>
    <w:p>
      <w:pPr>
        <w:pStyle w:val="BookText"/>
      </w:pPr>
      <w:r>
        <w:rPr>
          <w:rFonts w:ascii="IRNazanin" w:hAnsi="IRNazanin" w:eastAsia="IRNazanin" w:cs="IRNazanin"/>
          <w:lang w:bidi="fa-IR"/>
          <w:color w:val="111111"/>
          <w:sz w:val="28"/>
          <w:szCs w:val="28"/>
          <w:rtl/>
        </w:rPr>
        <w:t xml:space="preserve">۲. تهران، دانشگاه؛ شماره نسخه:۱۰۹۴۴</w:t>
      </w:r>
    </w:p>
    <w:p>
      <w:pPr>
        <w:pStyle w:val="BookText"/>
      </w:pPr>
      <w:r>
        <w:rPr>
          <w:rFonts w:ascii="IRNazanin" w:hAnsi="IRNazanin" w:eastAsia="IRNazanin" w:cs="IRNazanin"/>
          <w:lang w:bidi="fa-IR"/>
          <w:color w:val="111111"/>
          <w:sz w:val="28"/>
          <w:szCs w:val="28"/>
          <w:rtl/>
        </w:rPr>
        <w:t xml:space="preserve">آغاز: به نام خداوند بخشنده مهربان. در یکی از شبهای ماه تموز از سال ۱۵۷۲ دو نفر سوار از شهر (بو) به شهر نیراک از مستملکات فرانسه مسافرت می نمودند و این دو جوان هر یک قریب بیست مرحله از مراحل زندگانی طی نموده یکی را رنگ گندم گون و دیگری را گونه گلناری بود؛ انجام: فورا مرد از جا جسته کلاه خود را برداشته دو زانو پیش صندلی هانری به زمین آمده گفت همان است همان است هانری</w:t>
      </w:r>
    </w:p>
    <w:p>
      <w:pPr>
        <w:pStyle w:val="BookText"/>
      </w:pPr>
      <w:r>
        <w:rPr>
          <w:rFonts w:ascii="IRNazanin" w:hAnsi="IRNazanin" w:eastAsia="IRNazanin" w:cs="IRNazanin"/>
          <w:lang w:bidi="fa-IR"/>
          <w:color w:val="111111"/>
          <w:sz w:val="28"/>
          <w:szCs w:val="28"/>
          <w:rtl/>
        </w:rPr>
        <w:t xml:space="preserve">جلد اول از آغاز تا اواسط فصل پنجم. این نسخه با چار تفاوت هایی دارد؛ خط: نستعلیق، بی کا، تا: قرن ۱۴؛ افتادگی: انجام؛ بعضی از کلمات و جملات را به قلمی جدیدتر اصلاح و ویرایش کرده اند؛ ۳۸، ۱۱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۲۰-۵۳۰]</w:t>
      </w:r>
    </w:p>
    <w:p>
      <w:pPr>
        <w:pStyle w:val="BookText"/>
      </w:pPr>
      <w:r>
        <w:rPr>
          <w:rFonts w:ascii="IRNazanin" w:hAnsi="IRNazanin" w:eastAsia="IRNazanin" w:cs="IRNazanin"/>
          <w:lang w:bidi="fa-IR"/>
          <w:color w:val="111111"/>
          <w:sz w:val="28"/>
          <w:szCs w:val="28"/>
          <w:rtl/>
        </w:rPr>
        <w:t xml:space="preserve">٣. تهران، دانشگاه؛ شماره نسخه: ۱۰۹۵۱/۱</w:t>
      </w:r>
    </w:p>
    <w:p>
      <w:pPr>
        <w:pStyle w:val="BookText"/>
      </w:pPr>
      <w:r>
        <w:rPr>
          <w:rFonts w:ascii="IRNazanin" w:hAnsi="IRNazanin" w:eastAsia="IRNazanin" w:cs="IRNazanin"/>
          <w:lang w:bidi="fa-IR"/>
          <w:color w:val="111111"/>
          <w:sz w:val="28"/>
          <w:szCs w:val="28"/>
          <w:rtl/>
        </w:rPr>
        <w:t xml:space="preserve">آغاز: فردای شبی که سموئیل کشته شد و ساره خانم فرار کرد صبح زود شاه از خواب برخاسته عزیمت شکار فرمود؛ انجام مسيو فورون رئيس مجلس رو به زنی نموده گفت چناب عالی را باید به کلیسا ببریم تا استماع جلد اول، از فصل ۱۴ تا اواسط فصل ۱۹. با تفاوت هایی نسبت به چاپ سنگی کتاب؛ خط: نسخ، بی کا، تا: قرن ۱۴؛ افتادگی: آغاز و وسط و انجام؛ برگهای ۳ تا ۱۸ به خط مؤلف و بقیه به خط کاتب نسخه شماره ۱۰۹۴۴، با اضافات و خط خوردگیهای فراوان در متن و حاشیه که به احتمال زیاد از مترجم باشد؛ ۲۴گ، ۱۴ -۱۸سطر (۱۱/۵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۱۹/۵ )،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سم [ف: ۲۰-۵۳۶]</w:t>
      </w:r>
    </w:p>
    <w:p>
      <w:pPr>
        <w:pStyle w:val="Heading3"/>
      </w:pPr>
      <w:bookmarkStart w:id="2771" w:name="_Toc2031"/>
      <w:r>
        <w:t>• تاریخ هرود توس (ترجمه) / تاریخ / فارسی</w:t>
      </w:r>
      <w:bookmarkEnd w:id="2771"/>
    </w:p>
    <w:p>
      <w:pPr>
        <w:pStyle w:val="BookText"/>
      </w:pPr>
      <w:r>
        <w:rPr>
          <w:rFonts w:ascii="Times New Roman" w:hAnsi="Times New Roman" w:eastAsia="Times New Roman" w:cs="Times New Roman"/>
          <w:lang w:val="en-US" w:bidi="en-US"/>
          <w:color w:val="111111"/>
          <w:sz w:val="28"/>
          <w:szCs w:val="28"/>
          <w:rtl/>
        </w:rPr>
        <w:t xml:space="preserve">tārīx-e herodotūs</w:t>
      </w:r>
    </w:p>
    <w:p>
      <w:pPr>
        <w:pStyle w:val="BookText"/>
      </w:pPr>
      <w:r>
        <w:rPr>
          <w:rFonts w:ascii="IRNazanin" w:hAnsi="IRNazanin" w:eastAsia="IRNazanin" w:cs="IRNazanin"/>
          <w:lang w:bidi="fa-IR"/>
          <w:color w:val="111111"/>
          <w:sz w:val="28"/>
          <w:szCs w:val="28"/>
          <w:rtl/>
        </w:rPr>
        <w:t xml:space="preserve">مترجم، علی بن محمد اسماعیل، ق۱۴ قمری</w:t>
      </w:r>
    </w:p>
    <w:p>
      <w:pPr>
        <w:pStyle w:val="BookText"/>
      </w:pPr>
      <w:r>
        <w:rPr>
          <w:rFonts w:ascii="Times New Roman" w:hAnsi="Times New Roman" w:eastAsia="Times New Roman" w:cs="Times New Roman"/>
          <w:lang w:val="en-US" w:bidi="en-US"/>
          <w:color w:val="111111"/>
          <w:sz w:val="28"/>
          <w:szCs w:val="28"/>
          <w:rtl/>
        </w:rPr>
        <w:t xml:space="preserve">motarjem, ‘alī ebn-e mohammad esmāʻīl (-20c)</w:t>
      </w:r>
    </w:p>
    <w:p>
      <w:pPr>
        <w:pStyle w:val="BookText"/>
      </w:pPr>
      <w:r>
        <w:rPr>
          <w:rFonts w:ascii="IRNazanin" w:hAnsi="IRNazanin" w:eastAsia="IRNazanin" w:cs="IRNazanin"/>
          <w:lang w:bidi="fa-IR"/>
          <w:color w:val="111111"/>
          <w:sz w:val="28"/>
          <w:szCs w:val="28"/>
          <w:rtl/>
        </w:rPr>
        <w:t xml:space="preserve">ترجمه جزء یکم تاریخ اوست با سرگذشت و زندگی هردوتوس به دستور علی قلی خان سردار اسعد بختیاری.[ دنا ۷۵۲/۲ ؛ فهرستواره منزوی ۵۹۲/۱ ]</w:t>
      </w:r>
    </w:p>
    <w:p>
      <w:pPr>
        <w:pStyle w:val="BookText"/>
      </w:pPr>
      <w:r>
        <w:rPr>
          <w:rFonts w:ascii="IRNazanin" w:hAnsi="IRNazanin" w:eastAsia="IRNazanin" w:cs="IRNazanin"/>
          <w:lang w:bidi="fa-IR"/>
          <w:color w:val="111111"/>
          <w:sz w:val="28"/>
          <w:szCs w:val="28"/>
          <w:rtl/>
        </w:rPr>
        <w:t xml:space="preserve">۱. تهران: ادبیات؛ شماره نسخه: ۵۱ حکمت</w:t>
      </w:r>
    </w:p>
    <w:p>
      <w:pPr>
        <w:pStyle w:val="BookText"/>
      </w:pPr>
      <w:r>
        <w:rPr>
          <w:rFonts w:ascii="IRNazanin" w:hAnsi="IRNazanin" w:eastAsia="IRNazanin" w:cs="IRNazanin"/>
          <w:lang w:bidi="fa-IR"/>
          <w:color w:val="111111"/>
          <w:sz w:val="28"/>
          <w:szCs w:val="28"/>
          <w:rtl/>
        </w:rPr>
        <w:t xml:space="preserve">خط: شکسته نستعلیق، بی کا، تا: ۲۴ ربیع الثانی ۱۳۳۱ق؛ جلد: مقوا، ۳۴۰ص، قطع: خشتی [ف: ۲-۶]</w:t>
      </w:r>
    </w:p>
    <w:p>
      <w:pPr>
        <w:pStyle w:val="BookText"/>
      </w:pPr>
      <w:r>
        <w:rPr>
          <w:rFonts w:ascii="IRNazanin" w:hAnsi="IRNazanin" w:eastAsia="IRNazanin" w:cs="IRNazanin"/>
          <w:lang w:bidi="fa-IR"/>
          <w:color w:val="111111"/>
          <w:sz w:val="28"/>
          <w:szCs w:val="28"/>
          <w:rtl/>
        </w:rPr>
        <w:t xml:space="preserve">۲. تهران: ادبیات؛ شماره نسخه: ۵۲ حکمت</w:t>
      </w:r>
    </w:p>
    <w:p>
      <w:pPr>
        <w:pStyle w:val="BookText"/>
      </w:pPr>
      <w:r>
        <w:rPr>
          <w:rFonts w:ascii="IRNazanin" w:hAnsi="IRNazanin" w:eastAsia="IRNazanin" w:cs="IRNazanin"/>
          <w:lang w:bidi="fa-IR"/>
          <w:color w:val="111111"/>
          <w:sz w:val="28"/>
          <w:szCs w:val="28"/>
          <w:rtl/>
        </w:rPr>
        <w:t xml:space="preserve">ترجمه این تاریخ است تا هشمین جزء آن؛ خط: شکسته نستعلیق، كان محمد علی تفرشی، بی تا؛ جلد: مقوا، ۳۴۳ص (۳۴۱-۶۸۳)،</w:t>
      </w:r>
    </w:p>
    <w:p>
      <w:pPr>
        <w:pStyle w:val="BookText"/>
      </w:pPr>
      <w:r>
        <w:rPr>
          <w:rFonts w:ascii="IRNazanin" w:hAnsi="IRNazanin" w:eastAsia="IRNazanin" w:cs="IRNazanin"/>
          <w:lang w:bidi="fa-IR"/>
          <w:color w:val="111111"/>
          <w:sz w:val="28"/>
          <w:szCs w:val="28"/>
          <w:rtl/>
        </w:rPr>
        <w:t xml:space="preserve">سطر، قطع: خشتی [ف: ۲-۶]</w:t>
      </w:r>
    </w:p>
    <w:p>
      <w:pPr>
        <w:pStyle w:val="BookText"/>
      </w:pPr>
      <w:r>
        <w:rPr>
          <w:rFonts w:ascii="IRNazanin" w:hAnsi="IRNazanin" w:eastAsia="IRNazanin" w:cs="IRNazanin"/>
          <w:lang w:bidi="fa-IR"/>
          <w:color w:val="111111"/>
          <w:sz w:val="28"/>
          <w:szCs w:val="28"/>
          <w:rtl/>
        </w:rPr>
        <w:t xml:space="preserve">← تاریخ همایونی ←تحفة التواریخ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bookmarkStart w:id="613" w:name="pg20363_209939"/>
    <w:bookmarkEnd w:id="613"/>
    <w:p>
      <w:pPr>
        <w:pStyle w:val="Heading3"/>
      </w:pPr>
      <w:bookmarkStart w:id="2772" w:name="_Toc2032"/>
      <w:r>
        <w:t>•تاریخ هند = طبقات اکبری / تاریخ / فارسی</w:t>
      </w:r>
      <w:bookmarkEnd w:id="2772"/>
    </w:p>
    <w:p>
      <w:pPr>
        <w:pStyle w:val="BookText"/>
      </w:pPr>
      <w:r>
        <w:rPr>
          <w:rFonts w:ascii="Times New Roman" w:hAnsi="Times New Roman" w:eastAsia="Times New Roman" w:cs="Times New Roman"/>
          <w:lang w:val="en-US" w:bidi="en-US"/>
          <w:color w:val="111111"/>
          <w:sz w:val="28"/>
          <w:szCs w:val="28"/>
          <w:rtl/>
        </w:rPr>
        <w:t xml:space="preserve">tārīx-e hend = tabaqāt-e akbarī</w:t>
      </w:r>
    </w:p>
    <w:p>
      <w:pPr>
        <w:pStyle w:val="BookText"/>
      </w:pPr>
      <w:r>
        <w:rPr>
          <w:rFonts w:ascii="IRNazanin" w:hAnsi="IRNazanin" w:eastAsia="IRNazanin" w:cs="IRNazanin"/>
          <w:lang w:bidi="fa-IR"/>
          <w:color w:val="111111"/>
          <w:sz w:val="28"/>
          <w:szCs w:val="28"/>
          <w:rtl/>
        </w:rPr>
        <w:t xml:space="preserve">عبدالحق دهلوی، عبدالحق بن سيف الدين، ۹۵۸ ۱۰۵۲ قمری</w:t>
      </w:r>
    </w:p>
    <w:p>
      <w:pPr>
        <w:pStyle w:val="BookText"/>
      </w:pPr>
      <w:r>
        <w:rPr>
          <w:rFonts w:ascii="Times New Roman" w:hAnsi="Times New Roman" w:eastAsia="Times New Roman" w:cs="Times New Roman"/>
          <w:lang w:val="en-US" w:bidi="en-US"/>
          <w:color w:val="111111"/>
          <w:sz w:val="28"/>
          <w:szCs w:val="28"/>
          <w:rtl/>
        </w:rPr>
        <w:t xml:space="preserve">‘abd-ol-haqq-e dehlavī, ‘abd-ol-haqq ebn-e sayf-od-dīn (1551-1643)</w:t>
      </w:r>
    </w:p>
    <w:p>
      <w:pPr>
        <w:pStyle w:val="BookText"/>
      </w:pPr>
      <w:r>
        <w:rPr>
          <w:rFonts w:ascii="IRNazanin" w:hAnsi="IRNazanin" w:eastAsia="IRNazanin" w:cs="IRNazanin"/>
          <w:lang w:bidi="fa-IR"/>
          <w:color w:val="111111"/>
          <w:sz w:val="28"/>
          <w:szCs w:val="28"/>
          <w:rtl/>
        </w:rPr>
        <w:t xml:space="preserve">تاریخ پادشاهان دهلی است از معزالدین محمد بن سام تا اکبرشاه (۱۰۱۴ ق)؛ مؤلف تاریخ و احوال سلطان معزالدین محمد بن سام تا سلطان غیاث الدین بلبن (۶۶۴-۶۸۶ق) تا سلطان فیروز ثانی ( ۶۹۵-۶۸۹</w:t>
      </w:r>
    </w:p>
    <w:p>
      <w:pPr>
        <w:pStyle w:val="BookText"/>
      </w:pPr>
      <w:r>
        <w:rPr>
          <w:rFonts w:ascii="IRNazanin" w:hAnsi="IRNazanin" w:eastAsia="IRNazanin" w:cs="IRNazanin"/>
          <w:lang w:bidi="fa-IR"/>
          <w:color w:val="111111"/>
          <w:sz w:val="28"/>
          <w:szCs w:val="28"/>
          <w:rtl/>
        </w:rPr>
        <w:t xml:space="preserve">ق) را از تاریخ فیروزی و از بعد وی تا زمان بهلول لودی (۸۵۵-۸۹۴ ق) را از تاریخ بهادر شاهی و از بهلول لودی تا جلال الدين محمد اکبرشاه (۹۶۳-۱۰۱۴ ق) را که عصر مؤلف می باشد، از سماع و مشاهده خود ثبت نموده است.</w:t>
      </w:r>
    </w:p>
    <w:p>
      <w:pPr>
        <w:pStyle w:val="BookText"/>
      </w:pPr>
      <w:r>
        <w:rPr>
          <w:rFonts w:ascii="IRNazanin" w:hAnsi="IRNazanin" w:eastAsia="IRNazanin" w:cs="IRNazanin"/>
          <w:lang w:bidi="fa-IR"/>
          <w:color w:val="111111"/>
          <w:sz w:val="28"/>
          <w:szCs w:val="28"/>
          <w:rtl/>
        </w:rPr>
        <w:t xml:space="preserve">[دنا ۷۵۲/۲ ؛ نسخه های منزوی ۴۶۲۳/۶ ]</w:t>
      </w:r>
    </w:p>
    <w:p>
      <w:pPr>
        <w:pStyle w:val="BookText"/>
      </w:pPr>
      <w:r>
        <w:rPr>
          <w:rFonts w:ascii="IRNazanin" w:hAnsi="IRNazanin" w:eastAsia="IRNazanin" w:cs="IRNazanin"/>
          <w:lang w:bidi="fa-IR"/>
          <w:color w:val="111111"/>
          <w:sz w:val="28"/>
          <w:szCs w:val="28"/>
          <w:rtl/>
        </w:rPr>
        <w:t xml:space="preserve">تهران؛ مجلس؛ شماره نسخه: ۷۷۰۱</w:t>
      </w:r>
    </w:p>
    <w:p>
      <w:pPr>
        <w:pStyle w:val="BookText"/>
      </w:pPr>
      <w:r>
        <w:rPr>
          <w:rFonts w:ascii="IRNazanin" w:hAnsi="IRNazanin" w:eastAsia="IRNazanin" w:cs="IRNazanin"/>
          <w:lang w:bidi="fa-IR"/>
          <w:color w:val="111111"/>
          <w:sz w:val="28"/>
          <w:szCs w:val="28"/>
          <w:rtl/>
        </w:rPr>
        <w:t xml:space="preserve">آغاز: اللهم مالك الملك تؤتي الملك من تشاء ... منطوق آیه کریمه سایل است مر تمامت ملک ها را که مالک الملک علی الاطلاق جل جلاله و عم نواله مر بندگان خود را عموما و خصوصا عطا فرموده؛ انجام: آفتاب دولت غزنویان به غروب پیوست و خلافت از خانواده سبکتکین انتقال نمود. نسخه حاضر جلد اول کتاب می باشد؛ خط: نستعلیق، بی کا، تان قرن ۱۳، بی کا، بی تا، مجدول محرر، با سرلوح مزدوج مذهب مرصع ؛ جلد: تیماج قهوه ای، ۱۱۱گ، ۱۵ سطر،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۲۶-۱۹۳]</w:t>
      </w:r>
    </w:p>
    <w:p>
      <w:pPr>
        <w:pStyle w:val="Heading3"/>
      </w:pPr>
      <w:bookmarkStart w:id="2773" w:name="_Toc2033"/>
      <w:r>
        <w:t>•تاریخ هند / تاریخ هند / اردو</w:t>
      </w:r>
      <w:bookmarkEnd w:id="2773"/>
    </w:p>
    <w:p>
      <w:pPr>
        <w:pStyle w:val="BookText"/>
      </w:pPr>
      <w:r>
        <w:rPr>
          <w:rFonts w:ascii="Times New Roman" w:hAnsi="Times New Roman" w:eastAsia="Times New Roman" w:cs="Times New Roman"/>
          <w:lang w:val="en-US" w:bidi="en-US"/>
          <w:color w:val="111111"/>
          <w:sz w:val="28"/>
          <w:szCs w:val="28"/>
          <w:rtl/>
        </w:rPr>
        <w:t xml:space="preserve">tārīx-e hend</w:t>
      </w:r>
    </w:p>
    <w:p>
      <w:pPr>
        <w:pStyle w:val="BookText"/>
      </w:pPr>
      <w:r>
        <w:rPr>
          <w:rFonts w:ascii="IRNazanin" w:hAnsi="IRNazanin" w:eastAsia="IRNazanin" w:cs="IRNazanin"/>
          <w:lang w:bidi="fa-IR"/>
          <w:color w:val="111111"/>
          <w:sz w:val="28"/>
          <w:szCs w:val="28"/>
          <w:rtl/>
        </w:rPr>
        <w:t xml:space="preserve">از منشی نظام الدین. در برگ ۲ چنین دارد: مصنف منشی نظام</w:t>
      </w:r>
    </w:p>
    <w:p>
      <w:pPr>
        <w:pStyle w:val="BookText"/>
      </w:pPr>
      <w:r>
        <w:rPr>
          <w:rFonts w:ascii="IRNazanin" w:hAnsi="IRNazanin" w:eastAsia="IRNazanin" w:cs="IRNazanin"/>
          <w:lang w:bidi="fa-IR"/>
          <w:color w:val="111111"/>
          <w:sz w:val="28"/>
          <w:szCs w:val="28"/>
          <w:rtl/>
        </w:rPr>
        <w:t xml:space="preserve">هندوستان احوال هندوستان جنت نشان اسکابيان يون هي.</w:t>
      </w:r>
    </w:p>
    <w:p>
      <w:pPr>
        <w:pStyle w:val="BookText"/>
      </w:pPr>
      <w:r>
        <w:rPr>
          <w:rFonts w:ascii="IRNazanin" w:hAnsi="IRNazanin" w:eastAsia="IRNazanin" w:cs="IRNazanin"/>
          <w:lang w:bidi="fa-IR"/>
          <w:color w:val="111111"/>
          <w:sz w:val="28"/>
          <w:szCs w:val="28"/>
          <w:rtl/>
        </w:rPr>
        <w:t xml:space="preserve">[دنا ۷۵۲/۲ ]</w:t>
      </w:r>
    </w:p>
    <w:p>
      <w:pPr>
        <w:pStyle w:val="BookText"/>
      </w:pPr>
      <w:r>
        <w:rPr>
          <w:rFonts w:ascii="IRNazanin" w:hAnsi="IRNazanin" w:eastAsia="IRNazanin" w:cs="IRNazanin"/>
          <w:lang w:bidi="fa-IR"/>
          <w:color w:val="111111"/>
          <w:sz w:val="28"/>
          <w:szCs w:val="28"/>
          <w:rtl/>
        </w:rPr>
        <w:t xml:space="preserve">تهران؛ سپهسالار؛ شماره نسخه: ۸۲۵۸</w:t>
      </w:r>
    </w:p>
    <w:p>
      <w:pPr>
        <w:pStyle w:val="BookText"/>
      </w:pPr>
      <w:r>
        <w:rPr>
          <w:rFonts w:ascii="IRNazanin" w:hAnsi="IRNazanin" w:eastAsia="IRNazanin" w:cs="IRNazanin"/>
          <w:lang w:bidi="fa-IR"/>
          <w:color w:val="111111"/>
          <w:sz w:val="28"/>
          <w:szCs w:val="28"/>
          <w:rtl/>
        </w:rPr>
        <w:t xml:space="preserve">آغاز: انشاء ثناء اس صانع کامل کی واسطی سزاوار هي که حسن؛ انجام: نظر اویی تو البمنصف کی خطاهی. خط: نستعلیق هندی، بی کا، تا: قرن ۱۳؛ کاغذ: هندی سفید، جلد: تیماج قهوه مقوایی، ۱۷، ۱۶ سطر،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۳-۳۰۷]</w:t>
      </w:r>
    </w:p>
    <w:p>
      <w:pPr>
        <w:pStyle w:val="Heading3"/>
      </w:pPr>
      <w:bookmarkStart w:id="2774" w:name="_Toc2034"/>
      <w:r>
        <w:t>•تاریخ هند / تاریخ هند / عربی</w:t>
      </w:r>
      <w:bookmarkEnd w:id="2774"/>
    </w:p>
    <w:p>
      <w:pPr>
        <w:pStyle w:val="BookText"/>
      </w:pPr>
      <w:r>
        <w:rPr>
          <w:rFonts w:ascii="Times New Roman" w:hAnsi="Times New Roman" w:eastAsia="Times New Roman" w:cs="Times New Roman"/>
          <w:lang w:val="en-US" w:bidi="en-US"/>
          <w:color w:val="111111"/>
          <w:sz w:val="28"/>
          <w:szCs w:val="28"/>
          <w:rtl/>
        </w:rPr>
        <w:t xml:space="preserve">tārīx-e hend</w:t>
      </w:r>
    </w:p>
    <w:p>
      <w:pPr>
        <w:pStyle w:val="BookText"/>
      </w:pPr>
      <w:r>
        <w:rPr>
          <w:rFonts w:ascii="IRNazanin" w:hAnsi="IRNazanin" w:eastAsia="IRNazanin" w:cs="IRNazanin"/>
          <w:lang w:bidi="fa-IR"/>
          <w:color w:val="111111"/>
          <w:sz w:val="28"/>
          <w:szCs w:val="28"/>
          <w:rtl/>
        </w:rPr>
        <w:t xml:space="preserve">تهران؛ مجلس؛ شماره نسخه: ۱۵۷۴۸/۲</w:t>
      </w:r>
    </w:p>
    <w:p>
      <w:pPr>
        <w:pStyle w:val="BookText"/>
      </w:pPr>
      <w:r>
        <w:rPr>
          <w:rFonts w:ascii="IRNazanin" w:hAnsi="IRNazanin" w:eastAsia="IRNazanin" w:cs="IRNazanin"/>
          <w:lang w:bidi="fa-IR"/>
          <w:color w:val="111111"/>
          <w:sz w:val="28"/>
          <w:szCs w:val="28"/>
          <w:rtl/>
        </w:rPr>
        <w:t xml:space="preserve">آغاز: من مباشر اعمالها في الهند من قطع معاش سلطان دهلی و حرمانه من ولاية زكوره و ولاية الله آباد ... نحن بعد ما تأملنا و دققنا النظر في هذه المعاهدة صوبنا الامضاء على معاهده بنارس و التقرير عليها بالتصحيح. قال مستر ملز في كتابه أن الإنگلیس؛ انجام: انگلیس جلبوا القوت من عموم الهند قبل ... و الشدة و احتكروه في مخازنهم. خط: نسخ، بی کا، تا: قرن ۱۴؛ افتادگی: آغاز و انجام؛ در متن خط خوردگی دارد؛ جلد: تیماج فرنگی، ۶۲گ (۶۲ر -۱۲۳پ)، ۱۹سطر،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۴۴-۴۱]</w:t>
      </w:r>
    </w:p>
    <w:p>
      <w:pPr>
        <w:pStyle w:val="Heading3"/>
      </w:pPr>
      <w:bookmarkStart w:id="2775" w:name="_Toc2035"/>
      <w:r>
        <w:t>•تاریخ هند / تاریخ هند / فارسی</w:t>
      </w:r>
      <w:bookmarkEnd w:id="2775"/>
    </w:p>
    <w:p>
      <w:pPr>
        <w:pStyle w:val="BookText"/>
      </w:pPr>
      <w:r>
        <w:rPr>
          <w:rFonts w:ascii="Times New Roman" w:hAnsi="Times New Roman" w:eastAsia="Times New Roman" w:cs="Times New Roman"/>
          <w:lang w:val="en-US" w:bidi="en-US"/>
          <w:color w:val="111111"/>
          <w:sz w:val="28"/>
          <w:szCs w:val="28"/>
          <w:rtl/>
        </w:rPr>
        <w:t xml:space="preserve">tārīx-e hend</w:t>
      </w:r>
    </w:p>
    <w:p>
      <w:pPr>
        <w:pStyle w:val="BookText"/>
      </w:pPr>
      <w:r>
        <w:rPr>
          <w:rFonts w:ascii="IRNazanin" w:hAnsi="IRNazanin" w:eastAsia="IRNazanin" w:cs="IRNazanin"/>
          <w:lang w:bidi="fa-IR"/>
          <w:color w:val="111111"/>
          <w:sz w:val="28"/>
          <w:szCs w:val="28"/>
          <w:rtl/>
        </w:rPr>
        <w:t xml:space="preserve">غیر همانند: 1. تهران؛ سپهسالار؛ شماره نسخه:۱۵۰۹</w:t>
      </w:r>
    </w:p>
    <w:p>
      <w:pPr>
        <w:pStyle w:val="BookText"/>
      </w:pPr>
      <w:r>
        <w:rPr>
          <w:rFonts w:ascii="IRNazanin" w:hAnsi="IRNazanin" w:eastAsia="IRNazanin" w:cs="IRNazanin"/>
          <w:lang w:bidi="fa-IR"/>
          <w:color w:val="111111"/>
          <w:sz w:val="28"/>
          <w:szCs w:val="28"/>
          <w:rtl/>
        </w:rPr>
        <w:t xml:space="preserve">آغاز: سازد اندر سایه او باز نصرت آشیان. شعر: يسير حواليها الملوک با وجه *** تباهی ظبي اسيافهم صفحاتها؛ انجام: کلما رمت لونه منع الناظر موج كانه مسک حصار و دقیق قذ الهباء انيق متوال في متمم مزهار کتابی است مانند «تاج المآثر» و ليكن پس از آن نگاشته شده است. با این عناوین: سرگذشت ناصر الدین محمود سنه ۶۱۴ (مانند تاج المآثر در فصل آخر)، مرگ سلطان قطب الدین، جلوس سلطان شمس الدین در ۶۰۷ق، فتح جالیور، شکست غزنین و گرفتاری ملا تاج الدین بلدی؛ خط: نسخ، بی کا، تا: قرن ۸؛ افتادگی: آغاز و انجام؛ تملك: اعتضاد ۱۲۸۴ق؛ واقف: سپهسالار، ۱۲۹۷ق، کاغذ: سمرقندی، جلد: تیماج مشکی، ۳۱گ، ۲۵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۳-۳۰۷)</w:t>
      </w:r>
    </w:p>
    <w:p>
      <w:pPr>
        <w:pStyle w:val="BookText"/>
      </w:pPr>
      <w:r>
        <w:rPr>
          <w:rFonts w:ascii="IRNazanin" w:hAnsi="IRNazanin" w:eastAsia="IRNazanin" w:cs="IRNazanin"/>
          <w:lang w:bidi="fa-IR"/>
          <w:color w:val="111111"/>
          <w:sz w:val="28"/>
          <w:szCs w:val="28"/>
          <w:rtl/>
        </w:rPr>
        <w:t xml:space="preserve">۲. مشهد؛ الهیات؛ شماره نسخه:۲۳۷۴۲</w:t>
      </w:r>
    </w:p>
    <w:p>
      <w:pPr>
        <w:pStyle w:val="BookText"/>
      </w:pPr>
      <w:r>
        <w:rPr>
          <w:rFonts w:ascii="IRNazanin" w:hAnsi="IRNazanin" w:eastAsia="IRNazanin" w:cs="IRNazanin"/>
          <w:lang w:bidi="fa-IR"/>
          <w:color w:val="111111"/>
          <w:sz w:val="28"/>
          <w:szCs w:val="28"/>
          <w:rtl/>
        </w:rPr>
        <w:t xml:space="preserve">آغاز: چینی و مس و طلا و آلات از قسم کمر مرصع و نسخه ای است آشفته و چنین می نماید که شرح وقایع زندگی پسر جلال الدین اکبر شاه پادشاه هند (۱۰۲۹ق) می باشد. در صفحه ۱۴۳ نسخه آمده: «در تاریخ پنجم شهر ربيع الاول ۱۰۲۹ق، در دو منزلى لاهور نزول واقع شد و سر کار عمارت از لاهور بكورنش ما سرافراز گشت که عمارت با تمام رسده و دلخواه ساخته و در یکسال و نیم هزار و هشتصد لک روپيه خرج عمارت شده ...» به خط: نستعلیق، بی کا، تا: قرن ۱۱؛ افتادگی: آغاز و انجام؛ کاغذ: هندی، جلد: تیماج سرخ، ۱۰۵گ، ۱۴ سطر (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 اندازه: 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۱۸/۵ سم [ف: ۳-۱۰۰۱]</w:t>
      </w:r>
    </w:p>
    <w:p>
      <w:pPr>
        <w:pStyle w:val="BookText"/>
      </w:pPr>
      <w:r>
        <w:rPr>
          <w:rFonts w:ascii="IRNazanin" w:hAnsi="IRNazanin" w:eastAsia="IRNazanin" w:cs="IRNazanin"/>
          <w:lang w:bidi="fa-IR"/>
          <w:color w:val="111111"/>
          <w:sz w:val="28"/>
          <w:szCs w:val="28"/>
          <w:rtl/>
        </w:rPr>
        <w:t xml:space="preserve">٣. تهران: ملک؛ شماره نسخه:۳۹۳۰/۱</w:t>
      </w:r>
    </w:p>
    <w:p>
      <w:pPr>
        <w:pStyle w:val="BookText"/>
      </w:pPr>
      <w:r>
        <w:rPr>
          <w:rFonts w:ascii="IRNazanin" w:hAnsi="IRNazanin" w:eastAsia="IRNazanin" w:cs="IRNazanin"/>
          <w:lang w:bidi="fa-IR"/>
          <w:color w:val="111111"/>
          <w:sz w:val="28"/>
          <w:szCs w:val="28"/>
          <w:rtl/>
        </w:rPr>
        <w:t xml:space="preserve">آغاز: و چون ایام جوانی گذشته ... و این منقسم بر چهار فصل شده، والله اعلم بالصواب. فصل اول از تاریخ سنه ۹۴۹(و سال به سال است از فصل اول تاریخ ۹۴۹ که حضرت همایون پادشاه به سبب بی مهری برادران از تبریز آمده متوجه خراسان و عراق و ملاقات حضرت شاه طهماسب شد؛ انجام: در سنه ۹۹۸ که در بلده لاهور فوت کرد و قبل از اینکه فوت کند خدمت مشارالیه را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bookmarkStart w:id="614" w:name="pg20363_209940"/>
    <w:bookmarkEnd w:id="614"/>
    <w:p>
      <w:pPr>
        <w:pStyle w:val="BookText"/>
      </w:pPr>
      <w:r>
        <w:rPr>
          <w:rFonts w:ascii="IRNazanin" w:hAnsi="IRNazanin" w:eastAsia="IRNazanin" w:cs="IRNazanin"/>
          <w:lang w:bidi="fa-IR"/>
          <w:color w:val="111111"/>
          <w:sz w:val="28"/>
          <w:szCs w:val="28"/>
          <w:rtl/>
        </w:rPr>
        <w:t xml:space="preserve">به نواب محمد قلج محمد خان خط: نستعلیق، بی کا، تا: آغاز قرن ۱۱؛ افتادگی: آغاز و انجام؛ مجدول شنگرف؛ کاغذ: ترمه، جلد: میشن قهوه ای، ۱۵ سطر، اندازه: ۲۸/۶۶۱۸/۸</w:t>
      </w:r>
    </w:p>
    <w:p>
      <w:pPr>
        <w:pStyle w:val="BookText"/>
      </w:pPr>
      <w:r>
        <w:rPr>
          <w:rFonts w:ascii="IRNazanin" w:hAnsi="IRNazanin" w:eastAsia="IRNazanin" w:cs="IRNazanin"/>
          <w:lang w:bidi="fa-IR"/>
          <w:color w:val="111111"/>
          <w:sz w:val="28"/>
          <w:szCs w:val="28"/>
          <w:rtl/>
        </w:rPr>
        <w:t xml:space="preserve">سم [ف: ۷-۱۱۱]</w:t>
      </w:r>
    </w:p>
    <w:p>
      <w:pPr>
        <w:pStyle w:val="BookText"/>
      </w:pPr>
      <w:r>
        <w:rPr>
          <w:rFonts w:ascii="IRNazanin" w:hAnsi="IRNazanin" w:eastAsia="IRNazanin" w:cs="IRNazanin"/>
          <w:lang w:bidi="fa-IR"/>
          <w:color w:val="111111"/>
          <w:sz w:val="28"/>
          <w:szCs w:val="28"/>
          <w:rtl/>
        </w:rPr>
        <w:t xml:space="preserve">۴. قم؛ مرعشی؛ شماره نسخه: ۴۸۷۰</w:t>
      </w:r>
    </w:p>
    <w:p>
      <w:pPr>
        <w:pStyle w:val="BookText"/>
      </w:pPr>
      <w:r>
        <w:rPr>
          <w:rFonts w:ascii="IRNazanin" w:hAnsi="IRNazanin" w:eastAsia="IRNazanin" w:cs="IRNazanin"/>
          <w:lang w:bidi="fa-IR"/>
          <w:color w:val="111111"/>
          <w:sz w:val="28"/>
          <w:szCs w:val="28"/>
          <w:rtl/>
        </w:rPr>
        <w:t xml:space="preserve">آغاز: کس نامه انوار جلی ننویسد *** تا بر سر او هو العلی ننویسد ... طلیعه صباح ستایش بی آلایش پرتو انگیز فضای دلگشای احدی یکتا و واحدی بی همتاست، انجام: و لهذا بر این مقدار از گفتار اختصار افتاد بالنبی و آله الامجاد سرگذشت و حوادث و وقایع هند و رویدادهای آن سرزمین است از سال ۵۸۷ با انشائی ادبی و ابیاتی به فارسی و عربی. این کتاب بر فراز صفحه اول به ابوریحان بیرونی نسبت داده شده و درست نیست؛ خط: نستعلیق، بی کا، تا: قرن ۱۲؛ برگ اول و آخر نونویس و به خط شاهرویردی بن جمال الدين می باشد؛ جلد: مقوایی عطف تیماج مشکی، ۱۲۷گ، ۱۹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[ف: ۵۴-۱۳]</w:t>
      </w:r>
    </w:p>
    <w:p>
      <w:pPr>
        <w:pStyle w:val="BookText"/>
      </w:pPr>
      <w:r>
        <w:rPr>
          <w:rFonts w:ascii="IRNazanin" w:hAnsi="IRNazanin" w:eastAsia="IRNazanin" w:cs="IRNazanin"/>
          <w:lang w:bidi="fa-IR"/>
          <w:color w:val="111111"/>
          <w:sz w:val="28"/>
          <w:szCs w:val="28"/>
          <w:rtl/>
        </w:rPr>
        <w:t xml:space="preserve">۵. تهران؛ ملک؛ شماره نسخه: ۶۴۴۱</w:t>
      </w:r>
    </w:p>
    <w:p>
      <w:pPr>
        <w:pStyle w:val="BookText"/>
      </w:pPr>
      <w:r>
        <w:rPr>
          <w:rFonts w:ascii="IRNazanin" w:hAnsi="IRNazanin" w:eastAsia="IRNazanin" w:cs="IRNazanin"/>
          <w:lang w:bidi="fa-IR"/>
          <w:color w:val="111111"/>
          <w:sz w:val="28"/>
          <w:szCs w:val="28"/>
          <w:rtl/>
        </w:rPr>
        <w:t xml:space="preserve">آغاز: گوناگون خلقت و رنگارنگی آفرینش از مكامن خفا ...( پس از نه برگ موضوع کتاب اینگونه آغاز می شود): هندوستان ملکيست وسیع و ولایتی است بس فراخ که ولایات دیگر بعشر عشيرة انجام: سال چهل و نهم بلایی نورانی جمال ماه جمادی الاول آغاز سال ... بهادر زیب ارشاد شد که ولیعهد بهادر ... از ابتدای راجه جد هشتر پاندوان تا منتهاح راج پنهو که خاتمه سلطنت جماعت هنود است و سلاطین اسلام از ناصرالدین سبکتکین تا محمد اورنگ زیب. مؤلف این کتاب را در مدت دو سال از هزار و یکصد و هفت هجری از کتابهای مربوط بتاريخ هند گزین کرده است؛ خط: نستعلیق، بی کا، تا: قرن ۱۲ و ۱۳؛ افتادگی: آغاز و انجام کاغذ: کاغذ نوعی ترمه، جلد: تیماج قهوه ای، ۳۹۴گ، ۱۶ سطر، اندازه: ۱۶/۲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۲-۹۵]</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باقر رقت (ترقی)؛ شماره نسخه:بدون شماره</w:t>
      </w:r>
    </w:p>
    <w:p>
      <w:pPr>
        <w:pStyle w:val="BookText"/>
      </w:pPr>
      <w:r>
        <w:rPr>
          <w:rFonts w:ascii="IRNazanin" w:hAnsi="IRNazanin" w:eastAsia="IRNazanin" w:cs="IRNazanin"/>
          <w:lang w:bidi="fa-IR"/>
          <w:color w:val="111111"/>
          <w:sz w:val="28"/>
          <w:szCs w:val="28"/>
          <w:rtl/>
        </w:rPr>
        <w:t xml:space="preserve">آغاز: انتخاب صحایف ایجاد صوفيانه در خطبه نام میرزا محمد کاظم عالمگیر نامه نویس آمده و گفته شده که خلاصه کتاب اوست؛ بی کا، بی تا [میراث اسلامی: ۵-۶۲۳]</w:t>
      </w:r>
    </w:p>
    <w:p>
      <w:pPr>
        <w:pStyle w:val="Heading3"/>
      </w:pPr>
      <w:bookmarkStart w:id="2776" w:name="_Toc2036"/>
      <w:r>
        <w:t>•تاریخ هند = تاریخ محمد شاه / تاریخ هند / فارسی</w:t>
      </w:r>
      <w:bookmarkEnd w:id="2776"/>
    </w:p>
    <w:p>
      <w:pPr>
        <w:pStyle w:val="BookText"/>
      </w:pPr>
      <w:r>
        <w:rPr>
          <w:rFonts w:ascii="Times New Roman" w:hAnsi="Times New Roman" w:eastAsia="Times New Roman" w:cs="Times New Roman"/>
          <w:lang w:val="en-US" w:bidi="en-US"/>
          <w:color w:val="111111"/>
          <w:sz w:val="28"/>
          <w:szCs w:val="28"/>
          <w:rtl/>
        </w:rPr>
        <w:t xml:space="preserve">tārīx-e hend = tārīx-e mohammad-šāh</w:t>
      </w:r>
    </w:p>
    <w:p>
      <w:pPr>
        <w:pStyle w:val="BookText"/>
      </w:pPr>
      <w:r>
        <w:rPr>
          <w:rFonts w:ascii="IRNazanin" w:hAnsi="IRNazanin" w:eastAsia="IRNazanin" w:cs="IRNazanin"/>
          <w:lang w:bidi="fa-IR"/>
          <w:color w:val="111111"/>
          <w:sz w:val="28"/>
          <w:szCs w:val="28"/>
          <w:rtl/>
        </w:rPr>
        <w:t xml:space="preserve">در این رساله تاریخ سلطنت محمد شاه که در بیجار پور بعد از مرگ پدرش اورنگ زیب به سلطنت رسیده بیان گردیده است.</w:t>
      </w:r>
    </w:p>
    <w:p>
      <w:pPr>
        <w:pStyle w:val="BookText"/>
      </w:pPr>
      <w:r>
        <w:rPr>
          <w:rFonts w:ascii="IRNazanin" w:hAnsi="IRNazanin" w:eastAsia="IRNazanin" w:cs="IRNazanin"/>
          <w:lang w:bidi="fa-IR"/>
          <w:color w:val="111111"/>
          <w:sz w:val="28"/>
          <w:szCs w:val="28"/>
          <w:rtl/>
        </w:rPr>
        <w:t xml:space="preserve">قم، گلپایگانی؛ شماره نسخه: ۲۰۵۱/۲ - ۱۱/۱۵۱</w:t>
      </w:r>
    </w:p>
    <w:p>
      <w:pPr>
        <w:pStyle w:val="BookText"/>
      </w:pPr>
      <w:r>
        <w:rPr>
          <w:rFonts w:ascii="IRNazanin" w:hAnsi="IRNazanin" w:eastAsia="IRNazanin" w:cs="IRNazanin"/>
          <w:lang w:bidi="fa-IR"/>
          <w:color w:val="111111"/>
          <w:sz w:val="28"/>
          <w:szCs w:val="28"/>
          <w:rtl/>
        </w:rPr>
        <w:t xml:space="preserve">آغاز: مشاطه جادو نگار قلم کردن و گوش عرائس سخن را ... این سوراخ فرحت انگیز ... ابوالمظفر محى الدين محمد اورنگ زیب عالم گیر پادشاه انجام این است حقائق دو كان شاه کامد بقلم نظر زدلخواه</w:t>
      </w:r>
    </w:p>
    <w:p>
      <w:pPr>
        <w:pStyle w:val="BookText"/>
      </w:pPr>
      <w:r>
        <w:rPr>
          <w:rFonts w:ascii="IRNazanin" w:hAnsi="IRNazanin" w:eastAsia="IRNazanin" w:cs="IRNazanin"/>
          <w:lang w:bidi="fa-IR"/>
          <w:color w:val="111111"/>
          <w:sz w:val="28"/>
          <w:szCs w:val="28"/>
          <w:rtl/>
        </w:rPr>
        <w:t xml:space="preserve">خط: نستعلیق، بی کا، تا: قرن ۱۳؛ جلد: مقوا، ۱۴گ، ۱۲-۱۳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۲-۷۰۵]</w:t>
      </w:r>
    </w:p>
    <w:p>
      <w:pPr>
        <w:pStyle w:val="Heading3"/>
      </w:pPr>
      <w:bookmarkStart w:id="2777" w:name="_Toc2037"/>
      <w:r>
        <w:t>•تاریخ هند (ترجمه) / تاریخ هند / فارسی</w:t>
      </w:r>
      <w:bookmarkEnd w:id="2777"/>
    </w:p>
    <w:p>
      <w:pPr>
        <w:pStyle w:val="BookText"/>
      </w:pPr>
      <w:r>
        <w:rPr>
          <w:rFonts w:ascii="Times New Roman" w:hAnsi="Times New Roman" w:eastAsia="Times New Roman" w:cs="Times New Roman"/>
          <w:lang w:val="en-US" w:bidi="en-US"/>
          <w:color w:val="111111"/>
          <w:sz w:val="28"/>
          <w:szCs w:val="28"/>
          <w:rtl/>
        </w:rPr>
        <w:t xml:space="preserve">tārīx-e hend (t.)</w:t>
      </w:r>
    </w:p>
    <w:p>
      <w:pPr>
        <w:pStyle w:val="BookText"/>
      </w:pPr>
      <w:r>
        <w:rPr>
          <w:rFonts w:ascii="IRNazanin" w:hAnsi="IRNazanin" w:eastAsia="IRNazanin" w:cs="IRNazanin"/>
          <w:lang w:bidi="fa-IR"/>
          <w:color w:val="111111"/>
          <w:sz w:val="28"/>
          <w:szCs w:val="28"/>
          <w:rtl/>
        </w:rPr>
        <w:t xml:space="preserve">فخر داعی گیلانی، محمد تقی، ۱۲۶۰-۱۳۴۳ شمسی</w:t>
      </w:r>
    </w:p>
    <w:p>
      <w:pPr>
        <w:pStyle w:val="BookText"/>
      </w:pPr>
      <w:r>
        <w:rPr>
          <w:rFonts w:ascii="Times New Roman" w:hAnsi="Times New Roman" w:eastAsia="Times New Roman" w:cs="Times New Roman"/>
          <w:lang w:val="en-US" w:bidi="en-US"/>
          <w:color w:val="111111"/>
          <w:sz w:val="28"/>
          <w:szCs w:val="28"/>
          <w:rtl/>
        </w:rPr>
        <w:t xml:space="preserve">faxr dāʻī-ye gīlānī, mohammad taqi (1881-1964)</w:t>
      </w:r>
    </w:p>
    <w:p>
      <w:pPr>
        <w:pStyle w:val="BookText"/>
      </w:pPr>
      <w:r>
        <w:rPr>
          <w:rFonts w:ascii="IRNazanin" w:hAnsi="IRNazanin" w:eastAsia="IRNazanin" w:cs="IRNazanin"/>
          <w:lang w:bidi="fa-IR"/>
          <w:color w:val="111111"/>
          <w:sz w:val="28"/>
          <w:szCs w:val="28"/>
          <w:rtl/>
        </w:rPr>
        <w:t xml:space="preserve">اصل کتاب از دولافوز ام. آی. آکسفورد</w:t>
      </w:r>
    </w:p>
    <w:p>
      <w:pPr>
        <w:pStyle w:val="BookText"/>
      </w:pPr>
      <w:r>
        <w:rPr>
          <w:rFonts w:ascii="IRNazanin" w:hAnsi="IRNazanin" w:eastAsia="IRNazanin" w:cs="IRNazanin"/>
          <w:lang w:bidi="fa-IR"/>
          <w:color w:val="111111"/>
          <w:sz w:val="28"/>
          <w:szCs w:val="28"/>
          <w:rtl/>
        </w:rPr>
        <w:t xml:space="preserve">تهران؛ مجلس؛ شماره نسخه:۱۱۲۲۹</w:t>
      </w:r>
    </w:p>
    <w:p>
      <w:pPr>
        <w:pStyle w:val="BookText"/>
      </w:pPr>
      <w:r>
        <w:rPr>
          <w:rFonts w:ascii="IRNazanin" w:hAnsi="IRNazanin" w:eastAsia="IRNazanin" w:cs="IRNazanin"/>
          <w:lang w:bidi="fa-IR"/>
          <w:color w:val="111111"/>
          <w:sz w:val="28"/>
          <w:szCs w:val="28"/>
          <w:rtl/>
        </w:rPr>
        <w:t xml:space="preserve">خط: تحریری، کاتب = مؤلف، تا: قرن ۱۴ [مختصر ف: ۱۵۹]</w:t>
      </w:r>
    </w:p>
    <w:p>
      <w:pPr>
        <w:pStyle w:val="Heading3"/>
      </w:pPr>
      <w:bookmarkStart w:id="2778" w:name="_Toc2038"/>
      <w:r>
        <w:t>•تاریخ هندوستان / تاریخ هند / فارسی</w:t>
      </w:r>
      <w:bookmarkEnd w:id="2778"/>
    </w:p>
    <w:p>
      <w:pPr>
        <w:pStyle w:val="BookText"/>
      </w:pPr>
      <w:r>
        <w:rPr>
          <w:rFonts w:ascii="Times New Roman" w:hAnsi="Times New Roman" w:eastAsia="Times New Roman" w:cs="Times New Roman"/>
          <w:lang w:val="en-US" w:bidi="en-US"/>
          <w:color w:val="111111"/>
          <w:sz w:val="28"/>
          <w:szCs w:val="28"/>
          <w:rtl/>
        </w:rPr>
        <w:t xml:space="preserve">tārīx-e hendūstān</w:t>
      </w:r>
    </w:p>
    <w:p>
      <w:pPr>
        <w:pStyle w:val="BookText"/>
      </w:pPr>
      <w:r>
        <w:rPr>
          <w:rFonts w:ascii="IRNazanin" w:hAnsi="IRNazanin" w:eastAsia="IRNazanin" w:cs="IRNazanin"/>
          <w:lang w:bidi="fa-IR"/>
          <w:color w:val="111111"/>
          <w:sz w:val="28"/>
          <w:szCs w:val="28"/>
          <w:rtl/>
        </w:rPr>
        <w:t xml:space="preserve">طغرل، على محمد، ق ۱۴ قمری</w:t>
      </w:r>
    </w:p>
    <w:p>
      <w:pPr>
        <w:pStyle w:val="BookText"/>
      </w:pPr>
      <w:r>
        <w:rPr>
          <w:rFonts w:ascii="Times New Roman" w:hAnsi="Times New Roman" w:eastAsia="Times New Roman" w:cs="Times New Roman"/>
          <w:lang w:val="en-US" w:bidi="en-US"/>
          <w:color w:val="111111"/>
          <w:sz w:val="28"/>
          <w:szCs w:val="28"/>
          <w:rtl/>
        </w:rPr>
        <w:t xml:space="preserve">toqrol, “alī mohammad (-20c)</w:t>
      </w:r>
    </w:p>
    <w:p>
      <w:pPr>
        <w:pStyle w:val="BookText"/>
      </w:pPr>
      <w:r>
        <w:rPr>
          <w:rFonts w:ascii="IRNazanin" w:hAnsi="IRNazanin" w:eastAsia="IRNazanin" w:cs="IRNazanin"/>
          <w:lang w:bidi="fa-IR"/>
          <w:color w:val="111111"/>
          <w:sz w:val="28"/>
          <w:szCs w:val="28"/>
          <w:rtl/>
        </w:rPr>
        <w:t xml:space="preserve">وابسته به: عالم نمای مسعودی؛ طغرل، على محمد (-۱۴) اهدا به: ظل السلطان (به امر) تاریخ تأليف: سه شنبه ۱۷ محرم ۱۳۱۴ق تاریخی از ابتدای دورانی که هندوستان به چنگ انگلیس ها افتاد تا تاریخ تحریر. به نظر می رسد که این کتاب متمم عالم نمای مسعودی باشد. (محمد علی هدایت) آغاز: اگر چه از این کتاب مقصود اصلی افتادن هندوستان بچنگ دولت قوی شو کت انگلیس و چگونه از دست دادن مسلمانان خارج شدنست در آن مقصد انجام: مملکت موصوف دارای شش کرور جمعیت و دو کرور نیم تومان مالیات است اما معلومات از مملکت نپال سوای درالخلافه آنجا خبر نداریم</w:t>
      </w:r>
    </w:p>
    <w:p>
      <w:pPr>
        <w:pStyle w:val="BookText"/>
      </w:pPr>
      <w:r>
        <w:rPr>
          <w:rFonts w:ascii="IRNazanin" w:hAnsi="IRNazanin" w:eastAsia="IRNazanin" w:cs="IRNazanin"/>
          <w:lang w:bidi="fa-IR"/>
          <w:color w:val="111111"/>
          <w:sz w:val="28"/>
          <w:szCs w:val="28"/>
          <w:rtl/>
        </w:rPr>
        <w:t xml:space="preserve">[دنا ۷۵۲/۲ ؛ فهرسنواره منزوی ۱۲۱۷/۲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اصفهان؛ صارم الدوله (كتابخانه فرهنگ اصفهان، شماره نسخه: ۹۰۳/۱</w:t>
      </w:r>
    </w:p>
    <w:p>
      <w:pPr>
        <w:pStyle w:val="BookText"/>
      </w:pPr>
      <w:r>
        <w:rPr>
          <w:rFonts w:ascii="IRNazanin" w:hAnsi="IRNazanin" w:eastAsia="IRNazanin" w:cs="IRNazanin"/>
          <w:lang w:bidi="fa-IR"/>
          <w:color w:val="111111"/>
          <w:sz w:val="28"/>
          <w:szCs w:val="28"/>
          <w:rtl/>
        </w:rPr>
        <w:t xml:space="preserve">خط: نسخ، بی کا، تا: قرن ۱۴؛ ۴۷ص (۱-۴۷)، ۱۹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۴۱]</w:t>
      </w:r>
    </w:p>
    <w:p>
      <w:pPr>
        <w:pStyle w:val="BookText"/>
      </w:pPr>
      <w:r>
        <w:rPr>
          <w:rFonts w:ascii="IRNazanin" w:hAnsi="IRNazanin" w:eastAsia="IRNazanin" w:cs="IRNazanin"/>
          <w:lang w:bidi="fa-IR"/>
          <w:color w:val="111111"/>
          <w:sz w:val="28"/>
          <w:szCs w:val="28"/>
          <w:rtl/>
        </w:rPr>
        <w:t xml:space="preserve">٢. اصفهان؛ صارم الدوله (كتابخانه فرهنگ اصفهان، شماره نسخه: ۹۰۱/۱</w:t>
      </w:r>
    </w:p>
    <w:p>
      <w:pPr>
        <w:pStyle w:val="BookText"/>
      </w:pPr>
      <w:r>
        <w:rPr>
          <w:rFonts w:ascii="IRNazanin" w:hAnsi="IRNazanin" w:eastAsia="IRNazanin" w:cs="IRNazanin"/>
          <w:lang w:bidi="fa-IR"/>
          <w:color w:val="111111"/>
          <w:sz w:val="28"/>
          <w:szCs w:val="28"/>
          <w:rtl/>
        </w:rPr>
        <w:t xml:space="preserve">آغاز و انجام: برابر خط: نستعلیق، كان محمد حسن طباطبائی محر نائینی، تا: محرم ۱۳۱۴ق؛ ۴۷ص (۱-۴۷)، ۱۷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۳۸]</w:t>
      </w:r>
    </w:p>
    <w:p>
      <w:pPr>
        <w:pStyle w:val="Heading3"/>
      </w:pPr>
      <w:bookmarkStart w:id="2779" w:name="_Toc2039"/>
      <w:r>
        <w:t>•تاریخ هندوستان = تاریخ پنجاب جغرافیای مملکت پنجاب / تاریخ هند / فارسی = تاریخ و</w:t>
      </w:r>
      <w:bookmarkEnd w:id="2779"/>
    </w:p>
    <w:p>
      <w:pPr>
        <w:pStyle w:val="BookText"/>
      </w:pPr>
      <w:r>
        <w:rPr>
          <w:rFonts w:ascii="Times New Roman" w:hAnsi="Times New Roman" w:eastAsia="Times New Roman" w:cs="Times New Roman"/>
          <w:lang w:val="en-US" w:bidi="en-US"/>
          <w:color w:val="111111"/>
          <w:sz w:val="28"/>
          <w:szCs w:val="28"/>
          <w:rtl/>
        </w:rPr>
        <w:t xml:space="preserve">tārīx-e hendūstān = tārīx-e panjāb = tārīx-e v joqrāfiya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bookmarkStart w:id="615" w:name="pg20363_209941"/>
    <w:bookmarkEnd w:id="615"/>
    <w:p>
      <w:pPr>
        <w:pStyle w:val="BookText"/>
      </w:pPr>
      <w:r>
        <w:rPr>
          <w:rFonts w:ascii="Times New Roman" w:hAnsi="Times New Roman" w:eastAsia="Times New Roman" w:cs="Times New Roman"/>
          <w:lang w:val="en-US" w:bidi="en-US"/>
          <w:color w:val="111111"/>
          <w:sz w:val="28"/>
          <w:szCs w:val="28"/>
          <w:rtl/>
        </w:rPr>
        <w:t xml:space="preserve">ye mamlekat-e panjāb</w:t>
      </w:r>
    </w:p>
    <w:p>
      <w:pPr>
        <w:pStyle w:val="BookText"/>
      </w:pPr>
      <w:r>
        <w:rPr>
          <w:rFonts w:ascii="IRNazanin" w:hAnsi="IRNazanin" w:eastAsia="IRNazanin" w:cs="IRNazanin"/>
          <w:lang w:bidi="fa-IR"/>
          <w:color w:val="111111"/>
          <w:sz w:val="28"/>
          <w:szCs w:val="28"/>
          <w:rtl/>
        </w:rPr>
        <w:t xml:space="preserve">فارسی، حسین بن رضا، ق ۱۴ قمری</w:t>
      </w:r>
    </w:p>
    <w:p>
      <w:pPr>
        <w:pStyle w:val="BookText"/>
      </w:pPr>
      <w:r>
        <w:rPr>
          <w:rFonts w:ascii="Times New Roman" w:hAnsi="Times New Roman" w:eastAsia="Times New Roman" w:cs="Times New Roman"/>
          <w:lang w:val="en-US" w:bidi="en-US"/>
          <w:color w:val="111111"/>
          <w:sz w:val="28"/>
          <w:szCs w:val="28"/>
          <w:rtl/>
        </w:rPr>
        <w:t xml:space="preserve">fārsī, hoseyn ebn-e rezā (-20c)</w:t>
      </w:r>
    </w:p>
    <w:p>
      <w:pPr>
        <w:pStyle w:val="BookText"/>
      </w:pPr>
      <w:r>
        <w:rPr>
          <w:rFonts w:ascii="IRNazanin" w:hAnsi="IRNazanin" w:eastAsia="IRNazanin" w:cs="IRNazanin"/>
          <w:lang w:bidi="fa-IR"/>
          <w:color w:val="111111"/>
          <w:sz w:val="28"/>
          <w:szCs w:val="28"/>
          <w:rtl/>
        </w:rPr>
        <w:t xml:space="preserve">اهدا به: ناصر الدین شاه قاجار (۱۲۶۴-۱۳۱۳ق) و ظل السلطان مسعود میرزا (پسر او)  محل تألیف: اصفهان مختصری است از تاریخ هندوستان شامل فواید جغرافیایی و مطالب تاریخی در زمان استیلای انگلستان بر هندوستان. حسین فارسی که مدتی برای تحصیل فنون و دانش و اطلاع بر السنه مختلفه هند در هندوستان می زیسته بعد از مراجعت به وطن در زمان سلطنت ناصرالدین شاه قاجار همت به ترجمه این تاریخ گماشته و تقدیم پادشاه وقت کرده است به اضافه عکس های بقاع و ابنیه تاریخی مملکت پنجاب. آغاز: بسمله الحمدلله الذي جعل اللسان ترجمانا للبيان و جعل البيان مفسرة عمانی الجنان ... چنین مینگارد ... العاصی سید حسین بن سید رضای فارسی ... بخاطر گذشتم که بتوفيقات یزدانی و تشویقات حضرت صاحبقرانی کتاب مؤلف مولوی سید محمد نصرت علیخان دهلوی ... جامع استقرای جغرافیای تمامت مساحت مملکت پنجاب ... اعداد اشخاص و نفوس و بیان مذاهب و ادیان و بنیان دور و قصور و قلاع و بقاع است ... بزبان فارسی و بیان پهلوی ترجمانی نماید ... بر ساکنان ربع مسكون ... مستور نماناد که از جمله شعب کشور هندوستان یکی مملکت پیج آبست که پنجاب نیز انجام: زبان مردم اینجا اردو و پشتو و پنجابی است و این ممالک مذکوره در اقسام عشره کل در قبضه دولت انگلیس است.</w:t>
      </w:r>
    </w:p>
    <w:p>
      <w:pPr>
        <w:pStyle w:val="BookText"/>
      </w:pPr>
      <w:r>
        <w:rPr>
          <w:rFonts w:ascii="IRNazanin" w:hAnsi="IRNazanin" w:eastAsia="IRNazanin" w:cs="IRNazanin"/>
          <w:lang w:bidi="fa-IR"/>
          <w:color w:val="111111"/>
          <w:sz w:val="28"/>
          <w:szCs w:val="28"/>
          <w:rtl/>
        </w:rPr>
        <w:t xml:space="preserve">[فهرستواره منزوی ۱۲۱۴/۲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اصفهان؛ صارم الدوله (کتابخانه فرهنگ اصفهان)؛ شماره نسخه:۹۲۶</w:t>
      </w:r>
    </w:p>
    <w:p>
      <w:pPr>
        <w:pStyle w:val="BookText"/>
      </w:pPr>
      <w:r>
        <w:rPr>
          <w:rFonts w:ascii="IRNazanin" w:hAnsi="IRNazanin" w:eastAsia="IRNazanin" w:cs="IRNazanin"/>
          <w:lang w:bidi="fa-IR"/>
          <w:color w:val="111111"/>
          <w:sz w:val="28"/>
          <w:szCs w:val="28"/>
          <w:rtl/>
        </w:rPr>
        <w:t xml:space="preserve">آغاز: برابر؛ انجام: بیان دو ضلع سیم از قسمت دهم مملکت پنچاب ...</w:t>
      </w:r>
    </w:p>
    <w:p>
      <w:pPr>
        <w:pStyle w:val="BookText"/>
      </w:pPr>
      <w:r>
        <w:rPr>
          <w:rFonts w:ascii="IRNazanin" w:hAnsi="IRNazanin" w:eastAsia="IRNazanin" w:cs="IRNazanin"/>
          <w:lang w:bidi="fa-IR"/>
          <w:color w:val="111111"/>
          <w:sz w:val="28"/>
          <w:szCs w:val="28"/>
          <w:rtl/>
        </w:rPr>
        <w:t xml:space="preserve">خط: نستعلیق، کا: محمد بن حاج محمد قلی قزوینی معروف به آشوری، تا: ۲۰ ذیحجه ۱۳۰۰ق؛ با سرلوحه مذهب بسیار ظریف، مذهب؛ ۱۲۴ص، ۱۲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۵۹]</w:t>
      </w:r>
    </w:p>
    <w:p>
      <w:pPr>
        <w:pStyle w:val="BookText"/>
      </w:pPr>
      <w:r>
        <w:rPr>
          <w:rFonts w:ascii="IRNazanin" w:hAnsi="IRNazanin" w:eastAsia="IRNazanin" w:cs="IRNazanin"/>
          <w:lang w:bidi="fa-IR"/>
          <w:color w:val="111111"/>
          <w:sz w:val="28"/>
          <w:szCs w:val="28"/>
          <w:rtl/>
        </w:rPr>
        <w:t xml:space="preserve">۲. تهران؛ مجلس؛ شماره نسخه: ۲۲۸۹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تعلیق، کا: محمد بن ... حاجی محمد قلی قزوینی معروف به عاشوری، تا: ۱۳۰۰ق؛ این نسخه متعلق بمرحوم حاج میرزا علی خان امین الدوله صدراعظم معروف ایران بوده و بخط خود نوشته: «دخل في نوبتی» و مهر «امین الدوله» را زده؛ کاغذ: فرنگی آهار مهره، جلد: تیماج کبود، ۱۲۸ص، ۱۲سطر، اندازه: ۱۷/۵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۲۵/۵ سم [ف: ۶-۲۴۲]</w:t>
      </w:r>
    </w:p>
    <w:p>
      <w:pPr>
        <w:pStyle w:val="BookText"/>
      </w:pPr>
      <w:r>
        <w:rPr>
          <w:rFonts w:ascii="IRNazanin" w:hAnsi="IRNazanin" w:eastAsia="IRNazanin" w:cs="IRNazanin"/>
          <w:lang w:bidi="fa-IR"/>
          <w:color w:val="111111"/>
          <w:sz w:val="28"/>
          <w:szCs w:val="28"/>
          <w:rtl/>
        </w:rPr>
        <w:t xml:space="preserve">٣. تهران؛ سلطنتی؛ شماره نسخه:۹۱۵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محمد بن حاجی محمد قلی قزوینی معروف به عاشوری، تا: ۱۳۰۱ق؛ مجدول، مذهب، کمند کشی زرین، با یک سرلوح مذهب مرصع کار هند، به خط ناصرالدین شاه قاجار نوشته شده «تماما ملاحظه شد»، باضافه ۴۲ صفحه کاغذ دولای لاهوری شکری رنگی از تصاویر چاپ سنگی؛ کاغذ: فرنگی کبود رنگ، جلد: مقوای روکش مخمل سبز چمنی، ۱۲۴ص، ۱۲ سطر، اندازه: ۲۵/۹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۵-۳۳]</w:t>
      </w:r>
    </w:p>
    <w:p>
      <w:pPr>
        <w:pStyle w:val="Heading3"/>
      </w:pPr>
      <w:bookmarkStart w:id="2780" w:name="_Toc2040"/>
      <w:r>
        <w:t>•تاریخ هندوستان / تاریخ هند / فارسی</w:t>
      </w:r>
      <w:bookmarkEnd w:id="2780"/>
    </w:p>
    <w:p>
      <w:pPr>
        <w:pStyle w:val="BookText"/>
      </w:pPr>
      <w:r>
        <w:rPr>
          <w:rFonts w:ascii="Times New Roman" w:hAnsi="Times New Roman" w:eastAsia="Times New Roman" w:cs="Times New Roman"/>
          <w:lang w:val="en-US" w:bidi="en-US"/>
          <w:color w:val="111111"/>
          <w:sz w:val="28"/>
          <w:szCs w:val="28"/>
          <w:rtl/>
        </w:rPr>
        <w:t xml:space="preserve">tārīx-e hendūstān</w:t>
      </w:r>
    </w:p>
    <w:p>
      <w:pPr>
        <w:pStyle w:val="BookText"/>
      </w:pPr>
      <w:r>
        <w:rPr>
          <w:rFonts w:ascii="IRNazanin" w:hAnsi="IRNazanin" w:eastAsia="IRNazanin" w:cs="IRNazanin"/>
          <w:lang w:bidi="fa-IR"/>
          <w:color w:val="111111"/>
          <w:sz w:val="28"/>
          <w:szCs w:val="28"/>
          <w:rtl/>
        </w:rPr>
        <w:t xml:space="preserve">جزوه کوچکی است از یادداشت ها برای آگاهی های شخصی، نخست جغرافیا، سپس تاریخ روزگار پادشاهان اسلامی، نامبوب.</w:t>
      </w:r>
    </w:p>
    <w:p>
      <w:pPr>
        <w:pStyle w:val="BookText"/>
      </w:pPr>
      <w:r>
        <w:rPr>
          <w:rFonts w:ascii="Amiri" w:hAnsi="Amiri" w:eastAsia="Amiri" w:cs="Amiri"/>
          <w:lang w:bidi="ar-SA"/>
          <w:color w:val="111111"/>
          <w:sz w:val="28"/>
          <w:szCs w:val="28"/>
          <w:rtl/>
        </w:rPr>
        <w:t xml:space="preserve">تهران؛ دائرة المعارف؛ شماره نسخه:۲۸۵</w:t>
      </w:r>
    </w:p>
    <w:p>
      <w:pPr>
        <w:pStyle w:val="BookText"/>
      </w:pPr>
      <w:r>
        <w:rPr>
          <w:rFonts w:ascii="IRNazanin" w:hAnsi="IRNazanin" w:eastAsia="IRNazanin" w:cs="IRNazanin"/>
          <w:lang w:bidi="fa-IR"/>
          <w:color w:val="111111"/>
          <w:sz w:val="28"/>
          <w:szCs w:val="28"/>
          <w:rtl/>
        </w:rPr>
        <w:t xml:space="preserve">آغاز: هندوستان در ۳ حصه تقسیم شده است: اول هندوستان خاص، دویم دکن، سیم پنین شلاء ... هندوستان خاص مشتمل بر چهارده ولایت است؛ انجام: ملقب به سرفراز خان است که از وزرا و امرای افاغنه بود خط: نستعلیق تحریری، بی کا، تا: قرن ۱۳، ۱۷، ۱۹ سطر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اندازه: ۱۱/۵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۱۸/۵ سم [ف: ۱-۴۳]</w:t>
      </w:r>
    </w:p>
    <w:p>
      <w:pPr>
        <w:pStyle w:val="Heading3"/>
      </w:pPr>
      <w:bookmarkStart w:id="2781" w:name="_Toc2041"/>
      <w:r>
        <w:t>•تاریخ هندوستان (تاریخ بنگال) / تاریخ هند / فارسی</w:t>
      </w:r>
      <w:bookmarkEnd w:id="2781"/>
    </w:p>
    <w:p>
      <w:pPr>
        <w:pStyle w:val="BookText"/>
      </w:pPr>
      <w:r>
        <w:rPr>
          <w:rFonts w:ascii="Times New Roman" w:hAnsi="Times New Roman" w:eastAsia="Times New Roman" w:cs="Times New Roman"/>
          <w:lang w:val="en-US" w:bidi="en-US"/>
          <w:color w:val="111111"/>
          <w:sz w:val="28"/>
          <w:szCs w:val="28"/>
          <w:rtl/>
        </w:rPr>
        <w:t xml:space="preserve">tārīx-e hendūstān (tārīx-e bangāl)</w:t>
      </w:r>
    </w:p>
    <w:p>
      <w:pPr>
        <w:pStyle w:val="BookText"/>
      </w:pPr>
      <w:r>
        <w:rPr>
          <w:rFonts w:ascii="IRNazanin" w:hAnsi="IRNazanin" w:eastAsia="IRNazanin" w:cs="IRNazanin"/>
          <w:lang w:bidi="fa-IR"/>
          <w:color w:val="111111"/>
          <w:sz w:val="28"/>
          <w:szCs w:val="28"/>
          <w:rtl/>
        </w:rPr>
        <w:t xml:space="preserve">مختصری در تاریخ و احوال سلاطین هندوستان خصوصا شاهان بنگال از قرن هفتم تا تسلط انگلیس بر هندوستان است.</w:t>
      </w:r>
    </w:p>
    <w:p>
      <w:pPr>
        <w:pStyle w:val="BookText"/>
      </w:pPr>
      <w:r>
        <w:rPr>
          <w:rFonts w:ascii="IRNazanin" w:hAnsi="IRNazanin" w:eastAsia="IRNazanin" w:cs="IRNazanin"/>
          <w:lang w:bidi="fa-IR"/>
          <w:color w:val="111111"/>
          <w:sz w:val="28"/>
          <w:szCs w:val="28"/>
          <w:rtl/>
        </w:rPr>
        <w:t xml:space="preserve">تهران؛ مجلس؛ شماره نسخه:۱۳۷۱۹</w:t>
      </w:r>
    </w:p>
    <w:p>
      <w:pPr>
        <w:pStyle w:val="BookText"/>
      </w:pPr>
      <w:r>
        <w:rPr>
          <w:rFonts w:ascii="IRNazanin" w:hAnsi="IRNazanin" w:eastAsia="IRNazanin" w:cs="IRNazanin"/>
          <w:lang w:bidi="fa-IR"/>
          <w:color w:val="111111"/>
          <w:sz w:val="28"/>
          <w:szCs w:val="28"/>
          <w:rtl/>
        </w:rPr>
        <w:t xml:space="preserve">آغاز: در بیان اعز الملک تاج الدین ارسلان خان سنجر خوارزمی است شخص مذکور، انجام: و مصلحت گذار او على ویردیخان پسری نداشت و ليكن هر سه دختران او را پسران برادرش حاجی احمد به تزویج خود درآورده بود حاکم جدید مثل وقايع شاهان هندوستان را از سال ۶۵۸ق (سلطنت تاج الدين ارسلان خان سنجر خوارزمی) تا سال ۱۱۳۹ (حکمرانی شجاع الدین سلطان ناظم در بنگال) را شامل است؛ خط: نستعلیق، بی کا، تا:قرن ۱۳؛ افتادگی: آغاز و انجام؛ در حواشی نسخه توضیحاتی به فارسی و هم چنین اسامی به انگلیسی نوشته شده ؛ جلد: مقوایی آبی عطف پارچه، ۱۶۵، ۱۷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w:t>
      </w:r>
    </w:p>
    <w:p>
      <w:pPr>
        <w:pStyle w:val="BookText"/>
      </w:pPr>
      <w:r>
        <w:rPr>
          <w:rFonts w:ascii="IRNazanin" w:hAnsi="IRNazanin" w:eastAsia="IRNazanin" w:cs="IRNazanin"/>
          <w:lang w:bidi="fa-IR"/>
          <w:color w:val="111111"/>
          <w:sz w:val="28"/>
          <w:szCs w:val="28"/>
          <w:rtl/>
        </w:rPr>
        <w:t xml:space="preserve">[ف: ۳۷-۲۴۵]</w:t>
      </w:r>
    </w:p>
    <w:p>
      <w:pPr>
        <w:pStyle w:val="Heading3"/>
      </w:pPr>
      <w:bookmarkStart w:id="2782" w:name="_Toc2042"/>
      <w:r>
        <w:t>•تاریخ هندوستان (ترجمه) / تاریخ هند / فارسی</w:t>
      </w:r>
      <w:bookmarkEnd w:id="2782"/>
    </w:p>
    <w:p>
      <w:pPr>
        <w:pStyle w:val="BookText"/>
      </w:pPr>
      <w:r>
        <w:rPr>
          <w:rFonts w:ascii="Times New Roman" w:hAnsi="Times New Roman" w:eastAsia="Times New Roman" w:cs="Times New Roman"/>
          <w:lang w:val="en-US" w:bidi="en-US"/>
          <w:color w:val="111111"/>
          <w:sz w:val="28"/>
          <w:szCs w:val="28"/>
          <w:rtl/>
        </w:rPr>
        <w:t xml:space="preserve">tārīx-e hendūstān (t.)</w:t>
      </w:r>
    </w:p>
    <w:p>
      <w:pPr>
        <w:pStyle w:val="BookText"/>
      </w:pPr>
      <w:r>
        <w:rPr>
          <w:rFonts w:ascii="IRNazanin" w:hAnsi="IRNazanin" w:eastAsia="IRNazanin" w:cs="IRNazanin"/>
          <w:lang w:bidi="fa-IR"/>
          <w:color w:val="111111"/>
          <w:sz w:val="28"/>
          <w:szCs w:val="28"/>
          <w:rtl/>
        </w:rPr>
        <w:t xml:space="preserve">میرزا محمود خان، ۱۲۴۶-۱۳۳۳ شمسی</w:t>
      </w:r>
    </w:p>
    <w:p>
      <w:pPr>
        <w:pStyle w:val="BookText"/>
      </w:pPr>
      <w:r>
        <w:rPr>
          <w:rFonts w:ascii="Times New Roman" w:hAnsi="Times New Roman" w:eastAsia="Times New Roman" w:cs="Times New Roman"/>
          <w:lang w:val="en-US" w:bidi="en-US"/>
          <w:color w:val="111111"/>
          <w:sz w:val="28"/>
          <w:szCs w:val="28"/>
          <w:rtl/>
        </w:rPr>
        <w:t xml:space="preserve">mīrzā mahmūd xān (1867-1954)</w:t>
      </w:r>
    </w:p>
    <w:p>
      <w:pPr>
        <w:pStyle w:val="BookText"/>
      </w:pPr>
      <w:r>
        <w:rPr>
          <w:rFonts w:ascii="IRNazanin" w:hAnsi="IRNazanin" w:eastAsia="IRNazanin" w:cs="IRNazanin"/>
          <w:lang w:bidi="fa-IR"/>
          <w:color w:val="111111"/>
          <w:sz w:val="28"/>
          <w:szCs w:val="28"/>
          <w:rtl/>
        </w:rPr>
        <w:t xml:space="preserve">در تاریخ هندوستان است. نام مؤلف ذکر نشده ولی متر جم آن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bookmarkStart w:id="616" w:name="pg20363_209942"/>
    <w:bookmarkEnd w:id="616"/>
    <w:p>
      <w:pPr>
        <w:pStyle w:val="BookText"/>
      </w:pPr>
      <w:r>
        <w:rPr>
          <w:rFonts w:ascii="IRNazanin" w:hAnsi="IRNazanin" w:eastAsia="IRNazanin" w:cs="IRNazanin"/>
          <w:lang w:bidi="fa-IR"/>
          <w:color w:val="111111"/>
          <w:sz w:val="28"/>
          <w:szCs w:val="28"/>
          <w:rtl/>
        </w:rPr>
        <w:t xml:space="preserve">میرزا محمود خان می باشد، در پایان آن را جزو دوم نامیده ولی معلوم نیست که جزو اول آن ضمیمه این رساله هست یا کتاب علیحده ای بوده است.</w:t>
      </w:r>
    </w:p>
    <w:p>
      <w:pPr>
        <w:pStyle w:val="BookText"/>
      </w:pPr>
      <w:r>
        <w:rPr>
          <w:rFonts w:ascii="IRNazanin" w:hAnsi="IRNazanin" w:eastAsia="IRNazanin" w:cs="IRNazanin"/>
          <w:lang w:bidi="fa-IR"/>
          <w:color w:val="111111"/>
          <w:sz w:val="28"/>
          <w:szCs w:val="28"/>
          <w:rtl/>
        </w:rPr>
        <w:t xml:space="preserve">شیراز؛ ملی؛ شماره نسخه:۶۷-ت/۶۸۰</w:t>
      </w:r>
    </w:p>
    <w:p>
      <w:pPr>
        <w:pStyle w:val="BookText"/>
      </w:pPr>
      <w:r>
        <w:rPr>
          <w:rFonts w:ascii="IRNazanin" w:hAnsi="IRNazanin" w:eastAsia="IRNazanin" w:cs="IRNazanin"/>
          <w:lang w:bidi="fa-IR"/>
          <w:color w:val="111111"/>
          <w:sz w:val="28"/>
          <w:szCs w:val="28"/>
          <w:rtl/>
        </w:rPr>
        <w:t xml:space="preserve">آغاز: ابتدای مراوده انگلیسیان با ممالك هندوستان قبل از آنکه شروع در مراوده انگلیسیان با ممالک هندو ستان بنمائیم، لازم است در اینجا ذکر کنیم؛ انجام: در مسئله نیک بختی و سعادت هر یک از ممالک عالم مدخلیت کلی دارد ترجمه جزو دویم (كذا) از کتاب تاریخ هندوستان بعون الله الملك المنان در يوم ۱۴ شهر محرم الحرام سنه ۱۳۱۷ با تمام رسید. خط: نستعلیق، بی کا، تا: محرم ۱۳۲۷ق؛ کاغذ: فرنگی شکری، جلد: مقوا با تیماج سرخ، ۱۱۰ ، ۱۹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 اندازه: ۱۶/۵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۲۲/۵ سم [ف: ۲-۲۶۷]</w:t>
      </w:r>
    </w:p>
    <w:p>
      <w:pPr>
        <w:pStyle w:val="Heading3"/>
      </w:pPr>
      <w:bookmarkStart w:id="2783" w:name="_Toc2043"/>
      <w:r>
        <w:t>•تاریخ هندوستان (ترجمه) / تاریخ هند / فارسی</w:t>
      </w:r>
      <w:bookmarkEnd w:id="2783"/>
    </w:p>
    <w:p>
      <w:pPr>
        <w:pStyle w:val="BookText"/>
      </w:pPr>
      <w:r>
        <w:rPr>
          <w:rFonts w:ascii="Times New Roman" w:hAnsi="Times New Roman" w:eastAsia="Times New Roman" w:cs="Times New Roman"/>
          <w:lang w:val="en-US" w:bidi="en-US"/>
          <w:color w:val="111111"/>
          <w:sz w:val="28"/>
          <w:szCs w:val="28"/>
          <w:rtl/>
        </w:rPr>
        <w:t xml:space="preserve">tārīx-e hendūstān (t.)</w:t>
      </w:r>
    </w:p>
    <w:p>
      <w:pPr>
        <w:pStyle w:val="BookText"/>
      </w:pPr>
      <w:r>
        <w:rPr>
          <w:rFonts w:ascii="IRNazanin" w:hAnsi="IRNazanin" w:eastAsia="IRNazanin" w:cs="IRNazanin"/>
          <w:lang w:bidi="fa-IR"/>
          <w:color w:val="111111"/>
          <w:sz w:val="28"/>
          <w:szCs w:val="28"/>
          <w:rtl/>
        </w:rPr>
        <w:t xml:space="preserve">اردشیر، ق۱۴ قمری</w:t>
      </w:r>
    </w:p>
    <w:p>
      <w:pPr>
        <w:pStyle w:val="BookText"/>
      </w:pPr>
      <w:r>
        <w:rPr>
          <w:rFonts w:ascii="Times New Roman" w:hAnsi="Times New Roman" w:eastAsia="Times New Roman" w:cs="Times New Roman"/>
          <w:lang w:val="en-US" w:bidi="en-US"/>
          <w:color w:val="111111"/>
          <w:sz w:val="28"/>
          <w:szCs w:val="28"/>
          <w:rtl/>
        </w:rPr>
        <w:t xml:space="preserve">ardesir (-20c)</w:t>
      </w:r>
    </w:p>
    <w:p>
      <w:pPr>
        <w:pStyle w:val="BookText"/>
      </w:pPr>
      <w:r>
        <w:rPr>
          <w:rFonts w:ascii="IRNazanin" w:hAnsi="IRNazanin" w:eastAsia="IRNazanin" w:cs="IRNazanin"/>
          <w:lang w:bidi="fa-IR"/>
          <w:color w:val="111111"/>
          <w:sz w:val="28"/>
          <w:szCs w:val="28"/>
          <w:rtl/>
        </w:rPr>
        <w:t xml:space="preserve">به آمر: ظل السلطان از انگلیسی به فارسی ترجمه شده.</w:t>
      </w:r>
    </w:p>
    <w:p>
      <w:pPr>
        <w:pStyle w:val="BookText"/>
      </w:pPr>
      <w:r>
        <w:rPr>
          <w:rFonts w:ascii="IRNazanin" w:hAnsi="IRNazanin" w:eastAsia="IRNazanin" w:cs="IRNazanin"/>
          <w:lang w:bidi="fa-IR"/>
          <w:color w:val="111111"/>
          <w:sz w:val="28"/>
          <w:szCs w:val="28"/>
          <w:rtl/>
        </w:rPr>
        <w:t xml:space="preserve">اصفهان؛ صارم الدوله (کتابخانه فرهنگ اصفهان)؛ شماره نسخه:۹۸۰</w:t>
      </w:r>
    </w:p>
    <w:p>
      <w:pPr>
        <w:pStyle w:val="BookText"/>
      </w:pPr>
      <w:r>
        <w:rPr>
          <w:rFonts w:ascii="IRNazanin" w:hAnsi="IRNazanin" w:eastAsia="IRNazanin" w:cs="IRNazanin"/>
          <w:lang w:bidi="fa-IR"/>
          <w:color w:val="111111"/>
          <w:sz w:val="28"/>
          <w:szCs w:val="28"/>
          <w:rtl/>
        </w:rPr>
        <w:t xml:space="preserve">آغاز: طوایف معظم و فرمانفرماهای هندوستان به راجپوتها موسوم هستند آنها طوایف جنگی هندوستان و بعلاوه جنگی بودنشان خیلی هم مغرور و ذوالحواس هستند؛ انجام: و از چندین هزارها عريضه که در هر ماهی از هندوها بفرمانفرمای انگلیس داده میشود فقط سه چهار عریضه شکایت از وکلا و رؤسای انگلیسی است و مابقی شکایت از رؤسای بومی خود. خط: شکسته نستعلیق، بی کا، تا: قرن ۱۴؛ کاغذ: فرنگی، جلد: مقوایی با روکش مخمل آبی رنگ، ۳۸۳ص، ۱۳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۱۰۳]</w:t>
      </w:r>
    </w:p>
    <w:p>
      <w:pPr>
        <w:pStyle w:val="BookText"/>
      </w:pPr>
      <w:r>
        <w:rPr>
          <w:rFonts w:ascii="IRNazanin" w:hAnsi="IRNazanin" w:eastAsia="IRNazanin" w:cs="IRNazanin"/>
          <w:lang w:bidi="fa-IR"/>
          <w:color w:val="111111"/>
          <w:sz w:val="28"/>
          <w:szCs w:val="28"/>
          <w:rtl/>
        </w:rPr>
        <w:t xml:space="preserve">← تاریخ یافعی ← مرآت الجنان و عبرة القيظان في معرفة حوادث الزمان و تقلب احوال الانسان</w:t>
      </w:r>
    </w:p>
    <w:p>
      <w:pPr>
        <w:pStyle w:val="Heading3"/>
      </w:pPr>
      <w:bookmarkStart w:id="2784" w:name="_Toc2044"/>
      <w:r>
        <w:t>•تاريخية (مطالب) / تاریخ / عربی</w:t>
      </w:r>
      <w:bookmarkEnd w:id="2784"/>
    </w:p>
    <w:p>
      <w:pPr>
        <w:pStyle w:val="BookText"/>
      </w:pPr>
      <w:r>
        <w:rPr>
          <w:rFonts w:ascii="Times New Roman" w:hAnsi="Times New Roman" w:eastAsia="Times New Roman" w:cs="Times New Roman"/>
          <w:lang w:val="en-US" w:bidi="en-US"/>
          <w:color w:val="111111"/>
          <w:sz w:val="28"/>
          <w:szCs w:val="28"/>
          <w:rtl/>
        </w:rPr>
        <w:t xml:space="preserve">tarixiya (matalib)</w:t>
      </w:r>
    </w:p>
    <w:p>
      <w:pPr>
        <w:pStyle w:val="BookText"/>
      </w:pPr>
      <w:r>
        <w:rPr>
          <w:rFonts w:ascii="IRNazanin" w:hAnsi="IRNazanin" w:eastAsia="IRNazanin" w:cs="IRNazanin"/>
          <w:lang w:bidi="fa-IR"/>
          <w:color w:val="111111"/>
          <w:sz w:val="28"/>
          <w:szCs w:val="28"/>
          <w:rtl/>
        </w:rPr>
        <w:t xml:space="preserve">مطالب تاریخی است برگرفته از کتاب «نظم الجواهر» تالیف شخصی به نام «سعید ابن بطريق نصرانی» طبیب یکی از محلات شهر اسکندریه مصر که در تاریخ بنی اسرائیل است.</w:t>
      </w:r>
    </w:p>
    <w:p>
      <w:pPr>
        <w:pStyle w:val="BookText"/>
      </w:pPr>
      <w:r>
        <w:rPr>
          <w:rFonts w:ascii="IRNazanin" w:hAnsi="IRNazanin" w:eastAsia="IRNazanin" w:cs="IRNazanin"/>
          <w:lang w:bidi="fa-IR"/>
          <w:color w:val="111111"/>
          <w:sz w:val="28"/>
          <w:szCs w:val="28"/>
          <w:rtl/>
        </w:rPr>
        <w:t xml:space="preserve">قم؛ مسجد اعظم؛ شماره نسخه: ۱۴۶/۲</w:t>
      </w:r>
    </w:p>
    <w:p>
      <w:pPr>
        <w:pStyle w:val="BookText"/>
      </w:pPr>
      <w:r>
        <w:rPr>
          <w:rFonts w:ascii="IRNazanin" w:hAnsi="IRNazanin" w:eastAsia="IRNazanin" w:cs="IRNazanin"/>
          <w:lang w:bidi="fa-IR"/>
          <w:color w:val="111111"/>
          <w:sz w:val="28"/>
          <w:szCs w:val="28"/>
          <w:rtl/>
        </w:rPr>
        <w:t xml:space="preserve">تاریخ هندوستان - تاریخ یزد ۸۱۵ آغاز: قال في مفتتح كتابه بعد الديباچة أن الله عزوجل خلق الدنيا بما فيها و آدم وحوا في ستة ايام وكان خلق آدم في اليوم السادس وبارك الله في يوم السابع؛ انجام: و كان ابوقره ممن ثبت ايضا السجود للصرر و وضع في ذلك كتابا سماه ممر السحود للصرر ومات تا وفيلس وملک بعده ابنه میخائیل فوثب عليه قايده يسمی باسيل فقتله وقام ملكا على الروم وكان في ايام المعتمد بالله. خط: نستعلیق، بی کا، بی تا؛ جلد: تیماج قهوه ای، ۲۴گ، مختلف السطر،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مخ: ۵-۲۰۲۷]</w:t>
      </w:r>
    </w:p>
    <w:p>
      <w:pPr>
        <w:pStyle w:val="Heading3"/>
      </w:pPr>
      <w:bookmarkStart w:id="2785" w:name="_Toc2045"/>
      <w:r>
        <w:t>•تاریخ یزد = تاریخ جعفری = تاریخ واسطی / تاریخ ایران / فارسی</w:t>
      </w:r>
      <w:bookmarkEnd w:id="2785"/>
    </w:p>
    <w:p>
      <w:pPr>
        <w:pStyle w:val="BookText"/>
      </w:pPr>
      <w:r>
        <w:rPr>
          <w:rFonts w:ascii="Times New Roman" w:hAnsi="Times New Roman" w:eastAsia="Times New Roman" w:cs="Times New Roman"/>
          <w:lang w:val="en-US" w:bidi="en-US"/>
          <w:color w:val="111111"/>
          <w:sz w:val="28"/>
          <w:szCs w:val="28"/>
          <w:rtl/>
        </w:rPr>
        <w:t xml:space="preserve">tārīx-e yazd = tārīx-e ja farī = tārīx-e vāsetī</w:t>
      </w:r>
    </w:p>
    <w:p>
      <w:pPr>
        <w:pStyle w:val="BookText"/>
      </w:pPr>
      <w:r>
        <w:rPr>
          <w:rFonts w:ascii="IRNazanin" w:hAnsi="IRNazanin" w:eastAsia="IRNazanin" w:cs="IRNazanin"/>
          <w:lang w:bidi="fa-IR"/>
          <w:color w:val="111111"/>
          <w:sz w:val="28"/>
          <w:szCs w:val="28"/>
          <w:rtl/>
        </w:rPr>
        <w:t xml:space="preserve">جعفری، جعفر بن محمد، ق۹ قمری</w:t>
      </w:r>
    </w:p>
    <w:p>
      <w:pPr>
        <w:pStyle w:val="BookText"/>
      </w:pPr>
      <w:r>
        <w:rPr>
          <w:rFonts w:ascii="Times New Roman" w:hAnsi="Times New Roman" w:eastAsia="Times New Roman" w:cs="Times New Roman"/>
          <w:lang w:val="en-US" w:bidi="en-US"/>
          <w:color w:val="111111"/>
          <w:sz w:val="28"/>
          <w:szCs w:val="28"/>
          <w:rtl/>
        </w:rPr>
        <w:t xml:space="preserve">ja'farī, ja'far ebn-e mohammad (-15)</w:t>
      </w:r>
    </w:p>
    <w:p>
      <w:pPr>
        <w:pStyle w:val="BookText"/>
      </w:pPr>
      <w:r>
        <w:rPr>
          <w:rFonts w:ascii="IRNazanin" w:hAnsi="IRNazanin" w:eastAsia="IRNazanin" w:cs="IRNazanin"/>
          <w:lang w:bidi="fa-IR"/>
          <w:color w:val="111111"/>
          <w:sz w:val="28"/>
          <w:szCs w:val="28"/>
          <w:rtl/>
        </w:rPr>
        <w:t xml:space="preserve">اهدا به: شاهرخ (۸۰۷-۸۵۰ق) تاريخ تأليف: ۸۴۵ق تاریخ یزد است از پیش از اسلام و کسانی که این شهر را ساخته اند، فرمانروایان این شهر پس از اسلام تا آغاز روزگار تیموری و سال ۸۱۷ق، به نام شاهرخ (۸۰۷-۸۵۰ق)، به سال ۸۴۵ تا ۸۵۰ ق. بخش آغاز آن نامعتبر ولی بخش های پسین آن بسیار سودمند است. بالاخص آن قسمت که از باغها و ساختمان های روزگار خود یاد می کند. (منزوی، احمد) آغاز: تاریخ شهر یزد، بسمله، شکر و سپاس آفریدگاریرا که بفضل یزدانی زاویه ملکوت را دار العباده ملایک مقربين ساخت انجام: سال تاریخ و نام بانی او *** میر چقماق شاملیست بدان چاپ: تهران، ۱۳۳۸ش، با پیشگفتار ایرج افشار، ۱۳+۲۵۴ص.</w:t>
      </w:r>
    </w:p>
    <w:p>
      <w:pPr>
        <w:pStyle w:val="BookText"/>
      </w:pPr>
      <w:r>
        <w:rPr>
          <w:rFonts w:ascii="IRNazanin" w:hAnsi="IRNazanin" w:eastAsia="IRNazanin" w:cs="IRNazanin"/>
          <w:lang w:bidi="fa-IR"/>
          <w:color w:val="111111"/>
          <w:sz w:val="28"/>
          <w:szCs w:val="28"/>
          <w:rtl/>
        </w:rPr>
        <w:t xml:space="preserve">[ دنا ۷۵۳/۲ ؛ تاریخ یزد ص ۱۶۷؛ الذریعه ۴۷/۵ ؛ فهرستواره منزوی۵۹۲/۱ و ۹۱۷-۹۱۶/۲]</w:t>
      </w:r>
    </w:p>
    <w:p>
      <w:pPr>
        <w:pStyle w:val="BookText"/>
      </w:pPr>
      <w:r>
        <w:rPr>
          <w:rFonts w:ascii="IRNazanin" w:hAnsi="IRNazanin" w:eastAsia="IRNazanin" w:cs="IRNazanin"/>
          <w:lang w:bidi="fa-IR"/>
          <w:color w:val="111111"/>
          <w:sz w:val="28"/>
          <w:szCs w:val="28"/>
          <w:rtl/>
        </w:rPr>
        <w:t xml:space="preserve">۱. تهران، دانشگاه؛ شماره نسخه: ۲۶۶۱-ف</w:t>
      </w:r>
    </w:p>
    <w:p>
      <w:pPr>
        <w:pStyle w:val="BookText"/>
      </w:pPr>
      <w:r>
        <w:rPr>
          <w:rFonts w:ascii="IRNazanin" w:hAnsi="IRNazanin" w:eastAsia="IRNazanin" w:cs="IRNazanin"/>
          <w:lang w:bidi="fa-IR"/>
          <w:color w:val="111111"/>
          <w:sz w:val="28"/>
          <w:szCs w:val="28"/>
          <w:rtl/>
        </w:rPr>
        <w:t xml:space="preserve">نسخه اصل: کالج فورت ولیم ۱۸۰۹ ش 42 .</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 بی کا، تا: ذیقعده ۹۸۸ق [فيلمها ف: ۱-۳۲]</w:t>
      </w:r>
    </w:p>
    <w:p>
      <w:pPr>
        <w:pStyle w:val="BookText"/>
      </w:pPr>
      <w:r>
        <w:rPr>
          <w:rFonts w:ascii="IRNazanin" w:hAnsi="IRNazanin" w:eastAsia="IRNazanin" w:cs="IRNazanin"/>
          <w:lang w:bidi="fa-IR"/>
          <w:color w:val="111111"/>
          <w:sz w:val="28"/>
          <w:szCs w:val="28"/>
          <w:rtl/>
        </w:rPr>
        <w:t xml:space="preserve">۲. تهران؛ مجلس؛ شماره نسخه: ۲۲۷۴/۲</w:t>
      </w:r>
    </w:p>
    <w:p>
      <w:pPr>
        <w:pStyle w:val="BookText"/>
      </w:pPr>
      <w:r>
        <w:rPr>
          <w:rFonts w:ascii="IRNazanin" w:hAnsi="IRNazanin" w:eastAsia="IRNazanin" w:cs="IRNazanin"/>
          <w:lang w:bidi="fa-IR"/>
          <w:color w:val="111111"/>
          <w:sz w:val="28"/>
          <w:szCs w:val="28"/>
          <w:rtl/>
        </w:rPr>
        <w:t xml:space="preserve">هشت صفحه از تاریخ یزد؛ خط: نسخ تعلیق، بی کا، تا: قرن ۱۱؛ کاغذ: اصفهانی شکری آهار مهره، جلد: تیماج عنابی بی مقوا، ۸ص (۳۲۸-۳۳۵)، ۱۵ سطر، اندازه: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۱۸/۵ سم [ف: ۶- ۲۳۰]</w:t>
      </w:r>
    </w:p>
    <w:p>
      <w:pPr>
        <w:pStyle w:val="BookText"/>
      </w:pPr>
      <w:r>
        <w:rPr>
          <w:rFonts w:ascii="IRNazanin" w:hAnsi="IRNazanin" w:eastAsia="IRNazanin" w:cs="IRNazanin"/>
          <w:lang w:bidi="fa-IR"/>
          <w:color w:val="111111"/>
          <w:sz w:val="28"/>
          <w:szCs w:val="28"/>
          <w:rtl/>
        </w:rPr>
        <w:t xml:space="preserve">٣. تهران؛ ملی؛ شماره نسخه:۲۱۳۱</w:t>
      </w:r>
    </w:p>
    <w:p>
      <w:pPr>
        <w:pStyle w:val="BookText"/>
      </w:pPr>
      <w:r>
        <w:rPr>
          <w:rFonts w:ascii="IRNazanin" w:hAnsi="IRNazanin" w:eastAsia="IRNazanin" w:cs="IRNazanin"/>
          <w:lang w:bidi="fa-IR"/>
          <w:color w:val="111111"/>
          <w:sz w:val="28"/>
          <w:szCs w:val="28"/>
          <w:rtl/>
        </w:rPr>
        <w:t xml:space="preserve">آغاز و انجام: برابر خط: نسخ، بی کا، تا: محتم قرن ۱۳؛ آخر ناتمام صفحه اول نونویس؛ کاغذ: اصفهانی، جلد: مقوایی، رویه کاغذ سفید، ۹۷گ، ۱۴سطر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سم [ف: ۵-۱۸۳]</w:t>
      </w:r>
    </w:p>
    <w:p>
      <w:pPr>
        <w:pStyle w:val="BookText"/>
      </w:pPr>
      <w:r>
        <w:rPr>
          <w:rFonts w:ascii="IRNazanin" w:hAnsi="IRNazanin" w:eastAsia="IRNazanin" w:cs="IRNazanin"/>
          <w:lang w:bidi="fa-IR"/>
          <w:color w:val="111111"/>
          <w:sz w:val="28"/>
          <w:szCs w:val="28"/>
          <w:rtl/>
        </w:rPr>
        <w:t xml:space="preserve">۴. تهران: مجلس؛ شماره نسخه:۸۵۵۵</w:t>
      </w:r>
    </w:p>
    <w:p>
      <w:pPr>
        <w:pStyle w:val="BookText"/>
      </w:pPr>
      <w:r>
        <w:rPr>
          <w:rFonts w:ascii="IRNazanin" w:hAnsi="IRNazanin" w:eastAsia="IRNazanin" w:cs="IRNazanin"/>
          <w:lang w:bidi="fa-IR"/>
          <w:color w:val="111111"/>
          <w:sz w:val="28"/>
          <w:szCs w:val="28"/>
          <w:rtl/>
        </w:rPr>
        <w:t xml:space="preserve">خط: نسخ، كا: محمد بن حسین حسینی، تا: ۱۳۱۵ ق، به فرمایش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bookmarkStart w:id="617" w:name="pg20363_209943"/>
    <w:bookmarkEnd w:id="617"/>
    <w:p>
      <w:pPr>
        <w:pStyle w:val="BookText"/>
      </w:pPr>
      <w:r>
        <w:rPr>
          <w:rFonts w:ascii="IRNazanin" w:hAnsi="IRNazanin" w:eastAsia="IRNazanin" w:cs="IRNazanin"/>
          <w:lang w:bidi="fa-IR"/>
          <w:color w:val="111111"/>
          <w:sz w:val="28"/>
          <w:szCs w:val="28"/>
          <w:rtl/>
        </w:rPr>
        <w:t xml:space="preserve">سید محمد بن اسماعیل بن میر ابوطالب امام مسجد سرریگ و در ۶۰ سالگی کاتب؛ از روی نسخه ای به خط علی رضا بن حسین بن شمس الدين مهرجردی در ربيع الثانی</w:t>
      </w:r>
    </w:p>
    <w:p>
      <w:pPr>
        <w:pStyle w:val="BookText"/>
      </w:pPr>
      <w:r>
        <w:rPr>
          <w:rFonts w:ascii="IRNazanin" w:hAnsi="IRNazanin" w:eastAsia="IRNazanin" w:cs="IRNazanin"/>
          <w:lang w:bidi="fa-IR"/>
          <w:color w:val="111111"/>
          <w:sz w:val="28"/>
          <w:szCs w:val="28"/>
          <w:rtl/>
        </w:rPr>
        <w:t xml:space="preserve">۱۳۰۷ق، مصحح، یادداشت تقدیم کتاب از سلطان علی شیخ الاسلامی به سال ۱۳۱۰ش؛ جلد: تیماج قرمز، ۱۴۰گ، ۱۲ سطر،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۲۸-۱۱۳]</w:t>
      </w:r>
    </w:p>
    <w:p>
      <w:pPr>
        <w:pStyle w:val="BookText"/>
      </w:pPr>
      <w:r>
        <w:rPr>
          <w:rFonts w:ascii="IRNazanin" w:hAnsi="IRNazanin" w:eastAsia="IRNazanin" w:cs="IRNazanin"/>
          <w:lang w:bidi="fa-IR"/>
          <w:color w:val="111111"/>
          <w:sz w:val="28"/>
          <w:szCs w:val="28"/>
          <w:rtl/>
        </w:rPr>
        <w:t xml:space="preserve">۵. تبریز؛ نخجوانی، حسین؛ شماره نسخه:۱۰</w:t>
      </w:r>
    </w:p>
    <w:p>
      <w:pPr>
        <w:pStyle w:val="BookText"/>
      </w:pPr>
      <w:r>
        <w:rPr>
          <w:rFonts w:ascii="IRNazanin" w:hAnsi="IRNazanin" w:eastAsia="IRNazanin" w:cs="IRNazanin"/>
          <w:lang w:bidi="fa-IR"/>
          <w:color w:val="111111"/>
          <w:sz w:val="28"/>
          <w:szCs w:val="28"/>
          <w:rtl/>
        </w:rPr>
        <w:t xml:space="preserve">بی کا، بی تا [نشریه: ۴-۳۳۸]</w:t>
      </w:r>
    </w:p>
    <w:p>
      <w:pPr>
        <w:pStyle w:val="Heading3"/>
      </w:pPr>
      <w:bookmarkStart w:id="2786" w:name="_Toc2046"/>
      <w:r>
        <w:t>•تاریخ یزد / تاریخ ایران / فارسی</w:t>
      </w:r>
      <w:bookmarkEnd w:id="2786"/>
    </w:p>
    <w:p>
      <w:pPr>
        <w:pStyle w:val="BookText"/>
      </w:pPr>
      <w:r>
        <w:rPr>
          <w:rFonts w:ascii="Times New Roman" w:hAnsi="Times New Roman" w:eastAsia="Times New Roman" w:cs="Times New Roman"/>
          <w:lang w:val="en-US" w:bidi="en-US"/>
          <w:color w:val="111111"/>
          <w:sz w:val="28"/>
          <w:szCs w:val="28"/>
          <w:rtl/>
        </w:rPr>
        <w:t xml:space="preserve">tārīx-e yazd</w:t>
      </w:r>
    </w:p>
    <w:p>
      <w:pPr>
        <w:pStyle w:val="BookText"/>
      </w:pPr>
      <w:r>
        <w:rPr>
          <w:rFonts w:ascii="IRNazanin" w:hAnsi="IRNazanin" w:eastAsia="IRNazanin" w:cs="IRNazanin"/>
          <w:lang w:bidi="fa-IR"/>
          <w:color w:val="111111"/>
          <w:sz w:val="28"/>
          <w:szCs w:val="28"/>
          <w:rtl/>
        </w:rPr>
        <w:t xml:space="preserve">بروجردی، محمد بن كاظم</w:t>
      </w:r>
    </w:p>
    <w:p>
      <w:pPr>
        <w:pStyle w:val="BookText"/>
      </w:pPr>
      <w:r>
        <w:rPr>
          <w:rFonts w:ascii="Times New Roman" w:hAnsi="Times New Roman" w:eastAsia="Times New Roman" w:cs="Times New Roman"/>
          <w:lang w:val="en-US" w:bidi="en-US"/>
          <w:color w:val="111111"/>
          <w:sz w:val="28"/>
          <w:szCs w:val="28"/>
          <w:rtl/>
        </w:rPr>
        <w:t xml:space="preserve">borūjerdī, mohammad ebn-e kāzem</w:t>
      </w:r>
    </w:p>
    <w:p>
      <w:pPr>
        <w:pStyle w:val="BookText"/>
      </w:pPr>
      <w:r>
        <w:rPr>
          <w:rFonts w:ascii="IRNazanin" w:hAnsi="IRNazanin" w:eastAsia="IRNazanin" w:cs="IRNazanin"/>
          <w:lang w:bidi="fa-IR"/>
          <w:color w:val="111111"/>
          <w:sz w:val="28"/>
          <w:szCs w:val="28"/>
          <w:rtl/>
        </w:rPr>
        <w:t xml:space="preserve">[فهرستواره منزوی ۹۱۷/۲ ]</w:t>
      </w:r>
    </w:p>
    <w:p>
      <w:pPr>
        <w:pStyle w:val="BookText"/>
      </w:pPr>
      <w:r>
        <w:rPr>
          <w:rFonts w:ascii="IRNazanin" w:hAnsi="IRNazanin" w:eastAsia="IRNazanin" w:cs="IRNazanin"/>
          <w:lang w:bidi="fa-IR"/>
          <w:color w:val="111111"/>
          <w:sz w:val="28"/>
          <w:szCs w:val="28"/>
          <w:rtl/>
        </w:rPr>
        <w:t xml:space="preserve">مشهد؛ رضوی؛ شماره نسخه:ض۴۵۲۶</w:t>
      </w:r>
    </w:p>
    <w:p>
      <w:pPr>
        <w:pStyle w:val="BookText"/>
      </w:pPr>
      <w:r>
        <w:rPr>
          <w:rFonts w:ascii="IRNazanin" w:hAnsi="IRNazanin" w:eastAsia="IRNazanin" w:cs="IRNazanin"/>
          <w:lang w:bidi="fa-IR"/>
          <w:color w:val="111111"/>
          <w:sz w:val="28"/>
          <w:szCs w:val="28"/>
          <w:rtl/>
        </w:rPr>
        <w:t xml:space="preserve">خط: نستعلیق، بی کا، بی تا [الفبائی:-۱۰۰]</w:t>
      </w:r>
    </w:p>
    <w:p>
      <w:pPr>
        <w:pStyle w:val="Heading3"/>
      </w:pPr>
      <w:bookmarkStart w:id="2787" w:name="_Toc2047"/>
      <w:r>
        <w:t>•تاریخی (مطالب) / تاریخ / عربی</w:t>
      </w:r>
      <w:bookmarkEnd w:id="2787"/>
    </w:p>
    <w:p>
      <w:pPr>
        <w:pStyle w:val="BookText"/>
      </w:pPr>
      <w:r>
        <w:rPr>
          <w:rFonts w:ascii="Times New Roman" w:hAnsi="Times New Roman" w:eastAsia="Times New Roman" w:cs="Times New Roman"/>
          <w:lang w:val="en-US" w:bidi="en-US"/>
          <w:color w:val="111111"/>
          <w:sz w:val="28"/>
          <w:szCs w:val="28"/>
          <w:rtl/>
        </w:rPr>
        <w:t xml:space="preserve">tārīxī (matāleb)</w:t>
      </w:r>
    </w:p>
    <w:p>
      <w:pPr>
        <w:pStyle w:val="BookText"/>
      </w:pPr>
      <w:r>
        <w:rPr>
          <w:rFonts w:ascii="IRNazanin" w:hAnsi="IRNazanin" w:eastAsia="IRNazanin" w:cs="IRNazanin"/>
          <w:lang w:bidi="fa-IR"/>
          <w:color w:val="111111"/>
          <w:sz w:val="28"/>
          <w:szCs w:val="28"/>
          <w:rtl/>
        </w:rPr>
        <w:t xml:space="preserve">مطالب تاریخی در باب خلقت عالم و چگونگی آن و پیامبران آن دوره و حوادث و قصه طوفان و ذوالقرنین و داریوش که از کتاب « عنوان» بيوس نصرانی برگزیده شده است.</w:t>
      </w:r>
    </w:p>
    <w:p>
      <w:pPr>
        <w:pStyle w:val="BookText"/>
      </w:pPr>
      <w:r>
        <w:rPr>
          <w:rFonts w:ascii="IRNazanin" w:hAnsi="IRNazanin" w:eastAsia="IRNazanin" w:cs="IRNazanin"/>
          <w:lang w:bidi="fa-IR"/>
          <w:color w:val="111111"/>
          <w:sz w:val="28"/>
          <w:szCs w:val="28"/>
          <w:rtl/>
        </w:rPr>
        <w:t xml:space="preserve">قم؛ مسجد اعظم؛ شماره نسخه: ۱۴۶/۱</w:t>
      </w:r>
    </w:p>
    <w:p>
      <w:pPr>
        <w:pStyle w:val="BookText"/>
      </w:pPr>
      <w:r>
        <w:rPr>
          <w:rFonts w:ascii="IRNazanin" w:hAnsi="IRNazanin" w:eastAsia="IRNazanin" w:cs="IRNazanin"/>
          <w:lang w:bidi="fa-IR"/>
          <w:color w:val="111111"/>
          <w:sz w:val="28"/>
          <w:szCs w:val="28"/>
          <w:rtl/>
        </w:rPr>
        <w:t xml:space="preserve">آغاز: قال انه قدعلم ذوي الألباب واهل المعرفة من الامور التي پرونها تجري منذ البدء من اول العالم أن ... منه ومبتدأ الخلايق و نسق السنين و الأيام من وقت استواء الليل و النهار؛ انجام: وكذلک عامة الناس من النصارى اليوم في المشارق و المغارب لايعرفون سبب لاختلاف للذي فيما بين التورية السريانية التي هي نسخة العبرانية. خط: نستعلیق، بی کا، بی تا، افتادگی: انجام؛ جلد: تیماج قهوه ای، ۱۱گ،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مخ: ۵-۲۰۲۷]</w:t>
      </w:r>
    </w:p>
    <w:p>
      <w:pPr>
        <w:pStyle w:val="Heading3"/>
      </w:pPr>
      <w:bookmarkStart w:id="2788" w:name="_Toc2048"/>
      <w:r>
        <w:t>•تاریخ یمن / تاریخ / عربی</w:t>
      </w:r>
      <w:bookmarkEnd w:id="2788"/>
    </w:p>
    <w:p>
      <w:pPr>
        <w:pStyle w:val="BookText"/>
      </w:pPr>
      <w:r>
        <w:rPr>
          <w:rFonts w:ascii="Times New Roman" w:hAnsi="Times New Roman" w:eastAsia="Times New Roman" w:cs="Times New Roman"/>
          <w:lang w:val="en-US" w:bidi="en-US"/>
          <w:color w:val="111111"/>
          <w:sz w:val="28"/>
          <w:szCs w:val="28"/>
          <w:rtl/>
        </w:rPr>
        <w:t xml:space="preserve">tārīx-e yaman</w:t>
      </w:r>
    </w:p>
    <w:p>
      <w:pPr>
        <w:pStyle w:val="BookText"/>
      </w:pPr>
      <w:r>
        <w:rPr>
          <w:rFonts w:ascii="IRNazanin" w:hAnsi="IRNazanin" w:eastAsia="IRNazanin" w:cs="IRNazanin"/>
          <w:lang w:bidi="fa-IR"/>
          <w:color w:val="111111"/>
          <w:sz w:val="28"/>
          <w:szCs w:val="28"/>
          <w:rtl/>
        </w:rPr>
        <w:t xml:space="preserve">رساله ای است در وصف یمن و شهر صنعا و بخش هایی از تاریخ آن و ذکر بناهای تاریخی همچون قصرها، سدها، مقابر و كنوز، با استفاده از اشعاری که شعرای عرب در این باره سروده اند، دارای ابواب است و حوادث تا سال ۱۱۱۷ق را آورده است.</w:t>
      </w:r>
    </w:p>
    <w:p>
      <w:pPr>
        <w:pStyle w:val="BookText"/>
      </w:pPr>
      <w:r>
        <w:rPr>
          <w:rFonts w:ascii="IRNazanin" w:hAnsi="IRNazanin" w:eastAsia="IRNazanin" w:cs="IRNazanin"/>
          <w:lang w:bidi="fa-IR"/>
          <w:color w:val="111111"/>
          <w:sz w:val="28"/>
          <w:szCs w:val="28"/>
          <w:rtl/>
        </w:rPr>
        <w:t xml:space="preserve">قم، گلپایگانی؛ شماره نسخه:۶۳۵۰- ۳۲/۵۰</w:t>
      </w:r>
    </w:p>
    <w:p>
      <w:pPr>
        <w:pStyle w:val="BookText"/>
      </w:pPr>
      <w:r>
        <w:rPr>
          <w:rFonts w:ascii="IRNazanin" w:hAnsi="IRNazanin" w:eastAsia="IRNazanin" w:cs="IRNazanin"/>
          <w:lang w:bidi="fa-IR"/>
          <w:color w:val="111111"/>
          <w:sz w:val="28"/>
          <w:szCs w:val="28"/>
          <w:rtl/>
        </w:rPr>
        <w:t xml:space="preserve">آغاز: بسمله باب ما جاء في ذكر قصور اليمن و معاقلها اقدم شيء قصر غمدان قال الحسن الهمدانی اول قصور اليمن و اعجبها ذکرة و ابعدها صيتا قصر غمد آن و هو قصر از آل و هو في صنعاء انجام: اقاويل حمير قد تولوه *** بعد عقد الأمور منهم و تفض / الف ملکی سقاهم الدهر كأسا *** مرة زلزلت بهم كل ارض.. خط: نسخ، بی کا، بی تا؛ نسخه عکسی است؛ مجدول، به همراه کتاب دیگری بوده در حساب به نام «معرفة الغالب و المغلوب و الطالب و المطلوب» که عکس آن در این نسخه موجود نیست؛ جلد: گالینگور قهوه ای، ۹۲، ۱۵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۷۰۵-۲ ]</w:t>
      </w:r>
    </w:p>
    <w:p>
      <w:pPr>
        <w:pStyle w:val="Heading3"/>
      </w:pPr>
      <w:bookmarkStart w:id="2789" w:name="_Toc2049"/>
      <w:r>
        <w:t>•تاريخ (اليمن منظومة في) / تاریخ / عربی</w:t>
      </w:r>
      <w:bookmarkEnd w:id="2789"/>
    </w:p>
    <w:p>
      <w:pPr>
        <w:pStyle w:val="BookText"/>
      </w:pPr>
      <w:r>
        <w:rPr>
          <w:rFonts w:ascii="Times New Roman" w:hAnsi="Times New Roman" w:eastAsia="Times New Roman" w:cs="Times New Roman"/>
          <w:lang w:val="en-US" w:bidi="en-US"/>
          <w:color w:val="111111"/>
          <w:sz w:val="28"/>
          <w:szCs w:val="28"/>
          <w:rtl/>
        </w:rPr>
        <w:t xml:space="preserve">tārīx-ul yaman (mnz.-un fī)</w:t>
      </w:r>
    </w:p>
    <w:p>
      <w:pPr>
        <w:pStyle w:val="BookText"/>
      </w:pPr>
      <w:r>
        <w:rPr>
          <w:rFonts w:ascii="IRNazanin" w:hAnsi="IRNazanin" w:eastAsia="IRNazanin" w:cs="IRNazanin"/>
          <w:lang w:bidi="fa-IR"/>
          <w:color w:val="111111"/>
          <w:sz w:val="28"/>
          <w:szCs w:val="28"/>
          <w:rtl/>
        </w:rPr>
        <w:t xml:space="preserve">منظومه ای است در ۲۸۶ بیت در تاریخ حکومت «مولانا رضوان» که به سال ۹۷۲ق از طرف حکومت عثمانی وارد یمن گردید. دارای ابوابی است: باب تقریر مولانا صاحب السعادة رضوان للأمير محمد بن يحيى المغربي على نيابته زبید و ماوالاها من البلدان، باب وصول رضوان الى مدينة تعز، باب ارسال رضوان الى الباب العالي يطلب الفسخ من مولانا السلطان، باب نزول رضوان من محروسة صنعا الى بندر البقعة و توجهه إلى الأبواب الشريفة، باب خلاف القبائل على مولانا الباشا مراد، باب تدبیر مولانا الباشا مراد و من حضر من اعيان العسكر لاجواد امر المسير الى تعز، باب الواقعة التي وقعت لمولانا الباشامراد و من معه من العسكر، باب وصول الخبر إلى محروسه زبید بقضية مولانا مراد، باب قدوم مولانا حسن باشا بندر البقعه من ارض اليمن، باب مجئ اللهف الطمع الزيدي على الشوع قاصدا قبض مدينة زبيد و وقوعه في مكره، باب قدوم شاوش باشا من قبل باشا عثمان، باب قدوم عثمان باشا الى بندر الصليف، باب مصير مولانا عثمان من حبس الى مدينة تعز، باب مجئ محمد بن شمس الدين الى تعز، باب وصول الوزير سنان و اعانته لباشا عثمان، باب وقوع الوحشة بين الوزير سنان و الباشا عثمان، باب مسير الوزير سنان الى القاعدة، باب وصول الخبر إلى الوزير بوصول بهر مراد بعد أن ظهر الخلاف من قبائل اليمن.</w:t>
      </w:r>
    </w:p>
    <w:p>
      <w:pPr>
        <w:pStyle w:val="BookText"/>
      </w:pPr>
      <w:r>
        <w:rPr>
          <w:rFonts w:ascii="IRNazanin" w:hAnsi="IRNazanin" w:eastAsia="IRNazanin" w:cs="IRNazanin"/>
          <w:lang w:bidi="fa-IR"/>
          <w:color w:val="111111"/>
          <w:sz w:val="28"/>
          <w:szCs w:val="28"/>
          <w:rtl/>
        </w:rPr>
        <w:t xml:space="preserve">قم؛ مرعشی؛ شماره نسخه: ۱۲۴۳/۲</w:t>
      </w:r>
    </w:p>
    <w:p>
      <w:pPr>
        <w:pStyle w:val="BookText"/>
      </w:pPr>
      <w:r>
        <w:rPr>
          <w:rFonts w:ascii="IRNazanin" w:hAnsi="IRNazanin" w:eastAsia="IRNazanin" w:cs="IRNazanin"/>
          <w:lang w:bidi="fa-IR"/>
          <w:color w:val="111111"/>
          <w:sz w:val="28"/>
          <w:szCs w:val="28"/>
          <w:rtl/>
        </w:rPr>
        <w:t xml:space="preserve">آغاز: بسمله. الحمدلله الكريم المنان *** جاعلنا من حزب اهل القرآن / ثم صلوة الله كل الاحيان *** على النبي المصطفى من عدنان؛ انجام: ثم صلوتی و سلامی اتمام *** على رسول الله خير من صام / و آله و الصحب حزب الاسلام *** ما فتح الزهر طواء الأكمام. تمت. بی کا، بی تا، ۱۳ص (۳۱-۴۳)، ۱۳ سطر [عکسی ف: ۳-۵۴۲]</w:t>
      </w:r>
    </w:p>
    <w:p>
      <w:pPr>
        <w:pStyle w:val="Heading3"/>
      </w:pPr>
      <w:bookmarkStart w:id="2790" w:name="_Toc2050"/>
      <w:r>
        <w:t>•تاریخ الیمینی = تاریخ عتبی = معجز الكتاب ومحرز الاداب/تاریخ/عربی</w:t>
      </w:r>
      <w:bookmarkEnd w:id="2790"/>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tārīx-ul yamīnī = tārīx-i 'utbī = mu'jiz-ul kitāb wa muhraz-ul ādāb</w:t>
      </w:r>
    </w:p>
    <w:p>
      <w:pPr>
        <w:pStyle w:val="BookText"/>
      </w:pPr>
      <w:r>
        <w:rPr>
          <w:rFonts w:ascii="IRNazanin" w:hAnsi="IRNazanin" w:eastAsia="IRNazanin" w:cs="IRNazanin"/>
          <w:lang w:bidi="fa-IR"/>
          <w:color w:val="111111"/>
          <w:sz w:val="28"/>
          <w:szCs w:val="28"/>
          <w:rtl/>
        </w:rPr>
        <w:t xml:space="preserve">عتبی، محمد بن عبدالجبار، ۳۵۰؟ -۴۲۷ ؟ قمری</w:t>
      </w:r>
    </w:p>
    <w:p>
      <w:pPr>
        <w:pStyle w:val="BookText"/>
      </w:pPr>
      <w:r>
        <w:rPr>
          <w:rFonts w:ascii="Times New Roman" w:hAnsi="Times New Roman" w:eastAsia="Times New Roman" w:cs="Times New Roman"/>
          <w:lang w:val="en-US" w:bidi="en-US"/>
          <w:color w:val="111111"/>
          <w:sz w:val="28"/>
          <w:szCs w:val="28"/>
          <w:rtl/>
        </w:rPr>
        <w:t xml:space="preserve">‘otbī, mohammad ebn-e ‘abd-ol-jabbār (962-1037)</w:t>
      </w:r>
    </w:p>
    <w:p>
      <w:pPr>
        <w:pStyle w:val="BookText"/>
      </w:pPr>
      <w:r>
        <w:rPr>
          <w:rFonts w:ascii="IRNazanin" w:hAnsi="IRNazanin" w:eastAsia="IRNazanin" w:cs="IRNazanin"/>
          <w:lang w:bidi="fa-IR"/>
          <w:color w:val="111111"/>
          <w:sz w:val="28"/>
          <w:szCs w:val="28"/>
          <w:rtl/>
        </w:rPr>
        <w:t xml:space="preserve">اهداء به: يمين الدوله سلطان محمود بن سبکتکین غزنوی تاریخ حوادث و جنگ ها و وقایع سلطنت ناصر الدین ابو منصور سبکتکین غزنوی از سال ۳۶۷ ق تا زمان مرگ وی به سال ۳۸۷ق و تاریخ اولادش تا سال ۴۲۱ق که با عباراتی فصیح و کلماتی بلیغ و رسا تألیف شده است، کتاب پس از تأليف به ویژه از جهت ادبی و لغوی مورد توجه ادیبان و نویسندگان واقع و شروح متعددی بدان نگاشته شده است. این تاریخ توسط ابو اشرف ناصح بن ظفر جرفاد قانی به فارسی ترجمه شده است. عتبی در عهد سلطان محمود غزنوی، متصدی دفتر و انشاء بوده و از ادبای زمان خود است، وی تاریخ آل سبکتکین را به نام يمين الدوله سلطان محمود بن سبکتکین غزنوی، تألیف نموده، لذا به نام «تاريخ اليمينی» و «سيرة اليمينی» و «الیمینی» معروف است و از آن به «تاريخ العتبی» هم نام برده اند. آغاز: بسمله الحمدلله الظاهر بآياته الباطن بذاته القريب برحمته البعيد بعزته الكريم بالائه العظيم انجام: و قبح الله من نقص عمره على زيادة الآثام و مساءة الأنام و حيازة الملام، و يرحم الله عبدا قال آمين. چاپ: این کتاب، در دهلی، و قاهره، چاپ شده است؛ مشار عربی، ص ۱۵۵؛ لاهور، سنگی، ۱۳۰۰ ق.، وزیری، ۳۷۲ص</w:t>
      </w:r>
    </w:p>
    <w:p>
      <w:pPr>
        <w:pStyle w:val="BookText"/>
      </w:pPr>
      <w:r>
        <w:rPr>
          <w:rFonts w:ascii="IRNazanin" w:hAnsi="IRNazanin" w:eastAsia="IRNazanin" w:cs="IRNazanin"/>
          <w:lang w:bidi="fa-IR"/>
          <w:color w:val="111111"/>
          <w:sz w:val="28"/>
          <w:szCs w:val="28"/>
          <w:rtl/>
        </w:rPr>
        <w:t xml:space="preserve">[الذريعة ۲۵۶/۳ ؛ دنا ۷۵۳/۲ (۲۸ نسخه)؛ نسخه های منزوی ۴۲۲۱/۶ و ۴۲۹۴؛ کشف الظنون ۶۶۰/۲ ]</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جوامع العبر و لوامع الفكر؛ کرمانی، فضل الله بن عبدالحمید (۷۰) ۲- تاریخ یمینی (ترجمه) = ترجمه تاریخ عتبی؛ جرفاد قانی، ناصح بن ظفر (-۷) ٣- بساتين الفضلا و رياحين العقلا (الفضلاء) = شرح تاريخ اليمينی؛ نجاتی نیشابوری، محمود بن عمر (-۷۲۸) ۴- الفتح الوهبي على تاريخ ابی نصر العتبی؛ منینی، احمد بن على (۱۱۷۲-۱۰۸۹)</w:t>
      </w:r>
    </w:p>
    <w:p>
      <w:pPr>
        <w:pStyle w:val="BookText"/>
      </w:pPr>
      <w:r>
        <w:rPr>
          <w:rFonts w:ascii="IRNazanin" w:hAnsi="IRNazanin" w:eastAsia="IRNazanin" w:cs="IRNazanin"/>
          <w:lang w:bidi="fa-IR"/>
          <w:color w:val="111111"/>
          <w:sz w:val="28"/>
          <w:szCs w:val="28"/>
          <w:rtl/>
        </w:rPr>
        <w:t xml:space="preserve">۵- تاریخ یمینی (ترجمه) = ترجمه تاریخ عتبی؛ اهری، عبدالکریم بن محمد صادق (۱۳)</w:t>
      </w:r>
    </w:p>
    <w:p>
      <w:pPr>
        <w:pStyle w:val="BookText"/>
      </w:pPr>
      <w:r>
        <w:rPr>
          <w:rFonts w:ascii="IRNazanin" w:hAnsi="IRNazanin" w:eastAsia="IRNazanin" w:cs="IRNazanin"/>
          <w:lang w:bidi="fa-IR"/>
          <w:color w:val="111111"/>
          <w:sz w:val="28"/>
          <w:szCs w:val="28"/>
          <w:rtl/>
        </w:rPr>
        <w:t xml:space="preserve">۶- بث الشكوى = ترجمه تاریخ عتبی، ثقة الاسلام تبریزی، علی بن موسی (۱۲۷۷ - ۱۳۳۰)</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نسخه:۴۱۶۵</w:t>
      </w:r>
    </w:p>
    <w:p>
      <w:pPr>
        <w:pStyle w:val="BookText"/>
      </w:pPr>
      <w:r>
        <w:rPr>
          <w:rFonts w:ascii="IRNazanin" w:hAnsi="IRNazanin" w:eastAsia="IRNazanin" w:cs="IRNazanin"/>
          <w:lang w:bidi="fa-IR"/>
          <w:color w:val="111111"/>
          <w:sz w:val="28"/>
          <w:szCs w:val="28"/>
          <w:rtl/>
        </w:rPr>
        <w:t xml:space="preserve">آغاز و انجام: برابر خط: نسخ، كا: احمد جرفاد قانی، تا: ۵۲۴ق؛ کاغذ: حنایی، جلد:</w:t>
      </w:r>
    </w:p>
    <w:p>
      <w:pPr>
        <w:pStyle w:val="BookText"/>
      </w:pPr>
      <w:r>
        <w:rPr>
          <w:rFonts w:ascii="IRNazanin" w:hAnsi="IRNazanin" w:eastAsia="IRNazanin" w:cs="IRNazanin"/>
          <w:lang w:bidi="fa-IR"/>
          <w:color w:val="111111"/>
          <w:sz w:val="28"/>
          <w:szCs w:val="28"/>
          <w:rtl/>
        </w:rPr>
        <w:t xml:space="preserve">تیماج، ۱۹ سطر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اندازه: 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[الفبائی: ۱۰۰]</w:t>
      </w:r>
    </w:p>
    <w:p>
      <w:pPr>
        <w:pStyle w:val="BookText"/>
      </w:pPr>
      <w:r>
        <w:rPr>
          <w:rFonts w:ascii="IRNazanin" w:hAnsi="IRNazanin" w:eastAsia="IRNazanin" w:cs="IRNazanin"/>
          <w:lang w:bidi="fa-IR"/>
          <w:color w:val="111111"/>
          <w:sz w:val="28"/>
          <w:szCs w:val="28"/>
          <w:rtl/>
        </w:rPr>
        <w:t xml:space="preserve">۲. تهران، دانشگاه؛ شماره نسخه: ۳۹۱-ف</w:t>
      </w:r>
    </w:p>
    <w:p>
      <w:pPr>
        <w:pStyle w:val="BookText"/>
      </w:pPr>
      <w:r>
        <w:rPr>
          <w:rFonts w:ascii="IRNazanin" w:hAnsi="IRNazanin" w:eastAsia="IRNazanin" w:cs="IRNazanin"/>
          <w:lang w:bidi="fa-IR"/>
          <w:color w:val="111111"/>
          <w:sz w:val="28"/>
          <w:szCs w:val="28"/>
          <w:rtl/>
        </w:rPr>
        <w:t xml:space="preserve">تاریخ یزد - تاريخ اليمينی ۸۱۷ نسخه اصل: ایاصوفيا ش ۲۹۴۹؛ خط: نسخ، كا: ابو العلاء بن احمد بن مسافر سهروردی، تا: ۱۵ محرم ۵۷۳ق، جا: دمشق؛ با خط محمد بن احمد بن عبدالعزيز بن محمد العجمي الشافعی در ص ع؛ واقف: سلطان محمود خان به خط احمد شیخ زاده مفتش اوقاف الحرمین؛ ۲۳۲ ، ۱۷ سطر [فیلمها ف: ۱-۲۹۴]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نسخه:۵۷۶۷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۷ یا اوایل ۸؛ محشی، مجدول؛ کاغذ: سمرقندی شکری، جلد: تیماج سرخ با ترنج و نیم ترنج، ۵۴۲ص، ۱۵ سطر، اندازه: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۱۷-۲۰۶]</w:t>
      </w:r>
    </w:p>
    <w:p>
      <w:pPr>
        <w:pStyle w:val="BookText"/>
      </w:pPr>
      <w:r>
        <w:rPr>
          <w:rFonts w:ascii="IRNazanin" w:hAnsi="IRNazanin" w:eastAsia="IRNazanin" w:cs="IRNazanin"/>
          <w:lang w:bidi="fa-IR"/>
          <w:color w:val="111111"/>
          <w:sz w:val="28"/>
          <w:szCs w:val="28"/>
          <w:rtl/>
        </w:rPr>
        <w:t xml:space="preserve">۴. تهران؛ مجلس؛ شماره نسخه:۲۰۱۸</w:t>
      </w:r>
    </w:p>
    <w:p>
      <w:pPr>
        <w:pStyle w:val="BookText"/>
      </w:pPr>
      <w:r>
        <w:rPr>
          <w:rFonts w:ascii="IRNazanin" w:hAnsi="IRNazanin" w:eastAsia="IRNazanin" w:cs="IRNazanin"/>
          <w:lang w:bidi="fa-IR"/>
          <w:color w:val="111111"/>
          <w:sz w:val="28"/>
          <w:szCs w:val="28"/>
          <w:rtl/>
        </w:rPr>
        <w:t xml:space="preserve">آغاز: و يندبهم العقاب و لم يقتصر على ما اقامه من الحجة و اوضحه من المحجة؛ انجام: برابر خط: نسخ، كا: مفرد الرستانی بن زین الدین محمد بن ابی بکر بن محمد بن سلمان، تا: ۲۲ ربیع الاول ۶۶۳ق؛ افتادگی: آغاز؛ مصحح؛ جلد: تیماج قهوه ای با ترنج، ۱۰۷گ، ۲۱-۲۲ سطر، اندازه: ۱۸/۵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۲۵-۲۷]</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مرعشی؛ شماره نسخه:۷۱۷عکسی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نسخه اصل: چستربیتی، ش ۴۲۶۰ (اربری، فهرست خطی عربی ۸۱/۵ )؛ خط: نسخ، كا: ابوالعلاء بن منصور بن ابوالعلاء بن محمود بن منوچهر المصی، تا: جمعه ۸ شوال ۶۷۶ق؛ مصحح؛ تملك: أحمد مختار مدرس مدرسه أياصوفيه؛ ۲۴۲گ، ۱۵ سطر [عکسی ف: ۲-۲۰۱]</w:t>
      </w:r>
    </w:p>
    <w:p>
      <w:pPr>
        <w:pStyle w:val="BookText"/>
      </w:pPr>
      <w:r>
        <w:rPr>
          <w:rFonts w:ascii="IRNazanin" w:hAnsi="IRNazanin" w:eastAsia="IRNazanin" w:cs="IRNazanin"/>
          <w:lang w:bidi="fa-IR"/>
          <w:color w:val="111111"/>
          <w:sz w:val="28"/>
          <w:szCs w:val="28"/>
          <w:rtl/>
        </w:rPr>
        <w:t xml:space="preserve">۶. مشهد؛ رضوی؛ شماره نسخه:۴۱۶۶</w:t>
      </w:r>
    </w:p>
    <w:p>
      <w:pPr>
        <w:pStyle w:val="BookText"/>
      </w:pPr>
      <w:r>
        <w:rPr>
          <w:rFonts w:ascii="IRNazanin" w:hAnsi="IRNazanin" w:eastAsia="IRNazanin" w:cs="IRNazanin"/>
          <w:lang w:bidi="fa-IR"/>
          <w:color w:val="111111"/>
          <w:sz w:val="28"/>
          <w:szCs w:val="28"/>
          <w:rtl/>
        </w:rPr>
        <w:t xml:space="preserve">آغاز: برابر؛ انجام: و الخلق فيها شرع و الاخرللاول تبع ... من البدو الى المال ۱۲۸۲ خط: نسخ، بی کا، تا: قرن ۱۸ کاغذ: حنایی، جلد: تیماج، ۱۷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w:t>
      </w:r>
    </w:p>
    <w:p>
      <w:pPr>
        <w:pStyle w:val="BookText"/>
      </w:pPr>
      <w:r>
        <w:rPr>
          <w:rFonts w:ascii="IRNazanin" w:hAnsi="IRNazanin" w:eastAsia="IRNazanin" w:cs="IRNazanin"/>
          <w:lang w:bidi="fa-IR"/>
          <w:color w:val="111111"/>
          <w:sz w:val="28"/>
          <w:szCs w:val="28"/>
          <w:rtl/>
        </w:rPr>
        <w:t xml:space="preserve">[رایانه]</w:t>
      </w:r>
    </w:p>
    <w:p>
      <w:pPr>
        <w:pStyle w:val="BookText"/>
      </w:pPr>
      <w:r>
        <w:rPr>
          <w:rFonts w:ascii="IRNazanin" w:hAnsi="IRNazanin" w:eastAsia="IRNazanin" w:cs="IRNazanin"/>
          <w:lang w:bidi="fa-IR"/>
          <w:color w:val="111111"/>
          <w:sz w:val="28"/>
          <w:szCs w:val="28"/>
          <w:rtl/>
        </w:rPr>
        <w:t xml:space="preserve">۷. تهران؛ ملک؛ شماره نسخه: ۴۱۱۱</w:t>
      </w:r>
    </w:p>
    <w:p>
      <w:pPr>
        <w:pStyle w:val="BookText"/>
      </w:pPr>
      <w:r>
        <w:rPr>
          <w:rFonts w:ascii="IRNazanin" w:hAnsi="IRNazanin" w:eastAsia="IRNazanin" w:cs="IRNazanin"/>
          <w:lang w:bidi="fa-IR"/>
          <w:color w:val="111111"/>
          <w:sz w:val="28"/>
          <w:szCs w:val="28"/>
          <w:rtl/>
        </w:rPr>
        <w:t xml:space="preserve">انجام: و ذلك لان شمس الكفاة ندبني لمجاورته خط: نسخ معرب، كا: محمد بن احمد قاضی زاده، تا قرن ۱۹ افتادگی: انجام؛ تملک: جمال الدین یوسف بن عجمی؛ کاغذ: کاغذ ترمه، جلد: میشن سیاه، ۱۵۲گ، ۱۹ سطر، اندازه: ۲۶/۷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۲۰/۱ سم [ف: ۱-۵۱۲]</w:t>
      </w:r>
    </w:p>
    <w:p>
      <w:pPr>
        <w:pStyle w:val="BookText"/>
      </w:pPr>
      <w:r>
        <w:rPr>
          <w:rFonts w:ascii="IRNazanin" w:hAnsi="IRNazanin" w:eastAsia="IRNazanin" w:cs="IRNazanin"/>
          <w:lang w:bidi="fa-IR"/>
          <w:color w:val="111111"/>
          <w:sz w:val="28"/>
          <w:szCs w:val="28"/>
          <w:rtl/>
        </w:rPr>
        <w:t xml:space="preserve">۸. تهران؛ ملی؛ شماره نسخه: ۱۶۴۰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۱۰؛ در پشت صفحه اول آمده: «از کتابخانه سلطان صفویه انار الله برهانهم بتاریخ ۲۶ ربيع الأول ۱۱۱۵»؛ مهر: «محمد صادق الحسینی»؛ کاغذ: دولت آبادی، جلد: مقوایی با تیماج تریاکی، ۱۴۶ گ، ۲۰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w:t>
      </w:r>
    </w:p>
    <w:p>
      <w:pPr>
        <w:pStyle w:val="BookText"/>
      </w:pPr>
      <w:r>
        <w:rPr>
          <w:rFonts w:ascii="IRNazanin" w:hAnsi="IRNazanin" w:eastAsia="IRNazanin" w:cs="IRNazanin"/>
          <w:lang w:bidi="fa-IR"/>
          <w:color w:val="111111"/>
          <w:sz w:val="28"/>
          <w:szCs w:val="28"/>
          <w:rtl/>
        </w:rPr>
        <w:t xml:space="preserve">سم [ف: ۱۰-۲۱۷]</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تبریز؛ ثقة الاسلام؛ شماره نسخه:۳</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 محمدرضا ن اسماعیل آملی، تا: ۱۴ جمادی الاول ۱۰۶۶ق [نشریه: ۴-۳۲۵]</w:t>
      </w:r>
    </w:p>
    <w:p>
      <w:pPr>
        <w:pStyle w:val="BookText"/>
      </w:pPr>
      <w:r>
        <w:rPr>
          <w:rFonts w:ascii="IRNazanin" w:hAnsi="IRNazanin" w:eastAsia="IRNazanin" w:cs="IRNazanin"/>
          <w:lang w:bidi="fa-IR"/>
          <w:color w:val="111111"/>
          <w:sz w:val="28"/>
          <w:szCs w:val="28"/>
          <w:rtl/>
        </w:rPr>
        <w:t xml:space="preserve">۱۰. مشهد؛ رضوی؛ شماره نسخه:۴۲۹۵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۱۰۸۲ق؛ واقف: نایینی؛ کاغذ: نخودی، جلد: چرمی عنابی، ۱۷۷، ۱۷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[ف: ۷-۴۳]</w:t>
      </w:r>
    </w:p>
    <w:p>
      <w:pPr>
        <w:pStyle w:val="BookText"/>
      </w:pPr>
      <w:r>
        <w:rPr>
          <w:rFonts w:ascii="IRNazanin" w:hAnsi="IRNazanin" w:eastAsia="IRNazanin" w:cs="IRNazanin"/>
          <w:lang w:bidi="fa-IR"/>
          <w:color w:val="111111"/>
          <w:sz w:val="28"/>
          <w:szCs w:val="28"/>
          <w:rtl/>
        </w:rPr>
        <w:t xml:space="preserve">۱۱. تهران: ملی؛ شماره نسخه:۲۷۵</w:t>
      </w:r>
    </w:p>
    <w:p>
      <w:pPr>
        <w:pStyle w:val="BookText"/>
      </w:pPr>
      <w:r>
        <w:rPr>
          <w:rFonts w:ascii="IRNazanin" w:hAnsi="IRNazanin" w:eastAsia="IRNazanin" w:cs="IRNazanin"/>
          <w:lang w:bidi="fa-IR"/>
          <w:color w:val="111111"/>
          <w:sz w:val="28"/>
          <w:szCs w:val="28"/>
          <w:rtl/>
        </w:rPr>
        <w:t xml:space="preserve">آغاز و انجام: برابر خط: نسخ و نستعلیق، بی کا، تا: قرن ۱۲؛ کاغذ: فرنگی، جلد: تیماج قرمز با ترنج و نیم ترنج، ۸۳گ، ۲۳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۷-۲۴۶]</w:t>
      </w:r>
    </w:p>
    <w:p>
      <w:pPr>
        <w:pStyle w:val="BookText"/>
      </w:pPr>
      <w:r>
        <w:rPr>
          <w:rFonts w:ascii="IRNazanin" w:hAnsi="IRNazanin" w:eastAsia="IRNazanin" w:cs="IRNazanin"/>
          <w:lang w:bidi="fa-IR"/>
          <w:color w:val="111111"/>
          <w:sz w:val="28"/>
          <w:szCs w:val="28"/>
          <w:rtl/>
        </w:rPr>
        <w:t xml:space="preserve">۱۲. تهران؛ ملی؛ شماره نسخه: ۲۴۰</w:t>
      </w:r>
    </w:p>
    <w:p>
      <w:pPr>
        <w:pStyle w:val="BookText"/>
      </w:pPr>
      <w:r>
        <w:rPr>
          <w:rFonts w:ascii="IRNazanin" w:hAnsi="IRNazanin" w:eastAsia="IRNazanin" w:cs="IRNazanin"/>
          <w:lang w:bidi="fa-IR"/>
          <w:color w:val="111111"/>
          <w:sz w:val="28"/>
          <w:szCs w:val="28"/>
          <w:rtl/>
        </w:rPr>
        <w:t xml:space="preserve">آغاز و انجام: برابر خط: نستعلیق، بی کا، تا: ۱۱۱۳ق؛ با سرلوح مذهب، مجدول؛ کاغذ: فرنگی، جلد: تیماج تریاکی با ترنج مذهب، ۳۳۸ ، ۱۵ سطر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۷-۲۱۱]</w:t>
      </w:r>
    </w:p>
    <w:p>
      <w:pPr>
        <w:pStyle w:val="BookText"/>
      </w:pPr>
      <w:r>
        <w:rPr>
          <w:rFonts w:ascii="IRNazanin" w:hAnsi="IRNazanin" w:eastAsia="IRNazanin" w:cs="IRNazanin"/>
          <w:lang w:bidi="fa-IR"/>
          <w:color w:val="111111"/>
          <w:sz w:val="28"/>
          <w:szCs w:val="28"/>
          <w:rtl/>
        </w:rPr>
        <w:t xml:space="preserve">۱۳. تهران؛ ملی؛ شماره نسخه: ۸۱۷/۱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حبیب الله بن محمد على متخلص به قاآنی، تا: ۱۲۴۹ق؛ کاغذ: فرنگی نخودی، جلد: تیماج عنابی با ترنج و نیم ترنج، ۲۷۵ ص (۱-۲۷۵)، ۱۵ سطر (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۸-۳۲۱]</w:t>
      </w:r>
    </w:p>
    <w:p>
      <w:pPr>
        <w:pStyle w:val="BookText"/>
      </w:pPr>
      <w:r>
        <w:rPr>
          <w:rFonts w:ascii="IRNazanin" w:hAnsi="IRNazanin" w:eastAsia="IRNazanin" w:cs="IRNazanin"/>
          <w:lang w:bidi="fa-IR"/>
          <w:color w:val="111111"/>
          <w:sz w:val="28"/>
          <w:szCs w:val="28"/>
          <w:rtl/>
        </w:rPr>
        <w:t xml:space="preserve">۱۴. تهران؛ ادبیات؛ شماره نسخه:۱۰۶</w:t>
      </w:r>
    </w:p>
    <w:p>
      <w:pPr>
        <w:pStyle w:val="BookText"/>
      </w:pPr>
      <w:r>
        <w:rPr>
          <w:rFonts w:ascii="IRNazanin" w:hAnsi="IRNazanin" w:eastAsia="IRNazanin" w:cs="IRNazanin"/>
          <w:lang w:bidi="fa-IR"/>
          <w:color w:val="111111"/>
          <w:sz w:val="28"/>
          <w:szCs w:val="28"/>
          <w:rtl/>
        </w:rPr>
        <w:t xml:space="preserve">خط: نسخ، بی کا، تا: ۱۲۵۰ق [ف: ۳-۷۸]</w:t>
      </w:r>
    </w:p>
    <w:p>
      <w:pPr>
        <w:pStyle w:val="BookText"/>
      </w:pPr>
      <w:r>
        <w:rPr>
          <w:rFonts w:ascii="IRNazanin" w:hAnsi="IRNazanin" w:eastAsia="IRNazanin" w:cs="IRNazanin"/>
          <w:lang w:bidi="fa-IR"/>
          <w:color w:val="111111"/>
          <w:sz w:val="28"/>
          <w:szCs w:val="28"/>
          <w:rtl/>
        </w:rPr>
        <w:t xml:space="preserve">۱۵. تهران؛ ملی؛ شماره نسخه:۱۳۱۲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بی کا، تا: ۱۲۵۶ق؛ کاغذ: فرنگی، جلد: تیماج مشکی، ۱۵۸گ، ۱۷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۹-۲۹۸]</w:t>
      </w:r>
    </w:p>
    <w:p>
      <w:pPr>
        <w:pStyle w:val="BookText"/>
      </w:pPr>
      <w:r>
        <w:rPr>
          <w:rFonts w:ascii="IRNazanin" w:hAnsi="IRNazanin" w:eastAsia="IRNazanin" w:cs="IRNazanin"/>
          <w:lang w:bidi="fa-IR"/>
          <w:color w:val="111111"/>
          <w:sz w:val="28"/>
          <w:szCs w:val="28"/>
          <w:rtl/>
        </w:rPr>
        <w:t xml:space="preserve">۱۶. تبریز؛ ملی؛ شماره نسخه:۳۲۹۳</w:t>
      </w:r>
    </w:p>
    <w:p>
      <w:pPr>
        <w:pStyle w:val="BookText"/>
      </w:pPr>
      <w:r>
        <w:rPr>
          <w:rFonts w:ascii="IRNazanin" w:hAnsi="IRNazanin" w:eastAsia="IRNazanin" w:cs="IRNazanin"/>
          <w:lang w:bidi="fa-IR"/>
          <w:color w:val="111111"/>
          <w:sz w:val="28"/>
          <w:szCs w:val="28"/>
          <w:rtl/>
        </w:rPr>
        <w:t xml:space="preserve">آغاز: بتاتا و تنبع الملح الأجاج عذبا فراتا و تقذف الاكلين لحما طريا؛ انجام: برابر خط: نسخ، کا: محمد مسیح بن میر عبدالحمید موسوی اصفهانی، تا: ۱۲۵۸ق؛ افتادگی: آغاز (چهارده سطر)؛ کاغذ: فرنگی، نیلی، جلد: چرمی سیاه، ۱۴۷گ، ۱۵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۱-۱۸۵]</w:t>
      </w:r>
    </w:p>
    <w:p>
      <w:pPr>
        <w:pStyle w:val="BookText"/>
      </w:pPr>
      <w:r>
        <w:rPr>
          <w:rFonts w:ascii="IRNazanin" w:hAnsi="IRNazanin" w:eastAsia="IRNazanin" w:cs="IRNazanin"/>
          <w:lang w:bidi="fa-IR"/>
          <w:color w:val="111111"/>
          <w:sz w:val="28"/>
          <w:szCs w:val="28"/>
          <w:rtl/>
        </w:rPr>
        <w:t xml:space="preserve">۱۷. همدان؛ دانشگاه بوعلی؛ شماره نسخه: ۱۸۱</w:t>
      </w:r>
    </w:p>
    <w:p>
      <w:pPr>
        <w:pStyle w:val="BookText"/>
      </w:pPr>
      <w:r>
        <w:rPr>
          <w:rFonts w:ascii="IRNazanin" w:hAnsi="IRNazanin" w:eastAsia="IRNazanin" w:cs="IRNazanin"/>
          <w:lang w:bidi="fa-IR"/>
          <w:color w:val="111111"/>
          <w:sz w:val="28"/>
          <w:szCs w:val="28"/>
          <w:rtl/>
        </w:rPr>
        <w:t xml:space="preserve">خط: نستعلیق معرب، كا: محمد علی، تا: صفر ۱۲۷۰ق، جا: قريه میلان؛ مصحح، محشی؛ جلد: تیماج مشکی، ۱۹۳گ، ۱۲ سطر، اندازه: ۲۱/۵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91]</w:t>
      </w:r>
    </w:p>
    <w:p>
      <w:pPr>
        <w:pStyle w:val="BookText"/>
      </w:pPr>
      <w:r>
        <w:rPr>
          <w:rFonts w:ascii="IRNazanin" w:hAnsi="IRNazanin" w:eastAsia="IRNazanin" w:cs="IRNazanin"/>
          <w:lang w:bidi="fa-IR"/>
          <w:color w:val="111111"/>
          <w:sz w:val="28"/>
          <w:szCs w:val="28"/>
          <w:rtl/>
        </w:rPr>
        <w:t xml:space="preserve">۱۸. کاشان؛ مدرسه سلطانی؛ شماره نسخه: ۲۱</w:t>
      </w:r>
    </w:p>
    <w:p>
      <w:pPr>
        <w:pStyle w:val="BookText"/>
      </w:pPr>
      <w:r>
        <w:rPr>
          <w:rFonts w:ascii="IRNazanin" w:hAnsi="IRNazanin" w:eastAsia="IRNazanin" w:cs="IRNazanin"/>
          <w:lang w:bidi="fa-IR"/>
          <w:color w:val="111111"/>
          <w:sz w:val="28"/>
          <w:szCs w:val="28"/>
          <w:rtl/>
        </w:rPr>
        <w:t xml:space="preserve">آغاز: برابر؛ انجام: و البراءة من فوادح الاوزار قوادح النار و ليعلم ان الاساتذ تعقب على الأيام عناء ثقيلا و عباء وبي و خطبا جليلا و السانا كالحسام صیقلا فافتح الله من نقص عمره على زيادة .. انتهى بعون الله.</w:t>
      </w:r>
    </w:p>
    <w:p>
      <w:pPr>
        <w:pStyle w:val="BookText"/>
      </w:pPr>
      <w:r>
        <w:rPr>
          <w:rFonts w:ascii="IRNazanin" w:hAnsi="IRNazanin" w:eastAsia="IRNazanin" w:cs="IRNazanin"/>
          <w:lang w:bidi="fa-IR"/>
          <w:color w:val="111111"/>
          <w:sz w:val="28"/>
          <w:szCs w:val="28"/>
          <w:rtl/>
        </w:rPr>
        <w:t xml:space="preserve">کامل؛ خط: ثلث جلی، کا: باقر بن شیخ احمد بن شیخ حسین عبدالعالی کاشانی، تا: شنبه ۲۵ ربیع الاول ۱۲۷۱ق، به خواهش سید فرج الله بن سید هاشم (میرزا سید)؛ جلد: تیماج سبز تیره با ترنج با سر، ۱۷۱گ، ۱۲ سطر، اندازه: ۳۱۸۱۸سم [ف مخ]</w:t>
      </w:r>
    </w:p>
    <w:p>
      <w:pPr>
        <w:pStyle w:val="BookText"/>
      </w:pPr>
      <w:r>
        <w:rPr>
          <w:rFonts w:ascii="IRNazanin" w:hAnsi="IRNazanin" w:eastAsia="IRNazanin" w:cs="IRNazanin"/>
          <w:lang w:bidi="fa-IR"/>
          <w:color w:val="111111"/>
          <w:sz w:val="28"/>
          <w:szCs w:val="28"/>
          <w:rtl/>
        </w:rPr>
        <w:t xml:space="preserve">۱۹. تهران؛ سپهسالار؛ شماره نسخه: ۱۴۸۶/۱</w:t>
      </w:r>
    </w:p>
    <w:p>
      <w:pPr>
        <w:pStyle w:val="BookText"/>
      </w:pPr>
      <w:r>
        <w:rPr>
          <w:rFonts w:ascii="IRNazanin" w:hAnsi="IRNazanin" w:eastAsia="IRNazanin" w:cs="IRNazanin"/>
          <w:lang w:bidi="fa-IR"/>
          <w:color w:val="111111"/>
          <w:sz w:val="28"/>
          <w:szCs w:val="28"/>
          <w:rtl/>
        </w:rPr>
        <w:t xml:space="preserve">خط: نسخ، كا: حاجی آقا بن عبدالله تبریزی، تا: ۱۲۷۱ق، کاغذ: فرنگی نخودی، جلد: تیماج مشکی، ۸۴گ (۲پ -۸۵پ)، ۲۷ اسطر،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۳-۳۰۸]</w:t>
      </w:r>
    </w:p>
    <w:p>
      <w:pPr>
        <w:pStyle w:val="BookText"/>
      </w:pPr>
      <w:r>
        <w:rPr>
          <w:rFonts w:ascii="IRNazanin" w:hAnsi="IRNazanin" w:eastAsia="IRNazanin" w:cs="IRNazanin"/>
          <w:lang w:bidi="fa-IR"/>
          <w:color w:val="111111"/>
          <w:sz w:val="28"/>
          <w:szCs w:val="28"/>
          <w:rtl/>
        </w:rPr>
        <w:t xml:space="preserve">۲۰. تهران؛ سپهسالار؛ شماره نسخه:۱۴۸۷</w:t>
      </w:r>
    </w:p>
    <w:p>
      <w:pPr>
        <w:pStyle w:val="BookText"/>
      </w:pPr>
      <w:r>
        <w:rPr>
          <w:rFonts w:ascii="IRNazanin" w:hAnsi="IRNazanin" w:eastAsia="IRNazanin" w:cs="IRNazanin"/>
          <w:lang w:bidi="fa-IR"/>
          <w:color w:val="111111"/>
          <w:sz w:val="28"/>
          <w:szCs w:val="28"/>
          <w:rtl/>
        </w:rPr>
        <w:t xml:space="preserve">خط: نسخ، كا: مصطفی بن ملا زین العابدین منجم، تا: ۱۲۷۲ق؛ کاغذ: فرنگی نخودی، جلد: تیماج مشکی، ۱۷ سطر،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۳-۳۰۹]</w:t>
      </w:r>
    </w:p>
    <w:p>
      <w:pPr>
        <w:pStyle w:val="BookText"/>
      </w:pPr>
      <w:r>
        <w:rPr>
          <w:rFonts w:ascii="IRNazanin" w:hAnsi="IRNazanin" w:eastAsia="IRNazanin" w:cs="IRNazanin"/>
          <w:lang w:bidi="fa-IR"/>
          <w:color w:val="111111"/>
          <w:sz w:val="28"/>
          <w:szCs w:val="28"/>
          <w:rtl/>
        </w:rPr>
        <w:t xml:space="preserve">۲۱. تهران؛ ملک؛ شماره نسخه: ۳۹۱۹</w:t>
      </w:r>
    </w:p>
    <w:p>
      <w:pPr>
        <w:pStyle w:val="BookText"/>
      </w:pPr>
      <w:r>
        <w:rPr>
          <w:rFonts w:ascii="IRNazanin" w:hAnsi="IRNazanin" w:eastAsia="IRNazanin" w:cs="IRNazanin"/>
          <w:lang w:bidi="fa-IR"/>
          <w:color w:val="111111"/>
          <w:sz w:val="28"/>
          <w:szCs w:val="28"/>
          <w:rtl/>
        </w:rPr>
        <w:t xml:space="preserve">خط: نسخ، بی کا، تا: ۱ ربیع الاول ۱۲۷۲ق؛ با سرلوح زرین، مجدول مذهب؛ کاغذ: ترمه، جلد: میشن زرد سیر، ۲۰۲گ، ۱۷ سطر، اندازه: ۲۷/۲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۱۵/۷ سم [ف: ۱-۷۸]</w:t>
      </w:r>
    </w:p>
    <w:p>
      <w:pPr>
        <w:pStyle w:val="BookText"/>
      </w:pPr>
      <w:r>
        <w:rPr>
          <w:rFonts w:ascii="IRNazanin" w:hAnsi="IRNazanin" w:eastAsia="IRNazanin" w:cs="IRNazanin"/>
          <w:lang w:bidi="fa-IR"/>
          <w:color w:val="111111"/>
          <w:sz w:val="28"/>
          <w:szCs w:val="28"/>
          <w:rtl/>
        </w:rPr>
        <w:t xml:space="preserve">۲۲. تهران؛ ملی؛ شماره نسخه:۱۴۸۳</w:t>
      </w:r>
    </w:p>
    <w:p>
      <w:pPr>
        <w:pStyle w:val="BookText"/>
      </w:pPr>
      <w:r>
        <w:rPr>
          <w:rFonts w:ascii="IRNazanin" w:hAnsi="IRNazanin" w:eastAsia="IRNazanin" w:cs="IRNazanin"/>
          <w:lang w:bidi="fa-IR"/>
          <w:color w:val="111111"/>
          <w:sz w:val="28"/>
          <w:szCs w:val="28"/>
          <w:rtl/>
        </w:rPr>
        <w:t xml:space="preserve">آغاز و انجام: برابر خط: نسخ خوش، كا: حاجی عبدالمجيد بخرم، تا: ۱۲۷۲ق، جان مشهد؛ با سرلوح، مجدول؛ کاغذ: ترمه، جلد: تیماج تریاکی روشن با ترنج و نیم ترنج، ۱۶۹گ، ۱۷سطر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۹-۵۰۴]</w:t>
      </w:r>
    </w:p>
    <w:p>
      <w:pPr>
        <w:pStyle w:val="BookText"/>
      </w:pPr>
      <w:r>
        <w:rPr>
          <w:rFonts w:ascii="IRNazanin" w:hAnsi="IRNazanin" w:eastAsia="IRNazanin" w:cs="IRNazanin"/>
          <w:lang w:bidi="fa-IR"/>
          <w:color w:val="111111"/>
          <w:sz w:val="28"/>
          <w:szCs w:val="28"/>
          <w:rtl/>
        </w:rPr>
        <w:t xml:space="preserve">۲۳. تهران: مجلس؛ شماره نسخه:۸۷۰۵</w:t>
      </w:r>
    </w:p>
    <w:p>
      <w:pPr>
        <w:pStyle w:val="BookText"/>
      </w:pPr>
      <w:r>
        <w:rPr>
          <w:rFonts w:ascii="IRNazanin" w:hAnsi="IRNazanin" w:eastAsia="IRNazanin" w:cs="IRNazanin"/>
          <w:lang w:bidi="fa-IR"/>
          <w:color w:val="111111"/>
          <w:sz w:val="28"/>
          <w:szCs w:val="28"/>
          <w:rtl/>
        </w:rPr>
        <w:t xml:space="preserve">خط: نسخ، كا: محمد تقی ساوجی، تا: ۱۲۷۲ق، به فرمایش میرزا محمد تقی سپهر مستوفی دیوان اعلى؛ مصحح، محشی، یادداشتی از عباس قلی سپهر در ۱۳۲۳ق که نگاشته کتاب بعد از فوت پدرش به او ارث رسیده با مهر «عباس قلی» (بیضوی) و «مشیر افخم عباس قلی» (بیضوی)؛ تملک: محمد تقی ملک الشعراء بهار خراسانی به سال ۱۳۰۸ق؛ جلد: تیماج قرمز، ۲۴۵گ، ۱۵ سطر،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سم [ف: ۲۸-۲۱۶]</w:t>
      </w:r>
    </w:p>
    <w:p>
      <w:pPr>
        <w:pStyle w:val="BookText"/>
      </w:pPr>
      <w:r>
        <w:rPr>
          <w:rFonts w:ascii="IRNazanin" w:hAnsi="IRNazanin" w:eastAsia="IRNazanin" w:cs="IRNazanin"/>
          <w:lang w:bidi="fa-IR"/>
          <w:color w:val="111111"/>
          <w:sz w:val="28"/>
          <w:szCs w:val="28"/>
          <w:rtl/>
        </w:rPr>
        <w:t xml:space="preserve">۲۴. تهران؛ ملک؛ شماره نسخه: ۴۰۹۱</w:t>
      </w:r>
    </w:p>
    <w:p>
      <w:pPr>
        <w:pStyle w:val="BookText"/>
      </w:pPr>
      <w:r>
        <w:rPr>
          <w:rFonts w:ascii="IRNazanin" w:hAnsi="IRNazanin" w:eastAsia="IRNazanin" w:cs="IRNazanin"/>
          <w:lang w:bidi="fa-IR"/>
          <w:color w:val="111111"/>
          <w:sz w:val="28"/>
          <w:szCs w:val="28"/>
          <w:rtl/>
        </w:rPr>
        <w:t xml:space="preserve">خط: نسخ، كا: حسین بن محمد قاری، تا: ۱۲۷۶ق؛ کاغذ: کاغذ فرنگی آهار مهره، جلد: میشن پرتقالی، ۱۸۷ گ، ۱۴ سطر، اندازه: ۲۵/۶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۱۷/۳ سم [ف: ۱-۵۱۲]</w:t>
      </w:r>
    </w:p>
    <w:p>
      <w:pPr>
        <w:pStyle w:val="BookText"/>
      </w:pPr>
      <w:r>
        <w:rPr>
          <w:rFonts w:ascii="IRNazanin" w:hAnsi="IRNazanin" w:eastAsia="IRNazanin" w:cs="IRNazanin"/>
          <w:lang w:bidi="fa-IR"/>
          <w:color w:val="111111"/>
          <w:sz w:val="28"/>
          <w:szCs w:val="28"/>
          <w:rtl/>
        </w:rPr>
        <w:t xml:space="preserve">۲۵. تهران؛ ملی؛ شماره نسخه: ۱۳۲۳/۲</w:t>
      </w:r>
    </w:p>
    <w:p>
      <w:pPr>
        <w:pStyle w:val="BookText"/>
      </w:pPr>
      <w:r>
        <w:rPr>
          <w:rFonts w:ascii="IRNazanin" w:hAnsi="IRNazanin" w:eastAsia="IRNazanin" w:cs="IRNazanin"/>
          <w:lang w:bidi="fa-IR"/>
          <w:color w:val="111111"/>
          <w:sz w:val="28"/>
          <w:szCs w:val="28"/>
          <w:rtl/>
        </w:rPr>
        <w:t xml:space="preserve">آغاز و انجام: برابر خط: نسخ، كا: عبدالله بن ابراهیم، تا: ۱۲۸۲ق؛ کاغذ: فرنگی، جلد: تیماج مشکی، ۱۹۹ص، ۲۵ سطر (۱۰/۵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۲۲/۵ )، اندازه: ۳۲/۵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۳-۳۸۵]</w:t>
      </w:r>
    </w:p>
    <w:p>
      <w:pPr>
        <w:pStyle w:val="BookText"/>
      </w:pPr>
      <w:r>
        <w:rPr>
          <w:rFonts w:ascii="IRNazanin" w:hAnsi="IRNazanin" w:eastAsia="IRNazanin" w:cs="IRNazanin"/>
          <w:lang w:bidi="fa-IR"/>
          <w:color w:val="111111"/>
          <w:sz w:val="28"/>
          <w:szCs w:val="28"/>
          <w:rtl/>
        </w:rPr>
        <w:t xml:space="preserve">۲۶. قم؛ مرعشی؛ شماره نسخه: ۱۰۵۲۰</w:t>
      </w:r>
    </w:p>
    <w:p>
      <w:pPr>
        <w:pStyle w:val="BookText"/>
      </w:pPr>
      <w:r>
        <w:rPr>
          <w:rFonts w:ascii="Amiri" w:hAnsi="Amiri" w:eastAsia="Amiri" w:cs="Amiri"/>
          <w:lang w:bidi="ar-SA"/>
          <w:color w:val="111111"/>
          <w:sz w:val="28"/>
          <w:szCs w:val="28"/>
          <w:rtl/>
        </w:rPr>
        <w:t xml:space="preserve">آغاز: برابر؛ انجام: و انفسنا خير الغنيمة انها*** توب و فيها ماؤها و حياؤها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bookmarkStart w:id="618" w:name="pg20363_209946"/>
    <w:bookmarkEnd w:id="618"/>
    <w:p>
      <w:pPr>
        <w:pStyle w:val="BookText"/>
      </w:pPr>
      <w:r>
        <w:rPr>
          <w:rFonts w:ascii="IRNazanin" w:hAnsi="IRNazanin" w:eastAsia="IRNazanin" w:cs="IRNazanin"/>
          <w:lang w:bidi="fa-IR"/>
          <w:color w:val="111111"/>
          <w:sz w:val="28"/>
          <w:szCs w:val="28"/>
          <w:rtl/>
        </w:rPr>
        <w:t xml:space="preserve">خط: نسخ، كا: احمد بن محمد موسوی بحرینی، تا: ۱۲۹۲ق؛ جلد: تیماج قرمز، ۱۷۴ گ، ۱۷ سطر، اندازه: ۱۷</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۲۶/۵ سم [ف: ۲۷-۱۳]</w:t>
      </w:r>
    </w:p>
    <w:p>
      <w:pPr>
        <w:pStyle w:val="BookText"/>
      </w:pPr>
      <w:r>
        <w:rPr>
          <w:rFonts w:ascii="IRNazanin" w:hAnsi="IRNazanin" w:eastAsia="IRNazanin" w:cs="IRNazanin"/>
          <w:lang w:bidi="fa-IR"/>
          <w:color w:val="111111"/>
          <w:sz w:val="28"/>
          <w:szCs w:val="28"/>
          <w:rtl/>
        </w:rPr>
        <w:t xml:space="preserve">۲۷. تهران؛ مجلس؛ شماره نسخه:۸۷۳۷</w:t>
      </w:r>
    </w:p>
    <w:p>
      <w:pPr>
        <w:pStyle w:val="BookText"/>
      </w:pPr>
      <w:r>
        <w:rPr>
          <w:rFonts w:ascii="IRNazanin" w:hAnsi="IRNazanin" w:eastAsia="IRNazanin" w:cs="IRNazanin"/>
          <w:lang w:bidi="fa-IR"/>
          <w:color w:val="111111"/>
          <w:sz w:val="28"/>
          <w:szCs w:val="28"/>
          <w:rtl/>
        </w:rPr>
        <w:t xml:space="preserve">خط: نسخ، كا: احمد بن محمد بحرینی موسوی، تا: ۱۳۰۳ق؛ یادداشتی به خط خسرو میرزا بن محمد ولی میرزا از ۱۳۱۶ ق در خدمت ابوالقاسم مجتهد و ملا محمدعلی حایری شهرستانی و ملا ابوالقاسم خوشنویس در منزل ملا محمد کاظم متخلص به صوری ملک الشعراء، نیز یادداشتی از ابوالقاسم مصحح کتابخانه مبارکه رضویه در اینکه یادداشت به خط کیست، یادداشتی از مهدی بیانی در معرفی ابوالقاسم خوشنویس، محشی با رمز «م.ب» محمد تقی بهار)؛ جلد: تیماج قرمز ترنج و سرترنج دار، ۱۹۳گ، ۱۶سطر،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۲۸-۲۳۵]</w:t>
      </w:r>
    </w:p>
    <w:p>
      <w:pPr>
        <w:pStyle w:val="BookText"/>
      </w:pPr>
      <w:r>
        <w:rPr>
          <w:rFonts w:ascii="IRNazanin" w:hAnsi="IRNazanin" w:eastAsia="IRNazanin" w:cs="IRNazanin"/>
          <w:lang w:bidi="fa-IR"/>
          <w:color w:val="111111"/>
          <w:sz w:val="28"/>
          <w:szCs w:val="28"/>
          <w:rtl/>
        </w:rPr>
        <w:t xml:space="preserve">۲۸. تهران؛ ملی؛ شماره نسخه: ۲۵۱۰۲</w:t>
      </w:r>
    </w:p>
    <w:p>
      <w:pPr>
        <w:pStyle w:val="BookText"/>
      </w:pPr>
      <w:r>
        <w:rPr>
          <w:rFonts w:ascii="IRNazanin" w:hAnsi="IRNazanin" w:eastAsia="IRNazanin" w:cs="IRNazanin"/>
          <w:lang w:bidi="fa-IR"/>
          <w:color w:val="111111"/>
          <w:sz w:val="28"/>
          <w:szCs w:val="28"/>
          <w:rtl/>
        </w:rPr>
        <w:t xml:space="preserve">بی کا، بی تا، خریداری از امرالله صفری [رایانه]</w:t>
      </w:r>
    </w:p>
    <w:p>
      <w:pPr>
        <w:pStyle w:val="BookText"/>
      </w:pPr>
      <w:r>
        <w:rPr>
          <w:rFonts w:ascii="IRNazanin" w:hAnsi="IRNazanin" w:eastAsia="IRNazanin" w:cs="IRNazanin"/>
          <w:lang w:bidi="fa-IR"/>
          <w:color w:val="111111"/>
          <w:sz w:val="28"/>
          <w:szCs w:val="28"/>
          <w:rtl/>
        </w:rPr>
        <w:t xml:space="preserve">۲۹. تبریز؛ ملی؛ شماره نسخه:۳۲۹۵</w:t>
      </w:r>
    </w:p>
    <w:p>
      <w:pPr>
        <w:pStyle w:val="BookText"/>
      </w:pPr>
      <w:r>
        <w:rPr>
          <w:rFonts w:ascii="IRNazanin" w:hAnsi="IRNazanin" w:eastAsia="IRNazanin" w:cs="IRNazanin"/>
          <w:lang w:bidi="fa-IR"/>
          <w:color w:val="111111"/>
          <w:sz w:val="28"/>
          <w:szCs w:val="28"/>
          <w:rtl/>
        </w:rPr>
        <w:t xml:space="preserve">آغاز و انجام: برابر خط: نسخ تعلیق، بی کا، بی تا؛ یادداشت مرحوم واقف (حاج محمد نخجوانی که خداوند غریق رحمتش فرمایاد بتاريخ «در ۲۵/ جمادی الاول /۴۳ ...»، یادداشت تملکی به شرح «بتاریخ روز شنبه ۵ شهر شوال المکرم ایت ئیل سنه ۱۲۷۸ از شخصی بنام سید قزوینی توسط آخوند ملا احمد سلمه الله ابتیاع شده و ممهور به مهر</w:t>
      </w:r>
    </w:p>
    <w:p>
      <w:pPr>
        <w:pStyle w:val="BookText"/>
      </w:pPr>
      <w:r>
        <w:rPr>
          <w:rFonts w:ascii="IRNazanin" w:hAnsi="IRNazanin" w:eastAsia="IRNazanin" w:cs="IRNazanin"/>
          <w:lang w:bidi="fa-IR"/>
          <w:color w:val="111111"/>
          <w:sz w:val="28"/>
          <w:szCs w:val="28"/>
          <w:rtl/>
        </w:rPr>
        <w:t xml:space="preserve">«قولا سلام من رب رحیم»؛ کاغذ: فرنگی، جلد: روغنی ترنجی، ۱۴۰گ، ۱۹ سطر، اندازه: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۲۰/۵سم [ف: ۱-۱۸۶]</w:t>
      </w:r>
    </w:p>
    <w:p>
      <w:pPr>
        <w:pStyle w:val="BookText"/>
      </w:pPr>
      <w:r>
        <w:rPr>
          <w:rFonts w:ascii="IRNazanin" w:hAnsi="IRNazanin" w:eastAsia="IRNazanin" w:cs="IRNazanin"/>
          <w:lang w:bidi="fa-IR"/>
          <w:color w:val="111111"/>
          <w:sz w:val="28"/>
          <w:szCs w:val="28"/>
          <w:rtl/>
        </w:rPr>
        <w:t xml:space="preserve">۳۰. تهران؛ مجلس؛ شماره نسخه: ۸۱۳۶/۱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جلد: مقوایی با روکش تیماج مشکی ساغری، ۱۷۹ گ، ۱۷ سطر، اندازه: ۱۸/۷</w:t>
      </w:r>
      <w:r>
        <w:rPr>
          <w:rFonts w:ascii="Times New Roman" w:hAnsi="Times New Roman" w:eastAsia="Times New Roman" w:cs="Times New Roman"/>
          <w:lang w:val="en-US" w:bidi="en-US"/>
          <w:color w:val="111111"/>
          <w:sz w:val="28"/>
          <w:szCs w:val="28"/>
          <w:rtl/>
        </w:rPr>
        <w:t xml:space="preserve">×30/3</w:t>
      </w:r>
      <w:r>
        <w:rPr>
          <w:rFonts w:ascii="IRNazanin" w:hAnsi="IRNazanin" w:eastAsia="IRNazanin" w:cs="IRNazanin"/>
          <w:lang w:bidi="fa-IR"/>
          <w:color w:val="111111"/>
          <w:sz w:val="28"/>
          <w:szCs w:val="28"/>
          <w:rtl/>
        </w:rPr>
        <w:t xml:space="preserve">سم [ف: ۲۷/۱-۲۵۶]</w:t>
      </w:r>
    </w:p>
    <w:p>
      <w:pPr>
        <w:pStyle w:val="Heading3"/>
      </w:pPr>
      <w:bookmarkStart w:id="2791" w:name="_Toc2051"/>
      <w:r>
        <w:t>•تاریخ یمینی (ترجمه) = ترجمه تاریخ عتبی / تاریخ ایران / فارسی</w:t>
      </w:r>
      <w:bookmarkEnd w:id="2791"/>
    </w:p>
    <w:p>
      <w:pPr>
        <w:pStyle w:val="BookText"/>
      </w:pPr>
      <w:r>
        <w:rPr>
          <w:rFonts w:ascii="Times New Roman" w:hAnsi="Times New Roman" w:eastAsia="Times New Roman" w:cs="Times New Roman"/>
          <w:lang w:val="en-US" w:bidi="en-US"/>
          <w:color w:val="111111"/>
          <w:sz w:val="28"/>
          <w:szCs w:val="28"/>
          <w:rtl/>
        </w:rPr>
        <w:t xml:space="preserve">tārīx-e yamīnī (t.) = t.-ye tārīx-e ‘otbī</w:t>
      </w:r>
    </w:p>
    <w:p>
      <w:pPr>
        <w:pStyle w:val="BookText"/>
      </w:pPr>
      <w:r>
        <w:rPr>
          <w:rFonts w:ascii="IRNazanin" w:hAnsi="IRNazanin" w:eastAsia="IRNazanin" w:cs="IRNazanin"/>
          <w:lang w:bidi="fa-IR"/>
          <w:color w:val="111111"/>
          <w:sz w:val="28"/>
          <w:szCs w:val="28"/>
          <w:rtl/>
        </w:rPr>
        <w:t xml:space="preserve">جرفادقانی، ناصح بن ظفر، ق۷ قمری</w:t>
      </w:r>
    </w:p>
    <w:p>
      <w:pPr>
        <w:pStyle w:val="BookText"/>
      </w:pPr>
      <w:r>
        <w:rPr>
          <w:rFonts w:ascii="Times New Roman" w:hAnsi="Times New Roman" w:eastAsia="Times New Roman" w:cs="Times New Roman"/>
          <w:lang w:val="en-US" w:bidi="en-US"/>
          <w:color w:val="111111"/>
          <w:sz w:val="28"/>
          <w:szCs w:val="28"/>
          <w:rtl/>
        </w:rPr>
        <w:t xml:space="preserve">jorfādeqānī, nāseh ebn-e zafar (-13c)</w:t>
      </w:r>
    </w:p>
    <w:p>
      <w:pPr>
        <w:pStyle w:val="BookText"/>
      </w:pPr>
      <w:r>
        <w:rPr>
          <w:rFonts w:ascii="IRNazanin" w:hAnsi="IRNazanin" w:eastAsia="IRNazanin" w:cs="IRNazanin"/>
          <w:lang w:bidi="fa-IR"/>
          <w:color w:val="111111"/>
          <w:sz w:val="28"/>
          <w:szCs w:val="28"/>
          <w:rtl/>
        </w:rPr>
        <w:t xml:space="preserve">وابسته به: تاريخ اليميني = تاریخ عتبی = معجز الكتاب و محرز الاداب؛ عتبی، محمد بن عبد الجبار (۳۵۰-۴۲۷) اهداء به: شمس الدوله غازی بیک ایدقمش از اتابکان لرستان</w:t>
      </w:r>
    </w:p>
    <w:p>
      <w:pPr>
        <w:pStyle w:val="BookText"/>
      </w:pPr>
      <w:r>
        <w:rPr>
          <w:rFonts w:ascii="IRNazanin" w:hAnsi="IRNazanin" w:eastAsia="IRNazanin" w:cs="IRNazanin"/>
          <w:lang w:bidi="fa-IR"/>
          <w:color w:val="111111"/>
          <w:sz w:val="28"/>
          <w:szCs w:val="28"/>
          <w:rtl/>
        </w:rPr>
        <w:t xml:space="preserve">تاریخ تأليف: ۶۰۳ق دانشمندان و ادیبان که در دربار ملکشاه و سنجر پرورش یافته بودند پس از واژگونی دربار سلجوقی پراکنده شدند، برخی به خوارزم و برخی به بغداد و برخی به سلجوقیان روم و برخی به دربار ناصر الدین قباچه به هند پناه بردند و برخی مانند ناصح جرفادقانی در عراق به گوشه ای خزیده و به گفته خویش پاره های جگر خود می خوردند.</w:t>
      </w:r>
    </w:p>
    <w:p>
      <w:pPr>
        <w:pStyle w:val="BookText"/>
      </w:pPr>
      <w:r>
        <w:rPr>
          <w:rFonts w:ascii="IRNazanin" w:hAnsi="IRNazanin" w:eastAsia="IRNazanin" w:cs="IRNazanin"/>
          <w:lang w:bidi="fa-IR"/>
          <w:color w:val="111111"/>
          <w:sz w:val="28"/>
          <w:szCs w:val="28"/>
          <w:rtl/>
        </w:rPr>
        <w:t xml:space="preserve">در ۵۹۲ق جمال الدين الغ باربیک آی ابه با اتابک ازبک همدست شده و در عراق درباری به راه انداخت و در این هنگام است که وزیر ابوالقاسم علی پسر حسن پسر محمد پسر ابوحنیفه به ناصح جرفاد قانی دستور دارد تا به سال ۶۰۳ق تاریخ یمینی را به فارسی گردانید. صاحب الذریعه ترجمه «تاریخ آل عباس» را نیز که از مدارک تاریخ نگارستان است به این جرفاد قانی نسبت داده است (الذریعه ۳: ۲۵۷). ناصح جرفاد قانی هنگام ترجمه تاریخ یمینی کتابچه ای را که عتبی در مرثیه امیر نصر پسر ناصر الدين نگاشته، ترجمه نکرد و متن عربی آن را در دنبال ترجمه یمینی نهاد، و پس از آن دنباله ای به فارسی برای کتاب یمینی (در ۲۸۰ بیت نوشته) بساخت که در همه نسخه های خطی ترجمه یمینی دیده می شود. سال ۱۲۷۲ق هنگام چاپ ترجمه يمنی در تهران این دنباله را انداختند و کتابچه مرثیه را نیز کسی به نام حبيب الدين محمد پسر علی اصغر جرفاد قانی از عربی به فارسی ترجمه کرد و این ترجمه از ص ۴۴۱ تا ص ۴۶۰ پایان نسخه چاپی را گرفته است. بهمن میرزا پسر فتحعلی شاه پیشگفتاری برای این چاپ نگاشته و در آن گوید من از حبيب الدين جرفاد قانی خواستار شدم تا نسخه ترجمه یمینی را با دو نسخه دیگر برابر و با دیدن شرح منینی و فرهنگ های فارسی آن را تصحیح نمود و سپس دستور چاپ آن را دادم. (علینقی منزوی) آغاز: 1: بسمله سزاوارتر چیزیکه زبان گوینده بر آن مشعوف باشد و عنان جوینده بدان معطوف حمد و ثنای باری جلت قدرته ... اما بعد همی گوید بنده مخلص و دعا گوی قدیم ابو الشرف ناصح ابن ظفر بن سعد المنشى الجرفاد قانی ... اکنون بر سر مقصود آیم و ترجمه کتاب آغاز نمایم بعون الله ... ذکر ناصر الدين سبکتکین ... امیر ناصر الدين سبکتکین غلامی بود ترک نژاد ۲: حمد و سپاس و ستایش بیقياس مكنونی را که به ارادت بیچون چاپ: تهران، بنگاه ترجمه و نشر کتاب، به اهتمام جعفر شعار ۱۳۴۵ ش، ۶۳۹ ص؛ دارالخلافه طهران، سنگی، بی ناشر، ۱۲۷۲ق.، وزیری، ۴۶۰ص</w:t>
      </w:r>
    </w:p>
    <w:p>
      <w:pPr>
        <w:pStyle w:val="BookText"/>
      </w:pPr>
      <w:r>
        <w:rPr>
          <w:rFonts w:ascii="IRNazanin" w:hAnsi="IRNazanin" w:eastAsia="IRNazanin" w:cs="IRNazanin"/>
          <w:lang w:bidi="fa-IR"/>
          <w:color w:val="111111"/>
          <w:sz w:val="28"/>
          <w:szCs w:val="28"/>
          <w:rtl/>
        </w:rPr>
        <w:t xml:space="preserve">[دنا ۷۵۴/۲ (۴۶ نسخه)؛ الذريعة ۸۷/۴ ؛ درباره این کتاب و مؤلف آن و سبک نگارش وی مرحوم بهار خراسانی شرحی در جلد دوم کتاب سبک شناسی (ص ۳۸۶-۳۹۰) درج کرده است؛ فهرستواره منزوی ۹۲۷/۲ ؛ مشترک پاکستان ۱۵۲/۱۰ ]</w:t>
      </w:r>
    </w:p>
    <w:p>
      <w:pPr>
        <w:pStyle w:val="BookText"/>
      </w:pPr>
      <w:r>
        <w:rPr>
          <w:rFonts w:ascii="IRNazanin" w:hAnsi="IRNazanin" w:eastAsia="IRNazanin" w:cs="IRNazanin"/>
          <w:lang w:bidi="fa-IR"/>
          <w:color w:val="111111"/>
          <w:sz w:val="28"/>
          <w:szCs w:val="28"/>
          <w:rtl/>
        </w:rPr>
        <w:t xml:space="preserve">۱. تهران؛ ملک؛ شماره نسخه:۱۴۹۷</w:t>
      </w:r>
    </w:p>
    <w:p>
      <w:pPr>
        <w:pStyle w:val="BookText"/>
      </w:pPr>
      <w:r>
        <w:rPr>
          <w:rFonts w:ascii="IRNazanin" w:hAnsi="IRNazanin" w:eastAsia="IRNazanin" w:cs="IRNazanin"/>
          <w:lang w:bidi="fa-IR"/>
          <w:color w:val="111111"/>
          <w:sz w:val="28"/>
          <w:szCs w:val="28"/>
          <w:rtl/>
        </w:rPr>
        <w:t xml:space="preserve">خط: نسخ، بی کا، تا: 3 محرم ۶۱۸ق؛ مذهب؛ کاغذ: کاغذ دولت آبادی، جلد: میشن سیاه نو، ۲۱۴گ، ۱۵ سطر، اندازه: 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۲۳/۳ سم [ف: ۲-۹۶]</w:t>
      </w:r>
    </w:p>
    <w:p>
      <w:pPr>
        <w:pStyle w:val="BookText"/>
      </w:pPr>
      <w:r>
        <w:rPr>
          <w:rFonts w:ascii="IRNazanin" w:hAnsi="IRNazanin" w:eastAsia="IRNazanin" w:cs="IRNazanin"/>
          <w:lang w:bidi="fa-IR"/>
          <w:color w:val="111111"/>
          <w:sz w:val="28"/>
          <w:szCs w:val="28"/>
          <w:rtl/>
        </w:rPr>
        <w:t xml:space="preserve">۲. تهران، دانشگاه؛ شماره نسخه:۱۸۹-ف</w:t>
      </w:r>
    </w:p>
    <w:p>
      <w:pPr>
        <w:pStyle w:val="BookText"/>
      </w:pPr>
      <w:r>
        <w:rPr>
          <w:rFonts w:ascii="IRNazanin" w:hAnsi="IRNazanin" w:eastAsia="IRNazanin" w:cs="IRNazanin"/>
          <w:lang w:bidi="fa-IR"/>
          <w:color w:val="111111"/>
          <w:sz w:val="28"/>
          <w:szCs w:val="28"/>
          <w:rtl/>
        </w:rPr>
        <w:t xml:space="preserve">نسخه اصل: اسعد افندی ش ۲۲۲۵؛ خط: نسخ، كا: محمد بن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عبدالرحمن رازی، تا: چهارشنبه ۲۲ ربیع الثانی ۶۳۶ق؛ ۲۰۲ [فیلمها ف: ۱-۴۰]</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دانشگاه؛ شماره نسخه:۲۰۸-ف</w:t>
      </w:r>
    </w:p>
    <w:p>
      <w:pPr>
        <w:pStyle w:val="BookText"/>
      </w:pPr>
      <w:r>
        <w:rPr>
          <w:rFonts w:ascii="IRNazanin" w:hAnsi="IRNazanin" w:eastAsia="IRNazanin" w:cs="IRNazanin"/>
          <w:lang w:bidi="fa-IR"/>
          <w:color w:val="111111"/>
          <w:sz w:val="28"/>
          <w:szCs w:val="28"/>
          <w:rtl/>
        </w:rPr>
        <w:t xml:space="preserve">نسخه اصل: شهید علی پاشا ش ۱۸۵۴؛ نام مؤلف در ص ع این نسخه «ابوالشرف ناصح منشی» و در پایان آن «محمد بن مهذب کاتب» یاد شده؛ بی کا، تا: یک شنبه ۱۳ ذیقعده ۶۳۸ق؛ ۲۱۴گ [فیلمها ف: ۱-۴۰]</w:t>
      </w:r>
    </w:p>
    <w:p>
      <w:pPr>
        <w:pStyle w:val="BookText"/>
      </w:pPr>
      <w:r>
        <w:rPr>
          <w:rFonts w:ascii="IRNazanin" w:hAnsi="IRNazanin" w:eastAsia="IRNazanin" w:cs="IRNazanin"/>
          <w:lang w:bidi="fa-IR"/>
          <w:color w:val="111111"/>
          <w:sz w:val="28"/>
          <w:szCs w:val="28"/>
          <w:rtl/>
        </w:rPr>
        <w:t xml:space="preserve">۴. تهران؛ مینوی؛ شماره نسخه: ۱۵۰ بخش۳</w:t>
      </w:r>
    </w:p>
    <w:p>
      <w:pPr>
        <w:pStyle w:val="BookText"/>
      </w:pPr>
      <w:r>
        <w:rPr>
          <w:rFonts w:ascii="IRNazanin" w:hAnsi="IRNazanin" w:eastAsia="IRNazanin" w:cs="IRNazanin"/>
          <w:lang w:bidi="fa-IR"/>
          <w:color w:val="111111"/>
          <w:sz w:val="28"/>
          <w:szCs w:val="28"/>
          <w:rtl/>
        </w:rPr>
        <w:t xml:space="preserve">نسخه اصل: موزه بریتانیا .</w:t>
      </w:r>
      <w:r>
        <w:rPr>
          <w:rFonts w:ascii="Times New Roman" w:hAnsi="Times New Roman" w:eastAsia="Times New Roman" w:cs="Times New Roman"/>
          <w:lang w:val="en-US" w:bidi="en-US"/>
          <w:color w:val="111111"/>
          <w:sz w:val="28"/>
          <w:szCs w:val="28"/>
          <w:rtl/>
        </w:rPr>
        <w:t xml:space="preserve">Add </w:t>
      </w:r>
      <w:r>
        <w:rPr>
          <w:rFonts w:ascii="IRNazanin" w:hAnsi="IRNazanin" w:eastAsia="IRNazanin" w:cs="IRNazanin"/>
          <w:lang w:bidi="fa-IR"/>
          <w:color w:val="111111"/>
          <w:sz w:val="28"/>
          <w:szCs w:val="28"/>
          <w:rtl/>
        </w:rPr>
        <w:t xml:space="preserve">۲۴۹۶۰؛ كا: اسعد بن عثمان بخاری، تا: رجب ۶۴۶ق؛ ۱۲گ (۲۶۲-۲۷۳+1) [ف: ۱۱۳]</w:t>
      </w:r>
    </w:p>
    <w:p>
      <w:pPr>
        <w:pStyle w:val="BookText"/>
      </w:pPr>
      <w:r>
        <w:rPr>
          <w:rFonts w:ascii="IRNazanin" w:hAnsi="IRNazanin" w:eastAsia="IRNazanin" w:cs="IRNazanin"/>
          <w:lang w:bidi="fa-IR"/>
          <w:color w:val="111111"/>
          <w:sz w:val="28"/>
          <w:szCs w:val="28"/>
          <w:rtl/>
        </w:rPr>
        <w:t xml:space="preserve">۵. تهران، دانشگاه؛ شماره نسخه:۶ع</w:t>
      </w:r>
    </w:p>
    <w:p>
      <w:pPr>
        <w:pStyle w:val="BookText"/>
      </w:pPr>
      <w:r>
        <w:rPr>
          <w:rFonts w:ascii="IRNazanin" w:hAnsi="IRNazanin" w:eastAsia="IRNazanin" w:cs="IRNazanin"/>
          <w:lang w:bidi="fa-IR"/>
          <w:color w:val="111111"/>
          <w:sz w:val="28"/>
          <w:szCs w:val="28"/>
          <w:rtl/>
        </w:rPr>
        <w:t xml:space="preserve">نسخه اصل: موزه بریتانیا </w:t>
      </w:r>
      <w:r>
        <w:rPr>
          <w:rFonts w:ascii="Times New Roman" w:hAnsi="Times New Roman" w:eastAsia="Times New Roman" w:cs="Times New Roman"/>
          <w:lang w:val="en-US" w:bidi="en-US"/>
          <w:color w:val="111111"/>
          <w:sz w:val="28"/>
          <w:szCs w:val="28"/>
          <w:rtl/>
        </w:rPr>
        <w:t xml:space="preserve">Add. 24950 </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B221-B233  </w:t>
      </w:r>
      <w:r>
        <w:rPr>
          <w:rFonts w:ascii="IRNazanin" w:hAnsi="IRNazanin" w:eastAsia="IRNazanin" w:cs="IRNazanin"/>
          <w:lang w:bidi="fa-IR"/>
          <w:color w:val="111111"/>
          <w:sz w:val="28"/>
          <w:szCs w:val="28"/>
          <w:rtl/>
        </w:rPr>
        <w:t xml:space="preserve">پایان کتاب ذکر حوادث ایام در شهور اثنين و ثمانین و خمسمائه؛ خط: نسخ، کا: سعید بن عثمان بخاری، تا: سه شنبه ۵ رجب ۶۶۴ق؛ افتادگی: انجام؛ ۱۳گ (۲۶۱ر -۲۷۳پ) [فيلمها ف: ۱- ۳۹ و ۳-۲۱۹]</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دانشگاه؛ شماره نسخه:۱۲۳-ف</w:t>
      </w:r>
    </w:p>
    <w:p>
      <w:pPr>
        <w:pStyle w:val="BookText"/>
      </w:pPr>
      <w:r>
        <w:rPr>
          <w:rFonts w:ascii="IRNazanin" w:hAnsi="IRNazanin" w:eastAsia="IRNazanin" w:cs="IRNazanin"/>
          <w:lang w:bidi="fa-IR"/>
          <w:color w:val="111111"/>
          <w:sz w:val="28"/>
          <w:szCs w:val="28"/>
          <w:rtl/>
        </w:rPr>
        <w:t xml:space="preserve">نسخه اصل: ایاصوفيا ش ۳۱۴۷؛ خط: نسخ، كا: قتلوجه بن عبدالله کاتب، تا: ۱۹ رمضان ۶۹۶ق؛ افتادگی: انجام؛ ۲۸۴گ [فیلمها ف:40-1]</w:t>
      </w:r>
    </w:p>
    <w:p>
      <w:pPr>
        <w:pStyle w:val="BookText"/>
      </w:pPr>
      <w:r>
        <w:rPr>
          <w:rFonts w:ascii="IRNazanin" w:hAnsi="IRNazanin" w:eastAsia="IRNazanin" w:cs="IRNazanin"/>
          <w:lang w:bidi="fa-IR"/>
          <w:color w:val="111111"/>
          <w:sz w:val="28"/>
          <w:szCs w:val="28"/>
          <w:rtl/>
        </w:rPr>
        <w:t xml:space="preserve">۷. تهران، دانشگاه، شماره نسخه: ۱۳۱</w:t>
      </w:r>
    </w:p>
    <w:p>
      <w:pPr>
        <w:pStyle w:val="BookText"/>
      </w:pPr>
      <w:r>
        <w:rPr>
          <w:rFonts w:ascii="IRNazanin" w:hAnsi="IRNazanin" w:eastAsia="IRNazanin" w:cs="IRNazanin"/>
          <w:lang w:bidi="fa-IR"/>
          <w:color w:val="111111"/>
          <w:sz w:val="28"/>
          <w:szCs w:val="28"/>
          <w:rtl/>
        </w:rPr>
        <w:t xml:space="preserve">آغاز: برابر ۱؛ آغاز دنباله: چون این ترجمه بآخر رسید طرفي از احوال روزگار و انواع فتنه و تشویشی که در ایام فتور و عجائب اتفاقات ... شكل حوادث ایام در شهور سنه اثنین و ثمانین و خمسمایه کواکب هفتگانه را در برج میزان اجتماع افتاد؛ انجام: انجام تاریخ یمینی و آغاز کتابچه مرثیه در نسخه دانشگاه (ص ۲۶۸) چنین است: و جهان از فضل و معالی و معانی و مکارم خویش عاطل گذاشت، و عتبی در مرثيه او این رساله انشاء کرده است: آه من سفرة بغیر ایاب *** آه من حسرة على الأدياب. انجام کتابچه مرثيه: ثوابا يحفظ عليهم دينهم و يثقل في موقف العدل موازينهم جعلنا من المستعدين ليوم الدين أن حكم الله يقری الجفلي و الخلق فيها شرع و الآخر للاول تبع. انجام: روز محشر و عرض اكبر بدان خرم و شادمان باشند انشاء الله تعالی. للذين احسنوا الحسنی ... اولئک اصحاب الجنة هم فيها خالدون خط: نسخ نزدیک به ثلث، كا: ابن القاضی، تا: ۷۴۵ق؛ مصحح تملك: «من کتب العبد الداعي عبد العلاء الرفاعی ... ربيع الآخر ۸۴۶»؛ کاغذ: سمرقندی، جلد: تیماج حنایی، ۱۴۶گ، ۲۱ و ۲۲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۲-۵۳۶]</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ملی؛ شماره نسخه:۲۱۷۸</w:t>
      </w:r>
    </w:p>
    <w:p>
      <w:pPr>
        <w:pStyle w:val="BookText"/>
      </w:pPr>
      <w:r>
        <w:rPr>
          <w:rFonts w:ascii="IRNazanin" w:hAnsi="IRNazanin" w:eastAsia="IRNazanin" w:cs="IRNazanin"/>
          <w:lang w:bidi="fa-IR"/>
          <w:color w:val="111111"/>
          <w:sz w:val="28"/>
          <w:szCs w:val="28"/>
          <w:rtl/>
        </w:rPr>
        <w:t xml:space="preserve">آغاز: برابر ۱؛ انجام: به خون و مال مسلمانان ابقانمی کردند و از احداث خط: نسخ، بی کا، تا: محتملا قرن ۹، افتادگی: انجام کاغذ: اصفهانی، جلد: تیماج قرمز، ۸۶ص، ۲۴سطر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۵-۲۵۷]</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مشهد؛ رضوی؛ شماره نسخه:۱۶۴۵۵</w:t>
      </w:r>
    </w:p>
    <w:p>
      <w:pPr>
        <w:pStyle w:val="BookText"/>
      </w:pPr>
      <w:r>
        <w:rPr>
          <w:rFonts w:ascii="IRNazanin" w:hAnsi="IRNazanin" w:eastAsia="IRNazanin" w:cs="IRNazanin"/>
          <w:lang w:bidi="fa-IR"/>
          <w:color w:val="111111"/>
          <w:sz w:val="28"/>
          <w:szCs w:val="28"/>
          <w:rtl/>
        </w:rPr>
        <w:t xml:space="preserve">آغاز: برابر ۱؛ انجام: اولئک اصحاب الجنه ... دهم شهر جمادی الاول ۱۰۷۲ خط: نستعلیق، بی کا، تا: ۱۰۷۲ق؛ کاغذ: حنایی، جلد: تیماج، ۱۹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w:t>
      </w:r>
    </w:p>
    <w:p>
      <w:pPr>
        <w:pStyle w:val="BookText"/>
      </w:pPr>
      <w:r>
        <w:rPr>
          <w:rFonts w:ascii="IRNazanin" w:hAnsi="IRNazanin" w:eastAsia="IRNazanin" w:cs="IRNazanin"/>
          <w:lang w:bidi="fa-IR"/>
          <w:color w:val="111111"/>
          <w:sz w:val="28"/>
          <w:szCs w:val="28"/>
          <w:rtl/>
        </w:rPr>
        <w:t xml:space="preserve">[رایانه ]</w:t>
      </w:r>
    </w:p>
    <w:p>
      <w:pPr>
        <w:pStyle w:val="BookText"/>
      </w:pPr>
      <w:r>
        <w:rPr>
          <w:rFonts w:ascii="IRNazanin" w:hAnsi="IRNazanin" w:eastAsia="IRNazanin" w:cs="IRNazanin"/>
          <w:lang w:bidi="fa-IR"/>
          <w:color w:val="111111"/>
          <w:sz w:val="28"/>
          <w:szCs w:val="28"/>
          <w:rtl/>
        </w:rPr>
        <w:t xml:space="preserve">۱۰. تهران؛ دانشگاه؛ شماره نسخه: ۲۷۴۲</w:t>
      </w:r>
    </w:p>
    <w:p>
      <w:pPr>
        <w:pStyle w:val="BookText"/>
      </w:pPr>
      <w:r>
        <w:rPr>
          <w:rFonts w:ascii="IRNazanin" w:hAnsi="IRNazanin" w:eastAsia="IRNazanin" w:cs="IRNazanin"/>
          <w:lang w:bidi="fa-IR"/>
          <w:color w:val="111111"/>
          <w:sz w:val="28"/>
          <w:szCs w:val="28"/>
          <w:rtl/>
        </w:rPr>
        <w:t xml:space="preserve">خط: نستعلیق، بی کا، تا: قرن ۱۲؛ افتادگی: آغاز انجام می رسد به سرگذشت نصر بن ناصر الدين سبکتکین؛ کاغذ: فرنگی، جلد: تیماج تریاکی ضربی، ۱۵۶گ، ۱۷ سطر (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w:t>
      </w:r>
    </w:p>
    <w:p>
      <w:pPr>
        <w:pStyle w:val="BookText"/>
      </w:pPr>
      <w:r>
        <w:rPr>
          <w:rFonts w:ascii="IRNazanin" w:hAnsi="IRNazanin" w:eastAsia="IRNazanin" w:cs="IRNazanin"/>
          <w:lang w:bidi="fa-IR"/>
          <w:color w:val="111111"/>
          <w:sz w:val="28"/>
          <w:szCs w:val="28"/>
          <w:rtl/>
        </w:rPr>
        <w:t xml:space="preserve">)، اندازه: ۲۶/۵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 [ف: ۱۰-۱۶۱۲]</w:t>
      </w:r>
    </w:p>
    <w:p>
      <w:pPr>
        <w:pStyle w:val="BookText"/>
      </w:pPr>
      <w:r>
        <w:rPr>
          <w:rFonts w:ascii="IRNazanin" w:hAnsi="IRNazanin" w:eastAsia="IRNazanin" w:cs="IRNazanin"/>
          <w:lang w:bidi="fa-IR"/>
          <w:color w:val="111111"/>
          <w:sz w:val="28"/>
          <w:szCs w:val="28"/>
          <w:rtl/>
        </w:rPr>
        <w:t xml:space="preserve">۱۱. قم: مرکز احیاء؛ شماره نسخه:۳۴۰۴</w:t>
      </w:r>
    </w:p>
    <w:p>
      <w:pPr>
        <w:pStyle w:val="BookText"/>
      </w:pPr>
      <w:r>
        <w:rPr>
          <w:rFonts w:ascii="IRNazanin" w:hAnsi="IRNazanin" w:eastAsia="IRNazanin" w:cs="IRNazanin"/>
          <w:lang w:bidi="fa-IR"/>
          <w:color w:val="111111"/>
          <w:sz w:val="28"/>
          <w:szCs w:val="28"/>
          <w:rtl/>
        </w:rPr>
        <w:t xml:space="preserve">آغاز: برابر ۱؛ انجام: روز محشر و عرض اكبر بدان خرم و شادمان باشند ان شاء الله تعالی. خط: نسخ، بی کا، تا: قرن ۱۲؛ افتادگی: انجام؛ مجدول، مصحح؛ تملك: «علیقلی میرزا اعتضادالسلطنه، به سال ۱۲۷۴ و یادداشتی که وی کتاب را به مخبر الدوله به سال ۱۲۹۶، یادداشت وقف کتاب از «... بن محمد رضی»؛ جلد: تیماج قرمز، ۸۲گ، ۲۵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 سم [ محدث ارموی مخ: ۱- ۳۶۰]</w:t>
      </w:r>
    </w:p>
    <w:p>
      <w:pPr>
        <w:pStyle w:val="BookText"/>
      </w:pPr>
      <w:r>
        <w:rPr>
          <w:rFonts w:ascii="IRNazanin" w:hAnsi="IRNazanin" w:eastAsia="IRNazanin" w:cs="IRNazanin"/>
          <w:lang w:bidi="fa-IR"/>
          <w:color w:val="111111"/>
          <w:sz w:val="28"/>
          <w:szCs w:val="28"/>
          <w:rtl/>
        </w:rPr>
        <w:t xml:space="preserve">۱۲. تهران؛ سپهسالار؛ شماره نسخه:۱۴۸۳</w:t>
      </w:r>
    </w:p>
    <w:p>
      <w:pPr>
        <w:pStyle w:val="BookText"/>
      </w:pPr>
      <w:r>
        <w:rPr>
          <w:rFonts w:ascii="IRNazanin" w:hAnsi="IRNazanin" w:eastAsia="IRNazanin" w:cs="IRNazanin"/>
          <w:lang w:bidi="fa-IR"/>
          <w:color w:val="111111"/>
          <w:sz w:val="28"/>
          <w:szCs w:val="28"/>
          <w:rtl/>
        </w:rPr>
        <w:t xml:space="preserve">آغاز: آغاز نسخه برابر چاپی و نسخه دانشگاه است. در انجام آنچه آن نسخه دارد خط: نستعلیق، بی کا، تا: قرن ۱۲؛ یک قصیده در ستایش سيد الوزراء در چهار صفحه به عربی در پایان؛ کاغذ: سپاهانی نخودی، جلد: تیماج حنایی، ۱۶۷گ، ۱۵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w:t>
      </w:r>
    </w:p>
    <w:p>
      <w:pPr>
        <w:pStyle w:val="BookText"/>
      </w:pPr>
      <w:r>
        <w:rPr>
          <w:rFonts w:ascii="IRNazanin" w:hAnsi="IRNazanin" w:eastAsia="IRNazanin" w:cs="IRNazanin"/>
          <w:lang w:bidi="fa-IR"/>
          <w:color w:val="111111"/>
          <w:sz w:val="28"/>
          <w:szCs w:val="28"/>
          <w:rtl/>
        </w:rPr>
        <w:t xml:space="preserve">[ف: ۳-۴۰۲]</w:t>
      </w:r>
    </w:p>
    <w:p>
      <w:pPr>
        <w:pStyle w:val="BookText"/>
      </w:pPr>
      <w:r>
        <w:rPr>
          <w:rFonts w:ascii="IRNazanin" w:hAnsi="IRNazanin" w:eastAsia="IRNazanin" w:cs="IRNazanin"/>
          <w:lang w:bidi="fa-IR"/>
          <w:color w:val="111111"/>
          <w:sz w:val="28"/>
          <w:szCs w:val="28"/>
          <w:rtl/>
        </w:rPr>
        <w:t xml:space="preserve">۱۳. تهران؛ ملک؛ شماره نسخه:۴۱۰۴</w:t>
      </w:r>
    </w:p>
    <w:p>
      <w:pPr>
        <w:pStyle w:val="BookText"/>
      </w:pPr>
      <w:r>
        <w:rPr>
          <w:rFonts w:ascii="IRNazanin" w:hAnsi="IRNazanin" w:eastAsia="IRNazanin" w:cs="IRNazanin"/>
          <w:lang w:bidi="fa-IR"/>
          <w:color w:val="111111"/>
          <w:sz w:val="28"/>
          <w:szCs w:val="28"/>
          <w:rtl/>
        </w:rPr>
        <w:t xml:space="preserve">خط: نسخ، بی کا، تا: قرن ۱۳؛ جلد: میشن قهوه ای روشن، ۱۷۲گ، ۲۱ سطر، اندازه:</w:t>
      </w:r>
    </w:p>
    <w:p>
      <w:pPr>
        <w:pStyle w:val="BookText"/>
      </w:pPr>
      <w:r>
        <w:rPr>
          <w:rFonts w:ascii="IRNazanin" w:hAnsi="IRNazanin" w:eastAsia="IRNazanin" w:cs="IRNazanin"/>
          <w:lang w:bidi="fa-IR"/>
          <w:color w:val="111111"/>
          <w:sz w:val="28"/>
          <w:szCs w:val="28"/>
          <w:rtl/>
        </w:rPr>
        <w:t xml:space="preserve">۲۷/۲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۱۶/۷ سم [ف: ۲-۹۶]</w:t>
      </w:r>
    </w:p>
    <w:p>
      <w:pPr>
        <w:pStyle w:val="BookText"/>
      </w:pPr>
      <w:r>
        <w:rPr>
          <w:rFonts w:ascii="IRNazanin" w:hAnsi="IRNazanin" w:eastAsia="IRNazanin" w:cs="IRNazanin"/>
          <w:lang w:bidi="fa-IR"/>
          <w:color w:val="111111"/>
          <w:sz w:val="28"/>
          <w:szCs w:val="28"/>
          <w:rtl/>
        </w:rPr>
        <w:t xml:space="preserve">۱۴. تهران؛ مجلس؛ شماره نسخه:۲۸۷۴</w:t>
      </w:r>
    </w:p>
    <w:p>
      <w:pPr>
        <w:pStyle w:val="BookText"/>
      </w:pPr>
      <w:r>
        <w:rPr>
          <w:rFonts w:ascii="IRNazanin" w:hAnsi="IRNazanin" w:eastAsia="IRNazanin" w:cs="IRNazanin"/>
          <w:lang w:bidi="fa-IR"/>
          <w:color w:val="111111"/>
          <w:sz w:val="28"/>
          <w:szCs w:val="28"/>
          <w:rtl/>
        </w:rPr>
        <w:t xml:space="preserve">آغاز: حیات روشن که گردانید و لمعه از فیض نور بحر است اساس و ایالت خطه وجود او که باز داشت و چون تخمیر طینت و تدبیر بنیت او بتمام رسید و هنگام رحلت و میعاد نهضت بفضای صحرا نزدیک شد بیشی منزلى لایق نهاد؛ انجام: روز محشر و عرض اكبر بدان خرم و شادمان باشد انشاء الله تعالى الذين احسنوا الحسنی ... اصحاب الجنة هم فيها خالدون. خط: نستعلیق، بی کا، تا: قرن ۱۳؛ افتادگی: آغاز؛ نوشته هایی از مرحوم بهار، این نوشته ها یا شرح و توضیح و معنی عبارت های متن است و یا اینکه تصحیح کلماتی که نادرست نوشته شده؛ کاغذ: فرنگی شکری، جلد: روغنی گل و بوته دار، ۳۰۴ ص، ۱۷ سطر،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۱۰-۲۲۹]</w:t>
      </w:r>
    </w:p>
    <w:p>
      <w:pPr>
        <w:pStyle w:val="BookText"/>
      </w:pPr>
      <w:r>
        <w:rPr>
          <w:rFonts w:ascii="IRNazanin" w:hAnsi="IRNazanin" w:eastAsia="IRNazanin" w:cs="IRNazanin"/>
          <w:lang w:bidi="fa-IR"/>
          <w:color w:val="111111"/>
          <w:sz w:val="28"/>
          <w:szCs w:val="28"/>
          <w:rtl/>
        </w:rPr>
        <w:t xml:space="preserve">۱۵. تهران؛ ادبیات؛ شماره نسخه:۳۷۶</w:t>
      </w:r>
    </w:p>
    <w:p>
      <w:pPr>
        <w:pStyle w:val="BookText"/>
      </w:pPr>
      <w:r>
        <w:rPr>
          <w:rFonts w:ascii="IRNazanin" w:hAnsi="IRNazanin" w:eastAsia="IRNazanin" w:cs="IRNazanin"/>
          <w:lang w:bidi="fa-IR"/>
          <w:color w:val="111111"/>
          <w:sz w:val="28"/>
          <w:szCs w:val="28"/>
          <w:rtl/>
        </w:rPr>
        <w:t xml:space="preserve">خط: نسخ و نستعلیق، بی کا، تا: قرن ۱۳ [ف: ۳-۱۲]</w:t>
      </w:r>
    </w:p>
    <w:p>
      <w:pPr>
        <w:pStyle w:val="BookText"/>
      </w:pPr>
      <w:r>
        <w:rPr>
          <w:rFonts w:ascii="IRNazanin" w:hAnsi="IRNazanin" w:eastAsia="IRNazanin" w:cs="IRNazanin"/>
          <w:lang w:bidi="fa-IR"/>
          <w:color w:val="111111"/>
          <w:sz w:val="28"/>
          <w:szCs w:val="28"/>
          <w:rtl/>
        </w:rPr>
        <w:t xml:space="preserve">۱۶. مشهد؛ رضوی؛ شماره نسخه:۳۶۹۹۶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برابر ۱؛ انجام خواستم تا هم بر ثنای او این کتاب ختم شود این قصیده در وصف حالی به خدمت او اصدار افتاده است ... يستخبر الركبان طول نهاره *** عنكم و يخبر عنکم السولا کامل به همراه خاتمه مترجم؛ خط: نستعلیق، بی کا، تا: قرن ۱۳؛ معنی لغات مشکل در حاشیه؛ اهدایی: رهبری، مهر ۱۳۸۶؛ کاغذ: فرنگی نباتی آهار مهره، جلد: میشن قهوه ای ضربی با ترنج و سر ترنج، ۱۹۱، ۱۷ سطر، اندازه: ۱۳/۵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 سم [ اهدائی رهبر: ۸-۳۹۲]</w:t>
      </w:r>
    </w:p>
    <w:p>
      <w:pPr>
        <w:pStyle w:val="BookText"/>
      </w:pPr>
      <w:r>
        <w:rPr>
          <w:rFonts w:ascii="IRNazanin" w:hAnsi="IRNazanin" w:eastAsia="IRNazanin" w:cs="IRNazanin"/>
          <w:lang w:bidi="fa-IR"/>
          <w:color w:val="111111"/>
          <w:sz w:val="28"/>
          <w:szCs w:val="28"/>
          <w:rtl/>
        </w:rPr>
        <w:t xml:space="preserve">۱۷. تهران؛ مجلس؛ شماره نسخه:۸۲۰۸</w:t>
      </w:r>
    </w:p>
    <w:p>
      <w:pPr>
        <w:pStyle w:val="BookText"/>
      </w:pPr>
      <w:r>
        <w:rPr>
          <w:rFonts w:ascii="IRNazanin" w:hAnsi="IRNazanin" w:eastAsia="IRNazanin" w:cs="IRNazanin"/>
          <w:lang w:bidi="fa-IR"/>
          <w:color w:val="111111"/>
          <w:sz w:val="28"/>
          <w:szCs w:val="28"/>
          <w:rtl/>
        </w:rPr>
        <w:t xml:space="preserve">آغاز: برابر؛ انجام: و عتبی رساله ای در مرثيه او انشا کرده است در اصل کتاب مسطور است. خط: شکسته نستعلیق، كا: میرزا حسن بن علی محمد، تا: قرن ۱۳، بر حسب امر شاهزاده ملک محمود میرزا؛ تملک: محمد قوام حضور مشهد به مهندس وثوق، فرزند معتمد السلطنه به تاریخ ۲۷/۴/۱۹ و در انتها این یادداشت آمده از کتابهای مرحوم حاجی دبير الدوله است، یادداشت از محمد و ثوف مذکور مبنی بر اینکه این نسخه از کتب محمود میرزا پسر فتحعلیشاه به دست وی افتاده است؛ جلد: تیماج مشکی، ۱۴۹ گ، ۱۵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۲۷/۲ -۱۲]</w:t>
      </w:r>
    </w:p>
    <w:p>
      <w:pPr>
        <w:pStyle w:val="BookText"/>
      </w:pPr>
      <w:r>
        <w:rPr>
          <w:rFonts w:ascii="IRNazanin" w:hAnsi="IRNazanin" w:eastAsia="IRNazanin" w:cs="IRNazanin"/>
          <w:lang w:bidi="fa-IR"/>
          <w:color w:val="111111"/>
          <w:sz w:val="28"/>
          <w:szCs w:val="28"/>
          <w:rtl/>
        </w:rPr>
        <w:t xml:space="preserve">۱۸. مشهد: رضوی، شماره نسخه:۴۲۰۹</w:t>
      </w:r>
    </w:p>
    <w:p>
      <w:pPr>
        <w:pStyle w:val="BookText"/>
      </w:pPr>
      <w:r>
        <w:rPr>
          <w:rFonts w:ascii="IRNazanin" w:hAnsi="IRNazanin" w:eastAsia="IRNazanin" w:cs="IRNazanin"/>
          <w:lang w:bidi="fa-IR"/>
          <w:color w:val="111111"/>
          <w:sz w:val="28"/>
          <w:szCs w:val="28"/>
          <w:rtl/>
        </w:rPr>
        <w:t xml:space="preserve">آغاز: برابر ۱؛ انجام: و السعادة العظمى و للر آی مزید العلو و الرفعة. خط: نستعلیق، بی کا، تا: ۱۲۵۱ق، مجدول؛ واقف: نایینی؛ کاغذ: فرنگی آهار مهره، جلد: روغنی روی جلد گل و بوته و مرغ، ۹۰گ، ۲۲ سطر (۱۲/۵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اندازه: ۱۹/۳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۲۹/۷ سم [ف: ۷-۵۷]</w:t>
      </w:r>
    </w:p>
    <w:p>
      <w:pPr>
        <w:pStyle w:val="BookText"/>
      </w:pPr>
      <w:r>
        <w:rPr>
          <w:rFonts w:ascii="IRNazanin" w:hAnsi="IRNazanin" w:eastAsia="IRNazanin" w:cs="IRNazanin"/>
          <w:lang w:bidi="fa-IR"/>
          <w:color w:val="111111"/>
          <w:sz w:val="28"/>
          <w:szCs w:val="28"/>
          <w:rtl/>
        </w:rPr>
        <w:t xml:space="preserve">۱۹. تهران؛ مجلس؛ شماره نسخه:۸۱۳۶۱۲</w:t>
      </w:r>
    </w:p>
    <w:p>
      <w:pPr>
        <w:pStyle w:val="BookText"/>
      </w:pPr>
      <w:r>
        <w:rPr>
          <w:rFonts w:ascii="IRNazanin" w:hAnsi="IRNazanin" w:eastAsia="IRNazanin" w:cs="IRNazanin"/>
          <w:lang w:bidi="fa-IR"/>
          <w:color w:val="111111"/>
          <w:sz w:val="28"/>
          <w:szCs w:val="28"/>
          <w:rtl/>
        </w:rPr>
        <w:t xml:space="preserve">آغاز: برابر ۱؛ انجام: ولى في ذلك الشرف الأعلى و السعادة العظمى و للرای مزيد العلو و الرفعة. [رقم:] الحمد لمن وفقني لاتمامه و الشكر على ما انعم بي في ختامه فانما الدهر کسیل ثاعب و الزمان کماء داعب. لايقوم في محطه شجر ولا حجر ولا يطيق مع نطه ورق و لا مدر و ان الاعمار سايرة فانية و الأثار ثابته باقية. فخير ما يستوصله غابر عابرا و أحسن ما يسترسله مذکور ذاكرا هي ازاهير لآلى الضمير اذا بان الباين او لطایف التنميق و التصوير لو طبع بالبنان. فاني لما رايت هذا البحر المسجور و الجوهر المنثور الذي بلغ اقصی مراتب الفصاحة و علا اعلى مدارج البلاغة و هو مما انشاءه ابوالنضر عبد الجبار العتبي في شرح اخبار السلطان محمود و لاقیت ترجمه علیه قد كلت الألسن عن تبیان نبذة منه و</w:t>
      </w:r>
    </w:p>
    <w:p>
      <w:pPr>
        <w:pStyle w:val="BookText"/>
      </w:pPr>
      <w:r>
        <w:rPr>
          <w:rFonts w:ascii="IRNazanin" w:hAnsi="IRNazanin" w:eastAsia="IRNazanin" w:cs="IRNazanin"/>
          <w:lang w:bidi="fa-IR"/>
          <w:color w:val="111111"/>
          <w:sz w:val="28"/>
          <w:szCs w:val="28"/>
          <w:rtl/>
        </w:rPr>
        <w:t xml:space="preserve">حارث الأوهام في اتيان كلمة معه و هي مما املأه ابوالشرف المنشي الجرفاد قانی فاردت ان اكتبها بیدی و اطير في رياضها بجناحي حتى يكون منی خلفا لمن يسیقنی سلفا و لم اكن ممن اسرف عیشه تلفا و كان ذلك الكتاب اول ما ابتدرت بكتابته و استوفقت بختامته و انا العبد الخادم القائم في خدمة السلطان الاعظم الاكرم و الخاقان الاجل الافخم السطلان الغازی محمد شاه قاجار خلدالله تعالی ملکه، محمد علی بن بیژن خان و قد اغتنمت  به حين بعثت عن الحضرة العية و ارسفت من سدة السنية الى دارالمرز جيلان لايصال منال الديوان و كنت واقفا في ذلك البلد وقوف الرضوان في الاعراف و عشت فيه كالذبيح في الاسهاف كلما تفرست لم ار فيه احدا انیسا الا تعالبا و عیسا لن يقتربوا بي الا صدما و تضريسا فزهدت عنهم و اشتغلت بذلك بتوفيق اله و اتممته بغايته في يوم السبت الثاني و العشرين من شهر محرم الحرام في سنة ثمان و خمسین و مأتین بعد الألف من الهجرة النبوية المصطفوية صلوات الله عليه و على آله اللهم اغفر لنا و لمن سلف و خلف. تم.</w:t>
      </w:r>
    </w:p>
    <w:p>
      <w:pPr>
        <w:pStyle w:val="BookText"/>
      </w:pPr>
      <w:r>
        <w:rPr>
          <w:rFonts w:ascii="IRNazanin" w:hAnsi="IRNazanin" w:eastAsia="IRNazanin" w:cs="IRNazanin"/>
          <w:lang w:bidi="fa-IR"/>
          <w:color w:val="111111"/>
          <w:sz w:val="28"/>
          <w:szCs w:val="28"/>
          <w:rtl/>
        </w:rPr>
        <w:t xml:space="preserve">خط: نستعلیق خوش، كا: محمد علی بن بیژن خان، تا: شنبه ۲۲ محرم ۱۲۵۸ق، جان گیلان؛ یک بار گویا توسط خود کاتب مقابله شده و در موارد متعدد نشانه بلاغ «بلغ» دارد، مجدول مذهب، با کمند زرین، در لابه لای سطور و نیز در حواشی لغات عربی شرح و معنی شده که به احتمال بسیار کار محمد حسین اصفهانی در ۱۲۵۸ق باشد که به خواهش کاتب آن را نوشته، وی به خط ثلث جلی خوش در پایان چنین نوشته: «حسب الفرمایش سرکار عالیجاه، معل جایگاه، عزت و سعادت همراه، مجدت و نجدت پناه، زبدة الأماثل و الاقران و قدوة الأكابر و الاعيان، صاحب الجود و الاحسان مقرب الخاقان آقائی، آقا محمد علی بیک زید عزه العالی حواشی نسخ این کتاب بخط این بنده محمد حسین اصفهانی سمت تحریر پذیرفت سنه ۱۲۵۸»، که این رقم با القابی که برای محمد على بن بیژن خان آورده شده روشنگر بخشی از احوال کاتب نیز هست، روی برگ عنوان ابیاتی عربی آمده بدین شرح: چهار بیت عربی ابوالفضل میکالی در مدح ابو نضر عتبی، دو بیت از ابونصر عتبی، ده بیت عربی با عنوان «لعلی بن فضل الله الحسینی عليه ما عليه»؛ جلد: مقوایی با روکش تیماج مشکی ساغری، ۱۷۵گ (۱پ -۱۷۵پ هامش)، ۳۸ سطر، اندازه: ۳۰/۳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۱۸/۷ سم [ف: ۲۷/۱ -۲۵۷]</w:t>
      </w:r>
    </w:p>
    <w:p>
      <w:pPr>
        <w:pStyle w:val="BookText"/>
      </w:pPr>
      <w:r>
        <w:rPr>
          <w:rFonts w:ascii="IRNazanin" w:hAnsi="IRNazanin" w:eastAsia="IRNazanin" w:cs="IRNazanin"/>
          <w:lang w:bidi="fa-IR"/>
          <w:color w:val="111111"/>
          <w:sz w:val="28"/>
          <w:szCs w:val="28"/>
          <w:rtl/>
        </w:rPr>
        <w:t xml:space="preserve">۲۰. تهران؛ نوربخش، شماره نسخه: ۵۲۱ آغاز: برابر ۱؛ انجام: و معالی و معانی و مکارم خویش عاطل گذاشت</w:t>
      </w:r>
    </w:p>
    <w:p>
      <w:pPr>
        <w:pStyle w:val="BookText"/>
      </w:pPr>
      <w:r>
        <w:rPr>
          <w:rFonts w:ascii="IRNazanin" w:hAnsi="IRNazanin" w:eastAsia="IRNazanin" w:cs="IRNazanin"/>
          <w:lang w:bidi="fa-IR"/>
          <w:color w:val="111111"/>
          <w:sz w:val="28"/>
          <w:szCs w:val="28"/>
          <w:rtl/>
        </w:rPr>
        <w:t xml:space="preserve">خط: نستعلیق، بی کا، تا: جمادی الاول ۱۲۶۱ق؛ این نسخه را اسماعيل تفرشی کاتب نسخه ش ۵۲۰ در تاریخ ۱۳۱۷ خریده و مدتی در تملک او بوده؛ کاغذ: ایرانی، جلد: تیماج مشکی، ۳۴۰ص، ۱۵سطر،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۲-۱۸۳]</w:t>
      </w:r>
    </w:p>
    <w:p>
      <w:pPr>
        <w:pStyle w:val="BookText"/>
      </w:pPr>
      <w:r>
        <w:rPr>
          <w:rFonts w:ascii="IRNazanin" w:hAnsi="IRNazanin" w:eastAsia="IRNazanin" w:cs="IRNazanin"/>
          <w:lang w:bidi="fa-IR"/>
          <w:color w:val="111111"/>
          <w:sz w:val="28"/>
          <w:szCs w:val="28"/>
          <w:rtl/>
        </w:rPr>
        <w:t xml:space="preserve">۲۱. تهران؛ ملک؛ شماره نسخه: ۴۰۸۱</w:t>
      </w:r>
    </w:p>
    <w:p>
      <w:pPr>
        <w:pStyle w:val="BookText"/>
      </w:pPr>
      <w:r>
        <w:rPr>
          <w:rFonts w:ascii="IRNazanin" w:hAnsi="IRNazanin" w:eastAsia="IRNazanin" w:cs="IRNazanin"/>
          <w:lang w:bidi="fa-IR"/>
          <w:color w:val="111111"/>
          <w:sz w:val="28"/>
          <w:szCs w:val="28"/>
          <w:rtl/>
        </w:rPr>
        <w:t xml:space="preserve">خط: نستعلیق، بی کا، تا: ۷ شعبان ۱۲۶۱ق، جا: تهران؛ کاغذ: کاغذ فرنگی آهار مهره، جلد: میشن قهوه ای سیر، ۱۹۰گ، ۱۴ سطر، اندازه: ۲۱/۶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۲-۹۶]</w:t>
      </w:r>
    </w:p>
    <w:p>
      <w:pPr>
        <w:pStyle w:val="BookText"/>
      </w:pPr>
      <w:r>
        <w:rPr>
          <w:rFonts w:ascii="IRNazanin" w:hAnsi="IRNazanin" w:eastAsia="IRNazanin" w:cs="IRNazanin"/>
          <w:lang w:bidi="fa-IR"/>
          <w:color w:val="111111"/>
          <w:sz w:val="28"/>
          <w:szCs w:val="28"/>
          <w:rtl/>
        </w:rPr>
        <w:t xml:space="preserve">۲۲. تهران؛ ملی؛ شماره نسخه:۸۶</w:t>
      </w:r>
    </w:p>
    <w:p>
      <w:pPr>
        <w:pStyle w:val="BookText"/>
      </w:pPr>
      <w:r>
        <w:rPr>
          <w:rFonts w:ascii="IRNazanin" w:hAnsi="IRNazanin" w:eastAsia="IRNazanin" w:cs="IRNazanin"/>
          <w:lang w:bidi="fa-IR"/>
          <w:color w:val="111111"/>
          <w:sz w:val="28"/>
          <w:szCs w:val="28"/>
          <w:rtl/>
        </w:rPr>
        <w:t xml:space="preserve">آغاز: برابر ۱؛ انجام: و عتبی رساله در مرثيه او انشا کرده است در اصل کتاب مسطور است خط: نستعلیق و نسخ خوش، بی کا، تا: جمعه ۲۳ ربیع الثانی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۱۲۶۱ق، جا؛ تهران؛ کاغذ: ترمه، جلد: ترنج دار، ۱۴۹ ، ۱۵ سطر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 اندازه: ۲۹/۴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سم [ف: ۱-۷۴]</w:t>
      </w:r>
    </w:p>
    <w:p>
      <w:pPr>
        <w:pStyle w:val="BookText"/>
      </w:pPr>
      <w:r>
        <w:rPr>
          <w:rFonts w:ascii="IRNazanin" w:hAnsi="IRNazanin" w:eastAsia="IRNazanin" w:cs="IRNazanin"/>
          <w:lang w:bidi="fa-IR"/>
          <w:color w:val="111111"/>
          <w:sz w:val="28"/>
          <w:szCs w:val="28"/>
          <w:rtl/>
        </w:rPr>
        <w:t xml:space="preserve">۲۳. تبریز؛ ملی؛ شماره نسخه: ۳۲۷۶</w:t>
      </w:r>
    </w:p>
    <w:p>
      <w:pPr>
        <w:pStyle w:val="BookText"/>
      </w:pPr>
      <w:r>
        <w:rPr>
          <w:rFonts w:ascii="IRNazanin" w:hAnsi="IRNazanin" w:eastAsia="IRNazanin" w:cs="IRNazanin"/>
          <w:lang w:bidi="fa-IR"/>
          <w:color w:val="111111"/>
          <w:sz w:val="28"/>
          <w:szCs w:val="28"/>
          <w:rtl/>
        </w:rPr>
        <w:t xml:space="preserve">آغاز: برابر ۱؛ انجام: و عتبی رساله ای در مرثيه او انشاء کرده است در اصل کتاب مسطور است. خط: نستعلیق، كا: امام ویردی بیک، تا: دوشنبه ۲۴ جمادی الثانی ۱۲۶۱ق؛ کاتب در ذیل برگ آخر نوشته است «سمت تحریر یافت في عهد شهنشاه عالم پناه اعني محمد شاه غازی ادام الله تعالی حرره امام محمد ویردی بیک ... ۱۲۶۱»؛ کاغذ: فرنگی، جلد: زرافشان اصفهان، ۱۱۹گ، ۲۰ سطر، اندازه: ۲۰/۵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۳۰/۵سم [ف: ۱-۲۴۸]</w:t>
      </w:r>
    </w:p>
    <w:p>
      <w:pPr>
        <w:pStyle w:val="BookText"/>
      </w:pPr>
      <w:r>
        <w:rPr>
          <w:rFonts w:ascii="IRNazanin" w:hAnsi="IRNazanin" w:eastAsia="IRNazanin" w:cs="IRNazanin"/>
          <w:lang w:bidi="fa-IR"/>
          <w:color w:val="111111"/>
          <w:sz w:val="28"/>
          <w:szCs w:val="28"/>
          <w:rtl/>
        </w:rPr>
        <w:t xml:space="preserve">تهران؛ دانشگاه؛ شماره نسخه:۱۹۰۹-ف</w:t>
      </w:r>
    </w:p>
    <w:p>
      <w:pPr>
        <w:pStyle w:val="BookText"/>
      </w:pPr>
      <w:r>
        <w:rPr>
          <w:rFonts w:ascii="Amiri" w:hAnsi="Amiri" w:eastAsia="Amiri" w:cs="Amiri"/>
          <w:lang w:bidi="ar-SA"/>
          <w:color w:val="111111"/>
          <w:sz w:val="28"/>
          <w:szCs w:val="28"/>
          <w:rtl/>
        </w:rPr>
        <w:t xml:space="preserve">نسخه اصل: همان نسخه بالا [فيلمها ف: ۱-۴۰]</w:t>
      </w:r>
    </w:p>
    <w:p>
      <w:pPr>
        <w:pStyle w:val="BookText"/>
      </w:pPr>
      <w:r>
        <w:rPr>
          <w:rFonts w:ascii="IRNazanin" w:hAnsi="IRNazanin" w:eastAsia="IRNazanin" w:cs="IRNazanin"/>
          <w:lang w:bidi="fa-IR"/>
          <w:color w:val="111111"/>
          <w:sz w:val="28"/>
          <w:szCs w:val="28"/>
          <w:rtl/>
        </w:rPr>
        <w:t xml:space="preserve">۲۴. تهران؛ مجلس؛ شماره نسخه:۲۲۹۳</w:t>
      </w:r>
    </w:p>
    <w:p>
      <w:pPr>
        <w:pStyle w:val="BookText"/>
      </w:pPr>
      <w:r>
        <w:rPr>
          <w:rFonts w:ascii="IRNazanin" w:hAnsi="IRNazanin" w:eastAsia="IRNazanin" w:cs="IRNazanin"/>
          <w:lang w:bidi="fa-IR"/>
          <w:color w:val="111111"/>
          <w:sz w:val="28"/>
          <w:szCs w:val="28"/>
          <w:rtl/>
        </w:rPr>
        <w:t xml:space="preserve">آغاز: برابر ۱؛ انجام: انشا کرده است در اصل کتاب مسطور است. خط: نسخ تعلیق، بی کا، تا: ۲ رجب ۱۲۶۲ق، کاغذ: فرنگی، جلد: میشن سیاه، ۱۹۲ص، ۲۳ سطر، اندازه: ۱۷/۵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۶-۲۴۷]</w:t>
      </w:r>
    </w:p>
    <w:p>
      <w:pPr>
        <w:pStyle w:val="BookText"/>
      </w:pPr>
      <w:r>
        <w:rPr>
          <w:rFonts w:ascii="IRNazanin" w:hAnsi="IRNazanin" w:eastAsia="IRNazanin" w:cs="IRNazanin"/>
          <w:lang w:bidi="fa-IR"/>
          <w:color w:val="111111"/>
          <w:sz w:val="28"/>
          <w:szCs w:val="28"/>
          <w:rtl/>
        </w:rPr>
        <w:t xml:space="preserve">۲۵. مشهد؛ رضوی؛ شماره نسخه:۳۷۸۳۰</w:t>
      </w:r>
    </w:p>
    <w:p>
      <w:pPr>
        <w:pStyle w:val="BookText"/>
      </w:pPr>
      <w:r>
        <w:rPr>
          <w:rFonts w:ascii="IRNazanin" w:hAnsi="IRNazanin" w:eastAsia="IRNazanin" w:cs="IRNazanin"/>
          <w:lang w:bidi="fa-IR"/>
          <w:color w:val="111111"/>
          <w:sz w:val="28"/>
          <w:szCs w:val="28"/>
          <w:rtl/>
        </w:rPr>
        <w:t xml:space="preserve">آغاز: برابر ۱؛ انجام: خرم و شادما باشند ان شاء الله تعالى للذين احسنوا الحسنى و زيادة ولا يرهق وجوههم قتر ولا ذلة اولئک اصحاب الجنة هم فيها خالدون کامل به همراه خاتمه مترجم؛ خط: نسخ زیبا، بی کا، تا: ۱۲۶۳ق؛ مجدول، کمند کشی شده، با سرلوح مزدوج مذهب؛ تملک در ۱۲۷۸ و ۱۳۴۵ق؛ یادداشت خریداری امین پور محسن عراقی در ۸ ربیع الاول ۱۳۵۶ق مطابق چهارشنبه ۲۲ تیر ۱۳۱۱ش به مبلغ ۵ تومان؛ سه بیت شعر از شمس المعالی قابوس وشمگیر؛ اهدایی: رهبری، مهر ۱۳۸۶؛ کاغذ: اصفهانی نخودی آهار مهره، جلد: تیماج عنابی با ترنج و سر ترنج، ۱۶۱گ، ۲۱ سطر، اندازه: ۱۷/۵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۲۸/۵ سم [ اهدائی رهبر: ۸-۳۹۱]</w:t>
      </w:r>
    </w:p>
    <w:p>
      <w:pPr>
        <w:pStyle w:val="BookText"/>
      </w:pPr>
      <w:r>
        <w:rPr>
          <w:rFonts w:ascii="IRNazanin" w:hAnsi="IRNazanin" w:eastAsia="IRNazanin" w:cs="IRNazanin"/>
          <w:lang w:bidi="fa-IR"/>
          <w:color w:val="111111"/>
          <w:sz w:val="28"/>
          <w:szCs w:val="28"/>
          <w:rtl/>
        </w:rPr>
        <w:t xml:space="preserve">۲۶. مشهد؛ شیخ علی حیدر؛ شماره نسخه:۸۶</w:t>
      </w:r>
    </w:p>
    <w:p>
      <w:pPr>
        <w:pStyle w:val="BookText"/>
      </w:pPr>
      <w:r>
        <w:rPr>
          <w:rFonts w:ascii="IRNazanin" w:hAnsi="IRNazanin" w:eastAsia="IRNazanin" w:cs="IRNazanin"/>
          <w:lang w:bidi="fa-IR"/>
          <w:color w:val="111111"/>
          <w:sz w:val="28"/>
          <w:szCs w:val="28"/>
          <w:rtl/>
        </w:rPr>
        <w:t xml:space="preserve">آغاز: برابر ۱؛ انجام: و لايرهق وجوههم قتر و لاذلة أولئک أصحاب الجنة هم فيها خالدون و السلام خط: نسخ، بی کا، تا: ۱۲۶۳ق؛ مجدول، با سرلوح؛ تملك: انیس پورمحسن عراقی در ۱۲۵۱؛ جلد: تیماج زرشکی، ۱۵۶گ، ۲۱ سطر، اندازه: ۲۸</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۱۶/۵ سم [ مؤيد: ۳-۶۴۷]</w:t>
      </w:r>
    </w:p>
    <w:p>
      <w:pPr>
        <w:pStyle w:val="BookText"/>
      </w:pPr>
      <w:r>
        <w:rPr>
          <w:rFonts w:ascii="IRNazanin" w:hAnsi="IRNazanin" w:eastAsia="IRNazanin" w:cs="IRNazanin"/>
          <w:lang w:bidi="fa-IR"/>
          <w:color w:val="111111"/>
          <w:sz w:val="28"/>
          <w:szCs w:val="28"/>
          <w:rtl/>
        </w:rPr>
        <w:t xml:space="preserve">۲۷. تهران؛ لغت نامه دهخدا، شماره نسخه:۱۵۹</w:t>
      </w:r>
    </w:p>
    <w:p>
      <w:pPr>
        <w:pStyle w:val="BookText"/>
      </w:pPr>
      <w:r>
        <w:rPr>
          <w:rFonts w:ascii="IRNazanin" w:hAnsi="IRNazanin" w:eastAsia="IRNazanin" w:cs="IRNazanin"/>
          <w:lang w:bidi="fa-IR"/>
          <w:color w:val="111111"/>
          <w:sz w:val="28"/>
          <w:szCs w:val="28"/>
          <w:rtl/>
        </w:rPr>
        <w:t xml:space="preserve">خط: نستعلیق، کا: میر عبدالمجید حسینی سپاهانی، تا: دهه سوم رجب ۱۲۶۵ق، جلد: تیماج تیره ترنج و سرترنج، قطع: وزیری [نشریه: ۳-۸]</w:t>
      </w:r>
    </w:p>
    <w:p>
      <w:pPr>
        <w:pStyle w:val="BookText"/>
      </w:pPr>
      <w:r>
        <w:rPr>
          <w:rFonts w:ascii="IRNazanin" w:hAnsi="IRNazanin" w:eastAsia="IRNazanin" w:cs="IRNazanin"/>
          <w:lang w:bidi="fa-IR"/>
          <w:color w:val="111111"/>
          <w:sz w:val="28"/>
          <w:szCs w:val="28"/>
          <w:rtl/>
        </w:rPr>
        <w:t xml:space="preserve">۲۸. تهران؛ ملک؛ شماره نسخه: ۴۳۳۱</w:t>
      </w:r>
    </w:p>
    <w:p>
      <w:pPr>
        <w:pStyle w:val="BookText"/>
      </w:pPr>
      <w:r>
        <w:rPr>
          <w:rFonts w:ascii="IRNazanin" w:hAnsi="IRNazanin" w:eastAsia="IRNazanin" w:cs="IRNazanin"/>
          <w:lang w:bidi="fa-IR"/>
          <w:color w:val="111111"/>
          <w:sz w:val="28"/>
          <w:szCs w:val="28"/>
          <w:rtl/>
        </w:rPr>
        <w:t xml:space="preserve">خط: نستعلیق، بی کا، تا: ذیقعده ۱۲۶۹ق؛ کاغذ: کاغذ فرنگی آهار مهره، جلد: میشن سیاه، ۱۷۸گ، ۱۷ سطر، اندازه: ۳۳/۴</w:t>
      </w:r>
      <w:r>
        <w:rPr>
          <w:rFonts w:ascii="Times New Roman" w:hAnsi="Times New Roman" w:eastAsia="Times New Roman" w:cs="Times New Roman"/>
          <w:lang w:val="en-US" w:bidi="en-US"/>
          <w:color w:val="111111"/>
          <w:sz w:val="28"/>
          <w:szCs w:val="28"/>
          <w:rtl/>
        </w:rPr>
        <w:t xml:space="preserve">×3 /21 </w:t>
      </w:r>
      <w:r>
        <w:rPr>
          <w:rFonts w:ascii="IRNazanin" w:hAnsi="IRNazanin" w:eastAsia="IRNazanin" w:cs="IRNazanin"/>
          <w:lang w:bidi="fa-IR"/>
          <w:color w:val="111111"/>
          <w:sz w:val="28"/>
          <w:szCs w:val="28"/>
          <w:rtl/>
        </w:rPr>
        <w:t xml:space="preserve">سم [ف: ۲-۹۶]</w:t>
      </w:r>
    </w:p>
    <w:p>
      <w:pPr>
        <w:pStyle w:val="BookText"/>
      </w:pPr>
      <w:r>
        <w:rPr>
          <w:rFonts w:ascii="IRNazanin" w:hAnsi="IRNazanin" w:eastAsia="IRNazanin" w:cs="IRNazanin"/>
          <w:lang w:bidi="fa-IR"/>
          <w:color w:val="111111"/>
          <w:sz w:val="28"/>
          <w:szCs w:val="28"/>
          <w:rtl/>
        </w:rPr>
        <w:t xml:space="preserve">۲۹. تهران؛ سپهسالار؛ شماره نسخه:۱۴۸۴</w:t>
      </w:r>
    </w:p>
    <w:p>
      <w:pPr>
        <w:pStyle w:val="BookText"/>
      </w:pPr>
      <w:r>
        <w:rPr>
          <w:rFonts w:ascii="IRNazanin" w:hAnsi="IRNazanin" w:eastAsia="IRNazanin" w:cs="IRNazanin"/>
          <w:lang w:bidi="fa-IR"/>
          <w:color w:val="111111"/>
          <w:sz w:val="28"/>
          <w:szCs w:val="28"/>
          <w:rtl/>
        </w:rPr>
        <w:t xml:space="preserve">خط: نستعلیق، بی کا، تا: ۲۶ ربیع الثانی ۱۲۶۹ق؛ برابر نسخه ۱۴۸۳ است، به جز قصیده ستایش که در پایان افزوده نشده؛ کاغذ: فرنگی سفید آهار مهره، جلد: تیماج مشکی مقوایی، ۱۶۹گ، ۱۷ سطر،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۳-۴۰۳]</w:t>
      </w:r>
    </w:p>
    <w:p>
      <w:pPr>
        <w:pStyle w:val="BookText"/>
      </w:pPr>
      <w:r>
        <w:rPr>
          <w:rFonts w:ascii="IRNazanin" w:hAnsi="IRNazanin" w:eastAsia="IRNazanin" w:cs="IRNazanin"/>
          <w:lang w:bidi="fa-IR"/>
          <w:color w:val="111111"/>
          <w:sz w:val="28"/>
          <w:szCs w:val="28"/>
          <w:rtl/>
        </w:rPr>
        <w:t xml:space="preserve">۳۰. تهران؛ سپهسالار؛ شماره نسخه: ۱۴۸۶/۲</w:t>
      </w:r>
    </w:p>
    <w:p>
      <w:pPr>
        <w:pStyle w:val="BookText"/>
      </w:pPr>
      <w:r>
        <w:rPr>
          <w:rFonts w:ascii="IRNazanin" w:hAnsi="IRNazanin" w:eastAsia="IRNazanin" w:cs="IRNazanin"/>
          <w:lang w:bidi="fa-IR"/>
          <w:color w:val="111111"/>
          <w:sz w:val="28"/>
          <w:szCs w:val="28"/>
          <w:rtl/>
        </w:rPr>
        <w:t xml:space="preserve">خط: نستعلیق، کا: محمد مهدی بن محمد تقی حسنی حسینی، تا: ۱۲۷۱ق؛ مطابق چاپ تهران ۱۲۷۲ق؛ کاغذ: فرنگی نخودی، جلد: تیماج مشکی، ۱۱۲گ (۸۷پ -۱۹۸ر)، ۲۷ سطر،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۳-۴۰۳]</w:t>
      </w:r>
    </w:p>
    <w:p>
      <w:pPr>
        <w:pStyle w:val="BookText"/>
      </w:pPr>
      <w:r>
        <w:rPr>
          <w:rFonts w:ascii="IRNazanin" w:hAnsi="IRNazanin" w:eastAsia="IRNazanin" w:cs="IRNazanin"/>
          <w:lang w:bidi="fa-IR"/>
          <w:color w:val="111111"/>
          <w:sz w:val="28"/>
          <w:szCs w:val="28"/>
          <w:rtl/>
        </w:rPr>
        <w:t xml:space="preserve">۳۱. تهران؛ ملی؛ شماره نسخه:۱۵۰۸</w:t>
      </w:r>
    </w:p>
    <w:p>
      <w:pPr>
        <w:pStyle w:val="BookText"/>
      </w:pPr>
      <w:r>
        <w:rPr>
          <w:rFonts w:ascii="IRNazanin" w:hAnsi="IRNazanin" w:eastAsia="IRNazanin" w:cs="IRNazanin"/>
          <w:lang w:bidi="fa-IR"/>
          <w:color w:val="111111"/>
          <w:sz w:val="28"/>
          <w:szCs w:val="28"/>
          <w:rtl/>
        </w:rPr>
        <w:t xml:space="preserve">آغاز: برابر ۱؛ انجام: و عتبی رساله در مرثيه او انشاء کرده است در اصل کتاب مسطور است خط: نستعلیق، کا: سیف الملك عباسقلی خان میرپنج، پطرز بورغ، تا: ۱۲۷۱ق؛ با سرلوح مذهب، مجدول؛ کاغذ: فرنگی، جلد: تیماج سیاه، ۱۶۴گ، ۱۶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سم [ف: ۷-۴ ]</w:t>
      </w:r>
    </w:p>
    <w:p>
      <w:pPr>
        <w:pStyle w:val="BookText"/>
      </w:pPr>
      <w:r>
        <w:rPr>
          <w:rFonts w:ascii="IRNazanin" w:hAnsi="IRNazanin" w:eastAsia="IRNazanin" w:cs="IRNazanin"/>
          <w:lang w:bidi="fa-IR"/>
          <w:color w:val="111111"/>
          <w:sz w:val="28"/>
          <w:szCs w:val="28"/>
          <w:rtl/>
        </w:rPr>
        <w:t xml:space="preserve">۳۲. تهران؛ ادبیات؛ شماره نسخه:۲۵۷ حکمت خط: نستعلیق، کا: محمد على حسنی</w:t>
      </w:r>
    </w:p>
    <w:p>
      <w:pPr>
        <w:pStyle w:val="BookText"/>
      </w:pPr>
      <w:r>
        <w:rPr>
          <w:rFonts w:ascii="IRNazanin" w:hAnsi="IRNazanin" w:eastAsia="IRNazanin" w:cs="IRNazanin"/>
          <w:lang w:bidi="fa-IR"/>
          <w:color w:val="111111"/>
          <w:sz w:val="28"/>
          <w:szCs w:val="28"/>
          <w:rtl/>
        </w:rPr>
        <w:t xml:space="preserve">حسینی، تا: دوشنبه ۱۴ جمادی الثانی ۱۲۷۲ق، برای خداد خان،؛ مجدول، با سرلوح زیبا؛</w:t>
      </w:r>
    </w:p>
    <w:p>
      <w:pPr>
        <w:pStyle w:val="BookText"/>
      </w:pPr>
      <w:r>
        <w:rPr>
          <w:rFonts w:ascii="IRNazanin" w:hAnsi="IRNazanin" w:eastAsia="IRNazanin" w:cs="IRNazanin"/>
          <w:lang w:bidi="fa-IR"/>
          <w:color w:val="111111"/>
          <w:sz w:val="28"/>
          <w:szCs w:val="28"/>
          <w:rtl/>
        </w:rPr>
        <w:t xml:space="preserve">جلد: تیماج مشکی، قطع: ربعی [ف: ۲-۸]</w:t>
      </w:r>
    </w:p>
    <w:p>
      <w:pPr>
        <w:pStyle w:val="BookText"/>
      </w:pPr>
      <w:r>
        <w:rPr>
          <w:rFonts w:ascii="IRNazanin" w:hAnsi="IRNazanin" w:eastAsia="IRNazanin" w:cs="IRNazanin"/>
          <w:lang w:bidi="fa-IR"/>
          <w:color w:val="111111"/>
          <w:sz w:val="28"/>
          <w:szCs w:val="28"/>
          <w:rtl/>
        </w:rPr>
        <w:t xml:space="preserve">۳۳. تهران: ملی؛ شماره نسخه:۲۱۸۷</w:t>
      </w:r>
    </w:p>
    <w:p>
      <w:pPr>
        <w:pStyle w:val="BookText"/>
      </w:pPr>
      <w:r>
        <w:rPr>
          <w:rFonts w:ascii="IRNazanin" w:hAnsi="IRNazanin" w:eastAsia="IRNazanin" w:cs="IRNazanin"/>
          <w:lang w:bidi="fa-IR"/>
          <w:color w:val="111111"/>
          <w:sz w:val="28"/>
          <w:szCs w:val="28"/>
          <w:rtl/>
        </w:rPr>
        <w:t xml:space="preserve">آغاز: برابر ۱؛ انجام: در بلاد ایران و سایر امصار و دیار بوجه صحیح و مشتهر باشد و الله هو الموفق المعين خط: نستعلیق خوش، كا: حبیب الله حسینی، تا: ۱۲۷۲ق، جان تهران؛ کاغذ: فرنگی، جلد: تیماج قرمز، ۱۱۲گ، ۱۸ سطر (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۵-۲۶۹]</w:t>
      </w:r>
    </w:p>
    <w:p>
      <w:pPr>
        <w:pStyle w:val="BookText"/>
      </w:pPr>
      <w:r>
        <w:rPr>
          <w:rFonts w:ascii="IRNazanin" w:hAnsi="IRNazanin" w:eastAsia="IRNazanin" w:cs="IRNazanin"/>
          <w:lang w:bidi="fa-IR"/>
          <w:color w:val="111111"/>
          <w:sz w:val="28"/>
          <w:szCs w:val="28"/>
          <w:rtl/>
        </w:rPr>
        <w:t xml:space="preserve">۳۴. اصفهان، دانشگاه؛ شماره نسخه:۴۵۹/۲</w:t>
      </w:r>
    </w:p>
    <w:p>
      <w:pPr>
        <w:pStyle w:val="BookText"/>
      </w:pPr>
      <w:r>
        <w:rPr>
          <w:rFonts w:ascii="IRNazanin" w:hAnsi="IRNazanin" w:eastAsia="IRNazanin" w:cs="IRNazanin"/>
          <w:lang w:bidi="fa-IR"/>
          <w:color w:val="111111"/>
          <w:sz w:val="28"/>
          <w:szCs w:val="28"/>
          <w:rtl/>
        </w:rPr>
        <w:t xml:space="preserve">تتمه ترجمه تاریخ یمینی؛ خط: نستعلیق، کا: محمد جرفادقانی، تا: دوشنبه ۲۸ رمضان ۱۲۷۲ق، جا: تهران؛ مصحح، بین رساله اول و دوم مقداری از رساله الانسان الكامل عبدالکریم جیلی، عریضه از نواب امان الله خان به احتشام الدوله خاتر میرزا به سال ۱۲۷۳ که به انشای حبیب الدین محمد بن علی اصغر گلپایگانی است، رساله نیمه تمام مفصلی در کیفیت استخراج مجهولات کمیه از معلومات مخصوصه در چهار وجه، یادداشتی در معنی بخارا، یادداشتی در واضعان خط و انواع خطوط و مخترعان هر یک از آنها و نسب پیامبر (صلی الله علیه وآله وسلم)، یادداشتی در تفسیر آیه «و لكم فيها ما تشتهي انفسكم» از کاتب حبيب الدين محمد بن علی اصغر؛ جلد: مقوایی، عطف تیماج قهوه ای، ۳گ (۴۹-۵۱پ)،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۲-۳۶۶]</w:t>
      </w:r>
    </w:p>
    <w:p>
      <w:pPr>
        <w:pStyle w:val="BookText"/>
      </w:pPr>
      <w:r>
        <w:rPr>
          <w:rFonts w:ascii="IRNazanin" w:hAnsi="IRNazanin" w:eastAsia="IRNazanin" w:cs="IRNazanin"/>
          <w:lang w:bidi="fa-IR"/>
          <w:color w:val="111111"/>
          <w:sz w:val="28"/>
          <w:szCs w:val="28"/>
          <w:rtl/>
        </w:rPr>
        <w:t xml:space="preserve">۳۵. تبریز؛ تربیت؛ شماره نسخه:۱۸۳</w:t>
      </w:r>
    </w:p>
    <w:p>
      <w:pPr>
        <w:pStyle w:val="BookText"/>
      </w:pPr>
      <w:r>
        <w:rPr>
          <w:rFonts w:ascii="IRNazanin" w:hAnsi="IRNazanin" w:eastAsia="IRNazanin" w:cs="IRNazanin"/>
          <w:lang w:bidi="fa-IR"/>
          <w:color w:val="111111"/>
          <w:sz w:val="28"/>
          <w:szCs w:val="28"/>
          <w:rtl/>
        </w:rPr>
        <w:t xml:space="preserve">کا: بديع بن مصطفى بن عبد الحمید موسوی اصفهانی، تا: ۱۲۷۳ق؛ مجدول [ف: ۱۹۴]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۳۶. تهران: دانشگاه؛ شماره نسخه:۹۸۴۷ خط: نستعلیق، كا: عبدالله حسینی، تا: ۱۷ شوال</w:t>
      </w:r>
    </w:p>
    <w:p>
      <w:pPr>
        <w:pStyle w:val="BookText"/>
      </w:pPr>
      <w:r>
        <w:rPr>
          <w:rFonts w:ascii="IRNazanin" w:hAnsi="IRNazanin" w:eastAsia="IRNazanin" w:cs="IRNazanin"/>
          <w:lang w:bidi="fa-IR"/>
          <w:color w:val="111111"/>
          <w:sz w:val="28"/>
          <w:szCs w:val="28"/>
          <w:rtl/>
        </w:rPr>
        <w:t xml:space="preserve">۱۲۷۳ق؛ برای شجاع الدوله سام خان ایلخانی؛ محشی، مجدول؛ کاغذ: فرنگی، جلد: تیماج سرخ، ۱۸۷ گ، ۱۵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۱۷-۴۹۵]</w:t>
      </w:r>
    </w:p>
    <w:p>
      <w:pPr>
        <w:pStyle w:val="BookText"/>
      </w:pPr>
      <w:r>
        <w:rPr>
          <w:rFonts w:ascii="IRNazanin" w:hAnsi="IRNazanin" w:eastAsia="IRNazanin" w:cs="IRNazanin"/>
          <w:lang w:bidi="fa-IR"/>
          <w:color w:val="111111"/>
          <w:sz w:val="28"/>
          <w:szCs w:val="28"/>
          <w:rtl/>
        </w:rPr>
        <w:t xml:space="preserve">۳۷. تهران؛ مجلس؛ شماره نسخه:۴۹۹۵</w:t>
      </w:r>
    </w:p>
    <w:p>
      <w:pPr>
        <w:pStyle w:val="BookText"/>
      </w:pPr>
      <w:r>
        <w:rPr>
          <w:rFonts w:ascii="IRNazanin" w:hAnsi="IRNazanin" w:eastAsia="IRNazanin" w:cs="IRNazanin"/>
          <w:lang w:bidi="fa-IR"/>
          <w:color w:val="111111"/>
          <w:sz w:val="28"/>
          <w:szCs w:val="28"/>
          <w:rtl/>
        </w:rPr>
        <w:t xml:space="preserve">آغاز: برابر ۱؛ انجام: أن الهدايا على مقدار مهدیها بر خواند و این کتاب مستطاب که در حقیقت گنجی است نایاب و از مؤلفات فاضل ادیب ابوالشرف ... كتبه الفقير مير على الشيرازي جمادی الأولى سنه ۱۲۷۷</w:t>
      </w:r>
    </w:p>
    <w:p>
      <w:pPr>
        <w:pStyle w:val="BookText"/>
      </w:pPr>
      <w:r>
        <w:rPr>
          <w:rFonts w:ascii="IRNazanin" w:hAnsi="IRNazanin" w:eastAsia="IRNazanin" w:cs="IRNazanin"/>
          <w:lang w:bidi="fa-IR"/>
          <w:color w:val="111111"/>
          <w:sz w:val="28"/>
          <w:szCs w:val="28"/>
          <w:rtl/>
        </w:rPr>
        <w:t xml:space="preserve">خط: نستعلیق، کا: میر علی شیرازی، تا: جمادی الاول ۱۲۷۷ق؛ دارای یک سرلوح بسیار زیبا، مجدول، با کمند زرین؛ کاغذ: فرنگی، جلد: تیماج لاجوردی، ۱۸۳، ۱۴ سطر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[ف: ۲۸۶-۱۴ ]</w:t>
      </w:r>
    </w:p>
    <w:p>
      <w:pPr>
        <w:pStyle w:val="BookText"/>
      </w:pPr>
      <w:r>
        <w:rPr>
          <w:rFonts w:ascii="IRNazanin" w:hAnsi="IRNazanin" w:eastAsia="IRNazanin" w:cs="IRNazanin"/>
          <w:lang w:bidi="fa-IR"/>
          <w:color w:val="111111"/>
          <w:sz w:val="28"/>
          <w:szCs w:val="28"/>
          <w:rtl/>
        </w:rPr>
        <w:t xml:space="preserve">۳۸. تهران؛ مجلس؛ شماره نسخه:۲۴۸-فیروز</w:t>
      </w:r>
    </w:p>
    <w:p>
      <w:pPr>
        <w:pStyle w:val="BookText"/>
      </w:pPr>
      <w:r>
        <w:rPr>
          <w:rFonts w:ascii="IRNazanin" w:hAnsi="IRNazanin" w:eastAsia="IRNazanin" w:cs="IRNazanin"/>
          <w:lang w:bidi="fa-IR"/>
          <w:color w:val="111111"/>
          <w:sz w:val="28"/>
          <w:szCs w:val="28"/>
          <w:rtl/>
        </w:rPr>
        <w:t xml:space="preserve">خط: نستعلیق، بی کا، تا: ۱۲۷۹ق؛ دارای کتیبه مرصع و مذهب، مجدول، باکمند زین و لاجورد؛ کاغذ: فرنگی، جلد: مقوایی سفید، ۴۵۰ص، ۱۵ سطر، اندازه: ۳۰۸۱۸سم [ف: ۲۱-۳۷)</w:t>
      </w:r>
    </w:p>
    <w:p>
      <w:pPr>
        <w:pStyle w:val="BookText"/>
      </w:pPr>
      <w:r>
        <w:rPr>
          <w:rFonts w:ascii="IRNazanin" w:hAnsi="IRNazanin" w:eastAsia="IRNazanin" w:cs="IRNazanin"/>
          <w:lang w:bidi="fa-IR"/>
          <w:color w:val="111111"/>
          <w:sz w:val="28"/>
          <w:szCs w:val="28"/>
          <w:rtl/>
        </w:rPr>
        <w:t xml:space="preserve">۳۹. تهران: مجلس؛ شماره نسخه: ۲۲۹۲</w:t>
      </w:r>
    </w:p>
    <w:p>
      <w:pPr>
        <w:pStyle w:val="BookText"/>
      </w:pPr>
      <w:r>
        <w:rPr>
          <w:rFonts w:ascii="IRNazanin" w:hAnsi="IRNazanin" w:eastAsia="IRNazanin" w:cs="IRNazanin"/>
          <w:lang w:bidi="fa-IR"/>
          <w:color w:val="111111"/>
          <w:sz w:val="28"/>
          <w:szCs w:val="28"/>
          <w:rtl/>
        </w:rPr>
        <w:t xml:space="preserve">آغاز: برابر ۱؛ انجام و در موقف عدل سبب ثقل موازین گردد.</w:t>
      </w:r>
    </w:p>
    <w:p>
      <w:pPr>
        <w:pStyle w:val="BookText"/>
      </w:pPr>
      <w:r>
        <w:rPr>
          <w:rFonts w:ascii="IRNazanin" w:hAnsi="IRNazanin" w:eastAsia="IRNazanin" w:cs="IRNazanin"/>
          <w:lang w:bidi="fa-IR"/>
          <w:color w:val="111111"/>
          <w:sz w:val="28"/>
          <w:szCs w:val="28"/>
          <w:rtl/>
        </w:rPr>
        <w:t xml:space="preserve">خط: نسخ متوسط، کا: حسن بن عبدالمجید حسینی واعظ اصفهانی، تا: جمعه سلخ رجب ۱۲۸۱ق؛ کاغذ: فرنگی راه کبریتی نیلی آهار مهره، جلد: تیماج عنابی، ۳۴۳ص، ۱۹ سطر، اندازه: ۱۸/۵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۲۹/۵سم [ف: ۶-۲۴۶]</w:t>
      </w:r>
    </w:p>
    <w:p>
      <w:pPr>
        <w:pStyle w:val="BookText"/>
      </w:pPr>
      <w:r>
        <w:rPr>
          <w:rFonts w:ascii="IRNazanin" w:hAnsi="IRNazanin" w:eastAsia="IRNazanin" w:cs="IRNazanin"/>
          <w:lang w:bidi="fa-IR"/>
          <w:color w:val="111111"/>
          <w:sz w:val="28"/>
          <w:szCs w:val="28"/>
          <w:rtl/>
        </w:rPr>
        <w:t xml:space="preserve">۴۰. تهران؛ ملک؛ شماره نسخه:۳۹۳۷</w:t>
      </w:r>
    </w:p>
    <w:p>
      <w:pPr>
        <w:pStyle w:val="BookText"/>
      </w:pPr>
      <w:r>
        <w:rPr>
          <w:rFonts w:ascii="IRNazanin" w:hAnsi="IRNazanin" w:eastAsia="IRNazanin" w:cs="IRNazanin"/>
          <w:lang w:bidi="fa-IR"/>
          <w:color w:val="111111"/>
          <w:sz w:val="28"/>
          <w:szCs w:val="28"/>
          <w:rtl/>
        </w:rPr>
        <w:t xml:space="preserve">خط: نستعلیق خوش، كا: علی نقی بن يوسف استاد المذهبين، تا: ربیع الاول ۱۲۹۸ ق، برای فرهاد میرزا؛ از روی نسخه ۳ محرم ۶۱۸، دارای سرلوح مذهب و مجدول به طلاب کاغذ: کاغذ آهار مهره حنایی فرنگی، جلد: ساغری سیاه، ۱۴۴ گ، ۱۷ سطر، اندازه: ۳۰/۸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۱۹/۳ سم [ف: ۲-۹۶]</w:t>
      </w:r>
    </w:p>
    <w:p>
      <w:pPr>
        <w:pStyle w:val="BookText"/>
      </w:pPr>
      <w:r>
        <w:rPr>
          <w:rFonts w:ascii="IRNazanin" w:hAnsi="IRNazanin" w:eastAsia="IRNazanin" w:cs="IRNazanin"/>
          <w:lang w:bidi="fa-IR"/>
          <w:color w:val="111111"/>
          <w:sz w:val="28"/>
          <w:szCs w:val="28"/>
          <w:rtl/>
        </w:rPr>
        <w:t xml:space="preserve">۴۱. تهران؛ مجلس؛ شماره نسخه: ۲/ ۸۱۲۰</w:t>
      </w:r>
    </w:p>
    <w:p>
      <w:pPr>
        <w:pStyle w:val="BookText"/>
      </w:pPr>
      <w:r>
        <w:rPr>
          <w:rFonts w:ascii="IRNazanin" w:hAnsi="IRNazanin" w:eastAsia="IRNazanin" w:cs="IRNazanin"/>
          <w:lang w:bidi="fa-IR"/>
          <w:color w:val="111111"/>
          <w:sz w:val="28"/>
          <w:szCs w:val="28"/>
          <w:rtl/>
        </w:rPr>
        <w:t xml:space="preserve">آغاز: برابر؛ انجام: يضم الى خفيف اوزانه ثقيلا اوالى على شأنه عقيلا لزمته مساء صباح و خدمته كما يخدم الأجسام الأرواح ولی في ذلك الشرف الأعلى و السعادة العظمى و للرأي مزيد العلو و الرفعة. [رقم:] تمت ترجمة ابي الشرف المنشي الجربادقاني على تاریخ ابي النضر عبدالجبار العتبى في شهر رجب ... .[؟] من شهور سنه ۱۳۰۴. بخش خاتمه يميني اثر جریادقانی (برگ ۳۲۲ تا ۳۳۲پ) نیز آمده؛ خط: شکسته نستعلیق، بی کا، تا: ۱۳۰۴ق؛ جلد: مقوایی با روکش تیماج سرخ، ۳۳۱گ (۲ر-۳۳۲پ)، ۲۷ سطر، اندازه: ۱۹/۳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۳۰سم [ف: ۲۷/۱-۲۲۳]</w:t>
      </w:r>
    </w:p>
    <w:p>
      <w:pPr>
        <w:pStyle w:val="BookText"/>
      </w:pPr>
      <w:r>
        <w:rPr>
          <w:rFonts w:ascii="IRNazanin" w:hAnsi="IRNazanin" w:eastAsia="IRNazanin" w:cs="IRNazanin"/>
          <w:lang w:bidi="fa-IR"/>
          <w:color w:val="111111"/>
          <w:sz w:val="28"/>
          <w:szCs w:val="28"/>
          <w:rtl/>
        </w:rPr>
        <w:t xml:space="preserve">۴۲. تهران: مدارک فرهنگی؛ شماره نسخه:۱۸۶</w:t>
      </w:r>
    </w:p>
    <w:p>
      <w:pPr>
        <w:pStyle w:val="BookText"/>
      </w:pPr>
      <w:r>
        <w:rPr>
          <w:rFonts w:ascii="IRNazanin" w:hAnsi="IRNazanin" w:eastAsia="IRNazanin" w:cs="IRNazanin"/>
          <w:lang w:bidi="fa-IR"/>
          <w:color w:val="111111"/>
          <w:sz w:val="28"/>
          <w:szCs w:val="28"/>
          <w:rtl/>
        </w:rPr>
        <w:t xml:space="preserve">آغاز: پس از طراوات چمنستان سخن طرازی بآبیاری حمد و ثنای خلقی که انجام: آمدن سلطان مجدالدوله خلف فخرالدوله آل بویه در بعضی از تواریخ روضة الصفا و تاريخ الحکماء شمس الدين ...</w:t>
      </w:r>
    </w:p>
    <w:p>
      <w:pPr>
        <w:pStyle w:val="BookText"/>
      </w:pPr>
      <w:r>
        <w:rPr>
          <w:rFonts w:ascii="IRNazanin" w:hAnsi="IRNazanin" w:eastAsia="IRNazanin" w:cs="IRNazanin"/>
          <w:lang w:bidi="fa-IR"/>
          <w:color w:val="111111"/>
          <w:sz w:val="28"/>
          <w:szCs w:val="28"/>
          <w:rtl/>
        </w:rPr>
        <w:t xml:space="preserve">خط: نستعلیق شکسته، كا: محمد عبد الجبار خان صاحب آصفی نظامی، تا: دوشنبه ۲۲ شعبان ۱۳۱۵ق؛ یادداشتی از کاتب مبنی بر نام کتاب و نام مترجم که امضای کاتب و تاریخ آن همزمان با تاریخ کتابت نسخه می باشد؛ مهر: كاتب محمد عبدالجبار خان آصفی نظامی» (بیضوی)؛ کاغذ: فرنگی مایل به حنایی (هندی)، جلد: مقوایی روکش</w:t>
      </w:r>
    </w:p>
    <w:p>
      <w:pPr>
        <w:pStyle w:val="BookText"/>
      </w:pPr>
      <w:r>
        <w:rPr>
          <w:rFonts w:ascii="IRNazanin" w:hAnsi="IRNazanin" w:eastAsia="IRNazanin" w:cs="IRNazanin"/>
          <w:lang w:bidi="fa-IR"/>
          <w:color w:val="111111"/>
          <w:sz w:val="28"/>
          <w:szCs w:val="28"/>
          <w:rtl/>
        </w:rPr>
        <w:t xml:space="preserve">کاغذ آبی منقوش، ۲۳۳گ، ۲۱ سطر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۲۶/۵)، اندازه: 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۱۶۸]</w:t>
      </w:r>
    </w:p>
    <w:p>
      <w:pPr>
        <w:pStyle w:val="BookText"/>
      </w:pPr>
      <w:r>
        <w:rPr>
          <w:rFonts w:ascii="IRNazanin" w:hAnsi="IRNazanin" w:eastAsia="IRNazanin" w:cs="IRNazanin"/>
          <w:lang w:bidi="fa-IR"/>
          <w:color w:val="111111"/>
          <w:sz w:val="28"/>
          <w:szCs w:val="28"/>
          <w:rtl/>
        </w:rPr>
        <w:t xml:space="preserve">۴۳. قم؛ فیضیه؛ شماره نسخه: ۱۶۱۲</w:t>
      </w:r>
    </w:p>
    <w:p>
      <w:pPr>
        <w:pStyle w:val="BookText"/>
      </w:pPr>
      <w:r>
        <w:rPr>
          <w:rFonts w:ascii="IRNazanin" w:hAnsi="IRNazanin" w:eastAsia="IRNazanin" w:cs="IRNazanin"/>
          <w:lang w:bidi="fa-IR"/>
          <w:color w:val="111111"/>
          <w:sz w:val="28"/>
          <w:szCs w:val="28"/>
          <w:rtl/>
        </w:rPr>
        <w:t xml:space="preserve">خط: نستعلیق، بی کا، بی تا، در پایان آمده است: «چون این ترجمه بآخر رسید طرفي از احوال روزگار و انواع فتنه و تشویش که در ایام فتور و عجائب اتفاقات و سرهای بزرگان که بر سر کار شد و خرابی خطه عراق و حال جربادقان بر وجه ایجاز و اختصار آورده شود ان شاء الله تعالى ... این قسمت هفت برگ است»؛ ۱۸۳گ، ۱۴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۲-۱۸]</w:t>
      </w:r>
    </w:p>
    <w:p>
      <w:pPr>
        <w:pStyle w:val="BookText"/>
      </w:pPr>
      <w:r>
        <w:rPr>
          <w:rFonts w:ascii="IRNazanin" w:hAnsi="IRNazanin" w:eastAsia="IRNazanin" w:cs="IRNazanin"/>
          <w:lang w:bidi="fa-IR"/>
          <w:color w:val="111111"/>
          <w:sz w:val="28"/>
          <w:szCs w:val="28"/>
          <w:rtl/>
        </w:rPr>
        <w:t xml:space="preserve">۴۴. قم؛ مرعشی؛ شماره نسخه:۷۴۷۷</w:t>
      </w:r>
    </w:p>
    <w:p>
      <w:pPr>
        <w:pStyle w:val="BookText"/>
      </w:pPr>
      <w:r>
        <w:rPr>
          <w:rFonts w:ascii="IRNazanin" w:hAnsi="IRNazanin" w:eastAsia="IRNazanin" w:cs="IRNazanin"/>
          <w:lang w:bidi="fa-IR"/>
          <w:color w:val="111111"/>
          <w:sz w:val="28"/>
          <w:szCs w:val="28"/>
          <w:rtl/>
        </w:rPr>
        <w:t xml:space="preserve">آغاز: برابر ۱؛ انجام: از فضل و معالی و معانی و مکارم خویش عاطل گذاشت و عتبی رساله ای در مرثيه او انشاد کرده است و در اصل کتاب مسطور است. خط: نسخ زیبا، بی کا، بی تا؛ مجدول، دارای سرلوح رنگین؛ جلد: تیماج قهوه ای، ۱۲۸ گ، ۱۸ سطر،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۱۹-۲۷۸]</w:t>
      </w:r>
    </w:p>
    <w:p>
      <w:pPr>
        <w:pStyle w:val="BookText"/>
      </w:pPr>
      <w:r>
        <w:rPr>
          <w:rFonts w:ascii="IRNazanin" w:hAnsi="IRNazanin" w:eastAsia="IRNazanin" w:cs="IRNazanin"/>
          <w:lang w:bidi="fa-IR"/>
          <w:color w:val="111111"/>
          <w:sz w:val="28"/>
          <w:szCs w:val="28"/>
          <w:rtl/>
        </w:rPr>
        <w:t xml:space="preserve">۴۵. تهران؛ ملی؛ شماره نسخه:۱۱۸-عکسی</w:t>
      </w:r>
    </w:p>
    <w:p>
      <w:pPr>
        <w:pStyle w:val="BookText"/>
      </w:pPr>
      <w:r>
        <w:rPr>
          <w:rFonts w:ascii="IRNazanin" w:hAnsi="IRNazanin" w:eastAsia="IRNazanin" w:cs="IRNazanin"/>
          <w:lang w:bidi="fa-IR"/>
          <w:color w:val="111111"/>
          <w:sz w:val="28"/>
          <w:szCs w:val="28"/>
          <w:rtl/>
        </w:rPr>
        <w:t xml:space="preserve">نسخه اصل:از موزه بریتانیا ش .۸۱۹۴</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؛بی کا، بی تا (نشریه: ۲-۲۷۲]</w:t>
      </w:r>
    </w:p>
    <w:p>
      <w:pPr>
        <w:pStyle w:val="BookText"/>
      </w:pPr>
      <w:r>
        <w:rPr>
          <w:rFonts w:ascii="IRNazanin" w:hAnsi="IRNazanin" w:eastAsia="IRNazanin" w:cs="IRNazanin"/>
          <w:lang w:bidi="fa-IR"/>
          <w:color w:val="111111"/>
          <w:sz w:val="28"/>
          <w:szCs w:val="28"/>
          <w:rtl/>
        </w:rPr>
        <w:t xml:space="preserve">۴۶. تهران؛ سلطنتی؛ شماره نسخه:۷۵۴</w:t>
      </w:r>
    </w:p>
    <w:p>
      <w:pPr>
        <w:pStyle w:val="BookText"/>
      </w:pPr>
      <w:r>
        <w:rPr>
          <w:rFonts w:ascii="IRNazanin" w:hAnsi="IRNazanin" w:eastAsia="IRNazanin" w:cs="IRNazanin"/>
          <w:lang w:bidi="fa-IR"/>
          <w:color w:val="111111"/>
          <w:sz w:val="28"/>
          <w:szCs w:val="28"/>
          <w:rtl/>
        </w:rPr>
        <w:t xml:space="preserve">آغاز: برابر ۱؛ انجام: ذکر امیر صاحب الجيش</w:t>
      </w:r>
    </w:p>
    <w:p>
      <w:pPr>
        <w:pStyle w:val="BookText"/>
      </w:pPr>
      <w:r>
        <w:rPr>
          <w:rFonts w:ascii="IRNazanin" w:hAnsi="IRNazanin" w:eastAsia="IRNazanin" w:cs="IRNazanin"/>
          <w:lang w:bidi="fa-IR"/>
          <w:color w:val="111111"/>
          <w:sz w:val="28"/>
          <w:szCs w:val="28"/>
          <w:rtl/>
        </w:rPr>
        <w:t xml:space="preserve">ابوالمظفر نصر بن ناصر الدين ... بر هیچ خلق جور و جفا ناکرده و تقدیر باری تعالی او را امان نداد و او بجوانی فرو رفت و جهان از فضل و معالی و مکارم خویش عاطل گذاشت ... تم بحمد الله و منة و الصلوة و السلام على محمد و آله صلوات الله و سلامه عليه. خط: شکسته نستعلیق، بی کا، بی تا، مجدول، کمند کشی زرین، یک سرلوح مذهب مرصع خوب؛ مهر: ناصرالدین شاه قاجار؛ کاغذ: ترمه دولا آهار مهره، جلد: مقوای روکش میشن گلی رنگ، ۳۳۳ص، ۱۵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اف: ۵-۲۸۷]</w:t>
      </w:r>
    </w:p>
    <w:p>
      <w:pPr>
        <w:pStyle w:val="BookText"/>
      </w:pPr>
      <w:r>
        <w:rPr>
          <w:rFonts w:ascii="IRNazanin" w:hAnsi="IRNazanin" w:eastAsia="IRNazanin" w:cs="IRNazanin"/>
          <w:lang w:bidi="fa-IR"/>
          <w:color w:val="111111"/>
          <w:sz w:val="28"/>
          <w:szCs w:val="28"/>
          <w:rtl/>
        </w:rPr>
        <w:t xml:space="preserve">۴۷. مشهد؛ رضوی؛ شماره نسخه: ۱۲۰۶۲</w:t>
      </w:r>
    </w:p>
    <w:p>
      <w:pPr>
        <w:pStyle w:val="BookText"/>
      </w:pPr>
      <w:r>
        <w:rPr>
          <w:rFonts w:ascii="IRNazanin" w:hAnsi="IRNazanin" w:eastAsia="IRNazanin" w:cs="IRNazanin"/>
          <w:lang w:bidi="fa-IR"/>
          <w:color w:val="111111"/>
          <w:sz w:val="28"/>
          <w:szCs w:val="28"/>
          <w:rtl/>
        </w:rPr>
        <w:t xml:space="preserve">آغاز: برابر ۱؛ انجام: در مرثیه آن انشاء کرده است در اصل کتاب مسطور است تم الكتاب خط: نستعلیق، بی کا، بی تا، کاغذ: نباتی، جلد: تیماج، ۱۵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[رایانه]</w:t>
      </w:r>
    </w:p>
    <w:p>
      <w:pPr>
        <w:pStyle w:val="BookText"/>
      </w:pPr>
      <w:r>
        <w:rPr>
          <w:rFonts w:ascii="IRNazanin" w:hAnsi="IRNazanin" w:eastAsia="IRNazanin" w:cs="IRNazanin"/>
          <w:lang w:bidi="fa-IR"/>
          <w:color w:val="111111"/>
          <w:sz w:val="28"/>
          <w:szCs w:val="28"/>
          <w:rtl/>
        </w:rPr>
        <w:t xml:space="preserve">۴۸. مشهد، شیخ علی حیدر، شماره نسخه:۱۱۷۶</w:t>
      </w:r>
    </w:p>
    <w:p>
      <w:pPr>
        <w:pStyle w:val="BookText"/>
      </w:pPr>
      <w:r>
        <w:rPr>
          <w:rFonts w:ascii="IRNazanin" w:hAnsi="IRNazanin" w:eastAsia="IRNazanin" w:cs="IRNazanin"/>
          <w:lang w:bidi="fa-IR"/>
          <w:color w:val="111111"/>
          <w:sz w:val="28"/>
          <w:szCs w:val="28"/>
          <w:rtl/>
        </w:rPr>
        <w:t xml:space="preserve">آغاز: برابر ۱؛ انجام: يستخبر الركبان طول نهاره -عنکم و يخبر عنكم السولا-حق اذا مد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bookmarkStart w:id="619" w:name="pg20363_209951"/>
    <w:bookmarkEnd w:id="619"/>
    <w:p>
      <w:pPr>
        <w:pStyle w:val="BookText"/>
      </w:pPr>
      <w:r>
        <w:rPr>
          <w:rFonts w:ascii="IRNazanin" w:hAnsi="IRNazanin" w:eastAsia="IRNazanin" w:cs="IRNazanin"/>
          <w:lang w:bidi="fa-IR"/>
          <w:color w:val="111111"/>
          <w:sz w:val="28"/>
          <w:szCs w:val="28"/>
          <w:rtl/>
        </w:rPr>
        <w:t xml:space="preserve">خط: نستعلیق، بی کا، بی تا؛ افتادگی: انجام؛ محشی؛ جلد: تیماج زرد، ۱۸۶، ۱۷ سطر، اندازه:</w:t>
      </w:r>
    </w:p>
    <w:p>
      <w:pPr>
        <w:pStyle w:val="BookText"/>
      </w:pPr>
      <w:r>
        <w:rPr>
          <w:rFonts w:ascii="IRNazanin" w:hAnsi="IRNazanin" w:eastAsia="IRNazanin" w:cs="IRNazanin"/>
          <w:lang w:bidi="fa-IR"/>
          <w:color w:val="111111"/>
          <w:sz w:val="28"/>
          <w:szCs w:val="28"/>
          <w:rtl/>
        </w:rPr>
        <w:t xml:space="preserve">۱۳/۵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 سم [ مؤید: ۳-۱۵۳]</w:t>
      </w:r>
    </w:p>
    <w:p>
      <w:pPr>
        <w:pStyle w:val="BookText"/>
      </w:pPr>
      <w:r>
        <w:rPr>
          <w:rFonts w:ascii="IRNazanin" w:hAnsi="IRNazanin" w:eastAsia="IRNazanin" w:cs="IRNazanin"/>
          <w:lang w:bidi="fa-IR"/>
          <w:color w:val="111111"/>
          <w:sz w:val="28"/>
          <w:szCs w:val="28"/>
          <w:rtl/>
        </w:rPr>
        <w:t xml:space="preserve">۴۹. همدان؛ اعتماد الدوله؛ شماره نسخه: ۹۲</w:t>
      </w:r>
    </w:p>
    <w:p>
      <w:pPr>
        <w:pStyle w:val="BookText"/>
      </w:pPr>
      <w:r>
        <w:rPr>
          <w:rFonts w:ascii="IRNazanin" w:hAnsi="IRNazanin" w:eastAsia="IRNazanin" w:cs="IRNazanin"/>
          <w:lang w:bidi="fa-IR"/>
          <w:color w:val="111111"/>
          <w:sz w:val="28"/>
          <w:szCs w:val="28"/>
          <w:rtl/>
        </w:rPr>
        <w:t xml:space="preserve">بی کا، بی تا [نشریه: ۵-۳۴۲]</w:t>
      </w:r>
    </w:p>
    <w:p>
      <w:pPr>
        <w:pStyle w:val="BookText"/>
      </w:pPr>
      <w:r>
        <w:rPr>
          <w:rFonts w:ascii="IRNazanin" w:hAnsi="IRNazanin" w:eastAsia="IRNazanin" w:cs="IRNazanin"/>
          <w:lang w:bidi="fa-IR"/>
          <w:color w:val="111111"/>
          <w:sz w:val="28"/>
          <w:szCs w:val="28"/>
          <w:rtl/>
        </w:rPr>
        <w:t xml:space="preserve">۵۰. مشهد؛ رضوی؛ شماره نسخه: ۳۱۲۰۶۲</w:t>
      </w:r>
    </w:p>
    <w:p>
      <w:pPr>
        <w:pStyle w:val="BookText"/>
      </w:pPr>
      <w:r>
        <w:rPr>
          <w:rFonts w:ascii="IRNazanin" w:hAnsi="IRNazanin" w:eastAsia="IRNazanin" w:cs="IRNazanin"/>
          <w:lang w:bidi="fa-IR"/>
          <w:color w:val="111111"/>
          <w:sz w:val="28"/>
          <w:szCs w:val="28"/>
          <w:rtl/>
        </w:rPr>
        <w:t xml:space="preserve">خط: نستعلیق، بی کا، بی تا [الفبائی:-۱۰۰]</w:t>
      </w:r>
    </w:p>
    <w:p>
      <w:pPr>
        <w:pStyle w:val="Heading3"/>
      </w:pPr>
      <w:bookmarkStart w:id="2792" w:name="_Toc2052"/>
      <w:r>
        <w:t>•تاریخ یمینی (ترجمه) = ترجمه تاریخ عتبی / تاریخ ایران / فارسی</w:t>
      </w:r>
      <w:bookmarkEnd w:id="2792"/>
    </w:p>
    <w:p>
      <w:pPr>
        <w:pStyle w:val="BookText"/>
      </w:pPr>
      <w:r>
        <w:rPr>
          <w:rFonts w:ascii="Times New Roman" w:hAnsi="Times New Roman" w:eastAsia="Times New Roman" w:cs="Times New Roman"/>
          <w:lang w:val="en-US" w:bidi="en-US"/>
          <w:color w:val="111111"/>
          <w:sz w:val="28"/>
          <w:szCs w:val="28"/>
          <w:rtl/>
        </w:rPr>
        <w:t xml:space="preserve">tārīx-e yamīnī (t.) = t.-ye tārīx-e ‘otbī</w:t>
      </w:r>
    </w:p>
    <w:p>
      <w:pPr>
        <w:pStyle w:val="BookText"/>
      </w:pPr>
      <w:r>
        <w:rPr>
          <w:rFonts w:ascii="IRNazanin" w:hAnsi="IRNazanin" w:eastAsia="IRNazanin" w:cs="IRNazanin"/>
          <w:lang w:bidi="fa-IR"/>
          <w:color w:val="111111"/>
          <w:sz w:val="28"/>
          <w:szCs w:val="28"/>
          <w:rtl/>
        </w:rPr>
        <w:t xml:space="preserve">اهری، عبدالکریم بن محمد صادق، ق۱۳ قمری</w:t>
      </w:r>
    </w:p>
    <w:p>
      <w:pPr>
        <w:pStyle w:val="BookText"/>
      </w:pPr>
      <w:r>
        <w:rPr>
          <w:rFonts w:ascii="Times New Roman" w:hAnsi="Times New Roman" w:eastAsia="Times New Roman" w:cs="Times New Roman"/>
          <w:lang w:val="en-US" w:bidi="en-US"/>
          <w:color w:val="111111"/>
          <w:sz w:val="28"/>
          <w:szCs w:val="28"/>
          <w:rtl/>
        </w:rPr>
        <w:t xml:space="preserve">aharī, ‘abd-ol-karīm ebn-e mohammad sādeq (-190)</w:t>
      </w:r>
    </w:p>
    <w:p>
      <w:pPr>
        <w:pStyle w:val="BookText"/>
      </w:pPr>
      <w:r>
        <w:rPr>
          <w:rFonts w:ascii="IRNazanin" w:hAnsi="IRNazanin" w:eastAsia="IRNazanin" w:cs="IRNazanin"/>
          <w:lang w:bidi="fa-IR"/>
          <w:color w:val="111111"/>
          <w:sz w:val="28"/>
          <w:szCs w:val="28"/>
          <w:rtl/>
        </w:rPr>
        <w:t xml:space="preserve">وابسته به: تاريخ اليميني = تاریخ عتبی = معجز الكتاب و محرز الاداب؛ عتبی، محمد بن عبد الجبار (۳۵۰-۴۲۷) به دستور: بهرام میرزا فرزند عباس میرزا نایب السلطنه در آذربایجان تاریخ تأليف: ۱۲۶۲ق در دیباچه نام کتاب و مترجم و مهدي اليه و آغاز کار در ۱۲۶۱ آمده است. مترجم می نویسد که پس از آنکه از تبیین و توضیح تاریخ بیهق بپرداخت این ترجمه را آغاز کرده است. آغاز: بسمله. الحمدلله على آلائه و الصلاة على نبيه و آله، بر آیینه ذهنهای صافی و مستقیم، صورت این مدعا ظاهر و متجلی است، که سلطنت و دین گوهران یک درجند انجام: در مرثيه او انشا نموده است، که در اصل کتاب مسطور است</w:t>
      </w:r>
    </w:p>
    <w:p>
      <w:pPr>
        <w:pStyle w:val="BookText"/>
      </w:pPr>
      <w:r>
        <w:rPr>
          <w:rFonts w:ascii="IRNazanin" w:hAnsi="IRNazanin" w:eastAsia="IRNazanin" w:cs="IRNazanin"/>
          <w:lang w:bidi="fa-IR"/>
          <w:color w:val="111111"/>
          <w:sz w:val="28"/>
          <w:szCs w:val="28"/>
          <w:rtl/>
        </w:rPr>
        <w:t xml:space="preserve">[دنا ۷۵۵/۲ ؛ الذريعة ۲۵۶:۳ و ۸۷:۴ ؛ فهرستواره منزوی ۹۲۹/۲ ]</w:t>
      </w:r>
    </w:p>
    <w:p>
      <w:pPr>
        <w:pStyle w:val="BookText"/>
      </w:pPr>
      <w:r>
        <w:rPr>
          <w:rFonts w:ascii="IRNazanin" w:hAnsi="IRNazanin" w:eastAsia="IRNazanin" w:cs="IRNazanin"/>
          <w:lang w:bidi="fa-IR"/>
          <w:color w:val="111111"/>
          <w:sz w:val="28"/>
          <w:szCs w:val="28"/>
          <w:rtl/>
        </w:rPr>
        <w:t xml:space="preserve">۱. تهران؛ مجلس؛ شماره نسخه:۴۲۰۰</w:t>
      </w:r>
    </w:p>
    <w:p>
      <w:pPr>
        <w:pStyle w:val="BookText"/>
      </w:pPr>
      <w:r>
        <w:rPr>
          <w:rFonts w:ascii="IRNazanin" w:hAnsi="IRNazanin" w:eastAsia="IRNazanin" w:cs="IRNazanin"/>
          <w:lang w:bidi="fa-IR"/>
          <w:color w:val="111111"/>
          <w:sz w:val="28"/>
          <w:szCs w:val="28"/>
          <w:rtl/>
        </w:rPr>
        <w:t xml:space="preserve">آغاز و انجام: برابر؛ در دهم صفر ۱۲۶۲ از شغل کتابت ترجمه تاریخ یمینی ... ابراهيم الاهری ... بتاريخ (۱۲۶۲) که صفحه ممالک آذربایجان بانوار ... بهمن میرزا فرزند ... آراسته بود. سرکار ... بنده دعا گو عبدالكريم اهری را مأمور فرمودند که تاریخ یمینی ترجمه نماید ... که بعين عنایت ملحوظ شود خط: نستعلیق، كا: ابراهیم اهری، تا: ۱۰ صفر ۱۲۶۲ق؛ بدستور بهرام میرزا؛ کاغذ: فرنگی، جلد: تیماج مشکی ضربی، ۱۸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۱۷/۵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۲۸/۵سم [ف: ۱۱-۲۱۴]</w:t>
      </w:r>
    </w:p>
    <w:p>
      <w:pPr>
        <w:pStyle w:val="BookText"/>
      </w:pPr>
      <w:r>
        <w:rPr>
          <w:rFonts w:ascii="IRNazanin" w:hAnsi="IRNazanin" w:eastAsia="IRNazanin" w:cs="IRNazanin"/>
          <w:lang w:bidi="fa-IR"/>
          <w:color w:val="111111"/>
          <w:sz w:val="28"/>
          <w:szCs w:val="28"/>
          <w:rtl/>
        </w:rPr>
        <w:t xml:space="preserve">۲. تهران؛ ملی؛ شماره نسخه: ۲۵۰۶۸</w:t>
      </w:r>
    </w:p>
    <w:p>
      <w:pPr>
        <w:pStyle w:val="BookText"/>
      </w:pPr>
      <w:r>
        <w:rPr>
          <w:rFonts w:ascii="IRNazanin" w:hAnsi="IRNazanin" w:eastAsia="IRNazanin" w:cs="IRNazanin"/>
          <w:lang w:bidi="fa-IR"/>
          <w:color w:val="111111"/>
          <w:sz w:val="28"/>
          <w:szCs w:val="28"/>
          <w:rtl/>
        </w:rPr>
        <w:t xml:space="preserve">بی کا، بی تا، خریداری از امرالله صفری [رایانه]</w:t>
      </w:r>
    </w:p>
    <w:p>
      <w:pPr>
        <w:pStyle w:val="Heading3"/>
      </w:pPr>
      <w:bookmarkStart w:id="2793" w:name="_Toc2053"/>
      <w:r>
        <w:t>•تاریخ یمینی (ترجمه) = ترجمه تاریخ عتبی / تاریخ ایران / فارسی</w:t>
      </w:r>
      <w:bookmarkEnd w:id="2793"/>
    </w:p>
    <w:p>
      <w:pPr>
        <w:pStyle w:val="BookText"/>
      </w:pPr>
      <w:r>
        <w:rPr>
          <w:rFonts w:ascii="Times New Roman" w:hAnsi="Times New Roman" w:eastAsia="Times New Roman" w:cs="Times New Roman"/>
          <w:lang w:val="en-US" w:bidi="en-US"/>
          <w:color w:val="111111"/>
          <w:sz w:val="28"/>
          <w:szCs w:val="28"/>
          <w:rtl/>
        </w:rPr>
        <w:t xml:space="preserve">tārīx-e yamīnī (t.) = t.-ye tārīx-e ‘otbī</w:t>
      </w:r>
    </w:p>
    <w:p>
      <w:pPr>
        <w:pStyle w:val="BookText"/>
      </w:pPr>
      <w:r>
        <w:rPr>
          <w:rFonts w:ascii="IRNazanin" w:hAnsi="IRNazanin" w:eastAsia="IRNazanin" w:cs="IRNazanin"/>
          <w:lang w:bidi="fa-IR"/>
          <w:color w:val="111111"/>
          <w:sz w:val="28"/>
          <w:szCs w:val="28"/>
          <w:rtl/>
        </w:rPr>
        <w:t xml:space="preserve">وابسته به: تاريخ اليميني = تاریخ عتبی = معجز الكتاب و محرز</w:t>
      </w:r>
    </w:p>
    <w:p>
      <w:pPr>
        <w:pStyle w:val="BookText"/>
      </w:pPr>
      <w:r>
        <w:rPr>
          <w:rFonts w:ascii="IRNazanin" w:hAnsi="IRNazanin" w:eastAsia="IRNazanin" w:cs="IRNazanin"/>
          <w:lang w:bidi="fa-IR"/>
          <w:color w:val="111111"/>
          <w:sz w:val="28"/>
          <w:szCs w:val="28"/>
          <w:rtl/>
        </w:rPr>
        <w:t xml:space="preserve">الاداب؛ عتبی، محمد بن عبد الجبار (۳۵۰-۴۲۷)</w:t>
      </w:r>
    </w:p>
    <w:p>
      <w:pPr>
        <w:pStyle w:val="BookText"/>
      </w:pPr>
      <w:r>
        <w:rPr>
          <w:rFonts w:ascii="IRNazanin" w:hAnsi="IRNazanin" w:eastAsia="IRNazanin" w:cs="IRNazanin"/>
          <w:lang w:bidi="fa-IR"/>
          <w:color w:val="111111"/>
          <w:sz w:val="28"/>
          <w:szCs w:val="28"/>
          <w:rtl/>
        </w:rPr>
        <w:t xml:space="preserve">تهران، دانشگاه شماره نسخه:۳۷۸۹-ف</w:t>
      </w:r>
    </w:p>
    <w:p>
      <w:pPr>
        <w:pStyle w:val="BookText"/>
      </w:pPr>
      <w:r>
        <w:rPr>
          <w:rFonts w:ascii="IRNazanin" w:hAnsi="IRNazanin" w:eastAsia="IRNazanin" w:cs="IRNazanin"/>
          <w:lang w:bidi="fa-IR"/>
          <w:color w:val="111111"/>
          <w:sz w:val="28"/>
          <w:szCs w:val="28"/>
          <w:rtl/>
        </w:rPr>
        <w:t xml:space="preserve">نسخه اصل: گویا از هند؛ بی کا، بی تا، با تملک ۱۱۶۹ [فیلمها ف: ۲۴۹-۲ ]</w:t>
      </w:r>
    </w:p>
    <w:p>
      <w:pPr>
        <w:pStyle w:val="BookText"/>
      </w:pPr>
      <w:r>
        <w:rPr>
          <w:rFonts w:ascii="IRNazanin" w:hAnsi="IRNazanin" w:eastAsia="IRNazanin" w:cs="IRNazanin"/>
          <w:lang w:bidi="fa-IR"/>
          <w:color w:val="111111"/>
          <w:sz w:val="28"/>
          <w:szCs w:val="28"/>
          <w:rtl/>
        </w:rPr>
        <w:t xml:space="preserve">← تاریخ ینگی دنیا (ترجمه) ← کشف امریکا</w:t>
      </w:r>
    </w:p>
    <w:p>
      <w:pPr>
        <w:pStyle w:val="Heading3"/>
      </w:pPr>
      <w:bookmarkStart w:id="2794" w:name="_Toc2054"/>
      <w:r>
        <w:t>•تاریخ یونان / تاریخ جهان / فارسی</w:t>
      </w:r>
      <w:bookmarkEnd w:id="2794"/>
    </w:p>
    <w:p>
      <w:pPr>
        <w:pStyle w:val="BookText"/>
      </w:pPr>
      <w:r>
        <w:rPr>
          <w:rFonts w:ascii="Times New Roman" w:hAnsi="Times New Roman" w:eastAsia="Times New Roman" w:cs="Times New Roman"/>
          <w:lang w:val="en-US" w:bidi="en-US"/>
          <w:color w:val="111111"/>
          <w:sz w:val="28"/>
          <w:szCs w:val="28"/>
          <w:rtl/>
        </w:rPr>
        <w:t xml:space="preserve">tārīx-e yūnān</w:t>
      </w:r>
    </w:p>
    <w:p>
      <w:pPr>
        <w:pStyle w:val="BookText"/>
      </w:pPr>
      <w:r>
        <w:rPr>
          <w:rFonts w:ascii="IRNazanin" w:hAnsi="IRNazanin" w:eastAsia="IRNazanin" w:cs="IRNazanin"/>
          <w:lang w:bidi="fa-IR"/>
          <w:color w:val="111111"/>
          <w:sz w:val="28"/>
          <w:szCs w:val="28"/>
          <w:rtl/>
        </w:rPr>
        <w:t xml:space="preserve">منصورالملک، رجبعلی، ق۱۴ قمری</w:t>
      </w:r>
    </w:p>
    <w:p>
      <w:pPr>
        <w:pStyle w:val="BookText"/>
      </w:pPr>
      <w:r>
        <w:rPr>
          <w:rFonts w:ascii="Times New Roman" w:hAnsi="Times New Roman" w:eastAsia="Times New Roman" w:cs="Times New Roman"/>
          <w:lang w:val="en-US" w:bidi="en-US"/>
          <w:color w:val="111111"/>
          <w:sz w:val="28"/>
          <w:szCs w:val="28"/>
          <w:rtl/>
        </w:rPr>
        <w:t xml:space="preserve">mansūr-ol-molk, rajab-alī (-20c) m</w:t>
      </w:r>
    </w:p>
    <w:p>
      <w:pPr>
        <w:pStyle w:val="BookText"/>
      </w:pPr>
      <w:r>
        <w:rPr>
          <w:rFonts w:ascii="IRNazanin" w:hAnsi="IRNazanin" w:eastAsia="IRNazanin" w:cs="IRNazanin"/>
          <w:lang w:bidi="fa-IR"/>
          <w:color w:val="111111"/>
          <w:sz w:val="28"/>
          <w:szCs w:val="28"/>
          <w:rtl/>
        </w:rPr>
        <w:t xml:space="preserve">شامل ۲۰ «فصل»: ۱. جغرافیای یونان؛ ۲. نژاد و مذهب یونانیان؛ ۳. اعصار پهلوی و دوره ماقبل تاریخی یونان؛ ۴. بقیه اعصار پهلوی و دوره ماقبل تاریخی یونان؛ ۵. وقایع بعد از جنگ تراوا، حفريات و اکتشافات راجع به تاریخ یونان؛ ۶. تاریخ اسپارت از مراجعت هراکيدها تا جنگهای ندیک؛ ۷. تاریخ آتن تا جنگهای مدیک؛ ۸ دول کوچک یونان، مستعمرات يونانی؛ 9. جنگ اول مدیک؛ ۱۰. دوره دوم جنگ های مدیک؛ ۱۱. عظمت و ترقی آتن؛ ۱۲. ترقی افکار و علوم و صنایع در آتن در قرن یا قرن پریکلس؛ ۱۳. جنگهای پلوپونر؛ ۱۴. نفوذ و قدرت اسپارت، حکومت جباران سی گانه در آتن؛ ۱۵. اقتدار طب؛ ۱۶. اوضاع یونان قبل از استیلای مقدونیه (قرن چهارم)؛ ۱۷. اقتدار و استیلای مقدونیه؛ ۱۸. اسکندر و فتوحات او از ۳۳۶ تا ۳۲۳، ۱۹. وقایع یونان بعد از اسکندر تا استیلای دولت روم؛ ۲۰. اطاعت یونان و متملکاتش به دولت روم از ۲۵۵ تا ۱۴۱. (حكيم)</w:t>
      </w:r>
    </w:p>
    <w:p>
      <w:pPr>
        <w:pStyle w:val="BookText"/>
      </w:pPr>
      <w:r>
        <w:rPr>
          <w:rFonts w:ascii="IRNazanin" w:hAnsi="IRNazanin" w:eastAsia="IRNazanin" w:cs="IRNazanin"/>
          <w:lang w:bidi="fa-IR"/>
          <w:color w:val="111111"/>
          <w:sz w:val="28"/>
          <w:szCs w:val="28"/>
          <w:rtl/>
        </w:rPr>
        <w:t xml:space="preserve">آغاز: فصل اول. جغرافیای یونان. يونان شبه جزیره ای است در جنوب شرقی اروپا که در بحر ابيض متوسط جلو آمده سکنه یونان در قریم خود را هلن ... انجام: و مشار اليه در ۱۹۰۳ در سالونیک به دست یک نفر سوسیالیست کشته شد و پسرش </w:t>
      </w:r>
      <w:r>
        <w:rPr>
          <w:rFonts w:ascii="Times New Roman" w:hAnsi="Times New Roman" w:eastAsia="Times New Roman" w:cs="Times New Roman"/>
          <w:lang w:val="en-US" w:bidi="en-US"/>
          <w:color w:val="111111"/>
          <w:sz w:val="28"/>
          <w:szCs w:val="28"/>
          <w:rtl/>
        </w:rPr>
        <w:t xml:space="preserve">Gilantin </w:t>
      </w:r>
      <w:r>
        <w:rPr>
          <w:rFonts w:ascii="IRNazanin" w:hAnsi="IRNazanin" w:eastAsia="IRNazanin" w:cs="IRNazanin"/>
          <w:lang w:bidi="fa-IR"/>
          <w:color w:val="111111"/>
          <w:sz w:val="28"/>
          <w:szCs w:val="28"/>
          <w:rtl/>
        </w:rPr>
        <w:t xml:space="preserve">به جای او نشست و امروزه دارای افسر پادشاهی هلن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نسخه:۹۰۲۵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عبدالحسین خان (شاگرد مدرسه علوم سیاسی)، تا: جمعه ۳ ذیقعده ۱۳۳۵ق؛ برگ آغازین نسخه یادداشتی از کاتب که کتاب را معرفی کرده است و فائده آن و تاریخ را توضیح داده است با مهر او «عبدالحسین» (بیضوی) و مهر کتابخانه باقر ترقی به شماره ۲۶؛ خریداری از باقر ترقی؛ کاغذ: صنعتی نخودی خط دار، ۱۰۵گ، ۱۹ سطر (۱۵/۵</w:t>
      </w:r>
    </w:p>
    <w:p>
      <w:pPr>
        <w:pStyle w:val="BookText"/>
      </w:pP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۱۸/۵)، اندازه: ۱۷/۶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۲۲/۵سم [ف: ۲۹/۲-۶۳۸]</w:t>
      </w:r>
    </w:p>
    <w:p>
      <w:pPr>
        <w:pStyle w:val="BookText"/>
      </w:pPr>
      <w:r>
        <w:rPr>
          <w:rFonts w:ascii="IRNazanin" w:hAnsi="IRNazanin" w:eastAsia="IRNazanin" w:cs="IRNazanin"/>
          <w:lang w:bidi="fa-IR"/>
          <w:color w:val="111111"/>
          <w:sz w:val="28"/>
          <w:szCs w:val="28"/>
          <w:rtl/>
        </w:rPr>
        <w:t xml:space="preserve">۲. مشهد؛ رضوی؛ شماره نسخه:۱۵۹۱۷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bookmarkStart w:id="620" w:name="pg20363_209952"/>
    <w:bookmarkEnd w:id="620"/>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نام مؤلف به استناد فهرست مجلس ۶۳۸/۲۹ و آغاز و انجام ذکر شد؛ خط: نستعلیق تحریری، کا: تبریزی، باقر خان، تا: ۱۳۴۲ق؛ کاغذ: مشقی، جلد: مقوا،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w:t>
      </w:r>
    </w:p>
    <w:p>
      <w:pPr>
        <w:pStyle w:val="BookText"/>
      </w:pPr>
      <w:r>
        <w:rPr>
          <w:rFonts w:ascii="IRNazanin" w:hAnsi="IRNazanin" w:eastAsia="IRNazanin" w:cs="IRNazanin"/>
          <w:lang w:bidi="fa-IR"/>
          <w:color w:val="111111"/>
          <w:sz w:val="28"/>
          <w:szCs w:val="28"/>
          <w:rtl/>
        </w:rPr>
        <w:t xml:space="preserve">[رایانه]</w:t>
      </w:r>
    </w:p>
    <w:p>
      <w:pPr>
        <w:pStyle w:val="BookText"/>
      </w:pPr>
      <w:r>
        <w:rPr>
          <w:rFonts w:ascii="IRNazanin" w:hAnsi="IRNazanin" w:eastAsia="IRNazanin" w:cs="IRNazanin"/>
          <w:lang w:bidi="fa-IR"/>
          <w:color w:val="111111"/>
          <w:sz w:val="28"/>
          <w:szCs w:val="28"/>
          <w:rtl/>
        </w:rPr>
        <w:t xml:space="preserve">٣. قم: مرکز احیاء؛ شماره نسخه:۳۵۴</w:t>
      </w:r>
    </w:p>
    <w:p>
      <w:pPr>
        <w:pStyle w:val="BookText"/>
      </w:pPr>
      <w:r>
        <w:rPr>
          <w:rFonts w:ascii="IRNazanin" w:hAnsi="IRNazanin" w:eastAsia="IRNazanin" w:cs="IRNazanin"/>
          <w:lang w:bidi="fa-IR"/>
          <w:color w:val="111111"/>
          <w:sz w:val="28"/>
          <w:szCs w:val="28"/>
          <w:rtl/>
        </w:rPr>
        <w:t xml:space="preserve">آغاز: برابر؛ انجام: نتوانستند كما في السابق در بلاد اقامت کرده کار و کسبی پیش گیرند بلکه سربازی را حرفه خود قرار داده خواستند ... در فهرست بدون نام مؤلف. تنها ۱۳ فصل کتاب را دارد؛ خط: نسخ، كا: فضل الله، بی تا؛ افتادگی: انجام؛ جلد: گالینگور قرمز، ۱۸۴ گ، ۱۶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سم [ف: ۱-۴۶۲]</w:t>
      </w:r>
    </w:p>
    <w:p>
      <w:pPr>
        <w:pStyle w:val="Heading3"/>
      </w:pPr>
      <w:bookmarkStart w:id="2795" w:name="_Toc2055"/>
      <w:r>
        <w:t>•تاریخ یونان (ترجمه) / تاریخ / فارسی</w:t>
      </w:r>
      <w:bookmarkEnd w:id="2795"/>
    </w:p>
    <w:p>
      <w:pPr>
        <w:pStyle w:val="BookText"/>
      </w:pPr>
      <w:r>
        <w:rPr>
          <w:rFonts w:ascii="Times New Roman" w:hAnsi="Times New Roman" w:eastAsia="Times New Roman" w:cs="Times New Roman"/>
          <w:lang w:val="en-US" w:bidi="en-US"/>
          <w:color w:val="111111"/>
          <w:sz w:val="28"/>
          <w:szCs w:val="28"/>
          <w:rtl/>
        </w:rPr>
        <w:t xml:space="preserve">tarix-e yunan (t.)</w:t>
      </w:r>
    </w:p>
    <w:p>
      <w:pPr>
        <w:pStyle w:val="BookText"/>
      </w:pPr>
      <w:r>
        <w:rPr>
          <w:rFonts w:ascii="IRNazanin" w:hAnsi="IRNazanin" w:eastAsia="IRNazanin" w:cs="IRNazanin"/>
          <w:lang w:bidi="fa-IR"/>
          <w:color w:val="111111"/>
          <w:sz w:val="28"/>
          <w:szCs w:val="28"/>
          <w:rtl/>
        </w:rPr>
        <w:t xml:space="preserve">مترجم: سید علی اصغر مستوفی اول، ماتن: مسيو آن دریو کس.</w:t>
      </w:r>
    </w:p>
    <w:p>
      <w:pPr>
        <w:pStyle w:val="BookText"/>
      </w:pPr>
      <w:r>
        <w:rPr>
          <w:rFonts w:ascii="IRNazanin" w:hAnsi="IRNazanin" w:eastAsia="IRNazanin" w:cs="IRNazanin"/>
          <w:lang w:bidi="fa-IR"/>
          <w:color w:val="111111"/>
          <w:sz w:val="28"/>
          <w:szCs w:val="28"/>
          <w:rtl/>
        </w:rPr>
        <w:t xml:space="preserve">مشهد؛ رضوی؛ شماره نسخه:۱۵۴۲۶</w:t>
      </w:r>
    </w:p>
    <w:p>
      <w:pPr>
        <w:pStyle w:val="BookText"/>
      </w:pPr>
      <w:r>
        <w:rPr>
          <w:rFonts w:ascii="IRNazanin" w:hAnsi="IRNazanin" w:eastAsia="IRNazanin" w:cs="IRNazanin"/>
          <w:lang w:bidi="fa-IR"/>
          <w:color w:val="111111"/>
          <w:sz w:val="28"/>
          <w:szCs w:val="28"/>
          <w:rtl/>
        </w:rPr>
        <w:t xml:space="preserve">آغاز: این مختصر تاریخ قدیم را که اصل آن بزبان فرانسه و از تصنيفات؛ انجام: برای آذوقه لشکر دیده نشد و این غفلت اسباب خرابی</w:t>
      </w:r>
    </w:p>
    <w:p>
      <w:pPr>
        <w:pStyle w:val="BookText"/>
      </w:pPr>
      <w:r>
        <w:rPr>
          <w:rFonts w:ascii="IRNazanin" w:hAnsi="IRNazanin" w:eastAsia="IRNazanin" w:cs="IRNazanin"/>
          <w:lang w:bidi="fa-IR"/>
          <w:color w:val="111111"/>
          <w:sz w:val="28"/>
          <w:szCs w:val="28"/>
          <w:rtl/>
        </w:rPr>
        <w:t xml:space="preserve">خط: شکسته نستعلیق، بی کا، تا: ۱۳۱۷ق، کاغذ: فرنگی، جلد: تیماج، ۱۲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[الفبائی: ۶۲۷]</w:t>
      </w:r>
    </w:p>
    <w:p>
      <w:pPr>
        <w:pStyle w:val="Heading3"/>
      </w:pPr>
      <w:bookmarkStart w:id="2796" w:name="_Toc2056"/>
      <w:r>
        <w:t>•تاز کی = چراغ زمین = رساله در نجوم / هيأت - فارسی</w:t>
      </w:r>
      <w:bookmarkEnd w:id="2796"/>
    </w:p>
    <w:p>
      <w:pPr>
        <w:pStyle w:val="BookText"/>
      </w:pPr>
      <w:r>
        <w:rPr>
          <w:rFonts w:ascii="Times New Roman" w:hAnsi="Times New Roman" w:eastAsia="Times New Roman" w:cs="Times New Roman"/>
          <w:lang w:val="en-US" w:bidi="en-US"/>
          <w:color w:val="111111"/>
          <w:sz w:val="28"/>
          <w:szCs w:val="28"/>
          <w:rtl/>
        </w:rPr>
        <w:t xml:space="preserve">tāzak = čerāq-e zamīn=r. dar nojām</w:t>
      </w:r>
    </w:p>
    <w:p>
      <w:pPr>
        <w:pStyle w:val="BookText"/>
      </w:pPr>
      <w:r>
        <w:rPr>
          <w:rFonts w:ascii="IRNazanin" w:hAnsi="IRNazanin" w:eastAsia="IRNazanin" w:cs="IRNazanin"/>
          <w:lang w:bidi="fa-IR"/>
          <w:color w:val="111111"/>
          <w:sz w:val="28"/>
          <w:szCs w:val="28"/>
          <w:rtl/>
        </w:rPr>
        <w:t xml:space="preserve">نهروانی، صديق بن يوسف، ق ۸ قمری</w:t>
      </w:r>
    </w:p>
    <w:p>
      <w:pPr>
        <w:pStyle w:val="BookText"/>
      </w:pPr>
      <w:r>
        <w:rPr>
          <w:rFonts w:ascii="Times New Roman" w:hAnsi="Times New Roman" w:eastAsia="Times New Roman" w:cs="Times New Roman"/>
          <w:lang w:val="en-US" w:bidi="en-US"/>
          <w:color w:val="111111"/>
          <w:sz w:val="28"/>
          <w:szCs w:val="28"/>
          <w:rtl/>
        </w:rPr>
        <w:t xml:space="preserve">nahravānī, seddīq ebn-e yūsof (-14c)</w:t>
      </w:r>
    </w:p>
    <w:p>
      <w:pPr>
        <w:pStyle w:val="BookText"/>
      </w:pPr>
      <w:r>
        <w:rPr>
          <w:rFonts w:ascii="IRNazanin" w:hAnsi="IRNazanin" w:eastAsia="IRNazanin" w:cs="IRNazanin"/>
          <w:lang w:bidi="fa-IR"/>
          <w:color w:val="111111"/>
          <w:sz w:val="28"/>
          <w:szCs w:val="28"/>
          <w:rtl/>
        </w:rPr>
        <w:t xml:space="preserve">محل تأليف: هند رساله ای است در نجوم، دارای چهل و هفت «باب»: ۱. معرفت افلاک؛ ۲. معرفت منازل و اتصالات؛ ۳. معرفت اجتماع؛ ۴. معرفت مذکر و مونث و لیل و نهاری کواکب؛ ۵. معرفت مذکر و مونث طبیعت عناصر .... ۱۰. معرفت وجوه کواکب ... ۲۰. معرفت اصل كواكب ... ۳۰. معرفت جواب سائل در دهم خانه ... ۴۷. معرفت اختیارات بر كواكب. آغاز: بسمله الحمدلله رب العالمين و حمد الشاکرین و الصلوة و السلام على خير ... این مختصریست در علم نجوم صحیج است آغاز علم ازلی بدان ناطق است ...</w:t>
      </w:r>
    </w:p>
    <w:p>
      <w:pPr>
        <w:pStyle w:val="BookText"/>
      </w:pPr>
      <w:r>
        <w:rPr>
          <w:rFonts w:ascii="IRNazanin" w:hAnsi="IRNazanin" w:eastAsia="IRNazanin" w:cs="IRNazanin"/>
          <w:lang w:bidi="fa-IR"/>
          <w:color w:val="111111"/>
          <w:sz w:val="28"/>
          <w:szCs w:val="28"/>
          <w:rtl/>
        </w:rPr>
        <w:t xml:space="preserve">[دنا ۷۵۶/۲ ؛ فهرستواره منزوی ۲۸۳۸/۴ و ۳۰۸۲/۴ ، الذریعه ۸۰/۲۴]</w:t>
      </w:r>
    </w:p>
    <w:p>
      <w:pPr>
        <w:pStyle w:val="BookText"/>
      </w:pPr>
      <w:r>
        <w:rPr>
          <w:rFonts w:ascii="IRNazanin" w:hAnsi="IRNazanin" w:eastAsia="IRNazanin" w:cs="IRNazanin"/>
          <w:lang w:bidi="fa-IR"/>
          <w:color w:val="111111"/>
          <w:sz w:val="28"/>
          <w:szCs w:val="28"/>
          <w:rtl/>
        </w:rPr>
        <w:t xml:space="preserve">مشهد؛ الهیات، شماره نسخه:۴۸۹/۳</w:t>
      </w:r>
    </w:p>
    <w:p>
      <w:pPr>
        <w:pStyle w:val="BookText"/>
      </w:pPr>
      <w:r>
        <w:rPr>
          <w:rFonts w:ascii="IRNazanin" w:hAnsi="IRNazanin" w:eastAsia="IRNazanin" w:cs="IRNazanin"/>
          <w:lang w:bidi="fa-IR"/>
          <w:color w:val="111111"/>
          <w:sz w:val="28"/>
          <w:szCs w:val="28"/>
          <w:rtl/>
        </w:rPr>
        <w:t xml:space="preserve">آغاز: برابر؛ انجام: در چهارم خانه بود و رجعت بود و باقوی بود و درما خط: نستعلیق، بی کا، تا: قرن ۱۱؛ افتادگی: انجام؛ تملك: توحید بن منصور مورخه ۱۱۵۱ در پنجاب هندوستان، میرزا محمد صادق منجم باشی؛ جلد: تیماج قهوه ای، ۳۳۱گ، ۱۹-۲۱ سطر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۱-۳۵۰]</w:t>
      </w:r>
    </w:p>
    <w:p>
      <w:pPr>
        <w:pStyle w:val="BookText"/>
      </w:pPr>
      <w:r>
        <w:rPr>
          <w:rFonts w:ascii="IRNazanin" w:hAnsi="IRNazanin" w:eastAsia="IRNazanin" w:cs="IRNazanin"/>
          <w:lang w:bidi="fa-IR"/>
          <w:color w:val="111111"/>
          <w:sz w:val="28"/>
          <w:szCs w:val="28"/>
          <w:rtl/>
        </w:rPr>
        <w:t xml:space="preserve">← تازيانه سلو ک← العينية</w:t>
      </w:r>
    </w:p>
    <w:p>
      <w:pPr>
        <w:pStyle w:val="Heading3"/>
      </w:pPr>
      <w:bookmarkStart w:id="2797" w:name="_Toc2057"/>
      <w:r>
        <w:t>•تأسیسات / فقه / فارسی</w:t>
      </w:r>
      <w:bookmarkEnd w:id="2797"/>
    </w:p>
    <w:p>
      <w:pPr>
        <w:pStyle w:val="BookText"/>
      </w:pPr>
      <w:r>
        <w:rPr>
          <w:rFonts w:ascii="Times New Roman" w:hAnsi="Times New Roman" w:eastAsia="Times New Roman" w:cs="Times New Roman"/>
          <w:lang w:val="en-US" w:bidi="en-US"/>
          <w:color w:val="111111"/>
          <w:sz w:val="28"/>
          <w:szCs w:val="28"/>
          <w:rtl/>
        </w:rPr>
        <w:t xml:space="preserve">ta'sīsāt</w:t>
      </w:r>
    </w:p>
    <w:p>
      <w:pPr>
        <w:pStyle w:val="BookText"/>
      </w:pPr>
      <w:r>
        <w:rPr>
          <w:rFonts w:ascii="IRNazanin" w:hAnsi="IRNazanin" w:eastAsia="IRNazanin" w:cs="IRNazanin"/>
          <w:lang w:bidi="fa-IR"/>
          <w:color w:val="111111"/>
          <w:sz w:val="28"/>
          <w:szCs w:val="28"/>
          <w:rtl/>
        </w:rPr>
        <w:t xml:space="preserve">تنکابنی، محمد بن سليمان، ۱۲۳۴-۱۳۰۲ قمری</w:t>
      </w:r>
    </w:p>
    <w:p>
      <w:pPr>
        <w:pStyle w:val="BookText"/>
      </w:pPr>
      <w:r>
        <w:rPr>
          <w:rFonts w:ascii="Times New Roman" w:hAnsi="Times New Roman" w:eastAsia="Times New Roman" w:cs="Times New Roman"/>
          <w:lang w:val="en-US" w:bidi="en-US"/>
          <w:color w:val="111111"/>
          <w:sz w:val="28"/>
          <w:szCs w:val="28"/>
          <w:rtl/>
        </w:rPr>
        <w:t xml:space="preserve">tonekābonī, mohammad ebn-e soleymān (1819-1885)</w:t>
      </w:r>
    </w:p>
    <w:p>
      <w:pPr>
        <w:pStyle w:val="BookText"/>
      </w:pPr>
      <w:r>
        <w:rPr>
          <w:rFonts w:ascii="IRNazanin" w:hAnsi="IRNazanin" w:eastAsia="IRNazanin" w:cs="IRNazanin"/>
          <w:lang w:bidi="fa-IR"/>
          <w:color w:val="111111"/>
          <w:sz w:val="28"/>
          <w:szCs w:val="28"/>
          <w:rtl/>
        </w:rPr>
        <w:t xml:space="preserve">تاريخ تأليف: ۴ شعبان ۱۲۹۲ق رسالهای متوسط در بیان قواعد فقهی که در یک «مقدمه» و هفتاد و چهار «تأسیس» و یک «خاتمه» که در ۳۴ روز تالیف</w:t>
      </w:r>
    </w:p>
    <w:p>
      <w:pPr>
        <w:pStyle w:val="BookText"/>
      </w:pPr>
      <w:r>
        <w:rPr>
          <w:rFonts w:ascii="IRNazanin" w:hAnsi="IRNazanin" w:eastAsia="IRNazanin" w:cs="IRNazanin"/>
          <w:lang w:bidi="fa-IR"/>
          <w:color w:val="111111"/>
          <w:sz w:val="28"/>
          <w:szCs w:val="28"/>
          <w:rtl/>
        </w:rPr>
        <w:t xml:space="preserve">شده و بالغ بر شش هزار سطر می گردد. آغاز: حمد و شکر و سپاس و ستایش حضرت یكتایی را سزد که شرع اطهر انور پیغمبر را به وجود علماء اعلام و فقهاء عظام در نهایت اتقان و احکام و مایه انتظام نظام مهام انام مقرر فرمود و صلوات و تسلیمات</w:t>
      </w:r>
    </w:p>
    <w:p>
      <w:pPr>
        <w:pStyle w:val="BookText"/>
      </w:pPr>
      <w:r>
        <w:rPr>
          <w:rFonts w:ascii="IRNazanin" w:hAnsi="IRNazanin" w:eastAsia="IRNazanin" w:cs="IRNazanin"/>
          <w:lang w:bidi="fa-IR"/>
          <w:color w:val="111111"/>
          <w:sz w:val="28"/>
          <w:szCs w:val="28"/>
          <w:rtl/>
        </w:rPr>
        <w:t xml:space="preserve">[دنا ۷۵۶/۲ ، الذریعه: ۲۹۸:۳ ]</w:t>
      </w:r>
    </w:p>
    <w:p>
      <w:pPr>
        <w:pStyle w:val="BookText"/>
      </w:pPr>
      <w:r>
        <w:rPr>
          <w:rFonts w:ascii="IRNazanin" w:hAnsi="IRNazanin" w:eastAsia="IRNazanin" w:cs="IRNazanin"/>
          <w:lang w:bidi="fa-IR"/>
          <w:color w:val="111111"/>
          <w:sz w:val="28"/>
          <w:szCs w:val="28"/>
          <w:rtl/>
        </w:rPr>
        <w:t xml:space="preserve">۱. قم: مرعشی؛ شماره نسخه:۸۸۸۷</w:t>
      </w:r>
    </w:p>
    <w:p>
      <w:pPr>
        <w:pStyle w:val="BookText"/>
      </w:pPr>
      <w:r>
        <w:rPr>
          <w:rFonts w:ascii="IRNazanin" w:hAnsi="IRNazanin" w:eastAsia="IRNazanin" w:cs="IRNazanin"/>
          <w:lang w:bidi="fa-IR"/>
          <w:color w:val="111111"/>
          <w:sz w:val="28"/>
          <w:szCs w:val="28"/>
          <w:rtl/>
        </w:rPr>
        <w:t xml:space="preserve">آغاز: و طهارت هستند و نفرین بر دشمنان ایشان باد ... بر صفحه صحیفه اخلاء روحانی و دفتر درا که برادران ایمانی؛ انجام: و اگر گویند که فقها اجماع کرده اند بر اینکه.. . خط: نستعلیق، کاتب = مؤلف، بی تاب جلد: مقوایی عطف تیماج مشکی، ۸۴گ، ۱۴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۲۳-۷۶]</w:t>
      </w:r>
    </w:p>
    <w:p>
      <w:pPr>
        <w:pStyle w:val="BookText"/>
      </w:pPr>
      <w:r>
        <w:rPr>
          <w:rFonts w:ascii="IRNazanin" w:hAnsi="IRNazanin" w:eastAsia="IRNazanin" w:cs="IRNazanin"/>
          <w:lang w:bidi="fa-IR"/>
          <w:color w:val="111111"/>
          <w:sz w:val="28"/>
          <w:szCs w:val="28"/>
          <w:rtl/>
        </w:rPr>
        <w:t xml:space="preserve">٢. چالوس؛ امام صادق؛ شماره نسخه: ۴۵۳/۱</w:t>
      </w:r>
    </w:p>
    <w:p>
      <w:pPr>
        <w:pStyle w:val="BookText"/>
      </w:pPr>
      <w:r>
        <w:rPr>
          <w:rFonts w:ascii="IRNazanin" w:hAnsi="IRNazanin" w:eastAsia="IRNazanin" w:cs="IRNazanin"/>
          <w:lang w:bidi="fa-IR"/>
          <w:color w:val="111111"/>
          <w:sz w:val="28"/>
          <w:szCs w:val="28"/>
          <w:rtl/>
        </w:rPr>
        <w:t xml:space="preserve">خط: نستعلیق، كا: مقصود علی بن حسین قلی کلاردشتی، تا: ۱۲۹۳ق؛ جلد: مقوا، ۱۵گ،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۲۵۰]</w:t>
      </w:r>
    </w:p>
    <w:p>
      <w:pPr>
        <w:pStyle w:val="BookText"/>
      </w:pPr>
      <w:r>
        <w:rPr>
          <w:rFonts w:ascii="IRNazanin" w:hAnsi="IRNazanin" w:eastAsia="IRNazanin" w:cs="IRNazanin"/>
          <w:lang w:bidi="fa-IR"/>
          <w:color w:val="111111"/>
          <w:sz w:val="28"/>
          <w:szCs w:val="28"/>
          <w:rtl/>
        </w:rPr>
        <w:t xml:space="preserve">٣. چالوس؛ امام صادق؛ شماره نسخه: ۳۲۵/۲</w:t>
      </w:r>
    </w:p>
    <w:p>
      <w:pPr>
        <w:pStyle w:val="BookText"/>
      </w:pPr>
      <w:r>
        <w:rPr>
          <w:rFonts w:ascii="IRNazanin" w:hAnsi="IRNazanin" w:eastAsia="IRNazanin" w:cs="IRNazanin"/>
          <w:lang w:bidi="fa-IR"/>
          <w:color w:val="111111"/>
          <w:sz w:val="28"/>
          <w:szCs w:val="28"/>
          <w:rtl/>
        </w:rPr>
        <w:t xml:space="preserve">آغاز: برابر كان محمد صالح بن محمد رفیع کجوری، تا: صفر ۱۲۹۴ق؛ جلد: تیماج قهوه ای، ۱۲۰گ،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آف: ۲۰۹]</w:t>
      </w:r>
    </w:p>
    <w:p>
      <w:pPr>
        <w:pStyle w:val="BookText"/>
      </w:pPr>
      <w:r>
        <w:rPr>
          <w:rFonts w:ascii="IRNazanin" w:hAnsi="IRNazanin" w:eastAsia="IRNazanin" w:cs="IRNazanin"/>
          <w:lang w:bidi="fa-IR"/>
          <w:color w:val="111111"/>
          <w:sz w:val="28"/>
          <w:szCs w:val="28"/>
          <w:rtl/>
        </w:rPr>
        <w:t xml:space="preserve">۴. چالوس؛ امام صادق؛ شماره نسخه: ۱۳۹/۲</w:t>
      </w:r>
    </w:p>
    <w:p>
      <w:pPr>
        <w:pStyle w:val="BookText"/>
      </w:pPr>
      <w:r>
        <w:rPr>
          <w:rFonts w:ascii="IRNazanin" w:hAnsi="IRNazanin" w:eastAsia="IRNazanin" w:cs="IRNazanin"/>
          <w:lang w:bidi="fa-IR"/>
          <w:color w:val="111111"/>
          <w:sz w:val="28"/>
          <w:szCs w:val="28"/>
          <w:rtl/>
        </w:rPr>
        <w:t xml:space="preserve">آغاز: برابر خط: نسخ نازیبا، بی کا، بی تا؛ افتادگی: انجام؛ جلد: گالینگور آبی، ۴۵گ، ۱۷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۱۸۴]</w:t>
      </w:r>
    </w:p>
    <w:p>
      <w:pPr>
        <w:pStyle w:val="BookText"/>
      </w:pPr>
      <w:r>
        <w:rPr>
          <w:rFonts w:ascii="IRNazanin" w:hAnsi="IRNazanin" w:eastAsia="IRNazanin" w:cs="IRNazanin"/>
          <w:lang w:bidi="fa-IR"/>
          <w:color w:val="111111"/>
          <w:sz w:val="28"/>
          <w:szCs w:val="28"/>
          <w:rtl/>
        </w:rPr>
        <w:t xml:space="preserve">۵. قم؛ مرعشی؛ شماره نسخه: ۶۶۵۰</w:t>
      </w:r>
    </w:p>
    <w:p>
      <w:pPr>
        <w:pStyle w:val="BookText"/>
      </w:pPr>
      <w:r>
        <w:rPr>
          <w:rFonts w:ascii="IRNazanin" w:hAnsi="IRNazanin" w:eastAsia="IRNazanin" w:cs="IRNazanin"/>
          <w:lang w:bidi="fa-IR"/>
          <w:color w:val="111111"/>
          <w:sz w:val="28"/>
          <w:szCs w:val="28"/>
          <w:rtl/>
        </w:rPr>
        <w:t xml:space="preserve">آغاز: برابر؛ انجام: صد و پنجم در تکلیف حاکم در مرافعه که مسئله آن خلافیه باشد. خط: نستعلیق زیبا، بی کا، بی تا، جلد: تیماج قهوه ای، ۱۲۲گ، ۱۶ سطر، اندازه: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۱۹/۵ سم [ف: ۱۷-۲۱۵]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bookmarkStart w:id="621" w:name="pg20363_209953"/>
    <w:bookmarkEnd w:id="621"/>
    <w:p>
      <w:pPr>
        <w:pStyle w:val="Heading3"/>
      </w:pPr>
      <w:bookmarkStart w:id="2798" w:name="_Toc2058"/>
      <w:r>
        <w:t>•تأسیسات اسلامی / کلام و اعتقادات / فارسی</w:t>
      </w:r>
      <w:bookmarkEnd w:id="2798"/>
    </w:p>
    <w:p>
      <w:pPr>
        <w:pStyle w:val="BookText"/>
      </w:pPr>
      <w:r>
        <w:rPr>
          <w:rFonts w:ascii="Times New Roman" w:hAnsi="Times New Roman" w:eastAsia="Times New Roman" w:cs="Times New Roman"/>
          <w:lang w:val="en-US" w:bidi="en-US"/>
          <w:color w:val="111111"/>
          <w:sz w:val="28"/>
          <w:szCs w:val="28"/>
          <w:rtl/>
        </w:rPr>
        <w:t xml:space="preserve">ta'sīsāt-e eslāmī</w:t>
      </w:r>
    </w:p>
    <w:p>
      <w:pPr>
        <w:pStyle w:val="BookText"/>
      </w:pPr>
      <w:r>
        <w:rPr>
          <w:rFonts w:ascii="IRNazanin" w:hAnsi="IRNazanin" w:eastAsia="IRNazanin" w:cs="IRNazanin"/>
          <w:lang w:bidi="fa-IR"/>
          <w:color w:val="111111"/>
          <w:sz w:val="28"/>
          <w:szCs w:val="28"/>
          <w:rtl/>
        </w:rPr>
        <w:t xml:space="preserve">حکمت، علی اصغر، ۱۲۷۱-۱۳۵۹ شمسی</w:t>
      </w:r>
    </w:p>
    <w:p>
      <w:pPr>
        <w:pStyle w:val="BookText"/>
      </w:pPr>
      <w:r>
        <w:rPr>
          <w:rFonts w:ascii="Times New Roman" w:hAnsi="Times New Roman" w:eastAsia="Times New Roman" w:cs="Times New Roman"/>
          <w:lang w:val="en-US" w:bidi="en-US"/>
          <w:color w:val="111111"/>
          <w:sz w:val="28"/>
          <w:szCs w:val="28"/>
          <w:rtl/>
        </w:rPr>
        <w:t xml:space="preserve">hekmat, ‘alī asqar (1892-1980)</w:t>
      </w:r>
    </w:p>
    <w:p>
      <w:pPr>
        <w:pStyle w:val="BookText"/>
      </w:pPr>
      <w:r>
        <w:rPr>
          <w:rFonts w:ascii="IRNazanin" w:hAnsi="IRNazanin" w:eastAsia="IRNazanin" w:cs="IRNazanin"/>
          <w:lang w:bidi="fa-IR"/>
          <w:color w:val="111111"/>
          <w:sz w:val="28"/>
          <w:szCs w:val="28"/>
          <w:rtl/>
        </w:rPr>
        <w:t xml:space="preserve">مشهد؛ رضوی؛ شماره نسخه:۸۹۸۵/۰۳</w:t>
      </w:r>
    </w:p>
    <w:p>
      <w:pPr>
        <w:pStyle w:val="BookText"/>
      </w:pPr>
      <w:r>
        <w:rPr>
          <w:rFonts w:ascii="IRNazanin" w:hAnsi="IRNazanin" w:eastAsia="IRNazanin" w:cs="IRNazanin"/>
          <w:lang w:bidi="fa-IR"/>
          <w:color w:val="111111"/>
          <w:sz w:val="28"/>
          <w:szCs w:val="28"/>
          <w:rtl/>
        </w:rPr>
        <w:t xml:space="preserve">آغاز: تاسیسات اسلامی 1- فصل اول ... هیچ یک از گروههای مختلفه اقوام اسلام.؛ انجام: ابوحنیفه یک اشتباه قائل شده است ... بر علیه تلفظ عرب خط: نستعلیق تحریری، بی کا، تا: قرن ۱۴؛ کاغذ: فرنگی، جلد: مقوا،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[الفبائی: ۵۴۵]</w:t>
      </w:r>
    </w:p>
    <w:p>
      <w:pPr>
        <w:pStyle w:val="Heading3"/>
      </w:pPr>
      <w:bookmarkStart w:id="2799" w:name="_Toc2059"/>
      <w:r>
        <w:t>•تأسيس الاتقان و المتانة في علل الكلى و المثانة / طب / عربی</w:t>
      </w:r>
      <w:bookmarkEnd w:id="2799"/>
    </w:p>
    <w:p>
      <w:pPr>
        <w:pStyle w:val="BookText"/>
      </w:pPr>
      <w:r>
        <w:rPr>
          <w:rFonts w:ascii="Times New Roman" w:hAnsi="Times New Roman" w:eastAsia="Times New Roman" w:cs="Times New Roman"/>
          <w:lang w:val="en-US" w:bidi="en-US"/>
          <w:color w:val="111111"/>
          <w:sz w:val="28"/>
          <w:szCs w:val="28"/>
          <w:rtl/>
        </w:rPr>
        <w:t xml:space="preserve">taʼsīs-ul itqān wa-l mitāna fī ‘ilal-il kullī wa-l matānah</w:t>
      </w:r>
    </w:p>
    <w:p>
      <w:pPr>
        <w:pStyle w:val="BookText"/>
      </w:pPr>
      <w:r>
        <w:rPr>
          <w:rFonts w:ascii="IRNazanin" w:hAnsi="IRNazanin" w:eastAsia="IRNazanin" w:cs="IRNazanin"/>
          <w:lang w:bidi="fa-IR"/>
          <w:color w:val="111111"/>
          <w:sz w:val="28"/>
          <w:szCs w:val="28"/>
          <w:rtl/>
        </w:rPr>
        <w:t xml:space="preserve">عنتابی، محمود بن احمد، ۸۱۲؟-۹۰۲ قمری</w:t>
      </w:r>
    </w:p>
    <w:p>
      <w:pPr>
        <w:pStyle w:val="BookText"/>
      </w:pPr>
      <w:r>
        <w:rPr>
          <w:rFonts w:ascii="Times New Roman" w:hAnsi="Times New Roman" w:eastAsia="Times New Roman" w:cs="Times New Roman"/>
          <w:lang w:val="en-US" w:bidi="en-US"/>
          <w:color w:val="111111"/>
          <w:sz w:val="28"/>
          <w:szCs w:val="28"/>
          <w:rtl/>
        </w:rPr>
        <w:t xml:space="preserve">‘antābī, mahmūd ebn-e ahmad (1410-1497)</w:t>
      </w:r>
    </w:p>
    <w:p>
      <w:pPr>
        <w:pStyle w:val="BookText"/>
      </w:pPr>
      <w:r>
        <w:rPr>
          <w:rFonts w:ascii="IRNazanin" w:hAnsi="IRNazanin" w:eastAsia="IRNazanin" w:cs="IRNazanin"/>
          <w:lang w:bidi="fa-IR"/>
          <w:color w:val="111111"/>
          <w:sz w:val="28"/>
          <w:szCs w:val="28"/>
          <w:rtl/>
        </w:rPr>
        <w:t xml:space="preserve">تاریخ تأليف: ۸۸۷ق ؛ محل تالیف: مکه مکرمه مؤلف آن را جهت ساکنان مکه مکرمه در موقعی که اکثر به امراض مربوط به کلیه و مثانه مبتلا بودند تأليف نموده است. موضوعات ابواب کتاب بعد از مقدمه ای که مؤلف در خصوص تشریح کلیه و مثانه و منافع آنها ترتیب داده بدین شرح است: باب 1. ذکر امراض کلیه و اسباب و علامات آنها و طرق معالجه آن؛ باب ۲. ذکر امراض مثانه و علامات و اسباب و طرق معالجه آنها؛ خاتمه در سه فصل»: الف) ذکر ادویه مرکبه نافعه، ب) بیان ادویه مفرده نافعه، ج) ذکر ادویه ای که به جهت معالجه این امراض عموما مفید است و آنها را متقدمین از مشاهیر اطبا در کتاب های خود ذکر نموده اند.</w:t>
      </w:r>
    </w:p>
    <w:p>
      <w:pPr>
        <w:pStyle w:val="BookText"/>
      </w:pPr>
      <w:r>
        <w:rPr>
          <w:rFonts w:ascii="IRNazanin" w:hAnsi="IRNazanin" w:eastAsia="IRNazanin" w:cs="IRNazanin"/>
          <w:lang w:bidi="fa-IR"/>
          <w:color w:val="111111"/>
          <w:sz w:val="28"/>
          <w:szCs w:val="28"/>
          <w:rtl/>
        </w:rPr>
        <w:t xml:space="preserve">مشهد؛ رضوی؛ شماره نسخه:۶۳۳۹</w:t>
      </w:r>
    </w:p>
    <w:p>
      <w:pPr>
        <w:pStyle w:val="BookText"/>
      </w:pPr>
      <w:r>
        <w:rPr>
          <w:rFonts w:ascii="IRNazanin" w:hAnsi="IRNazanin" w:eastAsia="IRNazanin" w:cs="IRNazanin"/>
          <w:lang w:bidi="fa-IR"/>
          <w:color w:val="111111"/>
          <w:sz w:val="28"/>
          <w:szCs w:val="28"/>
          <w:rtl/>
        </w:rPr>
        <w:t xml:space="preserve">آغاز: بسمله الحمدلله الذى الان صم الحجر و اخرج منه الماء و فجر؛ انجام: بالرادعات الى عند الانتها ثم تقتصر على المحللات و الله تعالی اعلم خط: نسخ، كا: محمد بن احمد الاسرى (كذا)، تا: ۲۷ ربیع الثانی ۱۰۲۹ق؛ کاغذ: آهار مهره، جلد: مقوا با رویه پارچه، ۱۷ گ، ۲۷ و ۲۸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۱۹-۱۳۷]</w:t>
      </w:r>
    </w:p>
    <w:p>
      <w:pPr>
        <w:pStyle w:val="Heading3"/>
      </w:pPr>
      <w:bookmarkStart w:id="2800" w:name="_Toc2060"/>
      <w:r>
        <w:t>•تأسيس الاصول / اصول فقه / عربی</w:t>
      </w:r>
      <w:bookmarkEnd w:id="2800"/>
    </w:p>
    <w:p>
      <w:pPr>
        <w:pStyle w:val="BookText"/>
      </w:pPr>
      <w:r>
        <w:rPr>
          <w:rFonts w:ascii="Times New Roman" w:hAnsi="Times New Roman" w:eastAsia="Times New Roman" w:cs="Times New Roman"/>
          <w:lang w:val="en-US" w:bidi="en-US"/>
          <w:color w:val="111111"/>
          <w:sz w:val="28"/>
          <w:szCs w:val="28"/>
          <w:rtl/>
        </w:rPr>
        <w:t xml:space="preserve">ta'sīs-ul usūl</w:t>
      </w:r>
    </w:p>
    <w:p>
      <w:pPr>
        <w:pStyle w:val="BookText"/>
      </w:pPr>
      <w:r>
        <w:rPr>
          <w:rFonts w:ascii="IRNazanin" w:hAnsi="IRNazanin" w:eastAsia="IRNazanin" w:cs="IRNazanin"/>
          <w:lang w:bidi="fa-IR"/>
          <w:color w:val="111111"/>
          <w:sz w:val="28"/>
          <w:szCs w:val="28"/>
          <w:rtl/>
        </w:rPr>
        <w:t xml:space="preserve">حسینی گیلانی، محمد یوسف بن محمد صادق، ق۱۴ قمری</w:t>
      </w:r>
    </w:p>
    <w:p>
      <w:pPr>
        <w:pStyle w:val="BookText"/>
      </w:pPr>
      <w:r>
        <w:rPr>
          <w:rFonts w:ascii="Times New Roman" w:hAnsi="Times New Roman" w:eastAsia="Times New Roman" w:cs="Times New Roman"/>
          <w:lang w:val="en-US" w:bidi="en-US"/>
          <w:color w:val="111111"/>
          <w:sz w:val="28"/>
          <w:szCs w:val="28"/>
          <w:rtl/>
        </w:rPr>
        <w:t xml:space="preserve">hoseynī gīlānī, mohammad yūsof ebn-e mohammad sādeq (-20c)</w:t>
      </w:r>
    </w:p>
    <w:p>
      <w:pPr>
        <w:pStyle w:val="BookText"/>
      </w:pPr>
      <w:r>
        <w:rPr>
          <w:rFonts w:ascii="IRNazanin" w:hAnsi="IRNazanin" w:eastAsia="IRNazanin" w:cs="IRNazanin"/>
          <w:lang w:bidi="fa-IR"/>
          <w:color w:val="111111"/>
          <w:sz w:val="28"/>
          <w:szCs w:val="28"/>
          <w:rtl/>
        </w:rPr>
        <w:t xml:space="preserve">رساله مختصری است در قواعد اصول فقه، با عناوین «اصل - اصل» بدون استدلال و گاهی با اشاره به اقوال بعضی از علماء و گویا مؤلف خواسته که کتاب درسی بنگارد.</w:t>
      </w:r>
    </w:p>
    <w:p>
      <w:pPr>
        <w:pStyle w:val="BookText"/>
      </w:pPr>
      <w:r>
        <w:rPr>
          <w:rFonts w:ascii="IRNazanin" w:hAnsi="IRNazanin" w:eastAsia="IRNazanin" w:cs="IRNazanin"/>
          <w:lang w:bidi="fa-IR"/>
          <w:color w:val="111111"/>
          <w:sz w:val="28"/>
          <w:szCs w:val="28"/>
          <w:rtl/>
        </w:rPr>
        <w:t xml:space="preserve">قم؛ مرعشی؛ شماره نسخه: ۱/ ۲۶۳۹</w:t>
      </w:r>
    </w:p>
    <w:p>
      <w:pPr>
        <w:pStyle w:val="BookText"/>
      </w:pPr>
      <w:r>
        <w:rPr>
          <w:rFonts w:ascii="IRNazanin" w:hAnsi="IRNazanin" w:eastAsia="IRNazanin" w:cs="IRNazanin"/>
          <w:lang w:bidi="fa-IR"/>
          <w:color w:val="111111"/>
          <w:sz w:val="28"/>
          <w:szCs w:val="28"/>
          <w:rtl/>
        </w:rPr>
        <w:t xml:space="preserve">آغاز: الحمدلله الذي زين حقائق شقایق اغصان حدائق الفروع بایقان قواعد تأسيس الاول؛ انجام: المقتضي لتعدد الالة دون العكس كما لايخفى، هذا ما أفاده الشهيد في التمهيد. خط: نستعلیق، عبارات عربی نسخ، كاتب = مؤلف، بی تا، افتادگی: انجام؛ مصحح و اضافه دارد؛ جلد: مقوایی عطف تیماج مشکی، ۱۶گ (۱پ -۱۶پ)،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۷-۲۱۲]</w:t>
      </w:r>
    </w:p>
    <w:p>
      <w:pPr>
        <w:pStyle w:val="Heading3"/>
      </w:pPr>
      <w:bookmarkStart w:id="2801" w:name="_Toc2061"/>
      <w:r>
        <w:t>•تأسيس الصحة في شرح اللمحة / طب / عربی</w:t>
      </w:r>
      <w:bookmarkEnd w:id="2801"/>
    </w:p>
    <w:p>
      <w:pPr>
        <w:pStyle w:val="BookText"/>
      </w:pPr>
      <w:r>
        <w:rPr>
          <w:rFonts w:ascii="Times New Roman" w:hAnsi="Times New Roman" w:eastAsia="Times New Roman" w:cs="Times New Roman"/>
          <w:lang w:val="en-US" w:bidi="en-US"/>
          <w:color w:val="111111"/>
          <w:sz w:val="28"/>
          <w:szCs w:val="28"/>
          <w:rtl/>
        </w:rPr>
        <w:t xml:space="preserve">taʼsīs-uş șihha fī š.-il lamḥa</w:t>
      </w:r>
    </w:p>
    <w:p>
      <w:pPr>
        <w:pStyle w:val="BookText"/>
      </w:pPr>
      <w:r>
        <w:rPr>
          <w:rFonts w:ascii="IRNazanin" w:hAnsi="IRNazanin" w:eastAsia="IRNazanin" w:cs="IRNazanin"/>
          <w:lang w:bidi="fa-IR"/>
          <w:color w:val="111111"/>
          <w:sz w:val="28"/>
          <w:szCs w:val="28"/>
          <w:rtl/>
        </w:rPr>
        <w:t xml:space="preserve">عنتابی، محمود بن احمد، ۸۱۲؟ -۹۰۲ قمری</w:t>
      </w:r>
    </w:p>
    <w:p>
      <w:pPr>
        <w:pStyle w:val="BookText"/>
      </w:pPr>
      <w:r>
        <w:rPr>
          <w:rFonts w:ascii="Times New Roman" w:hAnsi="Times New Roman" w:eastAsia="Times New Roman" w:cs="Times New Roman"/>
          <w:lang w:val="en-US" w:bidi="en-US"/>
          <w:color w:val="111111"/>
          <w:sz w:val="28"/>
          <w:szCs w:val="28"/>
          <w:rtl/>
        </w:rPr>
        <w:t xml:space="preserve">‘antābī, mahmūd ebn-e ahmad (1410-1497)</w:t>
      </w:r>
    </w:p>
    <w:p>
      <w:pPr>
        <w:pStyle w:val="BookText"/>
      </w:pPr>
      <w:r>
        <w:rPr>
          <w:rFonts w:ascii="IRNazanin" w:hAnsi="IRNazanin" w:eastAsia="IRNazanin" w:cs="IRNazanin"/>
          <w:lang w:bidi="fa-IR"/>
          <w:color w:val="111111"/>
          <w:sz w:val="28"/>
          <w:szCs w:val="28"/>
          <w:rtl/>
        </w:rPr>
        <w:t xml:space="preserve">شرحی است مزجی از ابن الامشاطی (مظفر الدین محمود بن احمد بن حسن بن اسماعيل بن يعقوب بن اسماعيل العنتابی) بر «اللمحة» از تألیفات ابن امین الدوله [حاجی خلیفه نام مؤلف المحه را عفيف ابو سعد بن ابی سرور الساوی الاسرائیلی می نویسد و مشخص نیست که این شخص همان ابن امین الدوله است یا احتمالا فرد دیگری است. (ابن امیرالدوله در البدر الطالع ۲۹۳:۲ محرف است که آن را بر اساس اقوال ابن سینا در قانون و رازی در حاوی و ابن هبل در المختار و ابن نفیس کرمانی در شرح اسباب و علامات و غیر هم تأليف نموده است. (غلامعلی عرفانیان). كتاب تأسيس الصحة از کتب نادر است و تنها</w:t>
      </w:r>
    </w:p>
    <w:p>
      <w:pPr>
        <w:pStyle w:val="BookText"/>
      </w:pPr>
      <w:r>
        <w:rPr>
          <w:rFonts w:ascii="IRNazanin" w:hAnsi="IRNazanin" w:eastAsia="IRNazanin" w:cs="IRNazanin"/>
          <w:lang w:bidi="fa-IR"/>
          <w:color w:val="111111"/>
          <w:sz w:val="28"/>
          <w:szCs w:val="28"/>
          <w:rtl/>
        </w:rPr>
        <w:t xml:space="preserve">نسخه ای از آن در یکی از کتابخانه های فرانسه موجود است.</w:t>
      </w:r>
    </w:p>
    <w:p>
      <w:pPr>
        <w:pStyle w:val="BookText"/>
      </w:pPr>
      <w:r>
        <w:rPr>
          <w:rFonts w:ascii="IRNazanin" w:hAnsi="IRNazanin" w:eastAsia="IRNazanin" w:cs="IRNazanin"/>
          <w:lang w:bidi="fa-IR"/>
          <w:color w:val="111111"/>
          <w:sz w:val="28"/>
          <w:szCs w:val="28"/>
          <w:rtl/>
        </w:rPr>
        <w:t xml:space="preserve">شرح و حواشی: 1- تأسيس الصحة (منتخب)</w:t>
      </w:r>
    </w:p>
    <w:p>
      <w:pPr>
        <w:pStyle w:val="BookText"/>
      </w:pPr>
      <w:r>
        <w:rPr>
          <w:rFonts w:ascii="IRNazanin" w:hAnsi="IRNazanin" w:eastAsia="IRNazanin" w:cs="IRNazanin"/>
          <w:lang w:bidi="fa-IR"/>
          <w:color w:val="111111"/>
          <w:sz w:val="28"/>
          <w:szCs w:val="28"/>
          <w:rtl/>
        </w:rPr>
        <w:t xml:space="preserve">مشهد؛ رضوی؛ شماره نسخه:۲۴۴۹۶</w:t>
      </w:r>
    </w:p>
    <w:p>
      <w:pPr>
        <w:pStyle w:val="BookText"/>
      </w:pPr>
      <w:r>
        <w:rPr>
          <w:rFonts w:ascii="IRNazanin" w:hAnsi="IRNazanin" w:eastAsia="IRNazanin" w:cs="IRNazanin"/>
          <w:lang w:bidi="fa-IR"/>
          <w:color w:val="111111"/>
          <w:sz w:val="28"/>
          <w:szCs w:val="28"/>
          <w:rtl/>
        </w:rPr>
        <w:t xml:space="preserve">آغاز: بسمله الحمدلله الذي شرح في ادنی من لمحة المشکلات الادواء و الأسقام؛ انجام: قطع ذنبه و خلي في البيت قبل البواقي من الفار و الله تعالی اعلم و احكم. خط: نسخ، بی کا، تا: قرن ۱۲؛ جداول اوراق به سرخی و لاجورد؛ اهدایی: رهبری، ۱۳۷۶؛ کاغذ: حنایی هندی، جلد: تیماج مشکی فرنگی، ۳۲۳گ، ۲۲ سطر،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۱۹-۱۳۹</w:t>
      </w:r>
    </w:p>
    <w:p>
      <w:pPr>
        <w:pStyle w:val="Heading3"/>
      </w:pPr>
      <w:bookmarkStart w:id="2802" w:name="_Toc2062"/>
      <w:r>
        <w:t>•تأسيس الصحة (منتخب) / طب / عربی</w:t>
      </w:r>
      <w:bookmarkEnd w:id="2802"/>
    </w:p>
    <w:p>
      <w:pPr>
        <w:pStyle w:val="BookText"/>
      </w:pPr>
      <w:r>
        <w:rPr>
          <w:rFonts w:ascii="Times New Roman" w:hAnsi="Times New Roman" w:eastAsia="Times New Roman" w:cs="Times New Roman"/>
          <w:lang w:val="en-US" w:bidi="en-US"/>
          <w:color w:val="111111"/>
          <w:sz w:val="28"/>
          <w:szCs w:val="28"/>
          <w:rtl/>
        </w:rPr>
        <w:t xml:space="preserve">ta'sīs-uş şiḥņa (mn)</w:t>
      </w:r>
    </w:p>
    <w:p>
      <w:pPr>
        <w:pStyle w:val="BookText"/>
      </w:pPr>
      <w:r>
        <w:rPr>
          <w:rFonts w:ascii="IRNazanin" w:hAnsi="IRNazanin" w:eastAsia="IRNazanin" w:cs="IRNazanin"/>
          <w:lang w:bidi="fa-IR"/>
          <w:color w:val="111111"/>
          <w:sz w:val="28"/>
          <w:szCs w:val="28"/>
          <w:rtl/>
        </w:rPr>
        <w:t xml:space="preserve">وابسته به: تأسيس الصحة في شرح اللمحة؛ عنتابی، محمود بن احمد (۸۱۲-۹۰۲) این رساله مختصر، بخشی از کتاب تاسيس الصحة تأليف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bookmarkStart w:id="622" w:name="pg20363_209954"/>
    <w:bookmarkEnd w:id="622"/>
    <w:p>
      <w:pPr>
        <w:pStyle w:val="BookText"/>
      </w:pPr>
      <w:r>
        <w:rPr>
          <w:rFonts w:ascii="IRNazanin" w:hAnsi="IRNazanin" w:eastAsia="IRNazanin" w:cs="IRNazanin"/>
          <w:lang w:bidi="fa-IR"/>
          <w:color w:val="111111"/>
          <w:sz w:val="28"/>
          <w:szCs w:val="28"/>
          <w:rtl/>
        </w:rPr>
        <w:t xml:space="preserve">مظفر الدین ابو الثناء محمود بن احمد معروف به ابن الأمشاطی است که آن نیز شرح اللمحة تأليف ابن امین الدوله می باشد. در بخش منتخب، «امراض آلات تناسلی و تشریح آن و آنچه که از قوانین، قواعد کلی و مسائل به تفصيل و اجمال لازم است» آمده است. (سید محمود مرعشی)</w:t>
      </w:r>
    </w:p>
    <w:p>
      <w:pPr>
        <w:pStyle w:val="BookText"/>
      </w:pPr>
      <w:r>
        <w:rPr>
          <w:rFonts w:ascii="IRNazanin" w:hAnsi="IRNazanin" w:eastAsia="IRNazanin" w:cs="IRNazanin"/>
          <w:lang w:bidi="fa-IR"/>
          <w:color w:val="111111"/>
          <w:sz w:val="28"/>
          <w:szCs w:val="28"/>
          <w:rtl/>
        </w:rPr>
        <w:t xml:space="preserve">[دنا ۷۵۶/۲ ؛ دائرة المعارف بزرگ اسلامی ۳۸/۳؛ الضوء اللامع لأهل القرن التاسع عشر</w:t>
      </w:r>
    </w:p>
    <w:p>
      <w:pPr>
        <w:pStyle w:val="BookText"/>
      </w:pPr>
      <w:r>
        <w:rPr>
          <w:rFonts w:ascii="IRNazanin" w:hAnsi="IRNazanin" w:eastAsia="IRNazanin" w:cs="IRNazanin"/>
          <w:lang w:bidi="fa-IR"/>
          <w:color w:val="111111"/>
          <w:sz w:val="28"/>
          <w:szCs w:val="28"/>
          <w:rtl/>
        </w:rPr>
        <w:t xml:space="preserve">(سخاوی) ۱۲۹/۱۰ ؛ معجم المؤلفين ۱۴۵/۱۲ ؛ هدية العارفین ۴۱۱/۲ ]</w:t>
      </w:r>
    </w:p>
    <w:p>
      <w:pPr>
        <w:pStyle w:val="BookText"/>
      </w:pPr>
      <w:r>
        <w:rPr>
          <w:rFonts w:ascii="IRNazanin" w:hAnsi="IRNazanin" w:eastAsia="IRNazanin" w:cs="IRNazanin"/>
          <w:lang w:bidi="fa-IR"/>
          <w:color w:val="111111"/>
          <w:sz w:val="28"/>
          <w:szCs w:val="28"/>
          <w:rtl/>
        </w:rPr>
        <w:t xml:space="preserve">قم؛ مرعشی؛ شماره نسخه: ۱۲۰۷۸/۲</w:t>
      </w:r>
    </w:p>
    <w:p>
      <w:pPr>
        <w:pStyle w:val="BookText"/>
      </w:pPr>
      <w:r>
        <w:rPr>
          <w:rFonts w:ascii="IRNazanin" w:hAnsi="IRNazanin" w:eastAsia="IRNazanin" w:cs="IRNazanin"/>
          <w:lang w:bidi="fa-IR"/>
          <w:color w:val="111111"/>
          <w:sz w:val="28"/>
          <w:szCs w:val="28"/>
          <w:rtl/>
        </w:rPr>
        <w:t xml:space="preserve">آغاز: هذه المقالة من تأسيس الصحة للأمشاطى، أمراض آلات التناسل و تشريحها و ما يتعلق بذلك من القوانين و القواعد الكلية؛ انجام: و يؤخذ منه نصف رطل يلقي عليه قولنجان نصف درهم و يشرب منه مقدار الاستمراء آخر لبن بقرى و سمن و دهن ناتمام؛ خط: نسخ، بی کا، تا: قرن ۱۱؛ مصحح، محشی، چند فائده طبی مختصر از مجربات «قطب الدین محمد جیلانی» و دیگران آمده، کاغذ: فرنگی قدیم و ضخیم، ۶گ (۳۳-۳۸)، ۲۱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سم [ف: ۳۰-۴۹۱]</w:t>
      </w:r>
    </w:p>
    <w:p>
      <w:pPr>
        <w:pStyle w:val="Heading3"/>
      </w:pPr>
      <w:bookmarkStart w:id="2803" w:name="_Toc2063"/>
      <w:r>
        <w:t>• تأسيس القوافي / ادبیات فارسی</w:t>
      </w:r>
      <w:bookmarkEnd w:id="2803"/>
    </w:p>
    <w:p>
      <w:pPr>
        <w:pStyle w:val="BookText"/>
      </w:pPr>
      <w:r>
        <w:rPr>
          <w:rFonts w:ascii="Times New Roman" w:hAnsi="Times New Roman" w:eastAsia="Times New Roman" w:cs="Times New Roman"/>
          <w:lang w:val="en-US" w:bidi="en-US"/>
          <w:color w:val="111111"/>
          <w:sz w:val="28"/>
          <w:szCs w:val="28"/>
          <w:rtl/>
        </w:rPr>
        <w:t xml:space="preserve">taʼsīs-ol qavāfī</w:t>
      </w:r>
    </w:p>
    <w:p>
      <w:pPr>
        <w:pStyle w:val="BookText"/>
      </w:pPr>
      <w:r>
        <w:rPr>
          <w:rFonts w:ascii="IRNazanin" w:hAnsi="IRNazanin" w:eastAsia="IRNazanin" w:cs="IRNazanin"/>
          <w:lang w:bidi="fa-IR"/>
          <w:color w:val="111111"/>
          <w:sz w:val="28"/>
          <w:szCs w:val="28"/>
          <w:rtl/>
        </w:rPr>
        <w:t xml:space="preserve">منشی، محمد رضا</w:t>
      </w:r>
    </w:p>
    <w:p>
      <w:pPr>
        <w:pStyle w:val="BookText"/>
      </w:pPr>
      <w:r>
        <w:rPr>
          <w:rFonts w:ascii="Times New Roman" w:hAnsi="Times New Roman" w:eastAsia="Times New Roman" w:cs="Times New Roman"/>
          <w:lang w:val="en-US" w:bidi="en-US"/>
          <w:color w:val="111111"/>
          <w:sz w:val="28"/>
          <w:szCs w:val="28"/>
          <w:rtl/>
        </w:rPr>
        <w:t xml:space="preserve">monšī, mohammad rezā</w:t>
      </w:r>
    </w:p>
    <w:p>
      <w:pPr>
        <w:pStyle w:val="BookText"/>
      </w:pPr>
      <w:r>
        <w:rPr>
          <w:rFonts w:ascii="IRNazanin" w:hAnsi="IRNazanin" w:eastAsia="IRNazanin" w:cs="IRNazanin"/>
          <w:lang w:bidi="fa-IR"/>
          <w:color w:val="111111"/>
          <w:sz w:val="28"/>
          <w:szCs w:val="28"/>
          <w:rtl/>
        </w:rPr>
        <w:t xml:space="preserve">تهران؛ مفتاح؛ شماره نسخه:۹۰۹</w:t>
      </w:r>
    </w:p>
    <w:p>
      <w:pPr>
        <w:pStyle w:val="BookText"/>
      </w:pPr>
      <w:r>
        <w:rPr>
          <w:rFonts w:ascii="IRNazanin" w:hAnsi="IRNazanin" w:eastAsia="IRNazanin" w:cs="IRNazanin"/>
          <w:lang w:bidi="fa-IR"/>
          <w:color w:val="111111"/>
          <w:sz w:val="28"/>
          <w:szCs w:val="28"/>
          <w:rtl/>
        </w:rPr>
        <w:t xml:space="preserve">خط: نستعلیق، کا: گویا کلهر، تا: ۱۲۹۸ق؛ مجدول زر و لاجورد؛ قطع: ربعي [نشریه: ۷-۱۱۲]</w:t>
      </w:r>
    </w:p>
    <w:p>
      <w:pPr>
        <w:pStyle w:val="BookText"/>
      </w:pPr>
      <w:r>
        <w:rPr>
          <w:rFonts w:ascii="IRNazanin" w:hAnsi="IRNazanin" w:eastAsia="IRNazanin" w:cs="IRNazanin"/>
          <w:lang w:bidi="fa-IR"/>
          <w:color w:val="111111"/>
          <w:sz w:val="28"/>
          <w:szCs w:val="28"/>
          <w:rtl/>
        </w:rPr>
        <w:t xml:space="preserve">←تاک تیک ← علم جنگ</w:t>
      </w:r>
    </w:p>
    <w:p>
      <w:pPr>
        <w:pStyle w:val="Heading3"/>
      </w:pPr>
      <w:bookmarkStart w:id="2804" w:name="_Toc2064"/>
      <w:r>
        <w:t>•تاکتیک / فنون نظامی / فارسی</w:t>
      </w:r>
      <w:bookmarkEnd w:id="2804"/>
    </w:p>
    <w:p>
      <w:pPr>
        <w:pStyle w:val="BookText"/>
      </w:pPr>
      <w:r>
        <w:rPr>
          <w:rFonts w:ascii="Times New Roman" w:hAnsi="Times New Roman" w:eastAsia="Times New Roman" w:cs="Times New Roman"/>
          <w:lang w:val="en-US" w:bidi="en-US"/>
          <w:color w:val="111111"/>
          <w:sz w:val="28"/>
          <w:szCs w:val="28"/>
          <w:rtl/>
        </w:rPr>
        <w:t xml:space="preserve">tāktīk</w:t>
      </w:r>
    </w:p>
    <w:p>
      <w:pPr>
        <w:pStyle w:val="BookText"/>
      </w:pPr>
      <w:r>
        <w:rPr>
          <w:rFonts w:ascii="IRNazanin" w:hAnsi="IRNazanin" w:eastAsia="IRNazanin" w:cs="IRNazanin"/>
          <w:lang w:bidi="fa-IR"/>
          <w:color w:val="111111"/>
          <w:sz w:val="28"/>
          <w:szCs w:val="28"/>
          <w:rtl/>
        </w:rPr>
        <w:t xml:space="preserve">رساله ای است در فن نظامی که نام مؤلف آن در نسخه نیامده است.</w:t>
      </w:r>
    </w:p>
    <w:p>
      <w:pPr>
        <w:pStyle w:val="BookText"/>
      </w:pPr>
      <w:r>
        <w:rPr>
          <w:rFonts w:ascii="IRNazanin" w:hAnsi="IRNazanin" w:eastAsia="IRNazanin" w:cs="IRNazanin"/>
          <w:lang w:bidi="fa-IR"/>
          <w:color w:val="111111"/>
          <w:sz w:val="28"/>
          <w:szCs w:val="28"/>
          <w:rtl/>
        </w:rPr>
        <w:t xml:space="preserve">تهران؛ مجلس؛ شماره نسخه:۱۰۳۹/۳ -طباطبائی</w:t>
      </w:r>
    </w:p>
    <w:p>
      <w:pPr>
        <w:pStyle w:val="BookText"/>
      </w:pPr>
      <w:r>
        <w:rPr>
          <w:rFonts w:ascii="IRNazanin" w:hAnsi="IRNazanin" w:eastAsia="IRNazanin" w:cs="IRNazanin"/>
          <w:lang w:bidi="fa-IR"/>
          <w:color w:val="111111"/>
          <w:sz w:val="28"/>
          <w:szCs w:val="28"/>
          <w:rtl/>
        </w:rPr>
        <w:t xml:space="preserve">آغاز: بسمله تاکتیک فن بیرون کردن قشون است به جنگ و تعیین مقام آنها و نیز حرکت دادن لشکر است هر نوع که مقتضی شود و فن تاکتیک ... در تحت قاعده ای ... غير متغیر نیست؛ انجام: شیخ میفرماید: چو در لشکر دشمن افتد خلاف *** تو بگذار شمشیر خود در غلاف. و تفصیل این فقره ... از قراری است که نگاشته میشود . به بعضی از آن واقعه اشارت میشود. بی کا، تا: قرن ۱۳؛ افتادگی: انجام کاغذ: فرنگی، جلد: تیماج  قرمز، ۲۶ص (۱۴۴-۱۶۹)، اندازه: ۱۳/۵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۲۳ - ۳۴۰]</w:t>
      </w:r>
    </w:p>
    <w:p>
      <w:pPr>
        <w:pStyle w:val="Heading3"/>
      </w:pPr>
      <w:bookmarkStart w:id="2805" w:name="_Toc2065"/>
      <w:r>
        <w:t>•تاکتیک جنگ / فنون نظامی / فارسی</w:t>
      </w:r>
      <w:bookmarkEnd w:id="2805"/>
    </w:p>
    <w:p>
      <w:pPr>
        <w:pStyle w:val="BookText"/>
      </w:pPr>
      <w:r>
        <w:rPr>
          <w:rFonts w:ascii="Times New Roman" w:hAnsi="Times New Roman" w:eastAsia="Times New Roman" w:cs="Times New Roman"/>
          <w:lang w:val="en-US" w:bidi="en-US"/>
          <w:color w:val="111111"/>
          <w:sz w:val="28"/>
          <w:szCs w:val="28"/>
          <w:rtl/>
        </w:rPr>
        <w:t xml:space="preserve">tāktīk-e jang</w:t>
      </w:r>
    </w:p>
    <w:p>
      <w:pPr>
        <w:pStyle w:val="BookText"/>
      </w:pPr>
      <w:r>
        <w:rPr>
          <w:rFonts w:ascii="IRNazanin" w:hAnsi="IRNazanin" w:eastAsia="IRNazanin" w:cs="IRNazanin"/>
          <w:lang w:bidi="fa-IR"/>
          <w:color w:val="111111"/>
          <w:sz w:val="28"/>
          <w:szCs w:val="28"/>
          <w:rtl/>
        </w:rPr>
        <w:t xml:space="preserve">کتابی است در علم و آداب جنگ که در آن از استراتژی و تاکتیک و تاریخ جنگ بحث می شود، شامل مطالبی مانند: تاکتیک قبل از اسلحه آتشی، تاکتیک بعد از اختراع اسلحه آتشی، تاکتیک مقرری پیاده نظام، حرکت قشون، جنگ، علائم مناصب جنگی، دسته بندی های جنگی (گروهان و ...) و بعضی مطالب دیگر دارای نقشه های سلاح های مورد استفاده در جنگها</w:t>
      </w:r>
    </w:p>
    <w:p>
      <w:pPr>
        <w:pStyle w:val="BookText"/>
      </w:pPr>
      <w:r>
        <w:rPr>
          <w:rFonts w:ascii="IRNazanin" w:hAnsi="IRNazanin" w:eastAsia="IRNazanin" w:cs="IRNazanin"/>
          <w:lang w:bidi="fa-IR"/>
          <w:color w:val="111111"/>
          <w:sz w:val="28"/>
          <w:szCs w:val="28"/>
          <w:rtl/>
        </w:rPr>
        <w:t xml:space="preserve">۱. قم؛ گلپایگانی؛ شماره نسخه: ۱۰۸۱- ۶/۱۷۱</w:t>
      </w:r>
    </w:p>
    <w:p>
      <w:pPr>
        <w:pStyle w:val="BookText"/>
      </w:pPr>
      <w:r>
        <w:rPr>
          <w:rFonts w:ascii="IRNazanin" w:hAnsi="IRNazanin" w:eastAsia="IRNazanin" w:cs="IRNazanin"/>
          <w:lang w:bidi="fa-IR"/>
          <w:color w:val="111111"/>
          <w:sz w:val="28"/>
          <w:szCs w:val="28"/>
          <w:rtl/>
        </w:rPr>
        <w:t xml:space="preserve">آغاز: بسمله علم تاکتیک. علم جنگ درجه اعلی عبارت است از تاریخ جنگ استراتژی و تاکتیک علم جنگ داخلی عبارت است از علم اسلحه و قلعه سازی و نقشه برداری و جغرافیای جنگی و علم صرفه نظامی؛ انجام: و مرحمتش بیش است و سوای چند تیربا جعبه ساچمه نمی توان تیراندازی نمود و حال آنکه با ... می توان بهتر خود نگاهداری نمود. خط: نستعلیق، کاتب = مؤلف، تا: قرن ۱۳ و ۱۴؛ تملك: غلامحسین خلیفه اتاق ثوپخانه مدرسه دارالفنون؛ جلد: گالینگور قهوه ای عطف تیماج، ۱۰۸گ، مختلف السطر،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w:t>
      </w:r>
    </w:p>
    <w:p>
      <w:pPr>
        <w:pStyle w:val="BookText"/>
      </w:pPr>
      <w:r>
        <w:rPr>
          <w:rFonts w:ascii="IRNazanin" w:hAnsi="IRNazanin" w:eastAsia="IRNazanin" w:cs="IRNazanin"/>
          <w:lang w:bidi="fa-IR"/>
          <w:color w:val="111111"/>
          <w:sz w:val="28"/>
          <w:szCs w:val="28"/>
          <w:rtl/>
        </w:rPr>
        <w:t xml:space="preserve">[ف: ۲-۷۰۶]</w:t>
      </w:r>
    </w:p>
    <w:p>
      <w:pPr>
        <w:pStyle w:val="BookText"/>
      </w:pPr>
      <w:r>
        <w:rPr>
          <w:rFonts w:ascii="IRNazanin" w:hAnsi="IRNazanin" w:eastAsia="IRNazanin" w:cs="IRNazanin"/>
          <w:lang w:bidi="fa-IR"/>
          <w:color w:val="111111"/>
          <w:sz w:val="28"/>
          <w:szCs w:val="28"/>
          <w:rtl/>
        </w:rPr>
        <w:t xml:space="preserve">۲. تهران؛ ملی؛ شماره نسخه:۱۰۱۸</w:t>
      </w:r>
    </w:p>
    <w:p>
      <w:pPr>
        <w:pStyle w:val="BookText"/>
      </w:pPr>
      <w:r>
        <w:rPr>
          <w:rFonts w:ascii="IRNazanin" w:hAnsi="IRNazanin" w:eastAsia="IRNazanin" w:cs="IRNazanin"/>
          <w:lang w:bidi="fa-IR"/>
          <w:color w:val="111111"/>
          <w:sz w:val="28"/>
          <w:szCs w:val="28"/>
          <w:rtl/>
        </w:rPr>
        <w:t xml:space="preserve">آغاز: بسمله، تاکتیک علم جنگ درجه اعلی عبارتست است از تاریخ جنگ و استراتژی و تاکتیک؛ انجام: بغیر ستونهای معمول در رژیمان ستون بندیهای ذیل نیز مجری و متداول است. در این نسخه از تاکتیک نظامی و از آرایشی که قوای طرفین به هنگام جنگ باید بگیرند و بالاخره از صورت بندی ارتش ها در جنگهای اخیر (خاصه جنگ های معروف و نزدیک به زمان تحریر این کتاب) سخن رفته است؛ خط شکسته نستعلیق، کا: محتملا نویسنده، تا: قرن ۱۳، جان محتملا تهران؛ حاوی تعدادی نقشه راجع به قسمت های مختلف قشون و عملیات و آرایش آنها؛ کاغذ: فرنگی، جلد: مقوایی عطف تیماج قرمز، ۱۵۴گ، ۱۵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۳-۱۷]</w:t>
      </w:r>
    </w:p>
    <w:p>
      <w:pPr>
        <w:pStyle w:val="Heading3"/>
      </w:pPr>
      <w:bookmarkStart w:id="2806" w:name="_Toc2066"/>
      <w:r>
        <w:t>•تاکتیک عملیات جنگی / فنون نظامی / فارسی</w:t>
      </w:r>
      <w:bookmarkEnd w:id="2806"/>
    </w:p>
    <w:p>
      <w:pPr>
        <w:pStyle w:val="BookText"/>
      </w:pPr>
      <w:r>
        <w:rPr>
          <w:rFonts w:ascii="Times New Roman" w:hAnsi="Times New Roman" w:eastAsia="Times New Roman" w:cs="Times New Roman"/>
          <w:lang w:val="en-US" w:bidi="en-US"/>
          <w:color w:val="111111"/>
          <w:sz w:val="28"/>
          <w:szCs w:val="28"/>
          <w:rtl/>
        </w:rPr>
        <w:t xml:space="preserve">tāktīk-e ‘amalīyāt-e jangī</w:t>
      </w:r>
    </w:p>
    <w:p>
      <w:pPr>
        <w:pStyle w:val="BookText"/>
      </w:pPr>
      <w:r>
        <w:rPr>
          <w:rFonts w:ascii="IRNazanin" w:hAnsi="IRNazanin" w:eastAsia="IRNazanin" w:cs="IRNazanin"/>
          <w:lang w:bidi="fa-IR"/>
          <w:color w:val="111111"/>
          <w:sz w:val="28"/>
          <w:szCs w:val="28"/>
          <w:rtl/>
        </w:rPr>
        <w:t xml:space="preserve">تاریخ تأليف: رجب ۱۲۸۴ق ترجمه از زبان فرانسه. جزوه تاکتیک که جناب آجودان کماندان آقای علی خان از زبان فرانسه به فارسی ترجمه فرموده است. گویا این جزوه از امیر خان نامی بوده است. در دو کتاب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bookmarkStart w:id="623" w:name="pg20363_209955"/>
    <w:bookmarkEnd w:id="623"/>
    <w:p>
      <w:pPr>
        <w:pStyle w:val="BookText"/>
      </w:pPr>
      <w:r>
        <w:rPr>
          <w:rFonts w:ascii="IRNazanin" w:hAnsi="IRNazanin" w:eastAsia="IRNazanin" w:cs="IRNazanin"/>
          <w:lang w:bidi="fa-IR"/>
          <w:color w:val="111111"/>
          <w:sz w:val="28"/>
          <w:szCs w:val="28"/>
          <w:rtl/>
        </w:rPr>
        <w:t xml:space="preserve">تهران؛ ملک؛ شماره نسخه:۲۰۶۴</w:t>
      </w:r>
    </w:p>
    <w:p>
      <w:pPr>
        <w:pStyle w:val="BookText"/>
      </w:pPr>
      <w:r>
        <w:rPr>
          <w:rFonts w:ascii="IRNazanin" w:hAnsi="IRNazanin" w:eastAsia="IRNazanin" w:cs="IRNazanin"/>
          <w:lang w:bidi="fa-IR"/>
          <w:color w:val="111111"/>
          <w:sz w:val="28"/>
          <w:szCs w:val="28"/>
          <w:rtl/>
        </w:rPr>
        <w:t xml:space="preserve">آغاز: بجهت اینکه قشون پس از حرکت در رسیدن به نقطه مقصود مستعد جنگ باشد؛ انجام: ضرر و منفعت در کمی و زیادی او است. خط: شکسته، نستعلیق، بی کا، تا: قرن ۱۳؛ کاغذ: کاغذ آهار مهره فرنگی، جلد: رویه ابری فرنگی، ۸۴گ، ۱۴ سطر، اندازه: ۱۷/۹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۱۱/۱</w:t>
      </w:r>
    </w:p>
    <w:p>
      <w:pPr>
        <w:pStyle w:val="BookText"/>
      </w:pPr>
      <w:r>
        <w:rPr>
          <w:rFonts w:ascii="IRNazanin" w:hAnsi="IRNazanin" w:eastAsia="IRNazanin" w:cs="IRNazanin"/>
          <w:lang w:bidi="fa-IR"/>
          <w:color w:val="111111"/>
          <w:sz w:val="28"/>
          <w:szCs w:val="28"/>
          <w:rtl/>
        </w:rPr>
        <w:t xml:space="preserve">سم [ف: ۲-۹۶]</w:t>
      </w:r>
    </w:p>
    <w:p>
      <w:pPr>
        <w:pStyle w:val="Heading3"/>
      </w:pPr>
      <w:bookmarkStart w:id="2807" w:name="_Toc2067"/>
      <w:r>
        <w:t>•تأکید قاعده اسطاطكو در مورد محلهای متنازع فيه میان دولت ایران و عثمانی / اسناد / فارسی</w:t>
      </w:r>
      <w:bookmarkEnd w:id="2807"/>
    </w:p>
    <w:p>
      <w:pPr>
        <w:pStyle w:val="BookText"/>
      </w:pPr>
      <w:r>
        <w:rPr>
          <w:rFonts w:ascii="Times New Roman" w:hAnsi="Times New Roman" w:eastAsia="Times New Roman" w:cs="Times New Roman"/>
          <w:lang w:val="en-US" w:bidi="en-US"/>
          <w:color w:val="111111"/>
          <w:sz w:val="28"/>
          <w:szCs w:val="28"/>
          <w:rtl/>
        </w:rPr>
        <w:t xml:space="preserve">taʼkīd-e qā'ede-ye estātko dar mowred-e mahalhāye motanāze' fyh mīyān-e dowlat-e īrān va ‘osmānī</w:t>
      </w:r>
    </w:p>
    <w:p>
      <w:pPr>
        <w:pStyle w:val="BookText"/>
      </w:pPr>
      <w:r>
        <w:rPr>
          <w:rFonts w:ascii="IRNazanin" w:hAnsi="IRNazanin" w:eastAsia="IRNazanin" w:cs="IRNazanin"/>
          <w:lang w:bidi="fa-IR"/>
          <w:color w:val="111111"/>
          <w:sz w:val="28"/>
          <w:szCs w:val="28"/>
          <w:rtl/>
        </w:rPr>
        <w:t xml:space="preserve">تاريخ تأليف: ۸ جمادی الثانی ۱۲۸۶ق توسط علی اصغر خان صدر اعظم در زمان ناصرالدين شاه در هفت فقره و سواد رقیمه وزارت خارجه ایران به جهت تاکید قواعد اسطاطكو و رفع برخی مشاجرات سرحدی مورخ ۸ جمادی الثانی ۱۲۸۶ با قراردادی دیگر میان دولت ایران و عثمانی به ترکی نوشته داود بن محمد حسین بن علی مازندرانی در روز دوشنبه ۱۶ جمادی الثانی ۱۳۲۱.</w:t>
      </w:r>
    </w:p>
    <w:p>
      <w:pPr>
        <w:pStyle w:val="BookText"/>
      </w:pPr>
      <w:r>
        <w:rPr>
          <w:rFonts w:ascii="IRNazanin" w:hAnsi="IRNazanin" w:eastAsia="IRNazanin" w:cs="IRNazanin"/>
          <w:lang w:bidi="fa-IR"/>
          <w:color w:val="111111"/>
          <w:sz w:val="28"/>
          <w:szCs w:val="28"/>
          <w:rtl/>
        </w:rPr>
        <w:t xml:space="preserve">تهران؛ ملک؛ شماره نسخه: ۹۸۲/۳۶</w:t>
      </w:r>
    </w:p>
    <w:p>
      <w:pPr>
        <w:pStyle w:val="BookText"/>
      </w:pPr>
      <w:r>
        <w:rPr>
          <w:rFonts w:ascii="IRNazanin" w:hAnsi="IRNazanin" w:eastAsia="IRNazanin" w:cs="IRNazanin"/>
          <w:lang w:bidi="fa-IR"/>
          <w:color w:val="111111"/>
          <w:sz w:val="28"/>
          <w:szCs w:val="28"/>
          <w:rtl/>
        </w:rPr>
        <w:t xml:space="preserve">خط شکسته نستعلیق، کا: داود بن محمد بن علی مازندرانی، بی تا؛ گ (۱۲۰ر۱۲۵پ) [ف: ۷-۱۱۷]</w:t>
      </w:r>
    </w:p>
    <w:p>
      <w:pPr>
        <w:pStyle w:val="Heading3"/>
      </w:pPr>
      <w:bookmarkStart w:id="2808" w:name="_Toc2068"/>
      <w:r>
        <w:t>•تأليف الاحاديث / گوناگون / عربی</w:t>
      </w:r>
      <w:bookmarkEnd w:id="2808"/>
    </w:p>
    <w:p>
      <w:pPr>
        <w:pStyle w:val="BookText"/>
      </w:pPr>
      <w:r>
        <w:rPr>
          <w:rFonts w:ascii="Times New Roman" w:hAnsi="Times New Roman" w:eastAsia="Times New Roman" w:cs="Times New Roman"/>
          <w:lang w:val="en-US" w:bidi="en-US"/>
          <w:color w:val="111111"/>
          <w:sz w:val="28"/>
          <w:szCs w:val="28"/>
          <w:rtl/>
        </w:rPr>
        <w:t xml:space="preserve">ta’līf-ul aḥādīt</w:t>
      </w:r>
    </w:p>
    <w:p>
      <w:pPr>
        <w:pStyle w:val="BookText"/>
      </w:pPr>
      <w:r>
        <w:rPr>
          <w:rFonts w:ascii="IRNazanin" w:hAnsi="IRNazanin" w:eastAsia="IRNazanin" w:cs="IRNazanin"/>
          <w:lang w:bidi="fa-IR"/>
          <w:color w:val="111111"/>
          <w:sz w:val="28"/>
          <w:szCs w:val="28"/>
          <w:rtl/>
        </w:rPr>
        <w:t xml:space="preserve">مؤلف مجموعه ای از روایات، قصص وحكايات، ادعیه و اشعار را در این اثر جمع آوری کرده و در انتهای کتاب نام کتب مورد استفاده را در جدولی ذکر نموده است در برخی صفحات از اشعار فارسی نیز بهره جسته است. نام مزبور در برگ اول نسخه نوشته شده است.</w:t>
      </w:r>
    </w:p>
    <w:p>
      <w:pPr>
        <w:pStyle w:val="BookText"/>
      </w:pPr>
      <w:r>
        <w:rPr>
          <w:rFonts w:ascii="IRNazanin" w:hAnsi="IRNazanin" w:eastAsia="IRNazanin" w:cs="IRNazanin"/>
          <w:lang w:bidi="fa-IR"/>
          <w:color w:val="111111"/>
          <w:sz w:val="28"/>
          <w:szCs w:val="28"/>
          <w:rtl/>
        </w:rPr>
        <w:t xml:space="preserve">قزوین؛ امام صادق؛ شماره نسخه: ۳۹</w:t>
      </w:r>
    </w:p>
    <w:p>
      <w:pPr>
        <w:pStyle w:val="BookText"/>
      </w:pPr>
      <w:r>
        <w:rPr>
          <w:rFonts w:ascii="IRNazanin" w:hAnsi="IRNazanin" w:eastAsia="IRNazanin" w:cs="IRNazanin"/>
          <w:lang w:bidi="fa-IR"/>
          <w:color w:val="111111"/>
          <w:sz w:val="28"/>
          <w:szCs w:val="28"/>
          <w:rtl/>
        </w:rPr>
        <w:t xml:space="preserve">آغاز: بسمله يقول مؤلف هذا الكتاب يسر الله له، تيمناه و وفقه لما يحبه و يرضى ... هذه ابیات سمحت بها قريحتی و جادت بها رویتی متضمنة لما نطق بعض الآيات والأحاديث من فضائل سید المرسلین و مناقب امیر المومنین و ... قال النبي ع ما خلق الله خلقا افضل مني و لااكرم عليه منی. دلا تا توانی به نعت پیمبر *** بکش تارهای نفس را بگوهر / بمداحی سرور هر دو عالم *** بر آور خطیب زبان را بمنبر؛ انجام: و لنختم هذا التأليف فيما يفعل ... وان كتبتها في رقعة و جعلها في كفه اليسار عند روية الهلال و يقول ما ذكرناه افضل ... لجامعه: همین وسیله مرا بس که هست در مشتم *** زعقد انمله نام چهارده معصوم</w:t>
      </w:r>
    </w:p>
    <w:p>
      <w:pPr>
        <w:pStyle w:val="BookText"/>
      </w:pPr>
      <w:r>
        <w:rPr>
          <w:rFonts w:ascii="IRNazanin" w:hAnsi="IRNazanin" w:eastAsia="IRNazanin" w:cs="IRNazanin"/>
          <w:lang w:bidi="fa-IR"/>
          <w:color w:val="111111"/>
          <w:sz w:val="28"/>
          <w:szCs w:val="28"/>
          <w:rtl/>
        </w:rPr>
        <w:t xml:space="preserve">کامل؛ خط: نستعلیق، كا: عبدالعلی بن معصوم، تا: ۱۲۳۷ق؛ تملك: عبدالله بن حسن بن عبدالله در ۱۲۸۳ق؛ جلد: تیماج قهوه ای، ۱۸گ، ۳۱ سطر [ف: ۱- ۴۹]</w:t>
      </w:r>
    </w:p>
    <w:p>
      <w:pPr>
        <w:pStyle w:val="BookText"/>
      </w:pPr>
      <w:r>
        <w:rPr>
          <w:rFonts w:ascii="IRNazanin" w:hAnsi="IRNazanin" w:eastAsia="IRNazanin" w:cs="IRNazanin"/>
          <w:lang w:bidi="fa-IR"/>
          <w:color w:val="111111"/>
          <w:sz w:val="28"/>
          <w:szCs w:val="28"/>
          <w:rtl/>
        </w:rPr>
        <w:t xml:space="preserve">← تالیف شریفی ← طب شریفی</w:t>
      </w:r>
    </w:p>
    <w:p>
      <w:pPr>
        <w:pStyle w:val="BookText"/>
      </w:pPr>
      <w:r>
        <w:rPr>
          <w:rFonts w:ascii="Amiri" w:hAnsi="Amiri" w:eastAsia="Amiri" w:cs="Amiri"/>
          <w:lang w:bidi="ar-SA"/>
          <w:color w:val="111111"/>
          <w:sz w:val="28"/>
          <w:szCs w:val="28"/>
          <w:rtl/>
        </w:rPr>
        <w:t xml:space="preserve">← تاليف المحبة ← تزكية الصحبة</w:t>
      </w:r>
    </w:p>
    <w:p>
      <w:pPr>
        <w:pStyle w:val="Heading3"/>
      </w:pPr>
      <w:bookmarkStart w:id="2809" w:name="_Toc2069"/>
      <w:r>
        <w:t>•تأليفيه = تناسب تألیفی / هیأت / فارسی</w:t>
      </w:r>
      <w:bookmarkEnd w:id="2809"/>
    </w:p>
    <w:p>
      <w:pPr>
        <w:pStyle w:val="BookText"/>
      </w:pPr>
      <w:r>
        <w:rPr>
          <w:rFonts w:ascii="Times New Roman" w:hAnsi="Times New Roman" w:eastAsia="Times New Roman" w:cs="Times New Roman"/>
          <w:lang w:val="en-US" w:bidi="en-US"/>
          <w:color w:val="111111"/>
          <w:sz w:val="28"/>
          <w:szCs w:val="28"/>
          <w:rtl/>
        </w:rPr>
        <w:t xml:space="preserve">ta'lifiye = tanasob-e ta'lifi</w:t>
      </w:r>
    </w:p>
    <w:p>
      <w:pPr>
        <w:pStyle w:val="BookText"/>
      </w:pPr>
      <w:r>
        <w:rPr>
          <w:rFonts w:ascii="IRNazanin" w:hAnsi="IRNazanin" w:eastAsia="IRNazanin" w:cs="IRNazanin"/>
          <w:lang w:bidi="fa-IR"/>
          <w:color w:val="111111"/>
          <w:sz w:val="28"/>
          <w:szCs w:val="28"/>
          <w:rtl/>
        </w:rPr>
        <w:t xml:space="preserve">کوبنانی، ابواسحاق، -۸۸۶ قمری</w:t>
      </w:r>
    </w:p>
    <w:p>
      <w:pPr>
        <w:pStyle w:val="BookText"/>
      </w:pPr>
      <w:r>
        <w:rPr>
          <w:rFonts w:ascii="Times New Roman" w:hAnsi="Times New Roman" w:eastAsia="Times New Roman" w:cs="Times New Roman"/>
          <w:lang w:val="en-US" w:bidi="en-US"/>
          <w:color w:val="111111"/>
          <w:sz w:val="28"/>
          <w:szCs w:val="28"/>
          <w:rtl/>
        </w:rPr>
        <w:t xml:space="preserve">kūbnānī, ābūeshāq (-1482)</w:t>
      </w:r>
    </w:p>
    <w:p>
      <w:pPr>
        <w:pStyle w:val="BookText"/>
      </w:pPr>
      <w:r>
        <w:rPr>
          <w:rFonts w:ascii="IRNazanin" w:hAnsi="IRNazanin" w:eastAsia="IRNazanin" w:cs="IRNazanin"/>
          <w:lang w:bidi="fa-IR"/>
          <w:color w:val="111111"/>
          <w:sz w:val="28"/>
          <w:szCs w:val="28"/>
          <w:rtl/>
        </w:rPr>
        <w:t xml:space="preserve">وابسته به: حلل المطرز في المعما و اللغز = حلل مطرز؛ شرف الدین علی یزدی (-۸۵۸) تاريخ تأليف: رمضان ۸۶۲ق؛ محل تأليف: کرمان گزارشی است بر مسأله ریاضی تناسب تالیفی «حلل مطرز» شرف الدین علی یزدی در ۱ «مقدمه» و ۳ «مطلب» و ۱ «خاتمه» نگاشته است. آغاز: نقل از حلل مطرز در فن معمی و لغز روح مؤلفه معتبر در تناسب تالیفی حال فصل حدود است و حال طرفین ... مفتتح کلام و بجهت اقامه برهان برین معانی محكمة المباني اقل خدام ابواسحق بن عبدالله الكوبنانی مقدمه و سه مطلب و خاتمه مرتب میگرداند شرح: معتبر در مناسبات تالیفی حال فصل حدود است و حال طرفین و اما واسطه که در مناسبات عددی و هندسی تالی یک نسبت می باشد و مقدم آن دیگر ... هیچ یک از نسبتین نه مقدمست و نه تالی ... انجام: و این مساوی ضرب اصغر است در فصل ثانی پس ضرب طرف اصغر در اوسط را با این ضم کنیم یک مسطح دیگر طرفین را حاصل شود تم و الحمدلله.</w:t>
      </w:r>
    </w:p>
    <w:p>
      <w:pPr>
        <w:pStyle w:val="BookText"/>
      </w:pPr>
      <w:r>
        <w:rPr>
          <w:rFonts w:ascii="IRNazanin" w:hAnsi="IRNazanin" w:eastAsia="IRNazanin" w:cs="IRNazanin"/>
          <w:lang w:bidi="fa-IR"/>
          <w:color w:val="111111"/>
          <w:sz w:val="28"/>
          <w:szCs w:val="28"/>
          <w:rtl/>
        </w:rPr>
        <w:t xml:space="preserve">[دنا ۷۵۷/۲ (۱ نسخه)؛ فهرستواره منزوی ۲۶۲۰/۴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نسخه:۲۴۱۷/۵</w:t>
      </w:r>
    </w:p>
    <w:p>
      <w:pPr>
        <w:pStyle w:val="BookText"/>
      </w:pPr>
      <w:r>
        <w:rPr>
          <w:rFonts w:ascii="IRNazanin" w:hAnsi="IRNazanin" w:eastAsia="IRNazanin" w:cs="IRNazanin"/>
          <w:lang w:bidi="fa-IR"/>
          <w:color w:val="111111"/>
          <w:sz w:val="28"/>
          <w:szCs w:val="28"/>
          <w:rtl/>
        </w:rPr>
        <w:t xml:space="preserve">آغاز و انجام: برابر کاتب = مؤلف، تا: ربيع الثانی ۸۶۸ ق، جان جرون؛ کاغذ: سمرقندی، جلد: تیماج عنابی زرکوب مقوایی، ۱۱ص (۴۲۵ -۴۳۵)، ۱۴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اندازه: 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۱۷/۵ سم [ف: ۹-۱۰۵۴]</w:t>
      </w:r>
    </w:p>
    <w:p>
      <w:pPr>
        <w:pStyle w:val="BookText"/>
      </w:pPr>
      <w:r>
        <w:rPr>
          <w:rFonts w:ascii="IRNazanin" w:hAnsi="IRNazanin" w:eastAsia="IRNazanin" w:cs="IRNazanin"/>
          <w:lang w:bidi="fa-IR"/>
          <w:color w:val="111111"/>
          <w:sz w:val="28"/>
          <w:szCs w:val="28"/>
          <w:rtl/>
        </w:rPr>
        <w:t xml:space="preserve">تهران؛ دائرة المعارف، شماره نسخه:۵۷۶/۶ - عکسی</w:t>
      </w:r>
    </w:p>
    <w:p>
      <w:pPr>
        <w:pStyle w:val="BookText"/>
      </w:pPr>
      <w:r>
        <w:rPr>
          <w:rFonts w:ascii="IRNazanin" w:hAnsi="IRNazanin" w:eastAsia="IRNazanin" w:cs="IRNazanin"/>
          <w:lang w:bidi="fa-IR"/>
          <w:color w:val="111111"/>
          <w:sz w:val="28"/>
          <w:szCs w:val="28"/>
          <w:rtl/>
        </w:rPr>
        <w:t xml:space="preserve">نسخه اصل: همان نسخه بالا [عکسی ف: ۲-۵۸]</w:t>
      </w:r>
    </w:p>
    <w:p>
      <w:pPr>
        <w:pStyle w:val="BookText"/>
      </w:pPr>
      <w:r>
        <w:rPr>
          <w:rFonts w:ascii="IRNazanin" w:hAnsi="IRNazanin" w:eastAsia="IRNazanin" w:cs="IRNazanin"/>
          <w:lang w:bidi="fa-IR"/>
          <w:color w:val="111111"/>
          <w:sz w:val="28"/>
          <w:szCs w:val="28"/>
          <w:rtl/>
        </w:rPr>
        <w:t xml:space="preserve">۲. تهران: مجلس؛ شماره نسخه: ۶۳۲۱/۱۴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بی تا، کاغذ: سمرقندی، جلد: تیماج قرمز، ۹۵ص (۱۴۸ -۲۴۲)،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۱۹-۳۱۷]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bookmarkStart w:id="624" w:name="pg20363_209956"/>
    <w:bookmarkEnd w:id="624"/>
    <w:p>
      <w:pPr>
        <w:pStyle w:val="Heading3"/>
      </w:pPr>
      <w:bookmarkStart w:id="2810" w:name="_Toc2070"/>
      <w:r>
        <w:t>•تامة الحكمة لاكمال النعمة = تام الحكمه / عرفان و تصوف / فارسی</w:t>
      </w:r>
      <w:bookmarkEnd w:id="2810"/>
    </w:p>
    <w:p>
      <w:pPr>
        <w:pStyle w:val="BookText"/>
      </w:pPr>
      <w:r>
        <w:rPr>
          <w:rFonts w:ascii="Times New Roman" w:hAnsi="Times New Roman" w:eastAsia="Times New Roman" w:cs="Times New Roman"/>
          <w:lang w:val="en-US" w:bidi="en-US"/>
          <w:color w:val="111111"/>
          <w:sz w:val="28"/>
          <w:szCs w:val="28"/>
          <w:rtl/>
        </w:rPr>
        <w:t xml:space="preserve">tāmmat-ol hekma le-ekmāl-en ne'ma</w:t>
      </w:r>
    </w:p>
    <w:p>
      <w:pPr>
        <w:pStyle w:val="BookText"/>
      </w:pPr>
      <w:r>
        <w:rPr>
          <w:rFonts w:ascii="IRNazanin" w:hAnsi="IRNazanin" w:eastAsia="IRNazanin" w:cs="IRNazanin"/>
          <w:lang w:bidi="fa-IR"/>
          <w:color w:val="111111"/>
          <w:sz w:val="28"/>
          <w:szCs w:val="28"/>
          <w:rtl/>
        </w:rPr>
        <w:t xml:space="preserve">مجدالاشراف، محمد بن ابوالقاسم، ۱۲۴۶؟ -۱۳۳۱؟ قمری</w:t>
      </w:r>
    </w:p>
    <w:p>
      <w:pPr>
        <w:pStyle w:val="BookText"/>
      </w:pPr>
      <w:r>
        <w:rPr>
          <w:rFonts w:ascii="Times New Roman" w:hAnsi="Times New Roman" w:eastAsia="Times New Roman" w:cs="Times New Roman"/>
          <w:lang w:val="en-US" w:bidi="en-US"/>
          <w:color w:val="111111"/>
          <w:sz w:val="28"/>
          <w:szCs w:val="28"/>
          <w:rtl/>
        </w:rPr>
        <w:t xml:space="preserve">majd-ol-ašrāf, mohammad ebn-e ab-ol-qāsem (1831 1913)</w:t>
      </w:r>
    </w:p>
    <w:p>
      <w:pPr>
        <w:pStyle w:val="BookText"/>
      </w:pPr>
      <w:r>
        <w:rPr>
          <w:rFonts w:ascii="IRNazanin" w:hAnsi="IRNazanin" w:eastAsia="IRNazanin" w:cs="IRNazanin"/>
          <w:lang w:bidi="fa-IR"/>
          <w:color w:val="111111"/>
          <w:sz w:val="28"/>
          <w:szCs w:val="28"/>
          <w:rtl/>
        </w:rPr>
        <w:t xml:space="preserve">وی این کتاب را مقدمه کتاب «قوائم الانوار و طوالع الاسرار» پدر خود قرار داده و در آن از مسائل متفرق عرفانی به روش ذهبیه سخن گفته است. از کتاب «هادی المضلین» میرزا هدایت الله و تعلیقاتی که خود بر آن نوشته و نیز از رساله مناميه پدر خود و رساله عنقائيه خود یاد می کند. در بیان مراتب چهارگانه تکمیلیه تشریعیه و اطوار سبعه نشأت انسانی که در عالم خلقت آنها را طی می کند. آغاز: چون همواره حق تعالی از بدو خلقت آدم حقیقی و عالم واقعی و اشیاء امكانيه بجهت معرفت و شناسائی خود</w:t>
      </w:r>
    </w:p>
    <w:p>
      <w:pPr>
        <w:pStyle w:val="BookText"/>
      </w:pPr>
      <w:r>
        <w:rPr>
          <w:rFonts w:ascii="IRNazanin" w:hAnsi="IRNazanin" w:eastAsia="IRNazanin" w:cs="IRNazanin"/>
          <w:lang w:bidi="fa-IR"/>
          <w:color w:val="111111"/>
          <w:sz w:val="28"/>
          <w:szCs w:val="28"/>
          <w:rtl/>
        </w:rPr>
        <w:t xml:space="preserve">[دنا ۷۵۷/۲ ؛ الذريعة ج ۳: ۳۰۰؛ فهرستواره منزوی ۱۶۸/۷ ]</w:t>
      </w:r>
    </w:p>
    <w:p>
      <w:pPr>
        <w:pStyle w:val="BookText"/>
      </w:pPr>
      <w:r>
        <w:rPr>
          <w:rFonts w:ascii="IRNazanin" w:hAnsi="IRNazanin" w:eastAsia="IRNazanin" w:cs="IRNazanin"/>
          <w:lang w:bidi="fa-IR"/>
          <w:color w:val="111111"/>
          <w:sz w:val="28"/>
          <w:szCs w:val="28"/>
          <w:rtl/>
        </w:rPr>
        <w:t xml:space="preserve">۱. قم؛ مرعشی؛ شماره نسخه:۶۸۹۴/۱</w:t>
      </w:r>
    </w:p>
    <w:p>
      <w:pPr>
        <w:pStyle w:val="BookText"/>
      </w:pPr>
      <w:r>
        <w:rPr>
          <w:rFonts w:ascii="IRNazanin" w:hAnsi="IRNazanin" w:eastAsia="IRNazanin" w:cs="IRNazanin"/>
          <w:lang w:bidi="fa-IR"/>
          <w:color w:val="111111"/>
          <w:sz w:val="28"/>
          <w:szCs w:val="28"/>
          <w:rtl/>
        </w:rPr>
        <w:t xml:space="preserve">آغاز: برابر؛ انجام: وفقني الله و اياكم بالثبات في الصراط المستقيم بحوله و قوله در فهرست ناشناس آمده؛ خط: نسخ معرب و نستعلیق، کا: میرزا حسین عشقی، تا: ۲۴ جمادی الثانی ۱۳۰۱ق، جلد: تیماج قرمز، ۴۲گ (۱پ-۴۲پ)،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سم [ف: ۱۸-۸۵]</w:t>
      </w:r>
    </w:p>
    <w:p>
      <w:pPr>
        <w:pStyle w:val="BookText"/>
      </w:pPr>
      <w:r>
        <w:rPr>
          <w:rFonts w:ascii="IRNazanin" w:hAnsi="IRNazanin" w:eastAsia="IRNazanin" w:cs="IRNazanin"/>
          <w:lang w:bidi="fa-IR"/>
          <w:color w:val="111111"/>
          <w:sz w:val="28"/>
          <w:szCs w:val="28"/>
          <w:rtl/>
        </w:rPr>
        <w:t xml:space="preserve">۲. تهران؛ نوربخش؛ شماره نسخه: ۶۰۲/۲</w:t>
      </w:r>
    </w:p>
    <w:p>
      <w:pPr>
        <w:pStyle w:val="BookText"/>
      </w:pPr>
      <w:r>
        <w:rPr>
          <w:rFonts w:ascii="IRNazanin" w:hAnsi="IRNazanin" w:eastAsia="IRNazanin" w:cs="IRNazanin"/>
          <w:lang w:bidi="fa-IR"/>
          <w:color w:val="111111"/>
          <w:sz w:val="28"/>
          <w:szCs w:val="28"/>
          <w:rtl/>
        </w:rPr>
        <w:t xml:space="preserve">آغاز: برابر؛ انجام: سروش غیبی نهفته به گوشم گفته ... في الصراط المستقیم. خط: نستعلیق، بی کا، تا: ۲۵ محرم ۱۳۰۲ق؛ کاغذ: فرنگی، جلد: تیماج زرد، ۷۱ص (۱۴-۸۴)،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۲-۲۴۵]</w:t>
      </w:r>
    </w:p>
    <w:p>
      <w:pPr>
        <w:pStyle w:val="BookText"/>
      </w:pPr>
      <w:r>
        <w:rPr>
          <w:rFonts w:ascii="Amiri" w:hAnsi="Amiri" w:eastAsia="Amiri" w:cs="Amiri"/>
          <w:lang w:bidi="ar-SA"/>
          <w:color w:val="111111"/>
          <w:sz w:val="28"/>
          <w:szCs w:val="28"/>
          <w:rtl/>
        </w:rPr>
        <w:t xml:space="preserve">← تام الحكمه ← تامة الحكمة لاكمال النعمة</w:t>
      </w:r>
    </w:p>
    <w:p>
      <w:pPr>
        <w:pStyle w:val="Heading3"/>
      </w:pPr>
      <w:bookmarkStart w:id="2811" w:name="_Toc2071"/>
      <w:r>
        <w:t>•التأملات / فقه / عربی</w:t>
      </w:r>
      <w:bookmarkEnd w:id="2811"/>
    </w:p>
    <w:p>
      <w:pPr>
        <w:pStyle w:val="BookText"/>
      </w:pPr>
      <w:r>
        <w:rPr>
          <w:rFonts w:ascii="Times New Roman" w:hAnsi="Times New Roman" w:eastAsia="Times New Roman" w:cs="Times New Roman"/>
          <w:lang w:val="en-US" w:bidi="en-US"/>
          <w:color w:val="111111"/>
          <w:sz w:val="28"/>
          <w:szCs w:val="28"/>
          <w:rtl/>
        </w:rPr>
        <w:t xml:space="preserve">at-ta'ammulāt</w:t>
      </w:r>
    </w:p>
    <w:p>
      <w:pPr>
        <w:pStyle w:val="BookText"/>
      </w:pPr>
      <w:r>
        <w:rPr>
          <w:rFonts w:ascii="IRNazanin" w:hAnsi="IRNazanin" w:eastAsia="IRNazanin" w:cs="IRNazanin"/>
          <w:lang w:bidi="fa-IR"/>
          <w:color w:val="111111"/>
          <w:sz w:val="28"/>
          <w:szCs w:val="28"/>
          <w:rtl/>
        </w:rPr>
        <w:t xml:space="preserve">قزوینی، علی اکبر بن محمد باقر، ق۱۳ قمری</w:t>
      </w:r>
    </w:p>
    <w:p>
      <w:pPr>
        <w:pStyle w:val="BookText"/>
      </w:pPr>
      <w:r>
        <w:rPr>
          <w:rFonts w:ascii="Times New Roman" w:hAnsi="Times New Roman" w:eastAsia="Times New Roman" w:cs="Times New Roman"/>
          <w:lang w:val="en-US" w:bidi="en-US"/>
          <w:color w:val="111111"/>
          <w:sz w:val="28"/>
          <w:szCs w:val="28"/>
          <w:rtl/>
        </w:rPr>
        <w:t xml:space="preserve">qazvīnī, ‘alī akbar ebn-e mohammad bāqer (-19c)</w:t>
      </w:r>
    </w:p>
    <w:p>
      <w:pPr>
        <w:pStyle w:val="BookText"/>
      </w:pPr>
      <w:r>
        <w:rPr>
          <w:rFonts w:ascii="IRNazanin" w:hAnsi="IRNazanin" w:eastAsia="IRNazanin" w:cs="IRNazanin"/>
          <w:lang w:bidi="fa-IR"/>
          <w:color w:val="111111"/>
          <w:sz w:val="28"/>
          <w:szCs w:val="28"/>
          <w:rtl/>
        </w:rPr>
        <w:t xml:space="preserve">رساله ای است درباره بعضی از تأملات مندرج در کتاب ریاض</w:t>
      </w:r>
    </w:p>
    <w:p>
      <w:pPr>
        <w:pStyle w:val="BookText"/>
      </w:pPr>
      <w:r>
        <w:rPr>
          <w:rFonts w:ascii="IRNazanin" w:hAnsi="IRNazanin" w:eastAsia="IRNazanin" w:cs="IRNazanin"/>
          <w:lang w:bidi="fa-IR"/>
          <w:color w:val="111111"/>
          <w:sz w:val="28"/>
          <w:szCs w:val="28"/>
          <w:rtl/>
        </w:rPr>
        <w:t xml:space="preserve">تهران؛ ملی؛ شماره نسخه: ۱۷۸۳/۹</w:t>
      </w:r>
    </w:p>
    <w:p>
      <w:pPr>
        <w:pStyle w:val="BookText"/>
      </w:pPr>
      <w:r>
        <w:rPr>
          <w:rFonts w:ascii="IRNazanin" w:hAnsi="IRNazanin" w:eastAsia="IRNazanin" w:cs="IRNazanin"/>
          <w:lang w:bidi="fa-IR"/>
          <w:color w:val="111111"/>
          <w:sz w:val="28"/>
          <w:szCs w:val="28"/>
          <w:rtl/>
        </w:rPr>
        <w:t xml:space="preserve">بی کا، تا: قرن ۱۳؛ کاغذ: فرنگی، جلد: مقوایی، میشن مشکی، گ (۱۱۵-۱۲۰)، ۱۷ سطر، اندازه: ۱۹/۵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۲۳/۵ سم [ف: ۱۰-۳۶۸]</w:t>
      </w:r>
    </w:p>
    <w:p>
      <w:pPr>
        <w:pStyle w:val="Heading3"/>
      </w:pPr>
      <w:bookmarkStart w:id="2812" w:name="_Toc2072"/>
      <w:r>
        <w:t>•تأملات رياض المسائل فقه / عربی</w:t>
      </w:r>
      <w:bookmarkEnd w:id="2812"/>
    </w:p>
    <w:p>
      <w:pPr>
        <w:pStyle w:val="BookText"/>
      </w:pPr>
      <w:r>
        <w:rPr>
          <w:rFonts w:ascii="Times New Roman" w:hAnsi="Times New Roman" w:eastAsia="Times New Roman" w:cs="Times New Roman"/>
          <w:lang w:val="en-US" w:bidi="en-US"/>
          <w:color w:val="111111"/>
          <w:sz w:val="28"/>
          <w:szCs w:val="28"/>
          <w:rtl/>
        </w:rPr>
        <w:t xml:space="preserve">ta’ammulāt-u rīyād-il masā'il</w:t>
      </w:r>
    </w:p>
    <w:p>
      <w:pPr>
        <w:pStyle w:val="BookText"/>
      </w:pPr>
      <w:r>
        <w:rPr>
          <w:rFonts w:ascii="Amiri" w:hAnsi="Amiri" w:eastAsia="Amiri" w:cs="Amiri"/>
          <w:lang w:bidi="ar-SA"/>
          <w:color w:val="111111"/>
          <w:sz w:val="28"/>
          <w:szCs w:val="28"/>
          <w:rtl/>
        </w:rPr>
        <w:t xml:space="preserve">مشهد؛ الهيات، شماره نسخه:</w:t>
      </w:r>
    </w:p>
    <w:p>
      <w:pPr>
        <w:pStyle w:val="BookText"/>
      </w:pPr>
      <w:r>
        <w:rPr>
          <w:rFonts w:ascii="IRNazanin" w:hAnsi="IRNazanin" w:eastAsia="IRNazanin" w:cs="IRNazanin"/>
          <w:lang w:bidi="fa-IR"/>
          <w:color w:val="111111"/>
          <w:sz w:val="28"/>
          <w:szCs w:val="28"/>
          <w:rtl/>
        </w:rPr>
        <w:t xml:space="preserve">۲۲۵۰۲/۱۷ این رساله چاپی است؛ خط: نستعلیق، بی کا، بی تا، تملك: ابراهیم بن محمد رضوی با مهر «العبد المذنب ابراهيم بن محمد الرضوی» مورخ ۱۲۹۶ق، کاغذ فرنگی مشقی و کاهی؛ جلد: تیماج عنابی لایه ای، وگ (۲۰۰-۲۰۸)،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۲-۷۰۲]</w:t>
      </w:r>
    </w:p>
    <w:p>
      <w:pPr>
        <w:pStyle w:val="Heading3"/>
      </w:pPr>
      <w:bookmarkStart w:id="2813" w:name="_Toc2073"/>
      <w:r>
        <w:t>•تأمليه = حاشية شرح الوقاية / فقه / عربی</w:t>
      </w:r>
      <w:bookmarkEnd w:id="2813"/>
    </w:p>
    <w:p>
      <w:pPr>
        <w:pStyle w:val="BookText"/>
      </w:pPr>
      <w:r>
        <w:rPr>
          <w:rFonts w:ascii="Times New Roman" w:hAnsi="Times New Roman" w:eastAsia="Times New Roman" w:cs="Times New Roman"/>
          <w:lang w:val="en-US" w:bidi="en-US"/>
          <w:color w:val="111111"/>
          <w:sz w:val="28"/>
          <w:szCs w:val="28"/>
          <w:rtl/>
        </w:rPr>
        <w:t xml:space="preserve">ta’ammulīyya =ņāšīyat-u š.-il wiqāya</w:t>
      </w:r>
    </w:p>
    <w:p>
      <w:pPr>
        <w:pStyle w:val="BookText"/>
      </w:pPr>
      <w:r>
        <w:rPr>
          <w:rFonts w:ascii="IRNazanin" w:hAnsi="IRNazanin" w:eastAsia="IRNazanin" w:cs="IRNazanin"/>
          <w:lang w:bidi="fa-IR"/>
          <w:color w:val="111111"/>
          <w:sz w:val="28"/>
          <w:szCs w:val="28"/>
          <w:rtl/>
        </w:rPr>
        <w:t xml:space="preserve">احمد غلام بن میر عبدالله</w:t>
      </w:r>
    </w:p>
    <w:p>
      <w:pPr>
        <w:pStyle w:val="BookText"/>
      </w:pPr>
      <w:r>
        <w:rPr>
          <w:rFonts w:ascii="Times New Roman" w:hAnsi="Times New Roman" w:eastAsia="Times New Roman" w:cs="Times New Roman"/>
          <w:lang w:val="en-US" w:bidi="en-US"/>
          <w:color w:val="111111"/>
          <w:sz w:val="28"/>
          <w:szCs w:val="28"/>
          <w:rtl/>
        </w:rPr>
        <w:t xml:space="preserve">ahmad qolām ebn-e mīr 'abd-ol-lāh</w:t>
      </w:r>
    </w:p>
    <w:p>
      <w:pPr>
        <w:pStyle w:val="BookText"/>
      </w:pPr>
      <w:r>
        <w:rPr>
          <w:rFonts w:ascii="IRNazanin" w:hAnsi="IRNazanin" w:eastAsia="IRNazanin" w:cs="IRNazanin"/>
          <w:lang w:bidi="fa-IR"/>
          <w:color w:val="111111"/>
          <w:sz w:val="28"/>
          <w:szCs w:val="28"/>
          <w:rtl/>
        </w:rPr>
        <w:t xml:space="preserve">وابسته به: شرح وقاية الرواية في مسائل الهداية = شرح الوقاية ؛ صدرالشريعة الثانی، عبیدالله بن مسعود (-۷۵۰)</w:t>
      </w:r>
    </w:p>
    <w:p>
      <w:pPr>
        <w:pStyle w:val="BookText"/>
      </w:pPr>
      <w:r>
        <w:rPr>
          <w:rFonts w:ascii="IRNazanin" w:hAnsi="IRNazanin" w:eastAsia="IRNazanin" w:cs="IRNazanin"/>
          <w:lang w:bidi="fa-IR"/>
          <w:color w:val="111111"/>
          <w:sz w:val="28"/>
          <w:szCs w:val="28"/>
          <w:rtl/>
        </w:rPr>
        <w:t xml:space="preserve">تهران؛ مجلس؛ شماره نسخه:۱۸۷۱۴</w:t>
      </w:r>
    </w:p>
    <w:p>
      <w:pPr>
        <w:pStyle w:val="BookText"/>
      </w:pPr>
      <w:r>
        <w:rPr>
          <w:rFonts w:ascii="IRNazanin" w:hAnsi="IRNazanin" w:eastAsia="IRNazanin" w:cs="IRNazanin"/>
          <w:lang w:bidi="fa-IR"/>
          <w:color w:val="111111"/>
          <w:sz w:val="28"/>
          <w:szCs w:val="28"/>
          <w:rtl/>
        </w:rPr>
        <w:t xml:space="preserve">نسخه بسیار نادر؛ بی کا، بی تا [د.ث. مجلس]</w:t>
      </w:r>
    </w:p>
    <w:p>
      <w:pPr>
        <w:pStyle w:val="Heading3"/>
      </w:pPr>
      <w:bookmarkStart w:id="2814" w:name="_Toc2074"/>
      <w:r>
        <w:t>•التأمين في الصلاة / فقه / عربی</w:t>
      </w:r>
      <w:bookmarkEnd w:id="2814"/>
    </w:p>
    <w:p>
      <w:pPr>
        <w:pStyle w:val="BookText"/>
      </w:pPr>
      <w:r>
        <w:rPr>
          <w:rFonts w:ascii="Times New Roman" w:hAnsi="Times New Roman" w:eastAsia="Times New Roman" w:cs="Times New Roman"/>
          <w:lang w:val="en-US" w:bidi="en-US"/>
          <w:color w:val="111111"/>
          <w:sz w:val="28"/>
          <w:szCs w:val="28"/>
          <w:rtl/>
        </w:rPr>
        <w:t xml:space="preserve">at-ta'min fi-s salat</w:t>
      </w:r>
    </w:p>
    <w:p>
      <w:pPr>
        <w:pStyle w:val="BookText"/>
      </w:pPr>
      <w:r>
        <w:rPr>
          <w:rFonts w:ascii="IRNazanin" w:hAnsi="IRNazanin" w:eastAsia="IRNazanin" w:cs="IRNazanin"/>
          <w:lang w:bidi="fa-IR"/>
          <w:color w:val="111111"/>
          <w:sz w:val="28"/>
          <w:szCs w:val="28"/>
          <w:rtl/>
        </w:rPr>
        <w:t xml:space="preserve">حسین بن صارم الدین بن ابراهيم بن عبدالرحيم بن سلامة ؟</w:t>
      </w:r>
    </w:p>
    <w:p>
      <w:pPr>
        <w:pStyle w:val="BookText"/>
      </w:pPr>
      <w:r>
        <w:rPr>
          <w:rFonts w:ascii="Times New Roman" w:hAnsi="Times New Roman" w:eastAsia="Times New Roman" w:cs="Times New Roman"/>
          <w:lang w:val="en-US" w:bidi="en-US"/>
          <w:color w:val="111111"/>
          <w:sz w:val="28"/>
          <w:szCs w:val="28"/>
          <w:rtl/>
        </w:rPr>
        <w:t xml:space="preserve">hoseyn ebn-e sārem-od-dīn ebn-e ebrāhīm ebn-e 'abd or-rahīm ebn-e salāme</w:t>
      </w:r>
    </w:p>
    <w:p>
      <w:pPr>
        <w:pStyle w:val="BookText"/>
      </w:pPr>
      <w:r>
        <w:rPr>
          <w:rFonts w:ascii="IRNazanin" w:hAnsi="IRNazanin" w:eastAsia="IRNazanin" w:cs="IRNazanin"/>
          <w:lang w:bidi="fa-IR"/>
          <w:color w:val="111111"/>
          <w:sz w:val="28"/>
          <w:szCs w:val="28"/>
          <w:rtl/>
        </w:rPr>
        <w:t xml:space="preserve">از رسائل زیدی است در اینکه آیا «آمین گفتن» در نماز چنانچه اهل سنت انجام می دهند موجب باطل شدن نماز می شود یا نه؟</w:t>
      </w:r>
    </w:p>
    <w:p>
      <w:pPr>
        <w:pStyle w:val="BookText"/>
      </w:pPr>
      <w:r>
        <w:rPr>
          <w:rFonts w:ascii="IRNazanin" w:hAnsi="IRNazanin" w:eastAsia="IRNazanin" w:cs="IRNazanin"/>
          <w:lang w:bidi="fa-IR"/>
          <w:color w:val="111111"/>
          <w:sz w:val="28"/>
          <w:szCs w:val="28"/>
          <w:rtl/>
        </w:rPr>
        <w:t xml:space="preserve">تهران؛ مجلس؛ شماره نسخه: ۱۵۶۸۶/۲</w:t>
      </w:r>
    </w:p>
    <w:p>
      <w:pPr>
        <w:pStyle w:val="BookText"/>
      </w:pPr>
      <w:r>
        <w:rPr>
          <w:rFonts w:ascii="IRNazanin" w:hAnsi="IRNazanin" w:eastAsia="IRNazanin" w:cs="IRNazanin"/>
          <w:lang w:bidi="fa-IR"/>
          <w:color w:val="111111"/>
          <w:sz w:val="28"/>
          <w:szCs w:val="28"/>
          <w:rtl/>
        </w:rPr>
        <w:t xml:space="preserve">آغاز: الحمد لله ... و بعد فانه بلغ الينا انه صدر منكم سؤال في مسألة التأمين في الصلاة فانه كان الجواب علیكم بوجوب الانکار لذلك؛ انجام: فان الامر عظيم و الخطب جسيم ولا حول ولا قوة الا بالله العلى العظيم خط: نسخ عربی، بی کا، تا: ۹ ربیع الاول ۱۰۴۶ق؛ از روی نسخهای که چهارشنبه ۱۰ شوال ۱۰۴۳ در مدرسه شمسيه در شهر دمار (یمن) نوشه شده بود (شاید سال تأليف رساله اخیر باشد)؛ جلد: چرم قهوه ای، ۲گ (۱۰پ -۱۱پ)، ۲۴-۲۷ سطر، اندازه: ۲۲/۷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۱۶/۷ سم [ف: ۴۳-۲۴۱]</w:t>
      </w:r>
    </w:p>
    <w:p>
      <w:pPr>
        <w:pStyle w:val="BookText"/>
      </w:pPr>
      <w:r>
        <w:rPr>
          <w:rFonts w:ascii="Amiri" w:hAnsi="Amiri" w:eastAsia="Amiri" w:cs="Amiri"/>
          <w:lang w:bidi="ar-SA"/>
          <w:color w:val="111111"/>
          <w:sz w:val="28"/>
          <w:szCs w:val="28"/>
          <w:rtl/>
        </w:rPr>
        <w:t xml:space="preserve">←تأويل الآيات ← التأويلات</w:t>
      </w:r>
    </w:p>
    <w:p>
      <w:pPr>
        <w:pStyle w:val="Heading3"/>
      </w:pPr>
      <w:bookmarkStart w:id="2815" w:name="_Toc2075"/>
      <w:r>
        <w:t>•تأویل آیات / عرفان و تصوف / عربی</w:t>
      </w:r>
      <w:bookmarkEnd w:id="2815"/>
    </w:p>
    <w:p>
      <w:pPr>
        <w:pStyle w:val="BookText"/>
      </w:pPr>
      <w:r>
        <w:rPr>
          <w:rFonts w:ascii="Times New Roman" w:hAnsi="Times New Roman" w:eastAsia="Times New Roman" w:cs="Times New Roman"/>
          <w:lang w:val="en-US" w:bidi="en-US"/>
          <w:color w:val="111111"/>
          <w:sz w:val="28"/>
          <w:szCs w:val="28"/>
          <w:rtl/>
        </w:rPr>
        <w:t xml:space="preserve">ta’vīl-e āyāt</w:t>
      </w:r>
    </w:p>
    <w:p>
      <w:pPr>
        <w:pStyle w:val="BookText"/>
      </w:pPr>
      <w:r>
        <w:rPr>
          <w:rFonts w:ascii="IRNazanin" w:hAnsi="IRNazanin" w:eastAsia="IRNazanin" w:cs="IRNazanin"/>
          <w:lang w:bidi="fa-IR"/>
          <w:color w:val="111111"/>
          <w:sz w:val="28"/>
          <w:szCs w:val="28"/>
          <w:rtl/>
        </w:rPr>
        <w:t xml:space="preserve">تأویل عرفانی آیاتی از سوره نجم قرآن و بیشتر تأویلات درباره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bookmarkStart w:id="625" w:name="pg20363_209957"/>
    <w:bookmarkEnd w:id="625"/>
    <w:p>
      <w:pPr>
        <w:pStyle w:val="BookText"/>
      </w:pPr>
      <w:r>
        <w:rPr>
          <w:rFonts w:ascii="IRNazanin" w:hAnsi="IRNazanin" w:eastAsia="IRNazanin" w:cs="IRNazanin"/>
          <w:lang w:bidi="fa-IR"/>
          <w:color w:val="111111"/>
          <w:sz w:val="28"/>
          <w:szCs w:val="28"/>
          <w:rtl/>
        </w:rPr>
        <w:t xml:space="preserve">حقیقت محمدی و ولایت است. نسخه موجود با تاویل آیه «فلما اتاها نودی یا موسی انا ربک» آغاز و با تأویل سوره توحید به نقل از تأويلات عبدالرزاق کاشی پایان یافته است و به نوشته مرحوم تنکابنی در حاشیه، ناقل شرح کاشی را بر بسمله فاتحة الكتاب (در کتاب تاویلات به اینجا آورده و در آغاز تأويل سوره توحید قرار داده است. تنکابنی بخش آخر این تأويلات - تاویل سوره توحید - را که در نسخه ناقص است خود در حاشیه تکمیل و شاید از تأویلات مولی عبدالرزاق نقل کرده است. نویسنده این تاویلات، در تاویل آیه «اتی امر الله» می گوید ««کاکان» (صلی الله علیه وآله وسلم)من اهل القيامة الكبرى يشاهد احوالها في عين الجمع كما قال بعثت اناا الساعة كهاتين. و لما كان ظهورها على التفصيل بحيث يظهر لكل احد لا يكون الابوجود المهدي قال« فلا تستعجلوه» لان هذا ليس وقتظهوره»..</w:t>
      </w:r>
    </w:p>
    <w:p>
      <w:pPr>
        <w:pStyle w:val="BookText"/>
      </w:pPr>
      <w:r>
        <w:rPr>
          <w:rFonts w:ascii="IRNazanin" w:hAnsi="IRNazanin" w:eastAsia="IRNazanin" w:cs="IRNazanin"/>
          <w:lang w:bidi="fa-IR"/>
          <w:color w:val="111111"/>
          <w:sz w:val="28"/>
          <w:szCs w:val="28"/>
          <w:rtl/>
        </w:rPr>
        <w:t xml:space="preserve">تهران؛ مجلس؛ شماره نسخه:۳۹۲۰/۱۷</w:t>
      </w:r>
    </w:p>
    <w:p>
      <w:pPr>
        <w:pStyle w:val="BookText"/>
      </w:pPr>
      <w:r>
        <w:rPr>
          <w:rFonts w:ascii="IRNazanin" w:hAnsi="IRNazanin" w:eastAsia="IRNazanin" w:cs="IRNazanin"/>
          <w:lang w:bidi="fa-IR"/>
          <w:color w:val="111111"/>
          <w:sz w:val="28"/>
          <w:szCs w:val="28"/>
          <w:rtl/>
        </w:rPr>
        <w:t xml:space="preserve">بی کا، بی تا، کاغذ: آهار مهره شکری، جلد: تیماج قهوه ای، ۹ص ( ۷۲۴-۷۱۶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۱۰-۱۹۶۵]</w:t>
      </w:r>
    </w:p>
    <w:p>
      <w:pPr>
        <w:pStyle w:val="Heading3"/>
      </w:pPr>
      <w:bookmarkStart w:id="2816" w:name="_Toc2076"/>
      <w:r>
        <w:t>•تأويل الآيات / تفسير / عربی</w:t>
      </w:r>
      <w:bookmarkEnd w:id="2816"/>
    </w:p>
    <w:p>
      <w:pPr>
        <w:pStyle w:val="BookText"/>
      </w:pPr>
      <w:r>
        <w:rPr>
          <w:rFonts w:ascii="Times New Roman" w:hAnsi="Times New Roman" w:eastAsia="Times New Roman" w:cs="Times New Roman"/>
          <w:lang w:val="en-US" w:bidi="en-US"/>
          <w:color w:val="111111"/>
          <w:sz w:val="28"/>
          <w:szCs w:val="28"/>
          <w:rtl/>
        </w:rPr>
        <w:t xml:space="preserve">ta'wīl-ul āyāt</w:t>
      </w:r>
    </w:p>
    <w:p>
      <w:pPr>
        <w:pStyle w:val="BookText"/>
      </w:pPr>
      <w:r>
        <w:rPr>
          <w:rFonts w:ascii="IRNazanin" w:hAnsi="IRNazanin" w:eastAsia="IRNazanin" w:cs="IRNazanin"/>
          <w:lang w:bidi="fa-IR"/>
          <w:color w:val="111111"/>
          <w:sz w:val="28"/>
          <w:szCs w:val="28"/>
          <w:rtl/>
        </w:rPr>
        <w:t xml:space="preserve">از فاضل نیشابوری.</w:t>
      </w:r>
    </w:p>
    <w:p>
      <w:pPr>
        <w:pStyle w:val="BookText"/>
      </w:pPr>
      <w:r>
        <w:rPr>
          <w:rFonts w:ascii="IRNazanin" w:hAnsi="IRNazanin" w:eastAsia="IRNazanin" w:cs="IRNazanin"/>
          <w:lang w:bidi="fa-IR"/>
          <w:color w:val="111111"/>
          <w:sz w:val="28"/>
          <w:szCs w:val="28"/>
          <w:rtl/>
        </w:rPr>
        <w:t xml:space="preserve">مشهد؛ رضوی؛ شماره نسخه:ض ۶۱۲۴</w:t>
      </w:r>
    </w:p>
    <w:p>
      <w:pPr>
        <w:pStyle w:val="BookText"/>
      </w:pPr>
      <w:r>
        <w:rPr>
          <w:rFonts w:ascii="IRNazanin" w:hAnsi="IRNazanin" w:eastAsia="IRNazanin" w:cs="IRNazanin"/>
          <w:lang w:bidi="fa-IR"/>
          <w:color w:val="111111"/>
          <w:sz w:val="28"/>
          <w:szCs w:val="28"/>
          <w:rtl/>
        </w:rPr>
        <w:t xml:space="preserve">خط: نستعلیق شکسته، بی کا، بی تا [الفبائی:-۱۰۱]</w:t>
      </w:r>
    </w:p>
    <w:p>
      <w:pPr>
        <w:pStyle w:val="Heading3"/>
      </w:pPr>
      <w:bookmarkStart w:id="2817" w:name="_Toc2077"/>
      <w:r>
        <w:t>•تأويل الآيات الظاهرة في فضائل العترة الطاهرة / فضائل و مناقب، تفسير / عربی</w:t>
      </w:r>
      <w:bookmarkEnd w:id="2817"/>
    </w:p>
    <w:p>
      <w:pPr>
        <w:pStyle w:val="BookText"/>
      </w:pPr>
      <w:r>
        <w:rPr>
          <w:rFonts w:ascii="Times New Roman" w:hAnsi="Times New Roman" w:eastAsia="Times New Roman" w:cs="Times New Roman"/>
          <w:lang w:val="en-US" w:bidi="en-US"/>
          <w:color w:val="111111"/>
          <w:sz w:val="28"/>
          <w:szCs w:val="28"/>
          <w:rtl/>
        </w:rPr>
        <w:t xml:space="preserve">ta'wil-ul ayat-iz zahira fi fada'il-il itrat-it tahira</w:t>
      </w:r>
    </w:p>
    <w:p>
      <w:pPr>
        <w:pStyle w:val="BookText"/>
      </w:pPr>
      <w:r>
        <w:rPr>
          <w:rFonts w:ascii="IRNazanin" w:hAnsi="IRNazanin" w:eastAsia="IRNazanin" w:cs="IRNazanin"/>
          <w:lang w:bidi="fa-IR"/>
          <w:color w:val="111111"/>
          <w:sz w:val="28"/>
          <w:szCs w:val="28"/>
          <w:rtl/>
        </w:rPr>
        <w:t xml:space="preserve">استر آبادی، شرف الدين على، -۹۶۵ قمری</w:t>
      </w:r>
    </w:p>
    <w:p>
      <w:pPr>
        <w:pStyle w:val="BookText"/>
      </w:pPr>
      <w:r>
        <w:rPr>
          <w:rFonts w:ascii="Times New Roman" w:hAnsi="Times New Roman" w:eastAsia="Times New Roman" w:cs="Times New Roman"/>
          <w:lang w:val="en-US" w:bidi="en-US"/>
          <w:color w:val="111111"/>
          <w:sz w:val="28"/>
          <w:szCs w:val="28"/>
          <w:rtl/>
        </w:rPr>
        <w:t xml:space="preserve">estarābādī, šaraf-od-dīn 'alī (-1558)</w:t>
      </w:r>
    </w:p>
    <w:p>
      <w:pPr>
        <w:pStyle w:val="BookText"/>
      </w:pPr>
      <w:r>
        <w:rPr>
          <w:rFonts w:ascii="IRNazanin" w:hAnsi="IRNazanin" w:eastAsia="IRNazanin" w:cs="IRNazanin"/>
          <w:lang w:bidi="fa-IR"/>
          <w:color w:val="111111"/>
          <w:sz w:val="28"/>
          <w:szCs w:val="28"/>
          <w:rtl/>
        </w:rPr>
        <w:t xml:space="preserve">استر آبادی در این کتاب به گردآوری آیاتی پرداخته است که محدثان و مفسران شیعی و سنی در کتاب حدیثی و تفسیری در مدح اهل بیت(عليهم السلام)و مدح دوستان و ذم دشمنان ایشان به شمار آورده اند و تأویل و تفسیر کرده اند. وی این آیات را به ترتیب سوره های قرآن تنظیم کرده است. کتاب در دیباچه چنین توصیف شده است: «و بعد فاني لما رأيت بعض آیات الكتاب و تأويلها يتضمن مدح اهل البيت عليهم السلام و مدح اولیائهم و ذم اعدائهم في كثير من كتب التفاسير و الاحادیث و هي متفرقة فيها صعبة التناول لطالبيها احببت ان اجمعها بعد تفريقها و اؤلفها بعد تمزيقها في كتاب مفرد لتكون اسهل للطالب و اقرب للراغب و احلى في الخاطر و اجلى للناظر المناظر و ابين للتحقيق و اهدى الى سواء الطريق و اخذت هذا التاویل و جله عن الراسخين في العلم اولی التاویل و مما ورد من طريق العامه و هو من ذلك النزر القليل و الحقت كل آية منها بسورتها و جلوتها لاهلها في احسن صورتها و سميته تأويل الايات الظاهر في فضائل العترة الطاهره». علم بن سيف بن منصور نجفی حلی بخش هایی از این کتاب را با عنوان «جامع الفوائد و دافع المعائد» انتخاب کرده است. در بعضی نسخه ها عنوان این گزیده «کنز الفوائد و دافع المائد» یا «کنز جامع الفوائد و دافع المعاند» یا «کنز الفوائد و دافع المعاند» ثبت شده است. در پایان بعضی نسخه های «تأويل الآيات»، اضافاتی از علم بن سيف حلی آمده است. به نظر می رسد این زیادتی بخشی از اواخر «جامع الفوايد» یا همان «کنز الفوايد» باشد. مجلسی می گوید: «کتاب تاویل الآيات را اختصاری است به نام «کنز جامع الفوائد» و برخی مختصر را نیز به خود نگارنده نسبت داده اند». لیکن این نسبت صحیح نیست زیرا که مختصر آن به نام «جامع الفوائد» نگارش علم بن سيف بن منصور است و به سال ۹۳۷ آن را به پایان رسانیده و در الذریعه ( ج ۵ ص</w:t>
      </w:r>
    </w:p>
    <w:p>
      <w:pPr>
        <w:pStyle w:val="BookText"/>
      </w:pPr>
      <w:r>
        <w:rPr>
          <w:rFonts w:ascii="IRNazanin" w:hAnsi="IRNazanin" w:eastAsia="IRNazanin" w:cs="IRNazanin"/>
          <w:lang w:bidi="fa-IR"/>
          <w:color w:val="111111"/>
          <w:sz w:val="28"/>
          <w:szCs w:val="28"/>
          <w:rtl/>
        </w:rPr>
        <w:t xml:space="preserve">۶۶) یاد شده است. مجلسی همچنین می گوید: «بیشتر مطالب آن از کتاب «ما نزل من القرآن في اهل البيت» نگارش محمد بن عباس بن على بن مروان بن ماه یار، معروف به ابن جحام (ج خ) که ترجمه او در رجال نجاشی هست، گرفته شده»، ليكن این مؤلف به غیر از کتاب ابن ماهیار از کتاب های «کنز الفوائد کراجکی (-۴۴۹) و «کشف الغمة» نگارش اربلی (-۶۹۲) و کتاب های علامه حلی (-۷۲۶) نیز نقل کند. آغاز: أن احسن ما توج به هام الفاظ الكلمات و سطرته اقلام الكرام الحافظ في صحايف اعمال البريات انجام: و ينجينا من أهوال يوم القيامة بشفاعتهم و يدخلنا الجنة في زمرتهم انه بالاجابة جدير و هو على كل شيء قدير. چاپ: با تصحیح حسین استاد ولی، تهران، ۱۳۶۷ش؛ قم، توسط مدرسة الامام المهدی و جامعه مدرسین حوزه علمیه قم، ۱۴۰۹ق</w:t>
      </w:r>
    </w:p>
    <w:p>
      <w:pPr>
        <w:pStyle w:val="BookText"/>
      </w:pPr>
      <w:r>
        <w:rPr>
          <w:rFonts w:ascii="IRNazanin" w:hAnsi="IRNazanin" w:eastAsia="IRNazanin" w:cs="IRNazanin"/>
          <w:lang w:bidi="fa-IR"/>
          <w:color w:val="111111"/>
          <w:sz w:val="28"/>
          <w:szCs w:val="28"/>
          <w:rtl/>
        </w:rPr>
        <w:t xml:space="preserve">[كشف الحجب و الاستار ص ۹۴؛ نسخه های منزوی ۲۴/۱؛ دنا ۷۵۹/۲( ۳۴ نسخه)]</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کنز جامع الفوائد و دافع المعاند = كنز الفوائد و دافع المعاند = منتخب تأويل الآيات الظاهرة في العترة الطاهرة = جامع الفواید و دامغ المعاند؛ نجفی حلی، علم بن سيف (قرن ۱۰)</w:t>
      </w:r>
    </w:p>
    <w:p>
      <w:pPr>
        <w:pStyle w:val="BookText"/>
      </w:pPr>
      <w:r>
        <w:rPr>
          <w:rFonts w:ascii="Amiri" w:hAnsi="Amiri" w:eastAsia="Amiri" w:cs="Amiri"/>
          <w:lang w:bidi="ar-SA"/>
          <w:color w:val="111111"/>
          <w:sz w:val="28"/>
          <w:szCs w:val="28"/>
          <w:rtl/>
        </w:rPr>
        <w:t xml:space="preserve">۲- تأويل الآيات الظاهرة في فضائل العترة الطاهرة (خلاصه)؛ فضل الله (قرن ۱۲)</w:t>
      </w:r>
    </w:p>
    <w:p>
      <w:pPr>
        <w:pStyle w:val="BookText"/>
      </w:pPr>
      <w:r>
        <w:rPr>
          <w:rFonts w:ascii="Amiri" w:hAnsi="Amiri" w:eastAsia="Amiri" w:cs="Amiri"/>
          <w:lang w:bidi="ar-SA"/>
          <w:color w:val="111111"/>
          <w:sz w:val="28"/>
          <w:szCs w:val="28"/>
          <w:rtl/>
        </w:rPr>
        <w:t xml:space="preserve">3- تأويل الآيات الظاهرة (منتخب)</w:t>
      </w:r>
    </w:p>
    <w:p>
      <w:pPr>
        <w:pStyle w:val="BookText"/>
      </w:pPr>
      <w:r>
        <w:rPr>
          <w:rFonts w:ascii="IRNazanin" w:hAnsi="IRNazanin" w:eastAsia="IRNazanin" w:cs="IRNazanin"/>
          <w:lang w:bidi="fa-IR"/>
          <w:color w:val="111111"/>
          <w:sz w:val="28"/>
          <w:szCs w:val="28"/>
          <w:rtl/>
        </w:rPr>
        <w:t xml:space="preserve">۱. تهران؛ دانشگاه؛ شماره نسخه: ۲۰۱۱</w:t>
      </w:r>
    </w:p>
    <w:p>
      <w:pPr>
        <w:pStyle w:val="BookText"/>
      </w:pPr>
      <w:r>
        <w:rPr>
          <w:rFonts w:ascii="IRNazanin" w:hAnsi="IRNazanin" w:eastAsia="IRNazanin" w:cs="IRNazanin"/>
          <w:lang w:bidi="fa-IR"/>
          <w:color w:val="111111"/>
          <w:sz w:val="28"/>
          <w:szCs w:val="28"/>
          <w:rtl/>
        </w:rPr>
        <w:t xml:space="preserve">از آغاز تا نیمه سوره احقاف؛ خط: نسخ، بی کا، تا: قرن ۱۰؛ نسخه را علی بن ابی طی دیده و خط او، یادداشت مورخ ۸۹۹ در ۲ر هست؛ تملك: محمد بن علی بن ابی طی و پدرش ، سردار کابلی در ۱۳۳۴ق، کاغذ: سمرقندی، جلد: تیماج قهوه ای، ۱۶۷گ، ۲۳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۱۸/۵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۲۵/۵ سم [ف: ۸-۶۳۱]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 مشهد؛ رضوی؛ شماره نسخه:۱۴۴۹</w:t>
      </w:r>
    </w:p>
    <w:p>
      <w:pPr>
        <w:pStyle w:val="BookText"/>
      </w:pPr>
      <w:r>
        <w:rPr>
          <w:rFonts w:ascii="IRNazanin" w:hAnsi="IRNazanin" w:eastAsia="IRNazanin" w:cs="IRNazanin"/>
          <w:lang w:bidi="fa-IR"/>
          <w:color w:val="111111"/>
          <w:sz w:val="28"/>
          <w:szCs w:val="28"/>
          <w:rtl/>
        </w:rPr>
        <w:t xml:space="preserve">آغاز: برابر؛ انجام: و سلم تسليما كثيرا كثيرا برحمتك يا ارحم الراحمين خط: نسخ، كا: احمد بن سليمان بن محمد حسینی، تا: ۲۸ جمادی الثانی ۹۹۵ق؛ در رمضان همانسال محمد على قطیفی نسخه را مقابله و تصحیح کرده؛ واقف: ابن خاتون؛ ۲۴۸گ، ۲۱ سطر،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۴-۴۱۰]</w:t>
      </w:r>
    </w:p>
    <w:p>
      <w:pPr>
        <w:pStyle w:val="BookText"/>
      </w:pPr>
      <w:r>
        <w:rPr>
          <w:rFonts w:ascii="IRNazanin" w:hAnsi="IRNazanin" w:eastAsia="IRNazanin" w:cs="IRNazanin"/>
          <w:lang w:bidi="fa-IR"/>
          <w:color w:val="111111"/>
          <w:sz w:val="28"/>
          <w:szCs w:val="28"/>
          <w:rtl/>
        </w:rPr>
        <w:t xml:space="preserve">٣. تهران؛ مجلس؛ شماره نسخه:۴۸۴۷</w:t>
      </w:r>
    </w:p>
    <w:p>
      <w:pPr>
        <w:pStyle w:val="BookText"/>
      </w:pPr>
      <w:r>
        <w:rPr>
          <w:rFonts w:ascii="IRNazanin" w:hAnsi="IRNazanin" w:eastAsia="IRNazanin" w:cs="IRNazanin"/>
          <w:lang w:bidi="fa-IR"/>
          <w:color w:val="111111"/>
          <w:sz w:val="28"/>
          <w:szCs w:val="28"/>
          <w:rtl/>
        </w:rPr>
        <w:t xml:space="preserve">آغاز: برابر؛ انجام: مطمئين الى النار فما شرابكم الا الجحيم فما تنفعكم شفاعة الشافعين از سوره حمد تا سوره کوثر؛ خط: نسخ، بی کا، تا: قرن ۱۱؛ افتادگی: انجام؛ تملك: جلال الدين مؤرخ ۱۲۸۹، جعفر موسوی مؤرخ ربيع الأول ۱۳۱۶؛ کاغذ: اصفهانی، جلد: تیماج مشکی،</w:t>
      </w:r>
    </w:p>
    <w:p>
      <w:pPr>
        <w:pStyle w:val="BookText"/>
      </w:pPr>
      <w:r>
        <w:rPr>
          <w:rFonts w:ascii="IRNazanin" w:hAnsi="IRNazanin" w:eastAsia="IRNazanin" w:cs="IRNazanin"/>
          <w:lang w:bidi="fa-IR"/>
          <w:color w:val="111111"/>
          <w:sz w:val="28"/>
          <w:szCs w:val="28"/>
          <w:rtl/>
        </w:rPr>
        <w:t xml:space="preserve">۲۱۰گ، ۱۷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۱۳-۲۷۸]</w:t>
      </w:r>
    </w:p>
    <w:p>
      <w:pPr>
        <w:pStyle w:val="BookText"/>
      </w:pPr>
      <w:r>
        <w:rPr>
          <w:rFonts w:ascii="IRNazanin" w:hAnsi="IRNazanin" w:eastAsia="IRNazanin" w:cs="IRNazanin"/>
          <w:lang w:bidi="fa-IR"/>
          <w:color w:val="111111"/>
          <w:sz w:val="28"/>
          <w:szCs w:val="28"/>
          <w:rtl/>
        </w:rPr>
        <w:t xml:space="preserve">۴. قم: مرکز احیاء؛ شماره نسخه: ۲۰۷۰</w:t>
      </w:r>
    </w:p>
    <w:p>
      <w:pPr>
        <w:pStyle w:val="BookText"/>
      </w:pPr>
      <w:r>
        <w:rPr>
          <w:rFonts w:ascii="IRNazanin" w:hAnsi="IRNazanin" w:eastAsia="IRNazanin" w:cs="IRNazanin"/>
          <w:lang w:bidi="fa-IR"/>
          <w:color w:val="111111"/>
          <w:sz w:val="28"/>
          <w:szCs w:val="28"/>
          <w:rtl/>
        </w:rPr>
        <w:t xml:space="preserve">آغاز و انجام: برابر خط: نسخ، بی کا، تا: قرن ۱۱؛ مصحح، محشی با عناوین «بهاء»؛ تملك: «بهاء الدين محمد بن محمد باقر حسینی» با مهر «بهاء الدین محمد الحسینی»</w:t>
      </w:r>
    </w:p>
    <w:p>
      <w:pPr>
        <w:pStyle w:val="BookText"/>
      </w:pPr>
      <w:r>
        <w:rPr>
          <w:rFonts w:ascii="IRNazanin" w:hAnsi="IRNazanin" w:eastAsia="IRNazanin" w:cs="IRNazanin"/>
          <w:lang w:bidi="fa-IR"/>
          <w:color w:val="111111"/>
          <w:sz w:val="28"/>
          <w:szCs w:val="28"/>
          <w:rtl/>
        </w:rPr>
        <w:t xml:space="preserve">(مستطیل)، تملک با مهر «محمد تقی بن محمد شفيع استر آبادی» (مربع)؛ جلد: تیماج قرمز، ۱۸۴ گ، ۲۲ سطر،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 محدث ارموی مخ: ۱-۲۶۸]</w:t>
      </w:r>
    </w:p>
    <w:p>
      <w:pPr>
        <w:pStyle w:val="BookText"/>
      </w:pPr>
      <w:r>
        <w:rPr>
          <w:rFonts w:ascii="IRNazanin" w:hAnsi="IRNazanin" w:eastAsia="IRNazanin" w:cs="IRNazanin"/>
          <w:lang w:bidi="fa-IR"/>
          <w:color w:val="111111"/>
          <w:sz w:val="28"/>
          <w:szCs w:val="28"/>
          <w:rtl/>
        </w:rPr>
        <w:t xml:space="preserve">۵. قم؛ مسجد اعظم؛ شماره نسخه:۳۲۷۳</w:t>
      </w:r>
    </w:p>
    <w:p>
      <w:pPr>
        <w:pStyle w:val="BookText"/>
      </w:pPr>
      <w:r>
        <w:rPr>
          <w:rFonts w:ascii="IRNazanin" w:hAnsi="IRNazanin" w:eastAsia="IRNazanin" w:cs="IRNazanin"/>
          <w:lang w:bidi="fa-IR"/>
          <w:color w:val="111111"/>
          <w:sz w:val="28"/>
          <w:szCs w:val="28"/>
          <w:rtl/>
        </w:rPr>
        <w:t xml:space="preserve">آغاز: و اعلم ایدک الله انه قد ورد من طريق العامة و الخاصه الخبر المأثور عن عبدالله بن العباس رضي الله عنه أنه قال قال لی امیر المؤمنين صلوات الله عليه نزل القرآن ارباعة ربع فينا و ربع في عدونا؛ انجام: برابر منتخبی از اصل کتاب است ولی آغازش (برگ دوم) با آغاز اصل کتاب یکسان است و غیر از «جامع الفوائد و دافع المعاند» است؛ خط: نسخ، بی کا، تا: قرن ۱۱؛ افتادگی: آغاز (برگ اول)؛ تملک: صادق بن شیخ حسن لاهیجانی، محمود بن اصغر لنگرودی در ۱۳۰۲ ق؛ مصحح، با علامت مقابله؛ جلد: تیماج زرشکی با ترنج</w:t>
      </w:r>
    </w:p>
    <w:p>
      <w:pPr>
        <w:pStyle w:val="BookText"/>
      </w:pPr>
      <w:r>
        <w:rPr>
          <w:rFonts w:ascii="IRNazanin" w:hAnsi="IRNazanin" w:eastAsia="IRNazanin" w:cs="IRNazanin"/>
          <w:lang w:bidi="fa-IR"/>
          <w:color w:val="111111"/>
          <w:sz w:val="28"/>
          <w:szCs w:val="28"/>
          <w:rtl/>
        </w:rPr>
        <w:t xml:space="preserve">مجدول، ۲۵۳ گ، ۲۰ سطر،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مخ: ۱-۳۱۸]</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مجلس؛ شماره نسخه:۹۱۴۶</w:t>
      </w:r>
    </w:p>
    <w:p>
      <w:pPr>
        <w:pStyle w:val="BookText"/>
      </w:pPr>
      <w:r>
        <w:rPr>
          <w:rFonts w:ascii="IRNazanin" w:hAnsi="IRNazanin" w:eastAsia="IRNazanin" w:cs="IRNazanin"/>
          <w:lang w:bidi="fa-IR"/>
          <w:color w:val="111111"/>
          <w:sz w:val="28"/>
          <w:szCs w:val="28"/>
          <w:rtl/>
        </w:rPr>
        <w:t xml:space="preserve">آغاز: اعظام رحم محمد وان كل مؤمن و مؤمنة من شيعتنا هو من رحم محمد ... فالويل لمن استخف بشیء من حرمة رحم محمد؛ انجام: سروة الاخلاص ... سبحانه في افرايت من اتخذ الهه هواه ...</w:t>
      </w:r>
    </w:p>
    <w:p>
      <w:pPr>
        <w:pStyle w:val="BookText"/>
      </w:pPr>
      <w:r>
        <w:rPr>
          <w:rFonts w:ascii="IRNazanin" w:hAnsi="IRNazanin" w:eastAsia="IRNazanin" w:cs="IRNazanin"/>
          <w:lang w:bidi="fa-IR"/>
          <w:color w:val="111111"/>
          <w:sz w:val="28"/>
          <w:szCs w:val="28"/>
          <w:rtl/>
        </w:rPr>
        <w:t xml:space="preserve">غشاوة فمن يهدیه من بعد ... بن سعيد عن محمد. از اوایل شرح سوره حمد تا اواسط سوره اخلاص؛ خط: نسخ، بی کا، تا: قرن ۱۱؛ افتادگی: آغاز و انجام؛ مصحح، رکابه دار؛ مهر: عبده الراجی نجف علی» (مربع)، «احمد ابن نجفعلی» (بیضوی)، کتابخانه جعفر سلطان القرایی؛ خریداری از جعفر سلطان القرایی؛ کاغذ: نخودی آهار مهره، جلد: مقوای سفید با عطف میشن قهوه ای، ۲۱۹گ، ۲۰ سطر (۱۱/۵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اندازه: ۲۵/۲۰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۱۸/۳ سم [ف: ۲۹/۲</w:t>
      </w:r>
    </w:p>
    <w:p>
      <w:pPr>
        <w:pStyle w:val="BookText"/>
      </w:pPr>
      <w:r>
        <w:rPr>
          <w:rFonts w:ascii="IRNazanin" w:hAnsi="IRNazanin" w:eastAsia="IRNazanin" w:cs="IRNazanin"/>
          <w:lang w:bidi="fa-IR"/>
          <w:color w:val="111111"/>
          <w:sz w:val="28"/>
          <w:szCs w:val="28"/>
          <w:rtl/>
        </w:rPr>
        <w:t xml:space="preserve">-۸۰۵]</w:t>
      </w:r>
    </w:p>
    <w:p>
      <w:pPr>
        <w:pStyle w:val="BookText"/>
      </w:pPr>
      <w:r>
        <w:rPr>
          <w:rFonts w:ascii="IRNazanin" w:hAnsi="IRNazanin" w:eastAsia="IRNazanin" w:cs="IRNazanin"/>
          <w:lang w:bidi="fa-IR"/>
          <w:color w:val="111111"/>
          <w:sz w:val="28"/>
          <w:szCs w:val="28"/>
          <w:rtl/>
        </w:rPr>
        <w:t xml:space="preserve">۷. تهران، دانشگاه؛ شماره نسخه: ۱۰۲۹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ناصر بن محمد نجفی، تا: ۱۰۶۵ق، جا: مدرسه دار العلم اصفهان؛ مصحح، نویسنده پس از انجام کتاب و ذکر تاریخ نوشتن به اشتباهی دچار شده و نوشته است: «این کتاب کنز جامع الفوائد» نام دارد» و اشتباه نویسنده سبب گمراهی دیگری که آن را مطالعه نموده شده و او در کنار صفحه آخر نسخه، کتاب را نگارش علم بن سيف بن منصور معرفی کرده و تاریخ نگارش را «سنة سبع و ثلاثين و تسعمائه» معین نموده است. البته این حاشیه برای نامی که نویسنده به این کتاب داده صحيح است، ولی «جامع الفوائد» یا «کنز جامع الفوائد» نام مختصر این کتاب می باشد نه خود آن و نسخه این کتابخانه اصل کتاب «تاویل الآيات الظاهره» می باشد. در صفحه اول، معرفی این کتاب و مختصر آن را کسی از مقدمه بحار نقل کرده و همان شخص در صفحه آخر نسخه آن را مختصر تاويل الآيات معرفی کرده، در کنار صفحه اول نیز نوشته است: «این نسخه مختصر است نه اصل کتاب»؛ کاغذ: سمرقندی، جلد: تیماج سرخ روپوش پارچه، ۲۴۱، ۲۵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 اندازه: ۲۹/۲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۱-۲۳]</w:t>
      </w:r>
    </w:p>
    <w:p>
      <w:pPr>
        <w:pStyle w:val="BookText"/>
      </w:pPr>
      <w:r>
        <w:rPr>
          <w:rFonts w:ascii="IRNazanin" w:hAnsi="IRNazanin" w:eastAsia="IRNazanin" w:cs="IRNazanin"/>
          <w:lang w:bidi="fa-IR"/>
          <w:color w:val="111111"/>
          <w:sz w:val="28"/>
          <w:szCs w:val="28"/>
          <w:rtl/>
        </w:rPr>
        <w:t xml:space="preserve">۸. تهران: مجلس؛ شماره نسخه: ۱۳۶۳ط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كان على بن داود مازندرانی، تا: ۱۰۶۹ق؛ جلد: تیماج قهوه ای، ۴۲۷ص، ۲۰ سطر، اندازه: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۲۴/۲ -۸۹]</w:t>
      </w:r>
    </w:p>
    <w:p>
      <w:pPr>
        <w:pStyle w:val="BookText"/>
      </w:pPr>
      <w:r>
        <w:rPr>
          <w:rFonts w:ascii="IRNazanin" w:hAnsi="IRNazanin" w:eastAsia="IRNazanin" w:cs="IRNazanin"/>
          <w:lang w:bidi="fa-IR"/>
          <w:color w:val="111111"/>
          <w:sz w:val="28"/>
          <w:szCs w:val="28"/>
          <w:rtl/>
        </w:rPr>
        <w:t xml:space="preserve">. قم؛ مرعشی؛ شماره نسخه:۲۵۹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مایل به نستعلیق، كا: حسين مطر جزائري آل الحسینی، تا: جمعه ۲۷ رجب ۱۰۷۰ق، جا: نجف اشرف؛ روی برگ اول نسخه به خط سید نعمت الله جزائری چنین آمده است «تفسیر الايات الظاهرة في فضائل العترة الطاهرة» بعد نوشته است: «تأليف محمد بن العباس من علماء الامامية»، مصحح؛ تملک: سید نعمت الله حسینی جزائری، پس از آن اجازه ای است که فیض کاشانی به جهت ناسخ شیخ حسین جزائری به تاریخ رجب ۱۰۷۰ نوشته ۱۰۰گ، ۲۶ سطر،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۱-۲۹۰]</w:t>
      </w:r>
    </w:p>
    <w:p>
      <w:pPr>
        <w:pStyle w:val="BookText"/>
      </w:pPr>
      <w:r>
        <w:rPr>
          <w:rFonts w:ascii="IRNazanin" w:hAnsi="IRNazanin" w:eastAsia="IRNazanin" w:cs="IRNazanin"/>
          <w:lang w:bidi="fa-IR"/>
          <w:color w:val="111111"/>
          <w:sz w:val="28"/>
          <w:szCs w:val="28"/>
          <w:rtl/>
        </w:rPr>
        <w:t xml:space="preserve">۱۰. قم، مرکز احیاء؛ شماره نسخه: ۲۰۷۱</w:t>
      </w:r>
    </w:p>
    <w:p>
      <w:pPr>
        <w:pStyle w:val="BookText"/>
      </w:pPr>
      <w:r>
        <w:rPr>
          <w:rFonts w:ascii="IRNazanin" w:hAnsi="IRNazanin" w:eastAsia="IRNazanin" w:cs="IRNazanin"/>
          <w:lang w:bidi="fa-IR"/>
          <w:color w:val="111111"/>
          <w:sz w:val="28"/>
          <w:szCs w:val="28"/>
          <w:rtl/>
        </w:rPr>
        <w:t xml:space="preserve">خط: نسخ، بی کا، تا: ۱۰۷۱ق؛ مصحح، تملك: «عبدالقيوم بارجینی یزدی» با مهر «لا اله الا هو الحى القيوم» (بیضوی)؛ جلد: تیماج سبز، ۲۵۵ گ، ۱۹ سطر،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w:t>
      </w:r>
    </w:p>
    <w:p>
      <w:pPr>
        <w:pStyle w:val="BookText"/>
      </w:pPr>
      <w:r>
        <w:rPr>
          <w:rFonts w:ascii="IRNazanin" w:hAnsi="IRNazanin" w:eastAsia="IRNazanin" w:cs="IRNazanin"/>
          <w:lang w:bidi="fa-IR"/>
          <w:color w:val="111111"/>
          <w:sz w:val="28"/>
          <w:szCs w:val="28"/>
          <w:rtl/>
        </w:rPr>
        <w:t xml:space="preserve">سم [ محدث ارموی مخ: ۱-۲۶۸]</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تهران؛ مهدوی؛ شماره نسخه:۷۷۵</w:t>
      </w:r>
    </w:p>
    <w:p>
      <w:pPr>
        <w:pStyle w:val="BookText"/>
      </w:pPr>
      <w:r>
        <w:rPr>
          <w:rFonts w:ascii="IRNazanin" w:hAnsi="IRNazanin" w:eastAsia="IRNazanin" w:cs="IRNazanin"/>
          <w:lang w:bidi="fa-IR"/>
          <w:color w:val="111111"/>
          <w:sz w:val="28"/>
          <w:szCs w:val="28"/>
          <w:rtl/>
        </w:rPr>
        <w:t xml:space="preserve">خط: نسخ، بی کا، تا: 1 ربيع الأول ۱۰۷۳ق؛ کاغذ: سمرقند [نشریه: بهم ۱۴۴-۲ ]</w:t>
      </w:r>
    </w:p>
    <w:p>
      <w:pPr>
        <w:pStyle w:val="BookText"/>
      </w:pPr>
      <w:r>
        <w:rPr>
          <w:rFonts w:ascii="IRNazanin" w:hAnsi="IRNazanin" w:eastAsia="IRNazanin" w:cs="IRNazanin"/>
          <w:lang w:bidi="fa-IR"/>
          <w:color w:val="111111"/>
          <w:sz w:val="28"/>
          <w:szCs w:val="28"/>
          <w:rtl/>
        </w:rPr>
        <w:t xml:space="preserve">۱۲. مشهد؛ رضوی؛ شماره نسخه:۱۴۵۰</w:t>
      </w:r>
    </w:p>
    <w:p>
      <w:pPr>
        <w:pStyle w:val="BookText"/>
      </w:pPr>
      <w:r>
        <w:rPr>
          <w:rFonts w:ascii="IRNazanin" w:hAnsi="IRNazanin" w:eastAsia="IRNazanin" w:cs="IRNazanin"/>
          <w:lang w:bidi="fa-IR"/>
          <w:color w:val="111111"/>
          <w:sz w:val="28"/>
          <w:szCs w:val="28"/>
          <w:rtl/>
        </w:rPr>
        <w:t xml:space="preserve">آغاز و انجام: برابر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نسخ، بی کا، تا: ذیحجه ۱۰۷۴ق؛ واقف: نائینی؛ ۲۱۶گ، ۲۰ سطر،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سم [ف: ۴-۴۱۱]</w:t>
      </w:r>
    </w:p>
    <w:p>
      <w:pPr>
        <w:pStyle w:val="BookText"/>
      </w:pPr>
      <w:r>
        <w:rPr>
          <w:rFonts w:ascii="IRNazanin" w:hAnsi="IRNazanin" w:eastAsia="IRNazanin" w:cs="IRNazanin"/>
          <w:lang w:bidi="fa-IR"/>
          <w:color w:val="111111"/>
          <w:sz w:val="28"/>
          <w:szCs w:val="28"/>
          <w:rtl/>
        </w:rPr>
        <w:t xml:space="preserve">۱۳. قم؛ مرعشی؛ شماره نسخه:۵۳۸</w:t>
      </w:r>
    </w:p>
    <w:p>
      <w:pPr>
        <w:pStyle w:val="BookText"/>
      </w:pPr>
      <w:r>
        <w:rPr>
          <w:rFonts w:ascii="IRNazanin" w:hAnsi="IRNazanin" w:eastAsia="IRNazanin" w:cs="IRNazanin"/>
          <w:lang w:bidi="fa-IR"/>
          <w:color w:val="111111"/>
          <w:sz w:val="28"/>
          <w:szCs w:val="28"/>
          <w:rtl/>
        </w:rPr>
        <w:t xml:space="preserve">خط: نسخ، كا: شاه محمد بن مظفر حسین نیشابوری، تا: پنج شنبه ۱۱ جمادی الثانی ۱۰۷۴ق؛ مصحح؛ مهر: «عبده شمس الدین الحسینی» (مربع)، در صفحه آخر میرزا محمد (؟) نوشته است که کتاب را در مشهد مقدس به تاریخ چهارشنبه سوم ربیع الاول ۱۰۸۷ مقابله نموده؛ جلد: تیماج قهوه ای، ۲۱۲ گ، ۲۱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۲۶/۵سم [ف: ۲-۱۴۱]</w:t>
      </w:r>
    </w:p>
    <w:p>
      <w:pPr>
        <w:pStyle w:val="BookText"/>
      </w:pPr>
      <w:r>
        <w:rPr>
          <w:rFonts w:ascii="IRNazanin" w:hAnsi="IRNazanin" w:eastAsia="IRNazanin" w:cs="IRNazanin"/>
          <w:lang w:bidi="fa-IR"/>
          <w:color w:val="111111"/>
          <w:sz w:val="28"/>
          <w:szCs w:val="28"/>
          <w:rtl/>
        </w:rPr>
        <w:t xml:space="preserve">۱۴. قم؛ مرعشی؛ شماره نسخه:۳۸۰۲</w:t>
      </w:r>
    </w:p>
    <w:p>
      <w:pPr>
        <w:pStyle w:val="BookText"/>
      </w:pPr>
      <w:r>
        <w:rPr>
          <w:rFonts w:ascii="IRNazanin" w:hAnsi="IRNazanin" w:eastAsia="IRNazanin" w:cs="IRNazanin"/>
          <w:lang w:bidi="fa-IR"/>
          <w:color w:val="111111"/>
          <w:sz w:val="28"/>
          <w:szCs w:val="28"/>
          <w:rtl/>
        </w:rPr>
        <w:t xml:space="preserve">خط: نسخ نازیبا، كا: على بن سليمان شامی غروی، تا: چهارشنبه ۵ ذیقعده ۱۰۸۶ق، جا: مشهد، مدرسه خیرات خان؛ مصحح، مقابله این کتاب دو مرتبه توسط کاتب نسخه انجام گرفته، اول با همان نسخه ای که از روی آن نوشته شده بود با شیخ عبدالنبی و برادرش عبدالمهدی فرزندان شیخ لطف الله بحرینی و شیخ احمد بن عبدالله جزائری، و بار دوم در رشت به تاریخ ۲۴ ربیع الاول ۱۰۸۷؛ جلد: تیماج قرمز، ۱۵۰گ، ۲۳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w:t>
      </w:r>
    </w:p>
    <w:p>
      <w:pPr>
        <w:pStyle w:val="BookText"/>
      </w:pPr>
      <w:r>
        <w:rPr>
          <w:rFonts w:ascii="IRNazanin" w:hAnsi="IRNazanin" w:eastAsia="IRNazanin" w:cs="IRNazanin"/>
          <w:lang w:bidi="fa-IR"/>
          <w:color w:val="111111"/>
          <w:sz w:val="28"/>
          <w:szCs w:val="28"/>
          <w:rtl/>
        </w:rPr>
        <w:t xml:space="preserve">[ف: ۱۰-۱۸۴]</w:t>
      </w:r>
    </w:p>
    <w:p>
      <w:pPr>
        <w:pStyle w:val="BookText"/>
      </w:pPr>
      <w:r>
        <w:rPr>
          <w:rFonts w:ascii="IRNazanin" w:hAnsi="IRNazanin" w:eastAsia="IRNazanin" w:cs="IRNazanin"/>
          <w:lang w:bidi="fa-IR"/>
          <w:color w:val="111111"/>
          <w:sz w:val="28"/>
          <w:szCs w:val="28"/>
          <w:rtl/>
        </w:rPr>
        <w:t xml:space="preserve">۱۵. تهران؛ مجلس؛ شماره نسخه:۵۲۹۹</w:t>
      </w:r>
    </w:p>
    <w:p>
      <w:pPr>
        <w:pStyle w:val="BookText"/>
      </w:pPr>
      <w:r>
        <w:rPr>
          <w:rFonts w:ascii="IRNazanin" w:hAnsi="IRNazanin" w:eastAsia="IRNazanin" w:cs="IRNazanin"/>
          <w:lang w:bidi="fa-IR"/>
          <w:color w:val="111111"/>
          <w:sz w:val="28"/>
          <w:szCs w:val="28"/>
          <w:rtl/>
        </w:rPr>
        <w:t xml:space="preserve">آغاز: برابر؛ انجام: موجودة و لقد علمت لمن نجا و قال مؤلف الكتاب ختمت كتابي في مدایح سادة من الله رب الخلق جل جلاله خط: نسخ، كا: طهماسب بن محمد بن حسین جزایری، تا: سه شنبه ذیحجه ۱۰۸۸ق، جان شیراز، مدرسه خانیه؛ تملک به خط شیخ عیسی نجفی؛ کاغذ: فرنگی، جلد: مقوای آبی، ۳۸۶گ، ۱۸ سطر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۲۲/۵سم [ف: ۱۶-۲۱۸]</w:t>
      </w:r>
    </w:p>
    <w:p>
      <w:pPr>
        <w:pStyle w:val="BookText"/>
      </w:pPr>
      <w:r>
        <w:rPr>
          <w:rFonts w:ascii="IRNazanin" w:hAnsi="IRNazanin" w:eastAsia="IRNazanin" w:cs="IRNazanin"/>
          <w:lang w:bidi="fa-IR"/>
          <w:color w:val="111111"/>
          <w:sz w:val="28"/>
          <w:szCs w:val="28"/>
          <w:rtl/>
        </w:rPr>
        <w:t xml:space="preserve">۱۶. یزد؛ وزیری؛ شماره نسخه:۱۷۳۴</w:t>
      </w:r>
    </w:p>
    <w:p>
      <w:pPr>
        <w:pStyle w:val="BookText"/>
      </w:pPr>
      <w:r>
        <w:rPr>
          <w:rFonts w:ascii="IRNazanin" w:hAnsi="IRNazanin" w:eastAsia="IRNazanin" w:cs="IRNazanin"/>
          <w:lang w:bidi="fa-IR"/>
          <w:color w:val="111111"/>
          <w:sz w:val="28"/>
          <w:szCs w:val="28"/>
          <w:rtl/>
        </w:rPr>
        <w:t xml:space="preserve">آغاز: الطريق و اخذت هذا التأويل و حله عن الراسخين في العلم خط: نسخ، كا: میرزا علی بن حاج نادعلی گلپایگانی، تا: ۱۰۹۲ق؛ افتادگی: آغاز؛ اهدایی: وزیری؛ کاغذ: سمرقندی، جلد: مقوایی با تیماج تریاکی، ۲۷۴گ، ۲۱ سطر(۱۵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۱۰۳۹-۳]</w:t>
      </w:r>
    </w:p>
    <w:p>
      <w:pPr>
        <w:pStyle w:val="BookText"/>
      </w:pPr>
      <w:r>
        <w:rPr>
          <w:rFonts w:ascii="IRNazanin" w:hAnsi="IRNazanin" w:eastAsia="IRNazanin" w:cs="IRNazanin"/>
          <w:lang w:bidi="fa-IR"/>
          <w:color w:val="111111"/>
          <w:sz w:val="28"/>
          <w:szCs w:val="28"/>
          <w:rtl/>
        </w:rPr>
        <w:t xml:space="preserve">۱۷. تهران: دانشگاه؛ شماره نسخه:۲۳۵۵</w:t>
      </w:r>
    </w:p>
    <w:p>
      <w:pPr>
        <w:pStyle w:val="BookText"/>
      </w:pPr>
      <w:r>
        <w:rPr>
          <w:rFonts w:ascii="IRNazanin" w:hAnsi="IRNazanin" w:eastAsia="IRNazanin" w:cs="IRNazanin"/>
          <w:lang w:bidi="fa-IR"/>
          <w:color w:val="111111"/>
          <w:sz w:val="28"/>
          <w:szCs w:val="28"/>
          <w:rtl/>
        </w:rPr>
        <w:t xml:space="preserve">خط: نسخ، كا: ابراهيم بن محمد بن ابراهیم احسایی، تا: چهارشنبه ۶ رجب ۱۰۹۷ق؛ تملک: نجم الدین علی سپاهانی، عبدالله بن نجم الدين قندهاری، در ۶ ربيع الثانی سال ۱۰ با آگاهی محمد على صحاف برای «خانه زاد پادشاه غازی محمد شاه: احمد حسین خان» (مهر مورخ ۱۱۳۳) خریده شده؛ کاغذ: سپاهانی، جلد: تیماج حنایی مقوایی، ۲۱۹گ، ۲۶ سطر (۱۱/۵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۱۹/۵)،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۲۸/۵ سم [ف: ۹-۹۶۲]</w:t>
      </w:r>
    </w:p>
    <w:p>
      <w:pPr>
        <w:pStyle w:val="BookText"/>
      </w:pPr>
      <w:r>
        <w:rPr>
          <w:rFonts w:ascii="IRNazanin" w:hAnsi="IRNazanin" w:eastAsia="IRNazanin" w:cs="IRNazanin"/>
          <w:lang w:bidi="fa-IR"/>
          <w:color w:val="111111"/>
          <w:sz w:val="28"/>
          <w:szCs w:val="28"/>
          <w:rtl/>
        </w:rPr>
        <w:t xml:space="preserve">۱۸. مشهد؛ رضوی؛ شماره نسخه: ۱۲۶۰</w:t>
      </w:r>
    </w:p>
    <w:p>
      <w:pPr>
        <w:pStyle w:val="BookText"/>
      </w:pPr>
      <w:r>
        <w:rPr>
          <w:rFonts w:ascii="IRNazanin" w:hAnsi="IRNazanin" w:eastAsia="IRNazanin" w:cs="IRNazanin"/>
          <w:lang w:bidi="fa-IR"/>
          <w:color w:val="111111"/>
          <w:sz w:val="28"/>
          <w:szCs w:val="28"/>
          <w:rtl/>
        </w:rPr>
        <w:t xml:space="preserve">آغاز: الطيبين منقادة لامرهم مومنا بظاهرهم و باطنهم اعطاه الله؛ انجام: انی رسول الله اليكم فامن بی علی بن ابی طالب عليه السلام</w:t>
      </w:r>
    </w:p>
    <w:p>
      <w:pPr>
        <w:pStyle w:val="BookText"/>
      </w:pPr>
      <w:r>
        <w:rPr>
          <w:rFonts w:ascii="IRNazanin" w:hAnsi="IRNazanin" w:eastAsia="IRNazanin" w:cs="IRNazanin"/>
          <w:lang w:bidi="fa-IR"/>
          <w:color w:val="111111"/>
          <w:sz w:val="28"/>
          <w:szCs w:val="28"/>
          <w:rtl/>
        </w:rPr>
        <w:t xml:space="preserve">سرا و جهرا و حمانی ابوطالب جهرا. خط نسخ، بی کا، تا: قرن ۱۲؛ افتادگی: آغاز و انجام؛ واقف: حاج سید محمد شوشتری، رمضان ۱۳۰۹؛ کاغذ: استانبولی آهار مهره، جلد:</w:t>
      </w:r>
    </w:p>
    <w:p>
      <w:pPr>
        <w:pStyle w:val="BookText"/>
      </w:pPr>
      <w:r>
        <w:rPr>
          <w:rFonts w:ascii="IRNazanin" w:hAnsi="IRNazanin" w:eastAsia="IRNazanin" w:cs="IRNazanin"/>
          <w:lang w:bidi="fa-IR"/>
          <w:color w:val="111111"/>
          <w:sz w:val="28"/>
          <w:szCs w:val="28"/>
          <w:rtl/>
        </w:rPr>
        <w:t xml:space="preserve">تیماج مشکی، ۴۳۰گ، ۱۵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۱-۴۱۸]</w:t>
      </w:r>
    </w:p>
    <w:p>
      <w:pPr>
        <w:pStyle w:val="BookText"/>
      </w:pPr>
      <w:r>
        <w:rPr>
          <w:rFonts w:ascii="IRNazanin" w:hAnsi="IRNazanin" w:eastAsia="IRNazanin" w:cs="IRNazanin"/>
          <w:lang w:bidi="fa-IR"/>
          <w:color w:val="111111"/>
          <w:sz w:val="28"/>
          <w:szCs w:val="28"/>
          <w:rtl/>
        </w:rPr>
        <w:t xml:space="preserve">۱۹. مشهد؛ نواب؛ شماره نسخه:۹۳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باقر بن محمد امین، تا: ربيع الأول ۱۱۰۲ق؛ توسط ابراهیم بن جعفر عاملی فراهی مشهدی تصحیح و مقابله گردیده؛ تملك: محمد شفیع عاملی؛ واقف: ملا محمد کاظم وحيد التوليه (فرزند میرزا محمد علی رضوی وکیل)، ۱۲۲۱ ق در مشهد؛ جلد: تیماج عنابی، ۳۰۹ص، ۲۰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۱۰۰]</w:t>
      </w:r>
    </w:p>
    <w:p>
      <w:pPr>
        <w:pStyle w:val="BookText"/>
      </w:pPr>
      <w:r>
        <w:rPr>
          <w:rFonts w:ascii="IRNazanin" w:hAnsi="IRNazanin" w:eastAsia="IRNazanin" w:cs="IRNazanin"/>
          <w:lang w:bidi="fa-IR"/>
          <w:color w:val="111111"/>
          <w:sz w:val="28"/>
          <w:szCs w:val="28"/>
          <w:rtl/>
        </w:rPr>
        <w:t xml:space="preserve">۲۰. تهران: دانشگاه؛ شماره نسخه:۸۶۵۷</w:t>
      </w:r>
    </w:p>
    <w:p>
      <w:pPr>
        <w:pStyle w:val="BookText"/>
      </w:pPr>
      <w:r>
        <w:rPr>
          <w:rFonts w:ascii="IRNazanin" w:hAnsi="IRNazanin" w:eastAsia="IRNazanin" w:cs="IRNazanin"/>
          <w:lang w:bidi="fa-IR"/>
          <w:color w:val="111111"/>
          <w:sz w:val="28"/>
          <w:szCs w:val="28"/>
          <w:rtl/>
        </w:rPr>
        <w:t xml:space="preserve">نسخه ما گزیده است و باید جامع الفوائدی و دافع المعاند علم بن سیف بن منصور نجفی حلی باشد که در ۹۳۷ آن را ساخته است؛ خط: نسخ، كا: محمد علی بن محمد جعفر، تا: ۲۴ جمادی الثانی ۱۱۴۴ق؛ افتادگی: آغاز کاغذ:فرنگی، نخودی، جلد: تیماج قهوه ای، ۱۶۲گ، ۱۹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۱۷-۱۸۸]</w:t>
      </w:r>
    </w:p>
    <w:p>
      <w:pPr>
        <w:pStyle w:val="BookText"/>
      </w:pPr>
      <w:r>
        <w:rPr>
          <w:rFonts w:ascii="IRNazanin" w:hAnsi="IRNazanin" w:eastAsia="IRNazanin" w:cs="IRNazanin"/>
          <w:lang w:bidi="fa-IR"/>
          <w:color w:val="111111"/>
          <w:sz w:val="28"/>
          <w:szCs w:val="28"/>
          <w:rtl/>
        </w:rPr>
        <w:t xml:space="preserve">۲۱. قم: دار الحدیث: شماره نسخه: ۳۰/۶</w:t>
      </w:r>
    </w:p>
    <w:p>
      <w:pPr>
        <w:pStyle w:val="BookText"/>
      </w:pPr>
      <w:r>
        <w:rPr>
          <w:rFonts w:ascii="IRNazanin" w:hAnsi="IRNazanin" w:eastAsia="IRNazanin" w:cs="IRNazanin"/>
          <w:lang w:bidi="fa-IR"/>
          <w:color w:val="111111"/>
          <w:sz w:val="28"/>
          <w:szCs w:val="28"/>
          <w:rtl/>
        </w:rPr>
        <w:t xml:space="preserve">آغاز: برابر از ابتدا کتاب تا اوایل سوره آل عمران، از آخر نسخه و همچنین چند سطری از آغاز کتاب افتادگی دارد؛ خط: تحریری، بی کا، تا: قرن ۱۳؛ محشی؛ ۱۱گ (۱۶۲ر-۱۷۲ر)، ۲۹سطر [ف: ۱۰۶]</w:t>
      </w:r>
    </w:p>
    <w:p>
      <w:pPr>
        <w:pStyle w:val="BookText"/>
      </w:pPr>
      <w:r>
        <w:rPr>
          <w:rFonts w:ascii="IRNazanin" w:hAnsi="IRNazanin" w:eastAsia="IRNazanin" w:cs="IRNazanin"/>
          <w:lang w:bidi="fa-IR"/>
          <w:color w:val="111111"/>
          <w:sz w:val="28"/>
          <w:szCs w:val="28"/>
          <w:rtl/>
        </w:rPr>
        <w:t xml:space="preserve">۲۲. قم؛ گلپایگانی؛ شماره نسخه:۶۴۳۴- ۳۲/۱۳۴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۱۳؛ مصحح، با علامت بلاغ مقابله با نسخه اصل؛ جلد: تیماج سرخ مجدول، ۱۸۵ گ، ۲۵ سطر،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۲-۶۷۱]</w:t>
      </w:r>
    </w:p>
    <w:p>
      <w:pPr>
        <w:pStyle w:val="BookText"/>
      </w:pPr>
      <w:r>
        <w:rPr>
          <w:rFonts w:ascii="IRNazanin" w:hAnsi="IRNazanin" w:eastAsia="IRNazanin" w:cs="IRNazanin"/>
          <w:lang w:bidi="fa-IR"/>
          <w:color w:val="111111"/>
          <w:sz w:val="28"/>
          <w:szCs w:val="28"/>
          <w:rtl/>
        </w:rPr>
        <w:t xml:space="preserve">۲۳. تهران؛ ملی؛ شماره نسخه:۱۴۶۵</w:t>
      </w:r>
    </w:p>
    <w:p>
      <w:pPr>
        <w:pStyle w:val="BookText"/>
      </w:pPr>
      <w:r>
        <w:rPr>
          <w:rFonts w:ascii="IRNazanin" w:hAnsi="IRNazanin" w:eastAsia="IRNazanin" w:cs="IRNazanin"/>
          <w:lang w:bidi="fa-IR"/>
          <w:color w:val="111111"/>
          <w:sz w:val="28"/>
          <w:szCs w:val="28"/>
          <w:rtl/>
        </w:rPr>
        <w:t xml:space="preserve">آغاز: برابر؛ انجام: و الصلوة على خاتم النبيين محمد و اهل بیته الطاهرين سلم تسليما كثيرا آنچه مدرک این کتاب بوده تفسير محمد بن عباس بن على است؛ خط: نسخ، كا: خواجه على بن مرحوم مولانا محمد على، تا: ۱۲۱۰ق؛ کاغذ: دولت آبادی، ۲۶۵گ، ۲۲سطر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۱۸/۵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۲۳/۵سم [ف: ۹-۴۹۲]</w:t>
      </w:r>
    </w:p>
    <w:p>
      <w:pPr>
        <w:pStyle w:val="BookText"/>
      </w:pPr>
      <w:r>
        <w:rPr>
          <w:rFonts w:ascii="IRNazanin" w:hAnsi="IRNazanin" w:eastAsia="IRNazanin" w:cs="IRNazanin"/>
          <w:lang w:bidi="fa-IR"/>
          <w:color w:val="111111"/>
          <w:sz w:val="28"/>
          <w:szCs w:val="28"/>
          <w:rtl/>
        </w:rPr>
        <w:t xml:space="preserve">۲۴. یزد؛ وزیری؛ شماره نسخه:۳۰۰۴</w:t>
      </w:r>
    </w:p>
    <w:p>
      <w:pPr>
        <w:pStyle w:val="BookText"/>
      </w:pPr>
      <w:r>
        <w:rPr>
          <w:rFonts w:ascii="IRNazanin" w:hAnsi="IRNazanin" w:eastAsia="IRNazanin" w:cs="IRNazanin"/>
          <w:lang w:bidi="fa-IR"/>
          <w:color w:val="111111"/>
          <w:sz w:val="28"/>
          <w:szCs w:val="28"/>
          <w:rtl/>
        </w:rPr>
        <w:t xml:space="preserve">آغاز: برابر خط: نسخ، كا: حسین یزدی، تا: ۱۱ شوال ۱۲۵۲ق، تملک: «محمد مهدی»، «محمد حسین بن محمد ابراهیم»؛ اهدایی: حاج میرزا تقی رسولیان؛ کاغذ: کبود اصفهانی، جلد: مقوایی با تیماج تریاکی، ۲۴۶گ، ۲۲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۵-۱۵۰۲]</w:t>
      </w:r>
    </w:p>
    <w:p>
      <w:pPr>
        <w:pStyle w:val="BookText"/>
      </w:pPr>
      <w:r>
        <w:rPr>
          <w:rFonts w:ascii="IRNazanin" w:hAnsi="IRNazanin" w:eastAsia="IRNazanin" w:cs="IRNazanin"/>
          <w:lang w:bidi="fa-IR"/>
          <w:color w:val="111111"/>
          <w:sz w:val="28"/>
          <w:szCs w:val="28"/>
          <w:rtl/>
        </w:rPr>
        <w:t xml:space="preserve">۲۵. قم؛ مسجد اعظم، شماره نسخه:۴۳۵</w:t>
      </w:r>
    </w:p>
    <w:p>
      <w:pPr>
        <w:pStyle w:val="BookText"/>
      </w:pPr>
      <w:r>
        <w:rPr>
          <w:rFonts w:ascii="Amiri" w:hAnsi="Amiri" w:eastAsia="Amiri" w:cs="Amiri"/>
          <w:lang w:bidi="ar-SA"/>
          <w:color w:val="111111"/>
          <w:sz w:val="28"/>
          <w:szCs w:val="28"/>
          <w:rtl/>
        </w:rPr>
        <w:t xml:space="preserve">آغاز: برابر ؛ انجام: فقال النبي صلى الله عليه و آله لعلي عليه السلام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bookmarkStart w:id="626" w:name="pg20363_209960"/>
    <w:bookmarkEnd w:id="626"/>
    <w:p>
      <w:pPr>
        <w:pStyle w:val="BookText"/>
      </w:pPr>
      <w:r>
        <w:rPr>
          <w:rFonts w:ascii="IRNazanin" w:hAnsi="IRNazanin" w:eastAsia="IRNazanin" w:cs="IRNazanin"/>
          <w:lang w:bidi="fa-IR"/>
          <w:color w:val="111111"/>
          <w:sz w:val="28"/>
          <w:szCs w:val="28"/>
          <w:rtl/>
        </w:rPr>
        <w:t xml:space="preserve">اقرأها على الوتر فجعل امیر المؤمنين عليه السلام كلما قرءاية انحلت عقدة حتى فرغ منها وكشف الله على نبيه ما سحر به وعافاه. رزقنا الله سبحانه الفوز ... في اناء الليل وأطراف النهار.</w:t>
      </w:r>
    </w:p>
    <w:p>
      <w:pPr>
        <w:pStyle w:val="BookText"/>
      </w:pPr>
      <w:r>
        <w:rPr>
          <w:rFonts w:ascii="IRNazanin" w:hAnsi="IRNazanin" w:eastAsia="IRNazanin" w:cs="IRNazanin"/>
          <w:lang w:bidi="fa-IR"/>
          <w:color w:val="111111"/>
          <w:sz w:val="28"/>
          <w:szCs w:val="28"/>
          <w:rtl/>
        </w:rPr>
        <w:t xml:space="preserve">خط: نسخ، كا: محمد باقر بن علی اکبر خوانساری، تا: یک شنبه شوال ۱۲۵۹ق؛ مجدول، مصحح؛ جلد: تیماج زرشکی، ۷۴گ، ۳۱ سطر،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مخ: ۱-۳۱۸ ]</w:t>
      </w:r>
    </w:p>
    <w:p>
      <w:pPr>
        <w:pStyle w:val="BookText"/>
      </w:pPr>
      <w:r>
        <w:rPr>
          <w:rFonts w:ascii="IRNazanin" w:hAnsi="IRNazanin" w:eastAsia="IRNazanin" w:cs="IRNazanin"/>
          <w:lang w:bidi="fa-IR"/>
          <w:color w:val="111111"/>
          <w:sz w:val="28"/>
          <w:szCs w:val="28"/>
          <w:rtl/>
        </w:rPr>
        <w:t xml:space="preserve">۲۶. تهران؛ ملی؛ شماره نسخه:۶۲۴۰</w:t>
      </w:r>
    </w:p>
    <w:p>
      <w:pPr>
        <w:pStyle w:val="BookText"/>
      </w:pPr>
      <w:r>
        <w:rPr>
          <w:rFonts w:ascii="IRNazanin" w:hAnsi="IRNazanin" w:eastAsia="IRNazanin" w:cs="IRNazanin"/>
          <w:lang w:bidi="fa-IR"/>
          <w:color w:val="111111"/>
          <w:sz w:val="28"/>
          <w:szCs w:val="28"/>
          <w:rtl/>
        </w:rPr>
        <w:t xml:space="preserve">آغاز و انجام: برابر؛ انجام اضافات: ان اوصلت الى آیاته فيها تاویل كثير اخذت موضع</w:t>
      </w:r>
    </w:p>
    <w:p>
      <w:pPr>
        <w:pStyle w:val="BookText"/>
      </w:pPr>
      <w:r>
        <w:rPr>
          <w:rFonts w:ascii="IRNazanin" w:hAnsi="IRNazanin" w:eastAsia="IRNazanin" w:cs="IRNazanin"/>
          <w:lang w:bidi="fa-IR"/>
          <w:color w:val="111111"/>
          <w:sz w:val="28"/>
          <w:szCs w:val="28"/>
          <w:rtl/>
        </w:rPr>
        <w:t xml:space="preserve">خط: نستعلیق، كان محمد جعفر بن صادق آشتیانی، تا: ۱۲۶۸ق؛ مصحح، محشی؛ تملک: کاتب، محمد ضرابی در ۱۳۸۰ ق در آمل و کربلا، علی چوپان؛ کاغذ: فرنگی آهار مهره، جلد: تیماج قهوه ای، ۱۸۸گ، ۲۲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۱۵/۳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 سم [رایانه]</w:t>
      </w:r>
    </w:p>
    <w:p>
      <w:pPr>
        <w:pStyle w:val="BookText"/>
      </w:pPr>
      <w:r>
        <w:rPr>
          <w:rFonts w:ascii="IRNazanin" w:hAnsi="IRNazanin" w:eastAsia="IRNazanin" w:cs="IRNazanin"/>
          <w:lang w:bidi="fa-IR"/>
          <w:color w:val="111111"/>
          <w:sz w:val="28"/>
          <w:szCs w:val="28"/>
          <w:rtl/>
        </w:rPr>
        <w:t xml:space="preserve">۲۷. قم، مؤسسه آية الله بروجردی؛ شماره نسخه: ۳۰۹/۱</w:t>
      </w:r>
    </w:p>
    <w:p>
      <w:pPr>
        <w:pStyle w:val="BookText"/>
      </w:pPr>
      <w:r>
        <w:rPr>
          <w:rFonts w:ascii="IRNazanin" w:hAnsi="IRNazanin" w:eastAsia="IRNazanin" w:cs="IRNazanin"/>
          <w:lang w:bidi="fa-IR"/>
          <w:color w:val="111111"/>
          <w:sz w:val="28"/>
          <w:szCs w:val="28"/>
          <w:rtl/>
        </w:rPr>
        <w:t xml:space="preserve">خط: نسخ، كا: حسین بن عبدالله آشتیانی، تا: ۱۲۶۹ق، جلد: تیماج مشکی، ۲۰۶گ (۱پ -۲۰۶ر)،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۱-۱۸۲]</w:t>
      </w:r>
    </w:p>
    <w:p>
      <w:pPr>
        <w:pStyle w:val="BookText"/>
      </w:pPr>
      <w:r>
        <w:rPr>
          <w:rFonts w:ascii="IRNazanin" w:hAnsi="IRNazanin" w:eastAsia="IRNazanin" w:cs="IRNazanin"/>
          <w:lang w:bidi="fa-IR"/>
          <w:color w:val="111111"/>
          <w:sz w:val="28"/>
          <w:szCs w:val="28"/>
          <w:rtl/>
        </w:rPr>
        <w:t xml:space="preserve">۲۸. یزد؛ مدرسه خان؛ شماره نسخه:۴۳</w:t>
      </w:r>
    </w:p>
    <w:p>
      <w:pPr>
        <w:pStyle w:val="BookText"/>
      </w:pPr>
      <w:r>
        <w:rPr>
          <w:rFonts w:ascii="IRNazanin" w:hAnsi="IRNazanin" w:eastAsia="IRNazanin" w:cs="IRNazanin"/>
          <w:lang w:bidi="fa-IR"/>
          <w:color w:val="111111"/>
          <w:sz w:val="28"/>
          <w:szCs w:val="28"/>
          <w:rtl/>
        </w:rPr>
        <w:t xml:space="preserve">خط: نسخ، كا: احمد بن حسن بیرجندی یزدی، تا: ۱۰ ربیع الثانی ۱۲۷۱ق؛ تملک: رضا قلی بن محمد ابراهیم رهبر به تاریخ شوال ۱۲۸۱، تملکی بدون نام به تاریخ سلخ جمادی الاول ۱۲۸۰، تملکی بدون نام به تاریخ ۲۶ جمادی الثانی ۱۳۴۳ با مهر «محمد بن علی اکبر حسینی» (بیضوی)؛ جلد: تیماج مشکی، ۲۳۱ گ، ۲۱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۳۰]</w:t>
      </w:r>
    </w:p>
    <w:p>
      <w:pPr>
        <w:pStyle w:val="BookText"/>
      </w:pPr>
      <w:r>
        <w:rPr>
          <w:rFonts w:ascii="IRNazanin" w:hAnsi="IRNazanin" w:eastAsia="IRNazanin" w:cs="IRNazanin"/>
          <w:lang w:bidi="fa-IR"/>
          <w:color w:val="111111"/>
          <w:sz w:val="28"/>
          <w:szCs w:val="28"/>
          <w:rtl/>
        </w:rPr>
        <w:t xml:space="preserve">۲۹. مشهد؛ رضوی؛ شماره نسخه:۱۱۷۶۵</w:t>
      </w:r>
    </w:p>
    <w:p>
      <w:pPr>
        <w:pStyle w:val="BookText"/>
      </w:pPr>
      <w:r>
        <w:rPr>
          <w:rFonts w:ascii="IRNazanin" w:hAnsi="IRNazanin" w:eastAsia="IRNazanin" w:cs="IRNazanin"/>
          <w:lang w:bidi="fa-IR"/>
          <w:color w:val="111111"/>
          <w:sz w:val="28"/>
          <w:szCs w:val="28"/>
          <w:rtl/>
        </w:rPr>
        <w:t xml:space="preserve">آغاز و انجام: برابر خط: نسخ خفی، کا: حسین، تا: یک شنبه ۱۲ محرم ۱۲۷۸ق؛ واقف: حاج محمد باقر کتابچی، تیر ۱۳۵۶؛ کاغذ: آهاری حنایی، جلد: تیماج زیتونی، ۹۹گ، ۲۹ سطر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۳۲/۵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۱۱-۵۳۹]</w:t>
      </w:r>
    </w:p>
    <w:p>
      <w:pPr>
        <w:pStyle w:val="BookText"/>
      </w:pPr>
      <w:r>
        <w:rPr>
          <w:rFonts w:ascii="IRNazanin" w:hAnsi="IRNazanin" w:eastAsia="IRNazanin" w:cs="IRNazanin"/>
          <w:lang w:bidi="fa-IR"/>
          <w:color w:val="111111"/>
          <w:sz w:val="28"/>
          <w:szCs w:val="28"/>
          <w:rtl/>
        </w:rPr>
        <w:t xml:space="preserve">۳۰. تهران، دانشگاه؛ شماره نسخه:۶۹۴۴</w:t>
      </w:r>
    </w:p>
    <w:p>
      <w:pPr>
        <w:pStyle w:val="BookText"/>
      </w:pPr>
      <w:r>
        <w:rPr>
          <w:rFonts w:ascii="IRNazanin" w:hAnsi="IRNazanin" w:eastAsia="IRNazanin" w:cs="IRNazanin"/>
          <w:lang w:bidi="fa-IR"/>
          <w:color w:val="111111"/>
          <w:sz w:val="28"/>
          <w:szCs w:val="28"/>
          <w:rtl/>
        </w:rPr>
        <w:t xml:space="preserve">خط: نسخ، كا: عبدالحسین قوچانی، تا: ۲۱ جمادی الثانی ۱۲۸۶ق؛ مهر اسدالله ؛ کاغذ: فرنگی، جلد: تیماج سرخ مقوایی، ۴۵۹ گ، ۱۵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۱۶-۴۰۷]</w:t>
      </w:r>
    </w:p>
    <w:p>
      <w:pPr>
        <w:pStyle w:val="BookText"/>
      </w:pPr>
      <w:r>
        <w:rPr>
          <w:rFonts w:ascii="IRNazanin" w:hAnsi="IRNazanin" w:eastAsia="IRNazanin" w:cs="IRNazanin"/>
          <w:lang w:bidi="fa-IR"/>
          <w:color w:val="111111"/>
          <w:sz w:val="28"/>
          <w:szCs w:val="28"/>
          <w:rtl/>
        </w:rPr>
        <w:t xml:space="preserve">۳۱. تهران؛ دائرة المعارف؛ شماره نسخه: ۱۴۵۴- عکسی</w:t>
      </w:r>
    </w:p>
    <w:p>
      <w:pPr>
        <w:pStyle w:val="BookText"/>
      </w:pPr>
      <w:r>
        <w:rPr>
          <w:rFonts w:ascii="IRNazanin" w:hAnsi="IRNazanin" w:eastAsia="IRNazanin" w:cs="IRNazanin"/>
          <w:lang w:bidi="fa-IR"/>
          <w:color w:val="111111"/>
          <w:sz w:val="28"/>
          <w:szCs w:val="28"/>
          <w:rtl/>
        </w:rPr>
        <w:t xml:space="preserve">آغاز: برابر؛ انجام: بعد شكر الله على نعمه لسابقات على من يحبه و يتولاه. الحمدلله الذي هدانا لهذا وما كنا لنهتدي لولا أن هدانا الله و نسأله بعد موالاتهم بجاههم العريض و فضلهم المستفيض و قدرهم الغالي وجود اياديهم ... خط: نستعلیق پخته، بی کا، تا: جمعه ۱۰ جمادی الثانی ۱۲۹۹ق؛ ۳۰۹ص، ۲۳ سطر (۱۱/۵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 اندازه: ۲۱/۵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w:t>
      </w:r>
    </w:p>
    <w:p>
      <w:pPr>
        <w:pStyle w:val="BookText"/>
      </w:pPr>
      <w:r>
        <w:rPr>
          <w:rFonts w:ascii="IRNazanin" w:hAnsi="IRNazanin" w:eastAsia="IRNazanin" w:cs="IRNazanin"/>
          <w:lang w:bidi="fa-IR"/>
          <w:color w:val="111111"/>
          <w:sz w:val="28"/>
          <w:szCs w:val="28"/>
          <w:rtl/>
        </w:rPr>
        <w:t xml:space="preserve">[عکسی ف: ۵۸-۱ ]</w:t>
      </w:r>
    </w:p>
    <w:p>
      <w:pPr>
        <w:pStyle w:val="BookText"/>
      </w:pPr>
      <w:r>
        <w:rPr>
          <w:rFonts w:ascii="IRNazanin" w:hAnsi="IRNazanin" w:eastAsia="IRNazanin" w:cs="IRNazanin"/>
          <w:lang w:bidi="fa-IR"/>
          <w:color w:val="111111"/>
          <w:sz w:val="28"/>
          <w:szCs w:val="28"/>
          <w:rtl/>
        </w:rPr>
        <w:t xml:space="preserve">۳۲. مشهد؛ رضوی؛ شماره نسخه: ۱۴۹۰/۶</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كان سيد احمد صفائی خوانساری، تا: ۱۳۲۸ق [اهدائی ف: ۳۷۸]</w:t>
      </w:r>
    </w:p>
    <w:p>
      <w:pPr>
        <w:pStyle w:val="BookText"/>
      </w:pPr>
      <w:r>
        <w:rPr>
          <w:rFonts w:ascii="IRNazanin" w:hAnsi="IRNazanin" w:eastAsia="IRNazanin" w:cs="IRNazanin"/>
          <w:lang w:bidi="fa-IR"/>
          <w:color w:val="111111"/>
          <w:sz w:val="28"/>
          <w:szCs w:val="28"/>
          <w:rtl/>
        </w:rPr>
        <w:t xml:space="preserve">۳۳. مشهد؛ رضوی؛ شماره نسخه:۲۰۸۷۵</w:t>
      </w:r>
    </w:p>
    <w:p>
      <w:pPr>
        <w:pStyle w:val="BookText"/>
      </w:pPr>
      <w:r>
        <w:rPr>
          <w:rFonts w:ascii="IRNazanin" w:hAnsi="IRNazanin" w:eastAsia="IRNazanin" w:cs="IRNazanin"/>
          <w:lang w:bidi="fa-IR"/>
          <w:color w:val="111111"/>
          <w:sz w:val="28"/>
          <w:szCs w:val="28"/>
          <w:rtl/>
        </w:rPr>
        <w:t xml:space="preserve">آغاز: برابر؛ انجام: فجعل امیر المؤمنين(عليه السلام)كلما قرأ آية انحلت عقدة حتى فرغ منه و کشف الله على نبيه ما سحر به و عافاه رزقنا الله سبحانه الفوز لمحبته التي هي نعم الذخر لدار القرار و وفقنا للعمل بطاعته في آناء الليل و اطراف النهار. در فهرست به نام «کنز جامع الفوائد و دافع المعاند = جامع الفواید و دامغ المعاند» و مؤلف: نجفی حلی، علم بن سيف، معرفی شده است؛ خط: نستعلیق خفی، کا: احمد بن محمد رضا حسینی خوانساری، تا: ۱۸ شعبان ۱۳۲۸ق؛ اهدایی: رهبری، خرداد ۱۳۷۳؛ کاغذ: حنایی آهار مهره، جلد: میشن مشکی، ۱۰۴گ، ۲۲ سطر، اندازه: ۱۷</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 سم [ اهدائی رهبر: ۲۲-۳۶۹]</w:t>
      </w:r>
    </w:p>
    <w:p>
      <w:pPr>
        <w:pStyle w:val="BookText"/>
      </w:pPr>
      <w:r>
        <w:rPr>
          <w:rFonts w:ascii="IRNazanin" w:hAnsi="IRNazanin" w:eastAsia="IRNazanin" w:cs="IRNazanin"/>
          <w:lang w:bidi="fa-IR"/>
          <w:color w:val="111111"/>
          <w:sz w:val="28"/>
          <w:szCs w:val="28"/>
          <w:rtl/>
        </w:rPr>
        <w:t xml:space="preserve">۳۴. قم؛ مرعشی؛ شماره نسخه:۳۲۲</w:t>
      </w:r>
    </w:p>
    <w:p>
      <w:pPr>
        <w:pStyle w:val="BookText"/>
      </w:pPr>
      <w:r>
        <w:rPr>
          <w:rFonts w:ascii="IRNazanin" w:hAnsi="IRNazanin" w:eastAsia="IRNazanin" w:cs="IRNazanin"/>
          <w:lang w:bidi="fa-IR"/>
          <w:color w:val="111111"/>
          <w:sz w:val="28"/>
          <w:szCs w:val="28"/>
          <w:rtl/>
        </w:rPr>
        <w:t xml:space="preserve">خط: نسخ زیبا، بی کا، بی تا؛ مصحح؛ وقفنامه کتاب به تاریخ ماه رمضان ۱۲۹۸؛ جلد: تیماج سبز، ۱۴۲گ، ۲۶ سطر،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سم [ف: ۱-۳۵۹]</w:t>
      </w:r>
    </w:p>
    <w:p>
      <w:pPr>
        <w:pStyle w:val="BookText"/>
      </w:pPr>
      <w:r>
        <w:rPr>
          <w:rFonts w:ascii="IRNazanin" w:hAnsi="IRNazanin" w:eastAsia="IRNazanin" w:cs="IRNazanin"/>
          <w:lang w:bidi="fa-IR"/>
          <w:color w:val="111111"/>
          <w:sz w:val="28"/>
          <w:szCs w:val="28"/>
          <w:rtl/>
        </w:rPr>
        <w:t xml:space="preserve">۳۵. قم؛ گلپایگانی؛ شماره نسخه:۸۱۳/۴ - ۵/۱۰۳</w:t>
      </w:r>
    </w:p>
    <w:p>
      <w:pPr>
        <w:pStyle w:val="BookText"/>
      </w:pPr>
      <w:r>
        <w:rPr>
          <w:rFonts w:ascii="IRNazanin" w:hAnsi="IRNazanin" w:eastAsia="IRNazanin" w:cs="IRNazanin"/>
          <w:lang w:bidi="fa-IR"/>
          <w:color w:val="111111"/>
          <w:sz w:val="28"/>
          <w:szCs w:val="28"/>
          <w:rtl/>
        </w:rPr>
        <w:t xml:space="preserve">آغاز: يستمعون القول فيتبعون أحسنه و القول هو القرآن و يؤيد هذا ما رواه الشيخ ابو جعفر الطوسی باسناده إلى الفضل بن شاذان ... قال الله تعالی فأينما تولوا فثم وجه الله و نحن الآيات و نحن البينات؛ انجام: و ذريتك في الدرجات العلى في عليين و قلت بابی أنت وأمی یا رسول الله فشیعتنا قال شيعتنا معنا و قصورهم. خط: نسخ، بی کا، بی تا، افتادگی: آغاز و انجام؛ جلد: تیماج قهوه ای با ترنج با سر، ۱۹۰گ، ۲۳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w:t>
      </w:r>
    </w:p>
    <w:p>
      <w:pPr>
        <w:pStyle w:val="BookText"/>
      </w:pPr>
      <w:r>
        <w:rPr>
          <w:rFonts w:ascii="IRNazanin" w:hAnsi="IRNazanin" w:eastAsia="IRNazanin" w:cs="IRNazanin"/>
          <w:lang w:bidi="fa-IR"/>
          <w:color w:val="111111"/>
          <w:sz w:val="28"/>
          <w:szCs w:val="28"/>
          <w:rtl/>
        </w:rPr>
        <w:t xml:space="preserve">۶۷۱-۲ ]</w:t>
      </w:r>
    </w:p>
    <w:p>
      <w:pPr>
        <w:pStyle w:val="BookText"/>
      </w:pPr>
      <w:r>
        <w:rPr>
          <w:rFonts w:ascii="IRNazanin" w:hAnsi="IRNazanin" w:eastAsia="IRNazanin" w:cs="IRNazanin"/>
          <w:lang w:bidi="fa-IR"/>
          <w:color w:val="111111"/>
          <w:sz w:val="28"/>
          <w:szCs w:val="28"/>
          <w:rtl/>
        </w:rPr>
        <w:t xml:space="preserve">۳۶. قم: مرکز احیاء؛ شماره نسخه:۱۸۶۷</w:t>
      </w:r>
    </w:p>
    <w:p>
      <w:pPr>
        <w:pStyle w:val="BookText"/>
      </w:pPr>
      <w:r>
        <w:rPr>
          <w:rFonts w:ascii="IRNazanin" w:hAnsi="IRNazanin" w:eastAsia="IRNazanin" w:cs="IRNazanin"/>
          <w:lang w:bidi="fa-IR"/>
          <w:color w:val="111111"/>
          <w:sz w:val="28"/>
          <w:szCs w:val="28"/>
          <w:rtl/>
        </w:rPr>
        <w:t xml:space="preserve">آغاز: برابر؛ انجام: قال: نزلت هذه الآية فينا و في شيعتنا و ذلك أن الله سبحانه. نسخه اصل: کتابخانه کاشف الغطاء نجف اشرف؛ خط: نسخ، بی کا، بی تا؛ افتادگی: آغاز و انجام؛ مصحح، ۱۹۹ص [عکسی ف: ۳۲۹-۵ ]</w:t>
      </w:r>
    </w:p>
    <w:p>
      <w:pPr>
        <w:pStyle w:val="BookText"/>
      </w:pPr>
      <w:r>
        <w:rPr>
          <w:rFonts w:ascii="IRNazanin" w:hAnsi="IRNazanin" w:eastAsia="IRNazanin" w:cs="IRNazanin"/>
          <w:lang w:bidi="fa-IR"/>
          <w:color w:val="111111"/>
          <w:sz w:val="28"/>
          <w:szCs w:val="28"/>
          <w:rtl/>
        </w:rPr>
        <w:t xml:space="preserve">۳۷. زنجان؛ امام جمعه؛ شماره نسخه: ۲ مجموعه بدون شماره</w:t>
      </w:r>
    </w:p>
    <w:p>
      <w:pPr>
        <w:pStyle w:val="BookText"/>
      </w:pPr>
      <w:r>
        <w:rPr>
          <w:rFonts w:ascii="IRNazanin" w:hAnsi="IRNazanin" w:eastAsia="IRNazanin" w:cs="IRNazanin"/>
          <w:lang w:bidi="fa-IR"/>
          <w:color w:val="111111"/>
          <w:sz w:val="28"/>
          <w:szCs w:val="28"/>
          <w:rtl/>
        </w:rPr>
        <w:t xml:space="preserve">بی کا، بی تا؛ افتادگی: آغاز [دليل المخطوطات: ۱-۱۵۳]</w:t>
      </w:r>
    </w:p>
    <w:p>
      <w:pPr>
        <w:pStyle w:val="Heading3"/>
      </w:pPr>
      <w:bookmarkStart w:id="2818" w:name="_Toc2078"/>
      <w:r>
        <w:t>•تأويل الآيات الظاهرة في فضائل العترة الطاهرة (خلاصه) / تفسير، فضائل و مناقب /عربی</w:t>
      </w:r>
      <w:bookmarkEnd w:id="2818"/>
    </w:p>
    <w:p>
      <w:pPr>
        <w:pStyle w:val="BookText"/>
      </w:pPr>
      <w:r>
        <w:rPr>
          <w:rFonts w:ascii="Times New Roman" w:hAnsi="Times New Roman" w:eastAsia="Times New Roman" w:cs="Times New Roman"/>
          <w:lang w:val="en-US" w:bidi="en-US"/>
          <w:color w:val="111111"/>
          <w:sz w:val="28"/>
          <w:szCs w:val="28"/>
          <w:rtl/>
        </w:rPr>
        <w:t xml:space="preserve">Zāhira fi fadā'il-il ‘itrat-it țāhira</w:t>
      </w:r>
    </w:p>
    <w:p>
      <w:pPr>
        <w:pStyle w:val="BookText"/>
      </w:pPr>
      <w:r>
        <w:rPr>
          <w:rFonts w:ascii="Times New Roman" w:hAnsi="Times New Roman" w:eastAsia="Times New Roman" w:cs="Times New Roman"/>
          <w:lang w:val="en-US" w:bidi="en-US"/>
          <w:color w:val="111111"/>
          <w:sz w:val="28"/>
          <w:szCs w:val="28"/>
          <w:rtl/>
        </w:rPr>
        <w:t xml:space="preserve">ta'wīl-ul āyāt-iz (xulaşa)</w:t>
      </w:r>
    </w:p>
    <w:p>
      <w:pPr>
        <w:pStyle w:val="BookText"/>
      </w:pPr>
      <w:r>
        <w:rPr>
          <w:rFonts w:ascii="IRNazanin" w:hAnsi="IRNazanin" w:eastAsia="IRNazanin" w:cs="IRNazanin"/>
          <w:lang w:bidi="fa-IR"/>
          <w:color w:val="111111"/>
          <w:sz w:val="28"/>
          <w:szCs w:val="28"/>
          <w:rtl/>
        </w:rPr>
        <w:t xml:space="preserve">فضل الله، ق ۱۲ قمری</w:t>
      </w:r>
    </w:p>
    <w:p>
      <w:pPr>
        <w:pStyle w:val="BookText"/>
      </w:pPr>
      <w:r>
        <w:rPr>
          <w:rFonts w:ascii="Times New Roman" w:hAnsi="Times New Roman" w:eastAsia="Times New Roman" w:cs="Times New Roman"/>
          <w:lang w:val="en-US" w:bidi="en-US"/>
          <w:color w:val="111111"/>
          <w:sz w:val="28"/>
          <w:szCs w:val="28"/>
          <w:rtl/>
        </w:rPr>
        <w:t xml:space="preserve">fazl-ol-lah (-13c)</w:t>
      </w:r>
    </w:p>
    <w:p>
      <w:pPr>
        <w:pStyle w:val="BookText"/>
      </w:pPr>
      <w:r>
        <w:rPr>
          <w:rFonts w:ascii="IRNazanin" w:hAnsi="IRNazanin" w:eastAsia="IRNazanin" w:cs="IRNazanin"/>
          <w:lang w:bidi="fa-IR"/>
          <w:color w:val="111111"/>
          <w:sz w:val="28"/>
          <w:szCs w:val="28"/>
          <w:rtl/>
        </w:rPr>
        <w:t xml:space="preserve">وابسته به تأويل الآيات الظاهرة في فضائل العترة الطاهرة؛ استر آبادی، شرف الدين على (-۹۶۵)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bookmarkStart w:id="627" w:name="pg20363_209961"/>
    <w:bookmarkEnd w:id="627"/>
    <w:p>
      <w:pPr>
        <w:pStyle w:val="BookText"/>
      </w:pPr>
      <w:r>
        <w:rPr>
          <w:rFonts w:ascii="IRNazanin" w:hAnsi="IRNazanin" w:eastAsia="IRNazanin" w:cs="IRNazanin"/>
          <w:lang w:bidi="fa-IR"/>
          <w:color w:val="111111"/>
          <w:sz w:val="28"/>
          <w:szCs w:val="28"/>
          <w:rtl/>
        </w:rPr>
        <w:t xml:space="preserve">مشهد؛ رضوی؛ شماره نسخه:۱۷۸۶۷</w:t>
      </w:r>
    </w:p>
    <w:p>
      <w:pPr>
        <w:pStyle w:val="BookText"/>
      </w:pPr>
      <w:r>
        <w:rPr>
          <w:rFonts w:ascii="IRNazanin" w:hAnsi="IRNazanin" w:eastAsia="IRNazanin" w:cs="IRNazanin"/>
          <w:lang w:bidi="fa-IR"/>
          <w:color w:val="111111"/>
          <w:sz w:val="28"/>
          <w:szCs w:val="28"/>
          <w:rtl/>
        </w:rPr>
        <w:t xml:space="preserve">آغاز: ذكر الشيخ العلامة الفهامه ... ابراهيم الدرازي البحرانی؛ انجام: وقع الفراغ من تسويد من الكتاب المستطاب ... و آله الطاهرین. خط: نسخ، بی کا، تا: ۱۱۰۲ق؛ افتادگی: آغاز، کاغذ: حنایی، جلد: تیماج، ۱۵۰گ، ۱۵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[رایانه]</w:t>
      </w:r>
    </w:p>
    <w:p>
      <w:pPr>
        <w:pStyle w:val="Heading3"/>
      </w:pPr>
      <w:bookmarkStart w:id="2819" w:name="_Toc2079"/>
      <w:r>
        <w:t>•تأويل الآيات الظاهرة (منتخب) / علوم قرآن / عربی</w:t>
      </w:r>
      <w:bookmarkEnd w:id="2819"/>
    </w:p>
    <w:p>
      <w:pPr>
        <w:pStyle w:val="BookText"/>
      </w:pPr>
      <w:r>
        <w:rPr>
          <w:rFonts w:ascii="Times New Roman" w:hAnsi="Times New Roman" w:eastAsia="Times New Roman" w:cs="Times New Roman"/>
          <w:lang w:val="en-US" w:bidi="en-US"/>
          <w:color w:val="111111"/>
          <w:sz w:val="28"/>
          <w:szCs w:val="28"/>
          <w:rtl/>
        </w:rPr>
        <w:t xml:space="preserve">ta’wīl-ul āyāt-iz Zāhira (mn.)</w:t>
      </w:r>
    </w:p>
    <w:p>
      <w:pPr>
        <w:pStyle w:val="BookText"/>
      </w:pPr>
      <w:r>
        <w:rPr>
          <w:rFonts w:ascii="IRNazanin" w:hAnsi="IRNazanin" w:eastAsia="IRNazanin" w:cs="IRNazanin"/>
          <w:lang w:bidi="fa-IR"/>
          <w:color w:val="111111"/>
          <w:sz w:val="28"/>
          <w:szCs w:val="28"/>
          <w:rtl/>
        </w:rPr>
        <w:t xml:space="preserve">وابسته به: تأويل الآيات الظاهرة في فضائل العترة الطاهرة؛ استر آبادی، شرف الدین علی (۱۶۵) انتخابی است با حذف اسانید احادیث، از کتاب «تأويل الايات الظاهرة» شرف الدين على استر آبادی، و چون آغاز نسخه افتاده است معلوم نشد از کیست «کنز جامع الفوائد علم بن سيف نیست.</w:t>
      </w:r>
    </w:p>
    <w:p>
      <w:pPr>
        <w:pStyle w:val="BookText"/>
      </w:pPr>
      <w:r>
        <w:rPr>
          <w:rFonts w:ascii="IRNazanin" w:hAnsi="IRNazanin" w:eastAsia="IRNazanin" w:cs="IRNazanin"/>
          <w:lang w:bidi="fa-IR"/>
          <w:color w:val="111111"/>
          <w:sz w:val="28"/>
          <w:szCs w:val="28"/>
          <w:rtl/>
        </w:rPr>
        <w:t xml:space="preserve">قم؛ مرعشی؛ شماره نسخه:۵۲۵۹</w:t>
      </w:r>
    </w:p>
    <w:p>
      <w:pPr>
        <w:pStyle w:val="BookText"/>
      </w:pPr>
      <w:r>
        <w:rPr>
          <w:rFonts w:ascii="IRNazanin" w:hAnsi="IRNazanin" w:eastAsia="IRNazanin" w:cs="IRNazanin"/>
          <w:lang w:bidi="fa-IR"/>
          <w:color w:val="111111"/>
          <w:sz w:val="28"/>
          <w:szCs w:val="28"/>
          <w:rtl/>
        </w:rPr>
        <w:t xml:space="preserve">آغاز: و قد ورد عن ابن عباس رضی الله عنه قال قال لي امیر المؤمنين نزل القرآن ارباع انجام: فمن اجل ذلك أنه لا يحصى كثرة و لا يعلم به الا الله العلى العظيم و الحمدلله رب العالمين خط: نسخ، بی کا، تا: سه شنبه از صفر ۱۱۸۲ق؛ افتادگی: آغاز؛ مصحح، این کار توسط نصرالله بن الحسین موسوی حائری انجام گرفته و کتاب را به شخصی به نام حاج فضل الله نسبت داده؛ جلد: تیماج قرمز عطف تیماج قهوه ای، ۱۱۴گ، مختلف السطر،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۱۴-۵۳]</w:t>
      </w:r>
    </w:p>
    <w:p>
      <w:pPr>
        <w:pStyle w:val="Heading3"/>
      </w:pPr>
      <w:bookmarkStart w:id="2820" w:name="_Toc2080"/>
      <w:r>
        <w:t>•تأويل الآيات الظاهرة في فضائل العترة الطاهرة / فضائل و مناقب، تفسير / عربی</w:t>
      </w:r>
      <w:bookmarkEnd w:id="2820"/>
    </w:p>
    <w:p>
      <w:pPr>
        <w:pStyle w:val="BookText"/>
      </w:pPr>
      <w:r>
        <w:rPr>
          <w:rFonts w:ascii="Times New Roman" w:hAnsi="Times New Roman" w:eastAsia="Times New Roman" w:cs="Times New Roman"/>
          <w:lang w:val="en-US" w:bidi="en-US"/>
          <w:color w:val="111111"/>
          <w:sz w:val="28"/>
          <w:szCs w:val="28"/>
          <w:rtl/>
        </w:rPr>
        <w:t xml:space="preserve">ta'wil-ul ayat-iz zahira fi fada'il-il itrat-it tahira</w:t>
      </w:r>
    </w:p>
    <w:p>
      <w:pPr>
        <w:pStyle w:val="BookText"/>
      </w:pPr>
      <w:r>
        <w:rPr>
          <w:rFonts w:ascii="IRNazanin" w:hAnsi="IRNazanin" w:eastAsia="IRNazanin" w:cs="IRNazanin"/>
          <w:lang w:bidi="fa-IR"/>
          <w:color w:val="111111"/>
          <w:sz w:val="28"/>
          <w:szCs w:val="28"/>
          <w:rtl/>
        </w:rPr>
        <w:t xml:space="preserve">طبسی، محمد بن محمود، ق ۱۱ قمری</w:t>
      </w:r>
    </w:p>
    <w:p>
      <w:pPr>
        <w:pStyle w:val="BookText"/>
      </w:pPr>
      <w:r>
        <w:rPr>
          <w:rFonts w:ascii="Times New Roman" w:hAnsi="Times New Roman" w:eastAsia="Times New Roman" w:cs="Times New Roman"/>
          <w:lang w:val="en-US" w:bidi="en-US"/>
          <w:color w:val="111111"/>
          <w:sz w:val="28"/>
          <w:szCs w:val="28"/>
          <w:rtl/>
        </w:rPr>
        <w:t xml:space="preserve">tabasī, mohammad ebn-e mahmūd (-170) ar</w:t>
      </w:r>
    </w:p>
    <w:p>
      <w:pPr>
        <w:pStyle w:val="BookText"/>
      </w:pPr>
      <w:r>
        <w:rPr>
          <w:rFonts w:ascii="IRNazanin" w:hAnsi="IRNazanin" w:eastAsia="IRNazanin" w:cs="IRNazanin"/>
          <w:lang w:bidi="fa-IR"/>
          <w:color w:val="111111"/>
          <w:sz w:val="28"/>
          <w:szCs w:val="28"/>
          <w:rtl/>
        </w:rPr>
        <w:t xml:space="preserve">تاریخ تأليف: ۱۰۸۵ق</w:t>
      </w:r>
    </w:p>
    <w:p>
      <w:pPr>
        <w:pStyle w:val="BookText"/>
      </w:pPr>
      <w:r>
        <w:rPr>
          <w:rFonts w:ascii="IRNazanin" w:hAnsi="IRNazanin" w:eastAsia="IRNazanin" w:cs="IRNazanin"/>
          <w:lang w:bidi="fa-IR"/>
          <w:color w:val="111111"/>
          <w:sz w:val="28"/>
          <w:szCs w:val="28"/>
          <w:rtl/>
        </w:rPr>
        <w:t xml:space="preserve">آن را پس از زبدة البيان خود ساخته و این جز تكمله زبدة البيان اوست و جز کتاب سید شرف الدين على حسینی استرابادی است که به همین نام است. آغاز: بسمله، الحمدلله و کفی. و الصلاة على عباده الذي اصطفی محمد و عترته المعصومين ... و بعد فيقول ... محمد بن محمود الطبسي اني لما فرغت من کتاب زبدة البيان في شرح آیات قصص القرآن ... و سميته بكتاب تأويل الايات الظاهره في فضائل العترة الطاهرة ...</w:t>
      </w:r>
    </w:p>
    <w:p>
      <w:pPr>
        <w:pStyle w:val="BookText"/>
      </w:pPr>
      <w:r>
        <w:rPr>
          <w:rFonts w:ascii="Amiri" w:hAnsi="Amiri" w:eastAsia="Amiri" w:cs="Amiri"/>
          <w:lang w:bidi="ar-SA"/>
          <w:color w:val="111111"/>
          <w:sz w:val="28"/>
          <w:szCs w:val="28"/>
          <w:rtl/>
        </w:rPr>
        <w:t xml:space="preserve">[الذريعة ۴۱۴/۴ و ۲۱/۱۲ ]</w:t>
      </w:r>
    </w:p>
    <w:p>
      <w:pPr>
        <w:pStyle w:val="BookText"/>
      </w:pPr>
      <w:r>
        <w:rPr>
          <w:rFonts w:ascii="IRNazanin" w:hAnsi="IRNazanin" w:eastAsia="IRNazanin" w:cs="IRNazanin"/>
          <w:lang w:bidi="fa-IR"/>
          <w:color w:val="111111"/>
          <w:sz w:val="28"/>
          <w:szCs w:val="28"/>
          <w:rtl/>
        </w:rPr>
        <w:t xml:space="preserve">۱. تهران؛ ملک، شماره نسخه:۶۱۹۵</w:t>
      </w:r>
    </w:p>
    <w:p>
      <w:pPr>
        <w:pStyle w:val="BookText"/>
      </w:pPr>
      <w:r>
        <w:rPr>
          <w:rFonts w:ascii="IRNazanin" w:hAnsi="IRNazanin" w:eastAsia="IRNazanin" w:cs="IRNazanin"/>
          <w:lang w:bidi="fa-IR"/>
          <w:color w:val="111111"/>
          <w:sz w:val="28"/>
          <w:szCs w:val="28"/>
          <w:rtl/>
        </w:rPr>
        <w:t xml:space="preserve">خط: نستعلیق، کاتب = مؤلف، تا: قرن ۱۱؛ محشی، با یادداشت فرهاد میرزا، با مهر «یا علی بن موسی الرضا» (بیضی)؛ کاغذ: ترمه جلد: میشن قهوه ای، ۸۷گ، ۱۹ سطر، اندازه:</w:t>
      </w:r>
    </w:p>
    <w:p>
      <w:pPr>
        <w:pStyle w:val="BookText"/>
      </w:pPr>
      <w:r>
        <w:rPr>
          <w:rFonts w:ascii="IRNazanin" w:hAnsi="IRNazanin" w:eastAsia="IRNazanin" w:cs="IRNazanin"/>
          <w:lang w:bidi="fa-IR"/>
          <w:color w:val="111111"/>
          <w:sz w:val="28"/>
          <w:szCs w:val="28"/>
          <w:rtl/>
        </w:rPr>
        <w:t xml:space="preserve">۱۸/۸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۱۲/۷ سم [ف: ۷۹-۱ ]</w:t>
      </w:r>
    </w:p>
    <w:p>
      <w:pPr>
        <w:pStyle w:val="BookText"/>
      </w:pPr>
      <w:r>
        <w:rPr>
          <w:rFonts w:ascii="IRNazanin" w:hAnsi="IRNazanin" w:eastAsia="IRNazanin" w:cs="IRNazanin"/>
          <w:lang w:bidi="fa-IR"/>
          <w:color w:val="111111"/>
          <w:sz w:val="28"/>
          <w:szCs w:val="28"/>
          <w:rtl/>
        </w:rPr>
        <w:t xml:space="preserve">۲. تهران، ملک، شماره نسخه:۱۲۴۷</w:t>
      </w:r>
    </w:p>
    <w:p>
      <w:pPr>
        <w:pStyle w:val="BookText"/>
      </w:pPr>
      <w:r>
        <w:rPr>
          <w:rFonts w:ascii="IRNazanin" w:hAnsi="IRNazanin" w:eastAsia="IRNazanin" w:cs="IRNazanin"/>
          <w:lang w:bidi="fa-IR"/>
          <w:color w:val="111111"/>
          <w:sz w:val="28"/>
          <w:szCs w:val="28"/>
          <w:rtl/>
        </w:rPr>
        <w:t xml:space="preserve">آغاز: برابر؛ انجام: والحمدلله رب العالمين، هذا ما قصدنا ایراده من ذكر الآيات الدالة على امامة امير المؤمنین و سایر اهل البيت(عليهم السلام) ... فقد تم ذلك على يد ... محمد بن محمود بن مولانا على الطبسي في اوایل ذی القعدة الحرام سنة ۱۰۸۵، و الحمدلله رب العالمين. خط: نسخ، بی کا، تا: قرن ۱۱؛ پیشکش ملا محمد امین شوشتری در ۱۰۸۵ به کتابخانه یکی از پادشاهان هند با عرض های ۱۰۹۵، ۱۰۹۶، ۱۰۹۸، ۱۱۱۲، ۱۱۱۳ و ۱۱۳۱؛ کاغذ: فستقی هندی، جلد: میشن سبز، ۱۴۲گ، ۲۵ سطر، اندازه: ۲۷/۳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سم [ف: ۱-۷۹]</w:t>
      </w:r>
    </w:p>
    <w:p>
      <w:pPr>
        <w:pStyle w:val="Heading3"/>
      </w:pPr>
      <w:bookmarkStart w:id="2821" w:name="_Toc2081"/>
      <w:r>
        <w:t>•تاویل آیات قرآنی / تفسير / عربی</w:t>
      </w:r>
      <w:bookmarkEnd w:id="2821"/>
    </w:p>
    <w:p>
      <w:pPr>
        <w:pStyle w:val="BookText"/>
      </w:pPr>
      <w:r>
        <w:rPr>
          <w:rFonts w:ascii="Times New Roman" w:hAnsi="Times New Roman" w:eastAsia="Times New Roman" w:cs="Times New Roman"/>
          <w:lang w:val="en-US" w:bidi="en-US"/>
          <w:color w:val="111111"/>
          <w:sz w:val="28"/>
          <w:szCs w:val="28"/>
          <w:rtl/>
        </w:rPr>
        <w:t xml:space="preserve">ta’vīl-e āyāt-e qor'ānī</w:t>
      </w:r>
    </w:p>
    <w:p>
      <w:pPr>
        <w:pStyle w:val="BookText"/>
      </w:pPr>
      <w:r>
        <w:rPr>
          <w:rFonts w:ascii="IRNazanin" w:hAnsi="IRNazanin" w:eastAsia="IRNazanin" w:cs="IRNazanin"/>
          <w:lang w:bidi="fa-IR"/>
          <w:color w:val="111111"/>
          <w:sz w:val="28"/>
          <w:szCs w:val="28"/>
          <w:rtl/>
        </w:rPr>
        <w:t xml:space="preserve">علم الهدی، علی بن حسین، ۳۵۵-۴۳۶ قمری</w:t>
      </w:r>
    </w:p>
    <w:p>
      <w:pPr>
        <w:pStyle w:val="BookText"/>
      </w:pPr>
      <w:r>
        <w:rPr>
          <w:rFonts w:ascii="Times New Roman" w:hAnsi="Times New Roman" w:eastAsia="Times New Roman" w:cs="Times New Roman"/>
          <w:lang w:val="en-US" w:bidi="en-US"/>
          <w:color w:val="111111"/>
          <w:sz w:val="28"/>
          <w:szCs w:val="28"/>
          <w:rtl/>
        </w:rPr>
        <w:t xml:space="preserve">‘alam-ol-hodā, “alī ebn-e hoseyn (967-1045)</w:t>
      </w:r>
    </w:p>
    <w:p>
      <w:pPr>
        <w:pStyle w:val="BookText"/>
      </w:pPr>
      <w:r>
        <w:rPr>
          <w:rFonts w:ascii="IRNazanin" w:hAnsi="IRNazanin" w:eastAsia="IRNazanin" w:cs="IRNazanin"/>
          <w:lang w:bidi="fa-IR"/>
          <w:color w:val="111111"/>
          <w:sz w:val="28"/>
          <w:szCs w:val="28"/>
          <w:rtl/>
        </w:rPr>
        <w:t xml:space="preserve">این کتاب درباب تاویل و تفسير مقداری آیات قرآن مجید است، مؤلف آن به طوری که در مقدمه ذکر شده السيد الأجل المرتضی علم الهدی ابوالقاسم علی بن الحسين بن موسی بن محمد بن موسى الكاظم (عليه السلام)موسوي العلوي الحسینی می باشد.</w:t>
      </w:r>
    </w:p>
    <w:p>
      <w:pPr>
        <w:pStyle w:val="BookText"/>
      </w:pPr>
      <w:r>
        <w:rPr>
          <w:rFonts w:ascii="IRNazanin" w:hAnsi="IRNazanin" w:eastAsia="IRNazanin" w:cs="IRNazanin"/>
          <w:lang w:bidi="fa-IR"/>
          <w:color w:val="111111"/>
          <w:sz w:val="28"/>
          <w:szCs w:val="28"/>
          <w:rtl/>
        </w:rPr>
        <w:t xml:space="preserve">شیراز؛ ملی؛ شماره نسخه:ف ۱۸۱/۱۰</w:t>
      </w:r>
    </w:p>
    <w:p>
      <w:pPr>
        <w:pStyle w:val="BookText"/>
      </w:pPr>
      <w:r>
        <w:rPr>
          <w:rFonts w:ascii="IRNazanin" w:hAnsi="IRNazanin" w:eastAsia="IRNazanin" w:cs="IRNazanin"/>
          <w:lang w:bidi="fa-IR"/>
          <w:color w:val="111111"/>
          <w:sz w:val="28"/>
          <w:szCs w:val="28"/>
          <w:rtl/>
        </w:rPr>
        <w:t xml:space="preserve">آغاز: بسمله - الحمدلله رب العالمين حمد العارفين الشاکرین و صلوته و تحياته على سيد المرسلین، انجام: أن الرجال قد استلامو او لبسو السلاح و قوله و شکت الفسادسه (كذا) ای اتخذت بی کا، بی تا؛ افتادگی: انجام؛ ۸گ، ۱۸ سطر، اندازه: ۷/۵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۱۳/۵ سم اف: ۱-۱۶۱]</w:t>
      </w:r>
    </w:p>
    <w:p>
      <w:pPr>
        <w:pStyle w:val="Heading3"/>
      </w:pPr>
      <w:bookmarkStart w:id="2822" w:name="_Toc2082"/>
      <w:r>
        <w:t>•تأویل آیه امانت / تفسير / عربی</w:t>
      </w:r>
      <w:bookmarkEnd w:id="2822"/>
    </w:p>
    <w:p>
      <w:pPr>
        <w:pStyle w:val="BookText"/>
      </w:pPr>
      <w:r>
        <w:rPr>
          <w:rFonts w:ascii="Times New Roman" w:hAnsi="Times New Roman" w:eastAsia="Times New Roman" w:cs="Times New Roman"/>
          <w:lang w:val="en-US" w:bidi="en-US"/>
          <w:color w:val="111111"/>
          <w:sz w:val="28"/>
          <w:szCs w:val="28"/>
          <w:rtl/>
        </w:rPr>
        <w:t xml:space="preserve">ta’vīl-e āye-ye amānat</w:t>
      </w:r>
    </w:p>
    <w:p>
      <w:pPr>
        <w:pStyle w:val="BookText"/>
      </w:pPr>
      <w:r>
        <w:rPr>
          <w:rFonts w:ascii="IRNazanin" w:hAnsi="IRNazanin" w:eastAsia="IRNazanin" w:cs="IRNazanin"/>
          <w:lang w:bidi="fa-IR"/>
          <w:color w:val="111111"/>
          <w:sz w:val="28"/>
          <w:szCs w:val="28"/>
          <w:rtl/>
        </w:rPr>
        <w:t xml:space="preserve">مختصری است در بیان مقصود از عرض امانت بر انسان و اباء و اشفاق فرشتگان و تفسیر کلمه ظلوم و جهول به شيوه عرفان، پیوسته نسخه تفسیر آیه نور کاشانی است و شاید کاتب دفتر این را نیز از کاشانی دانسته است. سید حیدر آملی رساله ای در این باب دارد و در آغاز کتاب «جامع الاسرار» نیز درباره آن سخن گفته. علم الهدی در یادداشتی که در پشت گ ۲ دفتر دارد تنها از دو رساله (شماره ۱ و ۲ )دفتر یاد کرده و از دیگر رساله های موجود در دفتر با اینکه با همان خط و قلم اند و احتمال الحاق نمی رود نام نبرده است.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bookmarkStart w:id="628" w:name="pg20363_209962"/>
    <w:bookmarkEnd w:id="628"/>
    <w:p>
      <w:pPr>
        <w:pStyle w:val="BookText"/>
      </w:pPr>
      <w:r>
        <w:rPr>
          <w:rFonts w:ascii="IRNazanin" w:hAnsi="IRNazanin" w:eastAsia="IRNazanin" w:cs="IRNazanin"/>
          <w:lang w:bidi="fa-IR"/>
          <w:color w:val="111111"/>
          <w:sz w:val="28"/>
          <w:szCs w:val="28"/>
          <w:rtl/>
        </w:rPr>
        <w:t xml:space="preserve">تهران؛ مجلس؛ شماره نسخه:۱۹۳۶/۳</w:t>
      </w:r>
    </w:p>
    <w:p>
      <w:pPr>
        <w:pStyle w:val="BookText"/>
      </w:pPr>
      <w:r>
        <w:rPr>
          <w:rFonts w:ascii="IRNazanin" w:hAnsi="IRNazanin" w:eastAsia="IRNazanin" w:cs="IRNazanin"/>
          <w:lang w:bidi="fa-IR"/>
          <w:color w:val="111111"/>
          <w:sz w:val="28"/>
          <w:szCs w:val="28"/>
          <w:rtl/>
        </w:rPr>
        <w:t xml:space="preserve">آغاز: بسمله، و به نستعين، انا عرضنا الاية المراد بالعرض التجلی و بالامانة الذات مع الصفات اي الاسماء الالهيه معنی تجلینا باسمائنا الحسني السموات العالم العلوى و ارض العالم السفلي و جبال الكائنات بينهما فا بين أن يحملنها؛ انجام: ترد نفسك الى طاهرة كما قبلتها مني طاهرة و الله المستعان و عليه التكلان تم. خط: نسخ، كان محمد بن جلال الدین محمد شهير به مؤمن کاشانی، تا: ۱۰۲۸ق؛ کاغذ: اصفهانی شکری رنگ، جلد: تیماج قرمز، ۲ص (۲۲-۲۳)، ۲۳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۹-۶۴۷]</w:t>
      </w:r>
    </w:p>
    <w:p>
      <w:pPr>
        <w:pStyle w:val="BookText"/>
      </w:pPr>
      <w:r>
        <w:rPr>
          <w:rFonts w:ascii="IRNazanin" w:hAnsi="IRNazanin" w:eastAsia="IRNazanin" w:cs="IRNazanin"/>
          <w:lang w:bidi="fa-IR"/>
          <w:color w:val="111111"/>
          <w:sz w:val="28"/>
          <w:szCs w:val="28"/>
          <w:rtl/>
        </w:rPr>
        <w:t xml:space="preserve">←تاویل آیه تطهیر ← استخراج اسامی ائمه از آیه تطهیر</w:t>
      </w:r>
    </w:p>
    <w:p>
      <w:pPr>
        <w:pStyle w:val="Heading3"/>
      </w:pPr>
      <w:bookmarkStart w:id="2823" w:name="_Toc2083"/>
      <w:r>
        <w:t>•التأويلات = تأويل الآيات / تفسير ا عربی</w:t>
      </w:r>
      <w:bookmarkEnd w:id="2823"/>
    </w:p>
    <w:p>
      <w:pPr>
        <w:pStyle w:val="BookText"/>
      </w:pPr>
      <w:r>
        <w:rPr>
          <w:rFonts w:ascii="Times New Roman" w:hAnsi="Times New Roman" w:eastAsia="Times New Roman" w:cs="Times New Roman"/>
          <w:lang w:val="en-US" w:bidi="en-US"/>
          <w:color w:val="111111"/>
          <w:sz w:val="28"/>
          <w:szCs w:val="28"/>
          <w:rtl/>
        </w:rPr>
        <w:t xml:space="preserve">at-ta’wīlāt = ta’wīl-ul āyāt</w:t>
      </w:r>
    </w:p>
    <w:p>
      <w:pPr>
        <w:pStyle w:val="BookText"/>
      </w:pPr>
      <w:r>
        <w:rPr>
          <w:rFonts w:ascii="IRNazanin" w:hAnsi="IRNazanin" w:eastAsia="IRNazanin" w:cs="IRNazanin"/>
          <w:lang w:bidi="fa-IR"/>
          <w:color w:val="111111"/>
          <w:sz w:val="28"/>
          <w:szCs w:val="28"/>
          <w:rtl/>
        </w:rPr>
        <w:t xml:space="preserve">عبدالرزاق کاشی، عبدالرزاق بن احمد، -۷۳۶؟ قمری</w:t>
      </w:r>
    </w:p>
    <w:p>
      <w:pPr>
        <w:pStyle w:val="BookText"/>
      </w:pPr>
      <w:r>
        <w:rPr>
          <w:rFonts w:ascii="Times New Roman" w:hAnsi="Times New Roman" w:eastAsia="Times New Roman" w:cs="Times New Roman"/>
          <w:lang w:val="en-US" w:bidi="en-US"/>
          <w:color w:val="111111"/>
          <w:sz w:val="28"/>
          <w:szCs w:val="28"/>
          <w:rtl/>
        </w:rPr>
        <w:t xml:space="preserve">‘abd-or-razzāq-e kāšī, ‘abd-or-razzāq ebn-e ahmad ( 1336)</w:t>
      </w:r>
    </w:p>
    <w:p>
      <w:pPr>
        <w:pStyle w:val="BookText"/>
      </w:pPr>
      <w:r>
        <w:rPr>
          <w:rFonts w:ascii="IRNazanin" w:hAnsi="IRNazanin" w:eastAsia="IRNazanin" w:cs="IRNazanin"/>
          <w:lang w:bidi="fa-IR"/>
          <w:color w:val="111111"/>
          <w:sz w:val="28"/>
          <w:szCs w:val="28"/>
          <w:rtl/>
        </w:rPr>
        <w:t xml:space="preserve">تفسیر مزجی مختصری است مشتمل بر تأویل آیات به روش عرفا و صوفیان چنانکه خود کاشانی فهمیده، و اگر آیه ای احتیاج به تأویل نداشته یا تأویل آن را نمی دانسته، تأویل نکرده تا شاید دیگران بهتر بفهمند. به تصدیق شهید ثانی این کتاب در موضوع خود بی نظیر بوده و مثل آن تأليف نشده است. آغاز: بسملة. الحمدلله الذي جعل مناظم كلامه مظاهر حسن صفاته و طوالع صفاته مطالع نور ذاته ... و بعد فانی طال ما تعهدت تلاوة القران و تدبرت معانيه بقوة الايمان ... و تهمت آن الظهر هو التفسير و البطن هو التاویل ... و قد نقل عن الامام المحقق السابق جعفر بن محمد الصادق انه قال لقد تجلى الله العباده في كلامه و لكن لاتبصرون و روى عنه عليه السلام انه خرمغشيا عليه و هو في الصلاة فسئل عن ذلك فقال ما زلت أردد الاية حتى سمعتها من المتكلم بها فرایت آن اغلق بعض ما يسنح في الأوقات من اسرار البطون و انوار شوارق المطلعات و ما يتعلق بالظهور و الحدود ... في تسويد هذه الأوراق ... مراعيا لنظم الكتاب و ترتيبه ... انجام: و اما في صورة غيره من صور الاسماء فلايتم ايضا الاستفادة منه الا بالله و الله العاصم.</w:t>
      </w:r>
    </w:p>
    <w:p>
      <w:pPr>
        <w:pStyle w:val="BookText"/>
      </w:pPr>
      <w:r>
        <w:rPr>
          <w:rFonts w:ascii="IRNazanin" w:hAnsi="IRNazanin" w:eastAsia="IRNazanin" w:cs="IRNazanin"/>
          <w:lang w:bidi="fa-IR"/>
          <w:color w:val="111111"/>
          <w:sz w:val="28"/>
          <w:szCs w:val="28"/>
          <w:rtl/>
        </w:rPr>
        <w:t xml:space="preserve">چاپ: این کتاب در بیروت توسط انتشارات دار اليقظة العربية در سال ۱۳۸۷ ق در دو جلد اشتباها به نام تفسير القرآن کریم منسوب به محيي الدين بن عربی ( ۶۳۸ ق ) به چاپ رسیده.</w:t>
      </w:r>
    </w:p>
    <w:p>
      <w:pPr>
        <w:pStyle w:val="BookText"/>
      </w:pPr>
      <w:r>
        <w:rPr>
          <w:rFonts w:ascii="IRNazanin" w:hAnsi="IRNazanin" w:eastAsia="IRNazanin" w:cs="IRNazanin"/>
          <w:lang w:bidi="fa-IR"/>
          <w:color w:val="111111"/>
          <w:sz w:val="28"/>
          <w:szCs w:val="28"/>
          <w:rtl/>
        </w:rPr>
        <w:t xml:space="preserve">[ دنا ۷۵۷/۲ (۳۸ نسخه)؛ کشف الظنون ۳۳۶/۱ ؛ معجم المطبوعات ۱۷۷/۱ ؛ الذريعة ۳۰۳/۳ ؛ معجم المؤلفين ۲۱۵/۵ ؛ هدية العارفین ۵۶۷/۱ ؛ کشاف الفهارس ۸۹/۳ -۹۳؛ مكتبة امير المومنین ۱۹۵/۱ ؛ الأوقاف العامة بغداد ۵۴/۱]</w:t>
      </w:r>
    </w:p>
    <w:p>
      <w:pPr>
        <w:pStyle w:val="BookText"/>
      </w:pPr>
      <w:r>
        <w:rPr>
          <w:rFonts w:ascii="IRNazanin" w:hAnsi="IRNazanin" w:eastAsia="IRNazanin" w:cs="IRNazanin"/>
          <w:lang w:bidi="fa-IR"/>
          <w:color w:val="111111"/>
          <w:sz w:val="28"/>
          <w:szCs w:val="28"/>
          <w:rtl/>
        </w:rPr>
        <w:t xml:space="preserve">شروح و حواشی:</w:t>
      </w:r>
    </w:p>
    <w:p>
      <w:pPr>
        <w:pStyle w:val="BookText"/>
      </w:pPr>
      <w:r>
        <w:rPr>
          <w:rFonts w:ascii="IRNazanin" w:hAnsi="IRNazanin" w:eastAsia="IRNazanin" w:cs="IRNazanin"/>
          <w:lang w:bidi="fa-IR"/>
          <w:color w:val="111111"/>
          <w:sz w:val="28"/>
          <w:szCs w:val="28"/>
          <w:rtl/>
        </w:rPr>
        <w:t xml:space="preserve">1- تأويل بسم الله الرحمن الرحيم = حاشیه تأويلات القرآن؛ قیصری، داود بن محمود (-۷۵۱ق) ٢- التأويلات (منتخب)</w:t>
      </w:r>
    </w:p>
    <w:p>
      <w:pPr>
        <w:pStyle w:val="BookText"/>
      </w:pPr>
      <w:r>
        <w:rPr>
          <w:rFonts w:ascii="IRNazanin" w:hAnsi="IRNazanin" w:eastAsia="IRNazanin" w:cs="IRNazanin"/>
          <w:lang w:bidi="fa-IR"/>
          <w:color w:val="111111"/>
          <w:sz w:val="28"/>
          <w:szCs w:val="28"/>
          <w:rtl/>
        </w:rPr>
        <w:t xml:space="preserve">١. اردکان یزد؛ امام صادق؛ شماره نسخه:۱۹۸</w:t>
      </w:r>
    </w:p>
    <w:p>
      <w:pPr>
        <w:pStyle w:val="BookText"/>
      </w:pPr>
      <w:r>
        <w:rPr>
          <w:rFonts w:ascii="IRNazanin" w:hAnsi="IRNazanin" w:eastAsia="IRNazanin" w:cs="IRNazanin"/>
          <w:lang w:bidi="fa-IR"/>
          <w:color w:val="111111"/>
          <w:sz w:val="28"/>
          <w:szCs w:val="28"/>
          <w:rtl/>
        </w:rPr>
        <w:t xml:space="preserve">انجام: يدلان على أن المراد بهم هم الموحدون الكاملون الاستعداد الذين لاكمال فوق كمالهم فلايبقى شيء وراء مرتبتهم يريدون التحول اليه قل لو كان البحر از آغاز فاتحة الكتاب تا پایان سوره مریم؛ خط: نسخ مایل به نستعلیق، بی کا، تا: قرن ۱۸ افتادگی: انجام؛ صفحات آغازین مجدول، روی برگ اول نام کتاب و مؤلف و وقف بر صاحب الزمان؛ تملك: «عبدالله بن محمد عکاشی یزدی»؛ جلد: مقوایی عطف تیماج مشکی، ۱۸۱، ۱۹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۱۹۲-۱]</w:t>
      </w:r>
    </w:p>
    <w:p>
      <w:pPr>
        <w:pStyle w:val="BookText"/>
      </w:pPr>
      <w:r>
        <w:rPr>
          <w:rFonts w:ascii="IRNazanin" w:hAnsi="IRNazanin" w:eastAsia="IRNazanin" w:cs="IRNazanin"/>
          <w:lang w:bidi="fa-IR"/>
          <w:color w:val="111111"/>
          <w:sz w:val="28"/>
          <w:szCs w:val="28"/>
          <w:rtl/>
        </w:rPr>
        <w:t xml:space="preserve">۲. قم؛ مرعشی؛ شماره نسخه:۱۰۲۶۶</w:t>
      </w:r>
    </w:p>
    <w:p>
      <w:pPr>
        <w:pStyle w:val="BookText"/>
      </w:pPr>
      <w:r>
        <w:rPr>
          <w:rFonts w:ascii="IRNazanin" w:hAnsi="IRNazanin" w:eastAsia="IRNazanin" w:cs="IRNazanin"/>
          <w:lang w:bidi="fa-IR"/>
          <w:color w:val="111111"/>
          <w:sz w:val="28"/>
          <w:szCs w:val="28"/>
          <w:rtl/>
        </w:rPr>
        <w:t xml:space="preserve">خط: نستعلیق، بی کا، تا: ذیقعده ۷۵۶ق؛ تملکی به تاریخ ۱۲۵۱ با مهر «امامقلی بن محمد على بن شاه فتحعلی» (بیضوی)؛ مهر: کتابخانه میرزا ابوالفضل طهرانی؛ جلد: تیماج مشکی عطف تیماج قهوه ای، ۴۰۸گ، ۱۷ سطر، اندازه: 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۲۶-۲۲۰]</w:t>
      </w:r>
    </w:p>
    <w:p>
      <w:pPr>
        <w:pStyle w:val="BookText"/>
      </w:pPr>
      <w:r>
        <w:rPr>
          <w:rFonts w:ascii="IRNazanin" w:hAnsi="IRNazanin" w:eastAsia="IRNazanin" w:cs="IRNazanin"/>
          <w:lang w:bidi="fa-IR"/>
          <w:color w:val="111111"/>
          <w:sz w:val="28"/>
          <w:szCs w:val="28"/>
          <w:rtl/>
        </w:rPr>
        <w:t xml:space="preserve">٣. تهران، دانشگاه؛ شماره نسخه: ۹۱۸۰</w:t>
      </w:r>
    </w:p>
    <w:p>
      <w:pPr>
        <w:pStyle w:val="BookText"/>
      </w:pPr>
      <w:r>
        <w:rPr>
          <w:rFonts w:ascii="IRNazanin" w:hAnsi="IRNazanin" w:eastAsia="IRNazanin" w:cs="IRNazanin"/>
          <w:lang w:bidi="fa-IR"/>
          <w:color w:val="111111"/>
          <w:sz w:val="28"/>
          <w:szCs w:val="28"/>
          <w:rtl/>
        </w:rPr>
        <w:t xml:space="preserve">آغاز و انجام: برابر خط: نسخ، بی کا، تا: ۱۸ جمادی الاول ۸۱۹ق، جا: نیشابور؛ کاغذ: سمرقندی، جلد: تیماج تریاکی، ۲۳۰، ۲۴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۱۷-۳۱۱]</w:t>
      </w:r>
    </w:p>
    <w:p>
      <w:pPr>
        <w:pStyle w:val="BookText"/>
      </w:pPr>
      <w:r>
        <w:rPr>
          <w:rFonts w:ascii="IRNazanin" w:hAnsi="IRNazanin" w:eastAsia="IRNazanin" w:cs="IRNazanin"/>
          <w:lang w:bidi="fa-IR"/>
          <w:color w:val="111111"/>
          <w:sz w:val="28"/>
          <w:szCs w:val="28"/>
          <w:rtl/>
        </w:rPr>
        <w:t xml:space="preserve">۴. قم؛ مرعشی؛ شماره نسخه:۶۷۸۴</w:t>
      </w:r>
    </w:p>
    <w:p>
      <w:pPr>
        <w:pStyle w:val="BookText"/>
      </w:pPr>
      <w:r>
        <w:rPr>
          <w:rFonts w:ascii="IRNazanin" w:hAnsi="IRNazanin" w:eastAsia="IRNazanin" w:cs="IRNazanin"/>
          <w:lang w:bidi="fa-IR"/>
          <w:color w:val="111111"/>
          <w:sz w:val="28"/>
          <w:szCs w:val="28"/>
          <w:rtl/>
        </w:rPr>
        <w:t xml:space="preserve">آغاز: برابر؛ انجام: تم الكتاب و ربنا المحمود*** و له المكارم و العلي و الجود خط: نسخ، كا: على بن تاج الدين بن خليل معلم سرانیساووری، تا: سه شنبه غره محرم ۸۲۹ق، برای سید تاج الدين بن شرف الدين بن تاج الدين بن شرف الدين الهادی حسینی؛ مصحح، محشی؛ تملک: میر عبد العظيم رضوی به تاریخ ۲۳ صفر ۱۳۲۷، سید محمد بن عبد الغفار رضوی به تاریخ رمضان ۱۱۷۳، عبدالحی بن امیر سید محمد رضوی، محمد یوسف بن زین العابدین طبيب رضوی؛ جلد: تیماج قهوه ای، ۲۶۲گ، ۲۵ 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۱۷-۳۲۴]</w:t>
      </w:r>
    </w:p>
    <w:p>
      <w:pPr>
        <w:pStyle w:val="BookText"/>
      </w:pPr>
      <w:r>
        <w:rPr>
          <w:rFonts w:ascii="IRNazanin" w:hAnsi="IRNazanin" w:eastAsia="IRNazanin" w:cs="IRNazanin"/>
          <w:lang w:bidi="fa-IR"/>
          <w:color w:val="111111"/>
          <w:sz w:val="28"/>
          <w:szCs w:val="28"/>
          <w:rtl/>
        </w:rPr>
        <w:t xml:space="preserve">۵. تهران؛ ملک؛ شماره نسخه:۲۸۲</w:t>
      </w:r>
    </w:p>
    <w:p>
      <w:pPr>
        <w:pStyle w:val="BookText"/>
      </w:pPr>
      <w:r>
        <w:rPr>
          <w:rFonts w:ascii="IRNazanin" w:hAnsi="IRNazanin" w:eastAsia="IRNazanin" w:cs="IRNazanin"/>
          <w:lang w:bidi="fa-IR"/>
          <w:color w:val="111111"/>
          <w:sz w:val="28"/>
          <w:szCs w:val="28"/>
          <w:rtl/>
        </w:rPr>
        <w:t xml:space="preserve">خط: نسخ، بی کا، تا: ۵ جمادی الاول ۸۹۱ق؛ مجدول؛ کاغذ: ترمه سمرقندی، جلد: میشن مشکی، ۲۷۹گ، ۲۵ سطر، اندازه: ۲۱/۹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۱۲/۷ سم [ف: ۱-۸۰ ]</w:t>
      </w:r>
    </w:p>
    <w:p>
      <w:pPr>
        <w:pStyle w:val="BookText"/>
      </w:pPr>
      <w:r>
        <w:rPr>
          <w:rFonts w:ascii="IRNazanin" w:hAnsi="IRNazanin" w:eastAsia="IRNazanin" w:cs="IRNazanin"/>
          <w:lang w:bidi="fa-IR"/>
          <w:color w:val="111111"/>
          <w:sz w:val="28"/>
          <w:szCs w:val="28"/>
          <w:rtl/>
        </w:rPr>
        <w:t xml:space="preserve">۶. تهران؛ مجلس؛ شماره نسخه:۱۲۱۲۹</w:t>
      </w:r>
    </w:p>
    <w:p>
      <w:pPr>
        <w:pStyle w:val="BookText"/>
      </w:pPr>
      <w:r>
        <w:rPr>
          <w:rFonts w:ascii="IRNazanin" w:hAnsi="IRNazanin" w:eastAsia="IRNazanin" w:cs="IRNazanin"/>
          <w:lang w:bidi="fa-IR"/>
          <w:color w:val="111111"/>
          <w:sz w:val="28"/>
          <w:szCs w:val="28"/>
          <w:rtl/>
        </w:rPr>
        <w:t xml:space="preserve">آغاز و انجام: برابر خط: نسخ، بی کا، تا: 1 ربيع الاول ۸۹۲ق؛ مهر: «محمد تقی بن عبدالغفور» (بیضوی)؛ جلد: تیماج، قهوه ای، ۱۸۹گ، ۲۷ سطر،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۳۵-۱۳۱]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۷. تهران؛ مجلس؛ شماره نسخه:۱۵۹۲۳</w:t>
      </w:r>
    </w:p>
    <w:p>
      <w:pPr>
        <w:pStyle w:val="BookText"/>
      </w:pPr>
      <w:r>
        <w:rPr>
          <w:rFonts w:ascii="IRNazanin" w:hAnsi="IRNazanin" w:eastAsia="IRNazanin" w:cs="IRNazanin"/>
          <w:lang w:bidi="fa-IR"/>
          <w:color w:val="111111"/>
          <w:sz w:val="28"/>
          <w:szCs w:val="28"/>
          <w:rtl/>
        </w:rPr>
        <w:t xml:space="preserve">خط: نستعلیق، بی کا، تا: قرن ۱۰؛ تملک: حسین بن حیدر حسینی کرکی در سال ۱۰۰۰ق با یادداشتی از وی که نسخه را به سید خلف هبه کرده، محمد بن على بن حيدر بن حسن بن حیدر نعیمی بحرانی، علی نقی بن احمد بن زین الدین احسایی در ۱۲۱۶ ق با مهر «على بن احمد بن زین الدین»؛ جلد: تیماج مشکی، ۳۷۰گ، ۲۱ سطر،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۴۴-۱۳۵]</w:t>
      </w:r>
    </w:p>
    <w:p>
      <w:pPr>
        <w:pStyle w:val="BookText"/>
      </w:pPr>
      <w:r>
        <w:rPr>
          <w:rFonts w:ascii="IRNazanin" w:hAnsi="IRNazanin" w:eastAsia="IRNazanin" w:cs="IRNazanin"/>
          <w:lang w:bidi="fa-IR"/>
          <w:color w:val="111111"/>
          <w:sz w:val="28"/>
          <w:szCs w:val="28"/>
          <w:rtl/>
        </w:rPr>
        <w:t xml:space="preserve">۸. خوی؛ نمازی؛ شماره نسخه:۱۷۹</w:t>
      </w:r>
    </w:p>
    <w:p>
      <w:pPr>
        <w:pStyle w:val="BookText"/>
      </w:pPr>
      <w:r>
        <w:rPr>
          <w:rFonts w:ascii="IRNazanin" w:hAnsi="IRNazanin" w:eastAsia="IRNazanin" w:cs="IRNazanin"/>
          <w:lang w:bidi="fa-IR"/>
          <w:color w:val="111111"/>
          <w:sz w:val="28"/>
          <w:szCs w:val="28"/>
          <w:rtl/>
        </w:rPr>
        <w:t xml:space="preserve">آغاز: برابر خط: نسخ، بی کا، تا: قرن ۹ و ۱۰ق؛ افتادگی: انجام؛ نزد حسینعلی ایروانی امانت بوده؛ از موقوفات رمضانيه ۱۲۳۰؛ واقف: ابراهیم شریف حسینی، ۱۲۳۰؛ جلد: تیماج ضربی با شمسه، ۵۱۷ص، ۲۵ سطر، اندازه: ۱۷/۵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۹۵]</w:t>
      </w:r>
    </w:p>
    <w:p>
      <w:pPr>
        <w:pStyle w:val="BookText"/>
      </w:pPr>
      <w:r>
        <w:rPr>
          <w:rFonts w:ascii="IRNazanin" w:hAnsi="IRNazanin" w:eastAsia="IRNazanin" w:cs="IRNazanin"/>
          <w:lang w:bidi="fa-IR"/>
          <w:color w:val="111111"/>
          <w:sz w:val="28"/>
          <w:szCs w:val="28"/>
          <w:rtl/>
        </w:rPr>
        <w:t xml:space="preserve">قم؛ مرکز احیاء؛ شماره نسخه:۴۲۶</w:t>
      </w:r>
    </w:p>
    <w:p>
      <w:pPr>
        <w:pStyle w:val="BookText"/>
      </w:pPr>
      <w:r>
        <w:rPr>
          <w:rFonts w:ascii="IRNazanin" w:hAnsi="IRNazanin" w:eastAsia="IRNazanin" w:cs="IRNazanin"/>
          <w:lang w:bidi="fa-IR"/>
          <w:color w:val="111111"/>
          <w:sz w:val="28"/>
          <w:szCs w:val="28"/>
          <w:rtl/>
        </w:rPr>
        <w:t xml:space="preserve">نسخه اصل: همان نسخه بالا [عکسی ف: ۲-۲۲]</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مشهد؛ رضوی؛ شماره نسخه:۱۲۳۳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هندوستان، بی کا، تا: قرن ۱۰؛ واقف: امیر جبرئیل از حیدر آباد دکن، تاریخ وقف ۱۰۳۷ق؛ کاغذ: نخودی آهار مهره، جلد: تیماج مشکی، ۳۸۲گ، ۲۴ سطر، اندازه:۱۶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۱-۴۱۷]</w:t>
      </w:r>
    </w:p>
    <w:p>
      <w:pPr>
        <w:pStyle w:val="BookText"/>
      </w:pPr>
      <w:r>
        <w:rPr>
          <w:rFonts w:ascii="IRNazanin" w:hAnsi="IRNazanin" w:eastAsia="IRNazanin" w:cs="IRNazanin"/>
          <w:lang w:bidi="fa-IR"/>
          <w:color w:val="111111"/>
          <w:sz w:val="28"/>
          <w:szCs w:val="28"/>
          <w:rtl/>
        </w:rPr>
        <w:t xml:space="preserve">۱۰. تهران؛ الهیات؛ شماره نسخه: ۲۳۱</w:t>
      </w:r>
    </w:p>
    <w:p>
      <w:pPr>
        <w:pStyle w:val="BookText"/>
      </w:pPr>
      <w:r>
        <w:rPr>
          <w:rFonts w:ascii="IRNazanin" w:hAnsi="IRNazanin" w:eastAsia="IRNazanin" w:cs="IRNazanin"/>
          <w:lang w:bidi="fa-IR"/>
          <w:color w:val="111111"/>
          <w:sz w:val="28"/>
          <w:szCs w:val="28"/>
          <w:rtl/>
        </w:rPr>
        <w:t xml:space="preserve">خط: نسخ، بی کا، تا: ۱۶ جمادی الاول ۹۱۱ق؛ با سرلوح، مجدول؛ تملك: اسماعیل با مهرش، فاضل تونی؛ کاغذ: اصفهانی، جلد: تیماج مشکی مقوایی، ۲۶۸، ۲۷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۴۸۰]</w:t>
      </w:r>
    </w:p>
    <w:p>
      <w:pPr>
        <w:pStyle w:val="BookText"/>
      </w:pPr>
      <w:r>
        <w:rPr>
          <w:rFonts w:ascii="IRNazanin" w:hAnsi="IRNazanin" w:eastAsia="IRNazanin" w:cs="IRNazanin"/>
          <w:lang w:bidi="fa-IR"/>
          <w:color w:val="111111"/>
          <w:sz w:val="28"/>
          <w:szCs w:val="28"/>
          <w:rtl/>
        </w:rPr>
        <w:t xml:space="preserve">۱۱. مشهد؛ الهیات؛ شماره نسخه: ۴۹</w:t>
      </w:r>
    </w:p>
    <w:p>
      <w:pPr>
        <w:pStyle w:val="BookText"/>
      </w:pPr>
      <w:r>
        <w:rPr>
          <w:rFonts w:ascii="IRNazanin" w:hAnsi="IRNazanin" w:eastAsia="IRNazanin" w:cs="IRNazanin"/>
          <w:lang w:bidi="fa-IR"/>
          <w:color w:val="111111"/>
          <w:sz w:val="28"/>
          <w:szCs w:val="28"/>
          <w:rtl/>
        </w:rPr>
        <w:t xml:space="preserve">خط: نستعلیق ترک، کا: مصطفی، تا: جمادی الاول ۹۸۸ق، جان خانچه یا چاهیچه؛ جلد: مقوا، ۳۵۵گ، ۱۹ سطر به شیوه ترکی، اندازه: ۱۴/۵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۱-۲۷]</w:t>
      </w:r>
    </w:p>
    <w:p>
      <w:pPr>
        <w:pStyle w:val="BookText"/>
      </w:pPr>
      <w:r>
        <w:rPr>
          <w:rFonts w:ascii="IRNazanin" w:hAnsi="IRNazanin" w:eastAsia="IRNazanin" w:cs="IRNazanin"/>
          <w:lang w:bidi="fa-IR"/>
          <w:color w:val="111111"/>
          <w:sz w:val="28"/>
          <w:szCs w:val="28"/>
          <w:rtl/>
        </w:rPr>
        <w:t xml:space="preserve">۱۲. قم؛ گلپایگانی؛ شماره نسخه: ۳۸۵۲- ۱۹/۱۸۲</w:t>
      </w:r>
    </w:p>
    <w:p>
      <w:pPr>
        <w:pStyle w:val="BookText"/>
      </w:pPr>
      <w:r>
        <w:rPr>
          <w:rFonts w:ascii="IRNazanin" w:hAnsi="IRNazanin" w:eastAsia="IRNazanin" w:cs="IRNazanin"/>
          <w:lang w:bidi="fa-IR"/>
          <w:color w:val="111111"/>
          <w:sz w:val="28"/>
          <w:szCs w:val="28"/>
          <w:rtl/>
        </w:rPr>
        <w:t xml:space="preserve">آغاز: والملائكة التي بحضرته ينتقش بما لاينتقش هي في غير ذلك .. وقولهم سبحانک لاعلم لنا إلا ما علمتنا شهادة وجوداتهم بالدلالة؛ انجام: برابر بی کا، تا: قرن ۱۱؛ افتادگی: آغاز؛ مصحح؛ جلد: تیماج قهوه ای، ۲۸۷گ، ۱۷-۲۱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[ف: ۲-۶۷۲]</w:t>
      </w:r>
    </w:p>
    <w:p>
      <w:pPr>
        <w:pStyle w:val="BookText"/>
      </w:pPr>
      <w:r>
        <w:rPr>
          <w:rFonts w:ascii="IRNazanin" w:hAnsi="IRNazanin" w:eastAsia="IRNazanin" w:cs="IRNazanin"/>
          <w:lang w:bidi="fa-IR"/>
          <w:color w:val="111111"/>
          <w:sz w:val="28"/>
          <w:szCs w:val="28"/>
          <w:rtl/>
        </w:rPr>
        <w:t xml:space="preserve">۱۳. مشهد؛ رضوی؛ شماره نسخه: ۱۲۵۸/۱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هاشم بن حسين العميد، تا: جمادی الثانی ۱۰۱۴ق؛ اشتباها عنوان کتاب را چنین نگاشته اند: «هذا كتاب تأویلات القرآن المجيد مما نقل عن شيخ المحققين من وراث سید المرسلین بهاء الدنيا و الدين العاملی»؛ واقف: این خاتون، ۱۰۶۷؛ کاغذ الوان آهار مهره، جلد: تیماج، ۱۹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۱-۵۵۰]</w:t>
      </w:r>
    </w:p>
    <w:p>
      <w:pPr>
        <w:pStyle w:val="BookText"/>
      </w:pPr>
      <w:r>
        <w:rPr>
          <w:rFonts w:ascii="IRNazanin" w:hAnsi="IRNazanin" w:eastAsia="IRNazanin" w:cs="IRNazanin"/>
          <w:lang w:bidi="fa-IR"/>
          <w:color w:val="111111"/>
          <w:sz w:val="28"/>
          <w:szCs w:val="28"/>
          <w:rtl/>
        </w:rPr>
        <w:t xml:space="preserve">۱۴. تهران؛ مجلس؛ شماره نسخه: ۱۵۲۳۲/۲۲</w:t>
      </w:r>
    </w:p>
    <w:p>
      <w:pPr>
        <w:pStyle w:val="BookText"/>
      </w:pPr>
      <w:r>
        <w:rPr>
          <w:rFonts w:ascii="IRNazanin" w:hAnsi="IRNazanin" w:eastAsia="IRNazanin" w:cs="IRNazanin"/>
          <w:lang w:bidi="fa-IR"/>
          <w:color w:val="111111"/>
          <w:sz w:val="28"/>
          <w:szCs w:val="28"/>
          <w:rtl/>
        </w:rPr>
        <w:t xml:space="preserve">گزیده از تاویلات (یک گفتار)؛ خط: نستعلیق تحریری، بی کا، تا: ۱۰۳۵ق؛ اگ (۱۳۸ر)</w:t>
      </w:r>
    </w:p>
    <w:p>
      <w:pPr>
        <w:pStyle w:val="BookText"/>
      </w:pPr>
      <w:r>
        <w:rPr>
          <w:rFonts w:ascii="IRNazanin" w:hAnsi="IRNazanin" w:eastAsia="IRNazanin" w:cs="IRNazanin"/>
          <w:lang w:bidi="fa-IR"/>
          <w:color w:val="111111"/>
          <w:sz w:val="28"/>
          <w:szCs w:val="28"/>
          <w:rtl/>
        </w:rPr>
        <w:t xml:space="preserve">[مختصر ف: ۶۷۸]</w:t>
      </w:r>
    </w:p>
    <w:p>
      <w:pPr>
        <w:pStyle w:val="BookText"/>
      </w:pPr>
      <w:r>
        <w:rPr>
          <w:rFonts w:ascii="IRNazanin" w:hAnsi="IRNazanin" w:eastAsia="IRNazanin" w:cs="IRNazanin"/>
          <w:lang w:bidi="fa-IR"/>
          <w:color w:val="111111"/>
          <w:sz w:val="28"/>
          <w:szCs w:val="28"/>
          <w:rtl/>
        </w:rPr>
        <w:t xml:space="preserve">۱۵. قم؛ حجتیه؛ شماره نسخه: ۱۶۱</w:t>
      </w:r>
    </w:p>
    <w:p>
      <w:pPr>
        <w:pStyle w:val="BookText"/>
      </w:pPr>
      <w:r>
        <w:rPr>
          <w:rFonts w:ascii="IRNazanin" w:hAnsi="IRNazanin" w:eastAsia="IRNazanin" w:cs="IRNazanin"/>
          <w:lang w:bidi="fa-IR"/>
          <w:color w:val="111111"/>
          <w:sz w:val="28"/>
          <w:szCs w:val="28"/>
          <w:rtl/>
        </w:rPr>
        <w:t xml:space="preserve">خط: نستعلیق، بی کا، تا: ۱۰۵۵ق [ف: ۴۲]</w:t>
      </w:r>
    </w:p>
    <w:p>
      <w:pPr>
        <w:pStyle w:val="BookText"/>
      </w:pPr>
      <w:r>
        <w:rPr>
          <w:rFonts w:ascii="IRNazanin" w:hAnsi="IRNazanin" w:eastAsia="IRNazanin" w:cs="IRNazanin"/>
          <w:lang w:bidi="fa-IR"/>
          <w:color w:val="111111"/>
          <w:sz w:val="28"/>
          <w:szCs w:val="28"/>
          <w:rtl/>
        </w:rPr>
        <w:t xml:space="preserve">۱۶. همدان؛ مدرسه غرب؛ شماره نسخه: ۹۱۹</w:t>
      </w:r>
    </w:p>
    <w:p>
      <w:pPr>
        <w:pStyle w:val="BookText"/>
      </w:pPr>
      <w:r>
        <w:rPr>
          <w:rFonts w:ascii="IRNazanin" w:hAnsi="IRNazanin" w:eastAsia="IRNazanin" w:cs="IRNazanin"/>
          <w:lang w:bidi="fa-IR"/>
          <w:color w:val="111111"/>
          <w:sz w:val="28"/>
          <w:szCs w:val="28"/>
          <w:rtl/>
        </w:rPr>
        <w:t xml:space="preserve">نستعلیق، کا: بهاء الدين بن محمد يوسف فراهانی، تا: ۲۳ جمادی الثانی ۱۰۶۳ق؛ قطع : وزیری [رشت و همدان: ف: ۱۲۹۱]</w:t>
      </w:r>
    </w:p>
    <w:p>
      <w:pPr>
        <w:pStyle w:val="BookText"/>
      </w:pPr>
      <w:r>
        <w:rPr>
          <w:rFonts w:ascii="IRNazanin" w:hAnsi="IRNazanin" w:eastAsia="IRNazanin" w:cs="IRNazanin"/>
          <w:lang w:bidi="fa-IR"/>
          <w:color w:val="111111"/>
          <w:sz w:val="28"/>
          <w:szCs w:val="28"/>
          <w:rtl/>
        </w:rPr>
        <w:t xml:space="preserve">۱۷. تهران؛ مجلس؛ شماره نسخه:۵۳۹۸</w:t>
      </w:r>
    </w:p>
    <w:p>
      <w:pPr>
        <w:pStyle w:val="BookText"/>
      </w:pPr>
      <w:r>
        <w:rPr>
          <w:rFonts w:ascii="IRNazanin" w:hAnsi="IRNazanin" w:eastAsia="IRNazanin" w:cs="IRNazanin"/>
          <w:lang w:bidi="fa-IR"/>
          <w:color w:val="111111"/>
          <w:sz w:val="28"/>
          <w:szCs w:val="28"/>
          <w:rtl/>
        </w:rPr>
        <w:t xml:space="preserve">آغاز: برابر؛ انجام: فكان علمه بالحقائق عن علمه بذاته و الله اعلم در دو جزء: اول از آغاز سوره فاتحة الكتاب تا ابتدای سوره کهف و جزء دوم از سوره الكهف تا آخر قرآن؛ خط: نستعلیق، کا: رضا بن حسن تنکابنی کریجانی، تا: ۱۲ رمضان ۱۰۷۹ق، جان تهران؛ در برگ ۱۳۱پ من افادات بابا افضل و ۴۷۷ر من مناجات شیخ شهاب الدین سهروردی هست؛ کاغذ: اصفهانی، جلد: تیماج سرخ، ۲۷۷ گ، ۲۴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سم [ف: ۱۶-۳۰۳]</w:t>
      </w:r>
    </w:p>
    <w:p>
      <w:pPr>
        <w:pStyle w:val="BookText"/>
      </w:pPr>
      <w:r>
        <w:rPr>
          <w:rFonts w:ascii="IRNazanin" w:hAnsi="IRNazanin" w:eastAsia="IRNazanin" w:cs="IRNazanin"/>
          <w:lang w:bidi="fa-IR"/>
          <w:color w:val="111111"/>
          <w:sz w:val="28"/>
          <w:szCs w:val="28"/>
          <w:rtl/>
        </w:rPr>
        <w:t xml:space="preserve">۱۸. مشهد: رضوی؛ شماره نسخه:۱۴۵۳</w:t>
      </w:r>
    </w:p>
    <w:p>
      <w:pPr>
        <w:pStyle w:val="BookText"/>
      </w:pPr>
      <w:r>
        <w:rPr>
          <w:rFonts w:ascii="IRNazanin" w:hAnsi="IRNazanin" w:eastAsia="IRNazanin" w:cs="IRNazanin"/>
          <w:lang w:bidi="fa-IR"/>
          <w:color w:val="111111"/>
          <w:sz w:val="28"/>
          <w:szCs w:val="28"/>
          <w:rtl/>
        </w:rPr>
        <w:t xml:space="preserve">آغاز: برابر؛ انجام: و سلم تسليما كثيرا خط: نستعلیق، کا: بنیاد بن بابا جان، تا: محرم ۱۰۹۲ق؛ پس از این وصیتی است از مؤلف به ناظرین این تفسیر در اهتمام و مواظبت به آداب شرع و بیان اقسام تاویل، دارای سرلوح کوچک مذهب، مجدول؛ واقف: نائینی؛ ۳۱۰ گ، ۲۱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409-4]</w:t>
      </w:r>
    </w:p>
    <w:p>
      <w:pPr>
        <w:pStyle w:val="BookText"/>
      </w:pPr>
      <w:r>
        <w:rPr>
          <w:rFonts w:ascii="IRNazanin" w:hAnsi="IRNazanin" w:eastAsia="IRNazanin" w:cs="IRNazanin"/>
          <w:lang w:bidi="fa-IR"/>
          <w:color w:val="111111"/>
          <w:sz w:val="28"/>
          <w:szCs w:val="28"/>
          <w:rtl/>
        </w:rPr>
        <w:t xml:space="preserve">۱۹. تهران؛ الهیات؛ شماره نسخه: ۲۸۵/۲</w:t>
      </w:r>
    </w:p>
    <w:p>
      <w:pPr>
        <w:pStyle w:val="BookText"/>
      </w:pPr>
      <w:r>
        <w:rPr>
          <w:rFonts w:ascii="IRNazanin" w:hAnsi="IRNazanin" w:eastAsia="IRNazanin" w:cs="IRNazanin"/>
          <w:lang w:bidi="fa-IR"/>
          <w:color w:val="111111"/>
          <w:sz w:val="28"/>
          <w:szCs w:val="28"/>
          <w:rtl/>
        </w:rPr>
        <w:t xml:space="preserve">از سوره فاتحه تا پایان سوره اسراء؛ خط: نسخ، بی کا، تا: قرن ۱۲؛ کاغذ: اصفهانی، جلد: تیماج قهوه ای ضربی، ۳۰۰گ (۲۰ر - ۳۱۹پ)، ۲۱ سطر (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۱۹۸]</w:t>
      </w:r>
    </w:p>
    <w:p>
      <w:pPr>
        <w:pStyle w:val="BookText"/>
      </w:pPr>
      <w:r>
        <w:rPr>
          <w:rFonts w:ascii="IRNazanin" w:hAnsi="IRNazanin" w:eastAsia="IRNazanin" w:cs="IRNazanin"/>
          <w:lang w:bidi="fa-IR"/>
          <w:color w:val="111111"/>
          <w:sz w:val="28"/>
          <w:szCs w:val="28"/>
          <w:rtl/>
        </w:rPr>
        <w:t xml:space="preserve">۲۰. مشهد؛ رضوی؛ شماره نسخه: ۳۴۷۸۲</w:t>
      </w:r>
    </w:p>
    <w:p>
      <w:pPr>
        <w:pStyle w:val="BookText"/>
      </w:pPr>
      <w:r>
        <w:rPr>
          <w:rFonts w:ascii="IRNazanin" w:hAnsi="IRNazanin" w:eastAsia="IRNazanin" w:cs="IRNazanin"/>
          <w:lang w:bidi="fa-IR"/>
          <w:color w:val="111111"/>
          <w:sz w:val="28"/>
          <w:szCs w:val="28"/>
          <w:rtl/>
        </w:rPr>
        <w:t xml:space="preserve">آغاز: حلفا عن كل مافات ولا تموتن الا على حال اسلام الوجوه له ای الكین موتكم؛ انجام: بحيث لم يصلوا الى طور من الروحانيات وراء في القدرة</w:t>
      </w:r>
    </w:p>
    <w:p>
      <w:pPr>
        <w:pStyle w:val="BookText"/>
      </w:pPr>
      <w:r>
        <w:rPr>
          <w:rFonts w:ascii="IRNazanin" w:hAnsi="IRNazanin" w:eastAsia="IRNazanin" w:cs="IRNazanin"/>
          <w:lang w:bidi="fa-IR"/>
          <w:color w:val="111111"/>
          <w:sz w:val="28"/>
          <w:szCs w:val="28"/>
          <w:rtl/>
        </w:rPr>
        <w:t xml:space="preserve">از آیه ۱۰۲ سوره آل عمران تا اول سوره یونس (آیه ۲)؛ خط: نستعلیق، بی کا، تا: قرن ۱۲؛ افتادگی: آغاز و انجام</w:t>
      </w:r>
    </w:p>
    <w:p>
      <w:pPr>
        <w:pStyle w:val="BookText"/>
      </w:pPr>
      <w:r>
        <w:rPr>
          <w:rFonts w:ascii="IRNazanin" w:hAnsi="IRNazanin" w:eastAsia="IRNazanin" w:cs="IRNazanin"/>
          <w:lang w:bidi="fa-IR"/>
          <w:color w:val="111111"/>
          <w:sz w:val="28"/>
          <w:szCs w:val="28"/>
          <w:rtl/>
        </w:rPr>
        <w:t xml:space="preserve">کاغذ: نخودی، جلد: میشن دار چینی، ۷۶گ، ۱۹ سطر، اندازه: ۲۴/۳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سم [ اهدائی رهبر: ۱علوم قرآن -۸۶]</w:t>
      </w:r>
    </w:p>
    <w:p>
      <w:pPr>
        <w:pStyle w:val="BookText"/>
      </w:pPr>
      <w:r>
        <w:rPr>
          <w:rFonts w:ascii="IRNazanin" w:hAnsi="IRNazanin" w:eastAsia="IRNazanin" w:cs="IRNazanin"/>
          <w:lang w:bidi="fa-IR"/>
          <w:color w:val="111111"/>
          <w:sz w:val="28"/>
          <w:szCs w:val="28"/>
          <w:rtl/>
        </w:rPr>
        <w:t xml:space="preserve">۲۱. قم؛ مرعشی؛ شماره نسخه: ۱۳۴۲۰/۷</w:t>
      </w:r>
    </w:p>
    <w:p>
      <w:pPr>
        <w:pStyle w:val="BookText"/>
      </w:pPr>
      <w:r>
        <w:rPr>
          <w:rFonts w:ascii="IRNazanin" w:hAnsi="IRNazanin" w:eastAsia="IRNazanin" w:cs="IRNazanin"/>
          <w:lang w:bidi="fa-IR"/>
          <w:color w:val="111111"/>
          <w:sz w:val="28"/>
          <w:szCs w:val="28"/>
          <w:rtl/>
        </w:rPr>
        <w:t xml:space="preserve">آغاز: حم، ظهور الحق بالصورة المحمدية، تنزيل الكتاب، الكل الجامع لجميع الحقايق من الذات الأحذية الموصوفة بالرحمة الرحمانية التامة؛ انجام: كما قال كل من عليها فان و یبقی وجه ربک ذوالجلال و الاكرام فقط تفسیر سوره فصلت یا حم سجده؛ خط: نستعلیق، بی کا، تان قرن ۱۲؛ کاغذ: شرقی، جلد: تیماج مشکی، ۴گ (۷۵-۷۸)، ۱۸ ۲۰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۳۴-۵۱]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۲۲. نجف آباد؛ حججی؛ شماره نسخه: ۱۳۰</w:t>
      </w:r>
    </w:p>
    <w:p>
      <w:pPr>
        <w:pStyle w:val="BookText"/>
      </w:pPr>
      <w:r>
        <w:rPr>
          <w:rFonts w:ascii="IRNazanin" w:hAnsi="IRNazanin" w:eastAsia="IRNazanin" w:cs="IRNazanin"/>
          <w:lang w:bidi="fa-IR"/>
          <w:color w:val="111111"/>
          <w:sz w:val="28"/>
          <w:szCs w:val="28"/>
          <w:rtl/>
        </w:rPr>
        <w:t xml:space="preserve">آغاز و انجام: برابر خط: نسخ، بی کا، تا: قرن ۱۱ یا ۱۲؛ مجدول مذهب، با سرلوح مزدوج مذهب، مصحح؛ جلد: تیماج سرخ با ترنج و سرترنج، ۴۲۶گ، ۲۳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۱۹۶]</w:t>
      </w:r>
    </w:p>
    <w:p>
      <w:pPr>
        <w:pStyle w:val="BookText"/>
      </w:pPr>
      <w:r>
        <w:rPr>
          <w:rFonts w:ascii="IRNazanin" w:hAnsi="IRNazanin" w:eastAsia="IRNazanin" w:cs="IRNazanin"/>
          <w:lang w:bidi="fa-IR"/>
          <w:color w:val="111111"/>
          <w:sz w:val="28"/>
          <w:szCs w:val="28"/>
          <w:rtl/>
        </w:rPr>
        <w:t xml:space="preserve">۲۳. قم؛ مرعشی؛ شماره نسخه:۱۰۰۲۶</w:t>
      </w:r>
    </w:p>
    <w:p>
      <w:pPr>
        <w:pStyle w:val="BookText"/>
      </w:pPr>
      <w:r>
        <w:rPr>
          <w:rFonts w:ascii="IRNazanin" w:hAnsi="IRNazanin" w:eastAsia="IRNazanin" w:cs="IRNazanin"/>
          <w:lang w:bidi="fa-IR"/>
          <w:color w:val="111111"/>
          <w:sz w:val="28"/>
          <w:szCs w:val="28"/>
          <w:rtl/>
        </w:rPr>
        <w:t xml:space="preserve">خط: نسخ، كا: عبدالله بن محمد باقر لاهیجانی، تا: چهارشنبه ۲۴ شوال ۱۱۸۰ق؛ مصحح؛ تملك: علی بن موسی به تاریخ نهم ربیع الثانی ۱۳۲۹؛ جلد: تیماج مشکی، ۳۰۱گ، ۲۱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۲۶-۲۳]</w:t>
      </w:r>
    </w:p>
    <w:p>
      <w:pPr>
        <w:pStyle w:val="BookText"/>
      </w:pPr>
      <w:r>
        <w:rPr>
          <w:rFonts w:ascii="IRNazanin" w:hAnsi="IRNazanin" w:eastAsia="IRNazanin" w:cs="IRNazanin"/>
          <w:lang w:bidi="fa-IR"/>
          <w:color w:val="111111"/>
          <w:sz w:val="28"/>
          <w:szCs w:val="28"/>
          <w:rtl/>
        </w:rPr>
        <w:t xml:space="preserve">۲۴. قم؛ مرکز احیاء؛ شماره نسخه: ۴۳۸۹/۷</w:t>
      </w:r>
    </w:p>
    <w:p>
      <w:pPr>
        <w:pStyle w:val="BookText"/>
      </w:pPr>
      <w:r>
        <w:rPr>
          <w:rFonts w:ascii="Amiri" w:hAnsi="Amiri" w:eastAsia="Amiri" w:cs="Amiri"/>
          <w:lang w:bidi="ar-SA"/>
          <w:color w:val="111111"/>
          <w:sz w:val="28"/>
          <w:szCs w:val="28"/>
          <w:rtl/>
        </w:rPr>
        <w:t xml:space="preserve">آغاز: برابر؛ انجام: تستمد من النفوس الخبيثة المظلمة الارضية المناسبتها اياهم و مجانستها في الظلمة الكدورة و الخبث فعجب رسوله صلى الله عليه و آله و سلم</w:t>
      </w:r>
    </w:p>
    <w:p>
      <w:pPr>
        <w:pStyle w:val="BookText"/>
      </w:pPr>
      <w:r>
        <w:rPr>
          <w:rFonts w:ascii="IRNazanin" w:hAnsi="IRNazanin" w:eastAsia="IRNazanin" w:cs="IRNazanin"/>
          <w:lang w:bidi="fa-IR"/>
          <w:color w:val="111111"/>
          <w:sz w:val="28"/>
          <w:szCs w:val="28"/>
          <w:rtl/>
        </w:rPr>
        <w:t xml:space="preserve">خط نستعلیق، بی کا، تا: قرن ۱۳؛ افتادگی:انجام؛ اشعاری از شیخ على نقی کمره ای و مخمس جامی و ساقی نامه پرتوی و ترجیع بند ملا آنی و اشعاری از ابوالقاسم متخلص به صولت آمده ؛ جلد: تیماج قرمز بدون مقوا، ۵۹گ،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(محدث ارموی مخ: ]</w:t>
      </w:r>
    </w:p>
    <w:p>
      <w:pPr>
        <w:pStyle w:val="BookText"/>
      </w:pPr>
      <w:r>
        <w:rPr>
          <w:rFonts w:ascii="IRNazanin" w:hAnsi="IRNazanin" w:eastAsia="IRNazanin" w:cs="IRNazanin"/>
          <w:lang w:bidi="fa-IR"/>
          <w:color w:val="111111"/>
          <w:sz w:val="28"/>
          <w:szCs w:val="28"/>
          <w:rtl/>
        </w:rPr>
        <w:t xml:space="preserve">۲۵. ساری؛ طاهری شهاب؛ شماره نسخه: ۲۲۱/۱۴</w:t>
      </w:r>
    </w:p>
    <w:p>
      <w:pPr>
        <w:pStyle w:val="BookText"/>
      </w:pPr>
      <w:r>
        <w:rPr>
          <w:rFonts w:ascii="IRNazanin" w:hAnsi="IRNazanin" w:eastAsia="IRNazanin" w:cs="IRNazanin"/>
          <w:lang w:bidi="fa-IR"/>
          <w:color w:val="111111"/>
          <w:sz w:val="28"/>
          <w:szCs w:val="28"/>
          <w:rtl/>
        </w:rPr>
        <w:t xml:space="preserve">بی کا، تا: قرن ۱۳، ۴ص، ابعاد متن: ۲۰۱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[نشریه: ۶-۶۳۰]</w:t>
      </w:r>
    </w:p>
    <w:p>
      <w:pPr>
        <w:pStyle w:val="BookText"/>
      </w:pPr>
      <w:r>
        <w:rPr>
          <w:rFonts w:ascii="IRNazanin" w:hAnsi="IRNazanin" w:eastAsia="IRNazanin" w:cs="IRNazanin"/>
          <w:lang w:bidi="fa-IR"/>
          <w:color w:val="111111"/>
          <w:sz w:val="28"/>
          <w:szCs w:val="28"/>
          <w:rtl/>
        </w:rPr>
        <w:t xml:space="preserve">۲۶. مشهد؛ رضوی؛ شماره نسخه:۹۴۳۶</w:t>
      </w:r>
    </w:p>
    <w:p>
      <w:pPr>
        <w:pStyle w:val="BookText"/>
      </w:pPr>
      <w:r>
        <w:rPr>
          <w:rFonts w:ascii="IRNazanin" w:hAnsi="IRNazanin" w:eastAsia="IRNazanin" w:cs="IRNazanin"/>
          <w:lang w:bidi="fa-IR"/>
          <w:color w:val="111111"/>
          <w:sz w:val="28"/>
          <w:szCs w:val="28"/>
          <w:rtl/>
        </w:rPr>
        <w:t xml:space="preserve">آغاز: برابر؛ انجام: و قبل هذه الوصية و اتقى و الله يقول الحق و هو يهدي السبيل و هو حسبی و نعم الوكيل.</w:t>
      </w:r>
    </w:p>
    <w:p>
      <w:pPr>
        <w:pStyle w:val="BookText"/>
      </w:pPr>
      <w:r>
        <w:rPr>
          <w:rFonts w:ascii="IRNazanin" w:hAnsi="IRNazanin" w:eastAsia="IRNazanin" w:cs="IRNazanin"/>
          <w:lang w:bidi="fa-IR"/>
          <w:color w:val="111111"/>
          <w:sz w:val="28"/>
          <w:szCs w:val="28"/>
          <w:rtl/>
        </w:rPr>
        <w:t xml:space="preserve">خط: نسخ، کا: محمد جعفر، تا: ۹ جمادی الاول ۱۲۰۶ق؛ واقف: خان بابا مشار؛ کاغذ: شکری، جلد: تیماج خرمایی، ۲۴۴گ، ۲۴ سطر، اندازه: 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۱۱-۵۳۸]</w:t>
      </w:r>
    </w:p>
    <w:p>
      <w:pPr>
        <w:pStyle w:val="BookText"/>
      </w:pPr>
      <w:r>
        <w:rPr>
          <w:rFonts w:ascii="IRNazanin" w:hAnsi="IRNazanin" w:eastAsia="IRNazanin" w:cs="IRNazanin"/>
          <w:lang w:bidi="fa-IR"/>
          <w:color w:val="111111"/>
          <w:sz w:val="28"/>
          <w:szCs w:val="28"/>
          <w:rtl/>
        </w:rPr>
        <w:t xml:space="preserve">۲۷. تهران؛ ملک؛ شماره نسخه:۱۳۶۷</w:t>
      </w:r>
    </w:p>
    <w:p>
      <w:pPr>
        <w:pStyle w:val="BookText"/>
      </w:pPr>
      <w:r>
        <w:rPr>
          <w:rFonts w:ascii="IRNazanin" w:hAnsi="IRNazanin" w:eastAsia="IRNazanin" w:cs="IRNazanin"/>
          <w:lang w:bidi="fa-IR"/>
          <w:color w:val="111111"/>
          <w:sz w:val="28"/>
          <w:szCs w:val="28"/>
          <w:rtl/>
        </w:rPr>
        <w:t xml:space="preserve">خط: نسخ، كا: عبدالرحمن بن جعفر پاراوی لاهیجانی، تا: شنبه ۱۵ شوال ۱۲۲۷ ق، به خواهش میرزا طالع؛ کاغذ: فستقی قورخانه ای، جلد: میشن قهوه ای، ۲۳۹، ۲۳ سطر،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۲۱/۳ سم [ف: ۸۰-۱ ]</w:t>
      </w:r>
    </w:p>
    <w:p>
      <w:pPr>
        <w:pStyle w:val="BookText"/>
      </w:pPr>
      <w:r>
        <w:rPr>
          <w:rFonts w:ascii="IRNazanin" w:hAnsi="IRNazanin" w:eastAsia="IRNazanin" w:cs="IRNazanin"/>
          <w:lang w:bidi="fa-IR"/>
          <w:color w:val="111111"/>
          <w:sz w:val="28"/>
          <w:szCs w:val="28"/>
          <w:rtl/>
        </w:rPr>
        <w:t xml:space="preserve">۲۸. تهران؛ مجلس؛ شماره نسخه:۱۲۲۲۸</w:t>
      </w:r>
    </w:p>
    <w:p>
      <w:pPr>
        <w:pStyle w:val="BookText"/>
      </w:pPr>
      <w:r>
        <w:rPr>
          <w:rFonts w:ascii="IRNazanin" w:hAnsi="IRNazanin" w:eastAsia="IRNazanin" w:cs="IRNazanin"/>
          <w:lang w:bidi="fa-IR"/>
          <w:color w:val="111111"/>
          <w:sz w:val="28"/>
          <w:szCs w:val="28"/>
          <w:rtl/>
        </w:rPr>
        <w:t xml:space="preserve">آغاز: برابر؛ انجام: هذه الوصية و اتقى و الله يقول الحق وهو يهدي السبيل و هو حسبی و نعم الوكيل. خط: نسخ، كا: آقا بابا بن ملا محمد مهدی شاهمیرزائی، تا: شنبه ۲۲ ذیقعده ۱۲۸۵ق؛ جلد: تیماج مشکی، ۳۴۲گ، ۲۳ سطر،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سم [ف: ۳۵-۲۲۱]</w:t>
      </w:r>
    </w:p>
    <w:p>
      <w:pPr>
        <w:pStyle w:val="BookText"/>
      </w:pPr>
      <w:r>
        <w:rPr>
          <w:rFonts w:ascii="IRNazanin" w:hAnsi="IRNazanin" w:eastAsia="IRNazanin" w:cs="IRNazanin"/>
          <w:lang w:bidi="fa-IR"/>
          <w:color w:val="111111"/>
          <w:sz w:val="28"/>
          <w:szCs w:val="28"/>
          <w:rtl/>
        </w:rPr>
        <w:t xml:space="preserve">۲۹. تهران؛ ملی؛ شماره نسخه:۱۰۵۲</w:t>
      </w:r>
    </w:p>
    <w:p>
      <w:pPr>
        <w:pStyle w:val="BookText"/>
      </w:pPr>
      <w:r>
        <w:rPr>
          <w:rFonts w:ascii="IRNazanin" w:hAnsi="IRNazanin" w:eastAsia="IRNazanin" w:cs="IRNazanin"/>
          <w:lang w:bidi="fa-IR"/>
          <w:color w:val="111111"/>
          <w:sz w:val="28"/>
          <w:szCs w:val="28"/>
          <w:rtl/>
        </w:rPr>
        <w:t xml:space="preserve">آغاز: براب؛ انجام: على يد اقل خلق الله محمد الخراساني التربتی. خط: نسخ، كا: محمد خراسانی تربتی، تا: ۱۳۴۷ق؛ کاغذ: فرنگی فستقی، جلد: تیماج مشکی با ترنج و نیم ترنج، ۱۸۰ گ، ۳۰ سطر (۱۱/۵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۲۰/۵ )، اندازه: ۲۰/۵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۳۰سم اف: ۹-۵۰)</w:t>
      </w:r>
    </w:p>
    <w:p>
      <w:pPr>
        <w:pStyle w:val="BookText"/>
      </w:pPr>
      <w:r>
        <w:rPr>
          <w:rFonts w:ascii="IRNazanin" w:hAnsi="IRNazanin" w:eastAsia="IRNazanin" w:cs="IRNazanin"/>
          <w:lang w:bidi="fa-IR"/>
          <w:color w:val="111111"/>
          <w:sz w:val="28"/>
          <w:szCs w:val="28"/>
          <w:rtl/>
        </w:rPr>
        <w:t xml:space="preserve">۳۰. تهران؛ مجلس؛ شماره نسخه: ۵۳۳۳/۹</w:t>
      </w:r>
    </w:p>
    <w:p>
      <w:pPr>
        <w:pStyle w:val="BookText"/>
      </w:pPr>
      <w:r>
        <w:rPr>
          <w:rFonts w:ascii="IRNazanin" w:hAnsi="IRNazanin" w:eastAsia="IRNazanin" w:cs="IRNazanin"/>
          <w:lang w:bidi="fa-IR"/>
          <w:color w:val="111111"/>
          <w:sz w:val="28"/>
          <w:szCs w:val="28"/>
          <w:rtl/>
        </w:rPr>
        <w:t xml:space="preserve">آغاز: بسمله. اسم الشين ما يعرف به فاسماء الله تعالى هي الصدر النوعية التي تدل بخصائصها و هوياتها على صفات الله و ذاته؛ انجام: و كان عرشه الذي هو قلب المومن على ماء، و مادة الحية مستوليا عليه متعلقا به تعلق التصوير و التدبير. خط: نستعلیق، كا: احمد بن علی محمد رشتی، بی تا، آخر نسخه: من تاویلات مولانا عبدالرزاق القاسانی رحمه الله تعالی»؛ کاغذ: فرنگی آبی، جلد: تیماج مشکی، ۲گ (۹۱-۹۲پ)، ۲۰ سطر [ف: ۱۶-۲۴۴]</w:t>
      </w:r>
    </w:p>
    <w:p>
      <w:pPr>
        <w:pStyle w:val="BookText"/>
      </w:pPr>
      <w:r>
        <w:rPr>
          <w:rFonts w:ascii="IRNazanin" w:hAnsi="IRNazanin" w:eastAsia="IRNazanin" w:cs="IRNazanin"/>
          <w:lang w:bidi="fa-IR"/>
          <w:color w:val="111111"/>
          <w:sz w:val="28"/>
          <w:szCs w:val="28"/>
          <w:rtl/>
        </w:rPr>
        <w:t xml:space="preserve">۳۱. تهران؛ مجلس؛ شماره نسخه: ۱۲۱۳۵</w:t>
      </w:r>
    </w:p>
    <w:p>
      <w:pPr>
        <w:pStyle w:val="BookText"/>
      </w:pPr>
      <w:r>
        <w:rPr>
          <w:rFonts w:ascii="IRNazanin" w:hAnsi="IRNazanin" w:eastAsia="IRNazanin" w:cs="IRNazanin"/>
          <w:lang w:bidi="fa-IR"/>
          <w:color w:val="111111"/>
          <w:sz w:val="28"/>
          <w:szCs w:val="28"/>
          <w:rtl/>
        </w:rPr>
        <w:t xml:space="preserve">آغاز: اعلم أن الله تعالی تجلیات غير متناهية تجليين هما اصل التجليات الاول تجلى الذات في ازل الازال و ظهر منه وجود الصفات؛ انجام: سواه موجود بوجوده ليس بشي في نفسه لان الامكان خط: نسخ، بی کا، بی تا، افتادگی: آغاز و انجام؛ در نسخه حاضر اشتباه این کتاب را تفسیر عرايس البيان» روز بهان بقلی پنداشته اند؛ جلد: تیماج سرخ، ۶۸۴ گ، ۲۱ 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۳۵-۱۳۴]</w:t>
      </w:r>
    </w:p>
    <w:p>
      <w:pPr>
        <w:pStyle w:val="BookText"/>
      </w:pPr>
      <w:r>
        <w:rPr>
          <w:rFonts w:ascii="IRNazanin" w:hAnsi="IRNazanin" w:eastAsia="IRNazanin" w:cs="IRNazanin"/>
          <w:lang w:bidi="fa-IR"/>
          <w:color w:val="111111"/>
          <w:sz w:val="28"/>
          <w:szCs w:val="28"/>
          <w:rtl/>
        </w:rPr>
        <w:t xml:space="preserve">۳۲. تهران؛ مجلس؛ شماره نسخه: ۱۰۰۳۳/۱</w:t>
      </w:r>
    </w:p>
    <w:p>
      <w:pPr>
        <w:pStyle w:val="BookText"/>
      </w:pPr>
      <w:r>
        <w:rPr>
          <w:rFonts w:ascii="IRNazanin" w:hAnsi="IRNazanin" w:eastAsia="IRNazanin" w:cs="IRNazanin"/>
          <w:lang w:bidi="fa-IR"/>
          <w:color w:val="111111"/>
          <w:sz w:val="28"/>
          <w:szCs w:val="28"/>
          <w:rtl/>
        </w:rPr>
        <w:t xml:space="preserve">آغاز: برابر؛ انجام: لا يجب أن يكون حارا و اذا كانت النار شامل دیباچه، سوره فاتحه و اوایل سوره بقره؛ خط: نسخ، كا: على بن محمد بن علی واعظ حنفی، بی تاب افتادگی: انجام؛ تملك: ریحان الله الموسوی و مهر بیضوی او، شرف الدين محمد مکی بن محد ضیاء الدین بن شمس الدين بن حسن بن زين الدين من ذرية الشريف ابی عبدالله الشهيد شمس الدين محمد بن مکی مطلبی عاملی به تاریخ ۱۱۷۵ق؛ جلد: تیماج با روکش سبز، ۸ص (1-8)،</w:t>
      </w:r>
    </w:p>
    <w:p>
      <w:pPr>
        <w:pStyle w:val="BookText"/>
      </w:pPr>
      <w:r>
        <w:rPr>
          <w:rFonts w:ascii="IRNazanin" w:hAnsi="IRNazanin" w:eastAsia="IRNazanin" w:cs="IRNazanin"/>
          <w:lang w:bidi="fa-IR"/>
          <w:color w:val="111111"/>
          <w:sz w:val="28"/>
          <w:szCs w:val="28"/>
          <w:rtl/>
        </w:rPr>
        <w:t xml:space="preserve">۱۹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۳۲-۴۷]</w:t>
      </w:r>
    </w:p>
    <w:p>
      <w:pPr>
        <w:pStyle w:val="BookText"/>
      </w:pPr>
      <w:r>
        <w:rPr>
          <w:rFonts w:ascii="IRNazanin" w:hAnsi="IRNazanin" w:eastAsia="IRNazanin" w:cs="IRNazanin"/>
          <w:lang w:bidi="fa-IR"/>
          <w:color w:val="111111"/>
          <w:sz w:val="28"/>
          <w:szCs w:val="28"/>
          <w:rtl/>
        </w:rPr>
        <w:t xml:space="preserve">۳۳. تهران؛ مجلس؛ شماره نسخه: ۱۸۶۶/۱۶</w:t>
      </w:r>
    </w:p>
    <w:p>
      <w:pPr>
        <w:pStyle w:val="BookText"/>
      </w:pPr>
      <w:r>
        <w:rPr>
          <w:rFonts w:ascii="IRNazanin" w:hAnsi="IRNazanin" w:eastAsia="IRNazanin" w:cs="IRNazanin"/>
          <w:lang w:bidi="fa-IR"/>
          <w:color w:val="111111"/>
          <w:sz w:val="28"/>
          <w:szCs w:val="28"/>
          <w:rtl/>
        </w:rPr>
        <w:t xml:space="preserve">آغاز: اعلم أن للغيب مراتب اولها غيب الغيوب و هو علم الله تعالی المسمى بالغايه الاولى بخشی از تاویلات یا تاویل الايات در بیان مراتب غيب (به اصطلاح عرفا)؛ بی کا، بی تا، اص (۹۹) [ف: ۹-۵۴۷]</w:t>
      </w:r>
    </w:p>
    <w:p>
      <w:pPr>
        <w:pStyle w:val="BookText"/>
      </w:pPr>
      <w:r>
        <w:rPr>
          <w:rFonts w:ascii="IRNazanin" w:hAnsi="IRNazanin" w:eastAsia="IRNazanin" w:cs="IRNazanin"/>
          <w:lang w:bidi="fa-IR"/>
          <w:color w:val="111111"/>
          <w:sz w:val="28"/>
          <w:szCs w:val="28"/>
          <w:rtl/>
        </w:rPr>
        <w:t xml:space="preserve">۳۴. تهران: مجلس؛ شماره نسخه: ۱۸۲۲/۱۶</w:t>
      </w:r>
    </w:p>
    <w:p>
      <w:pPr>
        <w:pStyle w:val="BookText"/>
      </w:pPr>
      <w:r>
        <w:rPr>
          <w:rFonts w:ascii="IRNazanin" w:hAnsi="IRNazanin" w:eastAsia="IRNazanin" w:cs="IRNazanin"/>
          <w:lang w:bidi="fa-IR"/>
          <w:color w:val="111111"/>
          <w:sz w:val="28"/>
          <w:szCs w:val="28"/>
          <w:rtl/>
        </w:rPr>
        <w:t xml:space="preserve">تاویلات در تفسیر آیه «و اضرب لهم مثل»؛ بی کا، بی تا؛ ۲ص ( ۱۴۹-۱۴۸ ) [ف: ۵-۲۴۰]</w:t>
      </w:r>
    </w:p>
    <w:p>
      <w:pPr>
        <w:pStyle w:val="BookText"/>
      </w:pPr>
      <w:r>
        <w:rPr>
          <w:rFonts w:ascii="IRNazanin" w:hAnsi="IRNazanin" w:eastAsia="IRNazanin" w:cs="IRNazanin"/>
          <w:lang w:bidi="fa-IR"/>
          <w:color w:val="111111"/>
          <w:sz w:val="28"/>
          <w:szCs w:val="28"/>
          <w:rtl/>
        </w:rPr>
        <w:t xml:space="preserve">۳۵. قم؛ مرعشی؛ شماره نسخه:۲۶۶۹</w:t>
      </w:r>
    </w:p>
    <w:p>
      <w:pPr>
        <w:pStyle w:val="BookText"/>
      </w:pPr>
      <w:r>
        <w:rPr>
          <w:rFonts w:ascii="IRNazanin" w:hAnsi="IRNazanin" w:eastAsia="IRNazanin" w:cs="IRNazanin"/>
          <w:lang w:bidi="fa-IR"/>
          <w:color w:val="111111"/>
          <w:sz w:val="28"/>
          <w:szCs w:val="28"/>
          <w:rtl/>
        </w:rPr>
        <w:t xml:space="preserve">آغاز: برابر؛ انجام: و أما في صورة غيره من صور الاسماء فلايتم أيضا الاستعاذة منه الا بالله تعالی. نام کتاب و مؤلف باستناد جلد ۵۱/۳۴ مرعشی تعیین شد؛ خط: نسخ نازیبا، بی کا، بی تا؛ مصحح، محشی؛ تملک: آقا رضا به تاریخ ۶ ربيع الاول ۱۳۱۰ و مهر «الواثق بالله الغني عبده محمد مهدی» (مربع)؛ جلد: تیماج قهوه ای، ۲۳۰ گ، ۲۲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۷-۲۴۸]</w:t>
      </w:r>
    </w:p>
    <w:p>
      <w:pPr>
        <w:pStyle w:val="BookText"/>
      </w:pPr>
      <w:r>
        <w:rPr>
          <w:rFonts w:ascii="IRNazanin" w:hAnsi="IRNazanin" w:eastAsia="IRNazanin" w:cs="IRNazanin"/>
          <w:lang w:bidi="fa-IR"/>
          <w:color w:val="111111"/>
          <w:sz w:val="28"/>
          <w:szCs w:val="28"/>
          <w:rtl/>
        </w:rPr>
        <w:t xml:space="preserve">۳۶. مشهد؛ رضوی؛ شماره نسخه:۱۴۰۵۹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bookmarkStart w:id="629" w:name="pg20363_209965"/>
    <w:bookmarkEnd w:id="629"/>
    <w:p>
      <w:pPr>
        <w:pStyle w:val="BookText"/>
      </w:pPr>
      <w:r>
        <w:rPr>
          <w:rFonts w:ascii="IRNazanin" w:hAnsi="IRNazanin" w:eastAsia="IRNazanin" w:cs="IRNazanin"/>
          <w:lang w:bidi="fa-IR"/>
          <w:color w:val="111111"/>
          <w:sz w:val="28"/>
          <w:szCs w:val="28"/>
          <w:rtl/>
        </w:rPr>
        <w:t xml:space="preserve">آغاز: آخر له شان و جنس براسه له برهان کجبريل من بين الملائكة؛ انجام: و مدرکاتهما تعظيما للانسان و اظهار الشرفه. خط: نسخ خفی، بی کا، بی تا؛ افتادگی: آغاز و انجام کاغذ: حنایی، جلد: تیماج ماشي ضربی، ۵۵گ،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۵۳۹-۱۱ ]</w:t>
      </w:r>
    </w:p>
    <w:p>
      <w:pPr>
        <w:pStyle w:val="BookText"/>
      </w:pPr>
      <w:r>
        <w:rPr>
          <w:rFonts w:ascii="IRNazanin" w:hAnsi="IRNazanin" w:eastAsia="IRNazanin" w:cs="IRNazanin"/>
          <w:lang w:bidi="fa-IR"/>
          <w:color w:val="111111"/>
          <w:sz w:val="28"/>
          <w:szCs w:val="28"/>
          <w:rtl/>
        </w:rPr>
        <w:t xml:space="preserve">۳۷. مشهد؛ الهیات؛ شماره نسخه: ۲۰۴/۲</w:t>
      </w:r>
    </w:p>
    <w:p>
      <w:pPr>
        <w:pStyle w:val="BookText"/>
      </w:pPr>
      <w:r>
        <w:rPr>
          <w:rFonts w:ascii="IRNazanin" w:hAnsi="IRNazanin" w:eastAsia="IRNazanin" w:cs="IRNazanin"/>
          <w:lang w:bidi="fa-IR"/>
          <w:color w:val="111111"/>
          <w:sz w:val="28"/>
          <w:szCs w:val="28"/>
          <w:rtl/>
        </w:rPr>
        <w:t xml:space="preserve">خط: نسخ، بی کا، بی تا، افتادگی: انجام؛ دارای یک سرلوح زمینه طلا، مجدول؛ جلد: مقوا، ۱۸۲ گ، ۱۹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 [ف: ۱-۳۰۹]</w:t>
      </w:r>
    </w:p>
    <w:p>
      <w:pPr>
        <w:pStyle w:val="Heading3"/>
      </w:pPr>
      <w:bookmarkStart w:id="2824" w:name="_Toc2084"/>
      <w:r>
        <w:t>•( التأويلات منتخب) / تفسير ا عربی</w:t>
      </w:r>
      <w:bookmarkEnd w:id="2824"/>
    </w:p>
    <w:p>
      <w:pPr>
        <w:pStyle w:val="BookText"/>
      </w:pPr>
      <w:r>
        <w:rPr>
          <w:rFonts w:ascii="Times New Roman" w:hAnsi="Times New Roman" w:eastAsia="Times New Roman" w:cs="Times New Roman"/>
          <w:lang w:val="en-US" w:bidi="en-US"/>
          <w:color w:val="111111"/>
          <w:sz w:val="28"/>
          <w:szCs w:val="28"/>
          <w:rtl/>
        </w:rPr>
        <w:t xml:space="preserve">at-ta’wīlāt (mn.) šeyx-e bahā'ī, mohammad ebn-e hoseyn (1547-1621)</w:t>
      </w:r>
    </w:p>
    <w:p>
      <w:pPr>
        <w:pStyle w:val="BookText"/>
      </w:pPr>
      <w:r>
        <w:rPr>
          <w:rFonts w:ascii="IRNazanin" w:hAnsi="IRNazanin" w:eastAsia="IRNazanin" w:cs="IRNazanin"/>
          <w:lang w:bidi="fa-IR"/>
          <w:color w:val="111111"/>
          <w:sz w:val="28"/>
          <w:szCs w:val="28"/>
          <w:rtl/>
        </w:rPr>
        <w:t xml:space="preserve">وابسته به: التأويلات، عبدالرزاق کاشی، عبدالرزاق بن احمد، - ۷۳۶؟ قمری عنوان این بخش را با شنگرف چنین نگاشته اند: «آیات منتخبات من التأويلات مما نقل عن بهاء الدنيا و الدين الشيخ بهاء الدين العاملي». ولی در اصل منتخباتی از همان تأويلات ملاعبدالرزاق</w:t>
      </w:r>
    </w:p>
    <w:p>
      <w:pPr>
        <w:pStyle w:val="BookText"/>
      </w:pPr>
      <w:r>
        <w:rPr>
          <w:rFonts w:ascii="IRNazanin" w:hAnsi="IRNazanin" w:eastAsia="IRNazanin" w:cs="IRNazanin"/>
          <w:lang w:bidi="fa-IR"/>
          <w:color w:val="111111"/>
          <w:sz w:val="28"/>
          <w:szCs w:val="28"/>
          <w:rtl/>
        </w:rPr>
        <w:t xml:space="preserve">کاشانی است و نه شیخ بهائی</w:t>
      </w:r>
    </w:p>
    <w:p>
      <w:pPr>
        <w:pStyle w:val="BookText"/>
      </w:pPr>
      <w:r>
        <w:rPr>
          <w:rFonts w:ascii="IRNazanin" w:hAnsi="IRNazanin" w:eastAsia="IRNazanin" w:cs="IRNazanin"/>
          <w:lang w:bidi="fa-IR"/>
          <w:color w:val="111111"/>
          <w:sz w:val="28"/>
          <w:szCs w:val="28"/>
          <w:rtl/>
        </w:rPr>
        <w:t xml:space="preserve">مشهد؛ رضوی؛ شماره نسخه: ۲/ ۱۲۵۸</w:t>
      </w:r>
    </w:p>
    <w:p>
      <w:pPr>
        <w:pStyle w:val="BookText"/>
      </w:pPr>
      <w:r>
        <w:rPr>
          <w:rFonts w:ascii="IRNazanin" w:hAnsi="IRNazanin" w:eastAsia="IRNazanin" w:cs="IRNazanin"/>
          <w:lang w:bidi="fa-IR"/>
          <w:color w:val="111111"/>
          <w:sz w:val="28"/>
          <w:szCs w:val="28"/>
          <w:rtl/>
        </w:rPr>
        <w:t xml:space="preserve">آغاز: بسمله. الله لا اله في الوجود الا هو فكل ما عبد دونه لم تقع العباده.؛ انجام: فتقرب ولا تخاف و اصعد على الأعراف. تم الكتاب الموسوم بالتأويلات البهائيه على يد أفقر العبيد ... من رجب. در رایانه آستان قدس نام مؤلف شیخ بهائی آمده؛ خط: نسخ، كان هاشم بن حسين العميد، تا: جمادی الثانی ۱۰۱۴ق؛ واقف: ابن خاتون، ۱۰۶۷؛ کاغذ: الوان آهار مهره، جلد: تیماج، ۱۹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۱-۵۵۱]</w:t>
      </w:r>
    </w:p>
    <w:p>
      <w:pPr>
        <w:pStyle w:val="Heading3"/>
      </w:pPr>
      <w:bookmarkStart w:id="2825" w:name="_Toc2085"/>
      <w:r>
        <w:t>•التأويلات / تفسير / عربی</w:t>
      </w:r>
      <w:bookmarkEnd w:id="2825"/>
    </w:p>
    <w:p>
      <w:pPr>
        <w:pStyle w:val="BookText"/>
      </w:pPr>
      <w:r>
        <w:rPr>
          <w:rFonts w:ascii="Times New Roman" w:hAnsi="Times New Roman" w:eastAsia="Times New Roman" w:cs="Times New Roman"/>
          <w:lang w:val="en-US" w:bidi="en-US"/>
          <w:color w:val="111111"/>
          <w:sz w:val="28"/>
          <w:szCs w:val="28"/>
          <w:rtl/>
        </w:rPr>
        <w:t xml:space="preserve">at-ta'wīlāt</w:t>
      </w:r>
    </w:p>
    <w:p>
      <w:pPr>
        <w:pStyle w:val="BookText"/>
      </w:pPr>
      <w:r>
        <w:rPr>
          <w:rFonts w:ascii="IRNazanin" w:hAnsi="IRNazanin" w:eastAsia="IRNazanin" w:cs="IRNazanin"/>
          <w:lang w:bidi="fa-IR"/>
          <w:color w:val="111111"/>
          <w:sz w:val="28"/>
          <w:szCs w:val="28"/>
          <w:rtl/>
        </w:rPr>
        <w:t xml:space="preserve">آملی، حیدر بن على، ۷۲۰-۷۸۲؟ قمری</w:t>
      </w:r>
    </w:p>
    <w:p>
      <w:pPr>
        <w:pStyle w:val="BookText"/>
      </w:pPr>
      <w:r>
        <w:rPr>
          <w:rFonts w:ascii="Times New Roman" w:hAnsi="Times New Roman" w:eastAsia="Times New Roman" w:cs="Times New Roman"/>
          <w:lang w:val="en-US" w:bidi="en-US"/>
          <w:color w:val="111111"/>
          <w:sz w:val="28"/>
          <w:szCs w:val="28"/>
          <w:rtl/>
        </w:rPr>
        <w:t xml:space="preserve">āmolī, heydar ebn-e ‘alī (1321-1381)</w:t>
      </w:r>
    </w:p>
    <w:p>
      <w:pPr>
        <w:pStyle w:val="BookText"/>
      </w:pPr>
      <w:r>
        <w:rPr>
          <w:rFonts w:ascii="IRNazanin" w:hAnsi="IRNazanin" w:eastAsia="IRNazanin" w:cs="IRNazanin"/>
          <w:lang w:bidi="fa-IR"/>
          <w:color w:val="111111"/>
          <w:sz w:val="28"/>
          <w:szCs w:val="28"/>
          <w:rtl/>
        </w:rPr>
        <w:t xml:space="preserve">تفسیر عرفانی و صوفیانه ای است بر سوره فاتحه (الحمد) و بیان اسرار آن. بنا به گفته مؤلف در سر آغاز آن به الفاظ و ظواهر و گفته های مفسران نمی پردازد و فقط بنا دارد که اسرار باطنی آن سوره را کشف 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اصفهان؛ کتابی (آقای)؛ شماره نسخه: ۱</w:t>
      </w:r>
    </w:p>
    <w:p>
      <w:pPr>
        <w:pStyle w:val="BookText"/>
      </w:pPr>
      <w:r>
        <w:rPr>
          <w:rFonts w:ascii="IRNazanin" w:hAnsi="IRNazanin" w:eastAsia="IRNazanin" w:cs="IRNazanin"/>
          <w:lang w:bidi="fa-IR"/>
          <w:color w:val="111111"/>
          <w:sz w:val="28"/>
          <w:szCs w:val="28"/>
          <w:rtl/>
        </w:rPr>
        <w:t xml:space="preserve">بی کا، تا: قرن ۱۰ [نشریه: ۵-۳۲۵]</w:t>
      </w:r>
    </w:p>
    <w:p>
      <w:pPr>
        <w:pStyle w:val="BookText"/>
      </w:pPr>
      <w:r>
        <w:rPr>
          <w:rFonts w:ascii="IRNazanin" w:hAnsi="IRNazanin" w:eastAsia="IRNazanin" w:cs="IRNazanin"/>
          <w:lang w:bidi="fa-IR"/>
          <w:color w:val="111111"/>
          <w:sz w:val="28"/>
          <w:szCs w:val="28"/>
          <w:rtl/>
        </w:rPr>
        <w:t xml:space="preserve">۲. قم؛ مرعشی؛ شماره نسخه:۱۸ ۵۰</w:t>
      </w:r>
    </w:p>
    <w:p>
      <w:pPr>
        <w:pStyle w:val="BookText"/>
      </w:pPr>
      <w:r>
        <w:rPr>
          <w:rFonts w:ascii="IRNazanin" w:hAnsi="IRNazanin" w:eastAsia="IRNazanin" w:cs="IRNazanin"/>
          <w:lang w:bidi="fa-IR"/>
          <w:color w:val="111111"/>
          <w:sz w:val="28"/>
          <w:szCs w:val="28"/>
          <w:rtl/>
        </w:rPr>
        <w:t xml:space="preserve">آغاز و الكتمان و غلب بالتوفيق الا التي حكم الاخفاء على الاعلان و لم يزل هذا حاله الى أن جدد الحق؛ انجام: و من بقی بحكم ذاتك ولم تستملکه و تعهده اصباغ ظهوراتک ثبت شهود خط: نسخ، بی کا، تا: قرن ۱۱؛ افتادگی: آغاز و انجام؛ جلد: مقوایی عطف</w:t>
      </w:r>
    </w:p>
    <w:p>
      <w:pPr>
        <w:pStyle w:val="BookText"/>
      </w:pPr>
      <w:r>
        <w:rPr>
          <w:rFonts w:ascii="IRNazanin" w:hAnsi="IRNazanin" w:eastAsia="IRNazanin" w:cs="IRNazanin"/>
          <w:lang w:bidi="fa-IR"/>
          <w:color w:val="111111"/>
          <w:sz w:val="28"/>
          <w:szCs w:val="28"/>
          <w:rtl/>
        </w:rPr>
        <w:t xml:space="preserve">تیماج قهوه ای، ۱۵۰گ، ۱۹ سطر، اندازه: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۲۰سم [ف: ۱۳-۲۱۹]</w:t>
      </w:r>
    </w:p>
    <w:p>
      <w:pPr>
        <w:pStyle w:val="Heading3"/>
      </w:pPr>
      <w:bookmarkStart w:id="2826" w:name="_Toc2086"/>
      <w:r>
        <w:t>•التأويلات / تفسير / عربی</w:t>
      </w:r>
      <w:bookmarkEnd w:id="2826"/>
    </w:p>
    <w:p>
      <w:pPr>
        <w:pStyle w:val="BookText"/>
      </w:pPr>
      <w:r>
        <w:rPr>
          <w:rFonts w:ascii="Times New Roman" w:hAnsi="Times New Roman" w:eastAsia="Times New Roman" w:cs="Times New Roman"/>
          <w:lang w:val="en-US" w:bidi="en-US"/>
          <w:color w:val="111111"/>
          <w:sz w:val="28"/>
          <w:szCs w:val="28"/>
          <w:rtl/>
        </w:rPr>
        <w:t xml:space="preserve">at-ta'wīlāt</w:t>
      </w:r>
    </w:p>
    <w:p>
      <w:pPr>
        <w:pStyle w:val="BookText"/>
      </w:pPr>
      <w:r>
        <w:rPr>
          <w:rFonts w:ascii="IRNazanin" w:hAnsi="IRNazanin" w:eastAsia="IRNazanin" w:cs="IRNazanin"/>
          <w:lang w:bidi="fa-IR"/>
          <w:color w:val="111111"/>
          <w:sz w:val="28"/>
          <w:szCs w:val="28"/>
          <w:rtl/>
        </w:rPr>
        <w:t xml:space="preserve">کاشانی، نورالدین علی، ق۸ قمری</w:t>
      </w:r>
    </w:p>
    <w:p>
      <w:pPr>
        <w:pStyle w:val="BookText"/>
      </w:pPr>
      <w:r>
        <w:rPr>
          <w:rFonts w:ascii="Times New Roman" w:hAnsi="Times New Roman" w:eastAsia="Times New Roman" w:cs="Times New Roman"/>
          <w:lang w:val="en-US" w:bidi="en-US"/>
          <w:color w:val="111111"/>
          <w:sz w:val="28"/>
          <w:szCs w:val="28"/>
          <w:rtl/>
        </w:rPr>
        <w:t xml:space="preserve">kāšānī, nūr-od-dīn 'alī (-14c)</w:t>
      </w:r>
    </w:p>
    <w:p>
      <w:pPr>
        <w:pStyle w:val="BookText"/>
      </w:pPr>
      <w:r>
        <w:rPr>
          <w:rFonts w:ascii="IRNazanin" w:hAnsi="IRNazanin" w:eastAsia="IRNazanin" w:cs="IRNazanin"/>
          <w:lang w:bidi="fa-IR"/>
          <w:color w:val="111111"/>
          <w:sz w:val="28"/>
          <w:szCs w:val="28"/>
          <w:rtl/>
        </w:rPr>
        <w:t xml:space="preserve">مأخوذ از تاویلات نورالدین قاشانی صاحب مصباح الهدایه است. ابتداء آیه «اذا نودی للصلوة يوم الجمعه» بحث می شود و خود تأویلات به تفسیر سوره جمعه مربوط است و در آخر تفسیر آیه فاذكروا الله كثيرا لعلكم تفلحون می باشد.</w:t>
      </w:r>
    </w:p>
    <w:p>
      <w:pPr>
        <w:pStyle w:val="BookText"/>
      </w:pPr>
      <w:r>
        <w:rPr>
          <w:rFonts w:ascii="IRNazanin" w:hAnsi="IRNazanin" w:eastAsia="IRNazanin" w:cs="IRNazanin"/>
          <w:lang w:bidi="fa-IR"/>
          <w:color w:val="111111"/>
          <w:sz w:val="28"/>
          <w:szCs w:val="28"/>
          <w:rtl/>
        </w:rPr>
        <w:t xml:space="preserve">تهران؛ ملی؛ شماره نسخه: ۱۶۱۰/۱۲</w:t>
      </w:r>
    </w:p>
    <w:p>
      <w:pPr>
        <w:pStyle w:val="BookText"/>
      </w:pPr>
      <w:r>
        <w:rPr>
          <w:rFonts w:ascii="IRNazanin" w:hAnsi="IRNazanin" w:eastAsia="IRNazanin" w:cs="IRNazanin"/>
          <w:lang w:bidi="fa-IR"/>
          <w:color w:val="111111"/>
          <w:sz w:val="28"/>
          <w:szCs w:val="28"/>
          <w:rtl/>
        </w:rPr>
        <w:t xml:space="preserve">آغاز: بسمله و به نستعين، اذا نودي للصلوة من يوم الجمعه؛ انجام: فوضوا أمر الرزق اليه بالتوكل فان الله خير الرازقين. خط: نستعلیق، بی کا، تا: ۱۲۳۷ق؛ کاغذ: فرنگی الوان، جلد: مقوایی تیماج زرد، ۲ص (۱۲۹ - ۱۳۰)، ۲۰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۱۰-۱۵۵]</w:t>
      </w:r>
    </w:p>
    <w:p>
      <w:pPr>
        <w:pStyle w:val="Heading3"/>
      </w:pPr>
      <w:bookmarkStart w:id="2827" w:name="_Toc2087"/>
      <w:r>
        <w:t>•التأويلات / تفسير / عربی</w:t>
      </w:r>
      <w:bookmarkEnd w:id="2827"/>
    </w:p>
    <w:p>
      <w:pPr>
        <w:pStyle w:val="BookText"/>
      </w:pPr>
      <w:r>
        <w:rPr>
          <w:rFonts w:ascii="Times New Roman" w:hAnsi="Times New Roman" w:eastAsia="Times New Roman" w:cs="Times New Roman"/>
          <w:lang w:val="en-US" w:bidi="en-US"/>
          <w:color w:val="111111"/>
          <w:sz w:val="28"/>
          <w:szCs w:val="28"/>
          <w:rtl/>
        </w:rPr>
        <w:t xml:space="preserve">at-ta'wīlāt</w:t>
      </w:r>
    </w:p>
    <w:p>
      <w:pPr>
        <w:pStyle w:val="BookText"/>
      </w:pPr>
      <w:r>
        <w:rPr>
          <w:rFonts w:ascii="IRNazanin" w:hAnsi="IRNazanin" w:eastAsia="IRNazanin" w:cs="IRNazanin"/>
          <w:lang w:bidi="fa-IR"/>
          <w:color w:val="111111"/>
          <w:sz w:val="28"/>
          <w:szCs w:val="28"/>
          <w:rtl/>
        </w:rPr>
        <w:t xml:space="preserve">همدان؛ مدرسه غرب: شماره نسخه: ۴۹۱</w:t>
      </w:r>
    </w:p>
    <w:p>
      <w:pPr>
        <w:pStyle w:val="BookText"/>
      </w:pPr>
      <w:r>
        <w:rPr>
          <w:rFonts w:ascii="IRNazanin" w:hAnsi="IRNazanin" w:eastAsia="IRNazanin" w:cs="IRNazanin"/>
          <w:lang w:bidi="fa-IR"/>
          <w:color w:val="111111"/>
          <w:sz w:val="28"/>
          <w:szCs w:val="28"/>
          <w:rtl/>
        </w:rPr>
        <w:t xml:space="preserve">آغاز: او هو غافل قوي يكتب على البناء للمفعول، آثارهم بالرفع و كل شيء منصوب بعامل مضمر يفسره احصيناه ای و احصينا كل شیء احصينا، و قرى كل شيء بالرفع على الابتداء يجوزان يكون وصفه بالحكيم لكونه دليلا ناطقا بالحكمة كالحی ... آغاز سوره الزمر: بسم الله الرحمن الرحيم تنزيل الكتاب من الله العزيز الحكيم انا انزلنا اليك بالحق ... لاجل مسمى الا هو العزيز الغفار قری نعبد بالضم النون اتباعا للعين كما تتبعها الهمزه في الأمر و التنوين في ... آغاز سوره الناس: بسم الله الرحمن الرحيم قل اعوذ برب الناس .... من الجنة و الناس قرء في السورتين قل عوذ بحذف الهمزة و نقل حركتها الى اللام كما في قوله فخذ ربعة، الوسواس بمعنی الوسوسة كالزلزال بمعنى الزلزلة؛ انجام: انجام سورة الناس: و لهذا قال الله تعالى قل ادعو الله و ادعوا الرحمن ایا ماتد عو فله الأسماء الحسنی. انجام: فهو موقوف على حد علمه محجوب عن خفايا اسرار علمه به و استغفر الله لي ولكم و لمن سمع و وعی و قبل حكم هذه الوصية والفي الله. از پس تا آخر قرآن؛ خط: شکسته نستعلیق، بی کا، بی تا؛ قطع: خشتی (رشت و همدان: ف: ۱۲۹۱]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bookmarkStart w:id="630" w:name="pg20363_209966"/>
    <w:bookmarkEnd w:id="630"/>
    <w:p>
      <w:pPr>
        <w:pStyle w:val="Heading3"/>
      </w:pPr>
      <w:bookmarkStart w:id="2828" w:name="_Toc2088"/>
      <w:r>
        <w:t>•تأويلات القرآن = منتخب غرائب القرآن و رغائب الفرقان / تفسير / عربی</w:t>
      </w:r>
      <w:bookmarkEnd w:id="2828"/>
    </w:p>
    <w:p>
      <w:pPr>
        <w:pStyle w:val="BookText"/>
      </w:pPr>
      <w:r>
        <w:rPr>
          <w:rFonts w:ascii="Times New Roman" w:hAnsi="Times New Roman" w:eastAsia="Times New Roman" w:cs="Times New Roman"/>
          <w:lang w:val="en-US" w:bidi="en-US"/>
          <w:color w:val="111111"/>
          <w:sz w:val="28"/>
          <w:szCs w:val="28"/>
          <w:rtl/>
        </w:rPr>
        <w:t xml:space="preserve">garā'ib-ul qur'ān wa = mn.-u ta’wīlāt-ul qur'ān raga'ib-ul furqan</w:t>
      </w:r>
    </w:p>
    <w:p>
      <w:pPr>
        <w:pStyle w:val="BookText"/>
      </w:pPr>
      <w:r>
        <w:rPr>
          <w:rFonts w:ascii="IRNazanin" w:hAnsi="IRNazanin" w:eastAsia="IRNazanin" w:cs="IRNazanin"/>
          <w:lang w:bidi="fa-IR"/>
          <w:color w:val="111111"/>
          <w:sz w:val="28"/>
          <w:szCs w:val="28"/>
          <w:rtl/>
        </w:rPr>
        <w:t xml:space="preserve">وابسته به: غرائب القرآن ورغائب الفرقان = تفسیر نیشابوری؛ نظام الاعرج، حسن بن محمد (-۷۲۸ق) تأويلات عرفانی تفسیر «غرائب القرآن ورغائب الفرقان» در این کتاب، گرد آمده است. آغاز: قوله تعالی و علم آدم الأسماء كلها، التأويل عن النبی صلی الله عليه و سلم ان الله خلق آدم فتجلى فيه ... انجام: و نحن ايضا نختم التفسير بهذا التحقيق و الله ولي التوفيق و الهادي في العلم و العمل إلى سواء الطريق.</w:t>
      </w:r>
    </w:p>
    <w:p>
      <w:pPr>
        <w:pStyle w:val="BookText"/>
      </w:pPr>
      <w:r>
        <w:rPr>
          <w:rFonts w:ascii="IRNazanin" w:hAnsi="IRNazanin" w:eastAsia="IRNazanin" w:cs="IRNazanin"/>
          <w:lang w:bidi="fa-IR"/>
          <w:color w:val="111111"/>
          <w:sz w:val="28"/>
          <w:szCs w:val="28"/>
          <w:rtl/>
        </w:rPr>
        <w:t xml:space="preserve">۱. قم؛ مرعشی؛ شماره نسخه: ۲۶۷۶/۱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نام کتاب به استناد نسخه ش ۱۵۱۶۷ همین کتابخانه تکمیل شد؛ خط: نسخ، كا: شعیب بن مسعود، تا: ۸۶۳ق؛ مصحح؛ جلد: مقوایی عطف تیماج مشکی، ۱۴۷گ (۱پ -۱۴۷ر)، ۲۷ سطر،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۷-۲۵۴]</w:t>
      </w:r>
    </w:p>
    <w:p>
      <w:pPr>
        <w:pStyle w:val="BookText"/>
      </w:pPr>
      <w:r>
        <w:rPr>
          <w:rFonts w:ascii="IRNazanin" w:hAnsi="IRNazanin" w:eastAsia="IRNazanin" w:cs="IRNazanin"/>
          <w:lang w:bidi="fa-IR"/>
          <w:color w:val="111111"/>
          <w:sz w:val="28"/>
          <w:szCs w:val="28"/>
          <w:rtl/>
        </w:rPr>
        <w:t xml:space="preserve">۲. قم؛ مرعشی؛ شماره نسخه:۱۵۱۶۷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زیبا، كا: ابن محمد رضوی، تا: رجب ۱۲۶۳ق؛ محشی با نشان «محمد حسین»، مصحح؛ کاغذ: فرنگی، جلد: تیماج قهوه ای، ۱۸۱گ، ۱۹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۳۸-۵۰۸]</w:t>
      </w:r>
    </w:p>
    <w:p>
      <w:pPr>
        <w:pStyle w:val="Heading3"/>
      </w:pPr>
      <w:bookmarkStart w:id="2829" w:name="_Toc2089"/>
      <w:r>
        <w:t>•تأویلات مشكلات الاحاديث / حديث / فارسی</w:t>
      </w:r>
      <w:bookmarkEnd w:id="2829"/>
    </w:p>
    <w:p>
      <w:pPr>
        <w:pStyle w:val="BookText"/>
      </w:pPr>
      <w:r>
        <w:rPr>
          <w:rFonts w:ascii="Times New Roman" w:hAnsi="Times New Roman" w:eastAsia="Times New Roman" w:cs="Times New Roman"/>
          <w:lang w:val="en-US" w:bidi="en-US"/>
          <w:color w:val="111111"/>
          <w:sz w:val="28"/>
          <w:szCs w:val="28"/>
          <w:rtl/>
        </w:rPr>
        <w:t xml:space="preserve">ta’vīlāt-e moškelāt-ol ahādīs</w:t>
      </w:r>
    </w:p>
    <w:p>
      <w:pPr>
        <w:pStyle w:val="BookText"/>
      </w:pPr>
      <w:r>
        <w:rPr>
          <w:rFonts w:ascii="IRNazanin" w:hAnsi="IRNazanin" w:eastAsia="IRNazanin" w:cs="IRNazanin"/>
          <w:lang w:bidi="fa-IR"/>
          <w:color w:val="111111"/>
          <w:sz w:val="28"/>
          <w:szCs w:val="28"/>
          <w:rtl/>
        </w:rPr>
        <w:t xml:space="preserve">فخر رازی، محمد بن عمر، ۵۴۴؟ -۶۰۶ قمری</w:t>
      </w:r>
    </w:p>
    <w:p>
      <w:pPr>
        <w:pStyle w:val="BookText"/>
      </w:pPr>
      <w:r>
        <w:rPr>
          <w:rFonts w:ascii="Times New Roman" w:hAnsi="Times New Roman" w:eastAsia="Times New Roman" w:cs="Times New Roman"/>
          <w:lang w:val="en-US" w:bidi="en-US"/>
          <w:color w:val="111111"/>
          <w:sz w:val="28"/>
          <w:szCs w:val="28"/>
          <w:rtl/>
        </w:rPr>
        <w:t xml:space="preserve">faxr-e rāzī, mohammad ebn-e 'omar (1150-1210)</w:t>
      </w:r>
    </w:p>
    <w:p>
      <w:pPr>
        <w:pStyle w:val="BookText"/>
      </w:pPr>
      <w:r>
        <w:rPr>
          <w:rFonts w:ascii="IRNazanin" w:hAnsi="IRNazanin" w:eastAsia="IRNazanin" w:cs="IRNazanin"/>
          <w:lang w:bidi="fa-IR"/>
          <w:color w:val="111111"/>
          <w:sz w:val="28"/>
          <w:szCs w:val="28"/>
          <w:rtl/>
        </w:rPr>
        <w:t xml:space="preserve">تهران؛ دانشگاه؛ شماره نسخه: ۶۱۲/۲۷ -ف</w:t>
      </w:r>
    </w:p>
    <w:p>
      <w:pPr>
        <w:pStyle w:val="BookText"/>
      </w:pPr>
      <w:r>
        <w:rPr>
          <w:rFonts w:ascii="IRNazanin" w:hAnsi="IRNazanin" w:eastAsia="IRNazanin" w:cs="IRNazanin"/>
          <w:lang w:bidi="fa-IR"/>
          <w:color w:val="111111"/>
          <w:sz w:val="28"/>
          <w:szCs w:val="28"/>
          <w:rtl/>
        </w:rPr>
        <w:t xml:space="preserve">نسخه اصل: سلیمانیه ش ۱۲۰۸؛ خط: نسخ، بی کا، تا: ۸۳۹ق؛ ۲گ (۱۳۲۰ - ۳۲۱پ)، ۱۹ سطر [فیلمها ف: ۱-۵۱۲]</w:t>
      </w:r>
    </w:p>
    <w:p>
      <w:pPr>
        <w:pStyle w:val="Heading3"/>
      </w:pPr>
      <w:bookmarkStart w:id="2830" w:name="_Toc2090"/>
      <w:r>
        <w:t>•تأویلات و مکاشفات / تفسير / عربی</w:t>
      </w:r>
      <w:bookmarkEnd w:id="2830"/>
    </w:p>
    <w:p>
      <w:pPr>
        <w:pStyle w:val="BookText"/>
      </w:pPr>
      <w:r>
        <w:rPr>
          <w:rFonts w:ascii="Times New Roman" w:hAnsi="Times New Roman" w:eastAsia="Times New Roman" w:cs="Times New Roman"/>
          <w:lang w:val="en-US" w:bidi="en-US"/>
          <w:color w:val="111111"/>
          <w:sz w:val="28"/>
          <w:szCs w:val="28"/>
          <w:rtl/>
        </w:rPr>
        <w:t xml:space="preserve">ta’wīlāt wa mukāšifāt</w:t>
      </w:r>
    </w:p>
    <w:p>
      <w:pPr>
        <w:pStyle w:val="BookText"/>
      </w:pPr>
      <w:r>
        <w:rPr>
          <w:rFonts w:ascii="IRNazanin" w:hAnsi="IRNazanin" w:eastAsia="IRNazanin" w:cs="IRNazanin"/>
          <w:lang w:bidi="fa-IR"/>
          <w:color w:val="111111"/>
          <w:sz w:val="28"/>
          <w:szCs w:val="28"/>
          <w:rtl/>
        </w:rPr>
        <w:t xml:space="preserve">تهران؛ مجلس؛ شماره نسخه: ۱۵۲۳۲/۳۲</w:t>
      </w:r>
    </w:p>
    <w:p>
      <w:pPr>
        <w:pStyle w:val="BookText"/>
      </w:pPr>
      <w:r>
        <w:rPr>
          <w:rFonts w:ascii="IRNazanin" w:hAnsi="IRNazanin" w:eastAsia="IRNazanin" w:cs="IRNazanin"/>
          <w:lang w:bidi="fa-IR"/>
          <w:color w:val="111111"/>
          <w:sz w:val="28"/>
          <w:szCs w:val="28"/>
          <w:rtl/>
        </w:rPr>
        <w:t xml:space="preserve">خط: نستعلیق، بی کا، تا: ۱۳۰۵ق؛ ۲۰گ (۱۷۷ر- ۱۹۶ر) [مختصر ف: ۱۳۰]</w:t>
      </w:r>
    </w:p>
    <w:p>
      <w:pPr>
        <w:pStyle w:val="Heading3"/>
      </w:pPr>
      <w:bookmarkStart w:id="2831" w:name="_Toc2091"/>
      <w:r>
        <w:t>•تأويل الأحاديث / خوابگزاری-عربی</w:t>
      </w:r>
      <w:bookmarkEnd w:id="2831"/>
    </w:p>
    <w:p>
      <w:pPr>
        <w:pStyle w:val="BookText"/>
      </w:pPr>
      <w:r>
        <w:rPr>
          <w:rFonts w:ascii="Times New Roman" w:hAnsi="Times New Roman" w:eastAsia="Times New Roman" w:cs="Times New Roman"/>
          <w:lang w:val="en-US" w:bidi="en-US"/>
          <w:color w:val="111111"/>
          <w:sz w:val="28"/>
          <w:szCs w:val="28"/>
          <w:rtl/>
        </w:rPr>
        <w:t xml:space="preserve">ta'wīl-ul ahādīt</w:t>
      </w:r>
    </w:p>
    <w:p>
      <w:pPr>
        <w:pStyle w:val="BookText"/>
      </w:pPr>
      <w:r>
        <w:rPr>
          <w:rFonts w:ascii="IRNazanin" w:hAnsi="IRNazanin" w:eastAsia="IRNazanin" w:cs="IRNazanin"/>
          <w:lang w:bidi="fa-IR"/>
          <w:color w:val="111111"/>
          <w:sz w:val="28"/>
          <w:szCs w:val="28"/>
          <w:rtl/>
        </w:rPr>
        <w:t xml:space="preserve">کرمانی، محمد کریم بن ابراهیم، ۱۲۲۵-۱۲۸۸ قمری</w:t>
      </w:r>
    </w:p>
    <w:p>
      <w:pPr>
        <w:pStyle w:val="BookText"/>
      </w:pPr>
      <w:r>
        <w:rPr>
          <w:rFonts w:ascii="Times New Roman" w:hAnsi="Times New Roman" w:eastAsia="Times New Roman" w:cs="Times New Roman"/>
          <w:lang w:val="en-US" w:bidi="en-US"/>
          <w:color w:val="111111"/>
          <w:sz w:val="28"/>
          <w:szCs w:val="28"/>
          <w:rtl/>
        </w:rPr>
        <w:t xml:space="preserve">kermānī, mohammad karīm ebn-e ebrāhīm (1810 1871)</w:t>
      </w:r>
    </w:p>
    <w:p>
      <w:pPr>
        <w:pStyle w:val="BookText"/>
      </w:pPr>
      <w:r>
        <w:rPr>
          <w:rFonts w:ascii="IRNazanin" w:hAnsi="IRNazanin" w:eastAsia="IRNazanin" w:cs="IRNazanin"/>
          <w:lang w:bidi="fa-IR"/>
          <w:color w:val="111111"/>
          <w:sz w:val="28"/>
          <w:szCs w:val="28"/>
          <w:rtl/>
        </w:rPr>
        <w:t xml:space="preserve">اهداء به: محمد رحيم (فرزندش) تاریخ تأليف: ۲۶ ربیع الثانی ۱۲۷۱؛ محل تالیف: خبيص (قريه) این رساله در علم تعبیر خواب است که در پاسخ محمد رحیم خان (فرزندش) نگاشته، شامل یک مقدمه و شش «باب»: مقدمه در بعضی مقدمات لازمه؛ باب ۱. تقسيم رؤیاهای صادقه و کاذبه؛ ۲. اقسام رؤيا؛ ۳. سر اختلاف صورت بعض چیزها در عالم مثال با صورت آنها در این دنیا؛ ۴. کلیاتی در علم تأویل و تعبیر؛ ۵. ذكر بعض اخبار وارده در این باب؛ ۶. ذکر اقوال علما در امر رؤيا. آغاز: الحمد لله رب العالمين ... قد سالنی قرة عيني و فلذة كبدی و ثمرة فؤادی ابني محمد الملقب بالرحيم انجام: و جعلها يخرج من قلمی خالصة لوجهه مطابقا لحكمة محمد و آل محمد عليهم السلام</w:t>
      </w:r>
    </w:p>
    <w:p>
      <w:pPr>
        <w:pStyle w:val="BookText"/>
      </w:pPr>
      <w:r>
        <w:rPr>
          <w:rFonts w:ascii="IRNazanin" w:hAnsi="IRNazanin" w:eastAsia="IRNazanin" w:cs="IRNazanin"/>
          <w:lang w:bidi="fa-IR"/>
          <w:color w:val="111111"/>
          <w:sz w:val="28"/>
          <w:szCs w:val="28"/>
          <w:rtl/>
        </w:rPr>
        <w:t xml:space="preserve">[چاپ: کرمان، ۱۳۵۲ فهرست مشایخ ۲۴۰؛ ریحانة الادب ۵۱/۵؛ دنا ۷۶۰/۲ ]</w:t>
      </w:r>
    </w:p>
    <w:p>
      <w:pPr>
        <w:pStyle w:val="BookText"/>
      </w:pPr>
      <w:r>
        <w:rPr>
          <w:rFonts w:ascii="IRNazanin" w:hAnsi="IRNazanin" w:eastAsia="IRNazanin" w:cs="IRNazanin"/>
          <w:lang w:bidi="fa-IR"/>
          <w:color w:val="111111"/>
          <w:sz w:val="28"/>
          <w:szCs w:val="28"/>
          <w:rtl/>
        </w:rPr>
        <w:t xml:space="preserve">۱. قم؛ مرعشی؛ شماره نسخه:۱۶ ۱۱۳۳۰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اواخر قرن ۱۳؛ مصحح، محشی؛ کاغذ: فرنگی، ۱۰۶گ(۱۸۵- ۲۹۰)،۱۷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۸سم [ف: ۲۸-۵۴۰]</w:t>
      </w:r>
    </w:p>
    <w:p>
      <w:pPr>
        <w:pStyle w:val="BookText"/>
      </w:pPr>
      <w:r>
        <w:rPr>
          <w:rFonts w:ascii="IRNazanin" w:hAnsi="IRNazanin" w:eastAsia="IRNazanin" w:cs="IRNazanin"/>
          <w:lang w:bidi="fa-IR"/>
          <w:color w:val="111111"/>
          <w:sz w:val="28"/>
          <w:szCs w:val="28"/>
          <w:rtl/>
        </w:rPr>
        <w:t xml:space="preserve">۲. قم؛ مرعشی؛ شماره نسخه: ۶۸۹۹/۱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علی اصغر بن محمد صادق موسوی، تا: ۱۲۷۱ق؛ مصحح جلد: تیماج مشکی، ۱۰۰گ (۳پ -۱۰۲ر)، ۱۵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۱۸-۹۲]</w:t>
      </w:r>
    </w:p>
    <w:p>
      <w:pPr>
        <w:pStyle w:val="BookText"/>
      </w:pPr>
      <w:r>
        <w:rPr>
          <w:rFonts w:ascii="IRNazanin" w:hAnsi="IRNazanin" w:eastAsia="IRNazanin" w:cs="IRNazanin"/>
          <w:lang w:bidi="fa-IR"/>
          <w:color w:val="111111"/>
          <w:sz w:val="28"/>
          <w:szCs w:val="28"/>
          <w:rtl/>
        </w:rPr>
        <w:t xml:space="preserve">٣. یزد؛ وزیری؛ شماره نسخه: ۱۷۶۵/۴</w:t>
      </w:r>
    </w:p>
    <w:p>
      <w:pPr>
        <w:pStyle w:val="BookText"/>
      </w:pPr>
      <w:r>
        <w:rPr>
          <w:rFonts w:ascii="IRNazanin" w:hAnsi="IRNazanin" w:eastAsia="IRNazanin" w:cs="IRNazanin"/>
          <w:lang w:bidi="fa-IR"/>
          <w:color w:val="111111"/>
          <w:sz w:val="28"/>
          <w:szCs w:val="28"/>
          <w:rtl/>
        </w:rPr>
        <w:t xml:space="preserve">خط: نسخ، بی کا، تا: ۱۲۷۲ق، کاغذ: فرنگی، جلد: تیماج مشکی، ۵۹گ (۹۶-۱۵۴)،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۳-۱۰۴۷]</w:t>
      </w:r>
    </w:p>
    <w:p>
      <w:pPr>
        <w:pStyle w:val="BookText"/>
      </w:pPr>
      <w:r>
        <w:rPr>
          <w:rFonts w:ascii="IRNazanin" w:hAnsi="IRNazanin" w:eastAsia="IRNazanin" w:cs="IRNazanin"/>
          <w:lang w:bidi="fa-IR"/>
          <w:color w:val="111111"/>
          <w:sz w:val="28"/>
          <w:szCs w:val="28"/>
          <w:rtl/>
        </w:rPr>
        <w:t xml:space="preserve">۴. قم، مرکز احیاء؛ شماره نسخه: ۷۱۵/۱</w:t>
      </w:r>
    </w:p>
    <w:p>
      <w:pPr>
        <w:pStyle w:val="BookText"/>
      </w:pPr>
      <w:r>
        <w:rPr>
          <w:rFonts w:ascii="IRNazanin" w:hAnsi="IRNazanin" w:eastAsia="IRNazanin" w:cs="IRNazanin"/>
          <w:lang w:bidi="fa-IR"/>
          <w:color w:val="111111"/>
          <w:sz w:val="28"/>
          <w:szCs w:val="28"/>
          <w:rtl/>
        </w:rPr>
        <w:t xml:space="preserve">آغاز و انجام: برابر خط: نسخ، كا: محمد رضا بن حاجی چمن، تا: ۱۲۸۵ق؛ جلد: تیماج قهوه ای، ۱۲۰گ (۱پ - ۱۲۰ر)، ۱۵ سطر، اندازه: ۱۴/۵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۲-۳۷۱]</w:t>
      </w:r>
    </w:p>
    <w:p>
      <w:pPr>
        <w:pStyle w:val="BookText"/>
      </w:pPr>
      <w:r>
        <w:rPr>
          <w:rFonts w:ascii="IRNazanin" w:hAnsi="IRNazanin" w:eastAsia="IRNazanin" w:cs="IRNazanin"/>
          <w:lang w:bidi="fa-IR"/>
          <w:color w:val="111111"/>
          <w:sz w:val="28"/>
          <w:szCs w:val="28"/>
          <w:rtl/>
        </w:rPr>
        <w:t xml:space="preserve">۵. تهران؛ ملک؛ شماره نسخه:۱۷۲۴</w:t>
      </w:r>
    </w:p>
    <w:p>
      <w:pPr>
        <w:pStyle w:val="BookText"/>
      </w:pPr>
      <w:r>
        <w:rPr>
          <w:rFonts w:ascii="IRNazanin" w:hAnsi="IRNazanin" w:eastAsia="IRNazanin" w:cs="IRNazanin"/>
          <w:lang w:bidi="fa-IR"/>
          <w:color w:val="111111"/>
          <w:sz w:val="28"/>
          <w:szCs w:val="28"/>
          <w:rtl/>
        </w:rPr>
        <w:t xml:space="preserve">خط: نستعلیق، بی کا، تا: ۱۲۸۵ق؛ کاغذ: فرنگی آهار مهره، جلد: میشن سرخ، ۱۵ سطر، اندازه: ۲۲/۴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۱-۷۹]</w:t>
      </w:r>
    </w:p>
    <w:p>
      <w:pPr>
        <w:pStyle w:val="BookText"/>
      </w:pPr>
      <w:r>
        <w:rPr>
          <w:rFonts w:ascii="IRNazanin" w:hAnsi="IRNazanin" w:eastAsia="IRNazanin" w:cs="IRNazanin"/>
          <w:lang w:bidi="fa-IR"/>
          <w:color w:val="111111"/>
          <w:sz w:val="28"/>
          <w:szCs w:val="28"/>
          <w:rtl/>
        </w:rPr>
        <w:t xml:space="preserve">۶. مشهد؛ گوهرشاد؛ شماره نسخه:۷۶۶/۵</w:t>
      </w:r>
    </w:p>
    <w:p>
      <w:pPr>
        <w:pStyle w:val="BookText"/>
      </w:pPr>
      <w:r>
        <w:rPr>
          <w:rFonts w:ascii="IRNazanin" w:hAnsi="IRNazanin" w:eastAsia="IRNazanin" w:cs="IRNazanin"/>
          <w:lang w:bidi="fa-IR"/>
          <w:color w:val="111111"/>
          <w:sz w:val="28"/>
          <w:szCs w:val="28"/>
          <w:rtl/>
        </w:rPr>
        <w:t xml:space="preserve">خط: نسخ، بی کا، تا: قرن ۱۳ و اوائل ۱۴؛ جلد: تیماج قهوه ای، ۶۶گ (۱۱۲-۱۷۷)، ۱۸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۸۷۵-۲ ]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bookmarkStart w:id="631" w:name="pg20363_209967"/>
    <w:bookmarkEnd w:id="631"/>
    <w:p>
      <w:pPr>
        <w:pStyle w:val="Heading3"/>
      </w:pPr>
      <w:bookmarkStart w:id="2832" w:name="_Toc2092"/>
      <w:r>
        <w:t>•تأويل الأحاديث / شرح حديث / عربی</w:t>
      </w:r>
      <w:bookmarkEnd w:id="2832"/>
    </w:p>
    <w:p>
      <w:pPr>
        <w:pStyle w:val="BookText"/>
      </w:pPr>
      <w:r>
        <w:rPr>
          <w:rFonts w:ascii="Times New Roman" w:hAnsi="Times New Roman" w:eastAsia="Times New Roman" w:cs="Times New Roman"/>
          <w:lang w:val="en-US" w:bidi="en-US"/>
          <w:color w:val="111111"/>
          <w:sz w:val="28"/>
          <w:szCs w:val="28"/>
          <w:rtl/>
        </w:rPr>
        <w:t xml:space="preserve">ta'wil-ul ahadit</w:t>
      </w:r>
    </w:p>
    <w:p>
      <w:pPr>
        <w:pStyle w:val="BookText"/>
      </w:pPr>
      <w:r>
        <w:rPr>
          <w:rFonts w:ascii="IRNazanin" w:hAnsi="IRNazanin" w:eastAsia="IRNazanin" w:cs="IRNazanin"/>
          <w:lang w:bidi="fa-IR"/>
          <w:color w:val="111111"/>
          <w:sz w:val="28"/>
          <w:szCs w:val="28"/>
          <w:rtl/>
        </w:rPr>
        <w:t xml:space="preserve">رساله ای است در تفسیر و تأويل تعدادی از احادیث مشكله و برخی مباحث اعتقادی، فلسفی، فقهی و تفسیری که غالبا به صورت سؤال و جواب برگزار شده از پاسخ های مؤلف بر می آید که وی اخباری بوده و با فلسفه میانه خوبی نداشته است. برخی از مباحث کتاب چنین است: شرح حديث من عرف الحق لم يعبد الحق، حكم تسمية المهدی (عجل الله نعالی فرجه)، معنی حدیث من عرف نفسه فقد عرف ربه، في الترتيل بالصوت الحسن (بحثی است پیرامون غنا)، في أن الأرض لا يخلو من حجة، في التناقض بين الآيات في سورة البقرة و السجدة و النازعات، في حدوث العالم که این بخش را در ذی حجه ۱۲۲۱نوشته است)، في حال تفسير العسكري(عليه السلام). در اول و آخر نسخه کسی احتمال داده این کتاب از رسائل شیخ احمد احسایی باشد ولی بعید به نظر می رسد. احتمال می رود «تسلية القلوب» محمدبن عبدالنبي اخباری باشد.</w:t>
      </w:r>
    </w:p>
    <w:p>
      <w:pPr>
        <w:pStyle w:val="BookText"/>
      </w:pPr>
      <w:r>
        <w:rPr>
          <w:rFonts w:ascii="IRNazanin" w:hAnsi="IRNazanin" w:eastAsia="IRNazanin" w:cs="IRNazanin"/>
          <w:lang w:bidi="fa-IR"/>
          <w:color w:val="111111"/>
          <w:sz w:val="28"/>
          <w:szCs w:val="28"/>
          <w:rtl/>
        </w:rPr>
        <w:t xml:space="preserve">قم، گلپایگانی؛ شماره نسخه: ۱۸۴۱- ۱۰/۱۵۱</w:t>
      </w:r>
    </w:p>
    <w:p>
      <w:pPr>
        <w:pStyle w:val="BookText"/>
      </w:pPr>
      <w:r>
        <w:rPr>
          <w:rFonts w:ascii="Amiri" w:hAnsi="Amiri" w:eastAsia="Amiri" w:cs="Amiri"/>
          <w:lang w:bidi="ar-SA"/>
          <w:color w:val="111111"/>
          <w:sz w:val="28"/>
          <w:szCs w:val="28"/>
          <w:rtl/>
        </w:rPr>
        <w:t xml:space="preserve">آغاز: المتوجهة الى غيره و الثواب العقاب الذين يستحقهما غيره و ان كان قصرة اضافية بالنسبة الى ما اضيف اليه؛ انجام: لذلك التفسير على الاقرب و احتمال كونهما سند الوضع اعني انهما نق؟</w:t>
      </w:r>
    </w:p>
    <w:p>
      <w:pPr>
        <w:pStyle w:val="BookText"/>
      </w:pPr>
      <w:r>
        <w:rPr>
          <w:rFonts w:ascii="IRNazanin" w:hAnsi="IRNazanin" w:eastAsia="IRNazanin" w:cs="IRNazanin"/>
          <w:lang w:bidi="fa-IR"/>
          <w:color w:val="111111"/>
          <w:sz w:val="28"/>
          <w:szCs w:val="28"/>
          <w:rtl/>
        </w:rPr>
        <w:t xml:space="preserve">كونه موضوع متجه ايضا على بعد فتدبر و الله اعلم بالصواب خط: نسخ، بی کا، تا: ۱۲۳۴ق؛ افتادگی: آغاز؛ تملك: محمد جعفر خراسانی؛ جلد: تیماج مشکی با ترنج با سر، ۷۹گ، ۲۰-۲۱ سطر، اندازه: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۲۰/۵سم [ف: ۲-۶۷۲]</w:t>
      </w:r>
    </w:p>
    <w:p>
      <w:pPr>
        <w:pStyle w:val="Heading3"/>
      </w:pPr>
      <w:bookmarkStart w:id="2833" w:name="_Toc2093"/>
      <w:r>
        <w:t>•تأویل اعمال وضو (بندی در) / فلسفه احکام / عربی</w:t>
      </w:r>
      <w:bookmarkEnd w:id="2833"/>
    </w:p>
    <w:p>
      <w:pPr>
        <w:pStyle w:val="BookText"/>
      </w:pPr>
      <w:r>
        <w:rPr>
          <w:rFonts w:ascii="Times New Roman" w:hAnsi="Times New Roman" w:eastAsia="Times New Roman" w:cs="Times New Roman"/>
          <w:lang w:val="en-US" w:bidi="en-US"/>
          <w:color w:val="111111"/>
          <w:sz w:val="28"/>
          <w:szCs w:val="28"/>
          <w:rtl/>
        </w:rPr>
        <w:t xml:space="preserve">ta’vīl-e a‘māl-e vozū (bandī dar)</w:t>
      </w:r>
    </w:p>
    <w:p>
      <w:pPr>
        <w:pStyle w:val="BookText"/>
      </w:pPr>
      <w:r>
        <w:rPr>
          <w:rFonts w:ascii="IRNazanin" w:hAnsi="IRNazanin" w:eastAsia="IRNazanin" w:cs="IRNazanin"/>
          <w:lang w:bidi="fa-IR"/>
          <w:color w:val="111111"/>
          <w:sz w:val="28"/>
          <w:szCs w:val="28"/>
          <w:rtl/>
        </w:rPr>
        <w:t xml:space="preserve">روزبهان بقلی، روزبهان بن ابی نصر، ۵۲۲؟ -۶۰۶؟ قمری</w:t>
      </w:r>
    </w:p>
    <w:p>
      <w:pPr>
        <w:pStyle w:val="BookText"/>
      </w:pPr>
      <w:r>
        <w:rPr>
          <w:rFonts w:ascii="Times New Roman" w:hAnsi="Times New Roman" w:eastAsia="Times New Roman" w:cs="Times New Roman"/>
          <w:lang w:val="en-US" w:bidi="en-US"/>
          <w:color w:val="111111"/>
          <w:sz w:val="28"/>
          <w:szCs w:val="28"/>
          <w:rtl/>
        </w:rPr>
        <w:t xml:space="preserve">rūzbahān-e baqlī, rūzbahān ebn-e abī-nasr (1129-1210)</w:t>
      </w:r>
    </w:p>
    <w:p>
      <w:pPr>
        <w:pStyle w:val="BookText"/>
      </w:pPr>
      <w:r>
        <w:rPr>
          <w:rFonts w:ascii="IRNazanin" w:hAnsi="IRNazanin" w:eastAsia="IRNazanin" w:cs="IRNazanin"/>
          <w:lang w:bidi="fa-IR"/>
          <w:color w:val="111111"/>
          <w:sz w:val="28"/>
          <w:szCs w:val="28"/>
          <w:rtl/>
        </w:rPr>
        <w:t xml:space="preserve">بندی از ابومحمدبن روزبهان در تأویل اعمال وضوء.</w:t>
      </w:r>
    </w:p>
    <w:p>
      <w:pPr>
        <w:pStyle w:val="BookText"/>
      </w:pPr>
      <w:r>
        <w:rPr>
          <w:rFonts w:ascii="IRNazanin" w:hAnsi="IRNazanin" w:eastAsia="IRNazanin" w:cs="IRNazanin"/>
          <w:lang w:bidi="fa-IR"/>
          <w:color w:val="111111"/>
          <w:sz w:val="28"/>
          <w:szCs w:val="28"/>
          <w:rtl/>
        </w:rPr>
        <w:t xml:space="preserve">تهران؛ مجلس؛ شماره نسخه:۵۰۴/۵</w:t>
      </w:r>
    </w:p>
    <w:p>
      <w:pPr>
        <w:pStyle w:val="BookText"/>
      </w:pPr>
      <w:r>
        <w:rPr>
          <w:rFonts w:ascii="IRNazanin" w:hAnsi="IRNazanin" w:eastAsia="IRNazanin" w:cs="IRNazanin"/>
          <w:lang w:bidi="fa-IR"/>
          <w:color w:val="111111"/>
          <w:sz w:val="28"/>
          <w:szCs w:val="28"/>
          <w:rtl/>
        </w:rPr>
        <w:t xml:space="preserve">خط: نسخ، بی کا، تا: قرن ۹، کاغذ: سفید، جلد: تیماج مشکی، ۱ ص (۳۴۶) ،۲۵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۲۶</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۱۷سم [سنا: في: 1 -۲۹۴ ]</w:t>
      </w:r>
    </w:p>
    <w:p>
      <w:pPr>
        <w:pStyle w:val="Heading3"/>
      </w:pPr>
      <w:bookmarkStart w:id="2834" w:name="_Toc2094"/>
      <w:r>
        <w:t>•تاویل «افواجا» در قرآن کریم / تفسير  عربی</w:t>
      </w:r>
      <w:bookmarkEnd w:id="2834"/>
    </w:p>
    <w:p>
      <w:pPr>
        <w:pStyle w:val="BookText"/>
      </w:pPr>
      <w:r>
        <w:rPr>
          <w:rFonts w:ascii="Times New Roman" w:hAnsi="Times New Roman" w:eastAsia="Times New Roman" w:cs="Times New Roman"/>
          <w:lang w:val="en-US" w:bidi="en-US"/>
          <w:color w:val="111111"/>
          <w:sz w:val="28"/>
          <w:szCs w:val="28"/>
          <w:rtl/>
        </w:rPr>
        <w:t xml:space="preserve">ta’vīl-e «afwājā» dar qor'ān-e karīm</w:t>
      </w:r>
    </w:p>
    <w:p>
      <w:pPr>
        <w:pStyle w:val="BookText"/>
      </w:pPr>
      <w:r>
        <w:rPr>
          <w:rFonts w:ascii="IRNazanin" w:hAnsi="IRNazanin" w:eastAsia="IRNazanin" w:cs="IRNazanin"/>
          <w:lang w:bidi="fa-IR"/>
          <w:color w:val="111111"/>
          <w:sz w:val="28"/>
          <w:szCs w:val="28"/>
          <w:rtl/>
        </w:rPr>
        <w:t xml:space="preserve">تأویل و تفسیر کلمه «افواجا» در آیه شریفه «يوم ينفخ في الصور فتاتون افواجا».</w:t>
      </w:r>
    </w:p>
    <w:p>
      <w:pPr>
        <w:pStyle w:val="BookText"/>
      </w:pPr>
      <w:r>
        <w:rPr>
          <w:rFonts w:ascii="IRNazanin" w:hAnsi="IRNazanin" w:eastAsia="IRNazanin" w:cs="IRNazanin"/>
          <w:lang w:bidi="fa-IR"/>
          <w:color w:val="111111"/>
          <w:sz w:val="28"/>
          <w:szCs w:val="28"/>
          <w:rtl/>
        </w:rPr>
        <w:t xml:space="preserve">تهران؛ مجلس؛ شماره نسخه: ۱۲۰۲/۵۵ -طباطبائی</w:t>
      </w:r>
    </w:p>
    <w:p>
      <w:pPr>
        <w:pStyle w:val="BookText"/>
      </w:pPr>
      <w:r>
        <w:rPr>
          <w:rFonts w:ascii="IRNazanin" w:hAnsi="IRNazanin" w:eastAsia="IRNazanin" w:cs="IRNazanin"/>
          <w:lang w:bidi="fa-IR"/>
          <w:color w:val="111111"/>
          <w:sz w:val="28"/>
          <w:szCs w:val="28"/>
          <w:rtl/>
        </w:rPr>
        <w:t xml:space="preserve">آغاز: قال معذبين جبل قلت یا رسول الله أخبرني عن قوله تعالی يوم ينفخ في الصور ... فقال ... يا معاذ يحشرون لعشرة اصناف الغوج الاول فيحشرون ... و بطونهم من الحيات و العقارب؛ انجام الامن تاب و عمل عملا صالحا فاولئك يبدل الله سیاتهم حسنات خط: نستعلیق، بی کا، تا: قرن ۱۳، ۵۵گ [ف: ۲۳ - ۷۳۱]</w:t>
      </w:r>
    </w:p>
    <w:p>
      <w:pPr>
        <w:pStyle w:val="Heading3"/>
      </w:pPr>
      <w:bookmarkStart w:id="2835" w:name="_Toc2095"/>
      <w:r>
        <w:t>•تأویل اکثر اهل الجنة البله / شرح حدیث -فارسی</w:t>
      </w:r>
      <w:bookmarkEnd w:id="2835"/>
    </w:p>
    <w:p>
      <w:pPr>
        <w:pStyle w:val="BookText"/>
      </w:pPr>
      <w:r>
        <w:rPr>
          <w:rFonts w:ascii="Times New Roman" w:hAnsi="Times New Roman" w:eastAsia="Times New Roman" w:cs="Times New Roman"/>
          <w:lang w:val="en-US" w:bidi="en-US"/>
          <w:color w:val="111111"/>
          <w:sz w:val="28"/>
          <w:szCs w:val="28"/>
          <w:rtl/>
        </w:rPr>
        <w:t xml:space="preserve">ta’vīl-e aksar-o ahl-el janna al-bolah</w:t>
      </w:r>
    </w:p>
    <w:p>
      <w:pPr>
        <w:pStyle w:val="BookText"/>
      </w:pPr>
      <w:r>
        <w:rPr>
          <w:rFonts w:ascii="IRNazanin" w:hAnsi="IRNazanin" w:eastAsia="IRNazanin" w:cs="IRNazanin"/>
          <w:lang w:bidi="fa-IR"/>
          <w:color w:val="111111"/>
          <w:sz w:val="28"/>
          <w:szCs w:val="28"/>
          <w:rtl/>
        </w:rPr>
        <w:t xml:space="preserve">جمالی اردستانی، جمال الدین محمد، ۸۱۴-۸۸۳؟ قمری</w:t>
      </w:r>
    </w:p>
    <w:p>
      <w:pPr>
        <w:pStyle w:val="BookText"/>
      </w:pPr>
      <w:r>
        <w:rPr>
          <w:rFonts w:ascii="Times New Roman" w:hAnsi="Times New Roman" w:eastAsia="Times New Roman" w:cs="Times New Roman"/>
          <w:lang w:val="en-US" w:bidi="en-US"/>
          <w:color w:val="111111"/>
          <w:sz w:val="28"/>
          <w:szCs w:val="28"/>
          <w:rtl/>
        </w:rPr>
        <w:t xml:space="preserve">jamālī ardestānī, jamāl-od-dīn mohammad (1412-1479)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۹۳۲۶/۳۵</w:t>
      </w:r>
    </w:p>
    <w:p>
      <w:pPr>
        <w:pStyle w:val="BookText"/>
      </w:pPr>
      <w:r>
        <w:rPr>
          <w:rFonts w:ascii="IRNazanin" w:hAnsi="IRNazanin" w:eastAsia="IRNazanin" w:cs="IRNazanin"/>
          <w:lang w:bidi="fa-IR"/>
          <w:color w:val="111111"/>
          <w:sz w:val="28"/>
          <w:szCs w:val="28"/>
          <w:rtl/>
        </w:rPr>
        <w:t xml:space="preserve">خط: نستعلیق، كان محمد کریم بن میرزا زمان، تا: قرن ۱۳، ۳ص ( ۶۵۲-۶۵۰ ) [مختصر ف: ۱۳۰]</w:t>
      </w:r>
    </w:p>
    <w:p>
      <w:pPr>
        <w:pStyle w:val="BookText"/>
      </w:pPr>
      <w:r>
        <w:rPr>
          <w:rFonts w:ascii="IRNazanin" w:hAnsi="IRNazanin" w:eastAsia="IRNazanin" w:cs="IRNazanin"/>
          <w:lang w:bidi="fa-IR"/>
          <w:color w:val="111111"/>
          <w:sz w:val="28"/>
          <w:szCs w:val="28"/>
          <w:rtl/>
        </w:rPr>
        <w:t xml:space="preserve">۲. تهران: دانشگاه؛ شماره نسخه:۸۶۳۱</w:t>
      </w:r>
    </w:p>
    <w:p>
      <w:pPr>
        <w:pStyle w:val="BookText"/>
      </w:pPr>
      <w:r>
        <w:rPr>
          <w:rFonts w:ascii="IRNazanin" w:hAnsi="IRNazanin" w:eastAsia="IRNazanin" w:cs="IRNazanin"/>
          <w:lang w:bidi="fa-IR"/>
          <w:color w:val="111111"/>
          <w:sz w:val="28"/>
          <w:szCs w:val="28"/>
          <w:rtl/>
        </w:rPr>
        <w:t xml:space="preserve">آغاز: بسمله. من كلمات قدوة العشاق سید اهل الاشتياق الشيخ الموحد الشيخ مولانا احمد الملقب بجمالی قدس الله سره در بیان تاویل اکثر اهل الجنة البله ای عزیز اهل عافیت بلهند که در عافیت دوست دیدار نمی نما به این آیت بسیار خوانده باشی؛ انجام: و من اوفي بما عاعد عليه الله فسيو تيه اجرا عظيما توقع که یاران را بجميع سلام رساند امکان دارد که اگر حیات باقی باشد باری دیگر صحبت اتفاق افتد. خط: نستعلیق، بی کا، تا: ذیحجه ۱۲۴۲ق؛ در «ذح ۱۲۴۵ ضبط کتابخانه اشرف ارفع شد»؛ کاغذ: فرنگی، جلد: تیماج حنایی، ۳گ، ۱۵ سطر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سم [ف: ۱۷-۱۸۲]</w:t>
      </w:r>
    </w:p>
    <w:p>
      <w:pPr>
        <w:pStyle w:val="Heading3"/>
      </w:pPr>
      <w:bookmarkStart w:id="2836" w:name="_Toc2096"/>
      <w:r>
        <w:t>•تأویل بسم الله الرحمن الرحيم = حاشية تأویلات القرآن / فلسفه / عربی</w:t>
      </w:r>
      <w:bookmarkEnd w:id="2836"/>
    </w:p>
    <w:p>
      <w:pPr>
        <w:pStyle w:val="BookText"/>
      </w:pPr>
      <w:r>
        <w:rPr>
          <w:rFonts w:ascii="Times New Roman" w:hAnsi="Times New Roman" w:eastAsia="Times New Roman" w:cs="Times New Roman"/>
          <w:lang w:val="en-US" w:bidi="en-US"/>
          <w:color w:val="111111"/>
          <w:sz w:val="28"/>
          <w:szCs w:val="28"/>
          <w:rtl/>
        </w:rPr>
        <w:t xml:space="preserve">= hāšīyat-u</w:t>
      </w:r>
    </w:p>
    <w:p>
      <w:pPr>
        <w:pStyle w:val="BookText"/>
      </w:pPr>
      <w:r>
        <w:rPr>
          <w:rFonts w:ascii="Times New Roman" w:hAnsi="Times New Roman" w:eastAsia="Times New Roman" w:cs="Times New Roman"/>
          <w:lang w:val="en-US" w:bidi="en-US"/>
          <w:color w:val="111111"/>
          <w:sz w:val="28"/>
          <w:szCs w:val="28"/>
          <w:rtl/>
        </w:rPr>
        <w:t xml:space="preserve">ta'wīl-u bism-il-lāh-ir rahmān-ir raḥīm ta'wīlāt-il qur'an</w:t>
      </w:r>
    </w:p>
    <w:p>
      <w:pPr>
        <w:pStyle w:val="BookText"/>
      </w:pPr>
      <w:r>
        <w:rPr>
          <w:rFonts w:ascii="IRNazanin" w:hAnsi="IRNazanin" w:eastAsia="IRNazanin" w:cs="IRNazanin"/>
          <w:lang w:bidi="fa-IR"/>
          <w:color w:val="111111"/>
          <w:sz w:val="28"/>
          <w:szCs w:val="28"/>
          <w:rtl/>
        </w:rPr>
        <w:t xml:space="preserve">قیصری، داود بن محمود، -۷۵۱ قمری</w:t>
      </w:r>
    </w:p>
    <w:p>
      <w:pPr>
        <w:pStyle w:val="BookText"/>
      </w:pPr>
      <w:r>
        <w:rPr>
          <w:rFonts w:ascii="Times New Roman" w:hAnsi="Times New Roman" w:eastAsia="Times New Roman" w:cs="Times New Roman"/>
          <w:lang w:val="en-US" w:bidi="en-US"/>
          <w:color w:val="111111"/>
          <w:sz w:val="28"/>
          <w:szCs w:val="28"/>
          <w:rtl/>
        </w:rPr>
        <w:t xml:space="preserve">qeysarī, dāvūd ebn-e mahmūd (-1351)</w:t>
      </w:r>
    </w:p>
    <w:p>
      <w:pPr>
        <w:pStyle w:val="BookText"/>
      </w:pPr>
      <w:r>
        <w:rPr>
          <w:rFonts w:ascii="IRNazanin" w:hAnsi="IRNazanin" w:eastAsia="IRNazanin" w:cs="IRNazanin"/>
          <w:lang w:bidi="fa-IR"/>
          <w:color w:val="111111"/>
          <w:sz w:val="28"/>
          <w:szCs w:val="28"/>
          <w:rtl/>
        </w:rPr>
        <w:t xml:space="preserve">وابسته به: التأويلات = تأويل القرآن؛ عبدالرزاق کاشی، عبدالرزاق بن احمد (۷۳۶ق) تعليقاتی عرفانی و حکمی بر «تأويلات» استادش ملا عبدالرزاق کاشی است. دارای دیباچه مبسوط و پنج «مقدمه) و موضوع آن بحث در حقیقت صورت نوعیه ای که فلاسفه و عرفا برای انسان و هر یک از انواع موجودات قائل اند و تأویل آیه «بسم الله الرحمن الرحیم» است به صورت نوعیه انسان. به طوری که خود در دیباچه این رساله تصریح کرده استاد وی، رساله ای در تأویل بسم الله به صورت کامله انسانیت نوشته بوده و چون مورد طعن بی بصران واقع گردید داود را مأمور توضیح و بسط آن رساله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bookmarkStart w:id="632" w:name="pg20363_209968"/>
    <w:bookmarkEnd w:id="632"/>
    <w:p>
      <w:pPr>
        <w:pStyle w:val="BookText"/>
      </w:pPr>
      <w:r>
        <w:rPr>
          <w:rFonts w:ascii="IRNazanin" w:hAnsi="IRNazanin" w:eastAsia="IRNazanin" w:cs="IRNazanin"/>
          <w:lang w:bidi="fa-IR"/>
          <w:color w:val="111111"/>
          <w:sz w:val="28"/>
          <w:szCs w:val="28"/>
          <w:rtl/>
        </w:rPr>
        <w:t xml:space="preserve">کرده، وی به منظور امتثال امر استاد این تأليف را انجام داده است. وی در آن برخی از وجوه عرفانی را در مسئله علم الهی به اشیاء، وجودات خاصه، تعریف وجود من حيث هو هو، اسماء الحسنی آورده است.</w:t>
      </w:r>
    </w:p>
    <w:p>
      <w:pPr>
        <w:pStyle w:val="BookText"/>
      </w:pPr>
      <w:r>
        <w:rPr>
          <w:rFonts w:ascii="IRNazanin" w:hAnsi="IRNazanin" w:eastAsia="IRNazanin" w:cs="IRNazanin"/>
          <w:lang w:bidi="fa-IR"/>
          <w:color w:val="111111"/>
          <w:sz w:val="28"/>
          <w:szCs w:val="28"/>
          <w:rtl/>
        </w:rPr>
        <w:t xml:space="preserve">آغاز: الحمدلله الذي خلق الانسان على صورته و کرمه تکریم و اسجد له الملئكة كلهم و عظمه تعظيما انجام: من الآيات المبينة للتوحيد الذاتي و الله يقول الحق وهو يهدي السبيل هذا آخر ما اردنا بیانه و الحمدلله اولا و آخرا و الصلوة على رسوله باطنا و ظاهرا.</w:t>
      </w:r>
    </w:p>
    <w:p>
      <w:pPr>
        <w:pStyle w:val="BookText"/>
      </w:pPr>
      <w:r>
        <w:rPr>
          <w:rFonts w:ascii="IRNazanin" w:hAnsi="IRNazanin" w:eastAsia="IRNazanin" w:cs="IRNazanin"/>
          <w:lang w:bidi="fa-IR"/>
          <w:color w:val="111111"/>
          <w:sz w:val="28"/>
          <w:szCs w:val="28"/>
          <w:rtl/>
        </w:rPr>
        <w:t xml:space="preserve">[دنا ۷۶۰/۲ ]</w:t>
      </w:r>
    </w:p>
    <w:p>
      <w:pPr>
        <w:pStyle w:val="BookText"/>
      </w:pPr>
      <w:r>
        <w:rPr>
          <w:rFonts w:ascii="IRNazanin" w:hAnsi="IRNazanin" w:eastAsia="IRNazanin" w:cs="IRNazanin"/>
          <w:lang w:bidi="fa-IR"/>
          <w:color w:val="111111"/>
          <w:sz w:val="28"/>
          <w:szCs w:val="28"/>
          <w:rtl/>
        </w:rPr>
        <w:t xml:space="preserve">١. مشهد؛ رضوی؛ شماره نسخه:۳۸۸۸۹</w:t>
      </w:r>
    </w:p>
    <w:p>
      <w:pPr>
        <w:pStyle w:val="BookText"/>
      </w:pPr>
      <w:r>
        <w:rPr>
          <w:rFonts w:ascii="IRNazanin" w:hAnsi="IRNazanin" w:eastAsia="IRNazanin" w:cs="IRNazanin"/>
          <w:lang w:bidi="fa-IR"/>
          <w:color w:val="111111"/>
          <w:sz w:val="28"/>
          <w:szCs w:val="28"/>
          <w:rtl/>
        </w:rPr>
        <w:t xml:space="preserve">آغاز: بسمله. قال الامام المرحوم المشار اليه في اول كتابه الموسوم بالتأويلات؛ انجام: برابر خط: نستعلیق، کا: محمد شفیع فیروز آبادی، تا: ۱۰۸۳ق، جان حیدر آباد؛ اهدایی: رهبری، مهر ۱۳۸۶؛ کاغذ: نخودی آهار مهره، جلد: میشن قهوه ای، ۳، ۲۵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سم [ اهدائی رهبر: ۱ علوم قرآن-۹۷]</w:t>
      </w:r>
    </w:p>
    <w:p>
      <w:pPr>
        <w:pStyle w:val="BookText"/>
      </w:pPr>
      <w:r>
        <w:rPr>
          <w:rFonts w:ascii="IRNazanin" w:hAnsi="IRNazanin" w:eastAsia="IRNazanin" w:cs="IRNazanin"/>
          <w:lang w:bidi="fa-IR"/>
          <w:color w:val="111111"/>
          <w:sz w:val="28"/>
          <w:szCs w:val="28"/>
          <w:rtl/>
        </w:rPr>
        <w:t xml:space="preserve">۲. تهران؛ مجلس؛ شماره نسخه:۱۸۸۲۶ ض</w:t>
      </w:r>
    </w:p>
    <w:p>
      <w:pPr>
        <w:pStyle w:val="BookText"/>
      </w:pPr>
      <w:r>
        <w:rPr>
          <w:rFonts w:ascii="IRNazanin" w:hAnsi="IRNazanin" w:eastAsia="IRNazanin" w:cs="IRNazanin"/>
          <w:lang w:bidi="fa-IR"/>
          <w:color w:val="111111"/>
          <w:sz w:val="28"/>
          <w:szCs w:val="28"/>
          <w:rtl/>
        </w:rPr>
        <w:t xml:space="preserve">بی کا، تا: با تاریخ ۱۲۸۴ق [د.ث. مجلس]</w:t>
      </w:r>
    </w:p>
    <w:p>
      <w:pPr>
        <w:pStyle w:val="BookText"/>
      </w:pPr>
      <w:r>
        <w:rPr>
          <w:rFonts w:ascii="IRNazanin" w:hAnsi="IRNazanin" w:eastAsia="IRNazanin" w:cs="IRNazanin"/>
          <w:lang w:bidi="fa-IR"/>
          <w:color w:val="111111"/>
          <w:sz w:val="28"/>
          <w:szCs w:val="28"/>
          <w:rtl/>
        </w:rPr>
        <w:t xml:space="preserve">٣. تهران؛ دانشگاه؛ شماره نسخه: ۹۴۷۲/۲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کاغذ: استانبولی، جلد: مقوا عطف تیماج تریاکی، ۷گ (۴۸پ -۵۴پ)، ۱۵ سطر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۱۷-۳۷۸]</w:t>
      </w:r>
    </w:p>
    <w:p>
      <w:pPr>
        <w:pStyle w:val="BookText"/>
      </w:pPr>
      <w:r>
        <w:rPr>
          <w:rFonts w:ascii="IRNazanin" w:hAnsi="IRNazanin" w:eastAsia="IRNazanin" w:cs="IRNazanin"/>
          <w:lang w:bidi="fa-IR"/>
          <w:color w:val="111111"/>
          <w:sz w:val="28"/>
          <w:szCs w:val="28"/>
          <w:rtl/>
        </w:rPr>
        <w:t xml:space="preserve">۴. تهران؛ مجلس؛ شماره نسخه:۱۴۰۵</w:t>
      </w:r>
    </w:p>
    <w:p>
      <w:pPr>
        <w:pStyle w:val="BookText"/>
      </w:pPr>
      <w:r>
        <w:rPr>
          <w:rFonts w:ascii="IRNazanin" w:hAnsi="IRNazanin" w:eastAsia="IRNazanin" w:cs="IRNazanin"/>
          <w:lang w:bidi="fa-IR"/>
          <w:color w:val="111111"/>
          <w:sz w:val="28"/>
          <w:szCs w:val="28"/>
          <w:rtl/>
        </w:rPr>
        <w:t xml:space="preserve">آغاز و انجام: برابر بی کا، بی تا، به شکل بیاض دعا کتابت آن مشجر است؛ جلد: تیماج برنگ قرمز بدون مقوا، مختلف السطر،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۶سم [ف: ۴-۱۸۳]</w:t>
      </w:r>
    </w:p>
    <w:p>
      <w:pPr>
        <w:pStyle w:val="Heading3"/>
      </w:pPr>
      <w:bookmarkStart w:id="2837" w:name="_Toc2097"/>
      <w:r>
        <w:t>•تأويل «جبل» در قرآن / تفسير / عربی</w:t>
      </w:r>
      <w:bookmarkEnd w:id="2837"/>
    </w:p>
    <w:p>
      <w:pPr>
        <w:pStyle w:val="BookText"/>
      </w:pPr>
      <w:r>
        <w:rPr>
          <w:rFonts w:ascii="Times New Roman" w:hAnsi="Times New Roman" w:eastAsia="Times New Roman" w:cs="Times New Roman"/>
          <w:lang w:val="en-US" w:bidi="en-US"/>
          <w:color w:val="111111"/>
          <w:sz w:val="28"/>
          <w:szCs w:val="28"/>
          <w:rtl/>
        </w:rPr>
        <w:t xml:space="preserve">ta’vīl-e «jabal» dar qor’ān</w:t>
      </w:r>
    </w:p>
    <w:p>
      <w:pPr>
        <w:pStyle w:val="BookText"/>
      </w:pPr>
      <w:r>
        <w:rPr>
          <w:rFonts w:ascii="IRNazanin" w:hAnsi="IRNazanin" w:eastAsia="IRNazanin" w:cs="IRNazanin"/>
          <w:lang w:bidi="fa-IR"/>
          <w:color w:val="111111"/>
          <w:sz w:val="28"/>
          <w:szCs w:val="28"/>
          <w:rtl/>
        </w:rPr>
        <w:t xml:space="preserve">کوثر همدانی، علی نقی بن محمد رضا، -۱۲۹۶ ؟ قمری</w:t>
      </w:r>
    </w:p>
    <w:p>
      <w:pPr>
        <w:pStyle w:val="BookText"/>
      </w:pPr>
      <w:r>
        <w:rPr>
          <w:rFonts w:ascii="Times New Roman" w:hAnsi="Times New Roman" w:eastAsia="Times New Roman" w:cs="Times New Roman"/>
          <w:lang w:val="en-US" w:bidi="en-US"/>
          <w:color w:val="111111"/>
          <w:sz w:val="28"/>
          <w:szCs w:val="28"/>
          <w:rtl/>
        </w:rPr>
        <w:t xml:space="preserve">kowsar-e hamedānī, ‘alī naqī ebn-e mohammad rezā ( 1879)</w:t>
      </w:r>
    </w:p>
    <w:p>
      <w:pPr>
        <w:pStyle w:val="BookText"/>
      </w:pPr>
      <w:r>
        <w:rPr>
          <w:rFonts w:ascii="IRNazanin" w:hAnsi="IRNazanin" w:eastAsia="IRNazanin" w:cs="IRNazanin"/>
          <w:lang w:bidi="fa-IR"/>
          <w:color w:val="111111"/>
          <w:sz w:val="28"/>
          <w:szCs w:val="28"/>
          <w:rtl/>
        </w:rPr>
        <w:t xml:space="preserve">تاریخ تأليف: ۱۲۴۸ق گفتار کوتاهی است درباره تفسیر و تأويل كلمه «جبل» که در آیه های «فلما تجلى للجبل» و «ان استقر الجبل» و جز آنها آمده است. این بیان را على نقی بن الشيخ از پدر خود به طور شفاهی شنیده و در ۱۲۴۸ آن را یادداشت کرده است. در آغاز و انجام این گفتار، پدر را دعا کرده و در پایان رقم خود را آورده است. این علی نقی، گویا همان میرزا علی نقی همدانی پسر ملارضا همدانی است که از عارفان معروف زمان ناصرالدین شاه هستند و ترجمه آن در ریحانة الادب و لغت نامه دهخدا (زیبده) و خیرات حسان آمده است.</w:t>
      </w:r>
    </w:p>
    <w:p>
      <w:pPr>
        <w:pStyle w:val="BookText"/>
      </w:pPr>
      <w:r>
        <w:rPr>
          <w:rFonts w:ascii="IRNazanin" w:hAnsi="IRNazanin" w:eastAsia="IRNazanin" w:cs="IRNazanin"/>
          <w:lang w:bidi="fa-IR"/>
          <w:color w:val="111111"/>
          <w:sz w:val="28"/>
          <w:szCs w:val="28"/>
          <w:rtl/>
        </w:rPr>
        <w:t xml:space="preserve">تهران؛ مجلس؛ شماره نسخه:۲۹۱۳/۳</w:t>
      </w:r>
    </w:p>
    <w:p>
      <w:pPr>
        <w:pStyle w:val="BookText"/>
      </w:pPr>
      <w:r>
        <w:rPr>
          <w:rFonts w:ascii="IRNazanin" w:hAnsi="IRNazanin" w:eastAsia="IRNazanin" w:cs="IRNazanin"/>
          <w:lang w:bidi="fa-IR"/>
          <w:color w:val="111111"/>
          <w:sz w:val="28"/>
          <w:szCs w:val="28"/>
          <w:rtl/>
        </w:rPr>
        <w:t xml:space="preserve">آغاز: بیان بعض ما تضمنه من الاشارة و التأويل على سبيل التلويح و التمثيل و كان ایده الله قد ذکرلی مشافهة أن ثلث الجبل وقع في البحر فكان طعام الحوت ولكن كلامك هذا حق و انا اشير اليه و مراد سیدنا بیان تأويله لاتفسير ظاهره؛ انجام: و اعذر یا سیدی في الخطأ في بسط الكلام و تسهيل العبارة فانی کتبتها ليلة أتانی امر کم بعد ما مضى و کر من الليل على غير صحة و فراغ مع نعاس و دواع تمت الرسالة ۱۲۴۸. خط: نستعلیق، كا: على نقی بن شیخ، تا: ۱۲۴۸ق؛ کاغذ: فرنگی، جلد: تیماج مشکی، کص (۲۴۱-۲۴۲)، ۱۹سطر، اندازه:</w:t>
      </w:r>
    </w:p>
    <w:p>
      <w:pPr>
        <w:pStyle w:val="BookText"/>
      </w:pPr>
      <w:r>
        <w:rPr>
          <w:rFonts w:ascii="IRNazanin" w:hAnsi="IRNazanin" w:eastAsia="IRNazanin" w:cs="IRNazanin"/>
          <w:lang w:bidi="fa-IR"/>
          <w:color w:val="111111"/>
          <w:sz w:val="28"/>
          <w:szCs w:val="28"/>
          <w:rtl/>
        </w:rPr>
        <w:t xml:space="preserve">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۱۰-۳۱۱)</w:t>
      </w:r>
    </w:p>
    <w:p>
      <w:pPr>
        <w:pStyle w:val="BookText"/>
      </w:pPr>
      <w:r>
        <w:rPr>
          <w:rFonts w:ascii="Amiri" w:hAnsi="Amiri" w:eastAsia="Amiri" w:cs="Amiri"/>
          <w:lang w:bidi="ar-SA"/>
          <w:color w:val="111111"/>
          <w:sz w:val="28"/>
          <w:szCs w:val="28"/>
          <w:rtl/>
        </w:rPr>
        <w:t xml:space="preserve">← تأويل الرؤيا ← تعبير الرؤيا</w:t>
      </w:r>
    </w:p>
    <w:p>
      <w:pPr>
        <w:pStyle w:val="Heading3"/>
      </w:pPr>
      <w:bookmarkStart w:id="2838" w:name="_Toc2098"/>
      <w:r>
        <w:t>•تاویل العرش و الكرسي / تفسير ا عربی</w:t>
      </w:r>
      <w:bookmarkEnd w:id="2838"/>
    </w:p>
    <w:p>
      <w:pPr>
        <w:pStyle w:val="BookText"/>
      </w:pPr>
      <w:r>
        <w:rPr>
          <w:rFonts w:ascii="Times New Roman" w:hAnsi="Times New Roman" w:eastAsia="Times New Roman" w:cs="Times New Roman"/>
          <w:lang w:val="en-US" w:bidi="en-US"/>
          <w:color w:val="111111"/>
          <w:sz w:val="28"/>
          <w:szCs w:val="28"/>
          <w:rtl/>
        </w:rPr>
        <w:t xml:space="preserve">ta’wīl-ul ‘arš wa-l kursī</w:t>
      </w:r>
    </w:p>
    <w:p>
      <w:pPr>
        <w:pStyle w:val="BookText"/>
      </w:pPr>
      <w:r>
        <w:rPr>
          <w:rFonts w:ascii="IRNazanin" w:hAnsi="IRNazanin" w:eastAsia="IRNazanin" w:cs="IRNazanin"/>
          <w:lang w:bidi="fa-IR"/>
          <w:color w:val="111111"/>
          <w:sz w:val="28"/>
          <w:szCs w:val="28"/>
          <w:rtl/>
        </w:rPr>
        <w:t xml:space="preserve">حسنی، قاسم بن ابراهیم، ۱۶۹-۲۴۶ قمری</w:t>
      </w:r>
    </w:p>
    <w:p>
      <w:pPr>
        <w:pStyle w:val="BookText"/>
      </w:pPr>
      <w:r>
        <w:rPr>
          <w:rFonts w:ascii="Times New Roman" w:hAnsi="Times New Roman" w:eastAsia="Times New Roman" w:cs="Times New Roman"/>
          <w:lang w:val="en-US" w:bidi="en-US"/>
          <w:color w:val="111111"/>
          <w:sz w:val="28"/>
          <w:szCs w:val="28"/>
          <w:rtl/>
        </w:rPr>
        <w:t xml:space="preserve">hasanī, qāsem ebn-e ebrāhīm (786-861)</w:t>
      </w:r>
    </w:p>
    <w:p>
      <w:pPr>
        <w:pStyle w:val="BookText"/>
      </w:pPr>
      <w:r>
        <w:rPr>
          <w:rFonts w:ascii="IRNazanin" w:hAnsi="IRNazanin" w:eastAsia="IRNazanin" w:cs="IRNazanin"/>
          <w:lang w:bidi="fa-IR"/>
          <w:color w:val="111111"/>
          <w:sz w:val="28"/>
          <w:szCs w:val="28"/>
          <w:rtl/>
        </w:rPr>
        <w:t xml:space="preserve">رساله ای است در تاویل و تفسیر آیات مربوط به عرش و کرسی و پاسخ بر گفته های مشبهه که خدای تعالی را مانند سایر اجسام دانسته اند، به روایت علی بن محمد بن عبدالله از حسن بن قاسم از حسین بن قاسم.</w:t>
      </w:r>
    </w:p>
    <w:p>
      <w:pPr>
        <w:pStyle w:val="BookText"/>
      </w:pPr>
      <w:r>
        <w:rPr>
          <w:rFonts w:ascii="Amiri" w:hAnsi="Amiri" w:eastAsia="Amiri" w:cs="Amiri"/>
          <w:lang w:bidi="ar-SA"/>
          <w:color w:val="111111"/>
          <w:sz w:val="28"/>
          <w:szCs w:val="28"/>
          <w:rtl/>
        </w:rPr>
        <w:t xml:space="preserve">[مؤلفات الزيدية ۲۴۱/۲ ]</w:t>
      </w:r>
    </w:p>
    <w:p>
      <w:pPr>
        <w:pStyle w:val="BookText"/>
      </w:pPr>
      <w:r>
        <w:rPr>
          <w:rFonts w:ascii="IRNazanin" w:hAnsi="IRNazanin" w:eastAsia="IRNazanin" w:cs="IRNazanin"/>
          <w:lang w:bidi="fa-IR"/>
          <w:color w:val="111111"/>
          <w:sz w:val="28"/>
          <w:szCs w:val="28"/>
          <w:rtl/>
        </w:rPr>
        <w:t xml:space="preserve">قم، مرکز احیاء؛ شماره نسخه: ۷۱/۱۷</w:t>
      </w:r>
    </w:p>
    <w:p>
      <w:pPr>
        <w:pStyle w:val="BookText"/>
      </w:pPr>
      <w:r>
        <w:rPr>
          <w:rFonts w:ascii="IRNazanin" w:hAnsi="IRNazanin" w:eastAsia="IRNazanin" w:cs="IRNazanin"/>
          <w:lang w:bidi="fa-IR"/>
          <w:color w:val="111111"/>
          <w:sz w:val="28"/>
          <w:szCs w:val="28"/>
          <w:rtl/>
        </w:rPr>
        <w:t xml:space="preserve">آغاز: قال علي بن محمد حدثني الحسين بن القاسم، عن الحسين بن القاسم رضوان الله عليه قال سالت ابي رحمه الله و ارضاه عن تاویل نسخه اصل: کتابخانه ای در یمن؛ خط: نسخ، كاتب = مؤلف، تا: ۲ رجب ۱۰۶۴ق؛ ۲۵ص (۴۴۰-۴۶۴) [عکسی ف: ۱-۹۰]</w:t>
      </w:r>
    </w:p>
    <w:p>
      <w:pPr>
        <w:pStyle w:val="Heading3"/>
      </w:pPr>
      <w:bookmarkStart w:id="2839" w:name="_Toc2099"/>
      <w:r>
        <w:t>•تأويل القرآن / علوم قرآن / عربی</w:t>
      </w:r>
      <w:bookmarkEnd w:id="2839"/>
    </w:p>
    <w:p>
      <w:pPr>
        <w:pStyle w:val="BookText"/>
      </w:pPr>
      <w:r>
        <w:rPr>
          <w:rFonts w:ascii="Times New Roman" w:hAnsi="Times New Roman" w:eastAsia="Times New Roman" w:cs="Times New Roman"/>
          <w:lang w:val="en-US" w:bidi="en-US"/>
          <w:color w:val="111111"/>
          <w:sz w:val="28"/>
          <w:szCs w:val="28"/>
          <w:rtl/>
        </w:rPr>
        <w:t xml:space="preserve">ta'wīl-ul qur'ān</w:t>
      </w:r>
    </w:p>
    <w:p>
      <w:pPr>
        <w:pStyle w:val="BookText"/>
      </w:pPr>
      <w:r>
        <w:rPr>
          <w:rFonts w:ascii="IRNazanin" w:hAnsi="IRNazanin" w:eastAsia="IRNazanin" w:cs="IRNazanin"/>
          <w:lang w:bidi="fa-IR"/>
          <w:color w:val="111111"/>
          <w:sz w:val="28"/>
          <w:szCs w:val="28"/>
          <w:rtl/>
        </w:rPr>
        <w:t xml:space="preserve">تهران؛ مجلس؛ شماره نسخه: ۱۰۱۷۲/۱</w:t>
      </w:r>
    </w:p>
    <w:p>
      <w:pPr>
        <w:pStyle w:val="BookText"/>
      </w:pPr>
      <w:r>
        <w:rPr>
          <w:rFonts w:ascii="IRNazanin" w:hAnsi="IRNazanin" w:eastAsia="IRNazanin" w:cs="IRNazanin"/>
          <w:lang w:bidi="fa-IR"/>
          <w:color w:val="111111"/>
          <w:sz w:val="28"/>
          <w:szCs w:val="28"/>
          <w:rtl/>
        </w:rPr>
        <w:t xml:space="preserve">خط: نسخ، بی کا، تا: قرن ۱۰ [مختصر ف: ۴۰۸]</w:t>
      </w:r>
    </w:p>
    <w:p>
      <w:pPr>
        <w:pStyle w:val="Heading3"/>
      </w:pPr>
      <w:bookmarkStart w:id="2840" w:name="_Toc2100"/>
      <w:r>
        <w:t>•تأويل قراءات السبع / قرائت / عربی</w:t>
      </w:r>
      <w:bookmarkEnd w:id="2840"/>
    </w:p>
    <w:p>
      <w:pPr>
        <w:pStyle w:val="BookText"/>
      </w:pPr>
      <w:r>
        <w:rPr>
          <w:rFonts w:ascii="Times New Roman" w:hAnsi="Times New Roman" w:eastAsia="Times New Roman" w:cs="Times New Roman"/>
          <w:lang w:val="en-US" w:bidi="en-US"/>
          <w:color w:val="111111"/>
          <w:sz w:val="28"/>
          <w:szCs w:val="28"/>
          <w:rtl/>
        </w:rPr>
        <w:t xml:space="preserve">ta’wīl-u qirā’āt-is sabo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bookmarkStart w:id="633" w:name="pg20363_209969"/>
    <w:bookmarkEnd w:id="633"/>
    <w:p>
      <w:pPr>
        <w:pStyle w:val="BookText"/>
      </w:pPr>
      <w:r>
        <w:rPr>
          <w:rFonts w:ascii="IRNazanin" w:hAnsi="IRNazanin" w:eastAsia="IRNazanin" w:cs="IRNazanin"/>
          <w:lang w:bidi="fa-IR"/>
          <w:color w:val="111111"/>
          <w:sz w:val="28"/>
          <w:szCs w:val="28"/>
          <w:rtl/>
        </w:rPr>
        <w:t xml:space="preserve">بابا افضل کاشانی، محمد بن حسین، -۶۶۷ ؟ قمری</w:t>
      </w:r>
    </w:p>
    <w:p>
      <w:pPr>
        <w:pStyle w:val="BookText"/>
      </w:pPr>
      <w:r>
        <w:rPr>
          <w:rFonts w:ascii="Times New Roman" w:hAnsi="Times New Roman" w:eastAsia="Times New Roman" w:cs="Times New Roman"/>
          <w:lang w:val="en-US" w:bidi="en-US"/>
          <w:color w:val="111111"/>
          <w:sz w:val="28"/>
          <w:szCs w:val="28"/>
          <w:rtl/>
        </w:rPr>
        <w:t xml:space="preserve">bībā afzal-e kāšānī, mohammad ebn-e hoseyn (-1269)</w:t>
      </w:r>
    </w:p>
    <w:p>
      <w:pPr>
        <w:pStyle w:val="BookText"/>
      </w:pPr>
      <w:r>
        <w:rPr>
          <w:rFonts w:ascii="IRNazanin" w:hAnsi="IRNazanin" w:eastAsia="IRNazanin" w:cs="IRNazanin"/>
          <w:lang w:bidi="fa-IR"/>
          <w:color w:val="111111"/>
          <w:sz w:val="28"/>
          <w:szCs w:val="28"/>
          <w:rtl/>
        </w:rPr>
        <w:t xml:space="preserve">در اینکه هفت گونه قرائت، هفت مقام نفس است: امر، نهی، قصص، تمثیل، حکمت، موعظه، وحدت که وصول به كل و توحید کثرات است.</w:t>
      </w:r>
    </w:p>
    <w:p>
      <w:pPr>
        <w:pStyle w:val="BookText"/>
      </w:pPr>
      <w:r>
        <w:rPr>
          <w:rFonts w:ascii="IRNazanin" w:hAnsi="IRNazanin" w:eastAsia="IRNazanin" w:cs="IRNazanin"/>
          <w:lang w:bidi="fa-IR"/>
          <w:color w:val="111111"/>
          <w:sz w:val="28"/>
          <w:szCs w:val="28"/>
          <w:rtl/>
        </w:rPr>
        <w:t xml:space="preserve">تهران؛ دانشگاه؛ شماره نسخه:۴۳۱/۷</w:t>
      </w:r>
    </w:p>
    <w:p>
      <w:pPr>
        <w:pStyle w:val="BookText"/>
      </w:pPr>
      <w:r>
        <w:rPr>
          <w:rFonts w:ascii="IRNazanin" w:hAnsi="IRNazanin" w:eastAsia="IRNazanin" w:cs="IRNazanin"/>
          <w:lang w:bidi="fa-IR"/>
          <w:color w:val="111111"/>
          <w:sz w:val="28"/>
          <w:szCs w:val="28"/>
          <w:rtl/>
        </w:rPr>
        <w:t xml:space="preserve">آغاز: القراآت التي قيل هي سبعة من القرآن؛ انجام: و عدد ته واحد او هو الحق بی کا، بی تا؛ اص (۱۲۴ر) [ف: ۳-۳۳۳]</w:t>
      </w:r>
    </w:p>
    <w:p>
      <w:pPr>
        <w:pStyle w:val="Heading3"/>
      </w:pPr>
      <w:bookmarkStart w:id="2841" w:name="_Toc2101"/>
      <w:r>
        <w:t>•تأويل قصص الانبياء / داستان / عربی</w:t>
      </w:r>
      <w:bookmarkEnd w:id="2841"/>
    </w:p>
    <w:p>
      <w:pPr>
        <w:pStyle w:val="BookText"/>
      </w:pPr>
      <w:r>
        <w:rPr>
          <w:rFonts w:ascii="Times New Roman" w:hAnsi="Times New Roman" w:eastAsia="Times New Roman" w:cs="Times New Roman"/>
          <w:lang w:val="en-US" w:bidi="en-US"/>
          <w:color w:val="111111"/>
          <w:sz w:val="28"/>
          <w:szCs w:val="28"/>
          <w:rtl/>
        </w:rPr>
        <w:t xml:space="preserve">ta'wīl-u qişaş-il anbīyā'</w:t>
      </w:r>
    </w:p>
    <w:p>
      <w:pPr>
        <w:pStyle w:val="BookText"/>
      </w:pPr>
      <w:r>
        <w:rPr>
          <w:rFonts w:ascii="IRNazanin" w:hAnsi="IRNazanin" w:eastAsia="IRNazanin" w:cs="IRNazanin"/>
          <w:lang w:bidi="fa-IR"/>
          <w:color w:val="111111"/>
          <w:sz w:val="28"/>
          <w:szCs w:val="28"/>
          <w:rtl/>
        </w:rPr>
        <w:t xml:space="preserve">داستان های پیامبران گذشته و پاره ای از جزئیات آنها را، به روش اسماعیلیان تأویل و تفسیر کرده و آنها را از ظاهرشان منصرف می کند.</w:t>
      </w:r>
    </w:p>
    <w:p>
      <w:pPr>
        <w:pStyle w:val="BookText"/>
      </w:pPr>
      <w:r>
        <w:rPr>
          <w:rFonts w:ascii="IRNazanin" w:hAnsi="IRNazanin" w:eastAsia="IRNazanin" w:cs="IRNazanin"/>
          <w:lang w:bidi="fa-IR"/>
          <w:color w:val="111111"/>
          <w:sz w:val="28"/>
          <w:szCs w:val="28"/>
          <w:rtl/>
        </w:rPr>
        <w:t xml:space="preserve">قم؛ مرعشی؛ شماره نسخه: ۵۷۱۱/۲</w:t>
      </w:r>
    </w:p>
    <w:p>
      <w:pPr>
        <w:pStyle w:val="BookText"/>
      </w:pPr>
      <w:r>
        <w:rPr>
          <w:rFonts w:ascii="IRNazanin" w:hAnsi="IRNazanin" w:eastAsia="IRNazanin" w:cs="IRNazanin"/>
          <w:lang w:bidi="fa-IR"/>
          <w:color w:val="111111"/>
          <w:sz w:val="28"/>
          <w:szCs w:val="28"/>
          <w:rtl/>
        </w:rPr>
        <w:t xml:space="preserve">آغاز: الحمدلله مؤید الحق و نصیره و مظهر الخلق بتدبيره و مقسم الارزاق بتقديره و مدحض الباطل و مبیره؛ انجام: و حسبنا الله و نعم الوکیل نعم المولی و نعم النصیر</w:t>
      </w:r>
    </w:p>
    <w:p>
      <w:pPr>
        <w:pStyle w:val="BookText"/>
      </w:pPr>
      <w:r>
        <w:rPr>
          <w:rFonts w:ascii="IRNazanin" w:hAnsi="IRNazanin" w:eastAsia="IRNazanin" w:cs="IRNazanin"/>
          <w:lang w:bidi="fa-IR"/>
          <w:color w:val="111111"/>
          <w:sz w:val="28"/>
          <w:szCs w:val="28"/>
          <w:rtl/>
        </w:rPr>
        <w:t xml:space="preserve">خط: نسخ، كا: احمد على بن نور بهائی، تا: ۲۹ جمادی الاول ۱۳۱۸ق؛ جلد: مقوایی عطف تیماج قهوه ای، ۸۴گ (۵۰۸پ - ۵۹۱پ)،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۱۵-۱۱۲]</w:t>
      </w:r>
    </w:p>
    <w:p>
      <w:pPr>
        <w:pStyle w:val="Heading3"/>
      </w:pPr>
      <w:bookmarkStart w:id="2842" w:name="_Toc2102"/>
      <w:r>
        <w:t>•تاویل کلمات ابی بکر ا حديث / عربی، فارسی</w:t>
      </w:r>
      <w:bookmarkEnd w:id="2842"/>
    </w:p>
    <w:p>
      <w:pPr>
        <w:pStyle w:val="BookText"/>
      </w:pPr>
      <w:r>
        <w:rPr>
          <w:rFonts w:ascii="Times New Roman" w:hAnsi="Times New Roman" w:eastAsia="Times New Roman" w:cs="Times New Roman"/>
          <w:lang w:val="en-US" w:bidi="en-US"/>
          <w:color w:val="111111"/>
          <w:sz w:val="28"/>
          <w:szCs w:val="28"/>
          <w:rtl/>
        </w:rPr>
        <w:t xml:space="preserve">ta’vīl-e kalamāt-e abī-bakr</w:t>
      </w:r>
    </w:p>
    <w:p>
      <w:pPr>
        <w:pStyle w:val="BookText"/>
      </w:pPr>
      <w:r>
        <w:rPr>
          <w:rFonts w:ascii="IRNazanin" w:hAnsi="IRNazanin" w:eastAsia="IRNazanin" w:cs="IRNazanin"/>
          <w:lang w:bidi="fa-IR"/>
          <w:color w:val="111111"/>
          <w:sz w:val="28"/>
          <w:szCs w:val="28"/>
          <w:rtl/>
        </w:rPr>
        <w:t xml:space="preserve">برای نتيجة السلاطين، با شعر فارسی در صد کلمه، شاید گرفته از رشید وطواط.</w:t>
      </w:r>
    </w:p>
    <w:p>
      <w:pPr>
        <w:pStyle w:val="BookText"/>
      </w:pPr>
      <w:r>
        <w:rPr>
          <w:rFonts w:ascii="IRNazanin" w:hAnsi="IRNazanin" w:eastAsia="IRNazanin" w:cs="IRNazanin"/>
          <w:lang w:bidi="fa-IR"/>
          <w:color w:val="111111"/>
          <w:sz w:val="28"/>
          <w:szCs w:val="28"/>
          <w:rtl/>
        </w:rPr>
        <w:t xml:space="preserve">تهران؛ دانشگاه؛ شماره نسخه: ۹۴۷۰/۷</w:t>
      </w:r>
    </w:p>
    <w:p>
      <w:pPr>
        <w:pStyle w:val="BookText"/>
      </w:pPr>
      <w:r>
        <w:rPr>
          <w:rFonts w:ascii="IRNazanin" w:hAnsi="IRNazanin" w:eastAsia="IRNazanin" w:cs="IRNazanin"/>
          <w:lang w:bidi="fa-IR"/>
          <w:color w:val="111111"/>
          <w:sz w:val="28"/>
          <w:szCs w:val="28"/>
          <w:rtl/>
        </w:rPr>
        <w:t xml:space="preserve">آغاز: الحمدلله الذي خلقنا للمعرفة و تحصيل الكمال و خلصنا بايقاف الحق من الجهل و الضلال ... فهذه رسالة كتبتها في تاویل كلمات الامام ... امیر المومنین ابی بکر الصدیق؛ انجام: چو تاریخش ز هجرت صاد وفاء و زاء بگذشت (۸۸۷)، به اتمام آمد این نسخه که پیش عارفان خوب است. تمت هذه الرسالة الشمسية بعون الله و حسن توفيقه في آخر رمضان المبارک لسنه سبع عشر و قسعمائه.</w:t>
      </w:r>
    </w:p>
    <w:p>
      <w:pPr>
        <w:pStyle w:val="BookText"/>
      </w:pPr>
      <w:r>
        <w:rPr>
          <w:rFonts w:ascii="IRNazanin" w:hAnsi="IRNazanin" w:eastAsia="IRNazanin" w:cs="IRNazanin"/>
          <w:lang w:bidi="fa-IR"/>
          <w:color w:val="111111"/>
          <w:sz w:val="28"/>
          <w:szCs w:val="28"/>
          <w:rtl/>
        </w:rPr>
        <w:t xml:space="preserve">خط: نستعلیق، بی کا، تا: قرن ۱۰؛ کاغذ: استانبولی، جلد: مقوا عطف تیماج مشکی، ۵۱گ (۶۱پ -۱۱۱ر)، ۱۵ سطر (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 [ف: ۱۷-۳۷۷]</w:t>
      </w:r>
    </w:p>
    <w:p>
      <w:pPr>
        <w:pStyle w:val="Heading3"/>
      </w:pPr>
      <w:bookmarkStart w:id="2843" w:name="_Toc2103"/>
      <w:r>
        <w:t>•تأویل کلمات و آیات قرآن / تفسير / فارسی</w:t>
      </w:r>
      <w:bookmarkEnd w:id="2843"/>
    </w:p>
    <w:p>
      <w:pPr>
        <w:pStyle w:val="BookText"/>
      </w:pPr>
      <w:r>
        <w:rPr>
          <w:rFonts w:ascii="Times New Roman" w:hAnsi="Times New Roman" w:eastAsia="Times New Roman" w:cs="Times New Roman"/>
          <w:lang w:val="en-US" w:bidi="en-US"/>
          <w:color w:val="111111"/>
          <w:sz w:val="28"/>
          <w:szCs w:val="28"/>
          <w:rtl/>
        </w:rPr>
        <w:t xml:space="preserve">ta'vil-e kalamat va ayat-e qor'an</w:t>
      </w:r>
    </w:p>
    <w:p>
      <w:pPr>
        <w:pStyle w:val="BookText"/>
      </w:pPr>
      <w:r>
        <w:rPr>
          <w:rFonts w:ascii="IRNazanin" w:hAnsi="IRNazanin" w:eastAsia="IRNazanin" w:cs="IRNazanin"/>
          <w:lang w:bidi="fa-IR"/>
          <w:color w:val="111111"/>
          <w:sz w:val="28"/>
          <w:szCs w:val="28"/>
          <w:rtl/>
        </w:rPr>
        <w:t xml:space="preserve">در آن ادعا کرده که باب تأويل كلمات و آیات قرانی که هیچ کس تا به حال آن را ندانسته است، ذکر خواهد کرد و مدعی است که در عالم رویا از حضرت علی ولی الله افاضه شده است.</w:t>
      </w:r>
    </w:p>
    <w:p>
      <w:pPr>
        <w:pStyle w:val="BookText"/>
      </w:pPr>
      <w:r>
        <w:rPr>
          <w:rFonts w:ascii="IRNazanin" w:hAnsi="IRNazanin" w:eastAsia="IRNazanin" w:cs="IRNazanin"/>
          <w:lang w:bidi="fa-IR"/>
          <w:color w:val="111111"/>
          <w:sz w:val="28"/>
          <w:szCs w:val="28"/>
          <w:rtl/>
        </w:rPr>
        <w:t xml:space="preserve">شیراز؛ ملی؛ شماره نسخه: ۲/ ۴۰۰</w:t>
      </w:r>
    </w:p>
    <w:p>
      <w:pPr>
        <w:pStyle w:val="BookText"/>
      </w:pPr>
      <w:r>
        <w:rPr>
          <w:rFonts w:ascii="IRNazanin" w:hAnsi="IRNazanin" w:eastAsia="IRNazanin" w:cs="IRNazanin"/>
          <w:lang w:bidi="fa-IR"/>
          <w:color w:val="111111"/>
          <w:sz w:val="28"/>
          <w:szCs w:val="28"/>
          <w:rtl/>
        </w:rPr>
        <w:t xml:space="preserve">آغاز: مخفی براخوان و دانشمندان نماناد که این کتاب را گفتگوئی علمی بوده باشد مراورا اشرف العلوم الادیانی و الابدانی؛ انجام: عالمان لغت عرب میت نکرد که نتواند در حق اوفتوی دهند که قول میت کالميت بوده باشد خط: نسخ، بی کا، بی تا؛ افتادگی: انجام؛ ۱۴گ، ۹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سم [ف: ۱-۳۷۶]</w:t>
      </w:r>
    </w:p>
    <w:p>
      <w:pPr>
        <w:pStyle w:val="Heading3"/>
      </w:pPr>
      <w:bookmarkStart w:id="2844" w:name="_Toc2104"/>
      <w:r>
        <w:t>•تأویل «لقد جائكم رسول من انفسكم» (رساله در) / تفسير / فارسی</w:t>
      </w:r>
      <w:bookmarkEnd w:id="2844"/>
    </w:p>
    <w:p>
      <w:pPr>
        <w:pStyle w:val="BookText"/>
      </w:pPr>
      <w:r>
        <w:rPr>
          <w:rFonts w:ascii="Times New Roman" w:hAnsi="Times New Roman" w:eastAsia="Times New Roman" w:cs="Times New Roman"/>
          <w:lang w:val="en-US" w:bidi="en-US"/>
          <w:color w:val="111111"/>
          <w:sz w:val="28"/>
          <w:szCs w:val="28"/>
          <w:rtl/>
        </w:rPr>
        <w:t xml:space="preserve">ta’vīl-e «laqad jā’a-kum rasūl-un min anfus-a-kum» (r. dar)</w:t>
      </w:r>
    </w:p>
    <w:p>
      <w:pPr>
        <w:pStyle w:val="BookText"/>
      </w:pPr>
      <w:r>
        <w:rPr>
          <w:rFonts w:ascii="IRNazanin" w:hAnsi="IRNazanin" w:eastAsia="IRNazanin" w:cs="IRNazanin"/>
          <w:lang w:bidi="fa-IR"/>
          <w:color w:val="111111"/>
          <w:sz w:val="28"/>
          <w:szCs w:val="28"/>
          <w:rtl/>
        </w:rPr>
        <w:t xml:space="preserve">جمالی اردستانی، جمال الدين محمد، ۸۱۴-۸۸۳؟ قمری</w:t>
      </w:r>
    </w:p>
    <w:p>
      <w:pPr>
        <w:pStyle w:val="BookText"/>
      </w:pPr>
      <w:r>
        <w:rPr>
          <w:rFonts w:ascii="Times New Roman" w:hAnsi="Times New Roman" w:eastAsia="Times New Roman" w:cs="Times New Roman"/>
          <w:lang w:val="en-US" w:bidi="en-US"/>
          <w:color w:val="111111"/>
          <w:sz w:val="28"/>
          <w:szCs w:val="28"/>
          <w:rtl/>
        </w:rPr>
        <w:t xml:space="preserve">jamālī ardestānī, jamāl-od-dīn mohammad (1412-1479)</w:t>
      </w:r>
    </w:p>
    <w:p>
      <w:pPr>
        <w:pStyle w:val="BookText"/>
      </w:pPr>
      <w:r>
        <w:rPr>
          <w:rFonts w:ascii="IRNazanin" w:hAnsi="IRNazanin" w:eastAsia="IRNazanin" w:cs="IRNazanin"/>
          <w:lang w:bidi="fa-IR"/>
          <w:color w:val="111111"/>
          <w:sz w:val="28"/>
          <w:szCs w:val="28"/>
          <w:rtl/>
        </w:rPr>
        <w:t xml:space="preserve">تهران؛ مجلس؛ شماره نسخه: ۹۳۲۶/۳۱</w:t>
      </w:r>
    </w:p>
    <w:p>
      <w:pPr>
        <w:pStyle w:val="BookText"/>
      </w:pPr>
      <w:r>
        <w:rPr>
          <w:rFonts w:ascii="IRNazanin" w:hAnsi="IRNazanin" w:eastAsia="IRNazanin" w:cs="IRNazanin"/>
          <w:lang w:bidi="fa-IR"/>
          <w:color w:val="111111"/>
          <w:sz w:val="28"/>
          <w:szCs w:val="28"/>
          <w:rtl/>
        </w:rPr>
        <w:t xml:space="preserve">خط: نستعلیق، کا: محمد مریم بن میرزا زمان، تا: قرن ۱۳؛ اص (۶۴۸-همان) [مختصر ف: ۱۳۰]</w:t>
      </w:r>
    </w:p>
    <w:p>
      <w:pPr>
        <w:pStyle w:val="Heading3"/>
      </w:pPr>
      <w:bookmarkStart w:id="2845" w:name="_Toc2105"/>
      <w:r>
        <w:t>•تأويل مشكل القرآن / علوم قرآن / عربی</w:t>
      </w:r>
      <w:bookmarkEnd w:id="2845"/>
    </w:p>
    <w:p>
      <w:pPr>
        <w:pStyle w:val="BookText"/>
      </w:pPr>
      <w:r>
        <w:rPr>
          <w:rFonts w:ascii="Times New Roman" w:hAnsi="Times New Roman" w:eastAsia="Times New Roman" w:cs="Times New Roman"/>
          <w:lang w:val="en-US" w:bidi="en-US"/>
          <w:color w:val="111111"/>
          <w:sz w:val="28"/>
          <w:szCs w:val="28"/>
          <w:rtl/>
        </w:rPr>
        <w:t xml:space="preserve">ta’wīl-u muškil-il qur'ān</w:t>
      </w:r>
    </w:p>
    <w:p>
      <w:pPr>
        <w:pStyle w:val="BookText"/>
      </w:pPr>
      <w:r>
        <w:rPr>
          <w:rFonts w:ascii="IRNazanin" w:hAnsi="IRNazanin" w:eastAsia="IRNazanin" w:cs="IRNazanin"/>
          <w:lang w:bidi="fa-IR"/>
          <w:color w:val="111111"/>
          <w:sz w:val="28"/>
          <w:szCs w:val="28"/>
          <w:rtl/>
        </w:rPr>
        <w:t xml:space="preserve">ابن قتیبه، عبدالله بن مسلم، ۲۱۳-۲۷۶ قمری</w:t>
      </w:r>
    </w:p>
    <w:p>
      <w:pPr>
        <w:pStyle w:val="BookText"/>
      </w:pPr>
      <w:r>
        <w:rPr>
          <w:rFonts w:ascii="Times New Roman" w:hAnsi="Times New Roman" w:eastAsia="Times New Roman" w:cs="Times New Roman"/>
          <w:lang w:val="en-US" w:bidi="en-US"/>
          <w:color w:val="111111"/>
          <w:sz w:val="28"/>
          <w:szCs w:val="28"/>
          <w:rtl/>
        </w:rPr>
        <w:t xml:space="preserve">ebn-e qotayba, “abd-ol-lāh ebn-e moslem (829-890)</w:t>
      </w:r>
    </w:p>
    <w:p>
      <w:pPr>
        <w:pStyle w:val="BookText"/>
      </w:pPr>
      <w:r>
        <w:rPr>
          <w:rFonts w:ascii="IRNazanin" w:hAnsi="IRNazanin" w:eastAsia="IRNazanin" w:cs="IRNazanin"/>
          <w:lang w:bidi="fa-IR"/>
          <w:color w:val="111111"/>
          <w:sz w:val="28"/>
          <w:szCs w:val="28"/>
          <w:rtl/>
        </w:rPr>
        <w:t xml:space="preserve">ابن قتیبه در پیشگفتار این کتاب بحثی در امتیازهایی که دستور زبان و خط عربی دارد آورده است، حروف عربی ۲۸ است و دیگران کمتر دارند و اعراب كلمات عربی فاعل را از مفعول جدا می سازد. سپس در مجاز و استعاره سخن می گوید، و پس از آن از اعتراضاتی چون تناقض گویی که ملحدان بر قرآن وارد کرده یاد می کند و پاسخ می گوید و علت اختلاف قرائت هایی چون ابن مسعود و علت آمدن آیه های متشابه را بیان می کند برخی عنوان های کتاب چنین است: باب الرد على اختلاف القراآت؛ باب اللحن؛ باب تناقض؛ متشابهات مجاز استعاره و تکرار مطالب؛ باب تأويل المشكل الذي ادعى القرآن؛ باب اللفظ الواحد للمعاني المختلفة. (علینقی منزوی) آغاز: بسملة. قال ابو محمد عبدالله بن مسلم بن قتيبة رحمه الله. الحمدلله الذي نهج لنا سبیل الرشاد و هدانا بنور الكتاب و فضلنا على سائر الملل من العباد ... لم يجعل له عوجا فيما نزله قيما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bookmarkStart w:id="634" w:name="pg20363_209970"/>
    <w:bookmarkEnd w:id="634"/>
    <w:p>
      <w:pPr>
        <w:pStyle w:val="BookText"/>
      </w:pPr>
      <w:r>
        <w:rPr>
          <w:rFonts w:ascii="IRNazanin" w:hAnsi="IRNazanin" w:eastAsia="IRNazanin" w:cs="IRNazanin"/>
          <w:lang w:bidi="fa-IR"/>
          <w:color w:val="111111"/>
          <w:sz w:val="28"/>
          <w:szCs w:val="28"/>
          <w:rtl/>
        </w:rPr>
        <w:t xml:space="preserve">مفصلا ...</w:t>
      </w:r>
    </w:p>
    <w:p>
      <w:pPr>
        <w:pStyle w:val="BookText"/>
      </w:pPr>
      <w:r>
        <w:rPr>
          <w:rFonts w:ascii="IRNazanin" w:hAnsi="IRNazanin" w:eastAsia="IRNazanin" w:cs="IRNazanin"/>
          <w:lang w:bidi="fa-IR"/>
          <w:color w:val="111111"/>
          <w:sz w:val="28"/>
          <w:szCs w:val="28"/>
          <w:rtl/>
        </w:rPr>
        <w:t xml:space="preserve">چاپ: قاهرة، دار احیاء الكتب العربية، ۱۹۵۴م، نشره: سید صقر، مقدمة ۶۷ص + النص ۱-۴۴۱ص + الفهارس ۴۴۳-۵۳۶</w:t>
      </w:r>
    </w:p>
    <w:p>
      <w:pPr>
        <w:pStyle w:val="BookText"/>
      </w:pPr>
      <w:r>
        <w:rPr>
          <w:rFonts w:ascii="Amiri" w:hAnsi="Amiri" w:eastAsia="Amiri" w:cs="Amiri"/>
          <w:lang w:bidi="ar-SA"/>
          <w:color w:val="111111"/>
          <w:sz w:val="28"/>
          <w:szCs w:val="28"/>
          <w:rtl/>
        </w:rPr>
        <w:t xml:space="preserve">[ فهرس المخطوطات المصورة ۴۵/۱؛ دنا ۷۶۱/۲ ]</w:t>
      </w:r>
    </w:p>
    <w:p>
      <w:pPr>
        <w:pStyle w:val="BookText"/>
      </w:pPr>
      <w:r>
        <w:rPr>
          <w:rFonts w:ascii="IRNazanin" w:hAnsi="IRNazanin" w:eastAsia="IRNazanin" w:cs="IRNazanin"/>
          <w:lang w:bidi="fa-IR"/>
          <w:color w:val="111111"/>
          <w:sz w:val="28"/>
          <w:szCs w:val="28"/>
          <w:rtl/>
        </w:rPr>
        <w:t xml:space="preserve">۱. تهران، دانشگاه؛ شماره نسخه:۴۷۸-ف</w:t>
      </w:r>
    </w:p>
    <w:p>
      <w:pPr>
        <w:pStyle w:val="BookText"/>
      </w:pPr>
      <w:r>
        <w:rPr>
          <w:rFonts w:ascii="IRNazanin" w:hAnsi="IRNazanin" w:eastAsia="IRNazanin" w:cs="IRNazanin"/>
          <w:lang w:bidi="fa-IR"/>
          <w:color w:val="111111"/>
          <w:sz w:val="28"/>
          <w:szCs w:val="28"/>
          <w:rtl/>
        </w:rPr>
        <w:t xml:space="preserve">نسخه اصل: ملت فیض الله ش ۲۳۲؛ خط: نسخ، كا: عبدالعزيز بن فتوح بن منصور بن صالح بن على بن شعيب جدامی، تا: ۲۰ ذیحجه ۶۲۹ق، برای خودش؛ او در دهه سوم صفر ۶۲۰ آن را بر ابو محمد عبدالله بن عبدالمحسن بن عبدالاحد اسکندری مودب خوانده بوده؛ ۱۵۴گ، ۱۷ سطر [فيلمها ف: ۱- ۳۸۲]</w:t>
      </w:r>
    </w:p>
    <w:p>
      <w:pPr>
        <w:pStyle w:val="BookText"/>
      </w:pPr>
      <w:r>
        <w:rPr>
          <w:rFonts w:ascii="IRNazanin" w:hAnsi="IRNazanin" w:eastAsia="IRNazanin" w:cs="IRNazanin"/>
          <w:lang w:bidi="fa-IR"/>
          <w:color w:val="111111"/>
          <w:sz w:val="28"/>
          <w:szCs w:val="28"/>
          <w:rtl/>
        </w:rPr>
        <w:t xml:space="preserve">۲. قم؛ مرعشی؛ شماره نسخه: ۴۶۹۰/۲</w:t>
      </w:r>
    </w:p>
    <w:p>
      <w:pPr>
        <w:pStyle w:val="BookText"/>
      </w:pPr>
      <w:r>
        <w:rPr>
          <w:rFonts w:ascii="IRNazanin" w:hAnsi="IRNazanin" w:eastAsia="IRNazanin" w:cs="IRNazanin"/>
          <w:lang w:bidi="fa-IR"/>
          <w:color w:val="111111"/>
          <w:sz w:val="28"/>
          <w:szCs w:val="28"/>
          <w:rtl/>
        </w:rPr>
        <w:t xml:space="preserve">آغاز: برابر؛ انجام: و النجاد الطبيعة و الجوهر فأراد أن سماتها تدل على جواهرها، و الله أعلم. خط: نسخ معرب، كا: على بن سعید بن علی، تا: چهارشنبه ۸ ذیقعده ۷۰۴ق؛ مصحح؛ جلد: تیماج قهوه ای، ۱۱۸گ (۱۲۶پ۔ ۲۴۳پ)، ۲۰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۱۲- ۲۷۶]</w:t>
      </w:r>
    </w:p>
    <w:p>
      <w:pPr>
        <w:pStyle w:val="BookText"/>
      </w:pPr>
      <w:r>
        <w:rPr>
          <w:rFonts w:ascii="IRNazanin" w:hAnsi="IRNazanin" w:eastAsia="IRNazanin" w:cs="IRNazanin"/>
          <w:lang w:bidi="fa-IR"/>
          <w:color w:val="111111"/>
          <w:sz w:val="28"/>
          <w:szCs w:val="28"/>
          <w:rtl/>
        </w:rPr>
        <w:t xml:space="preserve">٣. تهران؛ ملی؛ شماره نسخه: ۲۰۲۹/۱</w:t>
      </w:r>
    </w:p>
    <w:p>
      <w:pPr>
        <w:pStyle w:val="BookText"/>
      </w:pPr>
      <w:r>
        <w:rPr>
          <w:rFonts w:ascii="IRNazanin" w:hAnsi="IRNazanin" w:eastAsia="IRNazanin" w:cs="IRNazanin"/>
          <w:lang w:bidi="fa-IR"/>
          <w:color w:val="111111"/>
          <w:sz w:val="28"/>
          <w:szCs w:val="28"/>
          <w:rtl/>
        </w:rPr>
        <w:t xml:space="preserve">آغاز: برابر؛ انجام: قال قتاده في قوله اتقوالله حق تقاته. قال أن يطاع فلا يعصا. قال ثم نسخها: اتقوالله ما استطعتم. و الله اعلم بالصواب خط: نسخ، بی کا، تا: قرن ۹، کاغذ: سمرقندی، نخودی، جلد: مقوایی رویه تیماج حنایی، ۱۲۱گ (۱-۱۲۱)،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w:t>
      </w:r>
    </w:p>
    <w:p>
      <w:pPr>
        <w:pStyle w:val="BookText"/>
      </w:pPr>
      <w:r>
        <w:rPr>
          <w:rFonts w:ascii="IRNazanin" w:hAnsi="IRNazanin" w:eastAsia="IRNazanin" w:cs="IRNazanin"/>
          <w:lang w:bidi="fa-IR"/>
          <w:color w:val="111111"/>
          <w:sz w:val="28"/>
          <w:szCs w:val="28"/>
          <w:rtl/>
        </w:rPr>
        <w:t xml:space="preserve">[ف: ۱۱-۱۱۴]</w:t>
      </w:r>
    </w:p>
    <w:p>
      <w:pPr>
        <w:pStyle w:val="BookText"/>
      </w:pPr>
      <w:r>
        <w:rPr>
          <w:rFonts w:ascii="IRNazanin" w:hAnsi="IRNazanin" w:eastAsia="IRNazanin" w:cs="IRNazanin"/>
          <w:lang w:bidi="fa-IR"/>
          <w:color w:val="111111"/>
          <w:sz w:val="28"/>
          <w:szCs w:val="28"/>
          <w:rtl/>
        </w:rPr>
        <w:t xml:space="preserve">۴. تهران، دانشگاه؛ شماره نسخه:۶۸</w:t>
      </w:r>
    </w:p>
    <w:p>
      <w:pPr>
        <w:pStyle w:val="BookText"/>
      </w:pPr>
      <w:r>
        <w:rPr>
          <w:rFonts w:ascii="IRNazanin" w:hAnsi="IRNazanin" w:eastAsia="IRNazanin" w:cs="IRNazanin"/>
          <w:lang w:bidi="fa-IR"/>
          <w:color w:val="111111"/>
          <w:sz w:val="28"/>
          <w:szCs w:val="28"/>
          <w:rtl/>
        </w:rPr>
        <w:t xml:space="preserve">آغاز: برابر؛ انجام: الياء مكان اللام. قال ما خلقنا هم الا بالحق ای الا للحق. خط: نسخ، بی کا، بی تا؛ تملك: مشكاة الملك و مهر او به تاریخ ۱۳۰۱ و تملک دیگر بتاریخ ۱۲۶۷؛ کاغذ: نوعی ترمه، جلد: تیماج سرخ، ۱۱۱، ۱۷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۷/۷ )، اندازه: ۱۳/۵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۱۹/۵سم</w:t>
      </w:r>
    </w:p>
    <w:p>
      <w:pPr>
        <w:pStyle w:val="BookText"/>
      </w:pPr>
      <w:r>
        <w:rPr>
          <w:rFonts w:ascii="IRNazanin" w:hAnsi="IRNazanin" w:eastAsia="IRNazanin" w:cs="IRNazanin"/>
          <w:lang w:bidi="fa-IR"/>
          <w:color w:val="111111"/>
          <w:sz w:val="28"/>
          <w:szCs w:val="28"/>
          <w:rtl/>
        </w:rPr>
        <w:t xml:space="preserve">[ف: ۱-۲۰۹]</w:t>
      </w:r>
    </w:p>
    <w:p>
      <w:pPr>
        <w:pStyle w:val="Heading3"/>
      </w:pPr>
      <w:bookmarkStart w:id="2846" w:name="_Toc2106"/>
      <w:r>
        <w:t>•تأویل و تحقیق / متفرقه / عربی</w:t>
      </w:r>
      <w:bookmarkEnd w:id="2846"/>
    </w:p>
    <w:p>
      <w:pPr>
        <w:pStyle w:val="BookText"/>
      </w:pPr>
      <w:r>
        <w:rPr>
          <w:rFonts w:ascii="Times New Roman" w:hAnsi="Times New Roman" w:eastAsia="Times New Roman" w:cs="Times New Roman"/>
          <w:lang w:val="en-US" w:bidi="en-US"/>
          <w:color w:val="111111"/>
          <w:sz w:val="28"/>
          <w:szCs w:val="28"/>
          <w:rtl/>
        </w:rPr>
        <w:t xml:space="preserve">ta'wil wa tahqiq</w:t>
      </w:r>
    </w:p>
    <w:p>
      <w:pPr>
        <w:pStyle w:val="BookText"/>
      </w:pPr>
      <w:r>
        <w:rPr>
          <w:rFonts w:ascii="IRNazanin" w:hAnsi="IRNazanin" w:eastAsia="IRNazanin" w:cs="IRNazanin"/>
          <w:lang w:bidi="fa-IR"/>
          <w:color w:val="111111"/>
          <w:sz w:val="28"/>
          <w:szCs w:val="28"/>
          <w:rtl/>
        </w:rPr>
        <w:t xml:space="preserve">عبدالرزاق کاشی، عبدالرزاق بن احمد، -۷۳۶ ؟ قمری</w:t>
      </w:r>
    </w:p>
    <w:p>
      <w:pPr>
        <w:pStyle w:val="BookText"/>
      </w:pPr>
      <w:r>
        <w:rPr>
          <w:rFonts w:ascii="Times New Roman" w:hAnsi="Times New Roman" w:eastAsia="Times New Roman" w:cs="Times New Roman"/>
          <w:lang w:val="en-US" w:bidi="en-US"/>
          <w:color w:val="111111"/>
          <w:sz w:val="28"/>
          <w:szCs w:val="28"/>
          <w:rtl/>
        </w:rPr>
        <w:t xml:space="preserve">‘abd-or-razzāq-e kāšī, 'abd-or-razzāq ebn-e ahmad ( 1336)</w:t>
      </w:r>
    </w:p>
    <w:p>
      <w:pPr>
        <w:pStyle w:val="BookText"/>
      </w:pPr>
      <w:r>
        <w:rPr>
          <w:rFonts w:ascii="IRNazanin" w:hAnsi="IRNazanin" w:eastAsia="IRNazanin" w:cs="IRNazanin"/>
          <w:lang w:bidi="fa-IR"/>
          <w:color w:val="111111"/>
          <w:sz w:val="28"/>
          <w:szCs w:val="28"/>
          <w:rtl/>
        </w:rPr>
        <w:t xml:space="preserve">از شیخ عبدالرزاق الكاشانی، در آصف بن بر خیا۔</w:t>
      </w:r>
    </w:p>
    <w:p>
      <w:pPr>
        <w:pStyle w:val="BookText"/>
      </w:pPr>
      <w:r>
        <w:rPr>
          <w:rFonts w:ascii="IRNazanin" w:hAnsi="IRNazanin" w:eastAsia="IRNazanin" w:cs="IRNazanin"/>
          <w:lang w:bidi="fa-IR"/>
          <w:color w:val="111111"/>
          <w:sz w:val="28"/>
          <w:szCs w:val="28"/>
          <w:rtl/>
        </w:rPr>
        <w:t xml:space="preserve">تهران؛ دانشگاه؛ شماره نسخه: ۵۹۰۸/۷</w:t>
      </w:r>
    </w:p>
    <w:p>
      <w:pPr>
        <w:pStyle w:val="BookText"/>
      </w:pPr>
      <w:r>
        <w:rPr>
          <w:rFonts w:ascii="IRNazanin" w:hAnsi="IRNazanin" w:eastAsia="IRNazanin" w:cs="IRNazanin"/>
          <w:lang w:bidi="fa-IR"/>
          <w:color w:val="111111"/>
          <w:sz w:val="28"/>
          <w:szCs w:val="28"/>
          <w:rtl/>
        </w:rPr>
        <w:t xml:space="preserve">خط: نستعلیق، بی کا، تا: قرن ۱۳؛ کاغذ: فرنگی، جلد: تیماج مشکی ضربی، اص، ۱۸ سطر (۱۲</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۶)، قطع: جيبي،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۱۶-۱۴۴]</w:t>
      </w:r>
    </w:p>
    <w:p>
      <w:pPr>
        <w:pStyle w:val="Heading3"/>
      </w:pPr>
      <w:bookmarkStart w:id="2847" w:name="_Toc2107"/>
      <w:r>
        <w:t>•التأهيل الغريب / ادبیات عربی</w:t>
      </w:r>
      <w:bookmarkEnd w:id="2847"/>
    </w:p>
    <w:p>
      <w:pPr>
        <w:pStyle w:val="BookText"/>
      </w:pPr>
      <w:r>
        <w:rPr>
          <w:rFonts w:ascii="Times New Roman" w:hAnsi="Times New Roman" w:eastAsia="Times New Roman" w:cs="Times New Roman"/>
          <w:lang w:val="en-US" w:bidi="en-US"/>
          <w:color w:val="111111"/>
          <w:sz w:val="28"/>
          <w:szCs w:val="28"/>
          <w:rtl/>
        </w:rPr>
        <w:t xml:space="preserve">at-ta’hīl-ul garīb</w:t>
      </w:r>
    </w:p>
    <w:p>
      <w:pPr>
        <w:pStyle w:val="BookText"/>
      </w:pPr>
      <w:r>
        <w:rPr>
          <w:rFonts w:ascii="IRNazanin" w:hAnsi="IRNazanin" w:eastAsia="IRNazanin" w:cs="IRNazanin"/>
          <w:lang w:bidi="fa-IR"/>
          <w:color w:val="111111"/>
          <w:sz w:val="28"/>
          <w:szCs w:val="28"/>
          <w:rtl/>
        </w:rPr>
        <w:t xml:space="preserve">ابن حجة، تقي الدين بن على، ۷۶۷-۸۳۷ قمری</w:t>
      </w:r>
    </w:p>
    <w:p>
      <w:pPr>
        <w:pStyle w:val="BookText"/>
      </w:pPr>
      <w:r>
        <w:rPr>
          <w:rFonts w:ascii="Times New Roman" w:hAnsi="Times New Roman" w:eastAsia="Times New Roman" w:cs="Times New Roman"/>
          <w:lang w:val="en-US" w:bidi="en-US"/>
          <w:color w:val="111111"/>
          <w:sz w:val="28"/>
          <w:szCs w:val="28"/>
          <w:rtl/>
        </w:rPr>
        <w:t xml:space="preserve">ebn-e hejja, taqi-yod-dīn ebn-e ‘alī (1366-1434)</w:t>
      </w:r>
    </w:p>
    <w:p>
      <w:pPr>
        <w:pStyle w:val="BookText"/>
      </w:pPr>
      <w:r>
        <w:rPr>
          <w:rFonts w:ascii="IRNazanin" w:hAnsi="IRNazanin" w:eastAsia="IRNazanin" w:cs="IRNazanin"/>
          <w:lang w:bidi="fa-IR"/>
          <w:color w:val="111111"/>
          <w:sz w:val="28"/>
          <w:szCs w:val="28"/>
          <w:rtl/>
        </w:rPr>
        <w:t xml:space="preserve">مجموعه ای است منظوم و منثور از شعرا و فضلای متقدم و معاصر عرب زبان تا زمان مؤلف در شرح غرایب شعر في الخيل من المدح و الذم، باب المراتي في الغزل البديع الغريب، باب الربيعيات في المواعظ، باب الخمريات و الساقي ما وقع لابی اسحاق الندیم من غرائب الاغزال المخمسه، قول غتر ابی دلف ارجانی اصمعی ابن اسحق ابراهيم بن خفاجه ابي نواس شمس الدين محمد الواسطی ... و غیره.</w:t>
      </w:r>
    </w:p>
    <w:p>
      <w:pPr>
        <w:pStyle w:val="BookText"/>
      </w:pPr>
      <w:r>
        <w:rPr>
          <w:rFonts w:ascii="IRNazanin" w:hAnsi="IRNazanin" w:eastAsia="IRNazanin" w:cs="IRNazanin"/>
          <w:lang w:bidi="fa-IR"/>
          <w:color w:val="111111"/>
          <w:sz w:val="28"/>
          <w:szCs w:val="28"/>
          <w:rtl/>
        </w:rPr>
        <w:t xml:space="preserve">تهران؛ سلطنتی؛ شماره نسخه: ۱۳۳۹</w:t>
      </w:r>
    </w:p>
    <w:p>
      <w:pPr>
        <w:pStyle w:val="BookText"/>
      </w:pPr>
      <w:r>
        <w:rPr>
          <w:rFonts w:ascii="IRNazanin" w:hAnsi="IRNazanin" w:eastAsia="IRNazanin" w:cs="IRNazanin"/>
          <w:lang w:bidi="fa-IR"/>
          <w:color w:val="111111"/>
          <w:sz w:val="28"/>
          <w:szCs w:val="28"/>
          <w:rtl/>
        </w:rPr>
        <w:t xml:space="preserve">آغاز: بسمله، الحمدلله الذي هدانا لتاهيل الغريب فاكرمنا مثواه و ما كنا لنهتدي لولا أن هدانا الله فله الحمد على هذه النعمة التي هي عن كثير من الناس بمعزک اذ غريب الادب لم يتاهل بقفا بنک من ذكرى حبيب و منزل بل و قرنی صدور هبت عليهما نسمات الالهام فتكلمت بالنفس العالی ... بعد فان غريب الأدب قد مرقه الشباب اید سبا و نظمه بعد تاهيل غربته في اسلاك الغربا و قد هزتني حمية الأدب ال يلم شمله و اجتماعه بالنسبيب من اهله و لما جعلت له هذا الكتاب جامعا صلت اقلام التاليف في قبلت و قد سميته تاهيل الغريب؛ انجام: و لعجبني هنا قول الصاحب فخر الدين معانش في نصر عنه رحمة الله تعالی ... یا رب أن لم تغتفر اوزاری *** لانافعی اهلی و لا زواری ...... لكن تهتلي القديم و كلته *** يوم الحساب بحكمة الستار. آخر تاهيل الغريب للعلامه</w:t>
      </w:r>
    </w:p>
    <w:p>
      <w:pPr>
        <w:pStyle w:val="BookText"/>
      </w:pPr>
      <w:r>
        <w:rPr>
          <w:rFonts w:ascii="IRNazanin" w:hAnsi="IRNazanin" w:eastAsia="IRNazanin" w:cs="IRNazanin"/>
          <w:lang w:bidi="fa-IR"/>
          <w:color w:val="111111"/>
          <w:sz w:val="28"/>
          <w:szCs w:val="28"/>
          <w:rtl/>
        </w:rPr>
        <w:t xml:space="preserve">ابن حجة رحمة الله تعالی ... و سلم سنه ۸۶۲ خط: نسخ تحریری، بی کا، تا: ۸۶۲ق؛ در سال های ۱۲۸۲ و ۱۳۲۲ هجری به ترتیب از عرض کتابخانه مبارکه گذشته؛ تملك: محمد الخلاصین در سال ۱۱۸۸ق؛ مهر: ناصر الدین شاه قاجار؛ کاغذ: بغدادی ملون، جلد: مقوای روکش چرم قهوه ای با ترنج، ۴۲۳ص، ۲۴-۲۰ سطر، اندازه: ۲۷/۸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سم [ف: ۷-۵۴]</w:t>
      </w:r>
    </w:p>
    <w:p>
      <w:pPr>
        <w:pStyle w:val="Heading3"/>
      </w:pPr>
      <w:bookmarkStart w:id="2848" w:name="_Toc2108"/>
      <w:r>
        <w:t>• تأهيل الغريب / ادبیات عربی</w:t>
      </w:r>
      <w:bookmarkEnd w:id="2848"/>
    </w:p>
    <w:p>
      <w:pPr>
        <w:pStyle w:val="BookText"/>
      </w:pPr>
      <w:r>
        <w:rPr>
          <w:rFonts w:ascii="Times New Roman" w:hAnsi="Times New Roman" w:eastAsia="Times New Roman" w:cs="Times New Roman"/>
          <w:lang w:val="en-US" w:bidi="en-US"/>
          <w:color w:val="111111"/>
          <w:sz w:val="28"/>
          <w:szCs w:val="28"/>
          <w:rtl/>
        </w:rPr>
        <w:t xml:space="preserve">ta’hīl-ul garīb</w:t>
      </w:r>
    </w:p>
    <w:p>
      <w:pPr>
        <w:pStyle w:val="BookText"/>
      </w:pPr>
      <w:r>
        <w:rPr>
          <w:rFonts w:ascii="IRNazanin" w:hAnsi="IRNazanin" w:eastAsia="IRNazanin" w:cs="IRNazanin"/>
          <w:lang w:bidi="fa-IR"/>
          <w:color w:val="111111"/>
          <w:sz w:val="28"/>
          <w:szCs w:val="28"/>
          <w:rtl/>
        </w:rPr>
        <w:t xml:space="preserve">نواجی، محمد بن حسن، ۷۸۸؟ -۸۵۹ قمری</w:t>
      </w:r>
    </w:p>
    <w:p>
      <w:pPr>
        <w:pStyle w:val="BookText"/>
      </w:pPr>
      <w:r>
        <w:rPr>
          <w:rFonts w:ascii="Times New Roman" w:hAnsi="Times New Roman" w:eastAsia="Times New Roman" w:cs="Times New Roman"/>
          <w:lang w:val="en-US" w:bidi="en-US"/>
          <w:color w:val="111111"/>
          <w:sz w:val="28"/>
          <w:szCs w:val="28"/>
          <w:rtl/>
        </w:rPr>
        <w:t xml:space="preserve">navājī, mohammad ebn-e hasan (1387-1455)</w:t>
      </w:r>
    </w:p>
    <w:p>
      <w:pPr>
        <w:pStyle w:val="BookText"/>
      </w:pPr>
      <w:r>
        <w:rPr>
          <w:rFonts w:ascii="IRNazanin" w:hAnsi="IRNazanin" w:eastAsia="IRNazanin" w:cs="IRNazanin"/>
          <w:lang w:bidi="fa-IR"/>
          <w:color w:val="111111"/>
          <w:sz w:val="28"/>
          <w:szCs w:val="28"/>
          <w:rtl/>
        </w:rPr>
        <w:t xml:space="preserve">جنگی است از قصاید عربی شعرای متقدم و معاصر مؤلف که آنها را به خواهش یکی از دوستان خویش گرد آورده است. برخی از قصاید نیز از خود گرد آورنده است که غالبا در مدح حضرت رسول الله (ص) است. قصاید جنگ بر اساس حروف الفبا مرتب شده است. در فهرست دارالکتب نسخه ای با عنوان « تأهيل الغريب» به تقي الدين ابوبکر علی بن عبدالله معروف به ابن حجة حموی نسبت داده است و آغاز آن با این نسخه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bookmarkStart w:id="635" w:name="pg20363_209971"/>
    <w:bookmarkEnd w:id="635"/>
    <w:p>
      <w:pPr>
        <w:pStyle w:val="BookText"/>
      </w:pPr>
      <w:r>
        <w:rPr>
          <w:rFonts w:ascii="IRNazanin" w:hAnsi="IRNazanin" w:eastAsia="IRNazanin" w:cs="IRNazanin"/>
          <w:lang w:bidi="fa-IR"/>
          <w:color w:val="111111"/>
          <w:sz w:val="28"/>
          <w:szCs w:val="28"/>
          <w:rtl/>
        </w:rPr>
        <w:t xml:space="preserve">متفاوت است. نام برخی از شاعران این جنگ عبارت است از: على بن قزل المشد، شمس الدين محمد بن عبدالرحيم ابن اللبان المنهاجی، قاضی صدرالدین علی بن الادمي الحنفی، ابن الزين لبیکم، عبدالملک بن عبدالرحيم حارثی، احمد بن عبدالسلام الثار ماجی، سعد الدين محمد بن محمد، ابو عمرو العربى القلعی، ابن الواعظ، ابراهیم بن سهل بن ابی العيش اسرائیلی اشبیلی، شیخ قطب الدین حنفی، اسعد بن مماتی، علی سبط الشيخ شرف الدين حنفی، اسعد بن مماتی، علی سبط الشيخ شرف الدين بن الفارض، شرف بن اسماعیل راجح حلی، امیر ناصر الدين بن النقيب، شرف الدين شعیب بن محمد بن میمون غربی، قاضی مهذب بن زبیر، قاضی عبدالوهاب مالکی، قاضي محيي الدين بن عبد الظاهر، الجلند البلدي، سيد سيف الدين على بن قول، نجم الدین محمد بن سوار بن اسرائیل شیبانی دمشقی، شیخ شرف الدين بن عنين، سعد الدين محمد بن عربی، شهاب الدين محمد بن عبدالمنعم معروف به ابن الخيمی، شهاب محمود، صدرالدین بن الوكيل، نجم الدین عماره يمنی، شمس الدين محمد بن فرا الضرير النحوي تاج الدین محمد بن عبدالمنعم بن حواری تنوخي دمشقی، ابواسحاق ابراهيم بن عثمان غزی کلبی، عرقله الدمشقی، مهذب الدين بن الدهان الموصلی مهذب الدين بن القيسرانی، شمس الدين بن صائغ عجمی، ابن المستوفی، نورالدین بن صاحب تکریت، شیخ المشایخ انصاری حموی، ابو نصر احمد بن يوسف المنازی، ابن زقاق، ابوعلی بن الحماره اندلسی، شهاب الدين أحمد بن يهوذا حنفی، شمس الدين محمد بن عبدالكریم موصلی.</w:t>
      </w:r>
    </w:p>
    <w:p>
      <w:pPr>
        <w:pStyle w:val="BookText"/>
      </w:pPr>
      <w:r>
        <w:rPr>
          <w:rFonts w:ascii="Amiri" w:hAnsi="Amiri" w:eastAsia="Amiri" w:cs="Amiri"/>
          <w:lang w:bidi="ar-SA"/>
          <w:color w:val="111111"/>
          <w:sz w:val="28"/>
          <w:szCs w:val="28"/>
          <w:rtl/>
        </w:rPr>
        <w:t xml:space="preserve">[دنا ۷۵۷/۲ ؛ دار الكتب فؤاديه ۱۲۲/۱ ؛ معجم المؤلفين ۲۰۳/۹ ]</w:t>
      </w:r>
    </w:p>
    <w:p>
      <w:pPr>
        <w:pStyle w:val="BookText"/>
      </w:pPr>
      <w:r>
        <w:rPr>
          <w:rFonts w:ascii="IRNazanin" w:hAnsi="IRNazanin" w:eastAsia="IRNazanin" w:cs="IRNazanin"/>
          <w:lang w:bidi="fa-IR"/>
          <w:color w:val="111111"/>
          <w:sz w:val="28"/>
          <w:szCs w:val="28"/>
          <w:rtl/>
        </w:rPr>
        <w:t xml:space="preserve">تهران؛ مجلس؛ شماره نسخه: ۸۷۷ ط</w:t>
      </w:r>
    </w:p>
    <w:p>
      <w:pPr>
        <w:pStyle w:val="BookText"/>
      </w:pPr>
      <w:r>
        <w:rPr>
          <w:rFonts w:ascii="IRNazanin" w:hAnsi="IRNazanin" w:eastAsia="IRNazanin" w:cs="IRNazanin"/>
          <w:lang w:bidi="fa-IR"/>
          <w:color w:val="111111"/>
          <w:sz w:val="28"/>
          <w:szCs w:val="28"/>
          <w:rtl/>
        </w:rPr>
        <w:t xml:space="preserve">آغاز: بسمله و صلى الله ... قال الفقير ... الحمدلله جامع الناس ليوم الاريب فيه، مدبر الخلق ببديع حكمه البليغه ... و بعد فقد سألني من لا استطيع له ردا ولا اجد من امتثال او امره؛ انجام: يبلغ في الأعداء ما يريد *** و هو برى منهم في اكيد خط: نسخ، بی کا، تا: قرن ۹؛ دارای یادداشت: «هذا كتاب تأهيل الغريب تالیف راجی عفور به القريب محمد بن حسن بن على النواجی رحمه الله تعالی و عفى عنه»، دارای شرح حال ابن سراج به نقل از ابن خلکان؛ تملک: عبدالمحسن مشغری بکیری با مهر او؛ جلد: تیماج قهوه ای با ترنج و نیم ترنج، ۲۳۹گ، ۲۳ سطر، اندازه: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۲۴/۲-۵۶]</w:t>
      </w:r>
    </w:p>
    <w:p>
      <w:pPr>
        <w:pStyle w:val="Heading3"/>
      </w:pPr>
      <w:bookmarkStart w:id="2849" w:name="_Toc2109"/>
      <w:r>
        <w:t>•تأییدات / شعر / فارسی</w:t>
      </w:r>
      <w:bookmarkEnd w:id="2849"/>
    </w:p>
    <w:p>
      <w:pPr>
        <w:pStyle w:val="BookText"/>
      </w:pPr>
      <w:r>
        <w:rPr>
          <w:rFonts w:ascii="Times New Roman" w:hAnsi="Times New Roman" w:eastAsia="Times New Roman" w:cs="Times New Roman"/>
          <w:lang w:val="en-US" w:bidi="en-US"/>
          <w:color w:val="111111"/>
          <w:sz w:val="28"/>
          <w:szCs w:val="28"/>
          <w:rtl/>
        </w:rPr>
        <w:t xml:space="preserve">ta'yidat</w:t>
      </w:r>
    </w:p>
    <w:p>
      <w:pPr>
        <w:pStyle w:val="BookText"/>
      </w:pPr>
      <w:r>
        <w:rPr>
          <w:rFonts w:ascii="IRNazanin" w:hAnsi="IRNazanin" w:eastAsia="IRNazanin" w:cs="IRNazanin"/>
          <w:lang w:bidi="fa-IR"/>
          <w:color w:val="111111"/>
          <w:sz w:val="28"/>
          <w:szCs w:val="28"/>
          <w:rtl/>
        </w:rPr>
        <w:t xml:space="preserve">مجذوب تبریزی، محمد بن محمد رضا، ۱۰۹۳ قمری</w:t>
      </w:r>
    </w:p>
    <w:p>
      <w:pPr>
        <w:pStyle w:val="BookText"/>
      </w:pPr>
      <w:r>
        <w:rPr>
          <w:rFonts w:ascii="Times New Roman" w:hAnsi="Times New Roman" w:eastAsia="Times New Roman" w:cs="Times New Roman"/>
          <w:lang w:val="en-US" w:bidi="en-US"/>
          <w:color w:val="111111"/>
          <w:sz w:val="28"/>
          <w:szCs w:val="28"/>
          <w:rtl/>
        </w:rPr>
        <w:t xml:space="preserve">majzūb-e tabrīzī, mohammad ebn-e mohammad rezā ( 1682)</w:t>
      </w:r>
    </w:p>
    <w:p>
      <w:pPr>
        <w:pStyle w:val="BookText"/>
      </w:pPr>
      <w:r>
        <w:rPr>
          <w:rFonts w:ascii="IRNazanin" w:hAnsi="IRNazanin" w:eastAsia="IRNazanin" w:cs="IRNazanin"/>
          <w:lang w:bidi="fa-IR"/>
          <w:color w:val="111111"/>
          <w:sz w:val="28"/>
          <w:szCs w:val="28"/>
          <w:rtl/>
        </w:rPr>
        <w:t xml:space="preserve">اهداء به: شاه سلیمان صفوی تاریخ تأليف: ۱۰۸۸ق منظومه ای است در حقایق و معارف و توحید و اخلاق مشتمل بر سیصد و چهارده بند هفت مصراعی بر وزن رباعی؛ تاریخ نظم ودايع توفیقات» و «عواید توفیقات» است، برابر ۱۰۸۸.</w:t>
      </w:r>
    </w:p>
    <w:p>
      <w:pPr>
        <w:pStyle w:val="BookText"/>
      </w:pPr>
      <w:r>
        <w:rPr>
          <w:rFonts w:ascii="IRNazanin" w:hAnsi="IRNazanin" w:eastAsia="IRNazanin" w:cs="IRNazanin"/>
          <w:lang w:bidi="fa-IR"/>
          <w:color w:val="111111"/>
          <w:sz w:val="28"/>
          <w:szCs w:val="28"/>
          <w:rtl/>
        </w:rPr>
        <w:t xml:space="preserve">آغاز: این درج پراز جواهر تحقیقات</w:t>
      </w:r>
    </w:p>
    <w:p>
      <w:pPr>
        <w:pStyle w:val="BookText"/>
      </w:pPr>
      <w:r>
        <w:rPr>
          <w:rFonts w:ascii="IRNazanin" w:hAnsi="IRNazanin" w:eastAsia="IRNazanin" w:cs="IRNazanin"/>
          <w:lang w:bidi="fa-IR"/>
          <w:color w:val="111111"/>
          <w:sz w:val="28"/>
          <w:szCs w:val="28"/>
          <w:rtl/>
        </w:rPr>
        <w:t xml:space="preserve">***باشد نام مبارکش تأییدات / بیچون چون بود پیش از ایجاد جهان *** با خلق جهان نیز همانست همان / نفزود جهان ساختنش</w:t>
      </w:r>
    </w:p>
    <w:p>
      <w:pPr>
        <w:pStyle w:val="BookText"/>
      </w:pPr>
      <w:r>
        <w:rPr>
          <w:rFonts w:ascii="IRNazanin" w:hAnsi="IRNazanin" w:eastAsia="IRNazanin" w:cs="IRNazanin"/>
          <w:lang w:bidi="fa-IR"/>
          <w:color w:val="111111"/>
          <w:sz w:val="28"/>
          <w:szCs w:val="28"/>
          <w:rtl/>
        </w:rPr>
        <w:t xml:space="preserve">عزت و شان *** او با همه و بی همه باشد سلطان / الأن كما كان كما كان الآن *** بیجا همه جا یکیست پیدا و نهان. اینست ره معرفت ذات و صفات. انجام: هر دل غم دلبری بود دلبندش ***هر دیده رخ کسی کند خرسندش / هر جبهه بسجده یی فرود آرندش *** هر سجده بقبله یی بود پیوندش / هر فرقه رهی گزیده حق دانند ش *** با مهر علی و یازده فرزندش. دین دین نبی است بر محمد صلوات</w:t>
      </w:r>
    </w:p>
    <w:p>
      <w:pPr>
        <w:pStyle w:val="BookText"/>
      </w:pPr>
      <w:r>
        <w:rPr>
          <w:rFonts w:ascii="IRNazanin" w:hAnsi="IRNazanin" w:eastAsia="IRNazanin" w:cs="IRNazanin"/>
          <w:lang w:bidi="fa-IR"/>
          <w:color w:val="111111"/>
          <w:sz w:val="28"/>
          <w:szCs w:val="28"/>
          <w:rtl/>
        </w:rPr>
        <w:t xml:space="preserve">[دنا ۷۶۱/۲ ؛ نسخه های منزوی ۲۷۰۵/۴ ؛ فهرستواره منزوی ۵۰۹/۱۰ ]</w:t>
      </w:r>
    </w:p>
    <w:p>
      <w:pPr>
        <w:pStyle w:val="BookText"/>
      </w:pPr>
      <w:r>
        <w:rPr>
          <w:rFonts w:ascii="IRNazanin" w:hAnsi="IRNazanin" w:eastAsia="IRNazanin" w:cs="IRNazanin"/>
          <w:lang w:bidi="fa-IR"/>
          <w:color w:val="111111"/>
          <w:sz w:val="28"/>
          <w:szCs w:val="28"/>
          <w:rtl/>
        </w:rPr>
        <w:t xml:space="preserve">۱. تهران؛ ملی؛ شماره نسخه:۱۱۰۵</w:t>
      </w:r>
    </w:p>
    <w:p>
      <w:pPr>
        <w:pStyle w:val="BookText"/>
      </w:pPr>
      <w:r>
        <w:rPr>
          <w:rFonts w:ascii="IRNazanin" w:hAnsi="IRNazanin" w:eastAsia="IRNazanin" w:cs="IRNazanin"/>
          <w:lang w:bidi="fa-IR"/>
          <w:color w:val="111111"/>
          <w:sz w:val="28"/>
          <w:szCs w:val="28"/>
          <w:rtl/>
        </w:rPr>
        <w:t xml:space="preserve">آغاز: برابر؛ انجام: چون داشت ودیعها از اخبار ثقات *** تاریخش شد ودایع توفیقات*** تاریخ دگر عواید توفیقات خط: نستعلیق، کاتب =مؤلف، تا: ۱۰۸۸ق؛ کاغذ: فرنگی، جلد: تیماج قرمز، ۴۵گ، ۱۴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سم [ف: ۳-۱۲۷]</w:t>
      </w:r>
    </w:p>
    <w:p>
      <w:pPr>
        <w:pStyle w:val="BookText"/>
      </w:pPr>
      <w:r>
        <w:rPr>
          <w:rFonts w:ascii="IRNazanin" w:hAnsi="IRNazanin" w:eastAsia="IRNazanin" w:cs="IRNazanin"/>
          <w:lang w:bidi="fa-IR"/>
          <w:color w:val="111111"/>
          <w:sz w:val="28"/>
          <w:szCs w:val="28"/>
          <w:rtl/>
        </w:rPr>
        <w:t xml:space="preserve">۲. مشهد؛ رضوی؛ شماره نسخه:۴۴۶۳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بی کا، تا: قرن ۱۱؛ دو صفحه اول تمام تذهیب، دارای دو سرلوح، مجدول، محشی؛ واقف: نایینی؛ کاغذ: نخودی، جلد: چرمی، ۱۳۵ گ، ۱۵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۸/۸ )، اندازه: ۱۷/۵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۲۹/۵سم [ف: ۷- ۲۳۰]</w:t>
      </w:r>
    </w:p>
    <w:p>
      <w:pPr>
        <w:pStyle w:val="BookText"/>
      </w:pPr>
      <w:r>
        <w:rPr>
          <w:rFonts w:ascii="IRNazanin" w:hAnsi="IRNazanin" w:eastAsia="IRNazanin" w:cs="IRNazanin"/>
          <w:lang w:bidi="fa-IR"/>
          <w:color w:val="111111"/>
          <w:sz w:val="28"/>
          <w:szCs w:val="28"/>
          <w:rtl/>
        </w:rPr>
        <w:t xml:space="preserve">٣. تهران؛ مجلس؛ شماره نسخه: ۱۵۹۶۸/۱</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كا: عبدالوهاب بن محمد صادق تبریزی، تا: دهه اول شوال ۱۰۹۸ق؛ مجدول، کمند کشی شده، دارای سه سرلوح مذهب، محشی، رکابه دار؛ تملك: لطفعلی بن محمد کاظم (صدرالافاضل) در صفر ۱۳۴۴ ق با مهر وی؛ جلد: تیماج سرخ، ۱۹۳گ، ۱۴سطر، اندازه: ۱۷/۵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سم [ف: ۴۴-۱۶۲]</w:t>
      </w:r>
    </w:p>
    <w:p>
      <w:pPr>
        <w:pStyle w:val="BookText"/>
      </w:pPr>
      <w:r>
        <w:rPr>
          <w:rFonts w:ascii="IRNazanin" w:hAnsi="IRNazanin" w:eastAsia="IRNazanin" w:cs="IRNazanin"/>
          <w:lang w:bidi="fa-IR"/>
          <w:color w:val="111111"/>
          <w:sz w:val="28"/>
          <w:szCs w:val="28"/>
          <w:rtl/>
        </w:rPr>
        <w:t xml:space="preserve">۴. شیراز؛ علامه طباطبائی؛ شماره نسخه: ۱۴۵۷</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كان محمد صادق بن زوار شعاری کربلائی رضاعلی، تا: جمعه ۱۶ جمادی الاول ۱۲۴۵ق؛ محشی؛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۲۸/۵ سم [ نسخه پژوهی: ۲-۱۲۱]</w:t>
      </w:r>
    </w:p>
    <w:p>
      <w:pPr>
        <w:pStyle w:val="BookText"/>
      </w:pPr>
      <w:r>
        <w:rPr>
          <w:rFonts w:ascii="IRNazanin" w:hAnsi="IRNazanin" w:eastAsia="IRNazanin" w:cs="IRNazanin"/>
          <w:lang w:bidi="fa-IR"/>
          <w:color w:val="111111"/>
          <w:sz w:val="28"/>
          <w:szCs w:val="28"/>
          <w:rtl/>
        </w:rPr>
        <w:t xml:space="preserve">۵. مشهد؛ رضوی؛ شماره نسخه: ۸۷۹۸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۱۲۵۵ق؛ کاغذ کاهی، جلد: مقوایی، ۸۴گ، ۱۸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سم [ف: ۷-۲۳۱]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bookmarkStart w:id="636" w:name="pg20363_209972"/>
    <w:bookmarkEnd w:id="636"/>
    <w:p>
      <w:pPr>
        <w:pStyle w:val="BookText"/>
      </w:pPr>
      <w:r>
        <w:rPr>
          <w:rFonts w:ascii="IRNazanin" w:hAnsi="IRNazanin" w:eastAsia="IRNazanin" w:cs="IRNazanin"/>
          <w:lang w:bidi="fa-IR"/>
          <w:color w:val="111111"/>
          <w:sz w:val="28"/>
          <w:szCs w:val="28"/>
          <w:rtl/>
        </w:rPr>
        <w:t xml:space="preserve">۶. تهران؛ مجلس؛ شماره نسخه: ۷۸۵۷/۱</w:t>
      </w:r>
    </w:p>
    <w:p>
      <w:pPr>
        <w:pStyle w:val="BookText"/>
      </w:pPr>
      <w:r>
        <w:rPr>
          <w:rFonts w:ascii="IRNazanin" w:hAnsi="IRNazanin" w:eastAsia="IRNazanin" w:cs="IRNazanin"/>
          <w:lang w:bidi="fa-IR"/>
          <w:color w:val="111111"/>
          <w:sz w:val="28"/>
          <w:szCs w:val="28"/>
          <w:rtl/>
        </w:rPr>
        <w:t xml:space="preserve">آغاز و انجام: برابر کا: نجفقلی بن محمد رضا ساکن قریه حاجی شاه، تا: شنبه ۱۷ شوال ۱۲۸۳ق؛ جلد: پارچه آبی، ۱۶۵گ (۱ر۱۶۵ر)، ۲۰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۲۶-۳۳۶]</w:t>
      </w:r>
    </w:p>
    <w:p>
      <w:pPr>
        <w:pStyle w:val="Heading3"/>
      </w:pPr>
      <w:bookmarkStart w:id="2850" w:name="_Toc2110"/>
      <w:r>
        <w:t>•تایید الحق / كلام و اعتقادات / عربی</w:t>
      </w:r>
      <w:bookmarkEnd w:id="2850"/>
    </w:p>
    <w:p>
      <w:pPr>
        <w:pStyle w:val="BookText"/>
      </w:pPr>
      <w:r>
        <w:rPr>
          <w:rFonts w:ascii="Times New Roman" w:hAnsi="Times New Roman" w:eastAsia="Times New Roman" w:cs="Times New Roman"/>
          <w:lang w:val="en-US" w:bidi="en-US"/>
          <w:color w:val="111111"/>
          <w:sz w:val="28"/>
          <w:szCs w:val="28"/>
          <w:rtl/>
        </w:rPr>
        <w:t xml:space="preserve">ta'yid-ul haqq</w:t>
      </w:r>
    </w:p>
    <w:p>
      <w:pPr>
        <w:pStyle w:val="BookText"/>
      </w:pPr>
      <w:r>
        <w:rPr>
          <w:rFonts w:ascii="IRNazanin" w:hAnsi="IRNazanin" w:eastAsia="IRNazanin" w:cs="IRNazanin"/>
          <w:lang w:bidi="fa-IR"/>
          <w:color w:val="111111"/>
          <w:sz w:val="28"/>
          <w:szCs w:val="28"/>
          <w:rtl/>
        </w:rPr>
        <w:t xml:space="preserve">طباطبائی، محمد باقر، ق۱۳ قمری</w:t>
      </w:r>
    </w:p>
    <w:p>
      <w:pPr>
        <w:pStyle w:val="BookText"/>
      </w:pPr>
      <w:r>
        <w:rPr>
          <w:rFonts w:ascii="Times New Roman" w:hAnsi="Times New Roman" w:eastAsia="Times New Roman" w:cs="Times New Roman"/>
          <w:lang w:val="en-US" w:bidi="en-US"/>
          <w:color w:val="111111"/>
          <w:sz w:val="28"/>
          <w:szCs w:val="28"/>
          <w:rtl/>
        </w:rPr>
        <w:t xml:space="preserve">tabātabā’11, mohammad bāqer (-19c)</w:t>
      </w:r>
    </w:p>
    <w:p>
      <w:pPr>
        <w:pStyle w:val="BookText"/>
      </w:pPr>
      <w:r>
        <w:rPr>
          <w:rFonts w:ascii="IRNazanin" w:hAnsi="IRNazanin" w:eastAsia="IRNazanin" w:cs="IRNazanin"/>
          <w:lang w:bidi="fa-IR"/>
          <w:color w:val="111111"/>
          <w:sz w:val="28"/>
          <w:szCs w:val="28"/>
          <w:rtl/>
        </w:rPr>
        <w:t xml:space="preserve">تاريخ تأليف: (تأييد الحق برحمة الله =) ۱۶ رجب - پایان ذیحجه ۱۲۸۰ق</w:t>
      </w:r>
    </w:p>
    <w:p>
      <w:pPr>
        <w:pStyle w:val="BookText"/>
      </w:pPr>
      <w:r>
        <w:rPr>
          <w:rFonts w:ascii="IRNazanin" w:hAnsi="IRNazanin" w:eastAsia="IRNazanin" w:cs="IRNazanin"/>
          <w:lang w:bidi="fa-IR"/>
          <w:color w:val="111111"/>
          <w:sz w:val="28"/>
          <w:szCs w:val="28"/>
          <w:rtl/>
        </w:rPr>
        <w:t xml:space="preserve">تهران، دانشگاه؛ شماره نسخه:۳۸۳۳</w:t>
      </w:r>
    </w:p>
    <w:p>
      <w:pPr>
        <w:pStyle w:val="BookText"/>
      </w:pPr>
      <w:r>
        <w:rPr>
          <w:rFonts w:ascii="Amiri" w:hAnsi="Amiri" w:eastAsia="Amiri" w:cs="Amiri"/>
          <w:lang w:bidi="ar-SA"/>
          <w:color w:val="111111"/>
          <w:sz w:val="28"/>
          <w:szCs w:val="28"/>
          <w:rtl/>
        </w:rPr>
        <w:t xml:space="preserve">آغاز: بسمله. الفصل الثاني في ابطال التثليث باقوال المسيح.؛ انجام: على هاجرها الاف التحية.</w:t>
      </w:r>
    </w:p>
    <w:p>
      <w:pPr>
        <w:pStyle w:val="BookText"/>
      </w:pPr>
      <w:r>
        <w:rPr>
          <w:rFonts w:ascii="IRNazanin" w:hAnsi="IRNazanin" w:eastAsia="IRNazanin" w:cs="IRNazanin"/>
          <w:lang w:bidi="fa-IR"/>
          <w:color w:val="111111"/>
          <w:sz w:val="28"/>
          <w:szCs w:val="28"/>
          <w:rtl/>
        </w:rPr>
        <w:t xml:space="preserve">خط: نستعلیق، کاتب = مؤلف، تا: دوشنبه ۱۶ ربیع الثانی ۱۲۸۵ق؛ کاغذ: فرنگی زرد، جلد: مقوا، ۶۱گ، ۲۲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۱۲-۲۸۱۹]</w:t>
      </w:r>
    </w:p>
    <w:p>
      <w:pPr>
        <w:pStyle w:val="Heading3"/>
      </w:pPr>
      <w:bookmarkStart w:id="2851" w:name="_Toc2111"/>
      <w:r>
        <w:t>•تأیید سید محمد حسن سلطان الواعظین کاشانی / گوناگون / فارسی</w:t>
      </w:r>
      <w:bookmarkEnd w:id="2851"/>
    </w:p>
    <w:p>
      <w:pPr>
        <w:pStyle w:val="BookText"/>
      </w:pPr>
      <w:r>
        <w:rPr>
          <w:rFonts w:ascii="Times New Roman" w:hAnsi="Times New Roman" w:eastAsia="Times New Roman" w:cs="Times New Roman"/>
          <w:lang w:val="en-US" w:bidi="en-US"/>
          <w:color w:val="111111"/>
          <w:sz w:val="28"/>
          <w:szCs w:val="28"/>
          <w:rtl/>
        </w:rPr>
        <w:t xml:space="preserve">ta’yīd-e seyyed mohammad hasan soltān-ol-vā‘ezīn-e kāšānī</w:t>
      </w:r>
    </w:p>
    <w:p>
      <w:pPr>
        <w:pStyle w:val="BookText"/>
      </w:pPr>
      <w:r>
        <w:rPr>
          <w:rFonts w:ascii="IRNazanin" w:hAnsi="IRNazanin" w:eastAsia="IRNazanin" w:cs="IRNazanin"/>
          <w:lang w:bidi="fa-IR"/>
          <w:color w:val="111111"/>
          <w:sz w:val="28"/>
          <w:szCs w:val="28"/>
          <w:rtl/>
        </w:rPr>
        <w:t xml:space="preserve">سید محمد حسن سلطان الواعظین کاشانی رساله ای درباره وظایف علما و سلاطین در عصر غیبت نوشته که این مسئله موجب گردیده عده ای از وی انتقاد و او را متهم به کفر و ارتداد نمایند. لذا تعدادی از علمای اسلامی برای رفع اتهام از وی تائیدیه ای نوشته اند که در رساله حاضر جمع آوری شده است. در این رساله تائیدیه این علما موجود است: از علمای خراسان: حاجی محمد ابراهیم، حاجی شیخ عبدالرحیم، میرزا احمد، حاج شیخ جعفر جیلانی؛ از علمای یزد: آقا میرزا محمد تقی، آقای شیخ محمد تقی، ملا محمد اردکانی، میرزا محمد حسین طباطبائی و ... شیخ زین العابدين مازندرانی، میرزا حبیب الله رشتی، سید محمد حسین بحرالعلوم میرزا ابوالقاسم کربلایی طباطبائی، شیخ محمد فاضل شربیانی، شیخ عباس عرب ملا محمد ایروانی. [دنا ۷۶۱/۲ ]</w:t>
      </w:r>
    </w:p>
    <w:p>
      <w:pPr>
        <w:pStyle w:val="BookText"/>
      </w:pPr>
      <w:r>
        <w:rPr>
          <w:rFonts w:ascii="IRNazanin" w:hAnsi="IRNazanin" w:eastAsia="IRNazanin" w:cs="IRNazanin"/>
          <w:lang w:bidi="fa-IR"/>
          <w:color w:val="111111"/>
          <w:sz w:val="28"/>
          <w:szCs w:val="28"/>
          <w:rtl/>
        </w:rPr>
        <w:t xml:space="preserve">قم، گلپایگانی؛ شماره نسخه: ۴۹۶۰- ۲۵/۵۰</w:t>
      </w:r>
    </w:p>
    <w:p>
      <w:pPr>
        <w:pStyle w:val="BookText"/>
      </w:pPr>
      <w:r>
        <w:rPr>
          <w:rFonts w:ascii="IRNazanin" w:hAnsi="IRNazanin" w:eastAsia="IRNazanin" w:cs="IRNazanin"/>
          <w:lang w:bidi="fa-IR"/>
          <w:color w:val="111111"/>
          <w:sz w:val="28"/>
          <w:szCs w:val="28"/>
          <w:rtl/>
        </w:rPr>
        <w:t xml:space="preserve">آغاز: بسمله الحمدلله الذي جعل العزة في ذرية رسوله الأمجد ابی القاسم محمد صلی عليهم مليك السماوات ... و بعد چون حضرات علماء اعلام؛ انجام: یکی هم اتمام حجت بر بعضی از عباد الله لئلا يقولوا يوم القيامة انا کنا عن هذا غافلين و السلام على من اتبع الهدی خط: نستعلیق، كا: زین العابدین بن آقا میرزا شریف قزوینی، تا: محرم ۱۳۰۸ق، چاپ سنگی است؛ جلد: گالینگور، ۱۵گ، ۱۴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۲-۶۷۳]</w:t>
      </w:r>
    </w:p>
    <w:p>
      <w:pPr>
        <w:pStyle w:val="Heading3"/>
      </w:pPr>
      <w:bookmarkStart w:id="2852" w:name="_Toc2112"/>
      <w:r>
        <w:t>•تایید المنه فی السنة / عرفان و تصوف / عربی</w:t>
      </w:r>
      <w:bookmarkEnd w:id="2852"/>
    </w:p>
    <w:p>
      <w:pPr>
        <w:pStyle w:val="BookText"/>
      </w:pPr>
      <w:r>
        <w:rPr>
          <w:rFonts w:ascii="Times New Roman" w:hAnsi="Times New Roman" w:eastAsia="Times New Roman" w:cs="Times New Roman"/>
          <w:lang w:val="en-US" w:bidi="en-US"/>
          <w:color w:val="111111"/>
          <w:sz w:val="28"/>
          <w:szCs w:val="28"/>
          <w:rtl/>
        </w:rPr>
        <w:t xml:space="preserve">ta’yīd-ul minna fī ta’yīd-is sunna</w:t>
      </w:r>
    </w:p>
    <w:p>
      <w:pPr>
        <w:pStyle w:val="BookText"/>
      </w:pPr>
      <w:r>
        <w:rPr>
          <w:rFonts w:ascii="IRNazanin" w:hAnsi="IRNazanin" w:eastAsia="IRNazanin" w:cs="IRNazanin"/>
          <w:lang w:bidi="fa-IR"/>
          <w:color w:val="111111"/>
          <w:sz w:val="28"/>
          <w:szCs w:val="28"/>
          <w:rtl/>
        </w:rPr>
        <w:t xml:space="preserve">بکری صدیقی، محمد بن ابی الحسن، ق ۹۶۲ قمری</w:t>
      </w:r>
    </w:p>
    <w:p>
      <w:pPr>
        <w:pStyle w:val="BookText"/>
      </w:pPr>
      <w:r>
        <w:rPr>
          <w:rFonts w:ascii="Times New Roman" w:hAnsi="Times New Roman" w:eastAsia="Times New Roman" w:cs="Times New Roman"/>
          <w:lang w:val="en-US" w:bidi="en-US"/>
          <w:color w:val="111111"/>
          <w:sz w:val="28"/>
          <w:szCs w:val="28"/>
          <w:rtl/>
        </w:rPr>
        <w:t xml:space="preserve">bakrī-ye sadīqī, mohammad ebn-e ab-el-hasan</w:t>
      </w:r>
    </w:p>
    <w:p>
      <w:pPr>
        <w:pStyle w:val="BookText"/>
      </w:pPr>
      <w:r>
        <w:rPr>
          <w:rFonts w:ascii="IRNazanin" w:hAnsi="IRNazanin" w:eastAsia="IRNazanin" w:cs="IRNazanin"/>
          <w:lang w:bidi="fa-IR"/>
          <w:color w:val="111111"/>
          <w:sz w:val="28"/>
          <w:szCs w:val="28"/>
          <w:rtl/>
        </w:rPr>
        <w:t xml:space="preserve">تاريخ تأليف: ۲۵ محرم ۹۵۹ق؛ محل تأليف: مکه در عرفان، دنباله ای در مکه بر آن افزوده است.</w:t>
      </w:r>
    </w:p>
    <w:p>
      <w:pPr>
        <w:pStyle w:val="BookText"/>
      </w:pPr>
      <w:r>
        <w:rPr>
          <w:rFonts w:ascii="IRNazanin" w:hAnsi="IRNazanin" w:eastAsia="IRNazanin" w:cs="IRNazanin"/>
          <w:lang w:bidi="fa-IR"/>
          <w:color w:val="111111"/>
          <w:sz w:val="28"/>
          <w:szCs w:val="28"/>
          <w:rtl/>
        </w:rPr>
        <w:t xml:space="preserve">[دنا ۷۶۱/۲ ]</w:t>
      </w:r>
    </w:p>
    <w:p>
      <w:pPr>
        <w:pStyle w:val="BookText"/>
      </w:pPr>
      <w:r>
        <w:rPr>
          <w:rFonts w:ascii="IRNazanin" w:hAnsi="IRNazanin" w:eastAsia="IRNazanin" w:cs="IRNazanin"/>
          <w:lang w:bidi="fa-IR"/>
          <w:color w:val="111111"/>
          <w:sz w:val="28"/>
          <w:szCs w:val="28"/>
          <w:rtl/>
        </w:rPr>
        <w:t xml:space="preserve">تهران؛ ملک؛ شماره نسخه: ۱۰۳۷/۴</w:t>
      </w:r>
    </w:p>
    <w:p>
      <w:pPr>
        <w:pStyle w:val="BookText"/>
      </w:pPr>
      <w:r>
        <w:rPr>
          <w:rFonts w:ascii="IRNazanin" w:hAnsi="IRNazanin" w:eastAsia="IRNazanin" w:cs="IRNazanin"/>
          <w:lang w:bidi="fa-IR"/>
          <w:color w:val="111111"/>
          <w:sz w:val="28"/>
          <w:szCs w:val="28"/>
          <w:rtl/>
        </w:rPr>
        <w:t xml:space="preserve">آغاز: قال سیدنا و مولانا ... بسمله. بحمد اللهم شرق انوار الجمال بمشاهدته المعانی؛ انجام: و على آله و صحبه و سلم بی کا، بی تا، کاغذ: پسته ای، جلد: میشن سیاه ضربی [ف: ۵-۲۲۵]</w:t>
      </w:r>
    </w:p>
    <w:p>
      <w:pPr>
        <w:pStyle w:val="Heading3"/>
      </w:pPr>
      <w:bookmarkStart w:id="2853" w:name="_Toc2113"/>
      <w:r>
        <w:t>•تب / طب / فارسی</w:t>
      </w:r>
      <w:bookmarkEnd w:id="2853"/>
    </w:p>
    <w:p>
      <w:pPr>
        <w:pStyle w:val="BookText"/>
      </w:pPr>
      <w:r>
        <w:rPr>
          <w:rFonts w:ascii="Times New Roman" w:hAnsi="Times New Roman" w:eastAsia="Times New Roman" w:cs="Times New Roman"/>
          <w:lang w:val="en-US" w:bidi="en-US"/>
          <w:color w:val="111111"/>
          <w:sz w:val="28"/>
          <w:szCs w:val="28"/>
          <w:rtl/>
        </w:rPr>
        <w:t xml:space="preserve">tab</w:t>
      </w:r>
    </w:p>
    <w:p>
      <w:pPr>
        <w:pStyle w:val="BookText"/>
      </w:pPr>
      <w:r>
        <w:rPr>
          <w:rFonts w:ascii="IRNazanin" w:hAnsi="IRNazanin" w:eastAsia="IRNazanin" w:cs="IRNazanin"/>
          <w:lang w:bidi="fa-IR"/>
          <w:color w:val="111111"/>
          <w:sz w:val="28"/>
          <w:szCs w:val="28"/>
          <w:rtl/>
        </w:rPr>
        <w:t xml:space="preserve">حکیم محمد سعید</w:t>
      </w:r>
    </w:p>
    <w:p>
      <w:pPr>
        <w:pStyle w:val="BookText"/>
      </w:pPr>
      <w:r>
        <w:rPr>
          <w:rFonts w:ascii="Times New Roman" w:hAnsi="Times New Roman" w:eastAsia="Times New Roman" w:cs="Times New Roman"/>
          <w:lang w:val="en-US" w:bidi="en-US"/>
          <w:color w:val="111111"/>
          <w:sz w:val="28"/>
          <w:szCs w:val="28"/>
          <w:rtl/>
        </w:rPr>
        <w:t xml:space="preserve">hakīm, mohammad sa‘īd</w:t>
      </w:r>
    </w:p>
    <w:p>
      <w:pPr>
        <w:pStyle w:val="BookText"/>
      </w:pPr>
      <w:r>
        <w:rPr>
          <w:rFonts w:ascii="IRNazanin" w:hAnsi="IRNazanin" w:eastAsia="IRNazanin" w:cs="IRNazanin"/>
          <w:lang w:bidi="fa-IR"/>
          <w:color w:val="111111"/>
          <w:sz w:val="28"/>
          <w:szCs w:val="28"/>
          <w:rtl/>
        </w:rPr>
        <w:t xml:space="preserve">رساله مختصری است در معالجه تب های شایع به دستور پادشاه ایران (شاید شاه عباس) ساخته؛ مشتمل بر یک «مقدمه» و پنج « فصل» (که فصل پنجم را ندارد) و یک «خاتمه»: مقدمه در تعریف تب و ذکر اجناس آن؛ فصل 1. بیان اقسام مفرده تبهای خلطی و علاج تب صفراوی؛ فصل ۲. بیان تب دموی دائمی که داخل عروقی است؛ فصل ۳. بیان تب بلغمی غیر دائمی؛ فصل ۴. علامات تب سوداوی و علاج آن؛ خاتمه در ذکر نسخه هایی که در اثنای معالجات اسامی آنها ذکر کرده بود. آغاز: و هو يشفى بلطفه الكريم ... به عرض اشرف اعلی میرساند که چون مقرر فرموده بودند که دستورالعمل مجمل در باب بعضی تبهای کثيرالوقوع که شایع و اکثرى الوقوع است نوشته شود لهذا مختصری در كمال اجمال به موقف عرض میرساند و ترتیب میدهد این مختصر را بر یک مقدمه و پنج فصل و خاتمه ... مقدمه در تعریف تب و ذکر اجناس آن. انجام: نسخه معجون حلتیت که به جهت تب ربع نافع است ... و در وقت احتیاج به قد یک مغز فندق کوچک می داده باشند که نافع است ان شاء الله تعالى هذا آخرما اردنا و السلام على من اتبع الهدی</w:t>
      </w:r>
    </w:p>
    <w:p>
      <w:pPr>
        <w:pStyle w:val="BookText"/>
      </w:pPr>
      <w:r>
        <w:rPr>
          <w:rFonts w:ascii="IRNazanin" w:hAnsi="IRNazanin" w:eastAsia="IRNazanin" w:cs="IRNazanin"/>
          <w:lang w:bidi="fa-IR"/>
          <w:color w:val="111111"/>
          <w:sz w:val="28"/>
          <w:szCs w:val="28"/>
          <w:rtl/>
        </w:rPr>
        <w:t xml:space="preserve">[دنا ۷۶۱/۲ (۱ نسخه)؛ مشترک پاکستان ۵۴۸/۱ ]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bookmarkStart w:id="637" w:name="pg20363_209973"/>
    <w:bookmarkEnd w:id="637"/>
    <w:p>
      <w:pPr>
        <w:pStyle w:val="BookText"/>
      </w:pPr>
      <w:r>
        <w:rPr>
          <w:rFonts w:ascii="IRNazanin" w:hAnsi="IRNazanin" w:eastAsia="IRNazanin" w:cs="IRNazanin"/>
          <w:lang w:bidi="fa-IR"/>
          <w:color w:val="111111"/>
          <w:sz w:val="28"/>
          <w:szCs w:val="28"/>
          <w:rtl/>
        </w:rPr>
        <w:t xml:space="preserve">۱. تهران؛ مجلس؛ شماره نسخه: ۱۰۷۲/۱ -طباطبائی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۱۱، کاغذ: اصفهانی شکری، جلد: تیماج قرمز، ۲۷گ (۱پ -۲۷)، ۱۲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سم [ف: ۵۲۵-۲۳]</w:t>
      </w:r>
    </w:p>
    <w:p>
      <w:pPr>
        <w:pStyle w:val="BookText"/>
      </w:pPr>
      <w:r>
        <w:rPr>
          <w:rFonts w:ascii="IRNazanin" w:hAnsi="IRNazanin" w:eastAsia="IRNazanin" w:cs="IRNazanin"/>
          <w:lang w:bidi="fa-IR"/>
          <w:color w:val="111111"/>
          <w:sz w:val="28"/>
          <w:szCs w:val="28"/>
          <w:rtl/>
        </w:rPr>
        <w:t xml:space="preserve">۲. قم؛ گلپایگانی؛ شماره نسخه:۳۱۶۵/۴ - ۱۶/۱۷۵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فهرست با عنوان «حمیات» و بدون مؤلف؛ خط: تحریری بی کا، تا: ۱۰۸۴ق، جلد: مقوا عطف پارچه مشکی، ۱۷گ، ۱۳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[ف: ۳-۱۶۸۲]</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دانشگاه؛ شماره نسخه: ۸۷۴۲/۱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فهرست ناشناس آمده؛ خط: نستعلیق، بی کا، بی تا، کاغذ: هندی، جلد: مقوا عطف تیماج حنایی، ۱۳گ (۳-۱۵ر)، ۲۱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[ف: ۱۷-۲۰۸]</w:t>
      </w:r>
    </w:p>
    <w:p>
      <w:pPr>
        <w:pStyle w:val="BookText"/>
      </w:pPr>
      <w:r>
        <w:rPr>
          <w:rFonts w:ascii="IRNazanin" w:hAnsi="IRNazanin" w:eastAsia="IRNazanin" w:cs="IRNazanin"/>
          <w:lang w:bidi="fa-IR"/>
          <w:color w:val="111111"/>
          <w:sz w:val="28"/>
          <w:szCs w:val="28"/>
          <w:rtl/>
        </w:rPr>
        <w:t xml:space="preserve">۴. تهران؛ مجلس؛ شماره نسخه:۳۹۳۶/۷</w:t>
      </w:r>
    </w:p>
    <w:p>
      <w:pPr>
        <w:pStyle w:val="BookText"/>
      </w:pPr>
      <w:r>
        <w:rPr>
          <w:rFonts w:ascii="IRNazanin" w:hAnsi="IRNazanin" w:eastAsia="IRNazanin" w:cs="IRNazanin"/>
          <w:lang w:bidi="fa-IR"/>
          <w:color w:val="111111"/>
          <w:sz w:val="28"/>
          <w:szCs w:val="28"/>
          <w:rtl/>
        </w:rPr>
        <w:t xml:space="preserve">آغاز و انجام: برابر در فهرست ناشناس آمده؛ بی کا، بی تا؛ کاغذ: نخودی آهار مهره، جلد: تیماج مشکی با ترنج و نیم ترنج، ۳۵ص (۱۷۳-۲۰۷)، ۱۵ و ۲۴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۱۰-۲۰۵۱]</w:t>
      </w:r>
    </w:p>
    <w:p>
      <w:pPr>
        <w:pStyle w:val="BookText"/>
      </w:pPr>
      <w:r>
        <w:rPr>
          <w:rFonts w:ascii="IRNazanin" w:hAnsi="IRNazanin" w:eastAsia="IRNazanin" w:cs="IRNazanin"/>
          <w:lang w:bidi="fa-IR"/>
          <w:color w:val="111111"/>
          <w:sz w:val="28"/>
          <w:szCs w:val="28"/>
          <w:rtl/>
        </w:rPr>
        <w:t xml:space="preserve">تهران؛ دانشگاه؛ شماره نسخه:۲۲۹۶/۶ -ف</w:t>
      </w:r>
    </w:p>
    <w:p>
      <w:pPr>
        <w:pStyle w:val="BookText"/>
      </w:pPr>
      <w:r>
        <w:rPr>
          <w:rFonts w:ascii="Amiri" w:hAnsi="Amiri" w:eastAsia="Amiri" w:cs="Amiri"/>
          <w:lang w:bidi="ar-SA"/>
          <w:color w:val="111111"/>
          <w:sz w:val="28"/>
          <w:szCs w:val="28"/>
          <w:rtl/>
        </w:rPr>
        <w:t xml:space="preserve">نسخه اصل: همان نسخه بالا [فيلمها ف: ۱-۶۶۹]</w:t>
      </w:r>
    </w:p>
    <w:p>
      <w:pPr>
        <w:pStyle w:val="Heading3"/>
      </w:pPr>
      <w:bookmarkStart w:id="2854" w:name="_Toc2114"/>
      <w:r>
        <w:t>•تب طب / فارسی</w:t>
      </w:r>
      <w:bookmarkEnd w:id="2854"/>
    </w:p>
    <w:p>
      <w:pPr>
        <w:pStyle w:val="BookText"/>
      </w:pPr>
      <w:r>
        <w:rPr>
          <w:rFonts w:ascii="Times New Roman" w:hAnsi="Times New Roman" w:eastAsia="Times New Roman" w:cs="Times New Roman"/>
          <w:lang w:val="en-US" w:bidi="en-US"/>
          <w:color w:val="111111"/>
          <w:sz w:val="28"/>
          <w:szCs w:val="28"/>
          <w:rtl/>
        </w:rPr>
        <w:t xml:space="preserve">tab</w:t>
      </w:r>
    </w:p>
    <w:p>
      <w:pPr>
        <w:pStyle w:val="BookText"/>
      </w:pPr>
      <w:r>
        <w:rPr>
          <w:rFonts w:ascii="IRNazanin" w:hAnsi="IRNazanin" w:eastAsia="IRNazanin" w:cs="IRNazanin"/>
          <w:lang w:bidi="fa-IR"/>
          <w:color w:val="111111"/>
          <w:sz w:val="28"/>
          <w:szCs w:val="28"/>
          <w:rtl/>
        </w:rPr>
        <w:t xml:space="preserve">در این رساله از تب و نشانه ها و دارو و درمان آن گفتگو می شود.</w:t>
      </w:r>
    </w:p>
    <w:p>
      <w:pPr>
        <w:pStyle w:val="BookText"/>
      </w:pPr>
      <w:r>
        <w:rPr>
          <w:rFonts w:ascii="IRNazanin" w:hAnsi="IRNazanin" w:eastAsia="IRNazanin" w:cs="IRNazanin"/>
          <w:lang w:bidi="fa-IR"/>
          <w:color w:val="111111"/>
          <w:sz w:val="28"/>
          <w:szCs w:val="28"/>
          <w:rtl/>
        </w:rPr>
        <w:t xml:space="preserve">تهران؛ دانشگاه؛ شماره نسخه: ۱۰۴۶/۳۷</w:t>
      </w:r>
    </w:p>
    <w:p>
      <w:pPr>
        <w:pStyle w:val="BookText"/>
      </w:pPr>
      <w:r>
        <w:rPr>
          <w:rFonts w:ascii="IRNazanin" w:hAnsi="IRNazanin" w:eastAsia="IRNazanin" w:cs="IRNazanin"/>
          <w:lang w:bidi="fa-IR"/>
          <w:color w:val="111111"/>
          <w:sz w:val="28"/>
          <w:szCs w:val="28"/>
          <w:rtl/>
        </w:rPr>
        <w:t xml:space="preserve">آغاز: بسمله و حمد و صلوة. أما بعد طريق تدبیر آنستکه چون از تب بهم رسد خالی از آن نیست که سرفه دارد یا نه.؛ انجام: که منذر بسرسام است. حقنه اولی است خصوصا وقتیکه شود. تم بعون الله و حسن توفيقه. خط: نستعلیق، کا: رجبعلی بن جواد علی، تا: تقریبا ۱۰۷۱ق؛ ۳ص ( ۱۷۴-۱۷۲ ) [ف: ۴-۷۲۶]</w:t>
      </w:r>
    </w:p>
    <w:p>
      <w:pPr>
        <w:pStyle w:val="Heading3"/>
      </w:pPr>
      <w:bookmarkStart w:id="2855" w:name="_Toc2115"/>
      <w:r>
        <w:t>•التبادر (رسالة في) / اصول فقه / عربی</w:t>
      </w:r>
      <w:bookmarkEnd w:id="2855"/>
    </w:p>
    <w:p>
      <w:pPr>
        <w:pStyle w:val="BookText"/>
      </w:pPr>
      <w:r>
        <w:rPr>
          <w:rFonts w:ascii="Times New Roman" w:hAnsi="Times New Roman" w:eastAsia="Times New Roman" w:cs="Times New Roman"/>
          <w:lang w:val="en-US" w:bidi="en-US"/>
          <w:color w:val="111111"/>
          <w:sz w:val="28"/>
          <w:szCs w:val="28"/>
          <w:rtl/>
        </w:rPr>
        <w:t xml:space="preserve">at-tabādur (r.-un fi)</w:t>
      </w:r>
    </w:p>
    <w:p>
      <w:pPr>
        <w:pStyle w:val="BookText"/>
      </w:pPr>
      <w:r>
        <w:rPr>
          <w:rFonts w:ascii="IRNazanin" w:hAnsi="IRNazanin" w:eastAsia="IRNazanin" w:cs="IRNazanin"/>
          <w:lang w:bidi="fa-IR"/>
          <w:color w:val="111111"/>
          <w:sz w:val="28"/>
          <w:szCs w:val="28"/>
          <w:rtl/>
        </w:rPr>
        <w:t xml:space="preserve">آرانی کاشانی، ابوطالب بن محمد حسن، ق۱۳ قمری</w:t>
      </w:r>
    </w:p>
    <w:p>
      <w:pPr>
        <w:pStyle w:val="BookText"/>
      </w:pPr>
      <w:r>
        <w:rPr>
          <w:rFonts w:ascii="Times New Roman" w:hAnsi="Times New Roman" w:eastAsia="Times New Roman" w:cs="Times New Roman"/>
          <w:lang w:val="en-US" w:bidi="en-US"/>
          <w:color w:val="111111"/>
          <w:sz w:val="28"/>
          <w:szCs w:val="28"/>
          <w:rtl/>
        </w:rPr>
        <w:t xml:space="preserve">ārānī kāšānī, abu-tāleb ebn-e mohammad hasan (-190)</w:t>
      </w:r>
    </w:p>
    <w:p>
      <w:pPr>
        <w:pStyle w:val="BookText"/>
      </w:pPr>
      <w:r>
        <w:rPr>
          <w:rFonts w:ascii="IRNazanin" w:hAnsi="IRNazanin" w:eastAsia="IRNazanin" w:cs="IRNazanin"/>
          <w:lang w:bidi="fa-IR"/>
          <w:color w:val="111111"/>
          <w:sz w:val="28"/>
          <w:szCs w:val="28"/>
          <w:rtl/>
        </w:rPr>
        <w:t xml:space="preserve">تاریخ تأليف: ۱۵ ذیحجه ۱۲۴۱ق رساله ای کوتاه در مباحث مربوط به تبادر که با استفاده از نظرات استادش «سید علی طباطبایی حائری» (-۱۲۳۱ ق) در شش</w:t>
      </w:r>
    </w:p>
    <w:p>
      <w:pPr>
        <w:pStyle w:val="BookText"/>
      </w:pPr>
      <w:r>
        <w:rPr>
          <w:rFonts w:ascii="IRNazanin" w:hAnsi="IRNazanin" w:eastAsia="IRNazanin" w:cs="IRNazanin"/>
          <w:lang w:bidi="fa-IR"/>
          <w:color w:val="111111"/>
          <w:sz w:val="28"/>
          <w:szCs w:val="28"/>
          <w:rtl/>
        </w:rPr>
        <w:t xml:space="preserve">حديقه» و یک «خاتمه» نگاشته: حديقه ۱. تعريف التبادر؛ ۲. تقسيمه؛ ۳. محل البحث؛ ۴. حجيته؛ ۵. ثمرة التبادر؛ ۶. دفع الشبهات الواردة؛ خاتمة، ما صورة الجهل بالحال.</w:t>
      </w:r>
    </w:p>
    <w:p>
      <w:pPr>
        <w:pStyle w:val="BookText"/>
      </w:pPr>
      <w:r>
        <w:rPr>
          <w:rFonts w:ascii="IRNazanin" w:hAnsi="IRNazanin" w:eastAsia="IRNazanin" w:cs="IRNazanin"/>
          <w:lang w:bidi="fa-IR"/>
          <w:color w:val="111111"/>
          <w:sz w:val="28"/>
          <w:szCs w:val="28"/>
          <w:rtl/>
        </w:rPr>
        <w:t xml:space="preserve">[دنا ۷۶۲/۲ ]</w:t>
      </w:r>
    </w:p>
    <w:p>
      <w:pPr>
        <w:pStyle w:val="BookText"/>
      </w:pPr>
      <w:r>
        <w:rPr>
          <w:rFonts w:ascii="IRNazanin" w:hAnsi="IRNazanin" w:eastAsia="IRNazanin" w:cs="IRNazanin"/>
          <w:lang w:bidi="fa-IR"/>
          <w:color w:val="111111"/>
          <w:sz w:val="28"/>
          <w:szCs w:val="28"/>
          <w:rtl/>
        </w:rPr>
        <w:t xml:space="preserve">آران کاشان؛ محمد هلال؛ شماره نسخه: ۷۱/۲</w:t>
      </w:r>
    </w:p>
    <w:p>
      <w:pPr>
        <w:pStyle w:val="BookText"/>
      </w:pPr>
      <w:r>
        <w:rPr>
          <w:rFonts w:ascii="IRNazanin" w:hAnsi="IRNazanin" w:eastAsia="IRNazanin" w:cs="IRNazanin"/>
          <w:lang w:bidi="fa-IR"/>
          <w:color w:val="111111"/>
          <w:sz w:val="28"/>
          <w:szCs w:val="28"/>
          <w:rtl/>
        </w:rPr>
        <w:t xml:space="preserve">آغاز: في التبادر و تحقيق الكلام فيه يتوقف على التعرض لتعريفه واقسامه و حجيته و ... و غير ذلك مما سيجيء فههنا عدة مطالب يتكفلها عدة حدائق الحديقة الأولى في تعريفه ففي المناهج انه فهم المعنى من اللفظ؛ انجام: و لذا هو عليه يقدم فالاوجه في التعليل ما ذكره الاستاذ نفعنا الله بما اثبتنا يوم التناد. کامل ؛ خط: نسخ، كاتب = مؤلف، تا: ۱۵ ذیحجه ۱۲۴۱ق؛ مصحح، محشی از مؤلف؛ جلد: تیماج قهوهای، ۱۷ص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۷۰)،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مخ:-۶۶]</w:t>
      </w:r>
    </w:p>
    <w:p>
      <w:pPr>
        <w:pStyle w:val="BookText"/>
      </w:pPr>
      <w:r>
        <w:rPr>
          <w:rFonts w:ascii="IRNazanin" w:hAnsi="IRNazanin" w:eastAsia="IRNazanin" w:cs="IRNazanin"/>
          <w:lang w:bidi="fa-IR"/>
          <w:color w:val="111111"/>
          <w:sz w:val="28"/>
          <w:szCs w:val="28"/>
          <w:rtl/>
        </w:rPr>
        <w:t xml:space="preserve">قم، مرکز احیاء؛ شماره نسخه: ۲۹۸/۲</w:t>
      </w:r>
    </w:p>
    <w:p>
      <w:pPr>
        <w:pStyle w:val="BookText"/>
      </w:pPr>
      <w:r>
        <w:rPr>
          <w:rFonts w:ascii="IRNazanin" w:hAnsi="IRNazanin" w:eastAsia="IRNazanin" w:cs="IRNazanin"/>
          <w:lang w:bidi="fa-IR"/>
          <w:color w:val="111111"/>
          <w:sz w:val="28"/>
          <w:szCs w:val="28"/>
          <w:rtl/>
        </w:rPr>
        <w:t xml:space="preserve">نسخه اصل: همان نسخه بالا[عکسی ف: ۱-۳۵۲]</w:t>
      </w:r>
    </w:p>
    <w:p>
      <w:pPr>
        <w:pStyle w:val="BookText"/>
      </w:pPr>
      <w:r>
        <w:rPr>
          <w:rFonts w:ascii="Amiri" w:hAnsi="Amiri" w:eastAsia="Amiri" w:cs="Amiri"/>
          <w:lang w:bidi="ar-SA"/>
          <w:color w:val="111111"/>
          <w:sz w:val="28"/>
          <w:szCs w:val="28"/>
          <w:rtl/>
        </w:rPr>
        <w:t xml:space="preserve">← التباشير ←الطباشير</w:t>
      </w:r>
    </w:p>
    <w:p>
      <w:pPr>
        <w:pStyle w:val="Heading3"/>
      </w:pPr>
      <w:bookmarkStart w:id="2856" w:name="_Toc2116"/>
      <w:r>
        <w:t>•التباعد بين البئر و البالوعة / فقه / عربی</w:t>
      </w:r>
      <w:bookmarkEnd w:id="2856"/>
    </w:p>
    <w:p>
      <w:pPr>
        <w:pStyle w:val="BookText"/>
      </w:pPr>
      <w:r>
        <w:rPr>
          <w:rFonts w:ascii="Times New Roman" w:hAnsi="Times New Roman" w:eastAsia="Times New Roman" w:cs="Times New Roman"/>
          <w:lang w:val="en-US" w:bidi="en-US"/>
          <w:color w:val="111111"/>
          <w:sz w:val="28"/>
          <w:szCs w:val="28"/>
          <w:rtl/>
        </w:rPr>
        <w:t xml:space="preserve">at-tabāʻud bayn-al bi’r wa-l bālū‘a</w:t>
      </w:r>
    </w:p>
    <w:p>
      <w:pPr>
        <w:pStyle w:val="BookText"/>
      </w:pPr>
      <w:r>
        <w:rPr>
          <w:rFonts w:ascii="IRNazanin" w:hAnsi="IRNazanin" w:eastAsia="IRNazanin" w:cs="IRNazanin"/>
          <w:lang w:bidi="fa-IR"/>
          <w:color w:val="111111"/>
          <w:sz w:val="28"/>
          <w:szCs w:val="28"/>
          <w:rtl/>
        </w:rPr>
        <w:t xml:space="preserve">حسنی حسینی، مسعود بن فضل الله، ق ۱۱ قمری</w:t>
      </w:r>
    </w:p>
    <w:p>
      <w:pPr>
        <w:pStyle w:val="BookText"/>
      </w:pPr>
      <w:r>
        <w:rPr>
          <w:rFonts w:ascii="Times New Roman" w:hAnsi="Times New Roman" w:eastAsia="Times New Roman" w:cs="Times New Roman"/>
          <w:lang w:val="en-US" w:bidi="en-US"/>
          <w:color w:val="111111"/>
          <w:sz w:val="28"/>
          <w:szCs w:val="28"/>
          <w:rtl/>
        </w:rPr>
        <w:t xml:space="preserve">hasanī hoseynī, mas‘ūd ebn-e fazl-ol-lāh (-17c)</w:t>
      </w:r>
    </w:p>
    <w:p>
      <w:pPr>
        <w:pStyle w:val="BookText"/>
      </w:pPr>
      <w:r>
        <w:rPr>
          <w:rFonts w:ascii="IRNazanin" w:hAnsi="IRNazanin" w:eastAsia="IRNazanin" w:cs="IRNazanin"/>
          <w:lang w:bidi="fa-IR"/>
          <w:color w:val="111111"/>
          <w:sz w:val="28"/>
          <w:szCs w:val="28"/>
          <w:rtl/>
        </w:rPr>
        <w:t xml:space="preserve">تاريخ تأليف: ۱۰۳۱ق در این بحث بسیار کوتاه بیست چهار وجهی که تصویر می شود در روایت هایی که می گویند مستحب است بین چاه و بالوعه پنج ذرع فاصله باشد، تشریح شده و دائره ای برای مجسم نمودن موضوع ترسیم کرده است. آن را بدرخواست بعض الاخوان تالیف کرده است.</w:t>
      </w:r>
    </w:p>
    <w:p>
      <w:pPr>
        <w:pStyle w:val="BookText"/>
      </w:pPr>
      <w:r>
        <w:rPr>
          <w:rFonts w:ascii="IRNazanin" w:hAnsi="IRNazanin" w:eastAsia="IRNazanin" w:cs="IRNazanin"/>
          <w:lang w:bidi="fa-IR"/>
          <w:color w:val="111111"/>
          <w:sz w:val="28"/>
          <w:szCs w:val="28"/>
          <w:rtl/>
        </w:rPr>
        <w:t xml:space="preserve">[دنا ۷۶۲/۲ ]</w:t>
      </w:r>
    </w:p>
    <w:p>
      <w:pPr>
        <w:pStyle w:val="BookText"/>
      </w:pPr>
      <w:r>
        <w:rPr>
          <w:rFonts w:ascii="IRNazanin" w:hAnsi="IRNazanin" w:eastAsia="IRNazanin" w:cs="IRNazanin"/>
          <w:lang w:bidi="fa-IR"/>
          <w:color w:val="111111"/>
          <w:sz w:val="28"/>
          <w:szCs w:val="28"/>
          <w:rtl/>
        </w:rPr>
        <w:t xml:space="preserve">قم؛ گلپایگانی؛ شماره نسخه: ۳۸۲۶/۱۰ - ۱۹/۱۵۶</w:t>
      </w:r>
    </w:p>
    <w:p>
      <w:pPr>
        <w:pStyle w:val="BookText"/>
      </w:pPr>
      <w:r>
        <w:rPr>
          <w:rFonts w:ascii="IRNazanin" w:hAnsi="IRNazanin" w:eastAsia="IRNazanin" w:cs="IRNazanin"/>
          <w:lang w:bidi="fa-IR"/>
          <w:color w:val="111111"/>
          <w:sz w:val="28"/>
          <w:szCs w:val="28"/>
          <w:rtl/>
        </w:rPr>
        <w:t xml:space="preserve">آغاز: بسمله. الحمدلله حق حمده و الصلوة على من لانبی بعده و آله الأوصياء بعده و بعد فاعلم أن التباعد بين البئر و البالوعة مستحب بقدر خمسة أذرع أن كانت الأرض صلبة أو كانت البئر فوقها أو كانت البئر الى جانب الشمال و بقدر سبعة أذرع ان لم يكن كذلك تنبيه الصور في هذه المسئلة أربع وعشرون؛ انجام: انجام: توضیح فاعلم بعد النظر في الجدول و تحقيق الصور بكيفية تباعدهما في كل واحدة من الصور.. لتبيين اقسام هذه المسألة اجابة بعض الاخوان و انا الفقير اضعف عبادالله الغني مسعود بن فضل الله الحسنی الحسینی في سنة ۱۰۳۱ خط: نستعلیق، کاتب = مؤلف، تا: ۱۰۵۷ق، جا: دارالسلطنه اصفهان؛ جلد: تیماج قهوه ای، اگ، ۱۹ سطر، اندازه: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bookmarkStart w:id="638" w:name="pg20363_209974"/>
    <w:bookmarkEnd w:id="638"/>
    <w:p>
      <w:pPr>
        <w:pStyle w:val="BookText"/>
      </w:pPr>
      <w:r>
        <w:rPr>
          <w:rFonts w:ascii="IRNazanin" w:hAnsi="IRNazanin" w:eastAsia="IRNazanin" w:cs="IRNazanin"/>
          <w:lang w:bidi="fa-IR"/>
          <w:color w:val="111111"/>
          <w:sz w:val="28"/>
          <w:szCs w:val="28"/>
          <w:rtl/>
        </w:rPr>
        <w:t xml:space="preserve">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سم [ف: ۲-۷۰۶]</w:t>
      </w:r>
    </w:p>
    <w:p>
      <w:pPr>
        <w:pStyle w:val="BookText"/>
      </w:pPr>
      <w:r>
        <w:rPr>
          <w:rFonts w:ascii="IRNazanin" w:hAnsi="IRNazanin" w:eastAsia="IRNazanin" w:cs="IRNazanin"/>
          <w:lang w:bidi="fa-IR"/>
          <w:color w:val="111111"/>
          <w:sz w:val="28"/>
          <w:szCs w:val="28"/>
          <w:rtl/>
        </w:rPr>
        <w:t xml:space="preserve">قم؛ مرعشی؛ شماره نسخه: ۱۳۹۶/۱۶</w:t>
      </w:r>
    </w:p>
    <w:p>
      <w:pPr>
        <w:pStyle w:val="BookText"/>
      </w:pPr>
      <w:r>
        <w:rPr>
          <w:rFonts w:ascii="IRNazanin" w:hAnsi="IRNazanin" w:eastAsia="IRNazanin" w:cs="IRNazanin"/>
          <w:lang w:bidi="fa-IR"/>
          <w:color w:val="111111"/>
          <w:sz w:val="28"/>
          <w:szCs w:val="28"/>
          <w:rtl/>
        </w:rPr>
        <w:t xml:space="preserve">نسخه اصل: همان نسخه بالا [عکسی ف: ۳-۶۶۴]</w:t>
      </w:r>
    </w:p>
    <w:p>
      <w:pPr>
        <w:pStyle w:val="Heading3"/>
      </w:pPr>
      <w:bookmarkStart w:id="2857" w:name="_Toc2117"/>
      <w:r>
        <w:t>•التباعد بين البئر و البالوعة / فقه / عربی</w:t>
      </w:r>
      <w:bookmarkEnd w:id="2857"/>
    </w:p>
    <w:p>
      <w:pPr>
        <w:pStyle w:val="BookText"/>
      </w:pPr>
      <w:r>
        <w:rPr>
          <w:rFonts w:ascii="Times New Roman" w:hAnsi="Times New Roman" w:eastAsia="Times New Roman" w:cs="Times New Roman"/>
          <w:lang w:val="en-US" w:bidi="en-US"/>
          <w:color w:val="111111"/>
          <w:sz w:val="28"/>
          <w:szCs w:val="28"/>
          <w:rtl/>
        </w:rPr>
        <w:t xml:space="preserve">at-tabāʻud bayn-al bi’r wa-l bālū‘a</w:t>
      </w:r>
    </w:p>
    <w:p>
      <w:pPr>
        <w:pStyle w:val="BookText"/>
      </w:pPr>
      <w:r>
        <w:rPr>
          <w:rFonts w:ascii="IRNazanin" w:hAnsi="IRNazanin" w:eastAsia="IRNazanin" w:cs="IRNazanin"/>
          <w:lang w:bidi="fa-IR"/>
          <w:color w:val="111111"/>
          <w:sz w:val="28"/>
          <w:szCs w:val="28"/>
          <w:rtl/>
        </w:rPr>
        <w:t xml:space="preserve">تهران؛ مجلس؛ شماره نسخه:۱۱۳۰۵/۷</w:t>
      </w:r>
    </w:p>
    <w:p>
      <w:pPr>
        <w:pStyle w:val="BookText"/>
      </w:pPr>
      <w:r>
        <w:rPr>
          <w:rFonts w:ascii="IRNazanin" w:hAnsi="IRNazanin" w:eastAsia="IRNazanin" w:cs="IRNazanin"/>
          <w:lang w:bidi="fa-IR"/>
          <w:color w:val="111111"/>
          <w:sz w:val="28"/>
          <w:szCs w:val="28"/>
          <w:rtl/>
        </w:rPr>
        <w:t xml:space="preserve">خط: نسخ، كا: عبدالله دامغانی، تا: قرن ۱۱ [مختصر ف: ۱۳۰]</w:t>
      </w:r>
    </w:p>
    <w:p>
      <w:pPr>
        <w:pStyle w:val="BookText"/>
      </w:pPr>
      <w:r>
        <w:rPr>
          <w:rFonts w:ascii="IRNazanin" w:hAnsi="IRNazanin" w:eastAsia="IRNazanin" w:cs="IRNazanin"/>
          <w:lang w:bidi="fa-IR"/>
          <w:color w:val="111111"/>
          <w:sz w:val="28"/>
          <w:szCs w:val="28"/>
          <w:rtl/>
        </w:rPr>
        <w:t xml:space="preserve">←التبانیات← اجوبة المسائل التبانيات في حرمة العمل بأخبار الآحاد</w:t>
      </w:r>
    </w:p>
    <w:p>
      <w:pPr>
        <w:pStyle w:val="Heading3"/>
      </w:pPr>
      <w:bookmarkStart w:id="2858" w:name="_Toc2118"/>
      <w:r>
        <w:t>•تبدل رأى المجتهد / اصول فقه / عربی</w:t>
      </w:r>
      <w:bookmarkEnd w:id="2858"/>
    </w:p>
    <w:p>
      <w:pPr>
        <w:pStyle w:val="BookText"/>
      </w:pPr>
      <w:r>
        <w:rPr>
          <w:rFonts w:ascii="Times New Roman" w:hAnsi="Times New Roman" w:eastAsia="Times New Roman" w:cs="Times New Roman"/>
          <w:lang w:val="en-US" w:bidi="en-US"/>
          <w:color w:val="111111"/>
          <w:sz w:val="28"/>
          <w:szCs w:val="28"/>
          <w:rtl/>
        </w:rPr>
        <w:t xml:space="preserve">tabaddul-i ra’y-il mujtahid</w:t>
      </w:r>
    </w:p>
    <w:p>
      <w:pPr>
        <w:pStyle w:val="BookText"/>
      </w:pPr>
      <w:r>
        <w:rPr>
          <w:rFonts w:ascii="IRNazanin" w:hAnsi="IRNazanin" w:eastAsia="IRNazanin" w:cs="IRNazanin"/>
          <w:lang w:bidi="fa-IR"/>
          <w:color w:val="111111"/>
          <w:sz w:val="28"/>
          <w:szCs w:val="28"/>
          <w:rtl/>
        </w:rPr>
        <w:t xml:space="preserve">انصاری، مرتضی بن محمد امین، ۱۲۱۴-۱۲۸۱ قمری</w:t>
      </w:r>
    </w:p>
    <w:p>
      <w:pPr>
        <w:pStyle w:val="BookText"/>
      </w:pPr>
      <w:r>
        <w:rPr>
          <w:rFonts w:ascii="Times New Roman" w:hAnsi="Times New Roman" w:eastAsia="Times New Roman" w:cs="Times New Roman"/>
          <w:lang w:val="en-US" w:bidi="en-US"/>
          <w:color w:val="111111"/>
          <w:sz w:val="28"/>
          <w:szCs w:val="28"/>
          <w:rtl/>
        </w:rPr>
        <w:t xml:space="preserve">ansārī, morteza ebn-e mohammad amīn (1800-1865)</w:t>
      </w:r>
    </w:p>
    <w:p>
      <w:pPr>
        <w:pStyle w:val="BookText"/>
      </w:pPr>
      <w:r>
        <w:rPr>
          <w:rFonts w:ascii="IRNazanin" w:hAnsi="IRNazanin" w:eastAsia="IRNazanin" w:cs="IRNazanin"/>
          <w:lang w:bidi="fa-IR"/>
          <w:color w:val="111111"/>
          <w:sz w:val="28"/>
          <w:szCs w:val="28"/>
          <w:rtl/>
        </w:rPr>
        <w:t xml:space="preserve">تهران؛ مجلس؛ شماره نسخه: ۱۱۴۸۴/۱۰</w:t>
      </w:r>
    </w:p>
    <w:p>
      <w:pPr>
        <w:pStyle w:val="BookText"/>
      </w:pPr>
      <w:r>
        <w:rPr>
          <w:rFonts w:ascii="IRNazanin" w:hAnsi="IRNazanin" w:eastAsia="IRNazanin" w:cs="IRNazanin"/>
          <w:lang w:bidi="fa-IR"/>
          <w:color w:val="111111"/>
          <w:sz w:val="28"/>
          <w:szCs w:val="28"/>
          <w:rtl/>
        </w:rPr>
        <w:t xml:space="preserve">خط: نسخ، بی کا، تا: حدود ۱۳۰۱ق؛ ۲ص (۱۶۹-۱۷۰) [مختصر ف: ۳۱۸]</w:t>
      </w:r>
    </w:p>
    <w:p>
      <w:pPr>
        <w:pStyle w:val="Heading3"/>
      </w:pPr>
      <w:bookmarkStart w:id="2859" w:name="_Toc2119"/>
      <w:r>
        <w:t>•تبدیل اکسیر و معرفت کیمیا / كيميا / فارسی</w:t>
      </w:r>
      <w:bookmarkEnd w:id="2859"/>
    </w:p>
    <w:p>
      <w:pPr>
        <w:pStyle w:val="BookText"/>
      </w:pPr>
      <w:r>
        <w:rPr>
          <w:rFonts w:ascii="Times New Roman" w:hAnsi="Times New Roman" w:eastAsia="Times New Roman" w:cs="Times New Roman"/>
          <w:lang w:val="en-US" w:bidi="en-US"/>
          <w:color w:val="111111"/>
          <w:sz w:val="28"/>
          <w:szCs w:val="28"/>
          <w:rtl/>
        </w:rPr>
        <w:t xml:space="preserve">tabdīl-e eksīr va ma'refat-e kīmīyā</w:t>
      </w:r>
    </w:p>
    <w:p>
      <w:pPr>
        <w:pStyle w:val="BookText"/>
      </w:pPr>
      <w:r>
        <w:rPr>
          <w:rFonts w:ascii="IRNazanin" w:hAnsi="IRNazanin" w:eastAsia="IRNazanin" w:cs="IRNazanin"/>
          <w:lang w:bidi="fa-IR"/>
          <w:color w:val="111111"/>
          <w:sz w:val="28"/>
          <w:szCs w:val="28"/>
          <w:rtl/>
        </w:rPr>
        <w:t xml:space="preserve">تهران؛ مفتاح؛ شماره نسخه:۱۳۲۳/۳</w:t>
      </w:r>
    </w:p>
    <w:p>
      <w:pPr>
        <w:pStyle w:val="BookText"/>
      </w:pPr>
      <w:r>
        <w:rPr>
          <w:rFonts w:ascii="IRNazanin" w:hAnsi="IRNazanin" w:eastAsia="IRNazanin" w:cs="IRNazanin"/>
          <w:lang w:bidi="fa-IR"/>
          <w:color w:val="111111"/>
          <w:sz w:val="28"/>
          <w:szCs w:val="28"/>
          <w:rtl/>
        </w:rPr>
        <w:t xml:space="preserve">بی کا، تا: قرن ۱۲؛ قطع: ربعی [نشریه: ۷-۲۷۸]</w:t>
      </w:r>
    </w:p>
    <w:p>
      <w:pPr>
        <w:pStyle w:val="Heading3"/>
      </w:pPr>
      <w:bookmarkStart w:id="2860" w:name="_Toc2120"/>
      <w:r>
        <w:t>•تبرائیه (رساله) / كلام و اعتقادات / فارسی</w:t>
      </w:r>
      <w:bookmarkEnd w:id="2860"/>
    </w:p>
    <w:p>
      <w:pPr>
        <w:pStyle w:val="BookText"/>
      </w:pPr>
      <w:r>
        <w:rPr>
          <w:rFonts w:ascii="Times New Roman" w:hAnsi="Times New Roman" w:eastAsia="Times New Roman" w:cs="Times New Roman"/>
          <w:lang w:val="en-US" w:bidi="en-US"/>
          <w:color w:val="111111"/>
          <w:sz w:val="28"/>
          <w:szCs w:val="28"/>
          <w:rtl/>
        </w:rPr>
        <w:t xml:space="preserve">tabarra'iye (r.)</w:t>
      </w:r>
    </w:p>
    <w:p>
      <w:pPr>
        <w:pStyle w:val="BookText"/>
      </w:pPr>
      <w:r>
        <w:rPr>
          <w:rFonts w:ascii="IRNazanin" w:hAnsi="IRNazanin" w:eastAsia="IRNazanin" w:cs="IRNazanin"/>
          <w:lang w:bidi="fa-IR"/>
          <w:color w:val="111111"/>
          <w:sz w:val="28"/>
          <w:szCs w:val="28"/>
          <w:rtl/>
        </w:rPr>
        <w:t xml:space="preserve">اصفهانی، عبدالرحيم بن کرمعلی، ق ۱۴ قمری</w:t>
      </w:r>
    </w:p>
    <w:p>
      <w:pPr>
        <w:pStyle w:val="BookText"/>
      </w:pPr>
      <w:r>
        <w:rPr>
          <w:rFonts w:ascii="Times New Roman" w:hAnsi="Times New Roman" w:eastAsia="Times New Roman" w:cs="Times New Roman"/>
          <w:lang w:val="en-US" w:bidi="en-US"/>
          <w:color w:val="111111"/>
          <w:sz w:val="28"/>
          <w:szCs w:val="28"/>
          <w:rtl/>
        </w:rPr>
        <w:t xml:space="preserve">esfahānī, 'abd-or-rahīm ebn-e karam-alī (-20)</w:t>
      </w:r>
    </w:p>
    <w:p>
      <w:pPr>
        <w:pStyle w:val="BookText"/>
      </w:pPr>
      <w:r>
        <w:rPr>
          <w:rFonts w:ascii="IRNazanin" w:hAnsi="IRNazanin" w:eastAsia="IRNazanin" w:cs="IRNazanin"/>
          <w:lang w:bidi="fa-IR"/>
          <w:color w:val="111111"/>
          <w:sz w:val="28"/>
          <w:szCs w:val="28"/>
          <w:rtl/>
        </w:rPr>
        <w:t xml:space="preserve">تاریخ تأليف: ۱۲۹۴ق رساله ای است در پاسخ فردی در این که تبری از دشمنان خدا و اهل بیت(عليه السلام)مقدم است بر تولی و دوستی آنان.</w:t>
      </w:r>
    </w:p>
    <w:p>
      <w:pPr>
        <w:pStyle w:val="BookText"/>
      </w:pPr>
      <w:r>
        <w:rPr>
          <w:rFonts w:ascii="IRNazanin" w:hAnsi="IRNazanin" w:eastAsia="IRNazanin" w:cs="IRNazanin"/>
          <w:lang w:bidi="fa-IR"/>
          <w:color w:val="111111"/>
          <w:sz w:val="28"/>
          <w:szCs w:val="28"/>
          <w:rtl/>
        </w:rPr>
        <w:t xml:space="preserve">[دنا ۷۶۲/۲ ؛ فهرستواره منزوی ۱۶۹/۹ و ۳۲۱/۹ ]</w:t>
      </w:r>
    </w:p>
    <w:p>
      <w:pPr>
        <w:pStyle w:val="BookText"/>
      </w:pPr>
      <w:r>
        <w:rPr>
          <w:rFonts w:ascii="IRNazanin" w:hAnsi="IRNazanin" w:eastAsia="IRNazanin" w:cs="IRNazanin"/>
          <w:lang w:bidi="fa-IR"/>
          <w:color w:val="111111"/>
          <w:sz w:val="28"/>
          <w:szCs w:val="28"/>
          <w:rtl/>
        </w:rPr>
        <w:t xml:space="preserve">قم؛ مرعشی؛ شماره نسخه:۵۴۶۱/۴</w:t>
      </w:r>
    </w:p>
    <w:p>
      <w:pPr>
        <w:pStyle w:val="BookText"/>
      </w:pPr>
      <w:r>
        <w:rPr>
          <w:rFonts w:ascii="IRNazanin" w:hAnsi="IRNazanin" w:eastAsia="IRNazanin" w:cs="IRNazanin"/>
          <w:lang w:bidi="fa-IR"/>
          <w:color w:val="111111"/>
          <w:sz w:val="28"/>
          <w:szCs w:val="28"/>
          <w:rtl/>
        </w:rPr>
        <w:t xml:space="preserve">آغاز: الحمدلله رب العالمين الذي وفقنا بالبراءة من اعداء آل محمد .. أما بعد پس چنین گوید عبدالرحیم؛ انجام: و شما باید همیشه باشید هزار سال طول کشید ... خط: نسخ، بی کا، بی تا، جلد: مقوایی عطف تیماج قهوه ای، ۱۶گ (۵۱پ -۶۶ر)، ۱۷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۱۴-۲۴۳]</w:t>
      </w:r>
    </w:p>
    <w:p>
      <w:pPr>
        <w:pStyle w:val="Heading3"/>
      </w:pPr>
      <w:bookmarkStart w:id="2861" w:name="_Toc2121"/>
      <w:r>
        <w:t>• تبرانامه = الرسالة اللعنية / دعا / عربی</w:t>
      </w:r>
      <w:bookmarkEnd w:id="2861"/>
    </w:p>
    <w:p>
      <w:pPr>
        <w:pStyle w:val="BookText"/>
      </w:pPr>
      <w:r>
        <w:rPr>
          <w:rFonts w:ascii="Times New Roman" w:hAnsi="Times New Roman" w:eastAsia="Times New Roman" w:cs="Times New Roman"/>
          <w:lang w:val="en-US" w:bidi="en-US"/>
          <w:color w:val="111111"/>
          <w:sz w:val="28"/>
          <w:szCs w:val="28"/>
          <w:rtl/>
        </w:rPr>
        <w:t xml:space="preserve">tabarrā-nāme = ar-r.-ul la'nīya</w:t>
      </w:r>
    </w:p>
    <w:p>
      <w:pPr>
        <w:pStyle w:val="BookText"/>
      </w:pPr>
      <w:r>
        <w:rPr>
          <w:rFonts w:ascii="IRNazanin" w:hAnsi="IRNazanin" w:eastAsia="IRNazanin" w:cs="IRNazanin"/>
          <w:lang w:bidi="fa-IR"/>
          <w:color w:val="111111"/>
          <w:sz w:val="28"/>
          <w:szCs w:val="28"/>
          <w:rtl/>
        </w:rPr>
        <w:t xml:space="preserve">؟ نصیر الدین طوسی، محمد بن محمد، ۵۹۷-۶۷۲ قمری</w:t>
      </w:r>
    </w:p>
    <w:p>
      <w:pPr>
        <w:pStyle w:val="BookText"/>
      </w:pPr>
      <w:r>
        <w:rPr>
          <w:rFonts w:ascii="Times New Roman" w:hAnsi="Times New Roman" w:eastAsia="Times New Roman" w:cs="Times New Roman"/>
          <w:lang w:val="en-US" w:bidi="en-US"/>
          <w:color w:val="111111"/>
          <w:sz w:val="28"/>
          <w:szCs w:val="28"/>
          <w:rtl/>
        </w:rPr>
        <w:t xml:space="preserve">nasīr-od-dīn-e tūsī, mohammad ebn-e mohammad (1201-1274)</w:t>
      </w:r>
    </w:p>
    <w:p>
      <w:pPr>
        <w:pStyle w:val="BookText"/>
      </w:pPr>
      <w:r>
        <w:rPr>
          <w:rFonts w:ascii="IRNazanin" w:hAnsi="IRNazanin" w:eastAsia="IRNazanin" w:cs="IRNazanin"/>
          <w:lang w:bidi="fa-IR"/>
          <w:color w:val="111111"/>
          <w:sz w:val="28"/>
          <w:szCs w:val="28"/>
          <w:rtl/>
        </w:rPr>
        <w:t xml:space="preserve">رساله ای کوتاه و موجز در لعن و نفرین دشمنان اسلام و اهل بیت(عليه السلام) که در چهارده «فصل» تنظیم شده است، در منابع کتابشناسی نسبت این رساله به خواجه طوسی نامعلوم است بلکه می توان گفت که کاملا مجعول است. دلیل روشن آن افزودگی و کاستی و تغایر بسیار در عبارات نسخه های موجود است و در برخی نسخه های دستورالعمل و شرح ختم لعن و آثار آن، منسوب به خواجه نیز آمده است که نسخه ای از آن در مجلس شور است که قبل از لعنیه در یک صفحه به فارسی آمده است. آغاز: بسم الله الرحمن الرحیم اعوذ بالله من النار ومن غضب الجبار ومن شر الكفار العزة لله الواحد القهار، الفصل الأول: اللهم العن اول ظالم ظلم حق محمد و آله و غصب حقهم انجام: اللهم العن بنی امیه قاطبة و بنی عباس و خلفاءهم و من تابعهم و لعنة الله على القوم الظالمين من الآن الى اليوم الدين. چاپ: اصفهان، سنگی، ۱۳۶۰ق.، خشتی، صص ۳۰۴-۳۰۷</w:t>
      </w:r>
    </w:p>
    <w:p>
      <w:pPr>
        <w:pStyle w:val="BookText"/>
      </w:pPr>
      <w:r>
        <w:rPr>
          <w:rFonts w:ascii="IRNazanin" w:hAnsi="IRNazanin" w:eastAsia="IRNazanin" w:cs="IRNazanin"/>
          <w:lang w:bidi="fa-IR"/>
          <w:color w:val="111111"/>
          <w:sz w:val="28"/>
          <w:szCs w:val="28"/>
          <w:rtl/>
        </w:rPr>
        <w:t xml:space="preserve">[دنا ۷۶۲/۲ (۶ نسخه)؛ فهرستواره منزوی ۱۶۹/۹ ]</w:t>
      </w:r>
    </w:p>
    <w:p>
      <w:pPr>
        <w:pStyle w:val="BookText"/>
      </w:pPr>
      <w:r>
        <w:rPr>
          <w:rFonts w:ascii="IRNazanin" w:hAnsi="IRNazanin" w:eastAsia="IRNazanin" w:cs="IRNazanin"/>
          <w:lang w:bidi="fa-IR"/>
          <w:color w:val="111111"/>
          <w:sz w:val="28"/>
          <w:szCs w:val="28"/>
          <w:rtl/>
        </w:rPr>
        <w:t xml:space="preserve">۱. قم؛ مرعشی؛ شماره نسخه:۱۵۰۷۸/۱۲</w:t>
      </w:r>
    </w:p>
    <w:p>
      <w:pPr>
        <w:pStyle w:val="BookText"/>
      </w:pPr>
      <w:r>
        <w:rPr>
          <w:rFonts w:ascii="IRNazanin" w:hAnsi="IRNazanin" w:eastAsia="IRNazanin" w:cs="IRNazanin"/>
          <w:lang w:bidi="fa-IR"/>
          <w:color w:val="111111"/>
          <w:sz w:val="28"/>
          <w:szCs w:val="28"/>
          <w:rtl/>
        </w:rPr>
        <w:t xml:space="preserve">آغاز: الحمدلله على عظیم نعمائه والشكر له على جميع افضاله .. فيقول محمد بن الحسن الطوسي قدس سره القدوسی، اني لما صرت مريضا في غاية الشدة نذرت لله سبحانه آن ارمی سهام اللعنة؛ انجام: والعن أعدائهم من الأولين و الآخرين لعنة وبيلا و عذبهم عذاب اليم. خط: نستعلیق، بی کا، تا: قرن ۱۳؛ محشی؛ کاغذ: فرنگی، ۶گ ( ۷۸-۷۳ )، ۱۳-۱۲</w:t>
      </w:r>
    </w:p>
    <w:p>
      <w:pPr>
        <w:pStyle w:val="BookText"/>
      </w:pPr>
      <w:r>
        <w:rPr>
          <w:rFonts w:ascii="IRNazanin" w:hAnsi="IRNazanin" w:eastAsia="IRNazanin" w:cs="IRNazanin"/>
          <w:lang w:bidi="fa-IR"/>
          <w:color w:val="111111"/>
          <w:sz w:val="28"/>
          <w:szCs w:val="28"/>
          <w:rtl/>
        </w:rPr>
        <w:t xml:space="preserve">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سم [ف: ۳۸-۲۰۱]</w:t>
      </w:r>
    </w:p>
    <w:p>
      <w:pPr>
        <w:pStyle w:val="BookText"/>
      </w:pPr>
      <w:r>
        <w:rPr>
          <w:rFonts w:ascii="IRNazanin" w:hAnsi="IRNazanin" w:eastAsia="IRNazanin" w:cs="IRNazanin"/>
          <w:lang w:bidi="fa-IR"/>
          <w:color w:val="111111"/>
          <w:sz w:val="28"/>
          <w:szCs w:val="28"/>
          <w:rtl/>
        </w:rPr>
        <w:t xml:space="preserve">۲. تهران: ملک؛ شماره نسخه: ۵۷۹/۱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زیبا، كا: ابراهيم بن احمد، تا: قرن ۱۳ کاغذ: آهار مهره فرنگی، جلد: روغنی گل و بوته، ۷۶ص (۲-۷۷)، اندازه: ۲۳/۳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۱۴/۶ سم [ف: ۵-۸۹]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آران کاشان؛ محمد هلال؛ شماره نسخه: ۲۶۸/۱</w:t>
      </w:r>
    </w:p>
    <w:p>
      <w:pPr>
        <w:pStyle w:val="BookText"/>
      </w:pPr>
      <w:r>
        <w:rPr>
          <w:rFonts w:ascii="IRNazanin" w:hAnsi="IRNazanin" w:eastAsia="IRNazanin" w:cs="IRNazanin"/>
          <w:lang w:bidi="fa-IR"/>
          <w:color w:val="111111"/>
          <w:sz w:val="28"/>
          <w:szCs w:val="28"/>
          <w:rtl/>
        </w:rPr>
        <w:t xml:space="preserve">آغاز: برابر کا: غلامرضا بن محمدعلی آرانی</w:t>
      </w:r>
    </w:p>
    <w:p>
      <w:pPr>
        <w:pStyle w:val="BookText"/>
      </w:pPr>
      <w:r>
        <w:rPr>
          <w:rFonts w:ascii="IRNazanin" w:hAnsi="IRNazanin" w:eastAsia="IRNazanin" w:cs="IRNazanin"/>
          <w:lang w:bidi="fa-IR"/>
          <w:color w:val="111111"/>
          <w:sz w:val="28"/>
          <w:szCs w:val="28"/>
          <w:rtl/>
        </w:rPr>
        <w:t xml:space="preserve">کاشانی، تا: ۱۲۲۵ق؛ جلد: تیماج سیاه، ۳گ،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مخ:-۷۵]</w:t>
      </w:r>
    </w:p>
    <w:p>
      <w:pPr>
        <w:pStyle w:val="BookText"/>
      </w:pPr>
      <w:r>
        <w:rPr>
          <w:rFonts w:ascii="IRNazanin" w:hAnsi="IRNazanin" w:eastAsia="IRNazanin" w:cs="IRNazanin"/>
          <w:lang w:bidi="fa-IR"/>
          <w:color w:val="111111"/>
          <w:sz w:val="28"/>
          <w:szCs w:val="28"/>
          <w:rtl/>
        </w:rPr>
        <w:t xml:space="preserve">۴. تهران؛ ملی؛ شماره نسخه:۲۰۹</w:t>
      </w:r>
    </w:p>
    <w:p>
      <w:pPr>
        <w:pStyle w:val="BookText"/>
      </w:pPr>
      <w:r>
        <w:rPr>
          <w:rFonts w:ascii="IRNazanin" w:hAnsi="IRNazanin" w:eastAsia="IRNazanin" w:cs="IRNazanin"/>
          <w:lang w:bidi="fa-IR"/>
          <w:color w:val="111111"/>
          <w:sz w:val="28"/>
          <w:szCs w:val="28"/>
          <w:rtl/>
        </w:rPr>
        <w:t xml:space="preserve">آغاز و انجام: برابر این تبرا نامه در مقدمه خود چند بیت فارسی دارد؛ خط: شکسته نستعلیق، کا: کامران، تا: ۱۲۹۸ق؛ مجدول؛ کاغذ: ترمه، جلد: تیماج زر، وگ، ۱۰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۷-۱۷۸]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bookmarkStart w:id="639" w:name="pg20363_209975"/>
    <w:bookmarkEnd w:id="639"/>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حجتیه؛ شماره نسخه:۶۰۴</w:t>
      </w:r>
    </w:p>
    <w:p>
      <w:pPr>
        <w:pStyle w:val="BookText"/>
      </w:pPr>
      <w:r>
        <w:rPr>
          <w:rFonts w:ascii="IRNazanin" w:hAnsi="IRNazanin" w:eastAsia="IRNazanin" w:cs="IRNazanin"/>
          <w:lang w:bidi="fa-IR"/>
          <w:color w:val="111111"/>
          <w:sz w:val="28"/>
          <w:szCs w:val="28"/>
          <w:rtl/>
        </w:rPr>
        <w:t xml:space="preserve">خط: نسخ، كا: محمود کتابفروش، تا: ۱۳۲۰ق؛ با سرلوح زرین؛ به انضمام زیارت نامه حضرت عباس که گویا انشاء یکی از علما باشد. [ف: ۴۰]</w:t>
      </w:r>
    </w:p>
    <w:p>
      <w:pPr>
        <w:pStyle w:val="BookText"/>
      </w:pPr>
      <w:r>
        <w:rPr>
          <w:rFonts w:ascii="IRNazanin" w:hAnsi="IRNazanin" w:eastAsia="IRNazanin" w:cs="IRNazanin"/>
          <w:lang w:bidi="fa-IR"/>
          <w:color w:val="111111"/>
          <w:sz w:val="28"/>
          <w:szCs w:val="28"/>
          <w:rtl/>
        </w:rPr>
        <w:t xml:space="preserve">۶. مشهد؛ رضوی؛ شماره نسخه: ۹۱۸۲/۴</w:t>
      </w:r>
    </w:p>
    <w:p>
      <w:pPr>
        <w:pStyle w:val="BookText"/>
      </w:pPr>
      <w:r>
        <w:rPr>
          <w:rFonts w:ascii="IRNazanin" w:hAnsi="IRNazanin" w:eastAsia="IRNazanin" w:cs="IRNazanin"/>
          <w:lang w:bidi="fa-IR"/>
          <w:color w:val="111111"/>
          <w:sz w:val="28"/>
          <w:szCs w:val="28"/>
          <w:rtl/>
        </w:rPr>
        <w:t xml:space="preserve">آغاز: اللهم العن (كذا) اول ظالم ظلم. نسخه: يس و القران الحکیم؛ انجام: برابر خط: نسخ، كان محمد ابراهيم بن زین العابدین خوانساری، تا: ۱۳۵۴ق؛ مجدول؛ کاغذ: حنایی، جلد: تیماج مشکی، ۱۱ سطر، اندازه: ۱۶۸۱۰سم [ف: ۱۵-۴۲۵]</w:t>
      </w:r>
    </w:p>
    <w:p>
      <w:pPr>
        <w:pStyle w:val="BookText"/>
      </w:pPr>
      <w:r>
        <w:rPr>
          <w:rFonts w:ascii="IRNazanin" w:hAnsi="IRNazanin" w:eastAsia="IRNazanin" w:cs="IRNazanin"/>
          <w:lang w:bidi="fa-IR"/>
          <w:color w:val="111111"/>
          <w:sz w:val="28"/>
          <w:szCs w:val="28"/>
          <w:rtl/>
        </w:rPr>
        <w:t xml:space="preserve">۷. تهران؛ مجلس؛ شماره نسخه: ۱۲۳۵۹/۱۲</w:t>
      </w:r>
    </w:p>
    <w:p>
      <w:pPr>
        <w:pStyle w:val="BookText"/>
      </w:pPr>
      <w:r>
        <w:rPr>
          <w:rFonts w:ascii="IRNazanin" w:hAnsi="IRNazanin" w:eastAsia="IRNazanin" w:cs="IRNazanin"/>
          <w:lang w:bidi="fa-IR"/>
          <w:color w:val="111111"/>
          <w:sz w:val="28"/>
          <w:szCs w:val="28"/>
          <w:rtl/>
        </w:rPr>
        <w:t xml:space="preserve">سه لعن آخر موجود در این نسخه در نسخه ای دیگر نیست و به نظر می رسد افزوده جدید دیگران است؛ بی کا، بی تا، جلد: تیماج، قهوه ای، ۵ص (۱۴۸-۱۵۲)، ۲۱ سطر، اندازه:</w:t>
      </w:r>
    </w:p>
    <w:p>
      <w:pPr>
        <w:pStyle w:val="BookText"/>
      </w:pPr>
      <w:r>
        <w:rPr>
          <w:rFonts w:ascii="IRNazanin" w:hAnsi="IRNazanin" w:eastAsia="IRNazanin" w:cs="IRNazanin"/>
          <w:lang w:bidi="fa-IR"/>
          <w:color w:val="111111"/>
          <w:sz w:val="28"/>
          <w:szCs w:val="28"/>
          <w:rtl/>
        </w:rPr>
        <w:t xml:space="preserve">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۳۱۹-۳۵ ]</w:t>
      </w:r>
    </w:p>
    <w:p>
      <w:pPr>
        <w:pStyle w:val="Heading3"/>
      </w:pPr>
      <w:bookmarkStart w:id="2862" w:name="_Toc2122"/>
      <w:r>
        <w:t>• التبر المذاب في بيان ترتیب الاصحاب / تاریخ معصومین / عربی</w:t>
      </w:r>
      <w:bookmarkEnd w:id="2862"/>
    </w:p>
    <w:p>
      <w:pPr>
        <w:pStyle w:val="BookText"/>
      </w:pPr>
      <w:r>
        <w:rPr>
          <w:rFonts w:ascii="Times New Roman" w:hAnsi="Times New Roman" w:eastAsia="Times New Roman" w:cs="Times New Roman"/>
          <w:lang w:val="en-US" w:bidi="en-US"/>
          <w:color w:val="111111"/>
          <w:sz w:val="28"/>
          <w:szCs w:val="28"/>
          <w:rtl/>
        </w:rPr>
        <w:t xml:space="preserve">tibr-ul mudāb fī bayān-i tartīb-il ashab</w:t>
      </w:r>
    </w:p>
    <w:p>
      <w:pPr>
        <w:pStyle w:val="BookText"/>
      </w:pPr>
      <w:r>
        <w:rPr>
          <w:rFonts w:ascii="IRNazanin" w:hAnsi="IRNazanin" w:eastAsia="IRNazanin" w:cs="IRNazanin"/>
          <w:lang w:bidi="fa-IR"/>
          <w:color w:val="111111"/>
          <w:sz w:val="28"/>
          <w:szCs w:val="28"/>
          <w:rtl/>
        </w:rPr>
        <w:t xml:space="preserve">خوافی حسینی، احمد بن محمد</w:t>
      </w:r>
    </w:p>
    <w:p>
      <w:pPr>
        <w:pStyle w:val="BookText"/>
      </w:pPr>
      <w:r>
        <w:rPr>
          <w:rFonts w:ascii="Times New Roman" w:hAnsi="Times New Roman" w:eastAsia="Times New Roman" w:cs="Times New Roman"/>
          <w:lang w:val="en-US" w:bidi="en-US"/>
          <w:color w:val="111111"/>
          <w:sz w:val="28"/>
          <w:szCs w:val="28"/>
          <w:rtl/>
        </w:rPr>
        <w:t xml:space="preserve">xāfi hoseynī, ahmad ebn-e mohammad</w:t>
      </w:r>
    </w:p>
    <w:p>
      <w:pPr>
        <w:pStyle w:val="BookText"/>
      </w:pPr>
      <w:r>
        <w:rPr>
          <w:rFonts w:ascii="IRNazanin" w:hAnsi="IRNazanin" w:eastAsia="IRNazanin" w:cs="IRNazanin"/>
          <w:lang w:bidi="fa-IR"/>
          <w:color w:val="111111"/>
          <w:sz w:val="28"/>
          <w:szCs w:val="28"/>
          <w:rtl/>
        </w:rPr>
        <w:t xml:space="preserve">در فضایل و مناقب حضرت رسول اکرم(صلی الله علیه وآله وسلم)و همچنین مناقب ائمه معصومین(عليه السلام)است، چنانکه در احادیث اهل سنت و صحاح و مسانید معتبر آنها آمده است، در نهایت شجره ای از نسب نبی اکرم و مختصری از تاریخ اجدادش. پس از خطبه نسبتا مفصل، اشاره مختصری در چند سطر به تاریخ قتل عثمان دارد و سپس می گوید: «و يجب ان يعتقد ان الخليفة بعد عثمان بن عفان رضه على بن ابیطالب(عليه السلام)ابن عبدالمطلب جد النبي(صلی الله علیه وآله وسلم)بلا فصل فلأجل ذلك خص بعد من تقدمه بالفضل فهو اخو رسول الله(صلی الله علیه وآله وسلم) ...». سپس فضائل آن حضرت را از کتاب های عامه نقل می کند و بعضی از خطبه ها و کلمات قصار على(عليه السلام)به ترتیب تهجی. آغاز: الحمدلله الذي لايبلغ مدحته القائلون و لا يحصى نعماؤه العادون و لايؤدی حقه المجتهدون الذي لايدر که بعد الهمم.</w:t>
      </w:r>
    </w:p>
    <w:p>
      <w:pPr>
        <w:pStyle w:val="BookText"/>
      </w:pPr>
      <w:r>
        <w:rPr>
          <w:rFonts w:ascii="IRNazanin" w:hAnsi="IRNazanin" w:eastAsia="IRNazanin" w:cs="IRNazanin"/>
          <w:lang w:bidi="fa-IR"/>
          <w:color w:val="111111"/>
          <w:sz w:val="28"/>
          <w:szCs w:val="28"/>
          <w:rtl/>
        </w:rPr>
        <w:t xml:space="preserve">[ ایضاح المكنون ۲۲۱/۱ ؛ دنا ۷۶۲/۲ (۷ نسخه)]</w:t>
      </w:r>
    </w:p>
    <w:p>
      <w:pPr>
        <w:pStyle w:val="BookText"/>
      </w:pPr>
      <w:r>
        <w:rPr>
          <w:rFonts w:ascii="IRNazanin" w:hAnsi="IRNazanin" w:eastAsia="IRNazanin" w:cs="IRNazanin"/>
          <w:lang w:bidi="fa-IR"/>
          <w:color w:val="111111"/>
          <w:sz w:val="28"/>
          <w:szCs w:val="28"/>
          <w:rtl/>
        </w:rPr>
        <w:t xml:space="preserve">۱. قم؛ مرعشی؛ شماره نسخه: ۸۱۱۰</w:t>
      </w:r>
    </w:p>
    <w:p>
      <w:pPr>
        <w:pStyle w:val="BookText"/>
      </w:pPr>
      <w:r>
        <w:rPr>
          <w:rFonts w:ascii="IRNazanin" w:hAnsi="IRNazanin" w:eastAsia="IRNazanin" w:cs="IRNazanin"/>
          <w:lang w:bidi="fa-IR"/>
          <w:color w:val="111111"/>
          <w:sz w:val="28"/>
          <w:szCs w:val="28"/>
          <w:rtl/>
        </w:rPr>
        <w:t xml:space="preserve">خط: نسخ، بی کا، تا: پنج شنبه ۸ ربیع الاول ۱۱۷۳ق؛ محشی گویا از کاتب آن؛ جلد: تیماج قهوه ای، ۹۰ گ، ۱۷ سطر، اندازه: ۱۳/۵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 سم [ف: ۲۱-۱۱۳]</w:t>
      </w:r>
    </w:p>
    <w:p>
      <w:pPr>
        <w:pStyle w:val="BookText"/>
      </w:pPr>
      <w:r>
        <w:rPr>
          <w:rFonts w:ascii="IRNazanin" w:hAnsi="IRNazanin" w:eastAsia="IRNazanin" w:cs="IRNazanin"/>
          <w:lang w:bidi="fa-IR"/>
          <w:color w:val="111111"/>
          <w:sz w:val="28"/>
          <w:szCs w:val="28"/>
          <w:rtl/>
        </w:rPr>
        <w:t xml:space="preserve">۲. مشهد؛ گوهرشاد؛ شماره نسخه: ۴۷۶</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خوش، بی کا، تا: قرن ۱۳؛ افتادگی: انجام؛ مهر: حاج سید سعید؛ جلد: مقوا با روکش کاغذ ابری، ۶۵گ، ۱۹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۲-۵۸۲]</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گلپایگانی؛ شماره نسخه:۳۶۰۹- ۱۸/۱۲۹</w:t>
      </w:r>
    </w:p>
    <w:p>
      <w:pPr>
        <w:pStyle w:val="BookText"/>
      </w:pPr>
      <w:r>
        <w:rPr>
          <w:rFonts w:ascii="IRNazanin" w:hAnsi="IRNazanin" w:eastAsia="IRNazanin" w:cs="IRNazanin"/>
          <w:lang w:bidi="fa-IR"/>
          <w:color w:val="111111"/>
          <w:sz w:val="28"/>
          <w:szCs w:val="28"/>
          <w:rtl/>
        </w:rPr>
        <w:t xml:space="preserve">آغاز: برابر؛ انجام: جمعت في هذا الكتاب مقدار ما يستأنس بمدارسته العاقل الفقيه و يستوحش من مذاكرته الجاهل السفيه خط: نسخ زیبا، بی کا، تا: چهارشنبه ربيع الاول ۱۲۷۱ق؛ جلد: تیماج قهوه ای، ضربی، ترنج باسر، مجدول، ۷۹گ، ۲۲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۲-۷۰۷]</w:t>
      </w:r>
    </w:p>
    <w:p>
      <w:pPr>
        <w:pStyle w:val="BookText"/>
      </w:pPr>
      <w:r>
        <w:rPr>
          <w:rFonts w:ascii="IRNazanin" w:hAnsi="IRNazanin" w:eastAsia="IRNazanin" w:cs="IRNazanin"/>
          <w:lang w:bidi="fa-IR"/>
          <w:color w:val="111111"/>
          <w:sz w:val="28"/>
          <w:szCs w:val="28"/>
          <w:rtl/>
        </w:rPr>
        <w:t xml:space="preserve">۴. قم؛ گلپایگانی؛ شماره نسخه:۷۱۷۶- ۳۶/۱۷۶</w:t>
      </w:r>
    </w:p>
    <w:p>
      <w:pPr>
        <w:pStyle w:val="BookText"/>
      </w:pPr>
      <w:r>
        <w:rPr>
          <w:rFonts w:ascii="IRNazanin" w:hAnsi="IRNazanin" w:eastAsia="IRNazanin" w:cs="IRNazanin"/>
          <w:lang w:bidi="fa-IR"/>
          <w:color w:val="111111"/>
          <w:sz w:val="28"/>
          <w:szCs w:val="28"/>
          <w:rtl/>
        </w:rPr>
        <w:t xml:space="preserve">آغاز: برابر؛ انجام: و يستوحش من مذاكرته الجاهل السفيه و الحمدلله الذي هدانا لهذا وما كنا لنهتدي لولا أن هدانا الله قد تمت خط: نستعلیق، بی کا، تا: ۲ رمضان ۱۲۷۲ق؛ جلد: تیماج مشکی مجدول، ۸۴گ، ۱۷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۶-۳۱۶۴]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مرعشی؛ شماره نسخه: ۱۴۱۵۲/۱</w:t>
      </w:r>
    </w:p>
    <w:p>
      <w:pPr>
        <w:pStyle w:val="BookText"/>
      </w:pPr>
      <w:r>
        <w:rPr>
          <w:rFonts w:ascii="IRNazanin" w:hAnsi="IRNazanin" w:eastAsia="IRNazanin" w:cs="IRNazanin"/>
          <w:lang w:bidi="fa-IR"/>
          <w:color w:val="111111"/>
          <w:sz w:val="28"/>
          <w:szCs w:val="28"/>
          <w:rtl/>
        </w:rPr>
        <w:t xml:space="preserve">آغاز: برابر؛ انجام: و هو شاب مربوع حسن الوجه ... سواد شعره و الحيته و رأسه صلوات الله و سلامه عليه و على آبائه .. آمين رب العالمين. خط: نستعلیق، كا: محمد حسین بن محمد رضا تبریزی، تا: ۸ رجب ۱۲۸۵ق، جا: نجف اشرف محشی یک مورد با نشان حرره بيده الفانية الجانية محمد حسین بن محمدرضا»؛ کاغذ: فرنگی، ۱۰۷گ (۱پ -۱۰۷پ)، ۱۵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سم [ف: ۷۲۲-۳۵ ]</w:t>
      </w:r>
    </w:p>
    <w:p>
      <w:pPr>
        <w:pStyle w:val="BookText"/>
      </w:pPr>
      <w:r>
        <w:rPr>
          <w:rFonts w:ascii="IRNazanin" w:hAnsi="IRNazanin" w:eastAsia="IRNazanin" w:cs="IRNazanin"/>
          <w:lang w:bidi="fa-IR"/>
          <w:color w:val="111111"/>
          <w:sz w:val="28"/>
          <w:szCs w:val="28"/>
          <w:rtl/>
        </w:rPr>
        <w:t xml:space="preserve">۶. قم؛ مرعشی؛ شماره نسخه:۱۰۰۰۲</w:t>
      </w:r>
    </w:p>
    <w:p>
      <w:pPr>
        <w:pStyle w:val="BookText"/>
      </w:pPr>
      <w:r>
        <w:rPr>
          <w:rFonts w:ascii="IRNazanin" w:hAnsi="IRNazanin" w:eastAsia="IRNazanin" w:cs="IRNazanin"/>
          <w:lang w:bidi="fa-IR"/>
          <w:color w:val="111111"/>
          <w:sz w:val="28"/>
          <w:szCs w:val="28"/>
          <w:rtl/>
        </w:rPr>
        <w:t xml:space="preserve">خط: نسخ، كا: محمد بن نور محمد تبریزی، تا: ۲۳ جمادی الثانی ۱۳۰۳ق؛ جلد: تیماج قهوه ای، ۷۳گ، مختلف السطر،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۲۶-۴]</w:t>
      </w:r>
    </w:p>
    <w:p>
      <w:pPr>
        <w:pStyle w:val="BookText"/>
      </w:pPr>
      <w:r>
        <w:rPr>
          <w:rFonts w:ascii="IRNazanin" w:hAnsi="IRNazanin" w:eastAsia="IRNazanin" w:cs="IRNazanin"/>
          <w:lang w:bidi="fa-IR"/>
          <w:color w:val="111111"/>
          <w:sz w:val="28"/>
          <w:szCs w:val="28"/>
          <w:rtl/>
        </w:rPr>
        <w:t xml:space="preserve">۷. قم: مرکز احیاء؛ شماره نسخه:۳۷۷۶</w:t>
      </w:r>
    </w:p>
    <w:p>
      <w:pPr>
        <w:pStyle w:val="BookText"/>
      </w:pPr>
      <w:r>
        <w:rPr>
          <w:rFonts w:ascii="IRNazanin" w:hAnsi="IRNazanin" w:eastAsia="IRNazanin" w:cs="IRNazanin"/>
          <w:lang w:bidi="fa-IR"/>
          <w:color w:val="111111"/>
          <w:sz w:val="28"/>
          <w:szCs w:val="28"/>
          <w:rtl/>
        </w:rPr>
        <w:t xml:space="preserve">آغاز: برابر؛ انجام: حسن الثغريسيل شعره على منكبيه و يعلو نور وجهه سواد شعره و لحيته و رأسه. خط: نسخ، كا: علی بن عبدالعظیم تبریزی خیابانی، تا: ۱۶ ذیحجه ۱۳۱۱ق؛ محشى؛ جلد: تیماج مشکی، ۷۶گ، ۲۰ سطر، اندازه: ۲۱/۵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 محدث ارموی مخ: ۱-۲۷۳]</w:t>
      </w:r>
    </w:p>
    <w:p>
      <w:pPr>
        <w:pStyle w:val="BookText"/>
      </w:pPr>
      <w:r>
        <w:rPr>
          <w:rFonts w:ascii="IRNazanin" w:hAnsi="IRNazanin" w:eastAsia="IRNazanin" w:cs="IRNazanin"/>
          <w:lang w:bidi="fa-IR"/>
          <w:color w:val="111111"/>
          <w:sz w:val="28"/>
          <w:szCs w:val="28"/>
          <w:rtl/>
        </w:rPr>
        <w:t xml:space="preserve">۸. قم؛ مرعشی؛ شماره نسخه:۷۳۳۰</w:t>
      </w:r>
    </w:p>
    <w:p>
      <w:pPr>
        <w:pStyle w:val="BookText"/>
      </w:pPr>
      <w:r>
        <w:rPr>
          <w:rFonts w:ascii="Amiri" w:hAnsi="Amiri" w:eastAsia="Amiri" w:cs="Amiri"/>
          <w:lang w:bidi="ar-SA"/>
          <w:color w:val="111111"/>
          <w:sz w:val="28"/>
          <w:szCs w:val="28"/>
          <w:rtl/>
        </w:rPr>
        <w:t xml:space="preserve">آغاز: برابر؛ انجام: حسن الثغر يسيل شعره على منكبيه و يعلو نور وجهه سواد شعره و لحيته و رأسه.</w:t>
      </w:r>
    </w:p>
    <w:p>
      <w:pPr>
        <w:pStyle w:val="BookText"/>
      </w:pPr>
      <w:r>
        <w:rPr>
          <w:rFonts w:ascii="IRNazanin" w:hAnsi="IRNazanin" w:eastAsia="IRNazanin" w:cs="IRNazanin"/>
          <w:lang w:bidi="fa-IR"/>
          <w:color w:val="111111"/>
          <w:sz w:val="28"/>
          <w:szCs w:val="28"/>
          <w:rtl/>
        </w:rPr>
        <w:t xml:space="preserve">نام مؤلف به قرینه آغاز نسخه تعیین شد؛ خط: نسخ، كا: علینقی بن محمد اسماعيل</w:t>
      </w:r>
    </w:p>
    <w:p>
      <w:pPr>
        <w:pStyle w:val="BookText"/>
      </w:pPr>
      <w:r>
        <w:rPr>
          <w:rFonts w:ascii="IRNazanin" w:hAnsi="IRNazanin" w:eastAsia="IRNazanin" w:cs="IRNazanin"/>
          <w:lang w:bidi="fa-IR"/>
          <w:color w:val="111111"/>
          <w:sz w:val="28"/>
          <w:szCs w:val="28"/>
          <w:rtl/>
        </w:rPr>
        <w:t xml:space="preserve">حسینی واعظ قاری اصفهانی، تا: ۲۹ جمادی الثانی ۱۳۱۶ق؛ جلد: تیماج قرمز عطف تیماج قهوه ای، ۷۱گ، ۲۰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۱۹-۱۲۲]</w:t>
      </w:r>
    </w:p>
    <w:p>
      <w:pPr>
        <w:pStyle w:val="BookText"/>
      </w:pPr>
      <w:r>
        <w:rPr>
          <w:rFonts w:ascii="IRNazanin" w:hAnsi="IRNazanin" w:eastAsia="IRNazanin" w:cs="IRNazanin"/>
          <w:lang w:bidi="fa-IR"/>
          <w:color w:val="111111"/>
          <w:sz w:val="28"/>
          <w:szCs w:val="28"/>
          <w:rtl/>
        </w:rPr>
        <w:t xml:space="preserve">←التبر المسبوك في نصيحة الملوک ← نصایح الملوک</w:t>
      </w:r>
    </w:p>
    <w:p>
      <w:pPr>
        <w:pStyle w:val="BookText"/>
      </w:pPr>
      <w:r>
        <w:rPr>
          <w:rFonts w:ascii="Amiri" w:hAnsi="Amiri" w:eastAsia="Amiri" w:cs="Amiri"/>
          <w:lang w:bidi="ar-SA"/>
          <w:color w:val="111111"/>
          <w:sz w:val="28"/>
          <w:szCs w:val="28"/>
          <w:rtl/>
        </w:rPr>
        <w:t xml:space="preserve">← التبصرة ← التثبيت عند التبييت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bookmarkStart w:id="640" w:name="pg20363_209976"/>
    <w:bookmarkEnd w:id="640"/>
    <w:p>
      <w:pPr>
        <w:pStyle w:val="Heading3"/>
      </w:pPr>
      <w:bookmarkStart w:id="2863" w:name="_Toc2123"/>
      <w:r>
        <w:t>•تبصره / منطق / فارسی</w:t>
      </w:r>
      <w:bookmarkEnd w:id="2863"/>
    </w:p>
    <w:p>
      <w:pPr>
        <w:pStyle w:val="BookText"/>
      </w:pPr>
      <w:r>
        <w:rPr>
          <w:rFonts w:ascii="Times New Roman" w:hAnsi="Times New Roman" w:eastAsia="Times New Roman" w:cs="Times New Roman"/>
          <w:lang w:val="en-US" w:bidi="en-US"/>
          <w:color w:val="111111"/>
          <w:sz w:val="28"/>
          <w:szCs w:val="28"/>
          <w:rtl/>
        </w:rPr>
        <w:t xml:space="preserve">tabsare</w:t>
      </w:r>
    </w:p>
    <w:p>
      <w:pPr>
        <w:pStyle w:val="BookText"/>
      </w:pPr>
      <w:r>
        <w:rPr>
          <w:rFonts w:ascii="IRNazanin" w:hAnsi="IRNazanin" w:eastAsia="IRNazanin" w:cs="IRNazanin"/>
          <w:lang w:bidi="fa-IR"/>
          <w:color w:val="111111"/>
          <w:sz w:val="28"/>
          <w:szCs w:val="28"/>
          <w:rtl/>
        </w:rPr>
        <w:t xml:space="preserve">ابن سهلان ساوی، عمر بن سهلان، - ۴۵۰ قمری</w:t>
      </w:r>
    </w:p>
    <w:p>
      <w:pPr>
        <w:pStyle w:val="BookText"/>
      </w:pPr>
      <w:r>
        <w:rPr>
          <w:rFonts w:ascii="Times New Roman" w:hAnsi="Times New Roman" w:eastAsia="Times New Roman" w:cs="Times New Roman"/>
          <w:lang w:val="en-US" w:bidi="en-US"/>
          <w:color w:val="111111"/>
          <w:sz w:val="28"/>
          <w:szCs w:val="28"/>
          <w:rtl/>
        </w:rPr>
        <w:t xml:space="preserve">ebn-e sahlān-e sāvī, ‘omar ebn-e sahlān (-1059)</w:t>
      </w:r>
    </w:p>
    <w:p>
      <w:pPr>
        <w:pStyle w:val="BookText"/>
      </w:pPr>
      <w:r>
        <w:rPr>
          <w:rFonts w:ascii="IRNazanin" w:hAnsi="IRNazanin" w:eastAsia="IRNazanin" w:cs="IRNazanin"/>
          <w:lang w:bidi="fa-IR"/>
          <w:color w:val="111111"/>
          <w:sz w:val="28"/>
          <w:szCs w:val="28"/>
          <w:rtl/>
        </w:rPr>
        <w:t xml:space="preserve">در منطق که برخی آن را به ابن سینا نسبت داده اند و در هفتاد و دو «فصل» است و فهرست آن در دیباچه کتاب آمده است. این کتاب در دفتر کتابخانه به نام «تبصره» یاد شده است. در بسیاری از نسخه ها پس از آن ترجمه بخش طبیعیات و الهیات اشارت و تنبيهات ابن سينا آمده است و همین موجب شده است که بسیاری این رساله را بخش اول (منطق) آن ترجمه بدانند. همچنین در برخی نسخه ها آن را به اشتباه دانشنامه علائی دانسته اند. آغاز: سپاس مر خدای را که هستی همه حقائق از اوست و درود بر پیغمبران و پاکان و گزیدگان او ... اما بعد بدان که رستگاری مردم در شناخت خدای تعالی است</w:t>
      </w:r>
    </w:p>
    <w:p>
      <w:pPr>
        <w:pStyle w:val="BookText"/>
      </w:pPr>
      <w:r>
        <w:rPr>
          <w:rFonts w:ascii="IRNazanin" w:hAnsi="IRNazanin" w:eastAsia="IRNazanin" w:cs="IRNazanin"/>
          <w:lang w:bidi="fa-IR"/>
          <w:color w:val="111111"/>
          <w:sz w:val="28"/>
          <w:szCs w:val="28"/>
          <w:rtl/>
        </w:rPr>
        <w:t xml:space="preserve">[دنا ۷۶۳/۲ (۱۱ نسخه)؛ مصنفات ابن سینا از مهدوی ۱۶۴]</w:t>
      </w:r>
    </w:p>
    <w:p>
      <w:pPr>
        <w:pStyle w:val="BookText"/>
      </w:pPr>
      <w:r>
        <w:rPr>
          <w:rFonts w:ascii="IRNazanin" w:hAnsi="IRNazanin" w:eastAsia="IRNazanin" w:cs="IRNazanin"/>
          <w:lang w:bidi="fa-IR"/>
          <w:color w:val="111111"/>
          <w:sz w:val="28"/>
          <w:szCs w:val="28"/>
          <w:rtl/>
        </w:rPr>
        <w:t xml:space="preserve">۱. تهران، دانشگاه؛ شماره نسخه: ۱۱-ع</w:t>
      </w:r>
    </w:p>
    <w:p>
      <w:pPr>
        <w:pStyle w:val="BookText"/>
      </w:pPr>
      <w:r>
        <w:rPr>
          <w:rFonts w:ascii="IRNazanin" w:hAnsi="IRNazanin" w:eastAsia="IRNazanin" w:cs="IRNazanin"/>
          <w:lang w:bidi="fa-IR"/>
          <w:color w:val="111111"/>
          <w:sz w:val="28"/>
          <w:szCs w:val="28"/>
          <w:rtl/>
        </w:rPr>
        <w:t xml:space="preserve">نسخه اصل: احمد ۳ ش ۳۴۴۷/۸۱ . به نام دانشنامه علائی ابن سینا؛ خط: نستعلیق، بی کا، تا: سه شنبه ۱۸ ربیع الثانی ۸۶۶ق؛ ۴۲گ، ۱۷ سطر [فیلمها ف: ۱-۴۰ و ۳-۲۱۹]</w:t>
      </w:r>
    </w:p>
    <w:p>
      <w:pPr>
        <w:pStyle w:val="BookText"/>
      </w:pPr>
      <w:r>
        <w:rPr>
          <w:rFonts w:ascii="IRNazanin" w:hAnsi="IRNazanin" w:eastAsia="IRNazanin" w:cs="IRNazanin"/>
          <w:lang w:bidi="fa-IR"/>
          <w:color w:val="111111"/>
          <w:sz w:val="28"/>
          <w:szCs w:val="28"/>
          <w:rtl/>
        </w:rPr>
        <w:t xml:space="preserve">۲. تهران؛ مجلس؛ شماره نسخه: ۳۴۴۲/۱</w:t>
      </w:r>
    </w:p>
    <w:p>
      <w:pPr>
        <w:pStyle w:val="BookText"/>
      </w:pPr>
      <w:r>
        <w:rPr>
          <w:rFonts w:ascii="IRNazanin" w:hAnsi="IRNazanin" w:eastAsia="IRNazanin" w:cs="IRNazanin"/>
          <w:lang w:bidi="fa-IR"/>
          <w:color w:val="111111"/>
          <w:sz w:val="28"/>
          <w:szCs w:val="28"/>
          <w:rtl/>
        </w:rPr>
        <w:t xml:space="preserve">آغاز فصل بیست و یکم در پیدا کردن عکس فصل بیست و دوم در آغاز قیاس فصل بیست و سیم اندر پیدا کردن احوال قیاس؛ انجام: منطق: و هیچ لفظ مشترک بکار شده است یا نه و مقدمات راست هستند یا نه هر آینه دانسته شود که نتیجه راست هست یا نه و چون آنچه در این کتاب بیان خواستیم کرد تمام شد سخن را بسپاس خدای بخشنده خرد ختم کنیم. این رساله در فهرست بخش اول (منطق) رساله دوم مجموعه که ترجمه اشارات و تنبيهات ابن سیناست دانسته شده؛ خط: نستعلیق، بی کا، تا: قرن ۱۱؛ افتادگی: آغاز؛ در صفحه چهار حاشیه ای است به قلم ملا علی نوری؛ کاغذ: اصفهانی شکری رنگ، جلد: تیماج قرمز، ۲۳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۱۰-۱۳۰۱]</w:t>
      </w:r>
    </w:p>
    <w:p>
      <w:pPr>
        <w:pStyle w:val="BookText"/>
      </w:pPr>
      <w:r>
        <w:rPr>
          <w:rFonts w:ascii="IRNazanin" w:hAnsi="IRNazanin" w:eastAsia="IRNazanin" w:cs="IRNazanin"/>
          <w:lang w:bidi="fa-IR"/>
          <w:color w:val="111111"/>
          <w:sz w:val="28"/>
          <w:szCs w:val="28"/>
          <w:rtl/>
        </w:rPr>
        <w:t xml:space="preserve">٣. تهران؛ ملک؛ شماره نسخه: ۱۰۵۱/۱</w:t>
      </w:r>
    </w:p>
    <w:p>
      <w:pPr>
        <w:pStyle w:val="BookText"/>
      </w:pPr>
      <w:r>
        <w:rPr>
          <w:rFonts w:ascii="IRNazanin" w:hAnsi="IRNazanin" w:eastAsia="IRNazanin" w:cs="IRNazanin"/>
          <w:lang w:bidi="fa-IR"/>
          <w:color w:val="111111"/>
          <w:sz w:val="28"/>
          <w:szCs w:val="28"/>
          <w:rtl/>
        </w:rPr>
        <w:t xml:space="preserve">خط: نستعلیق، كا: عبدالوهاب بن محمد مومن خادم مشهدی، تا: ۱  ربیع الاول ۱۰۸۲ق؛ کاغذ: ترمه، جلد: میشن لایی مشکی، ۱۹ سطر [ف: ۵-۲۲۷]</w:t>
      </w:r>
    </w:p>
    <w:p>
      <w:pPr>
        <w:pStyle w:val="BookText"/>
      </w:pPr>
      <w:r>
        <w:rPr>
          <w:rFonts w:ascii="IRNazanin" w:hAnsi="IRNazanin" w:eastAsia="IRNazanin" w:cs="IRNazanin"/>
          <w:lang w:bidi="fa-IR"/>
          <w:color w:val="111111"/>
          <w:sz w:val="28"/>
          <w:szCs w:val="28"/>
          <w:rtl/>
        </w:rPr>
        <w:t xml:space="preserve">تهران؛ دانشگاه؛ شماره نسخه: ۹۱۸/۱ -ف</w:t>
      </w:r>
    </w:p>
    <w:p>
      <w:pPr>
        <w:pStyle w:val="BookText"/>
      </w:pPr>
      <w:r>
        <w:rPr>
          <w:rFonts w:ascii="Amiri" w:hAnsi="Amiri" w:eastAsia="Amiri" w:cs="Amiri"/>
          <w:lang w:bidi="ar-SA"/>
          <w:color w:val="111111"/>
          <w:sz w:val="28"/>
          <w:szCs w:val="28"/>
          <w:rtl/>
        </w:rPr>
        <w:t xml:space="preserve">نسخه اصل: همان نسخه بالا [فيلمها ف: ۱-۵۴۹]</w:t>
      </w:r>
    </w:p>
    <w:p>
      <w:pPr>
        <w:pStyle w:val="BookText"/>
      </w:pPr>
      <w:r>
        <w:rPr>
          <w:rFonts w:ascii="IRNazanin" w:hAnsi="IRNazanin" w:eastAsia="IRNazanin" w:cs="IRNazanin"/>
          <w:lang w:bidi="fa-IR"/>
          <w:color w:val="111111"/>
          <w:sz w:val="28"/>
          <w:szCs w:val="28"/>
          <w:rtl/>
        </w:rPr>
        <w:t xml:space="preserve">۴. تهران؛ مجلس؛ شماره نسخه: ۱۰۸/۲</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این رساله به اشتباه جزء نخست رساله بعد این مجموعه یعنی ترجمه اشارات و تنبيهات ابن سینا دانسته شده؛ خط: نسخ ریز، کا: میرزا عبدالخالق محمد علی نایینی مصاحبی متخلص به عبرت، تا: دوشنبه 11 محرم ۱۳۴۲ق؛ ۲۴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سم [ف: ۲-۵۴]</w:t>
      </w:r>
    </w:p>
    <w:p>
      <w:pPr>
        <w:pStyle w:val="BookText"/>
      </w:pPr>
      <w:r>
        <w:rPr>
          <w:rFonts w:ascii="IRNazanin" w:hAnsi="IRNazanin" w:eastAsia="IRNazanin" w:cs="IRNazanin"/>
          <w:lang w:bidi="fa-IR"/>
          <w:color w:val="111111"/>
          <w:sz w:val="28"/>
          <w:szCs w:val="28"/>
          <w:rtl/>
        </w:rPr>
        <w:t xml:space="preserve">تهران؛ دانشگاه، شماره نسخه: ۹۲۳/۱ -ف</w:t>
      </w:r>
    </w:p>
    <w:p>
      <w:pPr>
        <w:pStyle w:val="BookText"/>
      </w:pPr>
      <w:r>
        <w:rPr>
          <w:rFonts w:ascii="Amiri" w:hAnsi="Amiri" w:eastAsia="Amiri" w:cs="Amiri"/>
          <w:lang w:bidi="ar-SA"/>
          <w:color w:val="111111"/>
          <w:sz w:val="28"/>
          <w:szCs w:val="28"/>
          <w:rtl/>
        </w:rPr>
        <w:t xml:space="preserve">نسخه اصل: همان نسخه بالا [فيلمها ف: ۱-۵۵۰]</w:t>
      </w:r>
    </w:p>
    <w:p>
      <w:pPr>
        <w:pStyle w:val="BookText"/>
      </w:pPr>
      <w:r>
        <w:rPr>
          <w:rFonts w:ascii="IRNazanin" w:hAnsi="IRNazanin" w:eastAsia="IRNazanin" w:cs="IRNazanin"/>
          <w:lang w:bidi="fa-IR"/>
          <w:color w:val="111111"/>
          <w:sz w:val="28"/>
          <w:szCs w:val="28"/>
          <w:rtl/>
        </w:rPr>
        <w:t xml:space="preserve">۵. تهران؛ ملک، شماره نسخه: ۶۲۱۲/۱</w:t>
      </w:r>
    </w:p>
    <w:p>
      <w:pPr>
        <w:pStyle w:val="BookText"/>
      </w:pPr>
      <w:r>
        <w:rPr>
          <w:rFonts w:ascii="IRNazanin" w:hAnsi="IRNazanin" w:eastAsia="IRNazanin" w:cs="IRNazanin"/>
          <w:lang w:bidi="fa-IR"/>
          <w:color w:val="111111"/>
          <w:sz w:val="28"/>
          <w:szCs w:val="28"/>
          <w:rtl/>
        </w:rPr>
        <w:t xml:space="preserve">آغاز: برابر؛ انجام: که نتیجه راست هست یا نه، و چون آنچه در این کتاب بیان خواستیم کرد تمام شد. سخن به سپاس خدای بخشنده خرد ختم کنیم، انشاء الله تعالی در غره شهر رجب ۱۲۹۸ ... حسب الامر ... آقا میرزا صادق خان بروجردی الاصل طهرانی ... بید ... ابن میرزا عبدالخالق محمد علی صاحبي نائنی متخلص بعبرت في (سه شنبه ۲۶ شعبان ۱۳۴۲) خط: نسخ، كا: محمد على متخلص به عبرت نائینی، تا: رمضان ۱۳۴۲ق؛ جلد: ابری عطف گوشه میشن سیاه، ۱۰۴ص (۲-۱۰۵)، 19 سطر، اندازه: ۲۱/۸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۹-۲۷۰]</w:t>
      </w:r>
    </w:p>
    <w:p>
      <w:pPr>
        <w:pStyle w:val="BookText"/>
      </w:pPr>
      <w:r>
        <w:rPr>
          <w:rFonts w:ascii="IRNazanin" w:hAnsi="IRNazanin" w:eastAsia="IRNazanin" w:cs="IRNazanin"/>
          <w:lang w:bidi="fa-IR"/>
          <w:color w:val="111111"/>
          <w:sz w:val="28"/>
          <w:szCs w:val="28"/>
          <w:rtl/>
        </w:rPr>
        <w:t xml:space="preserve">۶. تهران؛ مجلس؛ شماره نسخه: ۴۲۵۱/۱</w:t>
      </w:r>
    </w:p>
    <w:p>
      <w:pPr>
        <w:pStyle w:val="BookText"/>
      </w:pPr>
      <w:r>
        <w:rPr>
          <w:rFonts w:ascii="IRNazanin" w:hAnsi="IRNazanin" w:eastAsia="IRNazanin" w:cs="IRNazanin"/>
          <w:lang w:bidi="fa-IR"/>
          <w:color w:val="111111"/>
          <w:sz w:val="28"/>
          <w:szCs w:val="28"/>
          <w:rtl/>
        </w:rPr>
        <w:t xml:space="preserve">آغاز: برابر این رساله را فهرست نگار بخش اول (منطق) رساله بعدی مجموعه که ترجمه اشارات و تنبیهات ابن سیناست دانسته؛ خط: نستعلیق، كان شرف الدين بن زين الدين بن نائینی، بی تا؛ مصحح در ۱۲۹۸ از میرزا عبدالله مهر: «محمد علی حسینی»، «حاج سید نصر الله تقوی»؛ کاغذ: اصفهانی، جلد: مشکی، ۱۷ سطر (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۱۲/۵سم [ف: ۱۱-۲۶۵]</w:t>
      </w:r>
    </w:p>
    <w:p>
      <w:pPr>
        <w:pStyle w:val="BookText"/>
      </w:pPr>
      <w:r>
        <w:rPr>
          <w:rFonts w:ascii="IRNazanin" w:hAnsi="IRNazanin" w:eastAsia="IRNazanin" w:cs="IRNazanin"/>
          <w:lang w:bidi="fa-IR"/>
          <w:color w:val="111111"/>
          <w:sz w:val="28"/>
          <w:szCs w:val="28"/>
          <w:rtl/>
        </w:rPr>
        <w:t xml:space="preserve">۷. تهران، دانشگاه؛ شماره نسخه:۹-عکس</w:t>
      </w:r>
    </w:p>
    <w:p>
      <w:pPr>
        <w:pStyle w:val="BookText"/>
      </w:pPr>
      <w:r>
        <w:rPr>
          <w:rFonts w:ascii="IRNazanin" w:hAnsi="IRNazanin" w:eastAsia="IRNazanin" w:cs="IRNazanin"/>
          <w:lang w:bidi="fa-IR"/>
          <w:color w:val="111111"/>
          <w:sz w:val="28"/>
          <w:szCs w:val="28"/>
          <w:rtl/>
        </w:rPr>
        <w:t xml:space="preserve">نسخه اصل: ایا صوفيا ۲۵۴۰؛ خط: نستعلیق، بی کا، بی تا [فيلمها ف: 219-3]</w:t>
      </w:r>
    </w:p>
    <w:p>
      <w:pPr>
        <w:pStyle w:val="BookText"/>
      </w:pPr>
      <w:r>
        <w:rPr>
          <w:rFonts w:ascii="IRNazanin" w:hAnsi="IRNazanin" w:eastAsia="IRNazanin" w:cs="IRNazanin"/>
          <w:lang w:bidi="fa-IR"/>
          <w:color w:val="111111"/>
          <w:sz w:val="28"/>
          <w:szCs w:val="28"/>
          <w:rtl/>
        </w:rPr>
        <w:t xml:space="preserve">۸. تهران، دانشگاه؛ شماره نسخه: ۱ف و ۱۰-عکس</w:t>
      </w:r>
    </w:p>
    <w:p>
      <w:pPr>
        <w:pStyle w:val="BookText"/>
      </w:pPr>
      <w:r>
        <w:rPr>
          <w:rFonts w:ascii="IRNazanin" w:hAnsi="IRNazanin" w:eastAsia="IRNazanin" w:cs="IRNazanin"/>
          <w:lang w:bidi="fa-IR"/>
          <w:color w:val="111111"/>
          <w:sz w:val="28"/>
          <w:szCs w:val="28"/>
          <w:rtl/>
        </w:rPr>
        <w:t xml:space="preserve">نسخه اصل: ایاصوفيا ش ۲۵۳۰. به نام دانشنامه علائی ابن سینا؛ خط: نستعلیق، بی کا، بی تا، ۸۰گ، ۱۵ سطر [فیلمها ف: ۱-۴۰] و [فیلمها ف: ۳-۲۱۹]</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دانشگاه؛ شماره نسخه: ۹۷۲ف و ۱۲/۱ -عکس</w:t>
      </w:r>
    </w:p>
    <w:p>
      <w:pPr>
        <w:pStyle w:val="BookText"/>
      </w:pPr>
      <w:r>
        <w:rPr>
          <w:rFonts w:ascii="IRNazanin" w:hAnsi="IRNazanin" w:eastAsia="IRNazanin" w:cs="IRNazanin"/>
          <w:lang w:bidi="fa-IR"/>
          <w:color w:val="111111"/>
          <w:sz w:val="28"/>
          <w:szCs w:val="28"/>
          <w:rtl/>
        </w:rPr>
        <w:t xml:space="preserve">نسخه اصل: نور عثمانیه ش ۲۷۴۸. به نام دانشنامه علائی ابن سینا؛ خط: نسخ، بی کا، بی تا؛ با رسالة الفصد ابن سینا و نامه کوتاهی از او (دیباچه تبصره ساوی ص ۵۰): ۳۹گ (۱-۳۹)، ۳۷ سطر فيلمها [ف: ۱-۴۰ و ۳-۲۱۹]</w:t>
      </w:r>
    </w:p>
    <w:p>
      <w:pPr>
        <w:pStyle w:val="Heading3"/>
      </w:pPr>
      <w:bookmarkStart w:id="2864" w:name="_Toc2124"/>
      <w:r>
        <w:t>• التبصرة / رياضيات / عربی</w:t>
      </w:r>
      <w:bookmarkEnd w:id="2864"/>
    </w:p>
    <w:p>
      <w:pPr>
        <w:pStyle w:val="BookText"/>
      </w:pPr>
      <w:r>
        <w:rPr>
          <w:rFonts w:ascii="Times New Roman" w:hAnsi="Times New Roman" w:eastAsia="Times New Roman" w:cs="Times New Roman"/>
          <w:lang w:val="en-US" w:bidi="en-US"/>
          <w:color w:val="111111"/>
          <w:sz w:val="28"/>
          <w:szCs w:val="28"/>
          <w:rtl/>
        </w:rPr>
        <w:t xml:space="preserve">at-tabyira</w:t>
      </w:r>
    </w:p>
    <w:p>
      <w:pPr>
        <w:pStyle w:val="BookText"/>
      </w:pPr>
      <w:r>
        <w:rPr>
          <w:rFonts w:ascii="IRNazanin" w:hAnsi="IRNazanin" w:eastAsia="IRNazanin" w:cs="IRNazanin"/>
          <w:lang w:bidi="fa-IR"/>
          <w:color w:val="111111"/>
          <w:sz w:val="28"/>
          <w:szCs w:val="28"/>
          <w:rtl/>
        </w:rPr>
        <w:t xml:space="preserve">ابراهيم بن ابی طالب، ق ۱۱</w:t>
      </w:r>
    </w:p>
    <w:p>
      <w:pPr>
        <w:pStyle w:val="BookText"/>
      </w:pPr>
      <w:r>
        <w:rPr>
          <w:rFonts w:ascii="Times New Roman" w:hAnsi="Times New Roman" w:eastAsia="Times New Roman" w:cs="Times New Roman"/>
          <w:lang w:val="en-US" w:bidi="en-US"/>
          <w:color w:val="111111"/>
          <w:sz w:val="28"/>
          <w:szCs w:val="28"/>
          <w:rtl/>
        </w:rPr>
        <w:t xml:space="preserve">ebrāhīm ebn-e abī tāleb (-11c)</w:t>
      </w:r>
    </w:p>
    <w:p>
      <w:pPr>
        <w:pStyle w:val="BookText"/>
      </w:pPr>
      <w:r>
        <w:rPr>
          <w:rFonts w:ascii="IRNazanin" w:hAnsi="IRNazanin" w:eastAsia="IRNazanin" w:cs="IRNazanin"/>
          <w:lang w:bidi="fa-IR"/>
          <w:color w:val="111111"/>
          <w:sz w:val="28"/>
          <w:szCs w:val="28"/>
          <w:rtl/>
        </w:rPr>
        <w:t xml:space="preserve">مشهد؛ رضوی؛ شماره نسخه:۱۴۷۳۷</w:t>
      </w:r>
    </w:p>
    <w:p>
      <w:pPr>
        <w:pStyle w:val="BookText"/>
      </w:pPr>
      <w:r>
        <w:rPr>
          <w:rFonts w:ascii="IRNazanin" w:hAnsi="IRNazanin" w:eastAsia="IRNazanin" w:cs="IRNazanin"/>
          <w:lang w:bidi="fa-IR"/>
          <w:color w:val="111111"/>
          <w:sz w:val="28"/>
          <w:szCs w:val="28"/>
          <w:rtl/>
        </w:rPr>
        <w:t xml:space="preserve">آغاز: بسمله. نحمدک اللهم لك وحدانيه العداد؛ انجام: و الصلوه على محمد و آله من غير عدد.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bookmarkStart w:id="641" w:name="pg20363_209977"/>
    <w:bookmarkEnd w:id="641"/>
    <w:p>
      <w:pPr>
        <w:pStyle w:val="BookText"/>
      </w:pPr>
      <w:r>
        <w:rPr>
          <w:rFonts w:ascii="IRNazanin" w:hAnsi="IRNazanin" w:eastAsia="IRNazanin" w:cs="IRNazanin"/>
          <w:lang w:bidi="fa-IR"/>
          <w:color w:val="111111"/>
          <w:sz w:val="28"/>
          <w:szCs w:val="28"/>
          <w:rtl/>
        </w:rPr>
        <w:t xml:space="preserve">خط: نسخ، بی کا، بی تا، کاغذ: نخودی، جلد: تیماج، ۱۹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[الفبائی: ۱۰۱]</w:t>
      </w:r>
    </w:p>
    <w:p>
      <w:pPr>
        <w:pStyle w:val="Heading3"/>
      </w:pPr>
      <w:bookmarkStart w:id="2865" w:name="_Toc2125"/>
      <w:r>
        <w:t>•التبصرة / اخلاق / عربی</w:t>
      </w:r>
      <w:bookmarkEnd w:id="2865"/>
    </w:p>
    <w:p>
      <w:pPr>
        <w:pStyle w:val="BookText"/>
      </w:pPr>
      <w:r>
        <w:rPr>
          <w:rFonts w:ascii="Times New Roman" w:hAnsi="Times New Roman" w:eastAsia="Times New Roman" w:cs="Times New Roman"/>
          <w:lang w:val="en-US" w:bidi="en-US"/>
          <w:color w:val="111111"/>
          <w:sz w:val="28"/>
          <w:szCs w:val="28"/>
          <w:rtl/>
        </w:rPr>
        <w:t xml:space="preserve">at-tabSira</w:t>
      </w:r>
    </w:p>
    <w:p>
      <w:pPr>
        <w:pStyle w:val="BookText"/>
      </w:pPr>
      <w:r>
        <w:rPr>
          <w:rFonts w:ascii="IRNazanin" w:hAnsi="IRNazanin" w:eastAsia="IRNazanin" w:cs="IRNazanin"/>
          <w:lang w:bidi="fa-IR"/>
          <w:color w:val="111111"/>
          <w:sz w:val="28"/>
          <w:szCs w:val="28"/>
          <w:rtl/>
        </w:rPr>
        <w:t xml:space="preserve">تهران؛ مجلس؛ شماره نسخه: ۷۵۲</w:t>
      </w:r>
    </w:p>
    <w:p>
      <w:pPr>
        <w:pStyle w:val="BookText"/>
      </w:pPr>
      <w:r>
        <w:rPr>
          <w:rFonts w:ascii="IRNazanin" w:hAnsi="IRNazanin" w:eastAsia="IRNazanin" w:cs="IRNazanin"/>
          <w:lang w:bidi="fa-IR"/>
          <w:color w:val="111111"/>
          <w:sz w:val="28"/>
          <w:szCs w:val="28"/>
          <w:rtl/>
        </w:rPr>
        <w:t xml:space="preserve">آغاز: الدعاء و نحن نسبح بحمدک و نقدس لك؛ در خطب و مواعظ حاوی هشتاد مجلس. دیباچه کتاب و قدری از مجلس اول افتاده، از مجلس</w:t>
      </w:r>
    </w:p>
    <w:p>
      <w:pPr>
        <w:pStyle w:val="BookText"/>
      </w:pPr>
      <w:r>
        <w:rPr>
          <w:rFonts w:ascii="IRNazanin" w:hAnsi="IRNazanin" w:eastAsia="IRNazanin" w:cs="IRNazanin"/>
          <w:lang w:bidi="fa-IR"/>
          <w:color w:val="111111"/>
          <w:sz w:val="28"/>
          <w:szCs w:val="28"/>
          <w:rtl/>
        </w:rPr>
        <w:t xml:space="preserve">چهل و چهارم تا پنجاه و دوم ۳۱ ورق شکسته و ترکیده، تالیف شیخ ابوبکر احسائی (؟)؛ خط: نسخ، كا: عبدالعزيز بن عبدالرحمن بن عبد اللطيف، تا: ۱۲۷۰ق؛ افتادگی: آغاز؛ ۲۵۴گ، ۲۳ سطر، اندازه: ۲۲/۵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۳۲/۵سم [ف: ۲-۴۷۴]</w:t>
      </w:r>
    </w:p>
    <w:p>
      <w:pPr>
        <w:pStyle w:val="Heading3"/>
      </w:pPr>
      <w:bookmarkStart w:id="2866" w:name="_Toc2126"/>
      <w:r>
        <w:t>•التبصرة / شعر / عربی</w:t>
      </w:r>
      <w:bookmarkEnd w:id="2866"/>
    </w:p>
    <w:p>
      <w:pPr>
        <w:pStyle w:val="BookText"/>
      </w:pPr>
      <w:r>
        <w:rPr>
          <w:rFonts w:ascii="Times New Roman" w:hAnsi="Times New Roman" w:eastAsia="Times New Roman" w:cs="Times New Roman"/>
          <w:lang w:val="en-US" w:bidi="en-US"/>
          <w:color w:val="111111"/>
          <w:sz w:val="28"/>
          <w:szCs w:val="28"/>
          <w:rtl/>
        </w:rPr>
        <w:t xml:space="preserve">at-tabșira</w:t>
      </w:r>
    </w:p>
    <w:p>
      <w:pPr>
        <w:pStyle w:val="BookText"/>
      </w:pPr>
      <w:r>
        <w:rPr>
          <w:rFonts w:ascii="IRNazanin" w:hAnsi="IRNazanin" w:eastAsia="IRNazanin" w:cs="IRNazanin"/>
          <w:lang w:bidi="fa-IR"/>
          <w:color w:val="111111"/>
          <w:sz w:val="28"/>
          <w:szCs w:val="28"/>
          <w:rtl/>
        </w:rPr>
        <w:t xml:space="preserve">عبارت است از ارجوزه سیوطی در صد و پنجاه بیت در سؤال و جواب در قبر باین مطلع: «الحمدلله على الاسلام *** و الشكر لله على الانعام / و افضل الصلوة و الثناء *** على النبي ختم الأنبياء).</w:t>
      </w:r>
    </w:p>
    <w:p>
      <w:pPr>
        <w:pStyle w:val="BookText"/>
      </w:pPr>
      <w:r>
        <w:rPr>
          <w:rFonts w:ascii="IRNazanin" w:hAnsi="IRNazanin" w:eastAsia="IRNazanin" w:cs="IRNazanin"/>
          <w:lang w:bidi="fa-IR"/>
          <w:color w:val="111111"/>
          <w:sz w:val="28"/>
          <w:szCs w:val="28"/>
          <w:rtl/>
        </w:rPr>
        <w:t xml:space="preserve">مشهد؛ رضوی؛ شماره نسخه: ۱۳۶۷۲/۲</w:t>
      </w:r>
    </w:p>
    <w:p>
      <w:pPr>
        <w:pStyle w:val="BookText"/>
      </w:pPr>
      <w:r>
        <w:rPr>
          <w:rFonts w:ascii="IRNazanin" w:hAnsi="IRNazanin" w:eastAsia="IRNazanin" w:cs="IRNazanin"/>
          <w:lang w:bidi="fa-IR"/>
          <w:color w:val="111111"/>
          <w:sz w:val="28"/>
          <w:szCs w:val="28"/>
          <w:rtl/>
        </w:rPr>
        <w:t xml:space="preserve">انجام: فاحمد الله على ما يلهم *** ثم على نبيه اسلم خط: نسخ، كا: محمد بن مهدی، تا: ۱۲۸۱ق؛ کاغذ: نخودی، جلد: مقوا،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۱۶/۷ سم [ف: ۱۲-۳۳۳]</w:t>
      </w:r>
    </w:p>
    <w:p>
      <w:pPr>
        <w:pStyle w:val="Heading3"/>
      </w:pPr>
      <w:bookmarkStart w:id="2867" w:name="_Toc2127"/>
      <w:r>
        <w:t>•تبصرة الاخوان في بيان اكبرية القرآن / کلام و اعتقادات / عربی</w:t>
      </w:r>
      <w:bookmarkEnd w:id="2867"/>
    </w:p>
    <w:p>
      <w:pPr>
        <w:pStyle w:val="BookText"/>
      </w:pPr>
      <w:r>
        <w:rPr>
          <w:rFonts w:ascii="Times New Roman" w:hAnsi="Times New Roman" w:eastAsia="Times New Roman" w:cs="Times New Roman"/>
          <w:lang w:val="en-US" w:bidi="en-US"/>
          <w:color w:val="111111"/>
          <w:sz w:val="28"/>
          <w:szCs w:val="28"/>
          <w:rtl/>
        </w:rPr>
        <w:t xml:space="preserve">tabșirat-ul ixwān fī bayān-i akbarīyyat-il qur'ān</w:t>
      </w:r>
    </w:p>
    <w:p>
      <w:pPr>
        <w:pStyle w:val="BookText"/>
      </w:pPr>
      <w:r>
        <w:rPr>
          <w:rFonts w:ascii="IRNazanin" w:hAnsi="IRNazanin" w:eastAsia="IRNazanin" w:cs="IRNazanin"/>
          <w:lang w:bidi="fa-IR"/>
          <w:color w:val="111111"/>
          <w:sz w:val="28"/>
          <w:szCs w:val="28"/>
          <w:rtl/>
        </w:rPr>
        <w:t xml:space="preserve">خواجوئی، محمد اسماعیل بن حسین، -۱۱۷۳ قمری</w:t>
      </w:r>
    </w:p>
    <w:p>
      <w:pPr>
        <w:pStyle w:val="BookText"/>
      </w:pPr>
      <w:r>
        <w:rPr>
          <w:rFonts w:ascii="Times New Roman" w:hAnsi="Times New Roman" w:eastAsia="Times New Roman" w:cs="Times New Roman"/>
          <w:lang w:val="en-US" w:bidi="en-US"/>
          <w:color w:val="111111"/>
          <w:sz w:val="28"/>
          <w:szCs w:val="28"/>
          <w:rtl/>
        </w:rPr>
        <w:t xml:space="preserve">xājū’ī, mohammad esmāʻīl ebn-e hoseyn (-1760)</w:t>
      </w:r>
    </w:p>
    <w:p>
      <w:pPr>
        <w:pStyle w:val="BookText"/>
      </w:pPr>
      <w:r>
        <w:rPr>
          <w:rFonts w:ascii="IRNazanin" w:hAnsi="IRNazanin" w:eastAsia="IRNazanin" w:cs="IRNazanin"/>
          <w:lang w:bidi="fa-IR"/>
          <w:color w:val="111111"/>
          <w:sz w:val="28"/>
          <w:szCs w:val="28"/>
          <w:rtl/>
        </w:rPr>
        <w:t xml:space="preserve">در تفضيل قرآن کریم بر عترت و رد بر آنان که می گویند عترت از قرآن افضل می باشند، در اثر مشاجره ای که بین گروهی از دانشمندان در این موضوع پدید آمده بود تأليف شده است. دارای یک «مقدمه» و دو «فصل» و یک «خاتمه»: المقدمة: في ذكر رسوم القرآن و تعريفاته؛ فصل 1. الأحاديث الواردة في الباب من طرق الخاصة و العامة؛ فصل ۲. اجوبة الشکوک و الشبهات؛ الخاتمة: في جملة من الاخبار[ دنا ۷۶۳/۲ ]</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هداية المؤمنين الى الصراط المستقيم في تفضيل الام المبين على القرآن العظيم؛ شریف، یحیی بن محمد شفیع (-۱۴)</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نسخه:۳۰۲۳</w:t>
      </w:r>
    </w:p>
    <w:p>
      <w:pPr>
        <w:pStyle w:val="BookText"/>
      </w:pPr>
      <w:r>
        <w:rPr>
          <w:rFonts w:ascii="IRNazanin" w:hAnsi="IRNazanin" w:eastAsia="IRNazanin" w:cs="IRNazanin"/>
          <w:lang w:bidi="fa-IR"/>
          <w:color w:val="111111"/>
          <w:sz w:val="28"/>
          <w:szCs w:val="28"/>
          <w:rtl/>
        </w:rPr>
        <w:t xml:space="preserve">آغاز: الحمدلله الذي بعث محمدأ بقرآن قد بينه و فرقان قد أحكمه ليعلم العباد ربهم بعد أن جهلوه و ليقروا به بعد أن جحدوه؛ انجام: و من الله الاستعانة في جميع الأمور صعابها و سهالها و عليه الاعتماد و التكلان خط: نستعلیق، کاتب = مؤلف، بی تا؛ مصحح؛ مهر: «عبده محمد صادق بن محمد حسین الحسینی» (بیضوی)، «عبده محمد صالح» (مربع)؛ جلد: تیماج بدون مقوا قهوه ای، ۳۵گ، مختلف السطر، اندازه: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۱۸/۵ سم [ف: ۸-۲۰۹]</w:t>
      </w:r>
    </w:p>
    <w:p>
      <w:pPr>
        <w:pStyle w:val="BookText"/>
      </w:pPr>
      <w:r>
        <w:rPr>
          <w:rFonts w:ascii="IRNazanin" w:hAnsi="IRNazanin" w:eastAsia="IRNazanin" w:cs="IRNazanin"/>
          <w:lang w:bidi="fa-IR"/>
          <w:color w:val="111111"/>
          <w:sz w:val="28"/>
          <w:szCs w:val="28"/>
          <w:rtl/>
        </w:rPr>
        <w:t xml:space="preserve">۲. تهران؛ ملک؛ شماره نسخه: ۱۶۰۶/۱۷</w:t>
      </w:r>
    </w:p>
    <w:p>
      <w:pPr>
        <w:pStyle w:val="BookText"/>
      </w:pPr>
      <w:r>
        <w:rPr>
          <w:rFonts w:ascii="IRNazanin" w:hAnsi="IRNazanin" w:eastAsia="IRNazanin" w:cs="IRNazanin"/>
          <w:lang w:bidi="fa-IR"/>
          <w:color w:val="111111"/>
          <w:sz w:val="28"/>
          <w:szCs w:val="28"/>
          <w:rtl/>
        </w:rPr>
        <w:t xml:space="preserve">خط: نسخ، كان محمد کاظم پسر میرزا محمد، تا: ۱۲۴۷ق، جا اصفهان، مدرسه جده؛ ۴۶گی (۱۵۰-۱۹۵پ) [ف: ۳۰۵۵]</w:t>
      </w:r>
    </w:p>
    <w:p>
      <w:pPr>
        <w:pStyle w:val="Heading3"/>
      </w:pPr>
      <w:bookmarkStart w:id="2868" w:name="_Toc2128"/>
      <w:r>
        <w:t>•تبصرة الادباء / ادبیات عربی و فارسی</w:t>
      </w:r>
      <w:bookmarkEnd w:id="2868"/>
    </w:p>
    <w:p>
      <w:pPr>
        <w:pStyle w:val="BookText"/>
      </w:pPr>
      <w:r>
        <w:rPr>
          <w:rFonts w:ascii="Times New Roman" w:hAnsi="Times New Roman" w:eastAsia="Times New Roman" w:cs="Times New Roman"/>
          <w:lang w:val="en-US" w:bidi="en-US"/>
          <w:color w:val="111111"/>
          <w:sz w:val="28"/>
          <w:szCs w:val="28"/>
          <w:rtl/>
        </w:rPr>
        <w:t xml:space="preserve">tabșirat-ul udabā</w:t>
      </w:r>
    </w:p>
    <w:p>
      <w:pPr>
        <w:pStyle w:val="BookText"/>
      </w:pPr>
      <w:r>
        <w:rPr>
          <w:rFonts w:ascii="IRNazanin" w:hAnsi="IRNazanin" w:eastAsia="IRNazanin" w:cs="IRNazanin"/>
          <w:lang w:bidi="fa-IR"/>
          <w:color w:val="111111"/>
          <w:sz w:val="28"/>
          <w:szCs w:val="28"/>
          <w:rtl/>
        </w:rPr>
        <w:t xml:space="preserve">طارمی، جلیل بن عباس، ق۱۳ قمری</w:t>
      </w:r>
    </w:p>
    <w:p>
      <w:pPr>
        <w:pStyle w:val="BookText"/>
      </w:pPr>
      <w:r>
        <w:rPr>
          <w:rFonts w:ascii="Times New Roman" w:hAnsi="Times New Roman" w:eastAsia="Times New Roman" w:cs="Times New Roman"/>
          <w:lang w:val="en-US" w:bidi="en-US"/>
          <w:color w:val="111111"/>
          <w:sz w:val="28"/>
          <w:szCs w:val="28"/>
          <w:rtl/>
        </w:rPr>
        <w:t xml:space="preserve">tāramī, jalīl ebn-e ‘abbās (-190)</w:t>
      </w:r>
    </w:p>
    <w:p>
      <w:pPr>
        <w:pStyle w:val="BookText"/>
      </w:pPr>
      <w:r>
        <w:rPr>
          <w:rFonts w:ascii="IRNazanin" w:hAnsi="IRNazanin" w:eastAsia="IRNazanin" w:cs="IRNazanin"/>
          <w:lang w:bidi="fa-IR"/>
          <w:color w:val="111111"/>
          <w:sz w:val="28"/>
          <w:szCs w:val="28"/>
          <w:rtl/>
        </w:rPr>
        <w:t xml:space="preserve">تاریخ تأليف: ۲۸ ذیحجه ۱۲۹۱ق در شرح چند بیت دشوار عربی به عربی و در پایان به فارسی. از شاعری ناشناخته که بیت اول آنها این است: «أذاب التبر في كأس اللجين </w:t>
      </w:r>
      <w:r>
        <w:rPr>
          <w:rFonts w:ascii="Times New Roman" w:hAnsi="Times New Roman" w:eastAsia="Times New Roman" w:cs="Times New Roman"/>
          <w:lang w:val="en-US" w:bidi="en-US"/>
          <w:color w:val="111111"/>
          <w:sz w:val="28"/>
          <w:szCs w:val="28"/>
          <w:rtl/>
        </w:rPr>
        <w:t xml:space="preserve">xx </w:t>
      </w:r>
      <w:r>
        <w:rPr>
          <w:rFonts w:ascii="IRNazanin" w:hAnsi="IRNazanin" w:eastAsia="IRNazanin" w:cs="IRNazanin"/>
          <w:lang w:bidi="fa-IR"/>
          <w:color w:val="111111"/>
          <w:sz w:val="28"/>
          <w:szCs w:val="28"/>
          <w:rtl/>
        </w:rPr>
        <w:t xml:space="preserve">رشا بالراح مخضوب اليدين». در آغاز مفردات و مسائل ادبی این ابیات را به عربی توضیح داده پس از آن مراد شاعر به فارسی بیان شده است. آغاز: بسمله و به نستعين. الحمد لمن هو اولی به ... و بعد ... جلیل بن عباس بن سليمان الموسوی الحسینی الطارمی ... لما كنت في سنة احدی و تسعين بعد الالف و الماتين ... ساكنا في مدرسة صدر .. الطهران مستقلا بالتدرس و التدریس فقد سئلنی ذات يوم من هذه السنة بعض اخوان الايمان ... عن توجيه ابیان كانت عليه مشكلة و عن كشف القناع عن وجوهها ... فلاجرم اجبت مسئلته. انجام: و چگونگی و صورت واقعه را بجهت مبالغه در اثبات مدعای خود قد فرغت عن تاليف هذه النسخة المسماة بتبصرة الأدباء في يوم الثامن و العشرين من ذي الحجة الحرام من سنة احدی و تسعين بعد الالف و الماتين ... و تحية.</w:t>
      </w:r>
    </w:p>
    <w:p>
      <w:pPr>
        <w:pStyle w:val="BookText"/>
      </w:pPr>
      <w:r>
        <w:rPr>
          <w:rFonts w:ascii="IRNazanin" w:hAnsi="IRNazanin" w:eastAsia="IRNazanin" w:cs="IRNazanin"/>
          <w:lang w:bidi="fa-IR"/>
          <w:color w:val="111111"/>
          <w:sz w:val="28"/>
          <w:szCs w:val="28"/>
          <w:rtl/>
        </w:rPr>
        <w:t xml:space="preserve">[دنا ۷۶۳/۲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مرعشی؛ شماره نسخه: ۵۸۷۲/۲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حسین بن اسماعیل سبزواری، تا: ۱۲۹۲ق؛ جلد: تیماج قهوه ای، ۴ گ (۶روپ)،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[ف:۱۵-۲۵۶]</w:t>
      </w:r>
    </w:p>
    <w:p>
      <w:pPr>
        <w:pStyle w:val="BookText"/>
      </w:pPr>
      <w:r>
        <w:rPr>
          <w:rFonts w:ascii="IRNazanin" w:hAnsi="IRNazanin" w:eastAsia="IRNazanin" w:cs="IRNazanin"/>
          <w:lang w:bidi="fa-IR"/>
          <w:color w:val="111111"/>
          <w:sz w:val="28"/>
          <w:szCs w:val="28"/>
          <w:rtl/>
        </w:rPr>
        <w:t xml:space="preserve">۲. تهران؛ دانشگاه؛ شماره نسخه: ۴۱۵۶/۲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علی اکبر ورامینی، تا: ۱۷ رجب ۱۲۹۳ق، کاغذ: فرنگی سفید و کبود، جلد: تیماج حنایی مقوایی، ۲۲گ (۱-۲۲)، ۱۳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۱۳-۳۱۲۷]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bookmarkStart w:id="642" w:name="pg20363_209978"/>
    <w:bookmarkEnd w:id="642"/>
    <w:p>
      <w:pPr>
        <w:pStyle w:val="Heading3"/>
      </w:pPr>
      <w:bookmarkStart w:id="2869" w:name="_Toc2129"/>
      <w:r>
        <w:t>•تبصرة الادلة في علم الكلام / كلام و اعتقادات / عربی</w:t>
      </w:r>
      <w:bookmarkEnd w:id="2869"/>
    </w:p>
    <w:p>
      <w:pPr>
        <w:pStyle w:val="BookText"/>
      </w:pPr>
      <w:r>
        <w:rPr>
          <w:rFonts w:ascii="Times New Roman" w:hAnsi="Times New Roman" w:eastAsia="Times New Roman" w:cs="Times New Roman"/>
          <w:lang w:val="en-US" w:bidi="en-US"/>
          <w:color w:val="111111"/>
          <w:sz w:val="28"/>
          <w:szCs w:val="28"/>
          <w:rtl/>
        </w:rPr>
        <w:t xml:space="preserve">tabsirat-ul adilla fī ‘ilm-il kalām</w:t>
      </w:r>
    </w:p>
    <w:p>
      <w:pPr>
        <w:pStyle w:val="BookText"/>
      </w:pPr>
      <w:r>
        <w:rPr>
          <w:rFonts w:ascii="IRNazanin" w:hAnsi="IRNazanin" w:eastAsia="IRNazanin" w:cs="IRNazanin"/>
          <w:lang w:bidi="fa-IR"/>
          <w:color w:val="111111"/>
          <w:sz w:val="28"/>
          <w:szCs w:val="28"/>
          <w:rtl/>
        </w:rPr>
        <w:t xml:space="preserve">نسفی، میمون بن محمد، ۴۱۸-۵۰۸ قمری</w:t>
      </w:r>
    </w:p>
    <w:p>
      <w:pPr>
        <w:pStyle w:val="BookText"/>
      </w:pPr>
      <w:r>
        <w:rPr>
          <w:rFonts w:ascii="Times New Roman" w:hAnsi="Times New Roman" w:eastAsia="Times New Roman" w:cs="Times New Roman"/>
          <w:lang w:val="en-US" w:bidi="en-US"/>
          <w:color w:val="111111"/>
          <w:sz w:val="28"/>
          <w:szCs w:val="28"/>
          <w:rtl/>
        </w:rPr>
        <w:t xml:space="preserve">nasafī, maymūn ebn-e mohammad (1028-1115)</w:t>
      </w:r>
    </w:p>
    <w:p>
      <w:pPr>
        <w:pStyle w:val="BookText"/>
      </w:pPr>
      <w:r>
        <w:rPr>
          <w:rFonts w:ascii="IRNazanin" w:hAnsi="IRNazanin" w:eastAsia="IRNazanin" w:cs="IRNazanin"/>
          <w:lang w:bidi="fa-IR"/>
          <w:color w:val="111111"/>
          <w:sz w:val="28"/>
          <w:szCs w:val="28"/>
          <w:rtl/>
        </w:rPr>
        <w:t xml:space="preserve">در اصول الدين. در برخی جاها دارد (مانند ۱۰۰پ) «قال الشيخ ابو المعين» (قرطای ۴۷۳۰ نسخه مورخ روز پنج شنبه ۱۱ محرم ۵۹۵، بروکلمن در تبصرة الادلة، ۴۲۶/۱ ذیل ۷۵۷، دفتر فان اس سرچشمه های بهره برده نشده درباره کرامیان» ص ۱۱ و ۱۲ و جاهای دیگر، ترجمه فارسی آن در معارف ۱/۹ ص ۳۴)، با عنوان های: القول في تحديد العلم ...... الكلام في تفضيل على. در فهرست ۴۶ بند مطالب کتاب شمرده شده است. آغاز: الحمدلله على مننه التي لا يحيط بها الحد و نعمه التي لا يبلغها الاحصاء و العد تهران؛ مینوی؛ شماره نسخه: ۲۶۶/۲ بخش ۳ و ۲۶۷/۲ بخش ۳ و ۲/ ۹۰ بخش۲</w:t>
      </w:r>
    </w:p>
    <w:p>
      <w:pPr>
        <w:pStyle w:val="BookText"/>
      </w:pPr>
      <w:r>
        <w:rPr>
          <w:rFonts w:ascii="IRNazanin" w:hAnsi="IRNazanin" w:eastAsia="IRNazanin" w:cs="IRNazanin"/>
          <w:lang w:bidi="fa-IR"/>
          <w:color w:val="111111"/>
          <w:sz w:val="28"/>
          <w:szCs w:val="28"/>
          <w:rtl/>
        </w:rPr>
        <w:t xml:space="preserve">آغاز: برابر نسخه اصل: احمد ثالث ش ۱۸۶۶؛ كا: محمد بن احمد بن ابی بكر نجم المالقی، تا: جمادی الثانی ۶۵۳ق؛ ۲۲۲گ (۲۴پ۔ ۲۴۵ر) [ف: ۱۳۳ و ۸۶]</w:t>
      </w:r>
    </w:p>
    <w:p>
      <w:pPr>
        <w:pStyle w:val="Heading3"/>
      </w:pPr>
      <w:bookmarkStart w:id="2870" w:name="_Toc2130"/>
      <w:r>
        <w:t>•تبصره الأصول / کلام و اعتقادات / فارسی</w:t>
      </w:r>
      <w:bookmarkEnd w:id="2870"/>
    </w:p>
    <w:p>
      <w:pPr>
        <w:pStyle w:val="BookText"/>
      </w:pPr>
      <w:r>
        <w:rPr>
          <w:rFonts w:ascii="Times New Roman" w:hAnsi="Times New Roman" w:eastAsia="Times New Roman" w:cs="Times New Roman"/>
          <w:lang w:val="en-US" w:bidi="en-US"/>
          <w:color w:val="111111"/>
          <w:sz w:val="28"/>
          <w:szCs w:val="28"/>
          <w:rtl/>
        </w:rPr>
        <w:t xml:space="preserve">tabserat-ol osūl</w:t>
      </w:r>
    </w:p>
    <w:p>
      <w:pPr>
        <w:pStyle w:val="BookText"/>
      </w:pPr>
      <w:r>
        <w:rPr>
          <w:rFonts w:ascii="IRNazanin" w:hAnsi="IRNazanin" w:eastAsia="IRNazanin" w:cs="IRNazanin"/>
          <w:lang w:bidi="fa-IR"/>
          <w:color w:val="111111"/>
          <w:sz w:val="28"/>
          <w:szCs w:val="28"/>
          <w:rtl/>
        </w:rPr>
        <w:t xml:space="preserve">مشهد؛ رضوی؛ شماره نسخه: ۲۱۸۸۹</w:t>
      </w:r>
    </w:p>
    <w:p>
      <w:pPr>
        <w:pStyle w:val="BookText"/>
      </w:pPr>
      <w:r>
        <w:rPr>
          <w:rFonts w:ascii="IRNazanin" w:hAnsi="IRNazanin" w:eastAsia="IRNazanin" w:cs="IRNazanin"/>
          <w:lang w:bidi="fa-IR"/>
          <w:color w:val="111111"/>
          <w:sz w:val="28"/>
          <w:szCs w:val="28"/>
          <w:rtl/>
        </w:rPr>
        <w:t xml:space="preserve">آغاز: بسمله، الحمدلله ... مقدمه در بیان بعض فرق صوفیه؛ انجام: هو الزمان الذي ... في البلاد المعتدله.</w:t>
      </w:r>
    </w:p>
    <w:p>
      <w:pPr>
        <w:pStyle w:val="BookText"/>
      </w:pPr>
      <w:r>
        <w:rPr>
          <w:rFonts w:ascii="IRNazanin" w:hAnsi="IRNazanin" w:eastAsia="IRNazanin" w:cs="IRNazanin"/>
          <w:lang w:bidi="fa-IR"/>
          <w:color w:val="111111"/>
          <w:sz w:val="28"/>
          <w:szCs w:val="28"/>
          <w:rtl/>
        </w:rPr>
        <w:t xml:space="preserve">خط: نستعلیق تحریری، بی کا، تا: ۱۱۲۷ق؛ کاغذ: نخودی، جلد: مقوا، ۱۹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[رایانه]</w:t>
      </w:r>
    </w:p>
    <w:p>
      <w:pPr>
        <w:pStyle w:val="Heading3"/>
      </w:pPr>
      <w:bookmarkStart w:id="2871" w:name="_Toc2131"/>
      <w:r>
        <w:t>•تبصرة الاعياد سلیمانی / دعا / فارسی</w:t>
      </w:r>
      <w:bookmarkEnd w:id="2871"/>
    </w:p>
    <w:p>
      <w:pPr>
        <w:pStyle w:val="BookText"/>
      </w:pPr>
      <w:r>
        <w:rPr>
          <w:rFonts w:ascii="Times New Roman" w:hAnsi="Times New Roman" w:eastAsia="Times New Roman" w:cs="Times New Roman"/>
          <w:lang w:val="en-US" w:bidi="en-US"/>
          <w:color w:val="111111"/>
          <w:sz w:val="28"/>
          <w:szCs w:val="28"/>
          <w:rtl/>
        </w:rPr>
        <w:t xml:space="preserve">tabserat-ol a'yād-e soleymānī</w:t>
      </w:r>
    </w:p>
    <w:p>
      <w:pPr>
        <w:pStyle w:val="BookText"/>
      </w:pPr>
      <w:r>
        <w:rPr>
          <w:rFonts w:ascii="IRNazanin" w:hAnsi="IRNazanin" w:eastAsia="IRNazanin" w:cs="IRNazanin"/>
          <w:lang w:bidi="fa-IR"/>
          <w:color w:val="111111"/>
          <w:sz w:val="28"/>
          <w:szCs w:val="28"/>
          <w:rtl/>
        </w:rPr>
        <w:t xml:space="preserve">شاهوردی، فضلعلی بیک بن شاهوردی، ق ۱۲ قمری</w:t>
      </w:r>
    </w:p>
    <w:p>
      <w:pPr>
        <w:pStyle w:val="BookText"/>
      </w:pPr>
      <w:r>
        <w:rPr>
          <w:rFonts w:ascii="Times New Roman" w:hAnsi="Times New Roman" w:eastAsia="Times New Roman" w:cs="Times New Roman"/>
          <w:lang w:val="en-US" w:bidi="en-US"/>
          <w:color w:val="111111"/>
          <w:sz w:val="28"/>
          <w:szCs w:val="28"/>
          <w:rtl/>
        </w:rPr>
        <w:t xml:space="preserve">šāhverdī, fazl--alī beyk ebn-e šāhverdī (-18c)</w:t>
      </w:r>
    </w:p>
    <w:p>
      <w:pPr>
        <w:pStyle w:val="BookText"/>
      </w:pPr>
      <w:r>
        <w:rPr>
          <w:rFonts w:ascii="IRNazanin" w:hAnsi="IRNazanin" w:eastAsia="IRNazanin" w:cs="IRNazanin"/>
          <w:lang w:bidi="fa-IR"/>
          <w:color w:val="111111"/>
          <w:sz w:val="28"/>
          <w:szCs w:val="28"/>
          <w:rtl/>
        </w:rPr>
        <w:t xml:space="preserve">اهداء به: شاه سلیمان صفوی (جلد ۱۰۷۷-۱۱۰۵ ق) | کتاب مشتمل بر قوالی لآلى مأثوره در آداب و شرایط اعياد مرتب بر دو «مطلب»: اول در اعیاد و زینت در هشت «باب»: ۱) عید مبعث، ۲) عید غدیر، ۳) عيد آل محمد، ۴) عید فطر و اضحی، ۵) عید نوروز سلطانی، ۶) عيد محمد (ص) که جمعه است، ۷) بیان تزئینات، ۸) غسل اعیاد و زیارات متعلقه به آن؛ مطلب دوم در رویاهایی که در خاطر مانده.</w:t>
      </w:r>
    </w:p>
    <w:p>
      <w:pPr>
        <w:pStyle w:val="BookText"/>
      </w:pPr>
      <w:r>
        <w:rPr>
          <w:rFonts w:ascii="IRNazanin" w:hAnsi="IRNazanin" w:eastAsia="IRNazanin" w:cs="IRNazanin"/>
          <w:lang w:bidi="fa-IR"/>
          <w:color w:val="111111"/>
          <w:sz w:val="28"/>
          <w:szCs w:val="28"/>
          <w:rtl/>
        </w:rPr>
        <w:t xml:space="preserve">مشهد؛ رضوی؛ شماره نسخه:۳۱۳۳</w:t>
      </w:r>
    </w:p>
    <w:p>
      <w:pPr>
        <w:pStyle w:val="BookText"/>
      </w:pPr>
      <w:r>
        <w:rPr>
          <w:rFonts w:ascii="IRNazanin" w:hAnsi="IRNazanin" w:eastAsia="IRNazanin" w:cs="IRNazanin"/>
          <w:lang w:bidi="fa-IR"/>
          <w:color w:val="111111"/>
          <w:sz w:val="28"/>
          <w:szCs w:val="28"/>
          <w:rtl/>
        </w:rPr>
        <w:t xml:space="preserve">آغاز: با مرتبه پادشاهیش (كذ) بخدمت مهر داریش سرافراز است فصلوات الله عليهم مادامت الاعياد موجبه للسرور اما بعد؛ انجام: و در کنز العمل و مفتاح الهدی و عروة الوثقی از آثار صحيحه صادقین جمع و ترجمه شده و الله يهدي من يشاء تمت الكتاب بعون الملک تحریرا بتاریخ شهر ربيع الاخر سنه ۱۱۰۵ مجموع نسخه شریفه هزار و هفصد بیت است. خط: نستعلیق، بی کا، تا: ۱۱۰۵ق؛ افتادگی: آغاز؛ برگ اول نسخه افتاده و از باب هشتم به بعد کتابت نشده با این توضیح که بعد از اتمام بعد هفتم، زیارات اباعبدالله عليه السلام را تحت عنوان «باب پنجم» مرقوم و نسخه را به پایان رسانده؛ کاغذ: آهار مهره حنایی،</w:t>
      </w:r>
    </w:p>
    <w:p>
      <w:pPr>
        <w:pStyle w:val="BookText"/>
      </w:pPr>
      <w:r>
        <w:rPr>
          <w:rFonts w:ascii="IRNazanin" w:hAnsi="IRNazanin" w:eastAsia="IRNazanin" w:cs="IRNazanin"/>
          <w:lang w:bidi="fa-IR"/>
          <w:color w:val="111111"/>
          <w:sz w:val="28"/>
          <w:szCs w:val="28"/>
          <w:rtl/>
        </w:rPr>
        <w:t xml:space="preserve">جلد: مقوا با روکش پارچه، ۶۰گ، ۱۸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۱۱/۶ سم [ف: ۱۵-۱۳۴]</w:t>
      </w:r>
    </w:p>
    <w:p>
      <w:pPr>
        <w:pStyle w:val="Heading3"/>
      </w:pPr>
      <w:bookmarkStart w:id="2872" w:name="_Toc2132"/>
      <w:r>
        <w:t>•تبصرة أولي الألباب في علم الحساب / رياضيات / فارسی</w:t>
      </w:r>
      <w:bookmarkEnd w:id="2872"/>
    </w:p>
    <w:p>
      <w:pPr>
        <w:pStyle w:val="BookText"/>
      </w:pPr>
      <w:r>
        <w:rPr>
          <w:rFonts w:ascii="Times New Roman" w:hAnsi="Times New Roman" w:eastAsia="Times New Roman" w:cs="Times New Roman"/>
          <w:lang w:val="en-US" w:bidi="en-US"/>
          <w:color w:val="111111"/>
          <w:sz w:val="28"/>
          <w:szCs w:val="28"/>
          <w:rtl/>
        </w:rPr>
        <w:t xml:space="preserve">tabserat-o ole-l albāb fī ‘elm-el hesāb</w:t>
      </w:r>
    </w:p>
    <w:p>
      <w:pPr>
        <w:pStyle w:val="BookText"/>
      </w:pPr>
      <w:r>
        <w:rPr>
          <w:rFonts w:ascii="IRNazanin" w:hAnsi="IRNazanin" w:eastAsia="IRNazanin" w:cs="IRNazanin"/>
          <w:lang w:bidi="fa-IR"/>
          <w:color w:val="111111"/>
          <w:sz w:val="28"/>
          <w:szCs w:val="28"/>
          <w:rtl/>
        </w:rPr>
        <w:t xml:space="preserve">همام، محمد بن محمد، ق۹ قمری</w:t>
      </w:r>
    </w:p>
    <w:p>
      <w:pPr>
        <w:pStyle w:val="BookText"/>
      </w:pPr>
      <w:r>
        <w:rPr>
          <w:rFonts w:ascii="Times New Roman" w:hAnsi="Times New Roman" w:eastAsia="Times New Roman" w:cs="Times New Roman"/>
          <w:lang w:val="en-US" w:bidi="en-US"/>
          <w:color w:val="111111"/>
          <w:sz w:val="28"/>
          <w:szCs w:val="28"/>
          <w:rtl/>
        </w:rPr>
        <w:t xml:space="preserve">homām, mohammad ebn-e mohammad (-15c)</w:t>
      </w:r>
    </w:p>
    <w:p>
      <w:pPr>
        <w:pStyle w:val="BookText"/>
      </w:pPr>
      <w:r>
        <w:rPr>
          <w:rFonts w:ascii="IRNazanin" w:hAnsi="IRNazanin" w:eastAsia="IRNazanin" w:cs="IRNazanin"/>
          <w:lang w:bidi="fa-IR"/>
          <w:color w:val="111111"/>
          <w:sz w:val="28"/>
          <w:szCs w:val="28"/>
          <w:rtl/>
        </w:rPr>
        <w:t xml:space="preserve">تاريخ تأليف: ۸۱۳ق در سن هشتاد و سه سالگی برای شاگردش نظام الدین محمود کاشی، در «مقدمه» و سه «مقاله» و «خاتمه»: مقاله ۱. اعمال حسابی دو باب؛ ۲. مساحت در مقدمه و چهار باب؛ ۳. طرق استخراج مجدولات و توابع آن سه باب؛ خاتمه در نوادر</w:t>
      </w:r>
    </w:p>
    <w:p>
      <w:pPr>
        <w:pStyle w:val="BookText"/>
      </w:pPr>
      <w:r>
        <w:rPr>
          <w:rFonts w:ascii="IRNazanin" w:hAnsi="IRNazanin" w:eastAsia="IRNazanin" w:cs="IRNazanin"/>
          <w:lang w:bidi="fa-IR"/>
          <w:color w:val="111111"/>
          <w:sz w:val="28"/>
          <w:szCs w:val="28"/>
          <w:rtl/>
        </w:rPr>
        <w:t xml:space="preserve">تهران؛ ملک؛ شماره نسخه: ۳۰۷۶/۱</w:t>
      </w:r>
    </w:p>
    <w:p>
      <w:pPr>
        <w:pStyle w:val="BookText"/>
      </w:pPr>
      <w:r>
        <w:rPr>
          <w:rFonts w:ascii="IRNazanin" w:hAnsi="IRNazanin" w:eastAsia="IRNazanin" w:cs="IRNazanin"/>
          <w:lang w:bidi="fa-IR"/>
          <w:color w:val="111111"/>
          <w:sz w:val="28"/>
          <w:szCs w:val="28"/>
          <w:rtl/>
        </w:rPr>
        <w:t xml:space="preserve">آغاز: الحمدلله المنزه عن ادراک عقول الأنام ... اما بعد چون فرزند مولای اعظم؛ انجام: سنة ۸۱۳ هجرية خط: نستعلیق، بی کا، تا: ۱۰ ذیحجه ۱۴۰ق؛ مجدول زرین؛ کاغذ: ترمه، جلد:میشن قهوه ای سیر، ۱۷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۹سم [ف: ۶-۲۰۰]</w:t>
      </w:r>
    </w:p>
    <w:p>
      <w:pPr>
        <w:pStyle w:val="Heading3"/>
      </w:pPr>
      <w:bookmarkStart w:id="2873" w:name="_Toc2133"/>
      <w:r>
        <w:t>•تبصرة البشر في شرح الباب الحادي عشر ا کلام و اعتقادات / فارسی</w:t>
      </w:r>
      <w:bookmarkEnd w:id="2873"/>
    </w:p>
    <w:p>
      <w:pPr>
        <w:pStyle w:val="BookText"/>
      </w:pPr>
      <w:r>
        <w:rPr>
          <w:rFonts w:ascii="Times New Roman" w:hAnsi="Times New Roman" w:eastAsia="Times New Roman" w:cs="Times New Roman"/>
          <w:lang w:val="en-US" w:bidi="en-US"/>
          <w:color w:val="111111"/>
          <w:sz w:val="28"/>
          <w:szCs w:val="28"/>
          <w:rtl/>
        </w:rPr>
        <w:t xml:space="preserve">tabesrat-ol bašar fi š.-el bāb-el hādī‘ašar</w:t>
      </w:r>
    </w:p>
    <w:p>
      <w:pPr>
        <w:pStyle w:val="BookText"/>
      </w:pPr>
      <w:r>
        <w:rPr>
          <w:rFonts w:ascii="IRNazanin" w:hAnsi="IRNazanin" w:eastAsia="IRNazanin" w:cs="IRNazanin"/>
          <w:lang w:bidi="fa-IR"/>
          <w:color w:val="111111"/>
          <w:sz w:val="28"/>
          <w:szCs w:val="28"/>
          <w:rtl/>
        </w:rPr>
        <w:t xml:space="preserve">شانه تراش شوشتری، محمد باقر بن محمد رضا، ق ۱۲ قمری</w:t>
      </w:r>
    </w:p>
    <w:p>
      <w:pPr>
        <w:pStyle w:val="BookText"/>
      </w:pPr>
      <w:r>
        <w:rPr>
          <w:rFonts w:ascii="Times New Roman" w:hAnsi="Times New Roman" w:eastAsia="Times New Roman" w:cs="Times New Roman"/>
          <w:lang w:val="en-US" w:bidi="en-US"/>
          <w:color w:val="111111"/>
          <w:sz w:val="28"/>
          <w:szCs w:val="28"/>
          <w:rtl/>
        </w:rPr>
        <w:t xml:space="preserve">šūštarī, mohammad bāqer ebn-e šāne-tarāš-e mohammad rezā (-18c)</w:t>
      </w:r>
    </w:p>
    <w:p>
      <w:pPr>
        <w:pStyle w:val="BookText"/>
      </w:pPr>
      <w:r>
        <w:rPr>
          <w:rFonts w:ascii="IRNazanin" w:hAnsi="IRNazanin" w:eastAsia="IRNazanin" w:cs="IRNazanin"/>
          <w:lang w:bidi="fa-IR"/>
          <w:color w:val="111111"/>
          <w:sz w:val="28"/>
          <w:szCs w:val="28"/>
          <w:rtl/>
        </w:rPr>
        <w:t xml:space="preserve">وابسته به: النافع يوم الحشر في شرح الباب الحادي عشر = شرح باب حادی عشر؛ فاضل مقداد، مقداد بن عبدالله (-۸۲۶) اهداء به: محمد على غلام خاص سلطان حسین صفوی (۱۱۰۵ -۱۱۳۵]</w:t>
      </w:r>
    </w:p>
    <w:p>
      <w:pPr>
        <w:pStyle w:val="BookText"/>
      </w:pPr>
      <w:r>
        <w:rPr>
          <w:rFonts w:ascii="IRNazanin" w:hAnsi="IRNazanin" w:eastAsia="IRNazanin" w:cs="IRNazanin"/>
          <w:lang w:bidi="fa-IR"/>
          <w:color w:val="111111"/>
          <w:sz w:val="28"/>
          <w:szCs w:val="28"/>
          <w:rtl/>
        </w:rPr>
        <w:t xml:space="preserve">چون تمام افراد را قدرت بر استفاده از زبان عربی نبود و بسیاری از کتب نیز به این زبان نوشته شده لذا مؤلف به درخواست محمد علی بن فریدون بیگ غلام خاص سلطان حسین صفوی، کتاب «الباب الحادي عشر » علامه حلی (۷۲۶) را ترجمه و شرح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bookmarkStart w:id="643" w:name="pg20363_209979"/>
    <w:bookmarkEnd w:id="643"/>
    <w:p>
      <w:pPr>
        <w:pStyle w:val="BookText"/>
      </w:pPr>
      <w:r>
        <w:rPr>
          <w:rFonts w:ascii="IRNazanin" w:hAnsi="IRNazanin" w:eastAsia="IRNazanin" w:cs="IRNazanin"/>
          <w:lang w:bidi="fa-IR"/>
          <w:color w:val="111111"/>
          <w:sz w:val="28"/>
          <w:szCs w:val="28"/>
          <w:rtl/>
        </w:rPr>
        <w:t xml:space="preserve">مختصری نموده است. مترجم ابتدا مقدمه ای ذکر می کند و سپس مطالب کتاب را ترجمه و بعضا مطالبی را از خودش توضیح می دهد.</w:t>
      </w:r>
    </w:p>
    <w:p>
      <w:pPr>
        <w:pStyle w:val="BookText"/>
      </w:pPr>
      <w:r>
        <w:rPr>
          <w:rFonts w:ascii="IRNazanin" w:hAnsi="IRNazanin" w:eastAsia="IRNazanin" w:cs="IRNazanin"/>
          <w:lang w:bidi="fa-IR"/>
          <w:color w:val="111111"/>
          <w:sz w:val="28"/>
          <w:szCs w:val="28"/>
          <w:rtl/>
        </w:rPr>
        <w:t xml:space="preserve">[الذریعه ۸۳/۴ شماره ۳۶۵؛ دنا ۷۶۴/۲ ]</w:t>
      </w:r>
    </w:p>
    <w:p>
      <w:pPr>
        <w:pStyle w:val="BookText"/>
      </w:pPr>
      <w:r>
        <w:rPr>
          <w:rFonts w:ascii="IRNazanin" w:hAnsi="IRNazanin" w:eastAsia="IRNazanin" w:cs="IRNazanin"/>
          <w:lang w:bidi="fa-IR"/>
          <w:color w:val="111111"/>
          <w:sz w:val="28"/>
          <w:szCs w:val="28"/>
          <w:rtl/>
        </w:rPr>
        <w:t xml:space="preserve">خوی؛ نمازی؛ شماره نسخه: ۵۵۶/۲</w:t>
      </w:r>
    </w:p>
    <w:p>
      <w:pPr>
        <w:pStyle w:val="BookText"/>
      </w:pPr>
      <w:r>
        <w:rPr>
          <w:rFonts w:ascii="IRNazanin" w:hAnsi="IRNazanin" w:eastAsia="IRNazanin" w:cs="IRNazanin"/>
          <w:lang w:bidi="fa-IR"/>
          <w:color w:val="111111"/>
          <w:sz w:val="28"/>
          <w:szCs w:val="28"/>
          <w:rtl/>
        </w:rPr>
        <w:t xml:space="preserve">آغاز: حمد بیحد و ثنای بیعد واجب الوجودی را سزد که به يد قدرت بساط عدل رابه قانون حکمت بر ممکنات نامعدود منبسط گردانیده خط: نسخ، كا: محمد حسین بن مشهدی حسینی شبستری، تا: ۱۲۲۶ق؛ افتادگی: انجام؛ وقف شهید؛ جلد: تیماج قهوه ای، ۱۰۷ص (۸۵-۱۹۱)،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۲۹۰]</w:t>
      </w:r>
    </w:p>
    <w:p>
      <w:pPr>
        <w:pStyle w:val="BookText"/>
      </w:pPr>
      <w:r>
        <w:rPr>
          <w:rFonts w:ascii="IRNazanin" w:hAnsi="IRNazanin" w:eastAsia="IRNazanin" w:cs="IRNazanin"/>
          <w:lang w:bidi="fa-IR"/>
          <w:color w:val="111111"/>
          <w:sz w:val="28"/>
          <w:szCs w:val="28"/>
          <w:rtl/>
        </w:rPr>
        <w:t xml:space="preserve">قم؛ مرکز احیاء؛ شماره نسخه: ۹۴۳/۲</w:t>
      </w:r>
    </w:p>
    <w:p>
      <w:pPr>
        <w:pStyle w:val="BookText"/>
      </w:pPr>
      <w:r>
        <w:rPr>
          <w:rFonts w:ascii="IRNazanin" w:hAnsi="IRNazanin" w:eastAsia="IRNazanin" w:cs="IRNazanin"/>
          <w:lang w:bidi="fa-IR"/>
          <w:color w:val="111111"/>
          <w:sz w:val="28"/>
          <w:szCs w:val="28"/>
          <w:rtl/>
        </w:rPr>
        <w:t xml:space="preserve">نسخه اصل: همان نسخه بالا [عکسی ف: ۳-۱۵۹]</w:t>
      </w:r>
    </w:p>
    <w:p>
      <w:pPr>
        <w:pStyle w:val="Heading3"/>
      </w:pPr>
      <w:bookmarkStart w:id="2874" w:name="_Toc2134"/>
      <w:r>
        <w:t>•التبصرة الجلية و التذکرة الحسامية في المسائل المهمة الرضاعية / فقه / عربی</w:t>
      </w:r>
      <w:bookmarkEnd w:id="2874"/>
    </w:p>
    <w:p>
      <w:pPr>
        <w:pStyle w:val="BookText"/>
      </w:pPr>
      <w:r>
        <w:rPr>
          <w:rFonts w:ascii="Times New Roman" w:hAnsi="Times New Roman" w:eastAsia="Times New Roman" w:cs="Times New Roman"/>
          <w:lang w:val="en-US" w:bidi="en-US"/>
          <w:color w:val="111111"/>
          <w:sz w:val="28"/>
          <w:szCs w:val="28"/>
          <w:rtl/>
        </w:rPr>
        <w:t xml:space="preserve">at-tabșirat-ul jalīyya wa-t tadkirat-ul hisāmīya fi-1 masā'il-il muhimmat-ir ridā'īya</w:t>
      </w:r>
    </w:p>
    <w:p>
      <w:pPr>
        <w:pStyle w:val="BookText"/>
      </w:pPr>
      <w:r>
        <w:rPr>
          <w:rFonts w:ascii="IRNazanin" w:hAnsi="IRNazanin" w:eastAsia="IRNazanin" w:cs="IRNazanin"/>
          <w:lang w:bidi="fa-IR"/>
          <w:color w:val="111111"/>
          <w:sz w:val="28"/>
          <w:szCs w:val="28"/>
          <w:rtl/>
        </w:rPr>
        <w:t xml:space="preserve">طریحی نجفی، حسام الدین،-۱۰۹۶ قمری</w:t>
      </w:r>
    </w:p>
    <w:p>
      <w:pPr>
        <w:pStyle w:val="BookText"/>
      </w:pPr>
      <w:r>
        <w:rPr>
          <w:rFonts w:ascii="Times New Roman" w:hAnsi="Times New Roman" w:eastAsia="Times New Roman" w:cs="Times New Roman"/>
          <w:lang w:val="en-US" w:bidi="en-US"/>
          <w:color w:val="111111"/>
          <w:sz w:val="28"/>
          <w:szCs w:val="28"/>
          <w:rtl/>
        </w:rPr>
        <w:t xml:space="preserve">torayhī najafī, hosām-od-dīn (-1685)</w:t>
      </w:r>
    </w:p>
    <w:p>
      <w:pPr>
        <w:pStyle w:val="BookText"/>
      </w:pPr>
      <w:r>
        <w:rPr>
          <w:rFonts w:ascii="IRNazanin" w:hAnsi="IRNazanin" w:eastAsia="IRNazanin" w:cs="IRNazanin"/>
          <w:lang w:bidi="fa-IR"/>
          <w:color w:val="111111"/>
          <w:sz w:val="28"/>
          <w:szCs w:val="28"/>
          <w:rtl/>
        </w:rPr>
        <w:t xml:space="preserve">تاریخ تأليف: جمعه ربيع الثانی ۱۰۹۴ق؛ محل تأليف: مشهد رساله ای استدلالی در احكام رضاع به همراه با نقل بعضی از اقوال فقها معروف و توضیحاتی در حواشی، در یک «مقدمه) و پنج «فصل» و یک «خاتمه»: المقدمة: احادیث في آداب الرضاع و المرضعة؛ فصل 1. المحرمات من الرضاع؛ ۲. حد الرضاع الذي يحرم؛ ۳. اركانه؛ ۴. شروطه؛ ۵. احكامه؛ الخاتمه: في جملة من احكام الرضاع و ثلاثين حديثا من نوادره. آغاز: الحمدلله وحده و الصلاة على من لا نبي بعده ... هذه يا اخوان الدین و خلان اليقين التبصرة الجلية و التذکرة [الحسامية الذريعه ۳۱۷/۳ ؛ دنا ۷۶۴/۲ ]</w:t>
      </w:r>
    </w:p>
    <w:p>
      <w:pPr>
        <w:pStyle w:val="BookText"/>
      </w:pPr>
      <w:r>
        <w:rPr>
          <w:rFonts w:ascii="IRNazanin" w:hAnsi="IRNazanin" w:eastAsia="IRNazanin" w:cs="IRNazanin"/>
          <w:lang w:bidi="fa-IR"/>
          <w:color w:val="111111"/>
          <w:sz w:val="28"/>
          <w:szCs w:val="28"/>
          <w:rtl/>
        </w:rPr>
        <w:t xml:space="preserve">۱. تهران؛ ملی؛ شماره نسخه: ۱۵۹۸/۲</w:t>
      </w:r>
    </w:p>
    <w:p>
      <w:pPr>
        <w:pStyle w:val="BookText"/>
      </w:pPr>
      <w:r>
        <w:rPr>
          <w:rFonts w:ascii="IRNazanin" w:hAnsi="IRNazanin" w:eastAsia="IRNazanin" w:cs="IRNazanin"/>
          <w:lang w:bidi="fa-IR"/>
          <w:color w:val="111111"/>
          <w:sz w:val="28"/>
          <w:szCs w:val="28"/>
          <w:rtl/>
        </w:rPr>
        <w:t xml:space="preserve">آغاز: برابر؛ انجام: و على آله الذين أذهب الله عنهم الرجس و طهرهم تطهيرا. خط: نسخ، كان محمد جعفر خورانی، تا: ۱۲۷۱ق؛ کاغذ: فرنگی، جلد: مقوایی تیماج تریاکی با ترنج و نیم ترنج، ۶۴ص (۱۷۱ -۲۳۴)، ۱۹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۱۰-۱۲۹]</w:t>
      </w:r>
    </w:p>
    <w:p>
      <w:pPr>
        <w:pStyle w:val="BookText"/>
      </w:pPr>
      <w:r>
        <w:rPr>
          <w:rFonts w:ascii="IRNazanin" w:hAnsi="IRNazanin" w:eastAsia="IRNazanin" w:cs="IRNazanin"/>
          <w:lang w:bidi="fa-IR"/>
          <w:color w:val="111111"/>
          <w:sz w:val="28"/>
          <w:szCs w:val="28"/>
          <w:rtl/>
        </w:rPr>
        <w:t xml:space="preserve">۲. قم؛ مرعشی؛ شماره نسخه: ۸۹۵۱</w:t>
      </w:r>
    </w:p>
    <w:p>
      <w:pPr>
        <w:pStyle w:val="BookText"/>
      </w:pPr>
      <w:r>
        <w:rPr>
          <w:rFonts w:ascii="IRNazanin" w:hAnsi="IRNazanin" w:eastAsia="IRNazanin" w:cs="IRNazanin"/>
          <w:lang w:bidi="fa-IR"/>
          <w:color w:val="111111"/>
          <w:sz w:val="28"/>
          <w:szCs w:val="28"/>
          <w:rtl/>
        </w:rPr>
        <w:t xml:space="preserve">آغاز: برابر؛ انجام: فكتب عليه السلام فعل مكروه و لاباس به، و ليكن هذا آخر ما اردناه. خط: نسخ، بی کا، بی تا؛ نزدیک عصر مؤلف؛ جلد: تیماج قهوه ای بدون مقوا، ۵۸گ، ۱۵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۲۳-۱۲۴]</w:t>
      </w:r>
    </w:p>
    <w:p>
      <w:pPr>
        <w:pStyle w:val="Heading3"/>
      </w:pPr>
      <w:bookmarkStart w:id="2875" w:name="_Toc2135"/>
      <w:r>
        <w:t>•تبصرة الخواص / فقه / عربی</w:t>
      </w:r>
      <w:bookmarkEnd w:id="2875"/>
    </w:p>
    <w:p>
      <w:pPr>
        <w:pStyle w:val="BookText"/>
      </w:pPr>
      <w:r>
        <w:rPr>
          <w:rFonts w:ascii="Times New Roman" w:hAnsi="Times New Roman" w:eastAsia="Times New Roman" w:cs="Times New Roman"/>
          <w:lang w:val="en-US" w:bidi="en-US"/>
          <w:color w:val="111111"/>
          <w:sz w:val="28"/>
          <w:szCs w:val="28"/>
          <w:rtl/>
        </w:rPr>
        <w:t xml:space="preserve">tabşirat-ul xawās</w:t>
      </w:r>
    </w:p>
    <w:p>
      <w:pPr>
        <w:pStyle w:val="BookText"/>
      </w:pPr>
      <w:r>
        <w:rPr>
          <w:rFonts w:ascii="IRNazanin" w:hAnsi="IRNazanin" w:eastAsia="IRNazanin" w:cs="IRNazanin"/>
          <w:lang w:bidi="fa-IR"/>
          <w:color w:val="111111"/>
          <w:sz w:val="28"/>
          <w:szCs w:val="28"/>
          <w:rtl/>
        </w:rPr>
        <w:t xml:space="preserve">دوانی، محمد جعفر بن عبد الصاحب، ق۱۳ قمری</w:t>
      </w:r>
    </w:p>
    <w:p>
      <w:pPr>
        <w:pStyle w:val="BookText"/>
      </w:pPr>
      <w:r>
        <w:rPr>
          <w:rFonts w:ascii="Times New Roman" w:hAnsi="Times New Roman" w:eastAsia="Times New Roman" w:cs="Times New Roman"/>
          <w:lang w:val="en-US" w:bidi="en-US"/>
          <w:color w:val="111111"/>
          <w:sz w:val="28"/>
          <w:szCs w:val="28"/>
          <w:rtl/>
        </w:rPr>
        <w:t xml:space="preserve">davvānī, mohammad ja'far ebn-e ‘abd-os-sāheb (-19c)</w:t>
      </w:r>
    </w:p>
    <w:p>
      <w:pPr>
        <w:pStyle w:val="BookText"/>
      </w:pPr>
      <w:r>
        <w:rPr>
          <w:rFonts w:ascii="IRNazanin" w:hAnsi="IRNazanin" w:eastAsia="IRNazanin" w:cs="IRNazanin"/>
          <w:lang w:bidi="fa-IR"/>
          <w:color w:val="111111"/>
          <w:sz w:val="28"/>
          <w:szCs w:val="28"/>
          <w:rtl/>
        </w:rPr>
        <w:t xml:space="preserve">رساله مختصری است با عناوین «مسألة مسألة» از طهارت تا دیات، که آن را از دو کتاب «تذكرة الفقهاء» و «تحرير الأحكام الشرعية» علامه حلی برگزیده و در پایان اغلب کتب، تاریخ تأليف را نیز به طور کامل ذکر کرده است.</w:t>
      </w:r>
    </w:p>
    <w:p>
      <w:pPr>
        <w:pStyle w:val="BookText"/>
      </w:pPr>
      <w:r>
        <w:rPr>
          <w:rFonts w:ascii="IRNazanin" w:hAnsi="IRNazanin" w:eastAsia="IRNazanin" w:cs="IRNazanin"/>
          <w:lang w:bidi="fa-IR"/>
          <w:color w:val="111111"/>
          <w:sz w:val="28"/>
          <w:szCs w:val="28"/>
          <w:rtl/>
        </w:rPr>
        <w:t xml:space="preserve">مشهد؛ رضوی؛ شماره نسخه:۱۶۶۳۷</w:t>
      </w:r>
    </w:p>
    <w:p>
      <w:pPr>
        <w:pStyle w:val="BookText"/>
      </w:pPr>
      <w:r>
        <w:rPr>
          <w:rFonts w:ascii="IRNazanin" w:hAnsi="IRNazanin" w:eastAsia="IRNazanin" w:cs="IRNazanin"/>
          <w:lang w:bidi="fa-IR"/>
          <w:color w:val="111111"/>
          <w:sz w:val="28"/>
          <w:szCs w:val="28"/>
          <w:rtl/>
        </w:rPr>
        <w:t xml:space="preserve">آغاز: كتاب الطهارة مسألة ماء المطلق هو في الأصل طاهر مطهر اجماعا من الحدث و الخبث. مسألة ماء البحر طاهر مطهر .؛ انجام: و جنين الذمی عشر دية ابيه ثمانون درهم ... و آله اجمعین. خط نستعلیق، کاتب = مؤلف، تا: ۲۵ جمادی الاول ۱۲۹۶ق، واقف: دکتر جعفر مهرداد، آذر ۱۳۶۷؛ کاغذ: نخودی، جلد: تیماج عنابی یک لا، ۴۳گ، ۲۰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۲۰-۶۵]</w:t>
      </w:r>
    </w:p>
    <w:p>
      <w:pPr>
        <w:pStyle w:val="Heading3"/>
      </w:pPr>
      <w:bookmarkStart w:id="2876" w:name="_Toc2136"/>
      <w:r>
        <w:t>•تبصرة الشعرا / ادبیات فارسی</w:t>
      </w:r>
      <w:bookmarkEnd w:id="2876"/>
    </w:p>
    <w:p>
      <w:pPr>
        <w:pStyle w:val="BookText"/>
      </w:pPr>
      <w:r>
        <w:rPr>
          <w:rFonts w:ascii="Times New Roman" w:hAnsi="Times New Roman" w:eastAsia="Times New Roman" w:cs="Times New Roman"/>
          <w:lang w:val="en-US" w:bidi="en-US"/>
          <w:color w:val="111111"/>
          <w:sz w:val="28"/>
          <w:szCs w:val="28"/>
          <w:rtl/>
        </w:rPr>
        <w:t xml:space="preserve">tabserat-oš šoʻarā</w:t>
      </w:r>
    </w:p>
    <w:p>
      <w:pPr>
        <w:pStyle w:val="BookText"/>
      </w:pPr>
      <w:r>
        <w:rPr>
          <w:rFonts w:ascii="IRNazanin" w:hAnsi="IRNazanin" w:eastAsia="IRNazanin" w:cs="IRNazanin"/>
          <w:lang w:bidi="fa-IR"/>
          <w:color w:val="111111"/>
          <w:sz w:val="28"/>
          <w:szCs w:val="28"/>
          <w:rtl/>
        </w:rPr>
        <w:t xml:space="preserve">مولی محمد سعید</w:t>
      </w:r>
    </w:p>
    <w:p>
      <w:pPr>
        <w:pStyle w:val="BookText"/>
      </w:pPr>
      <w:r>
        <w:rPr>
          <w:rFonts w:ascii="Times New Roman" w:hAnsi="Times New Roman" w:eastAsia="Times New Roman" w:cs="Times New Roman"/>
          <w:lang w:val="en-US" w:bidi="en-US"/>
          <w:color w:val="111111"/>
          <w:sz w:val="28"/>
          <w:szCs w:val="28"/>
          <w:rtl/>
        </w:rPr>
        <w:t xml:space="preserve">mawlā mohammad saʻīd</w:t>
      </w:r>
    </w:p>
    <w:p>
      <w:pPr>
        <w:pStyle w:val="BookText"/>
      </w:pPr>
      <w:r>
        <w:rPr>
          <w:rFonts w:ascii="IRNazanin" w:hAnsi="IRNazanin" w:eastAsia="IRNazanin" w:cs="IRNazanin"/>
          <w:lang w:bidi="fa-IR"/>
          <w:color w:val="111111"/>
          <w:sz w:val="28"/>
          <w:szCs w:val="28"/>
          <w:rtl/>
        </w:rPr>
        <w:t xml:space="preserve">در علم قوافی در یک «مقدمه» و ده «باب» و یک «خاتمه». آغاز: بسمله، بعد از تحمید حضرت الهی که فاتحه کلام قافيه سنجان سخن پرور و ابتاء مقال هنر پروران نظم گستر است فقیر حقير كثير التقصير محمد سعد مشهود ضمیر شعر فهمان شیرین زبان ... می گرداند که چون این احقر را بر اکثر نفائس فنون اطلاع و وقوف دست داد و خدای تعالی ابواب ادراک و وجدان سخنان صحیح از سقیم بر وجنات روز گارش پیش نهاد ... لهذا رساله ای در فن قوافی از روی کتب استادان و نسخ معتمدان در حیز تحریر آورده</w:t>
      </w:r>
    </w:p>
    <w:p>
      <w:pPr>
        <w:pStyle w:val="BookText"/>
      </w:pPr>
      <w:r>
        <w:rPr>
          <w:rFonts w:ascii="IRNazanin" w:hAnsi="IRNazanin" w:eastAsia="IRNazanin" w:cs="IRNazanin"/>
          <w:lang w:bidi="fa-IR"/>
          <w:color w:val="111111"/>
          <w:sz w:val="28"/>
          <w:szCs w:val="28"/>
          <w:rtl/>
        </w:rPr>
        <w:t xml:space="preserve">انجام: هر لحظه سپاهی بر عشق من و حسن تو کو نكته نخواهد از ابن حسامت بر معجز موسی نبود دست عصارا حاجت بگواهی</w:t>
      </w:r>
    </w:p>
    <w:p>
      <w:pPr>
        <w:pStyle w:val="BookText"/>
      </w:pPr>
      <w:r>
        <w:rPr>
          <w:rFonts w:ascii="IRNazanin" w:hAnsi="IRNazanin" w:eastAsia="IRNazanin" w:cs="IRNazanin"/>
          <w:lang w:bidi="fa-IR"/>
          <w:color w:val="111111"/>
          <w:sz w:val="28"/>
          <w:szCs w:val="28"/>
          <w:rtl/>
        </w:rPr>
        <w:t xml:space="preserve">[ الذريعة ۳۱۸/۳ ؛ دنا ۷۶۴/۲ ؛ نسخه های منزوی ۲۱۵۴]</w:t>
      </w:r>
    </w:p>
    <w:p>
      <w:pPr>
        <w:pStyle w:val="BookText"/>
      </w:pPr>
      <w:r>
        <w:rPr>
          <w:rFonts w:ascii="IRNazanin" w:hAnsi="IRNazanin" w:eastAsia="IRNazanin" w:cs="IRNazanin"/>
          <w:lang w:bidi="fa-IR"/>
          <w:color w:val="111111"/>
          <w:sz w:val="28"/>
          <w:szCs w:val="28"/>
          <w:rtl/>
        </w:rPr>
        <w:t xml:space="preserve">۱. تهران؛ مجلس؛ شماره نسخه:۳۲۵۶/۲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 غلامرضا متخلص به حیران، تا: ۱۲۷۸ق؛ کاغذ آهاردار، جلد: تیماج عنابی، ۵۶ص (۶۷-۱۲۲)، ۱۵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سم [ف: ۱۰-۸۴۶]</w:t>
      </w:r>
    </w:p>
    <w:p>
      <w:pPr>
        <w:pStyle w:val="BookText"/>
      </w:pPr>
      <w:r>
        <w:rPr>
          <w:rFonts w:ascii="IRNazanin" w:hAnsi="IRNazanin" w:eastAsia="IRNazanin" w:cs="IRNazanin"/>
          <w:lang w:bidi="fa-IR"/>
          <w:color w:val="111111"/>
          <w:sz w:val="28"/>
          <w:szCs w:val="28"/>
          <w:rtl/>
        </w:rPr>
        <w:t xml:space="preserve">۲. تهران؛ دانشگاه؛ شماره نسخه: ۶۵۵۵/۲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غلام رضای حیران، تا: ۱۲ صفر ۱۲۸۰ق؛ کاغذ: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bookmarkStart w:id="644" w:name="pg20363_209980"/>
    <w:bookmarkEnd w:id="644"/>
    <w:p>
      <w:pPr>
        <w:pStyle w:val="BookText"/>
      </w:pPr>
      <w:r>
        <w:rPr>
          <w:rFonts w:ascii="IRNazanin" w:hAnsi="IRNazanin" w:eastAsia="IRNazanin" w:cs="IRNazanin"/>
          <w:lang w:bidi="fa-IR"/>
          <w:color w:val="111111"/>
          <w:sz w:val="28"/>
          <w:szCs w:val="28"/>
          <w:rtl/>
        </w:rPr>
        <w:t xml:space="preserve">فرنگی، جلد: تیماج مشکی، ۲۷گ (۵۱پ -۷۷ر)، ۱۴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۱۶-۲۹۶]</w:t>
      </w:r>
    </w:p>
    <w:p>
      <w:pPr>
        <w:pStyle w:val="Heading3"/>
      </w:pPr>
      <w:bookmarkStart w:id="2877" w:name="_Toc2137"/>
      <w:r>
        <w:t>•تبصرة الشيعة / كلام و اعتقادات / فارسی</w:t>
      </w:r>
      <w:bookmarkEnd w:id="2877"/>
    </w:p>
    <w:p>
      <w:pPr>
        <w:pStyle w:val="BookText"/>
      </w:pPr>
      <w:r>
        <w:rPr>
          <w:rFonts w:ascii="Times New Roman" w:hAnsi="Times New Roman" w:eastAsia="Times New Roman" w:cs="Times New Roman"/>
          <w:lang w:val="en-US" w:bidi="en-US"/>
          <w:color w:val="111111"/>
          <w:sz w:val="28"/>
          <w:szCs w:val="28"/>
          <w:rtl/>
        </w:rPr>
        <w:t xml:space="preserve">tabserat-oš šī'a</w:t>
      </w:r>
    </w:p>
    <w:p>
      <w:pPr>
        <w:pStyle w:val="BookText"/>
      </w:pPr>
      <w:r>
        <w:rPr>
          <w:rFonts w:ascii="Times New Roman" w:hAnsi="Times New Roman" w:eastAsia="Times New Roman" w:cs="Times New Roman"/>
          <w:lang w:val="en-US" w:bidi="en-US"/>
          <w:color w:val="111111"/>
          <w:sz w:val="28"/>
          <w:szCs w:val="28"/>
          <w:rtl/>
        </w:rPr>
        <w:t xml:space="preserve">deylārsetāqī, ‘alī ebn-e samī* (-19c)</w:t>
      </w:r>
    </w:p>
    <w:p>
      <w:pPr>
        <w:pStyle w:val="BookText"/>
      </w:pPr>
      <w:r>
        <w:rPr>
          <w:rFonts w:ascii="IRNazanin" w:hAnsi="IRNazanin" w:eastAsia="IRNazanin" w:cs="IRNazanin"/>
          <w:lang w:bidi="fa-IR"/>
          <w:color w:val="111111"/>
          <w:sz w:val="28"/>
          <w:szCs w:val="28"/>
          <w:rtl/>
        </w:rPr>
        <w:t xml:space="preserve">دیلارستاقی، علی بن سمیع، ق۱۳ قمری تاریخ تأليف: ۱۲۴۰ق رساله ای در امامت و وصایت از عهد انبیاء پیشین تا حضرت ختمی مرتبت و ذکر ادله فریقین از عامه و خاصه و همچنین در کیفیت اجتهاد اهل سنت و امامیه و بیان بعضی از مباحث فيما بين مؤلف در خطبه کتاب آن را به هشت «مسلک» و هر مسلکی را به سه مرحله تقسیم نموده است. آغاز: الحمدلله رب العالمين و العاقبة للمتقین، و بعد چنین گوید کمترین داعیان علمای امامیه و دوستاران ...</w:t>
      </w:r>
    </w:p>
    <w:p>
      <w:pPr>
        <w:pStyle w:val="BookText"/>
      </w:pPr>
      <w:r>
        <w:rPr>
          <w:rFonts w:ascii="IRNazanin" w:hAnsi="IRNazanin" w:eastAsia="IRNazanin" w:cs="IRNazanin"/>
          <w:lang w:bidi="fa-IR"/>
          <w:color w:val="111111"/>
          <w:sz w:val="28"/>
          <w:szCs w:val="28"/>
          <w:rtl/>
        </w:rPr>
        <w:t xml:space="preserve">۱. قم؛ مرعشی؛ شماره نسخه:۱۱۲۶۳</w:t>
      </w:r>
    </w:p>
    <w:p>
      <w:pPr>
        <w:pStyle w:val="BookText"/>
      </w:pPr>
      <w:r>
        <w:rPr>
          <w:rFonts w:ascii="IRNazanin" w:hAnsi="IRNazanin" w:eastAsia="IRNazanin" w:cs="IRNazanin"/>
          <w:lang w:bidi="fa-IR"/>
          <w:color w:val="111111"/>
          <w:sz w:val="28"/>
          <w:szCs w:val="28"/>
          <w:rtl/>
        </w:rPr>
        <w:t xml:space="preserve">آغاز: برابر؛ انجام: چنانکه حکم خدا و رسولش را در فدک رد و شهادت اعرابی را که بر پاشنه خود بول میکند قبول کردی پس خلایق بر هم خورند تا مرحله سوم از مسلک ۵ را دارا می باشد؛ خط: نستعلیق، بی کا، تا: قرن ۱۱؛ افتادگی: انجام؛ با توجه به سطر دوم در برگ ۷، تاریخ تالیف کتاب ۱۲۴۰ ق آمده، بنابر این آنچه مسلم است مؤلف تا این سال در قید حیات بوده است، مصحح، در آغاز فهرست موضوعات کتاب نگاشته شده، البته آن هم تا مسلک ۸ آمده؛ کاغذ: فرنگی، جلد: تیماج قهوه ای با ترنج، ۱۳۷گ، ۱۶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۲۸-۳۹۳]</w:t>
      </w:r>
    </w:p>
    <w:p>
      <w:pPr>
        <w:pStyle w:val="BookText"/>
      </w:pPr>
      <w:r>
        <w:rPr>
          <w:rFonts w:ascii="IRNazanin" w:hAnsi="IRNazanin" w:eastAsia="IRNazanin" w:cs="IRNazanin"/>
          <w:lang w:bidi="fa-IR"/>
          <w:color w:val="111111"/>
          <w:sz w:val="28"/>
          <w:szCs w:val="28"/>
          <w:rtl/>
        </w:rPr>
        <w:t xml:space="preserve">۲. مشهد؛ رضوی؛ شماره نسخه: ۱۹۲۷۱</w:t>
      </w:r>
    </w:p>
    <w:p>
      <w:pPr>
        <w:pStyle w:val="BookText"/>
      </w:pPr>
      <w:r>
        <w:rPr>
          <w:rFonts w:ascii="IRNazanin" w:hAnsi="IRNazanin" w:eastAsia="IRNazanin" w:cs="IRNazanin"/>
          <w:lang w:bidi="fa-IR"/>
          <w:color w:val="111111"/>
          <w:sz w:val="28"/>
          <w:szCs w:val="28"/>
          <w:rtl/>
        </w:rPr>
        <w:t xml:space="preserve">آغاز: برابر؛ انجام: به مثل ارتکاب و ترک واجبات و در عصمت گویند که در عصمت نیز با نفس مفهوم خط: نستعلیق شکسته، بی کا، تا: قرن ۱۳؛ افتادگی: انجام؛ ضمیمه نسخه ش ۱۹۲۷۰، نسخه دوبار نوشته شده؛ کاغذ: فستقی، شکری، سرخی، جلد: تیماج، ۱۵ سطر (</w:t>
      </w:r>
    </w:p>
    <w:p>
      <w:pPr>
        <w:pStyle w:val="BookText"/>
      </w:pPr>
      <w:r>
        <w:rPr>
          <w:rFonts w:ascii="IRNazanin" w:hAnsi="IRNazanin" w:eastAsia="IRNazanin" w:cs="IRNazanin"/>
          <w:lang w:bidi="fa-IR"/>
          <w:color w:val="111111"/>
          <w:sz w:val="28"/>
          <w:szCs w:val="28"/>
          <w:rtl/>
        </w:rPr>
        <w:t xml:space="preserve">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 اندازه: ۱۰/۵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[رایانه ]</w:t>
      </w:r>
    </w:p>
    <w:p>
      <w:pPr>
        <w:pStyle w:val="Heading3"/>
      </w:pPr>
      <w:bookmarkStart w:id="2878" w:name="_Toc2138"/>
      <w:r>
        <w:t>•تبصرة الصائمين = تنبيه المخلصين / آداب و سنن /فارسی</w:t>
      </w:r>
      <w:bookmarkEnd w:id="2878"/>
    </w:p>
    <w:p>
      <w:pPr>
        <w:pStyle w:val="BookText"/>
      </w:pPr>
      <w:r>
        <w:rPr>
          <w:rFonts w:ascii="Times New Roman" w:hAnsi="Times New Roman" w:eastAsia="Times New Roman" w:cs="Times New Roman"/>
          <w:lang w:val="en-US" w:bidi="en-US"/>
          <w:color w:val="111111"/>
          <w:sz w:val="28"/>
          <w:szCs w:val="28"/>
          <w:rtl/>
        </w:rPr>
        <w:t xml:space="preserve">tabserat-os sā’emīn=tanbīh-ol moxlesīn</w:t>
      </w:r>
    </w:p>
    <w:p>
      <w:pPr>
        <w:pStyle w:val="BookText"/>
      </w:pPr>
      <w:r>
        <w:rPr>
          <w:rFonts w:ascii="IRNazanin" w:hAnsi="IRNazanin" w:eastAsia="IRNazanin" w:cs="IRNazanin"/>
          <w:lang w:bidi="fa-IR"/>
          <w:color w:val="111111"/>
          <w:sz w:val="28"/>
          <w:szCs w:val="28"/>
          <w:rtl/>
        </w:rPr>
        <w:t xml:space="preserve">حسینی علویجه، محمد علی بن زین العابدین، ۱۳۴۸ قمری</w:t>
      </w:r>
    </w:p>
    <w:p>
      <w:pPr>
        <w:pStyle w:val="BookText"/>
      </w:pPr>
      <w:r>
        <w:rPr>
          <w:rFonts w:ascii="Times New Roman" w:hAnsi="Times New Roman" w:eastAsia="Times New Roman" w:cs="Times New Roman"/>
          <w:lang w:val="en-US" w:bidi="en-US"/>
          <w:color w:val="111111"/>
          <w:sz w:val="28"/>
          <w:szCs w:val="28"/>
          <w:rtl/>
        </w:rPr>
        <w:t xml:space="preserve">hoseynī ‘alavīje, mohammad ‘alī ebn-e zayn-ol-‘ābedīn (-1930)</w:t>
      </w:r>
    </w:p>
    <w:p>
      <w:pPr>
        <w:pStyle w:val="BookText"/>
      </w:pPr>
      <w:r>
        <w:rPr>
          <w:rFonts w:ascii="IRNazanin" w:hAnsi="IRNazanin" w:eastAsia="IRNazanin" w:cs="IRNazanin"/>
          <w:lang w:bidi="fa-IR"/>
          <w:color w:val="111111"/>
          <w:sz w:val="28"/>
          <w:szCs w:val="28"/>
          <w:rtl/>
        </w:rPr>
        <w:t xml:space="preserve">تاریخ تألیف: شوال ۱۳۳۳ق مؤلف پیش از این کتابی در آداب و فضیلت روزه و روزه دار</w:t>
      </w:r>
    </w:p>
    <w:p>
      <w:pPr>
        <w:pStyle w:val="BookText"/>
      </w:pPr>
      <w:r>
        <w:rPr>
          <w:rFonts w:ascii="IRNazanin" w:hAnsi="IRNazanin" w:eastAsia="IRNazanin" w:cs="IRNazanin"/>
          <w:lang w:bidi="fa-IR"/>
          <w:color w:val="111111"/>
          <w:sz w:val="28"/>
          <w:szCs w:val="28"/>
          <w:rtl/>
        </w:rPr>
        <w:t xml:space="preserve">التبصرة الجلية - تبصرة الصائمين ۸۵۳ تألیف کرده و آن را «تحفة الصائمين» نامیده بود، کتاب مذکور در راه گلپایگان به سرقت رفت و مفقود گشت و مؤلف كتاب حاضر را به جای کتاب مفقود شده و به سبک آن در یک مقدمه» و چهل «مجلس» و یک «خاتمه» ترتیب داد و نام «تبصرة الصائمين» را بر آن برگزید. مقدمه در دو فصل شامل بیان فضیلت روزه و فضیلت ماه رمضان است و در ضمن مجالس چهل گانه شرح ادعیه روزهای ماه رمضان و اعمال و فضایل لیالی قدر را آورده و خاتمه مفصل کتاب در بیان اعمال و ادعیه ماه رمضان شامل چهارده «فصل» است و مؤلف این خاتمه را «تنبيه المخلصين» نامیده است. فصول چهارده گانه خاتمه کتاب (= تنبيه المخلصين): ۱. آداب دیدن ماه رمضان و ادعیه آن؛ ۳. دعاهای مخصوصه روز اول ماه؛ ۴. دعاهای وقت افطار و آداب آن؛ ۵. دعاهای بعد از نمازهای ماه رمضان؛ ۶. اعمال و دعاهای شب های ماه مبارک و فضیلت شب های آن؛ 7. دعاهای سحر؛ ۰۸ دعاهای روزهای ماه رمضان؛ ۹. اعمال و ادعیه شب قدر؛ ۱۰. دعاهای مخصوصه شب های دهه آخر؛ ۱۱. آداب و ادعیه وداع ماه مبارک؛ ۱۲. نمازهای شب های ماه رمضان؛ ۱۳. دعاهای سی روزه ماه رمضان؛ ۱۴. اعمال و ادعیه شب عید فطر. ختم کتاب به دعای کمیل و سمات. دو تن از مراجع شیعه بر آن تقریظ نگاشتند: ۱. مرحوم آية الله سید اسماعیل صدر در محرم ۱۳۳۸ ق؛ ۲. مرحوم آية الله حاج شیخ عبدالکریم حائری در ۱۰ رمضان ۱۳۴۱ ق. صورت این دو تقريظ در ابتدای نسخه حاضر آمده است. در ابتدای نسخه حاضر لیست اسامی رساله هایی است که مسائل شرعی مندرج در کتاب حاضر از آنها اخذ شده است، از جمله: جامع عباسی، فقه مجلسی، مجمع الرسائل، نجاة العباد، ذخيرة المعاد شیخ زین العابدين مازندرانی، رساله مرحوم حاجی میرزا محمد اشرفی، مشکوة الأنام، ذخيرة العباد میرزا محمد تقی شیرازی، عنوان الكلام و زاد المعاد.</w:t>
      </w:r>
    </w:p>
    <w:p>
      <w:pPr>
        <w:pStyle w:val="BookText"/>
      </w:pPr>
      <w:r>
        <w:rPr>
          <w:rFonts w:ascii="IRNazanin" w:hAnsi="IRNazanin" w:eastAsia="IRNazanin" w:cs="IRNazanin"/>
          <w:lang w:bidi="fa-IR"/>
          <w:color w:val="111111"/>
          <w:sz w:val="28"/>
          <w:szCs w:val="28"/>
          <w:rtl/>
        </w:rPr>
        <w:t xml:space="preserve">[دنا ۷۶۴/۲ ؛ الذریعه: ۷۴۳/۲۶ ؛ نقباء البشر: ۱۴۴۲/۴ ]</w:t>
      </w:r>
    </w:p>
    <w:p>
      <w:pPr>
        <w:pStyle w:val="BookText"/>
      </w:pPr>
      <w:r>
        <w:rPr>
          <w:rFonts w:ascii="IRNazanin" w:hAnsi="IRNazanin" w:eastAsia="IRNazanin" w:cs="IRNazanin"/>
          <w:lang w:bidi="fa-IR"/>
          <w:color w:val="111111"/>
          <w:sz w:val="28"/>
          <w:szCs w:val="28"/>
          <w:rtl/>
        </w:rPr>
        <w:t xml:space="preserve">تهران؛ عبدالعظیم؛ شماره نسخه:۴۹</w:t>
      </w:r>
    </w:p>
    <w:p>
      <w:pPr>
        <w:pStyle w:val="BookText"/>
      </w:pPr>
      <w:r>
        <w:rPr>
          <w:rFonts w:ascii="IRNazanin" w:hAnsi="IRNazanin" w:eastAsia="IRNazanin" w:cs="IRNazanin"/>
          <w:lang w:bidi="fa-IR"/>
          <w:color w:val="111111"/>
          <w:sz w:val="28"/>
          <w:szCs w:val="28"/>
          <w:rtl/>
        </w:rPr>
        <w:t xml:space="preserve">آغاز: الحمد لله و الصلوة و السلام على رسول الله و على آله آل الله ... و بعد چنین می نگارد این مجرم عاصی ... این رساله ای است در آداب و فضیلت روزه و روزه دار که ... آن را مسمس به تبصرة الصائمين نمودم؛ انجام: به حق محمد و آله محمد و عترة محمد صلوات الله عليهم اجمعين. الحمد لله اولا واخرة كما هو اهله. تمام شد بید مؤلفه آنچه منظور بود در ماه شوال المکرم من شهور سنه ۱۳۳۳. خط: نسخ و نستعلیق، كا: على بن محمد علی حسینی رفیعی پور فرزند( مؤلف)، تا: ۱۳۷۹ق؛ واقف: علی حسینی رفیعی پور،</w:t>
      </w:r>
    </w:p>
    <w:p>
      <w:pPr>
        <w:pStyle w:val="BookText"/>
      </w:pPr>
      <w:r>
        <w:rPr>
          <w:rFonts w:ascii="IRNazanin" w:hAnsi="IRNazanin" w:eastAsia="IRNazanin" w:cs="IRNazanin"/>
          <w:lang w:bidi="fa-IR"/>
          <w:color w:val="111111"/>
          <w:sz w:val="28"/>
          <w:szCs w:val="28"/>
          <w:rtl/>
        </w:rPr>
        <w:t xml:space="preserve">۱۳۴۰/۱۲/۱۴ ش؛ جلد: مقوا، عطف تیماج قهوه ای، ۲۱۴گ، ۲۰ سطر، اندازه: ۱۵/۵</w:t>
      </w:r>
    </w:p>
    <w:p>
      <w:pPr>
        <w:pStyle w:val="BookText"/>
      </w:pP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۲۴/۵ سم [ف: ۱-۹۲]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bookmarkStart w:id="645" w:name="pg20363_209981"/>
    <w:bookmarkEnd w:id="645"/>
    <w:p>
      <w:pPr>
        <w:pStyle w:val="Heading3"/>
      </w:pPr>
      <w:bookmarkStart w:id="2879" w:name="_Toc2139"/>
      <w:r>
        <w:t>•تبصرة الصالحين / فقه / عربی</w:t>
      </w:r>
      <w:bookmarkEnd w:id="2879"/>
    </w:p>
    <w:p>
      <w:pPr>
        <w:pStyle w:val="BookText"/>
      </w:pPr>
      <w:r>
        <w:rPr>
          <w:rFonts w:ascii="Times New Roman" w:hAnsi="Times New Roman" w:eastAsia="Times New Roman" w:cs="Times New Roman"/>
          <w:lang w:val="en-US" w:bidi="en-US"/>
          <w:color w:val="111111"/>
          <w:sz w:val="28"/>
          <w:szCs w:val="28"/>
          <w:rtl/>
        </w:rPr>
        <w:t xml:space="preserve">tabșirat-uş şāliņin</w:t>
      </w:r>
    </w:p>
    <w:p>
      <w:pPr>
        <w:pStyle w:val="BookText"/>
      </w:pPr>
      <w:r>
        <w:rPr>
          <w:rFonts w:ascii="IRNazanin" w:hAnsi="IRNazanin" w:eastAsia="IRNazanin" w:cs="IRNazanin"/>
          <w:lang w:bidi="fa-IR"/>
          <w:color w:val="111111"/>
          <w:sz w:val="28"/>
          <w:szCs w:val="28"/>
          <w:rtl/>
        </w:rPr>
        <w:t xml:space="preserve">حسینی مازندرانی، محمد باقر بن محمد تقی</w:t>
      </w:r>
    </w:p>
    <w:p>
      <w:pPr>
        <w:pStyle w:val="BookText"/>
      </w:pPr>
      <w:r>
        <w:rPr>
          <w:rFonts w:ascii="Times New Roman" w:hAnsi="Times New Roman" w:eastAsia="Times New Roman" w:cs="Times New Roman"/>
          <w:lang w:val="en-US" w:bidi="en-US"/>
          <w:color w:val="111111"/>
          <w:sz w:val="28"/>
          <w:szCs w:val="28"/>
          <w:rtl/>
        </w:rPr>
        <w:t xml:space="preserve">hoseynī māzandarānī, mohammad bāqer ebn-e mohammad taqi</w:t>
      </w:r>
    </w:p>
    <w:p>
      <w:pPr>
        <w:pStyle w:val="BookText"/>
      </w:pPr>
      <w:r>
        <w:rPr>
          <w:rFonts w:ascii="IRNazanin" w:hAnsi="IRNazanin" w:eastAsia="IRNazanin" w:cs="IRNazanin"/>
          <w:lang w:bidi="fa-IR"/>
          <w:color w:val="111111"/>
          <w:sz w:val="28"/>
          <w:szCs w:val="28"/>
          <w:rtl/>
        </w:rPr>
        <w:t xml:space="preserve">چون به نظر مؤلف کتاب های فقهی متداول مفصل بوده، لذا کتاب حاضر را خالی از حشو و زواید فقهی شامل مسائل مورد نیاز عموم مکلفین، با توجه به اخبار تأليف نموده و در هر بحث فقط یک روایت را که به نظر وی صحیح بوده آورده است. این کتاب به مسائل طهارت و نماز در چند «باب» و هر باب شامل چند «فصل» پرداخته و در آن از «وسائل الشيعة شیخ حر عاملی و «بحار الانوار» علامه مجلسی نقل نموده است. در الذریعه (ج ۱۱ ص ۹۶ رقم ۵۹۰) رساله ای به نام «رسالة في اعمال الاسابيع » به فارسی آمده که احتمالا از همین مؤلف می باشد.</w:t>
      </w:r>
    </w:p>
    <w:p>
      <w:pPr>
        <w:pStyle w:val="BookText"/>
      </w:pPr>
      <w:r>
        <w:rPr>
          <w:rFonts w:ascii="IRNazanin" w:hAnsi="IRNazanin" w:eastAsia="IRNazanin" w:cs="IRNazanin"/>
          <w:lang w:bidi="fa-IR"/>
          <w:color w:val="111111"/>
          <w:sz w:val="28"/>
          <w:szCs w:val="28"/>
          <w:rtl/>
        </w:rPr>
        <w:t xml:space="preserve">تهران؛ مجلس؛ شماره نسخه:۷۰۲۰</w:t>
      </w:r>
    </w:p>
    <w:p>
      <w:pPr>
        <w:pStyle w:val="BookText"/>
      </w:pPr>
      <w:r>
        <w:rPr>
          <w:rFonts w:ascii="IRNazanin" w:hAnsi="IRNazanin" w:eastAsia="IRNazanin" w:cs="IRNazanin"/>
          <w:lang w:bidi="fa-IR"/>
          <w:color w:val="111111"/>
          <w:sz w:val="28"/>
          <w:szCs w:val="28"/>
          <w:rtl/>
        </w:rPr>
        <w:t xml:space="preserve">آغاز: الحمدلله الملهم عباده حمده و فاطرهم على معرفة ربوبيته ... اما بعد فيقول الواثق بالله الغني عبده محمد باقر بن محمد تقی الحسینی المازندرانی عفى عنهما أن المطلوب الأهم لنيل السعادة الأبدية بعد معرفة الله و الرسول و اولی الامر طاعتهم ... وهذا الذي دعاني إلى تأليف كتاب في الفروع ينطق بالحق من آيات الفرقانية و اخبار النبوية و آله الطاهرين .. خال عن الحشو و الزوائد من المسائل الفرضية النادرة الوقوع التي لا تزيد فارضها للحكم بها برایه الا خسارة، مقتصد عن الأطناب الممل و الايجاز المخل بذكر خبر واحد من الاخبار الواردة في الباب اذا لم اجد له معارضة او كان موافقة للمشهور مع التعرض للجمع او الطرح الا اذا كان الخبر الذي اعتمد عليه مخالفة لما ذهب اليه الجمهور فحينئذ ابسط الكلام بسطا يرفع به الحجاب عن عين اليقين تبصرة للصالحين و سميته به و الله هو المعين. كتاب الطهارة و فيه ثمانية أبواب، الباب الأول: في المطهرات و فيه فصول، الفصل الأول: في الماء المطلق و هو الذي يصح اطلاق؛ انجام: و من اذا اصاب خيرا قال الحمدلله رب العالمين و من اذا اصاب خطيئة قال استغفر الله واتوب اليه. خط: نسخ، بی کا، تا: قرن ۱۳؛ جلد: تیماج سرخ ضربی، ۱۷۱گ، ۱۷ 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۲۵-۲۹ ]</w:t>
      </w:r>
    </w:p>
    <w:p>
      <w:pPr>
        <w:pStyle w:val="Heading3"/>
      </w:pPr>
      <w:bookmarkStart w:id="2880" w:name="_Toc2140"/>
      <w:r>
        <w:t>•تبصرة الصبيان / نحو عربی</w:t>
      </w:r>
      <w:bookmarkEnd w:id="2880"/>
    </w:p>
    <w:p>
      <w:pPr>
        <w:pStyle w:val="BookText"/>
      </w:pPr>
      <w:r>
        <w:rPr>
          <w:rFonts w:ascii="Times New Roman" w:hAnsi="Times New Roman" w:eastAsia="Times New Roman" w:cs="Times New Roman"/>
          <w:lang w:val="en-US" w:bidi="en-US"/>
          <w:color w:val="111111"/>
          <w:sz w:val="28"/>
          <w:szCs w:val="28"/>
          <w:rtl/>
        </w:rPr>
        <w:t xml:space="preserve">tabșirat-uş șibyān</w:t>
      </w:r>
    </w:p>
    <w:p>
      <w:pPr>
        <w:pStyle w:val="BookText"/>
      </w:pPr>
      <w:r>
        <w:rPr>
          <w:rFonts w:ascii="IRNazanin" w:hAnsi="IRNazanin" w:eastAsia="IRNazanin" w:cs="IRNazanin"/>
          <w:lang w:bidi="fa-IR"/>
          <w:color w:val="111111"/>
          <w:sz w:val="28"/>
          <w:szCs w:val="28"/>
          <w:rtl/>
        </w:rPr>
        <w:t xml:space="preserve">شریف</w:t>
      </w:r>
    </w:p>
    <w:p>
      <w:pPr>
        <w:pStyle w:val="BookText"/>
      </w:pPr>
      <w:r>
        <w:rPr>
          <w:rFonts w:ascii="IRNazanin" w:hAnsi="IRNazanin" w:eastAsia="IRNazanin" w:cs="IRNazanin"/>
          <w:lang w:bidi="fa-IR"/>
          <w:color w:val="111111"/>
          <w:sz w:val="28"/>
          <w:szCs w:val="28"/>
          <w:rtl/>
        </w:rPr>
        <w:t xml:space="preserve">کاشانی، فضل الله بن محمد، ق ۱۱ قمری</w:t>
      </w:r>
    </w:p>
    <w:p>
      <w:pPr>
        <w:pStyle w:val="BookText"/>
      </w:pPr>
      <w:r>
        <w:rPr>
          <w:rFonts w:ascii="Times New Roman" w:hAnsi="Times New Roman" w:eastAsia="Times New Roman" w:cs="Times New Roman"/>
          <w:lang w:val="en-US" w:bidi="en-US"/>
          <w:color w:val="111111"/>
          <w:sz w:val="28"/>
          <w:szCs w:val="28"/>
          <w:rtl/>
        </w:rPr>
        <w:t xml:space="preserve">šarīf kāšānī, fazl-ol-lāh ebn-e mohammad (-17c)</w:t>
      </w:r>
    </w:p>
    <w:p>
      <w:pPr>
        <w:pStyle w:val="BookText"/>
      </w:pPr>
      <w:r>
        <w:rPr>
          <w:rFonts w:ascii="IRNazanin" w:hAnsi="IRNazanin" w:eastAsia="IRNazanin" w:cs="IRNazanin"/>
          <w:lang w:bidi="fa-IR"/>
          <w:color w:val="111111"/>
          <w:sz w:val="28"/>
          <w:szCs w:val="28"/>
          <w:rtl/>
        </w:rPr>
        <w:t xml:space="preserve">اهدا به: عبدالرحمان (فرزندش) در ادبیات زبان عربی. در دو بخش، نخست به نام «حديقه»، دارای ۲۶ «باب» به ترتیب تهجی در الفاظ مفرد و مرکب چنانکه در باب الف: اللهم، احتسابا، اصلا، و مانند آن را گزارش داده، و در باب جیم: جراک، جبروت و مانند آن را ... بخش دوم را بستان نامیده و در آن فواید گوناگون نحو و صرف زبان عربی را آورده است. نگارنده در دیباچه خود را فضل الله شریف پسر محمد الشريف، نامیده و چنانکه گوید؛ این کتاب را برای فرزند خود عبدالرحمان نگاشته است. آغاز: بسمله. احمد الله جل و على لايتناهی ... فيقول ...... محمد شريف الشريف فضل الله هذه فوائد جمعتها لمبتدى الطلبة في الأخدان و لاسيما الولد العزيز عبد الرحمن و سميته تبصرة الصبيان و لما اشتملت على ما هو عندهم بمنزلة ما يتداوله الشبان من التفاح و الرمان و الريحان و الأرجو أن رتبتها على شطرين عبرت عنهما بالحديقة و البستان ... انجام: و فعله بكسر الفاء و سكون العين نحو جیره جار و فعل بضمتين نحو نمر ككتف</w:t>
      </w:r>
    </w:p>
    <w:p>
      <w:pPr>
        <w:pStyle w:val="BookText"/>
      </w:pPr>
      <w:r>
        <w:rPr>
          <w:rFonts w:ascii="IRNazanin" w:hAnsi="IRNazanin" w:eastAsia="IRNazanin" w:cs="IRNazanin"/>
          <w:lang w:bidi="fa-IR"/>
          <w:color w:val="111111"/>
          <w:sz w:val="28"/>
          <w:szCs w:val="28"/>
          <w:rtl/>
        </w:rPr>
        <w:t xml:space="preserve">[دنا ۷۶۴/۲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ملک؛ شماره نسخه: ۷۴۰/۲</w:t>
      </w:r>
    </w:p>
    <w:p>
      <w:pPr>
        <w:pStyle w:val="BookText"/>
      </w:pPr>
      <w:r>
        <w:rPr>
          <w:rFonts w:ascii="IRNazanin" w:hAnsi="IRNazanin" w:eastAsia="IRNazanin" w:cs="IRNazanin"/>
          <w:lang w:bidi="fa-IR"/>
          <w:color w:val="111111"/>
          <w:sz w:val="28"/>
          <w:szCs w:val="28"/>
          <w:rtl/>
        </w:rPr>
        <w:t xml:space="preserve">آغاز و انجام: برابر خط: نسخ، کا: محمد جعفر بن محمد مومن فتحانی امامی ادیبی قاری، تا حدود ۱۱۰۱ق؛ کاغذ: ترمه، جلد: میشن سیاه، ۸۶گ (۸۰پ -۱۶۵)، ۱۴ سطر، اندازه:</w:t>
      </w:r>
    </w:p>
    <w:p>
      <w:pPr>
        <w:pStyle w:val="BookText"/>
      </w:pPr>
      <w:r>
        <w:rPr>
          <w:rFonts w:ascii="IRNazanin" w:hAnsi="IRNazanin" w:eastAsia="IRNazanin" w:cs="IRNazanin"/>
          <w:lang w:bidi="fa-IR"/>
          <w:color w:val="111111"/>
          <w:sz w:val="28"/>
          <w:szCs w:val="28"/>
          <w:rtl/>
        </w:rPr>
        <w:t xml:space="preserve">۱۸/۶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[ف: ۵-۱۶۲]</w:t>
      </w:r>
    </w:p>
    <w:p>
      <w:pPr>
        <w:pStyle w:val="BookText"/>
      </w:pPr>
      <w:r>
        <w:rPr>
          <w:rFonts w:ascii="IRNazanin" w:hAnsi="IRNazanin" w:eastAsia="IRNazanin" w:cs="IRNazanin"/>
          <w:lang w:bidi="fa-IR"/>
          <w:color w:val="111111"/>
          <w:sz w:val="28"/>
          <w:szCs w:val="28"/>
          <w:rtl/>
        </w:rPr>
        <w:t xml:space="preserve">٢. اهواز؛ دانشگاه اهواز؛ شماره نسخه:بدون شماره</w:t>
      </w:r>
    </w:p>
    <w:p>
      <w:pPr>
        <w:pStyle w:val="BookText"/>
      </w:pPr>
      <w:r>
        <w:rPr>
          <w:rFonts w:ascii="IRNazanin" w:hAnsi="IRNazanin" w:eastAsia="IRNazanin" w:cs="IRNazanin"/>
          <w:lang w:bidi="fa-IR"/>
          <w:color w:val="111111"/>
          <w:sz w:val="28"/>
          <w:szCs w:val="28"/>
          <w:rtl/>
        </w:rPr>
        <w:t xml:space="preserve">بی کا، بی تا [میراث اسلامی: ۵-۵۸۸]</w:t>
      </w:r>
    </w:p>
    <w:p>
      <w:pPr>
        <w:pStyle w:val="BookText"/>
      </w:pPr>
      <w:r>
        <w:rPr>
          <w:rFonts w:ascii="IRNazanin" w:hAnsi="IRNazanin" w:eastAsia="IRNazanin" w:cs="IRNazanin"/>
          <w:lang w:bidi="fa-IR"/>
          <w:color w:val="111111"/>
          <w:sz w:val="28"/>
          <w:szCs w:val="28"/>
          <w:rtl/>
        </w:rPr>
        <w:t xml:space="preserve">٣. تهران، دانشگاه؛ شماره نسخه: ۱۸۰</w:t>
      </w:r>
    </w:p>
    <w:p>
      <w:pPr>
        <w:pStyle w:val="BookText"/>
      </w:pPr>
      <w:r>
        <w:rPr>
          <w:rFonts w:ascii="IRNazanin" w:hAnsi="IRNazanin" w:eastAsia="IRNazanin" w:cs="IRNazanin"/>
          <w:lang w:bidi="fa-IR"/>
          <w:color w:val="111111"/>
          <w:sz w:val="28"/>
          <w:szCs w:val="28"/>
          <w:rtl/>
        </w:rPr>
        <w:t xml:space="preserve">آغاز و انجام: برابر خط: نستعلیق، بی کا، بی تا، نام نویسنده در پایان این کتاب نیست ولی در برگ ۵هر در پایان دفتر: «ابن ابی الحسن المازندرانی، محمد» یاد شده و تاریخ نیز در همانجا با همان خامه «۱۲۶۰ق» دیده می شود؛ نسخه در برگ ۵۲ دفتر پایان یافته و پس از آن یک کتابچه در معنی حمد و شکر و دیگر رساله وضعيه عضدی هست، در (برگ ۵۵-ب) تاریخ زادن نویسنده محمد محسن خوزانی ولد ابي الحسن مازندرانی در ۲۷ ذیحجه ۱۲۴۲ ق به خامه خود وی نوشته شده و نام مادرش را فاطمه آورده است و در بالای آن فرزند این نویسنده، محمد تقی پسر ملا محسن مازندرانی، تاریخ زایچه فرزند خود ابوالفضل محمد را در ۱۲ رجب ۱۲۷۴ق یادداشت کرده با کاغذ:فرنگی آهار مهره سفید، جلد: تیماج مشکی، ۶۲گ، ۱۵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۷/۲ )،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سم [ف: ۲-۳۴۰]</w:t>
      </w:r>
    </w:p>
    <w:p>
      <w:pPr>
        <w:pStyle w:val="Heading3"/>
      </w:pPr>
      <w:bookmarkStart w:id="2881" w:name="_Toc2141"/>
      <w:r>
        <w:t>•تبصرة العارفین و منهاج السالكين / كلام و اعتقادات / فارسی</w:t>
      </w:r>
      <w:bookmarkEnd w:id="2881"/>
    </w:p>
    <w:p>
      <w:pPr>
        <w:pStyle w:val="BookText"/>
      </w:pPr>
      <w:r>
        <w:rPr>
          <w:rFonts w:ascii="Times New Roman" w:hAnsi="Times New Roman" w:eastAsia="Times New Roman" w:cs="Times New Roman"/>
          <w:lang w:val="en-US" w:bidi="en-US"/>
          <w:color w:val="111111"/>
          <w:sz w:val="28"/>
          <w:szCs w:val="28"/>
          <w:rtl/>
        </w:rPr>
        <w:t xml:space="preserve">tabserat-ol ‘ārefin va menhāj-os sālekīn</w:t>
      </w:r>
    </w:p>
    <w:p>
      <w:pPr>
        <w:pStyle w:val="BookText"/>
      </w:pPr>
      <w:r>
        <w:rPr>
          <w:rFonts w:ascii="IRNazanin" w:hAnsi="IRNazanin" w:eastAsia="IRNazanin" w:cs="IRNazanin"/>
          <w:lang w:bidi="fa-IR"/>
          <w:color w:val="111111"/>
          <w:sz w:val="28"/>
          <w:szCs w:val="28"/>
          <w:rtl/>
        </w:rPr>
        <w:t xml:space="preserve">حسینی موسوی، علی بن ابی القاسم، ق۱۳ قمری</w:t>
      </w:r>
    </w:p>
    <w:p>
      <w:pPr>
        <w:pStyle w:val="BookText"/>
      </w:pPr>
      <w:r>
        <w:rPr>
          <w:rFonts w:ascii="Times New Roman" w:hAnsi="Times New Roman" w:eastAsia="Times New Roman" w:cs="Times New Roman"/>
          <w:lang w:val="en-US" w:bidi="en-US"/>
          <w:color w:val="111111"/>
          <w:sz w:val="28"/>
          <w:szCs w:val="28"/>
          <w:rtl/>
        </w:rPr>
        <w:t xml:space="preserve">hoseynī mūsavī, ‘alī ebn-e abe-l-qāsem (-19c)</w:t>
      </w:r>
    </w:p>
    <w:p>
      <w:pPr>
        <w:pStyle w:val="BookText"/>
      </w:pPr>
      <w:r>
        <w:rPr>
          <w:rFonts w:ascii="IRNazanin" w:hAnsi="IRNazanin" w:eastAsia="IRNazanin" w:cs="IRNazanin"/>
          <w:lang w:bidi="fa-IR"/>
          <w:color w:val="111111"/>
          <w:sz w:val="28"/>
          <w:szCs w:val="28"/>
          <w:rtl/>
        </w:rPr>
        <w:t xml:space="preserve">تاريخ تأليف: ۲۸ جمادی الاول ۱۲۷۳ق
</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bookmarkStart w:id="646" w:name="pg20363_209982"/>
    <w:bookmarkEnd w:id="646"/>
    <w:p>
      <w:pPr>
        <w:pStyle w:val="BookText"/>
      </w:pPr>
      <w:r>
        <w:rPr>
          <w:rFonts w:ascii="IRNazanin" w:hAnsi="IRNazanin" w:eastAsia="IRNazanin" w:cs="IRNazanin"/>
          <w:lang w:bidi="fa-IR"/>
          <w:color w:val="111111"/>
          <w:sz w:val="28"/>
          <w:szCs w:val="28"/>
          <w:rtl/>
        </w:rPr>
        <w:t xml:space="preserve">در کلام و رد بر یهود و نصارا در پنج فصل» و «خاتمه»: ۱. وحیهای منزله به حضرت موسی؛ ۲. وحی های منزله به حضرت اشعیای نبی؛ ۳. وحی های منزله بر حضرت حبقوق نبی؛ ۴. نمایش به حضرت دانیال؛ ۵. وحیهای منزله بر کودک؛ خاتمه اشاره بر رد دین مخترعه نصاری به موجب آیات تورات و انجیل.</w:t>
      </w:r>
    </w:p>
    <w:p>
      <w:pPr>
        <w:pStyle w:val="BookText"/>
      </w:pPr>
      <w:r>
        <w:rPr>
          <w:rFonts w:ascii="IRNazanin" w:hAnsi="IRNazanin" w:eastAsia="IRNazanin" w:cs="IRNazanin"/>
          <w:lang w:bidi="fa-IR"/>
          <w:color w:val="111111"/>
          <w:sz w:val="28"/>
          <w:szCs w:val="28"/>
          <w:rtl/>
        </w:rPr>
        <w:t xml:space="preserve">تهران؛ دانشگاه؛ شماره نسخه:۸۲۳۸</w:t>
      </w:r>
    </w:p>
    <w:p>
      <w:pPr>
        <w:pStyle w:val="BookText"/>
      </w:pPr>
      <w:r>
        <w:rPr>
          <w:rFonts w:ascii="IRNazanin" w:hAnsi="IRNazanin" w:eastAsia="IRNazanin" w:cs="IRNazanin"/>
          <w:lang w:bidi="fa-IR"/>
          <w:color w:val="111111"/>
          <w:sz w:val="28"/>
          <w:szCs w:val="28"/>
          <w:rtl/>
        </w:rPr>
        <w:t xml:space="preserve">آغاز: بسمله. الحمدلله الذي بعث الأنبياء ليبينوا لحق علينا ... اما بعد بر الواح زاكيه و صفايح اذهان صافيه مینگارد؛ انجام: ثلاث و سبعين و ما تين بعد الألف سنة ۱۲۷۳. خط: نسخ، كاتب = مؤلف، تا: یک شنبه ۲۸ جمادی الاول ۱۲۷۳ق؛ مجدول، مذهب؛ کاغذ: فرنگی، جلد: تیماج مشکی، ۱۵۶گ، ۱۰-۱۵ سطر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اندازه: ۱۰/۵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سم [ف: ۱۷-۸۲]</w:t>
      </w:r>
    </w:p>
    <w:p>
      <w:pPr>
        <w:pStyle w:val="Heading3"/>
      </w:pPr>
      <w:bookmarkStart w:id="2882" w:name="_Toc2142"/>
      <w:r>
        <w:t>•تبصرة العارفین فی شرح زیارة مولینا امیرالمؤمنین(عليه السلام)/ شرح دعا / فارسی</w:t>
      </w:r>
      <w:bookmarkEnd w:id="2882"/>
    </w:p>
    <w:p>
      <w:pPr>
        <w:pStyle w:val="BookText"/>
      </w:pPr>
      <w:r>
        <w:rPr>
          <w:rFonts w:ascii="Times New Roman" w:hAnsi="Times New Roman" w:eastAsia="Times New Roman" w:cs="Times New Roman"/>
          <w:lang w:val="en-US" w:bidi="en-US"/>
          <w:color w:val="111111"/>
          <w:sz w:val="28"/>
          <w:szCs w:val="28"/>
          <w:rtl/>
        </w:rPr>
        <w:t xml:space="preserve">tabserat-ol "ārefīn fī š.-e zīyārat-e mawlā-nā amīr-el mo’menīn</w:t>
      </w:r>
    </w:p>
    <w:p>
      <w:pPr>
        <w:pStyle w:val="BookText"/>
      </w:pPr>
      <w:r>
        <w:rPr>
          <w:rFonts w:ascii="IRNazanin" w:hAnsi="IRNazanin" w:eastAsia="IRNazanin" w:cs="IRNazanin"/>
          <w:lang w:bidi="fa-IR"/>
          <w:color w:val="111111"/>
          <w:sz w:val="28"/>
          <w:szCs w:val="28"/>
          <w:rtl/>
        </w:rPr>
        <w:t xml:space="preserve">شاهرودی خراسانی، محمد علی بن محمد کاظم، ۱۲۹۳ قمری</w:t>
      </w:r>
    </w:p>
    <w:p>
      <w:pPr>
        <w:pStyle w:val="BookText"/>
      </w:pPr>
      <w:r>
        <w:rPr>
          <w:rFonts w:ascii="Times New Roman" w:hAnsi="Times New Roman" w:eastAsia="Times New Roman" w:cs="Times New Roman"/>
          <w:lang w:val="en-US" w:bidi="en-US"/>
          <w:color w:val="111111"/>
          <w:sz w:val="28"/>
          <w:szCs w:val="28"/>
          <w:rtl/>
        </w:rPr>
        <w:t xml:space="preserve">šāhrūdī xorāsānī, mohammad “alī ebn-e mohammad kazem (-1876)</w:t>
      </w:r>
    </w:p>
    <w:p>
      <w:pPr>
        <w:pStyle w:val="BookText"/>
      </w:pPr>
      <w:r>
        <w:rPr>
          <w:rFonts w:ascii="IRNazanin" w:hAnsi="IRNazanin" w:eastAsia="IRNazanin" w:cs="IRNazanin"/>
          <w:lang w:bidi="fa-IR"/>
          <w:color w:val="111111"/>
          <w:sz w:val="28"/>
          <w:szCs w:val="28"/>
          <w:rtl/>
        </w:rPr>
        <w:t xml:space="preserve">تاریخ تأليف: جمادی الثانی ۱۲۹۲ق شرحی است بر زیارت هفتم امیر المومنین(عليه السلام) که علامه مجلسی در کتابش نقل کرده است؛ وفایی شوشتری در ربيع الثانی ۱۲۹۲ از مؤلف خواسته که او شرحی بر زیارت جامعه کبیره بنویسد چرا که شرح های موجود به زبان عربی است، مبسوط ترین آنها شرح شیخ احمد احسایی است که بسا از کتب ضلال شمرده شود به جهت اشتمال بر مطالبی که از شرع قویم دلیل بر آنها اقامه نتوان نمود. مؤلف طولانی بودن زیارت جامعه را عذر آورد و به شرح زیارت امیر المومنین که مختصر است روی آورد.</w:t>
      </w:r>
    </w:p>
    <w:p>
      <w:pPr>
        <w:pStyle w:val="BookText"/>
      </w:pPr>
      <w:r>
        <w:rPr>
          <w:rFonts w:ascii="IRNazanin" w:hAnsi="IRNazanin" w:eastAsia="IRNazanin" w:cs="IRNazanin"/>
          <w:lang w:bidi="fa-IR"/>
          <w:color w:val="111111"/>
          <w:sz w:val="28"/>
          <w:szCs w:val="28"/>
          <w:rtl/>
        </w:rPr>
        <w:t xml:space="preserve">[دنا ۷۶۴/۲ ]</w:t>
      </w:r>
    </w:p>
    <w:p>
      <w:pPr>
        <w:pStyle w:val="BookText"/>
      </w:pPr>
      <w:r>
        <w:rPr>
          <w:rFonts w:ascii="IRNazanin" w:hAnsi="IRNazanin" w:eastAsia="IRNazanin" w:cs="IRNazanin"/>
          <w:lang w:bidi="fa-IR"/>
          <w:color w:val="111111"/>
          <w:sz w:val="28"/>
          <w:szCs w:val="28"/>
          <w:rtl/>
        </w:rPr>
        <w:t xml:space="preserve">تهران؛ مجلس؛ شماره نسخه: ۹۹۶۸</w:t>
      </w:r>
    </w:p>
    <w:p>
      <w:pPr>
        <w:pStyle w:val="BookText"/>
      </w:pPr>
      <w:r>
        <w:rPr>
          <w:rFonts w:ascii="IRNazanin" w:hAnsi="IRNazanin" w:eastAsia="IRNazanin" w:cs="IRNazanin"/>
          <w:lang w:bidi="fa-IR"/>
          <w:color w:val="111111"/>
          <w:sz w:val="28"/>
          <w:szCs w:val="28"/>
          <w:rtl/>
        </w:rPr>
        <w:t xml:space="preserve">آغاز: بسمله. الحمد لفاطر الارضين و السموات حمدا يحبه و يرضيه كما هو يستحقه لانه خالق البريات؛ انجام: از هیچ خطابی مثل خطاب یا امیر المومنین مسرور نمی شود خط: نسخ، كاتب = مؤلف، تا: دهه اول جمادی الثانی ۱۲۹۲ق؛ مصحح، رکابه دار، جلد: تیماج مشکی ترنج دار، ۱۸۱ گ، ۱۴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۳۱-۱۵۶]</w:t>
      </w:r>
    </w:p>
    <w:p>
      <w:pPr>
        <w:pStyle w:val="Heading3"/>
      </w:pPr>
      <w:bookmarkStart w:id="2883" w:name="_Toc2143"/>
      <w:r>
        <w:t>•تبصرة العجائب و مرآت الغرائب / گوناگون / فارسی</w:t>
      </w:r>
      <w:bookmarkEnd w:id="2883"/>
    </w:p>
    <w:p>
      <w:pPr>
        <w:pStyle w:val="BookText"/>
      </w:pPr>
      <w:r>
        <w:rPr>
          <w:rFonts w:ascii="Times New Roman" w:hAnsi="Times New Roman" w:eastAsia="Times New Roman" w:cs="Times New Roman"/>
          <w:lang w:val="en-US" w:bidi="en-US"/>
          <w:color w:val="111111"/>
          <w:sz w:val="28"/>
          <w:szCs w:val="28"/>
          <w:rtl/>
        </w:rPr>
        <w:t xml:space="preserve">tabserat-ol ‘ajā’eb va mer’āt-ol qarā’eb</w:t>
      </w:r>
    </w:p>
    <w:p>
      <w:pPr>
        <w:pStyle w:val="BookText"/>
      </w:pPr>
      <w:r>
        <w:rPr>
          <w:rFonts w:ascii="IRNazanin" w:hAnsi="IRNazanin" w:eastAsia="IRNazanin" w:cs="IRNazanin"/>
          <w:lang w:bidi="fa-IR"/>
          <w:color w:val="111111"/>
          <w:sz w:val="28"/>
          <w:szCs w:val="28"/>
          <w:rtl/>
        </w:rPr>
        <w:t xml:space="preserve">نصير الاسلام، محمد علی بن حسین، ق۱۴ قمری</w:t>
      </w:r>
    </w:p>
    <w:p>
      <w:pPr>
        <w:pStyle w:val="BookText"/>
      </w:pPr>
      <w:r>
        <w:rPr>
          <w:rFonts w:ascii="Times New Roman" w:hAnsi="Times New Roman" w:eastAsia="Times New Roman" w:cs="Times New Roman"/>
          <w:lang w:val="en-US" w:bidi="en-US"/>
          <w:color w:val="111111"/>
          <w:sz w:val="28"/>
          <w:szCs w:val="28"/>
          <w:rtl/>
        </w:rPr>
        <w:t xml:space="preserve">nsīr-ol-eslām, mohammad ‘alī ebn-e hoseyn (-20c)</w:t>
      </w:r>
    </w:p>
    <w:p>
      <w:pPr>
        <w:pStyle w:val="BookText"/>
      </w:pPr>
      <w:r>
        <w:rPr>
          <w:rFonts w:ascii="IRNazanin" w:hAnsi="IRNazanin" w:eastAsia="IRNazanin" w:cs="IRNazanin"/>
          <w:lang w:bidi="fa-IR"/>
          <w:color w:val="111111"/>
          <w:sz w:val="28"/>
          <w:szCs w:val="28"/>
          <w:rtl/>
        </w:rPr>
        <w:t xml:space="preserve">جنگ مانندی است و سرگذشت خود او هم در آن آمده است.</w:t>
      </w:r>
    </w:p>
    <w:p>
      <w:pPr>
        <w:pStyle w:val="BookText"/>
      </w:pPr>
      <w:r>
        <w:rPr>
          <w:rFonts w:ascii="IRNazanin" w:hAnsi="IRNazanin" w:eastAsia="IRNazanin" w:cs="IRNazanin"/>
          <w:lang w:bidi="fa-IR"/>
          <w:color w:val="111111"/>
          <w:sz w:val="28"/>
          <w:szCs w:val="28"/>
          <w:rtl/>
        </w:rPr>
        <w:t xml:space="preserve">تهران؛ دانشگاه؛ شماره نسخه:۳۶۹۱/۱</w:t>
      </w:r>
    </w:p>
    <w:p>
      <w:pPr>
        <w:pStyle w:val="BookText"/>
      </w:pPr>
      <w:r>
        <w:rPr>
          <w:rFonts w:ascii="IRNazanin" w:hAnsi="IRNazanin" w:eastAsia="IRNazanin" w:cs="IRNazanin"/>
          <w:lang w:bidi="fa-IR"/>
          <w:color w:val="111111"/>
          <w:sz w:val="28"/>
          <w:szCs w:val="28"/>
          <w:rtl/>
        </w:rPr>
        <w:t xml:space="preserve">خط: نستعلیق، کاتب =مؤلف، بی تا، کاغذ:فرنگی، جلد: مقوا، ۱۵۴ص (۱۵۴-۱ )، ۱۹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۱۲-۲۶۹۸]</w:t>
      </w:r>
    </w:p>
    <w:p>
      <w:pPr>
        <w:pStyle w:val="Heading3"/>
      </w:pPr>
      <w:bookmarkStart w:id="2884" w:name="_Toc2144"/>
      <w:r>
        <w:t>•تبصرة العوام / گوناگون / فارسی</w:t>
      </w:r>
      <w:bookmarkEnd w:id="2884"/>
    </w:p>
    <w:p>
      <w:pPr>
        <w:pStyle w:val="BookText"/>
      </w:pPr>
      <w:r>
        <w:rPr>
          <w:rFonts w:ascii="Times New Roman" w:hAnsi="Times New Roman" w:eastAsia="Times New Roman" w:cs="Times New Roman"/>
          <w:lang w:val="en-US" w:bidi="en-US"/>
          <w:color w:val="111111"/>
          <w:sz w:val="28"/>
          <w:szCs w:val="28"/>
          <w:rtl/>
        </w:rPr>
        <w:t xml:space="preserve">tabserat-ol ‘avām</w:t>
      </w:r>
    </w:p>
    <w:p>
      <w:pPr>
        <w:pStyle w:val="BookText"/>
      </w:pPr>
      <w:r>
        <w:rPr>
          <w:rFonts w:ascii="IRNazanin" w:hAnsi="IRNazanin" w:eastAsia="IRNazanin" w:cs="IRNazanin"/>
          <w:lang w:bidi="fa-IR"/>
          <w:color w:val="111111"/>
          <w:sz w:val="28"/>
          <w:szCs w:val="28"/>
          <w:rtl/>
        </w:rPr>
        <w:t xml:space="preserve">؟ کرباسی، محمد ابراهيم بن محمد حسن، ۱۱۸۰؟ - ۱۲۶۲ قمری</w:t>
      </w:r>
    </w:p>
    <w:p>
      <w:pPr>
        <w:pStyle w:val="BookText"/>
      </w:pPr>
      <w:r>
        <w:rPr>
          <w:rFonts w:ascii="Times New Roman" w:hAnsi="Times New Roman" w:eastAsia="Times New Roman" w:cs="Times New Roman"/>
          <w:lang w:val="en-US" w:bidi="en-US"/>
          <w:color w:val="111111"/>
          <w:sz w:val="28"/>
          <w:szCs w:val="28"/>
          <w:rtl/>
        </w:rPr>
        <w:t xml:space="preserve">karbāsī, mohammad ebrāhīm ebn-e mohammad hasan (1767-1846)</w:t>
      </w:r>
    </w:p>
    <w:p>
      <w:pPr>
        <w:pStyle w:val="BookText"/>
      </w:pPr>
      <w:r>
        <w:rPr>
          <w:rFonts w:ascii="IRNazanin" w:hAnsi="IRNazanin" w:eastAsia="IRNazanin" w:cs="IRNazanin"/>
          <w:lang w:bidi="fa-IR"/>
          <w:color w:val="111111"/>
          <w:sz w:val="28"/>
          <w:szCs w:val="28"/>
          <w:rtl/>
        </w:rPr>
        <w:t xml:space="preserve">کتابی است در وعظ و پند مذهبی شیعی و از همه علوم دینی نمونه ای در آن هست. فهرست مطلب ها را کسی در پایان نسخه نوشته است. گویا از حاجی ابراهیم کرباسی که خط او در ص ۲ آمده است باشد. خطبه دیگری هم در ص ۳ دارد بدین گونه:</w:t>
      </w:r>
    </w:p>
    <w:p>
      <w:pPr>
        <w:pStyle w:val="BookText"/>
      </w:pPr>
      <w:r>
        <w:rPr>
          <w:rFonts w:ascii="IRNazanin" w:hAnsi="IRNazanin" w:eastAsia="IRNazanin" w:cs="IRNazanin"/>
          <w:lang w:bidi="fa-IR"/>
          <w:color w:val="111111"/>
          <w:sz w:val="28"/>
          <w:szCs w:val="28"/>
          <w:rtl/>
        </w:rPr>
        <w:t xml:space="preserve">بسمله، نحمدک یا مروج عقول العارفين بمظاهر كما لك ليلاو نهارا».</w:t>
      </w:r>
    </w:p>
    <w:p>
      <w:pPr>
        <w:pStyle w:val="BookText"/>
      </w:pPr>
      <w:r>
        <w:rPr>
          <w:rFonts w:ascii="Amiri" w:hAnsi="Amiri" w:eastAsia="Amiri" w:cs="Amiri"/>
          <w:lang w:bidi="ar-SA"/>
          <w:color w:val="111111"/>
          <w:sz w:val="28"/>
          <w:szCs w:val="28"/>
          <w:rtl/>
        </w:rPr>
        <w:t xml:space="preserve">آغاز: 1: بسمله. الحمد الله الذي ابدع الخلق لكمال علمه و قدرته. انجام: فانطلقت في حاجة رسول الله.</w:t>
      </w:r>
    </w:p>
    <w:p>
      <w:pPr>
        <w:pStyle w:val="BookText"/>
      </w:pPr>
      <w:r>
        <w:rPr>
          <w:rFonts w:ascii="IRNazanin" w:hAnsi="IRNazanin" w:eastAsia="IRNazanin" w:cs="IRNazanin"/>
          <w:lang w:bidi="fa-IR"/>
          <w:color w:val="111111"/>
          <w:sz w:val="28"/>
          <w:szCs w:val="28"/>
          <w:rtl/>
        </w:rPr>
        <w:t xml:space="preserve">[دنا ۷۶۴/۲ ؛ فهرستواره منزوی ۳۵۷/۶ ]</w:t>
      </w:r>
    </w:p>
    <w:p>
      <w:pPr>
        <w:pStyle w:val="BookText"/>
      </w:pPr>
      <w:r>
        <w:rPr>
          <w:rFonts w:ascii="IRNazanin" w:hAnsi="IRNazanin" w:eastAsia="IRNazanin" w:cs="IRNazanin"/>
          <w:lang w:bidi="fa-IR"/>
          <w:color w:val="111111"/>
          <w:sz w:val="28"/>
          <w:szCs w:val="28"/>
          <w:rtl/>
        </w:rPr>
        <w:t xml:space="preserve">تهران؛ دانشگاه؛ شماره نسخه:۳۳۷۳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۱۳ و ۱۴؛ در ص ۲ آمده «من حاجی ابراهیم کرباسی سلمه الله»؛ کاغذ: فرنگی سفید و آبی، جلد: تیماج مشکی، ۲۱۴گ، ۲۰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۲۳۷۳-۱۱]</w:t>
      </w:r>
    </w:p>
    <w:p>
      <w:pPr>
        <w:pStyle w:val="Heading3"/>
      </w:pPr>
      <w:bookmarkStart w:id="2885" w:name="_Toc2145"/>
      <w:r>
        <w:t>•تبصرة العوام في معرفة مقالات الأنام / ادیان و مذاهب / فارسی</w:t>
      </w:r>
      <w:bookmarkEnd w:id="2885"/>
    </w:p>
    <w:p>
      <w:pPr>
        <w:pStyle w:val="BookText"/>
      </w:pPr>
      <w:r>
        <w:rPr>
          <w:rFonts w:ascii="Times New Roman" w:hAnsi="Times New Roman" w:eastAsia="Times New Roman" w:cs="Times New Roman"/>
          <w:lang w:val="en-US" w:bidi="en-US"/>
          <w:color w:val="111111"/>
          <w:sz w:val="28"/>
          <w:szCs w:val="28"/>
          <w:rtl/>
        </w:rPr>
        <w:t xml:space="preserve">tabserat-ol 'avām fī maʻrefat-e maqālāt-el anām</w:t>
      </w:r>
    </w:p>
    <w:p>
      <w:pPr>
        <w:pStyle w:val="BookText"/>
      </w:pPr>
      <w:r>
        <w:rPr>
          <w:rFonts w:ascii="IRNazanin" w:hAnsi="IRNazanin" w:eastAsia="IRNazanin" w:cs="IRNazanin"/>
          <w:lang w:bidi="fa-IR"/>
          <w:color w:val="111111"/>
          <w:sz w:val="28"/>
          <w:szCs w:val="28"/>
          <w:rtl/>
        </w:rPr>
        <w:t xml:space="preserve">؟ علم الهدی، مرتضی بن داعی، ق۶ قمری</w:t>
      </w:r>
    </w:p>
    <w:p>
      <w:pPr>
        <w:pStyle w:val="BookText"/>
      </w:pPr>
      <w:r>
        <w:rPr>
          <w:rFonts w:ascii="Times New Roman" w:hAnsi="Times New Roman" w:eastAsia="Times New Roman" w:cs="Times New Roman"/>
          <w:lang w:val="en-US" w:bidi="en-US"/>
          <w:color w:val="111111"/>
          <w:sz w:val="28"/>
          <w:szCs w:val="28"/>
          <w:rtl/>
        </w:rPr>
        <w:t xml:space="preserve">‘alam-ol-hodā, mortazā ben dāʻī(-12c)</w:t>
      </w:r>
    </w:p>
    <w:p>
      <w:pPr>
        <w:pStyle w:val="BookText"/>
      </w:pPr>
      <w:r>
        <w:rPr>
          <w:rFonts w:ascii="IRNazanin" w:hAnsi="IRNazanin" w:eastAsia="IRNazanin" w:cs="IRNazanin"/>
          <w:lang w:bidi="fa-IR"/>
          <w:color w:val="111111"/>
          <w:sz w:val="28"/>
          <w:szCs w:val="28"/>
          <w:rtl/>
        </w:rPr>
        <w:t xml:space="preserve">تاريخ تأليف: قرن ۶؛ محل تألیف: شیراز در اعتقادات ملل و نحل مختلف فلسفی و اسلامی با توضیحاتی مختصر درباره هر یک از ملل پیش از اسلام و بعد از آن، مشتمل بر بیست و شش «باب»: ۱. مقالات فلاسفه و امثال آن؛ ۲. مقالات مجوس و کیش ایشان؛ ۳. مقالات يهودان و ترسایان و صابیان؛ ۴. اصل فرق ایشان و مقالات ایشان؛ ۵. فرق خوارج و مقالاتشان؛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۶. معتزله و احوالات ایشان؛ ۷. مقالات جحيم بن صفوان و اتباع وی؛ ۸ مقالات مرجیان؛ 9. مقالات نجار و اصحابش؛ ۱۰. مقالات کرامیان و ظهور ایشان؛ ۱۱. مقالات مشبهه و مجسمه؛ ۱۲. مقالات اهل تناسخ؛ ۱۳. مقالات اهل سنت و جماعت؛ ۱۴. ذكر اصحاب مالک و شافعی؛ ۱۵. مقالات ابن کلاب و ابوالحسن اشعری؛ ۱۶. مقالات صوفيان؛ ۱۷. مقالات و مراتب صوفيه؛ ۱۸. آنچه اهل سنت در حق انبیا گویند؛ ۱۹. مقالات شیعه؛ ۲۰. دانستن حق از باطل؛ ۲۱. اعتقاد امامیه؛ ۲۲. حکایت فدک؛ ۲۳. احادیثی که تشنیع بر امامیه می کنند و رد بر آنها؛ ۲۴. بعض فضائح بنی امیه؛ ۲۵. اختلاف بین اهل عدل و جبر؛ ۲۶. مسائلی که بر امامیه تشنیع می کنند. عباس اقبال در دیباچه خود بر چاپ آن درباره مؤلف آن سخن داشته و در مکتب اسلام (ش ۱۰۸) هم گفتاری از سید موسی شبیر زنجانی در این باره دیده می شود. در «معتقد الامامیه» حسن بن على طبری (قرن ۷ق) (ص ۱۲۸ چاپ ۱۳۳۹ تهران) نکته ای از یکی از دانشمندان شیعی درباره حقانیت این آیین آورده شده که مانند آن در فصل بیستم این کتاب هم (ص ۱۸۸ )و پس از آن دیده می شود. همان دلیلی که ناصر خسرو یاد کرده و طوسی از او گرفته و دوانی از آن خرده گرفته است. اگر مؤلف معتقد الامامیه در این سخن مؤلف تبصرة العوام را خواسته باشد پس این کتاب بایستی در قرن ۶ یا ۷ ساخته شده باشد چون این را هم می دانیم که این کتاب پس از فاطمیان (۵۶۷) و پیش از بر افتادن صباحيان (۶۵۴) ساخته شده است. صفي الدين ابو تراب مرتضی بن داعی بن قاسم حسنی رازی که نسبت این کتاب به او بیشتر معروف است از مشایخ شیخ منتجب الدین رازی (۵۰۴-۶۰۰ق) صاحب «فهرست» (روضات الجنات چاپ اول ص ۶۶۵. مستدرک الوسائل ج 3 ص ۴۶۵) است و نقل داستانی از کتاب «المستحيل» غزالی ( ۵۰۵-۴۵۰ ق) در باب ۲۵ و هم عبارتی در باب ۱۹ در ذکر فرقه اسماعیلیه و پیروان حسن صباح که پیش از برافتادن آنها این کتاب در دست تأليف بوده می رساند که مؤلف این کتاب از اعلام اماميه قرن ششم یا بعد از آن است. بنابراین روایات دیگر از نسبت این کتاب به شریف مرتضی علم الهدی (۳۵۵-۴۳۶) مسلم بی پایه است. همچنین این کتاب به شیخ ابو الفتوح جمال الدین حسین بن علی رازی (۵۵۲ قرن ۶) و جمال الدين ابوعبدالله محمد بن حسن بن حسین مرتضی رازی صاحب «نزهة الكرام و بستان العوام» و بعضی به صفي الدين ابو تراب مرتضی بن داعی بن قاسم حسنی رازی نسبت داده اند و به دلایلی که آقای عباس اقبال در مقدمه چاپی که از این کتاب کرده اند، آورده اند از هیچ یک از این چند تن نیست. این کتاب همچنین به خواجه نصیر طوسی نیز نسبت داده شده است. ترجمه عربی آن در ۶۵۸ق از حسین بن على بطیطی ما را به حدود زمان نزدیک تر می کند. آغاز: بسمله حمد بیحد وسپاس بیعد مرخدایرا عزه وجل که جمله موجودات از عدم بوجود آورد و از نیستی به هستی رساند بی مایه ... اما بعد بدانکه مدت مدید بود که انجام: واین مذهب اهل سنت و جماعت است و آنکه گوید به يكبار واقع نشود مذهب روافض است والله اعلم بالصواب. چاپ: و چندین بار در هند و ایران بچاپ رسیده؛ مشار فارسی، ج۱، صص ۱۱۷۵-۱۱۷۶، تهران، سنگی، بی ناشر، ۱۳۰۹ ق.، وزیری، ۱۰۳-۱صص (صص ۳۵۸-۴۶۰)؛ ۱۳۰۴ ق.</w:t>
      </w:r>
    </w:p>
    <w:p>
      <w:pPr>
        <w:pStyle w:val="BookText"/>
      </w:pPr>
      <w:r>
        <w:rPr>
          <w:rFonts w:ascii="IRNazanin" w:hAnsi="IRNazanin" w:eastAsia="IRNazanin" w:cs="IRNazanin"/>
          <w:lang w:bidi="fa-IR"/>
          <w:color w:val="111111"/>
          <w:sz w:val="28"/>
          <w:szCs w:val="28"/>
          <w:rtl/>
        </w:rPr>
        <w:t xml:space="preserve">[ دنا ۷۶۴/۲ (۶۹ نسخه)؛ نسخه های منزوی ۱۷۲۲/۲ (۲۸ نسخه)؛ الذريعة ۳۱۸/۳۰ و ۱۰۷؛ [برای کسب اطلاع کیفیت انتساب آن به سید مرتضی داعی رازی رجوع کنید به مقدمه آقای عباس اقبال بر تبصرة العوام. و ۵۰/۱۱ -۵۲ مشترک پاکستان ۹۹۶/۲ : (۳ نسخه)؛ فهرست مشار و مجله مکتب شیعه؛ کشف الحجب ۹۶، فرج المهموم ۱۰۷؛ بحار ۲۷۶/۱۱ ؛ گفتار دانش پژوه در فرهنگ ایران زمین ۱۰۲/۱۲ ]</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١- تبصرة العوام في معرفة مقالات الأنام (ترجمه)؛ بطیطی، حسین بن على (-۷) ۲- تبصرة العوام (منتخب)</w:t>
      </w:r>
    </w:p>
    <w:p>
      <w:pPr>
        <w:pStyle w:val="BookText"/>
      </w:pPr>
      <w:r>
        <w:rPr>
          <w:rFonts w:ascii="IRNazanin" w:hAnsi="IRNazanin" w:eastAsia="IRNazanin" w:cs="IRNazanin"/>
          <w:lang w:bidi="fa-IR"/>
          <w:color w:val="111111"/>
          <w:sz w:val="28"/>
          <w:szCs w:val="28"/>
          <w:rtl/>
        </w:rPr>
        <w:t xml:space="preserve">۱. تهران؛ مجلس؛ شماره نسخه:۱۰۴۷۴</w:t>
      </w:r>
    </w:p>
    <w:p>
      <w:pPr>
        <w:pStyle w:val="BookText"/>
      </w:pPr>
      <w:r>
        <w:rPr>
          <w:rFonts w:ascii="IRNazanin" w:hAnsi="IRNazanin" w:eastAsia="IRNazanin" w:cs="IRNazanin"/>
          <w:lang w:bidi="fa-IR"/>
          <w:color w:val="111111"/>
          <w:sz w:val="28"/>
          <w:szCs w:val="28"/>
          <w:rtl/>
        </w:rPr>
        <w:t xml:space="preserve">آغاز: برابر؛ انجام: گواهی دو مرد عدل او اقرار دوبار و السلام علی من اتبع الهدی. خط: نسخ کهن، كا: يوسف بن محمد بن عیسی بن محمد، تا: ۱۳ محرم ۷۱۶ق؛ دارای سربرگ لوح زرین؛ جلد: تیماج قهوه ای با ترنج، ۱۶۷گ، ۲۵ سطر،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۳۳/۱ -۴۵]</w:t>
      </w:r>
    </w:p>
    <w:p>
      <w:pPr>
        <w:pStyle w:val="BookText"/>
      </w:pPr>
      <w:r>
        <w:rPr>
          <w:rFonts w:ascii="IRNazanin" w:hAnsi="IRNazanin" w:eastAsia="IRNazanin" w:cs="IRNazanin"/>
          <w:lang w:bidi="fa-IR"/>
          <w:color w:val="111111"/>
          <w:sz w:val="28"/>
          <w:szCs w:val="28"/>
          <w:rtl/>
        </w:rPr>
        <w:t xml:space="preserve">۲. تهران؛ مجلس؛ شماره نسخه: ۱۰۴۲۲</w:t>
      </w:r>
    </w:p>
    <w:p>
      <w:pPr>
        <w:pStyle w:val="BookText"/>
      </w:pPr>
      <w:r>
        <w:rPr>
          <w:rFonts w:ascii="IRNazanin" w:hAnsi="IRNazanin" w:eastAsia="IRNazanin" w:cs="IRNazanin"/>
          <w:lang w:bidi="fa-IR"/>
          <w:color w:val="111111"/>
          <w:sz w:val="28"/>
          <w:szCs w:val="28"/>
          <w:rtl/>
        </w:rPr>
        <w:t xml:space="preserve">خط: نستعلیق، بی کا، تا: قرن ۹ [مختصر ف: ۱۳۱]</w:t>
      </w:r>
    </w:p>
    <w:p>
      <w:pPr>
        <w:pStyle w:val="BookText"/>
      </w:pPr>
      <w:r>
        <w:rPr>
          <w:rFonts w:ascii="IRNazanin" w:hAnsi="IRNazanin" w:eastAsia="IRNazanin" w:cs="IRNazanin"/>
          <w:lang w:bidi="fa-IR"/>
          <w:color w:val="111111"/>
          <w:sz w:val="28"/>
          <w:szCs w:val="28"/>
          <w:rtl/>
        </w:rPr>
        <w:t xml:space="preserve">٣. تهران، سپهسالار؛ شماره نسخه: ۲۸۱۱</w:t>
      </w:r>
    </w:p>
    <w:p>
      <w:pPr>
        <w:pStyle w:val="BookText"/>
      </w:pPr>
      <w:r>
        <w:rPr>
          <w:rFonts w:ascii="IRNazanin" w:hAnsi="IRNazanin" w:eastAsia="IRNazanin" w:cs="IRNazanin"/>
          <w:lang w:bidi="fa-IR"/>
          <w:color w:val="111111"/>
          <w:sz w:val="28"/>
          <w:szCs w:val="28"/>
          <w:rtl/>
        </w:rPr>
        <w:t xml:space="preserve">خط: نستعلیق، بی کا، تا: قرن ۹، افتادگی: آغاز؛ برابر است با سطر ۱۶ صفحه ۴ چاپ اقبال تا پایان کتاب؛ کاغذ: سمرقندی نخودی، جلد: تیماج مشکی مقوایی، ۱۳۹، ۱۹ سطر،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۳-۳۱۰]</w:t>
      </w:r>
    </w:p>
    <w:p>
      <w:pPr>
        <w:pStyle w:val="BookText"/>
      </w:pPr>
      <w:r>
        <w:rPr>
          <w:rFonts w:ascii="IRNazanin" w:hAnsi="IRNazanin" w:eastAsia="IRNazanin" w:cs="IRNazanin"/>
          <w:lang w:bidi="fa-IR"/>
          <w:color w:val="111111"/>
          <w:sz w:val="28"/>
          <w:szCs w:val="28"/>
          <w:rtl/>
        </w:rPr>
        <w:t xml:space="preserve">۴. تهران: مجلس؛ شماره نسخه:۳۳۶۶/۷</w:t>
      </w:r>
    </w:p>
    <w:p>
      <w:pPr>
        <w:pStyle w:val="BookText"/>
      </w:pPr>
      <w:r>
        <w:rPr>
          <w:rFonts w:ascii="IRNazanin" w:hAnsi="IRNazanin" w:eastAsia="IRNazanin" w:cs="IRNazanin"/>
          <w:lang w:bidi="fa-IR"/>
          <w:color w:val="111111"/>
          <w:sz w:val="28"/>
          <w:szCs w:val="28"/>
          <w:rtl/>
        </w:rPr>
        <w:t xml:space="preserve">آغاز: برابر؛ انجام: و غیر ایشان گویند مذهب شافعی بهتر از آن دیگران بود زیرا که خویش (کلمه اخير زاده صفحه بعد است که در نسخه نیست). خط: نستعلیق، بی کا، تا: قرن ۱۰؛ افتادگی: انجام؛ کاغذ: سمرقندی شکری، جلد: تیماج قرمز، ۱۳۳ص (۷۰-۲۰۲)، قطع: خشتی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۱۰-۱۲۰۵]</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طبسی؛ شماره نسخه: ۶۷۱</w:t>
      </w:r>
    </w:p>
    <w:p>
      <w:pPr>
        <w:pStyle w:val="BookText"/>
      </w:pPr>
      <w:r>
        <w:rPr>
          <w:rFonts w:ascii="IRNazanin" w:hAnsi="IRNazanin" w:eastAsia="IRNazanin" w:cs="IRNazanin"/>
          <w:lang w:bidi="fa-IR"/>
          <w:color w:val="111111"/>
          <w:sz w:val="28"/>
          <w:szCs w:val="28"/>
          <w:rtl/>
        </w:rPr>
        <w:t xml:space="preserve">آغاز: در اصل فرق اسلام و مقالات ایشان پیغمبر ما محمد صلی الله عليه و آله و سلم گفته است که قوم يهود بعد از موسی علیه السلام بهفتاد و یک فرقه شدند و امت من بعد از من هفتاد و سه فرقه شوند؛ انجام: از مشهد بیرون نتوانند آمد ایشان لوازم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امام الجن و الانس بجایی آورده بسعادت زیارت مستعد گردند. خط: نستعلیق، بی کا، تا: قرن ۱۰؛ افتادگی: آغاز؛ جلد: مقوا، عطف پارچه، ۱۸۶ گ، ۱۵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مخ: ۱-۹۳]</w:t>
      </w:r>
    </w:p>
    <w:p>
      <w:pPr>
        <w:pStyle w:val="BookText"/>
      </w:pPr>
      <w:r>
        <w:rPr>
          <w:rFonts w:ascii="IRNazanin" w:hAnsi="IRNazanin" w:eastAsia="IRNazanin" w:cs="IRNazanin"/>
          <w:lang w:bidi="fa-IR"/>
          <w:color w:val="111111"/>
          <w:sz w:val="28"/>
          <w:szCs w:val="28"/>
          <w:rtl/>
        </w:rPr>
        <w:t xml:space="preserve">۶. مشهد؛ رضوی؛ شماره نسخه: ۹۷۱۰</w:t>
      </w:r>
    </w:p>
    <w:p>
      <w:pPr>
        <w:pStyle w:val="BookText"/>
      </w:pPr>
      <w:r>
        <w:rPr>
          <w:rFonts w:ascii="IRNazanin" w:hAnsi="IRNazanin" w:eastAsia="IRNazanin" w:cs="IRNazanin"/>
          <w:lang w:bidi="fa-IR"/>
          <w:color w:val="111111"/>
          <w:sz w:val="28"/>
          <w:szCs w:val="28"/>
          <w:rtl/>
        </w:rPr>
        <w:t xml:space="preserve">آغاز: برابر؛ انجام: پس عرش را بیافرید و گفت الرحمن على العرش استوی. از اول تا اوایل باب هفتم؛ خط: نستعلیق خوش، بی کا، تا: احتمالا قرن ۱۰؛ مجدول؛ واقف: خان بابا مشار؛ کاغذ: آهار مهره حنایی، جلد: تیماج مشکی ضربی، ۵۳گ، ۱۲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w:t>
      </w:r>
    </w:p>
    <w:p>
      <w:pPr>
        <w:pStyle w:val="BookText"/>
      </w:pPr>
      <w:r>
        <w:rPr>
          <w:rFonts w:ascii="IRNazanin" w:hAnsi="IRNazanin" w:eastAsia="IRNazanin" w:cs="IRNazanin"/>
          <w:lang w:bidi="fa-IR"/>
          <w:color w:val="111111"/>
          <w:sz w:val="28"/>
          <w:szCs w:val="28"/>
          <w:rtl/>
        </w:rPr>
        <w:t xml:space="preserve">۵۲-۱۱ ]</w:t>
      </w:r>
    </w:p>
    <w:p>
      <w:pPr>
        <w:pStyle w:val="BookText"/>
      </w:pPr>
      <w:r>
        <w:rPr>
          <w:rFonts w:ascii="IRNazanin" w:hAnsi="IRNazanin" w:eastAsia="IRNazanin" w:cs="IRNazanin"/>
          <w:lang w:bidi="fa-IR"/>
          <w:color w:val="111111"/>
          <w:sz w:val="28"/>
          <w:szCs w:val="28"/>
          <w:rtl/>
        </w:rPr>
        <w:t xml:space="preserve">۷. تهران؛ مجلس؛ شماره نسخه:۱۰۵۵۶</w:t>
      </w:r>
    </w:p>
    <w:p>
      <w:pPr>
        <w:pStyle w:val="BookText"/>
      </w:pPr>
      <w:r>
        <w:rPr>
          <w:rFonts w:ascii="IRNazanin" w:hAnsi="IRNazanin" w:eastAsia="IRNazanin" w:cs="IRNazanin"/>
          <w:lang w:bidi="fa-IR"/>
          <w:color w:val="111111"/>
          <w:sz w:val="28"/>
          <w:szCs w:val="28"/>
          <w:rtl/>
        </w:rPr>
        <w:t xml:space="preserve">آغاز: باب دوم در ذکر مقالات مجوس، بدانکه مذهب مجوس آنست که عالم را در صانع هست؛ انجام: حدیث هفدهم: گویند رسول (صلی الله علیه وآله وسلم)گفت در بهشت کوشکی دیدم از زر که مرا بشگفت آورد ...</w:t>
      </w:r>
    </w:p>
    <w:p>
      <w:pPr>
        <w:pStyle w:val="BookText"/>
      </w:pPr>
      <w:r>
        <w:rPr>
          <w:rFonts w:ascii="IRNazanin" w:hAnsi="IRNazanin" w:eastAsia="IRNazanin" w:cs="IRNazanin"/>
          <w:lang w:bidi="fa-IR"/>
          <w:color w:val="111111"/>
          <w:sz w:val="28"/>
          <w:szCs w:val="28"/>
          <w:rtl/>
        </w:rPr>
        <w:t xml:space="preserve">خط: نستعلیق، بی کا، تا: قرن ۱۰؛ افتادگی: آغاز و انجام؛ جلد: تیماج سبز، ۳۱۱گ، ۱۲ سطر،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 [ف: ۳۳/۱ -۹۵]</w:t>
      </w:r>
    </w:p>
    <w:p>
      <w:pPr>
        <w:pStyle w:val="BookText"/>
      </w:pPr>
      <w:r>
        <w:rPr>
          <w:rFonts w:ascii="IRNazanin" w:hAnsi="IRNazanin" w:eastAsia="IRNazanin" w:cs="IRNazanin"/>
          <w:lang w:bidi="fa-IR"/>
          <w:color w:val="111111"/>
          <w:sz w:val="28"/>
          <w:szCs w:val="28"/>
          <w:rtl/>
        </w:rPr>
        <w:t xml:space="preserve">۸. مشهد؛ گوهرشاد؛ شماره نسخه:۱۵۷۴</w:t>
      </w:r>
    </w:p>
    <w:p>
      <w:pPr>
        <w:pStyle w:val="BookText"/>
      </w:pPr>
      <w:r>
        <w:rPr>
          <w:rFonts w:ascii="IRNazanin" w:hAnsi="IRNazanin" w:eastAsia="IRNazanin" w:cs="IRNazanin"/>
          <w:lang w:bidi="fa-IR"/>
          <w:color w:val="111111"/>
          <w:sz w:val="28"/>
          <w:szCs w:val="28"/>
          <w:rtl/>
        </w:rPr>
        <w:t xml:space="preserve">آغاز: برابر؛ انجام: یعنی خود را آل محمد است نزد آن مهدی ظاهر شود و الحمدلله ... و آله الطاهرین. خط: نستعلیق، بی کا، تا: چهارشنبه ۱۱ ربیع الثانی ۹۳۴ق؛ تملك: محمود بن خضر بن جعفر جزایری؛ جلد: تیماج مشکی با ترنج و نیم ترنج، ۱۵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۴-۲۱۲۴]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سپهسالار؛ شماره نسخه:۶۵۷۸</w:t>
      </w:r>
    </w:p>
    <w:p>
      <w:pPr>
        <w:pStyle w:val="BookText"/>
      </w:pPr>
      <w:r>
        <w:rPr>
          <w:rFonts w:ascii="IRNazanin" w:hAnsi="IRNazanin" w:eastAsia="IRNazanin" w:cs="IRNazanin"/>
          <w:lang w:bidi="fa-IR"/>
          <w:color w:val="111111"/>
          <w:sz w:val="28"/>
          <w:szCs w:val="28"/>
          <w:rtl/>
        </w:rPr>
        <w:t xml:space="preserve">تا پایان باب ۲۴ دارد و باقی را ندارد و از نظر مطلب برابر چاپ اقبال است. دیباچه این نسخه جز دیباچه چاپ اقبال است و عبارات نیز دگر گون است. در دیباچه نام کتاب هست و نام مؤلف نیست و در کنار صفحه به خط تازه افزوده شده: «این ضعیف مرتضى الملقب به علم الهدی» و در کناره پایان نسخه، عبدالحسین بافقی رساله را به خواجه نصیر منسوب داشته است؛ خط: نستعلیق، بی کا، تا: ۹۶۷ق؛ کاغذ: سپاهانی، جلد: مقوا، ۱۴۲گ، ۱۷ سطر، اندازه: ۱۷/۵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۲۳/۵ سم [ف: ۳-۳۱۰]</w:t>
      </w:r>
    </w:p>
    <w:p>
      <w:pPr>
        <w:pStyle w:val="BookText"/>
      </w:pPr>
      <w:r>
        <w:rPr>
          <w:rFonts w:ascii="IRNazanin" w:hAnsi="IRNazanin" w:eastAsia="IRNazanin" w:cs="IRNazanin"/>
          <w:lang w:bidi="fa-IR"/>
          <w:color w:val="111111"/>
          <w:sz w:val="28"/>
          <w:szCs w:val="28"/>
          <w:rtl/>
        </w:rPr>
        <w:t xml:space="preserve">۱۰. قم؛ مرعشی؛ شماره نسخه:۸۹۴۸</w:t>
      </w:r>
    </w:p>
    <w:p>
      <w:pPr>
        <w:pStyle w:val="BookText"/>
      </w:pPr>
      <w:r>
        <w:rPr>
          <w:rFonts w:ascii="IRNazanin" w:hAnsi="IRNazanin" w:eastAsia="IRNazanin" w:cs="IRNazanin"/>
          <w:lang w:bidi="fa-IR"/>
          <w:color w:val="111111"/>
          <w:sz w:val="28"/>
          <w:szCs w:val="28"/>
          <w:rtl/>
        </w:rPr>
        <w:t xml:space="preserve">خط: نستعلیق خوش، بی کا، تا: ۹۹۲ق؛ مجدول؛ تملک: حسنعلی اصفهانی به تاریخ ربيع الثانی ۱۰۳۲؛ جلد: تیماج قرمز، ۲۴۵گ، ۱۵ سطر، اندازه: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۱۲/۵سم [ف: ۲۳-۱۲۰]</w:t>
      </w:r>
    </w:p>
    <w:p>
      <w:pPr>
        <w:pStyle w:val="BookText"/>
      </w:pPr>
      <w:r>
        <w:rPr>
          <w:rFonts w:ascii="IRNazanin" w:hAnsi="IRNazanin" w:eastAsia="IRNazanin" w:cs="IRNazanin"/>
          <w:lang w:bidi="fa-IR"/>
          <w:color w:val="111111"/>
          <w:sz w:val="28"/>
          <w:szCs w:val="28"/>
          <w:rtl/>
        </w:rPr>
        <w:t xml:space="preserve">۱۱. تهران؛ دانشگاه؛ شماره نسخه: ۳۳۵۲</w:t>
      </w:r>
    </w:p>
    <w:p>
      <w:pPr>
        <w:pStyle w:val="BookText"/>
      </w:pPr>
      <w:r>
        <w:rPr>
          <w:rFonts w:ascii="IRNazanin" w:hAnsi="IRNazanin" w:eastAsia="IRNazanin" w:cs="IRNazanin"/>
          <w:lang w:bidi="fa-IR"/>
          <w:color w:val="111111"/>
          <w:sz w:val="28"/>
          <w:szCs w:val="28"/>
          <w:rtl/>
        </w:rPr>
        <w:t xml:space="preserve">در این فهرست نام مؤلف ذکر نشده است؛ خط: نستعلیق، بی کا، تا: قرن ۱۰ و ۱۱؛ افتادگی: آغاز و انجام؛ برابر با س ۲ ص ۸ تا س آخر ص ۲۲۷ چاپ اقبال (باب ۱-۲۳) کاغذ: سمرقندی، جلد: تیماج مشکی، ۱۷۶گ، ۱۵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۱۲سم[ف: ۲۳۵۳-11]</w:t>
      </w:r>
    </w:p>
    <w:p>
      <w:pPr>
        <w:pStyle w:val="BookText"/>
      </w:pPr>
      <w:r>
        <w:rPr>
          <w:rFonts w:ascii="IRNazanin" w:hAnsi="IRNazanin" w:eastAsia="IRNazanin" w:cs="IRNazanin"/>
          <w:lang w:bidi="fa-IR"/>
          <w:color w:val="111111"/>
          <w:sz w:val="28"/>
          <w:szCs w:val="28"/>
          <w:rtl/>
        </w:rPr>
        <w:t xml:space="preserve">۱۲. قم؛ مرکز احیاء؛ شماره نسخه:۲۵۹۷</w:t>
      </w:r>
    </w:p>
    <w:p>
      <w:pPr>
        <w:pStyle w:val="BookText"/>
      </w:pPr>
      <w:r>
        <w:rPr>
          <w:rFonts w:ascii="IRNazanin" w:hAnsi="IRNazanin" w:eastAsia="IRNazanin" w:cs="IRNazanin"/>
          <w:lang w:bidi="fa-IR"/>
          <w:color w:val="111111"/>
          <w:sz w:val="28"/>
          <w:szCs w:val="28"/>
          <w:rtl/>
        </w:rPr>
        <w:t xml:space="preserve">آغاز: برابر؛ انجام: و از او چند فرزند بیارد و بعد از چند سال مرد از سفر باز آمد خط: نستعلیق، بی کا، تا: قرن ۱۱؛ افتادگی: انجام؛ مصحح؛ مهر: «العبد المذنب رمضان على» (مربع)؛ جلد: تیماج مشکی، ۱۹۸گ، ۱۵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 محدث ارموی مخ: ۱-۲۷۴]</w:t>
      </w:r>
    </w:p>
    <w:p>
      <w:pPr>
        <w:pStyle w:val="BookText"/>
      </w:pPr>
      <w:r>
        <w:rPr>
          <w:rFonts w:ascii="IRNazanin" w:hAnsi="IRNazanin" w:eastAsia="IRNazanin" w:cs="IRNazanin"/>
          <w:lang w:bidi="fa-IR"/>
          <w:color w:val="111111"/>
          <w:sz w:val="28"/>
          <w:szCs w:val="28"/>
          <w:rtl/>
        </w:rPr>
        <w:t xml:space="preserve">۱۳. تهران؛ ملی؛ شماره نسخه: ۲۰۹۹</w:t>
      </w:r>
    </w:p>
    <w:p>
      <w:pPr>
        <w:pStyle w:val="BookText"/>
      </w:pPr>
      <w:r>
        <w:rPr>
          <w:rFonts w:ascii="IRNazanin" w:hAnsi="IRNazanin" w:eastAsia="IRNazanin" w:cs="IRNazanin"/>
          <w:lang w:bidi="fa-IR"/>
          <w:color w:val="111111"/>
          <w:sz w:val="28"/>
          <w:szCs w:val="28"/>
          <w:rtl/>
        </w:rPr>
        <w:t xml:space="preserve">آغاز: برابر؛ انجام: گواهی دو مرد عدل او به اقرار دو بار و السلام على من اتبع الهدی خط: نستعلیق، بی کا، تا: محتملا قرن ۱۱؛ مجدول؛ کاغذ: بخارایی، جلد: تیماج مشکی، ۲۶۳گ، ۱۴۰ سطر (۵/۵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۱۲/۵)،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۵-۱۱۱]</w:t>
      </w:r>
    </w:p>
    <w:p>
      <w:pPr>
        <w:pStyle w:val="BookText"/>
      </w:pPr>
      <w:r>
        <w:rPr>
          <w:rFonts w:ascii="IRNazanin" w:hAnsi="IRNazanin" w:eastAsia="IRNazanin" w:cs="IRNazanin"/>
          <w:lang w:bidi="fa-IR"/>
          <w:color w:val="111111"/>
          <w:sz w:val="28"/>
          <w:szCs w:val="28"/>
          <w:rtl/>
        </w:rPr>
        <w:t xml:space="preserve">۱۴. تهران؛ مجلس؛ شماره نسخه:۲۹۴</w:t>
      </w:r>
    </w:p>
    <w:p>
      <w:pPr>
        <w:pStyle w:val="BookText"/>
      </w:pPr>
      <w:r>
        <w:rPr>
          <w:rFonts w:ascii="IRNazanin" w:hAnsi="IRNazanin" w:eastAsia="IRNazanin" w:cs="IRNazanin"/>
          <w:lang w:bidi="fa-IR"/>
          <w:color w:val="111111"/>
          <w:sz w:val="28"/>
          <w:szCs w:val="28"/>
          <w:rtl/>
        </w:rPr>
        <w:t xml:space="preserve">خط: نستعلیق، بی کا، تا: قرن ۱۰ و ۱۱؛ صفحه آخر نونویس» گویا» از بیانی است؛ تملك: سید محمد علی طباطبائی نیماد فتوحی؛ کاغذ: سفید، جلد: تیماج قهوه ای، ۱۸۳، ۱۷ سطر</w:t>
      </w:r>
    </w:p>
    <w:p>
      <w:pPr>
        <w:pStyle w:val="BookText"/>
      </w:pPr>
      <w:r>
        <w:rPr>
          <w:rFonts w:ascii="IRNazanin" w:hAnsi="IRNazanin" w:eastAsia="IRNazanin" w:cs="IRNazanin"/>
          <w:lang w:bidi="fa-IR"/>
          <w:color w:val="111111"/>
          <w:sz w:val="28"/>
          <w:szCs w:val="28"/>
          <w:rtl/>
        </w:rPr>
        <w:t xml:space="preserve">(۱۴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[سنا: ف: ۱- ۱۴۹]</w:t>
      </w:r>
    </w:p>
    <w:p>
      <w:pPr>
        <w:pStyle w:val="BookText"/>
      </w:pPr>
      <w:r>
        <w:rPr>
          <w:rFonts w:ascii="IRNazanin" w:hAnsi="IRNazanin" w:eastAsia="IRNazanin" w:cs="IRNazanin"/>
          <w:lang w:bidi="fa-IR"/>
          <w:color w:val="111111"/>
          <w:sz w:val="28"/>
          <w:szCs w:val="28"/>
          <w:rtl/>
        </w:rPr>
        <w:t xml:space="preserve">۱۵. تهران؛ مجلس؛ شماره نسخه:۱۰۵۶ ط</w:t>
      </w:r>
    </w:p>
    <w:p>
      <w:pPr>
        <w:pStyle w:val="BookText"/>
      </w:pPr>
      <w:r>
        <w:rPr>
          <w:rFonts w:ascii="IRNazanin" w:hAnsi="IRNazanin" w:eastAsia="IRNazanin" w:cs="IRNazanin"/>
          <w:lang w:bidi="fa-IR"/>
          <w:color w:val="111111"/>
          <w:sz w:val="28"/>
          <w:szCs w:val="28"/>
          <w:rtl/>
        </w:rPr>
        <w:t xml:space="preserve">آغاز: خسیسند و گویند هر ملائکه جبار که در آسمانند پادشاهی بودند بزرگ؛ انجام: اما آنچه می گویند از علامات اهل بدعت یکی آن بود که خط: نستعلیق تحریری، بی کا، تا: قرن ۱۱؛ افتادگی: آغاز و انجام؛ کاغذ: فرنگی، جلد: تیماج مشکی، ۱۵۲گ، ۱۵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سم [ف: ۲۴/۲ -۱۲۱]</w:t>
      </w:r>
    </w:p>
    <w:p>
      <w:pPr>
        <w:pStyle w:val="BookText"/>
      </w:pPr>
      <w:r>
        <w:rPr>
          <w:rFonts w:ascii="IRNazanin" w:hAnsi="IRNazanin" w:eastAsia="IRNazanin" w:cs="IRNazanin"/>
          <w:lang w:bidi="fa-IR"/>
          <w:color w:val="111111"/>
          <w:sz w:val="28"/>
          <w:szCs w:val="28"/>
          <w:rtl/>
        </w:rPr>
        <w:t xml:space="preserve">۱۶. قم؛ مرکز احیاء؛ شماره نسخه: ۲۸۴۲</w:t>
      </w:r>
    </w:p>
    <w:p>
      <w:pPr>
        <w:pStyle w:val="BookText"/>
      </w:pPr>
      <w:r>
        <w:rPr>
          <w:rFonts w:ascii="IRNazanin" w:hAnsi="IRNazanin" w:eastAsia="IRNazanin" w:cs="IRNazanin"/>
          <w:lang w:bidi="fa-IR"/>
          <w:color w:val="111111"/>
          <w:sz w:val="28"/>
          <w:szCs w:val="28"/>
          <w:rtl/>
        </w:rPr>
        <w:t xml:space="preserve">خط: نستعلیق، بی کا، تا: قرن ۱۱؛ مصحح، بعضی اوراق ترمیم و به تاریخ شوال ۱۲۵۵ ق بازنویس شده ولی اصل نسخه از قرن یازدهم است؛ تملك: «محمد علي بن حاجی رضا» با مهر «عبده الراجی محمد علی» (بیضوی)؛ جلد: تیماج مشکی، ۱۲۳ گ، ۱۷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سم [ محدث ارموی مخ: ۱-۲۷۴]</w:t>
      </w:r>
    </w:p>
    <w:p>
      <w:pPr>
        <w:pStyle w:val="BookText"/>
      </w:pPr>
      <w:r>
        <w:rPr>
          <w:rFonts w:ascii="IRNazanin" w:hAnsi="IRNazanin" w:eastAsia="IRNazanin" w:cs="IRNazanin"/>
          <w:lang w:bidi="fa-IR"/>
          <w:color w:val="111111"/>
          <w:sz w:val="28"/>
          <w:szCs w:val="28"/>
          <w:rtl/>
        </w:rPr>
        <w:t xml:space="preserve">۱۷. مشهد؛ رضوی؛ شماره نسخه:۱۹۰۰۴</w:t>
      </w:r>
    </w:p>
    <w:p>
      <w:pPr>
        <w:pStyle w:val="BookText"/>
      </w:pPr>
      <w:r>
        <w:rPr>
          <w:rFonts w:ascii="IRNazanin" w:hAnsi="IRNazanin" w:eastAsia="IRNazanin" w:cs="IRNazanin"/>
          <w:lang w:bidi="fa-IR"/>
          <w:color w:val="111111"/>
          <w:sz w:val="28"/>
          <w:szCs w:val="28"/>
          <w:rtl/>
        </w:rPr>
        <w:t xml:space="preserve">آغاز: و غم و شادی ...... منزه است از همه عیبها؛ انجام: مستغنی است از جمله مخلوق احتیاج همه بر او و او از ... این جماعت وجه. خط: نستعلیق شکسته، بی کا، تا: قرن ۱۱؛ افتادگی: آغاز و انجام؛ کاغذ: نخودی، فاقد جلد، ۱۲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[رایانه ]</w:t>
      </w:r>
    </w:p>
    <w:p>
      <w:pPr>
        <w:pStyle w:val="BookText"/>
      </w:pPr>
      <w:r>
        <w:rPr>
          <w:rFonts w:ascii="IRNazanin" w:hAnsi="IRNazanin" w:eastAsia="IRNazanin" w:cs="IRNazanin"/>
          <w:lang w:bidi="fa-IR"/>
          <w:color w:val="111111"/>
          <w:sz w:val="28"/>
          <w:szCs w:val="28"/>
          <w:rtl/>
        </w:rPr>
        <w:t xml:space="preserve">۱۸. مشهد؛ رضوی؛ شماره نسخه: ۱۳۱۱۲</w:t>
      </w:r>
    </w:p>
    <w:p>
      <w:pPr>
        <w:pStyle w:val="BookText"/>
      </w:pPr>
      <w:r>
        <w:rPr>
          <w:rFonts w:ascii="IRNazanin" w:hAnsi="IRNazanin" w:eastAsia="IRNazanin" w:cs="IRNazanin"/>
          <w:lang w:bidi="fa-IR"/>
          <w:color w:val="111111"/>
          <w:sz w:val="28"/>
          <w:szCs w:val="28"/>
          <w:rtl/>
        </w:rPr>
        <w:t xml:space="preserve">آغاز: صلوات و تحیات بر جان پاک و مطهر؛ انجام: موجود از در خانه بدین عظمت گذر خط: نستعلیق، بی کا، تا قرن ۱۱؛ افتادگی: آغاز و انجام کاغذ:نخودی، جلد: میشن، ۲۰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[الفبائی: ۱۰۱]</w:t>
      </w:r>
    </w:p>
    <w:p>
      <w:pPr>
        <w:pStyle w:val="BookText"/>
      </w:pPr>
      <w:r>
        <w:rPr>
          <w:rFonts w:ascii="Amiri" w:hAnsi="Amiri" w:eastAsia="Amiri" w:cs="Amiri"/>
          <w:lang w:bidi="ar-SA"/>
          <w:color w:val="111111"/>
          <w:sz w:val="28"/>
          <w:szCs w:val="28"/>
          <w:rtl/>
        </w:rPr>
        <w:t xml:space="preserve">۱۹. تهران؛ دائرة المعارف؛ شماره نسخه:۸۴۷</w:t>
      </w:r>
    </w:p>
    <w:p>
      <w:pPr>
        <w:pStyle w:val="BookText"/>
      </w:pPr>
      <w:r>
        <w:rPr>
          <w:rFonts w:ascii="IRNazanin" w:hAnsi="IRNazanin" w:eastAsia="IRNazanin" w:cs="IRNazanin"/>
          <w:lang w:bidi="fa-IR"/>
          <w:color w:val="111111"/>
          <w:sz w:val="28"/>
          <w:szCs w:val="28"/>
          <w:rtl/>
        </w:rPr>
        <w:t xml:space="preserve">آغاز: از پایان باب چهارم:سب خدای تعالی کرده باشد؛ انجام: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شریح از شاگردان شافعی بود گوید ... خط: نستعلیق پخته، بی کا، تا: قرن ۱۱؛ افتادگی: آغاز و انجام؛ مجدول؛ جلد: مقوایی کاغذ روغنی پوشانیده، ۱۳۱، ۱۷سطر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۲-۳۷]</w:t>
      </w:r>
    </w:p>
    <w:p>
      <w:pPr>
        <w:pStyle w:val="BookText"/>
      </w:pPr>
      <w:r>
        <w:rPr>
          <w:rFonts w:ascii="IRNazanin" w:hAnsi="IRNazanin" w:eastAsia="IRNazanin" w:cs="IRNazanin"/>
          <w:lang w:bidi="fa-IR"/>
          <w:color w:val="111111"/>
          <w:sz w:val="28"/>
          <w:szCs w:val="28"/>
          <w:rtl/>
        </w:rPr>
        <w:t xml:space="preserve">۲۰. تهران، دانشگاه؛ شماره نسخه:۶۴۱۳</w:t>
      </w:r>
    </w:p>
    <w:p>
      <w:pPr>
        <w:pStyle w:val="BookText"/>
      </w:pPr>
      <w:r>
        <w:rPr>
          <w:rFonts w:ascii="IRNazanin" w:hAnsi="IRNazanin" w:eastAsia="IRNazanin" w:cs="IRNazanin"/>
          <w:lang w:bidi="fa-IR"/>
          <w:color w:val="111111"/>
          <w:sz w:val="28"/>
          <w:szCs w:val="28"/>
          <w:rtl/>
        </w:rPr>
        <w:t xml:space="preserve">خط: نستعلیق، بی کا، تا: قرن ۱۰ و ۱۱؛ افتادگی: آغاز و انجام؛ کاغذ: سپاهانی، جلد: تیماج تریاکی، ۲۱۶گ، ۱۵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۱۶-۲۶۱]</w:t>
      </w:r>
    </w:p>
    <w:p>
      <w:pPr>
        <w:pStyle w:val="BookText"/>
      </w:pPr>
      <w:r>
        <w:rPr>
          <w:rFonts w:ascii="IRNazanin" w:hAnsi="IRNazanin" w:eastAsia="IRNazanin" w:cs="IRNazanin"/>
          <w:lang w:bidi="fa-IR"/>
          <w:color w:val="111111"/>
          <w:sz w:val="28"/>
          <w:szCs w:val="28"/>
          <w:rtl/>
        </w:rPr>
        <w:t xml:space="preserve">۲۱. تهران: ادبیات، شماره نسخه: ۱۴۱/۱</w:t>
      </w:r>
    </w:p>
    <w:p>
      <w:pPr>
        <w:pStyle w:val="BookText"/>
      </w:pPr>
      <w:r>
        <w:rPr>
          <w:rFonts w:ascii="IRNazanin" w:hAnsi="IRNazanin" w:eastAsia="IRNazanin" w:cs="IRNazanin"/>
          <w:lang w:bidi="fa-IR"/>
          <w:color w:val="111111"/>
          <w:sz w:val="28"/>
          <w:szCs w:val="28"/>
          <w:rtl/>
        </w:rPr>
        <w:t xml:space="preserve">خط: نستعلیق، كا: محيي الدين، تا: چهارشنبه ۹ ذیقعده ۱۰۱۴ق [ف: ۳-۳۰]</w:t>
      </w:r>
    </w:p>
    <w:p>
      <w:pPr>
        <w:pStyle w:val="BookText"/>
      </w:pPr>
      <w:r>
        <w:rPr>
          <w:rFonts w:ascii="IRNazanin" w:hAnsi="IRNazanin" w:eastAsia="IRNazanin" w:cs="IRNazanin"/>
          <w:lang w:bidi="fa-IR"/>
          <w:color w:val="111111"/>
          <w:sz w:val="28"/>
          <w:szCs w:val="28"/>
          <w:rtl/>
        </w:rPr>
        <w:t xml:space="preserve">۲۲. تهران؛ مجلس؛ شماره نسخه:۲۰۵۵</w:t>
      </w:r>
    </w:p>
    <w:p>
      <w:pPr>
        <w:pStyle w:val="BookText"/>
      </w:pPr>
      <w:r>
        <w:rPr>
          <w:rFonts w:ascii="IRNazanin" w:hAnsi="IRNazanin" w:eastAsia="IRNazanin" w:cs="IRNazanin"/>
          <w:lang w:bidi="fa-IR"/>
          <w:color w:val="111111"/>
          <w:sz w:val="28"/>
          <w:szCs w:val="28"/>
          <w:rtl/>
        </w:rPr>
        <w:t xml:space="preserve">آغاز: بدانکه مدت مدیدی بود که جماعتی از سادات و غيرهم؛ انجام: من الجهل و العمى و وقینا من اتباع الهوى فانه ولی ذلک. خط: تحریری، بی کا، تا: ۱۰۲۳ق؛ افتادگی: آغاز یک صفحه از خطبه را ندارد)؛ کاغذ: اصفهانی شکری آهار مهره، جلد: میشن خرمایی، ۳۵۴، ۱۷ سطر، اندازه: ۱۳/۵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۲۳/۵ سم [ف: ۶-۵۲]</w:t>
      </w:r>
    </w:p>
    <w:p>
      <w:pPr>
        <w:pStyle w:val="BookText"/>
      </w:pPr>
      <w:r>
        <w:rPr>
          <w:rFonts w:ascii="IRNazanin" w:hAnsi="IRNazanin" w:eastAsia="IRNazanin" w:cs="IRNazanin"/>
          <w:lang w:bidi="fa-IR"/>
          <w:color w:val="111111"/>
          <w:sz w:val="28"/>
          <w:szCs w:val="28"/>
          <w:rtl/>
        </w:rPr>
        <w:t xml:space="preserve">۲۳. قم؛ فیضیه؛ شماره نسخه:۱۶۱۳</w:t>
      </w:r>
    </w:p>
    <w:p>
      <w:pPr>
        <w:pStyle w:val="BookText"/>
      </w:pPr>
      <w:r>
        <w:rPr>
          <w:rFonts w:ascii="IRNazanin" w:hAnsi="IRNazanin" w:eastAsia="IRNazanin" w:cs="IRNazanin"/>
          <w:lang w:bidi="fa-IR"/>
          <w:color w:val="111111"/>
          <w:sz w:val="28"/>
          <w:szCs w:val="28"/>
          <w:rtl/>
        </w:rPr>
        <w:t xml:space="preserve">آغاز: برابر، انجام: تم الكتاب ... من تصنيف ... سید مرتضی المقلب بعلم الهدی خط: نستعلیق، بی کا، تا: ۱۰۲۵ق؛ تملک: بديع الزمان در ۱۰۲۵، امیر فضل الله الحسینی بن میر محمد در ۱۰۷۹؛ ۲۰۰گ، ۱۹سطر،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سم [ف: ۲-۱۹]</w:t>
      </w:r>
    </w:p>
    <w:p>
      <w:pPr>
        <w:pStyle w:val="BookText"/>
      </w:pPr>
      <w:r>
        <w:rPr>
          <w:rFonts w:ascii="IRNazanin" w:hAnsi="IRNazanin" w:eastAsia="IRNazanin" w:cs="IRNazanin"/>
          <w:lang w:bidi="fa-IR"/>
          <w:color w:val="111111"/>
          <w:sz w:val="28"/>
          <w:szCs w:val="28"/>
          <w:rtl/>
        </w:rPr>
        <w:t xml:space="preserve">۲۴. تهران؛ مجلس؛ شماره نسخه:۱۰۲۱۰</w:t>
      </w:r>
    </w:p>
    <w:p>
      <w:pPr>
        <w:pStyle w:val="BookText"/>
      </w:pPr>
      <w:r>
        <w:rPr>
          <w:rFonts w:ascii="IRNazanin" w:hAnsi="IRNazanin" w:eastAsia="IRNazanin" w:cs="IRNazanin"/>
          <w:lang w:bidi="fa-IR"/>
          <w:color w:val="111111"/>
          <w:sz w:val="28"/>
          <w:szCs w:val="28"/>
          <w:rtl/>
        </w:rPr>
        <w:t xml:space="preserve">خط: نسخ، بی کا، تا: ۲۰ جمادی الثانی ۱۰۳۰ ق [مختصر ف: ۱۳۱]</w:t>
      </w:r>
    </w:p>
    <w:p>
      <w:pPr>
        <w:pStyle w:val="BookText"/>
      </w:pPr>
      <w:r>
        <w:rPr>
          <w:rFonts w:ascii="IRNazanin" w:hAnsi="IRNazanin" w:eastAsia="IRNazanin" w:cs="IRNazanin"/>
          <w:lang w:bidi="fa-IR"/>
          <w:color w:val="111111"/>
          <w:sz w:val="28"/>
          <w:szCs w:val="28"/>
          <w:rtl/>
        </w:rPr>
        <w:t xml:space="preserve">۲۵. تهران؛ مجلس؛ شماره نسخه:۱۰۲۱۰</w:t>
      </w:r>
    </w:p>
    <w:p>
      <w:pPr>
        <w:pStyle w:val="BookText"/>
      </w:pPr>
      <w:r>
        <w:rPr>
          <w:rFonts w:ascii="IRNazanin" w:hAnsi="IRNazanin" w:eastAsia="IRNazanin" w:cs="IRNazanin"/>
          <w:lang w:bidi="fa-IR"/>
          <w:color w:val="111111"/>
          <w:sz w:val="28"/>
          <w:szCs w:val="28"/>
          <w:rtl/>
        </w:rPr>
        <w:t xml:space="preserve">آغاز: و نظیر و یارو وزیر و مشیر و زن و فرزند؛ انجام: اعاذنا الله من الجهل و العمى و وقانا ...... و آله الطاهرين اجمعين. خط: نسخ، بی کا، تا: ۲۰ جمادی الثانی ۱۰۳۰ق؛ افتادگی: آغاز؛ مهر: «محمد باقر بن محمد تقی الموسوی» (بیضوی)، در زیر انجامه كاتب مهر «عبده محمد علی» (بیضوی) و «رفعناه مكانا عليا» (بیضوی)؛ یادداشت ع. روحی اصفهان اردیبهشت ۱۳۱۰ق؛ جلد: تیماج جگری با عطف قهوه ای، ۱۹ سطر، اندازه: ۲۴/۵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w:t>
      </w:r>
    </w:p>
    <w:p>
      <w:pPr>
        <w:pStyle w:val="BookText"/>
      </w:pPr>
      <w:r>
        <w:rPr>
          <w:rFonts w:ascii="IRNazanin" w:hAnsi="IRNazanin" w:eastAsia="IRNazanin" w:cs="IRNazanin"/>
          <w:lang w:bidi="fa-IR"/>
          <w:color w:val="111111"/>
          <w:sz w:val="28"/>
          <w:szCs w:val="28"/>
          <w:rtl/>
        </w:rPr>
        <w:t xml:space="preserve">سم [ف: ۳۲-۲۵۵]</w:t>
      </w:r>
    </w:p>
    <w:p>
      <w:pPr>
        <w:pStyle w:val="BookText"/>
      </w:pPr>
      <w:r>
        <w:rPr>
          <w:rFonts w:ascii="IRNazanin" w:hAnsi="IRNazanin" w:eastAsia="IRNazanin" w:cs="IRNazanin"/>
          <w:lang w:bidi="fa-IR"/>
          <w:color w:val="111111"/>
          <w:sz w:val="28"/>
          <w:szCs w:val="28"/>
          <w:rtl/>
        </w:rPr>
        <w:t xml:space="preserve">۲۶. قم؛ مرعشی؛ شماره نسخه:۳۰۰۸/۹ حاشیه</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ابوالحسن بهاری، تا: دوشنبه صفر ۱۰۴۵ تا ۹ رجب ۱۰۴۹؛ جلد: تیماج مشکی، ۴۴گ (۱۶۲ر۲۰۵)، ۲۵ سطر،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۸-۱۸۷]</w:t>
      </w:r>
    </w:p>
    <w:p>
      <w:pPr>
        <w:pStyle w:val="BookText"/>
      </w:pPr>
      <w:r>
        <w:rPr>
          <w:rFonts w:ascii="IRNazanin" w:hAnsi="IRNazanin" w:eastAsia="IRNazanin" w:cs="IRNazanin"/>
          <w:lang w:bidi="fa-IR"/>
          <w:color w:val="111111"/>
          <w:sz w:val="28"/>
          <w:szCs w:val="28"/>
          <w:rtl/>
        </w:rPr>
        <w:t xml:space="preserve">۲۷. اردکان یزد؛ امام صادق؛ شماره نسخه: ۳۱۰</w:t>
      </w:r>
    </w:p>
    <w:p>
      <w:pPr>
        <w:pStyle w:val="BookText"/>
      </w:pPr>
      <w:r>
        <w:rPr>
          <w:rFonts w:ascii="IRNazanin" w:hAnsi="IRNazanin" w:eastAsia="IRNazanin" w:cs="IRNazanin"/>
          <w:lang w:bidi="fa-IR"/>
          <w:color w:val="111111"/>
          <w:sz w:val="28"/>
          <w:szCs w:val="28"/>
          <w:rtl/>
        </w:rPr>
        <w:t xml:space="preserve">خط: نستعلیق، كا: عبدالعلی نائینی، تا: اواخر ربيع الأول ۱۰۴۶ق؛ افتادگی: آغاز؛ اشعاری به فارسی از حکیم ازرقی و میر محمد باقر و حدیقه سنائی و مظهر استر آبادی و امینا به خط کاتب به سال ۱۰۴۶، نیز اشعاری از عراقی و بابا رجب بالاكتی؛ اهدائی: ورثه امام زاده؛ جلد: تیماج قهوه ای، ۱۷۰گ، ۱۳ سطر، اندازه: ۱۲/۵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سم [ف: ۲-۵۴]</w:t>
      </w:r>
    </w:p>
    <w:p>
      <w:pPr>
        <w:pStyle w:val="BookText"/>
      </w:pPr>
      <w:r>
        <w:rPr>
          <w:rFonts w:ascii="IRNazanin" w:hAnsi="IRNazanin" w:eastAsia="IRNazanin" w:cs="IRNazanin"/>
          <w:lang w:bidi="fa-IR"/>
          <w:color w:val="111111"/>
          <w:sz w:val="28"/>
          <w:szCs w:val="28"/>
          <w:rtl/>
        </w:rPr>
        <w:t xml:space="preserve">۲۸. قم، گلپایگانی؛ شماره نسخه: ۱۵۵۲- ۹/۱۰۲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از اول تا آخر؛ خط: نستعلیق، كا: محمد مقیم، تا: غره جمادی الاول ۱۰۴۶ق. مجدول، با سرلوح مزدوج زرین و لاجوردی؛ جلد: تیماج قهوه ای، ۱۸۰ گ، ۱۸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۲-۷۰۸]</w:t>
      </w:r>
    </w:p>
    <w:p>
      <w:pPr>
        <w:pStyle w:val="BookText"/>
      </w:pPr>
      <w:r>
        <w:rPr>
          <w:rFonts w:ascii="IRNazanin" w:hAnsi="IRNazanin" w:eastAsia="IRNazanin" w:cs="IRNazanin"/>
          <w:lang w:bidi="fa-IR"/>
          <w:color w:val="111111"/>
          <w:sz w:val="28"/>
          <w:szCs w:val="28"/>
          <w:rtl/>
        </w:rPr>
        <w:t xml:space="preserve">۲۹. کرمانشاه؛ نجومی؛ شماره نسخه:بدون شماره</w:t>
      </w:r>
    </w:p>
    <w:p>
      <w:pPr>
        <w:pStyle w:val="BookText"/>
      </w:pPr>
      <w:r>
        <w:rPr>
          <w:rFonts w:ascii="IRNazanin" w:hAnsi="IRNazanin" w:eastAsia="IRNazanin" w:cs="IRNazanin"/>
          <w:lang w:bidi="fa-IR"/>
          <w:color w:val="111111"/>
          <w:sz w:val="28"/>
          <w:szCs w:val="28"/>
          <w:rtl/>
        </w:rPr>
        <w:t xml:space="preserve">بی کا، تا: جمعه ۲۲ جمادی الاول ۱۰۵۶ق [دليل المخطوطات: ۱-۲۲۱]</w:t>
      </w:r>
    </w:p>
    <w:p>
      <w:pPr>
        <w:pStyle w:val="BookText"/>
      </w:pPr>
      <w:r>
        <w:rPr>
          <w:rFonts w:ascii="IRNazanin" w:hAnsi="IRNazanin" w:eastAsia="IRNazanin" w:cs="IRNazanin"/>
          <w:lang w:bidi="fa-IR"/>
          <w:color w:val="111111"/>
          <w:sz w:val="28"/>
          <w:szCs w:val="28"/>
          <w:rtl/>
        </w:rPr>
        <w:t xml:space="preserve">۳۰. تهران، دانشگاه؛ شماره نسخه: ۸۳۹۲/۱</w:t>
      </w:r>
    </w:p>
    <w:p>
      <w:pPr>
        <w:pStyle w:val="BookText"/>
      </w:pPr>
      <w:r>
        <w:rPr>
          <w:rFonts w:ascii="IRNazanin" w:hAnsi="IRNazanin" w:eastAsia="IRNazanin" w:cs="IRNazanin"/>
          <w:lang w:bidi="fa-IR"/>
          <w:color w:val="111111"/>
          <w:sz w:val="28"/>
          <w:szCs w:val="28"/>
          <w:rtl/>
        </w:rPr>
        <w:t xml:space="preserve">۲۶ باب؛ خط: نستعلیق، کا: محمد قاسم بن میرزا عبدالعلی عبدل آبادی، تا: دوشنبه ۲۷ جمادی الاول ۱۰۵۷ق؛ افتادگی: آغاز؛ کاغذ: سپاهانی، جلد: تیماج تریاکی، ۱۳گ (۲ر -۱۴ر)، ۱۸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[ف: ۱۷-۱۲۷]</w:t>
      </w:r>
    </w:p>
    <w:p>
      <w:pPr>
        <w:pStyle w:val="BookText"/>
      </w:pPr>
      <w:r>
        <w:rPr>
          <w:rFonts w:ascii="IRNazanin" w:hAnsi="IRNazanin" w:eastAsia="IRNazanin" w:cs="IRNazanin"/>
          <w:lang w:bidi="fa-IR"/>
          <w:color w:val="111111"/>
          <w:sz w:val="28"/>
          <w:szCs w:val="28"/>
          <w:rtl/>
        </w:rPr>
        <w:t xml:space="preserve">۳۱. قم؛ مسجد اعظم؛ شماره نسخه: ۳۲۰۰</w:t>
      </w:r>
    </w:p>
    <w:p>
      <w:pPr>
        <w:pStyle w:val="BookText"/>
      </w:pPr>
      <w:r>
        <w:rPr>
          <w:rFonts w:ascii="IRNazanin" w:hAnsi="IRNazanin" w:eastAsia="IRNazanin" w:cs="IRNazanin"/>
          <w:lang w:bidi="fa-IR"/>
          <w:color w:val="111111"/>
          <w:sz w:val="28"/>
          <w:szCs w:val="28"/>
          <w:rtl/>
        </w:rPr>
        <w:t xml:space="preserve">آغاز و انجام: برابر خط: نسخ، كا: سید جلال الدین حمزه حسینی، تا: ۲۳ رجب ۱۰۶۶ق؛ جلد: تیماج قهوه ای، ۱۹۲گ، ۹ سطر،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مخ: ۱-۳۱۹]</w:t>
      </w:r>
    </w:p>
    <w:p>
      <w:pPr>
        <w:pStyle w:val="BookText"/>
      </w:pPr>
      <w:r>
        <w:rPr>
          <w:rFonts w:ascii="IRNazanin" w:hAnsi="IRNazanin" w:eastAsia="IRNazanin" w:cs="IRNazanin"/>
          <w:lang w:bidi="fa-IR"/>
          <w:color w:val="111111"/>
          <w:sz w:val="28"/>
          <w:szCs w:val="28"/>
          <w:rtl/>
        </w:rPr>
        <w:t xml:space="preserve">۳۲. قم؛ مرعشی؛ شماره نسخه: ۵۸۵۰</w:t>
      </w:r>
    </w:p>
    <w:p>
      <w:pPr>
        <w:pStyle w:val="BookText"/>
      </w:pPr>
      <w:r>
        <w:rPr>
          <w:rFonts w:ascii="IRNazanin" w:hAnsi="IRNazanin" w:eastAsia="IRNazanin" w:cs="IRNazanin"/>
          <w:lang w:bidi="fa-IR"/>
          <w:color w:val="111111"/>
          <w:sz w:val="28"/>
          <w:szCs w:val="28"/>
          <w:rtl/>
        </w:rPr>
        <w:t xml:space="preserve">آغاز: و راه سعادت اعظم بنماید و خیرات اول و آخر بیان کند و حاکم و رئیس شود و در نفسها حكم كند؛ انجام: برابر خط: نستعلیق، بی کا، تا: ۱۰۶۸ق؛ افتادگی: آغاز؛ پس از کتاب گفتاری است به فارسی در اعتقادات اجمالی هفتاد و سه فرقه و نیز اشکالات ابلیس و جواب بر آنها از قاضی نور الله شوشتری؛ جلد: تیماج قهوه ای عطف تیماج قرمز، ۱۷۷، ۱۶ سطر، اندازه: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۱۹/۵ سم [ف: ۱۵-۲۳۲]</w:t>
      </w:r>
    </w:p>
    <w:p>
      <w:pPr>
        <w:pStyle w:val="BookText"/>
      </w:pPr>
      <w:r>
        <w:rPr>
          <w:rFonts w:ascii="IRNazanin" w:hAnsi="IRNazanin" w:eastAsia="IRNazanin" w:cs="IRNazanin"/>
          <w:lang w:bidi="fa-IR"/>
          <w:color w:val="111111"/>
          <w:sz w:val="28"/>
          <w:szCs w:val="28"/>
          <w:rtl/>
        </w:rPr>
        <w:t xml:space="preserve">۳۳. شیراز؛ خانقاه احمدیه؛ شماره نسخه: ۸۰</w:t>
      </w:r>
    </w:p>
    <w:p>
      <w:pPr>
        <w:pStyle w:val="BookText"/>
      </w:pPr>
      <w:r>
        <w:rPr>
          <w:rFonts w:ascii="IRNazanin" w:hAnsi="IRNazanin" w:eastAsia="IRNazanin" w:cs="IRNazanin"/>
          <w:lang w:bidi="fa-IR"/>
          <w:color w:val="111111"/>
          <w:sz w:val="28"/>
          <w:szCs w:val="28"/>
          <w:rtl/>
        </w:rPr>
        <w:t xml:space="preserve">کا: محمد مؤمن بن استاد رجب حسینی، تا پایان صفر ۱۰۷۲ق [نشریه: ۵-۲۱۰]</w:t>
      </w:r>
    </w:p>
    <w:p>
      <w:pPr>
        <w:pStyle w:val="BookText"/>
      </w:pPr>
      <w:r>
        <w:rPr>
          <w:rFonts w:ascii="IRNazanin" w:hAnsi="IRNazanin" w:eastAsia="IRNazanin" w:cs="IRNazanin"/>
          <w:lang w:bidi="fa-IR"/>
          <w:color w:val="111111"/>
          <w:sz w:val="28"/>
          <w:szCs w:val="28"/>
          <w:rtl/>
        </w:rPr>
        <w:t xml:space="preserve">۳۴. تهران؛ مجلس؛ شماره نسخه:۱۶۵۶۴</w:t>
      </w:r>
    </w:p>
    <w:p>
      <w:pPr>
        <w:pStyle w:val="BookText"/>
      </w:pPr>
      <w:r>
        <w:rPr>
          <w:rFonts w:ascii="IRNazanin" w:hAnsi="IRNazanin" w:eastAsia="IRNazanin" w:cs="IRNazanin"/>
          <w:lang w:bidi="fa-IR"/>
          <w:color w:val="111111"/>
          <w:sz w:val="28"/>
          <w:szCs w:val="28"/>
          <w:rtl/>
        </w:rPr>
        <w:t xml:space="preserve">خط: نستعلیق، کا: محمد صادق حسینی، تا: ۱۰۷۲ق؛ افتادگی: آغاز و انجام [د.ث. مجلس]</w:t>
      </w:r>
    </w:p>
    <w:p>
      <w:pPr>
        <w:pStyle w:val="BookText"/>
      </w:pPr>
      <w:r>
        <w:rPr>
          <w:rFonts w:ascii="IRNazanin" w:hAnsi="IRNazanin" w:eastAsia="IRNazanin" w:cs="IRNazanin"/>
          <w:lang w:bidi="fa-IR"/>
          <w:color w:val="111111"/>
          <w:sz w:val="28"/>
          <w:szCs w:val="28"/>
          <w:rtl/>
        </w:rPr>
        <w:t xml:space="preserve">۳۵. مشهد؛ رضوی؛ شماره نسخه:۱۸۶۸۶</w:t>
      </w:r>
    </w:p>
    <w:p>
      <w:pPr>
        <w:pStyle w:val="BookText"/>
      </w:pPr>
      <w:r>
        <w:rPr>
          <w:rFonts w:ascii="IRNazanin" w:hAnsi="IRNazanin" w:eastAsia="IRNazanin" w:cs="IRNazanin"/>
          <w:lang w:bidi="fa-IR"/>
          <w:color w:val="111111"/>
          <w:sz w:val="28"/>
          <w:szCs w:val="28"/>
          <w:rtl/>
        </w:rPr>
        <w:t xml:space="preserve">آغاز: برابر؛ انجام: و قال ما لم يعلم اعاذنا الله من الجهل ... شهر محرم سنه ۱۰۷۶ خط: نستعلیق، بی کا، تا: ۱۰۷۶ق؛ کاغذ: نخودی، جلد: مقوا، ۱۷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[رایانه]</w:t>
      </w:r>
    </w:p>
    <w:p>
      <w:pPr>
        <w:pStyle w:val="BookText"/>
      </w:pPr>
      <w:r>
        <w:rPr>
          <w:rFonts w:ascii="IRNazanin" w:hAnsi="IRNazanin" w:eastAsia="IRNazanin" w:cs="IRNazanin"/>
          <w:lang w:bidi="fa-IR"/>
          <w:color w:val="111111"/>
          <w:sz w:val="28"/>
          <w:szCs w:val="28"/>
          <w:rtl/>
        </w:rPr>
        <w:t xml:space="preserve">۳۶. شیراز؛ علامه طباطبائی؛ شماره نسخه: ۱۰۵۰</w:t>
      </w:r>
    </w:p>
    <w:p>
      <w:pPr>
        <w:pStyle w:val="BookText"/>
      </w:pPr>
      <w:r>
        <w:rPr>
          <w:rFonts w:ascii="IRNazanin" w:hAnsi="IRNazanin" w:eastAsia="IRNazanin" w:cs="IRNazanin"/>
          <w:lang w:bidi="fa-IR"/>
          <w:color w:val="111111"/>
          <w:sz w:val="28"/>
          <w:szCs w:val="28"/>
          <w:rtl/>
        </w:rPr>
        <w:t xml:space="preserve">خط: نسخ، بی کا، تا: اواخر محرم ۱۰۷۶ق؛ مصحح؛ واقف: توسط حاج محمد صادق تاجر قزوینی، اندازه: ۲۴/۵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[نسخه پژوهی: ۲-۱۲۱]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۳۷. يزد؛ وزیری؛ شماره نسخه:۱۲۸۸</w:t>
      </w:r>
    </w:p>
    <w:p>
      <w:pPr>
        <w:pStyle w:val="BookText"/>
      </w:pPr>
      <w:r>
        <w:rPr>
          <w:rFonts w:ascii="IRNazanin" w:hAnsi="IRNazanin" w:eastAsia="IRNazanin" w:cs="IRNazanin"/>
          <w:lang w:bidi="fa-IR"/>
          <w:color w:val="111111"/>
          <w:sz w:val="28"/>
          <w:szCs w:val="28"/>
          <w:rtl/>
        </w:rPr>
        <w:t xml:space="preserve">خط: نسخ، بی کا، تا: ۱۰۷۹ق؛ به نام «مرتضی الملقب به علم الهدی» در دیباچه؛ کاغذ: اصفهانی، جلد: مقوایی پارچه ای تریاکی، ۱۶۶گ، ۱۷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۳-۹۱۷]</w:t>
      </w:r>
    </w:p>
    <w:p>
      <w:pPr>
        <w:pStyle w:val="BookText"/>
      </w:pPr>
      <w:r>
        <w:rPr>
          <w:rFonts w:ascii="IRNazanin" w:hAnsi="IRNazanin" w:eastAsia="IRNazanin" w:cs="IRNazanin"/>
          <w:lang w:bidi="fa-IR"/>
          <w:color w:val="111111"/>
          <w:sz w:val="28"/>
          <w:szCs w:val="28"/>
          <w:rtl/>
        </w:rPr>
        <w:t xml:space="preserve">تهران؛ دانشگاه؛ شماره نسخه: ۲۴۹۲-ف</w:t>
      </w:r>
    </w:p>
    <w:p>
      <w:pPr>
        <w:pStyle w:val="BookText"/>
      </w:pPr>
      <w:r>
        <w:rPr>
          <w:rFonts w:ascii="Amiri" w:hAnsi="Amiri" w:eastAsia="Amiri" w:cs="Amiri"/>
          <w:lang w:bidi="ar-SA"/>
          <w:color w:val="111111"/>
          <w:sz w:val="28"/>
          <w:szCs w:val="28"/>
          <w:rtl/>
        </w:rPr>
        <w:t xml:space="preserve">نسخه اصل: همان نسخه بالا [فيلمها ف: ۱-۴۰]</w:t>
      </w:r>
    </w:p>
    <w:p>
      <w:pPr>
        <w:pStyle w:val="BookText"/>
      </w:pPr>
      <w:r>
        <w:rPr>
          <w:rFonts w:ascii="IRNazanin" w:hAnsi="IRNazanin" w:eastAsia="IRNazanin" w:cs="IRNazanin"/>
          <w:lang w:bidi="fa-IR"/>
          <w:color w:val="111111"/>
          <w:sz w:val="28"/>
          <w:szCs w:val="28"/>
          <w:rtl/>
        </w:rPr>
        <w:t xml:space="preserve">۳۸. همدان؛ مدرسه غرب؛ شماره نسخه:۱۲۰۹</w:t>
      </w:r>
    </w:p>
    <w:p>
      <w:pPr>
        <w:pStyle w:val="BookText"/>
      </w:pPr>
      <w:r>
        <w:rPr>
          <w:rFonts w:ascii="IRNazanin" w:hAnsi="IRNazanin" w:eastAsia="IRNazanin" w:cs="IRNazanin"/>
          <w:lang w:bidi="fa-IR"/>
          <w:color w:val="111111"/>
          <w:sz w:val="28"/>
          <w:szCs w:val="28"/>
          <w:rtl/>
        </w:rPr>
        <w:t xml:space="preserve">خط: نستعلیق خوش، كا: عبد المرتضی، تا: صفر ۱۰۸۲ق؛ افتادگی: آغاز؛ قطع: وزيري [رشت و همدان: ف: ۱۲۴۵]</w:t>
      </w:r>
    </w:p>
    <w:p>
      <w:pPr>
        <w:pStyle w:val="BookText"/>
      </w:pPr>
      <w:r>
        <w:rPr>
          <w:rFonts w:ascii="IRNazanin" w:hAnsi="IRNazanin" w:eastAsia="IRNazanin" w:cs="IRNazanin"/>
          <w:lang w:bidi="fa-IR"/>
          <w:color w:val="111111"/>
          <w:sz w:val="28"/>
          <w:szCs w:val="28"/>
          <w:rtl/>
        </w:rPr>
        <w:t xml:space="preserve">۳۹. قم؛ مرعشی؛ شماره نسخه: ۶۸۶۱</w:t>
      </w:r>
    </w:p>
    <w:p>
      <w:pPr>
        <w:pStyle w:val="BookText"/>
      </w:pPr>
      <w:r>
        <w:rPr>
          <w:rFonts w:ascii="IRNazanin" w:hAnsi="IRNazanin" w:eastAsia="IRNazanin" w:cs="IRNazanin"/>
          <w:lang w:bidi="fa-IR"/>
          <w:color w:val="111111"/>
          <w:sz w:val="28"/>
          <w:szCs w:val="28"/>
          <w:rtl/>
        </w:rPr>
        <w:t xml:space="preserve">خط: نسخ و نستعلیق، کا: میر محمد مطیع بن میر محمد اسماعيل حسینی قاری، تا: شنبه ۲۹ شوال ۱۰۸۸ق؛ مهر: «العبد المذنب محمد اسماعيل» (مربع)، «رب ارحم» (مربع)، «المتوكل على الله عبده هاشم» (بیضوی)؛ جلد: تیماج سبز، ۱۵۹گ،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۱۸-۴۹]</w:t>
      </w:r>
    </w:p>
    <w:p>
      <w:pPr>
        <w:pStyle w:val="BookText"/>
      </w:pPr>
      <w:r>
        <w:rPr>
          <w:rFonts w:ascii="IRNazanin" w:hAnsi="IRNazanin" w:eastAsia="IRNazanin" w:cs="IRNazanin"/>
          <w:lang w:bidi="fa-IR"/>
          <w:color w:val="111111"/>
          <w:sz w:val="28"/>
          <w:szCs w:val="28"/>
          <w:rtl/>
        </w:rPr>
        <w:t xml:space="preserve">۴۰. تهران، دانشگاه؛ شماره نسخه: ۳۳۸۸/۲</w:t>
      </w:r>
    </w:p>
    <w:p>
      <w:pPr>
        <w:pStyle w:val="BookText"/>
      </w:pPr>
      <w:r>
        <w:rPr>
          <w:rFonts w:ascii="IRNazanin" w:hAnsi="IRNazanin" w:eastAsia="IRNazanin" w:cs="IRNazanin"/>
          <w:lang w:bidi="fa-IR"/>
          <w:color w:val="111111"/>
          <w:sz w:val="28"/>
          <w:szCs w:val="28"/>
          <w:rtl/>
        </w:rPr>
        <w:t xml:space="preserve">نام مؤلف در این فهرست ذکر نشده است. اندکی از باب ۱۹ است تا اندکی از باب ۲۶؛ بی کا، تا: قرن ۱۲؛ کاغذ: فرنگی، جلد: تیماج مشکی، ۶۸گ (۱۲۳ر-۱۹۰پ)، ۱۸ سطر (۱۸۷۹)،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۱۱-۲۳۸۶]</w:t>
      </w:r>
    </w:p>
    <w:p>
      <w:pPr>
        <w:pStyle w:val="BookText"/>
      </w:pPr>
      <w:r>
        <w:rPr>
          <w:rFonts w:ascii="IRNazanin" w:hAnsi="IRNazanin" w:eastAsia="IRNazanin" w:cs="IRNazanin"/>
          <w:lang w:bidi="fa-IR"/>
          <w:color w:val="111111"/>
          <w:sz w:val="28"/>
          <w:szCs w:val="28"/>
          <w:rtl/>
        </w:rPr>
        <w:t xml:space="preserve">۴۱. تهران؛ سپهسالار؛ شماره نسخه:۶۳۶۴</w:t>
      </w:r>
    </w:p>
    <w:p>
      <w:pPr>
        <w:pStyle w:val="BookText"/>
      </w:pPr>
      <w:r>
        <w:rPr>
          <w:rFonts w:ascii="IRNazanin" w:hAnsi="IRNazanin" w:eastAsia="IRNazanin" w:cs="IRNazanin"/>
          <w:lang w:bidi="fa-IR"/>
          <w:color w:val="111111"/>
          <w:sz w:val="28"/>
          <w:szCs w:val="28"/>
          <w:rtl/>
        </w:rPr>
        <w:t xml:space="preserve">مانند چاپ اقبال با اندکی اختلاف واژه ها. پایان کتاب تا میان باب ۲۶ افتاده و نیمه دوم آن باقی است؛ خط: نستعلیق، بی کا، تا: قرن ۱۲؛ کاغذ: فرنگی سفید، جلد: تیماج قهوه ای، ۲۵۴ گ، ۱۲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۳-۳۱۰)</w:t>
      </w:r>
    </w:p>
    <w:p>
      <w:pPr>
        <w:pStyle w:val="BookText"/>
      </w:pPr>
      <w:r>
        <w:rPr>
          <w:rFonts w:ascii="IRNazanin" w:hAnsi="IRNazanin" w:eastAsia="IRNazanin" w:cs="IRNazanin"/>
          <w:lang w:bidi="fa-IR"/>
          <w:color w:val="111111"/>
          <w:sz w:val="28"/>
          <w:szCs w:val="28"/>
          <w:rtl/>
        </w:rPr>
        <w:t xml:space="preserve">۴۲. تهران؛ سپهسالار؛ شماره نسخه: ۷۴۵۷</w:t>
      </w:r>
    </w:p>
    <w:p>
      <w:pPr>
        <w:pStyle w:val="BookText"/>
      </w:pPr>
      <w:r>
        <w:rPr>
          <w:rFonts w:ascii="IRNazanin" w:hAnsi="IRNazanin" w:eastAsia="IRNazanin" w:cs="IRNazanin"/>
          <w:lang w:bidi="fa-IR"/>
          <w:color w:val="111111"/>
          <w:sz w:val="28"/>
          <w:szCs w:val="28"/>
          <w:rtl/>
        </w:rPr>
        <w:t xml:space="preserve">خط: نسخ، كا: محمد بن شكر الله قاری، تا: قرن ۱۲؛ افتادگی: آغاز؛ مجدول؛ کاغذ: فرنگی، جلد: تیماج زر، ۲۲۲گ، ۱۴ سطر، اندازه: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[ف: ۳-۳۱۰]</w:t>
      </w:r>
    </w:p>
    <w:p>
      <w:pPr>
        <w:pStyle w:val="BookText"/>
      </w:pPr>
      <w:r>
        <w:rPr>
          <w:rFonts w:ascii="IRNazanin" w:hAnsi="IRNazanin" w:eastAsia="IRNazanin" w:cs="IRNazanin"/>
          <w:lang w:bidi="fa-IR"/>
          <w:color w:val="111111"/>
          <w:sz w:val="28"/>
          <w:szCs w:val="28"/>
          <w:rtl/>
        </w:rPr>
        <w:t xml:space="preserve">۴۳. مشهد؛ گوهرشاد؛ شماره نسخه:۱۰۵۰</w:t>
      </w:r>
    </w:p>
    <w:p>
      <w:pPr>
        <w:pStyle w:val="BookText"/>
      </w:pPr>
      <w:r>
        <w:rPr>
          <w:rFonts w:ascii="IRNazanin" w:hAnsi="IRNazanin" w:eastAsia="IRNazanin" w:cs="IRNazanin"/>
          <w:lang w:bidi="fa-IR"/>
          <w:color w:val="111111"/>
          <w:sz w:val="28"/>
          <w:szCs w:val="28"/>
          <w:rtl/>
        </w:rPr>
        <w:t xml:space="preserve">آغاز: با وی شریکند و در هزار سال اول زحل شریک وی باشد ... باب دویم در؛ انجام: برابر از باب دوم در ذکر مقالات مجوس تا آخر ؛ خط: نسخ، بی کا، تا: ۱۱۰۰ق؛ افتادگی: آغاز؛ کاغذ: فرنگی، جلد: تیماج خرمایی، ۱۵ سطر (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۳-۱۴۴۰]</w:t>
      </w:r>
    </w:p>
    <w:p>
      <w:pPr>
        <w:pStyle w:val="BookText"/>
      </w:pPr>
      <w:r>
        <w:rPr>
          <w:rFonts w:ascii="IRNazanin" w:hAnsi="IRNazanin" w:eastAsia="IRNazanin" w:cs="IRNazanin"/>
          <w:lang w:bidi="fa-IR"/>
          <w:color w:val="111111"/>
          <w:sz w:val="28"/>
          <w:szCs w:val="28"/>
          <w:rtl/>
        </w:rPr>
        <w:t xml:space="preserve">۴۴. رشت؛ جمعیت نشر فرهنگ؛ شماره نسخه: ۱۱۱ت</w:t>
      </w:r>
    </w:p>
    <w:p>
      <w:pPr>
        <w:pStyle w:val="BookText"/>
      </w:pPr>
      <w:r>
        <w:rPr>
          <w:rFonts w:ascii="IRNazanin" w:hAnsi="IRNazanin" w:eastAsia="IRNazanin" w:cs="IRNazanin"/>
          <w:lang w:bidi="fa-IR"/>
          <w:color w:val="111111"/>
          <w:sz w:val="28"/>
          <w:szCs w:val="28"/>
          <w:rtl/>
        </w:rPr>
        <w:t xml:space="preserve">خط: نستعلیق، بی کا، تا: قرن ۱۲؛ با افزونی ها بر چاپ شده؛ ۲۴۶ص، قطع: وزیری (رشت و همدان: ف: ۱۰۹۷]</w:t>
      </w:r>
    </w:p>
    <w:p>
      <w:pPr>
        <w:pStyle w:val="BookText"/>
      </w:pPr>
      <w:r>
        <w:rPr>
          <w:rFonts w:ascii="IRNazanin" w:hAnsi="IRNazanin" w:eastAsia="IRNazanin" w:cs="IRNazanin"/>
          <w:lang w:bidi="fa-IR"/>
          <w:color w:val="111111"/>
          <w:sz w:val="28"/>
          <w:szCs w:val="28"/>
          <w:rtl/>
        </w:rPr>
        <w:t xml:space="preserve">۴۵. تهران؛ مجلس؛ شماره نسخه:۲۰۵۶</w:t>
      </w:r>
    </w:p>
    <w:p>
      <w:pPr>
        <w:pStyle w:val="BookText"/>
      </w:pPr>
      <w:r>
        <w:rPr>
          <w:rFonts w:ascii="IRNazanin" w:hAnsi="IRNazanin" w:eastAsia="IRNazanin" w:cs="IRNazanin"/>
          <w:lang w:bidi="fa-IR"/>
          <w:color w:val="111111"/>
          <w:sz w:val="28"/>
          <w:szCs w:val="28"/>
          <w:rtl/>
        </w:rPr>
        <w:t xml:space="preserve">آغاز: برابر، انجام: پس حال معاویه بهتر از حال علی نباشد که معاویه. خط: تحریری، بی کا، تا: قرن ۱۲؛ کاغذ: اصفهانی شکری آهار مهره، جلد: ساغری سیاه، ۲۷۹، ۱۴ سطر،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۶-۵۳]</w:t>
      </w:r>
    </w:p>
    <w:p>
      <w:pPr>
        <w:pStyle w:val="BookText"/>
      </w:pPr>
      <w:r>
        <w:rPr>
          <w:rFonts w:ascii="IRNazanin" w:hAnsi="IRNazanin" w:eastAsia="IRNazanin" w:cs="IRNazanin"/>
          <w:lang w:bidi="fa-IR"/>
          <w:color w:val="111111"/>
          <w:sz w:val="28"/>
          <w:szCs w:val="28"/>
          <w:rtl/>
        </w:rPr>
        <w:t xml:space="preserve">۴۶. تهران؛ ملک؛ شماره نسخه:۶۰۵۸</w:t>
      </w:r>
    </w:p>
    <w:p>
      <w:pPr>
        <w:pStyle w:val="BookText"/>
      </w:pPr>
      <w:r>
        <w:rPr>
          <w:rFonts w:ascii="IRNazanin" w:hAnsi="IRNazanin" w:eastAsia="IRNazanin" w:cs="IRNazanin"/>
          <w:lang w:bidi="fa-IR"/>
          <w:color w:val="111111"/>
          <w:sz w:val="28"/>
          <w:szCs w:val="28"/>
          <w:rtl/>
        </w:rPr>
        <w:t xml:space="preserve">خط: شکسته، نستعلیق، بی کا، تا: ۱۱۰۵ق؛ کاغذ: کاغذ فستقی جلد:میشن لایی، ۹۸گ، ۱۸ سطر، اندازه: ۱۹/۴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۱۳/۶ سم [ف: ۲-۹۷]</w:t>
      </w:r>
    </w:p>
    <w:p>
      <w:pPr>
        <w:pStyle w:val="BookText"/>
      </w:pPr>
      <w:r>
        <w:rPr>
          <w:rFonts w:ascii="IRNazanin" w:hAnsi="IRNazanin" w:eastAsia="IRNazanin" w:cs="IRNazanin"/>
          <w:lang w:bidi="fa-IR"/>
          <w:color w:val="111111"/>
          <w:sz w:val="28"/>
          <w:szCs w:val="28"/>
          <w:rtl/>
        </w:rPr>
        <w:t xml:space="preserve">۴۷. تهران؛ سپهسالار؛ شماره نسخه: ۲۷۵۵/۱</w:t>
      </w:r>
    </w:p>
    <w:p>
      <w:pPr>
        <w:pStyle w:val="BookText"/>
      </w:pPr>
      <w:r>
        <w:rPr>
          <w:rFonts w:ascii="IRNazanin" w:hAnsi="IRNazanin" w:eastAsia="IRNazanin" w:cs="IRNazanin"/>
          <w:lang w:bidi="fa-IR"/>
          <w:color w:val="111111"/>
          <w:sz w:val="28"/>
          <w:szCs w:val="28"/>
          <w:rtl/>
        </w:rPr>
        <w:t xml:space="preserve">آغاز: من تبصرة العوام لمولانا محمد الطوسی نصیرالدین باب اول در مقالات فلاسفه و اتباع ایشان از اصحاب طبایع و نجوم و غيرهم بدانکه فلاسفه عالم را قدیم خط: نسخ، بی کا، تا: قرن ۱۳؛ برابر ص ۴-۱۲ چاپ عباس اقبال؛ کاغذ: فرنگی سفید، جلد: تیماج زرد، ۳گ (۲ر -۴پ)، ۲۰ و ۲۶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۳-۳۰۹]</w:t>
      </w:r>
    </w:p>
    <w:p>
      <w:pPr>
        <w:pStyle w:val="BookText"/>
      </w:pPr>
      <w:r>
        <w:rPr>
          <w:rFonts w:ascii="IRNazanin" w:hAnsi="IRNazanin" w:eastAsia="IRNazanin" w:cs="IRNazanin"/>
          <w:lang w:bidi="fa-IR"/>
          <w:color w:val="111111"/>
          <w:sz w:val="28"/>
          <w:szCs w:val="28"/>
          <w:rtl/>
        </w:rPr>
        <w:t xml:space="preserve">۴۸. تهران؛ ملک؛ شماره نسخه: ۲۷۱۲</w:t>
      </w:r>
    </w:p>
    <w:p>
      <w:pPr>
        <w:pStyle w:val="BookText"/>
      </w:pPr>
      <w:r>
        <w:rPr>
          <w:rFonts w:ascii="IRNazanin" w:hAnsi="IRNazanin" w:eastAsia="IRNazanin" w:cs="IRNazanin"/>
          <w:lang w:bidi="fa-IR"/>
          <w:color w:val="111111"/>
          <w:sz w:val="28"/>
          <w:szCs w:val="28"/>
          <w:rtl/>
        </w:rPr>
        <w:t xml:space="preserve">خط: شکسته نستعلیق، بی کا، تا: قرن ۱۳؛ افتادگی: وسط؛ در مساله باب بیست و ششم نانوشته مانده؛ کاغذ: کاغذ فستقی، جلد: میشن سیاه، ۷۶گ، ۲۲ سطر، اندازه: ۱۴/۷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۲۰/۷سم [ف: ۲-۹۷]</w:t>
      </w:r>
    </w:p>
    <w:p>
      <w:pPr>
        <w:pStyle w:val="BookText"/>
      </w:pPr>
      <w:r>
        <w:rPr>
          <w:rFonts w:ascii="IRNazanin" w:hAnsi="IRNazanin" w:eastAsia="IRNazanin" w:cs="IRNazanin"/>
          <w:lang w:bidi="fa-IR"/>
          <w:color w:val="111111"/>
          <w:sz w:val="28"/>
          <w:szCs w:val="28"/>
          <w:rtl/>
        </w:rPr>
        <w:t xml:space="preserve">۴۹. تهران؛ مجلس؛ شماره نسخه:۲۰۵۶</w:t>
      </w:r>
    </w:p>
    <w:p>
      <w:pPr>
        <w:pStyle w:val="BookText"/>
      </w:pPr>
      <w:r>
        <w:rPr>
          <w:rFonts w:ascii="IRNazanin" w:hAnsi="IRNazanin" w:eastAsia="IRNazanin" w:cs="IRNazanin"/>
          <w:lang w:bidi="fa-IR"/>
          <w:color w:val="111111"/>
          <w:sz w:val="28"/>
          <w:szCs w:val="28"/>
          <w:rtl/>
        </w:rPr>
        <w:t xml:space="preserve">آغاز: برابر؛ انجام: و بعد از چند سال مرد از سفر باز آمد. خط: تحریری، بی کا، تا: قرن ۱۳؛ افتادگی: انجام؛ کاغذ: فرنگی سفید آهار مهره، جلد: میشن حنایی، ۴۹۳ص، ۱۰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۶-۵۳]</w:t>
      </w:r>
    </w:p>
    <w:p>
      <w:pPr>
        <w:pStyle w:val="BookText"/>
      </w:pPr>
      <w:r>
        <w:rPr>
          <w:rFonts w:ascii="IRNazanin" w:hAnsi="IRNazanin" w:eastAsia="IRNazanin" w:cs="IRNazanin"/>
          <w:lang w:bidi="fa-IR"/>
          <w:color w:val="111111"/>
          <w:sz w:val="28"/>
          <w:szCs w:val="28"/>
          <w:rtl/>
        </w:rPr>
        <w:t xml:space="preserve">۵۰. مشهد؛ رضوی؛ شماره نسخه:۱۲۴۱۴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بن مصطفی سلامی حسینی کازرونی، تا سه شنبه ۱۲ رجب ۱۲۰۶ق؛ واقف: حسین کی استوان؛ کاغذ: آهار مهره شکری، جلد: تیماج مشکی، ۹۵گ، مختلف السطر،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۱۱-۵۰]</w:t>
      </w:r>
    </w:p>
    <w:p>
      <w:pPr>
        <w:pStyle w:val="BookText"/>
      </w:pPr>
      <w:r>
        <w:rPr>
          <w:rFonts w:ascii="IRNazanin" w:hAnsi="IRNazanin" w:eastAsia="IRNazanin" w:cs="IRNazanin"/>
          <w:lang w:bidi="fa-IR"/>
          <w:color w:val="111111"/>
          <w:sz w:val="28"/>
          <w:szCs w:val="28"/>
          <w:rtl/>
        </w:rPr>
        <w:t xml:space="preserve">۵۱. تهران؛ سپهسالار؛ شماره نسخه: ۱۸۶۲</w:t>
      </w:r>
    </w:p>
    <w:p>
      <w:pPr>
        <w:pStyle w:val="BookText"/>
      </w:pPr>
      <w:r>
        <w:rPr>
          <w:rFonts w:ascii="IRNazanin" w:hAnsi="IRNazanin" w:eastAsia="IRNazanin" w:cs="IRNazanin"/>
          <w:lang w:bidi="fa-IR"/>
          <w:color w:val="111111"/>
          <w:sz w:val="28"/>
          <w:szCs w:val="28"/>
          <w:rtl/>
        </w:rPr>
        <w:t xml:space="preserve">خط: نستعلیق، کا: زمان بن عطا مهدی جاجرمی، تا: سه شنبه ۲ ذیقعده ۱۲۳۴ق؛ در دیباچه این نسخه نام مؤلف مرتضی و لقبش علم الهدی است و در پایان آن نویسنده او را مرتضی رازی نامد؛ کاغذ: فرنگی سفید، جلد: تیماج حنایی، ۱۶۹ ، ۱۷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۳-۳۰۹]</w:t>
      </w:r>
    </w:p>
    <w:p>
      <w:pPr>
        <w:pStyle w:val="BookText"/>
      </w:pPr>
      <w:r>
        <w:rPr>
          <w:rFonts w:ascii="IRNazanin" w:hAnsi="IRNazanin" w:eastAsia="IRNazanin" w:cs="IRNazanin"/>
          <w:lang w:bidi="fa-IR"/>
          <w:color w:val="111111"/>
          <w:sz w:val="28"/>
          <w:szCs w:val="28"/>
          <w:rtl/>
        </w:rPr>
        <w:t xml:space="preserve">۵۲. تهران؛ ملی؛ شماره نسخه:۲۲۸۷</w:t>
      </w:r>
    </w:p>
    <w:p>
      <w:pPr>
        <w:pStyle w:val="BookText"/>
      </w:pPr>
      <w:r>
        <w:rPr>
          <w:rFonts w:ascii="IRNazanin" w:hAnsi="IRNazanin" w:eastAsia="IRNazanin" w:cs="IRNazanin"/>
          <w:lang w:bidi="fa-IR"/>
          <w:color w:val="111111"/>
          <w:sz w:val="28"/>
          <w:szCs w:val="28"/>
          <w:rtl/>
        </w:rPr>
        <w:t xml:space="preserve">آغاز: برابر؛ انجام: و الحمدلله رب العالمين ... علی بن ابیطالب و اله الطاهرين خط: نستعلیق، کا: میر ابوالفتح حسینی، تا: ۱۲۳۷ق؛ کاغذ: فرنگی، جلد: تیماج ماشی با ترنج و نیم ترنج، ۱۷۴گ، ۱۵سطر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اندازه: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۲۰/۵سم [ف: ۵-۴۰۴]</w:t>
      </w:r>
    </w:p>
    <w:p>
      <w:pPr>
        <w:pStyle w:val="BookText"/>
      </w:pPr>
      <w:r>
        <w:rPr>
          <w:rFonts w:ascii="IRNazanin" w:hAnsi="IRNazanin" w:eastAsia="IRNazanin" w:cs="IRNazanin"/>
          <w:lang w:bidi="fa-IR"/>
          <w:color w:val="111111"/>
          <w:sz w:val="28"/>
          <w:szCs w:val="28"/>
          <w:rtl/>
        </w:rPr>
        <w:t xml:space="preserve">۵۳. مشهد؛ رضوی؛ شماره نسخه:۲۶۵۰۹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بی کا، تا: ۱۲۵۳ق؛ کاغذ: شکری فرنگی، جلد: تیماج مشکی، ۱۵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رایانه ]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۵۴. تهران: مجلس؛ شماره نسخه: ۵۸۶۲</w:t>
      </w:r>
    </w:p>
    <w:p>
      <w:pPr>
        <w:pStyle w:val="BookText"/>
      </w:pPr>
      <w:r>
        <w:rPr>
          <w:rFonts w:ascii="IRNazanin" w:hAnsi="IRNazanin" w:eastAsia="IRNazanin" w:cs="IRNazanin"/>
          <w:lang w:bidi="fa-IR"/>
          <w:color w:val="111111"/>
          <w:sz w:val="28"/>
          <w:szCs w:val="28"/>
          <w:rtl/>
        </w:rPr>
        <w:t xml:space="preserve">خط: نسخ، بی کا، تا: ۱۲۵۶ق؛ کاغذ: فرنگی، جلد: تیماج عنابی با ترنج، ۱۹۸ص، ۲۰ سطر، اندازه: ۱۵/۵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۱۷-۲۶۷]</w:t>
      </w:r>
    </w:p>
    <w:p>
      <w:pPr>
        <w:pStyle w:val="BookText"/>
      </w:pPr>
      <w:r>
        <w:rPr>
          <w:rFonts w:ascii="IRNazanin" w:hAnsi="IRNazanin" w:eastAsia="IRNazanin" w:cs="IRNazanin"/>
          <w:lang w:bidi="fa-IR"/>
          <w:color w:val="111111"/>
          <w:sz w:val="28"/>
          <w:szCs w:val="28"/>
          <w:rtl/>
        </w:rPr>
        <w:t xml:space="preserve">۵۵. تهران؛ مجلس؛ شماره نسخه:۱۱۴۹۱۶-طباطبائی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محمد على بن رضا حسینی، تا: ۱۲۵۸ق؛ دارای ابیاتی به عربی در مدح ائمه از قوام، واعظ قزوینی و غیره؛ ۱۲۵گ (۴۸-۱۷۲)، اندازه: ۱۶/۵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۲۳-۶۲۵]</w:t>
      </w:r>
    </w:p>
    <w:p>
      <w:pPr>
        <w:pStyle w:val="BookText"/>
      </w:pPr>
      <w:r>
        <w:rPr>
          <w:rFonts w:ascii="IRNazanin" w:hAnsi="IRNazanin" w:eastAsia="IRNazanin" w:cs="IRNazanin"/>
          <w:lang w:bidi="fa-IR"/>
          <w:color w:val="111111"/>
          <w:sz w:val="28"/>
          <w:szCs w:val="28"/>
          <w:rtl/>
        </w:rPr>
        <w:t xml:space="preserve">۵۶. مشهد؛ الهیات؛ شماره نسخه: ۵۰</w:t>
      </w:r>
    </w:p>
    <w:p>
      <w:pPr>
        <w:pStyle w:val="BookText"/>
      </w:pPr>
      <w:r>
        <w:rPr>
          <w:rFonts w:ascii="IRNazanin" w:hAnsi="IRNazanin" w:eastAsia="IRNazanin" w:cs="IRNazanin"/>
          <w:lang w:bidi="fa-IR"/>
          <w:color w:val="111111"/>
          <w:sz w:val="28"/>
          <w:szCs w:val="28"/>
          <w:rtl/>
        </w:rPr>
        <w:t xml:space="preserve">خط: نستعلیق، بی کا، تا: ۱۲۵۹ق؛ جلد: مقوا، ۱۶۴گ، ۲۱ سطر،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 [ف: ۱-۲۷]</w:t>
      </w:r>
    </w:p>
    <w:p>
      <w:pPr>
        <w:pStyle w:val="BookText"/>
      </w:pPr>
      <w:r>
        <w:rPr>
          <w:rFonts w:ascii="IRNazanin" w:hAnsi="IRNazanin" w:eastAsia="IRNazanin" w:cs="IRNazanin"/>
          <w:lang w:bidi="fa-IR"/>
          <w:color w:val="111111"/>
          <w:sz w:val="28"/>
          <w:szCs w:val="28"/>
          <w:rtl/>
        </w:rPr>
        <w:t xml:space="preserve">۵۷. قم؛ معصومیه؛ شماره نسخه: ۴۴۴/۲</w:t>
      </w:r>
    </w:p>
    <w:p>
      <w:pPr>
        <w:pStyle w:val="BookText"/>
      </w:pPr>
      <w:r>
        <w:rPr>
          <w:rFonts w:ascii="IRNazanin" w:hAnsi="IRNazanin" w:eastAsia="IRNazanin" w:cs="IRNazanin"/>
          <w:lang w:bidi="fa-IR"/>
          <w:color w:val="111111"/>
          <w:sz w:val="28"/>
          <w:szCs w:val="28"/>
          <w:rtl/>
        </w:rPr>
        <w:t xml:space="preserve">آغاز: بر جان پاک مطهر مجتبی و معلای مزکی محمد مصطفی ... اما بعد بدانکه مدت مدید بود که جماعتی از سادات و غيرهم از این ضعيف مرتضی الملقب بعلم الهدی التماس می کردند؛ انجام: برابر خط: نسخ و نستعلیق، کا: محمد باقر بن ملا محمد آوجي الأصل، تا: چهارشنبه سلخ جمادی الاول ۱۲۶۱ق، جلد: تیماج قهوه ای، ۳۷گ (۵۲-۸۸پ)، ۱۶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۵۸-۲ ]</w:t>
      </w:r>
    </w:p>
    <w:p>
      <w:pPr>
        <w:pStyle w:val="BookText"/>
      </w:pPr>
      <w:r>
        <w:rPr>
          <w:rFonts w:ascii="IRNazanin" w:hAnsi="IRNazanin" w:eastAsia="IRNazanin" w:cs="IRNazanin"/>
          <w:lang w:bidi="fa-IR"/>
          <w:color w:val="111111"/>
          <w:sz w:val="28"/>
          <w:szCs w:val="28"/>
          <w:rtl/>
        </w:rPr>
        <w:t xml:space="preserve">۵۸. قزوین؛ امام صادق شماره نسخه:۲۳۵</w:t>
      </w:r>
    </w:p>
    <w:p>
      <w:pPr>
        <w:pStyle w:val="BookText"/>
      </w:pPr>
      <w:r>
        <w:rPr>
          <w:rFonts w:ascii="IRNazanin" w:hAnsi="IRNazanin" w:eastAsia="IRNazanin" w:cs="IRNazanin"/>
          <w:lang w:bidi="fa-IR"/>
          <w:color w:val="111111"/>
          <w:sz w:val="28"/>
          <w:szCs w:val="28"/>
          <w:rtl/>
        </w:rPr>
        <w:t xml:space="preserve">آغاز: برابر؛ انجام: عرض الذي جهلت من البرهان، ما ظالم في الاثم الا دون من تهيج عن ذي الظلم بالتيهان. خط: نستعلیق، بی کا، بی تا، افتادگی: آغاز (یک برگ)؛ با تاریخ</w:t>
      </w:r>
    </w:p>
    <w:p>
      <w:pPr>
        <w:pStyle w:val="BookText"/>
      </w:pPr>
      <w:r>
        <w:rPr>
          <w:rFonts w:ascii="IRNazanin" w:hAnsi="IRNazanin" w:eastAsia="IRNazanin" w:cs="IRNazanin"/>
          <w:lang w:bidi="fa-IR"/>
          <w:color w:val="111111"/>
          <w:sz w:val="28"/>
          <w:szCs w:val="28"/>
          <w:rtl/>
        </w:rPr>
        <w:t xml:space="preserve">۱۲۶۶ق؛ ۱۳۱، ۱۵ سطر [ف: ۱-۵۰]</w:t>
      </w:r>
    </w:p>
    <w:p>
      <w:pPr>
        <w:pStyle w:val="BookText"/>
      </w:pPr>
      <w:r>
        <w:rPr>
          <w:rFonts w:ascii="IRNazanin" w:hAnsi="IRNazanin" w:eastAsia="IRNazanin" w:cs="IRNazanin"/>
          <w:lang w:bidi="fa-IR"/>
          <w:color w:val="111111"/>
          <w:sz w:val="28"/>
          <w:szCs w:val="28"/>
          <w:rtl/>
        </w:rPr>
        <w:t xml:space="preserve">۵۹. تهران، دانشگاه؛ شماره نسخه: ۵۰۵۱</w:t>
      </w:r>
    </w:p>
    <w:p>
      <w:pPr>
        <w:pStyle w:val="BookText"/>
      </w:pPr>
      <w:r>
        <w:rPr>
          <w:rFonts w:ascii="IRNazanin" w:hAnsi="IRNazanin" w:eastAsia="IRNazanin" w:cs="IRNazanin"/>
          <w:lang w:bidi="fa-IR"/>
          <w:color w:val="111111"/>
          <w:sz w:val="28"/>
          <w:szCs w:val="28"/>
          <w:rtl/>
        </w:rPr>
        <w:t xml:space="preserve">خط: نستعلیق، كا: عبدالله فسائی، تا: شنبه ۲۶ رجب ۱۲۶۶ق؛ مجدول؛ کاغذ: فرنگی، جلد: تیماج تریاکی، ۱۸۱، ۱۴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۱۵-۴۰۹۷]</w:t>
      </w:r>
    </w:p>
    <w:p>
      <w:pPr>
        <w:pStyle w:val="BookText"/>
      </w:pPr>
      <w:r>
        <w:rPr>
          <w:rFonts w:ascii="IRNazanin" w:hAnsi="IRNazanin" w:eastAsia="IRNazanin" w:cs="IRNazanin"/>
          <w:lang w:bidi="fa-IR"/>
          <w:color w:val="111111"/>
          <w:sz w:val="28"/>
          <w:szCs w:val="28"/>
          <w:rtl/>
        </w:rPr>
        <w:t xml:space="preserve">۶۰. اصفهان؛ روضاتی؛ شماره نسخه:۸/۳</w:t>
      </w:r>
    </w:p>
    <w:p>
      <w:pPr>
        <w:pStyle w:val="BookText"/>
      </w:pPr>
      <w:r>
        <w:rPr>
          <w:rFonts w:ascii="IRNazanin" w:hAnsi="IRNazanin" w:eastAsia="IRNazanin" w:cs="IRNazanin"/>
          <w:lang w:bidi="fa-IR"/>
          <w:color w:val="111111"/>
          <w:sz w:val="28"/>
          <w:szCs w:val="28"/>
          <w:rtl/>
        </w:rPr>
        <w:t xml:space="preserve">باب بیست و یکم؛ خط: نسخ، كا: محمد بديع بن سید مصطفی بن میر عبدالحمید موسوی اصفهانی درب امامی (از علمای بزرگ اصفهان)، تا: یک شنبه ۲۹ ذیحجه ۱۲۷۲ق؛ در فهرست حاضر کتاب به: مرتضی بن داعی نسبت داده شده است؛ ۱۷سطر، اندازه:۲۰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۱۵]</w:t>
      </w:r>
    </w:p>
    <w:p>
      <w:pPr>
        <w:pStyle w:val="BookText"/>
      </w:pPr>
      <w:r>
        <w:rPr>
          <w:rFonts w:ascii="IRNazanin" w:hAnsi="IRNazanin" w:eastAsia="IRNazanin" w:cs="IRNazanin"/>
          <w:lang w:bidi="fa-IR"/>
          <w:color w:val="111111"/>
          <w:sz w:val="28"/>
          <w:szCs w:val="28"/>
          <w:rtl/>
        </w:rPr>
        <w:t xml:space="preserve">۶۱. تهران؛ شهشهانی ، حسین؛ شماره نسخه:بدون شماره</w:t>
      </w:r>
    </w:p>
    <w:p>
      <w:pPr>
        <w:pStyle w:val="BookText"/>
      </w:pPr>
      <w:r>
        <w:rPr>
          <w:rFonts w:ascii="IRNazanin" w:hAnsi="IRNazanin" w:eastAsia="IRNazanin" w:cs="IRNazanin"/>
          <w:lang w:bidi="fa-IR"/>
          <w:color w:val="111111"/>
          <w:sz w:val="28"/>
          <w:szCs w:val="28"/>
          <w:rtl/>
        </w:rPr>
        <w:t xml:space="preserve">بی کا، بی تا [میراث اسلامی: ۵-۶۰۷]</w:t>
      </w:r>
    </w:p>
    <w:p>
      <w:pPr>
        <w:pStyle w:val="BookText"/>
      </w:pPr>
      <w:r>
        <w:rPr>
          <w:rFonts w:ascii="IRNazanin" w:hAnsi="IRNazanin" w:eastAsia="IRNazanin" w:cs="IRNazanin"/>
          <w:lang w:bidi="fa-IR"/>
          <w:color w:val="111111"/>
          <w:sz w:val="28"/>
          <w:szCs w:val="28"/>
          <w:rtl/>
        </w:rPr>
        <w:t xml:space="preserve">۶۲. تهران؛ مجلس؛ شماره نسخه:۱۰۴۲۲</w:t>
      </w:r>
    </w:p>
    <w:p>
      <w:pPr>
        <w:pStyle w:val="BookText"/>
      </w:pPr>
      <w:r>
        <w:rPr>
          <w:rFonts w:ascii="IRNazanin" w:hAnsi="IRNazanin" w:eastAsia="IRNazanin" w:cs="IRNazanin"/>
          <w:lang w:bidi="fa-IR"/>
          <w:color w:val="111111"/>
          <w:sz w:val="28"/>
          <w:szCs w:val="28"/>
          <w:rtl/>
        </w:rPr>
        <w:t xml:space="preserve">آغاز: باب اول در مقالات فلاسفه و اتباع ایشان از اصحاب طبائع و نجوم و غيرهم؛ انجام: حدیث شانزدهم: گویند رسول صلی الله علیه و آله گفت عشرة في الجنة از یاران من ده در بهشت باشند ... بی کا، بی تاب افتادگی: آغاز (برگ اول) و انجام؛ تملك: محمد تقی تبریزی در ۱۲۷۹ق؛ جلد: تیماج آبی، ۱۲۱ گ، ۲۲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۳۳/۱ -۲۰]</w:t>
      </w:r>
    </w:p>
    <w:p>
      <w:pPr>
        <w:pStyle w:val="BookText"/>
      </w:pPr>
      <w:r>
        <w:rPr>
          <w:rFonts w:ascii="IRNazanin" w:hAnsi="IRNazanin" w:eastAsia="IRNazanin" w:cs="IRNazanin"/>
          <w:lang w:bidi="fa-IR"/>
          <w:color w:val="111111"/>
          <w:sz w:val="28"/>
          <w:szCs w:val="28"/>
          <w:rtl/>
        </w:rPr>
        <w:t xml:space="preserve">۶۳. یزد؛ وزیری؛ شماره نسخه: ۳۱۵۹</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بی تا، تملك: «محمد مهدی»، «محمد حسین بن محمد ابراهیم»؛ اهدایی: رسولیان؛ کاغذ: سمرقندی، جلد: تیماج تریاکی، ۱۶۴گ، ۱۵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۵-۱۵۵۳]</w:t>
      </w:r>
    </w:p>
    <w:p>
      <w:pPr>
        <w:pStyle w:val="BookText"/>
      </w:pPr>
      <w:r>
        <w:rPr>
          <w:rFonts w:ascii="IRNazanin" w:hAnsi="IRNazanin" w:eastAsia="IRNazanin" w:cs="IRNazanin"/>
          <w:lang w:bidi="fa-IR"/>
          <w:color w:val="111111"/>
          <w:sz w:val="28"/>
          <w:szCs w:val="28"/>
          <w:rtl/>
        </w:rPr>
        <w:t xml:space="preserve">۶۴. خوی؛ نمازی، شماره نسخه: ۶۵۰</w:t>
      </w:r>
    </w:p>
    <w:p>
      <w:pPr>
        <w:pStyle w:val="BookText"/>
      </w:pPr>
      <w:r>
        <w:rPr>
          <w:rFonts w:ascii="IRNazanin" w:hAnsi="IRNazanin" w:eastAsia="IRNazanin" w:cs="IRNazanin"/>
          <w:lang w:bidi="fa-IR"/>
          <w:color w:val="111111"/>
          <w:sz w:val="28"/>
          <w:szCs w:val="28"/>
          <w:rtl/>
        </w:rPr>
        <w:t xml:space="preserve">آغاز: تن مفارقت کند اگر آن را خصال حمیده باشد و رنجی از او به حیوانی نرسید به عقل پیوندد خط: نستعلیق، بی کا، بی تا، افتادگی: آغاز و انجام؛ ۱۵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۳۵۰]</w:t>
      </w:r>
    </w:p>
    <w:p>
      <w:pPr>
        <w:pStyle w:val="BookText"/>
      </w:pPr>
      <w:r>
        <w:rPr>
          <w:rFonts w:ascii="IRNazanin" w:hAnsi="IRNazanin" w:eastAsia="IRNazanin" w:cs="IRNazanin"/>
          <w:lang w:bidi="fa-IR"/>
          <w:color w:val="111111"/>
          <w:sz w:val="28"/>
          <w:szCs w:val="28"/>
          <w:rtl/>
        </w:rPr>
        <w:t xml:space="preserve">۶۵. مشهد؛ رضوی؛ شماره نسخه:۵۷</w:t>
      </w:r>
    </w:p>
    <w:p>
      <w:pPr>
        <w:pStyle w:val="BookText"/>
      </w:pPr>
      <w:r>
        <w:rPr>
          <w:rFonts w:ascii="IRNazanin" w:hAnsi="IRNazanin" w:eastAsia="IRNazanin" w:cs="IRNazanin"/>
          <w:lang w:bidi="fa-IR"/>
          <w:color w:val="111111"/>
          <w:sz w:val="28"/>
          <w:szCs w:val="28"/>
          <w:rtl/>
        </w:rPr>
        <w:t xml:space="preserve">آغاز: نه به وجود، حی نه به حيوة، باقی نه به بقا، قدیم نه بقدم؛ انجام: اگر کسی به سفر رفته باشد و نزد قاضی گواهی دهند که آن مرد مرد و زن او بعد از عدة شوهر کند و از این شوهر چند فرزند. خط: نستعلیق، بی کا، بی تا، افتادگی: آغاز ( یک صفحه) و انجام</w:t>
      </w:r>
    </w:p>
    <w:p>
      <w:pPr>
        <w:pStyle w:val="BookText"/>
      </w:pPr>
      <w:r>
        <w:rPr>
          <w:rFonts w:ascii="IRNazanin" w:hAnsi="IRNazanin" w:eastAsia="IRNazanin" w:cs="IRNazanin"/>
          <w:lang w:bidi="fa-IR"/>
          <w:color w:val="111111"/>
          <w:sz w:val="28"/>
          <w:szCs w:val="28"/>
          <w:rtl/>
        </w:rPr>
        <w:t xml:space="preserve">(دو صفحه)؛ کاغذ: حنایی، جلد: میشن دار چینی، ۲۱۴گ، ۱۵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۱-۵۶]</w:t>
      </w:r>
    </w:p>
    <w:p>
      <w:pPr>
        <w:pStyle w:val="BookText"/>
      </w:pPr>
      <w:r>
        <w:rPr>
          <w:rFonts w:ascii="IRNazanin" w:hAnsi="IRNazanin" w:eastAsia="IRNazanin" w:cs="IRNazanin"/>
          <w:lang w:bidi="fa-IR"/>
          <w:color w:val="111111"/>
          <w:sz w:val="28"/>
          <w:szCs w:val="28"/>
          <w:rtl/>
        </w:rPr>
        <w:t xml:space="preserve">۶۶. قم؛ گلپایگانی؛ شماره نسخه:۹۰۸۷- ۶۰/۲۷</w:t>
      </w:r>
    </w:p>
    <w:p>
      <w:pPr>
        <w:pStyle w:val="BookText"/>
      </w:pPr>
      <w:r>
        <w:rPr>
          <w:rFonts w:ascii="IRNazanin" w:hAnsi="IRNazanin" w:eastAsia="IRNazanin" w:cs="IRNazanin"/>
          <w:lang w:bidi="fa-IR"/>
          <w:color w:val="111111"/>
          <w:sz w:val="28"/>
          <w:szCs w:val="28"/>
          <w:rtl/>
        </w:rPr>
        <w:t xml:space="preserve">آغاز: و ناموس نبوت بدانکه رقوم را خبطه بسیار است يكبار گویند مبدع او خلق عقدت و او اشرف موجودات از ما قبل «باب دوم در ذکر مجوس ومقالات دین ایشان» تا «باب بیست و سیوم در احادیث اهل سنت که ... حدیث اول نحن معاشر الانبياء لانورث ...»؛ خط: نستعلیق، بی کا، بی تا، افتادگی: آغاز و وسط و انجام؛ ۱۱۰گ، ۲۱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۹سم [ف: ۲-۷۰۸]</w:t>
      </w:r>
    </w:p>
    <w:p>
      <w:pPr>
        <w:pStyle w:val="BookText"/>
      </w:pPr>
      <w:r>
        <w:rPr>
          <w:rFonts w:ascii="IRNazanin" w:hAnsi="IRNazanin" w:eastAsia="IRNazanin" w:cs="IRNazanin"/>
          <w:lang w:bidi="fa-IR"/>
          <w:color w:val="111111"/>
          <w:sz w:val="28"/>
          <w:szCs w:val="28"/>
          <w:rtl/>
        </w:rPr>
        <w:t xml:space="preserve">۶۷. قم؛ گلپایگانی؛ شماره نسخه:۸۱۳۴/۳ - ۵۵/۱۱۴</w:t>
      </w:r>
    </w:p>
    <w:p>
      <w:pPr>
        <w:pStyle w:val="BookText"/>
      </w:pPr>
      <w:r>
        <w:rPr>
          <w:rFonts w:ascii="IRNazanin" w:hAnsi="IRNazanin" w:eastAsia="IRNazanin" w:cs="IRNazanin"/>
          <w:lang w:bidi="fa-IR"/>
          <w:color w:val="111111"/>
          <w:sz w:val="28"/>
          <w:szCs w:val="28"/>
          <w:rtl/>
        </w:rPr>
        <w:t xml:space="preserve">آغاز: بسمله، أما بعد، بدانکه مدتی بود که جماعتی از سادات و غیره از این ضعيف سيد مرتضى التماس می کردند در عقاید اصحاب ادیان و ملل فقط بخشی از آغاز کتاب؛ خط: نستعلیق، بی کا، بی تا، افتادگی: انجام؛ وگ، ۲۰-۲۴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۲-۷۰۸)</w:t>
      </w:r>
    </w:p>
    <w:p>
      <w:pPr>
        <w:pStyle w:val="BookText"/>
      </w:pPr>
      <w:r>
        <w:rPr>
          <w:rFonts w:ascii="IRNazanin" w:hAnsi="IRNazanin" w:eastAsia="IRNazanin" w:cs="IRNazanin"/>
          <w:lang w:bidi="fa-IR"/>
          <w:color w:val="111111"/>
          <w:sz w:val="28"/>
          <w:szCs w:val="28"/>
          <w:rtl/>
        </w:rPr>
        <w:t xml:space="preserve">۶۸. قم؛ گلپایگانی؛ شماره نسخه: ۱۲۸۱ - ۷/۱۸۱</w:t>
      </w:r>
    </w:p>
    <w:p>
      <w:pPr>
        <w:pStyle w:val="BookText"/>
      </w:pPr>
      <w:r>
        <w:rPr>
          <w:rFonts w:ascii="IRNazanin" w:hAnsi="IRNazanin" w:eastAsia="IRNazanin" w:cs="IRNazanin"/>
          <w:lang w:bidi="fa-IR"/>
          <w:color w:val="111111"/>
          <w:sz w:val="28"/>
          <w:szCs w:val="28"/>
          <w:rtl/>
        </w:rPr>
        <w:t xml:space="preserve">آغاز و انجام: برابر خط نستعلیق، کا: حسین بن محمد علی دارائی، بی تا، جلد: تیماج،</w:t>
      </w:r>
    </w:p>
    <w:p>
      <w:pPr>
        <w:pStyle w:val="BookText"/>
      </w:pPr>
      <w:r>
        <w:rPr>
          <w:rFonts w:ascii="IRNazanin" w:hAnsi="IRNazanin" w:eastAsia="IRNazanin" w:cs="IRNazanin"/>
          <w:lang w:bidi="fa-IR"/>
          <w:color w:val="111111"/>
          <w:sz w:val="28"/>
          <w:szCs w:val="28"/>
          <w:rtl/>
        </w:rPr>
        <w:t xml:space="preserve">مشکی، ۱۶۲گ، ۱۸-۲۱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[ف: ۲-۷۰۸]</w:t>
      </w:r>
    </w:p>
    <w:p>
      <w:pPr>
        <w:pStyle w:val="BookText"/>
      </w:pPr>
      <w:r>
        <w:rPr>
          <w:rFonts w:ascii="IRNazanin" w:hAnsi="IRNazanin" w:eastAsia="IRNazanin" w:cs="IRNazanin"/>
          <w:lang w:bidi="fa-IR"/>
          <w:color w:val="111111"/>
          <w:sz w:val="28"/>
          <w:szCs w:val="28"/>
          <w:rtl/>
        </w:rPr>
        <w:t xml:space="preserve">۶۹. تهران، دانشگاه؛ شماره نسخه:۲۵۹۴-ف</w:t>
      </w:r>
    </w:p>
    <w:p>
      <w:pPr>
        <w:pStyle w:val="BookText"/>
      </w:pPr>
      <w:r>
        <w:rPr>
          <w:rFonts w:ascii="IRNazanin" w:hAnsi="IRNazanin" w:eastAsia="IRNazanin" w:cs="IRNazanin"/>
          <w:lang w:bidi="fa-IR"/>
          <w:color w:val="111111"/>
          <w:sz w:val="28"/>
          <w:szCs w:val="28"/>
          <w:rtl/>
        </w:rPr>
        <w:t xml:space="preserve">نسخه اصل: کتابخانه وزیری ش ۴۶۴۹؛ بی کا، بی تا؛ ۱۳۷گ فيلمها ف: ۱- ۴۰]</w:t>
      </w:r>
    </w:p>
    <w:p>
      <w:pPr>
        <w:pStyle w:val="BookText"/>
      </w:pPr>
      <w:r>
        <w:rPr>
          <w:rFonts w:ascii="IRNazanin" w:hAnsi="IRNazanin" w:eastAsia="IRNazanin" w:cs="IRNazanin"/>
          <w:lang w:bidi="fa-IR"/>
          <w:color w:val="111111"/>
          <w:sz w:val="28"/>
          <w:szCs w:val="28"/>
          <w:rtl/>
        </w:rPr>
        <w:t xml:space="preserve">۷۰. تهران، دانشگاه؛ شماره نسخه: ۱۰۲۳/۲ -ف</w:t>
      </w:r>
    </w:p>
    <w:p>
      <w:pPr>
        <w:pStyle w:val="BookText"/>
      </w:pPr>
      <w:r>
        <w:rPr>
          <w:rFonts w:ascii="IRNazanin" w:hAnsi="IRNazanin" w:eastAsia="IRNazanin" w:cs="IRNazanin"/>
          <w:lang w:bidi="fa-IR"/>
          <w:color w:val="111111"/>
          <w:sz w:val="28"/>
          <w:szCs w:val="28"/>
          <w:rtl/>
        </w:rPr>
        <w:t xml:space="preserve">نسخه اصل: بادلیان فرازر ۱۱۴ (۳۵ و ۱۷۶۶ و ۱۷۹۲). در ۲۶ باب. مؤلف در آن به نام</w:t>
      </w:r>
    </w:p>
    <w:p>
      <w:pPr>
        <w:pStyle w:val="BookText"/>
      </w:pPr>
      <w:r>
        <w:rPr>
          <w:rFonts w:ascii="IRNazanin" w:hAnsi="IRNazanin" w:eastAsia="IRNazanin" w:cs="IRNazanin"/>
          <w:lang w:bidi="fa-IR"/>
          <w:color w:val="111111"/>
          <w:sz w:val="28"/>
          <w:szCs w:val="28"/>
          <w:rtl/>
        </w:rPr>
        <w:t xml:space="preserve">«مرتضی ملقب به علم الهدی» خوانده شده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bookmarkStart w:id="647" w:name="pg20363_209988"/>
    <w:bookmarkEnd w:id="647"/>
    <w:p>
      <w:pPr>
        <w:pStyle w:val="BookText"/>
      </w:pPr>
      <w:r>
        <w:rPr>
          <w:rFonts w:ascii="IRNazanin" w:hAnsi="IRNazanin" w:eastAsia="IRNazanin" w:cs="IRNazanin"/>
          <w:lang w:bidi="fa-IR"/>
          <w:color w:val="111111"/>
          <w:sz w:val="28"/>
          <w:szCs w:val="28"/>
          <w:rtl/>
        </w:rPr>
        <w:t xml:space="preserve">است؛ خط: نستعلیق، بی کا، بی تا؛ ۱۶ سطر [فیلمها ف: ۱-۵۵۵]</w:t>
      </w:r>
    </w:p>
    <w:p>
      <w:pPr>
        <w:pStyle w:val="Heading3"/>
      </w:pPr>
      <w:bookmarkStart w:id="2886" w:name="_Toc2146"/>
      <w:r>
        <w:t>•تبصرة العوام في معرفة مقالات الأنام (ترجمه) / کلام و اعتقادات / عربی</w:t>
      </w:r>
      <w:bookmarkEnd w:id="2886"/>
    </w:p>
    <w:p>
      <w:pPr>
        <w:pStyle w:val="BookText"/>
      </w:pPr>
      <w:r>
        <w:rPr>
          <w:rFonts w:ascii="Times New Roman" w:hAnsi="Times New Roman" w:eastAsia="Times New Roman" w:cs="Times New Roman"/>
          <w:lang w:val="en-US" w:bidi="en-US"/>
          <w:color w:val="111111"/>
          <w:sz w:val="28"/>
          <w:szCs w:val="28"/>
          <w:rtl/>
        </w:rPr>
        <w:t xml:space="preserve">tabșirat-ul “awām fi ma'rifat-i maqālāt-il anām (t.)</w:t>
      </w:r>
    </w:p>
    <w:p>
      <w:pPr>
        <w:pStyle w:val="BookText"/>
      </w:pPr>
      <w:r>
        <w:rPr>
          <w:rFonts w:ascii="IRNazanin" w:hAnsi="IRNazanin" w:eastAsia="IRNazanin" w:cs="IRNazanin"/>
          <w:lang w:bidi="fa-IR"/>
          <w:color w:val="111111"/>
          <w:sz w:val="28"/>
          <w:szCs w:val="28"/>
          <w:rtl/>
        </w:rPr>
        <w:t xml:space="preserve">بطیطی، حسین بن علی، ق ۷ قمری</w:t>
      </w:r>
    </w:p>
    <w:p>
      <w:pPr>
        <w:pStyle w:val="BookText"/>
      </w:pPr>
      <w:r>
        <w:rPr>
          <w:rFonts w:ascii="Times New Roman" w:hAnsi="Times New Roman" w:eastAsia="Times New Roman" w:cs="Times New Roman"/>
          <w:lang w:val="en-US" w:bidi="en-US"/>
          <w:color w:val="111111"/>
          <w:sz w:val="28"/>
          <w:szCs w:val="28"/>
          <w:rtl/>
        </w:rPr>
        <w:t xml:space="preserve">batītī, hoseyn ebn-e 'alī (-13c)</w:t>
      </w:r>
    </w:p>
    <w:p>
      <w:pPr>
        <w:pStyle w:val="BookText"/>
      </w:pPr>
      <w:r>
        <w:rPr>
          <w:rFonts w:ascii="IRNazanin" w:hAnsi="IRNazanin" w:eastAsia="IRNazanin" w:cs="IRNazanin"/>
          <w:lang w:bidi="fa-IR"/>
          <w:color w:val="111111"/>
          <w:sz w:val="28"/>
          <w:szCs w:val="28"/>
          <w:rtl/>
        </w:rPr>
        <w:t xml:space="preserve">وابسته به تبصرة العوام في معرفة مقالات الأنام؛ علم الهدی، مرتضی بن داعی (۶) تاریخ تأليف: اواسط رجب ۶۵۸ق؛ محل تالیف: استرآباد ترجمه آزادی است از کتاب «تبصرة العوام» جمال الدین مرتضی بن داعی حسینی رازی با افزودن برخی از مطالب، تنظیم شده بر مبنای اصل کتاب در ۲۶ «باب» و در پایان کتاب بابی در احوال ملوک تاتار و مغول بر اصل کتاب افزوده است. در صفحه ع آمده «کتاب في معرفة مقالات الأنام تاليف الشيخ الامام جمال الدین محمد بن الحسين بن الحسن الرازی و الفه بشيراز بالفارسية دون العربية حتى نقله الامام الحسن بن على البطيطى الحافظ في سنة ثمان و خمسین و ستمائة ببلدة استر آباد.»</w:t>
      </w:r>
    </w:p>
    <w:p>
      <w:pPr>
        <w:pStyle w:val="BookText"/>
      </w:pPr>
      <w:r>
        <w:rPr>
          <w:rFonts w:ascii="IRNazanin" w:hAnsi="IRNazanin" w:eastAsia="IRNazanin" w:cs="IRNazanin"/>
          <w:lang w:bidi="fa-IR"/>
          <w:color w:val="111111"/>
          <w:sz w:val="28"/>
          <w:szCs w:val="28"/>
          <w:rtl/>
        </w:rPr>
        <w:t xml:space="preserve">تهران؛ مجلس؛ شماره نسخه:۱۲۵۶</w:t>
      </w:r>
    </w:p>
    <w:p>
      <w:pPr>
        <w:pStyle w:val="BookText"/>
      </w:pPr>
      <w:r>
        <w:rPr>
          <w:rFonts w:ascii="IRNazanin" w:hAnsi="IRNazanin" w:eastAsia="IRNazanin" w:cs="IRNazanin"/>
          <w:lang w:bidi="fa-IR"/>
          <w:color w:val="111111"/>
          <w:sz w:val="28"/>
          <w:szCs w:val="28"/>
          <w:rtl/>
        </w:rPr>
        <w:t xml:space="preserve">آغاز: الحمدلله الذي أماط متاع العدم عن خدود الوجود و زین قدود ذوى الوجود بحلل طاعته و حلى السجود ابتسم في وجه ملكوته غواني الغيوب .. خط: نسخ، كا: حسین بن محمد، تا: جمعه ۵ جمادی الثانی ۸۹۸ق، جان مدرسه فقیه احمد بوجانی؛ مصحح، محشی از از «قاسم حسینی»؛ تملک: شيخ بهاء الدين محمد عاملی، سید محمد تقی حسینی مکی قمی در ۱۰۵۴؛ مهر: «محمد مؤمن بن عبدالعال» (مربع)؛ کاغذ: سفید، جلد: مقوایی، ۱۹۰گ، ۱۴-۱۶سطر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[سنا: ف: ۲-۱۹۴]</w:t>
      </w:r>
    </w:p>
    <w:p>
      <w:pPr>
        <w:pStyle w:val="BookText"/>
      </w:pPr>
      <w:r>
        <w:rPr>
          <w:rFonts w:ascii="IRNazanin" w:hAnsi="IRNazanin" w:eastAsia="IRNazanin" w:cs="IRNazanin"/>
          <w:lang w:bidi="fa-IR"/>
          <w:color w:val="111111"/>
          <w:sz w:val="28"/>
          <w:szCs w:val="28"/>
          <w:rtl/>
        </w:rPr>
        <w:t xml:space="preserve">قم: مرکز احیاء؛ شماره نسخه:۲۴۳۶</w:t>
      </w:r>
    </w:p>
    <w:p>
      <w:pPr>
        <w:pStyle w:val="BookText"/>
      </w:pPr>
      <w:r>
        <w:rPr>
          <w:rFonts w:ascii="IRNazanin" w:hAnsi="IRNazanin" w:eastAsia="IRNazanin" w:cs="IRNazanin"/>
          <w:lang w:bidi="fa-IR"/>
          <w:color w:val="111111"/>
          <w:sz w:val="28"/>
          <w:szCs w:val="28"/>
          <w:rtl/>
        </w:rPr>
        <w:t xml:space="preserve">نسخه اصل: همان نسخه بالا [عکسی ف: ۷-۴۳]</w:t>
      </w:r>
    </w:p>
    <w:p>
      <w:pPr>
        <w:pStyle w:val="Heading3"/>
      </w:pPr>
      <w:bookmarkStart w:id="2887" w:name="_Toc2147"/>
      <w:r>
        <w:t>•تبصرة العوام (منتخب) / کلام و اعتقادات / فارسی</w:t>
      </w:r>
      <w:bookmarkEnd w:id="2887"/>
    </w:p>
    <w:p>
      <w:pPr>
        <w:pStyle w:val="BookText"/>
      </w:pPr>
      <w:r>
        <w:rPr>
          <w:rFonts w:ascii="Times New Roman" w:hAnsi="Times New Roman" w:eastAsia="Times New Roman" w:cs="Times New Roman"/>
          <w:lang w:val="en-US" w:bidi="en-US"/>
          <w:color w:val="111111"/>
          <w:sz w:val="28"/>
          <w:szCs w:val="28"/>
          <w:rtl/>
        </w:rPr>
        <w:t xml:space="preserve">tabşirat-ul ‘awām (mn.)</w:t>
      </w:r>
    </w:p>
    <w:p>
      <w:pPr>
        <w:pStyle w:val="BookText"/>
      </w:pPr>
      <w:r>
        <w:rPr>
          <w:rFonts w:ascii="IRNazanin" w:hAnsi="IRNazanin" w:eastAsia="IRNazanin" w:cs="IRNazanin"/>
          <w:lang w:bidi="fa-IR"/>
          <w:color w:val="111111"/>
          <w:sz w:val="28"/>
          <w:szCs w:val="28"/>
          <w:rtl/>
        </w:rPr>
        <w:t xml:space="preserve">وابسته به: تبصرة العوام في معرفة مقالات الأنام؛ علم الهدی، مرتضی بن داعی (۶) گزیده ای است از «تبصره العوام في معرفة مقالات الأنام» که منسوب به سید مرتضی بن داعی حسنی رازی می باشد لكن در آغاز رساله مؤلف خواجه نصیرالدین طوسی معرفی شده است.</w:t>
      </w:r>
    </w:p>
    <w:p>
      <w:pPr>
        <w:pStyle w:val="BookText"/>
      </w:pPr>
      <w:r>
        <w:rPr>
          <w:rFonts w:ascii="Amiri" w:hAnsi="Amiri" w:eastAsia="Amiri" w:cs="Amiri"/>
          <w:lang w:bidi="ar-SA"/>
          <w:color w:val="111111"/>
          <w:sz w:val="28"/>
          <w:szCs w:val="28"/>
          <w:rtl/>
        </w:rPr>
        <w:t xml:space="preserve">الذريعة ۳۱۸/۳ ]</w:t>
      </w:r>
    </w:p>
    <w:p>
      <w:pPr>
        <w:pStyle w:val="BookText"/>
      </w:pPr>
      <w:r>
        <w:rPr>
          <w:rFonts w:ascii="IRNazanin" w:hAnsi="IRNazanin" w:eastAsia="IRNazanin" w:cs="IRNazanin"/>
          <w:lang w:bidi="fa-IR"/>
          <w:color w:val="111111"/>
          <w:sz w:val="28"/>
          <w:szCs w:val="28"/>
          <w:rtl/>
        </w:rPr>
        <w:t xml:space="preserve">قم؛ مرعشی؛ شماره نسخه:۱۴۰۵۹/۳</w:t>
      </w:r>
    </w:p>
    <w:p>
      <w:pPr>
        <w:pStyle w:val="BookText"/>
      </w:pPr>
      <w:r>
        <w:rPr>
          <w:rFonts w:ascii="IRNazanin" w:hAnsi="IRNazanin" w:eastAsia="IRNazanin" w:cs="IRNazanin"/>
          <w:lang w:bidi="fa-IR"/>
          <w:color w:val="111111"/>
          <w:sz w:val="28"/>
          <w:szCs w:val="28"/>
          <w:rtl/>
        </w:rPr>
        <w:t xml:space="preserve">آغاز: این رساله ایست منتخب از تبصرة العوام از مصنفات سلطان</w:t>
      </w:r>
    </w:p>
    <w:p>
      <w:pPr>
        <w:pStyle w:val="BookText"/>
      </w:pPr>
      <w:r>
        <w:rPr>
          <w:rFonts w:ascii="IRNazanin" w:hAnsi="IRNazanin" w:eastAsia="IRNazanin" w:cs="IRNazanin"/>
          <w:lang w:bidi="fa-IR"/>
          <w:color w:val="111111"/>
          <w:sz w:val="28"/>
          <w:szCs w:val="28"/>
          <w:rtl/>
        </w:rPr>
        <w:t xml:space="preserve">المحققين و المدققين في العالم محمد بن طوسی باب در اعتقاد فلاسفه: فلاسفی عالم را قدیم گویند و افي صانع مختار کنند؛ انجام: اگر عذاب فرود آمدی جز از آن خلاصی نیافتی بدانکه واضع این حدیث را ..... و ایمان برسول (صلی الله علیه وآله وسلم)... که گوید روز بدر فرو خط: نستعلیق، كا: افضل بن شمس الدين محمد مشهور به آقا بزرگ ساوجی حسینی، تا: قرن ۱۱؛ افتادگی: انجام؛ داستان رفتن ذوالقرنین به ظلمات در انجام رساله در یک برگ آمده؛ کاغذ: شرقی، ۴گ (۴۷ر - ۵۰پ)، ۱۸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سم [ف: ۳۵-۵۴۳]</w:t>
      </w:r>
    </w:p>
    <w:p>
      <w:pPr>
        <w:pStyle w:val="Heading3"/>
      </w:pPr>
      <w:bookmarkStart w:id="2888" w:name="_Toc2148"/>
      <w:r>
        <w:t>•تبصرة الفقهاء / فقه / عربی</w:t>
      </w:r>
      <w:bookmarkEnd w:id="2888"/>
    </w:p>
    <w:p>
      <w:pPr>
        <w:pStyle w:val="BookText"/>
      </w:pPr>
      <w:r>
        <w:rPr>
          <w:rFonts w:ascii="Times New Roman" w:hAnsi="Times New Roman" w:eastAsia="Times New Roman" w:cs="Times New Roman"/>
          <w:lang w:val="en-US" w:bidi="en-US"/>
          <w:color w:val="111111"/>
          <w:sz w:val="28"/>
          <w:szCs w:val="28"/>
          <w:rtl/>
        </w:rPr>
        <w:t xml:space="preserve">tabşirat-ul fuqahā'</w:t>
      </w:r>
    </w:p>
    <w:p>
      <w:pPr>
        <w:pStyle w:val="BookText"/>
      </w:pPr>
      <w:r>
        <w:rPr>
          <w:rFonts w:ascii="IRNazanin" w:hAnsi="IRNazanin" w:eastAsia="IRNazanin" w:cs="IRNazanin"/>
          <w:lang w:bidi="fa-IR"/>
          <w:color w:val="111111"/>
          <w:sz w:val="28"/>
          <w:szCs w:val="28"/>
          <w:rtl/>
        </w:rPr>
        <w:t xml:space="preserve">اصفهانی، محمد تقی بن عبد الرحيم، -۱۲۴۸ قمری</w:t>
      </w:r>
    </w:p>
    <w:p>
      <w:pPr>
        <w:pStyle w:val="BookText"/>
      </w:pPr>
      <w:r>
        <w:rPr>
          <w:rFonts w:ascii="Times New Roman" w:hAnsi="Times New Roman" w:eastAsia="Times New Roman" w:cs="Times New Roman"/>
          <w:lang w:val="en-US" w:bidi="en-US"/>
          <w:color w:val="111111"/>
          <w:sz w:val="28"/>
          <w:szCs w:val="28"/>
          <w:rtl/>
        </w:rPr>
        <w:t xml:space="preserve">esfahānī, mohammad taqī ebn-e ‘abd-or-rahīm (-1833)</w:t>
      </w:r>
    </w:p>
    <w:p>
      <w:pPr>
        <w:pStyle w:val="BookText"/>
      </w:pPr>
      <w:r>
        <w:rPr>
          <w:rFonts w:ascii="IRNazanin" w:hAnsi="IRNazanin" w:eastAsia="IRNazanin" w:cs="IRNazanin"/>
          <w:lang w:bidi="fa-IR"/>
          <w:color w:val="111111"/>
          <w:sz w:val="28"/>
          <w:szCs w:val="28"/>
          <w:rtl/>
        </w:rPr>
        <w:t xml:space="preserve">فقه استدلالی با نقل اقوال فقها و با عناوین «تبصره - تبصره». اکثر مسایل فقهی را با نقل اقوال بزرگان و رد و ایراد در آنها در این مجموعه گرد آورده و و کتاب الطهارة، اوقات الصلاة، زكات و بيع آن معرفی شده است.</w:t>
      </w:r>
    </w:p>
    <w:p>
      <w:pPr>
        <w:pStyle w:val="BookText"/>
      </w:pPr>
      <w:r>
        <w:rPr>
          <w:rFonts w:ascii="IRNazanin" w:hAnsi="IRNazanin" w:eastAsia="IRNazanin" w:cs="IRNazanin"/>
          <w:lang w:bidi="fa-IR"/>
          <w:color w:val="111111"/>
          <w:sz w:val="28"/>
          <w:szCs w:val="28"/>
          <w:rtl/>
        </w:rPr>
        <w:t xml:space="preserve">[دنا ۷۶۶/۲ ]</w:t>
      </w:r>
    </w:p>
    <w:p>
      <w:pPr>
        <w:pStyle w:val="BookText"/>
      </w:pPr>
      <w:r>
        <w:rPr>
          <w:rFonts w:ascii="IRNazanin" w:hAnsi="IRNazanin" w:eastAsia="IRNazanin" w:cs="IRNazanin"/>
          <w:lang w:bidi="fa-IR"/>
          <w:color w:val="111111"/>
          <w:sz w:val="28"/>
          <w:szCs w:val="28"/>
          <w:rtl/>
        </w:rPr>
        <w:t xml:space="preserve">۱. تهران: مجلس؛ شماره نسخه:۳۶۶ط</w:t>
      </w:r>
    </w:p>
    <w:p>
      <w:pPr>
        <w:pStyle w:val="BookText"/>
      </w:pPr>
      <w:r>
        <w:rPr>
          <w:rFonts w:ascii="Amiri" w:hAnsi="Amiri" w:eastAsia="Amiri" w:cs="Amiri"/>
          <w:lang w:bidi="ar-SA"/>
          <w:color w:val="111111"/>
          <w:sz w:val="28"/>
          <w:szCs w:val="28"/>
          <w:rtl/>
        </w:rPr>
        <w:t xml:space="preserve">آغاز: بسمله. الباب الثالث في الغسل و هو غسل متعلق بجميع البشر او ما نزل منزلته؛ انجام: و حكمهم باق عند علمائنا و هو مؤذن بالاجماع عليه مع عدم تمت كتابته و الباقي في النسخة ناقص.</w:t>
      </w:r>
    </w:p>
    <w:p>
      <w:pPr>
        <w:pStyle w:val="BookText"/>
      </w:pPr>
      <w:r>
        <w:rPr>
          <w:rFonts w:ascii="IRNazanin" w:hAnsi="IRNazanin" w:eastAsia="IRNazanin" w:cs="IRNazanin"/>
          <w:lang w:bidi="fa-IR"/>
          <w:color w:val="111111"/>
          <w:sz w:val="28"/>
          <w:szCs w:val="28"/>
          <w:rtl/>
        </w:rPr>
        <w:t xml:space="preserve">شامل الباب الثالث في الغسل تا کتاب الزكاة؛ خط: نسخ، بی کا، تا: قرن ۱۳؛ جلد: تیماج سرخ، ترنج با سر، ۳۶۴ص، ۱۹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۲۴/۳ -۱۶]</w:t>
      </w:r>
    </w:p>
    <w:p>
      <w:pPr>
        <w:pStyle w:val="BookText"/>
      </w:pPr>
      <w:r>
        <w:rPr>
          <w:rFonts w:ascii="IRNazanin" w:hAnsi="IRNazanin" w:eastAsia="IRNazanin" w:cs="IRNazanin"/>
          <w:lang w:bidi="fa-IR"/>
          <w:color w:val="111111"/>
          <w:sz w:val="28"/>
          <w:szCs w:val="28"/>
          <w:rtl/>
        </w:rPr>
        <w:t xml:space="preserve">۲. گلپایگان؛ کتابخانه حجة الاسلام گلپایگانی؛ شماره نسخه: ۱۱۶/۱</w:t>
      </w:r>
    </w:p>
    <w:p>
      <w:pPr>
        <w:pStyle w:val="BookText"/>
      </w:pPr>
      <w:r>
        <w:rPr>
          <w:rFonts w:ascii="IRNazanin" w:hAnsi="IRNazanin" w:eastAsia="IRNazanin" w:cs="IRNazanin"/>
          <w:lang w:bidi="fa-IR"/>
          <w:color w:val="111111"/>
          <w:sz w:val="28"/>
          <w:szCs w:val="28"/>
          <w:rtl/>
        </w:rPr>
        <w:t xml:space="preserve">مقداری از کتاب الطهارة؛ كا: ملا زین العابدین گلپایگانی، تا: دوشنبه ۱۷ جمادی الاول ۱۲۵۱ق؛ محشی از کاتب با عناوین المحرره زین عفی عنه»؛ ۳۲گ (۲پ -۳۴پ)،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کتابخانه های [گلپایگان: ف: ۹۴]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مرکز احیاء؛ شماره نسخه:۱۰۴۳</w:t>
      </w:r>
    </w:p>
    <w:p>
      <w:pPr>
        <w:pStyle w:val="BookText"/>
      </w:pPr>
      <w:r>
        <w:rPr>
          <w:rFonts w:ascii="IRNazanin" w:hAnsi="IRNazanin" w:eastAsia="IRNazanin" w:cs="IRNazanin"/>
          <w:lang w:bidi="fa-IR"/>
          <w:color w:val="111111"/>
          <w:sz w:val="28"/>
          <w:szCs w:val="28"/>
          <w:rtl/>
        </w:rPr>
        <w:t xml:space="preserve">آغاز: کتاب الطهارة وهي في اللغة النزاهة و النظافة و عند المتشرعة يطلق على معان عديدة منها الصفة المقابلة</w:t>
      </w:r>
    </w:p>
    <w:p>
      <w:pPr>
        <w:pStyle w:val="BookText"/>
      </w:pPr>
      <w:r>
        <w:rPr>
          <w:rFonts w:ascii="IRNazanin" w:hAnsi="IRNazanin" w:eastAsia="IRNazanin" w:cs="IRNazanin"/>
          <w:lang w:bidi="fa-IR"/>
          <w:color w:val="111111"/>
          <w:sz w:val="28"/>
          <w:szCs w:val="28"/>
          <w:rtl/>
        </w:rPr>
        <w:t xml:space="preserve">نسخه اصل: کتابخانه سید محمد على روضاتی - اصفهان. مشتمل بر کتاب الطهارة، اوقات الصلاة، زكات و بیع می باشد؛ خط: نسخ، كان مسمی به تاسع الأئمة (جواد)، تا: جمعه ۱۰ جمادی الثانی ۱۲۸۱ق؛ یادداشتی از «شیخ هادی نجفی» درباره کتاب و مؤلف و ابواب و نسخه آن؛ ۴۸۶ص [عکسی ف: ۳-۳۰۳ ]</w:t>
      </w:r>
    </w:p>
    <w:p>
      <w:pPr>
        <w:pStyle w:val="BookText"/>
      </w:pPr>
      <w:r>
        <w:rPr>
          <w:rFonts w:ascii="IRNazanin" w:hAnsi="IRNazanin" w:eastAsia="IRNazanin" w:cs="IRNazanin"/>
          <w:lang w:bidi="fa-IR"/>
          <w:color w:val="111111"/>
          <w:sz w:val="28"/>
          <w:szCs w:val="28"/>
          <w:rtl/>
        </w:rPr>
        <w:t xml:space="preserve">۴. مشهد؛ الهیات، شماره نسخه: ۲۲۳۵۵/۲</w:t>
      </w:r>
    </w:p>
    <w:p>
      <w:pPr>
        <w:pStyle w:val="BookText"/>
      </w:pPr>
      <w:r>
        <w:rPr>
          <w:rFonts w:ascii="IRNazanin" w:hAnsi="IRNazanin" w:eastAsia="IRNazanin" w:cs="IRNazanin"/>
          <w:lang w:bidi="fa-IR"/>
          <w:color w:val="111111"/>
          <w:sz w:val="28"/>
          <w:szCs w:val="28"/>
          <w:rtl/>
        </w:rPr>
        <w:t xml:space="preserve">آغاز: بسمله کتاب الطهارة و هو في اللغه النزاهة و النظافه شامل مباحث طهارة، صلواة، بيع، زکواة؛ خط: نسخ، بی کا، بی تا؛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bookmarkStart w:id="648" w:name="pg20363_209989"/>
    <w:bookmarkEnd w:id="648"/>
    <w:p>
      <w:pPr>
        <w:pStyle w:val="BookText"/>
      </w:pPr>
      <w:r>
        <w:rPr>
          <w:rFonts w:ascii="IRNazanin" w:hAnsi="IRNazanin" w:eastAsia="IRNazanin" w:cs="IRNazanin"/>
          <w:lang w:bidi="fa-IR"/>
          <w:color w:val="111111"/>
          <w:sz w:val="28"/>
          <w:szCs w:val="28"/>
          <w:rtl/>
        </w:rPr>
        <w:t xml:space="preserve">کاغذ: فرنگی آهار مهره، جلد: تیماج آلبالویی رنگ، ۲۳ سطر (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۲-۲۲۲]</w:t>
      </w:r>
    </w:p>
    <w:p>
      <w:pPr>
        <w:pStyle w:val="Heading3"/>
      </w:pPr>
      <w:bookmarkStart w:id="2889" w:name="_Toc2149"/>
      <w:r>
        <w:t>•التبصرة في بيان اصطلاحات الصوفية / عرفان و تصوف</w:t>
      </w:r>
      <w:bookmarkEnd w:id="2889"/>
    </w:p>
    <w:p>
      <w:pPr>
        <w:pStyle w:val="BookText"/>
      </w:pPr>
      <w:r>
        <w:rPr>
          <w:rFonts w:ascii="Times New Roman" w:hAnsi="Times New Roman" w:eastAsia="Times New Roman" w:cs="Times New Roman"/>
          <w:lang w:val="en-US" w:bidi="en-US"/>
          <w:color w:val="111111"/>
          <w:sz w:val="28"/>
          <w:szCs w:val="28"/>
          <w:rtl/>
        </w:rPr>
        <w:t xml:space="preserve">at-tabyira fi bayan-i istilahat-is sufiya</w:t>
      </w:r>
    </w:p>
    <w:p>
      <w:pPr>
        <w:pStyle w:val="BookText"/>
      </w:pPr>
      <w:r>
        <w:rPr>
          <w:rFonts w:ascii="IRNazanin" w:hAnsi="IRNazanin" w:eastAsia="IRNazanin" w:cs="IRNazanin"/>
          <w:lang w:bidi="fa-IR"/>
          <w:color w:val="111111"/>
          <w:sz w:val="28"/>
          <w:szCs w:val="28"/>
          <w:rtl/>
        </w:rPr>
        <w:t xml:space="preserve">اصطلاحات صوفیان است از عبدالرزاق کاشانی و سپس نکوهش از تصوف و گویا از همان شوشتری کاتب باشد.</w:t>
      </w:r>
    </w:p>
    <w:p>
      <w:pPr>
        <w:pStyle w:val="BookText"/>
      </w:pPr>
      <w:r>
        <w:rPr>
          <w:rFonts w:ascii="IRNazanin" w:hAnsi="IRNazanin" w:eastAsia="IRNazanin" w:cs="IRNazanin"/>
          <w:lang w:bidi="fa-IR"/>
          <w:color w:val="111111"/>
          <w:sz w:val="28"/>
          <w:szCs w:val="28"/>
          <w:rtl/>
        </w:rPr>
        <w:t xml:space="preserve">تهران؛ دانشگاه؛ شماره نسخه: ۲۸۳۰/۱۱</w:t>
      </w:r>
    </w:p>
    <w:p>
      <w:pPr>
        <w:pStyle w:val="BookText"/>
      </w:pPr>
      <w:r>
        <w:rPr>
          <w:rFonts w:ascii="IRNazanin" w:hAnsi="IRNazanin" w:eastAsia="IRNazanin" w:cs="IRNazanin"/>
          <w:lang w:bidi="fa-IR"/>
          <w:color w:val="111111"/>
          <w:sz w:val="28"/>
          <w:szCs w:val="28"/>
          <w:rtl/>
        </w:rPr>
        <w:t xml:space="preserve">آغاز: بسمله تحف و دعوات غير معدود ... دیه روح بهتر عالم و عالمیان پیغمبر آخر الزمان و بعد فهذه رسالة في بيان الالفاظ المصطلحة بين الطائفة الصوفية و قد نص بمضامينها ... مولانا کمال الدين ... شیخ الرزاق الكاشانی؛ انجام: و لاتنظروا الى من له عمامة طویل عريض وله من الأثواب اقبية سود و بيض و السلام على من الهدی و سيعلموا الذين ضللوای منقلب ينقلبون انا لله راجعون خط: نستعلیق، كا: عبدالصمد بن حسین بن محمد شوشتری، تا: قرن ۱۳، جا: اصفهان؛ کاغذ: فرنگی، جلد: مقوا، وص (۱۷۳- ۱۸۱) [ف: ۱۰-۱۶۶۹]</w:t>
      </w:r>
    </w:p>
    <w:p>
      <w:pPr>
        <w:pStyle w:val="Heading3"/>
      </w:pPr>
      <w:bookmarkStart w:id="2890" w:name="_Toc2150"/>
      <w:r>
        <w:t>•التبصرة في الحساب / حساب / عربی</w:t>
      </w:r>
      <w:bookmarkEnd w:id="2890"/>
    </w:p>
    <w:p>
      <w:pPr>
        <w:pStyle w:val="BookText"/>
      </w:pPr>
      <w:r>
        <w:rPr>
          <w:rFonts w:ascii="Times New Roman" w:hAnsi="Times New Roman" w:eastAsia="Times New Roman" w:cs="Times New Roman"/>
          <w:lang w:val="en-US" w:bidi="en-US"/>
          <w:color w:val="111111"/>
          <w:sz w:val="28"/>
          <w:szCs w:val="28"/>
          <w:rtl/>
        </w:rPr>
        <w:t xml:space="preserve">at-tabsira fi-1 hisab</w:t>
      </w:r>
    </w:p>
    <w:p>
      <w:pPr>
        <w:pStyle w:val="BookText"/>
      </w:pPr>
      <w:r>
        <w:rPr>
          <w:rFonts w:ascii="Times New Roman" w:hAnsi="Times New Roman" w:eastAsia="Times New Roman" w:cs="Times New Roman"/>
          <w:lang w:val="en-US" w:bidi="en-US"/>
          <w:color w:val="111111"/>
          <w:sz w:val="28"/>
          <w:szCs w:val="28"/>
          <w:rtl/>
        </w:rPr>
        <w:t xml:space="preserve">ebrāhīm ebn-e abī tāleb (-11c)</w:t>
      </w:r>
    </w:p>
    <w:p>
      <w:pPr>
        <w:pStyle w:val="BookText"/>
      </w:pPr>
      <w:r>
        <w:rPr>
          <w:rFonts w:ascii="IRNazanin" w:hAnsi="IRNazanin" w:eastAsia="IRNazanin" w:cs="IRNazanin"/>
          <w:lang w:bidi="fa-IR"/>
          <w:color w:val="111111"/>
          <w:sz w:val="28"/>
          <w:szCs w:val="28"/>
          <w:rtl/>
        </w:rPr>
        <w:t xml:space="preserve">ابراهیم بن ابی طالب، ق ۱۱</w:t>
      </w:r>
    </w:p>
    <w:p>
      <w:pPr>
        <w:pStyle w:val="BookText"/>
      </w:pPr>
      <w:r>
        <w:rPr>
          <w:rFonts w:ascii="IRNazanin" w:hAnsi="IRNazanin" w:eastAsia="IRNazanin" w:cs="IRNazanin"/>
          <w:lang w:bidi="fa-IR"/>
          <w:color w:val="111111"/>
          <w:sz w:val="28"/>
          <w:szCs w:val="28"/>
          <w:rtl/>
        </w:rPr>
        <w:t xml:space="preserve">کتابی است در علم حساب، مشتمل بر یک «مقدمه» و پنج «مقاله» و یک «خاتمه».</w:t>
      </w:r>
    </w:p>
    <w:p>
      <w:pPr>
        <w:pStyle w:val="BookText"/>
      </w:pPr>
      <w:r>
        <w:rPr>
          <w:rFonts w:ascii="IRNazanin" w:hAnsi="IRNazanin" w:eastAsia="IRNazanin" w:cs="IRNazanin"/>
          <w:lang w:bidi="fa-IR"/>
          <w:color w:val="111111"/>
          <w:sz w:val="28"/>
          <w:szCs w:val="28"/>
          <w:rtl/>
        </w:rPr>
        <w:t xml:space="preserve">[ دنا ۷۶۷/۲ ]</w:t>
      </w:r>
    </w:p>
    <w:p>
      <w:pPr>
        <w:pStyle w:val="BookText"/>
      </w:pPr>
      <w:r>
        <w:rPr>
          <w:rFonts w:ascii="IRNazanin" w:hAnsi="IRNazanin" w:eastAsia="IRNazanin" w:cs="IRNazanin"/>
          <w:lang w:bidi="fa-IR"/>
          <w:color w:val="111111"/>
          <w:sz w:val="28"/>
          <w:szCs w:val="28"/>
          <w:rtl/>
        </w:rPr>
        <w:t xml:space="preserve">شیراز؛ ملی؛ شماره نسخه:۴۷-ت/۶۰۳</w:t>
      </w:r>
    </w:p>
    <w:p>
      <w:pPr>
        <w:pStyle w:val="BookText"/>
      </w:pPr>
      <w:r>
        <w:rPr>
          <w:rFonts w:ascii="IRNazanin" w:hAnsi="IRNazanin" w:eastAsia="IRNazanin" w:cs="IRNazanin"/>
          <w:lang w:bidi="fa-IR"/>
          <w:color w:val="111111"/>
          <w:sz w:val="28"/>
          <w:szCs w:val="28"/>
          <w:rtl/>
        </w:rPr>
        <w:t xml:space="preserve">آغاز: بسمله، نحمدک اللهم لك وحدانية العدد. یا مضعف نوال الجديد و الاجد و یا جامع خروب (ضروب) النهم على كل احد؛ انجام: و الحمد لواهب العقل بلا نهاية و الصلوة على محمد و آله من غير عدد و غاية و قد وقع الفراغ من تكتیبه بعون الغفار المتاب (كذا) على يد العبد لمذنب و اقل الطلاب، مهدی بن عبد الوهاب في العشر الثاني من الشهر السادس من العام الثامنة من العشر الثالثة من الماته الثالثه من الألف الثانيه من الهجرة النبویه علیه و آل الف الف التحية.</w:t>
      </w:r>
    </w:p>
    <w:p>
      <w:pPr>
        <w:pStyle w:val="BookText"/>
      </w:pPr>
      <w:r>
        <w:rPr>
          <w:rFonts w:ascii="IRNazanin" w:hAnsi="IRNazanin" w:eastAsia="IRNazanin" w:cs="IRNazanin"/>
          <w:lang w:bidi="fa-IR"/>
          <w:color w:val="111111"/>
          <w:sz w:val="28"/>
          <w:szCs w:val="28"/>
          <w:rtl/>
        </w:rPr>
        <w:t xml:space="preserve">خط: نستعلیق، كا: مهدی بن عبدالوهاب، تا: ۱۲۲۸ق؛ دارای چند جدول حسابی، محشی؛ کاغذ: فرنگی شکری، جلد: تیماج مشکی، ۱۳۵ گ، ۱۵ سطر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سم [ف: ۱۹۴-۲]</w:t>
      </w:r>
    </w:p>
    <w:p>
      <w:pPr>
        <w:pStyle w:val="Heading3"/>
      </w:pPr>
      <w:bookmarkStart w:id="2891" w:name="_Toc2151"/>
      <w:r>
        <w:t>•التبصرة في الصرف = تبصرة المبتدی و تذکرة المنتهی اصرف عربی</w:t>
      </w:r>
      <w:bookmarkEnd w:id="2891"/>
    </w:p>
    <w:p>
      <w:pPr>
        <w:pStyle w:val="BookText"/>
      </w:pPr>
      <w:r>
        <w:rPr>
          <w:rFonts w:ascii="Times New Roman" w:hAnsi="Times New Roman" w:eastAsia="Times New Roman" w:cs="Times New Roman"/>
          <w:lang w:val="en-US" w:bidi="en-US"/>
          <w:color w:val="111111"/>
          <w:sz w:val="28"/>
          <w:szCs w:val="28"/>
          <w:rtl/>
        </w:rPr>
        <w:t xml:space="preserve">at-tabșira fi-ş Şarf = tabşirat-ul mubtadī wa tadkirat-ul muntahī</w:t>
      </w:r>
    </w:p>
    <w:p>
      <w:pPr>
        <w:pStyle w:val="BookText"/>
      </w:pPr>
      <w:r>
        <w:rPr>
          <w:rFonts w:ascii="IRNazanin" w:hAnsi="IRNazanin" w:eastAsia="IRNazanin" w:cs="IRNazanin"/>
          <w:lang w:bidi="fa-IR"/>
          <w:color w:val="111111"/>
          <w:sz w:val="28"/>
          <w:szCs w:val="28"/>
          <w:rtl/>
        </w:rPr>
        <w:t xml:space="preserve">کرمانی، محمد کریم بن ابراهیم، ۱۲۲۵-۱۲۸۸ قمری (1810 )</w:t>
      </w:r>
    </w:p>
    <w:p>
      <w:pPr>
        <w:pStyle w:val="BookText"/>
      </w:pPr>
      <w:r>
        <w:rPr>
          <w:rFonts w:ascii="Times New Roman" w:hAnsi="Times New Roman" w:eastAsia="Times New Roman" w:cs="Times New Roman"/>
          <w:lang w:val="en-US" w:bidi="en-US"/>
          <w:color w:val="111111"/>
          <w:sz w:val="28"/>
          <w:szCs w:val="28"/>
          <w:rtl/>
        </w:rPr>
        <w:t xml:space="preserve">ebn-e ebrāhīm kermānī, mohammad karīm 1871)</w:t>
      </w:r>
    </w:p>
    <w:p>
      <w:pPr>
        <w:pStyle w:val="BookText"/>
      </w:pPr>
      <w:r>
        <w:rPr>
          <w:rFonts w:ascii="IRNazanin" w:hAnsi="IRNazanin" w:eastAsia="IRNazanin" w:cs="IRNazanin"/>
          <w:lang w:bidi="fa-IR"/>
          <w:color w:val="111111"/>
          <w:sz w:val="28"/>
          <w:szCs w:val="28"/>
          <w:rtl/>
        </w:rPr>
        <w:t xml:space="preserve">اهدا به: فرزند خود حاج محمد خان تاریخ تأليف: ۲۹ رمضان ۱۲۷۲ق کتاب مختصر و جامعی است که در آن کلیات علم صرف و مواد الفاظ را بدون ذکر علل سامان داده و آن را تبصره ای برای مبتدی و تذکره ای برای منتهی و متن مناسبی برای شرح و تعليق دانسته است، در یک «مقدمه» و دو «باب» و «خاتمه»: المقدمة في بيان ما يجب تقديمه من المبادی و الامور الكلية، الباب ۱. في تصاريف الفعل؛ الباب ۲. في تصاريف الاسم.</w:t>
      </w:r>
    </w:p>
    <w:p>
      <w:pPr>
        <w:pStyle w:val="BookText"/>
      </w:pPr>
      <w:r>
        <w:rPr>
          <w:rFonts w:ascii="IRNazanin" w:hAnsi="IRNazanin" w:eastAsia="IRNazanin" w:cs="IRNazanin"/>
          <w:lang w:bidi="fa-IR"/>
          <w:color w:val="111111"/>
          <w:sz w:val="28"/>
          <w:szCs w:val="28"/>
          <w:rtl/>
        </w:rPr>
        <w:t xml:space="preserve">آغاز: حمدله ... لما بلغ قرة عيني و ثمرة فوادی محمد اطال الله بقاه و جعل آخرته خيرا من اولاه مبلغا استعد فيه لتحصيل العلوم الادبية و اخذ في علم الصرف انجام: و اجلت الفكر في اطراف ما ذكرنا من القواعد الكلية القدرت على فهم تصاريف اكثر الالفاظ و لم يفتك منها الأقليل فنختم الكلام حامد الله سبحانه على بلوغ المرام</w:t>
      </w:r>
    </w:p>
    <w:p>
      <w:pPr>
        <w:pStyle w:val="BookText"/>
      </w:pPr>
      <w:r>
        <w:rPr>
          <w:rFonts w:ascii="IRNazanin" w:hAnsi="IRNazanin" w:eastAsia="IRNazanin" w:cs="IRNazanin"/>
          <w:lang w:bidi="fa-IR"/>
          <w:color w:val="111111"/>
          <w:sz w:val="28"/>
          <w:szCs w:val="28"/>
          <w:rtl/>
        </w:rPr>
        <w:t xml:space="preserve">[فهرست مشایخ ۲۴۲/۲ ؛ الذريعة ۱۴۶/۲۶ ؛ دنا ۷۶۷/۲ (۲۰ نسخه)]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ملی؛ شماره نسخه: ۱۷۱۳۵</w:t>
      </w:r>
    </w:p>
    <w:p>
      <w:pPr>
        <w:pStyle w:val="BookText"/>
      </w:pPr>
      <w:r>
        <w:rPr>
          <w:rFonts w:ascii="IRNazanin" w:hAnsi="IRNazanin" w:eastAsia="IRNazanin" w:cs="IRNazanin"/>
          <w:lang w:bidi="fa-IR"/>
          <w:color w:val="111111"/>
          <w:sz w:val="28"/>
          <w:szCs w:val="28"/>
          <w:rtl/>
        </w:rPr>
        <w:t xml:space="preserve">بی کا، تا: ۱۱۷۲ق؛ خریداری از امرالله صفری؛ اندازه: ۲۱/۱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۱۶/۲ سم [رایانه]</w:t>
      </w:r>
    </w:p>
    <w:p>
      <w:pPr>
        <w:pStyle w:val="BookText"/>
      </w:pPr>
      <w:r>
        <w:rPr>
          <w:rFonts w:ascii="IRNazanin" w:hAnsi="IRNazanin" w:eastAsia="IRNazanin" w:cs="IRNazanin"/>
          <w:lang w:bidi="fa-IR"/>
          <w:color w:val="111111"/>
          <w:sz w:val="28"/>
          <w:szCs w:val="28"/>
          <w:rtl/>
        </w:rPr>
        <w:t xml:space="preserve">۲. تبریز؛ تربیت؛ شماره نسخه:۲۴</w:t>
      </w:r>
    </w:p>
    <w:p>
      <w:pPr>
        <w:pStyle w:val="BookText"/>
      </w:pPr>
      <w:r>
        <w:rPr>
          <w:rFonts w:ascii="IRNazanin" w:hAnsi="IRNazanin" w:eastAsia="IRNazanin" w:cs="IRNazanin"/>
          <w:lang w:bidi="fa-IR"/>
          <w:color w:val="111111"/>
          <w:sz w:val="28"/>
          <w:szCs w:val="28"/>
          <w:rtl/>
        </w:rPr>
        <w:t xml:space="preserve">کا: محمد بن احمد مازندرانی، تا: ۱۲۷۲ق [ف: ۲۳۹]</w:t>
      </w:r>
    </w:p>
    <w:p>
      <w:pPr>
        <w:pStyle w:val="BookText"/>
      </w:pPr>
      <w:r>
        <w:rPr>
          <w:rFonts w:ascii="IRNazanin" w:hAnsi="IRNazanin" w:eastAsia="IRNazanin" w:cs="IRNazanin"/>
          <w:lang w:bidi="fa-IR"/>
          <w:color w:val="111111"/>
          <w:sz w:val="28"/>
          <w:szCs w:val="28"/>
          <w:rtl/>
        </w:rPr>
        <w:t xml:space="preserve">٣. قم، مسجد اعظم، شماره نسخه:۱۸۵۸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۲۹ رمضان ۱۲۷۲ق، جلد: تیماج قهوه ای، ۱۰۰گ، ۱۴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مخ: ۱-۳۱۹]</w:t>
      </w:r>
    </w:p>
    <w:p>
      <w:pPr>
        <w:pStyle w:val="BookText"/>
      </w:pPr>
      <w:r>
        <w:rPr>
          <w:rFonts w:ascii="IRNazanin" w:hAnsi="IRNazanin" w:eastAsia="IRNazanin" w:cs="IRNazanin"/>
          <w:lang w:bidi="fa-IR"/>
          <w:color w:val="111111"/>
          <w:sz w:val="28"/>
          <w:szCs w:val="28"/>
          <w:rtl/>
        </w:rPr>
        <w:t xml:space="preserve">۴. تهران؛ مجلس؛ شماره نسخه: ۷۷۲۳/۲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۲۹ رمضان ۱۲۷۲ق؛ مقابله شده توسط مرتضی قلی طباطبایی ۲۲ شعبان ۱۳۵۰؛ محشی به امضاء «منه اعلى الله مقامه»؛ جلد: تیماج، قرمز، ۴۹ص (۳۸۰-۴۲۸)، ۲۵ سطر،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۲۶-۲۱۴]</w:t>
      </w:r>
    </w:p>
    <w:p>
      <w:pPr>
        <w:pStyle w:val="BookText"/>
      </w:pPr>
      <w:r>
        <w:rPr>
          <w:rFonts w:ascii="IRNazanin" w:hAnsi="IRNazanin" w:eastAsia="IRNazanin" w:cs="IRNazanin"/>
          <w:lang w:bidi="fa-IR"/>
          <w:color w:val="111111"/>
          <w:sz w:val="28"/>
          <w:szCs w:val="28"/>
          <w:rtl/>
        </w:rPr>
        <w:t xml:space="preserve">۵. یزد؛ وزیری؛ شماره نسخه: ۸۸۰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۱۲۷۳ق؛ کاغذ: اصفهانی، جلد: تیماج مشکی، ۱۰۲گ، ۱۴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۲-۷۳۱]</w:t>
      </w:r>
    </w:p>
    <w:p>
      <w:pPr>
        <w:pStyle w:val="BookText"/>
      </w:pPr>
      <w:r>
        <w:rPr>
          <w:rFonts w:ascii="IRNazanin" w:hAnsi="IRNazanin" w:eastAsia="IRNazanin" w:cs="IRNazanin"/>
          <w:lang w:bidi="fa-IR"/>
          <w:color w:val="111111"/>
          <w:sz w:val="28"/>
          <w:szCs w:val="28"/>
          <w:rtl/>
        </w:rPr>
        <w:t xml:space="preserve">۶. یزد؛ وزیری؛ شماره نسخه: ۱۹۲۲</w:t>
      </w:r>
    </w:p>
    <w:p>
      <w:pPr>
        <w:pStyle w:val="BookText"/>
      </w:pPr>
      <w:r>
        <w:rPr>
          <w:rFonts w:ascii="IRNazanin" w:hAnsi="IRNazanin" w:eastAsia="IRNazanin" w:cs="IRNazanin"/>
          <w:lang w:bidi="fa-IR"/>
          <w:color w:val="111111"/>
          <w:sz w:val="28"/>
          <w:szCs w:val="28"/>
          <w:rtl/>
        </w:rPr>
        <w:t xml:space="preserve">کامل؛ خط: نسخ، كا: محمد شريف بن محمد حسین، تا: ذیقعده ۱۲۷۳ق؛ اهدایی: وزیری؛ کاغذ: فرنگی آهار مهره، جلد: مقوایی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bookmarkStart w:id="649" w:name="pg20363_209990"/>
    <w:bookmarkEnd w:id="649"/>
    <w:p>
      <w:pPr>
        <w:pStyle w:val="BookText"/>
      </w:pPr>
      <w:r>
        <w:rPr>
          <w:rFonts w:ascii="IRNazanin" w:hAnsi="IRNazanin" w:eastAsia="IRNazanin" w:cs="IRNazanin"/>
          <w:lang w:bidi="fa-IR"/>
          <w:color w:val="111111"/>
          <w:sz w:val="28"/>
          <w:szCs w:val="28"/>
          <w:rtl/>
        </w:rPr>
        <w:t xml:space="preserve">روکش پارچه رنگین، ۵۴گ، ۱۹ سطر (۱۰/۵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۱۵/۵)،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۳-۱۰۹۵]</w:t>
      </w:r>
    </w:p>
    <w:p>
      <w:pPr>
        <w:pStyle w:val="BookText"/>
      </w:pPr>
      <w:r>
        <w:rPr>
          <w:rFonts w:ascii="IRNazanin" w:hAnsi="IRNazanin" w:eastAsia="IRNazanin" w:cs="IRNazanin"/>
          <w:lang w:bidi="fa-IR"/>
          <w:color w:val="111111"/>
          <w:sz w:val="28"/>
          <w:szCs w:val="28"/>
          <w:rtl/>
        </w:rPr>
        <w:t xml:space="preserve">۷. مشهد؛ شیخ علی حیدر؛ شماره نسخه: ۲۹۹/۲</w:t>
      </w:r>
    </w:p>
    <w:p>
      <w:pPr>
        <w:pStyle w:val="BookText"/>
      </w:pPr>
      <w:r>
        <w:rPr>
          <w:rFonts w:ascii="IRNazanin" w:hAnsi="IRNazanin" w:eastAsia="IRNazanin" w:cs="IRNazanin"/>
          <w:lang w:bidi="fa-IR"/>
          <w:color w:val="111111"/>
          <w:sz w:val="28"/>
          <w:szCs w:val="28"/>
          <w:rtl/>
        </w:rPr>
        <w:t xml:space="preserve">خط: نسخ، كا: حسین بن ملا قاسم، تا: شنبه ۲۰ شوال ۱۲۷۳ق؛ جلد: چرم مشکی، ۵۰گ (پ۔ ۵۶پ)، ۲۰ سطر، اندازه: ۲۱</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۱۵سم [ مؤيد: ۱-۲۶۴]</w:t>
      </w:r>
    </w:p>
    <w:p>
      <w:pPr>
        <w:pStyle w:val="BookText"/>
      </w:pPr>
      <w:r>
        <w:rPr>
          <w:rFonts w:ascii="IRNazanin" w:hAnsi="IRNazanin" w:eastAsia="IRNazanin" w:cs="IRNazanin"/>
          <w:lang w:bidi="fa-IR"/>
          <w:color w:val="111111"/>
          <w:sz w:val="28"/>
          <w:szCs w:val="28"/>
          <w:rtl/>
        </w:rPr>
        <w:t xml:space="preserve">۸. مشهد، شیخ علی حیدر، شماره نسخه: ۸۲۲</w:t>
      </w:r>
    </w:p>
    <w:p>
      <w:pPr>
        <w:pStyle w:val="BookText"/>
      </w:pPr>
      <w:r>
        <w:rPr>
          <w:rFonts w:ascii="IRNazanin" w:hAnsi="IRNazanin" w:eastAsia="IRNazanin" w:cs="IRNazanin"/>
          <w:lang w:bidi="fa-IR"/>
          <w:color w:val="111111"/>
          <w:sz w:val="28"/>
          <w:szCs w:val="28"/>
          <w:rtl/>
        </w:rPr>
        <w:t xml:space="preserve">خط: نسخ، كا: محمد حسینی، تا: غره ربيع الثانی ۱۲۷۴ق، جان کرمان؛ مصحح، مقابله شده؛ تملك: محمد على نراقی، محمد حسینی همدانی (کاتب ظاهرا)؛ جلد: چرم مشکی، ۹۲، ۱۵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 مؤید: ۲-۲۶۲]</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مجلس؛ شماره نسخه:۱۴۵۷۷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جمادی الثانی ۱۲۷۴ق؛ محشی؛ مهر: عبدالحى الرضوی ۱۲۸۱»؛ جلد: تیماج مشکی، ۱۲۵ گ، ۱۳سطر،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۱۵/۷ سم [ف: ۵۸۴۱]</w:t>
      </w:r>
    </w:p>
    <w:p>
      <w:pPr>
        <w:pStyle w:val="BookText"/>
      </w:pPr>
      <w:r>
        <w:rPr>
          <w:rFonts w:ascii="IRNazanin" w:hAnsi="IRNazanin" w:eastAsia="IRNazanin" w:cs="IRNazanin"/>
          <w:lang w:bidi="fa-IR"/>
          <w:color w:val="111111"/>
          <w:sz w:val="28"/>
          <w:szCs w:val="28"/>
          <w:rtl/>
        </w:rPr>
        <w:t xml:space="preserve">۱۰. یزد؛ وزیری؛ شماره نسخه: ۱۴۳۳/۱</w:t>
      </w:r>
    </w:p>
    <w:p>
      <w:pPr>
        <w:pStyle w:val="BookText"/>
      </w:pPr>
      <w:r>
        <w:rPr>
          <w:rFonts w:ascii="IRNazanin" w:hAnsi="IRNazanin" w:eastAsia="IRNazanin" w:cs="IRNazanin"/>
          <w:lang w:bidi="fa-IR"/>
          <w:color w:val="111111"/>
          <w:sz w:val="28"/>
          <w:szCs w:val="28"/>
          <w:rtl/>
        </w:rPr>
        <w:t xml:space="preserve">خط: نسخ، كا: محمد على خراسانی، تا: ۱۲۷۷ق؛ کاغذ: فرنگی، جلد: تیماج زرد، ۹۲گ، ۱۶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 اندازه: ۱۰/۵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۳-۹۵۸]</w:t>
      </w:r>
    </w:p>
    <w:p>
      <w:pPr>
        <w:pStyle w:val="BookText"/>
      </w:pPr>
      <w:r>
        <w:rPr>
          <w:rFonts w:ascii="IRNazanin" w:hAnsi="IRNazanin" w:eastAsia="IRNazanin" w:cs="IRNazanin"/>
          <w:lang w:bidi="fa-IR"/>
          <w:color w:val="111111"/>
          <w:sz w:val="28"/>
          <w:szCs w:val="28"/>
          <w:rtl/>
        </w:rPr>
        <w:t xml:space="preserve">۱۱. قم؛ گلپایگانی؛ شماره نسخه: ۴۹۶۱/۱ - ۲۵/۵۱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شیخ احمدبن عبدالكریم کوهبنانی، تا: ۱۰ شوال ۱۲۷۸ق، جلد:مقوا، ۱۱۶گ، ۹ سطر، اندازه: ۲۲۷۱۷سم [ف: ۲-۷۱۲]</w:t>
      </w:r>
    </w:p>
    <w:p>
      <w:pPr>
        <w:pStyle w:val="BookText"/>
      </w:pPr>
      <w:r>
        <w:rPr>
          <w:rFonts w:ascii="IRNazanin" w:hAnsi="IRNazanin" w:eastAsia="IRNazanin" w:cs="IRNazanin"/>
          <w:lang w:bidi="fa-IR"/>
          <w:color w:val="111111"/>
          <w:sz w:val="28"/>
          <w:szCs w:val="28"/>
          <w:rtl/>
        </w:rPr>
        <w:t xml:space="preserve">۱۲. مشهد؛ رضوی؛ شماره نسخه:۱۵۱۰۸</w:t>
      </w:r>
    </w:p>
    <w:p>
      <w:pPr>
        <w:pStyle w:val="BookText"/>
      </w:pPr>
      <w:r>
        <w:rPr>
          <w:rFonts w:ascii="IRNazanin" w:hAnsi="IRNazanin" w:eastAsia="IRNazanin" w:cs="IRNazanin"/>
          <w:lang w:bidi="fa-IR"/>
          <w:color w:val="111111"/>
          <w:sz w:val="28"/>
          <w:szCs w:val="28"/>
          <w:rtl/>
        </w:rPr>
        <w:t xml:space="preserve">آغاز: برابر؛ انجام: على فهم تصاريف اكثر الالفاظ و لم يفتك منها الا قليل. خط: نسخ، كا: محمد رضا بن محمد صادق، تا: جمادی الثانی ۱۲۷۹ق؛ مذيل است به لغز شیخ بهائی در نحو با آغاز: «بسمله اما بعد الحمد و الصلوة فيقول الفقير الى ربه الغني ... يا من صرف في مطالعة النحو ایاما و خاض فيه شهورا و اعواما» و خاتمه آن چنین: بقی حرف واحد و هذا من اعجب العجائب»؛ واقف: مکتبة امیر المؤمنین ع، اردیبهشت ۱۳۶۵؛ کاغذ: حنایی، ۸۳گ (۴+۷۸)، ۱۷ سطر، اندازه: ۲۲/۳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۱۵/۳ سم [ف: ۱۲-۳۵]</w:t>
      </w:r>
    </w:p>
    <w:p>
      <w:pPr>
        <w:pStyle w:val="BookText"/>
      </w:pPr>
      <w:r>
        <w:rPr>
          <w:rFonts w:ascii="IRNazanin" w:hAnsi="IRNazanin" w:eastAsia="IRNazanin" w:cs="IRNazanin"/>
          <w:lang w:bidi="fa-IR"/>
          <w:color w:val="111111"/>
          <w:sz w:val="28"/>
          <w:szCs w:val="28"/>
          <w:rtl/>
        </w:rPr>
        <w:t xml:space="preserve">۱۳. یزد؛ وزیری؛ شماره نسخه:۱۴۰۴</w:t>
      </w:r>
    </w:p>
    <w:p>
      <w:pPr>
        <w:pStyle w:val="BookText"/>
      </w:pPr>
      <w:r>
        <w:rPr>
          <w:rFonts w:ascii="IRNazanin" w:hAnsi="IRNazanin" w:eastAsia="IRNazanin" w:cs="IRNazanin"/>
          <w:lang w:bidi="fa-IR"/>
          <w:color w:val="111111"/>
          <w:sz w:val="28"/>
          <w:szCs w:val="28"/>
          <w:rtl/>
        </w:rPr>
        <w:t xml:space="preserve">خط: نسخ، كا: حسین، تا: ۱۲ رمضان ۱۲۸۱ق، ؛ اهدایی: میرزا محمود شیخی زاده؛ کاغذ: فرنگی، جلد: تیماج ماشی، ۱۸۳گ، ۱۰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۱۰/۵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۳-۹۵۰]</w:t>
      </w:r>
    </w:p>
    <w:p>
      <w:pPr>
        <w:pStyle w:val="BookText"/>
      </w:pPr>
      <w:r>
        <w:rPr>
          <w:rFonts w:ascii="IRNazanin" w:hAnsi="IRNazanin" w:eastAsia="IRNazanin" w:cs="IRNazanin"/>
          <w:lang w:bidi="fa-IR"/>
          <w:color w:val="111111"/>
          <w:sz w:val="28"/>
          <w:szCs w:val="28"/>
          <w:rtl/>
        </w:rPr>
        <w:t xml:space="preserve">۱۴. تهران؛ ملی؛ شماره نسخه: ۲۷۶۱/۲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على، تا: ۱۲۸۵ق؛ کاغذ: فرنگی نخودی، جلد: تیماج سبز یشمی، ۸۴گ (۱۲-۹۵پ)، ۱۶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۱۳-۲۳۴]</w:t>
      </w:r>
    </w:p>
    <w:p>
      <w:pPr>
        <w:pStyle w:val="BookText"/>
      </w:pPr>
      <w:r>
        <w:rPr>
          <w:rFonts w:ascii="IRNazanin" w:hAnsi="IRNazanin" w:eastAsia="IRNazanin" w:cs="IRNazanin"/>
          <w:lang w:bidi="fa-IR"/>
          <w:color w:val="111111"/>
          <w:sz w:val="28"/>
          <w:szCs w:val="28"/>
          <w:rtl/>
        </w:rPr>
        <w:t xml:space="preserve">۱۵. تهران؛ الهیات؛ شماره نسخه: ۴۸۰</w:t>
      </w:r>
    </w:p>
    <w:p>
      <w:pPr>
        <w:pStyle w:val="BookText"/>
      </w:pPr>
      <w:r>
        <w:rPr>
          <w:rFonts w:ascii="IRNazanin" w:hAnsi="IRNazanin" w:eastAsia="IRNazanin" w:cs="IRNazanin"/>
          <w:lang w:bidi="fa-IR"/>
          <w:color w:val="111111"/>
          <w:sz w:val="28"/>
          <w:szCs w:val="28"/>
          <w:rtl/>
        </w:rPr>
        <w:t xml:space="preserve">خط: نسخ، بی کا، تا: ۱۲۸۶ق؛ کاغذ: فرنگی، جلد: تیماج سرخ، ۶۹گ، ۱۶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۴۸۰ ]</w:t>
      </w:r>
    </w:p>
    <w:p>
      <w:pPr>
        <w:pStyle w:val="BookText"/>
      </w:pPr>
      <w:r>
        <w:rPr>
          <w:rFonts w:ascii="IRNazanin" w:hAnsi="IRNazanin" w:eastAsia="IRNazanin" w:cs="IRNazanin"/>
          <w:lang w:bidi="fa-IR"/>
          <w:color w:val="111111"/>
          <w:sz w:val="28"/>
          <w:szCs w:val="28"/>
          <w:rtl/>
        </w:rPr>
        <w:t xml:space="preserve">۱۶. همدان؛ بحر الفضائل؛ شماره نسخه:1</w:t>
      </w:r>
    </w:p>
    <w:p>
      <w:pPr>
        <w:pStyle w:val="BookText"/>
      </w:pPr>
      <w:r>
        <w:rPr>
          <w:rFonts w:ascii="IRNazanin" w:hAnsi="IRNazanin" w:eastAsia="IRNazanin" w:cs="IRNazanin"/>
          <w:lang w:bidi="fa-IR"/>
          <w:color w:val="111111"/>
          <w:sz w:val="28"/>
          <w:szCs w:val="28"/>
          <w:rtl/>
        </w:rPr>
        <w:t xml:space="preserve">آغاز: الحمد الله رب ... وصلى الله ... و رهطه المخلصين و لعنة الله على اعدائهم اجمعين؛ انجام: برابر خط: نسخ خوش، كا: عبد العظيم، تا: ۱۵ صفر ۱۲۹۱ ق، برای ملا محمد عظیم؛ کاغذ: فرنگی، جلد: تیماج زنگاری تیره، ۱۶۲گ، ۹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 رشت و همدان: ف: ۱۶۶۳]</w:t>
      </w:r>
    </w:p>
    <w:p>
      <w:pPr>
        <w:pStyle w:val="BookText"/>
      </w:pPr>
      <w:r>
        <w:rPr>
          <w:rFonts w:ascii="IRNazanin" w:hAnsi="IRNazanin" w:eastAsia="IRNazanin" w:cs="IRNazanin"/>
          <w:lang w:bidi="fa-IR"/>
          <w:color w:val="111111"/>
          <w:sz w:val="28"/>
          <w:szCs w:val="28"/>
          <w:rtl/>
        </w:rPr>
        <w:t xml:space="preserve">۱۷. تهران؛ ملی؛ شماره نسخه: ۳۹۷۸/۱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۱۱ ذیقعده ۱۲۹۳ق؛ کاغذ: فرنگی نخودی، جلد: چند برگ</w:t>
      </w:r>
    </w:p>
    <w:p>
      <w:pPr>
        <w:pStyle w:val="BookText"/>
      </w:pPr>
      <w:r>
        <w:rPr>
          <w:rFonts w:ascii="IRNazanin" w:hAnsi="IRNazanin" w:eastAsia="IRNazanin" w:cs="IRNazanin"/>
          <w:lang w:bidi="fa-IR"/>
          <w:color w:val="111111"/>
          <w:sz w:val="28"/>
          <w:szCs w:val="28"/>
          <w:rtl/>
        </w:rPr>
        <w:t xml:space="preserve">چاپ سنگی را به هم چسبانیده، ۹۰ گ (اپ۔ ۹۰پ)، ۱۵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۱۳/۲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۱۷- ۲۶۹]</w:t>
      </w:r>
    </w:p>
    <w:p>
      <w:pPr>
        <w:pStyle w:val="BookText"/>
      </w:pPr>
      <w:r>
        <w:rPr>
          <w:rFonts w:ascii="Amiri" w:hAnsi="Amiri" w:eastAsia="Amiri" w:cs="Amiri"/>
          <w:lang w:bidi="ar-SA"/>
          <w:color w:val="111111"/>
          <w:sz w:val="28"/>
          <w:szCs w:val="28"/>
          <w:rtl/>
        </w:rPr>
        <w:t xml:space="preserve">۱۸. تهران: دائرة المعارف، شماره نسخه: ۳/۱</w:t>
      </w:r>
    </w:p>
    <w:p>
      <w:pPr>
        <w:pStyle w:val="BookText"/>
      </w:pPr>
      <w:r>
        <w:rPr>
          <w:rFonts w:ascii="IRNazanin" w:hAnsi="IRNazanin" w:eastAsia="IRNazanin" w:cs="IRNazanin"/>
          <w:lang w:bidi="fa-IR"/>
          <w:color w:val="111111"/>
          <w:sz w:val="28"/>
          <w:szCs w:val="28"/>
          <w:rtl/>
        </w:rPr>
        <w:t xml:space="preserve">آغاز و انجام: برابر خط: نسخ پخته، كان يوسف بن علی شیرازی، تا: ۱۳۰۹ق، جان شیراز، برای آقا میرزا محمد بن شیخ الاسلام (سلطانی) بهبهانی؛ ۱۲۳گ (۱پ -۱۲۳پ) [ف: ۱-۴۳]</w:t>
      </w:r>
    </w:p>
    <w:p>
      <w:pPr>
        <w:pStyle w:val="BookText"/>
      </w:pPr>
      <w:r>
        <w:rPr>
          <w:rFonts w:ascii="IRNazanin" w:hAnsi="IRNazanin" w:eastAsia="IRNazanin" w:cs="IRNazanin"/>
          <w:lang w:bidi="fa-IR"/>
          <w:color w:val="111111"/>
          <w:sz w:val="28"/>
          <w:szCs w:val="28"/>
          <w:rtl/>
        </w:rPr>
        <w:t xml:space="preserve">۱۹. یزد؛ وزیری؛ شماره نسخه:۱۰۴۳</w:t>
      </w:r>
    </w:p>
    <w:p>
      <w:pPr>
        <w:pStyle w:val="BookText"/>
      </w:pPr>
      <w:r>
        <w:rPr>
          <w:rFonts w:ascii="IRNazanin" w:hAnsi="IRNazanin" w:eastAsia="IRNazanin" w:cs="IRNazanin"/>
          <w:lang w:bidi="fa-IR"/>
          <w:color w:val="111111"/>
          <w:sz w:val="28"/>
          <w:szCs w:val="28"/>
          <w:rtl/>
        </w:rPr>
        <w:t xml:space="preserve">انجام: انها من باب عدة اوصحيح اللام ينسب كما هو نحو عدى وزنی خط: نسخ، بی کا، بی تا؛ افتادگی: انجام؛ اهدایی: وزیری؛ کاغذ: سمرقندی، جلد: تیماج مشکی، ۷۵گ، ۱۶ سطر (</w:t>
      </w:r>
    </w:p>
    <w:p>
      <w:pPr>
        <w:pStyle w:val="BookText"/>
      </w:pPr>
      <w:r>
        <w:rPr>
          <w:rFonts w:ascii="IRNazanin" w:hAnsi="IRNazanin" w:eastAsia="IRNazanin" w:cs="IRNazanin"/>
          <w:lang w:bidi="fa-IR"/>
          <w:color w:val="111111"/>
          <w:sz w:val="28"/>
          <w:szCs w:val="28"/>
          <w:rtl/>
        </w:rPr>
        <w:t xml:space="preserve">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۳-۸۳۲]</w:t>
      </w:r>
    </w:p>
    <w:p>
      <w:pPr>
        <w:pStyle w:val="BookText"/>
      </w:pPr>
      <w:r>
        <w:rPr>
          <w:rFonts w:ascii="IRNazanin" w:hAnsi="IRNazanin" w:eastAsia="IRNazanin" w:cs="IRNazanin"/>
          <w:lang w:bidi="fa-IR"/>
          <w:color w:val="111111"/>
          <w:sz w:val="28"/>
          <w:szCs w:val="28"/>
          <w:rtl/>
        </w:rPr>
        <w:t xml:space="preserve">۲۰. مشهد؛ شیخ علی حیدر؛ شماره نسخه: ۱۰۵/۲</w:t>
      </w:r>
    </w:p>
    <w:p>
      <w:pPr>
        <w:pStyle w:val="BookText"/>
      </w:pPr>
      <w:r>
        <w:rPr>
          <w:rFonts w:ascii="IRNazanin" w:hAnsi="IRNazanin" w:eastAsia="IRNazanin" w:cs="IRNazanin"/>
          <w:lang w:bidi="fa-IR"/>
          <w:color w:val="111111"/>
          <w:sz w:val="28"/>
          <w:szCs w:val="28"/>
          <w:rtl/>
        </w:rPr>
        <w:t xml:space="preserve">آغاز: الحمدلله رب العالمین و صلی الله على محمد و آله الطاهرین؛ انجام: لقدرت على فهم تصاريف أكثر الألفاظ ولم يفت منه الا القليل. خط: نسخ، كا: حسین بن اميناء، تا: ۱۸ ذیحجه؛ جلد: چرم زرد، ۲۷گ (۱۲۹-۱۵۵ر)، ۲۵ سطر، اندازه: ۳۴</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۲۱سم مؤيد: ۱-۱۱۶)</w:t>
      </w:r>
    </w:p>
    <w:p>
      <w:pPr>
        <w:pStyle w:val="Heading3"/>
      </w:pPr>
      <w:bookmarkStart w:id="2892" w:name="_Toc2152"/>
      <w:r>
        <w:t>•التبصرة في علم الهيئة / هيأت عربی</w:t>
      </w:r>
      <w:bookmarkEnd w:id="2892"/>
    </w:p>
    <w:p>
      <w:pPr>
        <w:pStyle w:val="BookText"/>
      </w:pPr>
      <w:r>
        <w:rPr>
          <w:rFonts w:ascii="Times New Roman" w:hAnsi="Times New Roman" w:eastAsia="Times New Roman" w:cs="Times New Roman"/>
          <w:lang w:val="en-US" w:bidi="en-US"/>
          <w:color w:val="111111"/>
          <w:sz w:val="28"/>
          <w:szCs w:val="28"/>
          <w:rtl/>
        </w:rPr>
        <w:t xml:space="preserve">at-tabșira fī ‘ilm-il hay'at</w:t>
      </w:r>
    </w:p>
    <w:p>
      <w:pPr>
        <w:pStyle w:val="BookText"/>
      </w:pPr>
      <w:r>
        <w:rPr>
          <w:rFonts w:ascii="IRNazanin" w:hAnsi="IRNazanin" w:eastAsia="IRNazanin" w:cs="IRNazanin"/>
          <w:lang w:bidi="fa-IR"/>
          <w:color w:val="111111"/>
          <w:sz w:val="28"/>
          <w:szCs w:val="28"/>
          <w:rtl/>
        </w:rPr>
        <w:t xml:space="preserve">خرقی، محمد بن احمد، -۵۳۳ قمری</w:t>
      </w:r>
    </w:p>
    <w:p>
      <w:pPr>
        <w:pStyle w:val="BookText"/>
      </w:pPr>
      <w:r>
        <w:rPr>
          <w:rFonts w:ascii="Times New Roman" w:hAnsi="Times New Roman" w:eastAsia="Times New Roman" w:cs="Times New Roman"/>
          <w:lang w:val="en-US" w:bidi="en-US"/>
          <w:color w:val="111111"/>
          <w:sz w:val="28"/>
          <w:szCs w:val="28"/>
          <w:rtl/>
        </w:rPr>
        <w:t xml:space="preserve">xaraqī, mohammad ebn-e ahmad (-1139)</w:t>
      </w:r>
    </w:p>
    <w:p>
      <w:pPr>
        <w:pStyle w:val="BookText"/>
      </w:pPr>
      <w:r>
        <w:rPr>
          <w:rFonts w:ascii="IRNazanin" w:hAnsi="IRNazanin" w:eastAsia="IRNazanin" w:cs="IRNazanin"/>
          <w:lang w:bidi="fa-IR"/>
          <w:color w:val="111111"/>
          <w:sz w:val="28"/>
          <w:szCs w:val="28"/>
          <w:rtl/>
        </w:rPr>
        <w:t xml:space="preserve">اهداء به: علاء الدوله فخر الملک ابوالحسن علی بن الصاحب نصیر الدین محمود بن ابی نوبه المظفر خرقی این کتاب را پس از «منتهی الادراک» نوشته و در دیباجه تبصره می گوید «استقصاء در این فن را به آن کتاب رجوع کنید». در دیباجه از کتابی در منطق که در دست تأليف دارد و به دلیل اشتغال به تبصره، تکمیل آن را به بعد موکول ساخته و نیز از کتابی در حکمت که می خواسته به نام امیر مزبور بنگارد و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bookmarkStart w:id="650" w:name="pg20363_209991"/>
    <w:bookmarkEnd w:id="650"/>
    <w:p>
      <w:pPr>
        <w:pStyle w:val="BookText"/>
      </w:pPr>
      <w:r>
        <w:rPr>
          <w:rFonts w:ascii="IRNazanin" w:hAnsi="IRNazanin" w:eastAsia="IRNazanin" w:cs="IRNazanin"/>
          <w:lang w:bidi="fa-IR"/>
          <w:color w:val="111111"/>
          <w:sz w:val="28"/>
          <w:szCs w:val="28"/>
          <w:rtl/>
        </w:rPr>
        <w:t xml:space="preserve">نتوانسته یاد می کند. تبصره در دو «قسم» است (قسم اول در ۲۲ باب و قسم دوم در ۱۴ باب) و در تأليف آن از شیوه ابن هیثم پیروی کرده و در تعیین عرض بلاد شیوه مجسطی را به کار برده است. (عبدالحسین حائری)</w:t>
      </w:r>
    </w:p>
    <w:p>
      <w:pPr>
        <w:pStyle w:val="BookText"/>
      </w:pPr>
      <w:r>
        <w:rPr>
          <w:rFonts w:ascii="IRNazanin" w:hAnsi="IRNazanin" w:eastAsia="IRNazanin" w:cs="IRNazanin"/>
          <w:lang w:bidi="fa-IR"/>
          <w:color w:val="111111"/>
          <w:sz w:val="28"/>
          <w:szCs w:val="28"/>
          <w:rtl/>
        </w:rPr>
        <w:t xml:space="preserve">آغاز: الحمدلله حمد الشاکرین ... و بعد فان العلماء ... كانوا قبل زماننا هذا مستوفرين على جمع العلوم ... اذ كانت اوقاتهم صافيه عن الشوائب و الان فقد نامت سوق العلم و الحكمه و بارت بضائع اهلها ... الأمير الأجل السيد شمس الدين قوام الاسلام ... عمدة الملوک و السلاطين علاء الدوله فخ الملک ابوالحسن على بن الصاحب نصیر الدین محمود بن ابی نوبه المظفر ادام الله علوهما وقد كنت احدت نفسي ... في ان اجمع برسم خدمته كتابا في الحكمه و كانت العوائق يعترض دون هذه الامنيه و الان فقد اشتغلت بتأليف كتاب في علم المنطق .. غير أن ذلك الكتاب يقتضی برهة من الايام ...... و لما قرب قدومه الميمون ... فاخرت الكتاب المذكور و الفت هذا الكتاب في علم الهيته ... مقتديا بابی علی بن الهيثم فيتقسيم الافلاک كلها من الحوامل و التدواير .. دون الاقتصار على الدوائر المتوهمه ... كماهو دأب اكث المتقدمين اذذاك هو في الحقيقه اشارة الى كيفية حركات الافلاک و کمیتها دون البحث عن اوضاع الافلاك على الهيئه التي يتصور معها حركات الافلاك على النظم الموجود و سميته کتاب التبصره على الهيئه التي يتصور معها حركات الافلاک علی النظم الموجود و سميته كتاب التبصه في علم الهيئه و اجتهدت في الاختصار ... و من اراد التناهي في هذا الفن فلیتا مل کتابی الموسوم بمنتهی الادراك في تقاسيم الافلاک فانه لا يكاد يستغني في هذا الفن من ذاك</w:t>
      </w:r>
    </w:p>
    <w:p>
      <w:pPr>
        <w:pStyle w:val="BookText"/>
      </w:pPr>
      <w:r>
        <w:rPr>
          <w:rFonts w:ascii="IRNazanin" w:hAnsi="IRNazanin" w:eastAsia="IRNazanin" w:cs="IRNazanin"/>
          <w:lang w:bidi="fa-IR"/>
          <w:color w:val="111111"/>
          <w:sz w:val="28"/>
          <w:szCs w:val="28"/>
          <w:rtl/>
        </w:rPr>
        <w:t xml:space="preserve">انجام؛ و المجمون يقسمون كل ساعة من الساعات بستين قسماسمى كل قسم منها دقیقه على ما جرت عادتهم في قسمة الدرج و اجزائها بالاجزاء الستينيه و حين انتهى الى هنا فلنختم الكلام على نعمه</w:t>
      </w:r>
    </w:p>
    <w:p>
      <w:pPr>
        <w:pStyle w:val="BookText"/>
      </w:pPr>
      <w:r>
        <w:rPr>
          <w:rFonts w:ascii="IRNazanin" w:hAnsi="IRNazanin" w:eastAsia="IRNazanin" w:cs="IRNazanin"/>
          <w:lang w:bidi="fa-IR"/>
          <w:color w:val="111111"/>
          <w:sz w:val="28"/>
          <w:szCs w:val="28"/>
          <w:rtl/>
        </w:rPr>
        <w:t xml:space="preserve">[بروکلمان ج ۱ص ۶۲۴ و ج ۲ ص ۲۷۸ و ذیل۸۶۳:۱  معجم المؤلفين ؛۳۳۸/۱؛ کشف الظنون  ۲۳۸/۸ ؛ دنا ۷۶۷/۲ ]</w:t>
      </w:r>
    </w:p>
    <w:p>
      <w:pPr>
        <w:pStyle w:val="BookText"/>
      </w:pPr>
      <w:r>
        <w:rPr>
          <w:rFonts w:ascii="IRNazanin" w:hAnsi="IRNazanin" w:eastAsia="IRNazanin" w:cs="IRNazanin"/>
          <w:lang w:bidi="fa-IR"/>
          <w:color w:val="111111"/>
          <w:sz w:val="28"/>
          <w:szCs w:val="28"/>
          <w:rtl/>
        </w:rPr>
        <w:t xml:space="preserve">۱. تهران، دانشگاه؛ شماره نسخه:۶۵۳ف</w:t>
      </w:r>
    </w:p>
    <w:p>
      <w:pPr>
        <w:pStyle w:val="BookText"/>
      </w:pPr>
      <w:r>
        <w:rPr>
          <w:rFonts w:ascii="IRNazanin" w:hAnsi="IRNazanin" w:eastAsia="IRNazanin" w:cs="IRNazanin"/>
          <w:lang w:bidi="fa-IR"/>
          <w:color w:val="111111"/>
          <w:sz w:val="28"/>
          <w:szCs w:val="28"/>
          <w:rtl/>
        </w:rPr>
        <w:t xml:space="preserve">نسخه اصل: بورسا اولو جامع ش ۲۳۹۸؛ خط: نسخ، كان نصير بن یحیی منجم، تا: نیمه های رمضان ۷۹۹ق؛ ۶۸گ، ۱۷ سطر [فیلمها ف: ۱-۲۹۴]</w:t>
      </w:r>
    </w:p>
    <w:p>
      <w:pPr>
        <w:pStyle w:val="BookText"/>
      </w:pPr>
      <w:r>
        <w:rPr>
          <w:rFonts w:ascii="IRNazanin" w:hAnsi="IRNazanin" w:eastAsia="IRNazanin" w:cs="IRNazanin"/>
          <w:lang w:bidi="fa-IR"/>
          <w:color w:val="111111"/>
          <w:sz w:val="28"/>
          <w:szCs w:val="28"/>
          <w:rtl/>
        </w:rPr>
        <w:t xml:space="preserve">۲. تهران؛ دانشگاه؛ شماره نسخه: ۸۵۹۱/۱</w:t>
      </w:r>
    </w:p>
    <w:p>
      <w:pPr>
        <w:pStyle w:val="BookText"/>
      </w:pPr>
      <w:r>
        <w:rPr>
          <w:rFonts w:ascii="IRNazanin" w:hAnsi="IRNazanin" w:eastAsia="IRNazanin" w:cs="IRNazanin"/>
          <w:lang w:bidi="fa-IR"/>
          <w:color w:val="111111"/>
          <w:sz w:val="28"/>
          <w:szCs w:val="28"/>
          <w:rtl/>
        </w:rPr>
        <w:t xml:space="preserve">خط: نسخ، بی کا، تا: رمضان ۸۸۷ق؛ کاغذ: سمرقندی، جلد: مقوا عطف تیماج تریاکی، ۶۶گ (۱پ - ۶۶پ)، ۱۷ سطر (۱۳۸۹) [ف: ۱۶۷-۱۷]</w:t>
      </w:r>
    </w:p>
    <w:p>
      <w:pPr>
        <w:pStyle w:val="BookText"/>
      </w:pPr>
      <w:r>
        <w:rPr>
          <w:rFonts w:ascii="IRNazanin" w:hAnsi="IRNazanin" w:eastAsia="IRNazanin" w:cs="IRNazanin"/>
          <w:lang w:bidi="fa-IR"/>
          <w:color w:val="111111"/>
          <w:sz w:val="28"/>
          <w:szCs w:val="28"/>
          <w:rtl/>
        </w:rPr>
        <w:t xml:space="preserve">٣. شیراز؛ بغایری، عبدالرزاق؛ شماره نسخه:بدون شماره</w:t>
      </w:r>
    </w:p>
    <w:p>
      <w:pPr>
        <w:pStyle w:val="BookText"/>
      </w:pPr>
      <w:r>
        <w:rPr>
          <w:rFonts w:ascii="IRNazanin" w:hAnsi="IRNazanin" w:eastAsia="IRNazanin" w:cs="IRNazanin"/>
          <w:lang w:bidi="fa-IR"/>
          <w:color w:val="111111"/>
          <w:sz w:val="28"/>
          <w:szCs w:val="28"/>
          <w:rtl/>
        </w:rPr>
        <w:t xml:space="preserve">نام مؤلف در فهرست نیامده است؛ بی کا، تا: قرن ۱۱؛ افتادگی: انجام [میراث اسلامی: ۵-۵۶۷]</w:t>
      </w:r>
    </w:p>
    <w:p>
      <w:pPr>
        <w:pStyle w:val="BookText"/>
      </w:pPr>
      <w:r>
        <w:rPr>
          <w:rFonts w:ascii="IRNazanin" w:hAnsi="IRNazanin" w:eastAsia="IRNazanin" w:cs="IRNazanin"/>
          <w:lang w:bidi="fa-IR"/>
          <w:color w:val="111111"/>
          <w:sz w:val="28"/>
          <w:szCs w:val="28"/>
          <w:rtl/>
        </w:rPr>
        <w:t xml:space="preserve">۴. تهران؛ مجلس؛ شماره نسخه: ۳۹۳۶/۱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عباس بن حیدر قمی اصفهانی، تا: ۶ جمادی الاول ۱۰۶۳ق، کاغذ: نخودی آهار مهره، جلد: تیماج مشکی با ترنج و نیم ترنج، ۱۳۲ص (۱-۱۳۲)، ۱۵ و ۲۴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[ف: ۱۰-۲۰۴۷]</w:t>
      </w:r>
    </w:p>
    <w:p>
      <w:pPr>
        <w:pStyle w:val="BookText"/>
      </w:pPr>
      <w:r>
        <w:rPr>
          <w:rFonts w:ascii="IRNazanin" w:hAnsi="IRNazanin" w:eastAsia="IRNazanin" w:cs="IRNazanin"/>
          <w:lang w:bidi="fa-IR"/>
          <w:color w:val="111111"/>
          <w:sz w:val="28"/>
          <w:szCs w:val="28"/>
          <w:rtl/>
        </w:rPr>
        <w:t xml:space="preserve">تهران؛ دانشگاه؛ شماره نسخه: ۲۲۹۶/۱ -ف</w:t>
      </w:r>
    </w:p>
    <w:p>
      <w:pPr>
        <w:pStyle w:val="BookText"/>
      </w:pPr>
      <w:r>
        <w:rPr>
          <w:rFonts w:ascii="Amiri" w:hAnsi="Amiri" w:eastAsia="Amiri" w:cs="Amiri"/>
          <w:lang w:bidi="ar-SA"/>
          <w:color w:val="111111"/>
          <w:sz w:val="28"/>
          <w:szCs w:val="28"/>
          <w:rtl/>
        </w:rPr>
        <w:t xml:space="preserve">نسخه اصل: همان نسخه بالا [فيلمها ف: ۱-۶۶۹]</w:t>
      </w:r>
    </w:p>
    <w:p>
      <w:pPr>
        <w:pStyle w:val="BookText"/>
      </w:pPr>
      <w:r>
        <w:rPr>
          <w:rFonts w:ascii="IRNazanin" w:hAnsi="IRNazanin" w:eastAsia="IRNazanin" w:cs="IRNazanin"/>
          <w:lang w:bidi="fa-IR"/>
          <w:color w:val="111111"/>
          <w:sz w:val="28"/>
          <w:szCs w:val="28"/>
          <w:rtl/>
        </w:rPr>
        <w:t xml:space="preserve">۵. تهران: دانشگاه؛ شماره نسخه:۵۳۹۹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هادی بن مظفر علوی طبیب، تا: ۲۵ جمادی الثانی ۱۰۷۶ق، کاغذ: سپاهانی، جلد: تیماج تریاکی،</w:t>
      </w:r>
    </w:p>
    <w:p>
      <w:pPr>
        <w:pStyle w:val="BookText"/>
      </w:pPr>
      <w:r>
        <w:rPr>
          <w:rFonts w:ascii="IRNazanin" w:hAnsi="IRNazanin" w:eastAsia="IRNazanin" w:cs="IRNazanin"/>
          <w:lang w:bidi="fa-IR"/>
          <w:color w:val="111111"/>
          <w:sz w:val="28"/>
          <w:szCs w:val="28"/>
          <w:rtl/>
        </w:rPr>
        <w:t xml:space="preserve">۸۶گ، ۱۲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سم [ف: ۱۵-۴۲۴۲]</w:t>
      </w:r>
    </w:p>
    <w:p>
      <w:pPr>
        <w:pStyle w:val="BookText"/>
      </w:pPr>
      <w:r>
        <w:rPr>
          <w:rFonts w:ascii="IRNazanin" w:hAnsi="IRNazanin" w:eastAsia="IRNazanin" w:cs="IRNazanin"/>
          <w:lang w:bidi="fa-IR"/>
          <w:color w:val="111111"/>
          <w:sz w:val="28"/>
          <w:szCs w:val="28"/>
          <w:rtl/>
        </w:rPr>
        <w:t xml:space="preserve">۶. یزد؛ وزیری؛ شماره نسخه: ۱۵۷۲/۲</w:t>
      </w:r>
    </w:p>
    <w:p>
      <w:pPr>
        <w:pStyle w:val="BookText"/>
      </w:pPr>
      <w:r>
        <w:rPr>
          <w:rFonts w:ascii="IRNazanin" w:hAnsi="IRNazanin" w:eastAsia="IRNazanin" w:cs="IRNazanin"/>
          <w:lang w:bidi="fa-IR"/>
          <w:color w:val="111111"/>
          <w:sz w:val="28"/>
          <w:szCs w:val="28"/>
          <w:rtl/>
        </w:rPr>
        <w:t xml:space="preserve">آغاز: بسمله، قال الشيخ الامام الاجل بهاء الدين ضیاء الاسلام حجة الحق ابو محمد عبدالجبار النافتی رحمة الله؛ انجام: برابر خط: نستعلیق، بی کا، بی تا، گویا کاتب نسخه خطبه کتاب و نام مؤلف را تغییر داده؛ کاغذ: سمرقندی، جلد: مقوایی عطف تيماج عنابی، ۲۵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 سم [ف: ۳-۹۹۲]</w:t>
      </w:r>
    </w:p>
    <w:p>
      <w:pPr>
        <w:pStyle w:val="Heading3"/>
      </w:pPr>
      <w:bookmarkStart w:id="2893" w:name="_Toc2153"/>
      <w:r>
        <w:t>•التبصرة في الفقه و بیان اختلاف المذاهب على مذهب الشافعی / فقه / عربی</w:t>
      </w:r>
      <w:bookmarkEnd w:id="2893"/>
    </w:p>
    <w:p>
      <w:pPr>
        <w:pStyle w:val="BookText"/>
      </w:pPr>
      <w:r>
        <w:rPr>
          <w:rFonts w:ascii="Times New Roman" w:hAnsi="Times New Roman" w:eastAsia="Times New Roman" w:cs="Times New Roman"/>
          <w:lang w:val="en-US" w:bidi="en-US"/>
          <w:color w:val="111111"/>
          <w:sz w:val="28"/>
          <w:szCs w:val="28"/>
          <w:rtl/>
        </w:rPr>
        <w:t xml:space="preserve">at-tabşira fi-1 fiqh wa bayān-u ixtilāf-il madāhib ‘alā madhab-iš šāfiʻī</w:t>
      </w:r>
    </w:p>
    <w:p>
      <w:pPr>
        <w:pStyle w:val="BookText"/>
      </w:pPr>
      <w:r>
        <w:rPr>
          <w:rFonts w:ascii="IRNazanin" w:hAnsi="IRNazanin" w:eastAsia="IRNazanin" w:cs="IRNazanin"/>
          <w:lang w:bidi="fa-IR"/>
          <w:color w:val="111111"/>
          <w:sz w:val="28"/>
          <w:szCs w:val="28"/>
          <w:rtl/>
        </w:rPr>
        <w:t xml:space="preserve">از مجدالدين عبد الخالق، با عنوان های «باب»..</w:t>
      </w:r>
    </w:p>
    <w:p>
      <w:pPr>
        <w:pStyle w:val="BookText"/>
      </w:pPr>
      <w:r>
        <w:rPr>
          <w:rFonts w:ascii="IRNazanin" w:hAnsi="IRNazanin" w:eastAsia="IRNazanin" w:cs="IRNazanin"/>
          <w:lang w:bidi="fa-IR"/>
          <w:color w:val="111111"/>
          <w:sz w:val="28"/>
          <w:szCs w:val="28"/>
          <w:rtl/>
        </w:rPr>
        <w:t xml:space="preserve">تهران؛ مجلس؛ شماره نسخه:۱۹۷-بهار</w:t>
      </w:r>
    </w:p>
    <w:p>
      <w:pPr>
        <w:pStyle w:val="BookText"/>
      </w:pPr>
      <w:r>
        <w:rPr>
          <w:rFonts w:ascii="IRNazanin" w:hAnsi="IRNazanin" w:eastAsia="IRNazanin" w:cs="IRNazanin"/>
          <w:lang w:bidi="fa-IR"/>
          <w:color w:val="111111"/>
          <w:sz w:val="28"/>
          <w:szCs w:val="28"/>
          <w:rtl/>
        </w:rPr>
        <w:t xml:space="preserve">آغاز: بسمله و به نستعين. الحمدلله حق حمده و صلواته على خير خلقه محمد و آله و صحبه. اعلم ان اول ما يجب على العبد بعد معرفة الله تعالى الايمان به و ملائكته و كتبه و رسله و اليوم الاخر والصلاة و لاتصح الصلاة الا بالطهارة؛ انجام: و ان اسلمه ... ولد نصرانی حیل بینه ... الى ان يسلم او ... فيعتق خط: نسخ، كا: عبدالرحمن بن عبدالله بن عبدالرحمان فامی دمشقی، تا: شعبان ۵۷۴ق؛ با تملک ۹۶۴ و ۱۰۳۴؛ قطع: ربعي[ نشریه: ۵-۶۵۹]</w:t>
      </w:r>
    </w:p>
    <w:p>
      <w:pPr>
        <w:pStyle w:val="Heading3"/>
      </w:pPr>
      <w:bookmarkStart w:id="2894" w:name="_Toc2154"/>
      <w:r>
        <w:t>•التبصرة في الكلام (ترجمه) / كلام و اعتقادات / عربی</w:t>
      </w:r>
      <w:bookmarkEnd w:id="2894"/>
    </w:p>
    <w:p>
      <w:pPr>
        <w:pStyle w:val="BookText"/>
      </w:pPr>
      <w:r>
        <w:rPr>
          <w:rFonts w:ascii="Times New Roman" w:hAnsi="Times New Roman" w:eastAsia="Times New Roman" w:cs="Times New Roman"/>
          <w:lang w:val="en-US" w:bidi="en-US"/>
          <w:color w:val="111111"/>
          <w:sz w:val="28"/>
          <w:szCs w:val="28"/>
          <w:rtl/>
        </w:rPr>
        <w:t xml:space="preserve">at-tabșira fi-l kalām (t.)</w:t>
      </w:r>
    </w:p>
    <w:p>
      <w:pPr>
        <w:pStyle w:val="BookText"/>
      </w:pPr>
      <w:r>
        <w:rPr>
          <w:rFonts w:ascii="IRNazanin" w:hAnsi="IRNazanin" w:eastAsia="IRNazanin" w:cs="IRNazanin"/>
          <w:lang w:bidi="fa-IR"/>
          <w:color w:val="111111"/>
          <w:sz w:val="28"/>
          <w:szCs w:val="28"/>
          <w:rtl/>
        </w:rPr>
        <w:t xml:space="preserve">متن مانند فصول فارسی خواجه نصیر است و نزدیک به همان عناوین.</w:t>
      </w:r>
    </w:p>
    <w:p>
      <w:pPr>
        <w:pStyle w:val="BookText"/>
      </w:pPr>
      <w:r>
        <w:rPr>
          <w:rFonts w:ascii="IRNazanin" w:hAnsi="IRNazanin" w:eastAsia="IRNazanin" w:cs="IRNazanin"/>
          <w:lang w:bidi="fa-IR"/>
          <w:color w:val="111111"/>
          <w:sz w:val="28"/>
          <w:szCs w:val="28"/>
          <w:rtl/>
        </w:rPr>
        <w:t xml:space="preserve">تهران؛ ملک؛ شماره نسخه: ۳۹۶۶/۲</w:t>
      </w:r>
    </w:p>
    <w:p>
      <w:pPr>
        <w:pStyle w:val="BookText"/>
      </w:pPr>
      <w:r>
        <w:rPr>
          <w:rFonts w:ascii="IRNazanin" w:hAnsi="IRNazanin" w:eastAsia="IRNazanin" w:cs="IRNazanin"/>
          <w:lang w:bidi="fa-IR"/>
          <w:color w:val="111111"/>
          <w:sz w:val="28"/>
          <w:szCs w:val="28"/>
          <w:rtl/>
        </w:rPr>
        <w:t xml:space="preserve">آغاز: بسمله حمدله .. تقسيم من تفکر بادنی نظر علم ان الموجود
</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bookmarkStart w:id="651" w:name="pg20363_209992"/>
    <w:bookmarkEnd w:id="651"/>
    <w:p>
      <w:pPr>
        <w:pStyle w:val="BookText"/>
      </w:pPr>
      <w:r>
        <w:rPr>
          <w:rFonts w:ascii="IRNazanin" w:hAnsi="IRNazanin" w:eastAsia="IRNazanin" w:cs="IRNazanin"/>
          <w:lang w:bidi="fa-IR"/>
          <w:color w:val="111111"/>
          <w:sz w:val="28"/>
          <w:szCs w:val="28"/>
          <w:rtl/>
        </w:rPr>
        <w:t xml:space="preserve">اما موجود ... اولی؛ انجام: الختم و النصيحة من نظر ببصر البصيرة الى حكم الله ... الا القوم الكافرون هذا آخر الكلام و خاتمة المرام خصص الله المؤمنين و المؤمنات بجميع الطافه ... اجمعین. نجز من منصرم شوال من شهور سنة ستين و ستمأته على يد مترجمه محرره حفه الله بكرمه في العافية خط: نسخ، بی کا، تا: قرن ۷ كاغذ: دولت آبادی، جلد: میشن قهوه ای روشن، ۲۱ سطر، اندازه: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۹/۹ سم [ف: ۷-۱۲۱]</w:t>
      </w:r>
    </w:p>
    <w:p>
      <w:pPr>
        <w:pStyle w:val="Heading3"/>
      </w:pPr>
      <w:bookmarkStart w:id="2895" w:name="_Toc2155"/>
      <w:r>
        <w:t>•التبصرة في الهيئة / هیئت / عربی</w:t>
      </w:r>
      <w:bookmarkEnd w:id="2895"/>
    </w:p>
    <w:p>
      <w:pPr>
        <w:pStyle w:val="BookText"/>
      </w:pPr>
      <w:r>
        <w:rPr>
          <w:rFonts w:ascii="Times New Roman" w:hAnsi="Times New Roman" w:eastAsia="Times New Roman" w:cs="Times New Roman"/>
          <w:lang w:val="en-US" w:bidi="en-US"/>
          <w:color w:val="111111"/>
          <w:sz w:val="28"/>
          <w:szCs w:val="28"/>
          <w:rtl/>
        </w:rPr>
        <w:t xml:space="preserve">at-tabșira fi-1 hay'a</w:t>
      </w:r>
    </w:p>
    <w:p>
      <w:pPr>
        <w:pStyle w:val="BookText"/>
      </w:pPr>
      <w:r>
        <w:rPr>
          <w:rFonts w:ascii="IRNazanin" w:hAnsi="IRNazanin" w:eastAsia="IRNazanin" w:cs="IRNazanin"/>
          <w:lang w:bidi="fa-IR"/>
          <w:color w:val="111111"/>
          <w:sz w:val="28"/>
          <w:szCs w:val="28"/>
          <w:rtl/>
        </w:rPr>
        <w:t xml:space="preserve">اثير الدین ابهری، مفضل بن عمر، - ۶۶۰ ؟ قمری</w:t>
      </w:r>
    </w:p>
    <w:p>
      <w:pPr>
        <w:pStyle w:val="BookText"/>
      </w:pPr>
      <w:r>
        <w:rPr>
          <w:rFonts w:ascii="Times New Roman" w:hAnsi="Times New Roman" w:eastAsia="Times New Roman" w:cs="Times New Roman"/>
          <w:lang w:val="en-US" w:bidi="en-US"/>
          <w:color w:val="111111"/>
          <w:sz w:val="28"/>
          <w:szCs w:val="28"/>
          <w:rtl/>
        </w:rPr>
        <w:t xml:space="preserve">asīr-od-dīn-e abharī, mofazzal ebn-e ‘omar (-1262)</w:t>
      </w:r>
    </w:p>
    <w:p>
      <w:pPr>
        <w:pStyle w:val="BookText"/>
      </w:pPr>
      <w:r>
        <w:rPr>
          <w:rFonts w:ascii="IRNazanin" w:hAnsi="IRNazanin" w:eastAsia="IRNazanin" w:cs="IRNazanin"/>
          <w:lang w:bidi="fa-IR"/>
          <w:color w:val="111111"/>
          <w:sz w:val="28"/>
          <w:szCs w:val="28"/>
          <w:rtl/>
        </w:rPr>
        <w:t xml:space="preserve">مشهد، الهیات، شماره نسخه:۷۰۰/۴</w:t>
      </w:r>
    </w:p>
    <w:p>
      <w:pPr>
        <w:pStyle w:val="BookText"/>
      </w:pPr>
      <w:r>
        <w:rPr>
          <w:rFonts w:ascii="IRNazanin" w:hAnsi="IRNazanin" w:eastAsia="IRNazanin" w:cs="IRNazanin"/>
          <w:lang w:bidi="fa-IR"/>
          <w:color w:val="111111"/>
          <w:sz w:val="28"/>
          <w:szCs w:val="28"/>
          <w:rtl/>
        </w:rPr>
        <w:t xml:space="preserve">آغاز: بسمله الحمدلله حق حمده والصلوة على خير خلقه محمد ... وبعد فان العلماء و الحكماء كانوا قبل زماننا هذا متوفرين على جميع العلوم و تاليفها ... كنت احدث نفسي واراجع فكري في أن جمع برسم خدمته كتابا و الفت هذا الكتاب في علم الهيئة ... وسميته كتاب التبصرة في علم الهيئة ... ومن اراد التناهي في هذا الفن فلیتامل کتابي الموسوم بمنتهى الادراك خط: نسخ، بی کا، بی تا، دارای جدول نجومی؛ جلد: تیماج عنابی، ۱۹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۱۶/۵سم [ف: ۱-۲۸۹]</w:t>
      </w:r>
    </w:p>
    <w:p>
      <w:pPr>
        <w:pStyle w:val="Heading3"/>
      </w:pPr>
      <w:bookmarkStart w:id="2896" w:name="_Toc2156"/>
      <w:r>
        <w:t>•تبصرة القراء / تجوید / فارسی</w:t>
      </w:r>
      <w:bookmarkEnd w:id="2896"/>
    </w:p>
    <w:p>
      <w:pPr>
        <w:pStyle w:val="BookText"/>
      </w:pPr>
      <w:r>
        <w:rPr>
          <w:rFonts w:ascii="Times New Roman" w:hAnsi="Times New Roman" w:eastAsia="Times New Roman" w:cs="Times New Roman"/>
          <w:lang w:val="en-US" w:bidi="en-US"/>
          <w:color w:val="111111"/>
          <w:sz w:val="28"/>
          <w:szCs w:val="28"/>
          <w:rtl/>
        </w:rPr>
        <w:t xml:space="preserve">tabserat-ol qorrā'</w:t>
      </w:r>
    </w:p>
    <w:p>
      <w:pPr>
        <w:pStyle w:val="BookText"/>
      </w:pPr>
      <w:r>
        <w:rPr>
          <w:rFonts w:ascii="IRNazanin" w:hAnsi="IRNazanin" w:eastAsia="IRNazanin" w:cs="IRNazanin"/>
          <w:lang w:bidi="fa-IR"/>
          <w:color w:val="111111"/>
          <w:sz w:val="28"/>
          <w:szCs w:val="28"/>
          <w:rtl/>
        </w:rPr>
        <w:t xml:space="preserve">قاری قائنی، محمد حسن، ق ۱۱ قمری</w:t>
      </w:r>
    </w:p>
    <w:p>
      <w:pPr>
        <w:pStyle w:val="BookText"/>
      </w:pPr>
      <w:r>
        <w:rPr>
          <w:rFonts w:ascii="Times New Roman" w:hAnsi="Times New Roman" w:eastAsia="Times New Roman" w:cs="Times New Roman"/>
          <w:lang w:val="en-US" w:bidi="en-US"/>
          <w:color w:val="111111"/>
          <w:sz w:val="28"/>
          <w:szCs w:val="28"/>
          <w:rtl/>
        </w:rPr>
        <w:t xml:space="preserve">qārī qā'enī, mohammad hasan (-17c)</w:t>
      </w:r>
    </w:p>
    <w:p>
      <w:pPr>
        <w:pStyle w:val="BookText"/>
      </w:pPr>
      <w:r>
        <w:rPr>
          <w:rFonts w:ascii="IRNazanin" w:hAnsi="IRNazanin" w:eastAsia="IRNazanin" w:cs="IRNazanin"/>
          <w:lang w:bidi="fa-IR"/>
          <w:color w:val="111111"/>
          <w:sz w:val="28"/>
          <w:szCs w:val="28"/>
          <w:rtl/>
        </w:rPr>
        <w:t xml:space="preserve">اهدا به: شاه عباس دوم صفوی تاریخ تأليف: ۱۰۷۷ق در قواعد تجوید. مؤلف خود در مقدمه گوید که بیست سال در روضه امام علی بن موسی الرضا به تلاوت قرآن و تعلیم مردم مشغول بوده و این کتاب را در زمان شاه عباس تألیف کرده و از این قرار در اواخر قرن دهم و اوایل قرن یازدهم می زیسته است. شامل یک «مقدمه) و دوازده «باب» است: ۱. بیان استعاذه؛ ۲. بیان بسمله؛ ۳. بیان مخارج حروف؛ ۴. بيان صفات حروف؛ ۵. بیان احکام را و لام جلاله؛ ۶. بيان هاء کنایه؛ 7. بیان مد و قصر؛ ۸ بیان احکام نون ساکنه و تنوین؛ ۹. بیان ادغام؛ ۱۰. بیان وقوف و رموز آن؛ ۱۱. بيان رسم الخط؛ ۱۲. بیان اختلاف حفص و بکر در کلمات قرآنی. (سعید نفیسی) آغاز: بهترین امری که قاریان کلام صحیح الاحکام عبادت و حافظان ارکان دار السلام اطاعت .. فسبحان من تكلم بغير آلة و</w:t>
      </w:r>
    </w:p>
    <w:p>
      <w:pPr>
        <w:pStyle w:val="BookText"/>
      </w:pPr>
      <w:r>
        <w:rPr>
          <w:rFonts w:ascii="IRNazanin" w:hAnsi="IRNazanin" w:eastAsia="IRNazanin" w:cs="IRNazanin"/>
          <w:lang w:bidi="fa-IR"/>
          <w:color w:val="111111"/>
          <w:sz w:val="28"/>
          <w:szCs w:val="28"/>
          <w:rtl/>
        </w:rPr>
        <w:t xml:space="preserve">أدوات انجام: عين صلاح و صلاح عین دانسته مقتضای اخوت را بتقديم رساند، على ان الانسان من النسيان</w:t>
      </w:r>
    </w:p>
    <w:p>
      <w:pPr>
        <w:pStyle w:val="BookText"/>
      </w:pPr>
      <w:r>
        <w:rPr>
          <w:rFonts w:ascii="IRNazanin" w:hAnsi="IRNazanin" w:eastAsia="IRNazanin" w:cs="IRNazanin"/>
          <w:lang w:bidi="fa-IR"/>
          <w:color w:val="111111"/>
          <w:sz w:val="28"/>
          <w:szCs w:val="28"/>
          <w:rtl/>
        </w:rPr>
        <w:t xml:space="preserve">[نسخه های منزوی ۷۱/۱ ؛ دنا ۷۶۸/۲ (۵ نسخه)]</w:t>
      </w:r>
    </w:p>
    <w:p>
      <w:pPr>
        <w:pStyle w:val="BookText"/>
      </w:pPr>
      <w:r>
        <w:rPr>
          <w:rFonts w:ascii="IRNazanin" w:hAnsi="IRNazanin" w:eastAsia="IRNazanin" w:cs="IRNazanin"/>
          <w:lang w:bidi="fa-IR"/>
          <w:color w:val="111111"/>
          <w:sz w:val="28"/>
          <w:szCs w:val="28"/>
          <w:rtl/>
        </w:rPr>
        <w:t xml:space="preserve">۱. تهران؛ مجلس؛ شماره نسخه:۲۰۰۴</w:t>
      </w:r>
    </w:p>
    <w:p>
      <w:pPr>
        <w:pStyle w:val="BookText"/>
      </w:pPr>
      <w:r>
        <w:rPr>
          <w:rFonts w:ascii="IRNazanin" w:hAnsi="IRNazanin" w:eastAsia="IRNazanin" w:cs="IRNazanin"/>
          <w:lang w:bidi="fa-IR"/>
          <w:color w:val="111111"/>
          <w:sz w:val="28"/>
          <w:szCs w:val="28"/>
          <w:rtl/>
        </w:rPr>
        <w:t xml:space="preserve">آغاز: برابر، انجام: نگاه باید داشت مثل ایاک نعبد و ایاک نستعین. خط: نسخ متوسط، بی کا، تا: قرن ۱۱؛ افتادگی: آغاز؛ مؤلف در پایان نسخه نوشته: «فارغ شد از تحریر و ساکت گشت از تقریر مسود این اوراق و مشوش خاطر حذاق اقل عباد الله الباری محمد حسن القاری در هنگامی که خطر کلیل و ذهن عليل را انواع پریشانی و حرمان از آمال و امانی حاصل بوده توقع آنکه اگر سهوی یا نسیانی در تقرير قراءتی و تحریر عبارتی واقع شده باشد اصلاح آن را عين صلاح و مصلحت عين دانسته مقتضای اخوت را بتقديم رساند على ان الانسان من النسيان»، مجدول؛ کاغذ: سمرقندی شکری آهار مهره، جلد: میشن خرمایی، ۱۴۳ص، ۱۱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سم [ف: ۶-۳]</w:t>
      </w:r>
    </w:p>
    <w:p>
      <w:pPr>
        <w:pStyle w:val="BookText"/>
      </w:pPr>
      <w:r>
        <w:rPr>
          <w:rFonts w:ascii="IRNazanin" w:hAnsi="IRNazanin" w:eastAsia="IRNazanin" w:cs="IRNazanin"/>
          <w:lang w:bidi="fa-IR"/>
          <w:color w:val="111111"/>
          <w:sz w:val="28"/>
          <w:szCs w:val="28"/>
          <w:rtl/>
        </w:rPr>
        <w:t xml:space="preserve">۲. یزد؛ وزیری؛ شماره نسخه: ۱۴۴۳/۲</w:t>
      </w:r>
    </w:p>
    <w:p>
      <w:pPr>
        <w:pStyle w:val="BookText"/>
      </w:pPr>
      <w:r>
        <w:rPr>
          <w:rFonts w:ascii="IRNazanin" w:hAnsi="IRNazanin" w:eastAsia="IRNazanin" w:cs="IRNazanin"/>
          <w:lang w:bidi="fa-IR"/>
          <w:color w:val="111111"/>
          <w:sz w:val="28"/>
          <w:szCs w:val="28"/>
          <w:rtl/>
        </w:rPr>
        <w:t xml:space="preserve">آغاز: برابر خط: نستعلیق، كا: حسین حسینی بنادکی، تا: ۱۲۲۷ق؛ کاغذ: فرنگی، جلد: تیماج مشکی، ۵۴گ (۳۱-۸۴)، ۱۲ سطر (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۱۰/۵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۳-۹۶۱]</w:t>
      </w:r>
    </w:p>
    <w:p>
      <w:pPr>
        <w:pStyle w:val="BookText"/>
      </w:pPr>
      <w:r>
        <w:rPr>
          <w:rFonts w:ascii="IRNazanin" w:hAnsi="IRNazanin" w:eastAsia="IRNazanin" w:cs="IRNazanin"/>
          <w:lang w:bidi="fa-IR"/>
          <w:color w:val="111111"/>
          <w:sz w:val="28"/>
          <w:szCs w:val="28"/>
          <w:rtl/>
        </w:rPr>
        <w:t xml:space="preserve">٣. قم؛ حجتیه؛ شماره نسخه: ۷۰۳/۱</w:t>
      </w:r>
    </w:p>
    <w:p>
      <w:pPr>
        <w:pStyle w:val="BookText"/>
      </w:pPr>
      <w:r>
        <w:rPr>
          <w:rFonts w:ascii="IRNazanin" w:hAnsi="IRNazanin" w:eastAsia="IRNazanin" w:cs="IRNazanin"/>
          <w:lang w:bidi="fa-IR"/>
          <w:color w:val="111111"/>
          <w:sz w:val="28"/>
          <w:szCs w:val="28"/>
          <w:rtl/>
        </w:rPr>
        <w:t xml:space="preserve">خط: نسخ و نستعلیق، بی کا، تا: ۱۲۳۹ و ۱۲۴۳ ق [ف: ۱۲۱]</w:t>
      </w:r>
    </w:p>
    <w:p>
      <w:pPr>
        <w:pStyle w:val="BookText"/>
      </w:pPr>
      <w:r>
        <w:rPr>
          <w:rFonts w:ascii="IRNazanin" w:hAnsi="IRNazanin" w:eastAsia="IRNazanin" w:cs="IRNazanin"/>
          <w:lang w:bidi="fa-IR"/>
          <w:color w:val="111111"/>
          <w:sz w:val="28"/>
          <w:szCs w:val="28"/>
          <w:rtl/>
        </w:rPr>
        <w:t xml:space="preserve">۴. قم؛ مرعشی؛ شماره نسخه: ۶۱۲/۲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جمعه ۴ شوال ۱۲۴۳ق، جلد: تیماج قرمز، ۴۶گ (۱۵-۶۰پ)، اندازه: 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۱۶/۵ سم [ف: ۲-۲۰۹]</w:t>
      </w:r>
    </w:p>
    <w:p>
      <w:pPr>
        <w:pStyle w:val="BookText"/>
      </w:pPr>
      <w:r>
        <w:rPr>
          <w:rFonts w:ascii="IRNazanin" w:hAnsi="IRNazanin" w:eastAsia="IRNazanin" w:cs="IRNazanin"/>
          <w:lang w:bidi="fa-IR"/>
          <w:color w:val="111111"/>
          <w:sz w:val="28"/>
          <w:szCs w:val="28"/>
          <w:rtl/>
        </w:rPr>
        <w:t xml:space="preserve">۵. قم: مرکز احیاء؛ شماره نسخه: ۱۹۸۱/۱</w:t>
      </w:r>
    </w:p>
    <w:p>
      <w:pPr>
        <w:pStyle w:val="BookText"/>
      </w:pPr>
      <w:r>
        <w:rPr>
          <w:rFonts w:ascii="IRNazanin" w:hAnsi="IRNazanin" w:eastAsia="IRNazanin" w:cs="IRNazanin"/>
          <w:lang w:bidi="fa-IR"/>
          <w:color w:val="111111"/>
          <w:sz w:val="28"/>
          <w:szCs w:val="28"/>
          <w:rtl/>
        </w:rPr>
        <w:t xml:space="preserve">آغاز: دلهاست بل تكون حروف و کلمات و تحف تحیات زاكيات؛ انجام: لتاركوا آلهتنا و کلمه أثن در سوره شعرا مرسوم است. نسخه اصل: کتابخانه شخصی؛ بی کا، تا: با تاریخ ۱۳۲۹ق؛ افتادگی: آغاز و انجام؛ ۲۶ص (۱-۲۶) [عکسی ف: ۵-۴۳۴]</w:t>
      </w:r>
    </w:p>
    <w:p>
      <w:pPr>
        <w:pStyle w:val="Heading3"/>
      </w:pPr>
      <w:bookmarkStart w:id="2897" w:name="_Toc2157"/>
      <w:r>
        <w:t>•تبصرة الكحالين / طب / فارسی</w:t>
      </w:r>
      <w:bookmarkEnd w:id="2897"/>
    </w:p>
    <w:p>
      <w:pPr>
        <w:pStyle w:val="BookText"/>
      </w:pPr>
      <w:r>
        <w:rPr>
          <w:rFonts w:ascii="Times New Roman" w:hAnsi="Times New Roman" w:eastAsia="Times New Roman" w:cs="Times New Roman"/>
          <w:lang w:val="en-US" w:bidi="en-US"/>
          <w:color w:val="111111"/>
          <w:sz w:val="28"/>
          <w:szCs w:val="28"/>
          <w:rtl/>
        </w:rPr>
        <w:t xml:space="preserve">tabserat-ol kahhālīn</w:t>
      </w:r>
    </w:p>
    <w:p>
      <w:pPr>
        <w:pStyle w:val="BookText"/>
      </w:pPr>
      <w:r>
        <w:rPr>
          <w:rFonts w:ascii="IRNazanin" w:hAnsi="IRNazanin" w:eastAsia="IRNazanin" w:cs="IRNazanin"/>
          <w:lang w:bidi="fa-IR"/>
          <w:color w:val="111111"/>
          <w:sz w:val="28"/>
          <w:szCs w:val="28"/>
          <w:rtl/>
        </w:rPr>
        <w:t xml:space="preserve">كحال، حسینعلی بن مقصود علی، ق ۱۱ قمری</w:t>
      </w:r>
    </w:p>
    <w:p>
      <w:pPr>
        <w:pStyle w:val="BookText"/>
      </w:pPr>
      <w:r>
        <w:rPr>
          <w:rFonts w:ascii="Times New Roman" w:hAnsi="Times New Roman" w:eastAsia="Times New Roman" w:cs="Times New Roman"/>
          <w:lang w:val="en-US" w:bidi="en-US"/>
          <w:color w:val="111111"/>
          <w:sz w:val="28"/>
          <w:szCs w:val="28"/>
          <w:rtl/>
        </w:rPr>
        <w:t xml:space="preserve">kahhāl, hoseyn--alī ebn-e maqsūd ‘alī (-17c)</w:t>
      </w:r>
    </w:p>
    <w:p>
      <w:pPr>
        <w:pStyle w:val="BookText"/>
      </w:pPr>
      <w:r>
        <w:rPr>
          <w:rFonts w:ascii="IRNazanin" w:hAnsi="IRNazanin" w:eastAsia="IRNazanin" w:cs="IRNazanin"/>
          <w:lang w:bidi="fa-IR"/>
          <w:color w:val="111111"/>
          <w:sz w:val="28"/>
          <w:szCs w:val="28"/>
          <w:rtl/>
        </w:rPr>
        <w:t xml:space="preserve">تاریخ تأليف: ۱۰۸۴ق کتابی است در چشم پزشکی، در ۷ «مقام» و «مقدمه» و «خاتمه»: مقدمه: در بحث و تعریف و تشریح عين، محتوی بر چند فصل؛ مقام ۱. مشتمل بر شش باب؛ ۲. بیماری های پلک چشم، بیست و نه باب؛ ۳. بیماری های گوشه چشم، سه باب؛ ۴. بیماری های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bookmarkStart w:id="652" w:name="pg20363_209993"/>
    <w:bookmarkEnd w:id="652"/>
    <w:p>
      <w:pPr>
        <w:pStyle w:val="BookText"/>
      </w:pPr>
      <w:r>
        <w:rPr>
          <w:rFonts w:ascii="IRNazanin" w:hAnsi="IRNazanin" w:eastAsia="IRNazanin" w:cs="IRNazanin"/>
          <w:lang w:bidi="fa-IR"/>
          <w:color w:val="111111"/>
          <w:sz w:val="28"/>
          <w:szCs w:val="28"/>
          <w:rtl/>
        </w:rPr>
        <w:t xml:space="preserve">طبقه ملتحمه، سیزده باب؛ ۵. بیماری های طبقه قرنیه، ده باب؛ ۶. شناخت امراض</w:t>
      </w:r>
    </w:p>
    <w:p>
      <w:pPr>
        <w:pStyle w:val="BookText"/>
      </w:pPr>
      <w:r>
        <w:rPr>
          <w:rFonts w:ascii="IRNazanin" w:hAnsi="IRNazanin" w:eastAsia="IRNazanin" w:cs="IRNazanin"/>
          <w:lang w:bidi="fa-IR"/>
          <w:color w:val="111111"/>
          <w:sz w:val="28"/>
          <w:szCs w:val="28"/>
          <w:rtl/>
        </w:rPr>
        <w:t xml:space="preserve">طبقه عنبیه، پنج باب؛ 7. شناختن بیماری هایی که آن را به حس ادراک نتوان کرد، هجده باب؛ خاتمه: در متفرقات.</w:t>
      </w:r>
    </w:p>
    <w:p>
      <w:pPr>
        <w:pStyle w:val="BookText"/>
      </w:pPr>
      <w:r>
        <w:rPr>
          <w:rFonts w:ascii="IRNazanin" w:hAnsi="IRNazanin" w:eastAsia="IRNazanin" w:cs="IRNazanin"/>
          <w:lang w:bidi="fa-IR"/>
          <w:color w:val="111111"/>
          <w:sz w:val="28"/>
          <w:szCs w:val="28"/>
          <w:rtl/>
        </w:rPr>
        <w:t xml:space="preserve">قم؛ مرعشی؛ شماره نسخه: ۱۴۲۲۰</w:t>
      </w:r>
    </w:p>
    <w:p>
      <w:pPr>
        <w:pStyle w:val="BookText"/>
      </w:pPr>
      <w:r>
        <w:rPr>
          <w:rFonts w:ascii="IRNazanin" w:hAnsi="IRNazanin" w:eastAsia="IRNazanin" w:cs="IRNazanin"/>
          <w:lang w:bidi="fa-IR"/>
          <w:color w:val="111111"/>
          <w:sz w:val="28"/>
          <w:szCs w:val="28"/>
          <w:rtl/>
        </w:rPr>
        <w:t xml:space="preserve">آغاز: شکر و سپاس و ستایش بی قیاس خالق النوری را سزایت عيون ما بی بصر انرا بعدد طبقات سموات بمقتضای آیه وافی هدایه و «خلق سبع سموات ...»؛ انجام: سال تالیفش این قم گرد بد *** نور چشم همه کتاب بود.</w:t>
      </w:r>
    </w:p>
    <w:p>
      <w:pPr>
        <w:pStyle w:val="BookText"/>
      </w:pPr>
      <w:r>
        <w:rPr>
          <w:rFonts w:ascii="IRNazanin" w:hAnsi="IRNazanin" w:eastAsia="IRNazanin" w:cs="IRNazanin"/>
          <w:lang w:bidi="fa-IR"/>
          <w:color w:val="111111"/>
          <w:sz w:val="28"/>
          <w:szCs w:val="28"/>
          <w:rtl/>
        </w:rPr>
        <w:t xml:space="preserve">خط: نستعلیق، کا: صالح ابهری، تا: قرن ۱۱؛ مصحح، محشی و توضیحات از مؤلف؛ تملك: «مئسی بن میرزا محمد مهدی» و مهر بیضی او، کاغذ: شرقی، جلد: مقوایی با روکش پارچه قهوه ای، ۸۶گ، ۱۹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۳۶-۳۰]</w:t>
      </w:r>
    </w:p>
    <w:p>
      <w:pPr>
        <w:pStyle w:val="Heading3"/>
      </w:pPr>
      <w:bookmarkStart w:id="2898" w:name="_Toc2158"/>
      <w:r>
        <w:t>•تبصرة المبتدی (المبتدئين) / فقه / عربی</w:t>
      </w:r>
      <w:bookmarkEnd w:id="2898"/>
    </w:p>
    <w:p>
      <w:pPr>
        <w:pStyle w:val="BookText"/>
      </w:pPr>
      <w:r>
        <w:rPr>
          <w:rFonts w:ascii="Times New Roman" w:hAnsi="Times New Roman" w:eastAsia="Times New Roman" w:cs="Times New Roman"/>
          <w:lang w:val="en-US" w:bidi="en-US"/>
          <w:color w:val="111111"/>
          <w:sz w:val="28"/>
          <w:szCs w:val="28"/>
          <w:rtl/>
        </w:rPr>
        <w:t xml:space="preserve">tabșirat-ul mubtadī (al-mubtadi'īn)</w:t>
      </w:r>
    </w:p>
    <w:p>
      <w:pPr>
        <w:pStyle w:val="BookText"/>
      </w:pPr>
      <w:r>
        <w:rPr>
          <w:rFonts w:ascii="IRNazanin" w:hAnsi="IRNazanin" w:eastAsia="IRNazanin" w:cs="IRNazanin"/>
          <w:lang w:bidi="fa-IR"/>
          <w:color w:val="111111"/>
          <w:sz w:val="28"/>
          <w:szCs w:val="28"/>
          <w:rtl/>
        </w:rPr>
        <w:t xml:space="preserve">جزائری، احمد بن اسماعیل، -۱۱۵۱ ؟ قمری</w:t>
      </w:r>
    </w:p>
    <w:p>
      <w:pPr>
        <w:pStyle w:val="BookText"/>
      </w:pPr>
      <w:r>
        <w:rPr>
          <w:rFonts w:ascii="Times New Roman" w:hAnsi="Times New Roman" w:eastAsia="Times New Roman" w:cs="Times New Roman"/>
          <w:lang w:val="en-US" w:bidi="en-US"/>
          <w:color w:val="111111"/>
          <w:sz w:val="28"/>
          <w:szCs w:val="28"/>
          <w:rtl/>
        </w:rPr>
        <w:t xml:space="preserve">jazā’erī, ahmad ebn-e esmāʻīl (-1739)</w:t>
      </w:r>
    </w:p>
    <w:p>
      <w:pPr>
        <w:pStyle w:val="BookText"/>
      </w:pPr>
      <w:r>
        <w:rPr>
          <w:rFonts w:ascii="IRNazanin" w:hAnsi="IRNazanin" w:eastAsia="IRNazanin" w:cs="IRNazanin"/>
          <w:lang w:bidi="fa-IR"/>
          <w:color w:val="111111"/>
          <w:sz w:val="28"/>
          <w:szCs w:val="28"/>
          <w:rtl/>
        </w:rPr>
        <w:t xml:space="preserve">در طهارت از فقه شیعه. این کتاب در الذریعه (ج 3 ص ۱۱۷۹) تبصره المبتدئين است و در نسخه ما «تبصره المبتدی» دیده می شود.</w:t>
      </w:r>
    </w:p>
    <w:p>
      <w:pPr>
        <w:pStyle w:val="BookText"/>
      </w:pPr>
      <w:r>
        <w:rPr>
          <w:rFonts w:ascii="IRNazanin" w:hAnsi="IRNazanin" w:eastAsia="IRNazanin" w:cs="IRNazanin"/>
          <w:lang w:bidi="fa-IR"/>
          <w:color w:val="111111"/>
          <w:sz w:val="28"/>
          <w:szCs w:val="28"/>
          <w:rtl/>
        </w:rPr>
        <w:t xml:space="preserve">[ دنا ۲؛ الذریعه ۳: ۱۱۷۹ ش، ۱۷: ۱۶۱ ش ۸۵۰ ۲۵: ۷۱ ش ۳۸۵]</w:t>
      </w:r>
    </w:p>
    <w:p>
      <w:pPr>
        <w:pStyle w:val="BookText"/>
      </w:pPr>
      <w:r>
        <w:rPr>
          <w:rFonts w:ascii="IRNazanin" w:hAnsi="IRNazanin" w:eastAsia="IRNazanin" w:cs="IRNazanin"/>
          <w:lang w:bidi="fa-IR"/>
          <w:color w:val="111111"/>
          <w:sz w:val="28"/>
          <w:szCs w:val="28"/>
          <w:rtl/>
        </w:rPr>
        <w:t xml:space="preserve">تهران؛ ملی؛ شماره نسخه: ۳۸۰۸/۲۲</w:t>
      </w:r>
    </w:p>
    <w:p>
      <w:pPr>
        <w:pStyle w:val="BookText"/>
      </w:pPr>
      <w:r>
        <w:rPr>
          <w:rFonts w:ascii="IRNazanin" w:hAnsi="IRNazanin" w:eastAsia="IRNazanin" w:cs="IRNazanin"/>
          <w:lang w:bidi="fa-IR"/>
          <w:color w:val="111111"/>
          <w:sz w:val="28"/>
          <w:szCs w:val="28"/>
          <w:rtl/>
        </w:rPr>
        <w:t xml:space="preserve">آغاز: بسمله. حمدله ... و آله الطاهرین. و بعد سالنی بعض ... رساله مختصره في الطهاره و الصلاة ... وهي مرتبه على مقصدين؛ انجام: افضل من القصر. و بذلك نختم الكلام و بالله ... و قد وقع الفراغ من كتابه ... المسماء «تبصره المبتدی» تصنیف احمد الجزائري النجفي رحمه الله في ۳ صفر عند ... محمد حسین ولد شیخ محمد رضا بن عبدالحسین ... نصف و على يد شاکرده شاگرد او) نسف محمد حسین ولد شیخ محمد رضا بن عبدالحسین ... نصف و على يد شاقرده (شاگرد او) نصف في سنه ۱۱۶۳</w:t>
      </w:r>
    </w:p>
    <w:p>
      <w:pPr>
        <w:pStyle w:val="BookText"/>
      </w:pPr>
      <w:r>
        <w:rPr>
          <w:rFonts w:ascii="IRNazanin" w:hAnsi="IRNazanin" w:eastAsia="IRNazanin" w:cs="IRNazanin"/>
          <w:lang w:bidi="fa-IR"/>
          <w:color w:val="111111"/>
          <w:sz w:val="28"/>
          <w:szCs w:val="28"/>
          <w:rtl/>
        </w:rPr>
        <w:t xml:space="preserve">خط: نسخ خوش و مغلوط، كا: محمد حسین بن محمد رضا بن عبدالحسین، تا: ۱۱۶۳ق؛ کاغذ: فرنگی نخودی، جلد: مقوا رویه کاغذ زرد، ۱۲گ (۱۷۱پ -۱۸۲)، ۲۰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 ۲۱/۳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۱۷-۲۵]</w:t>
      </w:r>
    </w:p>
    <w:p>
      <w:pPr>
        <w:pStyle w:val="Heading3"/>
      </w:pPr>
      <w:bookmarkStart w:id="2899" w:name="_Toc2159"/>
      <w:r>
        <w:t>•تبصرة المبتدي في الهيئة / هيأت / عربی</w:t>
      </w:r>
      <w:bookmarkEnd w:id="2899"/>
    </w:p>
    <w:p>
      <w:pPr>
        <w:pStyle w:val="BookText"/>
      </w:pPr>
      <w:r>
        <w:rPr>
          <w:rFonts w:ascii="Times New Roman" w:hAnsi="Times New Roman" w:eastAsia="Times New Roman" w:cs="Times New Roman"/>
          <w:lang w:val="en-US" w:bidi="en-US"/>
          <w:color w:val="111111"/>
          <w:sz w:val="28"/>
          <w:szCs w:val="28"/>
          <w:rtl/>
        </w:rPr>
        <w:t xml:space="preserve">tabşirat-ul mubtadī fi-l hay'a</w:t>
      </w:r>
    </w:p>
    <w:p>
      <w:pPr>
        <w:pStyle w:val="BookText"/>
      </w:pPr>
      <w:r>
        <w:rPr>
          <w:rFonts w:ascii="IRNazanin" w:hAnsi="IRNazanin" w:eastAsia="IRNazanin" w:cs="IRNazanin"/>
          <w:lang w:bidi="fa-IR"/>
          <w:color w:val="111111"/>
          <w:sz w:val="28"/>
          <w:szCs w:val="28"/>
          <w:rtl/>
        </w:rPr>
        <w:t xml:space="preserve">عاملی، علی بن حسین، ۱۱۳۵ قمری</w:t>
      </w:r>
    </w:p>
    <w:p>
      <w:pPr>
        <w:pStyle w:val="BookText"/>
      </w:pPr>
      <w:r>
        <w:rPr>
          <w:rFonts w:ascii="Times New Roman" w:hAnsi="Times New Roman" w:eastAsia="Times New Roman" w:cs="Times New Roman"/>
          <w:lang w:val="en-US" w:bidi="en-US"/>
          <w:color w:val="111111"/>
          <w:sz w:val="28"/>
          <w:szCs w:val="28"/>
          <w:rtl/>
        </w:rPr>
        <w:t xml:space="preserve">‘āmelī, ‘alī ebn-e hoseyn (-1723)</w:t>
      </w:r>
    </w:p>
    <w:p>
      <w:pPr>
        <w:pStyle w:val="BookText"/>
      </w:pPr>
      <w:r>
        <w:rPr>
          <w:rFonts w:ascii="IRNazanin" w:hAnsi="IRNazanin" w:eastAsia="IRNazanin" w:cs="IRNazanin"/>
          <w:lang w:bidi="fa-IR"/>
          <w:color w:val="111111"/>
          <w:sz w:val="28"/>
          <w:szCs w:val="28"/>
          <w:rtl/>
        </w:rPr>
        <w:t xml:space="preserve">تاریخ تأليف: ۱۰۹۵ ق</w:t>
      </w:r>
    </w:p>
    <w:p>
      <w:pPr>
        <w:pStyle w:val="BookText"/>
      </w:pPr>
      <w:r>
        <w:rPr>
          <w:rFonts w:ascii="IRNazanin" w:hAnsi="IRNazanin" w:eastAsia="IRNazanin" w:cs="IRNazanin"/>
          <w:lang w:bidi="fa-IR"/>
          <w:color w:val="111111"/>
          <w:sz w:val="28"/>
          <w:szCs w:val="28"/>
          <w:rtl/>
        </w:rPr>
        <w:t xml:space="preserve">منظومه ای است که مسائل هیئت را به امر سید اسماعیل به نظم کشیده با ذکر مقدماتی در هندسه و مشتمل بر ۵۵۸ بیت می باشد.</w:t>
      </w:r>
    </w:p>
    <w:p>
      <w:pPr>
        <w:pStyle w:val="BookText"/>
      </w:pPr>
      <w:r>
        <w:rPr>
          <w:rFonts w:ascii="IRNazanin" w:hAnsi="IRNazanin" w:eastAsia="IRNazanin" w:cs="IRNazanin"/>
          <w:lang w:bidi="fa-IR"/>
          <w:color w:val="111111"/>
          <w:sz w:val="28"/>
          <w:szCs w:val="28"/>
          <w:rtl/>
        </w:rPr>
        <w:t xml:space="preserve">قم، مرکز احیاء؛ شماره نسخه: ۲۷۵۳/۱</w:t>
      </w:r>
    </w:p>
    <w:p>
      <w:pPr>
        <w:pStyle w:val="BookText"/>
      </w:pPr>
      <w:r>
        <w:rPr>
          <w:rFonts w:ascii="IRNazanin" w:hAnsi="IRNazanin" w:eastAsia="IRNazanin" w:cs="IRNazanin"/>
          <w:lang w:bidi="fa-IR"/>
          <w:color w:val="111111"/>
          <w:sz w:val="28"/>
          <w:szCs w:val="28"/>
          <w:rtl/>
        </w:rPr>
        <w:t xml:space="preserve">آغاز: الحمدلله الذي بلا مدد *** قد رفع السماء من غير عمد؛ انجام: يبين كل ذا لمن ينظر في *** ذا الشكل و هو ظاهر غير خفی</w:t>
      </w:r>
    </w:p>
    <w:p>
      <w:pPr>
        <w:pStyle w:val="BookText"/>
      </w:pPr>
      <w:r>
        <w:rPr>
          <w:rFonts w:ascii="IRNazanin" w:hAnsi="IRNazanin" w:eastAsia="IRNazanin" w:cs="IRNazanin"/>
          <w:lang w:bidi="fa-IR"/>
          <w:color w:val="111111"/>
          <w:sz w:val="28"/>
          <w:szCs w:val="28"/>
          <w:rtl/>
        </w:rPr>
        <w:t xml:space="preserve">نسخه اصل: کتابخانه مدرسه میرزا حسین خلیلی -نجف اشرف؛ خط: نسخ، كاتب = مؤلف، بی تا؛ افتادگی: انجام؛ مصحح، محشى؛ ۳۶ ص (۱-۳۶) [عکسی ف: ۷-۳۴۸]</w:t>
      </w:r>
    </w:p>
    <w:p>
      <w:pPr>
        <w:pStyle w:val="BookText"/>
      </w:pPr>
      <w:r>
        <w:rPr>
          <w:rFonts w:ascii="IRNazanin" w:hAnsi="IRNazanin" w:eastAsia="IRNazanin" w:cs="IRNazanin"/>
          <w:lang w:bidi="fa-IR"/>
          <w:color w:val="111111"/>
          <w:sz w:val="28"/>
          <w:szCs w:val="28"/>
          <w:rtl/>
        </w:rPr>
        <w:t xml:space="preserve">← تبصرة المبتدی و تذكرة المنتهى ← التبصرة في الصرف</w:t>
      </w:r>
    </w:p>
    <w:p>
      <w:pPr>
        <w:pStyle w:val="Heading3"/>
      </w:pPr>
      <w:bookmarkStart w:id="2900" w:name="_Toc2160"/>
      <w:r>
        <w:t>•تبصرة المبتدی و تذکرة المنتهى /نحو / عربی</w:t>
      </w:r>
      <w:bookmarkEnd w:id="2900"/>
    </w:p>
    <w:p>
      <w:pPr>
        <w:pStyle w:val="BookText"/>
      </w:pPr>
      <w:r>
        <w:rPr>
          <w:rFonts w:ascii="Times New Roman" w:hAnsi="Times New Roman" w:eastAsia="Times New Roman" w:cs="Times New Roman"/>
          <w:lang w:val="en-US" w:bidi="en-US"/>
          <w:color w:val="111111"/>
          <w:sz w:val="28"/>
          <w:szCs w:val="28"/>
          <w:rtl/>
        </w:rPr>
        <w:t xml:space="preserve">tabşirat-ul mubtadī wa tadkirat-ul muntahī</w:t>
      </w:r>
    </w:p>
    <w:p>
      <w:pPr>
        <w:pStyle w:val="BookText"/>
      </w:pPr>
      <w:r>
        <w:rPr>
          <w:rFonts w:ascii="IRNazanin" w:hAnsi="IRNazanin" w:eastAsia="IRNazanin" w:cs="IRNazanin"/>
          <w:lang w:bidi="fa-IR"/>
          <w:color w:val="111111"/>
          <w:sz w:val="28"/>
          <w:szCs w:val="28"/>
          <w:rtl/>
        </w:rPr>
        <w:t xml:space="preserve">صمیری، عبدالله بن على، ق ۵ قمری</w:t>
      </w:r>
    </w:p>
    <w:p>
      <w:pPr>
        <w:pStyle w:val="BookText"/>
      </w:pPr>
      <w:r>
        <w:rPr>
          <w:rFonts w:ascii="Times New Roman" w:hAnsi="Times New Roman" w:eastAsia="Times New Roman" w:cs="Times New Roman"/>
          <w:lang w:val="en-US" w:bidi="en-US"/>
          <w:color w:val="111111"/>
          <w:sz w:val="28"/>
          <w:szCs w:val="28"/>
          <w:rtl/>
        </w:rPr>
        <w:t xml:space="preserve">samīrī, ‘abd-ol-lāh ebn-e ‘alī (-11c)</w:t>
      </w:r>
    </w:p>
    <w:p>
      <w:pPr>
        <w:pStyle w:val="BookText"/>
      </w:pPr>
      <w:r>
        <w:rPr>
          <w:rFonts w:ascii="IRNazanin" w:hAnsi="IRNazanin" w:eastAsia="IRNazanin" w:cs="IRNazanin"/>
          <w:lang w:bidi="fa-IR"/>
          <w:color w:val="111111"/>
          <w:sz w:val="28"/>
          <w:szCs w:val="28"/>
          <w:rtl/>
        </w:rPr>
        <w:t xml:space="preserve">تاریخ تأليف: ۴۹۶ق در اصول و فروع علم نحو</w:t>
      </w:r>
    </w:p>
    <w:p>
      <w:pPr>
        <w:pStyle w:val="BookText"/>
      </w:pPr>
      <w:r>
        <w:rPr>
          <w:rFonts w:ascii="IRNazanin" w:hAnsi="IRNazanin" w:eastAsia="IRNazanin" w:cs="IRNazanin"/>
          <w:lang w:bidi="fa-IR"/>
          <w:color w:val="111111"/>
          <w:sz w:val="28"/>
          <w:szCs w:val="28"/>
          <w:rtl/>
        </w:rPr>
        <w:t xml:space="preserve">چاپ: محقق: فتحي احمد مصطفى على الدين، مکه، جامعة ام</w:t>
      </w:r>
    </w:p>
    <w:p>
      <w:pPr>
        <w:pStyle w:val="BookText"/>
      </w:pPr>
      <w:r>
        <w:rPr>
          <w:rFonts w:ascii="Amiri" w:hAnsi="Amiri" w:eastAsia="Amiri" w:cs="Amiri"/>
          <w:lang w:bidi="ar-SA"/>
          <w:color w:val="111111"/>
          <w:sz w:val="28"/>
          <w:szCs w:val="28"/>
          <w:rtl/>
        </w:rPr>
        <w:t xml:space="preserve">القرى، ۱۴۰۲ق؛ دمشق، دار الفكر، ۲ج، ۱۴۰۲ق.</w:t>
      </w:r>
    </w:p>
    <w:p>
      <w:pPr>
        <w:pStyle w:val="BookText"/>
      </w:pPr>
      <w:r>
        <w:rPr>
          <w:rFonts w:ascii="IRNazanin" w:hAnsi="IRNazanin" w:eastAsia="IRNazanin" w:cs="IRNazanin"/>
          <w:lang w:bidi="fa-IR"/>
          <w:color w:val="111111"/>
          <w:sz w:val="28"/>
          <w:szCs w:val="28"/>
          <w:rtl/>
        </w:rPr>
        <w:t xml:space="preserve">[دنا ۷۶۸/۲ ]</w:t>
      </w:r>
    </w:p>
    <w:p>
      <w:pPr>
        <w:pStyle w:val="BookText"/>
      </w:pPr>
      <w:r>
        <w:rPr>
          <w:rFonts w:ascii="IRNazanin" w:hAnsi="IRNazanin" w:eastAsia="IRNazanin" w:cs="IRNazanin"/>
          <w:lang w:bidi="fa-IR"/>
          <w:color w:val="111111"/>
          <w:sz w:val="28"/>
          <w:szCs w:val="28"/>
          <w:rtl/>
        </w:rPr>
        <w:t xml:space="preserve">مشهد، الهیات؛ شماره نسخه: ۵۱</w:t>
      </w:r>
    </w:p>
    <w:p>
      <w:pPr>
        <w:pStyle w:val="BookText"/>
      </w:pPr>
      <w:r>
        <w:rPr>
          <w:rFonts w:ascii="IRNazanin" w:hAnsi="IRNazanin" w:eastAsia="IRNazanin" w:cs="IRNazanin"/>
          <w:lang w:bidi="fa-IR"/>
          <w:color w:val="111111"/>
          <w:sz w:val="28"/>
          <w:szCs w:val="28"/>
          <w:rtl/>
        </w:rPr>
        <w:t xml:space="preserve">آغاز و به نستعين وصلى الله على محمد و آله محمد ... قال ابو محمد عبدالله خط: نسخ، بی کا، تا: ۷۴۳ق؛ در شهرستان تبراء تصحیح و مقابله شده؛ جلد: تیماج قهوه ای، ۱۰۰گ، ۲۹ سطر (به شیوه خط مغربی)،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۱-۲۸]</w:t>
      </w:r>
    </w:p>
    <w:p>
      <w:pPr>
        <w:pStyle w:val="Heading3"/>
      </w:pPr>
      <w:bookmarkStart w:id="2901" w:name="_Toc2161"/>
      <w:r>
        <w:t>•تبصرة المبتدی و تذکرة المنتهی / مواعظ / عربی</w:t>
      </w:r>
      <w:bookmarkEnd w:id="2901"/>
    </w:p>
    <w:p>
      <w:pPr>
        <w:pStyle w:val="BookText"/>
      </w:pPr>
      <w:r>
        <w:rPr>
          <w:rFonts w:ascii="Times New Roman" w:hAnsi="Times New Roman" w:eastAsia="Times New Roman" w:cs="Times New Roman"/>
          <w:lang w:val="en-US" w:bidi="en-US"/>
          <w:color w:val="111111"/>
          <w:sz w:val="28"/>
          <w:szCs w:val="28"/>
          <w:rtl/>
        </w:rPr>
        <w:t xml:space="preserve">tabșirat-ul mubtadī wa tadkirat-ul muntahī</w:t>
      </w:r>
    </w:p>
    <w:p>
      <w:pPr>
        <w:pStyle w:val="BookText"/>
      </w:pPr>
      <w:r>
        <w:rPr>
          <w:rFonts w:ascii="IRNazanin" w:hAnsi="IRNazanin" w:eastAsia="IRNazanin" w:cs="IRNazanin"/>
          <w:lang w:bidi="fa-IR"/>
          <w:color w:val="111111"/>
          <w:sz w:val="28"/>
          <w:szCs w:val="28"/>
          <w:rtl/>
        </w:rPr>
        <w:t xml:space="preserve">ابن جوزی، عبدالرحمن بن علی، ۵۰۸؟ -۵۹۷ قمری</w:t>
      </w:r>
    </w:p>
    <w:p>
      <w:pPr>
        <w:pStyle w:val="BookText"/>
      </w:pPr>
      <w:r>
        <w:rPr>
          <w:rFonts w:ascii="Times New Roman" w:hAnsi="Times New Roman" w:eastAsia="Times New Roman" w:cs="Times New Roman"/>
          <w:lang w:val="en-US" w:bidi="en-US"/>
          <w:color w:val="111111"/>
          <w:sz w:val="28"/>
          <w:szCs w:val="28"/>
          <w:rtl/>
        </w:rPr>
        <w:t xml:space="preserve">ebn-e jawzī, ‘abd-or-rahmān ebn-e ‘alī (1115-1201)</w:t>
      </w:r>
    </w:p>
    <w:p>
      <w:pPr>
        <w:pStyle w:val="BookText"/>
      </w:pPr>
      <w:r>
        <w:rPr>
          <w:rFonts w:ascii="IRNazanin" w:hAnsi="IRNazanin" w:eastAsia="IRNazanin" w:cs="IRNazanin"/>
          <w:lang w:bidi="fa-IR"/>
          <w:color w:val="111111"/>
          <w:sz w:val="28"/>
          <w:szCs w:val="28"/>
          <w:rtl/>
        </w:rPr>
        <w:t xml:space="preserve">کتابی است در اخلاق و مواعظ که برخی مسائل اخلاقی با عناوین «مجلس، مجلس» با استناد به احادیث نبوی و اشعار گوناگون مورد بحث و بررسی قرار گرفته است. برخی عناوین آن: مجلس في ذكر القبر، في ذكر القيامة، في ذكر الجنة، في ذکر جهنم، لوعظ السلطان، لبعض ارباب الولايات و في التغازی. مؤلف، کتاب را به ترتیب مجالس و ظاهرا در چند جزء تأليف نموده است. علو چی می نویسد: ابن رجب، می گوید این کتاب در بیست جزء است.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bookmarkStart w:id="653" w:name="pg20363_209994"/>
    <w:bookmarkEnd w:id="653"/>
    <w:p>
      <w:pPr>
        <w:pStyle w:val="BookText"/>
      </w:pPr>
      <w:r>
        <w:rPr>
          <w:rFonts w:ascii="IRNazanin" w:hAnsi="IRNazanin" w:eastAsia="IRNazanin" w:cs="IRNazanin"/>
          <w:lang w:bidi="fa-IR"/>
          <w:color w:val="111111"/>
          <w:sz w:val="28"/>
          <w:szCs w:val="28"/>
          <w:rtl/>
        </w:rPr>
        <w:t xml:space="preserve">چاپ: تحقيق مصطفى عبد الواحد، القاهرة، مكتبة عیسی البانی الحلبی و شکاه، الطبعة الأول، الجزء الاول، ۱۹۷۰م، ۵۰۷ص</w:t>
      </w:r>
    </w:p>
    <w:p>
      <w:pPr>
        <w:pStyle w:val="BookText"/>
      </w:pPr>
      <w:r>
        <w:rPr>
          <w:rFonts w:ascii="IRNazanin" w:hAnsi="IRNazanin" w:eastAsia="IRNazanin" w:cs="IRNazanin"/>
          <w:lang w:bidi="fa-IR"/>
          <w:color w:val="111111"/>
          <w:sz w:val="28"/>
          <w:szCs w:val="28"/>
          <w:rtl/>
        </w:rPr>
        <w:t xml:space="preserve">[فهرس مخطوطات دار الكتاب الظاهرية، حدیث: ۳۹؛ فهرس المخطوطات العربية، چستربیتی: ۱۶۷/۱ ؛ کشف الظنون: ۳۳۹/۱ ؛ معجم المؤلفين: ۱۵۷/۵ ؛ مؤلفات ابن الجوزی، عبدالحمدي العلوچی: ۷۸.؛ هدية العارفین ۲۱/۱ و ۵۲۰؛ ذیل ۹۱۸/۱ ؛ دنا ۷۶۸/۲ ]</w:t>
      </w:r>
    </w:p>
    <w:p>
      <w:pPr>
        <w:pStyle w:val="BookText"/>
      </w:pPr>
      <w:r>
        <w:rPr>
          <w:rFonts w:ascii="IRNazanin" w:hAnsi="IRNazanin" w:eastAsia="IRNazanin" w:cs="IRNazanin"/>
          <w:lang w:bidi="fa-IR"/>
          <w:color w:val="111111"/>
          <w:sz w:val="28"/>
          <w:szCs w:val="28"/>
          <w:rtl/>
        </w:rPr>
        <w:t xml:space="preserve">۱. قم؛ مرعشی؛ شماره نسخه: ۱۳۱۳۸</w:t>
      </w:r>
    </w:p>
    <w:p>
      <w:pPr>
        <w:pStyle w:val="BookText"/>
      </w:pPr>
      <w:r>
        <w:rPr>
          <w:rFonts w:ascii="IRNazanin" w:hAnsi="IRNazanin" w:eastAsia="IRNazanin" w:cs="IRNazanin"/>
          <w:lang w:bidi="fa-IR"/>
          <w:color w:val="111111"/>
          <w:sz w:val="28"/>
          <w:szCs w:val="28"/>
          <w:rtl/>
        </w:rPr>
        <w:t xml:space="preserve">آغاز: حضرت رجلا في النزع فجعلت اقول له، قال لا اله الا الله، فكان يقول فلما كان آخر ذلك قلت له قل لا اله الا الله، فقال كم تقول انی کافر؛ انجام: فما يزالون كذلك حتى يستلبهم الموت على قبح الخطايا فيستقبلون العذاب، هذا آخر کتاب تبصرة المبتدی و الحمد لله دائما.</w:t>
      </w:r>
    </w:p>
    <w:p>
      <w:pPr>
        <w:pStyle w:val="BookText"/>
      </w:pPr>
      <w:r>
        <w:rPr>
          <w:rFonts w:ascii="IRNazanin" w:hAnsi="IRNazanin" w:eastAsia="IRNazanin" w:cs="IRNazanin"/>
          <w:lang w:bidi="fa-IR"/>
          <w:color w:val="111111"/>
          <w:sz w:val="28"/>
          <w:szCs w:val="28"/>
          <w:rtl/>
        </w:rPr>
        <w:t xml:space="preserve">خط: نسخ، كا: ابوبکر بن عمر بن صبح بن عبدالله حرانی، تا: ۱۰ رمضان ۷۷۷ق؛ مصحح، محشی؛ کاغذ: شرقی، جلد: تیماج زرشکی، ۶۶ص، ۱۶-۱۷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۲۶۹-۳۳ ]</w:t>
      </w:r>
    </w:p>
    <w:p>
      <w:pPr>
        <w:pStyle w:val="BookText"/>
      </w:pPr>
      <w:r>
        <w:rPr>
          <w:rFonts w:ascii="IRNazanin" w:hAnsi="IRNazanin" w:eastAsia="IRNazanin" w:cs="IRNazanin"/>
          <w:lang w:bidi="fa-IR"/>
          <w:color w:val="111111"/>
          <w:sz w:val="28"/>
          <w:szCs w:val="28"/>
          <w:rtl/>
        </w:rPr>
        <w:t xml:space="preserve">۲. قم؛ مرعشی؛ شماره نسخه:۷۰۶عکسی</w:t>
      </w:r>
    </w:p>
    <w:p>
      <w:pPr>
        <w:pStyle w:val="BookText"/>
      </w:pPr>
      <w:r>
        <w:rPr>
          <w:rFonts w:ascii="IRNazanin" w:hAnsi="IRNazanin" w:eastAsia="IRNazanin" w:cs="IRNazanin"/>
          <w:lang w:bidi="fa-IR"/>
          <w:color w:val="111111"/>
          <w:sz w:val="28"/>
          <w:szCs w:val="28"/>
          <w:rtl/>
        </w:rPr>
        <w:t xml:space="preserve">آغاز: أن لا يمكن من رأيت من آفات دنياه سلم، و من شاهدته صحيحة ما سقم؛ انجام: تالله ما فيهم مثل حنبل، ارفع صوتك بهذا ولا بأس، آخر المجلس نسخه اصل: چستربیتی، ش ۳۹۴۷ (اربری، فهرست خطی عربی ۶۸/۴ ). جزء اول، تا پایان مجلس سی و چهارم را در بر دارد و مقداری از اول مجلس اول افتاده است؛ خط: نسخ، كا: احمد بن عمر بن محمد بن متمم ناسخ حموی، تا: شنبه ۴ ربیع الاول ۷۹۰ق؛ افتادگی: آغاز؛ مصحح؛ ۲۰۴گ، ۲۱سطر [عکسی ف: ۲-۱۹۰]</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دانشگاه؛ شماره نسخه:۶۲۶۵</w:t>
      </w:r>
    </w:p>
    <w:p>
      <w:pPr>
        <w:pStyle w:val="BookText"/>
      </w:pPr>
      <w:r>
        <w:rPr>
          <w:rFonts w:ascii="IRNazanin" w:hAnsi="IRNazanin" w:eastAsia="IRNazanin" w:cs="IRNazanin"/>
          <w:lang w:bidi="fa-IR"/>
          <w:color w:val="111111"/>
          <w:sz w:val="28"/>
          <w:szCs w:val="28"/>
          <w:rtl/>
        </w:rPr>
        <w:t xml:space="preserve">آغاز: الطبقة الثانية من هذا الكتاب فيها مجالس تشتمل على فضائل ایام السنة و لياليها المذكورات و فيها أحد عشر مجلسا المجلس الأول في ذكر عاشوراء المحرم، بسمله. الحمد الله الذي طهربتا ديبه من اهل تقریبه نفوسا و سقى ارباب مصافاته من شراب مناجاته کوسا؛ انجام: المجلس التاسع عشر في محاسبة النفس الحمد الله الذي الفرد الاجلال ... و نعم الوكيل. خط: نسخ معرب، بی کا، تا: قرن ۷ و ۸ کاغذ: سمرقندی، جلد: تیماج سبز ضربی ترنجی، ۲۵۳گ، ۱۹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۱۶- ۲۳۰]</w:t>
      </w:r>
    </w:p>
    <w:p>
      <w:pPr>
        <w:pStyle w:val="Heading3"/>
      </w:pPr>
      <w:bookmarkStart w:id="2902" w:name="_Toc2162"/>
      <w:r>
        <w:t>•تبصرة المبتدی و تذكرة المنتهی / عرفان و تصوف / فارسی</w:t>
      </w:r>
      <w:bookmarkEnd w:id="2902"/>
    </w:p>
    <w:p>
      <w:pPr>
        <w:pStyle w:val="BookText"/>
      </w:pPr>
      <w:r>
        <w:rPr>
          <w:rFonts w:ascii="Times New Roman" w:hAnsi="Times New Roman" w:eastAsia="Times New Roman" w:cs="Times New Roman"/>
          <w:lang w:val="en-US" w:bidi="en-US"/>
          <w:color w:val="111111"/>
          <w:sz w:val="28"/>
          <w:szCs w:val="28"/>
          <w:rtl/>
        </w:rPr>
        <w:t xml:space="preserve">tabșirat-ul mubtadī wa tadkirat-ul muntahī</w:t>
      </w:r>
    </w:p>
    <w:p>
      <w:pPr>
        <w:pStyle w:val="BookText"/>
      </w:pPr>
      <w:r>
        <w:rPr>
          <w:rFonts w:ascii="IRNazanin" w:hAnsi="IRNazanin" w:eastAsia="IRNazanin" w:cs="IRNazanin"/>
          <w:lang w:bidi="fa-IR"/>
          <w:color w:val="111111"/>
          <w:sz w:val="28"/>
          <w:szCs w:val="28"/>
          <w:rtl/>
        </w:rPr>
        <w:t xml:space="preserve">صدرالدین قونيوی، محمد بن اسحاق، ۶۰۷-۶۷۳ قمری</w:t>
      </w:r>
    </w:p>
    <w:p>
      <w:pPr>
        <w:pStyle w:val="BookText"/>
      </w:pPr>
      <w:r>
        <w:rPr>
          <w:rFonts w:ascii="Times New Roman" w:hAnsi="Times New Roman" w:eastAsia="Times New Roman" w:cs="Times New Roman"/>
          <w:lang w:val="en-US" w:bidi="en-US"/>
          <w:color w:val="111111"/>
          <w:sz w:val="28"/>
          <w:szCs w:val="28"/>
          <w:rtl/>
        </w:rPr>
        <w:t xml:space="preserve">sadr-od-dīn qūnīyavī, mohammad ebn-e eshāq (1211 1275)</w:t>
      </w:r>
    </w:p>
    <w:p>
      <w:pPr>
        <w:pStyle w:val="BookText"/>
      </w:pPr>
      <w:r>
        <w:rPr>
          <w:rFonts w:ascii="IRNazanin" w:hAnsi="IRNazanin" w:eastAsia="IRNazanin" w:cs="IRNazanin"/>
          <w:lang w:bidi="fa-IR"/>
          <w:color w:val="111111"/>
          <w:sz w:val="28"/>
          <w:szCs w:val="28"/>
          <w:rtl/>
        </w:rPr>
        <w:t xml:space="preserve">به نثر و نظم عرفانی، دارای «مقدمه» و سه «مصباح»: ۱. معرفت ذات در سه لامع؛ ۲. احکام طور و ولایت و دو نبوت در دو الامع؛ ۳. معرفت دنیا و آخرت در دو «لامع»، سپس یک خاتمه. این کتاب از شیخ ناصر الدین محدث نیز دانسته شده است.</w:t>
      </w:r>
    </w:p>
    <w:p>
      <w:pPr>
        <w:pStyle w:val="BookText"/>
      </w:pPr>
      <w:r>
        <w:rPr>
          <w:rFonts w:ascii="IRNazanin" w:hAnsi="IRNazanin" w:eastAsia="IRNazanin" w:cs="IRNazanin"/>
          <w:lang w:bidi="fa-IR"/>
          <w:color w:val="111111"/>
          <w:sz w:val="28"/>
          <w:szCs w:val="28"/>
          <w:rtl/>
        </w:rPr>
        <w:t xml:space="preserve">آغاز: سزاوار حمد و ثنا، حضرت جلال احدیت را است آن خدای ودود که نتیجه مقدمات آفرینش ارواح ... اما بعد این کلمه چند است در اصول معارف و قواعد طور ولایت</w:t>
      </w:r>
    </w:p>
    <w:p>
      <w:pPr>
        <w:pStyle w:val="BookText"/>
      </w:pPr>
      <w:r>
        <w:rPr>
          <w:rFonts w:ascii="IRNazanin" w:hAnsi="IRNazanin" w:eastAsia="IRNazanin" w:cs="IRNazanin"/>
          <w:lang w:bidi="fa-IR"/>
          <w:color w:val="111111"/>
          <w:sz w:val="28"/>
          <w:szCs w:val="28"/>
          <w:rtl/>
        </w:rPr>
        <w:t xml:space="preserve">انجام: بر خاک درش چو سر نهی سرداران *** از خاک در تو تاج تارک دارند</w:t>
      </w:r>
    </w:p>
    <w:p>
      <w:pPr>
        <w:pStyle w:val="BookText"/>
      </w:pPr>
      <w:r>
        <w:rPr>
          <w:rFonts w:ascii="IRNazanin" w:hAnsi="IRNazanin" w:eastAsia="IRNazanin" w:cs="IRNazanin"/>
          <w:lang w:bidi="fa-IR"/>
          <w:color w:val="111111"/>
          <w:sz w:val="28"/>
          <w:szCs w:val="28"/>
          <w:rtl/>
        </w:rPr>
        <w:t xml:space="preserve">چاپ: به تصحیح نجفقلی حبیبی، معارف، ۲ (۱۳۶۴): ۶۹-۱۲۸.</w:t>
      </w:r>
    </w:p>
    <w:p>
      <w:pPr>
        <w:pStyle w:val="BookText"/>
      </w:pPr>
      <w:r>
        <w:rPr>
          <w:rFonts w:ascii="IRNazanin" w:hAnsi="IRNazanin" w:eastAsia="IRNazanin" w:cs="IRNazanin"/>
          <w:lang w:bidi="fa-IR"/>
          <w:color w:val="111111"/>
          <w:sz w:val="28"/>
          <w:szCs w:val="28"/>
          <w:rtl/>
        </w:rPr>
        <w:t xml:space="preserve">[نسخه های منزوی ۱۰۷۲/۲ ؛ کشف الظنون ۳۳۷/۱ ؛ دنا ۷۶۸/۲ (۱۵ نسخه)؛ فهرستواره منزوی ۱۷۰/۷ ]</w:t>
      </w:r>
    </w:p>
    <w:p>
      <w:pPr>
        <w:pStyle w:val="BookText"/>
      </w:pPr>
      <w:r>
        <w:rPr>
          <w:rFonts w:ascii="IRNazanin" w:hAnsi="IRNazanin" w:eastAsia="IRNazanin" w:cs="IRNazanin"/>
          <w:lang w:bidi="fa-IR"/>
          <w:color w:val="111111"/>
          <w:sz w:val="28"/>
          <w:szCs w:val="28"/>
          <w:rtl/>
        </w:rPr>
        <w:t xml:space="preserve">۱. تهران، دانشگاه؛ شماره نسخه:۵۵۷/۳ -ف</w:t>
      </w:r>
    </w:p>
    <w:p>
      <w:pPr>
        <w:pStyle w:val="BookText"/>
      </w:pPr>
      <w:r>
        <w:rPr>
          <w:rFonts w:ascii="IRNazanin" w:hAnsi="IRNazanin" w:eastAsia="IRNazanin" w:cs="IRNazanin"/>
          <w:lang w:bidi="fa-IR"/>
          <w:color w:val="111111"/>
          <w:sz w:val="28"/>
          <w:szCs w:val="28"/>
          <w:rtl/>
        </w:rPr>
        <w:t xml:space="preserve">نسخه اصل: حالت افندی ش ۹۲ خط: نستعلیق، كا: على بن سليمان بن يونس قونوی، تا: ۲۰ رجب ۶۶۰ق، جا: لادین؛ ۳۴گ (۴۹پ -۸۲پ) [فيلمها ف: ۱-۴۹۷]</w:t>
      </w:r>
    </w:p>
    <w:p>
      <w:pPr>
        <w:pStyle w:val="BookText"/>
      </w:pPr>
      <w:r>
        <w:rPr>
          <w:rFonts w:ascii="IRNazanin" w:hAnsi="IRNazanin" w:eastAsia="IRNazanin" w:cs="IRNazanin"/>
          <w:lang w:bidi="fa-IR"/>
          <w:color w:val="111111"/>
          <w:sz w:val="28"/>
          <w:szCs w:val="28"/>
          <w:rtl/>
        </w:rPr>
        <w:t xml:space="preserve">۲. تهران، دانشگاه؛ شماره نسخه:۷۶۰/۴ -ف و ۹۱۵/۵ -ف</w:t>
      </w:r>
    </w:p>
    <w:p>
      <w:pPr>
        <w:pStyle w:val="BookText"/>
      </w:pPr>
      <w:r>
        <w:rPr>
          <w:rFonts w:ascii="IRNazanin" w:hAnsi="IRNazanin" w:eastAsia="IRNazanin" w:cs="IRNazanin"/>
          <w:lang w:bidi="fa-IR"/>
          <w:color w:val="111111"/>
          <w:sz w:val="28"/>
          <w:szCs w:val="28"/>
          <w:rtl/>
        </w:rPr>
        <w:t xml:space="preserve">نسخه اصل: پاریس 113 .</w:t>
      </w:r>
      <w:r>
        <w:rPr>
          <w:rFonts w:ascii="Times New Roman" w:hAnsi="Times New Roman" w:eastAsia="Times New Roman" w:cs="Times New Roman"/>
          <w:lang w:val="en-US" w:bidi="en-US"/>
          <w:color w:val="111111"/>
          <w:sz w:val="28"/>
          <w:szCs w:val="28"/>
          <w:rtl/>
        </w:rPr>
        <w:t xml:space="preserve">S. P (</w:t>
      </w:r>
      <w:r>
        <w:rPr>
          <w:rFonts w:ascii="IRNazanin" w:hAnsi="IRNazanin" w:eastAsia="IRNazanin" w:cs="IRNazanin"/>
          <w:lang w:bidi="fa-IR"/>
          <w:color w:val="111111"/>
          <w:sz w:val="28"/>
          <w:szCs w:val="28"/>
          <w:rtl/>
        </w:rPr>
        <w:t xml:space="preserve">بلوشه ۱۴۹)؛ خط: نسخ، بی کا، تا: یکشنبه اواخر رمضان ۷۵۳ق؛ ۱۳ سطر فيلمها ف: ۱-۵۳۶ و ۵۴۸]</w:t>
      </w:r>
    </w:p>
    <w:p>
      <w:pPr>
        <w:pStyle w:val="BookText"/>
      </w:pPr>
      <w:r>
        <w:rPr>
          <w:rFonts w:ascii="IRNazanin" w:hAnsi="IRNazanin" w:eastAsia="IRNazanin" w:cs="IRNazanin"/>
          <w:lang w:bidi="fa-IR"/>
          <w:color w:val="111111"/>
          <w:sz w:val="28"/>
          <w:szCs w:val="28"/>
          <w:rtl/>
        </w:rPr>
        <w:t xml:space="preserve">٣. قم؛ مرعشی؛ شماره نسخه: ۹۱۰۴/۱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احمد بن محمد بن سید حسن کربلائی، تا: ۸۸۸ق، جا: کشمیر، خانقاه امیریه؛ جلد: تیماج مشکی، ۳۱گ ( ۱۳۱-۱ ) [ف: ۲۳-۲۴۸]</w:t>
      </w:r>
    </w:p>
    <w:p>
      <w:pPr>
        <w:pStyle w:val="BookText"/>
      </w:pPr>
      <w:r>
        <w:rPr>
          <w:rFonts w:ascii="IRNazanin" w:hAnsi="IRNazanin" w:eastAsia="IRNazanin" w:cs="IRNazanin"/>
          <w:lang w:bidi="fa-IR"/>
          <w:color w:val="111111"/>
          <w:sz w:val="28"/>
          <w:szCs w:val="28"/>
          <w:rtl/>
        </w:rPr>
        <w:t xml:space="preserve">۴. تهران؛ حقوق؛ شماره نسخه: ۵۷/۱ د</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۱۰؛ مهر: عبد الباقي بن صدر الدین محمد الفيضی؛ کاغذ: سمرقندی نخودی، جلد: تیماج تریاکی، ۳۱گ (۲پ-۳۲پ)، ۲۰سطر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۳۴]</w:t>
      </w:r>
    </w:p>
    <w:p>
      <w:pPr>
        <w:pStyle w:val="BookText"/>
      </w:pPr>
      <w:r>
        <w:rPr>
          <w:rFonts w:ascii="IRNazanin" w:hAnsi="IRNazanin" w:eastAsia="IRNazanin" w:cs="IRNazanin"/>
          <w:lang w:bidi="fa-IR"/>
          <w:color w:val="111111"/>
          <w:sz w:val="28"/>
          <w:szCs w:val="28"/>
          <w:rtl/>
        </w:rPr>
        <w:t xml:space="preserve">۵. تهران؛ مجلس؛ شماره نسخه: ۵۳۱/۲۴</w:t>
      </w:r>
    </w:p>
    <w:p>
      <w:pPr>
        <w:pStyle w:val="BookText"/>
      </w:pPr>
      <w:r>
        <w:rPr>
          <w:rFonts w:ascii="IRNazanin" w:hAnsi="IRNazanin" w:eastAsia="IRNazanin" w:cs="IRNazanin"/>
          <w:lang w:bidi="fa-IR"/>
          <w:color w:val="111111"/>
          <w:sz w:val="28"/>
          <w:szCs w:val="28"/>
          <w:rtl/>
        </w:rPr>
        <w:t xml:space="preserve">خط: نستعلیق، بی کا، تا: قرن ۱۰؛ کاغذ: سفید ترمه، جلد: مشکی مقوایی عطف تیماج قهوه ای، ۲۸گ (۲۷۸ر -۳۰۵پ)، ۲۳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۲۶/۵سم [سنا: ف: ۱-۳۳۸]</w:t>
      </w:r>
    </w:p>
    <w:p>
      <w:pPr>
        <w:pStyle w:val="BookText"/>
      </w:pPr>
      <w:r>
        <w:rPr>
          <w:rFonts w:ascii="IRNazanin" w:hAnsi="IRNazanin" w:eastAsia="IRNazanin" w:cs="IRNazanin"/>
          <w:lang w:bidi="fa-IR"/>
          <w:color w:val="111111"/>
          <w:sz w:val="28"/>
          <w:szCs w:val="28"/>
          <w:rtl/>
        </w:rPr>
        <w:t xml:space="preserve">تهران؛ دانشگاه؛ شماره نسخه: ۳۴۹۷/۲۴ - ف</w:t>
      </w:r>
    </w:p>
    <w:p>
      <w:pPr>
        <w:pStyle w:val="BookText"/>
      </w:pPr>
      <w:r>
        <w:rPr>
          <w:rFonts w:ascii="Amiri" w:hAnsi="Amiri" w:eastAsia="Amiri" w:cs="Amiri"/>
          <w:lang w:bidi="ar-SA"/>
          <w:color w:val="111111"/>
          <w:sz w:val="28"/>
          <w:szCs w:val="28"/>
          <w:rtl/>
        </w:rPr>
        <w:t xml:space="preserve">نسخه اصل: همان نسخه بالا [فيلمها ف: ۲-۱۵۴]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ملک، شماره نسخه: ۴۱۹۶/۱۴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یک مقدمه و سه مصباح و یک خاتمه؛ خط: نستعلیق، بی کا، تا: یک شنبه ربيع الأول ۱۰۱۷ق؛ کاغذ: ترمه، بیاضی، جلد: رویه میشن آلبالویی، ۱۸گ(۱۰۱-۱۱۸پ)، ۲۵ سطر، اندازه: ۱۴/۶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۲۵/۷سم [ف: ۷-۲۵۹]</w:t>
      </w:r>
    </w:p>
    <w:p>
      <w:pPr>
        <w:pStyle w:val="BookText"/>
      </w:pPr>
      <w:r>
        <w:rPr>
          <w:rFonts w:ascii="IRNazanin" w:hAnsi="IRNazanin" w:eastAsia="IRNazanin" w:cs="IRNazanin"/>
          <w:lang w:bidi="fa-IR"/>
          <w:color w:val="111111"/>
          <w:sz w:val="28"/>
          <w:szCs w:val="28"/>
          <w:rtl/>
        </w:rPr>
        <w:t xml:space="preserve">۷. تهران: مجلس؛ شماره نسخه: ۱۰۰۲۹/۱
</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bookmarkStart w:id="654" w:name="pg20363_209995"/>
    <w:bookmarkEnd w:id="654"/>
    <w:p>
      <w:pPr>
        <w:pStyle w:val="BookText"/>
      </w:pPr>
      <w:r>
        <w:rPr>
          <w:rFonts w:ascii="IRNazanin" w:hAnsi="IRNazanin" w:eastAsia="IRNazanin" w:cs="IRNazanin"/>
          <w:lang w:bidi="fa-IR"/>
          <w:color w:val="111111"/>
          <w:sz w:val="28"/>
          <w:szCs w:val="28"/>
          <w:rtl/>
        </w:rPr>
        <w:t xml:space="preserve">آغاز: کاریست مرا که تا ابد در پیش است؛ انجام: برابر</w:t>
      </w:r>
    </w:p>
    <w:p>
      <w:pPr>
        <w:pStyle w:val="BookText"/>
      </w:pPr>
      <w:r>
        <w:rPr>
          <w:rFonts w:ascii="IRNazanin" w:hAnsi="IRNazanin" w:eastAsia="IRNazanin" w:cs="IRNazanin"/>
          <w:lang w:bidi="fa-IR"/>
          <w:color w:val="111111"/>
          <w:sz w:val="28"/>
          <w:szCs w:val="28"/>
          <w:rtl/>
        </w:rPr>
        <w:t xml:space="preserve">خط: نسخ و نستعلیق، كا: عبد الرشيد بن عوض شوشتری، تا: ۴ شعبان ۱۰۴۳ق، جان شیراز؛ افتادگی: آغاز؛ مصحح؛ جلد: تیماج جگری با ترنج و سرترنج، ۱۹ص (۱-۱۹)،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۳۶-۳۲ ]</w:t>
      </w:r>
    </w:p>
    <w:p>
      <w:pPr>
        <w:pStyle w:val="BookText"/>
      </w:pPr>
      <w:r>
        <w:rPr>
          <w:rFonts w:ascii="IRNazanin" w:hAnsi="IRNazanin" w:eastAsia="IRNazanin" w:cs="IRNazanin"/>
          <w:lang w:bidi="fa-IR"/>
          <w:color w:val="111111"/>
          <w:sz w:val="28"/>
          <w:szCs w:val="28"/>
          <w:rtl/>
        </w:rPr>
        <w:t xml:space="preserve">۸. تهران؛ مجلس؛ شماره نسخه: ۸۷۹۳/۲</w:t>
      </w:r>
    </w:p>
    <w:p>
      <w:pPr>
        <w:pStyle w:val="BookText"/>
      </w:pPr>
      <w:r>
        <w:rPr>
          <w:rFonts w:ascii="IRNazanin" w:hAnsi="IRNazanin" w:eastAsia="IRNazanin" w:cs="IRNazanin"/>
          <w:lang w:bidi="fa-IR"/>
          <w:color w:val="111111"/>
          <w:sz w:val="28"/>
          <w:szCs w:val="28"/>
          <w:rtl/>
        </w:rPr>
        <w:t xml:space="preserve">آغاز: را ببینند و برخوردار شوند اکنون پا بر قصر بلندم دست ایشان بدان جمال نرسید پس در زیر قصر صورتها ساخت و در دیوارها و در بر صورتی آیینه نشاند و خود بر منظره نشست خط: نستعلیق، کا: صنيع الله، تا: ربيع الثانی ۱۰۶۹ق؛ افتادگی: آغاز؛ جلد: تیماج عنابی ترنج دار، ۲۰گ (۴۱ر -۶۰پ)،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۲۸-۲۶۸]</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قم؛ گلپایگانی؛ شماره نسخه:۶۰۲۸- ۳۰/۹۸</w:t>
      </w:r>
    </w:p>
    <w:p>
      <w:pPr>
        <w:pStyle w:val="BookText"/>
      </w:pPr>
      <w:r>
        <w:rPr>
          <w:rFonts w:ascii="IRNazanin" w:hAnsi="IRNazanin" w:eastAsia="IRNazanin" w:cs="IRNazanin"/>
          <w:lang w:bidi="fa-IR"/>
          <w:color w:val="111111"/>
          <w:sz w:val="28"/>
          <w:szCs w:val="28"/>
          <w:rtl/>
        </w:rPr>
        <w:t xml:space="preserve">آغاز و انجام: برابر از اول تا آخر؛ خط: نستعلیق، بی کا، تا: ۲۵ جمادی الثانی ۱۱۱۵ق؛ مصحح؛ جلد: مقوایی عطف گالینگور قهوه ای، ۲۴گ، ۲۱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۲-۷۰۹]</w:t>
      </w:r>
    </w:p>
    <w:p>
      <w:pPr>
        <w:pStyle w:val="BookText"/>
      </w:pPr>
      <w:r>
        <w:rPr>
          <w:rFonts w:ascii="IRNazanin" w:hAnsi="IRNazanin" w:eastAsia="IRNazanin" w:cs="IRNazanin"/>
          <w:lang w:bidi="fa-IR"/>
          <w:color w:val="111111"/>
          <w:sz w:val="28"/>
          <w:szCs w:val="28"/>
          <w:rtl/>
        </w:rPr>
        <w:t xml:space="preserve">۱۰. قم؛ گلپایگانی؛ شماره نسخه:۶۲۷۵/۹ - ۳۰/۱۵۵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از اول تا آخر؛ خط: نستعلیق، کا: محمد تقی گلپایگانی نجفی، تا: قرن ۱۳؛ جلد: تیماج سرخ، ۱۳، ۲۳-۲۴ سطر، اندازه: ۲۱۸۱۵سم [ف: ۲-۷۱۰]</w:t>
      </w:r>
    </w:p>
    <w:p>
      <w:pPr>
        <w:pStyle w:val="BookText"/>
      </w:pPr>
      <w:r>
        <w:rPr>
          <w:rFonts w:ascii="IRNazanin" w:hAnsi="IRNazanin" w:eastAsia="IRNazanin" w:cs="IRNazanin"/>
          <w:lang w:bidi="fa-IR"/>
          <w:color w:val="111111"/>
          <w:sz w:val="28"/>
          <w:szCs w:val="28"/>
          <w:rtl/>
        </w:rPr>
        <w:t xml:space="preserve">۱۱. مشهد؛ شیخ علی حیدر؛ شماره نسخه:۴/۴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رضا قلی بن محمد هادی متخلص به هدایت، تا:۱۲۴۴ق؛ ۱۶گ(۴۱ر -۵۶پ)، اندازه: ۱۲/۵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(مؤید: ۳-۵۲۷]</w:t>
      </w:r>
    </w:p>
    <w:p>
      <w:pPr>
        <w:pStyle w:val="BookText"/>
      </w:pPr>
      <w:r>
        <w:rPr>
          <w:rFonts w:ascii="IRNazanin" w:hAnsi="IRNazanin" w:eastAsia="IRNazanin" w:cs="IRNazanin"/>
          <w:lang w:bidi="fa-IR"/>
          <w:color w:val="111111"/>
          <w:sz w:val="28"/>
          <w:szCs w:val="28"/>
          <w:rtl/>
        </w:rPr>
        <w:t xml:space="preserve">۱۲. تهران؛ مجلس؛ شماره نسخه:۶۴۹</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تا: ۱۲۷۶ق؛ ۴۷گ، ۱۳ سطر، اندازه: ۲۱۶۱۳/۵ سم [ف: ۲-۴۱۴] ۱۳. تهران؛ ملک؛ شماره نسخه: ۶۳۰۹/۱۱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تا: ۱۲۸۴ق؛ کاغذ: فرنگی آهار مهره، جلد: میشن قهوه ای، ۳۳گ (۱۴۵پ -۱۷۷پ)، ۱۵ سطر، اندازه: ۲۲/۳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۱۶/۲ سم [ف: ۹- ۳۲۰]</w:t>
      </w:r>
    </w:p>
    <w:p>
      <w:pPr>
        <w:pStyle w:val="BookText"/>
      </w:pPr>
      <w:r>
        <w:rPr>
          <w:rFonts w:ascii="IRNazanin" w:hAnsi="IRNazanin" w:eastAsia="IRNazanin" w:cs="IRNazanin"/>
          <w:lang w:bidi="fa-IR"/>
          <w:color w:val="111111"/>
          <w:sz w:val="28"/>
          <w:szCs w:val="28"/>
          <w:rtl/>
        </w:rPr>
        <w:t xml:space="preserve">۱۴. تهران، دانشگاه؛ شماره نسخه: ۱۳۱/۱۱ -ف</w:t>
      </w:r>
    </w:p>
    <w:p>
      <w:pPr>
        <w:pStyle w:val="BookText"/>
      </w:pPr>
      <w:r>
        <w:rPr>
          <w:rFonts w:ascii="IRNazanin" w:hAnsi="IRNazanin" w:eastAsia="IRNazanin" w:cs="IRNazanin"/>
          <w:lang w:bidi="fa-IR"/>
          <w:color w:val="111111"/>
          <w:sz w:val="28"/>
          <w:szCs w:val="28"/>
          <w:rtl/>
        </w:rPr>
        <w:t xml:space="preserve">نسخه اصل: ایاصوفيا ش ۴۸۱۹؛ بی کا، بی تا [ فیلمها ف: ۱-۴۱۷]</w:t>
      </w:r>
    </w:p>
    <w:p>
      <w:pPr>
        <w:pStyle w:val="BookText"/>
      </w:pPr>
      <w:r>
        <w:rPr>
          <w:rFonts w:ascii="IRNazanin" w:hAnsi="IRNazanin" w:eastAsia="IRNazanin" w:cs="IRNazanin"/>
          <w:lang w:bidi="fa-IR"/>
          <w:color w:val="111111"/>
          <w:sz w:val="28"/>
          <w:szCs w:val="28"/>
          <w:rtl/>
        </w:rPr>
        <w:t xml:space="preserve">۱۵. تهران؛ سپهسالار؛ شماره نسخه: ۶۵۵۵/۸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هاشم بن حسين عمیدی، بی تا، ۲۱گ (۱۷۷پ - ۱۹۷پ) [ف: ۳-۳۱۱] ۱۶. تهران؛ مجلس؛ شماره نسخه: ۱۳۳۲ ط (ض)</w:t>
      </w:r>
    </w:p>
    <w:p>
      <w:pPr>
        <w:pStyle w:val="BookText"/>
      </w:pPr>
      <w:r>
        <w:rPr>
          <w:rFonts w:ascii="IRNazanin" w:hAnsi="IRNazanin" w:eastAsia="IRNazanin" w:cs="IRNazanin"/>
          <w:lang w:bidi="fa-IR"/>
          <w:color w:val="111111"/>
          <w:sz w:val="28"/>
          <w:szCs w:val="28"/>
          <w:rtl/>
        </w:rPr>
        <w:t xml:space="preserve">خط: نستعلیق، بی کا، بی تا؛ ۶۰ص (1 -۶۰)،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۲۴/۳ -۶۸]</w:t>
      </w:r>
    </w:p>
    <w:p>
      <w:pPr>
        <w:pStyle w:val="Heading3"/>
      </w:pPr>
      <w:bookmarkStart w:id="2903" w:name="_Toc2163"/>
      <w:r>
        <w:t>•تبصرة المبتدی و تذكرة المنتهی / تجوید / عربی</w:t>
      </w:r>
      <w:bookmarkEnd w:id="2903"/>
    </w:p>
    <w:p>
      <w:pPr>
        <w:pStyle w:val="BookText"/>
      </w:pPr>
      <w:r>
        <w:rPr>
          <w:rFonts w:ascii="Times New Roman" w:hAnsi="Times New Roman" w:eastAsia="Times New Roman" w:cs="Times New Roman"/>
          <w:lang w:val="en-US" w:bidi="en-US"/>
          <w:color w:val="111111"/>
          <w:sz w:val="28"/>
          <w:szCs w:val="28"/>
          <w:rtl/>
        </w:rPr>
        <w:t xml:space="preserve">tabșirat-ul mubtadī wa taờkirat-ul muntahī</w:t>
      </w:r>
    </w:p>
    <w:p>
      <w:pPr>
        <w:pStyle w:val="BookText"/>
      </w:pPr>
      <w:r>
        <w:rPr>
          <w:rFonts w:ascii="IRNazanin" w:hAnsi="IRNazanin" w:eastAsia="IRNazanin" w:cs="IRNazanin"/>
          <w:lang w:bidi="fa-IR"/>
          <w:color w:val="111111"/>
          <w:sz w:val="28"/>
          <w:szCs w:val="28"/>
          <w:rtl/>
        </w:rPr>
        <w:t xml:space="preserve">شریف استر آبادی، علی بن علی، ق ۱۰ قمری</w:t>
      </w:r>
    </w:p>
    <w:p>
      <w:pPr>
        <w:pStyle w:val="BookText"/>
      </w:pPr>
      <w:r>
        <w:rPr>
          <w:rFonts w:ascii="Times New Roman" w:hAnsi="Times New Roman" w:eastAsia="Times New Roman" w:cs="Times New Roman"/>
          <w:lang w:val="en-US" w:bidi="en-US"/>
          <w:color w:val="111111"/>
          <w:sz w:val="28"/>
          <w:szCs w:val="28"/>
          <w:rtl/>
        </w:rPr>
        <w:t xml:space="preserve">šarīf-e estarābādī, ‘alī ebn-e ‘alī (-160)</w:t>
      </w:r>
    </w:p>
    <w:p>
      <w:pPr>
        <w:pStyle w:val="BookText"/>
      </w:pPr>
      <w:r>
        <w:rPr>
          <w:rFonts w:ascii="IRNazanin" w:hAnsi="IRNazanin" w:eastAsia="IRNazanin" w:cs="IRNazanin"/>
          <w:lang w:bidi="fa-IR"/>
          <w:color w:val="111111"/>
          <w:sz w:val="28"/>
          <w:szCs w:val="28"/>
          <w:rtl/>
        </w:rPr>
        <w:t xml:space="preserve">رساله کوتاهی است در علوم وارده در قران کریم و در قرائات آن از وقوف و معرفت «لامات» و «ما آت» و «الفات» و اقسام و غیر آن را همراه با ذکر علامت هر کدام به اختصار؛ عنوان رساله از عبارات مؤلف در ابتدای رساله گرفته شده «اردت ان انبه على علامتها و معرفتها لتكون تبصره للمبتدی و تذكره للمنتهى فاقول</w:t>
      </w:r>
    </w:p>
    <w:p>
      <w:pPr>
        <w:pStyle w:val="BookText"/>
      </w:pPr>
      <w:r>
        <w:rPr>
          <w:rFonts w:ascii="IRNazanin" w:hAnsi="IRNazanin" w:eastAsia="IRNazanin" w:cs="IRNazanin"/>
          <w:lang w:bidi="fa-IR"/>
          <w:color w:val="111111"/>
          <w:sz w:val="28"/>
          <w:szCs w:val="28"/>
          <w:rtl/>
        </w:rPr>
        <w:t xml:space="preserve">تهران؛ ملی؛ شماره نسخه:۴۰۵۴/۶</w:t>
      </w:r>
    </w:p>
    <w:p>
      <w:pPr>
        <w:pStyle w:val="BookText"/>
      </w:pPr>
      <w:r>
        <w:rPr>
          <w:rFonts w:ascii="IRNazanin" w:hAnsi="IRNazanin" w:eastAsia="IRNazanin" w:cs="IRNazanin"/>
          <w:lang w:bidi="fa-IR"/>
          <w:color w:val="111111"/>
          <w:sz w:val="28"/>
          <w:szCs w:val="28"/>
          <w:rtl/>
        </w:rPr>
        <w:t xml:space="preserve">آغاز: بسمله، بحمدك على ما الهمتنا من معرفة الايمان و نشكرك على ما اكرمتنا به من درایه قرائه القرآن فنزلته نورا و هدی و عبره للعالمين ... و بعد فيقول اضعف عباد الله العادي ... اني لما عرفت من اثبات القرادات السبعه المتواتره و الثلاثه في هذا المصحف المجيد و؛ انجام: و لروح ش اما خلف عن نفسه فر مزه و اسحاق و ادریس. تمت الرساله. خط: نسخ، بی کا، بی تا؛ مصحح، محشی؛ کاغذ: فرنگی نخودی، جلد: تیماج سیاه، ۲گ (۵۴-۵۵پ)، ۱۹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۱۲/۵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۱۷-۳۷۳]</w:t>
      </w:r>
    </w:p>
    <w:p>
      <w:pPr>
        <w:pStyle w:val="Heading3"/>
      </w:pPr>
      <w:bookmarkStart w:id="2904" w:name="_Toc2164"/>
      <w:r>
        <w:t>•تبصرة المبتدی و تذکرة المنتهی / علوم قرآن، آداب و سنن / عربی</w:t>
      </w:r>
      <w:bookmarkEnd w:id="2904"/>
    </w:p>
    <w:p>
      <w:pPr>
        <w:pStyle w:val="BookText"/>
      </w:pPr>
      <w:r>
        <w:rPr>
          <w:rFonts w:ascii="Times New Roman" w:hAnsi="Times New Roman" w:eastAsia="Times New Roman" w:cs="Times New Roman"/>
          <w:lang w:val="en-US" w:bidi="en-US"/>
          <w:color w:val="111111"/>
          <w:sz w:val="28"/>
          <w:szCs w:val="28"/>
          <w:rtl/>
        </w:rPr>
        <w:t xml:space="preserve">tabșirat-ul mubtadī wa tadkirat-ul muntahī</w:t>
      </w:r>
    </w:p>
    <w:p>
      <w:pPr>
        <w:pStyle w:val="BookText"/>
      </w:pPr>
      <w:r>
        <w:rPr>
          <w:rFonts w:ascii="IRNazanin" w:hAnsi="IRNazanin" w:eastAsia="IRNazanin" w:cs="IRNazanin"/>
          <w:lang w:bidi="fa-IR"/>
          <w:color w:val="111111"/>
          <w:sz w:val="28"/>
          <w:szCs w:val="28"/>
          <w:rtl/>
        </w:rPr>
        <w:t xml:space="preserve">موصلی، ابراهیم بن مصطفی، -۱۱۵۹ قمری</w:t>
      </w:r>
    </w:p>
    <w:p>
      <w:pPr>
        <w:pStyle w:val="BookText"/>
      </w:pPr>
      <w:r>
        <w:rPr>
          <w:rFonts w:ascii="Times New Roman" w:hAnsi="Times New Roman" w:eastAsia="Times New Roman" w:cs="Times New Roman"/>
          <w:lang w:val="en-US" w:bidi="en-US"/>
          <w:color w:val="111111"/>
          <w:sz w:val="28"/>
          <w:szCs w:val="28"/>
          <w:rtl/>
        </w:rPr>
        <w:t xml:space="preserve">mūselī, ebrāhīm ebn-e mostafā (-1746)</w:t>
      </w:r>
    </w:p>
    <w:p>
      <w:pPr>
        <w:pStyle w:val="BookText"/>
      </w:pPr>
      <w:r>
        <w:rPr>
          <w:rFonts w:ascii="IRNazanin" w:hAnsi="IRNazanin" w:eastAsia="IRNazanin" w:cs="IRNazanin"/>
          <w:lang w:bidi="fa-IR"/>
          <w:color w:val="111111"/>
          <w:sz w:val="28"/>
          <w:szCs w:val="28"/>
          <w:rtl/>
        </w:rPr>
        <w:t xml:space="preserve">کتابی است مختصر در فضل و آداب تكبير در آخر قرآن کریم و پس از قرائت و رسم سور قرآن کریم. روی صفحه عنوان برخی نسخه ها، نوشته شده که این کتاب از تالیفات «ابوعمرو عثمان بن سعيد بن عثمان اموی اندلسی، معروف به ابن صیرفی الدانی» (- ۴۴۴ق) می باشد، به استناد همین نوشته دکتر عزة حسن در فهرست مخطوطات ظاهرية علوم القرآن (ص 81) و صلاح محمد الخيمی در فهرست مخطوطات ظاهرية علوم القران (ج ۳۱۹/۱ ) و دکتر ابتسام مرهون الصفار در «معجم الدرسات القرانيه المطبوعة و المخطوطة» القسم الثالث، منتشره در مجله المورد (مجلد ۱۰ عدد ۳ و ۴۰۹/۴ ) کتاب را از آن «ابو عمرو عثمان بن سعيد الدانی» دانسته اند. لكن با مراجعه به مصادر و مآخذ معلوم شد کتابی به این نام برای الدانی ثبت نشده است. علاوه بر این، مؤلف در این کتاب از فخر رازی (- ۶۰۶ ق) و از شرح شاطبيه ابو عبد الله الفاسي (-۶۵۶ ق) و از «جمال القراء و كمال الاقراء علم الدین علی بن محمد بن عبد الصمد سخاوی (-۶۴۳ ق) و از «الاتقان في علوم القران» (- ۹۱۱ق) و از ابن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bookmarkStart w:id="655" w:name="pg20363_209996"/>
    <w:bookmarkEnd w:id="655"/>
    <w:p>
      <w:pPr>
        <w:pStyle w:val="BookText"/>
      </w:pPr>
      <w:r>
        <w:rPr>
          <w:rFonts w:ascii="IRNazanin" w:hAnsi="IRNazanin" w:eastAsia="IRNazanin" w:cs="IRNazanin"/>
          <w:lang w:bidi="fa-IR"/>
          <w:color w:val="111111"/>
          <w:sz w:val="28"/>
          <w:szCs w:val="28"/>
          <w:rtl/>
        </w:rPr>
        <w:t xml:space="preserve">حجر هیمتی مکی (- ۹۷۳ ق) نام می برد که همگی متاخر از الدانی» بوده اند. همچنین مؤلف در موارد بسیاری از خود الدانی» نام برده است. حاجی خلیفه کتابی به همین نام «تبصره المبتدی و تذكرة المنتهي في القراآت» و در همین موضوع از ابو محمد عبد الله بن على بن احمد معروف بسبط الخياط ( ۵۴۱ق) ثبت نموده است که آن هم با منقولات کتاب حاضر سازگار نیست. به هر حال مؤلف بر اساس منقولات کتاب باید از اعلام قرن دهم هجری به بعد باشد. آغاز: الحمد لله الذي نزل على عبده الفرقان و پسره فمالت القلوب الى نشر معاینه الحسان ... و سميتها: تبصرة المبتدی و تذکرة المنتهی انجام: و هذا آخر ما تيسر لی جمعه بحب الطاف المنان و صلی الله و سلم على سيد ولد عدنان ... و على عباد الله الصالحين</w:t>
      </w:r>
    </w:p>
    <w:p>
      <w:pPr>
        <w:pStyle w:val="BookText"/>
      </w:pPr>
      <w:r>
        <w:rPr>
          <w:rFonts w:ascii="IRNazanin" w:hAnsi="IRNazanin" w:eastAsia="IRNazanin" w:cs="IRNazanin"/>
          <w:lang w:bidi="fa-IR"/>
          <w:color w:val="111111"/>
          <w:sz w:val="28"/>
          <w:szCs w:val="28"/>
          <w:rtl/>
        </w:rPr>
        <w:t xml:space="preserve">[دنا ۷۶۹/۲ ؛ کتابنامه قرآن کریم ۱۲۴۵/۴ ؛ مخطوطات اوقاف موصل ۳۱۵/۶ ]</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١- تكملة تبصرة المبتدی و تذکرة المنتهى = ملحق تبصرة المبتدی و تذكرة المنتهی؛ موصلی، ابراهیم بن مصطفی (-۱۱۵۹)</w:t>
      </w:r>
    </w:p>
    <w:p>
      <w:pPr>
        <w:pStyle w:val="BookText"/>
      </w:pPr>
      <w:r>
        <w:rPr>
          <w:rFonts w:ascii="IRNazanin" w:hAnsi="IRNazanin" w:eastAsia="IRNazanin" w:cs="IRNazanin"/>
          <w:lang w:bidi="fa-IR"/>
          <w:color w:val="111111"/>
          <w:sz w:val="28"/>
          <w:szCs w:val="28"/>
          <w:rtl/>
        </w:rPr>
        <w:t xml:space="preserve">۱. قم؛ مرعشی؛ شماره نسخه:۲۲۹ 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نسخه اصل: ظاهریه دمشق ش ۶۱۷۱ (الخیمی فهرس علوم القران ۳۱۹/۱ )؛ در فهرست بدون نام مؤلف است؛ خط: نسخ، بی کا، تا: قرن ۱۲ق؛ مصحح، محشی، بعد از کتاب هشت برگ در تتمیم فائده مطالب کتاب از خود مؤلف نوشته شده؛ ۵۷گ، ۱۷ سطر [عکسی : ۱-۲۱۰]</w:t>
      </w:r>
    </w:p>
    <w:p>
      <w:pPr>
        <w:pStyle w:val="BookText"/>
      </w:pPr>
      <w:r>
        <w:rPr>
          <w:rFonts w:ascii="IRNazanin" w:hAnsi="IRNazanin" w:eastAsia="IRNazanin" w:cs="IRNazanin"/>
          <w:lang w:bidi="fa-IR"/>
          <w:color w:val="111111"/>
          <w:sz w:val="28"/>
          <w:szCs w:val="28"/>
          <w:rtl/>
        </w:rPr>
        <w:t xml:space="preserve">قم: مرکز مطالعات؛ شماره نسخه: ۱۰۴۷/۱ -عکسی همان نسخه بالا [ف: ۲-۲۹۸]</w:t>
      </w:r>
    </w:p>
    <w:p>
      <w:pPr>
        <w:pStyle w:val="BookText"/>
      </w:pPr>
      <w:r>
        <w:rPr>
          <w:rFonts w:ascii="IRNazanin" w:hAnsi="IRNazanin" w:eastAsia="IRNazanin" w:cs="IRNazanin"/>
          <w:lang w:bidi="fa-IR"/>
          <w:color w:val="111111"/>
          <w:sz w:val="28"/>
          <w:szCs w:val="28"/>
          <w:rtl/>
        </w:rPr>
        <w:t xml:space="preserve">۲. تهران؛ ملک؛ شماره نسخه: ۱۹۹/۲</w:t>
      </w:r>
    </w:p>
    <w:p>
      <w:pPr>
        <w:pStyle w:val="BookText"/>
      </w:pPr>
      <w:r>
        <w:rPr>
          <w:rFonts w:ascii="IRNazanin" w:hAnsi="IRNazanin" w:eastAsia="IRNazanin" w:cs="IRNazanin"/>
          <w:lang w:bidi="fa-IR"/>
          <w:color w:val="111111"/>
          <w:sz w:val="28"/>
          <w:szCs w:val="28"/>
          <w:rtl/>
        </w:rPr>
        <w:t xml:space="preserve">آغاز: برابر؛ انجام: قيل الاخذ شرط فجعلت الاجارة كالشهادة من الشيخ للمجاز بالاهلية انتهى در فهرست بدون نام مؤلف است؛ خط: نسخ، كا: مصطفی بن محمد، تا: ۱۲۱۳ق؛ کاغذ: فستقی، جلد: میشن قرمز، ۷۷ص (۸۲ -۱۵۸)، ۱۷ و ۲۳ سطر، اندازه:</w:t>
      </w:r>
    </w:p>
    <w:p>
      <w:pPr>
        <w:pStyle w:val="BookText"/>
      </w:pPr>
      <w:r>
        <w:rPr>
          <w:rFonts w:ascii="Times New Roman" w:hAnsi="Times New Roman" w:eastAsia="Times New Roman" w:cs="Times New Roman"/>
          <w:lang w:val="en-US" w:bidi="en-US"/>
          <w:color w:val="111111"/>
          <w:sz w:val="28"/>
          <w:szCs w:val="28"/>
          <w:rtl/>
        </w:rPr>
        <w:t xml:space="preserve">15/1× 3/ </w:t>
      </w:r>
      <w:r>
        <w:rPr>
          <w:rFonts w:ascii="IRNazanin" w:hAnsi="IRNazanin" w:eastAsia="IRNazanin" w:cs="IRNazanin"/>
          <w:lang w:bidi="fa-IR"/>
          <w:color w:val="111111"/>
          <w:sz w:val="28"/>
          <w:szCs w:val="28"/>
          <w:rtl/>
        </w:rPr>
        <w:t xml:space="preserve">۳۱سم [ف: ۵-۸]</w:t>
      </w:r>
    </w:p>
    <w:p>
      <w:pPr>
        <w:pStyle w:val="Heading3"/>
      </w:pPr>
      <w:bookmarkStart w:id="2905" w:name="_Toc2165"/>
      <w:r>
        <w:t>•تبصرة المبتدی و تذكرة المنتهی / نحو عربی</w:t>
      </w:r>
      <w:bookmarkEnd w:id="2905"/>
    </w:p>
    <w:p>
      <w:pPr>
        <w:pStyle w:val="BookText"/>
      </w:pPr>
      <w:r>
        <w:rPr>
          <w:rFonts w:ascii="Times New Roman" w:hAnsi="Times New Roman" w:eastAsia="Times New Roman" w:cs="Times New Roman"/>
          <w:lang w:val="en-US" w:bidi="en-US"/>
          <w:color w:val="111111"/>
          <w:sz w:val="28"/>
          <w:szCs w:val="28"/>
          <w:rtl/>
        </w:rPr>
        <w:t xml:space="preserve">tabșirat-ul mubtadī wa tadkirat-ul muntahī</w:t>
      </w:r>
    </w:p>
    <w:p>
      <w:pPr>
        <w:pStyle w:val="BookText"/>
      </w:pPr>
      <w:r>
        <w:rPr>
          <w:rFonts w:ascii="IRNazanin" w:hAnsi="IRNazanin" w:eastAsia="IRNazanin" w:cs="IRNazanin"/>
          <w:lang w:bidi="fa-IR"/>
          <w:color w:val="111111"/>
          <w:sz w:val="28"/>
          <w:szCs w:val="28"/>
          <w:rtl/>
        </w:rPr>
        <w:t xml:space="preserve">مؤلف سابقا کتابی در علم صرف نگاشته به نام «التبصرة» (نک: الذريعة</w:t>
      </w:r>
    </w:p>
    <w:p>
      <w:pPr>
        <w:pStyle w:val="BookText"/>
      </w:pPr>
      <w:r>
        <w:rPr>
          <w:rFonts w:ascii="IRNazanin" w:hAnsi="IRNazanin" w:eastAsia="IRNazanin" w:cs="IRNazanin"/>
          <w:lang w:bidi="fa-IR"/>
          <w:color w:val="111111"/>
          <w:sz w:val="28"/>
          <w:szCs w:val="28"/>
          <w:rtl/>
        </w:rPr>
        <w:t xml:space="preserve">۳/۳۱۴، رقم ۱۱۵۷) و کتابی در لغت عربی نوشته و کتاب حاضر را در علم نحو سامان داده است. در ابتدا هشت مطلب آورده از جمله درباره رتبه علم نحو و حد و تعریف آن و موضوع و فایده نحو و فهرست مطالب کتاب، سپس کتابش را در یک «مقدمه» و سه «مقاله» و یک «خاتمه» مرتب نموده است: مقدمه در آنچه تقدیمش واجب است مانند رؤوس ثمانيه و منشأ علم نحو و معرفت کلمه و کلام و تقسيم الفاظ و ... مقاله اول در افعال و اقسام آن؛ مقاله دوم در اسماء و تقسیمات آن؛ مقاله سوم در حروف و اقسامش؛ خاتمه در احکام کلام و جمله و محله آن در کلام.</w:t>
      </w:r>
    </w:p>
    <w:p>
      <w:pPr>
        <w:pStyle w:val="BookText"/>
      </w:pPr>
      <w:r>
        <w:rPr>
          <w:rFonts w:ascii="IRNazanin" w:hAnsi="IRNazanin" w:eastAsia="IRNazanin" w:cs="IRNazanin"/>
          <w:lang w:bidi="fa-IR"/>
          <w:color w:val="111111"/>
          <w:sz w:val="28"/>
          <w:szCs w:val="28"/>
          <w:rtl/>
        </w:rPr>
        <w:t xml:space="preserve">قم، گلپایگانی؛ شماره نسخه: ۱۸۰۲- ۱۰/۱۱۲</w:t>
      </w:r>
    </w:p>
    <w:p>
      <w:pPr>
        <w:pStyle w:val="BookText"/>
      </w:pPr>
      <w:r>
        <w:rPr>
          <w:rFonts w:ascii="IRNazanin" w:hAnsi="IRNazanin" w:eastAsia="IRNazanin" w:cs="IRNazanin"/>
          <w:lang w:bidi="fa-IR"/>
          <w:color w:val="111111"/>
          <w:sz w:val="28"/>
          <w:szCs w:val="28"/>
          <w:rtl/>
        </w:rPr>
        <w:t xml:space="preserve">آغاز: بهم البتة و لأجل ذلک اشتد تنفر هم و الحمدلله عنهم ... ان اصنف لهم هذا الكتاب لئلا يبقى لهم عذر في ترک ... علم العربية و ليكون كتابة جامعة لاغلب المسائل ... و الرابع مرتبة هذا الكتاب معلوم أنه في علم النحو؛ انجام: و تلحق آخر الماضي و ان اعل حرف حتى في نحوده و قد و يجوز في رجحان في مثل أغزة و ارمة و احشه و لم يغز</w:t>
      </w:r>
    </w:p>
    <w:p>
      <w:pPr>
        <w:pStyle w:val="BookText"/>
      </w:pPr>
      <w:r>
        <w:rPr>
          <w:rFonts w:ascii="IRNazanin" w:hAnsi="IRNazanin" w:eastAsia="IRNazanin" w:cs="IRNazanin"/>
          <w:lang w:bidi="fa-IR"/>
          <w:color w:val="111111"/>
          <w:sz w:val="28"/>
          <w:szCs w:val="28"/>
          <w:rtl/>
        </w:rPr>
        <w:t xml:space="preserve">خط: نسخ، بی کا، تا: قرن ۱۳؛ افتادگی: آغاز و انجام؛ مصحح؛ جلد: مقوای سرخ عطف</w:t>
      </w:r>
    </w:p>
    <w:p>
      <w:pPr>
        <w:pStyle w:val="BookText"/>
      </w:pPr>
      <w:r>
        <w:rPr>
          <w:rFonts w:ascii="IRNazanin" w:hAnsi="IRNazanin" w:eastAsia="IRNazanin" w:cs="IRNazanin"/>
          <w:lang w:bidi="fa-IR"/>
          <w:color w:val="111111"/>
          <w:sz w:val="28"/>
          <w:szCs w:val="28"/>
          <w:rtl/>
        </w:rPr>
        <w:t xml:space="preserve">گوشه تیماج، ۲۳۴گ، ۱۹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۲-۷۱۰]</w:t>
      </w:r>
    </w:p>
    <w:p>
      <w:pPr>
        <w:pStyle w:val="Heading3"/>
      </w:pPr>
      <w:bookmarkStart w:id="2906" w:name="_Toc2166"/>
      <w:r>
        <w:t>•تبصرة المتحیرین / عرفان و تصوف / فارسی</w:t>
      </w:r>
      <w:bookmarkEnd w:id="2906"/>
    </w:p>
    <w:p>
      <w:pPr>
        <w:pStyle w:val="BookText"/>
      </w:pPr>
      <w:r>
        <w:rPr>
          <w:rFonts w:ascii="Times New Roman" w:hAnsi="Times New Roman" w:eastAsia="Times New Roman" w:cs="Times New Roman"/>
          <w:lang w:val="en-US" w:bidi="en-US"/>
          <w:color w:val="111111"/>
          <w:sz w:val="28"/>
          <w:szCs w:val="28"/>
          <w:rtl/>
        </w:rPr>
        <w:t xml:space="preserve">tabserat-ol motahayyerīn</w:t>
      </w:r>
    </w:p>
    <w:p>
      <w:pPr>
        <w:pStyle w:val="BookText"/>
      </w:pPr>
      <w:r>
        <w:rPr>
          <w:rFonts w:ascii="IRNazanin" w:hAnsi="IRNazanin" w:eastAsia="IRNazanin" w:cs="IRNazanin"/>
          <w:lang w:bidi="fa-IR"/>
          <w:color w:val="111111"/>
          <w:sz w:val="28"/>
          <w:szCs w:val="28"/>
          <w:rtl/>
        </w:rPr>
        <w:t xml:space="preserve">خوئی، مصطفی بن محمد، ق۱۳ قمری</w:t>
      </w:r>
    </w:p>
    <w:p>
      <w:pPr>
        <w:pStyle w:val="BookText"/>
      </w:pPr>
      <w:r>
        <w:rPr>
          <w:rFonts w:ascii="Times New Roman" w:hAnsi="Times New Roman" w:eastAsia="Times New Roman" w:cs="Times New Roman"/>
          <w:lang w:val="en-US" w:bidi="en-US"/>
          <w:color w:val="111111"/>
          <w:sz w:val="28"/>
          <w:szCs w:val="28"/>
          <w:rtl/>
        </w:rPr>
        <w:t xml:space="preserve">xū’ī, mostafā ben mohammad (-19)</w:t>
      </w:r>
    </w:p>
    <w:p>
      <w:pPr>
        <w:pStyle w:val="BookText"/>
      </w:pPr>
      <w:r>
        <w:rPr>
          <w:rFonts w:ascii="IRNazanin" w:hAnsi="IRNazanin" w:eastAsia="IRNazanin" w:cs="IRNazanin"/>
          <w:lang w:bidi="fa-IR"/>
          <w:color w:val="111111"/>
          <w:sz w:val="28"/>
          <w:szCs w:val="28"/>
          <w:rtl/>
        </w:rPr>
        <w:t xml:space="preserve">آغاز: یا شیخ احمد رحمك الله شيئا لله بدانکه در حدیث نبوی وارد است.</w:t>
      </w:r>
    </w:p>
    <w:p>
      <w:pPr>
        <w:pStyle w:val="BookText"/>
      </w:pPr>
      <w:r>
        <w:rPr>
          <w:rFonts w:ascii="IRNazanin" w:hAnsi="IRNazanin" w:eastAsia="IRNazanin" w:cs="IRNazanin"/>
          <w:lang w:bidi="fa-IR"/>
          <w:color w:val="111111"/>
          <w:sz w:val="28"/>
          <w:szCs w:val="28"/>
          <w:rtl/>
        </w:rPr>
        <w:t xml:space="preserve">[دنا ۷۶۹/۲ ؛ فهرستواره منزوی ۱۷۱/۷ ]</w:t>
      </w:r>
    </w:p>
    <w:p>
      <w:pPr>
        <w:pStyle w:val="BookText"/>
      </w:pPr>
      <w:r>
        <w:rPr>
          <w:rFonts w:ascii="IRNazanin" w:hAnsi="IRNazanin" w:eastAsia="IRNazanin" w:cs="IRNazanin"/>
          <w:lang w:bidi="fa-IR"/>
          <w:color w:val="111111"/>
          <w:sz w:val="28"/>
          <w:szCs w:val="28"/>
          <w:rtl/>
        </w:rPr>
        <w:t xml:space="preserve">یزد؛ وزیری؛ شماره نسخه:۲۵۷۲/۴</w:t>
      </w:r>
    </w:p>
    <w:p>
      <w:pPr>
        <w:pStyle w:val="BookText"/>
      </w:pPr>
      <w:r>
        <w:rPr>
          <w:rFonts w:ascii="IRNazanin" w:hAnsi="IRNazanin" w:eastAsia="IRNazanin" w:cs="IRNazanin"/>
          <w:lang w:bidi="fa-IR"/>
          <w:color w:val="111111"/>
          <w:sz w:val="28"/>
          <w:szCs w:val="28"/>
          <w:rtl/>
        </w:rPr>
        <w:t xml:space="preserve">آغاز: یا شیخ احمد رحمك الله شيئا لله بدانکه در حدیث نبوی وارد است؛ انجام: و ملحد و اهل بدعت شده اند تحريرا في سنه هزار و دویست پنجاه و دو تحت الرساله الموسومة بتبصرة المتحیرین. کاتب = مؤلف، تا: ۱۲۵۲ق؛ اهدایی: شیخ محمد جواد علمیه؛ کاغذ: فرنگی، جلد: تیماج مشکی، وگ (۷۰-۷۸)، ابعاد متن :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۵/۵ ،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w:t>
      </w:r>
    </w:p>
    <w:p>
      <w:pPr>
        <w:pStyle w:val="BookText"/>
      </w:pPr>
      <w:r>
        <w:rPr>
          <w:rFonts w:ascii="IRNazanin" w:hAnsi="IRNazanin" w:eastAsia="IRNazanin" w:cs="IRNazanin"/>
          <w:lang w:bidi="fa-IR"/>
          <w:color w:val="111111"/>
          <w:sz w:val="28"/>
          <w:szCs w:val="28"/>
          <w:rtl/>
        </w:rPr>
        <w:t xml:space="preserve">سم [ف: ۴-۱۳۴۷]</w:t>
      </w:r>
    </w:p>
    <w:p>
      <w:pPr>
        <w:pStyle w:val="Heading3"/>
      </w:pPr>
      <w:bookmarkStart w:id="2907" w:name="_Toc2167"/>
      <w:r>
        <w:t>•تبصرة المتذکر و تذكرة المتبصر / تفسير / عربی</w:t>
      </w:r>
      <w:bookmarkEnd w:id="2907"/>
    </w:p>
    <w:p>
      <w:pPr>
        <w:pStyle w:val="BookText"/>
      </w:pPr>
      <w:r>
        <w:rPr>
          <w:rFonts w:ascii="Times New Roman" w:hAnsi="Times New Roman" w:eastAsia="Times New Roman" w:cs="Times New Roman"/>
          <w:lang w:val="en-US" w:bidi="en-US"/>
          <w:color w:val="111111"/>
          <w:sz w:val="28"/>
          <w:szCs w:val="28"/>
          <w:rtl/>
        </w:rPr>
        <w:t xml:space="preserve">tabsirat-ul mutidakkir wa tadkirat-ul mutibassir</w:t>
      </w:r>
    </w:p>
    <w:p>
      <w:pPr>
        <w:pStyle w:val="BookText"/>
      </w:pPr>
      <w:r>
        <w:rPr>
          <w:rFonts w:ascii="IRNazanin" w:hAnsi="IRNazanin" w:eastAsia="IRNazanin" w:cs="IRNazanin"/>
          <w:lang w:bidi="fa-IR"/>
          <w:color w:val="111111"/>
          <w:sz w:val="28"/>
          <w:szCs w:val="28"/>
          <w:rtl/>
        </w:rPr>
        <w:t xml:space="preserve">کواشی، احمد بن يوسف، ۵۹۱-۶۸۰ قمری</w:t>
      </w:r>
    </w:p>
    <w:p>
      <w:pPr>
        <w:pStyle w:val="BookText"/>
      </w:pPr>
      <w:r>
        <w:rPr>
          <w:rFonts w:ascii="Times New Roman" w:hAnsi="Times New Roman" w:eastAsia="Times New Roman" w:cs="Times New Roman"/>
          <w:lang w:val="en-US" w:bidi="en-US"/>
          <w:color w:val="111111"/>
          <w:sz w:val="28"/>
          <w:szCs w:val="28"/>
          <w:rtl/>
        </w:rPr>
        <w:t xml:space="preserve">kavāšī, ahmad ebn-e yūsof (1196-1282)</w:t>
      </w:r>
    </w:p>
    <w:p>
      <w:pPr>
        <w:pStyle w:val="BookText"/>
      </w:pPr>
      <w:r>
        <w:rPr>
          <w:rFonts w:ascii="IRNazanin" w:hAnsi="IRNazanin" w:eastAsia="IRNazanin" w:cs="IRNazanin"/>
          <w:lang w:bidi="fa-IR"/>
          <w:color w:val="111111"/>
          <w:sz w:val="28"/>
          <w:szCs w:val="28"/>
          <w:rtl/>
        </w:rPr>
        <w:t xml:space="preserve">تهران؛ مجلس؛ شماره نسخه:۱۶۷۸۸</w:t>
      </w:r>
    </w:p>
    <w:p>
      <w:pPr>
        <w:pStyle w:val="BookText"/>
      </w:pPr>
      <w:r>
        <w:rPr>
          <w:rFonts w:ascii="IRNazanin" w:hAnsi="IRNazanin" w:eastAsia="IRNazanin" w:cs="IRNazanin"/>
          <w:lang w:bidi="fa-IR"/>
          <w:color w:val="111111"/>
          <w:sz w:val="28"/>
          <w:szCs w:val="28"/>
          <w:rtl/>
        </w:rPr>
        <w:t xml:space="preserve">نسخه نادر، جلد اول از آغاز قرآن تا پایان سوره يوسف؛ كا: محمد بن محمد سقا حموی شافعی، تا: ۹۴۱ق [د.ث. مجلس ]</w:t>
      </w:r>
    </w:p>
    <w:p>
      <w:pPr>
        <w:pStyle w:val="Heading3"/>
      </w:pPr>
      <w:bookmarkStart w:id="2908" w:name="_Toc2168"/>
      <w:r>
        <w:t>•تبصرة المتعلمين / ادبیات / فارسی</w:t>
      </w:r>
      <w:bookmarkEnd w:id="2908"/>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bookmarkStart w:id="656" w:name="pg20363_209997"/>
    <w:bookmarkEnd w:id="656"/>
    <w:p>
      <w:pPr>
        <w:pStyle w:val="BookText"/>
      </w:pPr>
      <w:r>
        <w:rPr>
          <w:rFonts w:ascii="Times New Roman" w:hAnsi="Times New Roman" w:eastAsia="Times New Roman" w:cs="Times New Roman"/>
          <w:lang w:val="en-US" w:bidi="en-US"/>
          <w:color w:val="111111"/>
          <w:sz w:val="28"/>
          <w:szCs w:val="28"/>
          <w:rtl/>
        </w:rPr>
        <w:t xml:space="preserve">tabserat-ol mote'allemīn</w:t>
      </w:r>
    </w:p>
    <w:p>
      <w:pPr>
        <w:pStyle w:val="BookText"/>
      </w:pPr>
      <w:r>
        <w:rPr>
          <w:rFonts w:ascii="IRNazanin" w:hAnsi="IRNazanin" w:eastAsia="IRNazanin" w:cs="IRNazanin"/>
          <w:lang w:bidi="fa-IR"/>
          <w:color w:val="111111"/>
          <w:sz w:val="28"/>
          <w:szCs w:val="28"/>
          <w:rtl/>
        </w:rPr>
        <w:t xml:space="preserve">نظام العلماء، محمد رفیع بن علی اصغر، ۱۲۵۰-۱۳۲۶ قمری</w:t>
      </w:r>
    </w:p>
    <w:p>
      <w:pPr>
        <w:pStyle w:val="BookText"/>
      </w:pPr>
      <w:r>
        <w:rPr>
          <w:rFonts w:ascii="Times New Roman" w:hAnsi="Times New Roman" w:eastAsia="Times New Roman" w:cs="Times New Roman"/>
          <w:lang w:val="en-US" w:bidi="en-US"/>
          <w:color w:val="111111"/>
          <w:sz w:val="28"/>
          <w:szCs w:val="28"/>
          <w:rtl/>
        </w:rPr>
        <w:t xml:space="preserve">nezām-ol-'olamā’, mohammad rafī“ ebn-e ‘alī asqar (1835-1908)</w:t>
      </w:r>
    </w:p>
    <w:p>
      <w:pPr>
        <w:pStyle w:val="BookText"/>
      </w:pPr>
      <w:r>
        <w:rPr>
          <w:rFonts w:ascii="IRNazanin" w:hAnsi="IRNazanin" w:eastAsia="IRNazanin" w:cs="IRNazanin"/>
          <w:lang w:bidi="fa-IR"/>
          <w:color w:val="111111"/>
          <w:sz w:val="28"/>
          <w:szCs w:val="28"/>
          <w:rtl/>
        </w:rPr>
        <w:t xml:space="preserve">اهداء به: معزالدوله، حاکم آذربایجان تاریخ تأليف: ۱۲۶۷ق مشتمل بر «مقدمه و پنج «باب» و «خاتمة»: مقدمه: در بیان تعریف علم صرف و نحو و معانی پاره الفاظی که در السنه اهل این دو فن مذکور است؛ باب ۱. اقسام اسم به اعتبار صیغه؛ ۲. اقسام فعل به اعتبار صيغه؛ ۳. اسم به حسب صنف؛ ۴. اقسام فعل به حسب صنف؛ ۵. اقسام حرف؛ خاتمه: در ذکر پاره قواعدی که در میان ابواب مذکوره ذکر نشده.</w:t>
      </w:r>
    </w:p>
    <w:p>
      <w:pPr>
        <w:pStyle w:val="BookText"/>
      </w:pPr>
      <w:r>
        <w:rPr>
          <w:rFonts w:ascii="IRNazanin" w:hAnsi="IRNazanin" w:eastAsia="IRNazanin" w:cs="IRNazanin"/>
          <w:lang w:bidi="fa-IR"/>
          <w:color w:val="111111"/>
          <w:sz w:val="28"/>
          <w:szCs w:val="28"/>
          <w:rtl/>
        </w:rPr>
        <w:t xml:space="preserve">شیراز؛ علامه طباطبائی؛ شماره نسخه:۱۱۶۵</w:t>
      </w:r>
    </w:p>
    <w:p>
      <w:pPr>
        <w:pStyle w:val="BookText"/>
      </w:pPr>
      <w:r>
        <w:rPr>
          <w:rFonts w:ascii="IRNazanin" w:hAnsi="IRNazanin" w:eastAsia="IRNazanin" w:cs="IRNazanin"/>
          <w:lang w:bidi="fa-IR"/>
          <w:color w:val="111111"/>
          <w:sz w:val="28"/>
          <w:szCs w:val="28"/>
          <w:rtl/>
        </w:rPr>
        <w:t xml:space="preserve">خط: نسخ، بی کا، تا: ذیقعده ۱۲۷۵ق، مجدول، اندازه: ۱۰/۵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 نسخه پژوهی: ۲-۱۲۱]</w:t>
      </w:r>
    </w:p>
    <w:p>
      <w:pPr>
        <w:pStyle w:val="Heading3"/>
      </w:pPr>
      <w:bookmarkStart w:id="2909" w:name="_Toc2169"/>
      <w:r>
        <w:t>•تبصرة المتعلمين في أحكام الدين / فقه / عربی</w:t>
      </w:r>
      <w:bookmarkEnd w:id="2909"/>
    </w:p>
    <w:p>
      <w:pPr>
        <w:pStyle w:val="BookText"/>
      </w:pPr>
      <w:r>
        <w:rPr>
          <w:rFonts w:ascii="Times New Roman" w:hAnsi="Times New Roman" w:eastAsia="Times New Roman" w:cs="Times New Roman"/>
          <w:lang w:val="en-US" w:bidi="en-US"/>
          <w:color w:val="111111"/>
          <w:sz w:val="28"/>
          <w:szCs w:val="28"/>
          <w:rtl/>
        </w:rPr>
        <w:t xml:space="preserve">tabSirat-ul muti'allimin fi ahkam-id din</w:t>
      </w:r>
    </w:p>
    <w:p>
      <w:pPr>
        <w:pStyle w:val="BookText"/>
      </w:pPr>
      <w:r>
        <w:rPr>
          <w:rFonts w:ascii="IRNazanin" w:hAnsi="IRNazanin" w:eastAsia="IRNazanin" w:cs="IRNazanin"/>
          <w:lang w:bidi="fa-IR"/>
          <w:color w:val="111111"/>
          <w:sz w:val="28"/>
          <w:szCs w:val="28"/>
          <w:rtl/>
        </w:rPr>
        <w:t xml:space="preserve">علامه حلی، حسن بن یوسف، ۶۴۸-۷۲۶ قمری</w:t>
      </w:r>
    </w:p>
    <w:p>
      <w:pPr>
        <w:pStyle w:val="BookText"/>
      </w:pPr>
      <w:r>
        <w:rPr>
          <w:rFonts w:ascii="Times New Roman" w:hAnsi="Times New Roman" w:eastAsia="Times New Roman" w:cs="Times New Roman"/>
          <w:lang w:val="en-US" w:bidi="en-US"/>
          <w:color w:val="111111"/>
          <w:sz w:val="28"/>
          <w:szCs w:val="28"/>
          <w:rtl/>
        </w:rPr>
        <w:t xml:space="preserve">‘allāme-ye hellī, hasan ebn-e yūsof (1251-1326)</w:t>
      </w:r>
    </w:p>
    <w:p>
      <w:pPr>
        <w:pStyle w:val="BookText"/>
      </w:pPr>
      <w:r>
        <w:rPr>
          <w:rFonts w:ascii="IRNazanin" w:hAnsi="IRNazanin" w:eastAsia="IRNazanin" w:cs="IRNazanin"/>
          <w:lang w:bidi="fa-IR"/>
          <w:color w:val="111111"/>
          <w:sz w:val="28"/>
          <w:szCs w:val="28"/>
          <w:rtl/>
        </w:rPr>
        <w:t xml:space="preserve">متن فتوایی مختصر و معروفی است که مدتی در حوزه های علمیه شیعه تدریس می شده است. شامل هیجده «کتاب» هر کتاب دارای ابوابی و هر باب دارای فصولی است. این کتاب به دلیل اختصار و روان بودن عباراتش از زمان مؤلف تا کنون مورد توجه فقهای عظام بوده و شروح فراوان بر آن نوشته اند که در الذریعه بالغ بر ۲۷ شرح ضبط شده است. آغاز: الحمد لله القديم سلطانه العظيم شانه الواضح برهانه المنعم على عباده بارسال انبيائه عليهم بالتكاليف انجام: و ان لم يكن وارث فالامام و لو كان خطاء فالدية على العاقلة ... وهذه خلاصة ما اثبتناه في هذه المختصر. و نسأل الله تعالى أن يجعل ذلك لوجهه خالصا انه قريب مجيب. و الحمدلله رب العالمين و الصلوة و السلام على سيدنا ... بمدينة حلة حماها الله عن الافات چاپ: تهران، ۲۳۵ ص، ۱۳۲۹ق؛ بمبئی، سنگی، ۱۳۲۳، جیبی، ۱+۱۹۱صص؛ ایران، سنگی، ۱۳۴۲، جیبی، ۱۹۸ص؛ [تهران]، سنگی، ۱۳۱۸، جیبی، ۲۵۵+۱صص؛ ایران، سنگی، ۱۳۰۳، جیبی، ۲۰۰ص</w:t>
      </w:r>
    </w:p>
    <w:p>
      <w:pPr>
        <w:pStyle w:val="BookText"/>
      </w:pPr>
      <w:r>
        <w:rPr>
          <w:rFonts w:ascii="IRNazanin" w:hAnsi="IRNazanin" w:eastAsia="IRNazanin" w:cs="IRNazanin"/>
          <w:lang w:bidi="fa-IR"/>
          <w:color w:val="111111"/>
          <w:sz w:val="28"/>
          <w:szCs w:val="28"/>
          <w:rtl/>
        </w:rPr>
        <w:t xml:space="preserve">[الذريعة ۳۲۱/۳ ؛ مكتبة امير المومنین ۱۹۸/۱ ؛ جزائری نجفی ص ۶؛ دنا ۷۷۱-۷۶۹/۲</w:t>
      </w:r>
    </w:p>
    <w:p>
      <w:pPr>
        <w:pStyle w:val="BookText"/>
      </w:pPr>
      <w:r>
        <w:rPr>
          <w:rFonts w:ascii="IRNazanin" w:hAnsi="IRNazanin" w:eastAsia="IRNazanin" w:cs="IRNazanin"/>
          <w:lang w:bidi="fa-IR"/>
          <w:color w:val="111111"/>
          <w:sz w:val="28"/>
          <w:szCs w:val="28"/>
          <w:rtl/>
        </w:rPr>
        <w:t xml:space="preserve">(۸۱ نسخه)]</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١- الجوهرة في نظم التبصرة؛ ابن داود حلی، حسن بن علی [۶۴۷ -۷۴]</w:t>
      </w:r>
    </w:p>
    <w:p>
      <w:pPr>
        <w:pStyle w:val="BookText"/>
      </w:pPr>
      <w:r>
        <w:rPr>
          <w:rFonts w:ascii="IRNazanin" w:hAnsi="IRNazanin" w:eastAsia="IRNazanin" w:cs="IRNazanin"/>
          <w:lang w:bidi="fa-IR"/>
          <w:color w:val="111111"/>
          <w:sz w:val="28"/>
          <w:szCs w:val="28"/>
          <w:rtl/>
        </w:rPr>
        <w:t xml:space="preserve">۲- شرح تبصرة المتعلمين؛ مشهدی، محمد بن حسین (-۱۱)</w:t>
      </w:r>
    </w:p>
    <w:p>
      <w:pPr>
        <w:pStyle w:val="BookText"/>
      </w:pPr>
      <w:r>
        <w:rPr>
          <w:rFonts w:ascii="IRNazanin" w:hAnsi="IRNazanin" w:eastAsia="IRNazanin" w:cs="IRNazanin"/>
          <w:lang w:bidi="fa-IR"/>
          <w:color w:val="111111"/>
          <w:sz w:val="28"/>
          <w:szCs w:val="28"/>
          <w:rtl/>
        </w:rPr>
        <w:t xml:space="preserve">٣- تبصرة المتعلمين في أحكام الدين (ترجمه)؛ موسوی، محمد بن ابی الحسن (۹۶۳-۱۰۴۳)</w:t>
      </w:r>
    </w:p>
    <w:p>
      <w:pPr>
        <w:pStyle w:val="BookText"/>
      </w:pPr>
      <w:r>
        <w:rPr>
          <w:rFonts w:ascii="IRNazanin" w:hAnsi="IRNazanin" w:eastAsia="IRNazanin" w:cs="IRNazanin"/>
          <w:lang w:bidi="fa-IR"/>
          <w:color w:val="111111"/>
          <w:sz w:val="28"/>
          <w:szCs w:val="28"/>
          <w:rtl/>
        </w:rPr>
        <w:t xml:space="preserve">۴- تبصرة المتعلمين منظوم؛ حسینی سیفی، محمد بن محمد مهدی ( ۱۱۵۰ )</w:t>
      </w:r>
    </w:p>
    <w:p>
      <w:pPr>
        <w:pStyle w:val="BookText"/>
      </w:pPr>
      <w:r>
        <w:rPr>
          <w:rFonts w:ascii="IRNazanin" w:hAnsi="IRNazanin" w:eastAsia="IRNazanin" w:cs="IRNazanin"/>
          <w:lang w:bidi="fa-IR"/>
          <w:color w:val="111111"/>
          <w:sz w:val="28"/>
          <w:szCs w:val="28"/>
          <w:rtl/>
        </w:rPr>
        <w:t xml:space="preserve">۵- تذكار المعلمين في شرح تبصرة المتعلمين؛ شیرازی، عبدالنبی بن محمد مفید (-۱۱۹۲) ۶- المرشد في شرح التبصرة؛ خوانساری، محمد حسین بن علی اکبر (۱۳)</w:t>
      </w:r>
    </w:p>
    <w:p>
      <w:pPr>
        <w:pStyle w:val="BookText"/>
      </w:pPr>
      <w:r>
        <w:rPr>
          <w:rFonts w:ascii="IRNazanin" w:hAnsi="IRNazanin" w:eastAsia="IRNazanin" w:cs="IRNazanin"/>
          <w:lang w:bidi="fa-IR"/>
          <w:color w:val="111111"/>
          <w:sz w:val="28"/>
          <w:szCs w:val="28"/>
          <w:rtl/>
        </w:rPr>
        <w:t xml:space="preserve">۷- شرح تبصرة المتعلمين؛ کرمانشاهی، محمد بن عاشور (۱۳)</w:t>
      </w:r>
    </w:p>
    <w:p>
      <w:pPr>
        <w:pStyle w:val="BookText"/>
      </w:pPr>
      <w:r>
        <w:rPr>
          <w:rFonts w:ascii="IRNazanin" w:hAnsi="IRNazanin" w:eastAsia="IRNazanin" w:cs="IRNazanin"/>
          <w:lang w:bidi="fa-IR"/>
          <w:color w:val="111111"/>
          <w:sz w:val="28"/>
          <w:szCs w:val="28"/>
          <w:rtl/>
        </w:rPr>
        <w:t xml:space="preserve">۸- آمال المجتهدين في شرح تبصرة المتعلمين؛ نراقی، علی بن ابی القاسم (۱۳)</w:t>
      </w:r>
    </w:p>
    <w:p>
      <w:pPr>
        <w:pStyle w:val="BookText"/>
      </w:pPr>
      <w:r>
        <w:rPr>
          <w:rFonts w:ascii="IRNazanin" w:hAnsi="IRNazanin" w:eastAsia="IRNazanin" w:cs="IRNazanin"/>
          <w:lang w:bidi="fa-IR"/>
          <w:color w:val="111111"/>
          <w:sz w:val="28"/>
          <w:szCs w:val="28"/>
          <w:rtl/>
        </w:rPr>
        <w:t xml:space="preserve">9- شرح تبصرة المتعلمين؛ قراچه داغی، محمد بن محمد على (-۱۳)</w:t>
      </w:r>
    </w:p>
    <w:p>
      <w:pPr>
        <w:pStyle w:val="BookText"/>
      </w:pPr>
      <w:r>
        <w:rPr>
          <w:rFonts w:ascii="IRNazanin" w:hAnsi="IRNazanin" w:eastAsia="IRNazanin" w:cs="IRNazanin"/>
          <w:lang w:bidi="fa-IR"/>
          <w:color w:val="111111"/>
          <w:sz w:val="28"/>
          <w:szCs w:val="28"/>
          <w:rtl/>
        </w:rPr>
        <w:t xml:space="preserve">۱۰ - الفوائد النورية في شرح التبصرة؛ نورالدین نورالله بن اسدالله ( ۱۳)</w:t>
      </w:r>
    </w:p>
    <w:p>
      <w:pPr>
        <w:pStyle w:val="BookText"/>
      </w:pPr>
      <w:r>
        <w:rPr>
          <w:rFonts w:ascii="IRNazanin" w:hAnsi="IRNazanin" w:eastAsia="IRNazanin" w:cs="IRNazanin"/>
          <w:lang w:bidi="fa-IR"/>
          <w:color w:val="111111"/>
          <w:sz w:val="28"/>
          <w:szCs w:val="28"/>
          <w:rtl/>
        </w:rPr>
        <w:t xml:space="preserve">۱۱- شرح تبصرة المتعلمين؛ کرمانشاهی، محمد محسن بن محمد سميع (-۱۲۲۳)</w:t>
      </w:r>
    </w:p>
    <w:p>
      <w:pPr>
        <w:pStyle w:val="BookText"/>
      </w:pPr>
      <w:r>
        <w:rPr>
          <w:rFonts w:ascii="IRNazanin" w:hAnsi="IRNazanin" w:eastAsia="IRNazanin" w:cs="IRNazanin"/>
          <w:lang w:bidi="fa-IR"/>
          <w:color w:val="111111"/>
          <w:sz w:val="28"/>
          <w:szCs w:val="28"/>
          <w:rtl/>
        </w:rPr>
        <w:t xml:space="preserve">۱۲- صراط اليقين في شرح تبصرة المتعلمين؛ احسائی، احمد بن زین الدین (۱۱۶۶-۱۲۴۱) ۱۳ - التكملة في شرح التبصرة = شرح تبصرة المتعلمين؛ بهبهانی، محمد جعفر بن محمد على (۱۱۷۸-۱۲۵۹)</w:t>
      </w:r>
    </w:p>
    <w:p>
      <w:pPr>
        <w:pStyle w:val="BookText"/>
      </w:pPr>
      <w:r>
        <w:rPr>
          <w:rFonts w:ascii="IRNazanin" w:hAnsi="IRNazanin" w:eastAsia="IRNazanin" w:cs="IRNazanin"/>
          <w:lang w:bidi="fa-IR"/>
          <w:color w:val="111111"/>
          <w:sz w:val="28"/>
          <w:szCs w:val="28"/>
          <w:rtl/>
        </w:rPr>
        <w:t xml:space="preserve">۱۴- التذكرة في شرح دیباچة التبصرة؛ بهبهانی، محمد جعفر بن محمد على (۱۱۷۸-۱۲۵۹)</w:t>
      </w:r>
    </w:p>
    <w:p>
      <w:pPr>
        <w:pStyle w:val="BookText"/>
      </w:pPr>
      <w:r>
        <w:rPr>
          <w:rFonts w:ascii="IRNazanin" w:hAnsi="IRNazanin" w:eastAsia="IRNazanin" w:cs="IRNazanin"/>
          <w:lang w:bidi="fa-IR"/>
          <w:color w:val="111111"/>
          <w:sz w:val="28"/>
          <w:szCs w:val="28"/>
          <w:rtl/>
        </w:rPr>
        <w:t xml:space="preserve">۱۵- شرح تبصرة المتعلمين؛ استر آبادی، محمد جعفر بن سيف الدين (۱۲۶۳-۱۱۹۸)</w:t>
      </w:r>
    </w:p>
    <w:p>
      <w:pPr>
        <w:pStyle w:val="BookText"/>
      </w:pPr>
      <w:r>
        <w:rPr>
          <w:rFonts w:ascii="IRNazanin" w:hAnsi="IRNazanin" w:eastAsia="IRNazanin" w:cs="IRNazanin"/>
          <w:lang w:bidi="fa-IR"/>
          <w:color w:val="111111"/>
          <w:sz w:val="28"/>
          <w:szCs w:val="28"/>
          <w:rtl/>
        </w:rPr>
        <w:t xml:space="preserve">۱۶- تكملة المحصلين = شرح تبصرة المتعلمين؛ کرباسی، محمد جعفر بن محمد ابراهیم (-۱۲۹۲)</w:t>
      </w:r>
    </w:p>
    <w:p>
      <w:pPr>
        <w:pStyle w:val="BookText"/>
      </w:pPr>
      <w:r>
        <w:rPr>
          <w:rFonts w:ascii="IRNazanin" w:hAnsi="IRNazanin" w:eastAsia="IRNazanin" w:cs="IRNazanin"/>
          <w:lang w:bidi="fa-IR"/>
          <w:color w:val="111111"/>
          <w:sz w:val="28"/>
          <w:szCs w:val="28"/>
          <w:rtl/>
        </w:rPr>
        <w:t xml:space="preserve">۱۷- شرح تبصرة المتعلمين؛ همدانی، حسین بن محمد حسن (-۱۴)</w:t>
      </w:r>
    </w:p>
    <w:p>
      <w:pPr>
        <w:pStyle w:val="BookText"/>
      </w:pPr>
      <w:r>
        <w:rPr>
          <w:rFonts w:ascii="IRNazanin" w:hAnsi="IRNazanin" w:eastAsia="IRNazanin" w:cs="IRNazanin"/>
          <w:lang w:bidi="fa-IR"/>
          <w:color w:val="111111"/>
          <w:sz w:val="28"/>
          <w:szCs w:val="28"/>
          <w:rtl/>
        </w:rPr>
        <w:t xml:space="preserve">۱۸- الآية المبصرة في شرح التبصرة = شرح تبصره؛ قزوینی، عباس بن اسماعیل (-۱۳۰۴)</w:t>
      </w:r>
    </w:p>
    <w:p>
      <w:pPr>
        <w:pStyle w:val="BookText"/>
      </w:pPr>
      <w:r>
        <w:rPr>
          <w:rFonts w:ascii="IRNazanin" w:hAnsi="IRNazanin" w:eastAsia="IRNazanin" w:cs="IRNazanin"/>
          <w:lang w:bidi="fa-IR"/>
          <w:color w:val="111111"/>
          <w:sz w:val="28"/>
          <w:szCs w:val="28"/>
          <w:rtl/>
        </w:rPr>
        <w:t xml:space="preserve">19 - المواهب السنية في شرح التبصرة العلية؛ استر آبادی، علی بن محمد جعفر (۱۲۴۲-۱۳۱۵)</w:t>
      </w:r>
    </w:p>
    <w:p>
      <w:pPr>
        <w:pStyle w:val="BookText"/>
      </w:pPr>
      <w:r>
        <w:rPr>
          <w:rFonts w:ascii="IRNazanin" w:hAnsi="IRNazanin" w:eastAsia="IRNazanin" w:cs="IRNazanin"/>
          <w:lang w:bidi="fa-IR"/>
          <w:color w:val="111111"/>
          <w:sz w:val="28"/>
          <w:szCs w:val="28"/>
          <w:rtl/>
        </w:rPr>
        <w:t xml:space="preserve">۲۰- شرح تبصرة المتعلمين؛ بهاری همدانی، محمد باقر بن محمد جعفر (۱۲۷۷-۱۳۳۳) ۲۱- تبصرة المتعلمين منظوم؛ زنجانی، عباسعلی (-۱۳۴۴)</w:t>
      </w:r>
    </w:p>
    <w:p>
      <w:pPr>
        <w:pStyle w:val="BookText"/>
      </w:pPr>
      <w:r>
        <w:rPr>
          <w:rFonts w:ascii="IRNazanin" w:hAnsi="IRNazanin" w:eastAsia="IRNazanin" w:cs="IRNazanin"/>
          <w:lang w:bidi="fa-IR"/>
          <w:color w:val="111111"/>
          <w:sz w:val="28"/>
          <w:szCs w:val="28"/>
          <w:rtl/>
        </w:rPr>
        <w:t xml:space="preserve">۲۲- تكملة المتألمين في شرح تبصرة المتعلمين؛ اردبیلی، احمد بن کربلائی بابا (۱۲۹۴-۱۳۵۰)</w:t>
      </w:r>
    </w:p>
    <w:p>
      <w:pPr>
        <w:pStyle w:val="BookText"/>
      </w:pPr>
      <w:r>
        <w:rPr>
          <w:rFonts w:ascii="IRNazanin" w:hAnsi="IRNazanin" w:eastAsia="IRNazanin" w:cs="IRNazanin"/>
          <w:lang w:bidi="fa-IR"/>
          <w:color w:val="111111"/>
          <w:sz w:val="28"/>
          <w:szCs w:val="28"/>
          <w:rtl/>
        </w:rPr>
        <w:t xml:space="preserve">۲۳- نهاية التذكرة في شرح التبصرة؛ تبریزی، صادق بن محمد ( ۱۳۵۱ )</w:t>
      </w:r>
    </w:p>
    <w:p>
      <w:pPr>
        <w:pStyle w:val="BookText"/>
      </w:pPr>
      <w:r>
        <w:rPr>
          <w:rFonts w:ascii="IRNazanin" w:hAnsi="IRNazanin" w:eastAsia="IRNazanin" w:cs="IRNazanin"/>
          <w:lang w:bidi="fa-IR"/>
          <w:color w:val="111111"/>
          <w:sz w:val="28"/>
          <w:szCs w:val="28"/>
          <w:rtl/>
        </w:rPr>
        <w:t xml:space="preserve">۲۴- شرح تبصرة المتعلمين؛ آقا ضیاء عراقی (۱۲۷۸-۱۳۶۱)</w:t>
      </w:r>
    </w:p>
    <w:p>
      <w:pPr>
        <w:pStyle w:val="BookText"/>
      </w:pPr>
      <w:r>
        <w:rPr>
          <w:rFonts w:ascii="Amiri" w:hAnsi="Amiri" w:eastAsia="Amiri" w:cs="Amiri"/>
          <w:lang w:bidi="ar-SA"/>
          <w:color w:val="111111"/>
          <w:sz w:val="28"/>
          <w:szCs w:val="28"/>
          <w:rtl/>
        </w:rPr>
        <w:t xml:space="preserve">۲۵- كفاية المحصلين في شرح تبصرة المتعلمين؛ مدرس، محمد على بن محمد طاهر (۱۲۹۶-۱۳۷۳)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۲۶- نهاية التذكرة في شرح التبصرة؛ طواری یزدی، عباس بن محمد (۱۵)</w:t>
      </w:r>
    </w:p>
    <w:p>
      <w:pPr>
        <w:pStyle w:val="BookText"/>
      </w:pPr>
      <w:r>
        <w:rPr>
          <w:rFonts w:ascii="IRNazanin" w:hAnsi="IRNazanin" w:eastAsia="IRNazanin" w:cs="IRNazanin"/>
          <w:lang w:bidi="fa-IR"/>
          <w:color w:val="111111"/>
          <w:sz w:val="28"/>
          <w:szCs w:val="28"/>
          <w:rtl/>
        </w:rPr>
        <w:t xml:space="preserve">۲۷- حاشية تبصرة المتعلمين؛ فاضل قائنی، محمد بن عبدالكريم ( ۱۴۰۵ )</w:t>
      </w:r>
    </w:p>
    <w:p>
      <w:pPr>
        <w:pStyle w:val="BookText"/>
      </w:pPr>
      <w:r>
        <w:rPr>
          <w:rFonts w:ascii="IRNazanin" w:hAnsi="IRNazanin" w:eastAsia="IRNazanin" w:cs="IRNazanin"/>
          <w:lang w:bidi="fa-IR"/>
          <w:color w:val="111111"/>
          <w:sz w:val="28"/>
          <w:szCs w:val="28"/>
          <w:rtl/>
        </w:rPr>
        <w:t xml:space="preserve">۲۸- تبصرة المتعلمين في أحكام الدين (ترجمه)، کرمانی، محیی بن محمد</w:t>
      </w:r>
    </w:p>
    <w:p>
      <w:pPr>
        <w:pStyle w:val="BookText"/>
      </w:pPr>
      <w:r>
        <w:rPr>
          <w:rFonts w:ascii="Amiri" w:hAnsi="Amiri" w:eastAsia="Amiri" w:cs="Amiri"/>
          <w:lang w:bidi="ar-SA"/>
          <w:color w:val="111111"/>
          <w:sz w:val="28"/>
          <w:szCs w:val="28"/>
          <w:rtl/>
        </w:rPr>
        <w:t xml:space="preserve">۲۹- تبصرة المتعلمين منظوم</w:t>
      </w:r>
    </w:p>
    <w:p>
      <w:pPr>
        <w:pStyle w:val="BookText"/>
      </w:pPr>
      <w:r>
        <w:rPr>
          <w:rFonts w:ascii="IRNazanin" w:hAnsi="IRNazanin" w:eastAsia="IRNazanin" w:cs="IRNazanin"/>
          <w:lang w:bidi="fa-IR"/>
          <w:color w:val="111111"/>
          <w:sz w:val="28"/>
          <w:szCs w:val="28"/>
          <w:rtl/>
        </w:rPr>
        <w:t xml:space="preserve">۳۰- تبصرة المتعلمين في أحكام الدین (ترجمه)</w:t>
      </w:r>
    </w:p>
    <w:p>
      <w:pPr>
        <w:pStyle w:val="BookText"/>
      </w:pPr>
      <w:r>
        <w:rPr>
          <w:rFonts w:ascii="IRNazanin" w:hAnsi="IRNazanin" w:eastAsia="IRNazanin" w:cs="IRNazanin"/>
          <w:lang w:bidi="fa-IR"/>
          <w:color w:val="111111"/>
          <w:sz w:val="28"/>
          <w:szCs w:val="28"/>
          <w:rtl/>
        </w:rPr>
        <w:t xml:space="preserve">١. مشهد؛ رضوی؛ شماره نسخه:۱۳۸۵۴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چهارشنبه ۱۰ شوال ۷۴۹ق؛ مصحح، مقابله شده، محشی؛ واقف: فاضل خان، ۱۰۶۵ ق، کاغذ: نخودی، جلد: تیماج، ۱۰۶گ، ۱۵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۲۱/۱-۲۰۱]</w:t>
      </w:r>
    </w:p>
    <w:p>
      <w:pPr>
        <w:pStyle w:val="BookText"/>
      </w:pPr>
      <w:r>
        <w:rPr>
          <w:rFonts w:ascii="IRNazanin" w:hAnsi="IRNazanin" w:eastAsia="IRNazanin" w:cs="IRNazanin"/>
          <w:lang w:bidi="fa-IR"/>
          <w:color w:val="111111"/>
          <w:sz w:val="28"/>
          <w:szCs w:val="28"/>
          <w:rtl/>
        </w:rPr>
        <w:t xml:space="preserve">۲. مشهد؛ رضوی؛ شماره نسخه: ۲۲۸۱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محمود بن حسن بن علی حسنی، تا: ذیقعده ۷۵۳ق؛ مصحح، مقابله شده، دارای چند بلاغ؛ تملک: محمد بن على عاملی؛ واقف: ابن خاتون، ۱۰۶۷؛ کاغذ: نخودی آهار مهره، جلد: مقوا رویه پارچه، ۷۱گ، ۱۸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سم [ف: ۲۰۲-۲۱/۱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 ۴۹۵۳/۹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۲۵ ربیع الثانی ۷۵۹ق؛ مصحح، با بلاغ هایی به خط محمد بن حسن حلی، محشی با نشانه «ن»، اجازه ای از فخر المحققين محمد بن حسن بن یوسف حلی جهت ابوسعید بن عماد الدين يحيى بن محمد بن احمد کاشی به سال ۷۵۹ و در پایان نیز انهایی از همو در همان سال، کاغذ: سمرقندی، جلد: تیماج، ۴۵گ (۴۱-۸۵پ)،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۱۳/۶ سم [ف: ۱۴-۲۲۹]</w:t>
      </w:r>
    </w:p>
    <w:p>
      <w:pPr>
        <w:pStyle w:val="BookText"/>
      </w:pPr>
      <w:r>
        <w:rPr>
          <w:rFonts w:ascii="IRNazanin" w:hAnsi="IRNazanin" w:eastAsia="IRNazanin" w:cs="IRNazanin"/>
          <w:lang w:bidi="fa-IR"/>
          <w:color w:val="111111"/>
          <w:sz w:val="28"/>
          <w:szCs w:val="28"/>
          <w:rtl/>
        </w:rPr>
        <w:t xml:space="preserve">قم: مرکز احیاء؛ شماره نسخه:۲۲۱۳</w:t>
      </w:r>
    </w:p>
    <w:p>
      <w:pPr>
        <w:pStyle w:val="BookText"/>
      </w:pPr>
      <w:r>
        <w:rPr>
          <w:rFonts w:ascii="IRNazanin" w:hAnsi="IRNazanin" w:eastAsia="IRNazanin" w:cs="IRNazanin"/>
          <w:lang w:bidi="fa-IR"/>
          <w:color w:val="111111"/>
          <w:sz w:val="28"/>
          <w:szCs w:val="28"/>
          <w:rtl/>
        </w:rPr>
        <w:t xml:space="preserve">نسخه اصل: همان نسخه بالا [عکسی ف: ۶-۲۶۹]</w:t>
      </w:r>
    </w:p>
    <w:p>
      <w:pPr>
        <w:pStyle w:val="BookText"/>
      </w:pPr>
      <w:r>
        <w:rPr>
          <w:rFonts w:ascii="IRNazanin" w:hAnsi="IRNazanin" w:eastAsia="IRNazanin" w:cs="IRNazanin"/>
          <w:lang w:bidi="fa-IR"/>
          <w:color w:val="111111"/>
          <w:sz w:val="28"/>
          <w:szCs w:val="28"/>
          <w:rtl/>
        </w:rPr>
        <w:t xml:space="preserve">۴. تهران؛ دانشگاه؛ شماره نسخه:۲۹۹۲/۵ -ف</w:t>
      </w:r>
    </w:p>
    <w:p>
      <w:pPr>
        <w:pStyle w:val="BookText"/>
      </w:pPr>
      <w:r>
        <w:rPr>
          <w:rFonts w:ascii="Amiri" w:hAnsi="Amiri" w:eastAsia="Amiri" w:cs="Amiri"/>
          <w:lang w:bidi="ar-SA"/>
          <w:color w:val="111111"/>
          <w:sz w:val="28"/>
          <w:szCs w:val="28"/>
          <w:rtl/>
        </w:rPr>
        <w:t xml:space="preserve">نسخه اصل: همان نسخه بالا[فيلمها ف: ۱-۷۷۷)</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مرعشی؛ شماره نسخه: ۱۳۸۸۰</w:t>
      </w:r>
    </w:p>
    <w:p>
      <w:pPr>
        <w:pStyle w:val="BookText"/>
      </w:pPr>
      <w:r>
        <w:rPr>
          <w:rFonts w:ascii="IRNazanin" w:hAnsi="IRNazanin" w:eastAsia="IRNazanin" w:cs="IRNazanin"/>
          <w:lang w:bidi="fa-IR"/>
          <w:color w:val="111111"/>
          <w:sz w:val="28"/>
          <w:szCs w:val="28"/>
          <w:rtl/>
        </w:rPr>
        <w:t xml:space="preserve">آغاز: به و لا الخبيث به و ان كان طاهرة مسائل: الأولى: الماء المستعمل في رفع الحدث طاهر مطهر الثانية الماء المستعمل في ازالة النجاسة نجس؛ انجام: برابر خط: نسخ، كا: محمد بن حسین، تا: ۷۸۰ق؛ افتادگی: آغاز؛ محشي با نشان «ها» که چند مورد آن به فارسی است، مصحح، با نشان «بلغ» و «بلغت المقابلة» مقابله گردیده؛ کاغذ: شرقی، جلد: مشمع مشکی عطف تیماج مشکی، ۱۳۷گ، ۱۵ سطر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[ف: ۳۵-۲۵۳]</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خوانسار؛ فاضل؛ شماره نسخه:۱۸۷</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نازیبا، بی کا، تا: قرن ۱۸ محشی و با عبارت «منه» و «عل مد ظله العالی»؛ تملکی بدون نام با مهر «محمد بن مرتضی بن صادق الحسینی» (بیضوی)، جلد: تیماج مشکی عطف تیماج مشکی، ۱۱۹گ، ۱۵ سطر، اندازه: ۱۳/۵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۲۰/۵سم [ف: ۱-۱۳۵]</w:t>
      </w:r>
    </w:p>
    <w:p>
      <w:pPr>
        <w:pStyle w:val="BookText"/>
      </w:pPr>
      <w:r>
        <w:rPr>
          <w:rFonts w:ascii="IRNazanin" w:hAnsi="IRNazanin" w:eastAsia="IRNazanin" w:cs="IRNazanin"/>
          <w:lang w:bidi="fa-IR"/>
          <w:color w:val="111111"/>
          <w:sz w:val="28"/>
          <w:szCs w:val="28"/>
          <w:rtl/>
        </w:rPr>
        <w:t xml:space="preserve">قم: مرکز احیاء؛ شماره نسخه:۲۰۶</w:t>
      </w:r>
    </w:p>
    <w:p>
      <w:pPr>
        <w:pStyle w:val="BookText"/>
      </w:pPr>
      <w:r>
        <w:rPr>
          <w:rFonts w:ascii="IRNazanin" w:hAnsi="IRNazanin" w:eastAsia="IRNazanin" w:cs="IRNazanin"/>
          <w:lang w:bidi="fa-IR"/>
          <w:color w:val="111111"/>
          <w:sz w:val="28"/>
          <w:szCs w:val="28"/>
          <w:rtl/>
        </w:rPr>
        <w:t xml:space="preserve">نسخه اصل: همان نسخه بالا [عکسی ف: ۱-۲۲۹]</w:t>
      </w:r>
    </w:p>
    <w:p>
      <w:pPr>
        <w:pStyle w:val="BookText"/>
      </w:pPr>
      <w:r>
        <w:rPr>
          <w:rFonts w:ascii="IRNazanin" w:hAnsi="IRNazanin" w:eastAsia="IRNazanin" w:cs="IRNazanin"/>
          <w:lang w:bidi="fa-IR"/>
          <w:color w:val="111111"/>
          <w:sz w:val="28"/>
          <w:szCs w:val="28"/>
          <w:rtl/>
        </w:rPr>
        <w:t xml:space="preserve">۷. قم؛ مسجد اعظم، شماره نسخه:۲۷۱۹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۹ افتادگی: انجام (ترقيمه کاتب)؛ دارای علامت بلاغ و مقابله، مصحح، محشی؛ جلد: تیماج قهوه ای، ۱۴۳ گ، ۱۲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مخ: ۱-۳۲۰</w:t>
      </w:r>
    </w:p>
    <w:p>
      <w:pPr>
        <w:pStyle w:val="BookText"/>
      </w:pPr>
      <w:r>
        <w:rPr>
          <w:rFonts w:ascii="IRNazanin" w:hAnsi="IRNazanin" w:eastAsia="IRNazanin" w:cs="IRNazanin"/>
          <w:lang w:bidi="fa-IR"/>
          <w:color w:val="111111"/>
          <w:sz w:val="28"/>
          <w:szCs w:val="28"/>
          <w:rtl/>
        </w:rPr>
        <w:t xml:space="preserve">۸. قم: مرکز احیاء؛ شماره نسخه: ۲۱۷۸/۲</w:t>
      </w:r>
    </w:p>
    <w:p>
      <w:pPr>
        <w:pStyle w:val="BookText"/>
      </w:pPr>
      <w:r>
        <w:rPr>
          <w:rFonts w:ascii="IRNazanin" w:hAnsi="IRNazanin" w:eastAsia="IRNazanin" w:cs="IRNazanin"/>
          <w:lang w:bidi="fa-IR"/>
          <w:color w:val="111111"/>
          <w:sz w:val="28"/>
          <w:szCs w:val="28"/>
          <w:rtl/>
        </w:rPr>
        <w:t xml:space="preserve">آغاز: للصلاة عدا ما نقص عن تسعة الدرهم البغلى من الدم غير الدماء الثلاثة و عفی عن دم القروح و الجروح مع السيلان نسخه اصل: کتابخانه امیر المومنین علیه اسلام -نجف اشرف؛ خط: نسخ، بی کا، تا: اواسط رمضان ۸۲۸ق؛ افتادگی: آغاز؛ مصحح، محشی؛۱۴۹ص (۷۲-۲۲۰) [عکسی ف: ۶-۲۲۱]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مشهد؛ رضوی؛ شماره نسخه: ۲۲۸۰</w:t>
      </w:r>
    </w:p>
    <w:p>
      <w:pPr>
        <w:pStyle w:val="BookText"/>
      </w:pPr>
      <w:r>
        <w:rPr>
          <w:rFonts w:ascii="IRNazanin" w:hAnsi="IRNazanin" w:eastAsia="IRNazanin" w:cs="IRNazanin"/>
          <w:lang w:bidi="fa-IR"/>
          <w:color w:val="111111"/>
          <w:sz w:val="28"/>
          <w:szCs w:val="28"/>
          <w:rtl/>
        </w:rPr>
        <w:t xml:space="preserve">آغاز و انجام: برابر خط: نسخ، كا: عبدالعزيز بن فضل الله، تا: شوال ۸۵۰ق؛ محشی؛ کاغذ: نخودی، جلد: مقوا رویه پارچه، ۱۶۳گ، ۱۳ و ۱۴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سم [ف: ۲۱/۱ -۲۰۳] ۱۰. تهران؛ ملی؛ شماره نسخه: ۴۵۷۲/۱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حيدر حسینی طبری، تا: ۸۶۹ق، جا: مدرسه مولانا على الحافظ الكوهمیانی؛ مصحح، محشی؛ کاغذ: فرنگی نخودی، جلد: تیماج قهوه ای روشن مقوایی، ۱۳۰گ (۱پ - ۱۳۰)، ۱۵ و ۱۷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سم [ف: ۱۹-۲۰۴]</w:t>
      </w:r>
    </w:p>
    <w:p>
      <w:pPr>
        <w:pStyle w:val="BookText"/>
      </w:pPr>
      <w:r>
        <w:rPr>
          <w:rFonts w:ascii="IRNazanin" w:hAnsi="IRNazanin" w:eastAsia="IRNazanin" w:cs="IRNazanin"/>
          <w:lang w:bidi="fa-IR"/>
          <w:color w:val="111111"/>
          <w:sz w:val="28"/>
          <w:szCs w:val="28"/>
          <w:rtl/>
        </w:rPr>
        <w:t xml:space="preserve">۱۱. قم؛ مرعشی؛ شماره نسخه:۱۲۷۲۸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۸۷۰ق؛ مصحح، محشی؛ مهر: «العبد سیف الدين بن حسين ... على بن ابیطالب ...» (دایره)؛ کاغذ: شرقی، جلد: تیماج مشکی ضربی با ترنج، ۱۰۹گ، ۱۴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[ف: ۳۲-۳۶۰]</w:t>
      </w:r>
    </w:p>
    <w:p>
      <w:pPr>
        <w:pStyle w:val="BookText"/>
      </w:pPr>
      <w:r>
        <w:rPr>
          <w:rFonts w:ascii="IRNazanin" w:hAnsi="IRNazanin" w:eastAsia="IRNazanin" w:cs="IRNazanin"/>
          <w:lang w:bidi="fa-IR"/>
          <w:color w:val="111111"/>
          <w:sz w:val="28"/>
          <w:szCs w:val="28"/>
          <w:rtl/>
        </w:rPr>
        <w:t xml:space="preserve">۱۲. قم؛ مرعشی؛ شماره نسخه: ۱۰۱۱۹/۱</w:t>
      </w:r>
    </w:p>
    <w:p>
      <w:pPr>
        <w:pStyle w:val="BookText"/>
      </w:pPr>
      <w:r>
        <w:rPr>
          <w:rFonts w:ascii="IRNazanin" w:hAnsi="IRNazanin" w:eastAsia="IRNazanin" w:cs="IRNazanin"/>
          <w:lang w:bidi="fa-IR"/>
          <w:color w:val="111111"/>
          <w:sz w:val="28"/>
          <w:szCs w:val="28"/>
          <w:rtl/>
        </w:rPr>
        <w:t xml:space="preserve">خط: نسخ معرب، كا: حسن بن حسين استر آبادی، تا: ۲۵ رمضان ۸۷۲ق؛ جلد: تیماج مشکی، ۱۱۹گ (۵پ -۱۲۳ر)، ۱۵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سم [ف: ۲۶-۸۵]</w:t>
      </w:r>
    </w:p>
    <w:p>
      <w:pPr>
        <w:pStyle w:val="BookText"/>
      </w:pPr>
      <w:r>
        <w:rPr>
          <w:rFonts w:ascii="IRNazanin" w:hAnsi="IRNazanin" w:eastAsia="IRNazanin" w:cs="IRNazanin"/>
          <w:lang w:bidi="fa-IR"/>
          <w:color w:val="111111"/>
          <w:sz w:val="28"/>
          <w:szCs w:val="28"/>
          <w:rtl/>
        </w:rPr>
        <w:t xml:space="preserve">۱۳. مشهد؛ رضوی؛ شماره نسخه: ۶۴۳۲</w:t>
      </w:r>
    </w:p>
    <w:p>
      <w:pPr>
        <w:pStyle w:val="BookText"/>
      </w:pPr>
      <w:r>
        <w:rPr>
          <w:rFonts w:ascii="IRNazanin" w:hAnsi="IRNazanin" w:eastAsia="IRNazanin" w:cs="IRNazanin"/>
          <w:lang w:bidi="fa-IR"/>
          <w:color w:val="111111"/>
          <w:sz w:val="28"/>
          <w:szCs w:val="28"/>
          <w:rtl/>
        </w:rPr>
        <w:t xml:space="preserve">آغاز و انجام: برابر خط: نسخ، كا: على بن محمد عرانزانی، تا: پنج شنبه ۱۹ ذیقعده ۸۷۸ق؛ محشی؛ واقف: مهدی قدوسی، اسفند ۱۳۱۹؛ کاغذ: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نخودی، جلد: تیماج قهوه ای، ۱۴۷گ، ۱۴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۵-۴۰۵]</w:t>
      </w:r>
    </w:p>
    <w:p>
      <w:pPr>
        <w:pStyle w:val="BookText"/>
      </w:pPr>
      <w:r>
        <w:rPr>
          <w:rFonts w:ascii="IRNazanin" w:hAnsi="IRNazanin" w:eastAsia="IRNazanin" w:cs="IRNazanin"/>
          <w:lang w:bidi="fa-IR"/>
          <w:color w:val="111111"/>
          <w:sz w:val="28"/>
          <w:szCs w:val="28"/>
          <w:rtl/>
        </w:rPr>
        <w:t xml:space="preserve">۱۴. قم؛ مرعشی؛ شماره نسخه: ۱۰۸۴۰</w:t>
      </w:r>
    </w:p>
    <w:p>
      <w:pPr>
        <w:pStyle w:val="BookText"/>
      </w:pPr>
      <w:r>
        <w:rPr>
          <w:rFonts w:ascii="IRNazanin" w:hAnsi="IRNazanin" w:eastAsia="IRNazanin" w:cs="IRNazanin"/>
          <w:lang w:bidi="fa-IR"/>
          <w:color w:val="111111"/>
          <w:sz w:val="28"/>
          <w:szCs w:val="28"/>
          <w:rtl/>
        </w:rPr>
        <w:t xml:space="preserve">خط: نسخ، كان حسين بن عزالدين بن على بن فریدون استرابادی، تا: جمادی الاول ۸۸۳ق؛ مصحح، محشی؛ جلد: تیماج سبز، ۲۱۳، ۱۴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سم [ف: ۲۷-۲۵۷]</w:t>
      </w:r>
    </w:p>
    <w:p>
      <w:pPr>
        <w:pStyle w:val="BookText"/>
      </w:pPr>
      <w:r>
        <w:rPr>
          <w:rFonts w:ascii="IRNazanin" w:hAnsi="IRNazanin" w:eastAsia="IRNazanin" w:cs="IRNazanin"/>
          <w:lang w:bidi="fa-IR"/>
          <w:color w:val="111111"/>
          <w:sz w:val="28"/>
          <w:szCs w:val="28"/>
          <w:rtl/>
        </w:rPr>
        <w:t xml:space="preserve">۱۵. قم؛ مرعشی؛ شماره نسخه:۱۱۰۷۶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حسینی، تا: شنبه اواخر ذیقعده ۸۸۵ق؛ مصحح، محشى؛ وقفنامه حجت الاسلام آقا شیخ رستم قفقازی ساکن قم که این نسخه را بر مدرسه مؤمنیه وقف کرده اند؛ مهر: کتابخانه مؤمنیه با عنوان «وقف کتابخانه عمومی مدرسه مؤمنیه، تحت نظر حضرت آیت الله العظمی مرعشی نجفی -قم کوی سفید آب» با مهر با امضای آقا محمد شفیع؛ کاغذ: خانبالغ، جلد: تیماج قهوه ای با ترنج، ۱۳۶ ، ۱۲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۸سم [ف: ۲۸-۱۱۳]</w:t>
      </w:r>
    </w:p>
    <w:p>
      <w:pPr>
        <w:pStyle w:val="BookText"/>
      </w:pPr>
      <w:r>
        <w:rPr>
          <w:rFonts w:ascii="IRNazanin" w:hAnsi="IRNazanin" w:eastAsia="IRNazanin" w:cs="IRNazanin"/>
          <w:lang w:bidi="fa-IR"/>
          <w:color w:val="111111"/>
          <w:sz w:val="28"/>
          <w:szCs w:val="28"/>
          <w:rtl/>
        </w:rPr>
        <w:t xml:space="preserve">۱۶. قم؛ مرعشی؛ شماره نسخه:۹۲۷۸</w:t>
      </w:r>
    </w:p>
    <w:p>
      <w:pPr>
        <w:pStyle w:val="BookText"/>
      </w:pPr>
      <w:r>
        <w:rPr>
          <w:rFonts w:ascii="IRNazanin" w:hAnsi="IRNazanin" w:eastAsia="IRNazanin" w:cs="IRNazanin"/>
          <w:lang w:bidi="fa-IR"/>
          <w:color w:val="111111"/>
          <w:sz w:val="28"/>
          <w:szCs w:val="28"/>
          <w:rtl/>
        </w:rPr>
        <w:t xml:space="preserve">خط: نسخ، بی کا، تا: سه شنبه اواخر ذیقعده ۸۸۵ق؛ مصحح، محشی؛ جلد: تیماج سبز، ۱۲۲گ، ۱۳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۲۴-۶۷]</w:t>
      </w:r>
    </w:p>
    <w:p>
      <w:pPr>
        <w:pStyle w:val="BookText"/>
      </w:pPr>
      <w:r>
        <w:rPr>
          <w:rFonts w:ascii="IRNazanin" w:hAnsi="IRNazanin" w:eastAsia="IRNazanin" w:cs="IRNazanin"/>
          <w:lang w:bidi="fa-IR"/>
          <w:color w:val="111111"/>
          <w:sz w:val="28"/>
          <w:szCs w:val="28"/>
          <w:rtl/>
        </w:rPr>
        <w:t xml:space="preserve">۱۷. قم؛ مرکز احیاء؛ شماره نسخه: ۳۲۷۴/۴</w:t>
      </w:r>
    </w:p>
    <w:p>
      <w:pPr>
        <w:pStyle w:val="BookText"/>
      </w:pPr>
      <w:r>
        <w:rPr>
          <w:rFonts w:ascii="IRNazanin" w:hAnsi="IRNazanin" w:eastAsia="IRNazanin" w:cs="IRNazanin"/>
          <w:lang w:bidi="fa-IR"/>
          <w:color w:val="111111"/>
          <w:sz w:val="28"/>
          <w:szCs w:val="28"/>
          <w:rtl/>
        </w:rPr>
        <w:t xml:space="preserve">خط: نسخ، بی کا، تا: اواسط شوال ۸۸۶ق؛ مصحح، محشی، در دو برگ اول دعایی از امام صادق(عليه السلام)در هلاک دشمن و تعبیر خوابی از هندیان که برای انوشیروان عادل فرستاده اند به فارسی به ترتیب حروف الفبا؛ ۱۳۷گ (۴۱پ -۱۷۷ر)، ۱۲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 محدث ارموی مخ: ۱-۲۷۵]</w:t>
      </w:r>
    </w:p>
    <w:p>
      <w:pPr>
        <w:pStyle w:val="BookText"/>
      </w:pPr>
      <w:r>
        <w:rPr>
          <w:rFonts w:ascii="IRNazanin" w:hAnsi="IRNazanin" w:eastAsia="IRNazanin" w:cs="IRNazanin"/>
          <w:lang w:bidi="fa-IR"/>
          <w:color w:val="111111"/>
          <w:sz w:val="28"/>
          <w:szCs w:val="28"/>
          <w:rtl/>
        </w:rPr>
        <w:t xml:space="preserve">۱۸. تهران؛ مجلس؛ شماره نسخه: ۹۰۶۲/۱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خط: نسخ، كان عبد الحسين بن جعفر بن حسن با تار، تا: اوایل ذیحجه ۸۸۹ق؛ مصحح، محشی با نشانی (۵)؛ مهر: کتابخانه جعفر سلطان القرایی، «مرتضی ...» (دایره)؛ خریداری از جعفر سلطان القرایی؛ کاغذ: نخودی آهار مهره، جلد: تیماج مشکی، ۱۲۴گ (۱پ -۱۲۴ر)، ۱۴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۱۷/۳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۱۲/۲ سم [ف: ۲۹/۲ -۶۸۹]</w:t>
      </w:r>
    </w:p>
    <w:p>
      <w:pPr>
        <w:pStyle w:val="BookText"/>
      </w:pPr>
      <w:r>
        <w:rPr>
          <w:rFonts w:ascii="IRNazanin" w:hAnsi="IRNazanin" w:eastAsia="IRNazanin" w:cs="IRNazanin"/>
          <w:lang w:bidi="fa-IR"/>
          <w:color w:val="111111"/>
          <w:sz w:val="28"/>
          <w:szCs w:val="28"/>
          <w:rtl/>
        </w:rPr>
        <w:t xml:space="preserve">۱۹. قم؛ مرعشی؛ شماره نسخه: ۲۰۷۴/۲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بن احمد رضوی، تا: غره ذیحجه ۸۹۵ق؛ مصحح، محشی؛ جلد: تیماج مشکی، ۸۳گ (۱۶پ -۹۸پ)، ۲۱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۶-۸۷]</w:t>
      </w:r>
    </w:p>
    <w:p>
      <w:pPr>
        <w:pStyle w:val="BookText"/>
      </w:pPr>
      <w:r>
        <w:rPr>
          <w:rFonts w:ascii="IRNazanin" w:hAnsi="IRNazanin" w:eastAsia="IRNazanin" w:cs="IRNazanin"/>
          <w:lang w:bidi="fa-IR"/>
          <w:color w:val="111111"/>
          <w:sz w:val="28"/>
          <w:szCs w:val="28"/>
          <w:rtl/>
        </w:rPr>
        <w:t xml:space="preserve">۲۰. اصفهان؛ علامه فانی (ضياء الدين)؛ شماره نسخه: ۳۰/۲</w:t>
      </w:r>
    </w:p>
    <w:p>
      <w:pPr>
        <w:pStyle w:val="BookText"/>
      </w:pPr>
      <w:r>
        <w:rPr>
          <w:rFonts w:ascii="IRNazanin" w:hAnsi="IRNazanin" w:eastAsia="IRNazanin" w:cs="IRNazanin"/>
          <w:lang w:bidi="fa-IR"/>
          <w:color w:val="111111"/>
          <w:sz w:val="28"/>
          <w:szCs w:val="28"/>
          <w:rtl/>
        </w:rPr>
        <w:t xml:space="preserve">خط: نسخ، كا: شمس الدین بن شرف الدین بهرام استر آبادی، تا: جمادی الثانی ۸۹۹ق؛ تملک: خضر بن عباس نجفی با مهر او : الواثق برب الناس خضر بن عباس» (بیضوی)؛ نشان وقف بر طلاب؛ جلد: مقوایی، ۱۲۶گ (۱۸پ -۱۴۳ر)، ۱۲سطر [سه کتابخانه اصفهان: ف: ۱۱۰]</w:t>
      </w:r>
    </w:p>
    <w:p>
      <w:pPr>
        <w:pStyle w:val="BookText"/>
      </w:pPr>
      <w:r>
        <w:rPr>
          <w:rFonts w:ascii="IRNazanin" w:hAnsi="IRNazanin" w:eastAsia="IRNazanin" w:cs="IRNazanin"/>
          <w:lang w:bidi="fa-IR"/>
          <w:color w:val="111111"/>
          <w:sz w:val="28"/>
          <w:szCs w:val="28"/>
          <w:rtl/>
        </w:rPr>
        <w:t xml:space="preserve">۲۱. یزد؛ وزیری؛ شماره نسخه: ۱۳۵۰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بی کا، تا: قرن ۱۰؛ اهدایی: محمود شیخی زاده؛ کاغذ: اصفهانی، جلد: مقوایی با تیماج عنابی، ۱۳۴ ، ۱۲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[ف: ۳-۹۳۶]</w:t>
      </w:r>
    </w:p>
    <w:p>
      <w:pPr>
        <w:pStyle w:val="BookText"/>
      </w:pPr>
      <w:r>
        <w:rPr>
          <w:rFonts w:ascii="IRNazanin" w:hAnsi="IRNazanin" w:eastAsia="IRNazanin" w:cs="IRNazanin"/>
          <w:lang w:bidi="fa-IR"/>
          <w:color w:val="111111"/>
          <w:sz w:val="28"/>
          <w:szCs w:val="28"/>
          <w:rtl/>
        </w:rPr>
        <w:t xml:space="preserve">۲۲. مشهد؛ رضوی؛ شماره نسخه:۱۶۹۹۶</w:t>
      </w:r>
    </w:p>
    <w:p>
      <w:pPr>
        <w:pStyle w:val="BookText"/>
      </w:pPr>
      <w:r>
        <w:rPr>
          <w:rFonts w:ascii="Amiri" w:hAnsi="Amiri" w:eastAsia="Amiri" w:cs="Amiri"/>
          <w:lang w:bidi="ar-SA"/>
          <w:color w:val="111111"/>
          <w:sz w:val="28"/>
          <w:szCs w:val="28"/>
          <w:rtl/>
        </w:rPr>
        <w:t xml:space="preserve">آغاز: اذا زالت الشمس الى ان يصير ظل كل شيء مثله؛ انجام: برابر</w:t>
      </w:r>
    </w:p>
    <w:p>
      <w:pPr>
        <w:pStyle w:val="BookText"/>
      </w:pPr>
      <w:r>
        <w:rPr>
          <w:rFonts w:ascii="IRNazanin" w:hAnsi="IRNazanin" w:eastAsia="IRNazanin" w:cs="IRNazanin"/>
          <w:lang w:bidi="fa-IR"/>
          <w:color w:val="111111"/>
          <w:sz w:val="28"/>
          <w:szCs w:val="28"/>
          <w:rtl/>
        </w:rPr>
        <w:t xml:space="preserve">خط: نسخ، بی کا، تا: قرن ۱۰؛ افتادگی: آغاز (از ابتدای این نسخه تا الفصل الثاني في اوقات الصلاة) و انجام (یک سطر)؛ مصحح؛ انتقالی از دانشگاه علوم اسلامی رضوی در آذر ۱۳۶۸؛ کاغذ: نخودی آهار مهره، جلد: تیماج عنابی، ۹۹گ، ۱۴ سطر، اندازه: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۱۷/۵ سم [ف: ۲۱/۱-۲۰۴]</w:t>
      </w:r>
    </w:p>
    <w:p>
      <w:pPr>
        <w:pStyle w:val="BookText"/>
      </w:pPr>
      <w:r>
        <w:rPr>
          <w:rFonts w:ascii="IRNazanin" w:hAnsi="IRNazanin" w:eastAsia="IRNazanin" w:cs="IRNazanin"/>
          <w:lang w:bidi="fa-IR"/>
          <w:color w:val="111111"/>
          <w:sz w:val="28"/>
          <w:szCs w:val="28"/>
          <w:rtl/>
        </w:rPr>
        <w:t xml:space="preserve">۲۳. مشهد؛ رضوی؛ شماره نسخه:۲۰۸۱۴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۱۰؛ مصحح، مقابله شده؛ تملك: كمال الدین حسینی در رجب ۱۰۷۷؛ اهدایی: رهبری، خرداد ۱۳۷۳؛ کاغذ: حنایی آهار مهره، جلد: مقوا، ۱۶۱گ، ۱۱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سم [ اهدائی رهبر: ۳-۱۱۵]</w:t>
      </w:r>
    </w:p>
    <w:p>
      <w:pPr>
        <w:pStyle w:val="BookText"/>
      </w:pPr>
      <w:r>
        <w:rPr>
          <w:rFonts w:ascii="IRNazanin" w:hAnsi="IRNazanin" w:eastAsia="IRNazanin" w:cs="IRNazanin"/>
          <w:lang w:bidi="fa-IR"/>
          <w:color w:val="111111"/>
          <w:sz w:val="28"/>
          <w:szCs w:val="28"/>
          <w:rtl/>
        </w:rPr>
        <w:t xml:space="preserve">۲۴. مشهد؛ رضوی؛ شماره نسخه:ض۱۴۱۳۵</w:t>
      </w:r>
    </w:p>
    <w:p>
      <w:pPr>
        <w:pStyle w:val="BookText"/>
      </w:pPr>
      <w:r>
        <w:rPr>
          <w:rFonts w:ascii="IRNazanin" w:hAnsi="IRNazanin" w:eastAsia="IRNazanin" w:cs="IRNazanin"/>
          <w:lang w:bidi="fa-IR"/>
          <w:color w:val="111111"/>
          <w:sz w:val="28"/>
          <w:szCs w:val="28"/>
          <w:rtl/>
        </w:rPr>
        <w:t xml:space="preserve">آغاز: برابر؛ انجام: و لو زادت الدية على العاقلة اجمع كان الزاید على الأمام و لو زادت العاقلة و زع بالحصص</w:t>
      </w:r>
    </w:p>
    <w:p>
      <w:pPr>
        <w:pStyle w:val="BookText"/>
      </w:pPr>
      <w:r>
        <w:rPr>
          <w:rFonts w:ascii="IRNazanin" w:hAnsi="IRNazanin" w:eastAsia="IRNazanin" w:cs="IRNazanin"/>
          <w:lang w:bidi="fa-IR"/>
          <w:color w:val="111111"/>
          <w:sz w:val="28"/>
          <w:szCs w:val="28"/>
          <w:rtl/>
        </w:rPr>
        <w:t xml:space="preserve">خط: نسخ، بی کا، تا: قرن ۱۰؛ افتادگی: انجام (چهار پنج سطر از انتهای آن ساقط)؛ مصحح؛ واقف: فاضل خان، سال ۱۰۶۵ق، کاغذ: نخودی آهار مهره، جلد: تیماج مشکی، ۱۰۷گ، ۱۲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۲۰۵۲۱/۱ ]</w:t>
      </w:r>
    </w:p>
    <w:p>
      <w:pPr>
        <w:pStyle w:val="BookText"/>
      </w:pPr>
      <w:r>
        <w:rPr>
          <w:rFonts w:ascii="IRNazanin" w:hAnsi="IRNazanin" w:eastAsia="IRNazanin" w:cs="IRNazanin"/>
          <w:lang w:bidi="fa-IR"/>
          <w:color w:val="111111"/>
          <w:sz w:val="28"/>
          <w:szCs w:val="28"/>
          <w:rtl/>
        </w:rPr>
        <w:t xml:space="preserve">۲۵. تهران: حقوق؛ شماره نسخه:۲۷-د</w:t>
      </w:r>
    </w:p>
    <w:p>
      <w:pPr>
        <w:pStyle w:val="BookText"/>
      </w:pPr>
      <w:r>
        <w:rPr>
          <w:rFonts w:ascii="IRNazanin" w:hAnsi="IRNazanin" w:eastAsia="IRNazanin" w:cs="IRNazanin"/>
          <w:lang w:bidi="fa-IR"/>
          <w:color w:val="111111"/>
          <w:sz w:val="28"/>
          <w:szCs w:val="28"/>
          <w:rtl/>
        </w:rPr>
        <w:t xml:space="preserve">طهارة؛ خط: نسخ، كا: حسین بن على بن اسمعیل سپاهانی، تا: ۵ صفر ۱۳۷ق؛ افتادگی: آغاز؛ بلاغ دارد؛ کاغذ: سپاهانی، جلد: تیماج سرخ، ۹۹گ، ۱۵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۲۸۱]</w:t>
      </w:r>
    </w:p>
    <w:p>
      <w:pPr>
        <w:pStyle w:val="BookText"/>
      </w:pPr>
      <w:r>
        <w:rPr>
          <w:rFonts w:ascii="IRNazanin" w:hAnsi="IRNazanin" w:eastAsia="IRNazanin" w:cs="IRNazanin"/>
          <w:lang w:bidi="fa-IR"/>
          <w:color w:val="111111"/>
          <w:sz w:val="28"/>
          <w:szCs w:val="28"/>
          <w:rtl/>
        </w:rPr>
        <w:t xml:space="preserve">۲۶. مشهد؛ رضوی؛ شماره نسخه:۲۶۱۵۴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خفي، كا: محمد بن طهماسب قلی، تا: ۹۵۷ق؛ کاغذ: نخودی آهاری، جلد: مقوا با عطف تیماج، ۱۲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[رایانه]</w:t>
      </w:r>
    </w:p>
    <w:p>
      <w:pPr>
        <w:pStyle w:val="BookText"/>
      </w:pPr>
      <w:r>
        <w:rPr>
          <w:rFonts w:ascii="IRNazanin" w:hAnsi="IRNazanin" w:eastAsia="IRNazanin" w:cs="IRNazanin"/>
          <w:lang w:bidi="fa-IR"/>
          <w:color w:val="111111"/>
          <w:sz w:val="28"/>
          <w:szCs w:val="28"/>
          <w:rtl/>
        </w:rPr>
        <w:t xml:space="preserve">۲۷. تهران؛ مجلس؛ شماره نسخه:۵۳۹۶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اسمعيل بن علاء الدین دیلمی جهرمی، تا: پنج شنبه ۱۶ جمادی الاول ۹۶۱ق؛ دارای بلاغ؛ تملک: محمد مهدی در ۱۲۲۱، ابو جعفر بن ابو محمد حسین؛ مهر: «بنده آل علی میرزا خان»؛ کاغذ: سپاهانی، جلد: تیماج مشکی، ۱۲۰گ، ۱۴سطر،
</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اندازه: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۱۹/۵ سم [ف: ۱۶-۳۰۲]</w:t>
      </w:r>
    </w:p>
    <w:p>
      <w:pPr>
        <w:pStyle w:val="BookText"/>
      </w:pPr>
      <w:r>
        <w:rPr>
          <w:rFonts w:ascii="IRNazanin" w:hAnsi="IRNazanin" w:eastAsia="IRNazanin" w:cs="IRNazanin"/>
          <w:lang w:bidi="fa-IR"/>
          <w:color w:val="111111"/>
          <w:sz w:val="28"/>
          <w:szCs w:val="28"/>
          <w:rtl/>
        </w:rPr>
        <w:t xml:space="preserve">۲۸. تهران؛ ملک؛ شماره نسخه: ۱۵۵۹/۲</w:t>
      </w:r>
    </w:p>
    <w:p>
      <w:pPr>
        <w:pStyle w:val="BookText"/>
      </w:pPr>
      <w:r>
        <w:rPr>
          <w:rFonts w:ascii="IRNazanin" w:hAnsi="IRNazanin" w:eastAsia="IRNazanin" w:cs="IRNazanin"/>
          <w:lang w:bidi="fa-IR"/>
          <w:color w:val="111111"/>
          <w:sz w:val="28"/>
          <w:szCs w:val="28"/>
          <w:rtl/>
        </w:rPr>
        <w:t xml:space="preserve">خط: نسخ، كا: شاه ملا پسر بابا جان مشهدی، تا: ۱۱ رمضان ۹۶۵ق؛ کاغذ: پسته ای، جلد: رویه کاغذی، ۱۹ سطر [ف: ۵-۲۸۹]</w:t>
      </w:r>
    </w:p>
    <w:p>
      <w:pPr>
        <w:pStyle w:val="BookText"/>
      </w:pPr>
      <w:r>
        <w:rPr>
          <w:rFonts w:ascii="IRNazanin" w:hAnsi="IRNazanin" w:eastAsia="IRNazanin" w:cs="IRNazanin"/>
          <w:lang w:bidi="fa-IR"/>
          <w:color w:val="111111"/>
          <w:sz w:val="28"/>
          <w:szCs w:val="28"/>
          <w:rtl/>
        </w:rPr>
        <w:t xml:space="preserve">۲۹. تهران؛ الهیات؛ شماره نسخه: ۵۸۳/۱</w:t>
      </w:r>
    </w:p>
    <w:p>
      <w:pPr>
        <w:pStyle w:val="BookText"/>
      </w:pPr>
      <w:r>
        <w:rPr>
          <w:rFonts w:ascii="IRNazanin" w:hAnsi="IRNazanin" w:eastAsia="IRNazanin" w:cs="IRNazanin"/>
          <w:lang w:bidi="fa-IR"/>
          <w:color w:val="111111"/>
          <w:sz w:val="28"/>
          <w:szCs w:val="28"/>
          <w:rtl/>
        </w:rPr>
        <w:t xml:space="preserve">خط: نسخ، كا: محمد بن محمود بن محمد علوی، تا: صفر ۹۶۷ق؛ برگ هایی از کتاب طهارت افتاده؛ با سرلوح، مجدول ، محشی با نشان «ع ل، کنز العرفان، ذکری، نجاریه، تحریر، مجمل، نافع، ارشاد، صحاح، قواعد، لكاتبه، آب، مختصر، رس، ش»؛ کاغذ: اصفهانی، جلد: تیماج مشکی، اگ (۲پ -۲پ)، ۱۰ سطر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w:t>
      </w:r>
    </w:p>
    <w:p>
      <w:pPr>
        <w:pStyle w:val="BookText"/>
      </w:pPr>
      <w:r>
        <w:rPr>
          <w:rFonts w:ascii="IRNazanin" w:hAnsi="IRNazanin" w:eastAsia="IRNazanin" w:cs="IRNazanin"/>
          <w:lang w:bidi="fa-IR"/>
          <w:color w:val="111111"/>
          <w:sz w:val="28"/>
          <w:szCs w:val="28"/>
          <w:rtl/>
        </w:rPr>
        <w:t xml:space="preserve">سم [ف: ۳۳۶]</w:t>
      </w:r>
    </w:p>
    <w:p>
      <w:pPr>
        <w:pStyle w:val="BookText"/>
      </w:pPr>
      <w:r>
        <w:rPr>
          <w:rFonts w:ascii="IRNazanin" w:hAnsi="IRNazanin" w:eastAsia="IRNazanin" w:cs="IRNazanin"/>
          <w:lang w:bidi="fa-IR"/>
          <w:color w:val="111111"/>
          <w:sz w:val="28"/>
          <w:szCs w:val="28"/>
          <w:rtl/>
        </w:rPr>
        <w:t xml:space="preserve">۳۰. قم: مرکز احیاء؛ شماره نسخه:۱۴۸۳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۹۷۲ق؛ مصحح، محشی؛ جلد: تیماج قهوه ای، ۲۵۳ گ، ۱۱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۴-۳۲۴]</w:t>
      </w:r>
    </w:p>
    <w:p>
      <w:pPr>
        <w:pStyle w:val="BookText"/>
      </w:pPr>
      <w:r>
        <w:rPr>
          <w:rFonts w:ascii="IRNazanin" w:hAnsi="IRNazanin" w:eastAsia="IRNazanin" w:cs="IRNazanin"/>
          <w:lang w:bidi="fa-IR"/>
          <w:color w:val="111111"/>
          <w:sz w:val="28"/>
          <w:szCs w:val="28"/>
          <w:rtl/>
        </w:rPr>
        <w:t xml:space="preserve">۳۱. مشهد؛ رضوی؛ شماره نسخه:۲۲۷۹</w:t>
      </w:r>
    </w:p>
    <w:p>
      <w:pPr>
        <w:pStyle w:val="BookText"/>
      </w:pPr>
      <w:r>
        <w:rPr>
          <w:rFonts w:ascii="IRNazanin" w:hAnsi="IRNazanin" w:eastAsia="IRNazanin" w:cs="IRNazanin"/>
          <w:lang w:bidi="fa-IR"/>
          <w:color w:val="111111"/>
          <w:sz w:val="28"/>
          <w:szCs w:val="28"/>
          <w:rtl/>
        </w:rPr>
        <w:t xml:space="preserve">آغاز و انجام: برابر خط: نسخ، كا: محمد بن علی نیمدهی، تا: ۹۷۷ق؛ از نسخه مورخ جمعه هفتم شعبان ۹۱۹ استنساخ شده؛ واقف: امیر جبرئیل، ۱۰۳۷؛ کاغذ: نخودی آهار مهره، جلد: تیماج قهوه ای، ۱۳۰گ، ۱۱-۱۳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۲۱/۱ -۲۰۲</w:t>
      </w:r>
    </w:p>
    <w:p>
      <w:pPr>
        <w:pStyle w:val="BookText"/>
      </w:pPr>
      <w:r>
        <w:rPr>
          <w:rFonts w:ascii="IRNazanin" w:hAnsi="IRNazanin" w:eastAsia="IRNazanin" w:cs="IRNazanin"/>
          <w:lang w:bidi="fa-IR"/>
          <w:color w:val="111111"/>
          <w:sz w:val="28"/>
          <w:szCs w:val="28"/>
          <w:rtl/>
        </w:rPr>
        <w:t xml:space="preserve">۳۲. شیراز؛ علامه طباطبائی؛ شماره نسخه:۱۵۴۲</w:t>
      </w:r>
    </w:p>
    <w:p>
      <w:pPr>
        <w:pStyle w:val="BookText"/>
      </w:pPr>
      <w:r>
        <w:rPr>
          <w:rFonts w:ascii="IRNazanin" w:hAnsi="IRNazanin" w:eastAsia="IRNazanin" w:cs="IRNazanin"/>
          <w:lang w:bidi="fa-IR"/>
          <w:color w:val="111111"/>
          <w:sz w:val="28"/>
          <w:szCs w:val="28"/>
          <w:rtl/>
        </w:rPr>
        <w:t xml:space="preserve">خط: نسخ، كا: عبدالمحسن بن مولانا عطاء الله آملی، تا: ۹۷۷ق؛ مصحح، مقابله شده در ۱۵ رمضان ۱۱۸۸ توسط محمد نصیر بن نورالدین؛ اندازه: ۱۴/۵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سم [ نسخه پژوهی: ۲-۱۲۱)</w:t>
      </w:r>
    </w:p>
    <w:p>
      <w:pPr>
        <w:pStyle w:val="BookText"/>
      </w:pPr>
      <w:r>
        <w:rPr>
          <w:rFonts w:ascii="IRNazanin" w:hAnsi="IRNazanin" w:eastAsia="IRNazanin" w:cs="IRNazanin"/>
          <w:lang w:bidi="fa-IR"/>
          <w:color w:val="111111"/>
          <w:sz w:val="28"/>
          <w:szCs w:val="28"/>
          <w:rtl/>
        </w:rPr>
        <w:t xml:space="preserve">۳۳. تهران؛ سپهسالار؛ شماره نسخه:۲۵۵۳</w:t>
      </w:r>
    </w:p>
    <w:p>
      <w:pPr>
        <w:pStyle w:val="BookText"/>
      </w:pPr>
      <w:r>
        <w:rPr>
          <w:rFonts w:ascii="IRNazanin" w:hAnsi="IRNazanin" w:eastAsia="IRNazanin" w:cs="IRNazanin"/>
          <w:lang w:bidi="fa-IR"/>
          <w:color w:val="111111"/>
          <w:sz w:val="28"/>
          <w:szCs w:val="28"/>
          <w:rtl/>
        </w:rPr>
        <w:t xml:space="preserve">آغاز: برابر خط: نسخ خوب، بی کا، تا: ۹۷۷ق؛ محشی بدون امضاء و نقل از مهذب و قواعد و نزهة العابدین و تنقیح و ارشاد و مختصر مصباح و تحریر و مختصر نافع و ایضاح و غیره؛ واقف: سپهسالار؛ کاغذ: اصفهانی، جلد: تیماج، ۱۲۰ص، ۱۵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سم [ف:</w:t>
      </w:r>
    </w:p>
    <w:p>
      <w:pPr>
        <w:pStyle w:val="BookText"/>
      </w:pPr>
      <w:r>
        <w:rPr>
          <w:rFonts w:ascii="IRNazanin" w:hAnsi="IRNazanin" w:eastAsia="IRNazanin" w:cs="IRNazanin"/>
          <w:lang w:bidi="fa-IR"/>
          <w:color w:val="111111"/>
          <w:sz w:val="28"/>
          <w:szCs w:val="28"/>
          <w:rtl/>
        </w:rPr>
        <w:t xml:space="preserve">۳۷۰-۱ ]</w:t>
      </w:r>
    </w:p>
    <w:p>
      <w:pPr>
        <w:pStyle w:val="BookText"/>
      </w:pPr>
      <w:r>
        <w:rPr>
          <w:rFonts w:ascii="IRNazanin" w:hAnsi="IRNazanin" w:eastAsia="IRNazanin" w:cs="IRNazanin"/>
          <w:lang w:bidi="fa-IR"/>
          <w:color w:val="111111"/>
          <w:sz w:val="28"/>
          <w:szCs w:val="28"/>
          <w:rtl/>
        </w:rPr>
        <w:t xml:space="preserve">۳۴. مشهد؛ رضوی، شماره نسخه:۱۴۵۰۶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على عریضی حسینی جزی اصفهانی، تا: ۹۸۹ق؛ محشي غالبا با رمز «ع ل»، مصدر به بعضی از صيغ النكاح و میزان الأوزان؛ واقف: سید محمد باقر سبزواری، محرم ۱۴۰۵؛ کاغذ: نخودی آهار مهره، جلد: تیماج مشکی، ۱۰۲گ، ۱۹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۲۱/۱ -۲۰۱]</w:t>
      </w:r>
    </w:p>
    <w:p>
      <w:pPr>
        <w:pStyle w:val="BookText"/>
      </w:pPr>
      <w:r>
        <w:rPr>
          <w:rFonts w:ascii="IRNazanin" w:hAnsi="IRNazanin" w:eastAsia="IRNazanin" w:cs="IRNazanin"/>
          <w:lang w:bidi="fa-IR"/>
          <w:color w:val="111111"/>
          <w:sz w:val="28"/>
          <w:szCs w:val="28"/>
          <w:rtl/>
        </w:rPr>
        <w:t xml:space="preserve">۳۵. مشهد؛ رضوی؛ شماره نسخه:۱۶۹۹۵</w:t>
      </w:r>
    </w:p>
    <w:p>
      <w:pPr>
        <w:pStyle w:val="BookText"/>
      </w:pPr>
      <w:r>
        <w:rPr>
          <w:rFonts w:ascii="Amiri" w:hAnsi="Amiri" w:eastAsia="Amiri" w:cs="Amiri"/>
          <w:lang w:bidi="ar-SA"/>
          <w:color w:val="111111"/>
          <w:sz w:val="28"/>
          <w:szCs w:val="28"/>
          <w:rtl/>
        </w:rPr>
        <w:t xml:space="preserve">آغاز: المياء الماء على ضربين مطلق و مضاف فالمطلق ما يستحق اطلاق اسم الماء عليه؛ انجام: ان لم يكن له مال و يقسط الدية على الأقرب و الأقرب تقديرها على الإمام</w:t>
      </w:r>
    </w:p>
    <w:p>
      <w:pPr>
        <w:pStyle w:val="BookText"/>
      </w:pPr>
      <w:r>
        <w:rPr>
          <w:rFonts w:ascii="IRNazanin" w:hAnsi="IRNazanin" w:eastAsia="IRNazanin" w:cs="IRNazanin"/>
          <w:lang w:bidi="fa-IR"/>
          <w:color w:val="111111"/>
          <w:sz w:val="28"/>
          <w:szCs w:val="28"/>
          <w:rtl/>
        </w:rPr>
        <w:t xml:space="preserve">تبصرة المتعلمين ۸۷۳ خط: نسخ، بی کا، تا: قرن ۱۱؛ افتادگی: آغاز ( یک برگ) و انجام یک برگ)؛ انتقالی از دانشگاه علوم اسلامی رضوی در آذر ۱۳۶۸؛ کاغذ: نخودی آهار مهره، جلد: تیماج ضربی، ۱۱۳گ، ۱۵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۱۳/۷ سم [ف: ۲۱/۱ -۲۰۶]</w:t>
      </w:r>
    </w:p>
    <w:p>
      <w:pPr>
        <w:pStyle w:val="BookText"/>
      </w:pPr>
      <w:r>
        <w:rPr>
          <w:rFonts w:ascii="IRNazanin" w:hAnsi="IRNazanin" w:eastAsia="IRNazanin" w:cs="IRNazanin"/>
          <w:lang w:bidi="fa-IR"/>
          <w:color w:val="111111"/>
          <w:sz w:val="28"/>
          <w:szCs w:val="28"/>
          <w:rtl/>
        </w:rPr>
        <w:t xml:space="preserve">۳۶. مشهد؛ نواب؛ شماره نسخه: ۳۰۰</w:t>
      </w:r>
    </w:p>
    <w:p>
      <w:pPr>
        <w:pStyle w:val="BookText"/>
      </w:pPr>
      <w:r>
        <w:rPr>
          <w:rFonts w:ascii="IRNazanin" w:hAnsi="IRNazanin" w:eastAsia="IRNazanin" w:cs="IRNazanin"/>
          <w:lang w:bidi="fa-IR"/>
          <w:color w:val="111111"/>
          <w:sz w:val="28"/>
          <w:szCs w:val="28"/>
          <w:rtl/>
        </w:rPr>
        <w:t xml:space="preserve">آغاز: بسمله الحمدلله القديم سلطانه العظيم شانه ... اما بعد فهذا الكتاب الموسوم؛ انجام: و في سلس البول الدية و في الصوت الديه. خط: نسخ، بی کا، تا: قرن ۱۱؛ افتادگی: انجام؛ معلق به حواشی: «ه ق»؛ تملك: على محمد بن حاجی محمد شريف عربی استرابادی؛</w:t>
      </w:r>
    </w:p>
    <w:p>
      <w:pPr>
        <w:pStyle w:val="BookText"/>
      </w:pPr>
      <w:r>
        <w:rPr>
          <w:rFonts w:ascii="IRNazanin" w:hAnsi="IRNazanin" w:eastAsia="IRNazanin" w:cs="IRNazanin"/>
          <w:lang w:bidi="fa-IR"/>
          <w:color w:val="111111"/>
          <w:sz w:val="28"/>
          <w:szCs w:val="28"/>
          <w:rtl/>
        </w:rPr>
        <w:t xml:space="preserve">جلد: مقوا، ۱۳۷، ۱۲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سم [ف: ۲۴۹]</w:t>
      </w:r>
    </w:p>
    <w:p>
      <w:pPr>
        <w:pStyle w:val="BookText"/>
      </w:pPr>
      <w:r>
        <w:rPr>
          <w:rFonts w:ascii="IRNazanin" w:hAnsi="IRNazanin" w:eastAsia="IRNazanin" w:cs="IRNazanin"/>
          <w:lang w:bidi="fa-IR"/>
          <w:color w:val="111111"/>
          <w:sz w:val="28"/>
          <w:szCs w:val="28"/>
          <w:rtl/>
        </w:rPr>
        <w:t xml:space="preserve">۳۷. قم؛ مرکز احیاء؛ شماره نسخه:۲۳۹۸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كلب على، تا: جمعه ۷ شعبان ۱۰۲۸ق؛ مصحح، محشی؛ مهر: «يا رفيع الدرجات» (مربع)؛ جلد: تیماج قهوه ای عطف تیماج مشکی، ۱۲۰گ، ۱۵ سطر، اندازه:</w:t>
      </w:r>
    </w:p>
    <w:p>
      <w:pPr>
        <w:pStyle w:val="BookText"/>
      </w:pPr>
      <w:r>
        <w:rPr>
          <w:rFonts w:ascii="IRNazanin" w:hAnsi="IRNazanin" w:eastAsia="IRNazanin" w:cs="IRNazanin"/>
          <w:lang w:bidi="fa-IR"/>
          <w:color w:val="111111"/>
          <w:sz w:val="28"/>
          <w:szCs w:val="28"/>
          <w:rtl/>
        </w:rPr>
        <w:t xml:space="preserve">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[محدث ارموی مخ: ۱-۲۷۴]</w:t>
      </w:r>
    </w:p>
    <w:p>
      <w:pPr>
        <w:pStyle w:val="BookText"/>
      </w:pPr>
      <w:r>
        <w:rPr>
          <w:rFonts w:ascii="IRNazanin" w:hAnsi="IRNazanin" w:eastAsia="IRNazanin" w:cs="IRNazanin"/>
          <w:lang w:bidi="fa-IR"/>
          <w:color w:val="111111"/>
          <w:sz w:val="28"/>
          <w:szCs w:val="28"/>
          <w:rtl/>
        </w:rPr>
        <w:t xml:space="preserve">۳۸. قم؛ گلپایگانی؛ شماره نسخه:۲۰۵۳- ۱۱/۱۵۳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سه شنبه ۱۱ شعبان ۱۰۳۸ق؛ جلد: مقوا عطف پارچه آبی، ۷۱گ، ۱۹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۲-۷۱۱]</w:t>
      </w:r>
    </w:p>
    <w:p>
      <w:pPr>
        <w:pStyle w:val="BookText"/>
      </w:pPr>
      <w:r>
        <w:rPr>
          <w:rFonts w:ascii="IRNazanin" w:hAnsi="IRNazanin" w:eastAsia="IRNazanin" w:cs="IRNazanin"/>
          <w:lang w:bidi="fa-IR"/>
          <w:color w:val="111111"/>
          <w:sz w:val="28"/>
          <w:szCs w:val="28"/>
          <w:rtl/>
        </w:rPr>
        <w:t xml:space="preserve">۳۹. تهران: مجلس؛ شماره نسخه:۴۲۵۴</w:t>
      </w:r>
    </w:p>
    <w:p>
      <w:pPr>
        <w:pStyle w:val="BookText"/>
      </w:pPr>
      <w:r>
        <w:rPr>
          <w:rFonts w:ascii="IRNazanin" w:hAnsi="IRNazanin" w:eastAsia="IRNazanin" w:cs="IRNazanin"/>
          <w:lang w:bidi="fa-IR"/>
          <w:color w:val="111111"/>
          <w:sz w:val="28"/>
          <w:szCs w:val="28"/>
          <w:rtl/>
        </w:rPr>
        <w:t xml:space="preserve">آغاز و انجام: برابر از آغاز کتاب «طهارت» تا پایان کتاب «قصاص»؛ خط: نسخ، كا: محمد زمان بن على، تا: چهارشنبه ۱۳ ذیقعده ۱۰۶۰ق؛ مهر: «حاج سید نصرالله تقوی»؛ کاغذ: اصفهانی، جلد: قهوه ای، ۱۲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۴/۵ )،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۱۱-۲۶۹]</w:t>
      </w:r>
    </w:p>
    <w:p>
      <w:pPr>
        <w:pStyle w:val="BookText"/>
      </w:pPr>
      <w:r>
        <w:rPr>
          <w:rFonts w:ascii="IRNazanin" w:hAnsi="IRNazanin" w:eastAsia="IRNazanin" w:cs="IRNazanin"/>
          <w:lang w:bidi="fa-IR"/>
          <w:color w:val="111111"/>
          <w:sz w:val="28"/>
          <w:szCs w:val="28"/>
          <w:rtl/>
        </w:rPr>
        <w:t xml:space="preserve">۴۰. قم؛ مسجد اعظم؛ شماره نسخه: ۲۰۸۹/۱</w:t>
      </w:r>
    </w:p>
    <w:p>
      <w:pPr>
        <w:pStyle w:val="BookText"/>
      </w:pPr>
      <w:r>
        <w:rPr>
          <w:rFonts w:ascii="IRNazanin" w:hAnsi="IRNazanin" w:eastAsia="IRNazanin" w:cs="IRNazanin"/>
          <w:lang w:bidi="fa-IR"/>
          <w:color w:val="111111"/>
          <w:sz w:val="28"/>
          <w:szCs w:val="28"/>
          <w:rtl/>
        </w:rPr>
        <w:t xml:space="preserve">آغاز: الأول الجاري کمياه الأنهار ولا ينجس بوقوع النجاسة فيها مالم يتغير طعمه اولونه او را يحته بها فان تغیر نجس المتغير خاصة دون ما قبله ومابعده وحكم ماء الغيث حال؛ انجام: برابر از میانه طهارت تا پایان؛ خط: نسخ، كان اسمعیل بن عبدالحسین بحرانی (بحرانی اصلا و الجزایر مولد و اصفهان مسکن)، تا: ۲۵ جمادی الاول ۱۰۶۸ق؛ افتادگی: آغاز؛ مصحح، محشی؛ جلد: تیماج سرخ با عطف تیماج قهوه ای، ۱۹۷گ، ۹ سطر، اندازه:</w:t>
      </w:r>
    </w:p>
    <w:p>
      <w:pPr>
        <w:pStyle w:val="BookText"/>
      </w:pPr>
      <w:r>
        <w:rPr>
          <w:rFonts w:ascii="IRNazanin" w:hAnsi="IRNazanin" w:eastAsia="IRNazanin" w:cs="IRNazanin"/>
          <w:lang w:bidi="fa-IR"/>
          <w:color w:val="111111"/>
          <w:sz w:val="28"/>
          <w:szCs w:val="28"/>
          <w:rtl/>
        </w:rPr>
        <w:t xml:space="preserve">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مخ: ۱-۳۲۰]</w:t>
      </w:r>
    </w:p>
    <w:p>
      <w:pPr>
        <w:pStyle w:val="BookText"/>
      </w:pPr>
      <w:r>
        <w:rPr>
          <w:rFonts w:ascii="IRNazanin" w:hAnsi="IRNazanin" w:eastAsia="IRNazanin" w:cs="IRNazanin"/>
          <w:lang w:bidi="fa-IR"/>
          <w:color w:val="111111"/>
          <w:sz w:val="28"/>
          <w:szCs w:val="28"/>
          <w:rtl/>
        </w:rPr>
        <w:t xml:space="preserve">۴۱. تهران؛ ملک؛ شماره نسخه:۲۷۸۹</w:t>
      </w:r>
    </w:p>
    <w:p>
      <w:pPr>
        <w:pStyle w:val="BookText"/>
      </w:pPr>
      <w:r>
        <w:rPr>
          <w:rFonts w:ascii="IRNazanin" w:hAnsi="IRNazanin" w:eastAsia="IRNazanin" w:cs="IRNazanin"/>
          <w:lang w:bidi="fa-IR"/>
          <w:color w:val="111111"/>
          <w:sz w:val="28"/>
          <w:szCs w:val="28"/>
          <w:rtl/>
        </w:rPr>
        <w:t xml:space="preserve">خط: نسخ، كا: میرزا شريف سلامی، تا: ۱۶ ذیحجه ۱۰۷۱ق؛ تملک: محمد علی در ۱۳۰۶؛ کاغذ: فستقی، جلد: میشن تریاکی، ۱۱۱گ، ۱۴ سطر، اندازه: 15/1</w:t>
      </w: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۲۰سم [ف: ۱-۸۰]</w:t>
      </w:r>
    </w:p>
    <w:p>
      <w:pPr>
        <w:pStyle w:val="BookText"/>
      </w:pPr>
      <w:r>
        <w:rPr>
          <w:rFonts w:ascii="IRNazanin" w:hAnsi="IRNazanin" w:eastAsia="IRNazanin" w:cs="IRNazanin"/>
          <w:lang w:bidi="fa-IR"/>
          <w:color w:val="111111"/>
          <w:sz w:val="28"/>
          <w:szCs w:val="28"/>
          <w:rtl/>
        </w:rPr>
        <w:t xml:space="preserve">۴۲. مشهد؛ الهیات؛ شماره نسخه:۱۸۸۴۳/۴</w:t>
      </w:r>
    </w:p>
    <w:p>
      <w:pPr>
        <w:pStyle w:val="BookText"/>
      </w:pPr>
      <w:r>
        <w:rPr>
          <w:rFonts w:ascii="IRNazanin" w:hAnsi="IRNazanin" w:eastAsia="IRNazanin" w:cs="IRNazanin"/>
          <w:lang w:bidi="fa-IR"/>
          <w:color w:val="111111"/>
          <w:sz w:val="28"/>
          <w:szCs w:val="28"/>
          <w:rtl/>
        </w:rPr>
        <w:t xml:space="preserve">خط: نستعلیق، کا: محمد تقی بن میران قمی، تا: ۱۰۸۰ق؛ جلد: مقوا با روکش کاغذ سفید عطف پارچه ای، ۱۴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
</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سم [ف: ۲-۲۵۸]</w:t>
      </w:r>
    </w:p>
    <w:p>
      <w:pPr>
        <w:pStyle w:val="BookText"/>
      </w:pPr>
      <w:r>
        <w:rPr>
          <w:rFonts w:ascii="IRNazanin" w:hAnsi="IRNazanin" w:eastAsia="IRNazanin" w:cs="IRNazanin"/>
          <w:lang w:bidi="fa-IR"/>
          <w:color w:val="111111"/>
          <w:sz w:val="28"/>
          <w:szCs w:val="28"/>
          <w:rtl/>
        </w:rPr>
        <w:t xml:space="preserve">۴۳. قم؛ مسجد اعظم، شماره نسخه:۲۶۱۹</w:t>
      </w:r>
    </w:p>
    <w:p>
      <w:pPr>
        <w:pStyle w:val="BookText"/>
      </w:pPr>
      <w:r>
        <w:rPr>
          <w:rFonts w:ascii="IRNazanin" w:hAnsi="IRNazanin" w:eastAsia="IRNazanin" w:cs="IRNazanin"/>
          <w:lang w:bidi="fa-IR"/>
          <w:color w:val="111111"/>
          <w:sz w:val="28"/>
          <w:szCs w:val="28"/>
          <w:rtl/>
        </w:rPr>
        <w:t xml:space="preserve">آغاز: الأول الجاري کمياه الأنهار ولا ينجس بما يقع فيه من النجاسة فيها مالم يتغير لونه او طعمه او را يحته؛ انجام: برابر خط: نسخ، كان محمد طاهر بن محمد رضا اصفهانی، تا: ۲۵  ذیقعده ۱۰۸۵ق؛ افتادگی: آغاز؛ مصحح؛ جلد: تیماج قهوه ای، ۱۰۲گ، ۱۷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مخ: ۱-۳۲۰]</w:t>
      </w:r>
    </w:p>
    <w:p>
      <w:pPr>
        <w:pStyle w:val="BookText"/>
      </w:pPr>
      <w:r>
        <w:rPr>
          <w:rFonts w:ascii="IRNazanin" w:hAnsi="IRNazanin" w:eastAsia="IRNazanin" w:cs="IRNazanin"/>
          <w:lang w:bidi="fa-IR"/>
          <w:color w:val="111111"/>
          <w:sz w:val="28"/>
          <w:szCs w:val="28"/>
          <w:rtl/>
        </w:rPr>
        <w:t xml:space="preserve">۴۴. قم؛ مسجد اعظم؛ شماره نسخه:۳۳۰۹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سکندر علی، تا: قرن ۱۲؛ محشي بلند فارسی در هامش برخی صفحات؛ تملک: محمد علی بن عبدالله هرندی در ۱۲۳۷ق؛ جلد: تیماج قهوه ای با ترنج و با سر، ۱۶۱گ، ۹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سم آف مخ: ۱-۳۲۰]</w:t>
      </w:r>
    </w:p>
    <w:p>
      <w:pPr>
        <w:pStyle w:val="BookText"/>
      </w:pPr>
      <w:r>
        <w:rPr>
          <w:rFonts w:ascii="IRNazanin" w:hAnsi="IRNazanin" w:eastAsia="IRNazanin" w:cs="IRNazanin"/>
          <w:lang w:bidi="fa-IR"/>
          <w:color w:val="111111"/>
          <w:sz w:val="28"/>
          <w:szCs w:val="28"/>
          <w:rtl/>
        </w:rPr>
        <w:t xml:space="preserve">۴۵. تهران؛ سپهسالار؛ شماره نسخه:۵۹۰۸</w:t>
      </w:r>
    </w:p>
    <w:p>
      <w:pPr>
        <w:pStyle w:val="BookText"/>
      </w:pPr>
      <w:r>
        <w:rPr>
          <w:rFonts w:ascii="IRNazanin" w:hAnsi="IRNazanin" w:eastAsia="IRNazanin" w:cs="IRNazanin"/>
          <w:lang w:bidi="fa-IR"/>
          <w:color w:val="111111"/>
          <w:sz w:val="28"/>
          <w:szCs w:val="28"/>
          <w:rtl/>
        </w:rPr>
        <w:t xml:space="preserve">خط: نسخ، بی کا، تا: قرن ۱۲؛ کاغذ: فرنگی سفید، جلد: تیماج حنایی، ۱۲۷گ، ۱۲ 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[ف: ۳-۳۱۱]</w:t>
      </w:r>
    </w:p>
    <w:p>
      <w:pPr>
        <w:pStyle w:val="BookText"/>
      </w:pPr>
      <w:r>
        <w:rPr>
          <w:rFonts w:ascii="IRNazanin" w:hAnsi="IRNazanin" w:eastAsia="IRNazanin" w:cs="IRNazanin"/>
          <w:lang w:bidi="fa-IR"/>
          <w:color w:val="111111"/>
          <w:sz w:val="28"/>
          <w:szCs w:val="28"/>
          <w:rtl/>
        </w:rPr>
        <w:t xml:space="preserve">۴۶. مشهد؛ رضوی؛ شماره نسخه:۲۲۸۲۸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۱۲، ؛ محشی؛ واقف: مرحوم آية اللهی شیرازی، اسفند ۱۳۷۴، کاغذ: نخودی آهار مهره، جلد: تیماج مزین به ترنج و سرترنج، ۱۸۲گ، ۱۱ سطر، اندازه: ۱۴/۵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۲۱/۱ -۲۰۳]</w:t>
      </w:r>
    </w:p>
    <w:p>
      <w:pPr>
        <w:pStyle w:val="BookText"/>
      </w:pPr>
      <w:r>
        <w:rPr>
          <w:rFonts w:ascii="Amiri" w:hAnsi="Amiri" w:eastAsia="Amiri" w:cs="Amiri"/>
          <w:lang w:bidi="ar-SA"/>
          <w:color w:val="111111"/>
          <w:sz w:val="28"/>
          <w:szCs w:val="28"/>
          <w:rtl/>
        </w:rPr>
        <w:t xml:space="preserve">۴۷. تهران؛ دائرة المعارف؛ شماره نسخه: ۷۱۲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بی کا، تا: قرن ۱۲؛ با نشان «بلغ»؛ کاغذ: فستقی نخودی، جلد: مقوایی تیماج قهوه ای پوشانده، ۳۱۵ گی، ۷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۲-۳۸]</w:t>
      </w:r>
    </w:p>
    <w:p>
      <w:pPr>
        <w:pStyle w:val="BookText"/>
      </w:pPr>
      <w:r>
        <w:rPr>
          <w:rFonts w:ascii="IRNazanin" w:hAnsi="IRNazanin" w:eastAsia="IRNazanin" w:cs="IRNazanin"/>
          <w:lang w:bidi="fa-IR"/>
          <w:color w:val="111111"/>
          <w:sz w:val="28"/>
          <w:szCs w:val="28"/>
          <w:rtl/>
        </w:rPr>
        <w:t xml:space="preserve">۴۸. مشهد؛ رضوی؛ شماره نسخه: ۳۱۹۱۱</w:t>
      </w:r>
    </w:p>
    <w:p>
      <w:pPr>
        <w:pStyle w:val="BookText"/>
      </w:pPr>
      <w:r>
        <w:rPr>
          <w:rFonts w:ascii="IRNazanin" w:hAnsi="IRNazanin" w:eastAsia="IRNazanin" w:cs="IRNazanin"/>
          <w:lang w:bidi="fa-IR"/>
          <w:color w:val="111111"/>
          <w:sz w:val="28"/>
          <w:szCs w:val="28"/>
          <w:rtl/>
        </w:rPr>
        <w:t xml:space="preserve">کامل؛ خط: نسخ، كان محمد هاشم بن محمد اسماعیل نارهمولی، تا: شنبه ۱۴ جمادی الثانی ۱۱۰۸ق، به درخواست فرزندش محمد سمیع؛ محشی، نسخه نزد محمد ابو الحسن بن سید دلدار على در سال ۱۲۷۵ تصحیح و مقابله شده؛ اهدایی: رهبری، بهمن ۱۳۸۳؛ کاغذ: نخودی، جلد: تیماج فرنگی قهوه ای، ۷۶گ، ۲۰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 اهدائی رهبر: ۳-۱۱۵]</w:t>
      </w:r>
    </w:p>
    <w:p>
      <w:pPr>
        <w:pStyle w:val="BookText"/>
      </w:pPr>
      <w:r>
        <w:rPr>
          <w:rFonts w:ascii="IRNazanin" w:hAnsi="IRNazanin" w:eastAsia="IRNazanin" w:cs="IRNazanin"/>
          <w:lang w:bidi="fa-IR"/>
          <w:color w:val="111111"/>
          <w:sz w:val="28"/>
          <w:szCs w:val="28"/>
          <w:rtl/>
        </w:rPr>
        <w:t xml:space="preserve">۴۹. تهران، دانشگاه؛ شماره نسخه: ۷۱۹۲</w:t>
      </w:r>
    </w:p>
    <w:p>
      <w:pPr>
        <w:pStyle w:val="BookText"/>
      </w:pPr>
      <w:r>
        <w:rPr>
          <w:rFonts w:ascii="IRNazanin" w:hAnsi="IRNazanin" w:eastAsia="IRNazanin" w:cs="IRNazanin"/>
          <w:lang w:bidi="fa-IR"/>
          <w:color w:val="111111"/>
          <w:sz w:val="28"/>
          <w:szCs w:val="28"/>
          <w:rtl/>
        </w:rPr>
        <w:t xml:space="preserve">خط: نستعلیق، بی کا، بی تا؛ مهر: محمد تقی شریف یزدی، علی رضا مورخ ۱۱۸۴؛ کاغذ: سپاهانی، جلد: تیماج مشکی، ۲۰۹گ، ۱۷ سطر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۲۸/۵سم [ف: ۱۶-۴۸۰]</w:t>
      </w:r>
    </w:p>
    <w:p>
      <w:pPr>
        <w:pStyle w:val="BookText"/>
      </w:pPr>
      <w:r>
        <w:rPr>
          <w:rFonts w:ascii="IRNazanin" w:hAnsi="IRNazanin" w:eastAsia="IRNazanin" w:cs="IRNazanin"/>
          <w:lang w:bidi="fa-IR"/>
          <w:color w:val="111111"/>
          <w:sz w:val="28"/>
          <w:szCs w:val="28"/>
          <w:rtl/>
        </w:rPr>
        <w:t xml:space="preserve">۵۰. مشهد؛ رضوی؛ شماره نسخه:۲۰۶۷۸</w:t>
      </w:r>
    </w:p>
    <w:p>
      <w:pPr>
        <w:pStyle w:val="BookText"/>
      </w:pPr>
      <w:r>
        <w:rPr>
          <w:rFonts w:ascii="IRNazanin" w:hAnsi="IRNazanin" w:eastAsia="IRNazanin" w:cs="IRNazanin"/>
          <w:lang w:bidi="fa-IR"/>
          <w:color w:val="111111"/>
          <w:sz w:val="28"/>
          <w:szCs w:val="28"/>
          <w:rtl/>
        </w:rPr>
        <w:t xml:space="preserve">آغاز: کتاب المتاجر و فيه فصول الأول في التجارة و قد تجب؟ انجام: و سبیل الله لزم ما دامت العين باقية مشتمل بر «کتاب المتاجر» و فصل دوم «کتاب الهبات» است؛ خط: نستعلیق شکسته، بی کا، تا: قرن ۱۳؛ اهدایی: رهبری، خرداد ۱۳۷۲؛ کاغذ: نخودی آهار مهره، ۱۸ گ، ۱۸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[زاهدائی رهبر: ۳-۱۱۶]</w:t>
      </w:r>
    </w:p>
    <w:p>
      <w:pPr>
        <w:pStyle w:val="BookText"/>
      </w:pPr>
      <w:r>
        <w:rPr>
          <w:rFonts w:ascii="IRNazanin" w:hAnsi="IRNazanin" w:eastAsia="IRNazanin" w:cs="IRNazanin"/>
          <w:lang w:bidi="fa-IR"/>
          <w:color w:val="111111"/>
          <w:sz w:val="28"/>
          <w:szCs w:val="28"/>
          <w:rtl/>
        </w:rPr>
        <w:t xml:space="preserve">۵۱. مشهد؛ رضوی؛ شماره نسخه: ۳۶۲۸۲</w:t>
      </w:r>
    </w:p>
    <w:p>
      <w:pPr>
        <w:pStyle w:val="BookText"/>
      </w:pPr>
      <w:r>
        <w:rPr>
          <w:rFonts w:ascii="IRNazanin" w:hAnsi="IRNazanin" w:eastAsia="IRNazanin" w:cs="IRNazanin"/>
          <w:lang w:bidi="fa-IR"/>
          <w:color w:val="111111"/>
          <w:sz w:val="28"/>
          <w:szCs w:val="28"/>
          <w:rtl/>
        </w:rPr>
        <w:t xml:space="preserve">آغاز: كتاب القضاء و الشهادات و الحدود و فيه فصول الفصل الأول في صفات القاضی؛ انجام: بما يراه الامام رادعة از ابتدای فصل اول تا پایان فصل ششم کتاب القضاء و الشهادات و الحدود»؛ خط: نستعلیق، بی کا، تا: قرن ۱۳؛ اهدایی: رهبری، مهر ۱۳۸۶؛ کاغذ: نخودی آهار مهره فرنگی، جلد: تیماج قهوه ای، ۲گ، ۲۰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سم</w:t>
      </w:r>
    </w:p>
    <w:p>
      <w:pPr>
        <w:pStyle w:val="BookText"/>
      </w:pPr>
      <w:r>
        <w:rPr>
          <w:rFonts w:ascii="IRNazanin" w:hAnsi="IRNazanin" w:eastAsia="IRNazanin" w:cs="IRNazanin"/>
          <w:lang w:bidi="fa-IR"/>
          <w:color w:val="111111"/>
          <w:sz w:val="28"/>
          <w:szCs w:val="28"/>
          <w:rtl/>
        </w:rPr>
        <w:t xml:space="preserve">[ اهدائی رهبر: ۳-۱۱۶]</w:t>
      </w:r>
    </w:p>
    <w:p>
      <w:pPr>
        <w:pStyle w:val="BookText"/>
      </w:pPr>
      <w:r>
        <w:rPr>
          <w:rFonts w:ascii="IRNazanin" w:hAnsi="IRNazanin" w:eastAsia="IRNazanin" w:cs="IRNazanin"/>
          <w:lang w:bidi="fa-IR"/>
          <w:color w:val="111111"/>
          <w:sz w:val="28"/>
          <w:szCs w:val="28"/>
          <w:rtl/>
        </w:rPr>
        <w:t xml:space="preserve">۵۲. یزد؛ وزیری؛ شماره نسخه:۲۶۵۶</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تا: قرن ۱۳؛ محشی؛ کاغذ: فرنگی، جلد: مقوایی با تیماج مشکی، ۳۳۲گ، ۵ سطر (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۴-۱۳۷۹]</w:t>
      </w:r>
    </w:p>
    <w:p>
      <w:pPr>
        <w:pStyle w:val="BookText"/>
      </w:pPr>
      <w:r>
        <w:rPr>
          <w:rFonts w:ascii="IRNazanin" w:hAnsi="IRNazanin" w:eastAsia="IRNazanin" w:cs="IRNazanin"/>
          <w:lang w:bidi="fa-IR"/>
          <w:color w:val="111111"/>
          <w:sz w:val="28"/>
          <w:szCs w:val="28"/>
          <w:rtl/>
        </w:rPr>
        <w:t xml:space="preserve">۵۳. مشهد؛ رضوی؛ شماره نسخه:۱۹۵۶۴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احمد بن محمد ابراهیم فراهانی، تا: یک شنبه ۲۶ جمادی الاول ۱۲۱۱ق؛ حواشی ترجمه و توضیح برخی از عبارات؛ اهدایی: رهبری، خرداد ۱۳۷۳؛ کاغذ: نخودی، جلد: میشن خرمایی، ۱۴۳گ، ۱۱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[اهدائی رهبر: ۱۱۷-۳]</w:t>
      </w:r>
    </w:p>
    <w:p>
      <w:pPr>
        <w:pStyle w:val="BookText"/>
      </w:pPr>
      <w:r>
        <w:rPr>
          <w:rFonts w:ascii="IRNazanin" w:hAnsi="IRNazanin" w:eastAsia="IRNazanin" w:cs="IRNazanin"/>
          <w:lang w:bidi="fa-IR"/>
          <w:color w:val="111111"/>
          <w:sz w:val="28"/>
          <w:szCs w:val="28"/>
          <w:rtl/>
        </w:rPr>
        <w:t xml:space="preserve">۵۴. تهران؛ مجلس؛ شماره نسخه: ۲۷۶۷/۲</w:t>
      </w:r>
    </w:p>
    <w:p>
      <w:pPr>
        <w:pStyle w:val="BookText"/>
      </w:pPr>
      <w:r>
        <w:rPr>
          <w:rFonts w:ascii="IRNazanin" w:hAnsi="IRNazanin" w:eastAsia="IRNazanin" w:cs="IRNazanin"/>
          <w:lang w:bidi="fa-IR"/>
          <w:color w:val="111111"/>
          <w:sz w:val="28"/>
          <w:szCs w:val="28"/>
          <w:rtl/>
        </w:rPr>
        <w:t xml:space="preserve">آغاز: برابر؛ انجام: و الرطل العراقي ثمانية و ستون مثقالا و ربع مثقال بالصير في ادا كان احدى وتسعين مثقالا بالشرعي بنحو ما مرمن التقريب فينقص عي نصف ثمن المن الشاهي الذي یاقل به بالفار سیه بیست و پنج درم بسته مثا قيل و ثلثه ارباع مثقال و الحمد الله وحدخ تمت خط: نسخ، بی کا، تا: ۱۲۳۷ق، کاغذ: فرنگی، جلد: تیماج سیاه،۵۷ص (۱۷-۷۳)، ۲۹ سطر،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۹-۱۷۸]</w:t>
      </w:r>
    </w:p>
    <w:p>
      <w:pPr>
        <w:pStyle w:val="BookText"/>
      </w:pPr>
      <w:r>
        <w:rPr>
          <w:rFonts w:ascii="IRNazanin" w:hAnsi="IRNazanin" w:eastAsia="IRNazanin" w:cs="IRNazanin"/>
          <w:lang w:bidi="fa-IR"/>
          <w:color w:val="111111"/>
          <w:sz w:val="28"/>
          <w:szCs w:val="28"/>
          <w:rtl/>
        </w:rPr>
        <w:t xml:space="preserve">۵۵. قم؛ فیضیه؛ شماره نسخه:۱۳۹۶</w:t>
      </w:r>
    </w:p>
    <w:p>
      <w:pPr>
        <w:pStyle w:val="BookText"/>
      </w:pPr>
      <w:r>
        <w:rPr>
          <w:rFonts w:ascii="IRNazanin" w:hAnsi="IRNazanin" w:eastAsia="IRNazanin" w:cs="IRNazanin"/>
          <w:lang w:bidi="fa-IR"/>
          <w:color w:val="111111"/>
          <w:sz w:val="28"/>
          <w:szCs w:val="28"/>
          <w:rtl/>
        </w:rPr>
        <w:t xml:space="preserve">خط: نسخ، كا: محمد باقر بن محمد حسینی، تا: ۱۲۵۹ق؛ ۱۰۲گ، ۱۵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۱-۳۷]</w:t>
      </w:r>
    </w:p>
    <w:p>
      <w:pPr>
        <w:pStyle w:val="BookText"/>
      </w:pPr>
      <w:r>
        <w:rPr>
          <w:rFonts w:ascii="IRNazanin" w:hAnsi="IRNazanin" w:eastAsia="IRNazanin" w:cs="IRNazanin"/>
          <w:lang w:bidi="fa-IR"/>
          <w:color w:val="111111"/>
          <w:sz w:val="28"/>
          <w:szCs w:val="28"/>
          <w:rtl/>
        </w:rPr>
        <w:t xml:space="preserve">۵۶. مشهد؛ رضوی؛ شماره نسخه:۱۰۶۴۵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پنج شنبه 7 ربيع الثانی ۱۲۶۸ق؛ مصحح؛ واقف: محمد زهرایی، تیر ۱۳۵۰؛ کاغذ: شکری آهار مهره، جلد: تیماج قهوه ای، ۷۲گ، ۱۹ و ۲۰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۹سم [ف: ۲۱/۱ -۲۰۳]</w:t>
      </w:r>
    </w:p>
    <w:p>
      <w:pPr>
        <w:pStyle w:val="BookText"/>
      </w:pPr>
      <w:r>
        <w:rPr>
          <w:rFonts w:ascii="IRNazanin" w:hAnsi="IRNazanin" w:eastAsia="IRNazanin" w:cs="IRNazanin"/>
          <w:lang w:bidi="fa-IR"/>
          <w:color w:val="111111"/>
          <w:sz w:val="28"/>
          <w:szCs w:val="28"/>
          <w:rtl/>
        </w:rPr>
        <w:t xml:space="preserve">۵۷. مشهد؛ رضوی؛ شماره نسخه:ض۱۰۶۱۷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عبدالله بن محمد اسماعيل، تا: دوشنبه دهه سوم جمادی الاول ۱۲۶۸ق؛ واقف: محمد زهرایی، تیر ۱۳۵۰؛ کاغذ: شکری آهار مهره، جلد: تیماج قهوه ای ضربی با ترنج و سرترنج، ۳۹گ، ۲۶ سطر، اندازه: ۲۱/۸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۲۱/۱ -۲۰۶]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۵۸. گلپایگان؛ امام جمعه، محمد حسن؛ شماره نسخه: ۴۴/۱</w:t>
      </w:r>
    </w:p>
    <w:p>
      <w:pPr>
        <w:pStyle w:val="BookText"/>
      </w:pPr>
      <w:r>
        <w:rPr>
          <w:rFonts w:ascii="IRNazanin" w:hAnsi="IRNazanin" w:eastAsia="IRNazanin" w:cs="IRNazanin"/>
          <w:lang w:bidi="fa-IR"/>
          <w:color w:val="111111"/>
          <w:sz w:val="28"/>
          <w:szCs w:val="28"/>
          <w:rtl/>
        </w:rPr>
        <w:t xml:space="preserve">خط: نستعلیق، كا: عبد الجواد بن حاجی الحرمین ملا باقر سعید آبادی، تا: ۲۰ صفر ۱۲۶۹ق؛ مهر: «الراجي الى الله عبدالجواد بن محمد باقر» (بیضوی)؛ جلد: تیماج مشکی، ۲۹گ (۱پ-۳۹پ)،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 کتابخانه های گلپایگان: ف: ۱۵۵]</w:t>
      </w:r>
    </w:p>
    <w:p>
      <w:pPr>
        <w:pStyle w:val="BookText"/>
      </w:pPr>
      <w:r>
        <w:rPr>
          <w:rFonts w:ascii="IRNazanin" w:hAnsi="IRNazanin" w:eastAsia="IRNazanin" w:cs="IRNazanin"/>
          <w:lang w:bidi="fa-IR"/>
          <w:color w:val="111111"/>
          <w:sz w:val="28"/>
          <w:szCs w:val="28"/>
          <w:rtl/>
        </w:rPr>
        <w:t xml:space="preserve">۵۹. تهران؛ مروی؛ شماره نسخه: ۷۸۲</w:t>
      </w:r>
    </w:p>
    <w:p>
      <w:pPr>
        <w:pStyle w:val="BookText"/>
      </w:pPr>
      <w:r>
        <w:rPr>
          <w:rFonts w:ascii="IRNazanin" w:hAnsi="IRNazanin" w:eastAsia="IRNazanin" w:cs="IRNazanin"/>
          <w:lang w:bidi="fa-IR"/>
          <w:color w:val="111111"/>
          <w:sz w:val="28"/>
          <w:szCs w:val="28"/>
          <w:rtl/>
        </w:rPr>
        <w:t xml:space="preserve">بی کا، تا: ۱۲۷۶ق؛ در سال ۱۲۷۸ توسط احمد خوانساری با نسخه ای که مؤلف تصحیح کرده بود مقابله شده؛ قطع: خشتی [ف: ۸۱]</w:t>
      </w:r>
    </w:p>
    <w:p>
      <w:pPr>
        <w:pStyle w:val="BookText"/>
      </w:pPr>
      <w:r>
        <w:rPr>
          <w:rFonts w:ascii="IRNazanin" w:hAnsi="IRNazanin" w:eastAsia="IRNazanin" w:cs="IRNazanin"/>
          <w:lang w:bidi="fa-IR"/>
          <w:color w:val="111111"/>
          <w:sz w:val="28"/>
          <w:szCs w:val="28"/>
          <w:rtl/>
        </w:rPr>
        <w:t xml:space="preserve">۶۰. قم، گلپایگانی؛ شماره نسخه: ۵۰۷۲- ۲۵/۱۶۲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على بن محمد صفار، تا: پنج شنبه ۲۹ رجب ۱۲۹۷ق؛ جلد: تیماج مشکی، ۱۲۹گ، ۱۳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۹سم [ف: ۲-۷۱۱]</w:t>
      </w:r>
    </w:p>
    <w:p>
      <w:pPr>
        <w:pStyle w:val="BookText"/>
      </w:pPr>
      <w:r>
        <w:rPr>
          <w:rFonts w:ascii="IRNazanin" w:hAnsi="IRNazanin" w:eastAsia="IRNazanin" w:cs="IRNazanin"/>
          <w:lang w:bidi="fa-IR"/>
          <w:color w:val="111111"/>
          <w:sz w:val="28"/>
          <w:szCs w:val="28"/>
          <w:rtl/>
        </w:rPr>
        <w:t xml:space="preserve">۶۱. مشهد: الهیات، شماره نسخه: ۱۴۸۴۴/۲</w:t>
      </w:r>
    </w:p>
    <w:p>
      <w:pPr>
        <w:pStyle w:val="BookText"/>
      </w:pPr>
      <w:r>
        <w:rPr>
          <w:rFonts w:ascii="IRNazanin" w:hAnsi="IRNazanin" w:eastAsia="IRNazanin" w:cs="IRNazanin"/>
          <w:lang w:bidi="fa-IR"/>
          <w:color w:val="111111"/>
          <w:sz w:val="28"/>
          <w:szCs w:val="28"/>
          <w:rtl/>
        </w:rPr>
        <w:t xml:space="preserve">خط: نسخ و نستعلیق، کا: محمد صادق گلپایگانی، تا: ۱۳۰۳ق؛ مصحح توسط شیخ محمد حسن صحاف کربلائی؛ کاغذ: مشقی، جلد: مقوا عطف میشن قهوه ای، ۱۰ و ۱۸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۲-۱۴۵]</w:t>
      </w:r>
    </w:p>
    <w:p>
      <w:pPr>
        <w:pStyle w:val="BookText"/>
      </w:pPr>
      <w:r>
        <w:rPr>
          <w:rFonts w:ascii="IRNazanin" w:hAnsi="IRNazanin" w:eastAsia="IRNazanin" w:cs="IRNazanin"/>
          <w:lang w:bidi="fa-IR"/>
          <w:color w:val="111111"/>
          <w:sz w:val="28"/>
          <w:szCs w:val="28"/>
          <w:rtl/>
        </w:rPr>
        <w:t xml:space="preserve">۶۲. مشهد؛ رضوی؛ شماره نسخه: ۲/ ۱۴۵۹۰</w:t>
      </w:r>
    </w:p>
    <w:p>
      <w:pPr>
        <w:pStyle w:val="BookText"/>
      </w:pPr>
      <w:r>
        <w:rPr>
          <w:rFonts w:ascii="IRNazanin" w:hAnsi="IRNazanin" w:eastAsia="IRNazanin" w:cs="IRNazanin"/>
          <w:lang w:bidi="fa-IR"/>
          <w:color w:val="111111"/>
          <w:sz w:val="28"/>
          <w:szCs w:val="28"/>
          <w:rtl/>
        </w:rPr>
        <w:t xml:space="preserve">خط: نستعلیق، کا: محمد حسن گروسی، تا: ۱۳۱۴ق، کاغذ: آهار مهره شکری، جلد: مقوا با روکش پارچه، ۲۲ سطر، اندازه: ۱۵/۵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۲۰/۷سم [ف: ۱۶-۶۷]</w:t>
      </w:r>
    </w:p>
    <w:p>
      <w:pPr>
        <w:pStyle w:val="BookText"/>
      </w:pPr>
      <w:r>
        <w:rPr>
          <w:rFonts w:ascii="IRNazanin" w:hAnsi="IRNazanin" w:eastAsia="IRNazanin" w:cs="IRNazanin"/>
          <w:lang w:bidi="fa-IR"/>
          <w:color w:val="111111"/>
          <w:sz w:val="28"/>
          <w:szCs w:val="28"/>
          <w:rtl/>
        </w:rPr>
        <w:t xml:space="preserve">۶۳. تهران، ملک؛ شماره نسخه:۲۶۰۴/۳</w:t>
      </w:r>
    </w:p>
    <w:p>
      <w:pPr>
        <w:pStyle w:val="BookText"/>
      </w:pPr>
      <w:r>
        <w:rPr>
          <w:rFonts w:ascii="IRNazanin" w:hAnsi="IRNazanin" w:eastAsia="IRNazanin" w:cs="IRNazanin"/>
          <w:lang w:bidi="fa-IR"/>
          <w:color w:val="111111"/>
          <w:sz w:val="28"/>
          <w:szCs w:val="28"/>
          <w:rtl/>
        </w:rPr>
        <w:t xml:space="preserve">تا نزدیک به پایان حدود؛ خط: نسخ، بی کا، بی تا، کاغذ: ترمه، جلد: میشن سیاه ضربی، ۱۱۴گ (۱۲۱پ -۲۳۴ر)، ۲۳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سم [ف: ۶-۷۰]</w:t>
      </w:r>
    </w:p>
    <w:p>
      <w:pPr>
        <w:pStyle w:val="BookText"/>
      </w:pPr>
      <w:r>
        <w:rPr>
          <w:rFonts w:ascii="IRNazanin" w:hAnsi="IRNazanin" w:eastAsia="IRNazanin" w:cs="IRNazanin"/>
          <w:lang w:bidi="fa-IR"/>
          <w:color w:val="111111"/>
          <w:sz w:val="28"/>
          <w:szCs w:val="28"/>
          <w:rtl/>
        </w:rPr>
        <w:t xml:space="preserve">۶۴. یزد؛ وزیری؛ شماره نسخه:۲۰۱۳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اهدایی: وزیری؛ کاغذ: اصفهانی، جلد: تیماج تریاکی، ۸۵گ، ۱۳ سطر (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۴-۱۱۲۸]</w:t>
      </w:r>
    </w:p>
    <w:p>
      <w:pPr>
        <w:pStyle w:val="BookText"/>
      </w:pPr>
      <w:r>
        <w:rPr>
          <w:rFonts w:ascii="IRNazanin" w:hAnsi="IRNazanin" w:eastAsia="IRNazanin" w:cs="IRNazanin"/>
          <w:lang w:bidi="fa-IR"/>
          <w:color w:val="111111"/>
          <w:sz w:val="28"/>
          <w:szCs w:val="28"/>
          <w:rtl/>
        </w:rPr>
        <w:t xml:space="preserve">۶۵. قزوین؛ امام صادق شماره نسخه:۱۲۶</w:t>
      </w:r>
    </w:p>
    <w:p>
      <w:pPr>
        <w:pStyle w:val="BookText"/>
      </w:pPr>
      <w:r>
        <w:rPr>
          <w:rFonts w:ascii="IRNazanin" w:hAnsi="IRNazanin" w:eastAsia="IRNazanin" w:cs="IRNazanin"/>
          <w:lang w:bidi="fa-IR"/>
          <w:color w:val="111111"/>
          <w:sz w:val="28"/>
          <w:szCs w:val="28"/>
          <w:rtl/>
        </w:rPr>
        <w:t xml:space="preserve">آغاز: برابر؛ انجام: الخامس ان يتوارى عنه جدران بلده وهو اذا في محل الترخيص للمقصر ولا ينفع سواده از ابتدای کتاب تا صلاة مسافر؛ خط: نسخ، بی کا، بی تا، افتادگی: انجام؛ جلد: تیماج، ۷۲گ، ۲۰ سطر [ف: ۱-۵۰]</w:t>
      </w:r>
    </w:p>
    <w:p>
      <w:pPr>
        <w:pStyle w:val="BookText"/>
      </w:pPr>
      <w:r>
        <w:rPr>
          <w:rFonts w:ascii="IRNazanin" w:hAnsi="IRNazanin" w:eastAsia="IRNazanin" w:cs="IRNazanin"/>
          <w:lang w:bidi="fa-IR"/>
          <w:color w:val="111111"/>
          <w:sz w:val="28"/>
          <w:szCs w:val="28"/>
          <w:rtl/>
        </w:rPr>
        <w:t xml:space="preserve">۶۶. يزد؛ وزیری؛ شماره نسخه:۲۰۹۸</w:t>
      </w:r>
    </w:p>
    <w:p>
      <w:pPr>
        <w:pStyle w:val="BookText"/>
      </w:pPr>
      <w:r>
        <w:rPr>
          <w:rFonts w:ascii="IRNazanin" w:hAnsi="IRNazanin" w:eastAsia="IRNazanin" w:cs="IRNazanin"/>
          <w:lang w:bidi="fa-IR"/>
          <w:color w:val="111111"/>
          <w:sz w:val="28"/>
          <w:szCs w:val="28"/>
          <w:rtl/>
        </w:rPr>
        <w:t xml:space="preserve">آغاز: الخروج و تغطية الرأس و التسمية والاستبراء و الدعاء عند الله خول و الخروج و الاستنجاء؛ انجام: ولا مايثبت بالاقرار ولا صلحا ولا جناية الانسان على نفسه ولا ما تجنيه البهيمة. خط: نسخ، بی کا، بی تا؛ افتادگی: آغاز و انجام؛ اهدایی: حاج شیخ احمد شریعت عقدایی؛ کاغذ: سمرقندی، جلد: مقوایی عطف تیماج مشکی، ۲۱۴گ، ۱۰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۱۱/۵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۴-۱۱۶۴]</w:t>
      </w:r>
    </w:p>
    <w:p>
      <w:pPr>
        <w:pStyle w:val="BookText"/>
      </w:pPr>
      <w:r>
        <w:rPr>
          <w:rFonts w:ascii="IRNazanin" w:hAnsi="IRNazanin" w:eastAsia="IRNazanin" w:cs="IRNazanin"/>
          <w:lang w:bidi="fa-IR"/>
          <w:color w:val="111111"/>
          <w:sz w:val="28"/>
          <w:szCs w:val="28"/>
          <w:rtl/>
        </w:rPr>
        <w:t xml:space="preserve">تهران، دانشگاه؛ شماره نسخه:۲۵۹۴-ف</w:t>
      </w:r>
    </w:p>
    <w:p>
      <w:pPr>
        <w:pStyle w:val="BookText"/>
      </w:pPr>
      <w:r>
        <w:rPr>
          <w:rFonts w:ascii="IRNazanin" w:hAnsi="IRNazanin" w:eastAsia="IRNazanin" w:cs="IRNazanin"/>
          <w:lang w:bidi="fa-IR"/>
          <w:color w:val="111111"/>
          <w:sz w:val="28"/>
          <w:szCs w:val="28"/>
          <w:rtl/>
        </w:rPr>
        <w:t xml:space="preserve">نسخه اصل: همان نسخه بالا [ فیلمها ف: ۱-۲۹۵]</w:t>
      </w:r>
    </w:p>
    <w:p>
      <w:pPr>
        <w:pStyle w:val="BookText"/>
      </w:pPr>
      <w:r>
        <w:rPr>
          <w:rFonts w:ascii="IRNazanin" w:hAnsi="IRNazanin" w:eastAsia="IRNazanin" w:cs="IRNazanin"/>
          <w:lang w:bidi="fa-IR"/>
          <w:color w:val="111111"/>
          <w:sz w:val="28"/>
          <w:szCs w:val="28"/>
          <w:rtl/>
        </w:rPr>
        <w:t xml:space="preserve">۶۷. مشهد؛ اصغر زاده (مجموعه)؛ شماره نسخه:۶</w:t>
      </w:r>
    </w:p>
    <w:p>
      <w:pPr>
        <w:pStyle w:val="BookText"/>
      </w:pPr>
      <w:r>
        <w:rPr>
          <w:rFonts w:ascii="IRNazanin" w:hAnsi="IRNazanin" w:eastAsia="IRNazanin" w:cs="IRNazanin"/>
          <w:lang w:bidi="fa-IR"/>
          <w:color w:val="111111"/>
          <w:sz w:val="28"/>
          <w:szCs w:val="28"/>
          <w:rtl/>
        </w:rPr>
        <w:t xml:space="preserve">بی کا، بی تا نشریه: ۷-۷۶۹]</w:t>
      </w:r>
    </w:p>
    <w:p>
      <w:pPr>
        <w:pStyle w:val="BookText"/>
      </w:pPr>
      <w:r>
        <w:rPr>
          <w:rFonts w:ascii="IRNazanin" w:hAnsi="IRNazanin" w:eastAsia="IRNazanin" w:cs="IRNazanin"/>
          <w:lang w:bidi="fa-IR"/>
          <w:color w:val="111111"/>
          <w:sz w:val="28"/>
          <w:szCs w:val="28"/>
          <w:rtl/>
        </w:rPr>
        <w:t xml:space="preserve">۶۸. تهران؛ ملی؛ شماره نسخه: ۲۰۰۱۱</w:t>
      </w:r>
    </w:p>
    <w:p>
      <w:pPr>
        <w:pStyle w:val="BookText"/>
      </w:pPr>
      <w:r>
        <w:rPr>
          <w:rFonts w:ascii="IRNazanin" w:hAnsi="IRNazanin" w:eastAsia="IRNazanin" w:cs="IRNazanin"/>
          <w:lang w:bidi="fa-IR"/>
          <w:color w:val="111111"/>
          <w:sz w:val="28"/>
          <w:szCs w:val="28"/>
          <w:rtl/>
        </w:rPr>
        <w:t xml:space="preserve">بی کا، بی تا، خریداری از مهردخت همایی [رایانه ]</w:t>
      </w:r>
    </w:p>
    <w:p>
      <w:pPr>
        <w:pStyle w:val="BookText"/>
      </w:pPr>
      <w:r>
        <w:rPr>
          <w:rFonts w:ascii="IRNazanin" w:hAnsi="IRNazanin" w:eastAsia="IRNazanin" w:cs="IRNazanin"/>
          <w:lang w:bidi="fa-IR"/>
          <w:color w:val="111111"/>
          <w:sz w:val="28"/>
          <w:szCs w:val="28"/>
          <w:rtl/>
        </w:rPr>
        <w:t xml:space="preserve">۶۹. مشهد؛ شیخ علی حیدر، شماره نسخه: ۱۸۵/۱۱</w:t>
      </w:r>
    </w:p>
    <w:p>
      <w:pPr>
        <w:pStyle w:val="BookText"/>
      </w:pPr>
      <w:r>
        <w:rPr>
          <w:rFonts w:ascii="IRNazanin" w:hAnsi="IRNazanin" w:eastAsia="IRNazanin" w:cs="IRNazanin"/>
          <w:lang w:bidi="fa-IR"/>
          <w:color w:val="111111"/>
          <w:sz w:val="28"/>
          <w:szCs w:val="28"/>
          <w:rtl/>
        </w:rPr>
        <w:t xml:space="preserve">شامل کتاب القضاء؛ بی کا، بی تا؛ جلد: چرم زرد، ۳گ (۳۰۴پ۔ ۳۰۶ر)،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 مؤید: ۱-۱۸۲]</w:t>
      </w:r>
    </w:p>
    <w:p>
      <w:pPr>
        <w:pStyle w:val="BookText"/>
      </w:pPr>
      <w:r>
        <w:rPr>
          <w:rFonts w:ascii="IRNazanin" w:hAnsi="IRNazanin" w:eastAsia="IRNazanin" w:cs="IRNazanin"/>
          <w:lang w:bidi="fa-IR"/>
          <w:color w:val="111111"/>
          <w:sz w:val="28"/>
          <w:szCs w:val="28"/>
          <w:rtl/>
        </w:rPr>
        <w:t xml:space="preserve">۷۰. کرمانشاه؛ فيض مهدوی (کتابخانه)؛ شماره نسخه:بدون شماره</w:t>
      </w:r>
    </w:p>
    <w:p>
      <w:pPr>
        <w:pStyle w:val="BookText"/>
      </w:pPr>
      <w:r>
        <w:rPr>
          <w:rFonts w:ascii="IRNazanin" w:hAnsi="IRNazanin" w:eastAsia="IRNazanin" w:cs="IRNazanin"/>
          <w:lang w:bidi="fa-IR"/>
          <w:color w:val="111111"/>
          <w:sz w:val="28"/>
          <w:szCs w:val="28"/>
          <w:rtl/>
        </w:rPr>
        <w:t xml:space="preserve">بی کا، بی تا؛ افتادگی: انجام (تراثنا: س ۲ش ۴-۲۷]</w:t>
      </w:r>
    </w:p>
    <w:p>
      <w:pPr>
        <w:pStyle w:val="BookText"/>
      </w:pPr>
      <w:r>
        <w:rPr>
          <w:rFonts w:ascii="IRNazanin" w:hAnsi="IRNazanin" w:eastAsia="IRNazanin" w:cs="IRNazanin"/>
          <w:lang w:bidi="fa-IR"/>
          <w:color w:val="111111"/>
          <w:sz w:val="28"/>
          <w:szCs w:val="28"/>
          <w:rtl/>
        </w:rPr>
        <w:t xml:space="preserve">۷۱. مشهد؛ مدرسه باقریه؛ شماره نسخه:۳۰</w:t>
      </w:r>
    </w:p>
    <w:p>
      <w:pPr>
        <w:pStyle w:val="BookText"/>
      </w:pPr>
      <w:r>
        <w:rPr>
          <w:rFonts w:ascii="IRNazanin" w:hAnsi="IRNazanin" w:eastAsia="IRNazanin" w:cs="IRNazanin"/>
          <w:lang w:bidi="fa-IR"/>
          <w:color w:val="111111"/>
          <w:sz w:val="28"/>
          <w:szCs w:val="28"/>
          <w:rtl/>
        </w:rPr>
        <w:t xml:space="preserve">خط: نسخ، بی کا، بی تا، کاغذ: سپاهانی، ۱۴ سطر، قطع: ربعی، اندازه: ۸/۵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۱۱/۵ سم [ تراثنا: س ش ۱-۷۸]</w:t>
      </w:r>
    </w:p>
    <w:p>
      <w:pPr>
        <w:pStyle w:val="BookText"/>
      </w:pPr>
      <w:r>
        <w:rPr>
          <w:rFonts w:ascii="IRNazanin" w:hAnsi="IRNazanin" w:eastAsia="IRNazanin" w:cs="IRNazanin"/>
          <w:lang w:bidi="fa-IR"/>
          <w:color w:val="111111"/>
          <w:sz w:val="28"/>
          <w:szCs w:val="28"/>
          <w:rtl/>
        </w:rPr>
        <w:t xml:space="preserve">۷۲. تهران؛ ملی؛ شماره نسخه:۲۵۴۸۳</w:t>
      </w:r>
    </w:p>
    <w:p>
      <w:pPr>
        <w:pStyle w:val="BookText"/>
      </w:pPr>
      <w:r>
        <w:rPr>
          <w:rFonts w:ascii="IRNazanin" w:hAnsi="IRNazanin" w:eastAsia="IRNazanin" w:cs="IRNazanin"/>
          <w:lang w:bidi="fa-IR"/>
          <w:color w:val="111111"/>
          <w:sz w:val="28"/>
          <w:szCs w:val="28"/>
          <w:rtl/>
        </w:rPr>
        <w:t xml:space="preserve">بی کا، بی تا؛ خریداری از علیرضا طاهری یزدی [رایانه]</w:t>
      </w:r>
    </w:p>
    <w:p>
      <w:pPr>
        <w:pStyle w:val="BookText"/>
      </w:pPr>
      <w:r>
        <w:rPr>
          <w:rFonts w:ascii="IRNazanin" w:hAnsi="IRNazanin" w:eastAsia="IRNazanin" w:cs="IRNazanin"/>
          <w:lang w:bidi="fa-IR"/>
          <w:color w:val="111111"/>
          <w:sz w:val="28"/>
          <w:szCs w:val="28"/>
          <w:rtl/>
        </w:rPr>
        <w:t xml:space="preserve">۷۳. تهران؛ ملی؛ شماره نسخه:۲۰۹۶۷</w:t>
      </w:r>
    </w:p>
    <w:p>
      <w:pPr>
        <w:pStyle w:val="BookText"/>
      </w:pPr>
      <w:r>
        <w:rPr>
          <w:rFonts w:ascii="IRNazanin" w:hAnsi="IRNazanin" w:eastAsia="IRNazanin" w:cs="IRNazanin"/>
          <w:lang w:bidi="fa-IR"/>
          <w:color w:val="111111"/>
          <w:sz w:val="28"/>
          <w:szCs w:val="28"/>
          <w:rtl/>
        </w:rPr>
        <w:t xml:space="preserve">بی کا، بی تا؛ خریداری از امرالله صفری [رایانه]</w:t>
      </w:r>
    </w:p>
    <w:p>
      <w:pPr>
        <w:pStyle w:val="BookText"/>
      </w:pPr>
      <w:r>
        <w:rPr>
          <w:rFonts w:ascii="IRNazanin" w:hAnsi="IRNazanin" w:eastAsia="IRNazanin" w:cs="IRNazanin"/>
          <w:lang w:bidi="fa-IR"/>
          <w:color w:val="111111"/>
          <w:sz w:val="28"/>
          <w:szCs w:val="28"/>
          <w:rtl/>
        </w:rPr>
        <w:t xml:space="preserve">۷۴. قم: مرکز احیاء؛ شماره نسخه:۱۷۵۹/۲</w:t>
      </w:r>
    </w:p>
    <w:p>
      <w:pPr>
        <w:pStyle w:val="BookText"/>
      </w:pPr>
      <w:r>
        <w:rPr>
          <w:rFonts w:ascii="IRNazanin" w:hAnsi="IRNazanin" w:eastAsia="IRNazanin" w:cs="IRNazanin"/>
          <w:lang w:bidi="fa-IR"/>
          <w:color w:val="111111"/>
          <w:sz w:val="28"/>
          <w:szCs w:val="28"/>
          <w:rtl/>
        </w:rPr>
        <w:t xml:space="preserve">نسخه اصل: کتابخانه سید محمد حسین مدرسی -قم. فقط کتاب الطهارة و مقداری از کتاب الصلاة تا ابتدای بحث تكبيرة الإحرام؛ خط: نستعلیق، کا: سید احمد مدرسی یزدی، بی تا؛ ۱۹ص (۲۵ ۴۳) [عکسی ف: ۵-۲۱۵]</w:t>
      </w:r>
    </w:p>
    <w:p>
      <w:pPr>
        <w:pStyle w:val="BookText"/>
      </w:pPr>
      <w:r>
        <w:rPr>
          <w:rFonts w:ascii="IRNazanin" w:hAnsi="IRNazanin" w:eastAsia="IRNazanin" w:cs="IRNazanin"/>
          <w:lang w:bidi="fa-IR"/>
          <w:color w:val="111111"/>
          <w:sz w:val="28"/>
          <w:szCs w:val="28"/>
          <w:rtl/>
        </w:rPr>
        <w:t xml:space="preserve">۷۵. همدان؛ مدرسه غرب؛ شماره نسخه:۶۷۷</w:t>
      </w:r>
    </w:p>
    <w:p>
      <w:pPr>
        <w:pStyle w:val="BookText"/>
      </w:pPr>
      <w:r>
        <w:rPr>
          <w:rFonts w:ascii="IRNazanin" w:hAnsi="IRNazanin" w:eastAsia="IRNazanin" w:cs="IRNazanin"/>
          <w:lang w:bidi="fa-IR"/>
          <w:color w:val="111111"/>
          <w:sz w:val="28"/>
          <w:szCs w:val="28"/>
          <w:rtl/>
        </w:rPr>
        <w:t xml:space="preserve">خط: نسخ، بی کا، بی تا؛ قطع: خشتی [رشت و همدان: ف: ۱۲۹۲]</w:t>
      </w:r>
    </w:p>
    <w:p>
      <w:pPr>
        <w:pStyle w:val="BookText"/>
      </w:pPr>
      <w:r>
        <w:rPr>
          <w:rFonts w:ascii="IRNazanin" w:hAnsi="IRNazanin" w:eastAsia="IRNazanin" w:cs="IRNazanin"/>
          <w:lang w:bidi="fa-IR"/>
          <w:color w:val="111111"/>
          <w:sz w:val="28"/>
          <w:szCs w:val="28"/>
          <w:rtl/>
        </w:rPr>
        <w:t xml:space="preserve">۷۶. قم؛ گلپایگانی؛ شماره نسخه: ۸۹۴۲- ۵۹/۱۶۲</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از اول تا بحث دیات؛ خط: نسخ، بی کا، بی تا؛ افتادگی: انجام؛ ۸۲گ، ۱۶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سم [ف: ۲-۷۱۱]</w:t>
      </w:r>
    </w:p>
    <w:p>
      <w:pPr>
        <w:pStyle w:val="BookText"/>
      </w:pPr>
      <w:r>
        <w:rPr>
          <w:rFonts w:ascii="IRNazanin" w:hAnsi="IRNazanin" w:eastAsia="IRNazanin" w:cs="IRNazanin"/>
          <w:lang w:bidi="fa-IR"/>
          <w:color w:val="111111"/>
          <w:sz w:val="28"/>
          <w:szCs w:val="28"/>
          <w:rtl/>
        </w:rPr>
        <w:t xml:space="preserve">۷۷. یزد؛ کاظمینی؛ شماره نسخه: ۲۱۹/۱</w:t>
      </w:r>
    </w:p>
    <w:p>
      <w:pPr>
        <w:pStyle w:val="BookText"/>
      </w:pPr>
      <w:r>
        <w:rPr>
          <w:rFonts w:ascii="IRNazanin" w:hAnsi="IRNazanin" w:eastAsia="IRNazanin" w:cs="IRNazanin"/>
          <w:lang w:bidi="fa-IR"/>
          <w:color w:val="111111"/>
          <w:sz w:val="28"/>
          <w:szCs w:val="28"/>
          <w:rtl/>
        </w:rPr>
        <w:t xml:space="preserve">آغاز: و نصفا بشبر مستوى الخلقة لم ينجس بوقوع النجاسة فيه مالم تتغير احد اوصافه خط: نستعلیق، کا: يوسف بن على خطیب، بی تا، افتادگی: آغاز؛ ۹۵گ (۱ر۹۵پ)، اندازه:</w:t>
      </w:r>
    </w:p>
    <w:p>
      <w:pPr>
        <w:pStyle w:val="BookText"/>
      </w:pP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۲۰سم [ف: ۱- ۱۸۹]</w:t>
      </w:r>
    </w:p>
    <w:p>
      <w:pPr>
        <w:pStyle w:val="BookText"/>
      </w:pPr>
      <w:r>
        <w:rPr>
          <w:rFonts w:ascii="IRNazanin" w:hAnsi="IRNazanin" w:eastAsia="IRNazanin" w:cs="IRNazanin"/>
          <w:lang w:bidi="fa-IR"/>
          <w:color w:val="111111"/>
          <w:sz w:val="28"/>
          <w:szCs w:val="28"/>
          <w:rtl/>
        </w:rPr>
        <w:t xml:space="preserve">۷۸. شیراز؛ ملی؛ شماره نسخه:۱۳-ر/۴۱۲</w:t>
      </w:r>
    </w:p>
    <w:p>
      <w:pPr>
        <w:pStyle w:val="BookText"/>
      </w:pPr>
      <w:r>
        <w:rPr>
          <w:rFonts w:ascii="IRNazanin" w:hAnsi="IRNazanin" w:eastAsia="IRNazanin" w:cs="IRNazanin"/>
          <w:lang w:bidi="fa-IR"/>
          <w:color w:val="111111"/>
          <w:sz w:val="28"/>
          <w:szCs w:val="28"/>
          <w:rtl/>
        </w:rPr>
        <w:t xml:space="preserve">آغاز: اقسام القسم الأول الاري کمياه الأنهار ولا ينجس بما يقع فيه من النجاسة ما لم يتغير لونه او طعمه؛ انجام: فصل في دية الجنين في النطفة بعد استقرارها في الرحم عشرون. خط: نستعلیق، بی کا، بی تا؛ افتادگی: آغاز و انجام کاغذ: فرنگی شکری، جلد: مقوا با تیماج مشکی، ۱۰۰ص، ۱۴ سطر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۲-۱۱]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bookmarkStart w:id="657" w:name="pg20363_210003"/>
    <w:bookmarkEnd w:id="657"/>
    <w:p>
      <w:pPr>
        <w:pStyle w:val="Heading3"/>
      </w:pPr>
      <w:bookmarkStart w:id="2910" w:name="_Toc2170"/>
      <w:r>
        <w:t>•تبصرة المتعلمين في أحكام الدین (ترجمه) / فقه / فارسی</w:t>
      </w:r>
      <w:bookmarkEnd w:id="2910"/>
    </w:p>
    <w:p>
      <w:pPr>
        <w:pStyle w:val="BookText"/>
      </w:pPr>
      <w:r>
        <w:rPr>
          <w:rFonts w:ascii="Times New Roman" w:hAnsi="Times New Roman" w:eastAsia="Times New Roman" w:cs="Times New Roman"/>
          <w:lang w:val="en-US" w:bidi="en-US"/>
          <w:color w:val="111111"/>
          <w:sz w:val="28"/>
          <w:szCs w:val="28"/>
          <w:rtl/>
        </w:rPr>
        <w:t xml:space="preserve">tabșirat-ul mutiʻallimīn fī aḥkām-id dīn (t.)</w:t>
      </w:r>
    </w:p>
    <w:p>
      <w:pPr>
        <w:pStyle w:val="BookText"/>
      </w:pPr>
      <w:r>
        <w:rPr>
          <w:rFonts w:ascii="IRNazanin" w:hAnsi="IRNazanin" w:eastAsia="IRNazanin" w:cs="IRNazanin"/>
          <w:lang w:bidi="fa-IR"/>
          <w:color w:val="111111"/>
          <w:sz w:val="28"/>
          <w:szCs w:val="28"/>
          <w:rtl/>
        </w:rPr>
        <w:t xml:space="preserve">موسوی، محمد بن ابی الحسن، ۹۶۳-۱۰۴۳؟ قمری</w:t>
      </w:r>
    </w:p>
    <w:p>
      <w:pPr>
        <w:pStyle w:val="BookText"/>
      </w:pPr>
      <w:r>
        <w:rPr>
          <w:rFonts w:ascii="Times New Roman" w:hAnsi="Times New Roman" w:eastAsia="Times New Roman" w:cs="Times New Roman"/>
          <w:lang w:val="en-US" w:bidi="en-US"/>
          <w:color w:val="111111"/>
          <w:sz w:val="28"/>
          <w:szCs w:val="28"/>
          <w:rtl/>
        </w:rPr>
        <w:t xml:space="preserve">mūsavī, mohammad ebn-e abe-1-hasan (1556-1634)</w:t>
      </w:r>
    </w:p>
    <w:p>
      <w:pPr>
        <w:pStyle w:val="BookText"/>
      </w:pPr>
      <w:r>
        <w:rPr>
          <w:rFonts w:ascii="IRNazanin" w:hAnsi="IRNazanin" w:eastAsia="IRNazanin" w:cs="IRNazanin"/>
          <w:lang w:bidi="fa-IR"/>
          <w:color w:val="111111"/>
          <w:sz w:val="28"/>
          <w:szCs w:val="28"/>
          <w:rtl/>
        </w:rPr>
        <w:t xml:space="preserve">وابسته به: تبصرة المتعلمين في احكام الدين؛ علامه حلی، حسن بن یوسف (۶۴۸-۷۲۶) آغاز: بسمله، سپاس و ستایش خدای را که قدیم است پادشاهی او، عظیم است شأن خدائی او</w:t>
      </w:r>
    </w:p>
    <w:p>
      <w:pPr>
        <w:pStyle w:val="BookText"/>
      </w:pPr>
      <w:r>
        <w:rPr>
          <w:rFonts w:ascii="IRNazanin" w:hAnsi="IRNazanin" w:eastAsia="IRNazanin" w:cs="IRNazanin"/>
          <w:lang w:bidi="fa-IR"/>
          <w:color w:val="111111"/>
          <w:sz w:val="28"/>
          <w:szCs w:val="28"/>
          <w:rtl/>
        </w:rPr>
        <w:t xml:space="preserve">انجام: و اگر پدر فرزند خود را به خطا بکشد دیه بر عاقله پدرست اینست تمامی آنچه خواستیم ما در این مختصر و میخواهیم از حضرت حق سبحانه و تعالی او و بدرستی</w:t>
      </w:r>
    </w:p>
    <w:p>
      <w:pPr>
        <w:pStyle w:val="BookText"/>
      </w:pPr>
      <w:r>
        <w:rPr>
          <w:rFonts w:ascii="IRNazanin" w:hAnsi="IRNazanin" w:eastAsia="IRNazanin" w:cs="IRNazanin"/>
          <w:lang w:bidi="fa-IR"/>
          <w:color w:val="111111"/>
          <w:sz w:val="28"/>
          <w:szCs w:val="28"/>
          <w:rtl/>
        </w:rPr>
        <w:t xml:space="preserve">۱. تهران؛ مجلس؛ شماره نسخه: ۱۴۶۳/۲</w:t>
      </w:r>
    </w:p>
    <w:p>
      <w:pPr>
        <w:pStyle w:val="BookText"/>
      </w:pPr>
      <w:r>
        <w:rPr>
          <w:rFonts w:ascii="IRNazanin" w:hAnsi="IRNazanin" w:eastAsia="IRNazanin" w:cs="IRNazanin"/>
          <w:lang w:bidi="fa-IR"/>
          <w:color w:val="111111"/>
          <w:sz w:val="28"/>
          <w:szCs w:val="28"/>
          <w:rtl/>
        </w:rPr>
        <w:t xml:space="preserve">آغاز: بعد بسمله و حمد. اما بعد این کتاب ترجمه تبصرة المتعلين است که جمع فرموده است آنرا حضرت ... حسن بن المطهر الحلى ... چنین فرموده که این کتاب را ساختم از برای راه نمودن نو آموزان و فایده دارای مرطلب کنندگان در حالتی که میطلبم از خدای تعالی یاری و توفیق او؛ انجام: برابر خط: نستعلیق، کا: شاهوردی بن میر حسین منجیلی، تا: شنبه ۲۸ رمضان ۹۹۴ق؛ کاغذ: سفید سمرقندی، جلد: تیماج تریاکی، ۱۱۶ص (۷۹-۱۹۴)، ۱۹ سطر [سنا: ف: ۲-۲۷۶]</w:t>
      </w:r>
    </w:p>
    <w:p>
      <w:pPr>
        <w:pStyle w:val="BookText"/>
      </w:pPr>
      <w:r>
        <w:rPr>
          <w:rFonts w:ascii="IRNazanin" w:hAnsi="IRNazanin" w:eastAsia="IRNazanin" w:cs="IRNazanin"/>
          <w:lang w:bidi="fa-IR"/>
          <w:color w:val="111111"/>
          <w:sz w:val="28"/>
          <w:szCs w:val="28"/>
          <w:rtl/>
        </w:rPr>
        <w:t xml:space="preserve">۲. تهران؛ دانشگاه؛ شماره نسخه: ۳۰۲۰-ف</w:t>
      </w:r>
    </w:p>
    <w:p>
      <w:pPr>
        <w:pStyle w:val="BookText"/>
      </w:pPr>
      <w:r>
        <w:rPr>
          <w:rFonts w:ascii="IRNazanin" w:hAnsi="IRNazanin" w:eastAsia="IRNazanin" w:cs="IRNazanin"/>
          <w:lang w:bidi="fa-IR"/>
          <w:color w:val="111111"/>
          <w:sz w:val="28"/>
          <w:szCs w:val="28"/>
          <w:rtl/>
        </w:rPr>
        <w:t xml:space="preserve">خط: نسخ، كا: وجيه الدين بن اسماعيل بن عباس، تا: پنج شنبه ۲۲ شوال ۱۰۲۵ق؛ با سرلوح و جدول [فیلمها ف: ۲-۲۸]</w:t>
      </w:r>
    </w:p>
    <w:p>
      <w:pPr>
        <w:pStyle w:val="BookText"/>
      </w:pPr>
      <w:r>
        <w:rPr>
          <w:rFonts w:ascii="IRNazanin" w:hAnsi="IRNazanin" w:eastAsia="IRNazanin" w:cs="IRNazanin"/>
          <w:lang w:bidi="fa-IR"/>
          <w:color w:val="111111"/>
          <w:sz w:val="28"/>
          <w:szCs w:val="28"/>
          <w:rtl/>
        </w:rPr>
        <w:t xml:space="preserve">٣. مشهد؛ رضوی؛ شماره نسخه:۱۲۰۵۹</w:t>
      </w:r>
    </w:p>
    <w:p>
      <w:pPr>
        <w:pStyle w:val="BookText"/>
      </w:pPr>
      <w:r>
        <w:rPr>
          <w:rFonts w:ascii="IRNazanin" w:hAnsi="IRNazanin" w:eastAsia="IRNazanin" w:cs="IRNazanin"/>
          <w:lang w:bidi="fa-IR"/>
          <w:color w:val="111111"/>
          <w:sz w:val="28"/>
          <w:szCs w:val="28"/>
          <w:rtl/>
        </w:rPr>
        <w:t xml:space="preserve">آغاز: برابر؛ انجام: امید از حضرت سبحانه و تعالی آن که بگرداند سعی ما را خاصه از جهت رضای او آمین.</w:t>
      </w:r>
    </w:p>
    <w:p>
      <w:pPr>
        <w:pStyle w:val="BookText"/>
      </w:pPr>
      <w:r>
        <w:rPr>
          <w:rFonts w:ascii="IRNazanin" w:hAnsi="IRNazanin" w:eastAsia="IRNazanin" w:cs="IRNazanin"/>
          <w:lang w:bidi="fa-IR"/>
          <w:color w:val="111111"/>
          <w:sz w:val="28"/>
          <w:szCs w:val="28"/>
          <w:rtl/>
        </w:rPr>
        <w:t xml:space="preserve">خط: نستعلیق، کا: محمد بن رفیع الدین حسینی، تا: ۹ محرم ۱۰۵۲ق؛ مجدول؛ واقف: سید جلال الدین تهرانی، مرداد ۱۳۶۱؛ کاغذ: نخودی، جلد: تیماج عنابی، ۷۴گ، ۲۲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۲۰-۸۱]</w:t>
      </w:r>
    </w:p>
    <w:p>
      <w:pPr>
        <w:pStyle w:val="BookText"/>
      </w:pPr>
      <w:r>
        <w:rPr>
          <w:rFonts w:ascii="IRNazanin" w:hAnsi="IRNazanin" w:eastAsia="IRNazanin" w:cs="IRNazanin"/>
          <w:lang w:bidi="fa-IR"/>
          <w:color w:val="111111"/>
          <w:sz w:val="28"/>
          <w:szCs w:val="28"/>
          <w:rtl/>
        </w:rPr>
        <w:t xml:space="preserve">۴. تهران؛ ملی؛ شماره نسخه: ۱۰۹۲</w:t>
      </w:r>
    </w:p>
    <w:p>
      <w:pPr>
        <w:pStyle w:val="BookText"/>
      </w:pPr>
      <w:r>
        <w:rPr>
          <w:rFonts w:ascii="IRNazanin" w:hAnsi="IRNazanin" w:eastAsia="IRNazanin" w:cs="IRNazanin"/>
          <w:lang w:bidi="fa-IR"/>
          <w:color w:val="111111"/>
          <w:sz w:val="28"/>
          <w:szCs w:val="28"/>
          <w:rtl/>
        </w:rPr>
        <w:t xml:space="preserve">آغاز: برابر؛ انجام: و اگر عافله زیاده باشد بر دیه دية را بحصه بخش کند بریشان و اگر ...</w:t>
      </w:r>
    </w:p>
    <w:p>
      <w:pPr>
        <w:pStyle w:val="BookText"/>
      </w:pPr>
      <w:r>
        <w:rPr>
          <w:rFonts w:ascii="IRNazanin" w:hAnsi="IRNazanin" w:eastAsia="IRNazanin" w:cs="IRNazanin"/>
          <w:lang w:bidi="fa-IR"/>
          <w:color w:val="111111"/>
          <w:sz w:val="28"/>
          <w:szCs w:val="28"/>
          <w:rtl/>
        </w:rPr>
        <w:t xml:space="preserve">از «عبادات» تا «احکام بمعنی اخص»؛ خط: نسخ، بی کا، تا: قرن ۱۳؛ افتادگی: انجام؛ کاغذ: فرنگی، جلد: تیماج ماشي با ترنج، ۲۱۴گ، ۱۴ سطر (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۳-۱۱۴]</w:t>
      </w:r>
    </w:p>
    <w:p>
      <w:pPr>
        <w:pStyle w:val="Heading3"/>
      </w:pPr>
      <w:bookmarkStart w:id="2911" w:name="_Toc2171"/>
      <w:r>
        <w:t>•تبصرة المتعلمين في أحكام الدین (ترجمه) / فقه / فارسی</w:t>
      </w:r>
      <w:bookmarkEnd w:id="2911"/>
    </w:p>
    <w:p>
      <w:pPr>
        <w:pStyle w:val="BookText"/>
      </w:pPr>
      <w:r>
        <w:rPr>
          <w:rFonts w:ascii="Times New Roman" w:hAnsi="Times New Roman" w:eastAsia="Times New Roman" w:cs="Times New Roman"/>
          <w:lang w:val="en-US" w:bidi="en-US"/>
          <w:color w:val="111111"/>
          <w:sz w:val="28"/>
          <w:szCs w:val="28"/>
          <w:rtl/>
        </w:rPr>
        <w:t xml:space="preserve">tabSirat-ul muti'allimin fi ahkam-id din (t.)</w:t>
      </w:r>
    </w:p>
    <w:p>
      <w:pPr>
        <w:pStyle w:val="BookText"/>
      </w:pPr>
      <w:r>
        <w:rPr>
          <w:rFonts w:ascii="IRNazanin" w:hAnsi="IRNazanin" w:eastAsia="IRNazanin" w:cs="IRNazanin"/>
          <w:lang w:bidi="fa-IR"/>
          <w:color w:val="111111"/>
          <w:sz w:val="28"/>
          <w:szCs w:val="28"/>
          <w:rtl/>
        </w:rPr>
        <w:t xml:space="preserve">کرمانی، محیی بن محمد</w:t>
      </w:r>
    </w:p>
    <w:p>
      <w:pPr>
        <w:pStyle w:val="BookText"/>
      </w:pPr>
      <w:r>
        <w:rPr>
          <w:rFonts w:ascii="Times New Roman" w:hAnsi="Times New Roman" w:eastAsia="Times New Roman" w:cs="Times New Roman"/>
          <w:lang w:val="en-US" w:bidi="en-US"/>
          <w:color w:val="111111"/>
          <w:sz w:val="28"/>
          <w:szCs w:val="28"/>
          <w:rtl/>
        </w:rPr>
        <w:t xml:space="preserve">kermānī, mohī ebn-e mohammad</w:t>
      </w:r>
    </w:p>
    <w:p>
      <w:pPr>
        <w:pStyle w:val="BookText"/>
      </w:pPr>
      <w:r>
        <w:rPr>
          <w:rFonts w:ascii="IRNazanin" w:hAnsi="IRNazanin" w:eastAsia="IRNazanin" w:cs="IRNazanin"/>
          <w:lang w:bidi="fa-IR"/>
          <w:color w:val="111111"/>
          <w:sz w:val="28"/>
          <w:szCs w:val="28"/>
          <w:rtl/>
        </w:rPr>
        <w:t xml:space="preserve">وابسته به: تبصرة المتعلمين في أحكام الدین؛ علامه حلی، حسن بن يوسف (۶۴۸-۷۲۶)</w:t>
      </w:r>
    </w:p>
    <w:p>
      <w:pPr>
        <w:pStyle w:val="BookText"/>
      </w:pPr>
      <w:r>
        <w:rPr>
          <w:rFonts w:ascii="IRNazanin" w:hAnsi="IRNazanin" w:eastAsia="IRNazanin" w:cs="IRNazanin"/>
          <w:lang w:bidi="fa-IR"/>
          <w:color w:val="111111"/>
          <w:sz w:val="28"/>
          <w:szCs w:val="28"/>
          <w:rtl/>
        </w:rPr>
        <w:t xml:space="preserve">برای بزرگی همنام پیغمبر که به هرات رسیده بود در هنگامی که مترجم از عراق به خراسان رفته بود.</w:t>
      </w:r>
    </w:p>
    <w:p>
      <w:pPr>
        <w:pStyle w:val="BookText"/>
      </w:pPr>
      <w:r>
        <w:rPr>
          <w:rFonts w:ascii="IRNazanin" w:hAnsi="IRNazanin" w:eastAsia="IRNazanin" w:cs="IRNazanin"/>
          <w:lang w:bidi="fa-IR"/>
          <w:color w:val="111111"/>
          <w:sz w:val="28"/>
          <w:szCs w:val="28"/>
          <w:rtl/>
        </w:rPr>
        <w:t xml:space="preserve">شیراز؛ محلاتی، صدرالدین؛ شماره نسخه:۵</w:t>
      </w:r>
    </w:p>
    <w:p>
      <w:pPr>
        <w:pStyle w:val="BookText"/>
      </w:pPr>
      <w:r>
        <w:rPr>
          <w:rFonts w:ascii="IRNazanin" w:hAnsi="IRNazanin" w:eastAsia="IRNazanin" w:cs="IRNazanin"/>
          <w:lang w:bidi="fa-IR"/>
          <w:color w:val="111111"/>
          <w:sz w:val="28"/>
          <w:szCs w:val="28"/>
          <w:rtl/>
        </w:rPr>
        <w:t xml:space="preserve">آغاز: بهترین اموری که موجب تمهيد قواعد توفيق و امداد و مستتبع ایضاح شرایع تبصره و ارشاد تواند بود سپاس بی قیاس و ستایش بی آلایش مالک الملکی راست ... که شناختن شرایع و احکام و دانستن مباحث حلال و حرام را از امهات مهمات دینی گردانیده ... چون ... محی بن محمد کرمانی مدتها اوقات خود را به استخراج در معانی آن صرف کرده بود ... به خاطر فاتر می رسد که اگر معانی آن را به عبارت فارسی ترجمه نماید هر آینه به طبایع و عقول انسب؛ انجام: و اگر وارث نباشد و ارث امام است و اگر خطا ولد را قتل کرد همچنان دیه بر عاقله است خالصا و الله اعلم. فرغ من تمنيق هذه النسخة الشريفة في يوم الخميس ثانی عشرين شهر شوال ختم بالخير و الاقبال سنة خمس عشرين بعد الالف على يد الفقير الحقير المحتاج الى رحمة ملك الناس وجيه الدين بن اسماعيل بن عباس غفر ذنوبهم و ستر عيوبهم</w:t>
      </w:r>
    </w:p>
    <w:p>
      <w:pPr>
        <w:pStyle w:val="BookText"/>
      </w:pPr>
      <w:r>
        <w:rPr>
          <w:rFonts w:ascii="IRNazanin" w:hAnsi="IRNazanin" w:eastAsia="IRNazanin" w:cs="IRNazanin"/>
          <w:lang w:bidi="fa-IR"/>
          <w:color w:val="111111"/>
          <w:sz w:val="28"/>
          <w:szCs w:val="28"/>
          <w:rtl/>
        </w:rPr>
        <w:t xml:space="preserve">بی کا، بی تا [نشریه: ۵-۲۷۱]</w:t>
      </w:r>
    </w:p>
    <w:p>
      <w:pPr>
        <w:pStyle w:val="Heading3"/>
      </w:pPr>
      <w:bookmarkStart w:id="2912" w:name="_Toc2172"/>
      <w:r>
        <w:t>•تبصرة المتعلمين في أحكام الدین (ترجمه) / فقه / فارسی</w:t>
      </w:r>
      <w:bookmarkEnd w:id="2912"/>
    </w:p>
    <w:p>
      <w:pPr>
        <w:pStyle w:val="BookText"/>
      </w:pPr>
      <w:r>
        <w:rPr>
          <w:rFonts w:ascii="Times New Roman" w:hAnsi="Times New Roman" w:eastAsia="Times New Roman" w:cs="Times New Roman"/>
          <w:lang w:val="en-US" w:bidi="en-US"/>
          <w:color w:val="111111"/>
          <w:sz w:val="28"/>
          <w:szCs w:val="28"/>
          <w:rtl/>
        </w:rPr>
        <w:t xml:space="preserve">tabşirat-ul mutiʻallimīn fī ahkām-id dīn (t.)</w:t>
      </w:r>
    </w:p>
    <w:p>
      <w:pPr>
        <w:pStyle w:val="BookText"/>
      </w:pPr>
      <w:r>
        <w:rPr>
          <w:rFonts w:ascii="IRNazanin" w:hAnsi="IRNazanin" w:eastAsia="IRNazanin" w:cs="IRNazanin"/>
          <w:lang w:bidi="fa-IR"/>
          <w:color w:val="111111"/>
          <w:sz w:val="28"/>
          <w:szCs w:val="28"/>
          <w:rtl/>
        </w:rPr>
        <w:t xml:space="preserve">وابسته به: تبصرة المتعلمين في أحكام الدين علامه حلی، حسن بن یوسف (۶۴۸-۷۲۶)</w:t>
      </w:r>
    </w:p>
    <w:p>
      <w:pPr>
        <w:pStyle w:val="BookText"/>
      </w:pPr>
      <w:r>
        <w:rPr>
          <w:rFonts w:ascii="IRNazanin" w:hAnsi="IRNazanin" w:eastAsia="IRNazanin" w:cs="IRNazanin"/>
          <w:lang w:bidi="fa-IR"/>
          <w:color w:val="111111"/>
          <w:sz w:val="28"/>
          <w:szCs w:val="28"/>
          <w:rtl/>
        </w:rPr>
        <w:t xml:space="preserve">ظاهرا غیر همانند:</w:t>
      </w:r>
    </w:p>
    <w:p>
      <w:pPr>
        <w:pStyle w:val="BookText"/>
      </w:pPr>
      <w:r>
        <w:rPr>
          <w:rFonts w:ascii="IRNazanin" w:hAnsi="IRNazanin" w:eastAsia="IRNazanin" w:cs="IRNazanin"/>
          <w:lang w:bidi="fa-IR"/>
          <w:color w:val="111111"/>
          <w:sz w:val="28"/>
          <w:szCs w:val="28"/>
          <w:rtl/>
        </w:rPr>
        <w:t xml:space="preserve">۱. تهران، دانشگاه؛ شماره نسخه:۵۴۶۶</w:t>
      </w:r>
    </w:p>
    <w:p>
      <w:pPr>
        <w:pStyle w:val="BookText"/>
      </w:pPr>
      <w:r>
        <w:rPr>
          <w:rFonts w:ascii="IRNazanin" w:hAnsi="IRNazanin" w:eastAsia="IRNazanin" w:cs="IRNazanin"/>
          <w:lang w:bidi="fa-IR"/>
          <w:color w:val="111111"/>
          <w:sz w:val="28"/>
          <w:szCs w:val="28"/>
          <w:rtl/>
        </w:rPr>
        <w:t xml:space="preserve">جز ترجمه محيي الدين محمد کرمانی؛ خط: نسخ، بی کا، تا: قرن ۱۲؛ کاغذ: فرنگی، جلد: تیماج تریاکی، ۱۳۴، ۲۱ سطر (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سم [ف: ۱۶-۱۷]</w:t>
      </w:r>
    </w:p>
    <w:p>
      <w:pPr>
        <w:pStyle w:val="BookText"/>
      </w:pPr>
      <w:r>
        <w:rPr>
          <w:rFonts w:ascii="IRNazanin" w:hAnsi="IRNazanin" w:eastAsia="IRNazanin" w:cs="IRNazanin"/>
          <w:lang w:bidi="fa-IR"/>
          <w:color w:val="111111"/>
          <w:sz w:val="28"/>
          <w:szCs w:val="28"/>
          <w:rtl/>
        </w:rPr>
        <w:t xml:space="preserve">تهران؛ دانشگاه؛ شماره نسخه:۲۲۷۴-ف</w:t>
      </w:r>
    </w:p>
    <w:p>
      <w:pPr>
        <w:pStyle w:val="BookText"/>
      </w:pPr>
      <w:r>
        <w:rPr>
          <w:rFonts w:ascii="Amiri" w:hAnsi="Amiri" w:eastAsia="Amiri" w:cs="Amiri"/>
          <w:lang w:bidi="ar-SA"/>
          <w:color w:val="111111"/>
          <w:sz w:val="28"/>
          <w:szCs w:val="28"/>
          <w:rtl/>
        </w:rPr>
        <w:t xml:space="preserve">نسخه اصل: همان نسخه بالا [فيلمها ف: ۱-۴۹]</w:t>
      </w:r>
    </w:p>
    <w:p>
      <w:pPr>
        <w:pStyle w:val="BookText"/>
      </w:pPr>
      <w:r>
        <w:rPr>
          <w:rFonts w:ascii="IRNazanin" w:hAnsi="IRNazanin" w:eastAsia="IRNazanin" w:cs="IRNazanin"/>
          <w:lang w:bidi="fa-IR"/>
          <w:color w:val="111111"/>
          <w:sz w:val="28"/>
          <w:szCs w:val="28"/>
          <w:rtl/>
        </w:rPr>
        <w:t xml:space="preserve">۲. تهران؛ مجلس؛ شماره نسخه:۱۳۸۷۴</w:t>
      </w:r>
    </w:p>
    <w:p>
      <w:pPr>
        <w:pStyle w:val="BookText"/>
      </w:pPr>
      <w:r>
        <w:rPr>
          <w:rFonts w:ascii="IRNazanin" w:hAnsi="IRNazanin" w:eastAsia="IRNazanin" w:cs="IRNazanin"/>
          <w:lang w:bidi="fa-IR"/>
          <w:color w:val="111111"/>
          <w:sz w:val="28"/>
          <w:szCs w:val="28"/>
          <w:rtl/>
        </w:rPr>
        <w:t xml:space="preserve">آغاز: سپاس بی قیاس مر خدای را که قدیم است پادشاهی او و بزرگ است شأن او ... اما بعد این کتابیست موسوم به تبصرة المتعلمين در حكمهای دین ... كتاب العبادات بدانکه عبادات شرع هفت است نماز و روزه و اعتكاف و؛ انجام: واگر کشت پدر پسر خود را به عمد، بستانند از وی دیت دیگری را دهند از ما نثبتناه في هذه المختصر ... يجعله ذلك لوجهه خالصا انه قريب مجیب
</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bookmarkStart w:id="658" w:name="pg20363_210004"/>
    <w:bookmarkEnd w:id="658"/>
    <w:p>
      <w:pPr>
        <w:pStyle w:val="BookText"/>
      </w:pPr>
      <w:r>
        <w:rPr>
          <w:rFonts w:ascii="IRNazanin" w:hAnsi="IRNazanin" w:eastAsia="IRNazanin" w:cs="IRNazanin"/>
          <w:lang w:bidi="fa-IR"/>
          <w:color w:val="111111"/>
          <w:sz w:val="28"/>
          <w:szCs w:val="28"/>
          <w:rtl/>
        </w:rPr>
        <w:t xml:space="preserve">ترجمه تحت اللفظی و روانی است؛ خط: نستعلیق، كا: على بن قوج احمد ایمنابادی، تا: غره صفر ۹۷۴ق؛ محشی؛ جلد: تیماج مشکی، ۱۶۹گ، ۱۳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۳۷-۴۴۱]</w:t>
      </w:r>
    </w:p>
    <w:p>
      <w:pPr>
        <w:pStyle w:val="BookText"/>
      </w:pPr>
      <w:r>
        <w:rPr>
          <w:rFonts w:ascii="IRNazanin" w:hAnsi="IRNazanin" w:eastAsia="IRNazanin" w:cs="IRNazanin"/>
          <w:lang w:bidi="fa-IR"/>
          <w:color w:val="111111"/>
          <w:sz w:val="28"/>
          <w:szCs w:val="28"/>
          <w:rtl/>
        </w:rPr>
        <w:t xml:space="preserve">٣. قم؛ مسجد اعظم؛ شماره نسخه:۲۸۳۴</w:t>
      </w:r>
    </w:p>
    <w:p>
      <w:pPr>
        <w:pStyle w:val="BookText"/>
      </w:pPr>
      <w:r>
        <w:rPr>
          <w:rFonts w:ascii="IRNazanin" w:hAnsi="IRNazanin" w:eastAsia="IRNazanin" w:cs="IRNazanin"/>
          <w:lang w:bidi="fa-IR"/>
          <w:color w:val="111111"/>
          <w:sz w:val="28"/>
          <w:szCs w:val="28"/>
          <w:rtl/>
        </w:rPr>
        <w:t xml:space="preserve">آغاز: سپاس و ستایش خدایی است که قدیمست پادشاهی او و عظیمست شأن خدائی او و روشن وظاهر است دلیلهای یکتائی او آن خداوند که انعام فرموده به بندگان خود بفرستادن پیغمبران؛ انجام: فصل دوازدهم در حكم جنایتی که بر حيوان واقع شود کسی که تلف گرداند حیوانی حلال گوشت را به ذبح شرعی لازم می شود بر وارش از برای مالک آن و اگر به غیر ذبح تلف گرداند لازم می شود بر او بهای آن در روز تلف</w:t>
      </w:r>
    </w:p>
    <w:p>
      <w:pPr>
        <w:pStyle w:val="BookText"/>
      </w:pPr>
      <w:r>
        <w:rPr>
          <w:rFonts w:ascii="IRNazanin" w:hAnsi="IRNazanin" w:eastAsia="IRNazanin" w:cs="IRNazanin"/>
          <w:lang w:bidi="fa-IR"/>
          <w:color w:val="111111"/>
          <w:sz w:val="28"/>
          <w:szCs w:val="28"/>
          <w:rtl/>
        </w:rPr>
        <w:t xml:space="preserve">ترجمه تحت اللفظی و روانی است از «تبصرة المتعلمين» علامه حلی که غیر از چند ترجمه موجود در دانشگاه میکر فیلم شماره ۳۰۲۰، سنا ۲۷۶/۲ ، دانشگاه تهران ۱۶/۱۷ شماره ۵۴۶۶ می باشد. نسخه حاضر از انتها ناقص است و از ابتدا (طهارت)، تا اواخر دیات را در بردارد؛ خط: نستعلیق، بی کا، تا: قرن ۱۱؛ افتادگی: انجام؛ مصحح، جلد: مقوا با روکش مشما عطف تیماج سیاه، ۲۹۰گ، ۱۱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آف مخ: ۱-۴۰۴]</w:t>
      </w:r>
    </w:p>
    <w:p>
      <w:pPr>
        <w:pStyle w:val="BookText"/>
      </w:pPr>
      <w:r>
        <w:rPr>
          <w:rFonts w:ascii="IRNazanin" w:hAnsi="IRNazanin" w:eastAsia="IRNazanin" w:cs="IRNazanin"/>
          <w:lang w:bidi="fa-IR"/>
          <w:color w:val="111111"/>
          <w:sz w:val="28"/>
          <w:szCs w:val="28"/>
          <w:rtl/>
        </w:rPr>
        <w:t xml:space="preserve">۴. قم: مرکز احیاء؛ شماره نسخه: ۱/ ۴۳۶۰</w:t>
      </w:r>
    </w:p>
    <w:p>
      <w:pPr>
        <w:pStyle w:val="BookText"/>
      </w:pPr>
      <w:r>
        <w:rPr>
          <w:rFonts w:ascii="IRNazanin" w:hAnsi="IRNazanin" w:eastAsia="IRNazanin" w:cs="IRNazanin"/>
          <w:lang w:bidi="fa-IR"/>
          <w:color w:val="111111"/>
          <w:sz w:val="28"/>
          <w:szCs w:val="28"/>
          <w:rtl/>
        </w:rPr>
        <w:t xml:space="preserve">آغاز: سپاس و ستایش خدائی راست که قدیم است پادشاهی او و عظیم است شأن خدائی او و روشن و ظاهر است دلیلهای یکتائی او؛ انجام: و همه مؤمنان و دوستان خاندان نبوت و ولایت را با دوست داشتگان ایشان برانگیزاند انه سميع مجيب و الحمدلله. خط: نسخ، كا: محمد امین بن محمد طاهر كقرانی، تا: چهارشنبه ۱۷ شعبان ۱۰۷۸ق؛ مصحح، یادداشتی</w:t>
      </w:r>
    </w:p>
    <w:p>
      <w:pPr>
        <w:pStyle w:val="BookText"/>
      </w:pPr>
      <w:r>
        <w:rPr>
          <w:rFonts w:ascii="IRNazanin" w:hAnsi="IRNazanin" w:eastAsia="IRNazanin" w:cs="IRNazanin"/>
          <w:lang w:bidi="fa-IR"/>
          <w:color w:val="111111"/>
          <w:sz w:val="28"/>
          <w:szCs w:val="28"/>
          <w:rtl/>
        </w:rPr>
        <w:t xml:space="preserve">تاریخی در جلوس ناصرالدین شاه قاجار به سلطنت در سال ۱۲۶۴؛ جلد: تیماج قهوه ای، ۱۴۷گ (۱پ -۱۴۷ر)، ۱۵ سطر، اندازه: ۲۰/۵</w:t>
      </w:r>
      <w:r>
        <w:rPr>
          <w:rFonts w:ascii="Times New Roman" w:hAnsi="Times New Roman" w:eastAsia="Times New Roman" w:cs="Times New Roman"/>
          <w:lang w:val="en-US" w:bidi="en-US"/>
          <w:color w:val="111111"/>
          <w:sz w:val="28"/>
          <w:szCs w:val="28"/>
          <w:rtl/>
        </w:rPr>
        <w:t xml:space="preserve">x</w:t>
      </w:r>
      <w:r>
        <w:rPr>
          <w:rFonts w:ascii="IRNazanin" w:hAnsi="IRNazanin" w:eastAsia="IRNazanin" w:cs="IRNazanin"/>
          <w:lang w:bidi="fa-IR"/>
          <w:color w:val="111111"/>
          <w:sz w:val="28"/>
          <w:szCs w:val="28"/>
          <w:rtl/>
        </w:rPr>
        <w:t xml:space="preserve">۱۳/۵ سم [محدث ارموی مخ: ۱-۳۶۰]</w:t>
      </w:r>
    </w:p>
    <w:p>
      <w:pPr>
        <w:pStyle w:val="BookText"/>
      </w:pPr>
      <w:r>
        <w:rPr>
          <w:rFonts w:ascii="IRNazanin" w:hAnsi="IRNazanin" w:eastAsia="IRNazanin" w:cs="IRNazanin"/>
          <w:lang w:bidi="fa-IR"/>
          <w:color w:val="111111"/>
          <w:sz w:val="28"/>
          <w:szCs w:val="28"/>
          <w:rtl/>
        </w:rPr>
        <w:t xml:space="preserve">۵. یزد؛ علومی، شیخ علی؛ شماره نسخه: ۱۱</w:t>
      </w:r>
    </w:p>
    <w:p>
      <w:pPr>
        <w:pStyle w:val="BookText"/>
      </w:pPr>
      <w:r>
        <w:rPr>
          <w:rFonts w:ascii="IRNazanin" w:hAnsi="IRNazanin" w:eastAsia="IRNazanin" w:cs="IRNazanin"/>
          <w:lang w:bidi="fa-IR"/>
          <w:color w:val="111111"/>
          <w:sz w:val="28"/>
          <w:szCs w:val="28"/>
          <w:rtl/>
        </w:rPr>
        <w:t xml:space="preserve">آغاز: سپاس و ستایش خدای را که قدیم است و پادشاهی او عظیم است شان خدایی او روشن و ظاهر است دلیلهای یکتایی او ... اما بعد بدانکه این ترجمه تبصرة المتعلمين است که جمع فرموده است آن را حضرت شیخ اجل اکرم اعلم ذى الفضايل الجلية [و] الخصايل السنية المعني آثار حضرت النبوى المحیی المآثر العترة المصطفوية الشيخ جمال الملة و الشريعة و الدين حسن بن مطهر الحلى افاض الله عليه شابيب الرضوان و اسکنه فرادیس الجنان ... و چنین فرموده که این کتاب را ساختیم از برای راه نمودن نو آموزندگان و فایده در آن مر طلب کنندگان؛ انجام: که بگرداند سعی ما را خاصه از جهت رضای او آمین یا رب العالمين و الصلوة.</w:t>
      </w:r>
    </w:p>
    <w:p>
      <w:pPr>
        <w:pStyle w:val="BookText"/>
      </w:pPr>
      <w:r>
        <w:rPr>
          <w:rFonts w:ascii="IRNazanin" w:hAnsi="IRNazanin" w:eastAsia="IRNazanin" w:cs="IRNazanin"/>
          <w:lang w:bidi="fa-IR"/>
          <w:color w:val="111111"/>
          <w:sz w:val="28"/>
          <w:szCs w:val="28"/>
          <w:rtl/>
        </w:rPr>
        <w:t xml:space="preserve">همانند نسخه ثقة الاسلام تبریزی؛ خط: نسخ، بی کا، تا: قرن ۱۰ و ۱۱، ۱۳۵ گ، ۲۰ سطر، قطع: ربعی آنشریه: ۴-۴۳۷]</w:t>
      </w:r>
    </w:p>
    <w:p>
      <w:pPr>
        <w:pStyle w:val="BookText"/>
      </w:pPr>
      <w:r>
        <w:rPr>
          <w:rFonts w:ascii="IRNazanin" w:hAnsi="IRNazanin" w:eastAsia="IRNazanin" w:cs="IRNazanin"/>
          <w:lang w:bidi="fa-IR"/>
          <w:color w:val="111111"/>
          <w:sz w:val="28"/>
          <w:szCs w:val="28"/>
          <w:rtl/>
        </w:rPr>
        <w:t xml:space="preserve">۶. تبریز؛ ثقة الاسلام؛ شماره نسخه:بدون شماره/۲</w:t>
      </w:r>
    </w:p>
    <w:p>
      <w:pPr>
        <w:pStyle w:val="BookText"/>
      </w:pPr>
      <w:r>
        <w:rPr>
          <w:rFonts w:ascii="IRNazanin" w:hAnsi="IRNazanin" w:eastAsia="IRNazanin" w:cs="IRNazanin"/>
          <w:lang w:bidi="fa-IR"/>
          <w:color w:val="111111"/>
          <w:sz w:val="28"/>
          <w:szCs w:val="28"/>
          <w:rtl/>
        </w:rPr>
        <w:t xml:space="preserve">تبصرة المتعلمين ۸۷۷ آغاز: سپاس و ستایش خدای را که قدیمست پادشاهی او و عظیمست شأن خدایی او، و روشن و ظاهر است دلیلهای یکتایی او ... اما بعد بدانکه این کتاب ترجمه تبصرة المتعلمين است که جمع فرموده است آن را حضرت بی کا، بیتا [نشریه: ۷-۵۳۹]</w:t>
      </w:r>
    </w:p>
    <w:p>
      <w:pPr>
        <w:pStyle w:val="Heading3"/>
      </w:pPr>
      <w:bookmarkStart w:id="2913" w:name="_Toc2173"/>
      <w:r>
        <w:t>•تبصرة المتعلمين منظوم / فقه، شعر / عربی</w:t>
      </w:r>
      <w:bookmarkEnd w:id="2913"/>
    </w:p>
    <w:p>
      <w:pPr>
        <w:pStyle w:val="BookText"/>
      </w:pPr>
      <w:r>
        <w:rPr>
          <w:rFonts w:ascii="Times New Roman" w:hAnsi="Times New Roman" w:eastAsia="Times New Roman" w:cs="Times New Roman"/>
          <w:lang w:val="en-US" w:bidi="en-US"/>
          <w:color w:val="111111"/>
          <w:sz w:val="28"/>
          <w:szCs w:val="28"/>
          <w:rtl/>
        </w:rPr>
        <w:t xml:space="preserve">tabSirat-ul muti'allimin-i manzum</w:t>
      </w:r>
    </w:p>
    <w:p>
      <w:pPr>
        <w:pStyle w:val="BookText"/>
      </w:pPr>
      <w:r>
        <w:rPr>
          <w:rFonts w:ascii="IRNazanin" w:hAnsi="IRNazanin" w:eastAsia="IRNazanin" w:cs="IRNazanin"/>
          <w:lang w:bidi="fa-IR"/>
          <w:color w:val="111111"/>
          <w:sz w:val="28"/>
          <w:szCs w:val="28"/>
          <w:rtl/>
        </w:rPr>
        <w:t xml:space="preserve">حسینی سیفی، محمد بن محمد مهدی، - ۱۱۵۰؟ قمری</w:t>
      </w:r>
    </w:p>
    <w:p>
      <w:pPr>
        <w:pStyle w:val="BookText"/>
      </w:pPr>
      <w:r>
        <w:rPr>
          <w:rFonts w:ascii="Times New Roman" w:hAnsi="Times New Roman" w:eastAsia="Times New Roman" w:cs="Times New Roman"/>
          <w:lang w:val="en-US" w:bidi="en-US"/>
          <w:color w:val="111111"/>
          <w:sz w:val="28"/>
          <w:szCs w:val="28"/>
          <w:rtl/>
        </w:rPr>
        <w:t xml:space="preserve">hoseynī seyfī, mohammad ebn-e mohammad mahdī ( 1738)</w:t>
      </w:r>
    </w:p>
    <w:p>
      <w:pPr>
        <w:pStyle w:val="BookText"/>
      </w:pPr>
      <w:r>
        <w:rPr>
          <w:rFonts w:ascii="IRNazanin" w:hAnsi="IRNazanin" w:eastAsia="IRNazanin" w:cs="IRNazanin"/>
          <w:lang w:bidi="fa-IR"/>
          <w:color w:val="111111"/>
          <w:sz w:val="28"/>
          <w:szCs w:val="28"/>
          <w:rtl/>
        </w:rPr>
        <w:t xml:space="preserve">وابسته به: تبصرة المتعلمين في أحكام الدين؛ علامه حلی، حسن بن یوسف (۶۴۸-۷۲۶) متن تبصرة المتعلمين في أحكام الدین از علامه حلی (۶۴۸ ۷۲۶ق) که در بالا یاد شد نظم آن به عربی شاید از قوام الدين سیفی قزوینی (-۱۱۵۰ ق) صاحب «تحفه قوامیه» باشد که چندین متن دیگر را نیز به عربی سروده است. این منظومه مفصل در حدود دو هزار بیت است. آغاز: بسمله. الحمدلله الذي تقادما *** سلطانه و شانه تعاظما / و بعد فالتبصرة المعظمة *** تبصرة لمن بغى تعلمه</w:t>
      </w:r>
    </w:p>
    <w:p>
      <w:pPr>
        <w:pStyle w:val="BookText"/>
      </w:pPr>
      <w:r>
        <w:rPr>
          <w:rFonts w:ascii="Amiri" w:hAnsi="Amiri" w:eastAsia="Amiri" w:cs="Amiri"/>
          <w:lang w:bidi="ar-SA"/>
          <w:color w:val="111111"/>
          <w:sz w:val="28"/>
          <w:szCs w:val="28"/>
          <w:rtl/>
        </w:rPr>
        <w:t xml:space="preserve">[دنا ۷۷۲/۲ ؛ الذريعة ۴۶۲/۳ و ۴۸۷/۹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سپهسالار؛ شماره نسخه:۶۱۵۷</w:t>
      </w:r>
    </w:p>
    <w:p>
      <w:pPr>
        <w:pStyle w:val="BookText"/>
      </w:pPr>
      <w:r>
        <w:rPr>
          <w:rFonts w:ascii="Amiri" w:hAnsi="Amiri" w:eastAsia="Amiri" w:cs="Amiri"/>
          <w:lang w:bidi="ar-SA"/>
          <w:color w:val="111111"/>
          <w:sz w:val="28"/>
          <w:szCs w:val="28"/>
          <w:rtl/>
        </w:rPr>
        <w:t xml:space="preserve">آغاز: برابر؛ انجام: كان على عاقلة الاب الدية *** و تم ما في خاطري أن أنهيه / و الحمدلله و تسليمي على *** محمد و آله خير الملا</w:t>
      </w:r>
    </w:p>
    <w:p>
      <w:pPr>
        <w:pStyle w:val="BookText"/>
      </w:pPr>
      <w:r>
        <w:rPr>
          <w:rFonts w:ascii="IRNazanin" w:hAnsi="IRNazanin" w:eastAsia="IRNazanin" w:cs="IRNazanin"/>
          <w:lang w:bidi="fa-IR"/>
          <w:color w:val="111111"/>
          <w:sz w:val="28"/>
          <w:szCs w:val="28"/>
          <w:rtl/>
        </w:rPr>
        <w:t xml:space="preserve">خط: نسخ، بی کا، تا: قرن ۱۲؛ با تاریخ ۱۱۳۷ق، حاشیه های فارسی و عربی؛ دارای منظومه ای از ملا محراب؛ کاغذ: سپاهانی سفید، جلد: تیماج زرد، ۱۰۸گ، ۱۷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۱۲/۵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سم [ف: ۳-۳۱۲]</w:t>
      </w:r>
    </w:p>
    <w:p>
      <w:pPr>
        <w:pStyle w:val="BookText"/>
      </w:pPr>
      <w:r>
        <w:rPr>
          <w:rFonts w:ascii="IRNazanin" w:hAnsi="IRNazanin" w:eastAsia="IRNazanin" w:cs="IRNazanin"/>
          <w:lang w:bidi="fa-IR"/>
          <w:color w:val="111111"/>
          <w:sz w:val="28"/>
          <w:szCs w:val="28"/>
          <w:rtl/>
        </w:rPr>
        <w:t xml:space="preserve">۲. قم؛ مرکز احیاء؛ شماره نسخه:۲۰۳۴</w:t>
      </w:r>
    </w:p>
    <w:p>
      <w:pPr>
        <w:pStyle w:val="BookText"/>
      </w:pPr>
      <w:r>
        <w:rPr>
          <w:rFonts w:ascii="IRNazanin" w:hAnsi="IRNazanin" w:eastAsia="IRNazanin" w:cs="IRNazanin"/>
          <w:lang w:bidi="fa-IR"/>
          <w:color w:val="111111"/>
          <w:sz w:val="28"/>
          <w:szCs w:val="28"/>
          <w:rtl/>
        </w:rPr>
        <w:t xml:space="preserve">آغاز: برابر؛ انجام: كان على عاقله الاب الدية *** و تم ما في خاطری آن تهیه / و الحمدلله و تسليمي على *** محمد و آله خیر الملا در فهرست ناشناس؛ خط: نسخ، كا: حسین ملا شاهمراد شولستانی، تا: یک شنبه ۱۹ محرم ۱۱۸۵ق؛ جلد: تیماج قرمز، ۱۲۸ گ، ۱۵ سطر، اندازه: ۱۱/۵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۱۷/۵ سم [محدث ارموی مخ: ۳-۱۶۱۳]</w:t>
      </w:r>
    </w:p>
    <w:p>
      <w:pPr>
        <w:pStyle w:val="BookText"/>
      </w:pPr>
      <w:r>
        <w:rPr>
          <w:rFonts w:ascii="IRNazanin" w:hAnsi="IRNazanin" w:eastAsia="IRNazanin" w:cs="IRNazanin"/>
          <w:lang w:bidi="fa-IR"/>
          <w:color w:val="111111"/>
          <w:sz w:val="28"/>
          <w:szCs w:val="28"/>
          <w:rtl/>
        </w:rPr>
        <w:t xml:space="preserve">٣. یزد؛ وزیری؛ شماره نسخه: ۲۴۷۶/۳</w:t>
      </w:r>
    </w:p>
    <w:p>
      <w:pPr>
        <w:pStyle w:val="BookText"/>
      </w:pPr>
      <w:r>
        <w:rPr>
          <w:rFonts w:ascii="IRNazanin" w:hAnsi="IRNazanin" w:eastAsia="IRNazanin" w:cs="IRNazanin"/>
          <w:lang w:bidi="fa-IR"/>
          <w:color w:val="111111"/>
          <w:sz w:val="28"/>
          <w:szCs w:val="28"/>
          <w:rtl/>
        </w:rPr>
        <w:t xml:space="preserve">آغاز: برابر بی کا، بی تا؛ اهدایی: وزیری؛ کاغذ: نوعی ترمه، جلد: تیماج تریاکی، ۱۱۱گ (۲۷-۱۳۷)،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سم [ف: ۴-۱۳۰۹]</w:t>
      </w:r>
    </w:p>
    <w:p>
      <w:pPr>
        <w:pStyle w:val="Heading3"/>
      </w:pPr>
      <w:bookmarkStart w:id="2914" w:name="_Toc2174"/>
      <w:r>
        <w:t>•تبصرة المتعلمين منظوم / فقه / عربی</w:t>
      </w:r>
      <w:bookmarkEnd w:id="2914"/>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bookmarkStart w:id="659" w:name="pg20363_210005"/>
    <w:bookmarkEnd w:id="659"/>
    <w:p>
      <w:pPr>
        <w:pStyle w:val="BookText"/>
      </w:pPr>
      <w:r>
        <w:rPr>
          <w:rFonts w:ascii="Times New Roman" w:hAnsi="Times New Roman" w:eastAsia="Times New Roman" w:cs="Times New Roman"/>
          <w:lang w:val="en-US" w:bidi="en-US"/>
          <w:color w:val="111111"/>
          <w:sz w:val="28"/>
          <w:szCs w:val="28"/>
          <w:rtl/>
        </w:rPr>
        <w:t xml:space="preserve">tabSirat-ul muti'allimin-i manzum</w:t>
      </w:r>
    </w:p>
    <w:p>
      <w:pPr>
        <w:pStyle w:val="BookText"/>
      </w:pPr>
      <w:r>
        <w:rPr>
          <w:rFonts w:ascii="IRNazanin" w:hAnsi="IRNazanin" w:eastAsia="IRNazanin" w:cs="IRNazanin"/>
          <w:lang w:bidi="fa-IR"/>
          <w:color w:val="111111"/>
          <w:sz w:val="28"/>
          <w:szCs w:val="28"/>
          <w:rtl/>
        </w:rPr>
        <w:t xml:space="preserve">زنجانی، عباسعلی، ۱۳۴۴ قمری</w:t>
      </w:r>
    </w:p>
    <w:p>
      <w:pPr>
        <w:pStyle w:val="BookText"/>
      </w:pPr>
      <w:r>
        <w:rPr>
          <w:rFonts w:ascii="Times New Roman" w:hAnsi="Times New Roman" w:eastAsia="Times New Roman" w:cs="Times New Roman"/>
          <w:lang w:val="en-US" w:bidi="en-US"/>
          <w:color w:val="111111"/>
          <w:sz w:val="28"/>
          <w:szCs w:val="28"/>
          <w:rtl/>
        </w:rPr>
        <w:t xml:space="preserve">zanjani, abbas'ali (-1926)</w:t>
      </w:r>
    </w:p>
    <w:p>
      <w:pPr>
        <w:pStyle w:val="BookText"/>
      </w:pPr>
      <w:r>
        <w:rPr>
          <w:rFonts w:ascii="IRNazanin" w:hAnsi="IRNazanin" w:eastAsia="IRNazanin" w:cs="IRNazanin"/>
          <w:lang w:bidi="fa-IR"/>
          <w:color w:val="111111"/>
          <w:sz w:val="28"/>
          <w:szCs w:val="28"/>
          <w:rtl/>
        </w:rPr>
        <w:t xml:space="preserve">وابسته به: تبصرة المتعلمين في أحكام الدين علامه حلی، حسن بن یوسف (۶۴۸-۷۲۶) منظومه ای حدود سه هزار بیت، که «تبصرة المتعلمين» علامه حلی به نظم کشیده شده است.</w:t>
      </w:r>
    </w:p>
    <w:p>
      <w:pPr>
        <w:pStyle w:val="BookText"/>
      </w:pPr>
      <w:r>
        <w:rPr>
          <w:rFonts w:ascii="IRNazanin" w:hAnsi="IRNazanin" w:eastAsia="IRNazanin" w:cs="IRNazanin"/>
          <w:lang w:bidi="fa-IR"/>
          <w:color w:val="111111"/>
          <w:sz w:val="28"/>
          <w:szCs w:val="28"/>
          <w:rtl/>
        </w:rPr>
        <w:t xml:space="preserve">قم؛ مرعشی؛ شماره نسخه:۶۰۸۴</w:t>
      </w:r>
    </w:p>
    <w:p>
      <w:pPr>
        <w:pStyle w:val="BookText"/>
      </w:pPr>
      <w:r>
        <w:rPr>
          <w:rFonts w:ascii="Amiri" w:hAnsi="Amiri" w:eastAsia="Amiri" w:cs="Amiri"/>
          <w:lang w:bidi="ar-SA"/>
          <w:color w:val="111111"/>
          <w:sz w:val="28"/>
          <w:szCs w:val="28"/>
          <w:rtl/>
        </w:rPr>
        <w:t xml:space="preserve">آغاز: الحمدلله القديم الاول *** الواحد الفرد العلى الأجلل / هو الذي كرم ابن آدم *** فضلنا على السوى في العالم؛ انجام: و كل من أوصى باخراج الولد *** من دون مانع من الارث فسد</w:t>
      </w:r>
    </w:p>
    <w:p>
      <w:pPr>
        <w:pStyle w:val="BookText"/>
      </w:pPr>
      <w:r>
        <w:rPr>
          <w:rFonts w:ascii="IRNazanin" w:hAnsi="IRNazanin" w:eastAsia="IRNazanin" w:cs="IRNazanin"/>
          <w:lang w:bidi="fa-IR"/>
          <w:color w:val="111111"/>
          <w:sz w:val="28"/>
          <w:szCs w:val="28"/>
          <w:rtl/>
        </w:rPr>
        <w:t xml:space="preserve">خط: نسخ، كا: فیاض زنجانی (از آغاز تا آخر جهاد)، تا: جمعه ۱۹ ربیع الاول ۱۳۲۵، باقی نسخه به خط غلامحسین زنجانی، ۲۳ ربيع الأول ۱۳۲۵؛ در برگهائی قبل از کتاب تاریخ در گذشت ناظم و دو یادداشت بخط فرزندش و پس از کتاب چند یادداشت از ناظم دیده میشود؛ جلد: تیماج قهوه ای ضربی، ۱۵۹گ، ۱۲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۱۶-۹۰)</w:t>
      </w:r>
    </w:p>
    <w:p>
      <w:pPr>
        <w:pStyle w:val="Heading3"/>
      </w:pPr>
      <w:bookmarkStart w:id="2915" w:name="_Toc2175"/>
      <w:r>
        <w:t>•تبصرة المتهجدين و قرة عين العابدین / فقه / فارسی</w:t>
      </w:r>
      <w:bookmarkEnd w:id="2915"/>
    </w:p>
    <w:p>
      <w:pPr>
        <w:pStyle w:val="BookText"/>
      </w:pPr>
      <w:r>
        <w:rPr>
          <w:rFonts w:ascii="Times New Roman" w:hAnsi="Times New Roman" w:eastAsia="Times New Roman" w:cs="Times New Roman"/>
          <w:lang w:val="en-US" w:bidi="en-US"/>
          <w:color w:val="111111"/>
          <w:sz w:val="28"/>
          <w:szCs w:val="28"/>
          <w:rtl/>
        </w:rPr>
        <w:t xml:space="preserve">tabserat-ol motehajjedīn va qorrat-o ‘ayn-el ‘ābedīn</w:t>
      </w:r>
    </w:p>
    <w:p>
      <w:pPr>
        <w:pStyle w:val="BookText"/>
      </w:pPr>
      <w:r>
        <w:rPr>
          <w:rFonts w:ascii="IRNazanin" w:hAnsi="IRNazanin" w:eastAsia="IRNazanin" w:cs="IRNazanin"/>
          <w:lang w:bidi="fa-IR"/>
          <w:color w:val="111111"/>
          <w:sz w:val="28"/>
          <w:szCs w:val="28"/>
          <w:rtl/>
        </w:rPr>
        <w:t xml:space="preserve">بروجنی، علی بن باقر، ق ۱۴ قمری</w:t>
      </w:r>
    </w:p>
    <w:p>
      <w:pPr>
        <w:pStyle w:val="BookText"/>
      </w:pPr>
      <w:r>
        <w:rPr>
          <w:rFonts w:ascii="Times New Roman" w:hAnsi="Times New Roman" w:eastAsia="Times New Roman" w:cs="Times New Roman"/>
          <w:lang w:val="en-US" w:bidi="en-US"/>
          <w:color w:val="111111"/>
          <w:sz w:val="28"/>
          <w:szCs w:val="28"/>
          <w:rtl/>
        </w:rPr>
        <w:t xml:space="preserve">borūjenī, ‘alī ebn-e bāqer (-20c)</w:t>
      </w:r>
    </w:p>
    <w:p>
      <w:pPr>
        <w:pStyle w:val="BookText"/>
      </w:pPr>
      <w:r>
        <w:rPr>
          <w:rFonts w:ascii="IRNazanin" w:hAnsi="IRNazanin" w:eastAsia="IRNazanin" w:cs="IRNazanin"/>
          <w:lang w:bidi="fa-IR"/>
          <w:color w:val="111111"/>
          <w:sz w:val="28"/>
          <w:szCs w:val="28"/>
          <w:rtl/>
        </w:rPr>
        <w:t xml:space="preserve">مؤلف پس از نوشتن تفسیر قرآن کریم و شرحی بر کتاب ریاض در فقه به نوشتن شرحی بر جواهر الكلام به نام «بحر الجواهر» در هزار هزار بیت پرداخت و هنگام نوشتن شرح كتاب نکاح آن، یکی از دوستان درخواست نمود که رساله ای در اعمال شب از واجب و مستحب و اذکار بنگارد.</w:t>
      </w:r>
    </w:p>
    <w:p>
      <w:pPr>
        <w:pStyle w:val="BookText"/>
      </w:pPr>
      <w:r>
        <w:rPr>
          <w:rFonts w:ascii="IRNazanin" w:hAnsi="IRNazanin" w:eastAsia="IRNazanin" w:cs="IRNazanin"/>
          <w:lang w:bidi="fa-IR"/>
          <w:color w:val="111111"/>
          <w:sz w:val="28"/>
          <w:szCs w:val="28"/>
          <w:rtl/>
        </w:rPr>
        <w:t xml:space="preserve">در پاسخ این درخواست کتاب حاضر را درهشت «باب» و یک «خاتمه» ترتیب داد: ۱. آداب وضو؛ ۲. آداب اذان و اقامه؛ ۳. آداب مغرب و عشاء؛ ۴. آداب نماز شب؛ ۵. آداب سحر و بعضی ادعیه آن؛ ۶. آداب نماز جعفر طیار؛ ۷. آداب نماز آیات؛ ۸ احکام نماز آیات.</w:t>
      </w:r>
    </w:p>
    <w:p>
      <w:pPr>
        <w:pStyle w:val="BookText"/>
      </w:pPr>
      <w:r>
        <w:rPr>
          <w:rFonts w:ascii="IRNazanin" w:hAnsi="IRNazanin" w:eastAsia="IRNazanin" w:cs="IRNazanin"/>
          <w:lang w:bidi="fa-IR"/>
          <w:color w:val="111111"/>
          <w:sz w:val="28"/>
          <w:szCs w:val="28"/>
          <w:rtl/>
        </w:rPr>
        <w:t xml:space="preserve">۱. قم؛ مرعشی؛ شماره نسخه:۲۹۲۷</w:t>
      </w:r>
    </w:p>
    <w:p>
      <w:pPr>
        <w:pStyle w:val="BookText"/>
      </w:pPr>
      <w:r>
        <w:rPr>
          <w:rFonts w:ascii="IRNazanin" w:hAnsi="IRNazanin" w:eastAsia="IRNazanin" w:cs="IRNazanin"/>
          <w:lang w:bidi="fa-IR"/>
          <w:color w:val="111111"/>
          <w:sz w:val="28"/>
          <w:szCs w:val="28"/>
          <w:rtl/>
        </w:rPr>
        <w:t xml:space="preserve">آغاز: فيقول أضعف عباد الله الصالحين ... فأردت أن أكتب بعض ما يفتقر اليه عباد الله المؤمنون؛ انجام: پس انداخت موسی عصائیکه در دست داشت دیدند اژدهای بزرگی شد ... خط: نسخ، كاتب مؤلف، بی تا؛ افتادگی: انجام؛ جلد: مقوایی عطف تیماج قهوه ای، ۱۸ گ، ۱۹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۸-۱۱۹]</w:t>
      </w:r>
    </w:p>
    <w:p>
      <w:pPr>
        <w:pStyle w:val="BookText"/>
      </w:pPr>
      <w:r>
        <w:rPr>
          <w:rFonts w:ascii="IRNazanin" w:hAnsi="IRNazanin" w:eastAsia="IRNazanin" w:cs="IRNazanin"/>
          <w:lang w:bidi="fa-IR"/>
          <w:color w:val="111111"/>
          <w:sz w:val="28"/>
          <w:szCs w:val="28"/>
          <w:rtl/>
        </w:rPr>
        <w:t xml:space="preserve">۲. قم، گلپایگانی؛ شماره نسخه:۳۶۱۵- ۱۸/۱۳۵</w:t>
      </w:r>
    </w:p>
    <w:p>
      <w:pPr>
        <w:pStyle w:val="BookText"/>
      </w:pPr>
      <w:r>
        <w:rPr>
          <w:rFonts w:ascii="IRNazanin" w:hAnsi="IRNazanin" w:eastAsia="IRNazanin" w:cs="IRNazanin"/>
          <w:lang w:bidi="fa-IR"/>
          <w:color w:val="111111"/>
          <w:sz w:val="28"/>
          <w:szCs w:val="28"/>
          <w:rtl/>
        </w:rPr>
        <w:t xml:space="preserve">آغاز: بسمله الحمدلله على ماعرفنا من نفسه و ألهمنا من شكره و فتح لنا من ابواب العلم بربوبيته .. فبعد فيقول ... على بن الحاج ملا باقر البروجنی فانی مع فقرى وقلة بضاعتی؛ انجام: صاننا الله و اياكم من حوادث الزمان من متابعة الهواء و الشيطان بأسمائه العظام و أنبيائه الكرام</w:t>
      </w:r>
    </w:p>
    <w:p>
      <w:pPr>
        <w:pStyle w:val="BookText"/>
      </w:pPr>
      <w:r>
        <w:rPr>
          <w:rFonts w:ascii="IRNazanin" w:hAnsi="IRNazanin" w:eastAsia="IRNazanin" w:cs="IRNazanin"/>
          <w:lang w:bidi="fa-IR"/>
          <w:color w:val="111111"/>
          <w:sz w:val="28"/>
          <w:szCs w:val="28"/>
          <w:rtl/>
        </w:rPr>
        <w:t xml:space="preserve">خط: نسخ، كا: ابراهیم اصفهانی، تا: غره محرم ۱۳۲۰ق؛ جلد: مقوایی عطف تیماج</w:t>
      </w:r>
    </w:p>
    <w:p>
      <w:pPr>
        <w:pStyle w:val="BookText"/>
      </w:pPr>
      <w:r>
        <w:rPr>
          <w:rFonts w:ascii="IRNazanin" w:hAnsi="IRNazanin" w:eastAsia="IRNazanin" w:cs="IRNazanin"/>
          <w:lang w:bidi="fa-IR"/>
          <w:color w:val="111111"/>
          <w:sz w:val="28"/>
          <w:szCs w:val="28"/>
          <w:rtl/>
        </w:rPr>
        <w:t xml:space="preserve">قرمز، ۱۴۱، ۱۳ سطر، اندازه: ۱۳/۵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۲-۷۱۱]</w:t>
      </w:r>
    </w:p>
    <w:p>
      <w:pPr>
        <w:pStyle w:val="Heading3"/>
      </w:pPr>
      <w:bookmarkStart w:id="2916" w:name="_Toc2176"/>
      <w:r>
        <w:t>•تبصرة المجتهدين في استظهار استار حجب الیقین / فقه / عربی</w:t>
      </w:r>
      <w:bookmarkEnd w:id="2916"/>
    </w:p>
    <w:p>
      <w:pPr>
        <w:pStyle w:val="BookText"/>
      </w:pPr>
      <w:r>
        <w:rPr>
          <w:rFonts w:ascii="Times New Roman" w:hAnsi="Times New Roman" w:eastAsia="Times New Roman" w:cs="Times New Roman"/>
          <w:lang w:val="en-US" w:bidi="en-US"/>
          <w:color w:val="111111"/>
          <w:sz w:val="28"/>
          <w:szCs w:val="28"/>
          <w:rtl/>
        </w:rPr>
        <w:t xml:space="preserve">tabșirat-ul mujtahidīn fī istiqhār-i astār-i hujub-il yaqīn</w:t>
      </w:r>
    </w:p>
    <w:p>
      <w:pPr>
        <w:pStyle w:val="BookText"/>
      </w:pPr>
      <w:r>
        <w:rPr>
          <w:rFonts w:ascii="IRNazanin" w:hAnsi="IRNazanin" w:eastAsia="IRNazanin" w:cs="IRNazanin"/>
          <w:lang w:bidi="fa-IR"/>
          <w:color w:val="111111"/>
          <w:sz w:val="28"/>
          <w:szCs w:val="28"/>
          <w:rtl/>
        </w:rPr>
        <w:t xml:space="preserve">حسینی علوی، محمد بن احمد، ق ۱۱ قمری</w:t>
      </w:r>
    </w:p>
    <w:p>
      <w:pPr>
        <w:pStyle w:val="BookText"/>
      </w:pPr>
      <w:r>
        <w:rPr>
          <w:rFonts w:ascii="Times New Roman" w:hAnsi="Times New Roman" w:eastAsia="Times New Roman" w:cs="Times New Roman"/>
          <w:lang w:val="en-US" w:bidi="en-US"/>
          <w:color w:val="111111"/>
          <w:sz w:val="28"/>
          <w:szCs w:val="28"/>
          <w:rtl/>
        </w:rPr>
        <w:t xml:space="preserve">hoseynī ‘alavī, mohammad ebn-e ahmad (-17c)</w:t>
      </w:r>
    </w:p>
    <w:p>
      <w:pPr>
        <w:pStyle w:val="BookText"/>
      </w:pPr>
      <w:r>
        <w:rPr>
          <w:rFonts w:ascii="IRNazanin" w:hAnsi="IRNazanin" w:eastAsia="IRNazanin" w:cs="IRNazanin"/>
          <w:lang w:bidi="fa-IR"/>
          <w:color w:val="111111"/>
          <w:sz w:val="28"/>
          <w:szCs w:val="28"/>
          <w:rtl/>
        </w:rPr>
        <w:t xml:space="preserve">رساله ای درباره نماز جمعه است که مؤلف در آن جانب عدم وجوب تعیینی آن را گرفته است و به رد شهید ثانی پرداخته است که معتقد به وجوب تعیینی آن بوده است. در این کتاب به طور خاص به کتاب صلاة الجمعة» شهید ثانی نظر دارد و عبارات وی را از آن کتاب جمله به جمله نقل می کند و در آن مناقشه می کند. این کتاب کتاب مبسوطی است که در ابتدای آن مقدمات اصولی در اجماع و دلالت صیغه امر و غیر آن می آید و در آن از جدش نقل قول می کند.</w:t>
      </w:r>
    </w:p>
    <w:p>
      <w:pPr>
        <w:pStyle w:val="BookText"/>
      </w:pPr>
      <w:r>
        <w:rPr>
          <w:rFonts w:ascii="IRNazanin" w:hAnsi="IRNazanin" w:eastAsia="IRNazanin" w:cs="IRNazanin"/>
          <w:lang w:bidi="fa-IR"/>
          <w:color w:val="111111"/>
          <w:sz w:val="28"/>
          <w:szCs w:val="28"/>
          <w:rtl/>
        </w:rPr>
        <w:t xml:space="preserve">[مكتبة امير المومنین ۱۹۹/۱]</w:t>
      </w:r>
    </w:p>
    <w:p>
      <w:pPr>
        <w:pStyle w:val="BookText"/>
      </w:pPr>
      <w:r>
        <w:rPr>
          <w:rFonts w:ascii="IRNazanin" w:hAnsi="IRNazanin" w:eastAsia="IRNazanin" w:cs="IRNazanin"/>
          <w:lang w:bidi="fa-IR"/>
          <w:color w:val="111111"/>
          <w:sz w:val="28"/>
          <w:szCs w:val="28"/>
          <w:rtl/>
        </w:rPr>
        <w:t xml:space="preserve">۱. قم؛ مرعشی؛ شماره نسخه:۵۳۳۸</w:t>
      </w:r>
    </w:p>
    <w:p>
      <w:pPr>
        <w:pStyle w:val="BookText"/>
      </w:pPr>
      <w:r>
        <w:rPr>
          <w:rFonts w:ascii="IRNazanin" w:hAnsi="IRNazanin" w:eastAsia="IRNazanin" w:cs="IRNazanin"/>
          <w:lang w:bidi="fa-IR"/>
          <w:color w:val="111111"/>
          <w:sz w:val="28"/>
          <w:szCs w:val="28"/>
          <w:rtl/>
        </w:rPr>
        <w:t xml:space="preserve">آغاز: الحمدلله ارتاح بفجره في ظلمات وحشته المرس يوم النشور و استضىء بمصباح عدله في غسقات کربات نفخة الصور؛ انجام: رزقنا الله سبحانه و تعالى في حريم القرب من أشعة جماله و سقانا في جنة الوصل من كأس وصاله بحق محمد و آله</w:t>
      </w:r>
    </w:p>
    <w:p>
      <w:pPr>
        <w:pStyle w:val="BookText"/>
      </w:pPr>
      <w:r>
        <w:rPr>
          <w:rFonts w:ascii="IRNazanin" w:hAnsi="IRNazanin" w:eastAsia="IRNazanin" w:cs="IRNazanin"/>
          <w:lang w:bidi="fa-IR"/>
          <w:color w:val="111111"/>
          <w:sz w:val="28"/>
          <w:szCs w:val="28"/>
          <w:rtl/>
        </w:rPr>
        <w:t xml:space="preserve">خط: نسخ، كا: ملک محمد معلم سمنانی، تا: جمادی الثانی ۱۰۷۹ق؛ مهر وقفی «حاج محمد علی طهرانی نوری» (مربع)؛ جلد: پارچه مشکی، ۲۰۴گ، ۱۲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۹سم [ف: ۱۴-۱۲۵)</w:t>
      </w:r>
    </w:p>
    <w:p>
      <w:pPr>
        <w:pStyle w:val="BookText"/>
      </w:pPr>
      <w:r>
        <w:rPr>
          <w:rFonts w:ascii="Amiri" w:hAnsi="Amiri" w:eastAsia="Amiri" w:cs="Amiri"/>
          <w:lang w:bidi="ar-SA"/>
          <w:color w:val="111111"/>
          <w:sz w:val="28"/>
          <w:szCs w:val="28"/>
          <w:rtl/>
        </w:rPr>
        <w:t xml:space="preserve">٢. اصفهان، مكتبة الزهراء؛ شماره نسخه:۱۰۵</w:t>
      </w:r>
    </w:p>
    <w:p>
      <w:pPr>
        <w:pStyle w:val="BookText"/>
      </w:pPr>
      <w:r>
        <w:rPr>
          <w:rFonts w:ascii="IRNazanin" w:hAnsi="IRNazanin" w:eastAsia="IRNazanin" w:cs="IRNazanin"/>
          <w:lang w:bidi="fa-IR"/>
          <w:color w:val="111111"/>
          <w:sz w:val="28"/>
          <w:szCs w:val="28"/>
          <w:rtl/>
        </w:rPr>
        <w:t xml:space="preserve">بی کا، بی تا؛ از جمله مجموعه شماره ۱۰۲ می باشد؛ ۱۵ گ، ۱۵ 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۷۱]</w:t>
      </w:r>
    </w:p>
    <w:p>
      <w:pPr>
        <w:pStyle w:val="Heading3"/>
      </w:pPr>
      <w:bookmarkStart w:id="2917" w:name="_Toc2177"/>
      <w:r>
        <w:t>•تبصره محمدیه / منطق / فارسی</w:t>
      </w:r>
      <w:bookmarkEnd w:id="2917"/>
    </w:p>
    <w:p>
      <w:pPr>
        <w:pStyle w:val="BookText"/>
      </w:pPr>
      <w:r>
        <w:rPr>
          <w:rFonts w:ascii="Times New Roman" w:hAnsi="Times New Roman" w:eastAsia="Times New Roman" w:cs="Times New Roman"/>
          <w:lang w:val="en-US" w:bidi="en-US"/>
          <w:color w:val="111111"/>
          <w:sz w:val="28"/>
          <w:szCs w:val="28"/>
          <w:rtl/>
        </w:rPr>
        <w:t xml:space="preserve">tabsere-ye mohammadīye</w:t>
      </w:r>
    </w:p>
    <w:p>
      <w:pPr>
        <w:pStyle w:val="BookText"/>
      </w:pPr>
      <w:r>
        <w:rPr>
          <w:rFonts w:ascii="IRNazanin" w:hAnsi="IRNazanin" w:eastAsia="IRNazanin" w:cs="IRNazanin"/>
          <w:lang w:bidi="fa-IR"/>
          <w:color w:val="111111"/>
          <w:sz w:val="28"/>
          <w:szCs w:val="28"/>
          <w:rtl/>
        </w:rPr>
        <w:t xml:space="preserve">بادی، محمد</w:t>
      </w:r>
    </w:p>
    <w:p>
      <w:pPr>
        <w:pStyle w:val="BookText"/>
      </w:pPr>
      <w:r>
        <w:rPr>
          <w:rFonts w:ascii="Times New Roman" w:hAnsi="Times New Roman" w:eastAsia="Times New Roman" w:cs="Times New Roman"/>
          <w:lang w:val="en-US" w:bidi="en-US"/>
          <w:color w:val="111111"/>
          <w:sz w:val="28"/>
          <w:szCs w:val="28"/>
          <w:rtl/>
        </w:rPr>
        <w:t xml:space="preserve">bādī, mohammad</w:t>
      </w:r>
    </w:p>
    <w:p>
      <w:pPr>
        <w:pStyle w:val="BookText"/>
      </w:pPr>
      <w:r>
        <w:rPr>
          <w:rFonts w:ascii="IRNazanin" w:hAnsi="IRNazanin" w:eastAsia="IRNazanin" w:cs="IRNazanin"/>
          <w:lang w:bidi="fa-IR"/>
          <w:color w:val="111111"/>
          <w:sz w:val="28"/>
          <w:szCs w:val="28"/>
          <w:rtl/>
        </w:rPr>
        <w:t xml:space="preserve">در آداب البحث.</w:t>
      </w:r>
    </w:p>
    <w:p>
      <w:pPr>
        <w:pStyle w:val="BookText"/>
      </w:pPr>
      <w:r>
        <w:rPr>
          <w:rFonts w:ascii="IRNazanin" w:hAnsi="IRNazanin" w:eastAsia="IRNazanin" w:cs="IRNazanin"/>
          <w:lang w:bidi="fa-IR"/>
          <w:color w:val="111111"/>
          <w:sz w:val="28"/>
          <w:szCs w:val="28"/>
          <w:rtl/>
        </w:rPr>
        <w:t xml:space="preserve">تهران؛ مجلس؛ شماره نسخه: ۱۸۲۲۰ ض</w:t>
      </w:r>
    </w:p>
    <w:p>
      <w:pPr>
        <w:pStyle w:val="BookText"/>
      </w:pPr>
      <w:r>
        <w:rPr>
          <w:rFonts w:ascii="IRNazanin" w:hAnsi="IRNazanin" w:eastAsia="IRNazanin" w:cs="IRNazanin"/>
          <w:lang w:bidi="fa-IR"/>
          <w:color w:val="111111"/>
          <w:sz w:val="28"/>
          <w:szCs w:val="28"/>
          <w:rtl/>
        </w:rPr>
        <w:t xml:space="preserve">بی کا، تا: قرن ۱۳ [د.ث. مجلس ]</w:t>
      </w:r>
    </w:p>
    <w:p>
      <w:pPr>
        <w:pStyle w:val="Heading3"/>
      </w:pPr>
      <w:bookmarkStart w:id="2918" w:name="_Toc2178"/>
      <w:r>
        <w:t>•تبصرة المذاكر و نزهة الناظر / تجوید / عربی</w:t>
      </w:r>
      <w:bookmarkEnd w:id="2918"/>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bookmarkStart w:id="660" w:name="pg20363_210006"/>
    <w:bookmarkEnd w:id="660"/>
    <w:p>
      <w:pPr>
        <w:pStyle w:val="BookText"/>
      </w:pPr>
      <w:r>
        <w:rPr>
          <w:rFonts w:ascii="Times New Roman" w:hAnsi="Times New Roman" w:eastAsia="Times New Roman" w:cs="Times New Roman"/>
          <w:lang w:val="en-US" w:bidi="en-US"/>
          <w:color w:val="111111"/>
          <w:sz w:val="28"/>
          <w:szCs w:val="28"/>
          <w:rtl/>
        </w:rPr>
        <w:t xml:space="preserve">tabsirat-ul mudākir wa nuzhat-un nāzir</w:t>
      </w:r>
    </w:p>
    <w:p>
      <w:pPr>
        <w:pStyle w:val="BookText"/>
      </w:pPr>
      <w:r>
        <w:rPr>
          <w:rFonts w:ascii="IRNazanin" w:hAnsi="IRNazanin" w:eastAsia="IRNazanin" w:cs="IRNazanin"/>
          <w:lang w:bidi="fa-IR"/>
          <w:color w:val="111111"/>
          <w:sz w:val="28"/>
          <w:szCs w:val="28"/>
          <w:rtl/>
        </w:rPr>
        <w:t xml:space="preserve">بعدانی، عبدالله بن على</w:t>
      </w:r>
    </w:p>
    <w:p>
      <w:pPr>
        <w:pStyle w:val="BookText"/>
      </w:pPr>
      <w:r>
        <w:rPr>
          <w:rFonts w:ascii="Times New Roman" w:hAnsi="Times New Roman" w:eastAsia="Times New Roman" w:cs="Times New Roman"/>
          <w:lang w:val="en-US" w:bidi="en-US"/>
          <w:color w:val="111111"/>
          <w:sz w:val="28"/>
          <w:szCs w:val="28"/>
          <w:rtl/>
        </w:rPr>
        <w:t xml:space="preserve">bo‘dānī, 'abd-ol-lāh ebn-e ‘alī</w:t>
      </w:r>
    </w:p>
    <w:p>
      <w:pPr>
        <w:pStyle w:val="BookText"/>
      </w:pPr>
      <w:r>
        <w:rPr>
          <w:rFonts w:ascii="IRNazanin" w:hAnsi="IRNazanin" w:eastAsia="IRNazanin" w:cs="IRNazanin"/>
          <w:lang w:bidi="fa-IR"/>
          <w:color w:val="111111"/>
          <w:sz w:val="28"/>
          <w:szCs w:val="28"/>
          <w:rtl/>
        </w:rPr>
        <w:t xml:space="preserve">رساله مختصری است در احکام مد و وقف و همزه و جز آن مطابق مذهب عیسی بن میناء قالون (۲۲۰) دارای سیزده «فصل»</w:t>
      </w:r>
    </w:p>
    <w:p>
      <w:pPr>
        <w:pStyle w:val="BookText"/>
      </w:pPr>
      <w:r>
        <w:rPr>
          <w:rFonts w:ascii="IRNazanin" w:hAnsi="IRNazanin" w:eastAsia="IRNazanin" w:cs="IRNazanin"/>
          <w:lang w:bidi="fa-IR"/>
          <w:color w:val="111111"/>
          <w:sz w:val="28"/>
          <w:szCs w:val="28"/>
          <w:rtl/>
        </w:rPr>
        <w:t xml:space="preserve">قم؛ مرکز احیاء؛ شماره نسخه:۴۵۳/۴</w:t>
      </w:r>
    </w:p>
    <w:p>
      <w:pPr>
        <w:pStyle w:val="BookText"/>
      </w:pPr>
      <w:r>
        <w:rPr>
          <w:rFonts w:ascii="IRNazanin" w:hAnsi="IRNazanin" w:eastAsia="IRNazanin" w:cs="IRNazanin"/>
          <w:lang w:bidi="fa-IR"/>
          <w:color w:val="111111"/>
          <w:sz w:val="28"/>
          <w:szCs w:val="28"/>
          <w:rtl/>
        </w:rPr>
        <w:t xml:space="preserve">آغاز: الحمد لله الذي انزل القرآن على سيد الأنام و جعل قارئه مع البررة الكرام و حامله حاملا راية الاسلام نسخه اصل: کتابخانه آکادمی لینچی رم ۳۵؛ بی کا، تا: جمعه محرم ۹۶۲ق؛ ۲۱ص (۲۴۰-۲۶۰) [عکسی ف: ۲-۴۸]</w:t>
      </w:r>
    </w:p>
    <w:p>
      <w:pPr>
        <w:pStyle w:val="Heading3"/>
      </w:pPr>
      <w:bookmarkStart w:id="2919" w:name="_Toc2179"/>
      <w:r>
        <w:t>•تبصرة المسافرين = سفرنامه = سوانح عمری / سفرنامه / فارسی</w:t>
      </w:r>
      <w:bookmarkEnd w:id="2919"/>
    </w:p>
    <w:p>
      <w:pPr>
        <w:pStyle w:val="BookText"/>
      </w:pPr>
      <w:r>
        <w:rPr>
          <w:rFonts w:ascii="Times New Roman" w:hAnsi="Times New Roman" w:eastAsia="Times New Roman" w:cs="Times New Roman"/>
          <w:lang w:val="en-US" w:bidi="en-US"/>
          <w:color w:val="111111"/>
          <w:sz w:val="28"/>
          <w:szCs w:val="28"/>
          <w:rtl/>
        </w:rPr>
        <w:t xml:space="preserve">tabserat-ol mosāferīn = safar-nāme = savāneh-e ‘omrī</w:t>
      </w:r>
    </w:p>
    <w:p>
      <w:pPr>
        <w:pStyle w:val="BookText"/>
      </w:pPr>
      <w:r>
        <w:rPr>
          <w:rFonts w:ascii="IRNazanin" w:hAnsi="IRNazanin" w:eastAsia="IRNazanin" w:cs="IRNazanin"/>
          <w:lang w:bidi="fa-IR"/>
          <w:color w:val="111111"/>
          <w:sz w:val="28"/>
          <w:szCs w:val="28"/>
          <w:rtl/>
        </w:rPr>
        <w:t xml:space="preserve">طباطبائی، محمد حسن بن میرزا باقر، ۱۲۴۹-۱۳۰۸ قمری</w:t>
      </w:r>
    </w:p>
    <w:p>
      <w:pPr>
        <w:pStyle w:val="BookText"/>
      </w:pPr>
      <w:r>
        <w:rPr>
          <w:rFonts w:ascii="Times New Roman" w:hAnsi="Times New Roman" w:eastAsia="Times New Roman" w:cs="Times New Roman"/>
          <w:lang w:val="en-US" w:bidi="en-US"/>
          <w:color w:val="111111"/>
          <w:sz w:val="28"/>
          <w:szCs w:val="28"/>
          <w:rtl/>
        </w:rPr>
        <w:t xml:space="preserve">tabātabā'ī, mohammad hasan ebn-e mīrzā bāqer (1834 1891)</w:t>
      </w:r>
    </w:p>
    <w:p>
      <w:pPr>
        <w:pStyle w:val="BookText"/>
      </w:pPr>
      <w:r>
        <w:rPr>
          <w:rFonts w:ascii="IRNazanin" w:hAnsi="IRNazanin" w:eastAsia="IRNazanin" w:cs="IRNazanin"/>
          <w:lang w:bidi="fa-IR"/>
          <w:color w:val="111111"/>
          <w:sz w:val="28"/>
          <w:szCs w:val="28"/>
          <w:rtl/>
        </w:rPr>
        <w:t xml:space="preserve">اهدا به: ناصر الدین شاه تاريخ تأليف: ۱۳۰۸ق میرزا حسن خان منشی که در پست های منشیگری صدراعظم و وزیر جنگ وزیر خارجه ایران خدمت کرده است بر آن می شود که جنگی از مشاهدات خود در عالم سیاحت و مأموریت در اسلامبول و اروپا فراهم آورد. وی در آن مطالب مهمی که از روزنامه ها استخراج می کرده نیز آورده است. در این جنگ اطلاعات زیادی راجع به اروپا قرن نوزدهم و وضع حکومت قاجار در آن عهد و تاریخچه ای از رجال ایران در آن زمان و مختصری از تاریخ ایران وجود دارد. (عبدالله انوار)</w:t>
      </w:r>
    </w:p>
    <w:p>
      <w:pPr>
        <w:pStyle w:val="BookText"/>
      </w:pPr>
      <w:r>
        <w:rPr>
          <w:rFonts w:ascii="IRNazanin" w:hAnsi="IRNazanin" w:eastAsia="IRNazanin" w:cs="IRNazanin"/>
          <w:lang w:bidi="fa-IR"/>
          <w:color w:val="111111"/>
          <w:sz w:val="28"/>
          <w:szCs w:val="28"/>
          <w:rtl/>
        </w:rPr>
        <w:t xml:space="preserve">آغاز: بر هر فردی از افراد لازم است که سرگذشت خود را سفرة و حضرا ... بنویسد</w:t>
      </w:r>
    </w:p>
    <w:p>
      <w:pPr>
        <w:pStyle w:val="BookText"/>
      </w:pPr>
      <w:r>
        <w:rPr>
          <w:rFonts w:ascii="IRNazanin" w:hAnsi="IRNazanin" w:eastAsia="IRNazanin" w:cs="IRNazanin"/>
          <w:lang w:bidi="fa-IR"/>
          <w:color w:val="111111"/>
          <w:sz w:val="28"/>
          <w:szCs w:val="28"/>
          <w:rtl/>
        </w:rPr>
        <w:t xml:space="preserve">انجام: قرین افتخار و مباهات نیز فرمودند</w:t>
      </w:r>
    </w:p>
    <w:p>
      <w:pPr>
        <w:pStyle w:val="BookText"/>
      </w:pPr>
      <w:r>
        <w:rPr>
          <w:rFonts w:ascii="IRNazanin" w:hAnsi="IRNazanin" w:eastAsia="IRNazanin" w:cs="IRNazanin"/>
          <w:lang w:bidi="fa-IR"/>
          <w:color w:val="111111"/>
          <w:sz w:val="28"/>
          <w:szCs w:val="28"/>
          <w:rtl/>
        </w:rPr>
        <w:t xml:space="preserve">[دنا ۷۷۲/۲ ؛ نسخه های منزوی ۳۹۹۴]</w:t>
      </w:r>
    </w:p>
    <w:p>
      <w:pPr>
        <w:pStyle w:val="BookText"/>
      </w:pPr>
      <w:r>
        <w:rPr>
          <w:rFonts w:ascii="IRNazanin" w:hAnsi="IRNazanin" w:eastAsia="IRNazanin" w:cs="IRNazanin"/>
          <w:lang w:bidi="fa-IR"/>
          <w:color w:val="111111"/>
          <w:sz w:val="28"/>
          <w:szCs w:val="28"/>
          <w:rtl/>
        </w:rPr>
        <w:t xml:space="preserve">۱. تهران؛ ملی؛ شماره نسخه: ۲۲۶۴</w:t>
      </w:r>
    </w:p>
    <w:p>
      <w:pPr>
        <w:pStyle w:val="BookText"/>
      </w:pPr>
      <w:r>
        <w:rPr>
          <w:rFonts w:ascii="IRNazanin" w:hAnsi="IRNazanin" w:eastAsia="IRNazanin" w:cs="IRNazanin"/>
          <w:lang w:bidi="fa-IR"/>
          <w:color w:val="111111"/>
          <w:sz w:val="28"/>
          <w:szCs w:val="28"/>
          <w:rtl/>
        </w:rPr>
        <w:t xml:space="preserve">آغاز: بسمله، در سالنامه دولت روس سنه ۱۸۷۴ مسیحی که مطابق سنه ۱۲۹۱ هجریست؛ انجام: سانتیمتر صد یک متر، د کامتر ده یک متر (؟)</w:t>
      </w:r>
    </w:p>
    <w:p>
      <w:pPr>
        <w:pStyle w:val="BookText"/>
      </w:pPr>
      <w:r>
        <w:rPr>
          <w:rFonts w:ascii="IRNazanin" w:hAnsi="IRNazanin" w:eastAsia="IRNazanin" w:cs="IRNazanin"/>
          <w:lang w:bidi="fa-IR"/>
          <w:color w:val="111111"/>
          <w:sz w:val="28"/>
          <w:szCs w:val="28"/>
          <w:rtl/>
        </w:rPr>
        <w:t xml:space="preserve">خط: شکسته نستعلیق، کا: میرزا عبدالوهاب خرقانی، تا: ۱۲۹۳ق، جا: تهران؛ اهداء به صديق الملك؛ کاغذ:فرنگی، جلد: تیماج ماشی، ۱۵۴گ، ۱۴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۲۶/۵سم [ف: ۵-۳۸۳]</w:t>
      </w:r>
    </w:p>
    <w:p>
      <w:pPr>
        <w:pStyle w:val="BookText"/>
      </w:pPr>
      <w:r>
        <w:rPr>
          <w:rFonts w:ascii="IRNazanin" w:hAnsi="IRNazanin" w:eastAsia="IRNazanin" w:cs="IRNazanin"/>
          <w:lang w:bidi="fa-IR"/>
          <w:color w:val="111111"/>
          <w:sz w:val="28"/>
          <w:szCs w:val="28"/>
          <w:rtl/>
        </w:rPr>
        <w:t xml:space="preserve">۲. تهران؛ ملک؛ شماره نسخه: ۴۳۲۰</w:t>
      </w:r>
    </w:p>
    <w:p>
      <w:pPr>
        <w:pStyle w:val="BookText"/>
      </w:pPr>
      <w:r>
        <w:rPr>
          <w:rFonts w:ascii="IRNazanin" w:hAnsi="IRNazanin" w:eastAsia="IRNazanin" w:cs="IRNazanin"/>
          <w:lang w:bidi="fa-IR"/>
          <w:color w:val="111111"/>
          <w:sz w:val="28"/>
          <w:szCs w:val="28"/>
          <w:rtl/>
        </w:rPr>
        <w:t xml:space="preserve">آغاز: برابر؛ انجام: تم ... در دارالسلطنه تبریز ۱۳۰۸ من الهجرة النبوية.</w:t>
      </w:r>
    </w:p>
    <w:p>
      <w:pPr>
        <w:pStyle w:val="BookText"/>
      </w:pPr>
      <w:r>
        <w:rPr>
          <w:rFonts w:ascii="IRNazanin" w:hAnsi="IRNazanin" w:eastAsia="IRNazanin" w:cs="IRNazanin"/>
          <w:lang w:bidi="fa-IR"/>
          <w:color w:val="111111"/>
          <w:sz w:val="28"/>
          <w:szCs w:val="28"/>
          <w:rtl/>
        </w:rPr>
        <w:t xml:space="preserve">خط: شکسته نستعلیق، بی کا، تا: ۱۳۰۸ق؛ کاغذ: کاغذ فرنگی، جلد: میشن سبز، ۴۷۰گ، ۲۱ سطر، اندازه: ۳۵/۴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سم [ف: ۹۷-۲ ]</w:t>
      </w:r>
    </w:p>
    <w:p>
      <w:pPr>
        <w:pStyle w:val="BookText"/>
      </w:pPr>
      <w:r>
        <w:rPr>
          <w:rFonts w:ascii="IRNazanin" w:hAnsi="IRNazanin" w:eastAsia="IRNazanin" w:cs="IRNazanin"/>
          <w:lang w:bidi="fa-IR"/>
          <w:color w:val="111111"/>
          <w:sz w:val="28"/>
          <w:szCs w:val="28"/>
          <w:rtl/>
        </w:rPr>
        <w:t xml:space="preserve">تهران، دانشگاه؛ شماره نسخه:۴۲۲۳-ف و ۳۴۶۰-ف</w:t>
      </w:r>
    </w:p>
    <w:p>
      <w:pPr>
        <w:pStyle w:val="BookText"/>
      </w:pPr>
      <w:r>
        <w:rPr>
          <w:rFonts w:ascii="Amiri" w:hAnsi="Amiri" w:eastAsia="Amiri" w:cs="Amiri"/>
          <w:lang w:bidi="ar-SA"/>
          <w:color w:val="111111"/>
          <w:sz w:val="28"/>
          <w:szCs w:val="28"/>
          <w:rtl/>
        </w:rPr>
        <w:t xml:space="preserve">نسخه اصل: همان نسخه بالا [فيلمها ف: ۳-۳۳ و ۲-۱۴۷]</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ادبیات، شماره نسخه:۱۴ -ب</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آن نامه ها و فرمانهای دیوانی هم هست؛ خط: نستعلیق، كا: على اصغر بن محمد تفرشی (برخی به خط سید تقی خان منشی است)، تا: ۱۳۱۴ق؛ کاغذ: فرنگی، جلد: تیماج عنابی، ۲۴۵گ، ۱۹ سطر (۲۷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۳۵/۵ سم [ف: ۱-۳۱۵]</w:t>
      </w:r>
    </w:p>
    <w:p>
      <w:pPr>
        <w:pStyle w:val="Heading3"/>
      </w:pPr>
      <w:bookmarkStart w:id="2920" w:name="_Toc2180"/>
      <w:r>
        <w:t>•تبصرة المؤمنين / عرفان و تصوف / فارسی</w:t>
      </w:r>
      <w:bookmarkEnd w:id="2920"/>
    </w:p>
    <w:p>
      <w:pPr>
        <w:pStyle w:val="BookText"/>
      </w:pPr>
      <w:r>
        <w:rPr>
          <w:rFonts w:ascii="Times New Roman" w:hAnsi="Times New Roman" w:eastAsia="Times New Roman" w:cs="Times New Roman"/>
          <w:lang w:val="en-US" w:bidi="en-US"/>
          <w:color w:val="111111"/>
          <w:sz w:val="28"/>
          <w:szCs w:val="28"/>
          <w:rtl/>
        </w:rPr>
        <w:t xml:space="preserve">tabserat-ol mo’menīn</w:t>
      </w:r>
    </w:p>
    <w:p>
      <w:pPr>
        <w:pStyle w:val="BookText"/>
      </w:pPr>
      <w:r>
        <w:rPr>
          <w:rFonts w:ascii="IRNazanin" w:hAnsi="IRNazanin" w:eastAsia="IRNazanin" w:cs="IRNazanin"/>
          <w:lang w:bidi="fa-IR"/>
          <w:color w:val="111111"/>
          <w:sz w:val="28"/>
          <w:szCs w:val="28"/>
          <w:rtl/>
        </w:rPr>
        <w:t xml:space="preserve">حکیم مؤمن، محمد مؤمن بن محمد زمان، ق ۱۱ قمری</w:t>
      </w:r>
    </w:p>
    <w:p>
      <w:pPr>
        <w:pStyle w:val="BookText"/>
      </w:pPr>
      <w:r>
        <w:rPr>
          <w:rFonts w:ascii="Times New Roman" w:hAnsi="Times New Roman" w:eastAsia="Times New Roman" w:cs="Times New Roman"/>
          <w:lang w:val="en-US" w:bidi="en-US"/>
          <w:color w:val="111111"/>
          <w:sz w:val="28"/>
          <w:szCs w:val="28"/>
          <w:rtl/>
        </w:rPr>
        <w:t xml:space="preserve">ebn-e</w:t>
      </w:r>
    </w:p>
    <w:p>
      <w:pPr>
        <w:pStyle w:val="BookText"/>
      </w:pPr>
      <w:r>
        <w:rPr>
          <w:rFonts w:ascii="Times New Roman" w:hAnsi="Times New Roman" w:eastAsia="Times New Roman" w:cs="Times New Roman"/>
          <w:lang w:val="en-US" w:bidi="en-US"/>
          <w:color w:val="111111"/>
          <w:sz w:val="28"/>
          <w:szCs w:val="28"/>
          <w:rtl/>
        </w:rPr>
        <w:t xml:space="preserve">mo'men, mohammad mo'men hakim mohammad zamān (-17c)</w:t>
      </w:r>
    </w:p>
    <w:p>
      <w:pPr>
        <w:pStyle w:val="BookText"/>
      </w:pPr>
      <w:r>
        <w:rPr>
          <w:rFonts w:ascii="IRNazanin" w:hAnsi="IRNazanin" w:eastAsia="IRNazanin" w:cs="IRNazanin"/>
          <w:lang w:bidi="fa-IR"/>
          <w:color w:val="111111"/>
          <w:sz w:val="28"/>
          <w:szCs w:val="28"/>
          <w:rtl/>
        </w:rPr>
        <w:t xml:space="preserve">تاريخ تأليف: ۱۰۸۶ق؛ محل تالیف: دار السلطنه قزوین</w:t>
      </w:r>
    </w:p>
    <w:p>
      <w:pPr>
        <w:pStyle w:val="BookText"/>
      </w:pPr>
      <w:r>
        <w:rPr>
          <w:rFonts w:ascii="IRNazanin" w:hAnsi="IRNazanin" w:eastAsia="IRNazanin" w:cs="IRNazanin"/>
          <w:lang w:bidi="fa-IR"/>
          <w:color w:val="111111"/>
          <w:sz w:val="28"/>
          <w:szCs w:val="28"/>
          <w:rtl/>
        </w:rPr>
        <w:t xml:space="preserve">رسالهای متوسط در تأیید و دفاع از صوفيه و مبانی و قصاید تصوف که در رد و نقد نظرات «محمد طاهر قمی» ضد صوفی معروف صفویه نوشته است، در دوازده «فصل» و یک «خاتمه»: 1. اثبات واقعیت و حقیقت و بیان آنکه مخترع صوفيه حقه نیست؛ ۲. تحقیق ولایت و مراتب ایمان و معنی ... و جواز ترک حیوانی؛ ۳. بیان عشق؛ ۴. جواز ذکر جلی و ذکر خفی به طریق مخصوص ایشان و تحقیق غنا و وجد و حال؛ ۵. تحقيق غیب و الهام و وحی و جواز کشف و رویای صادقه و عروج روح؛ ۶. وحدت وجود؛ 7. اثبات انوار و حجب؛ ۸ جواز چله نشینی؛ ۹. بیان شطح و طامات؛ 10. اثبات روح اعظم و اتصال ارواح مؤمنین به آن؛ 11. اثبات رتبه فناء في الله؛ ۱۲. جواب مطاعن مولوی که نسبت بهر یک از عرفاء بیان نمود؛ خاتمه در دلالت و تشیع و تاویل اقوال مشایخ کبار.</w:t>
      </w:r>
    </w:p>
    <w:p>
      <w:pPr>
        <w:pStyle w:val="BookText"/>
      </w:pPr>
      <w:r>
        <w:rPr>
          <w:rFonts w:ascii="IRNazanin" w:hAnsi="IRNazanin" w:eastAsia="IRNazanin" w:cs="IRNazanin"/>
          <w:lang w:bidi="fa-IR"/>
          <w:color w:val="111111"/>
          <w:sz w:val="28"/>
          <w:szCs w:val="28"/>
          <w:rtl/>
        </w:rPr>
        <w:t xml:space="preserve">آغاز: الحمدلله الذي يهدي من يشاء الى صراط مستقیم بعد بر ارباب الباب پوشیده نماند که حضرت مولوی به ظاهر مولانا محمد طاهر چون قعود در مسند قضای قم را با قیام به پیش نمازی جمعه که بر غیر معصوم اجتماع ضدین است جمع فرموده خواست که در وحدت مسلک عرفاء و متشرعین حقه تفرقه اندازد ... رسائل چند از نظم و نثر در مطاعن عرفا که صوفيه حقه اند انشاء نمود و طریق سالکان راه حق را غیر جاده شرع دانست اختراع مذهبی به سلطان العارفین ... شیخ صفی الدین قدس سره و فرقه کاملین شیعه داده بناء على هذا خادم فقراء و خاک قدم عرفاء محمد مؤمن الحسینی التنكابني الطبيب واجب دانست که اصول طریقه این فرقه را ... بیان سازد تا بر عوام نیز ظاهر گردد
</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bookmarkStart w:id="661" w:name="pg20363_210007"/>
    <w:bookmarkEnd w:id="661"/>
    <w:p>
      <w:pPr>
        <w:pStyle w:val="BookText"/>
      </w:pPr>
      <w:r>
        <w:rPr>
          <w:rFonts w:ascii="IRNazanin" w:hAnsi="IRNazanin" w:eastAsia="IRNazanin" w:cs="IRNazanin"/>
          <w:lang w:bidi="fa-IR"/>
          <w:color w:val="111111"/>
          <w:sz w:val="28"/>
          <w:szCs w:val="28"/>
          <w:rtl/>
        </w:rPr>
        <w:t xml:space="preserve">انجام:. به اصل صرفیت خود بسلامت روان شدن کنایه از عدم موانع راهزنان عقبات عالم بقا است نسبت به بی تعلقات عالم حسنی</w:t>
      </w:r>
    </w:p>
    <w:p>
      <w:pPr>
        <w:pStyle w:val="BookText"/>
      </w:pPr>
      <w:r>
        <w:rPr>
          <w:rFonts w:ascii="IRNazanin" w:hAnsi="IRNazanin" w:eastAsia="IRNazanin" w:cs="IRNazanin"/>
          <w:lang w:bidi="fa-IR"/>
          <w:color w:val="111111"/>
          <w:sz w:val="28"/>
          <w:szCs w:val="28"/>
          <w:rtl/>
        </w:rPr>
        <w:t xml:space="preserve">[الذريعة ۳۲۵/۳ که در کلام و اصول دین دانسته شده است؛ نسخه های منزوی ۹۰۵/۲ (۵ نسخه) ۱۷۹۹/۲ ؛ فهرستواره منزوی ۱۷۱/۷ ؛ دنا ۷۷۲/۲ (۱۵ نسخه)]</w:t>
      </w:r>
    </w:p>
    <w:p>
      <w:pPr>
        <w:pStyle w:val="BookText"/>
      </w:pPr>
      <w:r>
        <w:rPr>
          <w:rFonts w:ascii="IRNazanin" w:hAnsi="IRNazanin" w:eastAsia="IRNazanin" w:cs="IRNazanin"/>
          <w:lang w:bidi="fa-IR"/>
          <w:color w:val="111111"/>
          <w:sz w:val="28"/>
          <w:szCs w:val="28"/>
          <w:rtl/>
        </w:rPr>
        <w:t xml:space="preserve">١. مشهد؛ رضوی؛ شماره نسخه:۶۲</w:t>
      </w:r>
    </w:p>
    <w:p>
      <w:pPr>
        <w:pStyle w:val="BookText"/>
      </w:pPr>
      <w:r>
        <w:rPr>
          <w:rFonts w:ascii="IRNazanin" w:hAnsi="IRNazanin" w:eastAsia="IRNazanin" w:cs="IRNazanin"/>
          <w:lang w:bidi="fa-IR"/>
          <w:color w:val="111111"/>
          <w:sz w:val="28"/>
          <w:szCs w:val="28"/>
          <w:rtl/>
        </w:rPr>
        <w:t xml:space="preserve">آغاز و انجام: برابر؛ قد تمت التأليف في شهور سنه ۱۰۸۶ هزار و هشتاد و شش في دار السلطنه قزوین.</w:t>
      </w:r>
    </w:p>
    <w:p>
      <w:pPr>
        <w:pStyle w:val="BookText"/>
      </w:pPr>
      <w:r>
        <w:rPr>
          <w:rFonts w:ascii="IRNazanin" w:hAnsi="IRNazanin" w:eastAsia="IRNazanin" w:cs="IRNazanin"/>
          <w:lang w:bidi="fa-IR"/>
          <w:color w:val="111111"/>
          <w:sz w:val="28"/>
          <w:szCs w:val="28"/>
          <w:rtl/>
        </w:rPr>
        <w:t xml:space="preserve">خط: نسخ و نستعلیق و شکسته، بی کا، تا: ۱۰۸۶ق؛ به مهر و نظر مؤلف رسیده؛ واقف: نادر شاه افشار، ۱۱۴۵ق؛ کاغذ: نخودی آهار مهره، جلد: پارچه ای زرد خردلی، ۶۲، ۱۷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سم [ف: ۱-۵۶]</w:t>
      </w:r>
    </w:p>
    <w:p>
      <w:pPr>
        <w:pStyle w:val="BookText"/>
      </w:pPr>
      <w:r>
        <w:rPr>
          <w:rFonts w:ascii="IRNazanin" w:hAnsi="IRNazanin" w:eastAsia="IRNazanin" w:cs="IRNazanin"/>
          <w:lang w:bidi="fa-IR"/>
          <w:color w:val="111111"/>
          <w:sz w:val="28"/>
          <w:szCs w:val="28"/>
          <w:rtl/>
        </w:rPr>
        <w:t xml:space="preserve">۲. قم؛ مرعشی؛ شماره نسخه:۱۰۲۱۹</w:t>
      </w:r>
    </w:p>
    <w:p>
      <w:pPr>
        <w:pStyle w:val="BookText"/>
      </w:pPr>
      <w:r>
        <w:rPr>
          <w:rFonts w:ascii="IRNazanin" w:hAnsi="IRNazanin" w:eastAsia="IRNazanin" w:cs="IRNazanin"/>
          <w:lang w:bidi="fa-IR"/>
          <w:color w:val="111111"/>
          <w:sz w:val="28"/>
          <w:szCs w:val="28"/>
          <w:rtl/>
        </w:rPr>
        <w:t xml:space="preserve">بی کا، تا: اوائل قرن ۱۱؛ مصحح، نسخه در عصر مؤلف کتابت شده. [میراث شهاب: س</w:t>
      </w:r>
    </w:p>
    <w:p>
      <w:pPr>
        <w:pStyle w:val="BookText"/>
      </w:pPr>
      <w:r>
        <w:rPr>
          <w:rFonts w:ascii="IRNazanin" w:hAnsi="IRNazanin" w:eastAsia="IRNazanin" w:cs="IRNazanin"/>
          <w:lang w:bidi="fa-IR"/>
          <w:color w:val="111111"/>
          <w:sz w:val="28"/>
          <w:szCs w:val="28"/>
          <w:rtl/>
        </w:rPr>
        <w:t xml:space="preserve">ش ۴-۵۶]</w:t>
      </w:r>
    </w:p>
    <w:p>
      <w:pPr>
        <w:pStyle w:val="BookText"/>
      </w:pPr>
      <w:r>
        <w:rPr>
          <w:rFonts w:ascii="IRNazanin" w:hAnsi="IRNazanin" w:eastAsia="IRNazanin" w:cs="IRNazanin"/>
          <w:lang w:bidi="fa-IR"/>
          <w:color w:val="111111"/>
          <w:sz w:val="28"/>
          <w:szCs w:val="28"/>
          <w:rtl/>
        </w:rPr>
        <w:t xml:space="preserve">٣. تهران؛ مجلس؛ شماره نسخه: ۹۳۳/۴ -طباطبائی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۱۲ کاغذ: فرنگی ضخیم شکری و تیره رنگ، جلد: تیماج مشکی، ۳۲ص (۶۷-۹۸)، قطع: خشتی،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۲۳-۲۳۲]</w:t>
      </w:r>
    </w:p>
    <w:p>
      <w:pPr>
        <w:pStyle w:val="BookText"/>
      </w:pPr>
      <w:r>
        <w:rPr>
          <w:rFonts w:ascii="IRNazanin" w:hAnsi="IRNazanin" w:eastAsia="IRNazanin" w:cs="IRNazanin"/>
          <w:lang w:bidi="fa-IR"/>
          <w:color w:val="111111"/>
          <w:sz w:val="28"/>
          <w:szCs w:val="28"/>
          <w:rtl/>
        </w:rPr>
        <w:t xml:space="preserve">۴. تهران؛ مجلس؛ شماره نسخه: ۱۰۳۱/۱ -طباطبائی</w:t>
      </w:r>
    </w:p>
    <w:p>
      <w:pPr>
        <w:pStyle w:val="BookText"/>
      </w:pPr>
      <w:r>
        <w:rPr>
          <w:rFonts w:ascii="IRNazanin" w:hAnsi="IRNazanin" w:eastAsia="IRNazanin" w:cs="IRNazanin"/>
          <w:lang w:bidi="fa-IR"/>
          <w:color w:val="111111"/>
          <w:sz w:val="28"/>
          <w:szCs w:val="28"/>
          <w:rtl/>
        </w:rPr>
        <w:t xml:space="preserve">خط: نستعلیق، کا: محمد علی بن امام وردی اصفهانی، تا: ۱۱۰۳ق؛ کاتب در ذیل تبصرة المؤمنين تاريخ تأليف آن رساله را ۱۰۸۶ و در قزوین قید می کند؛ کاغذ: اصفهانی ضخیم آهار مهره شکری، جلد: تیماج مشکی، ۵۹ص (۱-۵۹)، ۲۱ سطر، اندازه: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۲۳-۳۲۰]</w:t>
      </w:r>
    </w:p>
    <w:p>
      <w:pPr>
        <w:pStyle w:val="BookText"/>
      </w:pPr>
      <w:r>
        <w:rPr>
          <w:rFonts w:ascii="IRNazanin" w:hAnsi="IRNazanin" w:eastAsia="IRNazanin" w:cs="IRNazanin"/>
          <w:lang w:bidi="fa-IR"/>
          <w:color w:val="111111"/>
          <w:sz w:val="28"/>
          <w:szCs w:val="28"/>
          <w:rtl/>
        </w:rPr>
        <w:t xml:space="preserve">۵. تهران؛ مجلس؛ شماره نسخه: ۳۸/۱ سرود</w:t>
      </w:r>
    </w:p>
    <w:p>
      <w:pPr>
        <w:pStyle w:val="BookText"/>
      </w:pPr>
      <w:r>
        <w:rPr>
          <w:rFonts w:ascii="IRNazanin" w:hAnsi="IRNazanin" w:eastAsia="IRNazanin" w:cs="IRNazanin"/>
          <w:lang w:bidi="fa-IR"/>
          <w:color w:val="111111"/>
          <w:sz w:val="28"/>
          <w:szCs w:val="28"/>
          <w:rtl/>
        </w:rPr>
        <w:t xml:space="preserve">خط: نستعلیق، بی کا، تا: قرن ۱۳ کاغذ: فرنگی شکری و آبی رنگ، جلد: تیماج مشکی، قطع: خشتي نشریه: ۱۳-۴۱۷]</w:t>
      </w:r>
    </w:p>
    <w:p>
      <w:pPr>
        <w:pStyle w:val="BookText"/>
      </w:pPr>
      <w:r>
        <w:rPr>
          <w:rFonts w:ascii="Amiri" w:hAnsi="Amiri" w:eastAsia="Amiri" w:cs="Amiri"/>
          <w:lang w:bidi="ar-SA"/>
          <w:color w:val="111111"/>
          <w:sz w:val="28"/>
          <w:szCs w:val="28"/>
          <w:rtl/>
        </w:rPr>
        <w:t xml:space="preserve">۶. تهران؛ دائرة المعارف؛ شماره نسخه: ۳۸۹/۱</w:t>
      </w:r>
    </w:p>
    <w:p>
      <w:pPr>
        <w:pStyle w:val="BookText"/>
      </w:pPr>
      <w:r>
        <w:rPr>
          <w:rFonts w:ascii="IRNazanin" w:hAnsi="IRNazanin" w:eastAsia="IRNazanin" w:cs="IRNazanin"/>
          <w:lang w:bidi="fa-IR"/>
          <w:color w:val="111111"/>
          <w:sz w:val="28"/>
          <w:szCs w:val="28"/>
          <w:rtl/>
        </w:rPr>
        <w:t xml:space="preserve">آغاز و انجام: برابر خط: نسخ پخته، كا: علی بن حسین ملقب به رضا ذهبی، تا: قرن ۱۳؛ ۶۷گ (۲پ -۶۸ر) [ف: ۱-۴۳]</w:t>
      </w:r>
    </w:p>
    <w:p>
      <w:pPr>
        <w:pStyle w:val="BookText"/>
      </w:pPr>
      <w:r>
        <w:rPr>
          <w:rFonts w:ascii="IRNazanin" w:hAnsi="IRNazanin" w:eastAsia="IRNazanin" w:cs="IRNazanin"/>
          <w:lang w:bidi="fa-IR"/>
          <w:color w:val="111111"/>
          <w:sz w:val="28"/>
          <w:szCs w:val="28"/>
          <w:rtl/>
        </w:rPr>
        <w:t xml:space="preserve">٧. تهران؛ مجلس؛ شماره نسخه:۳۹۲۸/۴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عباسعلی درویش نعمة اللهی کرمانی، تا: ۱۲۱۵ق؛ کاغذ: فرنگی آبی، جلد: مقوایی عطف تیماج قرمز، ۱۶۸ص (۶۷-۲۳۴)، ۱۴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۱۰-۲۰۱۰)</w:t>
      </w:r>
    </w:p>
    <w:p>
      <w:pPr>
        <w:pStyle w:val="BookText"/>
      </w:pPr>
      <w:r>
        <w:rPr>
          <w:rFonts w:ascii="IRNazanin" w:hAnsi="IRNazanin" w:eastAsia="IRNazanin" w:cs="IRNazanin"/>
          <w:lang w:bidi="fa-IR"/>
          <w:color w:val="111111"/>
          <w:sz w:val="28"/>
          <w:szCs w:val="28"/>
          <w:rtl/>
        </w:rPr>
        <w:t xml:space="preserve">۸. قم، گلپایگانی؛ شماره نسخه:۱۶۵۶- ۹/۲۰۶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کا: محمد باقر طبیب خوئی الاصل، تا: ۱۲۱۵ق؛ مصحح؛ جلد: تیماج قهوه ای، ۹۱گ، ۱۳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سم [ف: ۲-۷۰۹]</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تهران؛ الهيات؛ شماره نسخه: ۵۷۶/۲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میرزا محمد قلی بن میرزا اسماعیل زنگنه، تا: پایان جمادی الاول ۱۲۲۴ق، جا: روستای بویوک آباد؛ کاغذ: فرنگی، جلد: تیماج سرخ، ۴۱گ (۴۸ر ۸۸پ)، ۱۹ و ۲۰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۱۱/۵سم [ف: ۳۳۴]</w:t>
      </w:r>
    </w:p>
    <w:p>
      <w:pPr>
        <w:pStyle w:val="BookText"/>
      </w:pPr>
      <w:r>
        <w:rPr>
          <w:rFonts w:ascii="IRNazanin" w:hAnsi="IRNazanin" w:eastAsia="IRNazanin" w:cs="IRNazanin"/>
          <w:lang w:bidi="fa-IR"/>
          <w:color w:val="111111"/>
          <w:sz w:val="28"/>
          <w:szCs w:val="28"/>
          <w:rtl/>
        </w:rPr>
        <w:t xml:space="preserve">۱۰. تهران؛ ملک؛ شماره نسخه: ۴۹۳۵/۱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بی کا، تا: ۱۸ ربیع الثانی ۱۲۷۰ق؛ کاغذ: فرنگی آهار مهره، جلد: میشن قهوه ای، ۵۵گ (۱پ ۵۵ر)، ۱۴ سطر، اندازه: ۱۸/۲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۱۰/۸ سم [ف: ۱۳۵۸]</w:t>
      </w:r>
    </w:p>
    <w:p>
      <w:pPr>
        <w:pStyle w:val="BookText"/>
      </w:pPr>
      <w:r>
        <w:rPr>
          <w:rFonts w:ascii="IRNazanin" w:hAnsi="IRNazanin" w:eastAsia="IRNazanin" w:cs="IRNazanin"/>
          <w:lang w:bidi="fa-IR"/>
          <w:color w:val="111111"/>
          <w:sz w:val="28"/>
          <w:szCs w:val="28"/>
          <w:rtl/>
        </w:rPr>
        <w:t xml:space="preserve">۱۱. کاشان؛ جعفری؛ شماره نسخه:۷۷/۹</w:t>
      </w:r>
    </w:p>
    <w:p>
      <w:pPr>
        <w:pStyle w:val="BookText"/>
      </w:pPr>
      <w:r>
        <w:rPr>
          <w:rFonts w:ascii="IRNazanin" w:hAnsi="IRNazanin" w:eastAsia="IRNazanin" w:cs="IRNazanin"/>
          <w:lang w:bidi="fa-IR"/>
          <w:color w:val="111111"/>
          <w:sz w:val="28"/>
          <w:szCs w:val="28"/>
          <w:rtl/>
        </w:rPr>
        <w:t xml:space="preserve">آغاز و انجام: برابر خط: نستعلیق، بی کا، بی تا، جلد: تیماج قهوه ای، ۴۲گ (۶۷پ -</w:t>
      </w:r>
    </w:p>
    <w:p>
      <w:pPr>
        <w:pStyle w:val="BookText"/>
      </w:pPr>
      <w:r>
        <w:rPr>
          <w:rFonts w:ascii="IRNazanin" w:hAnsi="IRNazanin" w:eastAsia="IRNazanin" w:cs="IRNazanin"/>
          <w:lang w:bidi="fa-IR"/>
          <w:color w:val="111111"/>
          <w:sz w:val="28"/>
          <w:szCs w:val="28"/>
          <w:rtl/>
        </w:rPr>
        <w:t xml:space="preserve">۱۰۸پ)،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مخ)</w:t>
      </w:r>
    </w:p>
    <w:p>
      <w:pPr>
        <w:pStyle w:val="BookText"/>
      </w:pPr>
      <w:r>
        <w:rPr>
          <w:rFonts w:ascii="IRNazanin" w:hAnsi="IRNazanin" w:eastAsia="IRNazanin" w:cs="IRNazanin"/>
          <w:lang w:bidi="fa-IR"/>
          <w:color w:val="111111"/>
          <w:sz w:val="28"/>
          <w:szCs w:val="28"/>
          <w:rtl/>
        </w:rPr>
        <w:t xml:space="preserve">۱۲. شیراز؛ خاوری (دکتر)؛ شماره نسخه: ۹/۱۸</w:t>
      </w:r>
    </w:p>
    <w:p>
      <w:pPr>
        <w:pStyle w:val="BookText"/>
      </w:pPr>
      <w:r>
        <w:rPr>
          <w:rFonts w:ascii="IRNazanin" w:hAnsi="IRNazanin" w:eastAsia="IRNazanin" w:cs="IRNazanin"/>
          <w:lang w:bidi="fa-IR"/>
          <w:color w:val="111111"/>
          <w:sz w:val="28"/>
          <w:szCs w:val="28"/>
          <w:rtl/>
        </w:rPr>
        <w:t xml:space="preserve">بی کا، بی تا [نشریه: ۵-۲۶۸]</w:t>
      </w:r>
    </w:p>
    <w:p>
      <w:pPr>
        <w:pStyle w:val="BookText"/>
      </w:pPr>
      <w:r>
        <w:rPr>
          <w:rFonts w:ascii="IRNazanin" w:hAnsi="IRNazanin" w:eastAsia="IRNazanin" w:cs="IRNazanin"/>
          <w:lang w:bidi="fa-IR"/>
          <w:color w:val="111111"/>
          <w:sz w:val="28"/>
          <w:szCs w:val="28"/>
          <w:rtl/>
        </w:rPr>
        <w:t xml:space="preserve">۱۳. مشهد؛ رضوی؛ شماره نسخه:۲۲۹۹۹</w:t>
      </w:r>
    </w:p>
    <w:p>
      <w:pPr>
        <w:pStyle w:val="BookText"/>
      </w:pPr>
      <w:r>
        <w:rPr>
          <w:rFonts w:ascii="Amiri" w:hAnsi="Amiri" w:eastAsia="Amiri" w:cs="Amiri"/>
          <w:lang w:bidi="ar-SA"/>
          <w:color w:val="111111"/>
          <w:sz w:val="28"/>
          <w:szCs w:val="28"/>
          <w:rtl/>
        </w:rPr>
        <w:t xml:space="preserve">آغاز: برابر؛ انجام: و الحمدالله رب العالمين تمت بعون الله و حسن توفيقه</w:t>
      </w:r>
    </w:p>
    <w:p>
      <w:pPr>
        <w:pStyle w:val="BookText"/>
      </w:pPr>
      <w:r>
        <w:rPr>
          <w:rFonts w:ascii="IRNazanin" w:hAnsi="IRNazanin" w:eastAsia="IRNazanin" w:cs="IRNazanin"/>
          <w:lang w:bidi="fa-IR"/>
          <w:color w:val="111111"/>
          <w:sz w:val="28"/>
          <w:szCs w:val="28"/>
          <w:rtl/>
        </w:rPr>
        <w:t xml:space="preserve">خط: نستعلیق شکسته، بی کا، بی تا، کاغذ: نخودی، جلد: اسقاطی،</w:t>
      </w:r>
    </w:p>
    <w:p>
      <w:pPr>
        <w:pStyle w:val="BookText"/>
      </w:pPr>
      <w:r>
        <w:rPr>
          <w:rFonts w:ascii="IRNazanin" w:hAnsi="IRNazanin" w:eastAsia="IRNazanin" w:cs="IRNazanin"/>
          <w:lang w:bidi="fa-IR"/>
          <w:color w:val="111111"/>
          <w:sz w:val="28"/>
          <w:szCs w:val="28"/>
          <w:rtl/>
        </w:rPr>
        <w:t xml:space="preserve">۱۹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سم [رایانه]</w:t>
      </w:r>
    </w:p>
    <w:p>
      <w:pPr>
        <w:pStyle w:val="BookText"/>
      </w:pPr>
      <w:r>
        <w:rPr>
          <w:rFonts w:ascii="IRNazanin" w:hAnsi="IRNazanin" w:eastAsia="IRNazanin" w:cs="IRNazanin"/>
          <w:lang w:bidi="fa-IR"/>
          <w:color w:val="111111"/>
          <w:sz w:val="28"/>
          <w:szCs w:val="28"/>
          <w:rtl/>
        </w:rPr>
        <w:t xml:space="preserve">۱۴. تهران؛ دانشگاه؛ شماره نسخه: ۹۸۹/۱ -ف</w:t>
      </w:r>
    </w:p>
    <w:p>
      <w:pPr>
        <w:pStyle w:val="BookText"/>
      </w:pPr>
      <w:r>
        <w:rPr>
          <w:rFonts w:ascii="IRNazanin" w:hAnsi="IRNazanin" w:eastAsia="IRNazanin" w:cs="IRNazanin"/>
          <w:lang w:bidi="fa-IR"/>
          <w:color w:val="111111"/>
          <w:sz w:val="28"/>
          <w:szCs w:val="28"/>
          <w:rtl/>
        </w:rPr>
        <w:t xml:space="preserve">نسخه اصل: بادلیان ش ۲۴۶ فرارزش ۱۲۹۹ اته؛ بی کا، بی تا [فيلمها ف: ۱-۵۵۱]</w:t>
      </w:r>
    </w:p>
    <w:p>
      <w:pPr>
        <w:pStyle w:val="BookText"/>
      </w:pPr>
      <w:r>
        <w:rPr>
          <w:rFonts w:ascii="IRNazanin" w:hAnsi="IRNazanin" w:eastAsia="IRNazanin" w:cs="IRNazanin"/>
          <w:lang w:bidi="fa-IR"/>
          <w:color w:val="111111"/>
          <w:sz w:val="28"/>
          <w:szCs w:val="28"/>
          <w:rtl/>
        </w:rPr>
        <w:t xml:space="preserve">۱۵. تهران؛ مجلس؛ شماره نسخه:۱۱۳۲/۷ -طباطبائی</w:t>
      </w:r>
    </w:p>
    <w:p>
      <w:pPr>
        <w:pStyle w:val="BookText"/>
      </w:pPr>
      <w:r>
        <w:rPr>
          <w:rFonts w:ascii="IRNazanin" w:hAnsi="IRNazanin" w:eastAsia="IRNazanin" w:cs="IRNazanin"/>
          <w:lang w:bidi="fa-IR"/>
          <w:color w:val="111111"/>
          <w:sz w:val="28"/>
          <w:szCs w:val="28"/>
          <w:rtl/>
        </w:rPr>
        <w:t xml:space="preserve">تنها اوایل رساله تبصره نقل شده است؛ بی کا، بی تا؛ ۲گ (۲۴۰ ۲۴۱) [ف: ۲۳-۶۰۰]</w:t>
      </w:r>
    </w:p>
    <w:p>
      <w:pPr>
        <w:pStyle w:val="Heading3"/>
      </w:pPr>
      <w:bookmarkStart w:id="2921" w:name="_Toc2181"/>
      <w:r>
        <w:t>•تبصرة المؤمنين / فقه / فارسی</w:t>
      </w:r>
      <w:bookmarkEnd w:id="2921"/>
    </w:p>
    <w:p>
      <w:pPr>
        <w:pStyle w:val="BookText"/>
      </w:pPr>
      <w:r>
        <w:rPr>
          <w:rFonts w:ascii="Times New Roman" w:hAnsi="Times New Roman" w:eastAsia="Times New Roman" w:cs="Times New Roman"/>
          <w:lang w:val="en-US" w:bidi="en-US"/>
          <w:color w:val="111111"/>
          <w:sz w:val="28"/>
          <w:szCs w:val="28"/>
          <w:rtl/>
        </w:rPr>
        <w:t xml:space="preserve">tabserat-ol mo'menīn</w:t>
      </w:r>
    </w:p>
    <w:p>
      <w:pPr>
        <w:pStyle w:val="BookText"/>
      </w:pPr>
      <w:r>
        <w:rPr>
          <w:rFonts w:ascii="IRNazanin" w:hAnsi="IRNazanin" w:eastAsia="IRNazanin" w:cs="IRNazanin"/>
          <w:lang w:bidi="fa-IR"/>
          <w:color w:val="111111"/>
          <w:sz w:val="28"/>
          <w:szCs w:val="28"/>
          <w:rtl/>
        </w:rPr>
        <w:t xml:space="preserve">نراقی، عبدالصاحب محمد بن احمد، ۱۲۱۵؟ -۱۲۹۷ قمری</w:t>
      </w:r>
    </w:p>
    <w:p>
      <w:pPr>
        <w:pStyle w:val="BookText"/>
      </w:pPr>
      <w:r>
        <w:rPr>
          <w:rFonts w:ascii="Times New Roman" w:hAnsi="Times New Roman" w:eastAsia="Times New Roman" w:cs="Times New Roman"/>
          <w:lang w:val="en-US" w:bidi="en-US"/>
          <w:color w:val="111111"/>
          <w:sz w:val="28"/>
          <w:szCs w:val="28"/>
          <w:rtl/>
        </w:rPr>
        <w:t xml:space="preserve">narāqī, ‘abd-os-sāheb mohammad ebn-e ahmad (1801 1880)</w:t>
      </w:r>
    </w:p>
    <w:p>
      <w:pPr>
        <w:pStyle w:val="BookText"/>
      </w:pPr>
      <w:r>
        <w:rPr>
          <w:rFonts w:ascii="IRNazanin" w:hAnsi="IRNazanin" w:eastAsia="IRNazanin" w:cs="IRNazanin"/>
          <w:lang w:bidi="fa-IR"/>
          <w:color w:val="111111"/>
          <w:sz w:val="28"/>
          <w:szCs w:val="28"/>
          <w:rtl/>
        </w:rPr>
        <w:t xml:space="preserve">رساله عملیه شامل مسائل طهارت و صلات. چاپ: مشار فارسی، ج ۱، ص ۱۱۷۶، دارالخلافه طهران، سنگی، ۱۲۸۱ ق.، خشتی</w:t>
      </w:r>
    </w:p>
    <w:p>
      <w:pPr>
        <w:pStyle w:val="BookText"/>
      </w:pPr>
      <w:r>
        <w:rPr>
          <w:rFonts w:ascii="IRNazanin" w:hAnsi="IRNazanin" w:eastAsia="IRNazanin" w:cs="IRNazanin"/>
          <w:lang w:bidi="fa-IR"/>
          <w:color w:val="111111"/>
          <w:sz w:val="28"/>
          <w:szCs w:val="28"/>
          <w:rtl/>
        </w:rPr>
        <w:t xml:space="preserve">قم: فاضل قائینی؛ شماره نسخه:بدون شماره</w:t>
      </w:r>
    </w:p>
    <w:p>
      <w:pPr>
        <w:pStyle w:val="BookText"/>
      </w:pPr>
      <w:r>
        <w:rPr>
          <w:rFonts w:ascii="IRNazanin" w:hAnsi="IRNazanin" w:eastAsia="IRNazanin" w:cs="IRNazanin"/>
          <w:lang w:bidi="fa-IR"/>
          <w:color w:val="111111"/>
          <w:sz w:val="28"/>
          <w:szCs w:val="28"/>
          <w:rtl/>
        </w:rPr>
        <w:t xml:space="preserve">كا: میر سید علی بن میر سید محمد حسینی نائینی، تا: ۱۲۶۱ق</w:t>
      </w:r>
    </w:p>
    <w:p>
      <w:pPr>
        <w:pStyle w:val="BookText"/>
      </w:pPr>
      <w:r>
        <w:rPr>
          <w:rFonts w:ascii="IRNazanin" w:hAnsi="IRNazanin" w:eastAsia="IRNazanin" w:cs="IRNazanin"/>
          <w:lang w:bidi="fa-IR"/>
          <w:color w:val="111111"/>
          <w:sz w:val="28"/>
          <w:szCs w:val="28"/>
          <w:rtl/>
        </w:rPr>
        <w:t xml:space="preserve">[ تراثنا: س ۱۳ ش ۱-۱۳۹]
</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bookmarkStart w:id="662" w:name="pg20363_210008"/>
    <w:bookmarkEnd w:id="662"/>
    <w:p>
      <w:pPr>
        <w:pStyle w:val="Heading3"/>
      </w:pPr>
      <w:bookmarkStart w:id="2922" w:name="_Toc2182"/>
      <w:r>
        <w:t>•تبصرة الناظرين / ادبیات / فارسی</w:t>
      </w:r>
      <w:bookmarkEnd w:id="2922"/>
    </w:p>
    <w:p>
      <w:pPr>
        <w:pStyle w:val="BookText"/>
      </w:pPr>
      <w:r>
        <w:rPr>
          <w:rFonts w:ascii="Times New Roman" w:hAnsi="Times New Roman" w:eastAsia="Times New Roman" w:cs="Times New Roman"/>
          <w:lang w:val="en-US" w:bidi="en-US"/>
          <w:color w:val="111111"/>
          <w:sz w:val="28"/>
          <w:szCs w:val="28"/>
          <w:rtl/>
        </w:rPr>
        <w:t xml:space="preserve">tabserat-on nāzerīn</w:t>
      </w:r>
    </w:p>
    <w:p>
      <w:pPr>
        <w:pStyle w:val="BookText"/>
      </w:pPr>
      <w:r>
        <w:rPr>
          <w:rFonts w:ascii="IRNazanin" w:hAnsi="IRNazanin" w:eastAsia="IRNazanin" w:cs="IRNazanin"/>
          <w:lang w:bidi="fa-IR"/>
          <w:color w:val="111111"/>
          <w:sz w:val="28"/>
          <w:szCs w:val="28"/>
          <w:rtl/>
        </w:rPr>
        <w:t xml:space="preserve">حسینی، امین بن عبد العظيم، ق۱۴ قمری</w:t>
      </w:r>
    </w:p>
    <w:p>
      <w:pPr>
        <w:pStyle w:val="BookText"/>
      </w:pPr>
      <w:r>
        <w:rPr>
          <w:rFonts w:ascii="Times New Roman" w:hAnsi="Times New Roman" w:eastAsia="Times New Roman" w:cs="Times New Roman"/>
          <w:lang w:val="en-US" w:bidi="en-US"/>
          <w:color w:val="111111"/>
          <w:sz w:val="28"/>
          <w:szCs w:val="28"/>
          <w:rtl/>
        </w:rPr>
        <w:t xml:space="preserve">hoseynī, amīn ebn-e ‘abd-ol--azīm (-20c)</w:t>
      </w:r>
    </w:p>
    <w:p>
      <w:pPr>
        <w:pStyle w:val="BookText"/>
      </w:pPr>
      <w:r>
        <w:rPr>
          <w:rFonts w:ascii="IRNazanin" w:hAnsi="IRNazanin" w:eastAsia="IRNazanin" w:cs="IRNazanin"/>
          <w:lang w:bidi="fa-IR"/>
          <w:color w:val="111111"/>
          <w:sz w:val="28"/>
          <w:szCs w:val="28"/>
          <w:rtl/>
        </w:rPr>
        <w:t xml:space="preserve">تاریخ تأليف: ۱۳۰۱ق</w:t>
      </w:r>
    </w:p>
    <w:p>
      <w:pPr>
        <w:pStyle w:val="BookText"/>
      </w:pPr>
      <w:r>
        <w:rPr>
          <w:rFonts w:ascii="IRNazanin" w:hAnsi="IRNazanin" w:eastAsia="IRNazanin" w:cs="IRNazanin"/>
          <w:lang w:bidi="fa-IR"/>
          <w:color w:val="111111"/>
          <w:sz w:val="28"/>
          <w:szCs w:val="28"/>
          <w:rtl/>
        </w:rPr>
        <w:t xml:space="preserve">کاتب نسخه که در ترقيمه گوید: «تم على يد كاتبها و مؤلفها ۱۴ ذیقعده ۱۳۰۱». کتاب منتخب معانی الاخبار نیز از اوست. در دو «مقام» و یک خاتمه و چند مقال:. مقام .. مهمات مسائل و قواعد صرفیه، در چند مقاله مقام ۲. قواعد و مسائل نحویه در سه مقاله.</w:t>
      </w:r>
    </w:p>
    <w:p>
      <w:pPr>
        <w:pStyle w:val="BookText"/>
      </w:pPr>
      <w:r>
        <w:rPr>
          <w:rFonts w:ascii="Amiri" w:hAnsi="Amiri" w:eastAsia="Amiri" w:cs="Amiri"/>
          <w:lang w:bidi="ar-SA"/>
          <w:color w:val="111111"/>
          <w:sz w:val="28"/>
          <w:szCs w:val="28"/>
          <w:rtl/>
        </w:rPr>
        <w:t xml:space="preserve">تهران؛ دائرة المعارف، شماره نسخه:۴۵۷/۵</w:t>
      </w:r>
    </w:p>
    <w:p>
      <w:pPr>
        <w:pStyle w:val="BookText"/>
      </w:pPr>
      <w:r>
        <w:rPr>
          <w:rFonts w:ascii="IRNazanin" w:hAnsi="IRNazanin" w:eastAsia="IRNazanin" w:cs="IRNazanin"/>
          <w:lang w:bidi="fa-IR"/>
          <w:color w:val="111111"/>
          <w:sz w:val="28"/>
          <w:szCs w:val="28"/>
          <w:rtl/>
        </w:rPr>
        <w:t xml:space="preserve">آغاز: و مقصود از آنها و چون در این امت و ملت این کلمات؛ انجام: احکام بسیاری از مفردات در این مقاله مذکور گردید و کفایت می کند. و الحمدلله اولا و آخرا ...</w:t>
      </w:r>
    </w:p>
    <w:p>
      <w:pPr>
        <w:pStyle w:val="BookText"/>
      </w:pPr>
      <w:r>
        <w:rPr>
          <w:rFonts w:ascii="IRNazanin" w:hAnsi="IRNazanin" w:eastAsia="IRNazanin" w:cs="IRNazanin"/>
          <w:lang w:bidi="fa-IR"/>
          <w:color w:val="111111"/>
          <w:sz w:val="28"/>
          <w:szCs w:val="28"/>
          <w:rtl/>
        </w:rPr>
        <w:t xml:space="preserve">خط: نستعلیق تحریری، کاتب = مؤلف، تا: ۱۴ ذیقعده ۱۳۰۱ق؛ افتادگی: آغاز (یک برگ)؛ ۷۷گ (۹۱ر۱۶۷ر) [ف: ۱-۴۴]</w:t>
      </w:r>
    </w:p>
    <w:p>
      <w:pPr>
        <w:pStyle w:val="Heading3"/>
      </w:pPr>
      <w:bookmarkStart w:id="2923" w:name="_Toc2183"/>
      <w:r>
        <w:t>•تبصرة الناظرين / گوناگون / عربی</w:t>
      </w:r>
      <w:bookmarkEnd w:id="2923"/>
    </w:p>
    <w:p>
      <w:pPr>
        <w:pStyle w:val="BookText"/>
      </w:pPr>
      <w:r>
        <w:rPr>
          <w:rFonts w:ascii="Times New Roman" w:hAnsi="Times New Roman" w:eastAsia="Times New Roman" w:cs="Times New Roman"/>
          <w:lang w:val="en-US" w:bidi="en-US"/>
          <w:color w:val="111111"/>
          <w:sz w:val="28"/>
          <w:szCs w:val="28"/>
          <w:rtl/>
        </w:rPr>
        <w:t xml:space="preserve">tabserat-on nāzerīn</w:t>
      </w:r>
    </w:p>
    <w:p>
      <w:pPr>
        <w:pStyle w:val="BookText"/>
      </w:pPr>
      <w:r>
        <w:rPr>
          <w:rFonts w:ascii="IRNazanin" w:hAnsi="IRNazanin" w:eastAsia="IRNazanin" w:cs="IRNazanin"/>
          <w:lang w:bidi="fa-IR"/>
          <w:color w:val="111111"/>
          <w:sz w:val="28"/>
          <w:szCs w:val="28"/>
          <w:rtl/>
        </w:rPr>
        <w:t xml:space="preserve">حسینی تنکابنی، اسماعیل بن کاظم، ق۱۴ قمری</w:t>
      </w:r>
    </w:p>
    <w:p>
      <w:pPr>
        <w:pStyle w:val="BookText"/>
      </w:pPr>
      <w:r>
        <w:rPr>
          <w:rFonts w:ascii="Times New Roman" w:hAnsi="Times New Roman" w:eastAsia="Times New Roman" w:cs="Times New Roman"/>
          <w:lang w:val="en-US" w:bidi="en-US"/>
          <w:color w:val="111111"/>
          <w:sz w:val="28"/>
          <w:szCs w:val="28"/>
          <w:rtl/>
        </w:rPr>
        <w:t xml:space="preserve">hoseynī tonekābonī, esmāʻīl ebn-e kāzem (-20c)</w:t>
      </w:r>
    </w:p>
    <w:p>
      <w:pPr>
        <w:pStyle w:val="BookText"/>
      </w:pPr>
      <w:r>
        <w:rPr>
          <w:rFonts w:ascii="IRNazanin" w:hAnsi="IRNazanin" w:eastAsia="IRNazanin" w:cs="IRNazanin"/>
          <w:lang w:bidi="fa-IR"/>
          <w:color w:val="111111"/>
          <w:sz w:val="28"/>
          <w:szCs w:val="28"/>
          <w:rtl/>
        </w:rPr>
        <w:t xml:space="preserve">کشکولی است مشتمل بر مطالب متفرقه علمی و تاریخی و ادبی و رجالی که مؤلف آنها را در چند باب گرد آورده است. این نسخه شرح احوال علماست که باب دوم می باشد و از کتاب استخراج شده است.</w:t>
      </w:r>
    </w:p>
    <w:p>
      <w:pPr>
        <w:pStyle w:val="BookText"/>
      </w:pPr>
      <w:r>
        <w:rPr>
          <w:rFonts w:ascii="IRNazanin" w:hAnsi="IRNazanin" w:eastAsia="IRNazanin" w:cs="IRNazanin"/>
          <w:lang w:bidi="fa-IR"/>
          <w:color w:val="111111"/>
          <w:sz w:val="28"/>
          <w:szCs w:val="28"/>
          <w:rtl/>
        </w:rPr>
        <w:t xml:space="preserve">قم؛ مرعشی؛ شماره نسخه:۷۶۲۸</w:t>
      </w:r>
    </w:p>
    <w:p>
      <w:pPr>
        <w:pStyle w:val="BookText"/>
      </w:pPr>
      <w:r>
        <w:rPr>
          <w:rFonts w:ascii="IRNazanin" w:hAnsi="IRNazanin" w:eastAsia="IRNazanin" w:cs="IRNazanin"/>
          <w:lang w:bidi="fa-IR"/>
          <w:color w:val="111111"/>
          <w:sz w:val="28"/>
          <w:szCs w:val="28"/>
          <w:rtl/>
        </w:rPr>
        <w:t xml:space="preserve">خط: نستعلیق، بی کا، بی تا، در آغاز نسخه صفحه ای است به خط آية الله مرعشی در شرح حال مؤلف؛ جلد: تیماج قهوه ای، ۴۵گ، ۱۳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سم [ف: ۲۰-۳۳]</w:t>
      </w:r>
    </w:p>
    <w:p>
      <w:pPr>
        <w:pStyle w:val="Heading3"/>
      </w:pPr>
      <w:bookmarkStart w:id="2924" w:name="_Toc2184"/>
      <w:r>
        <w:t>•تبصرة الناظرين في كشف مدارک احكام فروع الدین /فقه / عربی</w:t>
      </w:r>
      <w:bookmarkEnd w:id="2924"/>
    </w:p>
    <w:p>
      <w:pPr>
        <w:pStyle w:val="BookText"/>
      </w:pPr>
      <w:r>
        <w:rPr>
          <w:rFonts w:ascii="Times New Roman" w:hAnsi="Times New Roman" w:eastAsia="Times New Roman" w:cs="Times New Roman"/>
          <w:lang w:val="en-US" w:bidi="en-US"/>
          <w:color w:val="111111"/>
          <w:sz w:val="28"/>
          <w:szCs w:val="28"/>
          <w:rtl/>
        </w:rPr>
        <w:t xml:space="preserve">tabşirat-un nāzirīn fī kašf-i madārik-i ahkām-i furū‘-id dīn</w:t>
      </w:r>
    </w:p>
    <w:p>
      <w:pPr>
        <w:pStyle w:val="BookText"/>
      </w:pPr>
      <w:r>
        <w:rPr>
          <w:rFonts w:ascii="IRNazanin" w:hAnsi="IRNazanin" w:eastAsia="IRNazanin" w:cs="IRNazanin"/>
          <w:lang w:bidi="fa-IR"/>
          <w:color w:val="111111"/>
          <w:sz w:val="28"/>
          <w:szCs w:val="28"/>
          <w:rtl/>
        </w:rPr>
        <w:t xml:space="preserve">رشتی اصفهانی، محسن بن محمد رفیع، ق۱۳ قمری</w:t>
      </w:r>
    </w:p>
    <w:p>
      <w:pPr>
        <w:pStyle w:val="BookText"/>
      </w:pPr>
      <w:r>
        <w:rPr>
          <w:rFonts w:ascii="Times New Roman" w:hAnsi="Times New Roman" w:eastAsia="Times New Roman" w:cs="Times New Roman"/>
          <w:lang w:val="en-US" w:bidi="en-US"/>
          <w:color w:val="111111"/>
          <w:sz w:val="28"/>
          <w:szCs w:val="28"/>
          <w:rtl/>
        </w:rPr>
        <w:t xml:space="preserve">raštī esfahānī, mohsen ebn-e mohammad rafi* (-19c)</w:t>
      </w:r>
    </w:p>
    <w:p>
      <w:pPr>
        <w:pStyle w:val="BookText"/>
      </w:pPr>
      <w:r>
        <w:rPr>
          <w:rFonts w:ascii="IRNazanin" w:hAnsi="IRNazanin" w:eastAsia="IRNazanin" w:cs="IRNazanin"/>
          <w:lang w:bidi="fa-IR"/>
          <w:color w:val="111111"/>
          <w:sz w:val="28"/>
          <w:szCs w:val="28"/>
          <w:rtl/>
        </w:rPr>
        <w:t xml:space="preserve">اهداء به: ناصر الدین شاه قاجار</w:t>
      </w:r>
    </w:p>
    <w:p>
      <w:pPr>
        <w:pStyle w:val="BookText"/>
      </w:pPr>
      <w:r>
        <w:rPr>
          <w:rFonts w:ascii="IRNazanin" w:hAnsi="IRNazanin" w:eastAsia="IRNazanin" w:cs="IRNazanin"/>
          <w:lang w:bidi="fa-IR"/>
          <w:color w:val="111111"/>
          <w:sz w:val="28"/>
          <w:szCs w:val="28"/>
          <w:rtl/>
        </w:rPr>
        <w:t xml:space="preserve">تاريخ تأليف: سه شنبه ۲۹ ربیع الثانی ۱۲۶۷ق؛ محل تالیف: رشت ملا محمد صادق که یکی از علماء گیلان بود برای امتحان مراتب علمی مؤلف سی مسئله فقهی نزد وی فرستاد، مؤلف ده مسئله بر آنها افزود و به چهل مسئله در این کتاب به طور استدلالی پاسخ گفته است.</w:t>
      </w:r>
    </w:p>
    <w:p>
      <w:pPr>
        <w:pStyle w:val="BookText"/>
      </w:pPr>
      <w:r>
        <w:rPr>
          <w:rFonts w:ascii="IRNazanin" w:hAnsi="IRNazanin" w:eastAsia="IRNazanin" w:cs="IRNazanin"/>
          <w:lang w:bidi="fa-IR"/>
          <w:color w:val="111111"/>
          <w:sz w:val="28"/>
          <w:szCs w:val="28"/>
          <w:rtl/>
        </w:rPr>
        <w:t xml:space="preserve">قم؛ مرعشی؛ شماره نسخه: ۲۶۵۹/۴</w:t>
      </w:r>
    </w:p>
    <w:p>
      <w:pPr>
        <w:pStyle w:val="BookText"/>
      </w:pPr>
      <w:r>
        <w:rPr>
          <w:rFonts w:ascii="IRNazanin" w:hAnsi="IRNazanin" w:eastAsia="IRNazanin" w:cs="IRNazanin"/>
          <w:lang w:bidi="fa-IR"/>
          <w:color w:val="111111"/>
          <w:sz w:val="28"/>
          <w:szCs w:val="28"/>
          <w:rtl/>
        </w:rPr>
        <w:t xml:space="preserve">آغاز: الحمدلله رب العالمين ... و بعد فيقول العبد الحريق في بحار الخطايا و المعاصي و المتخلص بالعاصي؛ انجام: أو في عوالم البرزخ في برهوت العياذ بالله او وادی السلام انشاء الله أو في القيامة انشاء الله سبحانه.</w:t>
      </w:r>
    </w:p>
    <w:p>
      <w:pPr>
        <w:pStyle w:val="BookText"/>
      </w:pPr>
      <w:r>
        <w:rPr>
          <w:rFonts w:ascii="IRNazanin" w:hAnsi="IRNazanin" w:eastAsia="IRNazanin" w:cs="IRNazanin"/>
          <w:lang w:bidi="fa-IR"/>
          <w:color w:val="111111"/>
          <w:sz w:val="28"/>
          <w:szCs w:val="28"/>
          <w:rtl/>
        </w:rPr>
        <w:t xml:space="preserve">خط: نستعلیق، کاتب = مؤلف، تا: غره رجب ۱۲۶۷ق، جا: قريه ابراهیم آباد قزوین؛ جلد: تیماج قهوه ای، ۶۰گ (۲۰۲پ -۲۶۱ر)،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۷-۲۳۹]</w:t>
      </w:r>
    </w:p>
    <w:p>
      <w:pPr>
        <w:pStyle w:val="Heading3"/>
      </w:pPr>
      <w:bookmarkStart w:id="2925" w:name="_Toc2185"/>
      <w:r>
        <w:t>•تبصرة الناظرين و تذکرة الذاکرین / عرفان و تصوف / فارسی</w:t>
      </w:r>
      <w:bookmarkEnd w:id="2925"/>
    </w:p>
    <w:p>
      <w:pPr>
        <w:pStyle w:val="BookText"/>
      </w:pPr>
      <w:r>
        <w:rPr>
          <w:rFonts w:ascii="Times New Roman" w:hAnsi="Times New Roman" w:eastAsia="Times New Roman" w:cs="Times New Roman"/>
          <w:lang w:val="en-US" w:bidi="en-US"/>
          <w:color w:val="111111"/>
          <w:sz w:val="28"/>
          <w:szCs w:val="28"/>
          <w:rtl/>
        </w:rPr>
        <w:t xml:space="preserve">tabserat-on nāzerīn va tazkerat-oz zākerīn</w:t>
      </w:r>
    </w:p>
    <w:p>
      <w:pPr>
        <w:pStyle w:val="BookText"/>
      </w:pPr>
      <w:r>
        <w:rPr>
          <w:rFonts w:ascii="IRNazanin" w:hAnsi="IRNazanin" w:eastAsia="IRNazanin" w:cs="IRNazanin"/>
          <w:lang w:bidi="fa-IR"/>
          <w:color w:val="111111"/>
          <w:sz w:val="28"/>
          <w:szCs w:val="28"/>
          <w:rtl/>
        </w:rPr>
        <w:t xml:space="preserve">محقق اردبیلی، محمد بن سلطان محمد، ق ۱۱ قمری</w:t>
      </w:r>
    </w:p>
    <w:p>
      <w:pPr>
        <w:pStyle w:val="BookText"/>
      </w:pPr>
      <w:r>
        <w:rPr>
          <w:rFonts w:ascii="Times New Roman" w:hAnsi="Times New Roman" w:eastAsia="Times New Roman" w:cs="Times New Roman"/>
          <w:lang w:val="en-US" w:bidi="en-US"/>
          <w:color w:val="111111"/>
          <w:sz w:val="28"/>
          <w:szCs w:val="28"/>
          <w:rtl/>
        </w:rPr>
        <w:t xml:space="preserve">mohaqqeq-e ardabīlī, mohammad ebn-e soltān mohammad (-17c)</w:t>
      </w:r>
    </w:p>
    <w:p>
      <w:pPr>
        <w:pStyle w:val="BookText"/>
      </w:pPr>
      <w:r>
        <w:rPr>
          <w:rFonts w:ascii="IRNazanin" w:hAnsi="IRNazanin" w:eastAsia="IRNazanin" w:cs="IRNazanin"/>
          <w:lang w:bidi="fa-IR"/>
          <w:color w:val="111111"/>
          <w:sz w:val="28"/>
          <w:szCs w:val="28"/>
          <w:rtl/>
        </w:rPr>
        <w:t xml:space="preserve">تاریخ تأليف: جمعه دوازدهم محرم ۱۰۵۰ق</w:t>
      </w:r>
    </w:p>
    <w:p>
      <w:pPr>
        <w:pStyle w:val="BookText"/>
      </w:pPr>
      <w:r>
        <w:rPr>
          <w:rFonts w:ascii="IRNazanin" w:hAnsi="IRNazanin" w:eastAsia="IRNazanin" w:cs="IRNazanin"/>
          <w:lang w:bidi="fa-IR"/>
          <w:color w:val="111111"/>
          <w:sz w:val="28"/>
          <w:szCs w:val="28"/>
          <w:rtl/>
        </w:rPr>
        <w:t xml:space="preserve">رساله ای عرفانی بر مشرب صوفيان ذهبيه در معانی ذکر در یک «مقدمه» و شش «تذکره» و یک «خاتمه»: مقدمه: در بیان معنی ذکر و ذاکر؛ تذکره ۱. بیان اینکه ذكر افضل عبادات است؛ ۲. معنی لا اله الا الله؛ ۳. ذکر جهر و جمعیت صلوة؛ ۴. ذکر خفی و قلبی؛ ۵. بیان آنچه بعضي اهل سلوک را روی می دهد در مجالس ذکر؛ ۶. بیان تواجد و وجد و وجود خاتمه: در بیان آنکه سالک طریقت را با وجود صدق نیت و صفای طویت و نفس عازم و قلب حازم ... بامداد پیر راه دیده ... احتیاج است. مؤلف در پایان اسم و سلسله طریقتی و مشایخ خود را ذکر می کند.</w:t>
      </w:r>
    </w:p>
    <w:p>
      <w:pPr>
        <w:pStyle w:val="BookText"/>
      </w:pPr>
      <w:r>
        <w:rPr>
          <w:rFonts w:ascii="IRNazanin" w:hAnsi="IRNazanin" w:eastAsia="IRNazanin" w:cs="IRNazanin"/>
          <w:lang w:bidi="fa-IR"/>
          <w:color w:val="111111"/>
          <w:sz w:val="28"/>
          <w:szCs w:val="28"/>
          <w:rtl/>
        </w:rPr>
        <w:t xml:space="preserve">آغاز: الحمد لمن ليس للحمد أهل دونه فلا يشاركه في الثناء سواء الذي نبه على ذكره في ذكره بذكره فاعلم انه لا اله الا الله فهو سبحانه لم يزل ذاكرة مذكورة متجلية بذكره على الأفئدة انجام: و لهذا در آن خوض نمیرود هدانا الله و سایر الطالبين للحق و اليقين الى طريقة الأئمة المعصومين و اتباعهم المتقين و الأولياء المنتجبين من مشايخ الدين و افاض علينا من اسرار هم انوار الصدق و اليقين</w:t>
      </w:r>
    </w:p>
    <w:p>
      <w:pPr>
        <w:pStyle w:val="BookText"/>
      </w:pPr>
      <w:r>
        <w:rPr>
          <w:rFonts w:ascii="IRNazanin" w:hAnsi="IRNazanin" w:eastAsia="IRNazanin" w:cs="IRNazanin"/>
          <w:lang w:bidi="fa-IR"/>
          <w:color w:val="111111"/>
          <w:sz w:val="28"/>
          <w:szCs w:val="28"/>
          <w:rtl/>
        </w:rPr>
        <w:t xml:space="preserve">[دنا ۷۷۳/۲ (۳ نسخه)؛ فهرستواره منزوی ۱۷۲/۷ ]</w:t>
      </w:r>
    </w:p>
    <w:p>
      <w:pPr>
        <w:pStyle w:val="BookText"/>
      </w:pPr>
      <w:r>
        <w:rPr>
          <w:rFonts w:ascii="IRNazanin" w:hAnsi="IRNazanin" w:eastAsia="IRNazanin" w:cs="IRNazanin"/>
          <w:lang w:bidi="fa-IR"/>
          <w:color w:val="111111"/>
          <w:sz w:val="28"/>
          <w:szCs w:val="28"/>
          <w:rtl/>
        </w:rPr>
        <w:t xml:space="preserve">١. کاشان؛ مدرسه سلطانی؛ شماره نسخه: ۳۵۶/۱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۱۰۷۹ق؛ فاقد جلد، ۲۵گ (۱پ -۲۵ر)، ۲۲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مخ ]</w:t>
      </w:r>
    </w:p>
    <w:p>
      <w:pPr>
        <w:pStyle w:val="BookText"/>
      </w:pPr>
      <w:r>
        <w:rPr>
          <w:rFonts w:ascii="IRNazanin" w:hAnsi="IRNazanin" w:eastAsia="IRNazanin" w:cs="IRNazanin"/>
          <w:lang w:bidi="fa-IR"/>
          <w:color w:val="111111"/>
          <w:sz w:val="28"/>
          <w:szCs w:val="28"/>
          <w:rtl/>
        </w:rPr>
        <w:t xml:space="preserve">۲. خوی؛ نمازی،شماره نسخه:۳۴۵</w:t>
      </w:r>
    </w:p>
    <w:p>
      <w:pPr>
        <w:pStyle w:val="BookText"/>
      </w:pPr>
      <w:r>
        <w:rPr>
          <w:rFonts w:ascii="IRNazanin" w:hAnsi="IRNazanin" w:eastAsia="IRNazanin" w:cs="IRNazanin"/>
          <w:lang w:bidi="fa-IR"/>
          <w:color w:val="111111"/>
          <w:sz w:val="28"/>
          <w:szCs w:val="28"/>
          <w:rtl/>
        </w:rPr>
        <w:t xml:space="preserve">آغاز: برابر؛ انجام: انوار الصدق و اليقين اتفق الفراغ من تلفيق هذا المختصر ... من غير التفات الى كتب القوم من اهل الحال و القال او اقتباس شیء منهم في المعاني او المقال.
</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bookmarkStart w:id="663" w:name="pg20363_210009"/>
    <w:bookmarkEnd w:id="663"/>
    <w:p>
      <w:pPr>
        <w:pStyle w:val="BookText"/>
      </w:pPr>
      <w:r>
        <w:rPr>
          <w:rFonts w:ascii="IRNazanin" w:hAnsi="IRNazanin" w:eastAsia="IRNazanin" w:cs="IRNazanin"/>
          <w:lang w:bidi="fa-IR"/>
          <w:color w:val="111111"/>
          <w:sz w:val="28"/>
          <w:szCs w:val="28"/>
          <w:rtl/>
        </w:rPr>
        <w:t xml:space="preserve">خط: نستعلیق، بی کا، تا: چهارشنبه 19 شوال ۱۱۹۴ق، جلد: مقوایی، ۹۵ص، ۱۳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۱۷۱]</w:t>
      </w:r>
    </w:p>
    <w:p>
      <w:pPr>
        <w:pStyle w:val="BookText"/>
      </w:pPr>
      <w:r>
        <w:rPr>
          <w:rFonts w:ascii="IRNazanin" w:hAnsi="IRNazanin" w:eastAsia="IRNazanin" w:cs="IRNazanin"/>
          <w:lang w:bidi="fa-IR"/>
          <w:color w:val="111111"/>
          <w:sz w:val="28"/>
          <w:szCs w:val="28"/>
          <w:rtl/>
        </w:rPr>
        <w:t xml:space="preserve">قم مرکز احیاء؛ شماره نسخه:۴۸۴</w:t>
      </w:r>
    </w:p>
    <w:p>
      <w:pPr>
        <w:pStyle w:val="BookText"/>
      </w:pPr>
      <w:r>
        <w:rPr>
          <w:rFonts w:ascii="IRNazanin" w:hAnsi="IRNazanin" w:eastAsia="IRNazanin" w:cs="IRNazanin"/>
          <w:lang w:bidi="fa-IR"/>
          <w:color w:val="111111"/>
          <w:sz w:val="28"/>
          <w:szCs w:val="28"/>
          <w:rtl/>
        </w:rPr>
        <w:t xml:space="preserve">نسخه اصل: همان نسخه بالا [عکسی ف: ۲-۸۵]</w:t>
      </w:r>
    </w:p>
    <w:p>
      <w:pPr>
        <w:pStyle w:val="Heading3"/>
      </w:pPr>
      <w:bookmarkStart w:id="2926" w:name="_Toc2186"/>
      <w:r>
        <w:t>•تبصرة الواعظین / عربی</w:t>
      </w:r>
      <w:bookmarkEnd w:id="2926"/>
    </w:p>
    <w:p>
      <w:pPr>
        <w:pStyle w:val="BookText"/>
      </w:pPr>
      <w:r>
        <w:rPr>
          <w:rFonts w:ascii="Times New Roman" w:hAnsi="Times New Roman" w:eastAsia="Times New Roman" w:cs="Times New Roman"/>
          <w:lang w:val="en-US" w:bidi="en-US"/>
          <w:color w:val="111111"/>
          <w:sz w:val="28"/>
          <w:szCs w:val="28"/>
          <w:rtl/>
        </w:rPr>
        <w:t xml:space="preserve">tabSirat-ul wa'iZin</w:t>
      </w:r>
    </w:p>
    <w:p>
      <w:pPr>
        <w:pStyle w:val="BookText"/>
      </w:pPr>
      <w:r>
        <w:rPr>
          <w:rFonts w:ascii="IRNazanin" w:hAnsi="IRNazanin" w:eastAsia="IRNazanin" w:cs="IRNazanin"/>
          <w:lang w:bidi="fa-IR"/>
          <w:color w:val="111111"/>
          <w:sz w:val="28"/>
          <w:szCs w:val="28"/>
          <w:rtl/>
        </w:rPr>
        <w:t xml:space="preserve">محمد حسن بن اسماعیل</w:t>
      </w:r>
    </w:p>
    <w:p>
      <w:pPr>
        <w:pStyle w:val="BookText"/>
      </w:pPr>
      <w:r>
        <w:rPr>
          <w:rFonts w:ascii="Times New Roman" w:hAnsi="Times New Roman" w:eastAsia="Times New Roman" w:cs="Times New Roman"/>
          <w:lang w:val="en-US" w:bidi="en-US"/>
          <w:color w:val="111111"/>
          <w:sz w:val="28"/>
          <w:szCs w:val="28"/>
          <w:rtl/>
        </w:rPr>
        <w:t xml:space="preserve">mohammad hasan ebn-e esmāʻīl</w:t>
      </w:r>
    </w:p>
    <w:p>
      <w:pPr>
        <w:pStyle w:val="BookText"/>
      </w:pPr>
      <w:r>
        <w:rPr>
          <w:rFonts w:ascii="IRNazanin" w:hAnsi="IRNazanin" w:eastAsia="IRNazanin" w:cs="IRNazanin"/>
          <w:lang w:bidi="fa-IR"/>
          <w:color w:val="111111"/>
          <w:sz w:val="28"/>
          <w:szCs w:val="28"/>
          <w:rtl/>
        </w:rPr>
        <w:t xml:space="preserve">مشهد؛ مدرسه آية الله خوئی؛ شماره نسخه:۲۵۷/۳</w:t>
      </w:r>
    </w:p>
    <w:p>
      <w:pPr>
        <w:pStyle w:val="BookText"/>
      </w:pPr>
      <w:r>
        <w:rPr>
          <w:rFonts w:ascii="IRNazanin" w:hAnsi="IRNazanin" w:eastAsia="IRNazanin" w:cs="IRNazanin"/>
          <w:lang w:bidi="fa-IR"/>
          <w:color w:val="111111"/>
          <w:sz w:val="28"/>
          <w:szCs w:val="28"/>
          <w:rtl/>
        </w:rPr>
        <w:t xml:space="preserve">بی کا، بی تا [اوراق عتیق: ۱-۲۵۶]</w:t>
      </w:r>
    </w:p>
    <w:p>
      <w:pPr>
        <w:pStyle w:val="Heading3"/>
      </w:pPr>
      <w:bookmarkStart w:id="2927" w:name="_Toc2187"/>
      <w:r>
        <w:t>•تبصرة الولي في النص الجلي / حديث / عربی</w:t>
      </w:r>
      <w:bookmarkEnd w:id="2927"/>
    </w:p>
    <w:p>
      <w:pPr>
        <w:pStyle w:val="BookText"/>
      </w:pPr>
      <w:r>
        <w:rPr>
          <w:rFonts w:ascii="Times New Roman" w:hAnsi="Times New Roman" w:eastAsia="Times New Roman" w:cs="Times New Roman"/>
          <w:lang w:val="en-US" w:bidi="en-US"/>
          <w:color w:val="111111"/>
          <w:sz w:val="28"/>
          <w:szCs w:val="28"/>
          <w:rtl/>
        </w:rPr>
        <w:t xml:space="preserve">tabșirat-ul walī fi-n nass-il jalī</w:t>
      </w:r>
    </w:p>
    <w:p>
      <w:pPr>
        <w:pStyle w:val="BookText"/>
      </w:pPr>
      <w:r>
        <w:rPr>
          <w:rFonts w:ascii="IRNazanin" w:hAnsi="IRNazanin" w:eastAsia="IRNazanin" w:cs="IRNazanin"/>
          <w:lang w:bidi="fa-IR"/>
          <w:color w:val="111111"/>
          <w:sz w:val="28"/>
          <w:szCs w:val="28"/>
          <w:rtl/>
        </w:rPr>
        <w:t xml:space="preserve">بحرانی، هاشم بن سليمان، -۱۱۰۷؟ قمری</w:t>
      </w:r>
    </w:p>
    <w:p>
      <w:pPr>
        <w:pStyle w:val="BookText"/>
      </w:pPr>
      <w:r>
        <w:rPr>
          <w:rFonts w:ascii="Times New Roman" w:hAnsi="Times New Roman" w:eastAsia="Times New Roman" w:cs="Times New Roman"/>
          <w:lang w:val="en-US" w:bidi="en-US"/>
          <w:color w:val="111111"/>
          <w:sz w:val="28"/>
          <w:szCs w:val="28"/>
          <w:rtl/>
        </w:rPr>
        <w:t xml:space="preserve">bahrānī, hāšem ebn-e soleymān (-1696)</w:t>
      </w:r>
    </w:p>
    <w:p>
      <w:pPr>
        <w:pStyle w:val="BookText"/>
      </w:pPr>
      <w:r>
        <w:rPr>
          <w:rFonts w:ascii="IRNazanin" w:hAnsi="IRNazanin" w:eastAsia="IRNazanin" w:cs="IRNazanin"/>
          <w:lang w:bidi="fa-IR"/>
          <w:color w:val="111111"/>
          <w:sz w:val="28"/>
          <w:szCs w:val="28"/>
          <w:rtl/>
        </w:rPr>
        <w:t xml:space="preserve">کتابی در اثبات امامت و خلافت علی بن ابیطالب است و دارای چهار «رکن»: ۱. در آنچه به لفظ امام آمده و در این رکن صد حدیث از طریق خاصه و سی و دو حدیث از طرق عامه نقل شده؛ ۲. در آنچه که به لفظ خلیفه ذکر شده و در این رکن هم صد حدیث از طريق خاصه و بیست حدیث از طرق عامه ذکر شده؛ ۳. در قول حضرت رسول به على که فرمود انت منی بمنزلة هرون من موسی الخ و در این رکن هفتاد حدیث از طریق خاصه و هشتاد حدیث از طرق عامه نقل شده؛ ۴. وجوب تمسک به ثقلین و امر رسول الله به آن و در آن هشتاد و یک حدیث از طريق خاصه و بیست وسه حدیث از طرق عامه آورده شده. این کتاب جز اثر دیگر مؤلف با عنوان تبصرة الولي فيمن رأى المهدی است.</w:t>
      </w:r>
    </w:p>
    <w:p>
      <w:pPr>
        <w:pStyle w:val="BookText"/>
      </w:pPr>
      <w:r>
        <w:rPr>
          <w:rFonts w:ascii="IRNazanin" w:hAnsi="IRNazanin" w:eastAsia="IRNazanin" w:cs="IRNazanin"/>
          <w:lang w:bidi="fa-IR"/>
          <w:color w:val="111111"/>
          <w:sz w:val="28"/>
          <w:szCs w:val="28"/>
          <w:rtl/>
        </w:rPr>
        <w:t xml:space="preserve">همدان؛ مدرسه غرب؛ شماره نسخه: ۱۱۲/۴</w:t>
      </w:r>
    </w:p>
    <w:p>
      <w:pPr>
        <w:pStyle w:val="BookText"/>
      </w:pPr>
      <w:r>
        <w:rPr>
          <w:rFonts w:ascii="IRNazanin" w:hAnsi="IRNazanin" w:eastAsia="IRNazanin" w:cs="IRNazanin"/>
          <w:lang w:bidi="fa-IR"/>
          <w:color w:val="111111"/>
          <w:sz w:val="28"/>
          <w:szCs w:val="28"/>
          <w:rtl/>
        </w:rPr>
        <w:t xml:space="preserve">آغاز: الحمد الله العلى العظيم الولى الكريم الروف الرحیم؛ انجام: اهبطوا بنا إلى المكان الذي كانوا فيه و على هذا انقطع الكلام و الصلوة و السلام على محمد و آله صفوة الملك العلام خط: نسخ، بی کا، بی تا، جلد: پارچه، قطع: رحلی [رشت و همدان: ف: ۱۳۷۵]</w:t>
      </w:r>
    </w:p>
    <w:p>
      <w:pPr>
        <w:pStyle w:val="Heading3"/>
      </w:pPr>
      <w:bookmarkStart w:id="2928" w:name="_Toc2188"/>
      <w:r>
        <w:t>•تبصرة الولي فيمن رأي القائم المهدی / حديث أعربی</w:t>
      </w:r>
      <w:bookmarkEnd w:id="2928"/>
    </w:p>
    <w:p>
      <w:pPr>
        <w:pStyle w:val="BookText"/>
      </w:pPr>
      <w:r>
        <w:rPr>
          <w:rFonts w:ascii="Times New Roman" w:hAnsi="Times New Roman" w:eastAsia="Times New Roman" w:cs="Times New Roman"/>
          <w:lang w:val="en-US" w:bidi="en-US"/>
          <w:color w:val="111111"/>
          <w:sz w:val="28"/>
          <w:szCs w:val="28"/>
          <w:rtl/>
        </w:rPr>
        <w:t xml:space="preserve">tabSirat-ul wall fi-man ra'a-1 qa'im-al mahdi</w:t>
      </w:r>
    </w:p>
    <w:p>
      <w:pPr>
        <w:pStyle w:val="BookText"/>
      </w:pPr>
      <w:r>
        <w:rPr>
          <w:rFonts w:ascii="IRNazanin" w:hAnsi="IRNazanin" w:eastAsia="IRNazanin" w:cs="IRNazanin"/>
          <w:lang w:bidi="fa-IR"/>
          <w:color w:val="111111"/>
          <w:sz w:val="28"/>
          <w:szCs w:val="28"/>
          <w:rtl/>
        </w:rPr>
        <w:t xml:space="preserve">بحرانی، هاشم بن سليمان، -۱۱۰۷؟ قمری</w:t>
      </w:r>
    </w:p>
    <w:p>
      <w:pPr>
        <w:pStyle w:val="BookText"/>
      </w:pPr>
      <w:r>
        <w:rPr>
          <w:rFonts w:ascii="Times New Roman" w:hAnsi="Times New Roman" w:eastAsia="Times New Roman" w:cs="Times New Roman"/>
          <w:lang w:val="en-US" w:bidi="en-US"/>
          <w:color w:val="111111"/>
          <w:sz w:val="28"/>
          <w:szCs w:val="28"/>
          <w:rtl/>
        </w:rPr>
        <w:t xml:space="preserve">bahrānī, hāšem ebn-e soleymān (-1696)</w:t>
      </w:r>
    </w:p>
    <w:p>
      <w:pPr>
        <w:pStyle w:val="BookText"/>
      </w:pPr>
      <w:r>
        <w:rPr>
          <w:rFonts w:ascii="IRNazanin" w:hAnsi="IRNazanin" w:eastAsia="IRNazanin" w:cs="IRNazanin"/>
          <w:lang w:bidi="fa-IR"/>
          <w:color w:val="111111"/>
          <w:sz w:val="28"/>
          <w:szCs w:val="28"/>
          <w:rtl/>
        </w:rPr>
        <w:t xml:space="preserve">تاريخ تأليف: ۱۰۹۹ ق (به نوشته الذریعه)</w:t>
      </w:r>
    </w:p>
    <w:p>
      <w:pPr>
        <w:pStyle w:val="BookText"/>
      </w:pPr>
      <w:r>
        <w:rPr>
          <w:rFonts w:ascii="IRNazanin" w:hAnsi="IRNazanin" w:eastAsia="IRNazanin" w:cs="IRNazanin"/>
          <w:lang w:bidi="fa-IR"/>
          <w:color w:val="111111"/>
          <w:sz w:val="28"/>
          <w:szCs w:val="28"/>
          <w:rtl/>
        </w:rPr>
        <w:t xml:space="preserve">داستان دیدار ۷۶ تن از حضرت حجت است، در این کتاب اشخاصی که در زمان ولادت و صباوت و در غیبت صغری و کبری حضرت امام قائم (عجل الله تعالی فرجه) را زیارت کرده و صدای مبارک ایشان را شنیده و از آن حضرت روایت کرده اند با ذكر اسناد ذکر شده. مؤلف در این کتاب هم کوچکترین تصرفی نکرده و فقط نقل روایات می باشد و در حدود ۱۹۰۰۰ بیت است.</w:t>
      </w:r>
    </w:p>
    <w:p>
      <w:pPr>
        <w:pStyle w:val="BookText"/>
      </w:pPr>
      <w:r>
        <w:rPr>
          <w:rFonts w:ascii="Amiri" w:hAnsi="Amiri" w:eastAsia="Amiri" w:cs="Amiri"/>
          <w:lang w:bidi="ar-SA"/>
          <w:color w:val="111111"/>
          <w:sz w:val="28"/>
          <w:szCs w:val="28"/>
          <w:rtl/>
        </w:rPr>
        <w:t xml:space="preserve">آغاز: بسمله. الحمدلله الذي لا يخلو الارض من حجة لئلا يكون للناس على الله حجة و جعل به قوام</w:t>
      </w:r>
    </w:p>
    <w:p>
      <w:pPr>
        <w:pStyle w:val="BookText"/>
      </w:pPr>
      <w:r>
        <w:rPr>
          <w:rFonts w:ascii="Amiri" w:hAnsi="Amiri" w:eastAsia="Amiri" w:cs="Amiri"/>
          <w:lang w:bidi="ar-SA"/>
          <w:color w:val="111111"/>
          <w:sz w:val="28"/>
          <w:szCs w:val="28"/>
          <w:rtl/>
        </w:rPr>
        <w:t xml:space="preserve">انجام: و يشخدون السلاح ينتظرون قائمنا و أتى الحجة عليهم على هذا فقطع الكلام</w:t>
      </w:r>
    </w:p>
    <w:p>
      <w:pPr>
        <w:pStyle w:val="BookText"/>
      </w:pPr>
      <w:r>
        <w:rPr>
          <w:rFonts w:ascii="IRNazanin" w:hAnsi="IRNazanin" w:eastAsia="IRNazanin" w:cs="IRNazanin"/>
          <w:lang w:bidi="fa-IR"/>
          <w:color w:val="111111"/>
          <w:sz w:val="28"/>
          <w:szCs w:val="28"/>
          <w:rtl/>
        </w:rPr>
        <w:t xml:space="preserve">چاپ: مشار عربی، ص۱۵۸، دارالخلافه طهران، سنگی، ۱۲۷۲ق.، رحلی، ۲۶ص (صص ۷۵۸-۷۸۳)</w:t>
      </w:r>
    </w:p>
    <w:p>
      <w:pPr>
        <w:pStyle w:val="BookText"/>
      </w:pPr>
      <w:r>
        <w:rPr>
          <w:rFonts w:ascii="IRNazanin" w:hAnsi="IRNazanin" w:eastAsia="IRNazanin" w:cs="IRNazanin"/>
          <w:lang w:bidi="fa-IR"/>
          <w:color w:val="111111"/>
          <w:sz w:val="28"/>
          <w:szCs w:val="28"/>
          <w:rtl/>
        </w:rPr>
        <w:t xml:space="preserve">[الذریعه ۳۲۶/۳ ؛ دنا ۷۷۳/۲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 ۱۸۶۱۱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خفی خوش، كا: بحرانی، علی بن عبد الله، تا: ۱۰۹۹ق؛ مجدول؛ ضميمه نسهخ ش ۱۶۶۸؛ کاغذ: شکری، جلد: تیماج زرشکی دارای ترنج و سرترنج، ۳۱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۳۰۸۲۱سم [رایانه ]</w:t>
      </w:r>
    </w:p>
    <w:p>
      <w:pPr>
        <w:pStyle w:val="BookText"/>
      </w:pPr>
      <w:r>
        <w:rPr>
          <w:rFonts w:ascii="IRNazanin" w:hAnsi="IRNazanin" w:eastAsia="IRNazanin" w:cs="IRNazanin"/>
          <w:lang w:bidi="fa-IR"/>
          <w:color w:val="111111"/>
          <w:sz w:val="28"/>
          <w:szCs w:val="28"/>
          <w:rtl/>
        </w:rPr>
        <w:t xml:space="preserve">۲. تهران؛ مجلس؛ شماره نسخه:۱۸۳۸۵ ض</w:t>
      </w:r>
    </w:p>
    <w:p>
      <w:pPr>
        <w:pStyle w:val="BookText"/>
      </w:pPr>
      <w:r>
        <w:rPr>
          <w:rFonts w:ascii="IRNazanin" w:hAnsi="IRNazanin" w:eastAsia="IRNazanin" w:cs="IRNazanin"/>
          <w:lang w:bidi="fa-IR"/>
          <w:color w:val="111111"/>
          <w:sz w:val="28"/>
          <w:szCs w:val="28"/>
          <w:rtl/>
        </w:rPr>
        <w:t xml:space="preserve">خط: نسخ خوب، كا: على بن سليمان بحرانی، تا: ۱۱۰۳ق (د.ث. مجلس ]</w:t>
      </w:r>
    </w:p>
    <w:p>
      <w:pPr>
        <w:pStyle w:val="BookText"/>
      </w:pPr>
      <w:r>
        <w:rPr>
          <w:rFonts w:ascii="IRNazanin" w:hAnsi="IRNazanin" w:eastAsia="IRNazanin" w:cs="IRNazanin"/>
          <w:lang w:bidi="fa-IR"/>
          <w:color w:val="111111"/>
          <w:sz w:val="28"/>
          <w:szCs w:val="28"/>
          <w:rtl/>
        </w:rPr>
        <w:t xml:space="preserve">٣. تهران؛ سپهسالار؛ شماره نسخه:۱۷۴۶/۳</w:t>
      </w:r>
    </w:p>
    <w:p>
      <w:pPr>
        <w:pStyle w:val="BookText"/>
      </w:pPr>
      <w:r>
        <w:rPr>
          <w:rFonts w:ascii="IRNazanin" w:hAnsi="IRNazanin" w:eastAsia="IRNazanin" w:cs="IRNazanin"/>
          <w:lang w:bidi="fa-IR"/>
          <w:color w:val="111111"/>
          <w:sz w:val="28"/>
          <w:szCs w:val="28"/>
          <w:rtl/>
        </w:rPr>
        <w:t xml:space="preserve">آغاز: برابر، انجام: ورایت عدة ليال قد نزل من الغرفه وضوء السراج خط: نسخ، كا: سید حسین هندی، تا: ۱۲۶۸ق؛ کاغذ: ترمه، جلد: میشن، ۴۵ گ، ۲۱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۳۴/۵</w:t>
      </w:r>
    </w:p>
    <w:p>
      <w:pPr>
        <w:pStyle w:val="BookText"/>
      </w:pPr>
      <w:r>
        <w:rPr>
          <w:rFonts w:ascii="IRNazanin" w:hAnsi="IRNazanin" w:eastAsia="IRNazanin" w:cs="IRNazanin"/>
          <w:lang w:bidi="fa-IR"/>
          <w:color w:val="111111"/>
          <w:sz w:val="28"/>
          <w:szCs w:val="28"/>
          <w:rtl/>
        </w:rPr>
        <w:t xml:space="preserve">سم [ف: ۱-۲۲۱]</w:t>
      </w:r>
    </w:p>
    <w:p>
      <w:pPr>
        <w:pStyle w:val="BookText"/>
      </w:pPr>
      <w:r>
        <w:rPr>
          <w:rFonts w:ascii="IRNazanin" w:hAnsi="IRNazanin" w:eastAsia="IRNazanin" w:cs="IRNazanin"/>
          <w:lang w:bidi="fa-IR"/>
          <w:color w:val="111111"/>
          <w:sz w:val="28"/>
          <w:szCs w:val="28"/>
          <w:rtl/>
        </w:rPr>
        <w:t xml:space="preserve">۴. یزد؛ صدوقی یزدی؛ شماره نسخه:۱۲۵/۳</w:t>
      </w:r>
    </w:p>
    <w:p>
      <w:pPr>
        <w:pStyle w:val="BookText"/>
      </w:pPr>
      <w:r>
        <w:rPr>
          <w:rFonts w:ascii="IRNazanin" w:hAnsi="IRNazanin" w:eastAsia="IRNazanin" w:cs="IRNazanin"/>
          <w:lang w:bidi="fa-IR"/>
          <w:color w:val="111111"/>
          <w:sz w:val="28"/>
          <w:szCs w:val="28"/>
          <w:rtl/>
        </w:rPr>
        <w:t xml:space="preserve">انجام: فأخذتها و كنت اعمل بها و رأيت عدة لیالی قد نزل من الغرفة وضوء .. خط: نسخ، كا: احمد بن محمد بن مبارك بن حسين الساری بحرانی، بی تا؛ افتادگی: انجام؛ جلد: تیماج قرمز، ۱۱گ (۴۳۰پ - ۴۴۰پ)، اندازه: ۳۱۸۲۳سم [ف: ۱۰۳]</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دائرة المعارف؛ شماره نسخه: ۲۱۲۸/۲ -عکسی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پخته، كا: علی بن محمد کرمانی، تا: ۱۸ جمادی الثانی؛ ۹۲گ (۸۳پ - ۱۷۴پ) [ عکسی ف: ۱-۵۹]</w:t>
      </w:r>
    </w:p>
    <w:p>
      <w:pPr>
        <w:pStyle w:val="BookText"/>
      </w:pPr>
      <w:r>
        <w:rPr>
          <w:rFonts w:ascii="IRNazanin" w:hAnsi="IRNazanin" w:eastAsia="IRNazanin" w:cs="IRNazanin"/>
          <w:lang w:bidi="fa-IR"/>
          <w:color w:val="111111"/>
          <w:sz w:val="28"/>
          <w:szCs w:val="28"/>
          <w:rtl/>
        </w:rPr>
        <w:t xml:space="preserve">۶. قم؛ مرعشی؛ شماره نسخه:۱۱۱۵/۳</w:t>
      </w:r>
    </w:p>
    <w:p>
      <w:pPr>
        <w:pStyle w:val="BookText"/>
      </w:pPr>
      <w:r>
        <w:rPr>
          <w:rFonts w:ascii="IRNazanin" w:hAnsi="IRNazanin" w:eastAsia="IRNazanin" w:cs="IRNazanin"/>
          <w:lang w:bidi="fa-IR"/>
          <w:color w:val="111111"/>
          <w:sz w:val="28"/>
          <w:szCs w:val="28"/>
          <w:rtl/>
        </w:rPr>
        <w:t xml:space="preserve">آغاز و انجام: برابر خط: نسخ، بی کا، بی تا؛ جلد: تیماج قرمز، ۲۳گ (۳۸۷پ-۴۰۹ر)، ۳۱ سطر،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سم [ف: ۳-۲۸۶]</w:t>
      </w:r>
    </w:p>
    <w:p>
      <w:pPr>
        <w:pStyle w:val="BookText"/>
      </w:pPr>
      <w:r>
        <w:rPr>
          <w:rFonts w:ascii="Amiri" w:hAnsi="Amiri" w:eastAsia="Amiri" w:cs="Amiri"/>
          <w:lang w:bidi="ar-SA"/>
          <w:color w:val="111111"/>
          <w:sz w:val="28"/>
          <w:szCs w:val="28"/>
          <w:rtl/>
        </w:rPr>
        <w:t xml:space="preserve">← تبصره يوسفيه← شرح عوامل ملامحسن
</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bookmarkStart w:id="664" w:name="pg20363_210010"/>
    <w:bookmarkEnd w:id="664"/>
    <w:p>
      <w:pPr>
        <w:pStyle w:val="BookText"/>
      </w:pPr>
      <w:r>
        <w:rPr>
          <w:rFonts w:ascii="Amiri" w:hAnsi="Amiri" w:eastAsia="Amiri" w:cs="Amiri"/>
          <w:lang w:bidi="ar-SA"/>
          <w:color w:val="111111"/>
          <w:sz w:val="28"/>
          <w:szCs w:val="28"/>
          <w:rtl/>
        </w:rPr>
        <w:t xml:space="preserve">← تبصير الأدلة ← تبصرة الأدلة في علم الكلام</w:t>
      </w:r>
    </w:p>
    <w:p>
      <w:pPr>
        <w:pStyle w:val="Heading3"/>
      </w:pPr>
      <w:bookmarkStart w:id="2929" w:name="_Toc2189"/>
      <w:r>
        <w:t>•تبصير الرحمن و تيسير المنان ببعض ما يشير الى اعجاز القرآن = تفسير المهایمی / تفسير / عربی</w:t>
      </w:r>
      <w:bookmarkEnd w:id="2929"/>
    </w:p>
    <w:p>
      <w:pPr>
        <w:pStyle w:val="BookText"/>
      </w:pPr>
      <w:r>
        <w:rPr>
          <w:rFonts w:ascii="Times New Roman" w:hAnsi="Times New Roman" w:eastAsia="Times New Roman" w:cs="Times New Roman"/>
          <w:lang w:val="en-US" w:bidi="en-US"/>
          <w:color w:val="111111"/>
          <w:sz w:val="28"/>
          <w:szCs w:val="28"/>
          <w:rtl/>
        </w:rPr>
        <w:t xml:space="preserve">tabþīr-ur raḥmān wa taysīr-ul mannān bi-ba'd-i mā yašīr ilā i'jāz-il qur'ān = tafsīr-ul mahāyimī</w:t>
      </w:r>
    </w:p>
    <w:p>
      <w:pPr>
        <w:pStyle w:val="BookText"/>
      </w:pPr>
      <w:r>
        <w:rPr>
          <w:rFonts w:ascii="IRNazanin" w:hAnsi="IRNazanin" w:eastAsia="IRNazanin" w:cs="IRNazanin"/>
          <w:lang w:bidi="fa-IR"/>
          <w:color w:val="111111"/>
          <w:sz w:val="28"/>
          <w:szCs w:val="28"/>
          <w:rtl/>
        </w:rPr>
        <w:t xml:space="preserve">مهائمی، علی بن احمد، ۷۷۶-۸۳۵ قمری</w:t>
      </w:r>
    </w:p>
    <w:p>
      <w:pPr>
        <w:pStyle w:val="BookText"/>
      </w:pPr>
      <w:r>
        <w:rPr>
          <w:rFonts w:ascii="Times New Roman" w:hAnsi="Times New Roman" w:eastAsia="Times New Roman" w:cs="Times New Roman"/>
          <w:lang w:val="en-US" w:bidi="en-US"/>
          <w:color w:val="111111"/>
          <w:sz w:val="28"/>
          <w:szCs w:val="28"/>
          <w:rtl/>
        </w:rPr>
        <w:t xml:space="preserve">mahā'emī, ‘alī ebn-e ahmad (1375-1432)</w:t>
      </w:r>
    </w:p>
    <w:p>
      <w:pPr>
        <w:pStyle w:val="BookText"/>
      </w:pPr>
      <w:r>
        <w:rPr>
          <w:rFonts w:ascii="IRNazanin" w:hAnsi="IRNazanin" w:eastAsia="IRNazanin" w:cs="IRNazanin"/>
          <w:lang w:bidi="fa-IR"/>
          <w:color w:val="111111"/>
          <w:sz w:val="28"/>
          <w:szCs w:val="28"/>
          <w:rtl/>
        </w:rPr>
        <w:t xml:space="preserve">کتابی است درباره اعجاز قرآن که در فهرست نسخه های خطی عربی کتابخانه ندوة العماء (هند) ص ۲۳ با عنوان: «تبصير الرحمن» مؤلف کتاب اهل دکن هند بوده و شرحی بر</w:t>
      </w:r>
    </w:p>
    <w:p>
      <w:pPr>
        <w:pStyle w:val="BookText"/>
      </w:pPr>
      <w:r>
        <w:rPr>
          <w:rFonts w:ascii="IRNazanin" w:hAnsi="IRNazanin" w:eastAsia="IRNazanin" w:cs="IRNazanin"/>
          <w:lang w:bidi="fa-IR"/>
          <w:color w:val="111111"/>
          <w:sz w:val="28"/>
          <w:szCs w:val="28"/>
          <w:rtl/>
        </w:rPr>
        <w:t xml:space="preserve">«فصوص الحکم» محيي الدين بن عربی و نصوص صدر الدین قونوی دارد.</w:t>
      </w:r>
    </w:p>
    <w:p>
      <w:pPr>
        <w:pStyle w:val="BookText"/>
      </w:pPr>
      <w:r>
        <w:rPr>
          <w:rFonts w:ascii="IRNazanin" w:hAnsi="IRNazanin" w:eastAsia="IRNazanin" w:cs="IRNazanin"/>
          <w:lang w:bidi="fa-IR"/>
          <w:color w:val="111111"/>
          <w:sz w:val="28"/>
          <w:szCs w:val="28"/>
          <w:rtl/>
        </w:rPr>
        <w:t xml:space="preserve">آغاز: بسمله. الحمدلله الذي أنار بكلامه قلوب أولي الألباب ليبصروا به مع عقولهم چاپ: دهلی، ۱۲۸۶ق</w:t>
      </w:r>
    </w:p>
    <w:p>
      <w:pPr>
        <w:pStyle w:val="BookText"/>
      </w:pPr>
      <w:r>
        <w:rPr>
          <w:rFonts w:ascii="IRNazanin" w:hAnsi="IRNazanin" w:eastAsia="IRNazanin" w:cs="IRNazanin"/>
          <w:lang w:bidi="fa-IR"/>
          <w:color w:val="111111"/>
          <w:sz w:val="28"/>
          <w:szCs w:val="28"/>
          <w:rtl/>
        </w:rPr>
        <w:t xml:space="preserve">[فهرست نسخه های عربی ندوة العماء ص ۲۳؛ معجم المؤلفين ۹/۷؛ هدية العارفین ۷۳۰/۱ ؛ معجم المطبوعات، سرکیس ۱۷۱۷/۲ ؛ کشف الظنون ۳۳۹/۱ ؛ دنا ۷۷۳/۲ (۵ نسخه)؛ الأوقاف العامة بغداد ۵۶/۱ ]</w:t>
      </w:r>
    </w:p>
    <w:p>
      <w:pPr>
        <w:pStyle w:val="BookText"/>
      </w:pPr>
      <w:r>
        <w:rPr>
          <w:rFonts w:ascii="IRNazanin" w:hAnsi="IRNazanin" w:eastAsia="IRNazanin" w:cs="IRNazanin"/>
          <w:lang w:bidi="fa-IR"/>
          <w:color w:val="111111"/>
          <w:sz w:val="28"/>
          <w:szCs w:val="28"/>
          <w:rtl/>
        </w:rPr>
        <w:t xml:space="preserve">۱. تهران؛ مروی؛ شماره نسخه:۴۳۸</w:t>
      </w:r>
    </w:p>
    <w:p>
      <w:pPr>
        <w:pStyle w:val="BookText"/>
      </w:pPr>
      <w:r>
        <w:rPr>
          <w:rFonts w:ascii="IRNazanin" w:hAnsi="IRNazanin" w:eastAsia="IRNazanin" w:cs="IRNazanin"/>
          <w:lang w:bidi="fa-IR"/>
          <w:color w:val="111111"/>
          <w:sz w:val="28"/>
          <w:szCs w:val="28"/>
          <w:rtl/>
        </w:rPr>
        <w:t xml:space="preserve">آغاز: برابر دوره قرآن است؛ بی کا، تا: با تاریخ ۹۶۳ق؛ در ۹۶۳ فقيه داود بن فقيه محمد آن را مقابله کرده؛ ۳۴۲گ [ف: ۸۲خ</w:t>
      </w:r>
    </w:p>
    <w:p>
      <w:pPr>
        <w:pStyle w:val="BookText"/>
      </w:pPr>
      <w:r>
        <w:rPr>
          <w:rFonts w:ascii="IRNazanin" w:hAnsi="IRNazanin" w:eastAsia="IRNazanin" w:cs="IRNazanin"/>
          <w:lang w:bidi="fa-IR"/>
          <w:color w:val="111111"/>
          <w:sz w:val="28"/>
          <w:szCs w:val="28"/>
          <w:rtl/>
        </w:rPr>
        <w:t xml:space="preserve">۲. مشهد؛ رضوی؛ شماره نسخه: ۱۲۳۷</w:t>
      </w:r>
    </w:p>
    <w:p>
      <w:pPr>
        <w:pStyle w:val="BookText"/>
      </w:pPr>
      <w:r>
        <w:rPr>
          <w:rFonts w:ascii="IRNazanin" w:hAnsi="IRNazanin" w:eastAsia="IRNazanin" w:cs="IRNazanin"/>
          <w:lang w:bidi="fa-IR"/>
          <w:color w:val="111111"/>
          <w:sz w:val="28"/>
          <w:szCs w:val="28"/>
          <w:rtl/>
        </w:rPr>
        <w:t xml:space="preserve">آغاز: برابر؛ انجام: و على ملك کریم و كل ذي فضل عظيم. تمت مقابلة تفسير المخدوم الأعظم على ... من الهجرة النبوة اعلى افضل الصلوات و از کیها.</w:t>
      </w:r>
    </w:p>
    <w:p>
      <w:pPr>
        <w:pStyle w:val="BookText"/>
      </w:pPr>
      <w:r>
        <w:rPr>
          <w:rFonts w:ascii="IRNazanin" w:hAnsi="IRNazanin" w:eastAsia="IRNazanin" w:cs="IRNazanin"/>
          <w:lang w:bidi="fa-IR"/>
          <w:color w:val="111111"/>
          <w:sz w:val="28"/>
          <w:szCs w:val="28"/>
          <w:rtl/>
        </w:rPr>
        <w:t xml:space="preserve">خط: نسخ هندوستان، کا: داوود بن فقيه محمد، تا: ربيع الثانی ۹۵۹ق، کاتب (ساکن وانره)؛ مجدول؛ واقف: امیر جبرئیل، از حیدر آباد دکن، ۱۳۰۷؛ کاغذ: کشمیری نخودی آهار مهره، جلد: پارچه ای فیلی، با عطف تیماج قهوه ای، ۳۵۶ گ، ۳۰ سطر، اندازه: ۲۷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۱-۴۱۹]</w:t>
      </w:r>
    </w:p>
    <w:p>
      <w:pPr>
        <w:pStyle w:val="BookText"/>
      </w:pPr>
      <w:r>
        <w:rPr>
          <w:rFonts w:ascii="IRNazanin" w:hAnsi="IRNazanin" w:eastAsia="IRNazanin" w:cs="IRNazanin"/>
          <w:lang w:bidi="fa-IR"/>
          <w:color w:val="111111"/>
          <w:sz w:val="28"/>
          <w:szCs w:val="28"/>
          <w:rtl/>
        </w:rPr>
        <w:t xml:space="preserve">٣. مشهد؛ رضوی؛ شماره نسخه:۱۲۳۸</w:t>
      </w:r>
    </w:p>
    <w:p>
      <w:pPr>
        <w:pStyle w:val="BookText"/>
      </w:pPr>
      <w:r>
        <w:rPr>
          <w:rFonts w:ascii="IRNazanin" w:hAnsi="IRNazanin" w:eastAsia="IRNazanin" w:cs="IRNazanin"/>
          <w:lang w:bidi="fa-IR"/>
          <w:color w:val="111111"/>
          <w:sz w:val="28"/>
          <w:szCs w:val="28"/>
          <w:rtl/>
        </w:rPr>
        <w:t xml:space="preserve">آغاز: برابر؛ انجام: و على ملك کریم و كل ذي فضل عظیم تمت مقابلة تفسير المخدوم الأعظم على ... من الهجرة النبوة اعلى افضل الصلوات و از کیها.</w:t>
      </w:r>
    </w:p>
    <w:p>
      <w:pPr>
        <w:pStyle w:val="BookText"/>
      </w:pPr>
      <w:r>
        <w:rPr>
          <w:rFonts w:ascii="IRNazanin" w:hAnsi="IRNazanin" w:eastAsia="IRNazanin" w:cs="IRNazanin"/>
          <w:lang w:bidi="fa-IR"/>
          <w:color w:val="111111"/>
          <w:sz w:val="28"/>
          <w:szCs w:val="28"/>
          <w:rtl/>
        </w:rPr>
        <w:t xml:space="preserve">خط: نسخ هندوستان، بی کا، تا: ۹۷۲ق؛ مجدول؛ واقف: امیر جبرئیل از حیدر آباد دکن، ۱۳۰۷؛ کاغذ: کشمیری نخودی آهار مهره، جلد: تیماج سبز با عطف خرمایی، ۴۲۶گ، ۲۸ سطر، اندازه: ۲۴۸۱۶سم [ف: ۱-۴۲۰]</w:t>
      </w:r>
    </w:p>
    <w:p>
      <w:pPr>
        <w:pStyle w:val="BookText"/>
      </w:pPr>
      <w:r>
        <w:rPr>
          <w:rFonts w:ascii="IRNazanin" w:hAnsi="IRNazanin" w:eastAsia="IRNazanin" w:cs="IRNazanin"/>
          <w:lang w:bidi="fa-IR"/>
          <w:color w:val="111111"/>
          <w:sz w:val="28"/>
          <w:szCs w:val="28"/>
          <w:rtl/>
        </w:rPr>
        <w:t xml:space="preserve">۴. قم: مرکز مطالعات؛ شماره نسخه:۶۳۸</w:t>
      </w:r>
    </w:p>
    <w:p>
      <w:pPr>
        <w:pStyle w:val="BookText"/>
      </w:pPr>
      <w:r>
        <w:rPr>
          <w:rFonts w:ascii="IRNazanin" w:hAnsi="IRNazanin" w:eastAsia="IRNazanin" w:cs="IRNazanin"/>
          <w:lang w:bidi="fa-IR"/>
          <w:color w:val="111111"/>
          <w:sz w:val="28"/>
          <w:szCs w:val="28"/>
          <w:rtl/>
        </w:rPr>
        <w:t xml:space="preserve">آغاز: بالفناء فیک و انت خير الراحمين بالابقاء بک فافهم تم و الله الموفق و الملهم و الحمدلله رب العالمين؛ انجام: ان الينا ایابهم ثم يسهل علينا تكبير العذاب عليهم أن علينا حسابهم ثم</w:t>
      </w:r>
    </w:p>
    <w:p>
      <w:pPr>
        <w:pStyle w:val="BookText"/>
      </w:pPr>
      <w:r>
        <w:rPr>
          <w:rFonts w:ascii="IRNazanin" w:hAnsi="IRNazanin" w:eastAsia="IRNazanin" w:cs="IRNazanin"/>
          <w:lang w:bidi="fa-IR"/>
          <w:color w:val="111111"/>
          <w:sz w:val="28"/>
          <w:szCs w:val="28"/>
          <w:rtl/>
        </w:rPr>
        <w:t xml:space="preserve">از آخرین آیه سوره «المؤمنون» تا آیه ۲۵ سوره «الغاشية»؛ خط: نسخ خوب، بی کا، بی تا، افتادگی: آغاز و انجام؛ فاقد جلد، ۱۹۴گ، ۲۶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 ۵۴۲]</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گلپایگانی؛ شماره نسخه:۶۷۱۲- ۳۴/۸۲</w:t>
      </w:r>
    </w:p>
    <w:p>
      <w:pPr>
        <w:pStyle w:val="BookText"/>
      </w:pPr>
      <w:r>
        <w:rPr>
          <w:rFonts w:ascii="IRNazanin" w:hAnsi="IRNazanin" w:eastAsia="IRNazanin" w:cs="IRNazanin"/>
          <w:lang w:bidi="fa-IR"/>
          <w:color w:val="111111"/>
          <w:sz w:val="28"/>
          <w:szCs w:val="28"/>
          <w:rtl/>
        </w:rPr>
        <w:t xml:space="preserve">آغاز: برابر؛ انجام: و هو يوجب الايمان بكل ما انزل الیک منه و من السنة و بما انزل على الأنبياء من كتبهم و سنتهم من قبلك فلاشک الذين يؤمنون بما انزل الیک و ما انزل من قبلک اما طوابا لهدايات كلها</w:t>
      </w:r>
    </w:p>
    <w:p>
      <w:pPr>
        <w:pStyle w:val="BookText"/>
      </w:pPr>
      <w:r>
        <w:rPr>
          <w:rFonts w:ascii="IRNazanin" w:hAnsi="IRNazanin" w:eastAsia="IRNazanin" w:cs="IRNazanin"/>
          <w:lang w:bidi="fa-IR"/>
          <w:color w:val="111111"/>
          <w:sz w:val="28"/>
          <w:szCs w:val="28"/>
          <w:rtl/>
        </w:rPr>
        <w:t xml:space="preserve">خط: نسخ، بی کا، بی تا؛ افتادگی: انجام؛ مصحح؛ قبل از شروع رساله کتابی چاپی در نسخه صحافی شده به نام «تاریخ حیات پیغمبر اسلام» ترجمه از الابطال انگلیسی، قصیده سراج الدين با مطلع: «اله مالک مولی الموالي *** له وصف التكبر و التعال»، و قصيده شیخ علوان: «نشهد أن الله موجود واجب الوجود ...» و قصيده طنطرانیه: «یا خلى البال قد بلبلت بالبلبال بال ..» و دعای صباح با ترجمه: «یا من دلع لسان الصباح» و حدیث معراج؛ جلد: مقوا عطف تیماج قهوهای، ۵۳گ، ۱۹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۲-۷۱۳]</w:t>
      </w:r>
    </w:p>
    <w:p>
      <w:pPr>
        <w:pStyle w:val="Heading3"/>
      </w:pPr>
      <w:bookmarkStart w:id="2930" w:name="_Toc2190"/>
      <w:r>
        <w:t>•تبعض البضع / فقه / عربی</w:t>
      </w:r>
      <w:bookmarkEnd w:id="2930"/>
    </w:p>
    <w:p>
      <w:pPr>
        <w:pStyle w:val="BookText"/>
      </w:pPr>
      <w:r>
        <w:rPr>
          <w:rFonts w:ascii="Times New Roman" w:hAnsi="Times New Roman" w:eastAsia="Times New Roman" w:cs="Times New Roman"/>
          <w:lang w:val="en-US" w:bidi="en-US"/>
          <w:color w:val="111111"/>
          <w:sz w:val="28"/>
          <w:szCs w:val="28"/>
          <w:rtl/>
        </w:rPr>
        <w:t xml:space="preserve">taba‘‘uz-ul bud</w:t>
      </w:r>
    </w:p>
    <w:p>
      <w:pPr>
        <w:pStyle w:val="BookText"/>
      </w:pPr>
      <w:r>
        <w:rPr>
          <w:rFonts w:ascii="IRNazanin" w:hAnsi="IRNazanin" w:eastAsia="IRNazanin" w:cs="IRNazanin"/>
          <w:lang w:bidi="fa-IR"/>
          <w:color w:val="111111"/>
          <w:sz w:val="28"/>
          <w:szCs w:val="28"/>
          <w:rtl/>
        </w:rPr>
        <w:t xml:space="preserve">طباطبائی بروجردی، محمد بن عبدالكریم، ق ۱۲ قمری</w:t>
      </w:r>
    </w:p>
    <w:p>
      <w:pPr>
        <w:pStyle w:val="BookText"/>
      </w:pPr>
      <w:r>
        <w:rPr>
          <w:rFonts w:ascii="Times New Roman" w:hAnsi="Times New Roman" w:eastAsia="Times New Roman" w:cs="Times New Roman"/>
          <w:lang w:val="en-US" w:bidi="en-US"/>
          <w:color w:val="111111"/>
          <w:sz w:val="28"/>
          <w:szCs w:val="28"/>
          <w:rtl/>
        </w:rPr>
        <w:t xml:space="preserve">tabātabā'ī borūjerdī, mohammad ebn-e 'abd-ol-karīm (-18c)</w:t>
      </w:r>
    </w:p>
    <w:p>
      <w:pPr>
        <w:pStyle w:val="BookText"/>
      </w:pPr>
      <w:r>
        <w:rPr>
          <w:rFonts w:ascii="IRNazanin" w:hAnsi="IRNazanin" w:eastAsia="IRNazanin" w:cs="IRNazanin"/>
          <w:lang w:bidi="fa-IR"/>
          <w:color w:val="111111"/>
          <w:sz w:val="28"/>
          <w:szCs w:val="28"/>
          <w:rtl/>
        </w:rPr>
        <w:t xml:space="preserve">شهید ثانی در کتاب الروضة البهية در شرح عبارتی از کلام شهید اول در اللمعة الدمشقية دلیلی ذکر کرده که بر مبنای آن تبعض بضع در مسأله نكاح امکان پذیر نیست با این عبارت: «و لا يجوز تزويجها لاحدهما لاستلزامه تبعیض البضع من حيث استباحته بالملك و العقد و البضع لا يتبعض ...» و به این دیدگاه شهید ثانی وحید بهبهانی اعتراض نموده است. مؤلف در این رساله به دفع اعتراض وحيد که از وی با عنوان «وحید الزمان» یاد کرده، می پردازد. بایستی توجه داشت که وحید بهبهانی داماد مؤلف بوده و به نظر می رسد این اشکال را در ایام جوانی بر گفته شهید ثانی ایراد کرده باشد.</w:t>
      </w:r>
    </w:p>
    <w:p>
      <w:pPr>
        <w:pStyle w:val="BookText"/>
      </w:pPr>
      <w:r>
        <w:rPr>
          <w:rFonts w:ascii="IRNazanin" w:hAnsi="IRNazanin" w:eastAsia="IRNazanin" w:cs="IRNazanin"/>
          <w:lang w:bidi="fa-IR"/>
          <w:color w:val="111111"/>
          <w:sz w:val="28"/>
          <w:szCs w:val="28"/>
          <w:rtl/>
        </w:rPr>
        <w:t xml:space="preserve">آغاز: بسمله، قال شارح اللمعة طاب ثراه في شرح قول المصنف رحمه الله ولا يجوز تزويجها لأحدهما لا ستلزامه تبعیض البضع ... أقول أما قوله و البضع لا يتبضع فليس انجام: ثم عرض على هذا واحد و على هذا واحد و على هذا واحد ثم قال لعله أن يخفف عنهما ما لم ييبسا.</w:t>
      </w:r>
    </w:p>
    <w:p>
      <w:pPr>
        <w:pStyle w:val="BookText"/>
      </w:pPr>
      <w:r>
        <w:rPr>
          <w:rFonts w:ascii="Amiri" w:hAnsi="Amiri" w:eastAsia="Amiri" w:cs="Amiri"/>
          <w:lang w:bidi="ar-SA"/>
          <w:color w:val="111111"/>
          <w:sz w:val="28"/>
          <w:szCs w:val="28"/>
          <w:rtl/>
        </w:rPr>
        <w:t xml:space="preserve">[ الذريعه ۲۲۷/۸ ؛ دنا ۷۷۴/۲ ]</w:t>
      </w:r>
    </w:p>
    <w:p>
      <w:pPr>
        <w:pStyle w:val="BookText"/>
      </w:pPr>
      <w:r>
        <w:rPr>
          <w:rFonts w:ascii="IRNazanin" w:hAnsi="IRNazanin" w:eastAsia="IRNazanin" w:cs="IRNazanin"/>
          <w:lang w:bidi="fa-IR"/>
          <w:color w:val="111111"/>
          <w:sz w:val="28"/>
          <w:szCs w:val="28"/>
          <w:rtl/>
        </w:rPr>
        <w:t xml:space="preserve">۱. قم؛ مرعشی؛ شماره نسخه: ۱۲۹۹۷/۱۳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bookmarkStart w:id="665" w:name="pg20363_210011"/>
    <w:bookmarkEnd w:id="665"/>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۱۲۷۹ق؛ مصحح، محشی با نشان های «۵» و «منه ره» که به نقل از خود مؤلف می باشد؛ کاغذ: فرنگی، ۱۰گ (۱۳۴ر ۱۴۳ر)، ۱۷ سطر (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۹۸۰-۳۲ ]</w:t>
      </w:r>
    </w:p>
    <w:p>
      <w:pPr>
        <w:pStyle w:val="BookText"/>
      </w:pPr>
      <w:r>
        <w:rPr>
          <w:rFonts w:ascii="IRNazanin" w:hAnsi="IRNazanin" w:eastAsia="IRNazanin" w:cs="IRNazanin"/>
          <w:lang w:bidi="fa-IR"/>
          <w:color w:val="111111"/>
          <w:sz w:val="28"/>
          <w:szCs w:val="28"/>
          <w:rtl/>
        </w:rPr>
        <w:t xml:space="preserve">۲. خوانسار؛ فاضل؛ شماره نسخه: ۲۳۲/۸</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زیبا، بی کا، بی تا؛ مصحح، محشی از مؤلف؛ جلد: تیماج قرمز، ۴گ (۳۴پ -۱۳۷)، ۱۹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۱۹۳-۱ ]</w:t>
      </w:r>
    </w:p>
    <w:p>
      <w:pPr>
        <w:pStyle w:val="BookText"/>
      </w:pPr>
      <w:r>
        <w:rPr>
          <w:rFonts w:ascii="IRNazanin" w:hAnsi="IRNazanin" w:eastAsia="IRNazanin" w:cs="IRNazanin"/>
          <w:lang w:bidi="fa-IR"/>
          <w:color w:val="111111"/>
          <w:sz w:val="28"/>
          <w:szCs w:val="28"/>
          <w:rtl/>
        </w:rPr>
        <w:t xml:space="preserve">قم؛ مرکز احیاء؛ شماره نسخه:۳۱/۹</w:t>
      </w:r>
    </w:p>
    <w:p>
      <w:pPr>
        <w:pStyle w:val="BookText"/>
      </w:pPr>
      <w:r>
        <w:rPr>
          <w:rFonts w:ascii="IRNazanin" w:hAnsi="IRNazanin" w:eastAsia="IRNazanin" w:cs="IRNazanin"/>
          <w:lang w:bidi="fa-IR"/>
          <w:color w:val="111111"/>
          <w:sz w:val="28"/>
          <w:szCs w:val="28"/>
          <w:rtl/>
        </w:rPr>
        <w:t xml:space="preserve">نسخه اصل: همان نسخه بالا [عکسی ف: ۱-۴۴]</w:t>
      </w:r>
    </w:p>
    <w:p>
      <w:pPr>
        <w:pStyle w:val="Heading3"/>
      </w:pPr>
      <w:bookmarkStart w:id="2931" w:name="_Toc2191"/>
      <w:r>
        <w:t>•تبعية المأموم للامام في السجود / فقه / عربی</w:t>
      </w:r>
      <w:bookmarkEnd w:id="2931"/>
    </w:p>
    <w:p>
      <w:pPr>
        <w:pStyle w:val="BookText"/>
      </w:pPr>
      <w:r>
        <w:rPr>
          <w:rFonts w:ascii="Times New Roman" w:hAnsi="Times New Roman" w:eastAsia="Times New Roman" w:cs="Times New Roman"/>
          <w:lang w:val="en-US" w:bidi="en-US"/>
          <w:color w:val="111111"/>
          <w:sz w:val="28"/>
          <w:szCs w:val="28"/>
          <w:rtl/>
        </w:rPr>
        <w:t xml:space="preserve">taba'iyyat-ul ma'mum li-imam fi-s sujud</w:t>
      </w:r>
    </w:p>
    <w:p>
      <w:pPr>
        <w:pStyle w:val="BookText"/>
      </w:pPr>
      <w:r>
        <w:rPr>
          <w:rFonts w:ascii="IRNazanin" w:hAnsi="IRNazanin" w:eastAsia="IRNazanin" w:cs="IRNazanin"/>
          <w:lang w:bidi="fa-IR"/>
          <w:color w:val="111111"/>
          <w:sz w:val="28"/>
          <w:szCs w:val="28"/>
          <w:rtl/>
        </w:rPr>
        <w:t xml:space="preserve">بهبهانی، عبدالله بن اسماعیل، ۱۲۶۲-۱۳۲۸ قمری</w:t>
      </w:r>
    </w:p>
    <w:p>
      <w:pPr>
        <w:pStyle w:val="BookText"/>
      </w:pPr>
      <w:r>
        <w:rPr>
          <w:rFonts w:ascii="Times New Roman" w:hAnsi="Times New Roman" w:eastAsia="Times New Roman" w:cs="Times New Roman"/>
          <w:lang w:val="en-US" w:bidi="en-US"/>
          <w:color w:val="111111"/>
          <w:sz w:val="28"/>
          <w:szCs w:val="28"/>
          <w:rtl/>
        </w:rPr>
        <w:t xml:space="preserve">behbahānī, ‘abd-ol-lāh ebn-e esmāʻ11 (1846-1910)</w:t>
      </w:r>
    </w:p>
    <w:p>
      <w:pPr>
        <w:pStyle w:val="BookText"/>
      </w:pPr>
      <w:r>
        <w:rPr>
          <w:rFonts w:ascii="Amiri" w:hAnsi="Amiri" w:eastAsia="Amiri" w:cs="Amiri"/>
          <w:lang w:bidi="ar-SA"/>
          <w:color w:val="111111"/>
          <w:sz w:val="28"/>
          <w:szCs w:val="28"/>
          <w:rtl/>
        </w:rPr>
        <w:t xml:space="preserve">تاريخ تأليف: ۱۳۰۰ق</w:t>
      </w:r>
    </w:p>
    <w:p>
      <w:pPr>
        <w:pStyle w:val="BookText"/>
      </w:pPr>
      <w:r>
        <w:rPr>
          <w:rFonts w:ascii="IRNazanin" w:hAnsi="IRNazanin" w:eastAsia="IRNazanin" w:cs="IRNazanin"/>
          <w:lang w:bidi="fa-IR"/>
          <w:color w:val="111111"/>
          <w:sz w:val="28"/>
          <w:szCs w:val="28"/>
          <w:rtl/>
        </w:rPr>
        <w:t xml:space="preserve">رساله ای است در این که اگر مأموم در سجده اول امام سر از سجده بردارد و بیند امام در سجده است و برای متابعت امام دوباره به سجود رود و بعد از برداشتن سر از سجده متوجه شود امام سجده دوم خود را به اتمام رسانده، اگر مأموم به سجده سوم برود این سجده چه حکمی دارد؟</w:t>
      </w:r>
    </w:p>
    <w:p>
      <w:pPr>
        <w:pStyle w:val="BookText"/>
      </w:pPr>
      <w:r>
        <w:rPr>
          <w:rFonts w:ascii="IRNazanin" w:hAnsi="IRNazanin" w:eastAsia="IRNazanin" w:cs="IRNazanin"/>
          <w:lang w:bidi="fa-IR"/>
          <w:color w:val="111111"/>
          <w:sz w:val="28"/>
          <w:szCs w:val="28"/>
          <w:rtl/>
        </w:rPr>
        <w:t xml:space="preserve">تهران؛ مجلس؛ شماره نسخه: ۸۴۰۵/۷</w:t>
      </w:r>
    </w:p>
    <w:p>
      <w:pPr>
        <w:pStyle w:val="BookText"/>
      </w:pPr>
      <w:r>
        <w:rPr>
          <w:rFonts w:ascii="IRNazanin" w:hAnsi="IRNazanin" w:eastAsia="IRNazanin" w:cs="IRNazanin"/>
          <w:lang w:bidi="fa-IR"/>
          <w:color w:val="111111"/>
          <w:sz w:val="28"/>
          <w:szCs w:val="28"/>
          <w:rtl/>
        </w:rPr>
        <w:t xml:space="preserve">آغاز: حکی بعض الثقات عن شيخنا الامام العلامة الأنصاري قدس سره انه افتى فيما لو رفع المأموم راسه في السجدة الأولى بزعم تحقق الرفع من امامه؛ انجام: و إلا فكلاهما نکاح و الأصل عدم اختلافهما في الأحكام ما ثبت بالدليل فتأمل.</w:t>
      </w:r>
    </w:p>
    <w:p>
      <w:pPr>
        <w:pStyle w:val="BookText"/>
      </w:pPr>
      <w:r>
        <w:rPr>
          <w:rFonts w:ascii="IRNazanin" w:hAnsi="IRNazanin" w:eastAsia="IRNazanin" w:cs="IRNazanin"/>
          <w:lang w:bidi="fa-IR"/>
          <w:color w:val="111111"/>
          <w:sz w:val="28"/>
          <w:szCs w:val="28"/>
          <w:rtl/>
        </w:rPr>
        <w:t xml:space="preserve">خط: نسخ، بی کا، بی تا؛ جلد: تیماج قهوه ای، ۳گ (۱۵۲پ - ۱۵۴ پ)، ۱۷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۲۸-۱۲]</w:t>
      </w:r>
    </w:p>
    <w:p>
      <w:pPr>
        <w:pStyle w:val="Heading3"/>
      </w:pPr>
      <w:bookmarkStart w:id="2932" w:name="_Toc2192"/>
      <w:r>
        <w:t>•تبعية اهل البيت(عليه السلام)/ كلام و اعتقادات / عربی</w:t>
      </w:r>
      <w:bookmarkEnd w:id="2932"/>
    </w:p>
    <w:p>
      <w:pPr>
        <w:pStyle w:val="BookText"/>
      </w:pPr>
      <w:r>
        <w:rPr>
          <w:rFonts w:ascii="Times New Roman" w:hAnsi="Times New Roman" w:eastAsia="Times New Roman" w:cs="Times New Roman"/>
          <w:lang w:val="en-US" w:bidi="en-US"/>
          <w:color w:val="111111"/>
          <w:sz w:val="28"/>
          <w:szCs w:val="28"/>
          <w:rtl/>
        </w:rPr>
        <w:t xml:space="preserve">taba'īyyat-u ahl-al bayt</w:t>
      </w:r>
    </w:p>
    <w:p>
      <w:pPr>
        <w:pStyle w:val="BookText"/>
      </w:pPr>
      <w:r>
        <w:rPr>
          <w:rFonts w:ascii="IRNazanin" w:hAnsi="IRNazanin" w:eastAsia="IRNazanin" w:cs="IRNazanin"/>
          <w:lang w:bidi="fa-IR"/>
          <w:color w:val="111111"/>
          <w:sz w:val="28"/>
          <w:szCs w:val="28"/>
          <w:rtl/>
        </w:rPr>
        <w:t xml:space="preserve">قاسمی، محمد بن اسماعیل،-۱۰۹۷ قمری</w:t>
      </w:r>
    </w:p>
    <w:p>
      <w:pPr>
        <w:pStyle w:val="BookText"/>
      </w:pPr>
      <w:r>
        <w:rPr>
          <w:rFonts w:ascii="Times New Roman" w:hAnsi="Times New Roman" w:eastAsia="Times New Roman" w:cs="Times New Roman"/>
          <w:lang w:val="en-US" w:bidi="en-US"/>
          <w:color w:val="111111"/>
          <w:sz w:val="28"/>
          <w:szCs w:val="28"/>
          <w:rtl/>
        </w:rPr>
        <w:t xml:space="preserve">qāsemī, mohammad ebn-e esmāʻīl (-1686)</w:t>
      </w:r>
    </w:p>
    <w:p>
      <w:pPr>
        <w:pStyle w:val="BookText"/>
      </w:pPr>
      <w:r>
        <w:rPr>
          <w:rFonts w:ascii="IRNazanin" w:hAnsi="IRNazanin" w:eastAsia="IRNazanin" w:cs="IRNazanin"/>
          <w:lang w:bidi="fa-IR"/>
          <w:color w:val="111111"/>
          <w:sz w:val="28"/>
          <w:szCs w:val="28"/>
          <w:rtl/>
        </w:rPr>
        <w:t xml:space="preserve">چون فقیه احمد بن جابر کسانی بر مذهب شافعی بوده و دوستدار پیروی مذهب اهل بیت (عليه السلام)، مؤلف در این مختصر به توضيح مذهب اهل بیت (زیدیت) پرداخته است. این کتاب احتمالا بخشی از کتاب «الجوابات الشافية» قاسمی باشد.</w:t>
      </w:r>
    </w:p>
    <w:p>
      <w:pPr>
        <w:pStyle w:val="BookText"/>
      </w:pPr>
      <w:r>
        <w:rPr>
          <w:rFonts w:ascii="Amiri" w:hAnsi="Amiri" w:eastAsia="Amiri" w:cs="Amiri"/>
          <w:lang w:bidi="ar-SA"/>
          <w:color w:val="111111"/>
          <w:sz w:val="28"/>
          <w:szCs w:val="28"/>
          <w:rtl/>
        </w:rPr>
        <w:t xml:space="preserve">[ مؤلفات الزيدية ۳۷۹/۱ ]</w:t>
      </w:r>
    </w:p>
    <w:p>
      <w:pPr>
        <w:pStyle w:val="BookText"/>
      </w:pPr>
      <w:r>
        <w:rPr>
          <w:rFonts w:ascii="IRNazanin" w:hAnsi="IRNazanin" w:eastAsia="IRNazanin" w:cs="IRNazanin"/>
          <w:lang w:bidi="fa-IR"/>
          <w:color w:val="111111"/>
          <w:sz w:val="28"/>
          <w:szCs w:val="28"/>
          <w:rtl/>
        </w:rPr>
        <w:t xml:space="preserve">قم: مرکز احیاء؛ شماره نسخه:۴۷۱/۶</w:t>
      </w:r>
    </w:p>
    <w:p>
      <w:pPr>
        <w:pStyle w:val="BookText"/>
      </w:pPr>
      <w:r>
        <w:rPr>
          <w:rFonts w:ascii="IRNazanin" w:hAnsi="IRNazanin" w:eastAsia="IRNazanin" w:cs="IRNazanin"/>
          <w:lang w:bidi="fa-IR"/>
          <w:color w:val="111111"/>
          <w:sz w:val="28"/>
          <w:szCs w:val="28"/>
          <w:rtl/>
        </w:rPr>
        <w:t xml:space="preserve">آغاز: ذكر الفقيه الأرشد الصالح ان شاء الله الاسعد احمد بن جابر الكسانی فيما كتبه الينا کتابخانه آکادمی لینچی -رم ۳۴ روسی ۳۳۵؛ بی کا، تا: ربيع الأول ۱۰۰۸ق؛ اگ (۳۴۰-۳۴۶) [عکسی ف: ۲-۶۸]</w:t>
      </w:r>
    </w:p>
    <w:p>
      <w:pPr>
        <w:pStyle w:val="Heading3"/>
      </w:pPr>
      <w:bookmarkStart w:id="2933" w:name="_Toc2193"/>
      <w:r>
        <w:t>•تبعید العلماء عن تقريب الأمراء / حكومت و سیاست / عربی</w:t>
      </w:r>
      <w:bookmarkEnd w:id="2933"/>
    </w:p>
    <w:p>
      <w:pPr>
        <w:pStyle w:val="BookText"/>
      </w:pPr>
      <w:r>
        <w:rPr>
          <w:rFonts w:ascii="Times New Roman" w:hAnsi="Times New Roman" w:eastAsia="Times New Roman" w:cs="Times New Roman"/>
          <w:lang w:val="en-US" w:bidi="en-US"/>
          <w:color w:val="111111"/>
          <w:sz w:val="28"/>
          <w:szCs w:val="28"/>
          <w:rtl/>
        </w:rPr>
        <w:t xml:space="preserve">tabʻīd-il ‘ulamā' 'an taqrīb-il umarā</w:t>
      </w:r>
    </w:p>
    <w:p>
      <w:pPr>
        <w:pStyle w:val="BookText"/>
      </w:pPr>
      <w:r>
        <w:rPr>
          <w:rFonts w:ascii="IRNazanin" w:hAnsi="IRNazanin" w:eastAsia="IRNazanin" w:cs="IRNazanin"/>
          <w:lang w:bidi="fa-IR"/>
          <w:color w:val="111111"/>
          <w:sz w:val="28"/>
          <w:szCs w:val="28"/>
          <w:rtl/>
        </w:rPr>
        <w:t xml:space="preserve">قاری هروی، علی بن سلطان محمد، -۱۰۱۴ قمری</w:t>
      </w:r>
    </w:p>
    <w:p>
      <w:pPr>
        <w:pStyle w:val="BookText"/>
      </w:pPr>
      <w:r>
        <w:rPr>
          <w:rFonts w:ascii="Times New Roman" w:hAnsi="Times New Roman" w:eastAsia="Times New Roman" w:cs="Times New Roman"/>
          <w:lang w:val="en-US" w:bidi="en-US"/>
          <w:color w:val="111111"/>
          <w:sz w:val="28"/>
          <w:szCs w:val="28"/>
          <w:rtl/>
        </w:rPr>
        <w:t xml:space="preserve">qārī heravī, ‘alī ebn-e soltān mohammad (-1606)</w:t>
      </w:r>
    </w:p>
    <w:p>
      <w:pPr>
        <w:pStyle w:val="BookText"/>
      </w:pPr>
      <w:r>
        <w:rPr>
          <w:rFonts w:ascii="IRNazanin" w:hAnsi="IRNazanin" w:eastAsia="IRNazanin" w:cs="IRNazanin"/>
          <w:lang w:bidi="fa-IR"/>
          <w:color w:val="111111"/>
          <w:sz w:val="28"/>
          <w:szCs w:val="28"/>
          <w:rtl/>
        </w:rPr>
        <w:t xml:space="preserve">چاپ: با تحقیق محمد على المرصفی، ۱۹۹۰</w:t>
      </w:r>
    </w:p>
    <w:p>
      <w:pPr>
        <w:pStyle w:val="BookText"/>
      </w:pPr>
      <w:r>
        <w:rPr>
          <w:rFonts w:ascii="IRNazanin" w:hAnsi="IRNazanin" w:eastAsia="IRNazanin" w:cs="IRNazanin"/>
          <w:lang w:bidi="fa-IR"/>
          <w:color w:val="111111"/>
          <w:sz w:val="28"/>
          <w:szCs w:val="28"/>
          <w:rtl/>
        </w:rPr>
        <w:t xml:space="preserve">مشهد؛ رضوی؛ شماره نسخه:۲۲۱۱۶</w:t>
      </w:r>
    </w:p>
    <w:p>
      <w:pPr>
        <w:pStyle w:val="BookText"/>
      </w:pPr>
      <w:r>
        <w:rPr>
          <w:rFonts w:ascii="IRNazanin" w:hAnsi="IRNazanin" w:eastAsia="IRNazanin" w:cs="IRNazanin"/>
          <w:lang w:bidi="fa-IR"/>
          <w:color w:val="111111"/>
          <w:sz w:val="28"/>
          <w:szCs w:val="28"/>
          <w:rtl/>
        </w:rPr>
        <w:t xml:space="preserve">آغاز: بسمله، الحمدالله الذي جعل العلماء ورثه الانبياء؛ انجام: لا يستكمل العبد عملا مادام هو في تقليد مجتهد واحد خط: نسخ، بی کا، تا: ۱۰۱۲ق؛ اهدایی: رهبری، فروردین ۱۳۷۴؛</w:t>
      </w:r>
    </w:p>
    <w:p>
      <w:pPr>
        <w:pStyle w:val="BookText"/>
      </w:pPr>
      <w:r>
        <w:rPr>
          <w:rFonts w:ascii="IRNazanin" w:hAnsi="IRNazanin" w:eastAsia="IRNazanin" w:cs="IRNazanin"/>
          <w:lang w:bidi="fa-IR"/>
          <w:color w:val="111111"/>
          <w:sz w:val="28"/>
          <w:szCs w:val="28"/>
          <w:rtl/>
        </w:rPr>
        <w:t xml:space="preserve">جلد: مقوا، ۲۹گ، ۱۹ سطر [رایانه]</w:t>
      </w:r>
    </w:p>
    <w:p>
      <w:pPr>
        <w:pStyle w:val="Heading3"/>
      </w:pPr>
      <w:bookmarkStart w:id="2934" w:name="_Toc2194"/>
      <w:r>
        <w:t>•تبكيت / کلام و اعتقادات / فارسی و عربی</w:t>
      </w:r>
      <w:bookmarkEnd w:id="2934"/>
    </w:p>
    <w:p>
      <w:pPr>
        <w:pStyle w:val="BookText"/>
      </w:pPr>
      <w:r>
        <w:rPr>
          <w:rFonts w:ascii="Times New Roman" w:hAnsi="Times New Roman" w:eastAsia="Times New Roman" w:cs="Times New Roman"/>
          <w:lang w:val="en-US" w:bidi="en-US"/>
          <w:color w:val="111111"/>
          <w:sz w:val="28"/>
          <w:szCs w:val="28"/>
          <w:rtl/>
        </w:rPr>
        <w:t xml:space="preserve">tabkīt</w:t>
      </w:r>
    </w:p>
    <w:p>
      <w:pPr>
        <w:pStyle w:val="BookText"/>
      </w:pPr>
      <w:r>
        <w:rPr>
          <w:rFonts w:ascii="IRNazanin" w:hAnsi="IRNazanin" w:eastAsia="IRNazanin" w:cs="IRNazanin"/>
          <w:lang w:bidi="fa-IR"/>
          <w:color w:val="111111"/>
          <w:sz w:val="28"/>
          <w:szCs w:val="28"/>
          <w:rtl/>
        </w:rPr>
        <w:t xml:space="preserve">میرزا على</w:t>
      </w:r>
    </w:p>
    <w:p>
      <w:pPr>
        <w:pStyle w:val="BookText"/>
      </w:pPr>
      <w:r>
        <w:rPr>
          <w:rFonts w:ascii="Times New Roman" w:hAnsi="Times New Roman" w:eastAsia="Times New Roman" w:cs="Times New Roman"/>
          <w:lang w:val="en-US" w:bidi="en-US"/>
          <w:color w:val="111111"/>
          <w:sz w:val="28"/>
          <w:szCs w:val="28"/>
          <w:rtl/>
        </w:rPr>
        <w:t xml:space="preserve">mīrzā “alī</w:t>
      </w:r>
    </w:p>
    <w:p>
      <w:pPr>
        <w:pStyle w:val="BookText"/>
      </w:pPr>
      <w:r>
        <w:rPr>
          <w:rFonts w:ascii="IRNazanin" w:hAnsi="IRNazanin" w:eastAsia="IRNazanin" w:cs="IRNazanin"/>
          <w:lang w:bidi="fa-IR"/>
          <w:color w:val="111111"/>
          <w:sz w:val="28"/>
          <w:szCs w:val="28"/>
          <w:rtl/>
        </w:rPr>
        <w:t xml:space="preserve">مشهد؛ رضوی؛ شماره نسخه:۲۱۷۶۴</w:t>
      </w:r>
    </w:p>
    <w:p>
      <w:pPr>
        <w:pStyle w:val="BookText"/>
      </w:pPr>
      <w:r>
        <w:rPr>
          <w:rFonts w:ascii="IRNazanin" w:hAnsi="IRNazanin" w:eastAsia="IRNazanin" w:cs="IRNazanin"/>
          <w:lang w:bidi="fa-IR"/>
          <w:color w:val="111111"/>
          <w:sz w:val="28"/>
          <w:szCs w:val="28"/>
          <w:rtl/>
        </w:rPr>
        <w:t xml:space="preserve">آغاز: هذا البياض الشریف جمعه تبكيت المخالفين؛ انجام: و</w:t>
      </w:r>
    </w:p>
    <w:p>
      <w:pPr>
        <w:pStyle w:val="BookText"/>
      </w:pPr>
      <w:r>
        <w:rPr>
          <w:rFonts w:ascii="IRNazanin" w:hAnsi="IRNazanin" w:eastAsia="IRNazanin" w:cs="IRNazanin"/>
          <w:lang w:bidi="fa-IR"/>
          <w:color w:val="111111"/>
          <w:sz w:val="28"/>
          <w:szCs w:val="28"/>
          <w:rtl/>
        </w:rPr>
        <w:t xml:space="preserve">گوید ای نبلومن بعهد من وفا کردی بی کا، بی تا؛ اهدایی: رهبری، خرداد ۱۳۷۳؛ ۱۹۷گ [رایانه]</w:t>
      </w:r>
    </w:p>
    <w:p>
      <w:pPr>
        <w:pStyle w:val="Heading3"/>
      </w:pPr>
      <w:bookmarkStart w:id="2935" w:name="_Toc2195"/>
      <w:r>
        <w:t>•تبلیغ مذهب بهائیت (مقاله در) / كلام و اعتقادات / فارسی</w:t>
      </w:r>
      <w:bookmarkEnd w:id="2935"/>
    </w:p>
    <w:p>
      <w:pPr>
        <w:pStyle w:val="BookText"/>
      </w:pPr>
      <w:r>
        <w:rPr>
          <w:rFonts w:ascii="Times New Roman" w:hAnsi="Times New Roman" w:eastAsia="Times New Roman" w:cs="Times New Roman"/>
          <w:lang w:val="en-US" w:bidi="en-US"/>
          <w:color w:val="111111"/>
          <w:sz w:val="28"/>
          <w:szCs w:val="28"/>
          <w:rtl/>
        </w:rPr>
        <w:t xml:space="preserve">tablyīq-e mazhab-e bahā'īyat (maqāle dar)</w:t>
      </w:r>
    </w:p>
    <w:p>
      <w:pPr>
        <w:pStyle w:val="BookText"/>
      </w:pPr>
      <w:r>
        <w:rPr>
          <w:rFonts w:ascii="IRNazanin" w:hAnsi="IRNazanin" w:eastAsia="IRNazanin" w:cs="IRNazanin"/>
          <w:lang w:bidi="fa-IR"/>
          <w:color w:val="111111"/>
          <w:sz w:val="28"/>
          <w:szCs w:val="28"/>
          <w:rtl/>
        </w:rPr>
        <w:t xml:space="preserve">هزار جریبی، علی اصغر</w:t>
      </w:r>
    </w:p>
    <w:p>
      <w:pPr>
        <w:pStyle w:val="BookText"/>
      </w:pPr>
      <w:r>
        <w:rPr>
          <w:rFonts w:ascii="Times New Roman" w:hAnsi="Times New Roman" w:eastAsia="Times New Roman" w:cs="Times New Roman"/>
          <w:lang w:val="en-US" w:bidi="en-US"/>
          <w:color w:val="111111"/>
          <w:sz w:val="28"/>
          <w:szCs w:val="28"/>
          <w:rtl/>
        </w:rPr>
        <w:t xml:space="preserve">hezār jarībī, 'alī asqar</w:t>
      </w:r>
    </w:p>
    <w:p>
      <w:pPr>
        <w:pStyle w:val="BookText"/>
      </w:pPr>
      <w:r>
        <w:rPr>
          <w:rFonts w:ascii="IRNazanin" w:hAnsi="IRNazanin" w:eastAsia="IRNazanin" w:cs="IRNazanin"/>
          <w:lang w:bidi="fa-IR"/>
          <w:color w:val="111111"/>
          <w:sz w:val="28"/>
          <w:szCs w:val="28"/>
          <w:rtl/>
        </w:rPr>
        <w:t xml:space="preserve">مشهد؛ رضوی؛ شماره نسخه:۲۶۹۷۷</w:t>
      </w:r>
    </w:p>
    <w:p>
      <w:pPr>
        <w:pStyle w:val="BookText"/>
      </w:pPr>
      <w:r>
        <w:rPr>
          <w:rFonts w:ascii="IRNazanin" w:hAnsi="IRNazanin" w:eastAsia="IRNazanin" w:cs="IRNazanin"/>
          <w:lang w:bidi="fa-IR"/>
          <w:color w:val="111111"/>
          <w:sz w:val="28"/>
          <w:szCs w:val="28"/>
          <w:rtl/>
        </w:rPr>
        <w:t xml:space="preserve">آغاز: بسمله البهی الابی جل اسمه الأعظم بعون ربنا العلی الاعلا؛ انجام کار خود را به مقامی میرسانیدند که در راه محبوب خود جان نثار مینمودند ... استنساخ شده است.</w:t>
      </w:r>
    </w:p>
    <w:p>
      <w:pPr>
        <w:pStyle w:val="BookText"/>
      </w:pPr>
      <w:r>
        <w:rPr>
          <w:rFonts w:ascii="IRNazanin" w:hAnsi="IRNazanin" w:eastAsia="IRNazanin" w:cs="IRNazanin"/>
          <w:lang w:bidi="fa-IR"/>
          <w:color w:val="111111"/>
          <w:sz w:val="28"/>
          <w:szCs w:val="28"/>
          <w:rtl/>
        </w:rPr>
        <w:t xml:space="preserve">خط: نستعلیق تحریری، كا: قزوینی، محمد مهدی، تا: ۱۳۴۳ق، جا: رشت؛ ۷گ، ۱۸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[رایانه]</w:t>
      </w:r>
    </w:p>
    <w:p>
      <w:pPr>
        <w:pStyle w:val="Heading3"/>
      </w:pPr>
      <w:bookmarkStart w:id="2936" w:name="_Toc2196"/>
      <w:r>
        <w:t>•التبويب / کیمیا / عربی</w:t>
      </w:r>
      <w:bookmarkEnd w:id="2936"/>
    </w:p>
    <w:p>
      <w:pPr>
        <w:pStyle w:val="BookText"/>
      </w:pPr>
      <w:r>
        <w:rPr>
          <w:rFonts w:ascii="Times New Roman" w:hAnsi="Times New Roman" w:eastAsia="Times New Roman" w:cs="Times New Roman"/>
          <w:lang w:val="en-US" w:bidi="en-US"/>
          <w:color w:val="111111"/>
          <w:sz w:val="28"/>
          <w:szCs w:val="28"/>
          <w:rtl/>
        </w:rPr>
        <w:t xml:space="preserve">at-tabwīb</w:t>
      </w:r>
    </w:p>
    <w:p>
      <w:pPr>
        <w:pStyle w:val="BookText"/>
      </w:pPr>
      <w:r>
        <w:rPr>
          <w:rFonts w:ascii="IRNazanin" w:hAnsi="IRNazanin" w:eastAsia="IRNazanin" w:cs="IRNazanin"/>
          <w:lang w:bidi="fa-IR"/>
          <w:color w:val="111111"/>
          <w:sz w:val="28"/>
          <w:szCs w:val="28"/>
          <w:rtl/>
        </w:rPr>
        <w:t xml:space="preserve">جابر بن حیان، ۱۲۰-۱۹۸ ؟ قمری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bookmarkStart w:id="666" w:name="pg20363_210012"/>
    <w:bookmarkEnd w:id="666"/>
    <w:p>
      <w:pPr>
        <w:pStyle w:val="BookText"/>
      </w:pPr>
      <w:r>
        <w:rPr>
          <w:rFonts w:ascii="Times New Roman" w:hAnsi="Times New Roman" w:eastAsia="Times New Roman" w:cs="Times New Roman"/>
          <w:lang w:val="en-US" w:bidi="en-US"/>
          <w:color w:val="111111"/>
          <w:sz w:val="28"/>
          <w:szCs w:val="28"/>
          <w:rtl/>
        </w:rPr>
        <w:t xml:space="preserve">jāber ebn-e hayyān (739-814)</w:t>
      </w:r>
    </w:p>
    <w:p>
      <w:pPr>
        <w:pStyle w:val="BookText"/>
      </w:pPr>
      <w:r>
        <w:rPr>
          <w:rFonts w:ascii="IRNazanin" w:hAnsi="IRNazanin" w:eastAsia="IRNazanin" w:cs="IRNazanin"/>
          <w:lang w:bidi="fa-IR"/>
          <w:color w:val="111111"/>
          <w:sz w:val="28"/>
          <w:szCs w:val="28"/>
          <w:rtl/>
        </w:rPr>
        <w:t xml:space="preserve">گویا از جابر.</w:t>
      </w:r>
    </w:p>
    <w:p>
      <w:pPr>
        <w:pStyle w:val="BookText"/>
      </w:pPr>
      <w:r>
        <w:rPr>
          <w:rFonts w:ascii="IRNazanin" w:hAnsi="IRNazanin" w:eastAsia="IRNazanin" w:cs="IRNazanin"/>
          <w:lang w:bidi="fa-IR"/>
          <w:color w:val="111111"/>
          <w:sz w:val="28"/>
          <w:szCs w:val="28"/>
          <w:rtl/>
        </w:rPr>
        <w:t xml:space="preserve">تهران؛ مهدوی؛ شماره نسخه:۳۹۷/۴</w:t>
      </w:r>
    </w:p>
    <w:p>
      <w:pPr>
        <w:pStyle w:val="BookText"/>
      </w:pPr>
      <w:r>
        <w:rPr>
          <w:rFonts w:ascii="IRNazanin" w:hAnsi="IRNazanin" w:eastAsia="IRNazanin" w:cs="IRNazanin"/>
          <w:lang w:bidi="fa-IR"/>
          <w:color w:val="111111"/>
          <w:sz w:val="28"/>
          <w:szCs w:val="28"/>
          <w:rtl/>
        </w:rPr>
        <w:t xml:space="preserve">خط: نسخ کهن، بی کا، تا: ۷۳۲ق[ نشريه: ۲-۱۱۷]</w:t>
      </w:r>
    </w:p>
    <w:p>
      <w:pPr>
        <w:pStyle w:val="Heading3"/>
      </w:pPr>
      <w:bookmarkStart w:id="2937" w:name="_Toc2197"/>
      <w:r>
        <w:t>•تبويب الأمالی / حديث / عربی</w:t>
      </w:r>
      <w:bookmarkEnd w:id="2937"/>
    </w:p>
    <w:p>
      <w:pPr>
        <w:pStyle w:val="BookText"/>
      </w:pPr>
      <w:r>
        <w:rPr>
          <w:rFonts w:ascii="Times New Roman" w:hAnsi="Times New Roman" w:eastAsia="Times New Roman" w:cs="Times New Roman"/>
          <w:lang w:val="en-US" w:bidi="en-US"/>
          <w:color w:val="111111"/>
          <w:sz w:val="28"/>
          <w:szCs w:val="28"/>
          <w:rtl/>
        </w:rPr>
        <w:t xml:space="preserve">tabwīb-ul amālī</w:t>
      </w:r>
    </w:p>
    <w:p>
      <w:pPr>
        <w:pStyle w:val="BookText"/>
      </w:pPr>
      <w:r>
        <w:rPr>
          <w:rFonts w:ascii="IRNazanin" w:hAnsi="IRNazanin" w:eastAsia="IRNazanin" w:cs="IRNazanin"/>
          <w:lang w:bidi="fa-IR"/>
          <w:color w:val="111111"/>
          <w:sz w:val="28"/>
          <w:szCs w:val="28"/>
          <w:rtl/>
        </w:rPr>
        <w:t xml:space="preserve">طوسی، غیاث الدین جمشید، ق ۱۰ قمری</w:t>
      </w:r>
    </w:p>
    <w:p>
      <w:pPr>
        <w:pStyle w:val="BookText"/>
      </w:pPr>
      <w:r>
        <w:rPr>
          <w:rFonts w:ascii="Times New Roman" w:hAnsi="Times New Roman" w:eastAsia="Times New Roman" w:cs="Times New Roman"/>
          <w:lang w:val="en-US" w:bidi="en-US"/>
          <w:color w:val="111111"/>
          <w:sz w:val="28"/>
          <w:szCs w:val="28"/>
          <w:rtl/>
        </w:rPr>
        <w:t xml:space="preserve">tūsī, qīyās-od-dīn jamšīd (-16c)</w:t>
      </w:r>
    </w:p>
    <w:p>
      <w:pPr>
        <w:pStyle w:val="BookText"/>
      </w:pPr>
      <w:r>
        <w:rPr>
          <w:rFonts w:ascii="IRNazanin" w:hAnsi="IRNazanin" w:eastAsia="IRNazanin" w:cs="IRNazanin"/>
          <w:lang w:bidi="fa-IR"/>
          <w:color w:val="111111"/>
          <w:sz w:val="28"/>
          <w:szCs w:val="28"/>
          <w:rtl/>
        </w:rPr>
        <w:t xml:space="preserve">وابسته به: الامالی = المجالس = امالی صدوق = عرض المجالس؛ شیخ صدوق، محمد بن علی (۳۱۱-۳۸۱)</w:t>
      </w:r>
    </w:p>
    <w:p>
      <w:pPr>
        <w:pStyle w:val="BookText"/>
      </w:pPr>
      <w:r>
        <w:rPr>
          <w:rFonts w:ascii="IRNazanin" w:hAnsi="IRNazanin" w:eastAsia="IRNazanin" w:cs="IRNazanin"/>
          <w:lang w:bidi="fa-IR"/>
          <w:color w:val="111111"/>
          <w:sz w:val="28"/>
          <w:szCs w:val="28"/>
          <w:rtl/>
        </w:rPr>
        <w:t xml:space="preserve">اهداء به: شاه طهماسب صفوی</w:t>
      </w:r>
    </w:p>
    <w:p>
      <w:pPr>
        <w:pStyle w:val="BookText"/>
      </w:pPr>
      <w:r>
        <w:rPr>
          <w:rFonts w:ascii="IRNazanin" w:hAnsi="IRNazanin" w:eastAsia="IRNazanin" w:cs="IRNazanin"/>
          <w:lang w:bidi="fa-IR"/>
          <w:color w:val="111111"/>
          <w:sz w:val="28"/>
          <w:szCs w:val="28"/>
          <w:rtl/>
        </w:rPr>
        <w:t xml:space="preserve">تاريخ تأليف: پنج شنبه سلخ رمضان ۹۵۰ق؛ محل تألیف: دلیجان کتابی نفیس در باب بندی و تقسیم موضوعی مطالب «امالی» شیخ صدوق که برای استفاده بهتر در سه «باب» با حذف اسانید تنظیم شده است: باب ۱. مما يتعلق بمناقب اهل البيت عليهم السلام؛ باب ۲. مما يتعلق بالعبادات و الاوراد و الاذکار؛ باب ۳. مما يتعلق بالمتفرقات. این رساله در سال ۹۵۰ق موافق با جمله «ظن خیر القرون» تألیف شده است.</w:t>
      </w:r>
    </w:p>
    <w:p>
      <w:pPr>
        <w:pStyle w:val="BookText"/>
      </w:pPr>
      <w:r>
        <w:rPr>
          <w:rFonts w:ascii="IRNazanin" w:hAnsi="IRNazanin" w:eastAsia="IRNazanin" w:cs="IRNazanin"/>
          <w:lang w:bidi="fa-IR"/>
          <w:color w:val="111111"/>
          <w:sz w:val="28"/>
          <w:szCs w:val="28"/>
          <w:rtl/>
        </w:rPr>
        <w:t xml:space="preserve">آغاز: ما احسن في المقال و اطاب في البال من افاد ان خير خبر يجعل عنوان صحيفة الحديث حمد الملك المتعال و اطیب کلام يقتبس من جذواته غرر الكلام شوارق الانوار و بدایع الاشراق شکر الخالق ذی الجلال</w:t>
      </w:r>
    </w:p>
    <w:p>
      <w:pPr>
        <w:pStyle w:val="BookText"/>
      </w:pPr>
      <w:r>
        <w:rPr>
          <w:rFonts w:ascii="IRNazanin" w:hAnsi="IRNazanin" w:eastAsia="IRNazanin" w:cs="IRNazanin"/>
          <w:lang w:bidi="fa-IR"/>
          <w:color w:val="111111"/>
          <w:sz w:val="28"/>
          <w:szCs w:val="28"/>
          <w:rtl/>
        </w:rPr>
        <w:t xml:space="preserve">[دنا ۷۷۴/۲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آران کاشان؛ محمد هلال؛ شماره نسخه:۱۰۴</w:t>
      </w:r>
    </w:p>
    <w:p>
      <w:pPr>
        <w:pStyle w:val="BookText"/>
      </w:pPr>
      <w:r>
        <w:rPr>
          <w:rFonts w:ascii="IRNazanin" w:hAnsi="IRNazanin" w:eastAsia="IRNazanin" w:cs="IRNazanin"/>
          <w:lang w:bidi="fa-IR"/>
          <w:color w:val="111111"/>
          <w:sz w:val="28"/>
          <w:szCs w:val="28"/>
          <w:rtl/>
        </w:rPr>
        <w:t xml:space="preserve">آغاز: برابر؛ انجام: حدثنا جعفر بن على بن الحسين بن على بن عبدالله بن المغيرة الكوفی رض قال ... قال رسول الله ص اربع لا تدخل بيت واحدة منهن الا خرب و لم يعمر بالبركة الخيانة و السرقة و شرب الخمر و الزنا ... تمة المجلد الأول من الامالی</w:t>
      </w:r>
    </w:p>
    <w:p>
      <w:pPr>
        <w:pStyle w:val="BookText"/>
      </w:pPr>
      <w:r>
        <w:rPr>
          <w:rFonts w:ascii="IRNazanin" w:hAnsi="IRNazanin" w:eastAsia="IRNazanin" w:cs="IRNazanin"/>
          <w:lang w:bidi="fa-IR"/>
          <w:color w:val="111111"/>
          <w:sz w:val="28"/>
          <w:szCs w:val="28"/>
          <w:rtl/>
        </w:rPr>
        <w:t xml:space="preserve">جلد اول و کامل است؛ خط: نستعلیق، کاتب = مؤلف، تا: پنج شنبه سلخ رمضان ۱۵۱ق، جا: دليجان من قصبات عجم عراق؛ از روی نسخه عبدالجبار بن على بن منصور نقاش رازی با تاریخ ۵۰۷ق که آن هم از نسخه فقیه امام جفعر بن علی بن عبدالصمد نیشابوری مکتوب در مشهدالرضا نقل و ترتیب و تبویب شده، نسخه حاضر پس از کتابت بوسیله مؤلف در محضر ابو الحسنا شريفا احمد ابیوردی مقابله و تصحیح شده؛ تملک: عبدالعظیم بن عبد الغني الحسینی با مهر «ذلک الفوز العظیم ۱۱۰۷» (بیضوی)، باقر بن نجفعلی آرانی در ۱۲۰۶ ق با مهر «غرمن قنع و ذل من طمع ۱۲۰۷» (بیضوی)، غلامرضا بن محمدعلی آرانی با مهر «المتوكل على الله عبده غلامرضا ۱۲۲۲» (مربع)؛ نسخه وقف اولاد ذكور ملا غلامرضا آرانی؛ جلد: مقوا با روکش پلاستیکی با عطف تیماج قرمز، ۱۷۲گ، ۲۱ 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 سم [ف مخ:-۲۳]</w:t>
      </w:r>
    </w:p>
    <w:p>
      <w:pPr>
        <w:pStyle w:val="BookText"/>
      </w:pPr>
      <w:r>
        <w:rPr>
          <w:rFonts w:ascii="IRNazanin" w:hAnsi="IRNazanin" w:eastAsia="IRNazanin" w:cs="IRNazanin"/>
          <w:lang w:bidi="fa-IR"/>
          <w:color w:val="111111"/>
          <w:sz w:val="28"/>
          <w:szCs w:val="28"/>
          <w:rtl/>
        </w:rPr>
        <w:t xml:space="preserve">قم: مرکز احیاء؛ شماره نسخه: ۲۴۸</w:t>
      </w:r>
    </w:p>
    <w:p>
      <w:pPr>
        <w:pStyle w:val="BookText"/>
      </w:pPr>
      <w:r>
        <w:rPr>
          <w:rFonts w:ascii="IRNazanin" w:hAnsi="IRNazanin" w:eastAsia="IRNazanin" w:cs="IRNazanin"/>
          <w:lang w:bidi="fa-IR"/>
          <w:color w:val="111111"/>
          <w:sz w:val="28"/>
          <w:szCs w:val="28"/>
          <w:rtl/>
        </w:rPr>
        <w:t xml:space="preserve">نسخه اصل: همان نسخه بالا [عکسی : ۱-۲۸۲]</w:t>
      </w:r>
    </w:p>
    <w:p>
      <w:pPr>
        <w:pStyle w:val="BookText"/>
      </w:pPr>
      <w:r>
        <w:rPr>
          <w:rFonts w:ascii="IRNazanin" w:hAnsi="IRNazanin" w:eastAsia="IRNazanin" w:cs="IRNazanin"/>
          <w:lang w:bidi="fa-IR"/>
          <w:color w:val="111111"/>
          <w:sz w:val="28"/>
          <w:szCs w:val="28"/>
          <w:rtl/>
        </w:rPr>
        <w:t xml:space="preserve">۲. خوی؛ نمازی؛ شماره نسخه: ۷۴۵/۲</w:t>
      </w:r>
    </w:p>
    <w:p>
      <w:pPr>
        <w:pStyle w:val="BookText"/>
      </w:pPr>
      <w:r>
        <w:rPr>
          <w:rFonts w:ascii="IRNazanin" w:hAnsi="IRNazanin" w:eastAsia="IRNazanin" w:cs="IRNazanin"/>
          <w:lang w:bidi="fa-IR"/>
          <w:color w:val="111111"/>
          <w:sz w:val="28"/>
          <w:szCs w:val="28"/>
          <w:rtl/>
        </w:rPr>
        <w:t xml:space="preserve">آغاز: الحمدلله رب العالمين ... اما بعد لما وجدت كتاب امالی الشيخ السعيد.. مشحونا بالاحادیث المرغوبة المفيدة؛ انجام: الابتقوى الله عزوجل فمن كنت اتقي منه فانت افضل منه تم باب الثاني من المنتخب من کتاب الامام ابن بابویه.</w:t>
      </w:r>
    </w:p>
    <w:p>
      <w:pPr>
        <w:pStyle w:val="BookText"/>
      </w:pPr>
      <w:r>
        <w:rPr>
          <w:rFonts w:ascii="IRNazanin" w:hAnsi="IRNazanin" w:eastAsia="IRNazanin" w:cs="IRNazanin"/>
          <w:lang w:bidi="fa-IR"/>
          <w:color w:val="111111"/>
          <w:sz w:val="28"/>
          <w:szCs w:val="28"/>
          <w:rtl/>
        </w:rPr>
        <w:t xml:space="preserve">خط: نسخ، كان محمد حسین بن امیر ابوالفتح حسینی، بی تاب مصحح؛ بعد از باب اول این کتاب «۲۶۹-۲۷۳» چند برگی در وصف جهنم آمده و کاتب یا مؤلف آن نوشته که چون کتاب روضه کافی بابی در صفت بهشت داشت و از این بحث سخنی به میان نیامده لذا تصمیم به اضافه نمودن این مطلب نموده است؛ جلد: تیماج سوخت، ۴۲، ۲۲ سطر،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۴۰۱]</w:t>
      </w:r>
    </w:p>
    <w:p>
      <w:pPr>
        <w:pStyle w:val="BookText"/>
      </w:pPr>
      <w:r>
        <w:rPr>
          <w:rFonts w:ascii="IRNazanin" w:hAnsi="IRNazanin" w:eastAsia="IRNazanin" w:cs="IRNazanin"/>
          <w:lang w:bidi="fa-IR"/>
          <w:color w:val="111111"/>
          <w:sz w:val="28"/>
          <w:szCs w:val="28"/>
          <w:rtl/>
        </w:rPr>
        <w:t xml:space="preserve">قم: مرکز احیاء؛ شماره نسخه: ۸۶۱/۲</w:t>
      </w:r>
    </w:p>
    <w:p>
      <w:pPr>
        <w:pStyle w:val="BookText"/>
      </w:pPr>
      <w:r>
        <w:rPr>
          <w:rFonts w:ascii="IRNazanin" w:hAnsi="IRNazanin" w:eastAsia="IRNazanin" w:cs="IRNazanin"/>
          <w:lang w:bidi="fa-IR"/>
          <w:color w:val="111111"/>
          <w:sz w:val="28"/>
          <w:szCs w:val="28"/>
          <w:rtl/>
        </w:rPr>
        <w:t xml:space="preserve">نسخه اصل: همان نسخه بالا [عکسی ف: ۳-۵۰]</w:t>
      </w:r>
    </w:p>
    <w:p>
      <w:pPr>
        <w:pStyle w:val="BookText"/>
      </w:pPr>
      <w:r>
        <w:rPr>
          <w:rFonts w:ascii="IRNazanin" w:hAnsi="IRNazanin" w:eastAsia="IRNazanin" w:cs="IRNazanin"/>
          <w:lang w:bidi="fa-IR"/>
          <w:color w:val="111111"/>
          <w:sz w:val="28"/>
          <w:szCs w:val="28"/>
          <w:rtl/>
        </w:rPr>
        <w:t xml:space="preserve">٣. قم؛ روحانی، مهدی؛ شماره نسخه:1</w:t>
      </w:r>
    </w:p>
    <w:p>
      <w:pPr>
        <w:pStyle w:val="BookText"/>
      </w:pPr>
      <w:r>
        <w:rPr>
          <w:rFonts w:ascii="IRNazanin" w:hAnsi="IRNazanin" w:eastAsia="IRNazanin" w:cs="IRNazanin"/>
          <w:lang w:bidi="fa-IR"/>
          <w:color w:val="111111"/>
          <w:sz w:val="28"/>
          <w:szCs w:val="28"/>
          <w:rtl/>
        </w:rPr>
        <w:t xml:space="preserve">آغاز: برابر؛ انجام: تم المجلد الأول من الامالی من املاء الشيخ ... . على يد العبد المذنب المحتاج الى رحمة الله الملک العلی افقر خلق الله اقل الخليقة بل لاشيء في الحقيقة غیاث الدین جمشید ... الساكن بقصبة الطيبة الدليجان من قصبات عراق العجم في يوم الخميس السلخ من شهر رمضان المبارک من سنة ۹۵۱ و نقلته من النسخة الصحيحة التي كان تاريخها يوم الاثنين الخامس من ذي القعدة الحرام من سنة ۵۰۷ بخط الشيخ الفاضل الكامل العالم المتقي عبد الجبار بن على بن منصور النقاش الرازی و هو نقله من نسخة الشيخ الفقيه العلم الامام ابی محمد جعفر بن على بن عبدالصمد النيشابوری غفره الله و لاخيه الشيخ الفقيه العالم ابی الحسن علی بن عبدالصمد في مشهد مولانا الامام المعصوم ابی الحسن علی بن موسی ...</w:t>
      </w:r>
    </w:p>
    <w:p>
      <w:pPr>
        <w:pStyle w:val="BookText"/>
      </w:pPr>
      <w:r>
        <w:rPr>
          <w:rFonts w:ascii="IRNazanin" w:hAnsi="IRNazanin" w:eastAsia="IRNazanin" w:cs="IRNazanin"/>
          <w:lang w:bidi="fa-IR"/>
          <w:color w:val="111111"/>
          <w:sz w:val="28"/>
          <w:szCs w:val="28"/>
          <w:rtl/>
        </w:rPr>
        <w:t xml:space="preserve">بی کا، بی تا؛ از روی خط مؤلف، مصحح [چند نسخه -ف: ۳۴۳]</w:t>
      </w:r>
    </w:p>
    <w:p>
      <w:pPr>
        <w:pStyle w:val="BookText"/>
      </w:pPr>
      <w:r>
        <w:rPr>
          <w:rFonts w:ascii="IRNazanin" w:hAnsi="IRNazanin" w:eastAsia="IRNazanin" w:cs="IRNazanin"/>
          <w:lang w:bidi="fa-IR"/>
          <w:color w:val="111111"/>
          <w:sz w:val="28"/>
          <w:szCs w:val="28"/>
          <w:rtl/>
        </w:rPr>
        <w:t xml:space="preserve">قم: مرکز احیاء؛ شماره نسخه:۹۸</w:t>
      </w:r>
    </w:p>
    <w:p>
      <w:pPr>
        <w:pStyle w:val="BookText"/>
      </w:pPr>
      <w:r>
        <w:rPr>
          <w:rFonts w:ascii="IRNazanin" w:hAnsi="IRNazanin" w:eastAsia="IRNazanin" w:cs="IRNazanin"/>
          <w:lang w:bidi="fa-IR"/>
          <w:color w:val="111111"/>
          <w:sz w:val="28"/>
          <w:szCs w:val="28"/>
          <w:rtl/>
        </w:rPr>
        <w:t xml:space="preserve">نسخه اصل: همان نسخه بالا [عکسی ف: ۱-۱۲۰]</w:t>
      </w:r>
    </w:p>
    <w:p>
      <w:pPr>
        <w:pStyle w:val="Heading3"/>
      </w:pPr>
      <w:bookmarkStart w:id="2938" w:name="_Toc2198"/>
      <w:r>
        <w:t>•تبويب خلاصة الأقوال / رجال / عربی</w:t>
      </w:r>
      <w:bookmarkEnd w:id="2938"/>
    </w:p>
    <w:p>
      <w:pPr>
        <w:pStyle w:val="BookText"/>
      </w:pPr>
      <w:r>
        <w:rPr>
          <w:rFonts w:ascii="Times New Roman" w:hAnsi="Times New Roman" w:eastAsia="Times New Roman" w:cs="Times New Roman"/>
          <w:lang w:val="en-US" w:bidi="en-US"/>
          <w:color w:val="111111"/>
          <w:sz w:val="28"/>
          <w:szCs w:val="28"/>
          <w:rtl/>
        </w:rPr>
        <w:t xml:space="preserve">tabwīb-u xulāşat-il aqwāl</w:t>
      </w:r>
    </w:p>
    <w:p>
      <w:pPr>
        <w:pStyle w:val="BookText"/>
      </w:pPr>
      <w:r>
        <w:rPr>
          <w:rFonts w:ascii="IRNazanin" w:hAnsi="IRNazanin" w:eastAsia="IRNazanin" w:cs="IRNazanin"/>
          <w:lang w:bidi="fa-IR"/>
          <w:color w:val="111111"/>
          <w:sz w:val="28"/>
          <w:szCs w:val="28"/>
          <w:rtl/>
        </w:rPr>
        <w:t xml:space="preserve">وابسته به: خلاصة الأقوال في معرفة احوال الرجال؛ علامه حلی، حسن بن يوسف (۶۴۸-۷۲۶) رسالهای متوسط در تنظیم و تبویب «خلاصة الأقوال في معرفة الرجال» علامه حلی است که برای استفاده بیشتر مراجعین از زندگی روات و سهل الوصول بودن آن به باب بندی جدید آن اقدام شده است.</w:t>
      </w:r>
    </w:p>
    <w:p>
      <w:pPr>
        <w:pStyle w:val="BookText"/>
      </w:pPr>
      <w:r>
        <w:rPr>
          <w:rFonts w:ascii="IRNazanin" w:hAnsi="IRNazanin" w:eastAsia="IRNazanin" w:cs="IRNazanin"/>
          <w:lang w:bidi="fa-IR"/>
          <w:color w:val="111111"/>
          <w:sz w:val="28"/>
          <w:szCs w:val="28"/>
          <w:rtl/>
        </w:rPr>
        <w:t xml:space="preserve">کاشان؛ مدرسه امیرالمؤمنین؛ شماره نسخه:۶
</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bookmarkStart w:id="667" w:name="pg20363_210013"/>
    <w:bookmarkEnd w:id="667"/>
    <w:p>
      <w:pPr>
        <w:pStyle w:val="BookText"/>
      </w:pPr>
      <w:r>
        <w:rPr>
          <w:rFonts w:ascii="IRNazanin" w:hAnsi="IRNazanin" w:eastAsia="IRNazanin" w:cs="IRNazanin"/>
          <w:lang w:bidi="fa-IR"/>
          <w:color w:val="111111"/>
          <w:sz w:val="28"/>
          <w:szCs w:val="28"/>
          <w:rtl/>
        </w:rPr>
        <w:t xml:space="preserve">آغاز: الحمدلله الذي هدانا الى طريق السداد و الصلوة و السلام على محمد ... و بعد فان النظر في احاديث الاماميه موقوف على العلم بحال رواتها المرضية و غير المرضية و عليه تبتني الأحكام الشرعية الفرعية؛ انجام: و قد اقتصرت من الروايات الى هولاء المشايخ بما ذكرت و الباقي من الروايات الى هولاء المشايخ و الى غيرهم مذكور في كتابنا الكبير من اراده وقف عليه هناك و الحمدلله رب العالمین و صلی الله عليه خير خلقه محمد و اله اجمعین.</w:t>
      </w:r>
    </w:p>
    <w:p>
      <w:pPr>
        <w:pStyle w:val="BookText"/>
      </w:pPr>
      <w:r>
        <w:rPr>
          <w:rFonts w:ascii="IRNazanin" w:hAnsi="IRNazanin" w:eastAsia="IRNazanin" w:cs="IRNazanin"/>
          <w:lang w:bidi="fa-IR"/>
          <w:color w:val="111111"/>
          <w:sz w:val="28"/>
          <w:szCs w:val="28"/>
          <w:rtl/>
        </w:rPr>
        <w:t xml:space="preserve">کامل؛ خط: نستعلیق، کا: محمدمومن بن عبدالعلی، تا: وسط ذیحجه ۱۱۷۹ق؛ مصحح؛ جلد: تیماج سرخ با ترنج و سرترنج، ۱۳۵ گ، ۱۸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سم[ف مخ]</w:t>
      </w:r>
    </w:p>
    <w:p>
      <w:pPr>
        <w:pStyle w:val="Heading3"/>
      </w:pPr>
      <w:bookmarkStart w:id="2939" w:name="_Toc2199"/>
      <w:r>
        <w:t>•تبها = حمیات / طب / فارسی</w:t>
      </w:r>
      <w:bookmarkEnd w:id="2939"/>
    </w:p>
    <w:p>
      <w:pPr>
        <w:pStyle w:val="BookText"/>
      </w:pPr>
      <w:r>
        <w:rPr>
          <w:rFonts w:ascii="Times New Roman" w:hAnsi="Times New Roman" w:eastAsia="Times New Roman" w:cs="Times New Roman"/>
          <w:lang w:val="en-US" w:bidi="en-US"/>
          <w:color w:val="111111"/>
          <w:sz w:val="28"/>
          <w:szCs w:val="28"/>
          <w:rtl/>
        </w:rPr>
        <w:t xml:space="preserve">tab-hā= hommayāt</w:t>
      </w:r>
    </w:p>
    <w:p>
      <w:pPr>
        <w:pStyle w:val="BookText"/>
      </w:pPr>
      <w:r>
        <w:rPr>
          <w:rFonts w:ascii="IRNazanin" w:hAnsi="IRNazanin" w:eastAsia="IRNazanin" w:cs="IRNazanin"/>
          <w:lang w:bidi="fa-IR"/>
          <w:color w:val="111111"/>
          <w:sz w:val="28"/>
          <w:szCs w:val="28"/>
          <w:rtl/>
        </w:rPr>
        <w:t xml:space="preserve">طبیب، محمد باقر بن محمد حسین، ق ۱۲ قمری</w:t>
      </w:r>
    </w:p>
    <w:p>
      <w:pPr>
        <w:pStyle w:val="BookText"/>
      </w:pPr>
      <w:r>
        <w:rPr>
          <w:rFonts w:ascii="Times New Roman" w:hAnsi="Times New Roman" w:eastAsia="Times New Roman" w:cs="Times New Roman"/>
          <w:lang w:val="en-US" w:bidi="en-US"/>
          <w:color w:val="111111"/>
          <w:sz w:val="28"/>
          <w:szCs w:val="28"/>
          <w:rtl/>
        </w:rPr>
        <w:t xml:space="preserve">tabīb, mohammad bāqer ebn-e mohammad hoseyn ( 18c)</w:t>
      </w:r>
    </w:p>
    <w:p>
      <w:pPr>
        <w:pStyle w:val="BookText"/>
      </w:pPr>
      <w:r>
        <w:rPr>
          <w:rFonts w:ascii="IRNazanin" w:hAnsi="IRNazanin" w:eastAsia="IRNazanin" w:cs="IRNazanin"/>
          <w:lang w:bidi="fa-IR"/>
          <w:color w:val="111111"/>
          <w:sz w:val="28"/>
          <w:szCs w:val="28"/>
          <w:rtl/>
        </w:rPr>
        <w:t xml:space="preserve">اهدا به: شاه سلطان حسین صفوی (۱۱۰۵-۱۱۳۵ق) در بیان حمیات (تب ها) و مداوای آنها، در یک «مقدمه» و ۸ «باب» و یک «خاتمه»: مقدمه: در تعریف تب و ذکر اجناس آن و جملی از امور مهمه در معالجه آن در هشت فصل؛ باب 1. علاج حمى يوم و ذکر اسباب و علامات و معالجات آن، در دو فصل؛ ۲. تب دق و اسباب و علامات و معالجات آن؛ ۳. حمیات عفن و اقسام آن و اسباب و علامات و معالجات هر یک از اقسام آن، در چهار فصل و یک تذبیب؛ ۴. حمى غشیه و علاج آن در دو فصل؛ ۵. وباء و علامات ظهور آن و تدابیر کلیه در آن در دو فصل؛ ۶. اسباب و علامات و معالجه آبله و حصبه، در سه فصل؛ 7. معرفت نکس و احوال و علامات و علاج آن در دو فصل؛ ۸ احوالی که عارض می شود ناقه را و علاج آن در دو فصل؛ خاتمه: در ذکر نسخه هایی که در اثنای معالجات اسامی آنها ذکر شده بود. مؤلف در مقدمه اشاره کرده که اجدادش همگی طبیب بوده اند.</w:t>
      </w:r>
    </w:p>
    <w:p>
      <w:pPr>
        <w:pStyle w:val="BookText"/>
      </w:pPr>
      <w:r>
        <w:rPr>
          <w:rFonts w:ascii="IRNazanin" w:hAnsi="IRNazanin" w:eastAsia="IRNazanin" w:cs="IRNazanin"/>
          <w:lang w:bidi="fa-IR"/>
          <w:color w:val="111111"/>
          <w:sz w:val="28"/>
          <w:szCs w:val="28"/>
          <w:rtl/>
        </w:rPr>
        <w:t xml:space="preserve">آغاز: سپاس بلند اساس و ستایش بی آلایش شایسته در گاه کبریائی است که قانون شفای دردمندان بادیه جهالت و مستمندان وادی ضلالت در کتابخانه بر و احسان اوست انجام: و شیره تخم گشنیز خشک داخل نموده بجوشانند تا به قوام آید و با قند سفید به طریق نوشدارو به عمل آورند ان شاء الله تعالی نافع باد.</w:t>
      </w:r>
    </w:p>
    <w:p>
      <w:pPr>
        <w:pStyle w:val="BookText"/>
      </w:pPr>
      <w:r>
        <w:rPr>
          <w:rFonts w:ascii="IRNazanin" w:hAnsi="IRNazanin" w:eastAsia="IRNazanin" w:cs="IRNazanin"/>
          <w:lang w:bidi="fa-IR"/>
          <w:color w:val="111111"/>
          <w:sz w:val="28"/>
          <w:szCs w:val="28"/>
          <w:rtl/>
        </w:rPr>
        <w:t xml:space="preserve">[فهرستواره منزوی ۳۵۳۴/۵ «طب» ]</w:t>
      </w:r>
    </w:p>
    <w:p>
      <w:pPr>
        <w:pStyle w:val="BookText"/>
      </w:pPr>
      <w:r>
        <w:rPr>
          <w:rFonts w:ascii="IRNazanin" w:hAnsi="IRNazanin" w:eastAsia="IRNazanin" w:cs="IRNazanin"/>
          <w:lang w:bidi="fa-IR"/>
          <w:color w:val="111111"/>
          <w:sz w:val="28"/>
          <w:szCs w:val="28"/>
          <w:rtl/>
        </w:rPr>
        <w:t xml:space="preserve">۱. تهران؛ مجلس؛ شماره نسخه:۵۲۷۹/۲</w:t>
      </w:r>
    </w:p>
    <w:p>
      <w:pPr>
        <w:pStyle w:val="BookText"/>
      </w:pPr>
      <w:r>
        <w:rPr>
          <w:rFonts w:ascii="IRNazanin" w:hAnsi="IRNazanin" w:eastAsia="IRNazanin" w:cs="IRNazanin"/>
          <w:lang w:bidi="fa-IR"/>
          <w:color w:val="111111"/>
          <w:sz w:val="28"/>
          <w:szCs w:val="28"/>
          <w:rtl/>
        </w:rPr>
        <w:t xml:space="preserve">آغاز: برابر؛ انجام: شربت مبرد در حميات خصوصا دمية و در خلطی بعد از تنقيه مجرب و نافع است انشاء الله. تالیف والد مرحوم ابن فقیر.</w:t>
      </w:r>
    </w:p>
    <w:p>
      <w:pPr>
        <w:pStyle w:val="BookText"/>
      </w:pPr>
      <w:r>
        <w:rPr>
          <w:rFonts w:ascii="IRNazanin" w:hAnsi="IRNazanin" w:eastAsia="IRNazanin" w:cs="IRNazanin"/>
          <w:lang w:bidi="fa-IR"/>
          <w:color w:val="111111"/>
          <w:sz w:val="28"/>
          <w:szCs w:val="28"/>
          <w:rtl/>
        </w:rPr>
        <w:t xml:space="preserve">خط: نستعلیق، بی کا، تا: قرن ۱۱؛ از دو کاتب. قسمت بیشتر به خط پسر مؤلف و ناشناس؛ کاغذ: سپاهانی دو رنگ، راسته و چلیپا، جلد: مقوایی شکسته، ۲۲گ (۵ر -۲۶) [ف: ۱۶-۹۸]</w:t>
      </w:r>
    </w:p>
    <w:p>
      <w:pPr>
        <w:pStyle w:val="BookText"/>
      </w:pPr>
      <w:r>
        <w:rPr>
          <w:rFonts w:ascii="IRNazanin" w:hAnsi="IRNazanin" w:eastAsia="IRNazanin" w:cs="IRNazanin"/>
          <w:lang w:bidi="fa-IR"/>
          <w:color w:val="111111"/>
          <w:sz w:val="28"/>
          <w:szCs w:val="28"/>
          <w:rtl/>
        </w:rPr>
        <w:t xml:space="preserve">۲. تهران؛ مجلس؛ شماره نسخه:۶۶۳۴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زیبا، كا: محمد مومن بن محمد نصیر، تا: قرن ۱۱؛ مجدول، دارای سرلوح مرصع مذهب، ظاهرا این نسخه جهت خزانه سلطان تهیه شده، یادداشتی به خط عبدالحسين بن آقا يوسف راسخی؛ جلد: تیماج قرمز با ترنج و سرترنج، ۱۰۰گ، ۱۲ سطر، اندازه:</w:t>
      </w:r>
    </w:p>
    <w:p>
      <w:pPr>
        <w:pStyle w:val="BookText"/>
      </w:pPr>
      <w:r>
        <w:rPr>
          <w:rFonts w:ascii="IRNazanin" w:hAnsi="IRNazanin" w:eastAsia="IRNazanin" w:cs="IRNazanin"/>
          <w:lang w:bidi="fa-IR"/>
          <w:color w:val="111111"/>
          <w:sz w:val="28"/>
          <w:szCs w:val="28"/>
          <w:rtl/>
        </w:rPr>
        <w:t xml:space="preserve">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۲۰-۱۶۵]</w:t>
      </w:r>
    </w:p>
    <w:p>
      <w:pPr>
        <w:pStyle w:val="BookText"/>
      </w:pPr>
      <w:r>
        <w:rPr>
          <w:rFonts w:ascii="IRNazanin" w:hAnsi="IRNazanin" w:eastAsia="IRNazanin" w:cs="IRNazanin"/>
          <w:lang w:bidi="fa-IR"/>
          <w:color w:val="111111"/>
          <w:sz w:val="28"/>
          <w:szCs w:val="28"/>
          <w:rtl/>
        </w:rPr>
        <w:t xml:space="preserve">٣. همدان؛ دانشگاه بوعلی؛ شماره نسخه:۱۳۴/۵</w:t>
      </w:r>
    </w:p>
    <w:p>
      <w:pPr>
        <w:pStyle w:val="BookText"/>
      </w:pPr>
      <w:r>
        <w:rPr>
          <w:rFonts w:ascii="IRNazanin" w:hAnsi="IRNazanin" w:eastAsia="IRNazanin" w:cs="IRNazanin"/>
          <w:lang w:bidi="fa-IR"/>
          <w:color w:val="111111"/>
          <w:sz w:val="28"/>
          <w:szCs w:val="28"/>
          <w:rtl/>
        </w:rPr>
        <w:t xml:space="preserve">خط: نستعلیق، كا: حسین بن علی محمد رشتی متطبب، تا: ۱۲۲۹ق؛ کتاب در نسخه حاضر به شاه سلیمان صفوی تقدیم شده؛ جلد: گالینگور قهوه ای، ۲۹گ(۱۳۹-۱۶۷ر)، اندازه:</w:t>
      </w:r>
    </w:p>
    <w:p>
      <w:pPr>
        <w:pStyle w:val="BookText"/>
      </w:pPr>
      <w:r>
        <w:rPr>
          <w:rFonts w:ascii="IRNazanin" w:hAnsi="IRNazanin" w:eastAsia="IRNazanin" w:cs="IRNazanin"/>
          <w:lang w:bidi="fa-IR"/>
          <w:color w:val="111111"/>
          <w:sz w:val="28"/>
          <w:szCs w:val="28"/>
          <w:rtl/>
        </w:rPr>
        <w:t xml:space="preserve">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۶۹]</w:t>
      </w:r>
    </w:p>
    <w:p>
      <w:pPr>
        <w:pStyle w:val="BookText"/>
      </w:pPr>
      <w:r>
        <w:rPr>
          <w:rFonts w:ascii="IRNazanin" w:hAnsi="IRNazanin" w:eastAsia="IRNazanin" w:cs="IRNazanin"/>
          <w:lang w:bidi="fa-IR"/>
          <w:color w:val="111111"/>
          <w:sz w:val="28"/>
          <w:szCs w:val="28"/>
          <w:rtl/>
        </w:rPr>
        <w:t xml:space="preserve">۴. تهران؛ مجلس؛ شماره نسخه:۶۵۹۳</w:t>
      </w:r>
    </w:p>
    <w:p>
      <w:pPr>
        <w:pStyle w:val="BookText"/>
      </w:pPr>
      <w:r>
        <w:rPr>
          <w:rFonts w:ascii="IRNazanin" w:hAnsi="IRNazanin" w:eastAsia="IRNazanin" w:cs="IRNazanin"/>
          <w:lang w:bidi="fa-IR"/>
          <w:color w:val="111111"/>
          <w:sz w:val="28"/>
          <w:szCs w:val="28"/>
          <w:rtl/>
        </w:rPr>
        <w:t xml:space="preserve">آغاز: برابر؛ انجام: ربع جزو کوفته و پخته با گلاب قرص سازند و در وقت احتیاج یک مثقال را با اشربه مناسبه بدهند که نافع است.</w:t>
      </w:r>
    </w:p>
    <w:p>
      <w:pPr>
        <w:pStyle w:val="BookText"/>
      </w:pPr>
      <w:r>
        <w:rPr>
          <w:rFonts w:ascii="IRNazanin" w:hAnsi="IRNazanin" w:eastAsia="IRNazanin" w:cs="IRNazanin"/>
          <w:lang w:bidi="fa-IR"/>
          <w:color w:val="111111"/>
          <w:sz w:val="28"/>
          <w:szCs w:val="28"/>
          <w:rtl/>
        </w:rPr>
        <w:t xml:space="preserve">خط: نستعلیق، بی کا، تا: غره رمضان ۱۲۷۰ ق (یا ۱۲۰۷ه)؛ در برگ های پایانی یادداشتی مفصل در ماء الجبن (۵۳پ - ۵۶ر) و بیخ چینی (۵۶پ -۵۹ر) و پادزهر (۵۹ر -۶۱ر) و جذوار (۶۱ر - ۶۲پ) و تریاق فاروق (۶۲پ -۶۳پ) و حبوب سلیمانی (۶۳پ - ۶۵پ) ظاهرا برگرفته از رساله های عمادالدین محمود شیرازی و دیگران؛ جلد: تیماج قرمز، ۸۰گ، ۱۶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۲۰-۱۴۳]</w:t>
      </w:r>
    </w:p>
    <w:p>
      <w:pPr>
        <w:pStyle w:val="Heading3"/>
      </w:pPr>
      <w:bookmarkStart w:id="2940" w:name="_Toc2200"/>
      <w:r>
        <w:t>•تبیان / اصول فقه / عربی</w:t>
      </w:r>
      <w:bookmarkEnd w:id="2940"/>
    </w:p>
    <w:p>
      <w:pPr>
        <w:pStyle w:val="BookText"/>
      </w:pPr>
      <w:r>
        <w:rPr>
          <w:rFonts w:ascii="Times New Roman" w:hAnsi="Times New Roman" w:eastAsia="Times New Roman" w:cs="Times New Roman"/>
          <w:lang w:val="en-US" w:bidi="en-US"/>
          <w:color w:val="111111"/>
          <w:sz w:val="28"/>
          <w:szCs w:val="28"/>
          <w:rtl/>
        </w:rPr>
        <w:t xml:space="preserve">tibyān</w:t>
      </w:r>
    </w:p>
    <w:p>
      <w:pPr>
        <w:pStyle w:val="BookText"/>
      </w:pPr>
      <w:r>
        <w:rPr>
          <w:rFonts w:ascii="IRNazanin" w:hAnsi="IRNazanin" w:eastAsia="IRNazanin" w:cs="IRNazanin"/>
          <w:lang w:bidi="fa-IR"/>
          <w:color w:val="111111"/>
          <w:sz w:val="28"/>
          <w:szCs w:val="28"/>
          <w:rtl/>
        </w:rPr>
        <w:t xml:space="preserve">کرمانی، محمد بن محمد کریم، ۱۲۶۳-۱۳۲۴ قمری</w:t>
      </w:r>
    </w:p>
    <w:p>
      <w:pPr>
        <w:pStyle w:val="BookText"/>
      </w:pPr>
      <w:r>
        <w:rPr>
          <w:rFonts w:ascii="Times New Roman" w:hAnsi="Times New Roman" w:eastAsia="Times New Roman" w:cs="Times New Roman"/>
          <w:lang w:val="en-US" w:bidi="en-US"/>
          <w:color w:val="111111"/>
          <w:sz w:val="28"/>
          <w:szCs w:val="28"/>
          <w:rtl/>
        </w:rPr>
        <w:t xml:space="preserve">kermānī, mohammad ebn-e mohammad karīm (1847 1906)</w:t>
      </w:r>
    </w:p>
    <w:p>
      <w:pPr>
        <w:pStyle w:val="BookText"/>
      </w:pPr>
      <w:r>
        <w:rPr>
          <w:rFonts w:ascii="IRNazanin" w:hAnsi="IRNazanin" w:eastAsia="IRNazanin" w:cs="IRNazanin"/>
          <w:lang w:bidi="fa-IR"/>
          <w:color w:val="111111"/>
          <w:sz w:val="28"/>
          <w:szCs w:val="28"/>
          <w:rtl/>
        </w:rPr>
        <w:t xml:space="preserve">یزد؛ وزیری؛ شماره نسخه:۴۲۷۹</w:t>
      </w:r>
    </w:p>
    <w:p>
      <w:pPr>
        <w:pStyle w:val="BookText"/>
      </w:pPr>
      <w:r>
        <w:rPr>
          <w:rFonts w:ascii="IRNazanin" w:hAnsi="IRNazanin" w:eastAsia="IRNazanin" w:cs="IRNazanin"/>
          <w:lang w:bidi="fa-IR"/>
          <w:color w:val="111111"/>
          <w:sz w:val="28"/>
          <w:szCs w:val="28"/>
          <w:rtl/>
        </w:rPr>
        <w:t xml:space="preserve">بی کا، بی تا [نشریه: ۱۳-۳۸۳]</w:t>
      </w:r>
    </w:p>
    <w:p>
      <w:pPr>
        <w:pStyle w:val="Heading3"/>
      </w:pPr>
      <w:bookmarkStart w:id="2941" w:name="_Toc2201"/>
      <w:r>
        <w:t>•تبیان / تفسير / ترکی</w:t>
      </w:r>
      <w:bookmarkEnd w:id="2941"/>
    </w:p>
    <w:p>
      <w:pPr>
        <w:pStyle w:val="BookText"/>
      </w:pPr>
      <w:r>
        <w:rPr>
          <w:rFonts w:ascii="Times New Roman" w:hAnsi="Times New Roman" w:eastAsia="Times New Roman" w:cs="Times New Roman"/>
          <w:lang w:val="en-US" w:bidi="en-US"/>
          <w:color w:val="111111"/>
          <w:sz w:val="28"/>
          <w:szCs w:val="28"/>
          <w:rtl/>
        </w:rPr>
        <w:t xml:space="preserve">tibyān</w:t>
      </w:r>
    </w:p>
    <w:p>
      <w:pPr>
        <w:pStyle w:val="BookText"/>
      </w:pPr>
      <w:r>
        <w:rPr>
          <w:rFonts w:ascii="IRNazanin" w:hAnsi="IRNazanin" w:eastAsia="IRNazanin" w:cs="IRNazanin"/>
          <w:lang w:bidi="fa-IR"/>
          <w:color w:val="111111"/>
          <w:sz w:val="28"/>
          <w:szCs w:val="28"/>
          <w:rtl/>
        </w:rPr>
        <w:t xml:space="preserve">تهران؛ ملک؛ شماره نسخه: ۲۳۱</w:t>
      </w:r>
    </w:p>
    <w:p>
      <w:pPr>
        <w:pStyle w:val="BookText"/>
      </w:pPr>
      <w:r>
        <w:rPr>
          <w:rFonts w:ascii="IRNazanin" w:hAnsi="IRNazanin" w:eastAsia="IRNazanin" w:cs="IRNazanin"/>
          <w:lang w:bidi="fa-IR"/>
          <w:color w:val="111111"/>
          <w:sz w:val="28"/>
          <w:szCs w:val="28"/>
          <w:rtl/>
        </w:rPr>
        <w:t xml:space="preserve">آغاز: اولا بو کتاب عزیزی ابتدا قيلاق اللهه استعاذه قیلمغله که امر حقه امتثائل اولنوب؛ انجام: امین اولور حق تعالی فضل برله و
</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bookmarkStart w:id="668" w:name="pg20363_210014"/>
    <w:bookmarkEnd w:id="668"/>
    <w:p>
      <w:pPr>
        <w:pStyle w:val="BookText"/>
      </w:pPr>
      <w:r>
        <w:rPr>
          <w:rFonts w:ascii="IRNazanin" w:hAnsi="IRNazanin" w:eastAsia="IRNazanin" w:cs="IRNazanin"/>
          <w:lang w:bidi="fa-IR"/>
          <w:color w:val="111111"/>
          <w:sz w:val="28"/>
          <w:szCs w:val="28"/>
          <w:rtl/>
        </w:rPr>
        <w:t xml:space="preserve">عنایتی برله. در تفسیر است و در نسخه ما دیباچه ای نیست و نامی هم بدان داده نشده است ولی کامل است، در فهرست تاشکند (۳۵۴/۷ ) در وصف «مواكب» از تفسیر تبیان یاد شده و گویا این کتاب نباشد؛ خط: نسخ، بی کا، تا: ۱۱۵۷ق؛ با دو سرلوح، مجدول زرین؛ کاغذ: کاغذ فستقی، جلد: میشن آلبالویی، ۶۹۵گ، ۳۳ سطر،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۲۹/۵سم [ف: ۱-۶۰۱]</w:t>
      </w:r>
    </w:p>
    <w:p>
      <w:pPr>
        <w:pStyle w:val="Heading3"/>
      </w:pPr>
      <w:bookmarkStart w:id="2942" w:name="_Toc2202"/>
      <w:r>
        <w:t>•التبيان / تفسير / عربی</w:t>
      </w:r>
      <w:bookmarkEnd w:id="2942"/>
    </w:p>
    <w:p>
      <w:pPr>
        <w:pStyle w:val="BookText"/>
      </w:pPr>
      <w:r>
        <w:rPr>
          <w:rFonts w:ascii="Times New Roman" w:hAnsi="Times New Roman" w:eastAsia="Times New Roman" w:cs="Times New Roman"/>
          <w:lang w:val="en-US" w:bidi="en-US"/>
          <w:color w:val="111111"/>
          <w:sz w:val="28"/>
          <w:szCs w:val="28"/>
          <w:rtl/>
        </w:rPr>
        <w:t xml:space="preserve">at-tibyān</w:t>
      </w:r>
    </w:p>
    <w:p>
      <w:pPr>
        <w:pStyle w:val="BookText"/>
      </w:pPr>
      <w:r>
        <w:rPr>
          <w:rFonts w:ascii="IRNazanin" w:hAnsi="IRNazanin" w:eastAsia="IRNazanin" w:cs="IRNazanin"/>
          <w:lang w:bidi="fa-IR"/>
          <w:color w:val="111111"/>
          <w:sz w:val="28"/>
          <w:szCs w:val="28"/>
          <w:rtl/>
        </w:rPr>
        <w:t xml:space="preserve">خوانسار؛ فاضل؛ شماره نسخه:۲۵۰/۴</w:t>
      </w:r>
    </w:p>
    <w:p>
      <w:pPr>
        <w:pStyle w:val="BookText"/>
      </w:pPr>
      <w:r>
        <w:rPr>
          <w:rFonts w:ascii="IRNazanin" w:hAnsi="IRNazanin" w:eastAsia="IRNazanin" w:cs="IRNazanin"/>
          <w:lang w:bidi="fa-IR"/>
          <w:color w:val="111111"/>
          <w:sz w:val="28"/>
          <w:szCs w:val="28"/>
          <w:rtl/>
        </w:rPr>
        <w:t xml:space="preserve">آغاز: و اعلم يا ولدي ان هؤلاء قوم لا يأكلون ولا يشربون ولا يدخلون ولا يخرجون من شيء الا باذن الله تعالی با نسخه امامت یکی است؛ خط: نسخ نازیبا، بی کا، تا: پنج شنبه ۳ ربيع الثانی ۶۶۶ق؛ جلد: مقوایی عطف تیماج قهوه ای،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سم [ف: ۱-۲۲۰]</w:t>
      </w:r>
    </w:p>
    <w:p>
      <w:pPr>
        <w:pStyle w:val="Heading3"/>
      </w:pPr>
      <w:bookmarkStart w:id="2943" w:name="_Toc2203"/>
      <w:r>
        <w:t>•التبيان / هیئت / عربی</w:t>
      </w:r>
      <w:bookmarkEnd w:id="2943"/>
    </w:p>
    <w:p>
      <w:pPr>
        <w:pStyle w:val="BookText"/>
      </w:pPr>
      <w:r>
        <w:rPr>
          <w:rFonts w:ascii="Times New Roman" w:hAnsi="Times New Roman" w:eastAsia="Times New Roman" w:cs="Times New Roman"/>
          <w:lang w:val="en-US" w:bidi="en-US"/>
          <w:color w:val="111111"/>
          <w:sz w:val="28"/>
          <w:szCs w:val="28"/>
          <w:rtl/>
        </w:rPr>
        <w:t xml:space="preserve">at-tibyān</w:t>
      </w:r>
    </w:p>
    <w:p>
      <w:pPr>
        <w:pStyle w:val="BookText"/>
      </w:pPr>
      <w:r>
        <w:rPr>
          <w:rFonts w:ascii="IRNazanin" w:hAnsi="IRNazanin" w:eastAsia="IRNazanin" w:cs="IRNazanin"/>
          <w:lang w:bidi="fa-IR"/>
          <w:color w:val="111111"/>
          <w:sz w:val="28"/>
          <w:szCs w:val="28"/>
          <w:rtl/>
        </w:rPr>
        <w:t xml:space="preserve">کتاب در شناخت آلت شکاذیه و استخراج وقت تمام شهرها، مرتب بر «مقدمه» و ۲۴ «فصل»، در مقدمه دو بحث است: ۱. معرفت درجه شمس؛ ۲. معرفت رسوم آلت شکاریه، فصل اول في معرفة اخذ الارتفاع و فصل ۲۴ في معرفة الطالع.</w:t>
      </w:r>
    </w:p>
    <w:p>
      <w:pPr>
        <w:pStyle w:val="BookText"/>
      </w:pPr>
      <w:r>
        <w:rPr>
          <w:rFonts w:ascii="IRNazanin" w:hAnsi="IRNazanin" w:eastAsia="IRNazanin" w:cs="IRNazanin"/>
          <w:lang w:bidi="fa-IR"/>
          <w:color w:val="111111"/>
          <w:sz w:val="28"/>
          <w:szCs w:val="28"/>
          <w:rtl/>
        </w:rPr>
        <w:t xml:space="preserve">مشهد، الهیات؛ شماره نسخه:۵۶۶/۵</w:t>
      </w:r>
    </w:p>
    <w:p>
      <w:pPr>
        <w:pStyle w:val="BookText"/>
      </w:pPr>
      <w:r>
        <w:rPr>
          <w:rFonts w:ascii="IRNazanin" w:hAnsi="IRNazanin" w:eastAsia="IRNazanin" w:cs="IRNazanin"/>
          <w:lang w:bidi="fa-IR"/>
          <w:color w:val="111111"/>
          <w:sz w:val="28"/>
          <w:szCs w:val="28"/>
          <w:rtl/>
        </w:rPr>
        <w:t xml:space="preserve">آغاز: الحمدلله رب العالمين ... اما بعد فهذا مختصر في معرفة العمل بالآلة الشريفة الجامعه المعروفة بالشكاذيه صنفته لبعض الاحباء؛ انجام: و هو السابع و العاشر هو المتوسط و نظيره الرابع و الله سبحانه و تعالی اعلم خط: نسخ، كان محمد قطری، بی تا، کاغذ فرنگی؛ جلد: تیماج سبز، ۶گ، ۲۴-۲۲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۱-۵۲۶]</w:t>
      </w:r>
    </w:p>
    <w:p>
      <w:pPr>
        <w:pStyle w:val="Heading3"/>
      </w:pPr>
      <w:bookmarkStart w:id="2944" w:name="_Toc2204"/>
      <w:r>
        <w:t>•تبیان الاصول / اصول فقه / عربی</w:t>
      </w:r>
      <w:bookmarkEnd w:id="2944"/>
    </w:p>
    <w:p>
      <w:pPr>
        <w:pStyle w:val="BookText"/>
      </w:pPr>
      <w:r>
        <w:rPr>
          <w:rFonts w:ascii="Times New Roman" w:hAnsi="Times New Roman" w:eastAsia="Times New Roman" w:cs="Times New Roman"/>
          <w:lang w:val="en-US" w:bidi="en-US"/>
          <w:color w:val="111111"/>
          <w:sz w:val="28"/>
          <w:szCs w:val="28"/>
          <w:rtl/>
        </w:rPr>
        <w:t xml:space="preserve">tibyān-ul usūl</w:t>
      </w:r>
    </w:p>
    <w:p>
      <w:pPr>
        <w:pStyle w:val="BookText"/>
      </w:pPr>
      <w:r>
        <w:rPr>
          <w:rFonts w:ascii="IRNazanin" w:hAnsi="IRNazanin" w:eastAsia="IRNazanin" w:cs="IRNazanin"/>
          <w:lang w:bidi="fa-IR"/>
          <w:color w:val="111111"/>
          <w:sz w:val="28"/>
          <w:szCs w:val="28"/>
          <w:rtl/>
        </w:rPr>
        <w:t xml:space="preserve">حسینی علوی، نظام الدین، ق۱۳ قمری</w:t>
      </w:r>
    </w:p>
    <w:p>
      <w:pPr>
        <w:pStyle w:val="BookText"/>
      </w:pPr>
      <w:r>
        <w:rPr>
          <w:rFonts w:ascii="Times New Roman" w:hAnsi="Times New Roman" w:eastAsia="Times New Roman" w:cs="Times New Roman"/>
          <w:lang w:val="en-US" w:bidi="en-US"/>
          <w:color w:val="111111"/>
          <w:sz w:val="28"/>
          <w:szCs w:val="28"/>
          <w:rtl/>
        </w:rPr>
        <w:t xml:space="preserve">hoseynī a‘lavī, nezām-od-dīn (-19c)</w:t>
      </w:r>
    </w:p>
    <w:p>
      <w:pPr>
        <w:pStyle w:val="BookText"/>
      </w:pPr>
      <w:r>
        <w:rPr>
          <w:rFonts w:ascii="IRNazanin" w:hAnsi="IRNazanin" w:eastAsia="IRNazanin" w:cs="IRNazanin"/>
          <w:lang w:bidi="fa-IR"/>
          <w:color w:val="111111"/>
          <w:sz w:val="28"/>
          <w:szCs w:val="28"/>
          <w:rtl/>
        </w:rPr>
        <w:t xml:space="preserve">تاریخ تأليف: ۱۲۶۰ق؛ محل تألیف: کربلا کتابی است نسبتا مفصل در اصول فقه با رد و ایرادات بسیار و غالبا بدون تصریح به نام قائل، در پنج مجلد و چند مسلک. مؤلف پس از استفاده از دروس استادش سید ابراهیم بن سید محمد باقر موسوی قزوینی حائری، صاحب ضوابط (- ۱۲۶۲ ) و مراجعات خصوصی به وی و مراجعه نوشته های او، با توجه به دیگر مصنفات علماء و آراء و نظریات خودش نگاشته و مطالبی نیز که در تالیفات دیگر بیان نشده افزوده است.</w:t>
      </w:r>
    </w:p>
    <w:p>
      <w:pPr>
        <w:pStyle w:val="BookText"/>
      </w:pPr>
      <w:r>
        <w:rPr>
          <w:rFonts w:ascii="IRNazanin" w:hAnsi="IRNazanin" w:eastAsia="IRNazanin" w:cs="IRNazanin"/>
          <w:lang w:bidi="fa-IR"/>
          <w:color w:val="111111"/>
          <w:sz w:val="28"/>
          <w:szCs w:val="28"/>
          <w:rtl/>
        </w:rPr>
        <w:t xml:space="preserve">آغاز: بسمله الحمد لمن شید قواعد الفروع و فوائد الاصول و فنن قوانين المدارک و مسالک الفصول ... و رتبته على مقدمه و مسالک و خاتمة مشتملة على مطالب لم يشر الى جلها الفحول من علماء الأصول</w:t>
      </w:r>
    </w:p>
    <w:p>
      <w:pPr>
        <w:pStyle w:val="BookText"/>
      </w:pPr>
      <w:r>
        <w:rPr>
          <w:rFonts w:ascii="IRNazanin" w:hAnsi="IRNazanin" w:eastAsia="IRNazanin" w:cs="IRNazanin"/>
          <w:lang w:bidi="fa-IR"/>
          <w:color w:val="111111"/>
          <w:sz w:val="28"/>
          <w:szCs w:val="28"/>
          <w:rtl/>
        </w:rPr>
        <w:t xml:space="preserve">[دنا ۷۷۵/۲ ]</w:t>
      </w:r>
    </w:p>
    <w:p>
      <w:pPr>
        <w:pStyle w:val="BookText"/>
      </w:pPr>
      <w:r>
        <w:rPr>
          <w:rFonts w:ascii="IRNazanin" w:hAnsi="IRNazanin" w:eastAsia="IRNazanin" w:cs="IRNazanin"/>
          <w:lang w:bidi="fa-IR"/>
          <w:color w:val="111111"/>
          <w:sz w:val="28"/>
          <w:szCs w:val="28"/>
          <w:rtl/>
        </w:rPr>
        <w:t xml:space="preserve">١. مشهد؛ گوهرشاد؛ شماره نسخه:۱۲۲۶</w:t>
      </w:r>
    </w:p>
    <w:p>
      <w:pPr>
        <w:pStyle w:val="BookText"/>
      </w:pPr>
      <w:r>
        <w:rPr>
          <w:rFonts w:ascii="IRNazanin" w:hAnsi="IRNazanin" w:eastAsia="IRNazanin" w:cs="IRNazanin"/>
          <w:lang w:bidi="fa-IR"/>
          <w:color w:val="111111"/>
          <w:sz w:val="28"/>
          <w:szCs w:val="28"/>
          <w:rtl/>
        </w:rPr>
        <w:t xml:space="preserve">آغاز: بسمله الحمد لمن شید قواعد الفروع و فوائد الاصول و فنن قوانين المدارک و مسالک الفصول ... و رتبته على مقدمه و مسالک و خاتمة مشتملة على مطالب لم يشرالی جلها الفحول من علماء الأصول؛ انجام: لكونه تصرف في مال الغير بغير اذنه فلا يكون من باب المفهوم قد تمت مجلد الأول في مشهد مولانا ابی عبدالله الحسین(عليه السلام) ...</w:t>
      </w:r>
    </w:p>
    <w:p>
      <w:pPr>
        <w:pStyle w:val="BookText"/>
      </w:pPr>
      <w:r>
        <w:rPr>
          <w:rFonts w:ascii="IRNazanin" w:hAnsi="IRNazanin" w:eastAsia="IRNazanin" w:cs="IRNazanin"/>
          <w:lang w:bidi="fa-IR"/>
          <w:color w:val="111111"/>
          <w:sz w:val="28"/>
          <w:szCs w:val="28"/>
          <w:rtl/>
        </w:rPr>
        <w:t xml:space="preserve">جلد اول، در مباحث الفاظ تا مفاهیم؛ خط: نسخ، كا: محمد باقر بن محمد على حمصی حائری، بی تا؛ تملک با مهر «سلطان العلماء جعفر بن محمد» (چهار گوشه)؛ کاغذ: آهار مهره، جلد: تیماج سرخ، ۲۶ سطر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۴-۱۸۶۱]</w:t>
      </w:r>
    </w:p>
    <w:p>
      <w:pPr>
        <w:pStyle w:val="BookText"/>
      </w:pPr>
      <w:r>
        <w:rPr>
          <w:rFonts w:ascii="IRNazanin" w:hAnsi="IRNazanin" w:eastAsia="IRNazanin" w:cs="IRNazanin"/>
          <w:lang w:bidi="fa-IR"/>
          <w:color w:val="111111"/>
          <w:sz w:val="28"/>
          <w:szCs w:val="28"/>
          <w:rtl/>
        </w:rPr>
        <w:t xml:space="preserve">قم، مرکز احیاء؛ شماره نسخه:۱۴۷۳</w:t>
      </w:r>
    </w:p>
    <w:p>
      <w:pPr>
        <w:pStyle w:val="BookText"/>
      </w:pPr>
      <w:r>
        <w:rPr>
          <w:rFonts w:ascii="IRNazanin" w:hAnsi="IRNazanin" w:eastAsia="IRNazanin" w:cs="IRNazanin"/>
          <w:lang w:bidi="fa-IR"/>
          <w:color w:val="111111"/>
          <w:sz w:val="28"/>
          <w:szCs w:val="28"/>
          <w:rtl/>
        </w:rPr>
        <w:t xml:space="preserve">نسخه اصل: همان نسخه بالا [عکسی ف: ۴-۲۹۹]</w:t>
      </w:r>
    </w:p>
    <w:p>
      <w:pPr>
        <w:pStyle w:val="BookText"/>
      </w:pPr>
      <w:r>
        <w:rPr>
          <w:rFonts w:ascii="IRNazanin" w:hAnsi="IRNazanin" w:eastAsia="IRNazanin" w:cs="IRNazanin"/>
          <w:lang w:bidi="fa-IR"/>
          <w:color w:val="111111"/>
          <w:sz w:val="28"/>
          <w:szCs w:val="28"/>
          <w:rtl/>
        </w:rPr>
        <w:t xml:space="preserve">۲. مشهد؛ گوهرشاد؛ شماره نسخه: ۱۲۱۱</w:t>
      </w:r>
    </w:p>
    <w:p>
      <w:pPr>
        <w:pStyle w:val="BookText"/>
      </w:pPr>
      <w:r>
        <w:rPr>
          <w:rFonts w:ascii="Amiri" w:hAnsi="Amiri" w:eastAsia="Amiri" w:cs="Amiri"/>
          <w:lang w:bidi="ar-SA"/>
          <w:color w:val="111111"/>
          <w:sz w:val="28"/>
          <w:szCs w:val="28"/>
          <w:rtl/>
        </w:rPr>
        <w:t xml:space="preserve">آغاز: بسمله المسلك الثالث في العام و الخاص و فيه مفتاحان. المفتاح الاول في العام تبيان في تعريف العام؛ انجام: بعد وضوح المرام بالقراين الواضحة التي ... فلا يحتاج الى تطويل القيل و القال الذي صدر عن جل من علماء الاعلام.</w:t>
      </w:r>
    </w:p>
    <w:p>
      <w:pPr>
        <w:pStyle w:val="BookText"/>
      </w:pPr>
      <w:r>
        <w:rPr>
          <w:rFonts w:ascii="IRNazanin" w:hAnsi="IRNazanin" w:eastAsia="IRNazanin" w:cs="IRNazanin"/>
          <w:lang w:bidi="fa-IR"/>
          <w:color w:val="111111"/>
          <w:sz w:val="28"/>
          <w:szCs w:val="28"/>
          <w:rtl/>
        </w:rPr>
        <w:t xml:space="preserve">جلد دوم، از مبحث عام و خاص تا تسامح در ادله سنن؛ خط: نسخ، كا: محمد باقر بن محمد على حمصی حائری، بی تا، تملک با مهر «جعفر بن محمد سلطان العلماء» (چهار گوشه)، کاغذ: فرنگی آهار مهره، جلد: تیماج سرخ، ۵۱۹ص، ۲۵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۴-۱۸۵۴]</w:t>
      </w:r>
    </w:p>
    <w:p>
      <w:pPr>
        <w:pStyle w:val="BookText"/>
      </w:pPr>
      <w:r>
        <w:rPr>
          <w:rFonts w:ascii="IRNazanin" w:hAnsi="IRNazanin" w:eastAsia="IRNazanin" w:cs="IRNazanin"/>
          <w:lang w:bidi="fa-IR"/>
          <w:color w:val="111111"/>
          <w:sz w:val="28"/>
          <w:szCs w:val="28"/>
          <w:rtl/>
        </w:rPr>
        <w:t xml:space="preserve">قم: مرکز احیاء؛ شماره نسخه:۱۴۷۴</w:t>
      </w:r>
    </w:p>
    <w:p>
      <w:pPr>
        <w:pStyle w:val="BookText"/>
      </w:pPr>
      <w:r>
        <w:rPr>
          <w:rFonts w:ascii="IRNazanin" w:hAnsi="IRNazanin" w:eastAsia="IRNazanin" w:cs="IRNazanin"/>
          <w:lang w:bidi="fa-IR"/>
          <w:color w:val="111111"/>
          <w:sz w:val="28"/>
          <w:szCs w:val="28"/>
          <w:rtl/>
        </w:rPr>
        <w:t xml:space="preserve">نسخه اصل: همان نسخه بالا [عکسی ف: ۴-۳۰۰]</w:t>
      </w:r>
    </w:p>
    <w:p>
      <w:pPr>
        <w:pStyle w:val="BookText"/>
      </w:pPr>
      <w:r>
        <w:rPr>
          <w:rFonts w:ascii="IRNazanin" w:hAnsi="IRNazanin" w:eastAsia="IRNazanin" w:cs="IRNazanin"/>
          <w:lang w:bidi="fa-IR"/>
          <w:color w:val="111111"/>
          <w:sz w:val="28"/>
          <w:szCs w:val="28"/>
          <w:rtl/>
        </w:rPr>
        <w:t xml:space="preserve">٣. مشهد؛ گوهرشاد؛ شماره نسخه:۱۲۰۵</w:t>
      </w:r>
    </w:p>
    <w:p>
      <w:pPr>
        <w:pStyle w:val="BookText"/>
      </w:pPr>
      <w:r>
        <w:rPr>
          <w:rFonts w:ascii="IRNazanin" w:hAnsi="IRNazanin" w:eastAsia="IRNazanin" w:cs="IRNazanin"/>
          <w:lang w:bidi="fa-IR"/>
          <w:color w:val="111111"/>
          <w:sz w:val="28"/>
          <w:szCs w:val="28"/>
          <w:rtl/>
        </w:rPr>
        <w:t xml:space="preserve">آغاز: بسمله المسلك السادس في الأدلة العقلية و لما تكون الأدلة التي يستنبط الفقيه منها الأحكام الفرعية منحصرة غالبا في الاربعه و هي الكتاب و السنة و الاجماع و العقل و هذا الفن يكون متكفلا البيان احوالها العارضة لها بلا واسطة أو معها و مضى الكلام في الثلثة الأولية منها مفصلا في المسلک الخامس وهو الأدلة الشرعية لكونها المراد منها فاعطفنا عنان الكلام الى تنقيح رابعها و هو العقل فهذا المسلك الذي يكون سادس المسالک؛ انجام: فالارجح بتقديم الراجح على المرجوح لولا الا رجح على الراجح فلنقطع الكلام ...
</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bookmarkStart w:id="669" w:name="pg20363_210015"/>
    <w:bookmarkEnd w:id="669"/>
    <w:p>
      <w:pPr>
        <w:pStyle w:val="BookText"/>
      </w:pPr>
      <w:r>
        <w:rPr>
          <w:rFonts w:ascii="IRNazanin" w:hAnsi="IRNazanin" w:eastAsia="IRNazanin" w:cs="IRNazanin"/>
          <w:lang w:bidi="fa-IR"/>
          <w:color w:val="111111"/>
          <w:sz w:val="28"/>
          <w:szCs w:val="28"/>
          <w:rtl/>
        </w:rPr>
        <w:t xml:space="preserve">جلد ۳، از مسلک ششم در ادله عقلیه تا آخر مبحث تعادل و تراجیح، مطالب تحت عنوان «تبیان» آمده؛ خط: نسخ، كا: محمد باقر بن محمد على حمصی حائری، تا: سه شنبه ۹ رجب ۱۲۶۹ق؛ تملک با مهر «جعفر بن محمد سلطان العلماء» (چهار گوشه)؛ کاغذ آهار مهره، جلد: تیماج سرخ، ۵۲۹ص، ۲۶ سطر (۱۱/۵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۲۰/۵ )،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w:t>
      </w:r>
    </w:p>
    <w:p>
      <w:pPr>
        <w:pStyle w:val="BookText"/>
      </w:pPr>
      <w:r>
        <w:rPr>
          <w:rFonts w:ascii="IRNazanin" w:hAnsi="IRNazanin" w:eastAsia="IRNazanin" w:cs="IRNazanin"/>
          <w:lang w:bidi="fa-IR"/>
          <w:color w:val="111111"/>
          <w:sz w:val="28"/>
          <w:szCs w:val="28"/>
          <w:rtl/>
        </w:rPr>
        <w:t xml:space="preserve">[ف: ۴-۱۸۵۰]</w:t>
      </w:r>
    </w:p>
    <w:p>
      <w:pPr>
        <w:pStyle w:val="BookText"/>
      </w:pPr>
      <w:r>
        <w:rPr>
          <w:rFonts w:ascii="IRNazanin" w:hAnsi="IRNazanin" w:eastAsia="IRNazanin" w:cs="IRNazanin"/>
          <w:lang w:bidi="fa-IR"/>
          <w:color w:val="111111"/>
          <w:sz w:val="28"/>
          <w:szCs w:val="28"/>
          <w:rtl/>
        </w:rPr>
        <w:t xml:space="preserve">قم: مرکز احیاء؛ شماره نسخه:۱۴۷۵</w:t>
      </w:r>
    </w:p>
    <w:p>
      <w:pPr>
        <w:pStyle w:val="BookText"/>
      </w:pPr>
      <w:r>
        <w:rPr>
          <w:rFonts w:ascii="IRNazanin" w:hAnsi="IRNazanin" w:eastAsia="IRNazanin" w:cs="IRNazanin"/>
          <w:lang w:bidi="fa-IR"/>
          <w:color w:val="111111"/>
          <w:sz w:val="28"/>
          <w:szCs w:val="28"/>
          <w:rtl/>
        </w:rPr>
        <w:t xml:space="preserve">نسخه اصل: همان نسخه بالا [عکسی ف: ۴-۳۰۰]</w:t>
      </w:r>
    </w:p>
    <w:p>
      <w:pPr>
        <w:pStyle w:val="BookText"/>
      </w:pPr>
      <w:r>
        <w:rPr>
          <w:rFonts w:ascii="IRNazanin" w:hAnsi="IRNazanin" w:eastAsia="IRNazanin" w:cs="IRNazanin"/>
          <w:lang w:bidi="fa-IR"/>
          <w:color w:val="111111"/>
          <w:sz w:val="28"/>
          <w:szCs w:val="28"/>
          <w:rtl/>
        </w:rPr>
        <w:t xml:space="preserve">۴. قم؛ مرکز احیاء؛ شماره نسخه: ۱۳۲ و عکسی ۶۷۸</w:t>
      </w:r>
    </w:p>
    <w:p>
      <w:pPr>
        <w:pStyle w:val="BookText"/>
      </w:pPr>
      <w:r>
        <w:rPr>
          <w:rFonts w:ascii="IRNazanin" w:hAnsi="IRNazanin" w:eastAsia="IRNazanin" w:cs="IRNazanin"/>
          <w:lang w:bidi="fa-IR"/>
          <w:color w:val="111111"/>
          <w:sz w:val="28"/>
          <w:szCs w:val="28"/>
          <w:rtl/>
        </w:rPr>
        <w:t xml:space="preserve">آغاز: المسلك الثالث في العام و الخاص و فيه مفتاحان المفتاح الأول في العام، الكلام في تعريف العام جلد سوم از پنج جلد است دارای این مسالک می باشد: المسلک الثالث: في العام و الخاص، المسلك الرابع: في المجمل و المبين، المسلك الخامس: في الأدلة الشرعية. تذکر: نام و مؤلف كتاب به استناد نسخه ش ۱۲۱۱ گوهرشاد ذکر شد؛ خط: نستعلیق، كان جعفر بن محمد رفیع گیلانی حائری، بی تاب جا: کربلا؛ محشی بهبا نشان «منه»، «منه ره» و «الأستاد»، «ج» (احتمالا شیخ جعفر کاتب نسخه)، وقفنامه کتاب به خط کاتب نسخه به تاریخ ۱۲۵۵؛ جلد: گالینگور مشکی، ۱۸۳ گ، ۲۱ سطر، اندازه: ۱۵/۵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۱۸۴-۱ ] و [عکسی ف: ۲-۳۱۰]</w:t>
      </w:r>
    </w:p>
    <w:p>
      <w:pPr>
        <w:pStyle w:val="Heading3"/>
      </w:pPr>
      <w:bookmarkStart w:id="2945" w:name="_Toc2205"/>
      <w:r>
        <w:t>•تبیان الأوقات / فقه / عربی</w:t>
      </w:r>
      <w:bookmarkEnd w:id="2945"/>
    </w:p>
    <w:p>
      <w:pPr>
        <w:pStyle w:val="BookText"/>
      </w:pPr>
      <w:r>
        <w:rPr>
          <w:rFonts w:ascii="Times New Roman" w:hAnsi="Times New Roman" w:eastAsia="Times New Roman" w:cs="Times New Roman"/>
          <w:lang w:val="en-US" w:bidi="en-US"/>
          <w:color w:val="111111"/>
          <w:sz w:val="28"/>
          <w:szCs w:val="28"/>
          <w:rtl/>
        </w:rPr>
        <w:t xml:space="preserve">tibyān-ul awqāt</w:t>
      </w:r>
    </w:p>
    <w:p>
      <w:pPr>
        <w:pStyle w:val="BookText"/>
      </w:pPr>
      <w:r>
        <w:rPr>
          <w:rFonts w:ascii="IRNazanin" w:hAnsi="IRNazanin" w:eastAsia="IRNazanin" w:cs="IRNazanin"/>
          <w:lang w:bidi="fa-IR"/>
          <w:color w:val="111111"/>
          <w:sz w:val="28"/>
          <w:szCs w:val="28"/>
          <w:rtl/>
        </w:rPr>
        <w:t xml:space="preserve">اردبیلی، محمد حسین بن الله وردی، ق ۱۱ قمری</w:t>
      </w:r>
    </w:p>
    <w:p>
      <w:pPr>
        <w:pStyle w:val="BookText"/>
      </w:pPr>
      <w:r>
        <w:rPr>
          <w:rFonts w:ascii="Times New Roman" w:hAnsi="Times New Roman" w:eastAsia="Times New Roman" w:cs="Times New Roman"/>
          <w:lang w:val="en-US" w:bidi="en-US"/>
          <w:color w:val="111111"/>
          <w:sz w:val="28"/>
          <w:szCs w:val="28"/>
          <w:rtl/>
        </w:rPr>
        <w:t xml:space="preserve">ardabīlī, mohammad hoseyn ebn-e al-lāh-vīrdī (-17c)</w:t>
      </w:r>
    </w:p>
    <w:p>
      <w:pPr>
        <w:pStyle w:val="BookText"/>
      </w:pPr>
      <w:r>
        <w:rPr>
          <w:rFonts w:ascii="IRNazanin" w:hAnsi="IRNazanin" w:eastAsia="IRNazanin" w:cs="IRNazanin"/>
          <w:lang w:bidi="fa-IR"/>
          <w:color w:val="111111"/>
          <w:sz w:val="28"/>
          <w:szCs w:val="28"/>
          <w:rtl/>
        </w:rPr>
        <w:t xml:space="preserve">کتابی فقهی در بیان وقت نمازهای واجب و مستحب و چگونگی شناخت وقتها و مسائل فقهی و احادیث و روایاتی که بدان ها در این موضوع نیاز باشد، با فواید ریاضی و نجومی مناسب مسائل و ترسیم اشکال و جداول که به دستور استاد خود همنام پنجمین امام از اهل بیت (علیهم السلام) (محمد باقر)، در دو «مشرق» و سه «درجه» با عناوینی چون «مطلع، صفيحه، اشراق، اصباح، تنویر، درجه، دقیقه، لمعه» و یک «خاتمه» ساخته است: المشرق الأول: فيما يناسب الرسالة من الرياضيات، شش مطلع؛ المشرق الثاني: فيما يتعلق بالرسالة من الفقيهات، پنج مطلع؛ الدرجة الأولى: في وقت فرض الظهرین و نوافلهما؛ الدرجة الثانية: في وقت فرض العشائين و النوافل؛ الدرجة الثالثة: في وقت فريضة الغداة و نافلتها الخاتمة: في الأوقات المكروهة و اوقات سائر الصلوات. (سید احمد اشکوری)</w:t>
      </w:r>
    </w:p>
    <w:p>
      <w:pPr>
        <w:pStyle w:val="BookText"/>
      </w:pPr>
      <w:r>
        <w:rPr>
          <w:rFonts w:ascii="Amiri" w:hAnsi="Amiri" w:eastAsia="Amiri" w:cs="Amiri"/>
          <w:lang w:bidi="ar-SA"/>
          <w:color w:val="111111"/>
          <w:sz w:val="28"/>
          <w:szCs w:val="28"/>
          <w:rtl/>
        </w:rPr>
        <w:t xml:space="preserve">آغاز: الحمدلله الذي بقدرته فلق الاصباح و اغطش الليل كما عطس انف الصباح و خلق الخليقة فقارن بين الأشباح و الأرواح.[ دنا ۷۷۵/۲ ]</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حاشية تبيان الاوقات؛ اردبیلی، محمد حسین بن الله وبردی (۱۱)</w:t>
      </w:r>
    </w:p>
    <w:p>
      <w:pPr>
        <w:pStyle w:val="BookText"/>
      </w:pPr>
      <w:r>
        <w:rPr>
          <w:rFonts w:ascii="IRNazanin" w:hAnsi="IRNazanin" w:eastAsia="IRNazanin" w:cs="IRNazanin"/>
          <w:lang w:bidi="fa-IR"/>
          <w:color w:val="111111"/>
          <w:sz w:val="28"/>
          <w:szCs w:val="28"/>
          <w:rtl/>
        </w:rPr>
        <w:t xml:space="preserve">۱. تهران؛ مجلس؛ شماره نسخه: ۱۱۴۰۶/۲</w:t>
      </w:r>
    </w:p>
    <w:p>
      <w:pPr>
        <w:pStyle w:val="BookText"/>
      </w:pPr>
      <w:r>
        <w:rPr>
          <w:rFonts w:ascii="Amiri" w:hAnsi="Amiri" w:eastAsia="Amiri" w:cs="Amiri"/>
          <w:lang w:bidi="ar-SA"/>
          <w:color w:val="111111"/>
          <w:sz w:val="28"/>
          <w:szCs w:val="28"/>
          <w:rtl/>
        </w:rPr>
        <w:t xml:space="preserve">آغاز: برابر؛ انجام: لان الظاهر منه أن الأول صدر عن تقيه وفي الاستبصار جواز حمله على التقيه. تمت.</w:t>
      </w:r>
    </w:p>
    <w:p>
      <w:pPr>
        <w:pStyle w:val="BookText"/>
      </w:pPr>
      <w:r>
        <w:rPr>
          <w:rFonts w:ascii="IRNazanin" w:hAnsi="IRNazanin" w:eastAsia="IRNazanin" w:cs="IRNazanin"/>
          <w:lang w:bidi="fa-IR"/>
          <w:color w:val="111111"/>
          <w:sz w:val="28"/>
          <w:szCs w:val="28"/>
          <w:rtl/>
        </w:rPr>
        <w:t xml:space="preserve">خط: نسخ، بی کا، تا: قرن ۱۱ و ۱۲؛ محشی با امضای «منه سلمه الله»؛ جلد: تیماج قهوه ای، ۱۹۵ ، ۱۸ سطر،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۳۳/۲ -۱۱۴]</w:t>
      </w:r>
    </w:p>
    <w:p>
      <w:pPr>
        <w:pStyle w:val="BookText"/>
      </w:pPr>
      <w:r>
        <w:rPr>
          <w:rFonts w:ascii="IRNazanin" w:hAnsi="IRNazanin" w:eastAsia="IRNazanin" w:cs="IRNazanin"/>
          <w:lang w:bidi="fa-IR"/>
          <w:color w:val="111111"/>
          <w:sz w:val="28"/>
          <w:szCs w:val="28"/>
          <w:rtl/>
        </w:rPr>
        <w:t xml:space="preserve">۲. قم؛ مرعشی؛ شماره نسخه:۱۰۸۷۸</w:t>
      </w:r>
    </w:p>
    <w:p>
      <w:pPr>
        <w:pStyle w:val="BookText"/>
      </w:pPr>
      <w:r>
        <w:rPr>
          <w:rFonts w:ascii="IRNazanin" w:hAnsi="IRNazanin" w:eastAsia="IRNazanin" w:cs="IRNazanin"/>
          <w:lang w:bidi="fa-IR"/>
          <w:color w:val="111111"/>
          <w:sz w:val="28"/>
          <w:szCs w:val="28"/>
          <w:rtl/>
        </w:rPr>
        <w:t xml:space="preserve">خط: نستعلیق، بی کا، تا: قرن ۱۲؛ مصحح، مقابله شده؛ قطع: وزیری [میراث شهاب: س وش ۲-۵]</w:t>
      </w:r>
    </w:p>
    <w:p>
      <w:pPr>
        <w:pStyle w:val="BookText"/>
      </w:pPr>
      <w:r>
        <w:rPr>
          <w:rFonts w:ascii="IRNazanin" w:hAnsi="IRNazanin" w:eastAsia="IRNazanin" w:cs="IRNazanin"/>
          <w:lang w:bidi="fa-IR"/>
          <w:color w:val="111111"/>
          <w:sz w:val="28"/>
          <w:szCs w:val="28"/>
          <w:rtl/>
        </w:rPr>
        <w:t xml:space="preserve">٣. قم: مرکز احیاء؛ شماره نسخه:۱۷۲۵</w:t>
      </w:r>
    </w:p>
    <w:p>
      <w:pPr>
        <w:pStyle w:val="BookText"/>
      </w:pPr>
      <w:r>
        <w:rPr>
          <w:rFonts w:ascii="IRNazanin" w:hAnsi="IRNazanin" w:eastAsia="IRNazanin" w:cs="IRNazanin"/>
          <w:lang w:bidi="fa-IR"/>
          <w:color w:val="111111"/>
          <w:sz w:val="28"/>
          <w:szCs w:val="28"/>
          <w:rtl/>
        </w:rPr>
        <w:t xml:space="preserve">آغاز: برابر؛ انجام: المشهور بين الأصحاب أن لكل صلاة وقتين موسعين لكل منها خط: نسخ خوش، بی کا، تا: قرن ۱۲؛ افتادگی: انجام؛ جلد: مقوایی عطف پارچه مشکی، ۱۶۶گی، ۱۵ سطر، اندازه: ۲۴/۵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 [ف: ۱۲۸-۵ ]</w:t>
      </w:r>
    </w:p>
    <w:p>
      <w:pPr>
        <w:pStyle w:val="BookText"/>
      </w:pPr>
      <w:r>
        <w:rPr>
          <w:rFonts w:ascii="IRNazanin" w:hAnsi="IRNazanin" w:eastAsia="IRNazanin" w:cs="IRNazanin"/>
          <w:lang w:bidi="fa-IR"/>
          <w:color w:val="111111"/>
          <w:sz w:val="28"/>
          <w:szCs w:val="28"/>
          <w:rtl/>
        </w:rPr>
        <w:t xml:space="preserve">۴. قم؛ مهدوی (کتابخانه)؛ شماره نسخه:بدون شماره</w:t>
      </w:r>
    </w:p>
    <w:p>
      <w:pPr>
        <w:pStyle w:val="BookText"/>
      </w:pPr>
      <w:r>
        <w:rPr>
          <w:rFonts w:ascii="IRNazanin" w:hAnsi="IRNazanin" w:eastAsia="IRNazanin" w:cs="IRNazanin"/>
          <w:lang w:bidi="fa-IR"/>
          <w:color w:val="111111"/>
          <w:sz w:val="28"/>
          <w:szCs w:val="28"/>
          <w:rtl/>
        </w:rPr>
        <w:t xml:space="preserve">آغاز: برابر بی کا، تا: عصر مؤلف؛ در کتابت ناتمام ؛ مصحح، محشی [ تراثنا: س ۱۸ ش ۱ و ۲-۲۰۷]</w:t>
      </w:r>
    </w:p>
    <w:p>
      <w:pPr>
        <w:pStyle w:val="Heading3"/>
      </w:pPr>
      <w:bookmarkStart w:id="2946" w:name="_Toc2206"/>
      <w:r>
        <w:t>•تبیان البيان في قواعد القرآن / تجوید / فارسی</w:t>
      </w:r>
      <w:bookmarkEnd w:id="2946"/>
    </w:p>
    <w:p>
      <w:pPr>
        <w:pStyle w:val="BookText"/>
      </w:pPr>
      <w:r>
        <w:rPr>
          <w:rFonts w:ascii="Times New Roman" w:hAnsi="Times New Roman" w:eastAsia="Times New Roman" w:cs="Times New Roman"/>
          <w:lang w:val="en-US" w:bidi="en-US"/>
          <w:color w:val="111111"/>
          <w:sz w:val="28"/>
          <w:szCs w:val="28"/>
          <w:rtl/>
        </w:rPr>
        <w:t xml:space="preserve">tebyān-ol bayān fī qavā‘ed-el qor'ān</w:t>
      </w:r>
    </w:p>
    <w:p>
      <w:pPr>
        <w:pStyle w:val="BookText"/>
      </w:pPr>
      <w:r>
        <w:rPr>
          <w:rFonts w:ascii="IRNazanin" w:hAnsi="IRNazanin" w:eastAsia="IRNazanin" w:cs="IRNazanin"/>
          <w:lang w:bidi="fa-IR"/>
          <w:color w:val="111111"/>
          <w:sz w:val="28"/>
          <w:szCs w:val="28"/>
          <w:rtl/>
        </w:rPr>
        <w:t xml:space="preserve">زنجانی، محمد حسن بن قنبر علی، ۱۲۵۶ ق ۱۴ قمری</w:t>
      </w:r>
    </w:p>
    <w:p>
      <w:pPr>
        <w:pStyle w:val="BookText"/>
      </w:pPr>
      <w:r>
        <w:rPr>
          <w:rFonts w:ascii="Times New Roman" w:hAnsi="Times New Roman" w:eastAsia="Times New Roman" w:cs="Times New Roman"/>
          <w:lang w:val="en-US" w:bidi="en-US"/>
          <w:color w:val="111111"/>
          <w:sz w:val="28"/>
          <w:szCs w:val="28"/>
          <w:rtl/>
        </w:rPr>
        <w:t xml:space="preserve">zanjānī, mohammad hasan ebn-e qanbar ‘alī (1840 20c)</w:t>
      </w:r>
    </w:p>
    <w:p>
      <w:pPr>
        <w:pStyle w:val="BookText"/>
      </w:pPr>
      <w:r>
        <w:rPr>
          <w:rFonts w:ascii="IRNazanin" w:hAnsi="IRNazanin" w:eastAsia="IRNazanin" w:cs="IRNazanin"/>
          <w:lang w:bidi="fa-IR"/>
          <w:color w:val="111111"/>
          <w:sz w:val="28"/>
          <w:szCs w:val="28"/>
          <w:rtl/>
        </w:rPr>
        <w:t xml:space="preserve">تاريخ تأليف: دوشنبه ۲۷ رجب ۱۲۹۰ق؛ محل تالیف: زنجان</w:t>
      </w:r>
    </w:p>
    <w:p>
      <w:pPr>
        <w:pStyle w:val="BookText"/>
      </w:pPr>
      <w:r>
        <w:rPr>
          <w:rFonts w:ascii="IRNazanin" w:hAnsi="IRNazanin" w:eastAsia="IRNazanin" w:cs="IRNazanin"/>
          <w:lang w:bidi="fa-IR"/>
          <w:color w:val="111111"/>
          <w:sz w:val="28"/>
          <w:szCs w:val="28"/>
          <w:rtl/>
        </w:rPr>
        <w:t xml:space="preserve">در قواعد تجوید قرآن به روشی مفصل و وافی که در زنجان به سال ۱۲۸۵ مطابق جمله «رجفة المقاله» آغاز کرده و در نیمه شب دوشنبه ۲۷ رجب ۱۲۹۰ پایان یافته است. مشتمل بر شش «مقدمه) و ده «قاعده» و یک «خاتمه»: مقدمه ۱. تعریف و موضوع و فائده علم تجوید؛ مقدمه ۲. شرافت و فضیلت این علم؛ مقدمه ۳. بعضی نکات لازمه و شرایط این علم؛ مقدمه ۴. فوائد تجوید و قواعد ترتیل ؛ مقدمه ۵. تعریف و تعداد حروف؛ مقدمه ۶. عدد و اسماء دندانها؛ قاعده 1. مخارج حروف؛ قاعده ۲. استعاذه و بسمله؛ قاعده 3. انواع مد؛ قاعده ۴. اقسام ادغام؛ قاعده ۵. وقوف و انواع آن؛ قاعده ۶. تعريف قراء و قرائات؛ قاعده ۷. فضیلت قرآن و حامل آن؛ قاعده ۸ تقسیمات قرآنی؛ قاعده 9. تفصیل وقف النبي و وقف معانقه و لازم؛ قاعده ۱۰. فضايل سور؛ خاتمه: در فضل صلوات بر پیامبر و چگونگی لعن</w:t>
      </w:r>
    </w:p>
    <w:p>
      <w:pPr>
        <w:pStyle w:val="BookText"/>
      </w:pPr>
      <w:r>
        <w:rPr>
          <w:rFonts w:ascii="IRNazanin" w:hAnsi="IRNazanin" w:eastAsia="IRNazanin" w:cs="IRNazanin"/>
          <w:lang w:bidi="fa-IR"/>
          <w:color w:val="111111"/>
          <w:sz w:val="28"/>
          <w:szCs w:val="28"/>
          <w:rtl/>
        </w:rPr>
        <w:t xml:space="preserve">قم؛ مرعشی؛ شماره نسخه:۵۴۵۳</w:t>
      </w:r>
    </w:p>
    <w:p>
      <w:pPr>
        <w:pStyle w:val="BookText"/>
      </w:pPr>
      <w:r>
        <w:rPr>
          <w:rFonts w:ascii="IRNazanin" w:hAnsi="IRNazanin" w:eastAsia="IRNazanin" w:cs="IRNazanin"/>
          <w:lang w:bidi="fa-IR"/>
          <w:color w:val="111111"/>
          <w:sz w:val="28"/>
          <w:szCs w:val="28"/>
          <w:rtl/>
        </w:rPr>
        <w:t xml:space="preserve">آغاز: نحمدک یا من خلق الاشياء بالكاف و النون و صرح به في محكم كتابه المكنون ... أما بعد چنین گوید اقل الخليقه عملا؛
</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bookmarkStart w:id="670" w:name="pg20363_210016"/>
    <w:bookmarkEnd w:id="670"/>
    <w:p>
      <w:pPr>
        <w:pStyle w:val="BookText"/>
      </w:pPr>
      <w:r>
        <w:rPr>
          <w:rFonts w:ascii="IRNazanin" w:hAnsi="IRNazanin" w:eastAsia="IRNazanin" w:cs="IRNazanin"/>
          <w:lang w:bidi="fa-IR"/>
          <w:color w:val="111111"/>
          <w:sz w:val="28"/>
          <w:szCs w:val="28"/>
          <w:rtl/>
        </w:rPr>
        <w:t xml:space="preserve">انجام: گرانیده است طلاب جهان را ***به آب زر نویسنده این بیان را</w:t>
      </w:r>
    </w:p>
    <w:p>
      <w:pPr>
        <w:pStyle w:val="BookText"/>
      </w:pPr>
      <w:r>
        <w:rPr>
          <w:rFonts w:ascii="IRNazanin" w:hAnsi="IRNazanin" w:eastAsia="IRNazanin" w:cs="IRNazanin"/>
          <w:lang w:bidi="fa-IR"/>
          <w:color w:val="111111"/>
          <w:sz w:val="28"/>
          <w:szCs w:val="28"/>
          <w:rtl/>
        </w:rPr>
        <w:t xml:space="preserve">مقاله دوم از «مقولات عشر» مؤلف است که گویا مجموعة ده کتاب می باشد؛ خط: نسخ، كاتب = مؤلف، تا: سه شنبه ربيع الأول ۱۲۹۶ق، جان زنجان؛ مصحح، دارای چند تقريظ؛ جلد: تیماج مشکی، ۴۶۷گ، مختلف السطر،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۱۴-۲۳۵]</w:t>
      </w:r>
    </w:p>
    <w:p>
      <w:pPr>
        <w:pStyle w:val="Heading3"/>
      </w:pPr>
      <w:bookmarkStart w:id="2947" w:name="_Toc2207"/>
      <w:r>
        <w:t>•تبیان التقويم في علم التنجيم / هیئت فارسی</w:t>
      </w:r>
      <w:bookmarkEnd w:id="2947"/>
    </w:p>
    <w:p>
      <w:pPr>
        <w:pStyle w:val="BookText"/>
      </w:pPr>
      <w:r>
        <w:rPr>
          <w:rFonts w:ascii="Times New Roman" w:hAnsi="Times New Roman" w:eastAsia="Times New Roman" w:cs="Times New Roman"/>
          <w:lang w:val="en-US" w:bidi="en-US"/>
          <w:color w:val="111111"/>
          <w:sz w:val="28"/>
          <w:szCs w:val="28"/>
          <w:rtl/>
        </w:rPr>
        <w:t xml:space="preserve">tebyān-ot taqvīm fī ‘elm-et tanjīm</w:t>
      </w:r>
    </w:p>
    <w:p>
      <w:pPr>
        <w:pStyle w:val="BookText"/>
      </w:pPr>
      <w:r>
        <w:rPr>
          <w:rFonts w:ascii="IRNazanin" w:hAnsi="IRNazanin" w:eastAsia="IRNazanin" w:cs="IRNazanin"/>
          <w:lang w:bidi="fa-IR"/>
          <w:color w:val="111111"/>
          <w:sz w:val="28"/>
          <w:szCs w:val="28"/>
          <w:rtl/>
        </w:rPr>
        <w:t xml:space="preserve">کو کانی، عبدالعلی بن احمد، -۱۳۲۵ قمری</w:t>
      </w:r>
    </w:p>
    <w:p>
      <w:pPr>
        <w:pStyle w:val="BookText"/>
      </w:pPr>
      <w:r>
        <w:rPr>
          <w:rFonts w:ascii="Times New Roman" w:hAnsi="Times New Roman" w:eastAsia="Times New Roman" w:cs="Times New Roman"/>
          <w:lang w:val="en-US" w:bidi="en-US"/>
          <w:color w:val="111111"/>
          <w:sz w:val="28"/>
          <w:szCs w:val="28"/>
          <w:rtl/>
        </w:rPr>
        <w:t xml:space="preserve">kūkānī, “abd-ol-“alī ebn-e ahmad (-1907)</w:t>
      </w:r>
    </w:p>
    <w:p>
      <w:pPr>
        <w:pStyle w:val="BookText"/>
      </w:pPr>
      <w:r>
        <w:rPr>
          <w:rFonts w:ascii="IRNazanin" w:hAnsi="IRNazanin" w:eastAsia="IRNazanin" w:cs="IRNazanin"/>
          <w:lang w:bidi="fa-IR"/>
          <w:color w:val="111111"/>
          <w:sz w:val="28"/>
          <w:szCs w:val="28"/>
          <w:rtl/>
        </w:rPr>
        <w:t xml:space="preserve">نویسنده می گوید: «در اوان عهد جوانی در میان شباب زندگانی مشعوف بودم باخذ کردن علم نجوم که مشتمل است بر معرفت اوضاع اجرام علوی و محتویست بر حقیقت احوال اجرام سفلی تا اینکه بعضی از فوائد مضامین آن علم مستفيد و مستفیض شدم و اکثری از اخوان کرام و دوستان ذي العز و الاحترام خواهش نمودند که مختصری ازین علم که مشتمل باشد بر معرفت تقویم و بعضی فوائد دیگر باشد جمع نمایم لذا به جهت تفضيل مجملات و تبيين معضلات این فن این مختصر را از تصنيفات علماء مقدمین و از تألیفات فضلای متقدمین جمع نمودم». سپس او به علم حساب می پردازد و بعد سال های شمسی و قمری و یزدگردی و مسیحی و جلالی را بیان می کند و مبدأ هر یک را  می گوید و نیز از سال كبير و ساعات و ایام هفته و آن چیز که مربوط به تقویم است مطالبی می آورد. (عبدالله انوار)</w:t>
      </w:r>
    </w:p>
    <w:p>
      <w:pPr>
        <w:pStyle w:val="BookText"/>
      </w:pPr>
      <w:r>
        <w:rPr>
          <w:rFonts w:ascii="IRNazanin" w:hAnsi="IRNazanin" w:eastAsia="IRNazanin" w:cs="IRNazanin"/>
          <w:lang w:bidi="fa-IR"/>
          <w:color w:val="111111"/>
          <w:sz w:val="28"/>
          <w:szCs w:val="28"/>
          <w:rtl/>
        </w:rPr>
        <w:t xml:space="preserve">آغاز: بسمله، حمد و ثنا آفریدگایرا سزاست که کلک قدرت افلاک را انجام: بدائرة نصف النهار درین باب مشهور و معروف است و الله اعلم بحقایق الامور</w:t>
      </w:r>
    </w:p>
    <w:p>
      <w:pPr>
        <w:pStyle w:val="BookText"/>
      </w:pPr>
      <w:r>
        <w:rPr>
          <w:rFonts w:ascii="IRNazanin" w:hAnsi="IRNazanin" w:eastAsia="IRNazanin" w:cs="IRNazanin"/>
          <w:lang w:bidi="fa-IR"/>
          <w:color w:val="111111"/>
          <w:sz w:val="28"/>
          <w:szCs w:val="28"/>
          <w:rtl/>
        </w:rPr>
        <w:t xml:space="preserve">[دنا ۷۷۵/۲ ؛ فهرستواره منزوی ۲۸۳۸/۴ ]</w:t>
      </w:r>
    </w:p>
    <w:p>
      <w:pPr>
        <w:pStyle w:val="BookText"/>
      </w:pPr>
      <w:r>
        <w:rPr>
          <w:rFonts w:ascii="IRNazanin" w:hAnsi="IRNazanin" w:eastAsia="IRNazanin" w:cs="IRNazanin"/>
          <w:lang w:bidi="fa-IR"/>
          <w:color w:val="111111"/>
          <w:sz w:val="28"/>
          <w:szCs w:val="28"/>
          <w:rtl/>
        </w:rPr>
        <w:t xml:space="preserve">۱. تهران؛ ملی؛ شماره نسخه: ۳۰۰۹/۱</w:t>
      </w:r>
    </w:p>
    <w:p>
      <w:pPr>
        <w:pStyle w:val="BookText"/>
      </w:pPr>
      <w:r>
        <w:rPr>
          <w:rFonts w:ascii="IRNazanin" w:hAnsi="IRNazanin" w:eastAsia="IRNazanin" w:cs="IRNazanin"/>
          <w:lang w:bidi="fa-IR"/>
          <w:color w:val="111111"/>
          <w:sz w:val="28"/>
          <w:szCs w:val="28"/>
          <w:rtl/>
        </w:rPr>
        <w:t xml:space="preserve">آغاز و انجام: برابر كان محمد رضی بن محمد جعفر بن محمد رضی، تا: ۱۲۹۰ق؛ کاغذ: فرنگی، جلد: مقوایی میشن مشکی، ۴۰ ص (۱-۴۰)، ۱۵سطر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۶-۷۷۱]</w:t>
      </w:r>
    </w:p>
    <w:p>
      <w:pPr>
        <w:pStyle w:val="BookText"/>
      </w:pPr>
      <w:r>
        <w:rPr>
          <w:rFonts w:ascii="IRNazanin" w:hAnsi="IRNazanin" w:eastAsia="IRNazanin" w:cs="IRNazanin"/>
          <w:lang w:bidi="fa-IR"/>
          <w:color w:val="111111"/>
          <w:sz w:val="28"/>
          <w:szCs w:val="28"/>
          <w:rtl/>
        </w:rPr>
        <w:t xml:space="preserve">۲. مشهد؛ شیخ علی حیدر؛ شماره نسخه:۱۲۷۳</w:t>
      </w:r>
    </w:p>
    <w:p>
      <w:pPr>
        <w:pStyle w:val="BookText"/>
      </w:pPr>
      <w:r>
        <w:rPr>
          <w:rFonts w:ascii="IRNazanin" w:hAnsi="IRNazanin" w:eastAsia="IRNazanin" w:cs="IRNazanin"/>
          <w:lang w:bidi="fa-IR"/>
          <w:color w:val="111111"/>
          <w:sz w:val="28"/>
          <w:szCs w:val="28"/>
          <w:rtl/>
        </w:rPr>
        <w:t xml:space="preserve">آغاز و انجام: برابر خط: نسخ، كا:علی بن موسی، تا:جمادی الثانی ۱۲۹۳ق؛ جلد: تیماج مشکی، ۳۴ گ، ۱۵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سم [ مؤید: ۳-۲۲۶]</w:t>
      </w:r>
    </w:p>
    <w:p>
      <w:pPr>
        <w:pStyle w:val="BookText"/>
      </w:pPr>
      <w:r>
        <w:rPr>
          <w:rFonts w:ascii="Amiri" w:hAnsi="Amiri" w:eastAsia="Amiri" w:cs="Amiri"/>
          <w:lang w:bidi="ar-SA"/>
          <w:color w:val="111111"/>
          <w:sz w:val="28"/>
          <w:szCs w:val="28"/>
          <w:rtl/>
        </w:rPr>
        <w:t xml:space="preserve">←التبيان الجامع لعلوم القرآن ← التبيان في تفسير القرآن</w:t>
      </w:r>
    </w:p>
    <w:p>
      <w:pPr>
        <w:pStyle w:val="Heading3"/>
      </w:pPr>
      <w:bookmarkStart w:id="2948" w:name="_Toc2208"/>
      <w:r>
        <w:t>•تبيان الحق / اخلاق / فارسی</w:t>
      </w:r>
      <w:bookmarkEnd w:id="2948"/>
    </w:p>
    <w:p>
      <w:pPr>
        <w:pStyle w:val="BookText"/>
      </w:pPr>
      <w:r>
        <w:rPr>
          <w:rFonts w:ascii="Times New Roman" w:hAnsi="Times New Roman" w:eastAsia="Times New Roman" w:cs="Times New Roman"/>
          <w:lang w:val="en-US" w:bidi="en-US"/>
          <w:color w:val="111111"/>
          <w:sz w:val="28"/>
          <w:szCs w:val="28"/>
          <w:rtl/>
        </w:rPr>
        <w:t xml:space="preserve">tebyān-ol haqq</w:t>
      </w:r>
    </w:p>
    <w:p>
      <w:pPr>
        <w:pStyle w:val="BookText"/>
      </w:pPr>
      <w:r>
        <w:rPr>
          <w:rFonts w:ascii="IRNazanin" w:hAnsi="IRNazanin" w:eastAsia="IRNazanin" w:cs="IRNazanin"/>
          <w:lang w:bidi="fa-IR"/>
          <w:color w:val="111111"/>
          <w:sz w:val="28"/>
          <w:szCs w:val="28"/>
          <w:rtl/>
        </w:rPr>
        <w:t xml:space="preserve">مصباح الهدی، محمد رضا بن عباسعلی، ق۱۴ قمری</w:t>
      </w:r>
    </w:p>
    <w:p>
      <w:pPr>
        <w:pStyle w:val="BookText"/>
      </w:pPr>
      <w:r>
        <w:rPr>
          <w:rFonts w:ascii="Times New Roman" w:hAnsi="Times New Roman" w:eastAsia="Times New Roman" w:cs="Times New Roman"/>
          <w:lang w:val="en-US" w:bidi="en-US"/>
          <w:color w:val="111111"/>
          <w:sz w:val="28"/>
          <w:szCs w:val="28"/>
          <w:rtl/>
        </w:rPr>
        <w:t xml:space="preserve">mesbāh-ol-hodā, mohammad rezā ben 'abbās‘alī (-20c)</w:t>
      </w:r>
    </w:p>
    <w:p>
      <w:pPr>
        <w:pStyle w:val="BookText"/>
      </w:pPr>
      <w:r>
        <w:rPr>
          <w:rFonts w:ascii="IRNazanin" w:hAnsi="IRNazanin" w:eastAsia="IRNazanin" w:cs="IRNazanin"/>
          <w:lang w:bidi="fa-IR"/>
          <w:color w:val="111111"/>
          <w:sz w:val="28"/>
          <w:szCs w:val="28"/>
          <w:rtl/>
        </w:rPr>
        <w:t xml:space="preserve">دارای چند «مجلس» در بیان توحید، توکل، صبر، اسلام، اتحاد، علم، توبه، خمس و زکات، سخاوت و بخالت و دیگر مسائل اخلاقی است.</w:t>
      </w:r>
    </w:p>
    <w:p>
      <w:pPr>
        <w:pStyle w:val="BookText"/>
      </w:pPr>
      <w:r>
        <w:rPr>
          <w:rFonts w:ascii="IRNazanin" w:hAnsi="IRNazanin" w:eastAsia="IRNazanin" w:cs="IRNazanin"/>
          <w:lang w:bidi="fa-IR"/>
          <w:color w:val="111111"/>
          <w:sz w:val="28"/>
          <w:szCs w:val="28"/>
          <w:rtl/>
        </w:rPr>
        <w:t xml:space="preserve">مشهد؛ رضوی؛ شماره نسخه:۱۶۹۹۷</w:t>
      </w:r>
    </w:p>
    <w:p>
      <w:pPr>
        <w:pStyle w:val="BookText"/>
      </w:pPr>
      <w:r>
        <w:rPr>
          <w:rFonts w:ascii="IRNazanin" w:hAnsi="IRNazanin" w:eastAsia="IRNazanin" w:cs="IRNazanin"/>
          <w:lang w:bidi="fa-IR"/>
          <w:color w:val="111111"/>
          <w:sz w:val="28"/>
          <w:szCs w:val="28"/>
          <w:rtl/>
        </w:rPr>
        <w:t xml:space="preserve">آغاز: کعب الاحبار میگوید روزی جبرئیل بصورت مردی نزد فرعون آمد؛ انجام: و من ترا پیش بت در سجود دیده ام عمر خجلت کشیده دست از وی بداشت. خط: نستعلیق، کاتب = مؤلف، تا: اواخر قرن ۱۴؛ انتقال از دانشگاه علوم اسلامی رضوی در مهر ۱۳۶۸؛ کاغذ: مشقی، جلد: مقوا، ۲۰۳گ، ۱۹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۱۴-۱۲۳]</w:t>
      </w:r>
    </w:p>
    <w:p>
      <w:pPr>
        <w:pStyle w:val="Heading3"/>
      </w:pPr>
      <w:bookmarkStart w:id="2949" w:name="_Toc2209"/>
      <w:r>
        <w:t>•تبیان الرموز / عرفان و تصوف / فارسی</w:t>
      </w:r>
      <w:bookmarkEnd w:id="2949"/>
    </w:p>
    <w:p>
      <w:pPr>
        <w:pStyle w:val="BookText"/>
      </w:pPr>
      <w:r>
        <w:rPr>
          <w:rFonts w:ascii="Times New Roman" w:hAnsi="Times New Roman" w:eastAsia="Times New Roman" w:cs="Times New Roman"/>
          <w:lang w:val="en-US" w:bidi="en-US"/>
          <w:color w:val="111111"/>
          <w:sz w:val="28"/>
          <w:szCs w:val="28"/>
          <w:rtl/>
        </w:rPr>
        <w:t xml:space="preserve">tebyān-or romūz</w:t>
      </w:r>
    </w:p>
    <w:p>
      <w:pPr>
        <w:pStyle w:val="BookText"/>
      </w:pPr>
      <w:r>
        <w:rPr>
          <w:rFonts w:ascii="IRNazanin" w:hAnsi="IRNazanin" w:eastAsia="IRNazanin" w:cs="IRNazanin"/>
          <w:lang w:bidi="fa-IR"/>
          <w:color w:val="111111"/>
          <w:sz w:val="28"/>
          <w:szCs w:val="28"/>
          <w:rtl/>
        </w:rPr>
        <w:t xml:space="preserve">فخر العلماء، محمد</w:t>
      </w:r>
    </w:p>
    <w:p>
      <w:pPr>
        <w:pStyle w:val="BookText"/>
      </w:pPr>
      <w:r>
        <w:rPr>
          <w:rFonts w:ascii="Times New Roman" w:hAnsi="Times New Roman" w:eastAsia="Times New Roman" w:cs="Times New Roman"/>
          <w:lang w:val="en-US" w:bidi="en-US"/>
          <w:color w:val="111111"/>
          <w:sz w:val="28"/>
          <w:szCs w:val="28"/>
          <w:rtl/>
        </w:rPr>
        <w:t xml:space="preserve">faxr-ol-olama', mohammad</w:t>
      </w:r>
    </w:p>
    <w:p>
      <w:pPr>
        <w:pStyle w:val="BookText"/>
      </w:pPr>
      <w:r>
        <w:rPr>
          <w:rFonts w:ascii="IRNazanin" w:hAnsi="IRNazanin" w:eastAsia="IRNazanin" w:cs="IRNazanin"/>
          <w:lang w:bidi="fa-IR"/>
          <w:color w:val="111111"/>
          <w:sz w:val="28"/>
          <w:szCs w:val="28"/>
          <w:rtl/>
        </w:rPr>
        <w:t xml:space="preserve">وابسته به: مطلع خصوص الكلم في معانی فصوص الحكم = مقدمه شرح فصوص الحكم؛ قیصری، داود بن محمود (-۷۵۱) شیخ محمد فخر العلماء که به دستور والی امان الله خان ثانی مأمور می شود تا شرح مقدمه قیصری را از عربی به پارسی برگرداند، مشتمل بر ۱۲ «ترجمه»: ۱. بیان وجود و آنکه اوست عين حق سبحانه؛ ۲. شرح اسماء و صفات او تعالی؛ 3. توضیح اعیان ثانیه؛ ..... ۱۲. تحریر نبوت و رسالت.</w:t>
      </w:r>
    </w:p>
    <w:p>
      <w:pPr>
        <w:pStyle w:val="BookText"/>
      </w:pPr>
      <w:r>
        <w:rPr>
          <w:rFonts w:ascii="IRNazanin" w:hAnsi="IRNazanin" w:eastAsia="IRNazanin" w:cs="IRNazanin"/>
          <w:lang w:bidi="fa-IR"/>
          <w:color w:val="111111"/>
          <w:sz w:val="28"/>
          <w:szCs w:val="28"/>
          <w:rtl/>
        </w:rPr>
        <w:t xml:space="preserve">چاپ: به کوشش محمود فاضل، الهيات مشهد، ش ۲۸ (بهار ۱۳۵۸ ):135-165</w:t>
      </w:r>
    </w:p>
    <w:p>
      <w:pPr>
        <w:pStyle w:val="BookText"/>
      </w:pPr>
      <w:r>
        <w:rPr>
          <w:rFonts w:ascii="Amiri" w:hAnsi="Amiri" w:eastAsia="Amiri" w:cs="Amiri"/>
          <w:lang w:bidi="ar-SA"/>
          <w:color w:val="111111"/>
          <w:sz w:val="28"/>
          <w:szCs w:val="28"/>
          <w:rtl/>
        </w:rPr>
        <w:t xml:space="preserve">مشهد؛ الهيات، شماره نسخه:۱۴۸۳۰</w:t>
      </w:r>
    </w:p>
    <w:p>
      <w:pPr>
        <w:pStyle w:val="BookText"/>
      </w:pPr>
      <w:r>
        <w:rPr>
          <w:rFonts w:ascii="IRNazanin" w:hAnsi="IRNazanin" w:eastAsia="IRNazanin" w:cs="IRNazanin"/>
          <w:lang w:bidi="fa-IR"/>
          <w:color w:val="111111"/>
          <w:sz w:val="28"/>
          <w:szCs w:val="28"/>
          <w:rtl/>
        </w:rPr>
        <w:t xml:space="preserve">آغاز: بسمله سپاسی که مساوق سریان سر وجود در هیکل هر موجود و ستایشی که مطابق سیلان عين شهود در مجرای استعداد هر شاهد و مشهود است ... و بعد قلم شکسته قدم مستهام مستكين خط: نستعلیق، بی کا، تا: ۲۵ شوال ۱۲۶۸ق؛ مصحح، محشی با رمز</w:t>
      </w:r>
    </w:p>
    <w:p>
      <w:pPr>
        <w:pStyle w:val="BookText"/>
      </w:pPr>
      <w:r>
        <w:rPr>
          <w:rFonts w:ascii="IRNazanin" w:hAnsi="IRNazanin" w:eastAsia="IRNazanin" w:cs="IRNazanin"/>
          <w:lang w:bidi="fa-IR"/>
          <w:color w:val="111111"/>
          <w:sz w:val="28"/>
          <w:szCs w:val="28"/>
          <w:rtl/>
        </w:rPr>
        <w:t xml:space="preserve">منه منه»؛ جلد: تیماج قهوه ای، ۶۹گ، ۱۶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۲-۱۳۳]</w:t>
      </w:r>
    </w:p>
    <w:p>
      <w:pPr>
        <w:pStyle w:val="Heading3"/>
      </w:pPr>
      <w:bookmarkStart w:id="2950" w:name="_Toc2210"/>
      <w:r>
        <w:t>•تبیان سلیمانی = تفسیر تبیان / تفسير / فارسی</w:t>
      </w:r>
      <w:bookmarkEnd w:id="2950"/>
    </w:p>
    <w:p>
      <w:pPr>
        <w:pStyle w:val="BookText"/>
      </w:pPr>
      <w:r>
        <w:rPr>
          <w:rFonts w:ascii="Times New Roman" w:hAnsi="Times New Roman" w:eastAsia="Times New Roman" w:cs="Times New Roman"/>
          <w:lang w:val="en-US" w:bidi="en-US"/>
          <w:color w:val="111111"/>
          <w:sz w:val="28"/>
          <w:szCs w:val="28"/>
          <w:rtl/>
        </w:rPr>
        <w:t xml:space="preserve">tebyān-e soleymānī = tafsīr-e tebyān</w:t>
      </w:r>
    </w:p>
    <w:p>
      <w:pPr>
        <w:pStyle w:val="BookText"/>
      </w:pPr>
      <w:r>
        <w:rPr>
          <w:rFonts w:ascii="IRNazanin" w:hAnsi="IRNazanin" w:eastAsia="IRNazanin" w:cs="IRNazanin"/>
          <w:lang w:bidi="fa-IR"/>
          <w:color w:val="111111"/>
          <w:sz w:val="28"/>
          <w:szCs w:val="28"/>
          <w:rtl/>
        </w:rPr>
        <w:t xml:space="preserve">قمی مشهدی، محمد بن محمد رضا، -۱۱۰۷ قمری</w:t>
      </w:r>
    </w:p>
    <w:p>
      <w:pPr>
        <w:pStyle w:val="BookText"/>
      </w:pPr>
      <w:r>
        <w:rPr>
          <w:rFonts w:ascii="Times New Roman" w:hAnsi="Times New Roman" w:eastAsia="Times New Roman" w:cs="Times New Roman"/>
          <w:lang w:val="en-US" w:bidi="en-US"/>
          <w:color w:val="111111"/>
          <w:sz w:val="28"/>
          <w:szCs w:val="28"/>
          <w:rtl/>
        </w:rPr>
        <w:t xml:space="preserve">qomī mašhadī, mohammad ebn-e mohammad rezā ( 1696)</w:t>
      </w:r>
    </w:p>
    <w:p>
      <w:pPr>
        <w:pStyle w:val="BookText"/>
      </w:pPr>
      <w:r>
        <w:rPr>
          <w:rFonts w:ascii="IRNazanin" w:hAnsi="IRNazanin" w:eastAsia="IRNazanin" w:cs="IRNazanin"/>
          <w:lang w:bidi="fa-IR"/>
          <w:color w:val="111111"/>
          <w:sz w:val="28"/>
          <w:szCs w:val="28"/>
          <w:rtl/>
        </w:rPr>
        <w:t xml:space="preserve">اهدا به: شاه سلطان حسین صفوی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bookmarkStart w:id="671" w:name="pg20363_210017"/>
    <w:bookmarkEnd w:id="671"/>
    <w:p>
      <w:pPr>
        <w:pStyle w:val="BookText"/>
      </w:pPr>
      <w:r>
        <w:rPr>
          <w:rFonts w:ascii="IRNazanin" w:hAnsi="IRNazanin" w:eastAsia="IRNazanin" w:cs="IRNazanin"/>
          <w:lang w:bidi="fa-IR"/>
          <w:color w:val="111111"/>
          <w:sz w:val="28"/>
          <w:szCs w:val="28"/>
          <w:rtl/>
        </w:rPr>
        <w:t xml:space="preserve">این تفسیر را به زبان فارسی موافق احادیث ائمه (علیهم السلام) و طرق علماء شیعه تالیف و به نام تفسير «تبيان سلیمانی» موسوم ساخته است. روش مفسر چنین است که نخست آیات را به خامه ای روان ترجمه نموده و سپس احادیث وارده از خاندان عصمت را ذکر کرده است. آن را برای شاه سلطان حسین صفوی ساخته و در آن وی را چنین ستوده است: «آن فلک قدری که بر درگاه مسکین پرورش *** سجده ریزد هر کرا باشد سری چون آفتاب /</w:t>
      </w:r>
    </w:p>
    <w:p>
      <w:pPr>
        <w:pStyle w:val="BookText"/>
      </w:pPr>
      <w:r>
        <w:rPr>
          <w:rFonts w:ascii="IRNazanin" w:hAnsi="IRNazanin" w:eastAsia="IRNazanin" w:cs="IRNazanin"/>
          <w:lang w:bidi="fa-IR"/>
          <w:color w:val="111111"/>
          <w:sz w:val="28"/>
          <w:szCs w:val="28"/>
          <w:rtl/>
        </w:rPr>
        <w:t xml:space="preserve">گر نسیم جوهر تیغش به توران بگذرد *** لرزد از دهشت بلارک در کف افراسیاب»</w:t>
      </w:r>
    </w:p>
    <w:p>
      <w:pPr>
        <w:pStyle w:val="BookText"/>
      </w:pPr>
      <w:r>
        <w:rPr>
          <w:rFonts w:ascii="IRNazanin" w:hAnsi="IRNazanin" w:eastAsia="IRNazanin" w:cs="IRNazanin"/>
          <w:lang w:bidi="fa-IR"/>
          <w:color w:val="111111"/>
          <w:sz w:val="28"/>
          <w:szCs w:val="28"/>
          <w:rtl/>
        </w:rPr>
        <w:t xml:space="preserve">آغاز: بسمله سپاس بیقياس مرمتکلمی را سزاست که بساط کلام را در بسيط محاورات فرق انسان انبساط داده</w:t>
      </w:r>
    </w:p>
    <w:p>
      <w:pPr>
        <w:pStyle w:val="BookText"/>
      </w:pPr>
      <w:r>
        <w:rPr>
          <w:rFonts w:ascii="IRNazanin" w:hAnsi="IRNazanin" w:eastAsia="IRNazanin" w:cs="IRNazanin"/>
          <w:lang w:bidi="fa-IR"/>
          <w:color w:val="111111"/>
          <w:sz w:val="28"/>
          <w:szCs w:val="28"/>
          <w:rtl/>
        </w:rPr>
        <w:t xml:space="preserve">[دنا ۷۷۵/۲ ]</w:t>
      </w:r>
    </w:p>
    <w:p>
      <w:pPr>
        <w:pStyle w:val="BookText"/>
      </w:pPr>
      <w:r>
        <w:rPr>
          <w:rFonts w:ascii="IRNazanin" w:hAnsi="IRNazanin" w:eastAsia="IRNazanin" w:cs="IRNazanin"/>
          <w:lang w:bidi="fa-IR"/>
          <w:color w:val="111111"/>
          <w:sz w:val="28"/>
          <w:szCs w:val="28"/>
          <w:rtl/>
        </w:rPr>
        <w:t xml:space="preserve">١. مشهد؛ رضوی؛ شماره نسخه:۹۴۳۸</w:t>
      </w:r>
    </w:p>
    <w:p>
      <w:pPr>
        <w:pStyle w:val="BookText"/>
      </w:pPr>
      <w:r>
        <w:rPr>
          <w:rFonts w:ascii="IRNazanin" w:hAnsi="IRNazanin" w:eastAsia="IRNazanin" w:cs="IRNazanin"/>
          <w:lang w:bidi="fa-IR"/>
          <w:color w:val="111111"/>
          <w:sz w:val="28"/>
          <w:szCs w:val="28"/>
          <w:rtl/>
        </w:rPr>
        <w:t xml:space="preserve">آغاز: برابر؛ انجام: که از عجز و ضعف منزه و مقدس است جلت عظمة قدرته.</w:t>
      </w:r>
    </w:p>
    <w:p>
      <w:pPr>
        <w:pStyle w:val="BookText"/>
      </w:pPr>
      <w:r>
        <w:rPr>
          <w:rFonts w:ascii="IRNazanin" w:hAnsi="IRNazanin" w:eastAsia="IRNazanin" w:cs="IRNazanin"/>
          <w:lang w:bidi="fa-IR"/>
          <w:color w:val="111111"/>
          <w:sz w:val="28"/>
          <w:szCs w:val="28"/>
          <w:rtl/>
        </w:rPr>
        <w:t xml:space="preserve">جلد ۱، از اول کتاب تا آخر سوره مائده؛ خط: نسخ، كاتب = مؤلف، تا: نیمه رجب ۱۰۸۵ق؛ این نسخه از کتب کتابخانه سلطنتی بوده است؛ مهر: شاه سلطان حسین صفوی «حسین از غلامی شاه نجف-سلیمان شد بعز و شرف» (گوشه دار)؛ عرض دید در ۳ صفر ۱۱۱۵؛ در شوال ۱۱۲۳ شهریار مذکور این نسخه را وقف نموده؛ واقف: خان بابا مشار؛ کاغذ: آهار مهره حنایی احتمالا سمرقندی، جلد: تیماج خرمایی، ۲۱۵گ، ۳۵ سطر، اندازه: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۳۰سم [ف: ۱۱-۵۴۵]</w:t>
      </w:r>
    </w:p>
    <w:p>
      <w:pPr>
        <w:pStyle w:val="BookText"/>
      </w:pPr>
      <w:r>
        <w:rPr>
          <w:rFonts w:ascii="IRNazanin" w:hAnsi="IRNazanin" w:eastAsia="IRNazanin" w:cs="IRNazanin"/>
          <w:lang w:bidi="fa-IR"/>
          <w:color w:val="111111"/>
          <w:sz w:val="28"/>
          <w:szCs w:val="28"/>
          <w:rtl/>
        </w:rPr>
        <w:t xml:space="preserve">۲. تهران؛ سلطنتی؛ شماره نسخه:۲۸</w:t>
      </w:r>
    </w:p>
    <w:p>
      <w:pPr>
        <w:pStyle w:val="BookText"/>
      </w:pPr>
      <w:r>
        <w:rPr>
          <w:rFonts w:ascii="IRNazanin" w:hAnsi="IRNazanin" w:eastAsia="IRNazanin" w:cs="IRNazanin"/>
          <w:lang w:bidi="fa-IR"/>
          <w:color w:val="111111"/>
          <w:sz w:val="28"/>
          <w:szCs w:val="28"/>
          <w:rtl/>
        </w:rPr>
        <w:t xml:space="preserve">آغاز: برابر؛ انجام: تم المجلد الأول من تفسير الذي الفها الشيخ الفاضل الكامل الجامع بالمنقول و المعقول میرزا محمد بن محمد رضا المشهور بالخياط يد المذنب المسمی محمد اشرف ابن محمد الطبسي في المشهد الرضوى على مشرفه الف الصلوة و التحية في يوم الاحد ثامن عشر من شهر ربیعی الثانی سنه خمس و ثمانین بعد الالف من الهجرة النبويه صلى الله عليه و آله اللهم لصاحبه و قاریه و کاتبه و جميع المومنين و المومنات بالنبی و آله تم</w:t>
      </w:r>
    </w:p>
    <w:p>
      <w:pPr>
        <w:pStyle w:val="BookText"/>
      </w:pPr>
      <w:r>
        <w:rPr>
          <w:rFonts w:ascii="IRNazanin" w:hAnsi="IRNazanin" w:eastAsia="IRNazanin" w:cs="IRNazanin"/>
          <w:lang w:bidi="fa-IR"/>
          <w:color w:val="111111"/>
          <w:sz w:val="28"/>
          <w:szCs w:val="28"/>
          <w:rtl/>
        </w:rPr>
        <w:t xml:space="preserve">از سوره بقره تا سوره مبارکه مائده؛ خط: نسخ خوب، کا: محمد اشرف بن محمد طبسی، تا: ۱۰۸۵ق؛ مجدول، با یک سرلوح مذهب به طرح گنبد، ابتياعی از ورثه مرحوم طهماسب میرزای مويدالدوله بتاريخ شهر محرم الحرام داخل کتابخانه مبارکه موزه سرکاری شد؛ مهر: مشير السلطنه، علی اکبر بن حسین الحسینی؛ کاغذ: اصفهانی نازک، جلد: تیماج آلبالوئی رنگ با ترنج، ۳۸۳ص، ۲۵ سطر، قطع: رحلی، اندازه: ۳۸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۱-۱۷۳]</w:t>
      </w:r>
    </w:p>
    <w:p>
      <w:pPr>
        <w:pStyle w:val="BookText"/>
      </w:pPr>
      <w:r>
        <w:rPr>
          <w:rFonts w:ascii="IRNazanin" w:hAnsi="IRNazanin" w:eastAsia="IRNazanin" w:cs="IRNazanin"/>
          <w:lang w:bidi="fa-IR"/>
          <w:color w:val="111111"/>
          <w:sz w:val="28"/>
          <w:szCs w:val="28"/>
          <w:rtl/>
        </w:rPr>
        <w:t xml:space="preserve">٣. یزد؛ وزیری؛ شماره نسخه: ۱۶۶۱</w:t>
      </w:r>
    </w:p>
    <w:p>
      <w:pPr>
        <w:pStyle w:val="BookText"/>
      </w:pPr>
      <w:r>
        <w:rPr>
          <w:rFonts w:ascii="IRNazanin" w:hAnsi="IRNazanin" w:eastAsia="IRNazanin" w:cs="IRNazanin"/>
          <w:lang w:bidi="fa-IR"/>
          <w:color w:val="111111"/>
          <w:sz w:val="28"/>
          <w:szCs w:val="28"/>
          <w:rtl/>
        </w:rPr>
        <w:t xml:space="preserve">آغاز: برابر؛ انجام: عذاب لا اعذبه عذابی که عذاب نکنم آن نوع عذاب، احدا من العالمين. تا سوره مائده؛ خط: نسخ و نستعلیق، بی کا، تا: اواخر قرن ۱۲؛</w:t>
      </w:r>
    </w:p>
    <w:p>
      <w:pPr>
        <w:pStyle w:val="BookText"/>
      </w:pPr>
      <w:r>
        <w:rPr>
          <w:rFonts w:ascii="IRNazanin" w:hAnsi="IRNazanin" w:eastAsia="IRNazanin" w:cs="IRNazanin"/>
          <w:lang w:bidi="fa-IR"/>
          <w:color w:val="111111"/>
          <w:sz w:val="28"/>
          <w:szCs w:val="28"/>
          <w:rtl/>
        </w:rPr>
        <w:t xml:space="preserve">کاغذ: سمرقندی، جلد: مقوایی با تیماج تریاکی، ۱۶۴گ، مختلف السطر،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۳-۱۰۱۴]</w:t>
      </w:r>
    </w:p>
    <w:p>
      <w:pPr>
        <w:pStyle w:val="BookText"/>
      </w:pPr>
      <w:r>
        <w:rPr>
          <w:rFonts w:ascii="IRNazanin" w:hAnsi="IRNazanin" w:eastAsia="IRNazanin" w:cs="IRNazanin"/>
          <w:lang w:bidi="fa-IR"/>
          <w:color w:val="111111"/>
          <w:sz w:val="28"/>
          <w:szCs w:val="28"/>
          <w:rtl/>
        </w:rPr>
        <w:t xml:space="preserve">۴. مشهد؛ اصغرزاده، سید علی اصغر؛ شماره نسخه:۱</w:t>
      </w:r>
    </w:p>
    <w:p>
      <w:pPr>
        <w:pStyle w:val="BookText"/>
      </w:pPr>
      <w:r>
        <w:rPr>
          <w:rFonts w:ascii="IRNazanin" w:hAnsi="IRNazanin" w:eastAsia="IRNazanin" w:cs="IRNazanin"/>
          <w:lang w:bidi="fa-IR"/>
          <w:color w:val="111111"/>
          <w:sz w:val="28"/>
          <w:szCs w:val="28"/>
          <w:rtl/>
        </w:rPr>
        <w:t xml:space="preserve">آغاز: برابر؛ انجام: انجام در سوره مائدة: قال عیسی بن مریم اللهم ربنا انزل علينا مائدة من السماء اللهم ای بار خدایا ابورجای جامی عطاردی گفته که هفتاد نام از نامهای الهی در لام اللهم تعبیه است و از نضرين شميل نقل کرده اند که هر که گوید اللهم خدای را به همه نامها خوانده باشد و لهذا عیسی (علیه السلام) در وقتی که طلب مائده کرد حق سبحانه را بدین کلمه خواند بی کا، بی تا [نشریه: ۵-۶۱۳]</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مشهد؛ رضوی؛ شماره نسخه: ۹۴۳۹</w:t>
      </w:r>
    </w:p>
    <w:p>
      <w:pPr>
        <w:pStyle w:val="BookText"/>
      </w:pPr>
      <w:r>
        <w:rPr>
          <w:rFonts w:ascii="IRNazanin" w:hAnsi="IRNazanin" w:eastAsia="IRNazanin" w:cs="IRNazanin"/>
          <w:lang w:bidi="fa-IR"/>
          <w:color w:val="111111"/>
          <w:sz w:val="28"/>
          <w:szCs w:val="28"/>
          <w:rtl/>
        </w:rPr>
        <w:t xml:space="preserve">آغاز: يعتذرون عذر خواهند آورد اليكم بسوی شما یعنی عذر خواهند خواست از تخلف؛ انجام: بر وفق کردار پاداش خواهد داد که بوجه احسن باشد.</w:t>
      </w:r>
    </w:p>
    <w:p>
      <w:pPr>
        <w:pStyle w:val="BookText"/>
      </w:pPr>
      <w:r>
        <w:rPr>
          <w:rFonts w:ascii="IRNazanin" w:hAnsi="IRNazanin" w:eastAsia="IRNazanin" w:cs="IRNazanin"/>
          <w:lang w:bidi="fa-IR"/>
          <w:color w:val="111111"/>
          <w:sz w:val="28"/>
          <w:szCs w:val="28"/>
          <w:rtl/>
        </w:rPr>
        <w:t xml:space="preserve">جلد ۲، از تفسیر آیه ۹۵ سوره توبه تا آیه ۴۴ سوره عنكبوت؛ خط: نستعلیق، بی کا، بی تا؛ تشخیص همانا به ضبط شادروان واقف نسخه است و سبک انشائی این نسخه با نسخه شماره ۹۴۳۸ نزدیک؛ واقف: خان بابا مشار؛ کاغذ: حنایی، جلد: مقوا، ۳۳۵گ، ۲۳ سطر، اندازه: ۳۶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 سم [ف: ۱۱-۵۴۶]</w:t>
      </w:r>
    </w:p>
    <w:p>
      <w:pPr>
        <w:pStyle w:val="Heading3"/>
      </w:pPr>
      <w:bookmarkStart w:id="2951" w:name="_Toc2211"/>
      <w:r>
        <w:t>•تبیان الطلاق / فقه / عرب</w:t>
      </w:r>
      <w:bookmarkEnd w:id="2951"/>
    </w:p>
    <w:p>
      <w:pPr>
        <w:pStyle w:val="BookText"/>
      </w:pPr>
      <w:r>
        <w:rPr>
          <w:rFonts w:ascii="Times New Roman" w:hAnsi="Times New Roman" w:eastAsia="Times New Roman" w:cs="Times New Roman"/>
          <w:lang w:val="en-US" w:bidi="en-US"/>
          <w:color w:val="111111"/>
          <w:sz w:val="28"/>
          <w:szCs w:val="28"/>
          <w:rtl/>
        </w:rPr>
        <w:t xml:space="preserve">tebyān-ut ţalāq</w:t>
      </w:r>
    </w:p>
    <w:p>
      <w:pPr>
        <w:pStyle w:val="BookText"/>
      </w:pPr>
      <w:r>
        <w:rPr>
          <w:rFonts w:ascii="IRNazanin" w:hAnsi="IRNazanin" w:eastAsia="IRNazanin" w:cs="IRNazanin"/>
          <w:lang w:bidi="fa-IR"/>
          <w:color w:val="111111"/>
          <w:sz w:val="28"/>
          <w:szCs w:val="28"/>
          <w:rtl/>
        </w:rPr>
        <w:t xml:space="preserve">کاشانی نجفی، محمود بن محسن، ق۱۴ قمری</w:t>
      </w:r>
    </w:p>
    <w:p>
      <w:pPr>
        <w:pStyle w:val="BookText"/>
      </w:pPr>
      <w:r>
        <w:rPr>
          <w:rFonts w:ascii="Times New Roman" w:hAnsi="Times New Roman" w:eastAsia="Times New Roman" w:cs="Times New Roman"/>
          <w:lang w:val="en-US" w:bidi="en-US"/>
          <w:color w:val="111111"/>
          <w:sz w:val="28"/>
          <w:szCs w:val="28"/>
          <w:rtl/>
        </w:rPr>
        <w:t xml:space="preserve">kāšānī-ye najafī, mahmūd ebn-e mohsen (-20c)</w:t>
      </w:r>
    </w:p>
    <w:p>
      <w:pPr>
        <w:pStyle w:val="BookText"/>
      </w:pPr>
      <w:r>
        <w:rPr>
          <w:rFonts w:ascii="IRNazanin" w:hAnsi="IRNazanin" w:eastAsia="IRNazanin" w:cs="IRNazanin"/>
          <w:lang w:bidi="fa-IR"/>
          <w:color w:val="111111"/>
          <w:sz w:val="28"/>
          <w:szCs w:val="28"/>
          <w:rtl/>
        </w:rPr>
        <w:t xml:space="preserve">گویا تقریر درس «آخوند خراسانی» است.</w:t>
      </w:r>
    </w:p>
    <w:p>
      <w:pPr>
        <w:pStyle w:val="BookText"/>
      </w:pPr>
      <w:r>
        <w:rPr>
          <w:rFonts w:ascii="IRNazanin" w:hAnsi="IRNazanin" w:eastAsia="IRNazanin" w:cs="IRNazanin"/>
          <w:lang w:bidi="fa-IR"/>
          <w:color w:val="111111"/>
          <w:sz w:val="28"/>
          <w:szCs w:val="28"/>
          <w:rtl/>
        </w:rPr>
        <w:t xml:space="preserve">قم؛ مرعشی؛ شماره نسخه:۱۴۲۲۷</w:t>
      </w:r>
    </w:p>
    <w:p>
      <w:pPr>
        <w:pStyle w:val="BookText"/>
      </w:pPr>
      <w:r>
        <w:rPr>
          <w:rFonts w:ascii="IRNazanin" w:hAnsi="IRNazanin" w:eastAsia="IRNazanin" w:cs="IRNazanin"/>
          <w:lang w:bidi="fa-IR"/>
          <w:color w:val="111111"/>
          <w:sz w:val="28"/>
          <w:szCs w:val="28"/>
          <w:rtl/>
        </w:rPr>
        <w:t xml:space="preserve">آغاز: الحمد الله رب العالمين و الصلوة و السلام على محمد خاتم النبين و آله الأصفياء من ذريته المعصومین؛ انجام: و لا وجعلنا و لا أحد من أولادنا من الظالمين و لا حشرنا مع أحد منهم، بل مع موالينا الطيبين الشافعين خط: نسخ، كاتب = مؤلف، تا: قرن ۱۴، جا: نجف اشرف؛ مصحح و دارای قلم خوردگی بسیار؛ دارای وقفنامه با تاریخ ۱۳۴۲ق و با خط و مهر مؤلف؛ کاغذ کاهی فرنگی، جلد: چرم لاکی، ۲۳۷گ، ۱۷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۳۶-۳۶]</w:t>
      </w:r>
    </w:p>
    <w:p>
      <w:pPr>
        <w:pStyle w:val="Heading3"/>
      </w:pPr>
      <w:bookmarkStart w:id="2952" w:name="_Toc2212"/>
      <w:r>
        <w:t>•تبیان عرفان طائفة المحقة و تبیین انها الناجية فصل في / كلام و اعتقادات / عربی</w:t>
      </w:r>
      <w:bookmarkEnd w:id="2952"/>
    </w:p>
    <w:p>
      <w:pPr>
        <w:pStyle w:val="BookText"/>
      </w:pPr>
      <w:r>
        <w:rPr>
          <w:rFonts w:ascii="Times New Roman" w:hAnsi="Times New Roman" w:eastAsia="Times New Roman" w:cs="Times New Roman"/>
          <w:lang w:val="en-US" w:bidi="en-US"/>
          <w:color w:val="111111"/>
          <w:sz w:val="28"/>
          <w:szCs w:val="28"/>
          <w:rtl/>
        </w:rPr>
        <w:t xml:space="preserve">tibyan-u irfan-i ta'ifat-il muhiqqa Wa tabyin-u innaha an-nājīya (faşl-un fi...)</w:t>
      </w:r>
    </w:p>
    <w:p>
      <w:pPr>
        <w:pStyle w:val="BookText"/>
      </w:pPr>
      <w:r>
        <w:rPr>
          <w:rFonts w:ascii="IRNazanin" w:hAnsi="IRNazanin" w:eastAsia="IRNazanin" w:cs="IRNazanin"/>
          <w:lang w:bidi="fa-IR"/>
          <w:color w:val="111111"/>
          <w:sz w:val="28"/>
          <w:szCs w:val="28"/>
          <w:rtl/>
        </w:rPr>
        <w:t xml:space="preserve">مشهد؛ رضوی؛ شماره نسخه:۱۴۶۰۲</w:t>
      </w:r>
    </w:p>
    <w:p>
      <w:pPr>
        <w:pStyle w:val="BookText"/>
      </w:pPr>
      <w:r>
        <w:rPr>
          <w:rFonts w:ascii="IRNazanin" w:hAnsi="IRNazanin" w:eastAsia="IRNazanin" w:cs="IRNazanin"/>
          <w:lang w:bidi="fa-IR"/>
          <w:color w:val="111111"/>
          <w:sz w:val="28"/>
          <w:szCs w:val="28"/>
          <w:rtl/>
        </w:rPr>
        <w:t xml:space="preserve">خط: نسخ، بی کا، بی تا [الفبائی:-۱۰۳]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bookmarkStart w:id="672" w:name="pg20363_210018"/>
    <w:bookmarkEnd w:id="672"/>
    <w:p>
      <w:pPr>
        <w:pStyle w:val="Heading3"/>
      </w:pPr>
      <w:bookmarkStart w:id="2953" w:name="_Toc2213"/>
      <w:r>
        <w:t>•تبیان العوام في تجويد الكلام / تجوید / فارسی</w:t>
      </w:r>
      <w:bookmarkEnd w:id="2953"/>
    </w:p>
    <w:p>
      <w:pPr>
        <w:pStyle w:val="BookText"/>
      </w:pPr>
      <w:r>
        <w:rPr>
          <w:rFonts w:ascii="Times New Roman" w:hAnsi="Times New Roman" w:eastAsia="Times New Roman" w:cs="Times New Roman"/>
          <w:lang w:val="en-US" w:bidi="en-US"/>
          <w:color w:val="111111"/>
          <w:sz w:val="28"/>
          <w:szCs w:val="28"/>
          <w:rtl/>
        </w:rPr>
        <w:t xml:space="preserve">tebyān-ol ‘avām fī tajvīd-el kalām</w:t>
      </w:r>
    </w:p>
    <w:p>
      <w:pPr>
        <w:pStyle w:val="BookText"/>
      </w:pPr>
      <w:r>
        <w:rPr>
          <w:rFonts w:ascii="IRNazanin" w:hAnsi="IRNazanin" w:eastAsia="IRNazanin" w:cs="IRNazanin"/>
          <w:lang w:bidi="fa-IR"/>
          <w:color w:val="111111"/>
          <w:sz w:val="28"/>
          <w:szCs w:val="28"/>
          <w:rtl/>
        </w:rPr>
        <w:t xml:space="preserve">خوسفی، محمد بن حسن، ق۱۳ قمری</w:t>
      </w:r>
    </w:p>
    <w:p>
      <w:pPr>
        <w:pStyle w:val="BookText"/>
      </w:pPr>
      <w:r>
        <w:rPr>
          <w:rFonts w:ascii="Times New Roman" w:hAnsi="Times New Roman" w:eastAsia="Times New Roman" w:cs="Times New Roman"/>
          <w:lang w:val="en-US" w:bidi="en-US"/>
          <w:color w:val="111111"/>
          <w:sz w:val="28"/>
          <w:szCs w:val="28"/>
          <w:rtl/>
        </w:rPr>
        <w:t xml:space="preserve">xūsefī, mohammad ebn-e hasan (-19c)</w:t>
      </w:r>
    </w:p>
    <w:p>
      <w:pPr>
        <w:pStyle w:val="BookText"/>
      </w:pPr>
      <w:r>
        <w:rPr>
          <w:rFonts w:ascii="IRNazanin" w:hAnsi="IRNazanin" w:eastAsia="IRNazanin" w:cs="IRNazanin"/>
          <w:lang w:bidi="fa-IR"/>
          <w:color w:val="111111"/>
          <w:sz w:val="28"/>
          <w:szCs w:val="28"/>
          <w:rtl/>
        </w:rPr>
        <w:t xml:space="preserve">مطالب تحت عنوان فریده آمده است.</w:t>
      </w:r>
    </w:p>
    <w:p>
      <w:pPr>
        <w:pStyle w:val="BookText"/>
      </w:pPr>
      <w:r>
        <w:rPr>
          <w:rFonts w:ascii="Amiri" w:hAnsi="Amiri" w:eastAsia="Amiri" w:cs="Amiri"/>
          <w:lang w:bidi="ar-SA"/>
          <w:color w:val="111111"/>
          <w:sz w:val="28"/>
          <w:szCs w:val="28"/>
          <w:rtl/>
        </w:rPr>
        <w:t xml:space="preserve">مشهد، الهيات، شماره نسخه: ۱۴۸۲۱/۱۴</w:t>
      </w:r>
    </w:p>
    <w:p>
      <w:pPr>
        <w:pStyle w:val="BookText"/>
      </w:pPr>
      <w:r>
        <w:rPr>
          <w:rFonts w:ascii="IRNazanin" w:hAnsi="IRNazanin" w:eastAsia="IRNazanin" w:cs="IRNazanin"/>
          <w:lang w:bidi="fa-IR"/>
          <w:color w:val="111111"/>
          <w:sz w:val="28"/>
          <w:szCs w:val="28"/>
          <w:rtl/>
        </w:rPr>
        <w:t xml:space="preserve">آغاز: بسمله الحمدلله الذي لطفه عمیم و ذاته قدیم و هو بالنسبه الى خلقه جهر و اخفاء ... و آن این است که هر امر ذى شأنی</w:t>
      </w:r>
    </w:p>
    <w:p>
      <w:pPr>
        <w:pStyle w:val="BookText"/>
      </w:pPr>
      <w:r>
        <w:rPr>
          <w:rFonts w:ascii="IRNazanin" w:hAnsi="IRNazanin" w:eastAsia="IRNazanin" w:cs="IRNazanin"/>
          <w:lang w:bidi="fa-IR"/>
          <w:color w:val="111111"/>
          <w:sz w:val="28"/>
          <w:szCs w:val="28"/>
          <w:rtl/>
        </w:rPr>
        <w:t xml:space="preserve">خط: شکسته، نستعلیق، کاتب = مؤلف، تا: ۱۵ ربیع الاول ۱۲۹۵ق؛ کاغذ الوان، جلد: تیماج عنابی، ۲۲گ، اندازه:۲۱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۲-۱۲۱]</w:t>
      </w:r>
    </w:p>
    <w:p>
      <w:pPr>
        <w:pStyle w:val="Heading3"/>
      </w:pPr>
      <w:bookmarkStart w:id="2954" w:name="_Toc2214"/>
      <w:r>
        <w:t>•التبيان في ... /-عربی</w:t>
      </w:r>
      <w:bookmarkEnd w:id="2954"/>
    </w:p>
    <w:p>
      <w:pPr>
        <w:pStyle w:val="BookText"/>
      </w:pPr>
      <w:r>
        <w:rPr>
          <w:rFonts w:ascii="Times New Roman" w:hAnsi="Times New Roman" w:eastAsia="Times New Roman" w:cs="Times New Roman"/>
          <w:lang w:val="en-US" w:bidi="en-US"/>
          <w:color w:val="111111"/>
          <w:sz w:val="28"/>
          <w:szCs w:val="28"/>
          <w:rtl/>
        </w:rPr>
        <w:t xml:space="preserve">at-tibyan fi ...</w:t>
      </w:r>
    </w:p>
    <w:p>
      <w:pPr>
        <w:pStyle w:val="BookText"/>
      </w:pPr>
      <w:r>
        <w:rPr>
          <w:rFonts w:ascii="IRNazanin" w:hAnsi="IRNazanin" w:eastAsia="IRNazanin" w:cs="IRNazanin"/>
          <w:lang w:bidi="fa-IR"/>
          <w:color w:val="111111"/>
          <w:sz w:val="28"/>
          <w:szCs w:val="28"/>
          <w:rtl/>
        </w:rPr>
        <w:t xml:space="preserve">تهران؛ ملی؛ شماره نسخه:۱۸۹۳۳ کا: عبدالولی، تا: ۷۱۳ق؛ انتقالی از کتابخانه پهلوی -مجموعه نوازی؛ ۳۲۳گ، اندازه: ۱۷/۴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۲۶/۵سم [رایانه]</w:t>
      </w:r>
    </w:p>
    <w:p>
      <w:pPr>
        <w:pStyle w:val="Heading3"/>
      </w:pPr>
      <w:bookmarkStart w:id="2955" w:name="_Toc2215"/>
      <w:r>
        <w:t>•التبيان في آداب حملة القرآن / علوم قرآن / عربی</w:t>
      </w:r>
      <w:bookmarkEnd w:id="2955"/>
    </w:p>
    <w:p>
      <w:pPr>
        <w:pStyle w:val="BookText"/>
      </w:pPr>
      <w:r>
        <w:rPr>
          <w:rFonts w:ascii="Times New Roman" w:hAnsi="Times New Roman" w:eastAsia="Times New Roman" w:cs="Times New Roman"/>
          <w:lang w:val="en-US" w:bidi="en-US"/>
          <w:color w:val="111111"/>
          <w:sz w:val="28"/>
          <w:szCs w:val="28"/>
          <w:rtl/>
        </w:rPr>
        <w:t xml:space="preserve">at-tibyān fī ādāb-i ḥamalat-il qur'ān</w:t>
      </w:r>
    </w:p>
    <w:p>
      <w:pPr>
        <w:pStyle w:val="BookText"/>
      </w:pPr>
      <w:r>
        <w:rPr>
          <w:rFonts w:ascii="IRNazanin" w:hAnsi="IRNazanin" w:eastAsia="IRNazanin" w:cs="IRNazanin"/>
          <w:lang w:bidi="fa-IR"/>
          <w:color w:val="111111"/>
          <w:sz w:val="28"/>
          <w:szCs w:val="28"/>
          <w:rtl/>
        </w:rPr>
        <w:t xml:space="preserve">نووی، یحیی بن شرف، ۶۳۱- ۶۷۶ قمری</w:t>
      </w:r>
    </w:p>
    <w:p>
      <w:pPr>
        <w:pStyle w:val="BookText"/>
      </w:pPr>
      <w:r>
        <w:rPr>
          <w:rFonts w:ascii="Times New Roman" w:hAnsi="Times New Roman" w:eastAsia="Times New Roman" w:cs="Times New Roman"/>
          <w:lang w:val="en-US" w:bidi="en-US"/>
          <w:color w:val="111111"/>
          <w:sz w:val="28"/>
          <w:szCs w:val="28"/>
          <w:rtl/>
        </w:rPr>
        <w:t xml:space="preserve">navavī, yahyā ebn-e šaraf (1234-1278)</w:t>
      </w:r>
    </w:p>
    <w:p>
      <w:pPr>
        <w:pStyle w:val="BookText"/>
      </w:pPr>
      <w:r>
        <w:rPr>
          <w:rFonts w:ascii="IRNazanin" w:hAnsi="IRNazanin" w:eastAsia="IRNazanin" w:cs="IRNazanin"/>
          <w:lang w:bidi="fa-IR"/>
          <w:color w:val="111111"/>
          <w:sz w:val="28"/>
          <w:szCs w:val="28"/>
          <w:rtl/>
        </w:rPr>
        <w:t xml:space="preserve">دارای ده «باب»: ۱. اطراف من فضيلة تلاوة القرآن و حملته؛ ۲. ترجیح القرآن و القارى على غيرها؛ ۳. اکرام اهل القرآن و النهي عن ايذائهم؛ ۳. آداب معلم القرآن و متعلمه؛ ۵. آداب حامل القرآن، ۶. آداب القراة و هو معظم الكتاب و مقصوده؛ ۷. آداب الناس</w:t>
      </w:r>
    </w:p>
    <w:p>
      <w:pPr>
        <w:pStyle w:val="BookText"/>
      </w:pPr>
      <w:r>
        <w:rPr>
          <w:rFonts w:ascii="IRNazanin" w:hAnsi="IRNazanin" w:eastAsia="IRNazanin" w:cs="IRNazanin"/>
          <w:lang w:bidi="fa-IR"/>
          <w:color w:val="111111"/>
          <w:sz w:val="28"/>
          <w:szCs w:val="28"/>
          <w:rtl/>
        </w:rPr>
        <w:t xml:space="preserve">كلهم مع القرآن العظيم؛ ۸ الايات و السور المستحبة في اوقات و احوال مخصوصة؛ ۹. كتابة القرآن و اکرام المصحف؛ ۱۰. ضبط الفاظ الكتاب.</w:t>
      </w:r>
    </w:p>
    <w:p>
      <w:pPr>
        <w:pStyle w:val="BookText"/>
      </w:pPr>
      <w:r>
        <w:rPr>
          <w:rFonts w:ascii="IRNazanin" w:hAnsi="IRNazanin" w:eastAsia="IRNazanin" w:cs="IRNazanin"/>
          <w:lang w:bidi="fa-IR"/>
          <w:color w:val="111111"/>
          <w:sz w:val="28"/>
          <w:szCs w:val="28"/>
          <w:rtl/>
        </w:rPr>
        <w:t xml:space="preserve">آغاز: بسمله اللهم يسر یا کریم الحمدلله الكريم المنان ذي الطول و الفضل و الاحسان الذي هدانا للايمان و فضل دیننا على سایر الأديان</w:t>
      </w:r>
    </w:p>
    <w:p>
      <w:pPr>
        <w:pStyle w:val="BookText"/>
      </w:pPr>
      <w:r>
        <w:rPr>
          <w:rFonts w:ascii="Amiri" w:hAnsi="Amiri" w:eastAsia="Amiri" w:cs="Amiri"/>
          <w:lang w:bidi="ar-SA"/>
          <w:color w:val="111111"/>
          <w:sz w:val="28"/>
          <w:szCs w:val="28"/>
          <w:rtl/>
        </w:rPr>
        <w:t xml:space="preserve">انجام: و هو نبذة مختصرة بالنسبة إلى آداب القرآن ... و حسبنا الله و نعم الوكيل</w:t>
      </w:r>
    </w:p>
    <w:p>
      <w:pPr>
        <w:pStyle w:val="BookText"/>
      </w:pPr>
      <w:r>
        <w:rPr>
          <w:rFonts w:ascii="IRNazanin" w:hAnsi="IRNazanin" w:eastAsia="IRNazanin" w:cs="IRNazanin"/>
          <w:lang w:bidi="fa-IR"/>
          <w:color w:val="111111"/>
          <w:sz w:val="28"/>
          <w:szCs w:val="28"/>
          <w:rtl/>
        </w:rPr>
        <w:t xml:space="preserve">چاپ: تصحيح محمد شادی عربش، دمشق، دار الفكر، ۱۹۶۵م، ۱۰۶ص؛ السعودية، دار المنهاج، الطبعة الثانية، ۱۴۳۰ق، ۲۷۲ صفحه</w:t>
      </w:r>
    </w:p>
    <w:p>
      <w:pPr>
        <w:pStyle w:val="BookText"/>
      </w:pPr>
      <w:r>
        <w:rPr>
          <w:rFonts w:ascii="IRNazanin" w:hAnsi="IRNazanin" w:eastAsia="IRNazanin" w:cs="IRNazanin"/>
          <w:lang w:bidi="fa-IR"/>
          <w:color w:val="111111"/>
          <w:sz w:val="28"/>
          <w:szCs w:val="28"/>
          <w:rtl/>
        </w:rPr>
        <w:t xml:space="preserve">[دنا ۷۷۶/۲ ؛ الأوقاف العامة بغداد ۵۸/۱ ؛ طبقات الاسنوی ۴۷۷/۲ ؛ الأوقاف العامة موصل ۲/ ۲۶۰ و ۱۴۲/۳ ؛ کشف الظنون ۳۴۰/۱ ؛ سر کیس، معجم ۱۸۷۷/۲]</w:t>
      </w:r>
    </w:p>
    <w:p>
      <w:pPr>
        <w:pStyle w:val="BookText"/>
      </w:pPr>
      <w:r>
        <w:rPr>
          <w:rFonts w:ascii="IRNazanin" w:hAnsi="IRNazanin" w:eastAsia="IRNazanin" w:cs="IRNazanin"/>
          <w:lang w:bidi="fa-IR"/>
          <w:color w:val="111111"/>
          <w:sz w:val="28"/>
          <w:szCs w:val="28"/>
          <w:rtl/>
        </w:rPr>
        <w:t xml:space="preserve">١. تبریز؛ ملی؛ شماره نسخه: ۳۱۴۲</w:t>
      </w:r>
    </w:p>
    <w:p>
      <w:pPr>
        <w:pStyle w:val="BookText"/>
      </w:pPr>
      <w:r>
        <w:rPr>
          <w:rFonts w:ascii="IRNazanin" w:hAnsi="IRNazanin" w:eastAsia="IRNazanin" w:cs="IRNazanin"/>
          <w:lang w:bidi="fa-IR"/>
          <w:color w:val="111111"/>
          <w:sz w:val="28"/>
          <w:szCs w:val="28"/>
          <w:rtl/>
        </w:rPr>
        <w:t xml:space="preserve">آغاز و انجام: برابر ؛ قال مصنفه رحمة الله و رضي عنه و رضی عنا به ابتدات في جمع هذا الكتاب يوم الخميس ثانی عشر ربيع الأول و فرغت من جمعه صبيحة الخميس الثالث من شهر ربيع الاخر سنه است و ستین و ستمائة و الحمدلله وحده» و در حاشیه بلغ مقابلة من اوله إلى آخره على نسخة مصلوحة حسب الطاقة فصح و الحمدلله رب العالمين» خط: نسخ، بی کا، تا: قرن ۷؛ از لحاظ نوع کاغذ و خط و مرکب به کتب عهد مؤلف شباهت دارد و بدون تردید از نوشته های قرن هفتم به بعد نیست؛ جلد: چرمی تریاکی، ۶۵گی، ۱۷سطر،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سم [ف: ۱-۱۸۸]</w:t>
      </w:r>
    </w:p>
    <w:p>
      <w:pPr>
        <w:pStyle w:val="BookText"/>
      </w:pPr>
      <w:r>
        <w:rPr>
          <w:rFonts w:ascii="IRNazanin" w:hAnsi="IRNazanin" w:eastAsia="IRNazanin" w:cs="IRNazanin"/>
          <w:lang w:bidi="fa-IR"/>
          <w:color w:val="111111"/>
          <w:sz w:val="28"/>
          <w:szCs w:val="28"/>
          <w:rtl/>
        </w:rPr>
        <w:t xml:space="preserve">٢. اصفهان؛ مهدوی، مصلح الدین، شماره نسخه:۲۳</w:t>
      </w:r>
    </w:p>
    <w:p>
      <w:pPr>
        <w:pStyle w:val="BookText"/>
      </w:pPr>
      <w:r>
        <w:rPr>
          <w:rFonts w:ascii="IRNazanin" w:hAnsi="IRNazanin" w:eastAsia="IRNazanin" w:cs="IRNazanin"/>
          <w:lang w:bidi="fa-IR"/>
          <w:color w:val="111111"/>
          <w:sz w:val="28"/>
          <w:szCs w:val="28"/>
          <w:rtl/>
        </w:rPr>
        <w:t xml:space="preserve">خط: نسخ، كا: محمد واسطی، تا: قرن ۱۱؛ تملک: محمد قاسم بن محمد ظهير حافظ کلام الله؛ جلد: تیماج قهوه ای ضربی، ۸۳گ، ۱۵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۳۱]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دائرة المعارف؛ شماره نسخه:۲۵۶-عکسی</w:t>
      </w:r>
    </w:p>
    <w:p>
      <w:pPr>
        <w:pStyle w:val="BookText"/>
      </w:pPr>
      <w:r>
        <w:rPr>
          <w:rFonts w:ascii="IRNazanin" w:hAnsi="IRNazanin" w:eastAsia="IRNazanin" w:cs="IRNazanin"/>
          <w:lang w:bidi="fa-IR"/>
          <w:color w:val="111111"/>
          <w:sz w:val="28"/>
          <w:szCs w:val="28"/>
          <w:rtl/>
        </w:rPr>
        <w:t xml:space="preserve">آغاز: برابر؛ انجام: عند اهل اللغة الخشوش مواضع ... نسخه اصل: گنج بخش ش ۱۴۳۰. انجام در باب ۶ افتاده؛ خط: نسخ پخته، بی کا، بی تا؛ افتادگی: انجام، ۱۲۲ص [عکسی ف: ۲-۵۸]</w:t>
      </w:r>
    </w:p>
    <w:p>
      <w:pPr>
        <w:pStyle w:val="Heading3"/>
      </w:pPr>
      <w:bookmarkStart w:id="2956" w:name="_Toc2216"/>
      <w:r>
        <w:t>•التبيان في اعراب القرآن = املاء ما من به الرحمن من وجوه الاعراب و القراءات في جميع القرآن = اعراب ابوالبقاء / علوم قرآن / عربی</w:t>
      </w:r>
      <w:bookmarkEnd w:id="2956"/>
    </w:p>
    <w:p>
      <w:pPr>
        <w:pStyle w:val="BookText"/>
      </w:pPr>
      <w:r>
        <w:rPr>
          <w:rFonts w:ascii="Times New Roman" w:hAnsi="Times New Roman" w:eastAsia="Times New Roman" w:cs="Times New Roman"/>
          <w:lang w:val="en-US" w:bidi="en-US"/>
          <w:color w:val="111111"/>
          <w:sz w:val="28"/>
          <w:szCs w:val="28"/>
          <w:rtl/>
        </w:rPr>
        <w:t xml:space="preserve">at-tibyān fi i'rāb-il qur'ān=imlā’-u mā min bi-hi-r raḥmān min wujūh-il i'rāb wa-l qirā’āt</w:t>
      </w:r>
    </w:p>
    <w:p>
      <w:pPr>
        <w:pStyle w:val="BookText"/>
      </w:pPr>
      <w:r>
        <w:rPr>
          <w:rFonts w:ascii="IRNazanin" w:hAnsi="IRNazanin" w:eastAsia="IRNazanin" w:cs="IRNazanin"/>
          <w:lang w:bidi="fa-IR"/>
          <w:color w:val="111111"/>
          <w:sz w:val="28"/>
          <w:szCs w:val="28"/>
          <w:rtl/>
        </w:rPr>
        <w:t xml:space="preserve">عکبری، عبدالله بن حسين، ۵۳۸-۶۱۶ قمری</w:t>
      </w:r>
    </w:p>
    <w:p>
      <w:pPr>
        <w:pStyle w:val="BookText"/>
      </w:pPr>
      <w:r>
        <w:rPr>
          <w:rFonts w:ascii="Times New Roman" w:hAnsi="Times New Roman" w:eastAsia="Times New Roman" w:cs="Times New Roman"/>
          <w:lang w:val="en-US" w:bidi="en-US"/>
          <w:color w:val="111111"/>
          <w:sz w:val="28"/>
          <w:szCs w:val="28"/>
          <w:rtl/>
        </w:rPr>
        <w:t xml:space="preserve">‘okbarī, ‘abd-ol-lāh ebn-e hoseyn (1144-1220)</w:t>
      </w:r>
    </w:p>
    <w:p>
      <w:pPr>
        <w:pStyle w:val="BookText"/>
      </w:pPr>
      <w:r>
        <w:rPr>
          <w:rFonts w:ascii="IRNazanin" w:hAnsi="IRNazanin" w:eastAsia="IRNazanin" w:cs="IRNazanin"/>
          <w:lang w:bidi="fa-IR"/>
          <w:color w:val="111111"/>
          <w:sz w:val="28"/>
          <w:szCs w:val="28"/>
          <w:rtl/>
        </w:rPr>
        <w:t xml:space="preserve">آیات و کلمات قرآن را از اول تا آخر ترکیب می کند و ضمنا قراءات مختلف را ذکر کرده و وجه اعراب آن را بیان می نماید و برای آنها شواهدی از لغات و اشعار بیان می کند و مختصرة متعرض جهات نحوی آیات شده است. در نسخه چاپی اشتباها نسبت داده شده به ابوالبقاء نحوی رازی. این تفسیر را چنانکه خود در مقدمه فرموده مختص به اعراب كلمات قرآن و وجوه قرائات آنها قرار داده و آن را «التبيان في اعراب القرآن» و اعراب ابوالبقاء» و «املاء ما من به الرحمن من وجوه الاعراب والقرائات في جميع القرآن» گویند. آیات و کلمات قرآن را از اول تا آخر ترکیب می کند و ضمن قراءات مختلف را ذکر کرده ووجه اعراب آن را بیان می نماید. آغاز: بسملة. الحمدلله الذي وفقنا لحفظ كتابه و وفقنا على الجليل من حكمه ... اما بعد فان اولی ماغنى باغي العلم بمراعاته واحق ما صرف الغاية الى انجام: و اما الناس الاخير فقيل هو معطوف على ذى الوسواس ای من شر القبيلين و قیل هو معطوف على الجنة. آخر الكتاب و الحمدلله رب العالمين و الصلوة و السلام على خير خلقه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و آله الأكرمين.</w:t>
      </w:r>
    </w:p>
    <w:p>
      <w:pPr>
        <w:pStyle w:val="BookText"/>
      </w:pPr>
      <w:r>
        <w:rPr>
          <w:rFonts w:ascii="IRNazanin" w:hAnsi="IRNazanin" w:eastAsia="IRNazanin" w:cs="IRNazanin"/>
          <w:lang w:bidi="fa-IR"/>
          <w:color w:val="111111"/>
          <w:sz w:val="28"/>
          <w:szCs w:val="28"/>
          <w:rtl/>
        </w:rPr>
        <w:t xml:space="preserve">چاپ: مطبوعات شرف، جزء ۲، ۱۳۰۳ق؛ المطبوعات الميمنيه ۱۳۰۶ق؛ طهران، سنگی، ۱۲۷۶ق، رحلی</w:t>
      </w:r>
    </w:p>
    <w:p>
      <w:pPr>
        <w:pStyle w:val="BookText"/>
      </w:pPr>
      <w:r>
        <w:rPr>
          <w:rFonts w:ascii="IRNazanin" w:hAnsi="IRNazanin" w:eastAsia="IRNazanin" w:cs="IRNazanin"/>
          <w:lang w:bidi="fa-IR"/>
          <w:color w:val="111111"/>
          <w:sz w:val="28"/>
          <w:szCs w:val="28"/>
          <w:rtl/>
        </w:rPr>
        <w:t xml:space="preserve">[ کشف الظنون ۳۴۱/۱ ؛ ذخائر التراث العربي الاسلامی ۶۹۴/۲ ؛ مشار عربی ص ۱۵۹؛ معجم المطبوعات ج ۱ص ۲۹۴؛ الأوقاف العامة بغداد ۵۷/۱؛ دنا ۷۷۶/۲ (۴۳ نسخه)]</w:t>
      </w:r>
    </w:p>
    <w:p>
      <w:pPr>
        <w:pStyle w:val="BookText"/>
      </w:pPr>
      <w:r>
        <w:rPr>
          <w:rFonts w:ascii="IRNazanin" w:hAnsi="IRNazanin" w:eastAsia="IRNazanin" w:cs="IRNazanin"/>
          <w:lang w:bidi="fa-IR"/>
          <w:color w:val="111111"/>
          <w:sz w:val="28"/>
          <w:szCs w:val="28"/>
          <w:rtl/>
        </w:rPr>
        <w:t xml:space="preserve">١. شیراز؛ ملی؛ شماره نسخه:۱۹-ت/۱۳۲</w:t>
      </w:r>
    </w:p>
    <w:p>
      <w:pPr>
        <w:pStyle w:val="BookText"/>
      </w:pPr>
      <w:r>
        <w:rPr>
          <w:rFonts w:ascii="IRNazanin" w:hAnsi="IRNazanin" w:eastAsia="IRNazanin" w:cs="IRNazanin"/>
          <w:lang w:bidi="fa-IR"/>
          <w:color w:val="111111"/>
          <w:sz w:val="28"/>
          <w:szCs w:val="28"/>
          <w:rtl/>
        </w:rPr>
        <w:t xml:space="preserve">آغاز: بسمله و به نستعين سورة الأعراف المص قد ذكر نا في اول البقره ما يصلح أن يكون هاهنا؛ انجام: وافق الفراغ منه يوم الجمعه حادي عشر ربيع الآخر من سنه خمسین و ستمائه كتبه محمد بن على بن يوسف ابن عمر التفليسی</w:t>
      </w:r>
    </w:p>
    <w:p>
      <w:pPr>
        <w:pStyle w:val="BookText"/>
      </w:pPr>
      <w:r>
        <w:rPr>
          <w:rFonts w:ascii="IRNazanin" w:hAnsi="IRNazanin" w:eastAsia="IRNazanin" w:cs="IRNazanin"/>
          <w:lang w:bidi="fa-IR"/>
          <w:color w:val="111111"/>
          <w:sz w:val="28"/>
          <w:szCs w:val="28"/>
          <w:rtl/>
        </w:rPr>
        <w:t xml:space="preserve">جلد دوم و تا آخر قران؛ خط: نسخ، کا: محمد بن على بن يوسف عمر تفلیسی، تا: ۶۵۰ق؛ کاغذ: سمرقندی، جلد: مقوا با کاغذ ابری، ۲۱۹گ، ۱۹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اندازه: ۲۳/۵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سم [ف: ۱-۱۱۲]</w:t>
      </w:r>
    </w:p>
    <w:p>
      <w:pPr>
        <w:pStyle w:val="BookText"/>
      </w:pPr>
      <w:r>
        <w:rPr>
          <w:rFonts w:ascii="IRNazanin" w:hAnsi="IRNazanin" w:eastAsia="IRNazanin" w:cs="IRNazanin"/>
          <w:lang w:bidi="fa-IR"/>
          <w:color w:val="111111"/>
          <w:sz w:val="28"/>
          <w:szCs w:val="28"/>
          <w:rtl/>
        </w:rPr>
        <w:t xml:space="preserve">۲. تهران؛ سپهسالار؛ شماره نسخه: ۲۰۶۳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كا: ابو محمد بن هبة الله، تا: ۶۵۹ق؛ اوراق زیادی از آن افتاده بوده و مسلما این قسمت نونویس هم قبل از قرن یازدهم بوده؛ واقف: سپهسالار؛ کاغذ: حنایی، جلد: چرمی ضربی، ۲۰۶ص، مختلف السطر، اندازه: ۱۸</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۲۴/۵ سم [ف: ۱-۹۷]</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ملک؛ شماره نسخه:۶۱۵۶</w:t>
      </w:r>
    </w:p>
    <w:p>
      <w:pPr>
        <w:pStyle w:val="BookText"/>
      </w:pPr>
      <w:r>
        <w:rPr>
          <w:rFonts w:ascii="IRNazanin" w:hAnsi="IRNazanin" w:eastAsia="IRNazanin" w:cs="IRNazanin"/>
          <w:lang w:bidi="fa-IR"/>
          <w:color w:val="111111"/>
          <w:sz w:val="28"/>
          <w:szCs w:val="28"/>
          <w:rtl/>
        </w:rPr>
        <w:t xml:space="preserve">خط: نسخ، بی کا، تا: قرن ۷ و ۱۸ کاغذ: دولت آبادی، جلد: میشن قرمز، ۲۴۳گ، ۲۳ سطر، اندازه: ۲۵/۸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۱۸/۲ سم [ف: ۱-۸۰ ]</w:t>
      </w:r>
    </w:p>
    <w:p>
      <w:pPr>
        <w:pStyle w:val="BookText"/>
      </w:pPr>
      <w:r>
        <w:rPr>
          <w:rFonts w:ascii="IRNazanin" w:hAnsi="IRNazanin" w:eastAsia="IRNazanin" w:cs="IRNazanin"/>
          <w:lang w:bidi="fa-IR"/>
          <w:color w:val="111111"/>
          <w:sz w:val="28"/>
          <w:szCs w:val="28"/>
          <w:rtl/>
        </w:rPr>
        <w:t xml:space="preserve">۴. تهران؛ الهیات؛ شماره نسخه:۱۶۵</w:t>
      </w:r>
    </w:p>
    <w:p>
      <w:pPr>
        <w:pStyle w:val="BookText"/>
      </w:pPr>
      <w:r>
        <w:rPr>
          <w:rFonts w:ascii="IRNazanin" w:hAnsi="IRNazanin" w:eastAsia="IRNazanin" w:cs="IRNazanin"/>
          <w:lang w:bidi="fa-IR"/>
          <w:color w:val="111111"/>
          <w:sz w:val="28"/>
          <w:szCs w:val="28"/>
          <w:rtl/>
        </w:rPr>
        <w:t xml:space="preserve">جلد ۲ از آیه ۱۷۰ سوره اعراف تا پایان قرآن؛ خط: نسخ، بی کا، تا: قرن ۷و ۸ پایان نونویس حاجی محمد شوشتری، مقابله شده، محشي با نشان «کشف المشكلات»؛ تملک: عثمان بن حسين؛ خریداری شده احمد بن محمد بن احمد اردبیلی در شهر سر من رأي (سامرا) با تاریخ ۷۰۴؛ کاغذ: سمرقندی، جلد: تیماج مشکی، ۲۰۶گ، ۲۱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۴۸۱]</w:t>
      </w:r>
    </w:p>
    <w:p>
      <w:pPr>
        <w:pStyle w:val="BookText"/>
      </w:pPr>
      <w:r>
        <w:rPr>
          <w:rFonts w:ascii="IRNazanin" w:hAnsi="IRNazanin" w:eastAsia="IRNazanin" w:cs="IRNazanin"/>
          <w:lang w:bidi="fa-IR"/>
          <w:color w:val="111111"/>
          <w:sz w:val="28"/>
          <w:szCs w:val="28"/>
          <w:rtl/>
        </w:rPr>
        <w:t xml:space="preserve">۵. تهران، دانشگاه؛ شماره نسخه: ۲۰۵۱</w:t>
      </w:r>
    </w:p>
    <w:p>
      <w:pPr>
        <w:pStyle w:val="BookText"/>
      </w:pPr>
      <w:r>
        <w:rPr>
          <w:rFonts w:ascii="IRNazanin" w:hAnsi="IRNazanin" w:eastAsia="IRNazanin" w:cs="IRNazanin"/>
          <w:lang w:bidi="fa-IR"/>
          <w:color w:val="111111"/>
          <w:sz w:val="28"/>
          <w:szCs w:val="28"/>
          <w:rtl/>
        </w:rPr>
        <w:t xml:space="preserve">از آغاز است تا تفسیر سوره ناس و پایان کتاب؛ خط: نسخ، بی کا، تا: قرن ۷ و ۸؛ در چند جا بلاغ سماع مؤلف در هامش، عبد المؤمن محمد شریف اردستانی در رمضان ۷۹۵ نسخه را وقف نموده و عبارت «وقف نعمة الله» در آن آمده؛ تملک: محمدرضا بن محمد صدرشیرازی در جمادی الثانی ۱۱۴۹؛ کاغذ: سمرقندی، جلد: مقوا، ۲۸گ، ۲۳ سطر (۱۲/۵</w:t>
      </w:r>
    </w:p>
    <w:p>
      <w:pPr>
        <w:pStyle w:val="BookText"/>
      </w:pP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۱۹/۵)، اندازه: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سم [ف: ۸-۶۸۰]</w:t>
      </w:r>
    </w:p>
    <w:p>
      <w:pPr>
        <w:pStyle w:val="BookText"/>
      </w:pPr>
      <w:r>
        <w:rPr>
          <w:rFonts w:ascii="IRNazanin" w:hAnsi="IRNazanin" w:eastAsia="IRNazanin" w:cs="IRNazanin"/>
          <w:lang w:bidi="fa-IR"/>
          <w:color w:val="111111"/>
          <w:sz w:val="28"/>
          <w:szCs w:val="28"/>
          <w:rtl/>
        </w:rPr>
        <w:t xml:space="preserve">6 . تهران؛ حقوق؛ شماره نسخه:۲۵-ج</w:t>
      </w:r>
    </w:p>
    <w:p>
      <w:pPr>
        <w:pStyle w:val="BookText"/>
      </w:pPr>
      <w:r>
        <w:rPr>
          <w:rFonts w:ascii="IRNazanin" w:hAnsi="IRNazanin" w:eastAsia="IRNazanin" w:cs="IRNazanin"/>
          <w:lang w:bidi="fa-IR"/>
          <w:color w:val="111111"/>
          <w:sz w:val="28"/>
          <w:szCs w:val="28"/>
          <w:rtl/>
        </w:rPr>
        <w:t xml:space="preserve">از نیمه اعراب استعاذه است (الضمة على الواو فنقلت الى العين) تا نیمه های سوره انعام (قوله تعالی ممن كذب)؛ خط: نسخ، بی کا، تا: قرن ۸ افتادگی: آغاز و انجام کاغذ: سمرقندی، جلد: تیماج مشکی، ۱۶۴گ، ۲۲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۲۸۲]</w:t>
      </w:r>
    </w:p>
    <w:p>
      <w:pPr>
        <w:pStyle w:val="BookText"/>
      </w:pPr>
      <w:r>
        <w:rPr>
          <w:rFonts w:ascii="IRNazanin" w:hAnsi="IRNazanin" w:eastAsia="IRNazanin" w:cs="IRNazanin"/>
          <w:lang w:bidi="fa-IR"/>
          <w:color w:val="111111"/>
          <w:sz w:val="28"/>
          <w:szCs w:val="28"/>
          <w:rtl/>
        </w:rPr>
        <w:t xml:space="preserve">۷. شیراز؛ ملی؛ شماره نسخه:۱۳-ت/۷۷</w:t>
      </w:r>
    </w:p>
    <w:p>
      <w:pPr>
        <w:pStyle w:val="BookText"/>
      </w:pPr>
      <w:r>
        <w:rPr>
          <w:rFonts w:ascii="IRNazanin" w:hAnsi="IRNazanin" w:eastAsia="IRNazanin" w:cs="IRNazanin"/>
          <w:lang w:bidi="fa-IR"/>
          <w:color w:val="111111"/>
          <w:sz w:val="28"/>
          <w:szCs w:val="28"/>
          <w:rtl/>
        </w:rPr>
        <w:t xml:space="preserve">آغاز: من المشكلات فقصدت بی هذا الكتاب الى تفسير مشكل الاعراب و ذکر علله؛ انجام: برابر خط: نسخ، بی کا، تا: شنبه ۱۰ ذیقعده ۷۱۷ق، کاغذ: سمرقندی، جلد: مقوا با تیماج مشکی، ۳۱۲، ۱۷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۲۶/۵سم (ف: ۱- ۶۹)</w:t>
      </w:r>
    </w:p>
    <w:p>
      <w:pPr>
        <w:pStyle w:val="BookText"/>
      </w:pPr>
      <w:r>
        <w:rPr>
          <w:rFonts w:ascii="IRNazanin" w:hAnsi="IRNazanin" w:eastAsia="IRNazanin" w:cs="IRNazanin"/>
          <w:lang w:bidi="fa-IR"/>
          <w:color w:val="111111"/>
          <w:sz w:val="28"/>
          <w:szCs w:val="28"/>
          <w:rtl/>
        </w:rPr>
        <w:t xml:space="preserve">۸. شیراز؛ علامه طباطبائی؛ شماره نسخه: ۴۶۳</w:t>
      </w:r>
    </w:p>
    <w:p>
      <w:pPr>
        <w:pStyle w:val="BookText"/>
      </w:pPr>
      <w:r>
        <w:rPr>
          <w:rFonts w:ascii="IRNazanin" w:hAnsi="IRNazanin" w:eastAsia="IRNazanin" w:cs="IRNazanin"/>
          <w:lang w:bidi="fa-IR"/>
          <w:color w:val="111111"/>
          <w:sz w:val="28"/>
          <w:szCs w:val="28"/>
          <w:rtl/>
        </w:rPr>
        <w:t xml:space="preserve">خط: نسخ، کا: محمد بن ابراهیم بن عثمان حنفی، تا: ۲۹ محرم ۷۲۹ق؛ مصحح، مقابله شده؛ اندازه: ۲۳۷۱۷سم [ نسخه پژوهی: ۲-۱۲۲]</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اصفهان؛ مهدوی، مصلح الدین، شماره نسخه:۲</w:t>
      </w:r>
    </w:p>
    <w:p>
      <w:pPr>
        <w:pStyle w:val="BookText"/>
      </w:pPr>
      <w:r>
        <w:rPr>
          <w:rFonts w:ascii="IRNazanin" w:hAnsi="IRNazanin" w:eastAsia="IRNazanin" w:cs="IRNazanin"/>
          <w:lang w:bidi="fa-IR"/>
          <w:color w:val="111111"/>
          <w:sz w:val="28"/>
          <w:szCs w:val="28"/>
          <w:rtl/>
        </w:rPr>
        <w:t xml:space="preserve">خط: نسخ زیبا، بی کا، تا: ۲۱ رمضان ۷۳۷ق؛ جلد: تیماج قهوه ای، ۲۷۵ گ، ۲۳ سطر، اندازه: ۲۳/۵</w:t>
      </w:r>
      <w:r>
        <w:rPr>
          <w:rFonts w:ascii="Times New Roman" w:hAnsi="Times New Roman" w:eastAsia="Times New Roman" w:cs="Times New Roman"/>
          <w:lang w:val="en-US" w:bidi="en-US"/>
          <w:color w:val="111111"/>
          <w:sz w:val="28"/>
          <w:szCs w:val="28"/>
          <w:rtl/>
        </w:rPr>
        <w:t xml:space="preserve">x</w:t>
      </w:r>
      <w:r>
        <w:rPr>
          <w:rFonts w:ascii="IRNazanin" w:hAnsi="IRNazanin" w:eastAsia="IRNazanin" w:cs="IRNazanin"/>
          <w:lang w:bidi="fa-IR"/>
          <w:color w:val="111111"/>
          <w:sz w:val="28"/>
          <w:szCs w:val="28"/>
          <w:rtl/>
        </w:rPr>
        <w:t xml:space="preserve">۱۵/۵ سم [ف: ۱۵]</w:t>
      </w:r>
    </w:p>
    <w:p>
      <w:pPr>
        <w:pStyle w:val="BookText"/>
      </w:pPr>
      <w:r>
        <w:rPr>
          <w:rFonts w:ascii="IRNazanin" w:hAnsi="IRNazanin" w:eastAsia="IRNazanin" w:cs="IRNazanin"/>
          <w:lang w:bidi="fa-IR"/>
          <w:color w:val="111111"/>
          <w:sz w:val="28"/>
          <w:szCs w:val="28"/>
          <w:rtl/>
        </w:rPr>
        <w:t xml:space="preserve">۱۰. شیراز؛ امام عصر؛ شماره نسخه:۱۷۴</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تا سوره قلم؛ خط: نسخ، بی کا، تا: قرن ۹، افتادگی: انجام؛ مصحح؛ تملک: مظفر بن غدير مسمی به على بر عشی، شیخ صالح بن عبد الكريم بحرانی در ۲۹ ربیع الاول ۱۰۸۱ با مهر، ابو الخیر محمد بن محمد بن محمد الحافظ القاری، ابو محمد وجيه الدین سلیمان، سید ماجد حسینی با مهر؛ ۱۹۴گ، ۲۵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۱-۱۶]</w:t>
      </w:r>
    </w:p>
    <w:p>
      <w:pPr>
        <w:pStyle w:val="BookText"/>
      </w:pPr>
      <w:r>
        <w:rPr>
          <w:rFonts w:ascii="IRNazanin" w:hAnsi="IRNazanin" w:eastAsia="IRNazanin" w:cs="IRNazanin"/>
          <w:lang w:bidi="fa-IR"/>
          <w:color w:val="111111"/>
          <w:sz w:val="28"/>
          <w:szCs w:val="28"/>
          <w:rtl/>
        </w:rPr>
        <w:t xml:space="preserve">قم؛ مرکز احیاء؛ شماره نسخه: ۱۹۹۱</w:t>
      </w:r>
    </w:p>
    <w:p>
      <w:pPr>
        <w:pStyle w:val="BookText"/>
      </w:pPr>
      <w:r>
        <w:rPr>
          <w:rFonts w:ascii="IRNazanin" w:hAnsi="IRNazanin" w:eastAsia="IRNazanin" w:cs="IRNazanin"/>
          <w:lang w:bidi="fa-IR"/>
          <w:color w:val="111111"/>
          <w:sz w:val="28"/>
          <w:szCs w:val="28"/>
          <w:rtl/>
        </w:rPr>
        <w:t xml:space="preserve">نسخه اصل: همان نسخه بالا [عکسی ف: ۵-۴۴۵]</w:t>
      </w:r>
    </w:p>
    <w:p>
      <w:pPr>
        <w:pStyle w:val="BookText"/>
      </w:pPr>
      <w:r>
        <w:rPr>
          <w:rFonts w:ascii="IRNazanin" w:hAnsi="IRNazanin" w:eastAsia="IRNazanin" w:cs="IRNazanin"/>
          <w:lang w:bidi="fa-IR"/>
          <w:color w:val="111111"/>
          <w:sz w:val="28"/>
          <w:szCs w:val="28"/>
          <w:rtl/>
        </w:rPr>
        <w:t xml:space="preserve">۱۱. یزد؛ وزیری؛ شماره نسخه: ۱۵۷۰</w:t>
      </w:r>
    </w:p>
    <w:p>
      <w:pPr>
        <w:pStyle w:val="BookText"/>
      </w:pPr>
      <w:r>
        <w:rPr>
          <w:rFonts w:ascii="IRNazanin" w:hAnsi="IRNazanin" w:eastAsia="IRNazanin" w:cs="IRNazanin"/>
          <w:lang w:bidi="fa-IR"/>
          <w:color w:val="111111"/>
          <w:sz w:val="28"/>
          <w:szCs w:val="28"/>
          <w:rtl/>
        </w:rPr>
        <w:t xml:space="preserve">آغاز: و حذفت الألف من الخط لكثرة الاستعمال؛ انجام: و قيل الباء بمعنی علی و قيل على اصلها انزلناه</w:t>
      </w:r>
    </w:p>
    <w:p>
      <w:pPr>
        <w:pStyle w:val="BookText"/>
      </w:pPr>
      <w:r>
        <w:rPr>
          <w:rFonts w:ascii="IRNazanin" w:hAnsi="IRNazanin" w:eastAsia="IRNazanin" w:cs="IRNazanin"/>
          <w:lang w:bidi="fa-IR"/>
          <w:color w:val="111111"/>
          <w:sz w:val="28"/>
          <w:szCs w:val="28"/>
          <w:rtl/>
        </w:rPr>
        <w:t xml:space="preserve">خط: نسخ، كا: رمضان على، تا: قرن ۹، افتادگی: آغاز و انجام؛ اهدایی: وزیری؛ کاغذ: اصفهانی، جلد: مقوایی، ۷۱گ، مختلف السطر،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۳-۹۹۲]</w:t>
      </w:r>
    </w:p>
    <w:p>
      <w:pPr>
        <w:pStyle w:val="BookText"/>
      </w:pPr>
      <w:r>
        <w:rPr>
          <w:rFonts w:ascii="IRNazanin" w:hAnsi="IRNazanin" w:eastAsia="IRNazanin" w:cs="IRNazanin"/>
          <w:lang w:bidi="fa-IR"/>
          <w:color w:val="111111"/>
          <w:sz w:val="28"/>
          <w:szCs w:val="28"/>
          <w:rtl/>
        </w:rPr>
        <w:t xml:space="preserve">۱۲. قم؛ گلپایگانی؛ شماره نسخه:۳۴۷- ۲/۱۶۷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حسن بن ابی یزید بن حسن حافظ اصفهانی، تا: جمعه ۱۱ذیحجه ۸۳۵ق؛ دارای علامات بلاغ، مصحح، محشی با نشان «کشاف» و «غرائب» و با امضاء «ق» و «ک»؛ مهر: محمد صادق الموسوی ۱۱۵۸ (بیضوی)؛ تملك: سید محمد تقی بن ابی القاسم موسوی حسینی؛ واقف: هاجر خانم بنت سید مهدی ۱۲۷۶ق؛ جلد: تیماج مشکی با ترنج با سر، ۳۳۵گ، ۱۹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۲-۷۱۳]</w:t>
      </w:r>
    </w:p>
    <w:p>
      <w:pPr>
        <w:pStyle w:val="BookText"/>
      </w:pPr>
      <w:r>
        <w:rPr>
          <w:rFonts w:ascii="IRNazanin" w:hAnsi="IRNazanin" w:eastAsia="IRNazanin" w:cs="IRNazanin"/>
          <w:lang w:bidi="fa-IR"/>
          <w:color w:val="111111"/>
          <w:sz w:val="28"/>
          <w:szCs w:val="28"/>
          <w:rtl/>
        </w:rPr>
        <w:t xml:space="preserve">۱۳. تهران؛ دانشگاه؛ شماره نسخه: ۸۱۷۲</w:t>
      </w:r>
    </w:p>
    <w:p>
      <w:pPr>
        <w:pStyle w:val="BookText"/>
      </w:pPr>
      <w:r>
        <w:rPr>
          <w:rFonts w:ascii="IRNazanin" w:hAnsi="IRNazanin" w:eastAsia="IRNazanin" w:cs="IRNazanin"/>
          <w:lang w:bidi="fa-IR"/>
          <w:color w:val="111111"/>
          <w:sz w:val="28"/>
          <w:szCs w:val="28"/>
          <w:rtl/>
        </w:rPr>
        <w:t xml:space="preserve">خط: نسخ، بی کا، تا: قرن ۱۰؛ افتادگی: آغاز؛ در پایان «فائدة من کلام شيخنا الشيخ علي بن عبد العالي على مقالة ابن المتوج» است که حاشیه ای است فقهی در ۳ص؛ کاغذ: سمرقندی، جلد: تیماج قهوه ای ضربی، ۲۷۴گ، ۱۷ سطر (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 ۱۷-۴۷]</w:t>
      </w:r>
    </w:p>
    <w:p>
      <w:pPr>
        <w:pStyle w:val="BookText"/>
      </w:pPr>
      <w:r>
        <w:rPr>
          <w:rFonts w:ascii="IRNazanin" w:hAnsi="IRNazanin" w:eastAsia="IRNazanin" w:cs="IRNazanin"/>
          <w:lang w:bidi="fa-IR"/>
          <w:color w:val="111111"/>
          <w:sz w:val="28"/>
          <w:szCs w:val="28"/>
          <w:rtl/>
        </w:rPr>
        <w:t xml:space="preserve">۱۴. اصفهان؛ روضاتی؛ شماره نسخه: ۱۳۲</w:t>
      </w:r>
    </w:p>
    <w:p>
      <w:pPr>
        <w:pStyle w:val="BookText"/>
      </w:pPr>
      <w:r>
        <w:rPr>
          <w:rFonts w:ascii="IRNazanin" w:hAnsi="IRNazanin" w:eastAsia="IRNazanin" w:cs="IRNazanin"/>
          <w:lang w:bidi="fa-IR"/>
          <w:color w:val="111111"/>
          <w:sz w:val="28"/>
          <w:szCs w:val="28"/>
          <w:rtl/>
        </w:rPr>
        <w:t xml:space="preserve">آغاز: عن الأئمة الأثبات، و الكتب المؤلفة في هذه العلم كثيرة جدة مختلفة ترتیبة واحدة؛ انجام: و في جيدها حبل مبتدا و خبر في موضع الحال من الضمير في حمالة ... خط: نسخ زیبا، بی کا، تا: قرن ۱۰؛ افتادگی: آغاز و انجام؛ مجدول به طلا و مشکی؛ ۲۱ سطر،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۹۲]</w:t>
      </w:r>
    </w:p>
    <w:p>
      <w:pPr>
        <w:pStyle w:val="BookText"/>
      </w:pPr>
      <w:r>
        <w:rPr>
          <w:rFonts w:ascii="IRNazanin" w:hAnsi="IRNazanin" w:eastAsia="IRNazanin" w:cs="IRNazanin"/>
          <w:lang w:bidi="fa-IR"/>
          <w:color w:val="111111"/>
          <w:sz w:val="28"/>
          <w:szCs w:val="28"/>
          <w:rtl/>
        </w:rPr>
        <w:t xml:space="preserve">۱۵. شیراز؛ ثامنی، محمد رضا، شماره نسخه:۱۰</w:t>
      </w:r>
    </w:p>
    <w:p>
      <w:pPr>
        <w:pStyle w:val="BookText"/>
      </w:pPr>
      <w:r>
        <w:rPr>
          <w:rFonts w:ascii="IRNazanin" w:hAnsi="IRNazanin" w:eastAsia="IRNazanin" w:cs="IRNazanin"/>
          <w:lang w:bidi="fa-IR"/>
          <w:color w:val="111111"/>
          <w:sz w:val="28"/>
          <w:szCs w:val="28"/>
          <w:rtl/>
        </w:rPr>
        <w:t xml:space="preserve">خط: نسخ، بی کا، تا: قرن ۱۱؛ تملک: محمد جواد بن على صدرالدين مدنی حسینی حسنی؛ مهر: «صار وقف صدرالدین محمد بن محمد» (دایره ای)؛ جلد: تیماج قهوه ای مجدول،</w:t>
      </w:r>
    </w:p>
    <w:p>
      <w:pPr>
        <w:pStyle w:val="BookText"/>
      </w:pPr>
      <w:r>
        <w:rPr>
          <w:rFonts w:ascii="IRNazanin" w:hAnsi="IRNazanin" w:eastAsia="IRNazanin" w:cs="IRNazanin"/>
          <w:lang w:bidi="fa-IR"/>
          <w:color w:val="111111"/>
          <w:sz w:val="28"/>
          <w:szCs w:val="28"/>
          <w:rtl/>
        </w:rPr>
        <w:t xml:space="preserve">۴۱۸ص، قطع: رحلي [اوراق عتیق: ۱-۲۶۸]</w:t>
      </w:r>
    </w:p>
    <w:p>
      <w:pPr>
        <w:pStyle w:val="BookText"/>
      </w:pPr>
      <w:r>
        <w:rPr>
          <w:rFonts w:ascii="IRNazanin" w:hAnsi="IRNazanin" w:eastAsia="IRNazanin" w:cs="IRNazanin"/>
          <w:lang w:bidi="fa-IR"/>
          <w:color w:val="111111"/>
          <w:sz w:val="28"/>
          <w:szCs w:val="28"/>
          <w:rtl/>
        </w:rPr>
        <w:t xml:space="preserve">۱۶. تهران؛ الهیات؛ شماره نسخه:۵۳</w:t>
      </w:r>
    </w:p>
    <w:p>
      <w:pPr>
        <w:pStyle w:val="BookText"/>
      </w:pPr>
      <w:r>
        <w:rPr>
          <w:rFonts w:ascii="IRNazanin" w:hAnsi="IRNazanin" w:eastAsia="IRNazanin" w:cs="IRNazanin"/>
          <w:lang w:bidi="fa-IR"/>
          <w:color w:val="111111"/>
          <w:sz w:val="28"/>
          <w:szCs w:val="28"/>
          <w:rtl/>
        </w:rPr>
        <w:t xml:space="preserve">از آغاز قرآن تا پایان سوره انعام؛ خط: نسخ، بی کا، تا: قرن ۱۱؛ کاغذ: سمرقندی، جلد: تیماج سرخ مقوایی، ۱۸۳ گ، ۳۱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۴۸۱]</w:t>
      </w:r>
    </w:p>
    <w:p>
      <w:pPr>
        <w:pStyle w:val="BookText"/>
      </w:pPr>
      <w:r>
        <w:rPr>
          <w:rFonts w:ascii="IRNazanin" w:hAnsi="IRNazanin" w:eastAsia="IRNazanin" w:cs="IRNazanin"/>
          <w:lang w:bidi="fa-IR"/>
          <w:color w:val="111111"/>
          <w:sz w:val="28"/>
          <w:szCs w:val="28"/>
          <w:rtl/>
        </w:rPr>
        <w:t xml:space="preserve">۱۷. قم؛ مرعشی؛ شماره نسخه:۵۹۸۴</w:t>
      </w:r>
    </w:p>
    <w:p>
      <w:pPr>
        <w:pStyle w:val="BookText"/>
      </w:pPr>
      <w:r>
        <w:rPr>
          <w:rFonts w:ascii="IRNazanin" w:hAnsi="IRNazanin" w:eastAsia="IRNazanin" w:cs="IRNazanin"/>
          <w:lang w:bidi="fa-IR"/>
          <w:color w:val="111111"/>
          <w:sz w:val="28"/>
          <w:szCs w:val="28"/>
          <w:rtl/>
        </w:rPr>
        <w:t xml:space="preserve">خط: نسخ، بی کا، تا: قرن ۱۱؛ مصحح؛ تملک: محمد تقی بن الله قلی مشهور به ملا پروانه عباسی صفوی عباسی با مهر «محمد تقی من المذنبين» (بیضوی)، تملکی بدون نام بتاریخ ۱۱۷۳ در اصفهان با مهر «عبده اسماعيل» (بیضوی)؛ مهر: «الله اکبر» (مربع)؛ جلد: تیماج مشکی، ۱۵۹گ،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۱۵-۳۵۹]</w:t>
      </w:r>
    </w:p>
    <w:p>
      <w:pPr>
        <w:pStyle w:val="BookText"/>
      </w:pPr>
      <w:r>
        <w:rPr>
          <w:rFonts w:ascii="IRNazanin" w:hAnsi="IRNazanin" w:eastAsia="IRNazanin" w:cs="IRNazanin"/>
          <w:lang w:bidi="fa-IR"/>
          <w:color w:val="111111"/>
          <w:sz w:val="28"/>
          <w:szCs w:val="28"/>
          <w:rtl/>
        </w:rPr>
        <w:t xml:space="preserve">۱۸. تهران؛ سپهسالار؛ شماره نسخه:۵۱۷۵</w:t>
      </w:r>
    </w:p>
    <w:p>
      <w:pPr>
        <w:pStyle w:val="BookText"/>
      </w:pPr>
      <w:r>
        <w:rPr>
          <w:rFonts w:ascii="IRNazanin" w:hAnsi="IRNazanin" w:eastAsia="IRNazanin" w:cs="IRNazanin"/>
          <w:lang w:bidi="fa-IR"/>
          <w:color w:val="111111"/>
          <w:sz w:val="28"/>
          <w:szCs w:val="28"/>
          <w:rtl/>
        </w:rPr>
        <w:t xml:space="preserve">از آغاز تا آیه «لا يألونكم خبالا»؛ خط: نسخ، بی کا، تا: قرن ۱۱؛ کاغذ: سپاهانی، جلد: مقوایی ابری، ۹۶ ، ۲۰ سطر،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 سم [ف: ۳-۳۱۳]</w:t>
      </w:r>
    </w:p>
    <w:p>
      <w:pPr>
        <w:pStyle w:val="BookText"/>
      </w:pPr>
      <w:r>
        <w:rPr>
          <w:rFonts w:ascii="IRNazanin" w:hAnsi="IRNazanin" w:eastAsia="IRNazanin" w:cs="IRNazanin"/>
          <w:lang w:bidi="fa-IR"/>
          <w:color w:val="111111"/>
          <w:sz w:val="28"/>
          <w:szCs w:val="28"/>
          <w:rtl/>
        </w:rPr>
        <w:t xml:space="preserve">۱۹. اصفهان؛ عمومی اصفهان (فرهنگ سابق)؛ شماره نسخه:۲۶۹۹</w:t>
      </w:r>
    </w:p>
    <w:p>
      <w:pPr>
        <w:pStyle w:val="BookText"/>
      </w:pPr>
      <w:r>
        <w:rPr>
          <w:rFonts w:ascii="IRNazanin" w:hAnsi="IRNazanin" w:eastAsia="IRNazanin" w:cs="IRNazanin"/>
          <w:lang w:bidi="fa-IR"/>
          <w:color w:val="111111"/>
          <w:sz w:val="28"/>
          <w:szCs w:val="28"/>
          <w:rtl/>
        </w:rPr>
        <w:t xml:space="preserve">از سوره انفال تا آخر قرآن؛ خط: نسخ، بی کا، تا: شوال ۱۰۸۳ق؛ کاغذ: فرنگی، جلد: چرمی قرمز، ۳۲۷ص، ۲۰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۱-۱۹۷]</w:t>
      </w:r>
    </w:p>
    <w:p>
      <w:pPr>
        <w:pStyle w:val="BookText"/>
      </w:pPr>
      <w:r>
        <w:rPr>
          <w:rFonts w:ascii="IRNazanin" w:hAnsi="IRNazanin" w:eastAsia="IRNazanin" w:cs="IRNazanin"/>
          <w:lang w:bidi="fa-IR"/>
          <w:color w:val="111111"/>
          <w:sz w:val="28"/>
          <w:szCs w:val="28"/>
          <w:rtl/>
        </w:rPr>
        <w:t xml:space="preserve">۲۰. تهران؛ ملی؛ شماره نسخه: ۲۱۲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رضا بن محمد هاشم، تا: ۱۰۹۱ق؛ کاغذ: فرنگی، جلد: تیماج مشکی، عطف تیماج زرد، ۵۰۹گ، ۱۴ سطر (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۷-۱۸۳]</w:t>
      </w:r>
    </w:p>
    <w:p>
      <w:pPr>
        <w:pStyle w:val="BookText"/>
      </w:pPr>
      <w:r>
        <w:rPr>
          <w:rFonts w:ascii="IRNazanin" w:hAnsi="IRNazanin" w:eastAsia="IRNazanin" w:cs="IRNazanin"/>
          <w:lang w:bidi="fa-IR"/>
          <w:color w:val="111111"/>
          <w:sz w:val="28"/>
          <w:szCs w:val="28"/>
          <w:rtl/>
        </w:rPr>
        <w:t xml:space="preserve">۲۱. قم؛ مرعشی؛ شماره نسخه:۱۰۳۶</w:t>
      </w:r>
    </w:p>
    <w:p>
      <w:pPr>
        <w:pStyle w:val="BookText"/>
      </w:pPr>
      <w:r>
        <w:rPr>
          <w:rFonts w:ascii="IRNazanin" w:hAnsi="IRNazanin" w:eastAsia="IRNazanin" w:cs="IRNazanin"/>
          <w:lang w:bidi="fa-IR"/>
          <w:color w:val="111111"/>
          <w:sz w:val="28"/>
          <w:szCs w:val="28"/>
          <w:rtl/>
        </w:rPr>
        <w:t xml:space="preserve">خط: نسخ، كا: محمد هادی بن ابو تراب</w:t>
      </w:r>
    </w:p>
    <w:p>
      <w:pPr>
        <w:pStyle w:val="BookText"/>
      </w:pPr>
      <w:r>
        <w:rPr>
          <w:rFonts w:ascii="IRNazanin" w:hAnsi="IRNazanin" w:eastAsia="IRNazanin" w:cs="IRNazanin"/>
          <w:lang w:bidi="fa-IR"/>
          <w:color w:val="111111"/>
          <w:sz w:val="28"/>
          <w:szCs w:val="28"/>
          <w:rtl/>
        </w:rPr>
        <w:t xml:space="preserve">کنکازی، تا: جمعه ۴ شعبان ۱۰۹۱ق؛ کاتب اهل قرای اصفهان، یادداشتی که محمد به تاریخ ۱۵ شوال ۱۲۳۶ نوشته؛ مهر: «المتوكل على الله عبده محمد رضا» (بیضوی)، «محمد اسماعيل بن عبدالعزیز» (بیضوی)، «عبده احمد الحسینی» (مربع)، «أفوض أمري إلى الله عبده سید محمد الحسینی» (بیضوی)، «العبد سید محمد الحسینی» (مربع)؛ جلد: تیماج مشکی عطف تیماج قهوه ای، ۲۶۸گ، ۲۳ سطر،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۳-۲۲۷]</w:t>
      </w:r>
    </w:p>
    <w:p>
      <w:pPr>
        <w:pStyle w:val="BookText"/>
      </w:pPr>
      <w:r>
        <w:rPr>
          <w:rFonts w:ascii="IRNazanin" w:hAnsi="IRNazanin" w:eastAsia="IRNazanin" w:cs="IRNazanin"/>
          <w:lang w:bidi="fa-IR"/>
          <w:color w:val="111111"/>
          <w:sz w:val="28"/>
          <w:szCs w:val="28"/>
          <w:rtl/>
        </w:rPr>
        <w:t xml:space="preserve">۲۲. قم؛ مرکز احیاء؛ شماره نسخه:۱۶۸۴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۱۲؛ مصحح، وقفنامه کتاب با مهر «پیرو دین محمد رضا» (بیضوی)؛ جلد: تیماج قهوه ای، ۲۵۸گ، ۲۳ 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۵-۹۶]</w:t>
      </w:r>
    </w:p>
    <w:p>
      <w:pPr>
        <w:pStyle w:val="BookText"/>
      </w:pPr>
      <w:r>
        <w:rPr>
          <w:rFonts w:ascii="IRNazanin" w:hAnsi="IRNazanin" w:eastAsia="IRNazanin" w:cs="IRNazanin"/>
          <w:lang w:bidi="fa-IR"/>
          <w:color w:val="111111"/>
          <w:sz w:val="28"/>
          <w:szCs w:val="28"/>
          <w:rtl/>
        </w:rPr>
        <w:t xml:space="preserve">۲۳. اصفهان، مدرسه صدر بازار؛ شماره نسخه: ۴۴۲</w:t>
      </w:r>
    </w:p>
    <w:p>
      <w:pPr>
        <w:pStyle w:val="BookText"/>
      </w:pPr>
      <w:r>
        <w:rPr>
          <w:rFonts w:ascii="Amiri" w:hAnsi="Amiri" w:eastAsia="Amiri" w:cs="Amiri"/>
          <w:lang w:bidi="ar-SA"/>
          <w:color w:val="111111"/>
          <w:sz w:val="28"/>
          <w:szCs w:val="28"/>
          <w:rtl/>
        </w:rPr>
        <w:t xml:space="preserve">آغاز: الوجهين أحدهما انهم ما قالوا آمنا و خادعنا و الثاني انه أخبر عنهم بقوله يخادعون و لو كان منهم لكان نخادع بالنون</w:t>
      </w:r>
    </w:p>
    <w:p>
      <w:pPr>
        <w:pStyle w:val="BookText"/>
      </w:pPr>
      <w:r>
        <w:rPr>
          <w:rFonts w:ascii="IRNazanin" w:hAnsi="IRNazanin" w:eastAsia="IRNazanin" w:cs="IRNazanin"/>
          <w:lang w:bidi="fa-IR"/>
          <w:color w:val="111111"/>
          <w:sz w:val="28"/>
          <w:szCs w:val="28"/>
          <w:rtl/>
        </w:rPr>
        <w:t xml:space="preserve">خط: نسخ، بی کا، تا: قرن ۱۱ یا ۱۲؛ افتادگی: آغاز؛ مصحح، با امضای بلاغ؛ جلد: تیماج قرمز، ۲۰۵گ، ۲۳ سطر، اندازه: ۱۹/۵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۲۵/۵ سم [ف: ۲-۳۲۱]</w:t>
      </w:r>
    </w:p>
    <w:p>
      <w:pPr>
        <w:pStyle w:val="BookText"/>
      </w:pPr>
      <w:r>
        <w:rPr>
          <w:rFonts w:ascii="IRNazanin" w:hAnsi="IRNazanin" w:eastAsia="IRNazanin" w:cs="IRNazanin"/>
          <w:lang w:bidi="fa-IR"/>
          <w:color w:val="111111"/>
          <w:sz w:val="28"/>
          <w:szCs w:val="28"/>
          <w:rtl/>
        </w:rPr>
        <w:t xml:space="preserve">۲۴. مشهد؛ نواب؛ شماره نسخه:۴۹۹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زیبا، کا: جعفر، تا: ۲۶ شوال ۱۱۰۳ق؛ این نسخه را محمد نبی بن محمد مهدی جابری انصاری برای خود استكتاب نموده؛ تملک: محمد قاسم مورخ ۱۱۱۳ق در شیراز با مهر: «من توكل على الله فهو حسبه محمد قاسم» (بیضی)؛ واقف: امیر علیمردان خان تیموری -نصرت الملک، ۱۳۰۳ق؛ کاغذ: ترمه، جلد: مقوا عطف میشن، ۳۲۲گ، ۲۵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۴۱۰]</w:t>
      </w:r>
    </w:p>
    <w:p>
      <w:pPr>
        <w:pStyle w:val="BookText"/>
      </w:pPr>
      <w:r>
        <w:rPr>
          <w:rFonts w:ascii="IRNazanin" w:hAnsi="IRNazanin" w:eastAsia="IRNazanin" w:cs="IRNazanin"/>
          <w:lang w:bidi="fa-IR"/>
          <w:color w:val="111111"/>
          <w:sz w:val="28"/>
          <w:szCs w:val="28"/>
          <w:rtl/>
        </w:rPr>
        <w:t xml:space="preserve">۲۵. مشهد؛ مدرسه خیرات خان، شماره نسخه: ۶۸</w:t>
      </w:r>
    </w:p>
    <w:p>
      <w:pPr>
        <w:pStyle w:val="BookText"/>
      </w:pPr>
      <w:r>
        <w:rPr>
          <w:rFonts w:ascii="IRNazanin" w:hAnsi="IRNazanin" w:eastAsia="IRNazanin" w:cs="IRNazanin"/>
          <w:lang w:bidi="fa-IR"/>
          <w:color w:val="111111"/>
          <w:sz w:val="28"/>
          <w:szCs w:val="28"/>
          <w:rtl/>
        </w:rPr>
        <w:t xml:space="preserve">آغاز و انجام: برابر خط: نسخ، كا: جعفر، تا: ۲۶ شوال ۱۱۰۳ق؛ تملك: محمد قاسم در ۱۱۱۳ق در سبزوار؛ وقف به مدرسه خیرات خان و در سال ۱۳۱۱ بازدید و در ۱۳۰۴ داخل</w:t>
      </w:r>
    </w:p>
    <w:p>
      <w:pPr>
        <w:pStyle w:val="BookText"/>
      </w:pPr>
      <w:r>
        <w:rPr>
          <w:rFonts w:ascii="IRNazanin" w:hAnsi="IRNazanin" w:eastAsia="IRNazanin" w:cs="IRNazanin"/>
          <w:lang w:bidi="fa-IR"/>
          <w:color w:val="111111"/>
          <w:sz w:val="28"/>
          <w:szCs w:val="28"/>
          <w:rtl/>
        </w:rPr>
        <w:t xml:space="preserve">عرض گردید؛ واقف: نصرة الملك؛ کاغذ: نخودی، جلد: روغنی، ۳۴۰گ، ۲۵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[رشت و همدان: ف: ۱۷۲۴]</w:t>
      </w:r>
    </w:p>
    <w:p>
      <w:pPr>
        <w:pStyle w:val="BookText"/>
      </w:pPr>
      <w:r>
        <w:rPr>
          <w:rFonts w:ascii="IRNazanin" w:hAnsi="IRNazanin" w:eastAsia="IRNazanin" w:cs="IRNazanin"/>
          <w:lang w:bidi="fa-IR"/>
          <w:color w:val="111111"/>
          <w:sz w:val="28"/>
          <w:szCs w:val="28"/>
          <w:rtl/>
        </w:rPr>
        <w:t xml:space="preserve">۲۶. خوی؛ نمازی، شماره نسخه: ۳۸۵</w:t>
      </w:r>
    </w:p>
    <w:p>
      <w:pPr>
        <w:pStyle w:val="BookText"/>
      </w:pPr>
      <w:r>
        <w:rPr>
          <w:rFonts w:ascii="IRNazanin" w:hAnsi="IRNazanin" w:eastAsia="IRNazanin" w:cs="IRNazanin"/>
          <w:lang w:bidi="fa-IR"/>
          <w:color w:val="111111"/>
          <w:sz w:val="28"/>
          <w:szCs w:val="28"/>
          <w:rtl/>
        </w:rPr>
        <w:t xml:space="preserve">خط: نسخ، بی کا، تا: ۹ شعبان ۱۱۱۲ق؛ از موقوفات رمضانيه ۱۲۳۰؛ جلد: تیماج قهوه ای، ۳۰ سطر،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۱۹۶]</w:t>
      </w:r>
    </w:p>
    <w:p>
      <w:pPr>
        <w:pStyle w:val="BookText"/>
      </w:pPr>
      <w:r>
        <w:rPr>
          <w:rFonts w:ascii="IRNazanin" w:hAnsi="IRNazanin" w:eastAsia="IRNazanin" w:cs="IRNazanin"/>
          <w:lang w:bidi="fa-IR"/>
          <w:color w:val="111111"/>
          <w:sz w:val="28"/>
          <w:szCs w:val="28"/>
          <w:rtl/>
        </w:rPr>
        <w:t xml:space="preserve">۲۷. مشهد: رضوی؛ شماره نسخه:۱۴۵۵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۱۱۱۴ق؛ دارای یک سرلوح مذهب نفیس، مجدول مذهب؛ واقف: نائینی؛ ۲۵۵گ، ۲۳ سطر،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۴-۴۱۲]</w:t>
      </w:r>
    </w:p>
    <w:p>
      <w:pPr>
        <w:pStyle w:val="BookText"/>
      </w:pPr>
      <w:r>
        <w:rPr>
          <w:rFonts w:ascii="IRNazanin" w:hAnsi="IRNazanin" w:eastAsia="IRNazanin" w:cs="IRNazanin"/>
          <w:lang w:bidi="fa-IR"/>
          <w:color w:val="111111"/>
          <w:sz w:val="28"/>
          <w:szCs w:val="28"/>
          <w:rtl/>
        </w:rPr>
        <w:t xml:space="preserve">۲۸. مشهد؛ رضوی؛ شماره نسخه:۷۳۲۴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خط: نسخ، كا: محمد تقی بن میرزا محمود تفرشی، تا: ربيع الأول ۱۱۳۴ق؛ واقف: شیخ حسین امامی، شهریور ۱۳۲۹؛ کاغذ: نخودی آهار مهره، جلد: تیماج عنابی، ۲۰۶گ، ۲۱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۲۲-۷۰]</w:t>
      </w:r>
    </w:p>
    <w:p>
      <w:pPr>
        <w:pStyle w:val="BookText"/>
      </w:pPr>
      <w:r>
        <w:rPr>
          <w:rFonts w:ascii="IRNazanin" w:hAnsi="IRNazanin" w:eastAsia="IRNazanin" w:cs="IRNazanin"/>
          <w:lang w:bidi="fa-IR"/>
          <w:color w:val="111111"/>
          <w:sz w:val="28"/>
          <w:szCs w:val="28"/>
          <w:rtl/>
        </w:rPr>
        <w:t xml:space="preserve">۲۹. مشهد؛ مدرسه آية الله خوئی؛ شماره نسخه:۳۳۶
</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کا، تا: ۱۱۶۰ق؛ شاگرد شیخ صالح بحرانی آن را کاملا تصحيح کرده [اوراق عتیق: ۱-۲۴۲] ۳۰. مشهد؛ رضوی؛ شماره نسخه: ۱۲۷۰۲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عبدالوهاب حسینی قمی، تا: رجب ۱۱۷۳ق، جان شیراز، مدرسه محبيه؛ کاتب این نسخه تصرف در کتاب نموده ابیات و شواهد شعری را برای رعایت اختصار حذف کرده است؛ واقف: حسین کی استوان؛ کاغذ: حنایی، جلد: مقوا، ۱۱۱ ، ۲۰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۱۱-۵۴۴]</w:t>
      </w:r>
    </w:p>
    <w:p>
      <w:pPr>
        <w:pStyle w:val="BookText"/>
      </w:pPr>
      <w:r>
        <w:rPr>
          <w:rFonts w:ascii="IRNazanin" w:hAnsi="IRNazanin" w:eastAsia="IRNazanin" w:cs="IRNazanin"/>
          <w:lang w:bidi="fa-IR"/>
          <w:color w:val="111111"/>
          <w:sz w:val="28"/>
          <w:szCs w:val="28"/>
          <w:rtl/>
        </w:rPr>
        <w:t xml:space="preserve">۳۱. مشهد؛ رضوی؛ شماره نسخه:۱۶۹۹۴</w:t>
      </w:r>
    </w:p>
    <w:p>
      <w:pPr>
        <w:pStyle w:val="BookText"/>
      </w:pPr>
      <w:r>
        <w:rPr>
          <w:rFonts w:ascii="IRNazanin" w:hAnsi="IRNazanin" w:eastAsia="IRNazanin" w:cs="IRNazanin"/>
          <w:lang w:bidi="fa-IR"/>
          <w:color w:val="111111"/>
          <w:sz w:val="28"/>
          <w:szCs w:val="28"/>
          <w:rtl/>
        </w:rPr>
        <w:t xml:space="preserve">آغاز: و الاستقرار و قال الكوفيون المحذوف فعل تقديره ابتدأت و ابدأ؛ انجام: برابر از اواخر سوره حمد تا پایان قرآن؛ خط: نستعلیق، بی کا، تا: سه شنبه ۱۲ ذیقعده ۱۱۷۸ق؛ افتادگی: آغاز (دو برگ)؛ مصحح؛ انتقالی از دانشگاه علوم اسلامی رضوی در آذر ۱۳۶۸، کاغذ: نخودی آهار مهره، جلد: تیماج عنابی با ترنج و سرترنج، ۲۰۷گ، ۳۱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۳۲/۷</w:t>
      </w:r>
    </w:p>
    <w:p>
      <w:pPr>
        <w:pStyle w:val="BookText"/>
      </w:pPr>
      <w:r>
        <w:rPr>
          <w:rFonts w:ascii="IRNazanin" w:hAnsi="IRNazanin" w:eastAsia="IRNazanin" w:cs="IRNazanin"/>
          <w:lang w:bidi="fa-IR"/>
          <w:color w:val="111111"/>
          <w:sz w:val="28"/>
          <w:szCs w:val="28"/>
          <w:rtl/>
        </w:rPr>
        <w:t xml:space="preserve">سم [ف: ۲۲-۶۹]</w:t>
      </w:r>
    </w:p>
    <w:p>
      <w:pPr>
        <w:pStyle w:val="BookText"/>
      </w:pPr>
      <w:r>
        <w:rPr>
          <w:rFonts w:ascii="IRNazanin" w:hAnsi="IRNazanin" w:eastAsia="IRNazanin" w:cs="IRNazanin"/>
          <w:lang w:bidi="fa-IR"/>
          <w:color w:val="111111"/>
          <w:sz w:val="28"/>
          <w:szCs w:val="28"/>
          <w:rtl/>
        </w:rPr>
        <w:t xml:space="preserve">۳۲. مشهد؛ مدرسه باقریه؛ شماره نسخه: ۳۱</w:t>
      </w:r>
    </w:p>
    <w:p>
      <w:pPr>
        <w:pStyle w:val="BookText"/>
      </w:pPr>
      <w:r>
        <w:rPr>
          <w:rFonts w:ascii="IRNazanin" w:hAnsi="IRNazanin" w:eastAsia="IRNazanin" w:cs="IRNazanin"/>
          <w:lang w:bidi="fa-IR"/>
          <w:color w:val="111111"/>
          <w:sz w:val="28"/>
          <w:szCs w:val="28"/>
          <w:rtl/>
        </w:rPr>
        <w:t xml:space="preserve">خط: نستعلیق، بی کا، تا: سه شنبه ۱۲ ذیقعده ۱۱۷۸ق؛ افتادگی: آغاز؛ وقف بر مدرسه سمیعیه؟ کاغذ: ترمه، ۳۱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 تراثنا: س ش ۱-۷۸]</w:t>
      </w:r>
    </w:p>
    <w:p>
      <w:pPr>
        <w:pStyle w:val="BookText"/>
      </w:pPr>
      <w:r>
        <w:rPr>
          <w:rFonts w:ascii="IRNazanin" w:hAnsi="IRNazanin" w:eastAsia="IRNazanin" w:cs="IRNazanin"/>
          <w:lang w:bidi="fa-IR"/>
          <w:color w:val="111111"/>
          <w:sz w:val="28"/>
          <w:szCs w:val="28"/>
          <w:rtl/>
        </w:rPr>
        <w:t xml:space="preserve">۳۳. مشهد؛ رضوی؛ شماره نسخه:۱۴۵۴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ربيع الاول ۱۲۴۶ق؛ واقف: نائینی؛ ۲۹۶گ، ۱۹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۴-۴۱۲]</w:t>
      </w:r>
    </w:p>
    <w:p>
      <w:pPr>
        <w:pStyle w:val="BookText"/>
      </w:pPr>
      <w:r>
        <w:rPr>
          <w:rFonts w:ascii="IRNazanin" w:hAnsi="IRNazanin" w:eastAsia="IRNazanin" w:cs="IRNazanin"/>
          <w:lang w:bidi="fa-IR"/>
          <w:color w:val="111111"/>
          <w:sz w:val="28"/>
          <w:szCs w:val="28"/>
          <w:rtl/>
        </w:rPr>
        <w:t xml:space="preserve">۳۴. تهران: مروی؛ شماره نسخه:۳۸</w:t>
      </w:r>
    </w:p>
    <w:p>
      <w:pPr>
        <w:pStyle w:val="BookText"/>
      </w:pPr>
      <w:r>
        <w:rPr>
          <w:rFonts w:ascii="IRNazanin" w:hAnsi="IRNazanin" w:eastAsia="IRNazanin" w:cs="IRNazanin"/>
          <w:lang w:bidi="fa-IR"/>
          <w:color w:val="111111"/>
          <w:sz w:val="28"/>
          <w:szCs w:val="28"/>
          <w:rtl/>
        </w:rPr>
        <w:t xml:space="preserve">بی کا، تا: ۱۲۷۱ق؛ قطع: رحلي [ف: ۸۲]</w:t>
      </w:r>
    </w:p>
    <w:p>
      <w:pPr>
        <w:pStyle w:val="BookText"/>
      </w:pPr>
      <w:r>
        <w:rPr>
          <w:rFonts w:ascii="IRNazanin" w:hAnsi="IRNazanin" w:eastAsia="IRNazanin" w:cs="IRNazanin"/>
          <w:lang w:bidi="fa-IR"/>
          <w:color w:val="111111"/>
          <w:sz w:val="28"/>
          <w:szCs w:val="28"/>
          <w:rtl/>
        </w:rPr>
        <w:t xml:space="preserve">۳۵. قم؛ زنجانی (آية الله)؛ شماره نسخه:۱۱۰</w:t>
      </w:r>
    </w:p>
    <w:p>
      <w:pPr>
        <w:pStyle w:val="BookText"/>
      </w:pPr>
      <w:r>
        <w:rPr>
          <w:rFonts w:ascii="IRNazanin" w:hAnsi="IRNazanin" w:eastAsia="IRNazanin" w:cs="IRNazanin"/>
          <w:lang w:bidi="fa-IR"/>
          <w:color w:val="111111"/>
          <w:sz w:val="28"/>
          <w:szCs w:val="28"/>
          <w:rtl/>
        </w:rPr>
        <w:t xml:space="preserve">از آغاز تا پایان سوره انعام؛ خط: نستعلیق، کا: محمد حسین بن علی عسکر، تا: یکشنبه ۲۰ محرم ۱۲۷۹ق؛ ۸۰گ، ۲۱ سطر، قطع: ربعی [ چند نسخه -ف: ۲۳۸]</w:t>
      </w:r>
    </w:p>
    <w:p>
      <w:pPr>
        <w:pStyle w:val="BookText"/>
      </w:pPr>
      <w:r>
        <w:rPr>
          <w:rFonts w:ascii="IRNazanin" w:hAnsi="IRNazanin" w:eastAsia="IRNazanin" w:cs="IRNazanin"/>
          <w:lang w:bidi="fa-IR"/>
          <w:color w:val="111111"/>
          <w:sz w:val="28"/>
          <w:szCs w:val="28"/>
          <w:rtl/>
        </w:rPr>
        <w:t xml:space="preserve">۳۶. قم؛ مرعشی؛ شماره نسخه:۵۵۹</w:t>
      </w:r>
    </w:p>
    <w:p>
      <w:pPr>
        <w:pStyle w:val="BookText"/>
      </w:pPr>
      <w:r>
        <w:rPr>
          <w:rFonts w:ascii="IRNazanin" w:hAnsi="IRNazanin" w:eastAsia="IRNazanin" w:cs="IRNazanin"/>
          <w:lang w:bidi="fa-IR"/>
          <w:color w:val="111111"/>
          <w:sz w:val="28"/>
          <w:szCs w:val="28"/>
          <w:rtl/>
        </w:rPr>
        <w:t xml:space="preserve">آغاز: برابر؛ انجام: و يجوز أن يكون حالا من الضمير في مقطوع، و تأويله أن دابر هنا في معنى مدبری هؤلاء از اول قرآن تا آیه «أن دابر هؤلاء مقطوع مصبحين» [الحجر: ۶۶]؛ خط: نسخ، بی کا، بی تا؛ مصحح، محشی، قبل از کتاب برگی است دارای موضوع وجه تشبیه صلاة بر پیغمبر اکرم به صلاة بر ابراهیم از محقق دوانی؛ تملك: على محمد بن محمد على الشريف به تاریخ جمعه 9 شوال ۱۲۸۳ و مهر «الواثق بالله على محمد بن محمد على الشريف» (بیضوی) و «علی محمد» (بیضوی)، على محمد اصفهانی به تاریخ جمعه ۲۸ شعبان ۱۲۸۴ در مدرسه نماورد، جلال الدين الشريف ابن میرزا علی محمد؛ جلد: مقوایی عطف تیماج قهوه ای، ۱۸۰ گ، ۲۰ سطر،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۱۶۰-۲ ]</w:t>
      </w:r>
    </w:p>
    <w:p>
      <w:pPr>
        <w:pStyle w:val="BookText"/>
      </w:pPr>
      <w:r>
        <w:rPr>
          <w:rFonts w:ascii="IRNazanin" w:hAnsi="IRNazanin" w:eastAsia="IRNazanin" w:cs="IRNazanin"/>
          <w:lang w:bidi="fa-IR"/>
          <w:color w:val="111111"/>
          <w:sz w:val="28"/>
          <w:szCs w:val="28"/>
          <w:rtl/>
        </w:rPr>
        <w:t xml:space="preserve">۳۷. تهران؛ مجلس؛ شماره نسخه: ۱۲۱۱۱</w:t>
      </w:r>
    </w:p>
    <w:p>
      <w:pPr>
        <w:pStyle w:val="BookText"/>
      </w:pPr>
      <w:r>
        <w:rPr>
          <w:rFonts w:ascii="IRNazanin" w:hAnsi="IRNazanin" w:eastAsia="IRNazanin" w:cs="IRNazanin"/>
          <w:lang w:bidi="fa-IR"/>
          <w:color w:val="111111"/>
          <w:sz w:val="28"/>
          <w:szCs w:val="28"/>
          <w:rtl/>
        </w:rPr>
        <w:t xml:space="preserve">آغاز: برابر؛ انجام: قد ذكر في الحاقه و الهاء في هية ها السكت و من اثبتها في الوصل اجرى الوصل مجرى الوقف لئلا يختلف رؤوس الاي. نار خبر مبتداء خط: نسخ، بی کا، بی تا؛ مجدول؛ جلد: تیماج مشکی با ترنج با سر، ۳۱۴گ، ۲۱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۳۵-۱۱۷]</w:t>
      </w:r>
    </w:p>
    <w:p>
      <w:pPr>
        <w:pStyle w:val="BookText"/>
      </w:pPr>
      <w:r>
        <w:rPr>
          <w:rFonts w:ascii="IRNazanin" w:hAnsi="IRNazanin" w:eastAsia="IRNazanin" w:cs="IRNazanin"/>
          <w:lang w:bidi="fa-IR"/>
          <w:color w:val="111111"/>
          <w:sz w:val="28"/>
          <w:szCs w:val="28"/>
          <w:rtl/>
        </w:rPr>
        <w:t xml:space="preserve">۳۸. شیراز؛ ملی؛ شماره نسخه: ۲۱-ت /۱۵۴</w:t>
      </w:r>
    </w:p>
    <w:p>
      <w:pPr>
        <w:pStyle w:val="BookText"/>
      </w:pPr>
      <w:r>
        <w:rPr>
          <w:rFonts w:ascii="IRNazanin" w:hAnsi="IRNazanin" w:eastAsia="IRNazanin" w:cs="IRNazanin"/>
          <w:lang w:bidi="fa-IR"/>
          <w:color w:val="111111"/>
          <w:sz w:val="28"/>
          <w:szCs w:val="28"/>
          <w:rtl/>
        </w:rPr>
        <w:t xml:space="preserve">آغاز: برابر؛ انجام: قوله تعالى قل اغير الله هو مثل قوله و من يبتغ غير الاسلام و قد ذكر قوله تعالى درجات قد ذكر في قوله تعالی نرفع درجات من نشاء تمت جلد اول؛ خط: نسخ، بی کا، بی تا؛ کاغذ: دولت آبادی، جلد: مقوا با تیماج قرمز، ۱۷۱گ، ۲۱ سطر (۱۰/۵</w:t>
      </w:r>
    </w:p>
    <w:p>
      <w:pPr>
        <w:pStyle w:val="BookText"/>
      </w:pP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۱۷/۵ )، اندازه: ۲۴/۵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۱-۱۳۲]</w:t>
      </w:r>
    </w:p>
    <w:p>
      <w:pPr>
        <w:pStyle w:val="BookText"/>
      </w:pPr>
      <w:r>
        <w:rPr>
          <w:rFonts w:ascii="IRNazanin" w:hAnsi="IRNazanin" w:eastAsia="IRNazanin" w:cs="IRNazanin"/>
          <w:lang w:bidi="fa-IR"/>
          <w:color w:val="111111"/>
          <w:sz w:val="28"/>
          <w:szCs w:val="28"/>
          <w:rtl/>
        </w:rPr>
        <w:t xml:space="preserve">۳۹. تهران؛ مجلس؛ شماره نسخه: ۱۲۰۶۹</w:t>
      </w:r>
    </w:p>
    <w:p>
      <w:pPr>
        <w:pStyle w:val="BookText"/>
      </w:pPr>
      <w:r>
        <w:rPr>
          <w:rFonts w:ascii="IRNazanin" w:hAnsi="IRNazanin" w:eastAsia="IRNazanin" w:cs="IRNazanin"/>
          <w:lang w:bidi="fa-IR"/>
          <w:color w:val="111111"/>
          <w:sz w:val="28"/>
          <w:szCs w:val="28"/>
          <w:rtl/>
        </w:rPr>
        <w:t xml:space="preserve">آغاز و انجام: برابر خط: نسخ، بی کا، بی تا، جلد: تیماج زرد، ۲۴۲گ، ۲۳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۳۵-۸۰]</w:t>
      </w:r>
    </w:p>
    <w:p>
      <w:pPr>
        <w:pStyle w:val="BookText"/>
      </w:pPr>
      <w:r>
        <w:rPr>
          <w:rFonts w:ascii="IRNazanin" w:hAnsi="IRNazanin" w:eastAsia="IRNazanin" w:cs="IRNazanin"/>
          <w:lang w:bidi="fa-IR"/>
          <w:color w:val="111111"/>
          <w:sz w:val="28"/>
          <w:szCs w:val="28"/>
          <w:rtl/>
        </w:rPr>
        <w:t xml:space="preserve">۴۰. تهران؛ ملی؛ شماره نسخه:۳۱۰۹</w:t>
      </w:r>
    </w:p>
    <w:p>
      <w:pPr>
        <w:pStyle w:val="BookText"/>
      </w:pPr>
      <w:r>
        <w:rPr>
          <w:rFonts w:ascii="IRNazanin" w:hAnsi="IRNazanin" w:eastAsia="IRNazanin" w:cs="IRNazanin"/>
          <w:lang w:bidi="fa-IR"/>
          <w:color w:val="111111"/>
          <w:sz w:val="28"/>
          <w:szCs w:val="28"/>
          <w:rtl/>
        </w:rPr>
        <w:t xml:space="preserve">آغاز: و ليس الياء أصل الألف و كما ان الهاء تضم بعد الألف فكذلك تضم بعد الياء بعد الياء المبدله منها و ... سورة البقره قوله تعالی الم هذه الحروف المقطعه كل واحد منها اسم فالف يعبر به عن مثل الحرف الذي؛ انجام: الفيل الابابیل جمع لا واحد له من لفظه و قیل واحده ابون كعجول و قیل واحده ابیل و قیل ابال و تر میهم</w:t>
      </w:r>
    </w:p>
    <w:p>
      <w:pPr>
        <w:pStyle w:val="BookText"/>
      </w:pPr>
      <w:r>
        <w:rPr>
          <w:rFonts w:ascii="IRNazanin" w:hAnsi="IRNazanin" w:eastAsia="IRNazanin" w:cs="IRNazanin"/>
          <w:lang w:bidi="fa-IR"/>
          <w:color w:val="111111"/>
          <w:sz w:val="28"/>
          <w:szCs w:val="28"/>
          <w:rtl/>
        </w:rPr>
        <w:t xml:space="preserve">خط: نستعلیق، بی کا، بی تا، افتادگی: آغاز و انجام؛ مصحح، محشی با امضای ها تفسير البيان و ... کاغذ: اصفهانی نخودی، جلد: تیماج زرشکی، ۳۲۴گ، ۱۷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w:t>
      </w:r>
    </w:p>
    <w:p>
      <w:pPr>
        <w:pStyle w:val="BookText"/>
      </w:pPr>
      <w:r>
        <w:rPr>
          <w:rFonts w:ascii="IRNazanin" w:hAnsi="IRNazanin" w:eastAsia="IRNazanin" w:cs="IRNazanin"/>
          <w:lang w:bidi="fa-IR"/>
          <w:color w:val="111111"/>
          <w:sz w:val="28"/>
          <w:szCs w:val="28"/>
          <w:rtl/>
        </w:rPr>
        <w:t xml:space="preserve">۱۸/۳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سم [ف: ۱۴-۲۳۴]</w:t>
      </w:r>
    </w:p>
    <w:p>
      <w:pPr>
        <w:pStyle w:val="BookText"/>
      </w:pPr>
      <w:r>
        <w:rPr>
          <w:rFonts w:ascii="IRNazanin" w:hAnsi="IRNazanin" w:eastAsia="IRNazanin" w:cs="IRNazanin"/>
          <w:lang w:bidi="fa-IR"/>
          <w:color w:val="111111"/>
          <w:sz w:val="28"/>
          <w:szCs w:val="28"/>
          <w:rtl/>
        </w:rPr>
        <w:t xml:space="preserve">۴۱. قم؛ مهدوی (کتابخانه)؛ شماره نسخه:بدون شماره</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نام مؤلف در فهرست ناشناخته مانده که به قرینه آغاز نسخه تعیین گردید؛ بی کا، بیتا [تراثنا: س ۱۸ش ۱ و ۲-۲۰۵]</w:t>
      </w:r>
    </w:p>
    <w:p>
      <w:pPr>
        <w:pStyle w:val="BookText"/>
      </w:pPr>
      <w:r>
        <w:rPr>
          <w:rFonts w:ascii="IRNazanin" w:hAnsi="IRNazanin" w:eastAsia="IRNazanin" w:cs="IRNazanin"/>
          <w:lang w:bidi="fa-IR"/>
          <w:color w:val="111111"/>
          <w:sz w:val="28"/>
          <w:szCs w:val="28"/>
          <w:rtl/>
        </w:rPr>
        <w:t xml:space="preserve">۴۲. اصفهان؛ عمومی اصفهان (فرهنگ سابق)؛ شماره نسخه: ۲۶۸۹</w:t>
      </w:r>
    </w:p>
    <w:p>
      <w:pPr>
        <w:pStyle w:val="BookText"/>
      </w:pPr>
      <w:r>
        <w:rPr>
          <w:rFonts w:ascii="IRNazanin" w:hAnsi="IRNazanin" w:eastAsia="IRNazanin" w:cs="IRNazanin"/>
          <w:lang w:bidi="fa-IR"/>
          <w:color w:val="111111"/>
          <w:sz w:val="28"/>
          <w:szCs w:val="28"/>
          <w:rtl/>
        </w:rPr>
        <w:t xml:space="preserve">از اول تا آخر قرآن؛ خط: نسخ، كا: محمد بن حسن حنبلی، تا: سه شنبه ۴ ذيقعده ۹۶ ... کاغذ: اصفهانی، جلد: چرمی آلبالوئی، ۵۷۱ص، ۲۳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۱-۱۹۵)</w:t>
      </w:r>
    </w:p>
    <w:p>
      <w:pPr>
        <w:pStyle w:val="BookText"/>
      </w:pPr>
      <w:r>
        <w:rPr>
          <w:rFonts w:ascii="IRNazanin" w:hAnsi="IRNazanin" w:eastAsia="IRNazanin" w:cs="IRNazanin"/>
          <w:lang w:bidi="fa-IR"/>
          <w:color w:val="111111"/>
          <w:sz w:val="28"/>
          <w:szCs w:val="28"/>
          <w:rtl/>
        </w:rPr>
        <w:t xml:space="preserve">۴۳. مشهد؛ رضوی؛ شماره نسخه:۲۴۱۱۰</w:t>
      </w:r>
    </w:p>
    <w:p>
      <w:pPr>
        <w:pStyle w:val="BookText"/>
      </w:pPr>
      <w:r>
        <w:rPr>
          <w:rFonts w:ascii="Amiri" w:hAnsi="Amiri" w:eastAsia="Amiri" w:cs="Amiri"/>
          <w:lang w:bidi="ar-SA"/>
          <w:color w:val="111111"/>
          <w:sz w:val="28"/>
          <w:szCs w:val="28"/>
          <w:rtl/>
        </w:rPr>
        <w:t xml:space="preserve">آغاز: تبين اغراضية و مضراه معرفته؛ انجام: و لمن قراه و الناظر فيه و لجميع المسلمين و المسلمات</w:t>
      </w:r>
    </w:p>
    <w:p>
      <w:pPr>
        <w:pStyle w:val="BookText"/>
      </w:pPr>
      <w:r>
        <w:rPr>
          <w:rFonts w:ascii="IRNazanin" w:hAnsi="IRNazanin" w:eastAsia="IRNazanin" w:cs="IRNazanin"/>
          <w:lang w:bidi="fa-IR"/>
          <w:color w:val="111111"/>
          <w:sz w:val="28"/>
          <w:szCs w:val="28"/>
          <w:rtl/>
        </w:rPr>
        <w:t xml:space="preserve">خط: نسخ، بی کا، بی تا؛ افتادگی: آغاز، کاغذ: شکری، جلد: تیماج، ۱۸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[رایانه]</w:t>
      </w:r>
    </w:p>
    <w:p>
      <w:pPr>
        <w:pStyle w:val="BookText"/>
      </w:pPr>
      <w:r>
        <w:rPr>
          <w:rFonts w:ascii="IRNazanin" w:hAnsi="IRNazanin" w:eastAsia="IRNazanin" w:cs="IRNazanin"/>
          <w:lang w:bidi="fa-IR"/>
          <w:color w:val="111111"/>
          <w:sz w:val="28"/>
          <w:szCs w:val="28"/>
          <w:rtl/>
        </w:rPr>
        <w:t xml:space="preserve">۴۴. قم؛ گلپایگانی؛ شماره نسخه:۹۴۹- ۶/۳۹
</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bookmarkStart w:id="673" w:name="pg20363_210022"/>
    <w:bookmarkEnd w:id="673"/>
    <w:p>
      <w:pPr>
        <w:pStyle w:val="BookText"/>
      </w:pPr>
      <w:r>
        <w:rPr>
          <w:rFonts w:ascii="IRNazanin" w:hAnsi="IRNazanin" w:eastAsia="IRNazanin" w:cs="IRNazanin"/>
          <w:lang w:bidi="fa-IR"/>
          <w:color w:val="111111"/>
          <w:sz w:val="28"/>
          <w:szCs w:val="28"/>
          <w:rtl/>
        </w:rPr>
        <w:t xml:space="preserve">آغاز: عین بالاغواء اعراب التسمية الباء في بسم الله متعلقة بمحذوف فعند البصريين المحذوف مبتدأ و الجار و المجرور؛ انجام: برابر</w:t>
      </w:r>
    </w:p>
    <w:p>
      <w:pPr>
        <w:pStyle w:val="BookText"/>
      </w:pPr>
      <w:r>
        <w:rPr>
          <w:rFonts w:ascii="IRNazanin" w:hAnsi="IRNazanin" w:eastAsia="IRNazanin" w:cs="IRNazanin"/>
          <w:lang w:bidi="fa-IR"/>
          <w:color w:val="111111"/>
          <w:sz w:val="28"/>
          <w:szCs w:val="28"/>
          <w:rtl/>
        </w:rPr>
        <w:t xml:space="preserve">خط: نسخ، بی کا، تا: نسخه قدیمی است؛ افتادگی: آغاز؛ مصحح، محشی؛ جلد: پارچه سرخ، ۲۲۳گ، ۲۵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۲۷/۵سم [ف: ۲-۷۱۴]</w:t>
      </w:r>
    </w:p>
    <w:p>
      <w:pPr>
        <w:pStyle w:val="BookText"/>
      </w:pPr>
      <w:r>
        <w:rPr>
          <w:rFonts w:ascii="IRNazanin" w:hAnsi="IRNazanin" w:eastAsia="IRNazanin" w:cs="IRNazanin"/>
          <w:lang w:bidi="fa-IR"/>
          <w:color w:val="111111"/>
          <w:sz w:val="28"/>
          <w:szCs w:val="28"/>
          <w:rtl/>
        </w:rPr>
        <w:t xml:space="preserve">۴۵. قم؛ مسجد اعظم، شماره نسخه: ۲۵۶/۱</w:t>
      </w:r>
    </w:p>
    <w:p>
      <w:pPr>
        <w:pStyle w:val="BookText"/>
      </w:pPr>
      <w:r>
        <w:rPr>
          <w:rFonts w:ascii="IRNazanin" w:hAnsi="IRNazanin" w:eastAsia="IRNazanin" w:cs="IRNazanin"/>
          <w:lang w:bidi="fa-IR"/>
          <w:color w:val="111111"/>
          <w:sz w:val="28"/>
          <w:szCs w:val="28"/>
          <w:rtl/>
        </w:rPr>
        <w:t xml:space="preserve">آغاز: برابر؛ انجام: و الأصل في يقول يقول بسكون القاف و ضم الواو لانه نظير يقعد و يقتل ولم يأت إلا على ذلك فنقلت ضمة الواو الى القاف ليخف اللفظ بالواو و من هاهنا اذا امرت لم يحتج الى الهمزه بل تقول قل لان فاء الكلمه قد تحرک فلم يحتج الى همزة الوصل قولة تعالی.</w:t>
      </w:r>
    </w:p>
    <w:p>
      <w:pPr>
        <w:pStyle w:val="BookText"/>
      </w:pPr>
      <w:r>
        <w:rPr>
          <w:rFonts w:ascii="IRNazanin" w:hAnsi="IRNazanin" w:eastAsia="IRNazanin" w:cs="IRNazanin"/>
          <w:lang w:bidi="fa-IR"/>
          <w:color w:val="111111"/>
          <w:sz w:val="28"/>
          <w:szCs w:val="28"/>
          <w:rtl/>
        </w:rPr>
        <w:t xml:space="preserve">نام کتاب و مؤلف به قرینه آغاز نسخه تعیین شد. سوره حمد و هشت آیه اول سوره بقره؛ خط: نسخ، بی کا، بی تا؛ افتادگی: انجام؛ جلد: گالینگور سبز، عطف تیماج زرشکی، آگ، ۲۰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مخ: ۱-۱۸۷]</w:t>
      </w:r>
    </w:p>
    <w:p>
      <w:pPr>
        <w:pStyle w:val="BookText"/>
      </w:pPr>
      <w:r>
        <w:rPr>
          <w:rFonts w:ascii="IRNazanin" w:hAnsi="IRNazanin" w:eastAsia="IRNazanin" w:cs="IRNazanin"/>
          <w:lang w:bidi="fa-IR"/>
          <w:color w:val="111111"/>
          <w:sz w:val="28"/>
          <w:szCs w:val="28"/>
          <w:rtl/>
        </w:rPr>
        <w:t xml:space="preserve">۴۶. قم؛ مسجد اعظم؛ شماره نسخه:۱۹۹۳</w:t>
      </w:r>
    </w:p>
    <w:p>
      <w:pPr>
        <w:pStyle w:val="BookText"/>
      </w:pPr>
      <w:r>
        <w:rPr>
          <w:rFonts w:ascii="IRNazanin" w:hAnsi="IRNazanin" w:eastAsia="IRNazanin" w:cs="IRNazanin"/>
          <w:lang w:bidi="fa-IR"/>
          <w:color w:val="111111"/>
          <w:sz w:val="28"/>
          <w:szCs w:val="28"/>
          <w:rtl/>
        </w:rPr>
        <w:t xml:space="preserve">آغاز: برابر؛ انجام: و ان كان قبلها ساكن لان لم لمدة يفصل بينهما و قد قرى في الشاذ بكسر الياء على انه اسم مضمر کسر لاتقاء الساكنين ...</w:t>
      </w:r>
    </w:p>
    <w:p>
      <w:pPr>
        <w:pStyle w:val="BookText"/>
      </w:pPr>
      <w:r>
        <w:rPr>
          <w:rFonts w:ascii="IRNazanin" w:hAnsi="IRNazanin" w:eastAsia="IRNazanin" w:cs="IRNazanin"/>
          <w:lang w:bidi="fa-IR"/>
          <w:color w:val="111111"/>
          <w:sz w:val="28"/>
          <w:szCs w:val="28"/>
          <w:rtl/>
        </w:rPr>
        <w:t xml:space="preserve">قوله تعالى: قل اغير الله هو مثل قوله ومن يبتغ فاتحه تا آخر انعام؛ خط: نسخ، بی کا، بی تا؛ مهر: «افوض امرى الى الله عبده احمد» (مربع)؛ جلد: تیماج قهوه ای، ۲۸۷گ، ۱۷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مخ: ۱-۳۲۰]</w:t>
      </w:r>
    </w:p>
    <w:p>
      <w:pPr>
        <w:pStyle w:val="Heading3"/>
      </w:pPr>
      <w:bookmarkStart w:id="2957" w:name="_Toc2217"/>
      <w:r>
        <w:t>•التبیان فی بیان القرآن / تجوید / عربی</w:t>
      </w:r>
      <w:bookmarkEnd w:id="2957"/>
    </w:p>
    <w:p>
      <w:pPr>
        <w:pStyle w:val="BookText"/>
      </w:pPr>
      <w:r>
        <w:rPr>
          <w:rFonts w:ascii="Times New Roman" w:hAnsi="Times New Roman" w:eastAsia="Times New Roman" w:cs="Times New Roman"/>
          <w:lang w:val="en-US" w:bidi="en-US"/>
          <w:color w:val="111111"/>
          <w:sz w:val="28"/>
          <w:szCs w:val="28"/>
          <w:rtl/>
        </w:rPr>
        <w:t xml:space="preserve">at-tibyān fī bayān-il qur'ān</w:t>
      </w:r>
    </w:p>
    <w:p>
      <w:pPr>
        <w:pStyle w:val="BookText"/>
      </w:pPr>
      <w:r>
        <w:rPr>
          <w:rFonts w:ascii="IRNazanin" w:hAnsi="IRNazanin" w:eastAsia="IRNazanin" w:cs="IRNazanin"/>
          <w:lang w:bidi="fa-IR"/>
          <w:color w:val="111111"/>
          <w:sz w:val="28"/>
          <w:szCs w:val="28"/>
          <w:rtl/>
        </w:rPr>
        <w:t xml:space="preserve">حافظ تونی، حسین بن شجاع، -۸۷۹؟ قمری</w:t>
      </w:r>
    </w:p>
    <w:p>
      <w:pPr>
        <w:pStyle w:val="BookText"/>
      </w:pPr>
      <w:r>
        <w:rPr>
          <w:rFonts w:ascii="Times New Roman" w:hAnsi="Times New Roman" w:eastAsia="Times New Roman" w:cs="Times New Roman"/>
          <w:lang w:val="en-US" w:bidi="en-US"/>
          <w:color w:val="111111"/>
          <w:sz w:val="28"/>
          <w:szCs w:val="28"/>
          <w:rtl/>
        </w:rPr>
        <w:t xml:space="preserve">hāfez-e tūnī, hoseyn ebn-e sojā“ (-1475)</w:t>
      </w:r>
    </w:p>
    <w:p>
      <w:pPr>
        <w:pStyle w:val="BookText"/>
      </w:pPr>
      <w:r>
        <w:rPr>
          <w:rFonts w:ascii="IRNazanin" w:hAnsi="IRNazanin" w:eastAsia="IRNazanin" w:cs="IRNazanin"/>
          <w:lang w:bidi="fa-IR"/>
          <w:color w:val="111111"/>
          <w:sz w:val="28"/>
          <w:szCs w:val="28"/>
          <w:rtl/>
        </w:rPr>
        <w:t xml:space="preserve">اهداء به: جلال الدین فیروز شاه (-۸۰۸ق) محل تألیف: هرات تحرير مبسوط تری است از تأليف دیگرش «المفيد في علم التجوید» که سرفصل های هر دو نیز – با جابه جایی جزئی - با هم مشابه اند، که در یک «مقدمه» و شش «فصل» و خاتمه تأليف شده است: مقدمه في مخارج الحروف و صفاتها التي يحتاج القاري اليها؛ فصل 1. كيفية اداء الحروف في الكلمات القرآنية و تجویدها؛ ۲. احكام المد و القصر؛ 3. احكام الوقف و الوصل؛ ۴. احكام التفخيم و الترقيق؛ ۵. احکام ادغام الحروف المتماثلة و المتجانسه و المتقاربة؛ ۶. احکام الساكنة و التنوين خاتمه در تجوید الفاتحة. مؤلف در خاتمه ۲۶۵ شرط و مسئله تجویدی سوره فاتحه را به صورت جدول بندی آورده که به نظر می رسد این خاتمه در واقع همان «شرح قصیده لامیه» وی باشد که در این رساله از فارسی به عربی برگردانده است. آغاز: الحمد لله الذي نزل الحديث كتابا متشابها و الصلاة على العربي المبعوث إلى الأقاصي و الادانی و على آله و أصحابه المجودين كتاب الله بتصحيح الألفاظ و توضيح المعانی ... فيقول ... الحسن بن شجاع بن محمد الحافظ التونی ... لما اتفق وصول العبد إلى هراة رایت نجوما زاهرات ... فرقه فائقة يعلمون معالم التنزيل و يتعلمون ... و يحرصهم ... جناب الامير ... جلال الدولة و الدین فیروزشاه ... و هو معذلک خائض في هذا الفن الجليل فائض باشاعة التجويد و الترتیل فحررت في هذا الفن كتابا لجنابه ... و سميته التبيان في بيان القران و جعلته مشتملا على مقدمة و ستة فصول و خاتمة ...</w:t>
      </w:r>
    </w:p>
    <w:p>
      <w:pPr>
        <w:pStyle w:val="BookText"/>
      </w:pPr>
      <w:r>
        <w:rPr>
          <w:rFonts w:ascii="IRNazanin" w:hAnsi="IRNazanin" w:eastAsia="IRNazanin" w:cs="IRNazanin"/>
          <w:lang w:bidi="fa-IR"/>
          <w:color w:val="111111"/>
          <w:sz w:val="28"/>
          <w:szCs w:val="28"/>
          <w:rtl/>
        </w:rPr>
        <w:t xml:space="preserve">[تراجم الرجال ۱۵۱/۱ ؛ لغت نامه دهخدا ماده فیروزشاه؛ کشف الفهارس ۲۴۳/۱ ؛ دنا ۷۷۷/۲ (۶ نسخه)]</w:t>
      </w:r>
    </w:p>
    <w:p>
      <w:pPr>
        <w:pStyle w:val="BookText"/>
      </w:pPr>
      <w:r>
        <w:rPr>
          <w:rFonts w:ascii="IRNazanin" w:hAnsi="IRNazanin" w:eastAsia="IRNazanin" w:cs="IRNazanin"/>
          <w:lang w:bidi="fa-IR"/>
          <w:color w:val="111111"/>
          <w:sz w:val="28"/>
          <w:szCs w:val="28"/>
          <w:rtl/>
        </w:rPr>
        <w:t xml:space="preserve">۱. قم؛ مرعشی؛ شماره نسخه:۱۲۰۱۲/۶</w:t>
      </w:r>
    </w:p>
    <w:p>
      <w:pPr>
        <w:pStyle w:val="BookText"/>
      </w:pPr>
      <w:r>
        <w:rPr>
          <w:rFonts w:ascii="IRNazanin" w:hAnsi="IRNazanin" w:eastAsia="IRNazanin" w:cs="IRNazanin"/>
          <w:lang w:bidi="fa-IR"/>
          <w:color w:val="111111"/>
          <w:sz w:val="28"/>
          <w:szCs w:val="28"/>
          <w:rtl/>
        </w:rPr>
        <w:t xml:space="preserve">آغاز: برابر؛ انجام: المفرطات الخامس عشر التفكير و هو أن تتفکر و تدبر في القراآت</w:t>
      </w:r>
    </w:p>
    <w:p>
      <w:pPr>
        <w:pStyle w:val="BookText"/>
      </w:pPr>
      <w:r>
        <w:rPr>
          <w:rFonts w:ascii="IRNazanin" w:hAnsi="IRNazanin" w:eastAsia="IRNazanin" w:cs="IRNazanin"/>
          <w:lang w:bidi="fa-IR"/>
          <w:color w:val="111111"/>
          <w:sz w:val="28"/>
          <w:szCs w:val="28"/>
          <w:rtl/>
        </w:rPr>
        <w:t xml:space="preserve">خط: نسخ خوش، كا: شمس الدین فرزند نصير بالو کلاتی، تا: ۸۸۲ق؛ افتادگی: انجام؛ مصحح، محشی، دارای افزودگی هایی در خصوص نمازهای روز و شب همچنین مطالب دیگری در مورد منسوجات از حیوانات دوازده گانه، مطهرات ده گانه از میته، محرمات ده گانه از ذبیحه، مسئله ای در خمس و ... کاغذ: شرقی، ۴۲گ (۵۱-۹۲)، ۱۵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سم [ف: ۳۰-۳۶۱]</w:t>
      </w:r>
    </w:p>
    <w:p>
      <w:pPr>
        <w:pStyle w:val="BookText"/>
      </w:pPr>
      <w:r>
        <w:rPr>
          <w:rFonts w:ascii="IRNazanin" w:hAnsi="IRNazanin" w:eastAsia="IRNazanin" w:cs="IRNazanin"/>
          <w:lang w:bidi="fa-IR"/>
          <w:color w:val="111111"/>
          <w:sz w:val="28"/>
          <w:szCs w:val="28"/>
          <w:rtl/>
        </w:rPr>
        <w:t xml:space="preserve">۲. تهران؛ حقوق؛ شماره نسخه: ۵۶/۲ -د</w:t>
      </w:r>
    </w:p>
    <w:p>
      <w:pPr>
        <w:pStyle w:val="BookText"/>
      </w:pPr>
      <w:r>
        <w:rPr>
          <w:rFonts w:ascii="IRNazanin" w:hAnsi="IRNazanin" w:eastAsia="IRNazanin" w:cs="IRNazanin"/>
          <w:lang w:bidi="fa-IR"/>
          <w:color w:val="111111"/>
          <w:sz w:val="28"/>
          <w:szCs w:val="28"/>
          <w:rtl/>
        </w:rPr>
        <w:t xml:space="preserve">آغاز: برابر؛ انجام: فبسطتها في جداول بهذا العدد بسطا ... و الجدول سيذكر (جای جدول در نسخه ما به اندازه یک صفحه است سپس دو صفحه و نیمی اسناد قرائت قاریان است )</w:t>
      </w:r>
    </w:p>
    <w:p>
      <w:pPr>
        <w:pStyle w:val="BookText"/>
      </w:pPr>
      <w:r>
        <w:rPr>
          <w:rFonts w:ascii="IRNazanin" w:hAnsi="IRNazanin" w:eastAsia="IRNazanin" w:cs="IRNazanin"/>
          <w:lang w:bidi="fa-IR"/>
          <w:color w:val="111111"/>
          <w:sz w:val="28"/>
          <w:szCs w:val="28"/>
          <w:rtl/>
        </w:rPr>
        <w:t xml:space="preserve">خط: نسخ، بی کا، تا: قرن ۱۰؛ ۱۶گ (۲۳-۳۸ر) [ف: ۲۸۲]</w:t>
      </w:r>
    </w:p>
    <w:p>
      <w:pPr>
        <w:pStyle w:val="BookText"/>
      </w:pPr>
      <w:r>
        <w:rPr>
          <w:rFonts w:ascii="IRNazanin" w:hAnsi="IRNazanin" w:eastAsia="IRNazanin" w:cs="IRNazanin"/>
          <w:lang w:bidi="fa-IR"/>
          <w:color w:val="111111"/>
          <w:sz w:val="28"/>
          <w:szCs w:val="28"/>
          <w:rtl/>
        </w:rPr>
        <w:t xml:space="preserve">٣. یزد؛ وزیری؛ شماره نسخه: ۱۹۷۲/۵</w:t>
      </w:r>
    </w:p>
    <w:p>
      <w:pPr>
        <w:pStyle w:val="BookText"/>
      </w:pPr>
      <w:r>
        <w:rPr>
          <w:rFonts w:ascii="IRNazanin" w:hAnsi="IRNazanin" w:eastAsia="IRNazanin" w:cs="IRNazanin"/>
          <w:lang w:bidi="fa-IR"/>
          <w:color w:val="111111"/>
          <w:sz w:val="28"/>
          <w:szCs w:val="28"/>
          <w:rtl/>
        </w:rPr>
        <w:t xml:space="preserve">آغاز: برابر؛ انجام: هذه كلها احكام الوقف بالسكون فاما اذا رمت فحكمه کا: یحیی بن حسین بن عشيرة سلمابادی، شب ۱۶ ذیحجه ۹۱۸ق؛ از روی اصل به یک واسطه؛ مصحح، محشی؛ کاغذ: سمرقندی، جلد: مقوایی روکش کاغذ ابری عطف تیماج قرمز، ۱۱ص</w:t>
      </w:r>
    </w:p>
    <w:p>
      <w:pPr>
        <w:pStyle w:val="BookText"/>
      </w:pPr>
      <w:r>
        <w:rPr>
          <w:rFonts w:ascii="IRNazanin" w:hAnsi="IRNazanin" w:eastAsia="IRNazanin" w:cs="IRNazanin"/>
          <w:lang w:bidi="fa-IR"/>
          <w:color w:val="111111"/>
          <w:sz w:val="28"/>
          <w:szCs w:val="28"/>
          <w:rtl/>
        </w:rPr>
        <w:t xml:space="preserve">( ۱۲۵-۱۱۵ )،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۳-۱۱۱۱] و [نشریه: ۴-۴۰۸]</w:t>
      </w:r>
    </w:p>
    <w:p>
      <w:pPr>
        <w:pStyle w:val="BookText"/>
      </w:pPr>
      <w:r>
        <w:rPr>
          <w:rFonts w:ascii="IRNazanin" w:hAnsi="IRNazanin" w:eastAsia="IRNazanin" w:cs="IRNazanin"/>
          <w:lang w:bidi="fa-IR"/>
          <w:color w:val="111111"/>
          <w:sz w:val="28"/>
          <w:szCs w:val="28"/>
          <w:rtl/>
        </w:rPr>
        <w:t xml:space="preserve">تهران؛ دانشگاه؛ شماره نسخه: ۲۴۲۰/۶ -ف</w:t>
      </w:r>
    </w:p>
    <w:p>
      <w:pPr>
        <w:pStyle w:val="BookText"/>
      </w:pPr>
      <w:r>
        <w:rPr>
          <w:rFonts w:ascii="IRNazanin" w:hAnsi="IRNazanin" w:eastAsia="IRNazanin" w:cs="IRNazanin"/>
          <w:lang w:bidi="fa-IR"/>
          <w:color w:val="111111"/>
          <w:sz w:val="28"/>
          <w:szCs w:val="28"/>
          <w:rtl/>
        </w:rPr>
        <w:t xml:space="preserve">نسخه اصل: همان نسخه بالا [فیلمها ف: ۱-۶۸۰]</w:t>
      </w:r>
    </w:p>
    <w:p>
      <w:pPr>
        <w:pStyle w:val="BookText"/>
      </w:pPr>
      <w:r>
        <w:rPr>
          <w:rFonts w:ascii="IRNazanin" w:hAnsi="IRNazanin" w:eastAsia="IRNazanin" w:cs="IRNazanin"/>
          <w:lang w:bidi="fa-IR"/>
          <w:color w:val="111111"/>
          <w:sz w:val="28"/>
          <w:szCs w:val="28"/>
          <w:rtl/>
        </w:rPr>
        <w:t xml:space="preserve">قم، مرکز احیاء؛ شماره نسخه: ۲۲۹۰/۵</w:t>
      </w:r>
    </w:p>
    <w:p>
      <w:pPr>
        <w:pStyle w:val="BookText"/>
      </w:pPr>
      <w:r>
        <w:rPr>
          <w:rFonts w:ascii="IRNazanin" w:hAnsi="IRNazanin" w:eastAsia="IRNazanin" w:cs="IRNazanin"/>
          <w:lang w:bidi="fa-IR"/>
          <w:color w:val="111111"/>
          <w:sz w:val="28"/>
          <w:szCs w:val="28"/>
          <w:rtl/>
        </w:rPr>
        <w:t xml:space="preserve">نسخه اصل: همان نسخه بالا [عکسی ف: ۶-۳۳۱]</w:t>
      </w:r>
    </w:p>
    <w:p>
      <w:pPr>
        <w:pStyle w:val="BookText"/>
      </w:pPr>
      <w:r>
        <w:rPr>
          <w:rFonts w:ascii="IRNazanin" w:hAnsi="IRNazanin" w:eastAsia="IRNazanin" w:cs="IRNazanin"/>
          <w:lang w:bidi="fa-IR"/>
          <w:color w:val="111111"/>
          <w:sz w:val="28"/>
          <w:szCs w:val="28"/>
          <w:rtl/>
        </w:rPr>
        <w:t xml:space="preserve">۴. مشهد؛ رضوی؛ شماره نسخه: ۳۹۹۸۴</w:t>
      </w:r>
    </w:p>
    <w:p>
      <w:pPr>
        <w:pStyle w:val="BookText"/>
      </w:pPr>
      <w:r>
        <w:rPr>
          <w:rFonts w:ascii="IRNazanin" w:hAnsi="IRNazanin" w:eastAsia="IRNazanin" w:cs="IRNazanin"/>
          <w:lang w:bidi="fa-IR"/>
          <w:color w:val="111111"/>
          <w:sz w:val="28"/>
          <w:szCs w:val="28"/>
          <w:rtl/>
        </w:rPr>
        <w:t xml:space="preserve">آغاز: بسمله. اعلم أن حركة الدال لا بد أن تكون ضعيفة حسين اللفظ و حركة اللام قوية؛ انجام: فبسطتها في جداول ... لم تصح فاتحته عند الهمزة في هذا الفن و الجداول هذه (دو برگ جدول) ... خلوص الكسرة في هاء عليهم الثانی و عدم امالته. از فصل پنجم تا اواخر خاتمه؛ خط: نسخ، بی کا، تا: قرن ۱۱؛
</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bookmarkStart w:id="674" w:name="pg20363_210023"/>
    <w:bookmarkEnd w:id="674"/>
    <w:p>
      <w:pPr>
        <w:pStyle w:val="BookText"/>
      </w:pPr>
      <w:r>
        <w:rPr>
          <w:rFonts w:ascii="IRNazanin" w:hAnsi="IRNazanin" w:eastAsia="IRNazanin" w:cs="IRNazanin"/>
          <w:lang w:bidi="fa-IR"/>
          <w:color w:val="111111"/>
          <w:sz w:val="28"/>
          <w:szCs w:val="28"/>
          <w:rtl/>
        </w:rPr>
        <w:t xml:space="preserve">افتادگی: آغاز؛ مجدول؛ اهدایی: رهبری، مهر ۱۳۸۶؛ کاغذ: حنایی آهار مهره، جلد: مقوا با روکش مشمع زرشکی، ۴گ، ۲۱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 سم [ اهدائی رهبر: ۱ علوم قرآن-۳۰۱]</w:t>
      </w:r>
    </w:p>
    <w:p>
      <w:pPr>
        <w:pStyle w:val="Heading3"/>
      </w:pPr>
      <w:bookmarkStart w:id="2958" w:name="_Toc2218"/>
      <w:r>
        <w:t>•التبيان في بيان ما في ليلة النصف من شعبان / اخلاق / عربی</w:t>
      </w:r>
      <w:bookmarkEnd w:id="2958"/>
    </w:p>
    <w:p>
      <w:pPr>
        <w:pStyle w:val="BookText"/>
      </w:pPr>
      <w:r>
        <w:rPr>
          <w:rFonts w:ascii="Times New Roman" w:hAnsi="Times New Roman" w:eastAsia="Times New Roman" w:cs="Times New Roman"/>
          <w:lang w:val="en-US" w:bidi="en-US"/>
          <w:color w:val="111111"/>
          <w:sz w:val="28"/>
          <w:szCs w:val="28"/>
          <w:rtl/>
        </w:rPr>
        <w:t xml:space="preserve">at-tibyan fi bayan-i ma fi laylat-in nisf min saban</w:t>
      </w:r>
    </w:p>
    <w:p>
      <w:pPr>
        <w:pStyle w:val="BookText"/>
      </w:pPr>
      <w:r>
        <w:rPr>
          <w:rFonts w:ascii="IRNazanin" w:hAnsi="IRNazanin" w:eastAsia="IRNazanin" w:cs="IRNazanin"/>
          <w:lang w:bidi="fa-IR"/>
          <w:color w:val="111111"/>
          <w:sz w:val="28"/>
          <w:szCs w:val="28"/>
          <w:rtl/>
        </w:rPr>
        <w:t xml:space="preserve">قاری هروی، علی بن سلطان محمد، -۱۰۱۴ قمری</w:t>
      </w:r>
    </w:p>
    <w:p>
      <w:pPr>
        <w:pStyle w:val="BookText"/>
      </w:pPr>
      <w:r>
        <w:rPr>
          <w:rFonts w:ascii="Times New Roman" w:hAnsi="Times New Roman" w:eastAsia="Times New Roman" w:cs="Times New Roman"/>
          <w:lang w:val="en-US" w:bidi="en-US"/>
          <w:color w:val="111111"/>
          <w:sz w:val="28"/>
          <w:szCs w:val="28"/>
          <w:rtl/>
        </w:rPr>
        <w:t xml:space="preserve">qārī heravī, ‘alī ebn-e soltān mohammad (-1606)</w:t>
      </w:r>
    </w:p>
    <w:p>
      <w:pPr>
        <w:pStyle w:val="BookText"/>
      </w:pPr>
      <w:r>
        <w:rPr>
          <w:rFonts w:ascii="IRNazanin" w:hAnsi="IRNazanin" w:eastAsia="IRNazanin" w:cs="IRNazanin"/>
          <w:lang w:bidi="fa-IR"/>
          <w:color w:val="111111"/>
          <w:sz w:val="28"/>
          <w:szCs w:val="28"/>
          <w:rtl/>
        </w:rPr>
        <w:t xml:space="preserve">رساله ای در ذکر فضایل ماه شعبان و شمه ای از اعمال وارده در آن، از طریق عامه می باشد.</w:t>
      </w:r>
    </w:p>
    <w:p>
      <w:pPr>
        <w:pStyle w:val="BookText"/>
      </w:pPr>
      <w:r>
        <w:rPr>
          <w:rFonts w:ascii="IRNazanin" w:hAnsi="IRNazanin" w:eastAsia="IRNazanin" w:cs="IRNazanin"/>
          <w:lang w:bidi="fa-IR"/>
          <w:color w:val="111111"/>
          <w:sz w:val="28"/>
          <w:szCs w:val="28"/>
          <w:rtl/>
        </w:rPr>
        <w:t xml:space="preserve">[هدية العارفین ۷۵۱/۱ -۷۵۳؛ دنا ۷۷۷/۲ ]</w:t>
      </w:r>
    </w:p>
    <w:p>
      <w:pPr>
        <w:pStyle w:val="BookText"/>
      </w:pPr>
      <w:r>
        <w:rPr>
          <w:rFonts w:ascii="IRNazanin" w:hAnsi="IRNazanin" w:eastAsia="IRNazanin" w:cs="IRNazanin"/>
          <w:lang w:bidi="fa-IR"/>
          <w:color w:val="111111"/>
          <w:sz w:val="28"/>
          <w:szCs w:val="28"/>
          <w:rtl/>
        </w:rPr>
        <w:t xml:space="preserve">قم؛ مرعشی؛ شماره نسخه: ۱۱۱۶۶/۱</w:t>
      </w:r>
    </w:p>
    <w:p>
      <w:pPr>
        <w:pStyle w:val="BookText"/>
      </w:pPr>
      <w:r>
        <w:rPr>
          <w:rFonts w:ascii="Amiri" w:hAnsi="Amiri" w:eastAsia="Amiri" w:cs="Amiri"/>
          <w:lang w:bidi="ar-SA"/>
          <w:color w:val="111111"/>
          <w:sz w:val="28"/>
          <w:szCs w:val="28"/>
          <w:rtl/>
        </w:rPr>
        <w:t xml:space="preserve">آغاز: الحمدلله الذي قدرل الارزاق و الاجال و دبر امور العباد من الأحوال و الأفعال؛ انجام: و انفرد بمقام الحضور في خدمة مولاه و سلام على المرسلين و الحمدلله رب العالمين</w:t>
      </w:r>
    </w:p>
    <w:p>
      <w:pPr>
        <w:pStyle w:val="BookText"/>
      </w:pPr>
      <w:r>
        <w:rPr>
          <w:rFonts w:ascii="IRNazanin" w:hAnsi="IRNazanin" w:eastAsia="IRNazanin" w:cs="IRNazanin"/>
          <w:lang w:bidi="fa-IR"/>
          <w:color w:val="111111"/>
          <w:sz w:val="28"/>
          <w:szCs w:val="28"/>
          <w:rtl/>
        </w:rPr>
        <w:t xml:space="preserve">خط: نستعلیق، بی کا، تا: قرن ۱۳؛ مجدول، محشی؛ کاغذ: فرنگی، ۱۹گ (۱-۱۹)، ۱۹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۹سم [ف: ۲۸-۲۳۵]</w:t>
      </w:r>
    </w:p>
    <w:p>
      <w:pPr>
        <w:pStyle w:val="Heading3"/>
      </w:pPr>
      <w:bookmarkStart w:id="2959" w:name="_Toc2219"/>
      <w:r>
        <w:t>•التبيان في تفسير القرآن = التبيان الجامع لعلوم القرآن / تفسير / عربی</w:t>
      </w:r>
      <w:bookmarkEnd w:id="2959"/>
    </w:p>
    <w:p>
      <w:pPr>
        <w:pStyle w:val="BookText"/>
      </w:pPr>
      <w:r>
        <w:rPr>
          <w:rFonts w:ascii="Times New Roman" w:hAnsi="Times New Roman" w:eastAsia="Times New Roman" w:cs="Times New Roman"/>
          <w:lang w:val="en-US" w:bidi="en-US"/>
          <w:color w:val="111111"/>
          <w:sz w:val="28"/>
          <w:szCs w:val="28"/>
          <w:rtl/>
        </w:rPr>
        <w:t xml:space="preserve">at-tibyān fī tafsīr-il qur'ān = at-tibyān-il jāmi' li-‘ulūm il qur‘ān</w:t>
      </w:r>
    </w:p>
    <w:p>
      <w:pPr>
        <w:pStyle w:val="BookText"/>
      </w:pPr>
      <w:r>
        <w:rPr>
          <w:rFonts w:ascii="IRNazanin" w:hAnsi="IRNazanin" w:eastAsia="IRNazanin" w:cs="IRNazanin"/>
          <w:lang w:bidi="fa-IR"/>
          <w:color w:val="111111"/>
          <w:sz w:val="28"/>
          <w:szCs w:val="28"/>
          <w:rtl/>
        </w:rPr>
        <w:t xml:space="preserve">؟ شیخ طوسی، محمد بن حسن، ۳۸۵-۴۶۰ قمری</w:t>
      </w:r>
    </w:p>
    <w:p>
      <w:pPr>
        <w:pStyle w:val="BookText"/>
      </w:pPr>
      <w:r>
        <w:rPr>
          <w:rFonts w:ascii="Times New Roman" w:hAnsi="Times New Roman" w:eastAsia="Times New Roman" w:cs="Times New Roman"/>
          <w:lang w:val="en-US" w:bidi="en-US"/>
          <w:color w:val="111111"/>
          <w:sz w:val="28"/>
          <w:szCs w:val="28"/>
          <w:rtl/>
        </w:rPr>
        <w:t xml:space="preserve">šayx-e tūsī, mohammad ebn-e hasan (996-1069)</w:t>
      </w:r>
    </w:p>
    <w:p>
      <w:pPr>
        <w:pStyle w:val="BookText"/>
      </w:pPr>
      <w:r>
        <w:rPr>
          <w:rFonts w:ascii="IRNazanin" w:hAnsi="IRNazanin" w:eastAsia="IRNazanin" w:cs="IRNazanin"/>
          <w:lang w:bidi="fa-IR"/>
          <w:color w:val="111111"/>
          <w:sz w:val="28"/>
          <w:szCs w:val="28"/>
          <w:rtl/>
        </w:rPr>
        <w:t xml:space="preserve">تاریخ فراغت از تأليف: ۲۱ رجب ۴۴۱ق، تاریخ فراغت از تبييض: یک شنبه ۱۴ جمادی الثانی ۴۴۴ق اولین تفسیر کم نظیر شیعی است که شامل جميع علوم قرآن از قرائت، معانی، اعراب، اسباب نزول، بحث در متشابه و جواب شبهات مجبره و مشبهه و مجسمه می باشد. شیخ الطائفه با استناد به روایات اهل بیت عصمت و طهارت(عليهم السلام)و استفاده از مکتب آنان، اثری ارزنده به وجود آورده، که مورد استفاده مفسرین بعد از او مانند طبرسی و دیگران بوده است. تفسیر تبیان، دارای مقدمه مفصلی درباره اهمیت قرآن کریم و کیفیت نزول آن و مسئله تحريف ورد آن و تفسیر برای و مطالب دیگر می باشد. چاپ: تهران، چاپخانه اسلامیه، ۱۳۶۵ق ۱۳۷۶ق، حروفی، در ۱۰ مجلد وزیری</w:t>
      </w:r>
    </w:p>
    <w:p>
      <w:pPr>
        <w:pStyle w:val="BookText"/>
      </w:pPr>
      <w:r>
        <w:rPr>
          <w:rFonts w:ascii="IRNazanin" w:hAnsi="IRNazanin" w:eastAsia="IRNazanin" w:cs="IRNazanin"/>
          <w:lang w:bidi="fa-IR"/>
          <w:color w:val="111111"/>
          <w:sz w:val="28"/>
          <w:szCs w:val="28"/>
          <w:rtl/>
        </w:rPr>
        <w:t xml:space="preserve">[دنا ۷۷۷/۲ (۵۰ نسخه)؛ الذریعه ۳۲۸/۳ -۳۳۱ «التبيان» به تفصیل؛ مشار عربی ۱۵۸ «التبيان الجامع لعلوم القرآن» (۲ چاپ)]</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التبيان في تفسير القرآن (منتخب) = المنتخب من تفسير القرآن و النكت المستخرجة من كتاب التبيان = مختصر التبيان = التعليقة على ، التبيان في تفسير القرآن؛ ابن ادریس، محمد بن احمد (۵۴۳-۵۹۸)</w:t>
      </w:r>
    </w:p>
    <w:p>
      <w:pPr>
        <w:pStyle w:val="BookText"/>
      </w:pPr>
      <w:r>
        <w:rPr>
          <w:rFonts w:ascii="IRNazanin" w:hAnsi="IRNazanin" w:eastAsia="IRNazanin" w:cs="IRNazanin"/>
          <w:lang w:bidi="fa-IR"/>
          <w:color w:val="111111"/>
          <w:sz w:val="28"/>
          <w:szCs w:val="28"/>
          <w:rtl/>
        </w:rPr>
        <w:t xml:space="preserve">۱. قم؛ مرعشی؛ شماره نسخه:۸۳ و ۷۶عکسی</w:t>
      </w:r>
    </w:p>
    <w:p>
      <w:pPr>
        <w:pStyle w:val="BookText"/>
      </w:pPr>
      <w:r>
        <w:rPr>
          <w:rFonts w:ascii="IRNazanin" w:hAnsi="IRNazanin" w:eastAsia="IRNazanin" w:cs="IRNazanin"/>
          <w:lang w:bidi="fa-IR"/>
          <w:color w:val="111111"/>
          <w:sz w:val="28"/>
          <w:szCs w:val="28"/>
          <w:rtl/>
        </w:rPr>
        <w:t xml:space="preserve">آغاز: ... قوله تعالی و اذ غدوت من أهلک تبويء المؤمنين مقاعد للقتال و الله سميع عليم [آل عمران: ۱۲۱]، انجام: و لم يقع اللبس الان حروف الصفات تقوم بعضها مقام بعض [دنباله آیه ۵۰ از سوره مائده]</w:t>
      </w:r>
    </w:p>
    <w:p>
      <w:pPr>
        <w:pStyle w:val="BookText"/>
      </w:pPr>
      <w:r>
        <w:rPr>
          <w:rFonts w:ascii="IRNazanin" w:hAnsi="IRNazanin" w:eastAsia="IRNazanin" w:cs="IRNazanin"/>
          <w:lang w:bidi="fa-IR"/>
          <w:color w:val="111111"/>
          <w:sz w:val="28"/>
          <w:szCs w:val="28"/>
          <w:rtl/>
        </w:rPr>
        <w:t xml:space="preserve">جزء سوم؛ خط: نسخ نازیبا، بی کا، تا: قرن ۵؛ افتادگی: آغاز و انجام؛ روی برگ اول شیخ طوسی نوشته که کتاب را شیخ ابو الوفاء عبدالجبار بن عبدالله مقری رازی خوانده و شیخ ابو محمد الحسن بن الحسين بن بابویه قمی و ابو علي الحسن ابن محمد (پسر شیخ طوسی) به تاریخ ربیع الاول ۴۵۵ شنیده اند، و نیز روی همین برگ زیر خط طوسی شیخ ابو الوفاء نوشته که کتاب را فرزندم ابوالقاسم علی بن عبدالجبار بر من خوانده و سید ابوالفضل داعی بن علی بن الحسین الحسینی به تاریخ سلخ جمادی الاول ۴۹۴ شنیده است، مطالعه علی بن حسین بن الشرايع العودی، صورت قرائت علی بن احمد بن محمد ... و على بن الفتح الواعظ الجرجانی بر ابی علی پسر شیخ طوسی، علی بن الفتح نوشته که نسخه ام را با این نسخه مقابله نموده ام؛ تملك: حسين ابن محمد بن نصر بن علوي بن سليمان بن يحيى بن جعفر بن احمد ابن محمد بن ... جملات، على بن الحسين العبدی، عباس على سلطانی؛ مهر: «... رفیع الدین بن محمد الحسینی الموسوی» (بیضوی)، «محمد نبي الله» (بیضوی)، «یا ارفع من كل رفيع» (بیضوی)، «اقل العباد على ...» (دائرى)؛ جلد: تیماج قهوه ای ضربی، ۲۶۶گ، مختلف السطر،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سم [ف: ۱-۱۰۳] و [عکسی ف: ۱-۷۹]</w:t>
      </w:r>
    </w:p>
    <w:p>
      <w:pPr>
        <w:pStyle w:val="BookText"/>
      </w:pPr>
      <w:r>
        <w:rPr>
          <w:rFonts w:ascii="IRNazanin" w:hAnsi="IRNazanin" w:eastAsia="IRNazanin" w:cs="IRNazanin"/>
          <w:lang w:bidi="fa-IR"/>
          <w:color w:val="111111"/>
          <w:sz w:val="28"/>
          <w:szCs w:val="28"/>
          <w:rtl/>
        </w:rPr>
        <w:t xml:space="preserve">۲. قم؛ مرعشی؛ شماره نسخه:۳۶۰۷ و ۷۷عکسی</w:t>
      </w:r>
    </w:p>
    <w:p>
      <w:pPr>
        <w:pStyle w:val="BookText"/>
      </w:pPr>
      <w:r>
        <w:rPr>
          <w:rFonts w:ascii="IRNazanin" w:hAnsi="IRNazanin" w:eastAsia="IRNazanin" w:cs="IRNazanin"/>
          <w:lang w:bidi="fa-IR"/>
          <w:color w:val="111111"/>
          <w:sz w:val="28"/>
          <w:szCs w:val="28"/>
          <w:rtl/>
        </w:rPr>
        <w:t xml:space="preserve">از سوره یوسف تا فاطر (دنباله نسخه شماره (۸۳))؛ خط: نسخ نازیبا، بی کا، تا: قرن ۵؛ مصحح، محشی، اجازه شیخ طوسی روی برگ اول آن بوده؛ جلد: تیماج مشکی، ۲۱۷گ، ۱۹ سطر، اندازه: ۱۹۶۷۱۴ سم [ف: ۱۰-۷] و [عکسی ف: ۱-۸۰]</w:t>
      </w:r>
    </w:p>
    <w:p>
      <w:pPr>
        <w:pStyle w:val="BookText"/>
      </w:pPr>
      <w:r>
        <w:rPr>
          <w:rFonts w:ascii="IRNazanin" w:hAnsi="IRNazanin" w:eastAsia="IRNazanin" w:cs="IRNazanin"/>
          <w:lang w:bidi="fa-IR"/>
          <w:color w:val="111111"/>
          <w:sz w:val="28"/>
          <w:szCs w:val="28"/>
          <w:rtl/>
        </w:rPr>
        <w:t xml:space="preserve">قم مرکز احیاء؛ شماره نسخه:۱۱ و ۱۲</w:t>
      </w:r>
    </w:p>
    <w:p>
      <w:pPr>
        <w:pStyle w:val="BookText"/>
      </w:pPr>
      <w:r>
        <w:rPr>
          <w:rFonts w:ascii="IRNazanin" w:hAnsi="IRNazanin" w:eastAsia="IRNazanin" w:cs="IRNazanin"/>
          <w:lang w:bidi="fa-IR"/>
          <w:color w:val="111111"/>
          <w:sz w:val="28"/>
          <w:szCs w:val="28"/>
          <w:rtl/>
        </w:rPr>
        <w:t xml:space="preserve">نسخه اصل: همان نسخه بالا [عکسی ف: ۱-۲۵ و ۲۶]</w:t>
      </w:r>
    </w:p>
    <w:p>
      <w:pPr>
        <w:pStyle w:val="BookText"/>
      </w:pPr>
      <w:r>
        <w:rPr>
          <w:rFonts w:ascii="IRNazanin" w:hAnsi="IRNazanin" w:eastAsia="IRNazanin" w:cs="IRNazanin"/>
          <w:lang w:bidi="fa-IR"/>
          <w:color w:val="111111"/>
          <w:sz w:val="28"/>
          <w:szCs w:val="28"/>
          <w:rtl/>
        </w:rPr>
        <w:t xml:space="preserve">مشهد؛ الهيات؛ شماره نسخه:۱۳۱۱۵ عکسی</w:t>
      </w:r>
    </w:p>
    <w:p>
      <w:pPr>
        <w:pStyle w:val="BookText"/>
      </w:pPr>
      <w:r>
        <w:rPr>
          <w:rFonts w:ascii="IRNazanin" w:hAnsi="IRNazanin" w:eastAsia="IRNazanin" w:cs="IRNazanin"/>
          <w:lang w:bidi="fa-IR"/>
          <w:color w:val="111111"/>
          <w:sz w:val="28"/>
          <w:szCs w:val="28"/>
          <w:rtl/>
        </w:rPr>
        <w:t xml:space="preserve">نسخه اصل: همان نسخه بالا [ف: ۳-۱۲۸۷]</w:t>
      </w:r>
    </w:p>
    <w:p>
      <w:pPr>
        <w:pStyle w:val="BookText"/>
      </w:pPr>
      <w:r>
        <w:rPr>
          <w:rFonts w:ascii="IRNazanin" w:hAnsi="IRNazanin" w:eastAsia="IRNazanin" w:cs="IRNazanin"/>
          <w:lang w:bidi="fa-IR"/>
          <w:color w:val="111111"/>
          <w:sz w:val="28"/>
          <w:szCs w:val="28"/>
          <w:rtl/>
        </w:rPr>
        <w:t xml:space="preserve">تهران؛ دانشگاه؛ شماره نسخه:۲۹۷۲ و ۲۹۷۵/۱ -ف</w:t>
      </w:r>
    </w:p>
    <w:p>
      <w:pPr>
        <w:pStyle w:val="BookText"/>
      </w:pPr>
      <w:r>
        <w:rPr>
          <w:rFonts w:ascii="Amiri" w:hAnsi="Amiri" w:eastAsia="Amiri" w:cs="Amiri"/>
          <w:lang w:bidi="ar-SA"/>
          <w:color w:val="111111"/>
          <w:sz w:val="28"/>
          <w:szCs w:val="28"/>
          <w:rtl/>
        </w:rPr>
        <w:t xml:space="preserve">نسخه اصل: همان نسخه بالا [فيلمها ف: ۱-۲۹۵ و ۷۴۴]</w:t>
      </w:r>
    </w:p>
    <w:p>
      <w:pPr>
        <w:pStyle w:val="BookText"/>
      </w:pPr>
      <w:r>
        <w:rPr>
          <w:rFonts w:ascii="IRNazanin" w:hAnsi="IRNazanin" w:eastAsia="IRNazanin" w:cs="IRNazanin"/>
          <w:lang w:bidi="fa-IR"/>
          <w:color w:val="111111"/>
          <w:sz w:val="28"/>
          <w:szCs w:val="28"/>
          <w:rtl/>
        </w:rPr>
        <w:t xml:space="preserve">٣. تهران: دانشگاه؛ شماره نسخه:۶۱۴۷-عکس</w:t>
      </w:r>
    </w:p>
    <w:p>
      <w:pPr>
        <w:pStyle w:val="BookText"/>
      </w:pPr>
      <w:r>
        <w:rPr>
          <w:rFonts w:ascii="IRNazanin" w:hAnsi="IRNazanin" w:eastAsia="IRNazanin" w:cs="IRNazanin"/>
          <w:lang w:bidi="fa-IR"/>
          <w:color w:val="111111"/>
          <w:sz w:val="28"/>
          <w:szCs w:val="28"/>
          <w:rtl/>
        </w:rPr>
        <w:t xml:space="preserve">نسخه اصل: نسخه فخر الدین نصیری امینی. جلد ۴، از آیه ۴۷ سورة المائدة تا آیه ۷۴ سورة الأنعام؛ خط: نسخ، كا: هبة الله بن على بن محمد مالکی کاتب، تا: دهه سوم رجب ۴۷۷ق، جان نجف، برای سید ابوالمحاسن اسعد (اسماعيل بن عقیل حسینی سلیقی؛ ۲۶۱ص</w:t>
      </w:r>
    </w:p>
    <w:p>
      <w:pPr>
        <w:pStyle w:val="BookText"/>
      </w:pPr>
      <w:r>
        <w:rPr>
          <w:rFonts w:ascii="Amiri" w:hAnsi="Amiri" w:eastAsia="Amiri" w:cs="Amiri"/>
          <w:lang w:bidi="ar-SA"/>
          <w:color w:val="111111"/>
          <w:sz w:val="28"/>
          <w:szCs w:val="28"/>
          <w:rtl/>
        </w:rPr>
        <w:t xml:space="preserve">[فيلمها ف: ۳-۲۴۲]
</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 مرکز احیاء؛ شماره نسخه:۱۳</w:t>
      </w:r>
    </w:p>
    <w:p>
      <w:pPr>
        <w:pStyle w:val="BookText"/>
      </w:pPr>
      <w:r>
        <w:rPr>
          <w:rFonts w:ascii="IRNazanin" w:hAnsi="IRNazanin" w:eastAsia="IRNazanin" w:cs="IRNazanin"/>
          <w:lang w:bidi="fa-IR"/>
          <w:color w:val="111111"/>
          <w:sz w:val="28"/>
          <w:szCs w:val="28"/>
          <w:rtl/>
        </w:rPr>
        <w:t xml:space="preserve">نسخ اصل: همان نسخه بالا [عکسی ف: ۱-۲۷]</w:t>
      </w:r>
    </w:p>
    <w:p>
      <w:pPr>
        <w:pStyle w:val="BookText"/>
      </w:pPr>
      <w:r>
        <w:rPr>
          <w:rFonts w:ascii="IRNazanin" w:hAnsi="IRNazanin" w:eastAsia="IRNazanin" w:cs="IRNazanin"/>
          <w:lang w:bidi="fa-IR"/>
          <w:color w:val="111111"/>
          <w:sz w:val="28"/>
          <w:szCs w:val="28"/>
          <w:rtl/>
        </w:rPr>
        <w:t xml:space="preserve">۴. قم؛ مرعشی؛ شماره نسخه:۸۴۱۹</w:t>
      </w:r>
    </w:p>
    <w:p>
      <w:pPr>
        <w:pStyle w:val="BookText"/>
      </w:pPr>
      <w:r>
        <w:rPr>
          <w:rFonts w:ascii="IRNazanin" w:hAnsi="IRNazanin" w:eastAsia="IRNazanin" w:cs="IRNazanin"/>
          <w:lang w:bidi="fa-IR"/>
          <w:color w:val="111111"/>
          <w:sz w:val="28"/>
          <w:szCs w:val="28"/>
          <w:rtl/>
        </w:rPr>
        <w:t xml:space="preserve">جزء دوم و سوم شامل سوره بقره و آل عمران؛ خط: نسخ معرب، بی کا، تا: قرن ۶ افتادگی: انجام؛ مهر: «عبده محمد سمیع الحسینی» (بیضوی)؛ جلد: تیماج قرمز، ۳۸۱گ، ۱۵ 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۲۲-۱۷]</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مرعشی؛ شماره نسخه:۳۶۶۵</w:t>
      </w:r>
    </w:p>
    <w:p>
      <w:pPr>
        <w:pStyle w:val="BookText"/>
      </w:pPr>
      <w:r>
        <w:rPr>
          <w:rFonts w:ascii="IRNazanin" w:hAnsi="IRNazanin" w:eastAsia="IRNazanin" w:cs="IRNazanin"/>
          <w:lang w:bidi="fa-IR"/>
          <w:color w:val="111111"/>
          <w:sz w:val="28"/>
          <w:szCs w:val="28"/>
          <w:rtl/>
        </w:rPr>
        <w:t xml:space="preserve">جزء هفتم و هشتم و از آیه «اذ تغشیکم النعاس أمنة منه» [سوره انفال: ۱۱] تا آیه «قالوا یا شعیب اصلاتک تأمرک» (سوره هود: ۸۷)؛ خط: نسخ نازیبا، كا: عزیزی بن محسن بغدادی، تا: ذیقعده ۸۶ (تاریخ ناتمام است و احتمال می رود که نسخه از سده ششم باشد)؛ تملک: على بن الحسين بن محمد بن ابراهيم البدني ؟، در آن آمده که مالک صاحب نسخه خواجه صلاح الدین ظهیر الاسلام شیخ الائمه بوده و خط وی به تاریخ شعبان ۵۳۸ نوشته شده بود و این یادداشت را محمد ابن متکا بن ابي على استرابادی نوشته است؛ جلد: تیماج سبز، ۱۴۵ گ، ۲۱ سطر، اندازه: ۱۶/۵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۱۸/۵ سم [ف: ۱۰-۵۶]</w:t>
      </w:r>
    </w:p>
    <w:p>
      <w:pPr>
        <w:pStyle w:val="BookText"/>
      </w:pPr>
      <w:r>
        <w:rPr>
          <w:rFonts w:ascii="IRNazanin" w:hAnsi="IRNazanin" w:eastAsia="IRNazanin" w:cs="IRNazanin"/>
          <w:lang w:bidi="fa-IR"/>
          <w:color w:val="111111"/>
          <w:sz w:val="28"/>
          <w:szCs w:val="28"/>
          <w:rtl/>
        </w:rPr>
        <w:t xml:space="preserve">۶. قم؛ مرعشی؛ شماره نسخه:۱۱۸۸۴</w:t>
      </w:r>
    </w:p>
    <w:p>
      <w:pPr>
        <w:pStyle w:val="BookText"/>
      </w:pPr>
      <w:r>
        <w:rPr>
          <w:rFonts w:ascii="IRNazanin" w:hAnsi="IRNazanin" w:eastAsia="IRNazanin" w:cs="IRNazanin"/>
          <w:lang w:bidi="fa-IR"/>
          <w:color w:val="111111"/>
          <w:sz w:val="28"/>
          <w:szCs w:val="28"/>
          <w:rtl/>
        </w:rPr>
        <w:t xml:space="preserve">آغاز: سورة هود عليه السلام هي مكية في قول قتادة و مجاهد و غيرهما و هي مائة و ثلث و عشرون آية في الكوفي و اثنتان في المدنی و واحدة في البصری؛ انجام: و لو كان بعضهم ظهيرة أي معينة و المثلية التي تجدوا بالمعارضة</w:t>
      </w:r>
    </w:p>
    <w:p>
      <w:pPr>
        <w:pStyle w:val="BookText"/>
      </w:pPr>
      <w:r>
        <w:rPr>
          <w:rFonts w:ascii="IRNazanin" w:hAnsi="IRNazanin" w:eastAsia="IRNazanin" w:cs="IRNazanin"/>
          <w:lang w:bidi="fa-IR"/>
          <w:color w:val="111111"/>
          <w:sz w:val="28"/>
          <w:szCs w:val="28"/>
          <w:rtl/>
        </w:rPr>
        <w:t xml:space="preserve">از آغاز سوره هود تا آیه ۸۸ سوره بنی اسرائیل؛ خط: نسخ معرب، بی کا، تا: قرن ۶ افتادگی: انجام؛ مصحح، مقابله شده با عبارت:</w:t>
      </w:r>
    </w:p>
    <w:p>
      <w:pPr>
        <w:pStyle w:val="BookText"/>
      </w:pPr>
      <w:r>
        <w:rPr>
          <w:rFonts w:ascii="IRNazanin" w:hAnsi="IRNazanin" w:eastAsia="IRNazanin" w:cs="IRNazanin"/>
          <w:lang w:bidi="fa-IR"/>
          <w:color w:val="111111"/>
          <w:sz w:val="28"/>
          <w:szCs w:val="28"/>
          <w:rtl/>
        </w:rPr>
        <w:t xml:space="preserve">بلغ قراءة أيده الله»؛ نسخه از ورثه مرحوم عباس على سلطان خریداری گردیده، در برگ ۳ نام «گوهر سلطان بیگم، آمده؛ تملك: «یحیی ... سنة سبع و ...»، «ابراهيم بن سلیمان» در سال نهصد و ...) کاغذ: شرقی، جلد: چرم مشکی، میان لاکی روغنی، ۱۸۹گ، ۲۰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[ف: ۳۰-۱۶۰]</w:t>
      </w:r>
    </w:p>
    <w:p>
      <w:pPr>
        <w:pStyle w:val="BookText"/>
      </w:pPr>
      <w:r>
        <w:rPr>
          <w:rFonts w:ascii="IRNazanin" w:hAnsi="IRNazanin" w:eastAsia="IRNazanin" w:cs="IRNazanin"/>
          <w:lang w:bidi="fa-IR"/>
          <w:color w:val="111111"/>
          <w:sz w:val="28"/>
          <w:szCs w:val="28"/>
          <w:rtl/>
        </w:rPr>
        <w:t xml:space="preserve">۷. تهران؛ دانشگاه؛ شماره نسخه:۶۲۳۴-عکس</w:t>
      </w:r>
    </w:p>
    <w:p>
      <w:pPr>
        <w:pStyle w:val="BookText"/>
      </w:pPr>
      <w:r>
        <w:rPr>
          <w:rFonts w:ascii="IRNazanin" w:hAnsi="IRNazanin" w:eastAsia="IRNazanin" w:cs="IRNazanin"/>
          <w:lang w:bidi="fa-IR"/>
          <w:color w:val="111111"/>
          <w:sz w:val="28"/>
          <w:szCs w:val="28"/>
          <w:rtl/>
        </w:rPr>
        <w:t xml:space="preserve">جلد ۷ و ۸ از انفال تا آیه ۸۷ سوره هود؛ خط: نسخ، كا: عبدالعزيز بن محسن بغدادی، تا: شعبان ۵۳۸ق؛ در پایان ج ۲ (گی ۷۵ و ۷۶) آمده که محمد بن متکا بن ابي على استرابادی در شعبان ۵۳۸ دارنده نسخه بوده و این یادداشت هم نوشته خود اوست؛ در پایان برگ ۸ شعرهای عربی رئیس ابوالغنائم محمد بن على بن معلم ملقب به نجم الدین از مردم روستای نهر صينه واسط شب ۱۷ جمادی الاول ۵۹۱-۴ رجب ۵۹۲) آمده؛ واقف: میرزا</w:t>
      </w:r>
    </w:p>
    <w:p>
      <w:pPr>
        <w:pStyle w:val="BookText"/>
      </w:pPr>
      <w:r>
        <w:rPr>
          <w:rFonts w:ascii="IRNazanin" w:hAnsi="IRNazanin" w:eastAsia="IRNazanin" w:cs="IRNazanin"/>
          <w:lang w:bidi="fa-IR"/>
          <w:color w:val="111111"/>
          <w:sz w:val="28"/>
          <w:szCs w:val="28"/>
          <w:rtl/>
        </w:rPr>
        <w:t xml:space="preserve">محمد رفیع تبریزی در گذشته ۱۲۲۲. [فيلمها ف: ۳-۲۴۶]</w:t>
      </w:r>
    </w:p>
    <w:p>
      <w:pPr>
        <w:pStyle w:val="BookText"/>
      </w:pPr>
      <w:r>
        <w:rPr>
          <w:rFonts w:ascii="IRNazanin" w:hAnsi="IRNazanin" w:eastAsia="IRNazanin" w:cs="IRNazanin"/>
          <w:lang w:bidi="fa-IR"/>
          <w:color w:val="111111"/>
          <w:sz w:val="28"/>
          <w:szCs w:val="28"/>
          <w:rtl/>
        </w:rPr>
        <w:t xml:space="preserve">۸. تهران؛ ملک؛ شماره نسخه:۱۷۴</w:t>
      </w:r>
    </w:p>
    <w:p>
      <w:pPr>
        <w:pStyle w:val="BookText"/>
      </w:pPr>
      <w:r>
        <w:rPr>
          <w:rFonts w:ascii="IRNazanin" w:hAnsi="IRNazanin" w:eastAsia="IRNazanin" w:cs="IRNazanin"/>
          <w:lang w:bidi="fa-IR"/>
          <w:color w:val="111111"/>
          <w:sz w:val="28"/>
          <w:szCs w:val="28"/>
          <w:rtl/>
        </w:rPr>
        <w:t xml:space="preserve">آغاز: قوله: و قيل يا ارض ابلعي ماء ک و یا سماء اقلعی؛ انجام: قوله: الم تر الى الذين بدلوا نعمة الله كفرا و احلوا قومهم دار البوار جلد ششم، مشتمل بر تفسیر آیه ۴۴ از سوره هود الى آیه ۶۲ از سوره کهف؛ خط: نسخ، كا: محمد بن على، تا: ۵۶۶ق؛ تملک: محمد بن موسی بن عیسی»؛ کاغذ: دولت آبادی، جلد: میشن مشکی، ۲۵۵ص، ۱۹ سطر، اندازه: ۲۵/۴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۱-۸۰]</w:t>
      </w:r>
    </w:p>
    <w:p>
      <w:pPr>
        <w:pStyle w:val="BookText"/>
      </w:pPr>
      <w:r>
        <w:rPr>
          <w:rFonts w:ascii="IRNazanin" w:hAnsi="IRNazanin" w:eastAsia="IRNazanin" w:cs="IRNazanin"/>
          <w:lang w:bidi="fa-IR"/>
          <w:color w:val="111111"/>
          <w:sz w:val="28"/>
          <w:szCs w:val="28"/>
          <w:rtl/>
        </w:rPr>
        <w:t xml:space="preserve">قم؛ مرکز احیاء؛ شماره نسخه:۱۱۰۵</w:t>
      </w:r>
    </w:p>
    <w:p>
      <w:pPr>
        <w:pStyle w:val="BookText"/>
      </w:pPr>
      <w:r>
        <w:rPr>
          <w:rFonts w:ascii="IRNazanin" w:hAnsi="IRNazanin" w:eastAsia="IRNazanin" w:cs="IRNazanin"/>
          <w:lang w:bidi="fa-IR"/>
          <w:color w:val="111111"/>
          <w:sz w:val="28"/>
          <w:szCs w:val="28"/>
          <w:rtl/>
        </w:rPr>
        <w:t xml:space="preserve">نسخه اصل: همان نسخه بالا [عکسی ف: ۳-۳۸۸]</w:t>
      </w:r>
    </w:p>
    <w:p>
      <w:pPr>
        <w:pStyle w:val="BookText"/>
      </w:pPr>
      <w:r>
        <w:rPr>
          <w:rFonts w:ascii="IRNazanin" w:hAnsi="IRNazanin" w:eastAsia="IRNazanin" w:cs="IRNazanin"/>
          <w:lang w:bidi="fa-IR"/>
          <w:color w:val="111111"/>
          <w:sz w:val="28"/>
          <w:szCs w:val="28"/>
          <w:rtl/>
        </w:rPr>
        <w:t xml:space="preserve">قم؛ مرعشی؛ شماره نسخه: ۷۸عکسی و ۷۹عکسی</w:t>
      </w:r>
    </w:p>
    <w:p>
      <w:pPr>
        <w:pStyle w:val="BookText"/>
      </w:pPr>
      <w:r>
        <w:rPr>
          <w:rFonts w:ascii="IRNazanin" w:hAnsi="IRNazanin" w:eastAsia="IRNazanin" w:cs="IRNazanin"/>
          <w:lang w:bidi="fa-IR"/>
          <w:color w:val="111111"/>
          <w:sz w:val="28"/>
          <w:szCs w:val="28"/>
          <w:rtl/>
        </w:rPr>
        <w:t xml:space="preserve">نسخه اصل: همان نسخه بالا، در دو قسمت [عکسی ف: ۱-۸۱]</w:t>
      </w:r>
    </w:p>
    <w:p>
      <w:pPr>
        <w:pStyle w:val="BookText"/>
      </w:pPr>
      <w:r>
        <w:rPr>
          <w:rFonts w:ascii="IRNazanin" w:hAnsi="IRNazanin" w:eastAsia="IRNazanin" w:cs="IRNazanin"/>
          <w:lang w:bidi="fa-IR"/>
          <w:color w:val="111111"/>
          <w:sz w:val="28"/>
          <w:szCs w:val="28"/>
          <w:rtl/>
        </w:rPr>
        <w:t xml:space="preserve">مشهد: الهيات؛ شماره نسخه: ۱۳۱۰۱ عکسی و ۱۳۱۰۲ عکسی</w:t>
      </w:r>
    </w:p>
    <w:p>
      <w:pPr>
        <w:pStyle w:val="BookText"/>
      </w:pPr>
      <w:r>
        <w:rPr>
          <w:rFonts w:ascii="IRNazanin" w:hAnsi="IRNazanin" w:eastAsia="IRNazanin" w:cs="IRNazanin"/>
          <w:lang w:bidi="fa-IR"/>
          <w:color w:val="111111"/>
          <w:sz w:val="28"/>
          <w:szCs w:val="28"/>
          <w:rtl/>
        </w:rPr>
        <w:t xml:space="preserve">نسخه اصل: همان نسخه بالا، در دو بخش [ف: ۳-۱۲۸۸]</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دانشگاه؛ شماره نسخه:۷۰۰۵-عکس</w:t>
      </w:r>
    </w:p>
    <w:p>
      <w:pPr>
        <w:pStyle w:val="BookText"/>
      </w:pPr>
      <w:r>
        <w:rPr>
          <w:rFonts w:ascii="IRNazanin" w:hAnsi="IRNazanin" w:eastAsia="IRNazanin" w:cs="IRNazanin"/>
          <w:lang w:bidi="fa-IR"/>
          <w:color w:val="111111"/>
          <w:sz w:val="28"/>
          <w:szCs w:val="28"/>
          <w:rtl/>
        </w:rPr>
        <w:t xml:space="preserve">آغاز: بسمله قوله تعالى قولوا آمنا بالله و ما انزل الیک و ما انزل الى ابراهیم و اسمعیل و اسحق و یعقوب؛ انجام: لكنه لا يفهم الأبييان اصله. تم الجزء الثاني و يتلوه في الجزء الثالث تفسير قوله و اذغدوت من اهلك تبوى المؤمنين مقاعد للقتال و الله سميع عليم. نسخه اصل: کتابخانه دانشگاه پرینستن ۱۲۵۹ (۶۴۲</w:t>
      </w:r>
      <w:r>
        <w:rPr>
          <w:rFonts w:ascii="Times New Roman" w:hAnsi="Times New Roman" w:eastAsia="Times New Roman" w:cs="Times New Roman"/>
          <w:lang w:val="en-US" w:bidi="en-US"/>
          <w:color w:val="111111"/>
          <w:sz w:val="28"/>
          <w:szCs w:val="28"/>
          <w:rtl/>
        </w:rPr>
        <w:t xml:space="preserve">H). </w:t>
      </w:r>
      <w:r>
        <w:rPr>
          <w:rFonts w:ascii="IRNazanin" w:hAnsi="IRNazanin" w:eastAsia="IRNazanin" w:cs="IRNazanin"/>
          <w:lang w:bidi="fa-IR"/>
          <w:color w:val="111111"/>
          <w:sz w:val="28"/>
          <w:szCs w:val="28"/>
          <w:rtl/>
        </w:rPr>
        <w:t xml:space="preserve">جلد ۳، جزو دوم، از آیه ۱۳۶ سوره بقره تا آیه ۱۲۰ سوره آل عمران؛ خط: نسخ، كا: علی بن حمزة بن محمد بن احمد بن شهریار خازن، تا: ۵۶۷ق، جا: نجف؛ مقابله شده با اصل طوسی در (ثلث و ستین و خمس مائة)، مصحح، دارای نشانه بلاغ و مقابله با نسخه مصنف؛ تملك: محمد بن ابراهيم بن يعقوب بن حسان بن ثابت انصاری؛ ۲۲۱، ۱۹ سطر [فیلمها ف: ۳-۲۷۱]</w:t>
      </w:r>
    </w:p>
    <w:p>
      <w:pPr>
        <w:pStyle w:val="BookText"/>
      </w:pPr>
      <w:r>
        <w:rPr>
          <w:rFonts w:ascii="IRNazanin" w:hAnsi="IRNazanin" w:eastAsia="IRNazanin" w:cs="IRNazanin"/>
          <w:lang w:bidi="fa-IR"/>
          <w:color w:val="111111"/>
          <w:sz w:val="28"/>
          <w:szCs w:val="28"/>
          <w:rtl/>
        </w:rPr>
        <w:t xml:space="preserve">قم؛ مرعشی؛ شماره نسخه: ۳۱عکسی و ۴۱۶ عکسی و ۸۱۱ عکسی</w:t>
      </w:r>
    </w:p>
    <w:p>
      <w:pPr>
        <w:pStyle w:val="BookText"/>
      </w:pPr>
      <w:r>
        <w:rPr>
          <w:rFonts w:ascii="IRNazanin" w:hAnsi="IRNazanin" w:eastAsia="IRNazanin" w:cs="IRNazanin"/>
          <w:lang w:bidi="fa-IR"/>
          <w:color w:val="111111"/>
          <w:sz w:val="28"/>
          <w:szCs w:val="28"/>
          <w:rtl/>
        </w:rPr>
        <w:t xml:space="preserve">نسخه اصل: همان نسخه بالا [عکسی ف: ۱-۳۳ و ۳۶۵ و ۲-۲۸۷]</w:t>
      </w:r>
    </w:p>
    <w:p>
      <w:pPr>
        <w:pStyle w:val="BookText"/>
      </w:pPr>
      <w:r>
        <w:rPr>
          <w:rFonts w:ascii="IRNazanin" w:hAnsi="IRNazanin" w:eastAsia="IRNazanin" w:cs="IRNazanin"/>
          <w:lang w:bidi="fa-IR"/>
          <w:color w:val="111111"/>
          <w:sz w:val="28"/>
          <w:szCs w:val="28"/>
          <w:rtl/>
        </w:rPr>
        <w:t xml:space="preserve">مشهد؛ الهیات؛ شماره نسخه:۱۷ عکسی</w:t>
      </w:r>
    </w:p>
    <w:p>
      <w:pPr>
        <w:pStyle w:val="BookText"/>
      </w:pPr>
      <w:r>
        <w:rPr>
          <w:rFonts w:ascii="IRNazanin" w:hAnsi="IRNazanin" w:eastAsia="IRNazanin" w:cs="IRNazanin"/>
          <w:lang w:bidi="fa-IR"/>
          <w:color w:val="111111"/>
          <w:sz w:val="28"/>
          <w:szCs w:val="28"/>
          <w:rtl/>
        </w:rPr>
        <w:t xml:space="preserve">همان نسخه بالا [ف: ۳-۱۲۸۶]</w:t>
      </w:r>
    </w:p>
    <w:p>
      <w:pPr>
        <w:pStyle w:val="BookText"/>
      </w:pPr>
      <w:r>
        <w:rPr>
          <w:rFonts w:ascii="IRNazanin" w:hAnsi="IRNazanin" w:eastAsia="IRNazanin" w:cs="IRNazanin"/>
          <w:lang w:bidi="fa-IR"/>
          <w:color w:val="111111"/>
          <w:sz w:val="28"/>
          <w:szCs w:val="28"/>
          <w:rtl/>
        </w:rPr>
        <w:t xml:space="preserve">قم: مرکز احیاء؛ شماره نسخه:۳۲۹</w:t>
      </w:r>
    </w:p>
    <w:p>
      <w:pPr>
        <w:pStyle w:val="BookText"/>
      </w:pPr>
      <w:r>
        <w:rPr>
          <w:rFonts w:ascii="IRNazanin" w:hAnsi="IRNazanin" w:eastAsia="IRNazanin" w:cs="IRNazanin"/>
          <w:lang w:bidi="fa-IR"/>
          <w:color w:val="111111"/>
          <w:sz w:val="28"/>
          <w:szCs w:val="28"/>
          <w:rtl/>
        </w:rPr>
        <w:t xml:space="preserve">نسخه اصل: همان نسخه بالا [عکسی ف: ۱-۳۸۸]</w:t>
      </w:r>
    </w:p>
    <w:p>
      <w:pPr>
        <w:pStyle w:val="BookText"/>
      </w:pPr>
      <w:r>
        <w:rPr>
          <w:rFonts w:ascii="IRNazanin" w:hAnsi="IRNazanin" w:eastAsia="IRNazanin" w:cs="IRNazanin"/>
          <w:lang w:bidi="fa-IR"/>
          <w:color w:val="111111"/>
          <w:sz w:val="28"/>
          <w:szCs w:val="28"/>
          <w:rtl/>
        </w:rPr>
        <w:t xml:space="preserve">۱۰. قم؛ مرعشی؛ شماره نسخه:۴۱۷عکسی</w:t>
      </w:r>
    </w:p>
    <w:p>
      <w:pPr>
        <w:pStyle w:val="BookText"/>
      </w:pPr>
      <w:r>
        <w:rPr>
          <w:rFonts w:ascii="IRNazanin" w:hAnsi="IRNazanin" w:eastAsia="IRNazanin" w:cs="IRNazanin"/>
          <w:lang w:bidi="fa-IR"/>
          <w:color w:val="111111"/>
          <w:sz w:val="28"/>
          <w:szCs w:val="28"/>
          <w:rtl/>
        </w:rPr>
        <w:t xml:space="preserve">آغاز: و قوله الذين هم في غمرة ساهون صفة للخراصين و موضع الذين رفع نسخه اصل: حراجی اغلى بورسا ش ۱۸۲۲. جلد 9، از چند آیه بسوره الرحمن مانده تا آخر قرآن؛ خط: نسخ، كا: محمد بن على محمد بن حسن بن حیدر، تا: شنبه ۲۶ جمادی الاول ۵۸۱ق؛ افتادگی: انجام؛ محشی به نقل از کشاف و مفاتیح و تفسير قاضی، در آخر نسخه آمده است که تاریخ فراغت از تأليف، روز ۲۱ رجب ۴۴۱ق، می باشد و تاریخ فراغت از تبییض</w:t>
      </w:r>
    </w:p>
    <w:p>
      <w:pPr>
        <w:pStyle w:val="BookText"/>
      </w:pPr>
      <w:r>
        <w:rPr>
          <w:rFonts w:ascii="IRNazanin" w:hAnsi="IRNazanin" w:eastAsia="IRNazanin" w:cs="IRNazanin"/>
          <w:lang w:bidi="fa-IR"/>
          <w:color w:val="111111"/>
          <w:sz w:val="28"/>
          <w:szCs w:val="28"/>
          <w:rtl/>
        </w:rPr>
        <w:t xml:space="preserve">آن در روز یک شنبه ۱۴ جمادی الثانی ۴۴۴ق، بوده، پس از آن آمده که عدد آیات قرآن ۶۲۰۴ و قرآن کریم دارای ۷۹۲۷۷ یا ۷۹۲۸۷ یا ۷۹۲۳۹ کلمه می باشد و نیز تعداد آیاتی که در مکه و مدینه نازل شده است به تفکیک آمده است؛ ۳۴۰گ، ۱۸ سطر (عکسی ف:</w:t>
      </w:r>
    </w:p>
    <w:p>
      <w:pPr>
        <w:pStyle w:val="BookText"/>
      </w:pPr>
      <w:r>
        <w:rPr>
          <w:rFonts w:ascii="IRNazanin" w:hAnsi="IRNazanin" w:eastAsia="IRNazanin" w:cs="IRNazanin"/>
          <w:lang w:bidi="fa-IR"/>
          <w:color w:val="111111"/>
          <w:sz w:val="28"/>
          <w:szCs w:val="28"/>
          <w:rtl/>
        </w:rPr>
        <w:t xml:space="preserve">۳۶۵-۱ ]</w:t>
      </w:r>
    </w:p>
    <w:p>
      <w:pPr>
        <w:pStyle w:val="BookText"/>
      </w:pPr>
      <w:r>
        <w:rPr>
          <w:rFonts w:ascii="IRNazanin" w:hAnsi="IRNazanin" w:eastAsia="IRNazanin" w:cs="IRNazanin"/>
          <w:lang w:bidi="fa-IR"/>
          <w:color w:val="111111"/>
          <w:sz w:val="28"/>
          <w:szCs w:val="28"/>
          <w:rtl/>
        </w:rPr>
        <w:t xml:space="preserve">قم: مرکز احیاء؛ شماره نسخه:۲۶۵</w:t>
      </w:r>
    </w:p>
    <w:p>
      <w:pPr>
        <w:pStyle w:val="BookText"/>
      </w:pPr>
      <w:r>
        <w:rPr>
          <w:rFonts w:ascii="IRNazanin" w:hAnsi="IRNazanin" w:eastAsia="IRNazanin" w:cs="IRNazanin"/>
          <w:lang w:bidi="fa-IR"/>
          <w:color w:val="111111"/>
          <w:sz w:val="28"/>
          <w:szCs w:val="28"/>
          <w:rtl/>
        </w:rPr>
        <w:t xml:space="preserve">نسخه اصل: همان نسخه بالا [عکسی : ۱-۳۰۸]
</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مشهد؛ الهیات؛ شماره نسخه:۲۱ عکسی</w:t>
      </w:r>
    </w:p>
    <w:p>
      <w:pPr>
        <w:pStyle w:val="BookText"/>
      </w:pPr>
      <w:r>
        <w:rPr>
          <w:rFonts w:ascii="IRNazanin" w:hAnsi="IRNazanin" w:eastAsia="IRNazanin" w:cs="IRNazanin"/>
          <w:lang w:bidi="fa-IR"/>
          <w:color w:val="111111"/>
          <w:sz w:val="28"/>
          <w:szCs w:val="28"/>
          <w:rtl/>
        </w:rPr>
        <w:t xml:space="preserve">نسخه اصل: همان نسخه بالا [ف: ۳-۱۲۸۹]</w:t>
      </w:r>
    </w:p>
    <w:p>
      <w:pPr>
        <w:pStyle w:val="BookText"/>
      </w:pPr>
      <w:r>
        <w:rPr>
          <w:rFonts w:ascii="IRNazanin" w:hAnsi="IRNazanin" w:eastAsia="IRNazanin" w:cs="IRNazanin"/>
          <w:lang w:bidi="fa-IR"/>
          <w:color w:val="111111"/>
          <w:sz w:val="28"/>
          <w:szCs w:val="28"/>
          <w:rtl/>
        </w:rPr>
        <w:t xml:space="preserve">۱۱. قم؛ مرکز احیاء؛ شماره نسخه:۱۶</w:t>
      </w:r>
    </w:p>
    <w:p>
      <w:pPr>
        <w:pStyle w:val="BookText"/>
      </w:pPr>
      <w:r>
        <w:rPr>
          <w:rFonts w:ascii="IRNazanin" w:hAnsi="IRNazanin" w:eastAsia="IRNazanin" w:cs="IRNazanin"/>
          <w:lang w:bidi="fa-IR"/>
          <w:color w:val="111111"/>
          <w:sz w:val="28"/>
          <w:szCs w:val="28"/>
          <w:rtl/>
        </w:rPr>
        <w:t xml:space="preserve">نسخه اصل: کتابخانه امام صادق (ع) «نوربخش» - بروجرد ۳۲. جزء چهارم؛ خط: نسخ، كا: حسین بن محمد بن عبد القاهر بن محمد بن عبدالله بن يحيى بن الوكيل معروف به سطولی، تا: جمعه 7 رمضان ۵۹۳ ق تا جمعه ۳ ربیع الاول ۵۹۴؛ مصحح؛ ۶۳۲ص [عکسی ف: ۱-۲۹]</w:t>
      </w:r>
    </w:p>
    <w:p>
      <w:pPr>
        <w:pStyle w:val="BookText"/>
      </w:pPr>
      <w:r>
        <w:rPr>
          <w:rFonts w:ascii="IRNazanin" w:hAnsi="IRNazanin" w:eastAsia="IRNazanin" w:cs="IRNazanin"/>
          <w:lang w:bidi="fa-IR"/>
          <w:color w:val="111111"/>
          <w:sz w:val="28"/>
          <w:szCs w:val="28"/>
          <w:rtl/>
        </w:rPr>
        <w:t xml:space="preserve">۱۲. قم: مرکز احیاء؛ شماره نسخه:۳۷۳</w:t>
      </w:r>
    </w:p>
    <w:p>
      <w:pPr>
        <w:pStyle w:val="BookText"/>
      </w:pPr>
      <w:r>
        <w:rPr>
          <w:rFonts w:ascii="IRNazanin" w:hAnsi="IRNazanin" w:eastAsia="IRNazanin" w:cs="IRNazanin"/>
          <w:lang w:bidi="fa-IR"/>
          <w:color w:val="111111"/>
          <w:sz w:val="28"/>
          <w:szCs w:val="28"/>
          <w:rtl/>
        </w:rPr>
        <w:t xml:space="preserve">نسخه اصل: کتابخانه الاحقاف، تریم -يمن. از اول سوره صافات تا آیه ۱۰ سوره بلد؛ خط: نسخ، كا: حسین بن محمد بن عبدالقاهر، تا: ربيع الثانی ۵۹۴ق؛ ۶۱۴ص [عکسی : ۱-۴۳۲]</w:t>
      </w:r>
    </w:p>
    <w:p>
      <w:pPr>
        <w:pStyle w:val="BookText"/>
      </w:pPr>
      <w:r>
        <w:rPr>
          <w:rFonts w:ascii="IRNazanin" w:hAnsi="IRNazanin" w:eastAsia="IRNazanin" w:cs="IRNazanin"/>
          <w:lang w:bidi="fa-IR"/>
          <w:color w:val="111111"/>
          <w:sz w:val="28"/>
          <w:szCs w:val="28"/>
          <w:rtl/>
        </w:rPr>
        <w:t xml:space="preserve">۱۳. تبریز؛ ثقة الاسلام؛ شماره نسخه:۴</w:t>
      </w:r>
    </w:p>
    <w:p>
      <w:pPr>
        <w:pStyle w:val="BookText"/>
      </w:pPr>
      <w:r>
        <w:rPr>
          <w:rFonts w:ascii="IRNazanin" w:hAnsi="IRNazanin" w:eastAsia="IRNazanin" w:cs="IRNazanin"/>
          <w:lang w:bidi="fa-IR"/>
          <w:color w:val="111111"/>
          <w:sz w:val="28"/>
          <w:szCs w:val="28"/>
          <w:rtl/>
        </w:rPr>
        <w:t xml:space="preserve">جزو ۷؛ بی کا، تا: قرن ۶ و ۷ نشریه: ۴-۳۲۵]</w:t>
      </w:r>
    </w:p>
    <w:p>
      <w:pPr>
        <w:pStyle w:val="BookText"/>
      </w:pPr>
      <w:r>
        <w:rPr>
          <w:rFonts w:ascii="IRNazanin" w:hAnsi="IRNazanin" w:eastAsia="IRNazanin" w:cs="IRNazanin"/>
          <w:lang w:bidi="fa-IR"/>
          <w:color w:val="111111"/>
          <w:sz w:val="28"/>
          <w:szCs w:val="28"/>
          <w:rtl/>
        </w:rPr>
        <w:t xml:space="preserve">۱۴. قم؛ مرعشی؛ شماره نسخه:۱۰۹۹</w:t>
      </w:r>
    </w:p>
    <w:p>
      <w:pPr>
        <w:pStyle w:val="BookText"/>
      </w:pPr>
      <w:r>
        <w:rPr>
          <w:rFonts w:ascii="IRNazanin" w:hAnsi="IRNazanin" w:eastAsia="IRNazanin" w:cs="IRNazanin"/>
          <w:lang w:bidi="fa-IR"/>
          <w:color w:val="111111"/>
          <w:sz w:val="28"/>
          <w:szCs w:val="28"/>
          <w:rtl/>
        </w:rPr>
        <w:t xml:space="preserve">از سوره مریم تا آیه «سخر الشمس و القمر كل يجري لاجل مسمی» (سوره زمر: ۵)؛ خط: نسخ، بی کا، تا: با تاریخ ۸۱۱ق؛ مصحح؛ تملک: حسن بن محمد بن اسماعيل القرائی، علی بن شیخ عبدالنبي با تاریخ شوال ۸۱۱ مرتضی بن احمد الحسینی الرشتی و مهر «المتوكل على الله عبده مرتضى الحسینی» (مربع)؛ ۲۲۴گ، ۲۹ سطر،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۳-۲۷۴]</w:t>
      </w:r>
    </w:p>
    <w:p>
      <w:pPr>
        <w:pStyle w:val="BookText"/>
      </w:pPr>
      <w:r>
        <w:rPr>
          <w:rFonts w:ascii="IRNazanin" w:hAnsi="IRNazanin" w:eastAsia="IRNazanin" w:cs="IRNazanin"/>
          <w:lang w:bidi="fa-IR"/>
          <w:color w:val="111111"/>
          <w:sz w:val="28"/>
          <w:szCs w:val="28"/>
          <w:rtl/>
        </w:rPr>
        <w:t xml:space="preserve">۱۵. زنجان؛ امام جمعه؛ شماره نسخه: ۱۰۷/۱</w:t>
      </w:r>
    </w:p>
    <w:p>
      <w:pPr>
        <w:pStyle w:val="BookText"/>
      </w:pPr>
      <w:r>
        <w:rPr>
          <w:rFonts w:ascii="IRNazanin" w:hAnsi="IRNazanin" w:eastAsia="IRNazanin" w:cs="IRNazanin"/>
          <w:lang w:bidi="fa-IR"/>
          <w:color w:val="111111"/>
          <w:sz w:val="28"/>
          <w:szCs w:val="28"/>
          <w:rtl/>
        </w:rPr>
        <w:t xml:space="preserve">از سوره ابراهیم تا پایان سوره بنی اسرائیل؛ خط: نسخ، بی کا، تا: قرن ۱۱؛ مصحح؛ مهر: «یا من هوفي مجده حمید» (مربع)، مهر دایری وقف کتاب بر خزانه مجتهدیه؛ جلد: تیماج مشکی، ۱۰۱گ (۱پ-۱۰۱پ)، ۲۰ سطر،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[اوراق عتیق: ۱۶۹-۱ ]</w:t>
      </w:r>
    </w:p>
    <w:p>
      <w:pPr>
        <w:pStyle w:val="BookText"/>
      </w:pPr>
      <w:r>
        <w:rPr>
          <w:rFonts w:ascii="IRNazanin" w:hAnsi="IRNazanin" w:eastAsia="IRNazanin" w:cs="IRNazanin"/>
          <w:lang w:bidi="fa-IR"/>
          <w:color w:val="111111"/>
          <w:sz w:val="28"/>
          <w:szCs w:val="28"/>
          <w:rtl/>
        </w:rPr>
        <w:t xml:space="preserve">۱۶. مشهد؛ رضوی؛ شماره نسخه:۳۷۱۹۳</w:t>
      </w:r>
    </w:p>
    <w:p>
      <w:pPr>
        <w:pStyle w:val="BookText"/>
      </w:pPr>
      <w:r>
        <w:rPr>
          <w:rFonts w:ascii="IRNazanin" w:hAnsi="IRNazanin" w:eastAsia="IRNazanin" w:cs="IRNazanin"/>
          <w:lang w:bidi="fa-IR"/>
          <w:color w:val="111111"/>
          <w:sz w:val="28"/>
          <w:szCs w:val="28"/>
          <w:rtl/>
        </w:rPr>
        <w:t xml:space="preserve">آغاز: بسمله. سوره هود عليه السلام هي مكية في قول قتادة و مجاهد و؛ انجام: بصفاته التي لا يشرك فيه احد و قیل كبره عن كل ما لا يليق وصفه به. از ابتدای سوره هود تا پایان سوره بنی اسرائیل؛ خط: نسخ، بی کا، تا: قرن ۱۱؛ اهدایی: رهبری، مهر ۱۳۸۶، کاغذ: نخودی آهار مهره خراسانی، جلد: مقوا با عطف میشن مشکی، ۲۰۷گ، ۲۰ سطر،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 اهدائی رهبر: ۱ علوم قرآن -۸۷]</w:t>
      </w:r>
    </w:p>
    <w:p>
      <w:pPr>
        <w:pStyle w:val="BookText"/>
      </w:pPr>
      <w:r>
        <w:rPr>
          <w:rFonts w:ascii="IRNazanin" w:hAnsi="IRNazanin" w:eastAsia="IRNazanin" w:cs="IRNazanin"/>
          <w:lang w:bidi="fa-IR"/>
          <w:color w:val="111111"/>
          <w:sz w:val="28"/>
          <w:szCs w:val="28"/>
          <w:rtl/>
        </w:rPr>
        <w:t xml:space="preserve">۱۷. قم؛ مرکز احیاء؛ شماره نسخه: ۲۰۶۲-عکسی</w:t>
      </w:r>
    </w:p>
    <w:p>
      <w:pPr>
        <w:pStyle w:val="BookText"/>
      </w:pPr>
      <w:r>
        <w:rPr>
          <w:rFonts w:ascii="IRNazanin" w:hAnsi="IRNazanin" w:eastAsia="IRNazanin" w:cs="IRNazanin"/>
          <w:lang w:bidi="fa-IR"/>
          <w:color w:val="111111"/>
          <w:sz w:val="28"/>
          <w:szCs w:val="28"/>
          <w:rtl/>
        </w:rPr>
        <w:t xml:space="preserve">آغاز: الحمدلله اعتراف بتوحيده، و اخلاصا لربوبيته و اقرارة بجزيل نعمه ... شيئا قبل شیء كالسلسلة الممدوده ... (۵ صفحه بعد) سورة حم السجده. هي مكية في قول قتاده و مجاهد. ليس فيها ناسخ و لا منسوخ انجام: در المجادلة: انه كتب في اللوح المحفوظ و ما</w:t>
      </w:r>
    </w:p>
    <w:p>
      <w:pPr>
        <w:pStyle w:val="BookText"/>
      </w:pPr>
      <w:r>
        <w:rPr>
          <w:rFonts w:ascii="Amiri" w:hAnsi="Amiri" w:eastAsia="Amiri" w:cs="Amiri"/>
          <w:lang w:bidi="ar-SA"/>
          <w:color w:val="111111"/>
          <w:sz w:val="28"/>
          <w:szCs w:val="28"/>
          <w:rtl/>
        </w:rPr>
        <w:t xml:space="preserve">كتبه الله فلابد من أن يكون. و قال الحسن من امن الله بيتأفط.</w:t>
      </w:r>
    </w:p>
    <w:p>
      <w:pPr>
        <w:pStyle w:val="BookText"/>
      </w:pPr>
      <w:r>
        <w:rPr>
          <w:rFonts w:ascii="IRNazanin" w:hAnsi="IRNazanin" w:eastAsia="IRNazanin" w:cs="IRNazanin"/>
          <w:lang w:bidi="fa-IR"/>
          <w:color w:val="111111"/>
          <w:sz w:val="28"/>
          <w:szCs w:val="28"/>
          <w:rtl/>
        </w:rPr>
        <w:t xml:space="preserve">خط: نسخ خوش، بی کا، تا: قرن ۱۱؛ افتادگی: آغاز؛ تملک: سید مرتضى السمري النجفی؛ یادداشت «دخول محمود افغان» ؛ ۳۳۷ص، ۲۰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 عکسی ف: ۱- ۵۹]</w:t>
      </w:r>
    </w:p>
    <w:p>
      <w:pPr>
        <w:pStyle w:val="BookText"/>
      </w:pPr>
      <w:r>
        <w:rPr>
          <w:rFonts w:ascii="IRNazanin" w:hAnsi="IRNazanin" w:eastAsia="IRNazanin" w:cs="IRNazanin"/>
          <w:lang w:bidi="fa-IR"/>
          <w:color w:val="111111"/>
          <w:sz w:val="28"/>
          <w:szCs w:val="28"/>
          <w:rtl/>
        </w:rPr>
        <w:t xml:space="preserve">۱۸. قزوین؛ میر حسینا قزوینی؛ شماره نسخه: ۹۱</w:t>
      </w:r>
    </w:p>
    <w:p>
      <w:pPr>
        <w:pStyle w:val="BookText"/>
      </w:pPr>
      <w:r>
        <w:rPr>
          <w:rFonts w:ascii="IRNazanin" w:hAnsi="IRNazanin" w:eastAsia="IRNazanin" w:cs="IRNazanin"/>
          <w:lang w:bidi="fa-IR"/>
          <w:color w:val="111111"/>
          <w:sz w:val="28"/>
          <w:szCs w:val="28"/>
          <w:rtl/>
        </w:rPr>
        <w:t xml:space="preserve">خط: نسخ، بی کا، تا: قرن ۱۱؛ تاریخ وقف: ۱۱۶۳ [نشریه: ۶-۳۳۸]</w:t>
      </w:r>
    </w:p>
    <w:p>
      <w:pPr>
        <w:pStyle w:val="BookText"/>
      </w:pPr>
      <w:r>
        <w:rPr>
          <w:rFonts w:ascii="IRNazanin" w:hAnsi="IRNazanin" w:eastAsia="IRNazanin" w:cs="IRNazanin"/>
          <w:lang w:bidi="fa-IR"/>
          <w:color w:val="111111"/>
          <w:sz w:val="28"/>
          <w:szCs w:val="28"/>
          <w:rtl/>
        </w:rPr>
        <w:t xml:space="preserve">۱۹. قم؛ مرعشی؛ شماره نسخه:۹۱۳</w:t>
      </w:r>
    </w:p>
    <w:p>
      <w:pPr>
        <w:pStyle w:val="BookText"/>
      </w:pPr>
      <w:r>
        <w:rPr>
          <w:rFonts w:ascii="IRNazanin" w:hAnsi="IRNazanin" w:eastAsia="IRNazanin" w:cs="IRNazanin"/>
          <w:lang w:bidi="fa-IR"/>
          <w:color w:val="111111"/>
          <w:sz w:val="28"/>
          <w:szCs w:val="28"/>
          <w:rtl/>
        </w:rPr>
        <w:t xml:space="preserve">مقداری از سوره آل عمران تا مقداری از سوره مائده؛ خط: نسخ، بی کا، تا: ربيع الثانی ۱۰۴۹ق، جا: قزوین؛ ظاهرا از روی نسخه ای که نزد مؤلف و فرزندش ابی علی خوانده شده، مصحح، صورت اجازه های مؤلف و فرزندش نیز نوشته شده؛ مهر «یا محمد» هشت گوشه)، «ناد علية يرفع المكاره» (مربع)؛ جلد: تیماج قرمز، ۲۵۳گ، ۱۹ سطر، اندازه: ۱۹/۵</w:t>
      </w:r>
    </w:p>
    <w:p>
      <w:pPr>
        <w:pStyle w:val="BookText"/>
      </w:pP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۲۵/۵سم [ف: ۳-۱۰۲]</w:t>
      </w:r>
    </w:p>
    <w:p>
      <w:pPr>
        <w:pStyle w:val="BookText"/>
      </w:pPr>
      <w:r>
        <w:rPr>
          <w:rFonts w:ascii="IRNazanin" w:hAnsi="IRNazanin" w:eastAsia="IRNazanin" w:cs="IRNazanin"/>
          <w:lang w:bidi="fa-IR"/>
          <w:color w:val="111111"/>
          <w:sz w:val="28"/>
          <w:szCs w:val="28"/>
          <w:rtl/>
        </w:rPr>
        <w:t xml:space="preserve">۲۰. تهران: مجلس؛ شماره نسخه:۵۲۰۵</w:t>
      </w:r>
    </w:p>
    <w:p>
      <w:pPr>
        <w:pStyle w:val="BookText"/>
      </w:pPr>
      <w:r>
        <w:rPr>
          <w:rFonts w:ascii="IRNazanin" w:hAnsi="IRNazanin" w:eastAsia="IRNazanin" w:cs="IRNazanin"/>
          <w:lang w:bidi="fa-IR"/>
          <w:color w:val="111111"/>
          <w:sz w:val="28"/>
          <w:szCs w:val="28"/>
          <w:rtl/>
        </w:rPr>
        <w:t xml:space="preserve">آغاز: و عمرو. و قال الشاعر اوس بن حجر الم يكسف الشمس النهار مع النجم و القمر الواجب. و الشمس لاتكور الا بالنهار؛ انجام: كل ميل إلى ما آتی به ابراهيم عليه السلام من الشريعة يتلوه في الجزر الثاني تفسير قوله تعالى: قولو آمنا بالله و اما انزل الينا ... حمد له ... قد فرغت من كتابته يوم الخميس ثامن عشرين شهر شعبان المعظم سنة خمس و خمسين بعد الف.</w:t>
      </w:r>
    </w:p>
    <w:p>
      <w:pPr>
        <w:pStyle w:val="BookText"/>
      </w:pPr>
      <w:r>
        <w:rPr>
          <w:rFonts w:ascii="IRNazanin" w:hAnsi="IRNazanin" w:eastAsia="IRNazanin" w:cs="IRNazanin"/>
          <w:lang w:bidi="fa-IR"/>
          <w:color w:val="111111"/>
          <w:sz w:val="28"/>
          <w:szCs w:val="28"/>
          <w:rtl/>
        </w:rPr>
        <w:t xml:space="preserve">خط: نسخ، بی کا، تا: ۱۰۵۵ق؛ در صفحه اول خط نصرالله سلامی؛ کاغذ: دولت آبادی، جلد: تیماج قرمز گل و بوته دار، ۱۸۷گ، ۱۹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 اندازه: 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سم [ف: ۱۶-۳۷]</w:t>
      </w:r>
    </w:p>
    <w:p>
      <w:pPr>
        <w:pStyle w:val="BookText"/>
      </w:pPr>
      <w:r>
        <w:rPr>
          <w:rFonts w:ascii="IRNazanin" w:hAnsi="IRNazanin" w:eastAsia="IRNazanin" w:cs="IRNazanin"/>
          <w:lang w:bidi="fa-IR"/>
          <w:color w:val="111111"/>
          <w:sz w:val="28"/>
          <w:szCs w:val="28"/>
          <w:rtl/>
        </w:rPr>
        <w:t xml:space="preserve">۲۱. مشهد؛ رضوی؛ شماره نسخه:۱۲۷۲۷</w:t>
      </w:r>
    </w:p>
    <w:p>
      <w:pPr>
        <w:pStyle w:val="BookText"/>
      </w:pPr>
      <w:r>
        <w:rPr>
          <w:rFonts w:ascii="IRNazanin" w:hAnsi="IRNazanin" w:eastAsia="IRNazanin" w:cs="IRNazanin"/>
          <w:lang w:bidi="fa-IR"/>
          <w:color w:val="111111"/>
          <w:sz w:val="28"/>
          <w:szCs w:val="28"/>
          <w:rtl/>
        </w:rPr>
        <w:t xml:space="preserve">آغاز: پس از بسمله: سورة يوسف عليه السلام هذه السورة مكية في قول مجاهد و قتادة و هي مائة واحدى عشرة آية بلا خلاف في ذلك قوله تعالى الر تلک ايات الكتاب المبين ۵- آية بلاخلاف؛ انجام: على قدر اعمالكم من الطاعات و المعاصي بالثواب و العقاب. از تفسیر سوره یوسف تا آخر سوره یس؛ خط: نسخ، كان ابوالحسن طبسی، تا: ۱۰۸۴ق؛ واقف: حسین کی استوان؛ کاغذ: آهاری حنایی، جلد: تیماج خرمایی، ۳۸۷گ، ۲۱ 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۱۱-۵۴۳]</w:t>
      </w:r>
    </w:p>
    <w:p>
      <w:pPr>
        <w:pStyle w:val="BookText"/>
      </w:pPr>
      <w:r>
        <w:rPr>
          <w:rFonts w:ascii="IRNazanin" w:hAnsi="IRNazanin" w:eastAsia="IRNazanin" w:cs="IRNazanin"/>
          <w:lang w:bidi="fa-IR"/>
          <w:color w:val="111111"/>
          <w:sz w:val="28"/>
          <w:szCs w:val="28"/>
          <w:rtl/>
        </w:rPr>
        <w:t xml:space="preserve">۲۲. تهران؛ مجلس؛ شماره نسخه: ۴۲۱۱</w:t>
      </w:r>
    </w:p>
    <w:p>
      <w:pPr>
        <w:pStyle w:val="BookText"/>
      </w:pPr>
      <w:r>
        <w:rPr>
          <w:rFonts w:ascii="IRNazanin" w:hAnsi="IRNazanin" w:eastAsia="IRNazanin" w:cs="IRNazanin"/>
          <w:lang w:bidi="fa-IR"/>
          <w:color w:val="111111"/>
          <w:sz w:val="28"/>
          <w:szCs w:val="28"/>
          <w:rtl/>
        </w:rPr>
        <w:t xml:space="preserve">آغاز: خلق جدید و هم بلقاء و بهم کافرون، خمس آيات في الكوفي و البصری و ست آيات في المدنی؛ انجام: و عدد كلمة و جميع حروفه ثلثماية الف حرف و ثلاثة و عشرون الفة و خمسة عشر حرفا، و عدد نقطه مائة الف و ست و خمسون الفأ واحدی و ثمانون نقطة، تم و الله الحمد. تم كتاب التبيان في تفسير معانی القرآن وهو اثنا عشر جزوا من اصل اجزاء المصنف قدس الله روحه و نور ضريحه و هو الشيخ ابو جعفر محمد بن الحسن بن على الطوسي على يد العبد الأقل على بن شمس الدين البغدادی حامد مصلياً</w:t>
      </w:r>
    </w:p>
    <w:p>
      <w:pPr>
        <w:pStyle w:val="BookText"/>
      </w:pPr>
      <w:r>
        <w:rPr>
          <w:rFonts w:ascii="IRNazanin" w:hAnsi="IRNazanin" w:eastAsia="IRNazanin" w:cs="IRNazanin"/>
          <w:lang w:bidi="fa-IR"/>
          <w:color w:val="111111"/>
          <w:sz w:val="28"/>
          <w:szCs w:val="28"/>
          <w:rtl/>
        </w:rPr>
        <w:t xml:space="preserve">از سوره سجده تا سوره ناس؛ خط: نسخ، كا: على بن شمس الدين بغدادی، تا: قرن ۱۲؛ افتادگی: آغاز؛ مهر: کتابخانه مرحوم نصرالله تقوی؛ کاغذ: فرنگی، جلد: تیماج سرخ، ۴۶۰گ، ۲۱ سطر
</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(۱۷۸۹/۵ )،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۱۱-۲۲۴]</w:t>
      </w:r>
    </w:p>
    <w:p>
      <w:pPr>
        <w:pStyle w:val="BookText"/>
      </w:pPr>
      <w:r>
        <w:rPr>
          <w:rFonts w:ascii="IRNazanin" w:hAnsi="IRNazanin" w:eastAsia="IRNazanin" w:cs="IRNazanin"/>
          <w:lang w:bidi="fa-IR"/>
          <w:color w:val="111111"/>
          <w:sz w:val="28"/>
          <w:szCs w:val="28"/>
          <w:rtl/>
        </w:rPr>
        <w:t xml:space="preserve">۲۳. مشهد؛ رضوی؛ شماره نسخه: ۳۶۶۸۱</w:t>
      </w:r>
    </w:p>
    <w:p>
      <w:pPr>
        <w:pStyle w:val="BookText"/>
      </w:pPr>
      <w:r>
        <w:rPr>
          <w:rFonts w:ascii="IRNazanin" w:hAnsi="IRNazanin" w:eastAsia="IRNazanin" w:cs="IRNazanin"/>
          <w:lang w:bidi="fa-IR"/>
          <w:color w:val="111111"/>
          <w:sz w:val="28"/>
          <w:szCs w:val="28"/>
          <w:rtl/>
        </w:rPr>
        <w:t xml:space="preserve">آغاز: بسمله. هي مدنية في قول ابن عباس ومجاهد و قتاده و قال ابوجعفر بن مبشر هي مدنية الا آية نزلت في حجة الوداع؛ انجام: و روي عن عمر أنه قال لا تنكحوا اهل مکه فانهم اعراب ... من شهد هذه الواقعة فله الفضل. از اول سوره مائده تا آیه ۷۳ سوره انفال؛ خط: نسخ، بی کا، تا: قرن ۱۲؛ اهدایی: رهبری، مهر ۱۳۸۶؛ کاغذ: نخودی آهار مهره کشمیری، جلد: مقوا با عطف و گوشه میشن زرشکی، ۲۶۲گ، ۲۱ سطر، اندازه:</w:t>
      </w:r>
    </w:p>
    <w:p>
      <w:pPr>
        <w:pStyle w:val="BookText"/>
      </w:pPr>
      <w:r>
        <w:rPr>
          <w:rFonts w:ascii="IRNazanin" w:hAnsi="IRNazanin" w:eastAsia="IRNazanin" w:cs="IRNazanin"/>
          <w:lang w:bidi="fa-IR"/>
          <w:color w:val="111111"/>
          <w:sz w:val="28"/>
          <w:szCs w:val="28"/>
          <w:rtl/>
        </w:rPr>
        <w:t xml:space="preserve">۲۴/۳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 اهدائی رهبر: ۱ علوم قرآن-۸۸]</w:t>
      </w:r>
    </w:p>
    <w:p>
      <w:pPr>
        <w:pStyle w:val="BookText"/>
      </w:pPr>
      <w:r>
        <w:rPr>
          <w:rFonts w:ascii="IRNazanin" w:hAnsi="IRNazanin" w:eastAsia="IRNazanin" w:cs="IRNazanin"/>
          <w:lang w:bidi="fa-IR"/>
          <w:color w:val="111111"/>
          <w:sz w:val="28"/>
          <w:szCs w:val="28"/>
          <w:rtl/>
        </w:rPr>
        <w:t xml:space="preserve">۲۴. خوانسار؛ فاضل؛ شماره نسخه: ۴۹۱</w:t>
      </w:r>
    </w:p>
    <w:p>
      <w:pPr>
        <w:pStyle w:val="BookText"/>
      </w:pPr>
      <w:r>
        <w:rPr>
          <w:rFonts w:ascii="IRNazanin" w:hAnsi="IRNazanin" w:eastAsia="IRNazanin" w:cs="IRNazanin"/>
          <w:lang w:bidi="fa-IR"/>
          <w:color w:val="111111"/>
          <w:sz w:val="28"/>
          <w:szCs w:val="28"/>
          <w:rtl/>
        </w:rPr>
        <w:t xml:space="preserve">آغاز: من تفسير القرآن أن الآية لتكون اولها في شيء و آخرها في شیء و هو كلام متصل يتصرف على وجوه؛ انجام: و من يقاتل في سبيل الله فيقتل أو يغلب فسوف نؤتيه أجرا عظيما قيل وعد له الأجر العظيم ... اواسط مقدمه کتاب تا اواسط سوره نساء؛ خط: نسخ زیبا، بی کا، تا: قرن ۱۳؛ افتادگی: آغاز و انجام؛ مصحح، محشی؛ جلد: تیماج مشکی، ۱۱۰گ، ۲۶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۱۳۸۲]</w:t>
      </w:r>
    </w:p>
    <w:p>
      <w:pPr>
        <w:pStyle w:val="BookText"/>
      </w:pPr>
      <w:r>
        <w:rPr>
          <w:rFonts w:ascii="IRNazanin" w:hAnsi="IRNazanin" w:eastAsia="IRNazanin" w:cs="IRNazanin"/>
          <w:lang w:bidi="fa-IR"/>
          <w:color w:val="111111"/>
          <w:sz w:val="28"/>
          <w:szCs w:val="28"/>
          <w:rtl/>
        </w:rPr>
        <w:t xml:space="preserve">۲۵. مشهد: رضوی، شماره نسخه:۱۱۶۱۱</w:t>
      </w:r>
    </w:p>
    <w:p>
      <w:pPr>
        <w:pStyle w:val="BookText"/>
      </w:pPr>
      <w:r>
        <w:rPr>
          <w:rFonts w:ascii="IRNazanin" w:hAnsi="IRNazanin" w:eastAsia="IRNazanin" w:cs="IRNazanin"/>
          <w:lang w:bidi="fa-IR"/>
          <w:color w:val="111111"/>
          <w:sz w:val="28"/>
          <w:szCs w:val="28"/>
          <w:rtl/>
        </w:rPr>
        <w:t xml:space="preserve">آغاز: الحمدلله اعترافا بتوحيده و اخلاصا لربوبية و اقرار بجزيل نعمه.؛ انجام: و رجل مدفع ای عن نسبه. جلد ۱، از اول کتاب تا اواخر تفسیر آیه ۲۵۲ سوره بقره، خط: نسخ، كا: محمد گرجی، تا: ۱۸ ذیحجه ۱۳۲۵ق؛ واقف: فرید محسنی؛ کاغذ: شکری فرنگی، جلد: میشنی ارغوانی، ۲۵۰گ، ۲۵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۱۱-۵۴۱]</w:t>
      </w:r>
    </w:p>
    <w:p>
      <w:pPr>
        <w:pStyle w:val="BookText"/>
      </w:pPr>
      <w:r>
        <w:rPr>
          <w:rFonts w:ascii="IRNazanin" w:hAnsi="IRNazanin" w:eastAsia="IRNazanin" w:cs="IRNazanin"/>
          <w:lang w:bidi="fa-IR"/>
          <w:color w:val="111111"/>
          <w:sz w:val="28"/>
          <w:szCs w:val="28"/>
          <w:rtl/>
        </w:rPr>
        <w:t xml:space="preserve">۲۶. مشهد؛ رضوی؛ شماره نسخه:۱۱۶۱۰</w:t>
      </w:r>
    </w:p>
    <w:p>
      <w:pPr>
        <w:pStyle w:val="BookText"/>
      </w:pPr>
      <w:r>
        <w:rPr>
          <w:rFonts w:ascii="IRNazanin" w:hAnsi="IRNazanin" w:eastAsia="IRNazanin" w:cs="IRNazanin"/>
          <w:lang w:bidi="fa-IR"/>
          <w:color w:val="111111"/>
          <w:sz w:val="28"/>
          <w:szCs w:val="28"/>
          <w:rtl/>
        </w:rPr>
        <w:t xml:space="preserve">آغاز: پس از نام سوره و بسمله: قال قتاده هي مكية و قيل هي مكية الا قوله و سلهم الى اخر السوره؛ انجام: و جعل أهلها شيعا. جلد ۲، از تفسیر سوره اعراف تا اوایل سوره قصص؛ خط: نسخ، بی کا، تا: ۱۳۲۸ق؛ ۳۰۵گ،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۱۱-۵۴۲]</w:t>
      </w:r>
    </w:p>
    <w:p>
      <w:pPr>
        <w:pStyle w:val="BookText"/>
      </w:pPr>
      <w:r>
        <w:rPr>
          <w:rFonts w:ascii="IRNazanin" w:hAnsi="IRNazanin" w:eastAsia="IRNazanin" w:cs="IRNazanin"/>
          <w:lang w:bidi="fa-IR"/>
          <w:color w:val="111111"/>
          <w:sz w:val="28"/>
          <w:szCs w:val="28"/>
          <w:rtl/>
        </w:rPr>
        <w:t xml:space="preserve">۲۷. قم؛ گلپایگانی؛ شماره نسخه:۲۷۸- ۲/۹۸</w:t>
      </w:r>
    </w:p>
    <w:p>
      <w:pPr>
        <w:pStyle w:val="BookText"/>
      </w:pPr>
      <w:r>
        <w:rPr>
          <w:rFonts w:ascii="IRNazanin" w:hAnsi="IRNazanin" w:eastAsia="IRNazanin" w:cs="IRNazanin"/>
          <w:lang w:bidi="fa-IR"/>
          <w:color w:val="111111"/>
          <w:sz w:val="28"/>
          <w:szCs w:val="28"/>
          <w:rtl/>
        </w:rPr>
        <w:t xml:space="preserve">آغاز: سورة العنكبوت، قال قوم هي مكية وقال قتاده العشر الاول مدنی والباقی مکی ... بسمله آلم أحسب الناس أن يتركوا أن يقولوا آمنا ... آلم و لم يعده الباقون ... قال قتاده نزلت؛ انجام: آخر المجلدة الرابعة من كتاب التبيان و يتلوه في الجزء الخامس سورة الصافات. و الحمدلله رب العالمین و صلواته على محمد النبي و آله الطاهرين وسلم تسليما.</w:t>
      </w:r>
    </w:p>
    <w:p>
      <w:pPr>
        <w:pStyle w:val="BookText"/>
      </w:pPr>
      <w:r>
        <w:rPr>
          <w:rFonts w:ascii="IRNazanin" w:hAnsi="IRNazanin" w:eastAsia="IRNazanin" w:cs="IRNazanin"/>
          <w:lang w:bidi="fa-IR"/>
          <w:color w:val="111111"/>
          <w:sz w:val="28"/>
          <w:szCs w:val="28"/>
          <w:rtl/>
        </w:rPr>
        <w:t xml:space="preserve">سوره عنکبوت، سوره روم، سوره لقمان، سوره سجده، سوره احزاب، سوره سبأ، سوره فاطر ویس؛ خط: نسخ، كا: احمد خادمی بروجردی بن میرزا علی اکبر خادم، تا: پنج شنبه ۲۰ ربیع</w:t>
      </w:r>
    </w:p>
    <w:p>
      <w:pPr>
        <w:pStyle w:val="BookText"/>
      </w:pPr>
      <w:r>
        <w:rPr>
          <w:rFonts w:ascii="IRNazanin" w:hAnsi="IRNazanin" w:eastAsia="IRNazanin" w:cs="IRNazanin"/>
          <w:lang w:bidi="fa-IR"/>
          <w:color w:val="111111"/>
          <w:sz w:val="28"/>
          <w:szCs w:val="28"/>
          <w:rtl/>
        </w:rPr>
        <w:t xml:space="preserve">الثانی ۱۳۶۱ق، به دستور آية الله حاج آقا حسین طباطبایی بروجردی؛ مصحح؛ جلد: مقوا صورتی، عطف پارچه مشکی، ۱۱۶گ، ۱۸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۲-۷۱۴]</w:t>
      </w:r>
    </w:p>
    <w:p>
      <w:pPr>
        <w:pStyle w:val="BookText"/>
      </w:pPr>
      <w:r>
        <w:rPr>
          <w:rFonts w:ascii="IRNazanin" w:hAnsi="IRNazanin" w:eastAsia="IRNazanin" w:cs="IRNazanin"/>
          <w:lang w:bidi="fa-IR"/>
          <w:color w:val="111111"/>
          <w:sz w:val="28"/>
          <w:szCs w:val="28"/>
          <w:rtl/>
        </w:rPr>
        <w:t xml:space="preserve">۲۸. قم؛ گلپایگانی؛ شماره نسخه:۴۷۹- ۳/۹۹</w:t>
      </w:r>
    </w:p>
    <w:p>
      <w:pPr>
        <w:pStyle w:val="BookText"/>
      </w:pPr>
      <w:r>
        <w:rPr>
          <w:rFonts w:ascii="IRNazanin" w:hAnsi="IRNazanin" w:eastAsia="IRNazanin" w:cs="IRNazanin"/>
          <w:lang w:bidi="fa-IR"/>
          <w:color w:val="111111"/>
          <w:sz w:val="28"/>
          <w:szCs w:val="28"/>
          <w:rtl/>
        </w:rPr>
        <w:t xml:space="preserve">آغاز: سورة الشعراء قال قتادة هي مكية و قيل اربع آيات منها مدینه من قوله و الشعراء الى آخرها و هي مائتا آية وسع و عشرون آية مدنی و کوفی و شامی و مائتا آیه و ست و عشرون آية؛ انجام: و إلى الله ترجعون يوم القيامة اي الى الموضع الذي لا يملك احد التصرف فيه سواه لان الله تعالى قد ملك في الدنيا</w:t>
      </w:r>
    </w:p>
    <w:p>
      <w:pPr>
        <w:pStyle w:val="BookText"/>
      </w:pPr>
      <w:r>
        <w:rPr>
          <w:rFonts w:ascii="IRNazanin" w:hAnsi="IRNazanin" w:eastAsia="IRNazanin" w:cs="IRNazanin"/>
          <w:lang w:bidi="fa-IR"/>
          <w:color w:val="111111"/>
          <w:sz w:val="28"/>
          <w:szCs w:val="28"/>
          <w:rtl/>
        </w:rPr>
        <w:t xml:space="preserve">الكثير من البشر التصرف فيها. سوره شعرا و نمل و قصص؛ خط: نسخ، كا: حاج احمد خادمی بروجردی ابن میرزا علی اکبر خادم، تا: ۴ جمادی الثانی ۱۳۶۲ق؛ جلد: مقوا آبی عطف پارچه سرخ، ۶۸گ، ۱۸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۲-۷۱۴]</w:t>
      </w:r>
    </w:p>
    <w:p>
      <w:pPr>
        <w:pStyle w:val="BookText"/>
      </w:pPr>
      <w:r>
        <w:rPr>
          <w:rFonts w:ascii="IRNazanin" w:hAnsi="IRNazanin" w:eastAsia="IRNazanin" w:cs="IRNazanin"/>
          <w:lang w:bidi="fa-IR"/>
          <w:color w:val="111111"/>
          <w:sz w:val="28"/>
          <w:szCs w:val="28"/>
          <w:rtl/>
        </w:rPr>
        <w:t xml:space="preserve">۲۹. قم؛ مسجد اعظم، شماره نسخه: ۱۶۸</w:t>
      </w:r>
    </w:p>
    <w:p>
      <w:pPr>
        <w:pStyle w:val="BookText"/>
      </w:pPr>
      <w:r>
        <w:rPr>
          <w:rFonts w:ascii="IRNazanin" w:hAnsi="IRNazanin" w:eastAsia="IRNazanin" w:cs="IRNazanin"/>
          <w:lang w:bidi="fa-IR"/>
          <w:color w:val="111111"/>
          <w:sz w:val="28"/>
          <w:szCs w:val="28"/>
          <w:rtl/>
        </w:rPr>
        <w:t xml:space="preserve">آغاز: هم افضل منهم من الدذين قراؤا الكتاب وعلموا الشرايع قد آمنوا به وصح عندهم انه النبي الموعود في كتبهم ... الحمدلله الذي انزل على عبده الكتاب؛ انجام: ونظر يهدي إلى المعرفة ولا كتاب منیرو هو الوحي ثانی عطفه ای متكبرا في نفسه فان ثنی العطف عبارة عن الخيلام. خط: نستعلیق، بی کا، بی تا، افتادگی: انجام؛ مصحح؛ محشی از مجمع البيان، نهایه و غیره؛ جلد: گالینگور سبز عطف تیماج زرشکی، ۱۸۸ گ، ۲۷ سطر، اندازه: 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مخ: ۱-۳۲۱]</w:t>
      </w:r>
    </w:p>
    <w:p>
      <w:pPr>
        <w:pStyle w:val="BookText"/>
      </w:pPr>
      <w:r>
        <w:rPr>
          <w:rFonts w:ascii="IRNazanin" w:hAnsi="IRNazanin" w:eastAsia="IRNazanin" w:cs="IRNazanin"/>
          <w:lang w:bidi="fa-IR"/>
          <w:color w:val="111111"/>
          <w:sz w:val="28"/>
          <w:szCs w:val="28"/>
          <w:rtl/>
        </w:rPr>
        <w:t xml:space="preserve">۳۰. مشهد؛ رضوی؛ شماره نسخه: ۱۱۵۵۹</w:t>
      </w:r>
    </w:p>
    <w:p>
      <w:pPr>
        <w:pStyle w:val="BookText"/>
      </w:pPr>
      <w:r>
        <w:rPr>
          <w:rFonts w:ascii="Amiri" w:hAnsi="Amiri" w:eastAsia="Amiri" w:cs="Amiri"/>
          <w:lang w:bidi="ar-SA"/>
          <w:color w:val="111111"/>
          <w:sz w:val="28"/>
          <w:szCs w:val="28"/>
          <w:rtl/>
        </w:rPr>
        <w:t xml:space="preserve">آغاز: الحمدلله اعترافا بتوحيده و اخلاصا لربوبية و اقرار بجزيل نعمه؛ انجام: انه قادر على تعجيل العقاب فاحذروا معاجلته.</w:t>
      </w:r>
    </w:p>
    <w:p>
      <w:pPr>
        <w:pStyle w:val="BookText"/>
      </w:pPr>
      <w:r>
        <w:rPr>
          <w:rFonts w:ascii="IRNazanin" w:hAnsi="IRNazanin" w:eastAsia="IRNazanin" w:cs="IRNazanin"/>
          <w:lang w:bidi="fa-IR"/>
          <w:color w:val="111111"/>
          <w:sz w:val="28"/>
          <w:szCs w:val="28"/>
          <w:rtl/>
        </w:rPr>
        <w:t xml:space="preserve">جلد ۱، از اول کتاب تا آخر سوره انعام؛ خط: نسخ روشن، بی کا، بی تا؛ روانشاد حاج آقا محسن عراقی نسخه بدخطی از این کتاب را به دست آورد و دستور استنساخ داد، مؤيد الاطباء [میرزا محمد علی بختیاری تهرانی ملقب به مؤيد الأطباء از پزشكان فاضل بود. در اواخر عمر در کربلاء اقامت داشت و در اواسط قرن ۱۴ق در آنجا در گذشت (بخواهش حاج آقا مصطفی عراقی فرزند آن روانشاد) همت به نسخه برداری نمود و به خط نسخ روشن خود هفت سال رنج این کار را کشید و کسری را از مجمع البيان طبرسی تتمیم کرد؛ واقف: فرید محسنی؛ کاغذ: شکری فرنگی، جلد: میشنی ارغوانی، ۲۵۰گ، مختلف السطر، اندازه:</w:t>
      </w:r>
    </w:p>
    <w:p>
      <w:pPr>
        <w:pStyle w:val="BookText"/>
      </w:pPr>
      <w:r>
        <w:rPr>
          <w:rFonts w:ascii="IRNazanin" w:hAnsi="IRNazanin" w:eastAsia="IRNazanin" w:cs="IRNazanin"/>
          <w:lang w:bidi="fa-IR"/>
          <w:color w:val="111111"/>
          <w:sz w:val="28"/>
          <w:szCs w:val="28"/>
          <w:rtl/>
        </w:rPr>
        <w:t xml:space="preserve">۲۲/۵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۱۱-۵۴۰]</w:t>
      </w:r>
    </w:p>
    <w:p>
      <w:pPr>
        <w:pStyle w:val="BookText"/>
      </w:pPr>
      <w:r>
        <w:rPr>
          <w:rFonts w:ascii="IRNazanin" w:hAnsi="IRNazanin" w:eastAsia="IRNazanin" w:cs="IRNazanin"/>
          <w:lang w:bidi="fa-IR"/>
          <w:color w:val="111111"/>
          <w:sz w:val="28"/>
          <w:szCs w:val="28"/>
          <w:rtl/>
        </w:rPr>
        <w:t xml:space="preserve">۳۱. مشهد؛ رضوی؛ شماره نسخه:۱۱۵۶۱</w:t>
      </w:r>
    </w:p>
    <w:p>
      <w:pPr>
        <w:pStyle w:val="BookText"/>
      </w:pPr>
      <w:r>
        <w:rPr>
          <w:rFonts w:ascii="IRNazanin" w:hAnsi="IRNazanin" w:eastAsia="IRNazanin" w:cs="IRNazanin"/>
          <w:lang w:bidi="fa-IR"/>
          <w:color w:val="111111"/>
          <w:sz w:val="28"/>
          <w:szCs w:val="28"/>
          <w:rtl/>
        </w:rPr>
        <w:t xml:space="preserve">آغاز: پس از آیات: ۵ خمس آيات ۵ في الكوفي و اربع في ما سواه عد اهل الكوفة طسم آية؛ انجام: و لما وجب بان یاتی بلفظه في هذه المواضع كلها و الله اعلم و احكم. جلد۳، از اول تفسیر سوره قصص تا آخر کتاب؛ خط: نسخ، بی کا، بی تا، جلد: تیماج قهوه ای، ۲۷۵ گ، مختلف السطر، اندازه: 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۱۱-۵۴۳]</w:t>
      </w:r>
    </w:p>
    <w:p>
      <w:pPr>
        <w:pStyle w:val="BookText"/>
      </w:pPr>
      <w:r>
        <w:rPr>
          <w:rFonts w:ascii="IRNazanin" w:hAnsi="IRNazanin" w:eastAsia="IRNazanin" w:cs="IRNazanin"/>
          <w:lang w:bidi="fa-IR"/>
          <w:color w:val="111111"/>
          <w:sz w:val="28"/>
          <w:szCs w:val="28"/>
          <w:rtl/>
        </w:rPr>
        <w:t xml:space="preserve">۳۲. مشهد؛ رضوی؛ شماره نسخه:۱۱۶۱۳</w:t>
      </w:r>
    </w:p>
    <w:p>
      <w:pPr>
        <w:pStyle w:val="BookText"/>
      </w:pPr>
      <w:r>
        <w:rPr>
          <w:rFonts w:ascii="Amiri" w:hAnsi="Amiri" w:eastAsia="Amiri" w:cs="Amiri"/>
          <w:lang w:bidi="ar-SA"/>
          <w:color w:val="111111"/>
          <w:sz w:val="28"/>
          <w:szCs w:val="28"/>
          <w:rtl/>
        </w:rPr>
        <w:t xml:space="preserve">آغاز: قوله تعالى قد خلت من قبلكم سنن فسيروا في الارض
</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bookmarkStart w:id="675" w:name="pg20363_210027"/>
    <w:bookmarkEnd w:id="675"/>
    <w:p>
      <w:pPr>
        <w:pStyle w:val="BookText"/>
      </w:pPr>
      <w:r>
        <w:rPr>
          <w:rFonts w:ascii="IRNazanin" w:hAnsi="IRNazanin" w:eastAsia="IRNazanin" w:cs="IRNazanin"/>
          <w:lang w:bidi="fa-IR"/>
          <w:color w:val="111111"/>
          <w:sz w:val="28"/>
          <w:szCs w:val="28"/>
          <w:rtl/>
        </w:rPr>
        <w:t xml:space="preserve">فانظروا كيف كان عاقبة المكذبين معنى قوله قد خلت من قبلكم سنن ای سنن من الله تعالى في الامم السالفة؛ انجام: و ذروة كل شییء اعلاه و الحرث الزرع و الحرث الأرض. جلد ۱، از تفسیر آیه ۱۳۱ سوره آل عمران تا آیه ۱۳۷ سوره انعام؛ خط: نسخ، كا: محمد گرجی (بخش اول)، بی تا؛ ۱۹۴گ، ۲۵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۱۱-۵۴۲]</w:t>
      </w:r>
    </w:p>
    <w:p>
      <w:pPr>
        <w:pStyle w:val="BookText"/>
      </w:pPr>
      <w:r>
        <w:rPr>
          <w:rFonts w:ascii="IRNazanin" w:hAnsi="IRNazanin" w:eastAsia="IRNazanin" w:cs="IRNazanin"/>
          <w:lang w:bidi="fa-IR"/>
          <w:color w:val="111111"/>
          <w:sz w:val="28"/>
          <w:szCs w:val="28"/>
          <w:rtl/>
        </w:rPr>
        <w:t xml:space="preserve">۳۳. قم؛ گلپایگانی؛ شماره نسخه: ۷۸۴۱- ۵۳/۵۱</w:t>
      </w:r>
    </w:p>
    <w:p>
      <w:pPr>
        <w:pStyle w:val="BookText"/>
      </w:pPr>
      <w:r>
        <w:rPr>
          <w:rFonts w:ascii="IRNazanin" w:hAnsi="IRNazanin" w:eastAsia="IRNazanin" w:cs="IRNazanin"/>
          <w:lang w:bidi="fa-IR"/>
          <w:color w:val="111111"/>
          <w:sz w:val="28"/>
          <w:szCs w:val="28"/>
          <w:rtl/>
        </w:rPr>
        <w:t xml:space="preserve">آغاز: و انواع الثواب و المغفرة يستر الذنب حتى يصير كانهما لم تعمل في زوال العاربها از آیه شریفه «قد خلت من قبلكم سنن فسيرو في الأرض ...» تا اول جزء رابع «آیه شریفه یا ایها الذين آمنوا لا تتخذوا اليهود و النصارى اولياء ...»؛ خط: نسخ، بی کا، بی تا، افتادگی: آغاز؛</w:t>
      </w:r>
    </w:p>
    <w:p>
      <w:pPr>
        <w:pStyle w:val="BookText"/>
      </w:pPr>
      <w:r>
        <w:rPr>
          <w:rFonts w:ascii="IRNazanin" w:hAnsi="IRNazanin" w:eastAsia="IRNazanin" w:cs="IRNazanin"/>
          <w:lang w:bidi="fa-IR"/>
          <w:color w:val="111111"/>
          <w:sz w:val="28"/>
          <w:szCs w:val="28"/>
          <w:rtl/>
        </w:rPr>
        <w:t xml:space="preserve">۱۴۷گ، ۲۳ 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۲-۷۱۵]</w:t>
      </w:r>
    </w:p>
    <w:p>
      <w:pPr>
        <w:pStyle w:val="BookText"/>
      </w:pPr>
      <w:r>
        <w:rPr>
          <w:rFonts w:ascii="IRNazanin" w:hAnsi="IRNazanin" w:eastAsia="IRNazanin" w:cs="IRNazanin"/>
          <w:lang w:bidi="fa-IR"/>
          <w:color w:val="111111"/>
          <w:sz w:val="28"/>
          <w:szCs w:val="28"/>
          <w:rtl/>
        </w:rPr>
        <w:t xml:space="preserve">۳۴. مشهد؛ شیخ علی حیدر؛ شماره نسخه: ۳۷۲</w:t>
      </w:r>
    </w:p>
    <w:p>
      <w:pPr>
        <w:pStyle w:val="BookText"/>
      </w:pPr>
      <w:r>
        <w:rPr>
          <w:rFonts w:ascii="IRNazanin" w:hAnsi="IRNazanin" w:eastAsia="IRNazanin" w:cs="IRNazanin"/>
          <w:lang w:bidi="fa-IR"/>
          <w:color w:val="111111"/>
          <w:sz w:val="28"/>
          <w:szCs w:val="28"/>
          <w:rtl/>
        </w:rPr>
        <w:t xml:space="preserve">آغاز: هي مدنية في قول ابن عباس و مجاهد و قتادة و قال أبو جعفر بن مبشر؛ انجام: و كانت في صبيحة السابع عشر من شهر رمضان على رأس ثمانية عشر شهرة من الهجرة من شهد هذه الواقعة فله الفضل. از اول سورة المائدة تا آخر سورة الأنفال؛ خط: نسخ، بی کا، بی تاب تملک: ریحان الله بن جعفر موسوی در ۱۳۲۳ با مهر بیضوی؛ مهر: سید محمد باقر بروجردی؛ جلد: عادی، ۲۶۴گ، ۲۱ سطر، اندازه: ۲۴</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۱۷/۵ سم [ مؤيد: ۱-۳۱۱]</w:t>
      </w:r>
    </w:p>
    <w:p>
      <w:pPr>
        <w:pStyle w:val="BookText"/>
      </w:pPr>
      <w:r>
        <w:rPr>
          <w:rFonts w:ascii="IRNazanin" w:hAnsi="IRNazanin" w:eastAsia="IRNazanin" w:cs="IRNazanin"/>
          <w:lang w:bidi="fa-IR"/>
          <w:color w:val="111111"/>
          <w:sz w:val="28"/>
          <w:szCs w:val="28"/>
          <w:rtl/>
        </w:rPr>
        <w:t xml:space="preserve">۳۵. مشهد؛ شیخ علی حیدر، شماره نسخه: ۷۴۲</w:t>
      </w:r>
    </w:p>
    <w:p>
      <w:pPr>
        <w:pStyle w:val="BookText"/>
      </w:pPr>
      <w:r>
        <w:rPr>
          <w:rFonts w:ascii="IRNazanin" w:hAnsi="IRNazanin" w:eastAsia="IRNazanin" w:cs="IRNazanin"/>
          <w:lang w:bidi="fa-IR"/>
          <w:color w:val="111111"/>
          <w:sz w:val="28"/>
          <w:szCs w:val="28"/>
          <w:rtl/>
        </w:rPr>
        <w:t xml:space="preserve">از اوس سوره هود تا آخر سوره اسراء؛ خط: نسخ، بی کا، بی تا؛ مصحح، دارای بلاغ؛ صورت وقف کتاب در قزوین؛ ۲۱۰گ، ۲۰  سطر، اندازه: ۲۶</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۱۷/۵ سم [ مؤيد: ۲-۲۲۰]</w:t>
      </w:r>
    </w:p>
    <w:p>
      <w:pPr>
        <w:pStyle w:val="Heading3"/>
      </w:pPr>
      <w:bookmarkStart w:id="2960" w:name="_Toc2220"/>
      <w:r>
        <w:t>•التبيان في تفسير القرآن (منتخب) = المنتخب من تفسير القرآن و النكت المستخرجة من كتاب التبيان = مختصر التبيان = التعليقة على التبيان في تفسير القرآن / تفسير / عربی</w:t>
      </w:r>
      <w:bookmarkEnd w:id="2960"/>
    </w:p>
    <w:p>
      <w:pPr>
        <w:pStyle w:val="BookText"/>
      </w:pPr>
      <w:r>
        <w:rPr>
          <w:rFonts w:ascii="Times New Roman" w:hAnsi="Times New Roman" w:eastAsia="Times New Roman" w:cs="Times New Roman"/>
          <w:lang w:val="en-US" w:bidi="en-US"/>
          <w:color w:val="111111"/>
          <w:sz w:val="28"/>
          <w:szCs w:val="28"/>
          <w:rtl/>
        </w:rPr>
        <w:t xml:space="preserve">at-tibyān fī tafsīr-il qur'ān (mn.)</w:t>
      </w:r>
    </w:p>
    <w:p>
      <w:pPr>
        <w:pStyle w:val="BookText"/>
      </w:pPr>
      <w:r>
        <w:rPr>
          <w:rFonts w:ascii="IRNazanin" w:hAnsi="IRNazanin" w:eastAsia="IRNazanin" w:cs="IRNazanin"/>
          <w:lang w:bidi="fa-IR"/>
          <w:color w:val="111111"/>
          <w:sz w:val="28"/>
          <w:szCs w:val="28"/>
          <w:rtl/>
        </w:rPr>
        <w:t xml:space="preserve">ابن ادریس، محمد بن احمد، ۵۴۳-۵۹۸ قمری</w:t>
      </w:r>
    </w:p>
    <w:p>
      <w:pPr>
        <w:pStyle w:val="BookText"/>
      </w:pPr>
      <w:r>
        <w:rPr>
          <w:rFonts w:ascii="Times New Roman" w:hAnsi="Times New Roman" w:eastAsia="Times New Roman" w:cs="Times New Roman"/>
          <w:lang w:val="en-US" w:bidi="en-US"/>
          <w:color w:val="111111"/>
          <w:sz w:val="28"/>
          <w:szCs w:val="28"/>
          <w:rtl/>
        </w:rPr>
        <w:t xml:space="preserve">ebn-e edrīs, mohammad ebn-e ahmad (1149-1202)</w:t>
      </w:r>
    </w:p>
    <w:p>
      <w:pPr>
        <w:pStyle w:val="BookText"/>
      </w:pPr>
      <w:r>
        <w:rPr>
          <w:rFonts w:ascii="IRNazanin" w:hAnsi="IRNazanin" w:eastAsia="IRNazanin" w:cs="IRNazanin"/>
          <w:lang w:bidi="fa-IR"/>
          <w:color w:val="111111"/>
          <w:sz w:val="28"/>
          <w:szCs w:val="28"/>
          <w:rtl/>
        </w:rPr>
        <w:t xml:space="preserve">وابسته به: التبيان في تفسير القرآن = التبيان الجامع لعلوم القرآن؛ شیخ طوسی، محمد بن حسن (۳۸۵-۴۶۰) تاریخ تأليف: ذیحجه ۵۸۲ق</w:t>
      </w:r>
    </w:p>
    <w:p>
      <w:pPr>
        <w:pStyle w:val="BookText"/>
      </w:pPr>
      <w:r>
        <w:rPr>
          <w:rFonts w:ascii="IRNazanin" w:hAnsi="IRNazanin" w:eastAsia="IRNazanin" w:cs="IRNazanin"/>
          <w:lang w:bidi="fa-IR"/>
          <w:color w:val="111111"/>
          <w:sz w:val="28"/>
          <w:szCs w:val="28"/>
          <w:rtl/>
        </w:rPr>
        <w:t xml:space="preserve">کوتاه شده تفسیر تبیان شیخ طوسی است از ابن ادریس حلی نگارنده سرائر. صاحب الذریعه زیر عنوان «تبیان» (۳: ۳۳۱) از آن به نام مختصر تبیان یاد نموده است. شیخ حر در «امل الأمل»</w:t>
      </w:r>
    </w:p>
    <w:p>
      <w:pPr>
        <w:pStyle w:val="BookText"/>
      </w:pPr>
      <w:r>
        <w:rPr>
          <w:rFonts w:ascii="IRNazanin" w:hAnsi="IRNazanin" w:eastAsia="IRNazanin" w:cs="IRNazanin"/>
          <w:lang w:bidi="fa-IR"/>
          <w:color w:val="111111"/>
          <w:sz w:val="28"/>
          <w:szCs w:val="28"/>
          <w:rtl/>
        </w:rPr>
        <w:t xml:space="preserve">کتابی به نام تعلیقات تبیان به او نسبت داده، می گوید نسخه آن را به خط نگارنده دیده ام، صاحب الذریعه نیز در (۴: ۲۲۵ و ۶: ۳۱) تعليقه یا حاشیه تبیان را به ابن ادریس نسبت داده وليكن گمان نمی رود که جز این مختصر و کوتاه شده تبیان چیز دیگری باشد. روش او در این کتاب چنان است که برای هر آیه که در تبیان تفسیر شده، فصلی جدا ساخته و در آن از تبیان نزدیک نه دهم آن را کاسته و یک دهم را آورده است. گاهی چند آیه را به کلی انداخته و از این روی این مختصر فقط نزدیک ۱۴۰۰۰ بیت نوشته دارد در صورتی که تبیان چاپ شده بیش از صد هزار بیت می باشد. لیکن ترتیب ده جزء کتاب تبیان در این مختصر از نسخه تبیان چاپی روشن تر است.</w:t>
      </w:r>
    </w:p>
    <w:p>
      <w:pPr>
        <w:pStyle w:val="BookText"/>
      </w:pPr>
      <w:r>
        <w:rPr>
          <w:rFonts w:ascii="IRNazanin" w:hAnsi="IRNazanin" w:eastAsia="IRNazanin" w:cs="IRNazanin"/>
          <w:lang w:bidi="fa-IR"/>
          <w:color w:val="111111"/>
          <w:sz w:val="28"/>
          <w:szCs w:val="28"/>
          <w:rtl/>
        </w:rPr>
        <w:t xml:space="preserve">چاپ: در قم و نجف، ۱۴۲۹ق، ۱۳۸۷ ش چاپ شده</w:t>
      </w:r>
    </w:p>
    <w:p>
      <w:pPr>
        <w:pStyle w:val="BookText"/>
      </w:pPr>
      <w:r>
        <w:rPr>
          <w:rFonts w:ascii="IRNazanin" w:hAnsi="IRNazanin" w:eastAsia="IRNazanin" w:cs="IRNazanin"/>
          <w:lang w:bidi="fa-IR"/>
          <w:color w:val="111111"/>
          <w:sz w:val="28"/>
          <w:szCs w:val="28"/>
          <w:rtl/>
        </w:rPr>
        <w:t xml:space="preserve">[دنا ۷۷۹/۲ ؛ الذریعه ۱۸۴/۲۰ ]</w:t>
      </w:r>
    </w:p>
    <w:p>
      <w:pPr>
        <w:pStyle w:val="BookText"/>
      </w:pPr>
      <w:r>
        <w:rPr>
          <w:rFonts w:ascii="IRNazanin" w:hAnsi="IRNazanin" w:eastAsia="IRNazanin" w:cs="IRNazanin"/>
          <w:lang w:bidi="fa-IR"/>
          <w:color w:val="111111"/>
          <w:sz w:val="28"/>
          <w:szCs w:val="28"/>
          <w:rtl/>
        </w:rPr>
        <w:t xml:space="preserve">١. مشهد؛ رضوی؛ شماره نسخه:۸۵۸۶</w:t>
      </w:r>
    </w:p>
    <w:p>
      <w:pPr>
        <w:pStyle w:val="BookText"/>
      </w:pPr>
      <w:r>
        <w:rPr>
          <w:rFonts w:ascii="IRNazanin" w:hAnsi="IRNazanin" w:eastAsia="IRNazanin" w:cs="IRNazanin"/>
          <w:lang w:bidi="fa-IR"/>
          <w:color w:val="111111"/>
          <w:sz w:val="28"/>
          <w:szCs w:val="28"/>
          <w:rtl/>
        </w:rPr>
        <w:t xml:space="preserve">آغاز: فقد ضل سواء السبيل قصده و وسطه و ده كثير من أهل الكتاب الايه نزلت حين قالت اليهود للمسلمين بعد وقعة احد الم تروا الى ما أصابكم و لو کنتم على الحق ما هزمتم فارجعوا إلى ديننا فذلك قوله لو يردونكم من بعد ایمانکم؛ انجام: ولا يمس الكتاب الذي. از تفسیر اواخر آیه ۱۰۲ سوره بقره تا قدری از سوره حدید؛ خط: نسخ، كا: مهنا بن على بن عطاف بن سليمان بن مختار، تا: صفر ۶۴۰ق؛ افتادگی: آغاز و وسط و انجام؛ [انتساب این کتاب به ابن ادریس مسلم است. تسمیه آن به «تعلیقه» همانا به ضبط این نسخه است که ۴۲ سال پس از فوت وی نوشته شده است و کاتب در مواضع متعدده این کتاب را به نام «تعلیق» ضبط کرده است. در روضات الجنات آمده که «تعليقات» حاشیه نقدی و رد و ایراد بر کتاب «تبیان» است. الذريعة در جلد ۴ ص ۲۲۴ پیروی از روضات الجنات نموده و در جلد ۲۰ ص ۱۸۴ برای ابن ادریس کتابی به نام مختصر التبيان» ضبط کرده و آورده است که این کتاب غیر از تعليقات» او است. چنانکه گذشت در این نسخه کهن معتبر نام کتاب «تعلیقه» ضبط شده است و محتوای آن مختصر کتاب «تبیان» است و در مدارک موجود کتابی به نام «مختصر التبيان» در آثار قلمی ابن ادریس به نظر نرسید. ناگفته نماند که جمع «تعلیقه» تعاليق است و «تعليقات» غلط شایع در زبان فارسی است که استعمال آن از دانشمند عربی چون ابن ادریس بعید است.)، نسخه معلق است به یک رشته حاشیه توضیحی به خطر بالنسبه قدیمی که مؤلف آن شناخته نشد؛ آخرین تاریخ کتابت (که در بخش تعليق بر جزء هفتم نوشته شده است): صفر ۶۴۰؛ کاغذ: حنایی، جلد: تیماج دار چینی، ۱۶۰گ، مختلف السطر،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۱۱–۵۵۵]</w:t>
      </w:r>
    </w:p>
    <w:p>
      <w:pPr>
        <w:pStyle w:val="BookText"/>
      </w:pPr>
      <w:r>
        <w:rPr>
          <w:rFonts w:ascii="IRNazanin" w:hAnsi="IRNazanin" w:eastAsia="IRNazanin" w:cs="IRNazanin"/>
          <w:lang w:bidi="fa-IR"/>
          <w:color w:val="111111"/>
          <w:sz w:val="28"/>
          <w:szCs w:val="28"/>
          <w:rtl/>
        </w:rPr>
        <w:t xml:space="preserve">قم؛ مرعشی؛ شماره نسخه:۱۸ ۴عکسی</w:t>
      </w:r>
    </w:p>
    <w:p>
      <w:pPr>
        <w:pStyle w:val="BookText"/>
      </w:pPr>
      <w:r>
        <w:rPr>
          <w:rFonts w:ascii="IRNazanin" w:hAnsi="IRNazanin" w:eastAsia="IRNazanin" w:cs="IRNazanin"/>
          <w:lang w:bidi="fa-IR"/>
          <w:color w:val="111111"/>
          <w:sz w:val="28"/>
          <w:szCs w:val="28"/>
          <w:rtl/>
        </w:rPr>
        <w:t xml:space="preserve">نسخه اصل: همان نسخه بالا [عکسی ف: ۱-۳۶۶]</w:t>
      </w:r>
    </w:p>
    <w:p>
      <w:pPr>
        <w:pStyle w:val="BookText"/>
      </w:pPr>
      <w:r>
        <w:rPr>
          <w:rFonts w:ascii="IRNazanin" w:hAnsi="IRNazanin" w:eastAsia="IRNazanin" w:cs="IRNazanin"/>
          <w:lang w:bidi="fa-IR"/>
          <w:color w:val="111111"/>
          <w:sz w:val="28"/>
          <w:szCs w:val="28"/>
          <w:rtl/>
        </w:rPr>
        <w:t xml:space="preserve">۲. قم؛ فیضیه؛ شماره نسخه: ۱۴۷۶</w:t>
      </w:r>
    </w:p>
    <w:p>
      <w:pPr>
        <w:pStyle w:val="BookText"/>
      </w:pPr>
      <w:r>
        <w:rPr>
          <w:rFonts w:ascii="IRNazanin" w:hAnsi="IRNazanin" w:eastAsia="IRNazanin" w:cs="IRNazanin"/>
          <w:lang w:bidi="fa-IR"/>
          <w:color w:val="111111"/>
          <w:sz w:val="28"/>
          <w:szCs w:val="28"/>
          <w:rtl/>
        </w:rPr>
        <w:t xml:space="preserve">از سوره بقره تا سوره هود را دارد در پنج جزء؛ خط: نسخ، بی کا، تا: ۱۰ شعبان ۱۰۹۲ق؛ ۱۹۹گ، ۱۹سطر،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سم [ف:
</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bookmarkStart w:id="676" w:name="pg20363_210028"/>
    <w:bookmarkEnd w:id="676"/>
    <w:p>
      <w:pPr>
        <w:pStyle w:val="BookText"/>
      </w:pPr>
      <w:r>
        <w:rPr>
          <w:rFonts w:ascii="IRNazanin" w:hAnsi="IRNazanin" w:eastAsia="IRNazanin" w:cs="IRNazanin"/>
          <w:lang w:bidi="fa-IR"/>
          <w:color w:val="111111"/>
          <w:sz w:val="28"/>
          <w:szCs w:val="28"/>
          <w:rtl/>
        </w:rPr>
        <w:t xml:space="preserve">۲۳۲-۱ ]</w:t>
      </w:r>
    </w:p>
    <w:p>
      <w:pPr>
        <w:pStyle w:val="BookText"/>
      </w:pPr>
      <w:r>
        <w:rPr>
          <w:rFonts w:ascii="IRNazanin" w:hAnsi="IRNazanin" w:eastAsia="IRNazanin" w:cs="IRNazanin"/>
          <w:lang w:bidi="fa-IR"/>
          <w:color w:val="111111"/>
          <w:sz w:val="28"/>
          <w:szCs w:val="28"/>
          <w:rtl/>
        </w:rPr>
        <w:t xml:space="preserve">٣. قم؛ مرعشی؛ شماره نسخه:۴۵۸۴</w:t>
      </w:r>
    </w:p>
    <w:p>
      <w:pPr>
        <w:pStyle w:val="BookText"/>
      </w:pPr>
      <w:r>
        <w:rPr>
          <w:rFonts w:ascii="IRNazanin" w:hAnsi="IRNazanin" w:eastAsia="IRNazanin" w:cs="IRNazanin"/>
          <w:lang w:bidi="fa-IR"/>
          <w:color w:val="111111"/>
          <w:sz w:val="28"/>
          <w:szCs w:val="28"/>
          <w:rtl/>
        </w:rPr>
        <w:t xml:space="preserve">آغاز: فصل في قوله تعالى قولوا آمنا بالله.. الاسباط جمع سبط قال تغلب يقال سبط عليه؛ انجام: و يجعله خالصا لوجهه و مقربة من رضاه بمنه و کرمه و هو حسبنا و نعم الوكيل.</w:t>
      </w:r>
    </w:p>
    <w:p>
      <w:pPr>
        <w:pStyle w:val="BookText"/>
      </w:pPr>
      <w:r>
        <w:rPr>
          <w:rFonts w:ascii="IRNazanin" w:hAnsi="IRNazanin" w:eastAsia="IRNazanin" w:cs="IRNazanin"/>
          <w:lang w:bidi="fa-IR"/>
          <w:color w:val="111111"/>
          <w:sz w:val="28"/>
          <w:szCs w:val="28"/>
          <w:rtl/>
        </w:rPr>
        <w:t xml:space="preserve">خط: نسخ، بی کا، تا: سلخ ذیقعده ۱۰۹۲ق؛ تملک: صالح بن عبد الكريم بحرانی، تملکی بدون نام به تاریخ ۱۲۴۲ در تبریز با مهر عبده الراجی اردشیر» (بیضوی)؛ جلد: تیماج مشکی، ۱۹۷گ، ۲۵ سطر،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۱۲-۱۵۶]</w:t>
      </w:r>
    </w:p>
    <w:p>
      <w:pPr>
        <w:pStyle w:val="BookText"/>
      </w:pPr>
      <w:r>
        <w:rPr>
          <w:rFonts w:ascii="IRNazanin" w:hAnsi="IRNazanin" w:eastAsia="IRNazanin" w:cs="IRNazanin"/>
          <w:lang w:bidi="fa-IR"/>
          <w:color w:val="111111"/>
          <w:sz w:val="28"/>
          <w:szCs w:val="28"/>
          <w:rtl/>
        </w:rPr>
        <w:t xml:space="preserve">۴. تهران؛ ملک؛ شماره نسخه: ۲۶۳</w:t>
      </w:r>
    </w:p>
    <w:p>
      <w:pPr>
        <w:pStyle w:val="BookText"/>
      </w:pPr>
      <w:r>
        <w:rPr>
          <w:rFonts w:ascii="IRNazanin" w:hAnsi="IRNazanin" w:eastAsia="IRNazanin" w:cs="IRNazanin"/>
          <w:lang w:bidi="fa-IR"/>
          <w:color w:val="111111"/>
          <w:sz w:val="28"/>
          <w:szCs w:val="28"/>
          <w:rtl/>
        </w:rPr>
        <w:t xml:space="preserve">آغاز: بسمله فصل قوله تعالى قولوا آمنا بالله و ما انزل الينا و ما انزل الى ابراهیم و اسمعیل و اسحق و یعقوب و الاسباط الايات. الاسباط جمع سبط قال ثعلب يقال سبط عليه العطا و الضرب اذا تابع عليه حتى يصل بعضه ببعض؛ انجام: سورة العاديات قوله تعالي و العاديات ضبحا .. ان الانسان لربه لكنود الايات اتفق الفراغ من نسخه ... در صفحه بعد آمده: صورة خط المصنف ابن ادريس رحمه الله تعالى. تم التعليق من الجزء التاسع من كتاب التبيان في تفسير القرآن و بتمامه تم كتاب المنتخب من تفسير القرآن و النكت المستخرجة من كتاب التبيان و الله المستعان ...</w:t>
      </w:r>
    </w:p>
    <w:p>
      <w:pPr>
        <w:pStyle w:val="BookText"/>
      </w:pPr>
      <w:r>
        <w:rPr>
          <w:rFonts w:ascii="IRNazanin" w:hAnsi="IRNazanin" w:eastAsia="IRNazanin" w:cs="IRNazanin"/>
          <w:lang w:bidi="fa-IR"/>
          <w:color w:val="111111"/>
          <w:sz w:val="28"/>
          <w:szCs w:val="28"/>
          <w:rtl/>
        </w:rPr>
        <w:t xml:space="preserve">از میانه سوره البقرة تا پایان جزو نهم؛ خط: نسخ، كا: كرم الله بن سید عطاء الله حسینی جزایری، تا: ذیقعده ۱۰۹۴ق؛ مجدول، مقابله شده خود جزایری، چنین آمده: «بسمله بلغ مقابلة من فاتحته الى خاتمته في اوقات کلمه حرفا حرفا على اصله و هو نسخه المصنف بخطه تعمدالله برحمته و اسکنه بحبوحة جنته و کتب اقل خلق الله تعالى الراجي عفوه و مغفرته و کرمه كرم الله ابن السيد عطاء الله الحسینی حامدا مسلما، در پایان نسخه ما سواد صورت خط ابن ادریس آمده که او در آخر ذیحجه ۵۸۲ از این انتخاب بیاسوده است؛ کاغذ: ترمه، جلد: میشن مشکی، ۳۳۹گ، ۱۷ سطر، اندازه: ۱۵/۶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۲۵/۷سم [ف: ۱-۵۴۵]</w:t>
      </w:r>
    </w:p>
    <w:p>
      <w:pPr>
        <w:pStyle w:val="BookText"/>
      </w:pPr>
      <w:r>
        <w:rPr>
          <w:rFonts w:ascii="IRNazanin" w:hAnsi="IRNazanin" w:eastAsia="IRNazanin" w:cs="IRNazanin"/>
          <w:lang w:bidi="fa-IR"/>
          <w:color w:val="111111"/>
          <w:sz w:val="28"/>
          <w:szCs w:val="28"/>
          <w:rtl/>
        </w:rPr>
        <w:t xml:space="preserve">مشهد؛ الهيات؛ شماره نسخه:۱۳۱۰۴ عکسی</w:t>
      </w:r>
    </w:p>
    <w:p>
      <w:pPr>
        <w:pStyle w:val="BookText"/>
      </w:pPr>
      <w:r>
        <w:rPr>
          <w:rFonts w:ascii="IRNazanin" w:hAnsi="IRNazanin" w:eastAsia="IRNazanin" w:cs="IRNazanin"/>
          <w:lang w:bidi="fa-IR"/>
          <w:color w:val="111111"/>
          <w:sz w:val="28"/>
          <w:szCs w:val="28"/>
          <w:rtl/>
        </w:rPr>
        <w:t xml:space="preserve">نسخه اصل: همان نسخه بالا [ف: ۳-۱۳۴۵]</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مرعشی؛ شماره نسخه:۵۰۱۶</w:t>
      </w:r>
    </w:p>
    <w:p>
      <w:pPr>
        <w:pStyle w:val="BookText"/>
      </w:pPr>
      <w:r>
        <w:rPr>
          <w:rFonts w:ascii="IRNazanin" w:hAnsi="IRNazanin" w:eastAsia="IRNazanin" w:cs="IRNazanin"/>
          <w:lang w:bidi="fa-IR"/>
          <w:color w:val="111111"/>
          <w:sz w:val="28"/>
          <w:szCs w:val="28"/>
          <w:rtl/>
        </w:rPr>
        <w:t xml:space="preserve">خط: نسخ، كا: كرم الله بن عطاء الله موسوی جزائری شیرازی، تا: ۲۱ رجب ۱۱۰۱ق؛ ظاهرا از روی نسخه مؤلف نوشته شده ؛ جلد: تیماج قهوه ای، ۳۲۵گ، ۱۹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۱۳-۲۱۸]</w:t>
      </w:r>
    </w:p>
    <w:p>
      <w:pPr>
        <w:pStyle w:val="BookText"/>
      </w:pPr>
      <w:r>
        <w:rPr>
          <w:rFonts w:ascii="IRNazanin" w:hAnsi="IRNazanin" w:eastAsia="IRNazanin" w:cs="IRNazanin"/>
          <w:lang w:bidi="fa-IR"/>
          <w:color w:val="111111"/>
          <w:sz w:val="28"/>
          <w:szCs w:val="28"/>
          <w:rtl/>
        </w:rPr>
        <w:t xml:space="preserve">تهران؛ دانشگاه؛ شماره نسخه: ۳۷۷۰-ف</w:t>
      </w:r>
    </w:p>
    <w:p>
      <w:pPr>
        <w:pStyle w:val="BookText"/>
      </w:pPr>
      <w:r>
        <w:rPr>
          <w:rFonts w:ascii="IRNazanin" w:hAnsi="IRNazanin" w:eastAsia="IRNazanin" w:cs="IRNazanin"/>
          <w:lang w:bidi="fa-IR"/>
          <w:color w:val="111111"/>
          <w:sz w:val="28"/>
          <w:szCs w:val="28"/>
          <w:rtl/>
        </w:rPr>
        <w:t xml:space="preserve">نسخه اصل: همان نسخه بالا [فیلمها ف: ۲-۲۴۶]</w:t>
      </w:r>
    </w:p>
    <w:p>
      <w:pPr>
        <w:pStyle w:val="BookText"/>
      </w:pPr>
      <w:r>
        <w:rPr>
          <w:rFonts w:ascii="IRNazanin" w:hAnsi="IRNazanin" w:eastAsia="IRNazanin" w:cs="IRNazanin"/>
          <w:lang w:bidi="fa-IR"/>
          <w:color w:val="111111"/>
          <w:sz w:val="28"/>
          <w:szCs w:val="28"/>
          <w:rtl/>
        </w:rPr>
        <w:t xml:space="preserve">مشهد؛ الهیات؛ شماره نسخه:۱۳۱۰۵</w:t>
      </w:r>
    </w:p>
    <w:p>
      <w:pPr>
        <w:pStyle w:val="BookText"/>
      </w:pPr>
      <w:r>
        <w:rPr>
          <w:rFonts w:ascii="IRNazanin" w:hAnsi="IRNazanin" w:eastAsia="IRNazanin" w:cs="IRNazanin"/>
          <w:lang w:bidi="fa-IR"/>
          <w:color w:val="111111"/>
          <w:sz w:val="28"/>
          <w:szCs w:val="28"/>
          <w:rtl/>
        </w:rPr>
        <w:t xml:space="preserve">نسخه اصل: همان نسخه بالا [ف: ۳-۱۳۴۶]</w:t>
      </w:r>
    </w:p>
    <w:p>
      <w:pPr>
        <w:pStyle w:val="BookText"/>
      </w:pPr>
      <w:r>
        <w:rPr>
          <w:rFonts w:ascii="IRNazanin" w:hAnsi="IRNazanin" w:eastAsia="IRNazanin" w:cs="IRNazanin"/>
          <w:lang w:bidi="fa-IR"/>
          <w:color w:val="111111"/>
          <w:sz w:val="28"/>
          <w:szCs w:val="28"/>
          <w:rtl/>
        </w:rPr>
        <w:t xml:space="preserve">۶. تهران، دانشگاه شماره نسخه:۲۱</w:t>
      </w:r>
    </w:p>
    <w:p>
      <w:pPr>
        <w:pStyle w:val="BookText"/>
      </w:pPr>
      <w:r>
        <w:rPr>
          <w:rFonts w:ascii="IRNazanin" w:hAnsi="IRNazanin" w:eastAsia="IRNazanin" w:cs="IRNazanin"/>
          <w:lang w:bidi="fa-IR"/>
          <w:color w:val="111111"/>
          <w:sz w:val="28"/>
          <w:szCs w:val="28"/>
          <w:rtl/>
        </w:rPr>
        <w:t xml:space="preserve">آغاز: بقوله: و الو الأرحام. فصل. قوله: و آن خفتم شقاق بينهما فابعثوا؛ انجام: آنچه هست: فصل. قوله كذب ثمود بطغوا ها اذا انبعث أشقاها.</w:t>
      </w:r>
    </w:p>
    <w:p>
      <w:pPr>
        <w:pStyle w:val="BookText"/>
      </w:pPr>
      <w:r>
        <w:rPr>
          <w:rFonts w:ascii="IRNazanin" w:hAnsi="IRNazanin" w:eastAsia="IRNazanin" w:cs="IRNazanin"/>
          <w:lang w:bidi="fa-IR"/>
          <w:color w:val="111111"/>
          <w:sz w:val="28"/>
          <w:szCs w:val="28"/>
          <w:rtl/>
        </w:rPr>
        <w:t xml:space="preserve">خط: نسخ خوب، كا: على بن كرم الله جزائری، تا: ۱۱۰۵ق؛ افتادگی: آغاز و انجام؛ گوید آن را از روی نسخه خط نگارنده رونویس کرده ام، تاریخ نوشتن در پایان برخی جزءها ۵ محرم ۱۱۰۵ است، یعنی در همان زمان که شیخ حر (-۱۱۰۴) گوید: نسخه آن را به خط نگارنده اش دیده ام؛ کاغذ: ترمه سمرقندی، جلد: تیماج حنایی با مقوا، ۲۵۴گ، ۲۰ سطر</w:t>
      </w:r>
    </w:p>
    <w:p>
      <w:pPr>
        <w:pStyle w:val="BookText"/>
      </w:pPr>
      <w:r>
        <w:rPr>
          <w:rFonts w:ascii="IRNazanin" w:hAnsi="IRNazanin" w:eastAsia="IRNazanin" w:cs="IRNazanin"/>
          <w:lang w:bidi="fa-IR"/>
          <w:color w:val="111111"/>
          <w:sz w:val="28"/>
          <w:szCs w:val="28"/>
          <w:rtl/>
        </w:rPr>
        <w:t xml:space="preserve">( ۱۶/۲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۷/۸ )،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[ف: ۱-۲۰۱]</w:t>
      </w:r>
    </w:p>
    <w:p>
      <w:pPr>
        <w:pStyle w:val="Heading3"/>
      </w:pPr>
      <w:bookmarkStart w:id="2961" w:name="_Toc2221"/>
      <w:r>
        <w:t>•التبيان في تفسير القرآن / تفسير / عربی</w:t>
      </w:r>
      <w:bookmarkEnd w:id="2961"/>
    </w:p>
    <w:p>
      <w:pPr>
        <w:pStyle w:val="BookText"/>
      </w:pPr>
      <w:r>
        <w:rPr>
          <w:rFonts w:ascii="Times New Roman" w:hAnsi="Times New Roman" w:eastAsia="Times New Roman" w:cs="Times New Roman"/>
          <w:lang w:val="en-US" w:bidi="en-US"/>
          <w:color w:val="111111"/>
          <w:sz w:val="28"/>
          <w:szCs w:val="28"/>
          <w:rtl/>
        </w:rPr>
        <w:t xml:space="preserve">at-tibyān fī tafsīr-il qur'ān</w:t>
      </w:r>
    </w:p>
    <w:p>
      <w:pPr>
        <w:pStyle w:val="BookText"/>
      </w:pPr>
      <w:r>
        <w:rPr>
          <w:rFonts w:ascii="IRNazanin" w:hAnsi="IRNazanin" w:eastAsia="IRNazanin" w:cs="IRNazanin"/>
          <w:lang w:bidi="fa-IR"/>
          <w:color w:val="111111"/>
          <w:sz w:val="28"/>
          <w:szCs w:val="28"/>
          <w:rtl/>
        </w:rPr>
        <w:t xml:space="preserve">تفسیری است مزجی از مفسری ناشناخته که علت تأليف آن را چنان بیان می دارد: «چون پیش از این تفسیر کبیری نوشته بودم اصحاب خواهش مختصر آن را نمودند لهذا این کتاب را نوشتم که تحفه ای باشد برای خزانه امیر اسفهسالار مظفرالدوله و الدين قطب الاسلام و المسلمین ملک الامراء ابی زنجی بن مودود بن تكله» که اگر مراد از این مظفر الدوله و الدین زنگی، دومین پادشاه سلغری فارس (۵۵۶-۵۷۰) باشد، این تفسیر می بایست از آغاز نیمه دوم قرن ششم باشد.</w:t>
      </w:r>
    </w:p>
    <w:p>
      <w:pPr>
        <w:pStyle w:val="BookText"/>
      </w:pPr>
      <w:r>
        <w:rPr>
          <w:rFonts w:ascii="IRNazanin" w:hAnsi="IRNazanin" w:eastAsia="IRNazanin" w:cs="IRNazanin"/>
          <w:lang w:bidi="fa-IR"/>
          <w:color w:val="111111"/>
          <w:sz w:val="28"/>
          <w:szCs w:val="28"/>
          <w:rtl/>
        </w:rPr>
        <w:t xml:space="preserve">مشهد؛ رضوی؛ شماره نسخه: ۱۲۲۷</w:t>
      </w:r>
    </w:p>
    <w:p>
      <w:pPr>
        <w:pStyle w:val="BookText"/>
      </w:pPr>
      <w:r>
        <w:rPr>
          <w:rFonts w:ascii="IRNazanin" w:hAnsi="IRNazanin" w:eastAsia="IRNazanin" w:cs="IRNazanin"/>
          <w:lang w:bidi="fa-IR"/>
          <w:color w:val="111111"/>
          <w:sz w:val="28"/>
          <w:szCs w:val="28"/>
          <w:rtl/>
        </w:rPr>
        <w:t xml:space="preserve">آغاز: بسمله. رب اختم بالخير. الحمدلله مجزل [النعم و منزل الحكم و مصور الامم و مقدر القسم الذي خلق الانسان علمه البيان.؛ انجام: و قوله فليعمل مجزوم به لام الأمر و لايشر ک مجزوم لانه عطف عليه تم المجلدة الأولى من كتاب التبيان في تفسير القرآن ... و بالله التوفيق. جلد ۱، از آغاز قرآن تا پایان سوره کهف؛ خط: نسخ، كا: محمد بن عمر بن محمد بن عبد المجيد، تا: ربيع الثانی ۷۶۷ق؛ واقف: امیر جبرئیل، ۱۰۳۷؛ کاغذ: نخودی ضخیم، جلد: تیماج مشکی، ۲۳۸گ، ۴۰- ۴۵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[ف: ۱-۴۲۱]</w:t>
      </w:r>
    </w:p>
    <w:p>
      <w:pPr>
        <w:pStyle w:val="Heading3"/>
      </w:pPr>
      <w:bookmarkStart w:id="2962" w:name="_Toc2222"/>
      <w:r>
        <w:t>•التبيان في تفسير القرآن / تفسير / عربی</w:t>
      </w:r>
      <w:bookmarkEnd w:id="2962"/>
    </w:p>
    <w:p>
      <w:pPr>
        <w:pStyle w:val="BookText"/>
      </w:pPr>
      <w:r>
        <w:rPr>
          <w:rFonts w:ascii="Times New Roman" w:hAnsi="Times New Roman" w:eastAsia="Times New Roman" w:cs="Times New Roman"/>
          <w:lang w:val="en-US" w:bidi="en-US"/>
          <w:color w:val="111111"/>
          <w:sz w:val="28"/>
          <w:szCs w:val="28"/>
          <w:rtl/>
        </w:rPr>
        <w:t xml:space="preserve">at-tibyān fi tafsīr-il qur'ān</w:t>
      </w:r>
    </w:p>
    <w:p>
      <w:pPr>
        <w:pStyle w:val="BookText"/>
      </w:pPr>
      <w:r>
        <w:rPr>
          <w:rFonts w:ascii="IRNazanin" w:hAnsi="IRNazanin" w:eastAsia="IRNazanin" w:cs="IRNazanin"/>
          <w:lang w:bidi="fa-IR"/>
          <w:color w:val="111111"/>
          <w:sz w:val="28"/>
          <w:szCs w:val="28"/>
          <w:rtl/>
        </w:rPr>
        <w:t xml:space="preserve">از شیخ طوسی و ابوالبقاء عكبری نیست شاید از خضر بن عبدالرحمن ازدی در گذشته ۷۷۳ (چلبی) باشد. از آیه «ان هذه امتكم أمة واحدة، أي أن هذا الدين دینکم و هو الاسلام دينا واحدا، ای لادین الا هو وما سواه باطل» تا سورة الملائكة (الفاطر) «فانه كان بعباده بصيرا، ای ان الله بصير بعباده المستحقين للعقوبة و المستحقين للمثوبة، و قيل بصير ... و قال ابن عباس: المراد باهل طاعته و اهل معصته، تمت المجلدة الثالثة من تفسير القرآن من كتاب التبيان، و الحمدلله و الصلا و الصلاة.»</w:t>
      </w:r>
    </w:p>
    <w:p>
      <w:pPr>
        <w:pStyle w:val="BookText"/>
      </w:pPr>
      <w:r>
        <w:rPr>
          <w:rFonts w:ascii="IRNazanin" w:hAnsi="IRNazanin" w:eastAsia="IRNazanin" w:cs="IRNazanin"/>
          <w:lang w:bidi="fa-IR"/>
          <w:color w:val="111111"/>
          <w:sz w:val="28"/>
          <w:szCs w:val="28"/>
          <w:rtl/>
        </w:rPr>
        <w:t xml:space="preserve">تهران؛ دانشگاه؛ شماره نسخه:۸۱۸۵</w:t>
      </w:r>
    </w:p>
    <w:p>
      <w:pPr>
        <w:pStyle w:val="BookText"/>
      </w:pPr>
      <w:r>
        <w:rPr>
          <w:rFonts w:ascii="IRNazanin" w:hAnsi="IRNazanin" w:eastAsia="IRNazanin" w:cs="IRNazanin"/>
          <w:lang w:bidi="fa-IR"/>
          <w:color w:val="111111"/>
          <w:sz w:val="28"/>
          <w:szCs w:val="28"/>
          <w:rtl/>
        </w:rPr>
        <w:t xml:space="preserve">خط: نسخ، بی کا، تا: قرن ۸ و ۹ کاغذ: سمرقندی، جلد: تیماج
</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bookmarkStart w:id="677" w:name="pg20363_210029"/>
    <w:bookmarkEnd w:id="677"/>
    <w:p>
      <w:pPr>
        <w:pStyle w:val="BookText"/>
      </w:pPr>
      <w:r>
        <w:rPr>
          <w:rFonts w:ascii="IRNazanin" w:hAnsi="IRNazanin" w:eastAsia="IRNazanin" w:cs="IRNazanin"/>
          <w:lang w:bidi="fa-IR"/>
          <w:color w:val="111111"/>
          <w:sz w:val="28"/>
          <w:szCs w:val="28"/>
          <w:rtl/>
        </w:rPr>
        <w:t xml:space="preserve">تریاکی ضربی مقوایی، ۳۱۷، ۲۰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آف: ۱۷-۴۸)</w:t>
      </w:r>
    </w:p>
    <w:p>
      <w:pPr>
        <w:pStyle w:val="Heading3"/>
      </w:pPr>
      <w:bookmarkStart w:id="2963" w:name="_Toc2223"/>
      <w:r>
        <w:t>•التبيان في شرح الديوان = شرح دیوان متنبی / ادبیات / عربی</w:t>
      </w:r>
      <w:bookmarkEnd w:id="2963"/>
    </w:p>
    <w:p>
      <w:pPr>
        <w:pStyle w:val="BookText"/>
      </w:pPr>
      <w:r>
        <w:rPr>
          <w:rFonts w:ascii="Times New Roman" w:hAnsi="Times New Roman" w:eastAsia="Times New Roman" w:cs="Times New Roman"/>
          <w:lang w:val="en-US" w:bidi="en-US"/>
          <w:color w:val="111111"/>
          <w:sz w:val="28"/>
          <w:szCs w:val="28"/>
          <w:rtl/>
        </w:rPr>
        <w:t xml:space="preserve">at-tibyān fī š.-id d. = š.-e d.-e mutannabī</w:t>
      </w:r>
    </w:p>
    <w:p>
      <w:pPr>
        <w:pStyle w:val="BookText"/>
      </w:pPr>
      <w:r>
        <w:rPr>
          <w:rFonts w:ascii="IRNazanin" w:hAnsi="IRNazanin" w:eastAsia="IRNazanin" w:cs="IRNazanin"/>
          <w:lang w:bidi="fa-IR"/>
          <w:color w:val="111111"/>
          <w:sz w:val="28"/>
          <w:szCs w:val="28"/>
          <w:rtl/>
        </w:rPr>
        <w:t xml:space="preserve">عکبری، عبد الله بن حسين، ۵۳۸-۶۱۶ قمری</w:t>
      </w:r>
    </w:p>
    <w:p>
      <w:pPr>
        <w:pStyle w:val="BookText"/>
      </w:pPr>
      <w:r>
        <w:rPr>
          <w:rFonts w:ascii="Times New Roman" w:hAnsi="Times New Roman" w:eastAsia="Times New Roman" w:cs="Times New Roman"/>
          <w:lang w:val="en-US" w:bidi="en-US"/>
          <w:color w:val="111111"/>
          <w:sz w:val="28"/>
          <w:szCs w:val="28"/>
          <w:rtl/>
        </w:rPr>
        <w:t xml:space="preserve">okbari, abd-ol-lah ebn-e hoseyn (1144-1220)</w:t>
      </w:r>
    </w:p>
    <w:p>
      <w:pPr>
        <w:pStyle w:val="BookText"/>
      </w:pPr>
      <w:r>
        <w:rPr>
          <w:rFonts w:ascii="IRNazanin" w:hAnsi="IRNazanin" w:eastAsia="IRNazanin" w:cs="IRNazanin"/>
          <w:lang w:bidi="fa-IR"/>
          <w:color w:val="111111"/>
          <w:sz w:val="28"/>
          <w:szCs w:val="28"/>
          <w:rtl/>
        </w:rPr>
        <w:t xml:space="preserve">وابسته به: ديوان المتنبی؛ متنبی، احمد بن حسین (۳۰۳-۳۵۴ق) شارح می گوید که من دیوان را نزد امام ابو الحرم مکی بن ریان ماکسینی در موصل به سال ۵۹۹ و نزد شیخ ابو محمد عبدالمنعم بن صباح تیمی نحوی خواندم و دیدم که گروهی بر آن شرح نوشته اند و هیچیک از آنها را کامل ندیدم، پس من این شرح را از روی شرحهای ابن جنی و ابوالعلاء معری و خطیب تبریزی و ابو الحسن علی بن احمد واحدی و ابو علی ابن فورجه و ابوالفضل</w:t>
      </w:r>
    </w:p>
    <w:p>
      <w:pPr>
        <w:pStyle w:val="BookText"/>
      </w:pPr>
      <w:r>
        <w:rPr>
          <w:rFonts w:ascii="IRNazanin" w:hAnsi="IRNazanin" w:eastAsia="IRNazanin" w:cs="IRNazanin"/>
          <w:lang w:bidi="fa-IR"/>
          <w:color w:val="111111"/>
          <w:sz w:val="28"/>
          <w:szCs w:val="28"/>
          <w:rtl/>
        </w:rPr>
        <w:t xml:space="preserve">عروضی و ابوبکر خوارزمی و ابو محمد الحسن بن وكيع تنیسی اقلیلی و دیگران ساخته ام. روش وی در این شرح چنان است که یک شعر را می آورد و زیر عنوان های «المعنی» و «الغريب» آن را گزارش می دهد. این شرح در دو جلد است. چلبی در کشف الظنون شماره بیت های دیوان متنبی را چنین برشمرد: شاميات (۲۳۵۲)، سیفیات (۱۵۴۰)، کافوریات (۵۲۸)، فاتكيات (۳۵۷)، شیرازیات (۳۹۶)، همه آنها (۵۱۷۳ بیت). مسافرت های متنبی در شعر وی تأثیر کرد و واژه های غیر عربی داخل آنها کرد و از این روی نیازمند گزارش گردید و شرح های بسیار بر آن نگاشته شد. ابن خلکان می گوید از برخی استادان شنیدم که دیوان متنبی چهل بار شرح شد. صاحب «الصبح المنبی ء» آن را چهل و دو شرح دانسته است. (علینقی منزوی)</w:t>
      </w:r>
    </w:p>
    <w:p>
      <w:pPr>
        <w:pStyle w:val="BookText"/>
      </w:pPr>
      <w:r>
        <w:rPr>
          <w:rFonts w:ascii="Amiri" w:hAnsi="Amiri" w:eastAsia="Amiri" w:cs="Amiri"/>
          <w:lang w:bidi="ar-SA"/>
          <w:color w:val="111111"/>
          <w:sz w:val="28"/>
          <w:szCs w:val="28"/>
          <w:rtl/>
        </w:rPr>
        <w:t xml:space="preserve">آغاز: الحمدلله العظيم الجزيل احسانه الواضح برهانه ... اما بعد فاني لما اتقنت الديوان الذي انتشر ذكره في سائر البلدان</w:t>
      </w:r>
    </w:p>
    <w:p>
      <w:pPr>
        <w:pStyle w:val="BookText"/>
      </w:pPr>
      <w:r>
        <w:rPr>
          <w:rFonts w:ascii="IRNazanin" w:hAnsi="IRNazanin" w:eastAsia="IRNazanin" w:cs="IRNazanin"/>
          <w:lang w:bidi="fa-IR"/>
          <w:color w:val="111111"/>
          <w:sz w:val="28"/>
          <w:szCs w:val="28"/>
          <w:rtl/>
        </w:rPr>
        <w:t xml:space="preserve">انجام: و قد صرح في جميع ذلک بما كان اخفاه في مدحه من قوله في غير هذه و ما طربی لما رأيتك بدعة *** لقد كنت ارجوان ان اراک فاطرب چاپ: کلکته، ۱۲۶۱ق؛ بولاق، جزء ۲، ۱۲۸۷ق؛ بمبئی، سنگی، ۱۳۰۲ ق.، وزیری، ۲۷۰ ص (در هامش) با عنوان خلاصةالتبيان في شرح دیوان ابو الطيب المتنبي</w:t>
      </w:r>
    </w:p>
    <w:p>
      <w:pPr>
        <w:pStyle w:val="BookText"/>
      </w:pPr>
      <w:r>
        <w:rPr>
          <w:rFonts w:ascii="IRNazanin" w:hAnsi="IRNazanin" w:eastAsia="IRNazanin" w:cs="IRNazanin"/>
          <w:lang w:bidi="fa-IR"/>
          <w:color w:val="111111"/>
          <w:sz w:val="28"/>
          <w:szCs w:val="28"/>
          <w:rtl/>
        </w:rPr>
        <w:t xml:space="preserve">[دنا ۲/ ۷۸۰]</w:t>
      </w:r>
    </w:p>
    <w:p>
      <w:pPr>
        <w:pStyle w:val="BookText"/>
      </w:pPr>
      <w:r>
        <w:rPr>
          <w:rFonts w:ascii="IRNazanin" w:hAnsi="IRNazanin" w:eastAsia="IRNazanin" w:cs="IRNazanin"/>
          <w:lang w:bidi="fa-IR"/>
          <w:color w:val="111111"/>
          <w:sz w:val="28"/>
          <w:szCs w:val="28"/>
          <w:rtl/>
        </w:rPr>
        <w:t xml:space="preserve">١. اردکان یزد؛ امام صادق شماره نسخه:۱۸۴</w:t>
      </w:r>
    </w:p>
    <w:p>
      <w:pPr>
        <w:pStyle w:val="BookText"/>
      </w:pPr>
      <w:r>
        <w:rPr>
          <w:rFonts w:ascii="IRNazanin" w:hAnsi="IRNazanin" w:eastAsia="IRNazanin" w:cs="IRNazanin"/>
          <w:lang w:bidi="fa-IR"/>
          <w:color w:val="111111"/>
          <w:sz w:val="28"/>
          <w:szCs w:val="28"/>
          <w:rtl/>
        </w:rPr>
        <w:t xml:space="preserve">انجام: و من العرب من يقلب التاء ذالا و يدغم و يقرأ بتخفیف الذال و فتح الخاء و ماضیه ذخر ... تعالی و مصدقا حال معطوفة خط: نسخ، بی کا، تا: قرن ۱۰؛ افتادگی: انجام؛ تملك: «محمد امین بن قطب الدین حیدر بنیاد بن خليل قزوینی»، «محمد سعید بن محمد صنوبر الشريف»؛ جلد: مقوایی، عطف تیماج قرمز، ۶۶گ، ۲۰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۱-۱۷۳]</w:t>
      </w:r>
    </w:p>
    <w:p>
      <w:pPr>
        <w:pStyle w:val="BookText"/>
      </w:pPr>
      <w:r>
        <w:rPr>
          <w:rFonts w:ascii="IRNazanin" w:hAnsi="IRNazanin" w:eastAsia="IRNazanin" w:cs="IRNazanin"/>
          <w:lang w:bidi="fa-IR"/>
          <w:color w:val="111111"/>
          <w:sz w:val="28"/>
          <w:szCs w:val="28"/>
          <w:rtl/>
        </w:rPr>
        <w:t xml:space="preserve">۲. مشهد؛ رضوی؛ شماره نسخه:۴۴۶۴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عبدالله با عفیف، تا: ۱۰۸۲ق؛ واقف: نایینی؛ کاغذ: شکری، جلد: تیماج لاکی، ۶۴۴گ، ۲۹ سطر (۱۰/۲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۲۲/۵)، اندازه: 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۷-۱۹۱]</w:t>
      </w:r>
    </w:p>
    <w:p>
      <w:pPr>
        <w:pStyle w:val="BookText"/>
      </w:pPr>
      <w:r>
        <w:rPr>
          <w:rFonts w:ascii="IRNazanin" w:hAnsi="IRNazanin" w:eastAsia="IRNazanin" w:cs="IRNazanin"/>
          <w:lang w:bidi="fa-IR"/>
          <w:color w:val="111111"/>
          <w:sz w:val="28"/>
          <w:szCs w:val="28"/>
          <w:rtl/>
        </w:rPr>
        <w:t xml:space="preserve">٣. مشهد؛ رضوی؛ شماره نسخه:۴۴۶۵</w:t>
      </w:r>
    </w:p>
    <w:p>
      <w:pPr>
        <w:pStyle w:val="BookText"/>
      </w:pPr>
      <w:r>
        <w:rPr>
          <w:rFonts w:ascii="Amiri" w:hAnsi="Amiri" w:eastAsia="Amiri" w:cs="Amiri"/>
          <w:lang w:bidi="ar-SA"/>
          <w:color w:val="111111"/>
          <w:sz w:val="28"/>
          <w:szCs w:val="28"/>
          <w:rtl/>
        </w:rPr>
        <w:t xml:space="preserve">آغاز: الغريب الثاكل المراة التي تفقد ولدها؛ انجام: برابر</w:t>
      </w:r>
    </w:p>
    <w:p>
      <w:pPr>
        <w:pStyle w:val="BookText"/>
      </w:pPr>
      <w:r>
        <w:rPr>
          <w:rFonts w:ascii="IRNazanin" w:hAnsi="IRNazanin" w:eastAsia="IRNazanin" w:cs="IRNazanin"/>
          <w:lang w:bidi="fa-IR"/>
          <w:color w:val="111111"/>
          <w:sz w:val="28"/>
          <w:szCs w:val="28"/>
          <w:rtl/>
        </w:rPr>
        <w:t xml:space="preserve">خط: نسخ، بی کا، تا: ۱۲۰۰ق؛ افتادگی: آغاز، کاغذ: نخودی، جلد: تیماج عنابی، ۲۵۳گ، ۲۹ سطر، اندازه: ۲۰/۸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۳۰سم [ف: ۲۳۲-۷ ]</w:t>
      </w:r>
    </w:p>
    <w:p>
      <w:pPr>
        <w:pStyle w:val="BookText"/>
      </w:pPr>
      <w:r>
        <w:rPr>
          <w:rFonts w:ascii="IRNazanin" w:hAnsi="IRNazanin" w:eastAsia="IRNazanin" w:cs="IRNazanin"/>
          <w:lang w:bidi="fa-IR"/>
          <w:color w:val="111111"/>
          <w:sz w:val="28"/>
          <w:szCs w:val="28"/>
          <w:rtl/>
        </w:rPr>
        <w:t xml:space="preserve">۴. تهران، دانشگاه؛ شماره نسخه:۹۳۷</w:t>
      </w:r>
    </w:p>
    <w:p>
      <w:pPr>
        <w:pStyle w:val="BookText"/>
      </w:pPr>
      <w:r>
        <w:rPr>
          <w:rFonts w:ascii="IRNazanin" w:hAnsi="IRNazanin" w:eastAsia="IRNazanin" w:cs="IRNazanin"/>
          <w:lang w:bidi="fa-IR"/>
          <w:color w:val="111111"/>
          <w:sz w:val="28"/>
          <w:szCs w:val="28"/>
          <w:rtl/>
        </w:rPr>
        <w:t xml:space="preserve">آغاز: الغريب الثاكل المرئة التي تفقد ولدها يقال (و این برابر است با سطر ۵ ص ۳۳ جلد دوم چاپ بولاق ۱۲۸۷ ق)؛ انجام: برابر فقط جلد دوم؛ كا: ابوالقاسم مشهدی پسر محمد ازغدی، تا: ذیحجه ۱۲۴۹ق؛ افتادگی: آغاز؛ در ۵ برگ پس از آن تخمیس لامية العجم طغرائی در (۳۵۰ بیت) نوشته شده آغاز تخميس: قصر رویدک عن لومی و عن عذلي*** فلست اصفى لقول غير ممتثل / ولی مراد و مطلوب ولى امل *** اصالة الرای صانتني عن الخطل او حلية الفضل زانتی لدى العطل»؛ تملک و مهر «المتوكل على الله عبدالفتاح الطباطبائی» در شوال ۱۲۵۸ق؛ کاغذ: فرنگی آهار مهره، جلد: تیماج مشکی، ۲۲۷گ، ۲۵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۳۰سم [ف: ۲-۷۰۶]</w:t>
      </w:r>
    </w:p>
    <w:p>
      <w:pPr>
        <w:pStyle w:val="BookText"/>
      </w:pPr>
      <w:r>
        <w:rPr>
          <w:rFonts w:ascii="IRNazanin" w:hAnsi="IRNazanin" w:eastAsia="IRNazanin" w:cs="IRNazanin"/>
          <w:lang w:bidi="fa-IR"/>
          <w:color w:val="111111"/>
          <w:sz w:val="28"/>
          <w:szCs w:val="28"/>
          <w:rtl/>
        </w:rPr>
        <w:t xml:space="preserve">۵. تهران؛ ملک؛ شماره نسخه:۲۷۶۹</w:t>
      </w:r>
    </w:p>
    <w:p>
      <w:pPr>
        <w:pStyle w:val="BookText"/>
      </w:pPr>
      <w:r>
        <w:rPr>
          <w:rFonts w:ascii="IRNazanin" w:hAnsi="IRNazanin" w:eastAsia="IRNazanin" w:cs="IRNazanin"/>
          <w:lang w:bidi="fa-IR"/>
          <w:color w:val="111111"/>
          <w:sz w:val="28"/>
          <w:szCs w:val="28"/>
          <w:rtl/>
        </w:rPr>
        <w:t xml:space="preserve">آغاز و انجام: برابر خط: نسخ، كان محمد حسین بن محمد تقی تبریزی، تا: ۲۸ جمادی الاول ۱۲۷۸ق، کاغذ: فرنگی آهار مهره، جلد: میشن قهوه ای، ۳۸۲، ۳۱ سطر،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۱۸/۸ سم [ف: ۱-۸۱]</w:t>
      </w:r>
    </w:p>
    <w:p>
      <w:pPr>
        <w:pStyle w:val="Heading3"/>
      </w:pPr>
      <w:bookmarkStart w:id="2964" w:name="_Toc2224"/>
      <w:r>
        <w:t>•التبيان في شرح القاموس الملأن من الجمان / لغت / عربی</w:t>
      </w:r>
      <w:bookmarkEnd w:id="2964"/>
    </w:p>
    <w:p>
      <w:pPr>
        <w:pStyle w:val="BookText"/>
      </w:pPr>
      <w:r>
        <w:rPr>
          <w:rFonts w:ascii="Times New Roman" w:hAnsi="Times New Roman" w:eastAsia="Times New Roman" w:cs="Times New Roman"/>
          <w:lang w:val="en-US" w:bidi="en-US"/>
          <w:color w:val="111111"/>
          <w:sz w:val="28"/>
          <w:szCs w:val="28"/>
          <w:rtl/>
        </w:rPr>
        <w:t xml:space="preserve">at-tibyān fī š.-il qāmūs-il mala’ān min-al jumān</w:t>
      </w:r>
    </w:p>
    <w:p>
      <w:pPr>
        <w:pStyle w:val="BookText"/>
      </w:pPr>
      <w:r>
        <w:rPr>
          <w:rFonts w:ascii="IRNazanin" w:hAnsi="IRNazanin" w:eastAsia="IRNazanin" w:cs="IRNazanin"/>
          <w:lang w:bidi="fa-IR"/>
          <w:color w:val="111111"/>
          <w:sz w:val="28"/>
          <w:szCs w:val="28"/>
          <w:rtl/>
        </w:rPr>
        <w:t xml:space="preserve">قزوینی، محمد یحیی بن محمد شفیع، ق ۱۲ قمری</w:t>
      </w:r>
    </w:p>
    <w:p>
      <w:pPr>
        <w:pStyle w:val="BookText"/>
      </w:pPr>
      <w:r>
        <w:rPr>
          <w:rFonts w:ascii="Times New Roman" w:hAnsi="Times New Roman" w:eastAsia="Times New Roman" w:cs="Times New Roman"/>
          <w:lang w:val="en-US" w:bidi="en-US"/>
          <w:color w:val="111111"/>
          <w:sz w:val="28"/>
          <w:szCs w:val="28"/>
          <w:rtl/>
        </w:rPr>
        <w:t xml:space="preserve">qazvīnī, mohammad yahyā ben mohammad šafi* (-18c)</w:t>
      </w:r>
    </w:p>
    <w:p>
      <w:pPr>
        <w:pStyle w:val="BookText"/>
      </w:pPr>
      <w:r>
        <w:rPr>
          <w:rFonts w:ascii="IRNazanin" w:hAnsi="IRNazanin" w:eastAsia="IRNazanin" w:cs="IRNazanin"/>
          <w:lang w:bidi="fa-IR"/>
          <w:color w:val="111111"/>
          <w:sz w:val="28"/>
          <w:szCs w:val="28"/>
          <w:rtl/>
        </w:rPr>
        <w:t xml:space="preserve">وابسته به: القاموس المحيط = قاموس اللغة = قاموس المحيط و القابوس الوسيط = الجامع لما ذهب من كلام العرب شماطيط؛ فیروزآبادی، محمد بن يعقوب (۷۲۹-۸۱۷) شرح بسیار مفصل «قاموس اللغة» نگاشته فیروزآبادی (۸۱۷ق) که در آن ابتدا مفردات لغات آورده شده و شرح و توضیح مبسوطی از آنها که گاهی به چند سطر می رسد به دنبال آن ذکر گردیده است، در بسیاری جاها عنوان «بحث، بحث» و «دفع بحث، دفع بحث مع بحث» و ... مطرح کرده و به تشریح گسترده
</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bookmarkStart w:id="678" w:name="pg20363_210030"/>
    <w:bookmarkEnd w:id="678"/>
    <w:p>
      <w:pPr>
        <w:pStyle w:val="BookText"/>
      </w:pPr>
      <w:r>
        <w:rPr>
          <w:rFonts w:ascii="IRNazanin" w:hAnsi="IRNazanin" w:eastAsia="IRNazanin" w:cs="IRNazanin"/>
          <w:lang w:bidi="fa-IR"/>
          <w:color w:val="111111"/>
          <w:sz w:val="28"/>
          <w:szCs w:val="28"/>
          <w:rtl/>
        </w:rPr>
        <w:t xml:space="preserve">معانی آن لغات پرداخته است، در «الذريعة» کتابی به نام ترجمان اللغة» در شرح قاموس به زبان فارسی به مؤلف نسبت داده ولی از این کتاب نامی برده نشده است.</w:t>
      </w:r>
    </w:p>
    <w:p>
      <w:pPr>
        <w:pStyle w:val="BookText"/>
      </w:pPr>
      <w:r>
        <w:rPr>
          <w:rFonts w:ascii="IRNazanin" w:hAnsi="IRNazanin" w:eastAsia="IRNazanin" w:cs="IRNazanin"/>
          <w:lang w:bidi="fa-IR"/>
          <w:color w:val="111111"/>
          <w:sz w:val="28"/>
          <w:szCs w:val="28"/>
          <w:rtl/>
        </w:rPr>
        <w:t xml:space="preserve">مراغه؛ عمومی؛ شماره نسخه:۱۳۸</w:t>
      </w:r>
    </w:p>
    <w:p>
      <w:pPr>
        <w:pStyle w:val="BookText"/>
      </w:pPr>
      <w:r>
        <w:rPr>
          <w:rFonts w:ascii="IRNazanin" w:hAnsi="IRNazanin" w:eastAsia="IRNazanin" w:cs="IRNazanin"/>
          <w:lang w:bidi="fa-IR"/>
          <w:color w:val="111111"/>
          <w:sz w:val="28"/>
          <w:szCs w:val="28"/>
          <w:rtl/>
        </w:rPr>
        <w:t xml:space="preserve">آغاز: بسمله باب العین، فصل الهمزه، اثيع كزبیر شاعر من همدان و زید بن اثيع كزبير و يثيع بالياء بدل الهمزه روى الحديث عن علی بن ابیطالب ازيع كزير من الاعلام و اصله و زیع؛ انجام: و فقني لاتمام کتاب التبيان في شرح القاموس الملان من الجمان و القاموس المملی باللولو و المرجان تعريف على به گفتگو ممکن نیست *** گنجیدن بحر در سبو ممکن نیست / من ذات علی به واجبی نشناسم *** اما دانم که مثل او ممکن نیست.</w:t>
      </w:r>
    </w:p>
    <w:p>
      <w:pPr>
        <w:pStyle w:val="BookText"/>
      </w:pPr>
      <w:r>
        <w:rPr>
          <w:rFonts w:ascii="IRNazanin" w:hAnsi="IRNazanin" w:eastAsia="IRNazanin" w:cs="IRNazanin"/>
          <w:lang w:bidi="fa-IR"/>
          <w:color w:val="111111"/>
          <w:sz w:val="28"/>
          <w:szCs w:val="28"/>
          <w:rtl/>
        </w:rPr>
        <w:t xml:space="preserve">جلد دوم، از باب العين تا آخر باب الياء؛ خط: نستعلیق شکسته، كاتب = مؤلف، تا: شهر الله الأصم ۱۱۲۱ق، جا: اصفهان؛ مصحح، محشى؛ تملکی به این عبارت: «این نسخه شرح قاموس به خط شارح مرحوم مغفور میرزا یحیی قزوینی را که في الحقيقة در نزد اولی الالباب و الافهام کمتر از متن نیست و شارح نور رمسه تحقيقات دقیقه فرموده اند، جناب عالیجاه معلی جایگاه مخدوم الأنامی محمد خان سعدلو به این ذره بیمقدار بخشیده اند»؛ جلد: تیماج سیاه، ۳۹۷گ، ۲۲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۱۹]</w:t>
      </w:r>
    </w:p>
    <w:p>
      <w:pPr>
        <w:pStyle w:val="Heading3"/>
      </w:pPr>
      <w:bookmarkStart w:id="2965" w:name="_Toc2225"/>
      <w:r>
        <w:t>• التبيان في شرح زبدة الأصول / اصول فقه / عربی</w:t>
      </w:r>
      <w:bookmarkEnd w:id="2965"/>
    </w:p>
    <w:p>
      <w:pPr>
        <w:pStyle w:val="BookText"/>
      </w:pPr>
      <w:r>
        <w:rPr>
          <w:rFonts w:ascii="Times New Roman" w:hAnsi="Times New Roman" w:eastAsia="Times New Roman" w:cs="Times New Roman"/>
          <w:lang w:val="en-US" w:bidi="en-US"/>
          <w:color w:val="111111"/>
          <w:sz w:val="28"/>
          <w:szCs w:val="28"/>
          <w:rtl/>
        </w:rPr>
        <w:t xml:space="preserve">at-tibyān fī š.-i zubdat-il usūl</w:t>
      </w:r>
    </w:p>
    <w:p>
      <w:pPr>
        <w:pStyle w:val="BookText"/>
      </w:pPr>
      <w:r>
        <w:rPr>
          <w:rFonts w:ascii="IRNazanin" w:hAnsi="IRNazanin" w:eastAsia="IRNazanin" w:cs="IRNazanin"/>
          <w:lang w:bidi="fa-IR"/>
          <w:color w:val="111111"/>
          <w:sz w:val="28"/>
          <w:szCs w:val="28"/>
          <w:rtl/>
        </w:rPr>
        <w:t xml:space="preserve">کاشانی، مرتضی بن محمد مؤمن،-۱۰۸۳۴ قمری</w:t>
      </w:r>
    </w:p>
    <w:p>
      <w:pPr>
        <w:pStyle w:val="BookText"/>
      </w:pPr>
      <w:r>
        <w:rPr>
          <w:rFonts w:ascii="Times New Roman" w:hAnsi="Times New Roman" w:eastAsia="Times New Roman" w:cs="Times New Roman"/>
          <w:lang w:val="en-US" w:bidi="en-US"/>
          <w:color w:val="111111"/>
          <w:sz w:val="28"/>
          <w:szCs w:val="28"/>
          <w:rtl/>
        </w:rPr>
        <w:t xml:space="preserve">kāšānī, mortazā ben mohammad mo’men (-1673)</w:t>
      </w:r>
    </w:p>
    <w:p>
      <w:pPr>
        <w:pStyle w:val="BookText"/>
      </w:pPr>
      <w:r>
        <w:rPr>
          <w:rFonts w:ascii="IRNazanin" w:hAnsi="IRNazanin" w:eastAsia="IRNazanin" w:cs="IRNazanin"/>
          <w:lang w:bidi="fa-IR"/>
          <w:color w:val="111111"/>
          <w:sz w:val="28"/>
          <w:szCs w:val="28"/>
          <w:rtl/>
        </w:rPr>
        <w:t xml:space="preserve">وابسته به: زبدة الاصول؛ شیخ بهائی، محمد بن حسین (۹۵۳ )</w:t>
      </w:r>
    </w:p>
    <w:p>
      <w:pPr>
        <w:pStyle w:val="BookText"/>
      </w:pPr>
      <w:r>
        <w:rPr>
          <w:rFonts w:ascii="IRNazanin" w:hAnsi="IRNazanin" w:eastAsia="IRNazanin" w:cs="IRNazanin"/>
          <w:lang w:bidi="fa-IR"/>
          <w:color w:val="111111"/>
          <w:sz w:val="28"/>
          <w:szCs w:val="28"/>
          <w:rtl/>
        </w:rPr>
        <w:t xml:space="preserve">شرحی است بر «زبدة الاصول» شیخ بهائی با عناوین «قال -اقول» که نخستین تأليف او در جوانی است. آغاز: زبدة الأصول و خير الكلام حمدالله الملک العلام المفضل النوع الانسان على غيره من الوحوش و الأنعام المتفضل على عباده بانواع الأنعام المتطول عليهم انجام: فاذا عرفت الترجيحات في الدلايل فاعلم أنه قد يتركب المرجحات بعضها مع بعض مثنى وثلاث ورباع فصاعدا ويحصل اعداد لايكاد ينحصر فاتبع من هذه الترجيحات ما يكون والزم ما هو اقرب الى التقوى وفيما ذكرناه كفاية انشاء الله انتهى كلام المصنف طاب مرقده فلنقطع الكلام</w:t>
      </w:r>
    </w:p>
    <w:p>
      <w:pPr>
        <w:pStyle w:val="BookText"/>
      </w:pPr>
      <w:r>
        <w:rPr>
          <w:rFonts w:ascii="IRNazanin" w:hAnsi="IRNazanin" w:eastAsia="IRNazanin" w:cs="IRNazanin"/>
          <w:lang w:bidi="fa-IR"/>
          <w:color w:val="111111"/>
          <w:sz w:val="28"/>
          <w:szCs w:val="28"/>
          <w:rtl/>
        </w:rPr>
        <w:t xml:space="preserve">[الذريعة ۳۰۱/۱۳ و ۱۵۶/۱ و ۲۵۰/۱ ؛ دنا ۷۸۰/۲ ؛ مستدرک الذريعة ۱۵۰]</w:t>
      </w:r>
    </w:p>
    <w:p>
      <w:pPr>
        <w:pStyle w:val="BookText"/>
      </w:pPr>
      <w:r>
        <w:rPr>
          <w:rFonts w:ascii="IRNazanin" w:hAnsi="IRNazanin" w:eastAsia="IRNazanin" w:cs="IRNazanin"/>
          <w:lang w:bidi="fa-IR"/>
          <w:color w:val="111111"/>
          <w:sz w:val="28"/>
          <w:szCs w:val="28"/>
          <w:rtl/>
        </w:rPr>
        <w:t xml:space="preserve">۱. قم: مرعشی؛ شماره نسخه:۱۳۴۸۴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کا: محمد جعفر بن حاجی ... تبریزی، تا: ۱۰</w:t>
      </w:r>
    </w:p>
    <w:p>
      <w:pPr>
        <w:pStyle w:val="BookText"/>
      </w:pPr>
      <w:r>
        <w:rPr>
          <w:rFonts w:ascii="IRNazanin" w:hAnsi="IRNazanin" w:eastAsia="IRNazanin" w:cs="IRNazanin"/>
          <w:lang w:bidi="fa-IR"/>
          <w:color w:val="111111"/>
          <w:sz w:val="28"/>
          <w:szCs w:val="28"/>
          <w:rtl/>
        </w:rPr>
        <w:t xml:space="preserve">رجب ۱۰۷۸ق؛ مصحح؛ مهر: «عبده محمد بن ...» (بیضی)؛ کاغذ: فرنگی، جلد: تیماج زرشکی با ترنج و سرترنج، ۱۲۴گ، ۲۰سطر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۳۴-۲۱۲]</w:t>
      </w:r>
    </w:p>
    <w:p>
      <w:pPr>
        <w:pStyle w:val="BookText"/>
      </w:pPr>
      <w:r>
        <w:rPr>
          <w:rFonts w:ascii="IRNazanin" w:hAnsi="IRNazanin" w:eastAsia="IRNazanin" w:cs="IRNazanin"/>
          <w:lang w:bidi="fa-IR"/>
          <w:color w:val="111111"/>
          <w:sz w:val="28"/>
          <w:szCs w:val="28"/>
          <w:rtl/>
        </w:rPr>
        <w:t xml:space="preserve">۲. قم؛ مسجد اعظم؛ شماره نسخه:۸۴۵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جعفر بن حاجی آخیجان تبریزی، تا: رجب ۱۰۷۸ق؛ مصحح، محشی با امضای «منه»؛ مهر: «عبده محمد محسن الحسینی» (بیضوی)؛ یادداشت تملک به تاریخ ۱۲۲۳ ق؛ جلد: گالینگور سبز، عطف تیماج زرشکی، ۱۸۲ گ، مختلف السطر،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مخ: ۱-۳۲۱]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تهران؛ الهيات؛ شماره نسخه:۱۷۶</w:t>
      </w:r>
    </w:p>
    <w:p>
      <w:pPr>
        <w:pStyle w:val="BookText"/>
      </w:pPr>
      <w:r>
        <w:rPr>
          <w:rFonts w:ascii="IRNazanin" w:hAnsi="IRNazanin" w:eastAsia="IRNazanin" w:cs="IRNazanin"/>
          <w:lang w:bidi="fa-IR"/>
          <w:color w:val="111111"/>
          <w:sz w:val="28"/>
          <w:szCs w:val="28"/>
          <w:rtl/>
        </w:rPr>
        <w:t xml:space="preserve">آغاز: برابر؛ انجام: قال و اما الخارج فالمعتضد ... اقول و اما الترجيح بحسب الخارج فمن وجوه ايضا ... لم يذكره بسبب وروده لانه يدل على زيادة اهتمام به خط: نسخ، بی کا، تا: قرن ۱۳؛ محشی به نشان «ح في ل، منه، کنز، ق»؛ کاغذ: فرنگی، ۱۵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w:t>
      </w:r>
    </w:p>
    <w:p>
      <w:pPr>
        <w:pStyle w:val="BookText"/>
      </w:pPr>
      <w:r>
        <w:rPr>
          <w:rFonts w:ascii="IRNazanin" w:hAnsi="IRNazanin" w:eastAsia="IRNazanin" w:cs="IRNazanin"/>
          <w:lang w:bidi="fa-IR"/>
          <w:color w:val="111111"/>
          <w:sz w:val="28"/>
          <w:szCs w:val="28"/>
          <w:rtl/>
        </w:rPr>
        <w:t xml:space="preserve">) [ف: ۷۵۳]</w:t>
      </w:r>
    </w:p>
    <w:p>
      <w:pPr>
        <w:pStyle w:val="BookText"/>
      </w:pPr>
      <w:r>
        <w:rPr>
          <w:rFonts w:ascii="IRNazanin" w:hAnsi="IRNazanin" w:eastAsia="IRNazanin" w:cs="IRNazanin"/>
          <w:lang w:bidi="fa-IR"/>
          <w:color w:val="111111"/>
          <w:sz w:val="28"/>
          <w:szCs w:val="28"/>
          <w:rtl/>
        </w:rPr>
        <w:t xml:space="preserve">۴. قم؛ مرعشی؛ شماره نسخه:۱۳۴۳۷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خلیل هزار جریبی، تا: ۳ صفر ۱۲۱۶ق، جان کاشان؛ این نسخه از روی نسخه ای به خط جمال الدین اسحاق بن محمد علم الهدی إبن فیض کاشانی مورخ ۲۳ جمادی الاولی سال ۱۱۱۰ق کتابت شده؛ مصحح، محشی؛ کاغذ: فرنگی، جلد: مشمعی زرشکی عطف زرکوب، ۱۵۸گ، ۱۵-۲۰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۳۴-۱۰۷]</w:t>
      </w:r>
    </w:p>
    <w:p>
      <w:pPr>
        <w:pStyle w:val="BookText"/>
      </w:pPr>
      <w:r>
        <w:rPr>
          <w:rFonts w:ascii="IRNazanin" w:hAnsi="IRNazanin" w:eastAsia="IRNazanin" w:cs="IRNazanin"/>
          <w:lang w:bidi="fa-IR"/>
          <w:color w:val="111111"/>
          <w:sz w:val="28"/>
          <w:szCs w:val="28"/>
          <w:rtl/>
        </w:rPr>
        <w:t xml:space="preserve">۵. مشهد؛ رضوی؛ شماره نسخه:۱۴۷۵۸</w:t>
      </w:r>
    </w:p>
    <w:p>
      <w:pPr>
        <w:pStyle w:val="BookText"/>
      </w:pPr>
      <w:r>
        <w:rPr>
          <w:rFonts w:ascii="IRNazanin" w:hAnsi="IRNazanin" w:eastAsia="IRNazanin" w:cs="IRNazanin"/>
          <w:lang w:bidi="fa-IR"/>
          <w:color w:val="111111"/>
          <w:sz w:val="28"/>
          <w:szCs w:val="28"/>
          <w:rtl/>
        </w:rPr>
        <w:t xml:space="preserve">آغاز و انجام: برابر خط: نسخ، كا: ابوطالب موسی خوانساری، تا: چهارشنبه ۱۱ صفر ۱۲۷۷ق، جان بروجرد؛ واقف: سید محمد باقر سبزواری، محرم ۱۴۰۵؛ کاغذ: آهاری شکری، جلد: تیماج ضربی خرمایی، ۱۴۲گ،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۸سم [ف: ۱۶-۵۸]</w:t>
      </w:r>
    </w:p>
    <w:p>
      <w:pPr>
        <w:pStyle w:val="BookText"/>
      </w:pPr>
      <w:r>
        <w:rPr>
          <w:rFonts w:ascii="IRNazanin" w:hAnsi="IRNazanin" w:eastAsia="IRNazanin" w:cs="IRNazanin"/>
          <w:lang w:bidi="fa-IR"/>
          <w:color w:val="111111"/>
          <w:sz w:val="28"/>
          <w:szCs w:val="28"/>
          <w:rtl/>
        </w:rPr>
        <w:t xml:space="preserve">۶. قم؛ مرعشی؛ شماره نسخه:بدون شماره</w:t>
      </w:r>
    </w:p>
    <w:p>
      <w:pPr>
        <w:pStyle w:val="BookText"/>
      </w:pPr>
      <w:r>
        <w:rPr>
          <w:rFonts w:ascii="IRNazanin" w:hAnsi="IRNazanin" w:eastAsia="IRNazanin" w:cs="IRNazanin"/>
          <w:lang w:bidi="fa-IR"/>
          <w:color w:val="111111"/>
          <w:sz w:val="28"/>
          <w:szCs w:val="28"/>
          <w:rtl/>
        </w:rPr>
        <w:t xml:space="preserve">بی کا، بی تا [میراث شهاب: س ۴ش ۲-۹۳]</w:t>
      </w:r>
    </w:p>
    <w:p>
      <w:pPr>
        <w:pStyle w:val="BookText"/>
      </w:pPr>
      <w:r>
        <w:rPr>
          <w:rFonts w:ascii="IRNazanin" w:hAnsi="IRNazanin" w:eastAsia="IRNazanin" w:cs="IRNazanin"/>
          <w:lang w:bidi="fa-IR"/>
          <w:color w:val="111111"/>
          <w:sz w:val="28"/>
          <w:szCs w:val="28"/>
          <w:rtl/>
        </w:rPr>
        <w:t xml:space="preserve">۷. همدان؛ مدرسه غرب؛ شماره نسخه: ۴۹۴/۲</w:t>
      </w:r>
    </w:p>
    <w:p>
      <w:pPr>
        <w:pStyle w:val="BookText"/>
      </w:pPr>
      <w:r>
        <w:rPr>
          <w:rFonts w:ascii="IRNazanin" w:hAnsi="IRNazanin" w:eastAsia="IRNazanin" w:cs="IRNazanin"/>
          <w:lang w:bidi="fa-IR"/>
          <w:color w:val="111111"/>
          <w:sz w:val="28"/>
          <w:szCs w:val="28"/>
          <w:rtl/>
        </w:rPr>
        <w:t xml:space="preserve">خط: نسخ، بی کا، بی تا؛ قطع: خشتی [رشت و همدان: ف: ۱۴۱۳]</w:t>
      </w:r>
    </w:p>
    <w:p>
      <w:pPr>
        <w:pStyle w:val="BookText"/>
      </w:pPr>
      <w:r>
        <w:rPr>
          <w:rFonts w:ascii="IRNazanin" w:hAnsi="IRNazanin" w:eastAsia="IRNazanin" w:cs="IRNazanin"/>
          <w:lang w:bidi="fa-IR"/>
          <w:color w:val="111111"/>
          <w:sz w:val="28"/>
          <w:szCs w:val="28"/>
          <w:rtl/>
        </w:rPr>
        <w:t xml:space="preserve">۸. قم: مرکز مطالعات؛ شماره نسخه:۵۸۴</w:t>
      </w:r>
    </w:p>
    <w:p>
      <w:pPr>
        <w:pStyle w:val="BookText"/>
      </w:pPr>
      <w:r>
        <w:rPr>
          <w:rFonts w:ascii="IRNazanin" w:hAnsi="IRNazanin" w:eastAsia="IRNazanin" w:cs="IRNazanin"/>
          <w:lang w:bidi="fa-IR"/>
          <w:color w:val="111111"/>
          <w:sz w:val="28"/>
          <w:szCs w:val="28"/>
          <w:rtl/>
        </w:rPr>
        <w:t xml:space="preserve">آغاز: برابر؛ انجام: الثالث ترجيح الخبر المتضمن لدرء الحد و نفيه على الخبر الموجب لثبوته لأن الحد ضرر فيكون مشروعيته على خلاف الأصل لقوله خط: نستعلیق خوانا، بی کا، بی تا، افتادگی: انجام؛ مصحح، محشی به امضای «منه» و «عصری»؛ اهدایی: جواد کمالیان؛ جلد: تیماج، قهوه ای، ۱۳۶گ، ۱۵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۱-۴۹۹]</w:t>
      </w:r>
    </w:p>
    <w:p>
      <w:pPr>
        <w:pStyle w:val="Heading3"/>
      </w:pPr>
      <w:bookmarkStart w:id="2966" w:name="_Toc2226"/>
      <w:r>
        <w:t>•التبيان في علم البيان المطلع على اعجاز القرآن /</w:t>
      </w:r>
      <w:bookmarkEnd w:id="2966"/>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bookmarkStart w:id="679" w:name="pg20363_210031"/>
    <w:bookmarkEnd w:id="679"/>
    <w:p>
      <w:pPr>
        <w:pStyle w:val="Heading3"/>
      </w:pPr>
      <w:bookmarkStart w:id="2967" w:name="_Toc2227"/>
      <w:r>
        <w:t>•معانی بیان، علوم قرآن / عربی</w:t>
      </w:r>
      <w:bookmarkEnd w:id="2967"/>
    </w:p>
    <w:p>
      <w:pPr>
        <w:pStyle w:val="BookText"/>
      </w:pPr>
      <w:r>
        <w:rPr>
          <w:rFonts w:ascii="Times New Roman" w:hAnsi="Times New Roman" w:eastAsia="Times New Roman" w:cs="Times New Roman"/>
          <w:lang w:val="en-US" w:bidi="en-US"/>
          <w:color w:val="111111"/>
          <w:sz w:val="28"/>
          <w:szCs w:val="28"/>
          <w:rtl/>
        </w:rPr>
        <w:t xml:space="preserve">at-tibyān fi ‘ilm-il bayān-il mațla' 'alā i'jāz-il qur'ān</w:t>
      </w:r>
    </w:p>
    <w:p>
      <w:pPr>
        <w:pStyle w:val="BookText"/>
      </w:pPr>
      <w:r>
        <w:rPr>
          <w:rFonts w:ascii="IRNazanin" w:hAnsi="IRNazanin" w:eastAsia="IRNazanin" w:cs="IRNazanin"/>
          <w:lang w:bidi="fa-IR"/>
          <w:color w:val="111111"/>
          <w:sz w:val="28"/>
          <w:szCs w:val="28"/>
          <w:rtl/>
        </w:rPr>
        <w:t xml:space="preserve">زملكانی، عبدالواحد بن عبد الكريم، -۶۵۱ قمری</w:t>
      </w:r>
    </w:p>
    <w:p>
      <w:pPr>
        <w:pStyle w:val="BookText"/>
      </w:pPr>
      <w:r>
        <w:rPr>
          <w:rFonts w:ascii="Times New Roman" w:hAnsi="Times New Roman" w:eastAsia="Times New Roman" w:cs="Times New Roman"/>
          <w:lang w:val="en-US" w:bidi="en-US"/>
          <w:color w:val="111111"/>
          <w:sz w:val="28"/>
          <w:szCs w:val="28"/>
          <w:rtl/>
        </w:rPr>
        <w:t xml:space="preserve">zamlakānī, 'abd-ol-vāhed ebn-e 'abd-ol-karīm (-1254)</w:t>
      </w:r>
    </w:p>
    <w:p>
      <w:pPr>
        <w:pStyle w:val="BookText"/>
      </w:pPr>
      <w:r>
        <w:rPr>
          <w:rFonts w:ascii="IRNazanin" w:hAnsi="IRNazanin" w:eastAsia="IRNazanin" w:cs="IRNazanin"/>
          <w:lang w:bidi="fa-IR"/>
          <w:color w:val="111111"/>
          <w:sz w:val="28"/>
          <w:szCs w:val="28"/>
          <w:rtl/>
        </w:rPr>
        <w:t xml:space="preserve">تمام مباحث علوم معانی و بیان و بدیع را با عناوین «سوابق» و مقاصد» و «لواحق» مورد بررسی قرار داده است: السوابق: در سه مقدمه: ۱) فضل علم البيان، ۲) بيان حصر مواقع الغلط في اللفظ، 3) طريق تحصيله، المقاصد: در سه «رکن»: ۱) الدلالات الأفرادیت، در سه باب، ۲) مراعات احوال التأليف، 3) معرفة احوال اللفظ و اسماء اصنافه في علم البديع؛ اللواحق: في بيان الجهة التي تحصل بها البلاغة و الاعجاز في القرآن. آغاز: بسمله، الحمدلله الذي انطق السنة الأقلام باحكام الاحکام -و لم اجد من المصنفات فيه الا القليل مع انها مشحونة بالقال و القيل و اجمعها كتاب دلائل الاعجاز – فانه جمع فاوعى غير أنه واسع الخطو كثير اما يكرر الضبط فقيد للتبويب طريد من الترتيب و قد سهل الله جمع مقاصده و قواعده و ضبط جوامحه و شوارده مع فرائد سمح بها الخاطر و زوائد نقلت من الكتب و الدفاتر هذا وان تاليفه وقع في ايام قلائل و قد رتبته على سوابق و مقاصد و الو احقا انجام: و قد اطلعتك بهذا الكتاب على ریاض كنت عنها في عميا و عن طلابها في خبط عشواء فان حدثک نفسك إلى مراجعته - اراک الحق جليا بعد ما كان عنك خفيا و انجلى عن صدی الشك و الارتياب و علمت من اين يقتبس الصواب و ان لا يظفر به الا طبعا سليما و خاطرا مستقیما انه سميع النداء مجيب الدعاء بمحمد و آله الاصفياء البررة الاتقیاء و اماتنا على محبتهم انه على ذلک قدیر بالاجابة جدير و هو حسبنا و نعم الوكيل. چاپ: تحقیق احمد مطلوب و خديجة الحدیثی، بغداد، الطبعة الاولی، ۱۹۶۴م، ۲۵۶ص</w:t>
      </w:r>
    </w:p>
    <w:p>
      <w:pPr>
        <w:pStyle w:val="BookText"/>
      </w:pPr>
      <w:r>
        <w:rPr>
          <w:rFonts w:ascii="IRNazanin" w:hAnsi="IRNazanin" w:eastAsia="IRNazanin" w:cs="IRNazanin"/>
          <w:lang w:bidi="fa-IR"/>
          <w:color w:val="111111"/>
          <w:sz w:val="28"/>
          <w:szCs w:val="28"/>
          <w:rtl/>
        </w:rPr>
        <w:t xml:space="preserve">[دنا ۷۸۰/۲ ؛ بروکلمان ۱ ص ۵۲۸ و ذیل یکم: ۷۳۶؛ قاهره ۱۸۱/۲ ؛ معجم المؤلفين ۲۰۹۶]</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١- المجيد في اعجاز القران المجيد؛ زملكانی، عبدالواحد بن عبدالكريم (-۶۵۱)</w:t>
      </w:r>
    </w:p>
    <w:p>
      <w:pPr>
        <w:pStyle w:val="BookText"/>
      </w:pPr>
      <w:r>
        <w:rPr>
          <w:rFonts w:ascii="IRNazanin" w:hAnsi="IRNazanin" w:eastAsia="IRNazanin" w:cs="IRNazanin"/>
          <w:lang w:bidi="fa-IR"/>
          <w:color w:val="111111"/>
          <w:sz w:val="28"/>
          <w:szCs w:val="28"/>
          <w:rtl/>
        </w:rPr>
        <w:t xml:space="preserve">۱. تهران؛ ملی؛ شماره نسخه: ۲۲۸۰</w:t>
      </w:r>
    </w:p>
    <w:p>
      <w:pPr>
        <w:pStyle w:val="BookText"/>
      </w:pPr>
      <w:r>
        <w:rPr>
          <w:rFonts w:ascii="IRNazanin" w:hAnsi="IRNazanin" w:eastAsia="IRNazanin" w:cs="IRNazanin"/>
          <w:lang w:bidi="fa-IR"/>
          <w:color w:val="111111"/>
          <w:sz w:val="28"/>
          <w:szCs w:val="28"/>
          <w:rtl/>
        </w:rPr>
        <w:t xml:space="preserve">آغاز: و من عجب شمس تظللني من الشمس ... و اجيب عن الأول أن إدعا الاسدية ... و عن الثاني أن لفظ الأسد لو كان تبعا لتلك الصفة لم يكن ابين ... وعن الثالث بان التعجب ... فان قيل: الاصرار على ادعاء الاسدية ينافی نصب القرينة (گ 1ر) ... قال البحتری: اذا سفرت اضاءت شمس دجن و مالت في التعطف غصن بان فان قوله شمس دجن و غصن بان تشبیهات لو نصبا، و لو رفعا كما يقال اذا سفرت أضاءت شمس دجن ...قال أبو الطيب: لما غدا مظلم الاحشاء من اشر *** أسكنت جانحتيه كوكبا يقد ... ثم الجامع في الاستعارة إما أمر واحدا و في حكمه، و الاول يتنوع الاستعارة فيه الى أصلية و تبعية (گ1ر) ... و القسم الثاني من الاستعارة التمثيلية (گ7ر) و اعلم أن الشيخ نظم هذا المجاز في سلك الاستعارة (گ ۱۷ر) ... كناية عن ذات من شبه به على نحو مثلك يجود بسم الله الرحمان الرحيم و به التوفيق. (گ ۲۸پ) علم البديع هو معرفة وجوه تحسين الكلام، و التحسين اما راجع الى المعنی اوالى اللفظ او اليهما جميعا و البحث عن القسم الثاني وظيفة الفصاحة و عن الأول و الثالث وظيفة البلاغة، فهاهنا بابان الباب الأول التحسين الراجع الى المعنى وهو انواع (گ ۲۹ر)؛ انجام: عليه صلوات أطيبها يبقى بقاء نعیم غير منصرم. ختم الكتاب ختام مسک كما ختم بختام خاتم النبيين صلى الله عليه و سلم و آله الطيبين في رابع من شوال سنة خمس و عشرین و سبعماءة و الحمدلله وحده. قد تم تعليقه على يد العبد المذنب محسن بن أبي القاسم جعل الله احواله بالسداد و الصلاح في رابع من شوال من سنة ستين و سبعماءة ... و مصليا على نبيه محمد و آله و عترته الطيبين الطاهرين انجام نسخه با کتاب «التبيان في المعانی و البيان» حسین بن عبدالله طیبی منطبق است؛ خط: نسخ متوسط، كا: محسن بن ابی القاسم، تا: ۴ شوال ۷۶۰ق؛ افتادگی: آغاز؛ از روی نسخه ای که تاریخ ۷۲۵ داشته است؛ کاغذ: خانبالغ نخودی کلفت، جلد: مقوایی رویه تیماج قهوه ای، ۱۵۰گ، ۱۵ سطر [ف: ۱۱-۷۰۴]</w:t>
      </w:r>
    </w:p>
    <w:p>
      <w:pPr>
        <w:pStyle w:val="BookText"/>
      </w:pPr>
      <w:r>
        <w:rPr>
          <w:rFonts w:ascii="IRNazanin" w:hAnsi="IRNazanin" w:eastAsia="IRNazanin" w:cs="IRNazanin"/>
          <w:lang w:bidi="fa-IR"/>
          <w:color w:val="111111"/>
          <w:sz w:val="28"/>
          <w:szCs w:val="28"/>
          <w:rtl/>
        </w:rPr>
        <w:t xml:space="preserve">۲. مشهد؛ رضوی؛ شماره نسخه:۴۰۴۰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چهارشنبه ۲۰ صفر ۷۷۷ق؛ واقف: فاضل خان، ۱۰۶۵ق؛ کاغذ: نخودی، جلد: تیماج قهوه ای، ۲۶گ، ۲۷ و ۲۹ 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۲۵-۲۴]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 ۲۰۵/۲ -طباطبائی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۱۲؛ تملك: میر احمد بن شیخ موسی بن شیخ جعفر بن شیخ خضر مورخ ۱۲۵۳؛ کاغذ: اصفهانی شکری آهار مهره، جلد: تیماج مشکی، ۳۵گ (۱۰۷پ-۱۴۱)، ۳۰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۲۲-۷۱]</w:t>
      </w:r>
    </w:p>
    <w:p>
      <w:pPr>
        <w:pStyle w:val="Heading3"/>
      </w:pPr>
      <w:bookmarkStart w:id="2968" w:name="_Toc2228"/>
      <w:r>
        <w:t>•التبيان في معاني القرآن / تفسير / عربی</w:t>
      </w:r>
      <w:bookmarkEnd w:id="2968"/>
    </w:p>
    <w:p>
      <w:pPr>
        <w:pStyle w:val="BookText"/>
      </w:pPr>
      <w:r>
        <w:rPr>
          <w:rFonts w:ascii="Times New Roman" w:hAnsi="Times New Roman" w:eastAsia="Times New Roman" w:cs="Times New Roman"/>
          <w:lang w:val="en-US" w:bidi="en-US"/>
          <w:color w:val="111111"/>
          <w:sz w:val="28"/>
          <w:szCs w:val="28"/>
          <w:rtl/>
        </w:rPr>
        <w:t xml:space="preserve">at-tibyān fī ma‘āni-l qur'ān</w:t>
      </w:r>
    </w:p>
    <w:p>
      <w:pPr>
        <w:pStyle w:val="BookText"/>
      </w:pPr>
      <w:r>
        <w:rPr>
          <w:rFonts w:ascii="IRNazanin" w:hAnsi="IRNazanin" w:eastAsia="IRNazanin" w:cs="IRNazanin"/>
          <w:lang w:bidi="fa-IR"/>
          <w:color w:val="111111"/>
          <w:sz w:val="28"/>
          <w:szCs w:val="28"/>
          <w:rtl/>
        </w:rPr>
        <w:t xml:space="preserve">تفسیر بسیار مختصر لفظی است که بیشتر به معانی الفاظ و کیفیت قراءات اهمیت می دهد و مباحث دیگر را کمتر متعرض می شود. این کتاب «التبيان في اعراب القرآن» ابوالبقاء عكبري نیست. در کشف الظنون (۳۴۱/۱ ) چند کتاب را به نام «التبيان» راجع به قرآن یاد آور شده است، ولی چون نسخه حاضر از اول کتاب نیست شناخته نشد که از کیست و ما احتمال می دهیم که محمد بن محمد الحسینی (کاتب نسخه) مؤلف باشد زیرا در پایان جمله «کاتبه و مرتبه» را نوشته و در حواشی اضافات بسیاری دارد که عادت مؤلفين چنین کاری می کنند. (سید احمد
</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bookmarkStart w:id="680" w:name="pg20363_210032"/>
    <w:bookmarkEnd w:id="680"/>
    <w:p>
      <w:pPr>
        <w:pStyle w:val="BookText"/>
      </w:pPr>
      <w:r>
        <w:rPr>
          <w:rFonts w:ascii="IRNazanin" w:hAnsi="IRNazanin" w:eastAsia="IRNazanin" w:cs="IRNazanin"/>
          <w:lang w:bidi="fa-IR"/>
          <w:color w:val="111111"/>
          <w:sz w:val="28"/>
          <w:szCs w:val="28"/>
          <w:rtl/>
        </w:rPr>
        <w:t xml:space="preserve">اشکوری)</w:t>
      </w:r>
    </w:p>
    <w:p>
      <w:pPr>
        <w:pStyle w:val="BookText"/>
      </w:pPr>
      <w:r>
        <w:rPr>
          <w:rFonts w:ascii="IRNazanin" w:hAnsi="IRNazanin" w:eastAsia="IRNazanin" w:cs="IRNazanin"/>
          <w:lang w:bidi="fa-IR"/>
          <w:color w:val="111111"/>
          <w:sz w:val="28"/>
          <w:szCs w:val="28"/>
          <w:rtl/>
        </w:rPr>
        <w:t xml:space="preserve">قم؛ مرعشی؛ شماره نسخه:۱۱۴۳</w:t>
      </w:r>
    </w:p>
    <w:p>
      <w:pPr>
        <w:pStyle w:val="BookText"/>
      </w:pPr>
      <w:r>
        <w:rPr>
          <w:rFonts w:ascii="IRNazanin" w:hAnsi="IRNazanin" w:eastAsia="IRNazanin" w:cs="IRNazanin"/>
          <w:lang w:bidi="fa-IR"/>
          <w:color w:val="111111"/>
          <w:sz w:val="28"/>
          <w:szCs w:val="28"/>
          <w:rtl/>
        </w:rPr>
        <w:t xml:space="preserve">آغاز: كهيعص قرأ ابو عمرو بكسر الهاء و فتح الياء ضده ابن عامر و حمزه بكسرهما و ابوبکر الكسائي و الباقون بفتحهما؛ انجام: عن ابی هریره انه سمع النبي صلى الله عليه و سلم يقول ما أذن الله الشيء ما أذن لنبي حسن الصوت بالقرآن بحضرته قسمت دوم کتاب و از سوره مریم تا آخر قرآن است؛ خط: نسخ مایل به رقعی، کا: محمد بن محمد حسینی، تا: اواخر شعبان ۷۶۴ق؛ محشی؛ تملک: سید عبدالرحیم فیضی زاده به تاریخ ۲۰ شوال ۱۱۶۶؛ جلد: تیماج قهوه ای، ۳۱۹گ، ۱۹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۳-۳۱۷]</w:t>
      </w:r>
    </w:p>
    <w:p>
      <w:pPr>
        <w:pStyle w:val="BookText"/>
      </w:pPr>
      <w:r>
        <w:rPr>
          <w:rFonts w:ascii="IRNazanin" w:hAnsi="IRNazanin" w:eastAsia="IRNazanin" w:cs="IRNazanin"/>
          <w:lang w:bidi="fa-IR"/>
          <w:color w:val="111111"/>
          <w:sz w:val="28"/>
          <w:szCs w:val="28"/>
          <w:rtl/>
        </w:rPr>
        <w:t xml:space="preserve">تهران؛ دانشگاه؛ شماره نسخه:۳۰۶۶ف</w:t>
      </w:r>
    </w:p>
    <w:p>
      <w:pPr>
        <w:pStyle w:val="BookText"/>
      </w:pPr>
      <w:r>
        <w:rPr>
          <w:rFonts w:ascii="Amiri" w:hAnsi="Amiri" w:eastAsia="Amiri" w:cs="Amiri"/>
          <w:lang w:bidi="ar-SA"/>
          <w:color w:val="111111"/>
          <w:sz w:val="28"/>
          <w:szCs w:val="28"/>
          <w:rtl/>
        </w:rPr>
        <w:t xml:space="preserve">نسخه اصل: همان نسخه بالا [فيلمها ف: ۲-۵۹]</w:t>
      </w:r>
    </w:p>
    <w:p>
      <w:pPr>
        <w:pStyle w:val="Heading3"/>
      </w:pPr>
      <w:bookmarkStart w:id="2969" w:name="_Toc2229"/>
      <w:r>
        <w:t>•التبيان في المعانی و البيان / بلاغت / عربی</w:t>
      </w:r>
      <w:bookmarkEnd w:id="2969"/>
    </w:p>
    <w:p>
      <w:pPr>
        <w:pStyle w:val="BookText"/>
      </w:pPr>
      <w:r>
        <w:rPr>
          <w:rFonts w:ascii="Times New Roman" w:hAnsi="Times New Roman" w:eastAsia="Times New Roman" w:cs="Times New Roman"/>
          <w:lang w:val="en-US" w:bidi="en-US"/>
          <w:color w:val="111111"/>
          <w:sz w:val="28"/>
          <w:szCs w:val="28"/>
          <w:rtl/>
        </w:rPr>
        <w:t xml:space="preserve">at-tibyān fi-l ma‘ānī wa-l bayān</w:t>
      </w:r>
    </w:p>
    <w:p>
      <w:pPr>
        <w:pStyle w:val="BookText"/>
      </w:pPr>
      <w:r>
        <w:rPr>
          <w:rFonts w:ascii="IRNazanin" w:hAnsi="IRNazanin" w:eastAsia="IRNazanin" w:cs="IRNazanin"/>
          <w:lang w:bidi="fa-IR"/>
          <w:color w:val="111111"/>
          <w:sz w:val="28"/>
          <w:szCs w:val="28"/>
          <w:rtl/>
        </w:rPr>
        <w:t xml:space="preserve">طیبی، حسین بن محمد، -۷۴۳؟ قمری</w:t>
      </w:r>
    </w:p>
    <w:p>
      <w:pPr>
        <w:pStyle w:val="BookText"/>
      </w:pPr>
      <w:r>
        <w:rPr>
          <w:rFonts w:ascii="Times New Roman" w:hAnsi="Times New Roman" w:eastAsia="Times New Roman" w:cs="Times New Roman"/>
          <w:lang w:val="en-US" w:bidi="en-US"/>
          <w:color w:val="111111"/>
          <w:sz w:val="28"/>
          <w:szCs w:val="28"/>
          <w:rtl/>
        </w:rPr>
        <w:t xml:space="preserve">tībī, hoseyn ebn-e mohammad (-1343)</w:t>
      </w:r>
    </w:p>
    <w:p>
      <w:pPr>
        <w:pStyle w:val="BookText"/>
      </w:pPr>
      <w:r>
        <w:rPr>
          <w:rFonts w:ascii="IRNazanin" w:hAnsi="IRNazanin" w:eastAsia="IRNazanin" w:cs="IRNazanin"/>
          <w:lang w:bidi="fa-IR"/>
          <w:color w:val="111111"/>
          <w:sz w:val="28"/>
          <w:szCs w:val="28"/>
          <w:rtl/>
        </w:rPr>
        <w:t xml:space="preserve">تاریخ تأليف: قرن ۸ این کتاب، در دو فن بلاغت و فصاحت، تمام مباحث مربوط به علوم مبانی و بدیع را مورد بحث و تحقیق قرار داده است. به نوشته ابن عماد حنبلی، خود مؤلف شرحی بر آن نگاشته است.</w:t>
      </w:r>
    </w:p>
    <w:p>
      <w:pPr>
        <w:pStyle w:val="BookText"/>
      </w:pPr>
      <w:r>
        <w:rPr>
          <w:rFonts w:ascii="IRNazanin" w:hAnsi="IRNazanin" w:eastAsia="IRNazanin" w:cs="IRNazanin"/>
          <w:lang w:bidi="fa-IR"/>
          <w:color w:val="111111"/>
          <w:sz w:val="28"/>
          <w:szCs w:val="28"/>
          <w:rtl/>
        </w:rPr>
        <w:t xml:space="preserve">آغاز: بسمله، الحمد لله الذي اشرقت بسناء محامده في سماء المعانی من شموس البيان انجم و بدور انجام: ختم الكتاب ختام مسک كما ختم بختام خاتم النبيين صلوات الله وسلامه عليه و على آله و صحبه الطيبين الطاهرين.</w:t>
      </w:r>
    </w:p>
    <w:p>
      <w:pPr>
        <w:pStyle w:val="BookText"/>
      </w:pPr>
      <w:r>
        <w:rPr>
          <w:rFonts w:ascii="IRNazanin" w:hAnsi="IRNazanin" w:eastAsia="IRNazanin" w:cs="IRNazanin"/>
          <w:lang w:bidi="fa-IR"/>
          <w:color w:val="111111"/>
          <w:sz w:val="28"/>
          <w:szCs w:val="28"/>
          <w:rtl/>
        </w:rPr>
        <w:t xml:space="preserve">[دنا ۷۸۰/۲ (۲ نسخه)]</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مفاتیح الفتوح؛ علی بن عیسی (-۸) ۲- حدائق البيان في شرح التبیان؛ علی بن عیسی (-۸)</w:t>
      </w:r>
    </w:p>
    <w:p>
      <w:pPr>
        <w:pStyle w:val="BookText"/>
      </w:pPr>
      <w:r>
        <w:rPr>
          <w:rFonts w:ascii="IRNazanin" w:hAnsi="IRNazanin" w:eastAsia="IRNazanin" w:cs="IRNazanin"/>
          <w:lang w:bidi="fa-IR"/>
          <w:color w:val="111111"/>
          <w:sz w:val="28"/>
          <w:szCs w:val="28"/>
          <w:rtl/>
        </w:rPr>
        <w:t xml:space="preserve">١. مشهد؛ رضوی؛ شماره نسخه: ۴۰۴۱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حميد بن محمود بن احمد خوارزمی، تا: اواسط جمادی الثانی ۷۷۲ق، جان ملطيه؛ تملك: محمد بن سلار حنفی ماردینی در شوال ۸۲۹، عبدالله مشهور به حلیم زاده در غره ذیقعده ۱۰۸۷ در احمد آباد کجرات؛ واقف: فاضل خان، ۱۰۶۵ق؛ کاغذ: نخودی آهار مهره، جلد: تیماج عنابی با ترنج و سر ترنج، ۸۹گ، ۲۱ سطر،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۲۵-۲۳]</w:t>
      </w:r>
    </w:p>
    <w:p>
      <w:pPr>
        <w:pStyle w:val="BookText"/>
      </w:pPr>
      <w:r>
        <w:rPr>
          <w:rFonts w:ascii="IRNazanin" w:hAnsi="IRNazanin" w:eastAsia="IRNazanin" w:cs="IRNazanin"/>
          <w:lang w:bidi="fa-IR"/>
          <w:color w:val="111111"/>
          <w:sz w:val="28"/>
          <w:szCs w:val="28"/>
          <w:rtl/>
        </w:rPr>
        <w:t xml:space="preserve">۲. قم؛ مرعشی؛ شماره نسخه:۴۱۰۶</w:t>
      </w:r>
    </w:p>
    <w:p>
      <w:pPr>
        <w:pStyle w:val="BookText"/>
      </w:pPr>
      <w:r>
        <w:rPr>
          <w:rFonts w:ascii="IRNazanin" w:hAnsi="IRNazanin" w:eastAsia="IRNazanin" w:cs="IRNazanin"/>
          <w:lang w:bidi="fa-IR"/>
          <w:color w:val="111111"/>
          <w:sz w:val="28"/>
          <w:szCs w:val="28"/>
          <w:rtl/>
        </w:rPr>
        <w:t xml:space="preserve">آغاز: و تعزز عن التذييل و الصلاة و السلام على أفضل مبعوث من أكرم جرثومة؛ انجام: برابر نام مؤلف به قرینه انجام نسخه و همخوانی با نسخه آستان قدس ج ۲۳/۲۵</w:t>
      </w:r>
    </w:p>
    <w:p>
      <w:pPr>
        <w:pStyle w:val="BookText"/>
      </w:pPr>
      <w:r>
        <w:rPr>
          <w:rFonts w:ascii="IRNazanin" w:hAnsi="IRNazanin" w:eastAsia="IRNazanin" w:cs="IRNazanin"/>
          <w:lang w:bidi="fa-IR"/>
          <w:color w:val="111111"/>
          <w:sz w:val="28"/>
          <w:szCs w:val="28"/>
          <w:rtl/>
        </w:rPr>
        <w:t xml:space="preserve">تعیین شد؛ خط: نسخ، كا: محمد بن على بن الياس موغانی، تا اواسط ربیع الاول ۷۷۶ق؛ افتادگی: آغاز؛ مصحح، محشی، دارای علامت سماع؛ تملك: حيدر ابن طاهر حسینی و مهر «عبده حیدر الحسینی» (هشت گوش)؛ جلد: تیماج مشکی، ۲۲۷گ، ۱۳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سم [ف: ۱۱-۱۲۱]</w:t>
      </w:r>
    </w:p>
    <w:p>
      <w:pPr>
        <w:pStyle w:val="BookText"/>
      </w:pPr>
      <w:r>
        <w:rPr>
          <w:rFonts w:ascii="IRNazanin" w:hAnsi="IRNazanin" w:eastAsia="IRNazanin" w:cs="IRNazanin"/>
          <w:lang w:bidi="fa-IR"/>
          <w:color w:val="111111"/>
          <w:sz w:val="28"/>
          <w:szCs w:val="28"/>
          <w:rtl/>
        </w:rPr>
        <w:t xml:space="preserve">٣. مشهد؛ رضوی؛ شماره نسخه:۳۹۸۶</w:t>
      </w:r>
    </w:p>
    <w:p>
      <w:pPr>
        <w:pStyle w:val="BookText"/>
      </w:pPr>
      <w:r>
        <w:rPr>
          <w:rFonts w:ascii="IRNazanin" w:hAnsi="IRNazanin" w:eastAsia="IRNazanin" w:cs="IRNazanin"/>
          <w:lang w:bidi="fa-IR"/>
          <w:color w:val="111111"/>
          <w:sz w:val="28"/>
          <w:szCs w:val="28"/>
          <w:rtl/>
        </w:rPr>
        <w:t xml:space="preserve">آغاز: برابر؛ انجام: تبقتی بقانعیم غیر منصرف و العاقبة للمتقین</w:t>
      </w:r>
    </w:p>
    <w:p>
      <w:pPr>
        <w:pStyle w:val="BookText"/>
      </w:pPr>
      <w:r>
        <w:rPr>
          <w:rFonts w:ascii="IRNazanin" w:hAnsi="IRNazanin" w:eastAsia="IRNazanin" w:cs="IRNazanin"/>
          <w:lang w:bidi="fa-IR"/>
          <w:color w:val="111111"/>
          <w:sz w:val="28"/>
          <w:szCs w:val="28"/>
          <w:rtl/>
        </w:rPr>
        <w:t xml:space="preserve">خط: نسخ، بی کا، تا: قرن ۹، کاغذ: حنایی، جلد: تیماج، ۱۷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[رایانه]</w:t>
      </w:r>
    </w:p>
    <w:p>
      <w:pPr>
        <w:pStyle w:val="BookText"/>
      </w:pPr>
      <w:r>
        <w:rPr>
          <w:rFonts w:ascii="IRNazanin" w:hAnsi="IRNazanin" w:eastAsia="IRNazanin" w:cs="IRNazanin"/>
          <w:lang w:bidi="fa-IR"/>
          <w:color w:val="111111"/>
          <w:sz w:val="28"/>
          <w:szCs w:val="28"/>
          <w:rtl/>
        </w:rPr>
        <w:t xml:space="preserve">۴. مشهد؛ رضوی؛ شماره نسخه:۳۹۸۷۶</w:t>
      </w:r>
    </w:p>
    <w:p>
      <w:pPr>
        <w:pStyle w:val="BookText"/>
      </w:pPr>
      <w:r>
        <w:rPr>
          <w:rFonts w:ascii="Amiri" w:hAnsi="Amiri" w:eastAsia="Amiri" w:cs="Amiri"/>
          <w:lang w:bidi="ar-SA"/>
          <w:color w:val="111111"/>
          <w:sz w:val="28"/>
          <w:szCs w:val="28"/>
          <w:rtl/>
        </w:rPr>
        <w:t xml:space="preserve">آغاز: الرابع و العشرون و الانشا قوله أخبرني ظاهره امر؛ انجام: تقدير العزيز العليم</w:t>
      </w:r>
    </w:p>
    <w:p>
      <w:pPr>
        <w:pStyle w:val="BookText"/>
      </w:pPr>
      <w:r>
        <w:rPr>
          <w:rFonts w:ascii="IRNazanin" w:hAnsi="IRNazanin" w:eastAsia="IRNazanin" w:cs="IRNazanin"/>
          <w:lang w:bidi="fa-IR"/>
          <w:color w:val="111111"/>
          <w:sz w:val="28"/>
          <w:szCs w:val="28"/>
          <w:rtl/>
        </w:rPr>
        <w:t xml:space="preserve">خط: نسخ، بی کا، تا: قرن ۱۱؛ افتادگی: آغاز و انجام کاغذ: نخودی، جلد: پارچه ای، ۲۷ سطر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[رایانه ]</w:t>
      </w:r>
    </w:p>
    <w:p>
      <w:pPr>
        <w:pStyle w:val="BookText"/>
      </w:pPr>
      <w:r>
        <w:rPr>
          <w:rFonts w:ascii="IRNazanin" w:hAnsi="IRNazanin" w:eastAsia="IRNazanin" w:cs="IRNazanin"/>
          <w:lang w:bidi="fa-IR"/>
          <w:color w:val="111111"/>
          <w:sz w:val="28"/>
          <w:szCs w:val="28"/>
          <w:rtl/>
        </w:rPr>
        <w:t xml:space="preserve">۵. مشهد؛ رضوی؛ شماره نسخه:۳۹۸۷</w:t>
      </w:r>
    </w:p>
    <w:p>
      <w:pPr>
        <w:pStyle w:val="BookText"/>
      </w:pPr>
      <w:r>
        <w:rPr>
          <w:rFonts w:ascii="IRNazanin" w:hAnsi="IRNazanin" w:eastAsia="IRNazanin" w:cs="IRNazanin"/>
          <w:lang w:bidi="fa-IR"/>
          <w:color w:val="111111"/>
          <w:sz w:val="28"/>
          <w:szCs w:val="28"/>
          <w:rtl/>
        </w:rPr>
        <w:t xml:space="preserve">آغاز: الرابع و العشرون في الانشاء قوله أخبرني ظاهره امر؛ انجام: ذلك تقدير العزيز العليم خط: نسخ، بی کا، تا: قرن ۱۱؛ افتادگی: آغاز و انجام کاغذ: نخودی، جلد: پارچه ای، ۲۷ سطر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[رایانه ]</w:t>
      </w:r>
    </w:p>
    <w:p>
      <w:pPr>
        <w:pStyle w:val="BookText"/>
      </w:pPr>
      <w:r>
        <w:rPr>
          <w:rFonts w:ascii="IRNazanin" w:hAnsi="IRNazanin" w:eastAsia="IRNazanin" w:cs="IRNazanin"/>
          <w:lang w:bidi="fa-IR"/>
          <w:color w:val="111111"/>
          <w:sz w:val="28"/>
          <w:szCs w:val="28"/>
          <w:rtl/>
        </w:rPr>
        <w:t xml:space="preserve">۶. مشهد؛ نواب؛ شماره نسخه:۴۴۵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كا: اسماعيل بن حاجی ابراهیم، تا: ۱۱۲۳ق؛ یادداشت حسن بن محمد عمری عاملی؛ واقف: شیخ محمد باقر مدرس، ۱۱۷۶ق؛ کاغذ: هندی، جلد: تیماج قهوه ای لایه ای، ۱۵۷، ۱۶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۳۶۴]</w:t>
      </w:r>
    </w:p>
    <w:p>
      <w:pPr>
        <w:pStyle w:val="Heading3"/>
      </w:pPr>
      <w:bookmarkStart w:id="2970" w:name="_Toc2230"/>
      <w:r>
        <w:t>•تبیان القواعد للحساب / رياضيات / عربی</w:t>
      </w:r>
      <w:bookmarkEnd w:id="2970"/>
    </w:p>
    <w:p>
      <w:pPr>
        <w:pStyle w:val="BookText"/>
      </w:pPr>
      <w:r>
        <w:rPr>
          <w:rFonts w:ascii="Times New Roman" w:hAnsi="Times New Roman" w:eastAsia="Times New Roman" w:cs="Times New Roman"/>
          <w:lang w:val="en-US" w:bidi="en-US"/>
          <w:color w:val="111111"/>
          <w:sz w:val="28"/>
          <w:szCs w:val="28"/>
          <w:rtl/>
        </w:rPr>
        <w:t xml:space="preserve">tibyān-ul qawāʻid li-1-hisāb</w:t>
      </w:r>
    </w:p>
    <w:p>
      <w:pPr>
        <w:pStyle w:val="BookText"/>
      </w:pPr>
      <w:r>
        <w:rPr>
          <w:rFonts w:ascii="IRNazanin" w:hAnsi="IRNazanin" w:eastAsia="IRNazanin" w:cs="IRNazanin"/>
          <w:lang w:bidi="fa-IR"/>
          <w:color w:val="111111"/>
          <w:sz w:val="28"/>
          <w:szCs w:val="28"/>
          <w:rtl/>
        </w:rPr>
        <w:t xml:space="preserve">در یک «مقدمه» و چند «باب».</w:t>
      </w:r>
    </w:p>
    <w:p>
      <w:pPr>
        <w:pStyle w:val="BookText"/>
      </w:pPr>
      <w:r>
        <w:rPr>
          <w:rFonts w:ascii="IRNazanin" w:hAnsi="IRNazanin" w:eastAsia="IRNazanin" w:cs="IRNazanin"/>
          <w:lang w:bidi="fa-IR"/>
          <w:color w:val="111111"/>
          <w:sz w:val="28"/>
          <w:szCs w:val="28"/>
          <w:rtl/>
        </w:rPr>
        <w:t xml:space="preserve">تهران؛ ملک؛ شماره نسخه: ۴۱۳۷/۷۲</w:t>
      </w:r>
    </w:p>
    <w:p>
      <w:pPr>
        <w:pStyle w:val="BookText"/>
      </w:pPr>
      <w:r>
        <w:rPr>
          <w:rFonts w:ascii="IRNazanin" w:hAnsi="IRNazanin" w:eastAsia="IRNazanin" w:cs="IRNazanin"/>
          <w:lang w:bidi="fa-IR"/>
          <w:color w:val="111111"/>
          <w:sz w:val="28"/>
          <w:szCs w:val="28"/>
          <w:rtl/>
        </w:rPr>
        <w:t xml:space="preserve">آغاز: الحمدلله مفتح الأبواب، ملهم الصواب، مسهل الصعاب، میسر الحساب؛ انجام: باب في مسائل معضله في باب الحساب نسخه تنها مقدمه و باب یکم در قواعد حساب را در نه قاعده دارد؛ خط: نستعلیق، بی کا، بی تا، افتادگی: انجام؛ کاغذ: ترمه،</w:t>
      </w:r>
    </w:p>
    <w:p>
      <w:pPr>
        <w:pStyle w:val="BookText"/>
      </w:pPr>
      <w:r>
        <w:rPr>
          <w:rFonts w:ascii="IRNazanin" w:hAnsi="IRNazanin" w:eastAsia="IRNazanin" w:cs="IRNazanin"/>
          <w:lang w:bidi="fa-IR"/>
          <w:color w:val="111111"/>
          <w:sz w:val="28"/>
          <w:szCs w:val="28"/>
          <w:rtl/>
        </w:rPr>
        <w:t xml:space="preserve">جلد: رویه میشن یشمی، ۱۲گ (۲۱۴ر -۲۲۵پ)، اندازه: ۱۵/۹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۲۹/۵سم [ف: ۷-۲۲۰)</w:t>
      </w:r>
    </w:p>
    <w:p>
      <w:pPr>
        <w:pStyle w:val="Heading3"/>
      </w:pPr>
      <w:bookmarkStart w:id="2971" w:name="_Toc2231"/>
      <w:r>
        <w:t>•تبیان القواعد النحوية في شرح الهداية المهدية / نحو عربی</w:t>
      </w:r>
      <w:bookmarkEnd w:id="2971"/>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bookmarkStart w:id="681" w:name="pg20363_210033"/>
    <w:bookmarkEnd w:id="681"/>
    <w:p>
      <w:pPr>
        <w:pStyle w:val="BookText"/>
      </w:pPr>
      <w:r>
        <w:rPr>
          <w:rFonts w:ascii="Times New Roman" w:hAnsi="Times New Roman" w:eastAsia="Times New Roman" w:cs="Times New Roman"/>
          <w:lang w:val="en-US" w:bidi="en-US"/>
          <w:color w:val="111111"/>
          <w:sz w:val="28"/>
          <w:szCs w:val="28"/>
          <w:rtl/>
        </w:rPr>
        <w:t xml:space="preserve">tibyān-ul qawāʻid-in naḥwīyya fi š.-il hidāyat-il mahdīyya</w:t>
      </w:r>
    </w:p>
    <w:p>
      <w:pPr>
        <w:pStyle w:val="BookText"/>
      </w:pPr>
      <w:r>
        <w:rPr>
          <w:rFonts w:ascii="IRNazanin" w:hAnsi="IRNazanin" w:eastAsia="IRNazanin" w:cs="IRNazanin"/>
          <w:lang w:bidi="fa-IR"/>
          <w:color w:val="111111"/>
          <w:sz w:val="28"/>
          <w:szCs w:val="28"/>
          <w:rtl/>
        </w:rPr>
        <w:t xml:space="preserve">قزوینی، حسن بن محمد، ق۱۳ قمری</w:t>
      </w:r>
    </w:p>
    <w:p>
      <w:pPr>
        <w:pStyle w:val="BookText"/>
      </w:pPr>
      <w:r>
        <w:rPr>
          <w:rFonts w:ascii="Times New Roman" w:hAnsi="Times New Roman" w:eastAsia="Times New Roman" w:cs="Times New Roman"/>
          <w:lang w:val="en-US" w:bidi="en-US"/>
          <w:color w:val="111111"/>
          <w:sz w:val="28"/>
          <w:szCs w:val="28"/>
          <w:rtl/>
        </w:rPr>
        <w:t xml:space="preserve">qazvīnī, hasan ebn-e mohammad (-19c)</w:t>
      </w:r>
    </w:p>
    <w:p>
      <w:pPr>
        <w:pStyle w:val="BookText"/>
      </w:pPr>
      <w:r>
        <w:rPr>
          <w:rFonts w:ascii="IRNazanin" w:hAnsi="IRNazanin" w:eastAsia="IRNazanin" w:cs="IRNazanin"/>
          <w:lang w:bidi="fa-IR"/>
          <w:color w:val="111111"/>
          <w:sz w:val="28"/>
          <w:szCs w:val="28"/>
          <w:rtl/>
        </w:rPr>
        <w:t xml:space="preserve">وابسته به: الألفية في الاعراب = ارجوزة في النحو = نحو منظوم؛ حسینی قزوینی، محمد تقی بن امیر مؤمن (-۱۲۷۰) تاريخ تأليف: ۱۲۴۰ق اصل کتاب منظومه ای است در نحو از «سید محمد تقی بن امیر مؤمن» که از سوی شاه عباس امیر حجاج بوده و شارح آن را با عناوین «قوله قوله» به امر استادش «بهاء الدين عبدالغني طارمی» در حجمی متوسط شرح کرده است. در الذريعة این کتاب معرفی نشده است.</w:t>
      </w:r>
    </w:p>
    <w:p>
      <w:pPr>
        <w:pStyle w:val="BookText"/>
      </w:pPr>
      <w:r>
        <w:rPr>
          <w:rFonts w:ascii="IRNazanin" w:hAnsi="IRNazanin" w:eastAsia="IRNazanin" w:cs="IRNazanin"/>
          <w:lang w:bidi="fa-IR"/>
          <w:color w:val="111111"/>
          <w:sz w:val="28"/>
          <w:szCs w:val="28"/>
          <w:rtl/>
        </w:rPr>
        <w:t xml:space="preserve">قم، مسجد اعظم، شماره نسخه:۴۰۷</w:t>
      </w:r>
    </w:p>
    <w:p>
      <w:pPr>
        <w:pStyle w:val="BookText"/>
      </w:pPr>
      <w:r>
        <w:rPr>
          <w:rFonts w:ascii="IRNazanin" w:hAnsi="IRNazanin" w:eastAsia="IRNazanin" w:cs="IRNazanin"/>
          <w:lang w:bidi="fa-IR"/>
          <w:color w:val="111111"/>
          <w:sz w:val="28"/>
          <w:szCs w:val="28"/>
          <w:rtl/>
        </w:rPr>
        <w:t xml:space="preserve">آغاز: قال التقى بن التقى بن الرضا*** مفتخرا بالمصطفی و المرتضی / الحمدلله الذي احسن في *** محاسن اللسان باللطف الحقي ... العلوم الدينيه وخلعت بتقبيل ذوى سنة اهلها الفائزين بالسعادات ... افتتح الكتاب بالتسمیه؛ انجام: او كون الجمله هو المبتدا معنی نحو قولی زید قائم وقل هو الله احد واشار بقوله والظرف التزم الى ان للظرف متعلق التزم وجود الرابط فيه ولا يريد به ان الظرف قسم برأسه لابد من تحملة للرابط کمامر خط: نسخ، بی کا، بی تا؛ مصحح، جلد: تیماج قهوه ای، ۱۵۵گ، مختلف السطر،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مخ: ۱- ۳۲۲]</w:t>
      </w:r>
    </w:p>
    <w:p>
      <w:pPr>
        <w:pStyle w:val="Heading3"/>
      </w:pPr>
      <w:bookmarkStart w:id="2972" w:name="_Toc2232"/>
      <w:r>
        <w:t>•تبیان القوانين / اصول فقه / فارسی و عربی</w:t>
      </w:r>
      <w:bookmarkEnd w:id="2972"/>
    </w:p>
    <w:p>
      <w:pPr>
        <w:pStyle w:val="BookText"/>
      </w:pPr>
      <w:r>
        <w:rPr>
          <w:rFonts w:ascii="Times New Roman" w:hAnsi="Times New Roman" w:eastAsia="Times New Roman" w:cs="Times New Roman"/>
          <w:lang w:val="en-US" w:bidi="en-US"/>
          <w:color w:val="111111"/>
          <w:sz w:val="28"/>
          <w:szCs w:val="28"/>
          <w:rtl/>
        </w:rPr>
        <w:t xml:space="preserve">tibyān-ul qawānīn</w:t>
      </w:r>
    </w:p>
    <w:p>
      <w:pPr>
        <w:pStyle w:val="BookText"/>
      </w:pPr>
      <w:r>
        <w:rPr>
          <w:rFonts w:ascii="IRNazanin" w:hAnsi="IRNazanin" w:eastAsia="IRNazanin" w:cs="IRNazanin"/>
          <w:lang w:bidi="fa-IR"/>
          <w:color w:val="111111"/>
          <w:sz w:val="28"/>
          <w:szCs w:val="28"/>
          <w:rtl/>
        </w:rPr>
        <w:t xml:space="preserve">کلاک، حسن بن علی اصغر</w:t>
      </w:r>
    </w:p>
    <w:p>
      <w:pPr>
        <w:pStyle w:val="BookText"/>
      </w:pPr>
      <w:r>
        <w:rPr>
          <w:rFonts w:ascii="Times New Roman" w:hAnsi="Times New Roman" w:eastAsia="Times New Roman" w:cs="Times New Roman"/>
          <w:lang w:val="en-US" w:bidi="en-US"/>
          <w:color w:val="111111"/>
          <w:sz w:val="28"/>
          <w:szCs w:val="28"/>
          <w:rtl/>
        </w:rPr>
        <w:t xml:space="preserve">kalāk, hasan ebn-e ‘alī asqar</w:t>
      </w:r>
    </w:p>
    <w:p>
      <w:pPr>
        <w:pStyle w:val="BookText"/>
      </w:pPr>
      <w:r>
        <w:rPr>
          <w:rFonts w:ascii="IRNazanin" w:hAnsi="IRNazanin" w:eastAsia="IRNazanin" w:cs="IRNazanin"/>
          <w:lang w:bidi="fa-IR"/>
          <w:color w:val="111111"/>
          <w:sz w:val="28"/>
          <w:szCs w:val="28"/>
          <w:rtl/>
        </w:rPr>
        <w:t xml:space="preserve">وابسته به: القوانين المحكمة في الأصول = قوانين الاصول میرزای قمی، ابوالقاسم بن محمد حسن (۱۱۵۱-۱۲۳۱) تاریخ تألیف: شنبه پنجم ربیع الاول ۱۲۶۷ق شرح استدلالی است با رد و ایراد بر «القوانين المحكمة» با عناوین «قوله قوله» و فقط مقداری از باب اول آن را شرح نموده است.</w:t>
      </w:r>
    </w:p>
    <w:p>
      <w:pPr>
        <w:pStyle w:val="BookText"/>
      </w:pPr>
      <w:r>
        <w:rPr>
          <w:rFonts w:ascii="IRNazanin" w:hAnsi="IRNazanin" w:eastAsia="IRNazanin" w:cs="IRNazanin"/>
          <w:lang w:bidi="fa-IR"/>
          <w:color w:val="111111"/>
          <w:sz w:val="28"/>
          <w:szCs w:val="28"/>
          <w:rtl/>
        </w:rPr>
        <w:t xml:space="preserve">قم، مرکز احیاء؛ شماره نسخه: ۱۷۳۹</w:t>
      </w:r>
    </w:p>
    <w:p>
      <w:pPr>
        <w:pStyle w:val="BookText"/>
      </w:pPr>
      <w:r>
        <w:rPr>
          <w:rFonts w:ascii="IRNazanin" w:hAnsi="IRNazanin" w:eastAsia="IRNazanin" w:cs="IRNazanin"/>
          <w:lang w:bidi="fa-IR"/>
          <w:color w:val="111111"/>
          <w:sz w:val="28"/>
          <w:szCs w:val="28"/>
          <w:rtl/>
        </w:rPr>
        <w:t xml:space="preserve">آغاز: قوله اختلفوا في جواز ارادة اكثر من معنى من معانی المشترك في اطلاق واحد یعنی اختلاف کردند که آیا اراده اكثر از معنی واحد از معانی مشترک از لفظ مشترک نسخه اصل: کتابخانه مدرسه صدر (خاتم الانبياء)-بابل؛ خط: نستعلیق، کاتب = مؤلف، بی تاب با مصحح و خط خوردگی و اضافات؛ ۸۲ص [عکسی ف: ۵-۱۹۴]</w:t>
      </w:r>
    </w:p>
    <w:p>
      <w:pPr>
        <w:pStyle w:val="Heading3"/>
      </w:pPr>
      <w:bookmarkStart w:id="2973" w:name="_Toc2233"/>
      <w:r>
        <w:t>•تبیان الكبائر / حديث / عربی</w:t>
      </w:r>
      <w:bookmarkEnd w:id="2973"/>
    </w:p>
    <w:p>
      <w:pPr>
        <w:pStyle w:val="BookText"/>
      </w:pPr>
      <w:r>
        <w:rPr>
          <w:rFonts w:ascii="Times New Roman" w:hAnsi="Times New Roman" w:eastAsia="Times New Roman" w:cs="Times New Roman"/>
          <w:lang w:val="en-US" w:bidi="en-US"/>
          <w:color w:val="111111"/>
          <w:sz w:val="28"/>
          <w:szCs w:val="28"/>
          <w:rtl/>
        </w:rPr>
        <w:t xml:space="preserve">tibyān-ul kabā'ir</w:t>
      </w:r>
    </w:p>
    <w:p>
      <w:pPr>
        <w:pStyle w:val="BookText"/>
      </w:pPr>
      <w:r>
        <w:rPr>
          <w:rFonts w:ascii="IRNazanin" w:hAnsi="IRNazanin" w:eastAsia="IRNazanin" w:cs="IRNazanin"/>
          <w:lang w:bidi="fa-IR"/>
          <w:color w:val="111111"/>
          <w:sz w:val="28"/>
          <w:szCs w:val="28"/>
          <w:rtl/>
        </w:rPr>
        <w:t xml:space="preserve">قاینی، محمد بن عبد الله، ۸۳۸ قمری</w:t>
      </w:r>
    </w:p>
    <w:p>
      <w:pPr>
        <w:pStyle w:val="BookText"/>
      </w:pPr>
      <w:r>
        <w:rPr>
          <w:rFonts w:ascii="Times New Roman" w:hAnsi="Times New Roman" w:eastAsia="Times New Roman" w:cs="Times New Roman"/>
          <w:lang w:val="en-US" w:bidi="en-US"/>
          <w:color w:val="111111"/>
          <w:sz w:val="28"/>
          <w:szCs w:val="28"/>
          <w:rtl/>
        </w:rPr>
        <w:t xml:space="preserve">qāyenī, mohammad ebn-e 'abd-ol-lāh (-1435)</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١- تبیان الكبائر (منتخب)</w:t>
      </w:r>
    </w:p>
    <w:p>
      <w:pPr>
        <w:pStyle w:val="BookText"/>
      </w:pPr>
      <w:r>
        <w:rPr>
          <w:rFonts w:ascii="IRNazanin" w:hAnsi="IRNazanin" w:eastAsia="IRNazanin" w:cs="IRNazanin"/>
          <w:lang w:bidi="fa-IR"/>
          <w:color w:val="111111"/>
          <w:sz w:val="28"/>
          <w:szCs w:val="28"/>
          <w:rtl/>
        </w:rPr>
        <w:t xml:space="preserve">تهران، دانشگاه؛ شماره نسخه: ۲۸۰۹/۳ -ف</w:t>
      </w:r>
    </w:p>
    <w:p>
      <w:pPr>
        <w:pStyle w:val="BookText"/>
      </w:pPr>
      <w:r>
        <w:rPr>
          <w:rFonts w:ascii="IRNazanin" w:hAnsi="IRNazanin" w:eastAsia="IRNazanin" w:cs="IRNazanin"/>
          <w:lang w:bidi="fa-IR"/>
          <w:color w:val="111111"/>
          <w:sz w:val="28"/>
          <w:szCs w:val="28"/>
          <w:rtl/>
        </w:rPr>
        <w:t xml:space="preserve">نسخه اصل: نفیسی ش ۴۲۹؛ بی کا، بی تا [فيلمها ف: ۱-۷۳۳]</w:t>
      </w:r>
    </w:p>
    <w:p>
      <w:pPr>
        <w:pStyle w:val="Heading3"/>
      </w:pPr>
      <w:bookmarkStart w:id="2974" w:name="_Toc2234"/>
      <w:r>
        <w:t>•تبیان الكبائر (منتخب) / كلام و اعتقادات / عربی</w:t>
      </w:r>
      <w:bookmarkEnd w:id="2974"/>
    </w:p>
    <w:p>
      <w:pPr>
        <w:pStyle w:val="BookText"/>
      </w:pPr>
      <w:r>
        <w:rPr>
          <w:rFonts w:ascii="Times New Roman" w:hAnsi="Times New Roman" w:eastAsia="Times New Roman" w:cs="Times New Roman"/>
          <w:lang w:val="en-US" w:bidi="en-US"/>
          <w:color w:val="111111"/>
          <w:sz w:val="28"/>
          <w:szCs w:val="28"/>
          <w:rtl/>
        </w:rPr>
        <w:t xml:space="preserve">tibyān-ul kabā'ir (mn.)</w:t>
      </w:r>
    </w:p>
    <w:p>
      <w:pPr>
        <w:pStyle w:val="BookText"/>
      </w:pPr>
      <w:r>
        <w:rPr>
          <w:rFonts w:ascii="IRNazanin" w:hAnsi="IRNazanin" w:eastAsia="IRNazanin" w:cs="IRNazanin"/>
          <w:lang w:bidi="fa-IR"/>
          <w:color w:val="111111"/>
          <w:sz w:val="28"/>
          <w:szCs w:val="28"/>
          <w:rtl/>
        </w:rPr>
        <w:t xml:space="preserve">وابسته به: تبیان الكبائر قاینی، محمد بن عبدالله (-۸۳۸)</w:t>
      </w:r>
    </w:p>
    <w:p>
      <w:pPr>
        <w:pStyle w:val="BookText"/>
      </w:pPr>
      <w:r>
        <w:rPr>
          <w:rFonts w:ascii="IRNazanin" w:hAnsi="IRNazanin" w:eastAsia="IRNazanin" w:cs="IRNazanin"/>
          <w:lang w:bidi="fa-IR"/>
          <w:color w:val="111111"/>
          <w:sz w:val="28"/>
          <w:szCs w:val="28"/>
          <w:rtl/>
        </w:rPr>
        <w:t xml:space="preserve">تهران، دانشگاه؛ شماره نسخه:۵۹۲۷/۳</w:t>
      </w:r>
    </w:p>
    <w:p>
      <w:pPr>
        <w:pStyle w:val="BookText"/>
      </w:pPr>
      <w:r>
        <w:rPr>
          <w:rFonts w:ascii="IRNazanin" w:hAnsi="IRNazanin" w:eastAsia="IRNazanin" w:cs="IRNazanin"/>
          <w:lang w:bidi="fa-IR"/>
          <w:color w:val="111111"/>
          <w:sz w:val="28"/>
          <w:szCs w:val="28"/>
          <w:rtl/>
        </w:rPr>
        <w:t xml:space="preserve">خط: نسخ، بی کا، تا: رمضان ۹۷۶ق؛ در متن، هامش به فارسی در شمارش</w:t>
      </w:r>
    </w:p>
    <w:p>
      <w:pPr>
        <w:pStyle w:val="BookText"/>
      </w:pPr>
      <w:r>
        <w:rPr>
          <w:rFonts w:ascii="IRNazanin" w:hAnsi="IRNazanin" w:eastAsia="IRNazanin" w:cs="IRNazanin"/>
          <w:lang w:bidi="fa-IR"/>
          <w:color w:val="111111"/>
          <w:sz w:val="28"/>
          <w:szCs w:val="28"/>
          <w:rtl/>
        </w:rPr>
        <w:t xml:space="preserve">گناهان؛ کاغذ: سمرقندی، جلد: تیماج تریاکی، ۶گ (۷۹پ -۸۴ر)، ۲۱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قطع: بغلی،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۱۶-۱۵۷]</w:t>
      </w:r>
    </w:p>
    <w:p>
      <w:pPr>
        <w:pStyle w:val="Heading3"/>
      </w:pPr>
      <w:bookmarkStart w:id="2975" w:name="_Toc2235"/>
      <w:r>
        <w:t>•التبيان لأهل الإيمان و اصحاب الايقان / حديث / عربی</w:t>
      </w:r>
      <w:bookmarkEnd w:id="2975"/>
    </w:p>
    <w:p>
      <w:pPr>
        <w:pStyle w:val="BookText"/>
      </w:pPr>
      <w:r>
        <w:rPr>
          <w:rFonts w:ascii="Times New Roman" w:hAnsi="Times New Roman" w:eastAsia="Times New Roman" w:cs="Times New Roman"/>
          <w:lang w:val="en-US" w:bidi="en-US"/>
          <w:color w:val="111111"/>
          <w:sz w:val="28"/>
          <w:szCs w:val="28"/>
          <w:rtl/>
        </w:rPr>
        <w:t xml:space="preserve">at-tibyān li-ahl-il īmān wa aşņāb-ilīqān</w:t>
      </w:r>
    </w:p>
    <w:p>
      <w:pPr>
        <w:pStyle w:val="BookText"/>
      </w:pPr>
      <w:r>
        <w:rPr>
          <w:rFonts w:ascii="IRNazanin" w:hAnsi="IRNazanin" w:eastAsia="IRNazanin" w:cs="IRNazanin"/>
          <w:lang w:bidi="fa-IR"/>
          <w:color w:val="111111"/>
          <w:sz w:val="28"/>
          <w:szCs w:val="28"/>
          <w:rtl/>
        </w:rPr>
        <w:t xml:space="preserve">موسوی تنکابنی، محمد مهدی بن محمد جعفر، ق۱۳ قمری</w:t>
      </w:r>
    </w:p>
    <w:p>
      <w:pPr>
        <w:pStyle w:val="BookText"/>
      </w:pPr>
      <w:r>
        <w:rPr>
          <w:rFonts w:ascii="Times New Roman" w:hAnsi="Times New Roman" w:eastAsia="Times New Roman" w:cs="Times New Roman"/>
          <w:lang w:val="en-US" w:bidi="en-US"/>
          <w:color w:val="111111"/>
          <w:sz w:val="28"/>
          <w:szCs w:val="28"/>
          <w:rtl/>
        </w:rPr>
        <w:t xml:space="preserve">mūsavī tonekābonī, mohammad mahdī ebn-e mohammad ja'far (-19c)</w:t>
      </w:r>
    </w:p>
    <w:p>
      <w:pPr>
        <w:pStyle w:val="BookText"/>
      </w:pPr>
      <w:r>
        <w:rPr>
          <w:rFonts w:ascii="IRNazanin" w:hAnsi="IRNazanin" w:eastAsia="IRNazanin" w:cs="IRNazanin"/>
          <w:lang w:bidi="fa-IR"/>
          <w:color w:val="111111"/>
          <w:sz w:val="28"/>
          <w:szCs w:val="28"/>
          <w:rtl/>
        </w:rPr>
        <w:t xml:space="preserve">مؤلف سه جلد کتاب در اربعین حدیث جمع آوری کرده است: کتاب اول به نام «اربعین» پیرامون متعه، کتاب دوم «تبیان» که نسخه حاضر است و کتاب سوم به نام «الجواهر المقطعة». در کتاب حاضر مفصلا به بحث و بررسی چهل حدیث که به نظر مشکل می آید و احتیاج به شرح و توضیح دارد، پرداخته است.</w:t>
      </w:r>
    </w:p>
    <w:p>
      <w:pPr>
        <w:pStyle w:val="BookText"/>
      </w:pPr>
      <w:r>
        <w:rPr>
          <w:rFonts w:ascii="IRNazanin" w:hAnsi="IRNazanin" w:eastAsia="IRNazanin" w:cs="IRNazanin"/>
          <w:lang w:bidi="fa-IR"/>
          <w:color w:val="111111"/>
          <w:sz w:val="28"/>
          <w:szCs w:val="28"/>
          <w:rtl/>
        </w:rPr>
        <w:t xml:space="preserve">قم؛ مرکز احیاء؛ شماره نسخه: ۴۴۵۸/۱</w:t>
      </w:r>
    </w:p>
    <w:p>
      <w:pPr>
        <w:pStyle w:val="BookText"/>
      </w:pPr>
      <w:r>
        <w:rPr>
          <w:rFonts w:ascii="IRNazanin" w:hAnsi="IRNazanin" w:eastAsia="IRNazanin" w:cs="IRNazanin"/>
          <w:lang w:bidi="fa-IR"/>
          <w:color w:val="111111"/>
          <w:sz w:val="28"/>
          <w:szCs w:val="28"/>
          <w:rtl/>
        </w:rPr>
        <w:t xml:space="preserve">آغاز: الحمدلله رب العالمين ... و بعد فيقول ...... ان هذه اربعون احادیث صعبة مستصعبة تحتاج إلى البيان فبيناها بتوفيق الله بابين البيان؛ انجام: قال تجلسون و تحدثون قلت نعم جعلت فداك قال عليه السلام تلك المجالس احبها فاحيوا أمرنا یا فضیل فرحم الله من احیی امرنا خط: نسخ، كاتب = مؤلف، تا: قرن ۱۳؛ مصحح، با افزودگی های بسیار در حاشیه</w:t>
      </w:r>
    </w:p>
    <w:p>
      <w:pPr>
        <w:pStyle w:val="BookText"/>
      </w:pPr>
      <w:r>
        <w:rPr>
          <w:rFonts w:ascii="IRNazanin" w:hAnsi="IRNazanin" w:eastAsia="IRNazanin" w:cs="IRNazanin"/>
          <w:lang w:bidi="fa-IR"/>
          <w:color w:val="111111"/>
          <w:sz w:val="28"/>
          <w:szCs w:val="28"/>
          <w:rtl/>
        </w:rPr>
        <w:t xml:space="preserve">جلد: تیماج مشکی، ۷۵گ، اندازه: ۱۷/۵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 محدث ارموی مخ: ۱-۲۷۵]</w:t>
      </w:r>
    </w:p>
    <w:p>
      <w:pPr>
        <w:pStyle w:val="Heading3"/>
      </w:pPr>
      <w:bookmarkStart w:id="2976" w:name="_Toc2236"/>
      <w:r>
        <w:t>•تبیان اللغة / لغت / عربی به فارسی</w:t>
      </w:r>
      <w:bookmarkEnd w:id="2976"/>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bookmarkStart w:id="682" w:name="pg20363_210034"/>
    <w:bookmarkEnd w:id="682"/>
    <w:p>
      <w:pPr>
        <w:pStyle w:val="BookText"/>
      </w:pPr>
      <w:r>
        <w:rPr>
          <w:rFonts w:ascii="Times New Roman" w:hAnsi="Times New Roman" w:eastAsia="Times New Roman" w:cs="Times New Roman"/>
          <w:lang w:val="en-US" w:bidi="en-US"/>
          <w:color w:val="111111"/>
          <w:sz w:val="28"/>
          <w:szCs w:val="28"/>
          <w:rtl/>
        </w:rPr>
        <w:t xml:space="preserve">tibyān-ul luga</w:t>
      </w:r>
    </w:p>
    <w:p>
      <w:pPr>
        <w:pStyle w:val="BookText"/>
      </w:pPr>
      <w:r>
        <w:rPr>
          <w:rFonts w:ascii="IRNazanin" w:hAnsi="IRNazanin" w:eastAsia="IRNazanin" w:cs="IRNazanin"/>
          <w:lang w:bidi="fa-IR"/>
          <w:color w:val="111111"/>
          <w:sz w:val="28"/>
          <w:szCs w:val="28"/>
          <w:rtl/>
        </w:rPr>
        <w:t xml:space="preserve">مدرس چهاردهی، محمد علی بن محمد نصیر، ۱۲۵۲</w:t>
      </w:r>
    </w:p>
    <w:p>
      <w:pPr>
        <w:pStyle w:val="BookText"/>
      </w:pPr>
      <w:r>
        <w:rPr>
          <w:rFonts w:ascii="IRNazanin" w:hAnsi="IRNazanin" w:eastAsia="IRNazanin" w:cs="IRNazanin"/>
          <w:lang w:bidi="fa-IR"/>
          <w:color w:val="111111"/>
          <w:sz w:val="28"/>
          <w:szCs w:val="28"/>
          <w:rtl/>
        </w:rPr>
        <w:t xml:space="preserve">۱۳۳۴ قمری</w:t>
      </w:r>
    </w:p>
    <w:p>
      <w:pPr>
        <w:pStyle w:val="BookText"/>
      </w:pPr>
      <w:r>
        <w:rPr>
          <w:rFonts w:ascii="Times New Roman" w:hAnsi="Times New Roman" w:eastAsia="Times New Roman" w:cs="Times New Roman"/>
          <w:lang w:val="en-US" w:bidi="en-US"/>
          <w:color w:val="111111"/>
          <w:sz w:val="28"/>
          <w:szCs w:val="28"/>
          <w:rtl/>
        </w:rPr>
        <w:t xml:space="preserve">modarres-e čahārdehī, mohammad ‘alī ebn-emohammad nasir (1837-1916)</w:t>
      </w:r>
    </w:p>
    <w:p>
      <w:pPr>
        <w:pStyle w:val="BookText"/>
      </w:pPr>
      <w:r>
        <w:rPr>
          <w:rFonts w:ascii="IRNazanin" w:hAnsi="IRNazanin" w:eastAsia="IRNazanin" w:cs="IRNazanin"/>
          <w:lang w:bidi="fa-IR"/>
          <w:color w:val="111111"/>
          <w:sz w:val="28"/>
          <w:szCs w:val="28"/>
          <w:rtl/>
        </w:rPr>
        <w:t xml:space="preserve">وابسته به: الصحيفة الكاملة السجادية = الصحيفة السجادية؛ على بن حسین(عليه السلام)، امام چهارم (۳۸-۹۴)</w:t>
      </w:r>
    </w:p>
    <w:p>
      <w:pPr>
        <w:pStyle w:val="BookText"/>
      </w:pPr>
      <w:r>
        <w:rPr>
          <w:rFonts w:ascii="IRNazanin" w:hAnsi="IRNazanin" w:eastAsia="IRNazanin" w:cs="IRNazanin"/>
          <w:lang w:bidi="fa-IR"/>
          <w:color w:val="111111"/>
          <w:sz w:val="28"/>
          <w:szCs w:val="28"/>
          <w:rtl/>
        </w:rPr>
        <w:t xml:space="preserve">فرهنگ واژه های عربی به فارسی است، ویژه واژه های دشوار «صحیفه سجادیه»، به ترتیب الفبایی در آغاز واژه ها، هر حرف در یک «باب». مؤلف در سبب تأليف گوید: «... فبعد چنین عرض نماید قاصر از درک معانی محمدعلی بن نصیر الدین الجیلانی در ازمنه سابقه تعدى از حد خود نموده شرح فارسی بر زبور اهل بیت یعنی صحيفة السجادية نوشته که تذکره از جهت خود شود و بعضی از لغات او به قدر وسع ضبط شده در این اوان نظر نموده به کتاب بلد الامین مؤلف شیخ ابراهیم کفعمی ملاحظه نمود دید تمام لغات مشكله صحیفه از کتب معتبره لغويه و غیر او استخراج نمود در حاشیه کتاب نوشت. از اینکه متفرق بود باعث و داعی شده تمام لغات مزبوره به طریق حروف تهجی با انضمام لغات كثيره از قرآن که به او ضم شد ذکر نماید، تا کسانی که نزد ایشان بلد الامین نیست، یا اینکه معنی لفظ بخواهند از روی لغت بدون اینکه بخواهند بدانند تناول و اخذ او سهل و آسان باشد در هر دعاء و از دعاء صحیفه که آن واقع شده باشد معنی او بدانند اگر مکررات در حاشیه باشد اسقاط شود. و این کتاب مسمی شد به تبیان اللغه» که در واقع ترجمه حواشی کفعمی بر صحیفه است. مؤلف در این رساله حواشی کفعمی را به فارسی ترجمه و مرتب نموده تا دسترسی به آن در ترجمه دعاهای صحیفه و دیگر ادعیه و نیز آیات قرآن کریم آسان تر باشد.</w:t>
      </w:r>
    </w:p>
    <w:p>
      <w:pPr>
        <w:pStyle w:val="BookText"/>
      </w:pPr>
      <w:r>
        <w:rPr>
          <w:rFonts w:ascii="IRNazanin" w:hAnsi="IRNazanin" w:eastAsia="IRNazanin" w:cs="IRNazanin"/>
          <w:lang w:bidi="fa-IR"/>
          <w:color w:val="111111"/>
          <w:sz w:val="28"/>
          <w:szCs w:val="28"/>
          <w:rtl/>
        </w:rPr>
        <w:t xml:space="preserve">آغاز: حمدو ثناء مر معبودی را سزاست که انسان را علاوه براعطاء عقل و درک قوه و قدرت بر تنطق نمودن بما في الضمير ... بعد، چنین عرض نماید قاصر از ادراک معانی محمد علی بن نصير الجيلاني ... لغات مشكله صحيفه ... به انضمام لغات كثيره از قرآن</w:t>
      </w:r>
    </w:p>
    <w:p>
      <w:pPr>
        <w:pStyle w:val="BookText"/>
      </w:pPr>
      <w:r>
        <w:rPr>
          <w:rFonts w:ascii="IRNazanin" w:hAnsi="IRNazanin" w:eastAsia="IRNazanin" w:cs="IRNazanin"/>
          <w:lang w:bidi="fa-IR"/>
          <w:color w:val="111111"/>
          <w:sz w:val="28"/>
          <w:szCs w:val="28"/>
          <w:rtl/>
        </w:rPr>
        <w:t xml:space="preserve">انجام: هیهات کلمه ای است که در مقام تبعید است و به فتح تاء یعنی بعید است.</w:t>
      </w:r>
    </w:p>
    <w:p>
      <w:pPr>
        <w:pStyle w:val="BookText"/>
      </w:pPr>
      <w:r>
        <w:rPr>
          <w:rFonts w:ascii="IRNazanin" w:hAnsi="IRNazanin" w:eastAsia="IRNazanin" w:cs="IRNazanin"/>
          <w:lang w:bidi="fa-IR"/>
          <w:color w:val="111111"/>
          <w:sz w:val="28"/>
          <w:szCs w:val="28"/>
          <w:rtl/>
        </w:rPr>
        <w:t xml:space="preserve">چاپ: با تحقیق مجید غلامی جلیسه، ضمن میراث حديث شیعه، دفتر پانزدهم، قم، مؤسسه فرهنگی دار الحدیث، ۱۳۸۵ش</w:t>
      </w:r>
    </w:p>
    <w:p>
      <w:pPr>
        <w:pStyle w:val="BookText"/>
      </w:pPr>
      <w:r>
        <w:rPr>
          <w:rFonts w:ascii="IRNazanin" w:hAnsi="IRNazanin" w:eastAsia="IRNazanin" w:cs="IRNazanin"/>
          <w:lang w:bidi="fa-IR"/>
          <w:color w:val="111111"/>
          <w:sz w:val="28"/>
          <w:szCs w:val="28"/>
          <w:rtl/>
        </w:rPr>
        <w:t xml:space="preserve">[دنا ۷۸۱/۲ ؛ الذریعه ۳۳۳/۳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نسخه:۶۱۱۰</w:t>
      </w:r>
    </w:p>
    <w:p>
      <w:pPr>
        <w:pStyle w:val="BookText"/>
      </w:pPr>
      <w:r>
        <w:rPr>
          <w:rFonts w:ascii="IRNazanin" w:hAnsi="IRNazanin" w:eastAsia="IRNazanin" w:cs="IRNazanin"/>
          <w:lang w:bidi="fa-IR"/>
          <w:color w:val="111111"/>
          <w:sz w:val="28"/>
          <w:szCs w:val="28"/>
          <w:rtl/>
        </w:rPr>
        <w:t xml:space="preserve">آغاز: برابر؛ انجام: در رفتن و مظلوم شدن یک کلمه [ناخوانا ] ای المظلوم</w:t>
      </w:r>
    </w:p>
    <w:p>
      <w:pPr>
        <w:pStyle w:val="BookText"/>
      </w:pPr>
      <w:r>
        <w:rPr>
          <w:rFonts w:ascii="IRNazanin" w:hAnsi="IRNazanin" w:eastAsia="IRNazanin" w:cs="IRNazanin"/>
          <w:lang w:bidi="fa-IR"/>
          <w:color w:val="111111"/>
          <w:sz w:val="28"/>
          <w:szCs w:val="28"/>
          <w:rtl/>
        </w:rPr>
        <w:t xml:space="preserve">خط: نسخ تحریری، کاتب = مؤلف، بی تاب با بعضی اضافات در حواشی؛ واقف: مرتضی مدرسی چهاردهی فرزند مؤلف، دی ۱۳۴۷؛ کاغذ: فرنگی، جلد: مقوایی، ۳۶گ، مختلف</w:t>
      </w:r>
    </w:p>
    <w:p>
      <w:pPr>
        <w:pStyle w:val="BookText"/>
      </w:pPr>
      <w:r>
        <w:rPr>
          <w:rFonts w:ascii="IRNazanin" w:hAnsi="IRNazanin" w:eastAsia="IRNazanin" w:cs="IRNazanin"/>
          <w:lang w:bidi="fa-IR"/>
          <w:color w:val="111111"/>
          <w:sz w:val="28"/>
          <w:szCs w:val="28"/>
          <w:rtl/>
        </w:rPr>
        <w:t xml:space="preserve">السطر، اندازه: ۱۵/۷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۱۳-۱۷]</w:t>
      </w:r>
    </w:p>
    <w:p>
      <w:pPr>
        <w:pStyle w:val="BookText"/>
      </w:pPr>
      <w:r>
        <w:rPr>
          <w:rFonts w:ascii="Amiri" w:hAnsi="Amiri" w:eastAsia="Amiri" w:cs="Amiri"/>
          <w:lang w:bidi="ar-SA"/>
          <w:color w:val="111111"/>
          <w:sz w:val="28"/>
          <w:szCs w:val="28"/>
          <w:rtl/>
        </w:rPr>
        <w:t xml:space="preserve">۲. تهران؛ دائرة المعارف؛ شماره نسخه:۵۸۵</w:t>
      </w:r>
    </w:p>
    <w:p>
      <w:pPr>
        <w:pStyle w:val="BookText"/>
      </w:pPr>
      <w:r>
        <w:rPr>
          <w:rFonts w:ascii="IRNazanin" w:hAnsi="IRNazanin" w:eastAsia="IRNazanin" w:cs="IRNazanin"/>
          <w:lang w:bidi="fa-IR"/>
          <w:color w:val="111111"/>
          <w:sz w:val="28"/>
          <w:szCs w:val="28"/>
          <w:rtl/>
        </w:rPr>
        <w:t xml:space="preserve">آغاز: برابر؛ انجام: باب ما اولنه الیایم دریا ... صبر و سلوک خوش داشتن.</w:t>
      </w:r>
    </w:p>
    <w:p>
      <w:pPr>
        <w:pStyle w:val="BookText"/>
      </w:pPr>
      <w:r>
        <w:rPr>
          <w:rFonts w:ascii="IRNazanin" w:hAnsi="IRNazanin" w:eastAsia="IRNazanin" w:cs="IRNazanin"/>
          <w:lang w:bidi="fa-IR"/>
          <w:color w:val="111111"/>
          <w:sz w:val="28"/>
          <w:szCs w:val="28"/>
          <w:rtl/>
        </w:rPr>
        <w:t xml:space="preserve">خط: نستعلیق تحریری، بی کا، تا: قرن ۱۴؛ مقابله شده با نسخه دستنویس نگارنده، به گواهی آقای مرتضی مدرسی چهاردهی؛ کاغذ: آهار مهره، جلد: مقوا آبی، ته تیماج قهوه ای، ۵۲ص، ۲۰ ۲۲ سطر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۲-۳۸]</w:t>
      </w:r>
    </w:p>
    <w:p>
      <w:pPr>
        <w:pStyle w:val="Heading3"/>
      </w:pPr>
      <w:bookmarkStart w:id="2977" w:name="_Toc2237"/>
      <w:r>
        <w:t>•التبيان لمبهمات القرآن / تفسير / عربی</w:t>
      </w:r>
      <w:bookmarkEnd w:id="2977"/>
    </w:p>
    <w:p>
      <w:pPr>
        <w:pStyle w:val="BookText"/>
      </w:pPr>
      <w:r>
        <w:rPr>
          <w:rFonts w:ascii="Times New Roman" w:hAnsi="Times New Roman" w:eastAsia="Times New Roman" w:cs="Times New Roman"/>
          <w:lang w:val="en-US" w:bidi="en-US"/>
          <w:color w:val="111111"/>
          <w:sz w:val="28"/>
          <w:szCs w:val="28"/>
          <w:rtl/>
        </w:rPr>
        <w:t xml:space="preserve">at-tibyān li-mubhamāt-il qur'ān</w:t>
      </w:r>
    </w:p>
    <w:p>
      <w:pPr>
        <w:pStyle w:val="BookText"/>
      </w:pPr>
      <w:r>
        <w:rPr>
          <w:rFonts w:ascii="IRNazanin" w:hAnsi="IRNazanin" w:eastAsia="IRNazanin" w:cs="IRNazanin"/>
          <w:lang w:bidi="fa-IR"/>
          <w:color w:val="111111"/>
          <w:sz w:val="28"/>
          <w:szCs w:val="28"/>
          <w:rtl/>
        </w:rPr>
        <w:t xml:space="preserve">این جماعه، محمد بن ابراهیم، ۶۳۹-۷۳۳ قمری</w:t>
      </w:r>
    </w:p>
    <w:p>
      <w:pPr>
        <w:pStyle w:val="BookText"/>
      </w:pPr>
      <w:r>
        <w:rPr>
          <w:rFonts w:ascii="Times New Roman" w:hAnsi="Times New Roman" w:eastAsia="Times New Roman" w:cs="Times New Roman"/>
          <w:lang w:val="en-US" w:bidi="en-US"/>
          <w:color w:val="111111"/>
          <w:sz w:val="28"/>
          <w:szCs w:val="28"/>
          <w:rtl/>
        </w:rPr>
        <w:t xml:space="preserve">ebn-e jamā‘a, mohammad ebn-e ebrāhīm (1242-1333)</w:t>
      </w:r>
    </w:p>
    <w:p>
      <w:pPr>
        <w:pStyle w:val="BookText"/>
      </w:pPr>
      <w:r>
        <w:rPr>
          <w:rFonts w:ascii="IRNazanin" w:hAnsi="IRNazanin" w:eastAsia="IRNazanin" w:cs="IRNazanin"/>
          <w:lang w:bidi="fa-IR"/>
          <w:color w:val="111111"/>
          <w:sz w:val="28"/>
          <w:szCs w:val="28"/>
          <w:rtl/>
        </w:rPr>
        <w:t xml:space="preserve">وابسته به: التعريف و الأعلام في ما أبهم في القرآن من الأسماء الأعلام؛ سهیلی ، عبدالرحمن بن عبدالله ۵۰۸؟ -۵۸۱ق تاریخ تأليف: ذیحجه ۶۸۵ق این کتاب که در «کشف الظنون» (۱: ۹۲۴) به نام «البيان» ضبط شده است تكمله کتاب «التعريف و الاعلام في ما ابهم في القرآن من اسماء الاعلام» از عبدالرحمن بن عبدالله سهیلی اندلسی است. مؤلف در مقدمه می گوید: کتاب «التعريف و الأعلام» نوشته عبدالرحمن بن عبدالله اندلسی سهیلی را مورد مطالعه قرار دادم آنچه که مؤلف از قلم انداخته بود به آن افزودم و زواید را حذف و مطالبی نیز از کتب تفاسیر به آن اضافه کردم و اقوال مختلف علما را ذکر نموده و سایر مباحث مهم را از ابتدای قرآن کریم تا آخر به ترتیب سوره ها آوردم. کتاب التعريف و الأعلام» چنانکه در جای خود خواهید دید به ذکر و شرح کسانی می پردازد که در تواریخ و سیر با اسامی خویش مذکور ولی در قرآن مجید به طور اجمال و ابهام ذکر گردیده اند.</w:t>
      </w:r>
    </w:p>
    <w:p>
      <w:pPr>
        <w:pStyle w:val="BookText"/>
      </w:pPr>
      <w:r>
        <w:rPr>
          <w:rFonts w:ascii="Amiri" w:hAnsi="Amiri" w:eastAsia="Amiri" w:cs="Amiri"/>
          <w:lang w:bidi="ar-SA"/>
          <w:color w:val="111111"/>
          <w:sz w:val="28"/>
          <w:szCs w:val="28"/>
          <w:rtl/>
        </w:rPr>
        <w:t xml:space="preserve">[دنا ۷۸۱/۲ ؛ الأوقاف العامة موصل ۳۲/۴]</w:t>
      </w:r>
    </w:p>
    <w:p>
      <w:pPr>
        <w:pStyle w:val="BookText"/>
      </w:pPr>
      <w:r>
        <w:rPr>
          <w:rFonts w:ascii="IRNazanin" w:hAnsi="IRNazanin" w:eastAsia="IRNazanin" w:cs="IRNazanin"/>
          <w:lang w:bidi="fa-IR"/>
          <w:color w:val="111111"/>
          <w:sz w:val="28"/>
          <w:szCs w:val="28"/>
          <w:rtl/>
        </w:rPr>
        <w:t xml:space="preserve">مشهد؛ رضوی؛ شماره نسخه:۱۳۷۸۰</w:t>
      </w:r>
    </w:p>
    <w:p>
      <w:pPr>
        <w:pStyle w:val="BookText"/>
      </w:pPr>
      <w:r>
        <w:rPr>
          <w:rFonts w:ascii="IRNazanin" w:hAnsi="IRNazanin" w:eastAsia="IRNazanin" w:cs="IRNazanin"/>
          <w:lang w:bidi="fa-IR"/>
          <w:color w:val="111111"/>
          <w:sz w:val="28"/>
          <w:szCs w:val="28"/>
          <w:rtl/>
        </w:rPr>
        <w:t xml:space="preserve">آغاز: بسملة، الحمدلله ذي الجلال و الاكرام الملک القدوس السلام الذي اكرمنا بدين الاسلام و كتابه الفارق بين الحلال و الحرام و اتباع سيدنا محمد عليه افضل الصلاة و اتم السلام و على آله الأئمة الأعلام و أصحابه البررة الكرام؛ انجام: من الجنة و الناس قيل معناه انه يوصل الوسوسة من جهة الجن و من جهة الانس ... متوسلا اليه به و بنيه في خاتمه الخير و ما يقرب اليه و هو حسبنا و نعم الوکیل و صلی الله على سيدنا محمد ...</w:t>
      </w:r>
    </w:p>
    <w:p>
      <w:pPr>
        <w:pStyle w:val="BookText"/>
      </w:pPr>
      <w:r>
        <w:rPr>
          <w:rFonts w:ascii="IRNazanin" w:hAnsi="IRNazanin" w:eastAsia="IRNazanin" w:cs="IRNazanin"/>
          <w:lang w:bidi="fa-IR"/>
          <w:color w:val="111111"/>
          <w:sz w:val="28"/>
          <w:szCs w:val="28"/>
          <w:rtl/>
        </w:rPr>
        <w:t xml:space="preserve">در فهرست مدرسه فاضليه ص ۴۰ کتابت این نسخه ۷۲۰ ثبت شده. معرفی این نسخه در جلد ۲۲ فهرست هم آمده است و گمان
</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bookmarkStart w:id="683" w:name="pg20363_210035"/>
    <w:bookmarkEnd w:id="683"/>
    <w:p>
      <w:pPr>
        <w:pStyle w:val="BookText"/>
      </w:pPr>
      <w:r>
        <w:rPr>
          <w:rFonts w:ascii="IRNazanin" w:hAnsi="IRNazanin" w:eastAsia="IRNazanin" w:cs="IRNazanin"/>
          <w:lang w:bidi="fa-IR"/>
          <w:color w:val="111111"/>
          <w:sz w:val="28"/>
          <w:szCs w:val="28"/>
          <w:rtl/>
        </w:rPr>
        <w:t xml:space="preserve">می رود نسخه معرفی شده در مدرسه نواب نیز همین نسخه باشد؛ خط: نسخ، بی کا، تا: ۲۰ جمادی الثانی ۷۲۰ق؛ نسخه رونویس شده از نسخه اصلی است، مصحح، مقابله شده؛ واقف: فاضلخان؛ کاغذ کاغذ: حنایی، جلد: تیماج عنابی، ۱۰۵گ، ۲۳ سطر، اندازه: ۲۵/۵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۱۱-۶۴۸ و ۲۲-۷۰]</w:t>
      </w:r>
    </w:p>
    <w:p>
      <w:pPr>
        <w:pStyle w:val="Heading3"/>
      </w:pPr>
      <w:bookmarkStart w:id="2978" w:name="_Toc2238"/>
      <w:r>
        <w:t>•تبیان اللمعة / فقه / عربی و فارسی</w:t>
      </w:r>
      <w:bookmarkEnd w:id="2978"/>
    </w:p>
    <w:p>
      <w:pPr>
        <w:pStyle w:val="BookText"/>
      </w:pPr>
      <w:r>
        <w:rPr>
          <w:rFonts w:ascii="Times New Roman" w:hAnsi="Times New Roman" w:eastAsia="Times New Roman" w:cs="Times New Roman"/>
          <w:lang w:val="en-US" w:bidi="en-US"/>
          <w:color w:val="111111"/>
          <w:sz w:val="28"/>
          <w:szCs w:val="28"/>
          <w:rtl/>
        </w:rPr>
        <w:t xml:space="preserve">tibyān-ul lum'a</w:t>
      </w:r>
    </w:p>
    <w:p>
      <w:pPr>
        <w:pStyle w:val="BookText"/>
      </w:pPr>
      <w:r>
        <w:rPr>
          <w:rFonts w:ascii="IRNazanin" w:hAnsi="IRNazanin" w:eastAsia="IRNazanin" w:cs="IRNazanin"/>
          <w:lang w:bidi="fa-IR"/>
          <w:color w:val="111111"/>
          <w:sz w:val="28"/>
          <w:szCs w:val="28"/>
          <w:rtl/>
        </w:rPr>
        <w:t xml:space="preserve">کلاک، حسن بن علی اصغر</w:t>
      </w:r>
    </w:p>
    <w:p>
      <w:pPr>
        <w:pStyle w:val="BookText"/>
      </w:pPr>
      <w:r>
        <w:rPr>
          <w:rFonts w:ascii="Times New Roman" w:hAnsi="Times New Roman" w:eastAsia="Times New Roman" w:cs="Times New Roman"/>
          <w:lang w:val="en-US" w:bidi="en-US"/>
          <w:color w:val="111111"/>
          <w:sz w:val="28"/>
          <w:szCs w:val="28"/>
          <w:rtl/>
        </w:rPr>
        <w:t xml:space="preserve">kalāk, hasan ebn-e ‘alī asqar</w:t>
      </w:r>
    </w:p>
    <w:p>
      <w:pPr>
        <w:pStyle w:val="BookText"/>
      </w:pPr>
      <w:r>
        <w:rPr>
          <w:rFonts w:ascii="IRNazanin" w:hAnsi="IRNazanin" w:eastAsia="IRNazanin" w:cs="IRNazanin"/>
          <w:lang w:bidi="fa-IR"/>
          <w:color w:val="111111"/>
          <w:sz w:val="28"/>
          <w:szCs w:val="28"/>
          <w:rtl/>
        </w:rPr>
        <w:t xml:space="preserve">وابسته به: اللمعة الدمشقية في فقه الامامية = لمعه؛ شهید اول، محمد بن مکی (۷۳۴-۷۸۶) شرحی است مزجی بر کتاب «المعة الدمشقية» شهید اول که بیشتر به ترجمه عبارات و بعضا توضیح برخی مطالب و گاهی نیز از عبارات «الروضة البهية» شهید ثانی استفاده نموده است. از اول طهارة تا آخر دیات با عناوین «کتاب کتاب».</w:t>
      </w:r>
    </w:p>
    <w:p>
      <w:pPr>
        <w:pStyle w:val="BookText"/>
      </w:pPr>
      <w:r>
        <w:rPr>
          <w:rFonts w:ascii="IRNazanin" w:hAnsi="IRNazanin" w:eastAsia="IRNazanin" w:cs="IRNazanin"/>
          <w:lang w:bidi="fa-IR"/>
          <w:color w:val="111111"/>
          <w:sz w:val="28"/>
          <w:szCs w:val="28"/>
          <w:rtl/>
        </w:rPr>
        <w:t xml:space="preserve">[ دنا ۷۸۱/۲ ]</w:t>
      </w:r>
    </w:p>
    <w:p>
      <w:pPr>
        <w:pStyle w:val="BookText"/>
      </w:pPr>
      <w:r>
        <w:rPr>
          <w:rFonts w:ascii="IRNazanin" w:hAnsi="IRNazanin" w:eastAsia="IRNazanin" w:cs="IRNazanin"/>
          <w:lang w:bidi="fa-IR"/>
          <w:color w:val="111111"/>
          <w:sz w:val="28"/>
          <w:szCs w:val="28"/>
          <w:rtl/>
        </w:rPr>
        <w:t xml:space="preserve">بابل، خاتم الانبیاء، شماره نسخه:۱۹۷</w:t>
      </w:r>
    </w:p>
    <w:p>
      <w:pPr>
        <w:pStyle w:val="BookText"/>
      </w:pPr>
      <w:r>
        <w:rPr>
          <w:rFonts w:ascii="IRNazanin" w:hAnsi="IRNazanin" w:eastAsia="IRNazanin" w:cs="IRNazanin"/>
          <w:lang w:bidi="fa-IR"/>
          <w:color w:val="111111"/>
          <w:sz w:val="28"/>
          <w:szCs w:val="28"/>
          <w:rtl/>
        </w:rPr>
        <w:t xml:space="preserve">آغاز: و الكر يتحقق بعشرة شبر لان كل واحد من العرض و الطول و العمق؛ انجام: به جهت عدم رضا مالک حرام است به خلاف میته که حرمت ذاتیه دارد. نسخه حاضر از آخر افتاده دارد؛ خط: نستعلیق، کا: = مؤلف، تان ۱۲۶۹؛ افتادگی: انجام؛ جلد: مقوایی، ۲۸۲ص، ۲۰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۱۳۶]</w:t>
      </w:r>
    </w:p>
    <w:p>
      <w:pPr>
        <w:pStyle w:val="BookText"/>
      </w:pPr>
      <w:r>
        <w:rPr>
          <w:rFonts w:ascii="IRNazanin" w:hAnsi="IRNazanin" w:eastAsia="IRNazanin" w:cs="IRNazanin"/>
          <w:lang w:bidi="fa-IR"/>
          <w:color w:val="111111"/>
          <w:sz w:val="28"/>
          <w:szCs w:val="28"/>
          <w:rtl/>
        </w:rPr>
        <w:t xml:space="preserve">قم مرکز احیاء؛ شماره نسخه:۱۲۷۹</w:t>
      </w:r>
    </w:p>
    <w:p>
      <w:pPr>
        <w:pStyle w:val="BookText"/>
      </w:pPr>
      <w:r>
        <w:rPr>
          <w:rFonts w:ascii="IRNazanin" w:hAnsi="IRNazanin" w:eastAsia="IRNazanin" w:cs="IRNazanin"/>
          <w:lang w:bidi="fa-IR"/>
          <w:color w:val="111111"/>
          <w:sz w:val="28"/>
          <w:szCs w:val="28"/>
          <w:rtl/>
        </w:rPr>
        <w:t xml:space="preserve">نسخه اصل: همان نسخه بالا [عکسی ف: ۴-۱۰۴]</w:t>
      </w:r>
    </w:p>
    <w:p>
      <w:pPr>
        <w:pStyle w:val="BookText"/>
      </w:pPr>
      <w:r>
        <w:rPr>
          <w:rFonts w:ascii="IRNazanin" w:hAnsi="IRNazanin" w:eastAsia="IRNazanin" w:cs="IRNazanin"/>
          <w:lang w:bidi="fa-IR"/>
          <w:color w:val="111111"/>
          <w:sz w:val="28"/>
          <w:szCs w:val="28"/>
          <w:rtl/>
        </w:rPr>
        <w:t xml:space="preserve">قم: مرکز احیاء؛ شماره نسخه:۱۷۴۰</w:t>
      </w:r>
    </w:p>
    <w:p>
      <w:pPr>
        <w:pStyle w:val="BookText"/>
      </w:pPr>
      <w:r>
        <w:rPr>
          <w:rFonts w:ascii="IRNazanin" w:hAnsi="IRNazanin" w:eastAsia="IRNazanin" w:cs="IRNazanin"/>
          <w:lang w:bidi="fa-IR"/>
          <w:color w:val="111111"/>
          <w:sz w:val="28"/>
          <w:szCs w:val="28"/>
          <w:rtl/>
        </w:rPr>
        <w:t xml:space="preserve">نسخه اصل: تتمه همان نسخه بالا [عکسی ف: ۵-۱۹۴]</w:t>
      </w:r>
    </w:p>
    <w:p>
      <w:pPr>
        <w:pStyle w:val="Heading3"/>
      </w:pPr>
      <w:bookmarkStart w:id="2979" w:name="_Toc2239"/>
      <w:r>
        <w:t>•تبیان مقاصد التذکرة / هيأت / عربی</w:t>
      </w:r>
      <w:bookmarkEnd w:id="2979"/>
    </w:p>
    <w:p>
      <w:pPr>
        <w:pStyle w:val="BookText"/>
      </w:pPr>
      <w:r>
        <w:rPr>
          <w:rFonts w:ascii="Times New Roman" w:hAnsi="Times New Roman" w:eastAsia="Times New Roman" w:cs="Times New Roman"/>
          <w:lang w:val="en-US" w:bidi="en-US"/>
          <w:color w:val="111111"/>
          <w:sz w:val="28"/>
          <w:szCs w:val="28"/>
          <w:rtl/>
        </w:rPr>
        <w:t xml:space="preserve">tibyan-u maqasid-it tadkira -u</w:t>
      </w:r>
    </w:p>
    <w:p>
      <w:pPr>
        <w:pStyle w:val="BookText"/>
      </w:pPr>
      <w:r>
        <w:rPr>
          <w:rFonts w:ascii="IRNazanin" w:hAnsi="IRNazanin" w:eastAsia="IRNazanin" w:cs="IRNazanin"/>
          <w:lang w:bidi="fa-IR"/>
          <w:color w:val="111111"/>
          <w:sz w:val="28"/>
          <w:szCs w:val="28"/>
          <w:rtl/>
        </w:rPr>
        <w:t xml:space="preserve">منجم حمادی، محمد بن علی، ق۷ قمری</w:t>
      </w:r>
    </w:p>
    <w:p>
      <w:pPr>
        <w:pStyle w:val="BookText"/>
      </w:pPr>
      <w:r>
        <w:rPr>
          <w:rFonts w:ascii="Times New Roman" w:hAnsi="Times New Roman" w:eastAsia="Times New Roman" w:cs="Times New Roman"/>
          <w:lang w:val="en-US" w:bidi="en-US"/>
          <w:color w:val="111111"/>
          <w:sz w:val="28"/>
          <w:szCs w:val="28"/>
          <w:rtl/>
        </w:rPr>
        <w:t xml:space="preserve">monajjem-e hamādī, mohammad ebn-e ‘alī (-13c)</w:t>
      </w:r>
    </w:p>
    <w:p>
      <w:pPr>
        <w:pStyle w:val="BookText"/>
      </w:pPr>
      <w:r>
        <w:rPr>
          <w:rFonts w:ascii="IRNazanin" w:hAnsi="IRNazanin" w:eastAsia="IRNazanin" w:cs="IRNazanin"/>
          <w:lang w:bidi="fa-IR"/>
          <w:color w:val="111111"/>
          <w:sz w:val="28"/>
          <w:szCs w:val="28"/>
          <w:rtl/>
        </w:rPr>
        <w:t xml:space="preserve">وابسته به: التذکرة النصيرية = تذکره نصیریه؛ نصیرالدین طوسی، محمد بن محمد (۵۹۷-۶۷۲) شرحی است به نام «تبیان مقاصد التذكرة» در این شرح ایراد و اعتراض بسیاری بر تحفه قطب الدین شیرازی کرده و علامه شیرازی در کتاب «فعلت فلا تلم» آن اعتراضات را پاسخ گفته است. آغاز: الحمد لله رب العالمين بقول احوج خلق الله محمد بن ... لما كان ... التذكرة من مصنفات افضل المتأخرين ... شدید الانغلاق عسر المرام محتويا على اصول لم يطلع عليها المتقدمون التمس مني بعض الاصحاب ام اكتب له شرحا ليسهل الاطلاع على معانيها و ادراک الأصول المخترعة و فحاويها ... و اضفت اليه ما سنح للفكر من اصول ينحل بها جميع الاشكالات الواردة على حركات الافلاک من غير خلل و بعد اتمامه سمينه تبیان مقاصد التذكرة (نقل آغاز از فهرست کتابخانه مجلس ج 10 ص ۱۹۹۱ در ضمن معرفی «فعلت فلا تلم» قطب شیرازی.) شروح و حواشی: 1- فعلت فلا تلم؛ قطب الدین شیرازی، محمود بن مسعود (۶۳۴ ۷۱۰ق)</w:t>
      </w:r>
    </w:p>
    <w:p>
      <w:pPr>
        <w:pStyle w:val="BookText"/>
      </w:pPr>
      <w:r>
        <w:rPr>
          <w:rFonts w:ascii="IRNazanin" w:hAnsi="IRNazanin" w:eastAsia="IRNazanin" w:cs="IRNazanin"/>
          <w:lang w:bidi="fa-IR"/>
          <w:color w:val="111111"/>
          <w:sz w:val="28"/>
          <w:szCs w:val="28"/>
          <w:rtl/>
        </w:rPr>
        <w:t xml:space="preserve">تهران؛ دانشگاه؛ شماره نسخه: ۱۴۵۹/۲۸ ف</w:t>
      </w:r>
    </w:p>
    <w:p>
      <w:pPr>
        <w:pStyle w:val="BookText"/>
      </w:pPr>
      <w:r>
        <w:rPr>
          <w:rFonts w:ascii="IRNazanin" w:hAnsi="IRNazanin" w:eastAsia="IRNazanin" w:cs="IRNazanin"/>
          <w:lang w:bidi="fa-IR"/>
          <w:color w:val="111111"/>
          <w:sz w:val="28"/>
          <w:szCs w:val="28"/>
          <w:rtl/>
        </w:rPr>
        <w:t xml:space="preserve">نسخه اصل: موزه بریتانیا ش 23570 .</w:t>
      </w:r>
      <w:r>
        <w:rPr>
          <w:rFonts w:ascii="Times New Roman" w:hAnsi="Times New Roman" w:eastAsia="Times New Roman" w:cs="Times New Roman"/>
          <w:lang w:val="en-US" w:bidi="en-US"/>
          <w:color w:val="111111"/>
          <w:sz w:val="28"/>
          <w:szCs w:val="28"/>
          <w:rtl/>
        </w:rPr>
        <w:t xml:space="preserve">Add</w:t>
      </w:r>
      <w:r>
        <w:rPr>
          <w:rFonts w:ascii="IRNazanin" w:hAnsi="IRNazanin" w:eastAsia="IRNazanin" w:cs="IRNazanin"/>
          <w:lang w:bidi="fa-IR"/>
          <w:color w:val="111111"/>
          <w:sz w:val="28"/>
          <w:szCs w:val="28"/>
          <w:rtl/>
        </w:rPr>
        <w:t xml:space="preserve">؛ بی کا، بی تا [فيلمها ف: ۶۰۴-۱ ]</w:t>
      </w:r>
    </w:p>
    <w:p>
      <w:pPr>
        <w:pStyle w:val="Heading3"/>
      </w:pPr>
      <w:bookmarkStart w:id="2980" w:name="_Toc2240"/>
      <w:r>
        <w:t>•تبیان المسالك / عرفان و تصوف / عربی</w:t>
      </w:r>
      <w:bookmarkEnd w:id="2980"/>
    </w:p>
    <w:p>
      <w:pPr>
        <w:pStyle w:val="BookText"/>
      </w:pPr>
      <w:r>
        <w:rPr>
          <w:rFonts w:ascii="Times New Roman" w:hAnsi="Times New Roman" w:eastAsia="Times New Roman" w:cs="Times New Roman"/>
          <w:lang w:val="en-US" w:bidi="en-US"/>
          <w:color w:val="111111"/>
          <w:sz w:val="28"/>
          <w:szCs w:val="28"/>
          <w:rtl/>
        </w:rPr>
        <w:t xml:space="preserve">tibyān-ul masālik</w:t>
      </w:r>
    </w:p>
    <w:p>
      <w:pPr>
        <w:pStyle w:val="BookText"/>
      </w:pPr>
      <w:r>
        <w:rPr>
          <w:rFonts w:ascii="IRNazanin" w:hAnsi="IRNazanin" w:eastAsia="IRNazanin" w:cs="IRNazanin"/>
          <w:lang w:bidi="fa-IR"/>
          <w:color w:val="111111"/>
          <w:sz w:val="28"/>
          <w:szCs w:val="28"/>
          <w:rtl/>
        </w:rPr>
        <w:t xml:space="preserve">آشتیانی، احمد بن محمد حسن، ۱۳۰۰-۱۳۹۵ قمری</w:t>
      </w:r>
    </w:p>
    <w:p>
      <w:pPr>
        <w:pStyle w:val="BookText"/>
      </w:pPr>
      <w:r>
        <w:rPr>
          <w:rFonts w:ascii="Times New Roman" w:hAnsi="Times New Roman" w:eastAsia="Times New Roman" w:cs="Times New Roman"/>
          <w:lang w:val="en-US" w:bidi="en-US"/>
          <w:color w:val="111111"/>
          <w:sz w:val="28"/>
          <w:szCs w:val="28"/>
          <w:rtl/>
        </w:rPr>
        <w:t xml:space="preserve">āštīyānī, ahmad ebn-e mohammad hasan (1883-1975)</w:t>
      </w:r>
    </w:p>
    <w:p>
      <w:pPr>
        <w:pStyle w:val="BookText"/>
      </w:pPr>
      <w:r>
        <w:rPr>
          <w:rFonts w:ascii="IRNazanin" w:hAnsi="IRNazanin" w:eastAsia="IRNazanin" w:cs="IRNazanin"/>
          <w:lang w:bidi="fa-IR"/>
          <w:color w:val="111111"/>
          <w:sz w:val="28"/>
          <w:szCs w:val="28"/>
          <w:rtl/>
        </w:rPr>
        <w:t xml:space="preserve">رساله ای است در بیان مسالک مختلف در مسأله وحدت وجود. چاپ: به کوشش رضا استادی، نور علم: ۱ (۴-۱۳۴۲) ش ۱۰: ۱۴۲-۱۲۷</w:t>
      </w:r>
    </w:p>
    <w:p>
      <w:pPr>
        <w:pStyle w:val="BookText"/>
      </w:pPr>
      <w:r>
        <w:rPr>
          <w:rFonts w:ascii="IRNazanin" w:hAnsi="IRNazanin" w:eastAsia="IRNazanin" w:cs="IRNazanin"/>
          <w:lang w:bidi="fa-IR"/>
          <w:color w:val="111111"/>
          <w:sz w:val="28"/>
          <w:szCs w:val="28"/>
          <w:rtl/>
        </w:rPr>
        <w:t xml:space="preserve">اراک؛ دهگان؛ شماره نسخه: ۱۲۷/۱</w:t>
      </w:r>
    </w:p>
    <w:p>
      <w:pPr>
        <w:pStyle w:val="BookText"/>
      </w:pPr>
      <w:r>
        <w:rPr>
          <w:rFonts w:ascii="IRNazanin" w:hAnsi="IRNazanin" w:eastAsia="IRNazanin" w:cs="IRNazanin"/>
          <w:lang w:bidi="fa-IR"/>
          <w:color w:val="111111"/>
          <w:sz w:val="28"/>
          <w:szCs w:val="28"/>
          <w:rtl/>
        </w:rPr>
        <w:t xml:space="preserve">آغاز: بسمله الحمدلله رب العالمين و الصلوة على سيد الأنبياء و المرسلین ... و بعد فيقول العبد الداثر الفاني احمد ابن محمد حسن الآشتیانی قدس سره قد امرنی؛ انجام: پس بیا ای هادم لذتها، ای خليل الله كن بتها ز جا و مع ذالك ... في يوم العشرين من شهر شعبان المعظم. خط: نسخ و نستعلیق، بی کا، تا: ۱۳۴۰ق؛ کاغذ: کرم، جلد: کاغذ کرم، ۲۲گ (۱پ - ۲۲پ)،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۱-۱۳۹]</w:t>
      </w:r>
    </w:p>
    <w:p>
      <w:pPr>
        <w:pStyle w:val="Heading3"/>
      </w:pPr>
      <w:bookmarkStart w:id="2981" w:name="_Toc2241"/>
      <w:r>
        <w:t>•تبييض الصحيفة في مناقب ابی حنیفة / تراجم / عربی</w:t>
      </w:r>
      <w:bookmarkEnd w:id="2981"/>
    </w:p>
    <w:p>
      <w:pPr>
        <w:pStyle w:val="BookText"/>
      </w:pPr>
      <w:r>
        <w:rPr>
          <w:rFonts w:ascii="Times New Roman" w:hAnsi="Times New Roman" w:eastAsia="Times New Roman" w:cs="Times New Roman"/>
          <w:lang w:val="en-US" w:bidi="en-US"/>
          <w:color w:val="111111"/>
          <w:sz w:val="28"/>
          <w:szCs w:val="28"/>
          <w:rtl/>
        </w:rPr>
        <w:t xml:space="preserve">tabyīd-uş şaḥīfa fī manāqib-i abī-ḥanīfa</w:t>
      </w:r>
    </w:p>
    <w:p>
      <w:pPr>
        <w:pStyle w:val="BookText"/>
      </w:pPr>
      <w:r>
        <w:rPr>
          <w:rFonts w:ascii="IRNazanin" w:hAnsi="IRNazanin" w:eastAsia="IRNazanin" w:cs="IRNazanin"/>
          <w:lang w:bidi="fa-IR"/>
          <w:color w:val="111111"/>
          <w:sz w:val="28"/>
          <w:szCs w:val="28"/>
          <w:rtl/>
        </w:rPr>
        <w:t xml:space="preserve">سیوطی، عبدالرحمن بن ابی بکر، ۸۴۹-۹۱۱ قمری</w:t>
      </w:r>
    </w:p>
    <w:p>
      <w:pPr>
        <w:pStyle w:val="BookText"/>
      </w:pPr>
      <w:r>
        <w:rPr>
          <w:rFonts w:ascii="Times New Roman" w:hAnsi="Times New Roman" w:eastAsia="Times New Roman" w:cs="Times New Roman"/>
          <w:lang w:val="en-US" w:bidi="en-US"/>
          <w:color w:val="111111"/>
          <w:sz w:val="28"/>
          <w:szCs w:val="28"/>
          <w:rtl/>
        </w:rPr>
        <w:t xml:space="preserve">soyūtī, 'abd-or-rahmān ebn-e abī-bakr (1446-1506)</w:t>
      </w:r>
    </w:p>
    <w:p>
      <w:pPr>
        <w:pStyle w:val="BookText"/>
      </w:pPr>
      <w:r>
        <w:rPr>
          <w:rFonts w:ascii="IRNazanin" w:hAnsi="IRNazanin" w:eastAsia="IRNazanin" w:cs="IRNazanin"/>
          <w:lang w:bidi="fa-IR"/>
          <w:color w:val="111111"/>
          <w:sz w:val="28"/>
          <w:szCs w:val="28"/>
          <w:rtl/>
        </w:rPr>
        <w:t xml:space="preserve">مناقب و فضایلی که درباره ابوحنیفه گفته اند و همچنین روایت هایی که روایت کرده است و تاریخ ولادت و وفات وی را گرد آورده است. آغاز: الحمدلله و کفی و سلام على عباده الذين اصطفى، هذا جزء ألفته في مناقب الإمام أبي حنيفة النعمان بن ثابت انجام: و لم يقدروا على دفنه من كثرة الزحام انتهي ملخصة بحذف الأسانيد. چاپ: الميمنيه، ۱۳۰۹ق؛ حیدر آباد، مطبعة الدائرة، ۴۰ص،
</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bookmarkStart w:id="684" w:name="pg20363_210036"/>
    <w:bookmarkEnd w:id="684"/>
    <w:p>
      <w:pPr>
        <w:pStyle w:val="BookText"/>
      </w:pPr>
      <w:r>
        <w:rPr>
          <w:rFonts w:ascii="IRNazanin" w:hAnsi="IRNazanin" w:eastAsia="IRNazanin" w:cs="IRNazanin"/>
          <w:lang w:bidi="fa-IR"/>
          <w:color w:val="111111"/>
          <w:sz w:val="28"/>
          <w:szCs w:val="28"/>
          <w:rtl/>
        </w:rPr>
        <w:t xml:space="preserve">۱۳۱۷ و ۱۳۳۴ق. ۱۴۱۰ه در بیروت.</w:t>
      </w:r>
    </w:p>
    <w:p>
      <w:pPr>
        <w:pStyle w:val="BookText"/>
      </w:pPr>
      <w:r>
        <w:rPr>
          <w:rFonts w:ascii="IRNazanin" w:hAnsi="IRNazanin" w:eastAsia="IRNazanin" w:cs="IRNazanin"/>
          <w:lang w:bidi="fa-IR"/>
          <w:color w:val="111111"/>
          <w:sz w:val="28"/>
          <w:szCs w:val="28"/>
          <w:rtl/>
        </w:rPr>
        <w:t xml:space="preserve">۱. قم؛ مرعشی؛ شماره نسخه: ۱۵۳۲/۷ عکسی</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نسخه اصل: کتابخانه اسكوريال در مادرید اسپانیا، ش ۱۵۴۴؛ خط: نسخ، بی کا، تا: قرن ۱۷۶۱۰ص (۵۷-۷۳)، ۲۳ سطر [عکسی ف: ۴-۴۵۱]</w:t>
      </w:r>
    </w:p>
    <w:p>
      <w:pPr>
        <w:pStyle w:val="BookText"/>
      </w:pPr>
      <w:r>
        <w:rPr>
          <w:rFonts w:ascii="IRNazanin" w:hAnsi="IRNazanin" w:eastAsia="IRNazanin" w:cs="IRNazanin"/>
          <w:lang w:bidi="fa-IR"/>
          <w:color w:val="111111"/>
          <w:sz w:val="28"/>
          <w:szCs w:val="28"/>
          <w:rtl/>
        </w:rPr>
        <w:t xml:space="preserve">۲. قم؛ مرعشی؛ شماره نسخه:۱۴۱۱۱/۳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۱۱؛ انجامه: «انتهى ملخصا بحذف الأسانيد فان المؤلف كان له نسخة غير هذه مذكور فيه الاسانید و اختصر هذه والله اعلم و صلى الله على سيدنا محمد و على آله و صحبه و سلم ... آمین»؛ محشی؛ کاغذ: فرنگی، ۶گ (۲۵ر - ۳۰پ)، ۲۱ سطر،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۳۵-۶۴۹]</w:t>
      </w:r>
    </w:p>
    <w:p>
      <w:pPr>
        <w:pStyle w:val="BookText"/>
      </w:pPr>
      <w:r>
        <w:rPr>
          <w:rFonts w:ascii="IRNazanin" w:hAnsi="IRNazanin" w:eastAsia="IRNazanin" w:cs="IRNazanin"/>
          <w:lang w:bidi="fa-IR"/>
          <w:color w:val="111111"/>
          <w:sz w:val="28"/>
          <w:szCs w:val="28"/>
          <w:rtl/>
        </w:rPr>
        <w:t xml:space="preserve">٣. قم؛ مرعشی؛ شماره نسخه:۴۱۶/۷</w:t>
      </w:r>
    </w:p>
    <w:p>
      <w:pPr>
        <w:pStyle w:val="BookText"/>
      </w:pPr>
      <w:r>
        <w:rPr>
          <w:rFonts w:ascii="IRNazanin" w:hAnsi="IRNazanin" w:eastAsia="IRNazanin" w:cs="IRNazanin"/>
          <w:lang w:bidi="fa-IR"/>
          <w:color w:val="111111"/>
          <w:sz w:val="28"/>
          <w:szCs w:val="28"/>
          <w:rtl/>
        </w:rPr>
        <w:t xml:space="preserve">آغاز: برابر؛ انجام: قال الحافظ جمال الدين المزي في التذهیب و صلى عليه ست مرات و لم يقدر على دفنه إلى العصر من كثرة الزحام</w:t>
      </w:r>
    </w:p>
    <w:p>
      <w:pPr>
        <w:pStyle w:val="BookText"/>
      </w:pPr>
      <w:r>
        <w:rPr>
          <w:rFonts w:ascii="IRNazanin" w:hAnsi="IRNazanin" w:eastAsia="IRNazanin" w:cs="IRNazanin"/>
          <w:lang w:bidi="fa-IR"/>
          <w:color w:val="111111"/>
          <w:sz w:val="28"/>
          <w:szCs w:val="28"/>
          <w:rtl/>
        </w:rPr>
        <w:t xml:space="preserve">خط: نسخ، بی کا، بی تا؛ جلد: تیماج قرمز، ۱۸گ (۴۳پ - ۶۰ر)،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w:t>
      </w:r>
    </w:p>
    <w:p>
      <w:pPr>
        <w:pStyle w:val="BookText"/>
      </w:pPr>
      <w:r>
        <w:rPr>
          <w:rFonts w:ascii="IRNazanin" w:hAnsi="IRNazanin" w:eastAsia="IRNazanin" w:cs="IRNazanin"/>
          <w:lang w:bidi="fa-IR"/>
          <w:color w:val="111111"/>
          <w:sz w:val="28"/>
          <w:szCs w:val="28"/>
          <w:rtl/>
        </w:rPr>
        <w:t xml:space="preserve">[ف: ۲-۱۹]</w:t>
      </w:r>
    </w:p>
    <w:p>
      <w:pPr>
        <w:pStyle w:val="Heading3"/>
      </w:pPr>
      <w:bookmarkStart w:id="2982" w:name="_Toc2242"/>
      <w:r>
        <w:t>•التبييض و التصفير / کیمیا / عربی</w:t>
      </w:r>
      <w:bookmarkEnd w:id="2982"/>
    </w:p>
    <w:p>
      <w:pPr>
        <w:pStyle w:val="BookText"/>
      </w:pPr>
      <w:r>
        <w:rPr>
          <w:rFonts w:ascii="Times New Roman" w:hAnsi="Times New Roman" w:eastAsia="Times New Roman" w:cs="Times New Roman"/>
          <w:lang w:val="en-US" w:bidi="en-US"/>
          <w:color w:val="111111"/>
          <w:sz w:val="28"/>
          <w:szCs w:val="28"/>
          <w:rtl/>
        </w:rPr>
        <w:t xml:space="preserve">at-tabyid wa-t tasfir</w:t>
      </w:r>
    </w:p>
    <w:p>
      <w:pPr>
        <w:pStyle w:val="BookText"/>
      </w:pPr>
      <w:r>
        <w:rPr>
          <w:rFonts w:ascii="IRNazanin" w:hAnsi="IRNazanin" w:eastAsia="IRNazanin" w:cs="IRNazanin"/>
          <w:lang w:bidi="fa-IR"/>
          <w:color w:val="111111"/>
          <w:sz w:val="28"/>
          <w:szCs w:val="28"/>
          <w:rtl/>
        </w:rPr>
        <w:t xml:space="preserve">جابر بن حیان، ۱۲۰-۱۹۸ ؟ قمری</w:t>
      </w:r>
    </w:p>
    <w:p>
      <w:pPr>
        <w:pStyle w:val="BookText"/>
      </w:pPr>
      <w:r>
        <w:rPr>
          <w:rFonts w:ascii="Times New Roman" w:hAnsi="Times New Roman" w:eastAsia="Times New Roman" w:cs="Times New Roman"/>
          <w:lang w:val="en-US" w:bidi="en-US"/>
          <w:color w:val="111111"/>
          <w:sz w:val="28"/>
          <w:szCs w:val="28"/>
          <w:rtl/>
        </w:rPr>
        <w:t xml:space="preserve">jāber ebn-e hayyān (739-814)</w:t>
      </w:r>
    </w:p>
    <w:p>
      <w:pPr>
        <w:pStyle w:val="BookText"/>
      </w:pPr>
      <w:r>
        <w:rPr>
          <w:rFonts w:ascii="IRNazanin" w:hAnsi="IRNazanin" w:eastAsia="IRNazanin" w:cs="IRNazanin"/>
          <w:lang w:bidi="fa-IR"/>
          <w:color w:val="111111"/>
          <w:sz w:val="28"/>
          <w:szCs w:val="28"/>
          <w:rtl/>
        </w:rPr>
        <w:t xml:space="preserve">رساله در تبییض و تصفير از جابر بن حیان در علم کیمیا.</w:t>
      </w:r>
    </w:p>
    <w:p>
      <w:pPr>
        <w:pStyle w:val="BookText"/>
      </w:pPr>
      <w:r>
        <w:rPr>
          <w:rFonts w:ascii="IRNazanin" w:hAnsi="IRNazanin" w:eastAsia="IRNazanin" w:cs="IRNazanin"/>
          <w:lang w:bidi="fa-IR"/>
          <w:color w:val="111111"/>
          <w:sz w:val="28"/>
          <w:szCs w:val="28"/>
          <w:rtl/>
        </w:rPr>
        <w:t xml:space="preserve">تهران؛ ملی؛ شماره نسخه: ۱۸۶۳/۱۳</w:t>
      </w:r>
    </w:p>
    <w:p>
      <w:pPr>
        <w:pStyle w:val="BookText"/>
      </w:pPr>
      <w:r>
        <w:rPr>
          <w:rFonts w:ascii="IRNazanin" w:hAnsi="IRNazanin" w:eastAsia="IRNazanin" w:cs="IRNazanin"/>
          <w:lang w:bidi="fa-IR"/>
          <w:color w:val="111111"/>
          <w:sz w:val="28"/>
          <w:szCs w:val="28"/>
          <w:rtl/>
        </w:rPr>
        <w:t xml:space="preserve">خط: نستعلیق، كا: عبدالنبي شافعی و عزیز الله قادری، تا: ۱۱۵۲ق، جان بصره؛ کاغذ: فرنگی، جلد: مقوایی، میشن تریاکی، ۳ص (۴۸ -۵۰)، ۲۸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w:t>
      </w:r>
    </w:p>
    <w:p>
      <w:pPr>
        <w:pStyle w:val="BookText"/>
      </w:pPr>
      <w:r>
        <w:rPr>
          <w:rFonts w:ascii="IRNazanin" w:hAnsi="IRNazanin" w:eastAsia="IRNazanin" w:cs="IRNazanin"/>
          <w:lang w:bidi="fa-IR"/>
          <w:color w:val="111111"/>
          <w:sz w:val="28"/>
          <w:szCs w:val="28"/>
          <w:rtl/>
        </w:rPr>
        <w:t xml:space="preserve">سم [ف: ۱۰-۴۴۸]</w:t>
      </w:r>
    </w:p>
    <w:p>
      <w:pPr>
        <w:pStyle w:val="Heading3"/>
      </w:pPr>
      <w:bookmarkStart w:id="2983" w:name="_Toc2243"/>
      <w:r>
        <w:t>•التبييض و التلميح (رسالة في) / کیمیا / عربی</w:t>
      </w:r>
      <w:bookmarkEnd w:id="2983"/>
    </w:p>
    <w:p>
      <w:pPr>
        <w:pStyle w:val="BookText"/>
      </w:pPr>
      <w:r>
        <w:rPr>
          <w:rFonts w:ascii="Times New Roman" w:hAnsi="Times New Roman" w:eastAsia="Times New Roman" w:cs="Times New Roman"/>
          <w:lang w:val="en-US" w:bidi="en-US"/>
          <w:color w:val="111111"/>
          <w:sz w:val="28"/>
          <w:szCs w:val="28"/>
          <w:rtl/>
        </w:rPr>
        <w:t xml:space="preserve">at-tabyīd wa-t talmīḥ (r.-un fī)</w:t>
      </w:r>
    </w:p>
    <w:p>
      <w:pPr>
        <w:pStyle w:val="BookText"/>
      </w:pPr>
      <w:r>
        <w:rPr>
          <w:rFonts w:ascii="IRNazanin" w:hAnsi="IRNazanin" w:eastAsia="IRNazanin" w:cs="IRNazanin"/>
          <w:lang w:bidi="fa-IR"/>
          <w:color w:val="111111"/>
          <w:sz w:val="28"/>
          <w:szCs w:val="28"/>
          <w:rtl/>
        </w:rPr>
        <w:t xml:space="preserve">زسیموس حکیم، ق۴ میلادی</w:t>
      </w:r>
    </w:p>
    <w:p>
      <w:pPr>
        <w:pStyle w:val="BookText"/>
      </w:pPr>
      <w:r>
        <w:rPr>
          <w:rFonts w:ascii="Times New Roman" w:hAnsi="Times New Roman" w:eastAsia="Times New Roman" w:cs="Times New Roman"/>
          <w:lang w:val="en-US" w:bidi="en-US"/>
          <w:color w:val="111111"/>
          <w:sz w:val="28"/>
          <w:szCs w:val="28"/>
          <w:rtl/>
        </w:rPr>
        <w:t xml:space="preserve">zesīmūs-e hakīm (-4c)</w:t>
      </w:r>
    </w:p>
    <w:p>
      <w:pPr>
        <w:pStyle w:val="BookText"/>
      </w:pPr>
      <w:r>
        <w:rPr>
          <w:rFonts w:ascii="IRNazanin" w:hAnsi="IRNazanin" w:eastAsia="IRNazanin" w:cs="IRNazanin"/>
          <w:lang w:bidi="fa-IR"/>
          <w:color w:val="111111"/>
          <w:sz w:val="28"/>
          <w:szCs w:val="28"/>
          <w:rtl/>
        </w:rPr>
        <w:t xml:space="preserve">زوسیموس (</w:t>
      </w:r>
      <w:r>
        <w:rPr>
          <w:rFonts w:ascii="Times New Roman" w:hAnsi="Times New Roman" w:eastAsia="Times New Roman" w:cs="Times New Roman"/>
          <w:lang w:val="en-US" w:bidi="en-US"/>
          <w:color w:val="111111"/>
          <w:sz w:val="28"/>
          <w:szCs w:val="28"/>
          <w:rtl/>
        </w:rPr>
        <w:t xml:space="preserve">Zosimos) </w:t>
      </w:r>
      <w:r>
        <w:rPr>
          <w:rFonts w:ascii="IRNazanin" w:hAnsi="IRNazanin" w:eastAsia="IRNazanin" w:cs="IRNazanin"/>
          <w:lang w:bidi="fa-IR"/>
          <w:color w:val="111111"/>
          <w:sz w:val="28"/>
          <w:szCs w:val="28"/>
          <w:rtl/>
        </w:rPr>
        <w:t xml:space="preserve">در زمان افلوطین می زیسته و از کاهنان مصر کیمیا آموخته است. نامش را در نسخه ها چند گونه نوشته اند: دو سموس، ریسموس، رسیموس، ریشموش، روسو مس، ذوسم، ذیسموس، ارشموس. ابن ندیم (ص ۴۹۶) او را مانند اوسطانس (</w:t>
      </w:r>
      <w:r>
        <w:rPr>
          <w:rFonts w:ascii="Times New Roman" w:hAnsi="Times New Roman" w:eastAsia="Times New Roman" w:cs="Times New Roman"/>
          <w:lang w:val="en-US" w:bidi="en-US"/>
          <w:color w:val="111111"/>
          <w:sz w:val="28"/>
          <w:szCs w:val="28"/>
          <w:rtl/>
        </w:rPr>
        <w:t xml:space="preserve">Osthanes) </w:t>
      </w:r>
      <w:r>
        <w:rPr>
          <w:rFonts w:ascii="IRNazanin" w:hAnsi="IRNazanin" w:eastAsia="IRNazanin" w:cs="IRNazanin"/>
          <w:lang w:bidi="fa-IR"/>
          <w:color w:val="111111"/>
          <w:sz w:val="28"/>
          <w:szCs w:val="28"/>
          <w:rtl/>
        </w:rPr>
        <w:t xml:space="preserve">و نگارنده المفاتيح في الصنعة که ۷۰ رساله است خوانده است. این رساله در فهرست دانشگاه با نام «رسالة ذوسم الى امه في التبييض و التلميح» معرفی شده است و احتمالا یکی از رسائلی باشد که زسیموس به خواهرش آثاسيا (او تاسیه) نوشته است. اسزگین، تاریخ نگارشهای عربی، جلد ۴، ص ۱۰۶]</w:t>
      </w:r>
    </w:p>
    <w:p>
      <w:pPr>
        <w:pStyle w:val="BookText"/>
      </w:pPr>
      <w:r>
        <w:rPr>
          <w:rFonts w:ascii="IRNazanin" w:hAnsi="IRNazanin" w:eastAsia="IRNazanin" w:cs="IRNazanin"/>
          <w:lang w:bidi="fa-IR"/>
          <w:color w:val="111111"/>
          <w:sz w:val="28"/>
          <w:szCs w:val="28"/>
          <w:rtl/>
        </w:rPr>
        <w:t xml:space="preserve">۱. تهران؛ مهدوی؛ شماره نسخه:</w:t>
      </w:r>
    </w:p>
    <w:p>
      <w:pPr>
        <w:pStyle w:val="BookText"/>
      </w:pPr>
      <w:r>
        <w:rPr>
          <w:rFonts w:ascii="IRNazanin" w:hAnsi="IRNazanin" w:eastAsia="IRNazanin" w:cs="IRNazanin"/>
          <w:lang w:bidi="fa-IR"/>
          <w:color w:val="111111"/>
          <w:sz w:val="28"/>
          <w:szCs w:val="28"/>
          <w:rtl/>
        </w:rPr>
        <w:t xml:space="preserve">۲۸۰/۳۱ نام نویسنده و شماره برگ ها به استناد سزگین (۴: ۷۶) وارد شد؛ بی کا، تا: قرن ۱۳، ۲گ [نشریه: ۲-۱۰۴]</w:t>
      </w:r>
    </w:p>
    <w:p>
      <w:pPr>
        <w:pStyle w:val="BookText"/>
      </w:pPr>
      <w:r>
        <w:rPr>
          <w:rFonts w:ascii="IRNazanin" w:hAnsi="IRNazanin" w:eastAsia="IRNazanin" w:cs="IRNazanin"/>
          <w:lang w:bidi="fa-IR"/>
          <w:color w:val="111111"/>
          <w:sz w:val="28"/>
          <w:szCs w:val="28"/>
          <w:rtl/>
        </w:rPr>
        <w:t xml:space="preserve">۲. تهران، دانشگاه؛ شماره نسخه:۹۴۱/۴</w:t>
      </w:r>
    </w:p>
    <w:p>
      <w:pPr>
        <w:pStyle w:val="BookText"/>
      </w:pPr>
      <w:r>
        <w:rPr>
          <w:rFonts w:ascii="IRNazanin" w:hAnsi="IRNazanin" w:eastAsia="IRNazanin" w:cs="IRNazanin"/>
          <w:lang w:bidi="fa-IR"/>
          <w:color w:val="111111"/>
          <w:sz w:val="28"/>
          <w:szCs w:val="28"/>
          <w:rtl/>
        </w:rPr>
        <w:t xml:space="preserve">آغاز: بسمله رسالة ذوسم الى امه في التبييض و التمليح. سلام عليك. اما بعد فانی اخبر کک و افسرلک تدبير المغنيسيا؛ انجام: و قال هرمس في بيان السحق اذ قال في تنقية الرصاص: بيضه حتى يخرج سواده فحينئذ يتم العمل عمل المغنيسيا و تباض. و حسبک و السلام. خط شکسته نستعلیق، بی کا، بی تا؛ ۲گ (۱۸ر-۱۹ ر) [ف: ۴-۹۸۴]</w:t>
      </w:r>
    </w:p>
    <w:p>
      <w:pPr>
        <w:pStyle w:val="Heading3"/>
      </w:pPr>
      <w:bookmarkStart w:id="2984" w:name="_Toc2244"/>
      <w:r>
        <w:t>•تبیین اسانید من لا يحضره الفقیه = حاشية من لا يحضره الفقيه / رجال / عربی</w:t>
      </w:r>
      <w:bookmarkEnd w:id="2984"/>
    </w:p>
    <w:p>
      <w:pPr>
        <w:pStyle w:val="BookText"/>
      </w:pPr>
      <w:r>
        <w:rPr>
          <w:rFonts w:ascii="Times New Roman" w:hAnsi="Times New Roman" w:eastAsia="Times New Roman" w:cs="Times New Roman"/>
          <w:lang w:val="en-US" w:bidi="en-US"/>
          <w:color w:val="111111"/>
          <w:sz w:val="28"/>
          <w:szCs w:val="28"/>
          <w:rtl/>
        </w:rPr>
        <w:t xml:space="preserve">tabyīn-u asānīd-i man lā yaḥdar-u-hu-1 faqīh = ḥāšīyat u man la yahdar-u-hu-1 faqih</w:t>
      </w:r>
    </w:p>
    <w:p>
      <w:pPr>
        <w:pStyle w:val="BookText"/>
      </w:pPr>
      <w:r>
        <w:rPr>
          <w:rFonts w:ascii="IRNazanin" w:hAnsi="IRNazanin" w:eastAsia="IRNazanin" w:cs="IRNazanin"/>
          <w:lang w:bidi="fa-IR"/>
          <w:color w:val="111111"/>
          <w:sz w:val="28"/>
          <w:szCs w:val="28"/>
          <w:rtl/>
        </w:rPr>
        <w:t xml:space="preserve">زرفخی قائینی، محمد رضا بن محمد صادق، ق ۱۲ قمری</w:t>
      </w:r>
    </w:p>
    <w:p>
      <w:pPr>
        <w:pStyle w:val="BookText"/>
      </w:pPr>
      <w:r>
        <w:rPr>
          <w:rFonts w:ascii="Times New Roman" w:hAnsi="Times New Roman" w:eastAsia="Times New Roman" w:cs="Times New Roman"/>
          <w:lang w:val="en-US" w:bidi="en-US"/>
          <w:color w:val="111111"/>
          <w:sz w:val="28"/>
          <w:szCs w:val="28"/>
          <w:rtl/>
        </w:rPr>
        <w:t xml:space="preserve">zarfaxī qā'īnī, mohammad rezā ebn-e mohammad sadeq (-18c)</w:t>
      </w:r>
    </w:p>
    <w:p>
      <w:pPr>
        <w:pStyle w:val="BookText"/>
      </w:pPr>
      <w:r>
        <w:rPr>
          <w:rFonts w:ascii="IRNazanin" w:hAnsi="IRNazanin" w:eastAsia="IRNazanin" w:cs="IRNazanin"/>
          <w:lang w:bidi="fa-IR"/>
          <w:color w:val="111111"/>
          <w:sz w:val="28"/>
          <w:szCs w:val="28"/>
          <w:rtl/>
        </w:rPr>
        <w:t xml:space="preserve">تهران؛ مجلس؛ شماره نسخه: ۹۶۴۱/۲</w:t>
      </w:r>
    </w:p>
    <w:p>
      <w:pPr>
        <w:pStyle w:val="BookText"/>
      </w:pPr>
      <w:r>
        <w:rPr>
          <w:rFonts w:ascii="IRNazanin" w:hAnsi="IRNazanin" w:eastAsia="IRNazanin" w:cs="IRNazanin"/>
          <w:lang w:bidi="fa-IR"/>
          <w:color w:val="111111"/>
          <w:sz w:val="28"/>
          <w:szCs w:val="28"/>
          <w:rtl/>
        </w:rPr>
        <w:t xml:space="preserve">خط: تحریری، کاتب =مؤلف، تا: قرن ۱۱؛ هامش [مختصر ف: ۱۳۱]</w:t>
      </w:r>
    </w:p>
    <w:p>
      <w:pPr>
        <w:pStyle w:val="Heading3"/>
      </w:pPr>
      <w:bookmarkStart w:id="2985" w:name="_Toc2245"/>
      <w:r>
        <w:t>•تبیین الاسرار عرفان و تصوف / فارسی</w:t>
      </w:r>
      <w:bookmarkEnd w:id="2985"/>
    </w:p>
    <w:p>
      <w:pPr>
        <w:pStyle w:val="BookText"/>
      </w:pPr>
      <w:r>
        <w:rPr>
          <w:rFonts w:ascii="Times New Roman" w:hAnsi="Times New Roman" w:eastAsia="Times New Roman" w:cs="Times New Roman"/>
          <w:lang w:val="en-US" w:bidi="en-US"/>
          <w:color w:val="111111"/>
          <w:sz w:val="28"/>
          <w:szCs w:val="28"/>
          <w:rtl/>
        </w:rPr>
        <w:t xml:space="preserve">tabyīn-ol asrār</w:t>
      </w:r>
    </w:p>
    <w:p>
      <w:pPr>
        <w:pStyle w:val="BookText"/>
      </w:pPr>
      <w:r>
        <w:rPr>
          <w:rFonts w:ascii="IRNazanin" w:hAnsi="IRNazanin" w:eastAsia="IRNazanin" w:cs="IRNazanin"/>
          <w:lang w:bidi="fa-IR"/>
          <w:color w:val="111111"/>
          <w:sz w:val="28"/>
          <w:szCs w:val="28"/>
          <w:rtl/>
        </w:rPr>
        <w:t xml:space="preserve">تهران؛ مجلس؛ شماره نسخه:۱۶۴۸۶</w:t>
      </w:r>
    </w:p>
    <w:p>
      <w:pPr>
        <w:pStyle w:val="BookText"/>
      </w:pPr>
      <w:r>
        <w:rPr>
          <w:rFonts w:ascii="IRNazanin" w:hAnsi="IRNazanin" w:eastAsia="IRNazanin" w:cs="IRNazanin"/>
          <w:lang w:bidi="fa-IR"/>
          <w:color w:val="111111"/>
          <w:sz w:val="28"/>
          <w:szCs w:val="28"/>
          <w:rtl/>
        </w:rPr>
        <w:t xml:space="preserve">کاتب = مؤلف، تا: ۱۱۲۰ق؛ قطع: وزیری (د.ث. مجلس]</w:t>
      </w:r>
    </w:p>
    <w:p>
      <w:pPr>
        <w:pStyle w:val="Heading3"/>
      </w:pPr>
      <w:bookmarkStart w:id="2986" w:name="_Toc2246"/>
      <w:r>
        <w:t>•تبیین اوهام الفصيح / ادبیات عربی</w:t>
      </w:r>
      <w:bookmarkEnd w:id="2986"/>
    </w:p>
    <w:p>
      <w:pPr>
        <w:pStyle w:val="BookText"/>
      </w:pPr>
      <w:r>
        <w:rPr>
          <w:rFonts w:ascii="Times New Roman" w:hAnsi="Times New Roman" w:eastAsia="Times New Roman" w:cs="Times New Roman"/>
          <w:lang w:val="en-US" w:bidi="en-US"/>
          <w:color w:val="111111"/>
          <w:sz w:val="28"/>
          <w:szCs w:val="28"/>
          <w:rtl/>
        </w:rPr>
        <w:t xml:space="preserve">tabyin-u awham-il fasih</w:t>
      </w:r>
    </w:p>
    <w:p>
      <w:pPr>
        <w:pStyle w:val="BookText"/>
      </w:pPr>
      <w:r>
        <w:rPr>
          <w:rFonts w:ascii="IRNazanin" w:hAnsi="IRNazanin" w:eastAsia="IRNazanin" w:cs="IRNazanin"/>
          <w:lang w:bidi="fa-IR"/>
          <w:color w:val="111111"/>
          <w:sz w:val="28"/>
          <w:szCs w:val="28"/>
          <w:rtl/>
        </w:rPr>
        <w:t xml:space="preserve">جوالیقی، موهوب بن احمد، ۴۶۶-۵۳۹ قمری</w:t>
      </w:r>
    </w:p>
    <w:p>
      <w:pPr>
        <w:pStyle w:val="BookText"/>
      </w:pPr>
      <w:r>
        <w:rPr>
          <w:rFonts w:ascii="Times New Roman" w:hAnsi="Times New Roman" w:eastAsia="Times New Roman" w:cs="Times New Roman"/>
          <w:lang w:val="en-US" w:bidi="en-US"/>
          <w:color w:val="111111"/>
          <w:sz w:val="28"/>
          <w:szCs w:val="28"/>
          <w:rtl/>
        </w:rPr>
        <w:t xml:space="preserve">javālīqī, mawhūb ebn-e ahmad (1074-1145)</w:t>
      </w:r>
    </w:p>
    <w:p>
      <w:pPr>
        <w:pStyle w:val="BookText"/>
      </w:pPr>
      <w:r>
        <w:rPr>
          <w:rFonts w:ascii="IRNazanin" w:hAnsi="IRNazanin" w:eastAsia="IRNazanin" w:cs="IRNazanin"/>
          <w:lang w:bidi="fa-IR"/>
          <w:color w:val="111111"/>
          <w:sz w:val="28"/>
          <w:szCs w:val="28"/>
          <w:rtl/>
        </w:rPr>
        <w:t xml:space="preserve">به روایت ابو منصور موهوب بن احمد بن محمد بن خضر جوالیقی بغدادی از کبار لغويين و ائمه ادب و از مشاهیر اصحاب خطیب تبریزی است و در آن في الواقع داوری می کند بین زجاج و ثعلب در باب کتاب فصيح مذکور در ذیل کتاب «مخاطبة» زجاج.</w:t>
      </w:r>
    </w:p>
    <w:p>
      <w:pPr>
        <w:pStyle w:val="BookText"/>
      </w:pPr>
      <w:r>
        <w:rPr>
          <w:rFonts w:ascii="IRNazanin" w:hAnsi="IRNazanin" w:eastAsia="IRNazanin" w:cs="IRNazanin"/>
          <w:lang w:bidi="fa-IR"/>
          <w:color w:val="111111"/>
          <w:sz w:val="28"/>
          <w:szCs w:val="28"/>
          <w:rtl/>
        </w:rPr>
        <w:t xml:space="preserve">مشهد؛ رضوی؛ شماره نسخه:۱۳۷۱۱/۳
</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bookmarkStart w:id="685" w:name="pg20363_210037"/>
    <w:bookmarkEnd w:id="685"/>
    <w:p>
      <w:pPr>
        <w:pStyle w:val="BookText"/>
      </w:pPr>
      <w:r>
        <w:rPr>
          <w:rFonts w:ascii="IRNazanin" w:hAnsi="IRNazanin" w:eastAsia="IRNazanin" w:cs="IRNazanin"/>
          <w:lang w:bidi="fa-IR"/>
          <w:color w:val="111111"/>
          <w:sz w:val="28"/>
          <w:szCs w:val="28"/>
          <w:rtl/>
        </w:rPr>
        <w:t xml:space="preserve">آغاز: بسمله اخبرنی شیخنا شیخ الاجل العلامة ابو محمد عبدالمنعم بن صالح بن احمد بن محمد التيمي النحوي قراءة عليه و هو ينظر في أصله المنقول منه يوم الاربعاء الثالث عشر من شهر رمضان المعظم سنة سبع عشرة و ستمایه قال قرأت على الشيخ الاجل العالم الصدر الثقة الأمين المحدث ابي الثناء حماد بن هبة الله بن حماد بن الفضيل الحرانی ادام الله سلامته بمنزله بثغر الاسكندرية المحروس الست خلون من شهر ربيع الآخر سنة أربع و ثمانین و خمس مائة قال انبانی الشیخ ابو منصور موهوب بن احمد بن محمد بن الخضر الجوالیقی رحمه الله اجازة فيما كتب لي بخطه قال مخاطبة جرت بين ابی العباس احمد بن یحیی رحمه الله و بين ابي اسحاق ابراهيم بن السري الزجاج رد فيها علیه مواضع من كتاب الفصيح ظلمه فيها فتبينت صوابها؛ انجام: وقد رواها غيره بفتح الهمزة ايضا على ان ابا العباس قرأها عن الفراء (كاتب بقیه کتاب را ننوشته است). خط: نسخ، بی کا، تا: اواخر قرن ۱۸ کاغذ: حنایی، ۱۷سطر [ف: ۲۰۱-۱۳]</w:t>
      </w:r>
    </w:p>
    <w:p>
      <w:pPr>
        <w:pStyle w:val="Heading3"/>
      </w:pPr>
      <w:bookmarkStart w:id="2987" w:name="_Toc2247"/>
      <w:r>
        <w:t>•تبیین ترکیب جمل / نحو / فارسی</w:t>
      </w:r>
      <w:bookmarkEnd w:id="2987"/>
    </w:p>
    <w:p>
      <w:pPr>
        <w:pStyle w:val="BookText"/>
      </w:pPr>
      <w:r>
        <w:rPr>
          <w:rFonts w:ascii="Times New Roman" w:hAnsi="Times New Roman" w:eastAsia="Times New Roman" w:cs="Times New Roman"/>
          <w:lang w:val="en-US" w:bidi="en-US"/>
          <w:color w:val="111111"/>
          <w:sz w:val="28"/>
          <w:szCs w:val="28"/>
          <w:rtl/>
        </w:rPr>
        <w:t xml:space="preserve">tabyīn-e tarkīb-e jomal</w:t>
      </w:r>
    </w:p>
    <w:p>
      <w:pPr>
        <w:pStyle w:val="BookText"/>
      </w:pPr>
      <w:r>
        <w:rPr>
          <w:rFonts w:ascii="IRNazanin" w:hAnsi="IRNazanin" w:eastAsia="IRNazanin" w:cs="IRNazanin"/>
          <w:lang w:bidi="fa-IR"/>
          <w:color w:val="111111"/>
          <w:sz w:val="28"/>
          <w:szCs w:val="28"/>
          <w:rtl/>
        </w:rPr>
        <w:t xml:space="preserve">ونلت راما راد</w:t>
      </w:r>
    </w:p>
    <w:p>
      <w:pPr>
        <w:pStyle w:val="BookText"/>
      </w:pPr>
      <w:r>
        <w:rPr>
          <w:rFonts w:ascii="IRNazanin" w:hAnsi="IRNazanin" w:eastAsia="IRNazanin" w:cs="IRNazanin"/>
          <w:lang w:bidi="fa-IR"/>
          <w:color w:val="111111"/>
          <w:sz w:val="28"/>
          <w:szCs w:val="28"/>
          <w:rtl/>
        </w:rPr>
        <w:t xml:space="preserve">یزد؛ وزیری؛ شماره نسخه:۳۸۷۵/۱</w:t>
      </w:r>
    </w:p>
    <w:p>
      <w:pPr>
        <w:pStyle w:val="BookText"/>
      </w:pPr>
      <w:r>
        <w:rPr>
          <w:rFonts w:ascii="IRNazanin" w:hAnsi="IRNazanin" w:eastAsia="IRNazanin" w:cs="IRNazanin"/>
          <w:lang w:bidi="fa-IR"/>
          <w:color w:val="111111"/>
          <w:sz w:val="28"/>
          <w:szCs w:val="28"/>
          <w:rtl/>
        </w:rPr>
        <w:t xml:space="preserve">آغاز: بسمله جميع ستایش و نیاش مرآن بی نحو را سزا و رواست خط: نستعلیق، بی کا، بی تا، کاغذ: سمرقندی، جلد: مقوایی روکش گالینگور قرمز عطف تیماج قرمز، ۱۲ص (۱-۱۲)، ۱۱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۵-۱۸۲۹]</w:t>
      </w:r>
    </w:p>
    <w:p>
      <w:pPr>
        <w:pStyle w:val="Heading3"/>
      </w:pPr>
      <w:bookmarkStart w:id="2988" w:name="_Toc2248"/>
      <w:r>
        <w:t>•تبیین الحجر (رسالة في) / کیمیا / عربی</w:t>
      </w:r>
      <w:bookmarkEnd w:id="2988"/>
    </w:p>
    <w:p>
      <w:pPr>
        <w:pStyle w:val="BookText"/>
      </w:pPr>
      <w:r>
        <w:rPr>
          <w:rFonts w:ascii="Times New Roman" w:hAnsi="Times New Roman" w:eastAsia="Times New Roman" w:cs="Times New Roman"/>
          <w:lang w:val="en-US" w:bidi="en-US"/>
          <w:color w:val="111111"/>
          <w:sz w:val="28"/>
          <w:szCs w:val="28"/>
          <w:rtl/>
        </w:rPr>
        <w:t xml:space="preserve">tabyīn-ul ḥajar (r.-un fi)</w:t>
      </w:r>
    </w:p>
    <w:p>
      <w:pPr>
        <w:pStyle w:val="BookText"/>
      </w:pPr>
      <w:r>
        <w:rPr>
          <w:rFonts w:ascii="IRNazanin" w:hAnsi="IRNazanin" w:eastAsia="IRNazanin" w:cs="IRNazanin"/>
          <w:lang w:bidi="fa-IR"/>
          <w:color w:val="111111"/>
          <w:sz w:val="28"/>
          <w:szCs w:val="28"/>
          <w:rtl/>
        </w:rPr>
        <w:t xml:space="preserve">طغرائی، حسین بن علی، ۴۵۵-۵۱۴ قمری</w:t>
      </w:r>
    </w:p>
    <w:p>
      <w:pPr>
        <w:pStyle w:val="BookText"/>
      </w:pPr>
      <w:r>
        <w:rPr>
          <w:rFonts w:ascii="Times New Roman" w:hAnsi="Times New Roman" w:eastAsia="Times New Roman" w:cs="Times New Roman"/>
          <w:lang w:val="en-US" w:bidi="en-US"/>
          <w:color w:val="111111"/>
          <w:sz w:val="28"/>
          <w:szCs w:val="28"/>
          <w:rtl/>
        </w:rPr>
        <w:t xml:space="preserve">toqrā’ī, hoseyn ebn-e ‘alī (1064-1121)</w:t>
      </w:r>
    </w:p>
    <w:p>
      <w:pPr>
        <w:pStyle w:val="BookText"/>
      </w:pPr>
      <w:r>
        <w:rPr>
          <w:rFonts w:ascii="IRNazanin" w:hAnsi="IRNazanin" w:eastAsia="IRNazanin" w:cs="IRNazanin"/>
          <w:lang w:bidi="fa-IR"/>
          <w:color w:val="111111"/>
          <w:sz w:val="28"/>
          <w:szCs w:val="28"/>
          <w:rtl/>
        </w:rPr>
        <w:t xml:space="preserve">در بیان و توضیح حجر در لسان حکمای علم کیمیا. احتمالا بخشی از یکی از کتاب های او است.</w:t>
      </w:r>
    </w:p>
    <w:p>
      <w:pPr>
        <w:pStyle w:val="BookText"/>
      </w:pPr>
      <w:r>
        <w:rPr>
          <w:rFonts w:ascii="IRNazanin" w:hAnsi="IRNazanin" w:eastAsia="IRNazanin" w:cs="IRNazanin"/>
          <w:lang w:bidi="fa-IR"/>
          <w:color w:val="111111"/>
          <w:sz w:val="28"/>
          <w:szCs w:val="28"/>
          <w:rtl/>
        </w:rPr>
        <w:t xml:space="preserve">قم: مرکز مطالعات؛ شماره نسخه:۹۱۱/۳</w:t>
      </w:r>
    </w:p>
    <w:p>
      <w:pPr>
        <w:pStyle w:val="BookText"/>
      </w:pPr>
      <w:r>
        <w:rPr>
          <w:rFonts w:ascii="IRNazanin" w:hAnsi="IRNazanin" w:eastAsia="IRNazanin" w:cs="IRNazanin"/>
          <w:lang w:bidi="fa-IR"/>
          <w:color w:val="111111"/>
          <w:sz w:val="28"/>
          <w:szCs w:val="28"/>
          <w:rtl/>
        </w:rPr>
        <w:t xml:space="preserve">آغاز: بسمله، اعلم ان الحجر هو الطبايع المفرد لهذا صح لهم أن ينقوا كل شيء قال الطغرائي لان حجر هم الذي هو الطبايع ساوی كل شيء خط: نستعلیق، بی کا، بی تا؛ جلد: تیماج مشکی، ۲گ (۳۵ر۱۳۶)، ۱۱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۲-۱۷۵]</w:t>
      </w:r>
    </w:p>
    <w:p>
      <w:pPr>
        <w:pStyle w:val="Heading3"/>
      </w:pPr>
      <w:bookmarkStart w:id="2989" w:name="_Toc2249"/>
      <w:r>
        <w:t>•تبیین حدود خراسان / اسناد / فارسی</w:t>
      </w:r>
      <w:bookmarkEnd w:id="2989"/>
    </w:p>
    <w:p>
      <w:pPr>
        <w:pStyle w:val="BookText"/>
      </w:pPr>
      <w:r>
        <w:rPr>
          <w:rFonts w:ascii="Times New Roman" w:hAnsi="Times New Roman" w:eastAsia="Times New Roman" w:cs="Times New Roman"/>
          <w:lang w:val="en-US" w:bidi="en-US"/>
          <w:color w:val="111111"/>
          <w:sz w:val="28"/>
          <w:szCs w:val="28"/>
          <w:rtl/>
        </w:rPr>
        <w:t xml:space="preserve">tabyīn-e hodūd-e xorāsān</w:t>
      </w:r>
    </w:p>
    <w:p>
      <w:pPr>
        <w:pStyle w:val="BookText"/>
      </w:pPr>
      <w:r>
        <w:rPr>
          <w:rFonts w:ascii="IRNazanin" w:hAnsi="IRNazanin" w:eastAsia="IRNazanin" w:cs="IRNazanin"/>
          <w:lang w:bidi="fa-IR"/>
          <w:color w:val="111111"/>
          <w:sz w:val="28"/>
          <w:szCs w:val="28"/>
          <w:rtl/>
        </w:rPr>
        <w:t xml:space="preserve">۱. تهران، ملک، شماره نسخه: ۴۳۲۶/۳۰</w:t>
      </w:r>
    </w:p>
    <w:p>
      <w:pPr>
        <w:pStyle w:val="BookText"/>
      </w:pPr>
      <w:r>
        <w:rPr>
          <w:rFonts w:ascii="IRNazanin" w:hAnsi="IRNazanin" w:eastAsia="IRNazanin" w:cs="IRNazanin"/>
          <w:lang w:bidi="fa-IR"/>
          <w:color w:val="111111"/>
          <w:sz w:val="28"/>
          <w:szCs w:val="28"/>
          <w:rtl/>
        </w:rPr>
        <w:t xml:space="preserve">آغاز: بنا بدستور واحد المضمون مأمور اعليحضرت ... سليمان خان صاحب اختیار امیر تومان، و مأمور اعليحضرت ... نقولا قوزمین قارادیف، در خصوص قرارداد آب و تعیین زمین در میان اهالی؛ انجام: سیلمان خان صاحب اختیار امیر تومان. در نه «فصل»، به تاریخ ۲۸ شعبان ۱۳۰۱؛ خط: شکسته نستعلیق، بی کا، بی تا؛ ارقام سياق؛ کاغذ: فرنگی، جلد: رویه میشن سبز، کگی (۱۱۵پ -۱۱۶ر)، اندازه: ۲۱/۹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۷-۳۵۱]</w:t>
      </w:r>
    </w:p>
    <w:p>
      <w:pPr>
        <w:pStyle w:val="BookText"/>
      </w:pPr>
      <w:r>
        <w:rPr>
          <w:rFonts w:ascii="IRNazanin" w:hAnsi="IRNazanin" w:eastAsia="IRNazanin" w:cs="IRNazanin"/>
          <w:lang w:bidi="fa-IR"/>
          <w:color w:val="111111"/>
          <w:sz w:val="28"/>
          <w:szCs w:val="28"/>
          <w:rtl/>
        </w:rPr>
        <w:t xml:space="preserve">۲. تهران؛ ملک؛ شماره نسخه: ۴۳۲۶/۳۲</w:t>
      </w:r>
    </w:p>
    <w:p>
      <w:pPr>
        <w:pStyle w:val="BookText"/>
      </w:pPr>
      <w:r>
        <w:rPr>
          <w:rFonts w:ascii="IRNazanin" w:hAnsi="IRNazanin" w:eastAsia="IRNazanin" w:cs="IRNazanin"/>
          <w:lang w:bidi="fa-IR"/>
          <w:color w:val="111111"/>
          <w:sz w:val="28"/>
          <w:szCs w:val="28"/>
          <w:rtl/>
        </w:rPr>
        <w:t xml:space="preserve">آغاز: بنا بدستور العمل واحد المضمون مأمور اعليحضرت؛ انجام: سلیمان خان صاحب اختیار امیر تومان تبیین حدود خراسان در کنار رودخانه دو شاخ: (فارسی) در دو فصل، به تاریخ ۱۴ شعبان ۱۳۰۱. به امضای امیر تومان سلیمان خان و نقولا قوزمین قارادایف (از طرف روس)؛ خط: شکسته نستعلیق، بی کا، بی تا؛ ارقام سياق؛ کاغذ: فرنگی، جلد: رویه میشن سبز،</w:t>
      </w:r>
    </w:p>
    <w:p>
      <w:pPr>
        <w:pStyle w:val="BookText"/>
      </w:pPr>
      <w:r>
        <w:rPr>
          <w:rFonts w:ascii="IRNazanin" w:hAnsi="IRNazanin" w:eastAsia="IRNazanin" w:cs="IRNazanin"/>
          <w:lang w:bidi="fa-IR"/>
          <w:color w:val="111111"/>
          <w:sz w:val="28"/>
          <w:szCs w:val="28"/>
          <w:rtl/>
        </w:rPr>
        <w:t xml:space="preserve">اص (۱۱۹پ)، اندازه: ۲۱/۹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۷-۳۵۱]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ملک، شماره نسخه: ۴۳۲۶/۳۳</w:t>
      </w:r>
    </w:p>
    <w:p>
      <w:pPr>
        <w:pStyle w:val="BookText"/>
      </w:pPr>
      <w:r>
        <w:rPr>
          <w:rFonts w:ascii="IRNazanin" w:hAnsi="IRNazanin" w:eastAsia="IRNazanin" w:cs="IRNazanin"/>
          <w:lang w:bidi="fa-IR"/>
          <w:color w:val="111111"/>
          <w:sz w:val="28"/>
          <w:szCs w:val="28"/>
          <w:rtl/>
        </w:rPr>
        <w:t xml:space="preserve">آغاز: بنا بدستور العمل واحد المضمون؛ انجام: سلیمان خان صاحب اختیار امیر تومان تبیین حدود خراسان در خصوص قرارداد آب و تعیین زمان در میان اهالی اتک و اهالی سرحدیه در جز و کلات، در دو فصل، به تاریخ ۱۴ شعبان همان سال به امضای همان دو کس؛ خط: شکسته نستعلیق، بی کا، بی تا؛ ارقام سياق؛ کاغذ: فرنگی، جلد: رویه میشن سبز، اص (۱۲۱پ)،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۲۱/۹ سم [ف: ۷-۳۵۱]</w:t>
      </w:r>
    </w:p>
    <w:p>
      <w:pPr>
        <w:pStyle w:val="BookText"/>
      </w:pPr>
      <w:r>
        <w:rPr>
          <w:rFonts w:ascii="IRNazanin" w:hAnsi="IRNazanin" w:eastAsia="IRNazanin" w:cs="IRNazanin"/>
          <w:lang w:bidi="fa-IR"/>
          <w:color w:val="111111"/>
          <w:sz w:val="28"/>
          <w:szCs w:val="28"/>
          <w:rtl/>
        </w:rPr>
        <w:t xml:space="preserve">۴. تهران، ملک؛ شماره نسخه: ۴۳۲۶/۳۴</w:t>
      </w:r>
    </w:p>
    <w:p>
      <w:pPr>
        <w:pStyle w:val="BookText"/>
      </w:pPr>
      <w:r>
        <w:rPr>
          <w:rFonts w:ascii="IRNazanin" w:hAnsi="IRNazanin" w:eastAsia="IRNazanin" w:cs="IRNazanin"/>
          <w:lang w:bidi="fa-IR"/>
          <w:color w:val="111111"/>
          <w:sz w:val="28"/>
          <w:szCs w:val="28"/>
          <w:rtl/>
        </w:rPr>
        <w:t xml:space="preserve">آغاز: بنا بدستور العمل واحد المضمون؛ انجام: سلیمان خان صاحب اختیار امیر تومان تبیین حدود خراسان در خصوص تعیین زمین و آب: (فارسی) در هفت فصل، به امضای همان دو کس مورخ ۹ رمضان ۱۳۰۱؛ خط: شکسته نستعلیق، بی کا، بی تا؛ ارقام سياق؛ كاغذ: فرنگی، جلد: رویه میشن سبز، ۲گ (۱۲۳پ -۱۲۴ر)، اندازه: ۲۱/۹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۳۵۲-۷ ]</w:t>
      </w:r>
    </w:p>
    <w:p>
      <w:pPr>
        <w:pStyle w:val="BookText"/>
      </w:pPr>
      <w:r>
        <w:rPr>
          <w:rFonts w:ascii="IRNazanin" w:hAnsi="IRNazanin" w:eastAsia="IRNazanin" w:cs="IRNazanin"/>
          <w:lang w:bidi="fa-IR"/>
          <w:color w:val="111111"/>
          <w:sz w:val="28"/>
          <w:szCs w:val="28"/>
          <w:rtl/>
        </w:rPr>
        <w:t xml:space="preserve">۵. تهران؛ ملک؛ شماره نسخه: ۴۳۲۶/۳۵</w:t>
      </w:r>
    </w:p>
    <w:p>
      <w:pPr>
        <w:pStyle w:val="BookText"/>
      </w:pPr>
      <w:r>
        <w:rPr>
          <w:rFonts w:ascii="IRNazanin" w:hAnsi="IRNazanin" w:eastAsia="IRNazanin" w:cs="IRNazanin"/>
          <w:lang w:bidi="fa-IR"/>
          <w:color w:val="111111"/>
          <w:sz w:val="28"/>
          <w:szCs w:val="28"/>
          <w:rtl/>
        </w:rPr>
        <w:t xml:space="preserve">آغاز: بنا بدستور العمل واحد المضمون؛ انجام: سلیمان خان صاحب اختیار امیر تومان تبیین حدود خراسان و تعیین زمین و آب اهالی اتک و کلات، در نه فصل، بتاریخ ۵ جمادی الاول ۱۳۰۱ به امضای همان دو کس؛ خط: شکسته نستعلیق، بی کا، بی تا؛ ارقام سياق؛ کاغذ: فرنگی، جلد: رویه میشن سبز، ۳گ (۱۲۵-۱۲۷ر)، اندازه: ۲۱/۹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۷-۳۵۲]</w:t>
      </w:r>
    </w:p>
    <w:p>
      <w:pPr>
        <w:pStyle w:val="Heading3"/>
      </w:pPr>
      <w:bookmarkStart w:id="2990" w:name="_Toc2250"/>
      <w:r>
        <w:t>•تبیین الحقائق في شرح کنز الدقائق / فقه / عربی</w:t>
      </w:r>
      <w:bookmarkEnd w:id="2990"/>
    </w:p>
    <w:p>
      <w:pPr>
        <w:pStyle w:val="BookText"/>
      </w:pPr>
      <w:r>
        <w:rPr>
          <w:rFonts w:ascii="Times New Roman" w:hAnsi="Times New Roman" w:eastAsia="Times New Roman" w:cs="Times New Roman"/>
          <w:lang w:val="en-US" w:bidi="en-US"/>
          <w:color w:val="111111"/>
          <w:sz w:val="28"/>
          <w:szCs w:val="28"/>
          <w:rtl/>
        </w:rPr>
        <w:t xml:space="preserve">tabyīn-ul ḥaqā'iq fī š.-i kanz-ud daqā'iq
</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bookmarkStart w:id="686" w:name="pg20363_210038"/>
    <w:bookmarkEnd w:id="686"/>
    <w:p>
      <w:pPr>
        <w:pStyle w:val="BookText"/>
      </w:pPr>
      <w:r>
        <w:rPr>
          <w:rFonts w:ascii="IRNazanin" w:hAnsi="IRNazanin" w:eastAsia="IRNazanin" w:cs="IRNazanin"/>
          <w:lang w:bidi="fa-IR"/>
          <w:color w:val="111111"/>
          <w:sz w:val="28"/>
          <w:szCs w:val="28"/>
          <w:rtl/>
        </w:rPr>
        <w:t xml:space="preserve">زیلعی، عثمان بن على،-۷۴۳ قمری</w:t>
      </w:r>
    </w:p>
    <w:p>
      <w:pPr>
        <w:pStyle w:val="BookText"/>
      </w:pPr>
      <w:r>
        <w:rPr>
          <w:rFonts w:ascii="Times New Roman" w:hAnsi="Times New Roman" w:eastAsia="Times New Roman" w:cs="Times New Roman"/>
          <w:lang w:val="en-US" w:bidi="en-US"/>
          <w:color w:val="111111"/>
          <w:sz w:val="28"/>
          <w:szCs w:val="28"/>
          <w:rtl/>
        </w:rPr>
        <w:t xml:space="preserve">zayla 7, ‘osmān ebn-e ‘alī (-1343)</w:t>
      </w:r>
    </w:p>
    <w:p>
      <w:pPr>
        <w:pStyle w:val="BookText"/>
      </w:pPr>
      <w:r>
        <w:rPr>
          <w:rFonts w:ascii="IRNazanin" w:hAnsi="IRNazanin" w:eastAsia="IRNazanin" w:cs="IRNazanin"/>
          <w:lang w:bidi="fa-IR"/>
          <w:color w:val="111111"/>
          <w:sz w:val="28"/>
          <w:szCs w:val="28"/>
          <w:rtl/>
        </w:rPr>
        <w:t xml:space="preserve">وابسته به: کنز الدقائق؛ نسفی، عبدالله بن احمد (-۷۱۰) شرحی است متوسط و استدلالی بر کتاب «کنز الدقائق» در فقه حنفی. این شرح نسبتا مفصل و در ۶ جزء نگاشته شده است. با عنوانهای «قال قال» که شارح در آن فروعی نیز بر متن اصلی افزوده است. آغاز: الحمدلله الذي شرح صدور العارفين بنور هدایته و زینها بالايمان و ما ألهمها من حكمته چاپ: مصر، جزء۶، ۱۳۰۳ق؛ بولاق، ۱۳۱۳ و ۱۳۱۵ ق.</w:t>
      </w:r>
    </w:p>
    <w:p>
      <w:pPr>
        <w:pStyle w:val="BookText"/>
      </w:pPr>
      <w:r>
        <w:rPr>
          <w:rFonts w:ascii="IRNazanin" w:hAnsi="IRNazanin" w:eastAsia="IRNazanin" w:cs="IRNazanin"/>
          <w:lang w:bidi="fa-IR"/>
          <w:color w:val="111111"/>
          <w:sz w:val="28"/>
          <w:szCs w:val="28"/>
          <w:rtl/>
        </w:rPr>
        <w:t xml:space="preserve">[دنا ۷۸۲/۲ ؛ ریحانة الادب ۴۰۳/۲ ؛ کشف الظنون ۱۵۱۵/۲ ؛ سر کیس ۹۸۸/۱ ؛ اعلام زرکلی ۳۷۳/۴ ؛ معجم المطبوعات العربية ۹۸۸/1 ؛ الاوقاف العامة بغداد ۳۹۰/۱ و ۳۹۱/۱</w:t>
      </w:r>
    </w:p>
    <w:p>
      <w:pPr>
        <w:pStyle w:val="BookText"/>
      </w:pPr>
      <w:r>
        <w:rPr>
          <w:rFonts w:ascii="Amiri" w:hAnsi="Amiri" w:eastAsia="Amiri" w:cs="Amiri"/>
          <w:lang w:bidi="ar-SA"/>
          <w:color w:val="111111"/>
          <w:sz w:val="28"/>
          <w:szCs w:val="28"/>
          <w:rtl/>
        </w:rPr>
        <w:t xml:space="preserve">و ۳۹۲/۱ ؛ الأوقاف العامة موصل ۶۹/۴ و ۷۰/۴ ]</w:t>
      </w:r>
    </w:p>
    <w:p>
      <w:pPr>
        <w:pStyle w:val="BookText"/>
      </w:pPr>
      <w:r>
        <w:rPr>
          <w:rFonts w:ascii="IRNazanin" w:hAnsi="IRNazanin" w:eastAsia="IRNazanin" w:cs="IRNazanin"/>
          <w:lang w:bidi="fa-IR"/>
          <w:color w:val="111111"/>
          <w:sz w:val="28"/>
          <w:szCs w:val="28"/>
          <w:rtl/>
        </w:rPr>
        <w:t xml:space="preserve">۱. قم؛ مرعشی؛ شماره نسخه: ۱۲۹۰</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انجام: و آن ملک أمه لا تصير أم ولد له لعدم ثبوت نسبه.</w:t>
      </w:r>
    </w:p>
    <w:p>
      <w:pPr>
        <w:pStyle w:val="BookText"/>
      </w:pPr>
      <w:r>
        <w:rPr>
          <w:rFonts w:ascii="IRNazanin" w:hAnsi="IRNazanin" w:eastAsia="IRNazanin" w:cs="IRNazanin"/>
          <w:lang w:bidi="fa-IR"/>
          <w:color w:val="111111"/>
          <w:sz w:val="28"/>
          <w:szCs w:val="28"/>
          <w:rtl/>
        </w:rPr>
        <w:t xml:space="preserve">و الله اعلم بالصواب جلد اول، به باب استیلاد ختم می گردد؛ خط: نسخ، كا: شعبان بن شیخ مکرمین، تا: چهارشنبه ۲ ربیع الاول ۷۹۳ق، به جهت عبدالکریم حنفی از اقی؛ مصحح، محشی؛ وقف نامه کتاب به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۲۸سم [ف: ۴-۸۶]</w:t>
      </w:r>
    </w:p>
    <w:p>
      <w:pPr>
        <w:pStyle w:val="BookText"/>
      </w:pPr>
      <w:r>
        <w:rPr>
          <w:rFonts w:ascii="IRNazanin" w:hAnsi="IRNazanin" w:eastAsia="IRNazanin" w:cs="IRNazanin"/>
          <w:lang w:bidi="fa-IR"/>
          <w:color w:val="111111"/>
          <w:sz w:val="28"/>
          <w:szCs w:val="28"/>
          <w:rtl/>
        </w:rPr>
        <w:t xml:space="preserve">۲. قم؛ مرعشی؛ شماره نسخه: ۴۲۸۹</w:t>
      </w:r>
    </w:p>
    <w:p>
      <w:pPr>
        <w:pStyle w:val="BookText"/>
      </w:pPr>
      <w:r>
        <w:rPr>
          <w:rFonts w:ascii="IRNazanin" w:hAnsi="IRNazanin" w:eastAsia="IRNazanin" w:cs="IRNazanin"/>
          <w:lang w:bidi="fa-IR"/>
          <w:color w:val="111111"/>
          <w:sz w:val="28"/>
          <w:szCs w:val="28"/>
          <w:rtl/>
        </w:rPr>
        <w:t xml:space="preserve">جلد اول؛ خط: نسخ معرب، بی کا، تا: قرن ۹، افتادگی: آغاز و انجام؛ مصحح؛ جلد: مقوایی عطف گالینگور قرمز، ۱۶۷گ، ۲۳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۲۷/۵ سم [ف: ۱۱-۲۸۶]</w:t>
      </w:r>
    </w:p>
    <w:p>
      <w:pPr>
        <w:pStyle w:val="BookText"/>
      </w:pPr>
      <w:r>
        <w:rPr>
          <w:rFonts w:ascii="IRNazanin" w:hAnsi="IRNazanin" w:eastAsia="IRNazanin" w:cs="IRNazanin"/>
          <w:lang w:bidi="fa-IR"/>
          <w:color w:val="111111"/>
          <w:sz w:val="28"/>
          <w:szCs w:val="28"/>
          <w:rtl/>
        </w:rPr>
        <w:t xml:space="preserve">٣. تهران؛ مجلس؛ شماره نسخه:۱۴۰۲۵</w:t>
      </w:r>
    </w:p>
    <w:p>
      <w:pPr>
        <w:pStyle w:val="BookText"/>
      </w:pPr>
      <w:r>
        <w:rPr>
          <w:rFonts w:ascii="IRNazanin" w:hAnsi="IRNazanin" w:eastAsia="IRNazanin" w:cs="IRNazanin"/>
          <w:lang w:bidi="fa-IR"/>
          <w:color w:val="111111"/>
          <w:sz w:val="28"/>
          <w:szCs w:val="28"/>
          <w:rtl/>
        </w:rPr>
        <w:t xml:space="preserve">آغاز: لانه خرج عن ملکه بالبيع قال و يقسم في المنقول و العقار المشتري و دعوى الملک ای يقسم في المنقول الموروث و العقار المشتري و فيما اذا ادعوا الملك؛ انجام: لو ماتت المرأة و خلفت ثلاث اخوات متفرقات و زوجا ... و لو جعلت كانها لم تكن لكانت من ستة و بقی سهم للعصبة و الله سبحانه و تعالی اعلم بالصواب.</w:t>
      </w:r>
    </w:p>
    <w:p>
      <w:pPr>
        <w:pStyle w:val="BookText"/>
      </w:pPr>
      <w:r>
        <w:rPr>
          <w:rFonts w:ascii="IRNazanin" w:hAnsi="IRNazanin" w:eastAsia="IRNazanin" w:cs="IRNazanin"/>
          <w:lang w:bidi="fa-IR"/>
          <w:color w:val="111111"/>
          <w:sz w:val="28"/>
          <w:szCs w:val="28"/>
          <w:rtl/>
        </w:rPr>
        <w:t xml:space="preserve">جلد چهارم، از نیمه کتاب قبل از «کتاب المزارعه» تا آخر شرح؛ خط: نسخ، كا: عبدالرحمن محمد بن اسمعیل حنفی شهیر به کر کی، تا: جمعه ۲۲ جمادی الاول ۸۳۸ق؛ جلد: گالینگور قهوه ای، ۲۴۰ گ، ۲۵ سطر،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سم [ف: ۳۸-۴۵]</w:t>
      </w:r>
    </w:p>
    <w:p>
      <w:pPr>
        <w:pStyle w:val="BookText"/>
      </w:pPr>
      <w:r>
        <w:rPr>
          <w:rFonts w:ascii="IRNazanin" w:hAnsi="IRNazanin" w:eastAsia="IRNazanin" w:cs="IRNazanin"/>
          <w:lang w:bidi="fa-IR"/>
          <w:color w:val="111111"/>
          <w:sz w:val="28"/>
          <w:szCs w:val="28"/>
          <w:rtl/>
        </w:rPr>
        <w:t xml:space="preserve">۴. قم؛ مرعشی؛ شماره نسخه:۳۵۴۴</w:t>
      </w:r>
    </w:p>
    <w:p>
      <w:pPr>
        <w:pStyle w:val="BookText"/>
      </w:pPr>
      <w:r>
        <w:rPr>
          <w:rFonts w:ascii="IRNazanin" w:hAnsi="IRNazanin" w:eastAsia="IRNazanin" w:cs="IRNazanin"/>
          <w:lang w:bidi="fa-IR"/>
          <w:color w:val="111111"/>
          <w:sz w:val="28"/>
          <w:szCs w:val="28"/>
          <w:rtl/>
        </w:rPr>
        <w:t xml:space="preserve">کتاب طهارت تا کتاب الوقف؛ خط: نسخ، كا: محمد بن سلامة بن قاسم مدینی حنفی، تا: ۸ محرم ۹۷۶ق؛ مصحح، تملك: عبدالرحمن بن حسين و مهر مربع؛ جلد: تیماج مقوایی عطف</w:t>
      </w:r>
    </w:p>
    <w:p>
      <w:pPr>
        <w:pStyle w:val="BookText"/>
      </w:pPr>
      <w:r>
        <w:rPr>
          <w:rFonts w:ascii="IRNazanin" w:hAnsi="IRNazanin" w:eastAsia="IRNazanin" w:cs="IRNazanin"/>
          <w:lang w:bidi="fa-IR"/>
          <w:color w:val="111111"/>
          <w:sz w:val="28"/>
          <w:szCs w:val="28"/>
          <w:rtl/>
        </w:rPr>
        <w:t xml:space="preserve">گالینگور نیلی، ۳۲۴گ، ۳۱ سطر،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۹-۳۳۸]</w:t>
      </w:r>
    </w:p>
    <w:p>
      <w:pPr>
        <w:pStyle w:val="BookText"/>
      </w:pPr>
      <w:r>
        <w:rPr>
          <w:rFonts w:ascii="IRNazanin" w:hAnsi="IRNazanin" w:eastAsia="IRNazanin" w:cs="IRNazanin"/>
          <w:lang w:bidi="fa-IR"/>
          <w:color w:val="111111"/>
          <w:sz w:val="28"/>
          <w:szCs w:val="28"/>
          <w:rtl/>
        </w:rPr>
        <w:t xml:space="preserve">۵. تهران؛ ملی؛ شماره نسخه: ۲۶۴۳</w:t>
      </w:r>
    </w:p>
    <w:p>
      <w:pPr>
        <w:pStyle w:val="BookText"/>
      </w:pPr>
      <w:r>
        <w:rPr>
          <w:rFonts w:ascii="IRNazanin" w:hAnsi="IRNazanin" w:eastAsia="IRNazanin" w:cs="IRNazanin"/>
          <w:lang w:bidi="fa-IR"/>
          <w:color w:val="111111"/>
          <w:sz w:val="28"/>
          <w:szCs w:val="28"/>
          <w:rtl/>
        </w:rPr>
        <w:t xml:space="preserve">آغاز: کتاب الوكالة الوكالة الحفظ و منه الوكيل في اسماء الله تعالی و لهذا قلنا فيمن قال و کلتک؛ انجام: فاذا استوفت الاخت نصيبها و هو ثلثة بقى خمسة و لو جعلت كانها لم تكن لكانت من ستة و بقی سهم للعصبة؛ و الله اعلم بالصواب. تم الكتاب ...</w:t>
      </w:r>
    </w:p>
    <w:p>
      <w:pPr>
        <w:pStyle w:val="BookText"/>
      </w:pPr>
      <w:r>
        <w:rPr>
          <w:rFonts w:ascii="IRNazanin" w:hAnsi="IRNazanin" w:eastAsia="IRNazanin" w:cs="IRNazanin"/>
          <w:lang w:bidi="fa-IR"/>
          <w:color w:val="111111"/>
          <w:sz w:val="28"/>
          <w:szCs w:val="28"/>
          <w:rtl/>
        </w:rPr>
        <w:t xml:space="preserve">ظاهرة جزء سوم و مشتمل بر مباحث: كتاب الوکالة، کتاب الدعوی، کتاب الاقرار، کتاب الصلح، کتاب المضاربة، کتاب الوديعة، کتاب العارية، کتاب الهبة، کتاب الاجارة ...، کتاب الفرائض؛ خط: نسخ، بی کا، تا: ۹۸۷ق؛ مصحح، کاغذ: اصفهانی نخودی و فرنگی شکری، جلد: تیماج تریاکی، ۴۰۲، ۲۵-۳۱ سطر (۱۳</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۱۹/۵)،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۱۳-۵۷]</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ملی؛ شماره نسخه:۳۰۴۹</w:t>
      </w:r>
    </w:p>
    <w:p>
      <w:pPr>
        <w:pStyle w:val="BookText"/>
      </w:pPr>
      <w:r>
        <w:rPr>
          <w:rFonts w:ascii="IRNazanin" w:hAnsi="IRNazanin" w:eastAsia="IRNazanin" w:cs="IRNazanin"/>
          <w:lang w:bidi="fa-IR"/>
          <w:color w:val="111111"/>
          <w:sz w:val="28"/>
          <w:szCs w:val="28"/>
          <w:rtl/>
        </w:rPr>
        <w:t xml:space="preserve">آغاز: برابر؛ انجام: و لوقام الامام في الكعبة و تخلفه المقتدون حولها جاز اذا كان الباب مفتوحة لانه كقيامه في المحراب في غيرها من المساجد و الله الهادي للصواب. جلد اول و کتب طهارت و صلات؛ خط: نسخ، بی کا، تا: ۱۰۷۲ق؛ مصحح؛ کاغذ: هندی نخودی، جلد: تیماج مشکی، ۲۱۵گ، ۱۹ سطر (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۱۸/۵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۱۴-۱۶۷]</w:t>
      </w:r>
    </w:p>
    <w:p>
      <w:pPr>
        <w:pStyle w:val="Heading3"/>
      </w:pPr>
      <w:bookmarkStart w:id="2991" w:name="_Toc2251"/>
      <w:r>
        <w:t>•تبیین الحق في أجل الخلق / کلام و اعتقادات / عربی</w:t>
      </w:r>
      <w:bookmarkEnd w:id="2991"/>
    </w:p>
    <w:p>
      <w:pPr>
        <w:pStyle w:val="BookText"/>
      </w:pPr>
      <w:r>
        <w:rPr>
          <w:rFonts w:ascii="Times New Roman" w:hAnsi="Times New Roman" w:eastAsia="Times New Roman" w:cs="Times New Roman"/>
          <w:lang w:val="en-US" w:bidi="en-US"/>
          <w:color w:val="111111"/>
          <w:sz w:val="28"/>
          <w:szCs w:val="28"/>
          <w:rtl/>
        </w:rPr>
        <w:t xml:space="preserve">tabyin-ul haqq fi a'jl-il xalq</w:t>
      </w:r>
    </w:p>
    <w:p>
      <w:pPr>
        <w:pStyle w:val="BookText"/>
      </w:pPr>
      <w:r>
        <w:rPr>
          <w:rFonts w:ascii="IRNazanin" w:hAnsi="IRNazanin" w:eastAsia="IRNazanin" w:cs="IRNazanin"/>
          <w:lang w:bidi="fa-IR"/>
          <w:color w:val="111111"/>
          <w:sz w:val="28"/>
          <w:szCs w:val="28"/>
          <w:rtl/>
        </w:rPr>
        <w:t xml:space="preserve">فقهی عینی، محمد، ق ۱۲ قمری</w:t>
      </w:r>
    </w:p>
    <w:p>
      <w:pPr>
        <w:pStyle w:val="BookText"/>
      </w:pPr>
      <w:r>
        <w:rPr>
          <w:rFonts w:ascii="Times New Roman" w:hAnsi="Times New Roman" w:eastAsia="Times New Roman" w:cs="Times New Roman"/>
          <w:lang w:val="en-US" w:bidi="en-US"/>
          <w:color w:val="111111"/>
          <w:sz w:val="28"/>
          <w:szCs w:val="28"/>
          <w:rtl/>
        </w:rPr>
        <w:t xml:space="preserve">feqhī “eynī, mohammad (-180)</w:t>
      </w:r>
    </w:p>
    <w:p>
      <w:pPr>
        <w:pStyle w:val="BookText"/>
      </w:pPr>
      <w:r>
        <w:rPr>
          <w:rFonts w:ascii="IRNazanin" w:hAnsi="IRNazanin" w:eastAsia="IRNazanin" w:cs="IRNazanin"/>
          <w:lang w:bidi="fa-IR"/>
          <w:color w:val="111111"/>
          <w:sz w:val="28"/>
          <w:szCs w:val="28"/>
          <w:rtl/>
        </w:rPr>
        <w:t xml:space="preserve">قم؛ مرعشی؛ شماره نسخه: ۱۳۸۳/۵</w:t>
      </w:r>
    </w:p>
    <w:p>
      <w:pPr>
        <w:pStyle w:val="BookText"/>
      </w:pPr>
      <w:r>
        <w:rPr>
          <w:rFonts w:ascii="IRNazanin" w:hAnsi="IRNazanin" w:eastAsia="IRNazanin" w:cs="IRNazanin"/>
          <w:lang w:bidi="fa-IR"/>
          <w:color w:val="111111"/>
          <w:sz w:val="28"/>
          <w:szCs w:val="28"/>
          <w:rtl/>
        </w:rPr>
        <w:t xml:space="preserve">عکسی آغاز: بسمله. الحمد لله الكبير المتعال المنزه عن الشريک و المثال الذي قدر الآجال و خلق الأعمال ... قد اعتقد كثير من المحدثین و المشايخ الصوفية أن الأعمال البر كالصدقة وصلة الرحم تزيد العمر و أن الفسق و الظلم ينقصه و حكموا بأن للخلائق أجلين معلق و مبرم؛ انجام: هذا آخر ما تصدينا بتحريره من الكلام في أجل الأنام و الحمد لله أولا و آخر و الصلوة على سيدنا محمد و آله الطيبين و رحمة الله على العلماء الصالحين آمین. خط: نسخ، بی کا، بی تا، رکابه دار، محشی با امضای «منه»؛ ۴ص ( ۸۹-۸۶)، ۲۳ سطر [عکسی ف: ۴-۱۷۰]</w:t>
      </w:r>
    </w:p>
    <w:p>
      <w:pPr>
        <w:pStyle w:val="Heading3"/>
      </w:pPr>
      <w:bookmarkStart w:id="2992" w:name="_Toc2252"/>
      <w:r>
        <w:t>•تبیین حقیقت / فارسی</w:t>
      </w:r>
      <w:bookmarkEnd w:id="2992"/>
    </w:p>
    <w:p>
      <w:pPr>
        <w:pStyle w:val="BookText"/>
      </w:pPr>
      <w:r>
        <w:rPr>
          <w:rFonts w:ascii="Times New Roman" w:hAnsi="Times New Roman" w:eastAsia="Times New Roman" w:cs="Times New Roman"/>
          <w:lang w:val="en-US" w:bidi="en-US"/>
          <w:color w:val="111111"/>
          <w:sz w:val="28"/>
          <w:szCs w:val="28"/>
          <w:rtl/>
        </w:rPr>
        <w:t xml:space="preserve">tabyīn-e haqīqat</w:t>
      </w:r>
    </w:p>
    <w:p>
      <w:pPr>
        <w:pStyle w:val="BookText"/>
      </w:pPr>
      <w:r>
        <w:rPr>
          <w:rFonts w:ascii="IRNazanin" w:hAnsi="IRNazanin" w:eastAsia="IRNazanin" w:cs="IRNazanin"/>
          <w:lang w:bidi="fa-IR"/>
          <w:color w:val="111111"/>
          <w:sz w:val="28"/>
          <w:szCs w:val="28"/>
          <w:rtl/>
        </w:rPr>
        <w:t xml:space="preserve">تهران؛ ملی؛ شماره نسخه:۱۸۳۹۷</w:t>
      </w:r>
    </w:p>
    <w:p>
      <w:pPr>
        <w:pStyle w:val="BookText"/>
      </w:pPr>
      <w:r>
        <w:rPr>
          <w:rFonts w:ascii="IRNazanin" w:hAnsi="IRNazanin" w:eastAsia="IRNazanin" w:cs="IRNazanin"/>
          <w:lang w:bidi="fa-IR"/>
          <w:color w:val="111111"/>
          <w:sz w:val="28"/>
          <w:szCs w:val="28"/>
          <w:rtl/>
        </w:rPr>
        <w:t xml:space="preserve">کا: میرزا منیر، تا: ۱۲۸۸ق، از نبیل زاده قزوینی، میرزا منیر؛ انتقالی از کتابخانه پهلوی - مجموعه نوازی؛ ۱۲۶گ، اندازه: ۱۶/۵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۲۶/۵ سم [رایانه]</w:t>
      </w:r>
    </w:p>
    <w:p>
      <w:pPr>
        <w:pStyle w:val="Heading3"/>
      </w:pPr>
      <w:bookmarkStart w:id="2993" w:name="_Toc2253"/>
      <w:r>
        <w:t>•تبیین الرأفة (فيما له من الضيافة) / ادبیات عربی</w:t>
      </w:r>
      <w:bookmarkEnd w:id="2993"/>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bookmarkStart w:id="687" w:name="pg20363_210039"/>
    <w:bookmarkEnd w:id="687"/>
    <w:p>
      <w:pPr>
        <w:pStyle w:val="BookText"/>
      </w:pPr>
      <w:r>
        <w:rPr>
          <w:rFonts w:ascii="Times New Roman" w:hAnsi="Times New Roman" w:eastAsia="Times New Roman" w:cs="Times New Roman"/>
          <w:lang w:val="en-US" w:bidi="en-US"/>
          <w:color w:val="111111"/>
          <w:sz w:val="28"/>
          <w:szCs w:val="28"/>
          <w:rtl/>
        </w:rPr>
        <w:t xml:space="preserve">tabyīn-ur ra’fa (fīmā li-1-lāh min-ad diyāfa)</w:t>
      </w:r>
    </w:p>
    <w:p>
      <w:pPr>
        <w:pStyle w:val="BookText"/>
      </w:pPr>
      <w:r>
        <w:rPr>
          <w:rFonts w:ascii="IRNazanin" w:hAnsi="IRNazanin" w:eastAsia="IRNazanin" w:cs="IRNazanin"/>
          <w:lang w:bidi="fa-IR"/>
          <w:color w:val="111111"/>
          <w:sz w:val="28"/>
          <w:szCs w:val="28"/>
          <w:rtl/>
        </w:rPr>
        <w:t xml:space="preserve">مشهد، رضوی؛ شماره نسخه:ض ۴۳۲۱</w:t>
      </w:r>
    </w:p>
    <w:p>
      <w:pPr>
        <w:pStyle w:val="BookText"/>
      </w:pPr>
      <w:r>
        <w:rPr>
          <w:rFonts w:ascii="IRNazanin" w:hAnsi="IRNazanin" w:eastAsia="IRNazanin" w:cs="IRNazanin"/>
          <w:lang w:bidi="fa-IR"/>
          <w:color w:val="111111"/>
          <w:sz w:val="28"/>
          <w:szCs w:val="28"/>
          <w:rtl/>
        </w:rPr>
        <w:t xml:space="preserve">خط: نسخ، بی کا، تا: ۹۵۲ق [الفبائی:-۱۰۳]</w:t>
      </w:r>
    </w:p>
    <w:p>
      <w:pPr>
        <w:pStyle w:val="Heading3"/>
      </w:pPr>
      <w:bookmarkStart w:id="2994" w:name="_Toc2254"/>
      <w:r>
        <w:t>•تبیین العجب فیما ورد في فضل رجب = فضائل رجب / شرح حديث / عربی</w:t>
      </w:r>
      <w:bookmarkEnd w:id="2994"/>
    </w:p>
    <w:p>
      <w:pPr>
        <w:pStyle w:val="BookText"/>
      </w:pPr>
      <w:r>
        <w:rPr>
          <w:rFonts w:ascii="Times New Roman" w:hAnsi="Times New Roman" w:eastAsia="Times New Roman" w:cs="Times New Roman"/>
          <w:lang w:val="en-US" w:bidi="en-US"/>
          <w:color w:val="111111"/>
          <w:sz w:val="28"/>
          <w:szCs w:val="28"/>
          <w:rtl/>
        </w:rPr>
        <w:t xml:space="preserve">tabyīn-ul ‘ujb fīmā warad-a fi fadl-i rajb = fadā'il-i rajb</w:t>
      </w:r>
    </w:p>
    <w:p>
      <w:pPr>
        <w:pStyle w:val="BookText"/>
      </w:pPr>
      <w:r>
        <w:rPr>
          <w:rFonts w:ascii="IRNazanin" w:hAnsi="IRNazanin" w:eastAsia="IRNazanin" w:cs="IRNazanin"/>
          <w:lang w:bidi="fa-IR"/>
          <w:color w:val="111111"/>
          <w:sz w:val="28"/>
          <w:szCs w:val="28"/>
          <w:rtl/>
        </w:rPr>
        <w:t xml:space="preserve">ابن حجر عسقلانی، احمد بن على، ۷۳۳-۸۵۲ قمری</w:t>
      </w:r>
    </w:p>
    <w:p>
      <w:pPr>
        <w:pStyle w:val="BookText"/>
      </w:pPr>
      <w:r>
        <w:rPr>
          <w:rFonts w:ascii="Times New Roman" w:hAnsi="Times New Roman" w:eastAsia="Times New Roman" w:cs="Times New Roman"/>
          <w:lang w:val="en-US" w:bidi="en-US"/>
          <w:color w:val="111111"/>
          <w:sz w:val="28"/>
          <w:szCs w:val="28"/>
          <w:rtl/>
        </w:rPr>
        <w:t xml:space="preserve">ebn-e hajar-e 'asqalānī, ahmad ebn-e ‘alī (1333-1449)</w:t>
      </w:r>
    </w:p>
    <w:p>
      <w:pPr>
        <w:pStyle w:val="BookText"/>
      </w:pPr>
      <w:r>
        <w:rPr>
          <w:rFonts w:ascii="IRNazanin" w:hAnsi="IRNazanin" w:eastAsia="IRNazanin" w:cs="IRNazanin"/>
          <w:lang w:bidi="fa-IR"/>
          <w:color w:val="111111"/>
          <w:sz w:val="28"/>
          <w:szCs w:val="28"/>
          <w:rtl/>
        </w:rPr>
        <w:t xml:space="preserve">رساله ای است در بررسی احادیث مربوط به فضایل ماه رجب که در آغاز آن به معانی رجب پرداخته، سپس ۳۸ حدیث در فضیلت صوم و صلاة در ماه رجب آورده است.</w:t>
      </w:r>
    </w:p>
    <w:p>
      <w:pPr>
        <w:pStyle w:val="BookText"/>
      </w:pPr>
      <w:r>
        <w:rPr>
          <w:rFonts w:ascii="IRNazanin" w:hAnsi="IRNazanin" w:eastAsia="IRNazanin" w:cs="IRNazanin"/>
          <w:lang w:bidi="fa-IR"/>
          <w:color w:val="111111"/>
          <w:sz w:val="28"/>
          <w:szCs w:val="28"/>
          <w:rtl/>
        </w:rPr>
        <w:t xml:space="preserve">چاپ: مصر، ۱۳۵۱ق</w:t>
      </w:r>
    </w:p>
    <w:p>
      <w:pPr>
        <w:pStyle w:val="BookText"/>
      </w:pPr>
      <w:r>
        <w:rPr>
          <w:rFonts w:ascii="IRNazanin" w:hAnsi="IRNazanin" w:eastAsia="IRNazanin" w:cs="IRNazanin"/>
          <w:lang w:bidi="fa-IR"/>
          <w:color w:val="111111"/>
          <w:sz w:val="28"/>
          <w:szCs w:val="28"/>
          <w:rtl/>
        </w:rPr>
        <w:t xml:space="preserve">[ کشف الظنون: ۱۲۷۵/۲ ؛ هدية العارفين: ۱۲۸/۱ ؛ ابن حجر عسقلانی و دراسة مصنفاته ... ۴۴۰/۱ ؛ ایضاح المكنون: ۲۲۴/۱ ]</w:t>
      </w:r>
    </w:p>
    <w:p>
      <w:pPr>
        <w:pStyle w:val="BookText"/>
      </w:pPr>
      <w:r>
        <w:rPr>
          <w:rFonts w:ascii="IRNazanin" w:hAnsi="IRNazanin" w:eastAsia="IRNazanin" w:cs="IRNazanin"/>
          <w:lang w:bidi="fa-IR"/>
          <w:color w:val="111111"/>
          <w:sz w:val="28"/>
          <w:szCs w:val="28"/>
          <w:rtl/>
        </w:rPr>
        <w:t xml:space="preserve">قم؛ مرعشی؛ شماره نسخه: ۱۴۱۱۱/۱</w:t>
      </w:r>
    </w:p>
    <w:p>
      <w:pPr>
        <w:pStyle w:val="BookText"/>
      </w:pPr>
      <w:r>
        <w:rPr>
          <w:rFonts w:ascii="IRNazanin" w:hAnsi="IRNazanin" w:eastAsia="IRNazanin" w:cs="IRNazanin"/>
          <w:lang w:bidi="fa-IR"/>
          <w:color w:val="111111"/>
          <w:sz w:val="28"/>
          <w:szCs w:val="28"/>
          <w:rtl/>
        </w:rPr>
        <w:t xml:space="preserve">آغاز: الحمدلله كثيرا و اشهد ان لا اله الا الله وحده لا شریک له و اكبر تكبيرة ... اما بعد فقد تكرر سوال جماعة من الاخوان في جمع ما ورد في فضائل شهر رجب؛ انجام: قال ابن دحية الصيام عمل بر الالفضل صوم شهر رجب فقد كان عمر ينهى عن صيامه و الله اعلم تم الكتاب ... رب العالمين آمين.</w:t>
      </w:r>
    </w:p>
    <w:p>
      <w:pPr>
        <w:pStyle w:val="BookText"/>
      </w:pPr>
      <w:r>
        <w:rPr>
          <w:rFonts w:ascii="IRNazanin" w:hAnsi="IRNazanin" w:eastAsia="IRNazanin" w:cs="IRNazanin"/>
          <w:lang w:bidi="fa-IR"/>
          <w:color w:val="111111"/>
          <w:sz w:val="28"/>
          <w:szCs w:val="28"/>
          <w:rtl/>
        </w:rPr>
        <w:t xml:space="preserve">خط: نسخ، بی کا، تا: قرن ۱۱؛ مهر «هادی بن حسن الموسوی» (بیضی)؛ کاغذ: فرنگی، ۱۹گ (۱پ -۱۹پ)، ۲۱ 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سم [ف: ۳۵-۶۴۸]</w:t>
      </w:r>
    </w:p>
    <w:p>
      <w:pPr>
        <w:pStyle w:val="Heading3"/>
      </w:pPr>
      <w:bookmarkStart w:id="2995" w:name="_Toc2255"/>
      <w:r>
        <w:t>•تبیین عهدنامه دولتين ایران و روس / اسناد / فارسی</w:t>
      </w:r>
      <w:bookmarkEnd w:id="2995"/>
    </w:p>
    <w:p>
      <w:pPr>
        <w:pStyle w:val="BookText"/>
      </w:pPr>
      <w:r>
        <w:rPr>
          <w:rFonts w:ascii="Times New Roman" w:hAnsi="Times New Roman" w:eastAsia="Times New Roman" w:cs="Times New Roman"/>
          <w:lang w:val="en-US" w:bidi="en-US"/>
          <w:color w:val="111111"/>
          <w:sz w:val="28"/>
          <w:szCs w:val="28"/>
          <w:rtl/>
        </w:rPr>
        <w:t xml:space="preserve">tabyīn-e ahd-name-ye dowlateyn-e īrān va rūs</w:t>
      </w:r>
    </w:p>
    <w:p>
      <w:pPr>
        <w:pStyle w:val="BookText"/>
      </w:pPr>
      <w:r>
        <w:rPr>
          <w:rFonts w:ascii="IRNazanin" w:hAnsi="IRNazanin" w:eastAsia="IRNazanin" w:cs="IRNazanin"/>
          <w:lang w:bidi="fa-IR"/>
          <w:color w:val="111111"/>
          <w:sz w:val="28"/>
          <w:szCs w:val="28"/>
          <w:rtl/>
        </w:rPr>
        <w:t xml:space="preserve">وابسته به: عهدنامه ایران و روس (سرحدات) تبیین عهدنامه دولتين ایران و روس راجع به حدود مشرق بحر خزر: در چهار فصل که از طرف ایران اختیار امیر تومان سلیمان خان و از طرف روس نقولا قوزمین قارادایف امضا کرده اند.</w:t>
      </w:r>
    </w:p>
    <w:p>
      <w:pPr>
        <w:pStyle w:val="BookText"/>
      </w:pPr>
      <w:r>
        <w:rPr>
          <w:rFonts w:ascii="IRNazanin" w:hAnsi="IRNazanin" w:eastAsia="IRNazanin" w:cs="IRNazanin"/>
          <w:lang w:bidi="fa-IR"/>
          <w:color w:val="111111"/>
          <w:sz w:val="28"/>
          <w:szCs w:val="28"/>
          <w:rtl/>
        </w:rPr>
        <w:t xml:space="preserve">تهران؛ ملک؛ شماره نسخه: ۴۳۲۶/۲۹</w:t>
      </w:r>
    </w:p>
    <w:p>
      <w:pPr>
        <w:pStyle w:val="BookText"/>
      </w:pPr>
      <w:r>
        <w:rPr>
          <w:rFonts w:ascii="IRNazanin" w:hAnsi="IRNazanin" w:eastAsia="IRNazanin" w:cs="IRNazanin"/>
          <w:lang w:bidi="fa-IR"/>
          <w:color w:val="111111"/>
          <w:sz w:val="28"/>
          <w:szCs w:val="28"/>
          <w:rtl/>
        </w:rPr>
        <w:t xml:space="preserve">آغاز: بموجب عهدنامه منعقده در تارخی نهم محرم ۱۲۹۹ مطابق نهم ماه دسامبر ۱۸۸۱ م فيما بين دولتين ... و بنا بر وکالت و اختیار مأمورین دولتين؛ انجام: بتاریخ ۶ شهر جمادى الأولى ۱۳۰۳ سلیمان خان صاحب اختیار امیر تومان. خط شکسته نستعلیق، بی کا، بی تا؛ ارقام سياق؛ کاغذ: فرنگی، جلد: رویه میشن سبز، ۶گ (۱۰۷پ -۱۱۲پ)، اندازه: ۲۱/۹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۷-۳۵۱]</w:t>
      </w:r>
    </w:p>
    <w:p>
      <w:pPr>
        <w:pStyle w:val="Heading3"/>
      </w:pPr>
      <w:bookmarkStart w:id="2996" w:name="_Toc2256"/>
      <w:r>
        <w:t>•التبيين في انساب القرشيين / انساب /عربی</w:t>
      </w:r>
      <w:bookmarkEnd w:id="2996"/>
    </w:p>
    <w:p>
      <w:pPr>
        <w:pStyle w:val="BookText"/>
      </w:pPr>
      <w:r>
        <w:rPr>
          <w:rFonts w:ascii="Times New Roman" w:hAnsi="Times New Roman" w:eastAsia="Times New Roman" w:cs="Times New Roman"/>
          <w:lang w:val="en-US" w:bidi="en-US"/>
          <w:color w:val="111111"/>
          <w:sz w:val="28"/>
          <w:szCs w:val="28"/>
          <w:rtl/>
        </w:rPr>
        <w:t xml:space="preserve">at-tabyīn fī ansāb-il qurašīyīn</w:t>
      </w:r>
    </w:p>
    <w:p>
      <w:pPr>
        <w:pStyle w:val="BookText"/>
      </w:pPr>
      <w:r>
        <w:rPr>
          <w:rFonts w:ascii="IRNazanin" w:hAnsi="IRNazanin" w:eastAsia="IRNazanin" w:cs="IRNazanin"/>
          <w:lang w:bidi="fa-IR"/>
          <w:color w:val="111111"/>
          <w:sz w:val="28"/>
          <w:szCs w:val="28"/>
          <w:rtl/>
        </w:rPr>
        <w:t xml:space="preserve">ابن قدامه، عبدالله بن احمد، ۵۴۱-۶۲۰ قمری</w:t>
      </w:r>
    </w:p>
    <w:p>
      <w:pPr>
        <w:pStyle w:val="BookText"/>
      </w:pPr>
      <w:r>
        <w:rPr>
          <w:rFonts w:ascii="Times New Roman" w:hAnsi="Times New Roman" w:eastAsia="Times New Roman" w:cs="Times New Roman"/>
          <w:lang w:val="en-US" w:bidi="en-US"/>
          <w:color w:val="111111"/>
          <w:sz w:val="28"/>
          <w:szCs w:val="28"/>
          <w:rtl/>
        </w:rPr>
        <w:t xml:space="preserve">ebn-e qodāma, “abd-ol-lāh ebn-e ahmad (1147-1224)</w:t>
      </w:r>
    </w:p>
    <w:p>
      <w:pPr>
        <w:pStyle w:val="BookText"/>
      </w:pPr>
      <w:r>
        <w:rPr>
          <w:rFonts w:ascii="IRNazanin" w:hAnsi="IRNazanin" w:eastAsia="IRNazanin" w:cs="IRNazanin"/>
          <w:lang w:bidi="fa-IR"/>
          <w:color w:val="111111"/>
          <w:sz w:val="28"/>
          <w:szCs w:val="28"/>
          <w:rtl/>
        </w:rPr>
        <w:t xml:space="preserve">در ذكر نسب پیامبر اکرم (ص) و اقارب آن حضرت و اولاد آنها و بیان مقداری از شرح حال و فضایل آنان. آغاز: قال الشيخ ... موفق الدين ابو محمد عبد الله بن أحمد بن محمد بن قدامة المقدسی ... هذا كتاب ذكرت فيه نسب رسول الله ( صلى الله علیه و آله) و اصحابه من اقاربه انجام: ابنا عياش الفقيهان ابو دلامه و ابو عطا السندي الشاعران، اخر الكتاب والحمد ل لله رب العالمين</w:t>
      </w:r>
    </w:p>
    <w:p>
      <w:pPr>
        <w:pStyle w:val="BookText"/>
      </w:pPr>
      <w:r>
        <w:rPr>
          <w:rFonts w:ascii="IRNazanin" w:hAnsi="IRNazanin" w:eastAsia="IRNazanin" w:cs="IRNazanin"/>
          <w:lang w:bidi="fa-IR"/>
          <w:color w:val="111111"/>
          <w:sz w:val="28"/>
          <w:szCs w:val="28"/>
          <w:rtl/>
        </w:rPr>
        <w:t xml:space="preserve">چاپ: بیروت، محقق: محمد نايف الدیلمی، عالم الكتب، مكتبة النهضة العربية، ۶۷۱ص، ۱۴۰۸ق.</w:t>
      </w:r>
    </w:p>
    <w:p>
      <w:pPr>
        <w:pStyle w:val="BookText"/>
      </w:pPr>
      <w:r>
        <w:rPr>
          <w:rFonts w:ascii="IRNazanin" w:hAnsi="IRNazanin" w:eastAsia="IRNazanin" w:cs="IRNazanin"/>
          <w:lang w:bidi="fa-IR"/>
          <w:color w:val="111111"/>
          <w:sz w:val="28"/>
          <w:szCs w:val="28"/>
          <w:rtl/>
        </w:rPr>
        <w:t xml:space="preserve">[کشف الظنون ۳۴۳/۱ ؛ هدية العارفین ۴۵۹/۱ ؛ زرکلی اعلام ۱۹۱/۴ ؛ معجم المؤلفين ۳۰/۶ ]</w:t>
      </w:r>
    </w:p>
    <w:p>
      <w:pPr>
        <w:pStyle w:val="BookText"/>
      </w:pPr>
      <w:r>
        <w:rPr>
          <w:rFonts w:ascii="IRNazanin" w:hAnsi="IRNazanin" w:eastAsia="IRNazanin" w:cs="IRNazanin"/>
          <w:lang w:bidi="fa-IR"/>
          <w:color w:val="111111"/>
          <w:sz w:val="28"/>
          <w:szCs w:val="28"/>
          <w:rtl/>
        </w:rPr>
        <w:t xml:space="preserve">۱. قم؛ مرعشی؛ شماره نسخه:۷۲۹عکسی</w:t>
      </w:r>
    </w:p>
    <w:p>
      <w:pPr>
        <w:pStyle w:val="BookText"/>
      </w:pPr>
      <w:r>
        <w:rPr>
          <w:rFonts w:ascii="IRNazanin" w:hAnsi="IRNazanin" w:eastAsia="IRNazanin" w:cs="IRNazanin"/>
          <w:lang w:bidi="fa-IR"/>
          <w:color w:val="111111"/>
          <w:sz w:val="28"/>
          <w:szCs w:val="28"/>
          <w:rtl/>
        </w:rPr>
        <w:t xml:space="preserve">آغاز و انجام: برابر نسخه اصل: چستربیتی، ش ۳۹۷۴ (اربری، فهرست خطی عربی ۷۷/۴)؛ خط: نسخ، كا: محمد بن محمد بن محمد بکری بغدادی، تا: پنج شنبه ۲۶ جمادی الثانی ۶۳۰ق؛ مصحح: ۱۲۴گ، ۲۴سطر [عکسی ف: ۲-۲۱۳]</w:t>
      </w:r>
    </w:p>
    <w:p>
      <w:pPr>
        <w:pStyle w:val="BookText"/>
      </w:pPr>
      <w:r>
        <w:rPr>
          <w:rFonts w:ascii="IRNazanin" w:hAnsi="IRNazanin" w:eastAsia="IRNazanin" w:cs="IRNazanin"/>
          <w:lang w:bidi="fa-IR"/>
          <w:color w:val="111111"/>
          <w:sz w:val="28"/>
          <w:szCs w:val="28"/>
          <w:rtl/>
        </w:rPr>
        <w:t xml:space="preserve">۲. قم؛ مرعشی؛ شماره نسخه:۳/ ۱۵۵۰ عکسی</w:t>
      </w:r>
    </w:p>
    <w:p>
      <w:pPr>
        <w:pStyle w:val="BookText"/>
      </w:pPr>
      <w:r>
        <w:rPr>
          <w:rFonts w:ascii="IRNazanin" w:hAnsi="IRNazanin" w:eastAsia="IRNazanin" w:cs="IRNazanin"/>
          <w:lang w:bidi="fa-IR"/>
          <w:color w:val="111111"/>
          <w:sz w:val="28"/>
          <w:szCs w:val="28"/>
          <w:rtl/>
        </w:rPr>
        <w:t xml:space="preserve">آغاز و انجام: برابر نسخه اصل: کتابخانه ملت در ترکیه، ش ۲۴۱۳؛ خط: نسخ، بی کا، بی تا؛ مصحح، محشی؛ این نسخه به خزانه المؤيد بالله محمد بن المنصور بالله قاسم بن محمد تقدیم شده؛ چند یادداشت از جمله به تاریخ ۱۰۹۳ ق و ۱۲۹۷ ق؛ ۶۳ص (۹۸-۱۶۰)، ۳۲ سطر [عکسی ف: ۴-۴۷۵]</w:t>
      </w:r>
    </w:p>
    <w:p>
      <w:pPr>
        <w:pStyle w:val="BookText"/>
      </w:pPr>
      <w:r>
        <w:rPr>
          <w:rFonts w:ascii="IRNazanin" w:hAnsi="IRNazanin" w:eastAsia="IRNazanin" w:cs="IRNazanin"/>
          <w:lang w:bidi="fa-IR"/>
          <w:color w:val="111111"/>
          <w:sz w:val="28"/>
          <w:szCs w:val="28"/>
          <w:rtl/>
        </w:rPr>
        <w:t xml:space="preserve">٣. قم؛ مرعشی؛ شماره نسخه: ۵۲عکسی</w:t>
      </w:r>
    </w:p>
    <w:p>
      <w:pPr>
        <w:pStyle w:val="BookText"/>
      </w:pPr>
      <w:r>
        <w:rPr>
          <w:rFonts w:ascii="IRNazanin" w:hAnsi="IRNazanin" w:eastAsia="IRNazanin" w:cs="IRNazanin"/>
          <w:lang w:bidi="fa-IR"/>
          <w:color w:val="111111"/>
          <w:sz w:val="28"/>
          <w:szCs w:val="28"/>
          <w:rtl/>
        </w:rPr>
        <w:t xml:space="preserve">آغاز: برابر؛ انجام: عمر و بن زبیر ... و من ولده الولید بن عمر و بن الزبير ... و هو من جلساء مالک ابن انس و يقال انه الذي الف له موطاء، و سعید بن عمرو اخوه روی عن نسخه اصل: رئيس الكتاب منتقله به سلیمانیه استانبول، ش ۵۹۳، قسمت اول؛ خط: نسخ، بی کا، تا: احتمالا اواسط قرن ۸ق؛ واقف: مصطفی افندی رئیس الكتاب؛ ۱۳۰گ، مختلف السطر</w:t>
      </w:r>
    </w:p>
    <w:p>
      <w:pPr>
        <w:pStyle w:val="BookText"/>
      </w:pPr>
      <w:r>
        <w:rPr>
          <w:rFonts w:ascii="IRNazanin" w:hAnsi="IRNazanin" w:eastAsia="IRNazanin" w:cs="IRNazanin"/>
          <w:lang w:bidi="fa-IR"/>
          <w:color w:val="111111"/>
          <w:sz w:val="28"/>
          <w:szCs w:val="28"/>
          <w:rtl/>
        </w:rPr>
        <w:t xml:space="preserve">[عکسی ف: ۱-۵۵]</w:t>
      </w:r>
    </w:p>
    <w:p>
      <w:pPr>
        <w:pStyle w:val="BookText"/>
      </w:pPr>
      <w:r>
        <w:rPr>
          <w:rFonts w:ascii="IRNazanin" w:hAnsi="IRNazanin" w:eastAsia="IRNazanin" w:cs="IRNazanin"/>
          <w:lang w:bidi="fa-IR"/>
          <w:color w:val="111111"/>
          <w:sz w:val="28"/>
          <w:szCs w:val="28"/>
          <w:rtl/>
        </w:rPr>
        <w:t xml:space="preserve">۴. قم؛ مرعشی؛ شماره نسخه:۵۳عکسی</w:t>
      </w:r>
    </w:p>
    <w:p>
      <w:pPr>
        <w:pStyle w:val="BookText"/>
      </w:pPr>
      <w:r>
        <w:rPr>
          <w:rFonts w:ascii="IRNazanin" w:hAnsi="IRNazanin" w:eastAsia="IRNazanin" w:cs="IRNazanin"/>
          <w:lang w:bidi="fa-IR"/>
          <w:color w:val="111111"/>
          <w:sz w:val="28"/>
          <w:szCs w:val="28"/>
          <w:rtl/>
        </w:rPr>
        <w:t xml:space="preserve">آغاز: مالک و عبد الرحمن بن ابی الزياد و ولى الشرط للعباس بن محمد بن ابراهيم؛ انجام: برابر نسخه اصل: رئيس الكتاب منتقله به سلیمانیه استانبول ش ۵۹۳. قسمت دوم؛ خط: نسخ، بی کا، تا: احتمالا اواسط قرن ۸ق؛ مصحح، در ذیقعده ۷۹۱ق با نسخه ای که بر آن سماع مصنف بوده
</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bookmarkStart w:id="688" w:name="pg20363_210040"/>
    <w:bookmarkEnd w:id="688"/>
    <w:p>
      <w:pPr>
        <w:pStyle w:val="BookText"/>
      </w:pPr>
      <w:r>
        <w:rPr>
          <w:rFonts w:ascii="IRNazanin" w:hAnsi="IRNazanin" w:eastAsia="IRNazanin" w:cs="IRNazanin"/>
          <w:lang w:bidi="fa-IR"/>
          <w:color w:val="111111"/>
          <w:sz w:val="28"/>
          <w:szCs w:val="28"/>
          <w:rtl/>
        </w:rPr>
        <w:t xml:space="preserve">مقابله شده، همچنین، علی بن محمد بن على حمید حنبلی بعلی در روز جمعه بیست و چهارم شوال ۷۷۱ق از ترمیم و تصحیح آن فراغت یافته؛ واقف: مصطفى افندى رئيس</w:t>
      </w:r>
    </w:p>
    <w:p>
      <w:pPr>
        <w:pStyle w:val="BookText"/>
      </w:pPr>
      <w:r>
        <w:rPr>
          <w:rFonts w:ascii="IRNazanin" w:hAnsi="IRNazanin" w:eastAsia="IRNazanin" w:cs="IRNazanin"/>
          <w:lang w:bidi="fa-IR"/>
          <w:color w:val="111111"/>
          <w:sz w:val="28"/>
          <w:szCs w:val="28"/>
          <w:rtl/>
        </w:rPr>
        <w:t xml:space="preserve">الكتاب؛ ۱۳۰گ، مختلف السطر [عکسی ف: ۱-۵۶]</w:t>
      </w:r>
    </w:p>
    <w:p>
      <w:pPr>
        <w:pStyle w:val="BookText"/>
      </w:pPr>
      <w:r>
        <w:rPr>
          <w:rFonts w:ascii="Amiri" w:hAnsi="Amiri" w:eastAsia="Amiri" w:cs="Amiri"/>
          <w:lang w:bidi="ar-SA"/>
          <w:color w:val="111111"/>
          <w:sz w:val="28"/>
          <w:szCs w:val="28"/>
          <w:rtl/>
        </w:rPr>
        <w:t xml:space="preserve">← التبيين في تفسير القرآن المبين ← التبيين في شرح المواعظ و البراهين</w:t>
      </w:r>
    </w:p>
    <w:p>
      <w:pPr>
        <w:pStyle w:val="Heading3"/>
      </w:pPr>
      <w:bookmarkStart w:id="2997" w:name="_Toc2257"/>
      <w:r>
        <w:t>•التبيين في شرح المواعظ و البراهين = التبيين في تفسیر القرآن المبين / تفسير / فارسی</w:t>
      </w:r>
      <w:bookmarkEnd w:id="2997"/>
    </w:p>
    <w:p>
      <w:pPr>
        <w:pStyle w:val="BookText"/>
      </w:pPr>
      <w:r>
        <w:rPr>
          <w:rFonts w:ascii="Times New Roman" w:hAnsi="Times New Roman" w:eastAsia="Times New Roman" w:cs="Times New Roman"/>
          <w:lang w:val="en-US" w:bidi="en-US"/>
          <w:color w:val="111111"/>
          <w:sz w:val="28"/>
          <w:szCs w:val="28"/>
          <w:rtl/>
        </w:rPr>
        <w:t xml:space="preserve">at-tabyīn fī š.-el mavā'ez va-1 barāhīn = at-tabyīn fī tafsīr-el qor'ān-el mobīn</w:t>
      </w:r>
    </w:p>
    <w:p>
      <w:pPr>
        <w:pStyle w:val="BookText"/>
      </w:pPr>
      <w:r>
        <w:rPr>
          <w:rFonts w:ascii="IRNazanin" w:hAnsi="IRNazanin" w:eastAsia="IRNazanin" w:cs="IRNazanin"/>
          <w:lang w:bidi="fa-IR"/>
          <w:color w:val="111111"/>
          <w:sz w:val="28"/>
          <w:szCs w:val="28"/>
          <w:rtl/>
        </w:rPr>
        <w:t xml:space="preserve">شهیدی قزوینی، ابوتراب، ۱۲۴۰؟ -۱۳۳۵ شمسی</w:t>
      </w:r>
    </w:p>
    <w:p>
      <w:pPr>
        <w:pStyle w:val="BookText"/>
      </w:pPr>
      <w:r>
        <w:rPr>
          <w:rFonts w:ascii="Times New Roman" w:hAnsi="Times New Roman" w:eastAsia="Times New Roman" w:cs="Times New Roman"/>
          <w:lang w:val="en-US" w:bidi="en-US"/>
          <w:color w:val="111111"/>
          <w:sz w:val="28"/>
          <w:szCs w:val="28"/>
          <w:rtl/>
        </w:rPr>
        <w:t xml:space="preserve">šahīdī qazvīnī, abū-torāb (1861-1956)</w:t>
      </w:r>
    </w:p>
    <w:p>
      <w:pPr>
        <w:pStyle w:val="BookText"/>
      </w:pPr>
      <w:r>
        <w:rPr>
          <w:rFonts w:ascii="IRNazanin" w:hAnsi="IRNazanin" w:eastAsia="IRNazanin" w:cs="IRNazanin"/>
          <w:lang w:bidi="fa-IR"/>
          <w:color w:val="111111"/>
          <w:sz w:val="28"/>
          <w:szCs w:val="28"/>
          <w:rtl/>
        </w:rPr>
        <w:t xml:space="preserve">تاریخ تأليف: اوایل نیمه دوم قرن ۱۴ تفسیر فارسی مفصلی است که مؤلف با استفاده از فرمایشات پیامبر اکرم و اولاد طاهرینش (علیهم السلام) به تفسیر قرآن پرداخته است، در مقدمه خود اظهار داشته است: «نظر به اینکه قرآن مجید کتابی است که کلمات و آیات آن به قلب مبارک جضرت رسول نازل شده و ظاهرش حکم و باطنش علم است، و اسراری است بین حبیب و محبوب، لذا بیان آن را به عهده آن حضرت نهاده است، ... و نیز هر کسی که آن نور پاک، مرجع علم قرآن، برای امت معرفی نموده است. این تفسیر در پنج جلد نگارش یافته و شامل جلدهای یک و دو و سه و پنج است. متأسفانه جلد چهارم این اثر نفیس مفقود است که شامل جزء ۱۸ تا ۲۳ قرآن کریم می باشد. مستدركات اعيان الشيعة: ۶/۳؛ [مستدرک الذريعة: ۷۶۰؛ دنا ۷۸۳/۲ ]</w:t>
      </w:r>
    </w:p>
    <w:p>
      <w:pPr>
        <w:pStyle w:val="BookText"/>
      </w:pPr>
      <w:r>
        <w:rPr>
          <w:rFonts w:ascii="IRNazanin" w:hAnsi="IRNazanin" w:eastAsia="IRNazanin" w:cs="IRNazanin"/>
          <w:lang w:bidi="fa-IR"/>
          <w:color w:val="111111"/>
          <w:sz w:val="28"/>
          <w:szCs w:val="28"/>
          <w:rtl/>
        </w:rPr>
        <w:t xml:space="preserve">۱. قم؛ مرعشی؛ شماره نسخه: ۱۳۰۸۰</w:t>
      </w:r>
    </w:p>
    <w:p>
      <w:pPr>
        <w:pStyle w:val="BookText"/>
      </w:pPr>
      <w:r>
        <w:rPr>
          <w:rFonts w:ascii="IRNazanin" w:hAnsi="IRNazanin" w:eastAsia="IRNazanin" w:cs="IRNazanin"/>
          <w:lang w:bidi="fa-IR"/>
          <w:color w:val="111111"/>
          <w:sz w:val="28"/>
          <w:szCs w:val="28"/>
          <w:rtl/>
        </w:rPr>
        <w:t xml:space="preserve">آغاز: الحمد لله الذي خلق السموات و الارض و جعل الظلمات و النور فانزل الكتاب على عبده ليخرج الناس من الظلمات إلى النور ... و بعد نظر به اینکه قرآن حمید مجید کتابی است که کلمات و آیات؛ انجام: و لو خود ادراک علت و حکمت و فلسفه آنرا ننموده باشد، ایمان به غیب آورد، چنانکه در اول سوره بقره توضيح لزوم ایمان به غیب را نمودیم، و السلام علی من اتبع الهدی.</w:t>
      </w:r>
    </w:p>
    <w:p>
      <w:pPr>
        <w:pStyle w:val="BookText"/>
      </w:pPr>
      <w:r>
        <w:rPr>
          <w:rFonts w:ascii="IRNazanin" w:hAnsi="IRNazanin" w:eastAsia="IRNazanin" w:cs="IRNazanin"/>
          <w:lang w:bidi="fa-IR"/>
          <w:color w:val="111111"/>
          <w:sz w:val="28"/>
          <w:szCs w:val="28"/>
          <w:rtl/>
        </w:rPr>
        <w:t xml:space="preserve">جلد اول، از مقدمه و تفسیر سوره فاتحه تا آخر سوره نساء؛ خط: نستعلیق، بی کا، تا: قرن ۱۴؛ محشی از مؤلف، دستخط آیت الله مرعشی نجفی چنین آمده: «بسمه تعالی، التبيين في تفسير القرآن المبين، للعلامة التقى الزاهد العابد، المعرض عن الدنيا، المنعزل عن الخلق و المشتغل بنفسه و تفسیر کتاب الله، آية الله الحاج میرزا أبي تراب بن العلامة الحاج میرزا ابي القاسم بن العلامة الآية السعيد الشهيد الحاج ملا محمد تقی البرغانی القزويني الشهير بالشهيد الثالث، كان المؤلف من اوتاد علماء عصره، سكن سنين في بلدة طهران، و كان منزوية جليس البيت، دائم الاشتغال بالكتابة و المطالعة و العبادة، أخذ العلم عن جماعة، منهم العلامة، الحاج میرزا فتح الله الشهير بشيخ الشريعة الاصفهانی، و منهم العلامة الحاج الشیخ فضل الله النوري الطبرسي الشهيد غيرهم و عنهم، و هذا التفسير في زها مجلدات، كلها بخطه الشريف، و من العجيب انه جاء- باربع مجلدات منه رجل من أهل العلم و قد اعطاه رجل من ارباب سيارات و قال انه وجد هذه الكتب في خارج طهران في نهر من الماء و جمعها الرجل و أتی به و أعطاه إلى شخص من الطلبة و جاء ذلك به الى وكان لم يعرف مؤلفه فمن الله على باقتناء هذا الكتاب في المكتبة العامة الموقوفة، بقاء الاسم مؤلفه المرحوم الذي افنى عمره في خدمت القرآن الشريف، و توفی المؤلف سنة ۱۳۷۵»؛ کاغذ: خط دار دفتری، جلد: چرم ساغری مشکی، ۲۴۲گ، ۳۴ سطر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اندازه: ۳۴/۵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w:t>
      </w:r>
    </w:p>
    <w:p>
      <w:pPr>
        <w:pStyle w:val="BookText"/>
      </w:pPr>
      <w:r>
        <w:rPr>
          <w:rFonts w:ascii="IRNazanin" w:hAnsi="IRNazanin" w:eastAsia="IRNazanin" w:cs="IRNazanin"/>
          <w:lang w:bidi="fa-IR"/>
          <w:color w:val="111111"/>
          <w:sz w:val="28"/>
          <w:szCs w:val="28"/>
          <w:rtl/>
        </w:rPr>
        <w:t xml:space="preserve">سم [ف: ۱۴۵-۳۳]</w:t>
      </w:r>
    </w:p>
    <w:p>
      <w:pPr>
        <w:pStyle w:val="BookText"/>
      </w:pPr>
      <w:r>
        <w:rPr>
          <w:rFonts w:ascii="IRNazanin" w:hAnsi="IRNazanin" w:eastAsia="IRNazanin" w:cs="IRNazanin"/>
          <w:lang w:bidi="fa-IR"/>
          <w:color w:val="111111"/>
          <w:sz w:val="28"/>
          <w:szCs w:val="28"/>
          <w:rtl/>
        </w:rPr>
        <w:t xml:space="preserve">۲. قم؛ مرعشی؛ شماره نسخه: ۱۳۰۸۱</w:t>
      </w:r>
    </w:p>
    <w:p>
      <w:pPr>
        <w:pStyle w:val="BookText"/>
      </w:pPr>
      <w:r>
        <w:rPr>
          <w:rFonts w:ascii="IRNazanin" w:hAnsi="IRNazanin" w:eastAsia="IRNazanin" w:cs="IRNazanin"/>
          <w:lang w:bidi="fa-IR"/>
          <w:color w:val="111111"/>
          <w:sz w:val="28"/>
          <w:szCs w:val="28"/>
          <w:rtl/>
        </w:rPr>
        <w:t xml:space="preserve">آغاز: بسم، شروع می کنم ذكحر مطالبی را که در این سوره است به اسم ذات، الله الرحمن الرحيم، الله که بخشنده تمام نعم است به عموم خلق؛ انجام: به اقتضای اعمال قلبيه و جوارحيه اش حکومت نماید، نه از حق و أجر احدی ناقص کند و نه بر مجازاة أحدى ذره ئی بیافزاید، اللهم احكم لنا بالخير و السعادة. جلد دوم، از سوره مائده تا سوره یونس؛ خط: نستعلیق، کاتب = مؤلف، بی تا؛ محشی؛ کاغذ: خط دار دفتری، جلد: چرم ساغری مشکی، ۲۰۲گ، ۳۴ سطر (۱۷/۵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۳۰/۵)، اندازه: ۲۲/۵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۳۶سم [ف: ۳۳-۱۴۸]</w:t>
      </w:r>
    </w:p>
    <w:p>
      <w:pPr>
        <w:pStyle w:val="BookText"/>
      </w:pPr>
      <w:r>
        <w:rPr>
          <w:rFonts w:ascii="IRNazanin" w:hAnsi="IRNazanin" w:eastAsia="IRNazanin" w:cs="IRNazanin"/>
          <w:lang w:bidi="fa-IR"/>
          <w:color w:val="111111"/>
          <w:sz w:val="28"/>
          <w:szCs w:val="28"/>
          <w:rtl/>
        </w:rPr>
        <w:t xml:space="preserve">٣. قم؛ مرعشی؛ شماره نسخه: ۱۳۰۸۲</w:t>
      </w:r>
    </w:p>
    <w:p>
      <w:pPr>
        <w:pStyle w:val="BookText"/>
      </w:pPr>
      <w:r>
        <w:rPr>
          <w:rFonts w:ascii="IRNazanin" w:hAnsi="IRNazanin" w:eastAsia="IRNazanin" w:cs="IRNazanin"/>
          <w:lang w:bidi="fa-IR"/>
          <w:color w:val="111111"/>
          <w:sz w:val="28"/>
          <w:szCs w:val="28"/>
          <w:rtl/>
        </w:rPr>
        <w:t xml:space="preserve">آغاز: شروع نمودم بیان مندرجات این سوره را به اسم خدا، بخشنده نعم به عموم خلق و مهربان به مؤمنین در دنیا و آخرت؛ انجام: چنانکه در آیه ۸ «محمد»(صلی الله علیه وآله وسلم)فرموده: إن تنصروا الله ينصركم و يثبت أقدامكم، ربنا انصرنا و لا تخذلنا فانا معتصم بک و متوكل عليك و أنت ولينا نعم المولی و نعم النصیر. جلد سوم؛ خط: نستعلیق، بی کا، تا: ۱۳۶۱ق؛ کاغذ: خط دار دفتری، جلد: تمام چرم ساغری مشکی، ۲۱۶گ، ۲۴ سطر،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۳۳-۱۴۹]</w:t>
      </w:r>
    </w:p>
    <w:p>
      <w:pPr>
        <w:pStyle w:val="BookText"/>
      </w:pPr>
      <w:r>
        <w:rPr>
          <w:rFonts w:ascii="IRNazanin" w:hAnsi="IRNazanin" w:eastAsia="IRNazanin" w:cs="IRNazanin"/>
          <w:lang w:bidi="fa-IR"/>
          <w:color w:val="111111"/>
          <w:sz w:val="28"/>
          <w:szCs w:val="28"/>
          <w:rtl/>
        </w:rPr>
        <w:t xml:space="preserve">۴. قم؛ مرعشی؛ شماره نسخه:۱۳۰۸۳</w:t>
      </w:r>
    </w:p>
    <w:p>
      <w:pPr>
        <w:pStyle w:val="BookText"/>
      </w:pPr>
      <w:r>
        <w:rPr>
          <w:rFonts w:ascii="IRNazanin" w:hAnsi="IRNazanin" w:eastAsia="IRNazanin" w:cs="IRNazanin"/>
          <w:lang w:bidi="fa-IR"/>
          <w:color w:val="111111"/>
          <w:sz w:val="28"/>
          <w:szCs w:val="28"/>
          <w:rtl/>
        </w:rPr>
        <w:t xml:space="preserve">آغاز: حم، تنزلى الكتاب من الله العزيز العليم، ای محمد(صلی الله علیه وآله وسلم)نازل شدن این قرآن از طرف ذات مقدس الله است؛ انجام: و لذا صعب است او را تبنه نمودن از متابعت او ابدا کوتاهی نخواهد نمود، چنانکه در آیه (۲۰۱) اعراف فرموده ... هذا آخر ... جلد پنجم و از سوره مؤمن آغاز و تا آخر قرآن کریم؛ خط: نستعلیق، بی کا، تا: ۱۳۶۵ق؛ کاغذ: خط دار دفتری، جلد: تمام چرم ساغری مشکی مجدول، ۲۵۶ گ، ۳۴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 اندازه: ۳۶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۳۳-۱۴۸]
</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bookmarkStart w:id="689" w:name="pg20363_210041"/>
    <w:bookmarkEnd w:id="689"/>
    <w:p>
      <w:pPr>
        <w:pStyle w:val="Heading3"/>
      </w:pPr>
      <w:bookmarkStart w:id="2998" w:name="_Toc2258"/>
      <w:r>
        <w:t>•تبیین کذب المفترى فيما نسب الى ابی الحسن الاشعری / تراجم / عربی</w:t>
      </w:r>
      <w:bookmarkEnd w:id="2998"/>
    </w:p>
    <w:p>
      <w:pPr>
        <w:pStyle w:val="BookText"/>
      </w:pPr>
      <w:r>
        <w:rPr>
          <w:rFonts w:ascii="Times New Roman" w:hAnsi="Times New Roman" w:eastAsia="Times New Roman" w:cs="Times New Roman"/>
          <w:lang w:val="en-US" w:bidi="en-US"/>
          <w:color w:val="111111"/>
          <w:sz w:val="28"/>
          <w:szCs w:val="28"/>
          <w:rtl/>
        </w:rPr>
        <w:t xml:space="preserve">tabyīn-u kidb-il muftarī fi-mā nasab ilā abi-l-ḥasan al aš'arī</w:t>
      </w:r>
    </w:p>
    <w:p>
      <w:pPr>
        <w:pStyle w:val="BookText"/>
      </w:pPr>
      <w:r>
        <w:rPr>
          <w:rFonts w:ascii="IRNazanin" w:hAnsi="IRNazanin" w:eastAsia="IRNazanin" w:cs="IRNazanin"/>
          <w:lang w:bidi="fa-IR"/>
          <w:color w:val="111111"/>
          <w:sz w:val="28"/>
          <w:szCs w:val="28"/>
          <w:rtl/>
        </w:rPr>
        <w:t xml:space="preserve">ابن عساکر، علی بن حسن، ۴۹۹-۵۷۱ قمری</w:t>
      </w:r>
    </w:p>
    <w:p>
      <w:pPr>
        <w:pStyle w:val="BookText"/>
      </w:pPr>
      <w:r>
        <w:rPr>
          <w:rFonts w:ascii="Times New Roman" w:hAnsi="Times New Roman" w:eastAsia="Times New Roman" w:cs="Times New Roman"/>
          <w:lang w:val="en-US" w:bidi="en-US"/>
          <w:color w:val="111111"/>
          <w:sz w:val="28"/>
          <w:szCs w:val="28"/>
          <w:rtl/>
        </w:rPr>
        <w:t xml:space="preserve">ebn-e ‘asāker, ‘alī ebn-e hasan (1106-1176)</w:t>
      </w:r>
    </w:p>
    <w:p>
      <w:pPr>
        <w:pStyle w:val="BookText"/>
      </w:pPr>
      <w:r>
        <w:rPr>
          <w:rFonts w:ascii="IRNazanin" w:hAnsi="IRNazanin" w:eastAsia="IRNazanin" w:cs="IRNazanin"/>
          <w:lang w:bidi="fa-IR"/>
          <w:color w:val="111111"/>
          <w:sz w:val="28"/>
          <w:szCs w:val="28"/>
          <w:rtl/>
        </w:rPr>
        <w:t xml:space="preserve">کتابی است در دفاع از آراء و عقاید و شرح حال ابو الحسن اشعرى امام اشاعره، ضمنا مؤلف شرح حال جماعت کثیری از اعیان و مشاهیر اشاعره را ذکر نموده است. چاپ: بیروت، تحقیق دکتر احمد حجازی سقا؛ لیدن، ۱۶۵ص، ۱۸۷۸م.</w:t>
      </w:r>
    </w:p>
    <w:p>
      <w:pPr>
        <w:pStyle w:val="BookText"/>
      </w:pPr>
      <w:r>
        <w:rPr>
          <w:rFonts w:ascii="IRNazanin" w:hAnsi="IRNazanin" w:eastAsia="IRNazanin" w:cs="IRNazanin"/>
          <w:lang w:bidi="fa-IR"/>
          <w:color w:val="111111"/>
          <w:sz w:val="28"/>
          <w:szCs w:val="28"/>
          <w:rtl/>
        </w:rPr>
        <w:t xml:space="preserve">[ معجم الأدباء ۷۷/۱۳ ؛ کشف الظنون ۳۴۲/۱ ؛ هدية العارفین ۷۰۱/۱ ؛ بروکلمان</w:t>
      </w:r>
    </w:p>
    <w:p>
      <w:pPr>
        <w:pStyle w:val="BookText"/>
      </w:pPr>
      <w:r>
        <w:rPr>
          <w:rFonts w:ascii="IRNazanin" w:hAnsi="IRNazanin" w:eastAsia="IRNazanin" w:cs="IRNazanin"/>
          <w:lang w:bidi="fa-IR"/>
          <w:color w:val="111111"/>
          <w:sz w:val="28"/>
          <w:szCs w:val="28"/>
          <w:rtl/>
        </w:rPr>
        <w:t xml:space="preserve">۱/(۳۳۱)۴۰۳؛ دنا ۷۸۳/۲ ]</w:t>
      </w:r>
    </w:p>
    <w:p>
      <w:pPr>
        <w:pStyle w:val="BookText"/>
      </w:pPr>
      <w:r>
        <w:rPr>
          <w:rFonts w:ascii="IRNazanin" w:hAnsi="IRNazanin" w:eastAsia="IRNazanin" w:cs="IRNazanin"/>
          <w:lang w:bidi="fa-IR"/>
          <w:color w:val="111111"/>
          <w:sz w:val="28"/>
          <w:szCs w:val="28"/>
          <w:rtl/>
        </w:rPr>
        <w:t xml:space="preserve">۱. قم؛ مرعشی؛ شماره نسخه: ۲۰۰عکسی</w:t>
      </w:r>
    </w:p>
    <w:p>
      <w:pPr>
        <w:pStyle w:val="BookText"/>
      </w:pPr>
      <w:r>
        <w:rPr>
          <w:rFonts w:ascii="IRNazanin" w:hAnsi="IRNazanin" w:eastAsia="IRNazanin" w:cs="IRNazanin"/>
          <w:lang w:bidi="fa-IR"/>
          <w:color w:val="111111"/>
          <w:sz w:val="28"/>
          <w:szCs w:val="28"/>
          <w:rtl/>
        </w:rPr>
        <w:t xml:space="preserve">آغاز: قال الشيخ ... الحمد لله الذي منح اهل التحقيق في توحيده بصائر و احلاما؛ انجام: و اختم بحمدک یا کریم مقالنا شكرا على افضالك المترادف نسخه اصل: چستر بیتی دبلین ش ۳۲۳۹ (اربری فهرست چستربیتی ۱۰۱/۱ )؛ خط: نسخ، كا: عبدالکریم بن حسين بن جعفر، تا: شعبان ۵۹۶ق؛ مصحح، با نسخه منقول منه مقابله شده؛ تملک: محمد بن محمود حنفی به تاریخ ۱۰۴۸ق، محمد ابو الفتح العجلونی در ۱۱۷۷ق؛ ۱۳۷، ۲۱ سطر [عكسي ف: ۱-۱۸۳]</w:t>
      </w:r>
    </w:p>
    <w:p>
      <w:pPr>
        <w:pStyle w:val="BookText"/>
      </w:pPr>
      <w:r>
        <w:rPr>
          <w:rFonts w:ascii="IRNazanin" w:hAnsi="IRNazanin" w:eastAsia="IRNazanin" w:cs="IRNazanin"/>
          <w:lang w:bidi="fa-IR"/>
          <w:color w:val="111111"/>
          <w:sz w:val="28"/>
          <w:szCs w:val="28"/>
          <w:rtl/>
        </w:rPr>
        <w:t xml:space="preserve">۲. تهران؛ مجلس؛ شماره نسخه:۱۰۰۳۳/۸</w:t>
      </w:r>
    </w:p>
    <w:p>
      <w:pPr>
        <w:pStyle w:val="BookText"/>
      </w:pPr>
      <w:r>
        <w:rPr>
          <w:rFonts w:ascii="IRNazanin" w:hAnsi="IRNazanin" w:eastAsia="IRNazanin" w:cs="IRNazanin"/>
          <w:lang w:bidi="fa-IR"/>
          <w:color w:val="111111"/>
          <w:sz w:val="28"/>
          <w:szCs w:val="28"/>
          <w:rtl/>
        </w:rPr>
        <w:t xml:space="preserve">آغاز: بسمله الحمد لله رب العالمين ... يقول ذخلت المسجد الحرام يوم الاحد فيما بين؛ انجام: و حسن اولئك رفيقا فانه بالفضل جدیر و على ما يشاء قدير خط: نسخ، كا: على بن محمد بن علی واعظ حنفی، تا: ۹۰۲ق؛ تملک: ريحان الله الموسوی و مهر بیضوی وی، شرف الدين محمد مکی بن محمد ضیاء الدین بن شمس الدين بن حسن بن زين الدين من ذرية الشريف ابی عبدالله الشهيد شمس الدين محمد بنمکی مطلبی عاملی جزینی عاملی به تاریخ ۱۱۷۵ق؛ جلد: تیماج با روکش سبز، ۵ ص (۱۳۷-۱۴۱)، ۱۹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w:t>
      </w:r>
    </w:p>
    <w:p>
      <w:pPr>
        <w:pStyle w:val="BookText"/>
      </w:pPr>
      <w:r>
        <w:rPr>
          <w:rFonts w:ascii="IRNazanin" w:hAnsi="IRNazanin" w:eastAsia="IRNazanin" w:cs="IRNazanin"/>
          <w:lang w:bidi="fa-IR"/>
          <w:color w:val="111111"/>
          <w:sz w:val="28"/>
          <w:szCs w:val="28"/>
          <w:rtl/>
        </w:rPr>
        <w:t xml:space="preserve">[ف: ۳۲-۴۸ ]</w:t>
      </w:r>
    </w:p>
    <w:p>
      <w:pPr>
        <w:pStyle w:val="Heading3"/>
      </w:pPr>
      <w:bookmarkStart w:id="2999" w:name="_Toc2259"/>
      <w:r>
        <w:t>•التبيين لاسماء المدلسین / رجال، تراجم / عربی</w:t>
      </w:r>
      <w:bookmarkEnd w:id="2999"/>
    </w:p>
    <w:p>
      <w:pPr>
        <w:pStyle w:val="BookText"/>
      </w:pPr>
      <w:r>
        <w:rPr>
          <w:rFonts w:ascii="Times New Roman" w:hAnsi="Times New Roman" w:eastAsia="Times New Roman" w:cs="Times New Roman"/>
          <w:lang w:val="en-US" w:bidi="en-US"/>
          <w:color w:val="111111"/>
          <w:sz w:val="28"/>
          <w:szCs w:val="28"/>
          <w:rtl/>
        </w:rPr>
        <w:t xml:space="preserve">at-tabyīn li-asmā’-il mudallisīn</w:t>
      </w:r>
    </w:p>
    <w:p>
      <w:pPr>
        <w:pStyle w:val="BookText"/>
      </w:pPr>
      <w:r>
        <w:rPr>
          <w:rFonts w:ascii="IRNazanin" w:hAnsi="IRNazanin" w:eastAsia="IRNazanin" w:cs="IRNazanin"/>
          <w:lang w:bidi="fa-IR"/>
          <w:color w:val="111111"/>
          <w:sz w:val="28"/>
          <w:szCs w:val="28"/>
          <w:rtl/>
        </w:rPr>
        <w:t xml:space="preserve">سبط ابن عجمی، ابراهیم بن محمد، ۷۵۳-۸۴۱ قمری</w:t>
      </w:r>
    </w:p>
    <w:p>
      <w:pPr>
        <w:pStyle w:val="BookText"/>
      </w:pPr>
      <w:r>
        <w:rPr>
          <w:rFonts w:ascii="Times New Roman" w:hAnsi="Times New Roman" w:eastAsia="Times New Roman" w:cs="Times New Roman"/>
          <w:lang w:val="en-US" w:bidi="en-US"/>
          <w:color w:val="111111"/>
          <w:sz w:val="28"/>
          <w:szCs w:val="28"/>
          <w:rtl/>
        </w:rPr>
        <w:t xml:space="preserve">sebt-e ebn-e ‘ajamī, ebrāhīm ebn-e mohammad (1353 1438)</w:t>
      </w:r>
    </w:p>
    <w:p>
      <w:pPr>
        <w:pStyle w:val="BookText"/>
      </w:pPr>
      <w:r>
        <w:rPr>
          <w:rFonts w:ascii="IRNazanin" w:hAnsi="IRNazanin" w:eastAsia="IRNazanin" w:cs="IRNazanin"/>
          <w:lang w:bidi="fa-IR"/>
          <w:color w:val="111111"/>
          <w:sz w:val="28"/>
          <w:szCs w:val="28"/>
          <w:rtl/>
        </w:rPr>
        <w:t xml:space="preserve">تاريخ تأليف: جمادی الاول ۸۱۸ق رساله مختصری است در بیان اقسام سه گانه تدلیس و اسامی مدلسین با ترجمه کوتاهی از آنان به ترتیب حروف تهجی. وی این کتاب را از «المراسيل» صلاح الدین خلیل علائی تلخیص نموده و خود مطالبی بر آن افزوده است. عناوین تدليسها: ۱. تدلیس الاسناد؛ ۲. تدليس الشيوخ؛ ۳. تدليس التسوية. آغاز: قال شيخنا الشيخ الإمام العلامه ... فهذا تعليق في اسماء المدلسين کنت جمعته قديما في سنة</w:t>
      </w:r>
    </w:p>
    <w:p>
      <w:pPr>
        <w:pStyle w:val="BookText"/>
      </w:pPr>
      <w:r>
        <w:rPr>
          <w:rFonts w:ascii="IRNazanin" w:hAnsi="IRNazanin" w:eastAsia="IRNazanin" w:cs="IRNazanin"/>
          <w:lang w:bidi="fa-IR"/>
          <w:color w:val="111111"/>
          <w:sz w:val="28"/>
          <w:szCs w:val="28"/>
          <w:rtl/>
        </w:rPr>
        <w:t xml:space="preserve">انجام: لا اعرف في المتاخرين من يذكر به الا ابابکر ... و الله اعلم انتهى. هذا آخر ما علقه شيخنا امتع الله بحياته من المدلسين فمن وجد بعد ذلك منهم احدا فليلحقه في مكانه فانه قابل للزيادة.</w:t>
      </w:r>
    </w:p>
    <w:p>
      <w:pPr>
        <w:pStyle w:val="BookText"/>
      </w:pPr>
      <w:r>
        <w:rPr>
          <w:rFonts w:ascii="IRNazanin" w:hAnsi="IRNazanin" w:eastAsia="IRNazanin" w:cs="IRNazanin"/>
          <w:lang w:bidi="fa-IR"/>
          <w:color w:val="111111"/>
          <w:sz w:val="28"/>
          <w:szCs w:val="28"/>
          <w:rtl/>
        </w:rPr>
        <w:t xml:space="preserve">چاپ: بیروت، دارالکتب العلمية، تحقیق يحيح شفیق، ۱۴۰۶ق</w:t>
      </w:r>
    </w:p>
    <w:p>
      <w:pPr>
        <w:pStyle w:val="BookText"/>
      </w:pPr>
      <w:r>
        <w:rPr>
          <w:rFonts w:ascii="IRNazanin" w:hAnsi="IRNazanin" w:eastAsia="IRNazanin" w:cs="IRNazanin"/>
          <w:lang w:bidi="fa-IR"/>
          <w:color w:val="111111"/>
          <w:sz w:val="28"/>
          <w:szCs w:val="28"/>
          <w:rtl/>
        </w:rPr>
        <w:t xml:space="preserve">[ کشف الظنون ۳۴۳/۱ ؛ هدية العارفین ۲۰/۱ ؛ زرکلی اعلام ۶۲/۱ ؛ بروکلمان ذیل ۷۲/۲ ؛ دنا ۷۸۳/۲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 ۳۵۷/۳ -ف</w:t>
      </w:r>
    </w:p>
    <w:p>
      <w:pPr>
        <w:pStyle w:val="BookText"/>
      </w:pPr>
      <w:r>
        <w:rPr>
          <w:rFonts w:ascii="IRNazanin" w:hAnsi="IRNazanin" w:eastAsia="IRNazanin" w:cs="IRNazanin"/>
          <w:lang w:bidi="fa-IR"/>
          <w:color w:val="111111"/>
          <w:sz w:val="28"/>
          <w:szCs w:val="28"/>
          <w:rtl/>
        </w:rPr>
        <w:t xml:space="preserve">نسخه اصل: حراجچی اوغلی ش ۳۲۱؛ خط: نسخ، كا: ابراهیم بن محمد بن خليل حلبی طرابلسى ابن عجمی، تا: ۷۹۲ق؛ با افزوده های مؤلف در جمادی الاول ۸۱۸؛ ۵گ (۱۹۰-۱۹۴)، ۲۰ سطر [فيلمها ف: ۱-۴۵۸]</w:t>
      </w:r>
    </w:p>
    <w:p>
      <w:pPr>
        <w:pStyle w:val="BookText"/>
      </w:pPr>
      <w:r>
        <w:rPr>
          <w:rFonts w:ascii="IRNazanin" w:hAnsi="IRNazanin" w:eastAsia="IRNazanin" w:cs="IRNazanin"/>
          <w:lang w:bidi="fa-IR"/>
          <w:color w:val="111111"/>
          <w:sz w:val="28"/>
          <w:szCs w:val="28"/>
          <w:rtl/>
        </w:rPr>
        <w:t xml:space="preserve">۲. قم؛ مرعشی؛ شماره نسخه: ۱۴۱۶۱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على بن خطاب بدری، تا: سه شنبه ۱۷ صفر ۸۲۴ق؛ مصحح: تملك على بن حمادی بن على بشاری به سال ۸۸۸ با مهر بیضی؛ کاغذ: فرنگی، نوع جلد: تیماج زرشکی، ۸، ۲۱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۳۵-۷۳۴]</w:t>
      </w:r>
    </w:p>
    <w:p>
      <w:pPr>
        <w:pStyle w:val="BookText"/>
      </w:pPr>
      <w:r>
        <w:rPr>
          <w:rFonts w:ascii="IRNazanin" w:hAnsi="IRNazanin" w:eastAsia="IRNazanin" w:cs="IRNazanin"/>
          <w:lang w:bidi="fa-IR"/>
          <w:color w:val="111111"/>
          <w:sz w:val="28"/>
          <w:szCs w:val="28"/>
          <w:rtl/>
        </w:rPr>
        <w:t xml:space="preserve">٣. قم؛ مرعشی؛ شماره نسخه: ۲۷/۲ 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نسخه اصل: ظاهریه دمشق ش مجموع/۱۲ (يوسف العش، فهرس مخطوطات الظاهرية التاريخ / ۲۱۷ و ۲۴۶)؛ خط: تعليق، كا: محمد بن ابی بکر بن زريق، تا: در حدود ۸۳۸، ۹گ (۱۲-۲۰)، ۲۱ سطر [عکسی ف: ۱-۲۸]</w:t>
      </w:r>
    </w:p>
    <w:p>
      <w:pPr>
        <w:pStyle w:val="BookText"/>
      </w:pPr>
      <w:r>
        <w:rPr>
          <w:rFonts w:ascii="IRNazanin" w:hAnsi="IRNazanin" w:eastAsia="IRNazanin" w:cs="IRNazanin"/>
          <w:lang w:bidi="fa-IR"/>
          <w:color w:val="111111"/>
          <w:sz w:val="28"/>
          <w:szCs w:val="28"/>
          <w:rtl/>
        </w:rPr>
        <w:t xml:space="preserve">۴. مشهد؛ رضوی؛ شماره نسخه: ۲۴۵۲۰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۱۳؛ صورت اجازة مؤلف به نجم الدين ابوالقاسم محمد المدعو عمر بن تقي الدين ابي الفضل محمد بن نجم الدين ابی نصر محمد بن فهد هاشمی مکی که تمام کتاب را در شنبه ۱۹ محرم ۸۳۸ ق در مدرسه شرفيه حلب بر او خوانده است. در این اجازه مؤلف تاریخ تولد خود را ۱۲ رجب ۷۵۳ق در حلب یاد می کند؛ اهدایی: رهبری، اسفند ۱۳۷۶؛ کاغذ: فرنگی نخودی، جلد: مقوا با روکش کاغذ ابر و باد، عطف تیماج</w:t>
      </w:r>
    </w:p>
    <w:p>
      <w:pPr>
        <w:pStyle w:val="BookText"/>
      </w:pPr>
      <w:r>
        <w:rPr>
          <w:rFonts w:ascii="IRNazanin" w:hAnsi="IRNazanin" w:eastAsia="IRNazanin" w:cs="IRNazanin"/>
          <w:lang w:bidi="fa-IR"/>
          <w:color w:val="111111"/>
          <w:sz w:val="28"/>
          <w:szCs w:val="28"/>
          <w:rtl/>
        </w:rPr>
        <w:t xml:space="preserve">قهوه ای، ۱۲گ، ۱۵ سطر، اندازه: ۱۵/۵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۲۳/۵سم [اهدائی رهبر: ۸ ۶۹] و [ف: ۲۷-۸۸]</w:t>
      </w:r>
    </w:p>
    <w:p>
      <w:pPr>
        <w:pStyle w:val="Heading3"/>
      </w:pPr>
      <w:bookmarkStart w:id="3000" w:name="_Toc2260"/>
      <w:r>
        <w:t>•تبیین المحارم / اخلاق / عربی</w:t>
      </w:r>
      <w:bookmarkEnd w:id="3000"/>
    </w:p>
    <w:p>
      <w:pPr>
        <w:pStyle w:val="BookText"/>
      </w:pPr>
      <w:r>
        <w:rPr>
          <w:rFonts w:ascii="Times New Roman" w:hAnsi="Times New Roman" w:eastAsia="Times New Roman" w:cs="Times New Roman"/>
          <w:lang w:val="en-US" w:bidi="en-US"/>
          <w:color w:val="111111"/>
          <w:sz w:val="28"/>
          <w:szCs w:val="28"/>
          <w:rtl/>
        </w:rPr>
        <w:t xml:space="preserve">tabyīn-ul maḥārim
</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bookmarkStart w:id="690" w:name="pg20363_210042"/>
    <w:bookmarkEnd w:id="690"/>
    <w:p>
      <w:pPr>
        <w:pStyle w:val="BookText"/>
      </w:pPr>
      <w:r>
        <w:rPr>
          <w:rFonts w:ascii="IRNazanin" w:hAnsi="IRNazanin" w:eastAsia="IRNazanin" w:cs="IRNazanin"/>
          <w:lang w:bidi="fa-IR"/>
          <w:color w:val="111111"/>
          <w:sz w:val="28"/>
          <w:szCs w:val="28"/>
          <w:rtl/>
        </w:rPr>
        <w:t xml:space="preserve">سنان الدين، يوسف بن حسام الدین، ۹۸۶ قمری</w:t>
      </w:r>
    </w:p>
    <w:p>
      <w:pPr>
        <w:pStyle w:val="BookText"/>
      </w:pPr>
      <w:r>
        <w:rPr>
          <w:rFonts w:ascii="Times New Roman" w:hAnsi="Times New Roman" w:eastAsia="Times New Roman" w:cs="Times New Roman"/>
          <w:lang w:val="en-US" w:bidi="en-US"/>
          <w:color w:val="111111"/>
          <w:sz w:val="28"/>
          <w:szCs w:val="28"/>
          <w:rtl/>
        </w:rPr>
        <w:t xml:space="preserve">sanān-od-dīn, yūsof ebn-e hesām-od-dīn (-1579)</w:t>
      </w:r>
    </w:p>
    <w:p>
      <w:pPr>
        <w:pStyle w:val="BookText"/>
      </w:pPr>
      <w:r>
        <w:rPr>
          <w:rFonts w:ascii="IRNazanin" w:hAnsi="IRNazanin" w:eastAsia="IRNazanin" w:cs="IRNazanin"/>
          <w:lang w:bidi="fa-IR"/>
          <w:color w:val="111111"/>
          <w:sz w:val="28"/>
          <w:szCs w:val="28"/>
          <w:rtl/>
        </w:rPr>
        <w:t xml:space="preserve">تاریخ تأليف: ۴ رجب ۹۸۰ق رساله ای است در نواهی که در قرآن کریم آمده در نود و هشت «باب». این نواهی بعضی حرمت شرعی و بعضی از آنها حرمت اخلاقی دارند و مؤلف همه را به عنوان محارم یاد کرده است. در هر باب آیه های مربوط را ذکر می کند و از جنبه تفسیری و فقهی نیز از آنها بحث می نماید.</w:t>
      </w:r>
    </w:p>
    <w:p>
      <w:pPr>
        <w:pStyle w:val="BookText"/>
      </w:pPr>
      <w:r>
        <w:rPr>
          <w:rFonts w:ascii="IRNazanin" w:hAnsi="IRNazanin" w:eastAsia="IRNazanin" w:cs="IRNazanin"/>
          <w:lang w:bidi="fa-IR"/>
          <w:color w:val="111111"/>
          <w:sz w:val="28"/>
          <w:szCs w:val="28"/>
          <w:rtl/>
        </w:rPr>
        <w:t xml:space="preserve">[دنا ۷۸۳/۲ ؛ بروکلمان ۳۸۷:۲ ذیل ۴۵۲:۲ و ۵۲۴]</w:t>
      </w:r>
    </w:p>
    <w:p>
      <w:pPr>
        <w:pStyle w:val="BookText"/>
      </w:pPr>
      <w:r>
        <w:rPr>
          <w:rFonts w:ascii="IRNazanin" w:hAnsi="IRNazanin" w:eastAsia="IRNazanin" w:cs="IRNazanin"/>
          <w:lang w:bidi="fa-IR"/>
          <w:color w:val="111111"/>
          <w:sz w:val="28"/>
          <w:szCs w:val="28"/>
          <w:rtl/>
        </w:rPr>
        <w:t xml:space="preserve">قم؛ مرعشی؛ شماره نسخه: ۱۸۰۴/۱</w:t>
      </w:r>
    </w:p>
    <w:p>
      <w:pPr>
        <w:pStyle w:val="BookText"/>
      </w:pPr>
      <w:r>
        <w:rPr>
          <w:rFonts w:ascii="IRNazanin" w:hAnsi="IRNazanin" w:eastAsia="IRNazanin" w:cs="IRNazanin"/>
          <w:lang w:bidi="fa-IR"/>
          <w:color w:val="111111"/>
          <w:sz w:val="28"/>
          <w:szCs w:val="28"/>
          <w:rtl/>
        </w:rPr>
        <w:t xml:space="preserve">آغاز: الحمدلله الذي أنزل علينا کتاب احكمت آیاته ثم فصلت من الدنه تفصيلا و نور به قلوبنا و شرح به صدورنا؛ انجام: اللهم اجعل کتابنا هذا حجة لنا يوم القيامة و لا تجعله حجة علينا و صلى الله على سیدنا سيد الأولين و الاخرين ... خط: نستعلیق، كا: مصطفى بن عمر الساكن بخربولی، تا: اوایل جمادی الاول ۱۱۰۵ق؛ مصحح، محشی؛ جلد: تیماج قهوه ای، ۲۴۷گ (۱پ -۲۴۷ر)،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۵-۱۸۹]</w:t>
      </w:r>
    </w:p>
    <w:p>
      <w:pPr>
        <w:pStyle w:val="Heading3"/>
      </w:pPr>
      <w:bookmarkStart w:id="3001" w:name="_Toc2261"/>
      <w:r>
        <w:t>•تبیین المراد من شواهد الانتقاد / ادبیات عربی</w:t>
      </w:r>
      <w:bookmarkEnd w:id="3001"/>
    </w:p>
    <w:p>
      <w:pPr>
        <w:pStyle w:val="BookText"/>
      </w:pPr>
      <w:r>
        <w:rPr>
          <w:rFonts w:ascii="Times New Roman" w:hAnsi="Times New Roman" w:eastAsia="Times New Roman" w:cs="Times New Roman"/>
          <w:lang w:val="en-US" w:bidi="en-US"/>
          <w:color w:val="111111"/>
          <w:sz w:val="28"/>
          <w:szCs w:val="28"/>
          <w:rtl/>
        </w:rPr>
        <w:t xml:space="preserve">tabyīn-ul murād min sawāhid-il intiqād</w:t>
      </w:r>
    </w:p>
    <w:p>
      <w:pPr>
        <w:pStyle w:val="BookText"/>
      </w:pPr>
      <w:r>
        <w:rPr>
          <w:rFonts w:ascii="IRNazanin" w:hAnsi="IRNazanin" w:eastAsia="IRNazanin" w:cs="IRNazanin"/>
          <w:lang w:bidi="fa-IR"/>
          <w:color w:val="111111"/>
          <w:sz w:val="28"/>
          <w:szCs w:val="28"/>
          <w:rtl/>
        </w:rPr>
        <w:t xml:space="preserve">قزوینی، محمد مهدي بن علی اصغر،-۱۱۲۹ قمری</w:t>
      </w:r>
    </w:p>
    <w:p>
      <w:pPr>
        <w:pStyle w:val="BookText"/>
      </w:pPr>
      <w:r>
        <w:rPr>
          <w:rFonts w:ascii="Times New Roman" w:hAnsi="Times New Roman" w:eastAsia="Times New Roman" w:cs="Times New Roman"/>
          <w:lang w:val="en-US" w:bidi="en-US"/>
          <w:color w:val="111111"/>
          <w:sz w:val="28"/>
          <w:szCs w:val="28"/>
          <w:rtl/>
        </w:rPr>
        <w:t xml:space="preserve">qazvīnī, mohammad mahdī ebn-e ‘alī asqar (-1717)</w:t>
      </w:r>
    </w:p>
    <w:p>
      <w:pPr>
        <w:pStyle w:val="BookText"/>
      </w:pPr>
      <w:r>
        <w:rPr>
          <w:rFonts w:ascii="IRNazanin" w:hAnsi="IRNazanin" w:eastAsia="IRNazanin" w:cs="IRNazanin"/>
          <w:lang w:bidi="fa-IR"/>
          <w:color w:val="111111"/>
          <w:sz w:val="28"/>
          <w:szCs w:val="28"/>
          <w:rtl/>
        </w:rPr>
        <w:t xml:space="preserve">وابسته به: الانتقاد؛ قزوینی، محمد مهدی بن علی اصغر (-۱۱۲۹) تاریخ تأليف: اواخر جمادی الاول ۱۰۹۳ق مؤلف ابتدا کتابی در شرح اشعاری که در علم نحو به عنوان شواهد ذکر شده بود تأليف نمود که نیاز به شرح و تفسیر داشت. بنابراین در کتاب حاضر مطالبی را که نیاز به شرح و تفسیر داشته شرح داده و آن را در دو «فهرست» و نه «باب» تنظیم نموده است: باب ۱. شواهد ما قبل النوع الاول و الحروف الجارة؛ ۲. شواهد الحروف المشبهة بالفعل؛ 3. شواهد ما و لا المشبهتين بلیس و واو مع و الا الاستثنائية و حروف النداء؛ ۴. شواهد نواصب المضارع و جوازم و لا التي لنفي الجنس؛ ۵. شواهد حروف العطف؛ ۶. شواهد حروف التنبه و حرف التفسير و حروف التخصيص و حرف الردع و حروف التصديق و حروف الاستفهام و حروف المصدر و حرف التوقع و حرف الاستقبال و حروف النفى و حروف التأنيث و التنوين و نون الوقاية و كاف الخطاب؛ ۷. شواهد حروف الشرط و نون التأکید و ما الكافية؛ ۸ شواهد الألف واللام و ياء النسبة و لام الابتداء؛ 9. شواهد الخاتمة.</w:t>
      </w:r>
    </w:p>
    <w:p>
      <w:pPr>
        <w:pStyle w:val="BookText"/>
      </w:pPr>
      <w:r>
        <w:rPr>
          <w:rFonts w:ascii="IRNazanin" w:hAnsi="IRNazanin" w:eastAsia="IRNazanin" w:cs="IRNazanin"/>
          <w:lang w:bidi="fa-IR"/>
          <w:color w:val="111111"/>
          <w:sz w:val="28"/>
          <w:szCs w:val="28"/>
          <w:rtl/>
        </w:rPr>
        <w:t xml:space="preserve">[دنا ۷۸۳/۲ ]</w:t>
      </w:r>
    </w:p>
    <w:p>
      <w:pPr>
        <w:pStyle w:val="BookText"/>
      </w:pPr>
      <w:r>
        <w:rPr>
          <w:rFonts w:ascii="IRNazanin" w:hAnsi="IRNazanin" w:eastAsia="IRNazanin" w:cs="IRNazanin"/>
          <w:lang w:bidi="fa-IR"/>
          <w:color w:val="111111"/>
          <w:sz w:val="28"/>
          <w:szCs w:val="28"/>
          <w:rtl/>
        </w:rPr>
        <w:t xml:space="preserve">تهران؛ مجلس؛ شماره نسخه:۷۹۹۲/۲</w:t>
      </w:r>
    </w:p>
    <w:p>
      <w:pPr>
        <w:pStyle w:val="BookText"/>
      </w:pPr>
      <w:r>
        <w:rPr>
          <w:rFonts w:ascii="IRNazanin" w:hAnsi="IRNazanin" w:eastAsia="IRNazanin" w:cs="IRNazanin"/>
          <w:lang w:bidi="fa-IR"/>
          <w:color w:val="111111"/>
          <w:sz w:val="28"/>
          <w:szCs w:val="28"/>
          <w:rtl/>
        </w:rPr>
        <w:t xml:space="preserve">آغاز: الحمدلله الذي نصب شواهد الآيات و رفع اعلام العلامات على توحده بذاته و تفرده بجلیل صفاته ثم من علينا بان عطف ضمائرنا الى انجام: هذه صورة بمعنى طلع و بالجملة في البيتين شاهد آخر هو استعمال لدن غير مقرونة بمن و لم تستعمل كذلك في التنزيل. خط: تحریری، بی کا، بی تا، بی کا، بی تا، جلد: تیماج سبز، ۴۰۲گ، ۲۰ سطر، اندازه:</w:t>
      </w:r>
    </w:p>
    <w:p>
      <w:pPr>
        <w:pStyle w:val="BookText"/>
      </w:pPr>
      <w:r>
        <w:rPr>
          <w:rFonts w:ascii="IRNazanin" w:hAnsi="IRNazanin" w:eastAsia="IRNazanin" w:cs="IRNazanin"/>
          <w:lang w:bidi="fa-IR"/>
          <w:color w:val="111111"/>
          <w:sz w:val="28"/>
          <w:szCs w:val="28"/>
          <w:rtl/>
        </w:rPr>
        <w:t xml:space="preserve">۱۳/۵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۲۰/۵ سم [ف: ۲۶-۴۷۸]</w:t>
      </w:r>
    </w:p>
    <w:p>
      <w:pPr>
        <w:pStyle w:val="Heading3"/>
      </w:pPr>
      <w:bookmarkStart w:id="3002" w:name="_Toc2262"/>
      <w:r>
        <w:t>•تبیین مصادرة اقلیدس في الخطوط المتوازية /  ریاضیات / عربی</w:t>
      </w:r>
      <w:bookmarkEnd w:id="3002"/>
    </w:p>
    <w:p>
      <w:pPr>
        <w:pStyle w:val="BookText"/>
      </w:pPr>
      <w:r>
        <w:rPr>
          <w:rFonts w:ascii="Times New Roman" w:hAnsi="Times New Roman" w:eastAsia="Times New Roman" w:cs="Times New Roman"/>
          <w:lang w:val="en-US" w:bidi="en-US"/>
          <w:color w:val="111111"/>
          <w:sz w:val="28"/>
          <w:szCs w:val="28"/>
          <w:rtl/>
        </w:rPr>
        <w:t xml:space="preserve">tabyīn-u muşādirat-i uqlīdes fi-l xuțūt-il mutawāziya</w:t>
      </w:r>
    </w:p>
    <w:p>
      <w:pPr>
        <w:pStyle w:val="BookText"/>
      </w:pPr>
      <w:r>
        <w:rPr>
          <w:rFonts w:ascii="IRNazanin" w:hAnsi="IRNazanin" w:eastAsia="IRNazanin" w:cs="IRNazanin"/>
          <w:lang w:bidi="fa-IR"/>
          <w:color w:val="111111"/>
          <w:sz w:val="28"/>
          <w:szCs w:val="28"/>
          <w:rtl/>
        </w:rPr>
        <w:t xml:space="preserve">سالار، علی بن فضل الله، ق۶ قمری</w:t>
      </w:r>
    </w:p>
    <w:p>
      <w:pPr>
        <w:pStyle w:val="BookText"/>
      </w:pPr>
      <w:r>
        <w:rPr>
          <w:rFonts w:ascii="Times New Roman" w:hAnsi="Times New Roman" w:eastAsia="Times New Roman" w:cs="Times New Roman"/>
          <w:lang w:val="en-US" w:bidi="en-US"/>
          <w:color w:val="111111"/>
          <w:sz w:val="28"/>
          <w:szCs w:val="28"/>
          <w:rtl/>
        </w:rPr>
        <w:t xml:space="preserve">sālār, ‘alī ebn-e fazl-ol-lāh (-12c)</w:t>
      </w:r>
    </w:p>
    <w:p>
      <w:pPr>
        <w:pStyle w:val="BookText"/>
      </w:pPr>
      <w:r>
        <w:rPr>
          <w:rFonts w:ascii="IRNazanin" w:hAnsi="IRNazanin" w:eastAsia="IRNazanin" w:cs="IRNazanin"/>
          <w:lang w:bidi="fa-IR"/>
          <w:color w:val="111111"/>
          <w:sz w:val="28"/>
          <w:szCs w:val="28"/>
          <w:rtl/>
        </w:rPr>
        <w:t xml:space="preserve">رساله ای در خطوط متوازی، مشتمل بر شش «مقدمه» و یک «مثال» و یک «برهان» و نه «شکل».. آغاز: بسمله، مقدمات لتبيين المصادرة التي ذكرها اوقلید (س) في صدر المقالة الأولى فيما يتعلق بالخطوط المتوازية انجام: فيلقى خط آج خط هب لامحالة و ذلک ما اردنا أن نبين والله اعلم بالصواب واليه المرجع والمآب [دنا ۷۸۳/۲ (۲ نسخه)]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 ۵۴۱۲/۴</w:t>
      </w:r>
    </w:p>
    <w:p>
      <w:pPr>
        <w:pStyle w:val="BookText"/>
      </w:pPr>
      <w:r>
        <w:rPr>
          <w:rFonts w:ascii="IRNazanin" w:hAnsi="IRNazanin" w:eastAsia="IRNazanin" w:cs="IRNazanin"/>
          <w:lang w:bidi="fa-IR"/>
          <w:color w:val="111111"/>
          <w:sz w:val="28"/>
          <w:szCs w:val="28"/>
          <w:rtl/>
        </w:rPr>
        <w:t xml:space="preserve">آغاز و انجام: برابر خط: نسخ، بی کا، تا: ربيع الأول ۶۷۲ق؛ کاغذ: حنایی آهار مهره، جلد: چرمی مشکی، ۱۰ص (۳۱-۴۰)، ۱۶ سطر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۸- ۴۲۰]</w:t>
      </w:r>
    </w:p>
    <w:p>
      <w:pPr>
        <w:pStyle w:val="BookText"/>
      </w:pPr>
      <w:r>
        <w:rPr>
          <w:rFonts w:ascii="IRNazanin" w:hAnsi="IRNazanin" w:eastAsia="IRNazanin" w:cs="IRNazanin"/>
          <w:lang w:bidi="fa-IR"/>
          <w:color w:val="111111"/>
          <w:sz w:val="28"/>
          <w:szCs w:val="28"/>
          <w:rtl/>
        </w:rPr>
        <w:t xml:space="preserve">۲. مشهد؛ رضوی؛ شماره نسخه: ۵۴۱۴/۱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۶۷۲ق [رایانه ]</w:t>
      </w:r>
    </w:p>
    <w:p>
      <w:pPr>
        <w:pStyle w:val="BookText"/>
      </w:pPr>
      <w:r>
        <w:rPr>
          <w:rFonts w:ascii="IRNazanin" w:hAnsi="IRNazanin" w:eastAsia="IRNazanin" w:cs="IRNazanin"/>
          <w:lang w:bidi="fa-IR"/>
          <w:color w:val="111111"/>
          <w:sz w:val="28"/>
          <w:szCs w:val="28"/>
          <w:rtl/>
        </w:rPr>
        <w:t xml:space="preserve">٣. قم؛ مرعشی؛ شماره نسخه: ۱۲۶۰/۱۳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نسخه اصل: کتابخانه چستربیتی ش ۳۰۴۵؛ خط: نسخ، بی کا، تا: ۶۹۹ق؛ ۵ص (۶۳-۶۷)، ۱۹ سطر [عکسی ف: ۳-۵۸۵]</w:t>
      </w:r>
    </w:p>
    <w:p>
      <w:pPr>
        <w:pStyle w:val="BookText"/>
      </w:pPr>
      <w:r>
        <w:rPr>
          <w:rFonts w:ascii="IRNazanin" w:hAnsi="IRNazanin" w:eastAsia="IRNazanin" w:cs="IRNazanin"/>
          <w:lang w:bidi="fa-IR"/>
          <w:color w:val="111111"/>
          <w:sz w:val="28"/>
          <w:szCs w:val="28"/>
          <w:rtl/>
        </w:rPr>
        <w:t xml:space="preserve">← تبیین معارف ضروريه دينيه← رموز و اصطلاحات کتابهای شهید ثانی</w:t>
      </w:r>
    </w:p>
    <w:p>
      <w:pPr>
        <w:pStyle w:val="BookText"/>
      </w:pPr>
      <w:r>
        <w:rPr>
          <w:rFonts w:ascii="IRNazanin" w:hAnsi="IRNazanin" w:eastAsia="IRNazanin" w:cs="IRNazanin"/>
          <w:lang w:bidi="fa-IR"/>
          <w:color w:val="111111"/>
          <w:sz w:val="28"/>
          <w:szCs w:val="28"/>
          <w:rtl/>
        </w:rPr>
        <w:t xml:space="preserve">←تبیین معارف ضروريه دينيه ← ثمره شجره الهيه</w:t>
      </w:r>
    </w:p>
    <w:p>
      <w:pPr>
        <w:pStyle w:val="Heading3"/>
      </w:pPr>
      <w:bookmarkStart w:id="3003" w:name="_Toc2263"/>
      <w:r>
        <w:t>•التبيين و الاستدراک / کلام و اعتقادات / عربی</w:t>
      </w:r>
      <w:bookmarkEnd w:id="3003"/>
    </w:p>
    <w:p>
      <w:pPr>
        <w:pStyle w:val="BookText"/>
      </w:pPr>
      <w:r>
        <w:rPr>
          <w:rFonts w:ascii="Times New Roman" w:hAnsi="Times New Roman" w:eastAsia="Times New Roman" w:cs="Times New Roman"/>
          <w:lang w:val="en-US" w:bidi="en-US"/>
          <w:color w:val="111111"/>
          <w:sz w:val="28"/>
          <w:szCs w:val="28"/>
          <w:rtl/>
        </w:rPr>
        <w:t xml:space="preserve">at-tabyīn wa-l istidrāk</w:t>
      </w:r>
    </w:p>
    <w:p>
      <w:pPr>
        <w:pStyle w:val="BookText"/>
      </w:pPr>
      <w:r>
        <w:rPr>
          <w:rFonts w:ascii="IRNazanin" w:hAnsi="IRNazanin" w:eastAsia="IRNazanin" w:cs="IRNazanin"/>
          <w:lang w:bidi="fa-IR"/>
          <w:color w:val="111111"/>
          <w:sz w:val="28"/>
          <w:szCs w:val="28"/>
          <w:rtl/>
        </w:rPr>
        <w:t xml:space="preserve">سموقی، علی بن احمد، ق ۵ قمری</w:t>
      </w:r>
    </w:p>
    <w:p>
      <w:pPr>
        <w:pStyle w:val="BookText"/>
      </w:pPr>
      <w:r>
        <w:rPr>
          <w:rFonts w:ascii="Times New Roman" w:hAnsi="Times New Roman" w:eastAsia="Times New Roman" w:cs="Times New Roman"/>
          <w:lang w:val="en-US" w:bidi="en-US"/>
          <w:color w:val="111111"/>
          <w:sz w:val="28"/>
          <w:szCs w:val="28"/>
          <w:rtl/>
        </w:rPr>
        <w:t xml:space="preserve">sammūdī, ‘alī ebn-e ahmad (-11c)</w:t>
      </w:r>
    </w:p>
    <w:p>
      <w:pPr>
        <w:pStyle w:val="BookText"/>
      </w:pPr>
      <w:r>
        <w:rPr>
          <w:rFonts w:ascii="IRNazanin" w:hAnsi="IRNazanin" w:eastAsia="IRNazanin" w:cs="IRNazanin"/>
          <w:lang w:bidi="fa-IR"/>
          <w:color w:val="111111"/>
          <w:sz w:val="28"/>
          <w:szCs w:val="28"/>
          <w:rtl/>
        </w:rPr>
        <w:t xml:space="preserve">آیاتی از قران کریم را در موضوعات مختلف</w:t>
      </w:r>
    </w:p>
    <w:p>
      <w:pPr>
        <w:pStyle w:val="BookText"/>
      </w:pPr>
      <w:r>
        <w:rPr>
          <w:rFonts w:ascii="IRNazanin" w:hAnsi="IRNazanin" w:eastAsia="IRNazanin" w:cs="IRNazanin"/>
          <w:lang w:bidi="fa-IR"/>
          <w:color w:val="111111"/>
          <w:sz w:val="28"/>
          <w:szCs w:val="28"/>
          <w:rtl/>
        </w:rPr>
        <w:t xml:space="preserve">آورده و آن گونه
</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bookmarkStart w:id="691" w:name="pg20363_210043"/>
    <w:bookmarkEnd w:id="691"/>
    <w:p>
      <w:pPr>
        <w:pStyle w:val="BookText"/>
      </w:pPr>
      <w:r>
        <w:rPr>
          <w:rFonts w:ascii="IRNazanin" w:hAnsi="IRNazanin" w:eastAsia="IRNazanin" w:cs="IRNazanin"/>
          <w:lang w:bidi="fa-IR"/>
          <w:color w:val="111111"/>
          <w:sz w:val="28"/>
          <w:szCs w:val="28"/>
          <w:rtl/>
        </w:rPr>
        <w:t xml:space="preserve">که خود می خواهد مطابق اعتقاد درزیان تفسیر و تأویل نموده و به مخالفین نسبت کفر و الحاد می دهد.</w:t>
      </w:r>
    </w:p>
    <w:p>
      <w:pPr>
        <w:pStyle w:val="BookText"/>
      </w:pPr>
      <w:r>
        <w:rPr>
          <w:rFonts w:ascii="IRNazanin" w:hAnsi="IRNazanin" w:eastAsia="IRNazanin" w:cs="IRNazanin"/>
          <w:lang w:bidi="fa-IR"/>
          <w:color w:val="111111"/>
          <w:sz w:val="28"/>
          <w:szCs w:val="28"/>
          <w:rtl/>
        </w:rPr>
        <w:t xml:space="preserve">قم، مرکز احیاء؛ شماره نسخه:۱۵۷۱/۳</w:t>
      </w:r>
    </w:p>
    <w:p>
      <w:pPr>
        <w:pStyle w:val="BookText"/>
      </w:pPr>
      <w:r>
        <w:rPr>
          <w:rFonts w:ascii="IRNazanin" w:hAnsi="IRNazanin" w:eastAsia="IRNazanin" w:cs="IRNazanin"/>
          <w:lang w:bidi="fa-IR"/>
          <w:color w:val="111111"/>
          <w:sz w:val="28"/>
          <w:szCs w:val="28"/>
          <w:rtl/>
        </w:rPr>
        <w:t xml:space="preserve">آغاز: توكلت على المولى الاله الحاكم مازل الازل و توسلت اليه بوليه القائم الهادی علة العلل نسخه اصل: کتابخانه واتیکان -رم ۹۱۳؛ خط: نسخ معرب، بی کا، تا: قرن ۱۲، ۱۹ص (۳۵-۵۳) [عکسی ف: ۴-۴۰۸]</w:t>
      </w:r>
    </w:p>
    <w:p>
      <w:pPr>
        <w:pStyle w:val="Heading3"/>
      </w:pPr>
      <w:bookmarkStart w:id="3004" w:name="_Toc2264"/>
      <w:r>
        <w:t>•التبيينيات في الارث و التوريثات = البينات في تحرير المواريث = البينات في علم المواريث / فقه / عربی</w:t>
      </w:r>
      <w:bookmarkEnd w:id="3004"/>
    </w:p>
    <w:p>
      <w:pPr>
        <w:pStyle w:val="BookText"/>
      </w:pPr>
      <w:r>
        <w:rPr>
          <w:rFonts w:ascii="Times New Roman" w:hAnsi="Times New Roman" w:eastAsia="Times New Roman" w:cs="Times New Roman"/>
          <w:lang w:val="en-US" w:bidi="en-US"/>
          <w:color w:val="111111"/>
          <w:sz w:val="28"/>
          <w:szCs w:val="28"/>
          <w:rtl/>
        </w:rPr>
        <w:t xml:space="preserve">at-tabyīnīyāt fi-l irt wa-t tawrītāt = al-bayyināt fī tahrir-il mawarit = al-bayyinat fi ilm-il mawarit</w:t>
      </w:r>
    </w:p>
    <w:p>
      <w:pPr>
        <w:pStyle w:val="BookText"/>
      </w:pPr>
      <w:r>
        <w:rPr>
          <w:rFonts w:ascii="IRNazanin" w:hAnsi="IRNazanin" w:eastAsia="IRNazanin" w:cs="IRNazanin"/>
          <w:lang w:bidi="fa-IR"/>
          <w:color w:val="111111"/>
          <w:sz w:val="28"/>
          <w:szCs w:val="28"/>
          <w:rtl/>
        </w:rPr>
        <w:t xml:space="preserve">نصیرالدین طوسی، محمد بن محمد، ۵۹۷-۶۷۲ قمری</w:t>
      </w:r>
    </w:p>
    <w:p>
      <w:pPr>
        <w:pStyle w:val="BookText"/>
      </w:pPr>
      <w:r>
        <w:rPr>
          <w:rFonts w:ascii="Times New Roman" w:hAnsi="Times New Roman" w:eastAsia="Times New Roman" w:cs="Times New Roman"/>
          <w:lang w:val="en-US" w:bidi="en-US"/>
          <w:color w:val="111111"/>
          <w:sz w:val="28"/>
          <w:szCs w:val="28"/>
          <w:rtl/>
        </w:rPr>
        <w:t xml:space="preserve">nasīr-od-dīn-e tūsī, mohammad ebn-e mohammad (1201-1274)</w:t>
      </w:r>
    </w:p>
    <w:p>
      <w:pPr>
        <w:pStyle w:val="BookText"/>
      </w:pPr>
      <w:r>
        <w:rPr>
          <w:rFonts w:ascii="IRNazanin" w:hAnsi="IRNazanin" w:eastAsia="IRNazanin" w:cs="IRNazanin"/>
          <w:lang w:bidi="fa-IR"/>
          <w:color w:val="111111"/>
          <w:sz w:val="28"/>
          <w:szCs w:val="28"/>
          <w:rtl/>
        </w:rPr>
        <w:t xml:space="preserve">در سه بخش»: ۱. فرائض در سه «باب»؛ ۲. تعيين الوارث در چهار «باب»؛ ۳. لواحق الميراث در هفت «فصل». جز فرائض نصیریه است. از خواجه نصير فقط یک اثر فقهی آن هم در فرائض و با همین موضوع آمده است و رساله دیگری در آثار او شناخته نیست. در الذریعه رساله ای با عنوان «البينات في تحرير المواريث» نامبرده شده که مؤلف آن مجهول است و سر آغاز آن با این رساله همانند است و نسخه ای در ملک دارد که آن هم ناشناس آمده و الذریعه می گوید: «رايتها في خزانة كتب سيدنا ابي محمد الحسن صدرالدین ره». چنین نسبتی را در ضمن تألیفات خواجه نیافتیم و مدرس رضوی هم در چاپ جدید کارش ذکری از آن نکرده است. فقط دانش پژوه در نسخه دانشگاه چنین نسبت داده است. نسخه ای در مجلس شورا دارد که از مفلح بن حسن صیمری (ق 9ق) دانسته شده که نام «التبيينيات في الارث و التوريثات» دارد و همین رساله است. آغاز: بسمله، الحمد الله الذي ارشدنا بدين الاسلام و اوضع لنا الحق بايضاح الكلام ... و بعد فانی حررت كتاب المواريث في وريقات و سميتها البينات و جمعت فيها الأصول و التعريفات ...الاول الفرایض و ابوابه ثلثة.</w:t>
      </w:r>
    </w:p>
    <w:p>
      <w:pPr>
        <w:pStyle w:val="BookText"/>
      </w:pPr>
      <w:r>
        <w:rPr>
          <w:rFonts w:ascii="Amiri" w:hAnsi="Amiri" w:eastAsia="Amiri" w:cs="Amiri"/>
          <w:lang w:bidi="ar-SA"/>
          <w:color w:val="111111"/>
          <w:sz w:val="28"/>
          <w:szCs w:val="28"/>
          <w:rtl/>
        </w:rPr>
        <w:t xml:space="preserve">انجام: لانها كسرت مخرج الربع فيضرب اربعة في اصل الفريضة و هي ثمانية تبلغ اثنان و ثلاثون و السهم الزايد يؤخذ من الجميع فيكون ثلثة و ثلثين و هذا آخر ما قصدنا حصره في هذا الكتاب و الحمد الله رب العالمين.</w:t>
      </w:r>
    </w:p>
    <w:p>
      <w:pPr>
        <w:pStyle w:val="BookText"/>
      </w:pPr>
      <w:r>
        <w:rPr>
          <w:rFonts w:ascii="IRNazanin" w:hAnsi="IRNazanin" w:eastAsia="IRNazanin" w:cs="IRNazanin"/>
          <w:lang w:bidi="fa-IR"/>
          <w:color w:val="111111"/>
          <w:sz w:val="28"/>
          <w:szCs w:val="28"/>
          <w:rtl/>
        </w:rPr>
        <w:t xml:space="preserve">[دنا ۷۸۳/۲ (۳ نسخه با نسبت به صیمری)؛ الذریعه ۱۹۵/۳ و ۱۵۰/۱۶ ؛ مدرس رضوی ۲۹۰]</w:t>
      </w:r>
    </w:p>
    <w:p>
      <w:pPr>
        <w:pStyle w:val="BookText"/>
      </w:pPr>
      <w:r>
        <w:rPr>
          <w:rFonts w:ascii="IRNazanin" w:hAnsi="IRNazanin" w:eastAsia="IRNazanin" w:cs="IRNazanin"/>
          <w:lang w:bidi="fa-IR"/>
          <w:color w:val="111111"/>
          <w:sz w:val="28"/>
          <w:szCs w:val="28"/>
          <w:rtl/>
        </w:rPr>
        <w:t xml:space="preserve">۱. تهران؛ ملک؛ شماره نسخه: ۱۶۱۳/۲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فهرست بدون نام مؤلف؛ خط: نسخ، بی کا، تا: ۲۱ رمضان ۱۰۳۹ق؛ جلد: میشن آلبالویی سیر. [ف: ۵-۳۰۷]</w:t>
      </w:r>
    </w:p>
    <w:p>
      <w:pPr>
        <w:pStyle w:val="BookText"/>
      </w:pPr>
      <w:r>
        <w:rPr>
          <w:rFonts w:ascii="IRNazanin" w:hAnsi="IRNazanin" w:eastAsia="IRNazanin" w:cs="IRNazanin"/>
          <w:lang w:bidi="fa-IR"/>
          <w:color w:val="111111"/>
          <w:sz w:val="28"/>
          <w:szCs w:val="28"/>
          <w:rtl/>
        </w:rPr>
        <w:t xml:space="preserve">۲. تهران: دانشگاه؛ شماره نسخه:۷۶۸۹/۴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کاغذ: فرنگی، جلد: تیماج قهوه ای، .وص، ۲۰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۱۶-۶۷۲]</w:t>
      </w:r>
    </w:p>
    <w:p>
      <w:pPr>
        <w:pStyle w:val="Heading3"/>
      </w:pPr>
      <w:bookmarkStart w:id="3005" w:name="_Toc2265"/>
      <w:r>
        <w:t>•التبيينيات في الارث و التوريثات = البينات في تحرير المواريث = البينات في علم المواريث / فقه / عربی</w:t>
      </w:r>
      <w:bookmarkEnd w:id="3005"/>
    </w:p>
    <w:p>
      <w:pPr>
        <w:pStyle w:val="BookText"/>
      </w:pPr>
      <w:r>
        <w:rPr>
          <w:rFonts w:ascii="Times New Roman" w:hAnsi="Times New Roman" w:eastAsia="Times New Roman" w:cs="Times New Roman"/>
          <w:lang w:val="en-US" w:bidi="en-US"/>
          <w:color w:val="111111"/>
          <w:sz w:val="28"/>
          <w:szCs w:val="28"/>
          <w:rtl/>
        </w:rPr>
        <w:t xml:space="preserve">at-tabyīnīyāt fi-l irt wa-t tawrītāt = al-bayyināt fī taħrīr-il mawārīt = al-bayyināt fī ‘ilm-il mawārīt</w:t>
      </w:r>
    </w:p>
    <w:p>
      <w:pPr>
        <w:pStyle w:val="BookText"/>
      </w:pPr>
      <w:r>
        <w:rPr>
          <w:rFonts w:ascii="IRNazanin" w:hAnsi="IRNazanin" w:eastAsia="IRNazanin" w:cs="IRNazanin"/>
          <w:lang w:bidi="fa-IR"/>
          <w:color w:val="111111"/>
          <w:sz w:val="28"/>
          <w:szCs w:val="28"/>
          <w:rtl/>
        </w:rPr>
        <w:t xml:space="preserve">صیمری، مفلح بن حسن، - ۲۹۰۰ قمری</w:t>
      </w:r>
    </w:p>
    <w:p>
      <w:pPr>
        <w:pStyle w:val="BookText"/>
      </w:pPr>
      <w:r>
        <w:rPr>
          <w:rFonts w:ascii="Times New Roman" w:hAnsi="Times New Roman" w:eastAsia="Times New Roman" w:cs="Times New Roman"/>
          <w:lang w:val="en-US" w:bidi="en-US"/>
          <w:color w:val="111111"/>
          <w:sz w:val="28"/>
          <w:szCs w:val="28"/>
          <w:rtl/>
        </w:rPr>
        <w:t xml:space="preserve">saymarī, mofleh ebn-e hasan (-1495)</w:t>
      </w:r>
    </w:p>
    <w:p>
      <w:pPr>
        <w:pStyle w:val="BookText"/>
      </w:pPr>
      <w:r>
        <w:rPr>
          <w:rFonts w:ascii="IRNazanin" w:hAnsi="IRNazanin" w:eastAsia="IRNazanin" w:cs="IRNazanin"/>
          <w:lang w:bidi="fa-IR"/>
          <w:color w:val="111111"/>
          <w:sz w:val="28"/>
          <w:szCs w:val="28"/>
          <w:rtl/>
        </w:rPr>
        <w:t xml:space="preserve">همان رساله بالاست که به خواجه نصیر نیز نسبت داده شده است.</w:t>
      </w:r>
    </w:p>
    <w:p>
      <w:pPr>
        <w:pStyle w:val="BookText"/>
      </w:pPr>
      <w:r>
        <w:rPr>
          <w:rFonts w:ascii="IRNazanin" w:hAnsi="IRNazanin" w:eastAsia="IRNazanin" w:cs="IRNazanin"/>
          <w:lang w:bidi="fa-IR"/>
          <w:color w:val="111111"/>
          <w:sz w:val="28"/>
          <w:szCs w:val="28"/>
          <w:rtl/>
        </w:rPr>
        <w:t xml:space="preserve">تهران؛ مجلس؛ شماره نسخه:۱۰۰۷۰/۷</w:t>
      </w:r>
    </w:p>
    <w:p>
      <w:pPr>
        <w:pStyle w:val="BookText"/>
      </w:pPr>
      <w:r>
        <w:rPr>
          <w:rFonts w:ascii="IRNazanin" w:hAnsi="IRNazanin" w:eastAsia="IRNazanin" w:cs="IRNazanin"/>
          <w:lang w:bidi="fa-IR"/>
          <w:color w:val="111111"/>
          <w:sz w:val="28"/>
          <w:szCs w:val="28"/>
          <w:rtl/>
        </w:rPr>
        <w:t xml:space="preserve">آغاز: بسمله الحمد لله الذي ارشدنا بدين الاسلام و اوضح لنا ... و بعد فانی جردت رسالة في كتاب المواريث في وريقات و سميتها؟ انجام: و السهم الزايد يوخذ من الجميع فيكون ثلاثة و ثلاثين ... نامية زاكية خط: تعليق، كا: كمال الدين عطاء الله بن مسیح آملی، تا: سلخ رجب ۱۳۳ق؛ ۱۶ص (۱۵۲- ۱۶۷پ)،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۹۱-۳۲ ]</w:t>
      </w:r>
    </w:p>
    <w:p>
      <w:pPr>
        <w:pStyle w:val="Heading3"/>
      </w:pPr>
      <w:bookmarkStart w:id="3006" w:name="_Toc2266"/>
      <w:r>
        <w:t>•تتمة / نحو /عربی</w:t>
      </w:r>
      <w:bookmarkEnd w:id="3006"/>
    </w:p>
    <w:p>
      <w:pPr>
        <w:pStyle w:val="BookText"/>
      </w:pPr>
      <w:r>
        <w:rPr>
          <w:rFonts w:ascii="Times New Roman" w:hAnsi="Times New Roman" w:eastAsia="Times New Roman" w:cs="Times New Roman"/>
          <w:lang w:val="en-US" w:bidi="en-US"/>
          <w:color w:val="111111"/>
          <w:sz w:val="28"/>
          <w:szCs w:val="28"/>
          <w:rtl/>
        </w:rPr>
        <w:t xml:space="preserve">tatimma</w:t>
      </w:r>
    </w:p>
    <w:p>
      <w:pPr>
        <w:pStyle w:val="BookText"/>
      </w:pPr>
      <w:r>
        <w:rPr>
          <w:rFonts w:ascii="IRNazanin" w:hAnsi="IRNazanin" w:eastAsia="IRNazanin" w:cs="IRNazanin"/>
          <w:lang w:bidi="fa-IR"/>
          <w:color w:val="111111"/>
          <w:sz w:val="28"/>
          <w:szCs w:val="28"/>
          <w:rtl/>
        </w:rPr>
        <w:t xml:space="preserve">ملک محمد</w:t>
      </w:r>
    </w:p>
    <w:p>
      <w:pPr>
        <w:pStyle w:val="BookText"/>
      </w:pPr>
      <w:r>
        <w:rPr>
          <w:rFonts w:ascii="Times New Roman" w:hAnsi="Times New Roman" w:eastAsia="Times New Roman" w:cs="Times New Roman"/>
          <w:lang w:val="en-US" w:bidi="en-US"/>
          <w:color w:val="111111"/>
          <w:sz w:val="28"/>
          <w:szCs w:val="28"/>
          <w:rtl/>
        </w:rPr>
        <w:t xml:space="preserve">malek mohammad</w:t>
      </w:r>
    </w:p>
    <w:p>
      <w:pPr>
        <w:pStyle w:val="BookText"/>
      </w:pPr>
      <w:r>
        <w:rPr>
          <w:rFonts w:ascii="IRNazanin" w:hAnsi="IRNazanin" w:eastAsia="IRNazanin" w:cs="IRNazanin"/>
          <w:lang w:bidi="fa-IR"/>
          <w:color w:val="111111"/>
          <w:sz w:val="28"/>
          <w:szCs w:val="28"/>
          <w:rtl/>
        </w:rPr>
        <w:t xml:space="preserve">مختصری است در علم نحو.</w:t>
      </w:r>
    </w:p>
    <w:p>
      <w:pPr>
        <w:pStyle w:val="BookText"/>
      </w:pPr>
      <w:r>
        <w:rPr>
          <w:rFonts w:ascii="IRNazanin" w:hAnsi="IRNazanin" w:eastAsia="IRNazanin" w:cs="IRNazanin"/>
          <w:lang w:bidi="fa-IR"/>
          <w:color w:val="111111"/>
          <w:sz w:val="28"/>
          <w:szCs w:val="28"/>
          <w:rtl/>
        </w:rPr>
        <w:t xml:space="preserve">۱. تهران: دانشگاه؛ شماره نسخه: ۹۷۴۷/۱۱</w:t>
      </w:r>
    </w:p>
    <w:p>
      <w:pPr>
        <w:pStyle w:val="BookText"/>
      </w:pPr>
      <w:r>
        <w:rPr>
          <w:rFonts w:ascii="IRNazanin" w:hAnsi="IRNazanin" w:eastAsia="IRNazanin" w:cs="IRNazanin"/>
          <w:lang w:bidi="fa-IR"/>
          <w:color w:val="111111"/>
          <w:sz w:val="28"/>
          <w:szCs w:val="28"/>
          <w:rtl/>
        </w:rPr>
        <w:t xml:space="preserve">آغاز: بسمله. حمدله ... اعلم يا بني ... أن المبتدء و خبره مرفوعان؛ انجام: و لاتضرب بی کا، تا: قرن ۱۱ کاغذ: هندی، جلد: تازه، ۳گ (۷۳پ -۷۵ر)،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۱۷-۴۷۵] ۲. مشهد؛ رضوی؛ شماره نسخه:۱۳۵۹۴/۵</w:t>
      </w:r>
    </w:p>
    <w:p>
      <w:pPr>
        <w:pStyle w:val="BookText"/>
      </w:pPr>
      <w:r>
        <w:rPr>
          <w:rFonts w:ascii="IRNazanin" w:hAnsi="IRNazanin" w:eastAsia="IRNazanin" w:cs="IRNazanin"/>
          <w:lang w:bidi="fa-IR"/>
          <w:color w:val="111111"/>
          <w:sz w:val="28"/>
          <w:szCs w:val="28"/>
          <w:rtl/>
        </w:rPr>
        <w:t xml:space="preserve">آغاز: بسمله الحمدلله رب العالمين و العاقبة للمتقين ... اعلم يا بني اطال الله تعالی عمرک و اعطاك علما نافعا أن المبتدأ و الخبر مرفوعان.؛ انجام: نحو اضرب و لاتضرب.</w:t>
      </w:r>
    </w:p>
    <w:p>
      <w:pPr>
        <w:pStyle w:val="BookText"/>
      </w:pPr>
      <w:r>
        <w:rPr>
          <w:rFonts w:ascii="IRNazanin" w:hAnsi="IRNazanin" w:eastAsia="IRNazanin" w:cs="IRNazanin"/>
          <w:lang w:bidi="fa-IR"/>
          <w:color w:val="111111"/>
          <w:sz w:val="28"/>
          <w:szCs w:val="28"/>
          <w:rtl/>
        </w:rPr>
        <w:t xml:space="preserve">در فهرست بدون نام مؤلف؛ خط: نستعلیق هندی، کا: حاج محمد
</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bookmarkStart w:id="692" w:name="pg20363_210044"/>
    <w:bookmarkEnd w:id="692"/>
    <w:p>
      <w:pPr>
        <w:pStyle w:val="BookText"/>
      </w:pPr>
      <w:r>
        <w:rPr>
          <w:rFonts w:ascii="IRNazanin" w:hAnsi="IRNazanin" w:eastAsia="IRNazanin" w:cs="IRNazanin"/>
          <w:lang w:bidi="fa-IR"/>
          <w:color w:val="111111"/>
          <w:sz w:val="28"/>
          <w:szCs w:val="28"/>
          <w:rtl/>
        </w:rPr>
        <w:t xml:space="preserve">ادریس، تا: ۱۲۶۹ق؛ کاغذ: فستقی و حنایی، ۵گ، اندازه: 13</w:t>
      </w:r>
      <w:r>
        <w:rPr>
          <w:rFonts w:ascii="Times New Roman" w:hAnsi="Times New Roman" w:eastAsia="Times New Roman" w:cs="Times New Roman"/>
          <w:lang w:val="en-US" w:bidi="en-US"/>
          <w:color w:val="111111"/>
          <w:sz w:val="28"/>
          <w:szCs w:val="28"/>
          <w:rtl/>
        </w:rPr>
        <w:t xml:space="preserve">×5/ </w:t>
      </w:r>
      <w:r>
        <w:rPr>
          <w:rFonts w:ascii="IRNazanin" w:hAnsi="IRNazanin" w:eastAsia="IRNazanin" w:cs="IRNazanin"/>
          <w:lang w:bidi="fa-IR"/>
          <w:color w:val="111111"/>
          <w:sz w:val="28"/>
          <w:szCs w:val="28"/>
          <w:rtl/>
        </w:rPr>
        <w:t xml:space="preserve">۲۰سم [ف: ۱۲-۳۵۷]</w:t>
      </w:r>
    </w:p>
    <w:p>
      <w:pPr>
        <w:pStyle w:val="Heading3"/>
      </w:pPr>
      <w:bookmarkStart w:id="3007" w:name="_Toc2267"/>
      <w:r>
        <w:t>•تتمه اسکندرنامه / شعر / فارسی</w:t>
      </w:r>
      <w:bookmarkEnd w:id="3007"/>
    </w:p>
    <w:p>
      <w:pPr>
        <w:pStyle w:val="BookText"/>
      </w:pPr>
      <w:r>
        <w:rPr>
          <w:rFonts w:ascii="Times New Roman" w:hAnsi="Times New Roman" w:eastAsia="Times New Roman" w:cs="Times New Roman"/>
          <w:lang w:val="en-US" w:bidi="en-US"/>
          <w:color w:val="111111"/>
          <w:sz w:val="28"/>
          <w:szCs w:val="28"/>
          <w:rtl/>
        </w:rPr>
        <w:t xml:space="preserve">tatemme-ye eskandar-nāme</w:t>
      </w:r>
    </w:p>
    <w:p>
      <w:pPr>
        <w:pStyle w:val="BookText"/>
      </w:pPr>
      <w:r>
        <w:rPr>
          <w:rFonts w:ascii="IRNazanin" w:hAnsi="IRNazanin" w:eastAsia="IRNazanin" w:cs="IRNazanin"/>
          <w:lang w:bidi="fa-IR"/>
          <w:color w:val="111111"/>
          <w:sz w:val="28"/>
          <w:szCs w:val="28"/>
          <w:rtl/>
        </w:rPr>
        <w:t xml:space="preserve">نظامی، الیاس بن يوسف، ۵۳۰؟ -۶۱۴؟ قمری</w:t>
      </w:r>
    </w:p>
    <w:p>
      <w:pPr>
        <w:pStyle w:val="BookText"/>
      </w:pPr>
      <w:r>
        <w:rPr>
          <w:rFonts w:ascii="Times New Roman" w:hAnsi="Times New Roman" w:eastAsia="Times New Roman" w:cs="Times New Roman"/>
          <w:lang w:val="en-US" w:bidi="en-US"/>
          <w:color w:val="111111"/>
          <w:sz w:val="28"/>
          <w:szCs w:val="28"/>
          <w:rtl/>
        </w:rPr>
        <w:t xml:space="preserve">nezāmī, elyās ebn-e yūsof (1136-1218)</w:t>
      </w:r>
    </w:p>
    <w:p>
      <w:pPr>
        <w:pStyle w:val="BookText"/>
      </w:pPr>
      <w:r>
        <w:rPr>
          <w:rFonts w:ascii="IRNazanin" w:hAnsi="IRNazanin" w:eastAsia="IRNazanin" w:cs="IRNazanin"/>
          <w:lang w:bidi="fa-IR"/>
          <w:color w:val="111111"/>
          <w:sz w:val="28"/>
          <w:szCs w:val="28"/>
          <w:rtl/>
        </w:rPr>
        <w:t xml:space="preserve">وابسته به: اسکندرنامه = شرف نامه = اقبال نامه؛ نظامی، الیاس يوسف (۵۳۰-۶۱۴) تتمه اسکندرنامه از متن.</w:t>
      </w:r>
    </w:p>
    <w:p>
      <w:pPr>
        <w:pStyle w:val="BookText"/>
      </w:pPr>
      <w:r>
        <w:rPr>
          <w:rFonts w:ascii="IRNazanin" w:hAnsi="IRNazanin" w:eastAsia="IRNazanin" w:cs="IRNazanin"/>
          <w:lang w:bidi="fa-IR"/>
          <w:color w:val="111111"/>
          <w:sz w:val="28"/>
          <w:szCs w:val="28"/>
          <w:rtl/>
        </w:rPr>
        <w:t xml:space="preserve">تهران؛ دانشگاه؛ شماره نسخه: ۸۷۵۲/۶</w:t>
      </w:r>
    </w:p>
    <w:p>
      <w:pPr>
        <w:pStyle w:val="BookText"/>
      </w:pPr>
      <w:r>
        <w:rPr>
          <w:rFonts w:ascii="IRNazanin" w:hAnsi="IRNazanin" w:eastAsia="IRNazanin" w:cs="IRNazanin"/>
          <w:lang w:bidi="fa-IR"/>
          <w:color w:val="111111"/>
          <w:sz w:val="28"/>
          <w:szCs w:val="28"/>
          <w:rtl/>
        </w:rPr>
        <w:t xml:space="preserve">خط: نستعلیق، بی کا، تا: قرن ۱۰؛ کاغذ:سمرقندی،جلد: تیماج تریاکی، ۶گ (هامش ۱۳۸۳-۳۸۸پ)، ۱۷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[ف: ۱۷-۲۱۳]</w:t>
      </w:r>
    </w:p>
    <w:p>
      <w:pPr>
        <w:pStyle w:val="Heading3"/>
      </w:pPr>
      <w:bookmarkStart w:id="3008" w:name="_Toc2268"/>
      <w:r>
        <w:t>•تتمة البيان في تاريخ افغانستان (ترجمه) / تاریخ /  فارسی</w:t>
      </w:r>
      <w:bookmarkEnd w:id="3008"/>
    </w:p>
    <w:p>
      <w:pPr>
        <w:pStyle w:val="BookText"/>
      </w:pPr>
      <w:r>
        <w:rPr>
          <w:rFonts w:ascii="Times New Roman" w:hAnsi="Times New Roman" w:eastAsia="Times New Roman" w:cs="Times New Roman"/>
          <w:lang w:val="en-US" w:bidi="en-US"/>
          <w:color w:val="111111"/>
          <w:sz w:val="28"/>
          <w:szCs w:val="28"/>
          <w:rtl/>
        </w:rPr>
        <w:t xml:space="preserve">tatemmat-ol bayān fī tārīx-e afqānestān (t.)</w:t>
      </w:r>
    </w:p>
    <w:p>
      <w:pPr>
        <w:pStyle w:val="BookText"/>
      </w:pPr>
      <w:r>
        <w:rPr>
          <w:rFonts w:ascii="IRNazanin" w:hAnsi="IRNazanin" w:eastAsia="IRNazanin" w:cs="IRNazanin"/>
          <w:lang w:bidi="fa-IR"/>
          <w:color w:val="111111"/>
          <w:sz w:val="28"/>
          <w:szCs w:val="28"/>
          <w:rtl/>
        </w:rPr>
        <w:t xml:space="preserve">جمال الدین اسد آبادی، ۱۲۵۴-۱۳۱۴ قمری</w:t>
      </w:r>
    </w:p>
    <w:p>
      <w:pPr>
        <w:pStyle w:val="BookText"/>
      </w:pPr>
      <w:r>
        <w:rPr>
          <w:rFonts w:ascii="Times New Roman" w:hAnsi="Times New Roman" w:eastAsia="Times New Roman" w:cs="Times New Roman"/>
          <w:lang w:val="en-US" w:bidi="en-US"/>
          <w:color w:val="111111"/>
          <w:sz w:val="28"/>
          <w:szCs w:val="28"/>
          <w:rtl/>
        </w:rPr>
        <w:t xml:space="preserve">jamāl-od-dīn-e asadābādī (1838-1897)</w:t>
      </w:r>
    </w:p>
    <w:p>
      <w:pPr>
        <w:pStyle w:val="BookText"/>
      </w:pPr>
      <w:r>
        <w:rPr>
          <w:rFonts w:ascii="IRNazanin" w:hAnsi="IRNazanin" w:eastAsia="IRNazanin" w:cs="IRNazanin"/>
          <w:lang w:bidi="fa-IR"/>
          <w:color w:val="111111"/>
          <w:sz w:val="28"/>
          <w:szCs w:val="28"/>
          <w:rtl/>
        </w:rPr>
        <w:t xml:space="preserve">مشتمل است بر مجملی از احوال سابقه و لاحقه: فصل اول در بیان اسم طایفه افغان. پوشیده مباد که پارسیان این قوم را افغان می نامند ...</w:t>
      </w:r>
    </w:p>
    <w:p>
      <w:pPr>
        <w:pStyle w:val="BookText"/>
      </w:pPr>
      <w:r>
        <w:rPr>
          <w:rFonts w:ascii="IRNazanin" w:hAnsi="IRNazanin" w:eastAsia="IRNazanin" w:cs="IRNazanin"/>
          <w:lang w:bidi="fa-IR"/>
          <w:color w:val="111111"/>
          <w:sz w:val="28"/>
          <w:szCs w:val="28"/>
          <w:rtl/>
        </w:rPr>
        <w:t xml:space="preserve">چاپ: مطبوعات الموسوعات، ۱۹۲ ، ۱۳۱۸ ق.</w:t>
      </w:r>
    </w:p>
    <w:p>
      <w:pPr>
        <w:pStyle w:val="BookText"/>
      </w:pPr>
      <w:r>
        <w:rPr>
          <w:rFonts w:ascii="IRNazanin" w:hAnsi="IRNazanin" w:eastAsia="IRNazanin" w:cs="IRNazanin"/>
          <w:lang w:bidi="fa-IR"/>
          <w:color w:val="111111"/>
          <w:sz w:val="28"/>
          <w:szCs w:val="28"/>
          <w:rtl/>
        </w:rPr>
        <w:t xml:space="preserve">تهران؛ ملک؛ شماره نسخه: ۳۷۱۱/۲</w:t>
      </w:r>
    </w:p>
    <w:p>
      <w:pPr>
        <w:pStyle w:val="BookText"/>
      </w:pPr>
      <w:r>
        <w:rPr>
          <w:rFonts w:ascii="IRNazanin" w:hAnsi="IRNazanin" w:eastAsia="IRNazanin" w:cs="IRNazanin"/>
          <w:lang w:bidi="fa-IR"/>
          <w:color w:val="111111"/>
          <w:sz w:val="28"/>
          <w:szCs w:val="28"/>
          <w:rtl/>
        </w:rPr>
        <w:t xml:space="preserve">آغاز: این رساله مشتمل است بر مجملی از احوال سابقه و لاحقه ... فصل اول در بیان اسم طایفه افغان. پوشیده مباد که پارسیان این قوم را افغان می نامند؛ انجام: و من با تو درین عهد و قرار استوارم. خط: نستعلیق، بی کا، تا: محرم ۱۳۰۴ق؛ کاغذ: آهار مهره فرنگی، جلد: میشن قرمز، ۱۵ سطر، اندازه: ۱۷/۲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۱۰/۹ سم [ف: ۷-۳۲]</w:t>
      </w:r>
    </w:p>
    <w:p>
      <w:pPr>
        <w:pStyle w:val="Heading3"/>
      </w:pPr>
      <w:bookmarkStart w:id="3009" w:name="_Toc2269"/>
      <w:r>
        <w:t>•تتمة بيان «لقد جائكم رسول من انفسکم» (رساله در) / تفسير / فارسی</w:t>
      </w:r>
      <w:bookmarkEnd w:id="3009"/>
    </w:p>
    <w:p>
      <w:pPr>
        <w:pStyle w:val="BookText"/>
      </w:pPr>
      <w:r>
        <w:rPr>
          <w:rFonts w:ascii="Times New Roman" w:hAnsi="Times New Roman" w:eastAsia="Times New Roman" w:cs="Times New Roman"/>
          <w:lang w:val="en-US" w:bidi="en-US"/>
          <w:color w:val="111111"/>
          <w:sz w:val="28"/>
          <w:szCs w:val="28"/>
          <w:rtl/>
        </w:rPr>
        <w:t xml:space="preserve">tatemmat-o bayān-e «laqad jā’a-kum rasūl-un min anfus-i-kum» (r. dar)</w:t>
      </w:r>
    </w:p>
    <w:p>
      <w:pPr>
        <w:pStyle w:val="BookText"/>
      </w:pPr>
      <w:r>
        <w:rPr>
          <w:rFonts w:ascii="IRNazanin" w:hAnsi="IRNazanin" w:eastAsia="IRNazanin" w:cs="IRNazanin"/>
          <w:lang w:bidi="fa-IR"/>
          <w:color w:val="111111"/>
          <w:sz w:val="28"/>
          <w:szCs w:val="28"/>
          <w:rtl/>
        </w:rPr>
        <w:t xml:space="preserve">جمالی اردستانی، جمال الدین محمد،۸۱۴-۸۸۳؟ قمری</w:t>
      </w:r>
    </w:p>
    <w:p>
      <w:pPr>
        <w:pStyle w:val="BookText"/>
      </w:pPr>
      <w:r>
        <w:rPr>
          <w:rFonts w:ascii="Times New Roman" w:hAnsi="Times New Roman" w:eastAsia="Times New Roman" w:cs="Times New Roman"/>
          <w:lang w:val="en-US" w:bidi="en-US"/>
          <w:color w:val="111111"/>
          <w:sz w:val="28"/>
          <w:szCs w:val="28"/>
          <w:rtl/>
        </w:rPr>
        <w:t xml:space="preserve">jamālī ardestānī, jamāl-od-dīn mohammad (1412-1479)</w:t>
      </w:r>
    </w:p>
    <w:p>
      <w:pPr>
        <w:pStyle w:val="BookText"/>
      </w:pPr>
      <w:r>
        <w:rPr>
          <w:rFonts w:ascii="IRNazanin" w:hAnsi="IRNazanin" w:eastAsia="IRNazanin" w:cs="IRNazanin"/>
          <w:lang w:bidi="fa-IR"/>
          <w:color w:val="111111"/>
          <w:sz w:val="28"/>
          <w:szCs w:val="28"/>
          <w:rtl/>
        </w:rPr>
        <w:t xml:space="preserve">تهران؛ مجلس؛ شماره نسخه: ۹۳۲۶/۳۳</w:t>
      </w:r>
    </w:p>
    <w:p>
      <w:pPr>
        <w:pStyle w:val="BookText"/>
      </w:pPr>
      <w:r>
        <w:rPr>
          <w:rFonts w:ascii="IRNazanin" w:hAnsi="IRNazanin" w:eastAsia="IRNazanin" w:cs="IRNazanin"/>
          <w:lang w:bidi="fa-IR"/>
          <w:color w:val="111111"/>
          <w:sz w:val="28"/>
          <w:szCs w:val="28"/>
          <w:rtl/>
        </w:rPr>
        <w:t xml:space="preserve">خط: نستعلیق، کا: محمد کریم بن میرزا زمان، تا: قرن ۱۳؛ ۲ص ( ۶۵۰-۶۴۹</w:t>
      </w:r>
    </w:p>
    <w:p>
      <w:pPr>
        <w:pStyle w:val="BookText"/>
      </w:pPr>
      <w:r>
        <w:rPr>
          <w:rFonts w:ascii="IRNazanin" w:hAnsi="IRNazanin" w:eastAsia="IRNazanin" w:cs="IRNazanin"/>
          <w:lang w:bidi="fa-IR"/>
          <w:color w:val="111111"/>
          <w:sz w:val="28"/>
          <w:szCs w:val="28"/>
          <w:rtl/>
        </w:rPr>
        <w:t xml:space="preserve">) [مختصر ف: ۱۳۱]</w:t>
      </w:r>
    </w:p>
    <w:p>
      <w:pPr>
        <w:pStyle w:val="Heading3"/>
      </w:pPr>
      <w:bookmarkStart w:id="3010" w:name="_Toc2270"/>
      <w:r>
        <w:t>• تتمه تاریخ فرشته / تاریخ هند / فارسی</w:t>
      </w:r>
      <w:bookmarkEnd w:id="3010"/>
    </w:p>
    <w:p>
      <w:pPr>
        <w:pStyle w:val="BookText"/>
      </w:pPr>
      <w:r>
        <w:rPr>
          <w:rFonts w:ascii="Times New Roman" w:hAnsi="Times New Roman" w:eastAsia="Times New Roman" w:cs="Times New Roman"/>
          <w:lang w:val="en-US" w:bidi="en-US"/>
          <w:color w:val="111111"/>
          <w:sz w:val="28"/>
          <w:szCs w:val="28"/>
          <w:rtl/>
        </w:rPr>
        <w:t xml:space="preserve">tatemme-ye tārīx-e ferešte</w:t>
      </w:r>
    </w:p>
    <w:p>
      <w:pPr>
        <w:pStyle w:val="BookText"/>
      </w:pPr>
      <w:r>
        <w:rPr>
          <w:rFonts w:ascii="IRNazanin" w:hAnsi="IRNazanin" w:eastAsia="IRNazanin" w:cs="IRNazanin"/>
          <w:lang w:bidi="fa-IR"/>
          <w:color w:val="111111"/>
          <w:sz w:val="28"/>
          <w:szCs w:val="28"/>
          <w:rtl/>
        </w:rPr>
        <w:t xml:space="preserve">اهدا به: سلطان مراد میرزا ابن بهرام میرزا ابن شاه اسماعیل در این کتاب شخصی که نامش ذکر نشده به دستور سلطان مراد میرزا ابن بهرام میرزا ابن شاه اسماعیل صفوی تتمه تاریخ فرشته را از سلطنت جهانگير تا سال پنجم سلطنت اورنگ زیب نوشته است.</w:t>
      </w:r>
    </w:p>
    <w:p>
      <w:pPr>
        <w:pStyle w:val="BookText"/>
      </w:pPr>
      <w:r>
        <w:rPr>
          <w:rFonts w:ascii="IRNazanin" w:hAnsi="IRNazanin" w:eastAsia="IRNazanin" w:cs="IRNazanin"/>
          <w:lang w:bidi="fa-IR"/>
          <w:color w:val="111111"/>
          <w:sz w:val="28"/>
          <w:szCs w:val="28"/>
          <w:rtl/>
        </w:rPr>
        <w:t xml:space="preserve">شیراز؛ ملی؛ شماره نسخه:۶۵ت/۶۷۴/۲</w:t>
      </w:r>
    </w:p>
    <w:p>
      <w:pPr>
        <w:pStyle w:val="BookText"/>
      </w:pPr>
      <w:r>
        <w:rPr>
          <w:rFonts w:ascii="IRNazanin" w:hAnsi="IRNazanin" w:eastAsia="IRNazanin" w:cs="IRNazanin"/>
          <w:lang w:bidi="fa-IR"/>
          <w:color w:val="111111"/>
          <w:sz w:val="28"/>
          <w:szCs w:val="28"/>
          <w:rtl/>
        </w:rPr>
        <w:t xml:space="preserve">آغاز: مقدمه: بدایع طراز سحر آفرین سخن پرداز دانش گزین ابو القاسم فرشته ... تتمه: شایسته سریر سلطنت و فرمان روای زیبنده افسر خلافت و کشور گشای جگر شکاف هژبران ... ابو المظفر نور الدين محمد جهانگیر پادشاه غازی؛ انجام پایان مقدمه: امید که بذريعه بديعه این سواد نامی بر صفحه روزگار بماند. پایان: و بتاریخ مذکور موكب فلک شکوه شاه جهانی بظاهر دار الخلافه در باغ نور نزول اقبال ارزانی فرموده رونق افزای تخت و دیهیم شد. خط: نستعلیق، بی کا، بی تا، کاغذ: نخودی نازک، جلد: مقوا با تیماج سرخ، ۸ گ، ۲۸سطر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اندازه: ۳۸/۵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سم [ف: ۲-۲۵۹]</w:t>
      </w:r>
    </w:p>
    <w:p>
      <w:pPr>
        <w:pStyle w:val="Heading3"/>
      </w:pPr>
      <w:bookmarkStart w:id="3011" w:name="_Toc2271"/>
      <w:r>
        <w:t>•تتمه تاریخ نادر شاه / تاریخ ایران / فارسی</w:t>
      </w:r>
      <w:bookmarkEnd w:id="3011"/>
    </w:p>
    <w:p>
      <w:pPr>
        <w:pStyle w:val="BookText"/>
      </w:pPr>
      <w:r>
        <w:rPr>
          <w:rFonts w:ascii="Times New Roman" w:hAnsi="Times New Roman" w:eastAsia="Times New Roman" w:cs="Times New Roman"/>
          <w:lang w:val="en-US" w:bidi="en-US"/>
          <w:color w:val="111111"/>
          <w:sz w:val="28"/>
          <w:szCs w:val="28"/>
          <w:rtl/>
        </w:rPr>
        <w:t xml:space="preserve">tatemme-ye tārīx-e nāder-šāh</w:t>
      </w:r>
    </w:p>
    <w:p>
      <w:pPr>
        <w:pStyle w:val="BookText"/>
      </w:pPr>
      <w:r>
        <w:rPr>
          <w:rFonts w:ascii="IRNazanin" w:hAnsi="IRNazanin" w:eastAsia="IRNazanin" w:cs="IRNazanin"/>
          <w:lang w:bidi="fa-IR"/>
          <w:color w:val="111111"/>
          <w:sz w:val="28"/>
          <w:szCs w:val="28"/>
          <w:rtl/>
        </w:rPr>
        <w:t xml:space="preserve">قائم مقام فراهانی، عبدالوهاب بن على، ق۱۴ قمری</w:t>
      </w:r>
    </w:p>
    <w:p>
      <w:pPr>
        <w:pStyle w:val="BookText"/>
      </w:pPr>
      <w:r>
        <w:rPr>
          <w:rFonts w:ascii="Times New Roman" w:hAnsi="Times New Roman" w:eastAsia="Times New Roman" w:cs="Times New Roman"/>
          <w:lang w:val="en-US" w:bidi="en-US"/>
          <w:color w:val="111111"/>
          <w:sz w:val="28"/>
          <w:szCs w:val="28"/>
          <w:rtl/>
        </w:rPr>
        <w:t xml:space="preserve">qā'em maqām-e farāhānī, 'abd-ol-vahhāb ebn-e ‘ali ( 20c)</w:t>
      </w:r>
    </w:p>
    <w:p>
      <w:pPr>
        <w:pStyle w:val="BookText"/>
      </w:pPr>
      <w:r>
        <w:rPr>
          <w:rFonts w:ascii="IRNazanin" w:hAnsi="IRNazanin" w:eastAsia="IRNazanin" w:cs="IRNazanin"/>
          <w:lang w:bidi="fa-IR"/>
          <w:color w:val="111111"/>
          <w:sz w:val="28"/>
          <w:szCs w:val="28"/>
          <w:rtl/>
        </w:rPr>
        <w:t xml:space="preserve">وابسته به: تاریخ نادر شاه (ترجمه)؛ قراگوزلو، ابوالقاسم (۱۲۴۴ ۱۳۰۶ق) تاريخ تأليف: ۱۳۲۲ق، در زمان سلطنت مظفرالدین شاه قاجار مؤلف که خود را در دیباچه چنین معرفی کرده: «عبد الوهاب بن میرزا علی محمد خان سید الوزراء ابن مرحوم میرزا على قائم مقام ابن مرحوم میرزا ابوالقاسم قایم مقام حسینی فراهانی صدر شهید»، درباره انگیزه تالیف این کتاب می گوید: «چون در سده چهارم هجری میل مردم ایران به نوشتن و خواندن تاریخ های گذشته مایل شده، به خاطر این بنده گذشت که تاریخی نویسد شاید بدین واسطه اسمی از خویش در صفحه روزگار گذارده باشم بعد از تفکر و جستجوی بسیار دیدم که سخن نگفته باقی نمانده جز تاریخی که جمس فریزر انگلیسی معاصر نادرشاه در شرح احوال نادرشاه با تاریخ مختصری از هندوستان نگاشته و در این عصر ابوالقاسم خان ناصر الملک همدانی آن را به فارسی ترجمه کرده، این تاریخ ناتمام است لذا از برگشتن نادرشاه از هندوستان تا انجام سلطنت او و بقیه سلطنت دودمان گورکانیه در هند تا انقراص آن طایفه به دست انگلیس و تاریخ مصرف دولت انگلیس مملکت هندوستان را و جغرافیای هندوستان را اضافه نمود. تتمه تاریخ نادرشاه از روی تاریخ جهانگشای نادری
</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bookmarkStart w:id="693" w:name="pg20363_210045"/>
    <w:bookmarkEnd w:id="693"/>
    <w:p>
      <w:pPr>
        <w:pStyle w:val="BookText"/>
      </w:pPr>
      <w:r>
        <w:rPr>
          <w:rFonts w:ascii="IRNazanin" w:hAnsi="IRNazanin" w:eastAsia="IRNazanin" w:cs="IRNazanin"/>
          <w:lang w:bidi="fa-IR"/>
          <w:color w:val="111111"/>
          <w:sz w:val="28"/>
          <w:szCs w:val="28"/>
          <w:rtl/>
        </w:rPr>
        <w:t xml:space="preserve">و بعضی تواریخ دیگر و بقیه سلطنت دودمان تیموری را از روی تاریخ سلالة السير که تاریخ تمام هندوستان است نقل شد»</w:t>
      </w:r>
    </w:p>
    <w:p>
      <w:pPr>
        <w:pStyle w:val="BookText"/>
      </w:pPr>
      <w:r>
        <w:rPr>
          <w:rFonts w:ascii="IRNazanin" w:hAnsi="IRNazanin" w:eastAsia="IRNazanin" w:cs="IRNazanin"/>
          <w:lang w:bidi="fa-IR"/>
          <w:color w:val="111111"/>
          <w:sz w:val="28"/>
          <w:szCs w:val="28"/>
          <w:rtl/>
        </w:rPr>
        <w:t xml:space="preserve">تهران؛ مجلس؛ شماره نسخه: ۹۲۵۹</w:t>
      </w:r>
    </w:p>
    <w:p>
      <w:pPr>
        <w:pStyle w:val="BookText"/>
      </w:pPr>
      <w:r>
        <w:rPr>
          <w:rFonts w:ascii="IRNazanin" w:hAnsi="IRNazanin" w:eastAsia="IRNazanin" w:cs="IRNazanin"/>
          <w:lang w:bidi="fa-IR"/>
          <w:color w:val="111111"/>
          <w:sz w:val="28"/>
          <w:szCs w:val="28"/>
          <w:rtl/>
        </w:rPr>
        <w:t xml:space="preserve">آغاز: بسمله. چنین گوید عبد الوهاب بن میرزا علی محمد خان ... که چون دیدم در این مائه چهاردهم از هجرت نبوی؛ انجام: یکی از شعب رودخانه گنگ واقع است و هشتصد هزار نفر سکنه دارد و این تکلمه را در روز دهم ... و انا العبد عبدالوهاب الحسینی الفراهانی خط: شکسته نستعلیق، کاتب = مؤلف، تا: ۱۰ شوال ۱۳۲۲ق، جان تهران؛ رکابه دار؛ جلد: تیماج زیتونی، ۶۵گ، ۱۱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۳۰-۳۹]</w:t>
      </w:r>
    </w:p>
    <w:p>
      <w:pPr>
        <w:pStyle w:val="Heading3"/>
      </w:pPr>
      <w:bookmarkStart w:id="3012" w:name="_Toc2272"/>
      <w:r>
        <w:t>•تتمة تعليقة منهج المقال / رجال / عربی</w:t>
      </w:r>
      <w:bookmarkEnd w:id="3012"/>
    </w:p>
    <w:p>
      <w:pPr>
        <w:pStyle w:val="BookText"/>
      </w:pPr>
      <w:r>
        <w:rPr>
          <w:rFonts w:ascii="Times New Roman" w:hAnsi="Times New Roman" w:eastAsia="Times New Roman" w:cs="Times New Roman"/>
          <w:lang w:val="en-US" w:bidi="en-US"/>
          <w:color w:val="111111"/>
          <w:sz w:val="28"/>
          <w:szCs w:val="28"/>
          <w:rtl/>
        </w:rPr>
        <w:t xml:space="preserve">tatimmat-u taʻlīqat-i minhaj-il maqāl</w:t>
      </w:r>
    </w:p>
    <w:p>
      <w:pPr>
        <w:pStyle w:val="BookText"/>
      </w:pPr>
      <w:r>
        <w:rPr>
          <w:rFonts w:ascii="IRNazanin" w:hAnsi="IRNazanin" w:eastAsia="IRNazanin" w:cs="IRNazanin"/>
          <w:lang w:bidi="fa-IR"/>
          <w:color w:val="111111"/>
          <w:sz w:val="28"/>
          <w:szCs w:val="28"/>
          <w:rtl/>
        </w:rPr>
        <w:t xml:space="preserve">وحید بهبهانی، محمد باقر بن محمد اکمل، ۱۱۱۸ ۱۲۰۵ قمری</w:t>
      </w:r>
    </w:p>
    <w:p>
      <w:pPr>
        <w:pStyle w:val="BookText"/>
      </w:pPr>
      <w:r>
        <w:rPr>
          <w:rFonts w:ascii="Times New Roman" w:hAnsi="Times New Roman" w:eastAsia="Times New Roman" w:cs="Times New Roman"/>
          <w:lang w:val="en-US" w:bidi="en-US"/>
          <w:color w:val="111111"/>
          <w:sz w:val="28"/>
          <w:szCs w:val="28"/>
          <w:rtl/>
        </w:rPr>
        <w:t xml:space="preserve">ebn-e</w:t>
      </w:r>
    </w:p>
    <w:p>
      <w:pPr>
        <w:pStyle w:val="BookText"/>
      </w:pPr>
      <w:r>
        <w:rPr>
          <w:rFonts w:ascii="Times New Roman" w:hAnsi="Times New Roman" w:eastAsia="Times New Roman" w:cs="Times New Roman"/>
          <w:lang w:val="en-US" w:bidi="en-US"/>
          <w:color w:val="111111"/>
          <w:sz w:val="28"/>
          <w:szCs w:val="28"/>
          <w:rtl/>
        </w:rPr>
        <w:t xml:space="preserve">vahīd-e behbahānī, mohammad bāqer mohammad akmal (1707-1791)</w:t>
      </w:r>
    </w:p>
    <w:p>
      <w:pPr>
        <w:pStyle w:val="BookText"/>
      </w:pPr>
      <w:r>
        <w:rPr>
          <w:rFonts w:ascii="IRNazanin" w:hAnsi="IRNazanin" w:eastAsia="IRNazanin" w:cs="IRNazanin"/>
          <w:lang w:bidi="fa-IR"/>
          <w:color w:val="111111"/>
          <w:sz w:val="28"/>
          <w:szCs w:val="28"/>
          <w:rtl/>
        </w:rPr>
        <w:t xml:space="preserve">تهران؛ مجلس؛ شماره نسخه: ۱۴۴۶۷/۱۲</w:t>
      </w:r>
    </w:p>
    <w:p>
      <w:pPr>
        <w:pStyle w:val="BookText"/>
      </w:pPr>
      <w:r>
        <w:rPr>
          <w:rFonts w:ascii="IRNazanin" w:hAnsi="IRNazanin" w:eastAsia="IRNazanin" w:cs="IRNazanin"/>
          <w:lang w:bidi="fa-IR"/>
          <w:color w:val="111111"/>
          <w:sz w:val="28"/>
          <w:szCs w:val="28"/>
          <w:rtl/>
        </w:rPr>
        <w:t xml:space="preserve">خط: نسخ زیبا، بی کا، بی تا؛ جلد: تیماج قهوه ای، ۸گ (۲۷۱ر - ۲۷۸ر)، ۲۵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۳۸-۶۱۵]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تتمة التنكيت على كتاب ابن الصلاح ، النكت عب کتاب ابن الصلاح</w:t>
      </w:r>
    </w:p>
    <w:p>
      <w:pPr>
        <w:pStyle w:val="Heading3"/>
      </w:pPr>
      <w:bookmarkStart w:id="3013" w:name="_Toc2273"/>
      <w:r>
        <w:t>•تتمة جامع الاخبار / حديث / عربی</w:t>
      </w:r>
      <w:bookmarkEnd w:id="3013"/>
    </w:p>
    <w:p>
      <w:pPr>
        <w:pStyle w:val="BookText"/>
      </w:pPr>
      <w:r>
        <w:rPr>
          <w:rFonts w:ascii="Times New Roman" w:hAnsi="Times New Roman" w:eastAsia="Times New Roman" w:cs="Times New Roman"/>
          <w:lang w:val="en-US" w:bidi="en-US"/>
          <w:color w:val="111111"/>
          <w:sz w:val="28"/>
          <w:szCs w:val="28"/>
          <w:rtl/>
        </w:rPr>
        <w:t xml:space="preserve">tatimmat-u jāmi'-il axbār</w:t>
      </w:r>
    </w:p>
    <w:p>
      <w:pPr>
        <w:pStyle w:val="BookText"/>
      </w:pPr>
      <w:r>
        <w:rPr>
          <w:rFonts w:ascii="IRNazanin" w:hAnsi="IRNazanin" w:eastAsia="IRNazanin" w:cs="IRNazanin"/>
          <w:lang w:bidi="fa-IR"/>
          <w:color w:val="111111"/>
          <w:sz w:val="28"/>
          <w:szCs w:val="28"/>
          <w:rtl/>
        </w:rPr>
        <w:t xml:space="preserve">وابسته به: جامع الاخبار = معارج اليقين في أصول الدين = معارج اليقين في أصول الدين لمن اراد التقوى = معارج التقى لمن اراد كمال التقوی؛ شعیری سبزواری، محمد بن محمد (-7)</w:t>
      </w:r>
    </w:p>
    <w:p>
      <w:pPr>
        <w:pStyle w:val="BookText"/>
      </w:pPr>
      <w:r>
        <w:rPr>
          <w:rFonts w:ascii="IRNazanin" w:hAnsi="IRNazanin" w:eastAsia="IRNazanin" w:cs="IRNazanin"/>
          <w:lang w:bidi="fa-IR"/>
          <w:color w:val="111111"/>
          <w:sz w:val="28"/>
          <w:szCs w:val="28"/>
          <w:rtl/>
        </w:rPr>
        <w:t xml:space="preserve">تهران؛ مجلس؛ شماره نسخه:۱۸۸۱۳ ض</w:t>
      </w:r>
    </w:p>
    <w:p>
      <w:pPr>
        <w:pStyle w:val="BookText"/>
      </w:pPr>
      <w:r>
        <w:rPr>
          <w:rFonts w:ascii="IRNazanin" w:hAnsi="IRNazanin" w:eastAsia="IRNazanin" w:cs="IRNazanin"/>
          <w:lang w:bidi="fa-IR"/>
          <w:color w:val="111111"/>
          <w:sz w:val="28"/>
          <w:szCs w:val="28"/>
          <w:rtl/>
        </w:rPr>
        <w:t xml:space="preserve">بی کا، تا: ۱۰۷۵ق [د.ث. مجلس]</w:t>
      </w:r>
    </w:p>
    <w:p>
      <w:pPr>
        <w:pStyle w:val="Heading3"/>
      </w:pPr>
      <w:bookmarkStart w:id="3014" w:name="_Toc2274"/>
      <w:r>
        <w:t>•تتمة جواهر الكلمات في الصيغ العقود و الايقاعات / فقه / عربی</w:t>
      </w:r>
      <w:bookmarkEnd w:id="3014"/>
    </w:p>
    <w:p>
      <w:pPr>
        <w:pStyle w:val="BookText"/>
      </w:pPr>
      <w:r>
        <w:rPr>
          <w:rFonts w:ascii="Times New Roman" w:hAnsi="Times New Roman" w:eastAsia="Times New Roman" w:cs="Times New Roman"/>
          <w:lang w:val="en-US" w:bidi="en-US"/>
          <w:color w:val="111111"/>
          <w:sz w:val="28"/>
          <w:szCs w:val="28"/>
          <w:rtl/>
        </w:rPr>
        <w:t xml:space="preserve">tatimmat-u jawāhir-il kalamāt fi-ş siyag-il ‘uqūd wa-1 īgā‘āt</w:t>
      </w:r>
    </w:p>
    <w:p>
      <w:pPr>
        <w:pStyle w:val="BookText"/>
      </w:pPr>
      <w:r>
        <w:rPr>
          <w:rFonts w:ascii="IRNazanin" w:hAnsi="IRNazanin" w:eastAsia="IRNazanin" w:cs="IRNazanin"/>
          <w:lang w:bidi="fa-IR"/>
          <w:color w:val="111111"/>
          <w:sz w:val="28"/>
          <w:szCs w:val="28"/>
          <w:rtl/>
        </w:rPr>
        <w:t xml:space="preserve">شهید ثانی، زین الدین بن على، ۹۱۱-۹۶۵ قمری</w:t>
      </w:r>
    </w:p>
    <w:p>
      <w:pPr>
        <w:pStyle w:val="BookText"/>
      </w:pPr>
      <w:r>
        <w:rPr>
          <w:rFonts w:ascii="Times New Roman" w:hAnsi="Times New Roman" w:eastAsia="Times New Roman" w:cs="Times New Roman"/>
          <w:lang w:val="en-US" w:bidi="en-US"/>
          <w:color w:val="111111"/>
          <w:sz w:val="28"/>
          <w:szCs w:val="28"/>
          <w:rtl/>
        </w:rPr>
        <w:t xml:space="preserve">šahīd-e sānī, zayn-od-dīn ebn-e ‘alī (1506-1558)</w:t>
      </w:r>
    </w:p>
    <w:p>
      <w:pPr>
        <w:pStyle w:val="BookText"/>
      </w:pPr>
      <w:r>
        <w:rPr>
          <w:rFonts w:ascii="Amiri" w:hAnsi="Amiri" w:eastAsia="Amiri" w:cs="Amiri"/>
          <w:lang w:bidi="ar-SA"/>
          <w:color w:val="111111"/>
          <w:sz w:val="28"/>
          <w:szCs w:val="28"/>
          <w:rtl/>
        </w:rPr>
        <w:t xml:space="preserve">وابسته به: جواهر الكلمات في صيغ العقود و الايقاعات = جواهر</w:t>
      </w:r>
    </w:p>
    <w:p>
      <w:pPr>
        <w:pStyle w:val="BookText"/>
      </w:pPr>
      <w:r>
        <w:rPr>
          <w:rFonts w:ascii="IRNazanin" w:hAnsi="IRNazanin" w:eastAsia="IRNazanin" w:cs="IRNazanin"/>
          <w:lang w:bidi="fa-IR"/>
          <w:color w:val="111111"/>
          <w:sz w:val="28"/>
          <w:szCs w:val="28"/>
          <w:rtl/>
        </w:rPr>
        <w:t xml:space="preserve">العقود؛ صیمری، مفلح بن حسن (۹۰۰۰) شهید ثانی بر کتاب «جواهر الكلمات» صیمری (قرن ۹) تتمهای نوشته در سه قسم، نکاح، رضاع، عبادات (نیت، وضو، غسل، تیمم، صلاة، زكاة، حج، عقد نکاح، صيغة عتق عن الكفارة، عقد بيع، اقاله و سلم) و برای هر قسم خطبه جداگانه ای تنظیم کرده است. مخفی نماند که کتاب جواهر الكلمات اشتباها به افرادی نسبت داده شده است مثلا در الذریعه (۲۷۸/۵ رقم ۱۳۰۴) به مولی عطاء الله و (در رقم ۱۳۰۵) به محقق کرکی و (در رقم ۱۳۰۴) به شهید ثانی نسبت داده شده است، ولی حق این است که این کتاب از تألیفات صیمری بوده و تأليف شهید ثانی تتمة جواهر الكلمات می باشد و مولی عطاء الله کاتب نسخه بوده نه مؤلف آن و تأليف محقق کرکی در این موضوع به «صيغ العقود و الايقاعات» موسوم است که غیر از جواهر می باشد. آغاز: آغاز قسم اول نکاح: الحمدلله الكبير المتعال و الصلوة على محمد و آله بالغدو والآصال اعلم وفقك الله. آغاز قسم دوم: الحمدلله كما هو اهله و الصلوة على محمد و آله اعلم وفقك الله قد اشتهر على السنة الطلبة. [دنا ۷۸۴/۲ (۴ نسخه)]</w:t>
      </w:r>
    </w:p>
    <w:p>
      <w:pPr>
        <w:pStyle w:val="BookText"/>
      </w:pPr>
      <w:r>
        <w:rPr>
          <w:rFonts w:ascii="IRNazanin" w:hAnsi="IRNazanin" w:eastAsia="IRNazanin" w:cs="IRNazanin"/>
          <w:lang w:bidi="fa-IR"/>
          <w:color w:val="111111"/>
          <w:sz w:val="28"/>
          <w:szCs w:val="28"/>
          <w:rtl/>
        </w:rPr>
        <w:t xml:space="preserve">١. خوی؛ نمازی؛ شماره نسخه:۱۱۴/۳</w:t>
      </w:r>
    </w:p>
    <w:p>
      <w:pPr>
        <w:pStyle w:val="BookText"/>
      </w:pPr>
      <w:r>
        <w:rPr>
          <w:rFonts w:ascii="IRNazanin" w:hAnsi="IRNazanin" w:eastAsia="IRNazanin" w:cs="IRNazanin"/>
          <w:lang w:bidi="fa-IR"/>
          <w:color w:val="111111"/>
          <w:sz w:val="28"/>
          <w:szCs w:val="28"/>
          <w:rtl/>
        </w:rPr>
        <w:t xml:space="preserve">آغاز: برابر؛ آغاز قسم سوم افتاده: اتوضوء لرفع الحدث واستباحة الصلاة واجبة لوجبه شامل هر سه قسم؛ خط: نسخ، كا: خليل بن حاج ابراهیم صغری ساز، تا: ۱۲۶۰ق؛ وقف نامه به خط محمد هادی بن حاجی باقر ۱۲۶۰ با مهر وی «محمد هادی بن حاجی باقر» (مربع)؛ مهر: «یا خلیل الله» (بیضوی)، «عبده الراجی ابوالفتح»؛ جلد: تیماج با ترنج، ۴۴ص، ۲۲ سطر، اندازه: ۱۷/۵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۲۵/۵سم [ف: ۶۷]</w:t>
      </w:r>
    </w:p>
    <w:p>
      <w:pPr>
        <w:pStyle w:val="BookText"/>
      </w:pPr>
      <w:r>
        <w:rPr>
          <w:rFonts w:ascii="IRNazanin" w:hAnsi="IRNazanin" w:eastAsia="IRNazanin" w:cs="IRNazanin"/>
          <w:lang w:bidi="fa-IR"/>
          <w:color w:val="111111"/>
          <w:sz w:val="28"/>
          <w:szCs w:val="28"/>
          <w:rtl/>
        </w:rPr>
        <w:t xml:space="preserve">قم، مرکز احیاء؛ شماره نسخه:۸۷۲/۴</w:t>
      </w:r>
    </w:p>
    <w:p>
      <w:pPr>
        <w:pStyle w:val="BookText"/>
      </w:pPr>
      <w:r>
        <w:rPr>
          <w:rFonts w:ascii="IRNazanin" w:hAnsi="IRNazanin" w:eastAsia="IRNazanin" w:cs="IRNazanin"/>
          <w:lang w:bidi="fa-IR"/>
          <w:color w:val="111111"/>
          <w:sz w:val="28"/>
          <w:szCs w:val="28"/>
          <w:rtl/>
        </w:rPr>
        <w:t xml:space="preserve">نسخه اصل: همان نسخه بالا [عکسی ف: ۳-۶۱]</w:t>
      </w:r>
    </w:p>
    <w:p>
      <w:pPr>
        <w:pStyle w:val="BookText"/>
      </w:pPr>
      <w:r>
        <w:rPr>
          <w:rFonts w:ascii="IRNazanin" w:hAnsi="IRNazanin" w:eastAsia="IRNazanin" w:cs="IRNazanin"/>
          <w:lang w:bidi="fa-IR"/>
          <w:color w:val="111111"/>
          <w:sz w:val="28"/>
          <w:szCs w:val="28"/>
          <w:rtl/>
        </w:rPr>
        <w:t xml:space="preserve">۲. خوی؛ نمازی؛ شماره نسخه: ۷۵۹/۴</w:t>
      </w:r>
    </w:p>
    <w:p>
      <w:pPr>
        <w:pStyle w:val="BookText"/>
      </w:pPr>
      <w:r>
        <w:rPr>
          <w:rFonts w:ascii="IRNazanin" w:hAnsi="IRNazanin" w:eastAsia="IRNazanin" w:cs="IRNazanin"/>
          <w:lang w:bidi="fa-IR"/>
          <w:color w:val="111111"/>
          <w:sz w:val="28"/>
          <w:szCs w:val="28"/>
          <w:rtl/>
        </w:rPr>
        <w:t xml:space="preserve">قسم سوم نیت عبادات می باشد؛ خط: نسخ، بی کا، بی تا، جلد: تیماج سوخت با ترنج با سر و نقش «محمد» در سر ترنج، ۲۲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۴۰۹]</w:t>
      </w:r>
    </w:p>
    <w:p>
      <w:pPr>
        <w:pStyle w:val="Heading3"/>
      </w:pPr>
      <w:bookmarkStart w:id="3015" w:name="_Toc2275"/>
      <w:r>
        <w:t>•تتمة الحاشية على ذخيرة المعاد / فقه / عربی</w:t>
      </w:r>
      <w:bookmarkEnd w:id="3015"/>
    </w:p>
    <w:p>
      <w:pPr>
        <w:pStyle w:val="BookText"/>
      </w:pPr>
      <w:r>
        <w:rPr>
          <w:rFonts w:ascii="Times New Roman" w:hAnsi="Times New Roman" w:eastAsia="Times New Roman" w:cs="Times New Roman"/>
          <w:lang w:val="en-US" w:bidi="en-US"/>
          <w:color w:val="111111"/>
          <w:sz w:val="28"/>
          <w:szCs w:val="28"/>
          <w:rtl/>
        </w:rPr>
        <w:t xml:space="preserve">tatimmat-ul ḥāšīya ‘alā daxīrat-il ma‘ād</w:t>
      </w:r>
    </w:p>
    <w:p>
      <w:pPr>
        <w:pStyle w:val="BookText"/>
      </w:pPr>
      <w:r>
        <w:rPr>
          <w:rFonts w:ascii="IRNazanin" w:hAnsi="IRNazanin" w:eastAsia="IRNazanin" w:cs="IRNazanin"/>
          <w:lang w:bidi="fa-IR"/>
          <w:color w:val="111111"/>
          <w:sz w:val="28"/>
          <w:szCs w:val="28"/>
          <w:rtl/>
        </w:rPr>
        <w:t xml:space="preserve">وحید بهبهانی، محمد باقر بن محمد اکمل، ۱۱۱۸ ۱۲۰۵ قمری</w:t>
      </w:r>
    </w:p>
    <w:p>
      <w:pPr>
        <w:pStyle w:val="BookText"/>
      </w:pPr>
      <w:r>
        <w:rPr>
          <w:rFonts w:ascii="Times New Roman" w:hAnsi="Times New Roman" w:eastAsia="Times New Roman" w:cs="Times New Roman"/>
          <w:lang w:val="en-US" w:bidi="en-US"/>
          <w:color w:val="111111"/>
          <w:sz w:val="28"/>
          <w:szCs w:val="28"/>
          <w:rtl/>
        </w:rPr>
        <w:t xml:space="preserve">ebn-e bāqer</w:t>
      </w:r>
    </w:p>
    <w:p>
      <w:pPr>
        <w:pStyle w:val="BookText"/>
      </w:pPr>
      <w:r>
        <w:rPr>
          <w:rFonts w:ascii="Times New Roman" w:hAnsi="Times New Roman" w:eastAsia="Times New Roman" w:cs="Times New Roman"/>
          <w:lang w:val="en-US" w:bidi="en-US"/>
          <w:color w:val="111111"/>
          <w:sz w:val="28"/>
          <w:szCs w:val="28"/>
          <w:rtl/>
        </w:rPr>
        <w:t xml:space="preserve">behbahānī, mohammad vahīd-e mohammad akmal (1707-1791)</w:t>
      </w:r>
    </w:p>
    <w:p>
      <w:pPr>
        <w:pStyle w:val="BookText"/>
      </w:pPr>
      <w:r>
        <w:rPr>
          <w:rFonts w:ascii="IRNazanin" w:hAnsi="IRNazanin" w:eastAsia="IRNazanin" w:cs="IRNazanin"/>
          <w:lang w:bidi="fa-IR"/>
          <w:color w:val="111111"/>
          <w:sz w:val="28"/>
          <w:szCs w:val="28"/>
          <w:rtl/>
        </w:rPr>
        <w:t xml:space="preserve">آغاز: تحقیق خطر بالخاطر الفاتر، القاصر و انا العبد الاقل ابن محمد اکمل محمد باقر و هو من تتمة حاشية كتبتها على الذخيرة
</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bookmarkStart w:id="694" w:name="pg20363_210046"/>
    <w:bookmarkEnd w:id="694"/>
    <w:p>
      <w:pPr>
        <w:pStyle w:val="BookText"/>
      </w:pPr>
      <w:r>
        <w:rPr>
          <w:rFonts w:ascii="IRNazanin" w:hAnsi="IRNazanin" w:eastAsia="IRNazanin" w:cs="IRNazanin"/>
          <w:lang w:bidi="fa-IR"/>
          <w:color w:val="111111"/>
          <w:sz w:val="28"/>
          <w:szCs w:val="28"/>
          <w:rtl/>
        </w:rPr>
        <w:t xml:space="preserve">۱. مراغه؛ عمومی؛ شماره نسخه: ۲۳/۱۴</w:t>
      </w:r>
    </w:p>
    <w:p>
      <w:pPr>
        <w:pStyle w:val="BookText"/>
      </w:pPr>
      <w:r>
        <w:rPr>
          <w:rFonts w:ascii="IRNazanin" w:hAnsi="IRNazanin" w:eastAsia="IRNazanin" w:cs="IRNazanin"/>
          <w:lang w:bidi="fa-IR"/>
          <w:color w:val="111111"/>
          <w:sz w:val="28"/>
          <w:szCs w:val="28"/>
          <w:rtl/>
        </w:rPr>
        <w:t xml:space="preserve">آغاز: برابر؛ انجام: لعلك بملاحظة ما ذكرنا تقديم على التصحيح و التقسيم بالنسبة إلى سائر ما ارتكبه الفقهاء (رضوان الله علیه) من التعديات من مورد النص و موضع الحكم خط: نسخ، كا: محب علی بن مراد علی لاهیجانی، تا: ۱۴ شوال قرن ۱۲؛ جلد: تیماج سرخ مجدول، ۲گ،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۲۴۳]</w:t>
      </w:r>
    </w:p>
    <w:p>
      <w:pPr>
        <w:pStyle w:val="BookText"/>
      </w:pPr>
      <w:r>
        <w:rPr>
          <w:rFonts w:ascii="IRNazanin" w:hAnsi="IRNazanin" w:eastAsia="IRNazanin" w:cs="IRNazanin"/>
          <w:lang w:bidi="fa-IR"/>
          <w:color w:val="111111"/>
          <w:sz w:val="28"/>
          <w:szCs w:val="28"/>
          <w:rtl/>
        </w:rPr>
        <w:t xml:space="preserve">۲. مشهد؛ رضوی؛ شماره نسخه:۹۱۰۹/۵</w:t>
      </w:r>
    </w:p>
    <w:p>
      <w:pPr>
        <w:pStyle w:val="BookText"/>
      </w:pPr>
      <w:r>
        <w:rPr>
          <w:rFonts w:ascii="IRNazanin" w:hAnsi="IRNazanin" w:eastAsia="IRNazanin" w:cs="IRNazanin"/>
          <w:lang w:bidi="fa-IR"/>
          <w:color w:val="111111"/>
          <w:sz w:val="28"/>
          <w:szCs w:val="28"/>
          <w:rtl/>
        </w:rPr>
        <w:t xml:space="preserve">آغاز: برابر؛ انجام: هذا من موضع الاحتياج خط: نسخ، كا: محمد معصوم بن علی مدد خراسانی، تا: ۱۲۱۴ق، جان کربلا؛ کاغذ: فرنگی شکری، جلد: تیماج عنابی، عطف میشن خرمایی، ۲۴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۱۶-۳۴۷]</w:t>
      </w:r>
    </w:p>
    <w:p>
      <w:pPr>
        <w:pStyle w:val="Heading3"/>
      </w:pPr>
      <w:bookmarkStart w:id="3016" w:name="_Toc2276"/>
      <w:r>
        <w:t>•تتمة الحواشي في إزالة الغواشی / کلام و اعتقادات / عربی</w:t>
      </w:r>
      <w:bookmarkEnd w:id="3016"/>
    </w:p>
    <w:p>
      <w:pPr>
        <w:pStyle w:val="BookText"/>
      </w:pPr>
      <w:r>
        <w:rPr>
          <w:rFonts w:ascii="Times New Roman" w:hAnsi="Times New Roman" w:eastAsia="Times New Roman" w:cs="Times New Roman"/>
          <w:lang w:val="en-US" w:bidi="en-US"/>
          <w:color w:val="111111"/>
          <w:sz w:val="28"/>
          <w:szCs w:val="28"/>
          <w:rtl/>
        </w:rPr>
        <w:t xml:space="preserve">tatimmat-ul ḥawāšī fī izālat-il ġawāšī</w:t>
      </w:r>
    </w:p>
    <w:p>
      <w:pPr>
        <w:pStyle w:val="BookText"/>
      </w:pPr>
      <w:r>
        <w:rPr>
          <w:rFonts w:ascii="IRNazanin" w:hAnsi="IRNazanin" w:eastAsia="IRNazanin" w:cs="IRNazanin"/>
          <w:lang w:bidi="fa-IR"/>
          <w:color w:val="111111"/>
          <w:sz w:val="28"/>
          <w:szCs w:val="28"/>
          <w:rtl/>
        </w:rPr>
        <w:t xml:space="preserve">قره باغی، يوسف بن محمد جان، ۱۰۵۴ ؟ قمری</w:t>
      </w:r>
    </w:p>
    <w:p>
      <w:pPr>
        <w:pStyle w:val="BookText"/>
      </w:pPr>
      <w:r>
        <w:rPr>
          <w:rFonts w:ascii="Times New Roman" w:hAnsi="Times New Roman" w:eastAsia="Times New Roman" w:cs="Times New Roman"/>
          <w:lang w:val="en-US" w:bidi="en-US"/>
          <w:color w:val="111111"/>
          <w:sz w:val="28"/>
          <w:szCs w:val="28"/>
          <w:rtl/>
        </w:rPr>
        <w:t xml:space="preserve">qara bāqı, yūsof ebn-e mohammad jān (-1645)</w:t>
      </w:r>
    </w:p>
    <w:p>
      <w:pPr>
        <w:pStyle w:val="BookText"/>
      </w:pPr>
      <w:r>
        <w:rPr>
          <w:rFonts w:ascii="IRNazanin" w:hAnsi="IRNazanin" w:eastAsia="IRNazanin" w:cs="IRNazanin"/>
          <w:lang w:bidi="fa-IR"/>
          <w:color w:val="111111"/>
          <w:sz w:val="28"/>
          <w:szCs w:val="28"/>
          <w:rtl/>
        </w:rPr>
        <w:t xml:space="preserve">وابسته به: شرح العقائد العضدية = شرح عقائد العضدی؛ دوانی، محمد بن اسعد (۸۳۰-۹۰۸) حاشیه شرح العقائد العضدية = خانقاهی؛ قره باغی، يوسف بن محمد جان (-۲۱۰۵۴ق) تتمه حواشی قبلی است به نام حواشی خانقاهیه که بر شرح عقاید عضديه ملا جلال دوانی نگاشته است. وی در مقدمه می گوید: بعد از اینکه تعلیقاتی بر شرح جلال نوشتم و مدتی به بحث و درس آن پرداختم، به نظرم رسید که موارد پنهان تعليقه خودم را آشکار سازم، بلکه ضمیمه کنم بر آن از نقد و جرح آن چیزی که در مقام خود بیان نشده، ولی میسر نشد، تا اینکه ۳۳ سال گذشت و فراغی حاصل آمد و در مقصود شروع نمودم؛ در این بین مسافری تعلیقه ای که آن را به ملا حسین خلخالی نسبت می داد، کسی که زمانی مستند من بوده) نزد من آورد و من در نسبت کتاب شک کردم زیرا اعتقاد من درباره او این بود که او به نوشته های امثال ما، توجه نمی کند، پس [در این کتاب موارد شک خود را در تعليقه خلخالی، درج نمودم ...» [ به اختصار و نقل به مضمون از مقدمه کتاب نقل شد. به نظر می رسد که مؤلف، در تجاهل کردن، احتيال نموده تا بتواند راحت تر، متعرض خلخالی شود زیرا سید در همان حال، در قید حیات و در دسترس مؤلف بوده است. (سید محمود مرعشی) آغاز: لك الحمد يا متمم كل الأمور و یا من تنزه عن نسبة الغيب و الحضور انجام: صاحب الدرجة العلى من البررة الكرام المقبولين بالطول عند الخواص و العوام</w:t>
      </w:r>
    </w:p>
    <w:p>
      <w:pPr>
        <w:pStyle w:val="BookText"/>
      </w:pPr>
      <w:r>
        <w:rPr>
          <w:rFonts w:ascii="IRNazanin" w:hAnsi="IRNazanin" w:eastAsia="IRNazanin" w:cs="IRNazanin"/>
          <w:lang w:bidi="fa-IR"/>
          <w:color w:val="111111"/>
          <w:sz w:val="28"/>
          <w:szCs w:val="28"/>
          <w:rtl/>
        </w:rPr>
        <w:t xml:space="preserve">[الذريعة: ۱۲۵/۶ ؛ کشف الظنون: ۱۱۴۴/۲ ؛ دنا ۷۸۴/۲ ]</w:t>
      </w:r>
    </w:p>
    <w:p>
      <w:pPr>
        <w:pStyle w:val="BookText"/>
      </w:pPr>
      <w:r>
        <w:rPr>
          <w:rFonts w:ascii="IRNazanin" w:hAnsi="IRNazanin" w:eastAsia="IRNazanin" w:cs="IRNazanin"/>
          <w:lang w:bidi="fa-IR"/>
          <w:color w:val="111111"/>
          <w:sz w:val="28"/>
          <w:szCs w:val="28"/>
          <w:rtl/>
        </w:rPr>
        <w:t xml:space="preserve">۱. قم؛ مرعشی؛ شماره نسخه:۱۱۶۸۳/۳</w:t>
      </w:r>
    </w:p>
    <w:p>
      <w:pPr>
        <w:pStyle w:val="BookText"/>
      </w:pPr>
      <w:r>
        <w:rPr>
          <w:rFonts w:ascii="IRNazanin" w:hAnsi="IRNazanin" w:eastAsia="IRNazanin" w:cs="IRNazanin"/>
          <w:lang w:bidi="fa-IR"/>
          <w:color w:val="111111"/>
          <w:sz w:val="28"/>
          <w:szCs w:val="28"/>
          <w:rtl/>
        </w:rPr>
        <w:t xml:space="preserve">آغاز: برابر؛ انجام: الموجود الخارج عنها واجبة لأنه لو كان ممكنا الزم خلاف المفروض ... خط: نستعلیق ماوراء النهری، بی کا، تا: قرن ۱۲؛ افتادگی: انجام؛ مصحح؛ کاغذ: سمرقندی، آهار مهره، ۲۴گ (۵۸-۸۱)، ۲۳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سم [ف: ۲۹-۴۶۳]</w:t>
      </w:r>
    </w:p>
    <w:p>
      <w:pPr>
        <w:pStyle w:val="BookText"/>
      </w:pPr>
      <w:r>
        <w:rPr>
          <w:rFonts w:ascii="IRNazanin" w:hAnsi="IRNazanin" w:eastAsia="IRNazanin" w:cs="IRNazanin"/>
          <w:lang w:bidi="fa-IR"/>
          <w:color w:val="111111"/>
          <w:sz w:val="28"/>
          <w:szCs w:val="28"/>
          <w:rtl/>
        </w:rPr>
        <w:t xml:space="preserve">۲. قم؛ مرعشی؛ شماره نسخه:۱۱۴۰۹</w:t>
      </w:r>
    </w:p>
    <w:p>
      <w:pPr>
        <w:pStyle w:val="BookText"/>
      </w:pPr>
      <w:r>
        <w:rPr>
          <w:rFonts w:ascii="Amiri" w:hAnsi="Amiri" w:eastAsia="Amiri" w:cs="Amiri"/>
          <w:lang w:bidi="ar-SA"/>
          <w:color w:val="111111"/>
          <w:sz w:val="28"/>
          <w:szCs w:val="28"/>
          <w:rtl/>
        </w:rPr>
        <w:t xml:space="preserve">آغاز و انجام: برابر خط: نسخ، كا: محمد فرزند ملا بابا فرزند ملا محمد مؤمن،</w:t>
      </w:r>
    </w:p>
    <w:p>
      <w:pPr>
        <w:pStyle w:val="BookText"/>
      </w:pPr>
      <w:r>
        <w:rPr>
          <w:rFonts w:ascii="IRNazanin" w:hAnsi="IRNazanin" w:eastAsia="IRNazanin" w:cs="IRNazanin"/>
          <w:lang w:bidi="fa-IR"/>
          <w:color w:val="111111"/>
          <w:sz w:val="28"/>
          <w:szCs w:val="28"/>
          <w:rtl/>
        </w:rPr>
        <w:t xml:space="preserve">احصاری، تا: جمعه ۱۴ ذیحجه ۱۲۳۹ق؛ مصحح، محشی، دارای کمند، مجدول، کتابت نسخه در زمان سلطان میر حیدر محمد، صورت گرفته؛ کاغذ: شرقی، جلد: تیماج آجری با ترنج، ۲۶۶ گ، ۲۱ سطر (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۲۶/۵سم [ف: ۲۹-۱۶]</w:t>
      </w:r>
    </w:p>
    <w:p>
      <w:pPr>
        <w:pStyle w:val="BookText"/>
      </w:pPr>
      <w:r>
        <w:rPr>
          <w:rFonts w:ascii="IRNazanin" w:hAnsi="IRNazanin" w:eastAsia="IRNazanin" w:cs="IRNazanin"/>
          <w:lang w:bidi="fa-IR"/>
          <w:color w:val="111111"/>
          <w:sz w:val="28"/>
          <w:szCs w:val="28"/>
          <w:rtl/>
        </w:rPr>
        <w:t xml:space="preserve">٣. شیراز؛ علامه طباطبائی؛ شماره نسخه: ۱۰۵۶</w:t>
      </w:r>
    </w:p>
    <w:p>
      <w:pPr>
        <w:pStyle w:val="BookText"/>
      </w:pPr>
      <w:r>
        <w:rPr>
          <w:rFonts w:ascii="IRNazanin" w:hAnsi="IRNazanin" w:eastAsia="IRNazanin" w:cs="IRNazanin"/>
          <w:lang w:bidi="fa-IR"/>
          <w:color w:val="111111"/>
          <w:sz w:val="28"/>
          <w:szCs w:val="28"/>
          <w:rtl/>
        </w:rPr>
        <w:t xml:space="preserve">خط: نستعلیق هندی، بی کا، تا: ۱۲۹۸ق؛ افتادگی: انجام؛ محشی؛ اندازه: ۱۵/۵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۲۶/۵</w:t>
      </w:r>
    </w:p>
    <w:p>
      <w:pPr>
        <w:pStyle w:val="BookText"/>
      </w:pPr>
      <w:r>
        <w:rPr>
          <w:rFonts w:ascii="IRNazanin" w:hAnsi="IRNazanin" w:eastAsia="IRNazanin" w:cs="IRNazanin"/>
          <w:lang w:bidi="fa-IR"/>
          <w:color w:val="111111"/>
          <w:sz w:val="28"/>
          <w:szCs w:val="28"/>
          <w:rtl/>
        </w:rPr>
        <w:t xml:space="preserve">سم [ نسخه پژوهی: ۲-۱۲۲]</w:t>
      </w:r>
    </w:p>
    <w:p>
      <w:pPr>
        <w:pStyle w:val="Heading3"/>
      </w:pPr>
      <w:bookmarkStart w:id="3017" w:name="_Toc2277"/>
      <w:r>
        <w:t>•تتمه داستان گرگسار بن چاچ / داستان / فارسی</w:t>
      </w:r>
      <w:bookmarkEnd w:id="3017"/>
    </w:p>
    <w:p>
      <w:pPr>
        <w:pStyle w:val="BookText"/>
      </w:pPr>
      <w:r>
        <w:rPr>
          <w:rFonts w:ascii="Times New Roman" w:hAnsi="Times New Roman" w:eastAsia="Times New Roman" w:cs="Times New Roman"/>
          <w:lang w:val="en-US" w:bidi="en-US"/>
          <w:color w:val="111111"/>
          <w:sz w:val="28"/>
          <w:szCs w:val="28"/>
          <w:rtl/>
        </w:rPr>
        <w:t xml:space="preserve">tatemme-ye dāstān-e gorgsār ebn-e čāč</w:t>
      </w:r>
    </w:p>
    <w:p>
      <w:pPr>
        <w:pStyle w:val="BookText"/>
      </w:pPr>
      <w:r>
        <w:rPr>
          <w:rFonts w:ascii="IRNazanin" w:hAnsi="IRNazanin" w:eastAsia="IRNazanin" w:cs="IRNazanin"/>
          <w:lang w:bidi="fa-IR"/>
          <w:color w:val="111111"/>
          <w:sz w:val="28"/>
          <w:szCs w:val="28"/>
          <w:rtl/>
        </w:rPr>
        <w:t xml:space="preserve">تهران؛ مجلس؛ شماره نسخه: ۱۶۱۹۲</w:t>
      </w:r>
    </w:p>
    <w:p>
      <w:pPr>
        <w:pStyle w:val="BookText"/>
      </w:pPr>
      <w:r>
        <w:rPr>
          <w:rFonts w:ascii="IRNazanin" w:hAnsi="IRNazanin" w:eastAsia="IRNazanin" w:cs="IRNazanin"/>
          <w:lang w:bidi="fa-IR"/>
          <w:color w:val="111111"/>
          <w:sz w:val="28"/>
          <w:szCs w:val="28"/>
          <w:rtl/>
        </w:rPr>
        <w:t xml:space="preserve">خط: نستعلیق تحریری، بی کا، تا: قرن ۱۴ [مختصر ف: ۱۳۲]</w:t>
      </w:r>
    </w:p>
    <w:p>
      <w:pPr>
        <w:pStyle w:val="Heading3"/>
      </w:pPr>
      <w:bookmarkStart w:id="3018" w:name="_Toc2278"/>
      <w:r>
        <w:t>•تتمة الدر المنثور / رجال / عربی</w:t>
      </w:r>
      <w:bookmarkEnd w:id="3018"/>
    </w:p>
    <w:p>
      <w:pPr>
        <w:pStyle w:val="BookText"/>
      </w:pPr>
      <w:r>
        <w:rPr>
          <w:rFonts w:ascii="Times New Roman" w:hAnsi="Times New Roman" w:eastAsia="Times New Roman" w:cs="Times New Roman"/>
          <w:lang w:val="en-US" w:bidi="en-US"/>
          <w:color w:val="111111"/>
          <w:sz w:val="28"/>
          <w:szCs w:val="28"/>
          <w:rtl/>
        </w:rPr>
        <w:t xml:space="preserve">tatimmat-ud durr-il mantūr</w:t>
      </w:r>
    </w:p>
    <w:p>
      <w:pPr>
        <w:pStyle w:val="BookText"/>
      </w:pPr>
      <w:r>
        <w:rPr>
          <w:rFonts w:ascii="IRNazanin" w:hAnsi="IRNazanin" w:eastAsia="IRNazanin" w:cs="IRNazanin"/>
          <w:lang w:bidi="fa-IR"/>
          <w:color w:val="111111"/>
          <w:sz w:val="28"/>
          <w:szCs w:val="28"/>
          <w:rtl/>
        </w:rPr>
        <w:t xml:space="preserve">عاملی، علی بن محمد، ۲۱۰۱۳-۱۱۰۴ قمری</w:t>
      </w:r>
    </w:p>
    <w:p>
      <w:pPr>
        <w:pStyle w:val="BookText"/>
      </w:pPr>
      <w:r>
        <w:rPr>
          <w:rFonts w:ascii="Times New Roman" w:hAnsi="Times New Roman" w:eastAsia="Times New Roman" w:cs="Times New Roman"/>
          <w:lang w:val="en-US" w:bidi="en-US"/>
          <w:color w:val="111111"/>
          <w:sz w:val="28"/>
          <w:szCs w:val="28"/>
          <w:rtl/>
        </w:rPr>
        <w:t xml:space="preserve">‘āmelī, ‘alī ebn-e mohammad (1605-1693)</w:t>
      </w:r>
    </w:p>
    <w:p>
      <w:pPr>
        <w:pStyle w:val="BookText"/>
      </w:pPr>
      <w:r>
        <w:rPr>
          <w:rFonts w:ascii="IRNazanin" w:hAnsi="IRNazanin" w:eastAsia="IRNazanin" w:cs="IRNazanin"/>
          <w:lang w:bidi="fa-IR"/>
          <w:color w:val="111111"/>
          <w:sz w:val="28"/>
          <w:szCs w:val="28"/>
          <w:rtl/>
        </w:rPr>
        <w:t xml:space="preserve">وابسته به: الدر المنثور من الخبر المأثور و غير المأثور؛ عاملی، علی بن محمد (۱۰۱۳-۱۱۰۴) شیخ بهاء الدين محمد بن على بن حسن عودی جزینی یکی از شاگردان شهید ثانی که از دهم ربیع الاول ۹۴۵ تا دهم ذیقعده ۹۶۲ افتخار شاگردی او را داشت، کتابی به نام «بغية المرید» در شرح حال شهید نگاشته و آن را در یک مقدمه و خاتمه و ده فصل تنظیم نموده که به ضبط الذریعه متأسفانه اغلب فصول آن از بین رفته و موجودی را حفیدش شیخ علی بن محمد بن حسن بعينه در کتاب خود «الدر المنثور» آورده، آن گاه به تألیف «تتمة الدر المنثور» که همین کتاب حاضر باشد همت گمارده و در آن به ترجمه و شرح حال شهید ثانی و گروهی از علما که از شاگردان و ذریه او می باشند پرداخته است.</w:t>
      </w:r>
    </w:p>
    <w:p>
      <w:pPr>
        <w:pStyle w:val="BookText"/>
      </w:pPr>
      <w:r>
        <w:rPr>
          <w:rFonts w:ascii="IRNazanin" w:hAnsi="IRNazanin" w:eastAsia="IRNazanin" w:cs="IRNazanin"/>
          <w:lang w:bidi="fa-IR"/>
          <w:color w:val="111111"/>
          <w:sz w:val="28"/>
          <w:szCs w:val="28"/>
          <w:rtl/>
        </w:rPr>
        <w:t xml:space="preserve">مشهد؛ رضوی؛ شماره نسخه:۲۱۷۱۳</w:t>
      </w:r>
    </w:p>
    <w:p>
      <w:pPr>
        <w:pStyle w:val="BookText"/>
      </w:pPr>
      <w:r>
        <w:rPr>
          <w:rFonts w:ascii="Amiri" w:hAnsi="Amiri" w:eastAsia="Amiri" w:cs="Amiri"/>
          <w:lang w:bidi="ar-SA"/>
          <w:color w:val="111111"/>
          <w:sz w:val="28"/>
          <w:szCs w:val="28"/>
          <w:rtl/>
        </w:rPr>
        <w:t xml:space="preserve">آغاز: تتمة من الجزء الثاني من الدرر (كذا) المنثور للشيخ ... في باب حسن الخلق ما رواه محمد بن يعقوب رض في الكافي في
</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bookmarkStart w:id="695" w:name="pg20363_210047"/>
    <w:bookmarkEnd w:id="695"/>
    <w:p>
      <w:pPr>
        <w:pStyle w:val="BookText"/>
      </w:pPr>
      <w:r>
        <w:rPr>
          <w:rFonts w:ascii="IRNazanin" w:hAnsi="IRNazanin" w:eastAsia="IRNazanin" w:cs="IRNazanin"/>
          <w:lang w:bidi="fa-IR"/>
          <w:color w:val="111111"/>
          <w:sz w:val="28"/>
          <w:szCs w:val="28"/>
          <w:rtl/>
        </w:rPr>
        <w:t xml:space="preserve">باب حسن الخلق بسنده عن أبي عبدالله ع قال هلك رجل على عهد النبي صلى الله عليه و آله؛ انجام: ثم بعد ذلك رايته في تاریخ ابن خلكان في ترجمة الحيص بيص هذا آخر كلام الشيخ الفاضل الكامل. جلد دوم؛ خط: نسخ، بی کا، تا: قرن ۱۱؛ مجدول؛ تملک: فرزند شیخ حسن سلطان العلماء؛ اهدایی: رهبری، خرداد ۱۳۷۳؛ کاغذ: نخودی آهاری، جلد: مقوا، عطف میشن قهوه ای، ۸۸گ، ۱۷ 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۲۷-۸۹]</w:t>
      </w:r>
    </w:p>
    <w:p>
      <w:pPr>
        <w:pStyle w:val="Heading3"/>
      </w:pPr>
      <w:bookmarkStart w:id="3019" w:name="_Toc2279"/>
      <w:r>
        <w:t>• تتمة الدرة المنظومة / فقه / عربی</w:t>
      </w:r>
      <w:bookmarkEnd w:id="3019"/>
    </w:p>
    <w:p>
      <w:pPr>
        <w:pStyle w:val="BookText"/>
      </w:pPr>
      <w:r>
        <w:rPr>
          <w:rFonts w:ascii="Times New Roman" w:hAnsi="Times New Roman" w:eastAsia="Times New Roman" w:cs="Times New Roman"/>
          <w:lang w:val="en-US" w:bidi="en-US"/>
          <w:color w:val="111111"/>
          <w:sz w:val="28"/>
          <w:szCs w:val="28"/>
          <w:rtl/>
        </w:rPr>
        <w:t xml:space="preserve">tatimmat-ud durrat-il manžūma</w:t>
      </w:r>
    </w:p>
    <w:p>
      <w:pPr>
        <w:pStyle w:val="BookText"/>
      </w:pPr>
      <w:r>
        <w:rPr>
          <w:rFonts w:ascii="IRNazanin" w:hAnsi="IRNazanin" w:eastAsia="IRNazanin" w:cs="IRNazanin"/>
          <w:lang w:bidi="fa-IR"/>
          <w:color w:val="111111"/>
          <w:sz w:val="28"/>
          <w:szCs w:val="28"/>
          <w:rtl/>
        </w:rPr>
        <w:t xml:space="preserve">حجت طباطبائی، محمد باقر، ۱۸۵۶-۱۹۱۳ میلادی</w:t>
      </w:r>
    </w:p>
    <w:p>
      <w:pPr>
        <w:pStyle w:val="BookText"/>
      </w:pPr>
      <w:r>
        <w:rPr>
          <w:rFonts w:ascii="Times New Roman" w:hAnsi="Times New Roman" w:eastAsia="Times New Roman" w:cs="Times New Roman"/>
          <w:lang w:val="en-US" w:bidi="en-US"/>
          <w:color w:val="111111"/>
          <w:sz w:val="28"/>
          <w:szCs w:val="28"/>
          <w:rtl/>
        </w:rPr>
        <w:t xml:space="preserve">hojjat-e tabātabā’yī, mohammad bāqer (1856-1913)</w:t>
      </w:r>
    </w:p>
    <w:p>
      <w:pPr>
        <w:pStyle w:val="BookText"/>
      </w:pPr>
      <w:r>
        <w:rPr>
          <w:rFonts w:ascii="IRNazanin" w:hAnsi="IRNazanin" w:eastAsia="IRNazanin" w:cs="IRNazanin"/>
          <w:lang w:bidi="fa-IR"/>
          <w:color w:val="111111"/>
          <w:sz w:val="28"/>
          <w:szCs w:val="28"/>
          <w:rtl/>
        </w:rPr>
        <w:t xml:space="preserve">وابسته به: الدرة البهية = الدرة النجفية = الدرة المنظومة = الدرة الغالية في مسائل العالية؛ بحر العلوم، محمد مهدی بن مرتضی (۱۲۱۲-۱۱۵۵)</w:t>
      </w:r>
    </w:p>
    <w:p>
      <w:pPr>
        <w:pStyle w:val="BookText"/>
      </w:pPr>
      <w:r>
        <w:rPr>
          <w:rFonts w:ascii="IRNazanin" w:hAnsi="IRNazanin" w:eastAsia="IRNazanin" w:cs="IRNazanin"/>
          <w:lang w:bidi="fa-IR"/>
          <w:color w:val="111111"/>
          <w:sz w:val="28"/>
          <w:szCs w:val="28"/>
          <w:rtl/>
        </w:rPr>
        <w:t xml:space="preserve">آن گونه ای که از تصریح نامبرده استفاده می شود این سروده تتمه صلاة «الدرة المنظومه سید بحرالعلوم است ولی صاحب الذریعه فرموده نامبرده علاوه بر نماز حج را نیز بدان افزوده است.</w:t>
      </w:r>
    </w:p>
    <w:p>
      <w:pPr>
        <w:pStyle w:val="BookText"/>
      </w:pPr>
      <w:r>
        <w:rPr>
          <w:rFonts w:ascii="IRNazanin" w:hAnsi="IRNazanin" w:eastAsia="IRNazanin" w:cs="IRNazanin"/>
          <w:lang w:bidi="fa-IR"/>
          <w:color w:val="111111"/>
          <w:sz w:val="28"/>
          <w:szCs w:val="28"/>
          <w:rtl/>
        </w:rPr>
        <w:t xml:space="preserve">مشهد؛ رضوی؛ شماره نسخه:۹۲۱۹</w:t>
      </w:r>
    </w:p>
    <w:p>
      <w:pPr>
        <w:pStyle w:val="BookText"/>
      </w:pPr>
      <w:r>
        <w:rPr>
          <w:rFonts w:ascii="IRNazanin" w:hAnsi="IRNazanin" w:eastAsia="IRNazanin" w:cs="IRNazanin"/>
          <w:lang w:bidi="fa-IR"/>
          <w:color w:val="111111"/>
          <w:sz w:val="28"/>
          <w:szCs w:val="28"/>
          <w:rtl/>
        </w:rPr>
        <w:t xml:space="preserve">آغاز: بسمله، احمد من صلى على من صدعا *** بامره مبلغا ما شرعا؛ انجام: مصلية على النبي و الأولى ۸۸ بهم لنا الدين الحنيف اكملا تنها صلاة را شامل است؛ خط: نسخ، كا: جواد بن حسن بن احمد حسینی شهیدی، تا: ربيع الأول ۱۳۸۳ق؛ استکتابی در کتابخانه آستان قدس رضوی؛ کاغذ: شکری، جلد: مقوا، عطف پارچه مشکی، ۳۰گ، ۱۳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۲۱/۱-۲۰۷]</w:t>
      </w:r>
    </w:p>
    <w:p>
      <w:pPr>
        <w:pStyle w:val="Heading3"/>
      </w:pPr>
      <w:bookmarkStart w:id="3020" w:name="_Toc2280"/>
      <w:r>
        <w:t>•تتمة الدرة النجفية / فقه / عربی</w:t>
      </w:r>
      <w:bookmarkEnd w:id="3020"/>
    </w:p>
    <w:p>
      <w:pPr>
        <w:pStyle w:val="BookText"/>
      </w:pPr>
      <w:r>
        <w:rPr>
          <w:rFonts w:ascii="Times New Roman" w:hAnsi="Times New Roman" w:eastAsia="Times New Roman" w:cs="Times New Roman"/>
          <w:lang w:val="en-US" w:bidi="en-US"/>
          <w:color w:val="111111"/>
          <w:sz w:val="28"/>
          <w:szCs w:val="28"/>
          <w:rtl/>
        </w:rPr>
        <w:t xml:space="preserve">tatimmat-ud durrat-in najafīyya</w:t>
      </w:r>
    </w:p>
    <w:p>
      <w:pPr>
        <w:pStyle w:val="BookText"/>
      </w:pPr>
      <w:r>
        <w:rPr>
          <w:rFonts w:ascii="IRNazanin" w:hAnsi="IRNazanin" w:eastAsia="IRNazanin" w:cs="IRNazanin"/>
          <w:lang w:bidi="fa-IR"/>
          <w:color w:val="111111"/>
          <w:sz w:val="28"/>
          <w:szCs w:val="28"/>
          <w:rtl/>
        </w:rPr>
        <w:t xml:space="preserve">کاشف الغطاء، صالح بن مهدي، -۱۳۱۷ قمری</w:t>
      </w:r>
    </w:p>
    <w:p>
      <w:pPr>
        <w:pStyle w:val="BookText"/>
      </w:pPr>
      <w:r>
        <w:rPr>
          <w:rFonts w:ascii="Times New Roman" w:hAnsi="Times New Roman" w:eastAsia="Times New Roman" w:cs="Times New Roman"/>
          <w:lang w:val="en-US" w:bidi="en-US"/>
          <w:color w:val="111111"/>
          <w:sz w:val="28"/>
          <w:szCs w:val="28"/>
          <w:rtl/>
        </w:rPr>
        <w:t xml:space="preserve">kasef-ol-qeta', saleh ebn-e mahdi (-1900)</w:t>
      </w:r>
    </w:p>
    <w:p>
      <w:pPr>
        <w:pStyle w:val="BookText"/>
      </w:pPr>
      <w:r>
        <w:rPr>
          <w:rFonts w:ascii="IRNazanin" w:hAnsi="IRNazanin" w:eastAsia="IRNazanin" w:cs="IRNazanin"/>
          <w:lang w:bidi="fa-IR"/>
          <w:color w:val="111111"/>
          <w:sz w:val="28"/>
          <w:szCs w:val="28"/>
          <w:rtl/>
        </w:rPr>
        <w:t xml:space="preserve">وابسته به: الدرة البهية = الدرة النجفية = الدرة المنظومة = الدرة الغالية في مسائل العالية؛ بحر العلوم، محمد مهدی بن مرتضی (۱۲۱۲-۱۱۵۵)</w:t>
      </w:r>
    </w:p>
    <w:p>
      <w:pPr>
        <w:pStyle w:val="BookText"/>
      </w:pPr>
      <w:r>
        <w:rPr>
          <w:rFonts w:ascii="IRNazanin" w:hAnsi="IRNazanin" w:eastAsia="IRNazanin" w:cs="IRNazanin"/>
          <w:lang w:bidi="fa-IR"/>
          <w:color w:val="111111"/>
          <w:sz w:val="28"/>
          <w:szCs w:val="28"/>
          <w:rtl/>
        </w:rPr>
        <w:t xml:space="preserve">دنباله منظومه مرحوم بحر العلوم است که به نام «الدرة النجفية) معروف و ناظم در رساله حاضر از صلاة نذر تا پایان صلاة مسافر را به نظم آورده است.</w:t>
      </w:r>
    </w:p>
    <w:p>
      <w:pPr>
        <w:pStyle w:val="BookText"/>
      </w:pPr>
      <w:r>
        <w:rPr>
          <w:rFonts w:ascii="IRNazanin" w:hAnsi="IRNazanin" w:eastAsia="IRNazanin" w:cs="IRNazanin"/>
          <w:lang w:bidi="fa-IR"/>
          <w:color w:val="111111"/>
          <w:sz w:val="28"/>
          <w:szCs w:val="28"/>
          <w:rtl/>
        </w:rPr>
        <w:t xml:space="preserve">قم: مرکز احیاء؛ شماره نسخه:۲۴۳۱</w:t>
      </w:r>
    </w:p>
    <w:p>
      <w:pPr>
        <w:pStyle w:val="BookText"/>
      </w:pPr>
      <w:r>
        <w:rPr>
          <w:rFonts w:ascii="IRNazanin" w:hAnsi="IRNazanin" w:eastAsia="IRNazanin" w:cs="IRNazanin"/>
          <w:lang w:bidi="fa-IR"/>
          <w:color w:val="111111"/>
          <w:sz w:val="28"/>
          <w:szCs w:val="28"/>
          <w:rtl/>
        </w:rPr>
        <w:t xml:space="preserve">آغاز: ما وجبت بالنذر تبع *** فليمتثل ناذرها كما وضع نسخه اصل: کتابخانه کشف الغطاء نجف اشرف؛ خط: نسخ، کاتب = مؤلف، بی تا، ۳۹ص [عکسی ف: ۷-۳۹ ]</w:t>
      </w:r>
    </w:p>
    <w:p>
      <w:pPr>
        <w:pStyle w:val="BookText"/>
      </w:pPr>
      <w:r>
        <w:rPr>
          <w:rFonts w:ascii="Amiri" w:hAnsi="Amiri" w:eastAsia="Amiri" w:cs="Amiri"/>
          <w:lang w:bidi="ar-SA"/>
          <w:color w:val="111111"/>
          <w:sz w:val="28"/>
          <w:szCs w:val="28"/>
          <w:rtl/>
        </w:rPr>
        <w:t xml:space="preserve">← تتمة الرسائل← التتمة لمعرفة الأئمة</w:t>
      </w:r>
    </w:p>
    <w:p>
      <w:pPr>
        <w:pStyle w:val="Heading3"/>
      </w:pPr>
      <w:bookmarkStart w:id="3021" w:name="_Toc2281"/>
      <w:r>
        <w:t>•تتمة رسالة حل الطلسم / کیمیا / عربی</w:t>
      </w:r>
      <w:bookmarkEnd w:id="3021"/>
    </w:p>
    <w:p>
      <w:pPr>
        <w:pStyle w:val="BookText"/>
      </w:pPr>
      <w:r>
        <w:rPr>
          <w:rFonts w:ascii="Times New Roman" w:hAnsi="Times New Roman" w:eastAsia="Times New Roman" w:cs="Times New Roman"/>
          <w:lang w:val="en-US" w:bidi="en-US"/>
          <w:color w:val="111111"/>
          <w:sz w:val="28"/>
          <w:szCs w:val="28"/>
          <w:rtl/>
        </w:rPr>
        <w:t xml:space="preserve">tatimmat-u r.-i ħall-iț țilism</w:t>
      </w:r>
    </w:p>
    <w:p>
      <w:pPr>
        <w:pStyle w:val="BookText"/>
      </w:pPr>
      <w:r>
        <w:rPr>
          <w:rFonts w:ascii="IRNazanin" w:hAnsi="IRNazanin" w:eastAsia="IRNazanin" w:cs="IRNazanin"/>
          <w:lang w:bidi="fa-IR"/>
          <w:color w:val="111111"/>
          <w:sz w:val="28"/>
          <w:szCs w:val="28"/>
          <w:rtl/>
        </w:rPr>
        <w:t xml:space="preserve">عمری، ابوالعباس،-۹۰۵ قمری</w:t>
      </w:r>
    </w:p>
    <w:p>
      <w:pPr>
        <w:pStyle w:val="BookText"/>
      </w:pPr>
      <w:r>
        <w:rPr>
          <w:rFonts w:ascii="Times New Roman" w:hAnsi="Times New Roman" w:eastAsia="Times New Roman" w:cs="Times New Roman"/>
          <w:lang w:val="en-US" w:bidi="en-US"/>
          <w:color w:val="111111"/>
          <w:sz w:val="28"/>
          <w:szCs w:val="28"/>
          <w:rtl/>
        </w:rPr>
        <w:t xml:space="preserve">omari, ab-ol-abbas (-1500)</w:t>
      </w:r>
    </w:p>
    <w:p>
      <w:pPr>
        <w:pStyle w:val="BookText"/>
      </w:pPr>
      <w:r>
        <w:rPr>
          <w:rFonts w:ascii="IRNazanin" w:hAnsi="IRNazanin" w:eastAsia="IRNazanin" w:cs="IRNazanin"/>
          <w:lang w:bidi="fa-IR"/>
          <w:color w:val="111111"/>
          <w:sz w:val="28"/>
          <w:szCs w:val="28"/>
          <w:rtl/>
        </w:rPr>
        <w:t xml:space="preserve">وابسته به: حل الطلسم و کشف سر المبهم = سر الطلسم؛ عمری، ابو العباس (۹۰۵ق) این رساله تكمله رساله حل الطلسم است که در دنبال آن رساله، از سوی همان مؤلف نگاشته شده، و با عناوین «اعلم يا أخي، و من خواصه» ترتیب یافته است، در رساله ۱۲۶۳۲/۹ مرعشی هر دو یک جا آمده است.</w:t>
      </w:r>
    </w:p>
    <w:p>
      <w:pPr>
        <w:pStyle w:val="BookText"/>
      </w:pPr>
      <w:r>
        <w:rPr>
          <w:rFonts w:ascii="IRNazanin" w:hAnsi="IRNazanin" w:eastAsia="IRNazanin" w:cs="IRNazanin"/>
          <w:lang w:bidi="fa-IR"/>
          <w:color w:val="111111"/>
          <w:sz w:val="28"/>
          <w:szCs w:val="28"/>
          <w:rtl/>
        </w:rPr>
        <w:t xml:space="preserve">قم؛ مرعشی؛ شماره نسخه: ۳۰۱۶/۲</w:t>
      </w:r>
    </w:p>
    <w:p>
      <w:pPr>
        <w:pStyle w:val="BookText"/>
      </w:pPr>
      <w:r>
        <w:rPr>
          <w:rFonts w:ascii="IRNazanin" w:hAnsi="IRNazanin" w:eastAsia="IRNazanin" w:cs="IRNazanin"/>
          <w:lang w:bidi="fa-IR"/>
          <w:color w:val="111111"/>
          <w:sz w:val="28"/>
          <w:szCs w:val="28"/>
          <w:rtl/>
        </w:rPr>
        <w:t xml:space="preserve">آغاز: فلنأخذ في ذكر هذه السر العظيم و الحجر الكريم و ما يحتوي عليه من المنافع و الخواص و العجائب و الطلسمات و الخوارق العادات، الذي رمزتها الحكماء و فرقوه في الكتب الكثيرة خوفا من فساد العالم؛ انجام: و هذا القسم الرابع من المولدات المتعلقة بطوالع العالم العلوي، و شیء يسير من الاكليل الأول، بعد تلطخه جميعه بدم ذلك القرد، ثم احرق جميع ذلك القرد الحجر و يكون منصوبا على نسف عمود الحجر الأسود خط: نسخ، بی کا، تا: قرن ۱۳؛ افتادگی: انجام؛ کاغذ: فرنگی آهار مهره، ۱۴گ (۶ر - ۱۹پ)، ۲۰ سطر، اندازه:</w:t>
      </w:r>
    </w:p>
    <w:p>
      <w:pPr>
        <w:pStyle w:val="BookText"/>
      </w:pPr>
      <w:r>
        <w:rPr>
          <w:rFonts w:ascii="IRNazanin" w:hAnsi="IRNazanin" w:eastAsia="IRNazanin" w:cs="IRNazanin"/>
          <w:lang w:bidi="fa-IR"/>
          <w:color w:val="111111"/>
          <w:sz w:val="28"/>
          <w:szCs w:val="28"/>
          <w:rtl/>
        </w:rPr>
        <w:t xml:space="preserve">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سم [ف: ۳۰-۳۳ ]</w:t>
      </w:r>
    </w:p>
    <w:p>
      <w:pPr>
        <w:pStyle w:val="Heading3"/>
      </w:pPr>
      <w:bookmarkStart w:id="3022" w:name="_Toc2282"/>
      <w:r>
        <w:t>•تتمة السبیل / اصول فقه / عربی</w:t>
      </w:r>
      <w:bookmarkEnd w:id="3022"/>
    </w:p>
    <w:p>
      <w:pPr>
        <w:pStyle w:val="BookText"/>
      </w:pPr>
      <w:r>
        <w:rPr>
          <w:rFonts w:ascii="Times New Roman" w:hAnsi="Times New Roman" w:eastAsia="Times New Roman" w:cs="Times New Roman"/>
          <w:lang w:val="en-US" w:bidi="en-US"/>
          <w:color w:val="111111"/>
          <w:sz w:val="28"/>
          <w:szCs w:val="28"/>
          <w:rtl/>
        </w:rPr>
        <w:t xml:space="preserve">tatimmat-us sabīl</w:t>
      </w:r>
    </w:p>
    <w:p>
      <w:pPr>
        <w:pStyle w:val="BookText"/>
      </w:pPr>
      <w:r>
        <w:rPr>
          <w:rFonts w:ascii="IRNazanin" w:hAnsi="IRNazanin" w:eastAsia="IRNazanin" w:cs="IRNazanin"/>
          <w:lang w:bidi="fa-IR"/>
          <w:color w:val="111111"/>
          <w:sz w:val="28"/>
          <w:szCs w:val="28"/>
          <w:rtl/>
        </w:rPr>
        <w:t xml:space="preserve">قزوینی، محمد هاشم بن عبدالرحیم، ق۱۳ قمری</w:t>
      </w:r>
    </w:p>
    <w:p>
      <w:pPr>
        <w:pStyle w:val="BookText"/>
      </w:pPr>
      <w:r>
        <w:rPr>
          <w:rFonts w:ascii="Times New Roman" w:hAnsi="Times New Roman" w:eastAsia="Times New Roman" w:cs="Times New Roman"/>
          <w:lang w:val="en-US" w:bidi="en-US"/>
          <w:color w:val="111111"/>
          <w:sz w:val="28"/>
          <w:szCs w:val="28"/>
          <w:rtl/>
        </w:rPr>
        <w:t xml:space="preserve">qazvīnī, mohammad hāšem ebn-e ‘abd-or-rahīm (-190)</w:t>
      </w:r>
    </w:p>
    <w:p>
      <w:pPr>
        <w:pStyle w:val="BookText"/>
      </w:pPr>
      <w:r>
        <w:rPr>
          <w:rFonts w:ascii="IRNazanin" w:hAnsi="IRNazanin" w:eastAsia="IRNazanin" w:cs="IRNazanin"/>
          <w:lang w:bidi="fa-IR"/>
          <w:color w:val="111111"/>
          <w:sz w:val="28"/>
          <w:szCs w:val="28"/>
          <w:rtl/>
        </w:rPr>
        <w:t xml:space="preserve">وابسته به: سبیل الجنة؛ قزوینی، محمد هاشم بن عبدالرحيم (قرن</w:t>
      </w:r>
    </w:p>
    <w:p>
      <w:pPr>
        <w:pStyle w:val="BookText"/>
      </w:pPr>
      <w:r>
        <w:rPr>
          <w:rFonts w:ascii="IRNazanin" w:hAnsi="IRNazanin" w:eastAsia="IRNazanin" w:cs="IRNazanin"/>
          <w:lang w:bidi="fa-IR"/>
          <w:color w:val="111111"/>
          <w:sz w:val="28"/>
          <w:szCs w:val="28"/>
          <w:rtl/>
        </w:rPr>
        <w:t xml:space="preserve">تاریخ تأليف: شب چهارشنبه ۱۱ محرم ۱۲۶۰ق مؤلف کتابی مفصل در اصول فقه در ۵ جلد تألیف کرده بود چون بحثهایی لازم از علم اصول در آن کتاب نیامده بود در این کتاب بدانها پرداخته است. این کتاب استدلالی مفصل دارای مباحث استصحاب و اجتهاد و تقلید و تعادل و تراجیح در سه «منهج» مشتمل بر مباحث» و «مقاصد» و «فصول» می باشد.</w:t>
      </w:r>
    </w:p>
    <w:p>
      <w:pPr>
        <w:pStyle w:val="BookText"/>
      </w:pPr>
      <w:r>
        <w:rPr>
          <w:rFonts w:ascii="IRNazanin" w:hAnsi="IRNazanin" w:eastAsia="IRNazanin" w:cs="IRNazanin"/>
          <w:lang w:bidi="fa-IR"/>
          <w:color w:val="111111"/>
          <w:sz w:val="28"/>
          <w:szCs w:val="28"/>
          <w:rtl/>
        </w:rPr>
        <w:t xml:space="preserve">قم؛ مرعشی؛ شماره نسخه:۱۰۹۵۶</w:t>
      </w:r>
    </w:p>
    <w:p>
      <w:pPr>
        <w:pStyle w:val="BookText"/>
      </w:pPr>
      <w:r>
        <w:rPr>
          <w:rFonts w:ascii="IRNazanin" w:hAnsi="IRNazanin" w:eastAsia="IRNazanin" w:cs="IRNazanin"/>
          <w:lang w:bidi="fa-IR"/>
          <w:color w:val="111111"/>
          <w:sz w:val="28"/>
          <w:szCs w:val="28"/>
          <w:rtl/>
        </w:rPr>
        <w:t xml:space="preserve">آغاز: الحمد لله الذي تمم السبيل و ختم بجدي محمد الدليل اذ لا سبیل للدين بعده و ليس دليل اليه غيره و غیره اما نفسه او طالب
</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bookmarkStart w:id="696" w:name="pg20363_210048"/>
    <w:bookmarkEnd w:id="696"/>
    <w:p>
      <w:pPr>
        <w:pStyle w:val="BookText"/>
      </w:pPr>
      <w:r>
        <w:rPr>
          <w:rFonts w:ascii="Amiri" w:hAnsi="Amiri" w:eastAsia="Amiri" w:cs="Amiri"/>
          <w:lang w:bidi="ar-SA"/>
          <w:color w:val="111111"/>
          <w:sz w:val="28"/>
          <w:szCs w:val="28"/>
          <w:rtl/>
        </w:rPr>
        <w:t xml:space="preserve">الما عنده، انجام: و ثبتنا على حمده فانه وليه و الصلاة و السلام على نبيه و الائمة المعصومين من آله</w:t>
      </w:r>
    </w:p>
    <w:p>
      <w:pPr>
        <w:pStyle w:val="BookText"/>
      </w:pPr>
      <w:r>
        <w:rPr>
          <w:rFonts w:ascii="IRNazanin" w:hAnsi="IRNazanin" w:eastAsia="IRNazanin" w:cs="IRNazanin"/>
          <w:lang w:bidi="fa-IR"/>
          <w:color w:val="111111"/>
          <w:sz w:val="28"/>
          <w:szCs w:val="28"/>
          <w:rtl/>
        </w:rPr>
        <w:t xml:space="preserve">خط: نسخ، كاتب = مؤلف، بی تا؛ مصحح؛ جلد: تیماج قهوه ای، ۳۷۶گ، ۲۴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۲۷-۳۶۵]</w:t>
      </w:r>
    </w:p>
    <w:p>
      <w:pPr>
        <w:pStyle w:val="Heading3"/>
      </w:pPr>
      <w:bookmarkStart w:id="3023" w:name="_Toc2283"/>
      <w:r>
        <w:t>•تتمة شرح الزوراء / فلسفه / عربی</w:t>
      </w:r>
      <w:bookmarkEnd w:id="3023"/>
    </w:p>
    <w:p>
      <w:pPr>
        <w:pStyle w:val="BookText"/>
      </w:pPr>
      <w:r>
        <w:rPr>
          <w:rFonts w:ascii="Times New Roman" w:hAnsi="Times New Roman" w:eastAsia="Times New Roman" w:cs="Times New Roman"/>
          <w:lang w:val="en-US" w:bidi="en-US"/>
          <w:color w:val="111111"/>
          <w:sz w:val="28"/>
          <w:szCs w:val="28"/>
          <w:rtl/>
        </w:rPr>
        <w:t xml:space="preserve">tatimmat-u š.-iz zawrā'</w:t>
      </w:r>
    </w:p>
    <w:p>
      <w:pPr>
        <w:pStyle w:val="BookText"/>
      </w:pPr>
      <w:r>
        <w:rPr>
          <w:rFonts w:ascii="IRNazanin" w:hAnsi="IRNazanin" w:eastAsia="IRNazanin" w:cs="IRNazanin"/>
          <w:lang w:bidi="fa-IR"/>
          <w:color w:val="111111"/>
          <w:sz w:val="28"/>
          <w:szCs w:val="28"/>
          <w:rtl/>
        </w:rPr>
        <w:t xml:space="preserve">دوانی، محمد بن اسعد، ۸۳۰-۹۰۸؟ قمری</w:t>
      </w:r>
    </w:p>
    <w:p>
      <w:pPr>
        <w:pStyle w:val="BookText"/>
      </w:pPr>
      <w:r>
        <w:rPr>
          <w:rFonts w:ascii="Times New Roman" w:hAnsi="Times New Roman" w:eastAsia="Times New Roman" w:cs="Times New Roman"/>
          <w:lang w:val="en-US" w:bidi="en-US"/>
          <w:color w:val="111111"/>
          <w:sz w:val="28"/>
          <w:szCs w:val="28"/>
          <w:rtl/>
        </w:rPr>
        <w:t xml:space="preserve">davvānī, mohammad ebn-e as‘ad (1427-1503)</w:t>
      </w:r>
    </w:p>
    <w:p>
      <w:pPr>
        <w:pStyle w:val="BookText"/>
      </w:pPr>
      <w:r>
        <w:rPr>
          <w:rFonts w:ascii="IRNazanin" w:hAnsi="IRNazanin" w:eastAsia="IRNazanin" w:cs="IRNazanin"/>
          <w:lang w:bidi="fa-IR"/>
          <w:color w:val="111111"/>
          <w:sz w:val="28"/>
          <w:szCs w:val="28"/>
          <w:rtl/>
        </w:rPr>
        <w:t xml:space="preserve">وابسته به: شرح الزوراء = حاشية الزوراء = الحوراء في شرح الزوراء = شرح رسالة الزوراء؛ دوانی، محمد بن اسعد (۸۳۰ -۹۰۸ )</w:t>
      </w:r>
    </w:p>
    <w:p>
      <w:pPr>
        <w:pStyle w:val="BookText"/>
      </w:pPr>
      <w:r>
        <w:rPr>
          <w:rFonts w:ascii="IRNazanin" w:hAnsi="IRNazanin" w:eastAsia="IRNazanin" w:cs="IRNazanin"/>
          <w:lang w:bidi="fa-IR"/>
          <w:color w:val="111111"/>
          <w:sz w:val="28"/>
          <w:szCs w:val="28"/>
          <w:rtl/>
        </w:rPr>
        <w:t xml:space="preserve">نجف آباد؛ حججی؛ شماره نسخه: ۲۰/۹</w:t>
      </w:r>
    </w:p>
    <w:p>
      <w:pPr>
        <w:pStyle w:val="BookText"/>
      </w:pPr>
      <w:r>
        <w:rPr>
          <w:rFonts w:ascii="IRNazanin" w:hAnsi="IRNazanin" w:eastAsia="IRNazanin" w:cs="IRNazanin"/>
          <w:lang w:bidi="fa-IR"/>
          <w:color w:val="111111"/>
          <w:sz w:val="28"/>
          <w:szCs w:val="28"/>
          <w:rtl/>
        </w:rPr>
        <w:t xml:space="preserve">کا: محمد قاسم بن تاج الدين محمود حسینی، بی تا، ۳گ (۹۲ر - ۹۴پ)، اندازه:۱۸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سم [ف: ۴۲]</w:t>
      </w:r>
    </w:p>
    <w:p>
      <w:pPr>
        <w:pStyle w:val="Heading3"/>
      </w:pPr>
      <w:bookmarkStart w:id="3024" w:name="_Toc2284"/>
      <w:r>
        <w:t>• تتمه شرح «كن في الدنيا كانک غریب» (رساله در) / عرفان و تصوف / فارسی</w:t>
      </w:r>
      <w:bookmarkEnd w:id="3024"/>
    </w:p>
    <w:p>
      <w:pPr>
        <w:pStyle w:val="BookText"/>
      </w:pPr>
      <w:r>
        <w:rPr>
          <w:rFonts w:ascii="Times New Roman" w:hAnsi="Times New Roman" w:eastAsia="Times New Roman" w:cs="Times New Roman"/>
          <w:lang w:val="en-US" w:bidi="en-US"/>
          <w:color w:val="111111"/>
          <w:sz w:val="28"/>
          <w:szCs w:val="28"/>
          <w:rtl/>
        </w:rPr>
        <w:t xml:space="preserve">tatemme-ye š.-e «kun fi-d dunyā ka-anna-ka garīb&gt;&gt; (r. dar)</w:t>
      </w:r>
    </w:p>
    <w:p>
      <w:pPr>
        <w:pStyle w:val="BookText"/>
      </w:pPr>
      <w:r>
        <w:rPr>
          <w:rFonts w:ascii="IRNazanin" w:hAnsi="IRNazanin" w:eastAsia="IRNazanin" w:cs="IRNazanin"/>
          <w:lang w:bidi="fa-IR"/>
          <w:color w:val="111111"/>
          <w:sz w:val="28"/>
          <w:szCs w:val="28"/>
          <w:rtl/>
        </w:rPr>
        <w:t xml:space="preserve">جمالی اردستانی، جمال الدين محمد، ۸۱۴-۸۸۳؟ قمری</w:t>
      </w:r>
    </w:p>
    <w:p>
      <w:pPr>
        <w:pStyle w:val="BookText"/>
      </w:pPr>
      <w:r>
        <w:rPr>
          <w:rFonts w:ascii="Times New Roman" w:hAnsi="Times New Roman" w:eastAsia="Times New Roman" w:cs="Times New Roman"/>
          <w:lang w:val="en-US" w:bidi="en-US"/>
          <w:color w:val="111111"/>
          <w:sz w:val="28"/>
          <w:szCs w:val="28"/>
          <w:rtl/>
        </w:rPr>
        <w:t xml:space="preserve">jamālī ardestānī, jamāl-od-dīn mohammad (1412-1479)</w:t>
      </w:r>
    </w:p>
    <w:p>
      <w:pPr>
        <w:pStyle w:val="BookText"/>
      </w:pPr>
      <w:r>
        <w:rPr>
          <w:rFonts w:ascii="IRNazanin" w:hAnsi="IRNazanin" w:eastAsia="IRNazanin" w:cs="IRNazanin"/>
          <w:lang w:bidi="fa-IR"/>
          <w:color w:val="111111"/>
          <w:sz w:val="28"/>
          <w:szCs w:val="28"/>
          <w:rtl/>
        </w:rPr>
        <w:t xml:space="preserve">وابسته به: بیان «كن في الدنيا كانک غریب» (رساله در)؛ جمالی اردستانی، جمال الدین محمد (۸۱۴-۸۸۳ق)</w:t>
      </w:r>
    </w:p>
    <w:p>
      <w:pPr>
        <w:pStyle w:val="BookText"/>
      </w:pPr>
      <w:r>
        <w:rPr>
          <w:rFonts w:ascii="IRNazanin" w:hAnsi="IRNazanin" w:eastAsia="IRNazanin" w:cs="IRNazanin"/>
          <w:lang w:bidi="fa-IR"/>
          <w:color w:val="111111"/>
          <w:sz w:val="28"/>
          <w:szCs w:val="28"/>
          <w:rtl/>
        </w:rPr>
        <w:t xml:space="preserve">تهران؛ مجلس؛ شماره نسخه: ۹۳۲۶/۲۴</w:t>
      </w:r>
    </w:p>
    <w:p>
      <w:pPr>
        <w:pStyle w:val="BookText"/>
      </w:pPr>
      <w:r>
        <w:rPr>
          <w:rFonts w:ascii="IRNazanin" w:hAnsi="IRNazanin" w:eastAsia="IRNazanin" w:cs="IRNazanin"/>
          <w:lang w:bidi="fa-IR"/>
          <w:color w:val="111111"/>
          <w:sz w:val="28"/>
          <w:szCs w:val="28"/>
          <w:rtl/>
        </w:rPr>
        <w:t xml:space="preserve">خط: نستعلیق، کا: محمد کریم بن میرزا زمان، تا: قرن ۱۳؛ جلد: تیماج سبز با ترنج و سرترنج زرین، ۲۱ سطر [شورا: ف: ۳۰-۷۴]</w:t>
      </w:r>
    </w:p>
    <w:p>
      <w:pPr>
        <w:pStyle w:val="Heading3"/>
      </w:pPr>
      <w:bookmarkStart w:id="3025" w:name="_Toc2285"/>
      <w:r>
        <w:t>• تتمة شفاء الاوام / حديث / عربی</w:t>
      </w:r>
      <w:bookmarkEnd w:id="3025"/>
    </w:p>
    <w:p>
      <w:pPr>
        <w:pStyle w:val="BookText"/>
      </w:pPr>
      <w:r>
        <w:rPr>
          <w:rFonts w:ascii="Times New Roman" w:hAnsi="Times New Roman" w:eastAsia="Times New Roman" w:cs="Times New Roman"/>
          <w:lang w:val="en-US" w:bidi="en-US"/>
          <w:color w:val="111111"/>
          <w:sz w:val="28"/>
          <w:szCs w:val="28"/>
          <w:rtl/>
        </w:rPr>
        <w:t xml:space="preserve">tatimmat-u šifā'-il uwām</w:t>
      </w:r>
    </w:p>
    <w:p>
      <w:pPr>
        <w:pStyle w:val="BookText"/>
      </w:pPr>
      <w:r>
        <w:rPr>
          <w:rFonts w:ascii="IRNazanin" w:hAnsi="IRNazanin" w:eastAsia="IRNazanin" w:cs="IRNazanin"/>
          <w:lang w:bidi="fa-IR"/>
          <w:color w:val="111111"/>
          <w:sz w:val="28"/>
          <w:szCs w:val="28"/>
          <w:rtl/>
        </w:rPr>
        <w:t xml:space="preserve">هادی، صلاح بن ابراهيم، -۷۰۲ قمری</w:t>
      </w:r>
    </w:p>
    <w:p>
      <w:pPr>
        <w:pStyle w:val="BookText"/>
      </w:pPr>
      <w:r>
        <w:rPr>
          <w:rFonts w:ascii="Times New Roman" w:hAnsi="Times New Roman" w:eastAsia="Times New Roman" w:cs="Times New Roman"/>
          <w:lang w:val="en-US" w:bidi="en-US"/>
          <w:color w:val="111111"/>
          <w:sz w:val="28"/>
          <w:szCs w:val="28"/>
          <w:rtl/>
        </w:rPr>
        <w:t xml:space="preserve">hādī, salāh ebn-e ebrāhīm (-1303)</w:t>
      </w:r>
    </w:p>
    <w:p>
      <w:pPr>
        <w:pStyle w:val="BookText"/>
      </w:pPr>
      <w:r>
        <w:rPr>
          <w:rFonts w:ascii="IRNazanin" w:hAnsi="IRNazanin" w:eastAsia="IRNazanin" w:cs="IRNazanin"/>
          <w:lang w:bidi="fa-IR"/>
          <w:color w:val="111111"/>
          <w:sz w:val="28"/>
          <w:szCs w:val="28"/>
          <w:rtl/>
        </w:rPr>
        <w:t xml:space="preserve">وابسته به: شفاء الاوام في احاديث الأحكام = شفاء الاوام للتمييز بين الحلال و الحرام؛ حسنی، حسین بن محمد (-۶۶۲) تتمه ای است بر کتاب مهم حدیثی زیدیه به نام «شفاء الأوام في احادیث الاحکام» که در آن مسائل فقهی را با عناوین خبر، خبر» جمع آوری کرده و استنباطهای خود را مختصر در اوایل ابواب یا ضمن نقل احادیث آورده است.</w:t>
      </w:r>
    </w:p>
    <w:p>
      <w:pPr>
        <w:pStyle w:val="BookText"/>
      </w:pPr>
      <w:r>
        <w:rPr>
          <w:rFonts w:ascii="IRNazanin" w:hAnsi="IRNazanin" w:eastAsia="IRNazanin" w:cs="IRNazanin"/>
          <w:lang w:bidi="fa-IR"/>
          <w:color w:val="111111"/>
          <w:sz w:val="28"/>
          <w:szCs w:val="28"/>
          <w:rtl/>
        </w:rPr>
        <w:t xml:space="preserve">[دنا ۷۸۵/۲ ؛ اعلام المؤلفين الزيدية ص ۳۱۵؛ مؤلفات الزيدية ۲۰۷/۲ ؛ فهرست كتب عربی واتیکان ۱۱۷/۱ ]</w:t>
      </w:r>
    </w:p>
    <w:p>
      <w:pPr>
        <w:pStyle w:val="BookText"/>
      </w:pPr>
      <w:r>
        <w:rPr>
          <w:rFonts w:ascii="IRNazanin" w:hAnsi="IRNazanin" w:eastAsia="IRNazanin" w:cs="IRNazanin"/>
          <w:lang w:bidi="fa-IR"/>
          <w:color w:val="111111"/>
          <w:sz w:val="28"/>
          <w:szCs w:val="28"/>
          <w:rtl/>
        </w:rPr>
        <w:t xml:space="preserve">قم؛ مرکز احیاء؛ شماره نسخه: ۱۲۲۱</w:t>
      </w:r>
    </w:p>
    <w:p>
      <w:pPr>
        <w:pStyle w:val="BookText"/>
      </w:pPr>
      <w:r>
        <w:rPr>
          <w:rFonts w:ascii="IRNazanin" w:hAnsi="IRNazanin" w:eastAsia="IRNazanin" w:cs="IRNazanin"/>
          <w:lang w:bidi="fa-IR"/>
          <w:color w:val="111111"/>
          <w:sz w:val="28"/>
          <w:szCs w:val="28"/>
          <w:rtl/>
        </w:rPr>
        <w:t xml:space="preserve">آغاز: قال الأمير الكبير ... اما بعد حمدالله تعالى على نعمه التامة و اياديه العامة و صلاته على محمد المويد بالكرامة نسخه اصل: کتابخانه واتیکان -رم ۱۰۱۶؛ خط: نسخ، بی کا، تا: قرن ۹، ؛ مصحح؛ دو امضای سماع یکی به تاریخ ربیع الاول ۱۱۷۷ و از کتاب به «شفاء الأوام» تعبیر کرده؛ ۵۳۸ص [عکسی ف: ۴-۴۵]</w:t>
      </w:r>
    </w:p>
    <w:p>
      <w:pPr>
        <w:pStyle w:val="Heading3"/>
      </w:pPr>
      <w:bookmarkStart w:id="3026" w:name="_Toc2286"/>
      <w:r>
        <w:t>•تتمة صوان الحکمة / تراجم / عربی</w:t>
      </w:r>
      <w:bookmarkEnd w:id="3026"/>
    </w:p>
    <w:p>
      <w:pPr>
        <w:pStyle w:val="BookText"/>
      </w:pPr>
      <w:r>
        <w:rPr>
          <w:rFonts w:ascii="Times New Roman" w:hAnsi="Times New Roman" w:eastAsia="Times New Roman" w:cs="Times New Roman"/>
          <w:lang w:val="en-US" w:bidi="en-US"/>
          <w:color w:val="111111"/>
          <w:sz w:val="28"/>
          <w:szCs w:val="28"/>
          <w:rtl/>
        </w:rPr>
        <w:t xml:space="preserve">tatimmat-u șiwān-il hikma</w:t>
      </w:r>
    </w:p>
    <w:p>
      <w:pPr>
        <w:pStyle w:val="BookText"/>
      </w:pPr>
      <w:r>
        <w:rPr>
          <w:rFonts w:ascii="IRNazanin" w:hAnsi="IRNazanin" w:eastAsia="IRNazanin" w:cs="IRNazanin"/>
          <w:lang w:bidi="fa-IR"/>
          <w:color w:val="111111"/>
          <w:sz w:val="28"/>
          <w:szCs w:val="28"/>
          <w:rtl/>
        </w:rPr>
        <w:t xml:space="preserve">بیهقی، علی بن زید، ۴۹۹-۵۶۵ قمری</w:t>
      </w:r>
    </w:p>
    <w:p>
      <w:pPr>
        <w:pStyle w:val="BookText"/>
      </w:pPr>
      <w:r>
        <w:rPr>
          <w:rFonts w:ascii="Times New Roman" w:hAnsi="Times New Roman" w:eastAsia="Times New Roman" w:cs="Times New Roman"/>
          <w:lang w:val="en-US" w:bidi="en-US"/>
          <w:color w:val="111111"/>
          <w:sz w:val="28"/>
          <w:szCs w:val="28"/>
          <w:rtl/>
        </w:rPr>
        <w:t xml:space="preserve">beyhaqī, ‘alī ebn-e zeyd (1106-1170)</w:t>
      </w:r>
    </w:p>
    <w:p>
      <w:pPr>
        <w:pStyle w:val="BookText"/>
      </w:pPr>
      <w:r>
        <w:rPr>
          <w:rFonts w:ascii="IRNazanin" w:hAnsi="IRNazanin" w:eastAsia="IRNazanin" w:cs="IRNazanin"/>
          <w:lang w:bidi="fa-IR"/>
          <w:color w:val="111111"/>
          <w:sz w:val="28"/>
          <w:szCs w:val="28"/>
          <w:rtl/>
        </w:rPr>
        <w:t xml:space="preserve">وابسته به: صوان الحكمة؛ ابویعقوب سجستانی، اسحاق بن احمد (۳۸۶)</w:t>
      </w:r>
    </w:p>
    <w:p>
      <w:pPr>
        <w:pStyle w:val="BookText"/>
      </w:pPr>
      <w:r>
        <w:rPr>
          <w:rFonts w:ascii="IRNazanin" w:hAnsi="IRNazanin" w:eastAsia="IRNazanin" w:cs="IRNazanin"/>
          <w:lang w:bidi="fa-IR"/>
          <w:color w:val="111111"/>
          <w:sz w:val="28"/>
          <w:szCs w:val="28"/>
          <w:rtl/>
        </w:rPr>
        <w:t xml:space="preserve">تاريخ تأليف: ۵۷۷ق تاریخ فرزانگان پس از اسلام است، که بر صوان الحكمة) افزوده است. این تتمه به فارسی در آمده و «درة الاخبار و لمعة الانوار» نامیده شده است. در دیباچه «صوان الحكمة» آمده است که رساله ای در پایان «تتمه» افزودم و آن را «اتمام التمه» نامیدم. ( احمد منزوی) آغاز: الحمدلله المنعم له نعم مابت اوصافها الامتداد و امدادها الازدياد</w:t>
      </w:r>
    </w:p>
    <w:p>
      <w:pPr>
        <w:pStyle w:val="BookText"/>
      </w:pPr>
      <w:r>
        <w:rPr>
          <w:rFonts w:ascii="IRNazanin" w:hAnsi="IRNazanin" w:eastAsia="IRNazanin" w:cs="IRNazanin"/>
          <w:lang w:bidi="fa-IR"/>
          <w:color w:val="111111"/>
          <w:sz w:val="28"/>
          <w:szCs w:val="28"/>
          <w:rtl/>
        </w:rPr>
        <w:t xml:space="preserve">چاپ: دو چاپ دارد یکی از کرد علی در دمشق بسال ۱۹۴۶، دیگری از محمد شفیع در لاهور بسال ۱۳۵۱</w:t>
      </w:r>
    </w:p>
    <w:p>
      <w:pPr>
        <w:pStyle w:val="BookText"/>
      </w:pPr>
      <w:r>
        <w:rPr>
          <w:rFonts w:ascii="IRNazanin" w:hAnsi="IRNazanin" w:eastAsia="IRNazanin" w:cs="IRNazanin"/>
          <w:lang w:bidi="fa-IR"/>
          <w:color w:val="111111"/>
          <w:sz w:val="28"/>
          <w:szCs w:val="28"/>
          <w:rtl/>
        </w:rPr>
        <w:t xml:space="preserve">[ معالم العلما ش ۳۳۴؛ دنا ۷۸۵/۲ ]</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١- مختصر الملحقة بتتمة صوان الحكمة = مختصر الرسالة الملحقة بكتاب تتمة صوان الحكمة = اتمام التمة؛ غضنفر تبریزی، ابراهیم بن محمد (۶۲۴-۶۹۲) ٢- الرسالة الملحقة بكتاب تتمة صوان الحكمة ٣- تتمة صوان الحكمة (مختصر)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دائرة المعارف؛ شماره نسخه: ۵۲/۲ -عکسی</w:t>
      </w:r>
    </w:p>
    <w:p>
      <w:pPr>
        <w:pStyle w:val="BookText"/>
      </w:pPr>
      <w:r>
        <w:rPr>
          <w:rFonts w:ascii="IRNazanin" w:hAnsi="IRNazanin" w:eastAsia="IRNazanin" w:cs="IRNazanin"/>
          <w:lang w:bidi="fa-IR"/>
          <w:color w:val="111111"/>
          <w:sz w:val="28"/>
          <w:szCs w:val="28"/>
          <w:rtl/>
        </w:rPr>
        <w:t xml:space="preserve">آغاز: برابر نسخه اصل: بشیر آغا، ش ۴۹۴؛ خط: نسخ پخته، كا: ابوالحسن على بن الموفق متطبب، تا: پایان رمضان ۶۸۹ق؛ ۲۱ سطر [عکسی ف: ۲-۵۹]</w:t>
      </w:r>
    </w:p>
    <w:p>
      <w:pPr>
        <w:pStyle w:val="BookText"/>
      </w:pPr>
      <w:r>
        <w:rPr>
          <w:rFonts w:ascii="IRNazanin" w:hAnsi="IRNazanin" w:eastAsia="IRNazanin" w:cs="IRNazanin"/>
          <w:lang w:bidi="fa-IR"/>
          <w:color w:val="111111"/>
          <w:sz w:val="28"/>
          <w:szCs w:val="28"/>
          <w:rtl/>
        </w:rPr>
        <w:t xml:space="preserve">تهران؛ دانشگاه؛ شماره نسخه: ۹۳۵/۲ -ف</w:t>
      </w:r>
    </w:p>
    <w:p>
      <w:pPr>
        <w:pStyle w:val="BookText"/>
      </w:pPr>
      <w:r>
        <w:rPr>
          <w:rFonts w:ascii="Amiri" w:hAnsi="Amiri" w:eastAsia="Amiri" w:cs="Amiri"/>
          <w:lang w:bidi="ar-SA"/>
          <w:color w:val="111111"/>
          <w:sz w:val="28"/>
          <w:szCs w:val="28"/>
          <w:rtl/>
        </w:rPr>
        <w:t xml:space="preserve">نسخه اصل: همان نسخه بالا [فيلمها ف: ۱-۵۵۰]</w:t>
      </w:r>
    </w:p>
    <w:p>
      <w:pPr>
        <w:pStyle w:val="BookText"/>
      </w:pPr>
      <w:r>
        <w:rPr>
          <w:rFonts w:ascii="IRNazanin" w:hAnsi="IRNazanin" w:eastAsia="IRNazanin" w:cs="IRNazanin"/>
          <w:lang w:bidi="fa-IR"/>
          <w:color w:val="111111"/>
          <w:sz w:val="28"/>
          <w:szCs w:val="28"/>
          <w:rtl/>
        </w:rPr>
        <w:t xml:space="preserve">۲. تهران؛ ملی؛ شماره نسخه: ۳۸ تا ۳۹-عکسی</w:t>
      </w:r>
    </w:p>
    <w:p>
      <w:pPr>
        <w:pStyle w:val="BookText"/>
      </w:pPr>
      <w:r>
        <w:rPr>
          <w:rFonts w:ascii="IRNazanin" w:hAnsi="IRNazanin" w:eastAsia="IRNazanin" w:cs="IRNazanin"/>
          <w:lang w:bidi="fa-IR"/>
          <w:color w:val="111111"/>
          <w:sz w:val="28"/>
          <w:szCs w:val="28"/>
          <w:rtl/>
        </w:rPr>
        <w:t xml:space="preserve">نسخه اصل: از کتابخانه دولتی برلین، پتر من ۲ شماره ۷۳۷؛ بی کا، تا: محتملا قرن ۱۰ و ۱۱؛ با مقدمه محمد قزوینی؛ ۹۹گ [نشریه: ۲۷۲-۲ ]</w:t>
      </w:r>
    </w:p>
    <w:p>
      <w:pPr>
        <w:pStyle w:val="BookText"/>
      </w:pPr>
      <w:r>
        <w:rPr>
          <w:rFonts w:ascii="IRNazanin" w:hAnsi="IRNazanin" w:eastAsia="IRNazanin" w:cs="IRNazanin"/>
          <w:lang w:bidi="fa-IR"/>
          <w:color w:val="111111"/>
          <w:sz w:val="28"/>
          <w:szCs w:val="28"/>
          <w:rtl/>
        </w:rPr>
        <w:t xml:space="preserve">تهران؛ ادبیات، شماره نسخه:۱۲ عکسی</w:t>
      </w:r>
    </w:p>
    <w:p>
      <w:pPr>
        <w:pStyle w:val="BookText"/>
      </w:pPr>
      <w:r>
        <w:rPr>
          <w:rFonts w:ascii="IRNazanin" w:hAnsi="IRNazanin" w:eastAsia="IRNazanin" w:cs="IRNazanin"/>
          <w:lang w:bidi="fa-IR"/>
          <w:color w:val="111111"/>
          <w:sz w:val="28"/>
          <w:szCs w:val="28"/>
          <w:rtl/>
        </w:rPr>
        <w:t xml:space="preserve">همان نسخه بالا [ف: ۱- ۵۳۰]
</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bookmarkStart w:id="697" w:name="pg20363_210049"/>
    <w:bookmarkEnd w:id="697"/>
    <w:p>
      <w:pPr>
        <w:pStyle w:val="BookText"/>
      </w:pPr>
      <w:r>
        <w:rPr>
          <w:rFonts w:ascii="IRNazanin" w:hAnsi="IRNazanin" w:eastAsia="IRNazanin" w:cs="IRNazanin"/>
          <w:lang w:bidi="fa-IR"/>
          <w:color w:val="111111"/>
          <w:sz w:val="28"/>
          <w:szCs w:val="28"/>
          <w:rtl/>
        </w:rPr>
        <w:t xml:space="preserve">٣. مشهد؛ رضوی؛ شماره نسخه:۴۰۹۶</w:t>
      </w:r>
    </w:p>
    <w:p>
      <w:pPr>
        <w:pStyle w:val="BookText"/>
      </w:pPr>
      <w:r>
        <w:rPr>
          <w:rFonts w:ascii="IRNazanin" w:hAnsi="IRNazanin" w:eastAsia="IRNazanin" w:cs="IRNazanin"/>
          <w:lang w:bidi="fa-IR"/>
          <w:color w:val="111111"/>
          <w:sz w:val="28"/>
          <w:szCs w:val="28"/>
          <w:rtl/>
        </w:rPr>
        <w:t xml:space="preserve">آغاز: برابر؛ انجام: و تسلم و تدق ولا تندم و السلام تسع و تسعين و خمس مانه ببلده خوارزم خط: نستعلیق، بی کا، تا: قرن ۱۱؛ کاغذ: حنایی، جلد: پارچه ای، ۱۵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[الفبائی: 103]</w:t>
      </w:r>
    </w:p>
    <w:p>
      <w:pPr>
        <w:pStyle w:val="BookText"/>
      </w:pPr>
      <w:r>
        <w:rPr>
          <w:rFonts w:ascii="IRNazanin" w:hAnsi="IRNazanin" w:eastAsia="IRNazanin" w:cs="IRNazanin"/>
          <w:lang w:bidi="fa-IR"/>
          <w:color w:val="111111"/>
          <w:sz w:val="28"/>
          <w:szCs w:val="28"/>
          <w:rtl/>
        </w:rPr>
        <w:t xml:space="preserve">۴. تهران؛ دانشگاه؛ شماره نسخه: ۳۶۴۷/۲ -ف</w:t>
      </w:r>
    </w:p>
    <w:p>
      <w:pPr>
        <w:pStyle w:val="BookText"/>
      </w:pPr>
      <w:r>
        <w:rPr>
          <w:rFonts w:ascii="IRNazanin" w:hAnsi="IRNazanin" w:eastAsia="IRNazanin" w:cs="IRNazanin"/>
          <w:lang w:bidi="fa-IR"/>
          <w:color w:val="111111"/>
          <w:sz w:val="28"/>
          <w:szCs w:val="28"/>
          <w:rtl/>
        </w:rPr>
        <w:t xml:space="preserve">نسخه اصل: مراد ملا ش ۱۴۳۱؛ بی کا، بی تا [فيلمها ف: ۲-۲۰۹]</w:t>
      </w:r>
    </w:p>
    <w:p>
      <w:pPr>
        <w:pStyle w:val="BookText"/>
      </w:pPr>
      <w:r>
        <w:rPr>
          <w:rFonts w:ascii="IRNazanin" w:hAnsi="IRNazanin" w:eastAsia="IRNazanin" w:cs="IRNazanin"/>
          <w:lang w:bidi="fa-IR"/>
          <w:color w:val="111111"/>
          <w:sz w:val="28"/>
          <w:szCs w:val="28"/>
          <w:rtl/>
        </w:rPr>
        <w:t xml:space="preserve">۵. تهران، دانشگاه؛ شماره نسخه: ۳۶۴۸/۲ -ف</w:t>
      </w:r>
    </w:p>
    <w:p>
      <w:pPr>
        <w:pStyle w:val="BookText"/>
      </w:pPr>
      <w:r>
        <w:rPr>
          <w:rFonts w:ascii="IRNazanin" w:hAnsi="IRNazanin" w:eastAsia="IRNazanin" w:cs="IRNazanin"/>
          <w:lang w:bidi="fa-IR"/>
          <w:color w:val="111111"/>
          <w:sz w:val="28"/>
          <w:szCs w:val="28"/>
          <w:rtl/>
        </w:rPr>
        <w:t xml:space="preserve">نسخه تهران: کوپرولو ش ۹۰۲؛ بی کا، بی تا [فیلمها ف: ۲-۲۱۰]</w:t>
      </w:r>
    </w:p>
    <w:p>
      <w:pPr>
        <w:pStyle w:val="BookText"/>
      </w:pPr>
      <w:r>
        <w:rPr>
          <w:rFonts w:ascii="IRNazanin" w:hAnsi="IRNazanin" w:eastAsia="IRNazanin" w:cs="IRNazanin"/>
          <w:lang w:bidi="fa-IR"/>
          <w:color w:val="111111"/>
          <w:sz w:val="28"/>
          <w:szCs w:val="28"/>
          <w:rtl/>
        </w:rPr>
        <w:t xml:space="preserve">تهران؛ مینوی؛ شماره نسخه: ۲۸/۲ بخش ۲</w:t>
      </w:r>
    </w:p>
    <w:p>
      <w:pPr>
        <w:pStyle w:val="BookText"/>
      </w:pPr>
      <w:r>
        <w:rPr>
          <w:rFonts w:ascii="IRNazanin" w:hAnsi="IRNazanin" w:eastAsia="IRNazanin" w:cs="IRNazanin"/>
          <w:lang w:bidi="fa-IR"/>
          <w:color w:val="111111"/>
          <w:sz w:val="28"/>
          <w:szCs w:val="28"/>
          <w:rtl/>
        </w:rPr>
        <w:t xml:space="preserve">نسخه اصل: همان نسخه بالا [ف: ۶۸]</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دانشگاه؛ شماره نسخه:۳۶۴۹/۸ -ف</w:t>
      </w:r>
    </w:p>
    <w:p>
      <w:pPr>
        <w:pStyle w:val="BookText"/>
      </w:pPr>
      <w:r>
        <w:rPr>
          <w:rFonts w:ascii="IRNazanin" w:hAnsi="IRNazanin" w:eastAsia="IRNazanin" w:cs="IRNazanin"/>
          <w:lang w:bidi="fa-IR"/>
          <w:color w:val="111111"/>
          <w:sz w:val="28"/>
          <w:szCs w:val="28"/>
          <w:rtl/>
        </w:rPr>
        <w:t xml:space="preserve">نسخه اصل: فاتح ش ۳۲۲۲؛ بی کا، بی تا [فيلمها ف: ۲-۲۱۰]</w:t>
      </w:r>
    </w:p>
    <w:p>
      <w:pPr>
        <w:pStyle w:val="Heading3"/>
      </w:pPr>
      <w:bookmarkStart w:id="3027" w:name="_Toc2287"/>
      <w:r>
        <w:t>•تتمة صوان الحكمة (مختصر) / تراجم / عربی</w:t>
      </w:r>
      <w:bookmarkEnd w:id="3027"/>
    </w:p>
    <w:p>
      <w:pPr>
        <w:pStyle w:val="BookText"/>
      </w:pPr>
      <w:r>
        <w:rPr>
          <w:rFonts w:ascii="Times New Roman" w:hAnsi="Times New Roman" w:eastAsia="Times New Roman" w:cs="Times New Roman"/>
          <w:lang w:val="en-US" w:bidi="en-US"/>
          <w:color w:val="111111"/>
          <w:sz w:val="28"/>
          <w:szCs w:val="28"/>
          <w:rtl/>
        </w:rPr>
        <w:t xml:space="preserve">tatimmat-u șiwān-il hikma (mx.)</w:t>
      </w:r>
    </w:p>
    <w:p>
      <w:pPr>
        <w:pStyle w:val="BookText"/>
      </w:pPr>
      <w:r>
        <w:rPr>
          <w:rFonts w:ascii="IRNazanin" w:hAnsi="IRNazanin" w:eastAsia="IRNazanin" w:cs="IRNazanin"/>
          <w:lang w:bidi="fa-IR"/>
          <w:color w:val="111111"/>
          <w:sz w:val="28"/>
          <w:szCs w:val="28"/>
          <w:rtl/>
        </w:rPr>
        <w:t xml:space="preserve">وابسته به: تتمة صوان الحكمة؛ بیهقی، علی بن زید (۴۹۹-۵۶۵)</w:t>
      </w:r>
    </w:p>
    <w:p>
      <w:pPr>
        <w:pStyle w:val="BookText"/>
      </w:pPr>
      <w:r>
        <w:rPr>
          <w:rFonts w:ascii="IRNazanin" w:hAnsi="IRNazanin" w:eastAsia="IRNazanin" w:cs="IRNazanin"/>
          <w:lang w:bidi="fa-IR"/>
          <w:color w:val="111111"/>
          <w:sz w:val="28"/>
          <w:szCs w:val="28"/>
          <w:rtl/>
        </w:rPr>
        <w:t xml:space="preserve">تهران، دانشگاه؛ شماره نسخه: ۹۵۸/۵ -ف</w:t>
      </w:r>
    </w:p>
    <w:p>
      <w:pPr>
        <w:pStyle w:val="BookText"/>
      </w:pPr>
      <w:r>
        <w:rPr>
          <w:rFonts w:ascii="IRNazanin" w:hAnsi="IRNazanin" w:eastAsia="IRNazanin" w:cs="IRNazanin"/>
          <w:lang w:bidi="fa-IR"/>
          <w:color w:val="111111"/>
          <w:sz w:val="28"/>
          <w:szCs w:val="28"/>
          <w:rtl/>
        </w:rPr>
        <w:t xml:space="preserve">آغاز: بسمله. هذا تعليق من كتاب «منتخب صوان الحکمه». قيل أن للفلسفة مبدأ آخر غير المبدأ المنسوب الى اتاليس الملطى و ذلک من فیثاغورث. و قدیری أن المبادي هي الاعداد و المعادلات التي فيها. و كان يسمها تألیفات و يسمى المركب من جملة ذلك استقسات و هذا سيأتی ایضا؛ انجام: و منها الهياكل و رسالة سماها لغت موران و سفیر سیمرغ آواز پر جبرائیل و پرتونامه و رساله غربة الغربية وله معما اوتی من واقع العلوم و جوامع الحکم شعر أعذب من الماء لجاری و اطيب من المسك. تمت التعليقات و الحواشى هذه الحواشی ایضا بخط مولانا الشهيد المتبحر، افضل المتأخرین فیلسوف الروم (؟) فخر الدين ابراهيم الغضنفر (ق) نسخه اصل: ليدن ش ۱۳۳ شرقی گولیوس ۱۴۲۹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فهرست ۲۹۲/۲ / ش ۸۸۸)؛ كا: ابن غلام قونوی، تا: ۶۹۲ق؛ وگ (۳۵-۴۳) [فیلمها ف: ۱-۵۵۶]</w:t>
      </w:r>
    </w:p>
    <w:p>
      <w:pPr>
        <w:pStyle w:val="BookText"/>
      </w:pPr>
      <w:r>
        <w:rPr>
          <w:rFonts w:ascii="IRNazanin" w:hAnsi="IRNazanin" w:eastAsia="IRNazanin" w:cs="IRNazanin"/>
          <w:lang w:bidi="fa-IR"/>
          <w:color w:val="111111"/>
          <w:sz w:val="28"/>
          <w:szCs w:val="28"/>
          <w:rtl/>
        </w:rPr>
        <w:t xml:space="preserve">تهران؛ دائرة المعارف، شماره نسخه:۳۳۸/۴ -عکسی</w:t>
      </w:r>
    </w:p>
    <w:p>
      <w:pPr>
        <w:pStyle w:val="BookText"/>
      </w:pPr>
      <w:r>
        <w:rPr>
          <w:rFonts w:ascii="IRNazanin" w:hAnsi="IRNazanin" w:eastAsia="IRNazanin" w:cs="IRNazanin"/>
          <w:lang w:bidi="fa-IR"/>
          <w:color w:val="111111"/>
          <w:sz w:val="28"/>
          <w:szCs w:val="28"/>
          <w:rtl/>
        </w:rPr>
        <w:t xml:space="preserve">نسخه اصل: همان نسخه بالا [عکسی ف: ۲-۹۶]</w:t>
      </w:r>
    </w:p>
    <w:p>
      <w:pPr>
        <w:pStyle w:val="Heading3"/>
      </w:pPr>
      <w:bookmarkStart w:id="3028" w:name="_Toc2288"/>
      <w:r>
        <w:t>•التتمة في تواريخ الائمة / تاریخ معصومین / عربی</w:t>
      </w:r>
      <w:bookmarkEnd w:id="3028"/>
    </w:p>
    <w:p>
      <w:pPr>
        <w:pStyle w:val="BookText"/>
      </w:pPr>
      <w:r>
        <w:rPr>
          <w:rFonts w:ascii="Times New Roman" w:hAnsi="Times New Roman" w:eastAsia="Times New Roman" w:cs="Times New Roman"/>
          <w:lang w:val="en-US" w:bidi="en-US"/>
          <w:color w:val="111111"/>
          <w:sz w:val="28"/>
          <w:szCs w:val="28"/>
          <w:rtl/>
        </w:rPr>
        <w:t xml:space="preserve">at-tatimma fi tawarix-il a'imma</w:t>
      </w:r>
    </w:p>
    <w:p>
      <w:pPr>
        <w:pStyle w:val="BookText"/>
      </w:pPr>
      <w:r>
        <w:rPr>
          <w:rFonts w:ascii="IRNazanin" w:hAnsi="IRNazanin" w:eastAsia="IRNazanin" w:cs="IRNazanin"/>
          <w:lang w:bidi="fa-IR"/>
          <w:color w:val="111111"/>
          <w:sz w:val="28"/>
          <w:szCs w:val="28"/>
          <w:rtl/>
        </w:rPr>
        <w:t xml:space="preserve">حسینی عاملی، تاج الدين بن على، ق ۱۲ قمری</w:t>
      </w:r>
    </w:p>
    <w:p>
      <w:pPr>
        <w:pStyle w:val="BookText"/>
      </w:pPr>
      <w:r>
        <w:rPr>
          <w:rFonts w:ascii="Times New Roman" w:hAnsi="Times New Roman" w:eastAsia="Times New Roman" w:cs="Times New Roman"/>
          <w:lang w:val="en-US" w:bidi="en-US"/>
          <w:color w:val="111111"/>
          <w:sz w:val="28"/>
          <w:szCs w:val="28"/>
          <w:rtl/>
        </w:rPr>
        <w:t xml:space="preserve">hoseynī ‘āmelī, tāj-od-dīn ebn-e ‘alī (-180)</w:t>
      </w:r>
    </w:p>
    <w:p>
      <w:pPr>
        <w:pStyle w:val="BookText"/>
      </w:pPr>
      <w:r>
        <w:rPr>
          <w:rFonts w:ascii="IRNazanin" w:hAnsi="IRNazanin" w:eastAsia="IRNazanin" w:cs="IRNazanin"/>
          <w:lang w:bidi="fa-IR"/>
          <w:color w:val="111111"/>
          <w:sz w:val="28"/>
          <w:szCs w:val="28"/>
          <w:rtl/>
        </w:rPr>
        <w:t xml:space="preserve">تاریخ تأليف: ۱۰۱۸ق در مواليد و وفيات و اسماء و القاب و کنی و نقش نگین مبارکه</w:t>
      </w:r>
    </w:p>
    <w:p>
      <w:pPr>
        <w:pStyle w:val="BookText"/>
      </w:pPr>
      <w:r>
        <w:rPr>
          <w:rFonts w:ascii="IRNazanin" w:hAnsi="IRNazanin" w:eastAsia="IRNazanin" w:cs="IRNazanin"/>
          <w:lang w:bidi="fa-IR"/>
          <w:color w:val="111111"/>
          <w:sz w:val="28"/>
          <w:szCs w:val="28"/>
          <w:rtl/>
        </w:rPr>
        <w:t xml:space="preserve">چهارده معصوم است مشتمل بر چهارده «فصل»: الفصل الأول في النبي صلى الله عليه و آله مولده بمكة ... الفصل الرابع عشر في الامام الثاني عشر.</w:t>
      </w:r>
    </w:p>
    <w:p>
      <w:pPr>
        <w:pStyle w:val="BookText"/>
      </w:pPr>
      <w:r>
        <w:rPr>
          <w:rFonts w:ascii="IRNazanin" w:hAnsi="IRNazanin" w:eastAsia="IRNazanin" w:cs="IRNazanin"/>
          <w:lang w:bidi="fa-IR"/>
          <w:color w:val="111111"/>
          <w:sz w:val="28"/>
          <w:szCs w:val="28"/>
          <w:rtl/>
        </w:rPr>
        <w:t xml:space="preserve">مشهد؛ رضوی؛ شماره نسخه: ۱۹۳۵</w:t>
      </w:r>
    </w:p>
    <w:p>
      <w:pPr>
        <w:pStyle w:val="BookText"/>
      </w:pPr>
      <w:r>
        <w:rPr>
          <w:rFonts w:ascii="IRNazanin" w:hAnsi="IRNazanin" w:eastAsia="IRNazanin" w:cs="IRNazanin"/>
          <w:lang w:bidi="fa-IR"/>
          <w:color w:val="111111"/>
          <w:sz w:val="28"/>
          <w:szCs w:val="28"/>
          <w:rtl/>
        </w:rPr>
        <w:t xml:space="preserve">آغاز: الحمدلله الذي ختم نبينا صلى الله عليه و آله جميع الأنبياء و باوصیائه جميع الاوصياء و خط لهم على عرشه احسن الاسماء و اختار للائمة عدد النقباء صلوات الله عليهم في جميع الأوقات و الأناء صلوة تنعش قلوب الاولیاء و تكسر رقاب الأعداء و سلم تسلیما انجام: ثم انتبهت و هي قايلة بالاسلام ثم أتاها العسكري بعد ذلك في ناقص و تا قدری از آخر فصل چهاردهم را دارد؛ خط: نسخ، كا: حاج میرزا محمد مهدی عماد المحققين، تا: ذیحجه ۱۳۲۳ق، جان مشهد؛ افتادگی: انجام؛ واقف: فهرستی، تیر ۱۳۱۰؛ کاغذ: مشقی، جلد: مقوا با روکش پارچه، ۲۷گ، ۲۰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۵-۶۴]</w:t>
      </w:r>
    </w:p>
    <w:p>
      <w:pPr>
        <w:pStyle w:val="Heading3"/>
      </w:pPr>
      <w:bookmarkStart w:id="3029" w:name="_Toc2289"/>
      <w:r>
        <w:t>•تتمه قرابادین شفائی/ طب / فارسی</w:t>
      </w:r>
      <w:bookmarkEnd w:id="3029"/>
    </w:p>
    <w:p>
      <w:pPr>
        <w:pStyle w:val="BookText"/>
      </w:pPr>
      <w:r>
        <w:rPr>
          <w:rFonts w:ascii="Times New Roman" w:hAnsi="Times New Roman" w:eastAsia="Times New Roman" w:cs="Times New Roman"/>
          <w:lang w:val="en-US" w:bidi="en-US"/>
          <w:color w:val="111111"/>
          <w:sz w:val="28"/>
          <w:szCs w:val="28"/>
          <w:rtl/>
        </w:rPr>
        <w:t xml:space="preserve">tatemme-ye qarābādīn-e šafā'ī</w:t>
      </w:r>
    </w:p>
    <w:p>
      <w:pPr>
        <w:pStyle w:val="BookText"/>
      </w:pPr>
      <w:r>
        <w:rPr>
          <w:rFonts w:ascii="IRNazanin" w:hAnsi="IRNazanin" w:eastAsia="IRNazanin" w:cs="IRNazanin"/>
          <w:lang w:bidi="fa-IR"/>
          <w:color w:val="111111"/>
          <w:sz w:val="28"/>
          <w:szCs w:val="28"/>
          <w:rtl/>
        </w:rPr>
        <w:t xml:space="preserve">وابسته به: قرابادین شفائی = مرکبات شفائی = قرابادین مظفری = طب شفائی شفائی، مظفر بن محمد (۹۶۳) تتمه قرابادین است و همانند آن مرتب بر اساس حروف.</w:t>
      </w:r>
    </w:p>
    <w:p>
      <w:pPr>
        <w:pStyle w:val="BookText"/>
      </w:pPr>
      <w:r>
        <w:rPr>
          <w:rFonts w:ascii="IRNazanin" w:hAnsi="IRNazanin" w:eastAsia="IRNazanin" w:cs="IRNazanin"/>
          <w:lang w:bidi="fa-IR"/>
          <w:color w:val="111111"/>
          <w:sz w:val="28"/>
          <w:szCs w:val="28"/>
          <w:rtl/>
        </w:rPr>
        <w:t xml:space="preserve">مشهد؛ شیخ علی حیدر، شماره نسخه:۶۶۸/۵</w:t>
      </w:r>
    </w:p>
    <w:p>
      <w:pPr>
        <w:pStyle w:val="BookText"/>
      </w:pPr>
      <w:r>
        <w:rPr>
          <w:rFonts w:ascii="IRNazanin" w:hAnsi="IRNazanin" w:eastAsia="IRNazanin" w:cs="IRNazanin"/>
          <w:lang w:bidi="fa-IR"/>
          <w:color w:val="111111"/>
          <w:sz w:val="28"/>
          <w:szCs w:val="28"/>
          <w:rtl/>
        </w:rPr>
        <w:t xml:space="preserve">آغاز: باب الالف: انوش، داروی لؤلؤ کبیر که اعضا رئیسه را قوت بخشید؛ انجام: هر روز ده مثقال با عرق بید مشک بخورند خط: نستعلیق، کا: محمد بن جعفر حسینی طهرانی، تا: ۱۲۴۴ق؛ جلد: چرم قرمز، ۲۷گ (۲۰۷ر -۱۲۳۳)، ۲۲ سطر، اندازه: ۱۴</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۲۱/۵سم [ مؤيد: ۲-۱۷۶]</w:t>
      </w:r>
    </w:p>
    <w:p>
      <w:pPr>
        <w:pStyle w:val="Heading3"/>
      </w:pPr>
      <w:bookmarkStart w:id="3030" w:name="_Toc2290"/>
      <w:r>
        <w:t>• تتمه قرانات / هیأت / فارسی</w:t>
      </w:r>
      <w:bookmarkEnd w:id="3030"/>
    </w:p>
    <w:p>
      <w:pPr>
        <w:pStyle w:val="BookText"/>
      </w:pPr>
      <w:r>
        <w:rPr>
          <w:rFonts w:ascii="Times New Roman" w:hAnsi="Times New Roman" w:eastAsia="Times New Roman" w:cs="Times New Roman"/>
          <w:lang w:val="en-US" w:bidi="en-US"/>
          <w:color w:val="111111"/>
          <w:sz w:val="28"/>
          <w:szCs w:val="28"/>
          <w:rtl/>
        </w:rPr>
        <w:t xml:space="preserve">tatemme-ye qerānāt</w:t>
      </w:r>
    </w:p>
    <w:p>
      <w:pPr>
        <w:pStyle w:val="BookText"/>
      </w:pPr>
      <w:r>
        <w:rPr>
          <w:rFonts w:ascii="IRNazanin" w:hAnsi="IRNazanin" w:eastAsia="IRNazanin" w:cs="IRNazanin"/>
          <w:lang w:bidi="fa-IR"/>
          <w:color w:val="111111"/>
          <w:sz w:val="28"/>
          <w:szCs w:val="28"/>
          <w:rtl/>
        </w:rPr>
        <w:t xml:space="preserve">بکرانی، محمد بن نجيب، ق۷ قمری</w:t>
      </w:r>
    </w:p>
    <w:p>
      <w:pPr>
        <w:pStyle w:val="BookText"/>
      </w:pPr>
      <w:r>
        <w:rPr>
          <w:rFonts w:ascii="Times New Roman" w:hAnsi="Times New Roman" w:eastAsia="Times New Roman" w:cs="Times New Roman"/>
          <w:lang w:val="en-US" w:bidi="en-US"/>
          <w:color w:val="111111"/>
          <w:sz w:val="28"/>
          <w:szCs w:val="28"/>
          <w:rtl/>
        </w:rPr>
        <w:t xml:space="preserve">bakrānī, mohammad ebn-e najīb (-13c)</w:t>
      </w:r>
    </w:p>
    <w:p>
      <w:pPr>
        <w:pStyle w:val="BookText"/>
      </w:pPr>
      <w:r>
        <w:rPr>
          <w:rFonts w:ascii="IRNazanin" w:hAnsi="IRNazanin" w:eastAsia="IRNazanin" w:cs="IRNazanin"/>
          <w:lang w:bidi="fa-IR"/>
          <w:color w:val="111111"/>
          <w:sz w:val="28"/>
          <w:szCs w:val="28"/>
          <w:rtl/>
        </w:rPr>
        <w:t xml:space="preserve">وابسته به: اتصالات کواکب = قرانات؛ ابو معشر فلکی، جعفر بن محمد (۱۷۲-۲۷۲) تتمه قرانات ابو معشر بلخی است در ۸۶۰ تا ۱۰۸۰ ق. آغاز: حمد له. اما بعد این رساله تتمه قرانات حکیم فاضل محمد بکرانی رح است ...</w:t>
      </w:r>
    </w:p>
    <w:p>
      <w:pPr>
        <w:pStyle w:val="BookText"/>
      </w:pPr>
      <w:r>
        <w:rPr>
          <w:rFonts w:ascii="IRNazanin" w:hAnsi="IRNazanin" w:eastAsia="IRNazanin" w:cs="IRNazanin"/>
          <w:lang w:bidi="fa-IR"/>
          <w:color w:val="111111"/>
          <w:sz w:val="28"/>
          <w:szCs w:val="28"/>
          <w:rtl/>
        </w:rPr>
        <w:t xml:space="preserve">[فهرستواره منزوی ۲۸۳۹/۴ ]</w:t>
      </w:r>
    </w:p>
    <w:p>
      <w:pPr>
        <w:pStyle w:val="BookText"/>
      </w:pPr>
      <w:r>
        <w:rPr>
          <w:rFonts w:ascii="IRNazanin" w:hAnsi="IRNazanin" w:eastAsia="IRNazanin" w:cs="IRNazanin"/>
          <w:lang w:bidi="fa-IR"/>
          <w:color w:val="111111"/>
          <w:sz w:val="28"/>
          <w:szCs w:val="28"/>
          <w:rtl/>
        </w:rPr>
        <w:t xml:space="preserve">تهران؛ دانشگاه، شماره نسخه:۱۳۲۸/۳ -ف</w:t>
      </w:r>
    </w:p>
    <w:p>
      <w:pPr>
        <w:pStyle w:val="BookText"/>
      </w:pPr>
      <w:r>
        <w:rPr>
          <w:rFonts w:ascii="IRNazanin" w:hAnsi="IRNazanin" w:eastAsia="IRNazanin" w:cs="IRNazanin"/>
          <w:lang w:bidi="fa-IR"/>
          <w:color w:val="111111"/>
          <w:sz w:val="28"/>
          <w:szCs w:val="28"/>
          <w:rtl/>
        </w:rPr>
        <w:t xml:space="preserve">نسخه اصل: پاریس 1488 .</w:t>
      </w:r>
      <w:r>
        <w:rPr>
          <w:rFonts w:ascii="Times New Roman" w:hAnsi="Times New Roman" w:eastAsia="Times New Roman" w:cs="Times New Roman"/>
          <w:lang w:val="en-US" w:bidi="en-US"/>
          <w:color w:val="111111"/>
          <w:sz w:val="28"/>
          <w:szCs w:val="28"/>
          <w:rtl/>
        </w:rPr>
        <w:t xml:space="preserve">S. P</w:t>
      </w:r>
      <w:r>
        <w:rPr>
          <w:rFonts w:ascii="IRNazanin" w:hAnsi="IRNazanin" w:eastAsia="IRNazanin" w:cs="IRNazanin"/>
          <w:lang w:bidi="fa-IR"/>
          <w:color w:val="111111"/>
          <w:sz w:val="28"/>
          <w:szCs w:val="28"/>
          <w:rtl/>
        </w:rPr>
        <w:t xml:space="preserve">؛ بی کا، بی تا [فيلمها ف: ۱-۵۹۶]
</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bookmarkStart w:id="698" w:name="pg20363_210050"/>
    <w:bookmarkEnd w:id="698"/>
    <w:p>
      <w:pPr>
        <w:pStyle w:val="Heading3"/>
      </w:pPr>
      <w:bookmarkStart w:id="3031" w:name="_Toc2291"/>
      <w:r>
        <w:t>•تتمة قرباذين / طب / عربی</w:t>
      </w:r>
      <w:bookmarkEnd w:id="3031"/>
    </w:p>
    <w:p>
      <w:pPr>
        <w:pStyle w:val="BookText"/>
      </w:pPr>
      <w:r>
        <w:rPr>
          <w:rFonts w:ascii="Times New Roman" w:hAnsi="Times New Roman" w:eastAsia="Times New Roman" w:cs="Times New Roman"/>
          <w:lang w:val="en-US" w:bidi="en-US"/>
          <w:color w:val="111111"/>
          <w:sz w:val="28"/>
          <w:szCs w:val="28"/>
          <w:rtl/>
        </w:rPr>
        <w:t xml:space="preserve">tatimmat-u qarbādīn</w:t>
      </w:r>
    </w:p>
    <w:p>
      <w:pPr>
        <w:pStyle w:val="BookText"/>
      </w:pPr>
      <w:r>
        <w:rPr>
          <w:rFonts w:ascii="IRNazanin" w:hAnsi="IRNazanin" w:eastAsia="IRNazanin" w:cs="IRNazanin"/>
          <w:lang w:bidi="fa-IR"/>
          <w:color w:val="111111"/>
          <w:sz w:val="28"/>
          <w:szCs w:val="28"/>
          <w:rtl/>
        </w:rPr>
        <w:t xml:space="preserve">سمرقندی، محمد بن علی، ۶۱۹ قمری</w:t>
      </w:r>
    </w:p>
    <w:p>
      <w:pPr>
        <w:pStyle w:val="BookText"/>
      </w:pPr>
      <w:r>
        <w:rPr>
          <w:rFonts w:ascii="Times New Roman" w:hAnsi="Times New Roman" w:eastAsia="Times New Roman" w:cs="Times New Roman"/>
          <w:lang w:val="en-US" w:bidi="en-US"/>
          <w:color w:val="111111"/>
          <w:sz w:val="28"/>
          <w:szCs w:val="28"/>
          <w:rtl/>
        </w:rPr>
        <w:t xml:space="preserve">samarqandī, mohammad ebn-e ‘alī (-1223)</w:t>
      </w:r>
    </w:p>
    <w:p>
      <w:pPr>
        <w:pStyle w:val="BookText"/>
      </w:pPr>
      <w:r>
        <w:rPr>
          <w:rFonts w:ascii="IRNazanin" w:hAnsi="IRNazanin" w:eastAsia="IRNazanin" w:cs="IRNazanin"/>
          <w:lang w:bidi="fa-IR"/>
          <w:color w:val="111111"/>
          <w:sz w:val="28"/>
          <w:szCs w:val="28"/>
          <w:rtl/>
        </w:rPr>
        <w:t xml:space="preserve">تهران؛ دانشگاه؛ شماره نسخه: ۷۸۱۵/۲</w:t>
      </w:r>
    </w:p>
    <w:p>
      <w:pPr>
        <w:pStyle w:val="BookText"/>
      </w:pPr>
      <w:r>
        <w:rPr>
          <w:rFonts w:ascii="IRNazanin" w:hAnsi="IRNazanin" w:eastAsia="IRNazanin" w:cs="IRNazanin"/>
          <w:lang w:bidi="fa-IR"/>
          <w:color w:val="111111"/>
          <w:sz w:val="28"/>
          <w:szCs w:val="28"/>
          <w:rtl/>
        </w:rPr>
        <w:t xml:space="preserve">خط: نسخ ریز، كا: عبد الصمد بن احمد بن مسعود بن ابی بکر بن عبدالکریم بن ابی سعید تستری معروف به بنده، تا: سه شنبه ۲۲ ذیحجه ۶۸۵ق؛ کاغذ: سمرقندی، جلد: تیماج آلبالویی، ۱۰ص، 19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۱۶-۷۱۴]</w:t>
      </w:r>
    </w:p>
    <w:p>
      <w:pPr>
        <w:pStyle w:val="Heading3"/>
      </w:pPr>
      <w:bookmarkStart w:id="3032" w:name="_Toc2292"/>
      <w:r>
        <w:t>•تتمة كتاب البلغة / لغت عربی، فارسی</w:t>
      </w:r>
      <w:bookmarkEnd w:id="3032"/>
    </w:p>
    <w:p>
      <w:pPr>
        <w:pStyle w:val="BookText"/>
      </w:pPr>
      <w:r>
        <w:rPr>
          <w:rFonts w:ascii="Times New Roman" w:hAnsi="Times New Roman" w:eastAsia="Times New Roman" w:cs="Times New Roman"/>
          <w:lang w:val="en-US" w:bidi="en-US"/>
          <w:color w:val="111111"/>
          <w:sz w:val="28"/>
          <w:szCs w:val="28"/>
          <w:rtl/>
        </w:rPr>
        <w:t xml:space="preserve">tatimmat-u k.-il balaga</w:t>
      </w:r>
    </w:p>
    <w:p>
      <w:pPr>
        <w:pStyle w:val="BookText"/>
      </w:pPr>
      <w:r>
        <w:rPr>
          <w:rFonts w:ascii="IRNazanin" w:hAnsi="IRNazanin" w:eastAsia="IRNazanin" w:cs="IRNazanin"/>
          <w:lang w:bidi="fa-IR"/>
          <w:color w:val="111111"/>
          <w:sz w:val="28"/>
          <w:szCs w:val="28"/>
          <w:rtl/>
        </w:rPr>
        <w:t xml:space="preserve">فنجکردی، علی بن احمد، ۴۳۳-۵۱۳؟ قمری</w:t>
      </w:r>
    </w:p>
    <w:p>
      <w:pPr>
        <w:pStyle w:val="BookText"/>
      </w:pPr>
      <w:r>
        <w:rPr>
          <w:rFonts w:ascii="Times New Roman" w:hAnsi="Times New Roman" w:eastAsia="Times New Roman" w:cs="Times New Roman"/>
          <w:lang w:val="en-US" w:bidi="en-US"/>
          <w:color w:val="111111"/>
          <w:sz w:val="28"/>
          <w:szCs w:val="28"/>
          <w:rtl/>
        </w:rPr>
        <w:t xml:space="preserve">fanjokerdī, ‘alī ebn-e ahmad (1042-1120)</w:t>
      </w:r>
    </w:p>
    <w:p>
      <w:pPr>
        <w:pStyle w:val="BookText"/>
      </w:pPr>
      <w:r>
        <w:rPr>
          <w:rFonts w:ascii="IRNazanin" w:hAnsi="IRNazanin" w:eastAsia="IRNazanin" w:cs="IRNazanin"/>
          <w:lang w:bidi="fa-IR"/>
          <w:color w:val="111111"/>
          <w:sz w:val="28"/>
          <w:szCs w:val="28"/>
          <w:rtl/>
        </w:rPr>
        <w:t xml:space="preserve">وابسته به: البلغة المترجمة في اللغة؛ کردی نیشابوری، یعقوب بن احمد (-۴۷۴ق) در ۸۴ لغت در چند فصل. فارسی به عربی.</w:t>
      </w:r>
    </w:p>
    <w:p>
      <w:pPr>
        <w:pStyle w:val="BookText"/>
      </w:pPr>
      <w:r>
        <w:rPr>
          <w:rFonts w:ascii="IRNazanin" w:hAnsi="IRNazanin" w:eastAsia="IRNazanin" w:cs="IRNazanin"/>
          <w:lang w:bidi="fa-IR"/>
          <w:color w:val="111111"/>
          <w:sz w:val="28"/>
          <w:szCs w:val="28"/>
          <w:rtl/>
        </w:rPr>
        <w:t xml:space="preserve">تهران، دانشگاه؛ شماره نسخه:۳۴۳۳/۲ -ف</w:t>
      </w:r>
    </w:p>
    <w:p>
      <w:pPr>
        <w:pStyle w:val="BookText"/>
      </w:pPr>
      <w:r>
        <w:rPr>
          <w:rFonts w:ascii="IRNazanin" w:hAnsi="IRNazanin" w:eastAsia="IRNazanin" w:cs="IRNazanin"/>
          <w:lang w:bidi="fa-IR"/>
          <w:color w:val="111111"/>
          <w:sz w:val="28"/>
          <w:szCs w:val="28"/>
          <w:rtl/>
        </w:rPr>
        <w:t xml:space="preserve">نسخه اصل: چستربیتی ۳۰۵ (۷۱/۳)؛ خط: نسخ، كا: عبدالملک، تا: ۲۵ شوال ۶۶۸ق؛ در آن آمده «قال الكاتب [الچلبي في الاسامي: البلغة المترجمة في اللغة لنوح بن مصطفى القاضی بقونية» انتهى و الله اعلم بالصواب»؛ تملك: ابوبکر بن رستم بن احمد شروانی، ابوالخیر احمد، موسی زاده محمد عبدالله. [فیلمها ف: ۲ -۱۴۲ ]</w:t>
      </w:r>
    </w:p>
    <w:p>
      <w:pPr>
        <w:pStyle w:val="BookText"/>
      </w:pPr>
      <w:r>
        <w:rPr>
          <w:rFonts w:ascii="IRNazanin" w:hAnsi="IRNazanin" w:eastAsia="IRNazanin" w:cs="IRNazanin"/>
          <w:lang w:bidi="fa-IR"/>
          <w:color w:val="111111"/>
          <w:sz w:val="28"/>
          <w:szCs w:val="28"/>
          <w:rtl/>
        </w:rPr>
        <w:t xml:space="preserve">تهران؛ مطالعات فرهنگی؛ شماره نسخه: ف 79/2وف 80/2</w:t>
      </w:r>
    </w:p>
    <w:p>
      <w:pPr>
        <w:pStyle w:val="BookText"/>
      </w:pPr>
      <w:r>
        <w:rPr>
          <w:rFonts w:ascii="IRNazanin" w:hAnsi="IRNazanin" w:eastAsia="IRNazanin" w:cs="IRNazanin"/>
          <w:lang w:bidi="fa-IR"/>
          <w:color w:val="111111"/>
          <w:sz w:val="28"/>
          <w:szCs w:val="28"/>
          <w:rtl/>
        </w:rPr>
        <w:t xml:space="preserve">همان نسخه بالا [ف: ۱۸۳]</w:t>
      </w:r>
    </w:p>
    <w:p>
      <w:pPr>
        <w:pStyle w:val="Heading3"/>
      </w:pPr>
      <w:bookmarkStart w:id="3033" w:name="_Toc2293"/>
      <w:r>
        <w:t>•تتمة كتاب مجمع الفصاحتين في فضائل امیر المؤمنين / حديث / عربی</w:t>
      </w:r>
      <w:bookmarkEnd w:id="3033"/>
    </w:p>
    <w:p>
      <w:pPr>
        <w:pStyle w:val="BookText"/>
      </w:pPr>
      <w:r>
        <w:rPr>
          <w:rFonts w:ascii="Times New Roman" w:hAnsi="Times New Roman" w:eastAsia="Times New Roman" w:cs="Times New Roman"/>
          <w:lang w:val="en-US" w:bidi="en-US"/>
          <w:color w:val="111111"/>
          <w:sz w:val="28"/>
          <w:szCs w:val="28"/>
          <w:rtl/>
        </w:rPr>
        <w:t xml:space="preserve">tatimmat-uk.-i majma-il fasahatayn fi fada'il-i amir il-mu'minīn</w:t>
      </w:r>
    </w:p>
    <w:p>
      <w:pPr>
        <w:pStyle w:val="BookText"/>
      </w:pPr>
      <w:r>
        <w:rPr>
          <w:rFonts w:ascii="IRNazanin" w:hAnsi="IRNazanin" w:eastAsia="IRNazanin" w:cs="IRNazanin"/>
          <w:lang w:bidi="fa-IR"/>
          <w:color w:val="111111"/>
          <w:sz w:val="28"/>
          <w:szCs w:val="28"/>
          <w:rtl/>
        </w:rPr>
        <w:t xml:space="preserve">تهران، دانشگاه؛ شماره نسخه: ۴۶۲/۱۰۶ (آ)- ۴۶۳/۱۰۶ (ب)-ف</w:t>
      </w:r>
    </w:p>
    <w:p>
      <w:pPr>
        <w:pStyle w:val="BookText"/>
      </w:pPr>
      <w:r>
        <w:rPr>
          <w:rFonts w:ascii="IRNazanin" w:hAnsi="IRNazanin" w:eastAsia="IRNazanin" w:cs="IRNazanin"/>
          <w:lang w:bidi="fa-IR"/>
          <w:color w:val="111111"/>
          <w:sz w:val="28"/>
          <w:szCs w:val="28"/>
          <w:rtl/>
        </w:rPr>
        <w:t xml:space="preserve">نسخه اصل: کوپرولوش ۱۵۸۹؛ بی کا، تا: با تاریخ ۷۵۶ق؛ در هامش؛ ۳گ (۳۸۳ر- ۳۸۵ر) [فيلمها ف: ۱-۴۸۶]</w:t>
      </w:r>
    </w:p>
    <w:p>
      <w:pPr>
        <w:pStyle w:val="Heading3"/>
      </w:pPr>
      <w:bookmarkStart w:id="3034" w:name="_Toc2294"/>
      <w:r>
        <w:t>•تتمة كنز الحكمة / کیمیا / عربی</w:t>
      </w:r>
      <w:bookmarkEnd w:id="3034"/>
    </w:p>
    <w:p>
      <w:pPr>
        <w:pStyle w:val="BookText"/>
      </w:pPr>
      <w:r>
        <w:rPr>
          <w:rFonts w:ascii="Times New Roman" w:hAnsi="Times New Roman" w:eastAsia="Times New Roman" w:cs="Times New Roman"/>
          <w:lang w:val="en-US" w:bidi="en-US"/>
          <w:color w:val="111111"/>
          <w:sz w:val="28"/>
          <w:szCs w:val="28"/>
          <w:rtl/>
        </w:rPr>
        <w:t xml:space="preserve">tatimmat-u kanz-il hikma</w:t>
      </w:r>
    </w:p>
    <w:p>
      <w:pPr>
        <w:pStyle w:val="BookText"/>
      </w:pPr>
      <w:r>
        <w:rPr>
          <w:rFonts w:ascii="IRNazanin" w:hAnsi="IRNazanin" w:eastAsia="IRNazanin" w:cs="IRNazanin"/>
          <w:lang w:bidi="fa-IR"/>
          <w:color w:val="111111"/>
          <w:sz w:val="28"/>
          <w:szCs w:val="28"/>
          <w:rtl/>
        </w:rPr>
        <w:t xml:space="preserve">ابن مسکویه، احمد بن محمد، ۳۲۰-۴۲۱ قمری</w:t>
      </w:r>
    </w:p>
    <w:p>
      <w:pPr>
        <w:pStyle w:val="BookText"/>
      </w:pPr>
      <w:r>
        <w:rPr>
          <w:rFonts w:ascii="Times New Roman" w:hAnsi="Times New Roman" w:eastAsia="Times New Roman" w:cs="Times New Roman"/>
          <w:lang w:val="en-US" w:bidi="en-US"/>
          <w:color w:val="111111"/>
          <w:sz w:val="28"/>
          <w:szCs w:val="28"/>
          <w:rtl/>
        </w:rPr>
        <w:t xml:space="preserve">ebn-e meskavayh, ahmad ebn-e mohammad (933 1031)</w:t>
      </w:r>
    </w:p>
    <w:p>
      <w:pPr>
        <w:pStyle w:val="BookText"/>
      </w:pPr>
      <w:r>
        <w:rPr>
          <w:rFonts w:ascii="IRNazanin" w:hAnsi="IRNazanin" w:eastAsia="IRNazanin" w:cs="IRNazanin"/>
          <w:lang w:bidi="fa-IR"/>
          <w:color w:val="111111"/>
          <w:sz w:val="28"/>
          <w:szCs w:val="28"/>
          <w:rtl/>
        </w:rPr>
        <w:t xml:space="preserve">وابسته به: کنز الحكمة في علم الصنعة الالهية؛ ابن وحشیه، احمد بن على (۲۹۶) در قانون باب الاعظم</w:t>
      </w:r>
    </w:p>
    <w:p>
      <w:pPr>
        <w:pStyle w:val="BookText"/>
      </w:pPr>
      <w:r>
        <w:rPr>
          <w:rFonts w:ascii="IRNazanin" w:hAnsi="IRNazanin" w:eastAsia="IRNazanin" w:cs="IRNazanin"/>
          <w:lang w:bidi="fa-IR"/>
          <w:color w:val="111111"/>
          <w:sz w:val="28"/>
          <w:szCs w:val="28"/>
          <w:rtl/>
        </w:rPr>
        <w:t xml:space="preserve">مشهد؛ رضوی؛ شماره نسخه:ض۱۴۱۴۸</w:t>
      </w:r>
    </w:p>
    <w:p>
      <w:pPr>
        <w:pStyle w:val="BookText"/>
      </w:pPr>
      <w:r>
        <w:rPr>
          <w:rFonts w:ascii="IRNazanin" w:hAnsi="IRNazanin" w:eastAsia="IRNazanin" w:cs="IRNazanin"/>
          <w:lang w:bidi="fa-IR"/>
          <w:color w:val="111111"/>
          <w:sz w:val="28"/>
          <w:szCs w:val="28"/>
          <w:rtl/>
        </w:rPr>
        <w:t xml:space="preserve">آغاز: بسنله الحمد اللو ج العالمين؛ انجام: فانه مقيد بقیدین و السلام خط: نستعلیق، بی کا، تا: ۱۲۷۵ق؛ کاغذ: حنایی، جلد: میشن، ۱۷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[الفبائی: 103]</w:t>
      </w:r>
    </w:p>
    <w:p>
      <w:pPr>
        <w:pStyle w:val="Heading3"/>
      </w:pPr>
      <w:bookmarkStart w:id="3035" w:name="_Toc2295"/>
      <w:r>
        <w:t>•تتمة اللغات = فرهنگ لغات غريبه تاریخ وصاف / لغت / فارسی</w:t>
      </w:r>
      <w:bookmarkEnd w:id="3035"/>
    </w:p>
    <w:p>
      <w:pPr>
        <w:pStyle w:val="BookText"/>
      </w:pPr>
      <w:r>
        <w:rPr>
          <w:rFonts w:ascii="Times New Roman" w:hAnsi="Times New Roman" w:eastAsia="Times New Roman" w:cs="Times New Roman"/>
          <w:lang w:val="en-US" w:bidi="en-US"/>
          <w:color w:val="111111"/>
          <w:sz w:val="28"/>
          <w:szCs w:val="28"/>
          <w:rtl/>
        </w:rPr>
        <w:t xml:space="preserve">tatemmat-ol loqāt = farhang-e loqāt-e qarībe-ye tārīx-e vassāf</w:t>
      </w:r>
    </w:p>
    <w:p>
      <w:pPr>
        <w:pStyle w:val="BookText"/>
      </w:pPr>
      <w:r>
        <w:rPr>
          <w:rFonts w:ascii="IRNazanin" w:hAnsi="IRNazanin" w:eastAsia="IRNazanin" w:cs="IRNazanin"/>
          <w:lang w:bidi="fa-IR"/>
          <w:color w:val="111111"/>
          <w:sz w:val="28"/>
          <w:szCs w:val="28"/>
          <w:rtl/>
        </w:rPr>
        <w:t xml:space="preserve">وابسته به تجزية الأمصار و تزجية الاعصار = تاریخ وصاف = تجزية الأمصار و ترجمة الاعصار؛ وصاف الحضره، عبدالله بن فضل الله (۶۶۳- ۷۳۰) در دنبال «تاریخ وصاف» آمده و واژه های دشوار آن را گزارش داده و به کمک و از روی «قاموس» و «کنز» و «منتخب اللغة» و شمس اللغة» و جهانگیری و «برهان» و «فرهنگ ترکی و مغولی» ساخته شده، و در آن می گوید: که معنی چند کلمه ترکی و عربی و مغولی به دست نیامده است. آغاز: حرف الألف. آبی: انکار کننده است، آجام بمعنی نیستان است انجام: لغات نایاب ترکی نیز اضطرارا ترک نموده. چاپ: در بمبئی به چاپ رسیده</w:t>
      </w:r>
    </w:p>
    <w:p>
      <w:pPr>
        <w:pStyle w:val="BookText"/>
      </w:pPr>
      <w:r>
        <w:rPr>
          <w:rFonts w:ascii="IRNazanin" w:hAnsi="IRNazanin" w:eastAsia="IRNazanin" w:cs="IRNazanin"/>
          <w:lang w:bidi="fa-IR"/>
          <w:color w:val="111111"/>
          <w:sz w:val="28"/>
          <w:szCs w:val="28"/>
          <w:rtl/>
        </w:rPr>
        <w:t xml:space="preserve">۱. تهران: ملک؛ شماره نسخه:۲۹۳۱/۹</w:t>
      </w:r>
    </w:p>
    <w:p>
      <w:pPr>
        <w:pStyle w:val="BookText"/>
      </w:pPr>
      <w:r>
        <w:rPr>
          <w:rFonts w:ascii="IRNazanin" w:hAnsi="IRNazanin" w:eastAsia="IRNazanin" w:cs="IRNazanin"/>
          <w:lang w:bidi="fa-IR"/>
          <w:color w:val="111111"/>
          <w:sz w:val="28"/>
          <w:szCs w:val="28"/>
          <w:rtl/>
        </w:rPr>
        <w:t xml:space="preserve">خط: شکسته نستعلیق خوش، بی کا، تا: قرن ۱۳، ۲۸گ (۳۳پ۔ ۶۰ر) [ف: ۶-۱۶۸]</w:t>
      </w:r>
    </w:p>
    <w:p>
      <w:pPr>
        <w:pStyle w:val="BookText"/>
      </w:pPr>
      <w:r>
        <w:rPr>
          <w:rFonts w:ascii="IRNazanin" w:hAnsi="IRNazanin" w:eastAsia="IRNazanin" w:cs="IRNazanin"/>
          <w:lang w:bidi="fa-IR"/>
          <w:color w:val="111111"/>
          <w:sz w:val="28"/>
          <w:szCs w:val="28"/>
          <w:rtl/>
        </w:rPr>
        <w:t xml:space="preserve">۲. تهران؛ مجلس؛ شماره نسخه: ۱۴۶۷۴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کا: محمد صالح امیری رودباری، تا: شنبه ۸ جمادی الثانی ۱۲۹۸ق، جا: قريه كلیجان = گلیجان از اعمال تنکابن در اطاق سرکار عباس آقا نائب الحكومه؛ جلد: چرم قهوه ای، ۶۰گ، ۱۴سطر، اندازه: ۱۳/۳</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۲۲/۲سم [ف: ۱۵۳۴۱]</w:t>
      </w:r>
    </w:p>
    <w:p>
      <w:pPr>
        <w:pStyle w:val="BookText"/>
      </w:pPr>
      <w:r>
        <w:rPr>
          <w:rFonts w:ascii="IRNazanin" w:hAnsi="IRNazanin" w:eastAsia="IRNazanin" w:cs="IRNazanin"/>
          <w:lang w:bidi="fa-IR"/>
          <w:color w:val="111111"/>
          <w:sz w:val="28"/>
          <w:szCs w:val="28"/>
          <w:rtl/>
        </w:rPr>
        <w:t xml:space="preserve">٣. تهران؛ سپهسالار؛ شماره نسخه: ۱۶۷۶/۲</w:t>
      </w:r>
    </w:p>
    <w:p>
      <w:pPr>
        <w:pStyle w:val="BookText"/>
      </w:pPr>
      <w:r>
        <w:rPr>
          <w:rFonts w:ascii="IRNazanin" w:hAnsi="IRNazanin" w:eastAsia="IRNazanin" w:cs="IRNazanin"/>
          <w:lang w:bidi="fa-IR"/>
          <w:color w:val="111111"/>
          <w:sz w:val="28"/>
          <w:szCs w:val="28"/>
          <w:rtl/>
        </w:rPr>
        <w:t xml:space="preserve">آغاز و انجام: برابر بی کا، بی تا؛ ۲۸گ (۴۵۷پ -۴۸۴پ) [ف: ۳-۳۱۴]</w:t>
      </w:r>
    </w:p>
    <w:p>
      <w:pPr>
        <w:pStyle w:val="Heading3"/>
      </w:pPr>
      <w:bookmarkStart w:id="3036" w:name="_Toc2296"/>
      <w:r>
        <w:t>•التتمة لمعرفة الأئمة = تتمة مناقب الائمة = اربع عشریات = تتمة الرسائل / شعر / عربی</w:t>
      </w:r>
      <w:bookmarkEnd w:id="3036"/>
    </w:p>
    <w:p>
      <w:pPr>
        <w:pStyle w:val="BookText"/>
      </w:pPr>
      <w:r>
        <w:rPr>
          <w:rFonts w:ascii="Times New Roman" w:hAnsi="Times New Roman" w:eastAsia="Times New Roman" w:cs="Times New Roman"/>
          <w:lang w:val="en-US" w:bidi="en-US"/>
          <w:color w:val="111111"/>
          <w:sz w:val="28"/>
          <w:szCs w:val="28"/>
          <w:rtl/>
        </w:rPr>
        <w:t xml:space="preserve">tatimmat-ul = a'imma at-tatimma li-maʼrifat-il
</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bookmarkStart w:id="699" w:name="pg20363_210051"/>
    <w:bookmarkEnd w:id="699"/>
    <w:p>
      <w:pPr>
        <w:pStyle w:val="BookText"/>
      </w:pPr>
      <w:r>
        <w:rPr>
          <w:rFonts w:ascii="Times New Roman" w:hAnsi="Times New Roman" w:eastAsia="Times New Roman" w:cs="Times New Roman"/>
          <w:lang w:val="en-US" w:bidi="en-US"/>
          <w:color w:val="111111"/>
          <w:sz w:val="28"/>
          <w:szCs w:val="28"/>
          <w:rtl/>
        </w:rPr>
        <w:t xml:space="preserve">manāqib-il a'imma = arba'-u 'ašarīyāt = tatimmat-ur rasā'il</w:t>
      </w:r>
    </w:p>
    <w:p>
      <w:pPr>
        <w:pStyle w:val="BookText"/>
      </w:pPr>
      <w:r>
        <w:rPr>
          <w:rFonts w:ascii="IRNazanin" w:hAnsi="IRNazanin" w:eastAsia="IRNazanin" w:cs="IRNazanin"/>
          <w:lang w:bidi="fa-IR"/>
          <w:color w:val="111111"/>
          <w:sz w:val="28"/>
          <w:szCs w:val="28"/>
          <w:rtl/>
        </w:rPr>
        <w:t xml:space="preserve">اصفهانی، محمد کاظم بن محمد صادق، ۱۲۰۵-۱۲۷۳ قمری</w:t>
      </w:r>
    </w:p>
    <w:p>
      <w:pPr>
        <w:pStyle w:val="BookText"/>
      </w:pPr>
      <w:r>
        <w:rPr>
          <w:rFonts w:ascii="Times New Roman" w:hAnsi="Times New Roman" w:eastAsia="Times New Roman" w:cs="Times New Roman"/>
          <w:lang w:val="en-US" w:bidi="en-US"/>
          <w:color w:val="111111"/>
          <w:sz w:val="28"/>
          <w:szCs w:val="28"/>
          <w:rtl/>
        </w:rPr>
        <w:t xml:space="preserve">esfahānī, mohammad kāzem ebn-e mohammad sādeq (1791-1857)</w:t>
      </w:r>
    </w:p>
    <w:p>
      <w:pPr>
        <w:pStyle w:val="BookText"/>
      </w:pPr>
      <w:r>
        <w:rPr>
          <w:rFonts w:ascii="IRNazanin" w:hAnsi="IRNazanin" w:eastAsia="IRNazanin" w:cs="IRNazanin"/>
          <w:lang w:bidi="fa-IR"/>
          <w:color w:val="111111"/>
          <w:sz w:val="28"/>
          <w:szCs w:val="28"/>
          <w:rtl/>
        </w:rPr>
        <w:t xml:space="preserve">وابسته به: اطراء الرضى = اربع عشریات؛ اصفهانی، محمد کاظم بن محمد صادق (۱۲۰۵-۱۲۷۳ق) این رساله به عنوان تتمه ای است بر اربع عشریات. كل اربع عشریات شامل ۱۱۰ قصیده هستند در ۱۱۰۰ بیت. این تتمه شامل ۱۱۲ بیت است.</w:t>
      </w:r>
    </w:p>
    <w:p>
      <w:pPr>
        <w:pStyle w:val="BookText"/>
      </w:pPr>
      <w:r>
        <w:rPr>
          <w:rFonts w:ascii="IRNazanin" w:hAnsi="IRNazanin" w:eastAsia="IRNazanin" w:cs="IRNazanin"/>
          <w:lang w:bidi="fa-IR"/>
          <w:color w:val="111111"/>
          <w:sz w:val="28"/>
          <w:szCs w:val="28"/>
          <w:rtl/>
        </w:rPr>
        <w:t xml:space="preserve">[ دنا ۷۸۶/۲ ]</w:t>
      </w:r>
    </w:p>
    <w:p>
      <w:pPr>
        <w:pStyle w:val="BookText"/>
      </w:pPr>
      <w:r>
        <w:rPr>
          <w:rFonts w:ascii="IRNazanin" w:hAnsi="IRNazanin" w:eastAsia="IRNazanin" w:cs="IRNazanin"/>
          <w:lang w:bidi="fa-IR"/>
          <w:color w:val="111111"/>
          <w:sz w:val="28"/>
          <w:szCs w:val="28"/>
          <w:rtl/>
        </w:rPr>
        <w:t xml:space="preserve">١. مشهد؛ گوهرشاد؛ شماره نسخه: ۱۱۲۲/۲۱</w:t>
      </w:r>
    </w:p>
    <w:p>
      <w:pPr>
        <w:pStyle w:val="BookText"/>
      </w:pPr>
      <w:r>
        <w:rPr>
          <w:rFonts w:ascii="IRNazanin" w:hAnsi="IRNazanin" w:eastAsia="IRNazanin" w:cs="IRNazanin"/>
          <w:lang w:bidi="fa-IR"/>
          <w:color w:val="111111"/>
          <w:sz w:val="28"/>
          <w:szCs w:val="28"/>
          <w:rtl/>
        </w:rPr>
        <w:t xml:space="preserve">آغاز: بسمله حمدله ... يا ربنا صل على أهدی رسول خاتم؛ انجام: قال محمد کاظم و اجعل جميعا في سقر خط: نسخ، كاتب = مؤلف، تا: جمادی الاول ۱۲۲۵ تا شنبه ۱۰ ربيع الثانی ۱۲۵۵، جا: اصفهان؛ مصحح، محشی به خط مؤلف در میان سطور و هامش؛ کاغذ: فستقی، جلد: تیماج مشکی، اگ ( ۱۹۸-۱۹۲ )، ۱۰ سطر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۳-۱۵۶۱]</w:t>
      </w:r>
    </w:p>
    <w:p>
      <w:pPr>
        <w:pStyle w:val="BookText"/>
      </w:pPr>
      <w:r>
        <w:rPr>
          <w:rFonts w:ascii="IRNazanin" w:hAnsi="IRNazanin" w:eastAsia="IRNazanin" w:cs="IRNazanin"/>
          <w:lang w:bidi="fa-IR"/>
          <w:color w:val="111111"/>
          <w:sz w:val="28"/>
          <w:szCs w:val="28"/>
          <w:rtl/>
        </w:rPr>
        <w:t xml:space="preserve">۲. تهران؛ مجلس؛ شماره نسخه: ۸۵۷۹/۱۵</w:t>
      </w:r>
    </w:p>
    <w:p>
      <w:pPr>
        <w:pStyle w:val="BookText"/>
      </w:pPr>
      <w:r>
        <w:rPr>
          <w:rFonts w:ascii="IRNazanin" w:hAnsi="IRNazanin" w:eastAsia="IRNazanin" w:cs="IRNazanin"/>
          <w:lang w:bidi="fa-IR"/>
          <w:color w:val="111111"/>
          <w:sz w:val="28"/>
          <w:szCs w:val="28"/>
          <w:rtl/>
        </w:rPr>
        <w:t xml:space="preserve">خط: نسخ، كاتب = مؤلف، تا: قرن ۱۳؛ مصحح، محشی از مؤلف؛ جلد: تیماج مشکی، ۶گ (۱۰۶- ۱۱۱ر)، ۱۲ سطر،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۲۸-۱۳۵]</w:t>
      </w:r>
    </w:p>
    <w:p>
      <w:pPr>
        <w:pStyle w:val="BookText"/>
      </w:pPr>
      <w:r>
        <w:rPr>
          <w:rFonts w:ascii="IRNazanin" w:hAnsi="IRNazanin" w:eastAsia="IRNazanin" w:cs="IRNazanin"/>
          <w:lang w:bidi="fa-IR"/>
          <w:color w:val="111111"/>
          <w:sz w:val="28"/>
          <w:szCs w:val="28"/>
          <w:rtl/>
        </w:rPr>
        <w:t xml:space="preserve">٣. مشهد؛ گوهرشاد؛ شماره نسخه: ۵۳۰/۲۰</w:t>
      </w:r>
    </w:p>
    <w:p>
      <w:pPr>
        <w:pStyle w:val="BookText"/>
      </w:pPr>
      <w:r>
        <w:rPr>
          <w:rFonts w:ascii="IRNazanin" w:hAnsi="IRNazanin" w:eastAsia="IRNazanin" w:cs="IRNazanin"/>
          <w:lang w:bidi="fa-IR"/>
          <w:color w:val="111111"/>
          <w:sz w:val="28"/>
          <w:szCs w:val="28"/>
          <w:rtl/>
        </w:rPr>
        <w:t xml:space="preserve">خط: نسخ، بی کا، تا: قرن ۱۳ کاغذ: فرنگی آهار مهره ای، جلد: تیماج مشکی، ۱۵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اندازه:۱۵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۲-۶۳۶]</w:t>
      </w:r>
    </w:p>
    <w:p>
      <w:pPr>
        <w:pStyle w:val="Heading3"/>
      </w:pPr>
      <w:bookmarkStart w:id="3037" w:name="_Toc2297"/>
      <w:r>
        <w:t>•تتمة الماء / کیمیا / عربی</w:t>
      </w:r>
      <w:bookmarkEnd w:id="3037"/>
    </w:p>
    <w:p>
      <w:pPr>
        <w:pStyle w:val="BookText"/>
      </w:pPr>
      <w:r>
        <w:rPr>
          <w:rFonts w:ascii="Times New Roman" w:hAnsi="Times New Roman" w:eastAsia="Times New Roman" w:cs="Times New Roman"/>
          <w:lang w:val="en-US" w:bidi="en-US"/>
          <w:color w:val="111111"/>
          <w:sz w:val="28"/>
          <w:szCs w:val="28"/>
          <w:rtl/>
        </w:rPr>
        <w:t xml:space="preserve">tatimmat-ul mā</w:t>
      </w:r>
    </w:p>
    <w:p>
      <w:pPr>
        <w:pStyle w:val="BookText"/>
      </w:pPr>
      <w:r>
        <w:rPr>
          <w:rFonts w:ascii="IRNazanin" w:hAnsi="IRNazanin" w:eastAsia="IRNazanin" w:cs="IRNazanin"/>
          <w:lang w:bidi="fa-IR"/>
          <w:color w:val="111111"/>
          <w:sz w:val="28"/>
          <w:szCs w:val="28"/>
          <w:rtl/>
        </w:rPr>
        <w:t xml:space="preserve">جابر بن حیان، ۱۲۰-۱۹۸ ؟ قمری</w:t>
      </w:r>
    </w:p>
    <w:p>
      <w:pPr>
        <w:pStyle w:val="BookText"/>
      </w:pPr>
      <w:r>
        <w:rPr>
          <w:rFonts w:ascii="Times New Roman" w:hAnsi="Times New Roman" w:eastAsia="Times New Roman" w:cs="Times New Roman"/>
          <w:lang w:val="en-US" w:bidi="en-US"/>
          <w:color w:val="111111"/>
          <w:sz w:val="28"/>
          <w:szCs w:val="28"/>
          <w:rtl/>
        </w:rPr>
        <w:t xml:space="preserve">jāber ebn-e hayyān (739-814)</w:t>
      </w:r>
    </w:p>
    <w:p>
      <w:pPr>
        <w:pStyle w:val="BookText"/>
      </w:pPr>
      <w:r>
        <w:rPr>
          <w:rFonts w:ascii="IRNazanin" w:hAnsi="IRNazanin" w:eastAsia="IRNazanin" w:cs="IRNazanin"/>
          <w:lang w:bidi="fa-IR"/>
          <w:color w:val="111111"/>
          <w:sz w:val="28"/>
          <w:szCs w:val="28"/>
          <w:rtl/>
        </w:rPr>
        <w:t xml:space="preserve">آغاز: بسمله، حمد له قال جابر انا مستقیم بهذا الكتاب ما ابتدات به من ذكر الماء المستخرج من جميع انجام: اذا مارست تدبیر شي مرة واحدة سهل ذلك عليك في الثانية جدا انشاء الله تعالی تم</w:t>
      </w:r>
    </w:p>
    <w:p>
      <w:pPr>
        <w:pStyle w:val="BookText"/>
      </w:pPr>
      <w:r>
        <w:rPr>
          <w:rFonts w:ascii="IRNazanin" w:hAnsi="IRNazanin" w:eastAsia="IRNazanin" w:cs="IRNazanin"/>
          <w:lang w:bidi="fa-IR"/>
          <w:color w:val="111111"/>
          <w:sz w:val="28"/>
          <w:szCs w:val="28"/>
          <w:rtl/>
        </w:rPr>
        <w:t xml:space="preserve">١. مشهد؛ رضوی؛ شماره نسخه:۲۸۷۷۴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۱۲۶۷ق؛ اهدائی مرحوم حاج آقامحمد ایرانی به کتابخانه آستان قدس رضوی -۱۳۵۰ هو العلي الاكبر؛ ضمیمه به نسخه ش ۲۸۷۶۹؛ کاغذ: نباتی، جلد: تیماج ضربی، ۱۵ سطر ( ۱۵/۲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۲۱/۷سم [رایانه]</w:t>
      </w:r>
    </w:p>
    <w:p>
      <w:pPr>
        <w:pStyle w:val="BookText"/>
      </w:pPr>
      <w:r>
        <w:rPr>
          <w:rFonts w:ascii="IRNazanin" w:hAnsi="IRNazanin" w:eastAsia="IRNazanin" w:cs="IRNazanin"/>
          <w:lang w:bidi="fa-IR"/>
          <w:color w:val="111111"/>
          <w:sz w:val="28"/>
          <w:szCs w:val="28"/>
          <w:rtl/>
        </w:rPr>
        <w:t xml:space="preserve">۲. مشهد؛ رضوی؛ شماره نسخه:۱۱۰۴۸/۵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على اكبر بن محمد کرمانشاهی، تا: ۱۲۶۷ق؛ ضمیمه نسخه ش ۱۱۰۴۸ [رایانه ]</w:t>
      </w:r>
    </w:p>
    <w:p>
      <w:pPr>
        <w:pStyle w:val="Heading3"/>
      </w:pPr>
      <w:bookmarkStart w:id="3038" w:name="_Toc2298"/>
      <w:r>
        <w:t>•تتمة مجمع المصائب في نوائب الاطائب / تاریخ معصومین / عربی</w:t>
      </w:r>
      <w:bookmarkEnd w:id="3038"/>
    </w:p>
    <w:p>
      <w:pPr>
        <w:pStyle w:val="BookText"/>
      </w:pPr>
      <w:r>
        <w:rPr>
          <w:rFonts w:ascii="Times New Roman" w:hAnsi="Times New Roman" w:eastAsia="Times New Roman" w:cs="Times New Roman"/>
          <w:lang w:val="en-US" w:bidi="en-US"/>
          <w:color w:val="111111"/>
          <w:sz w:val="28"/>
          <w:szCs w:val="28"/>
          <w:rtl/>
        </w:rPr>
        <w:t xml:space="preserve">tatimmat-u majma-il masa'ib fi nawa'ib-il ata'ib</w:t>
      </w:r>
    </w:p>
    <w:p>
      <w:pPr>
        <w:pStyle w:val="BookText"/>
      </w:pPr>
      <w:r>
        <w:rPr>
          <w:rFonts w:ascii="IRNazanin" w:hAnsi="IRNazanin" w:eastAsia="IRNazanin" w:cs="IRNazanin"/>
          <w:lang w:bidi="fa-IR"/>
          <w:color w:val="111111"/>
          <w:sz w:val="28"/>
          <w:szCs w:val="28"/>
          <w:rtl/>
        </w:rPr>
        <w:t xml:space="preserve">حسینی قزوینی، قریش بن محمد، -۱۲۷۹ قمری</w:t>
      </w:r>
    </w:p>
    <w:p>
      <w:pPr>
        <w:pStyle w:val="BookText"/>
      </w:pPr>
      <w:r>
        <w:rPr>
          <w:rFonts w:ascii="Times New Roman" w:hAnsi="Times New Roman" w:eastAsia="Times New Roman" w:cs="Times New Roman"/>
          <w:lang w:val="en-US" w:bidi="en-US"/>
          <w:color w:val="111111"/>
          <w:sz w:val="28"/>
          <w:szCs w:val="28"/>
          <w:rtl/>
        </w:rPr>
        <w:t xml:space="preserve">hoseynī qazvīnī, qorayš ebn-e mohammad (-1863)</w:t>
      </w:r>
    </w:p>
    <w:p>
      <w:pPr>
        <w:pStyle w:val="BookText"/>
      </w:pPr>
      <w:r>
        <w:rPr>
          <w:rFonts w:ascii="IRNazanin" w:hAnsi="IRNazanin" w:eastAsia="IRNazanin" w:cs="IRNazanin"/>
          <w:lang w:bidi="fa-IR"/>
          <w:color w:val="111111"/>
          <w:sz w:val="28"/>
          <w:szCs w:val="28"/>
          <w:rtl/>
        </w:rPr>
        <w:t xml:space="preserve">وابسته به: مجمع المصائب في نوائب الاطائب؛ حسینی قزوینی، قریش بن محمد (-۱۲۷۹) در مقدمه می گوید کتاب نخستین تنها در مقتل حسینی بوده و من آن را تکمیل کردم به این کتاب که مقتل على و فاطمه و حسن و موسی بن جعفر و علی بن موسی (علیه السلام) است در شش مقصد». آغاز: الحمد لله الذي رفع درجات الشهداء و اعطاهم بشهاداتهم ارفع مراتب السعادات و نجی من ذكر مصابهم ... اما بعد فيقول المرتجي إلى عفو ربه الغني قريش بن محمد الحسینی الاساوجبلاغي اني لما فرغت عن تاليف مجمع المصائب في مقتل مولانا ... احببت ان اجمع جملة من الأخبار الوارده في وفات سیدنا ... المقصد الأول في وفات اشرف الانبياء و خاتمهم انجام: من كانت له الى الله حاجه فليزر قبر جدی الرضا بطوس و هو على غسل و يصل عند راسه ... يستجيب له ما لم يسئل في مآثم أو قطيعة رحم ... لا يزورها مومن الااعتقه الله من النار و احله دار القرار</w:t>
      </w:r>
    </w:p>
    <w:p>
      <w:pPr>
        <w:pStyle w:val="BookText"/>
      </w:pPr>
      <w:r>
        <w:rPr>
          <w:rFonts w:ascii="IRNazanin" w:hAnsi="IRNazanin" w:eastAsia="IRNazanin" w:cs="IRNazanin"/>
          <w:lang w:bidi="fa-IR"/>
          <w:color w:val="111111"/>
          <w:sz w:val="28"/>
          <w:szCs w:val="28"/>
          <w:rtl/>
        </w:rPr>
        <w:t xml:space="preserve">[دنا ۷۸۶/۲</w:t>
      </w:r>
    </w:p>
    <w:p>
      <w:pPr>
        <w:pStyle w:val="BookText"/>
      </w:pPr>
      <w:r>
        <w:rPr>
          <w:rFonts w:ascii="IRNazanin" w:hAnsi="IRNazanin" w:eastAsia="IRNazanin" w:cs="IRNazanin"/>
          <w:lang w:bidi="fa-IR"/>
          <w:color w:val="111111"/>
          <w:sz w:val="28"/>
          <w:szCs w:val="28"/>
          <w:rtl/>
        </w:rPr>
        <w:t xml:space="preserve">(۷ نسخه)]</w:t>
      </w:r>
    </w:p>
    <w:p>
      <w:pPr>
        <w:pStyle w:val="BookText"/>
      </w:pPr>
      <w:r>
        <w:rPr>
          <w:rFonts w:ascii="IRNazanin" w:hAnsi="IRNazanin" w:eastAsia="IRNazanin" w:cs="IRNazanin"/>
          <w:lang w:bidi="fa-IR"/>
          <w:color w:val="111111"/>
          <w:sz w:val="28"/>
          <w:szCs w:val="28"/>
          <w:rtl/>
        </w:rPr>
        <w:t xml:space="preserve">۱. تهران: مجلس؛ شماره نسخه: ۱۱۱۳/۲ -طباطبائی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۱۳؛ جلد: تیماج یکسان، ۱۶۳گ (۳۰</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۱۹)،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۲۳-۵۶۲]</w:t>
      </w:r>
    </w:p>
    <w:p>
      <w:pPr>
        <w:pStyle w:val="BookText"/>
      </w:pPr>
      <w:r>
        <w:rPr>
          <w:rFonts w:ascii="IRNazanin" w:hAnsi="IRNazanin" w:eastAsia="IRNazanin" w:cs="IRNazanin"/>
          <w:lang w:bidi="fa-IR"/>
          <w:color w:val="111111"/>
          <w:sz w:val="28"/>
          <w:szCs w:val="28"/>
          <w:rtl/>
        </w:rPr>
        <w:t xml:space="preserve">۲. تهران، دانشگاه؛ شماره نسخه: ۳۲۰۸/۱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حبیب الله بن استاد ابو طالب حداد طالقانی برغانی، تا: پنج شنبه ۱۵ جمادی الثانی ۱۲۳۵ق؛ کاغذ: فرنگی، جلد: تیماج تریاکی، ۱۶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۱۱-۲۱۶۵]</w:t>
      </w:r>
    </w:p>
    <w:p>
      <w:pPr>
        <w:pStyle w:val="BookText"/>
      </w:pPr>
      <w:r>
        <w:rPr>
          <w:rFonts w:ascii="IRNazanin" w:hAnsi="IRNazanin" w:eastAsia="IRNazanin" w:cs="IRNazanin"/>
          <w:lang w:bidi="fa-IR"/>
          <w:color w:val="111111"/>
          <w:sz w:val="28"/>
          <w:szCs w:val="28"/>
          <w:rtl/>
        </w:rPr>
        <w:t xml:space="preserve">٣. مشهد؛ مدرسه آية الله خوئی؛ شماره نسخه:۷۹</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تا: پنج شنبه ۱۶ صفر ۱۲۳۶ق؛ مصحح؛ جلد: مقوایی عطف تیماج قهوه ای، ۱۴۶، ۱۹ سطر،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۵۰]</w:t>
      </w:r>
    </w:p>
    <w:p>
      <w:pPr>
        <w:pStyle w:val="BookText"/>
      </w:pPr>
      <w:r>
        <w:rPr>
          <w:rFonts w:ascii="IRNazanin" w:hAnsi="IRNazanin" w:eastAsia="IRNazanin" w:cs="IRNazanin"/>
          <w:lang w:bidi="fa-IR"/>
          <w:color w:val="111111"/>
          <w:sz w:val="28"/>
          <w:szCs w:val="28"/>
          <w:rtl/>
        </w:rPr>
        <w:t xml:space="preserve">قم، مرکز احیاء؛ شماره نسخه:۱۵۴۵
</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bookmarkStart w:id="700" w:name="pg20363_210052"/>
    <w:bookmarkEnd w:id="700"/>
    <w:p>
      <w:pPr>
        <w:pStyle w:val="BookText"/>
      </w:pPr>
      <w:r>
        <w:rPr>
          <w:rFonts w:ascii="IRNazanin" w:hAnsi="IRNazanin" w:eastAsia="IRNazanin" w:cs="IRNazanin"/>
          <w:lang w:bidi="fa-IR"/>
          <w:color w:val="111111"/>
          <w:sz w:val="28"/>
          <w:szCs w:val="28"/>
          <w:rtl/>
        </w:rPr>
        <w:t xml:space="preserve">نسخه اصل: همان نسخه بالا [عکسی ف: ۴-۳۶۱]</w:t>
      </w:r>
    </w:p>
    <w:p>
      <w:pPr>
        <w:pStyle w:val="BookText"/>
      </w:pPr>
      <w:r>
        <w:rPr>
          <w:rFonts w:ascii="IRNazanin" w:hAnsi="IRNazanin" w:eastAsia="IRNazanin" w:cs="IRNazanin"/>
          <w:lang w:bidi="fa-IR"/>
          <w:color w:val="111111"/>
          <w:sz w:val="28"/>
          <w:szCs w:val="28"/>
          <w:rtl/>
        </w:rPr>
        <w:t xml:space="preserve">۴. مشهد؛ رضوی؛ شماره نسخه:۱۸۶۱۵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علی بن محمد باقر، تا: ۱۲۴۱ق؛ وقف نامه به تاریخ شنبه ۲ جمادی الثانی ۱۳۱۲؛ کاغذ: شکری؛ سرنج، جلد: تیماج، ۱۸ سطر (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[رایانه]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مشهد؛ رضوی؛ شماره نسخه: ۱۲۵۴۱/۲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زین العابدين بن محمد قاسم، تا: ۱ شعبان ۱۲۸۲ق؛ واقف: حسین کی استوان، آبان ۱۳۴۸؛ کاغذ: فرنگی آهار مهره، جلد: تیماج ماشی، ۲۷۲ گ، ۱۸ سطر، اندازه:</w:t>
      </w:r>
    </w:p>
    <w:p>
      <w:pPr>
        <w:pStyle w:val="BookText"/>
      </w:pPr>
      <w:r>
        <w:rPr>
          <w:rFonts w:ascii="IRNazanin" w:hAnsi="IRNazanin" w:eastAsia="IRNazanin" w:cs="IRNazanin"/>
          <w:lang w:bidi="fa-IR"/>
          <w:color w:val="111111"/>
          <w:sz w:val="28"/>
          <w:szCs w:val="28"/>
          <w:rtl/>
        </w:rPr>
        <w:t xml:space="preserve">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۴۷۰-۱۴]</w:t>
      </w:r>
    </w:p>
    <w:p>
      <w:pPr>
        <w:pStyle w:val="BookText"/>
      </w:pPr>
      <w:r>
        <w:rPr>
          <w:rFonts w:ascii="IRNazanin" w:hAnsi="IRNazanin" w:eastAsia="IRNazanin" w:cs="IRNazanin"/>
          <w:lang w:bidi="fa-IR"/>
          <w:color w:val="111111"/>
          <w:sz w:val="28"/>
          <w:szCs w:val="28"/>
          <w:rtl/>
        </w:rPr>
        <w:t xml:space="preserve">۶. قم؛ مرعشی؛ شماره نسخه: ۵۴۲۵/۲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جلد: تیماج قهوه ای، ۶۱گ (۱۳۱ر ۱۹۱ر)، ۲۲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۱۴-۲۱۰]</w:t>
      </w:r>
    </w:p>
    <w:p>
      <w:pPr>
        <w:pStyle w:val="BookText"/>
      </w:pPr>
      <w:r>
        <w:rPr>
          <w:rFonts w:ascii="IRNazanin" w:hAnsi="IRNazanin" w:eastAsia="IRNazanin" w:cs="IRNazanin"/>
          <w:lang w:bidi="fa-IR"/>
          <w:color w:val="111111"/>
          <w:sz w:val="28"/>
          <w:szCs w:val="28"/>
          <w:rtl/>
        </w:rPr>
        <w:t xml:space="preserve">۷. تهران؛ سپهسالار؛ شماره نسخه: ۵۵۲۷/۲</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مقصد یکم؛ خط: نسخ، بی کا، بی تا، ۱۲گ (۱۱۷۰ -۱۸۱) [ف: ۵۱۴-۵ ]</w:t>
      </w:r>
    </w:p>
    <w:p>
      <w:pPr>
        <w:pStyle w:val="Heading3"/>
      </w:pPr>
      <w:bookmarkStart w:id="3039" w:name="_Toc2299"/>
      <w:r>
        <w:t>• تتمة المختصر في اخبار البشر / تاریخ / عربی</w:t>
      </w:r>
      <w:bookmarkEnd w:id="3039"/>
    </w:p>
    <w:p>
      <w:pPr>
        <w:pStyle w:val="BookText"/>
      </w:pPr>
      <w:r>
        <w:rPr>
          <w:rFonts w:ascii="Times New Roman" w:hAnsi="Times New Roman" w:eastAsia="Times New Roman" w:cs="Times New Roman"/>
          <w:lang w:val="en-US" w:bidi="en-US"/>
          <w:color w:val="111111"/>
          <w:sz w:val="28"/>
          <w:szCs w:val="28"/>
          <w:rtl/>
        </w:rPr>
        <w:t xml:space="preserve">tatimmat-ul muxtaşar fi axbār-il basar</w:t>
      </w:r>
    </w:p>
    <w:p>
      <w:pPr>
        <w:pStyle w:val="BookText"/>
      </w:pPr>
      <w:r>
        <w:rPr>
          <w:rFonts w:ascii="IRNazanin" w:hAnsi="IRNazanin" w:eastAsia="IRNazanin" w:cs="IRNazanin"/>
          <w:lang w:bidi="fa-IR"/>
          <w:color w:val="111111"/>
          <w:sz w:val="28"/>
          <w:szCs w:val="28"/>
          <w:rtl/>
        </w:rPr>
        <w:t xml:space="preserve">ابن وردی، عمر بن مظفر، ۶۹۱-۷۴۹ قمری</w:t>
      </w:r>
    </w:p>
    <w:p>
      <w:pPr>
        <w:pStyle w:val="BookText"/>
      </w:pPr>
      <w:r>
        <w:rPr>
          <w:rFonts w:ascii="Times New Roman" w:hAnsi="Times New Roman" w:eastAsia="Times New Roman" w:cs="Times New Roman"/>
          <w:lang w:val="en-US" w:bidi="en-US"/>
          <w:color w:val="111111"/>
          <w:sz w:val="28"/>
          <w:szCs w:val="28"/>
          <w:rtl/>
        </w:rPr>
        <w:t xml:space="preserve">ebn-e vardī, ‘omar ebn-e mozaffar (1293-1349)</w:t>
      </w:r>
    </w:p>
    <w:p>
      <w:pPr>
        <w:pStyle w:val="BookText"/>
      </w:pPr>
      <w:r>
        <w:rPr>
          <w:rFonts w:ascii="IRNazanin" w:hAnsi="IRNazanin" w:eastAsia="IRNazanin" w:cs="IRNazanin"/>
          <w:lang w:bidi="fa-IR"/>
          <w:color w:val="111111"/>
          <w:sz w:val="28"/>
          <w:szCs w:val="28"/>
          <w:rtl/>
        </w:rPr>
        <w:t xml:space="preserve">وابسته به: المختصر في تاريخ اخبار البشر = المختصر في أخبار البشر = تاريخ ابو الفداء؛ ابوالفداء، اسماعیل بن علی (۶۷۲-۷۳۲)</w:t>
      </w:r>
    </w:p>
    <w:p>
      <w:pPr>
        <w:pStyle w:val="BookText"/>
      </w:pPr>
      <w:r>
        <w:rPr>
          <w:rFonts w:ascii="IRNazanin" w:hAnsi="IRNazanin" w:eastAsia="IRNazanin" w:cs="IRNazanin"/>
          <w:lang w:bidi="fa-IR"/>
          <w:color w:val="111111"/>
          <w:sz w:val="28"/>
          <w:szCs w:val="28"/>
          <w:rtl/>
        </w:rPr>
        <w:t xml:space="preserve">کتاب «المختصر في اخبار البشر» ابو الفداء را، مختصر و تهذیب نموده و در بعضی موارد توضیحات و مطالبی به آن افزوده است. همچنین وقایع تاریخی را از سال ۷۰۹ق که ابو الفداء تاریخ خود را به پایان آورده، تا سال ۷۴۹ق که خود زنده بوده به طور ذیل بر آن افزوده است. چاپ: قاهره، المطبوعات الوهبيه، ۱۲۸۵ق؛ مطبعة الحسينية ۱۳۲۵ق؛ مطبعة الحيدرية، ۲ج، ۱۹۶۹م.</w:t>
      </w:r>
    </w:p>
    <w:p>
      <w:pPr>
        <w:pStyle w:val="BookText"/>
      </w:pPr>
      <w:r>
        <w:rPr>
          <w:rFonts w:ascii="IRNazanin" w:hAnsi="IRNazanin" w:eastAsia="IRNazanin" w:cs="IRNazanin"/>
          <w:lang w:bidi="fa-IR"/>
          <w:color w:val="111111"/>
          <w:sz w:val="28"/>
          <w:szCs w:val="28"/>
          <w:rtl/>
        </w:rPr>
        <w:t xml:space="preserve">[ بروکلمان ذیل ۱۷۵/۲ ؛ زر کلی اعلام ۲۲۸/۵ ؛ دنا ۷۸۶/۲ ]</w:t>
      </w:r>
    </w:p>
    <w:p>
      <w:pPr>
        <w:pStyle w:val="BookText"/>
      </w:pPr>
      <w:r>
        <w:rPr>
          <w:rFonts w:ascii="IRNazanin" w:hAnsi="IRNazanin" w:eastAsia="IRNazanin" w:cs="IRNazanin"/>
          <w:lang w:bidi="fa-IR"/>
          <w:color w:val="111111"/>
          <w:sz w:val="28"/>
          <w:szCs w:val="28"/>
          <w:rtl/>
        </w:rPr>
        <w:t xml:space="preserve">قم؛ مرعشی؛ شماره نسخه:۳۸۷عکسی</w:t>
      </w:r>
    </w:p>
    <w:p>
      <w:pPr>
        <w:pStyle w:val="BookText"/>
      </w:pPr>
      <w:r>
        <w:rPr>
          <w:rFonts w:ascii="IRNazanin" w:hAnsi="IRNazanin" w:eastAsia="IRNazanin" w:cs="IRNazanin"/>
          <w:lang w:bidi="fa-IR"/>
          <w:color w:val="111111"/>
          <w:sz w:val="28"/>
          <w:szCs w:val="28"/>
          <w:rtl/>
        </w:rPr>
        <w:t xml:space="preserve">آغاز: الحمد لله المتفرد بالبقاء و القدم ... و بعد فيقول ... عمر بن مظفر بن عمر بن محمد ابن ابی الفوارس الوردي المعرى الشافعی ... و سميته تتمة المختصر في اخبار البشر؛ انجام: ثم دخلت سنة تسع و اربعین و سبعمائه ... بعد از دو برگ و فيها في ذى لاحجة بلغنا وفاة القاضي شهاب الدین احمد بن فضل الله العمري بدمشق ... تم بعون الله</w:t>
      </w:r>
    </w:p>
    <w:p>
      <w:pPr>
        <w:pStyle w:val="BookText"/>
      </w:pPr>
      <w:r>
        <w:rPr>
          <w:rFonts w:ascii="IRNazanin" w:hAnsi="IRNazanin" w:eastAsia="IRNazanin" w:cs="IRNazanin"/>
          <w:lang w:bidi="fa-IR"/>
          <w:color w:val="111111"/>
          <w:sz w:val="28"/>
          <w:szCs w:val="28"/>
          <w:rtl/>
        </w:rPr>
        <w:t xml:space="preserve">نسخه اصل: سلطان احمد سوم-استانبول ش ۲۹۶۱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فهرست خطی عربی طوپ قاپی</w:t>
      </w:r>
    </w:p>
    <w:p>
      <w:pPr>
        <w:pStyle w:val="BookText"/>
      </w:pPr>
      <w:r>
        <w:rPr>
          <w:rFonts w:ascii="IRNazanin" w:hAnsi="IRNazanin" w:eastAsia="IRNazanin" w:cs="IRNazanin"/>
          <w:lang w:bidi="fa-IR"/>
          <w:color w:val="111111"/>
          <w:sz w:val="28"/>
          <w:szCs w:val="28"/>
          <w:rtl/>
        </w:rPr>
        <w:t xml:space="preserve">۳۷۲/۳ )؛ خط: نسخ، كا: ابوبکر بن احمد، تا: دوشنبه ۹ جمادی الاول ۸۶۹ق؛ از روی نسخه مؤلف در حاشیه تصحیح شده و با نسخه خط مؤلف مقابله شده؛ ۲۷۹، ۲۹ سطر عکسی ف: ۱-۳۴۱]</w:t>
      </w:r>
    </w:p>
    <w:p>
      <w:pPr>
        <w:pStyle w:val="BookText"/>
      </w:pPr>
      <w:r>
        <w:rPr>
          <w:rFonts w:ascii="Amiri" w:hAnsi="Amiri" w:eastAsia="Amiri" w:cs="Amiri"/>
          <w:lang w:bidi="ar-SA"/>
          <w:color w:val="111111"/>
          <w:sz w:val="28"/>
          <w:szCs w:val="28"/>
          <w:rtl/>
        </w:rPr>
        <w:t xml:space="preserve">← تتمة مناقب الائمة ← التتمة لمعرفة الأئمة</w:t>
      </w:r>
    </w:p>
    <w:p>
      <w:pPr>
        <w:pStyle w:val="Heading3"/>
      </w:pPr>
      <w:bookmarkStart w:id="3040" w:name="_Toc2300"/>
      <w:r>
        <w:t>•تتمة المنتهي في وقایع ایام الخلفا / تاریخ / فارسی</w:t>
      </w:r>
      <w:bookmarkEnd w:id="3040"/>
    </w:p>
    <w:p>
      <w:pPr>
        <w:pStyle w:val="BookText"/>
      </w:pPr>
      <w:r>
        <w:rPr>
          <w:rFonts w:ascii="Times New Roman" w:hAnsi="Times New Roman" w:eastAsia="Times New Roman" w:cs="Times New Roman"/>
          <w:lang w:val="en-US" w:bidi="en-US"/>
          <w:color w:val="111111"/>
          <w:sz w:val="28"/>
          <w:szCs w:val="28"/>
          <w:rtl/>
        </w:rPr>
        <w:t xml:space="preserve">tatemmat-ol montahī fī vaqāye‘-e ayyām-el xolafā</w:t>
      </w:r>
    </w:p>
    <w:p>
      <w:pPr>
        <w:pStyle w:val="BookText"/>
      </w:pPr>
      <w:r>
        <w:rPr>
          <w:rFonts w:ascii="IRNazanin" w:hAnsi="IRNazanin" w:eastAsia="IRNazanin" w:cs="IRNazanin"/>
          <w:lang w:bidi="fa-IR"/>
          <w:color w:val="111111"/>
          <w:sz w:val="28"/>
          <w:szCs w:val="28"/>
          <w:rtl/>
        </w:rPr>
        <w:t xml:space="preserve">قمی، عباس بن محمد رضا، ۱۲۵۴-۱۳۱۹ شمسی</w:t>
      </w:r>
    </w:p>
    <w:p>
      <w:pPr>
        <w:pStyle w:val="BookText"/>
      </w:pPr>
      <w:r>
        <w:rPr>
          <w:rFonts w:ascii="Times New Roman" w:hAnsi="Times New Roman" w:eastAsia="Times New Roman" w:cs="Times New Roman"/>
          <w:lang w:val="en-US" w:bidi="en-US"/>
          <w:color w:val="111111"/>
          <w:sz w:val="28"/>
          <w:szCs w:val="28"/>
          <w:rtl/>
        </w:rPr>
        <w:t xml:space="preserve">qomī, ‘abbās ebn-e mohammad rezā (1875-1940)</w:t>
      </w:r>
    </w:p>
    <w:p>
      <w:pPr>
        <w:pStyle w:val="BookText"/>
      </w:pPr>
      <w:r>
        <w:rPr>
          <w:rFonts w:ascii="IRNazanin" w:hAnsi="IRNazanin" w:eastAsia="IRNazanin" w:cs="IRNazanin"/>
          <w:lang w:bidi="fa-IR"/>
          <w:color w:val="111111"/>
          <w:sz w:val="28"/>
          <w:szCs w:val="28"/>
          <w:rtl/>
        </w:rPr>
        <w:t xml:space="preserve">تاریخ تأليف: ۲۰ جمادی الثانی ۱۳۲۵ق این کتاب که تتمه ای است بر کتاب مشهور «منتهی الامال» مؤلف دارای یک «مقدمه) در عبرت از گذشتگان و ذکر خطبه شریفه ای از امیر مومنان علی(عليه السلام)و ذکر مجملی از جنگ های جمل صفین و نهروان ذکر خلافت حضرت امام حسن مجتبی(عليه السلام)ذکر امارت معاویه بن ابو سفیان و ذکر خلافت بقیه خاندان بنی امیه و خلفای عباسی. آغاز: الحمدلله كلما وقب ليل و عسق و صلى الله على محمد و آله ما لاح نجم و خفق و بعد: چنین گوید این بنده بیبضاعت و متمسک بذیل احادیث اهل بیت رسالت انجام: تمام عباسيين بمنصور دوانیقی منتهی می شوند وفات متوكل ۱۲ شعبان سنه ۹۴۵ واقع شد ... و اللعنة الدائمة على اعدائهم و مخالفيهم اجمعین. چاپ: بارها به چاپ رسیده است.</w:t>
      </w:r>
    </w:p>
    <w:p>
      <w:pPr>
        <w:pStyle w:val="BookText"/>
      </w:pPr>
      <w:r>
        <w:rPr>
          <w:rFonts w:ascii="IRNazanin" w:hAnsi="IRNazanin" w:eastAsia="IRNazanin" w:cs="IRNazanin"/>
          <w:lang w:bidi="fa-IR"/>
          <w:color w:val="111111"/>
          <w:sz w:val="28"/>
          <w:szCs w:val="28"/>
          <w:rtl/>
        </w:rPr>
        <w:t xml:space="preserve">[ دنا ۷۸۶/۲ ؛ نقباء البشر ۱۰۰/۳ ؛ فوائد رضویه ۲۲۰/۱ ]</w:t>
      </w:r>
    </w:p>
    <w:p>
      <w:pPr>
        <w:pStyle w:val="BookText"/>
      </w:pPr>
      <w:r>
        <w:rPr>
          <w:rFonts w:ascii="IRNazanin" w:hAnsi="IRNazanin" w:eastAsia="IRNazanin" w:cs="IRNazanin"/>
          <w:lang w:bidi="fa-IR"/>
          <w:color w:val="111111"/>
          <w:sz w:val="28"/>
          <w:szCs w:val="28"/>
          <w:rtl/>
        </w:rPr>
        <w:t xml:space="preserve">۱. قم؛ مرعشی؛ شماره نسخه: ۱۳۹۲۱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زیبا، كاتب = مؤلف، تا: ۱۳۳۰ق؛ مصحح، دارای حواشی فراوان به فارسی و برخی نیز به عربی؛ تملک: مؤلف به سال ۱۳۴۵ق و خط فرزند ایشان مرحوم حاج میرزا محسن محدث زاده به سال ۱۳۶۹ق؛ کاغذ: فرنگی، نوع جلد: تیماج قهوه ای، ۸۴گ، ۲۳ سطر (۱۰/۵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اندازه: ۱۸/۵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۲۲/۵سم [ف: ۳۵-۳۲۰]</w:t>
      </w:r>
    </w:p>
    <w:p>
      <w:pPr>
        <w:pStyle w:val="BookText"/>
      </w:pPr>
      <w:r>
        <w:rPr>
          <w:rFonts w:ascii="IRNazanin" w:hAnsi="IRNazanin" w:eastAsia="IRNazanin" w:cs="IRNazanin"/>
          <w:lang w:bidi="fa-IR"/>
          <w:color w:val="111111"/>
          <w:sz w:val="28"/>
          <w:szCs w:val="28"/>
          <w:rtl/>
        </w:rPr>
        <w:t xml:space="preserve">۲. قم؛ مرعشی؛ شماره نسخه: ۱۴۴۷۳/۲</w:t>
      </w:r>
    </w:p>
    <w:p>
      <w:pPr>
        <w:pStyle w:val="BookText"/>
      </w:pPr>
      <w:r>
        <w:rPr>
          <w:rFonts w:ascii="IRNazanin" w:hAnsi="IRNazanin" w:eastAsia="IRNazanin" w:cs="IRNazanin"/>
          <w:lang w:bidi="fa-IR"/>
          <w:color w:val="111111"/>
          <w:sz w:val="28"/>
          <w:szCs w:val="28"/>
          <w:rtl/>
        </w:rPr>
        <w:t xml:space="preserve">آغاز: برابر؛ انجام: تا شهید شد رحمه الله و در وقعه صفین امیر المؤمنين عليه السلام به اشتر فرمود تا با قراء .. خط: نستعلیق، بی کا، تا: قرن ۱۴؛ افتادگی: انجام؛ کاغذ: فرنگی، جلد: چرم مشکی، ۱۰گ (۶۵-۷۴)، ۱۸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۳۶-۴۵۱]</w:t>
      </w:r>
    </w:p>
    <w:p>
      <w:pPr>
        <w:pStyle w:val="Heading3"/>
      </w:pPr>
      <w:bookmarkStart w:id="3041" w:name="_Toc2301"/>
      <w:r>
        <w:t>•تتمة يتيمة الدهر / تراجم / عربی</w:t>
      </w:r>
      <w:bookmarkEnd w:id="3041"/>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bookmarkStart w:id="701" w:name="pg20363_210053"/>
    <w:bookmarkEnd w:id="701"/>
    <w:p>
      <w:pPr>
        <w:pStyle w:val="BookText"/>
      </w:pPr>
      <w:r>
        <w:rPr>
          <w:rFonts w:ascii="Times New Roman" w:hAnsi="Times New Roman" w:eastAsia="Times New Roman" w:cs="Times New Roman"/>
          <w:lang w:val="en-US" w:bidi="en-US"/>
          <w:color w:val="111111"/>
          <w:sz w:val="28"/>
          <w:szCs w:val="28"/>
          <w:rtl/>
        </w:rPr>
        <w:t xml:space="preserve">tatimmat-u yatīmat-il dahr</w:t>
      </w:r>
    </w:p>
    <w:p>
      <w:pPr>
        <w:pStyle w:val="BookText"/>
      </w:pPr>
      <w:r>
        <w:rPr>
          <w:rFonts w:ascii="IRNazanin" w:hAnsi="IRNazanin" w:eastAsia="IRNazanin" w:cs="IRNazanin"/>
          <w:lang w:bidi="fa-IR"/>
          <w:color w:val="111111"/>
          <w:sz w:val="28"/>
          <w:szCs w:val="28"/>
          <w:rtl/>
        </w:rPr>
        <w:t xml:space="preserve">ثعالبی، عبدالملک بن محمد، ۳۵۰-۴۲۹ قمری</w:t>
      </w:r>
    </w:p>
    <w:p>
      <w:pPr>
        <w:pStyle w:val="BookText"/>
      </w:pPr>
      <w:r>
        <w:rPr>
          <w:rFonts w:ascii="Times New Roman" w:hAnsi="Times New Roman" w:eastAsia="Times New Roman" w:cs="Times New Roman"/>
          <w:lang w:val="en-US" w:bidi="en-US"/>
          <w:color w:val="111111"/>
          <w:sz w:val="28"/>
          <w:szCs w:val="28"/>
          <w:rtl/>
        </w:rPr>
        <w:t xml:space="preserve">sa‘ālebī, ‘abd-ol-malek ebn-e mohammad (962-1038)</w:t>
      </w:r>
    </w:p>
    <w:p>
      <w:pPr>
        <w:pStyle w:val="BookText"/>
      </w:pPr>
      <w:r>
        <w:rPr>
          <w:rFonts w:ascii="IRNazanin" w:hAnsi="IRNazanin" w:eastAsia="IRNazanin" w:cs="IRNazanin"/>
          <w:lang w:bidi="fa-IR"/>
          <w:color w:val="111111"/>
          <w:sz w:val="28"/>
          <w:szCs w:val="28"/>
          <w:rtl/>
        </w:rPr>
        <w:t xml:space="preserve">وابسته به: يتيمة الدهر في محاسن أهل العصر؛ ثعالبی، عبدالملك بن محمد (۳۵۰-۴۲۹ق) تتمه ای است بر کتاب «يتيمة الدهر» مؤلف. وی می گوید از آنجا که دیده است در کتابش مکان قومی از ساده نیامده است، برای جبران این نقص تتمه حاضر را نوشته است و آن را مطابق با چهار قسم کتاب اصلی در چهار قسم قرار داده است: تتمة القسم الأول في محاسن أهل الشام و الجزيرة؛ تتمة القسم الثاني في محاسن أهل العراق؛ تتمة القسم الثالث في اهل الري؛ تتمة القسم الرابع في محاسن اهل الخراسان.</w:t>
      </w:r>
    </w:p>
    <w:p>
      <w:pPr>
        <w:pStyle w:val="BookText"/>
      </w:pPr>
      <w:r>
        <w:rPr>
          <w:rFonts w:ascii="IRNazanin" w:hAnsi="IRNazanin" w:eastAsia="IRNazanin" w:cs="IRNazanin"/>
          <w:lang w:bidi="fa-IR"/>
          <w:color w:val="111111"/>
          <w:sz w:val="28"/>
          <w:szCs w:val="28"/>
          <w:rtl/>
        </w:rPr>
        <w:t xml:space="preserve">چاپ: محقق: عباس اقبال، تهران، مطبعة فردین، ۱۸۵ ص، ۱۳۵۳ق.</w:t>
      </w:r>
    </w:p>
    <w:p>
      <w:pPr>
        <w:pStyle w:val="BookText"/>
      </w:pPr>
      <w:r>
        <w:rPr>
          <w:rFonts w:ascii="IRNazanin" w:hAnsi="IRNazanin" w:eastAsia="IRNazanin" w:cs="IRNazanin"/>
          <w:lang w:bidi="fa-IR"/>
          <w:color w:val="111111"/>
          <w:sz w:val="28"/>
          <w:szCs w:val="28"/>
          <w:rtl/>
        </w:rPr>
        <w:t xml:space="preserve">[دیباچه اقبال بر این کتاب چاپ ۱۳۵۳ ق ص ۶۷]</w:t>
      </w:r>
    </w:p>
    <w:p>
      <w:pPr>
        <w:pStyle w:val="BookText"/>
      </w:pPr>
      <w:r>
        <w:rPr>
          <w:rFonts w:ascii="IRNazanin" w:hAnsi="IRNazanin" w:eastAsia="IRNazanin" w:cs="IRNazanin"/>
          <w:lang w:bidi="fa-IR"/>
          <w:color w:val="111111"/>
          <w:sz w:val="28"/>
          <w:szCs w:val="28"/>
          <w:rtl/>
        </w:rPr>
        <w:t xml:space="preserve">۱. تهران؛ دانشگاه؛ شماره نسخه:۱۴-ع</w:t>
      </w:r>
    </w:p>
    <w:p>
      <w:pPr>
        <w:pStyle w:val="BookText"/>
      </w:pPr>
      <w:r>
        <w:rPr>
          <w:rFonts w:ascii="IRNazanin" w:hAnsi="IRNazanin" w:eastAsia="IRNazanin" w:cs="IRNazanin"/>
          <w:lang w:bidi="fa-IR"/>
          <w:color w:val="111111"/>
          <w:sz w:val="28"/>
          <w:szCs w:val="28"/>
          <w:rtl/>
        </w:rPr>
        <w:t xml:space="preserve">نسخه اصل: پاریس 3308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 خط: نسخ، کا: ابراهيم بن احمد قلعی، تا: ۱۷ صفر ۹۸۹؛ ۷۷</w:t>
      </w:r>
    </w:p>
    <w:p>
      <w:pPr>
        <w:pStyle w:val="BookText"/>
      </w:pPr>
      <w:r>
        <w:rPr>
          <w:rFonts w:ascii="IRNazanin" w:hAnsi="IRNazanin" w:eastAsia="IRNazanin" w:cs="IRNazanin"/>
          <w:lang w:bidi="fa-IR"/>
          <w:color w:val="111111"/>
          <w:sz w:val="28"/>
          <w:szCs w:val="28"/>
          <w:rtl/>
        </w:rPr>
        <w:t xml:space="preserve">، ۳۹ سطر [فیلمها ف: ۱-۲۹۶]</w:t>
      </w:r>
    </w:p>
    <w:p>
      <w:pPr>
        <w:pStyle w:val="BookText"/>
      </w:pPr>
      <w:r>
        <w:rPr>
          <w:rFonts w:ascii="IRNazanin" w:hAnsi="IRNazanin" w:eastAsia="IRNazanin" w:cs="IRNazanin"/>
          <w:lang w:bidi="fa-IR"/>
          <w:color w:val="111111"/>
          <w:sz w:val="28"/>
          <w:szCs w:val="28"/>
          <w:rtl/>
        </w:rPr>
        <w:t xml:space="preserve">۲. تهران؛ دانشگاه؛ شماره نسخه:۱۴-عکس</w:t>
      </w:r>
    </w:p>
    <w:p>
      <w:pPr>
        <w:pStyle w:val="BookText"/>
      </w:pPr>
      <w:r>
        <w:rPr>
          <w:rFonts w:ascii="IRNazanin" w:hAnsi="IRNazanin" w:eastAsia="IRNazanin" w:cs="IRNazanin"/>
          <w:lang w:bidi="fa-IR"/>
          <w:color w:val="111111"/>
          <w:sz w:val="28"/>
          <w:szCs w:val="28"/>
          <w:rtl/>
        </w:rPr>
        <w:t xml:space="preserve">نسخه اصل: پاریس 3908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 بی کا، بی تا [فيلمها ف: ۳-۲۱۹]</w:t>
      </w:r>
    </w:p>
    <w:p>
      <w:pPr>
        <w:pStyle w:val="BookText"/>
      </w:pPr>
      <w:r>
        <w:rPr>
          <w:rFonts w:ascii="IRNazanin" w:hAnsi="IRNazanin" w:eastAsia="IRNazanin" w:cs="IRNazanin"/>
          <w:lang w:bidi="fa-IR"/>
          <w:color w:val="111111"/>
          <w:sz w:val="28"/>
          <w:szCs w:val="28"/>
          <w:rtl/>
        </w:rPr>
        <w:t xml:space="preserve">٣. مشهد؛ رضوی؛ شماره نسخه: ۲۶۵۴۱</w:t>
      </w:r>
    </w:p>
    <w:p>
      <w:pPr>
        <w:pStyle w:val="BookText"/>
      </w:pPr>
      <w:r>
        <w:rPr>
          <w:rFonts w:ascii="IRNazanin" w:hAnsi="IRNazanin" w:eastAsia="IRNazanin" w:cs="IRNazanin"/>
          <w:lang w:bidi="fa-IR"/>
          <w:color w:val="111111"/>
          <w:sz w:val="28"/>
          <w:szCs w:val="28"/>
          <w:rtl/>
        </w:rPr>
        <w:t xml:space="preserve">آغاز: من اخرى كل يوم انا من؛ انجام: حدثني بالملوک و الكبراء</w:t>
      </w:r>
    </w:p>
    <w:p>
      <w:pPr>
        <w:pStyle w:val="BookText"/>
      </w:pPr>
      <w:r>
        <w:rPr>
          <w:rFonts w:ascii="IRNazanin" w:hAnsi="IRNazanin" w:eastAsia="IRNazanin" w:cs="IRNazanin"/>
          <w:lang w:bidi="fa-IR"/>
          <w:color w:val="111111"/>
          <w:sz w:val="28"/>
          <w:szCs w:val="28"/>
          <w:rtl/>
        </w:rPr>
        <w:t xml:space="preserve">خط: نسخ، بی کا، تا: قرن ۱۳؛ افتادگی: آغاز و انجام</w:t>
      </w:r>
    </w:p>
    <w:p>
      <w:pPr>
        <w:pStyle w:val="BookText"/>
      </w:pPr>
      <w:r>
        <w:rPr>
          <w:rFonts w:ascii="IRNazanin" w:hAnsi="IRNazanin" w:eastAsia="IRNazanin" w:cs="IRNazanin"/>
          <w:lang w:bidi="fa-IR"/>
          <w:color w:val="111111"/>
          <w:sz w:val="28"/>
          <w:szCs w:val="28"/>
          <w:rtl/>
        </w:rPr>
        <w:t xml:space="preserve">کاغذ: نخودی، جلد: اسقاطی [رایانه ]</w:t>
      </w:r>
    </w:p>
    <w:p>
      <w:pPr>
        <w:pStyle w:val="Heading3"/>
      </w:pPr>
      <w:bookmarkStart w:id="3042" w:name="_Toc2302"/>
      <w:r>
        <w:t>•تتميم الأدب في مجاري كلام العرب / لغت / عربی</w:t>
      </w:r>
      <w:bookmarkEnd w:id="3042"/>
    </w:p>
    <w:p>
      <w:pPr>
        <w:pStyle w:val="BookText"/>
      </w:pPr>
      <w:r>
        <w:rPr>
          <w:rFonts w:ascii="Times New Roman" w:hAnsi="Times New Roman" w:eastAsia="Times New Roman" w:cs="Times New Roman"/>
          <w:lang w:val="en-US" w:bidi="en-US"/>
          <w:color w:val="111111"/>
          <w:sz w:val="28"/>
          <w:szCs w:val="28"/>
          <w:rtl/>
        </w:rPr>
        <w:t xml:space="preserve">tatmīm-ul adab fi majārī-yi kalām-il ‘arab</w:t>
      </w:r>
    </w:p>
    <w:p>
      <w:pPr>
        <w:pStyle w:val="BookText"/>
      </w:pPr>
      <w:r>
        <w:rPr>
          <w:rFonts w:ascii="IRNazanin" w:hAnsi="IRNazanin" w:eastAsia="IRNazanin" w:cs="IRNazanin"/>
          <w:lang w:bidi="fa-IR"/>
          <w:color w:val="111111"/>
          <w:sz w:val="28"/>
          <w:szCs w:val="28"/>
          <w:rtl/>
        </w:rPr>
        <w:t xml:space="preserve">رساله ای در تأنيث و تذکیر و جمله ای از مباحث مناسبه، در سه باب.</w:t>
      </w:r>
    </w:p>
    <w:p>
      <w:pPr>
        <w:pStyle w:val="BookText"/>
      </w:pPr>
      <w:r>
        <w:rPr>
          <w:rFonts w:ascii="IRNazanin" w:hAnsi="IRNazanin" w:eastAsia="IRNazanin" w:cs="IRNazanin"/>
          <w:lang w:bidi="fa-IR"/>
          <w:color w:val="111111"/>
          <w:sz w:val="28"/>
          <w:szCs w:val="28"/>
          <w:rtl/>
        </w:rPr>
        <w:t xml:space="preserve">قم؛ فاضل قائینی؛ شماره نسخه:بدون شماره</w:t>
      </w:r>
    </w:p>
    <w:p>
      <w:pPr>
        <w:pStyle w:val="BookText"/>
      </w:pPr>
      <w:r>
        <w:rPr>
          <w:rFonts w:ascii="IRNazanin" w:hAnsi="IRNazanin" w:eastAsia="IRNazanin" w:cs="IRNazanin"/>
          <w:lang w:bidi="fa-IR"/>
          <w:color w:val="111111"/>
          <w:sz w:val="28"/>
          <w:szCs w:val="28"/>
          <w:rtl/>
        </w:rPr>
        <w:t xml:space="preserve">انجام: قد استراح قلم الاستعجال لنقله من السواد الى البياض ... الليلة الأحد الثالث عشر من شهر جمادى الآخرة المنتظمة في سلك شهور حجة ثلاث و مائة بعد الألف بدار السلطنة أصفهان، حمیت عن بوائق الحدثان في المدرسة الجليلة الرفيعة المرتضوية، عمرت بأفاضل البرية، و الحمدلله أولا و آخر. قد وقع الفراغ من تسوید هذه الرسالة أقل طلبة مذنب العاصي يحتاج الى مغفرة يزدانی محمد حسين الخبوشانی ... بدار السلطنة أصفهان في المدرسة لنبان سنة ۱۱۱۶. کا: محمد حسین خبوشانی، تا: ۱۱۱۶ق، جا: دار السلطنه اصفهان، مدرسه لنبان [ تراثنا: س ۱۳ ش ۱-۱۴۰]</w:t>
      </w:r>
    </w:p>
    <w:p>
      <w:pPr>
        <w:pStyle w:val="Heading3"/>
      </w:pPr>
      <w:bookmarkStart w:id="3043" w:name="_Toc2303"/>
      <w:r>
        <w:t>•تتميم الافصاح في ترتيب الايضاح / رجال / عربی</w:t>
      </w:r>
      <w:bookmarkEnd w:id="3043"/>
    </w:p>
    <w:p>
      <w:pPr>
        <w:pStyle w:val="BookText"/>
      </w:pPr>
      <w:r>
        <w:rPr>
          <w:rFonts w:ascii="Times New Roman" w:hAnsi="Times New Roman" w:eastAsia="Times New Roman" w:cs="Times New Roman"/>
          <w:lang w:val="en-US" w:bidi="en-US"/>
          <w:color w:val="111111"/>
          <w:sz w:val="28"/>
          <w:szCs w:val="28"/>
          <w:rtl/>
        </w:rPr>
        <w:t xml:space="preserve">tatmīm-ul ifşāḥ fi tartīb-il īdāh</w:t>
      </w:r>
    </w:p>
    <w:p>
      <w:pPr>
        <w:pStyle w:val="BookText"/>
      </w:pPr>
      <w:r>
        <w:rPr>
          <w:rFonts w:ascii="IRNazanin" w:hAnsi="IRNazanin" w:eastAsia="IRNazanin" w:cs="IRNazanin"/>
          <w:lang w:bidi="fa-IR"/>
          <w:color w:val="111111"/>
          <w:sz w:val="28"/>
          <w:szCs w:val="28"/>
          <w:rtl/>
        </w:rPr>
        <w:t xml:space="preserve">موسوی اصفهانی، جعفر بن حسین، ۱۰۹۰-۱۱۵۸ قمری</w:t>
      </w:r>
    </w:p>
    <w:p>
      <w:pPr>
        <w:pStyle w:val="BookText"/>
      </w:pPr>
      <w:r>
        <w:rPr>
          <w:rFonts w:ascii="Times New Roman" w:hAnsi="Times New Roman" w:eastAsia="Times New Roman" w:cs="Times New Roman"/>
          <w:lang w:val="en-US" w:bidi="en-US"/>
          <w:color w:val="111111"/>
          <w:sz w:val="28"/>
          <w:szCs w:val="28"/>
          <w:rtl/>
        </w:rPr>
        <w:t xml:space="preserve">mūsavī esfahānī, ja'far ebn-e hoseyn (1679-1745)</w:t>
      </w:r>
    </w:p>
    <w:p>
      <w:pPr>
        <w:pStyle w:val="BookText"/>
      </w:pPr>
      <w:r>
        <w:rPr>
          <w:rFonts w:ascii="IRNazanin" w:hAnsi="IRNazanin" w:eastAsia="IRNazanin" w:cs="IRNazanin"/>
          <w:lang w:bidi="fa-IR"/>
          <w:color w:val="111111"/>
          <w:sz w:val="28"/>
          <w:szCs w:val="28"/>
          <w:rtl/>
        </w:rPr>
        <w:t xml:space="preserve">وابسته به: ایضاح الاشتباه في اسماء الرواة = ایضاح الاشتباه في ضبط تراجم الرجال؛ علامه حلی، حسن بن یوسف (۶۴۸-۷۲۶) رجال کتاب «ایضاح الاشتباه» علامه حلی را به ترتیب حروف تهجی گرد آورده با اضافه مطالبی از خلاصة الأقوال علامه و دیگر کتب رجالی که ذکر آنها را لازم دانسته با اشاره به ثقه یا ضعیف بودن روات با استفاده از وجيزة علامه مجلسی.[ الذريعه ۴۹۳/۲ ذیل رقم ۱۹۳۴ و ۳۳۶٫۳ ]</w:t>
      </w:r>
    </w:p>
    <w:p>
      <w:pPr>
        <w:pStyle w:val="BookText"/>
      </w:pPr>
      <w:r>
        <w:rPr>
          <w:rFonts w:ascii="IRNazanin" w:hAnsi="IRNazanin" w:eastAsia="IRNazanin" w:cs="IRNazanin"/>
          <w:lang w:bidi="fa-IR"/>
          <w:color w:val="111111"/>
          <w:sz w:val="28"/>
          <w:szCs w:val="28"/>
          <w:rtl/>
        </w:rPr>
        <w:t xml:space="preserve">قم: مرکز احیاء؛ شماره نسخه:۴۲۵۹/۷</w:t>
      </w:r>
    </w:p>
    <w:p>
      <w:pPr>
        <w:pStyle w:val="BookText"/>
      </w:pPr>
      <w:r>
        <w:rPr>
          <w:rFonts w:ascii="IRNazanin" w:hAnsi="IRNazanin" w:eastAsia="IRNazanin" w:cs="IRNazanin"/>
          <w:lang w:bidi="fa-IR"/>
          <w:color w:val="111111"/>
          <w:sz w:val="28"/>
          <w:szCs w:val="28"/>
          <w:rtl/>
        </w:rPr>
        <w:t xml:space="preserve">آغاز: الحمدلله رب العالمين ... و بعد فيقول فقير عباد الله ... اني لما رأيت کتاب ایضاح الاشتباه لعلامة علمائنا الاعلام رفع الله تعالی درجته مع كثرة نفعه و نهاية الاحتياج اليه؛ انجام: و كان قاضيا لأبي جعفر المنصور على سواد الكوفة و كان شاعرا و في المغنية عبدالله بن شبرمه ضعيف. نسخه حاضر تا عبدالله بن شبرمه را داراست و ظاهرا تا همین جا تأليف شده؛ خط: نسخ، بی کا، تا: قرن ۱۳؛ مصحح، محشی؛ جلد: تیماج مشکی، ۲۲گ</w:t>
      </w:r>
    </w:p>
    <w:p>
      <w:pPr>
        <w:pStyle w:val="BookText"/>
      </w:pPr>
      <w:r>
        <w:rPr>
          <w:rFonts w:ascii="IRNazanin" w:hAnsi="IRNazanin" w:eastAsia="IRNazanin" w:cs="IRNazanin"/>
          <w:lang w:bidi="fa-IR"/>
          <w:color w:val="111111"/>
          <w:sz w:val="28"/>
          <w:szCs w:val="28"/>
          <w:rtl/>
        </w:rPr>
        <w:t xml:space="preserve">(۱۱۲پ -۱۳۳ر)، ۲۵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 محدث ارموی مخ: ۱-۲۷۶]</w:t>
      </w:r>
    </w:p>
    <w:p>
      <w:pPr>
        <w:pStyle w:val="Heading3"/>
      </w:pPr>
      <w:bookmarkStart w:id="3044" w:name="_Toc2304"/>
      <w:r>
        <w:t>•تتمیم امل الآمل / تراجم / عربی</w:t>
      </w:r>
      <w:bookmarkEnd w:id="3044"/>
    </w:p>
    <w:p>
      <w:pPr>
        <w:pStyle w:val="BookText"/>
      </w:pPr>
      <w:r>
        <w:rPr>
          <w:rFonts w:ascii="Times New Roman" w:hAnsi="Times New Roman" w:eastAsia="Times New Roman" w:cs="Times New Roman"/>
          <w:lang w:val="en-US" w:bidi="en-US"/>
          <w:color w:val="111111"/>
          <w:sz w:val="28"/>
          <w:szCs w:val="28"/>
          <w:rtl/>
        </w:rPr>
        <w:t xml:space="preserve">tatmīm-u amal-il āmil</w:t>
      </w:r>
    </w:p>
    <w:p>
      <w:pPr>
        <w:pStyle w:val="BookText"/>
      </w:pPr>
      <w:r>
        <w:rPr>
          <w:rFonts w:ascii="IRNazanin" w:hAnsi="IRNazanin" w:eastAsia="IRNazanin" w:cs="IRNazanin"/>
          <w:lang w:bidi="fa-IR"/>
          <w:color w:val="111111"/>
          <w:sz w:val="28"/>
          <w:szCs w:val="28"/>
          <w:rtl/>
        </w:rPr>
        <w:t xml:space="preserve">قزوینی، عبدالنبي بن محمد تقی، ۱۱۲۵-۱۱۹۷ ؟ قمری</w:t>
      </w:r>
    </w:p>
    <w:p>
      <w:pPr>
        <w:pStyle w:val="BookText"/>
      </w:pPr>
      <w:r>
        <w:rPr>
          <w:rFonts w:ascii="Times New Roman" w:hAnsi="Times New Roman" w:eastAsia="Times New Roman" w:cs="Times New Roman"/>
          <w:lang w:val="en-US" w:bidi="en-US"/>
          <w:color w:val="111111"/>
          <w:sz w:val="28"/>
          <w:szCs w:val="28"/>
          <w:rtl/>
        </w:rPr>
        <w:t xml:space="preserve">qazvīnī, 'abd-on-nabī ebn-e mohammad taqi (1713 1783)</w:t>
      </w:r>
    </w:p>
    <w:p>
      <w:pPr>
        <w:pStyle w:val="BookText"/>
      </w:pPr>
      <w:r>
        <w:rPr>
          <w:rFonts w:ascii="IRNazanin" w:hAnsi="IRNazanin" w:eastAsia="IRNazanin" w:cs="IRNazanin"/>
          <w:lang w:bidi="fa-IR"/>
          <w:color w:val="111111"/>
          <w:sz w:val="28"/>
          <w:szCs w:val="28"/>
          <w:rtl/>
        </w:rPr>
        <w:t xml:space="preserve">وابسته به: أمل الآمل في (تراجم علماء جبل عامل = تذكرة المتبحرين في (ترجمه العلماء المتأخرين؛ حر عاملی، محمد بن حسن (۱۰۳۳-۱۱۰۴) | به دستور: سید محمد مهدی بحر العلوم تاریخ تأليف: آغاز ۱۱۹۱ق امل الأمل» حر عاملی که شرح حال علمای پس از شیخ طوسی تا عصر خودش می باشد، در این کتاب تکمیل شده و شرح حال گروهی از علمای معاصر حر تا عصر قزوینی را افزوده که به ترتیب حروف تنظیم شده و فقط تا مقداری از حرف شين تألیف شده است.</w:t>
      </w:r>
    </w:p>
    <w:p>
      <w:pPr>
        <w:pStyle w:val="BookText"/>
      </w:pPr>
      <w:r>
        <w:rPr>
          <w:rFonts w:ascii="IRNazanin" w:hAnsi="IRNazanin" w:eastAsia="IRNazanin" w:cs="IRNazanin"/>
          <w:lang w:bidi="fa-IR"/>
          <w:color w:val="111111"/>
          <w:sz w:val="28"/>
          <w:szCs w:val="28"/>
          <w:rtl/>
        </w:rPr>
        <w:t xml:space="preserve">قم؛ مرعشی؛ شماره نسخه: ۵۰۰۳/۷</w:t>
      </w:r>
    </w:p>
    <w:p>
      <w:pPr>
        <w:pStyle w:val="BookText"/>
      </w:pPr>
      <w:r>
        <w:rPr>
          <w:rFonts w:ascii="IRNazanin" w:hAnsi="IRNazanin" w:eastAsia="IRNazanin" w:cs="IRNazanin"/>
          <w:lang w:bidi="fa-IR"/>
          <w:color w:val="111111"/>
          <w:sz w:val="28"/>
          <w:szCs w:val="28"/>
          <w:rtl/>
        </w:rPr>
        <w:t xml:space="preserve">آغاز: الحمد لله مفيض الخير و السعادة و موفق أولى العلم و العبادة و جاعلهم القادة و السادة؛ انجام: فكان شیخ الاسلام في رشت و شیراز له رسالة في البداء و تحقيقه
</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bookmarkStart w:id="702" w:name="pg20363_210054"/>
    <w:bookmarkEnd w:id="702"/>
    <w:p>
      <w:pPr>
        <w:pStyle w:val="BookText"/>
      </w:pPr>
      <w:r>
        <w:rPr>
          <w:rFonts w:ascii="IRNazanin" w:hAnsi="IRNazanin" w:eastAsia="IRNazanin" w:cs="IRNazanin"/>
          <w:lang w:bidi="fa-IR"/>
          <w:color w:val="111111"/>
          <w:sz w:val="28"/>
          <w:szCs w:val="28"/>
          <w:rtl/>
        </w:rPr>
        <w:t xml:space="preserve">خط: نسخ، كا: علی بن موسی (ثقة الاسلام تبریزی و نامش در نسخه ها نیامده است)، تا: ربيع الأول ۱۳۰۷ق، جا: نجف اشرف جلد: تیماج قهوه ای، ۳۷گ (۵۷پ -۹۳ر)،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۲۰۰-۱۳ ]</w:t>
      </w:r>
    </w:p>
    <w:p>
      <w:pPr>
        <w:pStyle w:val="Heading3"/>
      </w:pPr>
      <w:bookmarkStart w:id="3045" w:name="_Toc2305"/>
      <w:r>
        <w:t>•تتمیم جامع عباسی / فقه / فارسی</w:t>
      </w:r>
      <w:bookmarkEnd w:id="3045"/>
    </w:p>
    <w:p>
      <w:pPr>
        <w:pStyle w:val="BookText"/>
      </w:pPr>
      <w:r>
        <w:rPr>
          <w:rFonts w:ascii="Times New Roman" w:hAnsi="Times New Roman" w:eastAsia="Times New Roman" w:cs="Times New Roman"/>
          <w:lang w:val="en-US" w:bidi="en-US"/>
          <w:color w:val="111111"/>
          <w:sz w:val="28"/>
          <w:szCs w:val="28"/>
          <w:rtl/>
        </w:rPr>
        <w:t xml:space="preserve">tatmīm-e jāme‘-e ‘abbāsī</w:t>
      </w:r>
    </w:p>
    <w:p>
      <w:pPr>
        <w:pStyle w:val="BookText"/>
      </w:pPr>
      <w:r>
        <w:rPr>
          <w:rFonts w:ascii="IRNazanin" w:hAnsi="IRNazanin" w:eastAsia="IRNazanin" w:cs="IRNazanin"/>
          <w:lang w:bidi="fa-IR"/>
          <w:color w:val="111111"/>
          <w:sz w:val="28"/>
          <w:szCs w:val="28"/>
          <w:rtl/>
        </w:rPr>
        <w:t xml:space="preserve">قرشی ساوجی، محمد بن حسین، ق ۱۱ قمری</w:t>
      </w:r>
    </w:p>
    <w:p>
      <w:pPr>
        <w:pStyle w:val="BookText"/>
      </w:pPr>
      <w:r>
        <w:rPr>
          <w:rFonts w:ascii="Times New Roman" w:hAnsi="Times New Roman" w:eastAsia="Times New Roman" w:cs="Times New Roman"/>
          <w:lang w:val="en-US" w:bidi="en-US"/>
          <w:color w:val="111111"/>
          <w:sz w:val="28"/>
          <w:szCs w:val="28"/>
          <w:rtl/>
        </w:rPr>
        <w:t xml:space="preserve">qorašī sāvajī, mohammad ebn-e hoseyn (-170)</w:t>
      </w:r>
    </w:p>
    <w:p>
      <w:pPr>
        <w:pStyle w:val="BookText"/>
      </w:pPr>
      <w:r>
        <w:rPr>
          <w:rFonts w:ascii="IRNazanin" w:hAnsi="IRNazanin" w:eastAsia="IRNazanin" w:cs="IRNazanin"/>
          <w:lang w:bidi="fa-IR"/>
          <w:color w:val="111111"/>
          <w:sz w:val="28"/>
          <w:szCs w:val="28"/>
          <w:rtl/>
        </w:rPr>
        <w:t xml:space="preserve">الاستعداد به عهده</w:t>
      </w:r>
    </w:p>
    <w:p>
      <w:pPr>
        <w:pStyle w:val="BookText"/>
      </w:pPr>
      <w:r>
        <w:rPr>
          <w:rFonts w:ascii="IRNazanin" w:hAnsi="IRNazanin" w:eastAsia="IRNazanin" w:cs="IRNazanin"/>
          <w:lang w:bidi="fa-IR"/>
          <w:color w:val="111111"/>
          <w:sz w:val="28"/>
          <w:szCs w:val="28"/>
          <w:rtl/>
        </w:rPr>
        <w:t xml:space="preserve">وابسته به: جامع عباسی؛ شیخ بهائی، محمد بن حسين (۹۵۳ )</w:t>
      </w:r>
    </w:p>
    <w:p>
      <w:pPr>
        <w:pStyle w:val="BookText"/>
      </w:pPr>
      <w:r>
        <w:rPr>
          <w:rFonts w:ascii="IRNazanin" w:hAnsi="IRNazanin" w:eastAsia="IRNazanin" w:cs="IRNazanin"/>
          <w:lang w:bidi="fa-IR"/>
          <w:color w:val="111111"/>
          <w:sz w:val="28"/>
          <w:szCs w:val="28"/>
          <w:rtl/>
        </w:rPr>
        <w:t xml:space="preserve">«جامع عباسی» فقه فتوایی فارسی مهمی است. شیخ بهائی مؤلف آن به دستور شاه عباس صفوی (۱۰۳۸) تالیف آن را آغاز نمود و بنا داشت همه احکام فقهی را در بیست «باب» تنظیم نماید و فقط توانست ۵ باب آن را در عبادات تا آخر حج تألیف کند و فوت کرد. شاگرد او نظام الدین ساوجی، به امر او آن را تکمیل کرد و قسمت معاملات و احکام را جمعا در ۲۰ باب سامان داد. ابواب تکیل شده عبارت است از: باب ۶. وقف، صدقه قرض؛ ۷. زیارت معصومین (علیهم السلام)؛ ۸ نذر، عهد، کفاره؛ ۹. بيع، تجارت، کسب؛ ۱۰. اجاره، عاریه، غصب؛ ۱۱. نکاح، تحلیل، ملک یمین؛ ۱۲. طلاق، ایلاء، ظهار، لعان؛ ۱۳. شکار؛ ۱۴. ذبح حیوانات، حلال و حرام آنها؛ ۱۵. طعام خوردن، آب نوشیدن، رخت پوشیدن؛ ۱۶. قضا؛ ۱۷. اقرار، وصیت؛ ۱۸. تقسیم ترکه و میراث؛ ۱۹. حدود؛ ۲۰. خون بهای انسان و ... برای دیدن کامل نسخه ها به «جامع عباسی» نیز رجوع شود. آغاز: بسمله الحمدلله رب العالمين ... و بعد چون همگی همت عالی ... باب ششم از کتاب جامع عباسی در وقف کردن و تصدیق نمودن و قرض دادن ... مطلب اول در بیان وقف کردن انجام: یا رب دعای خسته دلان مستجاب کن و ختم این کتاب بر دعای دوام دولت ... ولله الحمد على نعمائه و حسناته و جزایل آلائه</w:t>
      </w:r>
    </w:p>
    <w:p>
      <w:pPr>
        <w:pStyle w:val="BookText"/>
      </w:pPr>
      <w:r>
        <w:rPr>
          <w:rFonts w:ascii="IRNazanin" w:hAnsi="IRNazanin" w:eastAsia="IRNazanin" w:cs="IRNazanin"/>
          <w:lang w:bidi="fa-IR"/>
          <w:color w:val="111111"/>
          <w:sz w:val="28"/>
          <w:szCs w:val="28"/>
          <w:rtl/>
        </w:rPr>
        <w:t xml:space="preserve">چاپ: مکرر با برخی از حواشی به چاپ رسیده است؛ بمبئی، سنگی، ۱۳۲۳ق، وزیری بزرگ، ۳۲ص (صص ۱۳۷-۴۶۴) [الذريعة ۳/ ۳۴۰؛ دنا ۷۸۷/۲ (۳۴ نسخه)]</w:t>
      </w:r>
    </w:p>
    <w:p>
      <w:pPr>
        <w:pStyle w:val="BookText"/>
      </w:pPr>
      <w:r>
        <w:rPr>
          <w:rFonts w:ascii="IRNazanin" w:hAnsi="IRNazanin" w:eastAsia="IRNazanin" w:cs="IRNazanin"/>
          <w:lang w:bidi="fa-IR"/>
          <w:color w:val="111111"/>
          <w:sz w:val="28"/>
          <w:szCs w:val="28"/>
          <w:rtl/>
        </w:rPr>
        <w:t xml:space="preserve">۱. قم؛ گلپایگانی؛ شماره نسخه: ۲/ ۶۹۷۰- ۳۵/۱۵۰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۱۱؛ جلد: تیماج قهوه ای، ۲۸۸گ، ۱۵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۲-۷۱۶]</w:t>
      </w:r>
    </w:p>
    <w:p>
      <w:pPr>
        <w:pStyle w:val="BookText"/>
      </w:pPr>
      <w:r>
        <w:rPr>
          <w:rFonts w:ascii="IRNazanin" w:hAnsi="IRNazanin" w:eastAsia="IRNazanin" w:cs="IRNazanin"/>
          <w:lang w:bidi="fa-IR"/>
          <w:color w:val="111111"/>
          <w:sz w:val="28"/>
          <w:szCs w:val="28"/>
          <w:rtl/>
        </w:rPr>
        <w:t xml:space="preserve">۲. یزد؛ وزیری؛ شماره نسخه:۴۶۳</w:t>
      </w:r>
    </w:p>
    <w:p>
      <w:pPr>
        <w:pStyle w:val="BookText"/>
      </w:pPr>
      <w:r>
        <w:rPr>
          <w:rFonts w:ascii="IRNazanin" w:hAnsi="IRNazanin" w:eastAsia="IRNazanin" w:cs="IRNazanin"/>
          <w:lang w:bidi="fa-IR"/>
          <w:color w:val="111111"/>
          <w:sz w:val="28"/>
          <w:szCs w:val="28"/>
          <w:rtl/>
        </w:rPr>
        <w:t xml:space="preserve">آغاز: برابر، انجام: امید که ایزد تعالی فواتح و خواتیم این پادشاه جوان سرفراز تخت را بميامن بركات بی انتهای خویش و به انواع خط: نسخ، بی کا، تا: قرن ۱۱؛ افتادگی: انجام؛ محشی؛ کاغذ: حنایی اصفهانی، ۴۱۵گ، ۱۵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 [ف: ۱-۴۰۹]</w:t>
      </w:r>
    </w:p>
    <w:p>
      <w:pPr>
        <w:pStyle w:val="BookText"/>
      </w:pPr>
      <w:r>
        <w:rPr>
          <w:rFonts w:ascii="IRNazanin" w:hAnsi="IRNazanin" w:eastAsia="IRNazanin" w:cs="IRNazanin"/>
          <w:lang w:bidi="fa-IR"/>
          <w:color w:val="111111"/>
          <w:sz w:val="28"/>
          <w:szCs w:val="28"/>
          <w:rtl/>
        </w:rPr>
        <w:t xml:space="preserve">٣. تهران؛ مجلس؛ شماره نسخه: ۱۵۰۸۹</w:t>
      </w:r>
    </w:p>
    <w:p>
      <w:pPr>
        <w:pStyle w:val="BookText"/>
      </w:pPr>
      <w:r>
        <w:rPr>
          <w:rFonts w:ascii="IRNazanin" w:hAnsi="IRNazanin" w:eastAsia="IRNazanin" w:cs="IRNazanin"/>
          <w:lang w:bidi="fa-IR"/>
          <w:color w:val="111111"/>
          <w:sz w:val="28"/>
          <w:szCs w:val="28"/>
          <w:rtl/>
        </w:rPr>
        <w:t xml:space="preserve">خط: نستعلیق ممتاز، كا: حاج علی اکبر تبریزی، تا: ۱۰۶۹ق [مختصر ف: ۲۲۲]</w:t>
      </w:r>
    </w:p>
    <w:p>
      <w:pPr>
        <w:pStyle w:val="BookText"/>
      </w:pPr>
      <w:r>
        <w:rPr>
          <w:rFonts w:ascii="IRNazanin" w:hAnsi="IRNazanin" w:eastAsia="IRNazanin" w:cs="IRNazanin"/>
          <w:lang w:bidi="fa-IR"/>
          <w:color w:val="111111"/>
          <w:sz w:val="28"/>
          <w:szCs w:val="28"/>
          <w:rtl/>
        </w:rPr>
        <w:t xml:space="preserve">۴. قم؛ معصومیه؛ شماره نسخه:۳۳۳</w:t>
      </w:r>
    </w:p>
    <w:p>
      <w:pPr>
        <w:pStyle w:val="BookText"/>
      </w:pPr>
      <w:r>
        <w:rPr>
          <w:rFonts w:ascii="IRNazanin" w:hAnsi="IRNazanin" w:eastAsia="IRNazanin" w:cs="IRNazanin"/>
          <w:lang w:bidi="fa-IR"/>
          <w:color w:val="111111"/>
          <w:sz w:val="28"/>
          <w:szCs w:val="28"/>
          <w:rtl/>
        </w:rPr>
        <w:t xml:space="preserve">از باب ششم تا بیستم می باشد؛ خط: نستعلیق، كا: شاه بنده ابن شاه رضا، تا: ۲۷ صفر ۱۰۷۳ق؛ جلد: شميز شیری، عطف تيماج مشکی، ۱۸۹ گ، ۲۳ سطر، اندازه: ۲۶۶۱۷سم [ف: ۱-۳۲۳]</w:t>
      </w:r>
    </w:p>
    <w:p>
      <w:pPr>
        <w:pStyle w:val="BookText"/>
      </w:pPr>
      <w:r>
        <w:rPr>
          <w:rFonts w:ascii="IRNazanin" w:hAnsi="IRNazanin" w:eastAsia="IRNazanin" w:cs="IRNazanin"/>
          <w:lang w:bidi="fa-IR"/>
          <w:color w:val="111111"/>
          <w:sz w:val="28"/>
          <w:szCs w:val="28"/>
          <w:rtl/>
        </w:rPr>
        <w:t xml:space="preserve">۵. زهان؛ مدرسه جعفریه زهان؛ شماره نسخه:۹۴</w:t>
      </w:r>
    </w:p>
    <w:p>
      <w:pPr>
        <w:pStyle w:val="BookText"/>
      </w:pPr>
      <w:r>
        <w:rPr>
          <w:rFonts w:ascii="IRNazanin" w:hAnsi="IRNazanin" w:eastAsia="IRNazanin" w:cs="IRNazanin"/>
          <w:lang w:bidi="fa-IR"/>
          <w:color w:val="111111"/>
          <w:sz w:val="28"/>
          <w:szCs w:val="28"/>
          <w:rtl/>
        </w:rPr>
        <w:t xml:space="preserve">دنباله جامع عباسی؛ خط: نستعلیق، کا: تقيا (بقبا) بن محمد مقیم قاضی جورمکی تونی، تا: ۷ جمادی الاول ۱۰۷۸ق؛ مصحح، در چهار برگ آخر مقداری از اصول و فرائض امام رضا (علیه السلام) که به مأمون نوشته آمده؛ جلد: تیماج قهوه ای عطف تیماج مشکی،</w:t>
      </w:r>
    </w:p>
    <w:p>
      <w:pPr>
        <w:pStyle w:val="BookText"/>
      </w:pPr>
      <w:r>
        <w:rPr>
          <w:rFonts w:ascii="IRNazanin" w:hAnsi="IRNazanin" w:eastAsia="IRNazanin" w:cs="IRNazanin"/>
          <w:lang w:bidi="fa-IR"/>
          <w:color w:val="111111"/>
          <w:sz w:val="28"/>
          <w:szCs w:val="28"/>
          <w:rtl/>
        </w:rPr>
        <w:t xml:space="preserve">۱۸۲گ، ۲۱ سطر،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۷۸]</w:t>
      </w:r>
    </w:p>
    <w:p>
      <w:pPr>
        <w:pStyle w:val="BookText"/>
      </w:pPr>
      <w:r>
        <w:rPr>
          <w:rFonts w:ascii="IRNazanin" w:hAnsi="IRNazanin" w:eastAsia="IRNazanin" w:cs="IRNazanin"/>
          <w:lang w:bidi="fa-IR"/>
          <w:color w:val="111111"/>
          <w:sz w:val="28"/>
          <w:szCs w:val="28"/>
          <w:rtl/>
        </w:rPr>
        <w:t xml:space="preserve">۶. تهران؛ ملی؛ شماره نسخه: ۸۳۰۰</w:t>
      </w:r>
    </w:p>
    <w:p>
      <w:pPr>
        <w:pStyle w:val="BookText"/>
      </w:pPr>
      <w:r>
        <w:rPr>
          <w:rFonts w:ascii="IRNazanin" w:hAnsi="IRNazanin" w:eastAsia="IRNazanin" w:cs="IRNazanin"/>
          <w:lang w:bidi="fa-IR"/>
          <w:color w:val="111111"/>
          <w:sz w:val="28"/>
          <w:szCs w:val="28"/>
          <w:rtl/>
        </w:rPr>
        <w:t xml:space="preserve">آغاز: برابر؛ انجام: امید آنکه منظور نظر کیمیا اثر نواب همیون ارفع اعلی گردیده ... و الصلوه و السلام على سيدنا محمد و اله الطاهرین. ابواب ششم تا بیستم؛ خط: نسخ خوش، كا: عبدالرحيم بن حاجی شاه ویرری، تا: ۱۰۸۶ق، جا: مشهد؛ مصحح؛ مهر: «على محمد) (مربع)؛ کاغذ: فرنگی نخودی، جلد: تیماج قهوه ای مقوایی، ۲۲۲گ (۱۰۶پ -۳۲۷)، ۲۱ سطر (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۲۴/۳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[رایانه]</w:t>
      </w:r>
    </w:p>
    <w:p>
      <w:pPr>
        <w:pStyle w:val="BookText"/>
      </w:pPr>
      <w:r>
        <w:rPr>
          <w:rFonts w:ascii="IRNazanin" w:hAnsi="IRNazanin" w:eastAsia="IRNazanin" w:cs="IRNazanin"/>
          <w:lang w:bidi="fa-IR"/>
          <w:color w:val="111111"/>
          <w:sz w:val="28"/>
          <w:szCs w:val="28"/>
          <w:rtl/>
        </w:rPr>
        <w:t xml:space="preserve">۷. قم؛ مرعشی؛ شماره نسخه: ۹۳۸۲</w:t>
      </w:r>
    </w:p>
    <w:p>
      <w:pPr>
        <w:pStyle w:val="BookText"/>
      </w:pPr>
      <w:r>
        <w:rPr>
          <w:rFonts w:ascii="IRNazanin" w:hAnsi="IRNazanin" w:eastAsia="IRNazanin" w:cs="IRNazanin"/>
          <w:lang w:bidi="fa-IR"/>
          <w:color w:val="111111"/>
          <w:sz w:val="28"/>
          <w:szCs w:val="28"/>
          <w:rtl/>
        </w:rPr>
        <w:t xml:space="preserve">آغاز: برابر؛ انجام: و وظیفه دعا گوئی دوام دولت ابد قرین شاهی</w:t>
      </w:r>
    </w:p>
    <w:p>
      <w:pPr>
        <w:pStyle w:val="BookText"/>
      </w:pPr>
      <w:r>
        <w:rPr>
          <w:rFonts w:ascii="IRNazanin" w:hAnsi="IRNazanin" w:eastAsia="IRNazanin" w:cs="IRNazanin"/>
          <w:lang w:bidi="fa-IR"/>
          <w:color w:val="111111"/>
          <w:sz w:val="28"/>
          <w:szCs w:val="28"/>
          <w:rtl/>
        </w:rPr>
        <w:t xml:space="preserve">ظل اللهی قیام و اقدام تواند نمود. خط: نستعلیق، كا: ابراهيم بن محمد رضا بر کویری، تا: ربيع الثاني ۱۰۸۸ق، به جهت فرزند ارجمند ملا سعدی؛ جلد: تیماج مشکی، ۲۶۲گ، ۱۹ 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۲۴-۱۶۵]</w:t>
      </w:r>
    </w:p>
    <w:p>
      <w:pPr>
        <w:pStyle w:val="BookText"/>
      </w:pPr>
      <w:r>
        <w:rPr>
          <w:rFonts w:ascii="IRNazanin" w:hAnsi="IRNazanin" w:eastAsia="IRNazanin" w:cs="IRNazanin"/>
          <w:lang w:bidi="fa-IR"/>
          <w:color w:val="111111"/>
          <w:sz w:val="28"/>
          <w:szCs w:val="28"/>
          <w:rtl/>
        </w:rPr>
        <w:t xml:space="preserve">۸. قم؛ گلپایگانی؛ شماره نسخه: ۷۳۲۱- ۳۷/۱۱۱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از اول تا آخر؛ خط: نستعلیق، كا: حاجی بن حسین بیک، تا: جمعه ۱۵ جمادی الاول ۱۰۹۱ق؛ جلد: تیماج قهوه ای، ۱۸۲ گ، ۱۷ 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۲-۷۱۶]</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مشهد؛ رضوی، شماره نسخه: ۱۶۰۷۸</w:t>
      </w:r>
    </w:p>
    <w:p>
      <w:pPr>
        <w:pStyle w:val="BookText"/>
      </w:pPr>
      <w:r>
        <w:rPr>
          <w:rFonts w:ascii="IRNazanin" w:hAnsi="IRNazanin" w:eastAsia="IRNazanin" w:cs="IRNazanin"/>
          <w:lang w:bidi="fa-IR"/>
          <w:color w:val="111111"/>
          <w:sz w:val="28"/>
          <w:szCs w:val="28"/>
          <w:rtl/>
        </w:rPr>
        <w:t xml:space="preserve">آغاز: برابر؛ انجام: دهم آن که در دو خمس خونبها در آن لازم است و آن نیز در دو. خط: نستعلیق، بی کا، تا: قرن ۱۲ افتادگی: انجام؛ واگذاری بنیاد مستضعفان در شهریور ۱۳۶۷؛ کاغذ: نخودی، جلد: تیماج مشکی، ۲۰۷گ، ۱۵ سطر، اندازه: ۱۴/۲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۲۱/۱-۳۱۶]</w:t>
      </w:r>
    </w:p>
    <w:p>
      <w:pPr>
        <w:pStyle w:val="BookText"/>
      </w:pPr>
      <w:r>
        <w:rPr>
          <w:rFonts w:ascii="IRNazanin" w:hAnsi="IRNazanin" w:eastAsia="IRNazanin" w:cs="IRNazanin"/>
          <w:lang w:bidi="fa-IR"/>
          <w:color w:val="111111"/>
          <w:sz w:val="28"/>
          <w:szCs w:val="28"/>
          <w:rtl/>
        </w:rPr>
        <w:t xml:space="preserve">۱۰. مشهد؛ رضوی؛ شماره نسخه:۲۲۸۰۴</w:t>
      </w:r>
    </w:p>
    <w:p>
      <w:pPr>
        <w:pStyle w:val="BookText"/>
      </w:pPr>
      <w:r>
        <w:rPr>
          <w:rFonts w:ascii="IRNazanin" w:hAnsi="IRNazanin" w:eastAsia="IRNazanin" w:cs="IRNazanin"/>
          <w:lang w:bidi="fa-IR"/>
          <w:color w:val="111111"/>
          <w:sz w:val="28"/>
          <w:szCs w:val="28"/>
          <w:rtl/>
        </w:rPr>
        <w:t xml:space="preserve">آغاز: برابر؛ انجام: و اگر خطایی به جهت حاکم شرع در حکم اتفاق شود از بیت المال باید داد و در غیر حکم خطای او بر عاقله
</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الله يعلم. خط: نسخ، بی کا، تا: قرن ۱۲؛ واقف: عبد الباقی آية اللهی، اسفند ۱۳۷۴؛ کاغذ: نخودی آهار مهره، جلد: تیماج مشکی، ۲۱۸گ، 19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۲سم</w:t>
      </w:r>
    </w:p>
    <w:p>
      <w:pPr>
        <w:pStyle w:val="BookText"/>
      </w:pPr>
      <w:r>
        <w:rPr>
          <w:rFonts w:ascii="IRNazanin" w:hAnsi="IRNazanin" w:eastAsia="IRNazanin" w:cs="IRNazanin"/>
          <w:lang w:bidi="fa-IR"/>
          <w:color w:val="111111"/>
          <w:sz w:val="28"/>
          <w:szCs w:val="28"/>
          <w:rtl/>
        </w:rPr>
        <w:t xml:space="preserve">[ف: ۲۱/۱ -۳۱۷]</w:t>
      </w:r>
    </w:p>
    <w:p>
      <w:pPr>
        <w:pStyle w:val="BookText"/>
      </w:pPr>
      <w:r>
        <w:rPr>
          <w:rFonts w:ascii="IRNazanin" w:hAnsi="IRNazanin" w:eastAsia="IRNazanin" w:cs="IRNazanin"/>
          <w:lang w:bidi="fa-IR"/>
          <w:color w:val="111111"/>
          <w:sz w:val="28"/>
          <w:szCs w:val="28"/>
          <w:rtl/>
        </w:rPr>
        <w:t xml:space="preserve">۱۱. یزد؛ وزیری؛ شماره نسخه ۸۸۸۰</w:t>
      </w:r>
    </w:p>
    <w:p>
      <w:pPr>
        <w:pStyle w:val="BookText"/>
      </w:pPr>
      <w:r>
        <w:rPr>
          <w:rFonts w:ascii="IRNazanin" w:hAnsi="IRNazanin" w:eastAsia="IRNazanin" w:cs="IRNazanin"/>
          <w:lang w:bidi="fa-IR"/>
          <w:color w:val="111111"/>
          <w:sz w:val="28"/>
          <w:szCs w:val="28"/>
          <w:rtl/>
        </w:rPr>
        <w:t xml:space="preserve">آغاز: برابر؛ انجام: و وظیفه دعا گویی دعای دولت ابد قرین شاهد ظل اللهی قیام و اقدام تواند کرد ... تم. خط: نسخ نازیبا، بی کا، تا: قرن ۱۲؛ در برگ پایان سرودهای از ابوعلی سینا در پزشکی هست؛ اهدایی: حاج على عطار، شعبان ۱۲۸۳؛ کاغذ: سمرقندی، جلد: مقوایی با تیماج زرد، ۲۲۲گ، ۱۹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۲-۷۳۵]</w:t>
      </w:r>
    </w:p>
    <w:p>
      <w:pPr>
        <w:pStyle w:val="BookText"/>
      </w:pPr>
      <w:r>
        <w:rPr>
          <w:rFonts w:ascii="IRNazanin" w:hAnsi="IRNazanin" w:eastAsia="IRNazanin" w:cs="IRNazanin"/>
          <w:lang w:bidi="fa-IR"/>
          <w:color w:val="111111"/>
          <w:sz w:val="28"/>
          <w:szCs w:val="28"/>
          <w:rtl/>
        </w:rPr>
        <w:t xml:space="preserve">۱۲. مشهد؛ رضوی؛ شماره نسخه: ۲۳۱۲</w:t>
      </w:r>
    </w:p>
    <w:p>
      <w:pPr>
        <w:pStyle w:val="BookText"/>
      </w:pPr>
      <w:r>
        <w:rPr>
          <w:rFonts w:ascii="IRNazanin" w:hAnsi="IRNazanin" w:eastAsia="IRNazanin" w:cs="IRNazanin"/>
          <w:lang w:bidi="fa-IR"/>
          <w:color w:val="111111"/>
          <w:sz w:val="28"/>
          <w:szCs w:val="28"/>
          <w:rtl/>
        </w:rPr>
        <w:t xml:space="preserve">آغاز: برابر؛ انجام: ظل اللهی قیام و اقدام تواند نمود. خط: نستعلیق، کا: سعد الدين محمد بن ابوالحسن حسینی، تا: ۱۲  ربيع الثانی ۱۱۰۶ق؛ افتادگی: انجام؛ واقف: مرتضی قلی خان، ۱۳۴۰؛ کاغذ: نخودی، جلد: تیماج مشکی، ۱۴۱گ، ۲۴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سم [ف: ۲۱/۱</w:t>
      </w:r>
    </w:p>
    <w:p>
      <w:pPr>
        <w:pStyle w:val="BookText"/>
      </w:pPr>
      <w:r>
        <w:rPr>
          <w:rFonts w:ascii="IRNazanin" w:hAnsi="IRNazanin" w:eastAsia="IRNazanin" w:cs="IRNazanin"/>
          <w:lang w:bidi="fa-IR"/>
          <w:color w:val="111111"/>
          <w:sz w:val="28"/>
          <w:szCs w:val="28"/>
          <w:rtl/>
        </w:rPr>
        <w:t xml:space="preserve">-۳۱۶]</w:t>
      </w:r>
    </w:p>
    <w:p>
      <w:pPr>
        <w:pStyle w:val="BookText"/>
      </w:pPr>
      <w:r>
        <w:rPr>
          <w:rFonts w:ascii="IRNazanin" w:hAnsi="IRNazanin" w:eastAsia="IRNazanin" w:cs="IRNazanin"/>
          <w:lang w:bidi="fa-IR"/>
          <w:color w:val="111111"/>
          <w:sz w:val="28"/>
          <w:szCs w:val="28"/>
          <w:rtl/>
        </w:rPr>
        <w:t xml:space="preserve">۱۳. تهران: مجلس؛ شماره نسخه:۱۳۲ سرود</w:t>
      </w:r>
    </w:p>
    <w:p>
      <w:pPr>
        <w:pStyle w:val="BookText"/>
      </w:pPr>
      <w:r>
        <w:rPr>
          <w:rFonts w:ascii="IRNazanin" w:hAnsi="IRNazanin" w:eastAsia="IRNazanin" w:cs="IRNazanin"/>
          <w:lang w:bidi="fa-IR"/>
          <w:color w:val="111111"/>
          <w:sz w:val="28"/>
          <w:szCs w:val="28"/>
          <w:rtl/>
        </w:rPr>
        <w:t xml:space="preserve">از باب ششم؛ خط: نستعلیق، بی کا، تا: ۱۱۱۰ق؛ کاغذ: اصفهانی، جلد: مقوا با روکش</w:t>
      </w:r>
    </w:p>
    <w:p>
      <w:pPr>
        <w:pStyle w:val="BookText"/>
      </w:pPr>
      <w:r>
        <w:rPr>
          <w:rFonts w:ascii="IRNazanin" w:hAnsi="IRNazanin" w:eastAsia="IRNazanin" w:cs="IRNazanin"/>
          <w:lang w:bidi="fa-IR"/>
          <w:color w:val="111111"/>
          <w:sz w:val="28"/>
          <w:szCs w:val="28"/>
          <w:rtl/>
        </w:rPr>
        <w:t xml:space="preserve">کاغذ چینی، قطع: وزیری (نشریه: ۱۳-۴۴۲]</w:t>
      </w:r>
    </w:p>
    <w:p>
      <w:pPr>
        <w:pStyle w:val="BookText"/>
      </w:pPr>
      <w:r>
        <w:rPr>
          <w:rFonts w:ascii="IRNazanin" w:hAnsi="IRNazanin" w:eastAsia="IRNazanin" w:cs="IRNazanin"/>
          <w:lang w:bidi="fa-IR"/>
          <w:color w:val="111111"/>
          <w:sz w:val="28"/>
          <w:szCs w:val="28"/>
          <w:rtl/>
        </w:rPr>
        <w:t xml:space="preserve">۱۴. تهران: وزارت امور خارجه؛ شماره نسخه: ۲-۵۳</w:t>
      </w:r>
    </w:p>
    <w:p>
      <w:pPr>
        <w:pStyle w:val="BookText"/>
      </w:pPr>
      <w:r>
        <w:rPr>
          <w:rFonts w:ascii="IRNazanin" w:hAnsi="IRNazanin" w:eastAsia="IRNazanin" w:cs="IRNazanin"/>
          <w:lang w:bidi="fa-IR"/>
          <w:color w:val="111111"/>
          <w:sz w:val="28"/>
          <w:szCs w:val="28"/>
          <w:rtl/>
        </w:rPr>
        <w:t xml:space="preserve">خط: نستعلیق، کا: مظفر بن فتح الله دماوندی، تا: ۱۱۱۲ق؛ مجدول مذهب، حاوی سه پرده نقاشی؛ جلد: تیماج قهوه ای، ۲۲۰ گ، اندازه: ۲۳۷۱۲سم [ف: ۹]</w:t>
      </w:r>
    </w:p>
    <w:p>
      <w:pPr>
        <w:pStyle w:val="BookText"/>
      </w:pPr>
      <w:r>
        <w:rPr>
          <w:rFonts w:ascii="IRNazanin" w:hAnsi="IRNazanin" w:eastAsia="IRNazanin" w:cs="IRNazanin"/>
          <w:lang w:bidi="fa-IR"/>
          <w:color w:val="111111"/>
          <w:sz w:val="28"/>
          <w:szCs w:val="28"/>
          <w:rtl/>
        </w:rPr>
        <w:t xml:space="preserve">۱۵. مشهد؛ رضوی؛ شماره نسخه:۲۲۷۵۳</w:t>
      </w:r>
    </w:p>
    <w:p>
      <w:pPr>
        <w:pStyle w:val="BookText"/>
      </w:pPr>
      <w:r>
        <w:rPr>
          <w:rFonts w:ascii="IRNazanin" w:hAnsi="IRNazanin" w:eastAsia="IRNazanin" w:cs="IRNazanin"/>
          <w:lang w:bidi="fa-IR"/>
          <w:color w:val="111111"/>
          <w:sz w:val="28"/>
          <w:szCs w:val="28"/>
          <w:rtl/>
        </w:rPr>
        <w:t xml:space="preserve">آغاز: و چون بعد از اتمام پنج باب آن در دوازدهم ماه شوال یک هزار و سی و یک هجری، به جوار رحمت ایزدی پیوست؛ انجام: و در غیر حکم از وی خطا عاقله او می دهد (كذا) مصنف داعی دولت قاهره نظام ساوه ای ... و وظیفه دعا گوی دوام دولت ابد قرین شاهی ... خط: نستعلیق، بی کا، تا: یکشنبه ۱۵ شوال ۱۱۱۷ق؛ افتادگی: آغاز (یک برگ)؛ واقف: شیخ عبدالباقی آية اللهی؛ کاغذ: نخودی آهار مهره، جلد: تیماج مشکی، ۱۸۶، ۱۷ سطر، اندازه:</w:t>
      </w:r>
    </w:p>
    <w:p>
      <w:pPr>
        <w:pStyle w:val="BookText"/>
      </w:pPr>
      <w:r>
        <w:rPr>
          <w:rFonts w:ascii="IRNazanin" w:hAnsi="IRNazanin" w:eastAsia="IRNazanin" w:cs="IRNazanin"/>
          <w:lang w:bidi="fa-IR"/>
          <w:color w:val="111111"/>
          <w:sz w:val="28"/>
          <w:szCs w:val="28"/>
          <w:rtl/>
        </w:rPr>
        <w:t xml:space="preserve">۲۳/۶۶۱۷/۶ سم [ف: ۲۱/۱ -۳۱۸]</w:t>
      </w:r>
    </w:p>
    <w:p>
      <w:pPr>
        <w:pStyle w:val="BookText"/>
      </w:pPr>
      <w:r>
        <w:rPr>
          <w:rFonts w:ascii="IRNazanin" w:hAnsi="IRNazanin" w:eastAsia="IRNazanin" w:cs="IRNazanin"/>
          <w:lang w:bidi="fa-IR"/>
          <w:color w:val="111111"/>
          <w:sz w:val="28"/>
          <w:szCs w:val="28"/>
          <w:rtl/>
        </w:rPr>
        <w:t xml:space="preserve">۱۶. شیراز؛ علامه طباطبائی، شماره نسخه: ۲۰۲/۱</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تا: ۱۴ رجب ۱۱۲۱ق؛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[نسخه پژوهی: ۳-۸۳]</w:t>
      </w:r>
    </w:p>
    <w:p>
      <w:pPr>
        <w:pStyle w:val="BookText"/>
      </w:pPr>
      <w:r>
        <w:rPr>
          <w:rFonts w:ascii="IRNazanin" w:hAnsi="IRNazanin" w:eastAsia="IRNazanin" w:cs="IRNazanin"/>
          <w:lang w:bidi="fa-IR"/>
          <w:color w:val="111111"/>
          <w:sz w:val="28"/>
          <w:szCs w:val="28"/>
          <w:rtl/>
        </w:rPr>
        <w:t xml:space="preserve">۱۷. مشهد؛ میبدی؛ شماره نسخه:۳۴۵</w:t>
      </w:r>
    </w:p>
    <w:p>
      <w:pPr>
        <w:pStyle w:val="BookText"/>
      </w:pPr>
      <w:r>
        <w:rPr>
          <w:rFonts w:ascii="IRNazanin" w:hAnsi="IRNazanin" w:eastAsia="IRNazanin" w:cs="IRNazanin"/>
          <w:lang w:bidi="fa-IR"/>
          <w:color w:val="111111"/>
          <w:sz w:val="28"/>
          <w:szCs w:val="28"/>
          <w:rtl/>
        </w:rPr>
        <w:t xml:space="preserve">خط: نستعلیق، بی کا، تا: قرن ۱۳؛ مصحح؛ جلد: تیماج مشکی ۱۹۴، ۲۱ سطر، اندازه:</w:t>
      </w:r>
    </w:p>
    <w:p>
      <w:pPr>
        <w:pStyle w:val="BookText"/>
      </w:pPr>
      <w:r>
        <w:rPr>
          <w:rFonts w:ascii="IRNazanin" w:hAnsi="IRNazanin" w:eastAsia="IRNazanin" w:cs="IRNazanin"/>
          <w:lang w:bidi="fa-IR"/>
          <w:color w:val="111111"/>
          <w:sz w:val="28"/>
          <w:szCs w:val="28"/>
          <w:rtl/>
        </w:rPr>
        <w:t xml:space="preserve">۱۴/۵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سم [ف: ۲-۵۷]</w:t>
      </w:r>
    </w:p>
    <w:p>
      <w:pPr>
        <w:pStyle w:val="BookText"/>
      </w:pPr>
      <w:r>
        <w:rPr>
          <w:rFonts w:ascii="IRNazanin" w:hAnsi="IRNazanin" w:eastAsia="IRNazanin" w:cs="IRNazanin"/>
          <w:lang w:bidi="fa-IR"/>
          <w:color w:val="111111"/>
          <w:sz w:val="28"/>
          <w:szCs w:val="28"/>
          <w:rtl/>
        </w:rPr>
        <w:t xml:space="preserve">۱۸. تهران؛ عبدالعظیم؛ شماره نسخه:۱۵۵</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تا: قرن ۱۳؛ واقف: آیت الله مرعشی نجفی، ۱۳۳۸/۳/۵ ؛ جلد: تیماج مصنوعی زرشکی با ترنج و سرترنج، ۱۵۴گ، ۱۸ سطر، اندازه: ۱۷/۵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۲۳/۵ سم [ف: ۱-۱۷۰]</w:t>
      </w:r>
    </w:p>
    <w:p>
      <w:pPr>
        <w:pStyle w:val="BookText"/>
      </w:pPr>
      <w:r>
        <w:rPr>
          <w:rFonts w:ascii="IRNazanin" w:hAnsi="IRNazanin" w:eastAsia="IRNazanin" w:cs="IRNazanin"/>
          <w:lang w:bidi="fa-IR"/>
          <w:color w:val="111111"/>
          <w:sz w:val="28"/>
          <w:szCs w:val="28"/>
          <w:rtl/>
        </w:rPr>
        <w:t xml:space="preserve">۱۹. مشهد؛ رضوی؛ شماره نسخه:۲۷۰۴۳</w:t>
      </w:r>
    </w:p>
    <w:p>
      <w:pPr>
        <w:pStyle w:val="BookText"/>
      </w:pPr>
      <w:r>
        <w:rPr>
          <w:rFonts w:ascii="IRNazanin" w:hAnsi="IRNazanin" w:eastAsia="IRNazanin" w:cs="IRNazanin"/>
          <w:lang w:bidi="fa-IR"/>
          <w:color w:val="111111"/>
          <w:sz w:val="28"/>
          <w:szCs w:val="28"/>
          <w:rtl/>
        </w:rPr>
        <w:t xml:space="preserve">آغاز: در طلاق و خلع وعده داشتن زنان باب سیزدهم در شکار کردن و شروط آن؛ انجام: بورثه صاحب مال میرسد و اگر فوت او بعد ... احرام</w:t>
      </w:r>
    </w:p>
    <w:p>
      <w:pPr>
        <w:pStyle w:val="BookText"/>
      </w:pPr>
      <w:r>
        <w:rPr>
          <w:rFonts w:ascii="IRNazanin" w:hAnsi="IRNazanin" w:eastAsia="IRNazanin" w:cs="IRNazanin"/>
          <w:lang w:bidi="fa-IR"/>
          <w:color w:val="111111"/>
          <w:sz w:val="28"/>
          <w:szCs w:val="28"/>
          <w:rtl/>
        </w:rPr>
        <w:t xml:space="preserve">خط: نسخ، بی کا، تا: قرن ۱۳؛ افتادگی: آغاز و انجام [رایانه]</w:t>
      </w:r>
    </w:p>
    <w:p>
      <w:pPr>
        <w:pStyle w:val="BookText"/>
      </w:pPr>
      <w:r>
        <w:rPr>
          <w:rFonts w:ascii="IRNazanin" w:hAnsi="IRNazanin" w:eastAsia="IRNazanin" w:cs="IRNazanin"/>
          <w:lang w:bidi="fa-IR"/>
          <w:color w:val="111111"/>
          <w:sz w:val="28"/>
          <w:szCs w:val="28"/>
          <w:rtl/>
        </w:rPr>
        <w:t xml:space="preserve">۲۰. مشهد؛ رضوی؛ شماره نسخه:۱۴۶۳۵</w:t>
      </w:r>
    </w:p>
    <w:p>
      <w:pPr>
        <w:pStyle w:val="BookText"/>
      </w:pPr>
      <w:r>
        <w:rPr>
          <w:rFonts w:ascii="IRNazanin" w:hAnsi="IRNazanin" w:eastAsia="IRNazanin" w:cs="IRNazanin"/>
          <w:lang w:bidi="fa-IR"/>
          <w:color w:val="111111"/>
          <w:sz w:val="28"/>
          <w:szCs w:val="28"/>
          <w:rtl/>
        </w:rPr>
        <w:t xml:space="preserve">آغاز: برابر؛ انجام: در سر من رای روز یکشنبه و به قولی روز جمعه هشتم ربیع الاول در سال دویست و شصت هجری. از باب ششم تا باب هفتم؛ خط: نستعلیق، بی کا، تا: قرن ۱۳؛ افتادگی: انجام؛ واقف: سید محمد باقر سبزواری، محرم ۱۴۰۵؛ کاغذ: فستقی، جلد: مقوا رویه گالینگور، عطف تیماج قهوه ای، ۲۵گ، ۱۱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۲۱/۱-۳۱۹]</w:t>
      </w:r>
    </w:p>
    <w:p>
      <w:pPr>
        <w:pStyle w:val="BookText"/>
      </w:pPr>
      <w:r>
        <w:rPr>
          <w:rFonts w:ascii="IRNazanin" w:hAnsi="IRNazanin" w:eastAsia="IRNazanin" w:cs="IRNazanin"/>
          <w:lang w:bidi="fa-IR"/>
          <w:color w:val="111111"/>
          <w:sz w:val="28"/>
          <w:szCs w:val="28"/>
          <w:rtl/>
        </w:rPr>
        <w:t xml:space="preserve">۲۱. قم؛ طبسی، شماره نسخه:۶۹۷</w:t>
      </w:r>
    </w:p>
    <w:p>
      <w:pPr>
        <w:pStyle w:val="BookText"/>
      </w:pPr>
      <w:r>
        <w:rPr>
          <w:rFonts w:ascii="IRNazanin" w:hAnsi="IRNazanin" w:eastAsia="IRNazanin" w:cs="IRNazanin"/>
          <w:lang w:bidi="fa-IR"/>
          <w:color w:val="111111"/>
          <w:sz w:val="28"/>
          <w:szCs w:val="28"/>
          <w:rtl/>
        </w:rPr>
        <w:t xml:space="preserve">آغاز: آنکه آن چیز ملک اقرار کننده نباشد پس اگر گوید که ملک من از فلانست صحیح نیست، سیزدهم آنکه چیزی باشد که احکام اقرار در آن جاری باشد؛ انجام: وظیفه دعا گویی دوام دولت ابد قرین شاه ظل الهی قیام واقدام تواند نمود والحمدلله على فواضل نعمائه و كوافل مبراته وحسناته وجزایل آلائه وهيأته التي منه التوفيق لاختتامه کتاب الاقرار، کتاب الوصية، باب هجدهم کتاب الميراث ... باب بیستم در خون بهای آدمی و اعضا؛ خط: نستعلیق، كا: اسماعیل بن محمد تقی، تا: یکشنبه ۲۴ رجب ۱۲۳۰ق، جا: چاپو شلی؛</w:t>
      </w:r>
    </w:p>
    <w:p>
      <w:pPr>
        <w:pStyle w:val="BookText"/>
      </w:pPr>
      <w:r>
        <w:rPr>
          <w:rFonts w:ascii="IRNazanin" w:hAnsi="IRNazanin" w:eastAsia="IRNazanin" w:cs="IRNazanin"/>
          <w:lang w:bidi="fa-IR"/>
          <w:color w:val="111111"/>
          <w:sz w:val="28"/>
          <w:szCs w:val="28"/>
          <w:rtl/>
        </w:rPr>
        <w:t xml:space="preserve">افتادگی: آغاز؛ ۸۴گ، ۱۵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مخ: ۱-۹۳]</w:t>
      </w:r>
    </w:p>
    <w:p>
      <w:pPr>
        <w:pStyle w:val="BookText"/>
      </w:pPr>
      <w:r>
        <w:rPr>
          <w:rFonts w:ascii="IRNazanin" w:hAnsi="IRNazanin" w:eastAsia="IRNazanin" w:cs="IRNazanin"/>
          <w:lang w:bidi="fa-IR"/>
          <w:color w:val="111111"/>
          <w:sz w:val="28"/>
          <w:szCs w:val="28"/>
          <w:rtl/>
        </w:rPr>
        <w:t xml:space="preserve">۲۲. مشهد؛ رضوی؛ شماره نسخه: ۹۹۹۰</w:t>
      </w:r>
    </w:p>
    <w:p>
      <w:pPr>
        <w:pStyle w:val="BookText"/>
      </w:pPr>
      <w:r>
        <w:rPr>
          <w:rFonts w:ascii="IRNazanin" w:hAnsi="IRNazanin" w:eastAsia="IRNazanin" w:cs="IRNazanin"/>
          <w:lang w:bidi="fa-IR"/>
          <w:color w:val="111111"/>
          <w:sz w:val="28"/>
          <w:szCs w:val="28"/>
          <w:rtl/>
        </w:rPr>
        <w:t xml:space="preserve">آغاز: برابر؛ انجام: شرمنده خویشان خود باشد تا دیگر چنین کار نکند ... زدوده است شرک خفی جلی. از ششمین باب تا پایان بیستمین باب یعنی انتهای قصاص؛ خط: نستعلیق، كا: على محمد بن ابراهیم تجریشی، تا: ۱۲۴۵ق؛ مذيل به شش ورق در اصول فقه، محشی به حواشی حاج ملا على؛ واقف: دکتر شمس الدين جزایری، شهریور ۱۳۴۸؛ کاغذ: شکری آهار مهره، جلد: ماشی، ۱۵۶گ، ۲۱ سطر،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۳۱۵-۲۱/۱ ]</w:t>
      </w:r>
    </w:p>
    <w:p>
      <w:pPr>
        <w:pStyle w:val="BookText"/>
      </w:pPr>
      <w:r>
        <w:rPr>
          <w:rFonts w:ascii="IRNazanin" w:hAnsi="IRNazanin" w:eastAsia="IRNazanin" w:cs="IRNazanin"/>
          <w:lang w:bidi="fa-IR"/>
          <w:color w:val="111111"/>
          <w:sz w:val="28"/>
          <w:szCs w:val="28"/>
          <w:rtl/>
        </w:rPr>
        <w:t xml:space="preserve">۲۳. مشهد؛ رضوی؛ شماره نسخه:۱۴۸۵۹</w:t>
      </w:r>
    </w:p>
    <w:p>
      <w:pPr>
        <w:pStyle w:val="BookText"/>
      </w:pPr>
      <w:r>
        <w:rPr>
          <w:rFonts w:ascii="IRNazanin" w:hAnsi="IRNazanin" w:eastAsia="IRNazanin" w:cs="IRNazanin"/>
          <w:lang w:bidi="fa-IR"/>
          <w:color w:val="111111"/>
          <w:sz w:val="28"/>
          <w:szCs w:val="28"/>
          <w:rtl/>
        </w:rPr>
        <w:t xml:space="preserve">آغاز: برابر؛ انجام: شرمنده خویشان خود باشد تا دیگر چنین کار نکند ... زدوده است شرک خفی جلی خط: نسخ و نستعلیق، کا: عبدالله بن ابراهيم مرندی، تا: پنج شنبه ۲۱ ذیحجه ۱۲۴۹ق؛ واقف: سید محمد باقر سبزواری، محرم ۱۴۰۵ق؛ کاغذ: شکری آهار مهره، جلد: تیماج مشکی، ۲۲۱گ،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۲۱/۱ -۳۱۷]</w:t>
      </w:r>
    </w:p>
    <w:p>
      <w:pPr>
        <w:pStyle w:val="BookText"/>
      </w:pPr>
      <w:r>
        <w:rPr>
          <w:rFonts w:ascii="IRNazanin" w:hAnsi="IRNazanin" w:eastAsia="IRNazanin" w:cs="IRNazanin"/>
          <w:lang w:bidi="fa-IR"/>
          <w:color w:val="111111"/>
          <w:sz w:val="28"/>
          <w:szCs w:val="28"/>
          <w:rtl/>
        </w:rPr>
        <w:t xml:space="preserve">۲۴. قم، گلپایگانی؛ شماره نسخه:۶۴۸۴- ۳۳/۳۴
</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bookmarkStart w:id="703" w:name="pg20363_210056"/>
    <w:bookmarkEnd w:id="703"/>
    <w:p>
      <w:pPr>
        <w:pStyle w:val="BookText"/>
      </w:pPr>
      <w:r>
        <w:rPr>
          <w:rFonts w:ascii="IRNazanin" w:hAnsi="IRNazanin" w:eastAsia="IRNazanin" w:cs="IRNazanin"/>
          <w:lang w:bidi="fa-IR"/>
          <w:color w:val="111111"/>
          <w:sz w:val="28"/>
          <w:szCs w:val="28"/>
          <w:rtl/>
        </w:rPr>
        <w:t xml:space="preserve">آغاز: برابر؛ انجام: خاتمه داعی دولت قاهره نظام ساوجی گوید که از استاد خوداعني افضل المتقدمين ... تا دیگر هم چنین کاری نکنند و السلام نظم الهی برحمت تو امداد کن *** زما هر دو را تو روان شاد کن ... خط: نستعلیق، كا: على بن ملا احمد ذیر حبی، تا: چهارشنبه ربیع الثانی ۱۲۶۳ق؛ مصحح؛ جلد: تیماج مشکی با ترنج و سرترنج، ۱۷۶، ۱۸ سطر، اندازه: ۲۶۸۱۵سم [ف: ۲-۷۱۶]</w:t>
      </w:r>
    </w:p>
    <w:p>
      <w:pPr>
        <w:pStyle w:val="BookText"/>
      </w:pPr>
      <w:r>
        <w:rPr>
          <w:rFonts w:ascii="IRNazanin" w:hAnsi="IRNazanin" w:eastAsia="IRNazanin" w:cs="IRNazanin"/>
          <w:lang w:bidi="fa-IR"/>
          <w:color w:val="111111"/>
          <w:sz w:val="28"/>
          <w:szCs w:val="28"/>
          <w:rtl/>
        </w:rPr>
        <w:t xml:space="preserve">۲۵. قم؛ گلپایگانی؛ شماره نسخه:۶۱۲۹-۳۱/۹</w:t>
      </w:r>
    </w:p>
    <w:p>
      <w:pPr>
        <w:pStyle w:val="BookText"/>
      </w:pPr>
      <w:r>
        <w:rPr>
          <w:rFonts w:ascii="IRNazanin" w:hAnsi="IRNazanin" w:eastAsia="IRNazanin" w:cs="IRNazanin"/>
          <w:lang w:bidi="fa-IR"/>
          <w:color w:val="111111"/>
          <w:sz w:val="28"/>
          <w:szCs w:val="28"/>
          <w:rtl/>
        </w:rPr>
        <w:t xml:space="preserve">آغاز: برابر؛ انجام: و عبادات الهی و وظیفه دعاگوی دوام دولت ابد قرین شاهی ظل الهی قیام و اقدام نماید</w:t>
      </w:r>
    </w:p>
    <w:p>
      <w:pPr>
        <w:pStyle w:val="BookText"/>
      </w:pPr>
      <w:r>
        <w:rPr>
          <w:rFonts w:ascii="IRNazanin" w:hAnsi="IRNazanin" w:eastAsia="IRNazanin" w:cs="IRNazanin"/>
          <w:lang w:bidi="fa-IR"/>
          <w:color w:val="111111"/>
          <w:sz w:val="28"/>
          <w:szCs w:val="28"/>
          <w:rtl/>
        </w:rPr>
        <w:t xml:space="preserve">خط: نسخ، بی کا، تا: شعبان ۱۲۶۶ق؛ جلد: تیماج قهوه ای، ۱۳۴گ، ۲۶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[ف: ۲-۷۱۶]</w:t>
      </w:r>
    </w:p>
    <w:p>
      <w:pPr>
        <w:pStyle w:val="BookText"/>
      </w:pPr>
      <w:r>
        <w:rPr>
          <w:rFonts w:ascii="IRNazanin" w:hAnsi="IRNazanin" w:eastAsia="IRNazanin" w:cs="IRNazanin"/>
          <w:lang w:bidi="fa-IR"/>
          <w:color w:val="111111"/>
          <w:sz w:val="28"/>
          <w:szCs w:val="28"/>
          <w:rtl/>
        </w:rPr>
        <w:t xml:space="preserve">۲۶. مشهد؛ رضوی؛ شماره نسخه:۱۴۶۱۵</w:t>
      </w:r>
    </w:p>
    <w:p>
      <w:pPr>
        <w:pStyle w:val="BookText"/>
      </w:pPr>
      <w:r>
        <w:rPr>
          <w:rFonts w:ascii="IRNazanin" w:hAnsi="IRNazanin" w:eastAsia="IRNazanin" w:cs="IRNazanin"/>
          <w:lang w:bidi="fa-IR"/>
          <w:color w:val="111111"/>
          <w:sz w:val="28"/>
          <w:szCs w:val="28"/>
          <w:rtl/>
        </w:rPr>
        <w:t xml:space="preserve">آغاز: بسمله، الحمدلله الذي لم يتخذ صاحبة و لاولدا ... اما بعد باب ششم از کتاب بست باب جناب مولانا الشيخ بهایی علیه الرحمة؛ انجام: شرمنده خویشان خود باشد تا دیگر چنین کار نکند ... زدوده است شرک خفی جلی. فاقد مقدمه است؛ خط: نستعلیق، بی کا، تا: شنبه ۱۵ رمضان ۱۳۰۳ق؛ واقف: سید محمد باقر سبزواری، محرم ۱۴۰۵؛ کاغذ: نخودی، جلد: میشن قهوه ای، ۱۱۹گ، ۱۹ سطر،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۲۱/۱ -۳۱۸ ]</w:t>
      </w:r>
    </w:p>
    <w:p>
      <w:pPr>
        <w:pStyle w:val="BookText"/>
      </w:pPr>
      <w:r>
        <w:rPr>
          <w:rFonts w:ascii="IRNazanin" w:hAnsi="IRNazanin" w:eastAsia="IRNazanin" w:cs="IRNazanin"/>
          <w:lang w:bidi="fa-IR"/>
          <w:color w:val="111111"/>
          <w:sz w:val="28"/>
          <w:szCs w:val="28"/>
          <w:rtl/>
        </w:rPr>
        <w:t xml:space="preserve">۲۷. قم؛ معصومیه؛ شماره نسخه:۱۰۹</w:t>
      </w:r>
    </w:p>
    <w:p>
      <w:pPr>
        <w:pStyle w:val="BookText"/>
      </w:pPr>
      <w:r>
        <w:rPr>
          <w:rFonts w:ascii="IRNazanin" w:hAnsi="IRNazanin" w:eastAsia="IRNazanin" w:cs="IRNazanin"/>
          <w:lang w:bidi="fa-IR"/>
          <w:color w:val="111111"/>
          <w:sz w:val="28"/>
          <w:szCs w:val="28"/>
          <w:rtl/>
        </w:rPr>
        <w:t xml:space="preserve">آغاز: برابر، انجام: بخلاف حد، چه بعضی از آنها ساقط نیست داخل تخییر در تعزیر بحسب انواع تعزیر بخلاف که در آنها. از باب ششم تا بیستم؛ خط: نستعلیق، بی کا، بی تا؛ افتادگی: انجام؛ جلد: شمیز آبی عطف تیماج نیلی، ۹۶گ، مختلف السطر،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۱-۱۳۳]</w:t>
      </w:r>
    </w:p>
    <w:p>
      <w:pPr>
        <w:pStyle w:val="BookText"/>
      </w:pPr>
      <w:r>
        <w:rPr>
          <w:rFonts w:ascii="IRNazanin" w:hAnsi="IRNazanin" w:eastAsia="IRNazanin" w:cs="IRNazanin"/>
          <w:lang w:bidi="fa-IR"/>
          <w:color w:val="111111"/>
          <w:sz w:val="28"/>
          <w:szCs w:val="28"/>
          <w:rtl/>
        </w:rPr>
        <w:t xml:space="preserve">۲۸. کاشان؛ جعفری؛ شماره نسخه: ۴۴/۱</w:t>
      </w:r>
    </w:p>
    <w:p>
      <w:pPr>
        <w:pStyle w:val="BookText"/>
      </w:pPr>
      <w:r>
        <w:rPr>
          <w:rFonts w:ascii="IRNazanin" w:hAnsi="IRNazanin" w:eastAsia="IRNazanin" w:cs="IRNazanin"/>
          <w:lang w:bidi="fa-IR"/>
          <w:color w:val="111111"/>
          <w:sz w:val="28"/>
          <w:szCs w:val="28"/>
          <w:rtl/>
        </w:rPr>
        <w:t xml:space="preserve">آغاز: برابر؛ انجام: هر که صایم بود سجود کند *** اكل اندر ان برکت / بعد خوردن بشرط آنکه بخواب *** بروی بهر حق کنی حرکت ...</w:t>
      </w:r>
    </w:p>
    <w:p>
      <w:pPr>
        <w:pStyle w:val="BookText"/>
      </w:pPr>
      <w:r>
        <w:rPr>
          <w:rFonts w:ascii="IRNazanin" w:hAnsi="IRNazanin" w:eastAsia="IRNazanin" w:cs="IRNazanin"/>
          <w:lang w:bidi="fa-IR"/>
          <w:color w:val="111111"/>
          <w:sz w:val="28"/>
          <w:szCs w:val="28"/>
          <w:rtl/>
        </w:rPr>
        <w:t xml:space="preserve">خط: نسخ و نستعلیق، بی کا، بی تا؛ افتادگی: آغاز و انجام؛ جلد: تیماج سیاه، ۱۵۷ گ،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مخ ]</w:t>
      </w:r>
    </w:p>
    <w:p>
      <w:pPr>
        <w:pStyle w:val="BookText"/>
      </w:pPr>
      <w:r>
        <w:rPr>
          <w:rFonts w:ascii="IRNazanin" w:hAnsi="IRNazanin" w:eastAsia="IRNazanin" w:cs="IRNazanin"/>
          <w:lang w:bidi="fa-IR"/>
          <w:color w:val="111111"/>
          <w:sz w:val="28"/>
          <w:szCs w:val="28"/>
          <w:rtl/>
        </w:rPr>
        <w:t xml:space="preserve">۲۹. قم؛ گلپایگانی؛ شماره نسخه:۶۱۵۷/۳ -۳۱/۳۷</w:t>
      </w:r>
    </w:p>
    <w:p>
      <w:pPr>
        <w:pStyle w:val="BookText"/>
      </w:pPr>
      <w:r>
        <w:rPr>
          <w:rFonts w:ascii="IRNazanin" w:hAnsi="IRNazanin" w:eastAsia="IRNazanin" w:cs="IRNazanin"/>
          <w:lang w:bidi="fa-IR"/>
          <w:color w:val="111111"/>
          <w:sz w:val="28"/>
          <w:szCs w:val="28"/>
          <w:rtl/>
        </w:rPr>
        <w:t xml:space="preserve">آغاز: برابر؛ انجام: دهم کسی که غافل فریاد کند و به واسطه آن طفل یا دیوانه یا بیماری یا صحیح المزاجی بمیرد ضامن است خون بها را از مال خود و بعضی خط: نسخ معرب و نستعلیق، بی کا، بی تا؛ مصحح، با علامت بلاغ؛ جلد: تیماج قهوه ای، ۱۰۶گ، ۲۳ سطر،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 ۷۱۶ ]</w:t>
      </w:r>
    </w:p>
    <w:p>
      <w:pPr>
        <w:pStyle w:val="BookText"/>
      </w:pPr>
      <w:r>
        <w:rPr>
          <w:rFonts w:ascii="IRNazanin" w:hAnsi="IRNazanin" w:eastAsia="IRNazanin" w:cs="IRNazanin"/>
          <w:lang w:bidi="fa-IR"/>
          <w:color w:val="111111"/>
          <w:sz w:val="28"/>
          <w:szCs w:val="28"/>
          <w:rtl/>
        </w:rPr>
        <w:t xml:space="preserve">۳۰. قم؛ گلپایگانی شماره نسخه:۸۲۵۶- ۵۶/۱۰۶</w:t>
      </w:r>
    </w:p>
    <w:p>
      <w:pPr>
        <w:pStyle w:val="BookText"/>
      </w:pPr>
      <w:r>
        <w:rPr>
          <w:rFonts w:ascii="IRNazanin" w:hAnsi="IRNazanin" w:eastAsia="IRNazanin" w:cs="IRNazanin"/>
          <w:lang w:bidi="fa-IR"/>
          <w:color w:val="111111"/>
          <w:sz w:val="28"/>
          <w:szCs w:val="28"/>
          <w:rtl/>
        </w:rPr>
        <w:t xml:space="preserve">آغاز: بسمله، حمله و الصلوة و السلام على خاتم النبيين محمد المصطفى صلى الله عليه و آله و خير الوصيين امير المؤمنین علی المرتضی و آلهما الأئمة النجباء عليهم صلوات العلى الا على اما بعد از اول باب ششم وقف تا باب نوزدهم مطلب چهارم در خونبهای آدمی؛ خط: نستعلیق، بی کا، بی تا، افتادگی: انجام؛ دستخط عباس بن علی طالقانی که در آن تاریخ تولد فرزند خود را در سال ۱۱۲۵ یادداشت نموده؛ ۳۲۳گ، ۱۵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۷۱۶-۲ ]</w:t>
      </w:r>
    </w:p>
    <w:p>
      <w:pPr>
        <w:pStyle w:val="BookText"/>
      </w:pPr>
      <w:r>
        <w:rPr>
          <w:rFonts w:ascii="IRNazanin" w:hAnsi="IRNazanin" w:eastAsia="IRNazanin" w:cs="IRNazanin"/>
          <w:lang w:bidi="fa-IR"/>
          <w:color w:val="111111"/>
          <w:sz w:val="28"/>
          <w:szCs w:val="28"/>
          <w:rtl/>
        </w:rPr>
        <w:t xml:space="preserve">۳۱. مشهد؛ رضوی؛ شماره نسخه:۲۶۴۱۵</w:t>
      </w:r>
    </w:p>
    <w:p>
      <w:pPr>
        <w:pStyle w:val="BookText"/>
      </w:pPr>
      <w:r>
        <w:rPr>
          <w:rFonts w:ascii="IRNazanin" w:hAnsi="IRNazanin" w:eastAsia="IRNazanin" w:cs="IRNazanin"/>
          <w:lang w:bidi="fa-IR"/>
          <w:color w:val="111111"/>
          <w:sz w:val="28"/>
          <w:szCs w:val="28"/>
          <w:rtl/>
        </w:rPr>
        <w:t xml:space="preserve">آغاز: احکام غصب کردن و توابع آن؛ انجام: اقرب اول است فصل دوم در بیان ...</w:t>
      </w:r>
    </w:p>
    <w:p>
      <w:pPr>
        <w:pStyle w:val="BookText"/>
      </w:pPr>
      <w:r>
        <w:rPr>
          <w:rFonts w:ascii="IRNazanin" w:hAnsi="IRNazanin" w:eastAsia="IRNazanin" w:cs="IRNazanin"/>
          <w:lang w:bidi="fa-IR"/>
          <w:color w:val="111111"/>
          <w:sz w:val="28"/>
          <w:szCs w:val="28"/>
          <w:rtl/>
        </w:rPr>
        <w:t xml:space="preserve">خط: نستعلیق، بی کا، بی تا، افتادگی: آغاز و انجام [رایانه ]</w:t>
      </w:r>
    </w:p>
    <w:p>
      <w:pPr>
        <w:pStyle w:val="BookText"/>
      </w:pPr>
      <w:r>
        <w:rPr>
          <w:rFonts w:ascii="IRNazanin" w:hAnsi="IRNazanin" w:eastAsia="IRNazanin" w:cs="IRNazanin"/>
          <w:lang w:bidi="fa-IR"/>
          <w:color w:val="111111"/>
          <w:sz w:val="28"/>
          <w:szCs w:val="28"/>
          <w:rtl/>
        </w:rPr>
        <w:t xml:space="preserve">۳۲. مشهد؛ رضوی؛ شماره نسخه: ۲۵۴۵۷</w:t>
      </w:r>
    </w:p>
    <w:p>
      <w:pPr>
        <w:pStyle w:val="BookText"/>
      </w:pPr>
      <w:r>
        <w:rPr>
          <w:rFonts w:ascii="IRNazanin" w:hAnsi="IRNazanin" w:eastAsia="IRNazanin" w:cs="IRNazanin"/>
          <w:lang w:bidi="fa-IR"/>
          <w:color w:val="111111"/>
          <w:sz w:val="28"/>
          <w:szCs w:val="28"/>
          <w:rtl/>
        </w:rPr>
        <w:t xml:space="preserve">خط: نستعلیق، بی کا، بی تا [رایانه ]</w:t>
      </w:r>
    </w:p>
    <w:p>
      <w:pPr>
        <w:pStyle w:val="BookText"/>
      </w:pPr>
      <w:r>
        <w:rPr>
          <w:rFonts w:ascii="IRNazanin" w:hAnsi="IRNazanin" w:eastAsia="IRNazanin" w:cs="IRNazanin"/>
          <w:lang w:bidi="fa-IR"/>
          <w:color w:val="111111"/>
          <w:sz w:val="28"/>
          <w:szCs w:val="28"/>
          <w:rtl/>
        </w:rPr>
        <w:t xml:space="preserve">۳۳. کرمانشاه؛ فیض مهدوی (کتابخانه)؛ شماره نسخه:بدون شماره/۵</w:t>
      </w:r>
    </w:p>
    <w:p>
      <w:pPr>
        <w:pStyle w:val="BookText"/>
      </w:pPr>
      <w:r>
        <w:rPr>
          <w:rFonts w:ascii="IRNazanin" w:hAnsi="IRNazanin" w:eastAsia="IRNazanin" w:cs="IRNazanin"/>
          <w:lang w:bidi="fa-IR"/>
          <w:color w:val="111111"/>
          <w:sz w:val="28"/>
          <w:szCs w:val="28"/>
          <w:rtl/>
        </w:rPr>
        <w:t xml:space="preserve">بی کا، بی تا [ تراثنا، س ۲ش ۴-۴۹]</w:t>
      </w:r>
    </w:p>
    <w:p>
      <w:pPr>
        <w:pStyle w:val="BookText"/>
      </w:pPr>
      <w:r>
        <w:rPr>
          <w:rFonts w:ascii="IRNazanin" w:hAnsi="IRNazanin" w:eastAsia="IRNazanin" w:cs="IRNazanin"/>
          <w:lang w:bidi="fa-IR"/>
          <w:color w:val="111111"/>
          <w:sz w:val="28"/>
          <w:szCs w:val="28"/>
          <w:rtl/>
        </w:rPr>
        <w:t xml:space="preserve">۳۴. نجف آباد؛ حججی؛ شماره نسخه:۲۹/۲</w:t>
      </w:r>
    </w:p>
    <w:p>
      <w:pPr>
        <w:pStyle w:val="BookText"/>
      </w:pPr>
      <w:r>
        <w:rPr>
          <w:rFonts w:ascii="IRNazanin" w:hAnsi="IRNazanin" w:eastAsia="IRNazanin" w:cs="IRNazanin"/>
          <w:lang w:bidi="fa-IR"/>
          <w:color w:val="111111"/>
          <w:sz w:val="28"/>
          <w:szCs w:val="28"/>
          <w:rtl/>
        </w:rPr>
        <w:t xml:space="preserve">آغاز: برابر؛ انجام: و فقیر ایشان چهار یک مثقال و قول اقرب آنست که قسمت می کند امام آن را.</w:t>
      </w:r>
    </w:p>
    <w:p>
      <w:pPr>
        <w:pStyle w:val="BookText"/>
      </w:pPr>
      <w:r>
        <w:rPr>
          <w:rFonts w:ascii="IRNazanin" w:hAnsi="IRNazanin" w:eastAsia="IRNazanin" w:cs="IRNazanin"/>
          <w:lang w:bidi="fa-IR"/>
          <w:color w:val="111111"/>
          <w:sz w:val="28"/>
          <w:szCs w:val="28"/>
          <w:rtl/>
        </w:rPr>
        <w:t xml:space="preserve">خط: نستعلیق، بی کا، بی تا، افتادگی: انجام؛ ۱۵ 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۶۱]</w:t>
      </w:r>
    </w:p>
    <w:p>
      <w:pPr>
        <w:pStyle w:val="Heading3"/>
      </w:pPr>
      <w:bookmarkStart w:id="3046" w:name="_Toc2306"/>
      <w:r>
        <w:t>•تتمیم الصرف الزنجانی صرف و نحو عربی</w:t>
      </w:r>
      <w:bookmarkEnd w:id="3046"/>
    </w:p>
    <w:p>
      <w:pPr>
        <w:pStyle w:val="BookText"/>
      </w:pPr>
      <w:r>
        <w:rPr>
          <w:rFonts w:ascii="Times New Roman" w:hAnsi="Times New Roman" w:eastAsia="Times New Roman" w:cs="Times New Roman"/>
          <w:lang w:val="en-US" w:bidi="en-US"/>
          <w:color w:val="111111"/>
          <w:sz w:val="28"/>
          <w:szCs w:val="28"/>
          <w:rtl/>
        </w:rPr>
        <w:t xml:space="preserve">tatmīm-iş Şarf-iz zanjānī</w:t>
      </w:r>
    </w:p>
    <w:p>
      <w:pPr>
        <w:pStyle w:val="BookText"/>
      </w:pPr>
      <w:r>
        <w:rPr>
          <w:rFonts w:ascii="IRNazanin" w:hAnsi="IRNazanin" w:eastAsia="IRNazanin" w:cs="IRNazanin"/>
          <w:lang w:bidi="fa-IR"/>
          <w:color w:val="111111"/>
          <w:sz w:val="28"/>
          <w:szCs w:val="28"/>
          <w:rtl/>
        </w:rPr>
        <w:t xml:space="preserve">مشهد؛ رضوی؛ شماره نسخه:۲۵۰۶۶</w:t>
      </w:r>
    </w:p>
    <w:p>
      <w:pPr>
        <w:pStyle w:val="BookText"/>
      </w:pPr>
      <w:r>
        <w:rPr>
          <w:rFonts w:ascii="IRNazanin" w:hAnsi="IRNazanin" w:eastAsia="IRNazanin" w:cs="IRNazanin"/>
          <w:lang w:bidi="fa-IR"/>
          <w:color w:val="111111"/>
          <w:sz w:val="28"/>
          <w:szCs w:val="28"/>
          <w:rtl/>
        </w:rPr>
        <w:t xml:space="preserve">آغاز: بسمله. حمدله ... اما بعد فهذه فصول ملحقة؛ انجام: حمید في احمد و محمود و محمد و تمت خط: نسخ، بی کا، تا: ۱۱۷۷ق؛ ضمیمه نسخه ش ۲۵۰۶۳؛ کاغذ: شکری، جلد: تیماج، ۸ سطر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سم [رایانه ]</w:t>
      </w:r>
    </w:p>
    <w:p>
      <w:pPr>
        <w:pStyle w:val="Heading3"/>
      </w:pPr>
      <w:bookmarkStart w:id="3047" w:name="_Toc2307"/>
      <w:r>
        <w:t>•تتميم الفوائد بسرد ابيات الشواهد = شرح شواهد قطر الندى / نحو /عربی</w:t>
      </w:r>
      <w:bookmarkEnd w:id="3047"/>
    </w:p>
    <w:p>
      <w:pPr>
        <w:pStyle w:val="BookText"/>
      </w:pPr>
      <w:r>
        <w:rPr>
          <w:rFonts w:ascii="Times New Roman" w:hAnsi="Times New Roman" w:eastAsia="Times New Roman" w:cs="Times New Roman"/>
          <w:lang w:val="en-US" w:bidi="en-US"/>
          <w:color w:val="111111"/>
          <w:sz w:val="28"/>
          <w:szCs w:val="28"/>
          <w:rtl/>
        </w:rPr>
        <w:t xml:space="preserve">tatmīm-ul fawā'id bi-sard-i abyāt-iš šawāhid = š.-u šawāhid-i qatr-in nadā</w:t>
      </w:r>
    </w:p>
    <w:p>
      <w:pPr>
        <w:pStyle w:val="BookText"/>
      </w:pPr>
      <w:r>
        <w:rPr>
          <w:rFonts w:ascii="IRNazanin" w:hAnsi="IRNazanin" w:eastAsia="IRNazanin" w:cs="IRNazanin"/>
          <w:lang w:bidi="fa-IR"/>
          <w:color w:val="111111"/>
          <w:sz w:val="28"/>
          <w:szCs w:val="28"/>
          <w:rtl/>
        </w:rPr>
        <w:t xml:space="preserve">ابن هشام، عبد الله بن يوسف، ۷۰۸-۷۶۱ قمری</w:t>
      </w:r>
    </w:p>
    <w:p>
      <w:pPr>
        <w:pStyle w:val="BookText"/>
      </w:pPr>
      <w:r>
        <w:rPr>
          <w:rFonts w:ascii="Times New Roman" w:hAnsi="Times New Roman" w:eastAsia="Times New Roman" w:cs="Times New Roman"/>
          <w:lang w:val="en-US" w:bidi="en-US"/>
          <w:color w:val="111111"/>
          <w:sz w:val="28"/>
          <w:szCs w:val="28"/>
          <w:rtl/>
        </w:rPr>
        <w:t xml:space="preserve">ebn-e hešām, ‘abd-ol-lāh ebn-e yūsof (1309-1360)</w:t>
      </w:r>
    </w:p>
    <w:p>
      <w:pPr>
        <w:pStyle w:val="BookText"/>
      </w:pPr>
      <w:r>
        <w:rPr>
          <w:rFonts w:ascii="IRNazanin" w:hAnsi="IRNazanin" w:eastAsia="IRNazanin" w:cs="IRNazanin"/>
          <w:lang w:bidi="fa-IR"/>
          <w:color w:val="111111"/>
          <w:sz w:val="28"/>
          <w:szCs w:val="28"/>
          <w:rtl/>
        </w:rPr>
        <w:t xml:space="preserve">وابسته به: شرح قطر الندى وبل الصدى = القترية؛ ابن هشام، عبدالله بن يوسف (۷۰۸-۷۶۱ق) ابیاتی را که مؤلف به عنوان شاهد در کتاب «شرح قطر الندى و بل الصدى» خود آورده، در کتاب حاضر شرح و توضیح داده است. چاپ: در سال ۱۲۸۲ و ۱۳۳۰ ق در مصر به چاپ رسیده است.
</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bookmarkStart w:id="704" w:name="pg20363_210057"/>
    <w:bookmarkEnd w:id="704"/>
    <w:p>
      <w:pPr>
        <w:pStyle w:val="BookText"/>
      </w:pPr>
      <w:r>
        <w:rPr>
          <w:rFonts w:ascii="IRNazanin" w:hAnsi="IRNazanin" w:eastAsia="IRNazanin" w:cs="IRNazanin"/>
          <w:lang w:bidi="fa-IR"/>
          <w:color w:val="111111"/>
          <w:sz w:val="28"/>
          <w:szCs w:val="28"/>
          <w:rtl/>
        </w:rPr>
        <w:t xml:space="preserve">[سرکیس ۲۷۵/۱ ؛ دنا ۷۸۸/۲ ]</w:t>
      </w:r>
    </w:p>
    <w:p>
      <w:pPr>
        <w:pStyle w:val="BookText"/>
      </w:pPr>
      <w:r>
        <w:rPr>
          <w:rFonts w:ascii="IRNazanin" w:hAnsi="IRNazanin" w:eastAsia="IRNazanin" w:cs="IRNazanin"/>
          <w:lang w:bidi="fa-IR"/>
          <w:color w:val="111111"/>
          <w:sz w:val="28"/>
          <w:szCs w:val="28"/>
          <w:rtl/>
        </w:rPr>
        <w:t xml:space="preserve">تهران؛ مجلس؛ شماره نسخه:۷۴۸۶/۱</w:t>
      </w:r>
    </w:p>
    <w:p>
      <w:pPr>
        <w:pStyle w:val="BookText"/>
      </w:pPr>
      <w:r>
        <w:rPr>
          <w:rFonts w:ascii="IRNazanin" w:hAnsi="IRNazanin" w:eastAsia="IRNazanin" w:cs="IRNazanin"/>
          <w:lang w:bidi="fa-IR"/>
          <w:color w:val="111111"/>
          <w:sz w:val="28"/>
          <w:szCs w:val="28"/>
          <w:rtl/>
        </w:rPr>
        <w:t xml:space="preserve">آغاز: قال الشيخ الإمام العالم العلامة جمال المتصدرين و تاج القراء، تذكرة ابي عمر و سیبویه و الفراء جمال الدین ابو محمد عبدالله بن يوسف بن عبدالله بن هشام الانصاری ... اما بعد فهذه نكت حررتها على مقدمتی لشواهدها؛ انجام: أنا الذي يجدوني في صدورهم لا ارتقى صدرة هنا و لا اردوا</w:t>
      </w:r>
    </w:p>
    <w:p>
      <w:pPr>
        <w:pStyle w:val="BookText"/>
      </w:pPr>
      <w:r>
        <w:rPr>
          <w:rFonts w:ascii="Amiri" w:hAnsi="Amiri" w:eastAsia="Amiri" w:cs="Amiri"/>
          <w:lang w:bidi="ar-SA"/>
          <w:color w:val="111111"/>
          <w:sz w:val="28"/>
          <w:szCs w:val="28"/>
          <w:rtl/>
        </w:rPr>
        <w:t xml:space="preserve">و الى الله العظيم ارغب ان يجعل ذلك لوجهه الكريم</w:t>
      </w:r>
    </w:p>
    <w:p>
      <w:pPr>
        <w:pStyle w:val="BookText"/>
      </w:pPr>
      <w:r>
        <w:rPr>
          <w:rFonts w:ascii="IRNazanin" w:hAnsi="IRNazanin" w:eastAsia="IRNazanin" w:cs="IRNazanin"/>
          <w:lang w:bidi="fa-IR"/>
          <w:color w:val="111111"/>
          <w:sz w:val="28"/>
          <w:szCs w:val="28"/>
          <w:rtl/>
        </w:rPr>
        <w:t xml:space="preserve">خط: نستعلیق، كان محمد علی بن ابراهیم، تا: پنج شنبه ۷ شوال ۱۱۱۰ق؛ واقف: علویه سید بیگم خانم بر طلاب علوم دینیه؛ جلد: تیماج قهوه ای مجدول، ۲۴ص (۱-۲۴) [ف: ۲۵-۴۵۶]</w:t>
      </w:r>
    </w:p>
    <w:p>
      <w:pPr>
        <w:pStyle w:val="Heading3"/>
      </w:pPr>
      <w:bookmarkStart w:id="3048" w:name="_Toc2308"/>
      <w:r>
        <w:t>•تتمیم الكر /فقه / عربی</w:t>
      </w:r>
      <w:bookmarkEnd w:id="3048"/>
    </w:p>
    <w:p>
      <w:pPr>
        <w:pStyle w:val="BookText"/>
      </w:pPr>
      <w:r>
        <w:rPr>
          <w:rFonts w:ascii="Times New Roman" w:hAnsi="Times New Roman" w:eastAsia="Times New Roman" w:cs="Times New Roman"/>
          <w:lang w:val="en-US" w:bidi="en-US"/>
          <w:color w:val="111111"/>
          <w:sz w:val="28"/>
          <w:szCs w:val="28"/>
          <w:rtl/>
        </w:rPr>
        <w:t xml:space="preserve">tatmīm-ul kurr</w:t>
      </w:r>
    </w:p>
    <w:p>
      <w:pPr>
        <w:pStyle w:val="BookText"/>
      </w:pPr>
      <w:r>
        <w:rPr>
          <w:rFonts w:ascii="IRNazanin" w:hAnsi="IRNazanin" w:eastAsia="IRNazanin" w:cs="IRNazanin"/>
          <w:lang w:bidi="fa-IR"/>
          <w:color w:val="111111"/>
          <w:sz w:val="28"/>
          <w:szCs w:val="28"/>
          <w:rtl/>
        </w:rPr>
        <w:t xml:space="preserve">تهرانی نجفی، هادی بن محمد امین، -۱۳۲۱ قمری</w:t>
      </w:r>
    </w:p>
    <w:p>
      <w:pPr>
        <w:pStyle w:val="BookText"/>
      </w:pPr>
      <w:r>
        <w:rPr>
          <w:rFonts w:ascii="Times New Roman" w:hAnsi="Times New Roman" w:eastAsia="Times New Roman" w:cs="Times New Roman"/>
          <w:lang w:val="en-US" w:bidi="en-US"/>
          <w:color w:val="111111"/>
          <w:sz w:val="28"/>
          <w:szCs w:val="28"/>
          <w:rtl/>
        </w:rPr>
        <w:t xml:space="preserve">tehrānī najafi, hādī ebn-e mohammad amīn (-1903)</w:t>
      </w:r>
    </w:p>
    <w:p>
      <w:pPr>
        <w:pStyle w:val="BookText"/>
      </w:pPr>
      <w:r>
        <w:rPr>
          <w:rFonts w:ascii="IRNazanin" w:hAnsi="IRNazanin" w:eastAsia="IRNazanin" w:cs="IRNazanin"/>
          <w:lang w:bidi="fa-IR"/>
          <w:color w:val="111111"/>
          <w:sz w:val="28"/>
          <w:szCs w:val="28"/>
          <w:rtl/>
        </w:rPr>
        <w:t xml:space="preserve">رساله ای است در این که اگر آبی نجس که کمتر از کر باشد، آب پاکی روی آن بریزند تا به اندازه کر شود آیا پاک می شود و حکم آب کر را پیدا می کند یا نه. در این رساله استدلالی اثبات می کند که آب پاک می شود و در دیباچه می گوید که سابقا نیز رساله ای در این مسئله در ده ورق نگاشته بوده است. این رساله در دو بخش می باشد: اصل و قاعده طهارت - ادله خاصة.</w:t>
      </w:r>
    </w:p>
    <w:p>
      <w:pPr>
        <w:pStyle w:val="BookText"/>
      </w:pPr>
      <w:r>
        <w:rPr>
          <w:rFonts w:ascii="IRNazanin" w:hAnsi="IRNazanin" w:eastAsia="IRNazanin" w:cs="IRNazanin"/>
          <w:lang w:bidi="fa-IR"/>
          <w:color w:val="111111"/>
          <w:sz w:val="28"/>
          <w:szCs w:val="28"/>
          <w:rtl/>
        </w:rPr>
        <w:t xml:space="preserve">قم؛ مرعشی؛ شماره نسخه: ۸۵۱۲/۲</w:t>
      </w:r>
    </w:p>
    <w:p>
      <w:pPr>
        <w:pStyle w:val="BookText"/>
      </w:pPr>
      <w:r>
        <w:rPr>
          <w:rFonts w:ascii="IRNazanin" w:hAnsi="IRNazanin" w:eastAsia="IRNazanin" w:cs="IRNazanin"/>
          <w:lang w:bidi="fa-IR"/>
          <w:color w:val="111111"/>
          <w:sz w:val="28"/>
          <w:szCs w:val="28"/>
          <w:rtl/>
        </w:rPr>
        <w:t xml:space="preserve">آغاز: الحمدلله تعالى و الصلاة على رسوله و آله موالی، مسألة اذا تمم الماء القليل النجس بماء آخر فبلغ كرا فهل يفيد ضم ذلك الماء اليه طهارته؛ انجام: و لم يجوز نقص شيء من الأبعاد الثلاثة الا يسير القلة وجدانها تامة فاغتفر اليسير لذلك. خط: نسخ، كا: عبد الله بن محمد حسن هشترودی (شاگرد مؤلف)، تا: ۱۳۳۵ق، جان نجف اشرف، به جهت میرزا محمد امین صدر الاسلام خوئی؛ جلد: تیماج قرمز، ۲۵گ (۱۹ر-۱۴۳)، ۱۹ سطر، اندازه: ۲۱/۵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۲۲-۹۷]</w:t>
      </w:r>
    </w:p>
    <w:p>
      <w:pPr>
        <w:pStyle w:val="Heading3"/>
      </w:pPr>
      <w:bookmarkStart w:id="3049" w:name="_Toc2309"/>
      <w:r>
        <w:t>•تتميم الكواكب الباهرة / فقه / عربی</w:t>
      </w:r>
      <w:bookmarkEnd w:id="3049"/>
    </w:p>
    <w:p>
      <w:pPr>
        <w:pStyle w:val="BookText"/>
      </w:pPr>
      <w:r>
        <w:rPr>
          <w:rFonts w:ascii="Times New Roman" w:hAnsi="Times New Roman" w:eastAsia="Times New Roman" w:cs="Times New Roman"/>
          <w:lang w:val="en-US" w:bidi="en-US"/>
          <w:color w:val="111111"/>
          <w:sz w:val="28"/>
          <w:szCs w:val="28"/>
          <w:rtl/>
        </w:rPr>
        <w:t xml:space="preserve">tatmīm-ul kawākib-il bāhira</w:t>
      </w:r>
    </w:p>
    <w:p>
      <w:pPr>
        <w:pStyle w:val="BookText"/>
      </w:pPr>
      <w:r>
        <w:rPr>
          <w:rFonts w:ascii="IRNazanin" w:hAnsi="IRNazanin" w:eastAsia="IRNazanin" w:cs="IRNazanin"/>
          <w:lang w:bidi="fa-IR"/>
          <w:color w:val="111111"/>
          <w:sz w:val="28"/>
          <w:szCs w:val="28"/>
          <w:rtl/>
        </w:rPr>
        <w:t xml:space="preserve">خوراسکانی، محمد حسین، ق۱۳ قمری</w:t>
      </w:r>
    </w:p>
    <w:p>
      <w:pPr>
        <w:pStyle w:val="BookText"/>
      </w:pPr>
      <w:r>
        <w:rPr>
          <w:rFonts w:ascii="Times New Roman" w:hAnsi="Times New Roman" w:eastAsia="Times New Roman" w:cs="Times New Roman"/>
          <w:lang w:val="en-US" w:bidi="en-US"/>
          <w:color w:val="111111"/>
          <w:sz w:val="28"/>
          <w:szCs w:val="28"/>
          <w:rtl/>
        </w:rPr>
        <w:t xml:space="preserve">xorāskānī, mohammad hoseyn (-19c)</w:t>
      </w:r>
    </w:p>
    <w:p>
      <w:pPr>
        <w:pStyle w:val="BookText"/>
      </w:pPr>
      <w:r>
        <w:rPr>
          <w:rFonts w:ascii="IRNazanin" w:hAnsi="IRNazanin" w:eastAsia="IRNazanin" w:cs="IRNazanin"/>
          <w:lang w:bidi="fa-IR"/>
          <w:color w:val="111111"/>
          <w:sz w:val="28"/>
          <w:szCs w:val="28"/>
          <w:rtl/>
        </w:rPr>
        <w:t xml:space="preserve">وابسته به: تكملة القواعد الدينية = شرح قواعد علامه = الكواكب الباهرة؛ هزارجریبی، محمد علی بن محمد باقر (۱۱۸۸-۱۲۴۵ ق) شرح زندگانی و تألیفات پدر و خودش است. به همراه صورت اجازات پدرش از صاحب قوانین، ملا احمد بن محمد مهدی نراقی و سید محمد جواد عاملی.</w:t>
      </w:r>
    </w:p>
    <w:p>
      <w:pPr>
        <w:pStyle w:val="BookText"/>
      </w:pPr>
      <w:r>
        <w:rPr>
          <w:rFonts w:ascii="IRNazanin" w:hAnsi="IRNazanin" w:eastAsia="IRNazanin" w:cs="IRNazanin"/>
          <w:lang w:bidi="fa-IR"/>
          <w:color w:val="111111"/>
          <w:sz w:val="28"/>
          <w:szCs w:val="28"/>
          <w:rtl/>
        </w:rPr>
        <w:t xml:space="preserve">تهران؛ مجلس؛ شماره نسخه:۸۹۰۲/۳</w:t>
      </w:r>
    </w:p>
    <w:p>
      <w:pPr>
        <w:pStyle w:val="BookText"/>
      </w:pPr>
      <w:r>
        <w:rPr>
          <w:rFonts w:ascii="IRNazanin" w:hAnsi="IRNazanin" w:eastAsia="IRNazanin" w:cs="IRNazanin"/>
          <w:lang w:bidi="fa-IR"/>
          <w:color w:val="111111"/>
          <w:sz w:val="28"/>
          <w:szCs w:val="28"/>
          <w:rtl/>
        </w:rPr>
        <w:t xml:space="preserve">آغاز: الحمد لصاحب المنح و العوايد. الشكر لمكمل القواعد و القوايد و الصلوة على اشرف الخلايق محمد و عترته الاعاظم الاعالي الأماجد. اما بعد فهذه مواهب فاخرة ترفع الحجب الساترة.؛ انجام: ولا تتبع الهوى فانه يضلک عن سبيل الله و الله على ما نقول وکیل وحسبنا الله و نعم الوكيل. قد فرغ من تأليفه و کتب بیمینه فقیر عفو ربه الباقي محمد حسین ابن محمد علي في الليل الثاني من ربيع الثاني من شهر سنة ۱۲۵۹ الف و مأتین و خمسین و تسعة و صححت التتميم و قوبلت الاجازات مع اصلها و الحمد لله رب العالمين وصلى الله على محمد. آله الطيبين الطاهرين اجمعين و الملتمس من الناظرين أن يستغفرو لی ربی و یدعوني بالخير تم بالخير.</w:t>
      </w:r>
    </w:p>
    <w:p>
      <w:pPr>
        <w:pStyle w:val="BookText"/>
      </w:pPr>
      <w:r>
        <w:rPr>
          <w:rFonts w:ascii="IRNazanin" w:hAnsi="IRNazanin" w:eastAsia="IRNazanin" w:cs="IRNazanin"/>
          <w:lang w:bidi="fa-IR"/>
          <w:color w:val="111111"/>
          <w:sz w:val="28"/>
          <w:szCs w:val="28"/>
          <w:rtl/>
        </w:rPr>
        <w:t xml:space="preserve">خط: نسخ، كا: محمد حسین بن محد على هزار جریبی، تا: ۲ ربيع الثانی ۱۲۵۹ق؛ کاغذ: فرنگی شکری آهار مهره، جلد: تیماج مشکی با ترنج و سرترنج، ۲۳گ (۸۲پ -۱۰۴پ)، ۱۷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۱۴/۶ سم [ف: ۲۹/۱-۲۷۱]</w:t>
      </w:r>
    </w:p>
    <w:p>
      <w:pPr>
        <w:pStyle w:val="Heading3"/>
      </w:pPr>
      <w:bookmarkStart w:id="3050" w:name="_Toc2310"/>
      <w:r>
        <w:t>•تتمیم معتصم الشيعة في احكام الشريعة / فقه / عربی</w:t>
      </w:r>
      <w:bookmarkEnd w:id="3050"/>
    </w:p>
    <w:p>
      <w:pPr>
        <w:pStyle w:val="BookText"/>
      </w:pPr>
      <w:r>
        <w:rPr>
          <w:rFonts w:ascii="Times New Roman" w:hAnsi="Times New Roman" w:eastAsia="Times New Roman" w:cs="Times New Roman"/>
          <w:lang w:val="en-US" w:bidi="en-US"/>
          <w:color w:val="111111"/>
          <w:sz w:val="28"/>
          <w:szCs w:val="28"/>
          <w:rtl/>
        </w:rPr>
        <w:t xml:space="preserve">tatmīm-u mu'tașam-iš šīʻa fi aḥkām-iš šarī a</w:t>
      </w:r>
    </w:p>
    <w:p>
      <w:pPr>
        <w:pStyle w:val="BookText"/>
      </w:pPr>
      <w:r>
        <w:rPr>
          <w:rFonts w:ascii="IRNazanin" w:hAnsi="IRNazanin" w:eastAsia="IRNazanin" w:cs="IRNazanin"/>
          <w:lang w:bidi="fa-IR"/>
          <w:color w:val="111111"/>
          <w:sz w:val="28"/>
          <w:szCs w:val="28"/>
          <w:rtl/>
        </w:rPr>
        <w:t xml:space="preserve">علم الهدی کاشانی، اسحاق بن محمد، -۱۱۴۷ قمری</w:t>
      </w:r>
    </w:p>
    <w:p>
      <w:pPr>
        <w:pStyle w:val="BookText"/>
      </w:pPr>
      <w:r>
        <w:rPr>
          <w:rFonts w:ascii="Times New Roman" w:hAnsi="Times New Roman" w:eastAsia="Times New Roman" w:cs="Times New Roman"/>
          <w:lang w:val="en-US" w:bidi="en-US"/>
          <w:color w:val="111111"/>
          <w:sz w:val="28"/>
          <w:szCs w:val="28"/>
          <w:rtl/>
        </w:rPr>
        <w:t xml:space="preserve">‘alam-ol-hodā kāšānī, eshāq ebn-e mohammad (-1735)</w:t>
      </w:r>
    </w:p>
    <w:p>
      <w:pPr>
        <w:pStyle w:val="BookText"/>
      </w:pPr>
      <w:r>
        <w:rPr>
          <w:rFonts w:ascii="IRNazanin" w:hAnsi="IRNazanin" w:eastAsia="IRNazanin" w:cs="IRNazanin"/>
          <w:lang w:bidi="fa-IR"/>
          <w:color w:val="111111"/>
          <w:sz w:val="28"/>
          <w:szCs w:val="28"/>
          <w:rtl/>
        </w:rPr>
        <w:t xml:space="preserve">وابسته به: معتصم الشيعة في أحكام الشريعة؛ فیض کاشانی، محمد بن شاه مرتضی (۱۰۰۶-۱۰۹۱) تاريخ تأليف: یکشنبه ۸ رمضان ۱۱۴۰ق؛ محل تالیف: کاشان کتابی است در تتمیم و تکمیل کتاب «معتصم الشيعه» جدش ملا محسن فیض کاشانی و آن گونه که از مقدمه فيض بر کتاب «مفاتیح الشرائع» بر می آید، چون کتاب «معتصم الشيعه» بسیار مفصل می شده، لذا فیض تنها طهارت و بخشی از صلوة آن را نگاشته و از ادامه آن منصرف شده، آنگاه اقدام به نگاشتن کتاب «مفاتیح الشرایع» نموده که شامل تمامی ابواب فقه می باشد. آنگاه مولی جمال الدین اسحاق بن مولی محمد علم الهدی ابن فیض کاشانی تتمیم و تکمیل کتاب «معتصم الشيعه» جدش را بر عهده گرفته، که نسخه حاضر از کتاب زکات تا پایان کتاب حج و عمره و زیارات می باشد، سپس قصد داشته کتاب نذور و عهود را بنگارد و مشخص نیست موفق به انجام این مهم گردیده یا نه. قبل از کتاب زکات، 3 مقدمه نسبتا مفصل در احکام و مسائل اسلام مطرح نموده است.</w:t>
      </w:r>
    </w:p>
    <w:p>
      <w:pPr>
        <w:pStyle w:val="BookText"/>
      </w:pPr>
      <w:r>
        <w:rPr>
          <w:rFonts w:ascii="IRNazanin" w:hAnsi="IRNazanin" w:eastAsia="IRNazanin" w:cs="IRNazanin"/>
          <w:lang w:bidi="fa-IR"/>
          <w:color w:val="111111"/>
          <w:sz w:val="28"/>
          <w:szCs w:val="28"/>
          <w:rtl/>
        </w:rPr>
        <w:t xml:space="preserve">[ الذريعة ۲۱۰/۲۱ ؛ معادن الحكمة، چاپ جامعه مدرسین حوزه علميه قم ۱۹/۱، ۴۵، ۵۰؛ طبقات اعلام الشيعة، قرن ۱۲، ص ۵۶]</w:t>
      </w:r>
    </w:p>
    <w:p>
      <w:pPr>
        <w:pStyle w:val="BookText"/>
      </w:pPr>
      <w:r>
        <w:rPr>
          <w:rFonts w:ascii="IRNazanin" w:hAnsi="IRNazanin" w:eastAsia="IRNazanin" w:cs="IRNazanin"/>
          <w:lang w:bidi="fa-IR"/>
          <w:color w:val="111111"/>
          <w:sz w:val="28"/>
          <w:szCs w:val="28"/>
          <w:rtl/>
        </w:rPr>
        <w:t xml:space="preserve">قم؛ مرعشی؛ شماره نسخه: ۱۳۵۶۵
</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bookmarkStart w:id="705" w:name="pg20363_210058"/>
    <w:bookmarkEnd w:id="705"/>
    <w:p>
      <w:pPr>
        <w:pStyle w:val="BookText"/>
      </w:pPr>
      <w:r>
        <w:rPr>
          <w:rFonts w:ascii="IRNazanin" w:hAnsi="IRNazanin" w:eastAsia="IRNazanin" w:cs="IRNazanin"/>
          <w:lang w:bidi="fa-IR"/>
          <w:color w:val="111111"/>
          <w:sz w:val="28"/>
          <w:szCs w:val="28"/>
          <w:rtl/>
        </w:rPr>
        <w:t xml:space="preserve">آغاز: الحمدلله الذي جعل سرائرنا تهوى الى اقتفاء قواعد الأحكام و جبل مدار کنا تحن الى اقتناء مسائل شرایع الاسلام ... اما بعد فلا يخفى على من اخذه بيده الحجی؛ انجام: و على آله الطيبين و اوصيائه المرضين الف الف صلوۃ و سلام و تحية و بتمامه قدتم کتاب الحج و العمرة و الزيارات من كتب</w:t>
      </w:r>
    </w:p>
    <w:p>
      <w:pPr>
        <w:pStyle w:val="BookText"/>
      </w:pPr>
      <w:r>
        <w:rPr>
          <w:rFonts w:ascii="IRNazanin" w:hAnsi="IRNazanin" w:eastAsia="IRNazanin" w:cs="IRNazanin"/>
          <w:lang w:bidi="fa-IR"/>
          <w:color w:val="111111"/>
          <w:sz w:val="28"/>
          <w:szCs w:val="28"/>
          <w:rtl/>
        </w:rPr>
        <w:t xml:space="preserve">خط: نسخ زیبا، کاتب = مؤلف، تا: یکشنبه ۸ رمضان ۱۱۴۰ق، جان کاشان؛ محشی و افزودگی ها به خط او؛ تملك: عبدالباقی بن صدرالدین محمد بن ابي تراب بن نصیر الدین سلیمان کاشانی فیضی، صدرالدین محمد بن ابي تراب بن نصیر الدین سلیمان بن محمد علم الهدی کاشانی فیضی همراه مهر صدرالدین محمد» (مستطیل) و مهر فرزندش عبدالباقی با نشان «عبدالباقی بن صدرالدین محمد الفيضی» (بیضی)؛ کاغذ: شرقی، جلد: تیماج قهوه ای، ۲۸۳گ، ۲۱سطر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۳۸۵-۳۴ ]</w:t>
      </w:r>
    </w:p>
    <w:p>
      <w:pPr>
        <w:pStyle w:val="Heading3"/>
      </w:pPr>
      <w:bookmarkStart w:id="3051" w:name="_Toc2311"/>
      <w:r>
        <w:t>•تثبيت الامامة / كلام و اعتقادات / عربی</w:t>
      </w:r>
      <w:bookmarkEnd w:id="3051"/>
    </w:p>
    <w:p>
      <w:pPr>
        <w:pStyle w:val="BookText"/>
      </w:pPr>
      <w:r>
        <w:rPr>
          <w:rFonts w:ascii="Times New Roman" w:hAnsi="Times New Roman" w:eastAsia="Times New Roman" w:cs="Times New Roman"/>
          <w:lang w:val="en-US" w:bidi="en-US"/>
          <w:color w:val="111111"/>
          <w:sz w:val="28"/>
          <w:szCs w:val="28"/>
          <w:rtl/>
        </w:rPr>
        <w:t xml:space="preserve">tatbīt-ul imāma</w:t>
      </w:r>
    </w:p>
    <w:p>
      <w:pPr>
        <w:pStyle w:val="BookText"/>
      </w:pPr>
      <w:r>
        <w:rPr>
          <w:rFonts w:ascii="IRNazanin" w:hAnsi="IRNazanin" w:eastAsia="IRNazanin" w:cs="IRNazanin"/>
          <w:lang w:bidi="fa-IR"/>
          <w:color w:val="111111"/>
          <w:sz w:val="28"/>
          <w:szCs w:val="28"/>
          <w:rtl/>
        </w:rPr>
        <w:t xml:space="preserve">حسنی، قاسم بن ابراهیم، ۱۶۹-۲۴۶ قمری</w:t>
      </w:r>
    </w:p>
    <w:p>
      <w:pPr>
        <w:pStyle w:val="BookText"/>
      </w:pPr>
      <w:r>
        <w:rPr>
          <w:rFonts w:ascii="Times New Roman" w:hAnsi="Times New Roman" w:eastAsia="Times New Roman" w:cs="Times New Roman"/>
          <w:lang w:val="en-US" w:bidi="en-US"/>
          <w:color w:val="111111"/>
          <w:sz w:val="28"/>
          <w:szCs w:val="28"/>
          <w:rtl/>
        </w:rPr>
        <w:t xml:space="preserve">hasanī, qāsem ebn-e ebrāhīm (786-861)</w:t>
      </w:r>
    </w:p>
    <w:p>
      <w:pPr>
        <w:pStyle w:val="BookText"/>
      </w:pPr>
      <w:r>
        <w:rPr>
          <w:rFonts w:ascii="IRNazanin" w:hAnsi="IRNazanin" w:eastAsia="IRNazanin" w:cs="IRNazanin"/>
          <w:lang w:bidi="fa-IR"/>
          <w:color w:val="111111"/>
          <w:sz w:val="28"/>
          <w:szCs w:val="28"/>
          <w:rtl/>
        </w:rPr>
        <w:t xml:space="preserve">در دفاع از مذهب زیدی در تقدیم حضرت امیر المومنین (علیه السلام) بر مشایخ، با استناد به آیات بسیار و بعضی احادیث و ادله عقلية. در این کتاب مسائل عجیبی آورده که پیشینیان در این باره مذاکره نکرده اند. [مؤلفات الزيدية ۲۴۷/۱ ]</w:t>
      </w:r>
    </w:p>
    <w:p>
      <w:pPr>
        <w:pStyle w:val="BookText"/>
      </w:pPr>
      <w:r>
        <w:rPr>
          <w:rFonts w:ascii="IRNazanin" w:hAnsi="IRNazanin" w:eastAsia="IRNazanin" w:cs="IRNazanin"/>
          <w:lang w:bidi="fa-IR"/>
          <w:color w:val="111111"/>
          <w:sz w:val="28"/>
          <w:szCs w:val="28"/>
          <w:rtl/>
        </w:rPr>
        <w:t xml:space="preserve">قم؛ مرکز احیاء؛ شماره نسخه:۷۱/۳</w:t>
      </w:r>
    </w:p>
    <w:p>
      <w:pPr>
        <w:pStyle w:val="BookText"/>
      </w:pPr>
      <w:r>
        <w:rPr>
          <w:rFonts w:ascii="IRNazanin" w:hAnsi="IRNazanin" w:eastAsia="IRNazanin" w:cs="IRNazanin"/>
          <w:lang w:bidi="fa-IR"/>
          <w:color w:val="111111"/>
          <w:sz w:val="28"/>
          <w:szCs w:val="28"/>
          <w:rtl/>
        </w:rPr>
        <w:t xml:space="preserve">آغاز: الحمد لله فاطر السموات و الارض مفضل بعض مفطور خلقه على بعض نسخه اصل: کتابخانه ای در یمن؛ خط: نسخ، كاتب = مؤلف، تا: ۲ رجب ۱۰۶۴ق؛ ۲۲ص (۸۴-۱۰۵) [عکسی ف: ۱-۸۵]</w:t>
      </w:r>
    </w:p>
    <w:p>
      <w:pPr>
        <w:pStyle w:val="Heading3"/>
      </w:pPr>
      <w:bookmarkStart w:id="3052" w:name="_Toc2312"/>
      <w:r>
        <w:t>•تثبيت الامامة / كلام و اعتقادات / عربی</w:t>
      </w:r>
      <w:bookmarkEnd w:id="3052"/>
    </w:p>
    <w:p>
      <w:pPr>
        <w:pStyle w:val="BookText"/>
      </w:pPr>
      <w:r>
        <w:rPr>
          <w:rFonts w:ascii="Times New Roman" w:hAnsi="Times New Roman" w:eastAsia="Times New Roman" w:cs="Times New Roman"/>
          <w:lang w:val="en-US" w:bidi="en-US"/>
          <w:color w:val="111111"/>
          <w:sz w:val="28"/>
          <w:szCs w:val="28"/>
          <w:rtl/>
        </w:rPr>
        <w:t xml:space="preserve">tațbīt-ul imāma</w:t>
      </w:r>
    </w:p>
    <w:p>
      <w:pPr>
        <w:pStyle w:val="BookText"/>
      </w:pPr>
      <w:r>
        <w:rPr>
          <w:rFonts w:ascii="IRNazanin" w:hAnsi="IRNazanin" w:eastAsia="IRNazanin" w:cs="IRNazanin"/>
          <w:lang w:bidi="fa-IR"/>
          <w:color w:val="111111"/>
          <w:sz w:val="28"/>
          <w:szCs w:val="28"/>
          <w:rtl/>
        </w:rPr>
        <w:t xml:space="preserve">رسی یمنی، یحیی بن حسین، -۲۹۸ قمری</w:t>
      </w:r>
    </w:p>
    <w:p>
      <w:pPr>
        <w:pStyle w:val="BookText"/>
      </w:pPr>
      <w:r>
        <w:rPr>
          <w:rFonts w:ascii="Times New Roman" w:hAnsi="Times New Roman" w:eastAsia="Times New Roman" w:cs="Times New Roman"/>
          <w:lang w:val="en-US" w:bidi="en-US"/>
          <w:color w:val="111111"/>
          <w:sz w:val="28"/>
          <w:szCs w:val="28"/>
          <w:rtl/>
        </w:rPr>
        <w:t xml:space="preserve">rasī yamanī, yahyā ebn-e hoseyn (-911)</w:t>
      </w:r>
    </w:p>
    <w:p>
      <w:pPr>
        <w:pStyle w:val="BookText"/>
      </w:pPr>
      <w:r>
        <w:rPr>
          <w:rFonts w:ascii="IRNazanin" w:hAnsi="IRNazanin" w:eastAsia="IRNazanin" w:cs="IRNazanin"/>
          <w:lang w:bidi="fa-IR"/>
          <w:color w:val="111111"/>
          <w:sz w:val="28"/>
          <w:szCs w:val="28"/>
          <w:rtl/>
        </w:rPr>
        <w:t xml:space="preserve">این اثر در مؤلفات الزيديه چنین معرفی شده ست: «في اثبات الامامة على طريقة الزيدية مستشهدا بآیات کریمة و أحاديث نبوية شريفة و هو رد على الفرق الاسلامية الأخرى القائلين بالاختيار و غیره و هو منتزع من كتاب «انوار اليقين» للامام الحسن بن بدر الدين». ولی در نسخه عکسی مرعشی چنین معرفی شده است: «کتاب تثبیت امامة امير المؤمنین و سید الوصیین و [...] رسول رب العالمين الصديق الأكبر و الفاروق الأعظم الأزهر اسدالله الغالب على بن ابی طالب عليه وعلى آله افضل الصلاة و السلام، تصنیف مولانا امیر المؤمنين الهادي الى الحق يحیی بن الحسين بن القسم عليهما افضل الصلاة و السلام» و رسالهای دیگر به همین نام که جز رساله قبلی است به این مؤلف و به احتمال به زید بن علی (-۱۲۲ ق) منسوب شده است.</w:t>
      </w:r>
    </w:p>
    <w:p>
      <w:pPr>
        <w:pStyle w:val="BookText"/>
      </w:pPr>
      <w:r>
        <w:rPr>
          <w:rFonts w:ascii="IRNazanin" w:hAnsi="IRNazanin" w:eastAsia="IRNazanin" w:cs="IRNazanin"/>
          <w:lang w:bidi="fa-IR"/>
          <w:color w:val="111111"/>
          <w:sz w:val="28"/>
          <w:szCs w:val="28"/>
          <w:rtl/>
        </w:rPr>
        <w:t xml:space="preserve">[اعلام المؤلفين الزيديه ۱۱۰۳-۱۱۱۱ و ۴۴۰؛ مؤلفات الزيديه ۲۴۸/۱ ؛ معجم الآثار المخطوطة حول الامام على (علیه السلام) ۵۷؛ مصادر التراث في المكتاب الخاصة في اليمن ۲۸۷/۱ و ۴۱۴ و ۳۸۳ و ۵۲۷ و ۱۱۹/۱ و ۳۱۱ و ۳۸۳]</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نسخه:۱۲۲۲/۳</w:t>
      </w:r>
    </w:p>
    <w:p>
      <w:pPr>
        <w:pStyle w:val="BookText"/>
      </w:pPr>
      <w:r>
        <w:rPr>
          <w:rFonts w:ascii="IRNazanin" w:hAnsi="IRNazanin" w:eastAsia="IRNazanin" w:cs="IRNazanin"/>
          <w:lang w:bidi="fa-IR"/>
          <w:color w:val="111111"/>
          <w:sz w:val="28"/>
          <w:szCs w:val="28"/>
          <w:rtl/>
        </w:rPr>
        <w:t xml:space="preserve">بی کا، تا: سلخ شهر رمضان ۱۲۱۵ق؛ ۴ص (۲۲-۲۵)، ۳۳ سطر [عکسی ف: ۳-۵۱۴]</w:t>
      </w:r>
    </w:p>
    <w:p>
      <w:pPr>
        <w:pStyle w:val="BookText"/>
      </w:pPr>
      <w:r>
        <w:rPr>
          <w:rFonts w:ascii="IRNazanin" w:hAnsi="IRNazanin" w:eastAsia="IRNazanin" w:cs="IRNazanin"/>
          <w:lang w:bidi="fa-IR"/>
          <w:color w:val="111111"/>
          <w:sz w:val="28"/>
          <w:szCs w:val="28"/>
          <w:rtl/>
        </w:rPr>
        <w:t xml:space="preserve">۲. قم؛ مرعشی؛ شماره نسخه: ۱۲۲۲/۴</w:t>
      </w:r>
    </w:p>
    <w:p>
      <w:pPr>
        <w:pStyle w:val="BookText"/>
      </w:pPr>
      <w:r>
        <w:rPr>
          <w:rFonts w:ascii="IRNazanin" w:hAnsi="IRNazanin" w:eastAsia="IRNazanin" w:cs="IRNazanin"/>
          <w:lang w:bidi="fa-IR"/>
          <w:color w:val="111111"/>
          <w:sz w:val="28"/>
          <w:szCs w:val="28"/>
          <w:rtl/>
        </w:rPr>
        <w:t xml:space="preserve">آغاز: بسمله. هذا كتاب من اعتزل الشک و الدعوا و الأهوا و أخذ بالیقین و التوبة عبد فاطاعة الله و طاعه رسول (صلی الله علیه وآله وسلم)و ما اجتمعت عليه الأمة بعد رسول الله، انجام و حسن اولئك رفيقا ذلك الفضل من الله و كفى بالله عليما. تم الكتاب في تثبيت الامامة و الأخذ بما اجتمعت الأمة من الكتاب و السنة و الحمدالله المبتدی بالنعم و العائد على بريته بالفضل و المنة و صلى الله على محمد نبی الرحمة و سيد الامة و سلم تسليما. خط: نسخ، بی کا، تا: سلخ شهر رمضان ۱۲۱۵ق؛ ۴ص (۲۵-۲۸)، ۳۳ سطر [عکسی ف: ۳-۵۱۴]</w:t>
      </w:r>
    </w:p>
    <w:p>
      <w:pPr>
        <w:pStyle w:val="BookText"/>
      </w:pPr>
      <w:r>
        <w:rPr>
          <w:rFonts w:ascii="IRNazanin" w:hAnsi="IRNazanin" w:eastAsia="IRNazanin" w:cs="IRNazanin"/>
          <w:lang w:bidi="fa-IR"/>
          <w:color w:val="111111"/>
          <w:sz w:val="28"/>
          <w:szCs w:val="28"/>
          <w:rtl/>
        </w:rPr>
        <w:t xml:space="preserve">٣. قم؛ مرعشی؛ شماره نسخه: ۱۱۱۴/۷</w:t>
      </w:r>
    </w:p>
    <w:p>
      <w:pPr>
        <w:pStyle w:val="BookText"/>
      </w:pPr>
      <w:r>
        <w:rPr>
          <w:rFonts w:ascii="IRNazanin" w:hAnsi="IRNazanin" w:eastAsia="IRNazanin" w:cs="IRNazanin"/>
          <w:lang w:bidi="fa-IR"/>
          <w:color w:val="111111"/>
          <w:sz w:val="28"/>
          <w:szCs w:val="28"/>
          <w:rtl/>
        </w:rPr>
        <w:t xml:space="preserve">آغاز: بسمله. الحمدلله الذي خلق السموات و لاارض و جعل الظلمات و لانور ثم الذين كفروا بربهم يعدلون لانشرك بالله شيئا ولا نتخذ من دونه الها و لاوليا؛ انجام: من عرف فيهم و انصف، نسأل الله تعالى التثبيت و اليقين انه على كل شي قدير. نسخه اصل: کتابخانه واتیکان، شماره ۱۱۱۱. جز رساله قبل است؛ خط: نسخ، كا: عبدالله سعد مولد زیدی عدلی، تا: ۱۲۱۹ق؛ لاص ( ۱۴۱-۱۳۵ ) [عکسی ف: ۳-۲۴۰]</w:t>
      </w:r>
    </w:p>
    <w:p>
      <w:pPr>
        <w:pStyle w:val="Heading3"/>
      </w:pPr>
      <w:bookmarkStart w:id="3053" w:name="_Toc2313"/>
      <w:r>
        <w:t>•تثبیت دلائل النبوة / كلام و اعتقادات / عربی</w:t>
      </w:r>
      <w:bookmarkEnd w:id="3053"/>
    </w:p>
    <w:p>
      <w:pPr>
        <w:pStyle w:val="BookText"/>
      </w:pPr>
      <w:r>
        <w:rPr>
          <w:rFonts w:ascii="Times New Roman" w:hAnsi="Times New Roman" w:eastAsia="Times New Roman" w:cs="Times New Roman"/>
          <w:lang w:val="en-US" w:bidi="en-US"/>
          <w:color w:val="111111"/>
          <w:sz w:val="28"/>
          <w:szCs w:val="28"/>
          <w:rtl/>
        </w:rPr>
        <w:t xml:space="preserve">tatbit-u dala'il-in nubuwwa</w:t>
      </w:r>
    </w:p>
    <w:p>
      <w:pPr>
        <w:pStyle w:val="BookText"/>
      </w:pPr>
      <w:r>
        <w:rPr>
          <w:rFonts w:ascii="IRNazanin" w:hAnsi="IRNazanin" w:eastAsia="IRNazanin" w:cs="IRNazanin"/>
          <w:lang w:bidi="fa-IR"/>
          <w:color w:val="111111"/>
          <w:sz w:val="28"/>
          <w:szCs w:val="28"/>
          <w:rtl/>
        </w:rPr>
        <w:t xml:space="preserve">همدانی، عبدالجبار بن احمد، ۳۵۹-۴۱۵ قمری</w:t>
      </w:r>
    </w:p>
    <w:p>
      <w:pPr>
        <w:pStyle w:val="BookText"/>
      </w:pPr>
      <w:r>
        <w:rPr>
          <w:rFonts w:ascii="Times New Roman" w:hAnsi="Times New Roman" w:eastAsia="Times New Roman" w:cs="Times New Roman"/>
          <w:lang w:val="en-US" w:bidi="en-US"/>
          <w:color w:val="111111"/>
          <w:sz w:val="28"/>
          <w:szCs w:val="28"/>
          <w:rtl/>
        </w:rPr>
        <w:t xml:space="preserve">hamadānī, ‘abd-ol-jabbār ebn-e ahmad (971-1025)</w:t>
      </w:r>
    </w:p>
    <w:p>
      <w:pPr>
        <w:pStyle w:val="BookText"/>
      </w:pPr>
      <w:r>
        <w:rPr>
          <w:rFonts w:ascii="IRNazanin" w:hAnsi="IRNazanin" w:eastAsia="IRNazanin" w:cs="IRNazanin"/>
          <w:lang w:bidi="fa-IR"/>
          <w:color w:val="111111"/>
          <w:sz w:val="28"/>
          <w:szCs w:val="28"/>
          <w:rtl/>
        </w:rPr>
        <w:t xml:space="preserve">کتاب مفصلی است در دو جزء در اثبات نبوت پیامبر اکرم (صلی الله علیه وآله وسلم) با استدلال به آیات قرآن و احادیث، با عناوین «باب-باب». این کتاب، بر اساس همین نسخه که تا کنون تنها نسخه شناخته شده آن می باشد، چاپ شده است. چاپ: بیروت، محقق: عبدالکریم عثمان، دار العروبة، ج ۲، ۱۳۸۶ق</w:t>
      </w:r>
    </w:p>
    <w:p>
      <w:pPr>
        <w:pStyle w:val="BookText"/>
      </w:pPr>
      <w:r>
        <w:rPr>
          <w:rFonts w:ascii="Amiri" w:hAnsi="Amiri" w:eastAsia="Amiri" w:cs="Amiri"/>
          <w:lang w:bidi="ar-SA"/>
          <w:color w:val="111111"/>
          <w:sz w:val="28"/>
          <w:szCs w:val="28"/>
          <w:rtl/>
        </w:rPr>
        <w:t xml:space="preserve">[ معجم المؤلفين ۷۸/۵]</w:t>
      </w:r>
    </w:p>
    <w:p>
      <w:pPr>
        <w:pStyle w:val="BookText"/>
      </w:pPr>
      <w:r>
        <w:rPr>
          <w:rFonts w:ascii="IRNazanin" w:hAnsi="IRNazanin" w:eastAsia="IRNazanin" w:cs="IRNazanin"/>
          <w:lang w:bidi="fa-IR"/>
          <w:color w:val="111111"/>
          <w:sz w:val="28"/>
          <w:szCs w:val="28"/>
          <w:rtl/>
        </w:rPr>
        <w:t xml:space="preserve">قم؛ مرعشی؛ شماره نسخه: ۶۳۰عکسی و ۶۳۶عکسی
</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bookmarkStart w:id="706" w:name="pg20363_210059"/>
    <w:bookmarkEnd w:id="706"/>
    <w:p>
      <w:pPr>
        <w:pStyle w:val="BookText"/>
      </w:pPr>
      <w:r>
        <w:rPr>
          <w:rFonts w:ascii="IRNazanin" w:hAnsi="IRNazanin" w:eastAsia="IRNazanin" w:cs="IRNazanin"/>
          <w:lang w:bidi="fa-IR"/>
          <w:color w:val="111111"/>
          <w:sz w:val="28"/>
          <w:szCs w:val="28"/>
          <w:rtl/>
        </w:rPr>
        <w:t xml:space="preserve">آغاز: الحمدلله الذي من على عباده بارسال رسله ... هذا کتاب تثبيت دلائل نبوظ نبينا محمد رسول الله صلوات الله علیه و سلامه.؛ انجام: فاخذوه اسيرا و اتوا به أبا بكر الصديق نسخه اصل: شهید علی پاشا (سلیمانیه) استانبول، ش ۱۵۷۵. هر دو جزء؛ خط: نسخ، بی کا، تا: احتمالا قرن ۱۰؛ افتادگی: انجام؛ مصحح: ۳۱۳گ، ۱۷سطر [عکسی ف: ۲-۱۱۲ و ۱۱۷]</w:t>
      </w:r>
    </w:p>
    <w:p>
      <w:pPr>
        <w:pStyle w:val="Heading3"/>
      </w:pPr>
      <w:bookmarkStart w:id="3054" w:name="_Toc2314"/>
      <w:r>
        <w:t>• التثبيت عند التبييت = سؤال القبر (ارجوزة) = فتنة المقبور = التبصرة / كلام و اعتقادات، شعر / عربی</w:t>
      </w:r>
      <w:bookmarkEnd w:id="3054"/>
    </w:p>
    <w:p>
      <w:pPr>
        <w:pStyle w:val="BookText"/>
      </w:pPr>
      <w:r>
        <w:rPr>
          <w:rFonts w:ascii="Times New Roman" w:hAnsi="Times New Roman" w:eastAsia="Times New Roman" w:cs="Times New Roman"/>
          <w:lang w:val="en-US" w:bidi="en-US"/>
          <w:color w:val="111111"/>
          <w:sz w:val="28"/>
          <w:szCs w:val="28"/>
          <w:rtl/>
        </w:rPr>
        <w:t xml:space="preserve">at-tatbīt ‘ind-at tabyīt = su’āl-ul qabr (urjūza) = fitnat ul maqbūr= at-tabșira</w:t>
      </w:r>
    </w:p>
    <w:p>
      <w:pPr>
        <w:pStyle w:val="BookText"/>
      </w:pPr>
      <w:r>
        <w:rPr>
          <w:rFonts w:ascii="IRNazanin" w:hAnsi="IRNazanin" w:eastAsia="IRNazanin" w:cs="IRNazanin"/>
          <w:lang w:bidi="fa-IR"/>
          <w:color w:val="111111"/>
          <w:sz w:val="28"/>
          <w:szCs w:val="28"/>
          <w:rtl/>
        </w:rPr>
        <w:t xml:space="preserve">سیوطی، عبدالرحمن بن ابی بکر، ۸۴۹-۹۱۱ قمری</w:t>
      </w:r>
    </w:p>
    <w:p>
      <w:pPr>
        <w:pStyle w:val="BookText"/>
      </w:pPr>
      <w:r>
        <w:rPr>
          <w:rFonts w:ascii="Times New Roman" w:hAnsi="Times New Roman" w:eastAsia="Times New Roman" w:cs="Times New Roman"/>
          <w:lang w:val="en-US" w:bidi="en-US"/>
          <w:color w:val="111111"/>
          <w:sz w:val="28"/>
          <w:szCs w:val="28"/>
          <w:rtl/>
        </w:rPr>
        <w:t xml:space="preserve">soyūtī, ‘abd-or-rahmān ebn-e abī-bakr (1446-1506)</w:t>
      </w:r>
    </w:p>
    <w:p>
      <w:pPr>
        <w:pStyle w:val="BookText"/>
      </w:pPr>
      <w:r>
        <w:rPr>
          <w:rFonts w:ascii="IRNazanin" w:hAnsi="IRNazanin" w:eastAsia="IRNazanin" w:cs="IRNazanin"/>
          <w:lang w:bidi="fa-IR"/>
          <w:color w:val="111111"/>
          <w:sz w:val="28"/>
          <w:szCs w:val="28"/>
          <w:rtl/>
        </w:rPr>
        <w:t xml:space="preserve">ارجوزه کوتاهی است در ۱۷۵ بیت، در سؤال قبر و آمدن نکیر و منکر و تلقين اموات، با اشاره به بعضی روایات مربوط بدین موضوع و تصریح بنام راويان آنها. آغاز: الحمدلله على الاسلام *** و الشكر لله على الانعام / و افضل الصلوة و الثناء *** على النبي ختم الأنبياء. انجام: ابياتها كانجم درية *** في مائة و نصفها سرية / فالحمدلله على ما يلهم *** ثم على نبيه اسلم چاپ: قاهره، مطبعة الحسينية؛ فاس، ۱۳۱۴ و ۱۳۲۱ق.</w:t>
      </w:r>
    </w:p>
    <w:p>
      <w:pPr>
        <w:pStyle w:val="BookText"/>
      </w:pPr>
      <w:r>
        <w:rPr>
          <w:rFonts w:ascii="Amiri" w:hAnsi="Amiri" w:eastAsia="Amiri" w:cs="Amiri"/>
          <w:lang w:bidi="ar-SA"/>
          <w:color w:val="111111"/>
          <w:sz w:val="28"/>
          <w:szCs w:val="28"/>
          <w:rtl/>
        </w:rPr>
        <w:t xml:space="preserve">[دنا ۷۸۸/۲ ؛ الأوقاف العامة موصل ۱۰۱/۲ و ۱۰۷/۲ و ۲۹۰/۲ ]</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جمع الشتيت شرح آیات التثبيت عند التبييت؛ مغلومی، حسین بن ابراهیم (-۱۲)</w:t>
      </w:r>
    </w:p>
    <w:p>
      <w:pPr>
        <w:pStyle w:val="BookText"/>
      </w:pPr>
      <w:r>
        <w:rPr>
          <w:rFonts w:ascii="IRNazanin" w:hAnsi="IRNazanin" w:eastAsia="IRNazanin" w:cs="IRNazanin"/>
          <w:lang w:bidi="fa-IR"/>
          <w:color w:val="111111"/>
          <w:sz w:val="28"/>
          <w:szCs w:val="28"/>
          <w:rtl/>
        </w:rPr>
        <w:t xml:space="preserve">العمل</w:t>
      </w:r>
    </w:p>
    <w:p>
      <w:pPr>
        <w:pStyle w:val="BookText"/>
      </w:pPr>
      <w:r>
        <w:rPr>
          <w:rFonts w:ascii="IRNazanin" w:hAnsi="IRNazanin" w:eastAsia="IRNazanin" w:cs="IRNazanin"/>
          <w:lang w:bidi="fa-IR"/>
          <w:color w:val="111111"/>
          <w:sz w:val="28"/>
          <w:szCs w:val="28"/>
          <w:rtl/>
        </w:rPr>
        <w:t xml:space="preserve">١. خوانسار؛ فاضل؛ شماره نسخه:۲۰۲/۳</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كا: عبدالله بن احمد بن عثمان شافعی بغدادی، تا: با تاریخ ۱۰۹۵ق؛ مصحح، محشی؛ جلد: تیماج زرد عطف تیماج قرمز، ۴ص (۱۵۶-۱۵۹)، ۲۳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۱-۱۵۱]</w:t>
      </w:r>
    </w:p>
    <w:p>
      <w:pPr>
        <w:pStyle w:val="BookText"/>
      </w:pPr>
      <w:r>
        <w:rPr>
          <w:rFonts w:ascii="IRNazanin" w:hAnsi="IRNazanin" w:eastAsia="IRNazanin" w:cs="IRNazanin"/>
          <w:lang w:bidi="fa-IR"/>
          <w:color w:val="111111"/>
          <w:sz w:val="28"/>
          <w:szCs w:val="28"/>
          <w:rtl/>
        </w:rPr>
        <w:t xml:space="preserve">قم: مرکز احیاء؛ شماره نسخه:۳/ ۴۰۰</w:t>
      </w:r>
    </w:p>
    <w:p>
      <w:pPr>
        <w:pStyle w:val="BookText"/>
      </w:pPr>
      <w:r>
        <w:rPr>
          <w:rFonts w:ascii="IRNazanin" w:hAnsi="IRNazanin" w:eastAsia="IRNazanin" w:cs="IRNazanin"/>
          <w:lang w:bidi="fa-IR"/>
          <w:color w:val="111111"/>
          <w:sz w:val="28"/>
          <w:szCs w:val="28"/>
          <w:rtl/>
        </w:rPr>
        <w:t xml:space="preserve">نسخه اصل: همان نسخه بالا [عکسی ف: ۱-۴۵۶]</w:t>
      </w:r>
    </w:p>
    <w:p>
      <w:pPr>
        <w:pStyle w:val="BookText"/>
      </w:pPr>
      <w:r>
        <w:rPr>
          <w:rFonts w:ascii="IRNazanin" w:hAnsi="IRNazanin" w:eastAsia="IRNazanin" w:cs="IRNazanin"/>
          <w:lang w:bidi="fa-IR"/>
          <w:color w:val="111111"/>
          <w:sz w:val="28"/>
          <w:szCs w:val="28"/>
          <w:rtl/>
        </w:rPr>
        <w:t xml:space="preserve">۲. اراک؛ دهگان؛ شماره نسخه:۱۴۳/۳</w:t>
      </w:r>
    </w:p>
    <w:p>
      <w:pPr>
        <w:pStyle w:val="BookText"/>
      </w:pPr>
      <w:r>
        <w:rPr>
          <w:rFonts w:ascii="IRNazanin" w:hAnsi="IRNazanin" w:eastAsia="IRNazanin" w:cs="IRNazanin"/>
          <w:lang w:bidi="fa-IR"/>
          <w:color w:val="111111"/>
          <w:sz w:val="28"/>
          <w:szCs w:val="28"/>
          <w:rtl/>
        </w:rPr>
        <w:t xml:space="preserve">خط: تحریری، بی کا، تا: قرن ۱۲؛ محشی با نشان «منه»؛ کاغذ: لیمویی، جلد: مقوایی با رویه پارچه گلدار، ۱۳ (۷۷ر-۸۹پ)،</w:t>
      </w:r>
    </w:p>
    <w:p>
      <w:pPr>
        <w:pStyle w:val="BookText"/>
      </w:pPr>
      <w:r>
        <w:rPr>
          <w:rFonts w:ascii="IRNazanin" w:hAnsi="IRNazanin" w:eastAsia="IRNazanin" w:cs="IRNazanin"/>
          <w:lang w:bidi="fa-IR"/>
          <w:color w:val="111111"/>
          <w:sz w:val="28"/>
          <w:szCs w:val="28"/>
          <w:rtl/>
        </w:rPr>
        <w:t xml:space="preserve">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۱-۱۸۴]</w:t>
      </w:r>
    </w:p>
    <w:p>
      <w:pPr>
        <w:pStyle w:val="BookText"/>
      </w:pPr>
      <w:r>
        <w:rPr>
          <w:rFonts w:ascii="IRNazanin" w:hAnsi="IRNazanin" w:eastAsia="IRNazanin" w:cs="IRNazanin"/>
          <w:lang w:bidi="fa-IR"/>
          <w:color w:val="111111"/>
          <w:sz w:val="28"/>
          <w:szCs w:val="28"/>
          <w:rtl/>
        </w:rPr>
        <w:t xml:space="preserve">٣. شیراز؛ علامه طباطبائی؛ شماره نسخه: ۱۷۲۱/۲</w:t>
      </w:r>
    </w:p>
    <w:p>
      <w:pPr>
        <w:pStyle w:val="BookText"/>
      </w:pPr>
      <w:r>
        <w:rPr>
          <w:rFonts w:ascii="IRNazanin" w:hAnsi="IRNazanin" w:eastAsia="IRNazanin" w:cs="IRNazanin"/>
          <w:lang w:bidi="fa-IR"/>
          <w:color w:val="111111"/>
          <w:sz w:val="28"/>
          <w:szCs w:val="28"/>
          <w:rtl/>
        </w:rPr>
        <w:t xml:space="preserve">خط: نسخ، كا: مصطفی اعور ثاوجی، تا: ۱۱۹۱ق؛ وگ (۲۸-۳۶)،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سم [ نسخه پژوهی: ۳-۱۷۵]</w:t>
      </w:r>
    </w:p>
    <w:p>
      <w:pPr>
        <w:pStyle w:val="BookText"/>
      </w:pPr>
      <w:r>
        <w:rPr>
          <w:rFonts w:ascii="IRNazanin" w:hAnsi="IRNazanin" w:eastAsia="IRNazanin" w:cs="IRNazanin"/>
          <w:lang w:bidi="fa-IR"/>
          <w:color w:val="111111"/>
          <w:sz w:val="28"/>
          <w:szCs w:val="28"/>
          <w:rtl/>
        </w:rPr>
        <w:t xml:space="preserve">۴. قم؛ گلپایگانی؛ شماره نسخه:۳۱۴۲/۳ -۶/۱۵۲</w:t>
      </w:r>
    </w:p>
    <w:p>
      <w:pPr>
        <w:pStyle w:val="BookText"/>
      </w:pPr>
      <w:r>
        <w:rPr>
          <w:rFonts w:ascii="IRNazanin" w:hAnsi="IRNazanin" w:eastAsia="IRNazanin" w:cs="IRNazanin"/>
          <w:lang w:bidi="fa-IR"/>
          <w:color w:val="111111"/>
          <w:sz w:val="28"/>
          <w:szCs w:val="28"/>
          <w:rtl/>
        </w:rPr>
        <w:t xml:space="preserve">آغاز و انجام: برابر خط: نسخ، كا: احمدبن ملاهادی خضرانی، تا: ۱۲۲۱ق، جلد: تیماج مشکی، ۸گ، ۱۱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۱-۲۹۸]</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مرکز احیاء؛ شماره نسخه: ۱۴۹۱/۴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حامد مردوخی، تا: ۱۲۳۴ق؛ جلد: مقواعی عطف تیماج قهوه ای، ۱۱گ (۸۲پ - ۹۲پ)، و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۴-۳۴۰]</w:t>
      </w:r>
    </w:p>
    <w:p>
      <w:pPr>
        <w:pStyle w:val="BookText"/>
      </w:pPr>
      <w:r>
        <w:rPr>
          <w:rFonts w:ascii="Amiri" w:hAnsi="Amiri" w:eastAsia="Amiri" w:cs="Amiri"/>
          <w:lang w:bidi="ar-SA"/>
          <w:color w:val="111111"/>
          <w:sz w:val="28"/>
          <w:szCs w:val="28"/>
          <w:rtl/>
        </w:rPr>
        <w:t xml:space="preserve">۶. تهران: دائرة المعارف؛ شماره نسخه:۱۱۱۷/۴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پخته، بی کا، تا: ۱۲۶۸ق؛ ۱۰گ (۵۱پ - ۶۰پ) [ف: ۲-۳۷]</w:t>
      </w:r>
    </w:p>
    <w:p>
      <w:pPr>
        <w:pStyle w:val="BookText"/>
      </w:pPr>
      <w:r>
        <w:rPr>
          <w:rFonts w:ascii="IRNazanin" w:hAnsi="IRNazanin" w:eastAsia="IRNazanin" w:cs="IRNazanin"/>
          <w:lang w:bidi="fa-IR"/>
          <w:color w:val="111111"/>
          <w:sz w:val="28"/>
          <w:szCs w:val="28"/>
          <w:rtl/>
        </w:rPr>
        <w:t xml:space="preserve">۷. مشهد؛ رضوی؛ شماره نسخه: ۱۳۶۲۰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۱۳۳۰ق، کاغذ: نخودی، ۱۲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w:t>
      </w:r>
    </w:p>
    <w:p>
      <w:pPr>
        <w:pStyle w:val="BookText"/>
      </w:pPr>
      <w:r>
        <w:rPr>
          <w:rFonts w:ascii="IRNazanin" w:hAnsi="IRNazanin" w:eastAsia="IRNazanin" w:cs="IRNazanin"/>
          <w:lang w:bidi="fa-IR"/>
          <w:color w:val="111111"/>
          <w:sz w:val="28"/>
          <w:szCs w:val="28"/>
          <w:rtl/>
        </w:rPr>
        <w:t xml:space="preserve">[الفبائی: ۱۰۱]</w:t>
      </w:r>
    </w:p>
    <w:p>
      <w:pPr>
        <w:pStyle w:val="BookText"/>
      </w:pPr>
      <w:r>
        <w:rPr>
          <w:rFonts w:ascii="IRNazanin" w:hAnsi="IRNazanin" w:eastAsia="IRNazanin" w:cs="IRNazanin"/>
          <w:lang w:bidi="fa-IR"/>
          <w:color w:val="111111"/>
          <w:sz w:val="28"/>
          <w:szCs w:val="28"/>
          <w:rtl/>
        </w:rPr>
        <w:t xml:space="preserve">۸. قم: مرکز مطالعات؛ شماره نسخه:۲۲۵/۵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نام مؤلف به قرینه آغاز و انجام تعیین شد؛ خط: نسخ، كا: احمد بن شیخ مصطفی ترجانی، تا: ذیقعده ۱۳۳۳ق؛ جلد: مقوا قهوه ای عطف تیماج، ۱۲گ(۲۲۲ر -۲۳۳پ)،</w:t>
      </w:r>
    </w:p>
    <w:p>
      <w:pPr>
        <w:pStyle w:val="BookText"/>
      </w:pPr>
      <w:r>
        <w:rPr>
          <w:rFonts w:ascii="IRNazanin" w:hAnsi="IRNazanin" w:eastAsia="IRNazanin" w:cs="IRNazanin"/>
          <w:lang w:bidi="fa-IR"/>
          <w:color w:val="111111"/>
          <w:sz w:val="28"/>
          <w:szCs w:val="28"/>
          <w:rtl/>
        </w:rPr>
        <w:t xml:space="preserve">اندازه:۲۲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۱-۱۹۸]</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کرمانشاه؛ جلیلی؛ شماره نسخه:۲۲۸/۴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معرب، بی کا، بی تا؛ کاغذ: حنایی آهاری، جلد: تیماج عنابی، ۷ص (۴۰-۴۶)، ۱۴ سطر، اندازه: ۱۰/۵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۷۳]</w:t>
      </w:r>
    </w:p>
    <w:p>
      <w:pPr>
        <w:pStyle w:val="BookText"/>
      </w:pPr>
      <w:r>
        <w:rPr>
          <w:rFonts w:ascii="IRNazanin" w:hAnsi="IRNazanin" w:eastAsia="IRNazanin" w:cs="IRNazanin"/>
          <w:lang w:bidi="fa-IR"/>
          <w:color w:val="111111"/>
          <w:sz w:val="28"/>
          <w:szCs w:val="28"/>
          <w:rtl/>
        </w:rPr>
        <w:t xml:space="preserve">۱۰. مشهد؛ الهیات؛ شماره نسخه:۱۹۳۱۰/۴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نام مؤلف به قرینه آغاز نسخه تعیین شد؛ خط: نسخ معرب، بی کا، بی تاب؛ جلد: تیماج مشکی، ۱۴ سطر، اندازه: ۱۵/۵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سم [ف: ۲-۳۷۴]</w:t>
      </w:r>
    </w:p>
    <w:p>
      <w:pPr>
        <w:pStyle w:val="Heading3"/>
      </w:pPr>
      <w:bookmarkStart w:id="3055" w:name="_Toc2315"/>
      <w:r>
        <w:t>•تثقيف التعريف بالمصطلح الشريف / انشاء / عربی</w:t>
      </w:r>
      <w:bookmarkEnd w:id="3055"/>
    </w:p>
    <w:p>
      <w:pPr>
        <w:pStyle w:val="BookText"/>
      </w:pPr>
      <w:r>
        <w:rPr>
          <w:rFonts w:ascii="Times New Roman" w:hAnsi="Times New Roman" w:eastAsia="Times New Roman" w:cs="Times New Roman"/>
          <w:lang w:val="en-US" w:bidi="en-US"/>
          <w:color w:val="111111"/>
          <w:sz w:val="28"/>
          <w:szCs w:val="28"/>
          <w:rtl/>
        </w:rPr>
        <w:t xml:space="preserve">tatqīf-ut taʻrīf bi-l-mustalah-iš šarīf</w:t>
      </w:r>
    </w:p>
    <w:p>
      <w:pPr>
        <w:pStyle w:val="BookText"/>
      </w:pPr>
      <w:r>
        <w:rPr>
          <w:rFonts w:ascii="IRNazanin" w:hAnsi="IRNazanin" w:eastAsia="IRNazanin" w:cs="IRNazanin"/>
          <w:lang w:bidi="fa-IR"/>
          <w:color w:val="111111"/>
          <w:sz w:val="28"/>
          <w:szCs w:val="28"/>
          <w:rtl/>
        </w:rPr>
        <w:t xml:space="preserve">محبی دمشقی، عبدالرحمان بن مقر، ق۸ قمری</w:t>
      </w:r>
    </w:p>
    <w:p>
      <w:pPr>
        <w:pStyle w:val="BookText"/>
      </w:pPr>
      <w:r>
        <w:rPr>
          <w:rFonts w:ascii="Times New Roman" w:hAnsi="Times New Roman" w:eastAsia="Times New Roman" w:cs="Times New Roman"/>
          <w:lang w:val="en-US" w:bidi="en-US"/>
          <w:color w:val="111111"/>
          <w:sz w:val="28"/>
          <w:szCs w:val="28"/>
          <w:rtl/>
        </w:rPr>
        <w:t xml:space="preserve">mohebbī damešqī, ‘abd-or-rahmān ebn-e moqerr (-14c)</w:t>
      </w:r>
    </w:p>
    <w:p>
      <w:pPr>
        <w:pStyle w:val="BookText"/>
      </w:pPr>
      <w:r>
        <w:rPr>
          <w:rFonts w:ascii="IRNazanin" w:hAnsi="IRNazanin" w:eastAsia="IRNazanin" w:cs="IRNazanin"/>
          <w:lang w:bidi="fa-IR"/>
          <w:color w:val="111111"/>
          <w:sz w:val="28"/>
          <w:szCs w:val="28"/>
          <w:rtl/>
        </w:rPr>
        <w:t xml:space="preserve">اهدا به: ملک شعبان اشرف پسر محمد ناصر پسر قلاوون پسر ایوب صالح، از پادشاهان مماليك مصر (۷۶۴-۷۷۸ق)| تاریخ تأليف: پایان سال ۷۷۸ق رساله ای در ادبیات زبان عربی و دستور نامه نگاری برای طبقات مختلف، خلیفه ها، وزیران، واليان، بزرگان، مسلمان و کافر، عرب، ترک، ترکمان، کرد، و جز ایشان و نسخه های نمونه: فرمان، منشور، فتح نامه، متارکه نامه، سوگندنامه، سفارش نامه و جز آن، بدان سان که نویسندگان و دیوانیان مصر و سوریه و عراق در سده هفتم و هشتم به کار می برده اند و چگونگی تغييرها که در آن دوره ها به نگارش داده شده است. قلقشندی می گوید: «چون کتاب «التعريف بالمصطلح الشريف» نگارش مقر شهابی یعنی احمد بن فضل الله عدوی عمری مقداری از
</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bookmarkStart w:id="707" w:name="pg20363_210060"/>
    <w:bookmarkEnd w:id="707"/>
    <w:p>
      <w:pPr>
        <w:pStyle w:val="BookText"/>
      </w:pPr>
      <w:r>
        <w:rPr>
          <w:rFonts w:ascii="IRNazanin" w:hAnsi="IRNazanin" w:eastAsia="IRNazanin" w:cs="IRNazanin"/>
          <w:lang w:bidi="fa-IR"/>
          <w:color w:val="111111"/>
          <w:sz w:val="28"/>
          <w:szCs w:val="28"/>
          <w:rtl/>
        </w:rPr>
        <w:t xml:space="preserve">اصطلاح ها که نزد نویسندگان پسندیده است ترک کرده بود ابن ناظر الجيش، مقر تقوی (تقی الدین) دستور خود را به نام «تثقيف التعريف» نگاشت. در آن از مقر شهابی پیروی نمود، همان راه را رفت و آنچه از مصطلحات از او مانده بود و یا پس از زمان او پیدا شده بود بیافزود، امروز (در پایان قرن هشتم) این کتاب شهرتی بسزا دارد و چنان گرانبهاست که هر کس آن را دارد پنهان کرده از نمایاندن آن دریغ کنند». از سخنان قلقشندی چنین می نماید که وی «صبح الاعشی» را در جمع میان «التعريف بالمصطلح الشريف» و تکمیل آن «تثقيف التعريف» نگاشته است.</w:t>
      </w:r>
    </w:p>
    <w:p>
      <w:pPr>
        <w:pStyle w:val="BookText"/>
      </w:pPr>
      <w:r>
        <w:rPr>
          <w:rFonts w:ascii="IRNazanin" w:hAnsi="IRNazanin" w:eastAsia="IRNazanin" w:cs="IRNazanin"/>
          <w:lang w:bidi="fa-IR"/>
          <w:color w:val="111111"/>
          <w:sz w:val="28"/>
          <w:szCs w:val="28"/>
          <w:rtl/>
        </w:rPr>
        <w:t xml:space="preserve">وی آن را در هفت «قسمت» و یک «باب» جداگانه مرتب ساخته:</w:t>
      </w:r>
    </w:p>
    <w:p>
      <w:pPr>
        <w:pStyle w:val="BookText"/>
      </w:pPr>
      <w:r>
        <w:rPr>
          <w:rFonts w:ascii="IRNazanin" w:hAnsi="IRNazanin" w:eastAsia="IRNazanin" w:cs="IRNazanin"/>
          <w:lang w:bidi="fa-IR"/>
          <w:color w:val="111111"/>
          <w:sz w:val="28"/>
          <w:szCs w:val="28"/>
          <w:rtl/>
        </w:rPr>
        <w:t xml:space="preserve">قسمت ۱. نامه نگاری به نام خلیفه و شاه و والی: باب ۱) خلیفه و ولی عهد خلافت او، ۲) شاهان مسلمان، در سه فصل، 3) شاهان کافر، ۴) والیان ترکی و ترکمان و کرد که مقام شاهی دارند؛ قسمت ۲. نگارش به سوی ولی عهد پادشاهان، در شش باب؛ قسمت 3. نگارش نامه به سوی بزرگان عربان و ترکمانان و کردان. در دو باب: 1) عربان، ۲) ترکمان و کرد؛ قسمت ۴. نگارش به سوی وزیران و قاضي القضاة و پیران صوفيه؛ قسمت ۵. در چند «باب»: ۱) نگارش قراردادها، ۲) نگارش فرمان ها و دستورنامه ها، 3) توقیع نامه ها، ۴) منشورنامه ها؛ قسمت ۶. نگارش سپرده نامه، سفارشنامه. در سه «باب»: ۱) سوگندنامه میان کافر و مسلمان، ۲) سپرده نامه و متارکه نامه جنگ، 3) فسخ نامه؛ قسمت ۷. لقب های بزرگان، در پنج «باب»: ۱) لقب های شمشیر داران، ۲) دارندگان مقام های مذهبی، 3) دارندگان وظایف دیوانی، ۴)  پیران صوفی و پرهیزکاران، ۵) بازرگانان؛ باب جداگانه: در نامه نگاری برادرانه. (علینقی منزوی) آغاز: بسمله، أما بعد. حمدا لله على مزيد انعامه و نواله، و الصلوة و السلام على سيدنا محمد و آله. فهذه و رقات وضعتها كالدستور تشتمل على المكاتبات الصادرة عن المواقف الشريفة السلطانية خلدالله ملک مالكها إلى الخلفاء و ولاة عهودهم و ملوک الاسلام و الكفر و غيرهم من العظماء و الاكابر من الحكام بجميع الأقطار من سائر الطوایف و جميع النياب و الولاة و العربان و التركمان و الاكراد بالممالك الاسلامية المحروسة ..</w:t>
      </w:r>
    </w:p>
    <w:p>
      <w:pPr>
        <w:pStyle w:val="BookText"/>
      </w:pPr>
      <w:r>
        <w:rPr>
          <w:rFonts w:ascii="IRNazanin" w:hAnsi="IRNazanin" w:eastAsia="IRNazanin" w:cs="IRNazanin"/>
          <w:lang w:bidi="fa-IR"/>
          <w:color w:val="111111"/>
          <w:sz w:val="28"/>
          <w:szCs w:val="28"/>
          <w:rtl/>
        </w:rPr>
        <w:t xml:space="preserve">انجام: او المجلس العال و على هذا فقس و الله تعالی اعلم بالصواب.</w:t>
      </w:r>
    </w:p>
    <w:p>
      <w:pPr>
        <w:pStyle w:val="BookText"/>
      </w:pPr>
      <w:r>
        <w:rPr>
          <w:rFonts w:ascii="IRNazanin" w:hAnsi="IRNazanin" w:eastAsia="IRNazanin" w:cs="IRNazanin"/>
          <w:lang w:bidi="fa-IR"/>
          <w:color w:val="111111"/>
          <w:sz w:val="28"/>
          <w:szCs w:val="28"/>
          <w:rtl/>
        </w:rPr>
        <w:t xml:space="preserve">[دنا ۷۸۹/۲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 ۴۴۶۶</w:t>
      </w:r>
    </w:p>
    <w:p>
      <w:pPr>
        <w:pStyle w:val="BookText"/>
      </w:pPr>
      <w:r>
        <w:rPr>
          <w:rFonts w:ascii="IRNazanin" w:hAnsi="IRNazanin" w:eastAsia="IRNazanin" w:cs="IRNazanin"/>
          <w:lang w:bidi="fa-IR"/>
          <w:color w:val="111111"/>
          <w:sz w:val="28"/>
          <w:szCs w:val="28"/>
          <w:rtl/>
        </w:rPr>
        <w:t xml:space="preserve">آغاز و انجام: برابر خط: نسخ، بی کا، تا: ۴ رجب ۱۲۸ق، جا: دمشق؛ یک سرلوح و گوی و ترنج، عبارت میان سرلوح: «تثقيف التعريف» عبارت میان ترنج: «بالمصطلح الشريف تأليف الفقير إلى الله تعالى القاضي تقی الدين عبدالرحمن بن المقر المحبى ناظر الجيوش المنصورة</w:t>
      </w:r>
    </w:p>
    <w:p>
      <w:pPr>
        <w:pStyle w:val="BookText"/>
      </w:pPr>
      <w:r>
        <w:rPr>
          <w:rFonts w:ascii="IRNazanin" w:hAnsi="IRNazanin" w:eastAsia="IRNazanin" w:cs="IRNazanin"/>
          <w:lang w:bidi="fa-IR"/>
          <w:color w:val="111111"/>
          <w:sz w:val="28"/>
          <w:szCs w:val="28"/>
          <w:rtl/>
        </w:rPr>
        <w:t xml:space="preserve">الاسلامية عفا الله تعالی عنه»؛ واقف: ابن خاتون؛ کاغذ: نخودی، جلد: تیماج جگری ضربی، ۸۵، ۱۷ سطر (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سم [ف: ۷-۲۳۳]</w:t>
      </w:r>
    </w:p>
    <w:p>
      <w:pPr>
        <w:pStyle w:val="BookText"/>
      </w:pPr>
      <w:r>
        <w:rPr>
          <w:rFonts w:ascii="IRNazanin" w:hAnsi="IRNazanin" w:eastAsia="IRNazanin" w:cs="IRNazanin"/>
          <w:lang w:bidi="fa-IR"/>
          <w:color w:val="111111"/>
          <w:sz w:val="28"/>
          <w:szCs w:val="28"/>
          <w:rtl/>
        </w:rPr>
        <w:t xml:space="preserve">۲. تهران؛ دانشگاه؛ شماره نسخه:۲۱۸</w:t>
      </w:r>
    </w:p>
    <w:p>
      <w:pPr>
        <w:pStyle w:val="BookText"/>
      </w:pPr>
      <w:r>
        <w:rPr>
          <w:rFonts w:ascii="IRNazanin" w:hAnsi="IRNazanin" w:eastAsia="IRNazanin" w:cs="IRNazanin"/>
          <w:lang w:bidi="fa-IR"/>
          <w:color w:val="111111"/>
          <w:sz w:val="28"/>
          <w:szCs w:val="28"/>
          <w:rtl/>
        </w:rPr>
        <w:t xml:space="preserve">آغاز و انجام: برابر خط: نسخ زیبا، بی کا، بی تا؛ همراه ادب الكاتب در یک جلد، مجدول، در برگ (۶۴پ) کتاب پایان یافته و در زیر آن نویسنده کتاب دیگری را آغاز کرده و ليكن در این نسخه فقط چند سطر پایان رویه مانده و باقی برگها از آن جدا شده است. آغاز آنچه هست: «احمد اللهم و المحامد راجعة اليک ولا أحصي ثناء عليك كيف انشاء ثناء يليق»؛ کاغذ: اصفهانی حنایی، جلد: تیماج حنایی، ۶۴ گ، ۱۹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۱۹/۵</w:t>
      </w:r>
    </w:p>
    <w:p>
      <w:pPr>
        <w:pStyle w:val="BookText"/>
      </w:pP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۲۶/۵سم [ف: ۲-۱۲]</w:t>
      </w:r>
    </w:p>
    <w:p>
      <w:pPr>
        <w:pStyle w:val="Heading3"/>
      </w:pPr>
      <w:bookmarkStart w:id="3056" w:name="_Toc2316"/>
      <w:r>
        <w:t>•التجارات و المنافع و الصناعات / فقه / عربی</w:t>
      </w:r>
      <w:bookmarkEnd w:id="3056"/>
    </w:p>
    <w:p>
      <w:pPr>
        <w:pStyle w:val="BookText"/>
      </w:pPr>
      <w:r>
        <w:rPr>
          <w:rFonts w:ascii="Times New Roman" w:hAnsi="Times New Roman" w:eastAsia="Times New Roman" w:cs="Times New Roman"/>
          <w:lang w:val="en-US" w:bidi="en-US"/>
          <w:color w:val="111111"/>
          <w:sz w:val="28"/>
          <w:szCs w:val="28"/>
          <w:rtl/>
        </w:rPr>
        <w:t xml:space="preserve">at-tijārāt wa-l manāfi' wa-ş şinā‘āt</w:t>
      </w:r>
    </w:p>
    <w:p>
      <w:pPr>
        <w:pStyle w:val="BookText"/>
      </w:pPr>
      <w:r>
        <w:rPr>
          <w:rFonts w:ascii="IRNazanin" w:hAnsi="IRNazanin" w:eastAsia="IRNazanin" w:cs="IRNazanin"/>
          <w:lang w:bidi="fa-IR"/>
          <w:color w:val="111111"/>
          <w:sz w:val="28"/>
          <w:szCs w:val="28"/>
          <w:rtl/>
        </w:rPr>
        <w:t xml:space="preserve">اخباری، محمد بن عبد النبی، ۱۱۷۸-۱۲۳۲؟ قمری</w:t>
      </w:r>
    </w:p>
    <w:p>
      <w:pPr>
        <w:pStyle w:val="BookText"/>
      </w:pPr>
      <w:r>
        <w:rPr>
          <w:rFonts w:ascii="Times New Roman" w:hAnsi="Times New Roman" w:eastAsia="Times New Roman" w:cs="Times New Roman"/>
          <w:lang w:val="en-US" w:bidi="en-US"/>
          <w:color w:val="111111"/>
          <w:sz w:val="28"/>
          <w:szCs w:val="28"/>
          <w:rtl/>
        </w:rPr>
        <w:t xml:space="preserve">axbārī, mohammad ebn-e 'abd-on-nabī (1765-1817)</w:t>
      </w:r>
    </w:p>
    <w:p>
      <w:pPr>
        <w:pStyle w:val="BookText"/>
      </w:pPr>
      <w:r>
        <w:rPr>
          <w:rFonts w:ascii="IRNazanin" w:hAnsi="IRNazanin" w:eastAsia="IRNazanin" w:cs="IRNazanin"/>
          <w:lang w:bidi="fa-IR"/>
          <w:color w:val="111111"/>
          <w:sz w:val="28"/>
          <w:szCs w:val="28"/>
          <w:rtl/>
        </w:rPr>
        <w:t xml:space="preserve">تهران دانشگاه؛ شماره نسخه: ۳۳۴۱/۱۰</w:t>
      </w:r>
    </w:p>
    <w:p>
      <w:pPr>
        <w:pStyle w:val="BookText"/>
      </w:pPr>
      <w:r>
        <w:rPr>
          <w:rFonts w:ascii="IRNazanin" w:hAnsi="IRNazanin" w:eastAsia="IRNazanin" w:cs="IRNazanin"/>
          <w:lang w:bidi="fa-IR"/>
          <w:color w:val="111111"/>
          <w:sz w:val="28"/>
          <w:szCs w:val="28"/>
          <w:rtl/>
        </w:rPr>
        <w:t xml:space="preserve">خط: نسخ، بی کا، بی تا، کاغذ: فرنگی، جلد: تیماج تریاکی، ۱۴۰گ (۱۶۲-۳۰۱)، ۲۳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 [ف: ۲۳۳۰-۱۱ ]</w:t>
      </w:r>
    </w:p>
    <w:p>
      <w:pPr>
        <w:pStyle w:val="Heading3"/>
      </w:pPr>
      <w:bookmarkStart w:id="3057" w:name="_Toc2317"/>
      <w:r>
        <w:t>•التجارب = عوارض العلل / طب / عربی</w:t>
      </w:r>
      <w:bookmarkEnd w:id="3057"/>
    </w:p>
    <w:p>
      <w:pPr>
        <w:pStyle w:val="BookText"/>
      </w:pPr>
      <w:r>
        <w:rPr>
          <w:rFonts w:ascii="Times New Roman" w:hAnsi="Times New Roman" w:eastAsia="Times New Roman" w:cs="Times New Roman"/>
          <w:lang w:val="en-US" w:bidi="en-US"/>
          <w:color w:val="111111"/>
          <w:sz w:val="28"/>
          <w:szCs w:val="28"/>
          <w:rtl/>
        </w:rPr>
        <w:t xml:space="preserve">at-tajārub = ‘awārid-ul ‘ilal</w:t>
      </w:r>
    </w:p>
    <w:p>
      <w:pPr>
        <w:pStyle w:val="BookText"/>
      </w:pPr>
      <w:r>
        <w:rPr>
          <w:rFonts w:ascii="IRNazanin" w:hAnsi="IRNazanin" w:eastAsia="IRNazanin" w:cs="IRNazanin"/>
          <w:lang w:bidi="fa-IR"/>
          <w:color w:val="111111"/>
          <w:sz w:val="28"/>
          <w:szCs w:val="28"/>
          <w:rtl/>
        </w:rPr>
        <w:t xml:space="preserve">کتابی است که یکی از شاگردان رازی آن را در مجموع معالجاتی که از استاد خود دیده یا شنیده بوده به صورتی نامنظم و تعليقه مانند فراهم آورده بوده و بعد شخصی دیگری با تقدیم و تأخیر مطالب و تنظیم آنها مطابق با رسم معهود که از امراض سر و طرق معالجه آنها شروع و به امراض پا و نحوه علاج آنها ختم می نمایند آن را به صورت فعلی مرتب و بر سی و یک باب به شرح ذیل مبوب نموده است: في الصداع؛ في علل الدماغ؛ في البرسام و الشوصة؛ في المالیخولیا؛ في الدوار؛ في أنواع الرمد؛ في الزكام و ما يعرض في الأنف؛ في اوجاع الأذن و ما يعرض فيها؛ في اوجاع الحلق و الفم و ما يعرض فيها؛ في اوجاع الصدر و ما يعرض فيها؛ في اوجاع المعدة و ما يعرض فيها؛ في الخفقان المفرد و المرکب؛ في اوجاع الكبد و ما يعرض فيها؛ في الاستسقاء في اوجاع الجنب و الخاصرة و المنكبين؛ في الحلفة و الزحير و المغص في القولنج و ما يشبهه؛ في اوجاع الأرحام و ما يعرض فيها؛ في اوجاع الكلى و المثانة و القضيب؛ في البواسير و النواصير و ما يعرض؛ في اوجاع المفاصل و النقرس؛ في الرياح؛ في الخنازير و الاورام و البثور في السري و البثرات؛ في الجرب و الحكة في البرص و البهق و القوابي و السعفة و الثاليل؛ في
</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bookmarkStart w:id="708" w:name="pg20363_210061"/>
    <w:bookmarkEnd w:id="708"/>
    <w:p>
      <w:pPr>
        <w:pStyle w:val="BookText"/>
      </w:pPr>
      <w:r>
        <w:rPr>
          <w:rFonts w:ascii="IRNazanin" w:hAnsi="IRNazanin" w:eastAsia="IRNazanin" w:cs="IRNazanin"/>
          <w:lang w:bidi="fa-IR"/>
          <w:color w:val="111111"/>
          <w:sz w:val="28"/>
          <w:szCs w:val="28"/>
          <w:rtl/>
        </w:rPr>
        <w:t xml:space="preserve">السقطة و الضربة على الرأس و سائر البدن؛ في شيب البهائم و الانسان في الحميات و الجدرى و الحصبة؛ في اخراج الدم، و بعده اقاويل مختلفة. آغاز: بسمله. هذا كتاب نظمنا فيه ما كان علقه تلميذ الحکیم الفاضل محمد بن زکریا الرازي عند السماع من لفظه مما اشار به على السائلين عن عوارض عللهم انجام: سألته عن طبيعة المشمش فقال هو بارد في غاية البرد و آن كانت فيه ادنی حلاوة فانها يصير الى البرد الا انه لا يرخی بل يصلب و هو يبرد المعدة فقلت پرخی فقال لابل يصلب و انما يرخي الحرارات و الدسوعات انتهی مقدار ما علق من التجارب همانند:</w:t>
      </w:r>
    </w:p>
    <w:p>
      <w:pPr>
        <w:pStyle w:val="BookText"/>
      </w:pPr>
      <w:r>
        <w:rPr>
          <w:rFonts w:ascii="IRNazanin" w:hAnsi="IRNazanin" w:eastAsia="IRNazanin" w:cs="IRNazanin"/>
          <w:lang w:bidi="fa-IR"/>
          <w:color w:val="111111"/>
          <w:sz w:val="28"/>
          <w:szCs w:val="28"/>
          <w:rtl/>
        </w:rPr>
        <w:t xml:space="preserve">۱. تهران؛ مجلس؛ شماره نسخه:۲۸/ ۳۶۰</w:t>
      </w:r>
    </w:p>
    <w:p>
      <w:pPr>
        <w:pStyle w:val="BookText"/>
      </w:pPr>
      <w:r>
        <w:rPr>
          <w:rFonts w:ascii="IRNazanin" w:hAnsi="IRNazanin" w:eastAsia="IRNazanin" w:cs="IRNazanin"/>
          <w:lang w:bidi="fa-IR"/>
          <w:color w:val="111111"/>
          <w:sz w:val="28"/>
          <w:szCs w:val="28"/>
          <w:rtl/>
        </w:rPr>
        <w:t xml:space="preserve">در ۳۲ باب؛ خط: نستعلیق، کا: طبیب حموی، تا: ۱۲ محرم ۱۰۰۷ق؛ کاغذ: سفید [سنا: ف: ۱-۱۸۸]</w:t>
      </w:r>
    </w:p>
    <w:p>
      <w:pPr>
        <w:pStyle w:val="BookText"/>
      </w:pPr>
      <w:r>
        <w:rPr>
          <w:rFonts w:ascii="IRNazanin" w:hAnsi="IRNazanin" w:eastAsia="IRNazanin" w:cs="IRNazanin"/>
          <w:lang w:bidi="fa-IR"/>
          <w:color w:val="111111"/>
          <w:sz w:val="28"/>
          <w:szCs w:val="28"/>
          <w:rtl/>
        </w:rPr>
        <w:t xml:space="preserve">۲. مشهد؛ رضوی؛ شماره نسخه: ۹۵۸۰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هادی بن حاجی ابراهیم خاتون آبادی، تا: ۱۰۹۶ق؛ واقف: دکتر بقراط الحكما، آذر ۱۳۴۵؛ کاغذ: شکری آهاری، ۱۰۵گ، ۱۷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۱۹-۳۶۲]</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ملک؛ شماره نسخه: ۴۵۷۳/۲۵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سی و یک باب؛ بی کا، بی تا، کاغذ: ترمه، جلد: مینش زرد سیر، ۲۰گ (۱۶۶ر-۱۸۵ر)، اندازه: ۳۹/۵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۷-۴۲۸]</w:t>
      </w:r>
    </w:p>
    <w:p>
      <w:pPr>
        <w:pStyle w:val="Heading3"/>
      </w:pPr>
      <w:bookmarkStart w:id="3058" w:name="_Toc2318"/>
      <w:r>
        <w:t>•تجارب الأمم في اخبار ملوك العرب و العجم / تاریخ جهان / فارسی</w:t>
      </w:r>
      <w:bookmarkEnd w:id="3058"/>
    </w:p>
    <w:p>
      <w:pPr>
        <w:pStyle w:val="BookText"/>
      </w:pPr>
      <w:r>
        <w:rPr>
          <w:rFonts w:ascii="Times New Roman" w:hAnsi="Times New Roman" w:eastAsia="Times New Roman" w:cs="Times New Roman"/>
          <w:lang w:val="en-US" w:bidi="en-US"/>
          <w:color w:val="111111"/>
          <w:sz w:val="28"/>
          <w:szCs w:val="28"/>
          <w:rtl/>
        </w:rPr>
        <w:t xml:space="preserve">tajārob-ol omam fi axbār-e molūk-el 'arab va-l 'ajam</w:t>
      </w:r>
    </w:p>
    <w:p>
      <w:pPr>
        <w:pStyle w:val="BookText"/>
      </w:pPr>
      <w:r>
        <w:rPr>
          <w:rFonts w:ascii="IRNazanin" w:hAnsi="IRNazanin" w:eastAsia="IRNazanin" w:cs="IRNazanin"/>
          <w:lang w:bidi="fa-IR"/>
          <w:color w:val="111111"/>
          <w:sz w:val="28"/>
          <w:szCs w:val="28"/>
          <w:rtl/>
        </w:rPr>
        <w:t xml:space="preserve">حمدالله مستوفی، حمد الله بن ابی بکر، - ۷۵۰ قمری</w:t>
      </w:r>
    </w:p>
    <w:p>
      <w:pPr>
        <w:pStyle w:val="BookText"/>
      </w:pPr>
      <w:r>
        <w:rPr>
          <w:rFonts w:ascii="Times New Roman" w:hAnsi="Times New Roman" w:eastAsia="Times New Roman" w:cs="Times New Roman"/>
          <w:lang w:val="en-US" w:bidi="en-US"/>
          <w:color w:val="111111"/>
          <w:sz w:val="28"/>
          <w:szCs w:val="28"/>
          <w:rtl/>
        </w:rPr>
        <w:t xml:space="preserve">hamd-ol-lāh-e mostawfi, hamd-ol-lāh ebn-e abī-bakr ( 1350)</w:t>
      </w:r>
    </w:p>
    <w:p>
      <w:pPr>
        <w:pStyle w:val="BookText"/>
      </w:pPr>
      <w:r>
        <w:rPr>
          <w:rFonts w:ascii="IRNazanin" w:hAnsi="IRNazanin" w:eastAsia="IRNazanin" w:cs="IRNazanin"/>
          <w:lang w:bidi="fa-IR"/>
          <w:color w:val="111111"/>
          <w:sz w:val="28"/>
          <w:szCs w:val="28"/>
          <w:rtl/>
        </w:rPr>
        <w:t xml:space="preserve">تاریخ پیامبران است از سام بن نوح و تاریخ ایران تا جنگ عرب ها در زمان يزدگرد و تاریخ عرب پیش از اسلام. ترجمه متنی است به عربی که زمان عبد الملک مروان در سال ۷۵ به کوشش امیر بن شراحیل شعبی در گذشته پیش از ۱۱۰ و ایوب بن فهر ابن القريه و سپس عبدالله بن مقفع ساخته شده است و نام آن نهاية الأرب في اخبار الفرس و العرب است. نسخه به خط کوفی بوده و دربار عباسی هم آن را می شناخته است و به دست اتابک سعد بن زنگی سلغری در گذشته ۶۲۳ افتاده و او نتوانست بخواند. اتابک نصرة الدين احمد لر (۶۹۶-۷۳۳) فرمانروای لرستان دستور داد که مستوفی آن را به پارسی در آورد [ص ع نسخه یادداشت مورخ ۸۱۱]. (دانش پژوه)</w:t>
      </w:r>
    </w:p>
    <w:p>
      <w:pPr>
        <w:pStyle w:val="BookText"/>
      </w:pPr>
      <w:r>
        <w:rPr>
          <w:rFonts w:ascii="IRNazanin" w:hAnsi="IRNazanin" w:eastAsia="IRNazanin" w:cs="IRNazanin"/>
          <w:lang w:bidi="fa-IR"/>
          <w:color w:val="111111"/>
          <w:sz w:val="28"/>
          <w:szCs w:val="28"/>
          <w:rtl/>
        </w:rPr>
        <w:t xml:space="preserve">[دنا ۷۸۹/۲ ؛ فهرستواره منزوی ۵۹۳/۱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نسخه:۱۹۰ف</w:t>
      </w:r>
    </w:p>
    <w:p>
      <w:pPr>
        <w:pStyle w:val="BookText"/>
      </w:pPr>
      <w:r>
        <w:rPr>
          <w:rFonts w:ascii="IRNazanin" w:hAnsi="IRNazanin" w:eastAsia="IRNazanin" w:cs="IRNazanin"/>
          <w:lang w:bidi="fa-IR"/>
          <w:color w:val="111111"/>
          <w:sz w:val="28"/>
          <w:szCs w:val="28"/>
          <w:rtl/>
        </w:rPr>
        <w:t xml:space="preserve">نسخه اصل: ایاصوفيا ش ۳۱۱۵؛ خط: نستعلیق، بی کا، تا: شوال ۷۸۹ق، جان شهر ایذج؛ ۱۷۴ گ، ۲۱ سطر [فیلمها ف: ۱-۴۱]</w:t>
      </w:r>
    </w:p>
    <w:p>
      <w:pPr>
        <w:pStyle w:val="BookText"/>
      </w:pPr>
      <w:r>
        <w:rPr>
          <w:rFonts w:ascii="IRNazanin" w:hAnsi="IRNazanin" w:eastAsia="IRNazanin" w:cs="IRNazanin"/>
          <w:lang w:bidi="fa-IR"/>
          <w:color w:val="111111"/>
          <w:sz w:val="28"/>
          <w:szCs w:val="28"/>
          <w:rtl/>
        </w:rPr>
        <w:t xml:space="preserve">۲. تهران: مطالعات فرهنگی؛ شماره نسخه:فه نسخه اصل: چستربیتی ۳۱۹ و ۳۲۰ (۷۶/۳</w:t>
      </w:r>
    </w:p>
    <w:p>
      <w:pPr>
        <w:pStyle w:val="BookText"/>
      </w:pPr>
      <w:r>
        <w:rPr>
          <w:rFonts w:ascii="IRNazanin" w:hAnsi="IRNazanin" w:eastAsia="IRNazanin" w:cs="IRNazanin"/>
          <w:lang w:bidi="fa-IR"/>
          <w:color w:val="111111"/>
          <w:sz w:val="28"/>
          <w:szCs w:val="28"/>
          <w:rtl/>
        </w:rPr>
        <w:t xml:space="preserve">)؛ بی کا، تا: ۲۵ ذیحجه ۸۱۱ق [ف: ۱۶۴]</w:t>
      </w:r>
    </w:p>
    <w:p>
      <w:pPr>
        <w:pStyle w:val="Heading3"/>
      </w:pPr>
      <w:bookmarkStart w:id="3059" w:name="_Toc2319"/>
      <w:r>
        <w:t>•تجارب الأمم و تعاقب الهمم / تاریخ عربی</w:t>
      </w:r>
      <w:bookmarkEnd w:id="3059"/>
    </w:p>
    <w:p>
      <w:pPr>
        <w:pStyle w:val="BookText"/>
      </w:pPr>
      <w:r>
        <w:rPr>
          <w:rFonts w:ascii="Times New Roman" w:hAnsi="Times New Roman" w:eastAsia="Times New Roman" w:cs="Times New Roman"/>
          <w:lang w:val="en-US" w:bidi="en-US"/>
          <w:color w:val="111111"/>
          <w:sz w:val="28"/>
          <w:szCs w:val="28"/>
          <w:rtl/>
        </w:rPr>
        <w:t xml:space="preserve">tajārub-ul umam wa taʻāqub-ul himam</w:t>
      </w:r>
    </w:p>
    <w:p>
      <w:pPr>
        <w:pStyle w:val="BookText"/>
      </w:pPr>
      <w:r>
        <w:rPr>
          <w:rFonts w:ascii="IRNazanin" w:hAnsi="IRNazanin" w:eastAsia="IRNazanin" w:cs="IRNazanin"/>
          <w:lang w:bidi="fa-IR"/>
          <w:color w:val="111111"/>
          <w:sz w:val="28"/>
          <w:szCs w:val="28"/>
          <w:rtl/>
        </w:rPr>
        <w:t xml:space="preserve">ابن مسکویه، احمد بن محمد، ۳۲۰-۴۲۱ قمری</w:t>
      </w:r>
    </w:p>
    <w:p>
      <w:pPr>
        <w:pStyle w:val="BookText"/>
      </w:pPr>
      <w:r>
        <w:rPr>
          <w:rFonts w:ascii="Times New Roman" w:hAnsi="Times New Roman" w:eastAsia="Times New Roman" w:cs="Times New Roman"/>
          <w:lang w:val="en-US" w:bidi="en-US"/>
          <w:color w:val="111111"/>
          <w:sz w:val="28"/>
          <w:szCs w:val="28"/>
          <w:rtl/>
        </w:rPr>
        <w:t xml:space="preserve">ebn-e meskavayh, ahmad ebn-e mohammad (933 1031)</w:t>
      </w:r>
    </w:p>
    <w:p>
      <w:pPr>
        <w:pStyle w:val="BookText"/>
      </w:pPr>
      <w:r>
        <w:rPr>
          <w:rFonts w:ascii="IRNazanin" w:hAnsi="IRNazanin" w:eastAsia="IRNazanin" w:cs="IRNazanin"/>
          <w:lang w:bidi="fa-IR"/>
          <w:color w:val="111111"/>
          <w:sz w:val="28"/>
          <w:szCs w:val="28"/>
          <w:rtl/>
        </w:rPr>
        <w:t xml:space="preserve">ابن مسکویه می گوید من کتب بسیار از احوال و اخبار بلدان خواندم و نیز در تاریخ تتبع بسیار کردم پس بر آن شدم که تاریخی تدوین کنم تا همگان را به خصوص صاحبان مقام و اولیای امور از کشوری و لشکری را در ملک داری به کار آید و نتیجه همتم این کتاب شده است. (عبدالله انوار) چاپ: جزء ۱ در لیدن، ۱۹۰۹م؛ جزء ۶ با کتاب العيون و الحدائق في اخبار الحقائق چاپ شده؛ جزء۶ در لیدن، ۱۹۱۳م؛ مصر، مطبوعات شركة التمدن، جزء ۵ و ۶ چاپ شده. [دنا ۷۸۹/۲ (۱۳ نسخه)]</w:t>
      </w:r>
    </w:p>
    <w:p>
      <w:pPr>
        <w:pStyle w:val="BookText"/>
      </w:pPr>
      <w:r>
        <w:rPr>
          <w:rFonts w:ascii="IRNazanin" w:hAnsi="IRNazanin" w:eastAsia="IRNazanin" w:cs="IRNazanin"/>
          <w:lang w:bidi="fa-IR"/>
          <w:color w:val="111111"/>
          <w:sz w:val="28"/>
          <w:szCs w:val="28"/>
          <w:rtl/>
        </w:rPr>
        <w:t xml:space="preserve">۱. تهران: دانشگاه؛ شماره نسخه: ۱۲۰-ف</w:t>
      </w:r>
    </w:p>
    <w:p>
      <w:pPr>
        <w:pStyle w:val="BookText"/>
      </w:pPr>
      <w:r>
        <w:rPr>
          <w:rFonts w:ascii="IRNazanin" w:hAnsi="IRNazanin" w:eastAsia="IRNazanin" w:cs="IRNazanin"/>
          <w:lang w:bidi="fa-IR"/>
          <w:color w:val="111111"/>
          <w:sz w:val="28"/>
          <w:szCs w:val="28"/>
          <w:rtl/>
        </w:rPr>
        <w:t xml:space="preserve">نسخه اصل: ایاصوفيا ش ۳۱۱۷. ج ۲؛ خط: نسخ، كا: ابوطاهر محمد بن علی بن محمد بلخی و حسن بن منصور و محمد بن حسن بن منصور، تا: ۲۶ ربيع الثانی ۵۰۵ و ۱۵ شوال ۵۳۶ و ۳ جمادی الاول ۵۵۱؛ ۲۹۷گ، ۱۲ سطر [فیلمها ف: ۱-۲۹۶]</w:t>
      </w:r>
    </w:p>
    <w:p>
      <w:pPr>
        <w:pStyle w:val="BookText"/>
      </w:pPr>
      <w:r>
        <w:rPr>
          <w:rFonts w:ascii="IRNazanin" w:hAnsi="IRNazanin" w:eastAsia="IRNazanin" w:cs="IRNazanin"/>
          <w:lang w:bidi="fa-IR"/>
          <w:color w:val="111111"/>
          <w:sz w:val="28"/>
          <w:szCs w:val="28"/>
          <w:rtl/>
        </w:rPr>
        <w:t xml:space="preserve">۲. تهران؛ دانشگاه؛ شماره نسخه: ۱۲۱-ف</w:t>
      </w:r>
    </w:p>
    <w:p>
      <w:pPr>
        <w:pStyle w:val="BookText"/>
      </w:pPr>
      <w:r>
        <w:rPr>
          <w:rFonts w:ascii="IRNazanin" w:hAnsi="IRNazanin" w:eastAsia="IRNazanin" w:cs="IRNazanin"/>
          <w:lang w:bidi="fa-IR"/>
          <w:color w:val="111111"/>
          <w:sz w:val="28"/>
          <w:szCs w:val="28"/>
          <w:rtl/>
        </w:rPr>
        <w:t xml:space="preserve">نسخه اصل: ایاصوفيا ش ۳۱۱۸. ج ۳؛ خط: نسخ، كان ابوطاهر محمد بن علی بن محمد بلخی و حسن بن منصور و محمد بن حسن بن منصور، تا: ۵۰۵ و جمادی الثانی ۵۳۷ و ۱۸ جمادی الثانی ۵۵۱ ؛ ۲۹۷گ، ۱۲ سطر [فیلمها ف: ۱-۲۹۶]</w:t>
      </w:r>
    </w:p>
    <w:p>
      <w:pPr>
        <w:pStyle w:val="BookText"/>
      </w:pPr>
      <w:r>
        <w:rPr>
          <w:rFonts w:ascii="IRNazanin" w:hAnsi="IRNazanin" w:eastAsia="IRNazanin" w:cs="IRNazanin"/>
          <w:lang w:bidi="fa-IR"/>
          <w:color w:val="111111"/>
          <w:sz w:val="28"/>
          <w:szCs w:val="28"/>
          <w:rtl/>
        </w:rPr>
        <w:t xml:space="preserve">٣. تهران، دانشگاه؛ شماره نسخه: ۱۲۲-في</w:t>
      </w:r>
    </w:p>
    <w:p>
      <w:pPr>
        <w:pStyle w:val="BookText"/>
      </w:pPr>
      <w:r>
        <w:rPr>
          <w:rFonts w:ascii="IRNazanin" w:hAnsi="IRNazanin" w:eastAsia="IRNazanin" w:cs="IRNazanin"/>
          <w:lang w:bidi="fa-IR"/>
          <w:color w:val="111111"/>
          <w:sz w:val="28"/>
          <w:szCs w:val="28"/>
          <w:rtl/>
        </w:rPr>
        <w:t xml:space="preserve">نسخه اصل: ایاصوفيا ش ۳۱۱۹. ج ۴، خط: نسخ، كا: ابوطاهر محمد بن علی محمد بلخی و محمد بن حسن منصور، تا: ۲۷ رجب ۵۰۵ و ۵۵۱؛ نقل على بن حنظله؛ ۳۹۰گ، ۱۲ سطر [فیلمها ف: ۱-۲۹۶]</w:t>
      </w:r>
    </w:p>
    <w:p>
      <w:pPr>
        <w:pStyle w:val="BookText"/>
      </w:pPr>
      <w:r>
        <w:rPr>
          <w:rFonts w:ascii="IRNazanin" w:hAnsi="IRNazanin" w:eastAsia="IRNazanin" w:cs="IRNazanin"/>
          <w:lang w:bidi="fa-IR"/>
          <w:color w:val="111111"/>
          <w:sz w:val="28"/>
          <w:szCs w:val="28"/>
          <w:rtl/>
        </w:rPr>
        <w:t xml:space="preserve">۴. مشهد؛ رضوی؛ شماره نسخه:۴۰۹۰</w:t>
      </w:r>
    </w:p>
    <w:p>
      <w:pPr>
        <w:pStyle w:val="BookText"/>
      </w:pPr>
      <w:r>
        <w:rPr>
          <w:rFonts w:ascii="IRNazanin" w:hAnsi="IRNazanin" w:eastAsia="IRNazanin" w:cs="IRNazanin"/>
          <w:lang w:bidi="fa-IR"/>
          <w:color w:val="111111"/>
          <w:sz w:val="28"/>
          <w:szCs w:val="28"/>
          <w:rtl/>
        </w:rPr>
        <w:t xml:space="preserve">آغاز: بسمله و دخلت سنه احدی و مایه وفيها ولی یزید بن عبدالملک الخلافه؛ انجام: فلم يوثر شيئا فلما نظر جلد ۲؛ خط: نسخ، بی کا، تا: قرن ۱۸ کاغذ: نخودی، جلد: میشن،</w:t>
      </w:r>
    </w:p>
    <w:p>
      <w:pPr>
        <w:pStyle w:val="BookText"/>
      </w:pPr>
      <w:r>
        <w:rPr>
          <w:rFonts w:ascii="IRNazanin" w:hAnsi="IRNazanin" w:eastAsia="IRNazanin" w:cs="IRNazanin"/>
          <w:lang w:bidi="fa-IR"/>
          <w:color w:val="111111"/>
          <w:sz w:val="28"/>
          <w:szCs w:val="28"/>
          <w:rtl/>
        </w:rPr>
        <w:t xml:space="preserve">۲۵۷گ ، ۲۰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[الفبائی: ۱۰۳]</w:t>
      </w:r>
    </w:p>
    <w:p>
      <w:pPr>
        <w:pStyle w:val="BookText"/>
      </w:pPr>
      <w:r>
        <w:rPr>
          <w:rFonts w:ascii="IRNazanin" w:hAnsi="IRNazanin" w:eastAsia="IRNazanin" w:cs="IRNazanin"/>
          <w:lang w:bidi="fa-IR"/>
          <w:color w:val="111111"/>
          <w:sz w:val="28"/>
          <w:szCs w:val="28"/>
          <w:rtl/>
        </w:rPr>
        <w:t xml:space="preserve">تهران؛ دانشگاه؛ شماره نسخه:۱۶۳۸ف
</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bookmarkStart w:id="709" w:name="pg20363_210062"/>
    <w:bookmarkEnd w:id="709"/>
    <w:p>
      <w:pPr>
        <w:pStyle w:val="BookText"/>
      </w:pPr>
      <w:r>
        <w:rPr>
          <w:rFonts w:ascii="Amiri" w:hAnsi="Amiri" w:eastAsia="Amiri" w:cs="Amiri"/>
          <w:lang w:bidi="ar-SA"/>
          <w:color w:val="111111"/>
          <w:sz w:val="28"/>
          <w:szCs w:val="28"/>
          <w:rtl/>
        </w:rPr>
        <w:t xml:space="preserve">نسخه اصل: همان نسخه بالا [فيلمها ف: ۱-۲۹۶]</w:t>
      </w:r>
    </w:p>
    <w:p>
      <w:pPr>
        <w:pStyle w:val="BookText"/>
      </w:pPr>
      <w:r>
        <w:rPr>
          <w:rFonts w:ascii="IRNazanin" w:hAnsi="IRNazanin" w:eastAsia="IRNazanin" w:cs="IRNazanin"/>
          <w:lang w:bidi="fa-IR"/>
          <w:color w:val="111111"/>
          <w:sz w:val="28"/>
          <w:szCs w:val="28"/>
          <w:rtl/>
        </w:rPr>
        <w:t xml:space="preserve">تهران؛ مینوی؛ شماره نسخه:۲۸۴بخش ۳</w:t>
      </w:r>
    </w:p>
    <w:p>
      <w:pPr>
        <w:pStyle w:val="BookText"/>
      </w:pPr>
      <w:r>
        <w:rPr>
          <w:rFonts w:ascii="IRNazanin" w:hAnsi="IRNazanin" w:eastAsia="IRNazanin" w:cs="IRNazanin"/>
          <w:lang w:bidi="fa-IR"/>
          <w:color w:val="111111"/>
          <w:sz w:val="28"/>
          <w:szCs w:val="28"/>
          <w:rtl/>
        </w:rPr>
        <w:t xml:space="preserve">همان نسخه بالا [ف: ۱۳۶]</w:t>
      </w:r>
    </w:p>
    <w:p>
      <w:pPr>
        <w:pStyle w:val="BookText"/>
      </w:pPr>
      <w:r>
        <w:rPr>
          <w:rFonts w:ascii="IRNazanin" w:hAnsi="IRNazanin" w:eastAsia="IRNazanin" w:cs="IRNazanin"/>
          <w:lang w:bidi="fa-IR"/>
          <w:color w:val="111111"/>
          <w:sz w:val="28"/>
          <w:szCs w:val="28"/>
          <w:rtl/>
        </w:rPr>
        <w:t xml:space="preserve">۵. تهران؛ ملی؛ شماره نسخه:۱۲۳۶</w:t>
      </w:r>
    </w:p>
    <w:p>
      <w:pPr>
        <w:pStyle w:val="BookText"/>
      </w:pPr>
      <w:r>
        <w:rPr>
          <w:rFonts w:ascii="IRNazanin" w:hAnsi="IRNazanin" w:eastAsia="IRNazanin" w:cs="IRNazanin"/>
          <w:lang w:bidi="fa-IR"/>
          <w:color w:val="111111"/>
          <w:sz w:val="28"/>
          <w:szCs w:val="28"/>
          <w:rtl/>
        </w:rPr>
        <w:t xml:space="preserve">آغاز: بسمله، رب يسر ولا تعسر الحمد لله حمد الشاکرین و صلوته على نبيه و اله اجمعين قد انعم الله علينا؛ انجام: و كثر جنده فامر باحصائهم فكانوا ما ته. از ابتدای تاریخ تا وقایع سال ۱۹۵ هجری قمری، جلد اول؛ خط: نسخ، كا: حویزی، تا: ۱۰۶۷ق؛ کاغذ: سمرقندی، جلد: میشن پشمی با ترنج و نیم ترنج، ۳۲۹گ، ۲۶سطر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اندازه: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۹-۲۱۸]</w:t>
      </w:r>
    </w:p>
    <w:p>
      <w:pPr>
        <w:pStyle w:val="BookText"/>
      </w:pPr>
      <w:r>
        <w:rPr>
          <w:rFonts w:ascii="IRNazanin" w:hAnsi="IRNazanin" w:eastAsia="IRNazanin" w:cs="IRNazanin"/>
          <w:lang w:bidi="fa-IR"/>
          <w:color w:val="111111"/>
          <w:sz w:val="28"/>
          <w:szCs w:val="28"/>
          <w:rtl/>
        </w:rPr>
        <w:t xml:space="preserve">6 . تهران؛ ملی؛ شماره نسخه:۱۲۳۷</w:t>
      </w:r>
    </w:p>
    <w:p>
      <w:pPr>
        <w:pStyle w:val="BookText"/>
      </w:pPr>
      <w:r>
        <w:rPr>
          <w:rFonts w:ascii="IRNazanin" w:hAnsi="IRNazanin" w:eastAsia="IRNazanin" w:cs="IRNazanin"/>
          <w:lang w:bidi="fa-IR"/>
          <w:color w:val="111111"/>
          <w:sz w:val="28"/>
          <w:szCs w:val="28"/>
          <w:rtl/>
        </w:rPr>
        <w:t xml:space="preserve">آغاز: الف و خمسة و عشرين الفا بين فارس و راجل فاعطى الفارس اربعین درهما؛ انجام: و يقال أن مبدء ذلك به كان بالموصل الا انه لم يظهر امره لاحد. جلد دوم، وقایع از سال ۱۹۶ ق تا وقایع سال ۳۶۹ق که زمان تالیف این کتاب است، مطالب تاریخی بر حسب ترتیب بندی نویسنده آمده است؛ خط: نسخ، كا: حویزی، تا: ۱۰۶۷ق، کاغذ: سمرقندی، جلد: میشن یشمی، ساده، مقوایی، ۳۲۵گ، ۲۶سطر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۹-۲۱۹]</w:t>
      </w:r>
    </w:p>
    <w:p>
      <w:pPr>
        <w:pStyle w:val="BookText"/>
      </w:pPr>
      <w:r>
        <w:rPr>
          <w:rFonts w:ascii="IRNazanin" w:hAnsi="IRNazanin" w:eastAsia="IRNazanin" w:cs="IRNazanin"/>
          <w:lang w:bidi="fa-IR"/>
          <w:color w:val="111111"/>
          <w:sz w:val="28"/>
          <w:szCs w:val="28"/>
          <w:rtl/>
        </w:rPr>
        <w:t xml:space="preserve">۷. تهران: ملک؛ شماره نسخه:۴۱۴۵</w:t>
      </w:r>
    </w:p>
    <w:p>
      <w:pPr>
        <w:pStyle w:val="BookText"/>
      </w:pPr>
      <w:r>
        <w:rPr>
          <w:rFonts w:ascii="IRNazanin" w:hAnsi="IRNazanin" w:eastAsia="IRNazanin" w:cs="IRNazanin"/>
          <w:lang w:bidi="fa-IR"/>
          <w:color w:val="111111"/>
          <w:sz w:val="28"/>
          <w:szCs w:val="28"/>
          <w:rtl/>
        </w:rPr>
        <w:t xml:space="preserve">خط: نسخ، کا: محمود طباطبائی اردستانی، تا: ۱۰ ذیحجه ۱۲۹۴ق؛ تملک: صنيع الدوله در ۱۲۹۸، علی قلی میرزای اعتضاد السلطنه در ۱۲۹۵؛ کاغذ: فرنگی، جلد: میشن نارنجی سیر،</w:t>
      </w:r>
    </w:p>
    <w:p>
      <w:pPr>
        <w:pStyle w:val="BookText"/>
      </w:pPr>
      <w:r>
        <w:rPr>
          <w:rFonts w:ascii="IRNazanin" w:hAnsi="IRNazanin" w:eastAsia="IRNazanin" w:cs="IRNazanin"/>
          <w:lang w:bidi="fa-IR"/>
          <w:color w:val="111111"/>
          <w:sz w:val="28"/>
          <w:szCs w:val="28"/>
          <w:rtl/>
        </w:rPr>
        <w:t xml:space="preserve">۵۰۷گ، ۲۵ سطر، اندازه: ۲۲/۲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۱-۸۲ ]</w:t>
      </w:r>
    </w:p>
    <w:p>
      <w:pPr>
        <w:pStyle w:val="BookText"/>
      </w:pPr>
      <w:r>
        <w:rPr>
          <w:rFonts w:ascii="IRNazanin" w:hAnsi="IRNazanin" w:eastAsia="IRNazanin" w:cs="IRNazanin"/>
          <w:lang w:bidi="fa-IR"/>
          <w:color w:val="111111"/>
          <w:sz w:val="28"/>
          <w:szCs w:val="28"/>
          <w:rtl/>
        </w:rPr>
        <w:t xml:space="preserve">تهران؛ دانشگاه؛ شماره نسخه:۴۷۹۱-ف</w:t>
      </w:r>
    </w:p>
    <w:p>
      <w:pPr>
        <w:pStyle w:val="BookText"/>
      </w:pPr>
      <w:r>
        <w:rPr>
          <w:rFonts w:ascii="Amiri" w:hAnsi="Amiri" w:eastAsia="Amiri" w:cs="Amiri"/>
          <w:lang w:bidi="ar-SA"/>
          <w:color w:val="111111"/>
          <w:sz w:val="28"/>
          <w:szCs w:val="28"/>
          <w:rtl/>
        </w:rPr>
        <w:t xml:space="preserve">نسخه اصل: همان نسخه بالا [فيلمها ف: ۳-۱۰۷]</w:t>
      </w:r>
    </w:p>
    <w:p>
      <w:pPr>
        <w:pStyle w:val="BookText"/>
      </w:pPr>
      <w:r>
        <w:rPr>
          <w:rFonts w:ascii="IRNazanin" w:hAnsi="IRNazanin" w:eastAsia="IRNazanin" w:cs="IRNazanin"/>
          <w:lang w:bidi="fa-IR"/>
          <w:color w:val="111111"/>
          <w:sz w:val="28"/>
          <w:szCs w:val="28"/>
          <w:rtl/>
        </w:rPr>
        <w:t xml:space="preserve">۸. تهران، ملک؛ شماره نسخه:۴۳۲۴</w:t>
      </w:r>
    </w:p>
    <w:p>
      <w:pPr>
        <w:pStyle w:val="BookText"/>
      </w:pPr>
      <w:r>
        <w:rPr>
          <w:rFonts w:ascii="IRNazanin" w:hAnsi="IRNazanin" w:eastAsia="IRNazanin" w:cs="IRNazanin"/>
          <w:lang w:bidi="fa-IR"/>
          <w:color w:val="111111"/>
          <w:sz w:val="28"/>
          <w:szCs w:val="28"/>
          <w:rtl/>
        </w:rPr>
        <w:t xml:space="preserve">جلد ۲؛ خط: نسخ، كا: محمد بن داود حسینی مشهدی، تا: ۱۴ جمادی الاول ۱۳۰۷ق؛ کاغذ: ترمه، جلد: میشن سرخ ضربی، ۲۳۱، ۲۱ سطر، اندازه: ۲۹/۶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۱-۸۲]</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تبریز؛ تربیت؛ شماره نسخه:۳۹۱۸عکسی</w:t>
      </w:r>
    </w:p>
    <w:p>
      <w:pPr>
        <w:pStyle w:val="BookText"/>
      </w:pPr>
      <w:r>
        <w:rPr>
          <w:rFonts w:ascii="IRNazanin" w:hAnsi="IRNazanin" w:eastAsia="IRNazanin" w:cs="IRNazanin"/>
          <w:lang w:bidi="fa-IR"/>
          <w:color w:val="111111"/>
          <w:sz w:val="28"/>
          <w:szCs w:val="28"/>
          <w:rtl/>
        </w:rPr>
        <w:t xml:space="preserve">جلد اول است که در تاریخ ۱۹۰۹ میلادی با عکس برداری چاپ</w:t>
      </w:r>
    </w:p>
    <w:p>
      <w:pPr>
        <w:pStyle w:val="BookText"/>
      </w:pPr>
      <w:r>
        <w:rPr>
          <w:rFonts w:ascii="IRNazanin" w:hAnsi="IRNazanin" w:eastAsia="IRNazanin" w:cs="IRNazanin"/>
          <w:lang w:bidi="fa-IR"/>
          <w:color w:val="111111"/>
          <w:sz w:val="28"/>
          <w:szCs w:val="28"/>
          <w:rtl/>
        </w:rPr>
        <w:t xml:space="preserve">شده و فهرست اعلام مرتبی بر آن علاوه شده بابی کا، بی تا[ف: ۱۸۸]</w:t>
      </w:r>
    </w:p>
    <w:p>
      <w:pPr>
        <w:pStyle w:val="BookText"/>
      </w:pPr>
      <w:r>
        <w:rPr>
          <w:rFonts w:ascii="IRNazanin" w:hAnsi="IRNazanin" w:eastAsia="IRNazanin" w:cs="IRNazanin"/>
          <w:lang w:bidi="fa-IR"/>
          <w:color w:val="111111"/>
          <w:sz w:val="28"/>
          <w:szCs w:val="28"/>
          <w:rtl/>
        </w:rPr>
        <w:t xml:space="preserve">۱۰. تبریز؛ تربیت؛ شماره نسخه:۳۹۱۷عکسی</w:t>
      </w:r>
    </w:p>
    <w:p>
      <w:pPr>
        <w:pStyle w:val="BookText"/>
      </w:pPr>
      <w:r>
        <w:rPr>
          <w:rFonts w:ascii="IRNazanin" w:hAnsi="IRNazanin" w:eastAsia="IRNazanin" w:cs="IRNazanin"/>
          <w:lang w:bidi="fa-IR"/>
          <w:color w:val="111111"/>
          <w:sz w:val="28"/>
          <w:szCs w:val="28"/>
          <w:rtl/>
        </w:rPr>
        <w:t xml:space="preserve">جلد پنجم. این مجلد در سال ۱۹۱۳ میلادی با عکس برداری چاپ شده و فهرست اعلام در آخر آن مرتب کرده اند؛ بی کا، بی تا [ف: ۱۹۰]</w:t>
      </w:r>
    </w:p>
    <w:p>
      <w:pPr>
        <w:pStyle w:val="BookText"/>
      </w:pPr>
      <w:r>
        <w:rPr>
          <w:rFonts w:ascii="IRNazanin" w:hAnsi="IRNazanin" w:eastAsia="IRNazanin" w:cs="IRNazanin"/>
          <w:lang w:bidi="fa-IR"/>
          <w:color w:val="111111"/>
          <w:sz w:val="28"/>
          <w:szCs w:val="28"/>
          <w:rtl/>
        </w:rPr>
        <w:t xml:space="preserve">۱۱. تبریز؛ تربیت؛ شماره نسخه:۳۹۱۶عکسی</w:t>
      </w:r>
    </w:p>
    <w:p>
      <w:pPr>
        <w:pStyle w:val="BookText"/>
      </w:pPr>
      <w:r>
        <w:rPr>
          <w:rFonts w:ascii="IRNazanin" w:hAnsi="IRNazanin" w:eastAsia="IRNazanin" w:cs="IRNazanin"/>
          <w:lang w:bidi="fa-IR"/>
          <w:color w:val="111111"/>
          <w:sz w:val="28"/>
          <w:szCs w:val="28"/>
          <w:rtl/>
        </w:rPr>
        <w:t xml:space="preserve">جلد ششم و در سال ۱۹۱۷ از همان نسخه ایاصوفیه عکس برداری شده و این مجلد فهرست ندارد؛ بی کا، بی تا [ف: ۱۹۱]</w:t>
      </w:r>
    </w:p>
    <w:p>
      <w:pPr>
        <w:pStyle w:val="BookText"/>
      </w:pPr>
      <w:r>
        <w:rPr>
          <w:rFonts w:ascii="Amiri" w:hAnsi="Amiri" w:eastAsia="Amiri" w:cs="Amiri"/>
          <w:lang w:bidi="ar-SA"/>
          <w:color w:val="111111"/>
          <w:sz w:val="28"/>
          <w:szCs w:val="28"/>
          <w:rtl/>
        </w:rPr>
        <w:t xml:space="preserve">← تجارب الانسان و انوار الحكمة ← انوار الحكمة</w:t>
      </w:r>
    </w:p>
    <w:p>
      <w:pPr>
        <w:pStyle w:val="Heading3"/>
      </w:pPr>
      <w:bookmarkStart w:id="3060" w:name="_Toc2320"/>
      <w:r>
        <w:t>•تجارب الإنسان و انوار الحكمة/ اخلاق / فارسی</w:t>
      </w:r>
      <w:bookmarkEnd w:id="3060"/>
    </w:p>
    <w:p>
      <w:pPr>
        <w:pStyle w:val="BookText"/>
      </w:pPr>
      <w:r>
        <w:rPr>
          <w:rFonts w:ascii="Times New Roman" w:hAnsi="Times New Roman" w:eastAsia="Times New Roman" w:cs="Times New Roman"/>
          <w:lang w:val="en-US" w:bidi="en-US"/>
          <w:color w:val="111111"/>
          <w:sz w:val="28"/>
          <w:szCs w:val="28"/>
          <w:rtl/>
        </w:rPr>
        <w:t xml:space="preserve">tajārob-ol ensān va anvār-ol hekma</w:t>
      </w:r>
    </w:p>
    <w:p>
      <w:pPr>
        <w:pStyle w:val="BookText"/>
      </w:pPr>
      <w:r>
        <w:rPr>
          <w:rFonts w:ascii="IRNazanin" w:hAnsi="IRNazanin" w:eastAsia="IRNazanin" w:cs="IRNazanin"/>
          <w:lang w:bidi="fa-IR"/>
          <w:color w:val="111111"/>
          <w:sz w:val="28"/>
          <w:szCs w:val="28"/>
          <w:rtl/>
        </w:rPr>
        <w:t xml:space="preserve">در اخلاق است به مانند «تحفة الملوک» چهل بابی. برای رسیدن به هر خواسته ای چهار چیز یاد می کند ولی بدون عنوان خاص. آغاز: سپاس بی قیاس آفریدگار جهان را باضعاف قطرات باران و ریگ بیابان ... و این کتاب «تجارب الإنسان» نام کرده شد از گفتار ائمه و حکما انجام: چهار چیز باید داشت: پیش حاكم دست، پیش عالم زبان، پیش نامحرم چشم، پیش اولیا دل. و الحمدلله رب العالمين و صلی الله چاپ: تهران، ۱۳۰۸ق،</w:t>
      </w:r>
    </w:p>
    <w:p>
      <w:pPr>
        <w:pStyle w:val="BookText"/>
      </w:pPr>
      <w:r>
        <w:rPr>
          <w:rFonts w:ascii="IRNazanin" w:hAnsi="IRNazanin" w:eastAsia="IRNazanin" w:cs="IRNazanin"/>
          <w:lang w:bidi="fa-IR"/>
          <w:color w:val="111111"/>
          <w:sz w:val="28"/>
          <w:szCs w:val="28"/>
          <w:rtl/>
        </w:rPr>
        <w:t xml:space="preserve">[سنگی؛ تهران، ۱۳۱۲، سنگی الذريعة ۳۴۷/۳ ؛ فهرستواره منزوی ۳۵۷/۶ ؛ دنا ۷۸۹/۲ -۷۹۰]</w:t>
      </w:r>
    </w:p>
    <w:p>
      <w:pPr>
        <w:pStyle w:val="BookText"/>
      </w:pPr>
      <w:r>
        <w:rPr>
          <w:rFonts w:ascii="IRNazanin" w:hAnsi="IRNazanin" w:eastAsia="IRNazanin" w:cs="IRNazanin"/>
          <w:lang w:bidi="fa-IR"/>
          <w:color w:val="111111"/>
          <w:sz w:val="28"/>
          <w:szCs w:val="28"/>
          <w:rtl/>
        </w:rPr>
        <w:t xml:space="preserve">۱. تبریز؛ ملی؛ شماره نسخه:۲۸۸۷</w:t>
      </w:r>
    </w:p>
    <w:p>
      <w:pPr>
        <w:pStyle w:val="BookText"/>
      </w:pPr>
      <w:r>
        <w:rPr>
          <w:rFonts w:ascii="IRNazanin" w:hAnsi="IRNazanin" w:eastAsia="IRNazanin" w:cs="IRNazanin"/>
          <w:lang w:bidi="fa-IR"/>
          <w:color w:val="111111"/>
          <w:sz w:val="28"/>
          <w:szCs w:val="28"/>
          <w:rtl/>
        </w:rPr>
        <w:t xml:space="preserve">آغاز: برابر؛ انجام: فيلقوس حکیم فرماید چهار چیز دل بگشاید: نواخت سلطان مساعدی دووان دعای زایران. (این لفظ رابط آخر صفحه و خارج از متن می باشد)</w:t>
      </w:r>
    </w:p>
    <w:p>
      <w:pPr>
        <w:pStyle w:val="BookText"/>
      </w:pPr>
      <w:r>
        <w:rPr>
          <w:rFonts w:ascii="IRNazanin" w:hAnsi="IRNazanin" w:eastAsia="IRNazanin" w:cs="IRNazanin"/>
          <w:lang w:bidi="fa-IR"/>
          <w:color w:val="111111"/>
          <w:sz w:val="28"/>
          <w:szCs w:val="28"/>
          <w:rtl/>
        </w:rPr>
        <w:t xml:space="preserve">خط: نسخ تعلیق، بی کا، تا: ظ۸۵۵ق؛ افتادگی: انجام؛ جلد: چرمی دو تکه، زرد و قهوه ای، ۲، ۱۳ سطر،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۱-۱۹۰]</w:t>
      </w:r>
    </w:p>
    <w:p>
      <w:pPr>
        <w:pStyle w:val="BookText"/>
      </w:pPr>
      <w:r>
        <w:rPr>
          <w:rFonts w:ascii="IRNazanin" w:hAnsi="IRNazanin" w:eastAsia="IRNazanin" w:cs="IRNazanin"/>
          <w:lang w:bidi="fa-IR"/>
          <w:color w:val="111111"/>
          <w:sz w:val="28"/>
          <w:szCs w:val="28"/>
          <w:rtl/>
        </w:rPr>
        <w:t xml:space="preserve">۲. فردوس؛ مدرسه حبیبیه؛ شماره نسخه: ۲۰/۲۲ درحاشیه</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معین شیرازی، تا: ۹۰۹ق، جا: تبریز؛ جلد: تیماج</w:t>
      </w:r>
    </w:p>
    <w:p>
      <w:pPr>
        <w:pStyle w:val="BookText"/>
      </w:pPr>
      <w:r>
        <w:rPr>
          <w:rFonts w:ascii="IRNazanin" w:hAnsi="IRNazanin" w:eastAsia="IRNazanin" w:cs="IRNazanin"/>
          <w:lang w:bidi="fa-IR"/>
          <w:color w:val="111111"/>
          <w:sz w:val="28"/>
          <w:szCs w:val="28"/>
          <w:rtl/>
        </w:rPr>
        <w:t xml:space="preserve">مشکی، ۲گ (۵۱ر -۵۲ر)،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مخ]</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ملک؛ شماره نسخه: ۴۲۷۵/۳۳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سعيد بن محمد تقی خاتون آبادی، تا: ۱۰۸۱ق؛ با یک سرلوح و دو پیشانی، مجدول، با کمند به زر؛ کاغذ: نوعی ترمه، جلد: رویه روغنی گل و بوته، ۳گ (۱۷۲پ ۱۷۴ر)، ۱۹ سطر، اندازه: ۲۴/۷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۱۶/۸ سم [ف: ۷-۳۲۹ ]</w:t>
      </w:r>
    </w:p>
    <w:p>
      <w:pPr>
        <w:pStyle w:val="BookText"/>
      </w:pPr>
      <w:r>
        <w:rPr>
          <w:rFonts w:ascii="IRNazanin" w:hAnsi="IRNazanin" w:eastAsia="IRNazanin" w:cs="IRNazanin"/>
          <w:lang w:bidi="fa-IR"/>
          <w:color w:val="111111"/>
          <w:sz w:val="28"/>
          <w:szCs w:val="28"/>
          <w:rtl/>
        </w:rPr>
        <w:t xml:space="preserve">۴. مشهد؛ گوهرشاد؛ شماره نسخه: ۲۱۸۸/۲۳</w:t>
      </w:r>
    </w:p>
    <w:p>
      <w:pPr>
        <w:pStyle w:val="BookText"/>
      </w:pPr>
      <w:r>
        <w:rPr>
          <w:rFonts w:ascii="IRNazanin" w:hAnsi="IRNazanin" w:eastAsia="IRNazanin" w:cs="IRNazanin"/>
          <w:lang w:bidi="fa-IR"/>
          <w:color w:val="111111"/>
          <w:sz w:val="28"/>
          <w:szCs w:val="28"/>
          <w:rtl/>
        </w:rPr>
        <w:t xml:space="preserve">آغاز و انجام: برابر خط: نسخ خوش، كا: معز الدين محمد بن سلطان محمد قاری نیریزی، تا: ۱۰۸۵ق؛ صفحه اول ديوان الحسين(عليه السلام)، دارای سرلوح مزدوج مذهب، مجدول، با کمند؛ واقف: محمد حسام واعظی، ۱۳۹۷، کاغذ: نخودی آهار مهره، جلد: تیماج، ۲۴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۵-۵۵۹]</w:t>
      </w:r>
    </w:p>
    <w:p>
      <w:pPr>
        <w:pStyle w:val="BookText"/>
      </w:pPr>
      <w:r>
        <w:rPr>
          <w:rFonts w:ascii="IRNazanin" w:hAnsi="IRNazanin" w:eastAsia="IRNazanin" w:cs="IRNazanin"/>
          <w:lang w:bidi="fa-IR"/>
          <w:color w:val="111111"/>
          <w:sz w:val="28"/>
          <w:szCs w:val="28"/>
          <w:rtl/>
        </w:rPr>
        <w:t xml:space="preserve">۵. شیراز؛ علامه طباطبائی؛ شماره نسخه: ۱۱۳۶</w:t>
      </w:r>
    </w:p>
    <w:p>
      <w:pPr>
        <w:pStyle w:val="BookText"/>
      </w:pPr>
      <w:r>
        <w:rPr>
          <w:rFonts w:ascii="IRNazanin" w:hAnsi="IRNazanin" w:eastAsia="IRNazanin" w:cs="IRNazanin"/>
          <w:lang w:bidi="fa-IR"/>
          <w:color w:val="111111"/>
          <w:sz w:val="28"/>
          <w:szCs w:val="28"/>
          <w:rtl/>
        </w:rPr>
        <w:t xml:space="preserve">خط: نسخ، كا: احمد آشتیانی متخلص به «واله»، تا: ۱۳۲۹ق؛ آخر نسخه یک قصیده در ۴۹ بیت در تهنیت مولود پیامبر اسلام (صلی الله علیه وآله وسلم)از کاتب؛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 نسخه پژوهی: ۲-۱۲۲]</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ملک؛ شماره نسخه: ۴۳۷۹/۱۱</w:t>
      </w:r>
    </w:p>
    <w:p>
      <w:pPr>
        <w:pStyle w:val="BookText"/>
      </w:pPr>
      <w:r>
        <w:rPr>
          <w:rFonts w:ascii="IRNazanin" w:hAnsi="IRNazanin" w:eastAsia="IRNazanin" w:cs="IRNazanin"/>
          <w:lang w:bidi="fa-IR"/>
          <w:color w:val="111111"/>
          <w:sz w:val="28"/>
          <w:szCs w:val="28"/>
          <w:rtl/>
        </w:rPr>
        <w:t xml:space="preserve">آغاز و انجام: برابر
</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bookmarkStart w:id="710" w:name="pg20363_210063"/>
    <w:bookmarkEnd w:id="710"/>
    <w:p>
      <w:pPr>
        <w:pStyle w:val="BookText"/>
      </w:pPr>
      <w:r>
        <w:rPr>
          <w:rFonts w:ascii="IRNazanin" w:hAnsi="IRNazanin" w:eastAsia="IRNazanin" w:cs="IRNazanin"/>
          <w:lang w:bidi="fa-IR"/>
          <w:color w:val="111111"/>
          <w:sz w:val="28"/>
          <w:szCs w:val="28"/>
          <w:rtl/>
        </w:rPr>
        <w:t xml:space="preserve">كان محمد تقی بن حسین خاتون آبادی اصفهانی، بی تا، کاغذ: ترمه، جلد: ساغری سیاه ضربی، ۲گ (۳۰ر-۳۱پ هامش)، اندازه: ۳۵/۲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۲۱/۱ سم [ف: ۷-۳۶۸]</w:t>
      </w:r>
    </w:p>
    <w:p>
      <w:pPr>
        <w:pStyle w:val="BookText"/>
      </w:pPr>
      <w:r>
        <w:rPr>
          <w:rFonts w:ascii="IRNazanin" w:hAnsi="IRNazanin" w:eastAsia="IRNazanin" w:cs="IRNazanin"/>
          <w:lang w:bidi="fa-IR"/>
          <w:color w:val="111111"/>
          <w:sz w:val="28"/>
          <w:szCs w:val="28"/>
          <w:rtl/>
        </w:rPr>
        <w:t xml:space="preserve">۷. تهران، دانشگاه؛ شماره نسخه: ۴۲۲۰/۵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کاغذ: فرنگی، جلد: تیماج مشکی ضربی، ۲گ (۵۷پ -۵۸پ)، ۲۸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۱۳-۳۱۹۵]</w:t>
      </w:r>
    </w:p>
    <w:p>
      <w:pPr>
        <w:pStyle w:val="BookText"/>
      </w:pPr>
      <w:r>
        <w:rPr>
          <w:rFonts w:ascii="IRNazanin" w:hAnsi="IRNazanin" w:eastAsia="IRNazanin" w:cs="IRNazanin"/>
          <w:lang w:bidi="fa-IR"/>
          <w:color w:val="111111"/>
          <w:sz w:val="28"/>
          <w:szCs w:val="28"/>
          <w:rtl/>
        </w:rPr>
        <w:t xml:space="preserve">۸. تهران؛ مجلس؛ شماره نسخه:۷۶۶۲/۹</w:t>
      </w:r>
    </w:p>
    <w:p>
      <w:pPr>
        <w:pStyle w:val="BookText"/>
      </w:pPr>
      <w:r>
        <w:rPr>
          <w:rFonts w:ascii="IRNazanin" w:hAnsi="IRNazanin" w:eastAsia="IRNazanin" w:cs="IRNazanin"/>
          <w:lang w:bidi="fa-IR"/>
          <w:color w:val="111111"/>
          <w:sz w:val="28"/>
          <w:szCs w:val="28"/>
          <w:rtl/>
        </w:rPr>
        <w:t xml:space="preserve">آغاز: برابر بی کا، بی تا، در حاشیه؛ جلد: تیماج قهوه ای، اندازه: ۱۵/۵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۲۲سم [ف: ۲۶-۱۶۰]</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دانشگاه؛ شماره نسخه: ۲۳۹۸/۲۱</w:t>
      </w:r>
    </w:p>
    <w:p>
      <w:pPr>
        <w:pStyle w:val="BookText"/>
      </w:pPr>
      <w:r>
        <w:rPr>
          <w:rFonts w:ascii="IRNazanin" w:hAnsi="IRNazanin" w:eastAsia="IRNazanin" w:cs="IRNazanin"/>
          <w:lang w:bidi="fa-IR"/>
          <w:color w:val="111111"/>
          <w:sz w:val="28"/>
          <w:szCs w:val="28"/>
          <w:rtl/>
        </w:rPr>
        <w:t xml:space="preserve">آغاز: برابر؛ انجام: حسن بصری ره گوید بچهار چیز مر عزیز است ... خشم پیش اولیا و الحمدلله ... و سلم بی کا، بی تا، کاغذ: سپاهانی، جلد: تیماج مشکی، ۵ص (۱۰۲- ۱۰۶)، ۲۰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۹-۱۰۰۵]</w:t>
      </w:r>
    </w:p>
    <w:p>
      <w:pPr>
        <w:pStyle w:val="Heading3"/>
      </w:pPr>
      <w:bookmarkStart w:id="3061" w:name="_Toc2321"/>
      <w:r>
        <w:t>•تجارب الحكمة / طب / فارسی</w:t>
      </w:r>
      <w:bookmarkEnd w:id="3061"/>
    </w:p>
    <w:p>
      <w:pPr>
        <w:pStyle w:val="BookText"/>
      </w:pPr>
      <w:r>
        <w:rPr>
          <w:rFonts w:ascii="Times New Roman" w:hAnsi="Times New Roman" w:eastAsia="Times New Roman" w:cs="Times New Roman"/>
          <w:lang w:val="en-US" w:bidi="en-US"/>
          <w:color w:val="111111"/>
          <w:sz w:val="28"/>
          <w:szCs w:val="28"/>
          <w:rtl/>
        </w:rPr>
        <w:t xml:space="preserve">tajārob-ol hekma</w:t>
      </w:r>
    </w:p>
    <w:p>
      <w:pPr>
        <w:pStyle w:val="BookText"/>
      </w:pPr>
      <w:r>
        <w:rPr>
          <w:rFonts w:ascii="IRNazanin" w:hAnsi="IRNazanin" w:eastAsia="IRNazanin" w:cs="IRNazanin"/>
          <w:lang w:bidi="fa-IR"/>
          <w:color w:val="111111"/>
          <w:sz w:val="28"/>
          <w:szCs w:val="28"/>
          <w:rtl/>
        </w:rPr>
        <w:t xml:space="preserve">کازرونی، علی بن محمود، ق ۱۰ قمری</w:t>
      </w:r>
    </w:p>
    <w:p>
      <w:pPr>
        <w:pStyle w:val="BookText"/>
      </w:pPr>
      <w:r>
        <w:rPr>
          <w:rFonts w:ascii="Times New Roman" w:hAnsi="Times New Roman" w:eastAsia="Times New Roman" w:cs="Times New Roman"/>
          <w:lang w:val="en-US" w:bidi="en-US"/>
          <w:color w:val="111111"/>
          <w:sz w:val="28"/>
          <w:szCs w:val="28"/>
          <w:rtl/>
        </w:rPr>
        <w:t xml:space="preserve">kāzeronī, ‘alī ebn-e mahmūd (-16c)</w:t>
      </w:r>
    </w:p>
    <w:p>
      <w:pPr>
        <w:pStyle w:val="BookText"/>
      </w:pPr>
      <w:r>
        <w:rPr>
          <w:rFonts w:ascii="IRNazanin" w:hAnsi="IRNazanin" w:eastAsia="IRNazanin" w:cs="IRNazanin"/>
          <w:lang w:bidi="fa-IR"/>
          <w:color w:val="111111"/>
          <w:sz w:val="28"/>
          <w:szCs w:val="28"/>
          <w:rtl/>
        </w:rPr>
        <w:t xml:space="preserve">در قواعد طبی و قوانین پزشکی، مشتمل بر بیست و هفت «باب»،</w:t>
      </w:r>
    </w:p>
    <w:p>
      <w:pPr>
        <w:pStyle w:val="BookText"/>
      </w:pPr>
      <w:r>
        <w:rPr>
          <w:rFonts w:ascii="IRNazanin" w:hAnsi="IRNazanin" w:eastAsia="IRNazanin" w:cs="IRNazanin"/>
          <w:lang w:bidi="fa-IR"/>
          <w:color w:val="111111"/>
          <w:sz w:val="28"/>
          <w:szCs w:val="28"/>
          <w:rtl/>
        </w:rPr>
        <w:t xml:space="preserve">که به قواعد کلی شروع شده و پس از آن بیمارهای گوناگون و اسباب و علاج آنها را آورده است. بسیاری از علاجها و تجربه های شخصی مؤلف در کتاب آمده است. نام کتاب و مؤلف روی برگی قبل از کتاب با خطی نونویس نوشته شده و نمی دانیم تا چه اندازه صحت دارد. این عناوین در نسخه دیده می شود: باب ۳. تدبير اطفال و کودکان و پیران؛ ۴. بیان تدابیری که تعلق به زینت بدن دارد؛ ۵. اقسام مرض و امتلاءات منذره به امراض؛ ۶. حميات و اسباب و علامات و معالجات آنها؛ 7. بیان حصبه و چدری و سایر بثرها؛ ۸ احوال دماغ؛ ۹. احوال چشم؛ 10. احوال گوش؛ ۱۱. احوال بینی؛ ۱۲. احوال دهان؛ ۱۳. احوال حلق؛ ۱۴. احوال دل؛ ۱۵. احوال مری و معده؛ ۱۶. امراض معده؛ ۱۷. احوال جگر و مراره؛ ۱۸. احوال سپرز؛ 19. احوال روده؛ ۲۰. امراض مقعد؛ ۲۱. احوال گرده؛ ۲۲. احوال مثانه؛ ۲۳. ؟! ۲۴. احوال آلات؛ ۲۵. امراض مفاصل؛ ۲۶. ادویه سموم زیان کار؛ ۲۷. بيان بعضی از الفاظ غريبه.</w:t>
      </w:r>
    </w:p>
    <w:p>
      <w:pPr>
        <w:pStyle w:val="BookText"/>
      </w:pPr>
      <w:r>
        <w:rPr>
          <w:rFonts w:ascii="IRNazanin" w:hAnsi="IRNazanin" w:eastAsia="IRNazanin" w:cs="IRNazanin"/>
          <w:lang w:bidi="fa-IR"/>
          <w:color w:val="111111"/>
          <w:sz w:val="28"/>
          <w:szCs w:val="28"/>
          <w:rtl/>
        </w:rPr>
        <w:t xml:space="preserve">[دنا ۲/ ۷۹۰؛ فهرستواره منزوی ۳۳۳۲/۵ ]</w:t>
      </w:r>
    </w:p>
    <w:p>
      <w:pPr>
        <w:pStyle w:val="BookText"/>
      </w:pPr>
      <w:r>
        <w:rPr>
          <w:rFonts w:ascii="IRNazanin" w:hAnsi="IRNazanin" w:eastAsia="IRNazanin" w:cs="IRNazanin"/>
          <w:lang w:bidi="fa-IR"/>
          <w:color w:val="111111"/>
          <w:sz w:val="28"/>
          <w:szCs w:val="28"/>
          <w:rtl/>
        </w:rPr>
        <w:t xml:space="preserve">قم؛ مرعشی؛ شماره نسخه:۵۵۱۴</w:t>
      </w:r>
    </w:p>
    <w:p>
      <w:pPr>
        <w:pStyle w:val="BookText"/>
      </w:pPr>
      <w:r>
        <w:rPr>
          <w:rFonts w:ascii="IRNazanin" w:hAnsi="IRNazanin" w:eastAsia="IRNazanin" w:cs="IRNazanin"/>
          <w:lang w:bidi="fa-IR"/>
          <w:color w:val="111111"/>
          <w:sz w:val="28"/>
          <w:szCs w:val="28"/>
          <w:rtl/>
        </w:rPr>
        <w:t xml:space="preserve">آغاز: و أما رباط که شبیه است بعصب در سپیدی و نرمی و کشیدگی و صلابت در انفصال، انجام: و رب عبارت است از غلیظ ساختن خواه بآفتاب و خواه بآتش چنانچه گفته شد</w:t>
      </w:r>
    </w:p>
    <w:p>
      <w:pPr>
        <w:pStyle w:val="BookText"/>
      </w:pPr>
      <w:r>
        <w:rPr>
          <w:rFonts w:ascii="IRNazanin" w:hAnsi="IRNazanin" w:eastAsia="IRNazanin" w:cs="IRNazanin"/>
          <w:lang w:bidi="fa-IR"/>
          <w:color w:val="111111"/>
          <w:sz w:val="28"/>
          <w:szCs w:val="28"/>
          <w:rtl/>
        </w:rPr>
        <w:t xml:space="preserve">خط: نستعلیق، بی کا، تا: رمضان ۱۰۳۰ق؛ افتادگی: آغاز؛ مصحح؛ جلد: تیماج نیلی، ۴۱۷گ، ۲۰ سطر،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۱۴-۲۸۶]</w:t>
      </w:r>
    </w:p>
    <w:p>
      <w:pPr>
        <w:pStyle w:val="Heading3"/>
      </w:pPr>
      <w:bookmarkStart w:id="3062" w:name="_Toc2322"/>
      <w:r>
        <w:t>•تجارب السلف / تاریخ جهان / فارسی</w:t>
      </w:r>
      <w:bookmarkEnd w:id="3062"/>
    </w:p>
    <w:p>
      <w:pPr>
        <w:pStyle w:val="BookText"/>
      </w:pPr>
      <w:r>
        <w:rPr>
          <w:rFonts w:ascii="Times New Roman" w:hAnsi="Times New Roman" w:eastAsia="Times New Roman" w:cs="Times New Roman"/>
          <w:lang w:val="en-US" w:bidi="en-US"/>
          <w:color w:val="111111"/>
          <w:sz w:val="28"/>
          <w:szCs w:val="28"/>
          <w:rtl/>
        </w:rPr>
        <w:t xml:space="preserve">tajārob-os salaf</w:t>
      </w:r>
    </w:p>
    <w:p>
      <w:pPr>
        <w:pStyle w:val="BookText"/>
      </w:pPr>
      <w:r>
        <w:rPr>
          <w:rFonts w:ascii="IRNazanin" w:hAnsi="IRNazanin" w:eastAsia="IRNazanin" w:cs="IRNazanin"/>
          <w:lang w:bidi="fa-IR"/>
          <w:color w:val="111111"/>
          <w:sz w:val="28"/>
          <w:szCs w:val="28"/>
          <w:rtl/>
        </w:rPr>
        <w:t xml:space="preserve">هندوشاه بن سنجر،-۷۳۰ ؟ قمری</w:t>
      </w:r>
    </w:p>
    <w:p>
      <w:pPr>
        <w:pStyle w:val="BookText"/>
      </w:pPr>
      <w:r>
        <w:rPr>
          <w:rFonts w:ascii="Times New Roman" w:hAnsi="Times New Roman" w:eastAsia="Times New Roman" w:cs="Times New Roman"/>
          <w:lang w:val="en-US" w:bidi="en-US"/>
          <w:color w:val="111111"/>
          <w:sz w:val="28"/>
          <w:szCs w:val="28"/>
          <w:rtl/>
        </w:rPr>
        <w:t xml:space="preserve">hendū-šāh ebn-e sanjar (-1330)</w:t>
      </w:r>
    </w:p>
    <w:p>
      <w:pPr>
        <w:pStyle w:val="BookText"/>
      </w:pPr>
      <w:r>
        <w:rPr>
          <w:rFonts w:ascii="IRNazanin" w:hAnsi="IRNazanin" w:eastAsia="IRNazanin" w:cs="IRNazanin"/>
          <w:lang w:bidi="fa-IR"/>
          <w:color w:val="111111"/>
          <w:sz w:val="28"/>
          <w:szCs w:val="28"/>
          <w:rtl/>
        </w:rPr>
        <w:t xml:space="preserve">اهدا به: نصر الدین احمد بن يوسف شاه (۶۹۵- ۷۳۰) تاريخ تأليف: ۷۲۴ق ترجمه ای است از «الفخري» و «منية الفضلاء» ابن طقطقی ( ۷۰۹) با افزودگی هایی. این کتاب مشتمل است بر احوال امم سالفه و بیان وقایع دوران از زمان حضرت رسول اکرم (ص) و بعد از آن احوال خلفا بر سبیل اختصار و ایجاز تا آخر دولت عباسیان که مبدأ آن ماه ربیع الاول سال یازدهم هجرت و آخر آن صفر سال ۷۵۷ق می باشد که تاریخ قتل ابوبکر مستعصم خلیفه است و انقضای دولت عباسیان و ذکر حوادث و اتفاقات تاریخی آن زمان. مؤلف بنا به قول خودش اکثر مطالب مندرج در این تاریخ را از کتاب «منيه الفضلاء في تواریخ الخلفا و الوزراء» از مصنفات مرتضی سعید ملک المحققين محمد بن على الطقطقی استفاده کرده است. با سرگذشت پیامبر و زنان و جنگهای او آغاز می شود، سپس دولتهای اسلامی را به دو گروه اصلی و فرعی تقسیم می کند: اصلی آن از سه دولت 1. خلفای راشدین و حضرت علی و امام حسن، ۲. امویان، ۳. عباسیان؛ فرعی آن: الف: علویان مصر، ب: بویهیان، ج: سلجوقیان. در هر یک از بخش ها وزیران و رویدادها را برمی شمارد. آغاز: ادامت تهلیل و تمجید و اقامت تسبیح و تحمید حضرت ذوالجلال را سزد که به حکمت بالغه و قدرت کامله موجودات سماوی و ارضى از مكامن عدم به مظاهر وجود رسانید و از امتزاج عناصر و ازدواج انجام: به تقریر پیوست بعد از این کتاب را ختم کنیم باری تعالی این تأليف را بر متأملان مبارک و میمون گرداناد بالنبي و آله الطاهرین و اصحابه الغر المحجلين. چاپ: به کوشش اقبال آشتیانی، در سال ۱۳۱۳ و ۱۳۴۵ ش</w:t>
      </w:r>
    </w:p>
    <w:p>
      <w:pPr>
        <w:pStyle w:val="BookText"/>
      </w:pPr>
      <w:r>
        <w:rPr>
          <w:rFonts w:ascii="IRNazanin" w:hAnsi="IRNazanin" w:eastAsia="IRNazanin" w:cs="IRNazanin"/>
          <w:lang w:bidi="fa-IR"/>
          <w:color w:val="111111"/>
          <w:sz w:val="28"/>
          <w:szCs w:val="28"/>
          <w:rtl/>
        </w:rPr>
        <w:t xml:space="preserve">[الذريعة ۳۴۸/۳ ؛ نسخه های منزوی ۴۱۲۰/۶ ؛ کشف الظنون ۳۴۴/۱ ؛ فهرستواره منزوی ۵۹۳/۱ ؛ دنا ۷۹۰/۲ (۳۷ نسخه)]</w:t>
      </w:r>
    </w:p>
    <w:p>
      <w:pPr>
        <w:pStyle w:val="BookText"/>
      </w:pPr>
      <w:r>
        <w:rPr>
          <w:rFonts w:ascii="IRNazanin" w:hAnsi="IRNazanin" w:eastAsia="IRNazanin" w:cs="IRNazanin"/>
          <w:lang w:bidi="fa-IR"/>
          <w:color w:val="111111"/>
          <w:sz w:val="28"/>
          <w:szCs w:val="28"/>
          <w:rtl/>
        </w:rPr>
        <w:t xml:space="preserve">۱. تهران؛ مجلس؛ شماره نسخه:۷۸۰۵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۱۵ ذیحجه ۱۴۶ق؛ جلد: تیماج قرمز، ۲۵۰ گ، ۱۷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۲۶-۲۸۹]</w:t>
      </w:r>
    </w:p>
    <w:p>
      <w:pPr>
        <w:pStyle w:val="BookText"/>
      </w:pPr>
      <w:r>
        <w:rPr>
          <w:rFonts w:ascii="IRNazanin" w:hAnsi="IRNazanin" w:eastAsia="IRNazanin" w:cs="IRNazanin"/>
          <w:lang w:bidi="fa-IR"/>
          <w:color w:val="111111"/>
          <w:sz w:val="28"/>
          <w:szCs w:val="28"/>
          <w:rtl/>
        </w:rPr>
        <w:t xml:space="preserve">۲. تهران، دانشگاه؛ شماره نسخه:۳۰۸۷-ف
</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نسخه اصل: ملی تبریز ش ۳۳۹۶؛ بی کا، تا: ۸۵۴ق؛ خوانده شده بر مؤلف و با خط او</w:t>
      </w:r>
    </w:p>
    <w:p>
      <w:pPr>
        <w:pStyle w:val="BookText"/>
      </w:pPr>
      <w:r>
        <w:rPr>
          <w:rFonts w:ascii="IRNazanin" w:hAnsi="IRNazanin" w:eastAsia="IRNazanin" w:cs="IRNazanin"/>
          <w:lang w:bidi="fa-IR"/>
          <w:color w:val="111111"/>
          <w:sz w:val="28"/>
          <w:szCs w:val="28"/>
          <w:rtl/>
        </w:rPr>
        <w:t xml:space="preserve">[فیلمها ف: ۲-۷۳]</w:t>
      </w:r>
    </w:p>
    <w:p>
      <w:pPr>
        <w:pStyle w:val="BookText"/>
      </w:pPr>
      <w:r>
        <w:rPr>
          <w:rFonts w:ascii="IRNazanin" w:hAnsi="IRNazanin" w:eastAsia="IRNazanin" w:cs="IRNazanin"/>
          <w:lang w:bidi="fa-IR"/>
          <w:color w:val="111111"/>
          <w:sz w:val="28"/>
          <w:szCs w:val="28"/>
          <w:rtl/>
        </w:rPr>
        <w:t xml:space="preserve">٣. اصفهان؛ عمومی اصفهان (فرهنگ سابق)؛ شماره نسخه:۱۱۴۰۳</w:t>
      </w:r>
    </w:p>
    <w:p>
      <w:pPr>
        <w:pStyle w:val="BookText"/>
      </w:pPr>
      <w:r>
        <w:rPr>
          <w:rFonts w:ascii="IRNazanin" w:hAnsi="IRNazanin" w:eastAsia="IRNazanin" w:cs="IRNazanin"/>
          <w:lang w:bidi="fa-IR"/>
          <w:color w:val="111111"/>
          <w:sz w:val="28"/>
          <w:szCs w:val="28"/>
          <w:rtl/>
        </w:rPr>
        <w:t xml:space="preserve">خط: نسخ، بی کا، تا: نیمه ذیحجه ۸۶۴ ق، جا: هرات؛ محشی لغوی؛ تملك: مصطفی قلی بن حاجی شاه قباد، ندافی شروانی در ۱۰۳۵، خليل بن حاج احمد در ۱۰۶۸، اسعد حسینی؛ محشی لغوی؛ ۱۶۲گ، ۲۷ سطر، قطع: وزيري[ نشریه: ۵-۳۱۹]</w:t>
      </w:r>
    </w:p>
    <w:p>
      <w:pPr>
        <w:pStyle w:val="BookText"/>
      </w:pPr>
      <w:r>
        <w:rPr>
          <w:rFonts w:ascii="IRNazanin" w:hAnsi="IRNazanin" w:eastAsia="IRNazanin" w:cs="IRNazanin"/>
          <w:lang w:bidi="fa-IR"/>
          <w:color w:val="111111"/>
          <w:sz w:val="28"/>
          <w:szCs w:val="28"/>
          <w:rtl/>
        </w:rPr>
        <w:t xml:space="preserve">اصفهان؛ صارم الدوله (کتابخانه فرهنگ اصفهان)؛ شماره نسخه:۹۲۸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همان نسخه بالا [ف: ۶۰]</w:t>
      </w:r>
    </w:p>
    <w:p>
      <w:pPr>
        <w:pStyle w:val="BookText"/>
      </w:pPr>
      <w:r>
        <w:rPr>
          <w:rFonts w:ascii="IRNazanin" w:hAnsi="IRNazanin" w:eastAsia="IRNazanin" w:cs="IRNazanin"/>
          <w:lang w:bidi="fa-IR"/>
          <w:color w:val="111111"/>
          <w:sz w:val="28"/>
          <w:szCs w:val="28"/>
          <w:rtl/>
        </w:rPr>
        <w:t xml:space="preserve">۴. مشهد؛ الهیات، شماره نسخه: ۵۲</w:t>
      </w:r>
    </w:p>
    <w:p>
      <w:pPr>
        <w:pStyle w:val="BookText"/>
      </w:pPr>
      <w:r>
        <w:rPr>
          <w:rFonts w:ascii="IRNazanin" w:hAnsi="IRNazanin" w:eastAsia="IRNazanin" w:cs="IRNazanin"/>
          <w:lang w:bidi="fa-IR"/>
          <w:color w:val="111111"/>
          <w:sz w:val="28"/>
          <w:szCs w:val="28"/>
          <w:rtl/>
        </w:rPr>
        <w:t xml:space="preserve">خط: نسخ، بی کا، تا: قرن ۱۲؛ افتادگی: انجام؛ ۲۲۰گ، ۱۵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۱-۲۸]</w:t>
      </w:r>
    </w:p>
    <w:p>
      <w:pPr>
        <w:pStyle w:val="BookText"/>
      </w:pPr>
      <w:r>
        <w:rPr>
          <w:rFonts w:ascii="IRNazanin" w:hAnsi="IRNazanin" w:eastAsia="IRNazanin" w:cs="IRNazanin"/>
          <w:lang w:bidi="fa-IR"/>
          <w:color w:val="111111"/>
          <w:sz w:val="28"/>
          <w:szCs w:val="28"/>
          <w:rtl/>
        </w:rPr>
        <w:t xml:space="preserve">۵. تهران؛ ملی؛ شماره نسخه: ۱۹۳۹</w:t>
      </w:r>
    </w:p>
    <w:p>
      <w:pPr>
        <w:pStyle w:val="BookText"/>
      </w:pPr>
      <w:r>
        <w:rPr>
          <w:rFonts w:ascii="IRNazanin" w:hAnsi="IRNazanin" w:eastAsia="IRNazanin" w:cs="IRNazanin"/>
          <w:lang w:bidi="fa-IR"/>
          <w:color w:val="111111"/>
          <w:sz w:val="28"/>
          <w:szCs w:val="28"/>
          <w:rtl/>
        </w:rPr>
        <w:t xml:space="preserve">آغاز و انجام: برابر خط: نسخ، بی کا، تا: قرن ۱۳؛ کاغذ: فرنگی، جلد: تیماج قرمز، ۲۶۸، ۱۷سطر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۴-۳۹۸]</w:t>
      </w:r>
    </w:p>
    <w:p>
      <w:pPr>
        <w:pStyle w:val="BookText"/>
      </w:pPr>
      <w:r>
        <w:rPr>
          <w:rFonts w:ascii="IRNazanin" w:hAnsi="IRNazanin" w:eastAsia="IRNazanin" w:cs="IRNazanin"/>
          <w:lang w:bidi="fa-IR"/>
          <w:color w:val="111111"/>
          <w:sz w:val="28"/>
          <w:szCs w:val="28"/>
          <w:rtl/>
        </w:rPr>
        <w:t xml:space="preserve">۶. یزد؛ صدوقی یزدی؛ شماره نسخه:۱۱۴</w:t>
      </w:r>
    </w:p>
    <w:p>
      <w:pPr>
        <w:pStyle w:val="BookText"/>
      </w:pPr>
      <w:r>
        <w:rPr>
          <w:rFonts w:ascii="IRNazanin" w:hAnsi="IRNazanin" w:eastAsia="IRNazanin" w:cs="IRNazanin"/>
          <w:lang w:bidi="fa-IR"/>
          <w:color w:val="111111"/>
          <w:sz w:val="28"/>
          <w:szCs w:val="28"/>
          <w:rtl/>
        </w:rPr>
        <w:t xml:space="preserve">خط: نستعلیق خوش، بی کا، تا: قرن ۱۳؛ تملک: عبدالحسین بیات به تاریخ ۱۵ اردیبهشت ۱۳۴۱ در تهران؛ جلد: تیماج قرمز، ۲۲۰گ، ۱۵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۲۶/۵سم [ف: ۹۲]</w:t>
      </w:r>
    </w:p>
    <w:p>
      <w:pPr>
        <w:pStyle w:val="BookText"/>
      </w:pPr>
      <w:r>
        <w:rPr>
          <w:rFonts w:ascii="IRNazanin" w:hAnsi="IRNazanin" w:eastAsia="IRNazanin" w:cs="IRNazanin"/>
          <w:lang w:bidi="fa-IR"/>
          <w:color w:val="111111"/>
          <w:sz w:val="28"/>
          <w:szCs w:val="28"/>
          <w:rtl/>
        </w:rPr>
        <w:t xml:space="preserve">۷. تهران؛ ادبیات؛ شماره نسخه:۱۳۰ - ب 1</w:t>
      </w:r>
    </w:p>
    <w:p>
      <w:pPr>
        <w:pStyle w:val="BookText"/>
      </w:pPr>
      <w:r>
        <w:rPr>
          <w:rFonts w:ascii="IRNazanin" w:hAnsi="IRNazanin" w:eastAsia="IRNazanin" w:cs="IRNazanin"/>
          <w:lang w:bidi="fa-IR"/>
          <w:color w:val="111111"/>
          <w:sz w:val="28"/>
          <w:szCs w:val="28"/>
          <w:rtl/>
        </w:rPr>
        <w:t xml:space="preserve">خط: نسخ و نستعلیق، بی کا، تا: قرن ۱۳؛ مورخ ۱۲۷۱ کامل شده با کاغذ: فرنگی، جلد: تیماج عنابی، ۱۷۵گ، ۱۹ سطر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 اندازه: ۳۳۲۰سم [ف: ۱-۸۰]</w:t>
      </w:r>
    </w:p>
    <w:p>
      <w:pPr>
        <w:pStyle w:val="BookText"/>
      </w:pPr>
      <w:r>
        <w:rPr>
          <w:rFonts w:ascii="IRNazanin" w:hAnsi="IRNazanin" w:eastAsia="IRNazanin" w:cs="IRNazanin"/>
          <w:lang w:bidi="fa-IR"/>
          <w:color w:val="111111"/>
          <w:sz w:val="28"/>
          <w:szCs w:val="28"/>
          <w:rtl/>
        </w:rPr>
        <w:t xml:space="preserve">۸. تهران؛ ملک؛ شماره نسخه: ۴۰۷۰</w:t>
      </w:r>
    </w:p>
    <w:p>
      <w:pPr>
        <w:pStyle w:val="BookText"/>
      </w:pPr>
      <w:r>
        <w:rPr>
          <w:rFonts w:ascii="IRNazanin" w:hAnsi="IRNazanin" w:eastAsia="IRNazanin" w:cs="IRNazanin"/>
          <w:lang w:bidi="fa-IR"/>
          <w:color w:val="111111"/>
          <w:sz w:val="28"/>
          <w:szCs w:val="28"/>
          <w:rtl/>
        </w:rPr>
        <w:t xml:space="preserve">آخر کتاب در مستعصم ناقص مانده است؛ خط: نستعلیق، بی کا، تا: قرن ۱۳؛ افتادگی: انجام؛ مجدول به طلا؛ کاغذ: کاغذ ختایی، جلد: میشن لاجوردی، ۴۱۶گ، ۱۲ سطر، اندازه:</w:t>
      </w:r>
    </w:p>
    <w:p>
      <w:pPr>
        <w:pStyle w:val="BookText"/>
      </w:pPr>
      <w:r>
        <w:rPr>
          <w:rFonts w:ascii="IRNazanin" w:hAnsi="IRNazanin" w:eastAsia="IRNazanin" w:cs="IRNazanin"/>
          <w:lang w:bidi="fa-IR"/>
          <w:color w:val="111111"/>
          <w:sz w:val="28"/>
          <w:szCs w:val="28"/>
          <w:rtl/>
        </w:rPr>
        <w:t xml:space="preserve">۲۵/۲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سم [ف: ۲-۹۸]</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دانشگاه؛ شماره نسخه:۱۷۰۴</w:t>
      </w:r>
    </w:p>
    <w:p>
      <w:pPr>
        <w:pStyle w:val="BookText"/>
      </w:pPr>
      <w:r>
        <w:rPr>
          <w:rFonts w:ascii="IRNazanin" w:hAnsi="IRNazanin" w:eastAsia="IRNazanin" w:cs="IRNazanin"/>
          <w:lang w:bidi="fa-IR"/>
          <w:color w:val="111111"/>
          <w:sz w:val="28"/>
          <w:szCs w:val="28"/>
          <w:rtl/>
        </w:rPr>
        <w:t xml:space="preserve">خط: نسخ، بی کا، تا: ۱۲۲۳؛ کاغذ: فرنگی، جلد: مقوا عطف میشن، ۱۸۵ ، ۱۷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۸-۲۵۳]</w:t>
      </w:r>
    </w:p>
    <w:p>
      <w:pPr>
        <w:pStyle w:val="BookText"/>
      </w:pPr>
      <w:r>
        <w:rPr>
          <w:rFonts w:ascii="IRNazanin" w:hAnsi="IRNazanin" w:eastAsia="IRNazanin" w:cs="IRNazanin"/>
          <w:lang w:bidi="fa-IR"/>
          <w:color w:val="111111"/>
          <w:sz w:val="28"/>
          <w:szCs w:val="28"/>
          <w:rtl/>
        </w:rPr>
        <w:t xml:space="preserve">۱۰. قم؛ گلپایگانی؛ شماره نسخه:۷۲۷۶- ۳۷/۶۶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زین العابدين بن میرزا محمد على مستوفی اصفهانی، تا: سه شنبه ۲۷ رجب ۱۲۷۳ق، به جهت صدرالدوله؛ جلد: تیماج سرخ با ترنج و سرترنج، ۲۷۹ گ، ۱۵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۲-۷۱۸]</w:t>
      </w:r>
    </w:p>
    <w:p>
      <w:pPr>
        <w:pStyle w:val="BookText"/>
      </w:pPr>
      <w:r>
        <w:rPr>
          <w:rFonts w:ascii="IRNazanin" w:hAnsi="IRNazanin" w:eastAsia="IRNazanin" w:cs="IRNazanin"/>
          <w:lang w:bidi="fa-IR"/>
          <w:color w:val="111111"/>
          <w:sz w:val="28"/>
          <w:szCs w:val="28"/>
          <w:rtl/>
        </w:rPr>
        <w:t xml:space="preserve">۱۱. تهران؛ سپهسالار؛ شماره نسخه:۱۵۴۸</w:t>
      </w:r>
    </w:p>
    <w:p>
      <w:pPr>
        <w:pStyle w:val="BookText"/>
      </w:pPr>
      <w:r>
        <w:rPr>
          <w:rFonts w:ascii="IRNazanin" w:hAnsi="IRNazanin" w:eastAsia="IRNazanin" w:cs="IRNazanin"/>
          <w:lang w:bidi="fa-IR"/>
          <w:color w:val="111111"/>
          <w:sz w:val="28"/>
          <w:szCs w:val="28"/>
          <w:rtl/>
        </w:rPr>
        <w:t xml:space="preserve">خط: نسخ، كا: محمد کریم بن محمد خان بیگدلی، تا: ۸ ذیقعده ۱۲۷۴ق؛ تملک: علی قلی ۱۲۷۵ق، سپهسالار ۱۲۹۸ ق، کاغذ: فرنگی سفید آهار مهره، جلد: تیماج حنایی، ۲۱۶گ، ۱۹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۳-۳۱۴]</w:t>
      </w:r>
    </w:p>
    <w:p>
      <w:pPr>
        <w:pStyle w:val="BookText"/>
      </w:pPr>
      <w:r>
        <w:rPr>
          <w:rFonts w:ascii="IRNazanin" w:hAnsi="IRNazanin" w:eastAsia="IRNazanin" w:cs="IRNazanin"/>
          <w:lang w:bidi="fa-IR"/>
          <w:color w:val="111111"/>
          <w:sz w:val="28"/>
          <w:szCs w:val="28"/>
          <w:rtl/>
        </w:rPr>
        <w:t xml:space="preserve">۱۲. تهران، دانشسرای عالی - کتابخانه میرزا عبدالعظیم خان قریب گر کانی؛ شماره نسخه: ۱۷۲ خط: نستعلیق، کا: سید حسن بن عبدالمجید حسینی اصفهانی، تا: پنج شنبه ۲۸ جمادی الثانی ۱۲۷۴ق؛ قطع: وزيري [نشریه: ۵-۶۲۰]</w:t>
      </w:r>
    </w:p>
    <w:p>
      <w:pPr>
        <w:pStyle w:val="BookText"/>
      </w:pPr>
      <w:r>
        <w:rPr>
          <w:rFonts w:ascii="IRNazanin" w:hAnsi="IRNazanin" w:eastAsia="IRNazanin" w:cs="IRNazanin"/>
          <w:lang w:bidi="fa-IR"/>
          <w:color w:val="111111"/>
          <w:sz w:val="28"/>
          <w:szCs w:val="28"/>
          <w:rtl/>
        </w:rPr>
        <w:t xml:space="preserve">۱۳. تهران؛ ملک؛ شماره نسخه:۳۸۲۴</w:t>
      </w:r>
    </w:p>
    <w:p>
      <w:pPr>
        <w:pStyle w:val="BookText"/>
      </w:pPr>
      <w:r>
        <w:rPr>
          <w:rFonts w:ascii="IRNazanin" w:hAnsi="IRNazanin" w:eastAsia="IRNazanin" w:cs="IRNazanin"/>
          <w:lang w:bidi="fa-IR"/>
          <w:color w:val="111111"/>
          <w:sz w:val="28"/>
          <w:szCs w:val="28"/>
          <w:rtl/>
        </w:rPr>
        <w:t xml:space="preserve">خط: نسخ، كا: آقا بابا بن ملا محمد شهمیرزادی، تا: ۱۲۷۴ق، برای بهاء الدوله؛ مجدول؛ تملک: بهمن میرزا؛ کاغذ: فرنگی آهار مهره، جلد: میشن سیاه، ۲۱۹گ، ۲۱ سطر، اندازه: ۱۴/۳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۲۱/۷سم [ف: ۲-۹۸]</w:t>
      </w:r>
    </w:p>
    <w:p>
      <w:pPr>
        <w:pStyle w:val="BookText"/>
      </w:pPr>
      <w:r>
        <w:rPr>
          <w:rFonts w:ascii="IRNazanin" w:hAnsi="IRNazanin" w:eastAsia="IRNazanin" w:cs="IRNazanin"/>
          <w:lang w:bidi="fa-IR"/>
          <w:color w:val="111111"/>
          <w:sz w:val="28"/>
          <w:szCs w:val="28"/>
          <w:rtl/>
        </w:rPr>
        <w:t xml:space="preserve">۱۴. قم؛ فیضیه؛ شماره نسخه: ۱۰۳۹</w:t>
      </w:r>
    </w:p>
    <w:p>
      <w:pPr>
        <w:pStyle w:val="BookText"/>
      </w:pPr>
      <w:r>
        <w:rPr>
          <w:rFonts w:ascii="IRNazanin" w:hAnsi="IRNazanin" w:eastAsia="IRNazanin" w:cs="IRNazanin"/>
          <w:lang w:bidi="fa-IR"/>
          <w:color w:val="111111"/>
          <w:sz w:val="28"/>
          <w:szCs w:val="28"/>
          <w:rtl/>
        </w:rPr>
        <w:t xml:space="preserve">خط: نسخ، كا: میرزا محمد علی بن میرزا احمد شهير به عقدایی، تا: چهارشنبه ۱۰ جمادی الثانی ۱۲۷۶ق؛ ۲۳۹ گ، ۱۷سطر،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۲-۱۹]</w:t>
      </w:r>
    </w:p>
    <w:p>
      <w:pPr>
        <w:pStyle w:val="BookText"/>
      </w:pPr>
      <w:r>
        <w:rPr>
          <w:rFonts w:ascii="IRNazanin" w:hAnsi="IRNazanin" w:eastAsia="IRNazanin" w:cs="IRNazanin"/>
          <w:lang w:bidi="fa-IR"/>
          <w:color w:val="111111"/>
          <w:sz w:val="28"/>
          <w:szCs w:val="28"/>
          <w:rtl/>
        </w:rPr>
        <w:t xml:space="preserve">۱۵. تهران؛ مجلس؛ شماره نسخه: ۱۲۱- فیروز</w:t>
      </w:r>
    </w:p>
    <w:p>
      <w:pPr>
        <w:pStyle w:val="BookText"/>
      </w:pPr>
      <w:r>
        <w:rPr>
          <w:rFonts w:ascii="IRNazanin" w:hAnsi="IRNazanin" w:eastAsia="IRNazanin" w:cs="IRNazanin"/>
          <w:lang w:bidi="fa-IR"/>
          <w:color w:val="111111"/>
          <w:sz w:val="28"/>
          <w:szCs w:val="28"/>
          <w:rtl/>
        </w:rPr>
        <w:t xml:space="preserve">خط: نسخ، بی کا، تا: ۱۲۷۶ق؛ مجدول؛ کاغذ: فرنگی شکری، جلد: تیماج قهوه ای، ۲۴۵ص، ۱۷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۳۷-۲۱ ]</w:t>
      </w:r>
    </w:p>
    <w:p>
      <w:pPr>
        <w:pStyle w:val="BookText"/>
      </w:pPr>
      <w:r>
        <w:rPr>
          <w:rFonts w:ascii="Amiri" w:hAnsi="Amiri" w:eastAsia="Amiri" w:cs="Amiri"/>
          <w:lang w:bidi="ar-SA"/>
          <w:color w:val="111111"/>
          <w:sz w:val="28"/>
          <w:szCs w:val="28"/>
          <w:rtl/>
        </w:rPr>
        <w:t xml:space="preserve">۱۶. تهران؛ مجلس؛ شماره نسخه:۱۴۷- فيروز</w:t>
      </w:r>
    </w:p>
    <w:p>
      <w:pPr>
        <w:pStyle w:val="BookText"/>
      </w:pPr>
      <w:r>
        <w:rPr>
          <w:rFonts w:ascii="IRNazanin" w:hAnsi="IRNazanin" w:eastAsia="IRNazanin" w:cs="IRNazanin"/>
          <w:lang w:bidi="fa-IR"/>
          <w:color w:val="111111"/>
          <w:sz w:val="28"/>
          <w:szCs w:val="28"/>
          <w:rtl/>
        </w:rPr>
        <w:t xml:space="preserve">خط: نستعلیق، بی کا، تا: ۱۲۷۷ق؛ محشی، یادداشت: «هو الله تعالی استكتاب نموده ولی بقدری مغلوط است که نمی توان ازو انتفاعی نمود العبد الأقل بتاریخ شهر رجب المرجب في شهر سنه ۱۲۷۷»؛ کاغذ: فرنگی شوری رنگ آهار مهره، جلد: تیماج قهوه ای، ۵۰۰ص، ۱۵ سطر، اندازه: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۲۱-۳۸]</w:t>
      </w:r>
    </w:p>
    <w:p>
      <w:pPr>
        <w:pStyle w:val="BookText"/>
      </w:pPr>
      <w:r>
        <w:rPr>
          <w:rFonts w:ascii="IRNazanin" w:hAnsi="IRNazanin" w:eastAsia="IRNazanin" w:cs="IRNazanin"/>
          <w:lang w:bidi="fa-IR"/>
          <w:color w:val="111111"/>
          <w:sz w:val="28"/>
          <w:szCs w:val="28"/>
          <w:rtl/>
        </w:rPr>
        <w:t xml:space="preserve">۱۷. تهران؛ مجلس؛ شماره نسخه:۵۰۳۶</w:t>
      </w:r>
    </w:p>
    <w:p>
      <w:pPr>
        <w:pStyle w:val="BookText"/>
      </w:pPr>
      <w:r>
        <w:rPr>
          <w:rFonts w:ascii="IRNazanin" w:hAnsi="IRNazanin" w:eastAsia="IRNazanin" w:cs="IRNazanin"/>
          <w:lang w:bidi="fa-IR"/>
          <w:color w:val="111111"/>
          <w:sz w:val="28"/>
          <w:szCs w:val="28"/>
          <w:rtl/>
        </w:rPr>
        <w:t xml:space="preserve">آغاز: برابر؛ انجام: امید که روزگاران بالطاف حضرت سلطان زندگی یافته ... قد تم بيد اقل السادات الحسینی بن عبد الله المجد المواعظ الاصفهانی، سید حسن بتاريخ چهارشنبه دوم شعبان ۱۲۷۷ خط: نستعلیق، کا: سید حسن حسینی، تا: چهارشنبه ۲ شعبان ۱۲۷۷ق؛ یادداشت آقا میرزا سید علی که کتاب را به عبد الوهاب نوری ملقب به نظام الملک وزیر لشکر هدیه کرده به تاریخ ۱۳۱۰ با مهر «نظام الملک وزیر لشکر» (بیضوی)، یادداشت میرزا اسماعیل سر رشته دار اصفهانی که کتاب را به میرزا سید علی الحسینی در تاریخ ذیقعده ۱۲۸۹ هدیه کرده؛ کاغذ: سپاهانی، جلد: تیماج قرمز، ۲۱۵گ، ۱۹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۱۵-۱]</w:t>
      </w:r>
    </w:p>
    <w:p>
      <w:pPr>
        <w:pStyle w:val="BookText"/>
      </w:pPr>
      <w:r>
        <w:rPr>
          <w:rFonts w:ascii="IRNazanin" w:hAnsi="IRNazanin" w:eastAsia="IRNazanin" w:cs="IRNazanin"/>
          <w:lang w:bidi="fa-IR"/>
          <w:color w:val="111111"/>
          <w:sz w:val="28"/>
          <w:szCs w:val="28"/>
          <w:rtl/>
        </w:rPr>
        <w:t xml:space="preserve">۱۸. تهران، دانشسرای عالی - کتابخانه میرزا عبدالعظیم خان قریب</w:t>
      </w:r>
    </w:p>
    <w:p>
      <w:pPr>
        <w:pStyle w:val="BookText"/>
      </w:pPr>
      <w:r>
        <w:rPr>
          <w:rFonts w:ascii="IRNazanin" w:hAnsi="IRNazanin" w:eastAsia="IRNazanin" w:cs="IRNazanin"/>
          <w:lang w:bidi="fa-IR"/>
          <w:color w:val="111111"/>
          <w:sz w:val="28"/>
          <w:szCs w:val="28"/>
          <w:rtl/>
        </w:rPr>
        <w:t xml:space="preserve">گرکانی؛ شماره نسخه:۵۰ خط: نستعلیق، کا: حسن بن عبدالمجید حسینی واعظ اصفهانی، تا: ۱۲۷۷ق، برای احتشام الدوله؛ قطع: وزيري [نشریه: ۵-۶۲۰]</w:t>
      </w:r>
    </w:p>
    <w:p>
      <w:pPr>
        <w:pStyle w:val="BookText"/>
      </w:pPr>
      <w:r>
        <w:rPr>
          <w:rFonts w:ascii="IRNazanin" w:hAnsi="IRNazanin" w:eastAsia="IRNazanin" w:cs="IRNazanin"/>
          <w:lang w:bidi="fa-IR"/>
          <w:color w:val="111111"/>
          <w:sz w:val="28"/>
          <w:szCs w:val="28"/>
          <w:rtl/>
        </w:rPr>
        <w:t xml:space="preserve">۱۹. تهران؛ مجلس؛ شماره نسخه:۵۳۳</w:t>
      </w:r>
    </w:p>
    <w:p>
      <w:pPr>
        <w:pStyle w:val="BookText"/>
      </w:pPr>
      <w:r>
        <w:rPr>
          <w:rFonts w:ascii="IRNazanin" w:hAnsi="IRNazanin" w:eastAsia="IRNazanin" w:cs="IRNazanin"/>
          <w:lang w:bidi="fa-IR"/>
          <w:color w:val="111111"/>
          <w:sz w:val="28"/>
          <w:szCs w:val="28"/>
          <w:rtl/>
        </w:rPr>
        <w:t xml:space="preserve">آغاز: برابر
</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bookmarkStart w:id="711" w:name="pg20363_210065"/>
    <w:bookmarkEnd w:id="711"/>
    <w:p>
      <w:pPr>
        <w:pStyle w:val="BookText"/>
      </w:pPr>
      <w:r>
        <w:rPr>
          <w:rFonts w:ascii="IRNazanin" w:hAnsi="IRNazanin" w:eastAsia="IRNazanin" w:cs="IRNazanin"/>
          <w:lang w:bidi="fa-IR"/>
          <w:color w:val="111111"/>
          <w:sz w:val="28"/>
          <w:szCs w:val="28"/>
          <w:rtl/>
        </w:rPr>
        <w:t xml:space="preserve">خط: نسخ، بی کا، تا: ۱۲۸۰ق؛ مجدول؛ ۲۰۷گ، ۲۱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۲-۳۱۴]</w:t>
      </w:r>
    </w:p>
    <w:p>
      <w:pPr>
        <w:pStyle w:val="BookText"/>
      </w:pPr>
      <w:r>
        <w:rPr>
          <w:rFonts w:ascii="IRNazanin" w:hAnsi="IRNazanin" w:eastAsia="IRNazanin" w:cs="IRNazanin"/>
          <w:lang w:bidi="fa-IR"/>
          <w:color w:val="111111"/>
          <w:sz w:val="28"/>
          <w:szCs w:val="28"/>
          <w:rtl/>
        </w:rPr>
        <w:t xml:space="preserve">۲۰. تهران؛ ملک؛ شماره نسخه: ۳۸۶۸</w:t>
      </w:r>
    </w:p>
    <w:p>
      <w:pPr>
        <w:pStyle w:val="BookText"/>
      </w:pPr>
      <w:r>
        <w:rPr>
          <w:rFonts w:ascii="IRNazanin" w:hAnsi="IRNazanin" w:eastAsia="IRNazanin" w:cs="IRNazanin"/>
          <w:lang w:bidi="fa-IR"/>
          <w:color w:val="111111"/>
          <w:sz w:val="28"/>
          <w:szCs w:val="28"/>
          <w:rtl/>
        </w:rPr>
        <w:t xml:space="preserve">از انتها در سرگذشت مستعصم نانویس مانده است؛ خط: شکسته، نستعلیق، بی کا، تا: ۱۲۸۱ق؛ افتادگی: انجام؛ کاغذ: کاغذ آهار مهره فرنگی، جلد: میشن عنابی سیر، ۲۲۹گ، ۱۵ سطر، اندازه: ۲۲/۸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۱۴/۲ سم [ف: ۲-۹۸]</w:t>
      </w:r>
    </w:p>
    <w:p>
      <w:pPr>
        <w:pStyle w:val="BookText"/>
      </w:pPr>
      <w:r>
        <w:rPr>
          <w:rFonts w:ascii="IRNazanin" w:hAnsi="IRNazanin" w:eastAsia="IRNazanin" w:cs="IRNazanin"/>
          <w:lang w:bidi="fa-IR"/>
          <w:color w:val="111111"/>
          <w:sz w:val="28"/>
          <w:szCs w:val="28"/>
          <w:rtl/>
        </w:rPr>
        <w:t xml:space="preserve">۲۱. تبریز؛ ملی؛ شماره نسخه:۳۲۸۸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تعليق، كان امین الله محرر، تا: ۱۲۸۵ق؛ کاغذ: فرنگی، جلد: چرمی سیاه، ۲۲۹گ، ۱۶ سطر، اندازه: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۲۲/۵سم [ف: ۱۹۰-۱ ]</w:t>
      </w:r>
    </w:p>
    <w:p>
      <w:pPr>
        <w:pStyle w:val="BookText"/>
      </w:pPr>
      <w:r>
        <w:rPr>
          <w:rFonts w:ascii="IRNazanin" w:hAnsi="IRNazanin" w:eastAsia="IRNazanin" w:cs="IRNazanin"/>
          <w:lang w:bidi="fa-IR"/>
          <w:color w:val="111111"/>
          <w:sz w:val="28"/>
          <w:szCs w:val="28"/>
          <w:rtl/>
        </w:rPr>
        <w:t xml:space="preserve">۲۲. تهران؛ ملی؛ شماره نسخه:۲۸۵۷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بسیار خوش، کا: میرزا اسماعیل بن میرزا معصوم تفرشی، تا: ۱۲۸۷ق؛ اهداء به کیومرث میرزا، مجدول؛ کاغذ: فرنگی، جلد: مقوایی عطف چرم مشکی، رویه کالینگور،</w:t>
      </w:r>
    </w:p>
    <w:p>
      <w:pPr>
        <w:pStyle w:val="BookText"/>
      </w:pPr>
      <w:r>
        <w:rPr>
          <w:rFonts w:ascii="IRNazanin" w:hAnsi="IRNazanin" w:eastAsia="IRNazanin" w:cs="IRNazanin"/>
          <w:lang w:bidi="fa-IR"/>
          <w:color w:val="111111"/>
          <w:sz w:val="28"/>
          <w:szCs w:val="28"/>
          <w:rtl/>
        </w:rPr>
        <w:t xml:space="preserve">۱۵۶گ، ۱۹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۶-۵۱۴]</w:t>
      </w:r>
    </w:p>
    <w:p>
      <w:pPr>
        <w:pStyle w:val="BookText"/>
      </w:pPr>
      <w:r>
        <w:rPr>
          <w:rFonts w:ascii="IRNazanin" w:hAnsi="IRNazanin" w:eastAsia="IRNazanin" w:cs="IRNazanin"/>
          <w:lang w:bidi="fa-IR"/>
          <w:color w:val="111111"/>
          <w:sz w:val="28"/>
          <w:szCs w:val="28"/>
          <w:rtl/>
        </w:rPr>
        <w:t xml:space="preserve">۲۳. قم؛ مرعشی؛ شماره نسخه:۲۵۳۳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زیبا، كا: عبد الوهاب بن میرزا محمد هاشم حسینی، تا: ۲۵ جمادی الاول ۱۲۹۹ق؛ تملک: حسن انصاری جابری به تاریخ ۱۶ ربیع الثانی ۱۳۲۲؛ جلد: تیماج نیلی، ۲۹۹گ، ۱۲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۷-۱۱۹]</w:t>
      </w:r>
    </w:p>
    <w:p>
      <w:pPr>
        <w:pStyle w:val="BookText"/>
      </w:pPr>
      <w:r>
        <w:rPr>
          <w:rFonts w:ascii="IRNazanin" w:hAnsi="IRNazanin" w:eastAsia="IRNazanin" w:cs="IRNazanin"/>
          <w:lang w:bidi="fa-IR"/>
          <w:color w:val="111111"/>
          <w:sz w:val="28"/>
          <w:szCs w:val="28"/>
          <w:rtl/>
        </w:rPr>
        <w:t xml:space="preserve">۲۴. تهران؛ فرمانفرمائیان، حافظ (دکتر)؛ شماره نسخه:بدون شماره</w:t>
      </w:r>
    </w:p>
    <w:p>
      <w:pPr>
        <w:pStyle w:val="BookText"/>
      </w:pPr>
      <w:r>
        <w:rPr>
          <w:rFonts w:ascii="IRNazanin" w:hAnsi="IRNazanin" w:eastAsia="IRNazanin" w:cs="IRNazanin"/>
          <w:lang w:bidi="fa-IR"/>
          <w:color w:val="111111"/>
          <w:sz w:val="28"/>
          <w:szCs w:val="28"/>
          <w:rtl/>
        </w:rPr>
        <w:t xml:space="preserve">خط: شکسته نستعلیق، بی کا، تا: ۱۲۹۹ق؛ با سرلوح، مجدول، با یادداشت مرتضی بن حسن قاینی خراسانی، در ۱۲۹۹؛ جلد: تیماج سبز ضربی ترنجی مقوایی، قطع: ربعی [نشریه: ۷-۵۴۴]</w:t>
      </w:r>
    </w:p>
    <w:p>
      <w:pPr>
        <w:pStyle w:val="BookText"/>
      </w:pPr>
      <w:r>
        <w:rPr>
          <w:rFonts w:ascii="IRNazanin" w:hAnsi="IRNazanin" w:eastAsia="IRNazanin" w:cs="IRNazanin"/>
          <w:lang w:bidi="fa-IR"/>
          <w:color w:val="111111"/>
          <w:sz w:val="28"/>
          <w:szCs w:val="28"/>
          <w:rtl/>
        </w:rPr>
        <w:t xml:space="preserve">۲۵. اصفهان؛ جابری انصاری؛ شماره نسخه:۳۶</w:t>
      </w:r>
    </w:p>
    <w:p>
      <w:pPr>
        <w:pStyle w:val="BookText"/>
      </w:pPr>
      <w:r>
        <w:rPr>
          <w:rFonts w:ascii="IRNazanin" w:hAnsi="IRNazanin" w:eastAsia="IRNazanin" w:cs="IRNazanin"/>
          <w:lang w:bidi="fa-IR"/>
          <w:color w:val="111111"/>
          <w:sz w:val="28"/>
          <w:szCs w:val="28"/>
          <w:rtl/>
        </w:rPr>
        <w:t xml:space="preserve">خط: نستعلیق، کا: میرزا عبد الوهاب خان مستشار دفتر، تا:</w:t>
      </w:r>
    </w:p>
    <w:p>
      <w:pPr>
        <w:pStyle w:val="BookText"/>
      </w:pPr>
      <w:r>
        <w:rPr>
          <w:rFonts w:ascii="IRNazanin" w:hAnsi="IRNazanin" w:eastAsia="IRNazanin" w:cs="IRNazanin"/>
          <w:lang w:bidi="fa-IR"/>
          <w:color w:val="111111"/>
          <w:sz w:val="28"/>
          <w:szCs w:val="28"/>
          <w:rtl/>
        </w:rPr>
        <w:t xml:space="preserve">۱۲۹۹ق؛ با توضیحات حاج میرزا علی انصاری. [نشریه: ۶-۵۹۶]</w:t>
      </w:r>
    </w:p>
    <w:p>
      <w:pPr>
        <w:pStyle w:val="BookText"/>
      </w:pPr>
      <w:r>
        <w:rPr>
          <w:rFonts w:ascii="IRNazanin" w:hAnsi="IRNazanin" w:eastAsia="IRNazanin" w:cs="IRNazanin"/>
          <w:lang w:bidi="fa-IR"/>
          <w:color w:val="111111"/>
          <w:sz w:val="28"/>
          <w:szCs w:val="28"/>
          <w:rtl/>
        </w:rPr>
        <w:t xml:space="preserve">۲۶. مشهد؛ رضوی؛ شماره نسخه:۴۱۸۹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عبدالله بن محمد، تا: ۲۲ ربیع الاول ۱۳۰۳ق؛ واقف: نائینی؛ کاغذ: سفید فرنگی آهار مهره، جلد: تیماج عنابی، ۱۲۰گ، ۲۲ سطر ( ۱۹/۲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[ف: ۷-۴۴]</w:t>
      </w:r>
    </w:p>
    <w:p>
      <w:pPr>
        <w:pStyle w:val="BookText"/>
      </w:pPr>
      <w:r>
        <w:rPr>
          <w:rFonts w:ascii="IRNazanin" w:hAnsi="IRNazanin" w:eastAsia="IRNazanin" w:cs="IRNazanin"/>
          <w:lang w:bidi="fa-IR"/>
          <w:color w:val="111111"/>
          <w:sz w:val="28"/>
          <w:szCs w:val="28"/>
          <w:rtl/>
        </w:rPr>
        <w:t xml:space="preserve">۲۷. مشهد؛ رضوی؛ شماره نسخه:۴۱۸۸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بن حسن، تا: ۲۰ محرم ۱۳۰۴ق؛ واقف: نایینی؛ کاغذ: زرد فرنگی آهار مهره، جلد: تیماج عنابی، ۲۴۱گ، ۱۵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۷-۴۴]</w:t>
      </w:r>
    </w:p>
    <w:p>
      <w:pPr>
        <w:pStyle w:val="BookText"/>
      </w:pPr>
      <w:r>
        <w:rPr>
          <w:rFonts w:ascii="IRNazanin" w:hAnsi="IRNazanin" w:eastAsia="IRNazanin" w:cs="IRNazanin"/>
          <w:lang w:bidi="fa-IR"/>
          <w:color w:val="111111"/>
          <w:sz w:val="28"/>
          <w:szCs w:val="28"/>
          <w:rtl/>
        </w:rPr>
        <w:t xml:space="preserve">۲۸. اصفهان؛ عمومی اصفهان (فرهنگ سابق)؛ شماره نسخه:۱۱۴۰۴</w:t>
      </w:r>
    </w:p>
    <w:p>
      <w:pPr>
        <w:pStyle w:val="BookText"/>
      </w:pPr>
      <w:r>
        <w:rPr>
          <w:rFonts w:ascii="IRNazanin" w:hAnsi="IRNazanin" w:eastAsia="IRNazanin" w:cs="IRNazanin"/>
          <w:lang w:bidi="fa-IR"/>
          <w:color w:val="111111"/>
          <w:sz w:val="28"/>
          <w:szCs w:val="28"/>
          <w:rtl/>
        </w:rPr>
        <w:t xml:space="preserve">خط: نستعلیق ریز، کا: محمدباقر بن عبدالحسین خان بن حاجی</w:t>
      </w:r>
    </w:p>
    <w:p>
      <w:pPr>
        <w:pStyle w:val="BookText"/>
      </w:pPr>
      <w:r>
        <w:rPr>
          <w:rFonts w:ascii="IRNazanin" w:hAnsi="IRNazanin" w:eastAsia="IRNazanin" w:cs="IRNazanin"/>
          <w:lang w:bidi="fa-IR"/>
          <w:color w:val="111111"/>
          <w:sz w:val="28"/>
          <w:szCs w:val="28"/>
          <w:rtl/>
        </w:rPr>
        <w:t xml:space="preserve">محمد حسین خان صدر اصفهانی، تا: شوال ۱۴۱۴ق، برای ظل السلطان؛ از روی نسخه آشفته و مغشوشی؛ مجدول، با سرلوح؛</w:t>
      </w:r>
    </w:p>
    <w:p>
      <w:pPr>
        <w:pStyle w:val="BookText"/>
      </w:pPr>
      <w:r>
        <w:rPr>
          <w:rFonts w:ascii="IRNazanin" w:hAnsi="IRNazanin" w:eastAsia="IRNazanin" w:cs="IRNazanin"/>
          <w:lang w:bidi="fa-IR"/>
          <w:color w:val="111111"/>
          <w:sz w:val="28"/>
          <w:szCs w:val="28"/>
          <w:rtl/>
        </w:rPr>
        <w:t xml:space="preserve">۳۵۶ص، ۱۹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آنشریه: ۵-۳۱۹]</w:t>
      </w:r>
    </w:p>
    <w:p>
      <w:pPr>
        <w:pStyle w:val="BookText"/>
      </w:pPr>
      <w:r>
        <w:rPr>
          <w:rFonts w:ascii="IRNazanin" w:hAnsi="IRNazanin" w:eastAsia="IRNazanin" w:cs="IRNazanin"/>
          <w:lang w:bidi="fa-IR"/>
          <w:color w:val="111111"/>
          <w:sz w:val="28"/>
          <w:szCs w:val="28"/>
          <w:rtl/>
        </w:rPr>
        <w:t xml:space="preserve">اصفهان؛ صارم الدوله (كتابخانه فرهنگ اصفهان، شماره نسخه: ۹۲۹ همان نسخه بالا [ف: ۶۱]</w:t>
      </w:r>
    </w:p>
    <w:p>
      <w:pPr>
        <w:pStyle w:val="BookText"/>
      </w:pPr>
      <w:r>
        <w:rPr>
          <w:rFonts w:ascii="IRNazanin" w:hAnsi="IRNazanin" w:eastAsia="IRNazanin" w:cs="IRNazanin"/>
          <w:lang w:bidi="fa-IR"/>
          <w:color w:val="111111"/>
          <w:sz w:val="28"/>
          <w:szCs w:val="28"/>
          <w:rtl/>
        </w:rPr>
        <w:t xml:space="preserve">۲۹. اصفهان؛ عمومی اصفهان (فرهنگ سابق)؛ شماره نسخه:۱۱۴۰۵</w:t>
      </w:r>
    </w:p>
    <w:p>
      <w:pPr>
        <w:pStyle w:val="BookText"/>
      </w:pPr>
      <w:r>
        <w:rPr>
          <w:rFonts w:ascii="IRNazanin" w:hAnsi="IRNazanin" w:eastAsia="IRNazanin" w:cs="IRNazanin"/>
          <w:lang w:bidi="fa-IR"/>
          <w:color w:val="111111"/>
          <w:sz w:val="28"/>
          <w:szCs w:val="28"/>
          <w:rtl/>
        </w:rPr>
        <w:t xml:space="preserve">خط: نستعلیق، کا: محمود بن شهاب الدين محمد علوی فاطمی، تا: ۲۸ شعبان ۱۳۲۰ق، برای آقا باشی؛ کاغذ: فرنگی، جلد: مقوایی با روکش تیماج مشکی، ۵۶۲ص، ۱۵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سم [نشریه: ۵-۳۱۹]</w:t>
      </w:r>
    </w:p>
    <w:p>
      <w:pPr>
        <w:pStyle w:val="BookText"/>
      </w:pPr>
      <w:r>
        <w:rPr>
          <w:rFonts w:ascii="IRNazanin" w:hAnsi="IRNazanin" w:eastAsia="IRNazanin" w:cs="IRNazanin"/>
          <w:lang w:bidi="fa-IR"/>
          <w:color w:val="111111"/>
          <w:sz w:val="28"/>
          <w:szCs w:val="28"/>
          <w:rtl/>
        </w:rPr>
        <w:t xml:space="preserve">اصفهان؛ صارم الدوله (كتابخانه فرهنگ اصفهان)؛ شماره نسخه: ۹۳۰</w:t>
      </w:r>
    </w:p>
    <w:p>
      <w:pPr>
        <w:pStyle w:val="BookText"/>
      </w:pPr>
      <w:r>
        <w:rPr>
          <w:rFonts w:ascii="IRNazanin" w:hAnsi="IRNazanin" w:eastAsia="IRNazanin" w:cs="IRNazanin"/>
          <w:lang w:bidi="fa-IR"/>
          <w:color w:val="111111"/>
          <w:sz w:val="28"/>
          <w:szCs w:val="28"/>
          <w:rtl/>
        </w:rPr>
        <w:t xml:space="preserve">همان نسخه بالا [ف: ۶۱]</w:t>
      </w:r>
    </w:p>
    <w:p>
      <w:pPr>
        <w:pStyle w:val="BookText"/>
      </w:pPr>
      <w:r>
        <w:rPr>
          <w:rFonts w:ascii="IRNazanin" w:hAnsi="IRNazanin" w:eastAsia="IRNazanin" w:cs="IRNazanin"/>
          <w:lang w:bidi="fa-IR"/>
          <w:color w:val="111111"/>
          <w:sz w:val="28"/>
          <w:szCs w:val="28"/>
          <w:rtl/>
        </w:rPr>
        <w:t xml:space="preserve">۳۰. اصفهان؛ دانشگاه؛ شماره نسخه:۲۸۳</w:t>
      </w:r>
    </w:p>
    <w:p>
      <w:pPr>
        <w:pStyle w:val="BookText"/>
      </w:pPr>
      <w:r>
        <w:rPr>
          <w:rFonts w:ascii="IRNazanin" w:hAnsi="IRNazanin" w:eastAsia="IRNazanin" w:cs="IRNazanin"/>
          <w:lang w:bidi="fa-IR"/>
          <w:color w:val="111111"/>
          <w:sz w:val="28"/>
          <w:szCs w:val="28"/>
          <w:rtl/>
        </w:rPr>
        <w:t xml:space="preserve">خط: نستعلیق، کا: میرزا محمود بن شهاب الدین محمد علوی، تا: جمادی الثانی ۱۳۲۱ق، به عنایت میرزا اسد الله خان؛ مجدول؛ جلد: تیماج قهوه ای، ۲۸۴گ، ۱۵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۱-۲۰۹]</w:t>
      </w:r>
    </w:p>
    <w:p>
      <w:pPr>
        <w:pStyle w:val="BookText"/>
      </w:pPr>
      <w:r>
        <w:rPr>
          <w:rFonts w:ascii="IRNazanin" w:hAnsi="IRNazanin" w:eastAsia="IRNazanin" w:cs="IRNazanin"/>
          <w:lang w:bidi="fa-IR"/>
          <w:color w:val="111111"/>
          <w:sz w:val="28"/>
          <w:szCs w:val="28"/>
          <w:rtl/>
        </w:rPr>
        <w:t xml:space="preserve">۳۱. تهران؛ سلطنتی؛ شماره نسخه:۴۸۵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مجدول، مذهب، کمند کشی، یک سرلوح مذهب بسیار خوب سبک کار شیراز؛ کاغذ: ترمه آهار مهره، جلد: مقوای روکش چرم زنگاری، ۵۲۵ص، ۱۶ سطر، قطع: وزیری، اندازه: ۲۳/۸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۵-۴۶]</w:t>
      </w:r>
    </w:p>
    <w:p>
      <w:pPr>
        <w:pStyle w:val="BookText"/>
      </w:pPr>
      <w:r>
        <w:rPr>
          <w:rFonts w:ascii="IRNazanin" w:hAnsi="IRNazanin" w:eastAsia="IRNazanin" w:cs="IRNazanin"/>
          <w:lang w:bidi="fa-IR"/>
          <w:color w:val="111111"/>
          <w:sz w:val="28"/>
          <w:szCs w:val="28"/>
          <w:rtl/>
        </w:rPr>
        <w:t xml:space="preserve">۳۲. تهران؛ مجلس؛ شماره نسخه: ۱۳۱۶۱</w:t>
      </w:r>
    </w:p>
    <w:p>
      <w:pPr>
        <w:pStyle w:val="BookText"/>
      </w:pPr>
      <w:r>
        <w:rPr>
          <w:rFonts w:ascii="IRNazanin" w:hAnsi="IRNazanin" w:eastAsia="IRNazanin" w:cs="IRNazanin"/>
          <w:lang w:bidi="fa-IR"/>
          <w:color w:val="111111"/>
          <w:sz w:val="28"/>
          <w:szCs w:val="28"/>
          <w:rtl/>
        </w:rPr>
        <w:t xml:space="preserve">آغاز: ربیع بن يونس یکی از وزرای منصور است کنیه و نسب او ابوالفضل الربيع بن يونس بن محمد بن کیسان است و کیسان مولی عثمان بن عفان؛ انجام: كان الوزير نظام الملک لؤلؤة *** شريفة صاغها الرحمن من شرف / بدت قلم تعرف الايام قيمتها *** فردها قيمة منه إلى الصدف. خط: شکسته نستعلیق، بی کا، بی تا، افتادگی: آغاز و انجام؛ جلد: مقوا، عطف تیماج قهوه ای، ۱۳۲ ، ۱۱ سطر، قطع: پالتویی،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۳۶-۲۴۴]</w:t>
      </w:r>
    </w:p>
    <w:p>
      <w:pPr>
        <w:pStyle w:val="BookText"/>
      </w:pPr>
      <w:r>
        <w:rPr>
          <w:rFonts w:ascii="IRNazanin" w:hAnsi="IRNazanin" w:eastAsia="IRNazanin" w:cs="IRNazanin"/>
          <w:lang w:bidi="fa-IR"/>
          <w:color w:val="111111"/>
          <w:sz w:val="28"/>
          <w:szCs w:val="28"/>
          <w:rtl/>
        </w:rPr>
        <w:t xml:space="preserve">۳۳. تهران: ملی؛ شماره نسخه:۲۶۰۷۰</w:t>
      </w:r>
    </w:p>
    <w:p>
      <w:pPr>
        <w:pStyle w:val="BookText"/>
      </w:pPr>
      <w:r>
        <w:rPr>
          <w:rFonts w:ascii="IRNazanin" w:hAnsi="IRNazanin" w:eastAsia="IRNazanin" w:cs="IRNazanin"/>
          <w:lang w:bidi="fa-IR"/>
          <w:color w:val="111111"/>
          <w:sz w:val="28"/>
          <w:szCs w:val="28"/>
          <w:rtl/>
        </w:rPr>
        <w:t xml:space="preserve">بی کا، بی تا؛ خریداری از سید مرتضی علی حسینی [رایانه ]</w:t>
      </w:r>
    </w:p>
    <w:p>
      <w:pPr>
        <w:pStyle w:val="Heading3"/>
      </w:pPr>
      <w:bookmarkStart w:id="3063" w:name="_Toc2323"/>
      <w:r>
        <w:t>•تجارب شهریاری / کيميا / فارسی</w:t>
      </w:r>
      <w:bookmarkEnd w:id="3063"/>
    </w:p>
    <w:p>
      <w:pPr>
        <w:pStyle w:val="BookText"/>
      </w:pPr>
      <w:r>
        <w:rPr>
          <w:rFonts w:ascii="Times New Roman" w:hAnsi="Times New Roman" w:eastAsia="Times New Roman" w:cs="Times New Roman"/>
          <w:lang w:val="en-US" w:bidi="en-US"/>
          <w:color w:val="111111"/>
          <w:sz w:val="28"/>
          <w:szCs w:val="28"/>
          <w:rtl/>
        </w:rPr>
        <w:t xml:space="preserve">tajārob-e šahrīyārī</w:t>
      </w:r>
    </w:p>
    <w:p>
      <w:pPr>
        <w:pStyle w:val="BookText"/>
      </w:pPr>
      <w:r>
        <w:rPr>
          <w:rFonts w:ascii="IRNazanin" w:hAnsi="IRNazanin" w:eastAsia="IRNazanin" w:cs="IRNazanin"/>
          <w:lang w:bidi="fa-IR"/>
          <w:color w:val="111111"/>
          <w:sz w:val="28"/>
          <w:szCs w:val="28"/>
          <w:rtl/>
        </w:rPr>
        <w:t xml:space="preserve">شهریار بن بهمنیار پارسی، ق ۵ قمری</w:t>
      </w:r>
    </w:p>
    <w:p>
      <w:pPr>
        <w:pStyle w:val="BookText"/>
      </w:pPr>
      <w:r>
        <w:rPr>
          <w:rFonts w:ascii="Times New Roman" w:hAnsi="Times New Roman" w:eastAsia="Times New Roman" w:cs="Times New Roman"/>
          <w:lang w:val="en-US" w:bidi="en-US"/>
          <w:color w:val="111111"/>
          <w:sz w:val="28"/>
          <w:szCs w:val="28"/>
          <w:rtl/>
        </w:rPr>
        <w:t xml:space="preserve">šahrīyār ebn-e bahmanyār-e pārsī (-11c)</w:t>
      </w:r>
    </w:p>
    <w:p>
      <w:pPr>
        <w:pStyle w:val="BookText"/>
      </w:pPr>
      <w:r>
        <w:rPr>
          <w:rFonts w:ascii="IRNazanin" w:hAnsi="IRNazanin" w:eastAsia="IRNazanin" w:cs="IRNazanin"/>
          <w:lang w:bidi="fa-IR"/>
          <w:color w:val="111111"/>
          <w:sz w:val="28"/>
          <w:szCs w:val="28"/>
          <w:rtl/>
        </w:rPr>
        <w:t xml:space="preserve">وابسته به: سر الاسرار؛ رازی، محمد بن زکریا (۲۵۱-۳۱۳)| از شهریار بن بهمنیار پارسی، شاگرد ابن سينا ( - ۴۲۸ق) و به نوشته نفیسی از قرن ۶ ق. ترجمه ای است از سر الاسرار رازی، در ۲۰ «باب»؛ نسخه ها با یکدیگر تفاوت هایی دارند. ابواب بیست گانه: 1. تدبیر زیبق؛ ۲. تدبیر نوشادر؛ ۳. تدبیر کبریت و
</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bookmarkStart w:id="712" w:name="pg20363_210066"/>
    <w:bookmarkEnd w:id="712"/>
    <w:p>
      <w:pPr>
        <w:pStyle w:val="BookText"/>
      </w:pPr>
      <w:r>
        <w:rPr>
          <w:rFonts w:ascii="IRNazanin" w:hAnsi="IRNazanin" w:eastAsia="IRNazanin" w:cs="IRNazanin"/>
          <w:lang w:bidi="fa-IR"/>
          <w:color w:val="111111"/>
          <w:sz w:val="28"/>
          <w:szCs w:val="28"/>
          <w:rtl/>
        </w:rPr>
        <w:t xml:space="preserve">زرنیخ؛ ۴. تدبیر توتیا و عرق سنگ بصری؛ ۵. تدبیر حل شعر؛ ۶. تدبیر تکلیس ها؛ 7. تدبير شمع؛ ۸. تدبیر حل مرکبات؛ ۹. تدبیر حل ملحها و زاجها و جسدها؛ ۱۰. تدبير عقدها؛ ... ۱۵. تدبیر تصفیه اجساد؛ ... ۲۰. مزاوجت به اجمال. (احمد منزوی)</w:t>
      </w:r>
    </w:p>
    <w:p>
      <w:pPr>
        <w:pStyle w:val="BookText"/>
      </w:pPr>
      <w:r>
        <w:rPr>
          <w:rFonts w:ascii="IRNazanin" w:hAnsi="IRNazanin" w:eastAsia="IRNazanin" w:cs="IRNazanin"/>
          <w:lang w:bidi="fa-IR"/>
          <w:color w:val="111111"/>
          <w:sz w:val="28"/>
          <w:szCs w:val="28"/>
          <w:rtl/>
        </w:rPr>
        <w:t xml:space="preserve">آغاز: 1: بسمله. سپاس و ستایش مر خدای را که پروردگار عالم و عالمیان است ...... اما بعد، بدانکه ایزد تبارک و تعالی به قدرت قدیم ۲: بالله التوفيق. چنانچه فرمان باریتعالی بود ... بعد چنین گوید مؤلف این کتاب شهریار بن بهمن استادان معتبر عجایب لطايف ... تجارب شهریاری نام نهادم انجام: منازل شریف برساند. و الله اعلم بالصواب.</w:t>
      </w:r>
    </w:p>
    <w:p>
      <w:pPr>
        <w:pStyle w:val="BookText"/>
      </w:pPr>
      <w:r>
        <w:rPr>
          <w:rFonts w:ascii="IRNazanin" w:hAnsi="IRNazanin" w:eastAsia="IRNazanin" w:cs="IRNazanin"/>
          <w:lang w:bidi="fa-IR"/>
          <w:color w:val="111111"/>
          <w:sz w:val="28"/>
          <w:szCs w:val="28"/>
          <w:rtl/>
        </w:rPr>
        <w:t xml:space="preserve">تمت</w:t>
      </w:r>
    </w:p>
    <w:p>
      <w:pPr>
        <w:pStyle w:val="BookText"/>
      </w:pPr>
      <w:r>
        <w:rPr>
          <w:rFonts w:ascii="IRNazanin" w:hAnsi="IRNazanin" w:eastAsia="IRNazanin" w:cs="IRNazanin"/>
          <w:lang w:bidi="fa-IR"/>
          <w:color w:val="111111"/>
          <w:sz w:val="28"/>
          <w:szCs w:val="28"/>
          <w:rtl/>
        </w:rPr>
        <w:t xml:space="preserve">چاپ: این کتاب در سال ۱۳۳۴ شمسی همراه با کتاب سر الاسرار زکریای رازی به چاپ رسیده است</w:t>
      </w:r>
    </w:p>
    <w:p>
      <w:pPr>
        <w:pStyle w:val="BookText"/>
      </w:pPr>
      <w:r>
        <w:rPr>
          <w:rFonts w:ascii="IRNazanin" w:hAnsi="IRNazanin" w:eastAsia="IRNazanin" w:cs="IRNazanin"/>
          <w:lang w:bidi="fa-IR"/>
          <w:color w:val="111111"/>
          <w:sz w:val="28"/>
          <w:szCs w:val="28"/>
          <w:rtl/>
        </w:rPr>
        <w:t xml:space="preserve">[ الذريعه ۳۴۸/۳ ؛ نسخه های منزوی ۶۱۵/۱ ؛ مشترک پاکستان ۷۷۵/۱ ؛ مشار فارسی ۱۱۸۳/۱ ؛ فهرستواره منزوی ۳۹۴۳/۵ ؛ مصنفات رازی، نجم آبادی ۲۲۸؛ دنا ۷۹۱/۲ (۱۴ نسخه)]</w:t>
      </w:r>
    </w:p>
    <w:p>
      <w:pPr>
        <w:pStyle w:val="BookText"/>
      </w:pPr>
      <w:r>
        <w:rPr>
          <w:rFonts w:ascii="IRNazanin" w:hAnsi="IRNazanin" w:eastAsia="IRNazanin" w:cs="IRNazanin"/>
          <w:lang w:bidi="fa-IR"/>
          <w:color w:val="111111"/>
          <w:sz w:val="28"/>
          <w:szCs w:val="28"/>
          <w:rtl/>
        </w:rPr>
        <w:t xml:space="preserve">۱. تهران، دانشگاه؛ شماره نسخه: ۲۵۴۱/۱4 -ف و ۶۸۹۳-عکس</w:t>
      </w:r>
    </w:p>
    <w:p>
      <w:pPr>
        <w:pStyle w:val="BookText"/>
      </w:pPr>
      <w:r>
        <w:rPr>
          <w:rFonts w:ascii="Amiri" w:hAnsi="Amiri" w:eastAsia="Amiri" w:cs="Amiri"/>
          <w:lang w:bidi="ar-SA"/>
          <w:color w:val="111111"/>
          <w:sz w:val="28"/>
          <w:szCs w:val="28"/>
          <w:rtl/>
        </w:rPr>
        <w:t xml:space="preserve">نسخه اصل: برلين 8066 .</w:t>
      </w:r>
      <w:r>
        <w:rPr>
          <w:rFonts w:ascii="Times New Roman" w:hAnsi="Times New Roman" w:eastAsia="Times New Roman" w:cs="Times New Roman"/>
          <w:lang w:val="en-US" w:bidi="en-US"/>
          <w:color w:val="111111"/>
          <w:sz w:val="28"/>
          <w:szCs w:val="28"/>
          <w:rtl/>
        </w:rPr>
        <w:t xml:space="preserve">Or (</w:t>
      </w:r>
      <w:r>
        <w:rPr>
          <w:rFonts w:ascii="IRNazanin" w:hAnsi="IRNazanin" w:eastAsia="IRNazanin" w:cs="IRNazanin"/>
          <w:lang w:bidi="fa-IR"/>
          <w:color w:val="111111"/>
          <w:sz w:val="28"/>
          <w:szCs w:val="28"/>
          <w:rtl/>
        </w:rPr>
        <w:t xml:space="preserve">پرج ش ۳۰۳ ص ۳۲۶)؛ خط: نستعلیق، بی کا، تا: ۱۰۶۳ق؛ ۳۵گ (۱۱۰ر-۱۴۴پ) [فیلمها ف: 1 ۷۱۴ و ف: ۳-۲۶۴]</w:t>
      </w:r>
    </w:p>
    <w:p>
      <w:pPr>
        <w:pStyle w:val="BookText"/>
      </w:pPr>
      <w:r>
        <w:rPr>
          <w:rFonts w:ascii="Amiri" w:hAnsi="Amiri" w:eastAsia="Amiri" w:cs="Amiri"/>
          <w:lang w:bidi="ar-SA"/>
          <w:color w:val="111111"/>
          <w:sz w:val="28"/>
          <w:szCs w:val="28"/>
          <w:rtl/>
        </w:rPr>
        <w:t xml:space="preserve">۲. تهران؛ دائرة المعارف؛ شماره نسخه: ۱۰۶/۲</w:t>
      </w:r>
    </w:p>
    <w:p>
      <w:pPr>
        <w:pStyle w:val="BookText"/>
      </w:pPr>
      <w:r>
        <w:rPr>
          <w:rFonts w:ascii="IRNazanin" w:hAnsi="IRNazanin" w:eastAsia="IRNazanin" w:cs="IRNazanin"/>
          <w:lang w:bidi="fa-IR"/>
          <w:color w:val="111111"/>
          <w:sz w:val="28"/>
          <w:szCs w:val="28"/>
          <w:rtl/>
        </w:rPr>
        <w:t xml:space="preserve">آغاز: برابر ۱؛ انجام: برابر</w:t>
      </w:r>
    </w:p>
    <w:p>
      <w:pPr>
        <w:pStyle w:val="BookText"/>
      </w:pPr>
      <w:r>
        <w:rPr>
          <w:rFonts w:ascii="IRNazanin" w:hAnsi="IRNazanin" w:eastAsia="IRNazanin" w:cs="IRNazanin"/>
          <w:lang w:bidi="fa-IR"/>
          <w:color w:val="111111"/>
          <w:sz w:val="28"/>
          <w:szCs w:val="28"/>
          <w:rtl/>
        </w:rPr>
        <w:t xml:space="preserve">خط: نستعلیق تحریری، کا: احمد بن بابا مراغی، تا: قرن ۱۲؛ ۱۶گ (۱۵پ - ۳۰پ) [ف: ۱-۴۴] ٣. قم؛ مرعشی؛ شماره نسخه: ۱۴۱۸۹</w:t>
      </w:r>
    </w:p>
    <w:p>
      <w:pPr>
        <w:pStyle w:val="BookText"/>
      </w:pPr>
      <w:r>
        <w:rPr>
          <w:rFonts w:ascii="IRNazanin" w:hAnsi="IRNazanin" w:eastAsia="IRNazanin" w:cs="IRNazanin"/>
          <w:lang w:bidi="fa-IR"/>
          <w:color w:val="111111"/>
          <w:sz w:val="28"/>
          <w:szCs w:val="28"/>
          <w:rtl/>
        </w:rPr>
        <w:t xml:space="preserve">آغاز: برابر ۱؛ انجام: کسی را در دنیا و آخرت بدان حکیم دعوی اعتراض نتواند کرد و اگر باشد بزرگ یافته باشد از حضرت ایزد جل علا. خط: نستعلیق، بی کا، تا: قرن ۱۲؛ مصحح، محشی با نشان ۱۲؛ کاغذ: فرنگی؛ نوع جلد: تیماج قهوه ای ضربی با ترنج، ۳۰ص، ۱۸</w:t>
      </w:r>
    </w:p>
    <w:p>
      <w:pPr>
        <w:pStyle w:val="BookText"/>
      </w:pPr>
      <w:r>
        <w:rPr>
          <w:rFonts w:ascii="IRNazanin" w:hAnsi="IRNazanin" w:eastAsia="IRNazanin" w:cs="IRNazanin"/>
          <w:lang w:bidi="fa-IR"/>
          <w:color w:val="111111"/>
          <w:sz w:val="28"/>
          <w:szCs w:val="28"/>
          <w:rtl/>
        </w:rPr>
        <w:t xml:space="preserve">سطر (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۳۵-۷۶۴]</w:t>
      </w:r>
    </w:p>
    <w:p>
      <w:pPr>
        <w:pStyle w:val="BookText"/>
      </w:pPr>
      <w:r>
        <w:rPr>
          <w:rFonts w:ascii="IRNazanin" w:hAnsi="IRNazanin" w:eastAsia="IRNazanin" w:cs="IRNazanin"/>
          <w:lang w:bidi="fa-IR"/>
          <w:color w:val="111111"/>
          <w:sz w:val="28"/>
          <w:szCs w:val="28"/>
          <w:rtl/>
        </w:rPr>
        <w:t xml:space="preserve">۴. تهران؛ ملی؛ شماره نسخه: ۱۹۲۰۱۶</w:t>
      </w:r>
    </w:p>
    <w:p>
      <w:pPr>
        <w:pStyle w:val="BookText"/>
      </w:pPr>
      <w:r>
        <w:rPr>
          <w:rFonts w:ascii="IRNazanin" w:hAnsi="IRNazanin" w:eastAsia="IRNazanin" w:cs="IRNazanin"/>
          <w:lang w:bidi="fa-IR"/>
          <w:color w:val="111111"/>
          <w:sz w:val="28"/>
          <w:szCs w:val="28"/>
          <w:rtl/>
        </w:rPr>
        <w:t xml:space="preserve">آغاز: برابر ۱؛ انجام: باب بیستم: در مزاوجت اکنون آغاز کنیم طریق مزاوجت را که اصل دوم است اگر این معنی را همچنان مرموز بگذاریم که حكما گفته اند خط: نستعلیق، کا: محمد زمان بن محمد یوسف چرکس، تا: ۱۱۴۰ق؛ کاغذ: دولت آبادی، جلد: ابره، کاغذی، عطف تیماج، قهوه ای، مقوایی، ۳۱ص (۱۶۴-۱۹۴)، ۱۴ سطر (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۴-۳۷۵]</w:t>
      </w:r>
    </w:p>
    <w:p>
      <w:pPr>
        <w:pStyle w:val="BookText"/>
      </w:pPr>
      <w:r>
        <w:rPr>
          <w:rFonts w:ascii="IRNazanin" w:hAnsi="IRNazanin" w:eastAsia="IRNazanin" w:cs="IRNazanin"/>
          <w:lang w:bidi="fa-IR"/>
          <w:color w:val="111111"/>
          <w:sz w:val="28"/>
          <w:szCs w:val="28"/>
          <w:rtl/>
        </w:rPr>
        <w:t xml:space="preserve">۵. تهران؛ مجلس؛ شماره نسخه: ۵۳۹۹</w:t>
      </w:r>
    </w:p>
    <w:p>
      <w:pPr>
        <w:pStyle w:val="BookText"/>
      </w:pPr>
      <w:r>
        <w:rPr>
          <w:rFonts w:ascii="IRNazanin" w:hAnsi="IRNazanin" w:eastAsia="IRNazanin" w:cs="IRNazanin"/>
          <w:lang w:bidi="fa-IR"/>
          <w:color w:val="111111"/>
          <w:sz w:val="28"/>
          <w:szCs w:val="28"/>
          <w:rtl/>
        </w:rPr>
        <w:t xml:space="preserve">انجام: برابر</w:t>
      </w:r>
    </w:p>
    <w:p>
      <w:pPr>
        <w:pStyle w:val="BookText"/>
      </w:pPr>
      <w:r>
        <w:rPr>
          <w:rFonts w:ascii="IRNazanin" w:hAnsi="IRNazanin" w:eastAsia="IRNazanin" w:cs="IRNazanin"/>
          <w:lang w:bidi="fa-IR"/>
          <w:color w:val="111111"/>
          <w:sz w:val="28"/>
          <w:szCs w:val="28"/>
          <w:rtl/>
        </w:rPr>
        <w:t xml:space="preserve">در ۲۲ باب؛ خط: نستعلیق، كا: عبد البديع بن ملا محمد واعظ مشهدی، تا: ۳ صفر ۱۲۱۸ق؛ افتادگی: آغاز (چند سطر)؛ کاغذ: سپاهانی، جلد: میشن میشن سرخ، سرخ، ۴۶گ، ۱۷سطر، اندازه: ۵</w:t>
      </w:r>
      <w:r>
        <w:rPr>
          <w:rFonts w:ascii="Times New Roman" w:hAnsi="Times New Roman" w:eastAsia="Times New Roman" w:cs="Times New Roman"/>
          <w:lang w:val="en-US" w:bidi="en-US"/>
          <w:color w:val="111111"/>
          <w:sz w:val="28"/>
          <w:szCs w:val="28"/>
          <w:rtl/>
        </w:rPr>
        <w:t xml:space="preserve">x</w:t>
      </w:r>
      <w:r>
        <w:rPr>
          <w:rFonts w:ascii="IRNazanin" w:hAnsi="IRNazanin" w:eastAsia="IRNazanin" w:cs="IRNazanin"/>
          <w:lang w:bidi="fa-IR"/>
          <w:color w:val="111111"/>
          <w:sz w:val="28"/>
          <w:szCs w:val="28"/>
          <w:rtl/>
        </w:rPr>
        <w:t xml:space="preserve">۱۳/۵ / ۲۰سم [ف: ۱۶-۳۰۴]</w:t>
      </w:r>
    </w:p>
    <w:p>
      <w:pPr>
        <w:pStyle w:val="BookText"/>
      </w:pPr>
      <w:r>
        <w:rPr>
          <w:rFonts w:ascii="IRNazanin" w:hAnsi="IRNazanin" w:eastAsia="IRNazanin" w:cs="IRNazanin"/>
          <w:lang w:bidi="fa-IR"/>
          <w:color w:val="111111"/>
          <w:sz w:val="28"/>
          <w:szCs w:val="28"/>
          <w:rtl/>
        </w:rPr>
        <w:t xml:space="preserve">تهران؛ دانشگاه؛ شماره نسخه: ۲۷۹۵-ف</w:t>
      </w:r>
    </w:p>
    <w:p>
      <w:pPr>
        <w:pStyle w:val="BookText"/>
      </w:pPr>
      <w:r>
        <w:rPr>
          <w:rFonts w:ascii="Amiri" w:hAnsi="Amiri" w:eastAsia="Amiri" w:cs="Amiri"/>
          <w:lang w:bidi="ar-SA"/>
          <w:color w:val="111111"/>
          <w:sz w:val="28"/>
          <w:szCs w:val="28"/>
          <w:rtl/>
        </w:rPr>
        <w:t xml:space="preserve">نسخه اصل: همان نسخه بالا [فيلمها ف: ۱-۴۱]</w:t>
      </w:r>
    </w:p>
    <w:p>
      <w:pPr>
        <w:pStyle w:val="BookText"/>
      </w:pPr>
      <w:r>
        <w:rPr>
          <w:rFonts w:ascii="IRNazanin" w:hAnsi="IRNazanin" w:eastAsia="IRNazanin" w:cs="IRNazanin"/>
          <w:lang w:bidi="fa-IR"/>
          <w:color w:val="111111"/>
          <w:sz w:val="28"/>
          <w:szCs w:val="28"/>
          <w:rtl/>
        </w:rPr>
        <w:t xml:space="preserve">۶. مشهد؛ رضوی؛ شماره نسخه:ض ۱۰۹۲۲</w:t>
      </w:r>
    </w:p>
    <w:p>
      <w:pPr>
        <w:pStyle w:val="BookText"/>
      </w:pPr>
      <w:r>
        <w:rPr>
          <w:rFonts w:ascii="IRNazanin" w:hAnsi="IRNazanin" w:eastAsia="IRNazanin" w:cs="IRNazanin"/>
          <w:lang w:bidi="fa-IR"/>
          <w:color w:val="111111"/>
          <w:sz w:val="28"/>
          <w:szCs w:val="28"/>
          <w:rtl/>
        </w:rPr>
        <w:t xml:space="preserve">آغاز: برابر ۲؛ انجام: برابر خط: نسخ، بی کا، تا: ۱۲۳۹ق؛ مصحح، نسخه ای از سرالاسرار محمد بن زکریای رازی و رساله صنعت از زکریای رازی و سر الربانی و رساله ای از جلد کی ضميمه اند؛ کاغذ: نباتی، جلد: میشن، ابعاد متن: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۱۴</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۲۰/۵ سم [الفبائی: ۱۰۴]</w:t>
      </w:r>
    </w:p>
    <w:p>
      <w:pPr>
        <w:pStyle w:val="BookText"/>
      </w:pPr>
      <w:r>
        <w:rPr>
          <w:rFonts w:ascii="IRNazanin" w:hAnsi="IRNazanin" w:eastAsia="IRNazanin" w:cs="IRNazanin"/>
          <w:lang w:bidi="fa-IR"/>
          <w:color w:val="111111"/>
          <w:sz w:val="28"/>
          <w:szCs w:val="28"/>
          <w:rtl/>
        </w:rPr>
        <w:t xml:space="preserve">۷. تهران؛ مهدوی؛ شماره نسخه: ۳۳۱/۸</w:t>
      </w:r>
    </w:p>
    <w:p>
      <w:pPr>
        <w:pStyle w:val="BookText"/>
      </w:pPr>
      <w:r>
        <w:rPr>
          <w:rFonts w:ascii="IRNazanin" w:hAnsi="IRNazanin" w:eastAsia="IRNazanin" w:cs="IRNazanin"/>
          <w:lang w:bidi="fa-IR"/>
          <w:color w:val="111111"/>
          <w:sz w:val="28"/>
          <w:szCs w:val="28"/>
          <w:rtl/>
        </w:rPr>
        <w:t xml:space="preserve">در بیست باب؛ کا: محمد على بن آخوند ملااحمد، تا: چهارشنبه</w:t>
      </w:r>
    </w:p>
    <w:p>
      <w:pPr>
        <w:pStyle w:val="BookText"/>
      </w:pPr>
      <w:r>
        <w:rPr>
          <w:rFonts w:ascii="IRNazanin" w:hAnsi="IRNazanin" w:eastAsia="IRNazanin" w:cs="IRNazanin"/>
          <w:lang w:bidi="fa-IR"/>
          <w:color w:val="111111"/>
          <w:sz w:val="28"/>
          <w:szCs w:val="28"/>
          <w:rtl/>
        </w:rPr>
        <w:t xml:space="preserve">۲۹ رمضان ۱۲۶۴ق، جا: قم [نشریه: ۲-۱۱۲]</w:t>
      </w:r>
    </w:p>
    <w:p>
      <w:pPr>
        <w:pStyle w:val="BookText"/>
      </w:pPr>
      <w:r>
        <w:rPr>
          <w:rFonts w:ascii="IRNazanin" w:hAnsi="IRNazanin" w:eastAsia="IRNazanin" w:cs="IRNazanin"/>
          <w:lang w:bidi="fa-IR"/>
          <w:color w:val="111111"/>
          <w:sz w:val="28"/>
          <w:szCs w:val="28"/>
          <w:rtl/>
        </w:rPr>
        <w:t xml:space="preserve">۸. یزد؛ کاظمینی؛ شماره نسخه: ۴۴۳/۱</w:t>
      </w:r>
    </w:p>
    <w:p>
      <w:pPr>
        <w:pStyle w:val="BookText"/>
      </w:pPr>
      <w:r>
        <w:rPr>
          <w:rFonts w:ascii="IRNazanin" w:hAnsi="IRNazanin" w:eastAsia="IRNazanin" w:cs="IRNazanin"/>
          <w:lang w:bidi="fa-IR"/>
          <w:color w:val="111111"/>
          <w:sz w:val="28"/>
          <w:szCs w:val="28"/>
          <w:rtl/>
        </w:rPr>
        <w:t xml:space="preserve">خط: نستعلیق، بی کا، تا: ۱۰ رجب ۱۲۷۱ق؛ جلد: تیماج قهوه ای، ۵۱گ (۲پ -۵۲پ)، اندازه: ۱۱/۵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۱۷/۵ سم [ف: ۲-۱۲۷]</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دانشگاه؛ شماره نسخه:۴۱۱۷/۵</w:t>
      </w:r>
    </w:p>
    <w:p>
      <w:pPr>
        <w:pStyle w:val="BookText"/>
      </w:pPr>
      <w:r>
        <w:rPr>
          <w:rFonts w:ascii="IRNazanin" w:hAnsi="IRNazanin" w:eastAsia="IRNazanin" w:cs="IRNazanin"/>
          <w:lang w:bidi="fa-IR"/>
          <w:color w:val="111111"/>
          <w:sz w:val="28"/>
          <w:szCs w:val="28"/>
          <w:rtl/>
        </w:rPr>
        <w:t xml:space="preserve">این نسخه از آغاز نیست و چسبيده بمطلب دیگر و تنها نام کتاب و مترجم بدین گونه دیده می شود: «چنین گوید مؤلف این کتاب شهریار بن شهریار فارسی ... این جمله را تجارب شهریاری نام نهادم» عنوان های باب ۱-۱۹ در آن دیده می شود و در ۱۰۱ر باز می رسد به مطلب کیمیایی عربی و پایان رساله درست معلوم نیست؛ بی کا، بی تا، کاغذ: سپاهانی، جلد: تیماج مشکی عطف قهوه ای، ۲۳گ (۷۹ر -۱۰۱ر)، ۱۹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۱۳-۳۰۹۶]</w:t>
      </w:r>
    </w:p>
    <w:p>
      <w:pPr>
        <w:pStyle w:val="BookText"/>
      </w:pPr>
      <w:r>
        <w:rPr>
          <w:rFonts w:ascii="IRNazanin" w:hAnsi="IRNazanin" w:eastAsia="IRNazanin" w:cs="IRNazanin"/>
          <w:lang w:bidi="fa-IR"/>
          <w:color w:val="111111"/>
          <w:sz w:val="28"/>
          <w:szCs w:val="28"/>
          <w:rtl/>
        </w:rPr>
        <w:t xml:space="preserve">۱۰. تهران، دانشگاه، شماره نسخه: ۱/ ۶۱۳۰-عکس</w:t>
      </w:r>
    </w:p>
    <w:p>
      <w:pPr>
        <w:pStyle w:val="BookText"/>
      </w:pPr>
      <w:r>
        <w:rPr>
          <w:rFonts w:ascii="IRNazanin" w:hAnsi="IRNazanin" w:eastAsia="IRNazanin" w:cs="IRNazanin"/>
          <w:lang w:bidi="fa-IR"/>
          <w:color w:val="111111"/>
          <w:sz w:val="28"/>
          <w:szCs w:val="28"/>
          <w:rtl/>
        </w:rPr>
        <w:t xml:space="preserve">نسخه اصل:علی امیری ۹۵۱؛ خط: نسخ، بی کا، بی تا[فیلمها ف: ۳-۲۴۰]</w:t>
      </w:r>
    </w:p>
    <w:p>
      <w:pPr>
        <w:pStyle w:val="BookText"/>
      </w:pPr>
      <w:r>
        <w:rPr>
          <w:rFonts w:ascii="IRNazanin" w:hAnsi="IRNazanin" w:eastAsia="IRNazanin" w:cs="IRNazanin"/>
          <w:lang w:bidi="fa-IR"/>
          <w:color w:val="111111"/>
          <w:sz w:val="28"/>
          <w:szCs w:val="28"/>
          <w:rtl/>
        </w:rPr>
        <w:t xml:space="preserve">تهران؛ مطالعات فرهنگی؛ شماره نسخه:ف ۱۰/۱ همان نسخه بالا [ف: ۱۸۱]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مشهد؛ رضوی؛ شماره نسخه:ض۱۰۸۲۸</w:t>
      </w:r>
    </w:p>
    <w:p>
      <w:pPr>
        <w:pStyle w:val="BookText"/>
      </w:pPr>
      <w:r>
        <w:rPr>
          <w:rFonts w:ascii="IRNazanin" w:hAnsi="IRNazanin" w:eastAsia="IRNazanin" w:cs="IRNazanin"/>
          <w:lang w:bidi="fa-IR"/>
          <w:color w:val="111111"/>
          <w:sz w:val="28"/>
          <w:szCs w:val="28"/>
          <w:rtl/>
        </w:rPr>
        <w:t xml:space="preserve">خط: نستعلیق، بی کا، بی تا [الفبائی:-۱۰۴]</w:t>
      </w:r>
    </w:p>
    <w:p>
      <w:pPr>
        <w:pStyle w:val="BookText"/>
      </w:pPr>
      <w:r>
        <w:rPr>
          <w:rFonts w:ascii="IRNazanin" w:hAnsi="IRNazanin" w:eastAsia="IRNazanin" w:cs="IRNazanin"/>
          <w:lang w:bidi="fa-IR"/>
          <w:color w:val="111111"/>
          <w:sz w:val="28"/>
          <w:szCs w:val="28"/>
          <w:rtl/>
        </w:rPr>
        <w:t xml:space="preserve">۱۲. تهران؛ مجلس؛ شماره نسخه: ۱۲۶۰۷/۱</w:t>
      </w:r>
    </w:p>
    <w:p>
      <w:pPr>
        <w:pStyle w:val="BookText"/>
      </w:pPr>
      <w:r>
        <w:rPr>
          <w:rFonts w:ascii="IRNazanin" w:hAnsi="IRNazanin" w:eastAsia="IRNazanin" w:cs="IRNazanin"/>
          <w:lang w:bidi="fa-IR"/>
          <w:color w:val="111111"/>
          <w:sz w:val="28"/>
          <w:szCs w:val="28"/>
          <w:rtl/>
        </w:rPr>
        <w:t xml:space="preserve">آغاز: بسمله الكيمياء، در کتاب کشف الرموز بعضی از آن گفته اند و عاقبت پوشیده نگذاشته اند و همچنین چند چیزی را که اصول یکی بدان متعلق است؛ انجام: شمس پسر در طبیعت، قمر دختر، مریخ پسر، مشتری پسر، عطارد دختر، زهره دختر، شمس پسر، زحل پسر خط: نستعلیق، كا: مشهدی علی ترک تبریزی، بی تا، افتادگی: آغاز؛ جلد: گالینگور مشکی، ۸۸ص (۱-۸۸) [ف: ۳۶-۱۶۳]</w:t>
      </w:r>
    </w:p>
    <w:p>
      <w:pPr>
        <w:pStyle w:val="Heading3"/>
      </w:pPr>
      <w:bookmarkStart w:id="3064" w:name="_Toc2324"/>
      <w:r>
        <w:t>•التجارب (فصل في) / طب / فارسی</w:t>
      </w:r>
      <w:bookmarkEnd w:id="3064"/>
    </w:p>
    <w:p>
      <w:pPr>
        <w:pStyle w:val="BookText"/>
      </w:pPr>
      <w:r>
        <w:rPr>
          <w:rFonts w:ascii="Times New Roman" w:hAnsi="Times New Roman" w:eastAsia="Times New Roman" w:cs="Times New Roman"/>
          <w:lang w:val="en-US" w:bidi="en-US"/>
          <w:color w:val="111111"/>
          <w:sz w:val="28"/>
          <w:szCs w:val="28"/>
          <w:rtl/>
        </w:rPr>
        <w:t xml:space="preserve">at-tajarub (fasl-un fi)
</w:t>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bookmarkStart w:id="713" w:name="pg20363_210067"/>
    <w:bookmarkEnd w:id="713"/>
    <w:p>
      <w:pPr>
        <w:pStyle w:val="BookText"/>
      </w:pPr>
      <w:r>
        <w:rPr>
          <w:rFonts w:ascii="IRNazanin" w:hAnsi="IRNazanin" w:eastAsia="IRNazanin" w:cs="IRNazanin"/>
          <w:lang w:bidi="fa-IR"/>
          <w:color w:val="111111"/>
          <w:sz w:val="28"/>
          <w:szCs w:val="28"/>
          <w:rtl/>
        </w:rPr>
        <w:t xml:space="preserve">تهران؛ دانشگاه؛ شماره نسخه:۱۳۲۷/۵ -ف</w:t>
      </w:r>
    </w:p>
    <w:p>
      <w:pPr>
        <w:pStyle w:val="BookText"/>
      </w:pPr>
      <w:r>
        <w:rPr>
          <w:rFonts w:ascii="IRNazanin" w:hAnsi="IRNazanin" w:eastAsia="IRNazanin" w:cs="IRNazanin"/>
          <w:lang w:bidi="fa-IR"/>
          <w:color w:val="111111"/>
          <w:sz w:val="28"/>
          <w:szCs w:val="28"/>
          <w:rtl/>
        </w:rPr>
        <w:t xml:space="preserve">نسخه اصل: پاریس 343 . </w:t>
      </w:r>
      <w:r>
        <w:rPr>
          <w:rFonts w:ascii="Times New Roman" w:hAnsi="Times New Roman" w:eastAsia="Times New Roman" w:cs="Times New Roman"/>
          <w:lang w:val="en-US" w:bidi="en-US"/>
          <w:color w:val="111111"/>
          <w:sz w:val="28"/>
          <w:szCs w:val="28"/>
          <w:rtl/>
        </w:rPr>
        <w:t xml:space="preserve">S. P. </w:t>
      </w:r>
      <w:r>
        <w:rPr>
          <w:rFonts w:ascii="IRNazanin" w:hAnsi="IRNazanin" w:eastAsia="IRNazanin" w:cs="IRNazanin"/>
          <w:lang w:bidi="fa-IR"/>
          <w:color w:val="111111"/>
          <w:sz w:val="28"/>
          <w:szCs w:val="28"/>
          <w:rtl/>
        </w:rPr>
        <w:t xml:space="preserve">به گفته بلوشه دنباله فوائد الأشياء باید باشد و پس از این فصل ۷ باب ۱ و سپس نه باب است نه هفت باب که در دیباچه گفته شده؛ كا: ابوالحسن بن محمد قلی جربادقانی، تا: رمضان ۱۰۳۳ق؛ اگ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[فیلمها ف: ۱-۵۹۵]</w:t>
      </w:r>
    </w:p>
    <w:p>
      <w:pPr>
        <w:pStyle w:val="BookText"/>
      </w:pPr>
      <w:r>
        <w:rPr>
          <w:rFonts w:ascii="Amiri" w:hAnsi="Amiri" w:eastAsia="Amiri" w:cs="Amiri"/>
          <w:lang w:bidi="ar-SA"/>
          <w:color w:val="111111"/>
          <w:sz w:val="28"/>
          <w:szCs w:val="28"/>
          <w:rtl/>
        </w:rPr>
        <w:t xml:space="preserve">← التجارة ← آداب التجارة</w:t>
      </w:r>
    </w:p>
    <w:p>
      <w:pPr>
        <w:pStyle w:val="BookText"/>
      </w:pPr>
      <w:r>
        <w:rPr>
          <w:rFonts w:ascii="IRNazanin" w:hAnsi="IRNazanin" w:eastAsia="IRNazanin" w:cs="IRNazanin"/>
          <w:lang w:bidi="fa-IR"/>
          <w:color w:val="111111"/>
          <w:sz w:val="28"/>
          <w:szCs w:val="28"/>
          <w:rtl/>
        </w:rPr>
        <w:t xml:space="preserve">←تجارت ← المتاجر</w:t>
      </w:r>
    </w:p>
    <w:p>
      <w:pPr>
        <w:pStyle w:val="BookText"/>
      </w:pPr>
      <w:r>
        <w:rPr>
          <w:rFonts w:ascii="IRNazanin" w:hAnsi="IRNazanin" w:eastAsia="IRNazanin" w:cs="IRNazanin"/>
          <w:lang w:bidi="fa-IR"/>
          <w:color w:val="111111"/>
          <w:sz w:val="28"/>
          <w:szCs w:val="28"/>
          <w:rtl/>
        </w:rPr>
        <w:t xml:space="preserve">←تجارت ← آداب کسب</w:t>
      </w:r>
    </w:p>
    <w:p>
      <w:pPr>
        <w:pStyle w:val="BookText"/>
      </w:pPr>
      <w:r>
        <w:rPr>
          <w:rFonts w:ascii="IRNazanin" w:hAnsi="IRNazanin" w:eastAsia="IRNazanin" w:cs="IRNazanin"/>
          <w:lang w:bidi="fa-IR"/>
          <w:color w:val="111111"/>
          <w:sz w:val="28"/>
          <w:szCs w:val="28"/>
          <w:rtl/>
        </w:rPr>
        <w:t xml:space="preserve">← تجارت← احکام تجارت</w:t>
      </w:r>
    </w:p>
    <w:p>
      <w:pPr>
        <w:pStyle w:val="Heading3"/>
      </w:pPr>
      <w:bookmarkStart w:id="3065" w:name="_Toc2325"/>
      <w:r>
        <w:t>•التجارة / فقه / عربی</w:t>
      </w:r>
      <w:bookmarkEnd w:id="3065"/>
    </w:p>
    <w:p>
      <w:pPr>
        <w:pStyle w:val="BookText"/>
      </w:pPr>
      <w:r>
        <w:rPr>
          <w:rFonts w:ascii="Times New Roman" w:hAnsi="Times New Roman" w:eastAsia="Times New Roman" w:cs="Times New Roman"/>
          <w:lang w:val="en-US" w:bidi="en-US"/>
          <w:color w:val="111111"/>
          <w:sz w:val="28"/>
          <w:szCs w:val="28"/>
          <w:rtl/>
        </w:rPr>
        <w:t xml:space="preserve">at-tijāra</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IRNazanin" w:hAnsi="IRNazanin" w:eastAsia="IRNazanin" w:cs="IRNazanin"/>
          <w:lang w:bidi="fa-IR"/>
          <w:color w:val="111111"/>
          <w:sz w:val="28"/>
          <w:szCs w:val="28"/>
          <w:rtl/>
        </w:rPr>
        <w:t xml:space="preserve">۱. قم؛ مرعشی؛ شماره نسخه:۱۴۲۹۷/۳</w:t>
      </w:r>
    </w:p>
    <w:p>
      <w:pPr>
        <w:pStyle w:val="BookText"/>
      </w:pPr>
      <w:r>
        <w:rPr>
          <w:rFonts w:ascii="IRNazanin" w:hAnsi="IRNazanin" w:eastAsia="IRNazanin" w:cs="IRNazanin"/>
          <w:lang w:bidi="fa-IR"/>
          <w:color w:val="111111"/>
          <w:sz w:val="28"/>
          <w:szCs w:val="28"/>
          <w:rtl/>
        </w:rPr>
        <w:t xml:space="preserve">آغاز: الحكدلله رب العالمين ... المقصد الثاني من مقاصد کتابی هذا في المعاملات وهي على نوعين عقود و إيقاعات و العقود كثيرة و لكن منها كتاب البيع؛ انجام: و بذلک يجاب عن الأخبار المذكورة المحمولة على صور الإشتراط كما دل عليه خبر محمد بن شریح اثر محققانه ای است در باب تجارت، در خصوص مکاسب محرمه و ولایات، به طریقه استدلالی، با روش بسیار دقیق که با کتاب مکاسب شیخ اجل «انصاری» قابل مقایسه بوده، بلکه دقائق و الطائف تازه ای نیز، در بر دارد. متأسفانه، مؤلف بزرگوار که از شاگردان برجسته «صاحب جواهر» بوده و نام خود را یاد نگرده است؛ خط: نستعلیق، کاتب = مؤلف، تا: قرن</w:t>
      </w:r>
    </w:p>
    <w:p>
      <w:pPr>
        <w:pStyle w:val="BookText"/>
      </w:pPr>
      <w:r>
        <w:rPr>
          <w:rFonts w:ascii="IRNazanin" w:hAnsi="IRNazanin" w:eastAsia="IRNazanin" w:cs="IRNazanin"/>
          <w:lang w:bidi="fa-IR"/>
          <w:color w:val="111111"/>
          <w:sz w:val="28"/>
          <w:szCs w:val="28"/>
          <w:rtl/>
        </w:rPr>
        <w:t xml:space="preserve">۱۳؛ دارای قلم خوردگی و بازنگری و بازنگاری؛ کاغذ: فرنگی، ۱۷۵گ ( ۲۰۲-۲۸ )، ۴۴ سطر، اندازه: 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۳۶-۱۲۶]</w:t>
      </w:r>
    </w:p>
    <w:p>
      <w:pPr>
        <w:pStyle w:val="BookText"/>
      </w:pPr>
      <w:r>
        <w:rPr>
          <w:rFonts w:ascii="IRNazanin" w:hAnsi="IRNazanin" w:eastAsia="IRNazanin" w:cs="IRNazanin"/>
          <w:lang w:bidi="fa-IR"/>
          <w:color w:val="111111"/>
          <w:sz w:val="28"/>
          <w:szCs w:val="28"/>
          <w:rtl/>
        </w:rPr>
        <w:t xml:space="preserve">۲. مشهد؛ رضوی؛ شماره نسخه:ض۱۳۳۷۷</w:t>
      </w:r>
    </w:p>
    <w:p>
      <w:pPr>
        <w:pStyle w:val="BookText"/>
      </w:pPr>
      <w:r>
        <w:rPr>
          <w:rFonts w:ascii="IRNazanin" w:hAnsi="IRNazanin" w:eastAsia="IRNazanin" w:cs="IRNazanin"/>
          <w:lang w:bidi="fa-IR"/>
          <w:color w:val="111111"/>
          <w:sz w:val="28"/>
          <w:szCs w:val="28"/>
          <w:rtl/>
        </w:rPr>
        <w:t xml:space="preserve">آغاز: مما بني عليه كتاب التجارة في الخيار الذي هو بمعنى الخيرة ای المشية في ترجیح احد الطرفين؛ انجام: و في المكيل و الموزون کیلها او وزنها الى غير ذلك من الأقوال المتفقة على انه</w:t>
      </w:r>
    </w:p>
    <w:p>
      <w:pPr>
        <w:pStyle w:val="BookText"/>
      </w:pPr>
      <w:r>
        <w:rPr>
          <w:rFonts w:ascii="IRNazanin" w:hAnsi="IRNazanin" w:eastAsia="IRNazanin" w:cs="IRNazanin"/>
          <w:lang w:bidi="fa-IR"/>
          <w:color w:val="111111"/>
          <w:sz w:val="28"/>
          <w:szCs w:val="28"/>
          <w:rtl/>
        </w:rPr>
        <w:t xml:space="preserve">حاشیه ای است استدلالی و تحقیقی بر متن یکی از کتب فقهی، حاوی مباحث خیارات است؛ خط: نستعلیق، بی کا، تا: قرن ۱۳؛ واقف: اسدالله فاضلی، تیر ۱۳۶۲؛ کاغذ: شکری آهار مهره، جلد: مقوا رویه گالینگور، عطف تیماج قهوه ای، ۳۰گ، ۲۳ سطر، اندازه: ۱۵/۵</w:t>
      </w:r>
    </w:p>
    <w:p>
      <w:pPr>
        <w:pStyle w:val="BookText"/>
      </w:pP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آف: ۲۱/۱-۲۰۸]</w:t>
      </w:r>
    </w:p>
    <w:p>
      <w:pPr>
        <w:pStyle w:val="BookText"/>
      </w:pPr>
      <w:r>
        <w:rPr>
          <w:rFonts w:ascii="IRNazanin" w:hAnsi="IRNazanin" w:eastAsia="IRNazanin" w:cs="IRNazanin"/>
          <w:lang w:bidi="fa-IR"/>
          <w:color w:val="111111"/>
          <w:sz w:val="28"/>
          <w:szCs w:val="28"/>
          <w:rtl/>
        </w:rPr>
        <w:t xml:space="preserve">٣. مشهد؛ رضوی؛ شماره نسخه:۱۵۳۶۳</w:t>
      </w:r>
    </w:p>
    <w:p>
      <w:pPr>
        <w:pStyle w:val="BookText"/>
      </w:pPr>
      <w:r>
        <w:rPr>
          <w:rFonts w:ascii="IRNazanin" w:hAnsi="IRNazanin" w:eastAsia="IRNazanin" w:cs="IRNazanin"/>
          <w:lang w:bidi="fa-IR"/>
          <w:color w:val="111111"/>
          <w:sz w:val="28"/>
          <w:szCs w:val="28"/>
          <w:rtl/>
        </w:rPr>
        <w:t xml:space="preserve">آغاز: بسمله. الحمدلله رب العالمين ... كتاب التجارة و فيه فصول الأول في وجوه الاكتساب؛ انجام: لايريد شرائها لسبقه غيره فیزید زيادة و الناجش و التدابر قال في الفصل (ناقص). مختصری است استدلالی با عناوین «مسأله» در بیان برخی از مکاسب محرمه و نجاسات. مؤلف در هر مسأله به اقوال فقهای بزرگ و بعضا به روایات استدلال می نماید: الفصل الأول: في وجوه الاكتساب، الفصل الثاني: في الاحتكار. بقیه فصول ساقط است؛ خط: نسخ، بی کا، تا: قرن ۱۳؛ افتادگی: انجام؛ واقف: على اصغر احمدئی، آبان ۱۳۶۵، کاغذ: حنایی، جلد: مقوا عطف تیماج، ۱۶گ، ۲۰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۲۰-۶۶]</w:t>
      </w:r>
    </w:p>
    <w:p>
      <w:pPr>
        <w:pStyle w:val="BookText"/>
      </w:pPr>
      <w:r>
        <w:rPr>
          <w:rFonts w:ascii="IRNazanin" w:hAnsi="IRNazanin" w:eastAsia="IRNazanin" w:cs="IRNazanin"/>
          <w:lang w:bidi="fa-IR"/>
          <w:color w:val="111111"/>
          <w:sz w:val="28"/>
          <w:szCs w:val="28"/>
          <w:rtl/>
        </w:rPr>
        <w:t xml:space="preserve">۴. تهران؛ ملی؛ شماره نسخه:۱۹۱۷۵</w:t>
      </w:r>
    </w:p>
    <w:p>
      <w:pPr>
        <w:pStyle w:val="BookText"/>
      </w:pPr>
      <w:r>
        <w:rPr>
          <w:rFonts w:ascii="IRNazanin" w:hAnsi="IRNazanin" w:eastAsia="IRNazanin" w:cs="IRNazanin"/>
          <w:lang w:bidi="fa-IR"/>
          <w:color w:val="111111"/>
          <w:sz w:val="28"/>
          <w:szCs w:val="28"/>
          <w:rtl/>
        </w:rPr>
        <w:t xml:space="preserve">فصل دهم؛ بی کا، بی تا؛ انتقالی از کتابخانه پهلوی، مجموعه نوازی [رایانه]</w:t>
      </w:r>
    </w:p>
    <w:p>
      <w:pPr>
        <w:pStyle w:val="Heading3"/>
      </w:pPr>
      <w:bookmarkStart w:id="3066" w:name="_Toc2326"/>
      <w:r>
        <w:t>•تجارت / فقه / فارسی</w:t>
      </w:r>
      <w:bookmarkEnd w:id="3066"/>
    </w:p>
    <w:p>
      <w:pPr>
        <w:pStyle w:val="BookText"/>
      </w:pPr>
      <w:r>
        <w:rPr>
          <w:rFonts w:ascii="Times New Roman" w:hAnsi="Times New Roman" w:eastAsia="Times New Roman" w:cs="Times New Roman"/>
          <w:lang w:val="en-US" w:bidi="en-US"/>
          <w:color w:val="111111"/>
          <w:sz w:val="28"/>
          <w:szCs w:val="28"/>
          <w:rtl/>
        </w:rPr>
        <w:t xml:space="preserve">tejārat</w:t>
      </w:r>
    </w:p>
    <w:p>
      <w:pPr>
        <w:pStyle w:val="BookText"/>
      </w:pPr>
      <w:r>
        <w:rPr>
          <w:rFonts w:ascii="IRNazanin" w:hAnsi="IRNazanin" w:eastAsia="IRNazanin" w:cs="IRNazanin"/>
          <w:lang w:bidi="fa-IR"/>
          <w:color w:val="111111"/>
          <w:sz w:val="28"/>
          <w:szCs w:val="28"/>
          <w:rtl/>
        </w:rPr>
        <w:t xml:space="preserve">غیر همانند: ۱. تهران؛ فیاض: شماره نسخه: ۱۱۰</w:t>
      </w:r>
    </w:p>
    <w:p>
      <w:pPr>
        <w:pStyle w:val="BookText"/>
      </w:pPr>
      <w:r>
        <w:rPr>
          <w:rFonts w:ascii="IRNazanin" w:hAnsi="IRNazanin" w:eastAsia="IRNazanin" w:cs="IRNazanin"/>
          <w:lang w:bidi="fa-IR"/>
          <w:color w:val="111111"/>
          <w:sz w:val="28"/>
          <w:szCs w:val="28"/>
          <w:rtl/>
        </w:rPr>
        <w:t xml:space="preserve">بخشی از فقه؛ خط: نستعلیق، بی کا، تا: قرن ۱۳ [نشریه: ۷-۶۹۵]</w:t>
      </w:r>
    </w:p>
    <w:p>
      <w:pPr>
        <w:pStyle w:val="BookText"/>
      </w:pPr>
      <w:r>
        <w:rPr>
          <w:rFonts w:ascii="IRNazanin" w:hAnsi="IRNazanin" w:eastAsia="IRNazanin" w:cs="IRNazanin"/>
          <w:lang w:bidi="fa-IR"/>
          <w:color w:val="111111"/>
          <w:sz w:val="28"/>
          <w:szCs w:val="28"/>
          <w:rtl/>
        </w:rPr>
        <w:t xml:space="preserve">۲. تهران؛ ادبیات، شماره نسخه:۳۱۲</w:t>
      </w:r>
    </w:p>
    <w:p>
      <w:pPr>
        <w:pStyle w:val="BookText"/>
      </w:pPr>
      <w:r>
        <w:rPr>
          <w:rFonts w:ascii="IRNazanin" w:hAnsi="IRNazanin" w:eastAsia="IRNazanin" w:cs="IRNazanin"/>
          <w:lang w:bidi="fa-IR"/>
          <w:color w:val="111111"/>
          <w:sz w:val="28"/>
          <w:szCs w:val="28"/>
          <w:rtl/>
        </w:rPr>
        <w:t xml:space="preserve">خط: نسخ، بی کا، تا: سه شنبه ۱۷ جمادی الاول ۱۲۲۸ ق [ف: ۳-۱۲]</w:t>
      </w:r>
    </w:p>
    <w:p>
      <w:pPr>
        <w:pStyle w:val="BookText"/>
      </w:pPr>
      <w:r>
        <w:rPr>
          <w:rFonts w:ascii="IRNazanin" w:hAnsi="IRNazanin" w:eastAsia="IRNazanin" w:cs="IRNazanin"/>
          <w:lang w:bidi="fa-IR"/>
          <w:color w:val="111111"/>
          <w:sz w:val="28"/>
          <w:szCs w:val="28"/>
          <w:rtl/>
        </w:rPr>
        <w:t xml:space="preserve">٣. اصفهان؛ مدرسه صدر بازار؛ شماره نسخه:۲۹۹</w:t>
      </w:r>
    </w:p>
    <w:p>
      <w:pPr>
        <w:pStyle w:val="BookText"/>
      </w:pPr>
      <w:r>
        <w:rPr>
          <w:rFonts w:ascii="IRNazanin" w:hAnsi="IRNazanin" w:eastAsia="IRNazanin" w:cs="IRNazanin"/>
          <w:lang w:bidi="fa-IR"/>
          <w:color w:val="111111"/>
          <w:sz w:val="28"/>
          <w:szCs w:val="28"/>
          <w:rtl/>
        </w:rPr>
        <w:t xml:space="preserve">آغاز: حمد و ثنای بی حد و بی حصر آن معبود به حقی را سزاوار است که پروردگار عالمست و صلوات و رحمت بی غایت آن پروردگار بر اشرف و افضل مخلوقات؛ انجام: پس سخن دلال و سمسار معتبر است با قسم او به جهت آنکه ایشان منکرند و همچنین است حکم اگر اختلاف بنمایند در قیمت آن جنس که تلف شده است. رساله ای است فتوایی در احکام کسب و تجارت مشتمل بر هشت فصل و یک خاتمه؛ خط: نسخ، بی کا، تا: قرن ۱۳ یا ۱۴؛ تملکی با مهر «محمد جعفر بن سلطان العلماء» (مربع)؛ ۸۰گ، ۱۹ سطر، اندازه: ۱۵/۵</w:t>
      </w:r>
    </w:p>
    <w:p>
      <w:pPr>
        <w:pStyle w:val="BookText"/>
      </w:pP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۱-۲۱۲]</w:t>
      </w:r>
    </w:p>
    <w:p>
      <w:pPr>
        <w:pStyle w:val="BookText"/>
      </w:pPr>
      <w:r>
        <w:rPr>
          <w:rFonts w:ascii="IRNazanin" w:hAnsi="IRNazanin" w:eastAsia="IRNazanin" w:cs="IRNazanin"/>
          <w:lang w:bidi="fa-IR"/>
          <w:color w:val="111111"/>
          <w:sz w:val="28"/>
          <w:szCs w:val="28"/>
          <w:rtl/>
        </w:rPr>
        <w:t xml:space="preserve">۴. مشهد؛ ادبیات؛ شماره نسخه:۱۵۵ فیاض</w:t>
      </w:r>
    </w:p>
    <w:p>
      <w:pPr>
        <w:pStyle w:val="BookText"/>
      </w:pPr>
      <w:r>
        <w:rPr>
          <w:rFonts w:ascii="IRNazanin" w:hAnsi="IRNazanin" w:eastAsia="IRNazanin" w:cs="IRNazanin"/>
          <w:lang w:bidi="fa-IR"/>
          <w:color w:val="111111"/>
          <w:sz w:val="28"/>
          <w:szCs w:val="28"/>
          <w:rtl/>
        </w:rPr>
        <w:t xml:space="preserve">آغاز: بسمله الحمدلله رب العالمين و الصلوة و السلام على محمد و آله الطاهرین و لعنة الله على اعدائهم اجمعین کتاب مکاسب بدانکه در اینجا بمعنی مطلق کسب است از بيع و شرا و اجاره و استجاره و زراعت و فقه خلاصه ای است متاخر، از یکی از دانایات شامل تجارت، بیع، ذبح و مطاعم حجر و تفلیس، ضمان، غصب و رهن، حواله، صلح، شرکت، عاریه، وکالت، اجاره، مزارعه، مساقات؛ خط: نستعلیق، بی کا، بی تا، افتادگی: انجام؛ ۲۷ سطر (</w:t>
      </w:r>
    </w:p>
    <w:p>
      <w:pPr>
        <w:pStyle w:val="BookText"/>
      </w:pPr>
      <w:r>
        <w:rPr>
          <w:rFonts w:ascii="IRNazanin" w:hAnsi="IRNazanin" w:eastAsia="IRNazanin" w:cs="IRNazanin"/>
          <w:lang w:bidi="fa-IR"/>
          <w:color w:val="111111"/>
          <w:sz w:val="28"/>
          <w:szCs w:val="28"/>
          <w:rtl/>
        </w:rPr>
        <w:t xml:space="preserve">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سم [ف: ۲۱]</w:t>
      </w:r>
    </w:p>
    <w:p>
      <w:pPr>
        <w:pStyle w:val="BookText"/>
      </w:pPr>
      <w:r>
        <w:rPr>
          <w:rFonts w:ascii="IRNazanin" w:hAnsi="IRNazanin" w:eastAsia="IRNazanin" w:cs="IRNazanin"/>
          <w:lang w:bidi="fa-IR"/>
          <w:color w:val="111111"/>
          <w:sz w:val="28"/>
          <w:szCs w:val="28"/>
          <w:rtl/>
        </w:rPr>
        <w:t xml:space="preserve">۵. تهران؛ ملی؛ شماره نسخه: ۲۱۰۳۱</w:t>
      </w:r>
    </w:p>
    <w:p>
      <w:pPr>
        <w:pStyle w:val="BookText"/>
      </w:pPr>
      <w:r>
        <w:rPr>
          <w:rFonts w:ascii="IRNazanin" w:hAnsi="IRNazanin" w:eastAsia="IRNazanin" w:cs="IRNazanin"/>
          <w:lang w:bidi="fa-IR"/>
          <w:color w:val="111111"/>
          <w:sz w:val="28"/>
          <w:szCs w:val="28"/>
          <w:rtl/>
        </w:rPr>
        <w:t xml:space="preserve">بی کا، بی تا، خریداری از محسن هوائی [رایانه]</w:t>
      </w:r>
    </w:p>
    <w:p>
      <w:pPr>
        <w:pStyle w:val="Heading3"/>
      </w:pPr>
      <w:bookmarkStart w:id="3067" w:name="_Toc2327"/>
      <w:r>
        <w:t>•تجارت خانه های داخلی و خارجی بوشهر / اسناد /</w:t>
      </w:r>
      <w:bookmarkEnd w:id="3067"/>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bookmarkStart w:id="714" w:name="pg20363_210068"/>
    <w:bookmarkEnd w:id="714"/>
    <w:p>
      <w:pPr>
        <w:pStyle w:val="BookText"/>
      </w:pPr>
      <w:r>
        <w:rPr>
          <w:rFonts w:ascii="IRNazanin" w:hAnsi="IRNazanin" w:eastAsia="IRNazanin" w:cs="IRNazanin"/>
          <w:lang w:bidi="fa-IR"/>
          <w:color w:val="111111"/>
          <w:sz w:val="28"/>
          <w:szCs w:val="28"/>
          <w:rtl/>
        </w:rPr>
        <w:t xml:space="preserve">فارسی</w:t>
      </w:r>
    </w:p>
    <w:p>
      <w:pPr>
        <w:pStyle w:val="BookText"/>
      </w:pPr>
      <w:r>
        <w:rPr>
          <w:rFonts w:ascii="Times New Roman" w:hAnsi="Times New Roman" w:eastAsia="Times New Roman" w:cs="Times New Roman"/>
          <w:lang w:val="en-US" w:bidi="en-US"/>
          <w:color w:val="111111"/>
          <w:sz w:val="28"/>
          <w:szCs w:val="28"/>
          <w:rtl/>
        </w:rPr>
        <w:t xml:space="preserve">tejārat-xāne-hā-ye dāxelī va xārejī-ye būšehr</w:t>
      </w:r>
    </w:p>
    <w:p>
      <w:pPr>
        <w:pStyle w:val="BookText"/>
      </w:pPr>
      <w:r>
        <w:rPr>
          <w:rFonts w:ascii="IRNazanin" w:hAnsi="IRNazanin" w:eastAsia="IRNazanin" w:cs="IRNazanin"/>
          <w:lang w:bidi="fa-IR"/>
          <w:color w:val="111111"/>
          <w:sz w:val="28"/>
          <w:szCs w:val="28"/>
          <w:rtl/>
        </w:rPr>
        <w:t xml:space="preserve">تهران؛ دانشگاه؛ شماره نسخه:۱۳۹۲/۳</w:t>
      </w:r>
    </w:p>
    <w:p>
      <w:pPr>
        <w:pStyle w:val="BookText"/>
      </w:pPr>
      <w:r>
        <w:rPr>
          <w:rFonts w:ascii="IRNazanin" w:hAnsi="IRNazanin" w:eastAsia="IRNazanin" w:cs="IRNazanin"/>
          <w:lang w:bidi="fa-IR"/>
          <w:color w:val="111111"/>
          <w:sz w:val="28"/>
          <w:szCs w:val="28"/>
          <w:rtl/>
        </w:rPr>
        <w:t xml:space="preserve">خط: نستعلیق، بی کا، تا: قرن ۱۴؛ کاغذ: فرنگی، ۹ص، ۱۰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۱۷-۳۶۱)</w:t>
      </w:r>
    </w:p>
    <w:p>
      <w:pPr>
        <w:pStyle w:val="Heading3"/>
      </w:pPr>
      <w:bookmarkStart w:id="3068" w:name="_Toc2328"/>
      <w:r>
        <w:t>•تجارت سید انبيا (صلی الله علیه وآله وسلم)/ تاریخ معصومین / فارسی</w:t>
      </w:r>
      <w:bookmarkEnd w:id="3068"/>
    </w:p>
    <w:p>
      <w:pPr>
        <w:pStyle w:val="BookText"/>
      </w:pPr>
      <w:r>
        <w:rPr>
          <w:rFonts w:ascii="Times New Roman" w:hAnsi="Times New Roman" w:eastAsia="Times New Roman" w:cs="Times New Roman"/>
          <w:lang w:val="en-US" w:bidi="en-US"/>
          <w:color w:val="111111"/>
          <w:sz w:val="28"/>
          <w:szCs w:val="28"/>
          <w:rtl/>
        </w:rPr>
        <w:t xml:space="preserve">tejārat-e seyyed-e anbīyā</w:t>
      </w:r>
    </w:p>
    <w:p>
      <w:pPr>
        <w:pStyle w:val="BookText"/>
      </w:pPr>
      <w:r>
        <w:rPr>
          <w:rFonts w:ascii="IRNazanin" w:hAnsi="IRNazanin" w:eastAsia="IRNazanin" w:cs="IRNazanin"/>
          <w:lang w:bidi="fa-IR"/>
          <w:color w:val="111111"/>
          <w:sz w:val="28"/>
          <w:szCs w:val="28"/>
          <w:rtl/>
        </w:rPr>
        <w:t xml:space="preserve">قضیه تجارت رفتن حضرت رسول اکرم(صلی الله علیه وآله وسلم)را در نه مجلس به نقل از قطب راوندی، ابن شهر آشوب، بحارالانوار بیان کرده است، مؤلف در پایان به ذکر مصیبت اهل بیت(عليه السلام) پرداخته است.</w:t>
      </w:r>
    </w:p>
    <w:p>
      <w:pPr>
        <w:pStyle w:val="BookText"/>
      </w:pPr>
      <w:r>
        <w:rPr>
          <w:rFonts w:ascii="IRNazanin" w:hAnsi="IRNazanin" w:eastAsia="IRNazanin" w:cs="IRNazanin"/>
          <w:lang w:bidi="fa-IR"/>
          <w:color w:val="111111"/>
          <w:sz w:val="28"/>
          <w:szCs w:val="28"/>
          <w:rtl/>
        </w:rPr>
        <w:t xml:space="preserve">قم؛ مسجد اعظم، شماره نسخه: ۳۷۸۷/۲</w:t>
      </w:r>
    </w:p>
    <w:p>
      <w:pPr>
        <w:pStyle w:val="BookText"/>
      </w:pPr>
      <w:r>
        <w:rPr>
          <w:rFonts w:ascii="IRNazanin" w:hAnsi="IRNazanin" w:eastAsia="IRNazanin" w:cs="IRNazanin"/>
          <w:lang w:bidi="fa-IR"/>
          <w:color w:val="111111"/>
          <w:sz w:val="28"/>
          <w:szCs w:val="28"/>
          <w:rtl/>
        </w:rPr>
        <w:t xml:space="preserve">آغاز: الحمدلله رب العالمين و الصلاة و السلام على خير خلقه محمد و آله اجمعين اما بعد این چند مجلس در بیان تجارت رفتن پیغمبر خدا و عروسی آن حضرت است؛ انجام: یا اباعبدالله آیا چه وارد آمد بر آن مصیبت زدگان در تغسيل و تکفین و تدفین آن صغيره يتيمه الا لعنة الله على القوم الظالمين و سيعلموا الذين ظلموا ای منقلب ينقلبون خط: نسخ، بی کا، بی تا، جلد: مقوا، ۶۴ گ، ۱۷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مخ: ۱-۳۲۲]</w:t>
      </w:r>
    </w:p>
    <w:p>
      <w:pPr>
        <w:pStyle w:val="Heading3"/>
      </w:pPr>
      <w:bookmarkStart w:id="3069" w:name="_Toc2329"/>
      <w:r>
        <w:t>•التجارة و البيع / فقه / عربی</w:t>
      </w:r>
      <w:bookmarkEnd w:id="3069"/>
    </w:p>
    <w:p>
      <w:pPr>
        <w:pStyle w:val="BookText"/>
      </w:pPr>
      <w:r>
        <w:rPr>
          <w:rFonts w:ascii="Times New Roman" w:hAnsi="Times New Roman" w:eastAsia="Times New Roman" w:cs="Times New Roman"/>
          <w:lang w:val="en-US" w:bidi="en-US"/>
          <w:color w:val="111111"/>
          <w:sz w:val="28"/>
          <w:szCs w:val="28"/>
          <w:rtl/>
        </w:rPr>
        <w:t xml:space="preserve">at-tijāra wa-l bay</w:t>
      </w:r>
    </w:p>
    <w:p>
      <w:pPr>
        <w:pStyle w:val="BookText"/>
      </w:pPr>
      <w:r>
        <w:rPr>
          <w:rFonts w:ascii="IRNazanin" w:hAnsi="IRNazanin" w:eastAsia="IRNazanin" w:cs="IRNazanin"/>
          <w:lang w:bidi="fa-IR"/>
          <w:color w:val="111111"/>
          <w:sz w:val="28"/>
          <w:szCs w:val="28"/>
          <w:rtl/>
        </w:rPr>
        <w:t xml:space="preserve">کجوری مازندرانی، مهدی، ۱۲۱۶-۱۲۹۳ قمری</w:t>
      </w:r>
    </w:p>
    <w:p>
      <w:pPr>
        <w:pStyle w:val="BookText"/>
      </w:pPr>
      <w:r>
        <w:rPr>
          <w:rFonts w:ascii="Times New Roman" w:hAnsi="Times New Roman" w:eastAsia="Times New Roman" w:cs="Times New Roman"/>
          <w:lang w:val="en-US" w:bidi="en-US"/>
          <w:color w:val="111111"/>
          <w:sz w:val="28"/>
          <w:szCs w:val="28"/>
          <w:rtl/>
        </w:rPr>
        <w:t xml:space="preserve">kajūrī māzandarānī, mahdī (1802-1876)</w:t>
      </w:r>
    </w:p>
    <w:p>
      <w:pPr>
        <w:pStyle w:val="BookText"/>
      </w:pPr>
      <w:r>
        <w:rPr>
          <w:rFonts w:ascii="IRNazanin" w:hAnsi="IRNazanin" w:eastAsia="IRNazanin" w:cs="IRNazanin"/>
          <w:lang w:bidi="fa-IR"/>
          <w:color w:val="111111"/>
          <w:sz w:val="28"/>
          <w:szCs w:val="28"/>
          <w:rtl/>
        </w:rPr>
        <w:t xml:space="preserve">کتابی است قطور در فقه که اول و آخر آن افتاده است و چون در بالای بعضی صفحات تاریخ های مختلف نوشته شده است. به نظر می رسد که طلبه ای دروس روزانه و یا هفتگی خود را که تاریخ های مختلف از استاد می گرفته (به شکل امالی) در این دفتر ثبت کرده است. چنانکه در صفحه ۲۱ تاریخ ۱۵ ذیقعده ۱۲۸۲ و در صفحه ۳۱۷ تاریخ ۱۶ ذیقعده ۱۲۸۵ و در صفحه ۴۰۳ تاریخ ۱۵ ربیع الاول ۱۲۸۷ قید کرده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شیراز؛ شاهچراغ؛ شماره نسخه: ۳۴۱</w:t>
      </w:r>
    </w:p>
    <w:p>
      <w:pPr>
        <w:pStyle w:val="BookText"/>
      </w:pPr>
      <w:r>
        <w:rPr>
          <w:rFonts w:ascii="IRNazanin" w:hAnsi="IRNazanin" w:eastAsia="IRNazanin" w:cs="IRNazanin"/>
          <w:lang w:bidi="fa-IR"/>
          <w:color w:val="111111"/>
          <w:sz w:val="28"/>
          <w:szCs w:val="28"/>
          <w:rtl/>
        </w:rPr>
        <w:t xml:space="preserve">آغاز: بسمله و به نستعين - کتاب التجاره و المراد بها في المقام هو المعاوضة قصد بها الاكتساب؛ انجام: و ان لم يرد الصلوة فيه لكن اذا لم يعلم من الخارج كون الحب موضوعا لخصوص الشرب كما هو المتداول. خط شکسته نستعلیق، بی کا، بی تا، افتادگی: انجام؛ محشی؛ مطالب کتاب یکنواخت و پشت سر هم، بدون ذکر باب و فصل و غیره نوشته شده است؛ کاغذ: سفید، جلد: مقوا با تیماج سرخ، ۷۷۱ص، ۲۲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w:t>
      </w:r>
    </w:p>
    <w:p>
      <w:pPr>
        <w:pStyle w:val="BookText"/>
      </w:pPr>
      <w:r>
        <w:rPr>
          <w:rFonts w:ascii="IRNazanin" w:hAnsi="IRNazanin" w:eastAsia="IRNazanin" w:cs="IRNazanin"/>
          <w:lang w:bidi="fa-IR"/>
          <w:color w:val="111111"/>
          <w:sz w:val="28"/>
          <w:szCs w:val="28"/>
          <w:rtl/>
        </w:rPr>
        <w:t xml:space="preserve">سم [ف: ۲-۲۵۰]</w:t>
      </w:r>
    </w:p>
    <w:p>
      <w:pPr>
        <w:pStyle w:val="BookText"/>
      </w:pPr>
      <w:r>
        <w:rPr>
          <w:rFonts w:ascii="IRNazanin" w:hAnsi="IRNazanin" w:eastAsia="IRNazanin" w:cs="IRNazanin"/>
          <w:lang w:bidi="fa-IR"/>
          <w:color w:val="111111"/>
          <w:sz w:val="28"/>
          <w:szCs w:val="28"/>
          <w:rtl/>
        </w:rPr>
        <w:t xml:space="preserve">۲. شیراز؛ شاهچراغ؛ شماره نسخه: ۷۹۱</w:t>
      </w:r>
    </w:p>
    <w:p>
      <w:pPr>
        <w:pStyle w:val="BookText"/>
      </w:pPr>
      <w:r>
        <w:rPr>
          <w:rFonts w:ascii="IRNazanin" w:hAnsi="IRNazanin" w:eastAsia="IRNazanin" w:cs="IRNazanin"/>
          <w:lang w:bidi="fa-IR"/>
          <w:color w:val="111111"/>
          <w:sz w:val="28"/>
          <w:szCs w:val="28"/>
          <w:rtl/>
        </w:rPr>
        <w:t xml:space="preserve">آغاز: آنچه موجود است: بسم الله و الصلوة على اشرف مرتبه و عترته الطاهرین، کتاب التجاره، و المراد بها في المقام هو المعاوضة قصد بها الاكتساب اولفوت؛ انجام: و آن اصاب الواقع كما هو واضح انتهى و لعل مرجعه إلى ما ذكرنا فتدبر -ثم أن النفقة في. شامل کتاب تجارت، کتاب بیع، کتاب الغصب و کتاب الاجاره است؛ خط: نستعلیق، بی کا، تا: ۱۲۸۲ و ۱۲۸۵ و ۱۲۸۷ق؛ افتادگی: ۳۶۷گ، ۲۴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۲-۲۵۵]</w:t>
      </w:r>
    </w:p>
    <w:p>
      <w:pPr>
        <w:pStyle w:val="Heading3"/>
      </w:pPr>
      <w:bookmarkStart w:id="3070" w:name="_Toc2330"/>
      <w:r>
        <w:t>•التجارة و الرهن / فقه / عربی</w:t>
      </w:r>
      <w:bookmarkEnd w:id="3070"/>
    </w:p>
    <w:p>
      <w:pPr>
        <w:pStyle w:val="BookText"/>
      </w:pPr>
      <w:r>
        <w:rPr>
          <w:rFonts w:ascii="Times New Roman" w:hAnsi="Times New Roman" w:eastAsia="Times New Roman" w:cs="Times New Roman"/>
          <w:lang w:val="en-US" w:bidi="en-US"/>
          <w:color w:val="111111"/>
          <w:sz w:val="28"/>
          <w:szCs w:val="28"/>
          <w:rtl/>
        </w:rPr>
        <w:t xml:space="preserve">at-tijāra wa-r rahn</w:t>
      </w:r>
    </w:p>
    <w:p>
      <w:pPr>
        <w:pStyle w:val="BookText"/>
      </w:pPr>
      <w:r>
        <w:rPr>
          <w:rFonts w:ascii="IRNazanin" w:hAnsi="IRNazanin" w:eastAsia="IRNazanin" w:cs="IRNazanin"/>
          <w:lang w:bidi="fa-IR"/>
          <w:color w:val="111111"/>
          <w:sz w:val="28"/>
          <w:szCs w:val="28"/>
          <w:rtl/>
        </w:rPr>
        <w:t xml:space="preserve">فقه استدلالی است به صورت شرح مزجی بر متنی در فقه امامیه که در نسخه حاضر کتاب التجارة و الرهن از آن موجود است. از کتب علامه حلی نقل می کند. بر کتاب متن شروح دیگری هم نوشته شده و شارح حاضر از آن شروح نقل می کند در جایی آورده است: «کما فهمه الشارح»</w:t>
      </w:r>
    </w:p>
    <w:p>
      <w:pPr>
        <w:pStyle w:val="BookText"/>
      </w:pPr>
      <w:r>
        <w:rPr>
          <w:rFonts w:ascii="IRNazanin" w:hAnsi="IRNazanin" w:eastAsia="IRNazanin" w:cs="IRNazanin"/>
          <w:lang w:bidi="fa-IR"/>
          <w:color w:val="111111"/>
          <w:sz w:val="28"/>
          <w:szCs w:val="28"/>
          <w:rtl/>
        </w:rPr>
        <w:t xml:space="preserve">قم؛ گلپایگانی؛ شماره نسخه: ۶۷۴۹/۱ - ۳۴/۱۱۹</w:t>
      </w:r>
    </w:p>
    <w:p>
      <w:pPr>
        <w:pStyle w:val="BookText"/>
      </w:pPr>
      <w:r>
        <w:rPr>
          <w:rFonts w:ascii="IRNazanin" w:hAnsi="IRNazanin" w:eastAsia="IRNazanin" w:cs="IRNazanin"/>
          <w:lang w:bidi="fa-IR"/>
          <w:color w:val="111111"/>
          <w:sz w:val="28"/>
          <w:szCs w:val="28"/>
          <w:rtl/>
        </w:rPr>
        <w:t xml:space="preserve">آغاز: من الغرابة ما لايخفى ضرورة عدم المدظلية للمعنى المزبور في جميع مقاصد الكتاب على انه هو ايضا في باب الزكوة بعد أن ذکر تعريف المصنف لمال التجارة قال ان تعريفه بذلك ... كما فهمه الشارح؛ انجام: لو اختلفا في التفريط وعدمه كان القول قول الدلال مع يمينه كما في كل امین ... وصاحب المتاع بیمینه وله أن يأخذ المتاع ان وجده ... القواعد و كذا الوسيلة فلا خط و تأمل والله العالم بحقيقة الحال في جميع السمائل قد تم. خط: نسخ، بی کا، تا: ۱۲۰۶ق؛ مصحح؛ جلد: تیماج قهوه ای مجدول، ۲۰۸گ، ۲۳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۲-۷۱۸ ]</w:t>
      </w:r>
    </w:p>
    <w:p>
      <w:pPr>
        <w:pStyle w:val="Heading3"/>
      </w:pPr>
      <w:bookmarkStart w:id="3071" w:name="_Toc2331"/>
      <w:r>
        <w:t>•تجارت و مکاسب / فقه / فارسی</w:t>
      </w:r>
      <w:bookmarkEnd w:id="3071"/>
    </w:p>
    <w:p>
      <w:pPr>
        <w:pStyle w:val="BookText"/>
      </w:pPr>
      <w:r>
        <w:rPr>
          <w:rFonts w:ascii="Times New Roman" w:hAnsi="Times New Roman" w:eastAsia="Times New Roman" w:cs="Times New Roman"/>
          <w:lang w:val="en-US" w:bidi="en-US"/>
          <w:color w:val="111111"/>
          <w:sz w:val="28"/>
          <w:szCs w:val="28"/>
          <w:rtl/>
        </w:rPr>
        <w:t xml:space="preserve">tejārat va makāseb</w:t>
      </w:r>
    </w:p>
    <w:p>
      <w:pPr>
        <w:pStyle w:val="BookText"/>
      </w:pPr>
      <w:r>
        <w:rPr>
          <w:rFonts w:ascii="IRNazanin" w:hAnsi="IRNazanin" w:eastAsia="IRNazanin" w:cs="IRNazanin"/>
          <w:lang w:bidi="fa-IR"/>
          <w:color w:val="111111"/>
          <w:sz w:val="28"/>
          <w:szCs w:val="28"/>
          <w:rtl/>
        </w:rPr>
        <w:t xml:space="preserve">رساله ای است در تجارت و مکاسب که به درخواست برادران دینی نوشته شده است. حسن بن جعفر طباطبایی در صفحه عنوان نسخه ما نوشته است که این رساله عملی فارسی از نیای بزرگم نگارنده ریاض است و به خط او است.</w:t>
      </w:r>
    </w:p>
    <w:p>
      <w:pPr>
        <w:pStyle w:val="BookText"/>
      </w:pPr>
      <w:r>
        <w:rPr>
          <w:rFonts w:ascii="IRNazanin" w:hAnsi="IRNazanin" w:eastAsia="IRNazanin" w:cs="IRNazanin"/>
          <w:lang w:bidi="fa-IR"/>
          <w:color w:val="111111"/>
          <w:sz w:val="28"/>
          <w:szCs w:val="28"/>
          <w:rtl/>
        </w:rPr>
        <w:t xml:space="preserve">تهران؛ حقوق؛ شماره نسخه:۲۶۳-ج</w:t>
      </w:r>
    </w:p>
    <w:p>
      <w:pPr>
        <w:pStyle w:val="BookText"/>
      </w:pPr>
      <w:r>
        <w:rPr>
          <w:rFonts w:ascii="IRNazanin" w:hAnsi="IRNazanin" w:eastAsia="IRNazanin" w:cs="IRNazanin"/>
          <w:lang w:bidi="fa-IR"/>
          <w:color w:val="111111"/>
          <w:sz w:val="28"/>
          <w:szCs w:val="28"/>
          <w:rtl/>
        </w:rPr>
        <w:t xml:space="preserve">آغاز: بسمله. حمدله ... این رساله ایست در احکام تجارات و مکاسب حسب الالتماس برادران دینی ... تأليف شد تا آغاز احکام اجاره است و بدین جا «اجرت باشد و نه عامل»
</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bookmarkStart w:id="715" w:name="pg20363_210069"/>
    <w:bookmarkEnd w:id="715"/>
    <w:p>
      <w:pPr>
        <w:pStyle w:val="BookText"/>
      </w:pPr>
      <w:r>
        <w:rPr>
          <w:rFonts w:ascii="IRNazanin" w:hAnsi="IRNazanin" w:eastAsia="IRNazanin" w:cs="IRNazanin"/>
          <w:lang w:bidi="fa-IR"/>
          <w:color w:val="111111"/>
          <w:sz w:val="28"/>
          <w:szCs w:val="28"/>
          <w:rtl/>
        </w:rPr>
        <w:t xml:space="preserve">پایان می یابد، ؛ خط: نسخ، بی کا، تا: قرن ۱۳؛ کاغذ: فرنگی، جلد: تیماج پارچه دار، ۷۱گی، ۲۳سطر (۱۶۸۹)، اندازه:۲۱۶۱۵سم [ف: ۳۴]</w:t>
      </w:r>
    </w:p>
    <w:p>
      <w:pPr>
        <w:pStyle w:val="BookText"/>
      </w:pPr>
      <w:r>
        <w:rPr>
          <w:rFonts w:ascii="IRNazanin" w:hAnsi="IRNazanin" w:eastAsia="IRNazanin" w:cs="IRNazanin"/>
          <w:lang w:bidi="fa-IR"/>
          <w:color w:val="111111"/>
          <w:sz w:val="28"/>
          <w:szCs w:val="28"/>
          <w:rtl/>
        </w:rPr>
        <w:t xml:space="preserve">←تجاریه ← احوال تاجران</w:t>
      </w:r>
    </w:p>
    <w:p>
      <w:pPr>
        <w:pStyle w:val="BookText"/>
      </w:pPr>
      <w:r>
        <w:rPr>
          <w:rFonts w:ascii="IRNazanin" w:hAnsi="IRNazanin" w:eastAsia="IRNazanin" w:cs="IRNazanin"/>
          <w:lang w:bidi="fa-IR"/>
          <w:color w:val="111111"/>
          <w:sz w:val="28"/>
          <w:szCs w:val="28"/>
          <w:rtl/>
        </w:rPr>
        <w:t xml:space="preserve">← تجاريه (رساله در ...)← احکام تجارت و مکاسب</w:t>
      </w:r>
    </w:p>
    <w:p>
      <w:pPr>
        <w:pStyle w:val="Heading3"/>
      </w:pPr>
      <w:bookmarkStart w:id="3072" w:name="_Toc2332"/>
      <w:r>
        <w:t>•التجبير في المعجم الكبير / حديث / عربی</w:t>
      </w:r>
      <w:bookmarkEnd w:id="3072"/>
    </w:p>
    <w:p>
      <w:pPr>
        <w:pStyle w:val="BookText"/>
      </w:pPr>
      <w:r>
        <w:rPr>
          <w:rFonts w:ascii="Times New Roman" w:hAnsi="Times New Roman" w:eastAsia="Times New Roman" w:cs="Times New Roman"/>
          <w:lang w:val="en-US" w:bidi="en-US"/>
          <w:color w:val="111111"/>
          <w:sz w:val="28"/>
          <w:szCs w:val="28"/>
          <w:rtl/>
        </w:rPr>
        <w:t xml:space="preserve">at-tajbīr fi-l mu'jam-il kabīr</w:t>
      </w:r>
    </w:p>
    <w:p>
      <w:pPr>
        <w:pStyle w:val="BookText"/>
      </w:pPr>
      <w:r>
        <w:rPr>
          <w:rFonts w:ascii="IRNazanin" w:hAnsi="IRNazanin" w:eastAsia="IRNazanin" w:cs="IRNazanin"/>
          <w:lang w:bidi="fa-IR"/>
          <w:color w:val="111111"/>
          <w:sz w:val="28"/>
          <w:szCs w:val="28"/>
          <w:rtl/>
        </w:rPr>
        <w:t xml:space="preserve">سمعانی، عبدالکریم بن محمد، ۵۰۶-۵۶۲ قمری</w:t>
      </w:r>
    </w:p>
    <w:p>
      <w:pPr>
        <w:pStyle w:val="BookText"/>
      </w:pPr>
      <w:r>
        <w:rPr>
          <w:rFonts w:ascii="Times New Roman" w:hAnsi="Times New Roman" w:eastAsia="Times New Roman" w:cs="Times New Roman"/>
          <w:lang w:val="en-US" w:bidi="en-US"/>
          <w:color w:val="111111"/>
          <w:sz w:val="28"/>
          <w:szCs w:val="28"/>
          <w:rtl/>
        </w:rPr>
        <w:t xml:space="preserve">samʻānī, 'abd-ol-karām ebn-e mohammad (1113-1167)</w:t>
      </w:r>
    </w:p>
    <w:p>
      <w:pPr>
        <w:pStyle w:val="BookText"/>
      </w:pPr>
      <w:r>
        <w:rPr>
          <w:rFonts w:ascii="IRNazanin" w:hAnsi="IRNazanin" w:eastAsia="IRNazanin" w:cs="IRNazanin"/>
          <w:lang w:bidi="fa-IR"/>
          <w:color w:val="111111"/>
          <w:sz w:val="28"/>
          <w:szCs w:val="28"/>
          <w:rtl/>
        </w:rPr>
        <w:t xml:space="preserve">وابسته به: المعجم الكبير؛ طبرانی، سلیمان بن احمد (۲۶۰-۳۶۰) چاپ: بغداد، رئاسة ديوان الأوقاف، محقق: منیره ناجی سالم، چاپ اول، دوجزء، ۱۳۹۴ق.</w:t>
      </w:r>
    </w:p>
    <w:p>
      <w:pPr>
        <w:pStyle w:val="BookText"/>
      </w:pPr>
      <w:r>
        <w:rPr>
          <w:rFonts w:ascii="IRNazanin" w:hAnsi="IRNazanin" w:eastAsia="IRNazanin" w:cs="IRNazanin"/>
          <w:lang w:bidi="fa-IR"/>
          <w:color w:val="111111"/>
          <w:sz w:val="28"/>
          <w:szCs w:val="28"/>
          <w:rtl/>
        </w:rPr>
        <w:t xml:space="preserve">تهران؛ مجلس؛ شماره نسخه:۱۱۷۱۳</w:t>
      </w:r>
    </w:p>
    <w:p>
      <w:pPr>
        <w:pStyle w:val="BookText"/>
      </w:pPr>
      <w:r>
        <w:rPr>
          <w:rFonts w:ascii="IRNazanin" w:hAnsi="IRNazanin" w:eastAsia="IRNazanin" w:cs="IRNazanin"/>
          <w:lang w:bidi="fa-IR"/>
          <w:color w:val="111111"/>
          <w:sz w:val="28"/>
          <w:szCs w:val="28"/>
          <w:rtl/>
        </w:rPr>
        <w:t xml:space="preserve">خط: نسخ کهن، كا: احمد بن على الغازی ابیوردی، تا: قرن ۶ مختصر ف: ۱۳۲]</w:t>
      </w:r>
    </w:p>
    <w:p>
      <w:pPr>
        <w:pStyle w:val="BookText"/>
      </w:pPr>
      <w:r>
        <w:rPr>
          <w:rFonts w:ascii="IRNazanin" w:hAnsi="IRNazanin" w:eastAsia="IRNazanin" w:cs="IRNazanin"/>
          <w:lang w:bidi="fa-IR"/>
          <w:color w:val="111111"/>
          <w:sz w:val="28"/>
          <w:szCs w:val="28"/>
          <w:rtl/>
        </w:rPr>
        <w:t xml:space="preserve">← تجدد طبایع ← جواب من سأل عن تجدد الطبايع</w:t>
      </w:r>
    </w:p>
    <w:p>
      <w:pPr>
        <w:pStyle w:val="BookText"/>
      </w:pPr>
      <w:r>
        <w:rPr>
          <w:rFonts w:ascii="Amiri" w:hAnsi="Amiri" w:eastAsia="Amiri" w:cs="Amiri"/>
          <w:lang w:bidi="ar-SA"/>
          <w:color w:val="111111"/>
          <w:sz w:val="28"/>
          <w:szCs w:val="28"/>
          <w:rtl/>
        </w:rPr>
        <w:t xml:space="preserve">← تجديد الإيمان ← الشك في الايمان</w:t>
      </w:r>
    </w:p>
    <w:p>
      <w:pPr>
        <w:pStyle w:val="Heading3"/>
      </w:pPr>
      <w:bookmarkStart w:id="3073" w:name="_Toc2333"/>
      <w:r>
        <w:t>•تجديد الإيمان / کلام و اعتقادات / عربی</w:t>
      </w:r>
      <w:bookmarkEnd w:id="3073"/>
    </w:p>
    <w:p>
      <w:pPr>
        <w:pStyle w:val="BookText"/>
      </w:pPr>
      <w:r>
        <w:rPr>
          <w:rFonts w:ascii="Times New Roman" w:hAnsi="Times New Roman" w:eastAsia="Times New Roman" w:cs="Times New Roman"/>
          <w:lang w:val="en-US" w:bidi="en-US"/>
          <w:color w:val="111111"/>
          <w:sz w:val="28"/>
          <w:szCs w:val="28"/>
          <w:rtl/>
        </w:rPr>
        <w:t xml:space="preserve">tajdīd-ul īmān</w:t>
      </w:r>
    </w:p>
    <w:p>
      <w:pPr>
        <w:pStyle w:val="BookText"/>
      </w:pPr>
      <w:r>
        <w:rPr>
          <w:rFonts w:ascii="IRNazanin" w:hAnsi="IRNazanin" w:eastAsia="IRNazanin" w:cs="IRNazanin"/>
          <w:lang w:bidi="fa-IR"/>
          <w:color w:val="111111"/>
          <w:sz w:val="28"/>
          <w:szCs w:val="28"/>
          <w:rtl/>
        </w:rPr>
        <w:t xml:space="preserve">فقهی عینی، محمد، ق ۱۲ قمری</w:t>
      </w:r>
    </w:p>
    <w:p>
      <w:pPr>
        <w:pStyle w:val="BookText"/>
      </w:pPr>
      <w:r>
        <w:rPr>
          <w:rFonts w:ascii="Times New Roman" w:hAnsi="Times New Roman" w:eastAsia="Times New Roman" w:cs="Times New Roman"/>
          <w:lang w:val="en-US" w:bidi="en-US"/>
          <w:color w:val="111111"/>
          <w:sz w:val="28"/>
          <w:szCs w:val="28"/>
          <w:rtl/>
        </w:rPr>
        <w:t xml:space="preserve">feqhī ‘eynī, mohammad (-18c)</w:t>
      </w:r>
    </w:p>
    <w:p>
      <w:pPr>
        <w:pStyle w:val="BookText"/>
      </w:pPr>
      <w:r>
        <w:rPr>
          <w:rFonts w:ascii="IRNazanin" w:hAnsi="IRNazanin" w:eastAsia="IRNazanin" w:cs="IRNazanin"/>
          <w:lang w:bidi="fa-IR"/>
          <w:color w:val="111111"/>
          <w:sz w:val="28"/>
          <w:szCs w:val="28"/>
          <w:rtl/>
        </w:rPr>
        <w:t xml:space="preserve">رساله ای کوتاه در رد قول کسانی که قائل به تجدید ایمان عموم مسلمانان در مسائلی که بدان عادت دارند، است. در این رساله مؤلف با استفاده از روایات و اقوال بزرگان اثبات می نماید که نیازی به تجدید ایمان نیست، بلکه همان اعمالی که بر اساس عادات انجام می گیرد، کفایت می نماید.[دنا ۷۹۳٫۲ ؛ معجم المؤلفين ۱۳۱/۱۱ ]</w:t>
      </w:r>
    </w:p>
    <w:p>
      <w:pPr>
        <w:pStyle w:val="BookText"/>
      </w:pPr>
      <w:r>
        <w:rPr>
          <w:rFonts w:ascii="IRNazanin" w:hAnsi="IRNazanin" w:eastAsia="IRNazanin" w:cs="IRNazanin"/>
          <w:lang w:bidi="fa-IR"/>
          <w:color w:val="111111"/>
          <w:sz w:val="28"/>
          <w:szCs w:val="28"/>
          <w:rtl/>
        </w:rPr>
        <w:t xml:space="preserve">قم؛ مرعشی؛ شماره نسخه: ۱۲۱۰۳/۱۱</w:t>
      </w:r>
    </w:p>
    <w:p>
      <w:pPr>
        <w:pStyle w:val="BookText"/>
      </w:pPr>
      <w:r>
        <w:rPr>
          <w:rFonts w:ascii="IRNazanin" w:hAnsi="IRNazanin" w:eastAsia="IRNazanin" w:cs="IRNazanin"/>
          <w:lang w:bidi="fa-IR"/>
          <w:color w:val="111111"/>
          <w:sz w:val="28"/>
          <w:szCs w:val="28"/>
          <w:rtl/>
        </w:rPr>
        <w:t xml:space="preserve">آغاز: الحمدلله الذي يعلم حقائق الأمور من غير التباس و يحكم بمقتضى علمه و آن جهل الناس؛ انجام: تركه أبعد عن التهمة فكان ترکه واجبا كما ذكره غير واحد من علمائنا، و الله أعلم. خط: نستعلیق، بی کا، تا: قرن ۱۳؛ محشی؛ کاغذ: فرنگی، جلد: مقوایی با کاغذ ابری، عطف تیماج قهوه ای، ۴گ (۹۵-۹۸)، ۱۵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۳۰-۵۳۸]</w:t>
      </w:r>
    </w:p>
    <w:p>
      <w:pPr>
        <w:pStyle w:val="Heading3"/>
      </w:pPr>
      <w:bookmarkStart w:id="3074" w:name="_Toc2334"/>
      <w:r>
        <w:t>•تجديد الدوارس و تحديد المدارس / فقه / عربی</w:t>
      </w:r>
      <w:bookmarkEnd w:id="3074"/>
    </w:p>
    <w:p>
      <w:pPr>
        <w:pStyle w:val="BookText"/>
      </w:pPr>
      <w:r>
        <w:rPr>
          <w:rFonts w:ascii="Times New Roman" w:hAnsi="Times New Roman" w:eastAsia="Times New Roman" w:cs="Times New Roman"/>
          <w:lang w:val="en-US" w:bidi="en-US"/>
          <w:color w:val="111111"/>
          <w:sz w:val="28"/>
          <w:szCs w:val="28"/>
          <w:rtl/>
        </w:rPr>
        <w:t xml:space="preserve">tajdīd-ud dawāris wa taħdīd-ul madāris</w:t>
      </w:r>
    </w:p>
    <w:p>
      <w:pPr>
        <w:pStyle w:val="BookText"/>
      </w:pPr>
      <w:r>
        <w:rPr>
          <w:rFonts w:ascii="IRNazanin" w:hAnsi="IRNazanin" w:eastAsia="IRNazanin" w:cs="IRNazanin"/>
          <w:lang w:bidi="fa-IR"/>
          <w:color w:val="111111"/>
          <w:sz w:val="28"/>
          <w:szCs w:val="28"/>
          <w:rtl/>
        </w:rPr>
        <w:t xml:space="preserve">معزی دزفولی، محمد علی، ق ۱۴ قمری</w:t>
      </w:r>
    </w:p>
    <w:p>
      <w:pPr>
        <w:pStyle w:val="BookText"/>
      </w:pPr>
      <w:r>
        <w:rPr>
          <w:rFonts w:ascii="Times New Roman" w:hAnsi="Times New Roman" w:eastAsia="Times New Roman" w:cs="Times New Roman"/>
          <w:lang w:val="en-US" w:bidi="en-US"/>
          <w:color w:val="111111"/>
          <w:sz w:val="28"/>
          <w:szCs w:val="28"/>
          <w:rtl/>
        </w:rPr>
        <w:t xml:space="preserve">mořezzī dezfūlī, mohammad ‘alī (-20c)</w:t>
      </w:r>
    </w:p>
    <w:p>
      <w:pPr>
        <w:pStyle w:val="BookText"/>
      </w:pPr>
      <w:r>
        <w:rPr>
          <w:rFonts w:ascii="IRNazanin" w:hAnsi="IRNazanin" w:eastAsia="IRNazanin" w:cs="IRNazanin"/>
          <w:lang w:bidi="fa-IR"/>
          <w:color w:val="111111"/>
          <w:sz w:val="28"/>
          <w:szCs w:val="28"/>
          <w:rtl/>
        </w:rPr>
        <w:t xml:space="preserve">شرح استدلالی و تحقیقی مبسوطی است با عناوین «قال الشيخ ایده الله تعالی» بر رساله فتوایی «کلمة التقوی» تألیف شیخ محمد رضا بن محمد جواد بن محسن دزفولی. مؤلف در این کتاب آرای فقهای پیشین را با استناد به آیات و روایات با شیوه ای جدید و اسلوبی نوین مورد بحث و بررسی قرار داده و آرای متروک آنان را بار دیگر به میدان بحث کشانده و توجه فقها را به آن جلب و برای همیشه در خاطره ها زنده و جاودانه ساخته و این نام را که حاکی از ابتکار عمل اوست برای آن برگزیده است. این تأليف در هفت جلد تنظیم گردیده که مباحث هر یک تحت رقم خود نگاشته شده است. (براتعلی غلامی مقدم)</w:t>
      </w:r>
    </w:p>
    <w:p>
      <w:pPr>
        <w:pStyle w:val="BookText"/>
      </w:pPr>
      <w:r>
        <w:rPr>
          <w:rFonts w:ascii="IRNazanin" w:hAnsi="IRNazanin" w:eastAsia="IRNazanin" w:cs="IRNazanin"/>
          <w:lang w:bidi="fa-IR"/>
          <w:color w:val="111111"/>
          <w:sz w:val="28"/>
          <w:szCs w:val="28"/>
          <w:rtl/>
        </w:rPr>
        <w:t xml:space="preserve">[دنا ۷۹۳/۲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 ۱۱۸۴۲</w:t>
      </w:r>
    </w:p>
    <w:p>
      <w:pPr>
        <w:pStyle w:val="BookText"/>
      </w:pPr>
      <w:r>
        <w:rPr>
          <w:rFonts w:ascii="IRNazanin" w:hAnsi="IRNazanin" w:eastAsia="IRNazanin" w:cs="IRNazanin"/>
          <w:lang w:bidi="fa-IR"/>
          <w:color w:val="111111"/>
          <w:sz w:val="28"/>
          <w:szCs w:val="28"/>
          <w:rtl/>
        </w:rPr>
        <w:t xml:space="preserve">آغاز: بسمله، حمدله قال الشيخ ایده الله تعالی کتاب الطهارة و فيه مقدمة و ثلاثة مقاصد و خاتمة؛ انجام: و اما كراهة الفعل فلا و الله العالم هذا آخر ابواب المياه و الوضوء من كتاب تجديد الدوارس ... قد انتقل من السواد في ليلة الخميس رابع رمضان من سنة سبع و اربعین و ثلثمائة بعد الألف من الهجرة بيد مصنفه الحقير محمد على بن عبد الحسين الدزفولی غفر الله تعالی ذنوبهما آمین. جلد ۱، از «الفصل الأول في المياه» تا انتهای مبحث وضو؛ خط: نستعلیق مخلوط به شکسته، کاتب = مؤلف، تا: پنج شنبه ۴ رمضان ۱۳۴۷ق؛ واقف: شیخ مصطفی معزی، آبان ۱۳۵۹؛ کاغذ: نخودی، جلد:مقوا، ۲۰۲گ، مختلف السطر،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۲۱/۱ -۲۰۹]</w:t>
      </w:r>
    </w:p>
    <w:p>
      <w:pPr>
        <w:pStyle w:val="BookText"/>
      </w:pPr>
      <w:r>
        <w:rPr>
          <w:rFonts w:ascii="IRNazanin" w:hAnsi="IRNazanin" w:eastAsia="IRNazanin" w:cs="IRNazanin"/>
          <w:lang w:bidi="fa-IR"/>
          <w:color w:val="111111"/>
          <w:sz w:val="28"/>
          <w:szCs w:val="28"/>
          <w:rtl/>
        </w:rPr>
        <w:t xml:space="preserve">۲. مشهد؛ رضوی؛ شماره نسخه:۱۱۸۴۳</w:t>
      </w:r>
    </w:p>
    <w:p>
      <w:pPr>
        <w:pStyle w:val="BookText"/>
      </w:pPr>
      <w:r>
        <w:rPr>
          <w:rFonts w:ascii="IRNazanin" w:hAnsi="IRNazanin" w:eastAsia="IRNazanin" w:cs="IRNazanin"/>
          <w:lang w:bidi="fa-IR"/>
          <w:color w:val="111111"/>
          <w:sz w:val="28"/>
          <w:szCs w:val="28"/>
          <w:rtl/>
        </w:rPr>
        <w:t xml:space="preserve">آغاز: بسمله، حمدله قال المقصد الثاني في الغسل و هو واجب و مندوب فالجواب الغسل من الجنابة و دماء النساء، انجام: لأن اضافة الغسل إلى اليوم والليلة يفيد المعنى الأول و الله العالم هذا آخر ابواب الأغسال ... من شهر صفر من شهور سنة خمسین و ثلثمائة بعد الألف من الهجره بید مصنفه ... آمین جلد ۲، از احکام جنابت تا تغسيل اموات؛ خط: نستعلیق، کاتب = مؤلف، تا: صفر ۱۳۵۰ق؛ واقف: شیخ مصطفی معزی، آبان ۱۳۵۹؛ کاغذ: نخودی، جلد: مقوا، ۱۹۲ گ، مختلف السطر، اندازه: ۲۰/۸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۲۱/۱ -۲۱۰]</w:t>
      </w:r>
    </w:p>
    <w:p>
      <w:pPr>
        <w:pStyle w:val="BookText"/>
      </w:pPr>
      <w:r>
        <w:rPr>
          <w:rFonts w:ascii="IRNazanin" w:hAnsi="IRNazanin" w:eastAsia="IRNazanin" w:cs="IRNazanin"/>
          <w:lang w:bidi="fa-IR"/>
          <w:color w:val="111111"/>
          <w:sz w:val="28"/>
          <w:szCs w:val="28"/>
          <w:rtl/>
        </w:rPr>
        <w:t xml:space="preserve">٣. مشهد؛ رضوی؛ شماره نسخه:۱۱۸۴۵</w:t>
      </w:r>
    </w:p>
    <w:p>
      <w:pPr>
        <w:pStyle w:val="BookText"/>
      </w:pPr>
      <w:r>
        <w:rPr>
          <w:rFonts w:ascii="IRNazanin" w:hAnsi="IRNazanin" w:eastAsia="IRNazanin" w:cs="IRNazanin"/>
          <w:lang w:bidi="fa-IR"/>
          <w:color w:val="111111"/>
          <w:sz w:val="28"/>
          <w:szCs w:val="28"/>
          <w:rtl/>
        </w:rPr>
        <w:t xml:space="preserve">آغاز: بسمله، حمدله، قال المقصد الثالث في التيمم و فيه مباحث المبحث الأول و في مسوغاته؛ انجام: المبحث الثالث في اوانی الخمر و المسكرات و قد سبق الكلام عليها مفصلا فلا وجه لاعادته و الله العالم هذا آخر ابواب النجاسات و المطهرات من كتاب تجديد الدوارس .. تم كتاب الطهارة ... يوم السبت ثانی عشر ربيع الثانی سنه ثنتين وخمسين و ثلثمائة بعد الألف بيد مصنفه الحقير ... و آله اجمعين جلد ۳، نسخه حاضر از ابتدای تیمم شروع و به انتهای کتاب
</w:t>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bookmarkStart w:id="716" w:name="pg20363_210070"/>
    <w:bookmarkEnd w:id="716"/>
    <w:p>
      <w:pPr>
        <w:pStyle w:val="BookText"/>
      </w:pPr>
      <w:r>
        <w:rPr>
          <w:rFonts w:ascii="IRNazanin" w:hAnsi="IRNazanin" w:eastAsia="IRNazanin" w:cs="IRNazanin"/>
          <w:lang w:bidi="fa-IR"/>
          <w:color w:val="111111"/>
          <w:sz w:val="28"/>
          <w:szCs w:val="28"/>
          <w:rtl/>
        </w:rPr>
        <w:t xml:space="preserve">طهارت ختم شده است؛ خط: نستعلیق مخلوط به شکسته، کاتب = مؤلف، تا: شنبه ۱۲ ربیع الثانی ۱۳۵۲ق؛ وقفی شیخ مصطفی معزی؛ کاغذ: نخودی، جلد: مقوا، رویه پارچه، ۱۲۰گ، ۲۸-۳۰ سطر، اندازه: ۲۰/۸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۲۱/۱ -۲۱۱]</w:t>
      </w:r>
    </w:p>
    <w:p>
      <w:pPr>
        <w:pStyle w:val="BookText"/>
      </w:pPr>
      <w:r>
        <w:rPr>
          <w:rFonts w:ascii="IRNazanin" w:hAnsi="IRNazanin" w:eastAsia="IRNazanin" w:cs="IRNazanin"/>
          <w:lang w:bidi="fa-IR"/>
          <w:color w:val="111111"/>
          <w:sz w:val="28"/>
          <w:szCs w:val="28"/>
          <w:rtl/>
        </w:rPr>
        <w:t xml:space="preserve">۴. مشهد؛ رضوی؛ شماره نسخه: ۱۱۸۴۹</w:t>
      </w:r>
    </w:p>
    <w:p>
      <w:pPr>
        <w:pStyle w:val="BookText"/>
      </w:pPr>
      <w:r>
        <w:rPr>
          <w:rFonts w:ascii="IRNazanin" w:hAnsi="IRNazanin" w:eastAsia="IRNazanin" w:cs="IRNazanin"/>
          <w:lang w:bidi="fa-IR"/>
          <w:color w:val="111111"/>
          <w:sz w:val="28"/>
          <w:szCs w:val="28"/>
          <w:rtl/>
        </w:rPr>
        <w:t xml:space="preserve">آغاز: بسمله، حمدله قال الشيخ رحمه الله كتاب الزكاة و فيه مقصدان المقصد الأول في زكاة المال و فيه فصول؛ انجام: فقد مر الكلام فيه في زكاة المال فلا وجه لا عادته و الله العالم هذا آخر کتاب الزكاة ... و قد انتقل من السواد بید مصنفه الحقير ... عصر يوم الثلاثاء الرابع و العشرين من ربيع الاول سنة ستين و ثلثمائة بعد الألف و الحمدلله ... و آله الطاهرين جلد ۵، همه مباحث زکات؛ خط: نستعلیق مخلوط به شکسته، کاتب = مؤلف، تا: ۲۴ ربیع الاول ۱۳۶۰ق؛ واقف: شیخ مصطفی معزی، آبان ۱۳۵۹؛ کاغذ: مشقی، جلد: مقوا، ۱۱۵گ،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۲۱/۱ -۲۱۳]</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مشهد؛ رضوی؛ شماره نسخه: ۱۱۸۴۸</w:t>
      </w:r>
    </w:p>
    <w:p>
      <w:pPr>
        <w:pStyle w:val="BookText"/>
      </w:pPr>
      <w:r>
        <w:rPr>
          <w:rFonts w:ascii="IRNazanin" w:hAnsi="IRNazanin" w:eastAsia="IRNazanin" w:cs="IRNazanin"/>
          <w:lang w:bidi="fa-IR"/>
          <w:color w:val="111111"/>
          <w:sz w:val="28"/>
          <w:szCs w:val="28"/>
          <w:rtl/>
        </w:rPr>
        <w:t xml:space="preserve">آغاز: زکات: بسمله، حمد له قال الشيخ رحمه الله كتاب الزكاة و فيه مقصدان المقصد الأول في زكاة المال و فيه فصول. خمس: بسمله، حمد له قال المصنف کتاب الخمس و فيه مباحث. صوم: بسمله، حمداله کتاب الصوم و فيه فصول الأول في النية و فيه مطالب.؛ انجام: زکات: فقد مر الكلام فيه في زكاة المال فلا وجه لاعادته و الله العالم هذا آخر کتاب الزكاة ... و قد انتقل من السواد بید مصنفه الحقير ... عصر يوم الثلاثاء الرابع و العشرين من ربيع الأول سنة ستين و ثلثمائة بعد الألف و الحمدلله ... و آله الطاهرین.</w:t>
      </w:r>
    </w:p>
    <w:p>
      <w:pPr>
        <w:pStyle w:val="BookText"/>
      </w:pPr>
      <w:r>
        <w:rPr>
          <w:rFonts w:ascii="IRNazanin" w:hAnsi="IRNazanin" w:eastAsia="IRNazanin" w:cs="IRNazanin"/>
          <w:lang w:bidi="fa-IR"/>
          <w:color w:val="111111"/>
          <w:sz w:val="28"/>
          <w:szCs w:val="28"/>
          <w:rtl/>
        </w:rPr>
        <w:t xml:space="preserve">خمس: و الانتفاع بما يحصل منها والله العالم تم كتاب الخمس ... سنة ست وثمانين و ثلثمائة ... صوم: و يعرف بذهاب الحمرة المشرقية تم کتاب الصوم ... قال المصنف قد فرغت من تهذيبه و تلخيصه يوم الاحد عاشر جمادى الثانية سنة ست و ثمانين و ثلثمائة و الف ... جلد ۵، مشتمل بر کتب زكات، خمس و صوم؛ خط: نستعلیق، کاتب = مؤلف، تا: ۱۰ شوال ۱۳۶۱ق؛ واقف: شیخ مصطفی معزی، آبان ۱۳۵۹، کاغذ: مشقی، جلد: مقوا، ۱۳۶گ، مختلف</w:t>
      </w:r>
    </w:p>
    <w:p>
      <w:pPr>
        <w:pStyle w:val="BookText"/>
      </w:pPr>
      <w:r>
        <w:rPr>
          <w:rFonts w:ascii="IRNazanin" w:hAnsi="IRNazanin" w:eastAsia="IRNazanin" w:cs="IRNazanin"/>
          <w:lang w:bidi="fa-IR"/>
          <w:color w:val="111111"/>
          <w:sz w:val="28"/>
          <w:szCs w:val="28"/>
          <w:rtl/>
        </w:rPr>
        <w:t xml:space="preserve">السطر،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۲۱/۱-۲۱۴]</w:t>
      </w:r>
    </w:p>
    <w:p>
      <w:pPr>
        <w:pStyle w:val="BookText"/>
      </w:pPr>
      <w:r>
        <w:rPr>
          <w:rFonts w:ascii="IRNazanin" w:hAnsi="IRNazanin" w:eastAsia="IRNazanin" w:cs="IRNazanin"/>
          <w:lang w:bidi="fa-IR"/>
          <w:color w:val="111111"/>
          <w:sz w:val="28"/>
          <w:szCs w:val="28"/>
          <w:rtl/>
        </w:rPr>
        <w:t xml:space="preserve">۶. مشهد؛ رضوی؛ شماره نسخه: ۱۱۸۵۰</w:t>
      </w:r>
    </w:p>
    <w:p>
      <w:pPr>
        <w:pStyle w:val="BookText"/>
      </w:pPr>
      <w:r>
        <w:rPr>
          <w:rFonts w:ascii="IRNazanin" w:hAnsi="IRNazanin" w:eastAsia="IRNazanin" w:cs="IRNazanin"/>
          <w:lang w:bidi="fa-IR"/>
          <w:color w:val="111111"/>
          <w:sz w:val="28"/>
          <w:szCs w:val="28"/>
          <w:rtl/>
        </w:rPr>
        <w:t xml:space="preserve">آغاز: بسمله، حمدله كتاب الخمس و فيه مباحث؛ انجام: و يعرف بذهاب الحمرة المشرقية كما مر الكلام عليه في باب المواقيت من کتاب الصلاة و الله العالم بالاحکام تم کتاب الصوم ... و كان الفراغ منه في عاشر شوال من شهور سنة إحدى وستين و ثلثمائة بعد الألف ... و آله و سلم.</w:t>
      </w:r>
    </w:p>
    <w:p>
      <w:pPr>
        <w:pStyle w:val="BookText"/>
      </w:pPr>
      <w:r>
        <w:rPr>
          <w:rFonts w:ascii="IRNazanin" w:hAnsi="IRNazanin" w:eastAsia="IRNazanin" w:cs="IRNazanin"/>
          <w:lang w:bidi="fa-IR"/>
          <w:color w:val="111111"/>
          <w:sz w:val="28"/>
          <w:szCs w:val="28"/>
          <w:rtl/>
        </w:rPr>
        <w:t xml:space="preserve">جلد ۵، از کتاب الخمس تا انتهای صوم؛ خط: نستعلیق شکسته، کاتب = مؤلف، بی تا: ۱۰ شوال ۱۳۶۱ق؛ واقف: شیخ مصطفی معزی، آبان ۱۳۵۹، کاغذ: مشقی، جلد: مقوا، ۱۴۲گ، مختلف السطر، اندازه: ۲۰/۸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۲۱/۱ -۲۱۵]</w:t>
      </w:r>
    </w:p>
    <w:p>
      <w:pPr>
        <w:pStyle w:val="BookText"/>
      </w:pPr>
      <w:r>
        <w:rPr>
          <w:rFonts w:ascii="IRNazanin" w:hAnsi="IRNazanin" w:eastAsia="IRNazanin" w:cs="IRNazanin"/>
          <w:lang w:bidi="fa-IR"/>
          <w:color w:val="111111"/>
          <w:sz w:val="28"/>
          <w:szCs w:val="28"/>
          <w:rtl/>
        </w:rPr>
        <w:t xml:space="preserve">۷. مشهد؛ رضوی؛ شماره نسخه:۱۱۸۴۶</w:t>
      </w:r>
    </w:p>
    <w:p>
      <w:pPr>
        <w:pStyle w:val="BookText"/>
      </w:pPr>
      <w:r>
        <w:rPr>
          <w:rFonts w:ascii="IRNazanin" w:hAnsi="IRNazanin" w:eastAsia="IRNazanin" w:cs="IRNazanin"/>
          <w:lang w:bidi="fa-IR"/>
          <w:color w:val="111111"/>
          <w:sz w:val="28"/>
          <w:szCs w:val="28"/>
          <w:rtl/>
        </w:rPr>
        <w:t xml:space="preserve">آغاز: بسمله، حمدله، قال قده المقصد السابع في الجماعة و فيه مباحث المبحث الأول الجماعة مستحبة في الفرائض الخمس اليومية؛ انجام: و الحكم بان المسافر يكلف بالتدارک و الحاضر لا يكلف به بعيد عن الاعتبار ... حاضرة كان او مسافرا و الله العالم بالأحكام هذا آخر ابواب صلاة المسافر ... من شهور سنة ثلث و ستين و ثلثمائة بعد الألف ... وصلى الله على محمد و آله و سلم. جلد ۴، از «المقصد السابع في الجماعة» تا انتهای «صلاة المسافر»؛ خط: نستعلیق شکسته، کاتب = مؤلف، تا: ۱۳۶۳ق؛ واقف: شیخ مصطفی معزی، آبان ۱۳۵۹، کاغذ: مشقی، جلد: مقوا، ۹۵گ، مختلف السطر، اندازه: ۲۰/۸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۲۱/۱-۲۱۲]</w:t>
      </w:r>
    </w:p>
    <w:p>
      <w:pPr>
        <w:pStyle w:val="BookText"/>
      </w:pPr>
      <w:r>
        <w:rPr>
          <w:rFonts w:ascii="IRNazanin" w:hAnsi="IRNazanin" w:eastAsia="IRNazanin" w:cs="IRNazanin"/>
          <w:lang w:bidi="fa-IR"/>
          <w:color w:val="111111"/>
          <w:sz w:val="28"/>
          <w:szCs w:val="28"/>
          <w:rtl/>
        </w:rPr>
        <w:t xml:space="preserve">۸. مشهد؛ رضوی؛ شماره نسخه:۱۱۸۴۷</w:t>
      </w:r>
    </w:p>
    <w:p>
      <w:pPr>
        <w:pStyle w:val="BookText"/>
      </w:pPr>
      <w:r>
        <w:rPr>
          <w:rFonts w:ascii="IRNazanin" w:hAnsi="IRNazanin" w:eastAsia="IRNazanin" w:cs="IRNazanin"/>
          <w:lang w:bidi="fa-IR"/>
          <w:color w:val="111111"/>
          <w:sz w:val="28"/>
          <w:szCs w:val="28"/>
          <w:rtl/>
        </w:rPr>
        <w:t xml:space="preserve">آغاز: بسمله، حمدله، قال قده المقصد السابع في الجماعة و فيه مباحث المبحث الأول الجماعة مستحبة في الفرايض الخمس اليومية؛ انجام: على انه دل الخبر على ان هذا التسبيح انما هو لتمام النقص و النقص من لوازم القصر سواء یاتی بها في السفر او الحضر و الله العالم باحكامه هذا آخر ابواب صلاة المسافر من کتاب تجديد الدوراس ... بید مصنفه الحقير محمد علی بن عبد الحسين و كان الفراغ منه يوم الأحد حادی عشر صفر سنة ثلث و ستین و ثلثمائة و الف من الهجرة النبوية ... قال المصنف عفى عنه ثم جددت النظر فيه و اصلحت مواضع الخلل منه بالزيد و الحذف فجاء بحمدالله مهذبة محررة و كان الفراغ منه ليلة الخميس خامس عشر شعبان المعظم سنة خمس و ثمانین و ثلثمائة و الف ... الطاهرين اجمعين جلد ۴، خط: نستعلیق شکسته، كاتب = مؤلف، تا: یک شنبه ۱۱ صفر ۱۳۶۳ق؛ مؤلف در سال ۱۳۸۵ق آن را تصحیح کرده است؛ واقف: شیخ مصطفی معزی، کاغذ: مشقی، جلد: مقوا، ۹۱گ، مختلف السطر، اندازه: ۳/17</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 ۲۰سم [ف: ۲۱/۱-۲۱۳]</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مشهد؛ رضوی؛ شماره نسخه:۱۱۸۴۴</w:t>
      </w:r>
    </w:p>
    <w:p>
      <w:pPr>
        <w:pStyle w:val="BookText"/>
      </w:pPr>
      <w:r>
        <w:rPr>
          <w:rFonts w:ascii="IRNazanin" w:hAnsi="IRNazanin" w:eastAsia="IRNazanin" w:cs="IRNazanin"/>
          <w:lang w:bidi="fa-IR"/>
          <w:color w:val="111111"/>
          <w:sz w:val="28"/>
          <w:szCs w:val="28"/>
          <w:rtl/>
        </w:rPr>
        <w:t xml:space="preserve">آغاز: بسمله. الحمدالله رب العالمين؛ انجام: فان صلی فرادی جاز و مثله في كلام الحلى و اما ترتیب طبقات الاولياء فقد سبق جلد ۳، علاوه بر مباحث نسخه ۱۱۸۴۵ احکام دماء ثلاثه و اموات را نیز شامل است به نظر می رسد این نسخه مسوده نسخه مزبور است. از ابتدای تیمم تا «المبحث الثالث في اواني الخمر و المسكرات» عینا برابر با همان نسخه شماره ۱۱۸۴۵ می باشد؛ خط: نستعلیق شکسته، كاتب = مؤلف، بی تا؛ افتادگی: وسط و انجام؛ واقف: شیخ مصطفی معزی؛ کاغذ: شکری، جلد: مقوا، ۱۱۰گ، مختلف السطر،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 سم [ف: ۲۱/۱-۲۱۱]</w:t>
      </w:r>
    </w:p>
    <w:p>
      <w:pPr>
        <w:pStyle w:val="BookText"/>
      </w:pPr>
      <w:r>
        <w:rPr>
          <w:rFonts w:ascii="Times New Roman" w:hAnsi="Times New Roman" w:eastAsia="Times New Roman" w:cs="Times New Roman"/>
          <w:lang w:val="en-US" w:bidi="en-US"/>
          <w:color w:val="111111"/>
          <w:sz w:val="28"/>
          <w:szCs w:val="28"/>
          <w:rtl/>
        </w:rPr>
        <w:t xml:space="preserve">tajdīd-ul wudū</w:t>
      </w:r>
    </w:p>
    <w:p>
      <w:pPr>
        <w:pStyle w:val="Heading3"/>
      </w:pPr>
      <w:bookmarkStart w:id="3075" w:name="_Toc2335"/>
      <w:r>
        <w:t>•تجديد الوضوء / فقه / عربی</w:t>
      </w:r>
      <w:bookmarkEnd w:id="3075"/>
    </w:p>
    <w:p>
      <w:pPr>
        <w:pStyle w:val="BookText"/>
      </w:pPr>
      <w:r>
        <w:rPr>
          <w:rFonts w:ascii="IRNazanin" w:hAnsi="IRNazanin" w:eastAsia="IRNazanin" w:cs="IRNazanin"/>
          <w:lang w:bidi="fa-IR"/>
          <w:color w:val="111111"/>
          <w:sz w:val="28"/>
          <w:szCs w:val="28"/>
          <w:rtl/>
        </w:rPr>
        <w:t xml:space="preserve">نقوی نصیر آبادی، دلدار علی بن محمد معین، ۱۱۶۶ ۱۲۳۵ قمری
</w:t>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bookmarkStart w:id="717" w:name="pg20363_210071"/>
    <w:bookmarkEnd w:id="717"/>
    <w:p>
      <w:pPr>
        <w:pStyle w:val="BookText"/>
      </w:pPr>
      <w:r>
        <w:rPr>
          <w:rFonts w:ascii="Times New Roman" w:hAnsi="Times New Roman" w:eastAsia="Times New Roman" w:cs="Times New Roman"/>
          <w:lang w:val="en-US" w:bidi="en-US"/>
          <w:color w:val="111111"/>
          <w:sz w:val="28"/>
          <w:szCs w:val="28"/>
          <w:rtl/>
        </w:rPr>
        <w:t xml:space="preserve">naqavī nasīr-ābādī, deldār- alī ebn-e mohammad moʻīn (1753-1820)</w:t>
      </w:r>
    </w:p>
    <w:p>
      <w:pPr>
        <w:pStyle w:val="BookText"/>
      </w:pPr>
      <w:r>
        <w:rPr>
          <w:rFonts w:ascii="IRNazanin" w:hAnsi="IRNazanin" w:eastAsia="IRNazanin" w:cs="IRNazanin"/>
          <w:lang w:bidi="fa-IR"/>
          <w:color w:val="111111"/>
          <w:sz w:val="28"/>
          <w:szCs w:val="28"/>
          <w:rtl/>
        </w:rPr>
        <w:t xml:space="preserve">اگر کسی تجدید وضو کند و پس از وضو معلوم شود که وضوي سابق باطل بوده آیا وضوی مجدد صحیح است یا بنا به شرط نیت رفع حدث و استباحه باطل می باشد. این مسأله و احکام وضو با اشاره به اقوال فقها و رد و ایراد مورد بحث و بررسی قرار گرفته. کاتب نسخه را در اواخر ناتمام گذارده است.</w:t>
      </w:r>
    </w:p>
    <w:p>
      <w:pPr>
        <w:pStyle w:val="BookText"/>
      </w:pPr>
      <w:r>
        <w:rPr>
          <w:rFonts w:ascii="IRNazanin" w:hAnsi="IRNazanin" w:eastAsia="IRNazanin" w:cs="IRNazanin"/>
          <w:lang w:bidi="fa-IR"/>
          <w:color w:val="111111"/>
          <w:sz w:val="28"/>
          <w:szCs w:val="28"/>
          <w:rtl/>
        </w:rPr>
        <w:t xml:space="preserve">مشهد؛ رضوی؛ شماره نسخه:۱۸۷۵۳</w:t>
      </w:r>
    </w:p>
    <w:p>
      <w:pPr>
        <w:pStyle w:val="BookText"/>
      </w:pPr>
      <w:r>
        <w:rPr>
          <w:rFonts w:ascii="Amiri" w:hAnsi="Amiri" w:eastAsia="Amiri" w:cs="Amiri"/>
          <w:lang w:bidi="ar-SA"/>
          <w:color w:val="111111"/>
          <w:sz w:val="28"/>
          <w:szCs w:val="28"/>
          <w:rtl/>
        </w:rPr>
        <w:t xml:space="preserve">آغاز: بسمله. حمدلة الرابع من جدد وضوئه ثم ذكران وضوئه السابق لم يكن صحيحا فوضوئه صحيح على الظاهر و بناء على اشتراط نية رفع الحدث و الاستباحة ليس بصحيح، انجام: و الأحوط أن يمسح من الاصابع الى المفصل بحيث يصير القبة ممسوحة ايضا ضمنا و توضيحه</w:t>
      </w:r>
    </w:p>
    <w:p>
      <w:pPr>
        <w:pStyle w:val="BookText"/>
      </w:pPr>
      <w:r>
        <w:rPr>
          <w:rFonts w:ascii="IRNazanin" w:hAnsi="IRNazanin" w:eastAsia="IRNazanin" w:cs="IRNazanin"/>
          <w:lang w:bidi="fa-IR"/>
          <w:color w:val="111111"/>
          <w:sz w:val="28"/>
          <w:szCs w:val="28"/>
          <w:rtl/>
        </w:rPr>
        <w:t xml:space="preserve">خط: نستعلیق، بی کا، تا: قرن ۱۳ اهدئی: رهبری، در فروردین ۱۳۷۲؛ کاغذ: نخودی، جلد: مقوا، عطف و گوشه میشن قهوه ای، ۶۱گ، ۱۵ سطر، اندازه: ۱۲/۵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 اهدائی رهبر: ۳-۱۱۷]</w:t>
      </w:r>
    </w:p>
    <w:p>
      <w:pPr>
        <w:pStyle w:val="Heading3"/>
      </w:pPr>
      <w:bookmarkStart w:id="3076" w:name="_Toc2336"/>
      <w:r>
        <w:t>•تجربة الاحرار و تسلية الابرار / تاریخ ایران / فارسی</w:t>
      </w:r>
      <w:bookmarkEnd w:id="3076"/>
    </w:p>
    <w:p>
      <w:pPr>
        <w:pStyle w:val="BookText"/>
      </w:pPr>
      <w:r>
        <w:rPr>
          <w:rFonts w:ascii="Times New Roman" w:hAnsi="Times New Roman" w:eastAsia="Times New Roman" w:cs="Times New Roman"/>
          <w:lang w:val="en-US" w:bidi="en-US"/>
          <w:color w:val="111111"/>
          <w:sz w:val="28"/>
          <w:szCs w:val="28"/>
          <w:rtl/>
        </w:rPr>
        <w:t xml:space="preserve">tajrobat-ol ahrār va taslīyat-ol abrār</w:t>
      </w:r>
    </w:p>
    <w:p>
      <w:pPr>
        <w:pStyle w:val="BookText"/>
      </w:pPr>
      <w:r>
        <w:rPr>
          <w:rFonts w:ascii="IRNazanin" w:hAnsi="IRNazanin" w:eastAsia="IRNazanin" w:cs="IRNazanin"/>
          <w:lang w:bidi="fa-IR"/>
          <w:color w:val="111111"/>
          <w:sz w:val="28"/>
          <w:szCs w:val="28"/>
          <w:rtl/>
        </w:rPr>
        <w:t xml:space="preserve">مفتون دنبلی، عبدالرزاق بن نجفقلی، ۱۱۷۶-۱۲۴۳ قمری</w:t>
      </w:r>
    </w:p>
    <w:p>
      <w:pPr>
        <w:pStyle w:val="BookText"/>
      </w:pPr>
      <w:r>
        <w:rPr>
          <w:rFonts w:ascii="Times New Roman" w:hAnsi="Times New Roman" w:eastAsia="Times New Roman" w:cs="Times New Roman"/>
          <w:lang w:val="en-US" w:bidi="en-US"/>
          <w:color w:val="111111"/>
          <w:sz w:val="28"/>
          <w:szCs w:val="28"/>
          <w:rtl/>
        </w:rPr>
        <w:t xml:space="preserve">maftūn-e donbalī, 'abd-or-razzāq ebn-e najaf-qolī (1763-1828)</w:t>
      </w:r>
    </w:p>
    <w:p>
      <w:pPr>
        <w:pStyle w:val="BookText"/>
      </w:pPr>
      <w:r>
        <w:rPr>
          <w:rFonts w:ascii="IRNazanin" w:hAnsi="IRNazanin" w:eastAsia="IRNazanin" w:cs="IRNazanin"/>
          <w:lang w:bidi="fa-IR"/>
          <w:color w:val="111111"/>
          <w:sz w:val="28"/>
          <w:szCs w:val="28"/>
          <w:rtl/>
        </w:rPr>
        <w:t xml:space="preserve">تذکره گونه ای است. مشتمل بر سه «قسمت»: ۱. شرح احوال بیست تن از علما و معاريف؛ ۲. ذكر اخبار و اشعار سید علی مشتاق اصفهانی، عاشق اصفهانی، آذر بیگدلی شاملو صاحب آتشکده، عذری بیگدلی شاملو، سید احمد هاتف اردوبادی، حاجی سلیمان صباحی بید کلی کاشانی، اقا محمد تقی صهبا، رفیق اصفهانی، میرزا محمد جعفر صافی، طوفان هزار جریبی، میرزا محمد حسين غالب اصفهانی، میرزا جعفر غیرت، درویش عبدالمجید طالقانی، نصیب اصفهانی، میرزا احمد نیازی، میرزا ابوالقاسم هجری تفرشی؛ 3. شرح حال مؤلف و مراسلات و اشعار وی و شمه از تاریخ. این کتاب اگر چه در التزام اسجاع و نگارش مترسلانه شبیه تجزية الامصار و تزجية الاعصار عبدالله بن فضل الله شیرازیست اما با این مایه تصنع که در آن به کار رفته در اسلوب انشاء از نظائر خود نیکو ترست. (یوسف اعتصامی)</w:t>
      </w:r>
    </w:p>
    <w:p>
      <w:pPr>
        <w:pStyle w:val="BookText"/>
      </w:pPr>
      <w:r>
        <w:rPr>
          <w:rFonts w:ascii="IRNazanin" w:hAnsi="IRNazanin" w:eastAsia="IRNazanin" w:cs="IRNazanin"/>
          <w:lang w:bidi="fa-IR"/>
          <w:color w:val="111111"/>
          <w:sz w:val="28"/>
          <w:szCs w:val="28"/>
          <w:rtl/>
        </w:rPr>
        <w:t xml:space="preserve">آغاز: سر شوریده درین بازار پر سودا سامان کجا پذیرد تا طوق عبودیت آفریننده جهان بر گردن نیفکند</w:t>
      </w:r>
    </w:p>
    <w:p>
      <w:pPr>
        <w:pStyle w:val="BookText"/>
      </w:pPr>
      <w:r>
        <w:rPr>
          <w:rFonts w:ascii="IRNazanin" w:hAnsi="IRNazanin" w:eastAsia="IRNazanin" w:cs="IRNazanin"/>
          <w:lang w:bidi="fa-IR"/>
          <w:color w:val="111111"/>
          <w:sz w:val="28"/>
          <w:szCs w:val="28"/>
          <w:rtl/>
        </w:rPr>
        <w:t xml:space="preserve">انجام: روز گاری ازین بیش تو فیق نداده رحمة الله عليه</w:t>
      </w:r>
    </w:p>
    <w:p>
      <w:pPr>
        <w:pStyle w:val="BookText"/>
      </w:pPr>
      <w:r>
        <w:rPr>
          <w:rFonts w:ascii="IRNazanin" w:hAnsi="IRNazanin" w:eastAsia="IRNazanin" w:cs="IRNazanin"/>
          <w:lang w:bidi="fa-IR"/>
          <w:color w:val="111111"/>
          <w:sz w:val="28"/>
          <w:szCs w:val="28"/>
          <w:rtl/>
        </w:rPr>
        <w:t xml:space="preserve">چاپ: تبریز، ۱۳۴۹ش، جلد اول، ۳۰+۵۲۳ص.</w:t>
      </w:r>
    </w:p>
    <w:p>
      <w:pPr>
        <w:pStyle w:val="BookText"/>
      </w:pPr>
      <w:r>
        <w:rPr>
          <w:rFonts w:ascii="IRNazanin" w:hAnsi="IRNazanin" w:eastAsia="IRNazanin" w:cs="IRNazanin"/>
          <w:lang w:bidi="fa-IR"/>
          <w:color w:val="111111"/>
          <w:sz w:val="28"/>
          <w:szCs w:val="28"/>
          <w:rtl/>
        </w:rPr>
        <w:t xml:space="preserve">[دنا ۷۹۳/۲ ؛ فهرستواره منزوی ۹۱۷/۲ ]</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حدايق الجنان؛ مفتون دنبلی، عبدالرزاق بن نجفقلی (۱۱۷۶-۱۲۴۳)</w:t>
      </w:r>
    </w:p>
    <w:p>
      <w:pPr>
        <w:pStyle w:val="BookText"/>
      </w:pPr>
      <w:r>
        <w:rPr>
          <w:rFonts w:ascii="IRNazanin" w:hAnsi="IRNazanin" w:eastAsia="IRNazanin" w:cs="IRNazanin"/>
          <w:lang w:bidi="fa-IR"/>
          <w:color w:val="111111"/>
          <w:sz w:val="28"/>
          <w:szCs w:val="28"/>
          <w:rtl/>
        </w:rPr>
        <w:t xml:space="preserve">۱. تهران؛ ملی؛ شماره نسخه:۲۲۵۳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و نسخ خوش، كا: محمد رضا شیرازی، تا: ۱۲۸۱ق؛ مجدول؛ کاغذ: فرنگی، جلد: تیماج قرمز، ۲۸۳گ، ۱۷سطر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۲۰/۵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۳۴سم [ف: ۵-۳۷۲]</w:t>
      </w:r>
    </w:p>
    <w:p>
      <w:pPr>
        <w:pStyle w:val="BookText"/>
      </w:pPr>
      <w:r>
        <w:rPr>
          <w:rFonts w:ascii="IRNazanin" w:hAnsi="IRNazanin" w:eastAsia="IRNazanin" w:cs="IRNazanin"/>
          <w:lang w:bidi="fa-IR"/>
          <w:color w:val="111111"/>
          <w:sz w:val="28"/>
          <w:szCs w:val="28"/>
          <w:rtl/>
        </w:rPr>
        <w:t xml:space="preserve">۲. تهران؛ مجلس؛ شماره نسخه:۵۳۴</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بی تا؛ محشی؛ کاغذ: زرد، ۲۳۲گ، ۲۱ سطر، اندازه: ۱۹/۵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۲۹/۵سم [ف: ۲-۳۱۵]</w:t>
      </w:r>
    </w:p>
    <w:p>
      <w:pPr>
        <w:pStyle w:val="Heading3"/>
      </w:pPr>
      <w:bookmarkStart w:id="3077" w:name="_Toc2337"/>
      <w:r>
        <w:t>•تجربة التجربة / حيوان شناسی / فارسی</w:t>
      </w:r>
      <w:bookmarkEnd w:id="3077"/>
    </w:p>
    <w:p>
      <w:pPr>
        <w:pStyle w:val="BookText"/>
      </w:pPr>
      <w:r>
        <w:rPr>
          <w:rFonts w:ascii="Times New Roman" w:hAnsi="Times New Roman" w:eastAsia="Times New Roman" w:cs="Times New Roman"/>
          <w:lang w:val="en-US" w:bidi="en-US"/>
          <w:color w:val="111111"/>
          <w:sz w:val="28"/>
          <w:szCs w:val="28"/>
          <w:rtl/>
        </w:rPr>
        <w:t xml:space="preserve">tajrobat-ot tajroba</w:t>
      </w:r>
    </w:p>
    <w:p>
      <w:pPr>
        <w:pStyle w:val="BookText"/>
      </w:pPr>
      <w:r>
        <w:rPr>
          <w:rFonts w:ascii="IRNazanin" w:hAnsi="IRNazanin" w:eastAsia="IRNazanin" w:cs="IRNazanin"/>
          <w:lang w:bidi="fa-IR"/>
          <w:color w:val="111111"/>
          <w:sz w:val="28"/>
          <w:szCs w:val="28"/>
          <w:rtl/>
        </w:rPr>
        <w:t xml:space="preserve">چنگیزی، محمد موسی بن رحمانقلی</w:t>
      </w:r>
    </w:p>
    <w:p>
      <w:pPr>
        <w:pStyle w:val="BookText"/>
      </w:pPr>
      <w:r>
        <w:rPr>
          <w:rFonts w:ascii="Times New Roman" w:hAnsi="Times New Roman" w:eastAsia="Times New Roman" w:cs="Times New Roman"/>
          <w:lang w:val="en-US" w:bidi="en-US"/>
          <w:color w:val="111111"/>
          <w:sz w:val="28"/>
          <w:szCs w:val="28"/>
          <w:rtl/>
        </w:rPr>
        <w:t xml:space="preserve">čangīzī, mohammad mūsā ebn-e rahmānqolī</w:t>
      </w:r>
    </w:p>
    <w:p>
      <w:pPr>
        <w:pStyle w:val="BookText"/>
      </w:pPr>
      <w:r>
        <w:rPr>
          <w:rFonts w:ascii="IRNazanin" w:hAnsi="IRNazanin" w:eastAsia="IRNazanin" w:cs="IRNazanin"/>
          <w:lang w:bidi="fa-IR"/>
          <w:color w:val="111111"/>
          <w:sz w:val="28"/>
          <w:szCs w:val="28"/>
          <w:rtl/>
        </w:rPr>
        <w:t xml:space="preserve">کتابی در فنون بازداری و تشخیص علامات بیماری های باز که آن را در سی «باب» جهت شاهزاده ای که اسمش را به طریق تعميه آورده نگاشته است شامل: 1. در وقوف صیاد و گرفتن جوارح دامی و چگونه آنچه آشیانیست از آشیان برداشتن تا سلیم و صحیح بوده و از چه قرار محافظت کردن و طعمه دادن تا بزرگ گردد؛ ۲. در شناخت جره و توار و علامات خوبی و بدی هر یک از جوارح دو رنگ و غیره؛ ۳. بخصوص خوبی و بدی قزلقوش؛ ۴. در گرفتن و گشاد کردن باز و باقی جوارح تا بشکار در آوردن؛ ۵. طعمه دادن هر یکی از جوارح شکاری بشکار و غیر شکار؛ ۶. در گیرا کردن معراج شکار هر یکی از جوارح؛ ۷. در بیجا طپیدن جوارح بشکار و غیر شکار و جهت علاج آن؛ ۸ در خبردار بودن احوال و طعمه بردن جوارح و فواید آن؛ ۹. در فواید چاق نگه داشتن و تندرست بودن جوارح؛ ۱۰. در طعمه هایی که از صید و غیر صید به هر یکی از جوارح سازگار و ناسازگار است؛ ۱۱. در طريقه فتیل دادن؛ ۱۲. در قراقر شکم جوارح و علاج آن؛ ۱۳. در طریقه نمک دادن و معالجه مضرت نمک و فتیل؛ ۱۴. در آخثق ننمودن جوارح پر استخوان و فتیله را و سبب و علاج آن؛ ۱۵. در علت خستگی و انتهای این کوفت که زانق او کج گشته و علاج آن؛ ۱۶. در علت لرزیدن جوارح و بعضی این کوفت را شوخ نامیده اند و سبب و علاج آن؛ ۱۷. در گرفتگی نفس و درد سر و گرفتگی دماغ و چشم پوشیدن جوارح و سبب علاج هر یک؛ ۱۸. در جوشش كام و زبان و گوش و پشت دماغ جوارح و این کوفتها را عاقل گویند و سبب و علاج آن؛ ۱۹. در طعمه بسیار خوردن جوارح و علاج آن؛ ۲۰. در گرم داشتن جوارح و پر خود را کندن و علاج آن؛ ۲۱. در گوشت برگردانیدن جوارح و سبب و علاج آن؛ ۲۲. در کاهش باز و باقی جوارح که خوره گداز گویند؛ ۲۳. در آماس
</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bookmarkStart w:id="718" w:name="pg20363_210072"/>
    <w:bookmarkEnd w:id="718"/>
    <w:p>
      <w:pPr>
        <w:pStyle w:val="BookText"/>
      </w:pPr>
      <w:r>
        <w:rPr>
          <w:rFonts w:ascii="IRNazanin" w:hAnsi="IRNazanin" w:eastAsia="IRNazanin" w:cs="IRNazanin"/>
          <w:lang w:bidi="fa-IR"/>
          <w:color w:val="111111"/>
          <w:sz w:val="28"/>
          <w:szCs w:val="28"/>
          <w:rtl/>
        </w:rPr>
        <w:t xml:space="preserve">کف پا و پشت پای جوارح و این کوفت را قداق گویند و شکستگی و از بند بیرون رفتن و علاج هر یک؛ ۲۴. در ناخوراک گشتن جوارح غیر تولک و سبب و علاج آن؛ ۲۵. در بادخوره افتادن منقار و چنگ و ناخن و پای خود را کندن جوارح و پنجه او سست گشته صید خود را خلاص کند؛ ۲۶. در شپش داشتن جوارح و سبب و علاج آن؛ ۲۷. فواید جلاجل بستن بپای باز و باشه؛ ۲۸. در تولک بستن و هوای تولک خانه و طعمه دادن به هر یک از جوارح؛ ۲۹. بچه نحو از تولک برداشتن جوارح که بی آسیب به شکار در آید؛ ۲۹. طریقه به شکار بردن هر یک از جوارح را به صید او از پله پراندن و بجا طبل نمودن و اگر بد فعلی و دور نموده و از نظر غایب شده به چه تدبیر به دست آوردن و در باب نصایح و میرشکاری واقف شدن و بعد به شکار رفتن.</w:t>
      </w:r>
    </w:p>
    <w:p>
      <w:pPr>
        <w:pStyle w:val="BookText"/>
      </w:pPr>
      <w:r>
        <w:rPr>
          <w:rFonts w:ascii="IRNazanin" w:hAnsi="IRNazanin" w:eastAsia="IRNazanin" w:cs="IRNazanin"/>
          <w:lang w:bidi="fa-IR"/>
          <w:color w:val="111111"/>
          <w:sz w:val="28"/>
          <w:szCs w:val="28"/>
          <w:rtl/>
        </w:rPr>
        <w:t xml:space="preserve">مشهد؛ رضوی؛ شماره نسخه:۱۳۴۰۷/۳</w:t>
      </w:r>
    </w:p>
    <w:p>
      <w:pPr>
        <w:pStyle w:val="BookText"/>
      </w:pPr>
      <w:r>
        <w:rPr>
          <w:rFonts w:ascii="IRNazanin" w:hAnsi="IRNazanin" w:eastAsia="IRNazanin" w:cs="IRNazanin"/>
          <w:lang w:bidi="fa-IR"/>
          <w:color w:val="111111"/>
          <w:sz w:val="28"/>
          <w:szCs w:val="28"/>
          <w:rtl/>
        </w:rPr>
        <w:t xml:space="preserve">آغاز: بسمله حمد و سپاس بی قیاس مر ملکی را سزاست که شاهباز بلند پرواز فکر عمیق اذکیاء و شاهین با تمکین نظر دقیق عقلاء در بیداء عظمت و جلال؛ انجام: تا او آنچه داند اظهار و تعلیم دهد و الا آنچه داند. (از آخر یکی دو ورق کسر دارد) خط: نستعلیق، بی کا، تا: قرن ۱۱؛ کاغذ: نخودی، جلد: تیماج، ۸۳ص، ۱۳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۱۹-۵۹۵]</w:t>
      </w:r>
    </w:p>
    <w:p>
      <w:pPr>
        <w:pStyle w:val="Heading3"/>
      </w:pPr>
      <w:bookmarkStart w:id="3078" w:name="_Toc2338"/>
      <w:r>
        <w:t>•تجربه دوستی و دشمنی (جدول) / ترکی</w:t>
      </w:r>
      <w:bookmarkEnd w:id="3078"/>
    </w:p>
    <w:p>
      <w:pPr>
        <w:pStyle w:val="BookText"/>
      </w:pPr>
      <w:r>
        <w:rPr>
          <w:rFonts w:ascii="Times New Roman" w:hAnsi="Times New Roman" w:eastAsia="Times New Roman" w:cs="Times New Roman"/>
          <w:lang w:val="en-US" w:bidi="en-US"/>
          <w:color w:val="111111"/>
          <w:sz w:val="28"/>
          <w:szCs w:val="28"/>
          <w:rtl/>
        </w:rPr>
        <w:t xml:space="preserve">tajrobe-ye dūstī va došmanī (jadval)</w:t>
      </w:r>
    </w:p>
    <w:p>
      <w:pPr>
        <w:pStyle w:val="BookText"/>
      </w:pPr>
      <w:r>
        <w:rPr>
          <w:rFonts w:ascii="IRNazanin" w:hAnsi="IRNazanin" w:eastAsia="IRNazanin" w:cs="IRNazanin"/>
          <w:lang w:bidi="fa-IR"/>
          <w:color w:val="111111"/>
          <w:sz w:val="28"/>
          <w:szCs w:val="28"/>
          <w:rtl/>
        </w:rPr>
        <w:t xml:space="preserve">قم؛ مرعشی؛ شماره نسخه: ۱۰۹۷۵/۱۸</w:t>
      </w:r>
    </w:p>
    <w:p>
      <w:pPr>
        <w:pStyle w:val="BookText"/>
      </w:pPr>
      <w:r>
        <w:rPr>
          <w:rFonts w:ascii="IRNazanin" w:hAnsi="IRNazanin" w:eastAsia="IRNazanin" w:cs="IRNazanin"/>
          <w:lang w:bidi="fa-IR"/>
          <w:color w:val="111111"/>
          <w:sz w:val="28"/>
          <w:szCs w:val="28"/>
          <w:rtl/>
        </w:rPr>
        <w:t xml:space="preserve">خط: نسخ خوش، بی کا، بی تا؛ قطع: رحلي [میراث شهاب: سوش ۲-۴۱]</w:t>
      </w:r>
    </w:p>
    <w:p>
      <w:pPr>
        <w:pStyle w:val="Heading3"/>
      </w:pPr>
      <w:bookmarkStart w:id="3079" w:name="_Toc2339"/>
      <w:r>
        <w:t>•تجربة الرمل / رمل / فارسی</w:t>
      </w:r>
      <w:bookmarkEnd w:id="3079"/>
    </w:p>
    <w:p>
      <w:pPr>
        <w:pStyle w:val="BookText"/>
      </w:pPr>
      <w:r>
        <w:rPr>
          <w:rFonts w:ascii="Times New Roman" w:hAnsi="Times New Roman" w:eastAsia="Times New Roman" w:cs="Times New Roman"/>
          <w:lang w:val="en-US" w:bidi="en-US"/>
          <w:color w:val="111111"/>
          <w:sz w:val="28"/>
          <w:szCs w:val="28"/>
          <w:rtl/>
        </w:rPr>
        <w:t xml:space="preserve">tajrobat-or raml</w:t>
      </w:r>
    </w:p>
    <w:p>
      <w:pPr>
        <w:pStyle w:val="BookText"/>
      </w:pPr>
      <w:r>
        <w:rPr>
          <w:rFonts w:ascii="IRNazanin" w:hAnsi="IRNazanin" w:eastAsia="IRNazanin" w:cs="IRNazanin"/>
          <w:lang w:bidi="fa-IR"/>
          <w:color w:val="111111"/>
          <w:sz w:val="28"/>
          <w:szCs w:val="28"/>
          <w:rtl/>
        </w:rPr>
        <w:t xml:space="preserve">عطائی لاهوری، محمد</w:t>
      </w:r>
    </w:p>
    <w:p>
      <w:pPr>
        <w:pStyle w:val="BookText"/>
      </w:pPr>
      <w:r>
        <w:rPr>
          <w:rFonts w:ascii="Times New Roman" w:hAnsi="Times New Roman" w:eastAsia="Times New Roman" w:cs="Times New Roman"/>
          <w:lang w:val="en-US" w:bidi="en-US"/>
          <w:color w:val="111111"/>
          <w:sz w:val="28"/>
          <w:szCs w:val="28"/>
          <w:rtl/>
        </w:rPr>
        <w:t xml:space="preserve">‘atā'ī lāhūrī, mohammad</w:t>
      </w:r>
    </w:p>
    <w:p>
      <w:pPr>
        <w:pStyle w:val="BookText"/>
      </w:pPr>
      <w:r>
        <w:rPr>
          <w:rFonts w:ascii="IRNazanin" w:hAnsi="IRNazanin" w:eastAsia="IRNazanin" w:cs="IRNazanin"/>
          <w:lang w:bidi="fa-IR"/>
          <w:color w:val="111111"/>
          <w:sz w:val="28"/>
          <w:szCs w:val="28"/>
          <w:rtl/>
        </w:rPr>
        <w:t xml:space="preserve">اهداء به: لاله بهادر مختصری است برگرفته از کتاب های گذشتگان و بیانات سلاله خاندان اصطفا خواجه عبدالله و آنچه خود مؤلف به تجربه حاصل نموده، در چند «قسم»: ۱. بیان اشکال؛ ۲. احكام نقاط. آغاز: الحمد لله رب العالمين ... اما بعد این گم کرده راه بادیه ضلالت و کم شعوری محمد عطائی لاهوری</w:t>
      </w:r>
    </w:p>
    <w:p>
      <w:pPr>
        <w:pStyle w:val="BookText"/>
      </w:pPr>
      <w:r>
        <w:rPr>
          <w:rFonts w:ascii="IRNazanin" w:hAnsi="IRNazanin" w:eastAsia="IRNazanin" w:cs="IRNazanin"/>
          <w:lang w:bidi="fa-IR"/>
          <w:color w:val="111111"/>
          <w:sz w:val="28"/>
          <w:szCs w:val="28"/>
          <w:rtl/>
        </w:rPr>
        <w:t xml:space="preserve">۱. قم؛ مرعشی؛ شماره نسخه: ۴۴۷۰/۲</w:t>
      </w:r>
    </w:p>
    <w:p>
      <w:pPr>
        <w:pStyle w:val="BookText"/>
      </w:pPr>
      <w:r>
        <w:rPr>
          <w:rFonts w:ascii="IRNazanin" w:hAnsi="IRNazanin" w:eastAsia="IRNazanin" w:cs="IRNazanin"/>
          <w:lang w:bidi="fa-IR"/>
          <w:color w:val="111111"/>
          <w:sz w:val="28"/>
          <w:szCs w:val="28"/>
          <w:rtl/>
        </w:rPr>
        <w:t xml:space="preserve">آغاز: برابر؛ انجام: و اثبات و نفی هر کار از مفقود شدن نقطه مطلوب همان سؤال باید گفت.</w:t>
      </w:r>
    </w:p>
    <w:p>
      <w:pPr>
        <w:pStyle w:val="BookText"/>
      </w:pPr>
      <w:r>
        <w:rPr>
          <w:rFonts w:ascii="IRNazanin" w:hAnsi="IRNazanin" w:eastAsia="IRNazanin" w:cs="IRNazanin"/>
          <w:lang w:bidi="fa-IR"/>
          <w:color w:val="111111"/>
          <w:sz w:val="28"/>
          <w:szCs w:val="28"/>
          <w:rtl/>
        </w:rPr>
        <w:t xml:space="preserve">خط: نستعلیق، بی کا، بی تا؛ جلد: مقوایی عطف تیماج قهوه ای، ۳۲گ (۲۳ر -۵۴پ)،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۱۲-۵۷]</w:t>
      </w:r>
    </w:p>
    <w:p>
      <w:pPr>
        <w:pStyle w:val="BookText"/>
      </w:pPr>
      <w:r>
        <w:rPr>
          <w:rFonts w:ascii="IRNazanin" w:hAnsi="IRNazanin" w:eastAsia="IRNazanin" w:cs="IRNazanin"/>
          <w:lang w:bidi="fa-IR"/>
          <w:color w:val="111111"/>
          <w:sz w:val="28"/>
          <w:szCs w:val="28"/>
          <w:rtl/>
        </w:rPr>
        <w:t xml:space="preserve">۲. مشهد؛ رضوی؛ شماره نسخه: ۲۴۶۸۹</w:t>
      </w:r>
    </w:p>
    <w:p>
      <w:pPr>
        <w:pStyle w:val="BookText"/>
      </w:pPr>
      <w:r>
        <w:rPr>
          <w:rFonts w:ascii="IRNazanin" w:hAnsi="IRNazanin" w:eastAsia="IRNazanin" w:cs="IRNazanin"/>
          <w:lang w:bidi="fa-IR"/>
          <w:color w:val="111111"/>
          <w:sz w:val="28"/>
          <w:szCs w:val="28"/>
          <w:rtl/>
        </w:rPr>
        <w:t xml:space="preserve">آغاز: برابر؛ انجام: و این هرگز خطا نشود خط: نستعلیق، بی کا، تا: ۱۲۳۵ق؛ کاغذ: حنایی، جلد: مقوا با عطف تیماج، ۲۱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[رایانه]</w:t>
      </w:r>
    </w:p>
    <w:p>
      <w:pPr>
        <w:pStyle w:val="Heading3"/>
      </w:pPr>
      <w:bookmarkStart w:id="3080" w:name="_Toc2340"/>
      <w:r>
        <w:t>•تجربه نامه / طب، شعر / فارسی</w:t>
      </w:r>
      <w:bookmarkEnd w:id="3080"/>
    </w:p>
    <w:p>
      <w:pPr>
        <w:pStyle w:val="BookText"/>
      </w:pPr>
      <w:r>
        <w:rPr>
          <w:rFonts w:ascii="Times New Roman" w:hAnsi="Times New Roman" w:eastAsia="Times New Roman" w:cs="Times New Roman"/>
          <w:lang w:val="en-US" w:bidi="en-US"/>
          <w:color w:val="111111"/>
          <w:sz w:val="28"/>
          <w:szCs w:val="28"/>
          <w:rtl/>
        </w:rPr>
        <w:t xml:space="preserve">tajrobe-nāme</w:t>
      </w:r>
    </w:p>
    <w:p>
      <w:pPr>
        <w:pStyle w:val="BookText"/>
      </w:pPr>
      <w:r>
        <w:rPr>
          <w:rFonts w:ascii="Amiri" w:hAnsi="Amiri" w:eastAsia="Amiri" w:cs="Amiri"/>
          <w:lang w:bidi="ar-SA"/>
          <w:color w:val="111111"/>
          <w:sz w:val="28"/>
          <w:szCs w:val="28"/>
          <w:rtl/>
        </w:rPr>
        <w:t xml:space="preserve">تاريخ تأليف: ۹۰۴ق</w:t>
      </w:r>
    </w:p>
    <w:p>
      <w:pPr>
        <w:pStyle w:val="BookText"/>
      </w:pPr>
      <w:r>
        <w:rPr>
          <w:rFonts w:ascii="IRNazanin" w:hAnsi="IRNazanin" w:eastAsia="IRNazanin" w:cs="IRNazanin"/>
          <w:lang w:bidi="fa-IR"/>
          <w:color w:val="111111"/>
          <w:sz w:val="28"/>
          <w:szCs w:val="28"/>
          <w:rtl/>
        </w:rPr>
        <w:t xml:space="preserve">منظومه ای در طب. در اواخر منظومه تاریخ تالیف ۹۰۴ و نام کتاب را می گوید: «هست در تاریخ و ختم و اسم این / چار و نهصد بود از هجرت رقم *** کامد این نسخه زغیبم در قلم» تا می گوید: «چون شدم فارغ من از اتمام او *** تجربه نامه نهادم نام او». ناظم طبیبی مشهور به ابن سیفی بوده چنان که در دو جا از آغاز منظومه گفته و برای شخصی به نام مولانا ایاب ساخته است. طرفه این که عنوان ها از آغاز تا پایان به نظم جداگانه کشیده چنان که در آغاز گوید: «هست در توحید رب العالمين»، سپس اشعاری در توحید سروده و در باب درود بر پیغمبر اکرم گوید: «این بود نعت ختم المرسلین» و همچنین تا آخر کتاب.</w:t>
      </w:r>
    </w:p>
    <w:p>
      <w:pPr>
        <w:pStyle w:val="BookText"/>
      </w:pPr>
      <w:r>
        <w:rPr>
          <w:rFonts w:ascii="IRNazanin" w:hAnsi="IRNazanin" w:eastAsia="IRNazanin" w:cs="IRNazanin"/>
          <w:lang w:bidi="fa-IR"/>
          <w:color w:val="111111"/>
          <w:sz w:val="28"/>
          <w:szCs w:val="28"/>
          <w:rtl/>
        </w:rPr>
        <w:t xml:space="preserve">اصفهان؛ روضاتی، سید محمد على؛ شماره نسخه:۲/۳</w:t>
      </w:r>
    </w:p>
    <w:p>
      <w:pPr>
        <w:pStyle w:val="BookText"/>
      </w:pPr>
      <w:r>
        <w:rPr>
          <w:rFonts w:ascii="IRNazanin" w:hAnsi="IRNazanin" w:eastAsia="IRNazanin" w:cs="IRNazanin"/>
          <w:lang w:bidi="fa-IR"/>
          <w:color w:val="111111"/>
          <w:sz w:val="28"/>
          <w:szCs w:val="28"/>
          <w:rtl/>
        </w:rPr>
        <w:t xml:space="preserve">آغاز: هست در توحید رب العالمين. حمد وافر قادر قیوم را *** کرد موجود از عدم معدوم را انجام: ور بشیر گوسفندان سیاه *** خط نویسی ای رفیق نیکخواه / چون به آتش داری او را در زمان *** می شود مطلوب ظاهر بی گمان. خط: نستعلیق زیبا، بی کا، بی تا، ۲۱گ</w:t>
      </w:r>
    </w:p>
    <w:p>
      <w:pPr>
        <w:pStyle w:val="BookText"/>
      </w:pPr>
      <w:r>
        <w:rPr>
          <w:rFonts w:ascii="IRNazanin" w:hAnsi="IRNazanin" w:eastAsia="IRNazanin" w:cs="IRNazanin"/>
          <w:lang w:bidi="fa-IR"/>
          <w:color w:val="111111"/>
          <w:sz w:val="28"/>
          <w:szCs w:val="28"/>
          <w:rtl/>
        </w:rPr>
        <w:t xml:space="preserve">(۸-۲۸ر)،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 نشریه: ۵-۱۳۵]</w:t>
      </w:r>
    </w:p>
    <w:p>
      <w:pPr>
        <w:pStyle w:val="Heading3"/>
      </w:pPr>
      <w:bookmarkStart w:id="3081" w:name="_Toc2341"/>
      <w:r>
        <w:t>•تجربیات / طبیعیات / فارسی</w:t>
      </w:r>
      <w:bookmarkEnd w:id="3081"/>
    </w:p>
    <w:p>
      <w:pPr>
        <w:pStyle w:val="BookText"/>
      </w:pPr>
      <w:r>
        <w:rPr>
          <w:rFonts w:ascii="Times New Roman" w:hAnsi="Times New Roman" w:eastAsia="Times New Roman" w:cs="Times New Roman"/>
          <w:lang w:val="en-US" w:bidi="en-US"/>
          <w:color w:val="111111"/>
          <w:sz w:val="28"/>
          <w:szCs w:val="28"/>
          <w:rtl/>
        </w:rPr>
        <w:t xml:space="preserve">tajrobīyāt</w:t>
      </w:r>
    </w:p>
    <w:p>
      <w:pPr>
        <w:pStyle w:val="BookText"/>
      </w:pPr>
      <w:r>
        <w:rPr>
          <w:rFonts w:ascii="IRNazanin" w:hAnsi="IRNazanin" w:eastAsia="IRNazanin" w:cs="IRNazanin"/>
          <w:lang w:bidi="fa-IR"/>
          <w:color w:val="111111"/>
          <w:sz w:val="28"/>
          <w:szCs w:val="28"/>
          <w:rtl/>
        </w:rPr>
        <w:t xml:space="preserve">فایده کوتاهی است در بیان خواص اشیا به نقل از عجایب المخلوقات که در آغاز به عنوان «تجربیات عجایب المخلوقات» معرفی شده است.</w:t>
      </w:r>
    </w:p>
    <w:p>
      <w:pPr>
        <w:pStyle w:val="BookText"/>
      </w:pPr>
      <w:r>
        <w:rPr>
          <w:rFonts w:ascii="IRNazanin" w:hAnsi="IRNazanin" w:eastAsia="IRNazanin" w:cs="IRNazanin"/>
          <w:lang w:bidi="fa-IR"/>
          <w:color w:val="111111"/>
          <w:sz w:val="28"/>
          <w:szCs w:val="28"/>
          <w:rtl/>
        </w:rPr>
        <w:t xml:space="preserve">قم؛ گلپایگانی؛ شماره نسخه: ۱۲۳۵/۲ - ۷/۱۳۵</w:t>
      </w:r>
    </w:p>
    <w:p>
      <w:pPr>
        <w:pStyle w:val="BookText"/>
      </w:pPr>
      <w:r>
        <w:rPr>
          <w:rFonts w:ascii="IRNazanin" w:hAnsi="IRNazanin" w:eastAsia="IRNazanin" w:cs="IRNazanin"/>
          <w:lang w:bidi="fa-IR"/>
          <w:color w:val="111111"/>
          <w:sz w:val="28"/>
          <w:szCs w:val="28"/>
          <w:rtl/>
        </w:rPr>
        <w:t xml:space="preserve">آغاز: مقناطیس را به آب دهن صائم تر کنند آهن بر باید غضبان درخت انجیر را در دیک گذارند ... برگ درخت چنار با سرکه بجوشانند؛ انجام: مو که سر در بیابانم شب و روز به سرشک از دیده بارانم شب و روز / نه تب دیرم نه جایم میکرو درد *** همی دانم که نالانم شب و روز. تمت الكتاب خط: نستعلیق، كا: غلامحسین، تا: ۱۲۹۷ق؛ جلد: تیماج قهوه ای، اگ، ۱۲ سطر، اندازه: ۱۳/۵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۲-۷۱۸]
</w:t>
      </w: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bookmarkStart w:id="719" w:name="pg20363_210073"/>
    <w:bookmarkEnd w:id="719"/>
    <w:p>
      <w:pPr>
        <w:pStyle w:val="Heading3"/>
      </w:pPr>
      <w:bookmarkStart w:id="3082" w:name="_Toc2342"/>
      <w:r>
        <w:t>•تجربیات حکمای هندوستان به چند نسخه پزشکی / طب فارسی</w:t>
      </w:r>
      <w:bookmarkEnd w:id="3082"/>
    </w:p>
    <w:p>
      <w:pPr>
        <w:pStyle w:val="BookText"/>
      </w:pPr>
      <w:r>
        <w:rPr>
          <w:rFonts w:ascii="Times New Roman" w:hAnsi="Times New Roman" w:eastAsia="Times New Roman" w:cs="Times New Roman"/>
          <w:lang w:val="en-US" w:bidi="en-US"/>
          <w:color w:val="111111"/>
          <w:sz w:val="28"/>
          <w:szCs w:val="28"/>
          <w:rtl/>
        </w:rPr>
        <w:t xml:space="preserve">tajrobīyāt-e hokamā-ye hendūstān = cand nosxe-ye pezeškī</w:t>
      </w:r>
    </w:p>
    <w:p>
      <w:pPr>
        <w:pStyle w:val="BookText"/>
      </w:pPr>
      <w:r>
        <w:rPr>
          <w:rFonts w:ascii="IRNazanin" w:hAnsi="IRNazanin" w:eastAsia="IRNazanin" w:cs="IRNazanin"/>
          <w:lang w:bidi="fa-IR"/>
          <w:color w:val="111111"/>
          <w:sz w:val="28"/>
          <w:szCs w:val="28"/>
          <w:rtl/>
        </w:rPr>
        <w:t xml:space="preserve">تهران؛ مجلس؛ شماره نسخه: ۹۴۶۶/۲۴۰</w:t>
      </w:r>
    </w:p>
    <w:p>
      <w:pPr>
        <w:pStyle w:val="BookText"/>
      </w:pPr>
      <w:r>
        <w:rPr>
          <w:rFonts w:ascii="IRNazanin" w:hAnsi="IRNazanin" w:eastAsia="IRNazanin" w:cs="IRNazanin"/>
          <w:lang w:bidi="fa-IR"/>
          <w:color w:val="111111"/>
          <w:sz w:val="28"/>
          <w:szCs w:val="28"/>
          <w:rtl/>
        </w:rPr>
        <w:t xml:space="preserve">خط: نستعلیق، بی کا، تا: قرن ۱۱؛ اص (۵۰۱) [مختصر ف: ۱۳۲]</w:t>
      </w:r>
    </w:p>
    <w:p>
      <w:pPr>
        <w:pStyle w:val="Heading3"/>
      </w:pPr>
      <w:bookmarkStart w:id="3083" w:name="_Toc2343"/>
      <w:r>
        <w:t>•تجرد النفس / فلسفه</w:t>
      </w:r>
      <w:bookmarkEnd w:id="3083"/>
    </w:p>
    <w:p>
      <w:pPr>
        <w:pStyle w:val="BookText"/>
      </w:pPr>
      <w:r>
        <w:rPr>
          <w:rFonts w:ascii="Times New Roman" w:hAnsi="Times New Roman" w:eastAsia="Times New Roman" w:cs="Times New Roman"/>
          <w:lang w:val="en-US" w:bidi="en-US"/>
          <w:color w:val="111111"/>
          <w:sz w:val="28"/>
          <w:szCs w:val="28"/>
          <w:rtl/>
        </w:rPr>
        <w:t xml:space="preserve">tajarrud-un nafs</w:t>
      </w:r>
    </w:p>
    <w:p>
      <w:pPr>
        <w:pStyle w:val="BookText"/>
      </w:pPr>
      <w:r>
        <w:rPr>
          <w:rFonts w:ascii="IRNazanin" w:hAnsi="IRNazanin" w:eastAsia="IRNazanin" w:cs="IRNazanin"/>
          <w:lang w:bidi="fa-IR"/>
          <w:color w:val="111111"/>
          <w:sz w:val="28"/>
          <w:szCs w:val="28"/>
          <w:rtl/>
        </w:rPr>
        <w:t xml:space="preserve">خواجوئی، محمد اسماعيل بن حسین، -۱۱۷۳ قمری</w:t>
      </w:r>
    </w:p>
    <w:p>
      <w:pPr>
        <w:pStyle w:val="BookText"/>
      </w:pPr>
      <w:r>
        <w:rPr>
          <w:rFonts w:ascii="Times New Roman" w:hAnsi="Times New Roman" w:eastAsia="Times New Roman" w:cs="Times New Roman"/>
          <w:lang w:val="en-US" w:bidi="en-US"/>
          <w:color w:val="111111"/>
          <w:sz w:val="28"/>
          <w:szCs w:val="28"/>
          <w:rtl/>
        </w:rPr>
        <w:t xml:space="preserve">xājā'ī, mohammad esmāʻīl ebn-e hoseyn (-1760)</w:t>
      </w:r>
    </w:p>
    <w:p>
      <w:pPr>
        <w:pStyle w:val="BookText"/>
      </w:pPr>
      <w:r>
        <w:rPr>
          <w:rFonts w:ascii="IRNazanin" w:hAnsi="IRNazanin" w:eastAsia="IRNazanin" w:cs="IRNazanin"/>
          <w:lang w:bidi="fa-IR"/>
          <w:color w:val="111111"/>
          <w:sz w:val="28"/>
          <w:szCs w:val="28"/>
          <w:rtl/>
        </w:rPr>
        <w:t xml:space="preserve">تهران؛ شهشهانی ، حسین؛ شماره نسخه:بدون شماره</w:t>
      </w:r>
    </w:p>
    <w:p>
      <w:pPr>
        <w:pStyle w:val="BookText"/>
      </w:pPr>
      <w:r>
        <w:rPr>
          <w:rFonts w:ascii="IRNazanin" w:hAnsi="IRNazanin" w:eastAsia="IRNazanin" w:cs="IRNazanin"/>
          <w:lang w:bidi="fa-IR"/>
          <w:color w:val="111111"/>
          <w:sz w:val="28"/>
          <w:szCs w:val="28"/>
          <w:rtl/>
        </w:rPr>
        <w:t xml:space="preserve">بی کا، بی تا [میراث اسلامی: ۵-۶۰۶]</w:t>
      </w:r>
    </w:p>
    <w:p>
      <w:pPr>
        <w:pStyle w:val="BookText"/>
      </w:pPr>
      <w:r>
        <w:rPr>
          <w:rFonts w:ascii="Amiri" w:hAnsi="Amiri" w:eastAsia="Amiri" w:cs="Amiri"/>
          <w:lang w:bidi="ar-SA"/>
          <w:color w:val="111111"/>
          <w:sz w:val="28"/>
          <w:szCs w:val="28"/>
          <w:rtl/>
        </w:rPr>
        <w:t xml:space="preserve">← تجرد نفس ناطقه ← حقيقة النفس</w:t>
      </w:r>
    </w:p>
    <w:p>
      <w:pPr>
        <w:pStyle w:val="Heading3"/>
      </w:pPr>
      <w:bookmarkStart w:id="3084" w:name="_Toc2344"/>
      <w:r>
        <w:t>•تجرد نفس و کیفیت ادراک / فلسفه / فارسی</w:t>
      </w:r>
      <w:bookmarkEnd w:id="3084"/>
    </w:p>
    <w:p>
      <w:pPr>
        <w:pStyle w:val="BookText"/>
      </w:pPr>
      <w:r>
        <w:rPr>
          <w:rFonts w:ascii="Times New Roman" w:hAnsi="Times New Roman" w:eastAsia="Times New Roman" w:cs="Times New Roman"/>
          <w:lang w:val="en-US" w:bidi="en-US"/>
          <w:color w:val="111111"/>
          <w:sz w:val="28"/>
          <w:szCs w:val="28"/>
          <w:rtl/>
        </w:rPr>
        <w:t xml:space="preserve">tajarrod-e nafs va keyfiyat-e edrāk</w:t>
      </w:r>
    </w:p>
    <w:p>
      <w:pPr>
        <w:pStyle w:val="BookText"/>
      </w:pPr>
      <w:r>
        <w:rPr>
          <w:rFonts w:ascii="IRNazanin" w:hAnsi="IRNazanin" w:eastAsia="IRNazanin" w:cs="IRNazanin"/>
          <w:lang w:bidi="fa-IR"/>
          <w:color w:val="111111"/>
          <w:sz w:val="28"/>
          <w:szCs w:val="28"/>
          <w:rtl/>
        </w:rPr>
        <w:t xml:space="preserve">در دوازده «فصل» و مانند ترجمه ای از رساله چند فصلی کوتاه منسوب به ارسطو که بابا افضل هم ترجمه به فارسی کرده است.</w:t>
      </w:r>
    </w:p>
    <w:p>
      <w:pPr>
        <w:pStyle w:val="BookText"/>
      </w:pPr>
      <w:r>
        <w:rPr>
          <w:rFonts w:ascii="IRNazanin" w:hAnsi="IRNazanin" w:eastAsia="IRNazanin" w:cs="IRNazanin"/>
          <w:lang w:bidi="fa-IR"/>
          <w:color w:val="111111"/>
          <w:sz w:val="28"/>
          <w:szCs w:val="28"/>
          <w:rtl/>
        </w:rPr>
        <w:t xml:space="preserve">تهران؛ دانشگاه؛ شماره نسخه:۹۴/۵ -ف</w:t>
      </w:r>
    </w:p>
    <w:p>
      <w:pPr>
        <w:pStyle w:val="BookText"/>
      </w:pPr>
      <w:r>
        <w:rPr>
          <w:rFonts w:ascii="IRNazanin" w:hAnsi="IRNazanin" w:eastAsia="IRNazanin" w:cs="IRNazanin"/>
          <w:lang w:bidi="fa-IR"/>
          <w:color w:val="111111"/>
          <w:sz w:val="28"/>
          <w:szCs w:val="28"/>
          <w:rtl/>
        </w:rPr>
        <w:t xml:space="preserve">آغاز: این فصلی است از کلام حکیم در اثبات جوهریت نفس و صفات؛ انجام: و قابل فساد و تغییر و مرگ نیست. فهذا ما أردنا اثباته و لواهب العقل الحمد و الشكر نسخه اصل: ایاصوفيا ۳۷۲۲؛ خط: نسخ، بی کا، بی تا؛ ۳گ (۴۰- ۴۲)، ۱۹ سطر[فيلمها ف: ۱-۴۰۶]</w:t>
      </w:r>
    </w:p>
    <w:p>
      <w:pPr>
        <w:pStyle w:val="Heading3"/>
      </w:pPr>
      <w:bookmarkStart w:id="3085" w:name="_Toc2345"/>
      <w:r>
        <w:t>•التجری / فقه / عربی</w:t>
      </w:r>
      <w:bookmarkEnd w:id="3085"/>
    </w:p>
    <w:p>
      <w:pPr>
        <w:pStyle w:val="BookText"/>
      </w:pPr>
      <w:r>
        <w:rPr>
          <w:rFonts w:ascii="Times New Roman" w:hAnsi="Times New Roman" w:eastAsia="Times New Roman" w:cs="Times New Roman"/>
          <w:lang w:val="en-US" w:bidi="en-US"/>
          <w:color w:val="111111"/>
          <w:sz w:val="28"/>
          <w:szCs w:val="28"/>
          <w:rtl/>
        </w:rPr>
        <w:t xml:space="preserve">at-tajarrī</w:t>
      </w:r>
    </w:p>
    <w:p>
      <w:pPr>
        <w:pStyle w:val="BookText"/>
      </w:pPr>
      <w:r>
        <w:rPr>
          <w:rFonts w:ascii="IRNazanin" w:hAnsi="IRNazanin" w:eastAsia="IRNazanin" w:cs="IRNazanin"/>
          <w:lang w:bidi="fa-IR"/>
          <w:color w:val="111111"/>
          <w:sz w:val="28"/>
          <w:szCs w:val="28"/>
          <w:rtl/>
        </w:rPr>
        <w:t xml:space="preserve">حسینی کاشانی، مصطفی بن حسین، ۱۳۳۷ قمری</w:t>
      </w:r>
    </w:p>
    <w:p>
      <w:pPr>
        <w:pStyle w:val="BookText"/>
      </w:pPr>
      <w:r>
        <w:rPr>
          <w:rFonts w:ascii="Times New Roman" w:hAnsi="Times New Roman" w:eastAsia="Times New Roman" w:cs="Times New Roman"/>
          <w:lang w:val="en-US" w:bidi="en-US"/>
          <w:color w:val="111111"/>
          <w:sz w:val="28"/>
          <w:szCs w:val="28"/>
          <w:rtl/>
        </w:rPr>
        <w:t xml:space="preserve">hoseynī kāšānī, mostafā ebn-e hoseyn (-1919)</w:t>
      </w:r>
    </w:p>
    <w:p>
      <w:pPr>
        <w:pStyle w:val="BookText"/>
      </w:pPr>
      <w:r>
        <w:rPr>
          <w:rFonts w:ascii="IRNazanin" w:hAnsi="IRNazanin" w:eastAsia="IRNazanin" w:cs="IRNazanin"/>
          <w:lang w:bidi="fa-IR"/>
          <w:color w:val="111111"/>
          <w:sz w:val="28"/>
          <w:szCs w:val="28"/>
          <w:rtl/>
        </w:rPr>
        <w:t xml:space="preserve">رساله استدلال مفصلی است بر اینکه تجری و جرأت بر گناه موجب استحقاق عقوبت می شود یا نه. در این رساله نقل اقوال و گفته های بسیاری از فقهای متأخر شده و در آنها رد و ایراد می کند.</w:t>
      </w:r>
    </w:p>
    <w:p>
      <w:pPr>
        <w:pStyle w:val="BookText"/>
      </w:pPr>
      <w:r>
        <w:rPr>
          <w:rFonts w:ascii="IRNazanin" w:hAnsi="IRNazanin" w:eastAsia="IRNazanin" w:cs="IRNazanin"/>
          <w:lang w:bidi="fa-IR"/>
          <w:color w:val="111111"/>
          <w:sz w:val="28"/>
          <w:szCs w:val="28"/>
          <w:rtl/>
        </w:rPr>
        <w:t xml:space="preserve">قم؛ مرعشی؛ شماره نسخه:۲۷۹۴</w:t>
      </w:r>
    </w:p>
    <w:p>
      <w:pPr>
        <w:pStyle w:val="BookText"/>
      </w:pPr>
      <w:r>
        <w:rPr>
          <w:rFonts w:ascii="IRNazanin" w:hAnsi="IRNazanin" w:eastAsia="IRNazanin" w:cs="IRNazanin"/>
          <w:lang w:bidi="fa-IR"/>
          <w:color w:val="111111"/>
          <w:sz w:val="28"/>
          <w:szCs w:val="28"/>
          <w:rtl/>
        </w:rPr>
        <w:t xml:space="preserve">آغاز: الحمدلله رب العالمين ... و بعد فيقول العبد المفتاق الاحقر على الاطلاق الجاني الفانی؛ انجام: و قد عرفت بناء على القول بأن العدالة هي الاجتناب الفعلي تفصيل الكلام في التجرى و قدحه فيها و عدمه.</w:t>
      </w:r>
    </w:p>
    <w:p>
      <w:pPr>
        <w:pStyle w:val="BookText"/>
      </w:pPr>
      <w:r>
        <w:rPr>
          <w:rFonts w:ascii="IRNazanin" w:hAnsi="IRNazanin" w:eastAsia="IRNazanin" w:cs="IRNazanin"/>
          <w:lang w:bidi="fa-IR"/>
          <w:color w:val="111111"/>
          <w:sz w:val="28"/>
          <w:szCs w:val="28"/>
          <w:rtl/>
        </w:rPr>
        <w:t xml:space="preserve">خط: نسخ، بی کا، تا: شنبه ۶ ربيع الاول ۱۳۲۵ق؛ جلد: مقوایی عطف تیماج مشکی، ۲۹گ، ۱۹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سم [ف: ۳۶۰-۷ ]</w:t>
      </w:r>
    </w:p>
    <w:p>
      <w:pPr>
        <w:pStyle w:val="Heading3"/>
      </w:pPr>
      <w:bookmarkStart w:id="3086" w:name="_Toc2346"/>
      <w:r>
        <w:t>•التجری / اصول فقه / عربی</w:t>
      </w:r>
      <w:bookmarkEnd w:id="3086"/>
    </w:p>
    <w:p>
      <w:pPr>
        <w:pStyle w:val="BookText"/>
      </w:pPr>
      <w:r>
        <w:rPr>
          <w:rFonts w:ascii="Times New Roman" w:hAnsi="Times New Roman" w:eastAsia="Times New Roman" w:cs="Times New Roman"/>
          <w:lang w:val="en-US" w:bidi="en-US"/>
          <w:color w:val="111111"/>
          <w:sz w:val="28"/>
          <w:szCs w:val="28"/>
          <w:rtl/>
        </w:rPr>
        <w:t xml:space="preserve">at-tajarrī</w:t>
      </w:r>
    </w:p>
    <w:p>
      <w:pPr>
        <w:pStyle w:val="BookText"/>
      </w:pPr>
      <w:r>
        <w:rPr>
          <w:rFonts w:ascii="IRNazanin" w:hAnsi="IRNazanin" w:eastAsia="IRNazanin" w:cs="IRNazanin"/>
          <w:lang w:bidi="fa-IR"/>
          <w:color w:val="111111"/>
          <w:sz w:val="28"/>
          <w:szCs w:val="28"/>
          <w:rtl/>
        </w:rPr>
        <w:t xml:space="preserve">قم؛ امام صادق؛ شماره نسخه:۲۹/۶</w:t>
      </w:r>
    </w:p>
    <w:p>
      <w:pPr>
        <w:pStyle w:val="BookText"/>
      </w:pPr>
      <w:r>
        <w:rPr>
          <w:rFonts w:ascii="IRNazanin" w:hAnsi="IRNazanin" w:eastAsia="IRNazanin" w:cs="IRNazanin"/>
          <w:lang w:bidi="fa-IR"/>
          <w:color w:val="111111"/>
          <w:sz w:val="28"/>
          <w:szCs w:val="28"/>
          <w:rtl/>
        </w:rPr>
        <w:t xml:space="preserve">خط: نسخ و نستعلیق، بی کا، بی تا، جلد: تیماج قهوه ای، ۵۹گ ( ۱۴۸-۹۰ )،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۳۰]</w:t>
      </w:r>
    </w:p>
    <w:p>
      <w:pPr>
        <w:pStyle w:val="Heading3"/>
      </w:pPr>
      <w:bookmarkStart w:id="3087" w:name="_Toc2347"/>
      <w:r>
        <w:t>•التجرید / کیمیا / عربی</w:t>
      </w:r>
      <w:bookmarkEnd w:id="3087"/>
    </w:p>
    <w:p>
      <w:pPr>
        <w:pStyle w:val="BookText"/>
      </w:pPr>
      <w:r>
        <w:rPr>
          <w:rFonts w:ascii="Times New Roman" w:hAnsi="Times New Roman" w:eastAsia="Times New Roman" w:cs="Times New Roman"/>
          <w:lang w:val="en-US" w:bidi="en-US"/>
          <w:color w:val="111111"/>
          <w:sz w:val="28"/>
          <w:szCs w:val="28"/>
          <w:rtl/>
        </w:rPr>
        <w:t xml:space="preserve">at-tajrīd</w:t>
      </w:r>
    </w:p>
    <w:p>
      <w:pPr>
        <w:pStyle w:val="BookText"/>
      </w:pPr>
      <w:r>
        <w:rPr>
          <w:rFonts w:ascii="IRNazanin" w:hAnsi="IRNazanin" w:eastAsia="IRNazanin" w:cs="IRNazanin"/>
          <w:lang w:bidi="fa-IR"/>
          <w:color w:val="111111"/>
          <w:sz w:val="28"/>
          <w:szCs w:val="28"/>
          <w:rtl/>
        </w:rPr>
        <w:t xml:space="preserve">جابر بن حیان، ۱۲۰-۱۹۸ ؟ قمری</w:t>
      </w:r>
    </w:p>
    <w:p>
      <w:pPr>
        <w:pStyle w:val="BookText"/>
      </w:pPr>
      <w:r>
        <w:rPr>
          <w:rFonts w:ascii="Times New Roman" w:hAnsi="Times New Roman" w:eastAsia="Times New Roman" w:cs="Times New Roman"/>
          <w:lang w:val="en-US" w:bidi="en-US"/>
          <w:color w:val="111111"/>
          <w:sz w:val="28"/>
          <w:szCs w:val="28"/>
          <w:rtl/>
        </w:rPr>
        <w:t xml:space="preserve">jāber ebn-e hayyān (739-814)</w:t>
      </w:r>
    </w:p>
    <w:p>
      <w:pPr>
        <w:pStyle w:val="BookText"/>
      </w:pPr>
      <w:r>
        <w:rPr>
          <w:rFonts w:ascii="IRNazanin" w:hAnsi="IRNazanin" w:eastAsia="IRNazanin" w:cs="IRNazanin"/>
          <w:lang w:bidi="fa-IR"/>
          <w:color w:val="111111"/>
          <w:sz w:val="28"/>
          <w:szCs w:val="28"/>
          <w:rtl/>
        </w:rPr>
        <w:t xml:space="preserve">مؤلف پس از تألیف کتاب های صد و دوازده گانه خود شروع به نگاشتن کتاب های موازینیه خویش می نماید که بالغ بر ۱۴۴ کتاب و رساله است. این کتاب شرحی است بر مختارات رساله صنعتیه سقراط حکیم آغاز: قال جابر بن حیان اني بعد فراغي من كتب المائة واحدی عشر کتاب واعراضها الكسير عملت كتابي هذا، سميته كتاب التجريد، و سميت كتابا في المائة و عشر كتابا بالمجردات، جردت فيه أبوابا انهيها الى اصحابنا من الفلاسفة چاپ: بمبئی، ۱۸۹۲م، سنگی، با عنوان «مجموعة احد عشر كتابا في علم الاکسیر»</w:t>
      </w:r>
    </w:p>
    <w:p>
      <w:pPr>
        <w:pStyle w:val="BookText"/>
      </w:pPr>
      <w:r>
        <w:rPr>
          <w:rFonts w:ascii="IRNazanin" w:hAnsi="IRNazanin" w:eastAsia="IRNazanin" w:cs="IRNazanin"/>
          <w:lang w:bidi="fa-IR"/>
          <w:color w:val="111111"/>
          <w:sz w:val="28"/>
          <w:szCs w:val="28"/>
          <w:rtl/>
        </w:rPr>
        <w:t xml:space="preserve">[دنا ۷۹۴/۲ ؛ ریحانة الادب: ۱۱۱/۵ ؛ تاريخ التراث العربی: ۳۶۴/۴ ]</w:t>
      </w:r>
    </w:p>
    <w:p>
      <w:pPr>
        <w:pStyle w:val="BookText"/>
      </w:pPr>
      <w:r>
        <w:rPr>
          <w:rFonts w:ascii="IRNazanin" w:hAnsi="IRNazanin" w:eastAsia="IRNazanin" w:cs="IRNazanin"/>
          <w:lang w:bidi="fa-IR"/>
          <w:color w:val="111111"/>
          <w:sz w:val="28"/>
          <w:szCs w:val="28"/>
          <w:rtl/>
        </w:rPr>
        <w:t xml:space="preserve">۱. تهران؛ ملک؛ شماره نسخه: ۶۲۰۶/۲۷</w:t>
      </w:r>
    </w:p>
    <w:p>
      <w:pPr>
        <w:pStyle w:val="BookText"/>
      </w:pPr>
      <w:r>
        <w:rPr>
          <w:rFonts w:ascii="IRNazanin" w:hAnsi="IRNazanin" w:eastAsia="IRNazanin" w:cs="IRNazanin"/>
          <w:lang w:bidi="fa-IR"/>
          <w:color w:val="111111"/>
          <w:sz w:val="28"/>
          <w:szCs w:val="28"/>
          <w:rtl/>
        </w:rPr>
        <w:t xml:space="preserve">آغاز: برابر؛ انجام: بين الزيبق و النحاس يعدن شيئا واحدا. و قد تم العمل آخر کتاب التجريد ... (فاهم الزرنيخين بالسوية مذكور في كتبه)</w:t>
      </w:r>
    </w:p>
    <w:p>
      <w:pPr>
        <w:pStyle w:val="BookText"/>
      </w:pPr>
      <w:r>
        <w:rPr>
          <w:rFonts w:ascii="IRNazanin" w:hAnsi="IRNazanin" w:eastAsia="IRNazanin" w:cs="IRNazanin"/>
          <w:lang w:bidi="fa-IR"/>
          <w:color w:val="111111"/>
          <w:sz w:val="28"/>
          <w:szCs w:val="28"/>
          <w:rtl/>
        </w:rPr>
        <w:t xml:space="preserve">خط: نسخ، بی کا، تا: قرن ۱۳ کاغذ: فرنگی، جلد: میشن قهوهای، ۸ص (۳۹۹-۴۰۶)، ۲۳ سطر، اندازه: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۹-۲۶۲]</w:t>
      </w:r>
    </w:p>
    <w:p>
      <w:pPr>
        <w:pStyle w:val="BookText"/>
      </w:pPr>
      <w:r>
        <w:rPr>
          <w:rFonts w:ascii="IRNazanin" w:hAnsi="IRNazanin" w:eastAsia="IRNazanin" w:cs="IRNazanin"/>
          <w:lang w:bidi="fa-IR"/>
          <w:color w:val="111111"/>
          <w:sz w:val="28"/>
          <w:szCs w:val="28"/>
          <w:rtl/>
        </w:rPr>
        <w:t xml:space="preserve">۲. تهران: مهدوی؛ شماره نسخه:۲۶۱/۶</w:t>
      </w:r>
    </w:p>
    <w:p>
      <w:pPr>
        <w:pStyle w:val="BookText"/>
      </w:pPr>
      <w:r>
        <w:rPr>
          <w:rFonts w:ascii="IRNazanin" w:hAnsi="IRNazanin" w:eastAsia="IRNazanin" w:cs="IRNazanin"/>
          <w:lang w:bidi="fa-IR"/>
          <w:color w:val="111111"/>
          <w:sz w:val="28"/>
          <w:szCs w:val="28"/>
          <w:rtl/>
        </w:rPr>
        <w:t xml:space="preserve">خط: نستعلیق، بی کا، تا: قرن ۱۳ [نشریه: ۲-۹۹]</w:t>
      </w:r>
    </w:p>
    <w:p>
      <w:pPr>
        <w:pStyle w:val="BookText"/>
      </w:pPr>
      <w:r>
        <w:rPr>
          <w:rFonts w:ascii="IRNazanin" w:hAnsi="IRNazanin" w:eastAsia="IRNazanin" w:cs="IRNazanin"/>
          <w:lang w:bidi="fa-IR"/>
          <w:color w:val="111111"/>
          <w:sz w:val="28"/>
          <w:szCs w:val="28"/>
          <w:rtl/>
        </w:rPr>
        <w:t xml:space="preserve">٣. تهران: ملک؛ شماره نسخه: ۶۴۶۵/۱۰</w:t>
      </w:r>
    </w:p>
    <w:p>
      <w:pPr>
        <w:pStyle w:val="BookText"/>
      </w:pPr>
      <w:r>
        <w:rPr>
          <w:rFonts w:ascii="IRNazanin" w:hAnsi="IRNazanin" w:eastAsia="IRNazanin" w:cs="IRNazanin"/>
          <w:lang w:bidi="fa-IR"/>
          <w:color w:val="111111"/>
          <w:sz w:val="28"/>
          <w:szCs w:val="28"/>
          <w:rtl/>
        </w:rPr>
        <w:t xml:space="preserve">آغاز: برابر؛ انجام: قال خذ من الزرنيخين بالكبر تین مذكور في كتبه خط: نسخ، بی کا، تا: ۱۲۶۵ق؛ کاغذ: فرنگی، جلد: تیماج قهوه ای، مگ (۳۴ر -۳۷ر)، ۲۴ سطر، اندازه: ۲۷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۹-۴۱۹]</w:t>
      </w:r>
    </w:p>
    <w:p>
      <w:pPr>
        <w:pStyle w:val="BookText"/>
      </w:pPr>
      <w:r>
        <w:rPr>
          <w:rFonts w:ascii="IRNazanin" w:hAnsi="IRNazanin" w:eastAsia="IRNazanin" w:cs="IRNazanin"/>
          <w:lang w:bidi="fa-IR"/>
          <w:color w:val="111111"/>
          <w:sz w:val="28"/>
          <w:szCs w:val="28"/>
          <w:rtl/>
        </w:rPr>
        <w:t xml:space="preserve">۴. مشهد؛ رضوی؛ شماره نسخه:ض۱۱۰۴۸</w:t>
      </w:r>
    </w:p>
    <w:p>
      <w:pPr>
        <w:pStyle w:val="BookText"/>
      </w:pPr>
      <w:r>
        <w:rPr>
          <w:rFonts w:ascii="Amiri" w:hAnsi="Amiri" w:eastAsia="Amiri" w:cs="Amiri"/>
          <w:lang w:bidi="ar-SA"/>
          <w:color w:val="111111"/>
          <w:sz w:val="28"/>
          <w:szCs w:val="28"/>
          <w:rtl/>
        </w:rPr>
        <w:t xml:space="preserve">آغاز: برابر؛ انجام: و تعلم أن كتابي هذا هو كتاب النفقه
</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bookmarkStart w:id="720" w:name="pg20363_210074"/>
    <w:bookmarkEnd w:id="720"/>
    <w:p>
      <w:pPr>
        <w:pStyle w:val="BookText"/>
      </w:pPr>
      <w:r>
        <w:rPr>
          <w:rFonts w:ascii="IRNazanin" w:hAnsi="IRNazanin" w:eastAsia="IRNazanin" w:cs="IRNazanin"/>
          <w:lang w:bidi="fa-IR"/>
          <w:color w:val="111111"/>
          <w:sz w:val="28"/>
          <w:szCs w:val="28"/>
          <w:rtl/>
        </w:rPr>
        <w:t xml:space="preserve">خط: نستعلیق، کا: هو العلی اکبر، تا: ۱۲۶۷ق، جا: تهران؛ ضمیمه نسخه ش ۱۱۰۴۸؛ کاغذ: نخودی؛ فرنگی، جلد: تیماج، ۱۵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[الفبائی: ۲۸۰]</w:t>
      </w:r>
    </w:p>
    <w:p>
      <w:pPr>
        <w:pStyle w:val="BookText"/>
      </w:pPr>
      <w:r>
        <w:rPr>
          <w:rFonts w:ascii="IRNazanin" w:hAnsi="IRNazanin" w:eastAsia="IRNazanin" w:cs="IRNazanin"/>
          <w:lang w:bidi="fa-IR"/>
          <w:color w:val="111111"/>
          <w:sz w:val="28"/>
          <w:szCs w:val="28"/>
          <w:rtl/>
        </w:rPr>
        <w:t xml:space="preserve">۵. تهران؛ ملی؛ شماره نسخه: ۱۸۷۲/۱۶</w:t>
      </w:r>
    </w:p>
    <w:p>
      <w:pPr>
        <w:pStyle w:val="BookText"/>
      </w:pPr>
      <w:r>
        <w:rPr>
          <w:rFonts w:ascii="Amiri" w:hAnsi="Amiri" w:eastAsia="Amiri" w:cs="Amiri"/>
          <w:lang w:bidi="ar-SA"/>
          <w:color w:val="111111"/>
          <w:sz w:val="28"/>
          <w:szCs w:val="28"/>
          <w:rtl/>
        </w:rPr>
        <w:t xml:space="preserve">آغاز: برابر؛ انجام: شيئا واحدا و قد تم العمل.</w:t>
      </w:r>
    </w:p>
    <w:p>
      <w:pPr>
        <w:pStyle w:val="BookText"/>
      </w:pPr>
      <w:r>
        <w:rPr>
          <w:rFonts w:ascii="IRNazanin" w:hAnsi="IRNazanin" w:eastAsia="IRNazanin" w:cs="IRNazanin"/>
          <w:lang w:bidi="fa-IR"/>
          <w:color w:val="111111"/>
          <w:sz w:val="28"/>
          <w:szCs w:val="28"/>
          <w:rtl/>
        </w:rPr>
        <w:t xml:space="preserve">خط: نستعلیق، كان محمد جعفر بن محمد على سواد کوهی مرا مكوهی، تا: ۱۲۸۸ق، کاغذ: فرنگی، جلد: مقوایی، تیماج تریاکی، ۸ص (۱۶۹- ۱۷۶)، ۱۵ سطر (۱۵)،اندازه:۱۴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۵۰۲-۱۰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مجلس؛ شماره نسخه: ۷۳۵/۲</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تا: ۱۲۹۹ق؛ ۲۱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۲-۴۶۷]</w:t>
      </w:r>
    </w:p>
    <w:p>
      <w:pPr>
        <w:pStyle w:val="BookText"/>
      </w:pPr>
      <w:r>
        <w:rPr>
          <w:rFonts w:ascii="IRNazanin" w:hAnsi="IRNazanin" w:eastAsia="IRNazanin" w:cs="IRNazanin"/>
          <w:lang w:bidi="fa-IR"/>
          <w:color w:val="111111"/>
          <w:sz w:val="28"/>
          <w:szCs w:val="28"/>
          <w:rtl/>
        </w:rPr>
        <w:t xml:space="preserve">۷. قم: مرکز مطالعات؛ شماره نسخه: ۹۰۷/۱</w:t>
      </w:r>
    </w:p>
    <w:p>
      <w:pPr>
        <w:pStyle w:val="BookText"/>
      </w:pPr>
      <w:r>
        <w:rPr>
          <w:rFonts w:ascii="IRNazanin" w:hAnsi="IRNazanin" w:eastAsia="IRNazanin" w:cs="IRNazanin"/>
          <w:lang w:bidi="fa-IR"/>
          <w:color w:val="111111"/>
          <w:sz w:val="28"/>
          <w:szCs w:val="28"/>
          <w:rtl/>
        </w:rPr>
        <w:t xml:space="preserve">آغاز: برابر؛ انجام: اتصال بين الذيبق و النحاس حتب يعدن شيئا واحدا و قد تم العمل آخر کتاب التجريد.</w:t>
      </w:r>
    </w:p>
    <w:p>
      <w:pPr>
        <w:pStyle w:val="BookText"/>
      </w:pPr>
      <w:r>
        <w:rPr>
          <w:rFonts w:ascii="IRNazanin" w:hAnsi="IRNazanin" w:eastAsia="IRNazanin" w:cs="IRNazanin"/>
          <w:lang w:bidi="fa-IR"/>
          <w:color w:val="111111"/>
          <w:sz w:val="28"/>
          <w:szCs w:val="28"/>
          <w:rtl/>
        </w:rPr>
        <w:t xml:space="preserve">خط: نستعلیق، بی کا، بی تا، جلد: تیماج زیتونی، وگ (۱پ ور)، ۱۱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۲-۱۷۰]</w:t>
      </w:r>
    </w:p>
    <w:p>
      <w:pPr>
        <w:pStyle w:val="BookText"/>
      </w:pPr>
      <w:r>
        <w:rPr>
          <w:rFonts w:ascii="IRNazanin" w:hAnsi="IRNazanin" w:eastAsia="IRNazanin" w:cs="IRNazanin"/>
          <w:lang w:bidi="fa-IR"/>
          <w:color w:val="111111"/>
          <w:sz w:val="28"/>
          <w:szCs w:val="28"/>
          <w:rtl/>
        </w:rPr>
        <w:t xml:space="preserve">۸. مشهد؛ رضوی؛ شماره نسخه: ۲۸۷۸۱</w:t>
      </w:r>
    </w:p>
    <w:p>
      <w:pPr>
        <w:pStyle w:val="BookText"/>
      </w:pPr>
      <w:r>
        <w:rPr>
          <w:rFonts w:ascii="IRNazanin" w:hAnsi="IRNazanin" w:eastAsia="IRNazanin" w:cs="IRNazanin"/>
          <w:lang w:bidi="fa-IR"/>
          <w:color w:val="111111"/>
          <w:sz w:val="28"/>
          <w:szCs w:val="28"/>
          <w:rtl/>
        </w:rPr>
        <w:t xml:space="preserve">آغاز: برابر؛ انجام: و انا اكرر و اتمم فافهم هذا حتى تبليغ مراد کی و لتعلم ان كتابي هذا هو كتاب الفضة حقا</w:t>
      </w:r>
    </w:p>
    <w:p>
      <w:pPr>
        <w:pStyle w:val="BookText"/>
      </w:pPr>
      <w:r>
        <w:rPr>
          <w:rFonts w:ascii="IRNazanin" w:hAnsi="IRNazanin" w:eastAsia="IRNazanin" w:cs="IRNazanin"/>
          <w:lang w:bidi="fa-IR"/>
          <w:color w:val="111111"/>
          <w:sz w:val="28"/>
          <w:szCs w:val="28"/>
          <w:rtl/>
        </w:rPr>
        <w:t xml:space="preserve">خط: نستعلیق، بی کا، بی تا؛ ضمیمه نسخه ش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۶۹ [رایانه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قم؛ مرعشی؛ شماره نسخه: ۱۲۶۳۲/۲۳</w:t>
      </w:r>
    </w:p>
    <w:p>
      <w:pPr>
        <w:pStyle w:val="BookText"/>
      </w:pPr>
      <w:r>
        <w:rPr>
          <w:rFonts w:ascii="IRNazanin" w:hAnsi="IRNazanin" w:eastAsia="IRNazanin" w:cs="IRNazanin"/>
          <w:lang w:bidi="fa-IR"/>
          <w:color w:val="111111"/>
          <w:sz w:val="28"/>
          <w:szCs w:val="28"/>
          <w:rtl/>
        </w:rPr>
        <w:t xml:space="preserve">آغاز: برابر؛ انجام: باب اقادينه الشيخ الكبير الذي قد ذكرته في غیر کتاب من کتبی قال خذ من الزر نیخين بالسوية مذكور في كتبه.</w:t>
      </w:r>
    </w:p>
    <w:p>
      <w:pPr>
        <w:pStyle w:val="BookText"/>
      </w:pPr>
      <w:r>
        <w:rPr>
          <w:rFonts w:ascii="IRNazanin" w:hAnsi="IRNazanin" w:eastAsia="IRNazanin" w:cs="IRNazanin"/>
          <w:lang w:bidi="fa-IR"/>
          <w:color w:val="111111"/>
          <w:sz w:val="28"/>
          <w:szCs w:val="28"/>
          <w:rtl/>
        </w:rPr>
        <w:t xml:space="preserve">خط: نسخ ریز، کا: بهائی بن احمد عاملی (کاظمی)، تا: اواخر قرن ۱۲ یا اوایل قرن ۱۳ق؛ رکابه دار؛ کاغذ: فرنگی، ۲گ (۵۳-۵۴)، ۷۱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سم [ف: ۳۲-۷۷]</w:t>
      </w:r>
    </w:p>
    <w:p>
      <w:pPr>
        <w:pStyle w:val="Heading3"/>
      </w:pPr>
      <w:bookmarkStart w:id="3088" w:name="_Toc2348"/>
      <w:r>
        <w:t>•التجريد / حديث / عربی</w:t>
      </w:r>
      <w:bookmarkEnd w:id="3088"/>
    </w:p>
    <w:p>
      <w:pPr>
        <w:pStyle w:val="BookText"/>
      </w:pPr>
      <w:r>
        <w:rPr>
          <w:rFonts w:ascii="Times New Roman" w:hAnsi="Times New Roman" w:eastAsia="Times New Roman" w:cs="Times New Roman"/>
          <w:lang w:val="en-US" w:bidi="en-US"/>
          <w:color w:val="111111"/>
          <w:sz w:val="28"/>
          <w:szCs w:val="28"/>
          <w:rtl/>
        </w:rPr>
        <w:t xml:space="preserve">at-tajrīd</w:t>
      </w:r>
    </w:p>
    <w:p>
      <w:pPr>
        <w:pStyle w:val="BookText"/>
      </w:pPr>
      <w:r>
        <w:rPr>
          <w:rFonts w:ascii="IRNazanin" w:hAnsi="IRNazanin" w:eastAsia="IRNazanin" w:cs="IRNazanin"/>
          <w:lang w:bidi="fa-IR"/>
          <w:color w:val="111111"/>
          <w:sz w:val="28"/>
          <w:szCs w:val="28"/>
          <w:rtl/>
        </w:rPr>
        <w:t xml:space="preserve">ابن عساکر، علی بن حسن، ۴۹۹-۵۷۱ قمری</w:t>
      </w:r>
    </w:p>
    <w:p>
      <w:pPr>
        <w:pStyle w:val="BookText"/>
      </w:pPr>
      <w:r>
        <w:rPr>
          <w:rFonts w:ascii="Times New Roman" w:hAnsi="Times New Roman" w:eastAsia="Times New Roman" w:cs="Times New Roman"/>
          <w:lang w:val="en-US" w:bidi="en-US"/>
          <w:color w:val="111111"/>
          <w:sz w:val="28"/>
          <w:szCs w:val="28"/>
          <w:rtl/>
        </w:rPr>
        <w:t xml:space="preserve">ebn-e ‘asāker, ‘alī ebn-e hasan (1106-1176)</w:t>
      </w:r>
    </w:p>
    <w:p>
      <w:pPr>
        <w:pStyle w:val="BookText"/>
      </w:pPr>
      <w:r>
        <w:rPr>
          <w:rFonts w:ascii="IRNazanin" w:hAnsi="IRNazanin" w:eastAsia="IRNazanin" w:cs="IRNazanin"/>
          <w:lang w:bidi="fa-IR"/>
          <w:color w:val="111111"/>
          <w:sz w:val="28"/>
          <w:szCs w:val="28"/>
          <w:rtl/>
        </w:rPr>
        <w:t xml:space="preserve">مشتمل بر رواتی که از انس بن مالک روایت کرده اند به ترتیب حدوف الفبا</w:t>
      </w:r>
    </w:p>
    <w:p>
      <w:pPr>
        <w:pStyle w:val="BookText"/>
      </w:pPr>
      <w:r>
        <w:rPr>
          <w:rFonts w:ascii="IRNazanin" w:hAnsi="IRNazanin" w:eastAsia="IRNazanin" w:cs="IRNazanin"/>
          <w:lang w:bidi="fa-IR"/>
          <w:color w:val="111111"/>
          <w:sz w:val="28"/>
          <w:szCs w:val="28"/>
          <w:rtl/>
        </w:rPr>
        <w:t xml:space="preserve">قم: مرکز احیاء؛ شماره نسخه: ۱۰۷۷/۲</w:t>
      </w:r>
    </w:p>
    <w:p>
      <w:pPr>
        <w:pStyle w:val="BookText"/>
      </w:pPr>
      <w:r>
        <w:rPr>
          <w:rFonts w:ascii="IRNazanin" w:hAnsi="IRNazanin" w:eastAsia="IRNazanin" w:cs="IRNazanin"/>
          <w:lang w:bidi="fa-IR"/>
          <w:color w:val="111111"/>
          <w:sz w:val="28"/>
          <w:szCs w:val="28"/>
          <w:rtl/>
        </w:rPr>
        <w:t xml:space="preserve">آغاز: و مما رواه عباد بن عبد الصمد ابو معمر البصری نزیل افريقية عن انس</w:t>
      </w:r>
    </w:p>
    <w:p>
      <w:pPr>
        <w:pStyle w:val="BookText"/>
      </w:pPr>
      <w:r>
        <w:rPr>
          <w:rFonts w:ascii="IRNazanin" w:hAnsi="IRNazanin" w:eastAsia="IRNazanin" w:cs="IRNazanin"/>
          <w:lang w:bidi="fa-IR"/>
          <w:color w:val="111111"/>
          <w:sz w:val="28"/>
          <w:szCs w:val="28"/>
          <w:rtl/>
        </w:rPr>
        <w:t xml:space="preserve">نسخه اصل: کتابخانه دار الكتب الظاهريه (مدرسه عمریه)-دمشق ۳۷۴۷. سوریه، دمشق، ظاهريه، مدرسه عتريه، ش ۹۹۵.جزء چهارم و از حرف عین (عباد بن عبد الصمد) تا حرف نون (نعیم)؛ بی کا، تا: با تاریخ ۷۲۵ق؛ ۲۶ص (۱۸-۴۳) [عکسی ف: ۳-۳۵۱]</w:t>
      </w:r>
    </w:p>
    <w:p>
      <w:pPr>
        <w:pStyle w:val="Heading3"/>
      </w:pPr>
      <w:bookmarkStart w:id="3089" w:name="_Toc2349"/>
      <w:r>
        <w:t>•التجريد = مسائل الحكمة = طبیعیات و الهیات = مشارق النور و مدارک السرور / فلسفه / عربی</w:t>
      </w:r>
      <w:bookmarkEnd w:id="3089"/>
    </w:p>
    <w:p>
      <w:pPr>
        <w:pStyle w:val="BookText"/>
      </w:pPr>
      <w:r>
        <w:rPr>
          <w:rFonts w:ascii="Times New Roman" w:hAnsi="Times New Roman" w:eastAsia="Times New Roman" w:cs="Times New Roman"/>
          <w:lang w:val="en-US" w:bidi="en-US"/>
          <w:color w:val="111111"/>
          <w:sz w:val="28"/>
          <w:szCs w:val="28"/>
          <w:rtl/>
        </w:rPr>
        <w:t xml:space="preserve">at-tajrīd = masā’il-ul hikma = ţabī'īyāt wa ilāhīyāt</w:t>
      </w:r>
    </w:p>
    <w:p>
      <w:pPr>
        <w:pStyle w:val="BookText"/>
      </w:pPr>
      <w:r>
        <w:rPr>
          <w:rFonts w:ascii="IRNazanin" w:hAnsi="IRNazanin" w:eastAsia="IRNazanin" w:cs="IRNazanin"/>
          <w:lang w:bidi="fa-IR"/>
          <w:color w:val="111111"/>
          <w:sz w:val="28"/>
          <w:szCs w:val="28"/>
          <w:rtl/>
        </w:rPr>
        <w:t xml:space="preserve">دشتکی شیرازی، منصور بن صدرالدین محمد، -۹۴۸ قمری</w:t>
      </w:r>
    </w:p>
    <w:p>
      <w:pPr>
        <w:pStyle w:val="BookText"/>
      </w:pPr>
      <w:r>
        <w:rPr>
          <w:rFonts w:ascii="Times New Roman" w:hAnsi="Times New Roman" w:eastAsia="Times New Roman" w:cs="Times New Roman"/>
          <w:lang w:val="en-US" w:bidi="en-US"/>
          <w:color w:val="111111"/>
          <w:sz w:val="28"/>
          <w:szCs w:val="28"/>
          <w:rtl/>
        </w:rPr>
        <w:t xml:space="preserve">daštakī šīrāzī, mansür ebn-e sadr-od-dīn mohammad ( 1542)</w:t>
      </w:r>
    </w:p>
    <w:p>
      <w:pPr>
        <w:pStyle w:val="BookText"/>
      </w:pPr>
      <w:r>
        <w:rPr>
          <w:rFonts w:ascii="IRNazanin" w:hAnsi="IRNazanin" w:eastAsia="IRNazanin" w:cs="IRNazanin"/>
          <w:lang w:bidi="fa-IR"/>
          <w:color w:val="111111"/>
          <w:sz w:val="28"/>
          <w:szCs w:val="28"/>
          <w:rtl/>
        </w:rPr>
        <w:t xml:space="preserve">یک دوره حکمت الهی و طبیعی را برای مبتدیان بیان کرده است. شيوه او در این کتاب آن است که صرفا مسائلی از حکمت را که مورد قبول خود اوست بدون برهان ولی توأم با دقایق و لطائف آورده است. همان طور که از مقدمه پیداست، این کتاب تلفیقی از حکمت مشاء و حکمت اشراق است و بتوان - چنان که قاضی نورالله گفته - آن را همان کتاب الاشارات و التلويحات نامید. مشتمل بر دو «قسم» است: قسم اول در طبیعیات و دارای هشت «فن»: ۱) في سمع الكيان، ۲) في السماء و العالم، ۳) في الكون و الفساد، ۴) في آثار العلوية، ۵) في المعادن، ۶) في النبات، ۷) في الحيوان، ۸) في النفس؛ قسم دوم در الهیات و دارای چهار «فن»: ۱) في الفلسفة الأولى، ۲) في واجب الوجود و صفاته، 3) في الجواهر الروحانية، ۴) في العناية و كيفية دخول السر في القضاء الالهى و معنى القضأ و القدر.</w:t>
      </w:r>
    </w:p>
    <w:p>
      <w:pPr>
        <w:pStyle w:val="BookText"/>
      </w:pPr>
      <w:r>
        <w:rPr>
          <w:rFonts w:ascii="IRNazanin" w:hAnsi="IRNazanin" w:eastAsia="IRNazanin" w:cs="IRNazanin"/>
          <w:lang w:bidi="fa-IR"/>
          <w:color w:val="111111"/>
          <w:sz w:val="28"/>
          <w:szCs w:val="28"/>
          <w:rtl/>
        </w:rPr>
        <w:t xml:space="preserve">آغاز: بسمله. اللهم يا نور الارض و السماء و يا عالم السر و اخفی انت اعلم لحوائج السائلين فلا تجعلنا فيما أملنا من الخائبين صل و سلم على احمد اشرقت اراضى القلوب بنوره و استنار ابصار البصائر بحضوره و آله و اتباعه و احبابه و بعد اقل الخليقة بل اللا شيئ في الحقيقة منصور بن محمد الحسيني احسن الله أحواله و حصل آماله انی جردت في هذا الكتاب بالتماس بعض الاحباب مسائل الحكمة عن البرهان تسهیلا على الأذهان و لكن وشحتها باشارات الى حقائق و تلويحات الى دقائق خلت عنها مؤلفات الأولين و مصنفات الاخرين</w:t>
      </w:r>
    </w:p>
    <w:p>
      <w:pPr>
        <w:pStyle w:val="BookText"/>
      </w:pPr>
      <w:r>
        <w:rPr>
          <w:rFonts w:ascii="IRNazanin" w:hAnsi="IRNazanin" w:eastAsia="IRNazanin" w:cs="IRNazanin"/>
          <w:lang w:bidi="fa-IR"/>
          <w:color w:val="111111"/>
          <w:sz w:val="28"/>
          <w:szCs w:val="28"/>
          <w:rtl/>
        </w:rPr>
        <w:t xml:space="preserve">انجام: و اعلم انک نور من لمعات نور الله فاجتهد في التنوير بسائر الانوار فتكون نورا على نور يهد الله لنوره من يشاء و يضرب الله للناس الامثال. و نختم الرساله حامدا الله الأحد الصمد مصليا على حبيبه المسمى بأحمد، قائلا: بنور وجهك اللهم ارزقنا الهداية واجنبنا عن الغباوة و الغواية في البداية و النهاية.</w:t>
      </w:r>
    </w:p>
    <w:p>
      <w:pPr>
        <w:pStyle w:val="BookText"/>
      </w:pPr>
      <w:r>
        <w:rPr>
          <w:rFonts w:ascii="IRNazanin" w:hAnsi="IRNazanin" w:eastAsia="IRNazanin" w:cs="IRNazanin"/>
          <w:lang w:bidi="fa-IR"/>
          <w:color w:val="111111"/>
          <w:sz w:val="28"/>
          <w:szCs w:val="28"/>
          <w:rtl/>
        </w:rPr>
        <w:t xml:space="preserve">چاپ: به کوشش عبدالله نورانی در مصنفات غیاث الدین منصور حسینی دشتکی شیرازی، جلد ۱ (تهران، دانشگاه تهران، انجمن آثار و مفاخر فرهنگی: ۱۳۸۶)</w:t>
      </w:r>
    </w:p>
    <w:p>
      <w:pPr>
        <w:pStyle w:val="BookText"/>
      </w:pPr>
      <w:r>
        <w:rPr>
          <w:rFonts w:ascii="IRNazanin" w:hAnsi="IRNazanin" w:eastAsia="IRNazanin" w:cs="IRNazanin"/>
          <w:lang w:bidi="fa-IR"/>
          <w:color w:val="111111"/>
          <w:sz w:val="28"/>
          <w:szCs w:val="28"/>
          <w:rtl/>
        </w:rPr>
        <w:t xml:space="preserve">[ دنا ۷۹۴/۲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شیراز؛ ملی؛ شماره نسخه: ۷۸-ح/۵۹۵/۲</w:t>
      </w:r>
    </w:p>
    <w:p>
      <w:pPr>
        <w:pStyle w:val="BookText"/>
      </w:pPr>
      <w:r>
        <w:rPr>
          <w:rFonts w:ascii="IRNazanin" w:hAnsi="IRNazanin" w:eastAsia="IRNazanin" w:cs="IRNazanin"/>
          <w:lang w:bidi="fa-IR"/>
          <w:color w:val="111111"/>
          <w:sz w:val="28"/>
          <w:szCs w:val="28"/>
          <w:rtl/>
        </w:rPr>
        <w:t xml:space="preserve">آغاز: برابر؛ انجام: و نختم الرساله حامدا الله الاحد الصمد مصليا على حبيبه ... تمت الرساله بيد الفقير ... محمد تقی الفارسی ... في شهر رمضان ببلدة الموحدين قزوین عام ۹۳۶
</w:t>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bookmarkStart w:id="721" w:name="pg20363_210075"/>
    <w:bookmarkEnd w:id="721"/>
    <w:p>
      <w:pPr>
        <w:pStyle w:val="BookText"/>
      </w:pPr>
      <w:r>
        <w:rPr>
          <w:rFonts w:ascii="IRNazanin" w:hAnsi="IRNazanin" w:eastAsia="IRNazanin" w:cs="IRNazanin"/>
          <w:lang w:bidi="fa-IR"/>
          <w:color w:val="111111"/>
          <w:sz w:val="28"/>
          <w:szCs w:val="28"/>
          <w:rtl/>
        </w:rPr>
        <w:t xml:space="preserve">مختلف، جلد: مقوا با تیماج مشکی، ۲۴گ، ۲۰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سم [ف: ۲-۱۸۴]</w:t>
      </w:r>
    </w:p>
    <w:p>
      <w:pPr>
        <w:pStyle w:val="BookText"/>
      </w:pPr>
      <w:r>
        <w:rPr>
          <w:rFonts w:ascii="IRNazanin" w:hAnsi="IRNazanin" w:eastAsia="IRNazanin" w:cs="IRNazanin"/>
          <w:lang w:bidi="fa-IR"/>
          <w:color w:val="111111"/>
          <w:sz w:val="28"/>
          <w:szCs w:val="28"/>
          <w:rtl/>
        </w:rPr>
        <w:t xml:space="preserve">۲. مشهد؛ رضوی؛ شماره نسخه:۶۰۱۹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۹۹۷ق، نسخه از مسوده مغلوطی رونویس شده؛ ۲۱گ، ۱۵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۴-۳۸ ]</w:t>
      </w:r>
    </w:p>
    <w:p>
      <w:pPr>
        <w:pStyle w:val="BookText"/>
      </w:pPr>
      <w:r>
        <w:rPr>
          <w:rFonts w:ascii="IRNazanin" w:hAnsi="IRNazanin" w:eastAsia="IRNazanin" w:cs="IRNazanin"/>
          <w:lang w:bidi="fa-IR"/>
          <w:color w:val="111111"/>
          <w:sz w:val="28"/>
          <w:szCs w:val="28"/>
          <w:rtl/>
        </w:rPr>
        <w:t xml:space="preserve">تهران؛ دانشگاه؛ شماره نسخه:۲۰۵۶-ف</w:t>
      </w:r>
    </w:p>
    <w:p>
      <w:pPr>
        <w:pStyle w:val="BookText"/>
      </w:pPr>
      <w:r>
        <w:rPr>
          <w:rFonts w:ascii="IRNazanin" w:hAnsi="IRNazanin" w:eastAsia="IRNazanin" w:cs="IRNazanin"/>
          <w:lang w:bidi="fa-IR"/>
          <w:color w:val="111111"/>
          <w:sz w:val="28"/>
          <w:szCs w:val="28"/>
          <w:rtl/>
        </w:rPr>
        <w:t xml:space="preserve">نسخه اصل: همان نسخه بالا [فیلمها ف: ۱-۲۹۶]</w:t>
      </w:r>
    </w:p>
    <w:p>
      <w:pPr>
        <w:pStyle w:val="BookText"/>
      </w:pPr>
      <w:r>
        <w:rPr>
          <w:rFonts w:ascii="IRNazanin" w:hAnsi="IRNazanin" w:eastAsia="IRNazanin" w:cs="IRNazanin"/>
          <w:lang w:bidi="fa-IR"/>
          <w:color w:val="111111"/>
          <w:sz w:val="28"/>
          <w:szCs w:val="28"/>
          <w:rtl/>
        </w:rPr>
        <w:t xml:space="preserve">٣. تهران؛ ملک؛ شماره نسخه: ۱۸۴۱/۷</w:t>
      </w:r>
    </w:p>
    <w:p>
      <w:pPr>
        <w:pStyle w:val="BookText"/>
      </w:pPr>
      <w:r>
        <w:rPr>
          <w:rFonts w:ascii="IRNazanin" w:hAnsi="IRNazanin" w:eastAsia="IRNazanin" w:cs="IRNazanin"/>
          <w:lang w:bidi="fa-IR"/>
          <w:color w:val="111111"/>
          <w:sz w:val="28"/>
          <w:szCs w:val="28"/>
          <w:rtl/>
        </w:rPr>
        <w:t xml:space="preserve">در دو بخش طبیعی و الهی؛ خط: نستعلیق، بی کا، بی تا، کاغذ: ترمه، جلد: میشن آلبالویی [ف: ۵-۳۸۰]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واقف: آقای زین العابدین؛ ۲۰گ، ۱۷ و ۱۸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۴-۳۸]</w:t>
      </w:r>
    </w:p>
    <w:p>
      <w:pPr>
        <w:pStyle w:val="Heading3"/>
      </w:pPr>
      <w:bookmarkStart w:id="3090" w:name="_Toc2350"/>
      <w:r>
        <w:t>•التجريد / تجوید / عربی</w:t>
      </w:r>
      <w:bookmarkEnd w:id="3090"/>
    </w:p>
    <w:p>
      <w:pPr>
        <w:pStyle w:val="BookText"/>
      </w:pPr>
      <w:r>
        <w:rPr>
          <w:rFonts w:ascii="Times New Roman" w:hAnsi="Times New Roman" w:eastAsia="Times New Roman" w:cs="Times New Roman"/>
          <w:lang w:val="en-US" w:bidi="en-US"/>
          <w:color w:val="111111"/>
          <w:sz w:val="28"/>
          <w:szCs w:val="28"/>
          <w:rtl/>
        </w:rPr>
        <w:t xml:space="preserve">at-tajrīd</w:t>
      </w:r>
    </w:p>
    <w:p>
      <w:pPr>
        <w:pStyle w:val="BookText"/>
      </w:pPr>
      <w:r>
        <w:rPr>
          <w:rFonts w:ascii="IRNazanin" w:hAnsi="IRNazanin" w:eastAsia="IRNazanin" w:cs="IRNazanin"/>
          <w:lang w:bidi="fa-IR"/>
          <w:color w:val="111111"/>
          <w:sz w:val="28"/>
          <w:szCs w:val="28"/>
          <w:rtl/>
        </w:rPr>
        <w:t xml:space="preserve">مشهد؛ رضوی؛ شماره نسخه:۲۹۸۰۷</w:t>
      </w:r>
    </w:p>
    <w:p>
      <w:pPr>
        <w:pStyle w:val="BookText"/>
      </w:pPr>
      <w:r>
        <w:rPr>
          <w:rFonts w:ascii="IRNazanin" w:hAnsi="IRNazanin" w:eastAsia="IRNazanin" w:cs="IRNazanin"/>
          <w:lang w:bidi="fa-IR"/>
          <w:color w:val="111111"/>
          <w:sz w:val="28"/>
          <w:szCs w:val="28"/>
          <w:rtl/>
        </w:rPr>
        <w:t xml:space="preserve">آغاز: بسمله حمدله و بعد فاعلم أن ما يذكره القراء مه واجب و منه مندوب و الامر به مطلق موكد؛ انجام: فيكمل بذلک له الثواب اصلح الله لنا و لاخواننا امر الماب تم الكتاب بعون الملک الوهاب خط: نسخ، بی کا، تا: قرن ۱۴؛ ضمیمه نسخه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[رایانه]</w:t>
      </w:r>
    </w:p>
    <w:p>
      <w:pPr>
        <w:pStyle w:val="Heading3"/>
      </w:pPr>
      <w:bookmarkStart w:id="3091" w:name="_Toc2351"/>
      <w:r>
        <w:t>•التجرید / ریاضیات / عربی</w:t>
      </w:r>
      <w:bookmarkEnd w:id="3091"/>
    </w:p>
    <w:p>
      <w:pPr>
        <w:pStyle w:val="BookText"/>
      </w:pPr>
      <w:r>
        <w:rPr>
          <w:rFonts w:ascii="Times New Roman" w:hAnsi="Times New Roman" w:eastAsia="Times New Roman" w:cs="Times New Roman"/>
          <w:lang w:val="en-US" w:bidi="en-US"/>
          <w:color w:val="111111"/>
          <w:sz w:val="28"/>
          <w:szCs w:val="28"/>
          <w:rtl/>
        </w:rPr>
        <w:t xml:space="preserve">at-tajrīd</w:t>
      </w:r>
    </w:p>
    <w:p>
      <w:pPr>
        <w:pStyle w:val="BookText"/>
      </w:pPr>
      <w:r>
        <w:rPr>
          <w:rFonts w:ascii="IRNazanin" w:hAnsi="IRNazanin" w:eastAsia="IRNazanin" w:cs="IRNazanin"/>
          <w:lang w:bidi="fa-IR"/>
          <w:color w:val="111111"/>
          <w:sz w:val="28"/>
          <w:szCs w:val="28"/>
          <w:rtl/>
        </w:rPr>
        <w:t xml:space="preserve">از ناشناسی که نام خود را در دیباچه نیاورده و «حاجی خلیفه» او را به گمان از خواجه نصیرالدین طوسی (-۶۷۲ق) دانسته است. پیشکش شده است به «الامام المرتضی ذي الفخرین ابی الحسن مطهر بن ابی القاسم دام دولته» (مدرس رضوی این انتساب را تأیید نمی کند). هندسه است بر پایه «مجسطی» اقلیدس، در ۷ در نسخه در دست هر مقاله انجامه جداگانه دارد. تنها ۴ مقاله را دارد و در میانه مقاله ۵ نانویس می ماند.</w:t>
      </w:r>
    </w:p>
    <w:p>
      <w:pPr>
        <w:pStyle w:val="BookText"/>
      </w:pPr>
      <w:r>
        <w:rPr>
          <w:rFonts w:ascii="IRNazanin" w:hAnsi="IRNazanin" w:eastAsia="IRNazanin" w:cs="IRNazanin"/>
          <w:lang w:bidi="fa-IR"/>
          <w:color w:val="111111"/>
          <w:sz w:val="28"/>
          <w:szCs w:val="28"/>
          <w:rtl/>
        </w:rPr>
        <w:t xml:space="preserve">[الذريعه ۳۵۱/۲ «التجرید» في الهندسه، به نقل از حاجی خلیفه؛ حاجی خلیفه، ۳۵۱/۱</w:t>
      </w:r>
    </w:p>
    <w:p>
      <w:pPr>
        <w:pStyle w:val="BookText"/>
      </w:pPr>
      <w:r>
        <w:rPr>
          <w:rFonts w:ascii="IRNazanin" w:hAnsi="IRNazanin" w:eastAsia="IRNazanin" w:cs="IRNazanin"/>
          <w:lang w:bidi="fa-IR"/>
          <w:color w:val="111111"/>
          <w:sz w:val="28"/>
          <w:szCs w:val="28"/>
          <w:rtl/>
        </w:rPr>
        <w:t xml:space="preserve">«التجريد في الهندسة»؛ مدرس رضوی، احوال و آثار، ۵۶۶؛ دنا ۷۹۴/۲ ]</w:t>
      </w:r>
    </w:p>
    <w:p>
      <w:pPr>
        <w:pStyle w:val="BookText"/>
      </w:pPr>
      <w:r>
        <w:rPr>
          <w:rFonts w:ascii="IRNazanin" w:hAnsi="IRNazanin" w:eastAsia="IRNazanin" w:cs="IRNazanin"/>
          <w:lang w:bidi="fa-IR"/>
          <w:color w:val="111111"/>
          <w:sz w:val="28"/>
          <w:szCs w:val="28"/>
          <w:rtl/>
        </w:rPr>
        <w:t xml:space="preserve">تهران؛ دائرة المعارف؛ شماره نسخه:۱۸۴۵/۳ -عکسی</w:t>
      </w:r>
    </w:p>
    <w:p>
      <w:pPr>
        <w:pStyle w:val="BookText"/>
      </w:pPr>
      <w:r>
        <w:rPr>
          <w:rFonts w:ascii="IRNazanin" w:hAnsi="IRNazanin" w:eastAsia="IRNazanin" w:cs="IRNazanin"/>
          <w:lang w:bidi="fa-IR"/>
          <w:color w:val="111111"/>
          <w:sz w:val="28"/>
          <w:szCs w:val="28"/>
          <w:rtl/>
        </w:rPr>
        <w:t xml:space="preserve">آغاز: الحمدلله الذي فتح علينا ابوبا نعمته و بسط لدنيا مهمات، و دل ببدايع صنعه ... فقد اوضح العلماء من الأوائل، القدر الذي يحتاج اليه الانسان من كل علم ... يكفي في علم الهندسة هو أن يعمل التنجيم بالبرهان الهندسي الذي ذكره بطلميوس في كتاب التعاليم المعروف بالمجسطی؛ انجام: اذا كانت المقادير اكثر من اربعة كم كانت فانه يكون خط: نسخ پخته، بی کا، بی تا؛ افتادگی: آغاز؛ در ص ۷۹-۹۱ انگار رساله دیگر در حساب، نیز در آغاز افتاده؛ ۵ص (۹۲-۹۶) [ عکسی ف: ۱-۵۹]</w:t>
      </w:r>
    </w:p>
    <w:p>
      <w:pPr>
        <w:pStyle w:val="BookText"/>
      </w:pPr>
      <w:r>
        <w:rPr>
          <w:rFonts w:ascii="IRNazanin" w:hAnsi="IRNazanin" w:eastAsia="IRNazanin" w:cs="IRNazanin"/>
          <w:lang w:bidi="fa-IR"/>
          <w:color w:val="111111"/>
          <w:sz w:val="28"/>
          <w:szCs w:val="28"/>
          <w:rtl/>
        </w:rPr>
        <w:t xml:space="preserve">←تجريدات الغواشی← حاشية الجديدة على شرح التجريد الجديد</w:t>
      </w:r>
    </w:p>
    <w:p>
      <w:pPr>
        <w:pStyle w:val="Heading3"/>
      </w:pPr>
      <w:bookmarkStart w:id="3092" w:name="_Toc2352"/>
      <w:r>
        <w:t>•تجریدات الغواشی و تشییدات الحواشي = حاشية الحاشية الدوانية الأخيرة / كلام و اعتقادات / عربی</w:t>
      </w:r>
      <w:bookmarkEnd w:id="3092"/>
    </w:p>
    <w:p>
      <w:pPr>
        <w:pStyle w:val="BookText"/>
      </w:pPr>
      <w:r>
        <w:rPr>
          <w:rFonts w:ascii="Times New Roman" w:hAnsi="Times New Roman" w:eastAsia="Times New Roman" w:cs="Times New Roman"/>
          <w:lang w:val="en-US" w:bidi="en-US"/>
          <w:color w:val="111111"/>
          <w:sz w:val="28"/>
          <w:szCs w:val="28"/>
          <w:rtl/>
        </w:rPr>
        <w:t xml:space="preserve">tajrīdāt-ul gawāšī wa tašyīdāt-ul ḥawāšī = ḥāšīyat-ul hāšīyat-id dawwānīyat-il axīra</w:t>
      </w:r>
    </w:p>
    <w:p>
      <w:pPr>
        <w:pStyle w:val="BookText"/>
      </w:pPr>
      <w:r>
        <w:rPr>
          <w:rFonts w:ascii="IRNazanin" w:hAnsi="IRNazanin" w:eastAsia="IRNazanin" w:cs="IRNazanin"/>
          <w:lang w:bidi="fa-IR"/>
          <w:color w:val="111111"/>
          <w:sz w:val="28"/>
          <w:szCs w:val="28"/>
          <w:rtl/>
        </w:rPr>
        <w:t xml:space="preserve">دشتکی شیرازی، منصور بن صدرالدین محمد، -۹۴۸ قمری</w:t>
      </w:r>
    </w:p>
    <w:p>
      <w:pPr>
        <w:pStyle w:val="BookText"/>
      </w:pPr>
      <w:r>
        <w:rPr>
          <w:rFonts w:ascii="Times New Roman" w:hAnsi="Times New Roman" w:eastAsia="Times New Roman" w:cs="Times New Roman"/>
          <w:lang w:val="en-US" w:bidi="en-US"/>
          <w:color w:val="111111"/>
          <w:sz w:val="28"/>
          <w:szCs w:val="28"/>
          <w:rtl/>
        </w:rPr>
        <w:t xml:space="preserve">daštakī šīrāzī, mansür ebn-e sadr-od-dīn mohammad ( 1542)</w:t>
      </w:r>
    </w:p>
    <w:p>
      <w:pPr>
        <w:pStyle w:val="BookText"/>
      </w:pPr>
      <w:r>
        <w:rPr>
          <w:rFonts w:ascii="IRNazanin" w:hAnsi="IRNazanin" w:eastAsia="IRNazanin" w:cs="IRNazanin"/>
          <w:lang w:bidi="fa-IR"/>
          <w:color w:val="111111"/>
          <w:sz w:val="28"/>
          <w:szCs w:val="28"/>
          <w:rtl/>
        </w:rPr>
        <w:t xml:space="preserve">وابسته به: حاشية الأجد على شرح تجرید الاعتقاد؛ دوانی، محمد بن اسعد (۸۳۰-۹۰۸) در مناظراتی که بین پدر مؤلف (صدر الدین دشتکی) و ملا جلال دوانی در قالب چند حاشیه صورت گرفته، پدر مؤلف موفق به نگارش سومین حاشیه در رد بر حاشیه اجد دوانی نشده است و وفات نموده، لهذا مؤلف این ردیه را در رد بر دوانی نگاشته است. آغاز: رب يسر و تمم یا غياث المستغيثين قد كشف جمالك على الأعالی کنه حقایق المعالی انجام: على النحو الذي هو وجه له فانه لايظهر لهذا القيد وجه وجيه.</w:t>
      </w:r>
    </w:p>
    <w:p>
      <w:pPr>
        <w:pStyle w:val="BookText"/>
      </w:pPr>
      <w:r>
        <w:rPr>
          <w:rFonts w:ascii="IRNazanin" w:hAnsi="IRNazanin" w:eastAsia="IRNazanin" w:cs="IRNazanin"/>
          <w:lang w:bidi="fa-IR"/>
          <w:color w:val="111111"/>
          <w:sz w:val="28"/>
          <w:szCs w:val="28"/>
          <w:rtl/>
        </w:rPr>
        <w:t xml:space="preserve">[ الذریعه ۶۷/۶ و ۳۵۲/۳ و ۶۷/۶ ؛ دنا ۷۹۵/۲ (۱۳ نسخه)]</w:t>
      </w:r>
    </w:p>
    <w:p>
      <w:pPr>
        <w:pStyle w:val="BookText"/>
      </w:pPr>
      <w:r>
        <w:rPr>
          <w:rFonts w:ascii="IRNazanin" w:hAnsi="IRNazanin" w:eastAsia="IRNazanin" w:cs="IRNazanin"/>
          <w:lang w:bidi="fa-IR"/>
          <w:color w:val="111111"/>
          <w:sz w:val="28"/>
          <w:szCs w:val="28"/>
          <w:rtl/>
        </w:rPr>
        <w:t xml:space="preserve">۱. تهران؛ ملک؛ شماره نسخه: ۸۸۲</w:t>
      </w:r>
    </w:p>
    <w:p>
      <w:pPr>
        <w:pStyle w:val="BookText"/>
      </w:pPr>
      <w:r>
        <w:rPr>
          <w:rFonts w:ascii="IRNazanin" w:hAnsi="IRNazanin" w:eastAsia="IRNazanin" w:cs="IRNazanin"/>
          <w:lang w:bidi="fa-IR"/>
          <w:color w:val="111111"/>
          <w:sz w:val="28"/>
          <w:szCs w:val="28"/>
          <w:rtl/>
        </w:rPr>
        <w:t xml:space="preserve">خط: نسخ، بی کا، تا: قرن ۱۰؛ مجدول زرین؛ تملک: جعفر بن علی بن حسین حسینی با مهرش و محمد فاضل بن شاہ محمد؛ کاغذ: ترمه سمرقندی، جلد: میشن قهوه ای، ۳۰۴گ، ۲۹ سطر، اندازه: ۲۲/۶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۱۳/۴ سم [ف: ۱-۱۶۸]</w:t>
      </w:r>
    </w:p>
    <w:p>
      <w:pPr>
        <w:pStyle w:val="BookText"/>
      </w:pPr>
      <w:r>
        <w:rPr>
          <w:rFonts w:ascii="IRNazanin" w:hAnsi="IRNazanin" w:eastAsia="IRNazanin" w:cs="IRNazanin"/>
          <w:lang w:bidi="fa-IR"/>
          <w:color w:val="111111"/>
          <w:sz w:val="28"/>
          <w:szCs w:val="28"/>
          <w:rtl/>
        </w:rPr>
        <w:t xml:space="preserve">۲. مشهد؛ رضوی؛ شماره نسخه:۱۹۸۲۸</w:t>
      </w:r>
    </w:p>
    <w:p>
      <w:pPr>
        <w:pStyle w:val="BookText"/>
      </w:pPr>
      <w:r>
        <w:rPr>
          <w:rFonts w:ascii="IRNazanin" w:hAnsi="IRNazanin" w:eastAsia="IRNazanin" w:cs="IRNazanin"/>
          <w:lang w:bidi="fa-IR"/>
          <w:color w:val="111111"/>
          <w:sz w:val="28"/>
          <w:szCs w:val="28"/>
          <w:rtl/>
        </w:rPr>
        <w:t xml:space="preserve">آغاز: برابر؛ انجام: بالعرض انه و حاصل ما ذكره ان الدليل جادق في الحال خط: نسخ و نستعلیق، کا: لطف الله بن نورالله جیلانی، تا: ۹۴۳ق؛ تملک: رفیع الدین محمد بن حیدر الحسینی؛ اهدایی: رهبری ۱۳۷۳؛ کاغذ: نباتی، جلد: تیماج، ۴۶گ، ۲۴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w:t>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bookmarkStart w:id="722" w:name="pg20363_210076"/>
    <w:bookmarkEnd w:id="722"/>
    <w:p>
      <w:pPr>
        <w:pStyle w:val="BookText"/>
      </w:pPr>
      <w:r>
        <w:rPr>
          <w:rFonts w:ascii="IRNazanin" w:hAnsi="IRNazanin" w:eastAsia="IRNazanin" w:cs="IRNazanin"/>
          <w:lang w:bidi="fa-IR"/>
          <w:color w:val="111111"/>
          <w:sz w:val="28"/>
          <w:szCs w:val="28"/>
          <w:rtl/>
        </w:rPr>
        <w:t xml:space="preserve">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[رایانه ]</w:t>
      </w:r>
    </w:p>
    <w:p>
      <w:pPr>
        <w:pStyle w:val="BookText"/>
      </w:pPr>
      <w:r>
        <w:rPr>
          <w:rFonts w:ascii="IRNazanin" w:hAnsi="IRNazanin" w:eastAsia="IRNazanin" w:cs="IRNazanin"/>
          <w:lang w:bidi="fa-IR"/>
          <w:color w:val="111111"/>
          <w:sz w:val="28"/>
          <w:szCs w:val="28"/>
          <w:rtl/>
        </w:rPr>
        <w:t xml:space="preserve">٣. تهران، دانشگاه؛ شماره نسخه: ۶۲۲۰</w:t>
      </w:r>
    </w:p>
    <w:p>
      <w:pPr>
        <w:pStyle w:val="BookText"/>
      </w:pPr>
      <w:r>
        <w:rPr>
          <w:rFonts w:ascii="IRNazanin" w:hAnsi="IRNazanin" w:eastAsia="IRNazanin" w:cs="IRNazanin"/>
          <w:lang w:bidi="fa-IR"/>
          <w:color w:val="111111"/>
          <w:sz w:val="28"/>
          <w:szCs w:val="28"/>
          <w:rtl/>
        </w:rPr>
        <w:t xml:space="preserve">خط: نستعلیق، بی کا، تا: قرن ۱۱؛ مجدول، با سر لوح زرین؛ کاغذ: سپاهانی، ۳۳۳گ، ۲۴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قطع: ربعی،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۱۶-۲۲۰]</w:t>
      </w:r>
    </w:p>
    <w:p>
      <w:pPr>
        <w:pStyle w:val="BookText"/>
      </w:pPr>
      <w:r>
        <w:rPr>
          <w:rFonts w:ascii="IRNazanin" w:hAnsi="IRNazanin" w:eastAsia="IRNazanin" w:cs="IRNazanin"/>
          <w:lang w:bidi="fa-IR"/>
          <w:color w:val="111111"/>
          <w:sz w:val="28"/>
          <w:szCs w:val="28"/>
          <w:rtl/>
        </w:rPr>
        <w:t xml:space="preserve">۴. تهران؛ ملی؛ شماره نسخه: ۸۵۹</w:t>
      </w:r>
    </w:p>
    <w:p>
      <w:pPr>
        <w:pStyle w:val="BookText"/>
      </w:pPr>
      <w:r>
        <w:rPr>
          <w:rFonts w:ascii="IRNazanin" w:hAnsi="IRNazanin" w:eastAsia="IRNazanin" w:cs="IRNazanin"/>
          <w:lang w:bidi="fa-IR"/>
          <w:color w:val="111111"/>
          <w:sz w:val="28"/>
          <w:szCs w:val="28"/>
          <w:rtl/>
        </w:rPr>
        <w:t xml:space="preserve">آغاز: بسمله ولا حول و لا قوة الا بالله العلى العظيم هذا الصراط؛ انجام: اطیعوا عليه من أن الماده و الصورة</w:t>
      </w:r>
    </w:p>
    <w:p>
      <w:pPr>
        <w:pStyle w:val="BookText"/>
      </w:pPr>
      <w:r>
        <w:rPr>
          <w:rFonts w:ascii="IRNazanin" w:hAnsi="IRNazanin" w:eastAsia="IRNazanin" w:cs="IRNazanin"/>
          <w:lang w:bidi="fa-IR"/>
          <w:color w:val="111111"/>
          <w:sz w:val="28"/>
          <w:szCs w:val="28"/>
          <w:rtl/>
        </w:rPr>
        <w:t xml:space="preserve">خط: نستعلیق، بی کا، تا: محتملا قرن ۱۱؛ کاغذ: اصفهانی، جلد: تیماج ماشی، ۳۷۹، ۲۱سطر (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سم [ف: ۳۶۰-۸ ]</w:t>
      </w:r>
    </w:p>
    <w:p>
      <w:pPr>
        <w:pStyle w:val="BookText"/>
      </w:pPr>
      <w:r>
        <w:rPr>
          <w:rFonts w:ascii="IRNazanin" w:hAnsi="IRNazanin" w:eastAsia="IRNazanin" w:cs="IRNazanin"/>
          <w:lang w:bidi="fa-IR"/>
          <w:color w:val="111111"/>
          <w:sz w:val="28"/>
          <w:szCs w:val="28"/>
          <w:rtl/>
        </w:rPr>
        <w:t xml:space="preserve">۵. تهران؛ ملک؛ شماره نسخه: ۷۱۱</w:t>
      </w:r>
    </w:p>
    <w:p>
      <w:pPr>
        <w:pStyle w:val="BookText"/>
      </w:pPr>
      <w:r>
        <w:rPr>
          <w:rFonts w:ascii="IRNazanin" w:hAnsi="IRNazanin" w:eastAsia="IRNazanin" w:cs="IRNazanin"/>
          <w:lang w:bidi="fa-IR"/>
          <w:color w:val="111111"/>
          <w:sz w:val="28"/>
          <w:szCs w:val="28"/>
          <w:rtl/>
        </w:rPr>
        <w:t xml:space="preserve">در فهرست از دوانی دانسته شده است؛ خط: نستعلیق، بی کا، تا: قرن ۱۱؛ تملک: علی حسینی، علی بن باقر حسینی در ۱۲۷۸ با مهر او؛ کاغذ: ترمه، جلد: میشن مغز پسته ای، ۴۳۰ ، ۱۸ سطر، اندازه: ۱۱/۸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سم [ف: ۱-۱۰۹]</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تهران؛ الهيات؛ شماره نسخه:۱۰۳</w:t>
      </w:r>
    </w:p>
    <w:p>
      <w:pPr>
        <w:pStyle w:val="BookText"/>
      </w:pPr>
      <w:r>
        <w:rPr>
          <w:rFonts w:ascii="IRNazanin" w:hAnsi="IRNazanin" w:eastAsia="IRNazanin" w:cs="IRNazanin"/>
          <w:lang w:bidi="fa-IR"/>
          <w:color w:val="111111"/>
          <w:sz w:val="28"/>
          <w:szCs w:val="28"/>
          <w:rtl/>
        </w:rPr>
        <w:t xml:space="preserve">آغاز: پس از یک صفحه دیباچه: بسمله. و لاحول ولاقوة ... العظيم اللهم اهدنا الصراط المستقيم و حسبنا عن الباطل الذميم ... و انتشعت</w:t>
      </w:r>
    </w:p>
    <w:p>
      <w:pPr>
        <w:pStyle w:val="BookText"/>
      </w:pPr>
      <w:r>
        <w:rPr>
          <w:rFonts w:ascii="IRNazanin" w:hAnsi="IRNazanin" w:eastAsia="IRNazanin" w:cs="IRNazanin"/>
          <w:lang w:bidi="fa-IR"/>
          <w:color w:val="111111"/>
          <w:sz w:val="28"/>
          <w:szCs w:val="28"/>
          <w:rtl/>
        </w:rPr>
        <w:t xml:space="preserve">خط: نستعلیق، بی کا، تا: قرن ۱۰ و ۱۱؛ افتادگی: انجام؛ در ۱۰ص در معاد جسمانی است به خط دیگر، سپس حاشیه ای است با عنوانهای «قوله، قال، قول» که بیشتر جاها سفید مانده سپس در اواخر که یک کتاب است یا بیشتر باز دیباچه است و در آن از سلطان بایزید خان یاد شده؛ کاغذ: اصفهانی، جلد: تیماج سرخ، ۱۵۱گ، ۲۷ سطر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اندازه: ۱۱/۵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۵۲۳]</w:t>
      </w:r>
    </w:p>
    <w:p>
      <w:pPr>
        <w:pStyle w:val="BookText"/>
      </w:pPr>
      <w:r>
        <w:rPr>
          <w:rFonts w:ascii="IRNazanin" w:hAnsi="IRNazanin" w:eastAsia="IRNazanin" w:cs="IRNazanin"/>
          <w:lang w:bidi="fa-IR"/>
          <w:color w:val="111111"/>
          <w:sz w:val="28"/>
          <w:szCs w:val="28"/>
          <w:rtl/>
        </w:rPr>
        <w:t xml:space="preserve">۷. تهران؛ مجلس؛ شماره نسخه: ۱۰۰۴۲</w:t>
      </w:r>
    </w:p>
    <w:p>
      <w:pPr>
        <w:pStyle w:val="BookText"/>
      </w:pPr>
      <w:r>
        <w:rPr>
          <w:rFonts w:ascii="IRNazanin" w:hAnsi="IRNazanin" w:eastAsia="IRNazanin" w:cs="IRNazanin"/>
          <w:lang w:bidi="fa-IR"/>
          <w:color w:val="111111"/>
          <w:sz w:val="28"/>
          <w:szCs w:val="28"/>
          <w:rtl/>
        </w:rPr>
        <w:t xml:space="preserve">آغاز: برابر؛ انجام: ثم اجاب عما اوردته ... اطلاق الموجود بالذات</w:t>
      </w:r>
    </w:p>
    <w:p>
      <w:pPr>
        <w:pStyle w:val="BookText"/>
      </w:pPr>
      <w:r>
        <w:rPr>
          <w:rFonts w:ascii="IRNazanin" w:hAnsi="IRNazanin" w:eastAsia="IRNazanin" w:cs="IRNazanin"/>
          <w:lang w:bidi="fa-IR"/>
          <w:color w:val="111111"/>
          <w:sz w:val="28"/>
          <w:szCs w:val="28"/>
          <w:rtl/>
        </w:rPr>
        <w:t xml:space="preserve">خط: نستعلیق، کا: محمد رفیع بن ملا عبدالله، تا: ۱۰۳۸ق؛ جلد: تیماج مشکی، ۲۵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۳۲-۵۷]</w:t>
      </w:r>
    </w:p>
    <w:p>
      <w:pPr>
        <w:pStyle w:val="BookText"/>
      </w:pPr>
      <w:r>
        <w:rPr>
          <w:rFonts w:ascii="IRNazanin" w:hAnsi="IRNazanin" w:eastAsia="IRNazanin" w:cs="IRNazanin"/>
          <w:lang w:bidi="fa-IR"/>
          <w:color w:val="111111"/>
          <w:sz w:val="28"/>
          <w:szCs w:val="28"/>
          <w:rtl/>
        </w:rPr>
        <w:t xml:space="preserve">۸. تهران: مجلس؛ شماره نسخه:۹۵ خوئی</w:t>
      </w:r>
    </w:p>
    <w:p>
      <w:pPr>
        <w:pStyle w:val="BookText"/>
      </w:pPr>
      <w:r>
        <w:rPr>
          <w:rFonts w:ascii="IRNazanin" w:hAnsi="IRNazanin" w:eastAsia="IRNazanin" w:cs="IRNazanin"/>
          <w:lang w:bidi="fa-IR"/>
          <w:color w:val="111111"/>
          <w:sz w:val="28"/>
          <w:szCs w:val="28"/>
          <w:rtl/>
        </w:rPr>
        <w:t xml:space="preserve">آغاز و انجام: برابر خط: نسخ، بی کا، تا: قرن ۱۲، کاغذ: اصفهانی شکری، جلد: مقوا لیمویی، ۴۷۰ص، ۱۸-۲۱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سم [ف: ۷-۹۴]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مؤسسه مطالعات اسلامی؛ شماره نسخه:۱۴۱/۴</w:t>
      </w:r>
    </w:p>
    <w:p>
      <w:pPr>
        <w:pStyle w:val="BookText"/>
      </w:pPr>
      <w:r>
        <w:rPr>
          <w:rFonts w:ascii="IRNazanin" w:hAnsi="IRNazanin" w:eastAsia="IRNazanin" w:cs="IRNazanin"/>
          <w:lang w:bidi="fa-IR"/>
          <w:color w:val="111111"/>
          <w:sz w:val="28"/>
          <w:szCs w:val="28"/>
          <w:rtl/>
        </w:rPr>
        <w:t xml:space="preserve">آغاز: بسم ... اعوذ نسالك اللهم التجريد عن غواشی الجلال و التفريد عن وساوس شیطان الخيال ... بعد يقول اقل الخليفة بلا اللاشي في الحقيقة منصور؛ انجام: اعتبر الحوادث كلها امرا واحدا استندا إلى علة واحدة دفعة واحدة نام کتاب در فهرست «شرح زورا» ذکر شده است که با توجه به آغاز نسخه تصحیح گردید؛ خط: نسخ خوش، بی کا، تا: قرن ۱۲ افتادگی: انجام کاغذ: زرد آهار زده، جلد: تیماج قهوه ای، وگ ( ۸۲-۷۴ پ)، ۱۲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۱۰۹]</w:t>
      </w:r>
    </w:p>
    <w:p>
      <w:pPr>
        <w:pStyle w:val="BookText"/>
      </w:pPr>
      <w:r>
        <w:rPr>
          <w:rFonts w:ascii="Amiri" w:hAnsi="Amiri" w:eastAsia="Amiri" w:cs="Amiri"/>
          <w:lang w:bidi="ar-SA"/>
          <w:color w:val="111111"/>
          <w:sz w:val="28"/>
          <w:szCs w:val="28"/>
          <w:rtl/>
        </w:rPr>
        <w:t xml:space="preserve">۱۰. تهران؛ دائرة المعارف؛ شماره نسخه:۶۳۸/۵</w:t>
      </w:r>
    </w:p>
    <w:p>
      <w:pPr>
        <w:pStyle w:val="BookText"/>
      </w:pPr>
      <w:r>
        <w:rPr>
          <w:rFonts w:ascii="IRNazanin" w:hAnsi="IRNazanin" w:eastAsia="IRNazanin" w:cs="IRNazanin"/>
          <w:lang w:bidi="fa-IR"/>
          <w:color w:val="111111"/>
          <w:sz w:val="28"/>
          <w:szCs w:val="28"/>
          <w:rtl/>
        </w:rPr>
        <w:t xml:space="preserve">آغاز: بسمله. ولا حول و لاقوة الا بالله العلى العظيم. نسالك اللهم التجريد عن غواشی ... و بعد يقول اقل الخليقة بل لاشي في الحقيقة منصور بن محمد الحسيني الشيرازي. هذه اشارة هاديه للظالين .. و تنبیهات منبه للهابطين؛ انجام: (نانویس مانده): مع مالزمه الزام. فكان علاجه علاجهم باشد مبالغة. بخشی از رساله ای است که می تواند «تجريد الغواشی» او باشد. در آغاز آن از «الزوراء» و «شرح الزوراء» دوانی یاد می کند؛ خط: نستعلیق، بی کا، تا: ربيع الاول ۱۲۴۱ق، سربندها نانویس؛ ۲گ (۶۷ر -۶۸پ) [ف: ۲-۱۲۲]</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مشهد، شیخ علی حیدر، شماره نسخه:۳۳۸</w:t>
      </w:r>
    </w:p>
    <w:p>
      <w:pPr>
        <w:pStyle w:val="BookText"/>
      </w:pPr>
      <w:r>
        <w:rPr>
          <w:rFonts w:ascii="IRNazanin" w:hAnsi="IRNazanin" w:eastAsia="IRNazanin" w:cs="IRNazanin"/>
          <w:lang w:bidi="fa-IR"/>
          <w:color w:val="111111"/>
          <w:sz w:val="28"/>
          <w:szCs w:val="28"/>
          <w:rtl/>
        </w:rPr>
        <w:t xml:space="preserve">آغاز: اجتماع النقيضين بسواد و يصدق هذا الحكم على المنصف؛ انجام: كذلك صدق الممكن مثلا يستلزم قيام الامكان و ليس خط: نستعلیق، بی کا، بی تا، افتادگی: آغاز و انجام؛ مصحح؛ جلد: چرم قرمز، ۲۰۰گ، ۲۵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 مؤید: ۱-۲۸۸]</w:t>
      </w:r>
    </w:p>
    <w:p>
      <w:pPr>
        <w:pStyle w:val="BookText"/>
      </w:pPr>
      <w:r>
        <w:rPr>
          <w:rFonts w:ascii="IRNazanin" w:hAnsi="IRNazanin" w:eastAsia="IRNazanin" w:cs="IRNazanin"/>
          <w:lang w:bidi="fa-IR"/>
          <w:color w:val="111111"/>
          <w:sz w:val="28"/>
          <w:szCs w:val="28"/>
          <w:rtl/>
        </w:rPr>
        <w:t xml:space="preserve">۱۲. همدان؛ مدرسه غرب، شماره نسخه:۳۱۷/۱</w:t>
      </w:r>
    </w:p>
    <w:p>
      <w:pPr>
        <w:pStyle w:val="BookText"/>
      </w:pPr>
      <w:r>
        <w:rPr>
          <w:rFonts w:ascii="IRNazanin" w:hAnsi="IRNazanin" w:eastAsia="IRNazanin" w:cs="IRNazanin"/>
          <w:lang w:bidi="fa-IR"/>
          <w:color w:val="111111"/>
          <w:sz w:val="28"/>
          <w:szCs w:val="28"/>
          <w:rtl/>
        </w:rPr>
        <w:t xml:space="preserve">خط: نسخ، بی کا، بی تا؛ افتادگی: آغاز و انجام کاغذ: اصفهانی، جلد: تیماج قهوه ای، از صفحه ۱ تا ۷۴۶ و از ۸۱۲ تا آخر کتاب، ۲۵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۱۸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۳۱سم [ رشت و همدان: ف: ۱۴۰۹]</w:t>
      </w:r>
    </w:p>
    <w:p>
      <w:pPr>
        <w:pStyle w:val="Heading3"/>
      </w:pPr>
      <w:bookmarkStart w:id="3093" w:name="_Toc2353"/>
      <w:r>
        <w:t>•تجرید الاصول / اصول فقه / عربی</w:t>
      </w:r>
      <w:bookmarkEnd w:id="3093"/>
    </w:p>
    <w:p>
      <w:pPr>
        <w:pStyle w:val="BookText"/>
      </w:pPr>
      <w:r>
        <w:rPr>
          <w:rFonts w:ascii="Times New Roman" w:hAnsi="Times New Roman" w:eastAsia="Times New Roman" w:cs="Times New Roman"/>
          <w:lang w:val="en-US" w:bidi="en-US"/>
          <w:color w:val="111111"/>
          <w:sz w:val="28"/>
          <w:szCs w:val="28"/>
          <w:rtl/>
        </w:rPr>
        <w:t xml:space="preserve">tajrīd-ul usūl</w:t>
      </w:r>
    </w:p>
    <w:p>
      <w:pPr>
        <w:pStyle w:val="BookText"/>
      </w:pPr>
      <w:r>
        <w:rPr>
          <w:rFonts w:ascii="IRNazanin" w:hAnsi="IRNazanin" w:eastAsia="IRNazanin" w:cs="IRNazanin"/>
          <w:lang w:bidi="fa-IR"/>
          <w:color w:val="111111"/>
          <w:sz w:val="28"/>
          <w:szCs w:val="28"/>
          <w:rtl/>
        </w:rPr>
        <w:t xml:space="preserve">نراقی، مهدی بن ابی ذر، ۱۱۲۸-۱۲۰۹ قمری</w:t>
      </w:r>
    </w:p>
    <w:p>
      <w:pPr>
        <w:pStyle w:val="BookText"/>
      </w:pPr>
      <w:r>
        <w:rPr>
          <w:rFonts w:ascii="Times New Roman" w:hAnsi="Times New Roman" w:eastAsia="Times New Roman" w:cs="Times New Roman"/>
          <w:lang w:val="en-US" w:bidi="en-US"/>
          <w:color w:val="111111"/>
          <w:sz w:val="28"/>
          <w:szCs w:val="28"/>
          <w:rtl/>
        </w:rPr>
        <w:t xml:space="preserve">narāqī, mahdī ebn-e abī-zar (1716-1795)</w:t>
      </w:r>
    </w:p>
    <w:p>
      <w:pPr>
        <w:pStyle w:val="BookText"/>
      </w:pPr>
      <w:r>
        <w:rPr>
          <w:rFonts w:ascii="IRNazanin" w:hAnsi="IRNazanin" w:eastAsia="IRNazanin" w:cs="IRNazanin"/>
          <w:lang w:bidi="fa-IR"/>
          <w:color w:val="111111"/>
          <w:sz w:val="28"/>
          <w:szCs w:val="28"/>
          <w:rtl/>
        </w:rPr>
        <w:t xml:space="preserve">تاریخ تأليف: ۱۱۹۰ق کتابی استدلالی در مبانی و قواعد کلی اصول فقه که بعدها توسط فرزند مؤلف «ملا احمد نراقی» شرح و بسط داده شده است. دارای پنج «مقصد»: ۱.... ۲. الادلة الشرعية، 3. مشترکات الكتاب و السنة، ۴. الاجتهاد و التقلید، ۵. التعادل و التراجيح ... آغاز: بسمله. و به نستعین.</w:t>
      </w:r>
    </w:p>
    <w:p>
      <w:pPr>
        <w:pStyle w:val="BookText"/>
      </w:pPr>
      <w:r>
        <w:rPr>
          <w:rFonts w:ascii="IRNazanin" w:hAnsi="IRNazanin" w:eastAsia="IRNazanin" w:cs="IRNazanin"/>
          <w:lang w:bidi="fa-IR"/>
          <w:color w:val="111111"/>
          <w:sz w:val="28"/>
          <w:szCs w:val="28"/>
          <w:rtl/>
        </w:rPr>
        <w:t xml:space="preserve">احمدالله على جزيل نعمه و اصلی علی نبينا محمد و عترته و بعد يقول الاحقر مهدی بن ابی ذر هذا ما اردت من تجرید الاصول و تهذيبها عن الفضول نبين مراد ک انجام: يتركب من اعتبار الترجيحات في الأدلة و مقدماتها صور كثيرة و الترجيح بما يقتضيه النظر و من الله العصمة عن الزلل و لنا الحمد علی تاییده و الصلاة على اكمل عبیده. چاپ: ایران، سنگی، ۱۳۱۷، جیبی، ۲۵۰+۴ [دنا ۷۹۵/۲ (۸ نسخه)]</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١- تجرید الاصول (مختصر)؛ نراقی، مهدی بن ابی ذر (۱۱۲۸-۱۲۰۹)</w:t>
      </w:r>
    </w:p>
    <w:p>
      <w:pPr>
        <w:pStyle w:val="BookText"/>
      </w:pPr>
      <w:r>
        <w:rPr>
          <w:rFonts w:ascii="IRNazanin" w:hAnsi="IRNazanin" w:eastAsia="IRNazanin" w:cs="IRNazanin"/>
          <w:lang w:bidi="fa-IR"/>
          <w:color w:val="111111"/>
          <w:sz w:val="28"/>
          <w:szCs w:val="28"/>
          <w:rtl/>
        </w:rPr>
        <w:t xml:space="preserve">۲- شرح تجرید الاصول = مفتاح الاصول الى كنوز تجرید الاصول؛ مجذوبعلی شاه، محمد جعفر بن صفر (۱۱۷۵-۱۲۳۸)</w:t>
      </w:r>
    </w:p>
    <w:p>
      <w:pPr>
        <w:pStyle w:val="BookText"/>
      </w:pPr>
      <w:r>
        <w:rPr>
          <w:rFonts w:ascii="IRNazanin" w:hAnsi="IRNazanin" w:eastAsia="IRNazanin" w:cs="IRNazanin"/>
          <w:lang w:bidi="fa-IR"/>
          <w:color w:val="111111"/>
          <w:sz w:val="28"/>
          <w:szCs w:val="28"/>
          <w:rtl/>
        </w:rPr>
        <w:t xml:space="preserve">۳- شرح تجرید الاصول؛ نراقی، احمد بن محمد مهدی (۱۱۸۵ وجمال
</w:t>
      </w:r>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bookmarkStart w:id="723" w:name="pg20363_210077"/>
    <w:bookmarkEnd w:id="723"/>
    <w:p>
      <w:pPr>
        <w:pStyle w:val="BookText"/>
      </w:pPr>
      <w:r>
        <w:rPr>
          <w:rFonts w:ascii="IRNazanin" w:hAnsi="IRNazanin" w:eastAsia="IRNazanin" w:cs="IRNazanin"/>
          <w:lang w:bidi="fa-IR"/>
          <w:color w:val="111111"/>
          <w:sz w:val="28"/>
          <w:szCs w:val="28"/>
          <w:rtl/>
        </w:rPr>
        <w:t xml:space="preserve">۱۲۴۵ )</w:t>
      </w:r>
    </w:p>
    <w:p>
      <w:pPr>
        <w:pStyle w:val="BookText"/>
      </w:pPr>
      <w:r>
        <w:rPr>
          <w:rFonts w:ascii="IRNazanin" w:hAnsi="IRNazanin" w:eastAsia="IRNazanin" w:cs="IRNazanin"/>
          <w:lang w:bidi="fa-IR"/>
          <w:color w:val="111111"/>
          <w:sz w:val="28"/>
          <w:szCs w:val="28"/>
          <w:rtl/>
        </w:rPr>
        <w:t xml:space="preserve">۴- جواهر العقول في شرح تجرید الاصول = شرح تجرید الاصول؛</w:t>
      </w:r>
    </w:p>
    <w:p>
      <w:pPr>
        <w:pStyle w:val="BookText"/>
      </w:pPr>
      <w:r>
        <w:rPr>
          <w:rFonts w:ascii="IRNazanin" w:hAnsi="IRNazanin" w:eastAsia="IRNazanin" w:cs="IRNazanin"/>
          <w:lang w:bidi="fa-IR"/>
          <w:color w:val="111111"/>
          <w:sz w:val="28"/>
          <w:szCs w:val="28"/>
          <w:rtl/>
        </w:rPr>
        <w:t xml:space="preserve">اشرفی مازندرانی، خضر بن اسماعیل (۱۳۳۶)</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مشهد؛ رضوی؛ شماره نسخه:۲۵۸۲۵</w:t>
      </w:r>
    </w:p>
    <w:p>
      <w:pPr>
        <w:pStyle w:val="BookText"/>
      </w:pPr>
      <w:r>
        <w:rPr>
          <w:rFonts w:ascii="IRNazanin" w:hAnsi="IRNazanin" w:eastAsia="IRNazanin" w:cs="IRNazanin"/>
          <w:lang w:bidi="fa-IR"/>
          <w:color w:val="111111"/>
          <w:sz w:val="28"/>
          <w:szCs w:val="28"/>
          <w:rtl/>
        </w:rPr>
        <w:t xml:space="preserve">آغاز: في حرم الربا و في خمس من الابل شاة و نحو الطهارة؛ انجام: فاحمد الله حمدا يليق بجلاله خط: نستعلیق، بی کا، تا: ۱۱۹۰ق؛ افتادگی: آغاز، کاغذ: نخودی، جلد: تیماج ضربی، ۱۹ سطر (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[رایانه ]</w:t>
      </w:r>
    </w:p>
    <w:p>
      <w:pPr>
        <w:pStyle w:val="BookText"/>
      </w:pPr>
      <w:r>
        <w:rPr>
          <w:rFonts w:ascii="IRNazanin" w:hAnsi="IRNazanin" w:eastAsia="IRNazanin" w:cs="IRNazanin"/>
          <w:lang w:bidi="fa-IR"/>
          <w:color w:val="111111"/>
          <w:sz w:val="28"/>
          <w:szCs w:val="28"/>
          <w:rtl/>
        </w:rPr>
        <w:t xml:space="preserve">۲. تهران؛ ادبیات، شماره نسخه:۸۸</w:t>
      </w:r>
    </w:p>
    <w:p>
      <w:pPr>
        <w:pStyle w:val="BookText"/>
      </w:pPr>
      <w:r>
        <w:rPr>
          <w:rFonts w:ascii="IRNazanin" w:hAnsi="IRNazanin" w:eastAsia="IRNazanin" w:cs="IRNazanin"/>
          <w:lang w:bidi="fa-IR"/>
          <w:color w:val="111111"/>
          <w:sz w:val="28"/>
          <w:szCs w:val="28"/>
          <w:rtl/>
        </w:rPr>
        <w:t xml:space="preserve">خط: نسخ، كان محمد رضا بن محمد صفی حسینی کاشانی، تان دوشنبه پایان شوال ۱۱۹۱ق؛ محشي [ف: ۳-۷۸]</w:t>
      </w:r>
    </w:p>
    <w:p>
      <w:pPr>
        <w:pStyle w:val="BookText"/>
      </w:pPr>
      <w:r>
        <w:rPr>
          <w:rFonts w:ascii="IRNazanin" w:hAnsi="IRNazanin" w:eastAsia="IRNazanin" w:cs="IRNazanin"/>
          <w:lang w:bidi="fa-IR"/>
          <w:color w:val="111111"/>
          <w:sz w:val="28"/>
          <w:szCs w:val="28"/>
          <w:rtl/>
        </w:rPr>
        <w:t xml:space="preserve">٣. تهران؛ مجلس؛ شماره نسخه:۴۸۲۵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شفیع بن فضل الله، تا: دهه اول رجب ۱۱۹۱ق؛ انهائی به خط مؤلف مورخ عشر ثالث از شهر رابع من السنة العاشرة من العشر التاسع من المائة الثانية من الألف الثانی که به نام ملا خلیل فرزند حاج عبد المنيع الكاشانی نوشته است؛ مهر: محمد جعفر بن سلطان العلما، عبده الراجی جعفر بن محمد (بادامی)، کاغذ: اصفهانی، جلد: تیماج، ۱۶۵گی، ۱۵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۱۳-۲۳۶]</w:t>
      </w:r>
    </w:p>
    <w:p>
      <w:pPr>
        <w:pStyle w:val="BookText"/>
      </w:pPr>
      <w:r>
        <w:rPr>
          <w:rFonts w:ascii="IRNazanin" w:hAnsi="IRNazanin" w:eastAsia="IRNazanin" w:cs="IRNazanin"/>
          <w:lang w:bidi="fa-IR"/>
          <w:color w:val="111111"/>
          <w:sz w:val="28"/>
          <w:szCs w:val="28"/>
          <w:rtl/>
        </w:rPr>
        <w:t xml:space="preserve">۴. آران کاشان؛ محمد هلال؛ شماره نسخه: ۲۳۰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محمدابراهیم بن حسن رضا، تا: ۸ رجب ۱۱۹۲ق؛ مصحح؛ جلد: تیماج سرخ، ۱۴۵گ، ۱۲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مخ:-۲۳]</w:t>
      </w:r>
    </w:p>
    <w:p>
      <w:pPr>
        <w:pStyle w:val="BookText"/>
      </w:pPr>
      <w:r>
        <w:rPr>
          <w:rFonts w:ascii="IRNazanin" w:hAnsi="IRNazanin" w:eastAsia="IRNazanin" w:cs="IRNazanin"/>
          <w:lang w:bidi="fa-IR"/>
          <w:color w:val="111111"/>
          <w:sz w:val="28"/>
          <w:szCs w:val="28"/>
          <w:rtl/>
        </w:rPr>
        <w:t xml:space="preserve">۵. تهران، ملک؛ شماره نسخه: ۱۸۴۴/۱</w:t>
      </w:r>
    </w:p>
    <w:p>
      <w:pPr>
        <w:pStyle w:val="BookText"/>
      </w:pPr>
      <w:r>
        <w:rPr>
          <w:rFonts w:ascii="IRNazanin" w:hAnsi="IRNazanin" w:eastAsia="IRNazanin" w:cs="IRNazanin"/>
          <w:lang w:bidi="fa-IR"/>
          <w:color w:val="111111"/>
          <w:sz w:val="28"/>
          <w:szCs w:val="28"/>
          <w:rtl/>
        </w:rPr>
        <w:t xml:space="preserve">آغاز: بها يستنبط منها ينقضه ... المقصد الثاني في الأدلة الشرعية؛ انجام: برابر بی کا، تا: با تاریخ ۱۱۹۳ق؛ افتادگی: آغاز (مقصد اول افتاده)؛ کاغذ: پسته ای، جلد: میشن قهوه ای [ف: ۵-۳۸۰]</w:t>
      </w:r>
    </w:p>
    <w:p>
      <w:pPr>
        <w:pStyle w:val="BookText"/>
      </w:pPr>
      <w:r>
        <w:rPr>
          <w:rFonts w:ascii="IRNazanin" w:hAnsi="IRNazanin" w:eastAsia="IRNazanin" w:cs="IRNazanin"/>
          <w:lang w:bidi="fa-IR"/>
          <w:color w:val="111111"/>
          <w:sz w:val="28"/>
          <w:szCs w:val="28"/>
          <w:rtl/>
        </w:rPr>
        <w:t xml:space="preserve">۶. کاشان؛ عاطفی، افشین؛ شماره نسخه: ۲۱</w:t>
      </w:r>
    </w:p>
    <w:p>
      <w:pPr>
        <w:pStyle w:val="BookText"/>
      </w:pPr>
      <w:r>
        <w:rPr>
          <w:rFonts w:ascii="IRNazanin" w:hAnsi="IRNazanin" w:eastAsia="IRNazanin" w:cs="IRNazanin"/>
          <w:lang w:bidi="fa-IR"/>
          <w:color w:val="111111"/>
          <w:sz w:val="28"/>
          <w:szCs w:val="28"/>
          <w:rtl/>
        </w:rPr>
        <w:t xml:space="preserve">خط: نسخ، كا: رحیم بن محمد حسینی، تا: قرن ۱۳؛ یادداشت استکتابی از «احمد بن على نقی« با مهر «عبده احمد» (بیضوی)، یادداشتی پاک شده به سال ۱۲۱۷ با مهر «المتوكل على الله عبده محمد جعفر» (مربع)؛ یادداشت تملکی به سال ۱۲۳۴؛ مهر: «عبده حسن بن محمد علی» (بیضوی)، «محمد بن محمد حسین» بیضوی)، «عبده الراجی محمد باقر بن احمد» (بیضوی)؛ جلد: تیماج قهوه ای، ۱۰۶گ، ۱۵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۲۶]</w:t>
      </w:r>
    </w:p>
    <w:p>
      <w:pPr>
        <w:pStyle w:val="BookText"/>
      </w:pPr>
      <w:r>
        <w:rPr>
          <w:rFonts w:ascii="IRNazanin" w:hAnsi="IRNazanin" w:eastAsia="IRNazanin" w:cs="IRNazanin"/>
          <w:lang w:bidi="fa-IR"/>
          <w:color w:val="111111"/>
          <w:sz w:val="28"/>
          <w:szCs w:val="28"/>
          <w:rtl/>
        </w:rPr>
        <w:t xml:space="preserve">۷. کاشان؛ رضوی؛ شماره نسخه:۸</w:t>
      </w:r>
    </w:p>
    <w:p>
      <w:pPr>
        <w:pStyle w:val="BookText"/>
      </w:pPr>
      <w:r>
        <w:rPr>
          <w:rFonts w:ascii="IRNazanin" w:hAnsi="IRNazanin" w:eastAsia="IRNazanin" w:cs="IRNazanin"/>
          <w:lang w:bidi="fa-IR"/>
          <w:color w:val="111111"/>
          <w:sz w:val="28"/>
          <w:szCs w:val="28"/>
          <w:rtl/>
        </w:rPr>
        <w:t xml:space="preserve">خط: نسخ و نستعلیق، بی کا، تا: قرن ۱۳؛ قطع: ربعی [نشریه: ۷-۳۳]</w:t>
      </w:r>
    </w:p>
    <w:p>
      <w:pPr>
        <w:pStyle w:val="BookText"/>
      </w:pPr>
      <w:r>
        <w:rPr>
          <w:rFonts w:ascii="IRNazanin" w:hAnsi="IRNazanin" w:eastAsia="IRNazanin" w:cs="IRNazanin"/>
          <w:lang w:bidi="fa-IR"/>
          <w:color w:val="111111"/>
          <w:sz w:val="28"/>
          <w:szCs w:val="28"/>
          <w:rtl/>
        </w:rPr>
        <w:t xml:space="preserve">۸. تهران؛ ملی؛ شماره نسخه:۱۹۸۹۳</w:t>
      </w:r>
    </w:p>
    <w:p>
      <w:pPr>
        <w:pStyle w:val="BookText"/>
      </w:pPr>
      <w:r>
        <w:rPr>
          <w:rFonts w:ascii="IRNazanin" w:hAnsi="IRNazanin" w:eastAsia="IRNazanin" w:cs="IRNazanin"/>
          <w:lang w:bidi="fa-IR"/>
          <w:color w:val="111111"/>
          <w:sz w:val="28"/>
          <w:szCs w:val="28"/>
          <w:rtl/>
        </w:rPr>
        <w:t xml:space="preserve">بی کا، بی تا، خریداری از مصطفی حسینی [رایانه]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یزد؛ وزیری؛ شماره نسخه:۱۰۵۴</w:t>
      </w:r>
    </w:p>
    <w:p>
      <w:pPr>
        <w:pStyle w:val="BookText"/>
      </w:pPr>
      <w:r>
        <w:rPr>
          <w:rFonts w:ascii="IRNazanin" w:hAnsi="IRNazanin" w:eastAsia="IRNazanin" w:cs="IRNazanin"/>
          <w:lang w:bidi="fa-IR"/>
          <w:color w:val="111111"/>
          <w:sz w:val="28"/>
          <w:szCs w:val="28"/>
          <w:rtl/>
        </w:rPr>
        <w:t xml:space="preserve">آغاز: برابر؛ انجام: فان امكن الجمع و لو بوجه تعيين الأولوية .. خط: نسخ، بی کا، بیتا (زمان حیات مؤلف)؛ افتادگی: انجام؛ محشی؛ اهدایی: سید محمد نواب رضوی؛ کاغذ: ترمه، جلد: مقوایی با تیماج آلبالوئی، ۱۱۱گ، ۱۴ سطر (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۳-۸۳۶]</w:t>
      </w:r>
    </w:p>
    <w:p>
      <w:pPr>
        <w:pStyle w:val="Heading3"/>
      </w:pPr>
      <w:bookmarkStart w:id="3094" w:name="_Toc2354"/>
      <w:r>
        <w:t>•تجرید الاصول في احاديث الرسول = تجرید جامع الأصول لاحاديث الرسول / حديث / عربی</w:t>
      </w:r>
      <w:bookmarkEnd w:id="3094"/>
    </w:p>
    <w:p>
      <w:pPr>
        <w:pStyle w:val="BookText"/>
      </w:pPr>
      <w:r>
        <w:rPr>
          <w:rFonts w:ascii="Times New Roman" w:hAnsi="Times New Roman" w:eastAsia="Times New Roman" w:cs="Times New Roman"/>
          <w:lang w:val="en-US" w:bidi="en-US"/>
          <w:color w:val="111111"/>
          <w:sz w:val="28"/>
          <w:szCs w:val="28"/>
          <w:rtl/>
        </w:rPr>
        <w:t xml:space="preserve">tajrīd-ul usūl fi ahādīs-er rasūl = tajrīd-i jāmi“-ul usūl</w:t>
      </w:r>
    </w:p>
    <w:p>
      <w:pPr>
        <w:pStyle w:val="BookText"/>
      </w:pPr>
      <w:r>
        <w:rPr>
          <w:rFonts w:ascii="Times New Roman" w:hAnsi="Times New Roman" w:eastAsia="Times New Roman" w:cs="Times New Roman"/>
          <w:lang w:val="en-US" w:bidi="en-US"/>
          <w:color w:val="111111"/>
          <w:sz w:val="28"/>
          <w:szCs w:val="28"/>
          <w:rtl/>
        </w:rPr>
        <w:t xml:space="preserve">li-aḥādīt-ir rasūl</w:t>
      </w:r>
    </w:p>
    <w:p>
      <w:pPr>
        <w:pStyle w:val="BookText"/>
      </w:pPr>
      <w:r>
        <w:rPr>
          <w:rFonts w:ascii="IRNazanin" w:hAnsi="IRNazanin" w:eastAsia="IRNazanin" w:cs="IRNazanin"/>
          <w:lang w:bidi="fa-IR"/>
          <w:color w:val="111111"/>
          <w:sz w:val="28"/>
          <w:szCs w:val="28"/>
          <w:rtl/>
        </w:rPr>
        <w:t xml:space="preserve">این بارزی، هبة الله بن عبدالرحیم، ۶۴۵-۷۳۸ قمری</w:t>
      </w:r>
    </w:p>
    <w:p>
      <w:pPr>
        <w:pStyle w:val="BookText"/>
      </w:pPr>
      <w:r>
        <w:rPr>
          <w:rFonts w:ascii="Times New Roman" w:hAnsi="Times New Roman" w:eastAsia="Times New Roman" w:cs="Times New Roman"/>
          <w:lang w:val="en-US" w:bidi="en-US"/>
          <w:color w:val="111111"/>
          <w:sz w:val="28"/>
          <w:szCs w:val="28"/>
          <w:rtl/>
        </w:rPr>
        <w:t xml:space="preserve">ebn-e bārezī, hebat-ol-lāh ebn-e ‘abd-or-rahīm (1248 1338)</w:t>
      </w:r>
    </w:p>
    <w:p>
      <w:pPr>
        <w:pStyle w:val="BookText"/>
      </w:pPr>
      <w:r>
        <w:rPr>
          <w:rFonts w:ascii="IRNazanin" w:hAnsi="IRNazanin" w:eastAsia="IRNazanin" w:cs="IRNazanin"/>
          <w:lang w:bidi="fa-IR"/>
          <w:color w:val="111111"/>
          <w:sz w:val="28"/>
          <w:szCs w:val="28"/>
          <w:rtl/>
        </w:rPr>
        <w:t xml:space="preserve">وابسته به: جامع الأصول الأحاديث الرسول (ص)؛ ابن اثیر، مبارک بن محمد (۵۴۴-۶۰۶ق) گزیده ای است از کتاب جامع الأصول ابن اثیر جزری که در آن زواید را حذف نموده است. وی در مقدمه چنین آورده: فاستخرت الله في تحرير اخباره و آثاره و استعنته على تلخيصه و اختصاره فالغيت منه مازاده على الأصول من شرح الغريب و الاعراب و القيت عنه ما ارتكبه من التكرار و الاسهاب فلیشهر بتجريد الأصول في احاديث الرسول و لما كثرت فيه الكتب و الابواب و رتبتها على حروف المعجم لئلا يحتاج طالب الحكم الى تصفح اكثر الكتب و الابواب و ضبط ذلك بالحرف الأول من الحكم بعد حذف آلة التعريف الا أن يكون من احکام کتاب حرف آخر فانه يذكره مثاله ذكر الغنيمة في كتاب الجهاد من حرف الجيم ...) [کشف الظنون ۵۳۵/۱ ؛ دائرة المعارف بزرگ اسلامی ۸۷/۳]</w:t>
      </w:r>
    </w:p>
    <w:p>
      <w:pPr>
        <w:pStyle w:val="BookText"/>
      </w:pPr>
      <w:r>
        <w:rPr>
          <w:rFonts w:ascii="IRNazanin" w:hAnsi="IRNazanin" w:eastAsia="IRNazanin" w:cs="IRNazanin"/>
          <w:lang w:bidi="fa-IR"/>
          <w:color w:val="111111"/>
          <w:sz w:val="28"/>
          <w:szCs w:val="28"/>
          <w:rtl/>
        </w:rPr>
        <w:t xml:space="preserve">قم؛ مرعشی؛ شماره نسخه:۱۴۱۹۶</w:t>
      </w:r>
    </w:p>
    <w:p>
      <w:pPr>
        <w:pStyle w:val="BookText"/>
      </w:pPr>
      <w:r>
        <w:rPr>
          <w:rFonts w:ascii="IRNazanin" w:hAnsi="IRNazanin" w:eastAsia="IRNazanin" w:cs="IRNazanin"/>
          <w:lang w:bidi="fa-IR"/>
          <w:color w:val="111111"/>
          <w:sz w:val="28"/>
          <w:szCs w:val="28"/>
          <w:rtl/>
        </w:rPr>
        <w:t xml:space="preserve">آغاز: الحمدلله رب العالمين ... و بعد فقد وقفت على كثير مما دونه العلماء من احادیث رسول الله صلى الله عليه ... ثم أن الشيخ الامام مجدالدين ابا السعادات المبارك بن محمد ... فابرزه في تالیف سماه جامع الاصول؛ انجام: فان كان آخر كلام رسول الله صلی الصلوة و اتقوا الله فيما ملکت ایمانکم. خط: نسخ، كا: نجم الدین کنانی، تا: ربيع الثاني ۱۱۷۳ق؛ مصحح؛ تملک: حسنعلی در تاریخ ۱۲۴۵ق، محمد صالح السویدی، محمود ... ۱۲۴۵ق همراه با مهر«افوض امرى الى الله عبده محمود» (بیضی)، عصام الدين بن محمود با مهر «عصام الدين ۱۲۸۷» (بیضی)؛ کاغذ: فرنگی، جلد: مقوایی با ترنج و سرترنج چرمی، عطف: تیماج قهوه ای، ۲۸۴گ، ۲۷ سطر (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۳۵-۷۷۴]
</w:t>
      </w: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bookmarkStart w:id="724" w:name="pg20363_210078"/>
    <w:bookmarkEnd w:id="724"/>
    <w:p>
      <w:pPr>
        <w:pStyle w:val="Heading3"/>
      </w:pPr>
      <w:bookmarkStart w:id="3095" w:name="_Toc2355"/>
      <w:r>
        <w:t>•تجرید الاصول (مختصر) / اجتهاد و تقلید / عربی</w:t>
      </w:r>
      <w:bookmarkEnd w:id="3095"/>
    </w:p>
    <w:p>
      <w:pPr>
        <w:pStyle w:val="BookText"/>
      </w:pPr>
      <w:r>
        <w:rPr>
          <w:rFonts w:ascii="Times New Roman" w:hAnsi="Times New Roman" w:eastAsia="Times New Roman" w:cs="Times New Roman"/>
          <w:lang w:val="en-US" w:bidi="en-US"/>
          <w:color w:val="111111"/>
          <w:sz w:val="28"/>
          <w:szCs w:val="28"/>
          <w:rtl/>
        </w:rPr>
        <w:t xml:space="preserve">tajrīd-ul usūl (mx.)</w:t>
      </w:r>
    </w:p>
    <w:p>
      <w:pPr>
        <w:pStyle w:val="BookText"/>
      </w:pPr>
      <w:r>
        <w:rPr>
          <w:rFonts w:ascii="IRNazanin" w:hAnsi="IRNazanin" w:eastAsia="IRNazanin" w:cs="IRNazanin"/>
          <w:lang w:bidi="fa-IR"/>
          <w:color w:val="111111"/>
          <w:sz w:val="28"/>
          <w:szCs w:val="28"/>
          <w:rtl/>
        </w:rPr>
        <w:t xml:space="preserve">نراقی، مهدی بن ابی ذر، ۱۱۲۸-۱۲۰۹ قمری</w:t>
      </w:r>
    </w:p>
    <w:p>
      <w:pPr>
        <w:pStyle w:val="BookText"/>
      </w:pPr>
      <w:r>
        <w:rPr>
          <w:rFonts w:ascii="Times New Roman" w:hAnsi="Times New Roman" w:eastAsia="Times New Roman" w:cs="Times New Roman"/>
          <w:lang w:val="en-US" w:bidi="en-US"/>
          <w:color w:val="111111"/>
          <w:sz w:val="28"/>
          <w:szCs w:val="28"/>
          <w:rtl/>
        </w:rPr>
        <w:t xml:space="preserve">narāqī, mahdī ebn-e abī-zar (1716-1795)</w:t>
      </w:r>
    </w:p>
    <w:p>
      <w:pPr>
        <w:pStyle w:val="BookText"/>
      </w:pPr>
      <w:r>
        <w:rPr>
          <w:rFonts w:ascii="IRNazanin" w:hAnsi="IRNazanin" w:eastAsia="IRNazanin" w:cs="IRNazanin"/>
          <w:lang w:bidi="fa-IR"/>
          <w:color w:val="111111"/>
          <w:sz w:val="28"/>
          <w:szCs w:val="28"/>
          <w:rtl/>
        </w:rPr>
        <w:t xml:space="preserve">وابسته به: تجرید الاصول؛ نراقی، مهدی بن ابی ذر (۱۱۲۸ -۱۲۰۹)</w:t>
      </w:r>
    </w:p>
    <w:p>
      <w:pPr>
        <w:pStyle w:val="BookText"/>
      </w:pPr>
      <w:r>
        <w:rPr>
          <w:rFonts w:ascii="IRNazanin" w:hAnsi="IRNazanin" w:eastAsia="IRNazanin" w:cs="IRNazanin"/>
          <w:lang w:bidi="fa-IR"/>
          <w:color w:val="111111"/>
          <w:sz w:val="28"/>
          <w:szCs w:val="28"/>
          <w:rtl/>
        </w:rPr>
        <w:t xml:space="preserve">ملامهدی بن ابی ذر نراقی کتاب «تجرید الاصول» خود را مختصر کرده و زاوئد آن را حذف نموده؛ ولی بنظر می رسد که این کتاب ناقص باشد.</w:t>
      </w:r>
    </w:p>
    <w:p>
      <w:pPr>
        <w:pStyle w:val="BookText"/>
      </w:pPr>
      <w:r>
        <w:rPr>
          <w:rFonts w:ascii="IRNazanin" w:hAnsi="IRNazanin" w:eastAsia="IRNazanin" w:cs="IRNazanin"/>
          <w:lang w:bidi="fa-IR"/>
          <w:color w:val="111111"/>
          <w:sz w:val="28"/>
          <w:szCs w:val="28"/>
          <w:rtl/>
        </w:rPr>
        <w:t xml:space="preserve">شیراز؛ شاهچراغ؛ شماره نسخه:۷۵۷</w:t>
      </w:r>
    </w:p>
    <w:p>
      <w:pPr>
        <w:pStyle w:val="BookText"/>
      </w:pPr>
      <w:r>
        <w:rPr>
          <w:rFonts w:ascii="IRNazanin" w:hAnsi="IRNazanin" w:eastAsia="IRNazanin" w:cs="IRNazanin"/>
          <w:lang w:bidi="fa-IR"/>
          <w:color w:val="111111"/>
          <w:sz w:val="28"/>
          <w:szCs w:val="28"/>
          <w:rtl/>
        </w:rPr>
        <w:t xml:space="preserve">آغاز: بسمله و به ثقتی-الحمدلله على جزيل نعمته و اصلی علی نبينا محمد و عترته و بعد فيقول الاحقر مهدی ابی ذر هذا ما أردت من تجرید الاصول و تهذبيها عن الفضول؛ انجام: اذا خلت عن المفاسد قيل اعتبار حبسها (كذا) يوجب اعتبارها قلناهم والا وجب نقيضه فيجتمع.</w:t>
      </w:r>
    </w:p>
    <w:p>
      <w:pPr>
        <w:pStyle w:val="BookText"/>
      </w:pPr>
      <w:r>
        <w:rPr>
          <w:rFonts w:ascii="IRNazanin" w:hAnsi="IRNazanin" w:eastAsia="IRNazanin" w:cs="IRNazanin"/>
          <w:lang w:bidi="fa-IR"/>
          <w:color w:val="111111"/>
          <w:sz w:val="28"/>
          <w:szCs w:val="28"/>
          <w:rtl/>
        </w:rPr>
        <w:t xml:space="preserve">خط: نستعلیق، بی کا، بی تا، افتادگی: انجام؛ کاغذ: نخودی، جلد: مقوا با پارچه سبز، ۲۵ص، ابعاد متن: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۲-۱۱۹]</w:t>
      </w:r>
    </w:p>
    <w:p>
      <w:pPr>
        <w:pStyle w:val="Heading3"/>
      </w:pPr>
      <w:bookmarkStart w:id="3096" w:name="_Toc2356"/>
      <w:r>
        <w:t>•تجرید الاعتقاد = تجريد العقاید = تجريد الكلام في تحرير عقاید الاسلام / کلام و اعتقادات / عربی</w:t>
      </w:r>
      <w:bookmarkEnd w:id="3096"/>
    </w:p>
    <w:p>
      <w:pPr>
        <w:pStyle w:val="BookText"/>
      </w:pPr>
      <w:r>
        <w:rPr>
          <w:rFonts w:ascii="Times New Roman" w:hAnsi="Times New Roman" w:eastAsia="Times New Roman" w:cs="Times New Roman"/>
          <w:lang w:val="en-US" w:bidi="en-US"/>
          <w:color w:val="111111"/>
          <w:sz w:val="28"/>
          <w:szCs w:val="28"/>
          <w:rtl/>
        </w:rPr>
        <w:t xml:space="preserve">tajrīd-ul i'tiqād = tajrīd-ul a'qāyid = tajrīd-ul kalām fī tahrīr-i 'aqāyid-il islām</w:t>
      </w:r>
    </w:p>
    <w:p>
      <w:pPr>
        <w:pStyle w:val="BookText"/>
      </w:pPr>
      <w:r>
        <w:rPr>
          <w:rFonts w:ascii="IRNazanin" w:hAnsi="IRNazanin" w:eastAsia="IRNazanin" w:cs="IRNazanin"/>
          <w:lang w:bidi="fa-IR"/>
          <w:color w:val="111111"/>
          <w:sz w:val="28"/>
          <w:szCs w:val="28"/>
          <w:rtl/>
        </w:rPr>
        <w:t xml:space="preserve">نصیر الدین طوسی، محمد بن محمد، ۵۹۷-۶۷۲ قمری</w:t>
      </w:r>
    </w:p>
    <w:p>
      <w:pPr>
        <w:pStyle w:val="BookText"/>
      </w:pPr>
      <w:r>
        <w:rPr>
          <w:rFonts w:ascii="Times New Roman" w:hAnsi="Times New Roman" w:eastAsia="Times New Roman" w:cs="Times New Roman"/>
          <w:lang w:val="en-US" w:bidi="en-US"/>
          <w:color w:val="111111"/>
          <w:sz w:val="28"/>
          <w:szCs w:val="28"/>
          <w:rtl/>
        </w:rPr>
        <w:t xml:space="preserve">nasīr-od-dīn-e tūsī, mohammad ebn-e mohammad (1201-1274)</w:t>
      </w:r>
    </w:p>
    <w:p>
      <w:pPr>
        <w:pStyle w:val="BookText"/>
      </w:pPr>
      <w:r>
        <w:rPr>
          <w:rFonts w:ascii="IRNazanin" w:hAnsi="IRNazanin" w:eastAsia="IRNazanin" w:cs="IRNazanin"/>
          <w:lang w:bidi="fa-IR"/>
          <w:color w:val="111111"/>
          <w:sz w:val="28"/>
          <w:szCs w:val="28"/>
          <w:rtl/>
        </w:rPr>
        <w:t xml:space="preserve">تاريخ تأليف: قرن ۷ نام این کتاب گوناگون نقل شده با این که خود مؤلف در مقدمه اش نام آن را معین کرده است و پس از او، اشتباه کاتبان و ناسخان نام های زیر را بدان داده است: تجرید الاعتقاد (الذریعه)؛ تجريد الكلام في تحرير عقائد الاسلام (الذریعه ۳۵۲/۳ )؛ تجرید</w:t>
      </w:r>
    </w:p>
    <w:p>
      <w:pPr>
        <w:pStyle w:val="BookText"/>
      </w:pPr>
      <w:r>
        <w:rPr>
          <w:rFonts w:ascii="IRNazanin" w:hAnsi="IRNazanin" w:eastAsia="IRNazanin" w:cs="IRNazanin"/>
          <w:lang w:bidi="fa-IR"/>
          <w:color w:val="111111"/>
          <w:sz w:val="28"/>
          <w:szCs w:val="28"/>
          <w:rtl/>
        </w:rPr>
        <w:t xml:space="preserve">الكلام (کشف الظنون ۳۴۶/۱ )؛ تجريد العقائد در علم کلام مدرس رضوی ص ۴۲۲)؛ تجريد القواعد (مقدمه کشف المراد ص ۱۲).</w:t>
      </w:r>
    </w:p>
    <w:p>
      <w:pPr>
        <w:pStyle w:val="BookText"/>
      </w:pPr>
      <w:r>
        <w:rPr>
          <w:rFonts w:ascii="IRNazanin" w:hAnsi="IRNazanin" w:eastAsia="IRNazanin" w:cs="IRNazanin"/>
          <w:lang w:bidi="fa-IR"/>
          <w:color w:val="111111"/>
          <w:sz w:val="28"/>
          <w:szCs w:val="28"/>
          <w:rtl/>
        </w:rPr>
        <w:t xml:space="preserve">استاد حسن زاده آملی در مقدمه خود بر کشف المراد با گزینش نام «تجرید الاعتقاد بر این کتاب، درباره آن گفته است: «النسخ الاصلية كلها ناصة من غير التباس على قوله و سميته بتجرید الاعتقاد، حتى أن النسخة الأولى بل اكثر النسخ صريحة على التجرید. على أن تسمية العلامة شرحه بکشف المراد في شرح تجرید الاعتقاد و هو تلميذه و كذلک کلام الخواجه تسجيعا و سميته بتجرید الاعتقاد ... و كذلك تسمية شمس الدین الاسفراینی شرحه بتعريد الاعتماد في شرح تجرید الاعتقاد كلها ينادي بان الكتاب موسوم بتجرید الاعتقاد لا تجريد العقائد او القواعد». کتاب «تجرید الاعتقاد بلاشک از مهمترین و متقن ترین کتب کلامی است که نقش خود را فراتر از مذهب تشیع، به دیگر فرق اسلامی نیز سرایت داده و عالمان بسیاری از اهل سنت را به شرح و حاشیه و نقد خود را داشته است. برخی</w:t>
      </w:r>
    </w:p>
    <w:p>
      <w:pPr>
        <w:pStyle w:val="BookText"/>
      </w:pPr>
      <w:r>
        <w:rPr>
          <w:rFonts w:ascii="IRNazanin" w:hAnsi="IRNazanin" w:eastAsia="IRNazanin" w:cs="IRNazanin"/>
          <w:lang w:bidi="fa-IR"/>
          <w:color w:val="111111"/>
          <w:sz w:val="28"/>
          <w:szCs w:val="28"/>
          <w:rtl/>
        </w:rPr>
        <w:t xml:space="preserve">گفته اند که این تأليف مختصر، اولین کتاب در علم کلام بر طبق مذهب حقه امامیه است. فاضل قوشچی، شارح این اثر می گوید: انه مخزون بالعجائب مشحون بالغرائب صغير الحجم وجيز النظم. كثير العلم جليل الشأن حسن النظام. مقبول الائمة العظام. لم يظفر بمثله علماء الأمصار».</w:t>
      </w:r>
    </w:p>
    <w:p>
      <w:pPr>
        <w:pStyle w:val="BookText"/>
      </w:pPr>
      <w:r>
        <w:rPr>
          <w:rFonts w:ascii="IRNazanin" w:hAnsi="IRNazanin" w:eastAsia="IRNazanin" w:cs="IRNazanin"/>
          <w:lang w:bidi="fa-IR"/>
          <w:color w:val="111111"/>
          <w:sz w:val="28"/>
          <w:szCs w:val="28"/>
          <w:rtl/>
        </w:rPr>
        <w:t xml:space="preserve">برخی در نسبت آن به خواجه تردید کرده اند و معتقد اند خواجه، تجرید را از دیگری وام گرفته! ( تفتازانی در شرح مقاصد، مبحث دوم از قول عضدی) ولی این سخن نابجاست و تردیدی در نسبت آن به خواجه نیست. باید نقش خواجه را در علم کلام همانند نقش ابن سینا در فلسفه اسلامی دانست. او با تألیف «تجرید الاعتقاد» کلام اسلامی را وارد مرحله جدیدی کرد که همچنان نقش خویش را در فربهی و گسترش این علم در عالم اسلام حفظ کرده است. بدون شک در بررسی تاریخ علم کلام اسلامی، نقش خواجه و تجرید او، قسمت عمده ای از آن را تشکیل خواهد داد. مؤلف در مقدمه خود بر این کتاب می گوید: «این کتاب را بر بهترین روش ترتیب و تنظیم نمودم و آنچه اعتقاد من بوده و آن را با دلیل یافته بودم در این کتاب درج کردم». او این کتاب مختصر را در شش «مقصد» و هر مقصد شامل چند «فصل» و هر فصل را در چند «مسئله» سامان داده است و مجموعة دارای یازده فصل» و دویست و بیست و پنج «مسأله» می باشد: مقصد اول. في الأمور العامه (هفتاد و پنج مسأله)، در سه فصل»: ۱) الوجود و العدم چهل و هفت مسأله)، ۲) الماهية و لواحقها (یازده مسأله)، 3) العلة و الملول (هفده مسأله)؛ مقصد دوم. في الجواهر و الأعراض، در پنج فصل» (طبیعیات: هفتاد و چهار مسأله): ۱) الجواهر (یازده مسأله)، ۲) الاجسام (سه مسأله)، 3) بقية احكام الاجسام (شش مسأله)، ۴) الجواهر المجردة (چهارده مسأله)، ۵) الاعراض (چهل مسأله)؛ مقصد سوم: في اثبات الصانع تعالی، در سه «فصل» (الهيات: هفتاد و شش مسأله): ۱) وجوده تعالی، ۲) صفاته تعالی، ۳) افعاله تعالی؛ مقصد چهارم: في النبوة (شش مسأله)؛ مقصد پنجم: في الامامة (نه مسأله)؛ مقصد ششم: في المعاد (بیست و یک مسأله). این کتاب از بدو تأليف شهرت ویژه ای یافت و عده بسیاری از دانشمندان شیعه و سنی بر آن شرح و حاشیه نوشته اند و برخی از شروح و حواشی آن نیز دارای شروح و حواشی است که مجموعه آن به بیش از ۲۳۰ تأليف می رسد. این اثر گرانسنگ همراه با تأليفات وابسته به خود فقط در ایران دارای بیش از ۲۴۰۰ نسخه خطی است که نشان از توجه و تاثیر ویژه آن، میان دانشمدان و علمای اسلام بالاخص علماء امامیه دارد. تألیفات کلامی خواجه بسیار است، همچون قواعد العقائد، نقد المحصل، رساله اعتقادیه، فصول نصیریه،
</w:t>
      </w: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رسالة في الامامة، رساله در اصول دین و غیره؛ ولی هیچکدام به جامعیت و تاثیر تجرید الاعتقاد نبوده است.</w:t>
      </w:r>
    </w:p>
    <w:p>
      <w:pPr>
        <w:pStyle w:val="BookText"/>
      </w:pPr>
      <w:r>
        <w:rPr>
          <w:rFonts w:ascii="IRNazanin" w:hAnsi="IRNazanin" w:eastAsia="IRNazanin" w:cs="IRNazanin"/>
          <w:lang w:bidi="fa-IR"/>
          <w:color w:val="111111"/>
          <w:sz w:val="28"/>
          <w:szCs w:val="28"/>
          <w:rtl/>
        </w:rPr>
        <w:t xml:space="preserve">شروح و حواشی خود تجرید به بیش از ۵۰ تالیف می رسد ولی مهمترین و مؤثرترین آنها عبارت است از:</w:t>
      </w:r>
    </w:p>
    <w:p>
      <w:pPr>
        <w:pStyle w:val="BookText"/>
      </w:pPr>
      <w:r>
        <w:rPr>
          <w:rFonts w:ascii="IRNazanin" w:hAnsi="IRNazanin" w:eastAsia="IRNazanin" w:cs="IRNazanin"/>
          <w:lang w:bidi="fa-IR"/>
          <w:color w:val="111111"/>
          <w:sz w:val="28"/>
          <w:szCs w:val="28"/>
          <w:rtl/>
        </w:rPr>
        <w:t xml:space="preserve">١- کشف المراد فی شرح تجرید الاعتقاد؛ علامه حلی، حسن بن يوسف (۶۴۸-۷۱۶)</w:t>
      </w:r>
    </w:p>
    <w:p>
      <w:pPr>
        <w:pStyle w:val="BookText"/>
      </w:pPr>
      <w:r>
        <w:rPr>
          <w:rFonts w:ascii="IRNazanin" w:hAnsi="IRNazanin" w:eastAsia="IRNazanin" w:cs="IRNazanin"/>
          <w:lang w:bidi="fa-IR"/>
          <w:color w:val="111111"/>
          <w:sz w:val="28"/>
          <w:szCs w:val="28"/>
          <w:rtl/>
        </w:rPr>
        <w:t xml:space="preserve">۲-تسديد القواعد في شرح شرح تجريد العقائد؛ اصفهانی، محمود بن عبدالرحمن (۶۷۴-۷۴۹) که به شرح قدیم مشهور است</w:t>
      </w:r>
    </w:p>
    <w:p>
      <w:pPr>
        <w:pStyle w:val="BookText"/>
      </w:pPr>
      <w:r>
        <w:rPr>
          <w:rFonts w:ascii="IRNazanin" w:hAnsi="IRNazanin" w:eastAsia="IRNazanin" w:cs="IRNazanin"/>
          <w:lang w:bidi="fa-IR"/>
          <w:color w:val="111111"/>
          <w:sz w:val="28"/>
          <w:szCs w:val="28"/>
          <w:rtl/>
        </w:rPr>
        <w:t xml:space="preserve">۳-شرح تجرید الاعتقاد (شرح قوشچی)؛ قوشچی، علی بن محمد (-۸۷۹) که به شرح جدید مشهور است</w:t>
      </w:r>
    </w:p>
    <w:p>
      <w:pPr>
        <w:pStyle w:val="BookText"/>
      </w:pPr>
      <w:r>
        <w:rPr>
          <w:rFonts w:ascii="IRNazanin" w:hAnsi="IRNazanin" w:eastAsia="IRNazanin" w:cs="IRNazanin"/>
          <w:lang w:bidi="fa-IR"/>
          <w:color w:val="111111"/>
          <w:sz w:val="28"/>
          <w:szCs w:val="28"/>
          <w:rtl/>
        </w:rPr>
        <w:t xml:space="preserve">۴-شوارق الالهام في شرح تجرید الاعتقاد؛ عبدالرزاق لاهیجی (۱۰۷۱-)</w:t>
      </w:r>
    </w:p>
    <w:p>
      <w:pPr>
        <w:pStyle w:val="BookText"/>
      </w:pPr>
      <w:r>
        <w:rPr>
          <w:rFonts w:ascii="IRNazanin" w:hAnsi="IRNazanin" w:eastAsia="IRNazanin" w:cs="IRNazanin"/>
          <w:lang w:bidi="fa-IR"/>
          <w:color w:val="111111"/>
          <w:sz w:val="28"/>
          <w:szCs w:val="28"/>
          <w:rtl/>
        </w:rPr>
        <w:t xml:space="preserve">بر شروح و حواشی تجرید بیش از یکصد و هشتاد شرح و حاشیه وجود دارد. مهم این که شرح اصفهانی و قوشچی که هر دو بسیار مورد توجه بوده، هر دو از عامه اند و در مذهب متفاوت با خواجه طوسی و کمتر اثری با رنگ و بوی شیعی چه در شرح و چه در نقد و حاشیه، همانند کتاب تجريد الاعتقاد خواجه می توان یافت. گفته شده آن را در بغداد در سال ۶۶۰ بر او خوانده اند (فهرست مجلس ۳۸۹/۲ ) و گفته شده این آخرین اثر و تأليف خواجه است که در حدود ۶۶۹ نگارش یافته است. (سبع رسائل، تصحیح سید احمد تویسرکانی، ص ۲۸۸).</w:t>
      </w:r>
    </w:p>
    <w:p>
      <w:pPr>
        <w:pStyle w:val="BookText"/>
      </w:pPr>
      <w:r>
        <w:rPr>
          <w:rFonts w:ascii="IRNazanin" w:hAnsi="IRNazanin" w:eastAsia="IRNazanin" w:cs="IRNazanin"/>
          <w:lang w:bidi="fa-IR"/>
          <w:color w:val="111111"/>
          <w:sz w:val="28"/>
          <w:szCs w:val="28"/>
          <w:rtl/>
        </w:rPr>
        <w:t xml:space="preserve">آغاز: أما بعد حمد واجب الوجود على نعمائه و الصلاة على سيد انبيائه و على اکرم احبائه فانی مجيب الى ما سئلت من تحرير مسائل الكلام و ترتيبها على أبلغ النظام مسيرا الى غرر فرائد الاعتقاد و نكت مسائل الاجتهاد مما قادني الدليل اليه و قوی اعتمادی علیه و الله اسئل العصمة و السداد</w:t>
      </w:r>
    </w:p>
    <w:p>
      <w:pPr>
        <w:pStyle w:val="BookText"/>
      </w:pPr>
      <w:r>
        <w:rPr>
          <w:rFonts w:ascii="IRNazanin" w:hAnsi="IRNazanin" w:eastAsia="IRNazanin" w:cs="IRNazanin"/>
          <w:lang w:bidi="fa-IR"/>
          <w:color w:val="111111"/>
          <w:sz w:val="28"/>
          <w:szCs w:val="28"/>
          <w:rtl/>
        </w:rPr>
        <w:t xml:space="preserve">انجام: و كذا النهي عن المنکر و بالمندوب مندوب سمعا و الا الزم ما هو خلاف الواقع و الاخلال بحكمة الله تعالی و شرطهما علم فاعلهما بالوجه و يجوز التأثير و انتفاء المفسدة و الله اعلم بالثواب اللهم ثبتنا على دینک و طاعتک و لاتزغ قلوبنا بعد اذ هديتنا وهب لنا من لدنک رحمة انک انت الوهاب</w:t>
      </w:r>
    </w:p>
    <w:p>
      <w:pPr>
        <w:pStyle w:val="BookText"/>
      </w:pPr>
      <w:r>
        <w:rPr>
          <w:rFonts w:ascii="IRNazanin" w:hAnsi="IRNazanin" w:eastAsia="IRNazanin" w:cs="IRNazanin"/>
          <w:lang w:bidi="fa-IR"/>
          <w:color w:val="111111"/>
          <w:sz w:val="28"/>
          <w:szCs w:val="28"/>
          <w:rtl/>
        </w:rPr>
        <w:t xml:space="preserve">چاپ: تهران، سنگی، بدون تاریخ، جیبی، ۱۱۱صفحه؛ تهران، ۱۲۸۰ق، سنگی، همراه با شوارق الالهام، بمبئی، ۱۳۱۱ق، سنگی، ۳۴۴ص، همراه با کشف المراد؛ این اثر در سال ۱۴۰۷ق با تحقیق محقق معاصر سید محمد جواد حسینی جلالی از سوی دفتر تبلیغات اسلامی حوزه علمیه قم منتشر گردیده است؛ یک کتاب شناسی جامع و کامل از آثار مرتبط با کتاب تجريد العقائد از سوی محقق سخت کوش و دوست دیرینم على صدرایی خویی تهیه گردیده و در سال ۱۳۸۲ ش به چاپ رسیده است</w:t>
      </w:r>
    </w:p>
    <w:p>
      <w:pPr>
        <w:pStyle w:val="BookText"/>
      </w:pPr>
      <w:r>
        <w:rPr>
          <w:rFonts w:ascii="IRNazanin" w:hAnsi="IRNazanin" w:eastAsia="IRNazanin" w:cs="IRNazanin"/>
          <w:lang w:bidi="fa-IR"/>
          <w:color w:val="111111"/>
          <w:sz w:val="28"/>
          <w:szCs w:val="28"/>
          <w:rtl/>
        </w:rPr>
        <w:t xml:space="preserve">[الذريعة ۳۵۲/۳ و ۳۱/۶و ۱۱۳و ۱۴۴ و ۳۵۴/۳ ؛ کشف الظنون ۳۴۶/۱ -۳۵۱؛ ريحانة الأدب ۲/ ۱۸۰؛ آثار و احوال خواجه از مدرس رضوی: ۲۰۹؛ کتابشناسی تجرید الاعتقاد، صدرائی خوئی، ص ۱۹-۲۱؛ معجم التراث الكلامی: ۱۶۲/۲ ؛ فهرست المخطوطات العربية الاسلامية بمكتبة الفاتيكان: ۱۷۸/۱ و ۱۷۹؛ دنا ۷۹۵/۲ -۷۹۷ (۷۵ نسخه)]</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١- کشف المراد في شرح تجرید الاعتقاد؛ علامه حلی، حسن بن يوسف (۶۴۸-۷۲۶)</w:t>
      </w:r>
    </w:p>
    <w:p>
      <w:pPr>
        <w:pStyle w:val="BookText"/>
      </w:pPr>
      <w:r>
        <w:rPr>
          <w:rFonts w:ascii="IRNazanin" w:hAnsi="IRNazanin" w:eastAsia="IRNazanin" w:cs="IRNazanin"/>
          <w:lang w:bidi="fa-IR"/>
          <w:color w:val="111111"/>
          <w:sz w:val="28"/>
          <w:szCs w:val="28"/>
          <w:rtl/>
        </w:rPr>
        <w:t xml:space="preserve">۲- تسديد القواعد في شرح تجرید العقاید = تشييد العقاید في شرح تجريد العقاید = شرح قدیم تجرید؛ اصفهانی، محمود بن عبدالرحمن (۷۴۹-۶۷۴)</w:t>
      </w:r>
    </w:p>
    <w:p>
      <w:pPr>
        <w:pStyle w:val="BookText"/>
      </w:pPr>
      <w:r>
        <w:rPr>
          <w:rFonts w:ascii="IRNazanin" w:hAnsi="IRNazanin" w:eastAsia="IRNazanin" w:cs="IRNazanin"/>
          <w:lang w:bidi="fa-IR"/>
          <w:color w:val="111111"/>
          <w:sz w:val="28"/>
          <w:szCs w:val="28"/>
          <w:rtl/>
        </w:rPr>
        <w:t xml:space="preserve">٣- تفرید الاعتماد في شرح تجرید الاعتقاد بهشتی اسفراینی، محمد بن احمد (-۷۴۹)</w:t>
      </w:r>
    </w:p>
    <w:p>
      <w:pPr>
        <w:pStyle w:val="BookText"/>
      </w:pPr>
      <w:r>
        <w:rPr>
          <w:rFonts w:ascii="IRNazanin" w:hAnsi="IRNazanin" w:eastAsia="IRNazanin" w:cs="IRNazanin"/>
          <w:lang w:bidi="fa-IR"/>
          <w:color w:val="111111"/>
          <w:sz w:val="28"/>
          <w:szCs w:val="28"/>
          <w:rtl/>
        </w:rPr>
        <w:t xml:space="preserve">۴- المفيد في شرح تجرید الاعتقاد؛ مصری، احمد بن محمد (-۷۵۷)</w:t>
      </w:r>
    </w:p>
    <w:p>
      <w:pPr>
        <w:pStyle w:val="BookText"/>
      </w:pPr>
      <w:r>
        <w:rPr>
          <w:rFonts w:ascii="IRNazanin" w:hAnsi="IRNazanin" w:eastAsia="IRNazanin" w:cs="IRNazanin"/>
          <w:lang w:bidi="fa-IR"/>
          <w:color w:val="111111"/>
          <w:sz w:val="28"/>
          <w:szCs w:val="28"/>
          <w:rtl/>
        </w:rPr>
        <w:t xml:space="preserve">۵- حاشية تسديد القواعد في شرح تجريد العقاید = حاشية شرح القديم للتجريد = حاشية شرح الأصفهاني على التجريد؛ جرجانی، علی بن محمد (۷۴۰-۸۱۶)</w:t>
      </w:r>
    </w:p>
    <w:p>
      <w:pPr>
        <w:pStyle w:val="BookText"/>
      </w:pPr>
      <w:r>
        <w:rPr>
          <w:rFonts w:ascii="IRNazanin" w:hAnsi="IRNazanin" w:eastAsia="IRNazanin" w:cs="IRNazanin"/>
          <w:lang w:bidi="fa-IR"/>
          <w:color w:val="111111"/>
          <w:sz w:val="28"/>
          <w:szCs w:val="28"/>
          <w:rtl/>
        </w:rPr>
        <w:t xml:space="preserve">۶- شرح تجرید الاعتقاد = شرح تجريد العقاید = شرح جدید تجريد = شرح تجريد الكلام = شرح التجرید؛ قوشچی، علی بن محمد (-۸۷۹)</w:t>
      </w:r>
    </w:p>
    <w:p>
      <w:pPr>
        <w:pStyle w:val="BookText"/>
      </w:pPr>
      <w:r>
        <w:rPr>
          <w:rFonts w:ascii="IRNazanin" w:hAnsi="IRNazanin" w:eastAsia="IRNazanin" w:cs="IRNazanin"/>
          <w:lang w:bidi="fa-IR"/>
          <w:color w:val="111111"/>
          <w:sz w:val="28"/>
          <w:szCs w:val="28"/>
          <w:rtl/>
        </w:rPr>
        <w:t xml:space="preserve">۷- حاشية حاشية تسديد القواعد في شرح تجرید العقائد؛ خطیب زاده، محمد بن ابراهيم (-۸۹۱)</w:t>
      </w:r>
    </w:p>
    <w:p>
      <w:pPr>
        <w:pStyle w:val="BookText"/>
      </w:pPr>
      <w:r>
        <w:rPr>
          <w:rFonts w:ascii="IRNazanin" w:hAnsi="IRNazanin" w:eastAsia="IRNazanin" w:cs="IRNazanin"/>
          <w:lang w:bidi="fa-IR"/>
          <w:color w:val="111111"/>
          <w:sz w:val="28"/>
          <w:szCs w:val="28"/>
          <w:rtl/>
        </w:rPr>
        <w:t xml:space="preserve">۸- ايضاح مشكلات التوحيد في حل معضلات التجريد؛ حسینی، شجاع بن على (-۱۰)</w:t>
      </w:r>
    </w:p>
    <w:p>
      <w:pPr>
        <w:pStyle w:val="BookText"/>
      </w:pPr>
      <w:r>
        <w:rPr>
          <w:rFonts w:ascii="IRNazanin" w:hAnsi="IRNazanin" w:eastAsia="IRNazanin" w:cs="IRNazanin"/>
          <w:lang w:bidi="fa-IR"/>
          <w:color w:val="111111"/>
          <w:sz w:val="28"/>
          <w:szCs w:val="28"/>
          <w:rtl/>
        </w:rPr>
        <w:t xml:space="preserve">۹- حاشية شرح التجريد الجديد؛ حسینی، فضل الله بن محمد (-۱۰)</w:t>
      </w:r>
    </w:p>
    <w:p>
      <w:pPr>
        <w:pStyle w:val="BookText"/>
      </w:pPr>
      <w:r>
        <w:rPr>
          <w:rFonts w:ascii="IRNazanin" w:hAnsi="IRNazanin" w:eastAsia="IRNazanin" w:cs="IRNazanin"/>
          <w:lang w:bidi="fa-IR"/>
          <w:color w:val="111111"/>
          <w:sz w:val="28"/>
          <w:szCs w:val="28"/>
          <w:rtl/>
        </w:rPr>
        <w:t xml:space="preserve">۱۰- حاشية حاشية تسديد القواعد في شرح تجرید العقائد ملازاده (-10)</w:t>
      </w:r>
    </w:p>
    <w:p>
      <w:pPr>
        <w:pStyle w:val="BookText"/>
      </w:pPr>
      <w:r>
        <w:rPr>
          <w:rFonts w:ascii="IRNazanin" w:hAnsi="IRNazanin" w:eastAsia="IRNazanin" w:cs="IRNazanin"/>
          <w:lang w:bidi="fa-IR"/>
          <w:color w:val="111111"/>
          <w:sz w:val="28"/>
          <w:szCs w:val="28"/>
          <w:rtl/>
        </w:rPr>
        <w:t xml:space="preserve">11- حاشية حاشية الدواني القديمة على شرح التجريد؛ استر آبادی صدری، جلال الدین (-۱۰)</w:t>
      </w:r>
    </w:p>
    <w:p>
      <w:pPr>
        <w:pStyle w:val="BookText"/>
      </w:pPr>
      <w:r>
        <w:rPr>
          <w:rFonts w:ascii="IRNazanin" w:hAnsi="IRNazanin" w:eastAsia="IRNazanin" w:cs="IRNazanin"/>
          <w:lang w:bidi="fa-IR"/>
          <w:color w:val="111111"/>
          <w:sz w:val="28"/>
          <w:szCs w:val="28"/>
          <w:rtl/>
        </w:rPr>
        <w:t xml:space="preserve">۱۲- حاشية شرح التجريد الجديد؛ مشکک رستمداری، محمد بن على (۱۰-)</w:t>
      </w:r>
    </w:p>
    <w:p>
      <w:pPr>
        <w:pStyle w:val="BookText"/>
      </w:pPr>
      <w:r>
        <w:rPr>
          <w:rFonts w:ascii="IRNazanin" w:hAnsi="IRNazanin" w:eastAsia="IRNazanin" w:cs="IRNazanin"/>
          <w:lang w:bidi="fa-IR"/>
          <w:color w:val="111111"/>
          <w:sz w:val="28"/>
          <w:szCs w:val="28"/>
          <w:rtl/>
        </w:rPr>
        <w:t xml:space="preserve">۱۳- حاشية حاشية الدواني القديمة على شرح التجريد؛ اصفهانی، حسین بن میرزا علی (-۱۰)</w:t>
      </w:r>
    </w:p>
    <w:p>
      <w:pPr>
        <w:pStyle w:val="BookText"/>
      </w:pPr>
      <w:r>
        <w:rPr>
          <w:rFonts w:ascii="IRNazanin" w:hAnsi="IRNazanin" w:eastAsia="IRNazanin" w:cs="IRNazanin"/>
          <w:lang w:bidi="fa-IR"/>
          <w:color w:val="111111"/>
          <w:sz w:val="28"/>
          <w:szCs w:val="28"/>
          <w:rtl/>
        </w:rPr>
        <w:t xml:space="preserve">۱۴- حاشية حاشية الدواني القديمة على شرح التجرید؛ شریف گیلانی، قاسم بن عزيز الدين (۱۰-)</w:t>
      </w:r>
    </w:p>
    <w:p>
      <w:pPr>
        <w:pStyle w:val="BookText"/>
      </w:pPr>
      <w:r>
        <w:rPr>
          <w:rFonts w:ascii="IRNazanin" w:hAnsi="IRNazanin" w:eastAsia="IRNazanin" w:cs="IRNazanin"/>
          <w:lang w:bidi="fa-IR"/>
          <w:color w:val="111111"/>
          <w:sz w:val="28"/>
          <w:szCs w:val="28"/>
          <w:rtl/>
        </w:rPr>
        <w:t xml:space="preserve">۱۵- حاشية شرح التجريد الجديد؛ استر آبادی، شمس الدين محمد ( -10)</w:t>
      </w:r>
    </w:p>
    <w:p>
      <w:pPr>
        <w:pStyle w:val="BookText"/>
      </w:pPr>
      <w:r>
        <w:rPr>
          <w:rFonts w:ascii="IRNazanin" w:hAnsi="IRNazanin" w:eastAsia="IRNazanin" w:cs="IRNazanin"/>
          <w:lang w:bidi="fa-IR"/>
          <w:color w:val="111111"/>
          <w:sz w:val="28"/>
          <w:szCs w:val="28"/>
          <w:rtl/>
        </w:rPr>
        <w:t xml:space="preserve">۱۶- حاشية تسديد القواعد في شرح تجريد العقاید؛ بحر آبادی، محمد بن یوسف (۱۰-)</w:t>
      </w:r>
    </w:p>
    <w:p>
      <w:pPr>
        <w:pStyle w:val="BookText"/>
      </w:pPr>
      <w:r>
        <w:rPr>
          <w:rFonts w:ascii="IRNazanin" w:hAnsi="IRNazanin" w:eastAsia="IRNazanin" w:cs="IRNazanin"/>
          <w:lang w:bidi="fa-IR"/>
          <w:color w:val="111111"/>
          <w:sz w:val="28"/>
          <w:szCs w:val="28"/>
          <w:rtl/>
        </w:rPr>
        <w:t xml:space="preserve">۱۷- حاشية حاشية الدواني القديمة على شرح التجرید؛ شیرازی، محمود بن يعقوب (-۱۰)</w:t>
      </w:r>
    </w:p>
    <w:p>
      <w:pPr>
        <w:pStyle w:val="BookText"/>
      </w:pPr>
      <w:r>
        <w:rPr>
          <w:rFonts w:ascii="IRNazanin" w:hAnsi="IRNazanin" w:eastAsia="IRNazanin" w:cs="IRNazanin"/>
          <w:lang w:bidi="fa-IR"/>
          <w:color w:val="111111"/>
          <w:sz w:val="28"/>
          <w:szCs w:val="28"/>
          <w:rtl/>
        </w:rPr>
        <w:t xml:space="preserve">۱۸- تحقيق التجريد؛ لاری، کمال بن محمد (-۱۰)</w:t>
      </w:r>
    </w:p>
    <w:p>
      <w:pPr>
        <w:pStyle w:val="BookText"/>
      </w:pPr>
      <w:r>
        <w:rPr>
          <w:rFonts w:ascii="IRNazanin" w:hAnsi="IRNazanin" w:eastAsia="IRNazanin" w:cs="IRNazanin"/>
          <w:lang w:bidi="fa-IR"/>
          <w:color w:val="111111"/>
          <w:sz w:val="28"/>
          <w:szCs w:val="28"/>
          <w:rtl/>
        </w:rPr>
        <w:t xml:space="preserve">۱۹- ملحقات لاری؛ لاری، کمال بن محمد (-۱۰)</w:t>
      </w:r>
    </w:p>
    <w:p>
      <w:pPr>
        <w:pStyle w:val="BookText"/>
      </w:pPr>
      <w:r>
        <w:rPr>
          <w:rFonts w:ascii="IRNazanin" w:hAnsi="IRNazanin" w:eastAsia="IRNazanin" w:cs="IRNazanin"/>
          <w:lang w:bidi="fa-IR"/>
          <w:color w:val="111111"/>
          <w:sz w:val="28"/>
          <w:szCs w:val="28"/>
          <w:rtl/>
        </w:rPr>
        <w:t xml:space="preserve">۲۰- حاشية حاشية الدواني القديمة على شرح التجريد = حاشیه حاشیه شرح جدید تجريد العقائد؛ لاری، کمال بن محمد (-۱۰)</w:t>
      </w:r>
    </w:p>
    <w:p>
      <w:pPr>
        <w:pStyle w:val="BookText"/>
      </w:pPr>
      <w:r>
        <w:rPr>
          <w:rFonts w:ascii="IRNazanin" w:hAnsi="IRNazanin" w:eastAsia="IRNazanin" w:cs="IRNazanin"/>
          <w:lang w:bidi="fa-IR"/>
          <w:color w:val="111111"/>
          <w:sz w:val="28"/>
          <w:szCs w:val="28"/>
          <w:rtl/>
        </w:rPr>
        <w:t xml:space="preserve">۲۱- حدائق الفوائد في تحقيق شرح تجرید العقاید؛ غفاری، حامد بن برهان (-۱۰)
</w:t>
      </w: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۲۲- تحرير تجريد العقاید؛ نیریزی، محمود بن محمد (-۱۰)</w:t>
      </w:r>
    </w:p>
    <w:p>
      <w:pPr>
        <w:pStyle w:val="BookText"/>
      </w:pPr>
      <w:r>
        <w:rPr>
          <w:rFonts w:ascii="IRNazanin" w:hAnsi="IRNazanin" w:eastAsia="IRNazanin" w:cs="IRNazanin"/>
          <w:lang w:bidi="fa-IR"/>
          <w:color w:val="111111"/>
          <w:sz w:val="28"/>
          <w:szCs w:val="28"/>
          <w:rtl/>
        </w:rPr>
        <w:t xml:space="preserve">۲۳- حاشية القديمة على شرح التجريد الجديد؛ دشتکی شیرازی، میر صدرالدین محمد (۸۲۸-۹۰۳)</w:t>
      </w:r>
    </w:p>
    <w:p>
      <w:pPr>
        <w:pStyle w:val="BookText"/>
      </w:pPr>
      <w:r>
        <w:rPr>
          <w:rFonts w:ascii="IRNazanin" w:hAnsi="IRNazanin" w:eastAsia="IRNazanin" w:cs="IRNazanin"/>
          <w:lang w:bidi="fa-IR"/>
          <w:color w:val="111111"/>
          <w:sz w:val="28"/>
          <w:szCs w:val="28"/>
          <w:rtl/>
        </w:rPr>
        <w:t xml:space="preserve">۲۴- حاشية الجديدة على شرح التجريد الجديد؛ دشتکی شیرازی، میر صدرالدین محمد (۸۲۸-۹۰۳)</w:t>
      </w:r>
    </w:p>
    <w:p>
      <w:pPr>
        <w:pStyle w:val="BookText"/>
      </w:pPr>
      <w:r>
        <w:rPr>
          <w:rFonts w:ascii="IRNazanin" w:hAnsi="IRNazanin" w:eastAsia="IRNazanin" w:cs="IRNazanin"/>
          <w:lang w:bidi="fa-IR"/>
          <w:color w:val="111111"/>
          <w:sz w:val="28"/>
          <w:szCs w:val="28"/>
          <w:rtl/>
        </w:rPr>
        <w:t xml:space="preserve">۲۵- حاشية على شرح التجريد الجديد؛ دشتکی شیرازی، میر صدرالدین محمد (۸۲۸-۹۰۳) ۲۶- حاشية في مغالطة جذر الأصم على شرح التجريد = حل شبهة جذر الأصم = حل شبهة ابن کمونة = شبهه جذر اصم؛ دشتکی شیرازی، میر صدرالدین محمد (۸۲۸-۹۰۳) ۲۷- حاشية القديمة على شرح التجريد = حاشية شرح تجرید؛ دوانی، محمد بن اسعد (۸۳۰-۹۰۸)</w:t>
      </w:r>
    </w:p>
    <w:p>
      <w:pPr>
        <w:pStyle w:val="BookText"/>
      </w:pPr>
      <w:r>
        <w:rPr>
          <w:rFonts w:ascii="IRNazanin" w:hAnsi="IRNazanin" w:eastAsia="IRNazanin" w:cs="IRNazanin"/>
          <w:lang w:bidi="fa-IR"/>
          <w:color w:val="111111"/>
          <w:sz w:val="28"/>
          <w:szCs w:val="28"/>
          <w:rtl/>
        </w:rPr>
        <w:t xml:space="preserve">۲۸- تحقيق التقابل؛ دوانی، محمد بن اسعد (۸۳۰-۹۰۸)</w:t>
      </w:r>
    </w:p>
    <w:p>
      <w:pPr>
        <w:pStyle w:val="BookText"/>
      </w:pPr>
      <w:r>
        <w:rPr>
          <w:rFonts w:ascii="IRNazanin" w:hAnsi="IRNazanin" w:eastAsia="IRNazanin" w:cs="IRNazanin"/>
          <w:lang w:bidi="fa-IR"/>
          <w:color w:val="111111"/>
          <w:sz w:val="28"/>
          <w:szCs w:val="28"/>
          <w:rtl/>
        </w:rPr>
        <w:t xml:space="preserve">۲۹- حاشية الجديدة على شرح التجريد الجديد؛ دوانی، محمد بن اسعد (۸۳۰-۹۰۸)</w:t>
      </w:r>
    </w:p>
    <w:p>
      <w:pPr>
        <w:pStyle w:val="BookText"/>
      </w:pPr>
      <w:r>
        <w:rPr>
          <w:rFonts w:ascii="IRNazanin" w:hAnsi="IRNazanin" w:eastAsia="IRNazanin" w:cs="IRNazanin"/>
          <w:lang w:bidi="fa-IR"/>
          <w:color w:val="111111"/>
          <w:sz w:val="28"/>
          <w:szCs w:val="28"/>
          <w:rtl/>
        </w:rPr>
        <w:t xml:space="preserve">۳۰- حاشية شرح التجرید؛ دوانی، محمد بن اسعد (۸۳۰-۹۰۸)</w:t>
      </w:r>
    </w:p>
    <w:p>
      <w:pPr>
        <w:pStyle w:val="BookText"/>
      </w:pPr>
      <w:r>
        <w:rPr>
          <w:rFonts w:ascii="IRNazanin" w:hAnsi="IRNazanin" w:eastAsia="IRNazanin" w:cs="IRNazanin"/>
          <w:lang w:bidi="fa-IR"/>
          <w:color w:val="111111"/>
          <w:sz w:val="28"/>
          <w:szCs w:val="28"/>
          <w:rtl/>
        </w:rPr>
        <w:t xml:space="preserve">۳۱- حاشية شرح تجرید العقائد؛ دوانی، محمد بن اسعد (۸۳۰-۹۰۸)</w:t>
      </w:r>
    </w:p>
    <w:p>
      <w:pPr>
        <w:pStyle w:val="BookText"/>
      </w:pPr>
      <w:r>
        <w:rPr>
          <w:rFonts w:ascii="Amiri" w:hAnsi="Amiri" w:eastAsia="Amiri" w:cs="Amiri"/>
          <w:lang w:bidi="ar-SA"/>
          <w:color w:val="111111"/>
          <w:sz w:val="28"/>
          <w:szCs w:val="28"/>
          <w:rtl/>
        </w:rPr>
        <w:t xml:space="preserve">۳۲- حاشية شرح التجريد الجديد؛ محمد بن الحاج حسن (-۹۱۱)</w:t>
      </w:r>
    </w:p>
    <w:p>
      <w:pPr>
        <w:pStyle w:val="BookText"/>
      </w:pPr>
      <w:r>
        <w:rPr>
          <w:rFonts w:ascii="IRNazanin" w:hAnsi="IRNazanin" w:eastAsia="IRNazanin" w:cs="IRNazanin"/>
          <w:lang w:bidi="fa-IR"/>
          <w:color w:val="111111"/>
          <w:sz w:val="28"/>
          <w:szCs w:val="28"/>
          <w:rtl/>
        </w:rPr>
        <w:t xml:space="preserve">۳۳- حاشية حاشية تسديد القواعد في شرح تجريد العقائد = حاشية على حاشية سید شریف بر شرح قدیم تجرید؛ عجم سنان، يوسف ( -۹۳۶)</w:t>
      </w:r>
    </w:p>
    <w:p>
      <w:pPr>
        <w:pStyle w:val="BookText"/>
      </w:pPr>
      <w:r>
        <w:rPr>
          <w:rFonts w:ascii="IRNazanin" w:hAnsi="IRNazanin" w:eastAsia="IRNazanin" w:cs="IRNazanin"/>
          <w:lang w:bidi="fa-IR"/>
          <w:color w:val="111111"/>
          <w:sz w:val="28"/>
          <w:szCs w:val="28"/>
          <w:rtl/>
        </w:rPr>
        <w:t xml:space="preserve">۳۴- تعليقات على الشرح الجديد للتجريد = النفس و الهيولى؛ دشتکی شیرازی، منصور بن صدرالدین محمد (-۹۴۸)</w:t>
      </w:r>
    </w:p>
    <w:p>
      <w:pPr>
        <w:pStyle w:val="BookText"/>
      </w:pPr>
      <w:r>
        <w:rPr>
          <w:rFonts w:ascii="IRNazanin" w:hAnsi="IRNazanin" w:eastAsia="IRNazanin" w:cs="IRNazanin"/>
          <w:lang w:bidi="fa-IR"/>
          <w:color w:val="111111"/>
          <w:sz w:val="28"/>
          <w:szCs w:val="28"/>
          <w:rtl/>
        </w:rPr>
        <w:t xml:space="preserve">۳۵- حاشية شرح التجريد الجديد؛ الهی اردبیلی، حسین بن عبدالحق (۹۵۰-۸۷۰)</w:t>
      </w:r>
    </w:p>
    <w:p>
      <w:pPr>
        <w:pStyle w:val="BookText"/>
      </w:pPr>
      <w:r>
        <w:rPr>
          <w:rFonts w:ascii="IRNazanin" w:hAnsi="IRNazanin" w:eastAsia="IRNazanin" w:cs="IRNazanin"/>
          <w:lang w:bidi="fa-IR"/>
          <w:color w:val="111111"/>
          <w:sz w:val="28"/>
          <w:szCs w:val="28"/>
          <w:rtl/>
        </w:rPr>
        <w:t xml:space="preserve">۳۶- حاشية شرح التجريد الجديد = حاشیه بر شرح الهيات تجريد = تعليقه بر الهيات شرح تجرید؛ خفری، محمد بن احمد (-۹۵۷)</w:t>
      </w:r>
    </w:p>
    <w:p>
      <w:pPr>
        <w:pStyle w:val="BookText"/>
      </w:pPr>
      <w:r>
        <w:rPr>
          <w:rFonts w:ascii="IRNazanin" w:hAnsi="IRNazanin" w:eastAsia="IRNazanin" w:cs="IRNazanin"/>
          <w:lang w:bidi="fa-IR"/>
          <w:color w:val="111111"/>
          <w:sz w:val="28"/>
          <w:szCs w:val="28"/>
          <w:rtl/>
        </w:rPr>
        <w:t xml:space="preserve">۳۷- حاشية شرح التجريد الجديد (امور عامه)؛ خفری، محمد بن احمد (۹۵۷-)</w:t>
      </w:r>
    </w:p>
    <w:p>
      <w:pPr>
        <w:pStyle w:val="BookText"/>
      </w:pPr>
      <w:r>
        <w:rPr>
          <w:rFonts w:ascii="IRNazanin" w:hAnsi="IRNazanin" w:eastAsia="IRNazanin" w:cs="IRNazanin"/>
          <w:lang w:bidi="fa-IR"/>
          <w:color w:val="111111"/>
          <w:sz w:val="28"/>
          <w:szCs w:val="28"/>
          <w:rtl/>
        </w:rPr>
        <w:t xml:space="preserve">۳۸- تعليقات بر شرح تجرید = محاكمات التجريد؛ عجم، محمد بن احمد (-۹۵۷)</w:t>
      </w:r>
    </w:p>
    <w:p>
      <w:pPr>
        <w:pStyle w:val="BookText"/>
      </w:pPr>
      <w:r>
        <w:rPr>
          <w:rFonts w:ascii="IRNazanin" w:hAnsi="IRNazanin" w:eastAsia="IRNazanin" w:cs="IRNazanin"/>
          <w:lang w:bidi="fa-IR"/>
          <w:color w:val="111111"/>
          <w:sz w:val="28"/>
          <w:szCs w:val="28"/>
          <w:rtl/>
        </w:rPr>
        <w:t xml:space="preserve">۳۹- حاشية شرح التجريد؛ اشرفی جرجانی، عبدالحی بن عبدالوهاب (۹۵۹-)</w:t>
      </w:r>
    </w:p>
    <w:p>
      <w:pPr>
        <w:pStyle w:val="BookText"/>
      </w:pPr>
      <w:r>
        <w:rPr>
          <w:rFonts w:ascii="IRNazanin" w:hAnsi="IRNazanin" w:eastAsia="IRNazanin" w:cs="IRNazanin"/>
          <w:lang w:bidi="fa-IR"/>
          <w:color w:val="111111"/>
          <w:sz w:val="28"/>
          <w:szCs w:val="28"/>
          <w:rtl/>
        </w:rPr>
        <w:t xml:space="preserve">۴۰- حاشية حاشية الدواني القديمة على شرح التجريد = حاشیه بر حاشیه قديم ملا جلال بر شرح جدید تجرید؛ ملا عبدالله بن حسين یزدی (-۹۸۱)</w:t>
      </w:r>
    </w:p>
    <w:p>
      <w:pPr>
        <w:pStyle w:val="BookText"/>
      </w:pPr>
      <w:r>
        <w:rPr>
          <w:rFonts w:ascii="IRNazanin" w:hAnsi="IRNazanin" w:eastAsia="IRNazanin" w:cs="IRNazanin"/>
          <w:lang w:bidi="fa-IR"/>
          <w:color w:val="111111"/>
          <w:sz w:val="28"/>
          <w:szCs w:val="28"/>
          <w:rtl/>
        </w:rPr>
        <w:t xml:space="preserve">۴۱- حاشية شرح التجريد الجديد = اثبات الله؛ فخرالدین حسینی، محمد بن حسین (-۹۸۴)</w:t>
      </w:r>
    </w:p>
    <w:p>
      <w:pPr>
        <w:pStyle w:val="BookText"/>
      </w:pPr>
      <w:r>
        <w:rPr>
          <w:rFonts w:ascii="IRNazanin" w:hAnsi="IRNazanin" w:eastAsia="IRNazanin" w:cs="IRNazanin"/>
          <w:lang w:bidi="fa-IR"/>
          <w:color w:val="111111"/>
          <w:sz w:val="28"/>
          <w:szCs w:val="28"/>
          <w:rtl/>
        </w:rPr>
        <w:t xml:space="preserve">۴۲- حاشية شرح التجريد الجديد = حاشیه امور عامه؛ فخرالدین حسینی، محمد بن حسین (-۹۸۴)</w:t>
      </w:r>
    </w:p>
    <w:p>
      <w:pPr>
        <w:pStyle w:val="BookText"/>
      </w:pPr>
      <w:r>
        <w:rPr>
          <w:rFonts w:ascii="IRNazanin" w:hAnsi="IRNazanin" w:eastAsia="IRNazanin" w:cs="IRNazanin"/>
          <w:lang w:bidi="fa-IR"/>
          <w:color w:val="111111"/>
          <w:sz w:val="28"/>
          <w:szCs w:val="28"/>
          <w:rtl/>
        </w:rPr>
        <w:t xml:space="preserve">۴۳- حاشية شرح التجريد الجديد = حاشية الجواهر؛ فخرالدین حسینی، محمد بن حسین (-۹۸۴)</w:t>
      </w:r>
    </w:p>
    <w:p>
      <w:pPr>
        <w:pStyle w:val="BookText"/>
      </w:pPr>
      <w:r>
        <w:rPr>
          <w:rFonts w:ascii="IRNazanin" w:hAnsi="IRNazanin" w:eastAsia="IRNazanin" w:cs="IRNazanin"/>
          <w:lang w:bidi="fa-IR"/>
          <w:color w:val="111111"/>
          <w:sz w:val="28"/>
          <w:szCs w:val="28"/>
          <w:rtl/>
        </w:rPr>
        <w:t xml:space="preserve">۴۴- الحاشية على شرح التجريد؛ ترکه طوسی، افضل الدین محمد ( -۹۹۱ )</w:t>
      </w:r>
    </w:p>
    <w:p>
      <w:pPr>
        <w:pStyle w:val="BookText"/>
      </w:pPr>
      <w:r>
        <w:rPr>
          <w:rFonts w:ascii="IRNazanin" w:hAnsi="IRNazanin" w:eastAsia="IRNazanin" w:cs="IRNazanin"/>
          <w:lang w:bidi="fa-IR"/>
          <w:color w:val="111111"/>
          <w:sz w:val="28"/>
          <w:szCs w:val="28"/>
          <w:rtl/>
        </w:rPr>
        <w:t xml:space="preserve">۴۵- الحاشية على الهيات شرح الجديد على التجريد؛ مقدس اردبیلی، احمد بن محمد (۹۹۳)</w:t>
      </w:r>
    </w:p>
    <w:p>
      <w:pPr>
        <w:pStyle w:val="BookText"/>
      </w:pPr>
      <w:r>
        <w:rPr>
          <w:rFonts w:ascii="IRNazanin" w:hAnsi="IRNazanin" w:eastAsia="IRNazanin" w:cs="IRNazanin"/>
          <w:lang w:bidi="fa-IR"/>
          <w:color w:val="111111"/>
          <w:sz w:val="28"/>
          <w:szCs w:val="28"/>
          <w:rtl/>
        </w:rPr>
        <w:t xml:space="preserve">۴۶- حاشية تجرید الاعتقاد؛ عبادی، احمد بن قاسم (-۹۹۴)</w:t>
      </w:r>
    </w:p>
    <w:p>
      <w:pPr>
        <w:pStyle w:val="BookText"/>
      </w:pPr>
      <w:r>
        <w:rPr>
          <w:rFonts w:ascii="IRNazanin" w:hAnsi="IRNazanin" w:eastAsia="IRNazanin" w:cs="IRNazanin"/>
          <w:lang w:bidi="fa-IR"/>
          <w:color w:val="111111"/>
          <w:sz w:val="28"/>
          <w:szCs w:val="28"/>
          <w:rtl/>
        </w:rPr>
        <w:t xml:space="preserve">۴۷- حاشية الخوانساري على شرح التجريد و حاشية القديمة و حاشيتها؛ میرزا جان باغنوی، حبیب الله (-۹۹۴)</w:t>
      </w:r>
    </w:p>
    <w:p>
      <w:pPr>
        <w:pStyle w:val="BookText"/>
      </w:pPr>
      <w:r>
        <w:rPr>
          <w:rFonts w:ascii="IRNazanin" w:hAnsi="IRNazanin" w:eastAsia="IRNazanin" w:cs="IRNazanin"/>
          <w:lang w:bidi="fa-IR"/>
          <w:color w:val="111111"/>
          <w:sz w:val="28"/>
          <w:szCs w:val="28"/>
          <w:rtl/>
        </w:rPr>
        <w:t xml:space="preserve">۴۸- حاشية حاشية الدواني القديمة على شرح التجريد = حاشیه حاشیه بر حاشیه قدیم تجرید؛ میرزا جان باغنوی، حبیب الله (-۹۹۴)</w:t>
      </w:r>
    </w:p>
    <w:p>
      <w:pPr>
        <w:pStyle w:val="BookText"/>
      </w:pPr>
      <w:r>
        <w:rPr>
          <w:rFonts w:ascii="IRNazanin" w:hAnsi="IRNazanin" w:eastAsia="IRNazanin" w:cs="IRNazanin"/>
          <w:lang w:bidi="fa-IR"/>
          <w:color w:val="111111"/>
          <w:sz w:val="28"/>
          <w:szCs w:val="28"/>
          <w:rtl/>
        </w:rPr>
        <w:t xml:space="preserve">۴۹- حاشية شرح التجريد الجديد؛ میرزا جان باغنوی، حبیب الله ( -۹۹۴ )</w:t>
      </w:r>
    </w:p>
    <w:p>
      <w:pPr>
        <w:pStyle w:val="BookText"/>
      </w:pPr>
      <w:r>
        <w:rPr>
          <w:rFonts w:ascii="IRNazanin" w:hAnsi="IRNazanin" w:eastAsia="IRNazanin" w:cs="IRNazanin"/>
          <w:lang w:bidi="fa-IR"/>
          <w:color w:val="111111"/>
          <w:sz w:val="28"/>
          <w:szCs w:val="28"/>
          <w:rtl/>
        </w:rPr>
        <w:t xml:space="preserve">۵۰- حاشية حاشية الدواني القديمة على شرح التجرید؛ شیرازی، شاه فتح الله بن حبيب الله (-۹۹۷)</w:t>
      </w:r>
    </w:p>
    <w:p>
      <w:pPr>
        <w:pStyle w:val="BookText"/>
      </w:pPr>
      <w:r>
        <w:rPr>
          <w:rFonts w:ascii="IRNazanin" w:hAnsi="IRNazanin" w:eastAsia="IRNazanin" w:cs="IRNazanin"/>
          <w:lang w:bidi="fa-IR"/>
          <w:color w:val="111111"/>
          <w:sz w:val="28"/>
          <w:szCs w:val="28"/>
          <w:rtl/>
        </w:rPr>
        <w:t xml:space="preserve">۵۱- تحفه شاهی و عطيه الهی = ترجمه تجرید الاعتقاد بدخشی، علی بن عبدالله (-11) ۵۲- حاشية حاشية الدواني القديمة على شرح التجرید؛ حسنی، محمد باقر بن ابو محمد (-۱۱)</w:t>
      </w:r>
    </w:p>
    <w:p>
      <w:pPr>
        <w:pStyle w:val="BookText"/>
      </w:pPr>
      <w:r>
        <w:rPr>
          <w:rFonts w:ascii="IRNazanin" w:hAnsi="IRNazanin" w:eastAsia="IRNazanin" w:cs="IRNazanin"/>
          <w:lang w:bidi="fa-IR"/>
          <w:color w:val="111111"/>
          <w:sz w:val="28"/>
          <w:szCs w:val="28"/>
          <w:rtl/>
        </w:rPr>
        <w:t xml:space="preserve">۵۳- حاشية حاشية الخفرى على شرح التجرید؛ حسینی تونی، میرک موسی بن امیر محمد اکبر (۱۱-)</w:t>
      </w:r>
    </w:p>
    <w:p>
      <w:pPr>
        <w:pStyle w:val="BookText"/>
      </w:pPr>
      <w:r>
        <w:rPr>
          <w:rFonts w:ascii="IRNazanin" w:hAnsi="IRNazanin" w:eastAsia="IRNazanin" w:cs="IRNazanin"/>
          <w:lang w:bidi="fa-IR"/>
          <w:color w:val="111111"/>
          <w:sz w:val="28"/>
          <w:szCs w:val="28"/>
          <w:rtl/>
        </w:rPr>
        <w:t xml:space="preserve">۵۴- حاشية حاشية الخفرى على شرح التجرید؛ مدرس اصفهانی، محمد قاسم بن محمد صالح(11-)</w:t>
      </w:r>
    </w:p>
    <w:p>
      <w:pPr>
        <w:pStyle w:val="BookText"/>
      </w:pPr>
      <w:r>
        <w:rPr>
          <w:rFonts w:ascii="IRNazanin" w:hAnsi="IRNazanin" w:eastAsia="IRNazanin" w:cs="IRNazanin"/>
          <w:lang w:bidi="fa-IR"/>
          <w:color w:val="111111"/>
          <w:sz w:val="28"/>
          <w:szCs w:val="28"/>
          <w:rtl/>
        </w:rPr>
        <w:t xml:space="preserve">۵۵- حاشية حاشية الدواني القديمة على شرح التجرید؛ حسنی حسینی، حمزه بن محمد (-۱۱)</w:t>
      </w:r>
    </w:p>
    <w:p>
      <w:pPr>
        <w:pStyle w:val="BookText"/>
      </w:pPr>
      <w:r>
        <w:rPr>
          <w:rFonts w:ascii="IRNazanin" w:hAnsi="IRNazanin" w:eastAsia="IRNazanin" w:cs="IRNazanin"/>
          <w:lang w:bidi="fa-IR"/>
          <w:color w:val="111111"/>
          <w:sz w:val="28"/>
          <w:szCs w:val="28"/>
          <w:rtl/>
        </w:rPr>
        <w:t xml:space="preserve">۵۶- حاشية شرح التجريد الجديد (جواهر)؛ قاضی زاده کرهرودی، عبدالخالق (-۱۱)</w:t>
      </w:r>
    </w:p>
    <w:p>
      <w:pPr>
        <w:pStyle w:val="BookText"/>
      </w:pPr>
      <w:r>
        <w:rPr>
          <w:rFonts w:ascii="IRNazanin" w:hAnsi="IRNazanin" w:eastAsia="IRNazanin" w:cs="IRNazanin"/>
          <w:lang w:bidi="fa-IR"/>
          <w:color w:val="111111"/>
          <w:sz w:val="28"/>
          <w:szCs w:val="28"/>
          <w:rtl/>
        </w:rPr>
        <w:t xml:space="preserve">۵۷- حاشية شرح التجريد الجديد (الهيات)؛ قاضی زاده کرهرودی، عبدالخالق (۱۱-)</w:t>
      </w:r>
    </w:p>
    <w:p>
      <w:pPr>
        <w:pStyle w:val="BookText"/>
      </w:pPr>
      <w:r>
        <w:rPr>
          <w:rFonts w:ascii="IRNazanin" w:hAnsi="IRNazanin" w:eastAsia="IRNazanin" w:cs="IRNazanin"/>
          <w:lang w:bidi="fa-IR"/>
          <w:color w:val="111111"/>
          <w:sz w:val="28"/>
          <w:szCs w:val="28"/>
          <w:rtl/>
        </w:rPr>
        <w:t xml:space="preserve">۵۸- حاشية شرح التجرید؛ شیرازی، محمد هادی بن معين الدين ( -11)</w:t>
      </w:r>
    </w:p>
    <w:p>
      <w:pPr>
        <w:pStyle w:val="BookText"/>
      </w:pPr>
      <w:r>
        <w:rPr>
          <w:rFonts w:ascii="IRNazanin" w:hAnsi="IRNazanin" w:eastAsia="IRNazanin" w:cs="IRNazanin"/>
          <w:lang w:bidi="fa-IR"/>
          <w:color w:val="111111"/>
          <w:sz w:val="28"/>
          <w:szCs w:val="28"/>
          <w:rtl/>
        </w:rPr>
        <w:t xml:space="preserve">۵۹- نقد الحواشی؛ شیرازی، محمد هادی بن معین الدین (۱۱-)</w:t>
      </w:r>
    </w:p>
    <w:p>
      <w:pPr>
        <w:pStyle w:val="BookText"/>
      </w:pPr>
      <w:r>
        <w:rPr>
          <w:rFonts w:ascii="IRNazanin" w:hAnsi="IRNazanin" w:eastAsia="IRNazanin" w:cs="IRNazanin"/>
          <w:lang w:bidi="fa-IR"/>
          <w:color w:val="111111"/>
          <w:sz w:val="28"/>
          <w:szCs w:val="28"/>
          <w:rtl/>
        </w:rPr>
        <w:t xml:space="preserve">۶۰- التشخص؛ رشتی، عبدالغفار بن محمد (-۱۱)</w:t>
      </w:r>
    </w:p>
    <w:p>
      <w:pPr>
        <w:pStyle w:val="BookText"/>
      </w:pPr>
      <w:r>
        <w:rPr>
          <w:rFonts w:ascii="IRNazanin" w:hAnsi="IRNazanin" w:eastAsia="IRNazanin" w:cs="IRNazanin"/>
          <w:lang w:bidi="fa-IR"/>
          <w:color w:val="111111"/>
          <w:sz w:val="28"/>
          <w:szCs w:val="28"/>
          <w:rtl/>
        </w:rPr>
        <w:t xml:space="preserve">۶۱- حاشية شرح التجريد الجديد؛ حسینی دشتکی، احمد بن ابراهیم (۱۰۱۵-)</w:t>
      </w:r>
    </w:p>
    <w:p>
      <w:pPr>
        <w:pStyle w:val="BookText"/>
      </w:pPr>
      <w:r>
        <w:rPr>
          <w:rFonts w:ascii="IRNazanin" w:hAnsi="IRNazanin" w:eastAsia="IRNazanin" w:cs="IRNazanin"/>
          <w:lang w:bidi="fa-IR"/>
          <w:color w:val="111111"/>
          <w:sz w:val="28"/>
          <w:szCs w:val="28"/>
          <w:rtl/>
        </w:rPr>
        <w:t xml:space="preserve">۶۲- حاشية شرح القديم للتجرید؛ نسابه شیرازی، محمد (-۱۰۱۹)</w:t>
      </w:r>
    </w:p>
    <w:p>
      <w:pPr>
        <w:pStyle w:val="BookText"/>
      </w:pPr>
      <w:r>
        <w:rPr>
          <w:rFonts w:ascii="IRNazanin" w:hAnsi="IRNazanin" w:eastAsia="IRNazanin" w:cs="IRNazanin"/>
          <w:lang w:bidi="fa-IR"/>
          <w:color w:val="111111"/>
          <w:sz w:val="28"/>
          <w:szCs w:val="28"/>
          <w:rtl/>
        </w:rPr>
        <w:t xml:space="preserve">۶۳- حاشية شرح التجرید؛ شوشتری، نورالله بن شرف الدين (۹۵۶ -۱۰۱۹ )</w:t>
      </w:r>
    </w:p>
    <w:p>
      <w:pPr>
        <w:pStyle w:val="BookText"/>
      </w:pPr>
      <w:r>
        <w:rPr>
          <w:rFonts w:ascii="IRNazanin" w:hAnsi="IRNazanin" w:eastAsia="IRNazanin" w:cs="IRNazanin"/>
          <w:lang w:bidi="fa-IR"/>
          <w:color w:val="111111"/>
          <w:sz w:val="28"/>
          <w:szCs w:val="28"/>
          <w:rtl/>
        </w:rPr>
        <w:t xml:space="preserve">۶۴- حاشية شرح التجريد الجديد؛ همدانی، ابراهیم بن حسين ( ۱۰۲۶-)</w:t>
      </w:r>
    </w:p>
    <w:p>
      <w:pPr>
        <w:pStyle w:val="BookText"/>
      </w:pPr>
      <w:r>
        <w:rPr>
          <w:rFonts w:ascii="IRNazanin" w:hAnsi="IRNazanin" w:eastAsia="IRNazanin" w:cs="IRNazanin"/>
          <w:lang w:bidi="fa-IR"/>
          <w:color w:val="111111"/>
          <w:sz w:val="28"/>
          <w:szCs w:val="28"/>
          <w:rtl/>
        </w:rPr>
        <w:t xml:space="preserve">۶۵- حاشية حاشية الخفرى على شرح التجرید؛ میرداماد، محمد باقر بن محمد (-۱۰۴۱) ۶۶- حاشية حاشية الخفرى على شرح التجرید؛ صدرالدین شیرازی، محمد بن ابراهیم (۹۷۹-۱۰۵۰)</w:t>
      </w:r>
    </w:p>
    <w:p>
      <w:pPr>
        <w:pStyle w:val="BookText"/>
      </w:pPr>
      <w:r>
        <w:rPr>
          <w:rFonts w:ascii="IRNazanin" w:hAnsi="IRNazanin" w:eastAsia="IRNazanin" w:cs="IRNazanin"/>
          <w:lang w:bidi="fa-IR"/>
          <w:color w:val="111111"/>
          <w:sz w:val="28"/>
          <w:szCs w:val="28"/>
          <w:rtl/>
        </w:rPr>
        <w:t xml:space="preserve">۶۷- رياض القدس و حظيرة الأنس؛ علوى عاملی، احمد بن زین العابدین (-۱۰۵۴)
</w:t>
      </w: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۶۸- مصابيح القدس و قناديل الانس؛ علوی عاملی، احمد بن زين العابدین (-۱۰۵۴)</w:t>
      </w:r>
    </w:p>
    <w:p>
      <w:pPr>
        <w:pStyle w:val="BookText"/>
      </w:pPr>
      <w:r>
        <w:rPr>
          <w:rFonts w:ascii="IRNazanin" w:hAnsi="IRNazanin" w:eastAsia="IRNazanin" w:cs="IRNazanin"/>
          <w:lang w:bidi="fa-IR"/>
          <w:color w:val="111111"/>
          <w:sz w:val="28"/>
          <w:szCs w:val="28"/>
          <w:rtl/>
        </w:rPr>
        <w:t xml:space="preserve">۶۹- روضة المتقين في أمامة الأئمة المعصومین؛ علوی عاملی، احمد بن زین العابدین (-۱۰۵۴)</w:t>
      </w:r>
    </w:p>
    <w:p>
      <w:pPr>
        <w:pStyle w:val="BookText"/>
      </w:pPr>
      <w:r>
        <w:rPr>
          <w:rFonts w:ascii="IRNazanin" w:hAnsi="IRNazanin" w:eastAsia="IRNazanin" w:cs="IRNazanin"/>
          <w:lang w:bidi="fa-IR"/>
          <w:color w:val="111111"/>
          <w:sz w:val="28"/>
          <w:szCs w:val="28"/>
          <w:rtl/>
        </w:rPr>
        <w:t xml:space="preserve">۷۰- حظيرة الإنس من اركان رياض القدس = حاشية شرح التجرید؛ علوی عاملی، احمد بن زین العابدین (-۱۰۵۴)</w:t>
      </w:r>
    </w:p>
    <w:p>
      <w:pPr>
        <w:pStyle w:val="BookText"/>
      </w:pPr>
      <w:r>
        <w:rPr>
          <w:rFonts w:ascii="IRNazanin" w:hAnsi="IRNazanin" w:eastAsia="IRNazanin" w:cs="IRNazanin"/>
          <w:lang w:bidi="fa-IR"/>
          <w:color w:val="111111"/>
          <w:sz w:val="28"/>
          <w:szCs w:val="28"/>
          <w:rtl/>
        </w:rPr>
        <w:t xml:space="preserve">۷۱- حاشية حاشية القديمة على شرح التجريد؛ علوى عاملی، احمد بن زین العابدین (-۱۰۵۴)</w:t>
      </w:r>
    </w:p>
    <w:p>
      <w:pPr>
        <w:pStyle w:val="BookText"/>
      </w:pPr>
      <w:r>
        <w:rPr>
          <w:rFonts w:ascii="IRNazanin" w:hAnsi="IRNazanin" w:eastAsia="IRNazanin" w:cs="IRNazanin"/>
          <w:lang w:bidi="fa-IR"/>
          <w:color w:val="111111"/>
          <w:sz w:val="28"/>
          <w:szCs w:val="28"/>
          <w:rtl/>
        </w:rPr>
        <w:t xml:space="preserve">۷۲- عقد الجواهر المتعلقة بكتاب التجريد الزاخر؛ علوی عاملی، احمد بن زین العابدین (-۱۰۵۴)</w:t>
      </w:r>
    </w:p>
    <w:p>
      <w:pPr>
        <w:pStyle w:val="BookText"/>
      </w:pPr>
      <w:r>
        <w:rPr>
          <w:rFonts w:ascii="IRNazanin" w:hAnsi="IRNazanin" w:eastAsia="IRNazanin" w:cs="IRNazanin"/>
          <w:lang w:bidi="fa-IR"/>
          <w:color w:val="111111"/>
          <w:sz w:val="28"/>
          <w:szCs w:val="28"/>
          <w:rtl/>
        </w:rPr>
        <w:t xml:space="preserve">۷۳- حاشية شرح التجرید؛ علوی عاملی، احمد بن زین العابدین ( ۱۰۵۴- )</w:t>
      </w:r>
    </w:p>
    <w:p>
      <w:pPr>
        <w:pStyle w:val="BookText"/>
      </w:pPr>
      <w:r>
        <w:rPr>
          <w:rFonts w:ascii="IRNazanin" w:hAnsi="IRNazanin" w:eastAsia="IRNazanin" w:cs="IRNazanin"/>
          <w:lang w:bidi="fa-IR"/>
          <w:color w:val="111111"/>
          <w:sz w:val="28"/>
          <w:szCs w:val="28"/>
          <w:rtl/>
        </w:rPr>
        <w:t xml:space="preserve">۷۴- حاشية حاشية الخفرى على شرح التجريد = حاشية حاشية شرح تجرید العقائد؛ سلطان العلماء، حسین بن محمد (۱۰۰۱-۱۰۶۴)</w:t>
      </w:r>
    </w:p>
    <w:p>
      <w:pPr>
        <w:pStyle w:val="BookText"/>
      </w:pPr>
      <w:r>
        <w:rPr>
          <w:rFonts w:ascii="IRNazanin" w:hAnsi="IRNazanin" w:eastAsia="IRNazanin" w:cs="IRNazanin"/>
          <w:lang w:bidi="fa-IR"/>
          <w:color w:val="111111"/>
          <w:sz w:val="28"/>
          <w:szCs w:val="28"/>
          <w:rtl/>
        </w:rPr>
        <w:t xml:space="preserve">۷۵- حاشية حاشية الخفرى على شرح التجريد = حاشیه فخریه؛ شیرازی، محمد ابراهيم بن ملاصدرا (-۱۰۷۰)</w:t>
      </w:r>
    </w:p>
    <w:p>
      <w:pPr>
        <w:pStyle w:val="BookText"/>
      </w:pPr>
      <w:r>
        <w:rPr>
          <w:rFonts w:ascii="IRNazanin" w:hAnsi="IRNazanin" w:eastAsia="IRNazanin" w:cs="IRNazanin"/>
          <w:lang w:bidi="fa-IR"/>
          <w:color w:val="111111"/>
          <w:sz w:val="28"/>
          <w:szCs w:val="28"/>
          <w:rtl/>
        </w:rPr>
        <w:t xml:space="preserve">۷۶- حاشية شرح التجريد الجديد = حاشية رزاقية؛ لاهیجی، عبدالرزاق بن علی (-۱۰۷۱) ۷۷- شوارق الالهام في شرح تجريد الكلام؛ لاهیجی، عبدالرزاق بن على (-۱۰۷۱)</w:t>
      </w:r>
    </w:p>
    <w:p>
      <w:pPr>
        <w:pStyle w:val="BookText"/>
      </w:pPr>
      <w:r>
        <w:rPr>
          <w:rFonts w:ascii="IRNazanin" w:hAnsi="IRNazanin" w:eastAsia="IRNazanin" w:cs="IRNazanin"/>
          <w:lang w:bidi="fa-IR"/>
          <w:color w:val="111111"/>
          <w:sz w:val="28"/>
          <w:szCs w:val="28"/>
          <w:rtl/>
        </w:rPr>
        <w:t xml:space="preserve">۷۸- حاشية حاشية الخفرى على شرح التجريد؛ لاهیجی، عبدالرزاق بن على (-۱۰۷۱)</w:t>
      </w:r>
    </w:p>
    <w:p>
      <w:pPr>
        <w:pStyle w:val="BookText"/>
      </w:pPr>
      <w:r>
        <w:rPr>
          <w:rFonts w:ascii="IRNazanin" w:hAnsi="IRNazanin" w:eastAsia="IRNazanin" w:cs="IRNazanin"/>
          <w:lang w:bidi="fa-IR"/>
          <w:color w:val="111111"/>
          <w:sz w:val="28"/>
          <w:szCs w:val="28"/>
          <w:rtl/>
        </w:rPr>
        <w:t xml:space="preserve">۷۹- حاشية التشكيك على الحاشية القديمة على التجريد = التشکیک؛ محقق سبزواری، محمد باقر بن محمد مؤمن (۱۰۱۷-۱۰۹۰)</w:t>
      </w:r>
    </w:p>
    <w:p>
      <w:pPr>
        <w:pStyle w:val="BookText"/>
      </w:pPr>
      <w:r>
        <w:rPr>
          <w:rFonts w:ascii="IRNazanin" w:hAnsi="IRNazanin" w:eastAsia="IRNazanin" w:cs="IRNazanin"/>
          <w:lang w:bidi="fa-IR"/>
          <w:color w:val="111111"/>
          <w:sz w:val="28"/>
          <w:szCs w:val="28"/>
          <w:rtl/>
        </w:rPr>
        <w:t xml:space="preserve">۸۰- حاشية حاشية الخفرى على شرح التجرید؛ حسینی قزوینی، محمد معصوم بن فصيح الحق (-۱۰۹۱)</w:t>
      </w:r>
    </w:p>
    <w:p>
      <w:pPr>
        <w:pStyle w:val="BookText"/>
      </w:pPr>
      <w:r>
        <w:rPr>
          <w:rFonts w:ascii="IRNazanin" w:hAnsi="IRNazanin" w:eastAsia="IRNazanin" w:cs="IRNazanin"/>
          <w:lang w:bidi="fa-IR"/>
          <w:color w:val="111111"/>
          <w:sz w:val="28"/>
          <w:szCs w:val="28"/>
          <w:rtl/>
        </w:rPr>
        <w:t xml:space="preserve">۸۱- حاشية حاشية الدواني القديمة على شرح التجريد؛ گلپایگانی، ابوالقاسم بن محمد (-۱۰۹۲)</w:t>
      </w:r>
    </w:p>
    <w:p>
      <w:pPr>
        <w:pStyle w:val="BookText"/>
      </w:pPr>
      <w:r>
        <w:rPr>
          <w:rFonts w:ascii="IRNazanin" w:hAnsi="IRNazanin" w:eastAsia="IRNazanin" w:cs="IRNazanin"/>
          <w:lang w:bidi="fa-IR"/>
          <w:color w:val="111111"/>
          <w:sz w:val="28"/>
          <w:szCs w:val="28"/>
          <w:rtl/>
        </w:rPr>
        <w:t xml:space="preserve">۸۲- كحل الابصار و نور الأنظار = حاشية حاشية شرح التجريد؛ قزوینی، محمد بن حسن (-۱۰۹۶)</w:t>
      </w:r>
    </w:p>
    <w:p>
      <w:pPr>
        <w:pStyle w:val="BookText"/>
      </w:pPr>
      <w:r>
        <w:rPr>
          <w:rFonts w:ascii="IRNazanin" w:hAnsi="IRNazanin" w:eastAsia="IRNazanin" w:cs="IRNazanin"/>
          <w:lang w:bidi="fa-IR"/>
          <w:color w:val="111111"/>
          <w:sz w:val="28"/>
          <w:szCs w:val="28"/>
          <w:rtl/>
        </w:rPr>
        <w:t xml:space="preserve">۸۳- حاشية شرح التجريد الجديد؛ شیروانی، محمد بن حسن (۱۰۳۳ -۱۰۹۸ )</w:t>
      </w:r>
    </w:p>
    <w:p>
      <w:pPr>
        <w:pStyle w:val="BookText"/>
      </w:pPr>
      <w:r>
        <w:rPr>
          <w:rFonts w:ascii="IRNazanin" w:hAnsi="IRNazanin" w:eastAsia="IRNazanin" w:cs="IRNazanin"/>
          <w:lang w:bidi="fa-IR"/>
          <w:color w:val="111111"/>
          <w:sz w:val="28"/>
          <w:szCs w:val="28"/>
          <w:rtl/>
        </w:rPr>
        <w:t xml:space="preserve">۸۴- حاشية حاشية الدواني القديمة على شرح التجريد؛ شیروانی، محمد بن حسن (۱۰۳۳-۱۰۹۸)</w:t>
      </w:r>
    </w:p>
    <w:p>
      <w:pPr>
        <w:pStyle w:val="BookText"/>
      </w:pPr>
      <w:r>
        <w:rPr>
          <w:rFonts w:ascii="IRNazanin" w:hAnsi="IRNazanin" w:eastAsia="IRNazanin" w:cs="IRNazanin"/>
          <w:lang w:bidi="fa-IR"/>
          <w:color w:val="111111"/>
          <w:sz w:val="28"/>
          <w:szCs w:val="28"/>
          <w:rtl/>
        </w:rPr>
        <w:t xml:space="preserve">۸۵- حاشية حاشية الخفرى على شرح التجرید؛ شیروانی، محمد بن حسن (۱۰۳۳-۱۰۹۸) ۸۶- حاشية شرح التجريد الجديد؛ ملا شمسا، شمس الدين محمد (۱۰۹۸-۱۰۱۶)</w:t>
      </w:r>
    </w:p>
    <w:p>
      <w:pPr>
        <w:pStyle w:val="BookText"/>
      </w:pPr>
      <w:r>
        <w:rPr>
          <w:rFonts w:ascii="IRNazanin" w:hAnsi="IRNazanin" w:eastAsia="IRNazanin" w:cs="IRNazanin"/>
          <w:lang w:bidi="fa-IR"/>
          <w:color w:val="111111"/>
          <w:sz w:val="28"/>
          <w:szCs w:val="28"/>
          <w:rtl/>
        </w:rPr>
        <w:t xml:space="preserve">۸۷- حاشية حاشية التشکیک = التشکیک؛ محقق خوانساری، حسین بن محمد (۱۰۱۶-۱۰۹۹)</w:t>
      </w:r>
    </w:p>
    <w:p>
      <w:pPr>
        <w:pStyle w:val="BookText"/>
      </w:pPr>
      <w:r>
        <w:rPr>
          <w:rFonts w:ascii="IRNazanin" w:hAnsi="IRNazanin" w:eastAsia="IRNazanin" w:cs="IRNazanin"/>
          <w:lang w:bidi="fa-IR"/>
          <w:color w:val="111111"/>
          <w:sz w:val="28"/>
          <w:szCs w:val="28"/>
          <w:rtl/>
        </w:rPr>
        <w:t xml:space="preserve">۸۸- حاشية حاشية الدواني القديمة على شرح التجريد؛ محقق خوانساری، حسین بن محمد (۱۰۱۶-۱۰۹۹)</w:t>
      </w:r>
    </w:p>
    <w:p>
      <w:pPr>
        <w:pStyle w:val="BookText"/>
      </w:pPr>
      <w:r>
        <w:rPr>
          <w:rFonts w:ascii="IRNazanin" w:hAnsi="IRNazanin" w:eastAsia="IRNazanin" w:cs="IRNazanin"/>
          <w:lang w:bidi="fa-IR"/>
          <w:color w:val="111111"/>
          <w:sz w:val="28"/>
          <w:szCs w:val="28"/>
          <w:rtl/>
        </w:rPr>
        <w:t xml:space="preserve">۸۹- حاشية شرح التجريد الجديد؛ محقق خوانساری، حسین بن محمد (۱۰۹۹-۱۰۱۶)</w:t>
      </w:r>
    </w:p>
    <w:p>
      <w:pPr>
        <w:pStyle w:val="BookText"/>
      </w:pPr>
      <w:r>
        <w:rPr>
          <w:rFonts w:ascii="IRNazanin" w:hAnsi="IRNazanin" w:eastAsia="IRNazanin" w:cs="IRNazanin"/>
          <w:lang w:bidi="fa-IR"/>
          <w:color w:val="111111"/>
          <w:sz w:val="28"/>
          <w:szCs w:val="28"/>
          <w:rtl/>
        </w:rPr>
        <w:t xml:space="preserve">۹۰- شرح تجرید الاعتقاد؛ تبریزی، عبدالله بن محمد کاظم (-۱۲)</w:t>
      </w:r>
    </w:p>
    <w:p>
      <w:pPr>
        <w:pStyle w:val="BookText"/>
      </w:pPr>
      <w:r>
        <w:rPr>
          <w:rFonts w:ascii="IRNazanin" w:hAnsi="IRNazanin" w:eastAsia="IRNazanin" w:cs="IRNazanin"/>
          <w:lang w:bidi="fa-IR"/>
          <w:color w:val="111111"/>
          <w:sz w:val="28"/>
          <w:szCs w:val="28"/>
          <w:rtl/>
        </w:rPr>
        <w:t xml:space="preserve">۹۱- حاشية حاشية آقا جمال على حاشية الخفرى على شرح التجريد = زمان موهوم (رسالة در اثبات ... )؛ اصفهانی، محمد بن محمد زمان ( -۱۲ )</w:t>
      </w:r>
    </w:p>
    <w:p>
      <w:pPr>
        <w:pStyle w:val="BookText"/>
      </w:pPr>
      <w:r>
        <w:rPr>
          <w:rFonts w:ascii="IRNazanin" w:hAnsi="IRNazanin" w:eastAsia="IRNazanin" w:cs="IRNazanin"/>
          <w:lang w:bidi="fa-IR"/>
          <w:color w:val="111111"/>
          <w:sz w:val="28"/>
          <w:szCs w:val="28"/>
          <w:rtl/>
        </w:rPr>
        <w:t xml:space="preserve">۹۲- حاشية حاشية الخفرى على شرح التجريد؛ عبدالباقی بن محمد حسين (-۱۲)</w:t>
      </w:r>
    </w:p>
    <w:p>
      <w:pPr>
        <w:pStyle w:val="BookText"/>
      </w:pPr>
      <w:r>
        <w:rPr>
          <w:rFonts w:ascii="IRNazanin" w:hAnsi="IRNazanin" w:eastAsia="IRNazanin" w:cs="IRNazanin"/>
          <w:lang w:bidi="fa-IR"/>
          <w:color w:val="111111"/>
          <w:sz w:val="28"/>
          <w:szCs w:val="28"/>
          <w:rtl/>
        </w:rPr>
        <w:t xml:space="preserve">۹۳ - حاشية شرح التجريد الجديد؛ سلطان العلماء قاینی، محمد (-۱۲)</w:t>
      </w:r>
    </w:p>
    <w:p>
      <w:pPr>
        <w:pStyle w:val="BookText"/>
      </w:pPr>
      <w:r>
        <w:rPr>
          <w:rFonts w:ascii="IRNazanin" w:hAnsi="IRNazanin" w:eastAsia="IRNazanin" w:cs="IRNazanin"/>
          <w:lang w:bidi="fa-IR"/>
          <w:color w:val="111111"/>
          <w:sz w:val="28"/>
          <w:szCs w:val="28"/>
          <w:rtl/>
        </w:rPr>
        <w:t xml:space="preserve">۹۴- حاشية حاشية الخفرى على شرح التجرید؛ کاشانی، غلامرضا بن عبد العظيم (-۱۲) ۹۵- خلاصة علم المنطق و الكلام؛ بسطامی، عبدالقادر بن محمد مهدی (-۱۲)</w:t>
      </w:r>
    </w:p>
    <w:p>
      <w:pPr>
        <w:pStyle w:val="BookText"/>
      </w:pPr>
      <w:r>
        <w:rPr>
          <w:rFonts w:ascii="IRNazanin" w:hAnsi="IRNazanin" w:eastAsia="IRNazanin" w:cs="IRNazanin"/>
          <w:lang w:bidi="fa-IR"/>
          <w:color w:val="111111"/>
          <w:sz w:val="28"/>
          <w:szCs w:val="28"/>
          <w:rtl/>
        </w:rPr>
        <w:t xml:space="preserve">۹۶- حاشية تجرید الاعتقاد؛ نائینی، محمد رضا بن رشيد (-۱۲)</w:t>
      </w:r>
    </w:p>
    <w:p>
      <w:pPr>
        <w:pStyle w:val="BookText"/>
      </w:pPr>
      <w:r>
        <w:rPr>
          <w:rFonts w:ascii="IRNazanin" w:hAnsi="IRNazanin" w:eastAsia="IRNazanin" w:cs="IRNazanin"/>
          <w:lang w:bidi="fa-IR"/>
          <w:color w:val="111111"/>
          <w:sz w:val="28"/>
          <w:szCs w:val="28"/>
          <w:rtl/>
        </w:rPr>
        <w:t xml:space="preserve">۹۷- حاشية حاشية الخفرى على شرح التجرید؛ تنکابنی، حسین بن ابراهیم (-۱۱۰۵)</w:t>
      </w:r>
    </w:p>
    <w:p>
      <w:pPr>
        <w:pStyle w:val="BookText"/>
      </w:pPr>
      <w:r>
        <w:rPr>
          <w:rFonts w:ascii="IRNazanin" w:hAnsi="IRNazanin" w:eastAsia="IRNazanin" w:cs="IRNazanin"/>
          <w:lang w:bidi="fa-IR"/>
          <w:color w:val="111111"/>
          <w:sz w:val="28"/>
          <w:szCs w:val="28"/>
          <w:rtl/>
        </w:rPr>
        <w:t xml:space="preserve">۹۸- حاشية حاشية الخفرى على شرح التجرید؛ قمی مشهدی، محمد بن محمد رضا (-۱۱۰۷)</w:t>
      </w:r>
    </w:p>
    <w:p>
      <w:pPr>
        <w:pStyle w:val="BookText"/>
      </w:pPr>
      <w:r>
        <w:rPr>
          <w:rFonts w:ascii="IRNazanin" w:hAnsi="IRNazanin" w:eastAsia="IRNazanin" w:cs="IRNazanin"/>
          <w:lang w:bidi="fa-IR"/>
          <w:color w:val="111111"/>
          <w:sz w:val="28"/>
          <w:szCs w:val="28"/>
          <w:rtl/>
        </w:rPr>
        <w:t xml:space="preserve">۹۹ - حاشية حاشية الخفرى على شرح التجريد = حاشيه جماليه؛ آقا جمال خوانساری، محمد بن حسين (-۱۱۲۵)</w:t>
      </w:r>
    </w:p>
    <w:p>
      <w:pPr>
        <w:pStyle w:val="BookText"/>
      </w:pPr>
      <w:r>
        <w:rPr>
          <w:rFonts w:ascii="IRNazanin" w:hAnsi="IRNazanin" w:eastAsia="IRNazanin" w:cs="IRNazanin"/>
          <w:lang w:bidi="fa-IR"/>
          <w:color w:val="111111"/>
          <w:sz w:val="28"/>
          <w:szCs w:val="28"/>
          <w:rtl/>
        </w:rPr>
        <w:t xml:space="preserve">۱۰۰- تعليقات حاشية الخفرى على شرح التجرید؛ مسيحا فدشکوئی محمد مسیح بن اسماعیل (۱۰۳۷-۱۱۲۷)</w:t>
      </w:r>
    </w:p>
    <w:p>
      <w:pPr>
        <w:pStyle w:val="BookText"/>
      </w:pPr>
      <w:r>
        <w:rPr>
          <w:rFonts w:ascii="IRNazanin" w:hAnsi="IRNazanin" w:eastAsia="IRNazanin" w:cs="IRNazanin"/>
          <w:lang w:bidi="fa-IR"/>
          <w:color w:val="111111"/>
          <w:sz w:val="28"/>
          <w:szCs w:val="28"/>
          <w:rtl/>
        </w:rPr>
        <w:t xml:space="preserve">۱۰۱- حاشية شرح التجريد الجديد؛ مسیحا فدشکوئی، محمد مسیح بن اسماعیل (۱۰۳۷-۱۱۲۷)</w:t>
      </w:r>
    </w:p>
    <w:p>
      <w:pPr>
        <w:pStyle w:val="BookText"/>
      </w:pPr>
      <w:r>
        <w:rPr>
          <w:rFonts w:ascii="IRNazanin" w:hAnsi="IRNazanin" w:eastAsia="IRNazanin" w:cs="IRNazanin"/>
          <w:lang w:bidi="fa-IR"/>
          <w:color w:val="111111"/>
          <w:sz w:val="28"/>
          <w:szCs w:val="28"/>
          <w:rtl/>
        </w:rPr>
        <w:t xml:space="preserve">۱۰۲- حاشية تجرید الاعتقاد؛ گیلانی، حمزه (-۱۱۳۴)</w:t>
      </w:r>
    </w:p>
    <w:p>
      <w:pPr>
        <w:pStyle w:val="BookText"/>
      </w:pPr>
      <w:r>
        <w:rPr>
          <w:rFonts w:ascii="IRNazanin" w:hAnsi="IRNazanin" w:eastAsia="IRNazanin" w:cs="IRNazanin"/>
          <w:lang w:bidi="fa-IR"/>
          <w:color w:val="111111"/>
          <w:sz w:val="28"/>
          <w:szCs w:val="28"/>
          <w:rtl/>
        </w:rPr>
        <w:t xml:space="preserve">۱۰۳- حاشية شرح التجريد الجديد؛ گیلانی، حمزه (-۱۱۳۴)</w:t>
      </w:r>
    </w:p>
    <w:p>
      <w:pPr>
        <w:pStyle w:val="BookText"/>
      </w:pPr>
      <w:r>
        <w:rPr>
          <w:rFonts w:ascii="IRNazanin" w:hAnsi="IRNazanin" w:eastAsia="IRNazanin" w:cs="IRNazanin"/>
          <w:lang w:bidi="fa-IR"/>
          <w:color w:val="111111"/>
          <w:sz w:val="28"/>
          <w:szCs w:val="28"/>
          <w:rtl/>
        </w:rPr>
        <w:t xml:space="preserve">۱۰۴- علاقة التجريد؛ حسینی علوی، محمد اشرف بن عبدالحسیب ( -۱۱۴۵)</w:t>
      </w:r>
    </w:p>
    <w:p>
      <w:pPr>
        <w:pStyle w:val="BookText"/>
      </w:pPr>
      <w:r>
        <w:rPr>
          <w:rFonts w:ascii="IRNazanin" w:hAnsi="IRNazanin" w:eastAsia="IRNazanin" w:cs="IRNazanin"/>
          <w:lang w:bidi="fa-IR"/>
          <w:color w:val="111111"/>
          <w:sz w:val="28"/>
          <w:szCs w:val="28"/>
          <w:rtl/>
        </w:rPr>
        <w:t xml:space="preserve">۱۰۵- ابطال الزمان الموهوم = حاشية حاشية آقا جمال الخوانساری علی حاشية الخفرى على شرح التجريد الجديد؛ خواجوئی، محمد اسماعیل بن حسين (-۱۱۷۳)</w:t>
      </w:r>
    </w:p>
    <w:p>
      <w:pPr>
        <w:pStyle w:val="BookText"/>
      </w:pPr>
      <w:r>
        <w:rPr>
          <w:rFonts w:ascii="IRNazanin" w:hAnsi="IRNazanin" w:eastAsia="IRNazanin" w:cs="IRNazanin"/>
          <w:lang w:bidi="fa-IR"/>
          <w:color w:val="111111"/>
          <w:sz w:val="28"/>
          <w:szCs w:val="28"/>
          <w:rtl/>
        </w:rPr>
        <w:t xml:space="preserve">۱۰۶- کشف المرام في شرح تجريد الكلام = شرح تجريد الكلام؛ طبری، محمد کاظم بن رضا (۱۳)</w:t>
      </w:r>
    </w:p>
    <w:p>
      <w:pPr>
        <w:pStyle w:val="BookText"/>
      </w:pPr>
      <w:r>
        <w:rPr>
          <w:rFonts w:ascii="IRNazanin" w:hAnsi="IRNazanin" w:eastAsia="IRNazanin" w:cs="IRNazanin"/>
          <w:lang w:bidi="fa-IR"/>
          <w:color w:val="111111"/>
          <w:sz w:val="28"/>
          <w:szCs w:val="28"/>
          <w:rtl/>
        </w:rPr>
        <w:t xml:space="preserve">۱۰۷- حاشية شرح التجريد الجديد؛ لاهیجی، محمد جعفر بن محمد صادق (۱۳) ۱۰۸- حاشية فلسفية؛ موسوی نجفی، علی (۱۳)</w:t>
      </w:r>
    </w:p>
    <w:p>
      <w:pPr>
        <w:pStyle w:val="BookText"/>
      </w:pPr>
      <w:r>
        <w:rPr>
          <w:rFonts w:ascii="IRNazanin" w:hAnsi="IRNazanin" w:eastAsia="IRNazanin" w:cs="IRNazanin"/>
          <w:lang w:bidi="fa-IR"/>
          <w:color w:val="111111"/>
          <w:sz w:val="28"/>
          <w:szCs w:val="28"/>
          <w:rtl/>
        </w:rPr>
        <w:t xml:space="preserve">۱۰۹- حاشية حاشية آقا جمال على حاشية الخفرى على شرح التجرید؛ موسوی، محمد بن فتح الله (-۱۲۲۵)</w:t>
      </w:r>
    </w:p>
    <w:p>
      <w:pPr>
        <w:pStyle w:val="BookText"/>
      </w:pPr>
      <w:r>
        <w:rPr>
          <w:rFonts w:ascii="IRNazanin" w:hAnsi="IRNazanin" w:eastAsia="IRNazanin" w:cs="IRNazanin"/>
          <w:lang w:bidi="fa-IR"/>
          <w:color w:val="111111"/>
          <w:sz w:val="28"/>
          <w:szCs w:val="28"/>
          <w:rtl/>
        </w:rPr>
        <w:t xml:space="preserve">۱۱۰- حاشية شوارق الالهام؛ رونق علیشاه کرمانی، محمد حسین بن محمد کاظم (-۱۲۳۰)</w:t>
      </w:r>
    </w:p>
    <w:p>
      <w:pPr>
        <w:pStyle w:val="BookText"/>
      </w:pPr>
      <w:r>
        <w:rPr>
          <w:rFonts w:ascii="IRNazanin" w:hAnsi="IRNazanin" w:eastAsia="IRNazanin" w:cs="IRNazanin"/>
          <w:lang w:bidi="fa-IR"/>
          <w:color w:val="111111"/>
          <w:sz w:val="28"/>
          <w:szCs w:val="28"/>
          <w:rtl/>
        </w:rPr>
        <w:t xml:space="preserve">۱۱۱- حاشية حاشية آقا جمال على حاشية الخفرى على شرح التجرید؛ اردکانی، احمد بن محمد ابراهيم (۱۱۷۵-۱۲۳۸)</w:t>
      </w:r>
    </w:p>
    <w:p>
      <w:pPr>
        <w:pStyle w:val="BookText"/>
      </w:pPr>
      <w:r>
        <w:rPr>
          <w:rFonts w:ascii="IRNazanin" w:hAnsi="IRNazanin" w:eastAsia="IRNazanin" w:cs="IRNazanin"/>
          <w:lang w:bidi="fa-IR"/>
          <w:color w:val="111111"/>
          <w:sz w:val="28"/>
          <w:szCs w:val="28"/>
          <w:rtl/>
        </w:rPr>
        <w:t xml:space="preserve">۱۱۲- حاشية حاشية الخفرى على شرح التجريد؛ اردکانی، احمد بن محمد ابراهیم (۱۱۷۵-۱۲۳۸)
</w:t>
      </w:r>
    </w:p>
    <w:p>
      <w:pPr>
        <w:sectPr>
          <w:footerReference w:type="default" r:id="rId9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۱۱۳- حاشية حاشية آقا جمال على حاشية الخفرى على شرح التجريد؛ هرندی، محمد بن محمد على (-۱۲۴۳)</w:t>
      </w:r>
    </w:p>
    <w:p>
      <w:pPr>
        <w:pStyle w:val="BookText"/>
      </w:pPr>
      <w:r>
        <w:rPr>
          <w:rFonts w:ascii="IRNazanin" w:hAnsi="IRNazanin" w:eastAsia="IRNazanin" w:cs="IRNazanin"/>
          <w:lang w:bidi="fa-IR"/>
          <w:color w:val="111111"/>
          <w:sz w:val="28"/>
          <w:szCs w:val="28"/>
          <w:rtl/>
        </w:rPr>
        <w:t xml:space="preserve">۱۱۴- مفتاح الكنوز؛ هزار جریبی، محمد علی بن محمد باقر (۱۱۸۸ -۱۲۴۵)</w:t>
      </w:r>
    </w:p>
    <w:p>
      <w:pPr>
        <w:pStyle w:val="BookText"/>
      </w:pPr>
      <w:r>
        <w:rPr>
          <w:rFonts w:ascii="IRNazanin" w:hAnsi="IRNazanin" w:eastAsia="IRNazanin" w:cs="IRNazanin"/>
          <w:lang w:bidi="fa-IR"/>
          <w:color w:val="111111"/>
          <w:sz w:val="28"/>
          <w:szCs w:val="28"/>
          <w:rtl/>
        </w:rPr>
        <w:t xml:space="preserve">۱۱۵- حاشية حاشية آقا جمال على حاشية الخفرى على شرح التجرید؛ نوری، علی بن جمشید (۱۲۴۶-)</w:t>
      </w:r>
    </w:p>
    <w:p>
      <w:pPr>
        <w:pStyle w:val="BookText"/>
      </w:pPr>
      <w:r>
        <w:rPr>
          <w:rFonts w:ascii="IRNazanin" w:hAnsi="IRNazanin" w:eastAsia="IRNazanin" w:cs="IRNazanin"/>
          <w:lang w:bidi="fa-IR"/>
          <w:color w:val="111111"/>
          <w:sz w:val="28"/>
          <w:szCs w:val="28"/>
          <w:rtl/>
        </w:rPr>
        <w:t xml:space="preserve">۱۱۶- حاشية شوارق الالهام؛ بسمل شیرازی، علی اکبر بن على (۱۲۶۳-۱۱۸۷)</w:t>
      </w:r>
    </w:p>
    <w:p>
      <w:pPr>
        <w:pStyle w:val="BookText"/>
      </w:pPr>
      <w:r>
        <w:rPr>
          <w:rFonts w:ascii="IRNazanin" w:hAnsi="IRNazanin" w:eastAsia="IRNazanin" w:cs="IRNazanin"/>
          <w:lang w:bidi="fa-IR"/>
          <w:color w:val="111111"/>
          <w:sz w:val="28"/>
          <w:szCs w:val="28"/>
          <w:rtl/>
        </w:rPr>
        <w:t xml:space="preserve">۱۱۷ - البراهين القاطعة في شرح تجرید العقاید الساطعة؛ استرآبادی، محمد جعفر بن سيف الدين (۱۱۹۸-۱۲۶۳)</w:t>
      </w:r>
    </w:p>
    <w:p>
      <w:pPr>
        <w:pStyle w:val="BookText"/>
      </w:pPr>
      <w:r>
        <w:rPr>
          <w:rFonts w:ascii="IRNazanin" w:hAnsi="IRNazanin" w:eastAsia="IRNazanin" w:cs="IRNazanin"/>
          <w:lang w:bidi="fa-IR"/>
          <w:color w:val="111111"/>
          <w:sz w:val="28"/>
          <w:szCs w:val="28"/>
          <w:rtl/>
        </w:rPr>
        <w:t xml:space="preserve">۱۱۸ - نهاية التحرير في شرح التجريد = نظم تجرید الاعتقاد؛ حسینی قزوینی، محمد تقی بن امیر مؤمن (-۱۲۷۰)</w:t>
      </w:r>
    </w:p>
    <w:p>
      <w:pPr>
        <w:pStyle w:val="BookText"/>
      </w:pPr>
      <w:r>
        <w:rPr>
          <w:rFonts w:ascii="IRNazanin" w:hAnsi="IRNazanin" w:eastAsia="IRNazanin" w:cs="IRNazanin"/>
          <w:lang w:bidi="fa-IR"/>
          <w:color w:val="111111"/>
          <w:sz w:val="28"/>
          <w:szCs w:val="28"/>
          <w:rtl/>
        </w:rPr>
        <w:t xml:space="preserve">۱۱۹- حاشية شوارق الالهام = حاشية الشوارق؛ واحدالعین، اسماعیل بن محمد سمیع (-۱۲۷۷)</w:t>
      </w:r>
    </w:p>
    <w:p>
      <w:pPr>
        <w:pStyle w:val="BookText"/>
      </w:pPr>
      <w:r>
        <w:rPr>
          <w:rFonts w:ascii="IRNazanin" w:hAnsi="IRNazanin" w:eastAsia="IRNazanin" w:cs="IRNazanin"/>
          <w:lang w:bidi="fa-IR"/>
          <w:color w:val="111111"/>
          <w:sz w:val="28"/>
          <w:szCs w:val="28"/>
          <w:rtl/>
        </w:rPr>
        <w:t xml:space="preserve">۱۲۰- حاشية حاشية اللاهيجي على حاشية الخفرى على شرح التجرید؛ واحد العين، اسماعیل بن محمد سمیع (-۱۲۷۷)</w:t>
      </w:r>
    </w:p>
    <w:p>
      <w:pPr>
        <w:pStyle w:val="BookText"/>
      </w:pPr>
      <w:r>
        <w:rPr>
          <w:rFonts w:ascii="IRNazanin" w:hAnsi="IRNazanin" w:eastAsia="IRNazanin" w:cs="IRNazanin"/>
          <w:lang w:bidi="fa-IR"/>
          <w:color w:val="111111"/>
          <w:sz w:val="28"/>
          <w:szCs w:val="28"/>
          <w:rtl/>
        </w:rPr>
        <w:t xml:space="preserve">۱۲۱- حاشية حاشية آقا جمال على حاشية الخفرى على شرح التجرید؛ واحد العين، اسماعيل بن محمد سمیع (-۱۲۷۷)</w:t>
      </w:r>
    </w:p>
    <w:p>
      <w:pPr>
        <w:pStyle w:val="BookText"/>
      </w:pPr>
      <w:r>
        <w:rPr>
          <w:rFonts w:ascii="IRNazanin" w:hAnsi="IRNazanin" w:eastAsia="IRNazanin" w:cs="IRNazanin"/>
          <w:lang w:bidi="fa-IR"/>
          <w:color w:val="111111"/>
          <w:sz w:val="28"/>
          <w:szCs w:val="28"/>
          <w:rtl/>
        </w:rPr>
        <w:t xml:space="preserve">۱۲۲- حاشية حاشية آقا جمال على حاشية الخفرى على شرح التجريد؛ سبزواری، هادي بن مهدی (۱۲۱۲-۱۲۸۹)</w:t>
      </w:r>
    </w:p>
    <w:p>
      <w:pPr>
        <w:pStyle w:val="BookText"/>
      </w:pPr>
      <w:r>
        <w:rPr>
          <w:rFonts w:ascii="IRNazanin" w:hAnsi="IRNazanin" w:eastAsia="IRNazanin" w:cs="IRNazanin"/>
          <w:lang w:bidi="fa-IR"/>
          <w:color w:val="111111"/>
          <w:sz w:val="28"/>
          <w:szCs w:val="28"/>
          <w:rtl/>
        </w:rPr>
        <w:t xml:space="preserve">۱۲۳- منتخباتی از شرح تجرید؛ گلپایگانی، محمد تقی (-۱۲۹۲) ۱۲۴- حاشية شرح التجريد القديم؛ شیروانی، محمد حسین بن محمد</w:t>
      </w:r>
    </w:p>
    <w:p>
      <w:pPr>
        <w:pStyle w:val="BookText"/>
      </w:pPr>
      <w:r>
        <w:rPr>
          <w:rFonts w:ascii="IRNazanin" w:hAnsi="IRNazanin" w:eastAsia="IRNazanin" w:cs="IRNazanin"/>
          <w:lang w:bidi="fa-IR"/>
          <w:color w:val="111111"/>
          <w:sz w:val="28"/>
          <w:szCs w:val="28"/>
          <w:rtl/>
        </w:rPr>
        <w:t xml:space="preserve">(۱۴-)</w:t>
      </w:r>
    </w:p>
    <w:p>
      <w:pPr>
        <w:pStyle w:val="BookText"/>
      </w:pPr>
      <w:r>
        <w:rPr>
          <w:rFonts w:ascii="IRNazanin" w:hAnsi="IRNazanin" w:eastAsia="IRNazanin" w:cs="IRNazanin"/>
          <w:lang w:bidi="fa-IR"/>
          <w:color w:val="111111"/>
          <w:sz w:val="28"/>
          <w:szCs w:val="28"/>
          <w:rtl/>
        </w:rPr>
        <w:t xml:space="preserve">۱۲۵- حاشية شوارق الالهام؛ شرندی قزوینی، کلبعلی بن عباس (-۱۴)</w:t>
      </w:r>
    </w:p>
    <w:p>
      <w:pPr>
        <w:pStyle w:val="BookText"/>
      </w:pPr>
      <w:r>
        <w:rPr>
          <w:rFonts w:ascii="IRNazanin" w:hAnsi="IRNazanin" w:eastAsia="IRNazanin" w:cs="IRNazanin"/>
          <w:lang w:bidi="fa-IR"/>
          <w:color w:val="111111"/>
          <w:sz w:val="28"/>
          <w:szCs w:val="28"/>
          <w:rtl/>
        </w:rPr>
        <w:t xml:space="preserve">۱۲۶- لوامع الاعلام من شوارق الالهام؛ حسینی، محمد تقی بن اسدالله (۱۴-)</w:t>
      </w:r>
    </w:p>
    <w:p>
      <w:pPr>
        <w:pStyle w:val="BookText"/>
      </w:pPr>
      <w:r>
        <w:rPr>
          <w:rFonts w:ascii="IRNazanin" w:hAnsi="IRNazanin" w:eastAsia="IRNazanin" w:cs="IRNazanin"/>
          <w:lang w:bidi="fa-IR"/>
          <w:color w:val="111111"/>
          <w:sz w:val="28"/>
          <w:szCs w:val="28"/>
          <w:rtl/>
        </w:rPr>
        <w:t xml:space="preserve">۱۲۷- حاشية شرح التجريد الجديد؛ حسینی، محمد تقی بن اسدالله ( ۱۴ -)</w:t>
      </w:r>
    </w:p>
    <w:p>
      <w:pPr>
        <w:pStyle w:val="BookText"/>
      </w:pPr>
      <w:r>
        <w:rPr>
          <w:rFonts w:ascii="IRNazanin" w:hAnsi="IRNazanin" w:eastAsia="IRNazanin" w:cs="IRNazanin"/>
          <w:lang w:bidi="fa-IR"/>
          <w:color w:val="111111"/>
          <w:sz w:val="28"/>
          <w:szCs w:val="28"/>
          <w:rtl/>
        </w:rPr>
        <w:t xml:space="preserve">۱۲۸- شرح تجرید الاعتقاد؛ تنکابنی، محمد بن سلیمان (۱۲۳۴-۱۳۰۲)</w:t>
      </w:r>
    </w:p>
    <w:p>
      <w:pPr>
        <w:pStyle w:val="BookText"/>
      </w:pPr>
      <w:r>
        <w:rPr>
          <w:rFonts w:ascii="IRNazanin" w:hAnsi="IRNazanin" w:eastAsia="IRNazanin" w:cs="IRNazanin"/>
          <w:lang w:bidi="fa-IR"/>
          <w:color w:val="111111"/>
          <w:sz w:val="28"/>
          <w:szCs w:val="28"/>
          <w:rtl/>
        </w:rPr>
        <w:t xml:space="preserve">۱۲۹- شرح تجرید الاعتقاد؛ میرزای شیرازی، محمد حسن بن محمود (۱۳۱۲-۱۲۳۰)</w:t>
      </w:r>
    </w:p>
    <w:p>
      <w:pPr>
        <w:pStyle w:val="BookText"/>
      </w:pPr>
      <w:r>
        <w:rPr>
          <w:rFonts w:ascii="IRNazanin" w:hAnsi="IRNazanin" w:eastAsia="IRNazanin" w:cs="IRNazanin"/>
          <w:lang w:bidi="fa-IR"/>
          <w:color w:val="111111"/>
          <w:sz w:val="28"/>
          <w:szCs w:val="28"/>
          <w:rtl/>
        </w:rPr>
        <w:t xml:space="preserve">۱۳۰- شرح تجرید الاعتقاد؛ اشرفی مازندرانی، خضر بن اسماعیل ( -۱۳۳۶)</w:t>
      </w:r>
    </w:p>
    <w:p>
      <w:pPr>
        <w:pStyle w:val="BookText"/>
      </w:pPr>
      <w:r>
        <w:rPr>
          <w:rFonts w:ascii="IRNazanin" w:hAnsi="IRNazanin" w:eastAsia="IRNazanin" w:cs="IRNazanin"/>
          <w:lang w:bidi="fa-IR"/>
          <w:color w:val="111111"/>
          <w:sz w:val="28"/>
          <w:szCs w:val="28"/>
          <w:rtl/>
        </w:rPr>
        <w:t xml:space="preserve">۱۳۱- شرح تجرید الاعتقاد؛ امام جمعه خوئی، محمد امین بن یحیی ( ۱۳۶۷-)</w:t>
      </w:r>
    </w:p>
    <w:p>
      <w:pPr>
        <w:pStyle w:val="BookText"/>
      </w:pPr>
      <w:r>
        <w:rPr>
          <w:rFonts w:ascii="IRNazanin" w:hAnsi="IRNazanin" w:eastAsia="IRNazanin" w:cs="IRNazanin"/>
          <w:lang w:bidi="fa-IR"/>
          <w:color w:val="111111"/>
          <w:sz w:val="28"/>
          <w:szCs w:val="28"/>
          <w:rtl/>
        </w:rPr>
        <w:t xml:space="preserve">۱۳۲- حاشية شوارق الالهام؛ علامه حائری مازندرانی، محمد صالح بن فضل الله (۱۲۹۷-۱۳۹۱)</w:t>
      </w:r>
    </w:p>
    <w:p>
      <w:pPr>
        <w:pStyle w:val="BookText"/>
      </w:pPr>
      <w:r>
        <w:rPr>
          <w:rFonts w:ascii="IRNazanin" w:hAnsi="IRNazanin" w:eastAsia="IRNazanin" w:cs="IRNazanin"/>
          <w:lang w:bidi="fa-IR"/>
          <w:color w:val="111111"/>
          <w:sz w:val="28"/>
          <w:szCs w:val="28"/>
          <w:rtl/>
        </w:rPr>
        <w:t xml:space="preserve">۱۳۳ - التعليقة على كشف المراد؛ طواری یزدی، عباس بن محمد ( ۱۵-)</w:t>
      </w:r>
    </w:p>
    <w:p>
      <w:pPr>
        <w:pStyle w:val="BookText"/>
      </w:pPr>
      <w:r>
        <w:rPr>
          <w:rFonts w:ascii="IRNazanin" w:hAnsi="IRNazanin" w:eastAsia="IRNazanin" w:cs="IRNazanin"/>
          <w:lang w:bidi="fa-IR"/>
          <w:color w:val="111111"/>
          <w:sz w:val="28"/>
          <w:szCs w:val="28"/>
          <w:rtl/>
        </w:rPr>
        <w:t xml:space="preserve">۱۳۴ - توضيح المراد فی شرح کشف المراد؛ حسینی کاشانی، هاشم بن مهدی (-۱۴۱۲)</w:t>
      </w:r>
    </w:p>
    <w:p>
      <w:pPr>
        <w:pStyle w:val="BookText"/>
      </w:pPr>
      <w:r>
        <w:rPr>
          <w:rFonts w:ascii="IRNazanin" w:hAnsi="IRNazanin" w:eastAsia="IRNazanin" w:cs="IRNazanin"/>
          <w:lang w:bidi="fa-IR"/>
          <w:color w:val="111111"/>
          <w:sz w:val="28"/>
          <w:szCs w:val="28"/>
          <w:rtl/>
        </w:rPr>
        <w:t xml:space="preserve">۱۳۵ - حاشية شرح التجريد = شرح سمرقندی؛ سمرقندی، محمد سعید</w:t>
      </w:r>
    </w:p>
    <w:p>
      <w:pPr>
        <w:pStyle w:val="BookText"/>
      </w:pPr>
      <w:r>
        <w:rPr>
          <w:rFonts w:ascii="IRNazanin" w:hAnsi="IRNazanin" w:eastAsia="IRNazanin" w:cs="IRNazanin"/>
          <w:lang w:bidi="fa-IR"/>
          <w:color w:val="111111"/>
          <w:sz w:val="28"/>
          <w:szCs w:val="28"/>
          <w:rtl/>
        </w:rPr>
        <w:t xml:space="preserve">۱۳۶ - شرح تجرید الاعتقاد؛ محمود بن محمد</w:t>
      </w:r>
    </w:p>
    <w:p>
      <w:pPr>
        <w:pStyle w:val="BookText"/>
      </w:pPr>
      <w:r>
        <w:rPr>
          <w:rFonts w:ascii="IRNazanin" w:hAnsi="IRNazanin" w:eastAsia="IRNazanin" w:cs="IRNazanin"/>
          <w:lang w:bidi="fa-IR"/>
          <w:color w:val="111111"/>
          <w:sz w:val="28"/>
          <w:szCs w:val="28"/>
          <w:rtl/>
        </w:rPr>
        <w:t xml:space="preserve">۱۳۷- حاشية شرح التجريد الجديد على نقی</w:t>
      </w:r>
    </w:p>
    <w:p>
      <w:pPr>
        <w:pStyle w:val="BookText"/>
      </w:pPr>
      <w:r>
        <w:rPr>
          <w:rFonts w:ascii="IRNazanin" w:hAnsi="IRNazanin" w:eastAsia="IRNazanin" w:cs="IRNazanin"/>
          <w:lang w:bidi="fa-IR"/>
          <w:color w:val="111111"/>
          <w:sz w:val="28"/>
          <w:szCs w:val="28"/>
          <w:rtl/>
        </w:rPr>
        <w:t xml:space="preserve">۱۳۸ - حاشية شوارق الالهام؛ همدانی، ملارضا</w:t>
      </w:r>
    </w:p>
    <w:p>
      <w:pPr>
        <w:pStyle w:val="BookText"/>
      </w:pPr>
      <w:r>
        <w:rPr>
          <w:rFonts w:ascii="IRNazanin" w:hAnsi="IRNazanin" w:eastAsia="IRNazanin" w:cs="IRNazanin"/>
          <w:lang w:bidi="fa-IR"/>
          <w:color w:val="111111"/>
          <w:sz w:val="28"/>
          <w:szCs w:val="28"/>
          <w:rtl/>
        </w:rPr>
        <w:t xml:space="preserve">۱۳۹- حاشية شرح تجرید الاعتقاد = رساله فخریه؛ مازندرانی، ابراهیم بن اسماعيل</w:t>
      </w:r>
    </w:p>
    <w:p>
      <w:pPr>
        <w:pStyle w:val="BookText"/>
      </w:pPr>
      <w:r>
        <w:rPr>
          <w:rFonts w:ascii="IRNazanin" w:hAnsi="IRNazanin" w:eastAsia="IRNazanin" w:cs="IRNazanin"/>
          <w:lang w:bidi="fa-IR"/>
          <w:color w:val="111111"/>
          <w:sz w:val="28"/>
          <w:szCs w:val="28"/>
          <w:rtl/>
        </w:rPr>
        <w:t xml:space="preserve">۱۴۰- ایضاح المقاصد في ترجمة تجريد العقاید</w:t>
      </w:r>
    </w:p>
    <w:p>
      <w:pPr>
        <w:pStyle w:val="BookText"/>
      </w:pPr>
      <w:r>
        <w:rPr>
          <w:rFonts w:ascii="IRNazanin" w:hAnsi="IRNazanin" w:eastAsia="IRNazanin" w:cs="IRNazanin"/>
          <w:lang w:bidi="fa-IR"/>
          <w:color w:val="111111"/>
          <w:sz w:val="28"/>
          <w:szCs w:val="28"/>
          <w:rtl/>
        </w:rPr>
        <w:t xml:space="preserve">۱۴۱ - تجرید الاعتقاد (با ترجمه منظوم)</w:t>
      </w:r>
    </w:p>
    <w:p>
      <w:pPr>
        <w:pStyle w:val="BookText"/>
      </w:pPr>
      <w:r>
        <w:rPr>
          <w:rFonts w:ascii="IRNazanin" w:hAnsi="IRNazanin" w:eastAsia="IRNazanin" w:cs="IRNazanin"/>
          <w:lang w:bidi="fa-IR"/>
          <w:color w:val="111111"/>
          <w:sz w:val="28"/>
          <w:szCs w:val="28"/>
          <w:rtl/>
        </w:rPr>
        <w:t xml:space="preserve">۱۴۲- تعليقات بر مبحث خلاء شرح جدید تجرید</w:t>
      </w:r>
    </w:p>
    <w:p>
      <w:pPr>
        <w:pStyle w:val="BookText"/>
      </w:pPr>
      <w:r>
        <w:rPr>
          <w:rFonts w:ascii="Amiri" w:hAnsi="Amiri" w:eastAsia="Amiri" w:cs="Amiri"/>
          <w:lang w:bidi="ar-SA"/>
          <w:color w:val="111111"/>
          <w:sz w:val="28"/>
          <w:szCs w:val="28"/>
          <w:rtl/>
        </w:rPr>
        <w:t xml:space="preserve">۱۴۳- حاشية التجريد و شرحه القديم و الجديد (۲ ناشناس)</w:t>
      </w:r>
    </w:p>
    <w:p>
      <w:pPr>
        <w:pStyle w:val="BookText"/>
      </w:pPr>
      <w:r>
        <w:rPr>
          <w:rFonts w:ascii="IRNazanin" w:hAnsi="IRNazanin" w:eastAsia="IRNazanin" w:cs="IRNazanin"/>
          <w:lang w:bidi="fa-IR"/>
          <w:color w:val="111111"/>
          <w:sz w:val="28"/>
          <w:szCs w:val="28"/>
          <w:rtl/>
        </w:rPr>
        <w:t xml:space="preserve">۱۴۴- حاشية التجرید و شرحها ۱۴۵- حاشية تجرید الاعتقاد (۴ ناشناس)</w:t>
      </w:r>
    </w:p>
    <w:p>
      <w:pPr>
        <w:pStyle w:val="BookText"/>
      </w:pPr>
      <w:r>
        <w:rPr>
          <w:rFonts w:ascii="IRNazanin" w:hAnsi="IRNazanin" w:eastAsia="IRNazanin" w:cs="IRNazanin"/>
          <w:lang w:bidi="fa-IR"/>
          <w:color w:val="111111"/>
          <w:sz w:val="28"/>
          <w:szCs w:val="28"/>
          <w:rtl/>
        </w:rPr>
        <w:t xml:space="preserve">۱۴۶- حاشية تسديد القواعد في شرح تجرید العقائد (۲ ناشناس)</w:t>
      </w:r>
    </w:p>
    <w:p>
      <w:pPr>
        <w:pStyle w:val="BookText"/>
      </w:pPr>
      <w:r>
        <w:rPr>
          <w:rFonts w:ascii="IRNazanin" w:hAnsi="IRNazanin" w:eastAsia="IRNazanin" w:cs="IRNazanin"/>
          <w:lang w:bidi="fa-IR"/>
          <w:color w:val="111111"/>
          <w:sz w:val="28"/>
          <w:szCs w:val="28"/>
          <w:rtl/>
        </w:rPr>
        <w:t xml:space="preserve">۱۴۷- حاشية تسديد القواعد في شرح تجرید العقائد = حاشية شرح التجريد القديم</w:t>
      </w:r>
    </w:p>
    <w:p>
      <w:pPr>
        <w:pStyle w:val="BookText"/>
      </w:pPr>
      <w:r>
        <w:rPr>
          <w:rFonts w:ascii="Amiri" w:hAnsi="Amiri" w:eastAsia="Amiri" w:cs="Amiri"/>
          <w:lang w:bidi="ar-SA"/>
          <w:color w:val="111111"/>
          <w:sz w:val="28"/>
          <w:szCs w:val="28"/>
          <w:rtl/>
        </w:rPr>
        <w:t xml:space="preserve">۱۴۸- حاشية حاشية الجرجاني على تسديد القواعد (۳ ناشناس) ۱۴۹- حاشية حاشية الجلالية على شرح التجريد ۱۵۰- حاشية حاشية الخفرى على شرح التجريد (۴ ناشناس) ۱۵۱- حاشية حاشية الدواني القديمة على شرح التجريد(۴ ناشناس)</w:t>
      </w:r>
    </w:p>
    <w:p>
      <w:pPr>
        <w:pStyle w:val="BookText"/>
      </w:pPr>
      <w:r>
        <w:rPr>
          <w:rFonts w:ascii="IRNazanin" w:hAnsi="IRNazanin" w:eastAsia="IRNazanin" w:cs="IRNazanin"/>
          <w:lang w:bidi="fa-IR"/>
          <w:color w:val="111111"/>
          <w:sz w:val="28"/>
          <w:szCs w:val="28"/>
          <w:rtl/>
        </w:rPr>
        <w:t xml:space="preserve">۱۵۲- حاشية حاشية السماکی على شرح التجريد (۲ ناشناس)</w:t>
      </w:r>
    </w:p>
    <w:p>
      <w:pPr>
        <w:pStyle w:val="BookText"/>
      </w:pPr>
      <w:r>
        <w:rPr>
          <w:rFonts w:ascii="IRNazanin" w:hAnsi="IRNazanin" w:eastAsia="IRNazanin" w:cs="IRNazanin"/>
          <w:lang w:bidi="fa-IR"/>
          <w:color w:val="111111"/>
          <w:sz w:val="28"/>
          <w:szCs w:val="28"/>
          <w:rtl/>
        </w:rPr>
        <w:t xml:space="preserve">۱۵۳- حاشية حاشية تجرید الاعتقاد ۱۵۴- حاشية شرح التجريد (۴۵ ناشناس)</w:t>
      </w:r>
    </w:p>
    <w:p>
      <w:pPr>
        <w:pStyle w:val="BookText"/>
      </w:pPr>
      <w:r>
        <w:rPr>
          <w:rFonts w:ascii="IRNazanin" w:hAnsi="IRNazanin" w:eastAsia="IRNazanin" w:cs="IRNazanin"/>
          <w:lang w:bidi="fa-IR"/>
          <w:color w:val="111111"/>
          <w:sz w:val="28"/>
          <w:szCs w:val="28"/>
          <w:rtl/>
        </w:rPr>
        <w:t xml:space="preserve">۱۵۵- حاشية شرح التجريد = حاشیه بر شرح الهيات تجرید</w:t>
      </w:r>
    </w:p>
    <w:p>
      <w:pPr>
        <w:pStyle w:val="BookText"/>
      </w:pPr>
      <w:r>
        <w:rPr>
          <w:rFonts w:ascii="Amiri" w:hAnsi="Amiri" w:eastAsia="Amiri" w:cs="Amiri"/>
          <w:lang w:bidi="ar-SA"/>
          <w:color w:val="111111"/>
          <w:sz w:val="28"/>
          <w:szCs w:val="28"/>
          <w:rtl/>
        </w:rPr>
        <w:t xml:space="preserve">۱۵۶- حاشية شرح التجريد الجديد (۲۶ ناشناس)</w:t>
      </w:r>
    </w:p>
    <w:p>
      <w:pPr>
        <w:pStyle w:val="BookText"/>
      </w:pPr>
      <w:r>
        <w:rPr>
          <w:rFonts w:ascii="Amiri" w:hAnsi="Amiri" w:eastAsia="Amiri" w:cs="Amiri"/>
          <w:lang w:bidi="ar-SA"/>
          <w:color w:val="111111"/>
          <w:sz w:val="28"/>
          <w:szCs w:val="28"/>
          <w:rtl/>
        </w:rPr>
        <w:t xml:space="preserve">۱۵۷- حاشية شرح التجريد الجديد و حواشيه</w:t>
      </w:r>
    </w:p>
    <w:p>
      <w:pPr>
        <w:pStyle w:val="BookText"/>
      </w:pPr>
      <w:r>
        <w:rPr>
          <w:rFonts w:ascii="Amiri" w:hAnsi="Amiri" w:eastAsia="Amiri" w:cs="Amiri"/>
          <w:lang w:bidi="ar-SA"/>
          <w:color w:val="111111"/>
          <w:sz w:val="28"/>
          <w:szCs w:val="28"/>
          <w:rtl/>
        </w:rPr>
        <w:t xml:space="preserve">۱۵۸- حاشية شرح التجريد القديم (۳ ناشناس)</w:t>
      </w:r>
    </w:p>
    <w:p>
      <w:pPr>
        <w:pStyle w:val="BookText"/>
      </w:pPr>
      <w:r>
        <w:rPr>
          <w:rFonts w:ascii="Amiri" w:hAnsi="Amiri" w:eastAsia="Amiri" w:cs="Amiri"/>
          <w:lang w:bidi="ar-SA"/>
          <w:color w:val="111111"/>
          <w:sz w:val="28"/>
          <w:szCs w:val="28"/>
          <w:rtl/>
        </w:rPr>
        <w:t xml:space="preserve">۱۵۹- حاشية شرح التجريد القديم و الجديد (۲ ناشناس)</w:t>
      </w:r>
    </w:p>
    <w:p>
      <w:pPr>
        <w:pStyle w:val="BookText"/>
      </w:pPr>
      <w:r>
        <w:rPr>
          <w:rFonts w:ascii="IRNazanin" w:hAnsi="IRNazanin" w:eastAsia="IRNazanin" w:cs="IRNazanin"/>
          <w:lang w:bidi="fa-IR"/>
          <w:color w:val="111111"/>
          <w:sz w:val="28"/>
          <w:szCs w:val="28"/>
          <w:rtl/>
        </w:rPr>
        <w:t xml:space="preserve">۱۶۰- حاشية شرح التجريد و الحاشية القديمة للدوانی</w:t>
      </w:r>
    </w:p>
    <w:p>
      <w:pPr>
        <w:pStyle w:val="BookText"/>
      </w:pPr>
      <w:r>
        <w:rPr>
          <w:rFonts w:ascii="IRNazanin" w:hAnsi="IRNazanin" w:eastAsia="IRNazanin" w:cs="IRNazanin"/>
          <w:lang w:bidi="fa-IR"/>
          <w:color w:val="111111"/>
          <w:sz w:val="28"/>
          <w:szCs w:val="28"/>
          <w:rtl/>
        </w:rPr>
        <w:t xml:space="preserve">۱۶۱- حاشية شرح التجرید و حاشية الخفرى عليه</w:t>
      </w:r>
    </w:p>
    <w:p>
      <w:pPr>
        <w:pStyle w:val="BookText"/>
      </w:pPr>
      <w:r>
        <w:rPr>
          <w:rFonts w:ascii="IRNazanin" w:hAnsi="IRNazanin" w:eastAsia="IRNazanin" w:cs="IRNazanin"/>
          <w:lang w:bidi="fa-IR"/>
          <w:color w:val="111111"/>
          <w:sz w:val="28"/>
          <w:szCs w:val="28"/>
          <w:rtl/>
        </w:rPr>
        <w:t xml:space="preserve">۱۶۲- حاشية شرح الجديد للتجرید</w:t>
      </w:r>
    </w:p>
    <w:p>
      <w:pPr>
        <w:pStyle w:val="BookText"/>
      </w:pPr>
      <w:r>
        <w:rPr>
          <w:rFonts w:ascii="IRNazanin" w:hAnsi="IRNazanin" w:eastAsia="IRNazanin" w:cs="IRNazanin"/>
          <w:lang w:bidi="fa-IR"/>
          <w:color w:val="111111"/>
          <w:sz w:val="28"/>
          <w:szCs w:val="28"/>
          <w:rtl/>
        </w:rPr>
        <w:t xml:space="preserve">۱۶۳- حاشية شرح تجرید الاعتقاد</w:t>
      </w:r>
    </w:p>
    <w:p>
      <w:pPr>
        <w:pStyle w:val="BookText"/>
      </w:pPr>
      <w:r>
        <w:rPr>
          <w:rFonts w:ascii="Amiri" w:hAnsi="Amiri" w:eastAsia="Amiri" w:cs="Amiri"/>
          <w:lang w:bidi="ar-SA"/>
          <w:color w:val="111111"/>
          <w:sz w:val="28"/>
          <w:szCs w:val="28"/>
          <w:rtl/>
        </w:rPr>
        <w:t xml:space="preserve">۱۶۴- حاشية شرح كتاب في الحكمة</w:t>
      </w:r>
    </w:p>
    <w:p>
      <w:pPr>
        <w:pStyle w:val="BookText"/>
      </w:pPr>
      <w:r>
        <w:rPr>
          <w:rFonts w:ascii="Amiri" w:hAnsi="Amiri" w:eastAsia="Amiri" w:cs="Amiri"/>
          <w:lang w:bidi="ar-SA"/>
          <w:color w:val="111111"/>
          <w:sz w:val="28"/>
          <w:szCs w:val="28"/>
          <w:rtl/>
        </w:rPr>
        <w:t xml:space="preserve">۱۶۵- حاشية شوارق الالهام (۴ ناشناس)</w:t>
      </w:r>
    </w:p>
    <w:p>
      <w:pPr>
        <w:pStyle w:val="BookText"/>
      </w:pPr>
      <w:r>
        <w:rPr>
          <w:rFonts w:ascii="Amiri" w:hAnsi="Amiri" w:eastAsia="Amiri" w:cs="Amiri"/>
          <w:lang w:bidi="ar-SA"/>
          <w:color w:val="111111"/>
          <w:sz w:val="28"/>
          <w:szCs w:val="28"/>
          <w:rtl/>
        </w:rPr>
        <w:t xml:space="preserve">۱۶۶- حاشية كشف المراد</w:t>
      </w:r>
    </w:p>
    <w:p>
      <w:pPr>
        <w:pStyle w:val="BookText"/>
      </w:pPr>
      <w:r>
        <w:rPr>
          <w:rFonts w:ascii="IRNazanin" w:hAnsi="IRNazanin" w:eastAsia="IRNazanin" w:cs="IRNazanin"/>
          <w:lang w:bidi="fa-IR"/>
          <w:color w:val="111111"/>
          <w:sz w:val="28"/>
          <w:szCs w:val="28"/>
          <w:rtl/>
        </w:rPr>
        <w:t xml:space="preserve">۱۶۷- حاشيه شرح تجرید الاعتقاد</w:t>
      </w:r>
    </w:p>
    <w:p>
      <w:pPr>
        <w:pStyle w:val="BookText"/>
      </w:pPr>
      <w:r>
        <w:rPr>
          <w:rFonts w:ascii="IRNazanin" w:hAnsi="IRNazanin" w:eastAsia="IRNazanin" w:cs="IRNazanin"/>
          <w:lang w:bidi="fa-IR"/>
          <w:color w:val="111111"/>
          <w:sz w:val="28"/>
          <w:szCs w:val="28"/>
          <w:rtl/>
        </w:rPr>
        <w:t xml:space="preserve">۱۶۸- حواشی شرح التجريد = حواشی شرح جدید</w:t>
      </w:r>
    </w:p>
    <w:p>
      <w:pPr>
        <w:pStyle w:val="BookText"/>
      </w:pPr>
      <w:r>
        <w:rPr>
          <w:rFonts w:ascii="IRNazanin" w:hAnsi="IRNazanin" w:eastAsia="IRNazanin" w:cs="IRNazanin"/>
          <w:lang w:bidi="fa-IR"/>
          <w:color w:val="111111"/>
          <w:sz w:val="28"/>
          <w:szCs w:val="28"/>
          <w:rtl/>
        </w:rPr>
        <w:t xml:space="preserve">۱۶۹- حواشی شرح التجريد الجديد</w:t>
      </w:r>
    </w:p>
    <w:p>
      <w:pPr>
        <w:pStyle w:val="BookText"/>
      </w:pPr>
      <w:r>
        <w:rPr>
          <w:rFonts w:ascii="IRNazanin" w:hAnsi="IRNazanin" w:eastAsia="IRNazanin" w:cs="IRNazanin"/>
          <w:lang w:bidi="fa-IR"/>
          <w:color w:val="111111"/>
          <w:sz w:val="28"/>
          <w:szCs w:val="28"/>
          <w:rtl/>
        </w:rPr>
        <w:t xml:space="preserve">۱۷۰- شرح تجرید الاعتقاد (۳۰ ناشناس)</w:t>
      </w:r>
    </w:p>
    <w:p>
      <w:pPr>
        <w:pStyle w:val="BookText"/>
      </w:pPr>
      <w:r>
        <w:rPr>
          <w:rFonts w:ascii="Amiri" w:hAnsi="Amiri" w:eastAsia="Amiri" w:cs="Amiri"/>
          <w:lang w:bidi="ar-SA"/>
          <w:color w:val="111111"/>
          <w:sz w:val="28"/>
          <w:szCs w:val="28"/>
          <w:rtl/>
        </w:rPr>
        <w:t xml:space="preserve">۱۷۱- شرح تجريد الكلام</w:t>
      </w:r>
    </w:p>
    <w:p>
      <w:pPr>
        <w:pStyle w:val="BookText"/>
      </w:pPr>
      <w:r>
        <w:rPr>
          <w:rFonts w:ascii="IRNazanin" w:hAnsi="IRNazanin" w:eastAsia="IRNazanin" w:cs="IRNazanin"/>
          <w:lang w:bidi="fa-IR"/>
          <w:color w:val="111111"/>
          <w:sz w:val="28"/>
          <w:szCs w:val="28"/>
          <w:rtl/>
        </w:rPr>
        <w:t xml:space="preserve">۱۷۲- شرح کشف المراد فی شرح تجرید الاعتقاد</w:t>
      </w:r>
    </w:p>
    <w:p>
      <w:pPr>
        <w:pStyle w:val="BookText"/>
      </w:pPr>
      <w:r>
        <w:rPr>
          <w:rFonts w:ascii="Amiri" w:hAnsi="Amiri" w:eastAsia="Amiri" w:cs="Amiri"/>
          <w:lang w:bidi="ar-SA"/>
          <w:color w:val="111111"/>
          <w:sz w:val="28"/>
          <w:szCs w:val="28"/>
          <w:rtl/>
        </w:rPr>
        <w:t xml:space="preserve">۱۷۳ - المجمع الخامس في خلاصة علم الكلام</w:t>
      </w:r>
    </w:p>
    <w:p>
      <w:pPr>
        <w:pStyle w:val="BookText"/>
      </w:pPr>
      <w:r>
        <w:rPr>
          <w:rFonts w:ascii="IRNazanin" w:hAnsi="IRNazanin" w:eastAsia="IRNazanin" w:cs="IRNazanin"/>
          <w:lang w:bidi="fa-IR"/>
          <w:color w:val="111111"/>
          <w:sz w:val="28"/>
          <w:szCs w:val="28"/>
          <w:rtl/>
        </w:rPr>
        <w:t xml:space="preserve">۱. تهران؛ مجلس؛ شماره نسخه:۶۳۰/۷</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بی کا، تا: قرن ۹۸ شرح ذیل را که در پشت صفحه اول مرقوم است
</w:t>
      </w:r>
    </w:p>
    <w:p>
      <w:pPr>
        <w:sectPr>
          <w:footerReference w:type="default" r:id="rId9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خواجه نصیر تشخیص داده اند: «قرء على هذا الكتاب و هو کتاب تجريد الاعتقاد صاحبه قرائة مستوضح لمبانیه و قواعده مستشرح لمعانیه و مقاصده و کتب مؤلف الكتاب محمد بن الحسن الطوسی اعانه الله على مراضيه و وفقه لطاعته و غفرله خطاياه و عفا عنه انه غفور رحيم لطيف کریم و ذلك بمدينة السلام بغداد ... الخامس و العشرون من ربيع الأول سنة تسع و ستین و ستمائة هلالية هجرية و الحمدلله رب العالمين و هو حسبی</w:t>
      </w:r>
    </w:p>
    <w:p>
      <w:pPr>
        <w:pStyle w:val="BookText"/>
      </w:pPr>
      <w:r>
        <w:rPr>
          <w:rFonts w:ascii="IRNazanin" w:hAnsi="IRNazanin" w:eastAsia="IRNazanin" w:cs="IRNazanin"/>
          <w:lang w:bidi="fa-IR"/>
          <w:color w:val="111111"/>
          <w:sz w:val="28"/>
          <w:szCs w:val="28"/>
          <w:rtl/>
        </w:rPr>
        <w:t xml:space="preserve">و نعم المعین»؛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۲-۳۸۹]</w:t>
      </w:r>
    </w:p>
    <w:p>
      <w:pPr>
        <w:pStyle w:val="BookText"/>
      </w:pPr>
      <w:r>
        <w:rPr>
          <w:rFonts w:ascii="IRNazanin" w:hAnsi="IRNazanin" w:eastAsia="IRNazanin" w:cs="IRNazanin"/>
          <w:lang w:bidi="fa-IR"/>
          <w:color w:val="111111"/>
          <w:sz w:val="28"/>
          <w:szCs w:val="28"/>
          <w:rtl/>
        </w:rPr>
        <w:t xml:space="preserve">۲. تهران، دانشگاه؛ شماره نسخه: ۴۶۲/۷ (آ)-۴۶۳/۷ (ب)-ف</w:t>
      </w:r>
    </w:p>
    <w:p>
      <w:pPr>
        <w:pStyle w:val="BookText"/>
      </w:pPr>
      <w:r>
        <w:rPr>
          <w:rFonts w:ascii="IRNazanin" w:hAnsi="IRNazanin" w:eastAsia="IRNazanin" w:cs="IRNazanin"/>
          <w:lang w:bidi="fa-IR"/>
          <w:color w:val="111111"/>
          <w:sz w:val="28"/>
          <w:szCs w:val="28"/>
          <w:rtl/>
        </w:rPr>
        <w:t xml:space="preserve">نسخه اصل: کوپرولوش ۱۵۸۹؛ بی کا، تا: سه شنبه ۲۱ محرم ۷۵۴ق؛ گ(۱۲۱پ -۱۲۶پ) [فیلمها ف: ۱- ۴۷۹]</w:t>
      </w:r>
    </w:p>
    <w:p>
      <w:pPr>
        <w:pStyle w:val="BookText"/>
      </w:pPr>
      <w:r>
        <w:rPr>
          <w:rFonts w:ascii="IRNazanin" w:hAnsi="IRNazanin" w:eastAsia="IRNazanin" w:cs="IRNazanin"/>
          <w:lang w:bidi="fa-IR"/>
          <w:color w:val="111111"/>
          <w:sz w:val="28"/>
          <w:szCs w:val="28"/>
          <w:rtl/>
        </w:rPr>
        <w:t xml:space="preserve">٣. تهران، دانشگاه؛ شماره نسخه: ۷۰۲۵/۲ و ۲۵۱۰/۲ -ف</w:t>
      </w:r>
    </w:p>
    <w:p>
      <w:pPr>
        <w:pStyle w:val="BookText"/>
      </w:pPr>
      <w:r>
        <w:rPr>
          <w:rFonts w:ascii="IRNazanin" w:hAnsi="IRNazanin" w:eastAsia="IRNazanin" w:cs="IRNazanin"/>
          <w:lang w:bidi="fa-IR"/>
          <w:color w:val="111111"/>
          <w:sz w:val="28"/>
          <w:szCs w:val="28"/>
          <w:rtl/>
        </w:rPr>
        <w:t xml:space="preserve">خط: نسخ معرب، کا: محمد بن عبدالمجيد بن فضل الله طبری، تا: چاشت روز شنبه نزدیک بپایان ماه شعبان ۸۵۹ق؛ در زمان هبلرودی؛ کاغذ: سمرقندی موریانه خورده، جلد: تیماج تریاکی مقوایی با لولا فرسوده، ۲۰گ (۱۲۰پ - ۱۳۹)، ۲۰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قطع: ربعی،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[ف: ۱۶-۴۳۳] و [فیلمها ف: ۱-۷۰۸]</w:t>
      </w:r>
    </w:p>
    <w:p>
      <w:pPr>
        <w:pStyle w:val="BookText"/>
      </w:pPr>
      <w:r>
        <w:rPr>
          <w:rFonts w:ascii="IRNazanin" w:hAnsi="IRNazanin" w:eastAsia="IRNazanin" w:cs="IRNazanin"/>
          <w:lang w:bidi="fa-IR"/>
          <w:color w:val="111111"/>
          <w:sz w:val="28"/>
          <w:szCs w:val="28"/>
          <w:rtl/>
        </w:rPr>
        <w:t xml:space="preserve">۴. قم؛ مرعشی؛ شماره نسخه: ۱۰۴۸ 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نسخه اصل: کتابخانه واتیکان، ایتالیا: ش ۱۱۷۷؛ خط: نسخ، كان ابراهيم بن على بن يحيى بن محمد بن عیسی بن اسعد سعدی مالکی مرادی مدحجی، تا روز عرفه جمعه ذیحجه ۸۶۱ق مصحح، در جای های مختلف علامت بلاغ؛ ۴۴ص (۵-۴۷)، ۲۱ سطر [عکسی ف: ۳-۱۰۲]</w:t>
      </w:r>
    </w:p>
    <w:p>
      <w:pPr>
        <w:pStyle w:val="BookText"/>
      </w:pPr>
      <w:r>
        <w:rPr>
          <w:rFonts w:ascii="IRNazanin" w:hAnsi="IRNazanin" w:eastAsia="IRNazanin" w:cs="IRNazanin"/>
          <w:lang w:bidi="fa-IR"/>
          <w:color w:val="111111"/>
          <w:sz w:val="28"/>
          <w:szCs w:val="28"/>
          <w:rtl/>
        </w:rPr>
        <w:t xml:space="preserve">قم، مرکز احیاء؛ شماره نسخه: ۱۵۸۲/۱</w:t>
      </w:r>
    </w:p>
    <w:p>
      <w:pPr>
        <w:pStyle w:val="BookText"/>
      </w:pPr>
      <w:r>
        <w:rPr>
          <w:rFonts w:ascii="IRNazanin" w:hAnsi="IRNazanin" w:eastAsia="IRNazanin" w:cs="IRNazanin"/>
          <w:lang w:bidi="fa-IR"/>
          <w:color w:val="111111"/>
          <w:sz w:val="28"/>
          <w:szCs w:val="28"/>
          <w:rtl/>
        </w:rPr>
        <w:t xml:space="preserve">نسخه اصل: همان نسخه بالا [عکسی ف: ۴-۴۳۸]</w:t>
      </w:r>
    </w:p>
    <w:p>
      <w:pPr>
        <w:pStyle w:val="BookText"/>
      </w:pPr>
      <w:r>
        <w:rPr>
          <w:rFonts w:ascii="IRNazanin" w:hAnsi="IRNazanin" w:eastAsia="IRNazanin" w:cs="IRNazanin"/>
          <w:lang w:bidi="fa-IR"/>
          <w:color w:val="111111"/>
          <w:sz w:val="28"/>
          <w:szCs w:val="28"/>
          <w:rtl/>
        </w:rPr>
        <w:t xml:space="preserve">۵. اصفهان؛ مدرسه صدر بازار؛ شماره نسخه:۹۸</w:t>
      </w:r>
    </w:p>
    <w:p>
      <w:pPr>
        <w:pStyle w:val="BookText"/>
      </w:pPr>
      <w:r>
        <w:rPr>
          <w:rFonts w:ascii="IRNazanin" w:hAnsi="IRNazanin" w:eastAsia="IRNazanin" w:cs="IRNazanin"/>
          <w:lang w:bidi="fa-IR"/>
          <w:color w:val="111111"/>
          <w:sz w:val="28"/>
          <w:szCs w:val="28"/>
          <w:rtl/>
        </w:rPr>
        <w:t xml:space="preserve">خط: نسخ، بی کا، تا: قرن ۱۰؛ مصحح، محشی، وقف نامه کتاب از محمد تقی بن محمد کاظم قمی و یادداشتی کلامی و نام میرزا مهدی نائب الصدر و یک بیت شعر فارسی؛ واقف: محمد تقی بن محمد کاظم قمی، جلد: تیماح قهوه ای، ۱۸۵ گ، ۵ سطر، اندازه:</w:t>
      </w:r>
    </w:p>
    <w:p>
      <w:pPr>
        <w:pStyle w:val="BookText"/>
      </w:pPr>
      <w:r>
        <w:rPr>
          <w:rFonts w:ascii="IRNazanin" w:hAnsi="IRNazanin" w:eastAsia="IRNazanin" w:cs="IRNazanin"/>
          <w:lang w:bidi="fa-IR"/>
          <w:color w:val="111111"/>
          <w:sz w:val="28"/>
          <w:szCs w:val="28"/>
          <w:rtl/>
        </w:rPr>
        <w:t xml:space="preserve">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۱-۷۵]</w:t>
      </w:r>
    </w:p>
    <w:p>
      <w:pPr>
        <w:pStyle w:val="BookText"/>
      </w:pPr>
      <w:r>
        <w:rPr>
          <w:rFonts w:ascii="IRNazanin" w:hAnsi="IRNazanin" w:eastAsia="IRNazanin" w:cs="IRNazanin"/>
          <w:lang w:bidi="fa-IR"/>
          <w:color w:val="111111"/>
          <w:sz w:val="28"/>
          <w:szCs w:val="28"/>
          <w:rtl/>
        </w:rPr>
        <w:t xml:space="preserve">6 . تهران؛ ملک؛ شماره نسخه: ۲۵۳۲/۱</w:t>
      </w:r>
    </w:p>
    <w:p>
      <w:pPr>
        <w:pStyle w:val="BookText"/>
      </w:pPr>
      <w:r>
        <w:rPr>
          <w:rFonts w:ascii="IRNazanin" w:hAnsi="IRNazanin" w:eastAsia="IRNazanin" w:cs="IRNazanin"/>
          <w:lang w:bidi="fa-IR"/>
          <w:color w:val="111111"/>
          <w:sz w:val="28"/>
          <w:szCs w:val="28"/>
          <w:rtl/>
        </w:rPr>
        <w:t xml:space="preserve">خط: نسخ خوش، بی کا، تا: قرن ۱۰؛ محشی، مجدول؛ مهر: «عبده الراجي حسين الموسوي ۱۲۵۴)، «عبده الراجی حسین بن ابی القاسم الموسوي ۱۲۵۴»، «بنده دین محمد محسن ۱۰۷۰»؛ کاغذ: ترمه، جلد: رویه کاغذ عطف میشن قهوه ای، ۸۰گ (آپ -۸۰ر)، ۸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۶-۳۶]</w:t>
      </w:r>
    </w:p>
    <w:p>
      <w:pPr>
        <w:pStyle w:val="BookText"/>
      </w:pPr>
      <w:r>
        <w:rPr>
          <w:rFonts w:ascii="IRNazanin" w:hAnsi="IRNazanin" w:eastAsia="IRNazanin" w:cs="IRNazanin"/>
          <w:lang w:bidi="fa-IR"/>
          <w:color w:val="111111"/>
          <w:sz w:val="28"/>
          <w:szCs w:val="28"/>
          <w:rtl/>
        </w:rPr>
        <w:t xml:space="preserve">۷. تهران: ملک؛ شماره نسخه: ۲۲۶۱/۱۴</w:t>
      </w:r>
    </w:p>
    <w:p>
      <w:pPr>
        <w:pStyle w:val="BookText"/>
      </w:pPr>
      <w:r>
        <w:rPr>
          <w:rFonts w:ascii="IRNazanin" w:hAnsi="IRNazanin" w:eastAsia="IRNazanin" w:cs="IRNazanin"/>
          <w:lang w:bidi="fa-IR"/>
          <w:color w:val="111111"/>
          <w:sz w:val="28"/>
          <w:szCs w:val="28"/>
          <w:rtl/>
        </w:rPr>
        <w:t xml:space="preserve">خط: شکسته نستعلیق، بی کا، تا: قرن ۱۰؛ محشی با نشان «شرح صحائف، مولانا جلال، شرح»؛ کاغذ: ترمه، جلد: میشن قهوه ای سیر، ۶گ (۹۴پ -۹۹پ)،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۵-۴۵۳]</w:t>
      </w:r>
    </w:p>
    <w:p>
      <w:pPr>
        <w:pStyle w:val="BookText"/>
      </w:pPr>
      <w:r>
        <w:rPr>
          <w:rFonts w:ascii="IRNazanin" w:hAnsi="IRNazanin" w:eastAsia="IRNazanin" w:cs="IRNazanin"/>
          <w:lang w:bidi="fa-IR"/>
          <w:color w:val="111111"/>
          <w:sz w:val="28"/>
          <w:szCs w:val="28"/>
          <w:rtl/>
        </w:rPr>
        <w:t xml:space="preserve">۸. قم؛ مرعشی؛ شماره نسخه:۳۱۲۳/۴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قریش بن هاشم حسینی، تا: دوشنبه ذیقعده ۱۵۵ق، جان مکه؛ مصحح؛ کاغذ: فرنگی سفید، جلد: تیماج قهوه ای، ۱۱گ (۳۳-۴۳پ)، ۲۰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۳۵۴-۸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مشهد؛ گوهرشاد؛ شماره نسخه: ۱۶۵۴/۱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فضل الله بن محمد حسینی، تا: نیمه ربيع الأول ۱۶۲ق، تاریخ کتابت به نقل از خط سید صفد حسینی؛ کاغذ: نخودی آهار مهره، جلد: تیماج سرخ عطف مشکی، ۲۹گ، ۱۴ سطر، اندازه: ۱۱/۵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۱۸/۵ سم [ف: ۵-۶۷]</w:t>
      </w:r>
    </w:p>
    <w:p>
      <w:pPr>
        <w:pStyle w:val="BookText"/>
      </w:pPr>
      <w:r>
        <w:rPr>
          <w:rFonts w:ascii="IRNazanin" w:hAnsi="IRNazanin" w:eastAsia="IRNazanin" w:cs="IRNazanin"/>
          <w:lang w:bidi="fa-IR"/>
          <w:color w:val="111111"/>
          <w:sz w:val="28"/>
          <w:szCs w:val="28"/>
          <w:rtl/>
        </w:rPr>
        <w:t xml:space="preserve">۱۰. تهران؛ مجلس؛ شماره نسخه: ۱۰۴۶۷/۱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جمادی الاول ۹۶۴ق، جلد: تیماج سیاه، ۱۵سطر،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۳۳/۱ -۴۲]</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یزد؛ جامع کبیر؛ شماره نسخه: ۱۸۲/۴</w:t>
      </w:r>
    </w:p>
    <w:p>
      <w:pPr>
        <w:pStyle w:val="BookText"/>
      </w:pPr>
      <w:r>
        <w:rPr>
          <w:rFonts w:ascii="IRNazanin" w:hAnsi="IRNazanin" w:eastAsia="IRNazanin" w:cs="IRNazanin"/>
          <w:lang w:bidi="fa-IR"/>
          <w:color w:val="111111"/>
          <w:sz w:val="28"/>
          <w:szCs w:val="28"/>
          <w:rtl/>
        </w:rPr>
        <w:t xml:space="preserve">خط: نسخ، بی کا، تا: سه شنبه ۲۶ رمضان ۹۶۸ق؛ قطع: جيبي[ نشریه: ۴۱۰-۴ ]</w:t>
      </w:r>
    </w:p>
    <w:p>
      <w:pPr>
        <w:pStyle w:val="BookText"/>
      </w:pPr>
      <w:r>
        <w:rPr>
          <w:rFonts w:ascii="IRNazanin" w:hAnsi="IRNazanin" w:eastAsia="IRNazanin" w:cs="IRNazanin"/>
          <w:lang w:bidi="fa-IR"/>
          <w:color w:val="111111"/>
          <w:sz w:val="28"/>
          <w:szCs w:val="28"/>
          <w:rtl/>
        </w:rPr>
        <w:t xml:space="preserve">۱۲. تهران؛ دانشگاه؛ شماره نسخه:۵۰۶۶</w:t>
      </w:r>
    </w:p>
    <w:p>
      <w:pPr>
        <w:pStyle w:val="BookText"/>
      </w:pPr>
      <w:r>
        <w:rPr>
          <w:rFonts w:ascii="IRNazanin" w:hAnsi="IRNazanin" w:eastAsia="IRNazanin" w:cs="IRNazanin"/>
          <w:lang w:bidi="fa-IR"/>
          <w:color w:val="111111"/>
          <w:sz w:val="28"/>
          <w:szCs w:val="28"/>
          <w:rtl/>
        </w:rPr>
        <w:t xml:space="preserve">خط: نسخ، بی کا، تا: ۲۷ رمضان ۹۶۹ق؛ کاغذ: سمرقندی، جلد: تیماج تریاکی، ۷۴گ، ۷ سطر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[ف: ۴۱۰۲-۱۵ ]</w:t>
      </w:r>
    </w:p>
    <w:p>
      <w:pPr>
        <w:pStyle w:val="BookText"/>
      </w:pPr>
      <w:r>
        <w:rPr>
          <w:rFonts w:ascii="IRNazanin" w:hAnsi="IRNazanin" w:eastAsia="IRNazanin" w:cs="IRNazanin"/>
          <w:lang w:bidi="fa-IR"/>
          <w:color w:val="111111"/>
          <w:sz w:val="28"/>
          <w:szCs w:val="28"/>
          <w:rtl/>
        </w:rPr>
        <w:t xml:space="preserve">۱۳. قم؛ مرعشی؛ شماره نسخه: ۵۱۲۳/۷</w:t>
      </w:r>
    </w:p>
    <w:p>
      <w:pPr>
        <w:pStyle w:val="BookText"/>
      </w:pPr>
      <w:r>
        <w:rPr>
          <w:rFonts w:ascii="IRNazanin" w:hAnsi="IRNazanin" w:eastAsia="IRNazanin" w:cs="IRNazanin"/>
          <w:lang w:bidi="fa-IR"/>
          <w:color w:val="111111"/>
          <w:sz w:val="28"/>
          <w:szCs w:val="28"/>
          <w:rtl/>
        </w:rPr>
        <w:t xml:space="preserve">خط: نسخ، كا: ابوالحسن بن عبد الله استرابادی، تا: جمادی الثانی ۹۷۵ق، جان دمشق؛ کاغذ: شرقی نخودی، جلد: مقوایی عطف تیماج قهوه ای، ۲۶گ (۱۳۷پ-۱۶۲پ)، ۱۵ سطر، اندازه: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۱۳-۳۲۷]</w:t>
      </w:r>
    </w:p>
    <w:p>
      <w:pPr>
        <w:pStyle w:val="BookText"/>
      </w:pPr>
      <w:r>
        <w:rPr>
          <w:rFonts w:ascii="IRNazanin" w:hAnsi="IRNazanin" w:eastAsia="IRNazanin" w:cs="IRNazanin"/>
          <w:lang w:bidi="fa-IR"/>
          <w:color w:val="111111"/>
          <w:sz w:val="28"/>
          <w:szCs w:val="28"/>
          <w:rtl/>
        </w:rPr>
        <w:t xml:space="preserve">۱۴. تهران، دانشگاه؛ شماره نسخه: ۴۱۷۶/۲</w:t>
      </w:r>
    </w:p>
    <w:p>
      <w:pPr>
        <w:pStyle w:val="BookText"/>
      </w:pPr>
      <w:r>
        <w:rPr>
          <w:rFonts w:ascii="IRNazanin" w:hAnsi="IRNazanin" w:eastAsia="IRNazanin" w:cs="IRNazanin"/>
          <w:lang w:bidi="fa-IR"/>
          <w:color w:val="111111"/>
          <w:sz w:val="28"/>
          <w:szCs w:val="28"/>
          <w:rtl/>
        </w:rPr>
        <w:t xml:space="preserve">خط: نستعلیق، كا: ابو القاسم بن سلطان حسین عبدالعظیمی، تا: ۹۸۴ق؛ محشی؛ کاغذ: سمرقندی، جلد: تیماج مشکی، ۶۷گ (۹- ۷۵)، ۱۵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سم [ف: ۱۳-۳۱۴۳]</w:t>
      </w:r>
    </w:p>
    <w:p>
      <w:pPr>
        <w:pStyle w:val="BookText"/>
      </w:pPr>
      <w:r>
        <w:rPr>
          <w:rFonts w:ascii="IRNazanin" w:hAnsi="IRNazanin" w:eastAsia="IRNazanin" w:cs="IRNazanin"/>
          <w:lang w:bidi="fa-IR"/>
          <w:color w:val="111111"/>
          <w:sz w:val="28"/>
          <w:szCs w:val="28"/>
          <w:rtl/>
        </w:rPr>
        <w:t xml:space="preserve">۱۵. تهران؛ ملی؛ شماره نسخه: ۲۶۲۰۱</w:t>
      </w:r>
    </w:p>
    <w:p>
      <w:pPr>
        <w:pStyle w:val="BookText"/>
      </w:pPr>
      <w:r>
        <w:rPr>
          <w:rFonts w:ascii="IRNazanin" w:hAnsi="IRNazanin" w:eastAsia="IRNazanin" w:cs="IRNazanin"/>
          <w:lang w:bidi="fa-IR"/>
          <w:color w:val="111111"/>
          <w:sz w:val="28"/>
          <w:szCs w:val="28"/>
          <w:rtl/>
        </w:rPr>
        <w:t xml:space="preserve">بی کا، تا: ۹۸۴ق؛ مجموعه آقا رفيع قزوینی استاد اخلاق و فلسفه امام خمینی؛ خریداری از منصور تألهی معین الدین [رایانه]</w:t>
      </w:r>
    </w:p>
    <w:p>
      <w:pPr>
        <w:pStyle w:val="BookText"/>
      </w:pPr>
      <w:r>
        <w:rPr>
          <w:rFonts w:ascii="IRNazanin" w:hAnsi="IRNazanin" w:eastAsia="IRNazanin" w:cs="IRNazanin"/>
          <w:lang w:bidi="fa-IR"/>
          <w:color w:val="111111"/>
          <w:sz w:val="28"/>
          <w:szCs w:val="28"/>
          <w:rtl/>
        </w:rPr>
        <w:t xml:space="preserve">۱۶. تهران؛ سپهسالار؛ شماره نسخه:۶۳۶۵</w:t>
      </w:r>
    </w:p>
    <w:p>
      <w:pPr>
        <w:pStyle w:val="BookText"/>
      </w:pPr>
      <w:r>
        <w:rPr>
          <w:rFonts w:ascii="IRNazanin" w:hAnsi="IRNazanin" w:eastAsia="IRNazanin" w:cs="IRNazanin"/>
          <w:lang w:bidi="fa-IR"/>
          <w:color w:val="111111"/>
          <w:sz w:val="28"/>
          <w:szCs w:val="28"/>
          <w:rtl/>
        </w:rPr>
        <w:t xml:space="preserve">تنها بخش کلام؛ خط: نسخ، بی کا، تا: ۹۸۷ق؛ یک سرلوح در آغاز، مجدول زر و لاجورد؛ کاغذ: سمرقندی نخودی، جلد: تیماج مشکی، ۴۹گ، ۱۰ سطر،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 [ف: ۳-۳۱۵]</w:t>
      </w:r>
    </w:p>
    <w:p>
      <w:pPr>
        <w:pStyle w:val="BookText"/>
      </w:pPr>
      <w:r>
        <w:rPr>
          <w:rFonts w:ascii="IRNazanin" w:hAnsi="IRNazanin" w:eastAsia="IRNazanin" w:cs="IRNazanin"/>
          <w:lang w:bidi="fa-IR"/>
          <w:color w:val="111111"/>
          <w:sz w:val="28"/>
          <w:szCs w:val="28"/>
          <w:rtl/>
        </w:rPr>
        <w:t xml:space="preserve">۱۷. قم؛ مرعشی؛ شماره نسخه:۶۹۰۸/۳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حسن بن حسین بیانه کلائی لاهیجانی، تا: سه شنبه ۱۳ صفر ۹۹۶ق، جا: قزوین؛ کاغذ: شرقی نخودی، جلد: تیماج
</w:t>
      </w:r>
    </w:p>
    <w:p>
      <w:pPr>
        <w:sectPr>
          <w:footerReference w:type="default" r:id="rId9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مشکی، ۱۴گ (۶۱پ -۷۴پ)، ۲۱ سطر، اندازه: ۱۲/۵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سم [ف: ۱۰۲-۱۸ ]</w:t>
      </w:r>
    </w:p>
    <w:p>
      <w:pPr>
        <w:pStyle w:val="BookText"/>
      </w:pPr>
      <w:r>
        <w:rPr>
          <w:rFonts w:ascii="IRNazanin" w:hAnsi="IRNazanin" w:eastAsia="IRNazanin" w:cs="IRNazanin"/>
          <w:lang w:bidi="fa-IR"/>
          <w:color w:val="111111"/>
          <w:sz w:val="28"/>
          <w:szCs w:val="28"/>
          <w:rtl/>
        </w:rPr>
        <w:t xml:space="preserve">۱۸. قم؛ مرعشی؛ شماره نسخه: ۱۱۵۷۹/۲</w:t>
      </w:r>
    </w:p>
    <w:p>
      <w:pPr>
        <w:pStyle w:val="BookText"/>
      </w:pPr>
      <w:r>
        <w:rPr>
          <w:rFonts w:ascii="IRNazanin" w:hAnsi="IRNazanin" w:eastAsia="IRNazanin" w:cs="IRNazanin"/>
          <w:lang w:bidi="fa-IR"/>
          <w:color w:val="111111"/>
          <w:sz w:val="28"/>
          <w:szCs w:val="28"/>
          <w:rtl/>
        </w:rPr>
        <w:t xml:space="preserve">آغاز: برابر، انجام: و إلا لكان الثواب أنقص حالا من العوض و التفصيل على تقدير حصوله فيهما خط: نسخ، بی کا، تا: قرن ۱۱؛ افتادگی: انجام؛ مصحح، محشی، در پایان مطالبی به صورت منظوم درباره برجهای دوازده گانه بیان شده؛ کاغذ: سمرقندی نخودی نازک، ۲۴گ (۲۵-۴۸)، ۱۵ سطر،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سم [ف: ۲۹-۲۹۱]</w:t>
      </w:r>
    </w:p>
    <w:p>
      <w:pPr>
        <w:pStyle w:val="BookText"/>
      </w:pPr>
      <w:r>
        <w:rPr>
          <w:rFonts w:ascii="IRNazanin" w:hAnsi="IRNazanin" w:eastAsia="IRNazanin" w:cs="IRNazanin"/>
          <w:lang w:bidi="fa-IR"/>
          <w:color w:val="111111"/>
          <w:sz w:val="28"/>
          <w:szCs w:val="28"/>
          <w:rtl/>
        </w:rPr>
        <w:t xml:space="preserve">۱۹. تهران؛ ملی؛ شماره نسخه: ۲۱۹۸/۲</w:t>
      </w:r>
    </w:p>
    <w:p>
      <w:pPr>
        <w:pStyle w:val="BookText"/>
      </w:pPr>
      <w:r>
        <w:rPr>
          <w:rFonts w:ascii="IRNazanin" w:hAnsi="IRNazanin" w:eastAsia="IRNazanin" w:cs="IRNazanin"/>
          <w:lang w:bidi="fa-IR"/>
          <w:color w:val="111111"/>
          <w:sz w:val="28"/>
          <w:szCs w:val="28"/>
          <w:rtl/>
        </w:rPr>
        <w:t xml:space="preserve">مقداری از مقصد پنجم افتاده است یعنی از اواسط مسئله ششم تا پایان مقصد پنجم در متن افتادگی است؛ خط: نسخ، بی کا، تا: قرن ۱۱؛ افتادگی: وسط؛ کاغذ: دولت آبادی، نخودی، جلد: تیماج زرشکی، ۶۰ص (۹۸-۱۵۷)،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سم [ف: ۱۱-۴۹۳]</w:t>
      </w:r>
    </w:p>
    <w:p>
      <w:pPr>
        <w:pStyle w:val="BookText"/>
      </w:pPr>
      <w:r>
        <w:rPr>
          <w:rFonts w:ascii="IRNazanin" w:hAnsi="IRNazanin" w:eastAsia="IRNazanin" w:cs="IRNazanin"/>
          <w:lang w:bidi="fa-IR"/>
          <w:color w:val="111111"/>
          <w:sz w:val="28"/>
          <w:szCs w:val="28"/>
          <w:rtl/>
        </w:rPr>
        <w:t xml:space="preserve">۲۰. تهران؛ مجلس؛ شماره نسخه: ۱۰۲۱۸/۲</w:t>
      </w:r>
    </w:p>
    <w:p>
      <w:pPr>
        <w:pStyle w:val="BookText"/>
      </w:pPr>
      <w:r>
        <w:rPr>
          <w:rFonts w:ascii="IRNazanin" w:hAnsi="IRNazanin" w:eastAsia="IRNazanin" w:cs="IRNazanin"/>
          <w:lang w:bidi="fa-IR"/>
          <w:color w:val="111111"/>
          <w:sz w:val="28"/>
          <w:szCs w:val="28"/>
          <w:rtl/>
        </w:rPr>
        <w:t xml:space="preserve">بخش منطق؛ خط: نستعلیق، بی کا، تا:قرن ۱۱؛ هامش [مختصر ف: ۱۳۲]</w:t>
      </w:r>
    </w:p>
    <w:p>
      <w:pPr>
        <w:pStyle w:val="BookText"/>
      </w:pPr>
      <w:r>
        <w:rPr>
          <w:rFonts w:ascii="IRNazanin" w:hAnsi="IRNazanin" w:eastAsia="IRNazanin" w:cs="IRNazanin"/>
          <w:lang w:bidi="fa-IR"/>
          <w:color w:val="111111"/>
          <w:sz w:val="28"/>
          <w:szCs w:val="28"/>
          <w:rtl/>
        </w:rPr>
        <w:t xml:space="preserve">۲۱. تهران؛ مجلس؛ شماره نسخه: ۶۵۵۶/۲</w:t>
      </w:r>
    </w:p>
    <w:p>
      <w:pPr>
        <w:pStyle w:val="BookText"/>
      </w:pPr>
      <w:r>
        <w:rPr>
          <w:rFonts w:ascii="IRNazanin" w:hAnsi="IRNazanin" w:eastAsia="IRNazanin" w:cs="IRNazanin"/>
          <w:lang w:bidi="fa-IR"/>
          <w:color w:val="111111"/>
          <w:sz w:val="28"/>
          <w:szCs w:val="28"/>
          <w:rtl/>
        </w:rPr>
        <w:t xml:space="preserve">بی کا، تا: قرن ۱۱؛ مصحح؛ تملک: حر عاملی با مهر بیضوی؛ جلد: تیماج مشکی، ۳۱ (۶۷پ -۹۷پ)،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سم [ف: ۱۲۵-۲۰]</w:t>
      </w:r>
    </w:p>
    <w:p>
      <w:pPr>
        <w:pStyle w:val="BookText"/>
      </w:pPr>
      <w:r>
        <w:rPr>
          <w:rFonts w:ascii="IRNazanin" w:hAnsi="IRNazanin" w:eastAsia="IRNazanin" w:cs="IRNazanin"/>
          <w:lang w:bidi="fa-IR"/>
          <w:color w:val="111111"/>
          <w:sz w:val="28"/>
          <w:szCs w:val="28"/>
          <w:rtl/>
        </w:rPr>
        <w:t xml:space="preserve">۲۲. کرمانشاه؛ میبدی (خاندان)؛ شماره نسخه: ۶۰</w:t>
      </w:r>
    </w:p>
    <w:p>
      <w:pPr>
        <w:pStyle w:val="BookText"/>
      </w:pPr>
      <w:r>
        <w:rPr>
          <w:rFonts w:ascii="IRNazanin" w:hAnsi="IRNazanin" w:eastAsia="IRNazanin" w:cs="IRNazanin"/>
          <w:lang w:bidi="fa-IR"/>
          <w:color w:val="111111"/>
          <w:sz w:val="28"/>
          <w:szCs w:val="28"/>
          <w:rtl/>
        </w:rPr>
        <w:t xml:space="preserve">خط: نستعلیق، بی کا، تا: قرن ۱۱؛ محشی؛ جلد: مقوایی عطف تیماج مشکی، ۲۷، ۱۴ سطر، اندازه: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۱۸/۵ سم [ف: ۴۹]</w:t>
      </w:r>
    </w:p>
    <w:p>
      <w:pPr>
        <w:pStyle w:val="BookText"/>
      </w:pPr>
      <w:r>
        <w:rPr>
          <w:rFonts w:ascii="IRNazanin" w:hAnsi="IRNazanin" w:eastAsia="IRNazanin" w:cs="IRNazanin"/>
          <w:lang w:bidi="fa-IR"/>
          <w:color w:val="111111"/>
          <w:sz w:val="28"/>
          <w:szCs w:val="28"/>
          <w:rtl/>
        </w:rPr>
        <w:t xml:space="preserve">۲۳. قم؛ فیضیه؛ شماره نسخه:۱۷۹۵</w:t>
      </w:r>
    </w:p>
    <w:p>
      <w:pPr>
        <w:pStyle w:val="BookText"/>
      </w:pPr>
      <w:r>
        <w:rPr>
          <w:rFonts w:ascii="IRNazanin" w:hAnsi="IRNazanin" w:eastAsia="IRNazanin" w:cs="IRNazanin"/>
          <w:lang w:bidi="fa-IR"/>
          <w:color w:val="111111"/>
          <w:sz w:val="28"/>
          <w:szCs w:val="28"/>
          <w:rtl/>
        </w:rPr>
        <w:t xml:space="preserve">خط: نستعلیق، کا: مهر علی، تا: قرن ۱۱؛ ۶۰گ، ۹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۱-۳۷]</w:t>
      </w:r>
    </w:p>
    <w:p>
      <w:pPr>
        <w:pStyle w:val="BookText"/>
      </w:pPr>
      <w:r>
        <w:rPr>
          <w:rFonts w:ascii="IRNazanin" w:hAnsi="IRNazanin" w:eastAsia="IRNazanin" w:cs="IRNazanin"/>
          <w:lang w:bidi="fa-IR"/>
          <w:color w:val="111111"/>
          <w:sz w:val="28"/>
          <w:szCs w:val="28"/>
          <w:rtl/>
        </w:rPr>
        <w:t xml:space="preserve">۲۴. قم؛ مسجد اعظم؛ شماره نسخه: ۳۳۲۳/۱</w:t>
      </w:r>
    </w:p>
    <w:p>
      <w:pPr>
        <w:pStyle w:val="BookText"/>
      </w:pPr>
      <w:r>
        <w:rPr>
          <w:rFonts w:ascii="IRNazanin" w:hAnsi="IRNazanin" w:eastAsia="IRNazanin" w:cs="IRNazanin"/>
          <w:lang w:bidi="fa-IR"/>
          <w:color w:val="111111"/>
          <w:sz w:val="28"/>
          <w:szCs w:val="28"/>
          <w:rtl/>
        </w:rPr>
        <w:t xml:space="preserve">آغاز: بسمله: المقصد الثالث: في اثبات الصانع وصفاته وآثاره وفيه فصول، الأول في وجوه الموجود ان كان واجبة فهو المطلق و الا استلزمه لاستحالة الدور و التسلسل؛ انجام: و شرطهما علم فاعلمها بالوجه و تجویز التأثير وانتفاء المفسدة والحمدلله الموفق لنا على دفع المضرة وجذب المنفعة بخش الهیات ؛ خط: نسخ، بی کا، تا: ۱۰11ق؛ افتادگی: وسط؛ جلد: تیماج قهوه ای مجدول، وگی، ۲۰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مخ: ۱-۳۲۳]</w:t>
      </w:r>
    </w:p>
    <w:p>
      <w:pPr>
        <w:pStyle w:val="BookText"/>
      </w:pPr>
      <w:r>
        <w:rPr>
          <w:rFonts w:ascii="IRNazanin" w:hAnsi="IRNazanin" w:eastAsia="IRNazanin" w:cs="IRNazanin"/>
          <w:lang w:bidi="fa-IR"/>
          <w:color w:val="111111"/>
          <w:sz w:val="28"/>
          <w:szCs w:val="28"/>
          <w:rtl/>
        </w:rPr>
        <w:t xml:space="preserve">۲۵. تهران؛ مجلس؛ شماره نسخه: ۱۵۹۱۸/۱</w:t>
      </w:r>
    </w:p>
    <w:p>
      <w:pPr>
        <w:pStyle w:val="BookText"/>
      </w:pPr>
      <w:r>
        <w:rPr>
          <w:rFonts w:ascii="IRNazanin" w:hAnsi="IRNazanin" w:eastAsia="IRNazanin" w:cs="IRNazanin"/>
          <w:lang w:bidi="fa-IR"/>
          <w:color w:val="111111"/>
          <w:sz w:val="28"/>
          <w:szCs w:val="28"/>
          <w:rtl/>
        </w:rPr>
        <w:t xml:space="preserve">خط: نسخ، بی کا، تا: شنبه ۶ شوال ۱۰۱۸ق؛ رکابه دار؛ تملك: صدرالافاضل لطفعلی بن محمد کاظم تبریزی بن محمد کاظم تبریزی به تاریخ ۱۲۹۵ق، مبارک بن علی بن عبدالله بن ناصر جارودی در ۱۱۸۷ه و فرزندش عبدالله در ۱۲۳۴ق، حسین بن محمد بن عبدالله بن عمران قطیفی در ۱۱۸۲ق؛ جلد: مقوا رویه کاغذ ابر و باد عطف، ۵۱گ (۲پ -۵۲ر)، ۱۰-۱۵ سطر، اندازه: ۱۲/۵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سم [ف: ۴۴-۱۳۲]</w:t>
      </w:r>
    </w:p>
    <w:p>
      <w:pPr>
        <w:pStyle w:val="BookText"/>
      </w:pPr>
      <w:r>
        <w:rPr>
          <w:rFonts w:ascii="IRNazanin" w:hAnsi="IRNazanin" w:eastAsia="IRNazanin" w:cs="IRNazanin"/>
          <w:lang w:bidi="fa-IR"/>
          <w:color w:val="111111"/>
          <w:sz w:val="28"/>
          <w:szCs w:val="28"/>
          <w:rtl/>
        </w:rPr>
        <w:t xml:space="preserve">۲۶. قم؛ مرعشی؛ شماره نسخه: ۶۵۲۵/۷</w:t>
      </w:r>
    </w:p>
    <w:p>
      <w:pPr>
        <w:pStyle w:val="BookText"/>
      </w:pPr>
      <w:r>
        <w:rPr>
          <w:rFonts w:ascii="IRNazanin" w:hAnsi="IRNazanin" w:eastAsia="IRNazanin" w:cs="IRNazanin"/>
          <w:lang w:bidi="fa-IR"/>
          <w:color w:val="111111"/>
          <w:sz w:val="28"/>
          <w:szCs w:val="28"/>
          <w:rtl/>
        </w:rPr>
        <w:t xml:space="preserve">آغاز و انجام: برابر خط نستعلیق، كان محمد حسین تبریزی معروف به برهان المنجمين، تا: ۱۰۴۲ق؛ کاغذ: شرقی نخودی، جلد: تیماج سبز، وگ ( ۵۰پ - ۵۸ر)، ۲۷ سطر چلیپا،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۱۷-۱۰۷]</w:t>
      </w:r>
    </w:p>
    <w:p>
      <w:pPr>
        <w:pStyle w:val="BookText"/>
      </w:pPr>
      <w:r>
        <w:rPr>
          <w:rFonts w:ascii="IRNazanin" w:hAnsi="IRNazanin" w:eastAsia="IRNazanin" w:cs="IRNazanin"/>
          <w:lang w:bidi="fa-IR"/>
          <w:color w:val="111111"/>
          <w:sz w:val="28"/>
          <w:szCs w:val="28"/>
          <w:rtl/>
        </w:rPr>
        <w:t xml:space="preserve">۲۷. قم؛ فیضیه؛ شماره نسخه: ۱۱۶۱</w:t>
      </w:r>
    </w:p>
    <w:p>
      <w:pPr>
        <w:pStyle w:val="BookText"/>
      </w:pPr>
      <w:r>
        <w:rPr>
          <w:rFonts w:ascii="IRNazanin" w:hAnsi="IRNazanin" w:eastAsia="IRNazanin" w:cs="IRNazanin"/>
          <w:lang w:bidi="fa-IR"/>
          <w:color w:val="111111"/>
          <w:sz w:val="28"/>
          <w:szCs w:val="28"/>
          <w:rtl/>
        </w:rPr>
        <w:t xml:space="preserve">خط: نسخ، كا: محمد بن حسن همدانی، تا: ۱۰۴۹ق؛ ۱۸۰ گ، ۱۶سطر،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۱- ۳۹]</w:t>
      </w:r>
    </w:p>
    <w:p>
      <w:pPr>
        <w:pStyle w:val="BookText"/>
      </w:pPr>
      <w:r>
        <w:rPr>
          <w:rFonts w:ascii="IRNazanin" w:hAnsi="IRNazanin" w:eastAsia="IRNazanin" w:cs="IRNazanin"/>
          <w:lang w:bidi="fa-IR"/>
          <w:color w:val="111111"/>
          <w:sz w:val="28"/>
          <w:szCs w:val="28"/>
          <w:rtl/>
        </w:rPr>
        <w:t xml:space="preserve">۲۸. تهران؛ دانشگاه؛ شماره نسخه: ۷۴۱۳/۱</w:t>
      </w:r>
    </w:p>
    <w:p>
      <w:pPr>
        <w:pStyle w:val="BookText"/>
      </w:pPr>
      <w:r>
        <w:rPr>
          <w:rFonts w:ascii="IRNazanin" w:hAnsi="IRNazanin" w:eastAsia="IRNazanin" w:cs="IRNazanin"/>
          <w:lang w:bidi="fa-IR"/>
          <w:color w:val="111111"/>
          <w:sz w:val="28"/>
          <w:szCs w:val="28"/>
          <w:rtl/>
        </w:rPr>
        <w:t xml:space="preserve">کا: عبدالحسین بن میر باقر حسینی خاتون آبادی، تا: ۱۵ ذیحجه ۱۰۵۴ق؛ کاغذ: سپاهانی،</w:t>
      </w:r>
    </w:p>
    <w:p>
      <w:pPr>
        <w:pStyle w:val="BookText"/>
      </w:pPr>
      <w:r>
        <w:rPr>
          <w:rFonts w:ascii="IRNazanin" w:hAnsi="IRNazanin" w:eastAsia="IRNazanin" w:cs="IRNazanin"/>
          <w:lang w:bidi="fa-IR"/>
          <w:color w:val="111111"/>
          <w:sz w:val="28"/>
          <w:szCs w:val="28"/>
          <w:rtl/>
        </w:rPr>
        <w:t xml:space="preserve">جلد: تیماج قهوه ای، ۱۵ سطر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قطع: ربعی، اندازه: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سم [ف: ۱۶-۵۵۱]</w:t>
      </w:r>
    </w:p>
    <w:p>
      <w:pPr>
        <w:pStyle w:val="BookText"/>
      </w:pPr>
      <w:r>
        <w:rPr>
          <w:rFonts w:ascii="IRNazanin" w:hAnsi="IRNazanin" w:eastAsia="IRNazanin" w:cs="IRNazanin"/>
          <w:lang w:bidi="fa-IR"/>
          <w:color w:val="111111"/>
          <w:sz w:val="28"/>
          <w:szCs w:val="28"/>
          <w:rtl/>
        </w:rPr>
        <w:t xml:space="preserve">۲۹. تهران: ملی؛ شماره نسخه: ۲۶۰۴/۱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۱۰۵۶ق، کاغذ: اصفهانی نخودی، جلد: تیماج تریاکی روشن، عطف تیماج عنابی، ۳۱ (۲-۳۲پ)، ۱۳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۱۳-۶]</w:t>
      </w:r>
    </w:p>
    <w:p>
      <w:pPr>
        <w:pStyle w:val="BookText"/>
      </w:pPr>
      <w:r>
        <w:rPr>
          <w:rFonts w:ascii="IRNazanin" w:hAnsi="IRNazanin" w:eastAsia="IRNazanin" w:cs="IRNazanin"/>
          <w:lang w:bidi="fa-IR"/>
          <w:color w:val="111111"/>
          <w:sz w:val="28"/>
          <w:szCs w:val="28"/>
          <w:rtl/>
        </w:rPr>
        <w:t xml:space="preserve">۳۰. تهران؛ مجلس؛ شماره نسخه: ۴۹۵۴/۲۳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میر جعفر بن عبد الله الحسینی، تا: سه شنبه ۲۵ ذیحجه ۱۰۶۸ق، کاغذ: سپاهانی، جلد: روغنی حاشیه گل و بوته میان ترنج، ۲۳گ (۳۱۷-۳۳۹ر)، ۴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w:t>
      </w:r>
    </w:p>
    <w:p>
      <w:pPr>
        <w:pStyle w:val="BookText"/>
      </w:pPr>
      <w:r>
        <w:rPr>
          <w:rFonts w:ascii="IRNazanin" w:hAnsi="IRNazanin" w:eastAsia="IRNazanin" w:cs="IRNazanin"/>
          <w:lang w:bidi="fa-IR"/>
          <w:color w:val="111111"/>
          <w:sz w:val="28"/>
          <w:szCs w:val="28"/>
          <w:rtl/>
        </w:rPr>
        <w:t xml:space="preserve">)،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۱۴-۲۴۲]</w:t>
      </w:r>
    </w:p>
    <w:p>
      <w:pPr>
        <w:pStyle w:val="BookText"/>
      </w:pPr>
      <w:r>
        <w:rPr>
          <w:rFonts w:ascii="IRNazanin" w:hAnsi="IRNazanin" w:eastAsia="IRNazanin" w:cs="IRNazanin"/>
          <w:lang w:bidi="fa-IR"/>
          <w:color w:val="111111"/>
          <w:sz w:val="28"/>
          <w:szCs w:val="28"/>
          <w:rtl/>
        </w:rPr>
        <w:t xml:space="preserve">۳۱. تهران؛ سپهسالار؛ شماره نسخه:۶۶۸۵/۱</w:t>
      </w:r>
    </w:p>
    <w:p>
      <w:pPr>
        <w:pStyle w:val="BookText"/>
      </w:pPr>
      <w:r>
        <w:rPr>
          <w:rFonts w:ascii="IRNazanin" w:hAnsi="IRNazanin" w:eastAsia="IRNazanin" w:cs="IRNazanin"/>
          <w:lang w:bidi="fa-IR"/>
          <w:color w:val="111111"/>
          <w:sz w:val="28"/>
          <w:szCs w:val="28"/>
          <w:rtl/>
        </w:rPr>
        <w:t xml:space="preserve">خط: نستعلیق، كا: محمد رفیع بن محمد رضا، تا: دوشنبه جمادی الاول ۱۰۷۸ق؛ کاغذ: سپاهانی، جلد: تیماج قهوه ای، ۲۵گ (آپ-۲۵)، ۱۵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۳-۳۱۶]</w:t>
      </w:r>
    </w:p>
    <w:p>
      <w:pPr>
        <w:pStyle w:val="BookText"/>
      </w:pPr>
      <w:r>
        <w:rPr>
          <w:rFonts w:ascii="IRNazanin" w:hAnsi="IRNazanin" w:eastAsia="IRNazanin" w:cs="IRNazanin"/>
          <w:lang w:bidi="fa-IR"/>
          <w:color w:val="111111"/>
          <w:sz w:val="28"/>
          <w:szCs w:val="28"/>
          <w:rtl/>
        </w:rPr>
        <w:t xml:space="preserve">۳۲. قم؛ مرعشی؛ شماره نسخه: ۱۳۸۲۲/۱</w:t>
      </w:r>
    </w:p>
    <w:p>
      <w:pPr>
        <w:pStyle w:val="BookText"/>
      </w:pPr>
      <w:r>
        <w:rPr>
          <w:rFonts w:ascii="IRNazanin" w:hAnsi="IRNazanin" w:eastAsia="IRNazanin" w:cs="IRNazanin"/>
          <w:lang w:bidi="fa-IR"/>
          <w:color w:val="111111"/>
          <w:sz w:val="28"/>
          <w:szCs w:val="28"/>
          <w:rtl/>
        </w:rPr>
        <w:t xml:space="preserve">آغاز: و تحديدهما بالثابت العين و المنفى العين أو الذي يمكن ... (ر) الفصل الثاني في الماهية و لواحقها ... (۱۵ر) المقصد الثانی في الجواهر و الأعراض فيه فصول الفصل الأول في الجواهر؛ انجام: برابر مشتمل بر تمام کتاب به جز بخشی از فصل نخست که مقصد اول افتاده؛ خط: نسخ، كا: احمد بن محمد حسینی، تا: ۳ رمضان ۱۰۷۹ق؛ افتادگی: آغاز؛ مصحح، کاغذ: فرنگی، ۴۳گ (۱ر - ۴۳پ)، ۱۰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۸سم [ف: ۳۵-۹۷]</w:t>
      </w:r>
    </w:p>
    <w:p>
      <w:pPr>
        <w:pStyle w:val="BookText"/>
      </w:pPr>
      <w:r>
        <w:rPr>
          <w:rFonts w:ascii="IRNazanin" w:hAnsi="IRNazanin" w:eastAsia="IRNazanin" w:cs="IRNazanin"/>
          <w:lang w:bidi="fa-IR"/>
          <w:color w:val="111111"/>
          <w:sz w:val="28"/>
          <w:szCs w:val="28"/>
          <w:rtl/>
        </w:rPr>
        <w:t xml:space="preserve">۳۳. تهران، دانشگاه؛ شماره نسخه:۷۱۴۳</w:t>
      </w:r>
    </w:p>
    <w:p>
      <w:pPr>
        <w:pStyle w:val="BookText"/>
      </w:pPr>
      <w:r>
        <w:rPr>
          <w:rFonts w:ascii="IRNazanin" w:hAnsi="IRNazanin" w:eastAsia="IRNazanin" w:cs="IRNazanin"/>
          <w:lang w:bidi="fa-IR"/>
          <w:color w:val="111111"/>
          <w:sz w:val="28"/>
          <w:szCs w:val="28"/>
          <w:rtl/>
        </w:rPr>
        <w:t xml:space="preserve">خط: نسخ، كا: محمد مهدی بن حاجی غلام رضا، تا: ۱۰۹۳ق؛ وقف اولاد محمد مهدی؛ کاغذ: سپاهانی، جلد: تیماج مشکی، ۵۱ گ، ۱۰ سطر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۱۴/۵ سم [ف: ۱۶-۴۶۵]</w:t>
      </w:r>
    </w:p>
    <w:p>
      <w:pPr>
        <w:pStyle w:val="BookText"/>
      </w:pPr>
      <w:r>
        <w:rPr>
          <w:rFonts w:ascii="IRNazanin" w:hAnsi="IRNazanin" w:eastAsia="IRNazanin" w:cs="IRNazanin"/>
          <w:lang w:bidi="fa-IR"/>
          <w:color w:val="111111"/>
          <w:sz w:val="28"/>
          <w:szCs w:val="28"/>
          <w:rtl/>
        </w:rPr>
        <w:t xml:space="preserve">۳۴. قم؛ مرعشی؛ شماره نسخه:۱۲۴۴۷/۳</w:t>
      </w:r>
    </w:p>
    <w:p>
      <w:pPr>
        <w:pStyle w:val="BookText"/>
      </w:pPr>
      <w:r>
        <w:rPr>
          <w:rFonts w:ascii="IRNazanin" w:hAnsi="IRNazanin" w:eastAsia="IRNazanin" w:cs="IRNazanin"/>
          <w:lang w:bidi="fa-IR"/>
          <w:color w:val="111111"/>
          <w:sz w:val="28"/>
          <w:szCs w:val="28"/>
          <w:rtl/>
        </w:rPr>
        <w:t xml:space="preserve">آغاز: المقصد الثالث في إثبات الصانع تعالی و صفاته و آثاره و فيه فصول الفصل الأول في وجوده الموجود؛ انجام: برابر
</w:t>
      </w:r>
    </w:p>
    <w:p>
      <w:pPr>
        <w:sectPr>
          <w:footerReference w:type="default" r:id="rId9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مقصد سوم در اثبات صانع تعالی تا پایان؛ خط: نسخ، كا: حسین بن سالم، تا: یک شنبه ۳ ذیحجه ۱۰۹۴ق؛ افتادگی: آغاز؛ کاغذ: فرنگی نخودی، ۱۴گ (۸۶-۹۹)، ۱۱-۱۴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۸سم [ف: ۳۱-۴۳۹]</w:t>
      </w:r>
    </w:p>
    <w:p>
      <w:pPr>
        <w:pStyle w:val="BookText"/>
      </w:pPr>
      <w:r>
        <w:rPr>
          <w:rFonts w:ascii="IRNazanin" w:hAnsi="IRNazanin" w:eastAsia="IRNazanin" w:cs="IRNazanin"/>
          <w:lang w:bidi="fa-IR"/>
          <w:color w:val="111111"/>
          <w:sz w:val="28"/>
          <w:szCs w:val="28"/>
          <w:rtl/>
        </w:rPr>
        <w:t xml:space="preserve">۳۵. تهران؛ سپهسالار؛ شماره نسخه:۶۳۶۶</w:t>
      </w:r>
    </w:p>
    <w:p>
      <w:pPr>
        <w:pStyle w:val="BookText"/>
      </w:pPr>
      <w:r>
        <w:rPr>
          <w:rFonts w:ascii="IRNazanin" w:hAnsi="IRNazanin" w:eastAsia="IRNazanin" w:cs="IRNazanin"/>
          <w:lang w:bidi="fa-IR"/>
          <w:color w:val="111111"/>
          <w:sz w:val="28"/>
          <w:szCs w:val="28"/>
          <w:rtl/>
        </w:rPr>
        <w:t xml:space="preserve">خط: نسخ، بی کا، تا: ۲۲ جمادی الثانی ۱۰۹۷ق؛ مجدول؛ محشی از شرح ملا علی و «۱۲»؛ کاغذ: سپاهانی نخودی، جلد: تیماج سرخ، ۱۰۴گ، ۷ سطر، اندازه: ۱۲/۵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۳-۳۱۵]</w:t>
      </w:r>
    </w:p>
    <w:p>
      <w:pPr>
        <w:pStyle w:val="BookText"/>
      </w:pPr>
      <w:r>
        <w:rPr>
          <w:rFonts w:ascii="IRNazanin" w:hAnsi="IRNazanin" w:eastAsia="IRNazanin" w:cs="IRNazanin"/>
          <w:lang w:bidi="fa-IR"/>
          <w:color w:val="111111"/>
          <w:sz w:val="28"/>
          <w:szCs w:val="28"/>
          <w:rtl/>
        </w:rPr>
        <w:t xml:space="preserve">۳۶. اردکان یزد؛ امام صادق؛ شماره نسخه:۴۰۷/۳</w:t>
      </w:r>
    </w:p>
    <w:p>
      <w:pPr>
        <w:pStyle w:val="BookText"/>
      </w:pPr>
      <w:r>
        <w:rPr>
          <w:rFonts w:ascii="Amiri" w:hAnsi="Amiri" w:eastAsia="Amiri" w:cs="Amiri"/>
          <w:lang w:bidi="ar-SA"/>
          <w:color w:val="111111"/>
          <w:sz w:val="28"/>
          <w:szCs w:val="28"/>
          <w:rtl/>
        </w:rPr>
        <w:t xml:space="preserve">خط: نسخ، كا: اسحاق</w:t>
      </w:r>
    </w:p>
    <w:p>
      <w:pPr>
        <w:pStyle w:val="BookText"/>
      </w:pPr>
      <w:r>
        <w:rPr>
          <w:rFonts w:ascii="IRNazanin" w:hAnsi="IRNazanin" w:eastAsia="IRNazanin" w:cs="IRNazanin"/>
          <w:lang w:bidi="fa-IR"/>
          <w:color w:val="111111"/>
          <w:sz w:val="28"/>
          <w:szCs w:val="28"/>
          <w:rtl/>
        </w:rPr>
        <w:t xml:space="preserve">شولستانی، تا: شنبه ۲۲ جمادی الاول ۱۰۹۸ق، جلد: تیماج مشکی، ۲۴گ (۲۷-۵۰ر)، ۱۵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۲-۱۳۰]</w:t>
      </w:r>
    </w:p>
    <w:p>
      <w:pPr>
        <w:pStyle w:val="BookText"/>
      </w:pPr>
      <w:r>
        <w:rPr>
          <w:rFonts w:ascii="IRNazanin" w:hAnsi="IRNazanin" w:eastAsia="IRNazanin" w:cs="IRNazanin"/>
          <w:lang w:bidi="fa-IR"/>
          <w:color w:val="111111"/>
          <w:sz w:val="28"/>
          <w:szCs w:val="28"/>
          <w:rtl/>
        </w:rPr>
        <w:t xml:space="preserve">۳۷. تهران؛ سپهسالار؛ شماره نسخه:۷۵۵۷/۳</w:t>
      </w:r>
    </w:p>
    <w:p>
      <w:pPr>
        <w:pStyle w:val="BookText"/>
      </w:pPr>
      <w:r>
        <w:rPr>
          <w:rFonts w:ascii="IRNazanin" w:hAnsi="IRNazanin" w:eastAsia="IRNazanin" w:cs="IRNazanin"/>
          <w:lang w:bidi="fa-IR"/>
          <w:color w:val="111111"/>
          <w:sz w:val="28"/>
          <w:szCs w:val="28"/>
          <w:rtl/>
        </w:rPr>
        <w:t xml:space="preserve">تنها منطق را دارد؛ خط: نستعلیق، بی کا، تا: قرن ۱۲؛ محشی با نشان «ع. ل» و «شرح» و «س»؛ کاغذ: سفید و نخودی فرنگی، جلد: تیماج مشکی، ۳۱ (۱۴۷-۱۸۷)، ۱۴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۳-۳۱۶]</w:t>
      </w:r>
    </w:p>
    <w:p>
      <w:pPr>
        <w:pStyle w:val="BookText"/>
      </w:pPr>
      <w:r>
        <w:rPr>
          <w:rFonts w:ascii="IRNazanin" w:hAnsi="IRNazanin" w:eastAsia="IRNazanin" w:cs="IRNazanin"/>
          <w:lang w:bidi="fa-IR"/>
          <w:color w:val="111111"/>
          <w:sz w:val="28"/>
          <w:szCs w:val="28"/>
          <w:rtl/>
        </w:rPr>
        <w:t xml:space="preserve">۳۸. مشهد؛ رضوی؛ شماره نسخه: ۲۰۸۵۱</w:t>
      </w:r>
    </w:p>
    <w:p>
      <w:pPr>
        <w:pStyle w:val="BookText"/>
      </w:pPr>
      <w:r>
        <w:rPr>
          <w:rFonts w:ascii="IRNazanin" w:hAnsi="IRNazanin" w:eastAsia="IRNazanin" w:cs="IRNazanin"/>
          <w:lang w:bidi="fa-IR"/>
          <w:color w:val="111111"/>
          <w:sz w:val="28"/>
          <w:szCs w:val="28"/>
          <w:rtl/>
        </w:rPr>
        <w:t xml:space="preserve">آغاز: بسمله. المقصد الثاني في الجواهر و الاعراض؛ انجام: الصوريه و يحصل منه و يعريض له كيفيه مميزه خط: نستعلیق شکسته، بی کا، تا: قرن ۱۲؛ کاغذ: نخودی، جلد:</w:t>
      </w:r>
    </w:p>
    <w:p>
      <w:pPr>
        <w:pStyle w:val="BookText"/>
      </w:pPr>
      <w:r>
        <w:rPr>
          <w:rFonts w:ascii="IRNazanin" w:hAnsi="IRNazanin" w:eastAsia="IRNazanin" w:cs="IRNazanin"/>
          <w:lang w:bidi="fa-IR"/>
          <w:color w:val="111111"/>
          <w:sz w:val="28"/>
          <w:szCs w:val="28"/>
          <w:rtl/>
        </w:rPr>
        <w:t xml:space="preserve">میشن، ۱۴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[رایانه]</w:t>
      </w:r>
    </w:p>
    <w:p>
      <w:pPr>
        <w:pStyle w:val="BookText"/>
      </w:pPr>
      <w:r>
        <w:rPr>
          <w:rFonts w:ascii="IRNazanin" w:hAnsi="IRNazanin" w:eastAsia="IRNazanin" w:cs="IRNazanin"/>
          <w:lang w:bidi="fa-IR"/>
          <w:color w:val="111111"/>
          <w:sz w:val="28"/>
          <w:szCs w:val="28"/>
          <w:rtl/>
        </w:rPr>
        <w:t xml:space="preserve">۳۹. تهران؛ مدرسه قنبر علی خان (حضرت ولی عصر)؛ شماره نسخه:۴۰</w:t>
      </w:r>
    </w:p>
    <w:p>
      <w:pPr>
        <w:pStyle w:val="BookText"/>
      </w:pPr>
      <w:r>
        <w:rPr>
          <w:rFonts w:ascii="IRNazanin" w:hAnsi="IRNazanin" w:eastAsia="IRNazanin" w:cs="IRNazanin"/>
          <w:lang w:bidi="fa-IR"/>
          <w:color w:val="111111"/>
          <w:sz w:val="28"/>
          <w:szCs w:val="28"/>
          <w:rtl/>
        </w:rPr>
        <w:t xml:space="preserve">خط: نستعلیق، بی کا، تا: قرن ۱۲؛ با سرلوح مذهب مرصع مزدوج، مجدول، مصحح، محشی، درون کتیبه سرلوح نوشته اند: «وقف للعام»؛ مهر: «وقف مدرسه سعدیه طهران ۱۲۹۰» (بیضوی)؛ تملك: عبدالفتاح موسوی که کتاب را در مشهد مقدس رضوی آموخته است با مهر مستطیل که فقط کلمه «عبدالفتاح» از آن باقیمانده عبدالله [ابن حاجی محمدرضا نجل مرحوم آقا ... با مهرش؛ واقف: سید یحیی، ربیع الاول ۱۲۹۱ ق با مهر او: «یحیی الموسوی» مستطيل)؛ جلد: تیماج مشکی با ترنج و سرترنج سوخت، ۳۶۳گ، ۲۱ سطر [ف: ۷۵]</w:t>
      </w:r>
    </w:p>
    <w:p>
      <w:pPr>
        <w:pStyle w:val="BookText"/>
      </w:pPr>
      <w:r>
        <w:rPr>
          <w:rFonts w:ascii="IRNazanin" w:hAnsi="IRNazanin" w:eastAsia="IRNazanin" w:cs="IRNazanin"/>
          <w:lang w:bidi="fa-IR"/>
          <w:color w:val="111111"/>
          <w:sz w:val="28"/>
          <w:szCs w:val="28"/>
          <w:rtl/>
        </w:rPr>
        <w:t xml:space="preserve">۴۰. قم؛ فیضیه؛ شماره نسخه: ۱۷۶۲</w:t>
      </w:r>
    </w:p>
    <w:p>
      <w:pPr>
        <w:pStyle w:val="BookText"/>
      </w:pPr>
      <w:r>
        <w:rPr>
          <w:rFonts w:ascii="IRNazanin" w:hAnsi="IRNazanin" w:eastAsia="IRNazanin" w:cs="IRNazanin"/>
          <w:lang w:bidi="fa-IR"/>
          <w:color w:val="111111"/>
          <w:sz w:val="28"/>
          <w:szCs w:val="28"/>
          <w:rtl/>
        </w:rPr>
        <w:t xml:space="preserve">خط: نستعلیق، کا: حسین بید کا بادی، تا: جمادی الاول ۱۱۰۱ق؛ ترقيمه: «قد فرغ من تعليق هذا الكتاب و رسم الشكاله و تصحيحه و تعليق حواشيه ومطالعته على قدر ما وصل اليه فكره القاصر و نظره الفاتر في جمادی الاخر سنة الف و اربع وعشرين من الهجرة بمدينة اصفهان جعلها الله مملوة بالخيرات و معمورة بالبركات احوج خلق الله اليه حسن بن سعد بن الحسن القایینی رزقه الله علما نافعا و عملا رافعا و نقلته من نسخة كان طالعها السلطان الفاضل الملك العالم العادل افتخار الحكماء و ناصر المسلمين المؤيد بتایيد الملک الديان الغ بیک بن شاهرخ بن تيمور کور كان ثم ساقها الدهر الى الحكيم الفاضل و الاستاد الكامل افضل الفضلاء و الحكماء افتخار المهندسين قدوة العلماء المتالهین معز الدین محمد الأصفهانی اعليالله شانه في الدارين و رفع مكانه في المنزلين مصليا على رسوله المصطفی و آله و اولاده الطاهرين النجباء ... نمقه العبد الأقل الضعيف الراجي اليعفور به الكريم الغفار الغني ابن حاجی محمد حسین بید کابادي في تاريخ شهر جمیدی الاول سنه ۱۱۰۱»؛ ۲۰۳گ، ۱۵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۱-۳۸]</w:t>
      </w:r>
    </w:p>
    <w:p>
      <w:pPr>
        <w:pStyle w:val="BookText"/>
      </w:pPr>
      <w:r>
        <w:rPr>
          <w:rFonts w:ascii="IRNazanin" w:hAnsi="IRNazanin" w:eastAsia="IRNazanin" w:cs="IRNazanin"/>
          <w:lang w:bidi="fa-IR"/>
          <w:color w:val="111111"/>
          <w:sz w:val="28"/>
          <w:szCs w:val="28"/>
          <w:rtl/>
        </w:rPr>
        <w:t xml:space="preserve">۴۱. مشهد؛ رضوی؛ شماره نسخه:۹۲۲۴</w:t>
      </w:r>
    </w:p>
    <w:p>
      <w:pPr>
        <w:pStyle w:val="BookText"/>
      </w:pPr>
      <w:r>
        <w:rPr>
          <w:rFonts w:ascii="Amiri" w:hAnsi="Amiri" w:eastAsia="Amiri" w:cs="Amiri"/>
          <w:lang w:bidi="ar-SA"/>
          <w:color w:val="111111"/>
          <w:sz w:val="28"/>
          <w:szCs w:val="28"/>
          <w:rtl/>
        </w:rPr>
        <w:t xml:space="preserve">آغاز: برابر؛ انجام: و ينبغي أن لا يتجسس من أحوال الناس.</w:t>
      </w:r>
    </w:p>
    <w:p>
      <w:pPr>
        <w:pStyle w:val="BookText"/>
      </w:pPr>
      <w:r>
        <w:rPr>
          <w:rFonts w:ascii="IRNazanin" w:hAnsi="IRNazanin" w:eastAsia="IRNazanin" w:cs="IRNazanin"/>
          <w:lang w:bidi="fa-IR"/>
          <w:color w:val="111111"/>
          <w:sz w:val="28"/>
          <w:szCs w:val="28"/>
          <w:rtl/>
        </w:rPr>
        <w:t xml:space="preserve">خط: نسخ، كا: محمد مهدی بن حسنعلی محولاتی فیض آبادی، تا: سلخ جمادی الاول ۱۱۲۲ق؛ محشی؛ کاغذ: حنایی، جلد: مقوا با روکش پارچه، ۳۳گ، ۱۲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[ف: ۱۱-۵۲]</w:t>
      </w:r>
    </w:p>
    <w:p>
      <w:pPr>
        <w:pStyle w:val="BookText"/>
      </w:pPr>
      <w:r>
        <w:rPr>
          <w:rFonts w:ascii="IRNazanin" w:hAnsi="IRNazanin" w:eastAsia="IRNazanin" w:cs="IRNazanin"/>
          <w:lang w:bidi="fa-IR"/>
          <w:color w:val="111111"/>
          <w:sz w:val="28"/>
          <w:szCs w:val="28"/>
          <w:rtl/>
        </w:rPr>
        <w:t xml:space="preserve">۴۲. یزد؛ مدرسی؛ شماره نسخه:بدون شماره/۲</w:t>
      </w:r>
    </w:p>
    <w:p>
      <w:pPr>
        <w:pStyle w:val="BookText"/>
      </w:pPr>
      <w:r>
        <w:rPr>
          <w:rFonts w:ascii="IRNazanin" w:hAnsi="IRNazanin" w:eastAsia="IRNazanin" w:cs="IRNazanin"/>
          <w:lang w:bidi="fa-IR"/>
          <w:color w:val="111111"/>
          <w:sz w:val="28"/>
          <w:szCs w:val="28"/>
          <w:rtl/>
        </w:rPr>
        <w:t xml:space="preserve">آغاز: برابر؛ انجام: و صلى الله على خير خلقه محمد و آله الطاهرین.</w:t>
      </w:r>
    </w:p>
    <w:p>
      <w:pPr>
        <w:pStyle w:val="BookText"/>
      </w:pPr>
      <w:r>
        <w:rPr>
          <w:rFonts w:ascii="IRNazanin" w:hAnsi="IRNazanin" w:eastAsia="IRNazanin" w:cs="IRNazanin"/>
          <w:lang w:bidi="fa-IR"/>
          <w:color w:val="111111"/>
          <w:sz w:val="28"/>
          <w:szCs w:val="28"/>
          <w:rtl/>
        </w:rPr>
        <w:t xml:space="preserve">خط: نستعلیق تحریری، بی کا، تا: شعبان ۱۱۲۸ق، جلد: تیماج تریاکی، ۵۳گ (۷۹-۱۳۱)، ۷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۹سم [میراث اسلامی: ۸-۴۵۶]</w:t>
      </w:r>
    </w:p>
    <w:p>
      <w:pPr>
        <w:pStyle w:val="BookText"/>
      </w:pPr>
      <w:r>
        <w:rPr>
          <w:rFonts w:ascii="IRNazanin" w:hAnsi="IRNazanin" w:eastAsia="IRNazanin" w:cs="IRNazanin"/>
          <w:lang w:bidi="fa-IR"/>
          <w:color w:val="111111"/>
          <w:sz w:val="28"/>
          <w:szCs w:val="28"/>
          <w:rtl/>
        </w:rPr>
        <w:t xml:space="preserve">۴۳. قم؛ مرعشی؛ شماره نسخه: ۱۷۵۹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محمد حسین بن محمد امین، تا: اواخر صفر ۱۱۵۷ق؛ مصحح، کاغذ: فرنگی نخودی، جلد: مقوایی عطف تیماج مشکی، ۱۸گ، ۲۲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۵-۱۴۱]</w:t>
      </w:r>
    </w:p>
    <w:p>
      <w:pPr>
        <w:pStyle w:val="BookText"/>
      </w:pPr>
      <w:r>
        <w:rPr>
          <w:rFonts w:ascii="IRNazanin" w:hAnsi="IRNazanin" w:eastAsia="IRNazanin" w:cs="IRNazanin"/>
          <w:lang w:bidi="fa-IR"/>
          <w:color w:val="111111"/>
          <w:sz w:val="28"/>
          <w:szCs w:val="28"/>
          <w:rtl/>
        </w:rPr>
        <w:t xml:space="preserve">۴۴. قم؛ مرعشی؛ شماره نسخه: ۱۴۷۲۴/۱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حدود قرن ۱۳، کاغذ: فرنگی آهار مهره، ۴۰گ (۳پ -۴۲پ)، ۱۰ سطر، اندازه: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 [ف: ۳۷-۲۷۴]</w:t>
      </w:r>
    </w:p>
    <w:p>
      <w:pPr>
        <w:pStyle w:val="BookText"/>
      </w:pPr>
      <w:r>
        <w:rPr>
          <w:rFonts w:ascii="IRNazanin" w:hAnsi="IRNazanin" w:eastAsia="IRNazanin" w:cs="IRNazanin"/>
          <w:lang w:bidi="fa-IR"/>
          <w:color w:val="111111"/>
          <w:sz w:val="28"/>
          <w:szCs w:val="28"/>
          <w:rtl/>
        </w:rPr>
        <w:t xml:space="preserve">۴۵. تهران؛ مروی؛ شماره نسخه: ۸۶۶/۲</w:t>
      </w:r>
    </w:p>
    <w:p>
      <w:pPr>
        <w:pStyle w:val="BookText"/>
      </w:pPr>
      <w:r>
        <w:rPr>
          <w:rFonts w:ascii="IRNazanin" w:hAnsi="IRNazanin" w:eastAsia="IRNazanin" w:cs="IRNazanin"/>
          <w:lang w:bidi="fa-IR"/>
          <w:color w:val="111111"/>
          <w:sz w:val="28"/>
          <w:szCs w:val="28"/>
          <w:rtl/>
        </w:rPr>
        <w:t xml:space="preserve">بی کا، تا: قرن ۱۳؛ قطع: رقعي [ف: ۳۱۸]</w:t>
      </w:r>
    </w:p>
    <w:p>
      <w:pPr>
        <w:pStyle w:val="BookText"/>
      </w:pPr>
      <w:r>
        <w:rPr>
          <w:rFonts w:ascii="IRNazanin" w:hAnsi="IRNazanin" w:eastAsia="IRNazanin" w:cs="IRNazanin"/>
          <w:lang w:bidi="fa-IR"/>
          <w:color w:val="111111"/>
          <w:sz w:val="28"/>
          <w:szCs w:val="28"/>
          <w:rtl/>
        </w:rPr>
        <w:t xml:space="preserve">۴۶. تهران؛ دانشگاه؛ شماره نسخه:۸۹۴۴/۳</w:t>
      </w:r>
    </w:p>
    <w:p>
      <w:pPr>
        <w:pStyle w:val="BookText"/>
      </w:pPr>
      <w:r>
        <w:rPr>
          <w:rFonts w:ascii="IRNazanin" w:hAnsi="IRNazanin" w:eastAsia="IRNazanin" w:cs="IRNazanin"/>
          <w:lang w:bidi="fa-IR"/>
          <w:color w:val="111111"/>
          <w:sz w:val="28"/>
          <w:szCs w:val="28"/>
          <w:rtl/>
        </w:rPr>
        <w:t xml:space="preserve">از آغاز مقصد دوم تا پایان آن؛ خط: نسخ، كا: قاینی، تا: شنبه ۲۹ ذیقعده ۱۲۰۳ق؛ افتادگی: انجام؛ کاغذ: سپاهانی، جلد: تیماج مشکی، ۸گ (۱۰۷پ -۱۱۴)، ۱۸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[ف: ۱۷-۲۵۹]</w:t>
      </w:r>
    </w:p>
    <w:p>
      <w:pPr>
        <w:pStyle w:val="BookText"/>
      </w:pPr>
      <w:r>
        <w:rPr>
          <w:rFonts w:ascii="IRNazanin" w:hAnsi="IRNazanin" w:eastAsia="IRNazanin" w:cs="IRNazanin"/>
          <w:lang w:bidi="fa-IR"/>
          <w:color w:val="111111"/>
          <w:sz w:val="28"/>
          <w:szCs w:val="28"/>
          <w:rtl/>
        </w:rPr>
        <w:t xml:space="preserve">۴۷. مراغه؛ عمومی؛ شماره نسخه: ۷۱/۱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جلى، كا: محمد بن محمد ابراهیم تاجر تهران، تا: شعبان ۱۲۴۵ق، جلد: تیماج قهوه ای، ۵۱ گ،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۲۱۱]</w:t>
      </w:r>
    </w:p>
    <w:p>
      <w:pPr>
        <w:pStyle w:val="BookText"/>
      </w:pPr>
      <w:r>
        <w:rPr>
          <w:rFonts w:ascii="IRNazanin" w:hAnsi="IRNazanin" w:eastAsia="IRNazanin" w:cs="IRNazanin"/>
          <w:lang w:bidi="fa-IR"/>
          <w:color w:val="111111"/>
          <w:sz w:val="28"/>
          <w:szCs w:val="28"/>
          <w:rtl/>
        </w:rPr>
        <w:t xml:space="preserve">۴۸. تهران؛ مجلس؛ شماره نسخه:۱۳۸۳۳/۶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حسین بن ملا شهر بابکی مشهور به کرمان، تا: ۱۲۵۶ق؛ جلد: تیماج مشکی، ۳۶گ (۱۵۷پ -۱۹۲ر)، ۱۱سطر [ف: ۳۷-۳۸۸]
</w:t>
      </w:r>
    </w:p>
    <w:p>
      <w:pPr>
        <w:sectPr>
          <w:footerReference w:type="default" r:id="rId9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۴۹. تهران؛ مجلس؛ شماره نسخه: ۱۱۸/۱۳</w:t>
      </w:r>
    </w:p>
    <w:p>
      <w:pPr>
        <w:pStyle w:val="BookText"/>
      </w:pPr>
      <w:r>
        <w:rPr>
          <w:rFonts w:ascii="IRNazanin" w:hAnsi="IRNazanin" w:eastAsia="IRNazanin" w:cs="IRNazanin"/>
          <w:lang w:bidi="fa-IR"/>
          <w:color w:val="111111"/>
          <w:sz w:val="28"/>
          <w:szCs w:val="28"/>
          <w:rtl/>
        </w:rPr>
        <w:t xml:space="preserve">خط: نستعلیق، بی کا، تا: ۵ جمادی الاول ۱۲۵۹ق؛ کاغذ: سفید، جلد: تیماج ضربی مشکی، ۴۳۸ص (۳۹۴-۴۳۱)، ۱۷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(سنا: ف: ۱-۶۲]</w:t>
      </w:r>
    </w:p>
    <w:p>
      <w:pPr>
        <w:pStyle w:val="BookText"/>
      </w:pPr>
      <w:r>
        <w:rPr>
          <w:rFonts w:ascii="IRNazanin" w:hAnsi="IRNazanin" w:eastAsia="IRNazanin" w:cs="IRNazanin"/>
          <w:lang w:bidi="fa-IR"/>
          <w:color w:val="111111"/>
          <w:sz w:val="28"/>
          <w:szCs w:val="28"/>
          <w:rtl/>
        </w:rPr>
        <w:t xml:space="preserve">۵۰. تهران؛ مجلس؛ شماره نسخه: ۱۲۸۲/۱ -ط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حسن حسینی بن میرزا رضا طبیب، تا: ۹ صفر ۱۲۶۱ق؛ مصحح؛ جلد: تیماج مشکی، ۹۸ص (۱-۹۸)،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سم [ف: ۲۴/۳ -۵۲]</w:t>
      </w:r>
    </w:p>
    <w:p>
      <w:pPr>
        <w:pStyle w:val="BookText"/>
      </w:pPr>
      <w:r>
        <w:rPr>
          <w:rFonts w:ascii="IRNazanin" w:hAnsi="IRNazanin" w:eastAsia="IRNazanin" w:cs="IRNazanin"/>
          <w:lang w:bidi="fa-IR"/>
          <w:color w:val="111111"/>
          <w:sz w:val="28"/>
          <w:szCs w:val="28"/>
          <w:rtl/>
        </w:rPr>
        <w:t xml:space="preserve">۵۱. اصفهان؛ مهدوی، مصلح الدین؛ شماره نسخه: ۱۵۲</w:t>
      </w:r>
    </w:p>
    <w:p>
      <w:pPr>
        <w:pStyle w:val="BookText"/>
      </w:pPr>
      <w:r>
        <w:rPr>
          <w:rFonts w:ascii="Amiri" w:hAnsi="Amiri" w:eastAsia="Amiri" w:cs="Amiri"/>
          <w:lang w:bidi="ar-SA"/>
          <w:color w:val="111111"/>
          <w:sz w:val="28"/>
          <w:szCs w:val="28"/>
          <w:rtl/>
        </w:rPr>
        <w:t xml:space="preserve">آغاز: برابر؛ انجام: قد وقع الفراغ من تسويد يوم السبت الرابع من شهر المحرم سنة ۱۲۶۲ من الهجرة</w:t>
      </w:r>
    </w:p>
    <w:p>
      <w:pPr>
        <w:pStyle w:val="BookText"/>
      </w:pPr>
      <w:r>
        <w:rPr>
          <w:rFonts w:ascii="IRNazanin" w:hAnsi="IRNazanin" w:eastAsia="IRNazanin" w:cs="IRNazanin"/>
          <w:lang w:bidi="fa-IR"/>
          <w:color w:val="111111"/>
          <w:sz w:val="28"/>
          <w:szCs w:val="28"/>
          <w:rtl/>
        </w:rPr>
        <w:t xml:space="preserve">خط: نسخ، كا: میرزا مهدی، تا: ۴ محرم ۱۲۶۲ق؛ جلد: تیماج قهوه ای، ۶۷گ، ۹ سطر، اندازه: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 سم [ف: ۱۴۹]</w:t>
      </w:r>
    </w:p>
    <w:p>
      <w:pPr>
        <w:pStyle w:val="BookText"/>
      </w:pPr>
      <w:r>
        <w:rPr>
          <w:rFonts w:ascii="IRNazanin" w:hAnsi="IRNazanin" w:eastAsia="IRNazanin" w:cs="IRNazanin"/>
          <w:lang w:bidi="fa-IR"/>
          <w:color w:val="111111"/>
          <w:sz w:val="28"/>
          <w:szCs w:val="28"/>
          <w:rtl/>
        </w:rPr>
        <w:t xml:space="preserve">۵۲. قم؛ مرعشی؛ شماره نسخه: ۷۸۵۸/۱</w:t>
      </w:r>
    </w:p>
    <w:p>
      <w:pPr>
        <w:pStyle w:val="BookText"/>
      </w:pPr>
      <w:r>
        <w:rPr>
          <w:rFonts w:ascii="Amiri" w:hAnsi="Amiri" w:eastAsia="Amiri" w:cs="Amiri"/>
          <w:lang w:bidi="ar-SA"/>
          <w:color w:val="111111"/>
          <w:sz w:val="28"/>
          <w:szCs w:val="28"/>
          <w:rtl/>
        </w:rPr>
        <w:t xml:space="preserve">آغاز: على الأمور الخارجية بمثلها وجب التطابق في صحيحية و الا فلا. (۳ر) الفصل الثاني في المهية و لواحقها وهي مشتقة عنا هو ... (۱۲ر) المقصد الثاني في الجواهر و الاعراض و فيه فصول، الفصل الأول في الجواهر؛ انجام: برابر</w:t>
      </w:r>
    </w:p>
    <w:p>
      <w:pPr>
        <w:pStyle w:val="BookText"/>
      </w:pPr>
      <w:r>
        <w:rPr>
          <w:rFonts w:ascii="IRNazanin" w:hAnsi="IRNazanin" w:eastAsia="IRNazanin" w:cs="IRNazanin"/>
          <w:lang w:bidi="fa-IR"/>
          <w:color w:val="111111"/>
          <w:sz w:val="28"/>
          <w:szCs w:val="28"/>
          <w:rtl/>
        </w:rPr>
        <w:t xml:space="preserve">خط: نسخ زیبا، كا: محمد علی بن محمد حسن نائینی برای آخوند ملا عبد الجواد، تا: ۱۲۶۸ق؛ افتادگی: آغاز کاغذ: فرنگی سفید آهار مهره، جلد: تیماج قهوه ای، ۴۶گ (۱۱-۴۶ر)، ۱۱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۲۰-۲۰۰]</w:t>
      </w:r>
    </w:p>
    <w:p>
      <w:pPr>
        <w:pStyle w:val="BookText"/>
      </w:pPr>
      <w:r>
        <w:rPr>
          <w:rFonts w:ascii="IRNazanin" w:hAnsi="IRNazanin" w:eastAsia="IRNazanin" w:cs="IRNazanin"/>
          <w:lang w:bidi="fa-IR"/>
          <w:color w:val="111111"/>
          <w:sz w:val="28"/>
          <w:szCs w:val="28"/>
          <w:rtl/>
        </w:rPr>
        <w:t xml:space="preserve">۵۳. مشهد؛ نواب؛ شماره نسخه:۳۷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شیرین، كا: جمادی الاول، تا: ۱۲۶۸ق؛ تملك: محمد صادق بن فاضل بسطامی در ۲۰ محرم ۱۳۰۶ق؛ کاغذ: نخودی، جلد: تیماج قهوه ای، ۲۷گ، ۱۵ سطر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اندازه: 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۱۷/۵ سم [ف: ۵۴]</w:t>
      </w:r>
    </w:p>
    <w:p>
      <w:pPr>
        <w:pStyle w:val="BookText"/>
      </w:pPr>
      <w:r>
        <w:rPr>
          <w:rFonts w:ascii="IRNazanin" w:hAnsi="IRNazanin" w:eastAsia="IRNazanin" w:cs="IRNazanin"/>
          <w:lang w:bidi="fa-IR"/>
          <w:color w:val="111111"/>
          <w:sz w:val="28"/>
          <w:szCs w:val="28"/>
          <w:rtl/>
        </w:rPr>
        <w:t xml:space="preserve">۵۴. تهران؛ سپهسالار؛ شماره نسخه:۶۳۶۷</w:t>
      </w:r>
    </w:p>
    <w:p>
      <w:pPr>
        <w:pStyle w:val="BookText"/>
      </w:pPr>
      <w:r>
        <w:rPr>
          <w:rFonts w:ascii="IRNazanin" w:hAnsi="IRNazanin" w:eastAsia="IRNazanin" w:cs="IRNazanin"/>
          <w:lang w:bidi="fa-IR"/>
          <w:color w:val="111111"/>
          <w:sz w:val="28"/>
          <w:szCs w:val="28"/>
          <w:rtl/>
        </w:rPr>
        <w:t xml:space="preserve">از اثبات صانع تا پایان مقصد سوم؛ خط: نسخ، كا: محمد على کرمانشاهی، تا: شعبان ۱۲۸۰ق؛ محشی؛ واقف: سپهسالار؛ کاغذ: فرنگی سفید، جلد: مقوایی، ۱۴گ، ۱۰ سطر،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۳-۳۱۵]</w:t>
      </w:r>
    </w:p>
    <w:p>
      <w:pPr>
        <w:pStyle w:val="BookText"/>
      </w:pPr>
      <w:r>
        <w:rPr>
          <w:rFonts w:ascii="IRNazanin" w:hAnsi="IRNazanin" w:eastAsia="IRNazanin" w:cs="IRNazanin"/>
          <w:lang w:bidi="fa-IR"/>
          <w:color w:val="111111"/>
          <w:sz w:val="28"/>
          <w:szCs w:val="28"/>
          <w:rtl/>
        </w:rPr>
        <w:t xml:space="preserve">۵۵. یزد؛ صدوقی یزدی؛ شماره نسخه:۶۱/۳</w:t>
      </w:r>
    </w:p>
    <w:p>
      <w:pPr>
        <w:pStyle w:val="BookText"/>
      </w:pPr>
      <w:r>
        <w:rPr>
          <w:rFonts w:ascii="IRNazanin" w:hAnsi="IRNazanin" w:eastAsia="IRNazanin" w:cs="IRNazanin"/>
          <w:lang w:bidi="fa-IR"/>
          <w:color w:val="111111"/>
          <w:sz w:val="28"/>
          <w:szCs w:val="28"/>
          <w:rtl/>
        </w:rPr>
        <w:t xml:space="preserve">خط: نسخ، بی کا، تا: ۱۲۸۹ق، جلد: تیماج مشکی، ۳۸ (۱۲۷ر - ۱۶۴ر)، ۱۱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۴۶]</w:t>
      </w:r>
    </w:p>
    <w:p>
      <w:pPr>
        <w:pStyle w:val="BookText"/>
      </w:pPr>
      <w:r>
        <w:rPr>
          <w:rFonts w:ascii="IRNazanin" w:hAnsi="IRNazanin" w:eastAsia="IRNazanin" w:cs="IRNazanin"/>
          <w:lang w:bidi="fa-IR"/>
          <w:color w:val="111111"/>
          <w:sz w:val="28"/>
          <w:szCs w:val="28"/>
          <w:rtl/>
        </w:rPr>
        <w:t xml:space="preserve">۵۶. تهران؛ مجلس؛ شماره نسخه: ۱۱۲۳/۱</w:t>
      </w:r>
    </w:p>
    <w:p>
      <w:pPr>
        <w:pStyle w:val="BookText"/>
      </w:pPr>
      <w:r>
        <w:rPr>
          <w:rFonts w:ascii="IRNazanin" w:hAnsi="IRNazanin" w:eastAsia="IRNazanin" w:cs="IRNazanin"/>
          <w:lang w:bidi="fa-IR"/>
          <w:color w:val="111111"/>
          <w:sz w:val="28"/>
          <w:szCs w:val="28"/>
          <w:rtl/>
        </w:rPr>
        <w:t xml:space="preserve">خط: نستعلیق، کا: محمد جعفر حسینی موسوی متخلص به صفی، تا: ۱۲۹۲ق؛ کاغذ: فرنگی الوان (بیشتر زرد رنگ)، جلد: تیماج قرمز، ۵۷ص (۲-۵۸)،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۳-۵۷۲]</w:t>
      </w:r>
    </w:p>
    <w:p>
      <w:pPr>
        <w:pStyle w:val="BookText"/>
      </w:pPr>
      <w:r>
        <w:rPr>
          <w:rFonts w:ascii="IRNazanin" w:hAnsi="IRNazanin" w:eastAsia="IRNazanin" w:cs="IRNazanin"/>
          <w:lang w:bidi="fa-IR"/>
          <w:color w:val="111111"/>
          <w:sz w:val="28"/>
          <w:szCs w:val="28"/>
          <w:rtl/>
        </w:rPr>
        <w:t xml:space="preserve">۵۷. تهران؛ مجلس؛ شماره نسخه:۵۰۷۶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كا: عبدالله، تا: پنج شنبه ۲۳ رجب ۱۳۰۸ق؛ با یک سرلوح زیبا، مجدول، کمند مشکی؛ کاغذ: فرنگی، جلد: تیماج، ۷۷گ، ۹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 )،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سم [ف: ۱۵-۳۵]</w:t>
      </w:r>
    </w:p>
    <w:p>
      <w:pPr>
        <w:pStyle w:val="BookText"/>
      </w:pPr>
      <w:r>
        <w:rPr>
          <w:rFonts w:ascii="IRNazanin" w:hAnsi="IRNazanin" w:eastAsia="IRNazanin" w:cs="IRNazanin"/>
          <w:lang w:bidi="fa-IR"/>
          <w:color w:val="111111"/>
          <w:sz w:val="28"/>
          <w:szCs w:val="28"/>
          <w:rtl/>
        </w:rPr>
        <w:t xml:space="preserve">۵۸. قم؛ طبسی؛ شماره نسخه: ۱۴۶/۱</w:t>
      </w:r>
    </w:p>
    <w:p>
      <w:pPr>
        <w:pStyle w:val="BookText"/>
      </w:pPr>
      <w:r>
        <w:rPr>
          <w:rFonts w:ascii="IRNazanin" w:hAnsi="IRNazanin" w:eastAsia="IRNazanin" w:cs="IRNazanin"/>
          <w:lang w:bidi="fa-IR"/>
          <w:color w:val="111111"/>
          <w:sz w:val="28"/>
          <w:szCs w:val="28"/>
          <w:rtl/>
        </w:rPr>
        <w:t xml:space="preserve">آغاز و انجام: برابر از اول تا آخر؛ خط: نسخ، كا: محمد علی حائری (سنقری)، تا: ۱۳۲۳ق؛ محشی، در حاشیه اشعار از منظومه ملاهادی سبزواری در حکمت؛ جلد: مقوا عطف و گوشه تیماج، ۲۴گ، ۱۹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مخ: ۱-۹۴ ]</w:t>
      </w:r>
    </w:p>
    <w:p>
      <w:pPr>
        <w:pStyle w:val="BookText"/>
      </w:pPr>
      <w:r>
        <w:rPr>
          <w:rFonts w:ascii="IRNazanin" w:hAnsi="IRNazanin" w:eastAsia="IRNazanin" w:cs="IRNazanin"/>
          <w:lang w:bidi="fa-IR"/>
          <w:color w:val="111111"/>
          <w:sz w:val="28"/>
          <w:szCs w:val="28"/>
          <w:rtl/>
        </w:rPr>
        <w:t xml:space="preserve">۵۹. مشهد؛ رضوی؛ شماره نسخه:۸۵۳۴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و شکسته، کا: شیخ عباسقلی شریف رازی، تا: ۲۰ ربیع الاول ۱۳۵۳ق؛ محشی؛ واقف: شیخ عباسقلی شریف رازی، مرداد ۱۳۳۶، کاغذ: مشقی، جلد: مقوا با روکش</w:t>
      </w:r>
    </w:p>
    <w:p>
      <w:pPr>
        <w:pStyle w:val="BookText"/>
      </w:pPr>
      <w:r>
        <w:rPr>
          <w:rFonts w:ascii="IRNazanin" w:hAnsi="IRNazanin" w:eastAsia="IRNazanin" w:cs="IRNazanin"/>
          <w:lang w:bidi="fa-IR"/>
          <w:color w:val="111111"/>
          <w:sz w:val="28"/>
          <w:szCs w:val="28"/>
          <w:rtl/>
        </w:rPr>
        <w:t xml:space="preserve">پارچه خاکستری، ۲۰گ،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۱۱-۵۳]</w:t>
      </w:r>
    </w:p>
    <w:p>
      <w:pPr>
        <w:pStyle w:val="BookText"/>
      </w:pPr>
      <w:r>
        <w:rPr>
          <w:rFonts w:ascii="IRNazanin" w:hAnsi="IRNazanin" w:eastAsia="IRNazanin" w:cs="IRNazanin"/>
          <w:lang w:bidi="fa-IR"/>
          <w:color w:val="111111"/>
          <w:sz w:val="28"/>
          <w:szCs w:val="28"/>
          <w:rtl/>
        </w:rPr>
        <w:t xml:space="preserve">۶۰. مشهد: رضوی؛ شماره نسخه:۲۹۸۵۵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ضميمه نسخه ش ۲۹۸۵۱؛ کاغذ: نخودی، جلد: تیماج، ۱۵ سطر ( ۱۱/۷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قطع: رقعی،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سم [رایانه]</w:t>
      </w:r>
    </w:p>
    <w:p>
      <w:pPr>
        <w:pStyle w:val="BookText"/>
      </w:pPr>
      <w:r>
        <w:rPr>
          <w:rFonts w:ascii="IRNazanin" w:hAnsi="IRNazanin" w:eastAsia="IRNazanin" w:cs="IRNazanin"/>
          <w:lang w:bidi="fa-IR"/>
          <w:color w:val="111111"/>
          <w:sz w:val="28"/>
          <w:szCs w:val="28"/>
          <w:rtl/>
        </w:rPr>
        <w:t xml:space="preserve">۶۱. مشهد؛ رضوی؛ شماره نسخه: ۱۴۸۲۰</w:t>
      </w:r>
    </w:p>
    <w:p>
      <w:pPr>
        <w:pStyle w:val="BookText"/>
      </w:pPr>
      <w:r>
        <w:rPr>
          <w:rFonts w:ascii="IRNazanin" w:hAnsi="IRNazanin" w:eastAsia="IRNazanin" w:cs="IRNazanin"/>
          <w:lang w:bidi="fa-IR"/>
          <w:color w:val="111111"/>
          <w:sz w:val="28"/>
          <w:szCs w:val="28"/>
          <w:rtl/>
        </w:rPr>
        <w:t xml:space="preserve">آغاز: برابر؛ انجام: في تسعه اختلفوا في آن خط: نسخ، بی کا، بی تا؛ افتادگی: انجام؛ کاغذ: نخودی، جلد: تیماج، ۱۶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[الفبائی: ۱۰۴]</w:t>
      </w:r>
    </w:p>
    <w:p>
      <w:pPr>
        <w:pStyle w:val="BookText"/>
      </w:pPr>
      <w:r>
        <w:rPr>
          <w:rFonts w:ascii="IRNazanin" w:hAnsi="IRNazanin" w:eastAsia="IRNazanin" w:cs="IRNazanin"/>
          <w:lang w:bidi="fa-IR"/>
          <w:color w:val="111111"/>
          <w:sz w:val="28"/>
          <w:szCs w:val="28"/>
          <w:rtl/>
        </w:rPr>
        <w:t xml:space="preserve">۶۲. مشهد؛ رضوی؛ شماره نسخه:۳۶۴</w:t>
      </w:r>
    </w:p>
    <w:p>
      <w:pPr>
        <w:pStyle w:val="BookText"/>
      </w:pPr>
      <w:r>
        <w:rPr>
          <w:rFonts w:ascii="IRNazanin" w:hAnsi="IRNazanin" w:eastAsia="IRNazanin" w:cs="IRNazanin"/>
          <w:lang w:bidi="fa-IR"/>
          <w:color w:val="111111"/>
          <w:sz w:val="28"/>
          <w:szCs w:val="28"/>
          <w:rtl/>
        </w:rPr>
        <w:t xml:space="preserve">آغاز: برابر؛ انجام: ثم أنه فرض كفاية لا فرض عین خط: نستعلیق، کا: محمد مقیم، بی تا، مجدول؛ واقف: نادرشاه؛ ۳۱گ، مختلف السطر،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۴-۳۹]</w:t>
      </w:r>
    </w:p>
    <w:p>
      <w:pPr>
        <w:pStyle w:val="BookText"/>
      </w:pPr>
      <w:r>
        <w:rPr>
          <w:rFonts w:ascii="IRNazanin" w:hAnsi="IRNazanin" w:eastAsia="IRNazanin" w:cs="IRNazanin"/>
          <w:lang w:bidi="fa-IR"/>
          <w:color w:val="111111"/>
          <w:sz w:val="28"/>
          <w:szCs w:val="28"/>
          <w:rtl/>
        </w:rPr>
        <w:t xml:space="preserve">۶۳. مشهد؛ رضوی؛ شماره نسخه: ۲۸۲۸۱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مهر: کتابخانه ناصریه لكهنو-كتب وقف کرده علامه حامد حسین صاحب ره .... کاغذ: نخودی، جلد: گالینگور، ۱۵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اندازه: ۱۸/۳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۱۱/۷ سم [رایانه]</w:t>
      </w:r>
    </w:p>
    <w:p>
      <w:pPr>
        <w:pStyle w:val="BookText"/>
      </w:pPr>
      <w:r>
        <w:rPr>
          <w:rFonts w:ascii="IRNazanin" w:hAnsi="IRNazanin" w:eastAsia="IRNazanin" w:cs="IRNazanin"/>
          <w:lang w:bidi="fa-IR"/>
          <w:color w:val="111111"/>
          <w:sz w:val="28"/>
          <w:szCs w:val="28"/>
          <w:rtl/>
        </w:rPr>
        <w:t xml:space="preserve">۶۴. مشهد؛ رضوی؛ شماره نسخه:۲۴۵۸۵</w:t>
      </w:r>
    </w:p>
    <w:p>
      <w:pPr>
        <w:pStyle w:val="BookText"/>
      </w:pPr>
      <w:r>
        <w:rPr>
          <w:rFonts w:ascii="IRNazanin" w:hAnsi="IRNazanin" w:eastAsia="IRNazanin" w:cs="IRNazanin"/>
          <w:lang w:bidi="fa-IR"/>
          <w:color w:val="111111"/>
          <w:sz w:val="28"/>
          <w:szCs w:val="28"/>
          <w:rtl/>
        </w:rPr>
        <w:t xml:space="preserve">آغاز: برابر؛ انجام: و يغني أن لا ينجس الكتاب و السنة. تم و الحمدالله خط: نسخ، بی کا، بی تا؛ جلد: میشن عنابی، ۷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قطع: وزیری،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[رایانه]</w:t>
      </w:r>
    </w:p>
    <w:p>
      <w:pPr>
        <w:pStyle w:val="BookText"/>
      </w:pPr>
      <w:r>
        <w:rPr>
          <w:rFonts w:ascii="IRNazanin" w:hAnsi="IRNazanin" w:eastAsia="IRNazanin" w:cs="IRNazanin"/>
          <w:lang w:bidi="fa-IR"/>
          <w:color w:val="111111"/>
          <w:sz w:val="28"/>
          <w:szCs w:val="28"/>
          <w:rtl/>
        </w:rPr>
        <w:t xml:space="preserve">۶۵. قم؛ فیضیه؛ شماره نسخه:۹۱۵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کاغذ: خاکستری، جلد: میشن سرخ، ۳۵ص، ۱۲-۱۴ سطر، اندازه:</w:t>
      </w:r>
    </w:p>
    <w:p>
      <w:pPr>
        <w:pStyle w:val="BookText"/>
      </w:pPr>
      <w:r>
        <w:rPr>
          <w:rFonts w:ascii="IRNazanin" w:hAnsi="IRNazanin" w:eastAsia="IRNazanin" w:cs="IRNazanin"/>
          <w:lang w:bidi="fa-IR"/>
          <w:color w:val="111111"/>
          <w:sz w:val="28"/>
          <w:szCs w:val="28"/>
          <w:rtl/>
        </w:rPr>
        <w:t xml:space="preserve">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سم [ فهرست عراقی: ۱-۲۹۰]</w:t>
      </w:r>
    </w:p>
    <w:p>
      <w:pPr>
        <w:pStyle w:val="BookText"/>
      </w:pPr>
      <w:r>
        <w:rPr>
          <w:rFonts w:ascii="IRNazanin" w:hAnsi="IRNazanin" w:eastAsia="IRNazanin" w:cs="IRNazanin"/>
          <w:lang w:bidi="fa-IR"/>
          <w:color w:val="111111"/>
          <w:sz w:val="28"/>
          <w:szCs w:val="28"/>
          <w:rtl/>
        </w:rPr>
        <w:t xml:space="preserve">۶۶. گلپایگان کتابخانه حجة الاسلام گلپایگانی؛ شماره نسخه:۱۱۵/۳
</w:t>
      </w:r>
    </w:p>
    <w:p>
      <w:pPr>
        <w:sectPr>
          <w:footerReference w:type="default" r:id="rId969"/>
          <w:footnotePr>
            <w:numStart w:val="1"/>
            <w:numRestart w:val="eachPage"/>
          </w:footnotePr>
          <w:pgSz w:orient="portrait" w:w="11905.511811023622" w:h="16837.79527559055"/>
          <w:pgMar w:top="1440" w:right="1440" w:bottom="1440" w:left="1440" w:header="720" w:footer="720" w:gutter="0"/>
          <w:cols w:num="1" w:space="720"/>
        </w:sectPr>
      </w:pPr>
    </w:p>
    <w:bookmarkStart w:id="725" w:name="pg20363_210087"/>
    <w:bookmarkEnd w:id="725"/>
    <w:p>
      <w:pPr>
        <w:pStyle w:val="BookText"/>
      </w:pPr>
      <w:r>
        <w:rPr>
          <w:rFonts w:ascii="IRNazanin" w:hAnsi="IRNazanin" w:eastAsia="IRNazanin" w:cs="IRNazanin"/>
          <w:lang w:bidi="fa-IR"/>
          <w:color w:val="111111"/>
          <w:sz w:val="28"/>
          <w:szCs w:val="28"/>
          <w:rtl/>
        </w:rPr>
        <w:t xml:space="preserve">انجام: ولا يجب مقارنة العدم ولا يجوز بقاء المعلول بعده و آن جازفی بی کا، بی تا؛ افتادگی: انجام؛ جلد: تیماج قرمز، لاگ (۱۰۱پ۔ ۱۰۷پ)، اندازه: ۱۳</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۱۸ سم [ کتابخانه های گلپایگان: ف: ۹۴]</w:t>
      </w:r>
    </w:p>
    <w:p>
      <w:pPr>
        <w:pStyle w:val="BookText"/>
      </w:pPr>
      <w:r>
        <w:rPr>
          <w:rFonts w:ascii="IRNazanin" w:hAnsi="IRNazanin" w:eastAsia="IRNazanin" w:cs="IRNazanin"/>
          <w:lang w:bidi="fa-IR"/>
          <w:color w:val="111111"/>
          <w:sz w:val="28"/>
          <w:szCs w:val="28"/>
          <w:rtl/>
        </w:rPr>
        <w:t xml:space="preserve">۶۷. خوی؛ نمازی،شماره نسخه:۶۴۰</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بی تا؛ با حواشی از شرح قوشچی؛ جلد: تیماج قهوه ای، ۱۲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[ف: ۳۴۷]</w:t>
      </w:r>
    </w:p>
    <w:p>
      <w:pPr>
        <w:pStyle w:val="BookText"/>
      </w:pPr>
      <w:r>
        <w:rPr>
          <w:rFonts w:ascii="IRNazanin" w:hAnsi="IRNazanin" w:eastAsia="IRNazanin" w:cs="IRNazanin"/>
          <w:lang w:bidi="fa-IR"/>
          <w:color w:val="111111"/>
          <w:sz w:val="28"/>
          <w:szCs w:val="28"/>
          <w:rtl/>
        </w:rPr>
        <w:t xml:space="preserve">۶۸. تهران؛ ملی؛ شماره نسخه: ۳۴۵۱/۲</w:t>
      </w:r>
    </w:p>
    <w:p>
      <w:pPr>
        <w:pStyle w:val="BookText"/>
      </w:pPr>
      <w:r>
        <w:rPr>
          <w:rFonts w:ascii="IRNazanin" w:hAnsi="IRNazanin" w:eastAsia="IRNazanin" w:cs="IRNazanin"/>
          <w:lang w:bidi="fa-IR"/>
          <w:color w:val="111111"/>
          <w:sz w:val="28"/>
          <w:szCs w:val="28"/>
          <w:rtl/>
        </w:rPr>
        <w:t xml:space="preserve">آغاز: برابر؛ انجام: فلا يكون واحدا من كل الوجوه فان تصوران لا يكون فيه تعدد بوجه ما كان خط: نستعلیق، بی کا، بی تا؛ افتادگی: انجام؛ کاغذ: اصفهانی نخودی و فرنگی شکری، جلد: تیماج يشمی، ۴۰۳گ، ۲۰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۱۵-۲۶۶]</w:t>
      </w:r>
    </w:p>
    <w:p>
      <w:pPr>
        <w:pStyle w:val="BookText"/>
      </w:pPr>
      <w:r>
        <w:rPr>
          <w:rFonts w:ascii="IRNazanin" w:hAnsi="IRNazanin" w:eastAsia="IRNazanin" w:cs="IRNazanin"/>
          <w:lang w:bidi="fa-IR"/>
          <w:color w:val="111111"/>
          <w:sz w:val="28"/>
          <w:szCs w:val="28"/>
          <w:rtl/>
        </w:rPr>
        <w:t xml:space="preserve">۶۹. مشهد؛ الهیات؛ شماره نسخه:۵۱۸/۳</w:t>
      </w:r>
    </w:p>
    <w:p>
      <w:pPr>
        <w:pStyle w:val="BookText"/>
      </w:pPr>
      <w:r>
        <w:rPr>
          <w:rFonts w:ascii="IRNazanin" w:hAnsi="IRNazanin" w:eastAsia="IRNazanin" w:cs="IRNazanin"/>
          <w:lang w:bidi="fa-IR"/>
          <w:color w:val="111111"/>
          <w:sz w:val="28"/>
          <w:szCs w:val="28"/>
          <w:rtl/>
        </w:rPr>
        <w:t xml:space="preserve">خط: نستعلیق، بی کا، بی تا، کاغذ نخودی؛ جلد: تیماج عنابی، ۱۸ سطر (۴/۵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۱-۴۳۴]</w:t>
      </w:r>
    </w:p>
    <w:p>
      <w:pPr>
        <w:pStyle w:val="BookText"/>
      </w:pPr>
      <w:r>
        <w:rPr>
          <w:rFonts w:ascii="IRNazanin" w:hAnsi="IRNazanin" w:eastAsia="IRNazanin" w:cs="IRNazanin"/>
          <w:lang w:bidi="fa-IR"/>
          <w:color w:val="111111"/>
          <w:sz w:val="28"/>
          <w:szCs w:val="28"/>
          <w:rtl/>
        </w:rPr>
        <w:t xml:space="preserve">۷۰. قم؛ گلپایگانی؛ شماره نسخه: ۸۶۶۱/۱ - ۵۸/۱۱۱</w:t>
      </w:r>
    </w:p>
    <w:p>
      <w:pPr>
        <w:pStyle w:val="BookText"/>
      </w:pPr>
      <w:r>
        <w:rPr>
          <w:rFonts w:ascii="IRNazanin" w:hAnsi="IRNazanin" w:eastAsia="IRNazanin" w:cs="IRNazanin"/>
          <w:lang w:bidi="fa-IR"/>
          <w:color w:val="111111"/>
          <w:sz w:val="28"/>
          <w:szCs w:val="28"/>
          <w:rtl/>
        </w:rPr>
        <w:t xml:space="preserve">آغاز: المقصد الثالث في اثبات الصانع وصفاته و آثاره وفيه فصول الأول في وجوده تعالى. الموجود ان كان واجبا فهو المطلوب والا استلزمه چند برگ از اول «المقصد الثالث في اثبات الصانع ..»؛ خط: نسخ، بی کا، بی تا، ۹گ (۱-۹)، ۱۰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۲-۷۱۹]</w:t>
      </w:r>
    </w:p>
    <w:p>
      <w:pPr>
        <w:pStyle w:val="BookText"/>
      </w:pPr>
      <w:r>
        <w:rPr>
          <w:rFonts w:ascii="IRNazanin" w:hAnsi="IRNazanin" w:eastAsia="IRNazanin" w:cs="IRNazanin"/>
          <w:lang w:bidi="fa-IR"/>
          <w:color w:val="111111"/>
          <w:sz w:val="28"/>
          <w:szCs w:val="28"/>
          <w:rtl/>
        </w:rPr>
        <w:t xml:space="preserve">۷۱. قم؛ گلپایگانی؛ شماره نسخه:۷۶۳۹/۴ - ۵۱/۹۹</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بی تا؛ افتادگی: انجام؛ ۱۱گ، ۱۹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۲-۷۱۹]</w:t>
      </w:r>
    </w:p>
    <w:p>
      <w:pPr>
        <w:pStyle w:val="BookText"/>
      </w:pPr>
      <w:r>
        <w:rPr>
          <w:rFonts w:ascii="IRNazanin" w:hAnsi="IRNazanin" w:eastAsia="IRNazanin" w:cs="IRNazanin"/>
          <w:lang w:bidi="fa-IR"/>
          <w:color w:val="111111"/>
          <w:sz w:val="28"/>
          <w:szCs w:val="28"/>
          <w:rtl/>
        </w:rPr>
        <w:t xml:space="preserve">۷۲. قم؛ گلپایگانی شماره نسخه: ۱۷۶/۱ - ۱/۱۷۶</w:t>
      </w:r>
    </w:p>
    <w:p>
      <w:pPr>
        <w:pStyle w:val="BookText"/>
      </w:pPr>
      <w:r>
        <w:rPr>
          <w:rFonts w:ascii="IRNazanin" w:hAnsi="IRNazanin" w:eastAsia="IRNazanin" w:cs="IRNazanin"/>
          <w:lang w:bidi="fa-IR"/>
          <w:color w:val="111111"/>
          <w:sz w:val="28"/>
          <w:szCs w:val="28"/>
          <w:rtl/>
        </w:rPr>
        <w:t xml:space="preserve">آغاز و انجام: برابر از اول تا آخر؛ خط: نستعلیق، بی کا، بی تا، ۲۰گ، ۱۹ سطر آف:</w:t>
      </w:r>
    </w:p>
    <w:p>
      <w:pPr>
        <w:pStyle w:val="BookText"/>
      </w:pPr>
      <w:r>
        <w:rPr>
          <w:rFonts w:ascii="IRNazanin" w:hAnsi="IRNazanin" w:eastAsia="IRNazanin" w:cs="IRNazanin"/>
          <w:lang w:bidi="fa-IR"/>
          <w:color w:val="111111"/>
          <w:sz w:val="28"/>
          <w:szCs w:val="28"/>
          <w:rtl/>
        </w:rPr>
        <w:t xml:space="preserve">[۷۱۹-۲ ]</w:t>
      </w:r>
    </w:p>
    <w:p>
      <w:pPr>
        <w:pStyle w:val="BookText"/>
      </w:pPr>
      <w:r>
        <w:rPr>
          <w:rFonts w:ascii="IRNazanin" w:hAnsi="IRNazanin" w:eastAsia="IRNazanin" w:cs="IRNazanin"/>
          <w:lang w:bidi="fa-IR"/>
          <w:color w:val="111111"/>
          <w:sz w:val="28"/>
          <w:szCs w:val="28"/>
          <w:rtl/>
        </w:rPr>
        <w:t xml:space="preserve">۷۳. تهران، دانشگاه؛ شماره نسخه:۲۴۳۵/۴ -ف</w:t>
      </w:r>
    </w:p>
    <w:p>
      <w:pPr>
        <w:pStyle w:val="BookText"/>
      </w:pPr>
      <w:r>
        <w:rPr>
          <w:rFonts w:ascii="IRNazanin" w:hAnsi="IRNazanin" w:eastAsia="IRNazanin" w:cs="IRNazanin"/>
          <w:lang w:bidi="fa-IR"/>
          <w:color w:val="111111"/>
          <w:sz w:val="28"/>
          <w:szCs w:val="28"/>
          <w:rtl/>
        </w:rPr>
        <w:t xml:space="preserve">نسخه اصل: کتابخانه وزیری جامع یزد، ش ۱۴۴۶؛ بی کا، بی تا [فیلمها ف: ۱-۶۹۲]</w:t>
      </w:r>
    </w:p>
    <w:p>
      <w:pPr>
        <w:pStyle w:val="BookText"/>
      </w:pPr>
      <w:r>
        <w:rPr>
          <w:rFonts w:ascii="IRNazanin" w:hAnsi="IRNazanin" w:eastAsia="IRNazanin" w:cs="IRNazanin"/>
          <w:lang w:bidi="fa-IR"/>
          <w:color w:val="111111"/>
          <w:sz w:val="28"/>
          <w:szCs w:val="28"/>
          <w:rtl/>
        </w:rPr>
        <w:t xml:space="preserve">۷۴. تهران، دانشگاه؛ شماره نسخه: ۳۶۲۱/۲</w:t>
      </w:r>
    </w:p>
    <w:p>
      <w:pPr>
        <w:pStyle w:val="BookText"/>
      </w:pPr>
      <w:r>
        <w:rPr>
          <w:rFonts w:ascii="IRNazanin" w:hAnsi="IRNazanin" w:eastAsia="IRNazanin" w:cs="IRNazanin"/>
          <w:lang w:bidi="fa-IR"/>
          <w:color w:val="111111"/>
          <w:sz w:val="28"/>
          <w:szCs w:val="28"/>
          <w:rtl/>
        </w:rPr>
        <w:t xml:space="preserve">خط: نسخ، كا: عبدالرحيم بن حاجی محمد شريف نهاوندی، بی تاب جا: نهاوند، مدرسه مؤمنیه؛ کاغذ: سپاهانی، جلد: تیماج مشکی، ۴۸ص (۸۳-۱۳۰)، ۱۷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۱۲-۲۶۲۳]</w:t>
      </w:r>
    </w:p>
    <w:p>
      <w:pPr>
        <w:pStyle w:val="BookText"/>
      </w:pPr>
      <w:r>
        <w:rPr>
          <w:rFonts w:ascii="IRNazanin" w:hAnsi="IRNazanin" w:eastAsia="IRNazanin" w:cs="IRNazanin"/>
          <w:lang w:bidi="fa-IR"/>
          <w:color w:val="111111"/>
          <w:sz w:val="28"/>
          <w:szCs w:val="28"/>
          <w:rtl/>
        </w:rPr>
        <w:t xml:space="preserve">۷۵. تهران: دانشگاه؛ شماره نسخه: ۴۷۵۰-ف</w:t>
      </w:r>
    </w:p>
    <w:p>
      <w:pPr>
        <w:pStyle w:val="BookText"/>
      </w:pPr>
      <w:r>
        <w:rPr>
          <w:rFonts w:ascii="IRNazanin" w:hAnsi="IRNazanin" w:eastAsia="IRNazanin" w:cs="IRNazanin"/>
          <w:lang w:bidi="fa-IR"/>
          <w:color w:val="111111"/>
          <w:sz w:val="28"/>
          <w:szCs w:val="28"/>
          <w:rtl/>
        </w:rPr>
        <w:t xml:space="preserve">خط: نسخ، بی کا، بی تا، در آغاز آن رساله غرض و فائده سید</w:t>
      </w:r>
    </w:p>
    <w:p>
      <w:pPr>
        <w:pStyle w:val="BookText"/>
      </w:pPr>
      <w:r>
        <w:rPr>
          <w:rFonts w:ascii="IRNazanin" w:hAnsi="IRNazanin" w:eastAsia="IRNazanin" w:cs="IRNazanin"/>
          <w:lang w:bidi="fa-IR"/>
          <w:color w:val="111111"/>
          <w:sz w:val="28"/>
          <w:szCs w:val="28"/>
          <w:rtl/>
        </w:rPr>
        <w:t xml:space="preserve">شریف علی گرگانی؛ ۳۴ص (۱۱۵-۱۴۸) [فیلمها ف: ۳-۹۹]</w:t>
      </w:r>
    </w:p>
    <w:p>
      <w:pPr>
        <w:pStyle w:val="BookText"/>
      </w:pPr>
      <w:r>
        <w:rPr>
          <w:rFonts w:ascii="IRNazanin" w:hAnsi="IRNazanin" w:eastAsia="IRNazanin" w:cs="IRNazanin"/>
          <w:lang w:bidi="fa-IR"/>
          <w:color w:val="111111"/>
          <w:sz w:val="28"/>
          <w:szCs w:val="28"/>
          <w:rtl/>
        </w:rPr>
        <w:t xml:space="preserve">۷۶. اصفهان، دانشگاه؛ شماره نسخه: ۱۸۶/۸</w:t>
      </w:r>
    </w:p>
    <w:p>
      <w:pPr>
        <w:pStyle w:val="BookText"/>
      </w:pPr>
      <w:r>
        <w:rPr>
          <w:rFonts w:ascii="IRNazanin" w:hAnsi="IRNazanin" w:eastAsia="IRNazanin" w:cs="IRNazanin"/>
          <w:lang w:bidi="fa-IR"/>
          <w:color w:val="111111"/>
          <w:sz w:val="28"/>
          <w:szCs w:val="28"/>
          <w:rtl/>
        </w:rPr>
        <w:t xml:space="preserve">انجام: و اما القوة الحيوانية المحركة فغايتها الوصول الى المنتهى و هو قد يكون غاية للقوة الشوقية أيضا و قد لا يكون بی کا، بی تا، افتادگی: انجام؛ جلد: تیماج قرمز، ۸گ (۱۰۲ر ۱۰۹پ)،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سم [ف: ۱-۱۳۷]</w:t>
      </w:r>
    </w:p>
    <w:p>
      <w:pPr>
        <w:pStyle w:val="BookText"/>
      </w:pPr>
      <w:r>
        <w:rPr>
          <w:rFonts w:ascii="IRNazanin" w:hAnsi="IRNazanin" w:eastAsia="IRNazanin" w:cs="IRNazanin"/>
          <w:lang w:bidi="fa-IR"/>
          <w:color w:val="111111"/>
          <w:sz w:val="28"/>
          <w:szCs w:val="28"/>
          <w:rtl/>
        </w:rPr>
        <w:t xml:space="preserve">۷۷. اصفهان؛ مدرسه صدر بازار؛ شماره نسخه: ۲/ ۳۰</w:t>
      </w:r>
    </w:p>
    <w:p>
      <w:pPr>
        <w:pStyle w:val="BookText"/>
      </w:pPr>
      <w:r>
        <w:rPr>
          <w:rFonts w:ascii="IRNazanin" w:hAnsi="IRNazanin" w:eastAsia="IRNazanin" w:cs="IRNazanin"/>
          <w:lang w:bidi="fa-IR"/>
          <w:color w:val="111111"/>
          <w:sz w:val="28"/>
          <w:szCs w:val="28"/>
          <w:rtl/>
        </w:rPr>
        <w:t xml:space="preserve">آغاز: برابر؛ انجام: و الفسق الخروج عن طاعة الله تعالى مع الايمان به و النفاق اظهار الايمان و اخفاء الكفر خط: نسخ، کا: محمد خيبر خيبر) بن سلطان حیدر حسنی حسینی طباطبائی میبدی، بی تا، افتادگی: انجام؛ مهر: «محمد خبير بن سلطان محمد الحسنی» (بیضوی)، «محمد باقر بن محمد نقی الموسوی» (بیضوی)؛ جلد: تیماج مشکی، ۴۷گ (۸۴پ - ۱۳۰پ)، و سطر، اندازه: ۱۰/۵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 [ف: ۱-۳۶]</w:t>
      </w:r>
    </w:p>
    <w:p>
      <w:pPr>
        <w:pStyle w:val="BookText"/>
      </w:pPr>
      <w:r>
        <w:rPr>
          <w:rFonts w:ascii="IRNazanin" w:hAnsi="IRNazanin" w:eastAsia="IRNazanin" w:cs="IRNazanin"/>
          <w:lang w:bidi="fa-IR"/>
          <w:color w:val="111111"/>
          <w:sz w:val="28"/>
          <w:szCs w:val="28"/>
          <w:rtl/>
        </w:rPr>
        <w:t xml:space="preserve">۷۸. شیراز؛ ملی؛ شماره نسخه:۱۲۵-ش/۶۰۸</w:t>
      </w:r>
    </w:p>
    <w:p>
      <w:pPr>
        <w:pStyle w:val="BookText"/>
      </w:pPr>
      <w:r>
        <w:rPr>
          <w:rFonts w:ascii="IRNazanin" w:hAnsi="IRNazanin" w:eastAsia="IRNazanin" w:cs="IRNazanin"/>
          <w:lang w:bidi="fa-IR"/>
          <w:color w:val="111111"/>
          <w:sz w:val="28"/>
          <w:szCs w:val="28"/>
          <w:rtl/>
        </w:rPr>
        <w:t xml:space="preserve">آغاز: برابر؛ انجام: دیباچه: او ما يتواتر الى اهل الفضل من كرمه الفضلاء مبرور امن قال آمین ابقى الله ... فان هذا دعاء يشتمل البشري -تمت الديباجه. متن کتاب: في ذاته دون فعله له فان شرب السقمونیا علة فا عليه عرضيه لحصول البرودة مع انه عدة معدة ذابته الحصول البرودة قد تم بعون الله تعالی. این نسخه شامل دیباچه و مقصد اول است؛ خط: نسخ، بی کا، بی تا؛ کاغذ: فرنگی نخودی نازک، جلد: تیماج قهوه ای، ۱۳۰گ، ۲۳ سطر (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سم [ف: ۲-۱۹۶]</w:t>
      </w:r>
    </w:p>
    <w:p>
      <w:pPr>
        <w:pStyle w:val="BookText"/>
      </w:pPr>
      <w:r>
        <w:rPr>
          <w:rFonts w:ascii="IRNazanin" w:hAnsi="IRNazanin" w:eastAsia="IRNazanin" w:cs="IRNazanin"/>
          <w:lang w:bidi="fa-IR"/>
          <w:color w:val="111111"/>
          <w:sz w:val="28"/>
          <w:szCs w:val="28"/>
          <w:rtl/>
        </w:rPr>
        <w:t xml:space="preserve">۷۹. کرمانشاه؛ نجومی؛ شماره نسخه:بدون شماره</w:t>
      </w:r>
    </w:p>
    <w:p>
      <w:pPr>
        <w:pStyle w:val="BookText"/>
      </w:pPr>
      <w:r>
        <w:rPr>
          <w:rFonts w:ascii="IRNazanin" w:hAnsi="IRNazanin" w:eastAsia="IRNazanin" w:cs="IRNazanin"/>
          <w:lang w:bidi="fa-IR"/>
          <w:color w:val="111111"/>
          <w:sz w:val="28"/>
          <w:szCs w:val="28"/>
          <w:rtl/>
        </w:rPr>
        <w:t xml:space="preserve">بی کا، بی تا [دليل المخطوطات: ۱-۲۲۱]</w:t>
      </w:r>
    </w:p>
    <w:p>
      <w:pPr>
        <w:pStyle w:val="Heading3"/>
      </w:pPr>
      <w:bookmarkStart w:id="3097" w:name="_Toc2357"/>
      <w:r>
        <w:t>• تجرید الاعتقاد (با ترجمه منظوم) / كلام و اعتقادات / عربی و فارسی</w:t>
      </w:r>
      <w:bookmarkEnd w:id="3097"/>
    </w:p>
    <w:p>
      <w:pPr>
        <w:pStyle w:val="BookText"/>
      </w:pPr>
      <w:r>
        <w:rPr>
          <w:rFonts w:ascii="Times New Roman" w:hAnsi="Times New Roman" w:eastAsia="Times New Roman" w:cs="Times New Roman"/>
          <w:lang w:val="en-US" w:bidi="en-US"/>
          <w:color w:val="111111"/>
          <w:sz w:val="28"/>
          <w:szCs w:val="28"/>
          <w:rtl/>
        </w:rPr>
        <w:t xml:space="preserve">tajrīd-ul i'tiqād (bā t.-ye manzūm)</w:t>
      </w:r>
    </w:p>
    <w:p>
      <w:pPr>
        <w:pStyle w:val="BookText"/>
      </w:pPr>
      <w:r>
        <w:rPr>
          <w:rFonts w:ascii="IRNazanin" w:hAnsi="IRNazanin" w:eastAsia="IRNazanin" w:cs="IRNazanin"/>
          <w:lang w:bidi="fa-IR"/>
          <w:color w:val="111111"/>
          <w:sz w:val="28"/>
          <w:szCs w:val="28"/>
          <w:rtl/>
        </w:rPr>
        <w:t xml:space="preserve">وابسته به: تجرید الاعتقاد = تجريد العقاید = تجريد الكلام في تحرير عقايد الاسلام نصیرالدین طوسی، محمد بن محمد (۶۷۲-۵۹۷)</w:t>
      </w:r>
    </w:p>
    <w:p>
      <w:pPr>
        <w:pStyle w:val="BookText"/>
      </w:pPr>
      <w:r>
        <w:rPr>
          <w:rFonts w:ascii="IRNazanin" w:hAnsi="IRNazanin" w:eastAsia="IRNazanin" w:cs="IRNazanin"/>
          <w:lang w:bidi="fa-IR"/>
          <w:color w:val="111111"/>
          <w:sz w:val="28"/>
          <w:szCs w:val="28"/>
          <w:rtl/>
        </w:rPr>
        <w:t xml:space="preserve">خوی؛ نمازی،شماره نسخه: ۶۶۰/۴۹</w:t>
      </w:r>
    </w:p>
    <w:p>
      <w:pPr>
        <w:pStyle w:val="BookText"/>
      </w:pPr>
      <w:r>
        <w:rPr>
          <w:rFonts w:ascii="IRNazanin" w:hAnsi="IRNazanin" w:eastAsia="IRNazanin" w:cs="IRNazanin"/>
          <w:lang w:bidi="fa-IR"/>
          <w:color w:val="111111"/>
          <w:sz w:val="28"/>
          <w:szCs w:val="28"/>
          <w:rtl/>
        </w:rPr>
        <w:t xml:space="preserve">آغاز: حمد اظهار حال آن ذاتی *** که بود جامع کمالاتی / در وجوب وجود هست ایما *** که رسد خلق را از نعما / اول نعمتی که هست وجود *** داده ما را بمحض رحمت وجود / ذکر نعماء توان على الاجمال *** وز تفاصيل آن لسان سلال. آغاز: بسمله كلام في الشک و السهو لا حكم للسهو مع غلبة الظن و لالناسی القرائة و الجهر او الاخفات خط: نسخ، کا: اسدالله بن ظهير الدين على دوانی، تا: قرن ۱۱؛ افتادگی: انجام؛ ۵۰گ (۱۳۹۱ - ۴۴۰پ) [ف: ۳۵۹]</w:t>
      </w:r>
    </w:p>
    <w:p>
      <w:pPr>
        <w:pStyle w:val="Heading3"/>
      </w:pPr>
      <w:bookmarkStart w:id="3098" w:name="_Toc2358"/>
      <w:r>
        <w:t>•تجرید الايام الشريفة / فقه / عربی</w:t>
      </w:r>
      <w:bookmarkEnd w:id="3098"/>
    </w:p>
    <w:p>
      <w:pPr>
        <w:pStyle w:val="BookText"/>
      </w:pPr>
      <w:r>
        <w:rPr>
          <w:rFonts w:ascii="Times New Roman" w:hAnsi="Times New Roman" w:eastAsia="Times New Roman" w:cs="Times New Roman"/>
          <w:lang w:val="en-US" w:bidi="en-US"/>
          <w:color w:val="111111"/>
          <w:sz w:val="28"/>
          <w:szCs w:val="28"/>
          <w:rtl/>
        </w:rPr>
        <w:t xml:space="preserve">tajrīd-ul ayyām-iš šarīfa
</w:t>
      </w:r>
    </w:p>
    <w:p>
      <w:pPr>
        <w:sectPr>
          <w:footerReference w:type="default" r:id="rId970"/>
          <w:footnotePr>
            <w:numStart w:val="1"/>
            <w:numRestart w:val="eachPage"/>
          </w:footnotePr>
          <w:pgSz w:orient="portrait" w:w="11905.511811023622" w:h="16837.79527559055"/>
          <w:pgMar w:top="1440" w:right="1440" w:bottom="1440" w:left="1440" w:header="720" w:footer="720" w:gutter="0"/>
          <w:cols w:num="1" w:space="720"/>
        </w:sectPr>
      </w:pPr>
    </w:p>
    <w:bookmarkStart w:id="726" w:name="pg20363_210088"/>
    <w:bookmarkEnd w:id="726"/>
    <w:p>
      <w:pPr>
        <w:pStyle w:val="BookText"/>
      </w:pPr>
      <w:r>
        <w:rPr>
          <w:rFonts w:ascii="IRNazanin" w:hAnsi="IRNazanin" w:eastAsia="IRNazanin" w:cs="IRNazanin"/>
          <w:lang w:bidi="fa-IR"/>
          <w:color w:val="111111"/>
          <w:sz w:val="28"/>
          <w:szCs w:val="28"/>
          <w:rtl/>
        </w:rPr>
        <w:t xml:space="preserve">حسینی جعفری، حسین بن حسن، ق ۱۰ قمری</w:t>
      </w:r>
    </w:p>
    <w:p>
      <w:pPr>
        <w:pStyle w:val="BookText"/>
      </w:pPr>
      <w:r>
        <w:rPr>
          <w:rFonts w:ascii="Times New Roman" w:hAnsi="Times New Roman" w:eastAsia="Times New Roman" w:cs="Times New Roman"/>
          <w:lang w:val="en-US" w:bidi="en-US"/>
          <w:color w:val="111111"/>
          <w:sz w:val="28"/>
          <w:szCs w:val="28"/>
          <w:rtl/>
        </w:rPr>
        <w:t xml:space="preserve">hoseynī ja‘farī, hoseyn ebn-e hasan (-160)</w:t>
      </w:r>
    </w:p>
    <w:p>
      <w:pPr>
        <w:pStyle w:val="BookText"/>
      </w:pPr>
      <w:r>
        <w:rPr>
          <w:rFonts w:ascii="IRNazanin" w:hAnsi="IRNazanin" w:eastAsia="IRNazanin" w:cs="IRNazanin"/>
          <w:lang w:bidi="fa-IR"/>
          <w:color w:val="111111"/>
          <w:sz w:val="28"/>
          <w:szCs w:val="28"/>
          <w:rtl/>
        </w:rPr>
        <w:t xml:space="preserve">تاریخ تأليف: ۱۴ رمضان ۹۶۱ رساله در بعضی اعمال که در روزها و شب های متبرک وارد شده و مخصوصا صيغ عقود و ایقاعات را بیشتر تفصیل داده است.</w:t>
      </w:r>
    </w:p>
    <w:p>
      <w:pPr>
        <w:pStyle w:val="BookText"/>
      </w:pPr>
      <w:r>
        <w:rPr>
          <w:rFonts w:ascii="IRNazanin" w:hAnsi="IRNazanin" w:eastAsia="IRNazanin" w:cs="IRNazanin"/>
          <w:lang w:bidi="fa-IR"/>
          <w:color w:val="111111"/>
          <w:sz w:val="28"/>
          <w:szCs w:val="28"/>
          <w:rtl/>
        </w:rPr>
        <w:t xml:space="preserve">قم؛ مرعشی؛ شماره نسخه:۲۷۸۵/۴</w:t>
      </w:r>
    </w:p>
    <w:p>
      <w:pPr>
        <w:pStyle w:val="BookText"/>
      </w:pPr>
      <w:r>
        <w:rPr>
          <w:rFonts w:ascii="IRNazanin" w:hAnsi="IRNazanin" w:eastAsia="IRNazanin" w:cs="IRNazanin"/>
          <w:lang w:bidi="fa-IR"/>
          <w:color w:val="111111"/>
          <w:sz w:val="28"/>
          <w:szCs w:val="28"/>
          <w:rtl/>
        </w:rPr>
        <w:t xml:space="preserve">آغاز: الحمدلله الذي جعل الليل و النهار خلفة لتبتغوا من فضله و فضل بعضها على بعض؛ انجام: و اجعلنا من الذين يستمعون القول فيتبعون أحسنه. خط: نسخ، كاتب = مؤلف، تا: ۱۴ رمضان ۹۶۱ق؛ جلد: تیماج قهوه ای بدون مقوا، ۲۵گ (۸۹پ -۱۱۳پ)، اندازه:۱۸/۵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۷-۳۴۹]</w:t>
      </w:r>
    </w:p>
    <w:p>
      <w:pPr>
        <w:pStyle w:val="BookText"/>
      </w:pPr>
      <w:r>
        <w:rPr>
          <w:rFonts w:ascii="IRNazanin" w:hAnsi="IRNazanin" w:eastAsia="IRNazanin" w:cs="IRNazanin"/>
          <w:lang w:bidi="fa-IR"/>
          <w:color w:val="111111"/>
          <w:sz w:val="28"/>
          <w:szCs w:val="28"/>
          <w:rtl/>
        </w:rPr>
        <w:t xml:space="preserve">← تجرید البلاغة ← اصول علم البلاغة</w:t>
      </w:r>
    </w:p>
    <w:p>
      <w:pPr>
        <w:pStyle w:val="Heading3"/>
      </w:pPr>
      <w:bookmarkStart w:id="3099" w:name="_Toc2359"/>
      <w:r>
        <w:t>•تجرید البيان في تجويد القرآن / تجوید / عربی</w:t>
      </w:r>
      <w:bookmarkEnd w:id="3099"/>
    </w:p>
    <w:p>
      <w:pPr>
        <w:pStyle w:val="BookText"/>
      </w:pPr>
      <w:r>
        <w:rPr>
          <w:rFonts w:ascii="Times New Roman" w:hAnsi="Times New Roman" w:eastAsia="Times New Roman" w:cs="Times New Roman"/>
          <w:lang w:val="en-US" w:bidi="en-US"/>
          <w:color w:val="111111"/>
          <w:sz w:val="28"/>
          <w:szCs w:val="28"/>
          <w:rtl/>
        </w:rPr>
        <w:t xml:space="preserve">tajrid-ul bayan fi tajwid-il qur'an</w:t>
      </w:r>
    </w:p>
    <w:p>
      <w:pPr>
        <w:pStyle w:val="BookText"/>
      </w:pPr>
      <w:r>
        <w:rPr>
          <w:rFonts w:ascii="IRNazanin" w:hAnsi="IRNazanin" w:eastAsia="IRNazanin" w:cs="IRNazanin"/>
          <w:lang w:bidi="fa-IR"/>
          <w:color w:val="111111"/>
          <w:sz w:val="28"/>
          <w:szCs w:val="28"/>
          <w:rtl/>
        </w:rPr>
        <w:t xml:space="preserve">رساله مختصر و دقیقی در آداب تلاوت و اصول و قواعد تجوید قرآن که به روش و سبک قدماء نوشته شده است.</w:t>
      </w:r>
    </w:p>
    <w:p>
      <w:pPr>
        <w:pStyle w:val="BookText"/>
      </w:pPr>
      <w:r>
        <w:rPr>
          <w:rFonts w:ascii="IRNazanin" w:hAnsi="IRNazanin" w:eastAsia="IRNazanin" w:cs="IRNazanin"/>
          <w:lang w:bidi="fa-IR"/>
          <w:color w:val="111111"/>
          <w:sz w:val="28"/>
          <w:szCs w:val="28"/>
          <w:rtl/>
        </w:rPr>
        <w:t xml:space="preserve">قزوین؛ امام صادق؛ شماره نسخه: ۴۸۵/۵</w:t>
      </w:r>
    </w:p>
    <w:p>
      <w:pPr>
        <w:pStyle w:val="BookText"/>
      </w:pPr>
      <w:r>
        <w:rPr>
          <w:rFonts w:ascii="IRNazanin" w:hAnsi="IRNazanin" w:eastAsia="IRNazanin" w:cs="IRNazanin"/>
          <w:lang w:bidi="fa-IR"/>
          <w:color w:val="111111"/>
          <w:sz w:val="28"/>
          <w:szCs w:val="28"/>
          <w:rtl/>
        </w:rPr>
        <w:t xml:space="preserve">آغاز: بسمله الحمدلله المنان علم القرآن خلق الانسان علمه البيان و نشهد ... و بعد فهذا تجريد البيان في تجويد القرآن حسب الإمكان و الله المستعان، باب آداب التلاوة؛ انجام: الثاني من مرقدنا في سورة يس، الثالث من في من راق في سورة القيامة، الرابع بل في بل ران في سورة المطففين، و الحمدلله رب العالمين وصلى الله على محمد وآله وصحبه اجمعين. خط: نسخ کهن معرب، كا: شعبان بن عثمان الفهدی، تا: ۱۰۹۶ق، جا: مصر؛ جلد: گالینگور سرخ، ۵گ [ف: ۱-۱۳۹۵]</w:t>
      </w:r>
    </w:p>
    <w:p>
      <w:pPr>
        <w:pStyle w:val="BookText"/>
      </w:pPr>
      <w:r>
        <w:rPr>
          <w:rFonts w:ascii="IRNazanin" w:hAnsi="IRNazanin" w:eastAsia="IRNazanin" w:cs="IRNazanin"/>
          <w:lang w:bidi="fa-IR"/>
          <w:color w:val="111111"/>
          <w:sz w:val="28"/>
          <w:szCs w:val="28"/>
          <w:rtl/>
        </w:rPr>
        <w:t xml:space="preserve">← تجريد التجويد← الملتقط من معانی حرز الامانی</w:t>
      </w:r>
    </w:p>
    <w:p>
      <w:pPr>
        <w:pStyle w:val="BookText"/>
      </w:pPr>
      <w:r>
        <w:rPr>
          <w:rFonts w:ascii="IRNazanin" w:hAnsi="IRNazanin" w:eastAsia="IRNazanin" w:cs="IRNazanin"/>
          <w:lang w:bidi="fa-IR"/>
          <w:color w:val="111111"/>
          <w:sz w:val="28"/>
          <w:szCs w:val="28"/>
          <w:rtl/>
        </w:rPr>
        <w:t xml:space="preserve">← تجرید جامع الأصول لاحاديث الرسول←تجريد الأصول في احاديث الرسول</w:t>
      </w:r>
    </w:p>
    <w:p>
      <w:pPr>
        <w:pStyle w:val="Heading3"/>
      </w:pPr>
      <w:bookmarkStart w:id="3100" w:name="_Toc2360"/>
      <w:r>
        <w:t>•تجريد الصارم الهندي / فقه / عربی</w:t>
      </w:r>
      <w:bookmarkEnd w:id="3100"/>
    </w:p>
    <w:p>
      <w:pPr>
        <w:pStyle w:val="BookText"/>
      </w:pPr>
      <w:r>
        <w:rPr>
          <w:rFonts w:ascii="Times New Roman" w:hAnsi="Times New Roman" w:eastAsia="Times New Roman" w:cs="Times New Roman"/>
          <w:lang w:val="en-US" w:bidi="en-US"/>
          <w:color w:val="111111"/>
          <w:sz w:val="28"/>
          <w:szCs w:val="28"/>
          <w:rtl/>
        </w:rPr>
        <w:t xml:space="preserve">tajrīd-uş şārum-ul hindī</w:t>
      </w:r>
    </w:p>
    <w:p>
      <w:pPr>
        <w:pStyle w:val="BookText"/>
      </w:pPr>
      <w:r>
        <w:rPr>
          <w:rFonts w:ascii="IRNazanin" w:hAnsi="IRNazanin" w:eastAsia="IRNazanin" w:cs="IRNazanin"/>
          <w:lang w:bidi="fa-IR"/>
          <w:color w:val="111111"/>
          <w:sz w:val="28"/>
          <w:szCs w:val="28"/>
          <w:rtl/>
        </w:rPr>
        <w:t xml:space="preserve">مشهد؛ رضوی؛ شماره نسخه:۲۶۶۷۶</w:t>
      </w:r>
    </w:p>
    <w:p>
      <w:pPr>
        <w:pStyle w:val="BookText"/>
      </w:pPr>
      <w:r>
        <w:rPr>
          <w:rFonts w:ascii="Amiri" w:hAnsi="Amiri" w:eastAsia="Amiri" w:cs="Amiri"/>
          <w:lang w:bidi="ar-SA"/>
          <w:color w:val="111111"/>
          <w:sz w:val="28"/>
          <w:szCs w:val="28"/>
          <w:rtl/>
        </w:rPr>
        <w:t xml:space="preserve">آغاز: بسمله. الحمد الله الذي نور ابصارنا بصائر الحق و اليقين و رفع عنها عشاوة؛ انجام: بالفضل و الكرام لا بالعدالة و ان يتفضل على ...</w:t>
      </w:r>
    </w:p>
    <w:p>
      <w:pPr>
        <w:pStyle w:val="BookText"/>
      </w:pPr>
      <w:r>
        <w:rPr>
          <w:rFonts w:ascii="IRNazanin" w:hAnsi="IRNazanin" w:eastAsia="IRNazanin" w:cs="IRNazanin"/>
          <w:lang w:bidi="fa-IR"/>
          <w:color w:val="111111"/>
          <w:sz w:val="28"/>
          <w:szCs w:val="28"/>
          <w:rtl/>
        </w:rPr>
        <w:t xml:space="preserve">خط: نسخ، بی کا، تا: قرن ۱۳؛ افتادگی: انجام؛ ضمیمه نسخه ش ۲۶۶۵۹؛ کاغذ: شکری، جلد: اسقاطی، ۲۰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[رایانه]</w:t>
      </w:r>
    </w:p>
    <w:p>
      <w:pPr>
        <w:pStyle w:val="BookText"/>
      </w:pPr>
      <w:r>
        <w:rPr>
          <w:rFonts w:ascii="IRNazanin" w:hAnsi="IRNazanin" w:eastAsia="IRNazanin" w:cs="IRNazanin"/>
          <w:lang w:bidi="fa-IR"/>
          <w:color w:val="111111"/>
          <w:sz w:val="28"/>
          <w:szCs w:val="28"/>
          <w:rtl/>
        </w:rPr>
        <w:t xml:space="preserve">← تجريد العقاید ← تجرید الاعتقاد</w:t>
      </w:r>
    </w:p>
    <w:p>
      <w:pPr>
        <w:pStyle w:val="Heading3"/>
      </w:pPr>
      <w:bookmarkStart w:id="3101" w:name="_Toc2361"/>
      <w:r>
        <w:t>•تجرید العقائد (منظوم) / کلام و اعتقادات / عربی</w:t>
      </w:r>
      <w:bookmarkEnd w:id="3101"/>
    </w:p>
    <w:p>
      <w:pPr>
        <w:pStyle w:val="BookText"/>
      </w:pPr>
      <w:r>
        <w:rPr>
          <w:rFonts w:ascii="Times New Roman" w:hAnsi="Times New Roman" w:eastAsia="Times New Roman" w:cs="Times New Roman"/>
          <w:lang w:val="en-US" w:bidi="en-US"/>
          <w:color w:val="111111"/>
          <w:sz w:val="28"/>
          <w:szCs w:val="28"/>
          <w:rtl/>
        </w:rPr>
        <w:t xml:space="preserve">tajrīd-ul 'aqā'id (manzūm)</w:t>
      </w:r>
    </w:p>
    <w:p>
      <w:pPr>
        <w:pStyle w:val="BookText"/>
      </w:pPr>
      <w:r>
        <w:rPr>
          <w:rFonts w:ascii="IRNazanin" w:hAnsi="IRNazanin" w:eastAsia="IRNazanin" w:cs="IRNazanin"/>
          <w:lang w:bidi="fa-IR"/>
          <w:color w:val="111111"/>
          <w:sz w:val="28"/>
          <w:szCs w:val="28"/>
          <w:rtl/>
        </w:rPr>
        <w:t xml:space="preserve">۱۴۳ بیت در علم کلام.</w:t>
      </w:r>
    </w:p>
    <w:p>
      <w:pPr>
        <w:pStyle w:val="BookText"/>
      </w:pPr>
      <w:r>
        <w:rPr>
          <w:rFonts w:ascii="IRNazanin" w:hAnsi="IRNazanin" w:eastAsia="IRNazanin" w:cs="IRNazanin"/>
          <w:lang w:bidi="fa-IR"/>
          <w:color w:val="111111"/>
          <w:sz w:val="28"/>
          <w:szCs w:val="28"/>
          <w:rtl/>
        </w:rPr>
        <w:t xml:space="preserve">شیراز؛ علامه طباطبائی؛ شماره نسخه: ۲۶۱/۲</w:t>
      </w:r>
    </w:p>
    <w:p>
      <w:pPr>
        <w:pStyle w:val="BookText"/>
      </w:pPr>
      <w:r>
        <w:rPr>
          <w:rFonts w:ascii="IRNazanin" w:hAnsi="IRNazanin" w:eastAsia="IRNazanin" w:cs="IRNazanin"/>
          <w:lang w:bidi="fa-IR"/>
          <w:color w:val="111111"/>
          <w:sz w:val="28"/>
          <w:szCs w:val="28"/>
          <w:rtl/>
        </w:rPr>
        <w:t xml:space="preserve">آغاز: اني بعون الملک الودود *** من بعد حمد الواجب الوجود / على انعمه و صلاتنا على *** سید انبيائه عين العلي خط: نسخ، كا: محمد بن دولت محمد کابلی، تا: ۲۲ جمادی الاول ۱۲۲۰ق؛ ۱۰گ (۱۷۲-۱۸۱)،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[نسخه پژوهی: ۳-۸۶]</w:t>
      </w:r>
    </w:p>
    <w:p>
      <w:pPr>
        <w:pStyle w:val="Heading3"/>
      </w:pPr>
      <w:bookmarkStart w:id="3102" w:name="_Toc2362"/>
      <w:r>
        <w:t>• تجريد في اعراب كلمة التوحيد / حديث / عربی</w:t>
      </w:r>
      <w:bookmarkEnd w:id="3102"/>
    </w:p>
    <w:p>
      <w:pPr>
        <w:pStyle w:val="BookText"/>
      </w:pPr>
      <w:r>
        <w:rPr>
          <w:rFonts w:ascii="Times New Roman" w:hAnsi="Times New Roman" w:eastAsia="Times New Roman" w:cs="Times New Roman"/>
          <w:lang w:val="en-US" w:bidi="en-US"/>
          <w:color w:val="111111"/>
          <w:sz w:val="28"/>
          <w:szCs w:val="28"/>
          <w:rtl/>
        </w:rPr>
        <w:t xml:space="preserve">tajrīd-un fi i'rāb-i kalimat-it tawḥīd</w:t>
      </w:r>
    </w:p>
    <w:p>
      <w:pPr>
        <w:pStyle w:val="BookText"/>
      </w:pPr>
      <w:r>
        <w:rPr>
          <w:rFonts w:ascii="IRNazanin" w:hAnsi="IRNazanin" w:eastAsia="IRNazanin" w:cs="IRNazanin"/>
          <w:lang w:bidi="fa-IR"/>
          <w:color w:val="111111"/>
          <w:sz w:val="28"/>
          <w:szCs w:val="28"/>
          <w:rtl/>
        </w:rPr>
        <w:t xml:space="preserve">قاری هروی، علی بن سلطان محمد، -۱۰۱۴ قمری</w:t>
      </w:r>
    </w:p>
    <w:p>
      <w:pPr>
        <w:pStyle w:val="BookText"/>
      </w:pPr>
      <w:r>
        <w:rPr>
          <w:rFonts w:ascii="Times New Roman" w:hAnsi="Times New Roman" w:eastAsia="Times New Roman" w:cs="Times New Roman"/>
          <w:lang w:val="en-US" w:bidi="en-US"/>
          <w:color w:val="111111"/>
          <w:sz w:val="28"/>
          <w:szCs w:val="28"/>
          <w:rtl/>
        </w:rPr>
        <w:t xml:space="preserve">qārī heravī, ‘alī ebn-e soltān mohammad (-1606)</w:t>
      </w:r>
    </w:p>
    <w:p>
      <w:pPr>
        <w:pStyle w:val="BookText"/>
      </w:pPr>
      <w:r>
        <w:rPr>
          <w:rFonts w:ascii="Amiri" w:hAnsi="Amiri" w:eastAsia="Amiri" w:cs="Amiri"/>
          <w:lang w:bidi="ar-SA"/>
          <w:color w:val="111111"/>
          <w:sz w:val="28"/>
          <w:szCs w:val="28"/>
          <w:rtl/>
        </w:rPr>
        <w:t xml:space="preserve">آغاز: بسمله. الحمدالله العلى الأعلى الذى اعلى كلمة العليا و جعل</w:t>
      </w:r>
    </w:p>
    <w:p>
      <w:pPr>
        <w:pStyle w:val="BookText"/>
      </w:pPr>
      <w:r>
        <w:rPr>
          <w:rFonts w:ascii="IRNazanin" w:hAnsi="IRNazanin" w:eastAsia="IRNazanin" w:cs="IRNazanin"/>
          <w:lang w:bidi="fa-IR"/>
          <w:color w:val="111111"/>
          <w:sz w:val="28"/>
          <w:szCs w:val="28"/>
          <w:rtl/>
        </w:rPr>
        <w:t xml:space="preserve">١. مشهد؛ رضوی؛ شماره نسخه:۲۲۱۲۷</w:t>
      </w:r>
    </w:p>
    <w:p>
      <w:pPr>
        <w:pStyle w:val="BookText"/>
      </w:pPr>
      <w:r>
        <w:rPr>
          <w:rFonts w:ascii="IRNazanin" w:hAnsi="IRNazanin" w:eastAsia="IRNazanin" w:cs="IRNazanin"/>
          <w:lang w:bidi="fa-IR"/>
          <w:color w:val="111111"/>
          <w:sz w:val="28"/>
          <w:szCs w:val="28"/>
          <w:rtl/>
        </w:rPr>
        <w:t xml:space="preserve">آغاز: برابر؛ انجام: و لا تحرمنا من البركات الشيخ محمد امین صدیقی خط: نسخ، كا: صدیقی، محمد امین، تا: ۱۰۱۲ق؛ کاغذ: نخودی، جلد: مقوا، ۱۹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[رایانه]</w:t>
      </w:r>
    </w:p>
    <w:p>
      <w:pPr>
        <w:pStyle w:val="BookText"/>
      </w:pPr>
      <w:r>
        <w:rPr>
          <w:rFonts w:ascii="IRNazanin" w:hAnsi="IRNazanin" w:eastAsia="IRNazanin" w:cs="IRNazanin"/>
          <w:lang w:bidi="fa-IR"/>
          <w:color w:val="111111"/>
          <w:sz w:val="28"/>
          <w:szCs w:val="28"/>
          <w:rtl/>
        </w:rPr>
        <w:t xml:space="preserve">۲. مشهد؛ رضوی؛ شماره نسخه: ۲۲۱۲۰</w:t>
      </w:r>
    </w:p>
    <w:p>
      <w:pPr>
        <w:pStyle w:val="BookText"/>
      </w:pPr>
      <w:r>
        <w:rPr>
          <w:rFonts w:ascii="IRNazanin" w:hAnsi="IRNazanin" w:eastAsia="IRNazanin" w:cs="IRNazanin"/>
          <w:lang w:bidi="fa-IR"/>
          <w:color w:val="111111"/>
          <w:sz w:val="28"/>
          <w:szCs w:val="28"/>
          <w:rtl/>
        </w:rPr>
        <w:t xml:space="preserve">آغاز: برابر؛ انجام: و الحمد الله اولا و آخرا تمت كاتبه غفر الله امین</w:t>
      </w:r>
    </w:p>
    <w:p>
      <w:pPr>
        <w:pStyle w:val="BookText"/>
      </w:pPr>
      <w:r>
        <w:rPr>
          <w:rFonts w:ascii="IRNazanin" w:hAnsi="IRNazanin" w:eastAsia="IRNazanin" w:cs="IRNazanin"/>
          <w:lang w:bidi="fa-IR"/>
          <w:color w:val="111111"/>
          <w:sz w:val="28"/>
          <w:szCs w:val="28"/>
          <w:rtl/>
        </w:rPr>
        <w:t xml:space="preserve">خط: نسخ، بی کا، تا: ۱۰۱۲ق؛ کاغذ: نخودی، جلد: مقوا، ۱۹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[رایانه]</w:t>
      </w:r>
    </w:p>
    <w:p>
      <w:pPr>
        <w:pStyle w:val="Heading3"/>
      </w:pPr>
      <w:bookmarkStart w:id="3103" w:name="_Toc2363"/>
      <w:r>
        <w:t>•التجريد في التجويد / تجوید / عربی</w:t>
      </w:r>
      <w:bookmarkEnd w:id="3103"/>
    </w:p>
    <w:p>
      <w:pPr>
        <w:pStyle w:val="BookText"/>
      </w:pPr>
      <w:r>
        <w:rPr>
          <w:rFonts w:ascii="Times New Roman" w:hAnsi="Times New Roman" w:eastAsia="Times New Roman" w:cs="Times New Roman"/>
          <w:lang w:val="en-US" w:bidi="en-US"/>
          <w:color w:val="111111"/>
          <w:sz w:val="28"/>
          <w:szCs w:val="28"/>
          <w:rtl/>
        </w:rPr>
        <w:t xml:space="preserve">at-tajrīd fi-t tajwid</w:t>
      </w:r>
    </w:p>
    <w:p>
      <w:pPr>
        <w:pStyle w:val="BookText"/>
      </w:pPr>
      <w:r>
        <w:rPr>
          <w:rFonts w:ascii="IRNazanin" w:hAnsi="IRNazanin" w:eastAsia="IRNazanin" w:cs="IRNazanin"/>
          <w:lang w:bidi="fa-IR"/>
          <w:color w:val="111111"/>
          <w:sz w:val="28"/>
          <w:szCs w:val="28"/>
          <w:rtl/>
        </w:rPr>
        <w:t xml:space="preserve">«التجرید» ابی عمرو دانی رساله ای است مفصل در تجوید. این نسخه با توجه به محتوا و ابواب (احتمالا) گزیده کتاب «تجرید» دانی می باشد که ابواب و فصول آن چنین است: باب ذكر ما ينبغي للقاری ان يأخذ نفسه به من استعمال تجويد اللفظ بالحروف على عينها باب ذکر مخارج حروف المعجم و تفصيلها؛ ذكر اصناف هذه الحروف و اجناسها؛ فصل في ختم
</w:t>
      </w:r>
    </w:p>
    <w:p>
      <w:pPr>
        <w:sectPr>
          <w:footerReference w:type="default" r:id="rId971"/>
          <w:footnotePr>
            <w:numStart w:val="1"/>
            <w:numRestart w:val="eachPage"/>
          </w:footnotePr>
          <w:pgSz w:orient="portrait" w:w="11905.511811023622" w:h="16837.79527559055"/>
          <w:pgMar w:top="1440" w:right="1440" w:bottom="1440" w:left="1440" w:header="720" w:footer="720" w:gutter="0"/>
          <w:cols w:num="1" w:space="720"/>
        </w:sectPr>
      </w:pPr>
    </w:p>
    <w:bookmarkStart w:id="727" w:name="pg20363_210089"/>
    <w:bookmarkEnd w:id="727"/>
    <w:p>
      <w:pPr>
        <w:pStyle w:val="BookText"/>
      </w:pPr>
      <w:r>
        <w:rPr>
          <w:rFonts w:ascii="IRNazanin" w:hAnsi="IRNazanin" w:eastAsia="IRNazanin" w:cs="IRNazanin"/>
          <w:lang w:bidi="fa-IR"/>
          <w:color w:val="111111"/>
          <w:sz w:val="28"/>
          <w:szCs w:val="28"/>
          <w:rtl/>
        </w:rPr>
        <w:t xml:space="preserve">الكتاب به «قصيدة الرائيه = الخاقانية» لابی مزاحم موسی بن عبيد الله خاقانی (۳۲۵ق.)، در ۵۲ بیت با مطلع: «اقول قولا معجبة الأولى الحجر ولا فخر ان الفخر يدعو الى الكبر»..</w:t>
      </w:r>
    </w:p>
    <w:p>
      <w:pPr>
        <w:pStyle w:val="BookText"/>
      </w:pPr>
      <w:r>
        <w:rPr>
          <w:rFonts w:ascii="IRNazanin" w:hAnsi="IRNazanin" w:eastAsia="IRNazanin" w:cs="IRNazanin"/>
          <w:lang w:bidi="fa-IR"/>
          <w:color w:val="111111"/>
          <w:sz w:val="28"/>
          <w:szCs w:val="28"/>
          <w:rtl/>
        </w:rPr>
        <w:t xml:space="preserve">مشهد؛ رضوی؛ شماره نسخه:۴۰۰۸۴/۶</w:t>
      </w:r>
    </w:p>
    <w:p>
      <w:pPr>
        <w:pStyle w:val="BookText"/>
      </w:pPr>
      <w:r>
        <w:rPr>
          <w:rFonts w:ascii="IRNazanin" w:hAnsi="IRNazanin" w:eastAsia="IRNazanin" w:cs="IRNazanin"/>
          <w:lang w:bidi="fa-IR"/>
          <w:color w:val="111111"/>
          <w:sz w:val="28"/>
          <w:szCs w:val="28"/>
          <w:rtl/>
        </w:rPr>
        <w:t xml:space="preserve">بی کا، بی تا، اهدایی: رهبری، دی ۱۳۸۰؛ کاغذ: نخودی آهار مهره، جلد: تیماج سبز فرنگی[ اهدائی رهبر: ۱ علوم قرآن -۳۳۵]</w:t>
      </w:r>
    </w:p>
    <w:p>
      <w:pPr>
        <w:pStyle w:val="Heading3"/>
      </w:pPr>
      <w:bookmarkStart w:id="3104" w:name="_Toc2364"/>
      <w:r>
        <w:t>•التجريد في المحاسن و التفريد اعربی</w:t>
      </w:r>
      <w:bookmarkEnd w:id="3104"/>
    </w:p>
    <w:p>
      <w:pPr>
        <w:pStyle w:val="BookText"/>
      </w:pPr>
      <w:r>
        <w:rPr>
          <w:rFonts w:ascii="Times New Roman" w:hAnsi="Times New Roman" w:eastAsia="Times New Roman" w:cs="Times New Roman"/>
          <w:lang w:val="en-US" w:bidi="en-US"/>
          <w:color w:val="111111"/>
          <w:sz w:val="28"/>
          <w:szCs w:val="28"/>
          <w:rtl/>
        </w:rPr>
        <w:t xml:space="preserve">at-tajrīd fi-l maḥāsin wa-t tafrīd</w:t>
      </w:r>
    </w:p>
    <w:p>
      <w:pPr>
        <w:pStyle w:val="BookText"/>
      </w:pPr>
      <w:r>
        <w:rPr>
          <w:rFonts w:ascii="IRNazanin" w:hAnsi="IRNazanin" w:eastAsia="IRNazanin" w:cs="IRNazanin"/>
          <w:lang w:bidi="fa-IR"/>
          <w:color w:val="111111"/>
          <w:sz w:val="28"/>
          <w:szCs w:val="28"/>
          <w:rtl/>
        </w:rPr>
        <w:t xml:space="preserve">مؤلف که نامش مشخص نیست در آغاز از تألیف دیگر خود به نام «الطيف في الطيب» نام می برد.</w:t>
      </w:r>
    </w:p>
    <w:p>
      <w:pPr>
        <w:pStyle w:val="BookText"/>
      </w:pPr>
      <w:r>
        <w:rPr>
          <w:rFonts w:ascii="IRNazanin" w:hAnsi="IRNazanin" w:eastAsia="IRNazanin" w:cs="IRNazanin"/>
          <w:lang w:bidi="fa-IR"/>
          <w:color w:val="111111"/>
          <w:sz w:val="28"/>
          <w:szCs w:val="28"/>
          <w:rtl/>
        </w:rPr>
        <w:t xml:space="preserve">تهران؛ مجلس؛ شماره نسخه:۱۷۲۸۵</w:t>
      </w:r>
    </w:p>
    <w:p>
      <w:pPr>
        <w:pStyle w:val="BookText"/>
      </w:pPr>
      <w:r>
        <w:rPr>
          <w:rFonts w:ascii="IRNazanin" w:hAnsi="IRNazanin" w:eastAsia="IRNazanin" w:cs="IRNazanin"/>
          <w:lang w:bidi="fa-IR"/>
          <w:color w:val="111111"/>
          <w:sz w:val="28"/>
          <w:szCs w:val="28"/>
          <w:rtl/>
        </w:rPr>
        <w:t xml:space="preserve">بی کا، تا: ۹۹۹ق [د.ث. مجلس]</w:t>
      </w:r>
    </w:p>
    <w:p>
      <w:pPr>
        <w:pStyle w:val="Heading3"/>
      </w:pPr>
      <w:bookmarkStart w:id="3105" w:name="_Toc2365"/>
      <w:r>
        <w:t>•التجريد في كلمة التوحيد / عرفان و تصوف / عربی</w:t>
      </w:r>
      <w:bookmarkEnd w:id="3105"/>
    </w:p>
    <w:p>
      <w:pPr>
        <w:pStyle w:val="BookText"/>
      </w:pPr>
      <w:r>
        <w:rPr>
          <w:rFonts w:ascii="Times New Roman" w:hAnsi="Times New Roman" w:eastAsia="Times New Roman" w:cs="Times New Roman"/>
          <w:lang w:val="en-US" w:bidi="en-US"/>
          <w:color w:val="111111"/>
          <w:sz w:val="28"/>
          <w:szCs w:val="28"/>
          <w:rtl/>
        </w:rPr>
        <w:t xml:space="preserve">at-tajrīd fī kalimat-it tawḥīd</w:t>
      </w:r>
    </w:p>
    <w:p>
      <w:pPr>
        <w:pStyle w:val="BookText"/>
      </w:pPr>
      <w:r>
        <w:rPr>
          <w:rFonts w:ascii="IRNazanin" w:hAnsi="IRNazanin" w:eastAsia="IRNazanin" w:cs="IRNazanin"/>
          <w:lang w:bidi="fa-IR"/>
          <w:color w:val="111111"/>
          <w:sz w:val="28"/>
          <w:szCs w:val="28"/>
          <w:rtl/>
        </w:rPr>
        <w:t xml:space="preserve">غزالی، احمد بن محمد، - ۵۲۰ قمری</w:t>
      </w:r>
    </w:p>
    <w:p>
      <w:pPr>
        <w:pStyle w:val="BookText"/>
      </w:pPr>
      <w:r>
        <w:rPr>
          <w:rFonts w:ascii="Times New Roman" w:hAnsi="Times New Roman" w:eastAsia="Times New Roman" w:cs="Times New Roman"/>
          <w:lang w:val="en-US" w:bidi="en-US"/>
          <w:color w:val="111111"/>
          <w:sz w:val="28"/>
          <w:szCs w:val="28"/>
          <w:rtl/>
        </w:rPr>
        <w:t xml:space="preserve">qazālī, ahmad ebn-e mohammad (-1127)</w:t>
      </w:r>
    </w:p>
    <w:p>
      <w:pPr>
        <w:pStyle w:val="BookText"/>
      </w:pPr>
      <w:r>
        <w:rPr>
          <w:rFonts w:ascii="IRNazanin" w:hAnsi="IRNazanin" w:eastAsia="IRNazanin" w:cs="IRNazanin"/>
          <w:lang w:bidi="fa-IR"/>
          <w:color w:val="111111"/>
          <w:sz w:val="28"/>
          <w:szCs w:val="28"/>
          <w:rtl/>
        </w:rPr>
        <w:t xml:space="preserve">رساله عرفانی کوتاهی است در اسرار کلمه توحید و در شرح روایت «کلمة لا اله الا الله حصنی فمن دخل حصني أمن من عذابی»؛ در چند فصل. آغاز: بسمله ... قال الشيخ الامام ... في الحديث الصحيح و النقل الوارد الصريح عن سيد البشر محمد المصطفى صلى الله عليه و سلم قال أخبار عن الله تعالى: لا اله الا الله حصنی ... انجام: فصل لا اله الا الله حصنی و من دخل حصني أمن من عذابی جعلنا الله ممن دخل حصنه بمنه و کرمه و رزقنا معانی ابراره بمنه و کرمه و جوده و نعمه. چاپ: مصر، مطبعة التضامن الاخوی، نشر ضمن مجموعة أولها: جواهر الاطلاع ودرر الانتفاع على متن الأصفهانی ابی شجاع المصطفى بن يوسف سلام الجيزاوی، ۱۳۵۰ق.</w:t>
      </w:r>
    </w:p>
    <w:p>
      <w:pPr>
        <w:pStyle w:val="BookText"/>
      </w:pPr>
      <w:r>
        <w:rPr>
          <w:rFonts w:ascii="IRNazanin" w:hAnsi="IRNazanin" w:eastAsia="IRNazanin" w:cs="IRNazanin"/>
          <w:lang w:bidi="fa-IR"/>
          <w:color w:val="111111"/>
          <w:sz w:val="28"/>
          <w:szCs w:val="28"/>
          <w:rtl/>
        </w:rPr>
        <w:t xml:space="preserve">[ نسخه های دیگر التجريد غزالی چنین است: ۱-بلدیه استانبول (1: ۳۸۴ و ۶۰۴۰۲ فهرست)، ۲-اسكوريال (۲ش ۷۶۲/۱ و ش ۱۵۶۶/۱ )، 3 بورسه-اولو جامع در مجموعه ۱۶۹۵، ۴-ایاصوفيا ۶۷/1، ۵-ديوان هند ۲ش ۱۲۴۱ و ۲۹۱/۷ و ۶۹۴/۵ ، ۶-بانکی پور ۱۵: ۹۵۹/۵ ، ۷-برلین ۲۵۹۵ و ۳۴۰۹، ۸-بنگال ۱: ۵۵۱ ش ۱۰۶۷ (۵۸۸-۱)، ۹- پاریس ۱: ۱۲۴۸۲ و ۵۲۹۶، ۱۰ بغداد، جبوری ۱۶۷/۲ ، ۱۱- ماخ ۲۳۶۵، ۱۲-گارت ۲۰۰۳/۹ ، ۱۳-واتیکان ۱۲۵۳/۱ ؛ کشف الظنون ۳۵۱/۱ ؛ قاهره، فؤاد سید ۱۲۶/۱ ؛ دنا ۷۹۸/۲ (۸ نسخه)]</w:t>
      </w:r>
    </w:p>
    <w:p>
      <w:pPr>
        <w:pStyle w:val="BookText"/>
      </w:pPr>
      <w:r>
        <w:rPr>
          <w:rFonts w:ascii="IRNazanin" w:hAnsi="IRNazanin" w:eastAsia="IRNazanin" w:cs="IRNazanin"/>
          <w:lang w:bidi="fa-IR"/>
          <w:color w:val="111111"/>
          <w:sz w:val="28"/>
          <w:szCs w:val="28"/>
          <w:rtl/>
        </w:rPr>
        <w:t xml:space="preserve">۱. قم؛ مرعشی؛ شماره نسخه:۹۲۷۷</w:t>
      </w:r>
    </w:p>
    <w:p>
      <w:pPr>
        <w:pStyle w:val="BookText"/>
      </w:pPr>
      <w:r>
        <w:rPr>
          <w:rFonts w:ascii="IRNazanin" w:hAnsi="IRNazanin" w:eastAsia="IRNazanin" w:cs="IRNazanin"/>
          <w:lang w:bidi="fa-IR"/>
          <w:color w:val="111111"/>
          <w:sz w:val="28"/>
          <w:szCs w:val="28"/>
          <w:rtl/>
        </w:rPr>
        <w:t xml:space="preserve">انجام: فصل کاشف القلوب يقول لا اله الا الله و کاشف الأرواح</w:t>
      </w:r>
    </w:p>
    <w:p>
      <w:pPr>
        <w:pStyle w:val="BookText"/>
      </w:pPr>
      <w:r>
        <w:rPr>
          <w:rFonts w:ascii="IRNazanin" w:hAnsi="IRNazanin" w:eastAsia="IRNazanin" w:cs="IRNazanin"/>
          <w:lang w:bidi="fa-IR"/>
          <w:color w:val="111111"/>
          <w:sz w:val="28"/>
          <w:szCs w:val="28"/>
          <w:rtl/>
        </w:rPr>
        <w:t xml:space="preserve">يقول. خط: نسخ نازیبا، بی کا، تا: قرن ۸ افتادگی: انجام، مصحح؛ جلد: مقوایی عطف تیماج قرمز، ۱۷ ، ۱۷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۲۴-۶۷]</w:t>
      </w:r>
    </w:p>
    <w:p>
      <w:pPr>
        <w:pStyle w:val="BookText"/>
      </w:pPr>
      <w:r>
        <w:rPr>
          <w:rFonts w:ascii="IRNazanin" w:hAnsi="IRNazanin" w:eastAsia="IRNazanin" w:cs="IRNazanin"/>
          <w:lang w:bidi="fa-IR"/>
          <w:color w:val="111111"/>
          <w:sz w:val="28"/>
          <w:szCs w:val="28"/>
          <w:rtl/>
        </w:rPr>
        <w:t xml:space="preserve">۲. قم؛ مرعشی؛ شماره نسخه: ۱۱۶۸/۱۶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نسخه اصل: کتابخانه چستربیتی ش ۳۴۸۶؛ خط: نسخ، بی کا، تا: با تاریخ ۸۸۴ق؛ ۱۸ص (۱۳۹-۱۵۶) [عکسی ف: ۳-۳۶۹]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 ۱۵۶۶۶/۱</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مایل به نسخ، بی کا، تا: قرن ۱۰؛ جلد: مقوایی با روکش کاغذی عطف تیماج مشکی، ۲۰گ (۳پ -۲۲پ)، ۱۷ سطر، اندازه: ۱۹/۳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۱۳/۴ سم [ف: ۴۳-۲۲۸]</w:t>
      </w:r>
    </w:p>
    <w:p>
      <w:pPr>
        <w:pStyle w:val="BookText"/>
      </w:pPr>
      <w:r>
        <w:rPr>
          <w:rFonts w:ascii="IRNazanin" w:hAnsi="IRNazanin" w:eastAsia="IRNazanin" w:cs="IRNazanin"/>
          <w:lang w:bidi="fa-IR"/>
          <w:color w:val="111111"/>
          <w:sz w:val="28"/>
          <w:szCs w:val="28"/>
          <w:rtl/>
        </w:rPr>
        <w:t xml:space="preserve">۴. تهران؛ ملک؛ شماره نسخه: ۴۰۴۴/۸</w:t>
      </w:r>
    </w:p>
    <w:p>
      <w:pPr>
        <w:pStyle w:val="BookText"/>
      </w:pPr>
      <w:r>
        <w:rPr>
          <w:rFonts w:ascii="IRNazanin" w:hAnsi="IRNazanin" w:eastAsia="IRNazanin" w:cs="IRNazanin"/>
          <w:lang w:bidi="fa-IR"/>
          <w:color w:val="111111"/>
          <w:sz w:val="28"/>
          <w:szCs w:val="28"/>
          <w:rtl/>
        </w:rPr>
        <w:t xml:space="preserve">خط: نستعلیق، کا: نظام الدین بن حيی استر آبادی، تا: نیمه جمادی الثانی ۱۱۷ق، جان حلب در مسجد شیخ یوسف عقاد حریری؛ مجدول؛ کاغذ: پسته ای، جلد: میشن سیاه، ۲۳ سطر، اندازه: ۲۱/۴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 [ف: ۷-۱۶۳]</w:t>
      </w:r>
    </w:p>
    <w:p>
      <w:pPr>
        <w:pStyle w:val="BookText"/>
      </w:pPr>
      <w:r>
        <w:rPr>
          <w:rFonts w:ascii="IRNazanin" w:hAnsi="IRNazanin" w:eastAsia="IRNazanin" w:cs="IRNazanin"/>
          <w:lang w:bidi="fa-IR"/>
          <w:color w:val="111111"/>
          <w:sz w:val="28"/>
          <w:szCs w:val="28"/>
          <w:rtl/>
        </w:rPr>
        <w:t xml:space="preserve">۵. تهران، دانشگاه؛ شماره نسخه: ۴۱۹۰/۱ -ف</w:t>
      </w:r>
    </w:p>
    <w:p>
      <w:pPr>
        <w:pStyle w:val="BookText"/>
      </w:pPr>
      <w:r>
        <w:rPr>
          <w:rFonts w:ascii="Amiri" w:hAnsi="Amiri" w:eastAsia="Amiri" w:cs="Amiri"/>
          <w:lang w:bidi="ar-SA"/>
          <w:color w:val="111111"/>
          <w:sz w:val="28"/>
          <w:szCs w:val="28"/>
          <w:rtl/>
        </w:rPr>
        <w:t xml:space="preserve">نسخه اصل: همان نسخه بالا [فيلمها ف: ۳-۲۸]</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قم؛ مرعشی؛ شماره نسخه: ۲۰۳۲/۱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جلد: مقوایی عطف پارچه قرمز، ۲۱گ(۶پ -۲۶ر)، ۱۷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۶-۳۷]</w:t>
      </w:r>
    </w:p>
    <w:p>
      <w:pPr>
        <w:pStyle w:val="BookText"/>
      </w:pPr>
      <w:r>
        <w:rPr>
          <w:rFonts w:ascii="IRNazanin" w:hAnsi="IRNazanin" w:eastAsia="IRNazanin" w:cs="IRNazanin"/>
          <w:lang w:bidi="fa-IR"/>
          <w:color w:val="111111"/>
          <w:sz w:val="28"/>
          <w:szCs w:val="28"/>
          <w:rtl/>
        </w:rPr>
        <w:t xml:space="preserve">۷. مشهد؛ رضوی؛ شماره نسخه:۱۲۷۲۹</w:t>
      </w:r>
    </w:p>
    <w:p>
      <w:pPr>
        <w:pStyle w:val="BookText"/>
      </w:pPr>
      <w:r>
        <w:rPr>
          <w:rFonts w:ascii="Amiri" w:hAnsi="Amiri" w:eastAsia="Amiri" w:cs="Amiri"/>
          <w:lang w:bidi="ar-SA"/>
          <w:color w:val="111111"/>
          <w:sz w:val="28"/>
          <w:szCs w:val="28"/>
          <w:rtl/>
        </w:rPr>
        <w:t xml:space="preserve">آغاز: بسمله، اللهم صل على سيدنا محمد و آله ... قال الشيخ الامام جنال الاسلام ابو العباس؛ انجام: برابر</w:t>
      </w:r>
    </w:p>
    <w:p>
      <w:pPr>
        <w:pStyle w:val="BookText"/>
      </w:pPr>
      <w:r>
        <w:rPr>
          <w:rFonts w:ascii="IRNazanin" w:hAnsi="IRNazanin" w:eastAsia="IRNazanin" w:cs="IRNazanin"/>
          <w:lang w:bidi="fa-IR"/>
          <w:color w:val="111111"/>
          <w:sz w:val="28"/>
          <w:szCs w:val="28"/>
          <w:rtl/>
        </w:rPr>
        <w:t xml:space="preserve">خط: نسخ، بی کا، بیتا [الفبائی:- ۱۵۰]</w:t>
      </w:r>
    </w:p>
    <w:p>
      <w:pPr>
        <w:pStyle w:val="BookText"/>
      </w:pPr>
      <w:r>
        <w:rPr>
          <w:rFonts w:ascii="IRNazanin" w:hAnsi="IRNazanin" w:eastAsia="IRNazanin" w:cs="IRNazanin"/>
          <w:lang w:bidi="fa-IR"/>
          <w:color w:val="111111"/>
          <w:sz w:val="28"/>
          <w:szCs w:val="28"/>
          <w:rtl/>
        </w:rPr>
        <w:t xml:space="preserve">۸. تهران؛ ملک؛ شماره نسخه: ۴۰۵۷/۱۱۷</w:t>
      </w:r>
    </w:p>
    <w:p>
      <w:pPr>
        <w:pStyle w:val="BookText"/>
      </w:pPr>
      <w:r>
        <w:rPr>
          <w:rFonts w:ascii="IRNazanin" w:hAnsi="IRNazanin" w:eastAsia="IRNazanin" w:cs="IRNazanin"/>
          <w:lang w:bidi="fa-IR"/>
          <w:color w:val="111111"/>
          <w:sz w:val="28"/>
          <w:szCs w:val="28"/>
          <w:rtl/>
        </w:rPr>
        <w:t xml:space="preserve">آغاز: قيل المريد الذي مات قبله عن كل شيئي دون الله؛ انجام: و دعوة الحق و الحصن الحصين جعلنا الله و ایاکم من دخل حصن الله بمنه و کرمه.</w:t>
      </w:r>
    </w:p>
    <w:p>
      <w:pPr>
        <w:pStyle w:val="BookText"/>
      </w:pPr>
      <w:r>
        <w:rPr>
          <w:rFonts w:ascii="IRNazanin" w:hAnsi="IRNazanin" w:eastAsia="IRNazanin" w:cs="IRNazanin"/>
          <w:lang w:bidi="fa-IR"/>
          <w:color w:val="111111"/>
          <w:sz w:val="28"/>
          <w:szCs w:val="28"/>
          <w:rtl/>
        </w:rPr>
        <w:t xml:space="preserve">خط: شکسته نستعلیق، كا: حاج محمد زمان بن کلبعلی متطبب خراسانی، بی تا، کاغذ: قورخانه، جلد: میشن قهوه ای، اگ (۲۱۸ر -۲۱۹ر)،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 سم [ف: ۷-۱۹۲]</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مجلس؛ شماره نسخه:۱۰۵۲۷/۶</w:t>
      </w:r>
    </w:p>
    <w:p>
      <w:pPr>
        <w:pStyle w:val="BookText"/>
      </w:pPr>
      <w:r>
        <w:rPr>
          <w:rFonts w:ascii="IRNazanin" w:hAnsi="IRNazanin" w:eastAsia="IRNazanin" w:cs="IRNazanin"/>
          <w:lang w:bidi="fa-IR"/>
          <w:color w:val="111111"/>
          <w:sz w:val="28"/>
          <w:szCs w:val="28"/>
          <w:rtl/>
        </w:rPr>
        <w:t xml:space="preserve">آغاز: برابر؛ انجام: جعلنا الله و اياكم ممن دخل حصن الله بمنه و کرمه و احسانه بداية ونهاية و رزقنا معانی اسراره بفضله و رحمته. خط: نستعلیق، كا: الحاج محمد سعید، بی تا، در ادامه چند صفحه ای در تلخيص برخی آثار و نظرات محی الدین عربی و رساله «غوثيه» ابن عربی آمده؛ جلد: مقوا با روکش اسلیمی، ۱۵گ (۱۲۵-۱۳۹ر)،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۳۳/۱-۷۷]</w:t>
      </w:r>
    </w:p>
    <w:p>
      <w:pPr>
        <w:pStyle w:val="BookText"/>
      </w:pPr>
      <w:r>
        <w:rPr>
          <w:rFonts w:ascii="IRNazanin" w:hAnsi="IRNazanin" w:eastAsia="IRNazanin" w:cs="IRNazanin"/>
          <w:lang w:bidi="fa-IR"/>
          <w:color w:val="111111"/>
          <w:sz w:val="28"/>
          <w:szCs w:val="28"/>
          <w:rtl/>
        </w:rPr>
        <w:t xml:space="preserve">۱۰. تهران؛ مجلس؛ شماره نسخه: ۱۲۰۰۶/۱۰
</w:t>
      </w:r>
    </w:p>
    <w:p>
      <w:pPr>
        <w:sectPr>
          <w:footerReference w:type="default" r:id="rId972"/>
          <w:footnotePr>
            <w:numStart w:val="1"/>
            <w:numRestart w:val="eachPage"/>
          </w:footnotePr>
          <w:pgSz w:orient="portrait" w:w="11905.511811023622" w:h="16837.79527559055"/>
          <w:pgMar w:top="1440" w:right="1440" w:bottom="1440" w:left="1440" w:header="720" w:footer="720" w:gutter="0"/>
          <w:cols w:num="1" w:space="720"/>
        </w:sectPr>
      </w:pPr>
    </w:p>
    <w:bookmarkStart w:id="728" w:name="pg20363_210090"/>
    <w:bookmarkEnd w:id="728"/>
    <w:p>
      <w:pPr>
        <w:pStyle w:val="BookText"/>
      </w:pPr>
      <w:r>
        <w:rPr>
          <w:rFonts w:ascii="IRNazanin" w:hAnsi="IRNazanin" w:eastAsia="IRNazanin" w:cs="IRNazanin"/>
          <w:lang w:bidi="fa-IR"/>
          <w:color w:val="111111"/>
          <w:sz w:val="28"/>
          <w:szCs w:val="28"/>
          <w:rtl/>
        </w:rPr>
        <w:t xml:space="preserve">آغاز: اعلم أن هذا الحصن متحصن في مدينة انشأنك في ولاية القلب و كل من في هذه المدينة من سمع و بصر و ید و رجل؛ انجام: و ایاکم ممن دخل حصن الله بمنه و کرمه و رزقنا الله تعالی معانی اسراره بفضله و رحمته انه کریم جواد. خط: نسخ، بی کا، بی تاب تمامی مجدول مذهب؛ جلد: تیماج مشکی ترنج با سر، ۳۲ (۱۲۶-۱۵۷)، ۱۹ سطر، اندازه:</w:t>
      </w:r>
    </w:p>
    <w:p>
      <w:pPr>
        <w:pStyle w:val="BookText"/>
      </w:pPr>
      <w:r>
        <w:rPr>
          <w:rFonts w:ascii="IRNazanin" w:hAnsi="IRNazanin" w:eastAsia="IRNazanin" w:cs="IRNazanin"/>
          <w:lang w:bidi="fa-IR"/>
          <w:color w:val="111111"/>
          <w:sz w:val="28"/>
          <w:szCs w:val="28"/>
          <w:rtl/>
        </w:rPr>
        <w:t xml:space="preserve">۲۸/۵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سم [ف: ۳۵-۲۱</w:t>
      </w:r>
    </w:p>
    <w:p>
      <w:pPr>
        <w:pStyle w:val="Heading3"/>
      </w:pPr>
      <w:bookmarkStart w:id="3106" w:name="_Toc2366"/>
      <w:r>
        <w:t>•تجريد الكشاف مع زيادة نكت لطاف / تفسير / عربی</w:t>
      </w:r>
      <w:bookmarkEnd w:id="3106"/>
    </w:p>
    <w:p>
      <w:pPr>
        <w:pStyle w:val="BookText"/>
      </w:pPr>
      <w:r>
        <w:rPr>
          <w:rFonts w:ascii="Times New Roman" w:hAnsi="Times New Roman" w:eastAsia="Times New Roman" w:cs="Times New Roman"/>
          <w:lang w:val="en-US" w:bidi="en-US"/>
          <w:color w:val="111111"/>
          <w:sz w:val="28"/>
          <w:szCs w:val="28"/>
          <w:rtl/>
        </w:rPr>
        <w:t xml:space="preserve">tajrīd-ul kaššāf maʻa zīyādat-i nukat-in lițāf</w:t>
      </w:r>
    </w:p>
    <w:p>
      <w:pPr>
        <w:pStyle w:val="BookText"/>
      </w:pPr>
      <w:r>
        <w:rPr>
          <w:rFonts w:ascii="IRNazanin" w:hAnsi="IRNazanin" w:eastAsia="IRNazanin" w:cs="IRNazanin"/>
          <w:lang w:bidi="fa-IR"/>
          <w:color w:val="111111"/>
          <w:sz w:val="28"/>
          <w:szCs w:val="28"/>
          <w:rtl/>
        </w:rPr>
        <w:t xml:space="preserve">حسنی، علی بن محمد، -۸۳۷ قمری</w:t>
      </w:r>
    </w:p>
    <w:p>
      <w:pPr>
        <w:pStyle w:val="BookText"/>
      </w:pPr>
      <w:r>
        <w:rPr>
          <w:rFonts w:ascii="Times New Roman" w:hAnsi="Times New Roman" w:eastAsia="Times New Roman" w:cs="Times New Roman"/>
          <w:lang w:val="en-US" w:bidi="en-US"/>
          <w:color w:val="111111"/>
          <w:sz w:val="28"/>
          <w:szCs w:val="28"/>
          <w:rtl/>
        </w:rPr>
        <w:t xml:space="preserve">hasanī, ‘alī ebn-e mohammad (-1434)</w:t>
      </w:r>
    </w:p>
    <w:p>
      <w:pPr>
        <w:pStyle w:val="BookText"/>
      </w:pPr>
      <w:r>
        <w:rPr>
          <w:rFonts w:ascii="IRNazanin" w:hAnsi="IRNazanin" w:eastAsia="IRNazanin" w:cs="IRNazanin"/>
          <w:lang w:bidi="fa-IR"/>
          <w:color w:val="111111"/>
          <w:sz w:val="28"/>
          <w:szCs w:val="28"/>
          <w:rtl/>
        </w:rPr>
        <w:t xml:space="preserve">وابسته به: الكشاف عن حقایق غوامض التنزيل و عیون الاقاويل في وجوه التأويل = تفسیر کشاف زمخشری، محمود بن عمر (۵۳۸-۴۶۷)</w:t>
      </w:r>
    </w:p>
    <w:p>
      <w:pPr>
        <w:pStyle w:val="BookText"/>
      </w:pPr>
      <w:r>
        <w:rPr>
          <w:rFonts w:ascii="IRNazanin" w:hAnsi="IRNazanin" w:eastAsia="IRNazanin" w:cs="IRNazanin"/>
          <w:lang w:bidi="fa-IR"/>
          <w:color w:val="111111"/>
          <w:sz w:val="28"/>
          <w:szCs w:val="28"/>
          <w:rtl/>
        </w:rPr>
        <w:t xml:space="preserve">تاریخ تأليف: جمعه غره رمضان ۷۹۵ق؛ محل تالیف: صنعاء</w:t>
      </w:r>
    </w:p>
    <w:p>
      <w:pPr>
        <w:pStyle w:val="BookText"/>
      </w:pPr>
      <w:r>
        <w:rPr>
          <w:rFonts w:ascii="IRNazanin" w:hAnsi="IRNazanin" w:eastAsia="IRNazanin" w:cs="IRNazanin"/>
          <w:lang w:bidi="fa-IR"/>
          <w:color w:val="111111"/>
          <w:sz w:val="28"/>
          <w:szCs w:val="28"/>
          <w:rtl/>
        </w:rPr>
        <w:t xml:space="preserve">مؤلف، کتاب کشاف زمخشری را مختصر نموده و نکاتی را که لازم دانسته خود بر آن افزوده؛ اکثرا با عناوین «وقيل، وقيل».</w:t>
      </w:r>
    </w:p>
    <w:p>
      <w:pPr>
        <w:pStyle w:val="BookText"/>
      </w:pPr>
      <w:r>
        <w:rPr>
          <w:rFonts w:ascii="Amiri" w:hAnsi="Amiri" w:eastAsia="Amiri" w:cs="Amiri"/>
          <w:lang w:bidi="ar-SA"/>
          <w:color w:val="111111"/>
          <w:sz w:val="28"/>
          <w:szCs w:val="28"/>
          <w:rtl/>
        </w:rPr>
        <w:t xml:space="preserve">[ مؤلفات الزيدية ۲۵۰/۱ ؛ اعلام المؤلفين الزيدية ص ۷۱۷]</w:t>
      </w:r>
    </w:p>
    <w:p>
      <w:pPr>
        <w:pStyle w:val="BookText"/>
      </w:pPr>
      <w:r>
        <w:rPr>
          <w:rFonts w:ascii="IRNazanin" w:hAnsi="IRNazanin" w:eastAsia="IRNazanin" w:cs="IRNazanin"/>
          <w:lang w:bidi="fa-IR"/>
          <w:color w:val="111111"/>
          <w:sz w:val="28"/>
          <w:szCs w:val="28"/>
          <w:rtl/>
        </w:rPr>
        <w:t xml:space="preserve">۱. قم؛ مرعشی؛ شماره نسخه: ۷۰۱عکسی</w:t>
      </w:r>
    </w:p>
    <w:p>
      <w:pPr>
        <w:pStyle w:val="BookText"/>
      </w:pPr>
      <w:r>
        <w:rPr>
          <w:rFonts w:ascii="IRNazanin" w:hAnsi="IRNazanin" w:eastAsia="IRNazanin" w:cs="IRNazanin"/>
          <w:lang w:bidi="fa-IR"/>
          <w:color w:val="111111"/>
          <w:sz w:val="28"/>
          <w:szCs w:val="28"/>
          <w:rtl/>
        </w:rPr>
        <w:t xml:space="preserve">آغاز: الحمدلله الذي انعم علينا بالقرآن مجید؛ انجام: قالوا و ما  الشرك الأصغر، قال: الريا، و قال ... اراد بقوله ولا يشرك، لا يعبد مع الله غيره. تم الكتاب.</w:t>
      </w:r>
    </w:p>
    <w:p>
      <w:pPr>
        <w:pStyle w:val="BookText"/>
      </w:pPr>
      <w:r>
        <w:rPr>
          <w:rFonts w:ascii="IRNazanin" w:hAnsi="IRNazanin" w:eastAsia="IRNazanin" w:cs="IRNazanin"/>
          <w:lang w:bidi="fa-IR"/>
          <w:color w:val="111111"/>
          <w:sz w:val="28"/>
          <w:szCs w:val="28"/>
          <w:rtl/>
        </w:rPr>
        <w:t xml:space="preserve">نسخه اصل: چستربیتی، ش ۴۱۹۵ (اربری، فهرست خطی عربی ۶۲/۵). از اول تا پایان سوره کهف؛ خط: نسخ، كا: صالح بن یحیی بن صالح بن محمد قرشی اموی، تا: جمادی الثانی ۷۸۹ق؛ مصحح، محشی؛ ۲۵۵گ، ۲۷ سطر [عکسی ف: ۲-۱۸۵]</w:t>
      </w:r>
    </w:p>
    <w:p>
      <w:pPr>
        <w:pStyle w:val="BookText"/>
      </w:pPr>
      <w:r>
        <w:rPr>
          <w:rFonts w:ascii="IRNazanin" w:hAnsi="IRNazanin" w:eastAsia="IRNazanin" w:cs="IRNazanin"/>
          <w:lang w:bidi="fa-IR"/>
          <w:color w:val="111111"/>
          <w:sz w:val="28"/>
          <w:szCs w:val="28"/>
          <w:rtl/>
        </w:rPr>
        <w:t xml:space="preserve">۲. قم؛ مرکز احیاء؛ شماره نسخه:۱۷۹۶</w:t>
      </w:r>
    </w:p>
    <w:p>
      <w:pPr>
        <w:pStyle w:val="BookText"/>
      </w:pPr>
      <w:r>
        <w:rPr>
          <w:rFonts w:ascii="Amiri" w:hAnsi="Amiri" w:eastAsia="Amiri" w:cs="Amiri"/>
          <w:lang w:bidi="ar-SA"/>
          <w:color w:val="111111"/>
          <w:sz w:val="28"/>
          <w:szCs w:val="28"/>
          <w:rtl/>
        </w:rPr>
        <w:t xml:space="preserve">آغاز: الذاكر و المورد للقصه في كتابه صديقة نبية أي كان صديقة مع كونه نبيا و الصديق مبالغة في الصدق</w:t>
      </w:r>
    </w:p>
    <w:p>
      <w:pPr>
        <w:pStyle w:val="BookText"/>
      </w:pPr>
      <w:r>
        <w:rPr>
          <w:rFonts w:ascii="IRNazanin" w:hAnsi="IRNazanin" w:eastAsia="IRNazanin" w:cs="IRNazanin"/>
          <w:lang w:bidi="fa-IR"/>
          <w:color w:val="111111"/>
          <w:sz w:val="28"/>
          <w:szCs w:val="28"/>
          <w:rtl/>
        </w:rPr>
        <w:t xml:space="preserve">نسخه اصل: کتابخانه واتیکان -رم ۹۹۶. جلد دوم کتاب و از اواسط آیه ۴۴ سوره مریم تا پایان قرآن؛ خط: نسخ، كا: ناجی بن ابراهیم، تا: جمعه از دهه اول جمادی الثانی ۸۶۴ق؛ افتادگی: آغاز؛ مصحح؛ ۳۷۵ص [عکسی ف: ۵-۲۶۴]</w:t>
      </w:r>
    </w:p>
    <w:p>
      <w:pPr>
        <w:pStyle w:val="BookText"/>
      </w:pPr>
      <w:r>
        <w:rPr>
          <w:rFonts w:ascii="IRNazanin" w:hAnsi="IRNazanin" w:eastAsia="IRNazanin" w:cs="IRNazanin"/>
          <w:lang w:bidi="fa-IR"/>
          <w:color w:val="111111"/>
          <w:sz w:val="28"/>
          <w:szCs w:val="28"/>
          <w:rtl/>
        </w:rPr>
        <w:t xml:space="preserve">←تجريد الكلام في تحرير عقايد الاسلام ← تجرید الاعتقاد</w:t>
      </w:r>
    </w:p>
    <w:p>
      <w:pPr>
        <w:pStyle w:val="BookText"/>
      </w:pPr>
      <w:r>
        <w:rPr>
          <w:rFonts w:ascii="IRNazanin" w:hAnsi="IRNazanin" w:eastAsia="IRNazanin" w:cs="IRNazanin"/>
          <w:lang w:bidi="fa-IR"/>
          <w:color w:val="111111"/>
          <w:sz w:val="28"/>
          <w:szCs w:val="28"/>
          <w:rtl/>
        </w:rPr>
        <w:t xml:space="preserve">← تجريد اللغات← کالنصاب</w:t>
      </w:r>
    </w:p>
    <w:p>
      <w:pPr>
        <w:pStyle w:val="Heading3"/>
      </w:pPr>
      <w:bookmarkStart w:id="3107" w:name="_Toc2367"/>
      <w:r>
        <w:t>•تجرید اللغات = كالنصاب / لغت / فارسی و ترکی</w:t>
      </w:r>
      <w:bookmarkEnd w:id="3107"/>
    </w:p>
    <w:p>
      <w:pPr>
        <w:pStyle w:val="BookText"/>
      </w:pPr>
      <w:r>
        <w:rPr>
          <w:rFonts w:ascii="Times New Roman" w:hAnsi="Times New Roman" w:eastAsia="Times New Roman" w:cs="Times New Roman"/>
          <w:lang w:val="en-US" w:bidi="en-US"/>
          <w:color w:val="111111"/>
          <w:sz w:val="28"/>
          <w:szCs w:val="28"/>
          <w:rtl/>
        </w:rPr>
        <w:t xml:space="preserve">tajrīd-ol loqāt = ka-n-nesāb</w:t>
      </w:r>
    </w:p>
    <w:p>
      <w:pPr>
        <w:pStyle w:val="BookText"/>
      </w:pPr>
      <w:r>
        <w:rPr>
          <w:rFonts w:ascii="IRNazanin" w:hAnsi="IRNazanin" w:eastAsia="IRNazanin" w:cs="IRNazanin"/>
          <w:lang w:bidi="fa-IR"/>
          <w:color w:val="111111"/>
          <w:sz w:val="28"/>
          <w:szCs w:val="28"/>
          <w:rtl/>
        </w:rPr>
        <w:t xml:space="preserve">بادکوبه ای، علی بن مصطفی، ق۱۳ قمری</w:t>
      </w:r>
    </w:p>
    <w:p>
      <w:pPr>
        <w:pStyle w:val="BookText"/>
      </w:pPr>
      <w:r>
        <w:rPr>
          <w:rFonts w:ascii="Times New Roman" w:hAnsi="Times New Roman" w:eastAsia="Times New Roman" w:cs="Times New Roman"/>
          <w:lang w:val="en-US" w:bidi="en-US"/>
          <w:color w:val="111111"/>
          <w:sz w:val="28"/>
          <w:szCs w:val="28"/>
          <w:rtl/>
        </w:rPr>
        <w:t xml:space="preserve">bādkūbeī, ‘alī ebn-e mostafā (-19c)</w:t>
      </w:r>
    </w:p>
    <w:p>
      <w:pPr>
        <w:pStyle w:val="BookText"/>
      </w:pPr>
      <w:r>
        <w:rPr>
          <w:rFonts w:ascii="IRNazanin" w:hAnsi="IRNazanin" w:eastAsia="IRNazanin" w:cs="IRNazanin"/>
          <w:lang w:bidi="fa-IR"/>
          <w:color w:val="111111"/>
          <w:sz w:val="28"/>
          <w:szCs w:val="28"/>
          <w:rtl/>
        </w:rPr>
        <w:t xml:space="preserve">اهدا به: ناصر الدین شاه</w:t>
      </w:r>
    </w:p>
    <w:p>
      <w:pPr>
        <w:pStyle w:val="BookText"/>
      </w:pPr>
      <w:r>
        <w:rPr>
          <w:rFonts w:ascii="IRNazanin" w:hAnsi="IRNazanin" w:eastAsia="IRNazanin" w:cs="IRNazanin"/>
          <w:lang w:bidi="fa-IR"/>
          <w:color w:val="111111"/>
          <w:sz w:val="28"/>
          <w:szCs w:val="28"/>
          <w:rtl/>
        </w:rPr>
        <w:t xml:space="preserve">تاریخ تأليف: ۱۲۶۵ق؛ محل تأليف: قزوین</w:t>
      </w:r>
    </w:p>
    <w:p>
      <w:pPr>
        <w:pStyle w:val="BookText"/>
      </w:pPr>
      <w:r>
        <w:rPr>
          <w:rFonts w:ascii="IRNazanin" w:hAnsi="IRNazanin" w:eastAsia="IRNazanin" w:cs="IRNazanin"/>
          <w:lang w:bidi="fa-IR"/>
          <w:color w:val="111111"/>
          <w:sz w:val="28"/>
          <w:szCs w:val="28"/>
          <w:rtl/>
        </w:rPr>
        <w:t xml:space="preserve">نصاب ترکی به فارسی است، به پیروی از نصاب الصبيان فراهی</w:t>
      </w:r>
    </w:p>
    <w:p>
      <w:pPr>
        <w:pStyle w:val="BookText"/>
      </w:pPr>
      <w:r>
        <w:rPr>
          <w:rFonts w:ascii="IRNazanin" w:hAnsi="IRNazanin" w:eastAsia="IRNazanin" w:cs="IRNazanin"/>
          <w:lang w:bidi="fa-IR"/>
          <w:color w:val="111111"/>
          <w:sz w:val="28"/>
          <w:szCs w:val="28"/>
          <w:rtl/>
        </w:rPr>
        <w:t xml:space="preserve">که به خواهش برخی از برادران گیلانی در شهر قزوین سروده است. مؤلف پیش از این واژه نامه به دستور زبان ترکی پرداخته است. (احمد منزوی)</w:t>
      </w:r>
    </w:p>
    <w:p>
      <w:pPr>
        <w:pStyle w:val="BookText"/>
      </w:pPr>
      <w:r>
        <w:rPr>
          <w:rFonts w:ascii="IRNazanin" w:hAnsi="IRNazanin" w:eastAsia="IRNazanin" w:cs="IRNazanin"/>
          <w:lang w:bidi="fa-IR"/>
          <w:color w:val="111111"/>
          <w:sz w:val="28"/>
          <w:szCs w:val="28"/>
          <w:rtl/>
        </w:rPr>
        <w:t xml:space="preserve">آغاز: الحمدلله الذي جعلنا ناطقا و الصلاة و السلام على من أرسله صادقا و على آله الذين جعلهم الله بين الحق و الباطل فارقا؛ چنین گوید علی باد کوئی *** کتاب من بخوان تا ترکی گوئی، حصر ناصره و نصر حاصره ... بنا بحسب خواهش بعضی از اخوان از اهل گیلان که اصلا اصطلاح اتراک را نمی دانستند کتاب کالنصاب بعون الملک الوهاب در دارالسلطنه قزوین بنظر در آوردم چون از نصاب گذشته بود لهذا سميته بكالنصاب ... ناظم بكالنصاب زبان را چون بر گشود *** تاریخ در هزار و صد و شصت و چار بود ...</w:t>
      </w:r>
    </w:p>
    <w:p>
      <w:pPr>
        <w:pStyle w:val="BookText"/>
      </w:pPr>
      <w:r>
        <w:rPr>
          <w:rFonts w:ascii="IRNazanin" w:hAnsi="IRNazanin" w:eastAsia="IRNazanin" w:cs="IRNazanin"/>
          <w:lang w:bidi="fa-IR"/>
          <w:color w:val="111111"/>
          <w:sz w:val="28"/>
          <w:szCs w:val="28"/>
          <w:rtl/>
        </w:rPr>
        <w:t xml:space="preserve">چاپ: دارالخلافه طهران، سنگی، ۱۳۱۴ ق.، رقعی، ۱۱۷ص صص۱-۱۱۷)؛ ایران، سنگی، ۱۲۸۶، رقعی</w:t>
      </w:r>
    </w:p>
    <w:p>
      <w:pPr>
        <w:pStyle w:val="BookText"/>
      </w:pPr>
      <w:r>
        <w:rPr>
          <w:rFonts w:ascii="IRNazanin" w:hAnsi="IRNazanin" w:eastAsia="IRNazanin" w:cs="IRNazanin"/>
          <w:lang w:bidi="fa-IR"/>
          <w:color w:val="111111"/>
          <w:sz w:val="28"/>
          <w:szCs w:val="28"/>
          <w:rtl/>
        </w:rPr>
        <w:t xml:space="preserve">[ الذريعه ۳۵۵/۳ و ۲۵۱/۱۷ ؛ نسخه های منزوی ۱۹۶۶/۳ ؛ فرهنگنامه ها ۱۱۴؛ مشار فارسی ۱۱۸۴/۱ ؛ دنا ۷۹۸/۲ (۴ نسخه)]</w:t>
      </w:r>
    </w:p>
    <w:p>
      <w:pPr>
        <w:pStyle w:val="BookText"/>
      </w:pPr>
      <w:r>
        <w:rPr>
          <w:rFonts w:ascii="Amiri" w:hAnsi="Amiri" w:eastAsia="Amiri" w:cs="Amiri"/>
          <w:lang w:bidi="ar-SA"/>
          <w:color w:val="111111"/>
          <w:sz w:val="28"/>
          <w:szCs w:val="28"/>
          <w:rtl/>
        </w:rPr>
        <w:t xml:space="preserve">۱. تهران؛ دائرة المعارف، شماره نسخه: ۷۶۰/۹</w:t>
      </w:r>
    </w:p>
    <w:p>
      <w:pPr>
        <w:pStyle w:val="BookText"/>
      </w:pPr>
      <w:r>
        <w:rPr>
          <w:rFonts w:ascii="IRNazanin" w:hAnsi="IRNazanin" w:eastAsia="IRNazanin" w:cs="IRNazanin"/>
          <w:lang w:bidi="fa-IR"/>
          <w:color w:val="111111"/>
          <w:sz w:val="28"/>
          <w:szCs w:val="28"/>
          <w:rtl/>
        </w:rPr>
        <w:t xml:space="preserve">آغاز: برابر؛ انجام: نوشته آنچه را باید، نکردم هیچ کوتاهی، قد تمت هذه النسخه</w:t>
      </w:r>
    </w:p>
    <w:p>
      <w:pPr>
        <w:pStyle w:val="BookText"/>
      </w:pPr>
      <w:r>
        <w:rPr>
          <w:rFonts w:ascii="IRNazanin" w:hAnsi="IRNazanin" w:eastAsia="IRNazanin" w:cs="IRNazanin"/>
          <w:lang w:bidi="fa-IR"/>
          <w:color w:val="111111"/>
          <w:sz w:val="28"/>
          <w:szCs w:val="28"/>
          <w:rtl/>
        </w:rPr>
        <w:t xml:space="preserve">خط: تحریری، بی کا، تا: ۱۲۸۲-۱۲۸۶ق؛ ۴۸گ (۱۲۹-۱۱۷۶) [ف: ۲-۲۰۰]</w:t>
      </w:r>
    </w:p>
    <w:p>
      <w:pPr>
        <w:pStyle w:val="BookText"/>
      </w:pPr>
      <w:r>
        <w:rPr>
          <w:rFonts w:ascii="IRNazanin" w:hAnsi="IRNazanin" w:eastAsia="IRNazanin" w:cs="IRNazanin"/>
          <w:lang w:bidi="fa-IR"/>
          <w:color w:val="111111"/>
          <w:sz w:val="28"/>
          <w:szCs w:val="28"/>
          <w:rtl/>
        </w:rPr>
        <w:t xml:space="preserve">۲. شیراز؛ شاهچراغ؛ شماره نسخه: ۱۱۰۱/۲</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تا: قرن ۱۳؛ افتادگی: انجام؛ ۳۲گ (۲۲-۵۳)، اندازه: ۱۰/۵</w:t>
      </w:r>
    </w:p>
    <w:p>
      <w:pPr>
        <w:pStyle w:val="BookText"/>
      </w:pP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۱۷/۵ سم [ف: ۳- ۱۳۰]</w:t>
      </w:r>
    </w:p>
    <w:p>
      <w:pPr>
        <w:pStyle w:val="BookText"/>
      </w:pPr>
      <w:r>
        <w:rPr>
          <w:rFonts w:ascii="Amiri" w:hAnsi="Amiri" w:eastAsia="Amiri" w:cs="Amiri"/>
          <w:lang w:bidi="ar-SA"/>
          <w:color w:val="111111"/>
          <w:sz w:val="28"/>
          <w:szCs w:val="28"/>
          <w:rtl/>
        </w:rPr>
        <w:t xml:space="preserve">٣. تهران: دائرة المعارف، شماره نسخه: ۲۷۸</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انجام: نوشتم آنچه را باید، نکردم هیچ کوتاهی ...</w:t>
      </w:r>
    </w:p>
    <w:p>
      <w:pPr>
        <w:pStyle w:val="BookText"/>
      </w:pPr>
      <w:r>
        <w:rPr>
          <w:rFonts w:ascii="IRNazanin" w:hAnsi="IRNazanin" w:eastAsia="IRNazanin" w:cs="IRNazanin"/>
          <w:lang w:bidi="fa-IR"/>
          <w:color w:val="111111"/>
          <w:sz w:val="28"/>
          <w:szCs w:val="28"/>
          <w:rtl/>
        </w:rPr>
        <w:t xml:space="preserve">خط: نسخ پخته، كا: اسماعیل، تا: قرن ۱۳ کاغذ: نباتی آهار مهره، جلد: تیماج مشکی، ۲۷گ، مختلف السطر، اندازه: 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۱۴/۵ سم [ف: ۱-۲۰۶]</w:t>
      </w:r>
    </w:p>
    <w:p>
      <w:pPr>
        <w:pStyle w:val="BookText"/>
      </w:pPr>
      <w:r>
        <w:rPr>
          <w:rFonts w:ascii="IRNazanin" w:hAnsi="IRNazanin" w:eastAsia="IRNazanin" w:cs="IRNazanin"/>
          <w:lang w:bidi="fa-IR"/>
          <w:color w:val="111111"/>
          <w:sz w:val="28"/>
          <w:szCs w:val="28"/>
          <w:rtl/>
        </w:rPr>
        <w:t xml:space="preserve">۴. تهران؛ مجلس؛ شماره نسخه: ۴۶۱</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تا: ۱۲۸۵ق؛ دارای سرلوح، مجدول؛ ۶۴ گ، ۱۰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[ف: ۲-۲۷۱]</w:t>
      </w:r>
    </w:p>
    <w:p>
      <w:pPr>
        <w:pStyle w:val="BookText"/>
      </w:pPr>
      <w:r>
        <w:rPr>
          <w:rFonts w:ascii="IRNazanin" w:hAnsi="IRNazanin" w:eastAsia="IRNazanin" w:cs="IRNazanin"/>
          <w:lang w:bidi="fa-IR"/>
          <w:color w:val="111111"/>
          <w:sz w:val="28"/>
          <w:szCs w:val="28"/>
          <w:rtl/>
        </w:rPr>
        <w:t xml:space="preserve">۵. مشهد؛ گوهرشاد؛ شماره نسخه: ۱۹۶۸/۲</w:t>
      </w:r>
    </w:p>
    <w:p>
      <w:pPr>
        <w:pStyle w:val="BookText"/>
      </w:pPr>
      <w:r>
        <w:rPr>
          <w:rFonts w:ascii="IRNazanin" w:hAnsi="IRNazanin" w:eastAsia="IRNazanin" w:cs="IRNazanin"/>
          <w:lang w:bidi="fa-IR"/>
          <w:color w:val="111111"/>
          <w:sz w:val="28"/>
          <w:szCs w:val="28"/>
          <w:rtl/>
        </w:rPr>
        <w:t xml:space="preserve">آغاز: برابر؛ انجام: چکسون سواق او وی کشد ماله خانه را *** ورسون بزک ها می دهد زینت تمام</w:t>
      </w:r>
    </w:p>
    <w:p>
      <w:pPr>
        <w:pStyle w:val="BookText"/>
      </w:pPr>
      <w:r>
        <w:rPr>
          <w:rFonts w:ascii="IRNazanin" w:hAnsi="IRNazanin" w:eastAsia="IRNazanin" w:cs="IRNazanin"/>
          <w:lang w:bidi="fa-IR"/>
          <w:color w:val="111111"/>
          <w:sz w:val="28"/>
          <w:szCs w:val="28"/>
          <w:rtl/>
        </w:rPr>
        <w:t xml:space="preserve">خط: نسخ، بی کا، تا: قرن ۱۴؛ افتادگی: انجام؛ کاغذ: فرنگی، جلد: مقوا، وگ، ۱۸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۵-۳۵۳]
</w:t>
      </w:r>
    </w:p>
    <w:p>
      <w:pPr>
        <w:sectPr>
          <w:footerReference w:type="default" r:id="rId973"/>
          <w:footnotePr>
            <w:numStart w:val="1"/>
            <w:numRestart w:val="eachPage"/>
          </w:footnotePr>
          <w:pgSz w:orient="portrait" w:w="11905.511811023622" w:h="16837.79527559055"/>
          <w:pgMar w:top="1440" w:right="1440" w:bottom="1440" w:left="1440" w:header="720" w:footer="720" w:gutter="0"/>
          <w:cols w:num="1" w:space="720"/>
        </w:sectPr>
      </w:pPr>
    </w:p>
    <w:bookmarkStart w:id="729" w:name="pg20363_210091"/>
    <w:bookmarkEnd w:id="729"/>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مشهد؛ رضوی؛ شماره نسخه: ۲۶۸۳۱</w:t>
      </w:r>
    </w:p>
    <w:p>
      <w:pPr>
        <w:pStyle w:val="BookText"/>
      </w:pPr>
      <w:r>
        <w:rPr>
          <w:rFonts w:ascii="IRNazanin" w:hAnsi="IRNazanin" w:eastAsia="IRNazanin" w:cs="IRNazanin"/>
          <w:lang w:bidi="fa-IR"/>
          <w:color w:val="111111"/>
          <w:sz w:val="28"/>
          <w:szCs w:val="28"/>
          <w:rtl/>
        </w:rPr>
        <w:t xml:space="preserve">آغاز: برابر؛ انجام: نوشتم آنجا را باید نکردم هیچ کوتاهی خط: نسخ، بی کا، تا: ۱۳۰۵ق؛ کاغذ: نخودی، جلد: میشن [رایانه ]</w:t>
      </w:r>
    </w:p>
    <w:p>
      <w:pPr>
        <w:pStyle w:val="Heading3"/>
      </w:pPr>
      <w:bookmarkStart w:id="3108" w:name="_Toc2368"/>
      <w:r>
        <w:t>•التجريد لنفع العبيد = حاشية فتح الوهاب بشرح منهج الطلاب / فقه / عربی</w:t>
      </w:r>
      <w:bookmarkEnd w:id="3108"/>
    </w:p>
    <w:p>
      <w:pPr>
        <w:pStyle w:val="BookText"/>
      </w:pPr>
      <w:r>
        <w:rPr>
          <w:rFonts w:ascii="Times New Roman" w:hAnsi="Times New Roman" w:eastAsia="Times New Roman" w:cs="Times New Roman"/>
          <w:lang w:val="en-US" w:bidi="en-US"/>
          <w:color w:val="111111"/>
          <w:sz w:val="28"/>
          <w:szCs w:val="28"/>
          <w:rtl/>
        </w:rPr>
        <w:t xml:space="preserve">at-tajrīd li-naf*-il ‘abīd = ḥāšīyat-u fatḥ-il wahhāb bi S.-i minhaj-iț țullāb</w:t>
      </w:r>
    </w:p>
    <w:p>
      <w:pPr>
        <w:pStyle w:val="BookText"/>
      </w:pPr>
      <w:r>
        <w:rPr>
          <w:rFonts w:ascii="IRNazanin" w:hAnsi="IRNazanin" w:eastAsia="IRNazanin" w:cs="IRNazanin"/>
          <w:lang w:bidi="fa-IR"/>
          <w:color w:val="111111"/>
          <w:sz w:val="28"/>
          <w:szCs w:val="28"/>
          <w:rtl/>
        </w:rPr>
        <w:t xml:space="preserve">بجيرمی، سليمان بن محمد، ۱۱۳۱-۱۲۲۱ قمری</w:t>
      </w:r>
    </w:p>
    <w:p>
      <w:pPr>
        <w:pStyle w:val="BookText"/>
      </w:pPr>
      <w:r>
        <w:rPr>
          <w:rFonts w:ascii="Times New Roman" w:hAnsi="Times New Roman" w:eastAsia="Times New Roman" w:cs="Times New Roman"/>
          <w:lang w:val="en-US" w:bidi="en-US"/>
          <w:color w:val="111111"/>
          <w:sz w:val="28"/>
          <w:szCs w:val="28"/>
          <w:rtl/>
        </w:rPr>
        <w:t xml:space="preserve">bojayremī, soleymān ebn-e mohammad (1719-1806)</w:t>
      </w:r>
    </w:p>
    <w:p>
      <w:pPr>
        <w:pStyle w:val="BookText"/>
      </w:pPr>
      <w:r>
        <w:rPr>
          <w:rFonts w:ascii="IRNazanin" w:hAnsi="IRNazanin" w:eastAsia="IRNazanin" w:cs="IRNazanin"/>
          <w:lang w:bidi="fa-IR"/>
          <w:color w:val="111111"/>
          <w:sz w:val="28"/>
          <w:szCs w:val="28"/>
          <w:rtl/>
        </w:rPr>
        <w:t xml:space="preserve">وابسته به: فتح الوهاب بشرح منهج الطلاب؛ انصاری، زکریا بن محمد (۸۲۶-۹۲۶)</w:t>
      </w:r>
    </w:p>
    <w:p>
      <w:pPr>
        <w:pStyle w:val="BookText"/>
      </w:pPr>
      <w:r>
        <w:rPr>
          <w:rFonts w:ascii="IRNazanin" w:hAnsi="IRNazanin" w:eastAsia="IRNazanin" w:cs="IRNazanin"/>
          <w:lang w:bidi="fa-IR"/>
          <w:color w:val="111111"/>
          <w:sz w:val="28"/>
          <w:szCs w:val="28"/>
          <w:rtl/>
        </w:rPr>
        <w:t xml:space="preserve">حاشیه ای است بر کتاب «فتح الوهاب بشرح منهج الطلاب » زکریا انصاری با عناوین «قوله - قوله».</w:t>
      </w:r>
    </w:p>
    <w:p>
      <w:pPr>
        <w:pStyle w:val="BookText"/>
      </w:pPr>
      <w:r>
        <w:rPr>
          <w:rFonts w:ascii="IRNazanin" w:hAnsi="IRNazanin" w:eastAsia="IRNazanin" w:cs="IRNazanin"/>
          <w:lang w:bidi="fa-IR"/>
          <w:color w:val="111111"/>
          <w:sz w:val="28"/>
          <w:szCs w:val="28"/>
          <w:rtl/>
        </w:rPr>
        <w:t xml:space="preserve">چاپ: همراه متن فتح الوهاب در مصر سال ۱۲۸۶ ق چاپ شده</w:t>
      </w:r>
    </w:p>
    <w:p>
      <w:pPr>
        <w:pStyle w:val="BookText"/>
      </w:pPr>
      <w:r>
        <w:rPr>
          <w:rFonts w:ascii="IRNazanin" w:hAnsi="IRNazanin" w:eastAsia="IRNazanin" w:cs="IRNazanin"/>
          <w:lang w:bidi="fa-IR"/>
          <w:color w:val="111111"/>
          <w:sz w:val="28"/>
          <w:szCs w:val="28"/>
          <w:rtl/>
        </w:rPr>
        <w:t xml:space="preserve">[سر کیس ۵۲۹/۱ ؛ معجم المؤلفين, كحاله ۶۷۹۷/۱ ]</w:t>
      </w:r>
    </w:p>
    <w:p>
      <w:pPr>
        <w:pStyle w:val="BookText"/>
      </w:pPr>
      <w:r>
        <w:rPr>
          <w:rFonts w:ascii="IRNazanin" w:hAnsi="IRNazanin" w:eastAsia="IRNazanin" w:cs="IRNazanin"/>
          <w:lang w:bidi="fa-IR"/>
          <w:color w:val="111111"/>
          <w:sz w:val="28"/>
          <w:szCs w:val="28"/>
          <w:rtl/>
        </w:rPr>
        <w:t xml:space="preserve">۱. قم: مرکز مطالعات؛ شماره نسخه: ۲۲۳/۲</w:t>
      </w:r>
    </w:p>
    <w:p>
      <w:pPr>
        <w:pStyle w:val="BookText"/>
      </w:pPr>
      <w:r>
        <w:rPr>
          <w:rFonts w:ascii="IRNazanin" w:hAnsi="IRNazanin" w:eastAsia="IRNazanin" w:cs="IRNazanin"/>
          <w:lang w:bidi="fa-IR"/>
          <w:color w:val="111111"/>
          <w:sz w:val="28"/>
          <w:szCs w:val="28"/>
          <w:rtl/>
        </w:rPr>
        <w:t xml:space="preserve">آغاز: کتاب الزکوة هي لغة التطهير و النماء و غيرهما و شرعا اسم لما يخرج من مال انجام: فيقبل قوله بلا تحلیف و لو بعد عزله كما اعتمده السبکی آخر لانه عند تصرفه نائب عنه</w:t>
      </w:r>
    </w:p>
    <w:p>
      <w:pPr>
        <w:pStyle w:val="BookText"/>
      </w:pPr>
      <w:r>
        <w:rPr>
          <w:rFonts w:ascii="IRNazanin" w:hAnsi="IRNazanin" w:eastAsia="IRNazanin" w:cs="IRNazanin"/>
          <w:lang w:bidi="fa-IR"/>
          <w:color w:val="111111"/>
          <w:sz w:val="28"/>
          <w:szCs w:val="28"/>
          <w:rtl/>
        </w:rPr>
        <w:t xml:space="preserve">جلد دوم ، از آغاز «کتاب الزكاة» تا آخر «کتاب الحجر»؛ خط: نسخ، بی کا، تا: چهارشنبه ۲۳ شوال ۱۳۰۵ق؛ جلد: تیماج قهوه ای، ۲۰ سطر، اندازه: ۲۲۶۱۶سم [ف: ۱-۱۹۴]</w:t>
      </w:r>
    </w:p>
    <w:p>
      <w:pPr>
        <w:pStyle w:val="BookText"/>
      </w:pPr>
      <w:r>
        <w:rPr>
          <w:rFonts w:ascii="IRNazanin" w:hAnsi="IRNazanin" w:eastAsia="IRNazanin" w:cs="IRNazanin"/>
          <w:lang w:bidi="fa-IR"/>
          <w:color w:val="111111"/>
          <w:sz w:val="28"/>
          <w:szCs w:val="28"/>
          <w:rtl/>
        </w:rPr>
        <w:t xml:space="preserve">۲. قم: مرکز مطالعات؛ شماره نسخه: ۵۲۵/۲</w:t>
      </w:r>
    </w:p>
    <w:p>
      <w:pPr>
        <w:pStyle w:val="BookText"/>
      </w:pPr>
      <w:r>
        <w:rPr>
          <w:rFonts w:ascii="IRNazanin" w:hAnsi="IRNazanin" w:eastAsia="IRNazanin" w:cs="IRNazanin"/>
          <w:lang w:bidi="fa-IR"/>
          <w:color w:val="111111"/>
          <w:sz w:val="28"/>
          <w:szCs w:val="28"/>
          <w:rtl/>
        </w:rPr>
        <w:t xml:space="preserve">آغاز: باب الصلح، لو عبر بكتاب لکان اوضح لأنه لا يندرج تحت ما قبله؛ انجام: إذ لا تحل له الا بمحلل على دعواها فانكر الزوج ما ادعته و ادعى أنه طلقها طلقة فقط فانه يحلف و يستمر العقد ولا عبرة بدعواها اهشيخنا</w:t>
      </w:r>
    </w:p>
    <w:p>
      <w:pPr>
        <w:pStyle w:val="BookText"/>
      </w:pPr>
      <w:r>
        <w:rPr>
          <w:rFonts w:ascii="IRNazanin" w:hAnsi="IRNazanin" w:eastAsia="IRNazanin" w:cs="IRNazanin"/>
          <w:lang w:bidi="fa-IR"/>
          <w:color w:val="111111"/>
          <w:sz w:val="28"/>
          <w:szCs w:val="28"/>
          <w:rtl/>
        </w:rPr>
        <w:t xml:space="preserve">جزء سوم و از «کتاب الصلح» تا «کتاب الخلع»؛ خط: نسخ خوانا، كان عبدالرحمن، تا: پنج شنبه ۲ ذیحجه ۱۳۱۰ق؛ در برگ اول ابتدای تاریخ استنساخ را روز چهارشنبه هفدهم رمضان ۱۳۰۷ در عهد حكومت نظام الدوله بیان کرده؛ جلد: تیماج قهوه ای، ۲۹۹گ، ۲۰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سم [ف: ۱-۴۵۱]</w:t>
      </w:r>
    </w:p>
    <w:p>
      <w:pPr>
        <w:pStyle w:val="BookText"/>
      </w:pPr>
      <w:r>
        <w:rPr>
          <w:rFonts w:ascii="IRNazanin" w:hAnsi="IRNazanin" w:eastAsia="IRNazanin" w:cs="IRNazanin"/>
          <w:lang w:bidi="fa-IR"/>
          <w:color w:val="111111"/>
          <w:sz w:val="28"/>
          <w:szCs w:val="28"/>
          <w:rtl/>
        </w:rPr>
        <w:t xml:space="preserve">٣. قم: مرکز مطالعات؛ شماره نسخه: ۵۲۶/۲</w:t>
      </w:r>
    </w:p>
    <w:p>
      <w:pPr>
        <w:pStyle w:val="BookText"/>
      </w:pPr>
      <w:r>
        <w:rPr>
          <w:rFonts w:ascii="IRNazanin" w:hAnsi="IRNazanin" w:eastAsia="IRNazanin" w:cs="IRNazanin"/>
          <w:lang w:bidi="fa-IR"/>
          <w:color w:val="111111"/>
          <w:sz w:val="28"/>
          <w:szCs w:val="28"/>
          <w:rtl/>
        </w:rPr>
        <w:t xml:space="preserve">آغاز: کتاب الطلاق هو اسم مصدر لمطلق و مصدره التطليق و مصدر لطلقت؛ انجام: قوله بخلاف مالوا وصی الخ أي فانه يخرج الحجة من الثلث آن وفي بها و الا فيصرف للحجة ما يخصها من الثلث و تكمل من التركة</w:t>
      </w:r>
    </w:p>
    <w:p>
      <w:pPr>
        <w:pStyle w:val="BookText"/>
      </w:pPr>
      <w:r>
        <w:rPr>
          <w:rFonts w:ascii="IRNazanin" w:hAnsi="IRNazanin" w:eastAsia="IRNazanin" w:cs="IRNazanin"/>
          <w:lang w:bidi="fa-IR"/>
          <w:color w:val="111111"/>
          <w:sz w:val="28"/>
          <w:szCs w:val="28"/>
          <w:rtl/>
        </w:rPr>
        <w:t xml:space="preserve">جزء چهارم از «کتاب الطلاق» تا «كتاب أمهات الاولاد»؛ خط: نسخ زیبا، بی کا، تا: شنبه ۲۵ جمادی الاول ۱۳۱۰ق؛ جلد: تیماج</w:t>
      </w:r>
    </w:p>
    <w:p>
      <w:pPr>
        <w:pStyle w:val="BookText"/>
      </w:pPr>
      <w:r>
        <w:rPr>
          <w:rFonts w:ascii="IRNazanin" w:hAnsi="IRNazanin" w:eastAsia="IRNazanin" w:cs="IRNazanin"/>
          <w:lang w:bidi="fa-IR"/>
          <w:color w:val="111111"/>
          <w:sz w:val="28"/>
          <w:szCs w:val="28"/>
          <w:rtl/>
        </w:rPr>
        <w:t xml:space="preserve">قهوه ای، ۲۰ سطر، اندازه: ۲۲۶۱۵سم [ف: ۱-۴۵۲]</w:t>
      </w:r>
    </w:p>
    <w:p>
      <w:pPr>
        <w:pStyle w:val="BookText"/>
      </w:pPr>
      <w:r>
        <w:rPr>
          <w:rFonts w:ascii="IRNazanin" w:hAnsi="IRNazanin" w:eastAsia="IRNazanin" w:cs="IRNazanin"/>
          <w:lang w:bidi="fa-IR"/>
          <w:color w:val="111111"/>
          <w:sz w:val="28"/>
          <w:szCs w:val="28"/>
          <w:rtl/>
        </w:rPr>
        <w:t xml:space="preserve">۴. قم: مرکز مطالعات؛ شماره نسخه: ۲/ ۲۲۱</w:t>
      </w:r>
    </w:p>
    <w:p>
      <w:pPr>
        <w:pStyle w:val="BookText"/>
      </w:pPr>
      <w:r>
        <w:rPr>
          <w:rFonts w:ascii="IRNazanin" w:hAnsi="IRNazanin" w:eastAsia="IRNazanin" w:cs="IRNazanin"/>
          <w:lang w:bidi="fa-IR"/>
          <w:color w:val="111111"/>
          <w:sz w:val="28"/>
          <w:szCs w:val="28"/>
          <w:rtl/>
        </w:rPr>
        <w:t xml:space="preserve">آغاز: الحمد لمن اصطفی لدینه خلاصة العالمين و هدى من احبه للتفقه في الدين حمدنسلك به منهاج العارفین انجام: بل كان ذلك حرام ان كان من مال محجور و لو من التركة او من مال میت علیه دین او ترتب عليه ضرر او نحو ذلك و الله أعلم</w:t>
      </w:r>
    </w:p>
    <w:p>
      <w:pPr>
        <w:pStyle w:val="BookText"/>
      </w:pPr>
      <w:r>
        <w:rPr>
          <w:rFonts w:ascii="IRNazanin" w:hAnsi="IRNazanin" w:eastAsia="IRNazanin" w:cs="IRNazanin"/>
          <w:lang w:bidi="fa-IR"/>
          <w:color w:val="111111"/>
          <w:sz w:val="28"/>
          <w:szCs w:val="28"/>
          <w:rtl/>
        </w:rPr>
        <w:t xml:space="preserve">از آغاز حاشیه تا پایان جزء اول (آغاز کتاب کتاب الزكاة)؛ خط: نسخ زیبا، بی کا، بی تا، جلد: تیماج قهوه ای، ۲۰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۱-۱۹۲]</w:t>
      </w:r>
    </w:p>
    <w:p>
      <w:pPr>
        <w:pStyle w:val="Heading3"/>
      </w:pPr>
      <w:bookmarkStart w:id="3109" w:name="_Toc2369"/>
      <w:r>
        <w:t>•تجرید المنطق / منطق / عربی</w:t>
      </w:r>
      <w:bookmarkEnd w:id="3109"/>
    </w:p>
    <w:p>
      <w:pPr>
        <w:pStyle w:val="BookText"/>
      </w:pPr>
      <w:r>
        <w:rPr>
          <w:rFonts w:ascii="Times New Roman" w:hAnsi="Times New Roman" w:eastAsia="Times New Roman" w:cs="Times New Roman"/>
          <w:lang w:val="en-US" w:bidi="en-US"/>
          <w:color w:val="111111"/>
          <w:sz w:val="28"/>
          <w:szCs w:val="28"/>
          <w:rtl/>
        </w:rPr>
        <w:t xml:space="preserve">tajrīd-ul mantiq</w:t>
      </w:r>
    </w:p>
    <w:p>
      <w:pPr>
        <w:pStyle w:val="BookText"/>
      </w:pPr>
      <w:r>
        <w:rPr>
          <w:rFonts w:ascii="IRNazanin" w:hAnsi="IRNazanin" w:eastAsia="IRNazanin" w:cs="IRNazanin"/>
          <w:lang w:bidi="fa-IR"/>
          <w:color w:val="111111"/>
          <w:sz w:val="28"/>
          <w:szCs w:val="28"/>
          <w:rtl/>
        </w:rPr>
        <w:t xml:space="preserve">نصیر الدین طوسی، محمد بن محمد، ۵۹۷-۶۷۲ قمری</w:t>
      </w:r>
    </w:p>
    <w:p>
      <w:pPr>
        <w:pStyle w:val="BookText"/>
      </w:pPr>
      <w:r>
        <w:rPr>
          <w:rFonts w:ascii="Times New Roman" w:hAnsi="Times New Roman" w:eastAsia="Times New Roman" w:cs="Times New Roman"/>
          <w:lang w:val="en-US" w:bidi="en-US"/>
          <w:color w:val="111111"/>
          <w:sz w:val="28"/>
          <w:szCs w:val="28"/>
          <w:rtl/>
        </w:rPr>
        <w:t xml:space="preserve">nasīr-od-dīn-e tūsī, mohammad ebn-e mohammad (1201-1274)</w:t>
      </w:r>
    </w:p>
    <w:p>
      <w:pPr>
        <w:pStyle w:val="BookText"/>
      </w:pPr>
      <w:r>
        <w:rPr>
          <w:rFonts w:ascii="IRNazanin" w:hAnsi="IRNazanin" w:eastAsia="IRNazanin" w:cs="IRNazanin"/>
          <w:lang w:bidi="fa-IR"/>
          <w:color w:val="111111"/>
          <w:sz w:val="28"/>
          <w:szCs w:val="28"/>
          <w:rtl/>
        </w:rPr>
        <w:t xml:space="preserve">تاريخ تأليف: میانه شعبان ۶۵۶ق رساله مختصری است در علم منطق دارای نه «فصل»: ۱. مدخل هذا العلم؛ ۲. المقولات من الأجناس العالية؛ ۳. القضايا و احوالها؛ ۴. القياس؛ ۵. البرهان و الحد؛ ۶. الجدل؛ 7. المغالطة؛ ۸ الخطابة ؛ 9. الشعر. چند شرح و حاشیه از آن معرفی شده که مهمترین و مشهورترین آن جوهر النضيد علامه حلی است که محمد طاهر طبرسی کلاردشتی بر آن حاشیه دارد که در هامش جوهر النضيد چاپ شده است. دیگر حاشیه صدرالدین محمد دشتکی شیرازی (۱۹۰۳) که یک نسخه از آن با آغاز و انجام ناقص در مرعشی معرفی شده است و همچنین شرحی از محمود بن محمد نیریزی (زنده در ۹۲۲) گزارش شده که برخی آن را شرح بر جوهر النضید دانسته اند و فقط یک نسخه از آن در کتابخانه ملی فارس معرفی شده است.</w:t>
      </w:r>
    </w:p>
    <w:p>
      <w:pPr>
        <w:pStyle w:val="BookText"/>
      </w:pPr>
      <w:r>
        <w:rPr>
          <w:rFonts w:ascii="IRNazanin" w:hAnsi="IRNazanin" w:eastAsia="IRNazanin" w:cs="IRNazanin"/>
          <w:lang w:bidi="fa-IR"/>
          <w:color w:val="111111"/>
          <w:sz w:val="28"/>
          <w:szCs w:val="28"/>
          <w:rtl/>
        </w:rPr>
        <w:t xml:space="preserve">آغاز: بسمله. نحمدالله حمد الشاکرین و نصلی علی محمد و آله الطاهرين و بعد فانا اردنا أن نجرد اصول المنطق و مسائلة على الترتيب ... الايجاز و التهذيب تجريدا يتيسر له للحافظ و لايتعسر على الضابط تذکار، فجعلنا تلك الأصول مرتبه في تسعة فصول انجام: لانها كلما كانت اغرب فهى الذوا عجب، تم کتاب التجريد و بالله العصمة و التسديد.</w:t>
      </w:r>
    </w:p>
    <w:p>
      <w:pPr>
        <w:pStyle w:val="BookText"/>
      </w:pPr>
      <w:r>
        <w:rPr>
          <w:rFonts w:ascii="IRNazanin" w:hAnsi="IRNazanin" w:eastAsia="IRNazanin" w:cs="IRNazanin"/>
          <w:lang w:bidi="fa-IR"/>
          <w:color w:val="111111"/>
          <w:sz w:val="28"/>
          <w:szCs w:val="28"/>
          <w:rtl/>
        </w:rPr>
        <w:t xml:space="preserve">چاپ: تهران، ۱۳۱۱ ق، سنگی وزیری، خط محمد صادق بن محمد رضا تویسرکانی، با جوهر النضید در یک جلد</w:t>
      </w:r>
    </w:p>
    <w:p>
      <w:pPr>
        <w:pStyle w:val="BookText"/>
      </w:pPr>
      <w:r>
        <w:rPr>
          <w:rFonts w:ascii="IRNazanin" w:hAnsi="IRNazanin" w:eastAsia="IRNazanin" w:cs="IRNazanin"/>
          <w:lang w:bidi="fa-IR"/>
          <w:color w:val="111111"/>
          <w:sz w:val="28"/>
          <w:szCs w:val="28"/>
          <w:rtl/>
        </w:rPr>
        <w:t xml:space="preserve">[دنا ۷۹۹/۲ (۴ نسخه)]</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١- الجوهر النضيد في شرح منطق التجرید؛ علامه حلی، حسن بن يوسف (۶۴۸-۷۲۶)</w:t>
      </w:r>
    </w:p>
    <w:p>
      <w:pPr>
        <w:pStyle w:val="BookText"/>
      </w:pPr>
      <w:r>
        <w:rPr>
          <w:rFonts w:ascii="IRNazanin" w:hAnsi="IRNazanin" w:eastAsia="IRNazanin" w:cs="IRNazanin"/>
          <w:lang w:bidi="fa-IR"/>
          <w:color w:val="111111"/>
          <w:sz w:val="28"/>
          <w:szCs w:val="28"/>
          <w:rtl/>
        </w:rPr>
        <w:t xml:space="preserve">۲- شرح تجرید المنطق؛ نیریزی، محمود بن محمد (-۱۰)</w:t>
      </w:r>
    </w:p>
    <w:p>
      <w:pPr>
        <w:pStyle w:val="BookText"/>
      </w:pPr>
      <w:r>
        <w:rPr>
          <w:rFonts w:ascii="IRNazanin" w:hAnsi="IRNazanin" w:eastAsia="IRNazanin" w:cs="IRNazanin"/>
          <w:lang w:bidi="fa-IR"/>
          <w:color w:val="111111"/>
          <w:sz w:val="28"/>
          <w:szCs w:val="28"/>
          <w:rtl/>
        </w:rPr>
        <w:t xml:space="preserve">٣- حاشية تجريد المنطق؛ دشتکی شیرازی، میر صدرالدین محمد (۹۰۳-۸۲۸)</w:t>
      </w:r>
    </w:p>
    <w:p>
      <w:pPr>
        <w:pStyle w:val="BookText"/>
      </w:pPr>
      <w:r>
        <w:rPr>
          <w:rFonts w:ascii="IRNazanin" w:hAnsi="IRNazanin" w:eastAsia="IRNazanin" w:cs="IRNazanin"/>
          <w:lang w:bidi="fa-IR"/>
          <w:color w:val="111111"/>
          <w:sz w:val="28"/>
          <w:szCs w:val="28"/>
          <w:rtl/>
        </w:rPr>
        <w:t xml:space="preserve">۴- شرح منطق التجرید
</w:t>
      </w:r>
    </w:p>
    <w:p>
      <w:pPr>
        <w:sectPr>
          <w:footerReference w:type="default" r:id="rId974"/>
          <w:footnotePr>
            <w:numStart w:val="1"/>
            <w:numRestart w:val="eachPage"/>
          </w:footnotePr>
          <w:pgSz w:orient="portrait" w:w="11905.511811023622" w:h="16837.79527559055"/>
          <w:pgMar w:top="1440" w:right="1440" w:bottom="1440" w:left="1440" w:header="720" w:footer="720" w:gutter="0"/>
          <w:cols w:num="1" w:space="720"/>
        </w:sectPr>
      </w:pPr>
    </w:p>
    <w:bookmarkStart w:id="730" w:name="pg20363_210092"/>
    <w:bookmarkEnd w:id="730"/>
    <w:p>
      <w:pPr>
        <w:pStyle w:val="BookText"/>
      </w:pPr>
      <w:r>
        <w:rPr>
          <w:rFonts w:ascii="IRNazanin" w:hAnsi="IRNazanin" w:eastAsia="IRNazanin" w:cs="IRNazanin"/>
          <w:lang w:bidi="fa-IR"/>
          <w:color w:val="111111"/>
          <w:sz w:val="28"/>
          <w:szCs w:val="28"/>
          <w:rtl/>
        </w:rPr>
        <w:t xml:space="preserve">۱. تهران؛ ملک؛ شماره نسخه:۶۴۰/۵</w:t>
      </w:r>
    </w:p>
    <w:p>
      <w:pPr>
        <w:pStyle w:val="BookText"/>
      </w:pPr>
      <w:r>
        <w:rPr>
          <w:rFonts w:ascii="IRNazanin" w:hAnsi="IRNazanin" w:eastAsia="IRNazanin" w:cs="IRNazanin"/>
          <w:lang w:bidi="fa-IR"/>
          <w:color w:val="111111"/>
          <w:sz w:val="28"/>
          <w:szCs w:val="28"/>
          <w:rtl/>
        </w:rPr>
        <w:t xml:space="preserve">آغاز و انجام: برابر تم كتاب التجريد و بالله العصمة و التسديد، فرغ من تاليفه في أواسط شعبان سنة ست و خمسین و تسعمائة خط: نسخ، كا: محمد بن ابی طیب خادم گویا جوربدی، تا: سالهای ۶۶۵ تا ۶۶۷ق؛ در ۸۳ر آمده که این نسخه در روزگار خواجه طوسی نوشته شده؛ تملک: محمد بن صنعان در ۹۴۲ کاغذ: دولت آبادی، جلد: میشن قهوه ای مغزی مشکی، ۳۱گ (۵۲پ - ۸۲ر)، ۲۱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۹سم [ف: ۵-۱۲۵]</w:t>
      </w:r>
    </w:p>
    <w:p>
      <w:pPr>
        <w:pStyle w:val="BookText"/>
      </w:pPr>
      <w:r>
        <w:rPr>
          <w:rFonts w:ascii="IRNazanin" w:hAnsi="IRNazanin" w:eastAsia="IRNazanin" w:cs="IRNazanin"/>
          <w:lang w:bidi="fa-IR"/>
          <w:color w:val="111111"/>
          <w:sz w:val="28"/>
          <w:szCs w:val="28"/>
          <w:rtl/>
        </w:rPr>
        <w:t xml:space="preserve">۲. تهران؛ دانشگاه؛ شماره نسخه: ۷۴۱۳/۷</w:t>
      </w:r>
    </w:p>
    <w:p>
      <w:pPr>
        <w:pStyle w:val="BookText"/>
      </w:pPr>
      <w:r>
        <w:rPr>
          <w:rFonts w:ascii="IRNazanin" w:hAnsi="IRNazanin" w:eastAsia="IRNazanin" w:cs="IRNazanin"/>
          <w:lang w:bidi="fa-IR"/>
          <w:color w:val="111111"/>
          <w:sz w:val="28"/>
          <w:szCs w:val="28"/>
          <w:rtl/>
        </w:rPr>
        <w:t xml:space="preserve">كان عبد الحسين بن میر باقر حسینی خاتون آبادی، تا: رمضان ۱۰۵۴ق؛ افتادگی: آغاز؛ کاغذ: سپاهانی، جلد: تیماج مشکی، ۱۵ سطر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سم [ف: ۱۶-۵۵۱]</w:t>
      </w:r>
    </w:p>
    <w:p>
      <w:pPr>
        <w:pStyle w:val="BookText"/>
      </w:pPr>
      <w:r>
        <w:rPr>
          <w:rFonts w:ascii="IRNazanin" w:hAnsi="IRNazanin" w:eastAsia="IRNazanin" w:cs="IRNazanin"/>
          <w:lang w:bidi="fa-IR"/>
          <w:color w:val="111111"/>
          <w:sz w:val="28"/>
          <w:szCs w:val="28"/>
          <w:rtl/>
        </w:rPr>
        <w:t xml:space="preserve">٣. تهران؛ مجلس؛ شماره نسخه: ۴۴۱/۲ -طباطبائی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۱۰۵۹ق؛ جلد: مقوایی با روکش پارچه سربی رنگ، ۳۵گ</w:t>
      </w:r>
    </w:p>
    <w:p>
      <w:pPr>
        <w:pStyle w:val="BookText"/>
      </w:pPr>
      <w:r>
        <w:rPr>
          <w:rFonts w:ascii="IRNazanin" w:hAnsi="IRNazanin" w:eastAsia="IRNazanin" w:cs="IRNazanin"/>
          <w:lang w:bidi="fa-IR"/>
          <w:color w:val="111111"/>
          <w:sz w:val="28"/>
          <w:szCs w:val="28"/>
          <w:rtl/>
        </w:rPr>
        <w:t xml:space="preserve">(۳۰پ -۶۴ر)، ۱۲ سطر، اندازه: 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۱۸/۵ سم [ف: ۲۲-۱۶۹]</w:t>
      </w:r>
    </w:p>
    <w:p>
      <w:pPr>
        <w:pStyle w:val="BookText"/>
      </w:pPr>
      <w:r>
        <w:rPr>
          <w:rFonts w:ascii="IRNazanin" w:hAnsi="IRNazanin" w:eastAsia="IRNazanin" w:cs="IRNazanin"/>
          <w:lang w:bidi="fa-IR"/>
          <w:color w:val="111111"/>
          <w:sz w:val="28"/>
          <w:szCs w:val="28"/>
          <w:rtl/>
        </w:rPr>
        <w:t xml:space="preserve">۴. اصفهان؛ مدرسه صدر بازار؛ شماره نسخه: ۷۸۱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مرتضی حسینی، تا: دوشنبه ۲۱ ذیقعده ۱۳۳۷ق؛ یادگاری سید جلال بن سید علی حسینی به سال ۱۴۱۰؛ اهدائی: سید علی نجف آبادی؛ جلد: تیماج مشک با لفاف کاغذی، ۶۴گ، ۱۰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سم [ف: ۳-۵۸۴]</w:t>
      </w:r>
    </w:p>
    <w:p>
      <w:pPr>
        <w:pStyle w:val="Heading3"/>
      </w:pPr>
      <w:bookmarkStart w:id="3110" w:name="_Toc2370"/>
      <w:r>
        <w:t>•تجرید الميزان / منطق / عربی</w:t>
      </w:r>
      <w:bookmarkEnd w:id="3110"/>
    </w:p>
    <w:p>
      <w:pPr>
        <w:pStyle w:val="BookText"/>
      </w:pPr>
      <w:r>
        <w:rPr>
          <w:rFonts w:ascii="Times New Roman" w:hAnsi="Times New Roman" w:eastAsia="Times New Roman" w:cs="Times New Roman"/>
          <w:lang w:val="en-US" w:bidi="en-US"/>
          <w:color w:val="111111"/>
          <w:sz w:val="28"/>
          <w:szCs w:val="28"/>
          <w:rtl/>
        </w:rPr>
        <w:t xml:space="preserve">tajrīd-ul mīzān</w:t>
      </w:r>
    </w:p>
    <w:p>
      <w:pPr>
        <w:pStyle w:val="BookText"/>
      </w:pPr>
      <w:r>
        <w:rPr>
          <w:rFonts w:ascii="IRNazanin" w:hAnsi="IRNazanin" w:eastAsia="IRNazanin" w:cs="IRNazanin"/>
          <w:lang w:bidi="fa-IR"/>
          <w:color w:val="111111"/>
          <w:sz w:val="28"/>
          <w:szCs w:val="28"/>
          <w:rtl/>
        </w:rPr>
        <w:t xml:space="preserve">صدر الافاضل، احمد بن سلطانعلی،-۱۳۴۳ قمری</w:t>
      </w:r>
    </w:p>
    <w:p>
      <w:pPr>
        <w:pStyle w:val="BookText"/>
      </w:pPr>
      <w:r>
        <w:rPr>
          <w:rFonts w:ascii="Times New Roman" w:hAnsi="Times New Roman" w:eastAsia="Times New Roman" w:cs="Times New Roman"/>
          <w:lang w:val="en-US" w:bidi="en-US"/>
          <w:color w:val="111111"/>
          <w:sz w:val="28"/>
          <w:szCs w:val="28"/>
          <w:rtl/>
        </w:rPr>
        <w:t xml:space="preserve">sadr-ol-afāzel, ahmad ebn-e soltān‘alī (-1925)</w:t>
      </w:r>
    </w:p>
    <w:p>
      <w:pPr>
        <w:pStyle w:val="BookText"/>
      </w:pPr>
      <w:r>
        <w:rPr>
          <w:rFonts w:ascii="IRNazanin" w:hAnsi="IRNazanin" w:eastAsia="IRNazanin" w:cs="IRNazanin"/>
          <w:lang w:bidi="fa-IR"/>
          <w:color w:val="111111"/>
          <w:sz w:val="28"/>
          <w:szCs w:val="28"/>
          <w:rtl/>
        </w:rPr>
        <w:t xml:space="preserve">وابسته به: الشريفية = ارجوزة في المنطق؛ کشفی، جعفر بن ابی اسحاق (۱۱۸۹-۱۲۶۷ق) تاریخ تأليف: پنجم صفر ۱۳۳۵ق شرح مزجی است بر ارجوزه «الشريفية» سید جعفر بن ابی اسحاق دارابی کشفی در قواعد منطق.</w:t>
      </w:r>
    </w:p>
    <w:p>
      <w:pPr>
        <w:pStyle w:val="BookText"/>
      </w:pPr>
      <w:r>
        <w:rPr>
          <w:rFonts w:ascii="Amiri" w:hAnsi="Amiri" w:eastAsia="Amiri" w:cs="Amiri"/>
          <w:lang w:bidi="ar-SA"/>
          <w:color w:val="111111"/>
          <w:sz w:val="28"/>
          <w:szCs w:val="28"/>
          <w:rtl/>
        </w:rPr>
        <w:t xml:space="preserve">آغاز: الحمدلله الذي توحد بالملك فلا ندله في ملكوت سلطانه و تفرد بالآلاء و النعماء فلا ضد له في جبروت شانه</w:t>
      </w:r>
    </w:p>
    <w:p>
      <w:pPr>
        <w:pStyle w:val="BookText"/>
      </w:pPr>
      <w:r>
        <w:rPr>
          <w:rFonts w:ascii="Amiri" w:hAnsi="Amiri" w:eastAsia="Amiri" w:cs="Amiri"/>
          <w:lang w:bidi="ar-SA"/>
          <w:color w:val="111111"/>
          <w:sz w:val="28"/>
          <w:szCs w:val="28"/>
          <w:rtl/>
        </w:rPr>
        <w:t xml:space="preserve">انجام: و لنختم في ألف مضى هجره و المائتين ثم احدى عشره، قد فرغت من تسويد شرحه و تأليفه</w:t>
      </w:r>
    </w:p>
    <w:p>
      <w:pPr>
        <w:pStyle w:val="BookText"/>
      </w:pPr>
      <w:r>
        <w:rPr>
          <w:rFonts w:ascii="IRNazanin" w:hAnsi="IRNazanin" w:eastAsia="IRNazanin" w:cs="IRNazanin"/>
          <w:lang w:bidi="fa-IR"/>
          <w:color w:val="111111"/>
          <w:sz w:val="28"/>
          <w:szCs w:val="28"/>
          <w:rtl/>
        </w:rPr>
        <w:t xml:space="preserve">۱. قم؛ مرعشی؛ شماره نسخه: ۹۶۶۷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كاتب = مؤلف، بی تا؛ مصحح، محشی؛ جلد: مقوایی عطف تیماج قهوه ای، ۶۷گ، ۱۲ سطر، اندازه: ۲۷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۴۳-۲۵ ]</w:t>
      </w:r>
    </w:p>
    <w:p>
      <w:pPr>
        <w:pStyle w:val="BookText"/>
      </w:pPr>
      <w:r>
        <w:rPr>
          <w:rFonts w:ascii="IRNazanin" w:hAnsi="IRNazanin" w:eastAsia="IRNazanin" w:cs="IRNazanin"/>
          <w:lang w:bidi="fa-IR"/>
          <w:color w:val="111111"/>
          <w:sz w:val="28"/>
          <w:szCs w:val="28"/>
          <w:rtl/>
        </w:rPr>
        <w:t xml:space="preserve">٢. اصفهان؛ سید کشفی؛ شماره نسخه:بدون شماره</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کا: سید روح الله کشفی، تا: ۲۹ ذیحجه ۱۳۵۰ق [دليل المخطوطات: ۴۴-۱ ]</w:t>
      </w:r>
    </w:p>
    <w:p>
      <w:pPr>
        <w:pStyle w:val="Heading3"/>
      </w:pPr>
      <w:bookmarkStart w:id="3111" w:name="_Toc2371"/>
      <w:r>
        <w:t>•تجرید نامه / شعر / فارسی</w:t>
      </w:r>
      <w:bookmarkEnd w:id="3111"/>
    </w:p>
    <w:p>
      <w:pPr>
        <w:pStyle w:val="BookText"/>
      </w:pPr>
      <w:r>
        <w:rPr>
          <w:rFonts w:ascii="Times New Roman" w:hAnsi="Times New Roman" w:eastAsia="Times New Roman" w:cs="Times New Roman"/>
          <w:lang w:val="en-US" w:bidi="en-US"/>
          <w:color w:val="111111"/>
          <w:sz w:val="28"/>
          <w:szCs w:val="28"/>
          <w:rtl/>
        </w:rPr>
        <w:t xml:space="preserve">tajrīd-nāme</w:t>
      </w:r>
    </w:p>
    <w:p>
      <w:pPr>
        <w:pStyle w:val="BookText"/>
      </w:pPr>
      <w:r>
        <w:rPr>
          <w:rFonts w:ascii="IRNazanin" w:hAnsi="IRNazanin" w:eastAsia="IRNazanin" w:cs="IRNazanin"/>
          <w:lang w:bidi="fa-IR"/>
          <w:color w:val="111111"/>
          <w:sz w:val="28"/>
          <w:szCs w:val="28"/>
          <w:rtl/>
        </w:rPr>
        <w:t xml:space="preserve">گوهری هروی، محمد ابراهيم بن آقابابا، ق۱۴ قمری</w:t>
      </w:r>
    </w:p>
    <w:p>
      <w:pPr>
        <w:pStyle w:val="BookText"/>
      </w:pPr>
      <w:r>
        <w:rPr>
          <w:rFonts w:ascii="Times New Roman" w:hAnsi="Times New Roman" w:eastAsia="Times New Roman" w:cs="Times New Roman"/>
          <w:lang w:val="en-US" w:bidi="en-US"/>
          <w:color w:val="111111"/>
          <w:sz w:val="28"/>
          <w:szCs w:val="28"/>
          <w:rtl/>
        </w:rPr>
        <w:t xml:space="preserve">gowharī heravī, mohammad ebrāhīm ebn-e ācā-bābā ( 20c)</w:t>
      </w:r>
    </w:p>
    <w:p>
      <w:pPr>
        <w:pStyle w:val="BookText"/>
      </w:pPr>
      <w:r>
        <w:rPr>
          <w:rFonts w:ascii="IRNazanin" w:hAnsi="IRNazanin" w:eastAsia="IRNazanin" w:cs="IRNazanin"/>
          <w:lang w:bidi="fa-IR"/>
          <w:color w:val="111111"/>
          <w:sz w:val="28"/>
          <w:szCs w:val="28"/>
          <w:rtl/>
        </w:rPr>
        <w:t xml:space="preserve">تاریخ تأليف: ۱۳۱۲ق</w:t>
      </w:r>
    </w:p>
    <w:p>
      <w:pPr>
        <w:pStyle w:val="BookText"/>
      </w:pPr>
      <w:r>
        <w:rPr>
          <w:rFonts w:ascii="IRNazanin" w:hAnsi="IRNazanin" w:eastAsia="IRNazanin" w:cs="IRNazanin"/>
          <w:lang w:bidi="fa-IR"/>
          <w:color w:val="111111"/>
          <w:sz w:val="28"/>
          <w:szCs w:val="28"/>
          <w:rtl/>
        </w:rPr>
        <w:t xml:space="preserve">دفتر سوم از مجموعه «ريحان العرفاء» سراینده است، دارای یکصد و هشتاد و یک رباعی در پند و اندرز به روش رباعیات بابا طاهر عریان همدانی، و می گوید: این نظم به وزن رباعی نیست ولی در آن وزن گفته های عریان پیروی شده که آن را رباعی می نامند. رباعی ها به ترتیب حروف قوافی آنها تنظیم شده است. ناظم به خط خود در پایان نسخه می نویسد «قسم می توان خورد که از این تجريد نامه هر کس منقلب نشود از خود ناامید شود که اهل جهنم است»</w:t>
      </w:r>
    </w:p>
    <w:p>
      <w:pPr>
        <w:pStyle w:val="BookText"/>
      </w:pPr>
      <w:r>
        <w:rPr>
          <w:rFonts w:ascii="IRNazanin" w:hAnsi="IRNazanin" w:eastAsia="IRNazanin" w:cs="IRNazanin"/>
          <w:lang w:bidi="fa-IR"/>
          <w:color w:val="111111"/>
          <w:sz w:val="28"/>
          <w:szCs w:val="28"/>
          <w:rtl/>
        </w:rPr>
        <w:t xml:space="preserve">[دنا ۷۹۹/۲ ؛ فهرستواره ۵۱۱/۱۰ ]</w:t>
      </w:r>
    </w:p>
    <w:p>
      <w:pPr>
        <w:pStyle w:val="BookText"/>
      </w:pPr>
      <w:r>
        <w:rPr>
          <w:rFonts w:ascii="IRNazanin" w:hAnsi="IRNazanin" w:eastAsia="IRNazanin" w:cs="IRNazanin"/>
          <w:lang w:bidi="fa-IR"/>
          <w:color w:val="111111"/>
          <w:sz w:val="28"/>
          <w:szCs w:val="28"/>
          <w:rtl/>
        </w:rPr>
        <w:t xml:space="preserve">قم: مرکز احیاء؛ شماره نسخه:۱۴۰۲ و عکسی ۲۳۸۰</w:t>
      </w:r>
    </w:p>
    <w:p>
      <w:pPr>
        <w:pStyle w:val="BookText"/>
      </w:pPr>
      <w:r>
        <w:rPr>
          <w:rFonts w:ascii="IRNazanin" w:hAnsi="IRNazanin" w:eastAsia="IRNazanin" w:cs="IRNazanin"/>
          <w:lang w:bidi="fa-IR"/>
          <w:color w:val="111111"/>
          <w:sz w:val="28"/>
          <w:szCs w:val="28"/>
          <w:rtl/>
        </w:rPr>
        <w:t xml:space="preserve">آغاز: میائید از عدم بیرون حذارا *** مبینید ای بشر دهر دغارا / که نام و دل پر خون برون کرد *** ز خود او انبیا و اولیا را</w:t>
      </w:r>
    </w:p>
    <w:p>
      <w:pPr>
        <w:pStyle w:val="BookText"/>
      </w:pPr>
      <w:r>
        <w:rPr>
          <w:rFonts w:ascii="IRNazanin" w:hAnsi="IRNazanin" w:eastAsia="IRNazanin" w:cs="IRNazanin"/>
          <w:lang w:bidi="fa-IR"/>
          <w:color w:val="111111"/>
          <w:sz w:val="28"/>
          <w:szCs w:val="28"/>
          <w:rtl/>
        </w:rPr>
        <w:t xml:space="preserve">خط: نستعلیق، بی کا، تا: یک شنبه ۲۹ جمادی الاول ۱۳۱۳ق؛ مصحح به خط خود سراینده؛ جلد: تیماج مشکی، ۱۴گ، ۱۲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۴-۲۳۷] و [عکسی ف: ۴۷۶۶]</w:t>
      </w:r>
    </w:p>
    <w:p>
      <w:pPr>
        <w:pStyle w:val="Heading3"/>
      </w:pPr>
      <w:bookmarkStart w:id="3112" w:name="_Toc2372"/>
      <w:r>
        <w:t>•تجرید نسخة في العروض / ادبیات عربی</w:t>
      </w:r>
      <w:bookmarkEnd w:id="3112"/>
    </w:p>
    <w:p>
      <w:pPr>
        <w:pStyle w:val="BookText"/>
      </w:pPr>
      <w:r>
        <w:rPr>
          <w:rFonts w:ascii="Times New Roman" w:hAnsi="Times New Roman" w:eastAsia="Times New Roman" w:cs="Times New Roman"/>
          <w:lang w:val="en-US" w:bidi="en-US"/>
          <w:color w:val="111111"/>
          <w:sz w:val="28"/>
          <w:szCs w:val="28"/>
          <w:rtl/>
        </w:rPr>
        <w:t xml:space="preserve">tajrīd-u nusxat-in fi-l ‘arūd</w:t>
      </w:r>
    </w:p>
    <w:p>
      <w:pPr>
        <w:pStyle w:val="BookText"/>
      </w:pPr>
      <w:r>
        <w:rPr>
          <w:rFonts w:ascii="IRNazanin" w:hAnsi="IRNazanin" w:eastAsia="IRNazanin" w:cs="IRNazanin"/>
          <w:lang w:bidi="fa-IR"/>
          <w:color w:val="111111"/>
          <w:sz w:val="28"/>
          <w:szCs w:val="28"/>
          <w:rtl/>
        </w:rPr>
        <w:t xml:space="preserve">اهداء به: فرید العصر فخر العرب جمال الزمان</w:t>
      </w:r>
    </w:p>
    <w:p>
      <w:pPr>
        <w:pStyle w:val="BookText"/>
      </w:pPr>
      <w:r>
        <w:rPr>
          <w:rFonts w:ascii="IRNazanin" w:hAnsi="IRNazanin" w:eastAsia="IRNazanin" w:cs="IRNazanin"/>
          <w:lang w:bidi="fa-IR"/>
          <w:color w:val="111111"/>
          <w:sz w:val="28"/>
          <w:szCs w:val="28"/>
          <w:rtl/>
        </w:rPr>
        <w:t xml:space="preserve">تاریخ تأليف: جمعه ۲۵ ربیع الثانی ۶۹۸ق</w:t>
      </w:r>
    </w:p>
    <w:p>
      <w:pPr>
        <w:pStyle w:val="BookText"/>
      </w:pPr>
      <w:r>
        <w:rPr>
          <w:rFonts w:ascii="IRNazanin" w:hAnsi="IRNazanin" w:eastAsia="IRNazanin" w:cs="IRNazanin"/>
          <w:lang w:bidi="fa-IR"/>
          <w:color w:val="111111"/>
          <w:sz w:val="28"/>
          <w:szCs w:val="28"/>
          <w:rtl/>
        </w:rPr>
        <w:t xml:space="preserve">تهران؛ مجلس؛ شماره نسخه: ۱۱۰۷/۲</w:t>
      </w:r>
    </w:p>
    <w:p>
      <w:pPr>
        <w:pStyle w:val="BookText"/>
      </w:pPr>
      <w:r>
        <w:rPr>
          <w:rFonts w:ascii="IRNazanin" w:hAnsi="IRNazanin" w:eastAsia="IRNazanin" w:cs="IRNazanin"/>
          <w:lang w:bidi="fa-IR"/>
          <w:color w:val="111111"/>
          <w:sz w:val="28"/>
          <w:szCs w:val="28"/>
          <w:rtl/>
        </w:rPr>
        <w:t xml:space="preserve">خط: نسخ، بی کا، بی تا، کاغذ: سفید، جلد: تیماج تریاکی، ۱۶ص ( ۳۳۶-۳۲۱ )، ۲۴سطر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[سنا: ف: ۲-۱۱۹]</w:t>
      </w:r>
    </w:p>
    <w:p>
      <w:pPr>
        <w:pStyle w:val="Heading3"/>
      </w:pPr>
      <w:bookmarkStart w:id="3113" w:name="_Toc2373"/>
      <w:r>
        <w:t>•تجرید و تفرید / عرفان و تصوف / فارسی</w:t>
      </w:r>
      <w:bookmarkEnd w:id="3113"/>
    </w:p>
    <w:p>
      <w:pPr>
        <w:pStyle w:val="BookText"/>
      </w:pPr>
      <w:r>
        <w:rPr>
          <w:rFonts w:ascii="Times New Roman" w:hAnsi="Times New Roman" w:eastAsia="Times New Roman" w:cs="Times New Roman"/>
          <w:lang w:val="en-US" w:bidi="en-US"/>
          <w:color w:val="111111"/>
          <w:sz w:val="28"/>
          <w:szCs w:val="28"/>
          <w:rtl/>
        </w:rPr>
        <w:t xml:space="preserve">tajrīd va tafrīd</w:t>
      </w:r>
    </w:p>
    <w:p>
      <w:pPr>
        <w:pStyle w:val="BookText"/>
      </w:pPr>
      <w:r>
        <w:rPr>
          <w:rFonts w:ascii="IRNazanin" w:hAnsi="IRNazanin" w:eastAsia="IRNazanin" w:cs="IRNazanin"/>
          <w:lang w:bidi="fa-IR"/>
          <w:color w:val="111111"/>
          <w:sz w:val="28"/>
          <w:szCs w:val="28"/>
          <w:rtl/>
        </w:rPr>
        <w:t xml:space="preserve">نعمة الله ولی، نعمة الله بن عبد الله، ۷۳۰؟ -۸۳۴ قمری</w:t>
      </w:r>
    </w:p>
    <w:p>
      <w:pPr>
        <w:pStyle w:val="BookText"/>
      </w:pPr>
      <w:r>
        <w:rPr>
          <w:rFonts w:ascii="Times New Roman" w:hAnsi="Times New Roman" w:eastAsia="Times New Roman" w:cs="Times New Roman"/>
          <w:lang w:val="en-US" w:bidi="en-US"/>
          <w:color w:val="111111"/>
          <w:sz w:val="28"/>
          <w:szCs w:val="28"/>
          <w:rtl/>
        </w:rPr>
        <w:t xml:space="preserve">ne'mat-ol-lāh-e valī, ne'mat-ol-lāh ebn-e 'abd-ol-lāh (1330-1431)</w:t>
      </w:r>
    </w:p>
    <w:p>
      <w:pPr>
        <w:pStyle w:val="BookText"/>
      </w:pPr>
      <w:r>
        <w:rPr>
          <w:rFonts w:ascii="IRNazanin" w:hAnsi="IRNazanin" w:eastAsia="IRNazanin" w:cs="IRNazanin"/>
          <w:lang w:bidi="fa-IR"/>
          <w:color w:val="111111"/>
          <w:sz w:val="28"/>
          <w:szCs w:val="28"/>
          <w:rtl/>
        </w:rPr>
        <w:t xml:space="preserve">به نثر.
</w:t>
      </w:r>
    </w:p>
    <w:p>
      <w:pPr>
        <w:sectPr>
          <w:footerReference w:type="default" r:id="rId975"/>
          <w:footnotePr>
            <w:numStart w:val="1"/>
            <w:numRestart w:val="eachPage"/>
          </w:footnotePr>
          <w:pgSz w:orient="portrait" w:w="11905.511811023622" w:h="16837.79527559055"/>
          <w:pgMar w:top="1440" w:right="1440" w:bottom="1440" w:left="1440" w:header="720" w:footer="720" w:gutter="0"/>
          <w:cols w:num="1" w:space="720"/>
        </w:sectPr>
      </w:pPr>
    </w:p>
    <w:bookmarkStart w:id="731" w:name="pg20363_210093"/>
    <w:bookmarkEnd w:id="731"/>
    <w:p>
      <w:pPr>
        <w:pStyle w:val="BookText"/>
      </w:pPr>
      <w:r>
        <w:rPr>
          <w:rFonts w:ascii="IRNazanin" w:hAnsi="IRNazanin" w:eastAsia="IRNazanin" w:cs="IRNazanin"/>
          <w:lang w:bidi="fa-IR"/>
          <w:color w:val="111111"/>
          <w:sz w:val="28"/>
          <w:szCs w:val="28"/>
          <w:rtl/>
        </w:rPr>
        <w:t xml:space="preserve">[فهرستواره منزوی ۱۷۲/۷ ]</w:t>
      </w:r>
    </w:p>
    <w:p>
      <w:pPr>
        <w:pStyle w:val="BookText"/>
      </w:pPr>
      <w:r>
        <w:rPr>
          <w:rFonts w:ascii="IRNazanin" w:hAnsi="IRNazanin" w:eastAsia="IRNazanin" w:cs="IRNazanin"/>
          <w:lang w:bidi="fa-IR"/>
          <w:color w:val="111111"/>
          <w:sz w:val="28"/>
          <w:szCs w:val="28"/>
          <w:rtl/>
        </w:rPr>
        <w:t xml:space="preserve">تهران؛ مجلس؛ شماره نسخه: ۱۴۹/۷</w:t>
      </w:r>
    </w:p>
    <w:p>
      <w:pPr>
        <w:pStyle w:val="BookText"/>
      </w:pPr>
      <w:r>
        <w:rPr>
          <w:rFonts w:ascii="IRNazanin" w:hAnsi="IRNazanin" w:eastAsia="IRNazanin" w:cs="IRNazanin"/>
          <w:lang w:bidi="fa-IR"/>
          <w:color w:val="111111"/>
          <w:sz w:val="28"/>
          <w:szCs w:val="28"/>
          <w:rtl/>
        </w:rPr>
        <w:t xml:space="preserve">خط: نستعلیق، بی کا، تا: قرن ۱۲؛ کاغذ: سفید، جلد: تیماج قهوه ای، کص (۳۷-۳۸)، ۲۰ سطر (۱۳۷۷)، اندازه: ۱۸۸۱۱سم سنا: ف: ۱-۷۴]</w:t>
      </w:r>
    </w:p>
    <w:p>
      <w:pPr>
        <w:pStyle w:val="Heading3"/>
      </w:pPr>
      <w:bookmarkStart w:id="3114" w:name="_Toc2374"/>
      <w:r>
        <w:t>•التجزی = تعليقة على مسئلة تجزي الاجتهاد / اصول فقه / عربی</w:t>
      </w:r>
      <w:bookmarkEnd w:id="3114"/>
    </w:p>
    <w:p>
      <w:pPr>
        <w:pStyle w:val="BookText"/>
      </w:pPr>
      <w:r>
        <w:rPr>
          <w:rFonts w:ascii="Times New Roman" w:hAnsi="Times New Roman" w:eastAsia="Times New Roman" w:cs="Times New Roman"/>
          <w:lang w:val="en-US" w:bidi="en-US"/>
          <w:color w:val="111111"/>
          <w:sz w:val="28"/>
          <w:szCs w:val="28"/>
          <w:rtl/>
        </w:rPr>
        <w:t xml:space="preserve">at-tajazzī= taʻlīqat-un 'alā mas’alat-it tajazzi-1 ijtihād</w:t>
      </w:r>
    </w:p>
    <w:p>
      <w:pPr>
        <w:pStyle w:val="BookText"/>
      </w:pPr>
      <w:r>
        <w:rPr>
          <w:rFonts w:ascii="IRNazanin" w:hAnsi="IRNazanin" w:eastAsia="IRNazanin" w:cs="IRNazanin"/>
          <w:lang w:bidi="fa-IR"/>
          <w:color w:val="111111"/>
          <w:sz w:val="28"/>
          <w:szCs w:val="28"/>
          <w:rtl/>
        </w:rPr>
        <w:t xml:space="preserve">همدانی، عبدالصمد بن محمد حسین، -۱۲۱۶ قمری</w:t>
      </w:r>
    </w:p>
    <w:p>
      <w:pPr>
        <w:pStyle w:val="BookText"/>
      </w:pPr>
      <w:r>
        <w:rPr>
          <w:rFonts w:ascii="Times New Roman" w:hAnsi="Times New Roman" w:eastAsia="Times New Roman" w:cs="Times New Roman"/>
          <w:lang w:val="en-US" w:bidi="en-US"/>
          <w:color w:val="111111"/>
          <w:sz w:val="28"/>
          <w:szCs w:val="28"/>
          <w:rtl/>
        </w:rPr>
        <w:t xml:space="preserve">hamadānī, 'abd-os-samad ebn-e mohammad hoseyn ( 1802)</w:t>
      </w:r>
    </w:p>
    <w:p>
      <w:pPr>
        <w:pStyle w:val="BookText"/>
      </w:pPr>
      <w:r>
        <w:rPr>
          <w:rFonts w:ascii="IRNazanin" w:hAnsi="IRNazanin" w:eastAsia="IRNazanin" w:cs="IRNazanin"/>
          <w:lang w:bidi="fa-IR"/>
          <w:color w:val="111111"/>
          <w:sz w:val="28"/>
          <w:szCs w:val="28"/>
          <w:rtl/>
        </w:rPr>
        <w:t xml:space="preserve">وابسته به: الاجتهاد و الاخبار = رسالة الاخبار و الاجتهاد، وحید بهبهانی، محمد باقر بن محمد اکمل (۱۱۱۸-۱۲۰۵ ق)</w:t>
      </w:r>
    </w:p>
    <w:p>
      <w:pPr>
        <w:pStyle w:val="BookText"/>
      </w:pPr>
      <w:r>
        <w:rPr>
          <w:rFonts w:ascii="IRNazanin" w:hAnsi="IRNazanin" w:eastAsia="IRNazanin" w:cs="IRNazanin"/>
          <w:lang w:bidi="fa-IR"/>
          <w:color w:val="111111"/>
          <w:sz w:val="28"/>
          <w:szCs w:val="28"/>
          <w:rtl/>
        </w:rPr>
        <w:t xml:space="preserve">تاریخ تأليف: ۱۱۹۶ق</w:t>
      </w:r>
    </w:p>
    <w:p>
      <w:pPr>
        <w:pStyle w:val="BookText"/>
      </w:pPr>
      <w:r>
        <w:rPr>
          <w:rFonts w:ascii="IRNazanin" w:hAnsi="IRNazanin" w:eastAsia="IRNazanin" w:cs="IRNazanin"/>
          <w:lang w:bidi="fa-IR"/>
          <w:color w:val="111111"/>
          <w:sz w:val="28"/>
          <w:szCs w:val="28"/>
          <w:rtl/>
        </w:rPr>
        <w:t xml:space="preserve">تعليقه مفصلی است بر رساله «اجتهاد و اخبار» استادش مرحوم وحید بهبهانی؛ همراه با نقل اقوال علما و رد و ایراد در آنها. در دو «مقام»: ۱. في جواز تجزی؛ ۲. اذاثبت جوازه عقلا فهل يجوز أن يجتهد و يعمل با جتهاده ام لا.</w:t>
      </w:r>
    </w:p>
    <w:p>
      <w:pPr>
        <w:pStyle w:val="BookText"/>
      </w:pPr>
      <w:r>
        <w:rPr>
          <w:rFonts w:ascii="IRNazanin" w:hAnsi="IRNazanin" w:eastAsia="IRNazanin" w:cs="IRNazanin"/>
          <w:lang w:bidi="fa-IR"/>
          <w:color w:val="111111"/>
          <w:sz w:val="28"/>
          <w:szCs w:val="28"/>
          <w:rtl/>
        </w:rPr>
        <w:t xml:space="preserve">آغاز: الحمد لله المنزه هي وصمة التجزی والتركيب والصلوة على الهادي إلى طريق التصويب و آله المعصومين.</w:t>
      </w:r>
    </w:p>
    <w:p>
      <w:pPr>
        <w:pStyle w:val="BookText"/>
      </w:pPr>
      <w:r>
        <w:rPr>
          <w:rFonts w:ascii="IRNazanin" w:hAnsi="IRNazanin" w:eastAsia="IRNazanin" w:cs="IRNazanin"/>
          <w:lang w:bidi="fa-IR"/>
          <w:color w:val="111111"/>
          <w:sz w:val="28"/>
          <w:szCs w:val="28"/>
          <w:rtl/>
        </w:rPr>
        <w:t xml:space="preserve">[دنا ۷۹۹/۲ ؛ ذریعه ۲۵۷/۳ ]</w:t>
      </w:r>
    </w:p>
    <w:p>
      <w:pPr>
        <w:pStyle w:val="BookText"/>
      </w:pPr>
      <w:r>
        <w:rPr>
          <w:rFonts w:ascii="IRNazanin" w:hAnsi="IRNazanin" w:eastAsia="IRNazanin" w:cs="IRNazanin"/>
          <w:lang w:bidi="fa-IR"/>
          <w:color w:val="111111"/>
          <w:sz w:val="28"/>
          <w:szCs w:val="28"/>
          <w:rtl/>
        </w:rPr>
        <w:t xml:space="preserve">١. خوی؛ نمازی، شماره نسخه:۸۴۸/۶</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کا: محمد بن حاج حیدر کرمانی گنجوی، تا: جمادی الاول ۱۲۰۱ق؛ از روی نسخه مؤلف؛ ۷گ (۱۳۰ر ۱۳۶ر)، اندازه: ۱۶۶۹سم [ میراث اسلامی: دفتر نهم -۱۰۴]</w:t>
      </w:r>
    </w:p>
    <w:p>
      <w:pPr>
        <w:pStyle w:val="BookText"/>
      </w:pPr>
      <w:r>
        <w:rPr>
          <w:rFonts w:ascii="IRNazanin" w:hAnsi="IRNazanin" w:eastAsia="IRNazanin" w:cs="IRNazanin"/>
          <w:lang w:bidi="fa-IR"/>
          <w:color w:val="111111"/>
          <w:sz w:val="28"/>
          <w:szCs w:val="28"/>
          <w:rtl/>
        </w:rPr>
        <w:t xml:space="preserve">قم: مرکز احیاء؛ شماره نسخه:۱۵۶۷/۵</w:t>
      </w:r>
    </w:p>
    <w:p>
      <w:pPr>
        <w:pStyle w:val="BookText"/>
      </w:pPr>
      <w:r>
        <w:rPr>
          <w:rFonts w:ascii="IRNazanin" w:hAnsi="IRNazanin" w:eastAsia="IRNazanin" w:cs="IRNazanin"/>
          <w:lang w:bidi="fa-IR"/>
          <w:color w:val="111111"/>
          <w:sz w:val="28"/>
          <w:szCs w:val="28"/>
          <w:rtl/>
        </w:rPr>
        <w:t xml:space="preserve">نسخه اصل: همان نسخه بالا [عکسی ف: ۴-۳۹۵]</w:t>
      </w:r>
    </w:p>
    <w:p>
      <w:pPr>
        <w:pStyle w:val="BookText"/>
      </w:pPr>
      <w:r>
        <w:rPr>
          <w:rFonts w:ascii="IRNazanin" w:hAnsi="IRNazanin" w:eastAsia="IRNazanin" w:cs="IRNazanin"/>
          <w:lang w:bidi="fa-IR"/>
          <w:color w:val="111111"/>
          <w:sz w:val="28"/>
          <w:szCs w:val="28"/>
          <w:rtl/>
        </w:rPr>
        <w:t xml:space="preserve">۲. خوی؛ نمازی، شماره نسخه: ۱۳۳/۸</w:t>
      </w:r>
    </w:p>
    <w:p>
      <w:pPr>
        <w:pStyle w:val="BookText"/>
      </w:pPr>
      <w:r>
        <w:rPr>
          <w:rFonts w:ascii="Amiri" w:hAnsi="Amiri" w:eastAsia="Amiri" w:cs="Amiri"/>
          <w:lang w:bidi="ar-SA"/>
          <w:color w:val="111111"/>
          <w:sz w:val="28"/>
          <w:szCs w:val="28"/>
          <w:rtl/>
        </w:rPr>
        <w:t xml:space="preserve">آغاز: برابر؛ انجام: غيره قاصرة عنها في الحجية بل اقوم و امتن من كثير منها.</w:t>
      </w:r>
    </w:p>
    <w:p>
      <w:pPr>
        <w:pStyle w:val="BookText"/>
      </w:pPr>
      <w:r>
        <w:rPr>
          <w:rFonts w:ascii="IRNazanin" w:hAnsi="IRNazanin" w:eastAsia="IRNazanin" w:cs="IRNazanin"/>
          <w:lang w:bidi="fa-IR"/>
          <w:color w:val="111111"/>
          <w:sz w:val="28"/>
          <w:szCs w:val="28"/>
          <w:rtl/>
        </w:rPr>
        <w:t xml:space="preserve">خط: نسخ خفی، بی کا، تا: ۱۲۰۳ق؛ در حاشیه رساله اول حاشیه ای از مؤلف به لفظ منه سلمه الله؛ واقف: حسن صدرزاده خویی، ۱۳۴۷ش؛ جلد: تیماج قهوه ای مجدول، ۲۳ سطر، اندازه:</w:t>
      </w:r>
    </w:p>
    <w:p>
      <w:pPr>
        <w:pStyle w:val="BookText"/>
      </w:pPr>
      <w:r>
        <w:rPr>
          <w:rFonts w:ascii="IRNazanin" w:hAnsi="IRNazanin" w:eastAsia="IRNazanin" w:cs="IRNazanin"/>
          <w:lang w:bidi="fa-IR"/>
          <w:color w:val="111111"/>
          <w:sz w:val="28"/>
          <w:szCs w:val="28"/>
          <w:rtl/>
        </w:rPr>
        <w:t xml:space="preserve">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۷۷]</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ملک؛ شماره نسخه: ۲۴۳۹/۱۲</w:t>
      </w:r>
    </w:p>
    <w:p>
      <w:pPr>
        <w:pStyle w:val="BookText"/>
      </w:pPr>
      <w:r>
        <w:rPr>
          <w:rFonts w:ascii="IRNazanin" w:hAnsi="IRNazanin" w:eastAsia="IRNazanin" w:cs="IRNazanin"/>
          <w:lang w:bidi="fa-IR"/>
          <w:color w:val="111111"/>
          <w:sz w:val="28"/>
          <w:szCs w:val="28"/>
          <w:rtl/>
        </w:rPr>
        <w:t xml:space="preserve">آغاز: برابر؛ انجام: هذا آخر ما جرى به القلم و الحمدلله على ما اولينا من النعم خط: نسخ، كا: محمد صالح خوانساری و حاج قاسم بن علی اکبر، بی تا؛ کاغذ: فستقی، رویه کاغذی مقوایی، ۵گ (۱۲۶ر-ر۱۳۰)، ۲۵ سطر، اندازه: ۲۱/۲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سم [ف: ۶-۱۷]</w:t>
      </w:r>
    </w:p>
    <w:p>
      <w:pPr>
        <w:pStyle w:val="Heading3"/>
      </w:pPr>
      <w:bookmarkStart w:id="3115" w:name="_Toc2375"/>
      <w:r>
        <w:t>•تجزی / اصول فقه / عربی</w:t>
      </w:r>
      <w:bookmarkEnd w:id="3115"/>
    </w:p>
    <w:p>
      <w:pPr>
        <w:pStyle w:val="BookText"/>
      </w:pPr>
      <w:r>
        <w:rPr>
          <w:rFonts w:ascii="Times New Roman" w:hAnsi="Times New Roman" w:eastAsia="Times New Roman" w:cs="Times New Roman"/>
          <w:lang w:val="en-US" w:bidi="en-US"/>
          <w:color w:val="111111"/>
          <w:sz w:val="28"/>
          <w:szCs w:val="28"/>
          <w:rtl/>
        </w:rPr>
        <w:t xml:space="preserve">tajazzī</w:t>
      </w:r>
    </w:p>
    <w:p>
      <w:pPr>
        <w:pStyle w:val="BookText"/>
      </w:pPr>
      <w:r>
        <w:rPr>
          <w:rFonts w:ascii="IRNazanin" w:hAnsi="IRNazanin" w:eastAsia="IRNazanin" w:cs="IRNazanin"/>
          <w:lang w:bidi="fa-IR"/>
          <w:color w:val="111111"/>
          <w:sz w:val="28"/>
          <w:szCs w:val="28"/>
          <w:rtl/>
        </w:rPr>
        <w:t xml:space="preserve">علی بن محمد</w:t>
      </w:r>
    </w:p>
    <w:p>
      <w:pPr>
        <w:pStyle w:val="BookText"/>
      </w:pPr>
      <w:r>
        <w:rPr>
          <w:rFonts w:ascii="Times New Roman" w:hAnsi="Times New Roman" w:eastAsia="Times New Roman" w:cs="Times New Roman"/>
          <w:lang w:val="en-US" w:bidi="en-US"/>
          <w:color w:val="111111"/>
          <w:sz w:val="28"/>
          <w:szCs w:val="28"/>
          <w:rtl/>
        </w:rPr>
        <w:t xml:space="preserve">‘alī ebn-e mohammad</w:t>
      </w:r>
    </w:p>
    <w:p>
      <w:pPr>
        <w:pStyle w:val="BookText"/>
      </w:pPr>
      <w:r>
        <w:rPr>
          <w:rFonts w:ascii="IRNazanin" w:hAnsi="IRNazanin" w:eastAsia="IRNazanin" w:cs="IRNazanin"/>
          <w:lang w:bidi="fa-IR"/>
          <w:color w:val="111111"/>
          <w:sz w:val="28"/>
          <w:szCs w:val="28"/>
          <w:rtl/>
        </w:rPr>
        <w:t xml:space="preserve">تاریخ تأليف: ۱۱۹۷ق</w:t>
      </w:r>
    </w:p>
    <w:p>
      <w:pPr>
        <w:pStyle w:val="BookText"/>
      </w:pPr>
      <w:r>
        <w:rPr>
          <w:rFonts w:ascii="IRNazanin" w:hAnsi="IRNazanin" w:eastAsia="IRNazanin" w:cs="IRNazanin"/>
          <w:lang w:bidi="fa-IR"/>
          <w:color w:val="111111"/>
          <w:sz w:val="28"/>
          <w:szCs w:val="28"/>
          <w:rtl/>
        </w:rPr>
        <w:t xml:space="preserve">نویسنده می گوید بعضی از دوستان از من خواستند که در مسأله تجزی در اجتهاد کتابی بپردازم و این مسأله را روشن کنم من بنا به درخواست ایشان این کتاب را در تجزى اجتهاد پرداختم. از مطالعه این کتاب بر می آید نویسنده از موافقان تجزی است.</w:t>
      </w:r>
    </w:p>
    <w:p>
      <w:pPr>
        <w:pStyle w:val="BookText"/>
      </w:pPr>
      <w:r>
        <w:rPr>
          <w:rFonts w:ascii="IRNazanin" w:hAnsi="IRNazanin" w:eastAsia="IRNazanin" w:cs="IRNazanin"/>
          <w:lang w:bidi="fa-IR"/>
          <w:color w:val="111111"/>
          <w:sz w:val="28"/>
          <w:szCs w:val="28"/>
          <w:rtl/>
        </w:rPr>
        <w:t xml:space="preserve">تهران؛ ملی؛ شماره نسخه: ۲۸۸۲/۱</w:t>
      </w:r>
    </w:p>
    <w:p>
      <w:pPr>
        <w:pStyle w:val="BookText"/>
      </w:pPr>
      <w:r>
        <w:rPr>
          <w:rFonts w:ascii="IRNazanin" w:hAnsi="IRNazanin" w:eastAsia="IRNazanin" w:cs="IRNazanin"/>
          <w:lang w:bidi="fa-IR"/>
          <w:color w:val="111111"/>
          <w:sz w:val="28"/>
          <w:szCs w:val="28"/>
          <w:rtl/>
        </w:rPr>
        <w:t xml:space="preserve">آغاز: بسمله، الحمدلله رب العالمین والصلوة والسلام على محمد و آله اجمعين، أما بعد فيقول؛ انجام: قد تمت الرساله بعون الله و حسن توفيقه و بركة اخبار السادات و سادات الاخيار</w:t>
      </w:r>
    </w:p>
    <w:p>
      <w:pPr>
        <w:pStyle w:val="BookText"/>
      </w:pPr>
      <w:r>
        <w:rPr>
          <w:rFonts w:ascii="IRNazanin" w:hAnsi="IRNazanin" w:eastAsia="IRNazanin" w:cs="IRNazanin"/>
          <w:lang w:bidi="fa-IR"/>
          <w:color w:val="111111"/>
          <w:sz w:val="28"/>
          <w:szCs w:val="28"/>
          <w:rtl/>
        </w:rPr>
        <w:t xml:space="preserve">بی کا، تا: اوایل قرن ۱۳؛ کاغذ: فرنگی، جلد: تیماج عطف تیماج مشکی، ۲۷ ص (۱-۲۷)، ۱۶ سطر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۶-۵۶۵]</w:t>
      </w:r>
    </w:p>
    <w:p>
      <w:pPr>
        <w:pStyle w:val="BookText"/>
      </w:pPr>
      <w:r>
        <w:rPr>
          <w:rFonts w:ascii="Amiri" w:hAnsi="Amiri" w:eastAsia="Amiri" w:cs="Amiri"/>
          <w:lang w:bidi="ar-SA"/>
          <w:color w:val="111111"/>
          <w:sz w:val="28"/>
          <w:szCs w:val="28"/>
          <w:rtl/>
        </w:rPr>
        <w:t xml:space="preserve">← تجزية الأمصار و ترجمة الاعصار ← تجزية الأمصار و تزجية الاعصار</w:t>
      </w:r>
    </w:p>
    <w:p>
      <w:pPr>
        <w:pStyle w:val="Heading3"/>
      </w:pPr>
      <w:bookmarkStart w:id="3116" w:name="_Toc2376"/>
      <w:r>
        <w:t>•تجزية الأمصار و تزجية الاعصار = تاریخ وصاف = تجزية الأمصار و ترجمة الاعصار / تاریخ ایران / فارسی</w:t>
      </w:r>
      <w:bookmarkEnd w:id="3116"/>
    </w:p>
    <w:p>
      <w:pPr>
        <w:pStyle w:val="BookText"/>
      </w:pPr>
      <w:r>
        <w:rPr>
          <w:rFonts w:ascii="Times New Roman" w:hAnsi="Times New Roman" w:eastAsia="Times New Roman" w:cs="Times New Roman"/>
          <w:lang w:val="en-US" w:bidi="en-US"/>
          <w:color w:val="111111"/>
          <w:sz w:val="28"/>
          <w:szCs w:val="28"/>
          <w:rtl/>
        </w:rPr>
        <w:t xml:space="preserve">tajzīyat-ol amsār va tazjīyat-ol a'sār = tārīx-e vassāf= tajzīyat-ol amsār va tarjomat-ol a'sār</w:t>
      </w:r>
    </w:p>
    <w:p>
      <w:pPr>
        <w:pStyle w:val="BookText"/>
      </w:pPr>
      <w:r>
        <w:rPr>
          <w:rFonts w:ascii="IRNazanin" w:hAnsi="IRNazanin" w:eastAsia="IRNazanin" w:cs="IRNazanin"/>
          <w:lang w:bidi="fa-IR"/>
          <w:color w:val="111111"/>
          <w:sz w:val="28"/>
          <w:szCs w:val="28"/>
          <w:rtl/>
        </w:rPr>
        <w:t xml:space="preserve">وصاف الحضره، عبدالله بن فضل الله، ۶۶۳-۷۳۰؟ قمری</w:t>
      </w:r>
    </w:p>
    <w:p>
      <w:pPr>
        <w:pStyle w:val="BookText"/>
      </w:pPr>
      <w:r>
        <w:rPr>
          <w:rFonts w:ascii="Times New Roman" w:hAnsi="Times New Roman" w:eastAsia="Times New Roman" w:cs="Times New Roman"/>
          <w:lang w:val="en-US" w:bidi="en-US"/>
          <w:color w:val="111111"/>
          <w:sz w:val="28"/>
          <w:szCs w:val="28"/>
          <w:rtl/>
        </w:rPr>
        <w:t xml:space="preserve">vassāf-ol-hazra, “abd-ol-lāh ebn-e fazl-ol-lāh (1265 1330)</w:t>
      </w:r>
    </w:p>
    <w:p>
      <w:pPr>
        <w:pStyle w:val="BookText"/>
      </w:pPr>
      <w:r>
        <w:rPr>
          <w:rFonts w:ascii="IRNazanin" w:hAnsi="IRNazanin" w:eastAsia="IRNazanin" w:cs="IRNazanin"/>
          <w:lang w:bidi="fa-IR"/>
          <w:color w:val="111111"/>
          <w:sz w:val="28"/>
          <w:szCs w:val="28"/>
          <w:rtl/>
        </w:rPr>
        <w:t xml:space="preserve">اهدا به: اولیجایتو خدابنده</w:t>
      </w:r>
    </w:p>
    <w:p>
      <w:pPr>
        <w:pStyle w:val="BookText"/>
      </w:pPr>
      <w:r>
        <w:rPr>
          <w:rFonts w:ascii="IRNazanin" w:hAnsi="IRNazanin" w:eastAsia="IRNazanin" w:cs="IRNazanin"/>
          <w:lang w:bidi="fa-IR"/>
          <w:color w:val="111111"/>
          <w:sz w:val="28"/>
          <w:szCs w:val="28"/>
          <w:rtl/>
        </w:rPr>
        <w:t xml:space="preserve">تاريخ تأليف: جلد اول در ۶۹۹ق و جلد پنجم در ۷۱۲ق</w:t>
      </w:r>
    </w:p>
    <w:p>
      <w:pPr>
        <w:pStyle w:val="BookText"/>
      </w:pPr>
      <w:r>
        <w:rPr>
          <w:rFonts w:ascii="IRNazanin" w:hAnsi="IRNazanin" w:eastAsia="IRNazanin" w:cs="IRNazanin"/>
          <w:lang w:bidi="fa-IR"/>
          <w:color w:val="111111"/>
          <w:sz w:val="28"/>
          <w:szCs w:val="28"/>
          <w:rtl/>
        </w:rPr>
        <w:t xml:space="preserve">این کتاب در پنج جلد و دنباله تاریخ جهانگشای جوینی می باشد و در روش انشاء نیز پیرو او و پدر خود در المعجم است و آن روش را به درجه کمال خود رسانیده است. پسینیان او مانند شرف الدین علی یزدی در «ظفرنامه» و صاین الدین علی ترکه و وحید قزوینی و میرزا مهدی استر آبادی در «دره نادری» و «جهانگشای نادری» و میرزا صادق نامی در «گیتی گشا» که از وی پیروی کرده اند، به او نرسیده اند. او نثر فنی فارسی را پیرو عربی ساخته و آن را از جمله ها و واژه های عربی انباشته است و جسته جسته واژه های مغولی نیز در آن یافت می شود، وی با همه درستی و راستی این تاریخ را تا پایه مقامه نویسی و مجلس گویی پایین آورده است. خود در آغاز بخش دوم کتاب می گوید من
</w:t>
      </w:r>
    </w:p>
    <w:p>
      <w:pPr>
        <w:sectPr>
          <w:footerReference w:type="default" r:id="rId9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نمایش توانایی انشای خود چنین نگاشته ام. در این کتاب تاریخ چنگیز خان و فرزندانش از سال (۶۵۶ق) تا بوسعید بهادر خان (۷۲۸ق) را آورده است. این کتاب تا پایان قرن سیزدهم هجری یک متن کلاسیک به شمار می رفت و آن را در آموزشگاه ها به جوانان می آموختند. (علینقی منزوی).</w:t>
      </w:r>
    </w:p>
    <w:p>
      <w:pPr>
        <w:pStyle w:val="BookText"/>
      </w:pPr>
      <w:r>
        <w:rPr>
          <w:rFonts w:ascii="IRNazanin" w:hAnsi="IRNazanin" w:eastAsia="IRNazanin" w:cs="IRNazanin"/>
          <w:lang w:bidi="fa-IR"/>
          <w:color w:val="111111"/>
          <w:sz w:val="28"/>
          <w:szCs w:val="28"/>
          <w:rtl/>
        </w:rPr>
        <w:t xml:space="preserve">از ترجمه آلمانی، اردو و شرح ترکی آن یاد شده است.</w:t>
      </w:r>
    </w:p>
    <w:p>
      <w:pPr>
        <w:pStyle w:val="BookText"/>
      </w:pPr>
      <w:r>
        <w:rPr>
          <w:rFonts w:ascii="IRNazanin" w:hAnsi="IRNazanin" w:eastAsia="IRNazanin" w:cs="IRNazanin"/>
          <w:lang w:bidi="fa-IR"/>
          <w:color w:val="111111"/>
          <w:sz w:val="28"/>
          <w:szCs w:val="28"/>
          <w:rtl/>
        </w:rPr>
        <w:t xml:space="preserve">آغاز: ج 1: حمد و ستایشی که انوار اخلاصش آفاق و انفس را چون فاتحه صبح صادق متلالی سازد ...</w:t>
      </w:r>
    </w:p>
    <w:p>
      <w:pPr>
        <w:pStyle w:val="BookText"/>
      </w:pPr>
      <w:r>
        <w:rPr>
          <w:rFonts w:ascii="IRNazanin" w:hAnsi="IRNazanin" w:eastAsia="IRNazanin" w:cs="IRNazanin"/>
          <w:lang w:bidi="fa-IR"/>
          <w:color w:val="111111"/>
          <w:sz w:val="28"/>
          <w:szCs w:val="28"/>
          <w:rtl/>
        </w:rPr>
        <w:t xml:space="preserve">ج۲: فرخ ترین نوایی که نای مرغ زمزمه سرای زبان را</w:t>
      </w:r>
    </w:p>
    <w:p>
      <w:pPr>
        <w:pStyle w:val="BookText"/>
      </w:pPr>
      <w:r>
        <w:rPr>
          <w:rFonts w:ascii="Amiri" w:hAnsi="Amiri" w:eastAsia="Amiri" w:cs="Amiri"/>
          <w:lang w:bidi="ar-SA"/>
          <w:color w:val="111111"/>
          <w:sz w:val="28"/>
          <w:szCs w:val="28"/>
          <w:rtl/>
        </w:rPr>
        <w:t xml:space="preserve">ج3: الحمد لله الذي خلق الانسان من حماء مسنون..</w:t>
      </w:r>
    </w:p>
    <w:p>
      <w:pPr>
        <w:pStyle w:val="BookText"/>
      </w:pPr>
      <w:r>
        <w:rPr>
          <w:rFonts w:ascii="IRNazanin" w:hAnsi="IRNazanin" w:eastAsia="IRNazanin" w:cs="IRNazanin"/>
          <w:lang w:bidi="fa-IR"/>
          <w:color w:val="111111"/>
          <w:sz w:val="28"/>
          <w:szCs w:val="28"/>
          <w:rtl/>
        </w:rPr>
        <w:t xml:space="preserve">ج ۴: ابتسم الورد بنشر النسيم ... اما بعد ... چون در مجلد سوم تا آخر شور سنه سبعمائة درین فصل الخطاب، سخن بذکر استخلاص دمشق و شامات ...</w:t>
      </w:r>
    </w:p>
    <w:p>
      <w:pPr>
        <w:pStyle w:val="BookText"/>
      </w:pPr>
      <w:r>
        <w:rPr>
          <w:rFonts w:ascii="IRNazanin" w:hAnsi="IRNazanin" w:eastAsia="IRNazanin" w:cs="IRNazanin"/>
          <w:lang w:bidi="fa-IR"/>
          <w:color w:val="111111"/>
          <w:sz w:val="28"/>
          <w:szCs w:val="28"/>
          <w:rtl/>
        </w:rPr>
        <w:t xml:space="preserve">ج ۵: هر سپاسی که ساحت اوضاعش مصون از ساحت خيال ...</w:t>
      </w:r>
    </w:p>
    <w:p>
      <w:pPr>
        <w:pStyle w:val="BookText"/>
      </w:pPr>
      <w:r>
        <w:rPr>
          <w:rFonts w:ascii="IRNazanin" w:hAnsi="IRNazanin" w:eastAsia="IRNazanin" w:cs="IRNazanin"/>
          <w:lang w:bidi="fa-IR"/>
          <w:color w:val="111111"/>
          <w:sz w:val="28"/>
          <w:szCs w:val="28"/>
          <w:rtl/>
        </w:rPr>
        <w:t xml:space="preserve">انجام: جلد ۲: و اقامت و سلم و حرب رفیق و همنشین گردد ... وحده العزيز</w:t>
      </w:r>
    </w:p>
    <w:p>
      <w:pPr>
        <w:pStyle w:val="BookText"/>
      </w:pPr>
      <w:r>
        <w:rPr>
          <w:rFonts w:ascii="IRNazanin" w:hAnsi="IRNazanin" w:eastAsia="IRNazanin" w:cs="IRNazanin"/>
          <w:lang w:bidi="fa-IR"/>
          <w:color w:val="111111"/>
          <w:sz w:val="28"/>
          <w:szCs w:val="28"/>
          <w:rtl/>
        </w:rPr>
        <w:t xml:space="preserve">ج3: بتأیید و نصرت کرامت کن، و پرحم الله عبدا قال آمينا</w:t>
      </w:r>
    </w:p>
    <w:p>
      <w:pPr>
        <w:pStyle w:val="BookText"/>
      </w:pPr>
      <w:r>
        <w:rPr>
          <w:rFonts w:ascii="IRNazanin" w:hAnsi="IRNazanin" w:eastAsia="IRNazanin" w:cs="IRNazanin"/>
          <w:lang w:bidi="fa-IR"/>
          <w:color w:val="111111"/>
          <w:sz w:val="28"/>
          <w:szCs w:val="28"/>
          <w:rtl/>
        </w:rPr>
        <w:t xml:space="preserve">ج ۴: با ظالم بممانعت هرگز گردش روزگار نخروشد و ناخن ندامت رخسار جان او را نخراشد یا ایها الناس قد جائكم موعظة من ربكم ... و رحمة للمومنین بتوفيق رب العالمين.</w:t>
      </w:r>
    </w:p>
    <w:p>
      <w:pPr>
        <w:pStyle w:val="BookText"/>
      </w:pPr>
      <w:r>
        <w:rPr>
          <w:rFonts w:ascii="IRNazanin" w:hAnsi="IRNazanin" w:eastAsia="IRNazanin" w:cs="IRNazanin"/>
          <w:lang w:bidi="fa-IR"/>
          <w:color w:val="111111"/>
          <w:sz w:val="28"/>
          <w:szCs w:val="28"/>
          <w:rtl/>
        </w:rPr>
        <w:t xml:space="preserve">ج ۵: لایزال روزگار دولتیار مخدوم جهانیان را کرامت باد شعر: و هذا دعاء لو سكت كفيته *** لانی سألت الله فيك و قد فعل. و الحمدلله رب العالمين و الصلوة على رسول الله و آله الطاهرین. چاپ: مشار، فارسی ۱۱۸۵/۱ (۱۶ چاپ)؛ تهران، ۱۳۴۶ش، تحریر تازه ای از عبدالمحمد آیتی، با عنوان «تحریر تاریخ وصاف»؛ دارالسلطنه تبریز، سنگی، ۱۲۷۲ق، وزیری، ۲۸۰ص؛ تهران، ۱۳۱۴ق، وزیری، ۳۰۳؛ بندر بمبئی، سنگی، ۱۲۶۹، رحلی کوچک، ۷۰۸ص؛ لاهور، سنگی، ۱۹۲۹م، وزیری، ۲۹۶ص</w:t>
      </w:r>
    </w:p>
    <w:p>
      <w:pPr>
        <w:pStyle w:val="BookText"/>
      </w:pPr>
      <w:r>
        <w:rPr>
          <w:rFonts w:ascii="IRNazanin" w:hAnsi="IRNazanin" w:eastAsia="IRNazanin" w:cs="IRNazanin"/>
          <w:lang w:bidi="fa-IR"/>
          <w:color w:val="111111"/>
          <w:sz w:val="28"/>
          <w:szCs w:val="28"/>
          <w:rtl/>
        </w:rPr>
        <w:t xml:space="preserve">[کشف الظنون ۳۵۲/۱ و ۳۰۹/۱ ؛ الذريعة ۳۵۸/۳ ؛ نسخه های منزوی ۴۲۸۰/۶ ؛ مشترک پاکستان ۱۵۶/۱۰ ؛ فهرستواره منزوی ۹۱۸/۲ ؛ ریحانة الادب ۳۱۸/۶ ؛ معجم المؤلفين ۱۰۲/۶ ؛ دنا ۸۰۰/۲ (۱۶۴ نسخه)]</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تتمة اللغات = فرهنگ لغات غريبه تاریخ وصاف</w:t>
      </w:r>
    </w:p>
    <w:p>
      <w:pPr>
        <w:pStyle w:val="BookText"/>
      </w:pPr>
      <w:r>
        <w:rPr>
          <w:rFonts w:ascii="IRNazanin" w:hAnsi="IRNazanin" w:eastAsia="IRNazanin" w:cs="IRNazanin"/>
          <w:lang w:bidi="fa-IR"/>
          <w:color w:val="111111"/>
          <w:sz w:val="28"/>
          <w:szCs w:val="28"/>
          <w:rtl/>
        </w:rPr>
        <w:t xml:space="preserve">۲- شرح تاریخ وصاف</w:t>
      </w:r>
    </w:p>
    <w:p>
      <w:pPr>
        <w:pStyle w:val="BookText"/>
      </w:pPr>
      <w:r>
        <w:rPr>
          <w:rFonts w:ascii="IRNazanin" w:hAnsi="IRNazanin" w:eastAsia="IRNazanin" w:cs="IRNazanin"/>
          <w:lang w:bidi="fa-IR"/>
          <w:color w:val="111111"/>
          <w:sz w:val="28"/>
          <w:szCs w:val="28"/>
          <w:rtl/>
        </w:rPr>
        <w:t xml:space="preserve">۱. تهران: مدارک فرهنگی؛ شماره نسخه:۱۹۳</w:t>
      </w:r>
    </w:p>
    <w:p>
      <w:pPr>
        <w:pStyle w:val="BookText"/>
      </w:pPr>
      <w:r>
        <w:rPr>
          <w:rFonts w:ascii="IRNazanin" w:hAnsi="IRNazanin" w:eastAsia="IRNazanin" w:cs="IRNazanin"/>
          <w:lang w:bidi="fa-IR"/>
          <w:color w:val="111111"/>
          <w:sz w:val="28"/>
          <w:szCs w:val="28"/>
          <w:rtl/>
        </w:rPr>
        <w:t xml:space="preserve">آغاز: در این قطعه که گفته ام لمعه ایست از برق این بیان؛ انجام: بر افاق و انفس لمعان یافت و دست هتک و عدوان</w:t>
      </w:r>
    </w:p>
    <w:p>
      <w:pPr>
        <w:pStyle w:val="BookText"/>
      </w:pPr>
      <w:r>
        <w:rPr>
          <w:rFonts w:ascii="IRNazanin" w:hAnsi="IRNazanin" w:eastAsia="IRNazanin" w:cs="IRNazanin"/>
          <w:lang w:bidi="fa-IR"/>
          <w:color w:val="111111"/>
          <w:sz w:val="28"/>
          <w:szCs w:val="28"/>
          <w:rtl/>
        </w:rPr>
        <w:t xml:space="preserve">قسمتی از جلد اول و دوم؛ خط: شکسته نستعلیق متوسط، بی کا، تا: شعبان ۷۱۱ق؛ افتادگی: آغاز و وسط و انجام؛ مصحح، محشی؛ کاغذ: فرنگی آبی، جلد: مقوایی روکش تیماج تریاکی، ۷۳گ، ۲۳ و ۲۵ سطر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۱۷۴]</w:t>
      </w:r>
    </w:p>
    <w:p>
      <w:pPr>
        <w:pStyle w:val="BookText"/>
      </w:pPr>
      <w:r>
        <w:rPr>
          <w:rFonts w:ascii="IRNazanin" w:hAnsi="IRNazanin" w:eastAsia="IRNazanin" w:cs="IRNazanin"/>
          <w:lang w:bidi="fa-IR"/>
          <w:color w:val="111111"/>
          <w:sz w:val="28"/>
          <w:szCs w:val="28"/>
          <w:rtl/>
        </w:rPr>
        <w:t xml:space="preserve">۲. تهران، دانشگاه؛ شماره نسخه:۲۸۱۹-ف</w:t>
      </w:r>
    </w:p>
    <w:p>
      <w:pPr>
        <w:pStyle w:val="BookText"/>
      </w:pPr>
      <w:r>
        <w:rPr>
          <w:rFonts w:ascii="IRNazanin" w:hAnsi="IRNazanin" w:eastAsia="IRNazanin" w:cs="IRNazanin"/>
          <w:lang w:bidi="fa-IR"/>
          <w:color w:val="111111"/>
          <w:sz w:val="28"/>
          <w:szCs w:val="28"/>
          <w:rtl/>
        </w:rPr>
        <w:t xml:space="preserve">نسخه اصل: نور عثمانیه ش ۳۲۰۷. ج ۴، بی کا، تا: با تاریخ ۷۱۱ق؛ در پایان آن ترجمة النصایح است از همو مورخ شعبان ۷۱۱؛ ۳۱۱گ [فیلمها ف: ۱-۴۱]</w:t>
      </w:r>
    </w:p>
    <w:p>
      <w:pPr>
        <w:pStyle w:val="BookText"/>
      </w:pPr>
      <w:r>
        <w:rPr>
          <w:rFonts w:ascii="IRNazanin" w:hAnsi="IRNazanin" w:eastAsia="IRNazanin" w:cs="IRNazanin"/>
          <w:lang w:bidi="fa-IR"/>
          <w:color w:val="111111"/>
          <w:sz w:val="28"/>
          <w:szCs w:val="28"/>
          <w:rtl/>
        </w:rPr>
        <w:t xml:space="preserve">٣. تهران؛ ادبیات، شماره نسخه: ۲۵/۱ - ج</w:t>
      </w:r>
    </w:p>
    <w:p>
      <w:pPr>
        <w:pStyle w:val="BookText"/>
      </w:pPr>
      <w:r>
        <w:rPr>
          <w:rFonts w:ascii="IRNazanin" w:hAnsi="IRNazanin" w:eastAsia="IRNazanin" w:cs="IRNazanin"/>
          <w:lang w:bidi="fa-IR"/>
          <w:color w:val="111111"/>
          <w:sz w:val="28"/>
          <w:szCs w:val="28"/>
          <w:rtl/>
        </w:rPr>
        <w:t xml:space="preserve">جزو او ۲؛ خط: نسخ، كا: محمد بن احمد معروف به کاتب تستری، تا: یک شنبه 3 ربيع الثانی ۷۵۰ق؛ مجدول؛ تملك: محمد کوچک چلبی، سید محمد امین قاضی قسطنطنیه، احمد مختار مدرس مدرسه ایاصوفیه، احمد ینگی میرزا زاده ، محمد امین پاشا زاده؛ کاغذ: سمرقندی، جلد: تیماج سرخ، ۲۰۱گ، ۲۵ سطر (۱۷۸۱۱)، اندازه: ۲۵</w:t>
      </w:r>
      <w:r>
        <w:rPr>
          <w:rFonts w:ascii="Times New Roman" w:hAnsi="Times New Roman" w:eastAsia="Times New Roman" w:cs="Times New Roman"/>
          <w:lang w:val="en-US" w:bidi="en-US"/>
          <w:color w:val="111111"/>
          <w:sz w:val="28"/>
          <w:szCs w:val="28"/>
          <w:rtl/>
        </w:rPr>
        <w:t xml:space="preserve">x</w:t>
      </w:r>
      <w:r>
        <w:rPr>
          <w:rFonts w:ascii="IRNazanin" w:hAnsi="IRNazanin" w:eastAsia="IRNazanin" w:cs="IRNazanin"/>
          <w:lang w:bidi="fa-IR"/>
          <w:color w:val="111111"/>
          <w:sz w:val="28"/>
          <w:szCs w:val="28"/>
          <w:rtl/>
        </w:rPr>
        <w:t xml:space="preserve">۱۷سم [ف: ۱-۸۱]</w:t>
      </w:r>
    </w:p>
    <w:p>
      <w:pPr>
        <w:pStyle w:val="BookText"/>
      </w:pPr>
      <w:r>
        <w:rPr>
          <w:rFonts w:ascii="IRNazanin" w:hAnsi="IRNazanin" w:eastAsia="IRNazanin" w:cs="IRNazanin"/>
          <w:lang w:bidi="fa-IR"/>
          <w:color w:val="111111"/>
          <w:sz w:val="28"/>
          <w:szCs w:val="28"/>
          <w:rtl/>
        </w:rPr>
        <w:t xml:space="preserve">تهران؛ دانشگاه؛ شماره نسخه: ۵۶۳۲-ف</w:t>
      </w:r>
    </w:p>
    <w:p>
      <w:pPr>
        <w:pStyle w:val="BookText"/>
      </w:pPr>
      <w:r>
        <w:rPr>
          <w:rFonts w:ascii="Amiri" w:hAnsi="Amiri" w:eastAsia="Amiri" w:cs="Amiri"/>
          <w:lang w:bidi="ar-SA"/>
          <w:color w:val="111111"/>
          <w:sz w:val="28"/>
          <w:szCs w:val="28"/>
          <w:rtl/>
        </w:rPr>
        <w:t xml:space="preserve">نسخه اصل: همان نسخه بالا [فيلمها ف: ۳-۱۷۲]</w:t>
      </w:r>
    </w:p>
    <w:p>
      <w:pPr>
        <w:pStyle w:val="BookText"/>
      </w:pPr>
      <w:r>
        <w:rPr>
          <w:rFonts w:ascii="IRNazanin" w:hAnsi="IRNazanin" w:eastAsia="IRNazanin" w:cs="IRNazanin"/>
          <w:lang w:bidi="fa-IR"/>
          <w:color w:val="111111"/>
          <w:sz w:val="28"/>
          <w:szCs w:val="28"/>
          <w:rtl/>
        </w:rPr>
        <w:t xml:space="preserve">۴. قم؛ مرعشی؛ شماره نسخه:۱۳۰۴۵</w:t>
      </w:r>
    </w:p>
    <w:p>
      <w:pPr>
        <w:pStyle w:val="BookText"/>
      </w:pPr>
      <w:r>
        <w:rPr>
          <w:rFonts w:ascii="IRNazanin" w:hAnsi="IRNazanin" w:eastAsia="IRNazanin" w:cs="IRNazanin"/>
          <w:lang w:bidi="fa-IR"/>
          <w:color w:val="111111"/>
          <w:sz w:val="28"/>
          <w:szCs w:val="28"/>
          <w:rtl/>
        </w:rPr>
        <w:t xml:space="preserve">آغاز: برابر جلد ۴، انجام: برابر جلد ۵</w:t>
      </w:r>
    </w:p>
    <w:p>
      <w:pPr>
        <w:pStyle w:val="BookText"/>
      </w:pPr>
      <w:r>
        <w:rPr>
          <w:rFonts w:ascii="IRNazanin" w:hAnsi="IRNazanin" w:eastAsia="IRNazanin" w:cs="IRNazanin"/>
          <w:lang w:bidi="fa-IR"/>
          <w:color w:val="111111"/>
          <w:sz w:val="28"/>
          <w:szCs w:val="28"/>
          <w:rtl/>
        </w:rPr>
        <w:t xml:space="preserve">جلد ۴ و ۵ خط: نسخ، بی کا، تا: ۸ رمضان ۱۴۴ق، جان شیراز؛ از روی نسخه مورخ ۷۱۲ق در شهرستان سبزوار کتابت شده، دارای دو سرلوح عهد تیموری بسیار زیبای، مجدول مذهب، مصحح؛ تملک: مرحوم آیت الله میرزا على ثقة الاسلام تبریزی شهید؛ کاغذ: شرقی، جلد: تیماج ضربی، ۲۰۹گ، ۱۹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w:t>
      </w:r>
    </w:p>
    <w:p>
      <w:pPr>
        <w:pStyle w:val="BookText"/>
      </w:pPr>
      <w:r>
        <w:rPr>
          <w:rFonts w:ascii="IRNazanin" w:hAnsi="IRNazanin" w:eastAsia="IRNazanin" w:cs="IRNazanin"/>
          <w:lang w:bidi="fa-IR"/>
          <w:color w:val="111111"/>
          <w:sz w:val="28"/>
          <w:szCs w:val="28"/>
          <w:rtl/>
        </w:rPr>
        <w:t xml:space="preserve">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[ف: ۳۳-۹۸] و [میراث شهاب: س 9ش ۲-۶]</w:t>
      </w:r>
    </w:p>
    <w:p>
      <w:pPr>
        <w:pStyle w:val="BookText"/>
      </w:pPr>
      <w:r>
        <w:rPr>
          <w:rFonts w:ascii="IRNazanin" w:hAnsi="IRNazanin" w:eastAsia="IRNazanin" w:cs="IRNazanin"/>
          <w:lang w:bidi="fa-IR"/>
          <w:color w:val="111111"/>
          <w:sz w:val="28"/>
          <w:szCs w:val="28"/>
          <w:rtl/>
        </w:rPr>
        <w:t xml:space="preserve">۵. تهران؛ ملک؛ شماره نسخه:۴۰۹۳</w:t>
      </w:r>
    </w:p>
    <w:p>
      <w:pPr>
        <w:pStyle w:val="BookText"/>
      </w:pPr>
      <w:r>
        <w:rPr>
          <w:rFonts w:ascii="IRNazanin" w:hAnsi="IRNazanin" w:eastAsia="IRNazanin" w:cs="IRNazanin"/>
          <w:lang w:bidi="fa-IR"/>
          <w:color w:val="111111"/>
          <w:sz w:val="28"/>
          <w:szCs w:val="28"/>
          <w:rtl/>
        </w:rPr>
        <w:t xml:space="preserve">آغاز: آخر الامر دست در دامن الابرام وسيلة النجاح زد آخر جلد سوم؛ خط: نسخ معرب، بی کا، تا: ۱۴ محرم ۸۵۷ق؛ افتادگی: آغاز؛ دارای چهار پیشانی مذهب؛ کاغذ: کاغذ ترمه، جلد: میشن قرمز، ۴۶۳ گ، ۱۸ سطر، اندازه: ۲۶/۶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۱۸/۶ سم [ف: ۹۹-۲ ]</w:t>
      </w:r>
    </w:p>
    <w:p>
      <w:pPr>
        <w:pStyle w:val="BookText"/>
      </w:pPr>
      <w:r>
        <w:rPr>
          <w:rFonts w:ascii="IRNazanin" w:hAnsi="IRNazanin" w:eastAsia="IRNazanin" w:cs="IRNazanin"/>
          <w:lang w:bidi="fa-IR"/>
          <w:color w:val="111111"/>
          <w:sz w:val="28"/>
          <w:szCs w:val="28"/>
          <w:rtl/>
        </w:rPr>
        <w:t xml:space="preserve">۶. تهران: ملک؛ شماره نسخه:۳۹۰۰</w:t>
      </w:r>
    </w:p>
    <w:p>
      <w:pPr>
        <w:pStyle w:val="BookText"/>
      </w:pPr>
      <w:r>
        <w:rPr>
          <w:rFonts w:ascii="IRNazanin" w:hAnsi="IRNazanin" w:eastAsia="IRNazanin" w:cs="IRNazanin"/>
          <w:lang w:bidi="fa-IR"/>
          <w:color w:val="111111"/>
          <w:sz w:val="28"/>
          <w:szCs w:val="28"/>
          <w:rtl/>
        </w:rPr>
        <w:t xml:space="preserve">خط: نسخ معرب، بی کا، تا: ۲۶ شعبان (جلد اول) و ۲۲ شوال (جلد دوم) ۸۵۸ق؛ افتادگی: انجام؛ دارای سه سرلوح و ترنج، مجدول مذهب؛ کاغذ: کاغذ ترمه، جلد: میشن قرمز، ۳۹۸گ، ۲۳ سطر، اندازه: ۲۶/۳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۱۶/۴ سم [ف: ۲-۹۸]</w:t>
      </w:r>
    </w:p>
    <w:p>
      <w:pPr>
        <w:pStyle w:val="BookText"/>
      </w:pPr>
      <w:r>
        <w:rPr>
          <w:rFonts w:ascii="IRNazanin" w:hAnsi="IRNazanin" w:eastAsia="IRNazanin" w:cs="IRNazanin"/>
          <w:lang w:bidi="fa-IR"/>
          <w:color w:val="111111"/>
          <w:sz w:val="28"/>
          <w:szCs w:val="28"/>
          <w:rtl/>
        </w:rPr>
        <w:t xml:space="preserve">۷. تهران؛ مجلس؛ شماره نسخه: ۸۳۲۱</w:t>
      </w:r>
    </w:p>
    <w:p>
      <w:pPr>
        <w:pStyle w:val="BookText"/>
      </w:pPr>
      <w:r>
        <w:rPr>
          <w:rFonts w:ascii="IRNazanin" w:hAnsi="IRNazanin" w:eastAsia="IRNazanin" w:cs="IRNazanin"/>
          <w:lang w:bidi="fa-IR"/>
          <w:color w:val="111111"/>
          <w:sz w:val="28"/>
          <w:szCs w:val="28"/>
          <w:rtl/>
        </w:rPr>
        <w:t xml:space="preserve">آغاز: برابر ۱؛ انجام: برابر ج۵</w:t>
      </w:r>
    </w:p>
    <w:p>
      <w:pPr>
        <w:pStyle w:val="BookText"/>
      </w:pPr>
      <w:r>
        <w:rPr>
          <w:rFonts w:ascii="IRNazanin" w:hAnsi="IRNazanin" w:eastAsia="IRNazanin" w:cs="IRNazanin"/>
          <w:lang w:bidi="fa-IR"/>
          <w:color w:val="111111"/>
          <w:sz w:val="28"/>
          <w:szCs w:val="28"/>
          <w:rtl/>
        </w:rPr>
        <w:t xml:space="preserve">خط: نستعلیق ریز، کا: نیکرو بن خضر شاه، تا: یک شنبه ۳ ذیقعده ۸۶۸ق؛ دارای ۵ کتیبه مذهب و مرصع، مصحح، مجدول؛ مهر: «لا اله الا الله الملک الحق المبين عبده عبدالله ۱۲۳۳» (مربع)؛ تملك: از فتح الله عینی مورخ ۱۱۵۰ق؛ جلد: تیماج مشکی، ۳۵۹، ۲۵ سطر،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۲۷/۲-۶۴]</w:t>
      </w:r>
    </w:p>
    <w:p>
      <w:pPr>
        <w:pStyle w:val="BookText"/>
      </w:pPr>
      <w:r>
        <w:rPr>
          <w:rFonts w:ascii="IRNazanin" w:hAnsi="IRNazanin" w:eastAsia="IRNazanin" w:cs="IRNazanin"/>
          <w:lang w:bidi="fa-IR"/>
          <w:color w:val="111111"/>
          <w:sz w:val="28"/>
          <w:szCs w:val="28"/>
          <w:rtl/>
        </w:rPr>
        <w:t xml:space="preserve">۸. تهران: دانشگاه؛ شماره نسخه: ۲۸۲۰-ف</w:t>
      </w:r>
    </w:p>
    <w:p>
      <w:pPr>
        <w:pStyle w:val="BookText"/>
      </w:pPr>
      <w:r>
        <w:rPr>
          <w:rFonts w:ascii="IRNazanin" w:hAnsi="IRNazanin" w:eastAsia="IRNazanin" w:cs="IRNazanin"/>
          <w:lang w:bidi="fa-IR"/>
          <w:color w:val="111111"/>
          <w:sz w:val="28"/>
          <w:szCs w:val="28"/>
          <w:rtl/>
        </w:rPr>
        <w:t xml:space="preserve">نسخه اصل: نور عثمانيه ش ۳۲۰۴. از آغاز کتاب تا پایان جلد ۵ کا: ابراهيم بن عبدالعزيز بن محمد قرشی، تا: پنج شنبه ۲۳ صفر ۸۷۱ق؛ ۴۸۴گ [فیلمها ف: ۱-۴۱]
</w:t>
      </w:r>
    </w:p>
    <w:p>
      <w:pPr>
        <w:sectPr>
          <w:footerReference w:type="default" r:id="rId9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مجلس؛ شماره نسخه:۲۹۲۳</w:t>
      </w:r>
    </w:p>
    <w:p>
      <w:pPr>
        <w:pStyle w:val="BookText"/>
      </w:pPr>
      <w:r>
        <w:rPr>
          <w:rFonts w:ascii="IRNazanin" w:hAnsi="IRNazanin" w:eastAsia="IRNazanin" w:cs="IRNazanin"/>
          <w:lang w:bidi="fa-IR"/>
          <w:color w:val="111111"/>
          <w:sz w:val="28"/>
          <w:szCs w:val="28"/>
          <w:rtl/>
        </w:rPr>
        <w:t xml:space="preserve">آغاز: برابر ۱؛ انجام: برابر۵</w:t>
      </w:r>
    </w:p>
    <w:p>
      <w:pPr>
        <w:pStyle w:val="BookText"/>
      </w:pPr>
      <w:r>
        <w:rPr>
          <w:rFonts w:ascii="IRNazanin" w:hAnsi="IRNazanin" w:eastAsia="IRNazanin" w:cs="IRNazanin"/>
          <w:lang w:bidi="fa-IR"/>
          <w:color w:val="111111"/>
          <w:sz w:val="28"/>
          <w:szCs w:val="28"/>
          <w:rtl/>
        </w:rPr>
        <w:t xml:space="preserve">خط: نستعلیق، كا: احمد بن قطب الدین محمد جامی، تا: ۵ ربیع الاول ۸۸۶ق، جان آماسیه؛ محشی از: قاموس اللغة، مجمع البیان، صحاح اللغة برهان، مهذب، سروری، کنز اللغة، مجمل و جز آنها؛ گویا وقفنامه ای از میرزا على نجل میرزا محمد کاظم مستوفی؛ کاغذ: ترکی ضخیم، جلد: تیماج ماشی دارای ترنج و نیم ترنج،</w:t>
      </w:r>
    </w:p>
    <w:p>
      <w:pPr>
        <w:pStyle w:val="BookText"/>
      </w:pPr>
      <w:r>
        <w:rPr>
          <w:rFonts w:ascii="IRNazanin" w:hAnsi="IRNazanin" w:eastAsia="IRNazanin" w:cs="IRNazanin"/>
          <w:lang w:bidi="fa-IR"/>
          <w:color w:val="111111"/>
          <w:sz w:val="28"/>
          <w:szCs w:val="28"/>
          <w:rtl/>
        </w:rPr>
        <w:t xml:space="preserve">۷۶۷ص، ۲۵ سطر،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۱۰-۳۲۵]</w:t>
      </w:r>
    </w:p>
    <w:p>
      <w:pPr>
        <w:pStyle w:val="BookText"/>
      </w:pPr>
      <w:r>
        <w:rPr>
          <w:rFonts w:ascii="IRNazanin" w:hAnsi="IRNazanin" w:eastAsia="IRNazanin" w:cs="IRNazanin"/>
          <w:lang w:bidi="fa-IR"/>
          <w:color w:val="111111"/>
          <w:sz w:val="28"/>
          <w:szCs w:val="28"/>
          <w:rtl/>
        </w:rPr>
        <w:t xml:space="preserve">۱۰. مشهد؛ الهیات؛ شماره نسخه:۶۷۹</w:t>
      </w:r>
    </w:p>
    <w:p>
      <w:pPr>
        <w:pStyle w:val="BookText"/>
      </w:pPr>
      <w:r>
        <w:rPr>
          <w:rFonts w:ascii="IRNazanin" w:hAnsi="IRNazanin" w:eastAsia="IRNazanin" w:cs="IRNazanin"/>
          <w:lang w:bidi="fa-IR"/>
          <w:color w:val="111111"/>
          <w:sz w:val="28"/>
          <w:szCs w:val="28"/>
          <w:rtl/>
        </w:rPr>
        <w:t xml:space="preserve">جلد اول و دوم؛ خط: نستعلیق، بی کا، تا: قرن ۹-۱۰؛ مجدول؛ جلد: میشن آلبالویی، ۱۲۲گ، ۲۱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۱-۲۷]</w:t>
      </w:r>
    </w:p>
    <w:p>
      <w:pPr>
        <w:pStyle w:val="BookText"/>
      </w:pPr>
      <w:r>
        <w:rPr>
          <w:rFonts w:ascii="IRNazanin" w:hAnsi="IRNazanin" w:eastAsia="IRNazanin" w:cs="IRNazanin"/>
          <w:lang w:bidi="fa-IR"/>
          <w:color w:val="111111"/>
          <w:sz w:val="28"/>
          <w:szCs w:val="28"/>
          <w:rtl/>
        </w:rPr>
        <w:t xml:space="preserve">۱۱. رشت؛ جمعیت نشر فرهنگ؛ شماره نسخه:۵۹۶ت</w:t>
      </w:r>
    </w:p>
    <w:p>
      <w:pPr>
        <w:pStyle w:val="BookText"/>
      </w:pPr>
      <w:r>
        <w:rPr>
          <w:rFonts w:ascii="IRNazanin" w:hAnsi="IRNazanin" w:eastAsia="IRNazanin" w:cs="IRNazanin"/>
          <w:lang w:bidi="fa-IR"/>
          <w:color w:val="111111"/>
          <w:sz w:val="28"/>
          <w:szCs w:val="28"/>
          <w:rtl/>
        </w:rPr>
        <w:t xml:space="preserve">خط: نستعلیق ریز، بی کا، تا: قرن ۱۰ و ۱۱؛ افتادگی: انجام؛ جلد: چرمی، ۳۷۰ص، ۲۲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[رشت و همدان: ف: ۱۰۹۷]</w:t>
      </w:r>
    </w:p>
    <w:p>
      <w:pPr>
        <w:pStyle w:val="BookText"/>
      </w:pPr>
      <w:r>
        <w:rPr>
          <w:rFonts w:ascii="IRNazanin" w:hAnsi="IRNazanin" w:eastAsia="IRNazanin" w:cs="IRNazanin"/>
          <w:lang w:bidi="fa-IR"/>
          <w:color w:val="111111"/>
          <w:sz w:val="28"/>
          <w:szCs w:val="28"/>
          <w:rtl/>
        </w:rPr>
        <w:t xml:space="preserve">۱۲. تهران: دائرة المعارف، شماره نسخه: ۱۷۲-عکسی نسخه اصل: گنج بخش، ش ۸۴۵ (گنج، ش ۲۰۳۶/۴ ).</w:t>
      </w:r>
    </w:p>
    <w:p>
      <w:pPr>
        <w:pStyle w:val="BookText"/>
      </w:pPr>
      <w:r>
        <w:rPr>
          <w:rFonts w:ascii="IRNazanin" w:hAnsi="IRNazanin" w:eastAsia="IRNazanin" w:cs="IRNazanin"/>
          <w:lang w:bidi="fa-IR"/>
          <w:color w:val="111111"/>
          <w:sz w:val="28"/>
          <w:szCs w:val="28"/>
          <w:rtl/>
        </w:rPr>
        <w:t xml:space="preserve">در ۴ جلد؛ خط: نستعلیق خوش، كا: نصر الله بن كمال الدين بن عبدالرزاق بن سلیمان حسنی حسینی، تا: ۲۵ شعبان ۱۰۲ق؛ با سرلوح؛ ۱۰۵۰ص [عکسی ف: ۲-۵۹]</w:t>
      </w:r>
    </w:p>
    <w:p>
      <w:pPr>
        <w:pStyle w:val="BookText"/>
      </w:pPr>
      <w:r>
        <w:rPr>
          <w:rFonts w:ascii="IRNazanin" w:hAnsi="IRNazanin" w:eastAsia="IRNazanin" w:cs="IRNazanin"/>
          <w:lang w:bidi="fa-IR"/>
          <w:color w:val="111111"/>
          <w:sz w:val="28"/>
          <w:szCs w:val="28"/>
          <w:rtl/>
        </w:rPr>
        <w:t xml:space="preserve">۱۳. تهران؛ ملی؛ شماره نسخه: ۱۸۰۴۱</w:t>
      </w:r>
    </w:p>
    <w:p>
      <w:pPr>
        <w:pStyle w:val="BookText"/>
      </w:pPr>
      <w:r>
        <w:rPr>
          <w:rFonts w:ascii="IRNazanin" w:hAnsi="IRNazanin" w:eastAsia="IRNazanin" w:cs="IRNazanin"/>
          <w:lang w:bidi="fa-IR"/>
          <w:color w:val="111111"/>
          <w:sz w:val="28"/>
          <w:szCs w:val="28"/>
          <w:rtl/>
        </w:rPr>
        <w:t xml:space="preserve">بی کا، تا: ۹۹۷ق؛ انتقالی از کتابخانه پهلوی - مجموعه نوازی؛ اندازه: ۲۵/۹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[رایانه]</w:t>
      </w:r>
    </w:p>
    <w:p>
      <w:pPr>
        <w:pStyle w:val="BookText"/>
      </w:pPr>
      <w:r>
        <w:rPr>
          <w:rFonts w:ascii="IRNazanin" w:hAnsi="IRNazanin" w:eastAsia="IRNazanin" w:cs="IRNazanin"/>
          <w:lang w:bidi="fa-IR"/>
          <w:color w:val="111111"/>
          <w:sz w:val="28"/>
          <w:szCs w:val="28"/>
          <w:rtl/>
        </w:rPr>
        <w:t xml:space="preserve">۱۴. تهران: ملی؛ شماره نسخه: ۲۷۹۸</w:t>
      </w:r>
    </w:p>
    <w:p>
      <w:pPr>
        <w:pStyle w:val="BookText"/>
      </w:pPr>
      <w:r>
        <w:rPr>
          <w:rFonts w:ascii="IRNazanin" w:hAnsi="IRNazanin" w:eastAsia="IRNazanin" w:cs="IRNazanin"/>
          <w:lang w:bidi="fa-IR"/>
          <w:color w:val="111111"/>
          <w:sz w:val="28"/>
          <w:szCs w:val="28"/>
          <w:rtl/>
        </w:rPr>
        <w:t xml:space="preserve">آغاز: برابر ۱؛ انجام: بنهاد قدم باز براه مقصود خط: نسخ و نستعلیق، بی کا، تا: محتملا قرن ۱۱؛ مجدول، با سرلوح؛ کاغذ: ترمه، جلد: مقوایی کالینگور بنفش، عطف تیماج مشکی، ۴۵۵گ، ۲۳ سطر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۳۶سم [ف: ۶-۴۱۶]</w:t>
      </w:r>
    </w:p>
    <w:p>
      <w:pPr>
        <w:pStyle w:val="BookText"/>
      </w:pPr>
      <w:r>
        <w:rPr>
          <w:rFonts w:ascii="IRNazanin" w:hAnsi="IRNazanin" w:eastAsia="IRNazanin" w:cs="IRNazanin"/>
          <w:lang w:bidi="fa-IR"/>
          <w:color w:val="111111"/>
          <w:sz w:val="28"/>
          <w:szCs w:val="28"/>
          <w:rtl/>
        </w:rPr>
        <w:t xml:space="preserve">۱۵. تهران؛ سپهسالار؛ شماره نسخه: ۱۶۹۰</w:t>
      </w:r>
    </w:p>
    <w:p>
      <w:pPr>
        <w:pStyle w:val="BookText"/>
      </w:pPr>
      <w:r>
        <w:rPr>
          <w:rFonts w:ascii="IRNazanin" w:hAnsi="IRNazanin" w:eastAsia="IRNazanin" w:cs="IRNazanin"/>
          <w:lang w:bidi="fa-IR"/>
          <w:color w:val="111111"/>
          <w:sz w:val="28"/>
          <w:szCs w:val="28"/>
          <w:rtl/>
        </w:rPr>
        <w:t xml:space="preserve">جلد چهارم؛ خط: نستعلیق، بی کا، تا: قرن ۱۱؛ مجدول، یک سرلوح؛ کاغذ: فرنگی سفید آهار مهره، جلد: روغنی مشکی با ترنج، ۲۱۵گ، ۱۷ سطر، اندازه: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سم [ف: ۳-۳۱۸]</w:t>
      </w:r>
    </w:p>
    <w:p>
      <w:pPr>
        <w:pStyle w:val="BookText"/>
      </w:pPr>
      <w:r>
        <w:rPr>
          <w:rFonts w:ascii="IRNazanin" w:hAnsi="IRNazanin" w:eastAsia="IRNazanin" w:cs="IRNazanin"/>
          <w:lang w:bidi="fa-IR"/>
          <w:color w:val="111111"/>
          <w:sz w:val="28"/>
          <w:szCs w:val="28"/>
          <w:rtl/>
        </w:rPr>
        <w:t xml:space="preserve">۱۶. تهران؛ ملی؛ شماره نسخه:۱۳۲۴</w:t>
      </w:r>
    </w:p>
    <w:p>
      <w:pPr>
        <w:pStyle w:val="BookText"/>
      </w:pPr>
      <w:r>
        <w:rPr>
          <w:rFonts w:ascii="IRNazanin" w:hAnsi="IRNazanin" w:eastAsia="IRNazanin" w:cs="IRNazanin"/>
          <w:lang w:bidi="fa-IR"/>
          <w:color w:val="111111"/>
          <w:sz w:val="28"/>
          <w:szCs w:val="28"/>
          <w:rtl/>
        </w:rPr>
        <w:t xml:space="preserve">آغاز: برابر ۱؛ انجام: و الحمدلله رب العالمين و الصلوة على رسول الله محمد و آله الطاهرین. خط: نستعلیق، بی کا، تا: قرن ۱۱؛ با سرلوح مذهب، مجدول مذهب؛ کاغذ: فرنگی، جلد: تیماج قرمز عطف تیماج سبز، ۴۷۰گ، ۲۲ سطر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۳-۳۸۶)</w:t>
      </w:r>
    </w:p>
    <w:p>
      <w:pPr>
        <w:pStyle w:val="BookText"/>
      </w:pPr>
      <w:r>
        <w:rPr>
          <w:rFonts w:ascii="IRNazanin" w:hAnsi="IRNazanin" w:eastAsia="IRNazanin" w:cs="IRNazanin"/>
          <w:lang w:bidi="fa-IR"/>
          <w:color w:val="111111"/>
          <w:sz w:val="28"/>
          <w:szCs w:val="28"/>
          <w:rtl/>
        </w:rPr>
        <w:t xml:space="preserve">۱۷. تهران: ملی: شماره نسخه:۵۶/۵</w:t>
      </w:r>
    </w:p>
    <w:p>
      <w:pPr>
        <w:pStyle w:val="BookText"/>
      </w:pPr>
      <w:r>
        <w:rPr>
          <w:rFonts w:ascii="IRNazanin" w:hAnsi="IRNazanin" w:eastAsia="IRNazanin" w:cs="IRNazanin"/>
          <w:lang w:bidi="fa-IR"/>
          <w:color w:val="111111"/>
          <w:sz w:val="28"/>
          <w:szCs w:val="28"/>
          <w:rtl/>
        </w:rPr>
        <w:t xml:space="preserve">آغاز: برابر ۱؛ انجام: و بیرون از دو شاہ سیارگان و در اندرون بارگاه پیش تخت فلک پایگاه هفت نوبت زانو زدند، نظم: دولت نعم صباح كنان. ظاهرا از آخر کتاب چند صفحه افتاده است.</w:t>
      </w:r>
    </w:p>
    <w:p>
      <w:pPr>
        <w:pStyle w:val="BookText"/>
      </w:pPr>
      <w:r>
        <w:rPr>
          <w:rFonts w:ascii="IRNazanin" w:hAnsi="IRNazanin" w:eastAsia="IRNazanin" w:cs="IRNazanin"/>
          <w:lang w:bidi="fa-IR"/>
          <w:color w:val="111111"/>
          <w:sz w:val="28"/>
          <w:szCs w:val="28"/>
          <w:rtl/>
        </w:rPr>
        <w:t xml:space="preserve">پس از ذکر مقدمه وقایع سال ۶۵۸ق می آید که شرح جلوس قبلاقا آن است؛ خط: نستعلیق، كان محمد حسینی بروجردی، تا: قرن ۱۱؛ افتادگی: انجام؛ مجدول؛ ۲۷گ (۱۳۹ - ۱۶۵)، ۲۱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۹سم [ف: ۱-۴۵]</w:t>
      </w:r>
    </w:p>
    <w:p>
      <w:pPr>
        <w:pStyle w:val="BookText"/>
      </w:pPr>
      <w:r>
        <w:rPr>
          <w:rFonts w:ascii="IRNazanin" w:hAnsi="IRNazanin" w:eastAsia="IRNazanin" w:cs="IRNazanin"/>
          <w:lang w:bidi="fa-IR"/>
          <w:color w:val="111111"/>
          <w:sz w:val="28"/>
          <w:szCs w:val="28"/>
          <w:rtl/>
        </w:rPr>
        <w:t xml:space="preserve">۱۸. قم؛ مرعشی؛ شماره نسخه: ۷۲۶۸</w:t>
      </w:r>
    </w:p>
    <w:p>
      <w:pPr>
        <w:pStyle w:val="BookText"/>
      </w:pPr>
      <w:r>
        <w:rPr>
          <w:rFonts w:ascii="IRNazanin" w:hAnsi="IRNazanin" w:eastAsia="IRNazanin" w:cs="IRNazanin"/>
          <w:lang w:bidi="fa-IR"/>
          <w:color w:val="111111"/>
          <w:sz w:val="28"/>
          <w:szCs w:val="28"/>
          <w:rtl/>
        </w:rPr>
        <w:t xml:space="preserve">جلد سوم و چهارم؛ خط: نستعلیق، بی کا، تا: قرن ۱۱؛ مصحح، محشی، مجدول، با سرلوح رنگین؛ جلد: تیماج نیلی ضربی، ۲۳۸گ، ۱۸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۲۹/۵سم [ف: ۱۹-۵۸]</w:t>
      </w:r>
    </w:p>
    <w:p>
      <w:pPr>
        <w:pStyle w:val="BookText"/>
      </w:pPr>
      <w:r>
        <w:rPr>
          <w:rFonts w:ascii="IRNazanin" w:hAnsi="IRNazanin" w:eastAsia="IRNazanin" w:cs="IRNazanin"/>
          <w:lang w:bidi="fa-IR"/>
          <w:color w:val="111111"/>
          <w:sz w:val="28"/>
          <w:szCs w:val="28"/>
          <w:rtl/>
        </w:rPr>
        <w:t xml:space="preserve">۱۹. تهران؛ مجلس؛ شماره نسخه: ۹۰۱/۱۷ -طباطبائی</w:t>
      </w:r>
    </w:p>
    <w:p>
      <w:pPr>
        <w:pStyle w:val="BookText"/>
      </w:pPr>
      <w:r>
        <w:rPr>
          <w:rFonts w:ascii="IRNazanin" w:hAnsi="IRNazanin" w:eastAsia="IRNazanin" w:cs="IRNazanin"/>
          <w:lang w:bidi="fa-IR"/>
          <w:color w:val="111111"/>
          <w:sz w:val="28"/>
          <w:szCs w:val="28"/>
          <w:rtl/>
        </w:rPr>
        <w:t xml:space="preserve">آغاز: برابر ۱؛ انجام: سلام کروض الحزن رق نسیمه. خط: نستعلیق خوب، بی کا، تا: قرن ۱۱؛ کاغذ: اصفهانی، جلد: تیماج قهوه ای با ترنج و نیم ترنج، ۳ص (۱۱۲-۱۱۴)، اندازه:</w:t>
      </w:r>
    </w:p>
    <w:p>
      <w:pPr>
        <w:pStyle w:val="BookText"/>
      </w:pPr>
      <w:r>
        <w:rPr>
          <w:rFonts w:ascii="IRNazanin" w:hAnsi="IRNazanin" w:eastAsia="IRNazanin" w:cs="IRNazanin"/>
          <w:lang w:bidi="fa-IR"/>
          <w:color w:val="111111"/>
          <w:sz w:val="28"/>
          <w:szCs w:val="28"/>
          <w:rtl/>
        </w:rPr>
        <w:t xml:space="preserve">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۲۳-۲۰۴]</w:t>
      </w:r>
    </w:p>
    <w:p>
      <w:pPr>
        <w:pStyle w:val="BookText"/>
      </w:pPr>
      <w:r>
        <w:rPr>
          <w:rFonts w:ascii="IRNazanin" w:hAnsi="IRNazanin" w:eastAsia="IRNazanin" w:cs="IRNazanin"/>
          <w:lang w:bidi="fa-IR"/>
          <w:color w:val="111111"/>
          <w:sz w:val="28"/>
          <w:szCs w:val="28"/>
          <w:rtl/>
        </w:rPr>
        <w:t xml:space="preserve">۲۰. تهران؛ ملک؛ شماره نسخه:۳۹۲۶</w:t>
      </w:r>
    </w:p>
    <w:p>
      <w:pPr>
        <w:pStyle w:val="BookText"/>
      </w:pPr>
      <w:r>
        <w:rPr>
          <w:rFonts w:ascii="IRNazanin" w:hAnsi="IRNazanin" w:eastAsia="IRNazanin" w:cs="IRNazanin"/>
          <w:lang w:bidi="fa-IR"/>
          <w:color w:val="111111"/>
          <w:sz w:val="28"/>
          <w:szCs w:val="28"/>
          <w:rtl/>
        </w:rPr>
        <w:t xml:space="preserve">خط: نستعلیق، بی کا، تا: قرن ۱۱؛ کاغذ: ترمه، جلد: میشن آلبالویی مغزی زرد، ۶۱۷گ، ۲۰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۲-۹۹]</w:t>
      </w:r>
    </w:p>
    <w:p>
      <w:pPr>
        <w:pStyle w:val="BookText"/>
      </w:pPr>
      <w:r>
        <w:rPr>
          <w:rFonts w:ascii="IRNazanin" w:hAnsi="IRNazanin" w:eastAsia="IRNazanin" w:cs="IRNazanin"/>
          <w:lang w:bidi="fa-IR"/>
          <w:color w:val="111111"/>
          <w:sz w:val="28"/>
          <w:szCs w:val="28"/>
          <w:rtl/>
        </w:rPr>
        <w:t xml:space="preserve">۲۱. تهران؛ ملک، شماره نسخه:۳۹۴۹</w:t>
      </w:r>
    </w:p>
    <w:p>
      <w:pPr>
        <w:pStyle w:val="BookText"/>
      </w:pPr>
      <w:r>
        <w:rPr>
          <w:rFonts w:ascii="IRNazanin" w:hAnsi="IRNazanin" w:eastAsia="IRNazanin" w:cs="IRNazanin"/>
          <w:lang w:bidi="fa-IR"/>
          <w:color w:val="111111"/>
          <w:sz w:val="28"/>
          <w:szCs w:val="28"/>
          <w:rtl/>
        </w:rPr>
        <w:t xml:space="preserve">خط: نستعلیق، بی کا، تا: قرن ۱۱؛ دارای یک سرلوح، مجدول؛ کاغذ: کاغذ ترمه، جلد: میشن قرمز، ۲۸۳گ، ۲۵ سطر، اندازه:18/4</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 ۳۰سم [ف: ۲-۹۹]</w:t>
      </w:r>
    </w:p>
    <w:p>
      <w:pPr>
        <w:pStyle w:val="BookText"/>
      </w:pPr>
      <w:r>
        <w:rPr>
          <w:rFonts w:ascii="IRNazanin" w:hAnsi="IRNazanin" w:eastAsia="IRNazanin" w:cs="IRNazanin"/>
          <w:lang w:bidi="fa-IR"/>
          <w:color w:val="111111"/>
          <w:sz w:val="28"/>
          <w:szCs w:val="28"/>
          <w:rtl/>
        </w:rPr>
        <w:t xml:space="preserve">۲۲. قم؛ مسجد اعظم؛ شماره نسخه: ۳۱۹۰</w:t>
      </w:r>
    </w:p>
    <w:p>
      <w:pPr>
        <w:pStyle w:val="BookText"/>
      </w:pPr>
      <w:r>
        <w:rPr>
          <w:rFonts w:ascii="IRNazanin" w:hAnsi="IRNazanin" w:eastAsia="IRNazanin" w:cs="IRNazanin"/>
          <w:lang w:bidi="fa-IR"/>
          <w:color w:val="111111"/>
          <w:sz w:val="28"/>
          <w:szCs w:val="28"/>
          <w:rtl/>
        </w:rPr>
        <w:t xml:space="preserve">آغاز و انجام: برابر ۴  جلد چهارم؛ خط: نسخ، بی کا، تا: قرن ۱۱؛ مصحح، محشی، توسط محمد مسیح ساکن ساری با نسخه مشهور به صحت مقابله شده؛ نسخه توسط محمد مسیح مزبور وقف بر اولاد ذکور شده با مهر «عبده محمد مسیح» (بیضوی)؛ جلد: تیماج قهوه ای، ۲۰۲گ، ۲۶ 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مخ: ۱-۳۲۴]</w:t>
      </w:r>
    </w:p>
    <w:p>
      <w:pPr>
        <w:pStyle w:val="BookText"/>
      </w:pPr>
      <w:r>
        <w:rPr>
          <w:rFonts w:ascii="IRNazanin" w:hAnsi="IRNazanin" w:eastAsia="IRNazanin" w:cs="IRNazanin"/>
          <w:lang w:bidi="fa-IR"/>
          <w:color w:val="111111"/>
          <w:sz w:val="28"/>
          <w:szCs w:val="28"/>
          <w:rtl/>
        </w:rPr>
        <w:t xml:space="preserve">۲۳. کاشان؛ فرهنگ و ارشاد؛ شماره نسخه: ۸۱</w:t>
      </w:r>
    </w:p>
    <w:p>
      <w:pPr>
        <w:pStyle w:val="BookText"/>
      </w:pPr>
      <w:r>
        <w:rPr>
          <w:rFonts w:ascii="IRNazanin" w:hAnsi="IRNazanin" w:eastAsia="IRNazanin" w:cs="IRNazanin"/>
          <w:lang w:bidi="fa-IR"/>
          <w:color w:val="111111"/>
          <w:sz w:val="28"/>
          <w:szCs w:val="28"/>
          <w:rtl/>
        </w:rPr>
        <w:t xml:space="preserve">جلد سوم؛ خط: نسخ معرب، بی کا، تا: ۲۰ شعبان ۱۰۱۰ق؛ وقفنامه کتاب توسط ملامحمد مهدی نراقی کاشانی نوشته شده؛ جلد: مقوای عطف تیماج مشکی، ۱۲۱گ، ۲۲ سطر، اندازه: ۲۸/۵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سم [ف: ۸۳]</w:t>
      </w:r>
    </w:p>
    <w:p>
      <w:pPr>
        <w:pStyle w:val="BookText"/>
      </w:pPr>
      <w:r>
        <w:rPr>
          <w:rFonts w:ascii="IRNazanin" w:hAnsi="IRNazanin" w:eastAsia="IRNazanin" w:cs="IRNazanin"/>
          <w:lang w:bidi="fa-IR"/>
          <w:color w:val="111111"/>
          <w:sz w:val="28"/>
          <w:szCs w:val="28"/>
          <w:rtl/>
        </w:rPr>
        <w:t xml:space="preserve">۲۴. کاشان؛ ابوالرضا، سید؛ شماره نسخه:۲</w:t>
      </w:r>
    </w:p>
    <w:p>
      <w:pPr>
        <w:pStyle w:val="BookText"/>
      </w:pPr>
      <w:r>
        <w:rPr>
          <w:rFonts w:ascii="IRNazanin" w:hAnsi="IRNazanin" w:eastAsia="IRNazanin" w:cs="IRNazanin"/>
          <w:lang w:bidi="fa-IR"/>
          <w:color w:val="111111"/>
          <w:sz w:val="28"/>
          <w:szCs w:val="28"/>
          <w:rtl/>
        </w:rPr>
        <w:t xml:space="preserve">جلد سوم؛ بی کا، تا: ۲۰ شعبان ۱۰۱۰ق (نشریه: ۴-۳۵۵)</w:t>
      </w:r>
    </w:p>
    <w:p>
      <w:pPr>
        <w:pStyle w:val="BookText"/>
      </w:pPr>
      <w:r>
        <w:rPr>
          <w:rFonts w:ascii="IRNazanin" w:hAnsi="IRNazanin" w:eastAsia="IRNazanin" w:cs="IRNazanin"/>
          <w:lang w:bidi="fa-IR"/>
          <w:color w:val="111111"/>
          <w:sz w:val="28"/>
          <w:szCs w:val="28"/>
          <w:rtl/>
        </w:rPr>
        <w:t xml:space="preserve">۲۵. تهران، انجمن آثار و مفاخر فرهنگی؛ شماره نسخه: ۱۳۲</w:t>
      </w:r>
    </w:p>
    <w:p>
      <w:pPr>
        <w:pStyle w:val="BookText"/>
      </w:pPr>
      <w:r>
        <w:rPr>
          <w:rFonts w:ascii="IRNazanin" w:hAnsi="IRNazanin" w:eastAsia="IRNazanin" w:cs="IRNazanin"/>
          <w:lang w:bidi="fa-IR"/>
          <w:color w:val="111111"/>
          <w:sz w:val="28"/>
          <w:szCs w:val="28"/>
          <w:rtl/>
        </w:rPr>
        <w:t xml:space="preserve">آغاز و انجام: برابر ۴</w:t>
      </w:r>
    </w:p>
    <w:p>
      <w:pPr>
        <w:pStyle w:val="BookText"/>
      </w:pPr>
      <w:r>
        <w:rPr>
          <w:rFonts w:ascii="IRNazanin" w:hAnsi="IRNazanin" w:eastAsia="IRNazanin" w:cs="IRNazanin"/>
          <w:lang w:bidi="fa-IR"/>
          <w:color w:val="111111"/>
          <w:sz w:val="28"/>
          <w:szCs w:val="28"/>
          <w:rtl/>
        </w:rPr>
        <w:t xml:space="preserve">جلد چهارم، شامل حوادث دوران سلطان غازان خان و سلطنت سلطان محمد خدابنده و حوادث و وقایع اوایل قرن هشتم هق است؛ خط: نسخ خوش، بی کا، تا: ذیحجه ۱۰۲۲ق؛ مجدول زر و لاجورد و قرمز و مشکی؛ کاغذ: بخارایی، جلد: تیماج مقوایی تریاکی، ۲۱۰ص، ۲۷ سطر (۲۷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۱۶۷]</w:t>
      </w:r>
    </w:p>
    <w:p>
      <w:pPr>
        <w:pStyle w:val="BookText"/>
      </w:pPr>
      <w:r>
        <w:rPr>
          <w:rFonts w:ascii="IRNazanin" w:hAnsi="IRNazanin" w:eastAsia="IRNazanin" w:cs="IRNazanin"/>
          <w:lang w:bidi="fa-IR"/>
          <w:color w:val="111111"/>
          <w:sz w:val="28"/>
          <w:szCs w:val="28"/>
          <w:rtl/>
        </w:rPr>
        <w:t xml:space="preserve">۲۶. کرمانشاه؛ نجومی؛ شماره نسخه:بدون شماره</w:t>
      </w:r>
    </w:p>
    <w:p>
      <w:pPr>
        <w:pStyle w:val="BookText"/>
      </w:pPr>
      <w:r>
        <w:rPr>
          <w:rFonts w:ascii="IRNazanin" w:hAnsi="IRNazanin" w:eastAsia="IRNazanin" w:cs="IRNazanin"/>
          <w:lang w:bidi="fa-IR"/>
          <w:color w:val="111111"/>
          <w:sz w:val="28"/>
          <w:szCs w:val="28"/>
          <w:rtl/>
        </w:rPr>
        <w:t xml:space="preserve">كا: فضل الحق بن كمال الدین حسین بن ضل الحق بن عبدالحق
</w:t>
      </w:r>
    </w:p>
    <w:p>
      <w:pPr>
        <w:sectPr>
          <w:footerReference w:type="default" r:id="rId9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محمد بن منتهی بن محمد علی بن ابو الكرام حسینی خورزنی، تا: پنج شنبه ۲۰ ربیع الثانی ۱۰۲۷ق [دليل المخطوطات: ۱-۲۲۱]</w:t>
      </w:r>
    </w:p>
    <w:p>
      <w:pPr>
        <w:pStyle w:val="BookText"/>
      </w:pPr>
      <w:r>
        <w:rPr>
          <w:rFonts w:ascii="IRNazanin" w:hAnsi="IRNazanin" w:eastAsia="IRNazanin" w:cs="IRNazanin"/>
          <w:lang w:bidi="fa-IR"/>
          <w:color w:val="111111"/>
          <w:sz w:val="28"/>
          <w:szCs w:val="28"/>
          <w:rtl/>
        </w:rPr>
        <w:t xml:space="preserve">۲۷. مشهد؛ رضوی؛ شماره نسخه: ۹۴۴۰</w:t>
      </w:r>
    </w:p>
    <w:p>
      <w:pPr>
        <w:pStyle w:val="BookText"/>
      </w:pPr>
      <w:r>
        <w:rPr>
          <w:rFonts w:ascii="IRNazanin" w:hAnsi="IRNazanin" w:eastAsia="IRNazanin" w:cs="IRNazanin"/>
          <w:lang w:bidi="fa-IR"/>
          <w:color w:val="111111"/>
          <w:sz w:val="28"/>
          <w:szCs w:val="28"/>
          <w:rtl/>
        </w:rPr>
        <w:t xml:space="preserve">آغاز: مالی که در شان پیکر دفتر مخبر اوان شانئك هو الابتر؛</w:t>
      </w:r>
    </w:p>
    <w:p>
      <w:pPr>
        <w:pStyle w:val="BookText"/>
      </w:pPr>
      <w:r>
        <w:rPr>
          <w:rFonts w:ascii="IRNazanin" w:hAnsi="IRNazanin" w:eastAsia="IRNazanin" w:cs="IRNazanin"/>
          <w:lang w:bidi="fa-IR"/>
          <w:color w:val="111111"/>
          <w:sz w:val="28"/>
          <w:szCs w:val="28"/>
          <w:rtl/>
        </w:rPr>
        <w:t xml:space="preserve">انجام: برابر ۵</w:t>
      </w:r>
    </w:p>
    <w:p>
      <w:pPr>
        <w:pStyle w:val="BookText"/>
      </w:pPr>
      <w:r>
        <w:rPr>
          <w:rFonts w:ascii="IRNazanin" w:hAnsi="IRNazanin" w:eastAsia="IRNazanin" w:cs="IRNazanin"/>
          <w:lang w:bidi="fa-IR"/>
          <w:color w:val="111111"/>
          <w:sz w:val="28"/>
          <w:szCs w:val="28"/>
          <w:rtl/>
        </w:rPr>
        <w:t xml:space="preserve">خط: نسخ، كا: ابراهیم شروانی، تا: ۱۰۲۸ق، جا: اردبیل؛ افتادگی: آغاز؛ کتابت شده به نام: معصوم، محمد؛ کاغذ: نخودی، جلد: تيماج، ۲۵ سطر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۳۶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[الفبائی: ۱۰۴]</w:t>
      </w:r>
    </w:p>
    <w:p>
      <w:pPr>
        <w:pStyle w:val="BookText"/>
      </w:pPr>
      <w:r>
        <w:rPr>
          <w:rFonts w:ascii="IRNazanin" w:hAnsi="IRNazanin" w:eastAsia="IRNazanin" w:cs="IRNazanin"/>
          <w:lang w:bidi="fa-IR"/>
          <w:color w:val="111111"/>
          <w:sz w:val="28"/>
          <w:szCs w:val="28"/>
          <w:rtl/>
        </w:rPr>
        <w:t xml:space="preserve">۲۸. تهران؛ مجلس؛ شماره نسخه:۵۲۶۷</w:t>
      </w:r>
    </w:p>
    <w:p>
      <w:pPr>
        <w:pStyle w:val="BookText"/>
      </w:pPr>
      <w:r>
        <w:rPr>
          <w:rFonts w:ascii="IRNazanin" w:hAnsi="IRNazanin" w:eastAsia="IRNazanin" w:cs="IRNazanin"/>
          <w:lang w:bidi="fa-IR"/>
          <w:color w:val="111111"/>
          <w:sz w:val="28"/>
          <w:szCs w:val="28"/>
          <w:rtl/>
        </w:rPr>
        <w:t xml:space="preserve">آغاز: برابر ۱؛ انجام: برابر۵ پنج جلد؛ خط: نستعلیق، بی کا، تا: ۱۰۳۴ق؛ محشی؛ تملك: علاء الحكماء؛ كاغذ: سپاهانی، جلد: تیماج مشکی، ۴۵۶گ، ۲۲ سطر ( ۲۴/۳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۲۳/۵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۴۰سم [ف: ۱۶-۸۹]</w:t>
      </w:r>
    </w:p>
    <w:p>
      <w:pPr>
        <w:pStyle w:val="BookText"/>
      </w:pPr>
      <w:r>
        <w:rPr>
          <w:rFonts w:ascii="IRNazanin" w:hAnsi="IRNazanin" w:eastAsia="IRNazanin" w:cs="IRNazanin"/>
          <w:lang w:bidi="fa-IR"/>
          <w:color w:val="111111"/>
          <w:sz w:val="28"/>
          <w:szCs w:val="28"/>
          <w:rtl/>
        </w:rPr>
        <w:t xml:space="preserve">۲۹. اصفهان؛ دانشگاه؛ شماره نسخه:۴۳۷</w:t>
      </w:r>
    </w:p>
    <w:p>
      <w:pPr>
        <w:pStyle w:val="BookText"/>
      </w:pPr>
      <w:r>
        <w:rPr>
          <w:rFonts w:ascii="IRNazanin" w:hAnsi="IRNazanin" w:eastAsia="IRNazanin" w:cs="IRNazanin"/>
          <w:lang w:bidi="fa-IR"/>
          <w:color w:val="111111"/>
          <w:sz w:val="28"/>
          <w:szCs w:val="28"/>
          <w:rtl/>
        </w:rPr>
        <w:t xml:space="preserve">آغاز: از تأثیرات حرکات شویی از آن سلسله اسطقسات اربعه با تضاد امزجه و اختلاف کیفیات و تباین انیات در یکدگر پیوست خط: نستعلیق، کا: محمد زمان بن عبدالرزاق رشتی، تا: ۱۰۴۷ق؛ افتادگی: آغاز؛ ۱۰۴۷ق؛ مجدول، محشی، مصحح، یادداشتی در تصحیح کتاب از محمد قاسم بن عبدالقادر ... در ۲۹ ذیحجه ۱۱۰۹ با مهر «افوض امرى الى الله عبده محمد قاسم» (مربع)، مهر «سلام علی ابراهیم» (بیضوی)؛ جلد: تیماج مشکی، ۴۲۲گ، ۱۹</w:t>
      </w:r>
    </w:p>
    <w:p>
      <w:pPr>
        <w:pStyle w:val="BookText"/>
      </w:pPr>
      <w:r>
        <w:rPr>
          <w:rFonts w:ascii="IRNazanin" w:hAnsi="IRNazanin" w:eastAsia="IRNazanin" w:cs="IRNazanin"/>
          <w:lang w:bidi="fa-IR"/>
          <w:color w:val="111111"/>
          <w:sz w:val="28"/>
          <w:szCs w:val="28"/>
          <w:rtl/>
        </w:rPr>
        <w:t xml:space="preserve">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۲۶/۵ سم [ف: ۲-۳۵۲]</w:t>
      </w:r>
    </w:p>
    <w:p>
      <w:pPr>
        <w:pStyle w:val="BookText"/>
      </w:pPr>
      <w:r>
        <w:rPr>
          <w:rFonts w:ascii="IRNazanin" w:hAnsi="IRNazanin" w:eastAsia="IRNazanin" w:cs="IRNazanin"/>
          <w:lang w:bidi="fa-IR"/>
          <w:color w:val="111111"/>
          <w:sz w:val="28"/>
          <w:szCs w:val="28"/>
          <w:rtl/>
        </w:rPr>
        <w:t xml:space="preserve">۳۰. قم؛ مرعشی؛ شماره نسخه: ۱۰۳۲۲</w:t>
      </w:r>
    </w:p>
    <w:p>
      <w:pPr>
        <w:pStyle w:val="BookText"/>
      </w:pPr>
      <w:r>
        <w:rPr>
          <w:rFonts w:ascii="IRNazanin" w:hAnsi="IRNazanin" w:eastAsia="IRNazanin" w:cs="IRNazanin"/>
          <w:lang w:bidi="fa-IR"/>
          <w:color w:val="111111"/>
          <w:sz w:val="28"/>
          <w:szCs w:val="28"/>
          <w:rtl/>
        </w:rPr>
        <w:t xml:space="preserve">خط: نسخ زیبا، كان ابراهیم بن حاجی عبدالجليل شیروانی (پایان جلد دوم)، تا: ۱۰۵۲ق، مجدول، دارای چهار سرلوح رنگین نفیس؛ جلد: تیماج مشکی ضربی، ۳۴۱گ، ۲۵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۳۳/۵سم [ف: ۲۶-۲۶۳]</w:t>
      </w:r>
    </w:p>
    <w:p>
      <w:pPr>
        <w:pStyle w:val="BookText"/>
      </w:pPr>
      <w:r>
        <w:rPr>
          <w:rFonts w:ascii="IRNazanin" w:hAnsi="IRNazanin" w:eastAsia="IRNazanin" w:cs="IRNazanin"/>
          <w:lang w:bidi="fa-IR"/>
          <w:color w:val="111111"/>
          <w:sz w:val="28"/>
          <w:szCs w:val="28"/>
          <w:rtl/>
        </w:rPr>
        <w:t xml:space="preserve">۳۱. تهران؛ سپهسالار؛ شماره نسخه:۸۲۳۷</w:t>
      </w:r>
    </w:p>
    <w:p>
      <w:pPr>
        <w:pStyle w:val="BookText"/>
      </w:pPr>
      <w:r>
        <w:rPr>
          <w:rFonts w:ascii="IRNazanin" w:hAnsi="IRNazanin" w:eastAsia="IRNazanin" w:cs="IRNazanin"/>
          <w:lang w:bidi="fa-IR"/>
          <w:color w:val="111111"/>
          <w:sz w:val="28"/>
          <w:szCs w:val="28"/>
          <w:rtl/>
        </w:rPr>
        <w:t xml:space="preserve">جلد ۴ و ۵؛ خط: نسخ، كا: ابراهیم بن حاجی عبد الجليل شروانی، تا: یک شنبه ربيع الاول ۱۰۵۴ق، جان رشت گیلان؛ مجدول؛ تملک: فرهاد میرزا در ۱۳۰۴ ق، کاغذ: متن و حاشیه اصفهانی سفید، جلد: تیماج قهوه ای، ۱۶۵گ، ۲۷ سطر،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۳-۳۱۹] ۳۲. يزد؛ صدوقی یزدی؛ شماره نسخه: ۱۳۱</w:t>
      </w:r>
    </w:p>
    <w:p>
      <w:pPr>
        <w:pStyle w:val="BookText"/>
      </w:pPr>
      <w:r>
        <w:rPr>
          <w:rFonts w:ascii="IRNazanin" w:hAnsi="IRNazanin" w:eastAsia="IRNazanin" w:cs="IRNazanin"/>
          <w:lang w:bidi="fa-IR"/>
          <w:color w:val="111111"/>
          <w:sz w:val="28"/>
          <w:szCs w:val="28"/>
          <w:rtl/>
        </w:rPr>
        <w:t xml:space="preserve">خط: نسخ، كا: محمد مؤمن، تا: اواخر دهه سوم جمادی الاول ۱۰۵۵ق؛ مجدول، دارای سرلوح، دارای کتیبه زرین؛ جلد: تیماج مشکی، ۶۲۰ گ، ۲۰ سطر، اندازه: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۱۰۶]</w:t>
      </w:r>
    </w:p>
    <w:p>
      <w:pPr>
        <w:pStyle w:val="BookText"/>
      </w:pPr>
      <w:r>
        <w:rPr>
          <w:rFonts w:ascii="IRNazanin" w:hAnsi="IRNazanin" w:eastAsia="IRNazanin" w:cs="IRNazanin"/>
          <w:lang w:bidi="fa-IR"/>
          <w:color w:val="111111"/>
          <w:sz w:val="28"/>
          <w:szCs w:val="28"/>
          <w:rtl/>
        </w:rPr>
        <w:t xml:space="preserve">۳۳. تهران، دانشگاه؛ شماره نسخه:۱۱۳</w:t>
      </w:r>
    </w:p>
    <w:p>
      <w:pPr>
        <w:pStyle w:val="BookText"/>
      </w:pPr>
      <w:r>
        <w:rPr>
          <w:rFonts w:ascii="IRNazanin" w:hAnsi="IRNazanin" w:eastAsia="IRNazanin" w:cs="IRNazanin"/>
          <w:lang w:bidi="fa-IR"/>
          <w:color w:val="111111"/>
          <w:sz w:val="28"/>
          <w:szCs w:val="28"/>
          <w:rtl/>
        </w:rPr>
        <w:t xml:space="preserve">آغاز: برابر ۱ تا ۵؛ انجام: برابر۵</w:t>
      </w:r>
    </w:p>
    <w:p>
      <w:pPr>
        <w:pStyle w:val="BookText"/>
      </w:pPr>
      <w:r>
        <w:rPr>
          <w:rFonts w:ascii="IRNazanin" w:hAnsi="IRNazanin" w:eastAsia="IRNazanin" w:cs="IRNazanin"/>
          <w:lang w:bidi="fa-IR"/>
          <w:color w:val="111111"/>
          <w:sz w:val="28"/>
          <w:szCs w:val="28"/>
          <w:rtl/>
        </w:rPr>
        <w:t xml:space="preserve">هر ۵ جلد؛ خط: نستعلیق زیبا، كا: عين على تبریزی، تا: ۱۰۵۹ق (بخش چهارم)، ذیحجه ۱۰۶۸ق (بخش یکم)، صفر ۱۰۶۹ (بخش دوم)، ۱۰۷۰ق (بخش سوم و پنجم)؛ نویسنده عین علی تبریزی همه پنج بخش را در یک جلد نوشته، در روی برگ ۲ر جمله هائی نادرست و دست خورده یی نوشته شده و از آنها چنین بر می آید که این نسخه به دستور محمد نصیر پسر رضی الدین محمد حسینی از روی نسخه ای که حاشیه های آن به خامه نگارنده (وصاف الحضره) بوده نوشته شده است و در آن از مستوفی خاصة رضي الدين محمدا، و میرزا محمد حسینا ضابطه نویس نیز نامی آمده است، محشی بسیار با نام «مجمل، فرهنگی، قاضی، صحاح، ق، ۱۲، هـ مجمع البيان، ثعالبی، حياة الحيوان خلکان، «شریف، و جز آنها»، در این حاشیه ها گاهی به زندگی کسانی که نامشان در متن آمده نیز اشارت هست، مجدول، مذهب؛ پیش از این در (اردیبهشت ۱۳۰۸) در کتابخانه تیمورتاش بوده؛ کاغذ: ترمه اصفهانی نخودی، جلد: روغنی گل بوته، ۵۵۶ ، ۲۰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۲-۵۲۵]</w:t>
      </w:r>
    </w:p>
    <w:p>
      <w:pPr>
        <w:pStyle w:val="BookText"/>
      </w:pPr>
      <w:r>
        <w:rPr>
          <w:rFonts w:ascii="IRNazanin" w:hAnsi="IRNazanin" w:eastAsia="IRNazanin" w:cs="IRNazanin"/>
          <w:lang w:bidi="fa-IR"/>
          <w:color w:val="111111"/>
          <w:sz w:val="28"/>
          <w:szCs w:val="28"/>
          <w:rtl/>
        </w:rPr>
        <w:t xml:space="preserve">۳۴. تهران؛ ملک؛ شماره نسخه:۴۱۲۳</w:t>
      </w:r>
    </w:p>
    <w:p>
      <w:pPr>
        <w:pStyle w:val="BookText"/>
      </w:pPr>
      <w:r>
        <w:rPr>
          <w:rFonts w:ascii="IRNazanin" w:hAnsi="IRNazanin" w:eastAsia="IRNazanin" w:cs="IRNazanin"/>
          <w:lang w:bidi="fa-IR"/>
          <w:color w:val="111111"/>
          <w:sz w:val="28"/>
          <w:szCs w:val="28"/>
          <w:rtl/>
        </w:rPr>
        <w:t xml:space="preserve">جلد چهارم؛ خط: نستعلیق، كا: محمد مقیم نصیری طوسی، تا: ربیع الاول ۱۰۶۲ق؛ کاغذ: کاغذ ترمه سمرقندی، جلد: میشن آلبالویی سیر، ۱۷۱گ، ۲۱ سطر، اندازه: ۲۷/۳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۱۶/۸</w:t>
      </w:r>
    </w:p>
    <w:p>
      <w:pPr>
        <w:pStyle w:val="BookText"/>
      </w:pPr>
      <w:r>
        <w:rPr>
          <w:rFonts w:ascii="IRNazanin" w:hAnsi="IRNazanin" w:eastAsia="IRNazanin" w:cs="IRNazanin"/>
          <w:lang w:bidi="fa-IR"/>
          <w:color w:val="111111"/>
          <w:sz w:val="28"/>
          <w:szCs w:val="28"/>
          <w:rtl/>
        </w:rPr>
        <w:t xml:space="preserve">سم [ف: ۲-۹۹]</w:t>
      </w:r>
    </w:p>
    <w:p>
      <w:pPr>
        <w:pStyle w:val="BookText"/>
      </w:pPr>
      <w:r>
        <w:rPr>
          <w:rFonts w:ascii="IRNazanin" w:hAnsi="IRNazanin" w:eastAsia="IRNazanin" w:cs="IRNazanin"/>
          <w:lang w:bidi="fa-IR"/>
          <w:color w:val="111111"/>
          <w:sz w:val="28"/>
          <w:szCs w:val="28"/>
          <w:rtl/>
        </w:rPr>
        <w:t xml:space="preserve">۳۵. تهران؛ الهیات؛ شماره نسخه: ۶۳/۲</w:t>
      </w:r>
    </w:p>
    <w:p>
      <w:pPr>
        <w:pStyle w:val="BookText"/>
      </w:pPr>
      <w:r>
        <w:rPr>
          <w:rFonts w:ascii="IRNazanin" w:hAnsi="IRNazanin" w:eastAsia="IRNazanin" w:cs="IRNazanin"/>
          <w:lang w:bidi="fa-IR"/>
          <w:color w:val="111111"/>
          <w:sz w:val="28"/>
          <w:szCs w:val="28"/>
          <w:rtl/>
        </w:rPr>
        <w:t xml:space="preserve">جلد ۴و ۵؛ خط: نستعلیق، بی کا، تا: ۱۰۶۵؛ کاغذ: فرنگی، جلد: تیماج قهوه ای، ۲۱۶گ، ۱۷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۱۹/۵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 دانشکده ف: ۲۱]</w:t>
      </w:r>
    </w:p>
    <w:p>
      <w:pPr>
        <w:pStyle w:val="BookText"/>
      </w:pPr>
      <w:r>
        <w:rPr>
          <w:rFonts w:ascii="IRNazanin" w:hAnsi="IRNazanin" w:eastAsia="IRNazanin" w:cs="IRNazanin"/>
          <w:lang w:bidi="fa-IR"/>
          <w:color w:val="111111"/>
          <w:sz w:val="28"/>
          <w:szCs w:val="28"/>
          <w:rtl/>
        </w:rPr>
        <w:t xml:space="preserve">۳۶. تهران؛ دانشگاه؛ شماره نسخه:۲۷۱۶</w:t>
      </w:r>
    </w:p>
    <w:p>
      <w:pPr>
        <w:pStyle w:val="BookText"/>
      </w:pPr>
      <w:r>
        <w:rPr>
          <w:rFonts w:ascii="IRNazanin" w:hAnsi="IRNazanin" w:eastAsia="IRNazanin" w:cs="IRNazanin"/>
          <w:lang w:bidi="fa-IR"/>
          <w:color w:val="111111"/>
          <w:sz w:val="28"/>
          <w:szCs w:val="28"/>
          <w:rtl/>
        </w:rPr>
        <w:t xml:space="preserve">هر پنج جلد؛ خط: نستعلیق، كا: ابو الحسن بن عبدالله، تا: ۱۰۶۸ق؛ با سرلوح زرین، مجدول، محشی؛ تملك: امیر نظام گروسی در تاریخ ۱۲۶۵؛ کاغذ: سپاهانی، جلد: تیماج حنایی، ۲۹۰گ، ۲۵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۱۰-۱۵۹۳]</w:t>
      </w:r>
    </w:p>
    <w:p>
      <w:pPr>
        <w:pStyle w:val="BookText"/>
      </w:pPr>
      <w:r>
        <w:rPr>
          <w:rFonts w:ascii="IRNazanin" w:hAnsi="IRNazanin" w:eastAsia="IRNazanin" w:cs="IRNazanin"/>
          <w:lang w:bidi="fa-IR"/>
          <w:color w:val="111111"/>
          <w:sz w:val="28"/>
          <w:szCs w:val="28"/>
          <w:rtl/>
        </w:rPr>
        <w:t xml:space="preserve">۳۷. تهران؛ مجلس؛ شماره نسخه:۸۳۲۵</w:t>
      </w:r>
    </w:p>
    <w:p>
      <w:pPr>
        <w:pStyle w:val="BookText"/>
      </w:pPr>
      <w:r>
        <w:rPr>
          <w:rFonts w:ascii="IRNazanin" w:hAnsi="IRNazanin" w:eastAsia="IRNazanin" w:cs="IRNazanin"/>
          <w:lang w:bidi="fa-IR"/>
          <w:color w:val="111111"/>
          <w:sz w:val="28"/>
          <w:szCs w:val="28"/>
          <w:rtl/>
        </w:rPr>
        <w:t xml:space="preserve">آغاز: برابر ۱ انجام: برابر۵</w:t>
      </w:r>
    </w:p>
    <w:p>
      <w:pPr>
        <w:pStyle w:val="BookText"/>
      </w:pPr>
      <w:r>
        <w:rPr>
          <w:rFonts w:ascii="IRNazanin" w:hAnsi="IRNazanin" w:eastAsia="IRNazanin" w:cs="IRNazanin"/>
          <w:lang w:bidi="fa-IR"/>
          <w:color w:val="111111"/>
          <w:sz w:val="28"/>
          <w:szCs w:val="28"/>
          <w:rtl/>
        </w:rPr>
        <w:t xml:space="preserve">خط: نستعلیق، بی کا، تا: ۱۰۷۰ق؛ دارای چهار سرلوح مذهب و مرصع، مصحح، مجدول، گواهی بلاغ علی رضا عباسی به تاریخ ۱۰۷۴ق؛ تملک: طباطبائی به تاریخ ۱۱ شوال ۱۲۵۸ق و مهر وی، قاسم غنی؛ جلد: تیماج سرخ عطف تیماج زرد، ۵۱۹گ، ۲۱ سطر،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سم [ف: ۲۷/۲ -۶۵]</w:t>
      </w:r>
    </w:p>
    <w:p>
      <w:pPr>
        <w:pStyle w:val="BookText"/>
      </w:pPr>
      <w:r>
        <w:rPr>
          <w:rFonts w:ascii="IRNazanin" w:hAnsi="IRNazanin" w:eastAsia="IRNazanin" w:cs="IRNazanin"/>
          <w:lang w:bidi="fa-IR"/>
          <w:color w:val="111111"/>
          <w:sz w:val="28"/>
          <w:szCs w:val="28"/>
          <w:rtl/>
        </w:rPr>
        <w:t xml:space="preserve">۳۸. تهران؛ مهدوی؛ شماره نسخه:۴۰۸</w:t>
      </w:r>
    </w:p>
    <w:p>
      <w:pPr>
        <w:pStyle w:val="BookText"/>
      </w:pPr>
      <w:r>
        <w:rPr>
          <w:rFonts w:ascii="IRNazanin" w:hAnsi="IRNazanin" w:eastAsia="IRNazanin" w:cs="IRNazanin"/>
          <w:lang w:bidi="fa-IR"/>
          <w:color w:val="111111"/>
          <w:sz w:val="28"/>
          <w:szCs w:val="28"/>
          <w:rtl/>
        </w:rPr>
        <w:t xml:space="preserve">جلد یکم؛ خط: نستعلیق، کا: صفی قلی بن فرهاد غلام، تا: 1 رجب ۱۰۷۰ق [نشریه: ۲-۶۶]</w:t>
      </w:r>
    </w:p>
    <w:p>
      <w:pPr>
        <w:pStyle w:val="BookText"/>
      </w:pPr>
      <w:r>
        <w:rPr>
          <w:rFonts w:ascii="IRNazanin" w:hAnsi="IRNazanin" w:eastAsia="IRNazanin" w:cs="IRNazanin"/>
          <w:lang w:bidi="fa-IR"/>
          <w:color w:val="111111"/>
          <w:sz w:val="28"/>
          <w:szCs w:val="28"/>
          <w:rtl/>
        </w:rPr>
        <w:t xml:space="preserve">۳۹. مشهد؛ رضوی؛ شماره نسخه:۱۶۰۱۹</w:t>
      </w:r>
    </w:p>
    <w:p>
      <w:pPr>
        <w:pStyle w:val="BookText"/>
      </w:pPr>
      <w:r>
        <w:rPr>
          <w:rFonts w:ascii="IRNazanin" w:hAnsi="IRNazanin" w:eastAsia="IRNazanin" w:cs="IRNazanin"/>
          <w:lang w:bidi="fa-IR"/>
          <w:color w:val="111111"/>
          <w:sz w:val="28"/>
          <w:szCs w:val="28"/>
          <w:rtl/>
        </w:rPr>
        <w:t xml:space="preserve">آغاز: شمس زرگر دار الضرب ایجاد سکه ففی کل شی ءله آیه؛ انجام: و الصلوه على رسول الله و آله الطاهرين</w:t>
      </w:r>
    </w:p>
    <w:p>
      <w:pPr>
        <w:pStyle w:val="BookText"/>
      </w:pPr>
      <w:r>
        <w:rPr>
          <w:rFonts w:ascii="IRNazanin" w:hAnsi="IRNazanin" w:eastAsia="IRNazanin" w:cs="IRNazanin"/>
          <w:lang w:bidi="fa-IR"/>
          <w:color w:val="111111"/>
          <w:sz w:val="28"/>
          <w:szCs w:val="28"/>
          <w:rtl/>
        </w:rPr>
        <w:t xml:space="preserve">خط: نسخ، كا: عطار سبزواری، حسین بن منصور، تا: ۱۰۷۳ق؛ افتادگی: آغاز؛ کاغذ: نخودی، جلد: تیماج، ۲۱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[رایانه]</w:t>
      </w:r>
    </w:p>
    <w:p>
      <w:pPr>
        <w:pStyle w:val="BookText"/>
      </w:pPr>
      <w:r>
        <w:rPr>
          <w:rFonts w:ascii="IRNazanin" w:hAnsi="IRNazanin" w:eastAsia="IRNazanin" w:cs="IRNazanin"/>
          <w:lang w:bidi="fa-IR"/>
          <w:color w:val="111111"/>
          <w:sz w:val="28"/>
          <w:szCs w:val="28"/>
          <w:rtl/>
        </w:rPr>
        <w:t xml:space="preserve">۴۰. تهران؛ مجلس؛ شماره نسخه:۷۱۶۹</w:t>
      </w:r>
    </w:p>
    <w:p>
      <w:pPr>
        <w:pStyle w:val="BookText"/>
      </w:pPr>
      <w:r>
        <w:rPr>
          <w:rFonts w:ascii="IRNazanin" w:hAnsi="IRNazanin" w:eastAsia="IRNazanin" w:cs="IRNazanin"/>
          <w:lang w:bidi="fa-IR"/>
          <w:color w:val="111111"/>
          <w:sz w:val="28"/>
          <w:szCs w:val="28"/>
          <w:rtl/>
        </w:rPr>
        <w:t xml:space="preserve">آغاز: برابر ۱؛ انجام: برابر۵
</w:t>
      </w:r>
    </w:p>
    <w:p>
      <w:pPr>
        <w:sectPr>
          <w:footerReference w:type="default" r:id="rId9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نستعلیق، كا: عنایت الله بن محب على، تا: ۲۴ رمضان ۱۰۷۹ق؛ مجدول مذهب محرر، با سرلوح مزدوج مذهب مرصع؛ تملك: عنایت الله بن محب علی در بلده شاه جهان آباد، سید علی حکاکی به تاریخ ۱۲۷۲ با مهر بیضوی؛ جلد: تیماج قهوها ترنج با سر، ۳۰۶گ، ۲۳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۲۷/۵سم [ف: ۲۵-۱۷۵]</w:t>
      </w:r>
    </w:p>
    <w:p>
      <w:pPr>
        <w:pStyle w:val="BookText"/>
      </w:pPr>
      <w:r>
        <w:rPr>
          <w:rFonts w:ascii="IRNazanin" w:hAnsi="IRNazanin" w:eastAsia="IRNazanin" w:cs="IRNazanin"/>
          <w:lang w:bidi="fa-IR"/>
          <w:color w:val="111111"/>
          <w:sz w:val="28"/>
          <w:szCs w:val="28"/>
          <w:rtl/>
        </w:rPr>
        <w:t xml:space="preserve">۴۱. مشهد؛ رضوی؛ شماره نسخه: ۴۱۹۱</w:t>
      </w:r>
    </w:p>
    <w:p>
      <w:pPr>
        <w:pStyle w:val="BookText"/>
      </w:pPr>
      <w:r>
        <w:rPr>
          <w:rFonts w:ascii="IRNazanin" w:hAnsi="IRNazanin" w:eastAsia="IRNazanin" w:cs="IRNazanin"/>
          <w:lang w:bidi="fa-IR"/>
          <w:color w:val="111111"/>
          <w:sz w:val="28"/>
          <w:szCs w:val="28"/>
          <w:rtl/>
        </w:rPr>
        <w:t xml:space="preserve">آغاز: برابر ۱؛ انجام: برابر۵ کامل؛ خط: نستعلیق، کا: محمد قاسم معلم مازندرانی، تا: ۱۳ ربیع الاول ۱۰۹۰ق؛ مجدول؛ واقف: نایینی؛ کاغذ: نخودی، جلد: چرمی قهوه ای، ۴۵۰ گ، ۲۳ سطر ( ۲۵/۲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 اندازه: ۲۱/۵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۳۵/۵ سم [ف: ۷-۴۸]</w:t>
      </w:r>
    </w:p>
    <w:p>
      <w:pPr>
        <w:pStyle w:val="BookText"/>
      </w:pPr>
      <w:r>
        <w:rPr>
          <w:rFonts w:ascii="IRNazanin" w:hAnsi="IRNazanin" w:eastAsia="IRNazanin" w:cs="IRNazanin"/>
          <w:lang w:bidi="fa-IR"/>
          <w:color w:val="111111"/>
          <w:sz w:val="28"/>
          <w:szCs w:val="28"/>
          <w:rtl/>
        </w:rPr>
        <w:t xml:space="preserve">۴۲. تهران؛ ملی؛ شماره نسخه:۲۷۳۳</w:t>
      </w:r>
    </w:p>
    <w:p>
      <w:pPr>
        <w:pStyle w:val="BookText"/>
      </w:pPr>
      <w:r>
        <w:rPr>
          <w:rFonts w:ascii="IRNazanin" w:hAnsi="IRNazanin" w:eastAsia="IRNazanin" w:cs="IRNazanin"/>
          <w:lang w:bidi="fa-IR"/>
          <w:color w:val="111111"/>
          <w:sz w:val="28"/>
          <w:szCs w:val="28"/>
          <w:rtl/>
        </w:rPr>
        <w:t xml:space="preserve">آغاز: برابر ۳؛ انجام: (انتهای جلد دوم): و اقامت و سلم و حرب رفیق و همنشین گردد ... وحده العزيز حاوی جلد سوم و جلد دوم که بر اثر صحافی در ابتداء جلد سوم آمده و بعد جلد دوم: جلد سوم از صفحه یک تا ۱۶۳ و جلد دوم از صفحه ۱۶۷ تا ۳۳۹ نسخه حاضر است. جلد سوم از آغاز حکومت گیخاتو است تا احوال ملک مصر و جلد دوم از وضع حکومت فارس به دست خاندان سلغری است تا شرح حال اتابکان لور؛ خط: نسخ و نستعلیق، کا: محمود بن احمد بن يعقوب ایروانی، تا: ۱۰۹۹ق، کاغذ: فرنگی، جلد: تیماج تریاکی، ۱۷۰گ،</w:t>
      </w:r>
    </w:p>
    <w:p>
      <w:pPr>
        <w:pStyle w:val="BookText"/>
      </w:pPr>
      <w:r>
        <w:rPr>
          <w:rFonts w:ascii="IRNazanin" w:hAnsi="IRNazanin" w:eastAsia="IRNazanin" w:cs="IRNazanin"/>
          <w:lang w:bidi="fa-IR"/>
          <w:color w:val="111111"/>
          <w:sz w:val="28"/>
          <w:szCs w:val="28"/>
          <w:rtl/>
        </w:rPr>
        <w:t xml:space="preserve">۱۷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۶-۳۴۲]</w:t>
      </w:r>
    </w:p>
    <w:p>
      <w:pPr>
        <w:pStyle w:val="BookText"/>
      </w:pPr>
      <w:r>
        <w:rPr>
          <w:rFonts w:ascii="IRNazanin" w:hAnsi="IRNazanin" w:eastAsia="IRNazanin" w:cs="IRNazanin"/>
          <w:lang w:bidi="fa-IR"/>
          <w:color w:val="111111"/>
          <w:sz w:val="28"/>
          <w:szCs w:val="28"/>
          <w:rtl/>
        </w:rPr>
        <w:t xml:space="preserve">۴۳. تهران؛ ملک؛ شماره نسخه: ۶۴۴۲</w:t>
      </w:r>
    </w:p>
    <w:p>
      <w:pPr>
        <w:pStyle w:val="BookText"/>
      </w:pPr>
      <w:r>
        <w:rPr>
          <w:rFonts w:ascii="IRNazanin" w:hAnsi="IRNazanin" w:eastAsia="IRNazanin" w:cs="IRNazanin"/>
          <w:lang w:bidi="fa-IR"/>
          <w:color w:val="111111"/>
          <w:sz w:val="28"/>
          <w:szCs w:val="28"/>
          <w:rtl/>
        </w:rPr>
        <w:t xml:space="preserve">جلدهای ۱ و ۲ و ۳؛ خط: نسخ، بی کا، تا: قرن ۱۱ و ۱۲؛ با یک سرلوح، دو پیشانی، مجدول؛ مهر: محمد حسن حسینی؛ کاغذ: ترمه بخارائی، جلد: میشن تریاکی، ۲۵ سطر، اندازه: ۲۴/۸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سم [ف: ۲-۱۰۰]</w:t>
      </w:r>
    </w:p>
    <w:p>
      <w:pPr>
        <w:pStyle w:val="BookText"/>
      </w:pPr>
      <w:r>
        <w:rPr>
          <w:rFonts w:ascii="IRNazanin" w:hAnsi="IRNazanin" w:eastAsia="IRNazanin" w:cs="IRNazanin"/>
          <w:lang w:bidi="fa-IR"/>
          <w:color w:val="111111"/>
          <w:sz w:val="28"/>
          <w:szCs w:val="28"/>
          <w:rtl/>
        </w:rPr>
        <w:t xml:space="preserve">۴۴. تهران، سپهسالار؛ شماره نسخه: ۱۶۸۹</w:t>
      </w:r>
    </w:p>
    <w:p>
      <w:pPr>
        <w:pStyle w:val="BookText"/>
      </w:pPr>
      <w:r>
        <w:rPr>
          <w:rFonts w:ascii="IRNazanin" w:hAnsi="IRNazanin" w:eastAsia="IRNazanin" w:cs="IRNazanin"/>
          <w:lang w:bidi="fa-IR"/>
          <w:color w:val="111111"/>
          <w:sz w:val="28"/>
          <w:szCs w:val="28"/>
          <w:rtl/>
        </w:rPr>
        <w:t xml:space="preserve">جلد ۴ و ۵ خط: نستعلیق، بی کا، تا: قرن ۱۲؛ محشی در سپاهان؛ تملک: فرج الله بن عبدالله افشار در ۲ جمادی الاول ۱۲۱۶ق، على رضا بن اسدالله حسینی در ۱۱۹۰ق؛ کاغذ: سپاهانی سفید، جلد: تیماج قهوه ای، ۳۰۱گ، ۱۸ سطر، اندازه: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۳۰سم [ف: ۳-۳۱۷]</w:t>
      </w:r>
    </w:p>
    <w:p>
      <w:pPr>
        <w:pStyle w:val="BookText"/>
      </w:pPr>
      <w:r>
        <w:rPr>
          <w:rFonts w:ascii="IRNazanin" w:hAnsi="IRNazanin" w:eastAsia="IRNazanin" w:cs="IRNazanin"/>
          <w:lang w:bidi="fa-IR"/>
          <w:color w:val="111111"/>
          <w:sz w:val="28"/>
          <w:szCs w:val="28"/>
          <w:rtl/>
        </w:rPr>
        <w:t xml:space="preserve">۴۵. تهران؛ سپهسالار؛ شماره نسخه: ۱۶۹۱</w:t>
      </w:r>
    </w:p>
    <w:p>
      <w:pPr>
        <w:pStyle w:val="BookText"/>
      </w:pPr>
      <w:r>
        <w:rPr>
          <w:rFonts w:ascii="IRNazanin" w:hAnsi="IRNazanin" w:eastAsia="IRNazanin" w:cs="IRNazanin"/>
          <w:lang w:bidi="fa-IR"/>
          <w:color w:val="111111"/>
          <w:sz w:val="28"/>
          <w:szCs w:val="28"/>
          <w:rtl/>
        </w:rPr>
        <w:t xml:space="preserve">پنج جلد؛ خط: نستعلیق، کا: محمد باقر حسینی، تا: چهارشنبه ۲۱ رجب ۱۱۰۰ق؛ مجدول، محشی، در پنج شنبه ۲۹ رجب همان سال با نسخه ای کهن مقابله شد و در پنج شنبه ۹ شعبان ۱۱۰۱ ق مقابله دیگر شده، در آغاز عباراتی از مقریزی و میدانی درباره «یاسا» هست شاید نسخه ۱۶۷۶ از روی این نسخه نوشته شده باشد؛ تملك: اعتضاد السلطنه در ۱۲۹۱ ق، سپهسالار در ۱۲۹۷ق؛ کاغذ: اصفهانی ترمه سفید، جلد: تیماج مشکی، ۳۸۳، ۲۷ سطر،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۳-۳۱۸]</w:t>
      </w:r>
    </w:p>
    <w:p>
      <w:pPr>
        <w:pStyle w:val="BookText"/>
      </w:pPr>
      <w:r>
        <w:rPr>
          <w:rFonts w:ascii="IRNazanin" w:hAnsi="IRNazanin" w:eastAsia="IRNazanin" w:cs="IRNazanin"/>
          <w:lang w:bidi="fa-IR"/>
          <w:color w:val="111111"/>
          <w:sz w:val="28"/>
          <w:szCs w:val="28"/>
          <w:rtl/>
        </w:rPr>
        <w:t xml:space="preserve">۴۶. تهران؛ سپهسالار؛ شماره نسخه: ۱۶۹۲</w:t>
      </w:r>
    </w:p>
    <w:p>
      <w:pPr>
        <w:pStyle w:val="BookText"/>
      </w:pPr>
      <w:r>
        <w:rPr>
          <w:rFonts w:ascii="IRNazanin" w:hAnsi="IRNazanin" w:eastAsia="IRNazanin" w:cs="IRNazanin"/>
          <w:lang w:bidi="fa-IR"/>
          <w:color w:val="111111"/>
          <w:sz w:val="28"/>
          <w:szCs w:val="28"/>
          <w:rtl/>
        </w:rPr>
        <w:t xml:space="preserve">جلد اول؛ خط: نستعلیق، بی کا، تا: قرن ۱۲؛ کاغذ: کبود فرنگی آهار مهره، جلد: تیماج سرخ، ۹۹گ، ۲۲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۳۱/۵سم [ف: ۳-۳۱۹]</w:t>
      </w:r>
    </w:p>
    <w:p>
      <w:pPr>
        <w:pStyle w:val="BookText"/>
      </w:pPr>
      <w:r>
        <w:rPr>
          <w:rFonts w:ascii="IRNazanin" w:hAnsi="IRNazanin" w:eastAsia="IRNazanin" w:cs="IRNazanin"/>
          <w:lang w:bidi="fa-IR"/>
          <w:color w:val="111111"/>
          <w:sz w:val="28"/>
          <w:szCs w:val="28"/>
          <w:rtl/>
        </w:rPr>
        <w:t xml:space="preserve">۴۷. قم؛ مرعشی؛ شماره نسخه: ۱۱۶۹۵</w:t>
      </w:r>
    </w:p>
    <w:p>
      <w:pPr>
        <w:pStyle w:val="BookText"/>
      </w:pPr>
      <w:r>
        <w:rPr>
          <w:rFonts w:ascii="IRNazanin" w:hAnsi="IRNazanin" w:eastAsia="IRNazanin" w:cs="IRNazanin"/>
          <w:lang w:bidi="fa-IR"/>
          <w:color w:val="111111"/>
          <w:sz w:val="28"/>
          <w:szCs w:val="28"/>
          <w:rtl/>
        </w:rPr>
        <w:t xml:space="preserve">آغاز: برابر ۱؛ انجام خواهی که عیش خویش بودت کار بر مراد *** با نیستی بساز و کم کار و بار گیر / چون روز گار کس ندهد پند آدمی*** خواهی که پند گیری از روزگار گیر خط: نسخ خوش، بی کا، تا: قرن ۱۲؛ مهر: «محمد يوسف» (بیضی)، «یا علی» (بیضی)، «لا إله إلا الله الملک الحق المبين عبده محمد کریم» (مربع)؛ کاغذ: فرنگی، آهار مهره، جلد: مشمعی قهوه ای عطف: تیماج قهوه ای، ۱۴۳ گ، ۲۰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w:t>
      </w:r>
    </w:p>
    <w:p>
      <w:pPr>
        <w:pStyle w:val="BookText"/>
      </w:pPr>
      <w:r>
        <w:rPr>
          <w:rFonts w:ascii="IRNazanin" w:hAnsi="IRNazanin" w:eastAsia="IRNazanin" w:cs="IRNazanin"/>
          <w:lang w:bidi="fa-IR"/>
          <w:color w:val="111111"/>
          <w:sz w:val="28"/>
          <w:szCs w:val="28"/>
          <w:rtl/>
        </w:rPr>
        <w:t xml:space="preserve">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۲۹-۴۷۷]</w:t>
      </w:r>
    </w:p>
    <w:p>
      <w:pPr>
        <w:pStyle w:val="BookText"/>
      </w:pPr>
      <w:r>
        <w:rPr>
          <w:rFonts w:ascii="IRNazanin" w:hAnsi="IRNazanin" w:eastAsia="IRNazanin" w:cs="IRNazanin"/>
          <w:lang w:bidi="fa-IR"/>
          <w:color w:val="111111"/>
          <w:sz w:val="28"/>
          <w:szCs w:val="28"/>
          <w:rtl/>
        </w:rPr>
        <w:t xml:space="preserve">۴۸. تهران؛ ملی؛ شماره نسخه:۲۶۴۹</w:t>
      </w:r>
    </w:p>
    <w:p>
      <w:pPr>
        <w:pStyle w:val="BookText"/>
      </w:pPr>
      <w:r>
        <w:rPr>
          <w:rFonts w:ascii="IRNazanin" w:hAnsi="IRNazanin" w:eastAsia="IRNazanin" w:cs="IRNazanin"/>
          <w:lang w:bidi="fa-IR"/>
          <w:color w:val="111111"/>
          <w:sz w:val="28"/>
          <w:szCs w:val="28"/>
          <w:rtl/>
        </w:rPr>
        <w:t xml:space="preserve">آغاز: برابر ۱؛ انجام: مستلزم مبرات مدعواست چون شرایط ... بجا آورده هنگام آنکه</w:t>
      </w:r>
    </w:p>
    <w:p>
      <w:pPr>
        <w:pStyle w:val="BookText"/>
      </w:pPr>
      <w:r>
        <w:rPr>
          <w:rFonts w:ascii="IRNazanin" w:hAnsi="IRNazanin" w:eastAsia="IRNazanin" w:cs="IRNazanin"/>
          <w:lang w:bidi="fa-IR"/>
          <w:color w:val="111111"/>
          <w:sz w:val="28"/>
          <w:szCs w:val="28"/>
          <w:rtl/>
        </w:rPr>
        <w:t xml:space="preserve">خط: نسخ و نستعلیق، بی کا، تا: محتملا قرن ۱۲؛ افتادگی: انجام؛ با سرلوح مذهب، مجدول، مذهب؛ کاغذ: ترمه، جلد: تیماج مشکی با ترنج و نیم ترنج، ۳۳۹، ۲۱ سطر (۱۵/۵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۲۲/۵)، اندازه: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سم [ف: ۶-۲۱۱]</w:t>
      </w:r>
    </w:p>
    <w:p>
      <w:pPr>
        <w:pStyle w:val="BookText"/>
      </w:pPr>
      <w:r>
        <w:rPr>
          <w:rFonts w:ascii="IRNazanin" w:hAnsi="IRNazanin" w:eastAsia="IRNazanin" w:cs="IRNazanin"/>
          <w:lang w:bidi="fa-IR"/>
          <w:color w:val="111111"/>
          <w:sz w:val="28"/>
          <w:szCs w:val="28"/>
          <w:rtl/>
        </w:rPr>
        <w:t xml:space="preserve">۴۹. قم، مؤسسه آية الله بروجردی؛ شماره نسخه:۲۰۵</w:t>
      </w:r>
    </w:p>
    <w:p>
      <w:pPr>
        <w:pStyle w:val="BookText"/>
      </w:pPr>
      <w:r>
        <w:rPr>
          <w:rFonts w:ascii="IRNazanin" w:hAnsi="IRNazanin" w:eastAsia="IRNazanin" w:cs="IRNazanin"/>
          <w:lang w:bidi="fa-IR"/>
          <w:color w:val="111111"/>
          <w:sz w:val="28"/>
          <w:szCs w:val="28"/>
          <w:rtl/>
        </w:rPr>
        <w:t xml:space="preserve">جلد اول و دوم؛ خط: نستعلیق و نسخ، بی کا، تا: قرن ۱۲؛ تملکی پاک شده به تاریخ ۱۲۸۷؛ جلد: تیماج مشکی، ۲۳۲ گ، ۱۷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۳۰سم [ف: ۱-۱۲۶]</w:t>
      </w:r>
    </w:p>
    <w:p>
      <w:pPr>
        <w:pStyle w:val="BookText"/>
      </w:pPr>
      <w:r>
        <w:rPr>
          <w:rFonts w:ascii="IRNazanin" w:hAnsi="IRNazanin" w:eastAsia="IRNazanin" w:cs="IRNazanin"/>
          <w:lang w:bidi="fa-IR"/>
          <w:color w:val="111111"/>
          <w:sz w:val="28"/>
          <w:szCs w:val="28"/>
          <w:rtl/>
        </w:rPr>
        <w:t xml:space="preserve">۵۰. تهران؛ مهدوی؛ شماره نسخه:۱۲۰</w:t>
      </w:r>
    </w:p>
    <w:p>
      <w:pPr>
        <w:pStyle w:val="BookText"/>
      </w:pPr>
      <w:r>
        <w:rPr>
          <w:rFonts w:ascii="IRNazanin" w:hAnsi="IRNazanin" w:eastAsia="IRNazanin" w:cs="IRNazanin"/>
          <w:lang w:bidi="fa-IR"/>
          <w:color w:val="111111"/>
          <w:sz w:val="28"/>
          <w:szCs w:val="28"/>
          <w:rtl/>
        </w:rPr>
        <w:t xml:space="preserve">خط: نسخ و نستعلیق، کا: خليفة بن يوسف نسفی، تا: ۱۰ رمضان ۱۱۰۵ق (در جزو ۲) و سیف الدین محمود بن هداية الله در ۱۲ شعبان ۱۰۴۵ق (پایان نسخه) [نشریه: ۲-۶۶]</w:t>
      </w:r>
    </w:p>
    <w:p>
      <w:pPr>
        <w:pStyle w:val="BookText"/>
      </w:pPr>
      <w:r>
        <w:rPr>
          <w:rFonts w:ascii="IRNazanin" w:hAnsi="IRNazanin" w:eastAsia="IRNazanin" w:cs="IRNazanin"/>
          <w:lang w:bidi="fa-IR"/>
          <w:color w:val="111111"/>
          <w:sz w:val="28"/>
          <w:szCs w:val="28"/>
          <w:rtl/>
        </w:rPr>
        <w:t xml:space="preserve">۵۱. تهران؛ سلطنتی؛ شماره نسخه:۷۵۶</w:t>
      </w:r>
    </w:p>
    <w:p>
      <w:pPr>
        <w:pStyle w:val="BookText"/>
      </w:pPr>
      <w:r>
        <w:rPr>
          <w:rFonts w:ascii="IRNazanin" w:hAnsi="IRNazanin" w:eastAsia="IRNazanin" w:cs="IRNazanin"/>
          <w:lang w:bidi="fa-IR"/>
          <w:color w:val="111111"/>
          <w:sz w:val="28"/>
          <w:szCs w:val="28"/>
          <w:rtl/>
        </w:rPr>
        <w:t xml:space="preserve">آغاز: برابر ۱؛ انجام: لمؤلفه. دريغ طبع مرا گر مربی بودی *** زبان ناطقه دادی ببندگیش اقرار ... حسب الأمر بندگان ... علیمردان خان ایشک آقاسی باشی دیوان اعلى ... اقل خلق الله ابن لطف الله محمد یحی بهبهانی بنوشتن این نسخه بديعه در قصبه رامهرمز کوه کیلویه شروع و بتوفیق دادار جهان در دارالسلطنه اصفهان بتاريخ شهر رمضان سنه اثنی عشر و مأته بعد الألف من الهجرة ... تمام بود.</w:t>
      </w:r>
    </w:p>
    <w:p>
      <w:pPr>
        <w:pStyle w:val="BookText"/>
      </w:pPr>
      <w:r>
        <w:rPr>
          <w:rFonts w:ascii="IRNazanin" w:hAnsi="IRNazanin" w:eastAsia="IRNazanin" w:cs="IRNazanin"/>
          <w:lang w:bidi="fa-IR"/>
          <w:color w:val="111111"/>
          <w:sz w:val="28"/>
          <w:szCs w:val="28"/>
          <w:rtl/>
        </w:rPr>
        <w:t xml:space="preserve">خط: نستعلیق، کا: محمد یحیی بهبهانی، تا: ۱۱۱۲ق، اصفهان؛ افتادگی: انجام؛ مجدول، کمند کشی، مذهب، قصیده ای شامل نام و اسامی گوشه ها و ردیف های موسیقی ایرانی به مطلع «مقام اندر عدد هشت آمد و چار *** دو شعبه هر مقامی راست ناچار / مقام راست کنج رنج گاه است *** مبرقع لازمش با پنجگاه است» و مقطع «همین ترتیب تا آخر نوشتم *** برو بردار از این تخمی که کشتم»، در ذیل اشعار در درون دایره تزئینی اسامی ردیف ها و گوشه های موسیقی ایرانی به ترتیب آورده شده است که از نظر فن موسیقی قابل توجه و تعمق است؛ تملك: طهماسب میرزا
</w:t>
      </w:r>
    </w:p>
    <w:p>
      <w:pPr>
        <w:sectPr>
          <w:footerReference w:type="default" r:id="rId9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مؤيدالدوله؛ مهر: کتابخانه دولت علیه ایران ۱۳۲۹، کاغذ: اصفهانی، جلد: مقوای روغنی بوم ابری قهوه ای زمینه طلائی (کار ابوطالب مدرس) با تزیینات، ۷۵۲ص، ۲۵ 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۳۷سم [ف: ۵-۴۴۶]</w:t>
      </w:r>
    </w:p>
    <w:p>
      <w:pPr>
        <w:pStyle w:val="BookText"/>
      </w:pPr>
      <w:r>
        <w:rPr>
          <w:rFonts w:ascii="Amiri" w:hAnsi="Amiri" w:eastAsia="Amiri" w:cs="Amiri"/>
          <w:lang w:bidi="ar-SA"/>
          <w:color w:val="111111"/>
          <w:sz w:val="28"/>
          <w:szCs w:val="28"/>
          <w:rtl/>
        </w:rPr>
        <w:t xml:space="preserve">۵۲. تهران؛ الهيات؛ شماره نسخه:۱۳۸</w:t>
      </w:r>
    </w:p>
    <w:p>
      <w:pPr>
        <w:pStyle w:val="BookText"/>
      </w:pPr>
      <w:r>
        <w:rPr>
          <w:rFonts w:ascii="IRNazanin" w:hAnsi="IRNazanin" w:eastAsia="IRNazanin" w:cs="IRNazanin"/>
          <w:lang w:bidi="fa-IR"/>
          <w:color w:val="111111"/>
          <w:sz w:val="28"/>
          <w:szCs w:val="28"/>
          <w:rtl/>
        </w:rPr>
        <w:t xml:space="preserve">جلد ۴، خط: نسخ و نستعلیق، كا: ابن مرحوم اصيل محمد قاسم اردوبادی، تا: سه شنبه پایان جمادی الاول ۱۱۳۲ق؛ محشی با نشانه: «مختار الصحاح، فرهنگ، میدانی»؛ کاغذ: فرنگی، جلد: تیماج سبز، ۲۱۰گ، ۱۹ سطر (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قطع: رحلی،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w:t>
      </w:r>
    </w:p>
    <w:p>
      <w:pPr>
        <w:pStyle w:val="BookText"/>
      </w:pPr>
      <w:r>
        <w:rPr>
          <w:rFonts w:ascii="IRNazanin" w:hAnsi="IRNazanin" w:eastAsia="IRNazanin" w:cs="IRNazanin"/>
          <w:lang w:bidi="fa-IR"/>
          <w:color w:val="111111"/>
          <w:sz w:val="28"/>
          <w:szCs w:val="28"/>
          <w:rtl/>
        </w:rPr>
        <w:t xml:space="preserve">سم [ف: ۲۲]</w:t>
      </w:r>
    </w:p>
    <w:p>
      <w:pPr>
        <w:pStyle w:val="BookText"/>
      </w:pPr>
      <w:r>
        <w:rPr>
          <w:rFonts w:ascii="IRNazanin" w:hAnsi="IRNazanin" w:eastAsia="IRNazanin" w:cs="IRNazanin"/>
          <w:lang w:bidi="fa-IR"/>
          <w:color w:val="111111"/>
          <w:sz w:val="28"/>
          <w:szCs w:val="28"/>
          <w:rtl/>
        </w:rPr>
        <w:t xml:space="preserve">۵۳. تهران؛ مجلس؛ شماره نسخه: ۱۵۸۷۷/۱</w:t>
      </w:r>
    </w:p>
    <w:p>
      <w:pPr>
        <w:pStyle w:val="BookText"/>
      </w:pPr>
      <w:r>
        <w:rPr>
          <w:rFonts w:ascii="IRNazanin" w:hAnsi="IRNazanin" w:eastAsia="IRNazanin" w:cs="IRNazanin"/>
          <w:lang w:bidi="fa-IR"/>
          <w:color w:val="111111"/>
          <w:sz w:val="28"/>
          <w:szCs w:val="28"/>
          <w:rtl/>
        </w:rPr>
        <w:t xml:space="preserve">آغاز: بسمله. حمد و ستایشی که انوار اخلاصش آفاق و انفس را چون فاتحه صبح صادق؛ انجام: في العلم و العمل عن ضالة الرأي و خطل التدبير انه على ذلك القدير و بالاجابة جدير و صلی الله على محمد بشیر و نذير و هو في اياجير الظلمة انور من سراج و قمر منیر و على آله و سلم ... خط: نستعلیق، كا: محمدرضا حاجی محمود اصفهانی، تا: شعبان ۱۱۸۳ق؛ رکابه دار؛ جلد: تیماج سرخ، ۱۷۶ص (۲-۱۷۷)، ۲۵ سطر،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۴۴-۱۱۰] ۵۴. تهران؛ مجلس؛ شماره نسخه:۴۰۹۵</w:t>
      </w:r>
    </w:p>
    <w:p>
      <w:pPr>
        <w:pStyle w:val="BookText"/>
      </w:pPr>
      <w:r>
        <w:rPr>
          <w:rFonts w:ascii="IRNazanin" w:hAnsi="IRNazanin" w:eastAsia="IRNazanin" w:cs="IRNazanin"/>
          <w:lang w:bidi="fa-IR"/>
          <w:color w:val="111111"/>
          <w:sz w:val="28"/>
          <w:szCs w:val="28"/>
          <w:rtl/>
        </w:rPr>
        <w:t xml:space="preserve">آغاز: برابر ۱؛ انجام: برابر ۳</w:t>
      </w:r>
    </w:p>
    <w:p>
      <w:pPr>
        <w:pStyle w:val="BookText"/>
      </w:pPr>
      <w:r>
        <w:rPr>
          <w:rFonts w:ascii="IRNazanin" w:hAnsi="IRNazanin" w:eastAsia="IRNazanin" w:cs="IRNazanin"/>
          <w:lang w:bidi="fa-IR"/>
          <w:color w:val="111111"/>
          <w:sz w:val="28"/>
          <w:szCs w:val="28"/>
          <w:rtl/>
        </w:rPr>
        <w:t xml:space="preserve">خط: نسخ، كا: دوست محمد مذهب بن مولانا محمد یار، تا: ۴ جمادی الاول ۱۱۹۱ق (پایان جلد 1)؛ کاغذ: سپاهانی، جلد: تیماج سرخ، ۳۲۲گ، ۲۱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 اندازه: ۱۷/۵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۲۶/۵سم [ف: و ۹۱-۱۱ ]</w:t>
      </w:r>
    </w:p>
    <w:p>
      <w:pPr>
        <w:pStyle w:val="BookText"/>
      </w:pPr>
      <w:r>
        <w:rPr>
          <w:rFonts w:ascii="IRNazanin" w:hAnsi="IRNazanin" w:eastAsia="IRNazanin" w:cs="IRNazanin"/>
          <w:lang w:bidi="fa-IR"/>
          <w:color w:val="111111"/>
          <w:sz w:val="28"/>
          <w:szCs w:val="28"/>
          <w:rtl/>
        </w:rPr>
        <w:t xml:space="preserve">۵۵. قم: مرکز احیاء؛ شماره نسخه:۳۴۱۴</w:t>
      </w:r>
    </w:p>
    <w:p>
      <w:pPr>
        <w:pStyle w:val="BookText"/>
      </w:pPr>
      <w:r>
        <w:rPr>
          <w:rFonts w:ascii="IRNazanin" w:hAnsi="IRNazanin" w:eastAsia="IRNazanin" w:cs="IRNazanin"/>
          <w:lang w:bidi="fa-IR"/>
          <w:color w:val="111111"/>
          <w:sz w:val="28"/>
          <w:szCs w:val="28"/>
          <w:rtl/>
        </w:rPr>
        <w:t xml:space="preserve">آغاز: برابر1</w:t>
      </w:r>
    </w:p>
    <w:p>
      <w:pPr>
        <w:pStyle w:val="BookText"/>
      </w:pPr>
      <w:r>
        <w:rPr>
          <w:rFonts w:ascii="IRNazanin" w:hAnsi="IRNazanin" w:eastAsia="IRNazanin" w:cs="IRNazanin"/>
          <w:lang w:bidi="fa-IR"/>
          <w:color w:val="111111"/>
          <w:sz w:val="28"/>
          <w:szCs w:val="28"/>
          <w:rtl/>
        </w:rPr>
        <w:t xml:space="preserve">كان محمد جعفر زنجانی (پایان جلد پنجم)، تا: ربيع الثانی ۱۱۹۶ (جلد اول)، ۱۲۴۳ق (جلد دوم)، ۱۲۶۲ق (پایان جلد سوم)، ۱۲۴۳ق (پایان چهارم)، ۱۱۹۶ق (پایان کتاب)، جا: دارالسلطنه زنجان؛ مصحح، محشى؛ تملك: «حسین رضوی» ۱۲۹۳ق، فرزندش «جعفر بن حسین رضوی»؛ جلد: روغنی گلدار، ۳۹۱گ، مختلف السطر، اندازه: ۲۰/۵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۲۹/۵</w:t>
      </w:r>
    </w:p>
    <w:p>
      <w:pPr>
        <w:pStyle w:val="BookText"/>
      </w:pPr>
      <w:r>
        <w:rPr>
          <w:rFonts w:ascii="IRNazanin" w:hAnsi="IRNazanin" w:eastAsia="IRNazanin" w:cs="IRNazanin"/>
          <w:lang w:bidi="fa-IR"/>
          <w:color w:val="111111"/>
          <w:sz w:val="28"/>
          <w:szCs w:val="28"/>
          <w:rtl/>
        </w:rPr>
        <w:t xml:space="preserve">سم [ محدث ارموی مخ: ۱-۲۷۷]</w:t>
      </w:r>
    </w:p>
    <w:p>
      <w:pPr>
        <w:pStyle w:val="BookText"/>
      </w:pPr>
      <w:r>
        <w:rPr>
          <w:rFonts w:ascii="IRNazanin" w:hAnsi="IRNazanin" w:eastAsia="IRNazanin" w:cs="IRNazanin"/>
          <w:lang w:bidi="fa-IR"/>
          <w:color w:val="111111"/>
          <w:sz w:val="28"/>
          <w:szCs w:val="28"/>
          <w:rtl/>
        </w:rPr>
        <w:t xml:space="preserve">۵۶. تهران؛ مجلس؛ شماره نسخه:۵۷۰۵</w:t>
      </w:r>
    </w:p>
    <w:p>
      <w:pPr>
        <w:pStyle w:val="BookText"/>
      </w:pPr>
      <w:r>
        <w:rPr>
          <w:rFonts w:ascii="IRNazanin" w:hAnsi="IRNazanin" w:eastAsia="IRNazanin" w:cs="IRNazanin"/>
          <w:lang w:bidi="fa-IR"/>
          <w:color w:val="111111"/>
          <w:sz w:val="28"/>
          <w:szCs w:val="28"/>
          <w:rtl/>
        </w:rPr>
        <w:t xml:space="preserve">آغاز: برابر ۱؛ انجام: برابر۵</w:t>
      </w:r>
    </w:p>
    <w:p>
      <w:pPr>
        <w:pStyle w:val="BookText"/>
      </w:pPr>
      <w:r>
        <w:rPr>
          <w:rFonts w:ascii="IRNazanin" w:hAnsi="IRNazanin" w:eastAsia="IRNazanin" w:cs="IRNazanin"/>
          <w:lang w:bidi="fa-IR"/>
          <w:color w:val="111111"/>
          <w:sz w:val="28"/>
          <w:szCs w:val="28"/>
          <w:rtl/>
        </w:rPr>
        <w:t xml:space="preserve">خط: نسخ، بی کا، تا: قرن ۱۳؛ محشی؛ این نسخه را ملا هداية الله به ابوالفتح میرزا هبه کرده؛ کاغذ: فرنگی آهاردار سفید، جلد: روغنی دارای ترنج و نیم ترنج، ۷۸۸ص، ۲۵ سطر، اندازه: ۲۰/۵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۳۰سم [ف: ۱۷-۱۵۹]</w:t>
      </w:r>
    </w:p>
    <w:p>
      <w:pPr>
        <w:pStyle w:val="BookText"/>
      </w:pPr>
      <w:r>
        <w:rPr>
          <w:rFonts w:ascii="IRNazanin" w:hAnsi="IRNazanin" w:eastAsia="IRNazanin" w:cs="IRNazanin"/>
          <w:lang w:bidi="fa-IR"/>
          <w:color w:val="111111"/>
          <w:sz w:val="28"/>
          <w:szCs w:val="28"/>
          <w:rtl/>
        </w:rPr>
        <w:t xml:space="preserve">۵۷. تهران: ملک؛ شماره نسخه:۴۳۳۷</w:t>
      </w:r>
    </w:p>
    <w:p>
      <w:pPr>
        <w:pStyle w:val="BookText"/>
      </w:pPr>
      <w:r>
        <w:rPr>
          <w:rFonts w:ascii="IRNazanin" w:hAnsi="IRNazanin" w:eastAsia="IRNazanin" w:cs="IRNazanin"/>
          <w:lang w:bidi="fa-IR"/>
          <w:color w:val="111111"/>
          <w:sz w:val="28"/>
          <w:szCs w:val="28"/>
          <w:rtl/>
        </w:rPr>
        <w:t xml:space="preserve">خط: نستعلیق، بی کا، تا: قرن ۱۳، مجدول؛ کاغذ: کاغذ فستقی آبی، جلد: میشن قهوه ای، ۲۱۶گ، اندازه: ۲۳/۶۷۲۰/۲ سم [ف: ۲-۹۹]</w:t>
      </w:r>
    </w:p>
    <w:p>
      <w:pPr>
        <w:pStyle w:val="BookText"/>
      </w:pPr>
      <w:r>
        <w:rPr>
          <w:rFonts w:ascii="IRNazanin" w:hAnsi="IRNazanin" w:eastAsia="IRNazanin" w:cs="IRNazanin"/>
          <w:lang w:bidi="fa-IR"/>
          <w:color w:val="111111"/>
          <w:sz w:val="28"/>
          <w:szCs w:val="28"/>
          <w:rtl/>
        </w:rPr>
        <w:t xml:space="preserve">۵۸. مشهد؛ رضوی؛ شماره نسخه:۴۱۹۳</w:t>
      </w:r>
    </w:p>
    <w:p>
      <w:pPr>
        <w:pStyle w:val="BookText"/>
      </w:pPr>
      <w:r>
        <w:rPr>
          <w:rFonts w:ascii="IRNazanin" w:hAnsi="IRNazanin" w:eastAsia="IRNazanin" w:cs="IRNazanin"/>
          <w:lang w:bidi="fa-IR"/>
          <w:color w:val="111111"/>
          <w:sz w:val="28"/>
          <w:szCs w:val="28"/>
          <w:rtl/>
        </w:rPr>
        <w:t xml:space="preserve">آغاز: برابر ۱؛ انجام: جلد اول: خواهی که پند گیری از روزگار گیر. جلد دوم: خواجه سيف الدين را مقرر داشت بیش از وصول. جلد اول و دوم؛ خط: نسخ و نستعلیق، بی کا، تا: نیمه دوم قرن ۱۳؛ دارای دو سرلوح بزرگ، مجدول؛ واقف: نایینی؛ کاغذ: سفید فرنگی آهار مهره، جلد: تیماج قهوه ای، ۱۷۴گ، ۱۷ سطر ( ۲۲/۸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۱۳۷۳)، اندازه: ۲۰/۷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۳۰سم [ف: ۷-۴۶]</w:t>
      </w:r>
    </w:p>
    <w:p>
      <w:pPr>
        <w:pStyle w:val="BookText"/>
      </w:pPr>
      <w:r>
        <w:rPr>
          <w:rFonts w:ascii="IRNazanin" w:hAnsi="IRNazanin" w:eastAsia="IRNazanin" w:cs="IRNazanin"/>
          <w:lang w:bidi="fa-IR"/>
          <w:color w:val="111111"/>
          <w:sz w:val="28"/>
          <w:szCs w:val="28"/>
          <w:rtl/>
        </w:rPr>
        <w:t xml:space="preserve">۵۹. تهران؛ ملک؛ شماره نسخه:۴۳۵۹</w:t>
      </w:r>
    </w:p>
    <w:p>
      <w:pPr>
        <w:pStyle w:val="BookText"/>
      </w:pPr>
      <w:r>
        <w:rPr>
          <w:rFonts w:ascii="IRNazanin" w:hAnsi="IRNazanin" w:eastAsia="IRNazanin" w:cs="IRNazanin"/>
          <w:lang w:bidi="fa-IR"/>
          <w:color w:val="111111"/>
          <w:sz w:val="28"/>
          <w:szCs w:val="28"/>
          <w:rtl/>
        </w:rPr>
        <w:t xml:space="preserve">خط: نستعلیق، بی کا، تا: قرن ۱۳؛ مجدول، مذهب، دارای</w:t>
      </w:r>
    </w:p>
    <w:p>
      <w:pPr>
        <w:pStyle w:val="BookText"/>
      </w:pPr>
      <w:r>
        <w:rPr>
          <w:rFonts w:ascii="IRNazanin" w:hAnsi="IRNazanin" w:eastAsia="IRNazanin" w:cs="IRNazanin"/>
          <w:lang w:bidi="fa-IR"/>
          <w:color w:val="111111"/>
          <w:sz w:val="28"/>
          <w:szCs w:val="28"/>
          <w:rtl/>
        </w:rPr>
        <w:t xml:space="preserve">چهار سرلوح مذهب، محشی به لغات و فوائد، کاغذ: کاغذ ترمه اصفهانی، جلد: روغنی گل و بوته پشت زنبق و سنبل و نرگس، ۴۵۶گ، ۲۲ 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۳۶/۵سم [ف: ۲-۱۰۰]</w:t>
      </w:r>
    </w:p>
    <w:p>
      <w:pPr>
        <w:pStyle w:val="BookText"/>
      </w:pPr>
      <w:r>
        <w:rPr>
          <w:rFonts w:ascii="IRNazanin" w:hAnsi="IRNazanin" w:eastAsia="IRNazanin" w:cs="IRNazanin"/>
          <w:lang w:bidi="fa-IR"/>
          <w:color w:val="111111"/>
          <w:sz w:val="28"/>
          <w:szCs w:val="28"/>
          <w:rtl/>
        </w:rPr>
        <w:t xml:space="preserve">۶۰. مشهد؛ رضوی؛ شماره نسخه:۴۱۹۰</w:t>
      </w:r>
    </w:p>
    <w:p>
      <w:pPr>
        <w:pStyle w:val="BookText"/>
      </w:pPr>
      <w:r>
        <w:rPr>
          <w:rFonts w:ascii="IRNazanin" w:hAnsi="IRNazanin" w:eastAsia="IRNazanin" w:cs="IRNazanin"/>
          <w:lang w:bidi="fa-IR"/>
          <w:color w:val="111111"/>
          <w:sz w:val="28"/>
          <w:szCs w:val="28"/>
          <w:rtl/>
        </w:rPr>
        <w:t xml:space="preserve">آغاز: برابر ۱؛ انجام: برابر5</w:t>
      </w:r>
    </w:p>
    <w:p>
      <w:pPr>
        <w:pStyle w:val="BookText"/>
      </w:pPr>
      <w:r>
        <w:rPr>
          <w:rFonts w:ascii="IRNazanin" w:hAnsi="IRNazanin" w:eastAsia="IRNazanin" w:cs="IRNazanin"/>
          <w:lang w:bidi="fa-IR"/>
          <w:color w:val="111111"/>
          <w:sz w:val="28"/>
          <w:szCs w:val="28"/>
          <w:rtl/>
        </w:rPr>
        <w:t xml:space="preserve">کامل؛ خط: نستعلیق، بی کا، تا: قرن ۱۳؛ دارای چهار سرلوح، محشی، مجدول؛ واقف: نایینی؛ کاغذ: شکری فرنگی آهار مهره، جلد: ساغری مشکی، ۴۵۶گ، ۲۲ سطر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۲۵/۵ )، اندازه: ۳۹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۷-۴۷]</w:t>
      </w:r>
    </w:p>
    <w:p>
      <w:pPr>
        <w:pStyle w:val="BookText"/>
      </w:pPr>
      <w:r>
        <w:rPr>
          <w:rFonts w:ascii="IRNazanin" w:hAnsi="IRNazanin" w:eastAsia="IRNazanin" w:cs="IRNazanin"/>
          <w:lang w:bidi="fa-IR"/>
          <w:color w:val="111111"/>
          <w:sz w:val="28"/>
          <w:szCs w:val="28"/>
          <w:rtl/>
        </w:rPr>
        <w:t xml:space="preserve">۶۱. تهران: ملی؛ شماره نسخه: ۱۳۰۹/۱</w:t>
      </w:r>
    </w:p>
    <w:p>
      <w:pPr>
        <w:pStyle w:val="BookText"/>
      </w:pPr>
      <w:r>
        <w:rPr>
          <w:rFonts w:ascii="IRNazanin" w:hAnsi="IRNazanin" w:eastAsia="IRNazanin" w:cs="IRNazanin"/>
          <w:lang w:bidi="fa-IR"/>
          <w:color w:val="111111"/>
          <w:sz w:val="28"/>
          <w:szCs w:val="28"/>
          <w:rtl/>
        </w:rPr>
        <w:t xml:space="preserve">آغاز: برابر ۱؛ انجام: روزی از پیش ایلچیان بخانه مزاجعت.</w:t>
      </w:r>
    </w:p>
    <w:p>
      <w:pPr>
        <w:pStyle w:val="BookText"/>
      </w:pPr>
      <w:r>
        <w:rPr>
          <w:rFonts w:ascii="IRNazanin" w:hAnsi="IRNazanin" w:eastAsia="IRNazanin" w:cs="IRNazanin"/>
          <w:lang w:bidi="fa-IR"/>
          <w:color w:val="111111"/>
          <w:sz w:val="28"/>
          <w:szCs w:val="28"/>
          <w:rtl/>
        </w:rPr>
        <w:t xml:space="preserve">خط: نسخ خوش، كا: وصال، تا: قرن ۱۳، جان شیراز؛ کاغذ: فرنگی، جلد: تیماج سرخ، ۲۵۱ص، ۲۵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[ف: ۳-۳۷۲]</w:t>
      </w:r>
    </w:p>
    <w:p>
      <w:pPr>
        <w:pStyle w:val="BookText"/>
      </w:pPr>
      <w:r>
        <w:rPr>
          <w:rFonts w:ascii="IRNazanin" w:hAnsi="IRNazanin" w:eastAsia="IRNazanin" w:cs="IRNazanin"/>
          <w:lang w:bidi="fa-IR"/>
          <w:color w:val="111111"/>
          <w:sz w:val="28"/>
          <w:szCs w:val="28"/>
          <w:rtl/>
        </w:rPr>
        <w:t xml:space="preserve">۶۲. تهران؛ ملی؛ شماره نسخه: ۷۵۱</w:t>
      </w:r>
    </w:p>
    <w:p>
      <w:pPr>
        <w:pStyle w:val="BookText"/>
      </w:pPr>
      <w:r>
        <w:rPr>
          <w:rFonts w:ascii="IRNazanin" w:hAnsi="IRNazanin" w:eastAsia="IRNazanin" w:cs="IRNazanin"/>
          <w:lang w:bidi="fa-IR"/>
          <w:color w:val="111111"/>
          <w:sz w:val="28"/>
          <w:szCs w:val="28"/>
          <w:rtl/>
        </w:rPr>
        <w:t xml:space="preserve">آغاز: برابر۵؛ انجام: الحمدلله رب العالمين و الصلوة على رسول الله محمد و آله الطاهرین.</w:t>
      </w:r>
    </w:p>
    <w:p>
      <w:pPr>
        <w:pStyle w:val="BookText"/>
      </w:pPr>
      <w:r>
        <w:rPr>
          <w:rFonts w:ascii="IRNazanin" w:hAnsi="IRNazanin" w:eastAsia="IRNazanin" w:cs="IRNazanin"/>
          <w:lang w:bidi="fa-IR"/>
          <w:color w:val="111111"/>
          <w:sz w:val="28"/>
          <w:szCs w:val="28"/>
          <w:rtl/>
        </w:rPr>
        <w:t xml:space="preserve">جلد پنجم؛ خط: نستعلیق خوش، بی کا، تا: محتملا قرن ۱۳؛ مجدول؛ کاغذ: ترمه، جلد: تیماج قرمز با ترنج و نیم ترنج، ۱۰۷گ، ۱۵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سم [ف: ۲-۲۷۲]</w:t>
      </w:r>
    </w:p>
    <w:p>
      <w:pPr>
        <w:pStyle w:val="BookText"/>
      </w:pPr>
      <w:r>
        <w:rPr>
          <w:rFonts w:ascii="IRNazanin" w:hAnsi="IRNazanin" w:eastAsia="IRNazanin" w:cs="IRNazanin"/>
          <w:lang w:bidi="fa-IR"/>
          <w:color w:val="111111"/>
          <w:sz w:val="28"/>
          <w:szCs w:val="28"/>
          <w:rtl/>
        </w:rPr>
        <w:t xml:space="preserve">۶۳. مشهد؛ رضوی؛ شماره نسخه:۴۱۹۷</w:t>
      </w:r>
    </w:p>
    <w:p>
      <w:pPr>
        <w:pStyle w:val="BookText"/>
      </w:pPr>
      <w:r>
        <w:rPr>
          <w:rFonts w:ascii="IRNazanin" w:hAnsi="IRNazanin" w:eastAsia="IRNazanin" w:cs="IRNazanin"/>
          <w:lang w:bidi="fa-IR"/>
          <w:color w:val="111111"/>
          <w:sz w:val="28"/>
          <w:szCs w:val="28"/>
          <w:rtl/>
        </w:rPr>
        <w:t xml:space="preserve">آغاز: جلد دوم: على الله رب العالمین توکلی؛ انجام: جلد دوم:</w:t>
      </w:r>
    </w:p>
    <w:p>
      <w:pPr>
        <w:pStyle w:val="BookText"/>
      </w:pPr>
      <w:r>
        <w:rPr>
          <w:rFonts w:ascii="IRNazanin" w:hAnsi="IRNazanin" w:eastAsia="IRNazanin" w:cs="IRNazanin"/>
          <w:lang w:bidi="fa-IR"/>
          <w:color w:val="111111"/>
          <w:sz w:val="28"/>
          <w:szCs w:val="28"/>
          <w:rtl/>
        </w:rPr>
        <w:t xml:space="preserve">خواجه سيف الدين را مقرر داشت پیش از وصول.</w:t>
      </w:r>
    </w:p>
    <w:p>
      <w:pPr>
        <w:pStyle w:val="BookText"/>
      </w:pPr>
      <w:r>
        <w:rPr>
          <w:rFonts w:ascii="IRNazanin" w:hAnsi="IRNazanin" w:eastAsia="IRNazanin" w:cs="IRNazanin"/>
          <w:lang w:bidi="fa-IR"/>
          <w:color w:val="111111"/>
          <w:sz w:val="28"/>
          <w:szCs w:val="28"/>
          <w:rtl/>
        </w:rPr>
        <w:t xml:space="preserve">جلد دوم؛ خط: نستعلیق، بی کا، تا: قرن ۱۳؛ مجدول؛ واقف: نایینی؛ کاغذ: سفید فرنگی آهار مهره، جلد: تیماج عنابی، ۱۹گ،</w:t>
      </w:r>
    </w:p>
    <w:p>
      <w:pPr>
        <w:pStyle w:val="BookText"/>
      </w:pPr>
      <w:r>
        <w:rPr>
          <w:rFonts w:ascii="IRNazanin" w:hAnsi="IRNazanin" w:eastAsia="IRNazanin" w:cs="IRNazanin"/>
          <w:lang w:bidi="fa-IR"/>
          <w:color w:val="111111"/>
          <w:sz w:val="28"/>
          <w:szCs w:val="28"/>
          <w:rtl/>
        </w:rPr>
        <w:t xml:space="preserve">۲۵ سطر (۱۲/۳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۲۹/۷سم [ف: ۷-۴۸)</w:t>
      </w:r>
    </w:p>
    <w:p>
      <w:pPr>
        <w:pStyle w:val="BookText"/>
      </w:pPr>
      <w:r>
        <w:rPr>
          <w:rFonts w:ascii="IRNazanin" w:hAnsi="IRNazanin" w:eastAsia="IRNazanin" w:cs="IRNazanin"/>
          <w:lang w:bidi="fa-IR"/>
          <w:color w:val="111111"/>
          <w:sz w:val="28"/>
          <w:szCs w:val="28"/>
          <w:rtl/>
        </w:rPr>
        <w:t xml:space="preserve">۶۴. مشهد؛ رضوی؛ شماره نسخه:۳۱۵۵۶</w:t>
      </w:r>
    </w:p>
    <w:p>
      <w:pPr>
        <w:pStyle w:val="BookText"/>
      </w:pPr>
      <w:r>
        <w:rPr>
          <w:rFonts w:ascii="IRNazanin" w:hAnsi="IRNazanin" w:eastAsia="IRNazanin" w:cs="IRNazanin"/>
          <w:lang w:bidi="fa-IR"/>
          <w:color w:val="111111"/>
          <w:sz w:val="28"/>
          <w:szCs w:val="28"/>
          <w:rtl/>
        </w:rPr>
        <w:t xml:space="preserve">آغاز: برابر ۲؛ انجام: ارغون در خجلت مثل جام لاله مذاب می شد ماننده</w:t>
      </w:r>
    </w:p>
    <w:p>
      <w:pPr>
        <w:pStyle w:val="BookText"/>
      </w:pPr>
      <w:r>
        <w:rPr>
          <w:rFonts w:ascii="IRNazanin" w:hAnsi="IRNazanin" w:eastAsia="IRNazanin" w:cs="IRNazanin"/>
          <w:lang w:bidi="fa-IR"/>
          <w:color w:val="111111"/>
          <w:sz w:val="28"/>
          <w:szCs w:val="28"/>
          <w:rtl/>
        </w:rPr>
        <w:t xml:space="preserve">جلد دوم و دو صفحه اول جلد سوم؛ خط: شکسته نستعلیق، بی کا، تا: قرن ۱۳؛ اهدایی: رهبری، بهمن ۱۳۸۲؛ کاغذ: کشمیری نخودی، جلد: تیماج فرنگی قهوه ای، ۵۶گ، ۲۷ سطر، اندازه:</w:t>
      </w:r>
    </w:p>
    <w:p>
      <w:pPr>
        <w:pStyle w:val="BookText"/>
      </w:pPr>
      <w:r>
        <w:rPr>
          <w:rFonts w:ascii="IRNazanin" w:hAnsi="IRNazanin" w:eastAsia="IRNazanin" w:cs="IRNazanin"/>
          <w:lang w:bidi="fa-IR"/>
          <w:color w:val="111111"/>
          <w:sz w:val="28"/>
          <w:szCs w:val="28"/>
          <w:rtl/>
        </w:rPr>
        <w:t xml:space="preserve">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 اهدائی رهبر: ۸-۳۸۵]</w:t>
      </w:r>
    </w:p>
    <w:p>
      <w:pPr>
        <w:pStyle w:val="BookText"/>
      </w:pPr>
      <w:r>
        <w:rPr>
          <w:rFonts w:ascii="IRNazanin" w:hAnsi="IRNazanin" w:eastAsia="IRNazanin" w:cs="IRNazanin"/>
          <w:lang w:bidi="fa-IR"/>
          <w:color w:val="111111"/>
          <w:sz w:val="28"/>
          <w:szCs w:val="28"/>
          <w:rtl/>
        </w:rPr>
        <w:t xml:space="preserve">۶۵. قم، مؤسسه آية الله بروجردی؛ شماره نسخه:۴۳</w:t>
      </w:r>
    </w:p>
    <w:p>
      <w:pPr>
        <w:pStyle w:val="BookText"/>
      </w:pPr>
      <w:r>
        <w:rPr>
          <w:rFonts w:ascii="IRNazanin" w:hAnsi="IRNazanin" w:eastAsia="IRNazanin" w:cs="IRNazanin"/>
          <w:lang w:bidi="fa-IR"/>
          <w:color w:val="111111"/>
          <w:sz w:val="28"/>
          <w:szCs w:val="28"/>
          <w:rtl/>
        </w:rPr>
        <w:t xml:space="preserve">جلد سوم و چهارم و پنجم؛ خط: نسخ معرب و نستعلیق، بی کا، تا:
</w:t>
      </w:r>
    </w:p>
    <w:p>
      <w:pPr>
        <w:sectPr>
          <w:footerReference w:type="default" r:id="rId9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۱۳؛ مصحح؛ جلد: تیماج مشکی، ۳۴۷گ، ۱۷ سطر،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سم [ف: ۱-۳۴]</w:t>
      </w:r>
    </w:p>
    <w:p>
      <w:pPr>
        <w:pStyle w:val="BookText"/>
      </w:pPr>
      <w:r>
        <w:rPr>
          <w:rFonts w:ascii="IRNazanin" w:hAnsi="IRNazanin" w:eastAsia="IRNazanin" w:cs="IRNazanin"/>
          <w:lang w:bidi="fa-IR"/>
          <w:color w:val="111111"/>
          <w:sz w:val="28"/>
          <w:szCs w:val="28"/>
          <w:rtl/>
        </w:rPr>
        <w:t xml:space="preserve">۶۶. تهران؛ مهدوی؛ شماره نسخه:۵۲۸</w:t>
      </w:r>
    </w:p>
    <w:p>
      <w:pPr>
        <w:pStyle w:val="BookText"/>
      </w:pPr>
      <w:r>
        <w:rPr>
          <w:rFonts w:ascii="IRNazanin" w:hAnsi="IRNazanin" w:eastAsia="IRNazanin" w:cs="IRNazanin"/>
          <w:lang w:bidi="fa-IR"/>
          <w:color w:val="111111"/>
          <w:sz w:val="28"/>
          <w:szCs w:val="28"/>
          <w:rtl/>
        </w:rPr>
        <w:t xml:space="preserve">جلد ۱؛ خط: نستعلیق، بی کا، تا: ۱۲ و ۱۳؛ با سرلوح [نشریه: ۲-۶۶]</w:t>
      </w:r>
    </w:p>
    <w:p>
      <w:pPr>
        <w:pStyle w:val="BookText"/>
      </w:pPr>
      <w:r>
        <w:rPr>
          <w:rFonts w:ascii="IRNazanin" w:hAnsi="IRNazanin" w:eastAsia="IRNazanin" w:cs="IRNazanin"/>
          <w:lang w:bidi="fa-IR"/>
          <w:color w:val="111111"/>
          <w:sz w:val="28"/>
          <w:szCs w:val="28"/>
          <w:rtl/>
        </w:rPr>
        <w:t xml:space="preserve">۶۷. تهران؛ سپهسالار؛ شماره نسخه: ۱۶۷۶/۱</w:t>
      </w:r>
    </w:p>
    <w:p>
      <w:pPr>
        <w:pStyle w:val="BookText"/>
      </w:pPr>
      <w:r>
        <w:rPr>
          <w:rFonts w:ascii="IRNazanin" w:hAnsi="IRNazanin" w:eastAsia="IRNazanin" w:cs="IRNazanin"/>
          <w:lang w:bidi="fa-IR"/>
          <w:color w:val="111111"/>
          <w:sz w:val="28"/>
          <w:szCs w:val="28"/>
          <w:rtl/>
        </w:rPr>
        <w:t xml:space="preserve">هر پنج جلد کامل با فرهنگ واژه ها به نام «تتمة اللغات»؛ خط: نستعلیق، بی کا، تا: قرن ۱۳؛ مجدول، شش سرلوح، محشی، در آغاز دو صفحه درباره «یاسا» از خط مقریزی آورده؛ تملک: اعتضاد السلطنة در ۱۲۹۲ق، علی قلی میرزا در ۱۲۸۴ ق، کاغذ: فرنگی سفید آهار مهره، جلد: تیماج مشکی، ۴۵۶گ (آپ۔ ۴۵۶ر)، ۲۲ سطر،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۴۲/۵سم [ف: ۳-۳۱۶]</w:t>
      </w:r>
    </w:p>
    <w:p>
      <w:pPr>
        <w:pStyle w:val="BookText"/>
      </w:pPr>
      <w:r>
        <w:rPr>
          <w:rFonts w:ascii="IRNazanin" w:hAnsi="IRNazanin" w:eastAsia="IRNazanin" w:cs="IRNazanin"/>
          <w:lang w:bidi="fa-IR"/>
          <w:color w:val="111111"/>
          <w:sz w:val="28"/>
          <w:szCs w:val="28"/>
          <w:rtl/>
        </w:rPr>
        <w:t xml:space="preserve">۶۸. قم؛ گلپایگانی؛ شماره نسخه:۴۷۱۹- ۲۴/۱۹</w:t>
      </w:r>
    </w:p>
    <w:p>
      <w:pPr>
        <w:pStyle w:val="BookText"/>
      </w:pPr>
      <w:r>
        <w:rPr>
          <w:rFonts w:ascii="IRNazanin" w:hAnsi="IRNazanin" w:eastAsia="IRNazanin" w:cs="IRNazanin"/>
          <w:lang w:bidi="fa-IR"/>
          <w:color w:val="111111"/>
          <w:sz w:val="28"/>
          <w:szCs w:val="28"/>
          <w:rtl/>
        </w:rPr>
        <w:t xml:space="preserve">آغاز: برابر ۴؛ انجام: برابر ۴ جلد ۴، خط: نسخ، بی کا، تا: قرن ۱۳، جلد: تیماج مشکی،</w:t>
      </w:r>
    </w:p>
    <w:p>
      <w:pPr>
        <w:pStyle w:val="BookText"/>
      </w:pPr>
      <w:r>
        <w:rPr>
          <w:rFonts w:ascii="IRNazanin" w:hAnsi="IRNazanin" w:eastAsia="IRNazanin" w:cs="IRNazanin"/>
          <w:lang w:bidi="fa-IR"/>
          <w:color w:val="111111"/>
          <w:sz w:val="28"/>
          <w:szCs w:val="28"/>
          <w:rtl/>
        </w:rPr>
        <w:t xml:space="preserve">۱۶۰گ، ۱۹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۲-۷۲۱]</w:t>
      </w:r>
    </w:p>
    <w:p>
      <w:pPr>
        <w:pStyle w:val="BookText"/>
      </w:pPr>
      <w:r>
        <w:rPr>
          <w:rFonts w:ascii="IRNazanin" w:hAnsi="IRNazanin" w:eastAsia="IRNazanin" w:cs="IRNazanin"/>
          <w:lang w:bidi="fa-IR"/>
          <w:color w:val="111111"/>
          <w:sz w:val="28"/>
          <w:szCs w:val="28"/>
          <w:rtl/>
        </w:rPr>
        <w:t xml:space="preserve">۶۹. تهران؛ ملی؛ شماره نسخه:۲۷۳۰</w:t>
      </w:r>
    </w:p>
    <w:p>
      <w:pPr>
        <w:pStyle w:val="BookText"/>
      </w:pPr>
      <w:r>
        <w:rPr>
          <w:rFonts w:ascii="IRNazanin" w:hAnsi="IRNazanin" w:eastAsia="IRNazanin" w:cs="IRNazanin"/>
          <w:lang w:bidi="fa-IR"/>
          <w:color w:val="111111"/>
          <w:sz w:val="28"/>
          <w:szCs w:val="28"/>
          <w:rtl/>
        </w:rPr>
        <w:t xml:space="preserve">آغاز: برابر ۱؛ انجام: چون خليفه الناصر لدین الله دعوت ارجعی را اجابت کرد از وی ... قسمتی از تاریخ وصاف از ابتداء آن تا ابتدای کار و جنگ با خلیفه؛ خط: نسخ و نستعلیق، بی کا، تا: محتملا قرن ۱۳؛ کاغذ: فرنگی، آبی، جلد: تیماج مشکی، ۳۴گ، ۲۵ سطر(۲۰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 اندازه: ۲۱/۵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۳۳/۵سم [ف: ۶-۳۳۸]</w:t>
      </w:r>
    </w:p>
    <w:p>
      <w:pPr>
        <w:pStyle w:val="BookText"/>
      </w:pPr>
      <w:r>
        <w:rPr>
          <w:rFonts w:ascii="IRNazanin" w:hAnsi="IRNazanin" w:eastAsia="IRNazanin" w:cs="IRNazanin"/>
          <w:lang w:bidi="fa-IR"/>
          <w:color w:val="111111"/>
          <w:sz w:val="28"/>
          <w:szCs w:val="28"/>
          <w:rtl/>
        </w:rPr>
        <w:t xml:space="preserve">۷۰. تهران؛ مهدوی؛ شماره نسخه: ۵۲۰</w:t>
      </w:r>
    </w:p>
    <w:p>
      <w:pPr>
        <w:pStyle w:val="BookText"/>
      </w:pPr>
      <w:r>
        <w:rPr>
          <w:rFonts w:ascii="IRNazanin" w:hAnsi="IRNazanin" w:eastAsia="IRNazanin" w:cs="IRNazanin"/>
          <w:lang w:bidi="fa-IR"/>
          <w:color w:val="111111"/>
          <w:sz w:val="28"/>
          <w:szCs w:val="28"/>
          <w:rtl/>
        </w:rPr>
        <w:t xml:space="preserve">جلد ۱ و ۲؛ خط: نستعلیق، بی کا، تا: قرن ۱۳ [نشریه: ۲-۶۶]</w:t>
      </w:r>
    </w:p>
    <w:p>
      <w:pPr>
        <w:pStyle w:val="BookText"/>
      </w:pPr>
      <w:r>
        <w:rPr>
          <w:rFonts w:ascii="IRNazanin" w:hAnsi="IRNazanin" w:eastAsia="IRNazanin" w:cs="IRNazanin"/>
          <w:lang w:bidi="fa-IR"/>
          <w:color w:val="111111"/>
          <w:sz w:val="28"/>
          <w:szCs w:val="28"/>
          <w:rtl/>
        </w:rPr>
        <w:t xml:space="preserve">۷۱. تهران؛ ادبیات؛ شماره نسخه:۲۲۳ حکمت</w:t>
      </w:r>
    </w:p>
    <w:p>
      <w:pPr>
        <w:pStyle w:val="BookText"/>
      </w:pPr>
      <w:r>
        <w:rPr>
          <w:rFonts w:ascii="IRNazanin" w:hAnsi="IRNazanin" w:eastAsia="IRNazanin" w:cs="IRNazanin"/>
          <w:lang w:bidi="fa-IR"/>
          <w:color w:val="111111"/>
          <w:sz w:val="28"/>
          <w:szCs w:val="28"/>
          <w:rtl/>
        </w:rPr>
        <w:t xml:space="preserve">پنج بخش دارد؛ خط: نسخ، بی کا، تا: قرن ۱۲ و ۱۳؛ جلد: تیماج سبز، قطع: رحلي [ف: ۲-۶]</w:t>
      </w:r>
    </w:p>
    <w:p>
      <w:pPr>
        <w:pStyle w:val="BookText"/>
      </w:pPr>
      <w:r>
        <w:rPr>
          <w:rFonts w:ascii="IRNazanin" w:hAnsi="IRNazanin" w:eastAsia="IRNazanin" w:cs="IRNazanin"/>
          <w:lang w:bidi="fa-IR"/>
          <w:color w:val="111111"/>
          <w:sz w:val="28"/>
          <w:szCs w:val="28"/>
          <w:rtl/>
        </w:rPr>
        <w:t xml:space="preserve">۷۲. تهران؛ سپهسالار؛ شماره نسخه:۱۶۸۷</w:t>
      </w:r>
    </w:p>
    <w:p>
      <w:pPr>
        <w:pStyle w:val="BookText"/>
      </w:pPr>
      <w:r>
        <w:rPr>
          <w:rFonts w:ascii="IRNazanin" w:hAnsi="IRNazanin" w:eastAsia="IRNazanin" w:cs="IRNazanin"/>
          <w:lang w:bidi="fa-IR"/>
          <w:color w:val="111111"/>
          <w:sz w:val="28"/>
          <w:szCs w:val="28"/>
          <w:rtl/>
        </w:rPr>
        <w:t xml:space="preserve">در پنج جلد کامل بی لغتنامه؛ خط: نسخ، كا: محمد تقی بن محمد کاظم همدانی، تا:۱۲۰۵ق؛ مجدول، یا سرلوح، محشی، مصحح، مقابله شده در یکشنبه ۳ محرم ۱۲۶۴ق؛ کاغذ: فرنگی سفید، جلد: تیماج مشکی، ۴۵۸گ، ۲۲ سطر، اندازه: ۴۲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۳-۳۱۷]</w:t>
      </w:r>
    </w:p>
    <w:p>
      <w:pPr>
        <w:pStyle w:val="BookText"/>
      </w:pPr>
      <w:r>
        <w:rPr>
          <w:rFonts w:ascii="IRNazanin" w:hAnsi="IRNazanin" w:eastAsia="IRNazanin" w:cs="IRNazanin"/>
          <w:lang w:bidi="fa-IR"/>
          <w:color w:val="111111"/>
          <w:sz w:val="28"/>
          <w:szCs w:val="28"/>
          <w:rtl/>
        </w:rPr>
        <w:t xml:space="preserve">۷۳. تهران؛ مجلس؛ شماره نسخه: ۲۴۱</w:t>
      </w:r>
    </w:p>
    <w:p>
      <w:pPr>
        <w:pStyle w:val="BookText"/>
      </w:pPr>
      <w:r>
        <w:rPr>
          <w:rFonts w:ascii="IRNazanin" w:hAnsi="IRNazanin" w:eastAsia="IRNazanin" w:cs="IRNazanin"/>
          <w:lang w:bidi="fa-IR"/>
          <w:color w:val="111111"/>
          <w:sz w:val="28"/>
          <w:szCs w:val="28"/>
          <w:rtl/>
        </w:rPr>
        <w:t xml:space="preserve">از ابتداء جلد سوم؛ خط: نسخ، بی کا، تا: ۱۲۲۲ق؛ ۲۶۸، ۲۲ سطر،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۲-۱۳۵]</w:t>
      </w:r>
    </w:p>
    <w:p>
      <w:pPr>
        <w:pStyle w:val="BookText"/>
      </w:pPr>
      <w:r>
        <w:rPr>
          <w:rFonts w:ascii="IRNazanin" w:hAnsi="IRNazanin" w:eastAsia="IRNazanin" w:cs="IRNazanin"/>
          <w:lang w:bidi="fa-IR"/>
          <w:color w:val="111111"/>
          <w:sz w:val="28"/>
          <w:szCs w:val="28"/>
          <w:rtl/>
        </w:rPr>
        <w:t xml:space="preserve">۷۴. تهران؛ مجلس؛ شماره نسخه:۷۲۸۸</w:t>
      </w:r>
    </w:p>
    <w:p>
      <w:pPr>
        <w:pStyle w:val="BookText"/>
      </w:pPr>
      <w:r>
        <w:rPr>
          <w:rFonts w:ascii="IRNazanin" w:hAnsi="IRNazanin" w:eastAsia="IRNazanin" w:cs="IRNazanin"/>
          <w:lang w:bidi="fa-IR"/>
          <w:color w:val="111111"/>
          <w:sz w:val="28"/>
          <w:szCs w:val="28"/>
          <w:rtl/>
        </w:rPr>
        <w:t xml:space="preserve">خط: نسخ و نستعلیق، كا: محمد بن ابی الحسن شريف نائینی، تا: ۱۲۲۳ق؛ مجدول مذهب مرصع؛ تملک: حسینعلی خان به تاریخ ۱۲۷۳، محمد جعفر بن محمد حسینی نائینی به تاریخ ۱۲۴۴؛ جلد: روغنی دورو با نقش گل و بوته و پرنده پشت جلد نقش گل، نام مجلد: طالب، تاریخ ساخت جلد ۱۲۳۴، ۵۶۸گ، ۱۹ سطر، اندازه: ۲۱/۵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۳۳/۵ سم [ف: ۲۵-۲۸۰]</w:t>
      </w:r>
    </w:p>
    <w:p>
      <w:pPr>
        <w:pStyle w:val="BookText"/>
      </w:pPr>
      <w:r>
        <w:rPr>
          <w:rFonts w:ascii="IRNazanin" w:hAnsi="IRNazanin" w:eastAsia="IRNazanin" w:cs="IRNazanin"/>
          <w:lang w:bidi="fa-IR"/>
          <w:color w:val="111111"/>
          <w:sz w:val="28"/>
          <w:szCs w:val="28"/>
          <w:rtl/>
        </w:rPr>
        <w:t xml:space="preserve">۷۵. مشهد؛ رضوی؛ شماره نسخه: ۴۱۹۲</w:t>
      </w:r>
    </w:p>
    <w:p>
      <w:pPr>
        <w:pStyle w:val="BookText"/>
      </w:pPr>
      <w:r>
        <w:rPr>
          <w:rFonts w:ascii="Amiri" w:hAnsi="Amiri" w:eastAsia="Amiri" w:cs="Amiri"/>
          <w:lang w:bidi="ar-SA"/>
          <w:color w:val="111111"/>
          <w:sz w:val="28"/>
          <w:szCs w:val="28"/>
          <w:rtl/>
        </w:rPr>
        <w:t xml:space="preserve">آغاز: برابر ۱؛ انجام: سراج و قمر منير و على آله و سلم.</w:t>
      </w:r>
    </w:p>
    <w:p>
      <w:pPr>
        <w:pStyle w:val="BookText"/>
      </w:pPr>
      <w:r>
        <w:rPr>
          <w:rFonts w:ascii="IRNazanin" w:hAnsi="IRNazanin" w:eastAsia="IRNazanin" w:cs="IRNazanin"/>
          <w:lang w:bidi="fa-IR"/>
          <w:color w:val="111111"/>
          <w:sz w:val="28"/>
          <w:szCs w:val="28"/>
          <w:rtl/>
        </w:rPr>
        <w:t xml:space="preserve">جلد اول؛ خط: نسخ و نستعلیق، كا: عبدالكريم ساروی، تا: ۱۲۲۴ق؛ واقف: نایینی؛ کاغذ: آبی فرنگی، جلد: تیماج عنابی، ۱۲۲گ، ۱۶ سطر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۳۳/۸سم [ف: ۷-۴۵]</w:t>
      </w:r>
    </w:p>
    <w:p>
      <w:pPr>
        <w:pStyle w:val="BookText"/>
      </w:pPr>
      <w:r>
        <w:rPr>
          <w:rFonts w:ascii="IRNazanin" w:hAnsi="IRNazanin" w:eastAsia="IRNazanin" w:cs="IRNazanin"/>
          <w:lang w:bidi="fa-IR"/>
          <w:color w:val="111111"/>
          <w:sz w:val="28"/>
          <w:szCs w:val="28"/>
          <w:rtl/>
        </w:rPr>
        <w:t xml:space="preserve">۷۶. مشهد؛ رضوی؛ شماره نسخه:۴۱۹۴</w:t>
      </w:r>
    </w:p>
    <w:p>
      <w:pPr>
        <w:pStyle w:val="BookText"/>
      </w:pPr>
      <w:r>
        <w:rPr>
          <w:rFonts w:ascii="IRNazanin" w:hAnsi="IRNazanin" w:eastAsia="IRNazanin" w:cs="IRNazanin"/>
          <w:lang w:bidi="fa-IR"/>
          <w:color w:val="111111"/>
          <w:sz w:val="28"/>
          <w:szCs w:val="28"/>
          <w:rtl/>
        </w:rPr>
        <w:t xml:space="preserve">آغاز: جلد دوم: على الله رب العالمین توکلی؛ جلد سوم: برابر ۳؛</w:t>
      </w:r>
    </w:p>
    <w:p>
      <w:pPr>
        <w:pStyle w:val="BookText"/>
      </w:pPr>
      <w:r>
        <w:rPr>
          <w:rFonts w:ascii="IRNazanin" w:hAnsi="IRNazanin" w:eastAsia="IRNazanin" w:cs="IRNazanin"/>
          <w:lang w:bidi="fa-IR"/>
          <w:color w:val="111111"/>
          <w:sz w:val="28"/>
          <w:szCs w:val="28"/>
          <w:rtl/>
        </w:rPr>
        <w:t xml:space="preserve">انجام: برابر۳</w:t>
      </w:r>
    </w:p>
    <w:p>
      <w:pPr>
        <w:pStyle w:val="BookText"/>
      </w:pPr>
      <w:r>
        <w:rPr>
          <w:rFonts w:ascii="IRNazanin" w:hAnsi="IRNazanin" w:eastAsia="IRNazanin" w:cs="IRNazanin"/>
          <w:lang w:bidi="fa-IR"/>
          <w:color w:val="111111"/>
          <w:sz w:val="28"/>
          <w:szCs w:val="28"/>
          <w:rtl/>
        </w:rPr>
        <w:t xml:space="preserve">جلد دوم و سوم؛ خط: نسخ و نستعلیق، كا: عبدالكريم ساروی، تا: ۱۲۲۴ و ۱۲۵۵؛ واقف: نایینی؛ کاغذ: آبی فرنگی، جلد: تیماج عنابی، ۲۰۰گ، ۱۶ سطر (۱۳/۵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۲۳/۵ )، اندازه: ۲۰/۸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۳۳/۶سم [ف: ۷-۴۵]</w:t>
      </w:r>
    </w:p>
    <w:p>
      <w:pPr>
        <w:pStyle w:val="BookText"/>
      </w:pPr>
      <w:r>
        <w:rPr>
          <w:rFonts w:ascii="IRNazanin" w:hAnsi="IRNazanin" w:eastAsia="IRNazanin" w:cs="IRNazanin"/>
          <w:lang w:bidi="fa-IR"/>
          <w:color w:val="111111"/>
          <w:sz w:val="28"/>
          <w:szCs w:val="28"/>
          <w:rtl/>
        </w:rPr>
        <w:t xml:space="preserve">۷۷. مشهد؛ رضوی؛ شماره نسخه:۴۱۹۶</w:t>
      </w:r>
    </w:p>
    <w:p>
      <w:pPr>
        <w:pStyle w:val="BookText"/>
      </w:pPr>
      <w:r>
        <w:rPr>
          <w:rFonts w:ascii="IRNazanin" w:hAnsi="IRNazanin" w:eastAsia="IRNazanin" w:cs="IRNazanin"/>
          <w:lang w:bidi="fa-IR"/>
          <w:color w:val="111111"/>
          <w:sz w:val="28"/>
          <w:szCs w:val="28"/>
          <w:rtl/>
        </w:rPr>
        <w:t xml:space="preserve">آغاز: برابر ۴؛ انجام: برابر5</w:t>
      </w:r>
    </w:p>
    <w:p>
      <w:pPr>
        <w:pStyle w:val="BookText"/>
      </w:pPr>
      <w:r>
        <w:rPr>
          <w:rFonts w:ascii="IRNazanin" w:hAnsi="IRNazanin" w:eastAsia="IRNazanin" w:cs="IRNazanin"/>
          <w:lang w:bidi="fa-IR"/>
          <w:color w:val="111111"/>
          <w:sz w:val="28"/>
          <w:szCs w:val="28"/>
          <w:rtl/>
        </w:rPr>
        <w:t xml:space="preserve">خط: نسخ و نستعلیق، كا: عبدالكريم ساروی، تا: ۱۲۲۵ق؛ واقف: نایینی؛ کاغذ: آبی فرنگی، جلد: تیماج عنابی، ۱۵۱ ، ۱۶ سطر (۱۳/۵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۲۳/۵ )، اندازه: ۲۰/۸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۱۳/۶ سم [ف: ۷-۴۶]</w:t>
      </w:r>
    </w:p>
    <w:p>
      <w:pPr>
        <w:pStyle w:val="BookText"/>
      </w:pPr>
      <w:r>
        <w:rPr>
          <w:rFonts w:ascii="IRNazanin" w:hAnsi="IRNazanin" w:eastAsia="IRNazanin" w:cs="IRNazanin"/>
          <w:lang w:bidi="fa-IR"/>
          <w:color w:val="111111"/>
          <w:sz w:val="28"/>
          <w:szCs w:val="28"/>
          <w:rtl/>
        </w:rPr>
        <w:t xml:space="preserve">۷۸. تهران؛ ملی؛ شماره نسخه: ۲۲۶۰</w:t>
      </w:r>
    </w:p>
    <w:p>
      <w:pPr>
        <w:pStyle w:val="BookText"/>
      </w:pPr>
      <w:r>
        <w:rPr>
          <w:rFonts w:ascii="IRNazanin" w:hAnsi="IRNazanin" w:eastAsia="IRNazanin" w:cs="IRNazanin"/>
          <w:lang w:bidi="fa-IR"/>
          <w:color w:val="111111"/>
          <w:sz w:val="28"/>
          <w:szCs w:val="28"/>
          <w:rtl/>
        </w:rPr>
        <w:t xml:space="preserve">آغاز: برابر ۱؛ انجام: برابر۵</w:t>
      </w:r>
    </w:p>
    <w:p>
      <w:pPr>
        <w:pStyle w:val="BookText"/>
      </w:pPr>
      <w:r>
        <w:rPr>
          <w:rFonts w:ascii="IRNazanin" w:hAnsi="IRNazanin" w:eastAsia="IRNazanin" w:cs="IRNazanin"/>
          <w:lang w:bidi="fa-IR"/>
          <w:color w:val="111111"/>
          <w:sz w:val="28"/>
          <w:szCs w:val="28"/>
          <w:rtl/>
        </w:rPr>
        <w:t xml:space="preserve">خط: نستعلیق، بی کا، تا: ۱۲۲۸ق؛ کاغذ: فرنگی، جلد: تیماج مشکی با ترنج و نیم ترنج، ۴۰۸گ، ۱۷سطر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۵-۳۸۰]</w:t>
      </w:r>
    </w:p>
    <w:p>
      <w:pPr>
        <w:pStyle w:val="BookText"/>
      </w:pPr>
      <w:r>
        <w:rPr>
          <w:rFonts w:ascii="IRNazanin" w:hAnsi="IRNazanin" w:eastAsia="IRNazanin" w:cs="IRNazanin"/>
          <w:lang w:bidi="fa-IR"/>
          <w:color w:val="111111"/>
          <w:sz w:val="28"/>
          <w:szCs w:val="28"/>
          <w:rtl/>
        </w:rPr>
        <w:t xml:space="preserve">۷۹. تهران، دانشگاه؛ شماره نسخه:۸۶۱۷</w:t>
      </w:r>
    </w:p>
    <w:p>
      <w:pPr>
        <w:pStyle w:val="BookText"/>
      </w:pPr>
      <w:r>
        <w:rPr>
          <w:rFonts w:ascii="IRNazanin" w:hAnsi="IRNazanin" w:eastAsia="IRNazanin" w:cs="IRNazanin"/>
          <w:lang w:bidi="fa-IR"/>
          <w:color w:val="111111"/>
          <w:sz w:val="28"/>
          <w:szCs w:val="28"/>
          <w:rtl/>
        </w:rPr>
        <w:t xml:space="preserve">خط: شکسته نستعلیق، کا: محمد بن حاجی میرزا عبدالله آشتیانی، تا: ۱۲۳۰ق، جا: تبریز؛ کاغذ: فرنگی، جلد: تیماج سبز تیره، ۳۱ سطر (۱۰/۵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۲۲/۵)،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۱۷-۱۷۷]</w:t>
      </w:r>
    </w:p>
    <w:p>
      <w:pPr>
        <w:pStyle w:val="BookText"/>
      </w:pPr>
      <w:r>
        <w:rPr>
          <w:rFonts w:ascii="IRNazanin" w:hAnsi="IRNazanin" w:eastAsia="IRNazanin" w:cs="IRNazanin"/>
          <w:lang w:bidi="fa-IR"/>
          <w:color w:val="111111"/>
          <w:sz w:val="28"/>
          <w:szCs w:val="28"/>
          <w:rtl/>
        </w:rPr>
        <w:t xml:space="preserve">۸۰. تهران؛ خاکپور، اسدالله (خاندان)؛ شماره نسخه:۸</w:t>
      </w:r>
    </w:p>
    <w:p>
      <w:pPr>
        <w:pStyle w:val="BookText"/>
      </w:pPr>
      <w:r>
        <w:rPr>
          <w:rFonts w:ascii="IRNazanin" w:hAnsi="IRNazanin" w:eastAsia="IRNazanin" w:cs="IRNazanin"/>
          <w:lang w:bidi="fa-IR"/>
          <w:color w:val="111111"/>
          <w:sz w:val="28"/>
          <w:szCs w:val="28"/>
          <w:rtl/>
        </w:rPr>
        <w:t xml:space="preserve">بی کا، تا: ۱۲۳۰ق [نشریه: ۷-۵۶۶]</w:t>
      </w:r>
    </w:p>
    <w:p>
      <w:pPr>
        <w:pStyle w:val="BookText"/>
      </w:pPr>
      <w:r>
        <w:rPr>
          <w:rFonts w:ascii="IRNazanin" w:hAnsi="IRNazanin" w:eastAsia="IRNazanin" w:cs="IRNazanin"/>
          <w:lang w:bidi="fa-IR"/>
          <w:color w:val="111111"/>
          <w:sz w:val="28"/>
          <w:szCs w:val="28"/>
          <w:rtl/>
        </w:rPr>
        <w:t xml:space="preserve">۸۱. تبریز؛ ملی؛ شماره نسخه: ۳۳۲۱ آغاز: برابر ۱؛ انجام: برابره</w:t>
      </w:r>
    </w:p>
    <w:p>
      <w:pPr>
        <w:pStyle w:val="BookText"/>
      </w:pPr>
      <w:r>
        <w:rPr>
          <w:rFonts w:ascii="IRNazanin" w:hAnsi="IRNazanin" w:eastAsia="IRNazanin" w:cs="IRNazanin"/>
          <w:lang w:bidi="fa-IR"/>
          <w:color w:val="111111"/>
          <w:sz w:val="28"/>
          <w:szCs w:val="28"/>
          <w:rtl/>
        </w:rPr>
        <w:t xml:space="preserve">مجلدات پنجگانه؛ خط: نسخ تعلیق، بی کا، تا: ۱۲۳۰ق؛ مجدول مذهب، با سرلوح آب طلا؛ مهر: «عبده الراجي احمد»؛ کاغذ: فرنگی، جلد: روغنی گل و بوته، ۴۳۱گ، ۲۳ سطر، اندازه:</w:t>
      </w:r>
    </w:p>
    <w:p>
      <w:pPr>
        <w:pStyle w:val="BookText"/>
      </w:pPr>
      <w:r>
        <w:rPr>
          <w:rFonts w:ascii="IRNazanin" w:hAnsi="IRNazanin" w:eastAsia="IRNazanin" w:cs="IRNazanin"/>
          <w:lang w:bidi="fa-IR"/>
          <w:color w:val="111111"/>
          <w:sz w:val="28"/>
          <w:szCs w:val="28"/>
          <w:rtl/>
        </w:rPr>
        <w:t xml:space="preserve">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۲۹/۵ سم [ف: ۱-۱۸۴]</w:t>
      </w:r>
    </w:p>
    <w:p>
      <w:pPr>
        <w:pStyle w:val="BookText"/>
      </w:pPr>
      <w:r>
        <w:rPr>
          <w:rFonts w:ascii="IRNazanin" w:hAnsi="IRNazanin" w:eastAsia="IRNazanin" w:cs="IRNazanin"/>
          <w:lang w:bidi="fa-IR"/>
          <w:color w:val="111111"/>
          <w:sz w:val="28"/>
          <w:szCs w:val="28"/>
          <w:rtl/>
        </w:rPr>
        <w:t xml:space="preserve">۸۲. قم: مرکز مطالعات؛ شماره نسخه:۱۲۷</w:t>
      </w:r>
    </w:p>
    <w:p>
      <w:pPr>
        <w:pStyle w:val="BookText"/>
      </w:pPr>
      <w:r>
        <w:rPr>
          <w:rFonts w:ascii="IRNazanin" w:hAnsi="IRNazanin" w:eastAsia="IRNazanin" w:cs="IRNazanin"/>
          <w:lang w:bidi="fa-IR"/>
          <w:color w:val="111111"/>
          <w:sz w:val="28"/>
          <w:szCs w:val="28"/>
          <w:rtl/>
        </w:rPr>
        <w:t xml:space="preserve">آغاز و انجام: برابر ۲ جلد دوم؛ خط: نستعلیق، كا: میرزا محمد علی بن ملا عظيما ساکن ساری، تا: ۱۲۳۱ق؛ محشی؛ جلد: مقوایی عطف تیماج قهوه ای، ۱۲۸گ، ۱۵سطر،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[ف: ۱-۱۰۸]</w:t>
      </w:r>
    </w:p>
    <w:p>
      <w:pPr>
        <w:pStyle w:val="BookText"/>
      </w:pPr>
      <w:r>
        <w:rPr>
          <w:rFonts w:ascii="IRNazanin" w:hAnsi="IRNazanin" w:eastAsia="IRNazanin" w:cs="IRNazanin"/>
          <w:lang w:bidi="fa-IR"/>
          <w:color w:val="111111"/>
          <w:sz w:val="28"/>
          <w:szCs w:val="28"/>
          <w:rtl/>
        </w:rPr>
        <w:t xml:space="preserve">۸۳. مشهد؛ رضوی؛ شماره نسخه:۴۱۹۵</w:t>
      </w:r>
    </w:p>
    <w:p>
      <w:pPr>
        <w:pStyle w:val="BookText"/>
      </w:pPr>
      <w:r>
        <w:rPr>
          <w:rFonts w:ascii="IRNazanin" w:hAnsi="IRNazanin" w:eastAsia="IRNazanin" w:cs="IRNazanin"/>
          <w:lang w:bidi="fa-IR"/>
          <w:color w:val="111111"/>
          <w:sz w:val="28"/>
          <w:szCs w:val="28"/>
          <w:rtl/>
        </w:rPr>
        <w:t xml:space="preserve">آغاز: برابر ۳؛ انجام: برابر۵ خط: نسخ و نستعلیق، بی کا، تا: ۱۲۳۱ق؛ واقف: نایینی؛ کاغذ: سفید فرنگی آهار مهره، جلد: تیماج قهوه ای، ۲۶۵ گ، ۲۳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اندازه: ۲۰/۵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۳۰سم [ف: ۷-۴۷]
</w:t>
      </w:r>
    </w:p>
    <w:p>
      <w:pPr>
        <w:sectPr>
          <w:footerReference w:type="default" r:id="rId9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۸۴. کرمانشاه؛ مدرسه آية الله بروجردی: شماره نسخه:۱۳۹</w:t>
      </w:r>
    </w:p>
    <w:p>
      <w:pPr>
        <w:pStyle w:val="BookText"/>
      </w:pPr>
      <w:r>
        <w:rPr>
          <w:rFonts w:ascii="IRNazanin" w:hAnsi="IRNazanin" w:eastAsia="IRNazanin" w:cs="IRNazanin"/>
          <w:lang w:bidi="fa-IR"/>
          <w:color w:val="111111"/>
          <w:sz w:val="28"/>
          <w:szCs w:val="28"/>
          <w:rtl/>
        </w:rPr>
        <w:t xml:space="preserve">خط: نسخ خوب، بی کا، تا: 3 جمادی الاول ۱۲۳۱ق؛ مجدول؛ وقفنامه کتاب به تاریخ 7 رجب ۱۳۱۷؛ کاغذ: ترمه، جلد: تیماج قرمز، ۳۱۰ گ، ۲۵ سطر،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۱۱۰]</w:t>
      </w:r>
    </w:p>
    <w:p>
      <w:pPr>
        <w:pStyle w:val="BookText"/>
      </w:pPr>
      <w:r>
        <w:rPr>
          <w:rFonts w:ascii="IRNazanin" w:hAnsi="IRNazanin" w:eastAsia="IRNazanin" w:cs="IRNazanin"/>
          <w:lang w:bidi="fa-IR"/>
          <w:color w:val="111111"/>
          <w:sz w:val="28"/>
          <w:szCs w:val="28"/>
          <w:rtl/>
        </w:rPr>
        <w:t xml:space="preserve">۸۵. تهران؛ مجلس؛ شماره نسخه:۲۴۳</w:t>
      </w:r>
    </w:p>
    <w:p>
      <w:pPr>
        <w:pStyle w:val="BookText"/>
      </w:pPr>
      <w:r>
        <w:rPr>
          <w:rFonts w:ascii="IRNazanin" w:hAnsi="IRNazanin" w:eastAsia="IRNazanin" w:cs="IRNazanin"/>
          <w:lang w:bidi="fa-IR"/>
          <w:color w:val="111111"/>
          <w:sz w:val="28"/>
          <w:szCs w:val="28"/>
          <w:rtl/>
        </w:rPr>
        <w:t xml:space="preserve">جلد چهارم؛ خط: نستعلیق، بی کا، تا: ۱۲۳۲ق، ۲۱۸گ، ۲۳ سطر،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[ف: ۲-۱۳۵]</w:t>
      </w:r>
    </w:p>
    <w:p>
      <w:pPr>
        <w:pStyle w:val="BookText"/>
      </w:pPr>
      <w:r>
        <w:rPr>
          <w:rFonts w:ascii="IRNazanin" w:hAnsi="IRNazanin" w:eastAsia="IRNazanin" w:cs="IRNazanin"/>
          <w:lang w:bidi="fa-IR"/>
          <w:color w:val="111111"/>
          <w:sz w:val="28"/>
          <w:szCs w:val="28"/>
          <w:rtl/>
        </w:rPr>
        <w:t xml:space="preserve">۸۶. تبریز؛ ملی؛ شماره نسخه: ۳۳۲۰</w:t>
      </w:r>
    </w:p>
    <w:p>
      <w:pPr>
        <w:pStyle w:val="BookText"/>
      </w:pPr>
      <w:r>
        <w:rPr>
          <w:rFonts w:ascii="IRNazanin" w:hAnsi="IRNazanin" w:eastAsia="IRNazanin" w:cs="IRNazanin"/>
          <w:lang w:bidi="fa-IR"/>
          <w:color w:val="111111"/>
          <w:sz w:val="28"/>
          <w:szCs w:val="28"/>
          <w:rtl/>
        </w:rPr>
        <w:t xml:space="preserve">آغاز: برابر ۱؛ انجام: برابره کامل؛ خط: نسخ، كا: ظاهرة محمد جعفر بن زین العابدین، تا: ۱۲۳۲ق؛ مجدول مذهب؛ قصيده طنطرانيه منسوب به «رشید وطواط» را با خطی درشت تر، کاغذ: فرنگی، جلد: چرمی، ۲۷۷، ۳۱سطر، اندازه: ۵/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۳۰/۵سم [ف: ۱-۱۸۳]</w:t>
      </w:r>
    </w:p>
    <w:p>
      <w:pPr>
        <w:pStyle w:val="BookText"/>
      </w:pPr>
      <w:r>
        <w:rPr>
          <w:rFonts w:ascii="IRNazanin" w:hAnsi="IRNazanin" w:eastAsia="IRNazanin" w:cs="IRNazanin"/>
          <w:lang w:bidi="fa-IR"/>
          <w:color w:val="111111"/>
          <w:sz w:val="28"/>
          <w:szCs w:val="28"/>
          <w:rtl/>
        </w:rPr>
        <w:t xml:space="preserve">۸۷. مشهد؛ شیخ علی حیدر؛ شماره نسخه: ۱۲۵۱/۱</w:t>
      </w:r>
    </w:p>
    <w:p>
      <w:pPr>
        <w:pStyle w:val="BookText"/>
      </w:pPr>
      <w:r>
        <w:rPr>
          <w:rFonts w:ascii="IRNazanin" w:hAnsi="IRNazanin" w:eastAsia="IRNazanin" w:cs="IRNazanin"/>
          <w:lang w:bidi="fa-IR"/>
          <w:color w:val="111111"/>
          <w:sz w:val="28"/>
          <w:szCs w:val="28"/>
          <w:rtl/>
        </w:rPr>
        <w:t xml:space="preserve">آغاز: برابر ۱؛ انجام: برابره</w:t>
      </w:r>
    </w:p>
    <w:p>
      <w:pPr>
        <w:pStyle w:val="BookText"/>
      </w:pPr>
      <w:r>
        <w:rPr>
          <w:rFonts w:ascii="IRNazanin" w:hAnsi="IRNazanin" w:eastAsia="IRNazanin" w:cs="IRNazanin"/>
          <w:lang w:bidi="fa-IR"/>
          <w:color w:val="111111"/>
          <w:sz w:val="28"/>
          <w:szCs w:val="28"/>
          <w:rtl/>
        </w:rPr>
        <w:t xml:space="preserve">خط: نسخ و نستعلیق، بی کا، تا: سه شنبه ربيع الأول ۱۲۳۳ق؛ جلد: معمولی، ۴۶۴گ، ۲۲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۲۹/۵سم [ مؤید: ۳-۲۱۱]</w:t>
      </w:r>
    </w:p>
    <w:p>
      <w:pPr>
        <w:pStyle w:val="BookText"/>
      </w:pPr>
      <w:r>
        <w:rPr>
          <w:rFonts w:ascii="IRNazanin" w:hAnsi="IRNazanin" w:eastAsia="IRNazanin" w:cs="IRNazanin"/>
          <w:lang w:bidi="fa-IR"/>
          <w:color w:val="111111"/>
          <w:sz w:val="28"/>
          <w:szCs w:val="28"/>
          <w:rtl/>
        </w:rPr>
        <w:t xml:space="preserve">۸۸. مشهد؛ رضوی؛ شماره نسخه:۳۸۵۲۶</w:t>
      </w:r>
    </w:p>
    <w:p>
      <w:pPr>
        <w:pStyle w:val="BookText"/>
      </w:pPr>
      <w:r>
        <w:rPr>
          <w:rFonts w:ascii="IRNazanin" w:hAnsi="IRNazanin" w:eastAsia="IRNazanin" w:cs="IRNazanin"/>
          <w:lang w:bidi="fa-IR"/>
          <w:color w:val="111111"/>
          <w:sz w:val="28"/>
          <w:szCs w:val="28"/>
          <w:rtl/>
        </w:rPr>
        <w:t xml:space="preserve">آغاز: برابر ۱؛ انجام: مخدوم جهانیان را کرامت باد ... والصلوة على رسول الله محمد و آله اجمعين الطيبين الطاهرين از جلد اول تا پنجم ؛ خط: نسخ معرب و نستعلیق، بی کا، تا: سه شنبه ۱۹ ربیع الاول ۱۲۳۳ق؛ اهدایی: رهبری، مهر ۱۳۸۶؛ کاغذ: فرنگی شکری آهار مهره، جلد: گالینگور مشکی، ۴۰۴گ (آپ۔ ۴۰۴پ)، ۲۲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۲۹/۵سم [ اهدائی رهبر: ۸-۳۸۴]</w:t>
      </w:r>
    </w:p>
    <w:p>
      <w:pPr>
        <w:pStyle w:val="BookText"/>
      </w:pPr>
      <w:r>
        <w:rPr>
          <w:rFonts w:ascii="IRNazanin" w:hAnsi="IRNazanin" w:eastAsia="IRNazanin" w:cs="IRNazanin"/>
          <w:lang w:bidi="fa-IR"/>
          <w:color w:val="111111"/>
          <w:sz w:val="28"/>
          <w:szCs w:val="28"/>
          <w:rtl/>
        </w:rPr>
        <w:t xml:space="preserve">۸۹. تهران؛ ملی؛ شماره نسخه:۱۷۵۶</w:t>
      </w:r>
    </w:p>
    <w:p>
      <w:pPr>
        <w:pStyle w:val="BookText"/>
      </w:pPr>
      <w:r>
        <w:rPr>
          <w:rFonts w:ascii="IRNazanin" w:hAnsi="IRNazanin" w:eastAsia="IRNazanin" w:cs="IRNazanin"/>
          <w:lang w:bidi="fa-IR"/>
          <w:color w:val="111111"/>
          <w:sz w:val="28"/>
          <w:szCs w:val="28"/>
          <w:rtl/>
        </w:rPr>
        <w:t xml:space="preserve">آغاز و انجام: برابر۳</w:t>
      </w:r>
    </w:p>
    <w:p>
      <w:pPr>
        <w:pStyle w:val="BookText"/>
      </w:pPr>
      <w:r>
        <w:rPr>
          <w:rFonts w:ascii="IRNazanin" w:hAnsi="IRNazanin" w:eastAsia="IRNazanin" w:cs="IRNazanin"/>
          <w:lang w:bidi="fa-IR"/>
          <w:color w:val="111111"/>
          <w:sz w:val="28"/>
          <w:szCs w:val="28"/>
          <w:rtl/>
        </w:rPr>
        <w:t xml:space="preserve">جلد سوم، حاوی وضع پریشان مغولان بعد از ارغون شاه است تا زمان حکومت کیخاتون چه او دست به تنظیم ملكت می زند و اوضاع آشفته را سامان می دهد. در این قسمت به تفصیل وضع اداره مملکت به دست کیخاتون می آید به اضافه مباحثی چند درباره اوضاع کشور مغولان خاصه ایران دارد؛ خط: نسخ و نستعلیق، بی کا، تا: ۱۲۳۳ق؛ کاغذ: فرنگی، جلد: تیماج ماشی با ترنج و نیم ترنج، ۹۲، ۴۲ سطر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21</w:t>
      </w:r>
      <w:r>
        <w:rPr>
          <w:rFonts w:ascii="Times New Roman" w:hAnsi="Times New Roman" w:eastAsia="Times New Roman" w:cs="Times New Roman"/>
          <w:lang w:val="en-US" w:bidi="en-US"/>
          <w:color w:val="111111"/>
          <w:sz w:val="28"/>
          <w:szCs w:val="28"/>
          <w:rtl/>
        </w:rPr>
        <w:t xml:space="preserve">×5/ </w:t>
      </w:r>
      <w:r>
        <w:rPr>
          <w:rFonts w:ascii="IRNazanin" w:hAnsi="IRNazanin" w:eastAsia="IRNazanin" w:cs="IRNazanin"/>
          <w:lang w:bidi="fa-IR"/>
          <w:color w:val="111111"/>
          <w:sz w:val="28"/>
          <w:szCs w:val="28"/>
          <w:rtl/>
        </w:rPr>
        <w:t xml:space="preserve">۳۰سم</w:t>
      </w:r>
    </w:p>
    <w:p>
      <w:pPr>
        <w:pStyle w:val="BookText"/>
      </w:pPr>
      <w:r>
        <w:rPr>
          <w:rFonts w:ascii="IRNazanin" w:hAnsi="IRNazanin" w:eastAsia="IRNazanin" w:cs="IRNazanin"/>
          <w:lang w:bidi="fa-IR"/>
          <w:color w:val="111111"/>
          <w:sz w:val="28"/>
          <w:szCs w:val="28"/>
          <w:rtl/>
        </w:rPr>
        <w:t xml:space="preserve">[ف: ۴-۲۱۴]</w:t>
      </w:r>
    </w:p>
    <w:p>
      <w:pPr>
        <w:pStyle w:val="BookText"/>
      </w:pPr>
      <w:r>
        <w:rPr>
          <w:rFonts w:ascii="IRNazanin" w:hAnsi="IRNazanin" w:eastAsia="IRNazanin" w:cs="IRNazanin"/>
          <w:lang w:bidi="fa-IR"/>
          <w:color w:val="111111"/>
          <w:sz w:val="28"/>
          <w:szCs w:val="28"/>
          <w:rtl/>
        </w:rPr>
        <w:t xml:space="preserve">۹۰. مشهد؛ رضوی؛ شماره نسخه:۲۰۱۱۱</w:t>
      </w:r>
    </w:p>
    <w:p>
      <w:pPr>
        <w:pStyle w:val="BookText"/>
      </w:pPr>
      <w:r>
        <w:rPr>
          <w:rFonts w:ascii="IRNazanin" w:hAnsi="IRNazanin" w:eastAsia="IRNazanin" w:cs="IRNazanin"/>
          <w:lang w:bidi="fa-IR"/>
          <w:color w:val="111111"/>
          <w:sz w:val="28"/>
          <w:szCs w:val="28"/>
          <w:rtl/>
        </w:rPr>
        <w:t xml:space="preserve">آغاز: برابر ۴؛ انجام: غره شهر ربيع الأولى من شهور سنه ۱۲۳۴ هزار و دویست و سی و چهار هجری خط: نستعلیق شکسته، بی کا، تا: ۱۲۳۴ق، کاغذ: نباتی، جلد: تیماج، ۲۱ سطر (۲۰۱۲)، اندازه: ۲۰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[رایانه]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مشهد؛ رضوی؛ شماره نسخه: ۲۰۱۱۱</w:t>
      </w:r>
    </w:p>
    <w:p>
      <w:pPr>
        <w:pStyle w:val="BookText"/>
      </w:pPr>
      <w:r>
        <w:rPr>
          <w:rFonts w:ascii="IRNazanin" w:hAnsi="IRNazanin" w:eastAsia="IRNazanin" w:cs="IRNazanin"/>
          <w:lang w:bidi="fa-IR"/>
          <w:color w:val="111111"/>
          <w:sz w:val="28"/>
          <w:szCs w:val="28"/>
          <w:rtl/>
        </w:rPr>
        <w:t xml:space="preserve">آغاز: برابر ۴؛ انجام: که خود قومی که بر گردون رئیسند ۸۸ به زر بر لوح گردون می نویسند جلد چهارم و جلد پنجم؛ خط: نستعلیق، بی کا، تا: ربيع الأول ۱۲۳۴ق؛ محشی؛ تملك: مصطفی حسینی صفایی خوانساری در ربیع الاول ۱۳۷۱ ق در قم با مهر او: « مصطفى الحسینی ۱۳۴۲» بیضوی)؛ مهر: «صح اسماعیل ۱۲۷۸» (گلابی شکل)، مهر: گوهر تاج الحسینی ۱۳۲۰» (بیضوی)؛ یادداشت آقای نواب خان در ۲۷/۱/۲۷ که نسخه را به آقا شیخ عبدالرحیم جعفری هدیه کرده؛ اهدایی: رهبری، خرداد ۱۳۷۳؛ کاغذ: فرنگی نباتی، جلد: تیماج قهوه ای، با ترنج و سرترنج، ۳۵۱گ، ۲۱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۳۰سم [ اهدائی رهبر: ۸-۳۸۴]</w:t>
      </w:r>
    </w:p>
    <w:p>
      <w:pPr>
        <w:pStyle w:val="BookText"/>
      </w:pPr>
      <w:r>
        <w:rPr>
          <w:rFonts w:ascii="IRNazanin" w:hAnsi="IRNazanin" w:eastAsia="IRNazanin" w:cs="IRNazanin"/>
          <w:lang w:bidi="fa-IR"/>
          <w:color w:val="111111"/>
          <w:sz w:val="28"/>
          <w:szCs w:val="28"/>
          <w:rtl/>
        </w:rPr>
        <w:t xml:space="preserve">۹۲. تهران؛ ادبیات؛ شماره نسخه: ۱۳۰ - ب</w:t>
      </w:r>
    </w:p>
    <w:p>
      <w:pPr>
        <w:pStyle w:val="BookText"/>
      </w:pPr>
      <w:r>
        <w:rPr>
          <w:rFonts w:ascii="IRNazanin" w:hAnsi="IRNazanin" w:eastAsia="IRNazanin" w:cs="IRNazanin"/>
          <w:lang w:bidi="fa-IR"/>
          <w:color w:val="111111"/>
          <w:sz w:val="28"/>
          <w:szCs w:val="28"/>
          <w:rtl/>
        </w:rPr>
        <w:t xml:space="preserve">از آغاز تا پایان جلد دوم (صفحه ۲۵۶ چاپ بمبئی)؛ خط: نسخ، كان محمد شريف بن عبدالمطلب تبریزی، تا: ربيع الثانی ۱۲۳۴ق؛ کاغذ: فرنگی، جلد: تیماج مشکی، ۱۵۸گ، ۲۱ سطر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۱-۸۱]</w:t>
      </w:r>
    </w:p>
    <w:p>
      <w:pPr>
        <w:pStyle w:val="BookText"/>
      </w:pPr>
      <w:r>
        <w:rPr>
          <w:rFonts w:ascii="IRNazanin" w:hAnsi="IRNazanin" w:eastAsia="IRNazanin" w:cs="IRNazanin"/>
          <w:lang w:bidi="fa-IR"/>
          <w:color w:val="111111"/>
          <w:sz w:val="28"/>
          <w:szCs w:val="28"/>
          <w:rtl/>
        </w:rPr>
        <w:t xml:space="preserve">۹۳. مشهد؛ رضوی؛ شماره نسخه:۱۲۴</w:t>
      </w:r>
    </w:p>
    <w:p>
      <w:pPr>
        <w:pStyle w:val="BookText"/>
      </w:pPr>
      <w:r>
        <w:rPr>
          <w:rFonts w:ascii="IRNazanin" w:hAnsi="IRNazanin" w:eastAsia="IRNazanin" w:cs="IRNazanin"/>
          <w:lang w:bidi="fa-IR"/>
          <w:color w:val="111111"/>
          <w:sz w:val="28"/>
          <w:szCs w:val="28"/>
          <w:rtl/>
        </w:rPr>
        <w:t xml:space="preserve">جلد چهارم؛ بی کا، تا: ۱۲۳۴ق؛ تاریخ معجم از فضل الله بن عبدالله پدر صاحب وصاف و متوفای ۶۹۸ تحریر ۱۲۳۴ ضمیمه این نسخه است، قطع: رحلي [اهدائی ف: ۲۵۱]</w:t>
      </w:r>
    </w:p>
    <w:p>
      <w:pPr>
        <w:pStyle w:val="BookText"/>
      </w:pPr>
      <w:r>
        <w:rPr>
          <w:rFonts w:ascii="IRNazanin" w:hAnsi="IRNazanin" w:eastAsia="IRNazanin" w:cs="IRNazanin"/>
          <w:lang w:bidi="fa-IR"/>
          <w:color w:val="111111"/>
          <w:sz w:val="28"/>
          <w:szCs w:val="28"/>
          <w:rtl/>
        </w:rPr>
        <w:t xml:space="preserve">۹۴. تهران؛ ملک؛ شماره نسخه:۴۱۰۹</w:t>
      </w:r>
    </w:p>
    <w:p>
      <w:pPr>
        <w:pStyle w:val="BookText"/>
      </w:pPr>
      <w:r>
        <w:rPr>
          <w:rFonts w:ascii="IRNazanin" w:hAnsi="IRNazanin" w:eastAsia="IRNazanin" w:cs="IRNazanin"/>
          <w:lang w:bidi="fa-IR"/>
          <w:color w:val="111111"/>
          <w:sz w:val="28"/>
          <w:szCs w:val="28"/>
          <w:rtl/>
        </w:rPr>
        <w:t xml:space="preserve">جلد اول؛ خط: نسخ و نستعلیق، بی کا، تا: ۱۷ محرم ۱۲۳۴ق؛ دارای یک سرلوح مذهب، مجدول، مطلا کاغذ: کاغذ ترمه اصفهانی، جلد: میشن یشمی، ۱۴۹گ، ۱۵ سطر، اندازه: ۲۷/۲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۱۷/۴ سم [ف: ۲-۹۹]</w:t>
      </w:r>
    </w:p>
    <w:p>
      <w:pPr>
        <w:pStyle w:val="BookText"/>
      </w:pPr>
      <w:r>
        <w:rPr>
          <w:rFonts w:ascii="IRNazanin" w:hAnsi="IRNazanin" w:eastAsia="IRNazanin" w:cs="IRNazanin"/>
          <w:lang w:bidi="fa-IR"/>
          <w:color w:val="111111"/>
          <w:sz w:val="28"/>
          <w:szCs w:val="28"/>
          <w:rtl/>
        </w:rPr>
        <w:t xml:space="preserve">۹۵. تهران؛ سلطنتی؛ شماره نسخه:۷۵۹</w:t>
      </w:r>
    </w:p>
    <w:p>
      <w:pPr>
        <w:pStyle w:val="BookText"/>
      </w:pPr>
      <w:r>
        <w:rPr>
          <w:rFonts w:ascii="IRNazanin" w:hAnsi="IRNazanin" w:eastAsia="IRNazanin" w:cs="IRNazanin"/>
          <w:lang w:bidi="fa-IR"/>
          <w:color w:val="111111"/>
          <w:sz w:val="28"/>
          <w:szCs w:val="28"/>
          <w:rtl/>
        </w:rPr>
        <w:t xml:space="preserve">آغاز: برابر ۱؛ انجام: و بالاجابة جدير تو صلى الله على محمد بشیر و نذیر و هو في دياجيه الظلمة أنور من سراج و قمر منیر و على آله و سلم. تم الجلد الأول من الكتاب ... جلد اول، خط: نسخ، كا: ابوالقاسم، تا:ذیقعده ۱۲۳۴ق؛ افتادگی: انجام؛ مجدول، کمند کشی زرین، یک سرلوح مذهب مرصع به طرح محرابی عالی؛ مهر: ناصرالدین شاه قاجار؛ کاغذ: فستقی جلد: مقوای روغنی بوم گل ماشی با ترنج و سرترنج، ۳۵۸ص، ۲۰ سطر، اندازه: ۱۳/۳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۲۱/۵سم [ف: ۵-۴۵۳]</w:t>
      </w:r>
    </w:p>
    <w:p>
      <w:pPr>
        <w:pStyle w:val="BookText"/>
      </w:pPr>
      <w:r>
        <w:rPr>
          <w:rFonts w:ascii="IRNazanin" w:hAnsi="IRNazanin" w:eastAsia="IRNazanin" w:cs="IRNazanin"/>
          <w:lang w:bidi="fa-IR"/>
          <w:color w:val="111111"/>
          <w:sz w:val="28"/>
          <w:szCs w:val="28"/>
          <w:rtl/>
        </w:rPr>
        <w:t xml:space="preserve">۹۶. مشهد؛ رضوی؛ شماره نسخه:۴۰۸۴</w:t>
      </w:r>
    </w:p>
    <w:p>
      <w:pPr>
        <w:pStyle w:val="BookText"/>
      </w:pPr>
      <w:r>
        <w:rPr>
          <w:rFonts w:ascii="IRNazanin" w:hAnsi="IRNazanin" w:eastAsia="IRNazanin" w:cs="IRNazanin"/>
          <w:lang w:bidi="fa-IR"/>
          <w:color w:val="111111"/>
          <w:sz w:val="28"/>
          <w:szCs w:val="28"/>
          <w:rtl/>
        </w:rPr>
        <w:t xml:space="preserve">آغاز: برابر ۱؛ انجام: برابر۵ خط: نسخ، بی کا، تا: ۱۲۳۵ق؛ کاغذ: نباتی، جلد: روغنی، ۲۷ سطر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[الفبائی : ۱۰۴]</w:t>
      </w:r>
    </w:p>
    <w:p>
      <w:pPr>
        <w:pStyle w:val="BookText"/>
      </w:pPr>
      <w:r>
        <w:rPr>
          <w:rFonts w:ascii="IRNazanin" w:hAnsi="IRNazanin" w:eastAsia="IRNazanin" w:cs="IRNazanin"/>
          <w:lang w:bidi="fa-IR"/>
          <w:color w:val="111111"/>
          <w:sz w:val="28"/>
          <w:szCs w:val="28"/>
          <w:rtl/>
        </w:rPr>
        <w:t xml:space="preserve">۹۷. قم؛ مسجد اعظم؛ شماره نسخه:۹۶۶</w:t>
      </w:r>
    </w:p>
    <w:p>
      <w:pPr>
        <w:pStyle w:val="BookText"/>
      </w:pPr>
      <w:r>
        <w:rPr>
          <w:rFonts w:ascii="IRNazanin" w:hAnsi="IRNazanin" w:eastAsia="IRNazanin" w:cs="IRNazanin"/>
          <w:lang w:bidi="fa-IR"/>
          <w:color w:val="111111"/>
          <w:sz w:val="28"/>
          <w:szCs w:val="28"/>
          <w:rtl/>
        </w:rPr>
        <w:t xml:space="preserve">آغاز: برابر ۱؛ انجام: برابر۵ از سال ۶۵۸ جلوس قبلاقان؛ خط: نستعلیق، بی کا، تا: جمادی الأول ۱۲۳۶ق؛ جلد: تیماج مشکی با ترنج، ۳۵۷، ۲۱ سطر،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مخ: ۱-۳۲۳]</w:t>
      </w:r>
    </w:p>
    <w:p>
      <w:pPr>
        <w:pStyle w:val="BookText"/>
      </w:pPr>
      <w:r>
        <w:rPr>
          <w:rFonts w:ascii="IRNazanin" w:hAnsi="IRNazanin" w:eastAsia="IRNazanin" w:cs="IRNazanin"/>
          <w:lang w:bidi="fa-IR"/>
          <w:color w:val="111111"/>
          <w:sz w:val="28"/>
          <w:szCs w:val="28"/>
          <w:rtl/>
        </w:rPr>
        <w:t xml:space="preserve">۹۸. تهران، سپهسالار؛ شماره نسخه:۷۳۲۹</w:t>
      </w:r>
    </w:p>
    <w:p>
      <w:pPr>
        <w:pStyle w:val="BookText"/>
      </w:pPr>
      <w:r>
        <w:rPr>
          <w:rFonts w:ascii="IRNazanin" w:hAnsi="IRNazanin" w:eastAsia="IRNazanin" w:cs="IRNazanin"/>
          <w:lang w:bidi="fa-IR"/>
          <w:color w:val="111111"/>
          <w:sz w:val="28"/>
          <w:szCs w:val="28"/>
          <w:rtl/>
        </w:rPr>
        <w:t xml:space="preserve">تمام پنج بخش؛ خط: نستعلیق، كا: محمد بن عبدالله آشتیانی قمی، تا: ۱۳۳۶-۱۲۳۷ق، جا: آشتیان و شوشتر؛ کاغذ: فرنگی، جلد:
</w:t>
      </w:r>
    </w:p>
    <w:p>
      <w:pPr>
        <w:sectPr>
          <w:footerReference w:type="default" r:id="rId9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تیماج مشکی، ۳۸۷گ، ۲۲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۳-۳۱۹]</w:t>
      </w:r>
    </w:p>
    <w:p>
      <w:pPr>
        <w:pStyle w:val="BookText"/>
      </w:pPr>
      <w:r>
        <w:rPr>
          <w:rFonts w:ascii="IRNazanin" w:hAnsi="IRNazanin" w:eastAsia="IRNazanin" w:cs="IRNazanin"/>
          <w:lang w:bidi="fa-IR"/>
          <w:color w:val="111111"/>
          <w:sz w:val="28"/>
          <w:szCs w:val="28"/>
          <w:rtl/>
        </w:rPr>
        <w:t xml:space="preserve">۹۹. تهران؛ ملی؛ شماره نسخه:۱۵۷۲۴</w:t>
      </w:r>
    </w:p>
    <w:p>
      <w:pPr>
        <w:pStyle w:val="BookText"/>
      </w:pPr>
      <w:r>
        <w:rPr>
          <w:rFonts w:ascii="IRNazanin" w:hAnsi="IRNazanin" w:eastAsia="IRNazanin" w:cs="IRNazanin"/>
          <w:lang w:bidi="fa-IR"/>
          <w:color w:val="111111"/>
          <w:sz w:val="28"/>
          <w:szCs w:val="28"/>
          <w:rtl/>
        </w:rPr>
        <w:t xml:space="preserve">آغاز: برابر ۱؛ انجام خواهی که پند گیری از روزگار گیر و الله يجعل احوالنا مقرونه بحسن العواقب و خير الماخر ... انور خیر سراج منیر تم المجلد الأول من الكتاب و تیلوه مجلد الثاني بالصواب جلد اول؛ خط: شکسته نستعلیق و نسخ، بی کا، تا: ۱۲۳۷ق؛ با سرلوح و کتیبه قلمدانی مذهب، کمند اندازی، مجدول؛ کاغذ: فرنگی نخودی، جلد: روغنی بوم آجری با ترنج و سرترنج، ۱۳۷گ، ۱۵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۱۰/۳ )، اندازه: ۲۹/۳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سم [رایانه]</w:t>
      </w:r>
    </w:p>
    <w:p>
      <w:pPr>
        <w:pStyle w:val="BookText"/>
      </w:pPr>
      <w:r>
        <w:rPr>
          <w:rFonts w:ascii="IRNazanin" w:hAnsi="IRNazanin" w:eastAsia="IRNazanin" w:cs="IRNazanin"/>
          <w:lang w:bidi="fa-IR"/>
          <w:color w:val="111111"/>
          <w:sz w:val="28"/>
          <w:szCs w:val="28"/>
          <w:rtl/>
        </w:rPr>
        <w:t xml:space="preserve">۱۰۰. تهران؛ مجلس؛ شماره نسخه:۸۳۲۶</w:t>
      </w:r>
    </w:p>
    <w:p>
      <w:pPr>
        <w:pStyle w:val="BookText"/>
      </w:pPr>
      <w:r>
        <w:rPr>
          <w:rFonts w:ascii="IRNazanin" w:hAnsi="IRNazanin" w:eastAsia="IRNazanin" w:cs="IRNazanin"/>
          <w:lang w:bidi="fa-IR"/>
          <w:color w:val="111111"/>
          <w:sz w:val="28"/>
          <w:szCs w:val="28"/>
          <w:rtl/>
        </w:rPr>
        <w:t xml:space="preserve">آغاز: برابر ۱؛ انجام: برابر۵ خط: نستعلیق، بی کا، تا: ذیحجه ۱۲۳۷ق؛ مصحح، محشى؛ تملك: عبدالکریم بن موسی در دهم ربیع الثانی ۱۲۴۲ه و مهر وی، و نیز یادداشت: « .. برسم یادگار خدمت جناب فضائل و کمالات شعار آقای میرزا ابراهیم بوذری ایده الله تعالی انفاذ گردید العبد عبد الحمید ملک الكلامی کردستانی به تاریخ ۴ شعبان ۱۳۴۷»؛ جلد: تیماج مشکی عطف قهوه ای، ۳۷۱گ، ۲۵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۳۱/۵سم [ف: ۲۷/۲-۶۵]</w:t>
      </w:r>
    </w:p>
    <w:p>
      <w:pPr>
        <w:pStyle w:val="BookText"/>
      </w:pPr>
      <w:r>
        <w:rPr>
          <w:rFonts w:ascii="IRNazanin" w:hAnsi="IRNazanin" w:eastAsia="IRNazanin" w:cs="IRNazanin"/>
          <w:lang w:bidi="fa-IR"/>
          <w:color w:val="111111"/>
          <w:sz w:val="28"/>
          <w:szCs w:val="28"/>
          <w:rtl/>
        </w:rPr>
        <w:t xml:space="preserve">۱۰۱. تهران؛ سپهسالار؛ شماره نسخه: ۱۶۸۸</w:t>
      </w:r>
    </w:p>
    <w:p>
      <w:pPr>
        <w:pStyle w:val="BookText"/>
      </w:pPr>
      <w:r>
        <w:rPr>
          <w:rFonts w:ascii="IRNazanin" w:hAnsi="IRNazanin" w:eastAsia="IRNazanin" w:cs="IRNazanin"/>
          <w:lang w:bidi="fa-IR"/>
          <w:color w:val="111111"/>
          <w:sz w:val="28"/>
          <w:szCs w:val="28"/>
          <w:rtl/>
        </w:rPr>
        <w:t xml:space="preserve">پنج جلد بی لغت نامه؛ خط: نستعلیق، كا: محمد رضی بن محمد رحیم آشتیانی قمی، تا: جمادی الثانی ۱۲۳۹ق؛ محشى؛ تملک: محمد جعفری کاغذ: فرنگی سفید آهار مهره، جلد: تیماج قهوه ای، ۳۷۲، ۲۲ سطر،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۳-۳۱۷]</w:t>
      </w:r>
    </w:p>
    <w:p>
      <w:pPr>
        <w:pStyle w:val="BookText"/>
      </w:pPr>
      <w:r>
        <w:rPr>
          <w:rFonts w:ascii="IRNazanin" w:hAnsi="IRNazanin" w:eastAsia="IRNazanin" w:cs="IRNazanin"/>
          <w:lang w:bidi="fa-IR"/>
          <w:color w:val="111111"/>
          <w:sz w:val="28"/>
          <w:szCs w:val="28"/>
          <w:rtl/>
        </w:rPr>
        <w:t xml:space="preserve">۱۰۲. قم؛ مرعشی؛ شماره نسخه:۱۰۰۷۷</w:t>
      </w:r>
    </w:p>
    <w:p>
      <w:pPr>
        <w:pStyle w:val="BookText"/>
      </w:pPr>
      <w:r>
        <w:rPr>
          <w:rFonts w:ascii="IRNazanin" w:hAnsi="IRNazanin" w:eastAsia="IRNazanin" w:cs="IRNazanin"/>
          <w:lang w:bidi="fa-IR"/>
          <w:color w:val="111111"/>
          <w:sz w:val="28"/>
          <w:szCs w:val="28"/>
          <w:rtl/>
        </w:rPr>
        <w:t xml:space="preserve">خط: نستعلیق، كا: ابراهیم بن حاج مصطفی منشی، تا: رجب ۱۲۴۰ق، جان کردستان؛ مجدول، به با سرلوح رنگین؛ مهر: كاتب محمد ابراهيم بن مصطفی» (بیضوی)؛ جلد: تیماج قرمز، ۳۶۶گ، ۲۷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 سم [ف: ۲۶-۵۴]</w:t>
      </w:r>
    </w:p>
    <w:p>
      <w:pPr>
        <w:pStyle w:val="BookText"/>
      </w:pPr>
      <w:r>
        <w:rPr>
          <w:rFonts w:ascii="IRNazanin" w:hAnsi="IRNazanin" w:eastAsia="IRNazanin" w:cs="IRNazanin"/>
          <w:lang w:bidi="fa-IR"/>
          <w:color w:val="111111"/>
          <w:sz w:val="28"/>
          <w:szCs w:val="28"/>
          <w:rtl/>
        </w:rPr>
        <w:t xml:space="preserve">۱۰۳. تهران، دانشگاه؛ شماره نسخه:۲۴۸۸</w:t>
      </w:r>
    </w:p>
    <w:p>
      <w:pPr>
        <w:pStyle w:val="BookText"/>
      </w:pPr>
      <w:r>
        <w:rPr>
          <w:rFonts w:ascii="IRNazanin" w:hAnsi="IRNazanin" w:eastAsia="IRNazanin" w:cs="IRNazanin"/>
          <w:lang w:bidi="fa-IR"/>
          <w:color w:val="111111"/>
          <w:sz w:val="28"/>
          <w:szCs w:val="28"/>
          <w:rtl/>
        </w:rPr>
        <w:t xml:space="preserve">پنج جلد؛ خط: نستعلیق، بی کا، تا: سه شنبه ۱۷ ربیع الاول ۱۲۴۲ق؛ کاغذ: فرنگی کبود، جلد: تیماج مشکی، ۲۴۵گ، ۲۴ سطر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۲۵/۵)،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۹-۱۲۵۷]</w:t>
      </w:r>
    </w:p>
    <w:p>
      <w:pPr>
        <w:pStyle w:val="BookText"/>
      </w:pPr>
      <w:r>
        <w:rPr>
          <w:rFonts w:ascii="IRNazanin" w:hAnsi="IRNazanin" w:eastAsia="IRNazanin" w:cs="IRNazanin"/>
          <w:lang w:bidi="fa-IR"/>
          <w:color w:val="111111"/>
          <w:sz w:val="28"/>
          <w:szCs w:val="28"/>
          <w:rtl/>
        </w:rPr>
        <w:t xml:space="preserve">۱۰۴. تهران؛ ملک؛ شماره نسخه:۴۳۵۳</w:t>
      </w:r>
    </w:p>
    <w:p>
      <w:pPr>
        <w:pStyle w:val="BookText"/>
      </w:pPr>
      <w:r>
        <w:rPr>
          <w:rFonts w:ascii="IRNazanin" w:hAnsi="IRNazanin" w:eastAsia="IRNazanin" w:cs="IRNazanin"/>
          <w:lang w:bidi="fa-IR"/>
          <w:color w:val="111111"/>
          <w:sz w:val="28"/>
          <w:szCs w:val="28"/>
          <w:rtl/>
        </w:rPr>
        <w:t xml:space="preserve">خط: نسخ، كا: اسماعیل بن ابراهیم حسینی، تا: ۶ ربيع الأول ۱۲۴۲ق؛ کاغذ: کاغذ ترمه اصفهانی، ، جلد: میشن قرمز، ۲۷۹گ، ۳۹ سطر، اندازه: ۳۵/۶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 سم [ف: ۲-۱۰۰]</w:t>
      </w:r>
    </w:p>
    <w:p>
      <w:pPr>
        <w:pStyle w:val="BookText"/>
      </w:pPr>
      <w:r>
        <w:rPr>
          <w:rFonts w:ascii="IRNazanin" w:hAnsi="IRNazanin" w:eastAsia="IRNazanin" w:cs="IRNazanin"/>
          <w:lang w:bidi="fa-IR"/>
          <w:color w:val="111111"/>
          <w:sz w:val="28"/>
          <w:szCs w:val="28"/>
          <w:rtl/>
        </w:rPr>
        <w:t xml:space="preserve">۱۰۵. تهران؛ مهدوی؛ شماره نسخه: ۵۲۱</w:t>
      </w:r>
    </w:p>
    <w:p>
      <w:pPr>
        <w:pStyle w:val="BookText"/>
      </w:pPr>
      <w:r>
        <w:rPr>
          <w:rFonts w:ascii="IRNazanin" w:hAnsi="IRNazanin" w:eastAsia="IRNazanin" w:cs="IRNazanin"/>
          <w:lang w:bidi="fa-IR"/>
          <w:color w:val="111111"/>
          <w:sz w:val="28"/>
          <w:szCs w:val="28"/>
          <w:rtl/>
        </w:rPr>
        <w:t xml:space="preserve">جلد ۳ و ۴ و ۵؛ خط: نستعلیق، بی کا، تا: ۱۲۴۲ق (نشريه: ۲-۶۶]</w:t>
      </w:r>
    </w:p>
    <w:p>
      <w:pPr>
        <w:pStyle w:val="BookText"/>
      </w:pPr>
      <w:r>
        <w:rPr>
          <w:rFonts w:ascii="IRNazanin" w:hAnsi="IRNazanin" w:eastAsia="IRNazanin" w:cs="IRNazanin"/>
          <w:lang w:bidi="fa-IR"/>
          <w:color w:val="111111"/>
          <w:sz w:val="28"/>
          <w:szCs w:val="28"/>
          <w:rtl/>
        </w:rPr>
        <w:t xml:space="preserve">۱۰۶. مشهد؛ شیخ علی حیدر؛ شماره نسخه: ۱۴۲۹</w:t>
      </w:r>
    </w:p>
    <w:p>
      <w:pPr>
        <w:pStyle w:val="BookText"/>
      </w:pPr>
      <w:r>
        <w:rPr>
          <w:rFonts w:ascii="IRNazanin" w:hAnsi="IRNazanin" w:eastAsia="IRNazanin" w:cs="IRNazanin"/>
          <w:lang w:bidi="fa-IR"/>
          <w:color w:val="111111"/>
          <w:sz w:val="28"/>
          <w:szCs w:val="28"/>
          <w:rtl/>
        </w:rPr>
        <w:t xml:space="preserve">خط: نستعلیق، بی کا، تا: ذیقعده ۱۲۴۳ق؛ محشی؛ تملك: محمد على ناصح؛ جلد: تیماج مشکی، ۲۸۴گ، ۱۸ سطر، اندازه: ۳۰</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۲۱سم [ مؤيد: ۳-۳۴۷]</w:t>
      </w:r>
    </w:p>
    <w:p>
      <w:pPr>
        <w:pStyle w:val="BookText"/>
      </w:pPr>
      <w:r>
        <w:rPr>
          <w:rFonts w:ascii="IRNazanin" w:hAnsi="IRNazanin" w:eastAsia="IRNazanin" w:cs="IRNazanin"/>
          <w:lang w:bidi="fa-IR"/>
          <w:color w:val="111111"/>
          <w:sz w:val="28"/>
          <w:szCs w:val="28"/>
          <w:rtl/>
        </w:rPr>
        <w:t xml:space="preserve">۱۰۷. تهران؛ مفتاح؛ شماره نسخه: ۱۱۳۸</w:t>
      </w:r>
    </w:p>
    <w:p>
      <w:pPr>
        <w:pStyle w:val="BookText"/>
      </w:pPr>
      <w:r>
        <w:rPr>
          <w:rFonts w:ascii="IRNazanin" w:hAnsi="IRNazanin" w:eastAsia="IRNazanin" w:cs="IRNazanin"/>
          <w:lang w:bidi="fa-IR"/>
          <w:color w:val="111111"/>
          <w:sz w:val="28"/>
          <w:szCs w:val="28"/>
          <w:rtl/>
        </w:rPr>
        <w:t xml:space="preserve">جلد ۲؛ خط: نستعلیق، بی کا، تا: ۲۰ شوال ۱۲۴۳ق؛ قطع: رحلی [نشریه: ۷-۱۱۲]</w:t>
      </w:r>
    </w:p>
    <w:p>
      <w:pPr>
        <w:pStyle w:val="BookText"/>
      </w:pPr>
      <w:r>
        <w:rPr>
          <w:rFonts w:ascii="IRNazanin" w:hAnsi="IRNazanin" w:eastAsia="IRNazanin" w:cs="IRNazanin"/>
          <w:lang w:bidi="fa-IR"/>
          <w:color w:val="111111"/>
          <w:sz w:val="28"/>
          <w:szCs w:val="28"/>
          <w:rtl/>
        </w:rPr>
        <w:t xml:space="preserve">۱۰۸. تهران؛ ملک؛ شماره نسخه: ۴۱۷۹</w:t>
      </w:r>
    </w:p>
    <w:p>
      <w:pPr>
        <w:pStyle w:val="BookText"/>
      </w:pPr>
      <w:r>
        <w:rPr>
          <w:rFonts w:ascii="IRNazanin" w:hAnsi="IRNazanin" w:eastAsia="IRNazanin" w:cs="IRNazanin"/>
          <w:lang w:bidi="fa-IR"/>
          <w:color w:val="111111"/>
          <w:sz w:val="28"/>
          <w:szCs w:val="28"/>
          <w:rtl/>
        </w:rPr>
        <w:t xml:space="preserve">خط نستعلیق، کا: یحیی بن اسماعیل، تا:۱۲۴۳ ق ، کاغذ: فستقی، جلد: میشن سیاه، ۲۸۳گ، ۲۷ سطر، اندازه: ۲۳/۲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۲-۹۹]</w:t>
      </w:r>
    </w:p>
    <w:p>
      <w:pPr>
        <w:pStyle w:val="BookText"/>
      </w:pPr>
      <w:r>
        <w:rPr>
          <w:rFonts w:ascii="IRNazanin" w:hAnsi="IRNazanin" w:eastAsia="IRNazanin" w:cs="IRNazanin"/>
          <w:lang w:bidi="fa-IR"/>
          <w:color w:val="111111"/>
          <w:sz w:val="28"/>
          <w:szCs w:val="28"/>
          <w:rtl/>
        </w:rPr>
        <w:t xml:space="preserve">۱۰۹. مشهد؛ رضوی؛ شماره نسخه: ۳۸۳۹۱</w:t>
      </w:r>
    </w:p>
    <w:p>
      <w:pPr>
        <w:pStyle w:val="BookText"/>
      </w:pPr>
      <w:r>
        <w:rPr>
          <w:rFonts w:ascii="IRNazanin" w:hAnsi="IRNazanin" w:eastAsia="IRNazanin" w:cs="IRNazanin"/>
          <w:lang w:bidi="fa-IR"/>
          <w:color w:val="111111"/>
          <w:sz w:val="28"/>
          <w:szCs w:val="28"/>
          <w:rtl/>
        </w:rPr>
        <w:t xml:space="preserve">آغاز: برابر ۱، انجام: برابر۳</w:t>
      </w:r>
    </w:p>
    <w:p>
      <w:pPr>
        <w:pStyle w:val="BookText"/>
      </w:pPr>
      <w:r>
        <w:rPr>
          <w:rFonts w:ascii="IRNazanin" w:hAnsi="IRNazanin" w:eastAsia="IRNazanin" w:cs="IRNazanin"/>
          <w:lang w:bidi="fa-IR"/>
          <w:color w:val="111111"/>
          <w:sz w:val="28"/>
          <w:szCs w:val="28"/>
          <w:rtl/>
        </w:rPr>
        <w:t xml:space="preserve">جلد اول و دوم و سوم؛ خط: نستعلیق، بی کا، تا: ذیقعده ۱۲۴۳ق؛ مصحح؛ یادداشت خریداری محمد على ناصح در پنج شنبه ۲۷ صفر ۱۳۴۱ به مبلغ سیزده قران؛ اهدایی: رهبری، مهر ۱۳۸۶ کاغذ: فرنگی شکری آهار مهره، جلد: تیماج مشکی با ترنج و سر</w:t>
      </w:r>
    </w:p>
    <w:p>
      <w:pPr>
        <w:pStyle w:val="BookText"/>
      </w:pPr>
      <w:r>
        <w:rPr>
          <w:rFonts w:ascii="IRNazanin" w:hAnsi="IRNazanin" w:eastAsia="IRNazanin" w:cs="IRNazanin"/>
          <w:lang w:bidi="fa-IR"/>
          <w:color w:val="111111"/>
          <w:sz w:val="28"/>
          <w:szCs w:val="28"/>
          <w:rtl/>
        </w:rPr>
        <w:t xml:space="preserve">ترنج، ۲۸۴گ، ۱۸ سطر،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 اهدائی رهبر: ۸-۳۸۵]</w:t>
      </w:r>
    </w:p>
    <w:p>
      <w:pPr>
        <w:pStyle w:val="BookText"/>
      </w:pPr>
      <w:r>
        <w:rPr>
          <w:rFonts w:ascii="Amiri" w:hAnsi="Amiri" w:eastAsia="Amiri" w:cs="Amiri"/>
          <w:lang w:bidi="ar-SA"/>
          <w:color w:val="111111"/>
          <w:sz w:val="28"/>
          <w:szCs w:val="28"/>
          <w:rtl/>
        </w:rPr>
        <w:t xml:space="preserve">۱۱۰. تهران؛ دائرة المعارف؛ شماره نسخه:۷۰۶</w:t>
      </w:r>
    </w:p>
    <w:p>
      <w:pPr>
        <w:pStyle w:val="BookText"/>
      </w:pPr>
      <w:r>
        <w:rPr>
          <w:rFonts w:ascii="IRNazanin" w:hAnsi="IRNazanin" w:eastAsia="IRNazanin" w:cs="IRNazanin"/>
          <w:lang w:bidi="fa-IR"/>
          <w:color w:val="111111"/>
          <w:sz w:val="28"/>
          <w:szCs w:val="28"/>
          <w:rtl/>
        </w:rPr>
        <w:t xml:space="preserve">آغاز: برابر ۱ تا ۵ هر پنج جلد؛ خط: نسخ خوش معرب، كا: زین العابدین بن محمد حسین بن زین العابدین، تا: ۱۲۴۴ق، جا: تهران؛ با سرلوح بزرگ، مجدول، کمندبندی ۳ راه به زر و مشکی؛ جلد: مقوایی روکش تیماج مشکی، ۱۰۱+۱۰۱۰۷۶+۱۰۴+۷۴گ، ۲۱ سطر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 اندازه: ۱۹/۵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۲۹/۵سم [ف: ۲-۳۸]</w:t>
      </w:r>
    </w:p>
    <w:p>
      <w:pPr>
        <w:pStyle w:val="BookText"/>
      </w:pPr>
      <w:r>
        <w:rPr>
          <w:rFonts w:ascii="IRNazanin" w:hAnsi="IRNazanin" w:eastAsia="IRNazanin" w:cs="IRNazanin"/>
          <w:lang w:bidi="fa-IR"/>
          <w:color w:val="111111"/>
          <w:sz w:val="28"/>
          <w:szCs w:val="28"/>
          <w:rtl/>
        </w:rPr>
        <w:t xml:space="preserve">۱۱۱. مشهد؛ رضوی؛ شماره نسخه:۲۵۱۹۵</w:t>
      </w:r>
    </w:p>
    <w:p>
      <w:pPr>
        <w:pStyle w:val="BookText"/>
      </w:pPr>
      <w:r>
        <w:rPr>
          <w:rFonts w:ascii="IRNazanin" w:hAnsi="IRNazanin" w:eastAsia="IRNazanin" w:cs="IRNazanin"/>
          <w:lang w:bidi="fa-IR"/>
          <w:color w:val="111111"/>
          <w:sz w:val="28"/>
          <w:szCs w:val="28"/>
          <w:rtl/>
        </w:rPr>
        <w:t xml:space="preserve">آغاز: برابر ۱؛ انجام: و لا يتبعهم هم نشین انشاء الله وحده تم المجلد الثانی خط: نستعلیق خوش، كا: شوشتری، حسین، تا: ۱۲۴۵ق؛ دارای سرلوح و کتیبه مذهب و مرصع، مجدول، کتیبه، کمند، ترصیع؛ کاغذ: شکری، فرنگی، جلد: تیماج، ۲۰ سطر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w:t>
      </w:r>
    </w:p>
    <w:p>
      <w:pPr>
        <w:pStyle w:val="BookText"/>
      </w:pP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۳۰سم [رایانه]</w:t>
      </w:r>
    </w:p>
    <w:p>
      <w:pPr>
        <w:pStyle w:val="BookText"/>
      </w:pPr>
      <w:r>
        <w:rPr>
          <w:rFonts w:ascii="IRNazanin" w:hAnsi="IRNazanin" w:eastAsia="IRNazanin" w:cs="IRNazanin"/>
          <w:lang w:bidi="fa-IR"/>
          <w:color w:val="111111"/>
          <w:sz w:val="28"/>
          <w:szCs w:val="28"/>
          <w:rtl/>
        </w:rPr>
        <w:t xml:space="preserve">۱۱۲. قم؛ مرعشی؛ شماره نسخه:۴۶۰۷</w:t>
      </w:r>
    </w:p>
    <w:p>
      <w:pPr>
        <w:pStyle w:val="BookText"/>
      </w:pPr>
      <w:r>
        <w:rPr>
          <w:rFonts w:ascii="IRNazanin" w:hAnsi="IRNazanin" w:eastAsia="IRNazanin" w:cs="IRNazanin"/>
          <w:lang w:bidi="fa-IR"/>
          <w:color w:val="111111"/>
          <w:sz w:val="28"/>
          <w:szCs w:val="28"/>
          <w:rtl/>
        </w:rPr>
        <w:t xml:space="preserve">خط: نستعلیق زیبا، كا: زین العابدين بن علی همدانی، تا: شعبان ۱۲۴۵ق، جان همدان، به دستور امیر محمد مهدی ملک الكتاب؛ مجدول، مصحح، محشی، دارای سرلوح زرین زیبا؛ جلد: تیماج مشکی، ۴۵۶گ، ۲۲ سطر، اندازه: ۲۳/۵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۴۰/۵ سم [ف: ۱۲-۱۷۳]</w:t>
      </w:r>
    </w:p>
    <w:p>
      <w:pPr>
        <w:pStyle w:val="BookText"/>
      </w:pPr>
      <w:r>
        <w:rPr>
          <w:rFonts w:ascii="IRNazanin" w:hAnsi="IRNazanin" w:eastAsia="IRNazanin" w:cs="IRNazanin"/>
          <w:lang w:bidi="fa-IR"/>
          <w:color w:val="111111"/>
          <w:sz w:val="28"/>
          <w:szCs w:val="28"/>
          <w:rtl/>
        </w:rPr>
        <w:t xml:space="preserve">۱۱۳. تهران؛ مجلس؛ شماره نسخه:۷۱۷۵</w:t>
      </w:r>
    </w:p>
    <w:p>
      <w:pPr>
        <w:pStyle w:val="BookText"/>
      </w:pPr>
      <w:r>
        <w:rPr>
          <w:rFonts w:ascii="IRNazanin" w:hAnsi="IRNazanin" w:eastAsia="IRNazanin" w:cs="IRNazanin"/>
          <w:lang w:bidi="fa-IR"/>
          <w:color w:val="111111"/>
          <w:sz w:val="28"/>
          <w:szCs w:val="28"/>
          <w:rtl/>
        </w:rPr>
        <w:t xml:space="preserve">آغاز: برابر ۱؛ انجام: برابر۵ خط: نسخ، كا: عبد الغفار شیرازی بن زین العابدین، تا: چهارشنبه ۱۵ ذیحجه ۱۲۴۷ق؛ مجدول مذهب، با سرلوح مزدوج مرصع مذهب؛ جلد: تیماج سرخ ترنج با سر، ۴۷۴گ، ۲۱ سطر،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۲۵-۱۷۹]</w:t>
      </w:r>
    </w:p>
    <w:p>
      <w:pPr>
        <w:pStyle w:val="BookText"/>
      </w:pPr>
      <w:r>
        <w:rPr>
          <w:rFonts w:ascii="IRNazanin" w:hAnsi="IRNazanin" w:eastAsia="IRNazanin" w:cs="IRNazanin"/>
          <w:lang w:bidi="fa-IR"/>
          <w:color w:val="111111"/>
          <w:sz w:val="28"/>
          <w:szCs w:val="28"/>
          <w:rtl/>
        </w:rPr>
        <w:t xml:space="preserve">۱۱۴. قم؛ فیضیه؛ شماره نسخه:۳۹۷</w:t>
      </w:r>
    </w:p>
    <w:p>
      <w:pPr>
        <w:pStyle w:val="BookText"/>
      </w:pPr>
      <w:r>
        <w:rPr>
          <w:rFonts w:ascii="IRNazanin" w:hAnsi="IRNazanin" w:eastAsia="IRNazanin" w:cs="IRNazanin"/>
          <w:lang w:bidi="fa-IR"/>
          <w:color w:val="111111"/>
          <w:sz w:val="28"/>
          <w:szCs w:val="28"/>
          <w:rtl/>
        </w:rPr>
        <w:t xml:space="preserve">خط: نستعلیق، كا: علینقی رازی، تا: ۱۲۴۸ق؛ ۳۷۳گ، ۲۰ سطر،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۲-۱۸]</w:t>
      </w:r>
    </w:p>
    <w:p>
      <w:pPr>
        <w:pStyle w:val="BookText"/>
      </w:pPr>
      <w:r>
        <w:rPr>
          <w:rFonts w:ascii="IRNazanin" w:hAnsi="IRNazanin" w:eastAsia="IRNazanin" w:cs="IRNazanin"/>
          <w:lang w:bidi="fa-IR"/>
          <w:color w:val="111111"/>
          <w:sz w:val="28"/>
          <w:szCs w:val="28"/>
          <w:rtl/>
        </w:rPr>
        <w:t xml:space="preserve">۱۱۵. مراغه؛ عمومی؛ شماره نسخه:۱۱۱</w:t>
      </w:r>
    </w:p>
    <w:p>
      <w:pPr>
        <w:pStyle w:val="BookText"/>
      </w:pPr>
      <w:r>
        <w:rPr>
          <w:rFonts w:ascii="IRNazanin" w:hAnsi="IRNazanin" w:eastAsia="IRNazanin" w:cs="IRNazanin"/>
          <w:lang w:bidi="fa-IR"/>
          <w:color w:val="111111"/>
          <w:sz w:val="28"/>
          <w:szCs w:val="28"/>
          <w:rtl/>
        </w:rPr>
        <w:t xml:space="preserve">آغاز: برابر ۱؛ انجام: چون روز گار که ندهد پند آدمی *** خواهی
</w:t>
      </w:r>
    </w:p>
    <w:p>
      <w:pPr>
        <w:sectPr>
          <w:footerReference w:type="default" r:id="rId9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پند گیری از روزگار، گیر جلد اول، خط: نسخ، بی کا، تا: جمعه ۱۹ ذیحجه ۱۲۴۸ق؛ محشی؛ جلد: تیماج قهوه ای، ۱۹۷گ، ۲۰ سطر،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۲۲]</w:t>
      </w:r>
    </w:p>
    <w:p>
      <w:pPr>
        <w:pStyle w:val="BookText"/>
      </w:pPr>
      <w:r>
        <w:rPr>
          <w:rFonts w:ascii="IRNazanin" w:hAnsi="IRNazanin" w:eastAsia="IRNazanin" w:cs="IRNazanin"/>
          <w:lang w:bidi="fa-IR"/>
          <w:color w:val="111111"/>
          <w:sz w:val="28"/>
          <w:szCs w:val="28"/>
          <w:rtl/>
        </w:rPr>
        <w:t xml:space="preserve">۱۱۶. تهران؛ دانشگاه؛ شماره نسخه:۱۰۹۲۰</w:t>
      </w:r>
    </w:p>
    <w:p>
      <w:pPr>
        <w:pStyle w:val="BookText"/>
      </w:pPr>
      <w:r>
        <w:rPr>
          <w:rFonts w:ascii="IRNazanin" w:hAnsi="IRNazanin" w:eastAsia="IRNazanin" w:cs="IRNazanin"/>
          <w:lang w:bidi="fa-IR"/>
          <w:color w:val="111111"/>
          <w:sz w:val="28"/>
          <w:szCs w:val="28"/>
          <w:rtl/>
        </w:rPr>
        <w:t xml:space="preserve">آغاز: برابر ۱؛ انجام: و خلل التدبير انه على ذلك لقدیر و بالاجابة جدير و صلى الله على محمد بشیر و نذیر فهو في ديار الظلمة أنور من سراج و قمر منیر و سلم تسليما كثيرا</w:t>
      </w:r>
    </w:p>
    <w:p>
      <w:pPr>
        <w:pStyle w:val="BookText"/>
      </w:pPr>
      <w:r>
        <w:rPr>
          <w:rFonts w:ascii="IRNazanin" w:hAnsi="IRNazanin" w:eastAsia="IRNazanin" w:cs="IRNazanin"/>
          <w:lang w:bidi="fa-IR"/>
          <w:color w:val="111111"/>
          <w:sz w:val="28"/>
          <w:szCs w:val="28"/>
          <w:rtl/>
        </w:rPr>
        <w:t xml:space="preserve">جلد اول؛ خط: نستعلیق، بی کا، تا: ۱۲۴۹ق؛ مصحح، محشی؛ تملکی در ۱۲۸۸ق؛ مهر: «عبده محمد شریف» (بیضوی)؛ یادداشت خریداری از آخوند جناب ملا مهدی؛ جلد: مقوا عطف تیماج قهوه ای، ۱۲۰گ، ۱۸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۲۰-۴۹۸]</w:t>
      </w:r>
    </w:p>
    <w:p>
      <w:pPr>
        <w:pStyle w:val="BookText"/>
      </w:pPr>
      <w:r>
        <w:rPr>
          <w:rFonts w:ascii="IRNazanin" w:hAnsi="IRNazanin" w:eastAsia="IRNazanin" w:cs="IRNazanin"/>
          <w:lang w:bidi="fa-IR"/>
          <w:color w:val="111111"/>
          <w:sz w:val="28"/>
          <w:szCs w:val="28"/>
          <w:rtl/>
        </w:rPr>
        <w:t xml:space="preserve">۱۱۷. تهران؛ ملی؛ شماره نسخه: ۱۰۵۱</w:t>
      </w:r>
    </w:p>
    <w:p>
      <w:pPr>
        <w:pStyle w:val="BookText"/>
      </w:pPr>
      <w:r>
        <w:rPr>
          <w:rFonts w:ascii="IRNazanin" w:hAnsi="IRNazanin" w:eastAsia="IRNazanin" w:cs="IRNazanin"/>
          <w:lang w:bidi="fa-IR"/>
          <w:color w:val="111111"/>
          <w:sz w:val="28"/>
          <w:szCs w:val="28"/>
          <w:rtl/>
        </w:rPr>
        <w:t xml:space="preserve">آغاز: برابر ۱؛ انجام: تمت بالخير عمت و منه الابتدأ و اليه الانتهاء و الصلوة على رسوله المصطفی و آله المرتجى تمت بعون الله تعالى هو العلی الاعلى ... شامل پنج جلد؛ خط: نستعلیق، كا: زین العابدين بن علی همدانی، کربلا، تا: ۲۱ شوال ۱۲۵۰ق؛ با سرلوح مذهب، مجدول مذهب؛ کاغذ: فرنگی، جلد: روغنی بوم زر، ۴۵۶گ، ۲۲ سطر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۳۹/۵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 سم [ف: ۳-۶۸]</w:t>
      </w:r>
    </w:p>
    <w:p>
      <w:pPr>
        <w:pStyle w:val="BookText"/>
      </w:pPr>
      <w:r>
        <w:rPr>
          <w:rFonts w:ascii="IRNazanin" w:hAnsi="IRNazanin" w:eastAsia="IRNazanin" w:cs="IRNazanin"/>
          <w:lang w:bidi="fa-IR"/>
          <w:color w:val="111111"/>
          <w:sz w:val="28"/>
          <w:szCs w:val="28"/>
          <w:rtl/>
        </w:rPr>
        <w:t xml:space="preserve">۱۱۸. تهران؛ سلطنتی؛ شماره نسخه: ۲۳۵۰</w:t>
      </w:r>
    </w:p>
    <w:p>
      <w:pPr>
        <w:pStyle w:val="BookText"/>
      </w:pPr>
      <w:r>
        <w:rPr>
          <w:rFonts w:ascii="IRNazanin" w:hAnsi="IRNazanin" w:eastAsia="IRNazanin" w:cs="IRNazanin"/>
          <w:lang w:bidi="fa-IR"/>
          <w:color w:val="111111"/>
          <w:sz w:val="28"/>
          <w:szCs w:val="28"/>
          <w:rtl/>
        </w:rPr>
        <w:t xml:space="preserve">آغاز: برابر او ۲ و ۳؛ انجام: برابر ۳ جلد اول تا سوم؛ خط: نستعلیق، کا: زین العابدین بن علی همدانی، تا: ۱۲۵۲ق؛ محشی؛ مهر: ناصرالدین شاه قاجار؛ کاغذ: فرنگی نباتی رنگ آهار مهره، جلد: مقوای روکش چرم زیتونی با ترنج و چهار سر ترنج، ۲۱۸ص، ۲۲ سطر، اندازه: ۴۲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۵-۴۵۷]</w:t>
      </w:r>
    </w:p>
    <w:p>
      <w:pPr>
        <w:pStyle w:val="BookText"/>
      </w:pPr>
      <w:r>
        <w:rPr>
          <w:rFonts w:ascii="IRNazanin" w:hAnsi="IRNazanin" w:eastAsia="IRNazanin" w:cs="IRNazanin"/>
          <w:lang w:bidi="fa-IR"/>
          <w:color w:val="111111"/>
          <w:sz w:val="28"/>
          <w:szCs w:val="28"/>
          <w:rtl/>
        </w:rPr>
        <w:t xml:space="preserve">۱۱۹. تهران؛ الهیات؛ شماره نسخه:۲۰۱</w:t>
      </w:r>
    </w:p>
    <w:p>
      <w:pPr>
        <w:pStyle w:val="BookText"/>
      </w:pPr>
      <w:r>
        <w:rPr>
          <w:rFonts w:ascii="IRNazanin" w:hAnsi="IRNazanin" w:eastAsia="IRNazanin" w:cs="IRNazanin"/>
          <w:lang w:bidi="fa-IR"/>
          <w:color w:val="111111"/>
          <w:sz w:val="28"/>
          <w:szCs w:val="28"/>
          <w:rtl/>
        </w:rPr>
        <w:t xml:space="preserve">آغاز تا پایان جلد پنجم؛ خط: نسخ، كا: محمد بن حسین حسینی قمی، تا: یکشنبه ۷ ربيع الأول ۱۲۵۳ق؛ تملک: فاضل تونی؛ کاغذ: فرنگی، جلد: تیماج سبز مقوایی، ۲۵۰گ، ۲۳ سطر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 اندازه: ۲۱/۵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۳۴/۵سم [ف: ۲۲]</w:t>
      </w:r>
    </w:p>
    <w:p>
      <w:pPr>
        <w:pStyle w:val="BookText"/>
      </w:pPr>
      <w:r>
        <w:rPr>
          <w:rFonts w:ascii="IRNazanin" w:hAnsi="IRNazanin" w:eastAsia="IRNazanin" w:cs="IRNazanin"/>
          <w:lang w:bidi="fa-IR"/>
          <w:color w:val="111111"/>
          <w:sz w:val="28"/>
          <w:szCs w:val="28"/>
          <w:rtl/>
        </w:rPr>
        <w:t xml:space="preserve">۱۲۰. تهران؛ الهیات؛ شماره نسخه: ۶۳/۱</w:t>
      </w:r>
    </w:p>
    <w:p>
      <w:pPr>
        <w:pStyle w:val="BookText"/>
      </w:pPr>
      <w:r>
        <w:rPr>
          <w:rFonts w:ascii="IRNazanin" w:hAnsi="IRNazanin" w:eastAsia="IRNazanin" w:cs="IRNazanin"/>
          <w:lang w:bidi="fa-IR"/>
          <w:color w:val="111111"/>
          <w:sz w:val="28"/>
          <w:szCs w:val="28"/>
          <w:rtl/>
        </w:rPr>
        <w:t xml:space="preserve">جلد ۱؛ خط: نسخ، كا: ملا محمد پسر محمد کاظم، تا: ۱۲۵۴ق؛ تملک: مهدی الهی قمشه ای در ۳۰/۱۱/۱۲ ، کاغذ: فرنگی، جلد: تیماج سرخ، ۱۲۲گ، ۲۱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اندازه: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۲۱]</w:t>
      </w:r>
    </w:p>
    <w:p>
      <w:pPr>
        <w:pStyle w:val="BookText"/>
      </w:pPr>
      <w:r>
        <w:rPr>
          <w:rFonts w:ascii="IRNazanin" w:hAnsi="IRNazanin" w:eastAsia="IRNazanin" w:cs="IRNazanin"/>
          <w:lang w:bidi="fa-IR"/>
          <w:color w:val="111111"/>
          <w:sz w:val="28"/>
          <w:szCs w:val="28"/>
          <w:rtl/>
        </w:rPr>
        <w:t xml:space="preserve">۱۲۱. تهران؛ مجلس؛ شماره نسخه: ۲۴۲</w:t>
      </w:r>
    </w:p>
    <w:p>
      <w:pPr>
        <w:pStyle w:val="BookText"/>
      </w:pPr>
      <w:r>
        <w:rPr>
          <w:rFonts w:ascii="IRNazanin" w:hAnsi="IRNazanin" w:eastAsia="IRNazanin" w:cs="IRNazanin"/>
          <w:lang w:bidi="fa-IR"/>
          <w:color w:val="111111"/>
          <w:sz w:val="28"/>
          <w:szCs w:val="28"/>
          <w:rtl/>
        </w:rPr>
        <w:t xml:space="preserve">مجلد اول، خط: نستعلیق شکسته، بی کا، تا: ۱۲۵۴ق؛ ۷۳گ، ۲۶ سطر، اندازه: ۱۷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۱۳۵۲]</w:t>
      </w:r>
    </w:p>
    <w:p>
      <w:pPr>
        <w:pStyle w:val="BookText"/>
      </w:pPr>
      <w:r>
        <w:rPr>
          <w:rFonts w:ascii="IRNazanin" w:hAnsi="IRNazanin" w:eastAsia="IRNazanin" w:cs="IRNazanin"/>
          <w:lang w:bidi="fa-IR"/>
          <w:color w:val="111111"/>
          <w:sz w:val="28"/>
          <w:szCs w:val="28"/>
          <w:rtl/>
        </w:rPr>
        <w:t xml:space="preserve">۱۲۲. تهران: مجلس؛ شماره نسخه:۷۵۲۸</w:t>
      </w:r>
    </w:p>
    <w:p>
      <w:pPr>
        <w:pStyle w:val="BookText"/>
      </w:pPr>
      <w:r>
        <w:rPr>
          <w:rFonts w:ascii="IRNazanin" w:hAnsi="IRNazanin" w:eastAsia="IRNazanin" w:cs="IRNazanin"/>
          <w:lang w:bidi="fa-IR"/>
          <w:color w:val="111111"/>
          <w:sz w:val="28"/>
          <w:szCs w:val="28"/>
          <w:rtl/>
        </w:rPr>
        <w:t xml:space="preserve">آغاز: برابر ۲؛ انجام: در مجاری عروق جاری می گشت. شعر: تبدي نواظرها و الحرب مظلمة *** من الاسنة نار و القنا شمع. از اضطکاک تیغ و نهب و تاراج گوش فلک.</w:t>
      </w:r>
    </w:p>
    <w:p>
      <w:pPr>
        <w:pStyle w:val="BookText"/>
      </w:pPr>
      <w:r>
        <w:rPr>
          <w:rFonts w:ascii="IRNazanin" w:hAnsi="IRNazanin" w:eastAsia="IRNazanin" w:cs="IRNazanin"/>
          <w:lang w:bidi="fa-IR"/>
          <w:color w:val="111111"/>
          <w:sz w:val="28"/>
          <w:szCs w:val="28"/>
          <w:rtl/>
        </w:rPr>
        <w:t xml:space="preserve">جلد دوم؛ خط: نسخ، بی کا، تا: ۱۲۵۵ق؛ افتادگی: انجام؛ دستخط سلطان المحدثین؛ جلد: تیماج مشکی با ترنج با سر، ۱۰۰گ، ۲۳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۲۶-۳۰]</w:t>
      </w:r>
    </w:p>
    <w:p>
      <w:pPr>
        <w:pStyle w:val="BookText"/>
      </w:pPr>
      <w:r>
        <w:rPr>
          <w:rFonts w:ascii="IRNazanin" w:hAnsi="IRNazanin" w:eastAsia="IRNazanin" w:cs="IRNazanin"/>
          <w:lang w:bidi="fa-IR"/>
          <w:color w:val="111111"/>
          <w:sz w:val="28"/>
          <w:szCs w:val="28"/>
          <w:rtl/>
        </w:rPr>
        <w:t xml:space="preserve">۱۲۳. قم؛ مسجد اعظم؛ شماره نسخه:۹۷۵</w:t>
      </w:r>
    </w:p>
    <w:p>
      <w:pPr>
        <w:pStyle w:val="BookText"/>
      </w:pPr>
      <w:r>
        <w:rPr>
          <w:rFonts w:ascii="IRNazanin" w:hAnsi="IRNazanin" w:eastAsia="IRNazanin" w:cs="IRNazanin"/>
          <w:lang w:bidi="fa-IR"/>
          <w:color w:val="111111"/>
          <w:sz w:val="28"/>
          <w:szCs w:val="28"/>
          <w:rtl/>
        </w:rPr>
        <w:t xml:space="preserve">آغاز: برابر ۱؛ انجام: این حکایت جمله عقلا را دليل واضح و مرشد ناصح است تا در سوانح حالات از تبعه استبداد احتراز نمایند و عاقبت کارها به دیده فکرت دوربین نظر کنند تا خیر واصابت ویمن و برکت در طعن و اقامت و سلم و حرب و رفیق و هم نشین گردد</w:t>
      </w:r>
    </w:p>
    <w:p>
      <w:pPr>
        <w:pStyle w:val="BookText"/>
      </w:pPr>
      <w:r>
        <w:rPr>
          <w:rFonts w:ascii="IRNazanin" w:hAnsi="IRNazanin" w:eastAsia="IRNazanin" w:cs="IRNazanin"/>
          <w:lang w:bidi="fa-IR"/>
          <w:color w:val="111111"/>
          <w:sz w:val="28"/>
          <w:szCs w:val="28"/>
          <w:rtl/>
        </w:rPr>
        <w:t xml:space="preserve">جلد دوم؛ خط: نستعلیق، کا: غفار بن محمد عظیم کوزه کنانی الاصل، تا: ۲۶ محرم ۱۲۵۵ق، جلد: تیماج مشکی عطف تیماج قهوهای، ۱۴۹ گ، ۲۱ سطر،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مخ: ۱-۳۲۴]</w:t>
      </w:r>
    </w:p>
    <w:p>
      <w:pPr>
        <w:pStyle w:val="BookText"/>
      </w:pPr>
      <w:r>
        <w:rPr>
          <w:rFonts w:ascii="IRNazanin" w:hAnsi="IRNazanin" w:eastAsia="IRNazanin" w:cs="IRNazanin"/>
          <w:lang w:bidi="fa-IR"/>
          <w:color w:val="111111"/>
          <w:sz w:val="28"/>
          <w:szCs w:val="28"/>
          <w:rtl/>
        </w:rPr>
        <w:t xml:space="preserve">۱۲۴. اصفهان؛ جابری انصاری؛ شماره نسخه:۱۲</w:t>
      </w:r>
    </w:p>
    <w:p>
      <w:pPr>
        <w:pStyle w:val="BookText"/>
      </w:pPr>
      <w:r>
        <w:rPr>
          <w:rFonts w:ascii="IRNazanin" w:hAnsi="IRNazanin" w:eastAsia="IRNazanin" w:cs="IRNazanin"/>
          <w:lang w:bidi="fa-IR"/>
          <w:color w:val="111111"/>
          <w:sz w:val="28"/>
          <w:szCs w:val="28"/>
          <w:rtl/>
        </w:rPr>
        <w:t xml:space="preserve">جلد دوم؛ خط: نستعلیق، بی کا، تا: ۱۲۵۶ق (نشریه: ۶-۵۹۴]</w:t>
      </w:r>
    </w:p>
    <w:p>
      <w:pPr>
        <w:pStyle w:val="BookText"/>
      </w:pPr>
      <w:r>
        <w:rPr>
          <w:rFonts w:ascii="IRNazanin" w:hAnsi="IRNazanin" w:eastAsia="IRNazanin" w:cs="IRNazanin"/>
          <w:lang w:bidi="fa-IR"/>
          <w:color w:val="111111"/>
          <w:sz w:val="28"/>
          <w:szCs w:val="28"/>
          <w:rtl/>
        </w:rPr>
        <w:t xml:space="preserve">۱۲۵. تهران؛ سلطنتی؛ شماره نسخه:۷۵۸</w:t>
      </w:r>
    </w:p>
    <w:p>
      <w:pPr>
        <w:pStyle w:val="BookText"/>
      </w:pPr>
      <w:r>
        <w:rPr>
          <w:rFonts w:ascii="Amiri" w:hAnsi="Amiri" w:eastAsia="Amiri" w:cs="Amiri"/>
          <w:lang w:bidi="ar-SA"/>
          <w:color w:val="111111"/>
          <w:sz w:val="28"/>
          <w:szCs w:val="28"/>
          <w:rtl/>
        </w:rPr>
        <w:t xml:space="preserve">آغاز: برابر ۱؛ انجام: تم المجلد الأول من الكتاب و يتلوه مجلد الثاني بالصواب</w:t>
      </w:r>
    </w:p>
    <w:p>
      <w:pPr>
        <w:pStyle w:val="BookText"/>
      </w:pPr>
      <w:r>
        <w:rPr>
          <w:rFonts w:ascii="IRNazanin" w:hAnsi="IRNazanin" w:eastAsia="IRNazanin" w:cs="IRNazanin"/>
          <w:lang w:bidi="fa-IR"/>
          <w:color w:val="111111"/>
          <w:sz w:val="28"/>
          <w:szCs w:val="28"/>
          <w:rtl/>
        </w:rPr>
        <w:t xml:space="preserve">جلد ۱؛ خط: نستعلیق خوب، كا: محمد علی لواسانی (صفا)، تا: چهارشنبه رجب ۱۲۵۷ق؛ مجدول، مذهب، کمند کشی زرین، یک سرلوح مذهب مرصع خوب؛ کاغذ: فرنگی آهار مهره، جلد: مقوای روغنی بوم دلربائی با ترنج و سرترنج و تزیینات بسیار، ۱۷۰ص، ۲۲ سطر،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سم [ف: ۵-۴۵۱]</w:t>
      </w:r>
    </w:p>
    <w:p>
      <w:pPr>
        <w:pStyle w:val="BookText"/>
      </w:pPr>
      <w:r>
        <w:rPr>
          <w:rFonts w:ascii="IRNazanin" w:hAnsi="IRNazanin" w:eastAsia="IRNazanin" w:cs="IRNazanin"/>
          <w:lang w:bidi="fa-IR"/>
          <w:color w:val="111111"/>
          <w:sz w:val="28"/>
          <w:szCs w:val="28"/>
          <w:rtl/>
        </w:rPr>
        <w:t xml:space="preserve">۱۲۶. تهران: ملی؛ شماره نسخه:۱۹۰۶</w:t>
      </w:r>
    </w:p>
    <w:p>
      <w:pPr>
        <w:pStyle w:val="BookText"/>
      </w:pPr>
      <w:r>
        <w:rPr>
          <w:rFonts w:ascii="IRNazanin" w:hAnsi="IRNazanin" w:eastAsia="IRNazanin" w:cs="IRNazanin"/>
          <w:lang w:bidi="fa-IR"/>
          <w:color w:val="111111"/>
          <w:sz w:val="28"/>
          <w:szCs w:val="28"/>
          <w:rtl/>
        </w:rPr>
        <w:t xml:space="preserve">آغاز: برابر ۱؛ انجام: برابر۵ از جلد اول تا جلد پنجم؛ خط: نسخ، بی کا، تا: ۱۲۵۸ق؛ کاغذ: فرنگی، جلد: تیماج قرمز، ۲۹۷، ۲۵سطر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اندازه: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۳۰سم [ف: ۴-۳۵۸] ۱۲۷. تهران؛ مجلس؛ شماره نسخه:۵۷۹۳</w:t>
      </w:r>
    </w:p>
    <w:p>
      <w:pPr>
        <w:pStyle w:val="BookText"/>
      </w:pPr>
      <w:r>
        <w:rPr>
          <w:rFonts w:ascii="IRNazanin" w:hAnsi="IRNazanin" w:eastAsia="IRNazanin" w:cs="IRNazanin"/>
          <w:lang w:bidi="fa-IR"/>
          <w:color w:val="111111"/>
          <w:sz w:val="28"/>
          <w:szCs w:val="28"/>
          <w:rtl/>
        </w:rPr>
        <w:t xml:space="preserve">آغاز: برابر ۱؛ انجام: برابر۵ خط: نستعلیق، كا: زین العابدين بن على كاتب همدانی، تا: ۱۲۶۰ق؛ محشی؛ کاغذ: سمرقندی نخودی رنگ ضخیم، جلد: روغنی گل و بوته دار، ۹۲۱ص،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۳۶/۵سم [ف: ۱۷-۲۲۵]</w:t>
      </w:r>
    </w:p>
    <w:p>
      <w:pPr>
        <w:pStyle w:val="BookText"/>
      </w:pPr>
      <w:r>
        <w:rPr>
          <w:rFonts w:ascii="IRNazanin" w:hAnsi="IRNazanin" w:eastAsia="IRNazanin" w:cs="IRNazanin"/>
          <w:lang w:bidi="fa-IR"/>
          <w:color w:val="111111"/>
          <w:sz w:val="28"/>
          <w:szCs w:val="28"/>
          <w:rtl/>
        </w:rPr>
        <w:t xml:space="preserve">۱۲۸. مشهد؛ رضوی؛ شماره نسخه: ۱۲۶۰۹</w:t>
      </w:r>
    </w:p>
    <w:p>
      <w:pPr>
        <w:pStyle w:val="BookText"/>
      </w:pPr>
      <w:r>
        <w:rPr>
          <w:rFonts w:ascii="IRNazanin" w:hAnsi="IRNazanin" w:eastAsia="IRNazanin" w:cs="IRNazanin"/>
          <w:lang w:bidi="fa-IR"/>
          <w:color w:val="111111"/>
          <w:sz w:val="28"/>
          <w:szCs w:val="28"/>
          <w:rtl/>
        </w:rPr>
        <w:t xml:space="preserve">آغاز: برابر ۱؛ انجام: خواهی که پند گیری از روزگار گیر ... من شهور سنه ۱۲۶۱ جلد ۱؛ خط: نستعلیق، کا: محمد جان زرین رکابی، تا: ۱۲۶۱ق؛ کاغذ: شکری، جلد: تیماج ضربی، ۱۷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[الفبائی: ۱۰۴]</w:t>
      </w:r>
    </w:p>
    <w:p>
      <w:pPr>
        <w:pStyle w:val="BookText"/>
      </w:pPr>
      <w:r>
        <w:rPr>
          <w:rFonts w:ascii="IRNazanin" w:hAnsi="IRNazanin" w:eastAsia="IRNazanin" w:cs="IRNazanin"/>
          <w:lang w:bidi="fa-IR"/>
          <w:color w:val="111111"/>
          <w:sz w:val="28"/>
          <w:szCs w:val="28"/>
          <w:rtl/>
        </w:rPr>
        <w:t xml:space="preserve">۱۲۹. قم؛ معصومیه؛ شماره نسخه:۳۷</w:t>
      </w:r>
    </w:p>
    <w:p>
      <w:pPr>
        <w:pStyle w:val="BookText"/>
      </w:pPr>
      <w:r>
        <w:rPr>
          <w:rFonts w:ascii="IRNazanin" w:hAnsi="IRNazanin" w:eastAsia="IRNazanin" w:cs="IRNazanin"/>
          <w:lang w:bidi="fa-IR"/>
          <w:color w:val="111111"/>
          <w:sz w:val="28"/>
          <w:szCs w:val="28"/>
          <w:rtl/>
        </w:rPr>
        <w:t xml:space="preserve">آغاز: برابر ۱؛ انجام: چون روز گار کس ندهد پند آدمی *** خواهی که پند گیری از روزگار گیر، و الله يجعل أحوالنا مقرونة بحسن العواقب ... و قمر منیر و على آله. جلد اول؛ خط: نستعلیق شکسته، كا: على همت، تا: ۲۰ جمادی
</w:t>
      </w:r>
    </w:p>
    <w:p>
      <w:pPr>
        <w:sectPr>
          <w:footerReference w:type="default" r:id="rId9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۱۲۶۱ق؛ مجدول، محشى؛ جلد: تیماج مشکی، ۱۰۹گ، ۱۸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۲۸/۵</w:t>
      </w:r>
    </w:p>
    <w:p>
      <w:pPr>
        <w:pStyle w:val="BookText"/>
      </w:pPr>
      <w:r>
        <w:rPr>
          <w:rFonts w:ascii="IRNazanin" w:hAnsi="IRNazanin" w:eastAsia="IRNazanin" w:cs="IRNazanin"/>
          <w:lang w:bidi="fa-IR"/>
          <w:color w:val="111111"/>
          <w:sz w:val="28"/>
          <w:szCs w:val="28"/>
          <w:rtl/>
        </w:rPr>
        <w:t xml:space="preserve">سم [ف: ۱-۵۶]</w:t>
      </w:r>
    </w:p>
    <w:p>
      <w:pPr>
        <w:pStyle w:val="BookText"/>
      </w:pPr>
      <w:r>
        <w:rPr>
          <w:rFonts w:ascii="IRNazanin" w:hAnsi="IRNazanin" w:eastAsia="IRNazanin" w:cs="IRNazanin"/>
          <w:lang w:bidi="fa-IR"/>
          <w:color w:val="111111"/>
          <w:sz w:val="28"/>
          <w:szCs w:val="28"/>
          <w:rtl/>
        </w:rPr>
        <w:t xml:space="preserve">۱۳۰. تهران؛ مجلس؛ شماره نسخه: ۲۳۹</w:t>
      </w:r>
    </w:p>
    <w:p>
      <w:pPr>
        <w:pStyle w:val="BookText"/>
      </w:pPr>
      <w:r>
        <w:rPr>
          <w:rFonts w:ascii="IRNazanin" w:hAnsi="IRNazanin" w:eastAsia="IRNazanin" w:cs="IRNazanin"/>
          <w:lang w:bidi="fa-IR"/>
          <w:color w:val="111111"/>
          <w:sz w:val="28"/>
          <w:szCs w:val="28"/>
          <w:rtl/>
        </w:rPr>
        <w:t xml:space="preserve">آغاز: برابر۱ خط: نستعلیق، بی کا، تا: ۱۲۶۲ق؛ دارای دو سرلوح، مجدول؛ ۴۵۶گ،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۳۱/۵سم [ف: ۲-۱۳۴]</w:t>
      </w:r>
    </w:p>
    <w:p>
      <w:pPr>
        <w:pStyle w:val="BookText"/>
      </w:pPr>
      <w:r>
        <w:rPr>
          <w:rFonts w:ascii="IRNazanin" w:hAnsi="IRNazanin" w:eastAsia="IRNazanin" w:cs="IRNazanin"/>
          <w:lang w:bidi="fa-IR"/>
          <w:color w:val="111111"/>
          <w:sz w:val="28"/>
          <w:szCs w:val="28"/>
          <w:rtl/>
        </w:rPr>
        <w:t xml:space="preserve">۱۳۱. تهران؛ ملی؛ شماره نسخه:۲۲۴۶</w:t>
      </w:r>
    </w:p>
    <w:p>
      <w:pPr>
        <w:pStyle w:val="BookText"/>
      </w:pPr>
      <w:r>
        <w:rPr>
          <w:rFonts w:ascii="IRNazanin" w:hAnsi="IRNazanin" w:eastAsia="IRNazanin" w:cs="IRNazanin"/>
          <w:lang w:bidi="fa-IR"/>
          <w:color w:val="111111"/>
          <w:sz w:val="28"/>
          <w:szCs w:val="28"/>
          <w:rtl/>
        </w:rPr>
        <w:t xml:space="preserve">آغاز: برابر ۱؛ انجام: برابره خط: نستعلیق، بی کا، تا: ۱۲۶۲ق؛ با سرلوح مذهب، مجدول؛ کاغذ: فرنگی، جلد: تیماج قرمز، ۲۲۸گ، ۲۵سطر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۳۷/۵ سم [ف: ۵-۳۶۷]</w:t>
      </w:r>
    </w:p>
    <w:p>
      <w:pPr>
        <w:pStyle w:val="BookText"/>
      </w:pPr>
      <w:r>
        <w:rPr>
          <w:rFonts w:ascii="IRNazanin" w:hAnsi="IRNazanin" w:eastAsia="IRNazanin" w:cs="IRNazanin"/>
          <w:lang w:bidi="fa-IR"/>
          <w:color w:val="111111"/>
          <w:sz w:val="28"/>
          <w:szCs w:val="28"/>
          <w:rtl/>
        </w:rPr>
        <w:t xml:space="preserve">۱۳۲. قم؛ مرعشی؛ شماره نسخه:۱۱۷۱۹</w:t>
      </w:r>
    </w:p>
    <w:p>
      <w:pPr>
        <w:pStyle w:val="BookText"/>
      </w:pPr>
      <w:r>
        <w:rPr>
          <w:rFonts w:ascii="IRNazanin" w:hAnsi="IRNazanin" w:eastAsia="IRNazanin" w:cs="IRNazanin"/>
          <w:lang w:bidi="fa-IR"/>
          <w:color w:val="111111"/>
          <w:sz w:val="28"/>
          <w:szCs w:val="28"/>
          <w:rtl/>
        </w:rPr>
        <w:t xml:space="preserve">آغاز: برابر ۱؛ انجام: و الله يجعل أحوالنا بحسن العواقب و خیر الآخر و يعصمنا في العلم و العمل عن انغيالة الرأي و خطل التدبير على ذلك التقدير و بالإجابة جدير.خط: نستعلیق خوش، بی کا، تا: ۱۲۶۲ق؛ مصحح، محشی؛ تملک: عیسی بن محمد سعید طباطبائی»؛ کاغذ: فرنگی الوان آهار مهره، جلد: تیماج مشکی با ترنج و سرترنج، ۱۸۴ گ، ۱۲ سطر</w:t>
      </w:r>
    </w:p>
    <w:p>
      <w:pPr>
        <w:pStyle w:val="BookText"/>
      </w:pPr>
      <w:r>
        <w:rPr>
          <w:rFonts w:ascii="IRNazanin" w:hAnsi="IRNazanin" w:eastAsia="IRNazanin" w:cs="IRNazanin"/>
          <w:lang w:bidi="fa-IR"/>
          <w:color w:val="111111"/>
          <w:sz w:val="28"/>
          <w:szCs w:val="28"/>
          <w:rtl/>
        </w:rPr>
        <w:t xml:space="preserve">(۲۲۱۰)،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۲۹-۵۰۱]</w:t>
      </w:r>
    </w:p>
    <w:p>
      <w:pPr>
        <w:pStyle w:val="BookText"/>
      </w:pPr>
      <w:r>
        <w:rPr>
          <w:rFonts w:ascii="IRNazanin" w:hAnsi="IRNazanin" w:eastAsia="IRNazanin" w:cs="IRNazanin"/>
          <w:lang w:bidi="fa-IR"/>
          <w:color w:val="111111"/>
          <w:sz w:val="28"/>
          <w:szCs w:val="28"/>
          <w:rtl/>
        </w:rPr>
        <w:t xml:space="preserve">۱۳۳. قم: مرکز احیاء؛ شماره نسخه:۱۹۰۸</w:t>
      </w:r>
    </w:p>
    <w:p>
      <w:pPr>
        <w:pStyle w:val="BookText"/>
      </w:pPr>
      <w:r>
        <w:rPr>
          <w:rFonts w:ascii="IRNazanin" w:hAnsi="IRNazanin" w:eastAsia="IRNazanin" w:cs="IRNazanin"/>
          <w:lang w:bidi="fa-IR"/>
          <w:color w:val="111111"/>
          <w:sz w:val="28"/>
          <w:szCs w:val="28"/>
          <w:rtl/>
        </w:rPr>
        <w:t xml:space="preserve">آغاز: برابر ۱؛ انجام: برابر۵ جلد اول تا پنجم ؛ خط: نسخ معرب و نستعلیق، كان مرتضی بن عبدالغفار، تاندوشنبه ۲۵ رمضان ۱۲۶۳ق؛ جلد: مقوایی عطف تيماج قهوه ای، ۳۱۸گ، ۲۴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۳۶/۵ سم [ف: ۵-۳۳۴]</w:t>
      </w:r>
    </w:p>
    <w:p>
      <w:pPr>
        <w:pStyle w:val="BookText"/>
      </w:pPr>
      <w:r>
        <w:rPr>
          <w:rFonts w:ascii="IRNazanin" w:hAnsi="IRNazanin" w:eastAsia="IRNazanin" w:cs="IRNazanin"/>
          <w:lang w:bidi="fa-IR"/>
          <w:color w:val="111111"/>
          <w:sz w:val="28"/>
          <w:szCs w:val="28"/>
          <w:rtl/>
        </w:rPr>
        <w:t xml:space="preserve">۱۳۴. تهران؛ مجلس؛ شماره نسخه:۷۰۳</w:t>
      </w:r>
    </w:p>
    <w:p>
      <w:pPr>
        <w:pStyle w:val="BookText"/>
      </w:pPr>
      <w:r>
        <w:rPr>
          <w:rFonts w:ascii="IRNazanin" w:hAnsi="IRNazanin" w:eastAsia="IRNazanin" w:cs="IRNazanin"/>
          <w:lang w:bidi="fa-IR"/>
          <w:color w:val="111111"/>
          <w:sz w:val="28"/>
          <w:szCs w:val="28"/>
          <w:rtl/>
        </w:rPr>
        <w:t xml:space="preserve">خط: نستعلیق، بی کا، تا: ۲۴ ربیع الثانی ۱۲۶۴ق؛ کاغذ: سفید، جلد: تیماج مشکی با ترنج، ۱۰۲گ، ۱۹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[سنا: ف: ۲-۳۴]</w:t>
      </w:r>
    </w:p>
    <w:p>
      <w:pPr>
        <w:pStyle w:val="BookText"/>
      </w:pPr>
      <w:r>
        <w:rPr>
          <w:rFonts w:ascii="IRNazanin" w:hAnsi="IRNazanin" w:eastAsia="IRNazanin" w:cs="IRNazanin"/>
          <w:lang w:bidi="fa-IR"/>
          <w:color w:val="111111"/>
          <w:sz w:val="28"/>
          <w:szCs w:val="28"/>
          <w:rtl/>
        </w:rPr>
        <w:t xml:space="preserve">۱۳۵. قم؛ مرعشی؛ شماره نسخه:۳۰۱۲</w:t>
      </w:r>
    </w:p>
    <w:p>
      <w:pPr>
        <w:pStyle w:val="BookText"/>
      </w:pPr>
      <w:r>
        <w:rPr>
          <w:rFonts w:ascii="IRNazanin" w:hAnsi="IRNazanin" w:eastAsia="IRNazanin" w:cs="IRNazanin"/>
          <w:lang w:bidi="fa-IR"/>
          <w:color w:val="111111"/>
          <w:sz w:val="28"/>
          <w:szCs w:val="28"/>
          <w:rtl/>
        </w:rPr>
        <w:t xml:space="preserve">آغاز: برابر ۵؛ انجام: و ناخن ندامت رخسار جان او را بخراشد یا ايها الناس قد جاء کم موعظة من ربكم و شفاء لما في الصدور و هدی رحمة للمؤمنين جلد پنجم ؛ خط: نستعلیق زیبا، بی کا، تا: ۱۱ رمضان ۱۲۶۴ق؛ جلد: تیماج قهوه ای، ۲۳۵ گ، ۲۱ سطر،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۸-۲۰۲]</w:t>
      </w:r>
    </w:p>
    <w:p>
      <w:pPr>
        <w:pStyle w:val="BookText"/>
      </w:pPr>
      <w:r>
        <w:rPr>
          <w:rFonts w:ascii="IRNazanin" w:hAnsi="IRNazanin" w:eastAsia="IRNazanin" w:cs="IRNazanin"/>
          <w:lang w:bidi="fa-IR"/>
          <w:color w:val="111111"/>
          <w:sz w:val="28"/>
          <w:szCs w:val="28"/>
          <w:rtl/>
        </w:rPr>
        <w:t xml:space="preserve">۱۳۶. مشهد؛ رضوی؛ شماره نسخه:۳۷۹۸۳</w:t>
      </w:r>
    </w:p>
    <w:p>
      <w:pPr>
        <w:pStyle w:val="BookText"/>
      </w:pPr>
      <w:r>
        <w:rPr>
          <w:rFonts w:ascii="IRNazanin" w:hAnsi="IRNazanin" w:eastAsia="IRNazanin" w:cs="IRNazanin"/>
          <w:lang w:bidi="fa-IR"/>
          <w:color w:val="111111"/>
          <w:sz w:val="28"/>
          <w:szCs w:val="28"/>
          <w:rtl/>
        </w:rPr>
        <w:t xml:space="preserve">آغاز: برابر ۱؛ انجام: برابر ۳ جلد اول و دوم و سوم؛ خط: نستعلیق خوش، كا: فخر الدين بن محمد ابراهیم تفرشی کوهین مسکن، تا: رجب و شعبان ۱۲۶۶ق؛ مهر: عبده الراجي احمد الحسینی ۱۲۳۰» (بیضوی)؛ اهدایی: رهبری، مهر ۱۳۸۶؛ کاغذ: فرنگی شکری آهار مهره، جلد: میشن زرد با ترنج و سر ترنج، ۱۴۰گ، ۲۸ سطر،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[اهدائی رهبر: ۸-۳۸۵]</w:t>
      </w:r>
    </w:p>
    <w:p>
      <w:pPr>
        <w:pStyle w:val="BookText"/>
      </w:pPr>
      <w:r>
        <w:rPr>
          <w:rFonts w:ascii="IRNazanin" w:hAnsi="IRNazanin" w:eastAsia="IRNazanin" w:cs="IRNazanin"/>
          <w:lang w:bidi="fa-IR"/>
          <w:color w:val="111111"/>
          <w:sz w:val="28"/>
          <w:szCs w:val="28"/>
          <w:rtl/>
        </w:rPr>
        <w:t xml:space="preserve">مشهد؛ شیخ علی حیدر؛ شماره نسخه:۱۴۱۸</w:t>
      </w:r>
    </w:p>
    <w:p>
      <w:pPr>
        <w:pStyle w:val="BookText"/>
      </w:pPr>
      <w:r>
        <w:rPr>
          <w:rFonts w:ascii="IRNazanin" w:hAnsi="IRNazanin" w:eastAsia="IRNazanin" w:cs="IRNazanin"/>
          <w:lang w:bidi="fa-IR"/>
          <w:color w:val="111111"/>
          <w:sz w:val="28"/>
          <w:szCs w:val="28"/>
          <w:rtl/>
        </w:rPr>
        <w:t xml:space="preserve">همان نسخه بالا [ مؤید: ۳-۳۳۶]</w:t>
      </w:r>
    </w:p>
    <w:p>
      <w:pPr>
        <w:pStyle w:val="BookText"/>
      </w:pPr>
      <w:r>
        <w:rPr>
          <w:rFonts w:ascii="IRNazanin" w:hAnsi="IRNazanin" w:eastAsia="IRNazanin" w:cs="IRNazanin"/>
          <w:lang w:bidi="fa-IR"/>
          <w:color w:val="111111"/>
          <w:sz w:val="28"/>
          <w:szCs w:val="28"/>
          <w:rtl/>
        </w:rPr>
        <w:t xml:space="preserve">۱۳۷. قم، گلپایگانی؛ شماره نسخه:۷۷۹۴-۵۳/۴</w:t>
      </w:r>
    </w:p>
    <w:p>
      <w:pPr>
        <w:pStyle w:val="BookText"/>
      </w:pPr>
      <w:r>
        <w:rPr>
          <w:rFonts w:ascii="IRNazanin" w:hAnsi="IRNazanin" w:eastAsia="IRNazanin" w:cs="IRNazanin"/>
          <w:lang w:bidi="fa-IR"/>
          <w:color w:val="111111"/>
          <w:sz w:val="28"/>
          <w:szCs w:val="28"/>
          <w:rtl/>
        </w:rPr>
        <w:t xml:space="preserve">آغاز: برابر ۱ جلد اول؛ خط: نسخ، كا: دوست محمد بن پیر محمد قراچه داغی من محال دزمار، تا: شنبه ذیقعده ۱۲۶۶ق، دزمار، مدرسه طالبیه؛ ۱۱۸گ، ۱۷ سطر،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۲-۷۲۱]</w:t>
      </w:r>
    </w:p>
    <w:p>
      <w:pPr>
        <w:pStyle w:val="BookText"/>
      </w:pPr>
      <w:r>
        <w:rPr>
          <w:rFonts w:ascii="IRNazanin" w:hAnsi="IRNazanin" w:eastAsia="IRNazanin" w:cs="IRNazanin"/>
          <w:lang w:bidi="fa-IR"/>
          <w:color w:val="111111"/>
          <w:sz w:val="28"/>
          <w:szCs w:val="28"/>
          <w:rtl/>
        </w:rPr>
        <w:t xml:space="preserve">۱۳۸. مشهد؛ رضوی؛ شماره نسخه:۱۹۲۷۸</w:t>
      </w:r>
    </w:p>
    <w:p>
      <w:pPr>
        <w:pStyle w:val="BookText"/>
      </w:pPr>
      <w:r>
        <w:rPr>
          <w:rFonts w:ascii="IRNazanin" w:hAnsi="IRNazanin" w:eastAsia="IRNazanin" w:cs="IRNazanin"/>
          <w:lang w:bidi="fa-IR"/>
          <w:color w:val="111111"/>
          <w:sz w:val="28"/>
          <w:szCs w:val="28"/>
          <w:rtl/>
        </w:rPr>
        <w:t xml:space="preserve">آغاز: بسمله. دیباج دیباچه کتاب فصاحت؛ انجام: من ثامن رمضان المبارک سنة ثمان و ستین و مأتین و الف اللهم اغفر لمن استغفر لكاتبه. خط: نستعلیق شکسته خوش، بی کا، تا: ۱۲۶۸ق؛ کاغذ: شکری، جلد: تیماج ضربی با ترنج و سرترنج، ۹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۲۱/۵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سم [رایانه ]</w:t>
      </w:r>
    </w:p>
    <w:p>
      <w:pPr>
        <w:pStyle w:val="BookText"/>
      </w:pPr>
      <w:r>
        <w:rPr>
          <w:rFonts w:ascii="IRNazanin" w:hAnsi="IRNazanin" w:eastAsia="IRNazanin" w:cs="IRNazanin"/>
          <w:lang w:bidi="fa-IR"/>
          <w:color w:val="111111"/>
          <w:sz w:val="28"/>
          <w:szCs w:val="28"/>
          <w:rtl/>
        </w:rPr>
        <w:t xml:space="preserve">۱۳۹. مشهد؛ مدرسه آية الله خوئی؛ شماره نسخه:۴۰۹</w:t>
      </w:r>
    </w:p>
    <w:p>
      <w:pPr>
        <w:pStyle w:val="BookText"/>
      </w:pPr>
      <w:r>
        <w:rPr>
          <w:rFonts w:ascii="IRNazanin" w:hAnsi="IRNazanin" w:eastAsia="IRNazanin" w:cs="IRNazanin"/>
          <w:lang w:bidi="fa-IR"/>
          <w:color w:val="111111"/>
          <w:sz w:val="28"/>
          <w:szCs w:val="28"/>
          <w:rtl/>
        </w:rPr>
        <w:t xml:space="preserve">بی کا، تا: ۱۲۶۹ق [اوراق عتیق: ۱-۲۴۲]</w:t>
      </w:r>
    </w:p>
    <w:p>
      <w:pPr>
        <w:pStyle w:val="BookText"/>
      </w:pPr>
      <w:r>
        <w:rPr>
          <w:rFonts w:ascii="IRNazanin" w:hAnsi="IRNazanin" w:eastAsia="IRNazanin" w:cs="IRNazanin"/>
          <w:lang w:bidi="fa-IR"/>
          <w:color w:val="111111"/>
          <w:sz w:val="28"/>
          <w:szCs w:val="28"/>
          <w:rtl/>
        </w:rPr>
        <w:t xml:space="preserve">۱۴۰. مشهد؛ رضوی؛ شماره نسخه: ۱۴۳۳۱</w:t>
      </w:r>
    </w:p>
    <w:p>
      <w:pPr>
        <w:pStyle w:val="BookText"/>
      </w:pPr>
      <w:r>
        <w:rPr>
          <w:rFonts w:ascii="IRNazanin" w:hAnsi="IRNazanin" w:eastAsia="IRNazanin" w:cs="IRNazanin"/>
          <w:lang w:bidi="fa-IR"/>
          <w:color w:val="111111"/>
          <w:sz w:val="28"/>
          <w:szCs w:val="28"/>
          <w:rtl/>
        </w:rPr>
        <w:t xml:space="preserve">آغاز: برابر ۱؛ انجام خواهی که پند گیری از روزگار گیر. جلد اول؛ خط: نسخ، بی کا، تا: ۱۲۷۱ق؛ کاغذ: نخودی، جلد: تیماج، ۱۹ سطر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[رایانه]</w:t>
      </w:r>
    </w:p>
    <w:p>
      <w:pPr>
        <w:pStyle w:val="BookText"/>
      </w:pPr>
      <w:r>
        <w:rPr>
          <w:rFonts w:ascii="IRNazanin" w:hAnsi="IRNazanin" w:eastAsia="IRNazanin" w:cs="IRNazanin"/>
          <w:lang w:bidi="fa-IR"/>
          <w:color w:val="111111"/>
          <w:sz w:val="28"/>
          <w:szCs w:val="28"/>
          <w:rtl/>
        </w:rPr>
        <w:t xml:space="preserve">۱۴۱. قم؛ گلپایگانی؛ شماره نسخه:۲۶۶۶- ۱۴/۱۱۶</w:t>
      </w:r>
    </w:p>
    <w:p>
      <w:pPr>
        <w:pStyle w:val="BookText"/>
      </w:pPr>
      <w:r>
        <w:rPr>
          <w:rFonts w:ascii="IRNazanin" w:hAnsi="IRNazanin" w:eastAsia="IRNazanin" w:cs="IRNazanin"/>
          <w:lang w:bidi="fa-IR"/>
          <w:color w:val="111111"/>
          <w:sz w:val="28"/>
          <w:szCs w:val="28"/>
          <w:rtl/>
        </w:rPr>
        <w:t xml:space="preserve">آغاز: على الله رب العالمین توکلی *** وفي كل احوالی عليه معمولی. فرخ ترین نوائی که نای مرغ زمزمه سرای زبان بدان دستان داستان زند و دلنواز ترین یادگاری؛ انجام: در ظعن و اقامت و سلم و حرب رفیق و همنشین گردد و لايتبعهم هم يشين ان شاء الله تعالى وحده تم المجلد الثاني و يتلوه الثالث كما يتلو المثاني عقيب المثالث. جلد دوم؛ خط: نسخ و نستعلیق، بی کا، تا: پنج شنبه جمادی الثانی ۱۲۷۲ق؛ جلد: تیماج قهوه ای با ترنج با سر، ۱۷۰گ، ۱۳ سطر، اندازه: ۲۱۶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۲-۷۲۱]</w:t>
      </w:r>
    </w:p>
    <w:p>
      <w:pPr>
        <w:pStyle w:val="BookText"/>
      </w:pPr>
      <w:r>
        <w:rPr>
          <w:rFonts w:ascii="IRNazanin" w:hAnsi="IRNazanin" w:eastAsia="IRNazanin" w:cs="IRNazanin"/>
          <w:lang w:bidi="fa-IR"/>
          <w:color w:val="111111"/>
          <w:sz w:val="28"/>
          <w:szCs w:val="28"/>
          <w:rtl/>
        </w:rPr>
        <w:t xml:space="preserve">۱۴۲. تهران؛ مجلس؛ شماره نسخه:۱۸ اط</w:t>
      </w:r>
    </w:p>
    <w:p>
      <w:pPr>
        <w:pStyle w:val="BookText"/>
      </w:pPr>
      <w:r>
        <w:rPr>
          <w:rFonts w:ascii="IRNazanin" w:hAnsi="IRNazanin" w:eastAsia="IRNazanin" w:cs="IRNazanin"/>
          <w:lang w:bidi="fa-IR"/>
          <w:color w:val="111111"/>
          <w:sz w:val="28"/>
          <w:szCs w:val="28"/>
          <w:rtl/>
        </w:rPr>
        <w:t xml:space="preserve">خط: نسخ، كا: علی بن محمد، تا: ۱۲۷۲ق [مختصر ف: ۱۳۲]</w:t>
      </w:r>
    </w:p>
    <w:p>
      <w:pPr>
        <w:pStyle w:val="BookText"/>
      </w:pPr>
      <w:r>
        <w:rPr>
          <w:rFonts w:ascii="IRNazanin" w:hAnsi="IRNazanin" w:eastAsia="IRNazanin" w:cs="IRNazanin"/>
          <w:lang w:bidi="fa-IR"/>
          <w:color w:val="111111"/>
          <w:sz w:val="28"/>
          <w:szCs w:val="28"/>
          <w:rtl/>
        </w:rPr>
        <w:t xml:space="preserve">۱۴۳. تهران؛ مجلس؛ شماره نسخه:۱۱۸-طباطبائی</w:t>
      </w:r>
    </w:p>
    <w:p>
      <w:pPr>
        <w:pStyle w:val="BookText"/>
      </w:pPr>
      <w:r>
        <w:rPr>
          <w:rFonts w:ascii="IRNazanin" w:hAnsi="IRNazanin" w:eastAsia="IRNazanin" w:cs="IRNazanin"/>
          <w:lang w:bidi="fa-IR"/>
          <w:color w:val="111111"/>
          <w:sz w:val="28"/>
          <w:szCs w:val="28"/>
          <w:rtl/>
        </w:rPr>
        <w:t xml:space="preserve">جلد اول؛ خط: نسخ، كا: على بن محمد، تا: ۱۲۷۲ق؛ محشی؛ تملك: حاج احمد؛ کاغذ: فرنگی آهار مهره، جلد: تیماج مشکی، ۱۱۲گ، ۱۸ سطر،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۲۴-۹۸]</w:t>
      </w:r>
    </w:p>
    <w:p>
      <w:pPr>
        <w:pStyle w:val="BookText"/>
      </w:pPr>
      <w:r>
        <w:rPr>
          <w:rFonts w:ascii="IRNazanin" w:hAnsi="IRNazanin" w:eastAsia="IRNazanin" w:cs="IRNazanin"/>
          <w:lang w:bidi="fa-IR"/>
          <w:color w:val="111111"/>
          <w:sz w:val="28"/>
          <w:szCs w:val="28"/>
          <w:rtl/>
        </w:rPr>
        <w:t xml:space="preserve">۱۴۴. تهران، فرمانفرمائیان، حافظ (دکتر)؛ شماره نسخه:بدون شماره</w:t>
      </w:r>
    </w:p>
    <w:p>
      <w:pPr>
        <w:pStyle w:val="BookText"/>
      </w:pPr>
      <w:r>
        <w:rPr>
          <w:rFonts w:ascii="IRNazanin" w:hAnsi="IRNazanin" w:eastAsia="IRNazanin" w:cs="IRNazanin"/>
          <w:lang w:bidi="fa-IR"/>
          <w:color w:val="111111"/>
          <w:sz w:val="28"/>
          <w:szCs w:val="28"/>
          <w:rtl/>
        </w:rPr>
        <w:t xml:space="preserve">خط: نسخ، كان محمد رضا بن ملا رجب، تا: ربيع الثانی ۱۲۷۲ق؛ جلد: تیماج حنایی، قطع: رحلی [نشریه: ۷-۵۴۴]</w:t>
      </w:r>
    </w:p>
    <w:p>
      <w:pPr>
        <w:pStyle w:val="BookText"/>
      </w:pPr>
      <w:r>
        <w:rPr>
          <w:rFonts w:ascii="IRNazanin" w:hAnsi="IRNazanin" w:eastAsia="IRNazanin" w:cs="IRNazanin"/>
          <w:lang w:bidi="fa-IR"/>
          <w:color w:val="111111"/>
          <w:sz w:val="28"/>
          <w:szCs w:val="28"/>
          <w:rtl/>
        </w:rPr>
        <w:t xml:space="preserve">۱۴۵. تهران: ملی؛ شماره نسخه:۱۷۷۵</w:t>
      </w:r>
    </w:p>
    <w:p>
      <w:pPr>
        <w:pStyle w:val="BookText"/>
      </w:pPr>
      <w:r>
        <w:rPr>
          <w:rFonts w:ascii="IRNazanin" w:hAnsi="IRNazanin" w:eastAsia="IRNazanin" w:cs="IRNazanin"/>
          <w:lang w:bidi="fa-IR"/>
          <w:color w:val="111111"/>
          <w:sz w:val="28"/>
          <w:szCs w:val="28"/>
          <w:rtl/>
        </w:rPr>
        <w:t xml:space="preserve">آغاز: برابر ۱؛ انجام: برابر۳</w:t>
      </w:r>
    </w:p>
    <w:p>
      <w:pPr>
        <w:pStyle w:val="BookText"/>
      </w:pPr>
      <w:r>
        <w:rPr>
          <w:rFonts w:ascii="IRNazanin" w:hAnsi="IRNazanin" w:eastAsia="IRNazanin" w:cs="IRNazanin"/>
          <w:lang w:bidi="fa-IR"/>
          <w:color w:val="111111"/>
          <w:sz w:val="28"/>
          <w:szCs w:val="28"/>
          <w:rtl/>
        </w:rPr>
        <w:t xml:space="preserve">خط: نستعلیق، بی کا، تا: ۱۲۷۴ق؛ مهر: ناصرالدین شاه، کاغذ: فرنگی، جلد: بوم سیاه، ترنج و نیم ترنج و گل و بوته دار، ۳۲۳گ، ۱۹ سطر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۴-۲۳۲]
</w:t>
      </w:r>
    </w:p>
    <w:p>
      <w:pPr>
        <w:sectPr>
          <w:footerReference w:type="default" r:id="rId9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۱۴۶. رشت؛ جمعیت نشر فرهنگ؛ شماره نسخه:۶۰۵ت</w:t>
      </w:r>
    </w:p>
    <w:p>
      <w:pPr>
        <w:pStyle w:val="BookText"/>
      </w:pPr>
      <w:r>
        <w:rPr>
          <w:rFonts w:ascii="IRNazanin" w:hAnsi="IRNazanin" w:eastAsia="IRNazanin" w:cs="IRNazanin"/>
          <w:lang w:bidi="fa-IR"/>
          <w:color w:val="111111"/>
          <w:sz w:val="28"/>
          <w:szCs w:val="28"/>
          <w:rtl/>
        </w:rPr>
        <w:t xml:space="preserve">جلد سوم؛ خط: نسخ و نستعلیق، بی کا، تا: ۵ ذیحجه ۱۲۷۷ق؛ جلد: چرمی، ۴۳۶، ۱۹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 رشت و همدان: ف: ۱۰۹۷]</w:t>
      </w:r>
    </w:p>
    <w:p>
      <w:pPr>
        <w:pStyle w:val="BookText"/>
      </w:pPr>
      <w:r>
        <w:rPr>
          <w:rFonts w:ascii="IRNazanin" w:hAnsi="IRNazanin" w:eastAsia="IRNazanin" w:cs="IRNazanin"/>
          <w:lang w:bidi="fa-IR"/>
          <w:color w:val="111111"/>
          <w:sz w:val="28"/>
          <w:szCs w:val="28"/>
          <w:rtl/>
        </w:rPr>
        <w:t xml:space="preserve">۱۴۷. اراک؛ دهگان؛ شماره نسخه: ۹۱</w:t>
      </w:r>
    </w:p>
    <w:p>
      <w:pPr>
        <w:pStyle w:val="BookText"/>
      </w:pPr>
      <w:r>
        <w:rPr>
          <w:rFonts w:ascii="IRNazanin" w:hAnsi="IRNazanin" w:eastAsia="IRNazanin" w:cs="IRNazanin"/>
          <w:lang w:bidi="fa-IR"/>
          <w:color w:val="111111"/>
          <w:sz w:val="28"/>
          <w:szCs w:val="28"/>
          <w:rtl/>
        </w:rPr>
        <w:t xml:space="preserve">از آغاز لشکر کشی چنگیز خان و آخرین مبحث آن پادشاهی ارغون است؛ خط: نستعلیق، بی کا، تا: ۱۲۸۰ق؛ مصحح، محشی با نشان «۱۲» «شاهد» «شاه جهان»؛ تملک: ابراهیم دهگان؛ کاغذ: شیری، آهار مهره، جلد: تیماج مشکی با ترنج، ۱۳۸ گ، ۱۸ سطر،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۱-۱۰۵]</w:t>
      </w:r>
    </w:p>
    <w:p>
      <w:pPr>
        <w:pStyle w:val="BookText"/>
      </w:pPr>
      <w:r>
        <w:rPr>
          <w:rFonts w:ascii="IRNazanin" w:hAnsi="IRNazanin" w:eastAsia="IRNazanin" w:cs="IRNazanin"/>
          <w:lang w:bidi="fa-IR"/>
          <w:color w:val="111111"/>
          <w:sz w:val="28"/>
          <w:szCs w:val="28"/>
          <w:rtl/>
        </w:rPr>
        <w:t xml:space="preserve">۱۴۸. تهران؛ ملی؛ شماره نسخه:۶۸۶۹</w:t>
      </w:r>
    </w:p>
    <w:p>
      <w:pPr>
        <w:pStyle w:val="BookText"/>
      </w:pPr>
      <w:r>
        <w:rPr>
          <w:rFonts w:ascii="IRNazanin" w:hAnsi="IRNazanin" w:eastAsia="IRNazanin" w:cs="IRNazanin"/>
          <w:lang w:bidi="fa-IR"/>
          <w:color w:val="111111"/>
          <w:sz w:val="28"/>
          <w:szCs w:val="28"/>
          <w:rtl/>
        </w:rPr>
        <w:t xml:space="preserve">آغاز: هو الله مشهور است که هارون الرشید روزی با ملکه مملکت و عقیله دولت خود یعنی زبیده بملاعبت شطرنج دفع ملالی و تطيب حالی می کرد؛ انجام: و حسرت و صجرت از عقب نوازل قضا و قدر مثل لمع السراب للصاری بی فایده و ربح جلد اول و صاف ضبط است.</w:t>
      </w:r>
    </w:p>
    <w:p>
      <w:pPr>
        <w:pStyle w:val="BookText"/>
      </w:pPr>
      <w:r>
        <w:rPr>
          <w:rFonts w:ascii="IRNazanin" w:hAnsi="IRNazanin" w:eastAsia="IRNazanin" w:cs="IRNazanin"/>
          <w:lang w:bidi="fa-IR"/>
          <w:color w:val="111111"/>
          <w:sz w:val="28"/>
          <w:szCs w:val="28"/>
          <w:rtl/>
        </w:rPr>
        <w:t xml:space="preserve">خلاصه کننده: غلامحسین قاجار ملقب به صدر الشعراء. تنها قسمت اندکی از جلد اول تاریخ وصاف است که در مورد ماجرای ازدواج هارون الرشید با یکی از کنیزانش و به دنیا آمدن مامون از این ازدواج و چگونگی تقرب وی نزد هارون و ... می باشد؛ خط: نستعلیق خوش، کا: غلامحسین قاجار ملقب به صدر الشعراء، تا: ۱۲۸۳ق، جا: دارالخلافه طهران؛ یادداشت اهدایی: «این نسخه را در دارالخلافه طهران در سنه یکهزار و دویست و هشتاد و سه ۱۲۸۳ جهة پیشکش حضور نواب مستطاب اشرف امجد والا مرحوم مغفور شاهزاده رضوان آرامگاه شعاع السلطنه اعلى الله مقامه و رفع الله درجاته حقير المذنب الراجی غلامحسین قاجار ملقب به صدرالشعراء نوشته که با توجه به زنده بودن شعاع السلطنه در تاریخ فوق، این یادداشت، یادداشتی اهانت آمیز به نظر می رسد، در غیر این صورت ممکن است خطای کتابتی بوده یا کلمه ای جا افتاده باشد؛ اهداء آن به ملک منصور میرزا ملقب به شعاع السلطنه یکی از برادران ناتنی ایرج میرزا؛ کاغذ: فرنگی نخودی، جلد: تیماج اناری، ۱۰گ، ۷ سطر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 اندازه: ۱۰/۸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(رایانه ]</w:t>
      </w:r>
    </w:p>
    <w:p>
      <w:pPr>
        <w:pStyle w:val="BookText"/>
      </w:pPr>
      <w:r>
        <w:rPr>
          <w:rFonts w:ascii="IRNazanin" w:hAnsi="IRNazanin" w:eastAsia="IRNazanin" w:cs="IRNazanin"/>
          <w:lang w:bidi="fa-IR"/>
          <w:color w:val="111111"/>
          <w:sz w:val="28"/>
          <w:szCs w:val="28"/>
          <w:rtl/>
        </w:rPr>
        <w:t xml:space="preserve">۱۴۹. تهران؛ لغت نامه دهخدا، شماره نسخه:۱۸۴</w:t>
      </w:r>
    </w:p>
    <w:p>
      <w:pPr>
        <w:pStyle w:val="BookText"/>
      </w:pPr>
      <w:r>
        <w:rPr>
          <w:rFonts w:ascii="IRNazanin" w:hAnsi="IRNazanin" w:eastAsia="IRNazanin" w:cs="IRNazanin"/>
          <w:lang w:bidi="fa-IR"/>
          <w:color w:val="111111"/>
          <w:sz w:val="28"/>
          <w:szCs w:val="28"/>
          <w:rtl/>
        </w:rPr>
        <w:t xml:space="preserve">خط: نسخ، كا: آقا باب پسر ملامحمد مهدی شاه میرزایی، تا: شنبه رجب ۱۲۹۰ق؛ با فرهنگ لغت های نادر؛ جلد: تیماج سبز تیره، قطع: رحلي [نشریه: ۳-۷]</w:t>
      </w:r>
    </w:p>
    <w:p>
      <w:pPr>
        <w:pStyle w:val="BookText"/>
      </w:pPr>
      <w:r>
        <w:rPr>
          <w:rFonts w:ascii="IRNazanin" w:hAnsi="IRNazanin" w:eastAsia="IRNazanin" w:cs="IRNazanin"/>
          <w:lang w:bidi="fa-IR"/>
          <w:color w:val="111111"/>
          <w:sz w:val="28"/>
          <w:szCs w:val="28"/>
          <w:rtl/>
        </w:rPr>
        <w:t xml:space="preserve">۱۵۰. تهران؛ ملک؛ شماره نسخه:۳۹۵۰</w:t>
      </w:r>
    </w:p>
    <w:p>
      <w:pPr>
        <w:pStyle w:val="BookText"/>
      </w:pPr>
      <w:r>
        <w:rPr>
          <w:rFonts w:ascii="IRNazanin" w:hAnsi="IRNazanin" w:eastAsia="IRNazanin" w:cs="IRNazanin"/>
          <w:lang w:bidi="fa-IR"/>
          <w:color w:val="111111"/>
          <w:sz w:val="28"/>
          <w:szCs w:val="28"/>
          <w:rtl/>
        </w:rPr>
        <w:t xml:space="preserve">جلد اول؛ خط: نسخ، كا: رضا بن لهوردی، تا: ۱۹ شوال ۱۲۹۸ق؛ کاغذ: فستقی، ، جلد: میشن لایی سیاه، ۱۰۹گ، ۲۰ سطر، اندازه: ۲۷/۴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۱۸/۲ سم [ف: ۲-۹۹]</w:t>
      </w:r>
    </w:p>
    <w:p>
      <w:pPr>
        <w:pStyle w:val="BookText"/>
      </w:pPr>
      <w:r>
        <w:rPr>
          <w:rFonts w:ascii="IRNazanin" w:hAnsi="IRNazanin" w:eastAsia="IRNazanin" w:cs="IRNazanin"/>
          <w:lang w:bidi="fa-IR"/>
          <w:color w:val="111111"/>
          <w:sz w:val="28"/>
          <w:szCs w:val="28"/>
          <w:rtl/>
        </w:rPr>
        <w:t xml:space="preserve">۱۵۱. تهران؛ ملی؛ شماره نسخه:۲۴۷۵</w:t>
      </w:r>
    </w:p>
    <w:p>
      <w:pPr>
        <w:pStyle w:val="BookText"/>
      </w:pPr>
      <w:r>
        <w:rPr>
          <w:rFonts w:ascii="IRNazanin" w:hAnsi="IRNazanin" w:eastAsia="IRNazanin" w:cs="IRNazanin"/>
          <w:lang w:bidi="fa-IR"/>
          <w:color w:val="111111"/>
          <w:sz w:val="28"/>
          <w:szCs w:val="28"/>
          <w:rtl/>
        </w:rPr>
        <w:t xml:space="preserve">آغاز: برابر ۱؛ انجام: برابر ۳</w:t>
      </w:r>
    </w:p>
    <w:p>
      <w:pPr>
        <w:pStyle w:val="BookText"/>
      </w:pPr>
      <w:r>
        <w:rPr>
          <w:rFonts w:ascii="IRNazanin" w:hAnsi="IRNazanin" w:eastAsia="IRNazanin" w:cs="IRNazanin"/>
          <w:lang w:bidi="fa-IR"/>
          <w:color w:val="111111"/>
          <w:sz w:val="28"/>
          <w:szCs w:val="28"/>
          <w:rtl/>
        </w:rPr>
        <w:t xml:space="preserve">جلد اول تا جلد سوم؛ خط: نسخ، بی کا، تا: ۱۳۴۴ق؛ با سرلوح مذهب، مجدول؛ کاغذ: فرنگی، جلد: روغنی، بوم مشکی با گل و بوته زر و شنجرف و لاجورد و سبز، ۳۴۶گ، ۲۰ سطر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 )،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۵-۶۴۹]</w:t>
      </w:r>
    </w:p>
    <w:p>
      <w:pPr>
        <w:pStyle w:val="BookText"/>
      </w:pPr>
      <w:r>
        <w:rPr>
          <w:rFonts w:ascii="IRNazanin" w:hAnsi="IRNazanin" w:eastAsia="IRNazanin" w:cs="IRNazanin"/>
          <w:lang w:bidi="fa-IR"/>
          <w:color w:val="111111"/>
          <w:sz w:val="28"/>
          <w:szCs w:val="28"/>
          <w:rtl/>
        </w:rPr>
        <w:t xml:space="preserve">۱۵۲. تهران؛ ملی؛ شماره نسخه:۲۰۰۵۳</w:t>
      </w:r>
    </w:p>
    <w:p>
      <w:pPr>
        <w:pStyle w:val="BookText"/>
      </w:pPr>
      <w:r>
        <w:rPr>
          <w:rFonts w:ascii="IRNazanin" w:hAnsi="IRNazanin" w:eastAsia="IRNazanin" w:cs="IRNazanin"/>
          <w:lang w:bidi="fa-IR"/>
          <w:color w:val="111111"/>
          <w:sz w:val="28"/>
          <w:szCs w:val="28"/>
          <w:rtl/>
        </w:rPr>
        <w:t xml:space="preserve">بی کا، بی تا، خریداری از مهر دخت همایی [ رایانه ]</w:t>
      </w:r>
    </w:p>
    <w:p>
      <w:pPr>
        <w:pStyle w:val="BookText"/>
      </w:pPr>
      <w:r>
        <w:rPr>
          <w:rFonts w:ascii="IRNazanin" w:hAnsi="IRNazanin" w:eastAsia="IRNazanin" w:cs="IRNazanin"/>
          <w:lang w:bidi="fa-IR"/>
          <w:color w:val="111111"/>
          <w:sz w:val="28"/>
          <w:szCs w:val="28"/>
          <w:rtl/>
        </w:rPr>
        <w:t xml:space="preserve">۱۵۳. تهران؛ دانشگاه؛ شماره نسخه:۵۱۲۷</w:t>
      </w:r>
    </w:p>
    <w:p>
      <w:pPr>
        <w:pStyle w:val="BookText"/>
      </w:pPr>
      <w:r>
        <w:rPr>
          <w:rFonts w:ascii="IRNazanin" w:hAnsi="IRNazanin" w:eastAsia="IRNazanin" w:cs="IRNazanin"/>
          <w:lang w:bidi="fa-IR"/>
          <w:color w:val="111111"/>
          <w:sz w:val="28"/>
          <w:szCs w:val="28"/>
          <w:rtl/>
        </w:rPr>
        <w:t xml:space="preserve">خط: نسخ، بی کا، تا: رجب ۱۲۲۹ (جلد ۱ و ۲)، شعبان ۱۲۲۹ (جلد ۲، ج ۳ و ۴ و ۵)؛ با چهار سرلوح زیبا؛ کاغذ: فرنگی، جلد: تیماج سرخ، ۵۳۱گ، ۱۹ سطر (۱۱/۱۵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۲۸/۵سم [ف: ۱۵-۴۱۲۰]</w:t>
      </w:r>
    </w:p>
    <w:p>
      <w:pPr>
        <w:pStyle w:val="BookText"/>
      </w:pPr>
      <w:r>
        <w:rPr>
          <w:rFonts w:ascii="IRNazanin" w:hAnsi="IRNazanin" w:eastAsia="IRNazanin" w:cs="IRNazanin"/>
          <w:lang w:bidi="fa-IR"/>
          <w:color w:val="111111"/>
          <w:sz w:val="28"/>
          <w:szCs w:val="28"/>
          <w:rtl/>
        </w:rPr>
        <w:t xml:space="preserve">۱۵۴. تهران؛ ملی؛ شماره نسخه:۱۷۴۸۵</w:t>
      </w:r>
    </w:p>
    <w:p>
      <w:pPr>
        <w:pStyle w:val="BookText"/>
      </w:pPr>
      <w:r>
        <w:rPr>
          <w:rFonts w:ascii="IRNazanin" w:hAnsi="IRNazanin" w:eastAsia="IRNazanin" w:cs="IRNazanin"/>
          <w:lang w:bidi="fa-IR"/>
          <w:color w:val="111111"/>
          <w:sz w:val="28"/>
          <w:szCs w:val="28"/>
          <w:rtl/>
        </w:rPr>
        <w:t xml:space="preserve">بی کا، بی تا، خریداری از مصطفی حسینی؛ اندازه:</w:t>
      </w:r>
    </w:p>
    <w:p>
      <w:pPr>
        <w:pStyle w:val="BookText"/>
      </w:pPr>
      <w:r>
        <w:rPr>
          <w:rFonts w:ascii="IRNazanin" w:hAnsi="IRNazanin" w:eastAsia="IRNazanin" w:cs="IRNazanin"/>
          <w:lang w:bidi="fa-IR"/>
          <w:color w:val="111111"/>
          <w:sz w:val="28"/>
          <w:szCs w:val="28"/>
          <w:rtl/>
        </w:rPr>
        <w:t xml:space="preserve">۳۰/۶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[رایانه ]</w:t>
      </w:r>
    </w:p>
    <w:p>
      <w:pPr>
        <w:pStyle w:val="BookText"/>
      </w:pPr>
      <w:r>
        <w:rPr>
          <w:rFonts w:ascii="IRNazanin" w:hAnsi="IRNazanin" w:eastAsia="IRNazanin" w:cs="IRNazanin"/>
          <w:lang w:bidi="fa-IR"/>
          <w:color w:val="111111"/>
          <w:sz w:val="28"/>
          <w:szCs w:val="28"/>
          <w:rtl/>
        </w:rPr>
        <w:t xml:space="preserve">۱۵۵. تهران؛ ملی؛ شماره نسخه:۱۷۹۲۳</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۱۸۳گ، اندازه: ۳۳/۸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۱۹/۶</w:t>
      </w:r>
    </w:p>
    <w:p>
      <w:pPr>
        <w:pStyle w:val="BookText"/>
      </w:pPr>
      <w:r>
        <w:rPr>
          <w:rFonts w:ascii="IRNazanin" w:hAnsi="IRNazanin" w:eastAsia="IRNazanin" w:cs="IRNazanin"/>
          <w:lang w:bidi="fa-IR"/>
          <w:color w:val="111111"/>
          <w:sz w:val="28"/>
          <w:szCs w:val="28"/>
          <w:rtl/>
        </w:rPr>
        <w:t xml:space="preserve">سم [رایانه]</w:t>
      </w:r>
    </w:p>
    <w:p>
      <w:pPr>
        <w:pStyle w:val="BookText"/>
      </w:pPr>
      <w:r>
        <w:rPr>
          <w:rFonts w:ascii="IRNazanin" w:hAnsi="IRNazanin" w:eastAsia="IRNazanin" w:cs="IRNazanin"/>
          <w:lang w:bidi="fa-IR"/>
          <w:color w:val="111111"/>
          <w:sz w:val="28"/>
          <w:szCs w:val="28"/>
          <w:rtl/>
        </w:rPr>
        <w:t xml:space="preserve">۱۵۶. قم، گلپایگانی؛ شماره نسخه:۷۰۲۸- ۳۶/۲۸</w:t>
      </w:r>
    </w:p>
    <w:p>
      <w:pPr>
        <w:pStyle w:val="BookText"/>
      </w:pPr>
      <w:r>
        <w:rPr>
          <w:rFonts w:ascii="IRNazanin" w:hAnsi="IRNazanin" w:eastAsia="IRNazanin" w:cs="IRNazanin"/>
          <w:lang w:bidi="fa-IR"/>
          <w:color w:val="111111"/>
          <w:sz w:val="28"/>
          <w:szCs w:val="28"/>
          <w:rtl/>
        </w:rPr>
        <w:t xml:space="preserve">آغاز: برابر ۱؛ انجام: برابر۵</w:t>
      </w:r>
    </w:p>
    <w:p>
      <w:pPr>
        <w:pStyle w:val="BookText"/>
      </w:pPr>
      <w:r>
        <w:rPr>
          <w:rFonts w:ascii="IRNazanin" w:hAnsi="IRNazanin" w:eastAsia="IRNazanin" w:cs="IRNazanin"/>
          <w:lang w:bidi="fa-IR"/>
          <w:color w:val="111111"/>
          <w:sz w:val="28"/>
          <w:szCs w:val="28"/>
          <w:rtl/>
        </w:rPr>
        <w:t xml:space="preserve">جلد اول تا پنجم؛ خط: نستعلیق، عبارات عربی نسخ، بی کا، بی تا؛ مصحح: جلد: تیماج مشکی روغنی، مجدول زرین، ۵۰۵گ، ۱۹ سطر،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۲-۷۲۱]</w:t>
      </w:r>
    </w:p>
    <w:p>
      <w:pPr>
        <w:pStyle w:val="BookText"/>
      </w:pPr>
      <w:r>
        <w:rPr>
          <w:rFonts w:ascii="IRNazanin" w:hAnsi="IRNazanin" w:eastAsia="IRNazanin" w:cs="IRNazanin"/>
          <w:lang w:bidi="fa-IR"/>
          <w:color w:val="111111"/>
          <w:sz w:val="28"/>
          <w:szCs w:val="28"/>
          <w:rtl/>
        </w:rPr>
        <w:t xml:space="preserve">۱۵۷. قم؛ گلپایگانی؛ شماره نسخه:۲۰۶- ۲/۲۶</w:t>
      </w:r>
    </w:p>
    <w:p>
      <w:pPr>
        <w:pStyle w:val="BookText"/>
      </w:pPr>
      <w:r>
        <w:rPr>
          <w:rFonts w:ascii="IRNazanin" w:hAnsi="IRNazanin" w:eastAsia="IRNazanin" w:cs="IRNazanin"/>
          <w:lang w:bidi="fa-IR"/>
          <w:color w:val="111111"/>
          <w:sz w:val="28"/>
          <w:szCs w:val="28"/>
          <w:rtl/>
        </w:rPr>
        <w:t xml:space="preserve">آغاز: برابر ۴: انجام: یا زوج زوج همچون چهار که اول عدد مجذور است یا زوج فرد. جلد چهارم به ضمیمه دیباچه جلد پنجم؛ خط: نسخ، بی کا، بی تاب در برگ اول اشعاری در مدح امام علی(عليه السلام)به تاریخ ۱۲۱۹ با خط شکسته نستعلیق از علی اصغر بن حاجی میرزا محمد همدانی؛ جلد: تیماج سرخ، ۱۷۳گ، ۲۳ سطر، اندازه: ۱۶/۵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۲۷/۵سم [ف: ۷۲۱-۲ ]</w:t>
      </w:r>
    </w:p>
    <w:p>
      <w:pPr>
        <w:pStyle w:val="BookText"/>
      </w:pPr>
      <w:r>
        <w:rPr>
          <w:rFonts w:ascii="IRNazanin" w:hAnsi="IRNazanin" w:eastAsia="IRNazanin" w:cs="IRNazanin"/>
          <w:lang w:bidi="fa-IR"/>
          <w:color w:val="111111"/>
          <w:sz w:val="28"/>
          <w:szCs w:val="28"/>
          <w:rtl/>
        </w:rPr>
        <w:t xml:space="preserve">۱۵۸. قم؛ مرعشی؛ شماره نسخه:۲۹۸۶</w:t>
      </w:r>
    </w:p>
    <w:p>
      <w:pPr>
        <w:pStyle w:val="BookText"/>
      </w:pPr>
      <w:r>
        <w:rPr>
          <w:rFonts w:ascii="IRNazanin" w:hAnsi="IRNazanin" w:eastAsia="IRNazanin" w:cs="IRNazanin"/>
          <w:lang w:bidi="fa-IR"/>
          <w:color w:val="111111"/>
          <w:sz w:val="28"/>
          <w:szCs w:val="28"/>
          <w:rtl/>
        </w:rPr>
        <w:t xml:space="preserve">آغاز: برابر ۱؛ انجام: چون روز گار کس ندهد پند آدمی *** خواهی که پند گیری و از روزگار گیر در فهرست با عنوان «تاریخ سبکتکین» و از عبدالله بن فضل الله دانسته که مجلدی از همین کتاب است؛ خط: نستعلیق، بی کا، بی تا؛ مصحح، محشی؛ جلد: مقوایی عطف تیماج مشکی، ۱۱۹، ۱۹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۲۸/۵سم [ف: ۸-۱۶۱]</w:t>
      </w:r>
    </w:p>
    <w:p>
      <w:pPr>
        <w:pStyle w:val="BookText"/>
      </w:pPr>
      <w:r>
        <w:rPr>
          <w:rFonts w:ascii="IRNazanin" w:hAnsi="IRNazanin" w:eastAsia="IRNazanin" w:cs="IRNazanin"/>
          <w:lang w:bidi="fa-IR"/>
          <w:color w:val="111111"/>
          <w:sz w:val="28"/>
          <w:szCs w:val="28"/>
          <w:rtl/>
        </w:rPr>
        <w:t xml:space="preserve">۱۵۹. مشهد؛ رضوی؛ شماره نسخه:۱۰۳۹۰</w:t>
      </w:r>
    </w:p>
    <w:p>
      <w:pPr>
        <w:pStyle w:val="BookText"/>
      </w:pPr>
      <w:r>
        <w:rPr>
          <w:rFonts w:ascii="IRNazanin" w:hAnsi="IRNazanin" w:eastAsia="IRNazanin" w:cs="IRNazanin"/>
          <w:lang w:bidi="fa-IR"/>
          <w:color w:val="111111"/>
          <w:sz w:val="28"/>
          <w:szCs w:val="28"/>
          <w:rtl/>
        </w:rPr>
        <w:t xml:space="preserve">آغاز: برابر؛ انجام: سخن اردشیر بابکست که از جمله ملوک اربعه بر تمامت معموره زمین حکم کرده لا استعمل لمن عصا حيثما يكفي</w:t>
      </w:r>
    </w:p>
    <w:p>
      <w:pPr>
        <w:pStyle w:val="BookText"/>
      </w:pPr>
      <w:r>
        <w:rPr>
          <w:rFonts w:ascii="IRNazanin" w:hAnsi="IRNazanin" w:eastAsia="IRNazanin" w:cs="IRNazanin"/>
          <w:lang w:bidi="fa-IR"/>
          <w:color w:val="111111"/>
          <w:sz w:val="28"/>
          <w:szCs w:val="28"/>
          <w:rtl/>
        </w:rPr>
        <w:t xml:space="preserve">خلاصه یی از تاریخ مزبور است؛ خط: نستعلیق، بی کا، بی تا؛ افتادگی: انجام؛ کاغذ: شکری آهار مهره، جلد: تیماج زرشکی،
</w:t>
      </w:r>
    </w:p>
    <w:p>
      <w:pPr>
        <w:sectPr>
          <w:footerReference w:type="default" r:id="rId987"/>
          <w:footnotePr>
            <w:numStart w:val="1"/>
            <w:numRestart w:val="eachPage"/>
          </w:footnotePr>
          <w:pgSz w:orient="portrait" w:w="11905.511811023622" w:h="16837.79527559055"/>
          <w:pgMar w:top="1440" w:right="1440" w:bottom="1440" w:left="1440" w:header="720" w:footer="720" w:gutter="0"/>
          <w:cols w:num="1" w:space="720"/>
        </w:sectPr>
      </w:pPr>
    </w:p>
    <w:bookmarkStart w:id="732" w:name="pg20363_210105"/>
    <w:bookmarkEnd w:id="732"/>
    <w:p>
      <w:pPr>
        <w:pStyle w:val="BookText"/>
      </w:pPr>
      <w:r>
        <w:rPr>
          <w:rFonts w:ascii="IRNazanin" w:hAnsi="IRNazanin" w:eastAsia="IRNazanin" w:cs="IRNazanin"/>
          <w:lang w:bidi="fa-IR"/>
          <w:color w:val="111111"/>
          <w:sz w:val="28"/>
          <w:szCs w:val="28"/>
          <w:rtl/>
        </w:rPr>
        <w:t xml:space="preserve">۵۴گ، ۱۵ سطر، اندازه: ۱۵/۵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۲۴/۵سم [ف: ۹- ۲۲]</w:t>
      </w:r>
    </w:p>
    <w:p>
      <w:pPr>
        <w:pStyle w:val="BookText"/>
      </w:pPr>
      <w:r>
        <w:rPr>
          <w:rFonts w:ascii="IRNazanin" w:hAnsi="IRNazanin" w:eastAsia="IRNazanin" w:cs="IRNazanin"/>
          <w:lang w:bidi="fa-IR"/>
          <w:color w:val="111111"/>
          <w:sz w:val="28"/>
          <w:szCs w:val="28"/>
          <w:rtl/>
        </w:rPr>
        <w:t xml:space="preserve">۱۶۰. قم؛ مسجد اعظم؛ شماره نسخه: ۱۶۵۱</w:t>
      </w:r>
    </w:p>
    <w:p>
      <w:pPr>
        <w:pStyle w:val="BookText"/>
      </w:pPr>
      <w:r>
        <w:rPr>
          <w:rFonts w:ascii="IRNazanin" w:hAnsi="IRNazanin" w:eastAsia="IRNazanin" w:cs="IRNazanin"/>
          <w:lang w:bidi="fa-IR"/>
          <w:color w:val="111111"/>
          <w:sz w:val="28"/>
          <w:szCs w:val="28"/>
          <w:rtl/>
        </w:rPr>
        <w:t xml:space="preserve">آغاز: برابر ۱؛ انجام: آن امانت که آیه أنا عرضنا الأمانة على السموات و الارض بیان آن می کند شدیم اکنون پیچیده کار می باید بود خط: نستعلیق، بی کا، بی تا، افتادگی: انجام؛ جلد: تیماج سیاه، ۱۴۳گ، ۱۹ سطر، اندازه: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مخ: ۱-۳۲۴]</w:t>
      </w:r>
    </w:p>
    <w:p>
      <w:pPr>
        <w:pStyle w:val="BookText"/>
      </w:pPr>
      <w:r>
        <w:rPr>
          <w:rFonts w:ascii="IRNazanin" w:hAnsi="IRNazanin" w:eastAsia="IRNazanin" w:cs="IRNazanin"/>
          <w:lang w:bidi="fa-IR"/>
          <w:color w:val="111111"/>
          <w:sz w:val="28"/>
          <w:szCs w:val="28"/>
          <w:rtl/>
        </w:rPr>
        <w:t xml:space="preserve">۱۶۱. قم؛ مسجد اعظم؛ شماره نسخه: ۳۶۷۸/۲</w:t>
      </w:r>
    </w:p>
    <w:p>
      <w:pPr>
        <w:pStyle w:val="BookText"/>
      </w:pPr>
      <w:r>
        <w:rPr>
          <w:rFonts w:ascii="IRNazanin" w:hAnsi="IRNazanin" w:eastAsia="IRNazanin" w:cs="IRNazanin"/>
          <w:lang w:bidi="fa-IR"/>
          <w:color w:val="111111"/>
          <w:sz w:val="28"/>
          <w:szCs w:val="28"/>
          <w:rtl/>
        </w:rPr>
        <w:t xml:space="preserve">آغاز: برابر ۵؛ انجام: مصراع برب الورى والثرى والبری دوازدهم حسن بیان اول معنی بیان بیان کنم از راه لغت بیان یا مصدری باشد از بیتین یا اسمی باشد از بین همچون نبات از بنت و کلام</w:t>
      </w:r>
    </w:p>
    <w:p>
      <w:pPr>
        <w:pStyle w:val="BookText"/>
      </w:pPr>
      <w:r>
        <w:rPr>
          <w:rFonts w:ascii="IRNazanin" w:hAnsi="IRNazanin" w:eastAsia="IRNazanin" w:cs="IRNazanin"/>
          <w:lang w:bidi="fa-IR"/>
          <w:color w:val="111111"/>
          <w:sz w:val="28"/>
          <w:szCs w:val="28"/>
          <w:rtl/>
        </w:rPr>
        <w:t xml:space="preserve">جلد پنجم؛ خط: نستعلیق، بی کا، بی تا؛ افتادگی: انجام؛ جلد: مقوا، عطف تیماج قهوهای، ۴۳گ، ۱۹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مخ: ۳۲۴-۱ ]</w:t>
      </w:r>
    </w:p>
    <w:p>
      <w:pPr>
        <w:pStyle w:val="BookText"/>
      </w:pPr>
      <w:r>
        <w:rPr>
          <w:rFonts w:ascii="IRNazanin" w:hAnsi="IRNazanin" w:eastAsia="IRNazanin" w:cs="IRNazanin"/>
          <w:lang w:bidi="fa-IR"/>
          <w:color w:val="111111"/>
          <w:sz w:val="28"/>
          <w:szCs w:val="28"/>
          <w:rtl/>
        </w:rPr>
        <w:t xml:space="preserve">۱۶۲. مشهد؛ رضوی؛ شماره نسخه: ۱۲۴۶۲</w:t>
      </w:r>
    </w:p>
    <w:p>
      <w:pPr>
        <w:pStyle w:val="BookText"/>
      </w:pPr>
      <w:r>
        <w:rPr>
          <w:rFonts w:ascii="IRNazanin" w:hAnsi="IRNazanin" w:eastAsia="IRNazanin" w:cs="IRNazanin"/>
          <w:lang w:bidi="fa-IR"/>
          <w:color w:val="111111"/>
          <w:sz w:val="28"/>
          <w:szCs w:val="28"/>
          <w:rtl/>
        </w:rPr>
        <w:t xml:space="preserve">آغاز: برابر ۱؛ انجام: در آن دیار به محافظت اطراف</w:t>
      </w:r>
    </w:p>
    <w:p>
      <w:pPr>
        <w:pStyle w:val="BookText"/>
      </w:pPr>
      <w:r>
        <w:rPr>
          <w:rFonts w:ascii="IRNazanin" w:hAnsi="IRNazanin" w:eastAsia="IRNazanin" w:cs="IRNazanin"/>
          <w:lang w:bidi="fa-IR"/>
          <w:color w:val="111111"/>
          <w:sz w:val="28"/>
          <w:szCs w:val="28"/>
          <w:rtl/>
        </w:rPr>
        <w:t xml:space="preserve">خط: نسخ، بی کا، بی تا، کاغذ: شکری، جلد: تیماج، ۲۵ سطر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[الفبائی: ۱۰۴]</w:t>
      </w:r>
    </w:p>
    <w:p>
      <w:pPr>
        <w:pStyle w:val="BookText"/>
      </w:pPr>
      <w:r>
        <w:rPr>
          <w:rFonts w:ascii="IRNazanin" w:hAnsi="IRNazanin" w:eastAsia="IRNazanin" w:cs="IRNazanin"/>
          <w:lang w:bidi="fa-IR"/>
          <w:color w:val="111111"/>
          <w:sz w:val="28"/>
          <w:szCs w:val="28"/>
          <w:rtl/>
        </w:rPr>
        <w:t xml:space="preserve">۱۶۳. مشهد؛ رضوی؛ شماره نسخه: ۱۴۲۷۱</w:t>
      </w:r>
    </w:p>
    <w:p>
      <w:pPr>
        <w:pStyle w:val="BookText"/>
      </w:pPr>
      <w:r>
        <w:rPr>
          <w:rFonts w:ascii="IRNazanin" w:hAnsi="IRNazanin" w:eastAsia="IRNazanin" w:cs="IRNazanin"/>
          <w:lang w:bidi="fa-IR"/>
          <w:color w:val="111111"/>
          <w:sz w:val="28"/>
          <w:szCs w:val="28"/>
          <w:rtl/>
        </w:rPr>
        <w:t xml:space="preserve">آغاز: پس از دو برگ متفرقه و زار می سرائید با هر که در آمیختم از من ببرید؛ انجام خواهی که پند گیری از روزگار گیر ... سید على الحسینی البروجردی</w:t>
      </w:r>
    </w:p>
    <w:p>
      <w:pPr>
        <w:pStyle w:val="BookText"/>
      </w:pPr>
      <w:r>
        <w:rPr>
          <w:rFonts w:ascii="IRNazanin" w:hAnsi="IRNazanin" w:eastAsia="IRNazanin" w:cs="IRNazanin"/>
          <w:lang w:bidi="fa-IR"/>
          <w:color w:val="111111"/>
          <w:sz w:val="28"/>
          <w:szCs w:val="28"/>
          <w:rtl/>
        </w:rPr>
        <w:t xml:space="preserve">خط: نستعلیق، كا: علی حسینی بروجردی، بی تا، کاغذ: نباتی، جلد: مقوا، ۲۱ سطر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w:t>
      </w:r>
    </w:p>
    <w:p>
      <w:pPr>
        <w:pStyle w:val="BookText"/>
      </w:pPr>
      <w:r>
        <w:rPr>
          <w:rFonts w:ascii="IRNazanin" w:hAnsi="IRNazanin" w:eastAsia="IRNazanin" w:cs="IRNazanin"/>
          <w:lang w:bidi="fa-IR"/>
          <w:color w:val="111111"/>
          <w:sz w:val="28"/>
          <w:szCs w:val="28"/>
          <w:rtl/>
        </w:rPr>
        <w:t xml:space="preserve">[الفبائی: ۱۰۴]</w:t>
      </w:r>
    </w:p>
    <w:p>
      <w:pPr>
        <w:pStyle w:val="BookText"/>
      </w:pPr>
      <w:r>
        <w:rPr>
          <w:rFonts w:ascii="IRNazanin" w:hAnsi="IRNazanin" w:eastAsia="IRNazanin" w:cs="IRNazanin"/>
          <w:lang w:bidi="fa-IR"/>
          <w:color w:val="111111"/>
          <w:sz w:val="28"/>
          <w:szCs w:val="28"/>
          <w:rtl/>
        </w:rPr>
        <w:t xml:space="preserve">۱۶۴. قم: مسجد اعظم، شماره نسخه:۱۹۰۶</w:t>
      </w:r>
    </w:p>
    <w:p>
      <w:pPr>
        <w:pStyle w:val="BookText"/>
      </w:pPr>
      <w:r>
        <w:rPr>
          <w:rFonts w:ascii="IRNazanin" w:hAnsi="IRNazanin" w:eastAsia="IRNazanin" w:cs="IRNazanin"/>
          <w:lang w:bidi="fa-IR"/>
          <w:color w:val="111111"/>
          <w:sz w:val="28"/>
          <w:szCs w:val="28"/>
          <w:rtl/>
        </w:rPr>
        <w:t xml:space="preserve">آغاز: برابر ۱؛ انجام: چون روز گار کس ندهد پند آدمی. خواهی که پند گیری از روزگار گیر والله يجعل احوالنا مقرونة بحسن العواقب و خير المأخير ويثمنا في العلم و العمل.</w:t>
      </w:r>
    </w:p>
    <w:p>
      <w:pPr>
        <w:pStyle w:val="BookText"/>
      </w:pPr>
      <w:r>
        <w:rPr>
          <w:rFonts w:ascii="IRNazanin" w:hAnsi="IRNazanin" w:eastAsia="IRNazanin" w:cs="IRNazanin"/>
          <w:lang w:bidi="fa-IR"/>
          <w:color w:val="111111"/>
          <w:sz w:val="28"/>
          <w:szCs w:val="28"/>
          <w:rtl/>
        </w:rPr>
        <w:t xml:space="preserve">خط: نستعلیق، بی کا، بی تا، دارای کتیبه، مجدول؛ جلد: تیماج قهوه ای، ۱۴۲گ، ۱۹ 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مخ: ۱-۳۲۴]</w:t>
      </w:r>
    </w:p>
    <w:p>
      <w:pPr>
        <w:pStyle w:val="BookText"/>
      </w:pPr>
      <w:r>
        <w:rPr>
          <w:rFonts w:ascii="IRNazanin" w:hAnsi="IRNazanin" w:eastAsia="IRNazanin" w:cs="IRNazanin"/>
          <w:lang w:bidi="fa-IR"/>
          <w:color w:val="111111"/>
          <w:sz w:val="28"/>
          <w:szCs w:val="28"/>
          <w:rtl/>
        </w:rPr>
        <w:t xml:space="preserve">۱۶۵. تهران؛ مجلس؛ شماره نسخه: ۲۴۰</w:t>
      </w:r>
    </w:p>
    <w:p>
      <w:pPr>
        <w:pStyle w:val="BookText"/>
      </w:pPr>
      <w:r>
        <w:rPr>
          <w:rFonts w:ascii="IRNazanin" w:hAnsi="IRNazanin" w:eastAsia="IRNazanin" w:cs="IRNazanin"/>
          <w:lang w:bidi="fa-IR"/>
          <w:color w:val="111111"/>
          <w:sz w:val="28"/>
          <w:szCs w:val="28"/>
          <w:rtl/>
        </w:rPr>
        <w:t xml:space="preserve">جلد اول و دوم و قسمتی از جلد ۳؛ خط: نستعلیق، بی کا، بی تا؛ افتادگی: انجام؛ مجدول؛ ۱۵۷ گ، ۲۷ سطر، قطع: رحلی،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سم [ف: ۲-۱۳۴]</w:t>
      </w:r>
    </w:p>
    <w:p>
      <w:pPr>
        <w:pStyle w:val="BookText"/>
      </w:pPr>
      <w:r>
        <w:rPr>
          <w:rFonts w:ascii="IRNazanin" w:hAnsi="IRNazanin" w:eastAsia="IRNazanin" w:cs="IRNazanin"/>
          <w:lang w:bidi="fa-IR"/>
          <w:color w:val="111111"/>
          <w:sz w:val="28"/>
          <w:szCs w:val="28"/>
          <w:rtl/>
        </w:rPr>
        <w:t xml:space="preserve">۱۶۶. قم؛ فیضیه؛ شماره نسخه:۹۸۴</w:t>
      </w:r>
    </w:p>
    <w:p>
      <w:pPr>
        <w:pStyle w:val="BookText"/>
      </w:pPr>
      <w:r>
        <w:rPr>
          <w:rFonts w:ascii="IRNazanin" w:hAnsi="IRNazanin" w:eastAsia="IRNazanin" w:cs="IRNazanin"/>
          <w:lang w:bidi="fa-IR"/>
          <w:color w:val="111111"/>
          <w:sz w:val="28"/>
          <w:szCs w:val="28"/>
          <w:rtl/>
        </w:rPr>
        <w:t xml:space="preserve">جلد دوم؛ خط: نستعلیق، بی کا، بی تا؛ ۱۱۲گ، ۱۴سطر،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۲-۱۸]</w:t>
      </w:r>
    </w:p>
    <w:p>
      <w:pPr>
        <w:pStyle w:val="BookText"/>
      </w:pPr>
      <w:r>
        <w:rPr>
          <w:rFonts w:ascii="IRNazanin" w:hAnsi="IRNazanin" w:eastAsia="IRNazanin" w:cs="IRNazanin"/>
          <w:lang w:bidi="fa-IR"/>
          <w:color w:val="111111"/>
          <w:sz w:val="28"/>
          <w:szCs w:val="28"/>
          <w:rtl/>
        </w:rPr>
        <w:t xml:space="preserve">۱۶۷. قزوین؛ امام صادق؛ شماره نسخه: ۳۹۴/۱</w:t>
      </w:r>
    </w:p>
    <w:p>
      <w:pPr>
        <w:pStyle w:val="BookText"/>
      </w:pPr>
      <w:r>
        <w:rPr>
          <w:rFonts w:ascii="IRNazanin" w:hAnsi="IRNazanin" w:eastAsia="IRNazanin" w:cs="IRNazanin"/>
          <w:lang w:bidi="fa-IR"/>
          <w:color w:val="111111"/>
          <w:sz w:val="28"/>
          <w:szCs w:val="28"/>
          <w:rtl/>
        </w:rPr>
        <w:t xml:space="preserve">آغاز: برابر 1 خط: نسخ، بی کا، بی تا؛ افتادگی: انجام؛ محشی؛ جلد: تیماج</w:t>
      </w:r>
    </w:p>
    <w:p>
      <w:pPr>
        <w:pStyle w:val="BookText"/>
      </w:pPr>
      <w:r>
        <w:rPr>
          <w:rFonts w:ascii="IRNazanin" w:hAnsi="IRNazanin" w:eastAsia="IRNazanin" w:cs="IRNazanin"/>
          <w:lang w:bidi="fa-IR"/>
          <w:color w:val="111111"/>
          <w:sz w:val="28"/>
          <w:szCs w:val="28"/>
          <w:rtl/>
        </w:rPr>
        <w:t xml:space="preserve">سرخ، ۱۶۵گ [ف: ۱-۴۰۶]</w:t>
      </w:r>
    </w:p>
    <w:p>
      <w:pPr>
        <w:pStyle w:val="BookText"/>
      </w:pPr>
      <w:r>
        <w:rPr>
          <w:rFonts w:ascii="IRNazanin" w:hAnsi="IRNazanin" w:eastAsia="IRNazanin" w:cs="IRNazanin"/>
          <w:lang w:bidi="fa-IR"/>
          <w:color w:val="111111"/>
          <w:sz w:val="28"/>
          <w:szCs w:val="28"/>
          <w:rtl/>
        </w:rPr>
        <w:t xml:space="preserve">۱۶۸. تهران: مجلس؛ شماره نسخه:۲۸۶-فیروز</w:t>
      </w:r>
    </w:p>
    <w:p>
      <w:pPr>
        <w:pStyle w:val="BookText"/>
      </w:pPr>
      <w:r>
        <w:rPr>
          <w:rFonts w:ascii="IRNazanin" w:hAnsi="IRNazanin" w:eastAsia="IRNazanin" w:cs="IRNazanin"/>
          <w:lang w:bidi="fa-IR"/>
          <w:color w:val="111111"/>
          <w:sz w:val="28"/>
          <w:szCs w:val="28"/>
          <w:rtl/>
        </w:rPr>
        <w:t xml:space="preserve">خط: نسخ، كا: عبدالله تبریزی، بی تا؛ دارای پنج سرلوح مذهب و مرصع، با حاشیه ای از ابراهیم چلبی، بین خطوط طلاکاری، مجدول، محشی؛ کاغذ: فرنگی نخودی رنگ، جلد: تیماج سبز، ۷۵۲، ۲۷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۲۱-۳۸]</w:t>
      </w:r>
    </w:p>
    <w:p>
      <w:pPr>
        <w:pStyle w:val="BookText"/>
      </w:pPr>
      <w:r>
        <w:rPr>
          <w:rFonts w:ascii="IRNazanin" w:hAnsi="IRNazanin" w:eastAsia="IRNazanin" w:cs="IRNazanin"/>
          <w:lang w:bidi="fa-IR"/>
          <w:color w:val="111111"/>
          <w:sz w:val="28"/>
          <w:szCs w:val="28"/>
          <w:rtl/>
        </w:rPr>
        <w:t xml:space="preserve">۱۶۹. تهران؛ مجلس؛ شماره نسخه:۱۴۵ سرود</w:t>
      </w:r>
    </w:p>
    <w:p>
      <w:pPr>
        <w:pStyle w:val="BookText"/>
      </w:pPr>
      <w:r>
        <w:rPr>
          <w:rFonts w:ascii="IRNazanin" w:hAnsi="IRNazanin" w:eastAsia="IRNazanin" w:cs="IRNazanin"/>
          <w:lang w:bidi="fa-IR"/>
          <w:color w:val="111111"/>
          <w:sz w:val="28"/>
          <w:szCs w:val="28"/>
          <w:rtl/>
        </w:rPr>
        <w:t xml:space="preserve">خط: نستعلیق، بی کا، بی تا؛ قطع: رحلي [نشریه: ۱۳-۴۴۵]</w:t>
      </w:r>
    </w:p>
    <w:p>
      <w:pPr>
        <w:pStyle w:val="BookText"/>
      </w:pPr>
      <w:r>
        <w:rPr>
          <w:rFonts w:ascii="IRNazanin" w:hAnsi="IRNazanin" w:eastAsia="IRNazanin" w:cs="IRNazanin"/>
          <w:lang w:bidi="fa-IR"/>
          <w:color w:val="111111"/>
          <w:sz w:val="28"/>
          <w:szCs w:val="28"/>
          <w:rtl/>
        </w:rPr>
        <w:t xml:space="preserve">۱۷۰. همدان؛ اعتماد الدوله؛ شماره نسخه:۵۶</w:t>
      </w:r>
    </w:p>
    <w:p>
      <w:pPr>
        <w:pStyle w:val="BookText"/>
      </w:pPr>
      <w:r>
        <w:rPr>
          <w:rFonts w:ascii="IRNazanin" w:hAnsi="IRNazanin" w:eastAsia="IRNazanin" w:cs="IRNazanin"/>
          <w:lang w:bidi="fa-IR"/>
          <w:color w:val="111111"/>
          <w:sz w:val="28"/>
          <w:szCs w:val="28"/>
          <w:rtl/>
        </w:rPr>
        <w:t xml:space="preserve">بی کا، بی تا [نشریه: ۵-۳۴۲]</w:t>
      </w:r>
    </w:p>
    <w:p>
      <w:pPr>
        <w:pStyle w:val="BookText"/>
      </w:pPr>
      <w:r>
        <w:rPr>
          <w:rFonts w:ascii="IRNazanin" w:hAnsi="IRNazanin" w:eastAsia="IRNazanin" w:cs="IRNazanin"/>
          <w:lang w:bidi="fa-IR"/>
          <w:color w:val="111111"/>
          <w:sz w:val="28"/>
          <w:szCs w:val="28"/>
          <w:rtl/>
        </w:rPr>
        <w:t xml:space="preserve">۱۷۱. تهران؛ نوربخش؛ شماره نسخه:۵۱۶</w:t>
      </w:r>
    </w:p>
    <w:p>
      <w:pPr>
        <w:pStyle w:val="BookText"/>
      </w:pPr>
      <w:r>
        <w:rPr>
          <w:rFonts w:ascii="IRNazanin" w:hAnsi="IRNazanin" w:eastAsia="IRNazanin" w:cs="IRNazanin"/>
          <w:lang w:bidi="fa-IR"/>
          <w:color w:val="111111"/>
          <w:sz w:val="28"/>
          <w:szCs w:val="28"/>
          <w:rtl/>
        </w:rPr>
        <w:t xml:space="preserve">آغاز: برابر ۱ انجام: خواهی که پند گیری. از روزگار گیر. و على آله و السلام.</w:t>
      </w:r>
    </w:p>
    <w:p>
      <w:pPr>
        <w:pStyle w:val="BookText"/>
      </w:pPr>
      <w:r>
        <w:rPr>
          <w:rFonts w:ascii="IRNazanin" w:hAnsi="IRNazanin" w:eastAsia="IRNazanin" w:cs="IRNazanin"/>
          <w:lang w:bidi="fa-IR"/>
          <w:color w:val="111111"/>
          <w:sz w:val="28"/>
          <w:szCs w:val="28"/>
          <w:rtl/>
        </w:rPr>
        <w:t xml:space="preserve">جلد 1؛ خط: نستعلیق، بی کا، بی تا؛ کاغذ: فرنگی، جلد: تیماج ماشی، ۳۰۴ ص، ۱۶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۲-۱۸۰]</w:t>
      </w:r>
    </w:p>
    <w:p>
      <w:pPr>
        <w:pStyle w:val="BookText"/>
      </w:pPr>
      <w:r>
        <w:rPr>
          <w:rFonts w:ascii="IRNazanin" w:hAnsi="IRNazanin" w:eastAsia="IRNazanin" w:cs="IRNazanin"/>
          <w:lang w:bidi="fa-IR"/>
          <w:color w:val="111111"/>
          <w:sz w:val="28"/>
          <w:szCs w:val="28"/>
          <w:rtl/>
        </w:rPr>
        <w:t xml:space="preserve">۱۷۲. تهران؛ سلطنتی؛ شماره نسخه: ۷۵۷</w:t>
      </w:r>
    </w:p>
    <w:p>
      <w:pPr>
        <w:pStyle w:val="BookText"/>
      </w:pPr>
      <w:r>
        <w:rPr>
          <w:rFonts w:ascii="IRNazanin" w:hAnsi="IRNazanin" w:eastAsia="IRNazanin" w:cs="IRNazanin"/>
          <w:lang w:bidi="fa-IR"/>
          <w:color w:val="111111"/>
          <w:sz w:val="28"/>
          <w:szCs w:val="28"/>
          <w:rtl/>
        </w:rPr>
        <w:t xml:space="preserve">آغاز: برابر ۱؛ انجام: لمؤلفه ... .دریغ طبع مرا گر مربی بودی *** زبان ناطقه دادی به بندگیش اقرار ... تمت بالخير عمت و منه الابتدا و اليه الانتها و الصلوة على رسوله المصطفی و آله المرتجی تمت بعون الله. في ارض کربلا و مشهد الحسين صلوات الله علیه و على سائر المستشهدين معه و الحمدلله رب العالمين.</w:t>
      </w:r>
    </w:p>
    <w:p>
      <w:pPr>
        <w:pStyle w:val="BookText"/>
      </w:pPr>
      <w:r>
        <w:rPr>
          <w:rFonts w:ascii="IRNazanin" w:hAnsi="IRNazanin" w:eastAsia="IRNazanin" w:cs="IRNazanin"/>
          <w:lang w:bidi="fa-IR"/>
          <w:color w:val="111111"/>
          <w:sz w:val="28"/>
          <w:szCs w:val="28"/>
          <w:rtl/>
        </w:rPr>
        <w:t xml:space="preserve">جلد کامل از تاریخ وصاف است؛ خط: نستعلیق، بی کا، بی تا، جان کربلا؛ محشی؛ مهر: ناصرالدین شاه قاجار؛ کاغذ: فرنگی، جلد: مقوای روغنی سبز چمنی، ۹۱۰ص، ۲۲ سطر،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۴۲سم [ف: ۵-۴۵۵]</w:t>
      </w:r>
    </w:p>
    <w:p>
      <w:pPr>
        <w:pStyle w:val="BookText"/>
      </w:pPr>
      <w:r>
        <w:rPr>
          <w:rFonts w:ascii="IRNazanin" w:hAnsi="IRNazanin" w:eastAsia="IRNazanin" w:cs="IRNazanin"/>
          <w:lang w:bidi="fa-IR"/>
          <w:color w:val="111111"/>
          <w:sz w:val="28"/>
          <w:szCs w:val="28"/>
          <w:rtl/>
        </w:rPr>
        <w:t xml:space="preserve">۱۷۳. تهران؛ سلطنتی؛ شماره نسخه:۲۳۴۶</w:t>
      </w:r>
    </w:p>
    <w:p>
      <w:pPr>
        <w:pStyle w:val="BookText"/>
      </w:pPr>
      <w:r>
        <w:rPr>
          <w:rFonts w:ascii="IRNazanin" w:hAnsi="IRNazanin" w:eastAsia="IRNazanin" w:cs="IRNazanin"/>
          <w:lang w:bidi="fa-IR"/>
          <w:color w:val="111111"/>
          <w:sz w:val="28"/>
          <w:szCs w:val="28"/>
          <w:rtl/>
        </w:rPr>
        <w:t xml:space="preserve">آغاز: برابر ۱؛ انجام: دريغ طبع مرا گر مربی بودی *** زبان ناطقه دادی ببندگیش اقرار. توفیق در افاضت احسان که کفیل عمر ثانیست لایزال روزگار دولت یار مخدوم جهان را کرامت باد .... تمت بالخير تمت و منه الابتداء و الله الانتها و الصلوة على رسوله المصطفى ....</w:t>
      </w:r>
    </w:p>
    <w:p>
      <w:pPr>
        <w:pStyle w:val="BookText"/>
      </w:pPr>
      <w:r>
        <w:rPr>
          <w:rFonts w:ascii="IRNazanin" w:hAnsi="IRNazanin" w:eastAsia="IRNazanin" w:cs="IRNazanin"/>
          <w:lang w:bidi="fa-IR"/>
          <w:color w:val="111111"/>
          <w:sz w:val="28"/>
          <w:szCs w:val="28"/>
          <w:rtl/>
        </w:rPr>
        <w:t xml:space="preserve">جلد ۱؛ خط: نستعلیق، بی کا، بی تا؛ مجدول، کمند کشی زرین، با پنج سرلوح مذهب مرصع، محشى؛ مهر: ناصر الدین شاه قاجار؛ کاغذ: ترمه آهار مهره، جلد: مقوای روغنی بوم تریاکی با ترنج و سرترنج با تزیینات بسیار، ۹۱۲ص، ۲۲ سطر، اندازه: ۴۲/۳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۲۶/۸ سم [ف: ۵-۴۴۹]</w:t>
      </w:r>
    </w:p>
    <w:p>
      <w:pPr>
        <w:pStyle w:val="Heading3"/>
      </w:pPr>
      <w:bookmarkStart w:id="3117" w:name="_Toc2377"/>
      <w:r>
        <w:t>•التجزية و التحليل / شیمی / عربی</w:t>
      </w:r>
      <w:bookmarkEnd w:id="3117"/>
    </w:p>
    <w:p>
      <w:pPr>
        <w:pStyle w:val="BookText"/>
      </w:pPr>
      <w:r>
        <w:rPr>
          <w:rFonts w:ascii="Times New Roman" w:hAnsi="Times New Roman" w:eastAsia="Times New Roman" w:cs="Times New Roman"/>
          <w:lang w:val="en-US" w:bidi="en-US"/>
          <w:color w:val="111111"/>
          <w:sz w:val="28"/>
          <w:szCs w:val="28"/>
          <w:rtl/>
        </w:rPr>
        <w:t xml:space="preserve">at-tajziya wa-t taḥlīl</w:t>
      </w:r>
    </w:p>
    <w:p>
      <w:pPr>
        <w:pStyle w:val="BookText"/>
      </w:pPr>
      <w:r>
        <w:rPr>
          <w:rFonts w:ascii="IRNazanin" w:hAnsi="IRNazanin" w:eastAsia="IRNazanin" w:cs="IRNazanin"/>
          <w:lang w:bidi="fa-IR"/>
          <w:color w:val="111111"/>
          <w:sz w:val="28"/>
          <w:szCs w:val="28"/>
          <w:rtl/>
        </w:rPr>
        <w:t xml:space="preserve">کتاب درسی شیمی است که این عناوین در آن دیده می شود: المقدمة: في ماهية التحليل الكيمی؛ قسم 1. كيفية تفريق المواد المعدنية الى صفوف بواسطة الفواعل العمومية و كيفية الكشف الخصوصي عن كل من المواد المعدنية؛ قسم ۲. كيفية تفريق المواد المعدنية إلى صفوف بالفواعل العمومية و كيفية الكشف الخصوصي عن كل منها؛ قسم 3. كيفية الكشف بالحرارة؛ قسم ۴. يوضح كيفية اعداد مادة مجهولة للفحص عنها و طريقة هذا
</w:t>
      </w:r>
    </w:p>
    <w:p>
      <w:pPr>
        <w:sectPr>
          <w:footerReference w:type="default" r:id="rId988"/>
          <w:footnotePr>
            <w:numStart w:val="1"/>
            <w:numRestart w:val="eachPage"/>
          </w:footnotePr>
          <w:pgSz w:orient="portrait" w:w="11905.511811023622" w:h="16837.79527559055"/>
          <w:pgMar w:top="1440" w:right="1440" w:bottom="1440" w:left="1440" w:header="720" w:footer="720" w:gutter="0"/>
          <w:cols w:num="1" w:space="720"/>
        </w:sectPr>
      </w:pPr>
    </w:p>
    <w:bookmarkStart w:id="733" w:name="pg20363_210106"/>
    <w:bookmarkEnd w:id="733"/>
    <w:p>
      <w:pPr>
        <w:pStyle w:val="BookText"/>
      </w:pPr>
      <w:r>
        <w:rPr>
          <w:rFonts w:ascii="IRNazanin" w:hAnsi="IRNazanin" w:eastAsia="IRNazanin" w:cs="IRNazanin"/>
          <w:lang w:bidi="fa-IR"/>
          <w:color w:val="111111"/>
          <w:sz w:val="28"/>
          <w:szCs w:val="28"/>
          <w:rtl/>
        </w:rPr>
        <w:t xml:space="preserve">الفحص.</w:t>
      </w:r>
    </w:p>
    <w:p>
      <w:pPr>
        <w:pStyle w:val="BookText"/>
      </w:pPr>
      <w:r>
        <w:rPr>
          <w:rFonts w:ascii="IRNazanin" w:hAnsi="IRNazanin" w:eastAsia="IRNazanin" w:cs="IRNazanin"/>
          <w:lang w:bidi="fa-IR"/>
          <w:color w:val="111111"/>
          <w:sz w:val="28"/>
          <w:szCs w:val="28"/>
          <w:rtl/>
        </w:rPr>
        <w:t xml:space="preserve">تهران؛ مجلس؛ شماره نسخه:۸۷۵۳</w:t>
      </w:r>
    </w:p>
    <w:p>
      <w:pPr>
        <w:pStyle w:val="BookText"/>
      </w:pPr>
      <w:r>
        <w:rPr>
          <w:rFonts w:ascii="IRNazanin" w:hAnsi="IRNazanin" w:eastAsia="IRNazanin" w:cs="IRNazanin"/>
          <w:lang w:bidi="fa-IR"/>
          <w:color w:val="111111"/>
          <w:sz w:val="28"/>
          <w:szCs w:val="28"/>
          <w:rtl/>
        </w:rPr>
        <w:t xml:space="preserve">آغاز: فاتحة في ايضاح الاصطلاحات قد اردنا قبل الشروع في ذکر</w:t>
      </w:r>
    </w:p>
    <w:p>
      <w:pPr>
        <w:pStyle w:val="BookText"/>
      </w:pPr>
      <w:r>
        <w:rPr>
          <w:rFonts w:ascii="IRNazanin" w:hAnsi="IRNazanin" w:eastAsia="IRNazanin" w:cs="IRNazanin"/>
          <w:lang w:bidi="fa-IR"/>
          <w:color w:val="111111"/>
          <w:sz w:val="28"/>
          <w:szCs w:val="28"/>
          <w:rtl/>
        </w:rPr>
        <w:t xml:space="preserve">كيفية التحليل ان يوضح بعض الكلمات الاصطلاحية المستعملة في هذا الكتاب التذويب قد تعلمنا من الكيمياء؛ انجام: و اکشف جانبا خر بمذوب النيترات الفضيک بند ۹۷ ثم اكشف عن الحوامض التي تدل عليها هذه الكواشف. خط: نستعلیق، بی کا، تا: قرن ۱۳؛ مجدول، مصحح؛ جلد: مقوایی، ۱۱۱، ۱۷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۲۸- ۲۴۴]</w:t>
      </w:r>
    </w:p>
    <w:p>
      <w:pPr>
        <w:pStyle w:val="Heading3"/>
      </w:pPr>
      <w:bookmarkStart w:id="3118" w:name="_Toc2378"/>
      <w:r>
        <w:t>•تجزیه و تحلیل در آمد ملی / اقتصاد / فارسی</w:t>
      </w:r>
      <w:bookmarkEnd w:id="3118"/>
    </w:p>
    <w:p>
      <w:pPr>
        <w:pStyle w:val="BookText"/>
      </w:pPr>
      <w:r>
        <w:rPr>
          <w:rFonts w:ascii="Times New Roman" w:hAnsi="Times New Roman" w:eastAsia="Times New Roman" w:cs="Times New Roman"/>
          <w:lang w:val="en-US" w:bidi="en-US"/>
          <w:color w:val="111111"/>
          <w:sz w:val="28"/>
          <w:szCs w:val="28"/>
          <w:rtl/>
        </w:rPr>
        <w:t xml:space="preserve">tajzīye va tahlīl-e darāmad-e mellī</w:t>
      </w:r>
    </w:p>
    <w:p>
      <w:pPr>
        <w:pStyle w:val="BookText"/>
      </w:pPr>
      <w:r>
        <w:rPr>
          <w:rFonts w:ascii="IRNazanin" w:hAnsi="IRNazanin" w:eastAsia="IRNazanin" w:cs="IRNazanin"/>
          <w:lang w:bidi="fa-IR"/>
          <w:color w:val="111111"/>
          <w:sz w:val="28"/>
          <w:szCs w:val="28"/>
          <w:rtl/>
        </w:rPr>
        <w:t xml:space="preserve">دادبخش، محمد، ق ۱۴ قمری</w:t>
      </w:r>
    </w:p>
    <w:p>
      <w:pPr>
        <w:pStyle w:val="BookText"/>
      </w:pPr>
      <w:r>
        <w:rPr>
          <w:rFonts w:ascii="Times New Roman" w:hAnsi="Times New Roman" w:eastAsia="Times New Roman" w:cs="Times New Roman"/>
          <w:lang w:val="en-US" w:bidi="en-US"/>
          <w:color w:val="111111"/>
          <w:sz w:val="28"/>
          <w:szCs w:val="28"/>
          <w:rtl/>
        </w:rPr>
        <w:t xml:space="preserve">dādbaxš, mohammad (-20c)</w:t>
      </w:r>
    </w:p>
    <w:p>
      <w:pPr>
        <w:pStyle w:val="BookText"/>
      </w:pPr>
      <w:r>
        <w:rPr>
          <w:rFonts w:ascii="IRNazanin" w:hAnsi="IRNazanin" w:eastAsia="IRNazanin" w:cs="IRNazanin"/>
          <w:lang w:bidi="fa-IR"/>
          <w:color w:val="111111"/>
          <w:sz w:val="28"/>
          <w:szCs w:val="28"/>
          <w:rtl/>
        </w:rPr>
        <w:t xml:space="preserve">تاريخ تأليف: ۱۳۵۲ش مباحث مختلفی است درباره درآمد ملی و محصولات خالص داخلی و درآمد ملت و قیمت نسبی و ... که مؤلف با استفاده از درس دکتر منوچهر فرهنگی در دوره فوق لیسانس اقتصاد آن را به رشته تحریر در آورده است و در سال ۱۳۵۲ شروع به تأليف آن نموده است.</w:t>
      </w:r>
    </w:p>
    <w:p>
      <w:pPr>
        <w:pStyle w:val="BookText"/>
      </w:pPr>
      <w:r>
        <w:rPr>
          <w:rFonts w:ascii="IRNazanin" w:hAnsi="IRNazanin" w:eastAsia="IRNazanin" w:cs="IRNazanin"/>
          <w:lang w:bidi="fa-IR"/>
          <w:color w:val="111111"/>
          <w:sz w:val="28"/>
          <w:szCs w:val="28"/>
          <w:rtl/>
        </w:rPr>
        <w:t xml:space="preserve">خوانسار؛ فاضل؛ شماره نسخه:۴۲۷</w:t>
      </w:r>
    </w:p>
    <w:p>
      <w:pPr>
        <w:pStyle w:val="BookText"/>
      </w:pPr>
      <w:r>
        <w:rPr>
          <w:rFonts w:ascii="IRNazanin" w:hAnsi="IRNazanin" w:eastAsia="IRNazanin" w:cs="IRNazanin"/>
          <w:lang w:bidi="fa-IR"/>
          <w:color w:val="111111"/>
          <w:sz w:val="28"/>
          <w:szCs w:val="28"/>
          <w:rtl/>
        </w:rPr>
        <w:t xml:space="preserve">آغاز: تعریف: در آمد ملی ثمره کوشش تولیدی یک ملت است با دو استثناء یکی درمورد کشورهایی که قرض می گیرند و دیگر کشورهایی که منابع زیرزمینی</w:t>
      </w:r>
    </w:p>
    <w:p>
      <w:pPr>
        <w:pStyle w:val="BookText"/>
      </w:pPr>
      <w:r>
        <w:rPr>
          <w:rFonts w:ascii="IRNazanin" w:hAnsi="IRNazanin" w:eastAsia="IRNazanin" w:cs="IRNazanin"/>
          <w:lang w:bidi="fa-IR"/>
          <w:color w:val="111111"/>
          <w:sz w:val="28"/>
          <w:szCs w:val="28"/>
          <w:rtl/>
        </w:rPr>
        <w:t xml:space="preserve">خط: نستعلیق، کاتب = مؤلف، بی تا، دارای جداول و اشکال، نام کتاب و مؤلف و استاد و فهرست مطالب آمده؛ کاغذ: معمولی خط دار، جلد: مقوایی، ۱۲گ، مختلف السطر،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۲-۹۷]</w:t>
      </w:r>
    </w:p>
    <w:p>
      <w:pPr>
        <w:pStyle w:val="BookText"/>
      </w:pPr>
      <w:r>
        <w:rPr>
          <w:rFonts w:ascii="IRNazanin" w:hAnsi="IRNazanin" w:eastAsia="IRNazanin" w:cs="IRNazanin"/>
          <w:lang w:bidi="fa-IR"/>
          <w:color w:val="111111"/>
          <w:sz w:val="28"/>
          <w:szCs w:val="28"/>
          <w:rtl/>
        </w:rPr>
        <w:t xml:space="preserve">قم؛ مرکز احیاء؛ شماره نسخه:۱۱۸۴</w:t>
      </w:r>
    </w:p>
    <w:p>
      <w:pPr>
        <w:pStyle w:val="BookText"/>
      </w:pPr>
      <w:r>
        <w:rPr>
          <w:rFonts w:ascii="IRNazanin" w:hAnsi="IRNazanin" w:eastAsia="IRNazanin" w:cs="IRNazanin"/>
          <w:lang w:bidi="fa-IR"/>
          <w:color w:val="111111"/>
          <w:sz w:val="28"/>
          <w:szCs w:val="28"/>
          <w:rtl/>
        </w:rPr>
        <w:t xml:space="preserve">نسخه اصل: همان نسخه بالا [عکسی ف: ۳-۴۶۹]</w:t>
      </w:r>
    </w:p>
    <w:p>
      <w:pPr>
        <w:pStyle w:val="Heading3"/>
      </w:pPr>
      <w:bookmarkStart w:id="3119" w:name="_Toc2379"/>
      <w:r>
        <w:t>•التجزية و الترکیب صرف و نحو عربی</w:t>
      </w:r>
      <w:bookmarkEnd w:id="3119"/>
    </w:p>
    <w:p>
      <w:pPr>
        <w:pStyle w:val="BookText"/>
      </w:pPr>
      <w:r>
        <w:rPr>
          <w:rFonts w:ascii="Times New Roman" w:hAnsi="Times New Roman" w:eastAsia="Times New Roman" w:cs="Times New Roman"/>
          <w:lang w:val="en-US" w:bidi="en-US"/>
          <w:color w:val="111111"/>
          <w:sz w:val="28"/>
          <w:szCs w:val="28"/>
          <w:rtl/>
        </w:rPr>
        <w:t xml:space="preserve">at-tajziya wa-t tarkīb</w:t>
      </w:r>
    </w:p>
    <w:p>
      <w:pPr>
        <w:pStyle w:val="BookText"/>
      </w:pPr>
      <w:r>
        <w:rPr>
          <w:rFonts w:ascii="IRNazanin" w:hAnsi="IRNazanin" w:eastAsia="IRNazanin" w:cs="IRNazanin"/>
          <w:lang w:bidi="fa-IR"/>
          <w:color w:val="111111"/>
          <w:sz w:val="28"/>
          <w:szCs w:val="28"/>
          <w:rtl/>
        </w:rPr>
        <w:t xml:space="preserve">مشهد؛ مدرسه باقریه؛ شماره نسخه: ۳۲</w:t>
      </w:r>
    </w:p>
    <w:p>
      <w:pPr>
        <w:pStyle w:val="BookText"/>
      </w:pPr>
      <w:r>
        <w:rPr>
          <w:rFonts w:ascii="IRNazanin" w:hAnsi="IRNazanin" w:eastAsia="IRNazanin" w:cs="IRNazanin"/>
          <w:lang w:bidi="fa-IR"/>
          <w:color w:val="111111"/>
          <w:sz w:val="28"/>
          <w:szCs w:val="28"/>
          <w:rtl/>
        </w:rPr>
        <w:t xml:space="preserve">خط: نسخ، بی کا، بی تا، افتادگی: آغاز؛ کاغذ: فرنگی، ۳۰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قطع: مستطیلی [تراثنا: س ش ۱- ۷۹]</w:t>
      </w:r>
    </w:p>
    <w:p>
      <w:pPr>
        <w:pStyle w:val="Heading3"/>
      </w:pPr>
      <w:bookmarkStart w:id="3120" w:name="_Toc2380"/>
      <w:r>
        <w:t>•تجزیه و ترکیب بسمله / نحو</w:t>
      </w:r>
      <w:bookmarkEnd w:id="3120"/>
    </w:p>
    <w:p>
      <w:pPr>
        <w:pStyle w:val="BookText"/>
      </w:pPr>
      <w:r>
        <w:rPr>
          <w:rFonts w:ascii="Times New Roman" w:hAnsi="Times New Roman" w:eastAsia="Times New Roman" w:cs="Times New Roman"/>
          <w:lang w:val="en-US" w:bidi="en-US"/>
          <w:color w:val="111111"/>
          <w:sz w:val="28"/>
          <w:szCs w:val="28"/>
          <w:rtl/>
        </w:rPr>
        <w:t xml:space="preserve">tajzīye va tarkīb-e besmelah</w:t>
      </w:r>
    </w:p>
    <w:p>
      <w:pPr>
        <w:pStyle w:val="BookText"/>
      </w:pPr>
      <w:r>
        <w:rPr>
          <w:rFonts w:ascii="IRNazanin" w:hAnsi="IRNazanin" w:eastAsia="IRNazanin" w:cs="IRNazanin"/>
          <w:lang w:bidi="fa-IR"/>
          <w:color w:val="111111"/>
          <w:sz w:val="28"/>
          <w:szCs w:val="28"/>
          <w:rtl/>
        </w:rPr>
        <w:t xml:space="preserve">تهران؛ مجلس؛ شماره نسخه: ۹۰۴۳/۷</w:t>
      </w:r>
    </w:p>
    <w:p>
      <w:pPr>
        <w:pStyle w:val="BookText"/>
      </w:pPr>
      <w:r>
        <w:rPr>
          <w:rFonts w:ascii="IRNazanin" w:hAnsi="IRNazanin" w:eastAsia="IRNazanin" w:cs="IRNazanin"/>
          <w:lang w:bidi="fa-IR"/>
          <w:color w:val="111111"/>
          <w:sz w:val="28"/>
          <w:szCs w:val="28"/>
          <w:rtl/>
        </w:rPr>
        <w:t xml:space="preserve">خط: نستعلیق شکسته تحریری، كا: جامع، تا: قرن ۱۳؛ کاغذ: فرنگی شکری آهار مهره، جلد: تیماج عنابی، ۲گ (۳۱پ - ۳۲ر)، [ف: ۲۹/۲ -۶۵۹]</w:t>
      </w:r>
    </w:p>
    <w:p>
      <w:pPr>
        <w:pStyle w:val="Heading3"/>
      </w:pPr>
      <w:bookmarkStart w:id="3121" w:name="_Toc2381"/>
      <w:r>
        <w:t>• تجزیه و ترکیب چند سوره / ادبیات عربی</w:t>
      </w:r>
      <w:bookmarkEnd w:id="3121"/>
    </w:p>
    <w:p>
      <w:pPr>
        <w:pStyle w:val="BookText"/>
      </w:pPr>
      <w:r>
        <w:rPr>
          <w:rFonts w:ascii="Times New Roman" w:hAnsi="Times New Roman" w:eastAsia="Times New Roman" w:cs="Times New Roman"/>
          <w:lang w:val="en-US" w:bidi="en-US"/>
          <w:color w:val="111111"/>
          <w:sz w:val="28"/>
          <w:szCs w:val="28"/>
          <w:rtl/>
        </w:rPr>
        <w:t xml:space="preserve">tajzīye va tarkīb-e čand sūre</w:t>
      </w:r>
    </w:p>
    <w:p>
      <w:pPr>
        <w:pStyle w:val="BookText"/>
      </w:pPr>
      <w:r>
        <w:rPr>
          <w:rFonts w:ascii="IRNazanin" w:hAnsi="IRNazanin" w:eastAsia="IRNazanin" w:cs="IRNazanin"/>
          <w:lang w:bidi="fa-IR"/>
          <w:color w:val="111111"/>
          <w:sz w:val="28"/>
          <w:szCs w:val="28"/>
          <w:rtl/>
        </w:rPr>
        <w:t xml:space="preserve">در آن سه سوره قرآن تجزیه و ترکیب شده: ابتداء سوره الحمد می آید و یکایک کلمات آن از لحاظ صرفی و نحوی مورد بحث قرار می گیرد و بعد سوره «قل هو الله» و سپس آیه الکرسی.</w:t>
      </w:r>
    </w:p>
    <w:p>
      <w:pPr>
        <w:pStyle w:val="BookText"/>
      </w:pPr>
      <w:r>
        <w:rPr>
          <w:rFonts w:ascii="IRNazanin" w:hAnsi="IRNazanin" w:eastAsia="IRNazanin" w:cs="IRNazanin"/>
          <w:lang w:bidi="fa-IR"/>
          <w:color w:val="111111"/>
          <w:sz w:val="28"/>
          <w:szCs w:val="28"/>
          <w:rtl/>
        </w:rPr>
        <w:t xml:space="preserve">تهران؛ ملی؛ شماره نسخه:۵۵/۳</w:t>
      </w:r>
    </w:p>
    <w:p>
      <w:pPr>
        <w:pStyle w:val="BookText"/>
      </w:pPr>
      <w:r>
        <w:rPr>
          <w:rFonts w:ascii="IRNazanin" w:hAnsi="IRNazanin" w:eastAsia="IRNazanin" w:cs="IRNazanin"/>
          <w:lang w:bidi="fa-IR"/>
          <w:color w:val="111111"/>
          <w:sz w:val="28"/>
          <w:szCs w:val="28"/>
          <w:rtl/>
        </w:rPr>
        <w:t xml:space="preserve">آغاز: بسمله، الحمد اسم جعل معنی معرف باللام مرفوع؛ انجام: و هو ضمير مرفوع لانه مبتدء و العلى خبر المبتدء و العظيم خبر بعد خبر تمت الاوراق بعون الملک الخلاق.</w:t>
      </w:r>
    </w:p>
    <w:p>
      <w:pPr>
        <w:pStyle w:val="BookText"/>
      </w:pPr>
      <w:r>
        <w:rPr>
          <w:rFonts w:ascii="IRNazanin" w:hAnsi="IRNazanin" w:eastAsia="IRNazanin" w:cs="IRNazanin"/>
          <w:lang w:bidi="fa-IR"/>
          <w:color w:val="111111"/>
          <w:sz w:val="28"/>
          <w:szCs w:val="28"/>
          <w:rtl/>
        </w:rPr>
        <w:t xml:space="preserve">خط: نسخ کهن، بی کا، تا: ۸۶۲ق؛ کاغذ: اصفهانی، جلد: تیماج مشکی با ترنج و نیم ترنج، ۳ص (۹۶-۹۸)، ۱۷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۷-۵۶]</w:t>
      </w:r>
    </w:p>
    <w:p>
      <w:pPr>
        <w:pStyle w:val="Heading3"/>
      </w:pPr>
      <w:bookmarkStart w:id="3122" w:name="_Toc2382"/>
      <w:r>
        <w:t>•التجزي في الاجتهاد / اصول فقه / عربی</w:t>
      </w:r>
      <w:bookmarkEnd w:id="3122"/>
    </w:p>
    <w:p>
      <w:pPr>
        <w:pStyle w:val="BookText"/>
      </w:pPr>
      <w:r>
        <w:rPr>
          <w:rFonts w:ascii="Times New Roman" w:hAnsi="Times New Roman" w:eastAsia="Times New Roman" w:cs="Times New Roman"/>
          <w:lang w:val="en-US" w:bidi="en-US"/>
          <w:color w:val="111111"/>
          <w:sz w:val="28"/>
          <w:szCs w:val="28"/>
          <w:rtl/>
        </w:rPr>
        <w:t xml:space="preserve">at-tajazzī fi-l ijtihād</w:t>
      </w:r>
    </w:p>
    <w:p>
      <w:pPr>
        <w:pStyle w:val="BookText"/>
      </w:pPr>
      <w:r>
        <w:rPr>
          <w:rFonts w:ascii="IRNazanin" w:hAnsi="IRNazanin" w:eastAsia="IRNazanin" w:cs="IRNazanin"/>
          <w:lang w:bidi="fa-IR"/>
          <w:color w:val="111111"/>
          <w:sz w:val="28"/>
          <w:szCs w:val="28"/>
          <w:rtl/>
        </w:rPr>
        <w:t xml:space="preserve">بهبهانی، عبدالحسين بن محمد باقر، - ۱۲۴۰ قمری</w:t>
      </w:r>
    </w:p>
    <w:p>
      <w:pPr>
        <w:pStyle w:val="BookText"/>
      </w:pPr>
      <w:r>
        <w:rPr>
          <w:rFonts w:ascii="Times New Roman" w:hAnsi="Times New Roman" w:eastAsia="Times New Roman" w:cs="Times New Roman"/>
          <w:lang w:val="en-US" w:bidi="en-US"/>
          <w:color w:val="111111"/>
          <w:sz w:val="28"/>
          <w:szCs w:val="28"/>
          <w:rtl/>
        </w:rPr>
        <w:t xml:space="preserve">behbahānī, “abd-ol-hoseyn ebn-e mohammad bāqer ( 1825)</w:t>
      </w:r>
    </w:p>
    <w:p>
      <w:pPr>
        <w:pStyle w:val="BookText"/>
      </w:pPr>
      <w:r>
        <w:rPr>
          <w:rFonts w:ascii="IRNazanin" w:hAnsi="IRNazanin" w:eastAsia="IRNazanin" w:cs="IRNazanin"/>
          <w:lang w:bidi="fa-IR"/>
          <w:color w:val="111111"/>
          <w:sz w:val="28"/>
          <w:szCs w:val="28"/>
          <w:rtl/>
        </w:rPr>
        <w:t xml:space="preserve">آغاز: الحمدلله الذي شيد عماد الاجتهاد و مهدبة الوساد حتى جعله عرضة الانظار الأوتاد الخ فيقول. العاثر عبدالحسين بن محمد باقر هذه وريقات قلاویل و حريقات سلاسل اثبتها في بیان حكم التجزي في الاجتهاد انجام: و بالجملة ربما يكون الاحتياط خلاف الاحتياط. هدانا الله و ایاکم سواء الصراط بمحمد و آله الهداة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۴۳۰۳/۴</w:t>
      </w:r>
    </w:p>
    <w:p>
      <w:pPr>
        <w:pStyle w:val="BookText"/>
      </w:pPr>
      <w:r>
        <w:rPr>
          <w:rFonts w:ascii="IRNazanin" w:hAnsi="IRNazanin" w:eastAsia="IRNazanin" w:cs="IRNazanin"/>
          <w:lang w:bidi="fa-IR"/>
          <w:color w:val="111111"/>
          <w:sz w:val="28"/>
          <w:szCs w:val="28"/>
          <w:rtl/>
        </w:rPr>
        <w:t xml:space="preserve">آغاز و انجام: برابر كان محمد حسین بن ابراهیم هزار جریبی، تا: آخر محرم ۱۲۱۰ق؛ کاغذ: فرنگی، جلد: تیماج قهوه ای، ۱۸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۱۱-۳۱۷]</w:t>
      </w:r>
    </w:p>
    <w:p>
      <w:pPr>
        <w:pStyle w:val="BookText"/>
      </w:pPr>
      <w:r>
        <w:rPr>
          <w:rFonts w:ascii="IRNazanin" w:hAnsi="IRNazanin" w:eastAsia="IRNazanin" w:cs="IRNazanin"/>
          <w:lang w:bidi="fa-IR"/>
          <w:color w:val="111111"/>
          <w:sz w:val="28"/>
          <w:szCs w:val="28"/>
          <w:rtl/>
        </w:rPr>
        <w:t xml:space="preserve">۲. مشهد؛ رضوی؛ شماره نسخه:ض ۱۱۴۲۳</w:t>
      </w:r>
    </w:p>
    <w:p>
      <w:pPr>
        <w:pStyle w:val="BookText"/>
      </w:pPr>
      <w:r>
        <w:rPr>
          <w:rFonts w:ascii="IRNazanin" w:hAnsi="IRNazanin" w:eastAsia="IRNazanin" w:cs="IRNazanin"/>
          <w:lang w:bidi="fa-IR"/>
          <w:color w:val="111111"/>
          <w:sz w:val="28"/>
          <w:szCs w:val="28"/>
          <w:rtl/>
        </w:rPr>
        <w:t xml:space="preserve">آغاز و انجام: برابر خط: نسخ، بی کا، تا: ۱۲۸۰ق؛ مصدر به شرح دیباچه استبصار و یک صفحه مطلب به زبان عربی از صاحب معالم؛ کاغذ: نخودی، جلد: مقوا با رویه پارچه، ۲۱ سطر (۱۰</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۱۵/۵ )،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[الفبائی: ۱۰۴]
</w:t>
      </w:r>
    </w:p>
    <w:p>
      <w:pPr>
        <w:sectPr>
          <w:footerReference w:type="default" r:id="rId989"/>
          <w:footnotePr>
            <w:numStart w:val="1"/>
            <w:numRestart w:val="eachPage"/>
          </w:footnotePr>
          <w:pgSz w:orient="portrait" w:w="11905.511811023622" w:h="16837.79527559055"/>
          <w:pgMar w:top="1440" w:right="1440" w:bottom="1440" w:left="1440" w:header="720" w:footer="720" w:gutter="0"/>
          <w:cols w:num="1" w:space="720"/>
        </w:sectPr>
      </w:pPr>
    </w:p>
    <w:bookmarkStart w:id="734" w:name="pg20363_210107"/>
    <w:bookmarkEnd w:id="734"/>
    <w:p>
      <w:pPr>
        <w:pStyle w:val="Heading3"/>
      </w:pPr>
      <w:bookmarkStart w:id="3123" w:name="_Toc2383"/>
      <w:r>
        <w:t>•التجزي في الاجتهاد / اصول فقه / عربی</w:t>
      </w:r>
      <w:bookmarkEnd w:id="3123"/>
    </w:p>
    <w:p>
      <w:pPr>
        <w:pStyle w:val="BookText"/>
      </w:pPr>
      <w:r>
        <w:rPr>
          <w:rFonts w:ascii="Times New Roman" w:hAnsi="Times New Roman" w:eastAsia="Times New Roman" w:cs="Times New Roman"/>
          <w:lang w:val="en-US" w:bidi="en-US"/>
          <w:color w:val="111111"/>
          <w:sz w:val="28"/>
          <w:szCs w:val="28"/>
          <w:rtl/>
        </w:rPr>
        <w:t xml:space="preserve">at-tajazzī fi-1 ijtihād</w:t>
      </w:r>
    </w:p>
    <w:p>
      <w:pPr>
        <w:pStyle w:val="BookText"/>
      </w:pPr>
      <w:r>
        <w:rPr>
          <w:rFonts w:ascii="IRNazanin" w:hAnsi="IRNazanin" w:eastAsia="IRNazanin" w:cs="IRNazanin"/>
          <w:lang w:bidi="fa-IR"/>
          <w:color w:val="111111"/>
          <w:sz w:val="28"/>
          <w:szCs w:val="28"/>
          <w:rtl/>
        </w:rPr>
        <w:t xml:space="preserve">آرانی کاشانی، محمد حسین بن محمد باقر، ق ۱۴ قمری</w:t>
      </w:r>
    </w:p>
    <w:p>
      <w:pPr>
        <w:pStyle w:val="BookText"/>
      </w:pPr>
      <w:r>
        <w:rPr>
          <w:rFonts w:ascii="Times New Roman" w:hAnsi="Times New Roman" w:eastAsia="Times New Roman" w:cs="Times New Roman"/>
          <w:lang w:val="en-US" w:bidi="en-US"/>
          <w:color w:val="111111"/>
          <w:sz w:val="28"/>
          <w:szCs w:val="28"/>
          <w:rtl/>
        </w:rPr>
        <w:t xml:space="preserve">ārānī kāšānī, mohammad hoseyn ebn-e mohammad bāqer (-20c)</w:t>
      </w:r>
    </w:p>
    <w:p>
      <w:pPr>
        <w:pStyle w:val="BookText"/>
      </w:pPr>
      <w:r>
        <w:rPr>
          <w:rFonts w:ascii="IRNazanin" w:hAnsi="IRNazanin" w:eastAsia="IRNazanin" w:cs="IRNazanin"/>
          <w:lang w:bidi="fa-IR"/>
          <w:color w:val="111111"/>
          <w:sz w:val="28"/>
          <w:szCs w:val="28"/>
          <w:rtl/>
        </w:rPr>
        <w:t xml:space="preserve">تاریخ تأليف: ربيع الاول ۱۲۸۰ق مسأله تجزی در اجتهاد را در یک «مقدمه» و سه «مقام» و «خاتمه» مورد بررسی قرار داده است.</w:t>
      </w:r>
    </w:p>
    <w:p>
      <w:pPr>
        <w:pStyle w:val="BookText"/>
      </w:pPr>
      <w:r>
        <w:rPr>
          <w:rFonts w:ascii="IRNazanin" w:hAnsi="IRNazanin" w:eastAsia="IRNazanin" w:cs="IRNazanin"/>
          <w:lang w:bidi="fa-IR"/>
          <w:color w:val="111111"/>
          <w:sz w:val="28"/>
          <w:szCs w:val="28"/>
          <w:rtl/>
        </w:rPr>
        <w:t xml:space="preserve">قم؛ مرکز احیاء؛ شماره نسخه:۳۴۷۹/۴</w:t>
      </w:r>
    </w:p>
    <w:p>
      <w:pPr>
        <w:pStyle w:val="BookText"/>
      </w:pPr>
      <w:r>
        <w:rPr>
          <w:rFonts w:ascii="IRNazanin" w:hAnsi="IRNazanin" w:eastAsia="IRNazanin" w:cs="IRNazanin"/>
          <w:lang w:bidi="fa-IR"/>
          <w:color w:val="111111"/>
          <w:sz w:val="28"/>
          <w:szCs w:val="28"/>
          <w:rtl/>
        </w:rPr>
        <w:t xml:space="preserve">آغاز: الحمدلله الموفق عباده المستعدين للوصول الى معارج التفقه في فروع الدين و الصلاة و السلام على المخصوص بالدرجة الختمية بين الأنبياء و المرسلين؛ انجام: فعلیه جبرانه باستكمال ما هو العمدة فيها مطلقا ولا حول و لا قوة الا بالله تم ما اردنا ایراده. خط: نسخ، كاتب = مؤلف، تا: ۱۲۸۰ق؛ مصحح: ۱۰گ (۴۰۳پ - ۴۱۲ر)، ۱۷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w:t>
      </w:r>
    </w:p>
    <w:p>
      <w:pPr>
        <w:pStyle w:val="BookText"/>
      </w:pPr>
      <w:r>
        <w:rPr>
          <w:rFonts w:ascii="IRNazanin" w:hAnsi="IRNazanin" w:eastAsia="IRNazanin" w:cs="IRNazanin"/>
          <w:lang w:bidi="fa-IR"/>
          <w:color w:val="111111"/>
          <w:sz w:val="28"/>
          <w:szCs w:val="28"/>
          <w:rtl/>
        </w:rPr>
        <w:t xml:space="preserve">سم [ محدث ارموی مخ: ۱-۲۷۷]</w:t>
      </w:r>
    </w:p>
    <w:p>
      <w:pPr>
        <w:pStyle w:val="Heading3"/>
      </w:pPr>
      <w:bookmarkStart w:id="3124" w:name="_Toc2384"/>
      <w:r>
        <w:t>• التجزی و امکانه / اصول فقه / عربی</w:t>
      </w:r>
      <w:bookmarkEnd w:id="3124"/>
    </w:p>
    <w:p>
      <w:pPr>
        <w:pStyle w:val="BookText"/>
      </w:pPr>
      <w:r>
        <w:rPr>
          <w:rFonts w:ascii="Times New Roman" w:hAnsi="Times New Roman" w:eastAsia="Times New Roman" w:cs="Times New Roman"/>
          <w:lang w:val="en-US" w:bidi="en-US"/>
          <w:color w:val="111111"/>
          <w:sz w:val="28"/>
          <w:szCs w:val="28"/>
          <w:rtl/>
        </w:rPr>
        <w:t xml:space="preserve">at-tajazzī wa imkān-uh</w:t>
      </w:r>
    </w:p>
    <w:p>
      <w:pPr>
        <w:pStyle w:val="BookText"/>
      </w:pPr>
      <w:r>
        <w:rPr>
          <w:rFonts w:ascii="IRNazanin" w:hAnsi="IRNazanin" w:eastAsia="IRNazanin" w:cs="IRNazanin"/>
          <w:lang w:bidi="fa-IR"/>
          <w:color w:val="111111"/>
          <w:sz w:val="28"/>
          <w:szCs w:val="28"/>
          <w:rtl/>
        </w:rPr>
        <w:t xml:space="preserve">کاشانی، محمد ابراهيم بن محمد، -۱۳۳۹ قمری</w:t>
      </w:r>
    </w:p>
    <w:p>
      <w:pPr>
        <w:pStyle w:val="BookText"/>
      </w:pPr>
      <w:r>
        <w:rPr>
          <w:rFonts w:ascii="Times New Roman" w:hAnsi="Times New Roman" w:eastAsia="Times New Roman" w:cs="Times New Roman"/>
          <w:lang w:val="en-US" w:bidi="en-US"/>
          <w:color w:val="111111"/>
          <w:sz w:val="28"/>
          <w:szCs w:val="28"/>
          <w:rtl/>
        </w:rPr>
        <w:t xml:space="preserve">kāšānī, mohammad ebrāhīm ebn-e mohammad (-1921)</w:t>
      </w:r>
    </w:p>
    <w:p>
      <w:pPr>
        <w:pStyle w:val="BookText"/>
      </w:pPr>
      <w:r>
        <w:rPr>
          <w:rFonts w:ascii="IRNazanin" w:hAnsi="IRNazanin" w:eastAsia="IRNazanin" w:cs="IRNazanin"/>
          <w:lang w:bidi="fa-IR"/>
          <w:color w:val="111111"/>
          <w:sz w:val="28"/>
          <w:szCs w:val="28"/>
          <w:rtl/>
        </w:rPr>
        <w:t xml:space="preserve">رساله ای است کوتاه در بحث تجزی در اجتهاد که از مسائل اصول فقه است.</w:t>
      </w:r>
    </w:p>
    <w:p>
      <w:pPr>
        <w:pStyle w:val="BookText"/>
      </w:pPr>
      <w:r>
        <w:rPr>
          <w:rFonts w:ascii="IRNazanin" w:hAnsi="IRNazanin" w:eastAsia="IRNazanin" w:cs="IRNazanin"/>
          <w:lang w:bidi="fa-IR"/>
          <w:color w:val="111111"/>
          <w:sz w:val="28"/>
          <w:szCs w:val="28"/>
          <w:rtl/>
        </w:rPr>
        <w:t xml:space="preserve">[دنا ۸۰۵/۲ ؛ دائرة المعارف تشیع ۲۰۴/۱ ؛ هدية ذوى الفضل و النهي بترجمة المولى محمد علم الهدی با مقدمه معادن الحكمة، چاپ دوم از انتشارات دفتر جامعه مدرسین قم،60/1 ]</w:t>
      </w:r>
    </w:p>
    <w:p>
      <w:pPr>
        <w:pStyle w:val="BookText"/>
      </w:pPr>
      <w:r>
        <w:rPr>
          <w:rFonts w:ascii="IRNazanin" w:hAnsi="IRNazanin" w:eastAsia="IRNazanin" w:cs="IRNazanin"/>
          <w:lang w:bidi="fa-IR"/>
          <w:color w:val="111111"/>
          <w:sz w:val="28"/>
          <w:szCs w:val="28"/>
          <w:rtl/>
        </w:rPr>
        <w:t xml:space="preserve">قم؛ مرعشی؛ شماره نسخه:۱۳۴۱۴</w:t>
      </w:r>
    </w:p>
    <w:p>
      <w:pPr>
        <w:pStyle w:val="BookText"/>
      </w:pPr>
      <w:r>
        <w:rPr>
          <w:rFonts w:ascii="IRNazanin" w:hAnsi="IRNazanin" w:eastAsia="IRNazanin" w:cs="IRNazanin"/>
          <w:lang w:bidi="fa-IR"/>
          <w:color w:val="111111"/>
          <w:sz w:val="28"/>
          <w:szCs w:val="28"/>
          <w:rtl/>
        </w:rPr>
        <w:t xml:space="preserve">آغاز: القول في المتجزی و الكلام فيه يقع في مراحل ثلاثة الأولى في اثبات حجية ظنه له، الثانية، في انه على الأول، هل يجوز للمقلد تقليده ام لا، انجام: لانه جاهل فيها و وظيفة الجاهل تكون التقليد، هذه بضاعتنا و الله الموفق و عليه التكلان</w:t>
      </w:r>
    </w:p>
    <w:p>
      <w:pPr>
        <w:pStyle w:val="BookText"/>
      </w:pPr>
      <w:r>
        <w:rPr>
          <w:rFonts w:ascii="IRNazanin" w:hAnsi="IRNazanin" w:eastAsia="IRNazanin" w:cs="IRNazanin"/>
          <w:lang w:bidi="fa-IR"/>
          <w:color w:val="111111"/>
          <w:sz w:val="28"/>
          <w:szCs w:val="28"/>
          <w:rtl/>
        </w:rPr>
        <w:t xml:space="preserve">خط: نستعلیق، کاتب = مؤلف، تا: اواخر سده ۱۳ یا اوایل ۱۴؛ یادداشت فرزندش، محمد جعفر، مشهور به علامه فیض کاشانی؛ مهر: آية الله مرعشی نجفی؛ کاغذ: فرنگی، جلد: تیماج قهوه ای، ۲۳گ، ۱۱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۳۴-۳۷]</w:t>
      </w:r>
    </w:p>
    <w:p>
      <w:pPr>
        <w:pStyle w:val="Heading3"/>
      </w:pPr>
      <w:bookmarkStart w:id="3125" w:name="_Toc2385"/>
      <w:r>
        <w:t>•التجليات / عرفان و تصوف / عربی</w:t>
      </w:r>
      <w:bookmarkEnd w:id="3125"/>
    </w:p>
    <w:p>
      <w:pPr>
        <w:pStyle w:val="BookText"/>
      </w:pPr>
      <w:r>
        <w:rPr>
          <w:rFonts w:ascii="Times New Roman" w:hAnsi="Times New Roman" w:eastAsia="Times New Roman" w:cs="Times New Roman"/>
          <w:lang w:val="en-US" w:bidi="en-US"/>
          <w:color w:val="111111"/>
          <w:sz w:val="28"/>
          <w:szCs w:val="28"/>
          <w:rtl/>
        </w:rPr>
        <w:t xml:space="preserve">at-tajallīyāt</w:t>
      </w:r>
    </w:p>
    <w:p>
      <w:pPr>
        <w:pStyle w:val="BookText"/>
      </w:pPr>
      <w:r>
        <w:rPr>
          <w:rFonts w:ascii="IRNazanin" w:hAnsi="IRNazanin" w:eastAsia="IRNazanin" w:cs="IRNazanin"/>
          <w:lang w:bidi="fa-IR"/>
          <w:color w:val="111111"/>
          <w:sz w:val="28"/>
          <w:szCs w:val="28"/>
          <w:rtl/>
        </w:rPr>
        <w:t xml:space="preserve">ابن عربی، محمد بن على، ۵۶۰-۶۳۸ قمری</w:t>
      </w:r>
    </w:p>
    <w:p>
      <w:pPr>
        <w:pStyle w:val="BookText"/>
      </w:pPr>
      <w:r>
        <w:rPr>
          <w:rFonts w:ascii="Times New Roman" w:hAnsi="Times New Roman" w:eastAsia="Times New Roman" w:cs="Times New Roman"/>
          <w:lang w:val="en-US" w:bidi="en-US"/>
          <w:color w:val="111111"/>
          <w:sz w:val="28"/>
          <w:szCs w:val="28"/>
          <w:rtl/>
        </w:rPr>
        <w:t xml:space="preserve">ebn-e 'arabī, mohammad ebn-e ‘alī (1166-1241)</w:t>
      </w:r>
    </w:p>
    <w:p>
      <w:pPr>
        <w:pStyle w:val="BookText"/>
      </w:pPr>
      <w:r>
        <w:rPr>
          <w:rFonts w:ascii="IRNazanin" w:hAnsi="IRNazanin" w:eastAsia="IRNazanin" w:cs="IRNazanin"/>
          <w:lang w:bidi="fa-IR"/>
          <w:color w:val="111111"/>
          <w:sz w:val="28"/>
          <w:szCs w:val="28"/>
          <w:rtl/>
        </w:rPr>
        <w:t xml:space="preserve">کتابی عرفانی که تجلیات حضرت الوهي قابل درک را، در یکصد و نه (یا ۱۰۸) تجلی را بر شمرده است. که عبارت است: 1. تجلی الاشاره من طريق السر، ۲. تجلی تعوت التنزه في قرة العين، ۳. تجلی تنزيل الغيوب على الموقنین، ۴. تجلى الاشاره في عين الجمع، ۵. تجلی الانية من حيث الحجاب و السر، ۶. تجلی اخذ المدركات عن قدركاتها الكونية، ۷. تجلی اختلاف الأحوال، ۸ تجلى الالتباس، ۹. تجلی رد الحقایق، ۱۰. تجلی المعية، ۱۱. تجلى المجادلة، ۱۲. تجلى القطرة، ۱۳. تجلى السريان الوجودی، ۱۴. تجلي الرحموت، ۱۵. تجلى الرحمة على القلوب، ۱۶. تجلي الجود، ۱۷. تجلی و العدل و الجزاء، ۱۸. تجلى الرحمة على القلوب، 19. تجلی السبیحات، ۲۰. تجلى التحويل في الصور، ۲۱. تجلى الجبرة، ۲۲. تجلى الدعوى، ۲۳. تجلی الانصاف، ۲۴. تجلى معرفة المراتب، ۲۵. تجلى المقابلة، ۲۶. تجلى القسمة، ۲۷. تجلى الانتظار، ۲۸. تجلى الصدق، ۲۹. تجلی التهييو، ۳۰. تجلى الهمم، ۳۱. تجلى الاستواء، ۳۲. تجلى الولاية، ۳۳. تجلى المزج، ۳۴. تجلى الفرد ابيه، ۳۵. تجلى التسليم، ۳۶. تجلی نور الايمان، ۳۷. تجلی معارج الأرواح، ۳۸. تجلی ما تعطيه الشرایع، ۳۹. تجلى الحد، ۴۰. تجلى الظنون، ۴۱. تجلى المراقبة، ۴۲. تجلى القدرته، ۴۳. تجلى القلب، ۴۴. تجلى النشاة، ۴۵. تجلی الخاطر، ۴۶. تجلی الاطلاع، ۴۷. تجلی تاره و تارة، ۴۸. تجلی الوصية، ۴۹. تجلی الاخلاق، ۵۰. تجلی التوحید، ۵۱. تجلی الطبع، ۵۲. تجلى اليک و منک، ۵۳. تجلى الجو و الأمر، ۵۴. تجلی المناظره، ۵۵. تجلى لايعلم التوحيد، ۵۶. تجلی ثقل التوحيد، ۵۷. تجلى العلة، ۵۸. تجلی بحر التوحید، ۵۹. تجلی سريان التوحید، ۶۰. تجلى</w:t>
      </w:r>
    </w:p>
    <w:p>
      <w:pPr>
        <w:pStyle w:val="BookText"/>
      </w:pPr>
      <w:r>
        <w:rPr>
          <w:rFonts w:ascii="IRNazanin" w:hAnsi="IRNazanin" w:eastAsia="IRNazanin" w:cs="IRNazanin"/>
          <w:lang w:bidi="fa-IR"/>
          <w:color w:val="111111"/>
          <w:sz w:val="28"/>
          <w:szCs w:val="28"/>
          <w:rtl/>
        </w:rPr>
        <w:t xml:space="preserve">جمع التوحید، ۶۱. تجلی تفرقة التوحيد، ۶۲. تجلی جمعیته، ۶۳. تجلى توحيد الغناء، ۶۴. تجلی اقامة التوحيد، ۶۵. تجلی توحیدی الخروج، ۶۶. تجلی تجلی التوحيد، ۶۷. تجلى توحيد الربوبية، ۶۸. تجلی دی التوحید، ۶۹. من تجليات المعرفة، ۷۰. تجلی النور الاحمر، ۷۱. تجلى النور الأبيض، ۷۲. تجلى النور الأخضر، ۷۳. تجلى الشجرة، ۷۴. تجلی توحيد الاستحقاق، ۷۵. تجلی نور الغيب، ۷۶. من تجليات التوحید، ۷۷. تجلی العزة، ۷۸. تجلى النصيحة، ۷۹. تجلی لايعز تک، ۸۰ تجلى العمل في غير معمل، ۸۱ تجلى الكمال، ۸۲ تجلی خلوص المحبة، ۸۳ تجلی نعت الولی، ۸۴ تجلی بای عين تراه و من تجليات الحقيقة، ۸۵ تجلی تصحيح المحبة، ۸۶ تجلي المعاملة، ۸۷ تجلی کيف الراحة، ۸۸ تجلی حکم</w:t>
      </w:r>
    </w:p>
    <w:p>
      <w:pPr>
        <w:pStyle w:val="BookText"/>
      </w:pPr>
      <w:r>
        <w:rPr>
          <w:rFonts w:ascii="IRNazanin" w:hAnsi="IRNazanin" w:eastAsia="IRNazanin" w:cs="IRNazanin"/>
          <w:lang w:bidi="fa-IR"/>
          <w:color w:val="111111"/>
          <w:sz w:val="28"/>
          <w:szCs w:val="28"/>
          <w:rtl/>
        </w:rPr>
        <w:t xml:space="preserve">المعدوم، ۸۹ تجلى الواحد لنفسه، ۹۰. تجلى العلامة، 11. تجلی من انت و من هو، ۱۹۲. تجلى الكلام، ۹۳. تجليات الحيرة، ۹۴. تجلى اللسان و السر، ۹۵. تجلى الوجهين، ۹۶. تجلى القلب، ۹۷ تجلی خراب البيوت، ۹۸. و من الفناء، ۹۹. تجلی طلب الروية، ۱۰۰. تجلى الدور، ۱۰۱. تجلى الاستعجام، ۱۰۲. تجلى الحظ، ۱۰۳. تجلى الامانی، ۱۰۴. تجلى التقرير، ۱۰۵. تجلی نکث المبايعة، ۱۰۶. تجلى المعارضة، ۱۰۷. تجلی فناء الجذب، ۱۰۸. تجلی ذهاب العقول. آغاز: الحمدلله محكم العقل و الراسخ في عالم البرازخ بواسطة
</w:t>
      </w:r>
    </w:p>
    <w:p>
      <w:pPr>
        <w:sectPr>
          <w:footerReference w:type="default" r:id="rId990"/>
          <w:footnotePr>
            <w:numStart w:val="1"/>
            <w:numRestart w:val="eachPage"/>
          </w:footnotePr>
          <w:pgSz w:orient="portrait" w:w="11905.511811023622" w:h="16837.79527559055"/>
          <w:pgMar w:top="1440" w:right="1440" w:bottom="1440" w:left="1440" w:header="720" w:footer="720" w:gutter="0"/>
          <w:cols w:num="1" w:space="720"/>
        </w:sectPr>
      </w:pPr>
    </w:p>
    <w:bookmarkStart w:id="735" w:name="pg20363_210108"/>
    <w:bookmarkEnd w:id="735"/>
    <w:p>
      <w:pPr>
        <w:pStyle w:val="BookText"/>
      </w:pPr>
      <w:r>
        <w:rPr>
          <w:rFonts w:ascii="Amiri" w:hAnsi="Amiri" w:eastAsia="Amiri" w:cs="Amiri"/>
          <w:lang w:bidi="ar-SA"/>
          <w:color w:val="111111"/>
          <w:sz w:val="28"/>
          <w:szCs w:val="28"/>
          <w:rtl/>
        </w:rPr>
        <w:t xml:space="preserve">الفكر التنامخ و ذكر المناح معقل الأعراس و محل وجود الأنفاس.</w:t>
      </w:r>
    </w:p>
    <w:p>
      <w:pPr>
        <w:pStyle w:val="BookText"/>
      </w:pPr>
      <w:r>
        <w:rPr>
          <w:rFonts w:ascii="IRNazanin" w:hAnsi="IRNazanin" w:eastAsia="IRNazanin" w:cs="IRNazanin"/>
          <w:lang w:bidi="fa-IR"/>
          <w:color w:val="111111"/>
          <w:sz w:val="28"/>
          <w:szCs w:val="28"/>
          <w:rtl/>
        </w:rPr>
        <w:t xml:space="preserve">انجام: عن مثل هذا يرتفع الخطاب فانه مجنون و نعم المجنون. چاپ: در رسائل محيي الدين (حیدر آباد دکن، دائرة المعارف العثمانية: ۱۹۴۸م)</w:t>
      </w:r>
    </w:p>
    <w:p>
      <w:pPr>
        <w:pStyle w:val="BookText"/>
      </w:pPr>
      <w:r>
        <w:rPr>
          <w:rFonts w:ascii="IRNazanin" w:hAnsi="IRNazanin" w:eastAsia="IRNazanin" w:cs="IRNazanin"/>
          <w:lang w:bidi="fa-IR"/>
          <w:color w:val="111111"/>
          <w:sz w:val="28"/>
          <w:szCs w:val="28"/>
          <w:rtl/>
        </w:rPr>
        <w:t xml:space="preserve">[ دنا ۸۰۵/۲ ]</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شرح التجليات؛ نوری، اسماعیل بن سودکین (۶۴۶)</w:t>
      </w:r>
    </w:p>
    <w:p>
      <w:pPr>
        <w:pStyle w:val="BookText"/>
      </w:pPr>
      <w:r>
        <w:rPr>
          <w:rFonts w:ascii="IRNazanin" w:hAnsi="IRNazanin" w:eastAsia="IRNazanin" w:cs="IRNazanin"/>
          <w:lang w:bidi="fa-IR"/>
          <w:color w:val="111111"/>
          <w:sz w:val="28"/>
          <w:szCs w:val="28"/>
          <w:rtl/>
        </w:rPr>
        <w:t xml:space="preserve">۲- شرح التجليات لمحيي الدين عربی؛ جیلانی، عبدالکریم بن ابراهيم (۸۳۲-۷۶۷)</w:t>
      </w:r>
    </w:p>
    <w:p>
      <w:pPr>
        <w:pStyle w:val="BookText"/>
      </w:pPr>
      <w:r>
        <w:rPr>
          <w:rFonts w:ascii="IRNazanin" w:hAnsi="IRNazanin" w:eastAsia="IRNazanin" w:cs="IRNazanin"/>
          <w:lang w:bidi="fa-IR"/>
          <w:color w:val="111111"/>
          <w:sz w:val="28"/>
          <w:szCs w:val="28"/>
          <w:rtl/>
        </w:rPr>
        <w:t xml:space="preserve">۱. آشتیان؛ حوزه علمیه؛ شماره نسخه: ۲۳/۱</w:t>
      </w:r>
    </w:p>
    <w:p>
      <w:pPr>
        <w:pStyle w:val="BookText"/>
      </w:pPr>
      <w:r>
        <w:rPr>
          <w:rFonts w:ascii="IRNazanin" w:hAnsi="IRNazanin" w:eastAsia="IRNazanin" w:cs="IRNazanin"/>
          <w:lang w:bidi="fa-IR"/>
          <w:color w:val="111111"/>
          <w:sz w:val="28"/>
          <w:szCs w:val="28"/>
          <w:rtl/>
        </w:rPr>
        <w:t xml:space="preserve">بخش یکم آغاز: برابر؛ انجام: فيما لا يعلم من علامات من هو من اهل الله تعالى، هذا آخر التجليات الموعودة في اولها، فلله الحمد على افضاله و الصلوة و السلم على نبيا و سیدنا محمد و آله و أصحابه</w:t>
      </w:r>
    </w:p>
    <w:p>
      <w:pPr>
        <w:pStyle w:val="BookText"/>
      </w:pPr>
      <w:r>
        <w:rPr>
          <w:rFonts w:ascii="IRNazanin" w:hAnsi="IRNazanin" w:eastAsia="IRNazanin" w:cs="IRNazanin"/>
          <w:lang w:bidi="fa-IR"/>
          <w:color w:val="111111"/>
          <w:sz w:val="28"/>
          <w:szCs w:val="28"/>
          <w:rtl/>
        </w:rPr>
        <w:t xml:space="preserve">خط: نسخ معرب، كا: عبدالله بن عبيد الله بن عبدالکافی عبیدی، تا: ۲۷ صفر ۷۷۹ق؛ کاغذ: نخودی، ضخیم، جلد: تیماج قهوه ای تیره، ۲۷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۵۶]</w:t>
      </w:r>
    </w:p>
    <w:p>
      <w:pPr>
        <w:pStyle w:val="BookText"/>
      </w:pPr>
      <w:r>
        <w:rPr>
          <w:rFonts w:ascii="IRNazanin" w:hAnsi="IRNazanin" w:eastAsia="IRNazanin" w:cs="IRNazanin"/>
          <w:lang w:bidi="fa-IR"/>
          <w:color w:val="111111"/>
          <w:sz w:val="28"/>
          <w:szCs w:val="28"/>
          <w:rtl/>
        </w:rPr>
        <w:t xml:space="preserve">۲. همدان؛ مدرسه غرب؛ شماره نسخه: ۱۱۷۵/۱۱</w:t>
      </w:r>
    </w:p>
    <w:p>
      <w:pPr>
        <w:pStyle w:val="BookText"/>
      </w:pPr>
      <w:r>
        <w:rPr>
          <w:rFonts w:ascii="IRNazanin" w:hAnsi="IRNazanin" w:eastAsia="IRNazanin" w:cs="IRNazanin"/>
          <w:lang w:bidi="fa-IR"/>
          <w:color w:val="111111"/>
          <w:sz w:val="28"/>
          <w:szCs w:val="28"/>
          <w:rtl/>
        </w:rPr>
        <w:t xml:space="preserve">خط: نستعلیق، بی کا، تا: ۱۴۸ق؛ قطع: رحلی [رشت و همدان: ف: ۱۴۶۵]</w:t>
      </w:r>
    </w:p>
    <w:p>
      <w:pPr>
        <w:pStyle w:val="BookText"/>
      </w:pPr>
      <w:r>
        <w:rPr>
          <w:rFonts w:ascii="IRNazanin" w:hAnsi="IRNazanin" w:eastAsia="IRNazanin" w:cs="IRNazanin"/>
          <w:lang w:bidi="fa-IR"/>
          <w:color w:val="111111"/>
          <w:sz w:val="28"/>
          <w:szCs w:val="28"/>
          <w:rtl/>
        </w:rPr>
        <w:t xml:space="preserve">٣. قم؛ مرعشی؛ شماره نسخه:۱۵۲۷۰/۴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۱۱؛ مصحح، در پایان اشعاری از مغربی، مولوی، سنایی و شاه قاسم انوار؛ کاغذ: شرقی، ۱۱گ ( ۲۳-۱۳ )، ۳۰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۹سم [ف: ۳۸-۷۶۴]</w:t>
      </w:r>
    </w:p>
    <w:p>
      <w:pPr>
        <w:pStyle w:val="BookText"/>
      </w:pPr>
      <w:r>
        <w:rPr>
          <w:rFonts w:ascii="IRNazanin" w:hAnsi="IRNazanin" w:eastAsia="IRNazanin" w:cs="IRNazanin"/>
          <w:lang w:bidi="fa-IR"/>
          <w:color w:val="111111"/>
          <w:sz w:val="28"/>
          <w:szCs w:val="28"/>
          <w:rtl/>
        </w:rPr>
        <w:t xml:space="preserve">۴. تهران؛ مجلس؛ شماره نسخه:۶۵۰</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تا: ۱۰۸۵ق؛ ۳۰گ، ۲۵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سم [ف: ۲-۴۱۴]</w:t>
      </w:r>
    </w:p>
    <w:p>
      <w:pPr>
        <w:pStyle w:val="BookText"/>
      </w:pPr>
      <w:r>
        <w:rPr>
          <w:rFonts w:ascii="IRNazanin" w:hAnsi="IRNazanin" w:eastAsia="IRNazanin" w:cs="IRNazanin"/>
          <w:lang w:bidi="fa-IR"/>
          <w:color w:val="111111"/>
          <w:sz w:val="28"/>
          <w:szCs w:val="28"/>
          <w:rtl/>
        </w:rPr>
        <w:t xml:space="preserve">۵. مشهد؛ رضوی؛ شماره نسخه:۶۸۸۶</w:t>
      </w:r>
    </w:p>
    <w:p>
      <w:pPr>
        <w:pStyle w:val="BookText"/>
      </w:pPr>
      <w:r>
        <w:rPr>
          <w:rFonts w:ascii="IRNazanin" w:hAnsi="IRNazanin" w:eastAsia="IRNazanin" w:cs="IRNazanin"/>
          <w:lang w:bidi="fa-IR"/>
          <w:color w:val="111111"/>
          <w:sz w:val="28"/>
          <w:szCs w:val="28"/>
          <w:rtl/>
        </w:rPr>
        <w:t xml:space="preserve">آغاز: برابر؛ انجام: و حسن الظن في ما لا يعلم من علامات من هو من اهل السلام. خط: نسخ، بی کا، تا: ۱۳۱۱ق؛ واقف: ملكزاده کوثر؛ کاغذ: فرنگی، جلد: مقوا، ۱۸ گ، ۱۸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۱۱-۵۴]</w:t>
      </w:r>
    </w:p>
    <w:p>
      <w:pPr>
        <w:pStyle w:val="BookText"/>
      </w:pPr>
      <w:r>
        <w:rPr>
          <w:rFonts w:ascii="IRNazanin" w:hAnsi="IRNazanin" w:eastAsia="IRNazanin" w:cs="IRNazanin"/>
          <w:lang w:bidi="fa-IR"/>
          <w:color w:val="111111"/>
          <w:sz w:val="28"/>
          <w:szCs w:val="28"/>
          <w:rtl/>
        </w:rPr>
        <w:t xml:space="preserve">6 . قم؛ مرعشی؛ شماره نسخه: ۸۵۵۶/۱۲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حاجی عبدالله بن سید طه عرب، بی تا، جلد: مقوایی عطف تیماج قهوه ای، ۳۵گ (۲۲۵-پ۲۵۹ر)، ۱۵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۲۲-۱۳۴]</w:t>
      </w:r>
    </w:p>
    <w:p>
      <w:pPr>
        <w:pStyle w:val="Heading3"/>
      </w:pPr>
      <w:bookmarkStart w:id="3126" w:name="_Toc2386"/>
      <w:r>
        <w:t>•تجلیات / ادبیات / فارسی</w:t>
      </w:r>
      <w:bookmarkEnd w:id="3126"/>
    </w:p>
    <w:p>
      <w:pPr>
        <w:pStyle w:val="BookText"/>
      </w:pPr>
      <w:r>
        <w:rPr>
          <w:rFonts w:ascii="Times New Roman" w:hAnsi="Times New Roman" w:eastAsia="Times New Roman" w:cs="Times New Roman"/>
          <w:lang w:val="en-US" w:bidi="en-US"/>
          <w:color w:val="111111"/>
          <w:sz w:val="28"/>
          <w:szCs w:val="28"/>
          <w:rtl/>
        </w:rPr>
        <w:t xml:space="preserve">tajallīyāt</w:t>
      </w:r>
    </w:p>
    <w:p>
      <w:pPr>
        <w:pStyle w:val="BookText"/>
      </w:pPr>
      <w:r>
        <w:rPr>
          <w:rFonts w:ascii="IRNazanin" w:hAnsi="IRNazanin" w:eastAsia="IRNazanin" w:cs="IRNazanin"/>
          <w:lang w:bidi="fa-IR"/>
          <w:color w:val="111111"/>
          <w:sz w:val="28"/>
          <w:szCs w:val="28"/>
          <w:rtl/>
        </w:rPr>
        <w:t xml:space="preserve">طغرای مشهدی، -۱۱۰۰ قمری</w:t>
      </w:r>
    </w:p>
    <w:p>
      <w:pPr>
        <w:pStyle w:val="BookText"/>
      </w:pPr>
      <w:r>
        <w:rPr>
          <w:rFonts w:ascii="Times New Roman" w:hAnsi="Times New Roman" w:eastAsia="Times New Roman" w:cs="Times New Roman"/>
          <w:lang w:val="en-US" w:bidi="en-US"/>
          <w:color w:val="111111"/>
          <w:sz w:val="28"/>
          <w:szCs w:val="28"/>
          <w:rtl/>
        </w:rPr>
        <w:t xml:space="preserve">toqrā-ye mašhadī (-1689)</w:t>
      </w:r>
    </w:p>
    <w:p>
      <w:pPr>
        <w:pStyle w:val="BookText"/>
      </w:pPr>
      <w:r>
        <w:rPr>
          <w:rFonts w:ascii="IRNazanin" w:hAnsi="IRNazanin" w:eastAsia="IRNazanin" w:cs="IRNazanin"/>
          <w:lang w:bidi="fa-IR"/>
          <w:color w:val="111111"/>
          <w:sz w:val="28"/>
          <w:szCs w:val="28"/>
          <w:rtl/>
        </w:rPr>
        <w:t xml:space="preserve">نثر آمیخته به نظم، در وصف کشمیر و ستایش از میر حسین سبزواری، در پایان آن گوید: چون خامه جلاپذیر شد از رقمش *** آن به که «تجلیات» نامش سازد.</w:t>
      </w:r>
    </w:p>
    <w:p>
      <w:pPr>
        <w:pStyle w:val="BookText"/>
      </w:pPr>
      <w:r>
        <w:rPr>
          <w:rFonts w:ascii="IRNazanin" w:hAnsi="IRNazanin" w:eastAsia="IRNazanin" w:cs="IRNazanin"/>
          <w:lang w:bidi="fa-IR"/>
          <w:color w:val="111111"/>
          <w:sz w:val="28"/>
          <w:szCs w:val="28"/>
          <w:rtl/>
        </w:rPr>
        <w:t xml:space="preserve">آغاز: طغرا تا از تجلیات خویش بیهوش ساز کلیم ناطقه ... کشمیر بود و فصل خزان عالم نور *** بر طالب فیض، دیدنش هست ضرور ...</w:t>
      </w:r>
    </w:p>
    <w:p>
      <w:pPr>
        <w:pStyle w:val="BookText"/>
      </w:pPr>
      <w:r>
        <w:rPr>
          <w:rFonts w:ascii="IRNazanin" w:hAnsi="IRNazanin" w:eastAsia="IRNazanin" w:cs="IRNazanin"/>
          <w:lang w:bidi="fa-IR"/>
          <w:color w:val="111111"/>
          <w:sz w:val="28"/>
          <w:szCs w:val="28"/>
          <w:rtl/>
        </w:rPr>
        <w:t xml:space="preserve">انجام: سخنور با سخن دارد سر و کار *** زمین فکر چه گلخن چه گلزار</w:t>
      </w:r>
    </w:p>
    <w:p>
      <w:pPr>
        <w:pStyle w:val="BookText"/>
      </w:pPr>
      <w:r>
        <w:rPr>
          <w:rFonts w:ascii="IRNazanin" w:hAnsi="IRNazanin" w:eastAsia="IRNazanin" w:cs="IRNazanin"/>
          <w:lang w:bidi="fa-IR"/>
          <w:color w:val="111111"/>
          <w:sz w:val="28"/>
          <w:szCs w:val="28"/>
          <w:rtl/>
        </w:rPr>
        <w:t xml:space="preserve">چاپ: گانپور، سنگی، ۱۲۶۶ ق.، وزیری بزرگ، وص (رسائل طغرا: صص۱۰۰-۱۰۸)؛ ۱۳۰۲ ق./۱۸۸۵م؛ ۱۲۸۸ ق./۱۸۷۱م؛ الكهنو، سنگی، ۱۲۸۱، وزیری بزرگ ، 9ص</w:t>
      </w:r>
    </w:p>
    <w:p>
      <w:pPr>
        <w:pStyle w:val="BookText"/>
      </w:pPr>
      <w:r>
        <w:rPr>
          <w:rFonts w:ascii="IRNazanin" w:hAnsi="IRNazanin" w:eastAsia="IRNazanin" w:cs="IRNazanin"/>
          <w:lang w:bidi="fa-IR"/>
          <w:color w:val="111111"/>
          <w:sz w:val="28"/>
          <w:szCs w:val="28"/>
          <w:rtl/>
        </w:rPr>
        <w:t xml:space="preserve">[نسخه های منزوی ۳۵۴۳/۵ : (۱۰ نسخه)؛ مشترک پاکستان ۱۶۴/۵ : (۱۰ نسخه دیگر)؛ دنا ۸۰۵/۲ (۸ نسخه)؛ شعرای کشمیر ۷۴۶/۲ ]</w:t>
      </w:r>
    </w:p>
    <w:p>
      <w:pPr>
        <w:pStyle w:val="BookText"/>
      </w:pPr>
      <w:r>
        <w:rPr>
          <w:rFonts w:ascii="IRNazanin" w:hAnsi="IRNazanin" w:eastAsia="IRNazanin" w:cs="IRNazanin"/>
          <w:lang w:bidi="fa-IR"/>
          <w:color w:val="111111"/>
          <w:sz w:val="28"/>
          <w:szCs w:val="28"/>
          <w:rtl/>
        </w:rPr>
        <w:t xml:space="preserve">۱. تهران؛ مجلس؛ شماره نسخه:۱۰۱۷۱/۴</w:t>
      </w:r>
    </w:p>
    <w:p>
      <w:pPr>
        <w:pStyle w:val="BookText"/>
      </w:pPr>
      <w:r>
        <w:rPr>
          <w:rFonts w:ascii="IRNazanin" w:hAnsi="IRNazanin" w:eastAsia="IRNazanin" w:cs="IRNazanin"/>
          <w:lang w:bidi="fa-IR"/>
          <w:color w:val="111111"/>
          <w:sz w:val="28"/>
          <w:szCs w:val="28"/>
          <w:rtl/>
        </w:rPr>
        <w:t xml:space="preserve">خط: نستعلیق، بی کا، تا: ۱۰۳۹ق؛ ص (۲۲۳-۲۲۹)، اندازه: ۱۱/۵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۱۷/۵سم[ف: ۳۲-۲۰۴]</w:t>
      </w:r>
    </w:p>
    <w:p>
      <w:pPr>
        <w:pStyle w:val="BookText"/>
      </w:pPr>
      <w:r>
        <w:rPr>
          <w:rFonts w:ascii="IRNazanin" w:hAnsi="IRNazanin" w:eastAsia="IRNazanin" w:cs="IRNazanin"/>
          <w:lang w:bidi="fa-IR"/>
          <w:color w:val="111111"/>
          <w:sz w:val="28"/>
          <w:szCs w:val="28"/>
          <w:rtl/>
        </w:rPr>
        <w:t xml:space="preserve">۲. تهران؛ مجلس؛ شماره نسخه: ۳۲۹۶/۶/5</w:t>
      </w:r>
    </w:p>
    <w:p>
      <w:pPr>
        <w:pStyle w:val="BookText"/>
      </w:pPr>
      <w:r>
        <w:rPr>
          <w:rFonts w:ascii="IRNazanin" w:hAnsi="IRNazanin" w:eastAsia="IRNazanin" w:cs="IRNazanin"/>
          <w:lang w:bidi="fa-IR"/>
          <w:color w:val="111111"/>
          <w:sz w:val="28"/>
          <w:szCs w:val="28"/>
          <w:rtl/>
        </w:rPr>
        <w:t xml:space="preserve">آغاز: خط عشق بنور این غنی میسازد؛ انجام: برابر</w:t>
      </w:r>
    </w:p>
    <w:p>
      <w:pPr>
        <w:pStyle w:val="BookText"/>
      </w:pPr>
      <w:r>
        <w:rPr>
          <w:rFonts w:ascii="IRNazanin" w:hAnsi="IRNazanin" w:eastAsia="IRNazanin" w:cs="IRNazanin"/>
          <w:lang w:bidi="fa-IR"/>
          <w:color w:val="111111"/>
          <w:sz w:val="28"/>
          <w:szCs w:val="28"/>
          <w:rtl/>
        </w:rPr>
        <w:t xml:space="preserve">خط: شکسته نستعلیق هندی، بی کا، تا: قرن ۱۲ کاغذ: هندی شکری، جلد: مقوای چینی با عطف تیماج مشکی، ۱۰ص( ۲۱۸ -۲۲۷)، ۱۳ سطر، اندازه: ۲۳/۵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۱۰-۹۴۴]</w:t>
      </w:r>
    </w:p>
    <w:p>
      <w:pPr>
        <w:pStyle w:val="BookText"/>
      </w:pPr>
      <w:r>
        <w:rPr>
          <w:rFonts w:ascii="IRNazanin" w:hAnsi="IRNazanin" w:eastAsia="IRNazanin" w:cs="IRNazanin"/>
          <w:lang w:bidi="fa-IR"/>
          <w:color w:val="111111"/>
          <w:sz w:val="28"/>
          <w:szCs w:val="28"/>
          <w:rtl/>
        </w:rPr>
        <w:t xml:space="preserve">٣. قم؛ مرعشی؛ شماره نسخه: ۱۵۱۱۴/۲</w:t>
      </w:r>
    </w:p>
    <w:p>
      <w:pPr>
        <w:pStyle w:val="BookText"/>
      </w:pPr>
      <w:r>
        <w:rPr>
          <w:rFonts w:ascii="IRNazanin" w:hAnsi="IRNazanin" w:eastAsia="IRNazanin" w:cs="IRNazanin"/>
          <w:lang w:bidi="fa-IR"/>
          <w:color w:val="111111"/>
          <w:sz w:val="28"/>
          <w:szCs w:val="28"/>
          <w:rtl/>
        </w:rPr>
        <w:t xml:space="preserve">آغاز: برابر؛ انجام: چون خامه جلاپذیر شد از رقمش *** آن به که تجلیات نامش سازد</w:t>
      </w:r>
    </w:p>
    <w:p>
      <w:pPr>
        <w:pStyle w:val="BookText"/>
      </w:pPr>
      <w:r>
        <w:rPr>
          <w:rFonts w:ascii="IRNazanin" w:hAnsi="IRNazanin" w:eastAsia="IRNazanin" w:cs="IRNazanin"/>
          <w:lang w:bidi="fa-IR"/>
          <w:color w:val="111111"/>
          <w:sz w:val="28"/>
          <w:szCs w:val="28"/>
          <w:rtl/>
        </w:rPr>
        <w:t xml:space="preserve">خط: نستعلیق، بی کا، تا: قرن ۱۲؛ مصحح، کاغذ: فرنگی، ۱۰گ (۱۷-۸)، ۱۲ سطر، اندازه: ۱۲۸۶ سم [ف: ۳۸-۳۱۶]</w:t>
      </w:r>
    </w:p>
    <w:p>
      <w:pPr>
        <w:pStyle w:val="BookText"/>
      </w:pPr>
      <w:r>
        <w:rPr>
          <w:rFonts w:ascii="IRNazanin" w:hAnsi="IRNazanin" w:eastAsia="IRNazanin" w:cs="IRNazanin"/>
          <w:lang w:bidi="fa-IR"/>
          <w:color w:val="111111"/>
          <w:sz w:val="28"/>
          <w:szCs w:val="28"/>
          <w:rtl/>
        </w:rPr>
        <w:t xml:space="preserve">۴. قم؛ مرعشی؛ شماره نسخه: ۱۵۲۷۴/۸</w:t>
      </w:r>
    </w:p>
    <w:p>
      <w:pPr>
        <w:pStyle w:val="BookText"/>
      </w:pPr>
      <w:r>
        <w:rPr>
          <w:rFonts w:ascii="IRNazanin" w:hAnsi="IRNazanin" w:eastAsia="IRNazanin" w:cs="IRNazanin"/>
          <w:lang w:bidi="fa-IR"/>
          <w:color w:val="111111"/>
          <w:sz w:val="28"/>
          <w:szCs w:val="28"/>
          <w:rtl/>
        </w:rPr>
        <w:t xml:space="preserve">آغاز: برابر؛ انجام: چون خامه جلا پذیر شد از رقمش*** آن به که تجلیات نامش سازد. خط: نسخ، بی کا، تا: قرن ۱۲؛ مصحح، کاغذ: شرقی، ۴گ (۶۱ -۶۴)، ۱۹ سطر، اندازه:</w:t>
      </w:r>
    </w:p>
    <w:p>
      <w:pPr>
        <w:pStyle w:val="BookText"/>
      </w:pPr>
      <w:r>
        <w:rPr>
          <w:rFonts w:ascii="IRNazanin" w:hAnsi="IRNazanin" w:eastAsia="IRNazanin" w:cs="IRNazanin"/>
          <w:lang w:bidi="fa-IR"/>
          <w:color w:val="111111"/>
          <w:sz w:val="28"/>
          <w:szCs w:val="28"/>
          <w:rtl/>
        </w:rPr>
        <w:t xml:space="preserve">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سم [ف: ۳۸-۷۸۳]</w:t>
      </w:r>
    </w:p>
    <w:p>
      <w:pPr>
        <w:pStyle w:val="BookText"/>
      </w:pPr>
      <w:r>
        <w:rPr>
          <w:rFonts w:ascii="Amiri" w:hAnsi="Amiri" w:eastAsia="Amiri" w:cs="Amiri"/>
          <w:lang w:bidi="ar-SA"/>
          <w:color w:val="111111"/>
          <w:sz w:val="28"/>
          <w:szCs w:val="28"/>
          <w:rtl/>
        </w:rPr>
        <w:t xml:space="preserve">۵. تهران: دائرة المعارف؛ شماره نسخه: ۷۶۹/۱۱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پخته، بی کا، تا: قرن ۱۲؛ ۱۰گ (۱۰۶ر۱۱۵پ) [ف: ۲-۳۹]</w:t>
      </w:r>
    </w:p>
    <w:p>
      <w:pPr>
        <w:pStyle w:val="BookText"/>
      </w:pPr>
      <w:r>
        <w:rPr>
          <w:rFonts w:ascii="Amiri" w:hAnsi="Amiri" w:eastAsia="Amiri" w:cs="Amiri"/>
          <w:lang w:bidi="ar-SA"/>
          <w:color w:val="111111"/>
          <w:sz w:val="28"/>
          <w:szCs w:val="28"/>
          <w:rtl/>
        </w:rPr>
        <w:t xml:space="preserve">6 . تهران؛ دائرة المعارف؛ شماره نسخه: ۷۵۰/۵</w:t>
      </w:r>
    </w:p>
    <w:p>
      <w:pPr>
        <w:pStyle w:val="BookText"/>
      </w:pPr>
      <w:r>
        <w:rPr>
          <w:rFonts w:ascii="IRNazanin" w:hAnsi="IRNazanin" w:eastAsia="IRNazanin" w:cs="IRNazanin"/>
          <w:lang w:bidi="fa-IR"/>
          <w:color w:val="111111"/>
          <w:sz w:val="28"/>
          <w:szCs w:val="28"/>
          <w:rtl/>
        </w:rPr>
        <w:t xml:space="preserve">خط: نستعلیق تحریری، بی کا، تا: قرن ۱۲، ۱۳گ (۹۴-۱۰۶پ)</w:t>
      </w:r>
    </w:p>
    <w:p>
      <w:pPr>
        <w:pStyle w:val="BookText"/>
      </w:pPr>
      <w:r>
        <w:rPr>
          <w:rFonts w:ascii="IRNazanin" w:hAnsi="IRNazanin" w:eastAsia="IRNazanin" w:cs="IRNazanin"/>
          <w:lang w:bidi="fa-IR"/>
          <w:color w:val="111111"/>
          <w:sz w:val="28"/>
          <w:szCs w:val="28"/>
          <w:rtl/>
        </w:rPr>
        <w:t xml:space="preserve">[ف: ۲-۳۹]</w:t>
      </w:r>
    </w:p>
    <w:p>
      <w:pPr>
        <w:pStyle w:val="BookText"/>
      </w:pPr>
      <w:r>
        <w:rPr>
          <w:rFonts w:ascii="IRNazanin" w:hAnsi="IRNazanin" w:eastAsia="IRNazanin" w:cs="IRNazanin"/>
          <w:lang w:bidi="fa-IR"/>
          <w:color w:val="111111"/>
          <w:sz w:val="28"/>
          <w:szCs w:val="28"/>
          <w:rtl/>
        </w:rPr>
        <w:t xml:space="preserve">۷. تهران: دائرة المعارف؛ شماره نسخه:۲۰۰/۴ -عکسی
</w:t>
      </w:r>
    </w:p>
    <w:p>
      <w:pPr>
        <w:sectPr>
          <w:footerReference w:type="default" r:id="rId991"/>
          <w:footnotePr>
            <w:numStart w:val="1"/>
            <w:numRestart w:val="eachPage"/>
          </w:footnotePr>
          <w:pgSz w:orient="portrait" w:w="11905.511811023622" w:h="16837.79527559055"/>
          <w:pgMar w:top="1440" w:right="1440" w:bottom="1440" w:left="1440" w:header="720" w:footer="720" w:gutter="0"/>
          <w:cols w:num="1" w:space="720"/>
        </w:sectPr>
      </w:pPr>
    </w:p>
    <w:bookmarkStart w:id="736" w:name="pg20363_210109"/>
    <w:bookmarkEnd w:id="736"/>
    <w:p>
      <w:pPr>
        <w:pStyle w:val="BookText"/>
      </w:pPr>
      <w:r>
        <w:rPr>
          <w:rFonts w:ascii="IRNazanin" w:hAnsi="IRNazanin" w:eastAsia="IRNazanin" w:cs="IRNazanin"/>
          <w:lang w:bidi="fa-IR"/>
          <w:color w:val="111111"/>
          <w:sz w:val="28"/>
          <w:szCs w:val="28"/>
          <w:rtl/>
        </w:rPr>
        <w:t xml:space="preserve">نسخه اصل: گنج بخش، ۲۰۸۶ (گنج، ۱۲۵۸/۳ )؛ خط: نستعليق تحریری، بی کا، تا: قرن ۱۲ [عکسی ف: ۲-۵۹]</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دائرة المعارف؛ شماره نسخه: ۲۵۸/۵ -عکسی</w:t>
      </w:r>
    </w:p>
    <w:p>
      <w:pPr>
        <w:pStyle w:val="BookText"/>
      </w:pPr>
      <w:r>
        <w:rPr>
          <w:rFonts w:ascii="IRNazanin" w:hAnsi="IRNazanin" w:eastAsia="IRNazanin" w:cs="IRNazanin"/>
          <w:lang w:bidi="fa-IR"/>
          <w:color w:val="111111"/>
          <w:sz w:val="28"/>
          <w:szCs w:val="28"/>
          <w:rtl/>
        </w:rPr>
        <w:t xml:space="preserve">نسخه اصل: کتابخانه میرداد خان افغان که در پیشاور پاکستان به خرید و فروش کتاب می پردازد؛ خط: نستعلیق پخته، بی کا، تا: قرن ۱۲؛ ۷گ (۳۱-۳۷) [عکسی ف: ۲-۵۹]</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دانشگاه؛ شماره نسخه:۵۸۶۱/۶ -ف</w:t>
      </w:r>
    </w:p>
    <w:p>
      <w:pPr>
        <w:pStyle w:val="BookText"/>
      </w:pPr>
      <w:r>
        <w:rPr>
          <w:rFonts w:ascii="IRNazanin" w:hAnsi="IRNazanin" w:eastAsia="IRNazanin" w:cs="IRNazanin"/>
          <w:lang w:bidi="fa-IR"/>
          <w:color w:val="111111"/>
          <w:sz w:val="28"/>
          <w:szCs w:val="28"/>
          <w:rtl/>
        </w:rPr>
        <w:t xml:space="preserve">نسخه اصل: دانشگاه پنجاب در لاهور شماره ۸۷۴/۹ فارسی؛ کا: ظهیرای تفرشی، تا: ۱۲۴۵ق [فیلمها ف: ۳-۱۸۷]</w:t>
      </w:r>
    </w:p>
    <w:p>
      <w:pPr>
        <w:pStyle w:val="BookText"/>
      </w:pPr>
      <w:r>
        <w:rPr>
          <w:rFonts w:ascii="IRNazanin" w:hAnsi="IRNazanin" w:eastAsia="IRNazanin" w:cs="IRNazanin"/>
          <w:lang w:bidi="fa-IR"/>
          <w:color w:val="111111"/>
          <w:sz w:val="28"/>
          <w:szCs w:val="28"/>
          <w:rtl/>
        </w:rPr>
        <w:t xml:space="preserve">۱۰. تهران: بانکی پور؛ شماره نسخه:بدون شماره</w:t>
      </w:r>
    </w:p>
    <w:p>
      <w:pPr>
        <w:pStyle w:val="BookText"/>
      </w:pPr>
      <w:r>
        <w:rPr>
          <w:rFonts w:ascii="IRNazanin" w:hAnsi="IRNazanin" w:eastAsia="IRNazanin" w:cs="IRNazanin"/>
          <w:lang w:bidi="fa-IR"/>
          <w:color w:val="111111"/>
          <w:sz w:val="28"/>
          <w:szCs w:val="28"/>
          <w:rtl/>
        </w:rPr>
        <w:t xml:space="preserve">بی کا، بی تا [میراث اسلامی: ۵-۶۲۷]</w:t>
      </w:r>
    </w:p>
    <w:p>
      <w:pPr>
        <w:pStyle w:val="BookText"/>
      </w:pPr>
      <w:r>
        <w:rPr>
          <w:rFonts w:ascii="IRNazanin" w:hAnsi="IRNazanin" w:eastAsia="IRNazanin" w:cs="IRNazanin"/>
          <w:lang w:bidi="fa-IR"/>
          <w:color w:val="111111"/>
          <w:sz w:val="28"/>
          <w:szCs w:val="28"/>
          <w:rtl/>
        </w:rPr>
        <w:t xml:space="preserve">۱۱. تهران: دانشگاه؛ شماره نسخه: ۱۱۰/۱۲</w:t>
      </w:r>
    </w:p>
    <w:p>
      <w:pPr>
        <w:pStyle w:val="BookText"/>
      </w:pPr>
      <w:r>
        <w:rPr>
          <w:rFonts w:ascii="IRNazanin" w:hAnsi="IRNazanin" w:eastAsia="IRNazanin" w:cs="IRNazanin"/>
          <w:lang w:bidi="fa-IR"/>
          <w:color w:val="111111"/>
          <w:sz w:val="28"/>
          <w:szCs w:val="28"/>
          <w:rtl/>
        </w:rPr>
        <w:t xml:space="preserve">آغاز و انجام: برابر این نامه ۱۸۰ بیت نوشته دارد؛ خط: نستعلیق شکسته، بی کا، بی تا؛ کاغذ: نوعی ترمه، جلد: تیماج سرخ، اص (۶۳ر)، ۱۵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۲۹/۵سم [ف: ۲-۱۹۹]</w:t>
      </w:r>
    </w:p>
    <w:p>
      <w:pPr>
        <w:pStyle w:val="BookText"/>
      </w:pPr>
      <w:r>
        <w:rPr>
          <w:rFonts w:ascii="IRNazanin" w:hAnsi="IRNazanin" w:eastAsia="IRNazanin" w:cs="IRNazanin"/>
          <w:lang w:bidi="fa-IR"/>
          <w:color w:val="111111"/>
          <w:sz w:val="28"/>
          <w:szCs w:val="28"/>
          <w:rtl/>
        </w:rPr>
        <w:t xml:space="preserve">۱۲. تهران؛ مجلس؛ شماره نسخه: ۳۲۱۵/۲</w:t>
      </w:r>
    </w:p>
    <w:p>
      <w:pPr>
        <w:pStyle w:val="BookText"/>
      </w:pPr>
      <w:r>
        <w:rPr>
          <w:rFonts w:ascii="IRNazanin" w:hAnsi="IRNazanin" w:eastAsia="IRNazanin" w:cs="IRNazanin"/>
          <w:lang w:bidi="fa-IR"/>
          <w:color w:val="111111"/>
          <w:sz w:val="28"/>
          <w:szCs w:val="28"/>
          <w:rtl/>
        </w:rPr>
        <w:t xml:space="preserve">خط: نستعلیق، بی کا، بی تا؛ با سرلوح، مجدول، دارای کمند؛ کاغذ: هندی، جلد: تیماج تریاکی، ۸ص (۲۶-۳۳)، ۳۲ سطر (۲۷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۳۲/۵سم [ف: ۱۰-۷۹۴]</w:t>
      </w:r>
    </w:p>
    <w:p>
      <w:pPr>
        <w:pStyle w:val="Heading3"/>
      </w:pPr>
      <w:bookmarkStart w:id="3127" w:name="_Toc2387"/>
      <w:r>
        <w:t>• التجليات / عرفان و تصوف / عربی</w:t>
      </w:r>
      <w:bookmarkEnd w:id="3127"/>
    </w:p>
    <w:p>
      <w:pPr>
        <w:pStyle w:val="BookText"/>
      </w:pPr>
      <w:r>
        <w:rPr>
          <w:rFonts w:ascii="Times New Roman" w:hAnsi="Times New Roman" w:eastAsia="Times New Roman" w:cs="Times New Roman"/>
          <w:lang w:val="en-US" w:bidi="en-US"/>
          <w:color w:val="111111"/>
          <w:sz w:val="28"/>
          <w:szCs w:val="28"/>
          <w:rtl/>
        </w:rPr>
        <w:t xml:space="preserve">at-tajallīyāt</w:t>
      </w:r>
    </w:p>
    <w:p>
      <w:pPr>
        <w:pStyle w:val="BookText"/>
      </w:pPr>
      <w:r>
        <w:rPr>
          <w:rFonts w:ascii="IRNazanin" w:hAnsi="IRNazanin" w:eastAsia="IRNazanin" w:cs="IRNazanin"/>
          <w:lang w:bidi="fa-IR"/>
          <w:color w:val="111111"/>
          <w:sz w:val="28"/>
          <w:szCs w:val="28"/>
          <w:rtl/>
        </w:rPr>
        <w:t xml:space="preserve">از فتوحات مکیه استخراج گردیده است.</w:t>
      </w:r>
    </w:p>
    <w:p>
      <w:pPr>
        <w:pStyle w:val="BookText"/>
      </w:pPr>
      <w:r>
        <w:rPr>
          <w:rFonts w:ascii="IRNazanin" w:hAnsi="IRNazanin" w:eastAsia="IRNazanin" w:cs="IRNazanin"/>
          <w:lang w:bidi="fa-IR"/>
          <w:color w:val="111111"/>
          <w:sz w:val="28"/>
          <w:szCs w:val="28"/>
          <w:rtl/>
        </w:rPr>
        <w:t xml:space="preserve">تهران؛ سپهسالار؛ شماره نسخه:۶۵۸۸/۳</w:t>
      </w:r>
    </w:p>
    <w:p>
      <w:pPr>
        <w:pStyle w:val="BookText"/>
      </w:pPr>
      <w:r>
        <w:rPr>
          <w:rFonts w:ascii="IRNazanin" w:hAnsi="IRNazanin" w:eastAsia="IRNazanin" w:cs="IRNazanin"/>
          <w:lang w:bidi="fa-IR"/>
          <w:color w:val="111111"/>
          <w:sz w:val="28"/>
          <w:szCs w:val="28"/>
          <w:rtl/>
        </w:rPr>
        <w:t xml:space="preserve">آغاز: الحمدالله محكم العقل الراسخ في عالم البرزخ، انجام: من هو من اهل الله تعالی. بی کا، بی تا، افتادگی: انجام؛ پس از آن چنین دارد: باب ششم در بدء خلق و سپس باب هشتم در بدء جسم، باب ۸ ارض، ۲۲ منزل المنازل است. و ناقص مانده، و گویا همه آنها از «فتوحات» باشد؛ ۱۶گ (۷۵-۹۰ر) [ف: ۳-۳۲۰]</w:t>
      </w:r>
    </w:p>
    <w:p>
      <w:pPr>
        <w:pStyle w:val="Heading3"/>
      </w:pPr>
      <w:bookmarkStart w:id="3128" w:name="_Toc2388"/>
      <w:r>
        <w:t>•تجلیات اربعه از کتاب نور الهداية / كلام و اعتقادات / فارسی</w:t>
      </w:r>
      <w:bookmarkEnd w:id="3128"/>
    </w:p>
    <w:p>
      <w:pPr>
        <w:pStyle w:val="BookText"/>
      </w:pPr>
      <w:r>
        <w:rPr>
          <w:rFonts w:ascii="Times New Roman" w:hAnsi="Times New Roman" w:eastAsia="Times New Roman" w:cs="Times New Roman"/>
          <w:lang w:val="en-US" w:bidi="en-US"/>
          <w:color w:val="111111"/>
          <w:sz w:val="28"/>
          <w:szCs w:val="28"/>
          <w:rtl/>
        </w:rPr>
        <w:t xml:space="preserve">tajallīyāt-e arba e az k.-e nūr-ol hedāye</w:t>
      </w:r>
    </w:p>
    <w:p>
      <w:pPr>
        <w:pStyle w:val="BookText"/>
      </w:pPr>
      <w:r>
        <w:rPr>
          <w:rFonts w:ascii="IRNazanin" w:hAnsi="IRNazanin" w:eastAsia="IRNazanin" w:cs="IRNazanin"/>
          <w:lang w:bidi="fa-IR"/>
          <w:color w:val="111111"/>
          <w:sz w:val="28"/>
          <w:szCs w:val="28"/>
          <w:rtl/>
        </w:rPr>
        <w:t xml:space="preserve">همدان؛ مدرسه غرب؛ شماره نسخه:۴۷۸۴/۸</w:t>
      </w:r>
    </w:p>
    <w:p>
      <w:pPr>
        <w:pStyle w:val="BookText"/>
      </w:pPr>
      <w:r>
        <w:rPr>
          <w:rFonts w:ascii="IRNazanin" w:hAnsi="IRNazanin" w:eastAsia="IRNazanin" w:cs="IRNazanin"/>
          <w:lang w:bidi="fa-IR"/>
          <w:color w:val="111111"/>
          <w:sz w:val="28"/>
          <w:szCs w:val="28"/>
          <w:rtl/>
        </w:rPr>
        <w:t xml:space="preserve">آغاز: فصل سیم در بیان تجلیات اربعه از کتاب نور الهداية بسم الله الرحمن الرحیم ای عزیز بدانکه اولياء الله در حقیقت بذات خویش بی زوال و منتهای کمال قرب وصال و حیران شدگان؛ انجام و از این حدیث ظاهر می شود که نص صریح حجت الله قاطع که بدلناهم جلودا غيرها ليذوق العذاب نیز چنین دلالت می کند که تبدیل جلود خواهد شد و از آیه کریمه يوم تبدل الأرض غير الأرض، ظاهر می شود که تبدیل مکان نیز خواهد و از این آیه وافي هداية ثم يعرج اليه في يوم كان مقداره الف سنة مما تعدون که زمان نیز مبدل خواهد شد و الله اعلم و احكم بالصواب.</w:t>
      </w:r>
    </w:p>
    <w:p>
      <w:pPr>
        <w:pStyle w:val="BookText"/>
      </w:pPr>
      <w:r>
        <w:rPr>
          <w:rFonts w:ascii="IRNazanin" w:hAnsi="IRNazanin" w:eastAsia="IRNazanin" w:cs="IRNazanin"/>
          <w:lang w:bidi="fa-IR"/>
          <w:color w:val="111111"/>
          <w:sz w:val="28"/>
          <w:szCs w:val="28"/>
          <w:rtl/>
        </w:rPr>
        <w:t xml:space="preserve">خط شکسته نستعلیق، بی کا، بی تا، قطع: بياض رقعی[رشت و همدان: ف: ۱۵۵۵]</w:t>
      </w:r>
    </w:p>
    <w:p>
      <w:pPr>
        <w:pStyle w:val="Heading3"/>
      </w:pPr>
      <w:bookmarkStart w:id="3129" w:name="_Toc2389"/>
      <w:r>
        <w:t>•تجلیات رحمانی /عرفان و تصوف / فارسی</w:t>
      </w:r>
      <w:bookmarkEnd w:id="3129"/>
    </w:p>
    <w:p>
      <w:pPr>
        <w:pStyle w:val="BookText"/>
      </w:pPr>
      <w:r>
        <w:rPr>
          <w:rFonts w:ascii="Times New Roman" w:hAnsi="Times New Roman" w:eastAsia="Times New Roman" w:cs="Times New Roman"/>
          <w:lang w:val="en-US" w:bidi="en-US"/>
          <w:color w:val="111111"/>
          <w:sz w:val="28"/>
          <w:szCs w:val="28"/>
          <w:rtl/>
        </w:rPr>
        <w:t xml:space="preserve">tajallīyāt-e rahmānī</w:t>
      </w:r>
    </w:p>
    <w:p>
      <w:pPr>
        <w:pStyle w:val="BookText"/>
      </w:pPr>
      <w:r>
        <w:rPr>
          <w:rFonts w:ascii="IRNazanin" w:hAnsi="IRNazanin" w:eastAsia="IRNazanin" w:cs="IRNazanin"/>
          <w:lang w:bidi="fa-IR"/>
          <w:color w:val="111111"/>
          <w:sz w:val="28"/>
          <w:szCs w:val="28"/>
          <w:rtl/>
        </w:rPr>
        <w:t xml:space="preserve">حسینی قادری، علی محمد بن عبدالرحمن</w:t>
      </w:r>
    </w:p>
    <w:p>
      <w:pPr>
        <w:pStyle w:val="BookText"/>
      </w:pPr>
      <w:r>
        <w:rPr>
          <w:rFonts w:ascii="Times New Roman" w:hAnsi="Times New Roman" w:eastAsia="Times New Roman" w:cs="Times New Roman"/>
          <w:lang w:val="en-US" w:bidi="en-US"/>
          <w:color w:val="111111"/>
          <w:sz w:val="28"/>
          <w:szCs w:val="28"/>
          <w:rtl/>
        </w:rPr>
        <w:t xml:space="preserve">hoseynī qāderī, ‘alī mohammad ebn-e 'abd-or-rahmān</w:t>
      </w:r>
    </w:p>
    <w:p>
      <w:pPr>
        <w:pStyle w:val="BookText"/>
      </w:pPr>
      <w:r>
        <w:rPr>
          <w:rFonts w:ascii="IRNazanin" w:hAnsi="IRNazanin" w:eastAsia="IRNazanin" w:cs="IRNazanin"/>
          <w:lang w:bidi="fa-IR"/>
          <w:color w:val="111111"/>
          <w:sz w:val="28"/>
          <w:szCs w:val="28"/>
          <w:rtl/>
        </w:rPr>
        <w:t xml:space="preserve">در عرفان در بیست و هشت «تجلی»: ۱. اول نشان وجود محض هستی صرف .... ۲۸. ولایت اولیاء الله. آغاز: حمد بی غایت مرخازن كنز وحدت را که به خواهش اظهار رجب ذاتی در خزانه غیبت برای آراستگی ظهور مجلس سرو سامان صفاتی را به نظر اجمالی دید انجام پس از علم حق خود را عبد دانسته بگوید اشهد ان لا الله الا الله وحده لا شريك له و اشهد ان محمدا عبده و رسوله</w:t>
      </w:r>
    </w:p>
    <w:p>
      <w:pPr>
        <w:pStyle w:val="BookText"/>
      </w:pPr>
      <w:r>
        <w:rPr>
          <w:rFonts w:ascii="IRNazanin" w:hAnsi="IRNazanin" w:eastAsia="IRNazanin" w:cs="IRNazanin"/>
          <w:lang w:bidi="fa-IR"/>
          <w:color w:val="111111"/>
          <w:sz w:val="28"/>
          <w:szCs w:val="28"/>
          <w:rtl/>
        </w:rPr>
        <w:t xml:space="preserve">[دنا ۸۰۵/۲ ]</w:t>
      </w:r>
    </w:p>
    <w:p>
      <w:pPr>
        <w:pStyle w:val="BookText"/>
      </w:pPr>
      <w:r>
        <w:rPr>
          <w:rFonts w:ascii="IRNazanin" w:hAnsi="IRNazanin" w:eastAsia="IRNazanin" w:cs="IRNazanin"/>
          <w:lang w:bidi="fa-IR"/>
          <w:color w:val="111111"/>
          <w:sz w:val="28"/>
          <w:szCs w:val="28"/>
          <w:rtl/>
        </w:rPr>
        <w:t xml:space="preserve">۱. تهران؛ دانشگاه؛ شماره نسخه: ۹۷۴۳/۱۰</w:t>
      </w:r>
    </w:p>
    <w:p>
      <w:pPr>
        <w:pStyle w:val="BookText"/>
      </w:pPr>
      <w:r>
        <w:rPr>
          <w:rFonts w:ascii="IRNazanin" w:hAnsi="IRNazanin" w:eastAsia="IRNazanin" w:cs="IRNazanin"/>
          <w:lang w:bidi="fa-IR"/>
          <w:color w:val="111111"/>
          <w:sz w:val="28"/>
          <w:szCs w:val="28"/>
          <w:rtl/>
        </w:rPr>
        <w:t xml:space="preserve">آغاز: برابر؛ انجام: گویا ناتمام: و دم را حبس کند. خط: نستعلیق، بی کا، تا: قرن ۱۳؛ کاغذ: هندی، جلد: مقوا عطف تیماج تریاکی، اص (۹۲ص)، ۱۹ سطر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۸۲۰ ۳۰سم [ف: ۱۷-۴۷۲]</w:t>
      </w:r>
    </w:p>
    <w:p>
      <w:pPr>
        <w:pStyle w:val="BookText"/>
      </w:pPr>
      <w:r>
        <w:rPr>
          <w:rFonts w:ascii="IRNazanin" w:hAnsi="IRNazanin" w:eastAsia="IRNazanin" w:cs="IRNazanin"/>
          <w:lang w:bidi="fa-IR"/>
          <w:color w:val="111111"/>
          <w:sz w:val="28"/>
          <w:szCs w:val="28"/>
          <w:rtl/>
        </w:rPr>
        <w:t xml:space="preserve">۲. تهران: دانشگاه؛ شماره نسخه:۸۰۸۰</w:t>
      </w:r>
    </w:p>
    <w:p>
      <w:pPr>
        <w:pStyle w:val="BookText"/>
      </w:pPr>
      <w:r>
        <w:rPr>
          <w:rFonts w:ascii="IRNazanin" w:hAnsi="IRNazanin" w:eastAsia="IRNazanin" w:cs="IRNazanin"/>
          <w:lang w:bidi="fa-IR"/>
          <w:color w:val="111111"/>
          <w:sz w:val="28"/>
          <w:szCs w:val="28"/>
          <w:rtl/>
        </w:rPr>
        <w:t xml:space="preserve">آغاز و انجام: برابر خط: نستعلیق، بی کا، تا: قرن ۱۳؛ کاغذ: هندی، جلد: مقوا عطف تیماج تریاکی، ۷۷گ (۹ برگ سفید)، ۱۹ سطر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۱۷-۲۵]</w:t>
      </w:r>
    </w:p>
    <w:p>
      <w:pPr>
        <w:pStyle w:val="BookText"/>
      </w:pPr>
      <w:r>
        <w:rPr>
          <w:rFonts w:ascii="IRNazanin" w:hAnsi="IRNazanin" w:eastAsia="IRNazanin" w:cs="IRNazanin"/>
          <w:lang w:bidi="fa-IR"/>
          <w:color w:val="111111"/>
          <w:sz w:val="28"/>
          <w:szCs w:val="28"/>
          <w:rtl/>
        </w:rPr>
        <w:t xml:space="preserve">←تجلیات سلطانیه← جلوات ناصری</w:t>
      </w:r>
    </w:p>
    <w:p>
      <w:pPr>
        <w:pStyle w:val="Heading3"/>
      </w:pPr>
      <w:bookmarkStart w:id="3130" w:name="_Toc2390"/>
      <w:r>
        <w:t>•تجلیات عباسیه / فضائل و مناقب / فارسی</w:t>
      </w:r>
      <w:bookmarkEnd w:id="3130"/>
    </w:p>
    <w:p>
      <w:pPr>
        <w:pStyle w:val="BookText"/>
      </w:pPr>
      <w:r>
        <w:rPr>
          <w:rFonts w:ascii="Times New Roman" w:hAnsi="Times New Roman" w:eastAsia="Times New Roman" w:cs="Times New Roman"/>
          <w:lang w:val="en-US" w:bidi="en-US"/>
          <w:color w:val="111111"/>
          <w:sz w:val="28"/>
          <w:szCs w:val="28"/>
          <w:rtl/>
        </w:rPr>
        <w:t xml:space="preserve">tajallīyāt-e 'abbāsīye</w:t>
      </w:r>
    </w:p>
    <w:p>
      <w:pPr>
        <w:pStyle w:val="BookText"/>
      </w:pPr>
      <w:r>
        <w:rPr>
          <w:rFonts w:ascii="IRNazanin" w:hAnsi="IRNazanin" w:eastAsia="IRNazanin" w:cs="IRNazanin"/>
          <w:lang w:bidi="fa-IR"/>
          <w:color w:val="111111"/>
          <w:sz w:val="28"/>
          <w:szCs w:val="28"/>
          <w:rtl/>
        </w:rPr>
        <w:t xml:space="preserve">وقاری یزدی، محمد امین بن عبد الفتاح، -۱۰۸۳؟ قمری</w:t>
      </w:r>
    </w:p>
    <w:p>
      <w:pPr>
        <w:pStyle w:val="BookText"/>
      </w:pPr>
      <w:r>
        <w:rPr>
          <w:rFonts w:ascii="Times New Roman" w:hAnsi="Times New Roman" w:eastAsia="Times New Roman" w:cs="Times New Roman"/>
          <w:lang w:val="en-US" w:bidi="en-US"/>
          <w:color w:val="111111"/>
          <w:sz w:val="28"/>
          <w:szCs w:val="28"/>
          <w:rtl/>
        </w:rPr>
        <w:t xml:space="preserve">vaqārī yazdī, mohammad amīn ebn-e 'abd-ol-fattāh ( 1673)</w:t>
      </w:r>
    </w:p>
    <w:p>
      <w:pPr>
        <w:pStyle w:val="BookText"/>
      </w:pPr>
      <w:r>
        <w:rPr>
          <w:rFonts w:ascii="IRNazanin" w:hAnsi="IRNazanin" w:eastAsia="IRNazanin" w:cs="IRNazanin"/>
          <w:lang w:bidi="fa-IR"/>
          <w:color w:val="111111"/>
          <w:sz w:val="28"/>
          <w:szCs w:val="28"/>
          <w:rtl/>
        </w:rPr>
        <w:t xml:space="preserve">در دیباچه می گوید: «انوری در درگاه سنجر نام سنجر را با اولی الامر و لقب او را با منكم موافق یافته ولی کار او درست نبوده و من این آیه را با نام و زندگی شاه عباس برابر می سازم». نام کتاب و نگارنده در دیباچه آمده است.</w:t>
      </w:r>
    </w:p>
    <w:p>
      <w:pPr>
        <w:pStyle w:val="BookText"/>
      </w:pPr>
      <w:r>
        <w:rPr>
          <w:rFonts w:ascii="IRNazanin" w:hAnsi="IRNazanin" w:eastAsia="IRNazanin" w:cs="IRNazanin"/>
          <w:lang w:bidi="fa-IR"/>
          <w:color w:val="111111"/>
          <w:sz w:val="28"/>
          <w:szCs w:val="28"/>
          <w:rtl/>
        </w:rPr>
        <w:t xml:space="preserve">[دنا ۸۰۵/۲ ؛ فهرستواره منزوی ۹۲۰/۲ ]
</w:t>
      </w:r>
    </w:p>
    <w:p>
      <w:pPr>
        <w:sectPr>
          <w:footerReference w:type="default" r:id="rId992"/>
          <w:footnotePr>
            <w:numStart w:val="1"/>
            <w:numRestart w:val="eachPage"/>
          </w:footnotePr>
          <w:pgSz w:orient="portrait" w:w="11905.511811023622" w:h="16837.79527559055"/>
          <w:pgMar w:top="1440" w:right="1440" w:bottom="1440" w:left="1440" w:header="720" w:footer="720" w:gutter="0"/>
          <w:cols w:num="1" w:space="720"/>
        </w:sectPr>
      </w:pPr>
    </w:p>
    <w:bookmarkStart w:id="737" w:name="pg20363_210110"/>
    <w:bookmarkEnd w:id="737"/>
    <w:p>
      <w:pPr>
        <w:pStyle w:val="BookText"/>
      </w:pPr>
      <w:r>
        <w:rPr>
          <w:rFonts w:ascii="IRNazanin" w:hAnsi="IRNazanin" w:eastAsia="IRNazanin" w:cs="IRNazanin"/>
          <w:lang w:bidi="fa-IR"/>
          <w:color w:val="111111"/>
          <w:sz w:val="28"/>
          <w:szCs w:val="28"/>
          <w:rtl/>
        </w:rPr>
        <w:t xml:space="preserve">تهران؛ ملک؛ شماره نسخه: ۶۲۵۱</w:t>
      </w:r>
    </w:p>
    <w:p>
      <w:pPr>
        <w:pStyle w:val="BookText"/>
      </w:pPr>
      <w:r>
        <w:rPr>
          <w:rFonts w:ascii="IRNazanin" w:hAnsi="IRNazanin" w:eastAsia="IRNazanin" w:cs="IRNazanin"/>
          <w:lang w:bidi="fa-IR"/>
          <w:color w:val="111111"/>
          <w:sz w:val="28"/>
          <w:szCs w:val="28"/>
          <w:rtl/>
        </w:rPr>
        <w:t xml:space="preserve">آغاز: بسمله، غنچه سر بمهر فیض از چمن اسرار لاهوت بخون آغشته تواند چید که در دامن کوه طور ... و بعد چون بموجب ندای کبریای یا ایها الذي آمنو اطيع الله و الرسول انجام: نواب صاحبقران گیتی ستان را روی خواهد نمود، تمت الرسالة بافضاله خط: نستعلیق، کا: میر علی کوهساری، تا: ۱۰۴۸ق؛ با یک سرلوح، نسخه سلطنتی زر افشان، مجدول؛ مهر: «لا اله الا الله الملك الحق المبين عبده مهدی الحسینی» (چهارگوش)، «بنده شاه عباس شاه ولایت عباس» (گرد)؛ یادداشت به خط زیبای میرزا مهدی ملک الكتاب با مهر «عبده مهدی الحسینی ۱۲۵» (بیضی) [ف: ۲-۱۰۰]</w:t>
      </w:r>
    </w:p>
    <w:p>
      <w:pPr>
        <w:pStyle w:val="Heading3"/>
      </w:pPr>
      <w:bookmarkStart w:id="3131" w:name="_Toc2391"/>
      <w:r>
        <w:t>•التجليات و عرفان الذات و الصفات في التوحيد / عرفان و تصوف / فارسی</w:t>
      </w:r>
      <w:bookmarkEnd w:id="3131"/>
    </w:p>
    <w:p>
      <w:pPr>
        <w:pStyle w:val="BookText"/>
      </w:pPr>
      <w:r>
        <w:rPr>
          <w:rFonts w:ascii="Times New Roman" w:hAnsi="Times New Roman" w:eastAsia="Times New Roman" w:cs="Times New Roman"/>
          <w:lang w:val="en-US" w:bidi="en-US"/>
          <w:color w:val="111111"/>
          <w:sz w:val="28"/>
          <w:szCs w:val="28"/>
          <w:rtl/>
        </w:rPr>
        <w:t xml:space="preserve">at-tajallīyāt va ‘erfān-oz zāt va-s sefāt fe-t towhīd</w:t>
      </w:r>
    </w:p>
    <w:p>
      <w:pPr>
        <w:pStyle w:val="BookText"/>
      </w:pPr>
      <w:r>
        <w:rPr>
          <w:rFonts w:ascii="IRNazanin" w:hAnsi="IRNazanin" w:eastAsia="IRNazanin" w:cs="IRNazanin"/>
          <w:lang w:bidi="fa-IR"/>
          <w:color w:val="111111"/>
          <w:sz w:val="28"/>
          <w:szCs w:val="28"/>
          <w:rtl/>
        </w:rPr>
        <w:t xml:space="preserve">تهران؛ دانشگاه؛ شماره نسخه: ۱۱۴۲/۲۰ -ف</w:t>
      </w:r>
    </w:p>
    <w:p>
      <w:pPr>
        <w:pStyle w:val="BookText"/>
      </w:pPr>
      <w:r>
        <w:rPr>
          <w:rFonts w:ascii="IRNazanin" w:hAnsi="IRNazanin" w:eastAsia="IRNazanin" w:cs="IRNazanin"/>
          <w:lang w:bidi="fa-IR"/>
          <w:color w:val="111111"/>
          <w:sz w:val="28"/>
          <w:szCs w:val="28"/>
          <w:rtl/>
        </w:rPr>
        <w:t xml:space="preserve">نسخه اصل: بادلیان اکسفورد ش ۹۴ والكر (ش ۱۲۹۸)؛ بی کا، بی تا [فیلمها ف: ۱-۵۶۸]</w:t>
      </w:r>
    </w:p>
    <w:p>
      <w:pPr>
        <w:pStyle w:val="BookText"/>
      </w:pPr>
      <w:r>
        <w:rPr>
          <w:rFonts w:ascii="IRNazanin" w:hAnsi="IRNazanin" w:eastAsia="IRNazanin" w:cs="IRNazanin"/>
          <w:lang w:bidi="fa-IR"/>
          <w:color w:val="111111"/>
          <w:sz w:val="28"/>
          <w:szCs w:val="28"/>
          <w:rtl/>
        </w:rPr>
        <w:t xml:space="preserve">←تجلی اشراق ← تجلى الاشراق</w:t>
      </w:r>
    </w:p>
    <w:p>
      <w:pPr>
        <w:pStyle w:val="Heading3"/>
      </w:pPr>
      <w:bookmarkStart w:id="3132" w:name="_Toc2392"/>
      <w:r>
        <w:t>•تجلی الاشراق = شرح شارع النجات / کلام و اعتقادات / فارسی</w:t>
      </w:r>
      <w:bookmarkEnd w:id="3132"/>
    </w:p>
    <w:p>
      <w:pPr>
        <w:pStyle w:val="BookText"/>
      </w:pPr>
      <w:r>
        <w:rPr>
          <w:rFonts w:ascii="Times New Roman" w:hAnsi="Times New Roman" w:eastAsia="Times New Roman" w:cs="Times New Roman"/>
          <w:lang w:val="en-US" w:bidi="en-US"/>
          <w:color w:val="111111"/>
          <w:sz w:val="28"/>
          <w:szCs w:val="28"/>
          <w:rtl/>
        </w:rPr>
        <w:t xml:space="preserve">tajallī-uol ešrāq = š.-e šāreʻ-on nejāt</w:t>
      </w:r>
    </w:p>
    <w:p>
      <w:pPr>
        <w:pStyle w:val="BookText"/>
      </w:pPr>
      <w:r>
        <w:rPr>
          <w:rFonts w:ascii="IRNazanin" w:hAnsi="IRNazanin" w:eastAsia="IRNazanin" w:cs="IRNazanin"/>
          <w:lang w:bidi="fa-IR"/>
          <w:color w:val="111111"/>
          <w:sz w:val="28"/>
          <w:szCs w:val="28"/>
          <w:rtl/>
        </w:rPr>
        <w:t xml:space="preserve">مسیحا فدشکوئی، محمد مسیح بن اسماعیل، ۱۰۳۷؟ ۱۱۲۷ قمری</w:t>
      </w:r>
    </w:p>
    <w:p>
      <w:pPr>
        <w:pStyle w:val="BookText"/>
      </w:pPr>
      <w:r>
        <w:rPr>
          <w:rFonts w:ascii="Times New Roman" w:hAnsi="Times New Roman" w:eastAsia="Times New Roman" w:cs="Times New Roman"/>
          <w:lang w:val="en-US" w:bidi="en-US"/>
          <w:color w:val="111111"/>
          <w:sz w:val="28"/>
          <w:szCs w:val="28"/>
          <w:rtl/>
        </w:rPr>
        <w:t xml:space="preserve">masīhā fedeškū’īs, mohammad masīh ebn-e esmāʻīl (1628-1715)</w:t>
      </w:r>
    </w:p>
    <w:p>
      <w:pPr>
        <w:pStyle w:val="BookText"/>
      </w:pPr>
      <w:r>
        <w:rPr>
          <w:rFonts w:ascii="IRNazanin" w:hAnsi="IRNazanin" w:eastAsia="IRNazanin" w:cs="IRNazanin"/>
          <w:lang w:bidi="fa-IR"/>
          <w:color w:val="111111"/>
          <w:sz w:val="28"/>
          <w:szCs w:val="28"/>
          <w:rtl/>
        </w:rPr>
        <w:t xml:space="preserve">وابسته به: شارع النجاة في ابواب العبادات = شارع نجات میرداماد، محمد باقر بن محمد (-۱۰۴۱) شرحی است مفصل بر مقدمه «شارع النجاة» مرحوم میرداماد خود کتاب فقهی است که در مسائل اعتقادی است دارای اصل: ۱. توحید و معرفة الله؛ ۲. عدل؛ ۳. نبوت و امامت و معاد که ظاهرا معاد آن را شرح نکرده است. خود مقدمه ای مبسوط در آغاز آن نوشته و این مقدمه نثری پر تکلف دارد مشتمل بر ثنای خداوند پیامبر(صلی الله علیه وآله وسلم)و علی بن ابی طالب(عليه السلام)و نیز ابیات بسیار (که ظاهرا از خود نویسنده است) در خلال مطلب آورده و اسامی تألیفات میرداماد را در آن تضمین کرده است. آغاز: ( آغاز مقدمه:) بسمله زبان تجلی بیان اشراق لمعان ارباب شهود، زبانه ثناء فائض السناء واجب حقیقی است تقدست أسمائه الحسنی که نور حقیقتش عین وجود فاتحه کلام قدسی پیام کر و بیان، بیان تقدس بنیان نعت خاتمه رساله نبوت است ... صلی الله عليه و سلم ... (آغاز شرح:) بسمله اما بعد بدان جعلك الله تعالى من العارفين الموقنین که خواص متکلمین ... در تفسیر کریمه فاذکرونی اذکرکم فرموند ذکر بر دو قسم است: یکی ذکر لسانی ...... و دوم، ذکر قلبی ...... و لذا تصریح نمودند که شغل نمودن به مسائل کلامیه و علوم الهيه اثوب است از علوم فقهيه ... بنابراین مصنف قدس سره بیان مسائل این کتاب را که در علم فروع است مصدر نمود به ذکر آن که پیش از معرفت مسائل شرعیه و فقهیه بر هر مكلف واجب عینی است که معارف مبدأ و معاد را به دلیل برهان معلوم کند انجام: پس واجب است اطاعت ناس مر خلیفه حق را در امور ... اگر تهاونی نمایند مانند ابلیس از جمله کفار باشند. نعوذ بالله منها هذا فصربه من المستبصرين و كن من الشاكرين و الحمدلله رب العالمين.</w:t>
      </w:r>
    </w:p>
    <w:p>
      <w:pPr>
        <w:pStyle w:val="BookText"/>
      </w:pPr>
      <w:r>
        <w:rPr>
          <w:rFonts w:ascii="IRNazanin" w:hAnsi="IRNazanin" w:eastAsia="IRNazanin" w:cs="IRNazanin"/>
          <w:lang w:bidi="fa-IR"/>
          <w:color w:val="111111"/>
          <w:sz w:val="28"/>
          <w:szCs w:val="28"/>
          <w:rtl/>
        </w:rPr>
        <w:t xml:space="preserve">[دنا ۸۰۶/۲ (۲ نسخه)؛ فهرستواره منزوی ۱۰۳/۹  با همین سر آغاز نام اصول دین داده است و از ناشناس دانسته که به نظر خطاست]</w:t>
      </w:r>
    </w:p>
    <w:p>
      <w:pPr>
        <w:pStyle w:val="BookText"/>
      </w:pPr>
      <w:r>
        <w:rPr>
          <w:rFonts w:ascii="IRNazanin" w:hAnsi="IRNazanin" w:eastAsia="IRNazanin" w:cs="IRNazanin"/>
          <w:lang w:bidi="fa-IR"/>
          <w:color w:val="111111"/>
          <w:sz w:val="28"/>
          <w:szCs w:val="28"/>
          <w:rtl/>
        </w:rPr>
        <w:t xml:space="preserve">۱. اصفهان، دانشگاه؛ شماره نسخه: ۱۹۲</w:t>
      </w:r>
    </w:p>
    <w:p>
      <w:pPr>
        <w:pStyle w:val="BookText"/>
      </w:pPr>
      <w:r>
        <w:rPr>
          <w:rFonts w:ascii="IRNazanin" w:hAnsi="IRNazanin" w:eastAsia="IRNazanin" w:cs="IRNazanin"/>
          <w:lang w:bidi="fa-IR"/>
          <w:color w:val="111111"/>
          <w:sz w:val="28"/>
          <w:szCs w:val="28"/>
          <w:rtl/>
        </w:rPr>
        <w:t xml:space="preserve">آغاز: برابر متن؛ انجام: برابر در فهرست ناشناس آمده آغاز و انجام هماهنگ است؛ خط: نستعلیق، بی کا، تا: جمادی الثانی ۱۱۹۹ق؛ مصحح؛ مهر: «على الحسینی» (بیضوی)؛ جلد: تیماج قهوه ای، ۴۳گ، ۲۱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سم [ف: ۱-۱۴۲]</w:t>
      </w:r>
    </w:p>
    <w:p>
      <w:pPr>
        <w:pStyle w:val="BookText"/>
      </w:pPr>
      <w:r>
        <w:rPr>
          <w:rFonts w:ascii="IRNazanin" w:hAnsi="IRNazanin" w:eastAsia="IRNazanin" w:cs="IRNazanin"/>
          <w:lang w:bidi="fa-IR"/>
          <w:color w:val="111111"/>
          <w:sz w:val="28"/>
          <w:szCs w:val="28"/>
          <w:rtl/>
        </w:rPr>
        <w:t xml:space="preserve">۲. تهران؛ مجلس؛ شماره نسخه:۹۷۵/۳ -طباطبائی</w:t>
      </w:r>
    </w:p>
    <w:p>
      <w:pPr>
        <w:pStyle w:val="BookText"/>
      </w:pPr>
      <w:r>
        <w:rPr>
          <w:rFonts w:ascii="IRNazanin" w:hAnsi="IRNazanin" w:eastAsia="IRNazanin" w:cs="IRNazanin"/>
          <w:lang w:bidi="fa-IR"/>
          <w:color w:val="111111"/>
          <w:sz w:val="28"/>
          <w:szCs w:val="28"/>
          <w:rtl/>
        </w:rPr>
        <w:t xml:space="preserve">آغاز و انجام: برابر بی کا، تا: قرن ۱۲ و ۱۳، کاغذ: اصفهانی شکری رنگ، جلد: تیماج مشکی یک لا، ۱۱۶ص (۱۰-۱۲۵)،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۹سم [ف: ۲۵۳-۲۳ ]</w:t>
      </w:r>
    </w:p>
    <w:p>
      <w:pPr>
        <w:pStyle w:val="BookText"/>
      </w:pPr>
      <w:r>
        <w:rPr>
          <w:rFonts w:ascii="IRNazanin" w:hAnsi="IRNazanin" w:eastAsia="IRNazanin" w:cs="IRNazanin"/>
          <w:lang w:bidi="fa-IR"/>
          <w:color w:val="111111"/>
          <w:sz w:val="28"/>
          <w:szCs w:val="28"/>
          <w:rtl/>
        </w:rPr>
        <w:t xml:space="preserve">قم: مرکز احیاء؛ شماره نسخه:۱۰۹۶</w:t>
      </w:r>
    </w:p>
    <w:p>
      <w:pPr>
        <w:pStyle w:val="BookText"/>
      </w:pPr>
      <w:r>
        <w:rPr>
          <w:rFonts w:ascii="IRNazanin" w:hAnsi="IRNazanin" w:eastAsia="IRNazanin" w:cs="IRNazanin"/>
          <w:lang w:bidi="fa-IR"/>
          <w:color w:val="111111"/>
          <w:sz w:val="28"/>
          <w:szCs w:val="28"/>
          <w:rtl/>
        </w:rPr>
        <w:t xml:space="preserve">نسخه اصل: همان نسخه بالا [عکسی ف: ۳-۳۷۶]</w:t>
      </w:r>
    </w:p>
    <w:p>
      <w:pPr>
        <w:pStyle w:val="Heading3"/>
      </w:pPr>
      <w:bookmarkStart w:id="3133" w:name="_Toc2393"/>
      <w:r>
        <w:t>•تجلی الاشراق = شرح رساله عرفانی طوسی / عرفان و تصوف / فارسی</w:t>
      </w:r>
      <w:bookmarkEnd w:id="3133"/>
    </w:p>
    <w:p>
      <w:pPr>
        <w:pStyle w:val="BookText"/>
      </w:pPr>
      <w:r>
        <w:rPr>
          <w:rFonts w:ascii="Times New Roman" w:hAnsi="Times New Roman" w:eastAsia="Times New Roman" w:cs="Times New Roman"/>
          <w:lang w:val="en-US" w:bidi="en-US"/>
          <w:color w:val="111111"/>
          <w:sz w:val="28"/>
          <w:szCs w:val="28"/>
          <w:rtl/>
        </w:rPr>
        <w:t xml:space="preserve">tajall-el ešrāq = š.-e r. 'erfānī-ye tūsī</w:t>
      </w:r>
    </w:p>
    <w:p>
      <w:pPr>
        <w:pStyle w:val="BookText"/>
      </w:pPr>
      <w:r>
        <w:rPr>
          <w:rFonts w:ascii="IRNazanin" w:hAnsi="IRNazanin" w:eastAsia="IRNazanin" w:cs="IRNazanin"/>
          <w:lang w:bidi="fa-IR"/>
          <w:color w:val="111111"/>
          <w:sz w:val="28"/>
          <w:szCs w:val="28"/>
          <w:rtl/>
        </w:rPr>
        <w:t xml:space="preserve">وابسته به: اخلاق ناصری؛ نصیر الدین طوسی، محمد بن محمد ( ۶۷۲-۵۹۷</w:t>
      </w:r>
    </w:p>
    <w:p>
      <w:pPr>
        <w:pStyle w:val="BookText"/>
      </w:pPr>
      <w:r>
        <w:rPr>
          <w:rFonts w:ascii="IRNazanin" w:hAnsi="IRNazanin" w:eastAsia="IRNazanin" w:cs="IRNazanin"/>
          <w:lang w:bidi="fa-IR"/>
          <w:color w:val="111111"/>
          <w:sz w:val="28"/>
          <w:szCs w:val="28"/>
          <w:rtl/>
        </w:rPr>
        <w:t xml:space="preserve">ق) شرحی است از دانشمندی سنی بر اخلاق ناصری خواجه طوسی از آغاز تا پاره ای از کتاب تا بند «عقل نظری خوانند» در فصل ۱ قسم 1 مقاله 1، و بسیار مفصل که اگر به انجام می رسید چندین برابر آن می شد. در آن از شرح اشارات و تجرید طوسی و شرح تجرید گویا از قوشچی و شرح مطالع گویا از رازی و درة التاج و شرح هياكل نور از دوانی و حدود ابن سینا و شفای او و مجمع البحار و از داود قیصری و عبدالرزاق کاشانی و اصطلاحات الصوفيه او و از نگارنده روضة الجنان شاید ابوالحسن قاینی و دانشنامه و از سید المدققین میر صدرالدین و اوصاف الاشراف
</w:t>
      </w:r>
    </w:p>
    <w:p>
      <w:pPr>
        <w:sectPr>
          <w:footerReference w:type="default" r:id="rId993"/>
          <w:footnotePr>
            <w:numStart w:val="1"/>
            <w:numRestart w:val="eachPage"/>
          </w:footnotePr>
          <w:pgSz w:orient="portrait" w:w="11905.511811023622" w:h="16837.79527559055"/>
          <w:pgMar w:top="1440" w:right="1440" w:bottom="1440" w:left="1440" w:header="720" w:footer="720" w:gutter="0"/>
          <w:cols w:num="1" w:space="720"/>
        </w:sectPr>
      </w:pPr>
    </w:p>
    <w:bookmarkStart w:id="738" w:name="pg20363_210111"/>
    <w:bookmarkEnd w:id="738"/>
    <w:p>
      <w:pPr>
        <w:pStyle w:val="BookText"/>
      </w:pPr>
      <w:r>
        <w:rPr>
          <w:rFonts w:ascii="IRNazanin" w:hAnsi="IRNazanin" w:eastAsia="IRNazanin" w:cs="IRNazanin"/>
          <w:lang w:bidi="fa-IR"/>
          <w:color w:val="111111"/>
          <w:sz w:val="28"/>
          <w:szCs w:val="28"/>
          <w:rtl/>
        </w:rPr>
        <w:t xml:space="preserve">طوسی و حقایق التاویل و شرح زوراء دوانی و جواهر التفسير و الطايف الطوایف و از عارف نجفی و غیاث منصور ... یاد شده است. آغاز: حمد بی حد و مدح بی عد» ائمه لغت بر آنند که اشتقاق حمد از حمده است. «خلقت انسانی که طراز عالم امری داشت» انجام: و تمثیل آن از کلام سید المحققين گذشت متدبر</w:t>
      </w:r>
    </w:p>
    <w:p>
      <w:pPr>
        <w:pStyle w:val="BookText"/>
      </w:pPr>
      <w:r>
        <w:rPr>
          <w:rFonts w:ascii="IRNazanin" w:hAnsi="IRNazanin" w:eastAsia="IRNazanin" w:cs="IRNazanin"/>
          <w:lang w:bidi="fa-IR"/>
          <w:color w:val="111111"/>
          <w:sz w:val="28"/>
          <w:szCs w:val="28"/>
          <w:rtl/>
        </w:rPr>
        <w:t xml:space="preserve">[فهرستواره ۵۶۴/۷ ]</w:t>
      </w:r>
    </w:p>
    <w:p>
      <w:pPr>
        <w:pStyle w:val="BookText"/>
      </w:pPr>
      <w:r>
        <w:rPr>
          <w:rFonts w:ascii="IRNazanin" w:hAnsi="IRNazanin" w:eastAsia="IRNazanin" w:cs="IRNazanin"/>
          <w:lang w:bidi="fa-IR"/>
          <w:color w:val="111111"/>
          <w:sz w:val="28"/>
          <w:szCs w:val="28"/>
          <w:rtl/>
        </w:rPr>
        <w:t xml:space="preserve">۱. تهران؛ ادبیات؛ شماره نسخه:۳۶۷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۱۲ [ف: ۳-۲۱]</w:t>
      </w:r>
    </w:p>
    <w:p>
      <w:pPr>
        <w:pStyle w:val="BookText"/>
      </w:pPr>
      <w:r>
        <w:rPr>
          <w:rFonts w:ascii="IRNazanin" w:hAnsi="IRNazanin" w:eastAsia="IRNazanin" w:cs="IRNazanin"/>
          <w:lang w:bidi="fa-IR"/>
          <w:color w:val="111111"/>
          <w:sz w:val="28"/>
          <w:szCs w:val="28"/>
          <w:rtl/>
        </w:rPr>
        <w:t xml:space="preserve">تهران؛ دانشگاه؛ شماره نسخه:۲۷۵۸-ف</w:t>
      </w:r>
    </w:p>
    <w:p>
      <w:pPr>
        <w:pStyle w:val="BookText"/>
      </w:pPr>
      <w:r>
        <w:rPr>
          <w:rFonts w:ascii="Amiri" w:hAnsi="Amiri" w:eastAsia="Amiri" w:cs="Amiri"/>
          <w:lang w:bidi="ar-SA"/>
          <w:color w:val="111111"/>
          <w:sz w:val="28"/>
          <w:szCs w:val="28"/>
          <w:rtl/>
        </w:rPr>
        <w:t xml:space="preserve">نسخه اصل: همان نسخه بالا [فيلمها ف: ۱-۱۳۱]</w:t>
      </w:r>
    </w:p>
    <w:p>
      <w:pPr>
        <w:pStyle w:val="BookText"/>
      </w:pPr>
      <w:r>
        <w:rPr>
          <w:rFonts w:ascii="IRNazanin" w:hAnsi="IRNazanin" w:eastAsia="IRNazanin" w:cs="IRNazanin"/>
          <w:lang w:bidi="fa-IR"/>
          <w:color w:val="111111"/>
          <w:sz w:val="28"/>
          <w:szCs w:val="28"/>
          <w:rtl/>
        </w:rPr>
        <w:t xml:space="preserve">۲. تهران؛ دانشگاه؛ شماره نسخه: ۴۴۸۹</w:t>
      </w:r>
    </w:p>
    <w:p>
      <w:pPr>
        <w:pStyle w:val="BookText"/>
      </w:pPr>
      <w:r>
        <w:rPr>
          <w:rFonts w:ascii="IRNazanin" w:hAnsi="IRNazanin" w:eastAsia="IRNazanin" w:cs="IRNazanin"/>
          <w:lang w:bidi="fa-IR"/>
          <w:color w:val="111111"/>
          <w:sz w:val="28"/>
          <w:szCs w:val="28"/>
          <w:rtl/>
        </w:rPr>
        <w:t xml:space="preserve">آغاز و انجام: برابر؛ تمت هذا شرح اخلاق الناصري في يوم چهارشنبه غره شهر ربيع الثانی سنه ۳۱ جلوس معلی. تمت تمام شد هذه النسخة مسمی بتجلی الاشراق. خط: نستعلیق، بی کا، تا: چهارشنبه ۱ربیع الثانی، جلوس معلی؛ مجدول شنگرف و لاجورد، با سرلوح؛ کاغذ: هندی، جلد: تیماج قهوه ای، ۱۹۴گ، ۱۹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۱۳ - ۳۴۳۶]</w:t>
      </w:r>
    </w:p>
    <w:p>
      <w:pPr>
        <w:pStyle w:val="Heading3"/>
      </w:pPr>
      <w:bookmarkStart w:id="3134" w:name="_Toc2394"/>
      <w:r>
        <w:t>•تجلية الأرواح بحقائق الانجاح / فلسفه / عربی</w:t>
      </w:r>
      <w:bookmarkEnd w:id="3134"/>
    </w:p>
    <w:p>
      <w:pPr>
        <w:pStyle w:val="BookText"/>
      </w:pPr>
      <w:r>
        <w:rPr>
          <w:rFonts w:ascii="Times New Roman" w:hAnsi="Times New Roman" w:eastAsia="Times New Roman" w:cs="Times New Roman"/>
          <w:lang w:val="en-US" w:bidi="en-US"/>
          <w:color w:val="111111"/>
          <w:sz w:val="28"/>
          <w:szCs w:val="28"/>
          <w:rtl/>
        </w:rPr>
        <w:t xml:space="preserve">tajliyat-ul arwāḥ bi-ḥaqā'iq-il injāḥ</w:t>
      </w:r>
    </w:p>
    <w:p>
      <w:pPr>
        <w:pStyle w:val="BookText"/>
      </w:pPr>
      <w:r>
        <w:rPr>
          <w:rFonts w:ascii="IRNazanin" w:hAnsi="IRNazanin" w:eastAsia="IRNazanin" w:cs="IRNazanin"/>
          <w:lang w:bidi="fa-IR"/>
          <w:color w:val="111111"/>
          <w:sz w:val="28"/>
          <w:szCs w:val="28"/>
          <w:rtl/>
        </w:rPr>
        <w:t xml:space="preserve">متن مختصر نیکویی است در اصول فلسفی و مبانی عقلی، در یک «مقدمه) و دو «قسم» و یک «خاتمه»، مشتمل بر مباحث و فصول و ابواب، بدین عناوین: المقدمة: في الأمور العامة القسم الأول: في الطبيعي؛ القسم الثاني: في الالهيات؛ الخاتمة: في ثلاث جمل.</w:t>
      </w:r>
    </w:p>
    <w:p>
      <w:pPr>
        <w:pStyle w:val="BookText"/>
      </w:pPr>
      <w:r>
        <w:rPr>
          <w:rFonts w:ascii="IRNazanin" w:hAnsi="IRNazanin" w:eastAsia="IRNazanin" w:cs="IRNazanin"/>
          <w:lang w:bidi="fa-IR"/>
          <w:color w:val="111111"/>
          <w:sz w:val="28"/>
          <w:szCs w:val="28"/>
          <w:rtl/>
        </w:rPr>
        <w:t xml:space="preserve">قم؛ مرعشی؛ شماره نسخه:۶۸۸۸</w:t>
      </w:r>
    </w:p>
    <w:p>
      <w:pPr>
        <w:pStyle w:val="BookText"/>
      </w:pPr>
      <w:r>
        <w:rPr>
          <w:rFonts w:ascii="IRNazanin" w:hAnsi="IRNazanin" w:eastAsia="IRNazanin" w:cs="IRNazanin"/>
          <w:lang w:bidi="fa-IR"/>
          <w:color w:val="111111"/>
          <w:sz w:val="28"/>
          <w:szCs w:val="28"/>
          <w:rtl/>
        </w:rPr>
        <w:t xml:space="preserve">آغاز: و مستعيذ من الضلالة و الغواية سائلا كل محقق اصلاح ما اطلع عليه من مواضع الخطأ؛ انجام: و اعطاء رونقها و جمالها فسبحان الأبعد الأقرب الأرفع الأدنى خط: نستعلیق، بی کا، تا: قرن ۱۹ افتادگی: آغاز و انجام؛ مصحح؛ جلد: تیماج مشکی، ۵۴گ، مختلف السطر،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۱۸-۸۰]</w:t>
      </w:r>
    </w:p>
    <w:p>
      <w:pPr>
        <w:pStyle w:val="Heading3"/>
      </w:pPr>
      <w:bookmarkStart w:id="3135" w:name="_Toc2395"/>
      <w:r>
        <w:t>•تجلی حضرت واجب بر کلیم الله (شرح کلام برخی اکابر در) / عرفان و تصوف / فارسی</w:t>
      </w:r>
      <w:bookmarkEnd w:id="3135"/>
    </w:p>
    <w:p>
      <w:pPr>
        <w:pStyle w:val="BookText"/>
      </w:pPr>
      <w:r>
        <w:rPr>
          <w:rFonts w:ascii="Times New Roman" w:hAnsi="Times New Roman" w:eastAsia="Times New Roman" w:cs="Times New Roman"/>
          <w:lang w:val="en-US" w:bidi="en-US"/>
          <w:color w:val="111111"/>
          <w:sz w:val="28"/>
          <w:szCs w:val="28"/>
          <w:rtl/>
        </w:rPr>
        <w:t xml:space="preserve">tajallī-ye hazrat-e vājeb bar kalīm-ol-lāh (s.-e kalām-e barxī akāber dar)</w:t>
      </w:r>
    </w:p>
    <w:p>
      <w:pPr>
        <w:pStyle w:val="BookText"/>
      </w:pPr>
      <w:r>
        <w:rPr>
          <w:rFonts w:ascii="IRNazanin" w:hAnsi="IRNazanin" w:eastAsia="IRNazanin" w:cs="IRNazanin"/>
          <w:lang w:bidi="fa-IR"/>
          <w:color w:val="111111"/>
          <w:sz w:val="28"/>
          <w:szCs w:val="28"/>
          <w:rtl/>
        </w:rPr>
        <w:t xml:space="preserve">خادم بسطامی، محمد طاهر بن حسن، ق ۱۱ قمری</w:t>
      </w:r>
    </w:p>
    <w:p>
      <w:pPr>
        <w:pStyle w:val="BookText"/>
      </w:pPr>
      <w:r>
        <w:rPr>
          <w:rFonts w:ascii="Times New Roman" w:hAnsi="Times New Roman" w:eastAsia="Times New Roman" w:cs="Times New Roman"/>
          <w:lang w:val="en-US" w:bidi="en-US"/>
          <w:color w:val="111111"/>
          <w:sz w:val="28"/>
          <w:szCs w:val="28"/>
          <w:rtl/>
        </w:rPr>
        <w:t xml:space="preserve">xādem-e bastāmī, mohammad tāher ebn-e hasan (-17c)</w:t>
      </w:r>
    </w:p>
    <w:p>
      <w:pPr>
        <w:pStyle w:val="BookText"/>
      </w:pPr>
      <w:r>
        <w:rPr>
          <w:rFonts w:ascii="IRNazanin" w:hAnsi="IRNazanin" w:eastAsia="IRNazanin" w:cs="IRNazanin"/>
          <w:lang w:bidi="fa-IR"/>
          <w:color w:val="111111"/>
          <w:sz w:val="28"/>
          <w:szCs w:val="28"/>
          <w:rtl/>
        </w:rPr>
        <w:t xml:space="preserve">تهران؛ مجلس؛ شماره نسخه: ۹۴۶۶/۱۴۱</w:t>
      </w:r>
    </w:p>
    <w:p>
      <w:pPr>
        <w:pStyle w:val="BookText"/>
      </w:pPr>
      <w:r>
        <w:rPr>
          <w:rFonts w:ascii="IRNazanin" w:hAnsi="IRNazanin" w:eastAsia="IRNazanin" w:cs="IRNazanin"/>
          <w:lang w:bidi="fa-IR"/>
          <w:color w:val="111111"/>
          <w:sz w:val="28"/>
          <w:szCs w:val="28"/>
          <w:rtl/>
        </w:rPr>
        <w:t xml:space="preserve">خط: نستعلیق، بی کا، تا: رمضان ۱۰۴۴ق؛ ۳ص مختصر ف: ۵۰۵]  (۲۹۶-۲۹۸)</w:t>
      </w:r>
    </w:p>
    <w:p>
      <w:pPr>
        <w:pStyle w:val="Heading3"/>
      </w:pPr>
      <w:bookmarkStart w:id="3136" w:name="_Toc2396"/>
      <w:r>
        <w:t>•تجلی حقیقت / تاریخ / فارسی</w:t>
      </w:r>
      <w:bookmarkEnd w:id="3136"/>
    </w:p>
    <w:p>
      <w:pPr>
        <w:pStyle w:val="BookText"/>
      </w:pPr>
      <w:r>
        <w:rPr>
          <w:rFonts w:ascii="Times New Roman" w:hAnsi="Times New Roman" w:eastAsia="Times New Roman" w:cs="Times New Roman"/>
          <w:lang w:val="en-US" w:bidi="en-US"/>
          <w:color w:val="111111"/>
          <w:sz w:val="28"/>
          <w:szCs w:val="28"/>
          <w:rtl/>
        </w:rPr>
        <w:t xml:space="preserve">tajallī-ye haqīqat</w:t>
      </w:r>
    </w:p>
    <w:p>
      <w:pPr>
        <w:pStyle w:val="BookText"/>
      </w:pPr>
      <w:r>
        <w:rPr>
          <w:rFonts w:ascii="IRNazanin" w:hAnsi="IRNazanin" w:eastAsia="IRNazanin" w:cs="IRNazanin"/>
          <w:lang w:bidi="fa-IR"/>
          <w:color w:val="111111"/>
          <w:sz w:val="28"/>
          <w:szCs w:val="28"/>
          <w:rtl/>
        </w:rPr>
        <w:t xml:space="preserve">تابنده، سلطان حسین، ۱۲۹۳- ۱۳۷۱ شمسی</w:t>
      </w:r>
    </w:p>
    <w:p>
      <w:pPr>
        <w:pStyle w:val="BookText"/>
      </w:pPr>
      <w:r>
        <w:rPr>
          <w:rFonts w:ascii="Times New Roman" w:hAnsi="Times New Roman" w:eastAsia="Times New Roman" w:cs="Times New Roman"/>
          <w:lang w:val="en-US" w:bidi="en-US"/>
          <w:color w:val="111111"/>
          <w:sz w:val="28"/>
          <w:szCs w:val="28"/>
          <w:rtl/>
        </w:rPr>
        <w:t xml:space="preserve">tābande, soltān hoseyn (1914-1992)</w:t>
      </w:r>
    </w:p>
    <w:p>
      <w:pPr>
        <w:pStyle w:val="BookText"/>
      </w:pPr>
      <w:r>
        <w:rPr>
          <w:rFonts w:ascii="IRNazanin" w:hAnsi="IRNazanin" w:eastAsia="IRNazanin" w:cs="IRNazanin"/>
          <w:lang w:bidi="fa-IR"/>
          <w:color w:val="111111"/>
          <w:sz w:val="28"/>
          <w:szCs w:val="28"/>
          <w:rtl/>
        </w:rPr>
        <w:t xml:space="preserve">مشهد؛ رضوی؛ شماره نسخه:۱۱۹۵۶</w:t>
      </w:r>
    </w:p>
    <w:p>
      <w:pPr>
        <w:pStyle w:val="BookText"/>
      </w:pPr>
      <w:r>
        <w:rPr>
          <w:rFonts w:ascii="IRNazanin" w:hAnsi="IRNazanin" w:eastAsia="IRNazanin" w:cs="IRNazanin"/>
          <w:lang w:bidi="fa-IR"/>
          <w:color w:val="111111"/>
          <w:sz w:val="28"/>
          <w:szCs w:val="28"/>
          <w:rtl/>
        </w:rPr>
        <w:t xml:space="preserve">آغاز: بسمله، اول دفتر بنام ایزد دانا؛ انجام: به تعالی و ترقی سوق می دهند ... خرداد ۱۳۱۹ش خط: مختلف، كا: حسینی قزوینی، اسدبن جمال الدین، تا: ۱۳۱۹ق؛ کاغذ: فرنگی، جلد: تیماج، مختلف السطر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[الفبائی: ۱۰۵]</w:t>
      </w:r>
    </w:p>
    <w:p>
      <w:pPr>
        <w:pStyle w:val="Heading3"/>
      </w:pPr>
      <w:bookmarkStart w:id="3137" w:name="_Toc2397"/>
      <w:r>
        <w:t>•تجلی خداوند بر حضرت موسی علیه السلام = تجلی خداوند بر کوه طور / عرفان و تصوف / فارسی</w:t>
      </w:r>
      <w:bookmarkEnd w:id="3137"/>
    </w:p>
    <w:p>
      <w:pPr>
        <w:pStyle w:val="BookText"/>
      </w:pPr>
      <w:r>
        <w:rPr>
          <w:rFonts w:ascii="Times New Roman" w:hAnsi="Times New Roman" w:eastAsia="Times New Roman" w:cs="Times New Roman"/>
          <w:lang w:val="en-US" w:bidi="en-US"/>
          <w:color w:val="111111"/>
          <w:sz w:val="28"/>
          <w:szCs w:val="28"/>
          <w:rtl/>
        </w:rPr>
        <w:t xml:space="preserve">tajallī-ye xodāvand bar hazrat-e mūsā ‘alay-he-s-salām = tajallī-ye xodāvand bar kūh-e tūr</w:t>
      </w:r>
    </w:p>
    <w:p>
      <w:pPr>
        <w:pStyle w:val="BookText"/>
      </w:pPr>
      <w:r>
        <w:rPr>
          <w:rFonts w:ascii="IRNazanin" w:hAnsi="IRNazanin" w:eastAsia="IRNazanin" w:cs="IRNazanin"/>
          <w:lang w:bidi="fa-IR"/>
          <w:color w:val="111111"/>
          <w:sz w:val="28"/>
          <w:szCs w:val="28"/>
          <w:rtl/>
        </w:rPr>
        <w:t xml:space="preserve">نواب اصفهانی، سلطان محمد</w:t>
      </w:r>
    </w:p>
    <w:p>
      <w:pPr>
        <w:pStyle w:val="BookText"/>
      </w:pPr>
      <w:r>
        <w:rPr>
          <w:rFonts w:ascii="Times New Roman" w:hAnsi="Times New Roman" w:eastAsia="Times New Roman" w:cs="Times New Roman"/>
          <w:lang w:val="en-US" w:bidi="en-US"/>
          <w:color w:val="111111"/>
          <w:sz w:val="28"/>
          <w:szCs w:val="28"/>
          <w:rtl/>
        </w:rPr>
        <w:t xml:space="preserve">navvāb-e esfahānī, soltān mohammad</w:t>
      </w:r>
    </w:p>
    <w:p>
      <w:pPr>
        <w:pStyle w:val="BookText"/>
      </w:pPr>
      <w:r>
        <w:rPr>
          <w:rFonts w:ascii="IRNazanin" w:hAnsi="IRNazanin" w:eastAsia="IRNazanin" w:cs="IRNazanin"/>
          <w:lang w:bidi="fa-IR"/>
          <w:color w:val="111111"/>
          <w:sz w:val="28"/>
          <w:szCs w:val="28"/>
          <w:rtl/>
        </w:rPr>
        <w:t xml:space="preserve">رساله ای است در بیان تجلی خداوند بر حضرت موسی(عليه السلام)در طور سینا به صورت عرفانی، این رساله در فهرست کتابخانه مجلس سنا (سابق) با عنوان: عبارتی که خان عالم ایلچی شاه سلیم از هند آورده درباره شک در تجلی خدا ...، و مؤلف آن خواجه سلطان محمد معرفی شده است، البته در نسخه دائرة المعارف مؤلف «نواب آصفجاهی خواجه سلطان محمود» آمده است ولی همین رساله است.</w:t>
      </w:r>
    </w:p>
    <w:p>
      <w:pPr>
        <w:pStyle w:val="BookText"/>
      </w:pPr>
      <w:r>
        <w:rPr>
          <w:rFonts w:ascii="IRNazanin" w:hAnsi="IRNazanin" w:eastAsia="IRNazanin" w:cs="IRNazanin"/>
          <w:lang w:bidi="fa-IR"/>
          <w:color w:val="111111"/>
          <w:sz w:val="28"/>
          <w:szCs w:val="28"/>
          <w:rtl/>
        </w:rPr>
        <w:t xml:space="preserve">آغاز: هو تجلی حضرت کلیم الله در طور سینا کنایه بر حکمت است. در اینجا کنایه است بر آنکه اجساد و اجرام خصوص جرم خاک را استعداد رؤیت ازلی و تاب تجلی سرمدی نیست.</w:t>
      </w:r>
    </w:p>
    <w:p>
      <w:pPr>
        <w:pStyle w:val="BookText"/>
      </w:pPr>
      <w:r>
        <w:rPr>
          <w:rFonts w:ascii="IRNazanin" w:hAnsi="IRNazanin" w:eastAsia="IRNazanin" w:cs="IRNazanin"/>
          <w:lang w:bidi="fa-IR"/>
          <w:color w:val="111111"/>
          <w:sz w:val="28"/>
          <w:szCs w:val="28"/>
          <w:rtl/>
        </w:rPr>
        <w:t xml:space="preserve">انجام: مرد باید که بر تواند کرد *** ورنه عالم پر از نسیم صباست</w:t>
      </w:r>
    </w:p>
    <w:p>
      <w:pPr>
        <w:pStyle w:val="BookText"/>
      </w:pPr>
      <w:r>
        <w:rPr>
          <w:rFonts w:ascii="IRNazanin" w:hAnsi="IRNazanin" w:eastAsia="IRNazanin" w:cs="IRNazanin"/>
          <w:lang w:bidi="fa-IR"/>
          <w:color w:val="111111"/>
          <w:sz w:val="28"/>
          <w:szCs w:val="28"/>
          <w:rtl/>
        </w:rPr>
        <w:t xml:space="preserve">[دنا ۸۰۶/۲ ؛ فهرستواره منزوی ۱۷۲/۷ ]</w:t>
      </w:r>
    </w:p>
    <w:p>
      <w:pPr>
        <w:pStyle w:val="BookText"/>
      </w:pPr>
      <w:r>
        <w:rPr>
          <w:rFonts w:ascii="IRNazanin" w:hAnsi="IRNazanin" w:eastAsia="IRNazanin" w:cs="IRNazanin"/>
          <w:lang w:bidi="fa-IR"/>
          <w:color w:val="111111"/>
          <w:sz w:val="28"/>
          <w:szCs w:val="28"/>
          <w:rtl/>
        </w:rPr>
        <w:t xml:space="preserve">۱. تهران؛ مجلس؛ شماره نسخه:۵۶۸/۹</w:t>
      </w:r>
    </w:p>
    <w:p>
      <w:pPr>
        <w:pStyle w:val="BookText"/>
      </w:pPr>
      <w:r>
        <w:rPr>
          <w:rFonts w:ascii="IRNazanin" w:hAnsi="IRNazanin" w:eastAsia="IRNazanin" w:cs="IRNazanin"/>
          <w:lang w:bidi="fa-IR"/>
          <w:color w:val="111111"/>
          <w:sz w:val="28"/>
          <w:szCs w:val="28"/>
          <w:rtl/>
        </w:rPr>
        <w:t xml:space="preserve">عبارتی که خان عالم ایلچی شاه سلیم از هند آورده در باره شک در تجلی خدا بر موسی در کوه طور و پاسخ آن از خواجه سلطان محمد وزیر امام قلی خان؛ خط: نستعلیق چلیپا، بی کا، تا: قرن ۱۱؛ کص (۲۵-۲۶)، ابعاد متن: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[سنا: ف: 1 ۳۵۷ ]</w:t>
      </w:r>
    </w:p>
    <w:p>
      <w:pPr>
        <w:pStyle w:val="BookText"/>
      </w:pPr>
      <w:r>
        <w:rPr>
          <w:rFonts w:ascii="Amiri" w:hAnsi="Amiri" w:eastAsia="Amiri" w:cs="Amiri"/>
          <w:lang w:bidi="ar-SA"/>
          <w:color w:val="111111"/>
          <w:sz w:val="28"/>
          <w:szCs w:val="28"/>
          <w:rtl/>
        </w:rPr>
        <w:t xml:space="preserve">۲. تهران: دائرة المعارف؛ شماره نسخه:۱۰۷۹/۵</w:t>
      </w:r>
    </w:p>
    <w:p>
      <w:pPr>
        <w:pStyle w:val="BookText"/>
      </w:pPr>
      <w:r>
        <w:rPr>
          <w:rFonts w:ascii="IRNazanin" w:hAnsi="IRNazanin" w:eastAsia="IRNazanin" w:cs="IRNazanin"/>
          <w:lang w:bidi="fa-IR"/>
          <w:color w:val="111111"/>
          <w:sz w:val="28"/>
          <w:szCs w:val="28"/>
          <w:rtl/>
        </w:rPr>
        <w:t xml:space="preserve">آغاز: حلی که نواب آصفجاهی خواجه سلطان محمود نموده اند،
</w:t>
      </w:r>
    </w:p>
    <w:p>
      <w:pPr>
        <w:sectPr>
          <w:footerReference w:type="default" r:id="rId994"/>
          <w:footnotePr>
            <w:numStart w:val="1"/>
            <w:numRestart w:val="eachPage"/>
          </w:footnotePr>
          <w:pgSz w:orient="portrait" w:w="11905.511811023622" w:h="16837.79527559055"/>
          <w:pgMar w:top="1440" w:right="1440" w:bottom="1440" w:left="1440" w:header="720" w:footer="720" w:gutter="0"/>
          <w:cols w:num="1" w:space="720"/>
        </w:sectPr>
      </w:pPr>
    </w:p>
    <w:bookmarkStart w:id="739" w:name="pg20363_210112"/>
    <w:bookmarkEnd w:id="739"/>
    <w:p>
      <w:pPr>
        <w:pStyle w:val="BookText"/>
      </w:pPr>
      <w:r>
        <w:rPr>
          <w:rFonts w:ascii="IRNazanin" w:hAnsi="IRNazanin" w:eastAsia="IRNazanin" w:cs="IRNazanin"/>
          <w:lang w:bidi="fa-IR"/>
          <w:color w:val="111111"/>
          <w:sz w:val="28"/>
          <w:szCs w:val="28"/>
          <w:rtl/>
        </w:rPr>
        <w:t xml:space="preserve">تجلی حضرت واجب بر کلیم الله در طور سینا کنایه بر حکمت است، بر آنکه اجساد و اجرام، خصوصا جرم خاکی را استعداد رؤیت ازلی و تاب تجلی سرمدی نیست؛ انجام: به ترقی حرف رابع بوده باشد. همان که از خواجه سلطان محمد دانسته شده؛ خط: نسخ خوش، بی کا، تا: قرن ۱۱ و یا آغاز ۱۲؛ به دنبال گفته ای از خفری در همین زمینه؛ ۲گ (۱۱۸ر-۱۱۹ر) [ف: ۲-۳۹]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دانشگاه؛ شماره نسخه: ۱۰۳۸/۹/۱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تعليق، بی کا، تا: با تاریخ ۱۰۵۶ق؛ در پایان همان عبارت دیباچه با اندک جدایی آمده است: «هو ايضا تجلی حضرت کلیم الله در طور سینا کنایه بر حکمتی است زحل معدل باشد. اسرار برون می نتوان داد و گرنه در کوچه هست خبرها ز شررها»؛ کاغذ: فرنگی، جلد: تیماج سرخ، ۲گ (۶۶پ -۶۷ر)، ۳۱ سطر (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۳-۴۳۸]</w:t>
      </w:r>
    </w:p>
    <w:p>
      <w:pPr>
        <w:pStyle w:val="BookText"/>
      </w:pPr>
      <w:r>
        <w:rPr>
          <w:rFonts w:ascii="IRNazanin" w:hAnsi="IRNazanin" w:eastAsia="IRNazanin" w:cs="IRNazanin"/>
          <w:lang w:bidi="fa-IR"/>
          <w:color w:val="111111"/>
          <w:sz w:val="28"/>
          <w:szCs w:val="28"/>
          <w:rtl/>
        </w:rPr>
        <w:t xml:space="preserve">۴. قم؛ مرعشی؛ شماره نسخه: ۱۱۶۱۹/۱۶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كان محمد نصیر فرزند ملا حسن، بلانکابی جیلانی، تا: قرن ۱۲؛ مصحح، کاغذ: فرنگی، ۲گ (۸۶و۸۷)، ۲۲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۶سم [ف: ۲۹-۳۷۴]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گلپایگانی؛ شماره نسخه:۴۸۵۹/۷ - ۲۴/۱۵۹</w:t>
      </w:r>
    </w:p>
    <w:p>
      <w:pPr>
        <w:pStyle w:val="BookText"/>
      </w:pPr>
      <w:r>
        <w:rPr>
          <w:rFonts w:ascii="IRNazanin" w:hAnsi="IRNazanin" w:eastAsia="IRNazanin" w:cs="IRNazanin"/>
          <w:lang w:bidi="fa-IR"/>
          <w:color w:val="111111"/>
          <w:sz w:val="28"/>
          <w:szCs w:val="28"/>
          <w:rtl/>
        </w:rPr>
        <w:t xml:space="preserve">آغاز: سؤال الحكماء الهند و طبلوا شرحه تجلی حضرت واجب بر کلیم الله در طور سینا کنایه بر حكمة است که اسم مبارک موسی عليه السلام بترتيب حجر مبارک چهار است؛ انجام: و الا فرعون صفت کوس نافرمانی کوفته و بر مرکب جهل سوار می شود و غرق دریای آتش مهجوری وحرمان میگردد. بدست خویش تبه می کنی تو صورت خویش *** وگرنه ساخته اندت چنانکه میبایی در فهرست آمده: «سؤال حکمای هند و جواب شیخ بهایی»؛ خط: نستعلیق، کا: محمد بن ابوالقاسم حفریی، تا: ذیقعده ۱۲۶۲ق؛ ۳گ،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۴-۲۳۲۵]</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دانشگاه؛ شماره نسخه: ۳۸۲/۱</w:t>
      </w:r>
    </w:p>
    <w:p>
      <w:pPr>
        <w:pStyle w:val="BookText"/>
      </w:pPr>
      <w:r>
        <w:rPr>
          <w:rFonts w:ascii="IRNazanin" w:hAnsi="IRNazanin" w:eastAsia="IRNazanin" w:cs="IRNazanin"/>
          <w:lang w:bidi="fa-IR"/>
          <w:color w:val="111111"/>
          <w:sz w:val="28"/>
          <w:szCs w:val="28"/>
          <w:rtl/>
        </w:rPr>
        <w:t xml:space="preserve">آغاز: هو-حلی که نواب اصفهانی خواجه سلطان محمد نمودند - تجلی حضرت بر کلیم الله در طور سینا؛ انجام: پس بر این تقدیر حرف ثالث بترقی حرف رابع بوده باشد و السلام. خط: تعليق، بی کا، بی تا، کاغذ: فرنگی، جلد: تیماج زرد، ۱۹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سم [ف: ۳-۲۶۵]</w:t>
      </w:r>
    </w:p>
    <w:p>
      <w:pPr>
        <w:pStyle w:val="BookText"/>
      </w:pPr>
      <w:r>
        <w:rPr>
          <w:rFonts w:ascii="IRNazanin" w:hAnsi="IRNazanin" w:eastAsia="IRNazanin" w:cs="IRNazanin"/>
          <w:lang w:bidi="fa-IR"/>
          <w:color w:val="111111"/>
          <w:sz w:val="28"/>
          <w:szCs w:val="28"/>
          <w:rtl/>
        </w:rPr>
        <w:t xml:space="preserve">← تجلی خداوند بر کوه طور← تجلی خداوند بر حضرت موسی علیه السلام</w:t>
      </w:r>
    </w:p>
    <w:p>
      <w:pPr>
        <w:pStyle w:val="Heading3"/>
      </w:pPr>
      <w:bookmarkStart w:id="3138" w:name="_Toc2398"/>
      <w:r>
        <w:t>•تجلی فیض در اخلاق و عرفان عرفان و تصوف / فارسی</w:t>
      </w:r>
      <w:bookmarkEnd w:id="3138"/>
    </w:p>
    <w:p>
      <w:pPr>
        <w:pStyle w:val="BookText"/>
      </w:pPr>
      <w:r>
        <w:rPr>
          <w:rFonts w:ascii="Times New Roman" w:hAnsi="Times New Roman" w:eastAsia="Times New Roman" w:cs="Times New Roman"/>
          <w:lang w:val="en-US" w:bidi="en-US"/>
          <w:color w:val="111111"/>
          <w:sz w:val="28"/>
          <w:szCs w:val="28"/>
          <w:rtl/>
        </w:rPr>
        <w:t xml:space="preserve">tajallī-ye feyz dar axlāq va ‘erfān</w:t>
      </w:r>
    </w:p>
    <w:p>
      <w:pPr>
        <w:pStyle w:val="BookText"/>
      </w:pPr>
      <w:r>
        <w:rPr>
          <w:rFonts w:ascii="IRNazanin" w:hAnsi="IRNazanin" w:eastAsia="IRNazanin" w:cs="IRNazanin"/>
          <w:lang w:bidi="fa-IR"/>
          <w:color w:val="111111"/>
          <w:sz w:val="28"/>
          <w:szCs w:val="28"/>
          <w:rtl/>
        </w:rPr>
        <w:t xml:space="preserve">افغان، احمد</w:t>
      </w:r>
    </w:p>
    <w:p>
      <w:pPr>
        <w:pStyle w:val="BookText"/>
      </w:pPr>
      <w:r>
        <w:rPr>
          <w:rFonts w:ascii="Times New Roman" w:hAnsi="Times New Roman" w:eastAsia="Times New Roman" w:cs="Times New Roman"/>
          <w:lang w:val="en-US" w:bidi="en-US"/>
          <w:color w:val="111111"/>
          <w:sz w:val="28"/>
          <w:szCs w:val="28"/>
          <w:rtl/>
        </w:rPr>
        <w:t xml:space="preserve">afqān, ahmad</w:t>
      </w:r>
    </w:p>
    <w:p>
      <w:pPr>
        <w:pStyle w:val="BookText"/>
      </w:pPr>
      <w:r>
        <w:rPr>
          <w:rFonts w:ascii="IRNazanin" w:hAnsi="IRNazanin" w:eastAsia="IRNazanin" w:cs="IRNazanin"/>
          <w:lang w:bidi="fa-IR"/>
          <w:color w:val="111111"/>
          <w:sz w:val="28"/>
          <w:szCs w:val="28"/>
          <w:rtl/>
        </w:rPr>
        <w:t xml:space="preserve">تهران؛ ملی؛ شماره نسخه:۲۷۳۱۶</w:t>
      </w:r>
    </w:p>
    <w:p>
      <w:pPr>
        <w:pStyle w:val="BookText"/>
      </w:pPr>
      <w:r>
        <w:rPr>
          <w:rFonts w:ascii="IRNazanin" w:hAnsi="IRNazanin" w:eastAsia="IRNazanin" w:cs="IRNazanin"/>
          <w:lang w:bidi="fa-IR"/>
          <w:color w:val="111111"/>
          <w:sz w:val="28"/>
          <w:szCs w:val="28"/>
          <w:rtl/>
        </w:rPr>
        <w:t xml:space="preserve">بی کا، بی تا؛ خریداری از بانو سهیلا چاره دار [رایانه ]</w:t>
      </w:r>
    </w:p>
    <w:p>
      <w:pPr>
        <w:pStyle w:val="Heading3"/>
      </w:pPr>
      <w:bookmarkStart w:id="3139" w:name="_Toc2399"/>
      <w:r>
        <w:t>•تجلیل مستر ویلیام جاکسن /</w:t>
      </w:r>
      <w:bookmarkEnd w:id="3139"/>
    </w:p>
    <w:p>
      <w:pPr>
        <w:pStyle w:val="BookText"/>
      </w:pPr>
      <w:r>
        <w:rPr>
          <w:rFonts w:ascii="Times New Roman" w:hAnsi="Times New Roman" w:eastAsia="Times New Roman" w:cs="Times New Roman"/>
          <w:lang w:val="en-US" w:bidi="en-US"/>
          <w:color w:val="111111"/>
          <w:sz w:val="28"/>
          <w:szCs w:val="28"/>
          <w:rtl/>
        </w:rPr>
        <w:t xml:space="preserve">tajlīl-e mester vīlīyām jāksen</w:t>
      </w:r>
    </w:p>
    <w:p>
      <w:pPr>
        <w:pStyle w:val="BookText"/>
      </w:pPr>
      <w:r>
        <w:rPr>
          <w:rFonts w:ascii="IRNazanin" w:hAnsi="IRNazanin" w:eastAsia="IRNazanin" w:cs="IRNazanin"/>
          <w:lang w:bidi="fa-IR"/>
          <w:color w:val="111111"/>
          <w:sz w:val="28"/>
          <w:szCs w:val="28"/>
          <w:rtl/>
        </w:rPr>
        <w:t xml:space="preserve">تجلیل مستر ویلیام جاکسن، خاورشناس امریکایی، و یادداشت ادبی، به نظم در سه صفحه، در پایان آمده رئیس اداره امور عدلیه دولت ایران (احمد)، سپس نامه فارسی به او از همین احمد در تبریک ورود او.</w:t>
      </w:r>
    </w:p>
    <w:p>
      <w:pPr>
        <w:pStyle w:val="BookText"/>
      </w:pPr>
      <w:r>
        <w:rPr>
          <w:rFonts w:ascii="IRNazanin" w:hAnsi="IRNazanin" w:eastAsia="IRNazanin" w:cs="IRNazanin"/>
          <w:lang w:bidi="fa-IR"/>
          <w:color w:val="111111"/>
          <w:sz w:val="28"/>
          <w:szCs w:val="28"/>
          <w:rtl/>
        </w:rPr>
        <w:t xml:space="preserve">تهران؛ دانشگاه؛ شماره نسخه: ۹۳۶۱</w:t>
      </w:r>
    </w:p>
    <w:p>
      <w:pPr>
        <w:pStyle w:val="BookText"/>
      </w:pPr>
      <w:r>
        <w:rPr>
          <w:rFonts w:ascii="IRNazanin" w:hAnsi="IRNazanin" w:eastAsia="IRNazanin" w:cs="IRNazanin"/>
          <w:lang w:bidi="fa-IR"/>
          <w:color w:val="111111"/>
          <w:sz w:val="28"/>
          <w:szCs w:val="28"/>
          <w:rtl/>
        </w:rPr>
        <w:t xml:space="preserve">خط: نستعلیق، بی کا، تا: قرن ۱۴؛ کاغذ: فرنگی، جلد: مقوا، ۳گ، 19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۱۷-۳۵۵]</w:t>
      </w:r>
    </w:p>
    <w:p>
      <w:pPr>
        <w:pStyle w:val="Heading3"/>
      </w:pPr>
      <w:bookmarkStart w:id="3140" w:name="_Toc2400"/>
      <w:r>
        <w:t>•تجلی نور = تذکره مشاهیر جونپور / تراجم / فارسی</w:t>
      </w:r>
      <w:bookmarkEnd w:id="3140"/>
    </w:p>
    <w:p>
      <w:pPr>
        <w:pStyle w:val="BookText"/>
      </w:pPr>
      <w:r>
        <w:rPr>
          <w:rFonts w:ascii="Times New Roman" w:hAnsi="Times New Roman" w:eastAsia="Times New Roman" w:cs="Times New Roman"/>
          <w:lang w:val="en-US" w:bidi="en-US"/>
          <w:color w:val="111111"/>
          <w:sz w:val="28"/>
          <w:szCs w:val="28"/>
          <w:rtl/>
        </w:rPr>
        <w:t xml:space="preserve">tajallī-ye nūr= tazkere-ye mašāhīr jonpūr</w:t>
      </w:r>
    </w:p>
    <w:p>
      <w:pPr>
        <w:pStyle w:val="BookText"/>
      </w:pPr>
      <w:r>
        <w:rPr>
          <w:rFonts w:ascii="IRNazanin" w:hAnsi="IRNazanin" w:eastAsia="IRNazanin" w:cs="IRNazanin"/>
          <w:lang w:bidi="fa-IR"/>
          <w:color w:val="111111"/>
          <w:sz w:val="28"/>
          <w:szCs w:val="28"/>
          <w:rtl/>
        </w:rPr>
        <w:t xml:space="preserve">ظفر آبادی زیدی، نورالدین، ق ۱۴ قمری</w:t>
      </w:r>
    </w:p>
    <w:p>
      <w:pPr>
        <w:pStyle w:val="BookText"/>
      </w:pPr>
      <w:r>
        <w:rPr>
          <w:rFonts w:ascii="Times New Roman" w:hAnsi="Times New Roman" w:eastAsia="Times New Roman" w:cs="Times New Roman"/>
          <w:lang w:val="en-US" w:bidi="en-US"/>
          <w:color w:val="111111"/>
          <w:sz w:val="28"/>
          <w:szCs w:val="28"/>
          <w:rtl/>
        </w:rPr>
        <w:t xml:space="preserve">zafarābādī-ye zeydī, nūr-od-dīn (-20c)</w:t>
      </w:r>
    </w:p>
    <w:p>
      <w:pPr>
        <w:pStyle w:val="BookText"/>
      </w:pPr>
      <w:r>
        <w:rPr>
          <w:rFonts w:ascii="IRNazanin" w:hAnsi="IRNazanin" w:eastAsia="IRNazanin" w:cs="IRNazanin"/>
          <w:lang w:bidi="fa-IR"/>
          <w:color w:val="111111"/>
          <w:sz w:val="28"/>
          <w:szCs w:val="28"/>
          <w:rtl/>
        </w:rPr>
        <w:t xml:space="preserve">زندگی نامه پیران، سرایندگان و بزرگان جونپور است. گویا کتاب حاضر در چند بخش تنظیم شده، چنانکه در ابتدای نسخه حاضر و نیز نسخه کتابخانه آصفیه آمده است: «حصه دوم تجلی نور المعروف بتذكرة مشاهير جونپور».. چاپ: جونپور، ۱۹۰۰ میلادی، چاپ سنگی</w:t>
      </w:r>
    </w:p>
    <w:p>
      <w:pPr>
        <w:pStyle w:val="BookText"/>
      </w:pPr>
      <w:r>
        <w:rPr>
          <w:rFonts w:ascii="IRNazanin" w:hAnsi="IRNazanin" w:eastAsia="IRNazanin" w:cs="IRNazanin"/>
          <w:lang w:bidi="fa-IR"/>
          <w:color w:val="111111"/>
          <w:sz w:val="28"/>
          <w:szCs w:val="28"/>
          <w:rtl/>
        </w:rPr>
        <w:t xml:space="preserve">[فهرستواره منزوی ۲۰۴۴/۳ ؛ فهرست کتب خانه آصفیه ۱۶۲/۳ ؛ مشار فارسی ۱۱۸۸/۱]</w:t>
      </w:r>
    </w:p>
    <w:p>
      <w:pPr>
        <w:pStyle w:val="BookText"/>
      </w:pPr>
      <w:r>
        <w:rPr>
          <w:rFonts w:ascii="IRNazanin" w:hAnsi="IRNazanin" w:eastAsia="IRNazanin" w:cs="IRNazanin"/>
          <w:lang w:bidi="fa-IR"/>
          <w:color w:val="111111"/>
          <w:sz w:val="28"/>
          <w:szCs w:val="28"/>
          <w:rtl/>
        </w:rPr>
        <w:t xml:space="preserve">قم؛ مرعشی؛ شماره نسخه:۱۷۲۶</w:t>
      </w:r>
    </w:p>
    <w:p>
      <w:pPr>
        <w:pStyle w:val="BookText"/>
      </w:pPr>
      <w:r>
        <w:rPr>
          <w:rFonts w:ascii="IRNazanin" w:hAnsi="IRNazanin" w:eastAsia="IRNazanin" w:cs="IRNazanin"/>
          <w:lang w:bidi="fa-IR"/>
          <w:color w:val="111111"/>
          <w:sz w:val="28"/>
          <w:szCs w:val="28"/>
          <w:rtl/>
        </w:rPr>
        <w:t xml:space="preserve">آغاز: بنام ایزد فكرت تیزرو *** رساندی سخن را به انجام تو. گوناگون ستایش خدای گیتی را که فيض است که بآبیاری قدرت سبزه را دمیدن و نهال را سر کشیدن و میوده را رسیدن و لب را زمزمه آفریدن آموخت؛ انجام: سهو خطایم را که لازمه بشریت است خورده گیری نکنند و از دامن عاطفت بپوشند زیاده از آن روی قلم سرنگون، تمت بالخير. نسخه اصل: کتابخانه ندوة العلماء، لكهنو، هند، شماره ۱۲ (ردیف ۳۹). حصه دوم از کتاب؛ خط: نستعلیق، بی کا، تا: ۲۰ ربيع الثانی ۱۳۵۱ق؛ ۱۹۶، ۱۷سطر [عکسی ف: ۵-۱۶۴]</w:t>
      </w:r>
    </w:p>
    <w:p>
      <w:pPr>
        <w:pStyle w:val="BookText"/>
      </w:pPr>
      <w:r>
        <w:rPr>
          <w:rFonts w:ascii="Amiri" w:hAnsi="Amiri" w:eastAsia="Amiri" w:cs="Amiri"/>
          <w:lang w:bidi="ar-SA"/>
          <w:color w:val="111111"/>
          <w:sz w:val="28"/>
          <w:szCs w:val="28"/>
          <w:rtl/>
        </w:rPr>
        <w:t xml:space="preserve">← تجنيسات ← ده باب</w:t>
      </w:r>
    </w:p>
    <w:p>
      <w:pPr>
        <w:pStyle w:val="Heading3"/>
      </w:pPr>
      <w:bookmarkStart w:id="3141" w:name="_Toc2401"/>
      <w:r>
        <w:t>•تجنيسات / ادبیات عربی</w:t>
      </w:r>
      <w:bookmarkEnd w:id="3141"/>
    </w:p>
    <w:p>
      <w:pPr>
        <w:pStyle w:val="BookText"/>
      </w:pPr>
      <w:r>
        <w:rPr>
          <w:rFonts w:ascii="Times New Roman" w:hAnsi="Times New Roman" w:eastAsia="Times New Roman" w:cs="Times New Roman"/>
          <w:lang w:val="en-US" w:bidi="en-US"/>
          <w:color w:val="111111"/>
          <w:sz w:val="28"/>
          <w:szCs w:val="28"/>
          <w:rtl/>
        </w:rPr>
        <w:t xml:space="preserve">tajnīsāt
</w:t>
      </w:r>
    </w:p>
    <w:p>
      <w:pPr>
        <w:sectPr>
          <w:footerReference w:type="default" r:id="rId995"/>
          <w:footnotePr>
            <w:numStart w:val="1"/>
            <w:numRestart w:val="eachPage"/>
          </w:footnotePr>
          <w:pgSz w:orient="portrait" w:w="11905.511811023622" w:h="16837.79527559055"/>
          <w:pgMar w:top="1440" w:right="1440" w:bottom="1440" w:left="1440" w:header="720" w:footer="720" w:gutter="0"/>
          <w:cols w:num="1" w:space="720"/>
        </w:sectPr>
      </w:pPr>
    </w:p>
    <w:bookmarkStart w:id="740" w:name="pg20363_210113"/>
    <w:bookmarkEnd w:id="740"/>
    <w:p>
      <w:pPr>
        <w:pStyle w:val="BookText"/>
      </w:pPr>
      <w:r>
        <w:rPr>
          <w:rFonts w:ascii="IRNazanin" w:hAnsi="IRNazanin" w:eastAsia="IRNazanin" w:cs="IRNazanin"/>
          <w:lang w:bidi="fa-IR"/>
          <w:color w:val="111111"/>
          <w:sz w:val="28"/>
          <w:szCs w:val="28"/>
          <w:rtl/>
        </w:rPr>
        <w:t xml:space="preserve">تهران؛ مجلس؛ شماره نسخه: ۹۴۶۹/۸۶</w:t>
      </w:r>
    </w:p>
    <w:p>
      <w:pPr>
        <w:pStyle w:val="BookText"/>
      </w:pPr>
      <w:r>
        <w:rPr>
          <w:rFonts w:ascii="IRNazanin" w:hAnsi="IRNazanin" w:eastAsia="IRNazanin" w:cs="IRNazanin"/>
          <w:lang w:bidi="fa-IR"/>
          <w:color w:val="111111"/>
          <w:sz w:val="28"/>
          <w:szCs w:val="28"/>
          <w:rtl/>
        </w:rPr>
        <w:t xml:space="preserve">خط: نستعلیق، بی کا، تا: قرن ۱۱؛ اص (۱۳۱) [مختصر ف: ۹۹]</w:t>
      </w:r>
    </w:p>
    <w:p>
      <w:pPr>
        <w:pStyle w:val="Heading3"/>
      </w:pPr>
      <w:bookmarkStart w:id="3142" w:name="_Toc2402"/>
      <w:r>
        <w:t>•تجنيسات / شعر / فارسی</w:t>
      </w:r>
      <w:bookmarkEnd w:id="3142"/>
    </w:p>
    <w:p>
      <w:pPr>
        <w:pStyle w:val="BookText"/>
      </w:pPr>
      <w:r>
        <w:rPr>
          <w:rFonts w:ascii="Times New Roman" w:hAnsi="Times New Roman" w:eastAsia="Times New Roman" w:cs="Times New Roman"/>
          <w:lang w:val="en-US" w:bidi="en-US"/>
          <w:color w:val="111111"/>
          <w:sz w:val="28"/>
          <w:szCs w:val="28"/>
          <w:rtl/>
        </w:rPr>
        <w:t xml:space="preserve">tajnīsāt</w:t>
      </w:r>
    </w:p>
    <w:p>
      <w:pPr>
        <w:pStyle w:val="BookText"/>
      </w:pPr>
      <w:r>
        <w:rPr>
          <w:rFonts w:ascii="IRNazanin" w:hAnsi="IRNazanin" w:eastAsia="IRNazanin" w:cs="IRNazanin"/>
          <w:lang w:bidi="fa-IR"/>
          <w:color w:val="111111"/>
          <w:sz w:val="28"/>
          <w:szCs w:val="28"/>
          <w:rtl/>
        </w:rPr>
        <w:t xml:space="preserve">به نظم فارسی در یازده بیت.</w:t>
      </w:r>
    </w:p>
    <w:p>
      <w:pPr>
        <w:pStyle w:val="BookText"/>
      </w:pPr>
      <w:r>
        <w:rPr>
          <w:rFonts w:ascii="IRNazanin" w:hAnsi="IRNazanin" w:eastAsia="IRNazanin" w:cs="IRNazanin"/>
          <w:lang w:bidi="fa-IR"/>
          <w:color w:val="111111"/>
          <w:sz w:val="28"/>
          <w:szCs w:val="28"/>
          <w:rtl/>
        </w:rPr>
        <w:t xml:space="preserve">تهران، دانشگاه شماره نسخه:۳/ ۷۱۴۰</w:t>
      </w:r>
    </w:p>
    <w:p>
      <w:pPr>
        <w:pStyle w:val="BookText"/>
      </w:pPr>
      <w:r>
        <w:rPr>
          <w:rFonts w:ascii="IRNazanin" w:hAnsi="IRNazanin" w:eastAsia="IRNazanin" w:cs="IRNazanin"/>
          <w:lang w:bidi="fa-IR"/>
          <w:color w:val="111111"/>
          <w:sz w:val="28"/>
          <w:szCs w:val="28"/>
          <w:rtl/>
        </w:rPr>
        <w:t xml:space="preserve">خط: نستعلیق، بی کا، تا: قرن ۱۰؛ کاغذ: سمرقندی، جلد: تیماج سرخ، اگ (۱۸ر-۱۸پ)، ۱۹ سطر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سم [ف: ۱۶-۴۶۴]</w:t>
      </w:r>
    </w:p>
    <w:p>
      <w:pPr>
        <w:pStyle w:val="Heading3"/>
      </w:pPr>
      <w:bookmarkStart w:id="3143" w:name="_Toc2403"/>
      <w:r>
        <w:t>•تجنيسات (رساله) / عرفان و تصوف / فارسی</w:t>
      </w:r>
      <w:bookmarkEnd w:id="3143"/>
    </w:p>
    <w:p>
      <w:pPr>
        <w:pStyle w:val="BookText"/>
      </w:pPr>
      <w:r>
        <w:rPr>
          <w:rFonts w:ascii="Times New Roman" w:hAnsi="Times New Roman" w:eastAsia="Times New Roman" w:cs="Times New Roman"/>
          <w:lang w:val="en-US" w:bidi="en-US"/>
          <w:color w:val="111111"/>
          <w:sz w:val="28"/>
          <w:szCs w:val="28"/>
          <w:rtl/>
        </w:rPr>
        <w:t xml:space="preserve">tajnīsāt (r.)</w:t>
      </w:r>
    </w:p>
    <w:p>
      <w:pPr>
        <w:pStyle w:val="BookText"/>
      </w:pPr>
      <w:r>
        <w:rPr>
          <w:rFonts w:ascii="IRNazanin" w:hAnsi="IRNazanin" w:eastAsia="IRNazanin" w:cs="IRNazanin"/>
          <w:lang w:bidi="fa-IR"/>
          <w:color w:val="111111"/>
          <w:sz w:val="28"/>
          <w:szCs w:val="28"/>
          <w:rtl/>
        </w:rPr>
        <w:t xml:space="preserve">انصاری، عبدالله بن محمد، ۳۹۶-۴۸۱ قمری</w:t>
      </w:r>
    </w:p>
    <w:p>
      <w:pPr>
        <w:pStyle w:val="BookText"/>
      </w:pPr>
      <w:r>
        <w:rPr>
          <w:rFonts w:ascii="Times New Roman" w:hAnsi="Times New Roman" w:eastAsia="Times New Roman" w:cs="Times New Roman"/>
          <w:lang w:val="en-US" w:bidi="en-US"/>
          <w:color w:val="111111"/>
          <w:sz w:val="28"/>
          <w:szCs w:val="28"/>
          <w:rtl/>
        </w:rPr>
        <w:t xml:space="preserve">ansārī, ‘abd-ol-lāh ebn-e mohammad (1006-1089)</w:t>
      </w:r>
    </w:p>
    <w:p>
      <w:pPr>
        <w:pStyle w:val="BookText"/>
      </w:pPr>
      <w:r>
        <w:rPr>
          <w:rFonts w:ascii="IRNazanin" w:hAnsi="IRNazanin" w:eastAsia="IRNazanin" w:cs="IRNazanin"/>
          <w:lang w:bidi="fa-IR"/>
          <w:color w:val="111111"/>
          <w:sz w:val="28"/>
          <w:szCs w:val="28"/>
          <w:rtl/>
        </w:rPr>
        <w:t xml:space="preserve">[فهرستواره ۵۱۲/۱۰ ]</w:t>
      </w:r>
    </w:p>
    <w:p>
      <w:pPr>
        <w:pStyle w:val="BookText"/>
      </w:pPr>
      <w:r>
        <w:rPr>
          <w:rFonts w:ascii="IRNazanin" w:hAnsi="IRNazanin" w:eastAsia="IRNazanin" w:cs="IRNazanin"/>
          <w:lang w:bidi="fa-IR"/>
          <w:color w:val="111111"/>
          <w:sz w:val="28"/>
          <w:szCs w:val="28"/>
          <w:rtl/>
        </w:rPr>
        <w:t xml:space="preserve">تهران؛ دانشگاه؛ شماره نسخه:۴۴۱/۶ -ف</w:t>
      </w:r>
    </w:p>
    <w:p>
      <w:pPr>
        <w:pStyle w:val="BookText"/>
      </w:pPr>
      <w:r>
        <w:rPr>
          <w:rFonts w:ascii="IRNazanin" w:hAnsi="IRNazanin" w:eastAsia="IRNazanin" w:cs="IRNazanin"/>
          <w:lang w:bidi="fa-IR"/>
          <w:color w:val="111111"/>
          <w:sz w:val="28"/>
          <w:szCs w:val="28"/>
          <w:rtl/>
        </w:rPr>
        <w:t xml:space="preserve">نسخه اصل: بایزید ولی الدین ش ( ۴۸-۴۷ ) [فيلمها ف: ۱-۴۷۳]</w:t>
      </w:r>
    </w:p>
    <w:p>
      <w:pPr>
        <w:pStyle w:val="BookText"/>
      </w:pPr>
      <w:r>
        <w:rPr>
          <w:rFonts w:ascii="IRNazanin" w:hAnsi="IRNazanin" w:eastAsia="IRNazanin" w:cs="IRNazanin"/>
          <w:lang w:bidi="fa-IR"/>
          <w:color w:val="111111"/>
          <w:sz w:val="28"/>
          <w:szCs w:val="28"/>
          <w:rtl/>
        </w:rPr>
        <w:t xml:space="preserve">۱۸۱۹؛ بی کا، تا: قرن ۹، ۲گ</w:t>
      </w:r>
    </w:p>
    <w:p>
      <w:pPr>
        <w:pStyle w:val="Heading3"/>
      </w:pPr>
      <w:bookmarkStart w:id="3144" w:name="_Toc2404"/>
      <w:r>
        <w:t>•تجنیس اللغات = نصاب عبدالرحمان / لغت / عربی به فارسی</w:t>
      </w:r>
      <w:bookmarkEnd w:id="3144"/>
    </w:p>
    <w:p>
      <w:pPr>
        <w:pStyle w:val="BookText"/>
      </w:pPr>
      <w:r>
        <w:rPr>
          <w:rFonts w:ascii="Times New Roman" w:hAnsi="Times New Roman" w:eastAsia="Times New Roman" w:cs="Times New Roman"/>
          <w:lang w:val="en-US" w:bidi="en-US"/>
          <w:color w:val="111111"/>
          <w:sz w:val="28"/>
          <w:szCs w:val="28"/>
          <w:rtl/>
        </w:rPr>
        <w:t xml:space="preserve">tajnīs-ul lugāt = nişāb-e ‘abd-ur-raḥmān</w:t>
      </w:r>
    </w:p>
    <w:p>
      <w:pPr>
        <w:pStyle w:val="BookText"/>
      </w:pPr>
      <w:r>
        <w:rPr>
          <w:rFonts w:ascii="Amiri" w:hAnsi="Amiri" w:eastAsia="Amiri" w:cs="Amiri"/>
          <w:lang w:bidi="ar-SA"/>
          <w:color w:val="111111"/>
          <w:sz w:val="28"/>
          <w:szCs w:val="28"/>
          <w:rtl/>
        </w:rPr>
        <w:t xml:space="preserve">١. مشهد: الهيات؛ شماره نسخه: ۲۲۷۶۶/۲</w:t>
      </w:r>
    </w:p>
    <w:p>
      <w:pPr>
        <w:pStyle w:val="BookText"/>
      </w:pPr>
      <w:r>
        <w:rPr>
          <w:rFonts w:ascii="IRNazanin" w:hAnsi="IRNazanin" w:eastAsia="IRNazanin" w:cs="IRNazanin"/>
          <w:lang w:bidi="fa-IR"/>
          <w:color w:val="111111"/>
          <w:sz w:val="28"/>
          <w:szCs w:val="28"/>
          <w:rtl/>
        </w:rPr>
        <w:t xml:space="preserve">آغاز: بسمله. بعد توحید و صفات خالق شام و سحر *** وز پس نعت و ثنای خواجه خير البشر / بهر تزیین عروسان سخن از بحر طبع ***میکشم در لغت یکسان درین سلک</w:t>
      </w:r>
    </w:p>
    <w:p>
      <w:pPr>
        <w:pStyle w:val="BookText"/>
      </w:pPr>
      <w:r>
        <w:rPr>
          <w:rFonts w:ascii="IRNazanin" w:hAnsi="IRNazanin" w:eastAsia="IRNazanin" w:cs="IRNazanin"/>
          <w:lang w:bidi="fa-IR"/>
          <w:color w:val="111111"/>
          <w:sz w:val="28"/>
          <w:szCs w:val="28"/>
          <w:rtl/>
        </w:rPr>
        <w:t xml:space="preserve">گهرا کردم این مجموعه را در صنع تجنیس اللغات *** تا ضیائی را لغت دانی بیاد آری مگر / بخل باشد ممسکی و نحل شد نام مگس*** نخل را گر باز پرسی معنیش میخوان شجر؛ انجام: خاموشی همیشه گیر عبد رحمان *** تا چند سخن طویل گوئی چندان / بس</w:t>
      </w:r>
    </w:p>
    <w:p>
      <w:pPr>
        <w:pStyle w:val="BookText"/>
      </w:pPr>
      <w:r>
        <w:rPr>
          <w:rFonts w:ascii="IRNazanin" w:hAnsi="IRNazanin" w:eastAsia="IRNazanin" w:cs="IRNazanin"/>
          <w:lang w:bidi="fa-IR"/>
          <w:color w:val="111111"/>
          <w:sz w:val="28"/>
          <w:szCs w:val="28"/>
          <w:rtl/>
        </w:rPr>
        <w:t xml:space="preserve">کن که همین رساله کافیست ترا *** زین بیش مده درد سر خود بکسان.</w:t>
      </w:r>
    </w:p>
    <w:p>
      <w:pPr>
        <w:pStyle w:val="BookText"/>
      </w:pPr>
      <w:r>
        <w:rPr>
          <w:rFonts w:ascii="IRNazanin" w:hAnsi="IRNazanin" w:eastAsia="IRNazanin" w:cs="IRNazanin"/>
          <w:lang w:bidi="fa-IR"/>
          <w:color w:val="111111"/>
          <w:sz w:val="28"/>
          <w:szCs w:val="28"/>
          <w:rtl/>
        </w:rPr>
        <w:t xml:space="preserve">تمام شد نسخه نصاب من تصانیف عبدالرحمان. خط: نستعلیق، کا: یار محمد، تا: ۱۲۱۴ق، جاء هندوستان در صوبه پر خصوصی خیر آباد، افتادگی: آغاز کاغذ: هندی، جلد: میشن جگری، ۸گ (۲۰۱۳)، ۱۳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[ف: ۳-۸۹۷]</w:t>
      </w:r>
    </w:p>
    <w:p>
      <w:pPr>
        <w:pStyle w:val="BookText"/>
      </w:pPr>
      <w:r>
        <w:rPr>
          <w:rFonts w:ascii="IRNazanin" w:hAnsi="IRNazanin" w:eastAsia="IRNazanin" w:cs="IRNazanin"/>
          <w:lang w:bidi="fa-IR"/>
          <w:color w:val="111111"/>
          <w:sz w:val="28"/>
          <w:szCs w:val="28"/>
          <w:rtl/>
        </w:rPr>
        <w:t xml:space="preserve">۲. یزد؛ کاظمینی؛ شماره نسخه: ۱۰۷/۱</w:t>
      </w:r>
    </w:p>
    <w:p>
      <w:pPr>
        <w:pStyle w:val="BookText"/>
      </w:pPr>
      <w:r>
        <w:rPr>
          <w:rFonts w:ascii="IRNazanin" w:hAnsi="IRNazanin" w:eastAsia="IRNazanin" w:cs="IRNazanin"/>
          <w:lang w:bidi="fa-IR"/>
          <w:color w:val="111111"/>
          <w:sz w:val="28"/>
          <w:szCs w:val="28"/>
          <w:rtl/>
        </w:rPr>
        <w:t xml:space="preserve">خط: نستعلیق هندی، بی کا، تا: قرن ۱۳، ۶گ (آپ آپ)، ۹ سطر، اندازه: ۲۵/۵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w:t>
      </w:r>
    </w:p>
    <w:p>
      <w:pPr>
        <w:pStyle w:val="BookText"/>
      </w:pPr>
      <w:r>
        <w:rPr>
          <w:rFonts w:ascii="IRNazanin" w:hAnsi="IRNazanin" w:eastAsia="IRNazanin" w:cs="IRNazanin"/>
          <w:lang w:bidi="fa-IR"/>
          <w:color w:val="111111"/>
          <w:sz w:val="28"/>
          <w:szCs w:val="28"/>
          <w:rtl/>
        </w:rPr>
        <w:t xml:space="preserve">سم [ف: ۱-۱۰۳]
</w:t>
      </w:r>
    </w:p>
    <w:p>
      <w:pPr>
        <w:sectPr>
          <w:footerReference w:type="default" r:id="rId99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er2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961</w:t>
    </w:r>
  </w:p>
</w:ftr>
</file>

<file path=word/footer2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962</w:t>
    </w:r>
  </w:p>
</w:ftr>
</file>

<file path=word/footer2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963</w:t>
    </w:r>
  </w:p>
</w:ftr>
</file>

<file path=word/footer2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964</w:t>
    </w:r>
  </w:p>
</w:ftr>
</file>

<file path=word/footer2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965</w:t>
    </w:r>
  </w:p>
</w:ftr>
</file>

<file path=word/footer2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966</w:t>
    </w:r>
  </w:p>
</w:ftr>
</file>

<file path=word/footer2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967</w:t>
    </w:r>
  </w:p>
</w:ftr>
</file>

<file path=word/footer2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968</w:t>
    </w:r>
  </w:p>
</w:ftr>
</file>

<file path=word/footer2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969</w:t>
    </w:r>
  </w:p>
</w:ftr>
</file>

<file path=word/footer2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970</w:t>
    </w:r>
  </w:p>
</w:ftr>
</file>

<file path=word/footer2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971</w:t>
    </w:r>
  </w:p>
</w:ftr>
</file>

<file path=word/footer2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972</w:t>
    </w:r>
  </w:p>
</w:ftr>
</file>

<file path=word/footer2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973</w:t>
    </w:r>
  </w:p>
</w:ftr>
</file>

<file path=word/footer2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974</w:t>
    </w:r>
  </w:p>
</w:ftr>
</file>

<file path=word/footer2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975</w:t>
    </w:r>
  </w:p>
</w:ftr>
</file>

<file path=word/footer2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976</w:t>
    </w:r>
  </w:p>
</w:ftr>
</file>

<file path=word/footer2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977</w:t>
    </w:r>
  </w:p>
</w:ftr>
</file>

<file path=word/footer2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978</w:t>
    </w:r>
  </w:p>
</w:ftr>
</file>

<file path=word/footer2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979</w:t>
    </w:r>
  </w:p>
</w:ftr>
</file>

<file path=word/footer2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980</w:t>
    </w:r>
  </w:p>
</w:ftr>
</file>

<file path=word/footer2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981</w:t>
    </w:r>
  </w:p>
</w:ftr>
</file>

<file path=word/footer2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982</w:t>
    </w:r>
  </w:p>
</w:ftr>
</file>

<file path=word/footer2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983</w:t>
    </w:r>
  </w:p>
</w:ftr>
</file>

<file path=word/footer2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984</w:t>
    </w:r>
  </w:p>
</w:ftr>
</file>

<file path=word/footer2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985</w:t>
    </w:r>
  </w:p>
</w:ftr>
</file>

<file path=word/footer2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2B3081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footer" Target="footer7.xml"/><Relationship Id="rId12" Type="http://schemas.openxmlformats.org/officeDocument/2006/relationships/footer" Target="footer10.xml"/><Relationship Id="rId13" Type="http://schemas.openxmlformats.org/officeDocument/2006/relationships/footer" Target="footer13.xml"/><Relationship Id="rId14" Type="http://schemas.openxmlformats.org/officeDocument/2006/relationships/footer" Target="footer16.xml"/><Relationship Id="rId15" Type="http://schemas.openxmlformats.org/officeDocument/2006/relationships/footer" Target="footer19.xml"/><Relationship Id="rId16" Type="http://schemas.openxmlformats.org/officeDocument/2006/relationships/footer" Target="footer22.xml"/><Relationship Id="rId17" Type="http://schemas.openxmlformats.org/officeDocument/2006/relationships/footer" Target="footer25.xml"/><Relationship Id="rId18" Type="http://schemas.openxmlformats.org/officeDocument/2006/relationships/footer" Target="footer28.xml"/><Relationship Id="rId19" Type="http://schemas.openxmlformats.org/officeDocument/2006/relationships/footer" Target="footer31.xml"/><Relationship Id="rId20" Type="http://schemas.openxmlformats.org/officeDocument/2006/relationships/footer" Target="footer34.xml"/><Relationship Id="rId21" Type="http://schemas.openxmlformats.org/officeDocument/2006/relationships/footer" Target="footer37.xml"/><Relationship Id="rId22" Type="http://schemas.openxmlformats.org/officeDocument/2006/relationships/footer" Target="footer40.xml"/><Relationship Id="rId23" Type="http://schemas.openxmlformats.org/officeDocument/2006/relationships/footer" Target="footer43.xml"/><Relationship Id="rId24" Type="http://schemas.openxmlformats.org/officeDocument/2006/relationships/footer" Target="footer46.xml"/><Relationship Id="rId25" Type="http://schemas.openxmlformats.org/officeDocument/2006/relationships/footer" Target="footer49.xml"/><Relationship Id="rId26" Type="http://schemas.openxmlformats.org/officeDocument/2006/relationships/footer" Target="footer52.xml"/><Relationship Id="rId27" Type="http://schemas.openxmlformats.org/officeDocument/2006/relationships/footer" Target="footer55.xml"/><Relationship Id="rId28" Type="http://schemas.openxmlformats.org/officeDocument/2006/relationships/footer" Target="footer58.xml"/><Relationship Id="rId29" Type="http://schemas.openxmlformats.org/officeDocument/2006/relationships/footer" Target="footer61.xml"/><Relationship Id="rId30" Type="http://schemas.openxmlformats.org/officeDocument/2006/relationships/footer" Target="footer64.xml"/><Relationship Id="rId31" Type="http://schemas.openxmlformats.org/officeDocument/2006/relationships/footer" Target="footer67.xml"/><Relationship Id="rId32" Type="http://schemas.openxmlformats.org/officeDocument/2006/relationships/footer" Target="footer70.xml"/><Relationship Id="rId33" Type="http://schemas.openxmlformats.org/officeDocument/2006/relationships/footer" Target="footer73.xml"/><Relationship Id="rId34" Type="http://schemas.openxmlformats.org/officeDocument/2006/relationships/footer" Target="footer76.xml"/><Relationship Id="rId35" Type="http://schemas.openxmlformats.org/officeDocument/2006/relationships/footer" Target="footer79.xml"/><Relationship Id="rId36" Type="http://schemas.openxmlformats.org/officeDocument/2006/relationships/footer" Target="footer82.xml"/><Relationship Id="rId37" Type="http://schemas.openxmlformats.org/officeDocument/2006/relationships/footer" Target="footer85.xml"/><Relationship Id="rId38" Type="http://schemas.openxmlformats.org/officeDocument/2006/relationships/footer" Target="footer88.xml"/><Relationship Id="rId39" Type="http://schemas.openxmlformats.org/officeDocument/2006/relationships/footer" Target="footer91.xml"/><Relationship Id="rId40" Type="http://schemas.openxmlformats.org/officeDocument/2006/relationships/footer" Target="footer94.xml"/><Relationship Id="rId41" Type="http://schemas.openxmlformats.org/officeDocument/2006/relationships/footer" Target="footer97.xml"/><Relationship Id="rId42" Type="http://schemas.openxmlformats.org/officeDocument/2006/relationships/footer" Target="footer100.xml"/><Relationship Id="rId43" Type="http://schemas.openxmlformats.org/officeDocument/2006/relationships/footer" Target="footer103.xml"/><Relationship Id="rId44" Type="http://schemas.openxmlformats.org/officeDocument/2006/relationships/footer" Target="footer106.xml"/><Relationship Id="rId45" Type="http://schemas.openxmlformats.org/officeDocument/2006/relationships/footer" Target="footer109.xml"/><Relationship Id="rId46" Type="http://schemas.openxmlformats.org/officeDocument/2006/relationships/footer" Target="footer112.xml"/><Relationship Id="rId47" Type="http://schemas.openxmlformats.org/officeDocument/2006/relationships/footer" Target="footer115.xml"/><Relationship Id="rId48" Type="http://schemas.openxmlformats.org/officeDocument/2006/relationships/footer" Target="footer118.xml"/><Relationship Id="rId49" Type="http://schemas.openxmlformats.org/officeDocument/2006/relationships/footer" Target="footer121.xml"/><Relationship Id="rId50" Type="http://schemas.openxmlformats.org/officeDocument/2006/relationships/footer" Target="footer124.xml"/><Relationship Id="rId51" Type="http://schemas.openxmlformats.org/officeDocument/2006/relationships/footer" Target="footer127.xml"/><Relationship Id="rId52" Type="http://schemas.openxmlformats.org/officeDocument/2006/relationships/footer" Target="footer130.xml"/><Relationship Id="rId53" Type="http://schemas.openxmlformats.org/officeDocument/2006/relationships/footer" Target="footer133.xml"/><Relationship Id="rId54" Type="http://schemas.openxmlformats.org/officeDocument/2006/relationships/footer" Target="footer136.xml"/><Relationship Id="rId55" Type="http://schemas.openxmlformats.org/officeDocument/2006/relationships/footer" Target="footer139.xml"/><Relationship Id="rId56" Type="http://schemas.openxmlformats.org/officeDocument/2006/relationships/footer" Target="footer142.xml"/><Relationship Id="rId57" Type="http://schemas.openxmlformats.org/officeDocument/2006/relationships/footer" Target="footer145.xml"/><Relationship Id="rId58" Type="http://schemas.openxmlformats.org/officeDocument/2006/relationships/footer" Target="footer148.xml"/><Relationship Id="rId59" Type="http://schemas.openxmlformats.org/officeDocument/2006/relationships/footer" Target="footer151.xml"/><Relationship Id="rId60" Type="http://schemas.openxmlformats.org/officeDocument/2006/relationships/footer" Target="footer154.xml"/><Relationship Id="rId61" Type="http://schemas.openxmlformats.org/officeDocument/2006/relationships/footer" Target="footer157.xml"/><Relationship Id="rId62" Type="http://schemas.openxmlformats.org/officeDocument/2006/relationships/footer" Target="footer160.xml"/><Relationship Id="rId63" Type="http://schemas.openxmlformats.org/officeDocument/2006/relationships/footer" Target="footer163.xml"/><Relationship Id="rId64" Type="http://schemas.openxmlformats.org/officeDocument/2006/relationships/footer" Target="footer166.xml"/><Relationship Id="rId65" Type="http://schemas.openxmlformats.org/officeDocument/2006/relationships/footer" Target="footer169.xml"/><Relationship Id="rId66" Type="http://schemas.openxmlformats.org/officeDocument/2006/relationships/footer" Target="footer172.xml"/><Relationship Id="rId67" Type="http://schemas.openxmlformats.org/officeDocument/2006/relationships/footer" Target="footer175.xml"/><Relationship Id="rId68" Type="http://schemas.openxmlformats.org/officeDocument/2006/relationships/footer" Target="footer178.xml"/><Relationship Id="rId69" Type="http://schemas.openxmlformats.org/officeDocument/2006/relationships/footer" Target="footer181.xml"/><Relationship Id="rId70" Type="http://schemas.openxmlformats.org/officeDocument/2006/relationships/footer" Target="footer184.xml"/><Relationship Id="rId71" Type="http://schemas.openxmlformats.org/officeDocument/2006/relationships/footer" Target="footer187.xml"/><Relationship Id="rId72" Type="http://schemas.openxmlformats.org/officeDocument/2006/relationships/footer" Target="footer190.xml"/><Relationship Id="rId73" Type="http://schemas.openxmlformats.org/officeDocument/2006/relationships/footer" Target="footer193.xml"/><Relationship Id="rId74" Type="http://schemas.openxmlformats.org/officeDocument/2006/relationships/footer" Target="footer196.xml"/><Relationship Id="rId75" Type="http://schemas.openxmlformats.org/officeDocument/2006/relationships/footer" Target="footer199.xml"/><Relationship Id="rId76" Type="http://schemas.openxmlformats.org/officeDocument/2006/relationships/footer" Target="footer202.xml"/><Relationship Id="rId77" Type="http://schemas.openxmlformats.org/officeDocument/2006/relationships/footer" Target="footer205.xml"/><Relationship Id="rId78" Type="http://schemas.openxmlformats.org/officeDocument/2006/relationships/footer" Target="footer208.xml"/><Relationship Id="rId79" Type="http://schemas.openxmlformats.org/officeDocument/2006/relationships/footer" Target="footer211.xml"/><Relationship Id="rId80" Type="http://schemas.openxmlformats.org/officeDocument/2006/relationships/footer" Target="footer214.xml"/><Relationship Id="rId81" Type="http://schemas.openxmlformats.org/officeDocument/2006/relationships/footer" Target="footer217.xml"/><Relationship Id="rId82" Type="http://schemas.openxmlformats.org/officeDocument/2006/relationships/footer" Target="footer220.xml"/><Relationship Id="rId83" Type="http://schemas.openxmlformats.org/officeDocument/2006/relationships/footer" Target="footer223.xml"/><Relationship Id="rId84" Type="http://schemas.openxmlformats.org/officeDocument/2006/relationships/footer" Target="footer226.xml"/><Relationship Id="rId85" Type="http://schemas.openxmlformats.org/officeDocument/2006/relationships/footer" Target="footer229.xml"/><Relationship Id="rId86" Type="http://schemas.openxmlformats.org/officeDocument/2006/relationships/footer" Target="footer232.xml"/><Relationship Id="rId87" Type="http://schemas.openxmlformats.org/officeDocument/2006/relationships/footer" Target="footer235.xml"/><Relationship Id="rId88" Type="http://schemas.openxmlformats.org/officeDocument/2006/relationships/footer" Target="footer238.xml"/><Relationship Id="rId89" Type="http://schemas.openxmlformats.org/officeDocument/2006/relationships/footer" Target="footer241.xml"/><Relationship Id="rId90" Type="http://schemas.openxmlformats.org/officeDocument/2006/relationships/footer" Target="footer244.xml"/><Relationship Id="rId91" Type="http://schemas.openxmlformats.org/officeDocument/2006/relationships/footer" Target="footer247.xml"/><Relationship Id="rId92" Type="http://schemas.openxmlformats.org/officeDocument/2006/relationships/footer" Target="footer250.xml"/><Relationship Id="rId93" Type="http://schemas.openxmlformats.org/officeDocument/2006/relationships/footer" Target="footer253.xml"/><Relationship Id="rId94" Type="http://schemas.openxmlformats.org/officeDocument/2006/relationships/footer" Target="footer256.xml"/><Relationship Id="rId95" Type="http://schemas.openxmlformats.org/officeDocument/2006/relationships/footer" Target="footer259.xml"/><Relationship Id="rId96" Type="http://schemas.openxmlformats.org/officeDocument/2006/relationships/footer" Target="footer262.xml"/><Relationship Id="rId97" Type="http://schemas.openxmlformats.org/officeDocument/2006/relationships/footer" Target="footer265.xml"/><Relationship Id="rId98" Type="http://schemas.openxmlformats.org/officeDocument/2006/relationships/footer" Target="footer268.xml"/><Relationship Id="rId99" Type="http://schemas.openxmlformats.org/officeDocument/2006/relationships/footer" Target="footer271.xml"/><Relationship Id="rId100" Type="http://schemas.openxmlformats.org/officeDocument/2006/relationships/footer" Target="footer274.xml"/><Relationship Id="rId101" Type="http://schemas.openxmlformats.org/officeDocument/2006/relationships/footer" Target="footer277.xml"/><Relationship Id="rId102" Type="http://schemas.openxmlformats.org/officeDocument/2006/relationships/footer" Target="footer280.xml"/><Relationship Id="rId103" Type="http://schemas.openxmlformats.org/officeDocument/2006/relationships/footer" Target="footer283.xml"/><Relationship Id="rId104" Type="http://schemas.openxmlformats.org/officeDocument/2006/relationships/footer" Target="footer286.xml"/><Relationship Id="rId105" Type="http://schemas.openxmlformats.org/officeDocument/2006/relationships/footer" Target="footer289.xml"/><Relationship Id="rId106" Type="http://schemas.openxmlformats.org/officeDocument/2006/relationships/footer" Target="footer292.xml"/><Relationship Id="rId107" Type="http://schemas.openxmlformats.org/officeDocument/2006/relationships/footer" Target="footer295.xml"/><Relationship Id="rId108" Type="http://schemas.openxmlformats.org/officeDocument/2006/relationships/footer" Target="footer298.xml"/><Relationship Id="rId109" Type="http://schemas.openxmlformats.org/officeDocument/2006/relationships/footer" Target="footer301.xml"/><Relationship Id="rId110" Type="http://schemas.openxmlformats.org/officeDocument/2006/relationships/footer" Target="footer304.xml"/><Relationship Id="rId111" Type="http://schemas.openxmlformats.org/officeDocument/2006/relationships/footer" Target="footer307.xml"/><Relationship Id="rId112" Type="http://schemas.openxmlformats.org/officeDocument/2006/relationships/footer" Target="footer310.xml"/><Relationship Id="rId113" Type="http://schemas.openxmlformats.org/officeDocument/2006/relationships/footer" Target="footer313.xml"/><Relationship Id="rId114" Type="http://schemas.openxmlformats.org/officeDocument/2006/relationships/footer" Target="footer316.xml"/><Relationship Id="rId115" Type="http://schemas.openxmlformats.org/officeDocument/2006/relationships/footer" Target="footer319.xml"/><Relationship Id="rId116" Type="http://schemas.openxmlformats.org/officeDocument/2006/relationships/footer" Target="footer322.xml"/><Relationship Id="rId117" Type="http://schemas.openxmlformats.org/officeDocument/2006/relationships/footer" Target="footer325.xml"/><Relationship Id="rId118" Type="http://schemas.openxmlformats.org/officeDocument/2006/relationships/footer" Target="footer328.xml"/><Relationship Id="rId119" Type="http://schemas.openxmlformats.org/officeDocument/2006/relationships/footer" Target="footer331.xml"/><Relationship Id="rId120" Type="http://schemas.openxmlformats.org/officeDocument/2006/relationships/footer" Target="footer334.xml"/><Relationship Id="rId121" Type="http://schemas.openxmlformats.org/officeDocument/2006/relationships/footer" Target="footer337.xml"/><Relationship Id="rId122" Type="http://schemas.openxmlformats.org/officeDocument/2006/relationships/footer" Target="footer340.xml"/><Relationship Id="rId123" Type="http://schemas.openxmlformats.org/officeDocument/2006/relationships/footer" Target="footer343.xml"/><Relationship Id="rId124" Type="http://schemas.openxmlformats.org/officeDocument/2006/relationships/footer" Target="footer346.xml"/><Relationship Id="rId125" Type="http://schemas.openxmlformats.org/officeDocument/2006/relationships/footer" Target="footer349.xml"/><Relationship Id="rId126" Type="http://schemas.openxmlformats.org/officeDocument/2006/relationships/footer" Target="footer352.xml"/><Relationship Id="rId127" Type="http://schemas.openxmlformats.org/officeDocument/2006/relationships/footer" Target="footer355.xml"/><Relationship Id="rId128" Type="http://schemas.openxmlformats.org/officeDocument/2006/relationships/footer" Target="footer358.xml"/><Relationship Id="rId129" Type="http://schemas.openxmlformats.org/officeDocument/2006/relationships/footer" Target="footer361.xml"/><Relationship Id="rId130" Type="http://schemas.openxmlformats.org/officeDocument/2006/relationships/footer" Target="footer364.xml"/><Relationship Id="rId131" Type="http://schemas.openxmlformats.org/officeDocument/2006/relationships/footer" Target="footer367.xml"/><Relationship Id="rId132" Type="http://schemas.openxmlformats.org/officeDocument/2006/relationships/footer" Target="footer370.xml"/><Relationship Id="rId133" Type="http://schemas.openxmlformats.org/officeDocument/2006/relationships/footer" Target="footer373.xml"/><Relationship Id="rId134" Type="http://schemas.openxmlformats.org/officeDocument/2006/relationships/footer" Target="footer376.xml"/><Relationship Id="rId135" Type="http://schemas.openxmlformats.org/officeDocument/2006/relationships/footer" Target="footer379.xml"/><Relationship Id="rId136" Type="http://schemas.openxmlformats.org/officeDocument/2006/relationships/footer" Target="footer382.xml"/><Relationship Id="rId137" Type="http://schemas.openxmlformats.org/officeDocument/2006/relationships/footer" Target="footer385.xml"/><Relationship Id="rId138" Type="http://schemas.openxmlformats.org/officeDocument/2006/relationships/footer" Target="footer388.xml"/><Relationship Id="rId139" Type="http://schemas.openxmlformats.org/officeDocument/2006/relationships/footer" Target="footer391.xml"/><Relationship Id="rId140" Type="http://schemas.openxmlformats.org/officeDocument/2006/relationships/footer" Target="footer394.xml"/><Relationship Id="rId141" Type="http://schemas.openxmlformats.org/officeDocument/2006/relationships/footer" Target="footer397.xml"/><Relationship Id="rId142" Type="http://schemas.openxmlformats.org/officeDocument/2006/relationships/footer" Target="footer400.xml"/><Relationship Id="rId143" Type="http://schemas.openxmlformats.org/officeDocument/2006/relationships/footer" Target="footer403.xml"/><Relationship Id="rId144" Type="http://schemas.openxmlformats.org/officeDocument/2006/relationships/footer" Target="footer406.xml"/><Relationship Id="rId145" Type="http://schemas.openxmlformats.org/officeDocument/2006/relationships/footer" Target="footer409.xml"/><Relationship Id="rId146" Type="http://schemas.openxmlformats.org/officeDocument/2006/relationships/footer" Target="footer412.xml"/><Relationship Id="rId147" Type="http://schemas.openxmlformats.org/officeDocument/2006/relationships/footer" Target="footer415.xml"/><Relationship Id="rId148" Type="http://schemas.openxmlformats.org/officeDocument/2006/relationships/footer" Target="footer418.xml"/><Relationship Id="rId149" Type="http://schemas.openxmlformats.org/officeDocument/2006/relationships/footer" Target="footer421.xml"/><Relationship Id="rId150" Type="http://schemas.openxmlformats.org/officeDocument/2006/relationships/footer" Target="footer424.xml"/><Relationship Id="rId151" Type="http://schemas.openxmlformats.org/officeDocument/2006/relationships/footer" Target="footer427.xml"/><Relationship Id="rId152" Type="http://schemas.openxmlformats.org/officeDocument/2006/relationships/footer" Target="footer430.xml"/><Relationship Id="rId153" Type="http://schemas.openxmlformats.org/officeDocument/2006/relationships/footer" Target="footer433.xml"/><Relationship Id="rId154" Type="http://schemas.openxmlformats.org/officeDocument/2006/relationships/footer" Target="footer436.xml"/><Relationship Id="rId155" Type="http://schemas.openxmlformats.org/officeDocument/2006/relationships/footer" Target="footer439.xml"/><Relationship Id="rId156" Type="http://schemas.openxmlformats.org/officeDocument/2006/relationships/footer" Target="footer442.xml"/><Relationship Id="rId157" Type="http://schemas.openxmlformats.org/officeDocument/2006/relationships/footer" Target="footer445.xml"/><Relationship Id="rId158" Type="http://schemas.openxmlformats.org/officeDocument/2006/relationships/footer" Target="footer448.xml"/><Relationship Id="rId159" Type="http://schemas.openxmlformats.org/officeDocument/2006/relationships/footer" Target="footer451.xml"/><Relationship Id="rId160" Type="http://schemas.openxmlformats.org/officeDocument/2006/relationships/footer" Target="footer454.xml"/><Relationship Id="rId161" Type="http://schemas.openxmlformats.org/officeDocument/2006/relationships/footer" Target="footer457.xml"/><Relationship Id="rId162" Type="http://schemas.openxmlformats.org/officeDocument/2006/relationships/footer" Target="footer460.xml"/><Relationship Id="rId163" Type="http://schemas.openxmlformats.org/officeDocument/2006/relationships/footer" Target="footer463.xml"/><Relationship Id="rId164" Type="http://schemas.openxmlformats.org/officeDocument/2006/relationships/footer" Target="footer466.xml"/><Relationship Id="rId165" Type="http://schemas.openxmlformats.org/officeDocument/2006/relationships/footer" Target="footer469.xml"/><Relationship Id="rId166" Type="http://schemas.openxmlformats.org/officeDocument/2006/relationships/footer" Target="footer472.xml"/><Relationship Id="rId167" Type="http://schemas.openxmlformats.org/officeDocument/2006/relationships/footer" Target="footer475.xml"/><Relationship Id="rId168" Type="http://schemas.openxmlformats.org/officeDocument/2006/relationships/footer" Target="footer478.xml"/><Relationship Id="rId169" Type="http://schemas.openxmlformats.org/officeDocument/2006/relationships/footer" Target="footer481.xml"/><Relationship Id="rId170" Type="http://schemas.openxmlformats.org/officeDocument/2006/relationships/footer" Target="footer484.xml"/><Relationship Id="rId171" Type="http://schemas.openxmlformats.org/officeDocument/2006/relationships/footer" Target="footer487.xml"/><Relationship Id="rId172" Type="http://schemas.openxmlformats.org/officeDocument/2006/relationships/footer" Target="footer490.xml"/><Relationship Id="rId173" Type="http://schemas.openxmlformats.org/officeDocument/2006/relationships/footer" Target="footer493.xml"/><Relationship Id="rId174" Type="http://schemas.openxmlformats.org/officeDocument/2006/relationships/footer" Target="footer496.xml"/><Relationship Id="rId175" Type="http://schemas.openxmlformats.org/officeDocument/2006/relationships/footer" Target="footer499.xml"/><Relationship Id="rId176" Type="http://schemas.openxmlformats.org/officeDocument/2006/relationships/footer" Target="footer502.xml"/><Relationship Id="rId177" Type="http://schemas.openxmlformats.org/officeDocument/2006/relationships/footer" Target="footer505.xml"/><Relationship Id="rId178" Type="http://schemas.openxmlformats.org/officeDocument/2006/relationships/footer" Target="footer508.xml"/><Relationship Id="rId179" Type="http://schemas.openxmlformats.org/officeDocument/2006/relationships/footer" Target="footer511.xml"/><Relationship Id="rId180" Type="http://schemas.openxmlformats.org/officeDocument/2006/relationships/footer" Target="footer514.xml"/><Relationship Id="rId181" Type="http://schemas.openxmlformats.org/officeDocument/2006/relationships/footer" Target="footer517.xml"/><Relationship Id="rId182" Type="http://schemas.openxmlformats.org/officeDocument/2006/relationships/footer" Target="footer520.xml"/><Relationship Id="rId183" Type="http://schemas.openxmlformats.org/officeDocument/2006/relationships/footer" Target="footer523.xml"/><Relationship Id="rId184" Type="http://schemas.openxmlformats.org/officeDocument/2006/relationships/footer" Target="footer526.xml"/><Relationship Id="rId185" Type="http://schemas.openxmlformats.org/officeDocument/2006/relationships/footer" Target="footer529.xml"/><Relationship Id="rId186" Type="http://schemas.openxmlformats.org/officeDocument/2006/relationships/footer" Target="footer532.xml"/><Relationship Id="rId187" Type="http://schemas.openxmlformats.org/officeDocument/2006/relationships/footer" Target="footer535.xml"/><Relationship Id="rId188" Type="http://schemas.openxmlformats.org/officeDocument/2006/relationships/footer" Target="footer538.xml"/><Relationship Id="rId189" Type="http://schemas.openxmlformats.org/officeDocument/2006/relationships/footer" Target="footer541.xml"/><Relationship Id="rId190" Type="http://schemas.openxmlformats.org/officeDocument/2006/relationships/footer" Target="footer544.xml"/><Relationship Id="rId191" Type="http://schemas.openxmlformats.org/officeDocument/2006/relationships/footer" Target="footer547.xml"/><Relationship Id="rId192" Type="http://schemas.openxmlformats.org/officeDocument/2006/relationships/footer" Target="footer550.xml"/><Relationship Id="rId193" Type="http://schemas.openxmlformats.org/officeDocument/2006/relationships/footer" Target="footer553.xml"/><Relationship Id="rId194" Type="http://schemas.openxmlformats.org/officeDocument/2006/relationships/footer" Target="footer556.xml"/><Relationship Id="rId195" Type="http://schemas.openxmlformats.org/officeDocument/2006/relationships/footer" Target="footer559.xml"/><Relationship Id="rId196" Type="http://schemas.openxmlformats.org/officeDocument/2006/relationships/footer" Target="footer562.xml"/><Relationship Id="rId197" Type="http://schemas.openxmlformats.org/officeDocument/2006/relationships/footer" Target="footer565.xml"/><Relationship Id="rId198" Type="http://schemas.openxmlformats.org/officeDocument/2006/relationships/footer" Target="footer568.xml"/><Relationship Id="rId199" Type="http://schemas.openxmlformats.org/officeDocument/2006/relationships/footer" Target="footer571.xml"/><Relationship Id="rId200" Type="http://schemas.openxmlformats.org/officeDocument/2006/relationships/footer" Target="footer574.xml"/><Relationship Id="rId201" Type="http://schemas.openxmlformats.org/officeDocument/2006/relationships/footer" Target="footer577.xml"/><Relationship Id="rId202" Type="http://schemas.openxmlformats.org/officeDocument/2006/relationships/footer" Target="footer580.xml"/><Relationship Id="rId203" Type="http://schemas.openxmlformats.org/officeDocument/2006/relationships/footer" Target="footer583.xml"/><Relationship Id="rId204" Type="http://schemas.openxmlformats.org/officeDocument/2006/relationships/footer" Target="footer586.xml"/><Relationship Id="rId205" Type="http://schemas.openxmlformats.org/officeDocument/2006/relationships/footer" Target="footer589.xml"/><Relationship Id="rId206" Type="http://schemas.openxmlformats.org/officeDocument/2006/relationships/footer" Target="footer592.xml"/><Relationship Id="rId207" Type="http://schemas.openxmlformats.org/officeDocument/2006/relationships/footer" Target="footer595.xml"/><Relationship Id="rId208" Type="http://schemas.openxmlformats.org/officeDocument/2006/relationships/footer" Target="footer598.xml"/><Relationship Id="rId209" Type="http://schemas.openxmlformats.org/officeDocument/2006/relationships/footer" Target="footer601.xml"/><Relationship Id="rId210" Type="http://schemas.openxmlformats.org/officeDocument/2006/relationships/footer" Target="footer604.xml"/><Relationship Id="rId211" Type="http://schemas.openxmlformats.org/officeDocument/2006/relationships/footer" Target="footer607.xml"/><Relationship Id="rId212" Type="http://schemas.openxmlformats.org/officeDocument/2006/relationships/footer" Target="footer610.xml"/><Relationship Id="rId213" Type="http://schemas.openxmlformats.org/officeDocument/2006/relationships/footer" Target="footer613.xml"/><Relationship Id="rId214" Type="http://schemas.openxmlformats.org/officeDocument/2006/relationships/footer" Target="footer616.xml"/><Relationship Id="rId215" Type="http://schemas.openxmlformats.org/officeDocument/2006/relationships/footer" Target="footer619.xml"/><Relationship Id="rId216" Type="http://schemas.openxmlformats.org/officeDocument/2006/relationships/footer" Target="footer622.xml"/><Relationship Id="rId217" Type="http://schemas.openxmlformats.org/officeDocument/2006/relationships/footer" Target="footer625.xml"/><Relationship Id="rId218" Type="http://schemas.openxmlformats.org/officeDocument/2006/relationships/footer" Target="footer628.xml"/><Relationship Id="rId219" Type="http://schemas.openxmlformats.org/officeDocument/2006/relationships/footer" Target="footer631.xml"/><Relationship Id="rId220" Type="http://schemas.openxmlformats.org/officeDocument/2006/relationships/footer" Target="footer634.xml"/><Relationship Id="rId221" Type="http://schemas.openxmlformats.org/officeDocument/2006/relationships/footer" Target="footer637.xml"/><Relationship Id="rId222" Type="http://schemas.openxmlformats.org/officeDocument/2006/relationships/footer" Target="footer640.xml"/><Relationship Id="rId223" Type="http://schemas.openxmlformats.org/officeDocument/2006/relationships/footer" Target="footer643.xml"/><Relationship Id="rId224" Type="http://schemas.openxmlformats.org/officeDocument/2006/relationships/footer" Target="footer646.xml"/><Relationship Id="rId225" Type="http://schemas.openxmlformats.org/officeDocument/2006/relationships/footer" Target="footer649.xml"/><Relationship Id="rId226" Type="http://schemas.openxmlformats.org/officeDocument/2006/relationships/footer" Target="footer652.xml"/><Relationship Id="rId227" Type="http://schemas.openxmlformats.org/officeDocument/2006/relationships/footer" Target="footer655.xml"/><Relationship Id="rId228" Type="http://schemas.openxmlformats.org/officeDocument/2006/relationships/footer" Target="footer658.xml"/><Relationship Id="rId229" Type="http://schemas.openxmlformats.org/officeDocument/2006/relationships/footer" Target="footer661.xml"/><Relationship Id="rId230" Type="http://schemas.openxmlformats.org/officeDocument/2006/relationships/footer" Target="footer664.xml"/><Relationship Id="rId231" Type="http://schemas.openxmlformats.org/officeDocument/2006/relationships/footer" Target="footer667.xml"/><Relationship Id="rId232" Type="http://schemas.openxmlformats.org/officeDocument/2006/relationships/footer" Target="footer670.xml"/><Relationship Id="rId233" Type="http://schemas.openxmlformats.org/officeDocument/2006/relationships/footer" Target="footer673.xml"/><Relationship Id="rId234" Type="http://schemas.openxmlformats.org/officeDocument/2006/relationships/footer" Target="footer676.xml"/><Relationship Id="rId235" Type="http://schemas.openxmlformats.org/officeDocument/2006/relationships/footer" Target="footer679.xml"/><Relationship Id="rId236" Type="http://schemas.openxmlformats.org/officeDocument/2006/relationships/footer" Target="footer682.xml"/><Relationship Id="rId237" Type="http://schemas.openxmlformats.org/officeDocument/2006/relationships/footer" Target="footer685.xml"/><Relationship Id="rId238" Type="http://schemas.openxmlformats.org/officeDocument/2006/relationships/footer" Target="footer688.xml"/><Relationship Id="rId239" Type="http://schemas.openxmlformats.org/officeDocument/2006/relationships/footer" Target="footer691.xml"/><Relationship Id="rId240" Type="http://schemas.openxmlformats.org/officeDocument/2006/relationships/footer" Target="footer694.xml"/><Relationship Id="rId241" Type="http://schemas.openxmlformats.org/officeDocument/2006/relationships/footer" Target="footer697.xml"/><Relationship Id="rId242" Type="http://schemas.openxmlformats.org/officeDocument/2006/relationships/footer" Target="footer700.xml"/><Relationship Id="rId243" Type="http://schemas.openxmlformats.org/officeDocument/2006/relationships/footer" Target="footer703.xml"/><Relationship Id="rId244" Type="http://schemas.openxmlformats.org/officeDocument/2006/relationships/footer" Target="footer706.xml"/><Relationship Id="rId245" Type="http://schemas.openxmlformats.org/officeDocument/2006/relationships/footer" Target="footer709.xml"/><Relationship Id="rId246" Type="http://schemas.openxmlformats.org/officeDocument/2006/relationships/footer" Target="footer712.xml"/><Relationship Id="rId247" Type="http://schemas.openxmlformats.org/officeDocument/2006/relationships/footer" Target="footer715.xml"/><Relationship Id="rId248" Type="http://schemas.openxmlformats.org/officeDocument/2006/relationships/footer" Target="footer718.xml"/><Relationship Id="rId249" Type="http://schemas.openxmlformats.org/officeDocument/2006/relationships/footer" Target="footer721.xml"/><Relationship Id="rId250" Type="http://schemas.openxmlformats.org/officeDocument/2006/relationships/footer" Target="footer724.xml"/><Relationship Id="rId251" Type="http://schemas.openxmlformats.org/officeDocument/2006/relationships/footer" Target="footer727.xml"/><Relationship Id="rId252" Type="http://schemas.openxmlformats.org/officeDocument/2006/relationships/footer" Target="footer730.xml"/><Relationship Id="rId253" Type="http://schemas.openxmlformats.org/officeDocument/2006/relationships/footer" Target="footer733.xml"/><Relationship Id="rId254" Type="http://schemas.openxmlformats.org/officeDocument/2006/relationships/footer" Target="footer736.xml"/><Relationship Id="rId255" Type="http://schemas.openxmlformats.org/officeDocument/2006/relationships/footer" Target="footer739.xml"/><Relationship Id="rId256" Type="http://schemas.openxmlformats.org/officeDocument/2006/relationships/footer" Target="footer742.xml"/><Relationship Id="rId257" Type="http://schemas.openxmlformats.org/officeDocument/2006/relationships/footer" Target="footer745.xml"/><Relationship Id="rId258" Type="http://schemas.openxmlformats.org/officeDocument/2006/relationships/footer" Target="footer748.xml"/><Relationship Id="rId259" Type="http://schemas.openxmlformats.org/officeDocument/2006/relationships/footer" Target="footer751.xml"/><Relationship Id="rId260" Type="http://schemas.openxmlformats.org/officeDocument/2006/relationships/footer" Target="footer754.xml"/><Relationship Id="rId261" Type="http://schemas.openxmlformats.org/officeDocument/2006/relationships/footer" Target="footer757.xml"/><Relationship Id="rId262" Type="http://schemas.openxmlformats.org/officeDocument/2006/relationships/footer" Target="footer760.xml"/><Relationship Id="rId263" Type="http://schemas.openxmlformats.org/officeDocument/2006/relationships/footer" Target="footer763.xml"/><Relationship Id="rId264" Type="http://schemas.openxmlformats.org/officeDocument/2006/relationships/footer" Target="footer766.xml"/><Relationship Id="rId265" Type="http://schemas.openxmlformats.org/officeDocument/2006/relationships/footer" Target="footer769.xml"/><Relationship Id="rId266" Type="http://schemas.openxmlformats.org/officeDocument/2006/relationships/footer" Target="footer772.xml"/><Relationship Id="rId267" Type="http://schemas.openxmlformats.org/officeDocument/2006/relationships/footer" Target="footer775.xml"/><Relationship Id="rId268" Type="http://schemas.openxmlformats.org/officeDocument/2006/relationships/footer" Target="footer778.xml"/><Relationship Id="rId269" Type="http://schemas.openxmlformats.org/officeDocument/2006/relationships/footer" Target="footer781.xml"/><Relationship Id="rId270" Type="http://schemas.openxmlformats.org/officeDocument/2006/relationships/footer" Target="footer784.xml"/><Relationship Id="rId271" Type="http://schemas.openxmlformats.org/officeDocument/2006/relationships/footer" Target="footer787.xml"/><Relationship Id="rId272" Type="http://schemas.openxmlformats.org/officeDocument/2006/relationships/footer" Target="footer790.xml"/><Relationship Id="rId273" Type="http://schemas.openxmlformats.org/officeDocument/2006/relationships/footer" Target="footer793.xml"/><Relationship Id="rId274" Type="http://schemas.openxmlformats.org/officeDocument/2006/relationships/footer" Target="footer796.xml"/><Relationship Id="rId275" Type="http://schemas.openxmlformats.org/officeDocument/2006/relationships/footer" Target="footer799.xml"/><Relationship Id="rId276" Type="http://schemas.openxmlformats.org/officeDocument/2006/relationships/footer" Target="footer802.xml"/><Relationship Id="rId277" Type="http://schemas.openxmlformats.org/officeDocument/2006/relationships/footer" Target="footer805.xml"/><Relationship Id="rId278" Type="http://schemas.openxmlformats.org/officeDocument/2006/relationships/footer" Target="footer808.xml"/><Relationship Id="rId279" Type="http://schemas.openxmlformats.org/officeDocument/2006/relationships/footer" Target="footer811.xml"/><Relationship Id="rId280" Type="http://schemas.openxmlformats.org/officeDocument/2006/relationships/footer" Target="footer814.xml"/><Relationship Id="rId281" Type="http://schemas.openxmlformats.org/officeDocument/2006/relationships/footer" Target="footer817.xml"/><Relationship Id="rId282" Type="http://schemas.openxmlformats.org/officeDocument/2006/relationships/footer" Target="footer820.xml"/><Relationship Id="rId283" Type="http://schemas.openxmlformats.org/officeDocument/2006/relationships/footer" Target="footer823.xml"/><Relationship Id="rId284" Type="http://schemas.openxmlformats.org/officeDocument/2006/relationships/footer" Target="footer826.xml"/><Relationship Id="rId285" Type="http://schemas.openxmlformats.org/officeDocument/2006/relationships/footer" Target="footer829.xml"/><Relationship Id="rId286" Type="http://schemas.openxmlformats.org/officeDocument/2006/relationships/footer" Target="footer832.xml"/><Relationship Id="rId287" Type="http://schemas.openxmlformats.org/officeDocument/2006/relationships/footer" Target="footer835.xml"/><Relationship Id="rId288" Type="http://schemas.openxmlformats.org/officeDocument/2006/relationships/footer" Target="footer838.xml"/><Relationship Id="rId289" Type="http://schemas.openxmlformats.org/officeDocument/2006/relationships/footer" Target="footer841.xml"/><Relationship Id="rId290" Type="http://schemas.openxmlformats.org/officeDocument/2006/relationships/footer" Target="footer844.xml"/><Relationship Id="rId291" Type="http://schemas.openxmlformats.org/officeDocument/2006/relationships/footer" Target="footer847.xml"/><Relationship Id="rId292" Type="http://schemas.openxmlformats.org/officeDocument/2006/relationships/footer" Target="footer850.xml"/><Relationship Id="rId293" Type="http://schemas.openxmlformats.org/officeDocument/2006/relationships/footer" Target="footer853.xml"/><Relationship Id="rId294" Type="http://schemas.openxmlformats.org/officeDocument/2006/relationships/footer" Target="footer856.xml"/><Relationship Id="rId295" Type="http://schemas.openxmlformats.org/officeDocument/2006/relationships/footer" Target="footer859.xml"/><Relationship Id="rId296" Type="http://schemas.openxmlformats.org/officeDocument/2006/relationships/footer" Target="footer862.xml"/><Relationship Id="rId297" Type="http://schemas.openxmlformats.org/officeDocument/2006/relationships/footer" Target="footer865.xml"/><Relationship Id="rId298" Type="http://schemas.openxmlformats.org/officeDocument/2006/relationships/footer" Target="footer868.xml"/><Relationship Id="rId299" Type="http://schemas.openxmlformats.org/officeDocument/2006/relationships/footer" Target="footer871.xml"/><Relationship Id="rId300" Type="http://schemas.openxmlformats.org/officeDocument/2006/relationships/footer" Target="footer874.xml"/><Relationship Id="rId301" Type="http://schemas.openxmlformats.org/officeDocument/2006/relationships/footer" Target="footer877.xml"/><Relationship Id="rId302" Type="http://schemas.openxmlformats.org/officeDocument/2006/relationships/footer" Target="footer880.xml"/><Relationship Id="rId303" Type="http://schemas.openxmlformats.org/officeDocument/2006/relationships/footer" Target="footer883.xml"/><Relationship Id="rId304" Type="http://schemas.openxmlformats.org/officeDocument/2006/relationships/footer" Target="footer886.xml"/><Relationship Id="rId305" Type="http://schemas.openxmlformats.org/officeDocument/2006/relationships/footer" Target="footer889.xml"/><Relationship Id="rId306" Type="http://schemas.openxmlformats.org/officeDocument/2006/relationships/footer" Target="footer892.xml"/><Relationship Id="rId307" Type="http://schemas.openxmlformats.org/officeDocument/2006/relationships/footer" Target="footer895.xml"/><Relationship Id="rId308" Type="http://schemas.openxmlformats.org/officeDocument/2006/relationships/footer" Target="footer898.xml"/><Relationship Id="rId309" Type="http://schemas.openxmlformats.org/officeDocument/2006/relationships/footer" Target="footer901.xml"/><Relationship Id="rId310" Type="http://schemas.openxmlformats.org/officeDocument/2006/relationships/footer" Target="footer904.xml"/><Relationship Id="rId311" Type="http://schemas.openxmlformats.org/officeDocument/2006/relationships/footer" Target="footer907.xml"/><Relationship Id="rId312" Type="http://schemas.openxmlformats.org/officeDocument/2006/relationships/footer" Target="footer910.xml"/><Relationship Id="rId313" Type="http://schemas.openxmlformats.org/officeDocument/2006/relationships/footer" Target="footer913.xml"/><Relationship Id="rId314" Type="http://schemas.openxmlformats.org/officeDocument/2006/relationships/footer" Target="footer916.xml"/><Relationship Id="rId315" Type="http://schemas.openxmlformats.org/officeDocument/2006/relationships/footer" Target="footer919.xml"/><Relationship Id="rId316" Type="http://schemas.openxmlformats.org/officeDocument/2006/relationships/footer" Target="footer922.xml"/><Relationship Id="rId317" Type="http://schemas.openxmlformats.org/officeDocument/2006/relationships/footer" Target="footer925.xml"/><Relationship Id="rId318" Type="http://schemas.openxmlformats.org/officeDocument/2006/relationships/footer" Target="footer928.xml"/><Relationship Id="rId319" Type="http://schemas.openxmlformats.org/officeDocument/2006/relationships/footer" Target="footer931.xml"/><Relationship Id="rId320" Type="http://schemas.openxmlformats.org/officeDocument/2006/relationships/footer" Target="footer934.xml"/><Relationship Id="rId321" Type="http://schemas.openxmlformats.org/officeDocument/2006/relationships/footer" Target="footer937.xml"/><Relationship Id="rId322" Type="http://schemas.openxmlformats.org/officeDocument/2006/relationships/footer" Target="footer940.xml"/><Relationship Id="rId323" Type="http://schemas.openxmlformats.org/officeDocument/2006/relationships/footer" Target="footer943.xml"/><Relationship Id="rId324" Type="http://schemas.openxmlformats.org/officeDocument/2006/relationships/footer" Target="footer946.xml"/><Relationship Id="rId325" Type="http://schemas.openxmlformats.org/officeDocument/2006/relationships/footer" Target="footer949.xml"/><Relationship Id="rId326" Type="http://schemas.openxmlformats.org/officeDocument/2006/relationships/footer" Target="footer952.xml"/><Relationship Id="rId327" Type="http://schemas.openxmlformats.org/officeDocument/2006/relationships/footer" Target="footer955.xml"/><Relationship Id="rId328" Type="http://schemas.openxmlformats.org/officeDocument/2006/relationships/footer" Target="footer958.xml"/><Relationship Id="rId329" Type="http://schemas.openxmlformats.org/officeDocument/2006/relationships/footer" Target="footer961.xml"/><Relationship Id="rId330" Type="http://schemas.openxmlformats.org/officeDocument/2006/relationships/footer" Target="footer964.xml"/><Relationship Id="rId331" Type="http://schemas.openxmlformats.org/officeDocument/2006/relationships/footer" Target="footer967.xml"/><Relationship Id="rId332" Type="http://schemas.openxmlformats.org/officeDocument/2006/relationships/footer" Target="footer970.xml"/><Relationship Id="rId333" Type="http://schemas.openxmlformats.org/officeDocument/2006/relationships/footer" Target="footer973.xml"/><Relationship Id="rId334" Type="http://schemas.openxmlformats.org/officeDocument/2006/relationships/footer" Target="footer976.xml"/><Relationship Id="rId335" Type="http://schemas.openxmlformats.org/officeDocument/2006/relationships/footer" Target="footer979.xml"/><Relationship Id="rId336" Type="http://schemas.openxmlformats.org/officeDocument/2006/relationships/footer" Target="footer982.xml"/><Relationship Id="rId337" Type="http://schemas.openxmlformats.org/officeDocument/2006/relationships/footer" Target="footer985.xml"/><Relationship Id="rId338" Type="http://schemas.openxmlformats.org/officeDocument/2006/relationships/footer" Target="footer988.xml"/><Relationship Id="rId339" Type="http://schemas.openxmlformats.org/officeDocument/2006/relationships/footer" Target="footer991.xml"/><Relationship Id="rId340" Type="http://schemas.openxmlformats.org/officeDocument/2006/relationships/footer" Target="footer994.xml"/><Relationship Id="rId341" Type="http://schemas.openxmlformats.org/officeDocument/2006/relationships/footer" Target="footer997.xml"/><Relationship Id="rId342" Type="http://schemas.openxmlformats.org/officeDocument/2006/relationships/footer" Target="footer1000.xml"/><Relationship Id="rId343" Type="http://schemas.openxmlformats.org/officeDocument/2006/relationships/footer" Target="footer1003.xml"/><Relationship Id="rId344" Type="http://schemas.openxmlformats.org/officeDocument/2006/relationships/footer" Target="footer1006.xml"/><Relationship Id="rId345" Type="http://schemas.openxmlformats.org/officeDocument/2006/relationships/footer" Target="footer1009.xml"/><Relationship Id="rId346" Type="http://schemas.openxmlformats.org/officeDocument/2006/relationships/footer" Target="footer1012.xml"/><Relationship Id="rId347" Type="http://schemas.openxmlformats.org/officeDocument/2006/relationships/footer" Target="footer1015.xml"/><Relationship Id="rId348" Type="http://schemas.openxmlformats.org/officeDocument/2006/relationships/footer" Target="footer1018.xml"/><Relationship Id="rId349" Type="http://schemas.openxmlformats.org/officeDocument/2006/relationships/footer" Target="footer1021.xml"/><Relationship Id="rId350" Type="http://schemas.openxmlformats.org/officeDocument/2006/relationships/footer" Target="footer1024.xml"/><Relationship Id="rId351" Type="http://schemas.openxmlformats.org/officeDocument/2006/relationships/footer" Target="footer1027.xml"/><Relationship Id="rId352" Type="http://schemas.openxmlformats.org/officeDocument/2006/relationships/footer" Target="footer1030.xml"/><Relationship Id="rId353" Type="http://schemas.openxmlformats.org/officeDocument/2006/relationships/footer" Target="footer1033.xml"/><Relationship Id="rId354" Type="http://schemas.openxmlformats.org/officeDocument/2006/relationships/footer" Target="footer1036.xml"/><Relationship Id="rId355" Type="http://schemas.openxmlformats.org/officeDocument/2006/relationships/footer" Target="footer1039.xml"/><Relationship Id="rId356" Type="http://schemas.openxmlformats.org/officeDocument/2006/relationships/footer" Target="footer1042.xml"/><Relationship Id="rId357" Type="http://schemas.openxmlformats.org/officeDocument/2006/relationships/footer" Target="footer1045.xml"/><Relationship Id="rId358" Type="http://schemas.openxmlformats.org/officeDocument/2006/relationships/footer" Target="footer1048.xml"/><Relationship Id="rId359" Type="http://schemas.openxmlformats.org/officeDocument/2006/relationships/footer" Target="footer1051.xml"/><Relationship Id="rId360" Type="http://schemas.openxmlformats.org/officeDocument/2006/relationships/footer" Target="footer1054.xml"/><Relationship Id="rId361" Type="http://schemas.openxmlformats.org/officeDocument/2006/relationships/footer" Target="footer1057.xml"/><Relationship Id="rId362" Type="http://schemas.openxmlformats.org/officeDocument/2006/relationships/footer" Target="footer1060.xml"/><Relationship Id="rId363" Type="http://schemas.openxmlformats.org/officeDocument/2006/relationships/footer" Target="footer1063.xml"/><Relationship Id="rId364" Type="http://schemas.openxmlformats.org/officeDocument/2006/relationships/footer" Target="footer1066.xml"/><Relationship Id="rId365" Type="http://schemas.openxmlformats.org/officeDocument/2006/relationships/footer" Target="footer1069.xml"/><Relationship Id="rId366" Type="http://schemas.openxmlformats.org/officeDocument/2006/relationships/footer" Target="footer1072.xml"/><Relationship Id="rId367" Type="http://schemas.openxmlformats.org/officeDocument/2006/relationships/footer" Target="footer1075.xml"/><Relationship Id="rId368" Type="http://schemas.openxmlformats.org/officeDocument/2006/relationships/footer" Target="footer1078.xml"/><Relationship Id="rId369" Type="http://schemas.openxmlformats.org/officeDocument/2006/relationships/footer" Target="footer1081.xml"/><Relationship Id="rId370" Type="http://schemas.openxmlformats.org/officeDocument/2006/relationships/footer" Target="footer1084.xml"/><Relationship Id="rId371" Type="http://schemas.openxmlformats.org/officeDocument/2006/relationships/footer" Target="footer1087.xml"/><Relationship Id="rId372" Type="http://schemas.openxmlformats.org/officeDocument/2006/relationships/footer" Target="footer1090.xml"/><Relationship Id="rId373" Type="http://schemas.openxmlformats.org/officeDocument/2006/relationships/footer" Target="footer1093.xml"/><Relationship Id="rId374" Type="http://schemas.openxmlformats.org/officeDocument/2006/relationships/footer" Target="footer1096.xml"/><Relationship Id="rId375" Type="http://schemas.openxmlformats.org/officeDocument/2006/relationships/footer" Target="footer1099.xml"/><Relationship Id="rId376" Type="http://schemas.openxmlformats.org/officeDocument/2006/relationships/footer" Target="footer1102.xml"/><Relationship Id="rId377" Type="http://schemas.openxmlformats.org/officeDocument/2006/relationships/footer" Target="footer1105.xml"/><Relationship Id="rId378" Type="http://schemas.openxmlformats.org/officeDocument/2006/relationships/footer" Target="footer1108.xml"/><Relationship Id="rId379" Type="http://schemas.openxmlformats.org/officeDocument/2006/relationships/footer" Target="footer1111.xml"/><Relationship Id="rId380" Type="http://schemas.openxmlformats.org/officeDocument/2006/relationships/footer" Target="footer1114.xml"/><Relationship Id="rId381" Type="http://schemas.openxmlformats.org/officeDocument/2006/relationships/footer" Target="footer1117.xml"/><Relationship Id="rId382" Type="http://schemas.openxmlformats.org/officeDocument/2006/relationships/footer" Target="footer1120.xml"/><Relationship Id="rId383" Type="http://schemas.openxmlformats.org/officeDocument/2006/relationships/footer" Target="footer1123.xml"/><Relationship Id="rId384" Type="http://schemas.openxmlformats.org/officeDocument/2006/relationships/footer" Target="footer1126.xml"/><Relationship Id="rId385" Type="http://schemas.openxmlformats.org/officeDocument/2006/relationships/footer" Target="footer1129.xml"/><Relationship Id="rId386" Type="http://schemas.openxmlformats.org/officeDocument/2006/relationships/footer" Target="footer1132.xml"/><Relationship Id="rId387" Type="http://schemas.openxmlformats.org/officeDocument/2006/relationships/footer" Target="footer1135.xml"/><Relationship Id="rId388" Type="http://schemas.openxmlformats.org/officeDocument/2006/relationships/footer" Target="footer1138.xml"/><Relationship Id="rId389" Type="http://schemas.openxmlformats.org/officeDocument/2006/relationships/footer" Target="footer1141.xml"/><Relationship Id="rId390" Type="http://schemas.openxmlformats.org/officeDocument/2006/relationships/footer" Target="footer1144.xml"/><Relationship Id="rId391" Type="http://schemas.openxmlformats.org/officeDocument/2006/relationships/footer" Target="footer1147.xml"/><Relationship Id="rId392" Type="http://schemas.openxmlformats.org/officeDocument/2006/relationships/footer" Target="footer1150.xml"/><Relationship Id="rId393" Type="http://schemas.openxmlformats.org/officeDocument/2006/relationships/footer" Target="footer1153.xml"/><Relationship Id="rId394" Type="http://schemas.openxmlformats.org/officeDocument/2006/relationships/footer" Target="footer1156.xml"/><Relationship Id="rId395" Type="http://schemas.openxmlformats.org/officeDocument/2006/relationships/footer" Target="footer1159.xml"/><Relationship Id="rId396" Type="http://schemas.openxmlformats.org/officeDocument/2006/relationships/footer" Target="footer1162.xml"/><Relationship Id="rId397" Type="http://schemas.openxmlformats.org/officeDocument/2006/relationships/footer" Target="footer1165.xml"/><Relationship Id="rId398" Type="http://schemas.openxmlformats.org/officeDocument/2006/relationships/footer" Target="footer1168.xml"/><Relationship Id="rId399" Type="http://schemas.openxmlformats.org/officeDocument/2006/relationships/footer" Target="footer1171.xml"/><Relationship Id="rId400" Type="http://schemas.openxmlformats.org/officeDocument/2006/relationships/footer" Target="footer1174.xml"/><Relationship Id="rId401" Type="http://schemas.openxmlformats.org/officeDocument/2006/relationships/footer" Target="footer1177.xml"/><Relationship Id="rId402" Type="http://schemas.openxmlformats.org/officeDocument/2006/relationships/footer" Target="footer1180.xml"/><Relationship Id="rId403" Type="http://schemas.openxmlformats.org/officeDocument/2006/relationships/footer" Target="footer1183.xml"/><Relationship Id="rId404" Type="http://schemas.openxmlformats.org/officeDocument/2006/relationships/footer" Target="footer1186.xml"/><Relationship Id="rId405" Type="http://schemas.openxmlformats.org/officeDocument/2006/relationships/footer" Target="footer1189.xml"/><Relationship Id="rId406" Type="http://schemas.openxmlformats.org/officeDocument/2006/relationships/footer" Target="footer1192.xml"/><Relationship Id="rId407" Type="http://schemas.openxmlformats.org/officeDocument/2006/relationships/footer" Target="footer1195.xml"/><Relationship Id="rId408" Type="http://schemas.openxmlformats.org/officeDocument/2006/relationships/footer" Target="footer1198.xml"/><Relationship Id="rId409" Type="http://schemas.openxmlformats.org/officeDocument/2006/relationships/footer" Target="footer1201.xml"/><Relationship Id="rId410" Type="http://schemas.openxmlformats.org/officeDocument/2006/relationships/footer" Target="footer1204.xml"/><Relationship Id="rId411" Type="http://schemas.openxmlformats.org/officeDocument/2006/relationships/footer" Target="footer1207.xml"/><Relationship Id="rId412" Type="http://schemas.openxmlformats.org/officeDocument/2006/relationships/footer" Target="footer1210.xml"/><Relationship Id="rId413" Type="http://schemas.openxmlformats.org/officeDocument/2006/relationships/footer" Target="footer1213.xml"/><Relationship Id="rId414" Type="http://schemas.openxmlformats.org/officeDocument/2006/relationships/footer" Target="footer1216.xml"/><Relationship Id="rId415" Type="http://schemas.openxmlformats.org/officeDocument/2006/relationships/footer" Target="footer1219.xml"/><Relationship Id="rId416" Type="http://schemas.openxmlformats.org/officeDocument/2006/relationships/footer" Target="footer1222.xml"/><Relationship Id="rId417" Type="http://schemas.openxmlformats.org/officeDocument/2006/relationships/footer" Target="footer1225.xml"/><Relationship Id="rId418" Type="http://schemas.openxmlformats.org/officeDocument/2006/relationships/footer" Target="footer1228.xml"/><Relationship Id="rId419" Type="http://schemas.openxmlformats.org/officeDocument/2006/relationships/footer" Target="footer1231.xml"/><Relationship Id="rId420" Type="http://schemas.openxmlformats.org/officeDocument/2006/relationships/footer" Target="footer1234.xml"/><Relationship Id="rId421" Type="http://schemas.openxmlformats.org/officeDocument/2006/relationships/footer" Target="footer1237.xml"/><Relationship Id="rId422" Type="http://schemas.openxmlformats.org/officeDocument/2006/relationships/footer" Target="footer1240.xml"/><Relationship Id="rId423" Type="http://schemas.openxmlformats.org/officeDocument/2006/relationships/footer" Target="footer1243.xml"/><Relationship Id="rId424" Type="http://schemas.openxmlformats.org/officeDocument/2006/relationships/footer" Target="footer1246.xml"/><Relationship Id="rId425" Type="http://schemas.openxmlformats.org/officeDocument/2006/relationships/footer" Target="footer1249.xml"/><Relationship Id="rId426" Type="http://schemas.openxmlformats.org/officeDocument/2006/relationships/footer" Target="footer1252.xml"/><Relationship Id="rId427" Type="http://schemas.openxmlformats.org/officeDocument/2006/relationships/footer" Target="footer1255.xml"/><Relationship Id="rId428" Type="http://schemas.openxmlformats.org/officeDocument/2006/relationships/footer" Target="footer1258.xml"/><Relationship Id="rId429" Type="http://schemas.openxmlformats.org/officeDocument/2006/relationships/footer" Target="footer1261.xml"/><Relationship Id="rId430" Type="http://schemas.openxmlformats.org/officeDocument/2006/relationships/footer" Target="footer1264.xml"/><Relationship Id="rId431" Type="http://schemas.openxmlformats.org/officeDocument/2006/relationships/footer" Target="footer1267.xml"/><Relationship Id="rId432" Type="http://schemas.openxmlformats.org/officeDocument/2006/relationships/footer" Target="footer1270.xml"/><Relationship Id="rId433" Type="http://schemas.openxmlformats.org/officeDocument/2006/relationships/footer" Target="footer1273.xml"/><Relationship Id="rId434" Type="http://schemas.openxmlformats.org/officeDocument/2006/relationships/footer" Target="footer1276.xml"/><Relationship Id="rId435" Type="http://schemas.openxmlformats.org/officeDocument/2006/relationships/footer" Target="footer1279.xml"/><Relationship Id="rId436" Type="http://schemas.openxmlformats.org/officeDocument/2006/relationships/footer" Target="footer1282.xml"/><Relationship Id="rId437" Type="http://schemas.openxmlformats.org/officeDocument/2006/relationships/footer" Target="footer1285.xml"/><Relationship Id="rId438" Type="http://schemas.openxmlformats.org/officeDocument/2006/relationships/footer" Target="footer1288.xml"/><Relationship Id="rId439" Type="http://schemas.openxmlformats.org/officeDocument/2006/relationships/footer" Target="footer1291.xml"/><Relationship Id="rId440" Type="http://schemas.openxmlformats.org/officeDocument/2006/relationships/footer" Target="footer1294.xml"/><Relationship Id="rId441" Type="http://schemas.openxmlformats.org/officeDocument/2006/relationships/footer" Target="footer1297.xml"/><Relationship Id="rId442" Type="http://schemas.openxmlformats.org/officeDocument/2006/relationships/footer" Target="footer1300.xml"/><Relationship Id="rId443" Type="http://schemas.openxmlformats.org/officeDocument/2006/relationships/footer" Target="footer1303.xml"/><Relationship Id="rId444" Type="http://schemas.openxmlformats.org/officeDocument/2006/relationships/footer" Target="footer1306.xml"/><Relationship Id="rId445" Type="http://schemas.openxmlformats.org/officeDocument/2006/relationships/footer" Target="footer1309.xml"/><Relationship Id="rId446" Type="http://schemas.openxmlformats.org/officeDocument/2006/relationships/footer" Target="footer1312.xml"/><Relationship Id="rId447" Type="http://schemas.openxmlformats.org/officeDocument/2006/relationships/footer" Target="footer1315.xml"/><Relationship Id="rId448" Type="http://schemas.openxmlformats.org/officeDocument/2006/relationships/footer" Target="footer1318.xml"/><Relationship Id="rId449" Type="http://schemas.openxmlformats.org/officeDocument/2006/relationships/footer" Target="footer1321.xml"/><Relationship Id="rId450" Type="http://schemas.openxmlformats.org/officeDocument/2006/relationships/footer" Target="footer1324.xml"/><Relationship Id="rId451" Type="http://schemas.openxmlformats.org/officeDocument/2006/relationships/footer" Target="footer1327.xml"/><Relationship Id="rId452" Type="http://schemas.openxmlformats.org/officeDocument/2006/relationships/footer" Target="footer1330.xml"/><Relationship Id="rId453" Type="http://schemas.openxmlformats.org/officeDocument/2006/relationships/footer" Target="footer1333.xml"/><Relationship Id="rId454" Type="http://schemas.openxmlformats.org/officeDocument/2006/relationships/footer" Target="footer1336.xml"/><Relationship Id="rId455" Type="http://schemas.openxmlformats.org/officeDocument/2006/relationships/footer" Target="footer1339.xml"/><Relationship Id="rId456" Type="http://schemas.openxmlformats.org/officeDocument/2006/relationships/footer" Target="footer1342.xml"/><Relationship Id="rId457" Type="http://schemas.openxmlformats.org/officeDocument/2006/relationships/footer" Target="footer1345.xml"/><Relationship Id="rId458" Type="http://schemas.openxmlformats.org/officeDocument/2006/relationships/footer" Target="footer1348.xml"/><Relationship Id="rId459" Type="http://schemas.openxmlformats.org/officeDocument/2006/relationships/footer" Target="footer1351.xml"/><Relationship Id="rId460" Type="http://schemas.openxmlformats.org/officeDocument/2006/relationships/footer" Target="footer1354.xml"/><Relationship Id="rId461" Type="http://schemas.openxmlformats.org/officeDocument/2006/relationships/footer" Target="footer1357.xml"/><Relationship Id="rId462" Type="http://schemas.openxmlformats.org/officeDocument/2006/relationships/footer" Target="footer1360.xml"/><Relationship Id="rId463" Type="http://schemas.openxmlformats.org/officeDocument/2006/relationships/footer" Target="footer1363.xml"/><Relationship Id="rId464" Type="http://schemas.openxmlformats.org/officeDocument/2006/relationships/footer" Target="footer1366.xml"/><Relationship Id="rId465" Type="http://schemas.openxmlformats.org/officeDocument/2006/relationships/footer" Target="footer1369.xml"/><Relationship Id="rId466" Type="http://schemas.openxmlformats.org/officeDocument/2006/relationships/footer" Target="footer1372.xml"/><Relationship Id="rId467" Type="http://schemas.openxmlformats.org/officeDocument/2006/relationships/footer" Target="footer1375.xml"/><Relationship Id="rId468" Type="http://schemas.openxmlformats.org/officeDocument/2006/relationships/footer" Target="footer1378.xml"/><Relationship Id="rId469" Type="http://schemas.openxmlformats.org/officeDocument/2006/relationships/footer" Target="footer1381.xml"/><Relationship Id="rId470" Type="http://schemas.openxmlformats.org/officeDocument/2006/relationships/footer" Target="footer1384.xml"/><Relationship Id="rId471" Type="http://schemas.openxmlformats.org/officeDocument/2006/relationships/footer" Target="footer1387.xml"/><Relationship Id="rId472" Type="http://schemas.openxmlformats.org/officeDocument/2006/relationships/footer" Target="footer1390.xml"/><Relationship Id="rId473" Type="http://schemas.openxmlformats.org/officeDocument/2006/relationships/footer" Target="footer1393.xml"/><Relationship Id="rId474" Type="http://schemas.openxmlformats.org/officeDocument/2006/relationships/footer" Target="footer1396.xml"/><Relationship Id="rId475" Type="http://schemas.openxmlformats.org/officeDocument/2006/relationships/footer" Target="footer1399.xml"/><Relationship Id="rId476" Type="http://schemas.openxmlformats.org/officeDocument/2006/relationships/footer" Target="footer1402.xml"/><Relationship Id="rId477" Type="http://schemas.openxmlformats.org/officeDocument/2006/relationships/footer" Target="footer1405.xml"/><Relationship Id="rId478" Type="http://schemas.openxmlformats.org/officeDocument/2006/relationships/footer" Target="footer1408.xml"/><Relationship Id="rId479" Type="http://schemas.openxmlformats.org/officeDocument/2006/relationships/footer" Target="footer1411.xml"/><Relationship Id="rId480" Type="http://schemas.openxmlformats.org/officeDocument/2006/relationships/footer" Target="footer1414.xml"/><Relationship Id="rId481" Type="http://schemas.openxmlformats.org/officeDocument/2006/relationships/footer" Target="footer1417.xml"/><Relationship Id="rId482" Type="http://schemas.openxmlformats.org/officeDocument/2006/relationships/footer" Target="footer1420.xml"/><Relationship Id="rId483" Type="http://schemas.openxmlformats.org/officeDocument/2006/relationships/footer" Target="footer1423.xml"/><Relationship Id="rId484" Type="http://schemas.openxmlformats.org/officeDocument/2006/relationships/footer" Target="footer1426.xml"/><Relationship Id="rId485" Type="http://schemas.openxmlformats.org/officeDocument/2006/relationships/footer" Target="footer1429.xml"/><Relationship Id="rId486" Type="http://schemas.openxmlformats.org/officeDocument/2006/relationships/footer" Target="footer1432.xml"/><Relationship Id="rId487" Type="http://schemas.openxmlformats.org/officeDocument/2006/relationships/footer" Target="footer1435.xml"/><Relationship Id="rId488" Type="http://schemas.openxmlformats.org/officeDocument/2006/relationships/footer" Target="footer1438.xml"/><Relationship Id="rId489" Type="http://schemas.openxmlformats.org/officeDocument/2006/relationships/footer" Target="footer1441.xml"/><Relationship Id="rId490" Type="http://schemas.openxmlformats.org/officeDocument/2006/relationships/footer" Target="footer1444.xml"/><Relationship Id="rId491" Type="http://schemas.openxmlformats.org/officeDocument/2006/relationships/footer" Target="footer1447.xml"/><Relationship Id="rId492" Type="http://schemas.openxmlformats.org/officeDocument/2006/relationships/footer" Target="footer1450.xml"/><Relationship Id="rId493" Type="http://schemas.openxmlformats.org/officeDocument/2006/relationships/footer" Target="footer1453.xml"/><Relationship Id="rId494" Type="http://schemas.openxmlformats.org/officeDocument/2006/relationships/footer" Target="footer1456.xml"/><Relationship Id="rId495" Type="http://schemas.openxmlformats.org/officeDocument/2006/relationships/footer" Target="footer1459.xml"/><Relationship Id="rId496" Type="http://schemas.openxmlformats.org/officeDocument/2006/relationships/footer" Target="footer1462.xml"/><Relationship Id="rId497" Type="http://schemas.openxmlformats.org/officeDocument/2006/relationships/footer" Target="footer1465.xml"/><Relationship Id="rId498" Type="http://schemas.openxmlformats.org/officeDocument/2006/relationships/footer" Target="footer1468.xml"/><Relationship Id="rId499" Type="http://schemas.openxmlformats.org/officeDocument/2006/relationships/footer" Target="footer1471.xml"/><Relationship Id="rId500" Type="http://schemas.openxmlformats.org/officeDocument/2006/relationships/footer" Target="footer1474.xml"/><Relationship Id="rId501" Type="http://schemas.openxmlformats.org/officeDocument/2006/relationships/footer" Target="footer1477.xml"/><Relationship Id="rId502" Type="http://schemas.openxmlformats.org/officeDocument/2006/relationships/footer" Target="footer1480.xml"/><Relationship Id="rId503" Type="http://schemas.openxmlformats.org/officeDocument/2006/relationships/footer" Target="footer1483.xml"/><Relationship Id="rId504" Type="http://schemas.openxmlformats.org/officeDocument/2006/relationships/footer" Target="footer1486.xml"/><Relationship Id="rId505" Type="http://schemas.openxmlformats.org/officeDocument/2006/relationships/footer" Target="footer1489.xml"/><Relationship Id="rId506" Type="http://schemas.openxmlformats.org/officeDocument/2006/relationships/footer" Target="footer1492.xml"/><Relationship Id="rId507" Type="http://schemas.openxmlformats.org/officeDocument/2006/relationships/footer" Target="footer1495.xml"/><Relationship Id="rId508" Type="http://schemas.openxmlformats.org/officeDocument/2006/relationships/footer" Target="footer1498.xml"/><Relationship Id="rId509" Type="http://schemas.openxmlformats.org/officeDocument/2006/relationships/footer" Target="footer1501.xml"/><Relationship Id="rId510" Type="http://schemas.openxmlformats.org/officeDocument/2006/relationships/footer" Target="footer1504.xml"/><Relationship Id="rId511" Type="http://schemas.openxmlformats.org/officeDocument/2006/relationships/footer" Target="footer1507.xml"/><Relationship Id="rId512" Type="http://schemas.openxmlformats.org/officeDocument/2006/relationships/footer" Target="footer1510.xml"/><Relationship Id="rId513" Type="http://schemas.openxmlformats.org/officeDocument/2006/relationships/footer" Target="footer1513.xml"/><Relationship Id="rId514" Type="http://schemas.openxmlformats.org/officeDocument/2006/relationships/footer" Target="footer1516.xml"/><Relationship Id="rId515" Type="http://schemas.openxmlformats.org/officeDocument/2006/relationships/footer" Target="footer1519.xml"/><Relationship Id="rId516" Type="http://schemas.openxmlformats.org/officeDocument/2006/relationships/footer" Target="footer1522.xml"/><Relationship Id="rId517" Type="http://schemas.openxmlformats.org/officeDocument/2006/relationships/footer" Target="footer1525.xml"/><Relationship Id="rId518" Type="http://schemas.openxmlformats.org/officeDocument/2006/relationships/footer" Target="footer1528.xml"/><Relationship Id="rId519" Type="http://schemas.openxmlformats.org/officeDocument/2006/relationships/footer" Target="footer1531.xml"/><Relationship Id="rId520" Type="http://schemas.openxmlformats.org/officeDocument/2006/relationships/footer" Target="footer1534.xml"/><Relationship Id="rId521" Type="http://schemas.openxmlformats.org/officeDocument/2006/relationships/footer" Target="footer1537.xml"/><Relationship Id="rId522" Type="http://schemas.openxmlformats.org/officeDocument/2006/relationships/footer" Target="footer1540.xml"/><Relationship Id="rId523" Type="http://schemas.openxmlformats.org/officeDocument/2006/relationships/footer" Target="footer1543.xml"/><Relationship Id="rId524" Type="http://schemas.openxmlformats.org/officeDocument/2006/relationships/footer" Target="footer1546.xml"/><Relationship Id="rId525" Type="http://schemas.openxmlformats.org/officeDocument/2006/relationships/footer" Target="footer1549.xml"/><Relationship Id="rId526" Type="http://schemas.openxmlformats.org/officeDocument/2006/relationships/footer" Target="footer1552.xml"/><Relationship Id="rId527" Type="http://schemas.openxmlformats.org/officeDocument/2006/relationships/footer" Target="footer1555.xml"/><Relationship Id="rId528" Type="http://schemas.openxmlformats.org/officeDocument/2006/relationships/footer" Target="footer1558.xml"/><Relationship Id="rId529" Type="http://schemas.openxmlformats.org/officeDocument/2006/relationships/footer" Target="footer1561.xml"/><Relationship Id="rId530" Type="http://schemas.openxmlformats.org/officeDocument/2006/relationships/footer" Target="footer1564.xml"/><Relationship Id="rId531" Type="http://schemas.openxmlformats.org/officeDocument/2006/relationships/footer" Target="footer1567.xml"/><Relationship Id="rId532" Type="http://schemas.openxmlformats.org/officeDocument/2006/relationships/footer" Target="footer1570.xml"/><Relationship Id="rId533" Type="http://schemas.openxmlformats.org/officeDocument/2006/relationships/footer" Target="footer1573.xml"/><Relationship Id="rId534" Type="http://schemas.openxmlformats.org/officeDocument/2006/relationships/footer" Target="footer1576.xml"/><Relationship Id="rId535" Type="http://schemas.openxmlformats.org/officeDocument/2006/relationships/footer" Target="footer1579.xml"/><Relationship Id="rId536" Type="http://schemas.openxmlformats.org/officeDocument/2006/relationships/footer" Target="footer1582.xml"/><Relationship Id="rId537" Type="http://schemas.openxmlformats.org/officeDocument/2006/relationships/footer" Target="footer1585.xml"/><Relationship Id="rId538" Type="http://schemas.openxmlformats.org/officeDocument/2006/relationships/footer" Target="footer1588.xml"/><Relationship Id="rId539" Type="http://schemas.openxmlformats.org/officeDocument/2006/relationships/footer" Target="footer1591.xml"/><Relationship Id="rId540" Type="http://schemas.openxmlformats.org/officeDocument/2006/relationships/footer" Target="footer1594.xml"/><Relationship Id="rId541" Type="http://schemas.openxmlformats.org/officeDocument/2006/relationships/footer" Target="footer1597.xml"/><Relationship Id="rId542" Type="http://schemas.openxmlformats.org/officeDocument/2006/relationships/footer" Target="footer1600.xml"/><Relationship Id="rId543" Type="http://schemas.openxmlformats.org/officeDocument/2006/relationships/footer" Target="footer1603.xml"/><Relationship Id="rId544" Type="http://schemas.openxmlformats.org/officeDocument/2006/relationships/footer" Target="footer1606.xml"/><Relationship Id="rId545" Type="http://schemas.openxmlformats.org/officeDocument/2006/relationships/footer" Target="footer1609.xml"/><Relationship Id="rId546" Type="http://schemas.openxmlformats.org/officeDocument/2006/relationships/footer" Target="footer1612.xml"/><Relationship Id="rId547" Type="http://schemas.openxmlformats.org/officeDocument/2006/relationships/footer" Target="footer1615.xml"/><Relationship Id="rId548" Type="http://schemas.openxmlformats.org/officeDocument/2006/relationships/footer" Target="footer1618.xml"/><Relationship Id="rId549" Type="http://schemas.openxmlformats.org/officeDocument/2006/relationships/footer" Target="footer1621.xml"/><Relationship Id="rId550" Type="http://schemas.openxmlformats.org/officeDocument/2006/relationships/footer" Target="footer1624.xml"/><Relationship Id="rId551" Type="http://schemas.openxmlformats.org/officeDocument/2006/relationships/footer" Target="footer1627.xml"/><Relationship Id="rId552" Type="http://schemas.openxmlformats.org/officeDocument/2006/relationships/footer" Target="footer1630.xml"/><Relationship Id="rId553" Type="http://schemas.openxmlformats.org/officeDocument/2006/relationships/footer" Target="footer1633.xml"/><Relationship Id="rId554" Type="http://schemas.openxmlformats.org/officeDocument/2006/relationships/footer" Target="footer1636.xml"/><Relationship Id="rId555" Type="http://schemas.openxmlformats.org/officeDocument/2006/relationships/footer" Target="footer1639.xml"/><Relationship Id="rId556" Type="http://schemas.openxmlformats.org/officeDocument/2006/relationships/footer" Target="footer1642.xml"/><Relationship Id="rId557" Type="http://schemas.openxmlformats.org/officeDocument/2006/relationships/footer" Target="footer1645.xml"/><Relationship Id="rId558" Type="http://schemas.openxmlformats.org/officeDocument/2006/relationships/footer" Target="footer1648.xml"/><Relationship Id="rId559" Type="http://schemas.openxmlformats.org/officeDocument/2006/relationships/footer" Target="footer1651.xml"/><Relationship Id="rId560" Type="http://schemas.openxmlformats.org/officeDocument/2006/relationships/footer" Target="footer1654.xml"/><Relationship Id="rId561" Type="http://schemas.openxmlformats.org/officeDocument/2006/relationships/footer" Target="footer1657.xml"/><Relationship Id="rId562" Type="http://schemas.openxmlformats.org/officeDocument/2006/relationships/footer" Target="footer1660.xml"/><Relationship Id="rId563" Type="http://schemas.openxmlformats.org/officeDocument/2006/relationships/footer" Target="footer1663.xml"/><Relationship Id="rId564" Type="http://schemas.openxmlformats.org/officeDocument/2006/relationships/footer" Target="footer1666.xml"/><Relationship Id="rId565" Type="http://schemas.openxmlformats.org/officeDocument/2006/relationships/footer" Target="footer1669.xml"/><Relationship Id="rId566" Type="http://schemas.openxmlformats.org/officeDocument/2006/relationships/footer" Target="footer1672.xml"/><Relationship Id="rId567" Type="http://schemas.openxmlformats.org/officeDocument/2006/relationships/footer" Target="footer1675.xml"/><Relationship Id="rId568" Type="http://schemas.openxmlformats.org/officeDocument/2006/relationships/footer" Target="footer1678.xml"/><Relationship Id="rId569" Type="http://schemas.openxmlformats.org/officeDocument/2006/relationships/footer" Target="footer1681.xml"/><Relationship Id="rId570" Type="http://schemas.openxmlformats.org/officeDocument/2006/relationships/footer" Target="footer1684.xml"/><Relationship Id="rId571" Type="http://schemas.openxmlformats.org/officeDocument/2006/relationships/footer" Target="footer1687.xml"/><Relationship Id="rId572" Type="http://schemas.openxmlformats.org/officeDocument/2006/relationships/footer" Target="footer1690.xml"/><Relationship Id="rId573" Type="http://schemas.openxmlformats.org/officeDocument/2006/relationships/footer" Target="footer1693.xml"/><Relationship Id="rId574" Type="http://schemas.openxmlformats.org/officeDocument/2006/relationships/footer" Target="footer1696.xml"/><Relationship Id="rId575" Type="http://schemas.openxmlformats.org/officeDocument/2006/relationships/footer" Target="footer1699.xml"/><Relationship Id="rId576" Type="http://schemas.openxmlformats.org/officeDocument/2006/relationships/footer" Target="footer1702.xml"/><Relationship Id="rId577" Type="http://schemas.openxmlformats.org/officeDocument/2006/relationships/footer" Target="footer1705.xml"/><Relationship Id="rId578" Type="http://schemas.openxmlformats.org/officeDocument/2006/relationships/footer" Target="footer1708.xml"/><Relationship Id="rId579" Type="http://schemas.openxmlformats.org/officeDocument/2006/relationships/footer" Target="footer1711.xml"/><Relationship Id="rId580" Type="http://schemas.openxmlformats.org/officeDocument/2006/relationships/footer" Target="footer1714.xml"/><Relationship Id="rId581" Type="http://schemas.openxmlformats.org/officeDocument/2006/relationships/footer" Target="footer1717.xml"/><Relationship Id="rId582" Type="http://schemas.openxmlformats.org/officeDocument/2006/relationships/footer" Target="footer1720.xml"/><Relationship Id="rId583" Type="http://schemas.openxmlformats.org/officeDocument/2006/relationships/footer" Target="footer1723.xml"/><Relationship Id="rId584" Type="http://schemas.openxmlformats.org/officeDocument/2006/relationships/footer" Target="footer1726.xml"/><Relationship Id="rId585" Type="http://schemas.openxmlformats.org/officeDocument/2006/relationships/footer" Target="footer1729.xml"/><Relationship Id="rId586" Type="http://schemas.openxmlformats.org/officeDocument/2006/relationships/footer" Target="footer1732.xml"/><Relationship Id="rId587" Type="http://schemas.openxmlformats.org/officeDocument/2006/relationships/footer" Target="footer1735.xml"/><Relationship Id="rId588" Type="http://schemas.openxmlformats.org/officeDocument/2006/relationships/footer" Target="footer1738.xml"/><Relationship Id="rId589" Type="http://schemas.openxmlformats.org/officeDocument/2006/relationships/footer" Target="footer1741.xml"/><Relationship Id="rId590" Type="http://schemas.openxmlformats.org/officeDocument/2006/relationships/footer" Target="footer1744.xml"/><Relationship Id="rId591" Type="http://schemas.openxmlformats.org/officeDocument/2006/relationships/footer" Target="footer1747.xml"/><Relationship Id="rId592" Type="http://schemas.openxmlformats.org/officeDocument/2006/relationships/footer" Target="footer1750.xml"/><Relationship Id="rId593" Type="http://schemas.openxmlformats.org/officeDocument/2006/relationships/footer" Target="footer1753.xml"/><Relationship Id="rId594" Type="http://schemas.openxmlformats.org/officeDocument/2006/relationships/footer" Target="footer1756.xml"/><Relationship Id="rId595" Type="http://schemas.openxmlformats.org/officeDocument/2006/relationships/footer" Target="footer1759.xml"/><Relationship Id="rId596" Type="http://schemas.openxmlformats.org/officeDocument/2006/relationships/footer" Target="footer1762.xml"/><Relationship Id="rId597" Type="http://schemas.openxmlformats.org/officeDocument/2006/relationships/footer" Target="footer1765.xml"/><Relationship Id="rId598" Type="http://schemas.openxmlformats.org/officeDocument/2006/relationships/footer" Target="footer1768.xml"/><Relationship Id="rId599" Type="http://schemas.openxmlformats.org/officeDocument/2006/relationships/footer" Target="footer1771.xml"/><Relationship Id="rId600" Type="http://schemas.openxmlformats.org/officeDocument/2006/relationships/footer" Target="footer1774.xml"/><Relationship Id="rId601" Type="http://schemas.openxmlformats.org/officeDocument/2006/relationships/footer" Target="footer1777.xml"/><Relationship Id="rId602" Type="http://schemas.openxmlformats.org/officeDocument/2006/relationships/footer" Target="footer1780.xml"/><Relationship Id="rId603" Type="http://schemas.openxmlformats.org/officeDocument/2006/relationships/footer" Target="footer1783.xml"/><Relationship Id="rId604" Type="http://schemas.openxmlformats.org/officeDocument/2006/relationships/footer" Target="footer1786.xml"/><Relationship Id="rId605" Type="http://schemas.openxmlformats.org/officeDocument/2006/relationships/footer" Target="footer1789.xml"/><Relationship Id="rId606" Type="http://schemas.openxmlformats.org/officeDocument/2006/relationships/footer" Target="footer1792.xml"/><Relationship Id="rId607" Type="http://schemas.openxmlformats.org/officeDocument/2006/relationships/footer" Target="footer1795.xml"/><Relationship Id="rId608" Type="http://schemas.openxmlformats.org/officeDocument/2006/relationships/footer" Target="footer1798.xml"/><Relationship Id="rId609" Type="http://schemas.openxmlformats.org/officeDocument/2006/relationships/footer" Target="footer1801.xml"/><Relationship Id="rId610" Type="http://schemas.openxmlformats.org/officeDocument/2006/relationships/footer" Target="footer1804.xml"/><Relationship Id="rId611" Type="http://schemas.openxmlformats.org/officeDocument/2006/relationships/footer" Target="footer1807.xml"/><Relationship Id="rId612" Type="http://schemas.openxmlformats.org/officeDocument/2006/relationships/footer" Target="footer1810.xml"/><Relationship Id="rId613" Type="http://schemas.openxmlformats.org/officeDocument/2006/relationships/footer" Target="footer1813.xml"/><Relationship Id="rId614" Type="http://schemas.openxmlformats.org/officeDocument/2006/relationships/footer" Target="footer1816.xml"/><Relationship Id="rId615" Type="http://schemas.openxmlformats.org/officeDocument/2006/relationships/footer" Target="footer1819.xml"/><Relationship Id="rId616" Type="http://schemas.openxmlformats.org/officeDocument/2006/relationships/footer" Target="footer1822.xml"/><Relationship Id="rId617" Type="http://schemas.openxmlformats.org/officeDocument/2006/relationships/footer" Target="footer1825.xml"/><Relationship Id="rId618" Type="http://schemas.openxmlformats.org/officeDocument/2006/relationships/footer" Target="footer1828.xml"/><Relationship Id="rId619" Type="http://schemas.openxmlformats.org/officeDocument/2006/relationships/footer" Target="footer1831.xml"/><Relationship Id="rId620" Type="http://schemas.openxmlformats.org/officeDocument/2006/relationships/footer" Target="footer1834.xml"/><Relationship Id="rId621" Type="http://schemas.openxmlformats.org/officeDocument/2006/relationships/footer" Target="footer1837.xml"/><Relationship Id="rId622" Type="http://schemas.openxmlformats.org/officeDocument/2006/relationships/footer" Target="footer1840.xml"/><Relationship Id="rId623" Type="http://schemas.openxmlformats.org/officeDocument/2006/relationships/footer" Target="footer1843.xml"/><Relationship Id="rId624" Type="http://schemas.openxmlformats.org/officeDocument/2006/relationships/footer" Target="footer1846.xml"/><Relationship Id="rId625" Type="http://schemas.openxmlformats.org/officeDocument/2006/relationships/footer" Target="footer1849.xml"/><Relationship Id="rId626" Type="http://schemas.openxmlformats.org/officeDocument/2006/relationships/footer" Target="footer1852.xml"/><Relationship Id="rId627" Type="http://schemas.openxmlformats.org/officeDocument/2006/relationships/footer" Target="footer1855.xml"/><Relationship Id="rId628" Type="http://schemas.openxmlformats.org/officeDocument/2006/relationships/footer" Target="footer1858.xml"/><Relationship Id="rId629" Type="http://schemas.openxmlformats.org/officeDocument/2006/relationships/footer" Target="footer1861.xml"/><Relationship Id="rId630" Type="http://schemas.openxmlformats.org/officeDocument/2006/relationships/footer" Target="footer1864.xml"/><Relationship Id="rId631" Type="http://schemas.openxmlformats.org/officeDocument/2006/relationships/footer" Target="footer1867.xml"/><Relationship Id="rId632" Type="http://schemas.openxmlformats.org/officeDocument/2006/relationships/footer" Target="footer1870.xml"/><Relationship Id="rId633" Type="http://schemas.openxmlformats.org/officeDocument/2006/relationships/footer" Target="footer1873.xml"/><Relationship Id="rId634" Type="http://schemas.openxmlformats.org/officeDocument/2006/relationships/footer" Target="footer1876.xml"/><Relationship Id="rId635" Type="http://schemas.openxmlformats.org/officeDocument/2006/relationships/footer" Target="footer1879.xml"/><Relationship Id="rId636" Type="http://schemas.openxmlformats.org/officeDocument/2006/relationships/footer" Target="footer1882.xml"/><Relationship Id="rId637" Type="http://schemas.openxmlformats.org/officeDocument/2006/relationships/footer" Target="footer1885.xml"/><Relationship Id="rId638" Type="http://schemas.openxmlformats.org/officeDocument/2006/relationships/footer" Target="footer1888.xml"/><Relationship Id="rId639" Type="http://schemas.openxmlformats.org/officeDocument/2006/relationships/footer" Target="footer1891.xml"/><Relationship Id="rId640" Type="http://schemas.openxmlformats.org/officeDocument/2006/relationships/footer" Target="footer1894.xml"/><Relationship Id="rId641" Type="http://schemas.openxmlformats.org/officeDocument/2006/relationships/footer" Target="footer1897.xml"/><Relationship Id="rId642" Type="http://schemas.openxmlformats.org/officeDocument/2006/relationships/footer" Target="footer1900.xml"/><Relationship Id="rId643" Type="http://schemas.openxmlformats.org/officeDocument/2006/relationships/footer" Target="footer1903.xml"/><Relationship Id="rId644" Type="http://schemas.openxmlformats.org/officeDocument/2006/relationships/footer" Target="footer1906.xml"/><Relationship Id="rId645" Type="http://schemas.openxmlformats.org/officeDocument/2006/relationships/footer" Target="footer1909.xml"/><Relationship Id="rId646" Type="http://schemas.openxmlformats.org/officeDocument/2006/relationships/footer" Target="footer1912.xml"/><Relationship Id="rId647" Type="http://schemas.openxmlformats.org/officeDocument/2006/relationships/footer" Target="footer1915.xml"/><Relationship Id="rId648" Type="http://schemas.openxmlformats.org/officeDocument/2006/relationships/footer" Target="footer1918.xml"/><Relationship Id="rId649" Type="http://schemas.openxmlformats.org/officeDocument/2006/relationships/footer" Target="footer1921.xml"/><Relationship Id="rId650" Type="http://schemas.openxmlformats.org/officeDocument/2006/relationships/footer" Target="footer1924.xml"/><Relationship Id="rId651" Type="http://schemas.openxmlformats.org/officeDocument/2006/relationships/footer" Target="footer1927.xml"/><Relationship Id="rId652" Type="http://schemas.openxmlformats.org/officeDocument/2006/relationships/footer" Target="footer1930.xml"/><Relationship Id="rId653" Type="http://schemas.openxmlformats.org/officeDocument/2006/relationships/footer" Target="footer1933.xml"/><Relationship Id="rId654" Type="http://schemas.openxmlformats.org/officeDocument/2006/relationships/footer" Target="footer1936.xml"/><Relationship Id="rId655" Type="http://schemas.openxmlformats.org/officeDocument/2006/relationships/footer" Target="footer1939.xml"/><Relationship Id="rId656" Type="http://schemas.openxmlformats.org/officeDocument/2006/relationships/footer" Target="footer1942.xml"/><Relationship Id="rId657" Type="http://schemas.openxmlformats.org/officeDocument/2006/relationships/footer" Target="footer1945.xml"/><Relationship Id="rId658" Type="http://schemas.openxmlformats.org/officeDocument/2006/relationships/footer" Target="footer1948.xml"/><Relationship Id="rId659" Type="http://schemas.openxmlformats.org/officeDocument/2006/relationships/footer" Target="footer1951.xml"/><Relationship Id="rId660" Type="http://schemas.openxmlformats.org/officeDocument/2006/relationships/footer" Target="footer1954.xml"/><Relationship Id="rId661" Type="http://schemas.openxmlformats.org/officeDocument/2006/relationships/footer" Target="footer1957.xml"/><Relationship Id="rId662" Type="http://schemas.openxmlformats.org/officeDocument/2006/relationships/footer" Target="footer1960.xml"/><Relationship Id="rId663" Type="http://schemas.openxmlformats.org/officeDocument/2006/relationships/footer" Target="footer1963.xml"/><Relationship Id="rId664" Type="http://schemas.openxmlformats.org/officeDocument/2006/relationships/footer" Target="footer1966.xml"/><Relationship Id="rId665" Type="http://schemas.openxmlformats.org/officeDocument/2006/relationships/footer" Target="footer1969.xml"/><Relationship Id="rId666" Type="http://schemas.openxmlformats.org/officeDocument/2006/relationships/footer" Target="footer1972.xml"/><Relationship Id="rId667" Type="http://schemas.openxmlformats.org/officeDocument/2006/relationships/footer" Target="footer1975.xml"/><Relationship Id="rId668" Type="http://schemas.openxmlformats.org/officeDocument/2006/relationships/footer" Target="footer1978.xml"/><Relationship Id="rId669" Type="http://schemas.openxmlformats.org/officeDocument/2006/relationships/footer" Target="footer1981.xml"/><Relationship Id="rId670" Type="http://schemas.openxmlformats.org/officeDocument/2006/relationships/footer" Target="footer1984.xml"/><Relationship Id="rId671" Type="http://schemas.openxmlformats.org/officeDocument/2006/relationships/footer" Target="footer1987.xml"/><Relationship Id="rId672" Type="http://schemas.openxmlformats.org/officeDocument/2006/relationships/footer" Target="footer1990.xml"/><Relationship Id="rId673" Type="http://schemas.openxmlformats.org/officeDocument/2006/relationships/footer" Target="footer1993.xml"/><Relationship Id="rId674" Type="http://schemas.openxmlformats.org/officeDocument/2006/relationships/footer" Target="footer1996.xml"/><Relationship Id="rId675" Type="http://schemas.openxmlformats.org/officeDocument/2006/relationships/footer" Target="footer1999.xml"/><Relationship Id="rId676" Type="http://schemas.openxmlformats.org/officeDocument/2006/relationships/footer" Target="footer2002.xml"/><Relationship Id="rId677" Type="http://schemas.openxmlformats.org/officeDocument/2006/relationships/footer" Target="footer2005.xml"/><Relationship Id="rId678" Type="http://schemas.openxmlformats.org/officeDocument/2006/relationships/footer" Target="footer2008.xml"/><Relationship Id="rId679" Type="http://schemas.openxmlformats.org/officeDocument/2006/relationships/footer" Target="footer2011.xml"/><Relationship Id="rId680" Type="http://schemas.openxmlformats.org/officeDocument/2006/relationships/footer" Target="footer2014.xml"/><Relationship Id="rId681" Type="http://schemas.openxmlformats.org/officeDocument/2006/relationships/footer" Target="footer2017.xml"/><Relationship Id="rId682" Type="http://schemas.openxmlformats.org/officeDocument/2006/relationships/footer" Target="footer2020.xml"/><Relationship Id="rId683" Type="http://schemas.openxmlformats.org/officeDocument/2006/relationships/footer" Target="footer2023.xml"/><Relationship Id="rId684" Type="http://schemas.openxmlformats.org/officeDocument/2006/relationships/footer" Target="footer2026.xml"/><Relationship Id="rId685" Type="http://schemas.openxmlformats.org/officeDocument/2006/relationships/footer" Target="footer2029.xml"/><Relationship Id="rId686" Type="http://schemas.openxmlformats.org/officeDocument/2006/relationships/footer" Target="footer2032.xml"/><Relationship Id="rId687" Type="http://schemas.openxmlformats.org/officeDocument/2006/relationships/footer" Target="footer2035.xml"/><Relationship Id="rId688" Type="http://schemas.openxmlformats.org/officeDocument/2006/relationships/footer" Target="footer2038.xml"/><Relationship Id="rId689" Type="http://schemas.openxmlformats.org/officeDocument/2006/relationships/footer" Target="footer2041.xml"/><Relationship Id="rId690" Type="http://schemas.openxmlformats.org/officeDocument/2006/relationships/footer" Target="footer2044.xml"/><Relationship Id="rId691" Type="http://schemas.openxmlformats.org/officeDocument/2006/relationships/footer" Target="footer2047.xml"/><Relationship Id="rId692" Type="http://schemas.openxmlformats.org/officeDocument/2006/relationships/footer" Target="footer2050.xml"/><Relationship Id="rId693" Type="http://schemas.openxmlformats.org/officeDocument/2006/relationships/footer" Target="footer2053.xml"/><Relationship Id="rId694" Type="http://schemas.openxmlformats.org/officeDocument/2006/relationships/footer" Target="footer2056.xml"/><Relationship Id="rId695" Type="http://schemas.openxmlformats.org/officeDocument/2006/relationships/footer" Target="footer2059.xml"/><Relationship Id="rId696" Type="http://schemas.openxmlformats.org/officeDocument/2006/relationships/footer" Target="footer2062.xml"/><Relationship Id="rId697" Type="http://schemas.openxmlformats.org/officeDocument/2006/relationships/footer" Target="footer2065.xml"/><Relationship Id="rId698" Type="http://schemas.openxmlformats.org/officeDocument/2006/relationships/footer" Target="footer2068.xml"/><Relationship Id="rId699" Type="http://schemas.openxmlformats.org/officeDocument/2006/relationships/footer" Target="footer2071.xml"/><Relationship Id="rId700" Type="http://schemas.openxmlformats.org/officeDocument/2006/relationships/footer" Target="footer2074.xml"/><Relationship Id="rId701" Type="http://schemas.openxmlformats.org/officeDocument/2006/relationships/footer" Target="footer2077.xml"/><Relationship Id="rId702" Type="http://schemas.openxmlformats.org/officeDocument/2006/relationships/footer" Target="footer2080.xml"/><Relationship Id="rId703" Type="http://schemas.openxmlformats.org/officeDocument/2006/relationships/footer" Target="footer2083.xml"/><Relationship Id="rId704" Type="http://schemas.openxmlformats.org/officeDocument/2006/relationships/footer" Target="footer2086.xml"/><Relationship Id="rId705" Type="http://schemas.openxmlformats.org/officeDocument/2006/relationships/footer" Target="footer2089.xml"/><Relationship Id="rId706" Type="http://schemas.openxmlformats.org/officeDocument/2006/relationships/footer" Target="footer2092.xml"/><Relationship Id="rId707" Type="http://schemas.openxmlformats.org/officeDocument/2006/relationships/footer" Target="footer2095.xml"/><Relationship Id="rId708" Type="http://schemas.openxmlformats.org/officeDocument/2006/relationships/footer" Target="footer2098.xml"/><Relationship Id="rId709" Type="http://schemas.openxmlformats.org/officeDocument/2006/relationships/footer" Target="footer2101.xml"/><Relationship Id="rId710" Type="http://schemas.openxmlformats.org/officeDocument/2006/relationships/footer" Target="footer2104.xml"/><Relationship Id="rId711" Type="http://schemas.openxmlformats.org/officeDocument/2006/relationships/footer" Target="footer2107.xml"/><Relationship Id="rId712" Type="http://schemas.openxmlformats.org/officeDocument/2006/relationships/footer" Target="footer2110.xml"/><Relationship Id="rId713" Type="http://schemas.openxmlformats.org/officeDocument/2006/relationships/footer" Target="footer2113.xml"/><Relationship Id="rId714" Type="http://schemas.openxmlformats.org/officeDocument/2006/relationships/footer" Target="footer2116.xml"/><Relationship Id="rId715" Type="http://schemas.openxmlformats.org/officeDocument/2006/relationships/footer" Target="footer2119.xml"/><Relationship Id="rId716" Type="http://schemas.openxmlformats.org/officeDocument/2006/relationships/footer" Target="footer2122.xml"/><Relationship Id="rId717" Type="http://schemas.openxmlformats.org/officeDocument/2006/relationships/footer" Target="footer2125.xml"/><Relationship Id="rId718" Type="http://schemas.openxmlformats.org/officeDocument/2006/relationships/footer" Target="footer2128.xml"/><Relationship Id="rId719" Type="http://schemas.openxmlformats.org/officeDocument/2006/relationships/footer" Target="footer2131.xml"/><Relationship Id="rId720" Type="http://schemas.openxmlformats.org/officeDocument/2006/relationships/footer" Target="footer2134.xml"/><Relationship Id="rId721" Type="http://schemas.openxmlformats.org/officeDocument/2006/relationships/footer" Target="footer2137.xml"/><Relationship Id="rId722" Type="http://schemas.openxmlformats.org/officeDocument/2006/relationships/footer" Target="footer2140.xml"/><Relationship Id="rId723" Type="http://schemas.openxmlformats.org/officeDocument/2006/relationships/footer" Target="footer2143.xml"/><Relationship Id="rId724" Type="http://schemas.openxmlformats.org/officeDocument/2006/relationships/footer" Target="footer2146.xml"/><Relationship Id="rId725" Type="http://schemas.openxmlformats.org/officeDocument/2006/relationships/footer" Target="footer2149.xml"/><Relationship Id="rId726" Type="http://schemas.openxmlformats.org/officeDocument/2006/relationships/footer" Target="footer2152.xml"/><Relationship Id="rId727" Type="http://schemas.openxmlformats.org/officeDocument/2006/relationships/footer" Target="footer2155.xml"/><Relationship Id="rId728" Type="http://schemas.openxmlformats.org/officeDocument/2006/relationships/footer" Target="footer2158.xml"/><Relationship Id="rId729" Type="http://schemas.openxmlformats.org/officeDocument/2006/relationships/footer" Target="footer2161.xml"/><Relationship Id="rId730" Type="http://schemas.openxmlformats.org/officeDocument/2006/relationships/footer" Target="footer2164.xml"/><Relationship Id="rId731" Type="http://schemas.openxmlformats.org/officeDocument/2006/relationships/footer" Target="footer2167.xml"/><Relationship Id="rId732" Type="http://schemas.openxmlformats.org/officeDocument/2006/relationships/footer" Target="footer2170.xml"/><Relationship Id="rId733" Type="http://schemas.openxmlformats.org/officeDocument/2006/relationships/footer" Target="footer2173.xml"/><Relationship Id="rId734" Type="http://schemas.openxmlformats.org/officeDocument/2006/relationships/footer" Target="footer2176.xml"/><Relationship Id="rId735" Type="http://schemas.openxmlformats.org/officeDocument/2006/relationships/footer" Target="footer2179.xml"/><Relationship Id="rId736" Type="http://schemas.openxmlformats.org/officeDocument/2006/relationships/footer" Target="footer2182.xml"/><Relationship Id="rId737" Type="http://schemas.openxmlformats.org/officeDocument/2006/relationships/footer" Target="footer2185.xml"/><Relationship Id="rId738" Type="http://schemas.openxmlformats.org/officeDocument/2006/relationships/footer" Target="footer2188.xml"/><Relationship Id="rId739" Type="http://schemas.openxmlformats.org/officeDocument/2006/relationships/footer" Target="footer2191.xml"/><Relationship Id="rId740" Type="http://schemas.openxmlformats.org/officeDocument/2006/relationships/footer" Target="footer2194.xml"/><Relationship Id="rId741" Type="http://schemas.openxmlformats.org/officeDocument/2006/relationships/footer" Target="footer2197.xml"/><Relationship Id="rId742" Type="http://schemas.openxmlformats.org/officeDocument/2006/relationships/footer" Target="footer2200.xml"/><Relationship Id="rId743" Type="http://schemas.openxmlformats.org/officeDocument/2006/relationships/footer" Target="footer2203.xml"/><Relationship Id="rId744" Type="http://schemas.openxmlformats.org/officeDocument/2006/relationships/footer" Target="footer2206.xml"/><Relationship Id="rId745" Type="http://schemas.openxmlformats.org/officeDocument/2006/relationships/footer" Target="footer2209.xml"/><Relationship Id="rId746" Type="http://schemas.openxmlformats.org/officeDocument/2006/relationships/footer" Target="footer2212.xml"/><Relationship Id="rId747" Type="http://schemas.openxmlformats.org/officeDocument/2006/relationships/footer" Target="footer2215.xml"/><Relationship Id="rId748" Type="http://schemas.openxmlformats.org/officeDocument/2006/relationships/footer" Target="footer2218.xml"/><Relationship Id="rId749" Type="http://schemas.openxmlformats.org/officeDocument/2006/relationships/footer" Target="footer2221.xml"/><Relationship Id="rId750" Type="http://schemas.openxmlformats.org/officeDocument/2006/relationships/footer" Target="footer2224.xml"/><Relationship Id="rId751" Type="http://schemas.openxmlformats.org/officeDocument/2006/relationships/footer" Target="footer2227.xml"/><Relationship Id="rId752" Type="http://schemas.openxmlformats.org/officeDocument/2006/relationships/footer" Target="footer2230.xml"/><Relationship Id="rId753" Type="http://schemas.openxmlformats.org/officeDocument/2006/relationships/footer" Target="footer2233.xml"/><Relationship Id="rId754" Type="http://schemas.openxmlformats.org/officeDocument/2006/relationships/footer" Target="footer2236.xml"/><Relationship Id="rId755" Type="http://schemas.openxmlformats.org/officeDocument/2006/relationships/footer" Target="footer2239.xml"/><Relationship Id="rId756" Type="http://schemas.openxmlformats.org/officeDocument/2006/relationships/footer" Target="footer2242.xml"/><Relationship Id="rId757" Type="http://schemas.openxmlformats.org/officeDocument/2006/relationships/footer" Target="footer2245.xml"/><Relationship Id="rId758" Type="http://schemas.openxmlformats.org/officeDocument/2006/relationships/footer" Target="footer2248.xml"/><Relationship Id="rId759" Type="http://schemas.openxmlformats.org/officeDocument/2006/relationships/footer" Target="footer2251.xml"/><Relationship Id="rId760" Type="http://schemas.openxmlformats.org/officeDocument/2006/relationships/footer" Target="footer2254.xml"/><Relationship Id="rId761" Type="http://schemas.openxmlformats.org/officeDocument/2006/relationships/footer" Target="footer2257.xml"/><Relationship Id="rId762" Type="http://schemas.openxmlformats.org/officeDocument/2006/relationships/footer" Target="footer2260.xml"/><Relationship Id="rId763" Type="http://schemas.openxmlformats.org/officeDocument/2006/relationships/footer" Target="footer2263.xml"/><Relationship Id="rId764" Type="http://schemas.openxmlformats.org/officeDocument/2006/relationships/footer" Target="footer2266.xml"/><Relationship Id="rId765" Type="http://schemas.openxmlformats.org/officeDocument/2006/relationships/footer" Target="footer2269.xml"/><Relationship Id="rId766" Type="http://schemas.openxmlformats.org/officeDocument/2006/relationships/footer" Target="footer2272.xml"/><Relationship Id="rId767" Type="http://schemas.openxmlformats.org/officeDocument/2006/relationships/footer" Target="footer2275.xml"/><Relationship Id="rId768" Type="http://schemas.openxmlformats.org/officeDocument/2006/relationships/footer" Target="footer2278.xml"/><Relationship Id="rId769" Type="http://schemas.openxmlformats.org/officeDocument/2006/relationships/footer" Target="footer2281.xml"/><Relationship Id="rId770" Type="http://schemas.openxmlformats.org/officeDocument/2006/relationships/footer" Target="footer2284.xml"/><Relationship Id="rId771" Type="http://schemas.openxmlformats.org/officeDocument/2006/relationships/footer" Target="footer2287.xml"/><Relationship Id="rId772" Type="http://schemas.openxmlformats.org/officeDocument/2006/relationships/footer" Target="footer2290.xml"/><Relationship Id="rId773" Type="http://schemas.openxmlformats.org/officeDocument/2006/relationships/footer" Target="footer2293.xml"/><Relationship Id="rId774" Type="http://schemas.openxmlformats.org/officeDocument/2006/relationships/footer" Target="footer2296.xml"/><Relationship Id="rId775" Type="http://schemas.openxmlformats.org/officeDocument/2006/relationships/footer" Target="footer2299.xml"/><Relationship Id="rId776" Type="http://schemas.openxmlformats.org/officeDocument/2006/relationships/footer" Target="footer2302.xml"/><Relationship Id="rId777" Type="http://schemas.openxmlformats.org/officeDocument/2006/relationships/footer" Target="footer2305.xml"/><Relationship Id="rId778" Type="http://schemas.openxmlformats.org/officeDocument/2006/relationships/footer" Target="footer2308.xml"/><Relationship Id="rId779" Type="http://schemas.openxmlformats.org/officeDocument/2006/relationships/footer" Target="footer2311.xml"/><Relationship Id="rId780" Type="http://schemas.openxmlformats.org/officeDocument/2006/relationships/footer" Target="footer2314.xml"/><Relationship Id="rId781" Type="http://schemas.openxmlformats.org/officeDocument/2006/relationships/footer" Target="footer2317.xml"/><Relationship Id="rId782" Type="http://schemas.openxmlformats.org/officeDocument/2006/relationships/footer" Target="footer2320.xml"/><Relationship Id="rId783" Type="http://schemas.openxmlformats.org/officeDocument/2006/relationships/footer" Target="footer2323.xml"/><Relationship Id="rId784" Type="http://schemas.openxmlformats.org/officeDocument/2006/relationships/footer" Target="footer2326.xml"/><Relationship Id="rId785" Type="http://schemas.openxmlformats.org/officeDocument/2006/relationships/footer" Target="footer2329.xml"/><Relationship Id="rId786" Type="http://schemas.openxmlformats.org/officeDocument/2006/relationships/footer" Target="footer2332.xml"/><Relationship Id="rId787" Type="http://schemas.openxmlformats.org/officeDocument/2006/relationships/footer" Target="footer2335.xml"/><Relationship Id="rId788" Type="http://schemas.openxmlformats.org/officeDocument/2006/relationships/footer" Target="footer2338.xml"/><Relationship Id="rId789" Type="http://schemas.openxmlformats.org/officeDocument/2006/relationships/footer" Target="footer2341.xml"/><Relationship Id="rId790" Type="http://schemas.openxmlformats.org/officeDocument/2006/relationships/footer" Target="footer2344.xml"/><Relationship Id="rId791" Type="http://schemas.openxmlformats.org/officeDocument/2006/relationships/footer" Target="footer2347.xml"/><Relationship Id="rId792" Type="http://schemas.openxmlformats.org/officeDocument/2006/relationships/footer" Target="footer2350.xml"/><Relationship Id="rId793" Type="http://schemas.openxmlformats.org/officeDocument/2006/relationships/footer" Target="footer2353.xml"/><Relationship Id="rId794" Type="http://schemas.openxmlformats.org/officeDocument/2006/relationships/footer" Target="footer2356.xml"/><Relationship Id="rId795" Type="http://schemas.openxmlformats.org/officeDocument/2006/relationships/footer" Target="footer2359.xml"/><Relationship Id="rId796" Type="http://schemas.openxmlformats.org/officeDocument/2006/relationships/footer" Target="footer2362.xml"/><Relationship Id="rId797" Type="http://schemas.openxmlformats.org/officeDocument/2006/relationships/footer" Target="footer2365.xml"/><Relationship Id="rId798" Type="http://schemas.openxmlformats.org/officeDocument/2006/relationships/footer" Target="footer2368.xml"/><Relationship Id="rId799" Type="http://schemas.openxmlformats.org/officeDocument/2006/relationships/footer" Target="footer2371.xml"/><Relationship Id="rId800" Type="http://schemas.openxmlformats.org/officeDocument/2006/relationships/footer" Target="footer2374.xml"/><Relationship Id="rId801" Type="http://schemas.openxmlformats.org/officeDocument/2006/relationships/footer" Target="footer2377.xml"/><Relationship Id="rId802" Type="http://schemas.openxmlformats.org/officeDocument/2006/relationships/footer" Target="footer2380.xml"/><Relationship Id="rId803" Type="http://schemas.openxmlformats.org/officeDocument/2006/relationships/footer" Target="footer2383.xml"/><Relationship Id="rId804" Type="http://schemas.openxmlformats.org/officeDocument/2006/relationships/footer" Target="footer2386.xml"/><Relationship Id="rId805" Type="http://schemas.openxmlformats.org/officeDocument/2006/relationships/footer" Target="footer2389.xml"/><Relationship Id="rId806" Type="http://schemas.openxmlformats.org/officeDocument/2006/relationships/footer" Target="footer2392.xml"/><Relationship Id="rId807" Type="http://schemas.openxmlformats.org/officeDocument/2006/relationships/footer" Target="footer2395.xml"/><Relationship Id="rId808" Type="http://schemas.openxmlformats.org/officeDocument/2006/relationships/footer" Target="footer2398.xml"/><Relationship Id="rId809" Type="http://schemas.openxmlformats.org/officeDocument/2006/relationships/footer" Target="footer2401.xml"/><Relationship Id="rId810" Type="http://schemas.openxmlformats.org/officeDocument/2006/relationships/footer" Target="footer2404.xml"/><Relationship Id="rId811" Type="http://schemas.openxmlformats.org/officeDocument/2006/relationships/footer" Target="footer2407.xml"/><Relationship Id="rId812" Type="http://schemas.openxmlformats.org/officeDocument/2006/relationships/footer" Target="footer2410.xml"/><Relationship Id="rId813" Type="http://schemas.openxmlformats.org/officeDocument/2006/relationships/footer" Target="footer2413.xml"/><Relationship Id="rId814" Type="http://schemas.openxmlformats.org/officeDocument/2006/relationships/footer" Target="footer2416.xml"/><Relationship Id="rId815" Type="http://schemas.openxmlformats.org/officeDocument/2006/relationships/footer" Target="footer2419.xml"/><Relationship Id="rId816" Type="http://schemas.openxmlformats.org/officeDocument/2006/relationships/footer" Target="footer2422.xml"/><Relationship Id="rId817" Type="http://schemas.openxmlformats.org/officeDocument/2006/relationships/footer" Target="footer2425.xml"/><Relationship Id="rId818" Type="http://schemas.openxmlformats.org/officeDocument/2006/relationships/footer" Target="footer2428.xml"/><Relationship Id="rId819" Type="http://schemas.openxmlformats.org/officeDocument/2006/relationships/footer" Target="footer2431.xml"/><Relationship Id="rId820" Type="http://schemas.openxmlformats.org/officeDocument/2006/relationships/footer" Target="footer2434.xml"/><Relationship Id="rId821" Type="http://schemas.openxmlformats.org/officeDocument/2006/relationships/footer" Target="footer2437.xml"/><Relationship Id="rId822" Type="http://schemas.openxmlformats.org/officeDocument/2006/relationships/footer" Target="footer2440.xml"/><Relationship Id="rId823" Type="http://schemas.openxmlformats.org/officeDocument/2006/relationships/footer" Target="footer2443.xml"/><Relationship Id="rId824" Type="http://schemas.openxmlformats.org/officeDocument/2006/relationships/footer" Target="footer2446.xml"/><Relationship Id="rId825" Type="http://schemas.openxmlformats.org/officeDocument/2006/relationships/footer" Target="footer2449.xml"/><Relationship Id="rId826" Type="http://schemas.openxmlformats.org/officeDocument/2006/relationships/footer" Target="footer2452.xml"/><Relationship Id="rId827" Type="http://schemas.openxmlformats.org/officeDocument/2006/relationships/footer" Target="footer2455.xml"/><Relationship Id="rId828" Type="http://schemas.openxmlformats.org/officeDocument/2006/relationships/footer" Target="footer2458.xml"/><Relationship Id="rId829" Type="http://schemas.openxmlformats.org/officeDocument/2006/relationships/footer" Target="footer2461.xml"/><Relationship Id="rId830" Type="http://schemas.openxmlformats.org/officeDocument/2006/relationships/footer" Target="footer2464.xml"/><Relationship Id="rId831" Type="http://schemas.openxmlformats.org/officeDocument/2006/relationships/footer" Target="footer2467.xml"/><Relationship Id="rId832" Type="http://schemas.openxmlformats.org/officeDocument/2006/relationships/footer" Target="footer2470.xml"/><Relationship Id="rId833" Type="http://schemas.openxmlformats.org/officeDocument/2006/relationships/footer" Target="footer2473.xml"/><Relationship Id="rId834" Type="http://schemas.openxmlformats.org/officeDocument/2006/relationships/footer" Target="footer2476.xml"/><Relationship Id="rId835" Type="http://schemas.openxmlformats.org/officeDocument/2006/relationships/footer" Target="footer2479.xml"/><Relationship Id="rId836" Type="http://schemas.openxmlformats.org/officeDocument/2006/relationships/footer" Target="footer2482.xml"/><Relationship Id="rId837" Type="http://schemas.openxmlformats.org/officeDocument/2006/relationships/footer" Target="footer2485.xml"/><Relationship Id="rId838" Type="http://schemas.openxmlformats.org/officeDocument/2006/relationships/footer" Target="footer2488.xml"/><Relationship Id="rId839" Type="http://schemas.openxmlformats.org/officeDocument/2006/relationships/footer" Target="footer2491.xml"/><Relationship Id="rId840" Type="http://schemas.openxmlformats.org/officeDocument/2006/relationships/footer" Target="footer2494.xml"/><Relationship Id="rId841" Type="http://schemas.openxmlformats.org/officeDocument/2006/relationships/footer" Target="footer2497.xml"/><Relationship Id="rId842" Type="http://schemas.openxmlformats.org/officeDocument/2006/relationships/footer" Target="footer2500.xml"/><Relationship Id="rId843" Type="http://schemas.openxmlformats.org/officeDocument/2006/relationships/footer" Target="footer2503.xml"/><Relationship Id="rId844" Type="http://schemas.openxmlformats.org/officeDocument/2006/relationships/footer" Target="footer2506.xml"/><Relationship Id="rId845" Type="http://schemas.openxmlformats.org/officeDocument/2006/relationships/footer" Target="footer2509.xml"/><Relationship Id="rId846" Type="http://schemas.openxmlformats.org/officeDocument/2006/relationships/footer" Target="footer2512.xml"/><Relationship Id="rId847" Type="http://schemas.openxmlformats.org/officeDocument/2006/relationships/footer" Target="footer2515.xml"/><Relationship Id="rId848" Type="http://schemas.openxmlformats.org/officeDocument/2006/relationships/footer" Target="footer2518.xml"/><Relationship Id="rId849" Type="http://schemas.openxmlformats.org/officeDocument/2006/relationships/footer" Target="footer2521.xml"/><Relationship Id="rId850" Type="http://schemas.openxmlformats.org/officeDocument/2006/relationships/footer" Target="footer2524.xml"/><Relationship Id="rId851" Type="http://schemas.openxmlformats.org/officeDocument/2006/relationships/footer" Target="footer2527.xml"/><Relationship Id="rId852" Type="http://schemas.openxmlformats.org/officeDocument/2006/relationships/footer" Target="footer2530.xml"/><Relationship Id="rId853" Type="http://schemas.openxmlformats.org/officeDocument/2006/relationships/footer" Target="footer2533.xml"/><Relationship Id="rId854" Type="http://schemas.openxmlformats.org/officeDocument/2006/relationships/footer" Target="footer2536.xml"/><Relationship Id="rId855" Type="http://schemas.openxmlformats.org/officeDocument/2006/relationships/footer" Target="footer2539.xml"/><Relationship Id="rId856" Type="http://schemas.openxmlformats.org/officeDocument/2006/relationships/footer" Target="footer2542.xml"/><Relationship Id="rId857" Type="http://schemas.openxmlformats.org/officeDocument/2006/relationships/footer" Target="footer2545.xml"/><Relationship Id="rId858" Type="http://schemas.openxmlformats.org/officeDocument/2006/relationships/footer" Target="footer2548.xml"/><Relationship Id="rId859" Type="http://schemas.openxmlformats.org/officeDocument/2006/relationships/footer" Target="footer2551.xml"/><Relationship Id="rId860" Type="http://schemas.openxmlformats.org/officeDocument/2006/relationships/footer" Target="footer2554.xml"/><Relationship Id="rId861" Type="http://schemas.openxmlformats.org/officeDocument/2006/relationships/footer" Target="footer2557.xml"/><Relationship Id="rId862" Type="http://schemas.openxmlformats.org/officeDocument/2006/relationships/footer" Target="footer2560.xml"/><Relationship Id="rId863" Type="http://schemas.openxmlformats.org/officeDocument/2006/relationships/footer" Target="footer2563.xml"/><Relationship Id="rId864" Type="http://schemas.openxmlformats.org/officeDocument/2006/relationships/footer" Target="footer2566.xml"/><Relationship Id="rId865" Type="http://schemas.openxmlformats.org/officeDocument/2006/relationships/footer" Target="footer2569.xml"/><Relationship Id="rId866" Type="http://schemas.openxmlformats.org/officeDocument/2006/relationships/footer" Target="footer2572.xml"/><Relationship Id="rId867" Type="http://schemas.openxmlformats.org/officeDocument/2006/relationships/footer" Target="footer2575.xml"/><Relationship Id="rId868" Type="http://schemas.openxmlformats.org/officeDocument/2006/relationships/footer" Target="footer2578.xml"/><Relationship Id="rId869" Type="http://schemas.openxmlformats.org/officeDocument/2006/relationships/footer" Target="footer2581.xml"/><Relationship Id="rId870" Type="http://schemas.openxmlformats.org/officeDocument/2006/relationships/footer" Target="footer2584.xml"/><Relationship Id="rId871" Type="http://schemas.openxmlformats.org/officeDocument/2006/relationships/footer" Target="footer2587.xml"/><Relationship Id="rId872" Type="http://schemas.openxmlformats.org/officeDocument/2006/relationships/footer" Target="footer2590.xml"/><Relationship Id="rId873" Type="http://schemas.openxmlformats.org/officeDocument/2006/relationships/footer" Target="footer2593.xml"/><Relationship Id="rId874" Type="http://schemas.openxmlformats.org/officeDocument/2006/relationships/footer" Target="footer2596.xml"/><Relationship Id="rId875" Type="http://schemas.openxmlformats.org/officeDocument/2006/relationships/footer" Target="footer2599.xml"/><Relationship Id="rId876" Type="http://schemas.openxmlformats.org/officeDocument/2006/relationships/footer" Target="footer2602.xml"/><Relationship Id="rId877" Type="http://schemas.openxmlformats.org/officeDocument/2006/relationships/footer" Target="footer2605.xml"/><Relationship Id="rId878" Type="http://schemas.openxmlformats.org/officeDocument/2006/relationships/footer" Target="footer2608.xml"/><Relationship Id="rId879" Type="http://schemas.openxmlformats.org/officeDocument/2006/relationships/footer" Target="footer2611.xml"/><Relationship Id="rId880" Type="http://schemas.openxmlformats.org/officeDocument/2006/relationships/footer" Target="footer2614.xml"/><Relationship Id="rId881" Type="http://schemas.openxmlformats.org/officeDocument/2006/relationships/footer" Target="footer2617.xml"/><Relationship Id="rId882" Type="http://schemas.openxmlformats.org/officeDocument/2006/relationships/footer" Target="footer2620.xml"/><Relationship Id="rId883" Type="http://schemas.openxmlformats.org/officeDocument/2006/relationships/footer" Target="footer2623.xml"/><Relationship Id="rId884" Type="http://schemas.openxmlformats.org/officeDocument/2006/relationships/footer" Target="footer2626.xml"/><Relationship Id="rId885" Type="http://schemas.openxmlformats.org/officeDocument/2006/relationships/footer" Target="footer2629.xml"/><Relationship Id="rId886" Type="http://schemas.openxmlformats.org/officeDocument/2006/relationships/footer" Target="footer2632.xml"/><Relationship Id="rId887" Type="http://schemas.openxmlformats.org/officeDocument/2006/relationships/footer" Target="footer2635.xml"/><Relationship Id="rId888" Type="http://schemas.openxmlformats.org/officeDocument/2006/relationships/footer" Target="footer2638.xml"/><Relationship Id="rId889" Type="http://schemas.openxmlformats.org/officeDocument/2006/relationships/footer" Target="footer2641.xml"/><Relationship Id="rId890" Type="http://schemas.openxmlformats.org/officeDocument/2006/relationships/footer" Target="footer2644.xml"/><Relationship Id="rId891" Type="http://schemas.openxmlformats.org/officeDocument/2006/relationships/footer" Target="footer2647.xml"/><Relationship Id="rId892" Type="http://schemas.openxmlformats.org/officeDocument/2006/relationships/footer" Target="footer2650.xml"/><Relationship Id="rId893" Type="http://schemas.openxmlformats.org/officeDocument/2006/relationships/footer" Target="footer2653.xml"/><Relationship Id="rId894" Type="http://schemas.openxmlformats.org/officeDocument/2006/relationships/footer" Target="footer2656.xml"/><Relationship Id="rId895" Type="http://schemas.openxmlformats.org/officeDocument/2006/relationships/footer" Target="footer2659.xml"/><Relationship Id="rId896" Type="http://schemas.openxmlformats.org/officeDocument/2006/relationships/footer" Target="footer2662.xml"/><Relationship Id="rId897" Type="http://schemas.openxmlformats.org/officeDocument/2006/relationships/footer" Target="footer2665.xml"/><Relationship Id="rId898" Type="http://schemas.openxmlformats.org/officeDocument/2006/relationships/footer" Target="footer2668.xml"/><Relationship Id="rId899" Type="http://schemas.openxmlformats.org/officeDocument/2006/relationships/footer" Target="footer2671.xml"/><Relationship Id="rId900" Type="http://schemas.openxmlformats.org/officeDocument/2006/relationships/footer" Target="footer2674.xml"/><Relationship Id="rId901" Type="http://schemas.openxmlformats.org/officeDocument/2006/relationships/footer" Target="footer2677.xml"/><Relationship Id="rId902" Type="http://schemas.openxmlformats.org/officeDocument/2006/relationships/footer" Target="footer2680.xml"/><Relationship Id="rId903" Type="http://schemas.openxmlformats.org/officeDocument/2006/relationships/footer" Target="footer2683.xml"/><Relationship Id="rId904" Type="http://schemas.openxmlformats.org/officeDocument/2006/relationships/footer" Target="footer2686.xml"/><Relationship Id="rId905" Type="http://schemas.openxmlformats.org/officeDocument/2006/relationships/footer" Target="footer2689.xml"/><Relationship Id="rId906" Type="http://schemas.openxmlformats.org/officeDocument/2006/relationships/footer" Target="footer2692.xml"/><Relationship Id="rId907" Type="http://schemas.openxmlformats.org/officeDocument/2006/relationships/footer" Target="footer2695.xml"/><Relationship Id="rId908" Type="http://schemas.openxmlformats.org/officeDocument/2006/relationships/footer" Target="footer2698.xml"/><Relationship Id="rId909" Type="http://schemas.openxmlformats.org/officeDocument/2006/relationships/footer" Target="footer2701.xml"/><Relationship Id="rId910" Type="http://schemas.openxmlformats.org/officeDocument/2006/relationships/footer" Target="footer2704.xml"/><Relationship Id="rId911" Type="http://schemas.openxmlformats.org/officeDocument/2006/relationships/footer" Target="footer2707.xml"/><Relationship Id="rId912" Type="http://schemas.openxmlformats.org/officeDocument/2006/relationships/footer" Target="footer2710.xml"/><Relationship Id="rId913" Type="http://schemas.openxmlformats.org/officeDocument/2006/relationships/footer" Target="footer2713.xml"/><Relationship Id="rId914" Type="http://schemas.openxmlformats.org/officeDocument/2006/relationships/footer" Target="footer2716.xml"/><Relationship Id="rId915" Type="http://schemas.openxmlformats.org/officeDocument/2006/relationships/footer" Target="footer2719.xml"/><Relationship Id="rId916" Type="http://schemas.openxmlformats.org/officeDocument/2006/relationships/footer" Target="footer2722.xml"/><Relationship Id="rId917" Type="http://schemas.openxmlformats.org/officeDocument/2006/relationships/footer" Target="footer2725.xml"/><Relationship Id="rId918" Type="http://schemas.openxmlformats.org/officeDocument/2006/relationships/footer" Target="footer2728.xml"/><Relationship Id="rId919" Type="http://schemas.openxmlformats.org/officeDocument/2006/relationships/footer" Target="footer2731.xml"/><Relationship Id="rId920" Type="http://schemas.openxmlformats.org/officeDocument/2006/relationships/footer" Target="footer2734.xml"/><Relationship Id="rId921" Type="http://schemas.openxmlformats.org/officeDocument/2006/relationships/footer" Target="footer2737.xml"/><Relationship Id="rId922" Type="http://schemas.openxmlformats.org/officeDocument/2006/relationships/footer" Target="footer2740.xml"/><Relationship Id="rId923" Type="http://schemas.openxmlformats.org/officeDocument/2006/relationships/footer" Target="footer2743.xml"/><Relationship Id="rId924" Type="http://schemas.openxmlformats.org/officeDocument/2006/relationships/footer" Target="footer2746.xml"/><Relationship Id="rId925" Type="http://schemas.openxmlformats.org/officeDocument/2006/relationships/footer" Target="footer2749.xml"/><Relationship Id="rId926" Type="http://schemas.openxmlformats.org/officeDocument/2006/relationships/footer" Target="footer2752.xml"/><Relationship Id="rId927" Type="http://schemas.openxmlformats.org/officeDocument/2006/relationships/footer" Target="footer2755.xml"/><Relationship Id="rId928" Type="http://schemas.openxmlformats.org/officeDocument/2006/relationships/footer" Target="footer2758.xml"/><Relationship Id="rId929" Type="http://schemas.openxmlformats.org/officeDocument/2006/relationships/footer" Target="footer2761.xml"/><Relationship Id="rId930" Type="http://schemas.openxmlformats.org/officeDocument/2006/relationships/footer" Target="footer2764.xml"/><Relationship Id="rId931" Type="http://schemas.openxmlformats.org/officeDocument/2006/relationships/footer" Target="footer2767.xml"/><Relationship Id="rId932" Type="http://schemas.openxmlformats.org/officeDocument/2006/relationships/footer" Target="footer2770.xml"/><Relationship Id="rId933" Type="http://schemas.openxmlformats.org/officeDocument/2006/relationships/footer" Target="footer2773.xml"/><Relationship Id="rId934" Type="http://schemas.openxmlformats.org/officeDocument/2006/relationships/footer" Target="footer2776.xml"/><Relationship Id="rId935" Type="http://schemas.openxmlformats.org/officeDocument/2006/relationships/footer" Target="footer2779.xml"/><Relationship Id="rId936" Type="http://schemas.openxmlformats.org/officeDocument/2006/relationships/footer" Target="footer2782.xml"/><Relationship Id="rId937" Type="http://schemas.openxmlformats.org/officeDocument/2006/relationships/footer" Target="footer2785.xml"/><Relationship Id="rId938" Type="http://schemas.openxmlformats.org/officeDocument/2006/relationships/footer" Target="footer2788.xml"/><Relationship Id="rId939" Type="http://schemas.openxmlformats.org/officeDocument/2006/relationships/footer" Target="footer2791.xml"/><Relationship Id="rId940" Type="http://schemas.openxmlformats.org/officeDocument/2006/relationships/footer" Target="footer2794.xml"/><Relationship Id="rId941" Type="http://schemas.openxmlformats.org/officeDocument/2006/relationships/footer" Target="footer2797.xml"/><Relationship Id="rId942" Type="http://schemas.openxmlformats.org/officeDocument/2006/relationships/footer" Target="footer2800.xml"/><Relationship Id="rId943" Type="http://schemas.openxmlformats.org/officeDocument/2006/relationships/footer" Target="footer2803.xml"/><Relationship Id="rId944" Type="http://schemas.openxmlformats.org/officeDocument/2006/relationships/footer" Target="footer2806.xml"/><Relationship Id="rId945" Type="http://schemas.openxmlformats.org/officeDocument/2006/relationships/footer" Target="footer2809.xml"/><Relationship Id="rId946" Type="http://schemas.openxmlformats.org/officeDocument/2006/relationships/footer" Target="footer2812.xml"/><Relationship Id="rId947" Type="http://schemas.openxmlformats.org/officeDocument/2006/relationships/footer" Target="footer2815.xml"/><Relationship Id="rId948" Type="http://schemas.openxmlformats.org/officeDocument/2006/relationships/footer" Target="footer2818.xml"/><Relationship Id="rId949" Type="http://schemas.openxmlformats.org/officeDocument/2006/relationships/footer" Target="footer2821.xml"/><Relationship Id="rId950" Type="http://schemas.openxmlformats.org/officeDocument/2006/relationships/footer" Target="footer2824.xml"/><Relationship Id="rId951" Type="http://schemas.openxmlformats.org/officeDocument/2006/relationships/footer" Target="footer2827.xml"/><Relationship Id="rId952" Type="http://schemas.openxmlformats.org/officeDocument/2006/relationships/footer" Target="footer2830.xml"/><Relationship Id="rId953" Type="http://schemas.openxmlformats.org/officeDocument/2006/relationships/footer" Target="footer2833.xml"/><Relationship Id="rId954" Type="http://schemas.openxmlformats.org/officeDocument/2006/relationships/footer" Target="footer2836.xml"/><Relationship Id="rId955" Type="http://schemas.openxmlformats.org/officeDocument/2006/relationships/footer" Target="footer2839.xml"/><Relationship Id="rId956" Type="http://schemas.openxmlformats.org/officeDocument/2006/relationships/footer" Target="footer2842.xml"/><Relationship Id="rId957" Type="http://schemas.openxmlformats.org/officeDocument/2006/relationships/footer" Target="footer2845.xml"/><Relationship Id="rId958" Type="http://schemas.openxmlformats.org/officeDocument/2006/relationships/footer" Target="footer2848.xml"/><Relationship Id="rId959" Type="http://schemas.openxmlformats.org/officeDocument/2006/relationships/footer" Target="footer2851.xml"/><Relationship Id="rId960" Type="http://schemas.openxmlformats.org/officeDocument/2006/relationships/footer" Target="footer2854.xml"/><Relationship Id="rId961" Type="http://schemas.openxmlformats.org/officeDocument/2006/relationships/footer" Target="footer2857.xml"/><Relationship Id="rId962" Type="http://schemas.openxmlformats.org/officeDocument/2006/relationships/footer" Target="footer2860.xml"/><Relationship Id="rId963" Type="http://schemas.openxmlformats.org/officeDocument/2006/relationships/footer" Target="footer2863.xml"/><Relationship Id="rId964" Type="http://schemas.openxmlformats.org/officeDocument/2006/relationships/footer" Target="footer2866.xml"/><Relationship Id="rId965" Type="http://schemas.openxmlformats.org/officeDocument/2006/relationships/footer" Target="footer2869.xml"/><Relationship Id="rId966" Type="http://schemas.openxmlformats.org/officeDocument/2006/relationships/footer" Target="footer2872.xml"/><Relationship Id="rId967" Type="http://schemas.openxmlformats.org/officeDocument/2006/relationships/footer" Target="footer2875.xml"/><Relationship Id="rId968" Type="http://schemas.openxmlformats.org/officeDocument/2006/relationships/footer" Target="footer2878.xml"/><Relationship Id="rId969" Type="http://schemas.openxmlformats.org/officeDocument/2006/relationships/footer" Target="footer2881.xml"/><Relationship Id="rId970" Type="http://schemas.openxmlformats.org/officeDocument/2006/relationships/footer" Target="footer2884.xml"/><Relationship Id="rId971" Type="http://schemas.openxmlformats.org/officeDocument/2006/relationships/footer" Target="footer2887.xml"/><Relationship Id="rId972" Type="http://schemas.openxmlformats.org/officeDocument/2006/relationships/footer" Target="footer2890.xml"/><Relationship Id="rId973" Type="http://schemas.openxmlformats.org/officeDocument/2006/relationships/footer" Target="footer2893.xml"/><Relationship Id="rId974" Type="http://schemas.openxmlformats.org/officeDocument/2006/relationships/footer" Target="footer2896.xml"/><Relationship Id="rId975" Type="http://schemas.openxmlformats.org/officeDocument/2006/relationships/footer" Target="footer2899.xml"/><Relationship Id="rId976" Type="http://schemas.openxmlformats.org/officeDocument/2006/relationships/footer" Target="footer2902.xml"/><Relationship Id="rId977" Type="http://schemas.openxmlformats.org/officeDocument/2006/relationships/footer" Target="footer2905.xml"/><Relationship Id="rId978" Type="http://schemas.openxmlformats.org/officeDocument/2006/relationships/footer" Target="footer2908.xml"/><Relationship Id="rId979" Type="http://schemas.openxmlformats.org/officeDocument/2006/relationships/footer" Target="footer2911.xml"/><Relationship Id="rId980" Type="http://schemas.openxmlformats.org/officeDocument/2006/relationships/footer" Target="footer2914.xml"/><Relationship Id="rId981" Type="http://schemas.openxmlformats.org/officeDocument/2006/relationships/footer" Target="footer2917.xml"/><Relationship Id="rId982" Type="http://schemas.openxmlformats.org/officeDocument/2006/relationships/footer" Target="footer2920.xml"/><Relationship Id="rId983" Type="http://schemas.openxmlformats.org/officeDocument/2006/relationships/footer" Target="footer2923.xml"/><Relationship Id="rId984" Type="http://schemas.openxmlformats.org/officeDocument/2006/relationships/footer" Target="footer2926.xml"/><Relationship Id="rId985" Type="http://schemas.openxmlformats.org/officeDocument/2006/relationships/footer" Target="footer2929.xml"/><Relationship Id="rId986" Type="http://schemas.openxmlformats.org/officeDocument/2006/relationships/footer" Target="footer2932.xml"/><Relationship Id="rId987" Type="http://schemas.openxmlformats.org/officeDocument/2006/relationships/footer" Target="footer2935.xml"/><Relationship Id="rId988" Type="http://schemas.openxmlformats.org/officeDocument/2006/relationships/footer" Target="footer2938.xml"/><Relationship Id="rId989" Type="http://schemas.openxmlformats.org/officeDocument/2006/relationships/footer" Target="footer2941.xml"/><Relationship Id="rId990" Type="http://schemas.openxmlformats.org/officeDocument/2006/relationships/footer" Target="footer2944.xml"/><Relationship Id="rId991" Type="http://schemas.openxmlformats.org/officeDocument/2006/relationships/footer" Target="footer2947.xml"/><Relationship Id="rId992" Type="http://schemas.openxmlformats.org/officeDocument/2006/relationships/footer" Target="footer2950.xml"/><Relationship Id="rId993" Type="http://schemas.openxmlformats.org/officeDocument/2006/relationships/footer" Target="footer2953.xml"/><Relationship Id="rId994" Type="http://schemas.openxmlformats.org/officeDocument/2006/relationships/footer" Target="footer2956.xml"/><Relationship Id="rId995" Type="http://schemas.openxmlformats.org/officeDocument/2006/relationships/footer" Target="footer2959.xml"/><Relationship Id="rId996" Type="http://schemas.openxmlformats.org/officeDocument/2006/relationships/footer" Target="footer296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فهرستگان نسخه های خطی ایران فنخا جلد 6 حرف بش</dc:title>
  <dc:description/>
  <dc:subject/>
  <cp:keywords/>
  <cp:category/>
  <cp:lastModifiedBy/>
  <dcterms:created xsi:type="dcterms:W3CDTF">2026-08-26T14:25:47+03:30</dcterms:created>
  <dcterms:modified xsi:type="dcterms:W3CDTF">2026-08-26T14:25:47+03:30</dcterms:modified>
</cp:coreProperties>
</file>

<file path=docProps/custom.xml><?xml version="1.0" encoding="utf-8"?>
<Properties xmlns="http://schemas.openxmlformats.org/officeDocument/2006/custom-properties" xmlns:vt="http://schemas.openxmlformats.org/officeDocument/2006/docPropsVTypes"/>
</file>